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244.xml" ContentType="application/vnd.openxmlformats-officedocument.wordprocessingml.footer+xml"/>
  <Override PartName="/word/footer245.xml" ContentType="application/vnd.openxmlformats-officedocument.wordprocessingml.footer+xml"/>
  <Override PartName="/word/footer246.xml" ContentType="application/vnd.openxmlformats-officedocument.wordprocessingml.footer+xml"/>
  <Override PartName="/word/footer247.xml" ContentType="application/vnd.openxmlformats-officedocument.wordprocessingml.footer+xml"/>
  <Override PartName="/word/footer248.xml" ContentType="application/vnd.openxmlformats-officedocument.wordprocessingml.footer+xml"/>
  <Override PartName="/word/footer249.xml" ContentType="application/vnd.openxmlformats-officedocument.wordprocessingml.footer+xml"/>
  <Override PartName="/word/footer25.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253.xml" ContentType="application/vnd.openxmlformats-officedocument.wordprocessingml.footer+xml"/>
  <Override PartName="/word/footer254.xml" ContentType="application/vnd.openxmlformats-officedocument.wordprocessingml.footer+xml"/>
  <Override PartName="/word/footer255.xml" ContentType="application/vnd.openxmlformats-officedocument.wordprocessingml.footer+xml"/>
  <Override PartName="/word/footer256.xml" ContentType="application/vnd.openxmlformats-officedocument.wordprocessingml.footer+xml"/>
  <Override PartName="/word/footer257.xml" ContentType="application/vnd.openxmlformats-officedocument.wordprocessingml.footer+xml"/>
  <Override PartName="/word/footer258.xml" ContentType="application/vnd.openxmlformats-officedocument.wordprocessingml.footer+xml"/>
  <Override PartName="/word/footer259.xml" ContentType="application/vnd.openxmlformats-officedocument.wordprocessingml.footer+xml"/>
  <Override PartName="/word/footer26.xml" ContentType="application/vnd.openxmlformats-officedocument.wordprocessingml.footer+xml"/>
  <Override PartName="/word/footer260.xml" ContentType="application/vnd.openxmlformats-officedocument.wordprocessingml.footer+xml"/>
  <Override PartName="/word/footer261.xml" ContentType="application/vnd.openxmlformats-officedocument.wordprocessingml.footer+xml"/>
  <Override PartName="/word/footer262.xml" ContentType="application/vnd.openxmlformats-officedocument.wordprocessingml.footer+xml"/>
  <Override PartName="/word/footer263.xml" ContentType="application/vnd.openxmlformats-officedocument.wordprocessingml.footer+xml"/>
  <Override PartName="/word/footer264.xml" ContentType="application/vnd.openxmlformats-officedocument.wordprocessingml.footer+xml"/>
  <Override PartName="/word/footer265.xml" ContentType="application/vnd.openxmlformats-officedocument.wordprocessingml.footer+xml"/>
  <Override PartName="/word/footer266.xml" ContentType="application/vnd.openxmlformats-officedocument.wordprocessingml.footer+xml"/>
  <Override PartName="/word/footer26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xml" ContentType="application/vnd.openxmlformats-officedocument.wordprocessingml.footer+xml"/>
  <Override PartName="/word/footer270.xml" ContentType="application/vnd.openxmlformats-officedocument.wordprocessingml.footer+xml"/>
  <Override PartName="/word/footer271.xml" ContentType="application/vnd.openxmlformats-officedocument.wordprocessingml.footer+xml"/>
  <Override PartName="/word/footer272.xml" ContentType="application/vnd.openxmlformats-officedocument.wordprocessingml.footer+xml"/>
  <Override PartName="/word/footer273.xml" ContentType="application/vnd.openxmlformats-officedocument.wordprocessingml.footer+xml"/>
  <Override PartName="/word/footer274.xml" ContentType="application/vnd.openxmlformats-officedocument.wordprocessingml.footer+xml"/>
  <Override PartName="/word/footer275.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06.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309.xml" ContentType="application/vnd.openxmlformats-officedocument.wordprocessingml.footer+xml"/>
  <Override PartName="/word/footer31.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footer318.xml" ContentType="application/vnd.openxmlformats-officedocument.wordprocessingml.footer+xml"/>
  <Override PartName="/word/footer319.xml" ContentType="application/vnd.openxmlformats-officedocument.wordprocessingml.footer+xml"/>
  <Override PartName="/word/footer32.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33.xml" ContentType="application/vnd.openxmlformats-officedocument.wordprocessingml.footer+xml"/>
  <Override PartName="/word/footer330.xml" ContentType="application/vnd.openxmlformats-officedocument.wordprocessingml.footer+xml"/>
  <Override PartName="/word/footer331.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34.xml" ContentType="application/vnd.openxmlformats-officedocument.wordprocessingml.footer+xml"/>
  <Override PartName="/word/footer335.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34.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48.xml" ContentType="application/vnd.openxmlformats-officedocument.wordprocessingml.footer+xml"/>
  <Override PartName="/word/footer349.xml" ContentType="application/vnd.openxmlformats-officedocument.wordprocessingml.footer+xml"/>
  <Override PartName="/word/footer3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3.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358.xml" ContentType="application/vnd.openxmlformats-officedocument.wordprocessingml.footer+xml"/>
  <Override PartName="/word/footer359.xml" ContentType="application/vnd.openxmlformats-officedocument.wordprocessingml.footer+xml"/>
  <Override PartName="/word/footer36.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364.xml" ContentType="application/vnd.openxmlformats-officedocument.wordprocessingml.footer+xml"/>
  <Override PartName="/word/footer365.xml" ContentType="application/vnd.openxmlformats-officedocument.wordprocessingml.footer+xml"/>
  <Override PartName="/word/footer366.xml" ContentType="application/vnd.openxmlformats-officedocument.wordprocessingml.footer+xml"/>
  <Override PartName="/word/footer367.xml" ContentType="application/vnd.openxmlformats-officedocument.wordprocessingml.footer+xml"/>
  <Override PartName="/word/footer368.xml" ContentType="application/vnd.openxmlformats-officedocument.wordprocessingml.footer+xml"/>
  <Override PartName="/word/footer369.xml" ContentType="application/vnd.openxmlformats-officedocument.wordprocessingml.footer+xml"/>
  <Override PartName="/word/footer37.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373.xml" ContentType="application/vnd.openxmlformats-officedocument.wordprocessingml.footer+xml"/>
  <Override PartName="/word/footer374.xml" ContentType="application/vnd.openxmlformats-officedocument.wordprocessingml.footer+xml"/>
  <Override PartName="/word/footer375.xml" ContentType="application/vnd.openxmlformats-officedocument.wordprocessingml.footer+xml"/>
  <Override PartName="/word/footer376.xml" ContentType="application/vnd.openxmlformats-officedocument.wordprocessingml.footer+xml"/>
  <Override PartName="/word/footer377.xml" ContentType="application/vnd.openxmlformats-officedocument.wordprocessingml.footer+xml"/>
  <Override PartName="/word/footer378.xml" ContentType="application/vnd.openxmlformats-officedocument.wordprocessingml.footer+xml"/>
  <Override PartName="/word/footer379.xml" ContentType="application/vnd.openxmlformats-officedocument.wordprocessingml.footer+xml"/>
  <Override PartName="/word/footer38.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383.xml" ContentType="application/vnd.openxmlformats-officedocument.wordprocessingml.footer+xml"/>
  <Override PartName="/word/footer384.xml" ContentType="application/vnd.openxmlformats-officedocument.wordprocessingml.footer+xml"/>
  <Override PartName="/word/footer385.xml" ContentType="application/vnd.openxmlformats-officedocument.wordprocessingml.footer+xml"/>
  <Override PartName="/word/footer386.xml" ContentType="application/vnd.openxmlformats-officedocument.wordprocessingml.footer+xml"/>
  <Override PartName="/word/footer387.xml" ContentType="application/vnd.openxmlformats-officedocument.wordprocessingml.footer+xml"/>
  <Override PartName="/word/footer388.xml" ContentType="application/vnd.openxmlformats-officedocument.wordprocessingml.footer+xml"/>
  <Override PartName="/word/footer389.xml" ContentType="application/vnd.openxmlformats-officedocument.wordprocessingml.footer+xml"/>
  <Override PartName="/word/footer39.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393.xml" ContentType="application/vnd.openxmlformats-officedocument.wordprocessingml.footer+xml"/>
  <Override PartName="/word/footer394.xml" ContentType="application/vnd.openxmlformats-officedocument.wordprocessingml.footer+xml"/>
  <Override PartName="/word/footer395.xml" ContentType="application/vnd.openxmlformats-officedocument.wordprocessingml.footer+xml"/>
  <Override PartName="/word/footer396.xml" ContentType="application/vnd.openxmlformats-officedocument.wordprocessingml.footer+xml"/>
  <Override PartName="/word/footer397.xml" ContentType="application/vnd.openxmlformats-officedocument.wordprocessingml.footer+xml"/>
  <Override PartName="/word/footer398.xml" ContentType="application/vnd.openxmlformats-officedocument.wordprocessingml.footer+xml"/>
  <Override PartName="/word/footer39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00.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403.xml" ContentType="application/vnd.openxmlformats-officedocument.wordprocessingml.footer+xml"/>
  <Override PartName="/word/footer404.xml" ContentType="application/vnd.openxmlformats-officedocument.wordprocessingml.footer+xml"/>
  <Override PartName="/word/footer405.xml" ContentType="application/vnd.openxmlformats-officedocument.wordprocessingml.footer+xml"/>
  <Override PartName="/word/footer406.xml" ContentType="application/vnd.openxmlformats-officedocument.wordprocessingml.footer+xml"/>
  <Override PartName="/word/footer407.xml" ContentType="application/vnd.openxmlformats-officedocument.wordprocessingml.footer+xml"/>
  <Override PartName="/word/footer408.xml" ContentType="application/vnd.openxmlformats-officedocument.wordprocessingml.footer+xml"/>
  <Override PartName="/word/footer409.xml" ContentType="application/vnd.openxmlformats-officedocument.wordprocessingml.footer+xml"/>
  <Override PartName="/word/footer41.xml" ContentType="application/vnd.openxmlformats-officedocument.wordprocessingml.footer+xml"/>
  <Override PartName="/word/footer410.xml" ContentType="application/vnd.openxmlformats-officedocument.wordprocessingml.footer+xml"/>
  <Override PartName="/word/footer411.xml" ContentType="application/vnd.openxmlformats-officedocument.wordprocessingml.footer+xml"/>
  <Override PartName="/word/footer412.xml" ContentType="application/vnd.openxmlformats-officedocument.wordprocessingml.footer+xml"/>
  <Override PartName="/word/footer413.xml" ContentType="application/vnd.openxmlformats-officedocument.wordprocessingml.footer+xml"/>
  <Override PartName="/word/footer414.xml" ContentType="application/vnd.openxmlformats-officedocument.wordprocessingml.footer+xml"/>
  <Override PartName="/word/footer415.xml" ContentType="application/vnd.openxmlformats-officedocument.wordprocessingml.footer+xml"/>
  <Override PartName="/word/footer416.xml" ContentType="application/vnd.openxmlformats-officedocument.wordprocessingml.footer+xml"/>
  <Override PartName="/word/footer417.xml" ContentType="application/vnd.openxmlformats-officedocument.wordprocessingml.footer+xml"/>
  <Override PartName="/word/footer418.xml" ContentType="application/vnd.openxmlformats-officedocument.wordprocessingml.footer+xml"/>
  <Override PartName="/word/footer419.xml" ContentType="application/vnd.openxmlformats-officedocument.wordprocessingml.footer+xml"/>
  <Override PartName="/word/footer42.xml" ContentType="application/vnd.openxmlformats-officedocument.wordprocessingml.footer+xml"/>
  <Override PartName="/word/footer420.xml" ContentType="application/vnd.openxmlformats-officedocument.wordprocessingml.footer+xml"/>
  <Override PartName="/word/footer421.xml" ContentType="application/vnd.openxmlformats-officedocument.wordprocessingml.footer+xml"/>
  <Override PartName="/word/footer422.xml" ContentType="application/vnd.openxmlformats-officedocument.wordprocessingml.footer+xml"/>
  <Override PartName="/word/footer423.xml" ContentType="application/vnd.openxmlformats-officedocument.wordprocessingml.footer+xml"/>
  <Override PartName="/word/footer424.xml" ContentType="application/vnd.openxmlformats-officedocument.wordprocessingml.footer+xml"/>
  <Override PartName="/word/footer425.xml" ContentType="application/vnd.openxmlformats-officedocument.wordprocessingml.footer+xml"/>
  <Override PartName="/word/footer426.xml" ContentType="application/vnd.openxmlformats-officedocument.wordprocessingml.footer+xml"/>
  <Override PartName="/word/footer427.xml" ContentType="application/vnd.openxmlformats-officedocument.wordprocessingml.footer+xml"/>
  <Override PartName="/word/footer428.xml" ContentType="application/vnd.openxmlformats-officedocument.wordprocessingml.footer+xml"/>
  <Override PartName="/word/footer429.xml" ContentType="application/vnd.openxmlformats-officedocument.wordprocessingml.footer+xml"/>
  <Override PartName="/word/footer43.xml" ContentType="application/vnd.openxmlformats-officedocument.wordprocessingml.footer+xml"/>
  <Override PartName="/word/footer430.xml" ContentType="application/vnd.openxmlformats-officedocument.wordprocessingml.footer+xml"/>
  <Override PartName="/word/footer431.xml" ContentType="application/vnd.openxmlformats-officedocument.wordprocessingml.footer+xml"/>
  <Override PartName="/word/footer432.xml" ContentType="application/vnd.openxmlformats-officedocument.wordprocessingml.footer+xml"/>
  <Override PartName="/word/footer433.xml" ContentType="application/vnd.openxmlformats-officedocument.wordprocessingml.footer+xml"/>
  <Override PartName="/word/footer434.xml" ContentType="application/vnd.openxmlformats-officedocument.wordprocessingml.footer+xml"/>
  <Override PartName="/word/footer435.xml" ContentType="application/vnd.openxmlformats-officedocument.wordprocessingml.footer+xml"/>
  <Override PartName="/word/footer436.xml" ContentType="application/vnd.openxmlformats-officedocument.wordprocessingml.footer+xml"/>
  <Override PartName="/word/footer437.xml" ContentType="application/vnd.openxmlformats-officedocument.wordprocessingml.footer+xml"/>
  <Override PartName="/word/footer438.xml" ContentType="application/vnd.openxmlformats-officedocument.wordprocessingml.footer+xml"/>
  <Override PartName="/word/footer439.xml" ContentType="application/vnd.openxmlformats-officedocument.wordprocessingml.footer+xml"/>
  <Override PartName="/word/footer44.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6.xml" ContentType="application/vnd.openxmlformats-officedocument.wordprocessingml.footer+xml"/>
  <Override PartName="/word/footer447.xml" ContentType="application/vnd.openxmlformats-officedocument.wordprocessingml.footer+xml"/>
  <Override PartName="/word/footer448.xml" ContentType="application/vnd.openxmlformats-officedocument.wordprocessingml.footer+xml"/>
  <Override PartName="/word/footer449.xml" ContentType="application/vnd.openxmlformats-officedocument.wordprocessingml.footer+xml"/>
  <Override PartName="/word/footer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458.xml" ContentType="application/vnd.openxmlformats-officedocument.wordprocessingml.footer+xml"/>
  <Override PartName="/word/footer459.xml" ContentType="application/vnd.openxmlformats-officedocument.wordprocessingml.footer+xml"/>
  <Override PartName="/word/footer46.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06.xml" ContentType="application/vnd.openxmlformats-officedocument.wordprocessingml.footer+xml"/>
  <Override PartName="/word/footer507.xml" ContentType="application/vnd.openxmlformats-officedocument.wordprocessingml.footer+xml"/>
  <Override PartName="/word/footer508.xml" ContentType="application/vnd.openxmlformats-officedocument.wordprocessingml.footer+xml"/>
  <Override PartName="/word/footer509.xml" ContentType="application/vnd.openxmlformats-officedocument.wordprocessingml.footer+xml"/>
  <Override PartName="/word/footer51.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AF9D3A">
      <w:pPr>
        <w:spacing w:line="272" w:lineRule="auto"/>
        <w:rPr>
          <w:rFonts w:ascii="Arial"/>
          <w:sz w:val="21"/>
        </w:rPr>
      </w:pPr>
      <w:bookmarkStart w:id="467" w:name="_GoBack"/>
      <w:bookmarkEnd w:id="467"/>
    </w:p>
    <w:p w14:paraId="1DB7408F">
      <w:pPr>
        <w:spacing w:line="272" w:lineRule="auto"/>
        <w:rPr>
          <w:rFonts w:ascii="Arial"/>
          <w:sz w:val="21"/>
        </w:rPr>
      </w:pPr>
    </w:p>
    <w:p w14:paraId="11BCCA4D">
      <w:pPr>
        <w:spacing w:line="272" w:lineRule="auto"/>
        <w:rPr>
          <w:rFonts w:ascii="Arial"/>
          <w:sz w:val="21"/>
        </w:rPr>
      </w:pPr>
    </w:p>
    <w:p w14:paraId="580C0CF2">
      <w:pPr>
        <w:spacing w:line="272" w:lineRule="auto"/>
        <w:rPr>
          <w:rFonts w:ascii="Arial"/>
          <w:sz w:val="21"/>
        </w:rPr>
      </w:pPr>
    </w:p>
    <w:p w14:paraId="52CE3358">
      <w:pPr>
        <w:spacing w:line="273" w:lineRule="auto"/>
        <w:rPr>
          <w:rFonts w:ascii="Arial"/>
          <w:sz w:val="21"/>
        </w:rPr>
      </w:pPr>
    </w:p>
    <w:p w14:paraId="07DF9169">
      <w:pPr>
        <w:spacing w:line="273" w:lineRule="auto"/>
        <w:rPr>
          <w:rFonts w:ascii="Arial"/>
          <w:sz w:val="21"/>
        </w:rPr>
      </w:pPr>
    </w:p>
    <w:p w14:paraId="446B443C">
      <w:pPr>
        <w:spacing w:line="273" w:lineRule="auto"/>
        <w:rPr>
          <w:rFonts w:ascii="Arial"/>
          <w:sz w:val="21"/>
        </w:rPr>
      </w:pPr>
    </w:p>
    <w:p w14:paraId="4F9CC471">
      <w:pPr>
        <w:pStyle w:val="2"/>
        <w:spacing w:before="169" w:line="220" w:lineRule="auto"/>
        <w:ind w:left="1268"/>
        <w:rPr>
          <w:sz w:val="52"/>
          <w:szCs w:val="52"/>
        </w:rPr>
      </w:pPr>
      <w:r>
        <w:rPr>
          <w:b/>
          <w:bCs/>
          <w:spacing w:val="-5"/>
          <w:sz w:val="52"/>
          <w:szCs w:val="52"/>
        </w:rPr>
        <w:t>湖北省房屋建筑和市政工程</w:t>
      </w:r>
    </w:p>
    <w:p w14:paraId="21B2E383">
      <w:pPr>
        <w:pStyle w:val="2"/>
        <w:spacing w:before="216" w:line="224" w:lineRule="auto"/>
        <w:ind w:left="792"/>
        <w:rPr>
          <w:sz w:val="71"/>
          <w:szCs w:val="71"/>
        </w:rPr>
      </w:pPr>
      <w:r>
        <w:rPr>
          <w:b/>
          <w:bCs/>
          <w:spacing w:val="2"/>
          <w:sz w:val="71"/>
          <w:szCs w:val="71"/>
        </w:rPr>
        <w:t>施工招标文件示范文本</w:t>
      </w:r>
    </w:p>
    <w:p w14:paraId="6B1513BF">
      <w:pPr>
        <w:spacing w:line="270" w:lineRule="auto"/>
        <w:rPr>
          <w:rFonts w:ascii="Arial"/>
          <w:sz w:val="21"/>
        </w:rPr>
      </w:pPr>
    </w:p>
    <w:p w14:paraId="71E9CC84">
      <w:pPr>
        <w:spacing w:line="270" w:lineRule="auto"/>
        <w:rPr>
          <w:rFonts w:ascii="Arial"/>
          <w:sz w:val="21"/>
        </w:rPr>
      </w:pPr>
    </w:p>
    <w:p w14:paraId="5FF28A42">
      <w:pPr>
        <w:spacing w:before="139" w:line="228" w:lineRule="auto"/>
        <w:ind w:left="1960"/>
        <w:rPr>
          <w:rFonts w:ascii="楷体" w:hAnsi="楷体" w:eastAsia="楷体" w:cs="楷体"/>
          <w:sz w:val="43"/>
          <w:szCs w:val="43"/>
        </w:rPr>
      </w:pPr>
      <w:r>
        <w:rPr>
          <w:rFonts w:ascii="楷体" w:hAnsi="楷体" w:eastAsia="楷体" w:cs="楷体"/>
          <w:spacing w:val="2"/>
          <w:sz w:val="43"/>
          <w:szCs w:val="43"/>
        </w:rPr>
        <w:t>（2026</w:t>
      </w:r>
      <w:r>
        <w:rPr>
          <w:rFonts w:ascii="楷体" w:hAnsi="楷体" w:eastAsia="楷体" w:cs="楷体"/>
          <w:spacing w:val="-86"/>
          <w:sz w:val="43"/>
          <w:szCs w:val="43"/>
        </w:rPr>
        <w:t xml:space="preserve"> </w:t>
      </w:r>
      <w:r>
        <w:rPr>
          <w:rFonts w:ascii="楷体" w:hAnsi="楷体" w:eastAsia="楷体" w:cs="楷体"/>
          <w:spacing w:val="2"/>
          <w:sz w:val="43"/>
          <w:szCs w:val="43"/>
        </w:rPr>
        <w:t>年电子化第七版）</w:t>
      </w:r>
    </w:p>
    <w:p w14:paraId="2E7A4A8C">
      <w:pPr>
        <w:spacing w:line="328" w:lineRule="auto"/>
        <w:rPr>
          <w:rFonts w:ascii="Arial"/>
          <w:sz w:val="21"/>
        </w:rPr>
      </w:pPr>
    </w:p>
    <w:p w14:paraId="07D5C44B">
      <w:pPr>
        <w:spacing w:before="114" w:line="228" w:lineRule="auto"/>
        <w:ind w:left="827"/>
        <w:rPr>
          <w:rFonts w:ascii="楷体" w:hAnsi="楷体" w:eastAsia="楷体" w:cs="楷体"/>
          <w:sz w:val="35"/>
          <w:szCs w:val="35"/>
        </w:rPr>
      </w:pPr>
      <w:r>
        <w:rPr>
          <w:rFonts w:ascii="楷体" w:hAnsi="楷体" w:eastAsia="楷体" w:cs="楷体"/>
          <w:spacing w:val="6"/>
          <w:sz w:val="35"/>
          <w:szCs w:val="35"/>
        </w:rPr>
        <w:t>（适用于2013</w:t>
      </w:r>
      <w:r>
        <w:rPr>
          <w:rFonts w:ascii="楷体" w:hAnsi="楷体" w:eastAsia="楷体" w:cs="楷体"/>
          <w:spacing w:val="-46"/>
          <w:sz w:val="35"/>
          <w:szCs w:val="35"/>
        </w:rPr>
        <w:t xml:space="preserve"> </w:t>
      </w:r>
      <w:r>
        <w:rPr>
          <w:rFonts w:ascii="楷体" w:hAnsi="楷体" w:eastAsia="楷体" w:cs="楷体"/>
          <w:spacing w:val="6"/>
          <w:sz w:val="35"/>
          <w:szCs w:val="35"/>
        </w:rPr>
        <w:t>清单规范</w:t>
      </w:r>
      <w:r>
        <w:rPr>
          <w:rFonts w:ascii="楷体" w:hAnsi="楷体" w:eastAsia="楷体" w:cs="楷体"/>
          <w:spacing w:val="66"/>
          <w:sz w:val="35"/>
          <w:szCs w:val="35"/>
        </w:rPr>
        <w:t xml:space="preserve"> </w:t>
      </w:r>
      <w:r>
        <w:rPr>
          <w:rFonts w:ascii="楷体" w:hAnsi="楷体" w:eastAsia="楷体" w:cs="楷体"/>
          <w:spacing w:val="6"/>
          <w:sz w:val="35"/>
          <w:szCs w:val="35"/>
        </w:rPr>
        <w:t>已进行资格预审的）</w:t>
      </w:r>
    </w:p>
    <w:p w14:paraId="5510DDF3">
      <w:pPr>
        <w:spacing w:line="253" w:lineRule="auto"/>
        <w:rPr>
          <w:rFonts w:ascii="Arial"/>
          <w:sz w:val="21"/>
        </w:rPr>
      </w:pPr>
    </w:p>
    <w:p w14:paraId="347E4876">
      <w:pPr>
        <w:spacing w:line="253" w:lineRule="auto"/>
        <w:rPr>
          <w:rFonts w:ascii="Arial"/>
          <w:sz w:val="21"/>
        </w:rPr>
      </w:pPr>
    </w:p>
    <w:p w14:paraId="2E2D23CC">
      <w:pPr>
        <w:spacing w:line="253" w:lineRule="auto"/>
        <w:rPr>
          <w:rFonts w:ascii="Arial"/>
          <w:sz w:val="21"/>
        </w:rPr>
      </w:pPr>
    </w:p>
    <w:p w14:paraId="20A48246">
      <w:pPr>
        <w:spacing w:line="254" w:lineRule="auto"/>
        <w:rPr>
          <w:rFonts w:ascii="Arial"/>
          <w:sz w:val="21"/>
        </w:rPr>
      </w:pPr>
    </w:p>
    <w:p w14:paraId="1C07F95E">
      <w:pPr>
        <w:spacing w:line="254" w:lineRule="auto"/>
        <w:rPr>
          <w:rFonts w:ascii="Arial"/>
          <w:sz w:val="21"/>
        </w:rPr>
      </w:pPr>
    </w:p>
    <w:p w14:paraId="6E41FA64">
      <w:pPr>
        <w:spacing w:line="254" w:lineRule="auto"/>
        <w:rPr>
          <w:rFonts w:ascii="Arial"/>
          <w:sz w:val="21"/>
        </w:rPr>
      </w:pPr>
    </w:p>
    <w:p w14:paraId="2F0221CF">
      <w:pPr>
        <w:spacing w:line="254" w:lineRule="auto"/>
        <w:rPr>
          <w:rFonts w:ascii="Arial"/>
          <w:sz w:val="21"/>
        </w:rPr>
      </w:pPr>
    </w:p>
    <w:p w14:paraId="326DDD99">
      <w:pPr>
        <w:spacing w:line="254" w:lineRule="auto"/>
        <w:rPr>
          <w:rFonts w:ascii="Arial"/>
          <w:sz w:val="21"/>
        </w:rPr>
      </w:pPr>
    </w:p>
    <w:p w14:paraId="2773EE3C">
      <w:pPr>
        <w:spacing w:line="254" w:lineRule="auto"/>
        <w:rPr>
          <w:rFonts w:ascii="Arial"/>
          <w:sz w:val="21"/>
        </w:rPr>
      </w:pPr>
    </w:p>
    <w:p w14:paraId="0594A8B5">
      <w:pPr>
        <w:spacing w:line="254" w:lineRule="auto"/>
        <w:rPr>
          <w:rFonts w:ascii="Arial"/>
          <w:sz w:val="21"/>
        </w:rPr>
      </w:pPr>
    </w:p>
    <w:p w14:paraId="44FF70A7">
      <w:pPr>
        <w:spacing w:line="254" w:lineRule="auto"/>
        <w:rPr>
          <w:rFonts w:ascii="Arial"/>
          <w:sz w:val="21"/>
        </w:rPr>
      </w:pPr>
    </w:p>
    <w:p w14:paraId="2A1E0030">
      <w:pPr>
        <w:spacing w:line="254" w:lineRule="auto"/>
        <w:rPr>
          <w:rFonts w:ascii="Arial"/>
          <w:sz w:val="21"/>
        </w:rPr>
      </w:pPr>
    </w:p>
    <w:p w14:paraId="6F9C73FB">
      <w:pPr>
        <w:spacing w:line="254" w:lineRule="auto"/>
        <w:rPr>
          <w:rFonts w:ascii="Arial"/>
          <w:sz w:val="21"/>
        </w:rPr>
      </w:pPr>
    </w:p>
    <w:p w14:paraId="425DBD8A">
      <w:pPr>
        <w:spacing w:line="254" w:lineRule="auto"/>
        <w:rPr>
          <w:rFonts w:ascii="Arial"/>
          <w:sz w:val="21"/>
        </w:rPr>
      </w:pPr>
    </w:p>
    <w:p w14:paraId="26BB2DBA">
      <w:pPr>
        <w:spacing w:line="254" w:lineRule="auto"/>
        <w:rPr>
          <w:rFonts w:ascii="Arial"/>
          <w:sz w:val="21"/>
        </w:rPr>
      </w:pPr>
    </w:p>
    <w:p w14:paraId="4EFF4945">
      <w:pPr>
        <w:pStyle w:val="2"/>
        <w:spacing w:before="140" w:line="292" w:lineRule="auto"/>
        <w:ind w:left="853" w:right="841"/>
      </w:pPr>
      <w:r>
        <w:rPr>
          <w:b/>
          <w:bCs/>
          <w:spacing w:val="-14"/>
        </w:rPr>
        <w:t>湖</w:t>
      </w:r>
      <w:r>
        <w:rPr>
          <w:spacing w:val="-14"/>
        </w:rPr>
        <w:t xml:space="preserve"> </w:t>
      </w:r>
      <w:r>
        <w:rPr>
          <w:b/>
          <w:bCs/>
          <w:spacing w:val="-14"/>
        </w:rPr>
        <w:t>北</w:t>
      </w:r>
      <w:r>
        <w:rPr>
          <w:spacing w:val="-14"/>
        </w:rPr>
        <w:t xml:space="preserve"> </w:t>
      </w:r>
      <w:r>
        <w:rPr>
          <w:b/>
          <w:bCs/>
          <w:spacing w:val="-14"/>
        </w:rPr>
        <w:t>省</w:t>
      </w:r>
      <w:r>
        <w:rPr>
          <w:spacing w:val="-14"/>
        </w:rPr>
        <w:t xml:space="preserve"> </w:t>
      </w:r>
      <w:r>
        <w:rPr>
          <w:b/>
          <w:bCs/>
          <w:spacing w:val="-14"/>
        </w:rPr>
        <w:t>发</w:t>
      </w:r>
      <w:r>
        <w:rPr>
          <w:spacing w:val="-14"/>
        </w:rPr>
        <w:t xml:space="preserve"> </w:t>
      </w:r>
      <w:r>
        <w:rPr>
          <w:b/>
          <w:bCs/>
          <w:spacing w:val="-14"/>
        </w:rPr>
        <w:t>展</w:t>
      </w:r>
      <w:r>
        <w:rPr>
          <w:spacing w:val="-14"/>
        </w:rPr>
        <w:t xml:space="preserve"> </w:t>
      </w:r>
      <w:r>
        <w:rPr>
          <w:b/>
          <w:bCs/>
          <w:spacing w:val="-14"/>
        </w:rPr>
        <w:t>和</w:t>
      </w:r>
      <w:r>
        <w:rPr>
          <w:spacing w:val="-14"/>
        </w:rPr>
        <w:t xml:space="preserve"> </w:t>
      </w:r>
      <w:r>
        <w:rPr>
          <w:b/>
          <w:bCs/>
          <w:spacing w:val="-14"/>
        </w:rPr>
        <w:t>改</w:t>
      </w:r>
      <w:r>
        <w:rPr>
          <w:spacing w:val="-14"/>
        </w:rPr>
        <w:t xml:space="preserve"> </w:t>
      </w:r>
      <w:r>
        <w:rPr>
          <w:b/>
          <w:bCs/>
          <w:spacing w:val="-14"/>
        </w:rPr>
        <w:t>革</w:t>
      </w:r>
      <w:r>
        <w:rPr>
          <w:spacing w:val="-14"/>
        </w:rPr>
        <w:t xml:space="preserve"> </w:t>
      </w:r>
      <w:r>
        <w:rPr>
          <w:b/>
          <w:bCs/>
          <w:spacing w:val="-14"/>
        </w:rPr>
        <w:t>委</w:t>
      </w:r>
      <w:r>
        <w:rPr>
          <w:spacing w:val="-14"/>
        </w:rPr>
        <w:t xml:space="preserve"> </w:t>
      </w:r>
      <w:r>
        <w:rPr>
          <w:b/>
          <w:bCs/>
          <w:spacing w:val="-14"/>
        </w:rPr>
        <w:t>员</w:t>
      </w:r>
      <w:r>
        <w:rPr>
          <w:spacing w:val="-14"/>
        </w:rPr>
        <w:t xml:space="preserve"> </w:t>
      </w:r>
      <w:r>
        <w:rPr>
          <w:b/>
          <w:bCs/>
          <w:spacing w:val="-14"/>
        </w:rPr>
        <w:t>会湖</w:t>
      </w:r>
      <w:r>
        <w:rPr>
          <w:spacing w:val="-14"/>
        </w:rPr>
        <w:t xml:space="preserve"> </w:t>
      </w:r>
      <w:r>
        <w:rPr>
          <w:b/>
          <w:bCs/>
          <w:spacing w:val="-14"/>
        </w:rPr>
        <w:t>北</w:t>
      </w:r>
      <w:r>
        <w:rPr>
          <w:spacing w:val="-14"/>
        </w:rPr>
        <w:t xml:space="preserve"> </w:t>
      </w:r>
      <w:r>
        <w:rPr>
          <w:b/>
          <w:bCs/>
          <w:spacing w:val="-14"/>
        </w:rPr>
        <w:t>省</w:t>
      </w:r>
      <w:r>
        <w:rPr>
          <w:spacing w:val="-14"/>
        </w:rPr>
        <w:t xml:space="preserve"> </w:t>
      </w:r>
      <w:r>
        <w:rPr>
          <w:b/>
          <w:bCs/>
          <w:spacing w:val="-14"/>
        </w:rPr>
        <w:t>住</w:t>
      </w:r>
      <w:r>
        <w:rPr>
          <w:spacing w:val="-14"/>
        </w:rPr>
        <w:t xml:space="preserve"> </w:t>
      </w:r>
      <w:r>
        <w:rPr>
          <w:b/>
          <w:bCs/>
          <w:spacing w:val="-14"/>
        </w:rPr>
        <w:t>房</w:t>
      </w:r>
      <w:r>
        <w:rPr>
          <w:spacing w:val="-14"/>
        </w:rPr>
        <w:t xml:space="preserve"> </w:t>
      </w:r>
      <w:r>
        <w:rPr>
          <w:b/>
          <w:bCs/>
          <w:spacing w:val="-14"/>
        </w:rPr>
        <w:t>和</w:t>
      </w:r>
      <w:r>
        <w:rPr>
          <w:spacing w:val="-14"/>
        </w:rPr>
        <w:t xml:space="preserve"> </w:t>
      </w:r>
      <w:r>
        <w:rPr>
          <w:b/>
          <w:bCs/>
          <w:spacing w:val="-14"/>
        </w:rPr>
        <w:t>城</w:t>
      </w:r>
      <w:r>
        <w:rPr>
          <w:spacing w:val="-14"/>
        </w:rPr>
        <w:t xml:space="preserve"> </w:t>
      </w:r>
      <w:r>
        <w:rPr>
          <w:b/>
          <w:bCs/>
          <w:spacing w:val="-14"/>
        </w:rPr>
        <w:t>乡</w:t>
      </w:r>
      <w:r>
        <w:rPr>
          <w:spacing w:val="-15"/>
        </w:rPr>
        <w:t xml:space="preserve"> </w:t>
      </w:r>
      <w:r>
        <w:rPr>
          <w:b/>
          <w:bCs/>
          <w:spacing w:val="-14"/>
        </w:rPr>
        <w:t>建</w:t>
      </w:r>
      <w:r>
        <w:rPr>
          <w:spacing w:val="-13"/>
        </w:rPr>
        <w:t xml:space="preserve"> </w:t>
      </w:r>
      <w:r>
        <w:rPr>
          <w:b/>
          <w:bCs/>
          <w:spacing w:val="-14"/>
        </w:rPr>
        <w:t>设</w:t>
      </w:r>
      <w:r>
        <w:rPr>
          <w:spacing w:val="-12"/>
        </w:rPr>
        <w:t xml:space="preserve"> </w:t>
      </w:r>
      <w:r>
        <w:rPr>
          <w:b/>
          <w:bCs/>
          <w:spacing w:val="-14"/>
        </w:rPr>
        <w:t>厅</w:t>
      </w:r>
    </w:p>
    <w:p w14:paraId="455E3A6E">
      <w:pPr>
        <w:pStyle w:val="2"/>
        <w:spacing w:before="2" w:line="292" w:lineRule="auto"/>
        <w:ind w:left="848" w:right="800" w:firstLine="4"/>
      </w:pPr>
      <w:r>
        <w:rPr>
          <w:b/>
          <w:bCs/>
          <w:spacing w:val="-14"/>
        </w:rPr>
        <w:t>湖</w:t>
      </w:r>
      <w:r>
        <w:rPr>
          <w:spacing w:val="59"/>
        </w:rPr>
        <w:t xml:space="preserve">   </w:t>
      </w:r>
      <w:r>
        <w:rPr>
          <w:b/>
          <w:bCs/>
          <w:spacing w:val="-14"/>
        </w:rPr>
        <w:t>北</w:t>
      </w:r>
      <w:r>
        <w:rPr>
          <w:spacing w:val="60"/>
        </w:rPr>
        <w:t xml:space="preserve">   </w:t>
      </w:r>
      <w:r>
        <w:rPr>
          <w:b/>
          <w:bCs/>
          <w:spacing w:val="-14"/>
        </w:rPr>
        <w:t>省</w:t>
      </w:r>
      <w:r>
        <w:rPr>
          <w:spacing w:val="60"/>
        </w:rPr>
        <w:t xml:space="preserve">   </w:t>
      </w:r>
      <w:r>
        <w:rPr>
          <w:b/>
          <w:bCs/>
          <w:spacing w:val="-14"/>
        </w:rPr>
        <w:t>财</w:t>
      </w:r>
      <w:r>
        <w:rPr>
          <w:spacing w:val="58"/>
        </w:rPr>
        <w:t xml:space="preserve">   </w:t>
      </w:r>
      <w:r>
        <w:rPr>
          <w:b/>
          <w:bCs/>
          <w:spacing w:val="-14"/>
        </w:rPr>
        <w:t>政</w:t>
      </w:r>
      <w:r>
        <w:rPr>
          <w:spacing w:val="59"/>
        </w:rPr>
        <w:t xml:space="preserve">   </w:t>
      </w:r>
      <w:r>
        <w:rPr>
          <w:b/>
          <w:bCs/>
          <w:spacing w:val="-14"/>
        </w:rPr>
        <w:t>厅</w:t>
      </w:r>
      <w:r>
        <w:rPr>
          <w:b/>
          <w:bCs/>
          <w:spacing w:val="-34"/>
          <w:w w:val="77"/>
        </w:rPr>
        <w:t>湖北省公共资源交易中心（湖北省政府采购中心）</w:t>
      </w:r>
    </w:p>
    <w:p w14:paraId="732DD73A">
      <w:pPr>
        <w:spacing w:before="237" w:line="223" w:lineRule="auto"/>
        <w:ind w:left="2755"/>
        <w:rPr>
          <w:rFonts w:ascii="宋体" w:hAnsi="宋体" w:eastAsia="宋体" w:cs="宋体"/>
          <w:sz w:val="43"/>
          <w:szCs w:val="43"/>
        </w:rPr>
      </w:pPr>
      <w:r>
        <w:rPr>
          <w:rFonts w:ascii="宋体" w:hAnsi="宋体" w:eastAsia="宋体" w:cs="宋体"/>
          <w:b/>
          <w:bCs/>
          <w:sz w:val="43"/>
          <w:szCs w:val="43"/>
        </w:rPr>
        <w:t>二〇二六年</w:t>
      </w:r>
      <w:r>
        <w:rPr>
          <w:rFonts w:ascii="宋体" w:hAnsi="宋体" w:eastAsia="宋体" w:cs="宋体"/>
          <w:spacing w:val="39"/>
          <w:sz w:val="43"/>
          <w:szCs w:val="43"/>
        </w:rPr>
        <w:t xml:space="preserve"> </w:t>
      </w:r>
      <w:r>
        <w:rPr>
          <w:rFonts w:ascii="宋体" w:hAnsi="宋体" w:eastAsia="宋体" w:cs="宋体"/>
          <w:b/>
          <w:bCs/>
          <w:sz w:val="43"/>
          <w:szCs w:val="43"/>
        </w:rPr>
        <w:t>月</w:t>
      </w:r>
    </w:p>
    <w:p w14:paraId="57BCE74D">
      <w:pPr>
        <w:spacing w:line="223" w:lineRule="auto"/>
        <w:rPr>
          <w:rFonts w:ascii="宋体" w:hAnsi="宋体" w:eastAsia="宋体" w:cs="宋体"/>
          <w:sz w:val="43"/>
          <w:szCs w:val="43"/>
        </w:rPr>
        <w:sectPr>
          <w:pgSz w:w="11906" w:h="16839"/>
          <w:pgMar w:top="1431" w:right="1785" w:bottom="0" w:left="1785" w:header="0" w:footer="0" w:gutter="0"/>
          <w:cols w:space="720" w:num="1"/>
        </w:sectPr>
      </w:pPr>
    </w:p>
    <w:p w14:paraId="5DE67795">
      <w:pPr>
        <w:pStyle w:val="2"/>
        <w:spacing w:before="163" w:line="226" w:lineRule="auto"/>
        <w:ind w:left="3538"/>
        <w:rPr>
          <w:sz w:val="31"/>
          <w:szCs w:val="31"/>
        </w:rPr>
      </w:pPr>
      <w:r>
        <w:rPr>
          <w:spacing w:val="6"/>
          <w:sz w:val="31"/>
          <w:szCs w:val="31"/>
        </w:rPr>
        <w:t>使用说明</w:t>
      </w:r>
    </w:p>
    <w:p w14:paraId="659C8852">
      <w:pPr>
        <w:spacing w:line="362" w:lineRule="auto"/>
        <w:rPr>
          <w:rFonts w:ascii="Arial"/>
          <w:sz w:val="21"/>
        </w:rPr>
      </w:pPr>
    </w:p>
    <w:p w14:paraId="487090C1">
      <w:pPr>
        <w:spacing w:before="91" w:line="369" w:lineRule="auto"/>
        <w:ind w:left="32" w:firstLine="563"/>
        <w:rPr>
          <w:rFonts w:ascii="仿宋" w:hAnsi="仿宋" w:eastAsia="仿宋" w:cs="仿宋"/>
          <w:sz w:val="28"/>
          <w:szCs w:val="28"/>
        </w:rPr>
      </w:pPr>
      <w:r>
        <w:rPr>
          <w:rFonts w:ascii="仿宋" w:hAnsi="仿宋" w:eastAsia="仿宋" w:cs="仿宋"/>
          <w:spacing w:val="-14"/>
          <w:sz w:val="28"/>
          <w:szCs w:val="28"/>
        </w:rPr>
        <w:t>一、《湖北省房屋建筑和市政工程施工招标文件示范文本》（以下</w:t>
      </w:r>
      <w:r>
        <w:rPr>
          <w:rFonts w:ascii="仿宋" w:hAnsi="仿宋" w:eastAsia="仿宋" w:cs="仿宋"/>
          <w:spacing w:val="-6"/>
          <w:sz w:val="28"/>
          <w:szCs w:val="28"/>
        </w:rPr>
        <w:t>简称《示范文本》）</w:t>
      </w:r>
      <w:r>
        <w:rPr>
          <w:rFonts w:ascii="仿宋" w:hAnsi="仿宋" w:eastAsia="仿宋" w:cs="仿宋"/>
          <w:spacing w:val="-73"/>
          <w:sz w:val="28"/>
          <w:szCs w:val="28"/>
        </w:rPr>
        <w:t xml:space="preserve"> </w:t>
      </w:r>
      <w:r>
        <w:rPr>
          <w:rFonts w:ascii="仿宋" w:hAnsi="仿宋" w:eastAsia="仿宋" w:cs="仿宋"/>
          <w:spacing w:val="-6"/>
          <w:sz w:val="28"/>
          <w:szCs w:val="28"/>
        </w:rPr>
        <w:t>由湖北省发展和改革委员会、湖北省住房和城乡</w:t>
      </w:r>
      <w:r>
        <w:rPr>
          <w:rFonts w:ascii="仿宋" w:hAnsi="仿宋" w:eastAsia="仿宋" w:cs="仿宋"/>
          <w:spacing w:val="-4"/>
          <w:sz w:val="28"/>
          <w:szCs w:val="28"/>
        </w:rPr>
        <w:t>建设厅、湖北省财政厅、湖北省公共资源交易中心（湖北省政府采购</w:t>
      </w:r>
      <w:r>
        <w:rPr>
          <w:rFonts w:ascii="仿宋" w:hAnsi="仿宋" w:eastAsia="仿宋" w:cs="仿宋"/>
          <w:spacing w:val="-13"/>
          <w:sz w:val="28"/>
          <w:szCs w:val="28"/>
        </w:rPr>
        <w:t>中心）等单位，依据《中华人民共和国招标投标法》、《中华人民共和</w:t>
      </w:r>
      <w:r>
        <w:rPr>
          <w:rFonts w:ascii="仿宋" w:hAnsi="仿宋" w:eastAsia="仿宋" w:cs="仿宋"/>
          <w:spacing w:val="-25"/>
          <w:sz w:val="28"/>
          <w:szCs w:val="28"/>
        </w:rPr>
        <w:t>国招标投标法实施条例》、《电子招标投标办法》、《标准施工招标文件》</w:t>
      </w:r>
      <w:r>
        <w:rPr>
          <w:rFonts w:ascii="仿宋" w:hAnsi="仿宋" w:eastAsia="仿宋" w:cs="仿宋"/>
          <w:spacing w:val="-4"/>
          <w:sz w:val="28"/>
          <w:szCs w:val="28"/>
        </w:rPr>
        <w:t>和《房屋建筑和市政工程标准施工招标文件》组织编制，适用于依法必须招标的房屋建筑和市政工程的施工招标。《示范文本》对于政府</w:t>
      </w:r>
      <w:r>
        <w:rPr>
          <w:rFonts w:ascii="仿宋" w:hAnsi="仿宋" w:eastAsia="仿宋" w:cs="仿宋"/>
          <w:spacing w:val="-1"/>
          <w:sz w:val="28"/>
          <w:szCs w:val="28"/>
        </w:rPr>
        <w:t>采购促进中小企业发展的相关政策也留出了表达空间。</w:t>
      </w:r>
    </w:p>
    <w:p w14:paraId="314B31AA">
      <w:pPr>
        <w:spacing w:before="5" w:line="368" w:lineRule="auto"/>
        <w:ind w:left="31" w:right="47" w:firstLine="569"/>
        <w:rPr>
          <w:rFonts w:ascii="仿宋" w:hAnsi="仿宋" w:eastAsia="仿宋" w:cs="仿宋"/>
          <w:sz w:val="28"/>
          <w:szCs w:val="28"/>
        </w:rPr>
      </w:pPr>
      <w:r>
        <w:rPr>
          <w:rFonts w:ascii="仿宋" w:hAnsi="仿宋" w:eastAsia="仿宋" w:cs="仿宋"/>
          <w:spacing w:val="-6"/>
          <w:sz w:val="28"/>
          <w:szCs w:val="28"/>
        </w:rPr>
        <w:t>二、《示范文本》用相同序号标示的章、节、条、款、项、</w:t>
      </w:r>
      <w:r>
        <w:rPr>
          <w:rFonts w:ascii="仿宋" w:hAnsi="仿宋" w:eastAsia="仿宋" w:cs="仿宋"/>
          <w:spacing w:val="-56"/>
          <w:sz w:val="28"/>
          <w:szCs w:val="28"/>
        </w:rPr>
        <w:t xml:space="preserve"> </w:t>
      </w:r>
      <w:r>
        <w:rPr>
          <w:rFonts w:ascii="仿宋" w:hAnsi="仿宋" w:eastAsia="仿宋" w:cs="仿宋"/>
          <w:spacing w:val="-6"/>
          <w:sz w:val="28"/>
          <w:szCs w:val="28"/>
        </w:rPr>
        <w:t>目，</w:t>
      </w:r>
      <w:r>
        <w:rPr>
          <w:rFonts w:ascii="仿宋" w:hAnsi="仿宋" w:eastAsia="仿宋" w:cs="仿宋"/>
          <w:spacing w:val="-10"/>
          <w:sz w:val="28"/>
          <w:szCs w:val="28"/>
        </w:rPr>
        <w:t>供招标人选择使用；《示范文本》以空格标示的由招标人填写的内</w:t>
      </w:r>
      <w:r>
        <w:rPr>
          <w:rFonts w:ascii="仿宋" w:hAnsi="仿宋" w:eastAsia="仿宋" w:cs="仿宋"/>
          <w:spacing w:val="-11"/>
          <w:sz w:val="28"/>
          <w:szCs w:val="28"/>
        </w:rPr>
        <w:t>容，</w:t>
      </w:r>
      <w:r>
        <w:rPr>
          <w:rFonts w:ascii="仿宋" w:hAnsi="仿宋" w:eastAsia="仿宋" w:cs="仿宋"/>
          <w:spacing w:val="-4"/>
          <w:sz w:val="28"/>
          <w:szCs w:val="28"/>
        </w:rPr>
        <w:t>招标人应根据招标项目具体特点和实际需要具体化，确实没有需要填写的，在空格中用“／</w:t>
      </w:r>
      <w:r>
        <w:rPr>
          <w:rFonts w:ascii="仿宋" w:hAnsi="仿宋" w:eastAsia="仿宋" w:cs="仿宋"/>
          <w:spacing w:val="-102"/>
          <w:sz w:val="28"/>
          <w:szCs w:val="28"/>
        </w:rPr>
        <w:t xml:space="preserve"> </w:t>
      </w:r>
      <w:r>
        <w:rPr>
          <w:rFonts w:ascii="仿宋" w:hAnsi="仿宋" w:eastAsia="仿宋" w:cs="仿宋"/>
          <w:spacing w:val="-4"/>
          <w:sz w:val="28"/>
          <w:szCs w:val="28"/>
        </w:rPr>
        <w:t>”标示。</w:t>
      </w:r>
    </w:p>
    <w:p w14:paraId="14F0EE82">
      <w:pPr>
        <w:spacing w:before="1" w:line="369" w:lineRule="auto"/>
        <w:ind w:left="33" w:right="92" w:firstLine="565"/>
        <w:rPr>
          <w:rFonts w:ascii="仿宋" w:hAnsi="仿宋" w:eastAsia="仿宋" w:cs="仿宋"/>
          <w:sz w:val="28"/>
          <w:szCs w:val="28"/>
        </w:rPr>
      </w:pPr>
      <w:r>
        <w:rPr>
          <w:rFonts w:ascii="仿宋" w:hAnsi="仿宋" w:eastAsia="仿宋" w:cs="仿宋"/>
          <w:spacing w:val="-3"/>
          <w:sz w:val="28"/>
          <w:szCs w:val="28"/>
        </w:rPr>
        <w:t>三、招标人按照《示范文本》第一章的格式发出投标邀请书</w:t>
      </w:r>
      <w:r>
        <w:rPr>
          <w:rFonts w:ascii="仿宋" w:hAnsi="仿宋" w:eastAsia="仿宋" w:cs="仿宋"/>
          <w:spacing w:val="-4"/>
          <w:sz w:val="28"/>
          <w:szCs w:val="28"/>
        </w:rPr>
        <w:t>后，</w:t>
      </w:r>
      <w:r>
        <w:rPr>
          <w:rFonts w:ascii="仿宋" w:hAnsi="仿宋" w:eastAsia="仿宋" w:cs="仿宋"/>
          <w:spacing w:val="-1"/>
          <w:sz w:val="28"/>
          <w:szCs w:val="28"/>
        </w:rPr>
        <w:t>将实际发出的投标邀请书编入出售的招标文件中，作为投标邀请。</w:t>
      </w:r>
    </w:p>
    <w:p w14:paraId="59D2004A">
      <w:pPr>
        <w:spacing w:before="3" w:line="369" w:lineRule="auto"/>
        <w:ind w:left="29" w:right="127" w:firstLine="595"/>
        <w:rPr>
          <w:rFonts w:ascii="仿宋" w:hAnsi="仿宋" w:eastAsia="仿宋" w:cs="仿宋"/>
          <w:sz w:val="28"/>
          <w:szCs w:val="28"/>
        </w:rPr>
      </w:pPr>
      <w:r>
        <w:rPr>
          <w:rFonts w:ascii="仿宋" w:hAnsi="仿宋" w:eastAsia="仿宋" w:cs="仿宋"/>
          <w:spacing w:val="-7"/>
          <w:sz w:val="28"/>
          <w:szCs w:val="28"/>
        </w:rPr>
        <w:t>四、《示范文本》第二章“投标人须知</w:t>
      </w:r>
      <w:r>
        <w:rPr>
          <w:rFonts w:ascii="仿宋" w:hAnsi="仿宋" w:eastAsia="仿宋" w:cs="仿宋"/>
          <w:spacing w:val="-92"/>
          <w:sz w:val="28"/>
          <w:szCs w:val="28"/>
        </w:rPr>
        <w:t xml:space="preserve"> </w:t>
      </w:r>
      <w:r>
        <w:rPr>
          <w:rFonts w:ascii="仿宋" w:hAnsi="仿宋" w:eastAsia="仿宋" w:cs="仿宋"/>
          <w:spacing w:val="-7"/>
          <w:sz w:val="28"/>
          <w:szCs w:val="28"/>
        </w:rPr>
        <w:t>”正文和前附表，除以空</w:t>
      </w:r>
      <w:r>
        <w:rPr>
          <w:rFonts w:ascii="仿宋" w:hAnsi="仿宋" w:eastAsia="仿宋" w:cs="仿宋"/>
          <w:spacing w:val="-4"/>
          <w:sz w:val="28"/>
          <w:szCs w:val="28"/>
        </w:rPr>
        <w:t>格标示的由招标人填空的内容、选择性内容和可补充内容外，均应不加修改地直接引用。填空、选择和补充内容由招标人根据国家和地方有关法律、法规、规章、规范性文件的规定以及招标项目具体情况确</w:t>
      </w:r>
      <w:r>
        <w:rPr>
          <w:rFonts w:ascii="仿宋" w:hAnsi="仿宋" w:eastAsia="仿宋" w:cs="仿宋"/>
          <w:spacing w:val="-8"/>
          <w:sz w:val="28"/>
          <w:szCs w:val="28"/>
        </w:rPr>
        <w:t>定。</w:t>
      </w:r>
    </w:p>
    <w:p w14:paraId="1E384FB7">
      <w:pPr>
        <w:spacing w:before="4" w:line="369" w:lineRule="auto"/>
        <w:ind w:left="31" w:right="127" w:firstLine="564"/>
        <w:rPr>
          <w:rFonts w:ascii="仿宋" w:hAnsi="仿宋" w:eastAsia="仿宋" w:cs="仿宋"/>
          <w:sz w:val="28"/>
          <w:szCs w:val="28"/>
        </w:rPr>
      </w:pPr>
      <w:r>
        <w:rPr>
          <w:rFonts w:ascii="仿宋" w:hAnsi="仿宋" w:eastAsia="仿宋" w:cs="仿宋"/>
          <w:spacing w:val="-6"/>
          <w:sz w:val="28"/>
          <w:szCs w:val="28"/>
        </w:rPr>
        <w:t>五、《示范文本》第三章“评标办法</w:t>
      </w:r>
      <w:r>
        <w:rPr>
          <w:rFonts w:ascii="仿宋" w:hAnsi="仿宋" w:eastAsia="仿宋" w:cs="仿宋"/>
          <w:spacing w:val="-89"/>
          <w:sz w:val="28"/>
          <w:szCs w:val="28"/>
        </w:rPr>
        <w:t xml:space="preserve"> </w:t>
      </w:r>
      <w:r>
        <w:rPr>
          <w:rFonts w:ascii="仿宋" w:hAnsi="仿宋" w:eastAsia="仿宋" w:cs="仿宋"/>
          <w:spacing w:val="-6"/>
          <w:sz w:val="28"/>
          <w:szCs w:val="28"/>
        </w:rPr>
        <w:t>”规定了六种综合评估法和</w:t>
      </w:r>
      <w:r>
        <w:rPr>
          <w:rFonts w:ascii="仿宋" w:hAnsi="仿宋" w:eastAsia="仿宋" w:cs="仿宋"/>
          <w:spacing w:val="-4"/>
          <w:sz w:val="28"/>
          <w:szCs w:val="28"/>
        </w:rPr>
        <w:t>两种合理低价法，供招标人根据招标项目具体特点和实际需要选择使用。招标人在使用时应当在招标文件中明确启动投标报价是否低于投</w:t>
      </w:r>
      <w:r>
        <w:rPr>
          <w:rFonts w:ascii="仿宋" w:hAnsi="仿宋" w:eastAsia="仿宋" w:cs="仿宋"/>
          <w:spacing w:val="-2"/>
          <w:sz w:val="28"/>
          <w:szCs w:val="28"/>
        </w:rPr>
        <w:t>标人成本评审程序的警戒线。</w:t>
      </w:r>
    </w:p>
    <w:p w14:paraId="08DB0EA8">
      <w:pPr>
        <w:spacing w:line="369" w:lineRule="auto"/>
        <w:rPr>
          <w:rFonts w:ascii="仿宋" w:hAnsi="仿宋" w:eastAsia="仿宋" w:cs="仿宋"/>
          <w:sz w:val="28"/>
          <w:szCs w:val="28"/>
        </w:rPr>
        <w:sectPr>
          <w:footerReference r:id="rId5" w:type="default"/>
          <w:pgSz w:w="11906" w:h="16839"/>
          <w:pgMar w:top="1431" w:right="1671" w:bottom="1156" w:left="1785" w:header="0" w:footer="994" w:gutter="0"/>
          <w:cols w:space="720" w:num="1"/>
        </w:sectPr>
      </w:pPr>
    </w:p>
    <w:p w14:paraId="48203E5F">
      <w:pPr>
        <w:spacing w:before="218" w:line="369" w:lineRule="auto"/>
        <w:ind w:left="33" w:right="48" w:firstLine="570"/>
        <w:jc w:val="both"/>
        <w:rPr>
          <w:rFonts w:ascii="仿宋" w:hAnsi="仿宋" w:eastAsia="仿宋" w:cs="仿宋"/>
          <w:sz w:val="28"/>
          <w:szCs w:val="28"/>
        </w:rPr>
      </w:pPr>
      <w:r>
        <w:rPr>
          <w:rFonts w:ascii="仿宋" w:hAnsi="仿宋" w:eastAsia="仿宋" w:cs="仿宋"/>
          <w:spacing w:val="-6"/>
          <w:sz w:val="28"/>
          <w:szCs w:val="28"/>
        </w:rPr>
        <w:t>第三章“评标办法</w:t>
      </w:r>
      <w:r>
        <w:rPr>
          <w:rFonts w:ascii="仿宋" w:hAnsi="仿宋" w:eastAsia="仿宋" w:cs="仿宋"/>
          <w:spacing w:val="-97"/>
          <w:sz w:val="28"/>
          <w:szCs w:val="28"/>
        </w:rPr>
        <w:t xml:space="preserve"> </w:t>
      </w:r>
      <w:r>
        <w:rPr>
          <w:rFonts w:ascii="仿宋" w:hAnsi="仿宋" w:eastAsia="仿宋" w:cs="仿宋"/>
          <w:spacing w:val="-6"/>
          <w:sz w:val="28"/>
          <w:szCs w:val="28"/>
        </w:rPr>
        <w:t>”前附表应列明全部评审因素和评审标准，并</w:t>
      </w:r>
      <w:r>
        <w:rPr>
          <w:rFonts w:ascii="仿宋" w:hAnsi="仿宋" w:eastAsia="仿宋" w:cs="仿宋"/>
          <w:spacing w:val="-4"/>
          <w:sz w:val="28"/>
          <w:szCs w:val="28"/>
        </w:rPr>
        <w:t>在本章（前附表及正文）标明投标人不满足其要求即导致其投标被否</w:t>
      </w:r>
      <w:r>
        <w:rPr>
          <w:rFonts w:ascii="仿宋" w:hAnsi="仿宋" w:eastAsia="仿宋" w:cs="仿宋"/>
          <w:spacing w:val="-3"/>
          <w:sz w:val="28"/>
          <w:szCs w:val="28"/>
        </w:rPr>
        <w:t>决的全部条款。</w:t>
      </w:r>
    </w:p>
    <w:p w14:paraId="658A0882">
      <w:pPr>
        <w:spacing w:line="369" w:lineRule="auto"/>
        <w:ind w:left="34" w:firstLine="556"/>
        <w:jc w:val="both"/>
        <w:rPr>
          <w:rFonts w:ascii="仿宋" w:hAnsi="仿宋" w:eastAsia="仿宋" w:cs="仿宋"/>
          <w:sz w:val="28"/>
          <w:szCs w:val="28"/>
        </w:rPr>
      </w:pPr>
      <w:r>
        <w:rPr>
          <w:rFonts w:ascii="仿宋" w:hAnsi="仿宋" w:eastAsia="仿宋" w:cs="仿宋"/>
          <w:spacing w:val="-4"/>
          <w:sz w:val="28"/>
          <w:szCs w:val="28"/>
        </w:rPr>
        <w:t>八种评标办法均适用于施工总承包、建筑装饰装修和建筑幕墙工程招标，其中，大型工程宜采用办法一或办法三；中型工程宜采用办</w:t>
      </w:r>
      <w:r>
        <w:rPr>
          <w:rFonts w:ascii="仿宋" w:hAnsi="仿宋" w:eastAsia="仿宋" w:cs="仿宋"/>
          <w:spacing w:val="-2"/>
          <w:sz w:val="28"/>
          <w:szCs w:val="28"/>
        </w:rPr>
        <w:t>法二、办法四、办法五、办法六；小型工程宜采用</w:t>
      </w:r>
      <w:r>
        <w:rPr>
          <w:rFonts w:ascii="仿宋" w:hAnsi="仿宋" w:eastAsia="仿宋" w:cs="仿宋"/>
          <w:spacing w:val="-3"/>
          <w:sz w:val="28"/>
          <w:szCs w:val="28"/>
        </w:rPr>
        <w:t>办法五、办法六、办法七、办法八。</w:t>
      </w:r>
    </w:p>
    <w:p w14:paraId="6D2E5771">
      <w:pPr>
        <w:spacing w:line="369" w:lineRule="auto"/>
        <w:ind w:left="32" w:right="48" w:firstLine="572"/>
        <w:jc w:val="both"/>
        <w:rPr>
          <w:rFonts w:ascii="仿宋" w:hAnsi="仿宋" w:eastAsia="仿宋" w:cs="仿宋"/>
          <w:sz w:val="28"/>
          <w:szCs w:val="28"/>
        </w:rPr>
      </w:pPr>
      <w:r>
        <w:rPr>
          <w:rFonts w:ascii="仿宋" w:hAnsi="仿宋" w:eastAsia="仿宋" w:cs="仿宋"/>
          <w:spacing w:val="6"/>
          <w:sz w:val="28"/>
          <w:szCs w:val="28"/>
        </w:rPr>
        <w:t>除建筑装饰装修和建筑幕墙工程以外的其他</w:t>
      </w:r>
      <w:r>
        <w:rPr>
          <w:rFonts w:ascii="仿宋" w:hAnsi="仿宋" w:eastAsia="仿宋" w:cs="仿宋"/>
          <w:spacing w:val="5"/>
          <w:sz w:val="28"/>
          <w:szCs w:val="28"/>
        </w:rPr>
        <w:t>专业工程招标宜采</w:t>
      </w:r>
      <w:r>
        <w:rPr>
          <w:rFonts w:ascii="仿宋" w:hAnsi="仿宋" w:eastAsia="仿宋" w:cs="仿宋"/>
          <w:spacing w:val="-4"/>
          <w:sz w:val="28"/>
          <w:szCs w:val="28"/>
        </w:rPr>
        <w:t>用办法三、办法四、办法六、办法七、办法八。其中，大型工程宜采用办法三；中型工程宜采用办法四或办法六；小型工程宜采用办法七或办法八。</w:t>
      </w:r>
    </w:p>
    <w:p w14:paraId="180AF71D">
      <w:pPr>
        <w:spacing w:before="1" w:line="369" w:lineRule="auto"/>
        <w:ind w:left="34" w:right="48" w:firstLine="559"/>
        <w:rPr>
          <w:rFonts w:ascii="仿宋" w:hAnsi="仿宋" w:eastAsia="仿宋" w:cs="仿宋"/>
          <w:sz w:val="28"/>
          <w:szCs w:val="28"/>
        </w:rPr>
      </w:pPr>
      <w:r>
        <w:rPr>
          <w:rFonts w:ascii="仿宋" w:hAnsi="仿宋" w:eastAsia="仿宋" w:cs="仿宋"/>
          <w:spacing w:val="-4"/>
          <w:sz w:val="28"/>
          <w:szCs w:val="28"/>
        </w:rPr>
        <w:t>上述大、中、小型工程按照《注册建造师执业工程规模标</w:t>
      </w:r>
      <w:r>
        <w:rPr>
          <w:rFonts w:ascii="仿宋" w:hAnsi="仿宋" w:eastAsia="仿宋" w:cs="仿宋"/>
          <w:spacing w:val="-5"/>
          <w:sz w:val="28"/>
          <w:szCs w:val="28"/>
        </w:rPr>
        <w:t>准（试</w:t>
      </w:r>
      <w:r>
        <w:rPr>
          <w:rFonts w:ascii="仿宋" w:hAnsi="仿宋" w:eastAsia="仿宋" w:cs="仿宋"/>
          <w:spacing w:val="-51"/>
          <w:sz w:val="28"/>
          <w:szCs w:val="28"/>
        </w:rPr>
        <w:t>行）》（建市</w:t>
      </w:r>
      <w:r>
        <w:rPr>
          <w:rFonts w:ascii="Arial" w:hAnsi="Arial" w:eastAsia="Arial" w:cs="Arial"/>
          <w:spacing w:val="-2"/>
          <w:sz w:val="28"/>
          <w:szCs w:val="28"/>
        </w:rPr>
        <w:t>[</w:t>
      </w:r>
      <w:r>
        <w:fldChar w:fldCharType="begin"/>
      </w:r>
      <w:r>
        <w:instrText xml:space="preserve"> HYPERLINK \l "bookmark1" </w:instrText>
      </w:r>
      <w:r>
        <w:fldChar w:fldCharType="separate"/>
      </w:r>
      <w:r>
        <w:rPr>
          <w:rFonts w:ascii="Arial" w:hAnsi="Arial" w:eastAsia="Arial" w:cs="Arial"/>
          <w:spacing w:val="-2"/>
          <w:sz w:val="28"/>
          <w:szCs w:val="28"/>
        </w:rPr>
        <w:t>2007</w:t>
      </w:r>
      <w:r>
        <w:rPr>
          <w:rFonts w:ascii="Arial" w:hAnsi="Arial" w:eastAsia="Arial" w:cs="Arial"/>
          <w:spacing w:val="-2"/>
          <w:sz w:val="28"/>
          <w:szCs w:val="28"/>
        </w:rPr>
        <w:fldChar w:fldCharType="end"/>
      </w:r>
      <w:r>
        <w:rPr>
          <w:rFonts w:ascii="Arial" w:hAnsi="Arial" w:eastAsia="Arial" w:cs="Arial"/>
          <w:spacing w:val="-2"/>
          <w:sz w:val="28"/>
          <w:szCs w:val="28"/>
        </w:rPr>
        <w:t>]</w:t>
      </w:r>
      <w:r>
        <w:rPr>
          <w:rFonts w:ascii="Arial" w:hAnsi="Arial" w:eastAsia="Arial" w:cs="Arial"/>
          <w:spacing w:val="-26"/>
          <w:sz w:val="28"/>
          <w:szCs w:val="28"/>
        </w:rPr>
        <w:t xml:space="preserve"> </w:t>
      </w:r>
      <w:r>
        <w:rPr>
          <w:rFonts w:ascii="Arial" w:hAnsi="Arial" w:eastAsia="Arial" w:cs="Arial"/>
          <w:spacing w:val="-2"/>
          <w:sz w:val="28"/>
          <w:szCs w:val="28"/>
        </w:rPr>
        <w:t xml:space="preserve">171 </w:t>
      </w:r>
      <w:r>
        <w:rPr>
          <w:rFonts w:ascii="仿宋" w:hAnsi="仿宋" w:eastAsia="仿宋" w:cs="仿宋"/>
          <w:spacing w:val="-2"/>
          <w:sz w:val="28"/>
          <w:szCs w:val="28"/>
        </w:rPr>
        <w:t>号）中规定的标准划分。</w:t>
      </w:r>
    </w:p>
    <w:p w14:paraId="57F6AB84">
      <w:pPr>
        <w:spacing w:before="13" w:line="368" w:lineRule="auto"/>
        <w:ind w:left="31" w:right="48" w:firstLine="562"/>
        <w:rPr>
          <w:rFonts w:ascii="仿宋" w:hAnsi="仿宋" w:eastAsia="仿宋" w:cs="仿宋"/>
          <w:sz w:val="28"/>
          <w:szCs w:val="28"/>
        </w:rPr>
      </w:pPr>
      <w:r>
        <w:rPr>
          <w:rFonts w:ascii="仿宋" w:hAnsi="仿宋" w:eastAsia="仿宋" w:cs="仿宋"/>
          <w:spacing w:val="-6"/>
          <w:sz w:val="28"/>
          <w:szCs w:val="28"/>
        </w:rPr>
        <w:t>六、《示范文本》第四章“合同条款及格式</w:t>
      </w:r>
      <w:r>
        <w:rPr>
          <w:rFonts w:ascii="仿宋" w:hAnsi="仿宋" w:eastAsia="仿宋" w:cs="仿宋"/>
          <w:spacing w:val="-87"/>
          <w:sz w:val="28"/>
          <w:szCs w:val="28"/>
        </w:rPr>
        <w:t xml:space="preserve"> </w:t>
      </w:r>
      <w:r>
        <w:rPr>
          <w:rFonts w:ascii="仿宋" w:hAnsi="仿宋" w:eastAsia="仿宋" w:cs="仿宋"/>
          <w:spacing w:val="-6"/>
          <w:sz w:val="28"/>
          <w:szCs w:val="28"/>
        </w:rPr>
        <w:t>”采用了《房屋建筑和市政工程标准施工招标文件》</w:t>
      </w:r>
      <w:r>
        <w:rPr>
          <w:rFonts w:ascii="仿宋" w:hAnsi="仿宋" w:eastAsia="仿宋" w:cs="仿宋"/>
          <w:spacing w:val="-73"/>
          <w:sz w:val="28"/>
          <w:szCs w:val="28"/>
        </w:rPr>
        <w:t xml:space="preserve"> </w:t>
      </w:r>
      <w:r>
        <w:rPr>
          <w:rFonts w:ascii="仿宋" w:hAnsi="仿宋" w:eastAsia="仿宋" w:cs="仿宋"/>
          <w:spacing w:val="-6"/>
          <w:sz w:val="28"/>
          <w:szCs w:val="28"/>
        </w:rPr>
        <w:t>中的合同条款、《建设工程施工合同</w:t>
      </w:r>
      <w:r>
        <w:rPr>
          <w:rFonts w:ascii="仿宋" w:hAnsi="仿宋" w:eastAsia="仿宋" w:cs="仿宋"/>
          <w:spacing w:val="-14"/>
          <w:sz w:val="28"/>
          <w:szCs w:val="28"/>
        </w:rPr>
        <w:t>（示范文本）》（</w:t>
      </w:r>
      <w:r>
        <w:rPr>
          <w:rFonts w:ascii="Arial" w:hAnsi="Arial" w:eastAsia="Arial" w:cs="Arial"/>
          <w:spacing w:val="-14"/>
          <w:sz w:val="28"/>
          <w:szCs w:val="28"/>
        </w:rPr>
        <w:t>GF-2017-0201</w:t>
      </w:r>
      <w:r>
        <w:rPr>
          <w:rFonts w:ascii="仿宋" w:hAnsi="仿宋" w:eastAsia="仿宋" w:cs="仿宋"/>
          <w:spacing w:val="-14"/>
          <w:sz w:val="28"/>
          <w:szCs w:val="28"/>
        </w:rPr>
        <w:t>）</w:t>
      </w:r>
      <w:r>
        <w:rPr>
          <w:rFonts w:ascii="仿宋" w:hAnsi="仿宋" w:eastAsia="仿宋" w:cs="仿宋"/>
          <w:spacing w:val="-15"/>
          <w:sz w:val="28"/>
          <w:szCs w:val="28"/>
        </w:rPr>
        <w:t>和《湖北省建设工程施工合同（示范</w:t>
      </w:r>
      <w:r>
        <w:rPr>
          <w:rFonts w:ascii="仿宋" w:hAnsi="仿宋" w:eastAsia="仿宋" w:cs="仿宋"/>
          <w:spacing w:val="-7"/>
          <w:sz w:val="28"/>
          <w:szCs w:val="28"/>
        </w:rPr>
        <w:t>文本）》（2023</w:t>
      </w:r>
      <w:r>
        <w:rPr>
          <w:rFonts w:ascii="仿宋" w:hAnsi="仿宋" w:eastAsia="仿宋" w:cs="仿宋"/>
          <w:spacing w:val="-29"/>
          <w:sz w:val="28"/>
          <w:szCs w:val="28"/>
        </w:rPr>
        <w:t xml:space="preserve"> </w:t>
      </w:r>
      <w:r>
        <w:rPr>
          <w:rFonts w:ascii="仿宋" w:hAnsi="仿宋" w:eastAsia="仿宋" w:cs="仿宋"/>
          <w:spacing w:val="-7"/>
          <w:sz w:val="28"/>
          <w:szCs w:val="28"/>
        </w:rPr>
        <w:t>年修订版）三个不同的版本，供招标人选择使用。填</w:t>
      </w:r>
      <w:r>
        <w:rPr>
          <w:rFonts w:ascii="仿宋" w:hAnsi="仿宋" w:eastAsia="仿宋" w:cs="仿宋"/>
          <w:spacing w:val="6"/>
          <w:sz w:val="28"/>
          <w:szCs w:val="28"/>
        </w:rPr>
        <w:t>空内容由招标人根据国家和地方有关法律法规的规</w:t>
      </w:r>
      <w:r>
        <w:rPr>
          <w:rFonts w:ascii="仿宋" w:hAnsi="仿宋" w:eastAsia="仿宋" w:cs="仿宋"/>
          <w:spacing w:val="5"/>
          <w:sz w:val="28"/>
          <w:szCs w:val="28"/>
        </w:rPr>
        <w:t>定以及招标项目</w:t>
      </w:r>
      <w:r>
        <w:rPr>
          <w:rFonts w:ascii="仿宋" w:hAnsi="仿宋" w:eastAsia="仿宋" w:cs="仿宋"/>
          <w:spacing w:val="-4"/>
          <w:sz w:val="28"/>
          <w:szCs w:val="28"/>
        </w:rPr>
        <w:t>具体情况确定。招标人应根据《湖北省房屋建筑和市政基础设施工程</w:t>
      </w:r>
      <w:r>
        <w:rPr>
          <w:rFonts w:ascii="仿宋" w:hAnsi="仿宋" w:eastAsia="仿宋" w:cs="仿宋"/>
          <w:spacing w:val="-6"/>
          <w:sz w:val="28"/>
          <w:szCs w:val="28"/>
        </w:rPr>
        <w:t>施工过程及竣工结算办法》（鄂建文〔2023〕39</w:t>
      </w:r>
      <w:r>
        <w:rPr>
          <w:rFonts w:ascii="仿宋" w:hAnsi="仿宋" w:eastAsia="仿宋" w:cs="仿宋"/>
          <w:spacing w:val="-47"/>
          <w:sz w:val="28"/>
          <w:szCs w:val="28"/>
        </w:rPr>
        <w:t xml:space="preserve"> </w:t>
      </w:r>
      <w:r>
        <w:rPr>
          <w:rFonts w:ascii="仿宋" w:hAnsi="仿宋" w:eastAsia="仿宋" w:cs="仿宋"/>
          <w:spacing w:val="-6"/>
          <w:sz w:val="28"/>
          <w:szCs w:val="28"/>
        </w:rPr>
        <w:t>号</w:t>
      </w:r>
      <w:r>
        <w:rPr>
          <w:rFonts w:ascii="仿宋" w:hAnsi="仿宋" w:eastAsia="仿宋" w:cs="仿宋"/>
          <w:spacing w:val="-7"/>
          <w:sz w:val="28"/>
          <w:szCs w:val="28"/>
        </w:rPr>
        <w:t>）规定，在招投标</w:t>
      </w:r>
      <w:r>
        <w:rPr>
          <w:rFonts w:ascii="仿宋" w:hAnsi="仿宋" w:eastAsia="仿宋" w:cs="仿宋"/>
          <w:spacing w:val="-4"/>
          <w:sz w:val="28"/>
          <w:szCs w:val="28"/>
        </w:rPr>
        <w:t>及合同签订等环节落实施工过程结算有关政策。市场主体应遵循“法</w:t>
      </w:r>
      <w:r>
        <w:rPr>
          <w:rFonts w:ascii="仿宋" w:hAnsi="仿宋" w:eastAsia="仿宋" w:cs="仿宋"/>
          <w:spacing w:val="-5"/>
          <w:sz w:val="28"/>
          <w:szCs w:val="28"/>
        </w:rPr>
        <w:t>定优先、有约从约</w:t>
      </w:r>
      <w:r>
        <w:rPr>
          <w:rFonts w:ascii="仿宋" w:hAnsi="仿宋" w:eastAsia="仿宋" w:cs="仿宋"/>
          <w:spacing w:val="-103"/>
          <w:sz w:val="28"/>
          <w:szCs w:val="28"/>
        </w:rPr>
        <w:t xml:space="preserve"> </w:t>
      </w:r>
      <w:r>
        <w:rPr>
          <w:rFonts w:ascii="仿宋" w:hAnsi="仿宋" w:eastAsia="仿宋" w:cs="仿宋"/>
          <w:spacing w:val="-5"/>
          <w:sz w:val="28"/>
          <w:szCs w:val="28"/>
        </w:rPr>
        <w:t>”的原则，在招标文件及合同中细化相关约定，明</w:t>
      </w:r>
      <w:r>
        <w:rPr>
          <w:rFonts w:ascii="仿宋" w:hAnsi="仿宋" w:eastAsia="仿宋" w:cs="仿宋"/>
          <w:spacing w:val="-2"/>
          <w:sz w:val="28"/>
          <w:szCs w:val="28"/>
        </w:rPr>
        <w:t>确各方责任义务，合理分担风险。</w:t>
      </w:r>
    </w:p>
    <w:p w14:paraId="5B73EFA5">
      <w:pPr>
        <w:spacing w:before="4" w:line="221" w:lineRule="auto"/>
        <w:ind w:right="48"/>
        <w:jc w:val="right"/>
        <w:rPr>
          <w:rFonts w:ascii="仿宋" w:hAnsi="仿宋" w:eastAsia="仿宋" w:cs="仿宋"/>
          <w:sz w:val="28"/>
          <w:szCs w:val="28"/>
        </w:rPr>
      </w:pPr>
      <w:r>
        <w:rPr>
          <w:rFonts w:ascii="仿宋" w:hAnsi="仿宋" w:eastAsia="仿宋" w:cs="仿宋"/>
          <w:spacing w:val="-6"/>
          <w:sz w:val="28"/>
          <w:szCs w:val="28"/>
        </w:rPr>
        <w:t>七、《示范文本》第五章“工程量清单</w:t>
      </w:r>
      <w:r>
        <w:rPr>
          <w:rFonts w:ascii="仿宋" w:hAnsi="仿宋" w:eastAsia="仿宋" w:cs="仿宋"/>
          <w:spacing w:val="-90"/>
          <w:sz w:val="28"/>
          <w:szCs w:val="28"/>
        </w:rPr>
        <w:t xml:space="preserve"> </w:t>
      </w:r>
      <w:r>
        <w:rPr>
          <w:rFonts w:ascii="仿宋" w:hAnsi="仿宋" w:eastAsia="仿宋" w:cs="仿宋"/>
          <w:spacing w:val="-6"/>
          <w:sz w:val="28"/>
          <w:szCs w:val="28"/>
        </w:rPr>
        <w:t>”是示范性内容，除以空</w:t>
      </w:r>
    </w:p>
    <w:p w14:paraId="3616F20E">
      <w:pPr>
        <w:spacing w:line="221" w:lineRule="auto"/>
        <w:rPr>
          <w:rFonts w:ascii="仿宋" w:hAnsi="仿宋" w:eastAsia="仿宋" w:cs="仿宋"/>
          <w:sz w:val="28"/>
          <w:szCs w:val="28"/>
        </w:rPr>
        <w:sectPr>
          <w:footerReference r:id="rId6" w:type="default"/>
          <w:pgSz w:w="11906" w:h="16839"/>
          <w:pgMar w:top="1431" w:right="1751" w:bottom="1156" w:left="1785" w:header="0" w:footer="994" w:gutter="0"/>
          <w:cols w:space="720" w:num="1"/>
        </w:sectPr>
      </w:pPr>
    </w:p>
    <w:p w14:paraId="73C79A08">
      <w:pPr>
        <w:spacing w:before="212" w:line="367" w:lineRule="auto"/>
        <w:ind w:left="3" w:firstLine="28"/>
        <w:rPr>
          <w:rFonts w:ascii="仿宋" w:hAnsi="仿宋" w:eastAsia="仿宋" w:cs="仿宋"/>
          <w:sz w:val="28"/>
          <w:szCs w:val="28"/>
        </w:rPr>
      </w:pPr>
      <w:r>
        <w:rPr>
          <w:rFonts w:ascii="仿宋" w:hAnsi="仿宋" w:eastAsia="仿宋" w:cs="仿宋"/>
          <w:spacing w:val="1"/>
          <w:sz w:val="28"/>
          <w:szCs w:val="28"/>
        </w:rPr>
        <w:t>格标示的由招标人填空的内容外，提倡招标人</w:t>
      </w:r>
      <w:r>
        <w:rPr>
          <w:rFonts w:ascii="仿宋" w:hAnsi="仿宋" w:eastAsia="仿宋" w:cs="仿宋"/>
          <w:sz w:val="28"/>
          <w:szCs w:val="28"/>
        </w:rPr>
        <w:t>不加修改地直接引用。</w:t>
      </w:r>
      <w:r>
        <w:rPr>
          <w:rFonts w:ascii="仿宋" w:hAnsi="仿宋" w:eastAsia="仿宋" w:cs="仿宋"/>
          <w:spacing w:val="-14"/>
          <w:sz w:val="28"/>
          <w:szCs w:val="28"/>
        </w:rPr>
        <w:t>招标人也可以根据《建设工程工程量清单计价规范》（</w:t>
      </w:r>
      <w:r>
        <w:rPr>
          <w:rFonts w:ascii="Arial" w:hAnsi="Arial" w:eastAsia="Arial" w:cs="Arial"/>
          <w:spacing w:val="-14"/>
          <w:sz w:val="28"/>
          <w:szCs w:val="28"/>
        </w:rPr>
        <w:t>GB 50500-2013</w:t>
      </w:r>
      <w:r>
        <w:rPr>
          <w:rFonts w:ascii="仿宋" w:hAnsi="仿宋" w:eastAsia="仿宋" w:cs="仿宋"/>
          <w:spacing w:val="-14"/>
          <w:sz w:val="28"/>
          <w:szCs w:val="28"/>
        </w:rPr>
        <w:t>）</w:t>
      </w:r>
      <w:r>
        <w:rPr>
          <w:rFonts w:ascii="仿宋" w:hAnsi="仿宋" w:eastAsia="仿宋" w:cs="仿宋"/>
          <w:sz w:val="28"/>
          <w:szCs w:val="28"/>
        </w:rPr>
        <w:t>和配套的工程量计算规范、鄂建文</w:t>
      </w:r>
      <w:r>
        <w:rPr>
          <w:rFonts w:ascii="Arial" w:hAnsi="Arial" w:eastAsia="Arial" w:cs="Arial"/>
          <w:sz w:val="28"/>
          <w:szCs w:val="28"/>
        </w:rPr>
        <w:t>[</w:t>
      </w:r>
      <w:r>
        <w:fldChar w:fldCharType="begin"/>
      </w:r>
      <w:r>
        <w:instrText xml:space="preserve"> HYPERLINK \l "bookmark2" </w:instrText>
      </w:r>
      <w:r>
        <w:fldChar w:fldCharType="separate"/>
      </w:r>
      <w:r>
        <w:rPr>
          <w:rFonts w:ascii="Arial" w:hAnsi="Arial" w:eastAsia="Arial" w:cs="Arial"/>
          <w:sz w:val="28"/>
          <w:szCs w:val="28"/>
        </w:rPr>
        <w:t>201</w:t>
      </w:r>
      <w:r>
        <w:rPr>
          <w:rFonts w:ascii="Arial" w:hAnsi="Arial" w:eastAsia="Arial" w:cs="Arial"/>
          <w:spacing w:val="-1"/>
          <w:sz w:val="28"/>
          <w:szCs w:val="28"/>
        </w:rPr>
        <w:t>3</w:t>
      </w:r>
      <w:r>
        <w:rPr>
          <w:rFonts w:ascii="Arial" w:hAnsi="Arial" w:eastAsia="Arial" w:cs="Arial"/>
          <w:spacing w:val="-1"/>
          <w:sz w:val="28"/>
          <w:szCs w:val="28"/>
        </w:rPr>
        <w:fldChar w:fldCharType="end"/>
      </w:r>
      <w:r>
        <w:rPr>
          <w:rFonts w:ascii="Arial" w:hAnsi="Arial" w:eastAsia="Arial" w:cs="Arial"/>
          <w:spacing w:val="-1"/>
          <w:sz w:val="28"/>
          <w:szCs w:val="28"/>
        </w:rPr>
        <w:t xml:space="preserve">]39 </w:t>
      </w:r>
      <w:r>
        <w:rPr>
          <w:rFonts w:ascii="仿宋" w:hAnsi="仿宋" w:eastAsia="仿宋" w:cs="仿宋"/>
          <w:spacing w:val="-1"/>
          <w:sz w:val="28"/>
          <w:szCs w:val="28"/>
        </w:rPr>
        <w:t>号《关于执行</w:t>
      </w:r>
      <w:r>
        <w:rPr>
          <w:rFonts w:ascii="Arial" w:hAnsi="Arial" w:eastAsia="Arial" w:cs="Arial"/>
          <w:spacing w:val="-1"/>
          <w:sz w:val="28"/>
          <w:szCs w:val="28"/>
        </w:rPr>
        <w:t>&lt;</w:t>
      </w:r>
      <w:r>
        <w:rPr>
          <w:rFonts w:ascii="仿宋" w:hAnsi="仿宋" w:eastAsia="仿宋" w:cs="仿宋"/>
          <w:spacing w:val="-1"/>
          <w:sz w:val="28"/>
          <w:szCs w:val="28"/>
        </w:rPr>
        <w:t>房屋建筑</w:t>
      </w:r>
      <w:r>
        <w:rPr>
          <w:rFonts w:ascii="仿宋" w:hAnsi="仿宋" w:eastAsia="仿宋" w:cs="仿宋"/>
          <w:sz w:val="28"/>
          <w:szCs w:val="28"/>
        </w:rPr>
        <w:t xml:space="preserve"> </w:t>
      </w:r>
      <w:r>
        <w:rPr>
          <w:rFonts w:ascii="仿宋" w:hAnsi="仿宋" w:eastAsia="仿宋" w:cs="仿宋"/>
          <w:spacing w:val="-8"/>
          <w:sz w:val="28"/>
          <w:szCs w:val="28"/>
        </w:rPr>
        <w:t>与装饰工程工程量计算规范</w:t>
      </w:r>
      <w:r>
        <w:rPr>
          <w:rFonts w:ascii="Arial" w:hAnsi="Arial" w:eastAsia="Arial" w:cs="Arial"/>
          <w:spacing w:val="-8"/>
          <w:sz w:val="28"/>
          <w:szCs w:val="28"/>
        </w:rPr>
        <w:t>&gt;</w:t>
      </w:r>
      <w:r>
        <w:rPr>
          <w:rFonts w:ascii="仿宋" w:hAnsi="仿宋" w:eastAsia="仿宋" w:cs="仿宋"/>
          <w:spacing w:val="-8"/>
          <w:sz w:val="28"/>
          <w:szCs w:val="28"/>
        </w:rPr>
        <w:t>（</w:t>
      </w:r>
      <w:r>
        <w:rPr>
          <w:rFonts w:ascii="Arial" w:hAnsi="Arial" w:eastAsia="Arial" w:cs="Arial"/>
          <w:spacing w:val="-8"/>
          <w:sz w:val="28"/>
          <w:szCs w:val="28"/>
        </w:rPr>
        <w:t>GB 50584-2013</w:t>
      </w:r>
      <w:r>
        <w:rPr>
          <w:rFonts w:ascii="仿宋" w:hAnsi="仿宋" w:eastAsia="仿宋" w:cs="仿宋"/>
          <w:spacing w:val="-8"/>
          <w:sz w:val="28"/>
          <w:szCs w:val="28"/>
        </w:rPr>
        <w:t>）等</w:t>
      </w:r>
      <w:r>
        <w:rPr>
          <w:rFonts w:ascii="仿宋" w:hAnsi="仿宋" w:eastAsia="仿宋" w:cs="仿宋"/>
          <w:spacing w:val="-55"/>
          <w:sz w:val="28"/>
          <w:szCs w:val="28"/>
        </w:rPr>
        <w:t xml:space="preserve"> </w:t>
      </w:r>
      <w:r>
        <w:rPr>
          <w:rFonts w:ascii="Arial" w:hAnsi="Arial" w:eastAsia="Arial" w:cs="Arial"/>
          <w:spacing w:val="-8"/>
          <w:sz w:val="28"/>
          <w:szCs w:val="28"/>
        </w:rPr>
        <w:t xml:space="preserve">9 </w:t>
      </w:r>
      <w:r>
        <w:rPr>
          <w:rFonts w:ascii="仿宋" w:hAnsi="仿宋" w:eastAsia="仿宋" w:cs="仿宋"/>
          <w:spacing w:val="-8"/>
          <w:sz w:val="28"/>
          <w:szCs w:val="28"/>
        </w:rPr>
        <w:t>项工程量计算规</w:t>
      </w:r>
      <w:r>
        <w:rPr>
          <w:rFonts w:ascii="仿宋" w:hAnsi="仿宋" w:eastAsia="仿宋" w:cs="仿宋"/>
          <w:sz w:val="28"/>
          <w:szCs w:val="28"/>
        </w:rPr>
        <w:t xml:space="preserve"> </w:t>
      </w:r>
      <w:r>
        <w:rPr>
          <w:rFonts w:ascii="仿宋" w:hAnsi="仿宋" w:eastAsia="仿宋" w:cs="仿宋"/>
          <w:spacing w:val="-3"/>
          <w:sz w:val="28"/>
          <w:szCs w:val="28"/>
        </w:rPr>
        <w:t>范有关问题的通知》、湖北省建设行政主管部门发布的建设工程计价</w:t>
      </w:r>
      <w:r>
        <w:rPr>
          <w:rFonts w:ascii="仿宋" w:hAnsi="仿宋" w:eastAsia="仿宋" w:cs="仿宋"/>
          <w:spacing w:val="1"/>
          <w:sz w:val="28"/>
          <w:szCs w:val="28"/>
        </w:rPr>
        <w:t xml:space="preserve"> </w:t>
      </w:r>
      <w:r>
        <w:rPr>
          <w:rFonts w:ascii="仿宋" w:hAnsi="仿宋" w:eastAsia="仿宋" w:cs="仿宋"/>
          <w:spacing w:val="5"/>
          <w:sz w:val="28"/>
          <w:szCs w:val="28"/>
        </w:rPr>
        <w:t>依据、招标项目具体特点和实际需要编制，但必须与“投标人须知</w:t>
      </w:r>
      <w:r>
        <w:rPr>
          <w:rFonts w:ascii="仿宋" w:hAnsi="仿宋" w:eastAsia="仿宋" w:cs="仿宋"/>
          <w:spacing w:val="-95"/>
          <w:sz w:val="28"/>
          <w:szCs w:val="28"/>
        </w:rPr>
        <w:t xml:space="preserve"> </w:t>
      </w:r>
      <w:r>
        <w:rPr>
          <w:rFonts w:ascii="仿宋" w:hAnsi="仿宋" w:eastAsia="仿宋" w:cs="仿宋"/>
          <w:spacing w:val="5"/>
          <w:sz w:val="28"/>
          <w:szCs w:val="28"/>
        </w:rPr>
        <w:t>”</w:t>
      </w:r>
      <w:r>
        <w:rPr>
          <w:rFonts w:ascii="仿宋" w:hAnsi="仿宋" w:eastAsia="仿宋" w:cs="仿宋"/>
          <w:sz w:val="28"/>
          <w:szCs w:val="28"/>
        </w:rPr>
        <w:t xml:space="preserve"> </w:t>
      </w:r>
      <w:r>
        <w:rPr>
          <w:rFonts w:ascii="仿宋" w:hAnsi="仿宋" w:eastAsia="仿宋" w:cs="仿宋"/>
          <w:spacing w:val="-17"/>
          <w:sz w:val="28"/>
          <w:szCs w:val="28"/>
        </w:rPr>
        <w:t>“通用合同条款</w:t>
      </w:r>
      <w:r>
        <w:rPr>
          <w:rFonts w:ascii="仿宋" w:hAnsi="仿宋" w:eastAsia="仿宋" w:cs="仿宋"/>
          <w:spacing w:val="-89"/>
          <w:sz w:val="28"/>
          <w:szCs w:val="28"/>
        </w:rPr>
        <w:t xml:space="preserve"> </w:t>
      </w:r>
      <w:r>
        <w:rPr>
          <w:rFonts w:ascii="仿宋" w:hAnsi="仿宋" w:eastAsia="仿宋" w:cs="仿宋"/>
          <w:spacing w:val="-17"/>
          <w:sz w:val="28"/>
          <w:szCs w:val="28"/>
        </w:rPr>
        <w:t>”“专用合同条款</w:t>
      </w:r>
      <w:r>
        <w:rPr>
          <w:rFonts w:ascii="仿宋" w:hAnsi="仿宋" w:eastAsia="仿宋" w:cs="仿宋"/>
          <w:spacing w:val="-103"/>
          <w:sz w:val="28"/>
          <w:szCs w:val="28"/>
        </w:rPr>
        <w:t xml:space="preserve"> </w:t>
      </w:r>
      <w:r>
        <w:rPr>
          <w:rFonts w:ascii="仿宋" w:hAnsi="仿宋" w:eastAsia="仿宋" w:cs="仿宋"/>
          <w:spacing w:val="-17"/>
          <w:sz w:val="28"/>
          <w:szCs w:val="28"/>
        </w:rPr>
        <w:t>”“技术标准和要求</w:t>
      </w:r>
      <w:r>
        <w:rPr>
          <w:rFonts w:ascii="仿宋" w:hAnsi="仿宋" w:eastAsia="仿宋" w:cs="仿宋"/>
          <w:spacing w:val="-103"/>
          <w:sz w:val="28"/>
          <w:szCs w:val="28"/>
        </w:rPr>
        <w:t xml:space="preserve"> </w:t>
      </w:r>
      <w:r>
        <w:rPr>
          <w:rFonts w:ascii="仿宋" w:hAnsi="仿宋" w:eastAsia="仿宋" w:cs="仿宋"/>
          <w:spacing w:val="-17"/>
          <w:sz w:val="28"/>
          <w:szCs w:val="28"/>
        </w:rPr>
        <w:t>”“图纸</w:t>
      </w:r>
      <w:r>
        <w:rPr>
          <w:rFonts w:ascii="仿宋" w:hAnsi="仿宋" w:eastAsia="仿宋" w:cs="仿宋"/>
          <w:spacing w:val="-102"/>
          <w:sz w:val="28"/>
          <w:szCs w:val="28"/>
        </w:rPr>
        <w:t xml:space="preserve"> </w:t>
      </w:r>
      <w:r>
        <w:rPr>
          <w:rFonts w:ascii="仿宋" w:hAnsi="仿宋" w:eastAsia="仿宋" w:cs="仿宋"/>
          <w:spacing w:val="-17"/>
          <w:sz w:val="28"/>
          <w:szCs w:val="28"/>
        </w:rPr>
        <w:t>”相衔</w:t>
      </w:r>
      <w:r>
        <w:rPr>
          <w:rFonts w:ascii="仿宋" w:hAnsi="仿宋" w:eastAsia="仿宋" w:cs="仿宋"/>
          <w:spacing w:val="5"/>
          <w:sz w:val="28"/>
          <w:szCs w:val="28"/>
        </w:rPr>
        <w:t>接。</w:t>
      </w:r>
    </w:p>
    <w:p w14:paraId="69C7A610">
      <w:pPr>
        <w:spacing w:before="31" w:line="369" w:lineRule="auto"/>
        <w:ind w:left="33" w:right="159" w:firstLine="557"/>
        <w:rPr>
          <w:rFonts w:ascii="仿宋" w:hAnsi="仿宋" w:eastAsia="仿宋" w:cs="仿宋"/>
          <w:sz w:val="28"/>
          <w:szCs w:val="28"/>
        </w:rPr>
      </w:pPr>
      <w:r>
        <w:rPr>
          <w:rFonts w:ascii="仿宋" w:hAnsi="仿宋" w:eastAsia="仿宋" w:cs="仿宋"/>
          <w:spacing w:val="-12"/>
          <w:sz w:val="28"/>
          <w:szCs w:val="28"/>
        </w:rPr>
        <w:t>八、《示范文本》第六章“</w:t>
      </w:r>
      <w:r>
        <w:rPr>
          <w:rFonts w:ascii="仿宋" w:hAnsi="仿宋" w:eastAsia="仿宋" w:cs="仿宋"/>
          <w:spacing w:val="-97"/>
          <w:sz w:val="28"/>
          <w:szCs w:val="28"/>
        </w:rPr>
        <w:t xml:space="preserve"> </w:t>
      </w:r>
      <w:r>
        <w:rPr>
          <w:rFonts w:ascii="仿宋" w:hAnsi="仿宋" w:eastAsia="仿宋" w:cs="仿宋"/>
          <w:spacing w:val="-12"/>
          <w:sz w:val="28"/>
          <w:szCs w:val="28"/>
        </w:rPr>
        <w:t>图纸</w:t>
      </w:r>
      <w:r>
        <w:rPr>
          <w:rFonts w:ascii="仿宋" w:hAnsi="仿宋" w:eastAsia="仿宋" w:cs="仿宋"/>
          <w:spacing w:val="-103"/>
          <w:sz w:val="28"/>
          <w:szCs w:val="28"/>
        </w:rPr>
        <w:t xml:space="preserve"> </w:t>
      </w:r>
      <w:r>
        <w:rPr>
          <w:rFonts w:ascii="仿宋" w:hAnsi="仿宋" w:eastAsia="仿宋" w:cs="仿宋"/>
          <w:spacing w:val="-12"/>
          <w:sz w:val="28"/>
          <w:szCs w:val="28"/>
        </w:rPr>
        <w:t>”由招标人（或其委托的</w:t>
      </w:r>
      <w:r>
        <w:rPr>
          <w:rFonts w:ascii="仿宋" w:hAnsi="仿宋" w:eastAsia="仿宋" w:cs="仿宋"/>
          <w:spacing w:val="-13"/>
          <w:sz w:val="28"/>
          <w:szCs w:val="28"/>
        </w:rPr>
        <w:t>设计人）</w:t>
      </w:r>
      <w:r>
        <w:rPr>
          <w:rFonts w:ascii="仿宋" w:hAnsi="仿宋" w:eastAsia="仿宋" w:cs="仿宋"/>
          <w:spacing w:val="-5"/>
          <w:sz w:val="28"/>
          <w:szCs w:val="28"/>
        </w:rPr>
        <w:t>根据招标项目具体特点和实际需要编制，并与“投标人须知</w:t>
      </w:r>
      <w:r>
        <w:rPr>
          <w:rFonts w:ascii="仿宋" w:hAnsi="仿宋" w:eastAsia="仿宋" w:cs="仿宋"/>
          <w:spacing w:val="-103"/>
          <w:sz w:val="28"/>
          <w:szCs w:val="28"/>
        </w:rPr>
        <w:t xml:space="preserve"> </w:t>
      </w:r>
      <w:r>
        <w:rPr>
          <w:rFonts w:ascii="仿宋" w:hAnsi="仿宋" w:eastAsia="仿宋" w:cs="仿宋"/>
          <w:spacing w:val="-5"/>
          <w:sz w:val="28"/>
          <w:szCs w:val="28"/>
        </w:rPr>
        <w:t>”“</w:t>
      </w:r>
      <w:r>
        <w:rPr>
          <w:rFonts w:ascii="仿宋" w:hAnsi="仿宋" w:eastAsia="仿宋" w:cs="仿宋"/>
          <w:spacing w:val="-6"/>
          <w:sz w:val="28"/>
          <w:szCs w:val="28"/>
        </w:rPr>
        <w:t>通用</w:t>
      </w:r>
      <w:r>
        <w:rPr>
          <w:rFonts w:ascii="仿宋" w:hAnsi="仿宋" w:eastAsia="仿宋" w:cs="仿宋"/>
          <w:spacing w:val="-16"/>
          <w:sz w:val="28"/>
          <w:szCs w:val="28"/>
        </w:rPr>
        <w:t>合同条款</w:t>
      </w:r>
      <w:r>
        <w:rPr>
          <w:rFonts w:ascii="仿宋" w:hAnsi="仿宋" w:eastAsia="仿宋" w:cs="仿宋"/>
          <w:spacing w:val="-97"/>
          <w:sz w:val="28"/>
          <w:szCs w:val="28"/>
        </w:rPr>
        <w:t xml:space="preserve"> </w:t>
      </w:r>
      <w:r>
        <w:rPr>
          <w:rFonts w:ascii="仿宋" w:hAnsi="仿宋" w:eastAsia="仿宋" w:cs="仿宋"/>
          <w:spacing w:val="-16"/>
          <w:sz w:val="28"/>
          <w:szCs w:val="28"/>
        </w:rPr>
        <w:t>”“专用合同条款</w:t>
      </w:r>
      <w:r>
        <w:rPr>
          <w:rFonts w:ascii="仿宋" w:hAnsi="仿宋" w:eastAsia="仿宋" w:cs="仿宋"/>
          <w:spacing w:val="-103"/>
          <w:sz w:val="28"/>
          <w:szCs w:val="28"/>
        </w:rPr>
        <w:t xml:space="preserve"> </w:t>
      </w:r>
      <w:r>
        <w:rPr>
          <w:rFonts w:ascii="仿宋" w:hAnsi="仿宋" w:eastAsia="仿宋" w:cs="仿宋"/>
          <w:spacing w:val="-16"/>
          <w:sz w:val="28"/>
          <w:szCs w:val="28"/>
        </w:rPr>
        <w:t>”“技术标准和要求</w:t>
      </w:r>
      <w:r>
        <w:rPr>
          <w:rFonts w:ascii="仿宋" w:hAnsi="仿宋" w:eastAsia="仿宋" w:cs="仿宋"/>
          <w:spacing w:val="-105"/>
          <w:sz w:val="28"/>
          <w:szCs w:val="28"/>
        </w:rPr>
        <w:t xml:space="preserve"> </w:t>
      </w:r>
      <w:r>
        <w:rPr>
          <w:rFonts w:ascii="仿宋" w:hAnsi="仿宋" w:eastAsia="仿宋" w:cs="仿宋"/>
          <w:spacing w:val="-16"/>
          <w:sz w:val="28"/>
          <w:szCs w:val="28"/>
        </w:rPr>
        <w:t>”相衔接。</w:t>
      </w:r>
    </w:p>
    <w:p w14:paraId="7892DDF8">
      <w:pPr>
        <w:spacing w:before="1" w:line="220" w:lineRule="auto"/>
        <w:ind w:left="601"/>
        <w:rPr>
          <w:rFonts w:ascii="仿宋" w:hAnsi="仿宋" w:eastAsia="仿宋" w:cs="仿宋"/>
          <w:sz w:val="28"/>
          <w:szCs w:val="28"/>
        </w:rPr>
      </w:pPr>
      <w:r>
        <w:rPr>
          <w:rFonts w:ascii="仿宋" w:hAnsi="仿宋" w:eastAsia="仿宋" w:cs="仿宋"/>
          <w:spacing w:val="-6"/>
          <w:sz w:val="28"/>
          <w:szCs w:val="28"/>
        </w:rPr>
        <w:t>九、《示范文本》第七章“技术标准和要求</w:t>
      </w:r>
      <w:r>
        <w:rPr>
          <w:rFonts w:ascii="仿宋" w:hAnsi="仿宋" w:eastAsia="仿宋" w:cs="仿宋"/>
          <w:spacing w:val="-98"/>
          <w:sz w:val="28"/>
          <w:szCs w:val="28"/>
        </w:rPr>
        <w:t xml:space="preserve"> </w:t>
      </w:r>
      <w:r>
        <w:rPr>
          <w:rFonts w:ascii="仿宋" w:hAnsi="仿宋" w:eastAsia="仿宋" w:cs="仿宋"/>
          <w:spacing w:val="-6"/>
          <w:sz w:val="28"/>
          <w:szCs w:val="28"/>
        </w:rPr>
        <w:t>”也是示范性内容，</w:t>
      </w:r>
    </w:p>
    <w:p w14:paraId="79D69F9A">
      <w:pPr>
        <w:spacing w:before="228" w:line="369" w:lineRule="auto"/>
        <w:ind w:left="31" w:right="45" w:firstLine="1"/>
        <w:rPr>
          <w:rFonts w:ascii="仿宋" w:hAnsi="仿宋" w:eastAsia="仿宋" w:cs="仿宋"/>
          <w:sz w:val="28"/>
          <w:szCs w:val="28"/>
        </w:rPr>
      </w:pPr>
      <w:r>
        <w:rPr>
          <w:rFonts w:ascii="仿宋" w:hAnsi="仿宋" w:eastAsia="仿宋" w:cs="仿宋"/>
          <w:spacing w:val="1"/>
          <w:sz w:val="28"/>
          <w:szCs w:val="28"/>
        </w:rPr>
        <w:t>但是，其第一节“一般要求</w:t>
      </w:r>
      <w:r>
        <w:rPr>
          <w:rFonts w:ascii="仿宋" w:hAnsi="仿宋" w:eastAsia="仿宋" w:cs="仿宋"/>
          <w:spacing w:val="-88"/>
          <w:sz w:val="28"/>
          <w:szCs w:val="28"/>
        </w:rPr>
        <w:t xml:space="preserve"> </w:t>
      </w:r>
      <w:r>
        <w:rPr>
          <w:rFonts w:ascii="仿宋" w:hAnsi="仿宋" w:eastAsia="仿宋" w:cs="仿宋"/>
          <w:spacing w:val="1"/>
          <w:sz w:val="28"/>
          <w:szCs w:val="28"/>
        </w:rPr>
        <w:t>”充分考虑了与第四章“通用合同条款</w:t>
      </w:r>
      <w:r>
        <w:rPr>
          <w:rFonts w:ascii="仿宋" w:hAnsi="仿宋" w:eastAsia="仿宋" w:cs="仿宋"/>
          <w:spacing w:val="-103"/>
          <w:sz w:val="28"/>
          <w:szCs w:val="28"/>
        </w:rPr>
        <w:t xml:space="preserve"> </w:t>
      </w:r>
      <w:r>
        <w:rPr>
          <w:rFonts w:ascii="仿宋" w:hAnsi="仿宋" w:eastAsia="仿宋" w:cs="仿宋"/>
          <w:spacing w:val="1"/>
          <w:sz w:val="28"/>
          <w:szCs w:val="28"/>
        </w:rPr>
        <w:t>”</w:t>
      </w:r>
      <w:r>
        <w:rPr>
          <w:rFonts w:ascii="仿宋" w:hAnsi="仿宋" w:eastAsia="仿宋" w:cs="仿宋"/>
          <w:spacing w:val="-1"/>
          <w:sz w:val="28"/>
          <w:szCs w:val="28"/>
        </w:rPr>
        <w:t>和“专用合同条款</w:t>
      </w:r>
      <w:r>
        <w:rPr>
          <w:rFonts w:ascii="仿宋" w:hAnsi="仿宋" w:eastAsia="仿宋" w:cs="仿宋"/>
          <w:spacing w:val="-92"/>
          <w:sz w:val="28"/>
          <w:szCs w:val="28"/>
        </w:rPr>
        <w:t xml:space="preserve"> </w:t>
      </w:r>
      <w:r>
        <w:rPr>
          <w:rFonts w:ascii="仿宋" w:hAnsi="仿宋" w:eastAsia="仿宋" w:cs="仿宋"/>
          <w:spacing w:val="-1"/>
          <w:sz w:val="28"/>
          <w:szCs w:val="28"/>
        </w:rPr>
        <w:t>”的相互衔接，提倡招标人不加修改地直接引用，</w:t>
      </w:r>
      <w:r>
        <w:rPr>
          <w:rFonts w:ascii="仿宋" w:hAnsi="仿宋" w:eastAsia="仿宋" w:cs="仿宋"/>
          <w:spacing w:val="-4"/>
          <w:sz w:val="28"/>
          <w:szCs w:val="28"/>
        </w:rPr>
        <w:t>并在其基础上结合招标项目具体特点和实际需要进行补充，其中以空格标示的以及第二节和第三节由招标人根据本招标文件、招标项目具</w:t>
      </w:r>
      <w:r>
        <w:rPr>
          <w:rFonts w:ascii="仿宋" w:hAnsi="仿宋" w:eastAsia="仿宋" w:cs="仿宋"/>
          <w:spacing w:val="-5"/>
          <w:sz w:val="28"/>
          <w:szCs w:val="28"/>
        </w:rPr>
        <w:t>体特点和实际需要编制。“技术标准和要求</w:t>
      </w:r>
      <w:r>
        <w:rPr>
          <w:rFonts w:ascii="仿宋" w:hAnsi="仿宋" w:eastAsia="仿宋" w:cs="仿宋"/>
          <w:spacing w:val="-103"/>
          <w:sz w:val="28"/>
          <w:szCs w:val="28"/>
        </w:rPr>
        <w:t xml:space="preserve"> </w:t>
      </w:r>
      <w:r>
        <w:rPr>
          <w:rFonts w:ascii="仿宋" w:hAnsi="仿宋" w:eastAsia="仿宋" w:cs="仿宋"/>
          <w:spacing w:val="-5"/>
          <w:sz w:val="28"/>
          <w:szCs w:val="28"/>
        </w:rPr>
        <w:t>”中的各项技术标准应符</w:t>
      </w:r>
      <w:r>
        <w:rPr>
          <w:rFonts w:ascii="仿宋" w:hAnsi="仿宋" w:eastAsia="仿宋" w:cs="仿宋"/>
          <w:spacing w:val="1"/>
          <w:sz w:val="28"/>
          <w:szCs w:val="28"/>
        </w:rPr>
        <w:t>合国家强制性标准，不得要求或标明某一特定</w:t>
      </w:r>
      <w:r>
        <w:rPr>
          <w:rFonts w:ascii="仿宋" w:hAnsi="仿宋" w:eastAsia="仿宋" w:cs="仿宋"/>
          <w:sz w:val="28"/>
          <w:szCs w:val="28"/>
        </w:rPr>
        <w:t>的专利、商标、名称、</w:t>
      </w:r>
      <w:r>
        <w:rPr>
          <w:rFonts w:ascii="仿宋" w:hAnsi="仿宋" w:eastAsia="仿宋" w:cs="仿宋"/>
          <w:spacing w:val="-4"/>
          <w:sz w:val="28"/>
          <w:szCs w:val="28"/>
        </w:rPr>
        <w:t>设计、原产地或生产供应者，不得含有倾向或者排斥潜在投标人的其他内容。如果必须引用某一生产供应者的技术标准才能准确或清楚地</w:t>
      </w:r>
      <w:r>
        <w:rPr>
          <w:rFonts w:ascii="仿宋" w:hAnsi="仿宋" w:eastAsia="仿宋" w:cs="仿宋"/>
          <w:spacing w:val="4"/>
          <w:sz w:val="28"/>
          <w:szCs w:val="28"/>
        </w:rPr>
        <w:t>说明拟招标项目的技术标准时，则应当在参照后面加上“或相当于”</w:t>
      </w:r>
      <w:r>
        <w:rPr>
          <w:rFonts w:ascii="仿宋" w:hAnsi="仿宋" w:eastAsia="仿宋" w:cs="仿宋"/>
          <w:spacing w:val="1"/>
          <w:sz w:val="28"/>
          <w:szCs w:val="28"/>
        </w:rPr>
        <w:t>字样。鼓励招标人在技术标准和要求中积极落实以</w:t>
      </w:r>
      <w:r>
        <w:rPr>
          <w:rFonts w:ascii="仿宋" w:hAnsi="仿宋" w:eastAsia="仿宋" w:cs="仿宋"/>
          <w:sz w:val="28"/>
          <w:szCs w:val="28"/>
        </w:rPr>
        <w:t>BIM</w:t>
      </w:r>
      <w:r>
        <w:rPr>
          <w:rFonts w:ascii="仿宋" w:hAnsi="仿宋" w:eastAsia="仿宋" w:cs="仿宋"/>
          <w:spacing w:val="1"/>
          <w:sz w:val="28"/>
          <w:szCs w:val="28"/>
        </w:rPr>
        <w:t>、装配式为代</w:t>
      </w:r>
      <w:r>
        <w:rPr>
          <w:rFonts w:ascii="仿宋" w:hAnsi="仿宋" w:eastAsia="仿宋" w:cs="仿宋"/>
          <w:spacing w:val="-2"/>
          <w:sz w:val="28"/>
          <w:szCs w:val="28"/>
        </w:rPr>
        <w:t>表的绿色智能建造模式。</w:t>
      </w:r>
    </w:p>
    <w:p w14:paraId="227276F7">
      <w:pPr>
        <w:spacing w:before="1" w:line="220" w:lineRule="auto"/>
        <w:ind w:left="599"/>
        <w:rPr>
          <w:rFonts w:ascii="仿宋" w:hAnsi="仿宋" w:eastAsia="仿宋" w:cs="仿宋"/>
          <w:sz w:val="28"/>
          <w:szCs w:val="28"/>
        </w:rPr>
      </w:pPr>
      <w:r>
        <w:rPr>
          <w:rFonts w:ascii="仿宋" w:hAnsi="仿宋" w:eastAsia="仿宋" w:cs="仿宋"/>
          <w:spacing w:val="-4"/>
          <w:sz w:val="28"/>
          <w:szCs w:val="28"/>
        </w:rPr>
        <w:t>十、《示范文本》针对不同的情况，有关章</w:t>
      </w:r>
      <w:r>
        <w:rPr>
          <w:rFonts w:ascii="仿宋" w:hAnsi="仿宋" w:eastAsia="仿宋" w:cs="仿宋"/>
          <w:spacing w:val="-5"/>
          <w:sz w:val="28"/>
          <w:szCs w:val="28"/>
        </w:rPr>
        <w:t>节列出了可供选择的</w:t>
      </w:r>
    </w:p>
    <w:p w14:paraId="135E6D04">
      <w:pPr>
        <w:spacing w:line="220" w:lineRule="auto"/>
        <w:rPr>
          <w:rFonts w:ascii="仿宋" w:hAnsi="仿宋" w:eastAsia="仿宋" w:cs="仿宋"/>
          <w:sz w:val="28"/>
          <w:szCs w:val="28"/>
        </w:rPr>
        <w:sectPr>
          <w:footerReference r:id="rId7" w:type="default"/>
          <w:pgSz w:w="11906" w:h="16839"/>
          <w:pgMar w:top="1431" w:right="1520" w:bottom="1156" w:left="1785" w:header="0" w:footer="994" w:gutter="0"/>
          <w:cols w:space="720" w:num="1"/>
        </w:sectPr>
      </w:pPr>
    </w:p>
    <w:p w14:paraId="72812522">
      <w:pPr>
        <w:spacing w:before="215" w:line="369" w:lineRule="auto"/>
        <w:ind w:left="33" w:right="101" w:firstLine="33"/>
        <w:rPr>
          <w:rFonts w:ascii="仿宋" w:hAnsi="仿宋" w:eastAsia="仿宋" w:cs="仿宋"/>
          <w:sz w:val="28"/>
          <w:szCs w:val="28"/>
        </w:rPr>
      </w:pPr>
      <w:r>
        <w:rPr>
          <w:rFonts w:ascii="仿宋" w:hAnsi="仿宋" w:eastAsia="仿宋" w:cs="仿宋"/>
          <w:spacing w:val="-6"/>
          <w:sz w:val="28"/>
          <w:szCs w:val="28"/>
        </w:rPr>
        <w:t>内容，如第八章“（二）投标函附录</w:t>
      </w:r>
      <w:r>
        <w:rPr>
          <w:rFonts w:ascii="仿宋" w:hAnsi="仿宋" w:eastAsia="仿宋" w:cs="仿宋"/>
          <w:spacing w:val="-101"/>
          <w:sz w:val="28"/>
          <w:szCs w:val="28"/>
        </w:rPr>
        <w:t xml:space="preserve"> </w:t>
      </w:r>
      <w:r>
        <w:rPr>
          <w:rFonts w:ascii="仿宋" w:hAnsi="仿宋" w:eastAsia="仿宋" w:cs="仿宋"/>
          <w:spacing w:val="-6"/>
          <w:sz w:val="28"/>
          <w:szCs w:val="28"/>
        </w:rPr>
        <w:t>”等。招标人编</w:t>
      </w:r>
      <w:r>
        <w:rPr>
          <w:rFonts w:ascii="仿宋" w:hAnsi="仿宋" w:eastAsia="仿宋" w:cs="仿宋"/>
          <w:spacing w:val="-7"/>
          <w:sz w:val="28"/>
          <w:szCs w:val="28"/>
        </w:rPr>
        <w:t>制招标文件时应</w:t>
      </w:r>
      <w:r>
        <w:rPr>
          <w:rFonts w:ascii="仿宋" w:hAnsi="仿宋" w:eastAsia="仿宋" w:cs="仿宋"/>
          <w:spacing w:val="-1"/>
          <w:sz w:val="28"/>
          <w:szCs w:val="28"/>
        </w:rPr>
        <w:t>将未选择部分删除，以保证文件的连贯性，避免歧义。</w:t>
      </w:r>
    </w:p>
    <w:p w14:paraId="32617B51">
      <w:pPr>
        <w:spacing w:line="366" w:lineRule="auto"/>
        <w:ind w:left="29" w:right="101" w:firstLine="570"/>
        <w:rPr>
          <w:rFonts w:ascii="仿宋" w:hAnsi="仿宋" w:eastAsia="仿宋" w:cs="仿宋"/>
          <w:sz w:val="28"/>
          <w:szCs w:val="28"/>
        </w:rPr>
      </w:pPr>
      <w:r>
        <w:rPr>
          <w:rFonts w:ascii="仿宋" w:hAnsi="仿宋" w:eastAsia="仿宋" w:cs="仿宋"/>
          <w:spacing w:val="-9"/>
          <w:sz w:val="28"/>
          <w:szCs w:val="28"/>
        </w:rPr>
        <w:t>十一、“招标控制价</w:t>
      </w:r>
      <w:r>
        <w:rPr>
          <w:rFonts w:ascii="仿宋" w:hAnsi="仿宋" w:eastAsia="仿宋" w:cs="仿宋"/>
          <w:spacing w:val="-103"/>
          <w:sz w:val="28"/>
          <w:szCs w:val="28"/>
        </w:rPr>
        <w:t xml:space="preserve"> </w:t>
      </w:r>
      <w:r>
        <w:rPr>
          <w:rFonts w:ascii="仿宋" w:hAnsi="仿宋" w:eastAsia="仿宋" w:cs="仿宋"/>
          <w:spacing w:val="-9"/>
          <w:sz w:val="28"/>
          <w:szCs w:val="28"/>
        </w:rPr>
        <w:t>”和“最高投标限价</w:t>
      </w:r>
      <w:r>
        <w:rPr>
          <w:rFonts w:ascii="仿宋" w:hAnsi="仿宋" w:eastAsia="仿宋" w:cs="仿宋"/>
          <w:spacing w:val="-103"/>
          <w:sz w:val="28"/>
          <w:szCs w:val="28"/>
        </w:rPr>
        <w:t xml:space="preserve"> </w:t>
      </w:r>
      <w:r>
        <w:rPr>
          <w:rFonts w:ascii="仿宋" w:hAnsi="仿宋" w:eastAsia="仿宋" w:cs="仿宋"/>
          <w:spacing w:val="-9"/>
          <w:sz w:val="28"/>
          <w:szCs w:val="28"/>
        </w:rPr>
        <w:t>”在《示范文本》</w:t>
      </w:r>
      <w:r>
        <w:rPr>
          <w:rFonts w:ascii="仿宋" w:hAnsi="仿宋" w:eastAsia="仿宋" w:cs="仿宋"/>
          <w:spacing w:val="-82"/>
          <w:sz w:val="28"/>
          <w:szCs w:val="28"/>
        </w:rPr>
        <w:t xml:space="preserve"> </w:t>
      </w:r>
      <w:r>
        <w:rPr>
          <w:rFonts w:ascii="仿宋" w:hAnsi="仿宋" w:eastAsia="仿宋" w:cs="仿宋"/>
          <w:spacing w:val="-9"/>
          <w:sz w:val="28"/>
          <w:szCs w:val="28"/>
        </w:rPr>
        <w:t>中具</w:t>
      </w:r>
      <w:r>
        <w:rPr>
          <w:rFonts w:ascii="仿宋" w:hAnsi="仿宋" w:eastAsia="仿宋" w:cs="仿宋"/>
          <w:spacing w:val="-3"/>
          <w:sz w:val="28"/>
          <w:szCs w:val="28"/>
        </w:rPr>
        <w:t>有相同的含义。</w:t>
      </w:r>
    </w:p>
    <w:p w14:paraId="1E09B126">
      <w:pPr>
        <w:spacing w:before="1" w:line="365" w:lineRule="auto"/>
        <w:ind w:left="33" w:firstLine="565"/>
        <w:rPr>
          <w:rFonts w:ascii="仿宋" w:hAnsi="仿宋" w:eastAsia="仿宋" w:cs="仿宋"/>
          <w:sz w:val="28"/>
          <w:szCs w:val="28"/>
        </w:rPr>
      </w:pPr>
      <w:r>
        <w:rPr>
          <w:rFonts w:ascii="仿宋" w:hAnsi="仿宋" w:eastAsia="仿宋" w:cs="仿宋"/>
          <w:spacing w:val="-12"/>
          <w:sz w:val="28"/>
          <w:szCs w:val="28"/>
        </w:rPr>
        <w:t>十二、《示范文本》为</w:t>
      </w:r>
      <w:r>
        <w:rPr>
          <w:rFonts w:ascii="仿宋" w:hAnsi="仿宋" w:eastAsia="仿宋" w:cs="仿宋"/>
          <w:spacing w:val="-54"/>
          <w:sz w:val="28"/>
          <w:szCs w:val="28"/>
        </w:rPr>
        <w:t xml:space="preserve"> </w:t>
      </w:r>
      <w:r>
        <w:rPr>
          <w:rFonts w:ascii="Arial" w:hAnsi="Arial" w:eastAsia="Arial" w:cs="Arial"/>
          <w:spacing w:val="-12"/>
          <w:sz w:val="28"/>
          <w:szCs w:val="28"/>
        </w:rPr>
        <w:t>2026</w:t>
      </w:r>
      <w:r>
        <w:rPr>
          <w:rFonts w:ascii="Arial" w:hAnsi="Arial" w:eastAsia="Arial" w:cs="Arial"/>
          <w:spacing w:val="17"/>
          <w:sz w:val="28"/>
          <w:szCs w:val="28"/>
        </w:rPr>
        <w:t xml:space="preserve"> </w:t>
      </w:r>
      <w:r>
        <w:rPr>
          <w:rFonts w:ascii="仿宋" w:hAnsi="仿宋" w:eastAsia="仿宋" w:cs="仿宋"/>
          <w:spacing w:val="-12"/>
          <w:sz w:val="28"/>
          <w:szCs w:val="28"/>
        </w:rPr>
        <w:t>年版，本版适用于采用《建</w:t>
      </w:r>
      <w:r>
        <w:rPr>
          <w:rFonts w:ascii="仿宋" w:hAnsi="仿宋" w:eastAsia="仿宋" w:cs="仿宋"/>
          <w:spacing w:val="-13"/>
          <w:sz w:val="28"/>
          <w:szCs w:val="28"/>
        </w:rPr>
        <w:t>设工程工</w:t>
      </w:r>
      <w:r>
        <w:rPr>
          <w:rFonts w:ascii="仿宋" w:hAnsi="仿宋" w:eastAsia="仿宋" w:cs="仿宋"/>
          <w:spacing w:val="-16"/>
          <w:sz w:val="28"/>
          <w:szCs w:val="28"/>
        </w:rPr>
        <w:t>程量清单计价规范》（</w:t>
      </w:r>
      <w:r>
        <w:rPr>
          <w:rFonts w:ascii="Arial" w:hAnsi="Arial" w:eastAsia="Arial" w:cs="Arial"/>
          <w:spacing w:val="-16"/>
          <w:sz w:val="28"/>
          <w:szCs w:val="28"/>
        </w:rPr>
        <w:t>GB 50500-2013</w:t>
      </w:r>
      <w:r>
        <w:rPr>
          <w:rFonts w:ascii="仿宋" w:hAnsi="仿宋" w:eastAsia="仿宋" w:cs="仿宋"/>
          <w:spacing w:val="-16"/>
          <w:sz w:val="28"/>
          <w:szCs w:val="28"/>
        </w:rPr>
        <w:t>）计价且已进行资格预审的招标。</w:t>
      </w:r>
      <w:r>
        <w:rPr>
          <w:rFonts w:ascii="仿宋" w:hAnsi="仿宋" w:eastAsia="仿宋" w:cs="仿宋"/>
          <w:spacing w:val="-4"/>
          <w:sz w:val="28"/>
          <w:szCs w:val="28"/>
        </w:rPr>
        <w:t>各单位或个人在使用过程中有修改意见或建议的，可向编制工作小组</w:t>
      </w:r>
      <w:r>
        <w:rPr>
          <w:rFonts w:ascii="仿宋" w:hAnsi="仿宋" w:eastAsia="仿宋" w:cs="仿宋"/>
          <w:spacing w:val="-6"/>
          <w:sz w:val="28"/>
          <w:szCs w:val="28"/>
        </w:rPr>
        <w:t>反映。</w:t>
      </w:r>
    </w:p>
    <w:p w14:paraId="211D861D">
      <w:pPr>
        <w:spacing w:before="22" w:line="369" w:lineRule="auto"/>
        <w:ind w:left="34" w:right="7" w:firstLine="553"/>
        <w:rPr>
          <w:rFonts w:ascii="Arial" w:hAnsi="Arial" w:eastAsia="Arial" w:cs="Arial"/>
          <w:sz w:val="28"/>
          <w:szCs w:val="28"/>
        </w:rPr>
      </w:pPr>
      <w:r>
        <w:rPr>
          <w:rFonts w:ascii="仿宋" w:hAnsi="仿宋" w:eastAsia="仿宋" w:cs="仿宋"/>
          <w:spacing w:val="-22"/>
          <w:sz w:val="28"/>
          <w:szCs w:val="28"/>
        </w:rPr>
        <w:t>联系方式：省发改委（</w:t>
      </w:r>
      <w:r>
        <w:rPr>
          <w:rFonts w:ascii="Arial" w:hAnsi="Arial" w:eastAsia="Arial" w:cs="Arial"/>
          <w:spacing w:val="-22"/>
          <w:sz w:val="28"/>
          <w:szCs w:val="28"/>
        </w:rPr>
        <w:t>027</w:t>
      </w:r>
      <w:r>
        <w:rPr>
          <w:rFonts w:ascii="仿宋" w:hAnsi="仿宋" w:eastAsia="仿宋" w:cs="仿宋"/>
          <w:spacing w:val="-22"/>
          <w:sz w:val="28"/>
          <w:szCs w:val="28"/>
        </w:rPr>
        <w:t>）</w:t>
      </w:r>
      <w:r>
        <w:rPr>
          <w:rFonts w:ascii="Arial" w:hAnsi="Arial" w:eastAsia="Arial" w:cs="Arial"/>
          <w:spacing w:val="-22"/>
          <w:sz w:val="28"/>
          <w:szCs w:val="28"/>
        </w:rPr>
        <w:t>8723798</w:t>
      </w:r>
      <w:r>
        <w:rPr>
          <w:rFonts w:ascii="Arial" w:hAnsi="Arial" w:eastAsia="Arial" w:cs="Arial"/>
          <w:spacing w:val="-23"/>
          <w:sz w:val="28"/>
          <w:szCs w:val="28"/>
        </w:rPr>
        <w:t>5</w:t>
      </w:r>
      <w:r>
        <w:rPr>
          <w:rFonts w:ascii="仿宋" w:hAnsi="仿宋" w:eastAsia="仿宋" w:cs="仿宋"/>
          <w:spacing w:val="-23"/>
          <w:sz w:val="28"/>
          <w:szCs w:val="28"/>
        </w:rPr>
        <w:t>、省住建厅（</w:t>
      </w:r>
      <w:r>
        <w:rPr>
          <w:rFonts w:ascii="Arial" w:hAnsi="Arial" w:eastAsia="Arial" w:cs="Arial"/>
          <w:spacing w:val="-23"/>
          <w:sz w:val="28"/>
          <w:szCs w:val="28"/>
        </w:rPr>
        <w:t>027</w:t>
      </w:r>
      <w:r>
        <w:rPr>
          <w:rFonts w:ascii="仿宋" w:hAnsi="仿宋" w:eastAsia="仿宋" w:cs="仿宋"/>
          <w:spacing w:val="-23"/>
          <w:sz w:val="28"/>
          <w:szCs w:val="28"/>
        </w:rPr>
        <w:t>）</w:t>
      </w:r>
      <w:r>
        <w:rPr>
          <w:rFonts w:ascii="Arial" w:hAnsi="Arial" w:eastAsia="Arial" w:cs="Arial"/>
          <w:spacing w:val="-23"/>
          <w:sz w:val="28"/>
          <w:szCs w:val="28"/>
        </w:rPr>
        <w:t>68870850</w:t>
      </w:r>
      <w:r>
        <w:rPr>
          <w:rFonts w:ascii="仿宋" w:hAnsi="仿宋" w:eastAsia="仿宋" w:cs="仿宋"/>
          <w:spacing w:val="-23"/>
          <w:sz w:val="28"/>
          <w:szCs w:val="28"/>
        </w:rPr>
        <w:t>、</w:t>
      </w:r>
      <w:r>
        <w:rPr>
          <w:rFonts w:ascii="仿宋" w:hAnsi="仿宋" w:eastAsia="仿宋" w:cs="仿宋"/>
          <w:spacing w:val="-9"/>
          <w:sz w:val="28"/>
          <w:szCs w:val="28"/>
        </w:rPr>
        <w:t>省交易（采购）中心（</w:t>
      </w:r>
      <w:r>
        <w:rPr>
          <w:rFonts w:ascii="Arial" w:hAnsi="Arial" w:eastAsia="Arial" w:cs="Arial"/>
          <w:spacing w:val="-9"/>
          <w:sz w:val="28"/>
          <w:szCs w:val="28"/>
        </w:rPr>
        <w:t>027</w:t>
      </w:r>
      <w:r>
        <w:rPr>
          <w:rFonts w:ascii="仿宋" w:hAnsi="仿宋" w:eastAsia="仿宋" w:cs="仿宋"/>
          <w:spacing w:val="-9"/>
          <w:sz w:val="28"/>
          <w:szCs w:val="28"/>
        </w:rPr>
        <w:t>）</w:t>
      </w:r>
      <w:r>
        <w:rPr>
          <w:rFonts w:ascii="Arial" w:hAnsi="Arial" w:eastAsia="Arial" w:cs="Arial"/>
          <w:spacing w:val="-9"/>
          <w:sz w:val="28"/>
          <w:szCs w:val="28"/>
        </w:rPr>
        <w:t>86620825</w:t>
      </w:r>
    </w:p>
    <w:p w14:paraId="167B51ED">
      <w:pPr>
        <w:spacing w:line="369" w:lineRule="auto"/>
        <w:rPr>
          <w:rFonts w:ascii="Arial" w:hAnsi="Arial" w:eastAsia="Arial" w:cs="Arial"/>
          <w:sz w:val="28"/>
          <w:szCs w:val="28"/>
        </w:rPr>
        <w:sectPr>
          <w:footerReference r:id="rId8" w:type="default"/>
          <w:pgSz w:w="11906" w:h="16839"/>
          <w:pgMar w:top="1431" w:right="1698" w:bottom="1156" w:left="1785" w:header="0" w:footer="994" w:gutter="0"/>
          <w:cols w:space="720" w:num="1"/>
        </w:sectPr>
      </w:pPr>
    </w:p>
    <w:p w14:paraId="14C54B77">
      <w:pPr>
        <w:spacing w:line="279" w:lineRule="auto"/>
        <w:rPr>
          <w:rFonts w:ascii="Arial"/>
          <w:sz w:val="21"/>
        </w:rPr>
      </w:pPr>
    </w:p>
    <w:p w14:paraId="1687EA10">
      <w:pPr>
        <w:spacing w:line="279" w:lineRule="auto"/>
        <w:rPr>
          <w:rFonts w:ascii="Arial"/>
          <w:sz w:val="21"/>
        </w:rPr>
      </w:pPr>
    </w:p>
    <w:p w14:paraId="4FC51CDA">
      <w:pPr>
        <w:spacing w:line="279" w:lineRule="auto"/>
        <w:rPr>
          <w:rFonts w:ascii="Arial"/>
          <w:sz w:val="21"/>
        </w:rPr>
      </w:pPr>
    </w:p>
    <w:p w14:paraId="7B1338E7">
      <w:pPr>
        <w:spacing w:line="280" w:lineRule="auto"/>
        <w:rPr>
          <w:rFonts w:ascii="Arial"/>
          <w:sz w:val="21"/>
        </w:rPr>
      </w:pPr>
    </w:p>
    <w:p w14:paraId="2F1434CC">
      <w:pPr>
        <w:spacing w:line="280" w:lineRule="auto"/>
        <w:rPr>
          <w:rFonts w:ascii="Arial"/>
          <w:sz w:val="21"/>
        </w:rPr>
      </w:pPr>
    </w:p>
    <w:p w14:paraId="21E3D36E">
      <w:pPr>
        <w:spacing w:line="280" w:lineRule="auto"/>
        <w:rPr>
          <w:rFonts w:ascii="Arial"/>
          <w:sz w:val="21"/>
        </w:rPr>
      </w:pPr>
    </w:p>
    <w:p w14:paraId="3F84BE12">
      <w:pPr>
        <w:pStyle w:val="2"/>
        <w:tabs>
          <w:tab w:val="left" w:pos="2370"/>
        </w:tabs>
        <w:spacing w:before="101" w:line="228" w:lineRule="auto"/>
        <w:ind w:left="450"/>
        <w:rPr>
          <w:sz w:val="31"/>
          <w:szCs w:val="31"/>
        </w:rPr>
      </w:pPr>
      <w:r>
        <w:rPr>
          <w:rFonts w:ascii="宋体" w:hAnsi="宋体" w:eastAsia="宋体" w:cs="宋体"/>
          <w:sz w:val="31"/>
          <w:szCs w:val="31"/>
          <w:u w:val="single" w:color="auto"/>
        </w:rPr>
        <w:tab/>
      </w:r>
      <w:r>
        <w:rPr>
          <w:rFonts w:ascii="宋体" w:hAnsi="宋体" w:eastAsia="宋体" w:cs="宋体"/>
          <w:spacing w:val="13"/>
          <w:sz w:val="31"/>
          <w:szCs w:val="31"/>
        </w:rPr>
        <w:t>（项目名称</w:t>
      </w:r>
      <w:r>
        <w:rPr>
          <w:rFonts w:ascii="宋体" w:hAnsi="宋体" w:eastAsia="宋体" w:cs="宋体"/>
          <w:spacing w:val="-12"/>
          <w:sz w:val="31"/>
          <w:szCs w:val="31"/>
        </w:rPr>
        <w:t>）</w:t>
      </w:r>
      <w:r>
        <w:rPr>
          <w:rFonts w:ascii="宋体" w:hAnsi="宋体" w:eastAsia="宋体" w:cs="宋体"/>
          <w:spacing w:val="5"/>
          <w:sz w:val="31"/>
          <w:szCs w:val="31"/>
          <w:u w:val="single" w:color="auto"/>
        </w:rPr>
        <w:t xml:space="preserve">     </w:t>
      </w:r>
      <w:r>
        <w:rPr>
          <w:rFonts w:ascii="宋体" w:hAnsi="宋体" w:eastAsia="宋体" w:cs="宋体"/>
          <w:spacing w:val="-12"/>
          <w:sz w:val="31"/>
          <w:szCs w:val="31"/>
        </w:rPr>
        <w:t>（</w:t>
      </w:r>
      <w:r>
        <w:rPr>
          <w:rFonts w:ascii="宋体" w:hAnsi="宋体" w:eastAsia="宋体" w:cs="宋体"/>
          <w:spacing w:val="13"/>
          <w:sz w:val="31"/>
          <w:szCs w:val="31"/>
        </w:rPr>
        <w:t>标段名称）</w:t>
      </w:r>
      <w:r>
        <w:rPr>
          <w:spacing w:val="13"/>
          <w:sz w:val="31"/>
          <w:szCs w:val="31"/>
        </w:rPr>
        <w:t>施工招标</w:t>
      </w:r>
    </w:p>
    <w:p w14:paraId="5390DDB4">
      <w:pPr>
        <w:spacing w:line="281" w:lineRule="auto"/>
        <w:rPr>
          <w:rFonts w:ascii="Arial"/>
          <w:sz w:val="21"/>
        </w:rPr>
      </w:pPr>
    </w:p>
    <w:p w14:paraId="2C20DCB8">
      <w:pPr>
        <w:spacing w:line="281" w:lineRule="auto"/>
        <w:rPr>
          <w:rFonts w:ascii="Arial"/>
          <w:sz w:val="21"/>
        </w:rPr>
      </w:pPr>
    </w:p>
    <w:p w14:paraId="3D7BC19E">
      <w:pPr>
        <w:spacing w:line="281" w:lineRule="auto"/>
        <w:rPr>
          <w:rFonts w:ascii="Arial"/>
          <w:sz w:val="21"/>
        </w:rPr>
      </w:pPr>
    </w:p>
    <w:p w14:paraId="6B17812F">
      <w:pPr>
        <w:spacing w:line="281" w:lineRule="auto"/>
        <w:rPr>
          <w:rFonts w:ascii="Arial"/>
          <w:sz w:val="21"/>
        </w:rPr>
      </w:pPr>
    </w:p>
    <w:p w14:paraId="49FFAB43">
      <w:pPr>
        <w:spacing w:line="282" w:lineRule="auto"/>
        <w:rPr>
          <w:rFonts w:ascii="Arial"/>
          <w:sz w:val="21"/>
        </w:rPr>
      </w:pPr>
    </w:p>
    <w:p w14:paraId="0535C781">
      <w:pPr>
        <w:pStyle w:val="2"/>
        <w:spacing w:before="231" w:line="224" w:lineRule="auto"/>
        <w:ind w:left="2211"/>
        <w:rPr>
          <w:sz w:val="71"/>
          <w:szCs w:val="71"/>
        </w:rPr>
      </w:pPr>
      <w:r>
        <w:rPr>
          <w:spacing w:val="-6"/>
          <w:sz w:val="71"/>
          <w:szCs w:val="71"/>
        </w:rPr>
        <w:t>招 标</w:t>
      </w:r>
      <w:r>
        <w:rPr>
          <w:spacing w:val="43"/>
          <w:sz w:val="71"/>
          <w:szCs w:val="71"/>
        </w:rPr>
        <w:t xml:space="preserve"> </w:t>
      </w:r>
      <w:r>
        <w:rPr>
          <w:spacing w:val="-6"/>
          <w:sz w:val="71"/>
          <w:szCs w:val="71"/>
        </w:rPr>
        <w:t>文</w:t>
      </w:r>
      <w:r>
        <w:rPr>
          <w:spacing w:val="28"/>
          <w:sz w:val="71"/>
          <w:szCs w:val="71"/>
        </w:rPr>
        <w:t xml:space="preserve"> </w:t>
      </w:r>
      <w:r>
        <w:rPr>
          <w:spacing w:val="-6"/>
          <w:sz w:val="71"/>
          <w:szCs w:val="71"/>
        </w:rPr>
        <w:t>件</w:t>
      </w:r>
    </w:p>
    <w:p w14:paraId="0C4D3678">
      <w:pPr>
        <w:spacing w:line="301" w:lineRule="auto"/>
        <w:rPr>
          <w:rFonts w:ascii="Arial"/>
          <w:sz w:val="21"/>
        </w:rPr>
      </w:pPr>
    </w:p>
    <w:p w14:paraId="6C5A8BAF">
      <w:pPr>
        <w:spacing w:line="301" w:lineRule="auto"/>
        <w:rPr>
          <w:rFonts w:ascii="Arial"/>
          <w:sz w:val="21"/>
        </w:rPr>
      </w:pPr>
    </w:p>
    <w:p w14:paraId="67F59650">
      <w:pPr>
        <w:pStyle w:val="2"/>
        <w:spacing w:before="91" w:line="222" w:lineRule="auto"/>
        <w:ind w:left="2683"/>
        <w:rPr>
          <w:sz w:val="28"/>
          <w:szCs w:val="28"/>
        </w:rPr>
      </w:pPr>
      <w:r>
        <w:rPr>
          <w:spacing w:val="-2"/>
          <w:sz w:val="28"/>
          <w:szCs w:val="28"/>
        </w:rPr>
        <w:t>招标编号：</w:t>
      </w:r>
      <w:r>
        <w:rPr>
          <w:sz w:val="28"/>
          <w:szCs w:val="28"/>
          <w:u w:val="single" w:color="auto"/>
        </w:rPr>
        <w:t xml:space="preserve">          </w:t>
      </w:r>
    </w:p>
    <w:p w14:paraId="3C628E80">
      <w:pPr>
        <w:spacing w:line="242" w:lineRule="auto"/>
        <w:rPr>
          <w:rFonts w:ascii="Arial"/>
          <w:sz w:val="21"/>
        </w:rPr>
      </w:pPr>
    </w:p>
    <w:p w14:paraId="710D1A7F">
      <w:pPr>
        <w:spacing w:line="242" w:lineRule="auto"/>
        <w:rPr>
          <w:rFonts w:ascii="Arial"/>
          <w:sz w:val="21"/>
        </w:rPr>
      </w:pPr>
    </w:p>
    <w:p w14:paraId="22642D1E">
      <w:pPr>
        <w:spacing w:line="242" w:lineRule="auto"/>
        <w:rPr>
          <w:rFonts w:ascii="Arial"/>
          <w:sz w:val="21"/>
        </w:rPr>
      </w:pPr>
    </w:p>
    <w:p w14:paraId="0209512D">
      <w:pPr>
        <w:spacing w:line="242" w:lineRule="auto"/>
        <w:rPr>
          <w:rFonts w:ascii="Arial"/>
          <w:sz w:val="21"/>
        </w:rPr>
      </w:pPr>
    </w:p>
    <w:p w14:paraId="0956E99E">
      <w:pPr>
        <w:spacing w:line="242" w:lineRule="auto"/>
        <w:rPr>
          <w:rFonts w:ascii="Arial"/>
          <w:sz w:val="21"/>
        </w:rPr>
      </w:pPr>
    </w:p>
    <w:p w14:paraId="058D3FCA">
      <w:pPr>
        <w:spacing w:line="242" w:lineRule="auto"/>
        <w:rPr>
          <w:rFonts w:ascii="Arial"/>
          <w:sz w:val="21"/>
        </w:rPr>
      </w:pPr>
    </w:p>
    <w:p w14:paraId="64D84E97">
      <w:pPr>
        <w:spacing w:line="242" w:lineRule="auto"/>
        <w:rPr>
          <w:rFonts w:ascii="Arial"/>
          <w:sz w:val="21"/>
        </w:rPr>
      </w:pPr>
    </w:p>
    <w:p w14:paraId="17B0CBF5">
      <w:pPr>
        <w:spacing w:line="242" w:lineRule="auto"/>
        <w:rPr>
          <w:rFonts w:ascii="Arial"/>
          <w:sz w:val="21"/>
        </w:rPr>
      </w:pPr>
    </w:p>
    <w:p w14:paraId="6F9B8C8F">
      <w:pPr>
        <w:spacing w:line="242" w:lineRule="auto"/>
        <w:rPr>
          <w:rFonts w:ascii="Arial"/>
          <w:sz w:val="21"/>
        </w:rPr>
      </w:pPr>
    </w:p>
    <w:p w14:paraId="33ECE105">
      <w:pPr>
        <w:spacing w:line="242" w:lineRule="auto"/>
        <w:rPr>
          <w:rFonts w:ascii="Arial"/>
          <w:sz w:val="21"/>
        </w:rPr>
      </w:pPr>
    </w:p>
    <w:p w14:paraId="57C0577A">
      <w:pPr>
        <w:spacing w:line="242" w:lineRule="auto"/>
        <w:rPr>
          <w:rFonts w:ascii="Arial"/>
          <w:sz w:val="21"/>
        </w:rPr>
      </w:pPr>
    </w:p>
    <w:p w14:paraId="3F298C39">
      <w:pPr>
        <w:spacing w:line="242" w:lineRule="auto"/>
        <w:rPr>
          <w:rFonts w:ascii="Arial"/>
          <w:sz w:val="21"/>
        </w:rPr>
      </w:pPr>
    </w:p>
    <w:p w14:paraId="0E0A025C">
      <w:pPr>
        <w:spacing w:line="242" w:lineRule="auto"/>
        <w:rPr>
          <w:rFonts w:ascii="Arial"/>
          <w:sz w:val="21"/>
        </w:rPr>
      </w:pPr>
    </w:p>
    <w:p w14:paraId="6FD5746F">
      <w:pPr>
        <w:spacing w:line="242" w:lineRule="auto"/>
        <w:rPr>
          <w:rFonts w:ascii="Arial"/>
          <w:sz w:val="21"/>
        </w:rPr>
      </w:pPr>
    </w:p>
    <w:p w14:paraId="1BE655C9">
      <w:pPr>
        <w:spacing w:line="242" w:lineRule="auto"/>
        <w:rPr>
          <w:rFonts w:ascii="Arial"/>
          <w:sz w:val="21"/>
        </w:rPr>
      </w:pPr>
    </w:p>
    <w:p w14:paraId="1F34176D">
      <w:pPr>
        <w:spacing w:line="242" w:lineRule="auto"/>
        <w:rPr>
          <w:rFonts w:ascii="Arial"/>
          <w:sz w:val="21"/>
        </w:rPr>
      </w:pPr>
    </w:p>
    <w:p w14:paraId="531AA8B8">
      <w:pPr>
        <w:spacing w:line="243" w:lineRule="auto"/>
        <w:rPr>
          <w:rFonts w:ascii="Arial"/>
          <w:sz w:val="21"/>
        </w:rPr>
      </w:pPr>
    </w:p>
    <w:p w14:paraId="6C37BD45">
      <w:pPr>
        <w:spacing w:line="243" w:lineRule="auto"/>
        <w:rPr>
          <w:rFonts w:ascii="Arial"/>
          <w:sz w:val="21"/>
        </w:rPr>
      </w:pPr>
    </w:p>
    <w:p w14:paraId="676DE68D">
      <w:pPr>
        <w:pStyle w:val="2"/>
        <w:spacing w:before="101" w:line="227" w:lineRule="auto"/>
        <w:ind w:left="462"/>
        <w:rPr>
          <w:sz w:val="31"/>
          <w:szCs w:val="31"/>
        </w:rPr>
      </w:pPr>
      <w:r>
        <w:rPr>
          <w:spacing w:val="10"/>
          <w:sz w:val="31"/>
          <w:szCs w:val="31"/>
        </w:rPr>
        <w:t>招标人/招标代理机构</w:t>
      </w:r>
      <w:r>
        <w:rPr>
          <w:spacing w:val="-5"/>
          <w:sz w:val="31"/>
          <w:szCs w:val="31"/>
        </w:rPr>
        <w:t>：</w:t>
      </w:r>
      <w:r>
        <w:rPr>
          <w:spacing w:val="5"/>
          <w:sz w:val="31"/>
          <w:szCs w:val="31"/>
          <w:u w:val="single" w:color="auto"/>
        </w:rPr>
        <w:t xml:space="preserve">                 </w:t>
      </w:r>
      <w:r>
        <w:rPr>
          <w:spacing w:val="-5"/>
          <w:sz w:val="31"/>
          <w:szCs w:val="31"/>
        </w:rPr>
        <w:t>（</w:t>
      </w:r>
      <w:r>
        <w:rPr>
          <w:spacing w:val="10"/>
          <w:sz w:val="31"/>
          <w:szCs w:val="31"/>
        </w:rPr>
        <w:t>盖章）</w:t>
      </w:r>
    </w:p>
    <w:p w14:paraId="6F8DC7AE">
      <w:pPr>
        <w:spacing w:before="247" w:line="225" w:lineRule="auto"/>
        <w:ind w:left="518"/>
        <w:rPr>
          <w:rFonts w:ascii="宋体" w:hAnsi="宋体" w:eastAsia="宋体" w:cs="宋体"/>
          <w:sz w:val="31"/>
          <w:szCs w:val="31"/>
        </w:rPr>
      </w:pPr>
      <w:r>
        <w:rPr>
          <w:rFonts w:ascii="宋体" w:hAnsi="宋体" w:eastAsia="宋体" w:cs="宋体"/>
          <w:spacing w:val="-12"/>
          <w:sz w:val="31"/>
          <w:szCs w:val="31"/>
        </w:rPr>
        <w:t>日</w:t>
      </w:r>
      <w:r>
        <w:rPr>
          <w:rFonts w:ascii="宋体" w:hAnsi="宋体" w:eastAsia="宋体" w:cs="宋体"/>
          <w:spacing w:val="9"/>
          <w:sz w:val="31"/>
          <w:szCs w:val="31"/>
        </w:rPr>
        <w:t xml:space="preserve">    </w:t>
      </w:r>
      <w:r>
        <w:rPr>
          <w:rFonts w:ascii="宋体" w:hAnsi="宋体" w:eastAsia="宋体" w:cs="宋体"/>
          <w:spacing w:val="-12"/>
          <w:sz w:val="31"/>
          <w:szCs w:val="31"/>
        </w:rPr>
        <w:t>期：</w:t>
      </w:r>
      <w:r>
        <w:rPr>
          <w:rFonts w:ascii="宋体" w:hAnsi="宋体" w:eastAsia="宋体" w:cs="宋体"/>
          <w:spacing w:val="5"/>
          <w:sz w:val="31"/>
          <w:szCs w:val="31"/>
          <w:u w:val="single" w:color="auto"/>
        </w:rPr>
        <w:t xml:space="preserve">           </w:t>
      </w:r>
      <w:r>
        <w:rPr>
          <w:rFonts w:ascii="宋体" w:hAnsi="宋体" w:eastAsia="宋体" w:cs="宋体"/>
          <w:spacing w:val="-140"/>
          <w:sz w:val="31"/>
          <w:szCs w:val="31"/>
        </w:rPr>
        <w:t xml:space="preserve"> </w:t>
      </w:r>
      <w:r>
        <w:rPr>
          <w:rFonts w:ascii="宋体" w:hAnsi="宋体" w:eastAsia="宋体" w:cs="宋体"/>
          <w:spacing w:val="-12"/>
          <w:sz w:val="31"/>
          <w:szCs w:val="31"/>
        </w:rPr>
        <w:t>年</w:t>
      </w:r>
      <w:r>
        <w:rPr>
          <w:rFonts w:ascii="宋体" w:hAnsi="宋体" w:eastAsia="宋体" w:cs="宋体"/>
          <w:spacing w:val="-155"/>
          <w:sz w:val="31"/>
          <w:szCs w:val="31"/>
        </w:rPr>
        <w:t xml:space="preserve"> </w:t>
      </w:r>
      <w:r>
        <w:rPr>
          <w:rFonts w:ascii="宋体" w:hAnsi="宋体" w:eastAsia="宋体" w:cs="宋体"/>
          <w:spacing w:val="5"/>
          <w:sz w:val="31"/>
          <w:szCs w:val="31"/>
          <w:u w:val="single" w:color="auto"/>
        </w:rPr>
        <w:t xml:space="preserve">         </w:t>
      </w:r>
      <w:r>
        <w:rPr>
          <w:rFonts w:ascii="宋体" w:hAnsi="宋体" w:eastAsia="宋体" w:cs="宋体"/>
          <w:spacing w:val="-135"/>
          <w:sz w:val="31"/>
          <w:szCs w:val="31"/>
        </w:rPr>
        <w:t xml:space="preserve"> </w:t>
      </w:r>
      <w:r>
        <w:rPr>
          <w:rFonts w:ascii="宋体" w:hAnsi="宋体" w:eastAsia="宋体" w:cs="宋体"/>
          <w:spacing w:val="-12"/>
          <w:sz w:val="31"/>
          <w:szCs w:val="31"/>
        </w:rPr>
        <w:t>月</w:t>
      </w:r>
      <w:r>
        <w:rPr>
          <w:rFonts w:ascii="宋体" w:hAnsi="宋体" w:eastAsia="宋体" w:cs="宋体"/>
          <w:spacing w:val="-153"/>
          <w:sz w:val="31"/>
          <w:szCs w:val="31"/>
        </w:rPr>
        <w:t xml:space="preserve"> </w:t>
      </w:r>
      <w:r>
        <w:rPr>
          <w:rFonts w:ascii="宋体" w:hAnsi="宋体" w:eastAsia="宋体" w:cs="宋体"/>
          <w:spacing w:val="5"/>
          <w:sz w:val="31"/>
          <w:szCs w:val="31"/>
          <w:u w:val="single" w:color="auto"/>
        </w:rPr>
        <w:t xml:space="preserve">         </w:t>
      </w:r>
      <w:r>
        <w:rPr>
          <w:rFonts w:ascii="宋体" w:hAnsi="宋体" w:eastAsia="宋体" w:cs="宋体"/>
          <w:spacing w:val="-87"/>
          <w:sz w:val="31"/>
          <w:szCs w:val="31"/>
        </w:rPr>
        <w:t xml:space="preserve"> </w:t>
      </w:r>
      <w:r>
        <w:rPr>
          <w:rFonts w:ascii="宋体" w:hAnsi="宋体" w:eastAsia="宋体" w:cs="宋体"/>
          <w:spacing w:val="-12"/>
          <w:sz w:val="31"/>
          <w:szCs w:val="31"/>
        </w:rPr>
        <w:t>日</w:t>
      </w:r>
    </w:p>
    <w:p w14:paraId="6C6E0C37">
      <w:pPr>
        <w:spacing w:line="225" w:lineRule="auto"/>
        <w:rPr>
          <w:rFonts w:ascii="宋体" w:hAnsi="宋体" w:eastAsia="宋体" w:cs="宋体"/>
          <w:sz w:val="31"/>
          <w:szCs w:val="31"/>
        </w:rPr>
        <w:sectPr>
          <w:footerReference r:id="rId9" w:type="default"/>
          <w:pgSz w:w="11906" w:h="16839"/>
          <w:pgMar w:top="1431" w:right="1785" w:bottom="400" w:left="1785" w:header="0" w:footer="0" w:gutter="0"/>
          <w:cols w:space="720" w:num="1"/>
        </w:sectPr>
      </w:pPr>
    </w:p>
    <w:sdt>
      <w:sdtPr>
        <w:rPr>
          <w:rFonts w:ascii="黑体" w:hAnsi="黑体" w:eastAsia="黑体" w:cs="黑体"/>
          <w:sz w:val="31"/>
          <w:szCs w:val="31"/>
        </w:rPr>
        <w:id w:val="147461825"/>
        <w:docPartObj>
          <w:docPartGallery w:val="Table of Contents"/>
          <w:docPartUnique/>
        </w:docPartObj>
      </w:sdtPr>
      <w:sdtEndPr>
        <w:rPr>
          <w:rFonts w:ascii="Times New Roman" w:hAnsi="Times New Roman" w:eastAsia="Times New Roman" w:cs="Times New Roman"/>
          <w:sz w:val="24"/>
          <w:szCs w:val="24"/>
        </w:rPr>
      </w:sdtEndPr>
      <w:sdtContent>
        <w:p w14:paraId="5DEFACE5">
          <w:pPr>
            <w:pStyle w:val="2"/>
            <w:spacing w:before="167" w:line="227" w:lineRule="auto"/>
            <w:ind w:left="3956"/>
            <w:rPr>
              <w:sz w:val="31"/>
              <w:szCs w:val="31"/>
            </w:rPr>
          </w:pPr>
          <w:r>
            <w:rPr>
              <w:spacing w:val="-22"/>
              <w:sz w:val="31"/>
              <w:szCs w:val="31"/>
            </w:rPr>
            <w:t>目</w:t>
          </w:r>
          <w:r>
            <w:rPr>
              <w:spacing w:val="13"/>
              <w:sz w:val="31"/>
              <w:szCs w:val="31"/>
            </w:rPr>
            <w:t xml:space="preserve">  </w:t>
          </w:r>
          <w:r>
            <w:rPr>
              <w:spacing w:val="-22"/>
              <w:sz w:val="31"/>
              <w:szCs w:val="31"/>
            </w:rPr>
            <w:t>录</w:t>
          </w:r>
        </w:p>
        <w:p w14:paraId="2F0CBBCB">
          <w:pPr>
            <w:spacing w:line="455" w:lineRule="auto"/>
            <w:rPr>
              <w:rFonts w:ascii="Arial"/>
              <w:sz w:val="21"/>
            </w:rPr>
          </w:pPr>
        </w:p>
        <w:p w14:paraId="2E8B7B06">
          <w:pPr>
            <w:pStyle w:val="2"/>
            <w:tabs>
              <w:tab w:val="right" w:leader="dot" w:pos="8320"/>
            </w:tabs>
            <w:spacing w:before="78" w:line="187" w:lineRule="auto"/>
            <w:ind w:left="23"/>
            <w:rPr>
              <w:rFonts w:ascii="Times New Roman" w:hAnsi="Times New Roman" w:eastAsia="Times New Roman" w:cs="Times New Roman"/>
              <w:sz w:val="24"/>
              <w:szCs w:val="24"/>
            </w:rPr>
          </w:pPr>
          <w:r>
            <w:fldChar w:fldCharType="begin"/>
          </w:r>
          <w:r>
            <w:instrText xml:space="preserve"> HYPERLINK \l "bookmark3" </w:instrText>
          </w:r>
          <w:r>
            <w:fldChar w:fldCharType="separate"/>
          </w:r>
          <w:r>
            <w:rPr>
              <w:spacing w:val="-4"/>
              <w:sz w:val="24"/>
              <w:szCs w:val="24"/>
            </w:rPr>
            <w:t>第一卷</w:t>
          </w:r>
          <w:r>
            <w:rPr>
              <w:spacing w:val="-73"/>
              <w:sz w:val="24"/>
              <w:szCs w:val="24"/>
            </w:rPr>
            <w:t xml:space="preserve"> </w:t>
          </w:r>
          <w:r>
            <w:rPr>
              <w:sz w:val="24"/>
              <w:szCs w:val="24"/>
            </w:rPr>
            <w:tab/>
          </w:r>
          <w:r>
            <w:rPr>
              <w:spacing w:val="-34"/>
              <w:sz w:val="24"/>
              <w:szCs w:val="24"/>
            </w:rPr>
            <w:t xml:space="preserve"> </w:t>
          </w:r>
          <w:r>
            <w:rPr>
              <w:rFonts w:ascii="Times New Roman" w:hAnsi="Times New Roman" w:eastAsia="Times New Roman" w:cs="Times New Roman"/>
              <w:spacing w:val="-29"/>
              <w:sz w:val="24"/>
              <w:szCs w:val="24"/>
            </w:rPr>
            <w:t>1</w:t>
          </w:r>
          <w:r>
            <w:rPr>
              <w:rFonts w:ascii="Times New Roman" w:hAnsi="Times New Roman" w:eastAsia="Times New Roman" w:cs="Times New Roman"/>
              <w:spacing w:val="-29"/>
              <w:sz w:val="24"/>
              <w:szCs w:val="24"/>
            </w:rPr>
            <w:fldChar w:fldCharType="end"/>
          </w:r>
        </w:p>
        <w:p w14:paraId="27DCC5AF">
          <w:pPr>
            <w:pStyle w:val="2"/>
            <w:tabs>
              <w:tab w:val="right" w:leader="dot" w:pos="8320"/>
            </w:tabs>
            <w:spacing w:before="131" w:line="187" w:lineRule="auto"/>
            <w:ind w:left="23"/>
            <w:rPr>
              <w:rFonts w:ascii="Times New Roman" w:hAnsi="Times New Roman" w:eastAsia="Times New Roman" w:cs="Times New Roman"/>
              <w:sz w:val="24"/>
              <w:szCs w:val="24"/>
            </w:rPr>
          </w:pPr>
          <w:r>
            <w:fldChar w:fldCharType="begin"/>
          </w:r>
          <w:r>
            <w:instrText xml:space="preserve"> HYPERLINK \l "bookmark4" </w:instrText>
          </w:r>
          <w:r>
            <w:fldChar w:fldCharType="separate"/>
          </w:r>
          <w:r>
            <w:rPr>
              <w:spacing w:val="-1"/>
              <w:sz w:val="24"/>
              <w:szCs w:val="24"/>
            </w:rPr>
            <w:t>第一章  投标邀请书（</w:t>
          </w:r>
          <w:r>
            <w:rPr>
              <w:rFonts w:ascii="宋体" w:hAnsi="宋体" w:eastAsia="宋体" w:cs="宋体"/>
              <w:spacing w:val="-1"/>
              <w:sz w:val="24"/>
              <w:szCs w:val="24"/>
            </w:rPr>
            <w:t>适用于已进行资格预审）</w:t>
          </w:r>
          <w:r>
            <w:rPr>
              <w:rFonts w:ascii="宋体" w:hAnsi="宋体" w:eastAsia="宋体" w:cs="宋体"/>
              <w:spacing w:val="-6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p>
        <w:p w14:paraId="39F8E861">
          <w:pPr>
            <w:pStyle w:val="2"/>
            <w:tabs>
              <w:tab w:val="right" w:leader="dot" w:pos="8320"/>
            </w:tabs>
            <w:spacing w:before="128" w:line="188" w:lineRule="auto"/>
            <w:ind w:left="23"/>
            <w:rPr>
              <w:rFonts w:ascii="Times New Roman" w:hAnsi="Times New Roman" w:eastAsia="Times New Roman" w:cs="Times New Roman"/>
              <w:sz w:val="24"/>
              <w:szCs w:val="24"/>
            </w:rPr>
          </w:pPr>
          <w:r>
            <w:fldChar w:fldCharType="begin"/>
          </w:r>
          <w:r>
            <w:instrText xml:space="preserve"> HYPERLINK \l "bookmark5" </w:instrText>
          </w:r>
          <w:r>
            <w:fldChar w:fldCharType="separate"/>
          </w:r>
          <w:r>
            <w:rPr>
              <w:spacing w:val="-1"/>
              <w:sz w:val="24"/>
              <w:szCs w:val="24"/>
            </w:rPr>
            <w:t>第二章  投标人须知</w:t>
          </w:r>
          <w:r>
            <w:rPr>
              <w:spacing w:val="-75"/>
              <w:sz w:val="24"/>
              <w:szCs w:val="24"/>
            </w:rPr>
            <w:t xml:space="preserve"> </w:t>
          </w:r>
          <w:r>
            <w:rPr>
              <w:sz w:val="24"/>
              <w:szCs w:val="24"/>
            </w:rPr>
            <w:tab/>
          </w:r>
          <w:r>
            <w:rPr>
              <w:spacing w:val="-51"/>
              <w:sz w:val="24"/>
              <w:szCs w:val="24"/>
            </w:rPr>
            <w:t xml:space="preserve"> </w:t>
          </w:r>
          <w:r>
            <w:rPr>
              <w:rFonts w:ascii="Times New Roman" w:hAnsi="Times New Roman" w:eastAsia="Times New Roman" w:cs="Times New Roman"/>
              <w:sz w:val="24"/>
              <w:szCs w:val="24"/>
            </w:rPr>
            <w:t>5</w:t>
          </w:r>
          <w:r>
            <w:rPr>
              <w:rFonts w:ascii="Times New Roman" w:hAnsi="Times New Roman" w:eastAsia="Times New Roman" w:cs="Times New Roman"/>
              <w:sz w:val="24"/>
              <w:szCs w:val="24"/>
            </w:rPr>
            <w:fldChar w:fldCharType="end"/>
          </w:r>
        </w:p>
        <w:p w14:paraId="6A1F115F">
          <w:pPr>
            <w:tabs>
              <w:tab w:val="right" w:leader="dot" w:pos="8320"/>
            </w:tabs>
            <w:spacing w:before="133" w:line="184" w:lineRule="auto"/>
            <w:ind w:left="446"/>
            <w:rPr>
              <w:rFonts w:ascii="Times New Roman" w:hAnsi="Times New Roman" w:eastAsia="Times New Roman" w:cs="Times New Roman"/>
              <w:sz w:val="24"/>
              <w:szCs w:val="24"/>
            </w:rPr>
          </w:pPr>
          <w:r>
            <w:fldChar w:fldCharType="begin"/>
          </w:r>
          <w:r>
            <w:instrText xml:space="preserve"> HYPERLINK \l "bookmark6" </w:instrText>
          </w:r>
          <w:r>
            <w:fldChar w:fldCharType="separate"/>
          </w:r>
          <w:r>
            <w:rPr>
              <w:rFonts w:ascii="宋体" w:hAnsi="宋体" w:eastAsia="宋体" w:cs="宋体"/>
              <w:spacing w:val="-2"/>
              <w:sz w:val="24"/>
              <w:szCs w:val="24"/>
            </w:rPr>
            <w:t>投标人须知前附表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z w:val="24"/>
              <w:szCs w:val="24"/>
            </w:rPr>
            <w:t>5</w:t>
          </w:r>
          <w:r>
            <w:rPr>
              <w:rFonts w:ascii="Times New Roman" w:hAnsi="Times New Roman" w:eastAsia="Times New Roman" w:cs="Times New Roman"/>
              <w:sz w:val="24"/>
              <w:szCs w:val="24"/>
            </w:rPr>
            <w:fldChar w:fldCharType="end"/>
          </w:r>
        </w:p>
        <w:p w14:paraId="4DE14C81">
          <w:pPr>
            <w:tabs>
              <w:tab w:val="right" w:leader="dot" w:pos="8320"/>
            </w:tabs>
            <w:spacing w:before="133" w:line="184" w:lineRule="auto"/>
            <w:ind w:left="446"/>
            <w:rPr>
              <w:rFonts w:ascii="Times New Roman" w:hAnsi="Times New Roman" w:eastAsia="Times New Roman" w:cs="Times New Roman"/>
              <w:sz w:val="24"/>
              <w:szCs w:val="24"/>
            </w:rPr>
          </w:pPr>
          <w:r>
            <w:fldChar w:fldCharType="begin"/>
          </w:r>
          <w:r>
            <w:instrText xml:space="preserve"> HYPERLINK \l "bookmark7" </w:instrText>
          </w:r>
          <w:r>
            <w:fldChar w:fldCharType="separate"/>
          </w:r>
          <w:r>
            <w:rPr>
              <w:rFonts w:ascii="宋体" w:hAnsi="宋体" w:eastAsia="宋体" w:cs="宋体"/>
              <w:spacing w:val="-2"/>
              <w:sz w:val="24"/>
              <w:szCs w:val="24"/>
            </w:rPr>
            <w:t>投标人须知正文部分</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12</w:t>
          </w:r>
          <w:r>
            <w:rPr>
              <w:rFonts w:ascii="Times New Roman" w:hAnsi="Times New Roman" w:eastAsia="Times New Roman" w:cs="Times New Roman"/>
              <w:spacing w:val="-15"/>
              <w:sz w:val="24"/>
              <w:szCs w:val="24"/>
            </w:rPr>
            <w:fldChar w:fldCharType="end"/>
          </w:r>
        </w:p>
        <w:p w14:paraId="003E5D69">
          <w:pPr>
            <w:tabs>
              <w:tab w:val="right" w:leader="dot" w:pos="8320"/>
            </w:tabs>
            <w:spacing w:before="137" w:line="185" w:lineRule="auto"/>
            <w:ind w:left="882"/>
            <w:rPr>
              <w:rFonts w:ascii="Times New Roman" w:hAnsi="Times New Roman" w:eastAsia="Times New Roman" w:cs="Times New Roman"/>
              <w:sz w:val="24"/>
              <w:szCs w:val="24"/>
            </w:rPr>
          </w:pPr>
          <w:r>
            <w:fldChar w:fldCharType="begin"/>
          </w:r>
          <w:r>
            <w:instrText xml:space="preserve"> HYPERLINK \l "bookmark8" </w:instrText>
          </w:r>
          <w:r>
            <w:fldChar w:fldCharType="separate"/>
          </w:r>
          <w:r>
            <w:rPr>
              <w:rFonts w:ascii="Times New Roman" w:hAnsi="Times New Roman" w:eastAsia="Times New Roman" w:cs="Times New Roman"/>
              <w:spacing w:val="-11"/>
              <w:sz w:val="24"/>
              <w:szCs w:val="24"/>
            </w:rPr>
            <w:t>1.</w:t>
          </w:r>
          <w:r>
            <w:rPr>
              <w:rFonts w:ascii="Times New Roman" w:hAnsi="Times New Roman" w:eastAsia="Times New Roman" w:cs="Times New Roman"/>
              <w:spacing w:val="7"/>
              <w:sz w:val="24"/>
              <w:szCs w:val="24"/>
            </w:rPr>
            <w:t xml:space="preserve">  </w:t>
          </w:r>
          <w:r>
            <w:rPr>
              <w:rFonts w:ascii="宋体" w:hAnsi="宋体" w:eastAsia="宋体" w:cs="宋体"/>
              <w:spacing w:val="-11"/>
              <w:sz w:val="24"/>
              <w:szCs w:val="24"/>
            </w:rPr>
            <w:t>总则</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12</w:t>
          </w:r>
          <w:r>
            <w:rPr>
              <w:rFonts w:ascii="Times New Roman" w:hAnsi="Times New Roman" w:eastAsia="Times New Roman" w:cs="Times New Roman"/>
              <w:spacing w:val="-15"/>
              <w:sz w:val="24"/>
              <w:szCs w:val="24"/>
            </w:rPr>
            <w:fldChar w:fldCharType="end"/>
          </w:r>
        </w:p>
        <w:p w14:paraId="577734AC">
          <w:pPr>
            <w:tabs>
              <w:tab w:val="right" w:leader="dot" w:pos="8320"/>
            </w:tabs>
            <w:spacing w:before="134" w:line="184" w:lineRule="auto"/>
            <w:ind w:left="1302"/>
            <w:rPr>
              <w:rFonts w:ascii="Times New Roman" w:hAnsi="Times New Roman" w:eastAsia="Times New Roman" w:cs="Times New Roman"/>
              <w:sz w:val="24"/>
              <w:szCs w:val="24"/>
            </w:rPr>
          </w:pPr>
          <w:r>
            <w:fldChar w:fldCharType="begin"/>
          </w:r>
          <w:r>
            <w:instrText xml:space="preserve"> HYPERLINK \l "bookmark9" </w:instrText>
          </w:r>
          <w:r>
            <w:fldChar w:fldCharType="separate"/>
          </w:r>
          <w:r>
            <w:rPr>
              <w:rFonts w:ascii="Times New Roman" w:hAnsi="Times New Roman" w:eastAsia="Times New Roman" w:cs="Times New Roman"/>
              <w:spacing w:val="-6"/>
              <w:sz w:val="24"/>
              <w:szCs w:val="24"/>
            </w:rPr>
            <w:t>1.1</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项目概况</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12</w:t>
          </w:r>
          <w:r>
            <w:rPr>
              <w:rFonts w:ascii="Times New Roman" w:hAnsi="Times New Roman" w:eastAsia="Times New Roman" w:cs="Times New Roman"/>
              <w:spacing w:val="-15"/>
              <w:sz w:val="24"/>
              <w:szCs w:val="24"/>
            </w:rPr>
            <w:fldChar w:fldCharType="end"/>
          </w:r>
        </w:p>
        <w:p w14:paraId="7E48C7FE">
          <w:pPr>
            <w:tabs>
              <w:tab w:val="right" w:leader="dot" w:pos="8320"/>
            </w:tabs>
            <w:spacing w:before="133" w:line="185" w:lineRule="auto"/>
            <w:ind w:left="1302"/>
            <w:rPr>
              <w:rFonts w:ascii="Times New Roman" w:hAnsi="Times New Roman" w:eastAsia="Times New Roman" w:cs="Times New Roman"/>
              <w:sz w:val="24"/>
              <w:szCs w:val="24"/>
            </w:rPr>
          </w:pPr>
          <w:r>
            <w:fldChar w:fldCharType="begin"/>
          </w:r>
          <w:r>
            <w:instrText xml:space="preserve"> HYPERLINK \l "bookmark10" </w:instrText>
          </w:r>
          <w:r>
            <w:fldChar w:fldCharType="separate"/>
          </w:r>
          <w:r>
            <w:rPr>
              <w:rFonts w:ascii="Times New Roman" w:hAnsi="Times New Roman" w:eastAsia="Times New Roman" w:cs="Times New Roman"/>
              <w:spacing w:val="-3"/>
              <w:sz w:val="24"/>
              <w:szCs w:val="24"/>
            </w:rPr>
            <w:t xml:space="preserve">1.2  </w:t>
          </w:r>
          <w:r>
            <w:rPr>
              <w:rFonts w:ascii="宋体" w:hAnsi="宋体" w:eastAsia="宋体" w:cs="宋体"/>
              <w:spacing w:val="-3"/>
              <w:sz w:val="24"/>
              <w:szCs w:val="24"/>
            </w:rPr>
            <w:t>资金来源和落实情况</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12</w:t>
          </w:r>
          <w:r>
            <w:rPr>
              <w:rFonts w:ascii="Times New Roman" w:hAnsi="Times New Roman" w:eastAsia="Times New Roman" w:cs="Times New Roman"/>
              <w:spacing w:val="-15"/>
              <w:sz w:val="24"/>
              <w:szCs w:val="24"/>
            </w:rPr>
            <w:fldChar w:fldCharType="end"/>
          </w:r>
        </w:p>
        <w:p w14:paraId="1DB4A470">
          <w:pPr>
            <w:tabs>
              <w:tab w:val="right" w:leader="dot" w:pos="8320"/>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"bookmark11" </w:instrText>
          </w:r>
          <w:r>
            <w:fldChar w:fldCharType="separate"/>
          </w:r>
          <w:r>
            <w:rPr>
              <w:rFonts w:ascii="Times New Roman" w:hAnsi="Times New Roman" w:eastAsia="Times New Roman" w:cs="Times New Roman"/>
              <w:spacing w:val="-2"/>
              <w:sz w:val="24"/>
              <w:szCs w:val="24"/>
            </w:rPr>
            <w:t xml:space="preserve">1.3  </w:t>
          </w:r>
          <w:r>
            <w:rPr>
              <w:rFonts w:ascii="宋体" w:hAnsi="宋体" w:eastAsia="宋体" w:cs="宋体"/>
              <w:spacing w:val="-2"/>
              <w:sz w:val="24"/>
              <w:szCs w:val="24"/>
            </w:rPr>
            <w:t>招标范围、计划工期和质量要求</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12</w:t>
          </w:r>
          <w:r>
            <w:rPr>
              <w:rFonts w:ascii="Times New Roman" w:hAnsi="Times New Roman" w:eastAsia="Times New Roman" w:cs="Times New Roman"/>
              <w:spacing w:val="-15"/>
              <w:sz w:val="24"/>
              <w:szCs w:val="24"/>
            </w:rPr>
            <w:fldChar w:fldCharType="end"/>
          </w:r>
        </w:p>
        <w:p w14:paraId="4404AD33">
          <w:pPr>
            <w:tabs>
              <w:tab w:val="right" w:leader="dot" w:pos="8320"/>
            </w:tabs>
            <w:spacing w:before="133" w:line="184" w:lineRule="auto"/>
            <w:ind w:left="1302"/>
            <w:rPr>
              <w:rFonts w:ascii="Times New Roman" w:hAnsi="Times New Roman" w:eastAsia="Times New Roman" w:cs="Times New Roman"/>
              <w:sz w:val="24"/>
              <w:szCs w:val="24"/>
            </w:rPr>
          </w:pPr>
          <w:r>
            <w:fldChar w:fldCharType="begin"/>
          </w:r>
          <w:r>
            <w:instrText xml:space="preserve"> HYPERLINK \l "bookmark12" </w:instrText>
          </w:r>
          <w:r>
            <w:fldChar w:fldCharType="separate"/>
          </w:r>
          <w:r>
            <w:rPr>
              <w:rFonts w:ascii="Times New Roman" w:hAnsi="Times New Roman" w:eastAsia="Times New Roman" w:cs="Times New Roman"/>
              <w:spacing w:val="-1"/>
              <w:sz w:val="24"/>
              <w:szCs w:val="24"/>
            </w:rPr>
            <w:t xml:space="preserve">1.4  </w:t>
          </w:r>
          <w:r>
            <w:rPr>
              <w:rFonts w:ascii="宋体" w:hAnsi="宋体" w:eastAsia="宋体" w:cs="宋体"/>
              <w:spacing w:val="-1"/>
              <w:sz w:val="24"/>
              <w:szCs w:val="24"/>
            </w:rPr>
            <w:t>投标人资格要求（适用于已进行资</w:t>
          </w:r>
          <w:r>
            <w:rPr>
              <w:rFonts w:ascii="宋体" w:hAnsi="宋体" w:eastAsia="宋体" w:cs="宋体"/>
              <w:spacing w:val="-2"/>
              <w:sz w:val="24"/>
              <w:szCs w:val="24"/>
            </w:rPr>
            <w:t>格预审的）</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12</w:t>
          </w:r>
          <w:r>
            <w:rPr>
              <w:rFonts w:ascii="Times New Roman" w:hAnsi="Times New Roman" w:eastAsia="Times New Roman" w:cs="Times New Roman"/>
              <w:spacing w:val="-15"/>
              <w:sz w:val="24"/>
              <w:szCs w:val="24"/>
            </w:rPr>
            <w:fldChar w:fldCharType="end"/>
          </w:r>
        </w:p>
        <w:p w14:paraId="0DFFAF1D">
          <w:pPr>
            <w:tabs>
              <w:tab w:val="right" w:leader="dot" w:pos="8320"/>
            </w:tabs>
            <w:spacing w:before="135" w:line="185" w:lineRule="auto"/>
            <w:ind w:left="1302"/>
            <w:rPr>
              <w:rFonts w:ascii="Times New Roman" w:hAnsi="Times New Roman" w:eastAsia="Times New Roman" w:cs="Times New Roman"/>
              <w:sz w:val="24"/>
              <w:szCs w:val="24"/>
            </w:rPr>
          </w:pPr>
          <w:r>
            <w:fldChar w:fldCharType="begin"/>
          </w:r>
          <w:r>
            <w:instrText xml:space="preserve"> HYPERLINK \l "bookmark13" </w:instrText>
          </w:r>
          <w:r>
            <w:fldChar w:fldCharType="separate"/>
          </w:r>
          <w:r>
            <w:rPr>
              <w:rFonts w:ascii="Times New Roman" w:hAnsi="Times New Roman" w:eastAsia="Times New Roman" w:cs="Times New Roman"/>
              <w:spacing w:val="-8"/>
              <w:sz w:val="24"/>
              <w:szCs w:val="24"/>
            </w:rPr>
            <w:t>1.5</w:t>
          </w:r>
          <w:r>
            <w:rPr>
              <w:rFonts w:ascii="Times New Roman" w:hAnsi="Times New Roman" w:eastAsia="Times New Roman" w:cs="Times New Roman"/>
              <w:spacing w:val="13"/>
              <w:sz w:val="24"/>
              <w:szCs w:val="24"/>
            </w:rPr>
            <w:t xml:space="preserve">  </w:t>
          </w:r>
          <w:r>
            <w:rPr>
              <w:rFonts w:ascii="宋体" w:hAnsi="宋体" w:eastAsia="宋体" w:cs="宋体"/>
              <w:spacing w:val="-8"/>
              <w:sz w:val="24"/>
              <w:szCs w:val="24"/>
            </w:rPr>
            <w:t>费用承担</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12</w:t>
          </w:r>
          <w:r>
            <w:rPr>
              <w:rFonts w:ascii="Times New Roman" w:hAnsi="Times New Roman" w:eastAsia="Times New Roman" w:cs="Times New Roman"/>
              <w:spacing w:val="-15"/>
              <w:sz w:val="24"/>
              <w:szCs w:val="24"/>
            </w:rPr>
            <w:fldChar w:fldCharType="end"/>
          </w:r>
        </w:p>
        <w:p w14:paraId="4C49EE85">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"bookmark14" </w:instrText>
          </w:r>
          <w:r>
            <w:fldChar w:fldCharType="separate"/>
          </w:r>
          <w:r>
            <w:rPr>
              <w:rFonts w:ascii="Times New Roman" w:hAnsi="Times New Roman" w:eastAsia="Times New Roman" w:cs="Times New Roman"/>
              <w:spacing w:val="-8"/>
              <w:sz w:val="24"/>
              <w:szCs w:val="24"/>
            </w:rPr>
            <w:t>1.6</w:t>
          </w:r>
          <w:r>
            <w:rPr>
              <w:rFonts w:ascii="Times New Roman" w:hAnsi="Times New Roman" w:eastAsia="Times New Roman" w:cs="Times New Roman"/>
              <w:spacing w:val="5"/>
              <w:sz w:val="24"/>
              <w:szCs w:val="24"/>
            </w:rPr>
            <w:t xml:space="preserve">  </w:t>
          </w:r>
          <w:r>
            <w:rPr>
              <w:rFonts w:ascii="宋体" w:hAnsi="宋体" w:eastAsia="宋体" w:cs="宋体"/>
              <w:spacing w:val="-8"/>
              <w:sz w:val="24"/>
              <w:szCs w:val="24"/>
            </w:rPr>
            <w:t>保密</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12</w:t>
          </w:r>
          <w:r>
            <w:rPr>
              <w:rFonts w:ascii="Times New Roman" w:hAnsi="Times New Roman" w:eastAsia="Times New Roman" w:cs="Times New Roman"/>
              <w:spacing w:val="-15"/>
              <w:sz w:val="24"/>
              <w:szCs w:val="24"/>
            </w:rPr>
            <w:fldChar w:fldCharType="end"/>
          </w:r>
        </w:p>
        <w:p w14:paraId="4C25A176">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"bookmark15" </w:instrText>
          </w:r>
          <w:r>
            <w:fldChar w:fldCharType="separate"/>
          </w:r>
          <w:r>
            <w:rPr>
              <w:rFonts w:ascii="Times New Roman" w:hAnsi="Times New Roman" w:eastAsia="Times New Roman" w:cs="Times New Roman"/>
              <w:spacing w:val="-6"/>
              <w:sz w:val="24"/>
              <w:szCs w:val="24"/>
            </w:rPr>
            <w:t>1.7</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语言文字</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12</w:t>
          </w:r>
          <w:r>
            <w:rPr>
              <w:rFonts w:ascii="Times New Roman" w:hAnsi="Times New Roman" w:eastAsia="Times New Roman" w:cs="Times New Roman"/>
              <w:spacing w:val="-15"/>
              <w:sz w:val="24"/>
              <w:szCs w:val="24"/>
            </w:rPr>
            <w:fldChar w:fldCharType="end"/>
          </w:r>
        </w:p>
        <w:p w14:paraId="1441533E">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"bookmark16" </w:instrText>
          </w:r>
          <w:r>
            <w:fldChar w:fldCharType="separate"/>
          </w:r>
          <w:r>
            <w:rPr>
              <w:rFonts w:ascii="Times New Roman" w:hAnsi="Times New Roman" w:eastAsia="Times New Roman" w:cs="Times New Roman"/>
              <w:spacing w:val="-6"/>
              <w:sz w:val="24"/>
              <w:szCs w:val="24"/>
            </w:rPr>
            <w:t>1.8</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计量单位</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12</w:t>
          </w:r>
          <w:r>
            <w:rPr>
              <w:rFonts w:ascii="Times New Roman" w:hAnsi="Times New Roman" w:eastAsia="Times New Roman" w:cs="Times New Roman"/>
              <w:spacing w:val="-15"/>
              <w:sz w:val="24"/>
              <w:szCs w:val="24"/>
            </w:rPr>
            <w:fldChar w:fldCharType="end"/>
          </w:r>
        </w:p>
        <w:p w14:paraId="1EB9D93E">
          <w:pPr>
            <w:tabs>
              <w:tab w:val="right" w:leader="dot" w:pos="8320"/>
            </w:tabs>
            <w:spacing w:before="132" w:line="184" w:lineRule="auto"/>
            <w:ind w:left="1302"/>
            <w:rPr>
              <w:rFonts w:ascii="Times New Roman" w:hAnsi="Times New Roman" w:eastAsia="Times New Roman" w:cs="Times New Roman"/>
              <w:sz w:val="24"/>
              <w:szCs w:val="24"/>
            </w:rPr>
          </w:pPr>
          <w:r>
            <w:fldChar w:fldCharType="begin"/>
          </w:r>
          <w:r>
            <w:instrText xml:space="preserve"> HYPERLINK \l "bookmark17" </w:instrText>
          </w:r>
          <w:r>
            <w:fldChar w:fldCharType="separate"/>
          </w:r>
          <w:r>
            <w:rPr>
              <w:rFonts w:ascii="Times New Roman" w:hAnsi="Times New Roman" w:eastAsia="Times New Roman" w:cs="Times New Roman"/>
              <w:spacing w:val="-6"/>
              <w:sz w:val="24"/>
              <w:szCs w:val="24"/>
            </w:rPr>
            <w:t>1.9</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踏勘现场</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13</w:t>
          </w:r>
          <w:r>
            <w:rPr>
              <w:rFonts w:ascii="Times New Roman" w:hAnsi="Times New Roman" w:eastAsia="Times New Roman" w:cs="Times New Roman"/>
              <w:spacing w:val="-15"/>
              <w:sz w:val="24"/>
              <w:szCs w:val="24"/>
            </w:rPr>
            <w:fldChar w:fldCharType="end"/>
          </w:r>
        </w:p>
        <w:p w14:paraId="5711BC5E">
          <w:pPr>
            <w:tabs>
              <w:tab w:val="right" w:leader="dot" w:pos="8320"/>
            </w:tabs>
            <w:spacing w:before="135" w:line="185" w:lineRule="auto"/>
            <w:ind w:left="1302"/>
            <w:rPr>
              <w:rFonts w:ascii="Times New Roman" w:hAnsi="Times New Roman" w:eastAsia="Times New Roman" w:cs="Times New Roman"/>
              <w:sz w:val="24"/>
              <w:szCs w:val="24"/>
            </w:rPr>
          </w:pPr>
          <w:r>
            <w:fldChar w:fldCharType="begin"/>
          </w:r>
          <w:r>
            <w:instrText xml:space="preserve"> HYPERLINK \l "bookmark18" </w:instrText>
          </w:r>
          <w:r>
            <w:fldChar w:fldCharType="separate"/>
          </w:r>
          <w:r>
            <w:rPr>
              <w:rFonts w:ascii="Times New Roman" w:hAnsi="Times New Roman" w:eastAsia="Times New Roman" w:cs="Times New Roman"/>
              <w:spacing w:val="-3"/>
              <w:sz w:val="24"/>
              <w:szCs w:val="24"/>
            </w:rPr>
            <w:t xml:space="preserve">1.10  </w:t>
          </w:r>
          <w:r>
            <w:rPr>
              <w:rFonts w:ascii="宋体" w:hAnsi="宋体" w:eastAsia="宋体" w:cs="宋体"/>
              <w:spacing w:val="-3"/>
              <w:sz w:val="24"/>
              <w:szCs w:val="24"/>
            </w:rPr>
            <w:t>投标预备会</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13</w:t>
          </w:r>
          <w:r>
            <w:rPr>
              <w:rFonts w:ascii="Times New Roman" w:hAnsi="Times New Roman" w:eastAsia="Times New Roman" w:cs="Times New Roman"/>
              <w:spacing w:val="-15"/>
              <w:sz w:val="24"/>
              <w:szCs w:val="24"/>
            </w:rPr>
            <w:fldChar w:fldCharType="end"/>
          </w:r>
        </w:p>
        <w:p w14:paraId="280E9A90">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"bookmark19" </w:instrText>
          </w:r>
          <w:r>
            <w:fldChar w:fldCharType="separate"/>
          </w:r>
          <w:r>
            <w:rPr>
              <w:rFonts w:ascii="Times New Roman" w:hAnsi="Times New Roman" w:eastAsia="Times New Roman" w:cs="Times New Roman"/>
              <w:spacing w:val="-8"/>
              <w:sz w:val="24"/>
              <w:szCs w:val="24"/>
            </w:rPr>
            <w:t>1.11</w:t>
          </w:r>
          <w:r>
            <w:rPr>
              <w:rFonts w:ascii="Times New Roman" w:hAnsi="Times New Roman" w:eastAsia="Times New Roman" w:cs="Times New Roman"/>
              <w:spacing w:val="4"/>
              <w:sz w:val="24"/>
              <w:szCs w:val="24"/>
            </w:rPr>
            <w:t xml:space="preserve">  </w:t>
          </w:r>
          <w:r>
            <w:rPr>
              <w:rFonts w:ascii="宋体" w:hAnsi="宋体" w:eastAsia="宋体" w:cs="宋体"/>
              <w:spacing w:val="-8"/>
              <w:sz w:val="24"/>
              <w:szCs w:val="24"/>
            </w:rPr>
            <w:t>分包</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6"/>
              <w:sz w:val="24"/>
              <w:szCs w:val="24"/>
            </w:rPr>
            <w:t xml:space="preserve"> </w:t>
          </w:r>
          <w:r>
            <w:rPr>
              <w:rFonts w:ascii="Times New Roman" w:hAnsi="Times New Roman" w:eastAsia="Times New Roman" w:cs="Times New Roman"/>
              <w:spacing w:val="-15"/>
              <w:sz w:val="24"/>
              <w:szCs w:val="24"/>
            </w:rPr>
            <w:t>13</w:t>
          </w:r>
          <w:r>
            <w:rPr>
              <w:rFonts w:ascii="Times New Roman" w:hAnsi="Times New Roman" w:eastAsia="Times New Roman" w:cs="Times New Roman"/>
              <w:spacing w:val="-15"/>
              <w:sz w:val="24"/>
              <w:szCs w:val="24"/>
            </w:rPr>
            <w:fldChar w:fldCharType="end"/>
          </w:r>
        </w:p>
        <w:p w14:paraId="2FA0C810">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"bookmark20" </w:instrText>
          </w:r>
          <w:r>
            <w:fldChar w:fldCharType="separate"/>
          </w:r>
          <w:r>
            <w:rPr>
              <w:rFonts w:ascii="Times New Roman" w:hAnsi="Times New Roman" w:eastAsia="Times New Roman" w:cs="Times New Roman"/>
              <w:spacing w:val="-7"/>
              <w:sz w:val="24"/>
              <w:szCs w:val="24"/>
            </w:rPr>
            <w:t>1.12</w:t>
          </w:r>
          <w:r>
            <w:rPr>
              <w:rFonts w:ascii="Times New Roman" w:hAnsi="Times New Roman" w:eastAsia="Times New Roman" w:cs="Times New Roman"/>
              <w:spacing w:val="6"/>
              <w:sz w:val="24"/>
              <w:szCs w:val="24"/>
            </w:rPr>
            <w:t xml:space="preserve">  </w:t>
          </w:r>
          <w:r>
            <w:rPr>
              <w:rFonts w:ascii="宋体" w:hAnsi="宋体" w:eastAsia="宋体" w:cs="宋体"/>
              <w:spacing w:val="-7"/>
              <w:sz w:val="24"/>
              <w:szCs w:val="24"/>
            </w:rPr>
            <w:t>偏离</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13</w:t>
          </w:r>
          <w:r>
            <w:rPr>
              <w:rFonts w:ascii="Times New Roman" w:hAnsi="Times New Roman" w:eastAsia="Times New Roman" w:cs="Times New Roman"/>
              <w:spacing w:val="-15"/>
              <w:sz w:val="24"/>
              <w:szCs w:val="24"/>
            </w:rPr>
            <w:fldChar w:fldCharType="end"/>
          </w:r>
        </w:p>
        <w:p w14:paraId="6888A28B">
          <w:pPr>
            <w:tabs>
              <w:tab w:val="right" w:leader="dot" w:pos="8320"/>
            </w:tabs>
            <w:spacing w:before="137" w:line="184" w:lineRule="auto"/>
            <w:ind w:left="859"/>
            <w:rPr>
              <w:rFonts w:ascii="Times New Roman" w:hAnsi="Times New Roman" w:eastAsia="Times New Roman" w:cs="Times New Roman"/>
              <w:sz w:val="24"/>
              <w:szCs w:val="24"/>
            </w:rPr>
          </w:pPr>
          <w:r>
            <w:fldChar w:fldCharType="begin"/>
          </w:r>
          <w:r>
            <w:instrText xml:space="preserve"> HYPERLINK \l "bookmark21" </w:instrText>
          </w:r>
          <w:r>
            <w:fldChar w:fldCharType="separate"/>
          </w:r>
          <w:r>
            <w:rPr>
              <w:rFonts w:ascii="Times New Roman" w:hAnsi="Times New Roman" w:eastAsia="Times New Roman" w:cs="Times New Roman"/>
              <w:spacing w:val="-3"/>
              <w:sz w:val="24"/>
              <w:szCs w:val="24"/>
            </w:rPr>
            <w:t>2.</w:t>
          </w:r>
          <w:r>
            <w:rPr>
              <w:rFonts w:ascii="Times New Roman" w:hAnsi="Times New Roman" w:eastAsia="Times New Roman" w:cs="Times New Roman"/>
              <w:spacing w:val="5"/>
              <w:sz w:val="24"/>
              <w:szCs w:val="24"/>
            </w:rPr>
            <w:t xml:space="preserve">  </w:t>
          </w:r>
          <w:r>
            <w:rPr>
              <w:rFonts w:ascii="宋体" w:hAnsi="宋体" w:eastAsia="宋体" w:cs="宋体"/>
              <w:spacing w:val="-3"/>
              <w:sz w:val="24"/>
              <w:szCs w:val="24"/>
            </w:rPr>
            <w:t>招标文件</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13</w:t>
          </w:r>
          <w:r>
            <w:rPr>
              <w:rFonts w:ascii="Times New Roman" w:hAnsi="Times New Roman" w:eastAsia="Times New Roman" w:cs="Times New Roman"/>
              <w:spacing w:val="-15"/>
              <w:sz w:val="24"/>
              <w:szCs w:val="24"/>
            </w:rPr>
            <w:fldChar w:fldCharType="end"/>
          </w:r>
        </w:p>
        <w:p w14:paraId="4C42234F">
          <w:pPr>
            <w:tabs>
              <w:tab w:val="right" w:leader="dot" w:pos="8320"/>
            </w:tabs>
            <w:spacing w:before="133" w:line="184" w:lineRule="auto"/>
            <w:ind w:left="1279"/>
            <w:rPr>
              <w:rFonts w:ascii="Times New Roman" w:hAnsi="Times New Roman" w:eastAsia="Times New Roman" w:cs="Times New Roman"/>
              <w:sz w:val="24"/>
              <w:szCs w:val="24"/>
            </w:rPr>
          </w:pPr>
          <w:r>
            <w:fldChar w:fldCharType="begin"/>
          </w:r>
          <w:r>
            <w:instrText xml:space="preserve"> HYPERLINK \l "bookmark22" </w:instrText>
          </w:r>
          <w:r>
            <w:fldChar w:fldCharType="separate"/>
          </w:r>
          <w:r>
            <w:rPr>
              <w:rFonts w:ascii="Times New Roman" w:hAnsi="Times New Roman" w:eastAsia="Times New Roman" w:cs="Times New Roman"/>
              <w:spacing w:val="-1"/>
              <w:sz w:val="24"/>
              <w:szCs w:val="24"/>
            </w:rPr>
            <w:t xml:space="preserve">2.1  </w:t>
          </w:r>
          <w:r>
            <w:rPr>
              <w:rFonts w:ascii="宋体" w:hAnsi="宋体" w:eastAsia="宋体" w:cs="宋体"/>
              <w:spacing w:val="-1"/>
              <w:sz w:val="24"/>
              <w:szCs w:val="24"/>
            </w:rPr>
            <w:t>招标文件的组成</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13</w:t>
          </w:r>
          <w:r>
            <w:rPr>
              <w:rFonts w:ascii="Times New Roman" w:hAnsi="Times New Roman" w:eastAsia="Times New Roman" w:cs="Times New Roman"/>
              <w:spacing w:val="-15"/>
              <w:sz w:val="24"/>
              <w:szCs w:val="24"/>
            </w:rPr>
            <w:fldChar w:fldCharType="end"/>
          </w:r>
        </w:p>
        <w:p w14:paraId="73005978">
          <w:pPr>
            <w:tabs>
              <w:tab w:val="right" w:leader="dot" w:pos="8320"/>
            </w:tabs>
            <w:spacing w:before="135" w:line="185" w:lineRule="auto"/>
            <w:ind w:left="1279"/>
            <w:rPr>
              <w:rFonts w:ascii="Times New Roman" w:hAnsi="Times New Roman" w:eastAsia="Times New Roman" w:cs="Times New Roman"/>
              <w:sz w:val="24"/>
              <w:szCs w:val="24"/>
            </w:rPr>
          </w:pPr>
          <w:r>
            <w:fldChar w:fldCharType="begin"/>
          </w:r>
          <w:r>
            <w:instrText xml:space="preserve"> HYPERLINK \l "bookmark23" </w:instrText>
          </w:r>
          <w:r>
            <w:fldChar w:fldCharType="separate"/>
          </w:r>
          <w:r>
            <w:rPr>
              <w:rFonts w:ascii="Times New Roman" w:hAnsi="Times New Roman" w:eastAsia="Times New Roman" w:cs="Times New Roman"/>
              <w:spacing w:val="-1"/>
              <w:sz w:val="24"/>
              <w:szCs w:val="24"/>
            </w:rPr>
            <w:t xml:space="preserve">2.2  </w:t>
          </w:r>
          <w:r>
            <w:rPr>
              <w:rFonts w:ascii="宋体" w:hAnsi="宋体" w:eastAsia="宋体" w:cs="宋体"/>
              <w:spacing w:val="-1"/>
              <w:sz w:val="24"/>
              <w:szCs w:val="24"/>
            </w:rPr>
            <w:t>招标文件的澄清</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14</w:t>
          </w:r>
          <w:r>
            <w:rPr>
              <w:rFonts w:ascii="Times New Roman" w:hAnsi="Times New Roman" w:eastAsia="Times New Roman" w:cs="Times New Roman"/>
              <w:spacing w:val="-15"/>
              <w:sz w:val="24"/>
              <w:szCs w:val="24"/>
            </w:rPr>
            <w:fldChar w:fldCharType="end"/>
          </w:r>
        </w:p>
        <w:p w14:paraId="1A5233BE">
          <w:pPr>
            <w:tabs>
              <w:tab w:val="right" w:leader="dot" w:pos="8320"/>
            </w:tabs>
            <w:spacing w:before="136" w:line="184" w:lineRule="auto"/>
            <w:ind w:left="1279"/>
            <w:rPr>
              <w:rFonts w:ascii="Times New Roman" w:hAnsi="Times New Roman" w:eastAsia="Times New Roman" w:cs="Times New Roman"/>
              <w:sz w:val="24"/>
              <w:szCs w:val="24"/>
            </w:rPr>
          </w:pPr>
          <w:r>
            <w:fldChar w:fldCharType="begin"/>
          </w:r>
          <w:r>
            <w:instrText xml:space="preserve"> HYPERLINK \l "bookmark24" </w:instrText>
          </w:r>
          <w:r>
            <w:fldChar w:fldCharType="separate"/>
          </w:r>
          <w:r>
            <w:rPr>
              <w:rFonts w:ascii="Times New Roman" w:hAnsi="Times New Roman" w:eastAsia="Times New Roman" w:cs="Times New Roman"/>
              <w:spacing w:val="-1"/>
              <w:sz w:val="24"/>
              <w:szCs w:val="24"/>
            </w:rPr>
            <w:t xml:space="preserve">2.3  </w:t>
          </w:r>
          <w:r>
            <w:rPr>
              <w:rFonts w:ascii="宋体" w:hAnsi="宋体" w:eastAsia="宋体" w:cs="宋体"/>
              <w:spacing w:val="-1"/>
              <w:sz w:val="24"/>
              <w:szCs w:val="24"/>
            </w:rPr>
            <w:t>招标文件的修改</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14</w:t>
          </w:r>
          <w:r>
            <w:rPr>
              <w:rFonts w:ascii="Times New Roman" w:hAnsi="Times New Roman" w:eastAsia="Times New Roman" w:cs="Times New Roman"/>
              <w:spacing w:val="-15"/>
              <w:sz w:val="24"/>
              <w:szCs w:val="24"/>
            </w:rPr>
            <w:fldChar w:fldCharType="end"/>
          </w:r>
        </w:p>
        <w:p w14:paraId="64D46DFC">
          <w:pPr>
            <w:tabs>
              <w:tab w:val="right" w:leader="dot" w:pos="8320"/>
            </w:tabs>
            <w:spacing w:before="133" w:line="185" w:lineRule="auto"/>
            <w:ind w:left="1279"/>
            <w:rPr>
              <w:rFonts w:ascii="Times New Roman" w:hAnsi="Times New Roman" w:eastAsia="Times New Roman" w:cs="Times New Roman"/>
              <w:sz w:val="24"/>
              <w:szCs w:val="24"/>
            </w:rPr>
          </w:pPr>
          <w:r>
            <w:fldChar w:fldCharType="begin"/>
          </w:r>
          <w:r>
            <w:instrText xml:space="preserve"> HYPERLINK \l "bookmark25" </w:instrText>
          </w:r>
          <w:r>
            <w:fldChar w:fldCharType="separate"/>
          </w:r>
          <w:r>
            <w:rPr>
              <w:rFonts w:ascii="Times New Roman" w:hAnsi="Times New Roman" w:eastAsia="Times New Roman" w:cs="Times New Roman"/>
              <w:spacing w:val="-1"/>
              <w:sz w:val="24"/>
              <w:szCs w:val="24"/>
            </w:rPr>
            <w:t xml:space="preserve">2.4  </w:t>
          </w:r>
          <w:r>
            <w:rPr>
              <w:rFonts w:ascii="宋体" w:hAnsi="宋体" w:eastAsia="宋体" w:cs="宋体"/>
              <w:spacing w:val="-1"/>
              <w:sz w:val="24"/>
              <w:szCs w:val="24"/>
            </w:rPr>
            <w:t>招标文件的异议</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14</w:t>
          </w:r>
          <w:r>
            <w:rPr>
              <w:rFonts w:ascii="Times New Roman" w:hAnsi="Times New Roman" w:eastAsia="Times New Roman" w:cs="Times New Roman"/>
              <w:spacing w:val="-15"/>
              <w:sz w:val="24"/>
              <w:szCs w:val="24"/>
            </w:rPr>
            <w:fldChar w:fldCharType="end"/>
          </w:r>
        </w:p>
        <w:p w14:paraId="7F8EBE58">
          <w:pPr>
            <w:tabs>
              <w:tab w:val="right" w:leader="dot" w:pos="8320"/>
            </w:tabs>
            <w:spacing w:before="136" w:line="184" w:lineRule="auto"/>
            <w:ind w:left="863"/>
            <w:rPr>
              <w:rFonts w:ascii="Times New Roman" w:hAnsi="Times New Roman" w:eastAsia="Times New Roman" w:cs="Times New Roman"/>
              <w:sz w:val="24"/>
              <w:szCs w:val="24"/>
            </w:rPr>
          </w:pPr>
          <w:r>
            <w:fldChar w:fldCharType="begin"/>
          </w:r>
          <w:r>
            <w:instrText xml:space="preserve"> HYPERLINK \l "bookmark26" </w:instrText>
          </w:r>
          <w:r>
            <w:fldChar w:fldCharType="separate"/>
          </w:r>
          <w:r>
            <w:rPr>
              <w:rFonts w:ascii="Times New Roman" w:hAnsi="Times New Roman" w:eastAsia="Times New Roman" w:cs="Times New Roman"/>
              <w:spacing w:val="-4"/>
              <w:sz w:val="24"/>
              <w:szCs w:val="24"/>
            </w:rPr>
            <w:t>3.</w:t>
          </w:r>
          <w:r>
            <w:rPr>
              <w:rFonts w:ascii="Times New Roman" w:hAnsi="Times New Roman" w:eastAsia="Times New Roman" w:cs="Times New Roman"/>
              <w:spacing w:val="6"/>
              <w:sz w:val="24"/>
              <w:szCs w:val="24"/>
            </w:rPr>
            <w:t xml:space="preserve">  </w:t>
          </w:r>
          <w:r>
            <w:rPr>
              <w:rFonts w:ascii="宋体" w:hAnsi="宋体" w:eastAsia="宋体" w:cs="宋体"/>
              <w:spacing w:val="-4"/>
              <w:sz w:val="24"/>
              <w:szCs w:val="24"/>
            </w:rPr>
            <w:t>投标文件</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15</w:t>
          </w:r>
          <w:r>
            <w:rPr>
              <w:rFonts w:ascii="Times New Roman" w:hAnsi="Times New Roman" w:eastAsia="Times New Roman" w:cs="Times New Roman"/>
              <w:spacing w:val="-15"/>
              <w:sz w:val="24"/>
              <w:szCs w:val="24"/>
            </w:rPr>
            <w:fldChar w:fldCharType="end"/>
          </w:r>
        </w:p>
        <w:p w14:paraId="137EF344">
          <w:pPr>
            <w:tabs>
              <w:tab w:val="right" w:leader="dot" w:pos="8320"/>
            </w:tabs>
            <w:spacing w:before="133" w:line="185" w:lineRule="auto"/>
            <w:ind w:left="1283"/>
            <w:rPr>
              <w:rFonts w:ascii="Times New Roman" w:hAnsi="Times New Roman" w:eastAsia="Times New Roman" w:cs="Times New Roman"/>
              <w:sz w:val="24"/>
              <w:szCs w:val="24"/>
            </w:rPr>
          </w:pPr>
          <w:r>
            <w:fldChar w:fldCharType="begin"/>
          </w:r>
          <w:r>
            <w:instrText xml:space="preserve"> HYPERLINK \l "bookmark27" </w:instrText>
          </w:r>
          <w:r>
            <w:fldChar w:fldCharType="separate"/>
          </w:r>
          <w:r>
            <w:rPr>
              <w:rFonts w:ascii="Times New Roman" w:hAnsi="Times New Roman" w:eastAsia="Times New Roman" w:cs="Times New Roman"/>
              <w:spacing w:val="-1"/>
              <w:sz w:val="24"/>
              <w:szCs w:val="24"/>
            </w:rPr>
            <w:t xml:space="preserve">3.1  </w:t>
          </w:r>
          <w:r>
            <w:rPr>
              <w:rFonts w:ascii="宋体" w:hAnsi="宋体" w:eastAsia="宋体" w:cs="宋体"/>
              <w:spacing w:val="-1"/>
              <w:sz w:val="24"/>
              <w:szCs w:val="24"/>
            </w:rPr>
            <w:t>投标文件的组成</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15</w:t>
          </w:r>
          <w:r>
            <w:rPr>
              <w:rFonts w:ascii="Times New Roman" w:hAnsi="Times New Roman" w:eastAsia="Times New Roman" w:cs="Times New Roman"/>
              <w:spacing w:val="-15"/>
              <w:sz w:val="24"/>
              <w:szCs w:val="24"/>
            </w:rPr>
            <w:fldChar w:fldCharType="end"/>
          </w:r>
        </w:p>
        <w:p w14:paraId="2308809C">
          <w:pPr>
            <w:tabs>
              <w:tab w:val="right" w:leader="dot" w:pos="8320"/>
            </w:tabs>
            <w:spacing w:before="137" w:line="184" w:lineRule="auto"/>
            <w:ind w:left="1283"/>
            <w:rPr>
              <w:rFonts w:ascii="Times New Roman" w:hAnsi="Times New Roman" w:eastAsia="Times New Roman" w:cs="Times New Roman"/>
              <w:sz w:val="24"/>
              <w:szCs w:val="24"/>
            </w:rPr>
          </w:pPr>
          <w:r>
            <w:fldChar w:fldCharType="begin"/>
          </w:r>
          <w:r>
            <w:instrText xml:space="preserve"> HYPERLINK \l "bookmark28" </w:instrText>
          </w:r>
          <w:r>
            <w:fldChar w:fldCharType="separate"/>
          </w:r>
          <w:r>
            <w:rPr>
              <w:rFonts w:ascii="Times New Roman" w:hAnsi="Times New Roman" w:eastAsia="Times New Roman" w:cs="Times New Roman"/>
              <w:spacing w:val="-4"/>
              <w:sz w:val="24"/>
              <w:szCs w:val="24"/>
            </w:rPr>
            <w:t>3.2</w:t>
          </w:r>
          <w:r>
            <w:rPr>
              <w:rFonts w:ascii="Times New Roman" w:hAnsi="Times New Roman" w:eastAsia="Times New Roman" w:cs="Times New Roman"/>
              <w:spacing w:val="8"/>
              <w:sz w:val="24"/>
              <w:szCs w:val="24"/>
            </w:rPr>
            <w:t xml:space="preserve">  </w:t>
          </w:r>
          <w:r>
            <w:rPr>
              <w:rFonts w:ascii="宋体" w:hAnsi="宋体" w:eastAsia="宋体" w:cs="宋体"/>
              <w:spacing w:val="-4"/>
              <w:sz w:val="24"/>
              <w:szCs w:val="24"/>
            </w:rPr>
            <w:t>投标报价</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15</w:t>
          </w:r>
          <w:r>
            <w:rPr>
              <w:rFonts w:ascii="Times New Roman" w:hAnsi="Times New Roman" w:eastAsia="Times New Roman" w:cs="Times New Roman"/>
              <w:spacing w:val="-15"/>
              <w:sz w:val="24"/>
              <w:szCs w:val="24"/>
            </w:rPr>
            <w:fldChar w:fldCharType="end"/>
          </w:r>
        </w:p>
        <w:p w14:paraId="5F8D2C59">
          <w:pPr>
            <w:tabs>
              <w:tab w:val="right" w:leader="dot" w:pos="8320"/>
            </w:tabs>
            <w:spacing w:before="135" w:line="184" w:lineRule="auto"/>
            <w:ind w:left="1283"/>
            <w:rPr>
              <w:rFonts w:ascii="Times New Roman" w:hAnsi="Times New Roman" w:eastAsia="Times New Roman" w:cs="Times New Roman"/>
              <w:sz w:val="24"/>
              <w:szCs w:val="24"/>
            </w:rPr>
          </w:pPr>
          <w:r>
            <w:fldChar w:fldCharType="begin"/>
          </w:r>
          <w:r>
            <w:instrText xml:space="preserve"> HYPERLINK \l "bookmark29" </w:instrText>
          </w:r>
          <w:r>
            <w:fldChar w:fldCharType="separate"/>
          </w:r>
          <w:r>
            <w:rPr>
              <w:rFonts w:ascii="Times New Roman" w:hAnsi="Times New Roman" w:eastAsia="Times New Roman" w:cs="Times New Roman"/>
              <w:spacing w:val="-1"/>
              <w:sz w:val="24"/>
              <w:szCs w:val="24"/>
            </w:rPr>
            <w:t xml:space="preserve">3.3  </w:t>
          </w:r>
          <w:r>
            <w:rPr>
              <w:rFonts w:ascii="宋体" w:hAnsi="宋体" w:eastAsia="宋体" w:cs="宋体"/>
              <w:spacing w:val="-1"/>
              <w:sz w:val="24"/>
              <w:szCs w:val="24"/>
            </w:rPr>
            <w:t>投标有效期</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15</w:t>
          </w:r>
          <w:r>
            <w:rPr>
              <w:rFonts w:ascii="Times New Roman" w:hAnsi="Times New Roman" w:eastAsia="Times New Roman" w:cs="Times New Roman"/>
              <w:spacing w:val="-15"/>
              <w:sz w:val="24"/>
              <w:szCs w:val="24"/>
            </w:rPr>
            <w:fldChar w:fldCharType="end"/>
          </w:r>
        </w:p>
        <w:p w14:paraId="4D7D2023">
          <w:pPr>
            <w:tabs>
              <w:tab w:val="right" w:leader="dot" w:pos="8320"/>
            </w:tabs>
            <w:spacing w:before="132" w:line="185" w:lineRule="auto"/>
            <w:ind w:left="1283"/>
            <w:rPr>
              <w:rFonts w:ascii="Times New Roman" w:hAnsi="Times New Roman" w:eastAsia="Times New Roman" w:cs="Times New Roman"/>
              <w:sz w:val="24"/>
              <w:szCs w:val="24"/>
            </w:rPr>
          </w:pPr>
          <w:r>
            <w:fldChar w:fldCharType="begin"/>
          </w:r>
          <w:r>
            <w:instrText xml:space="preserve"> HYPERLINK \l "bookmark30" </w:instrText>
          </w:r>
          <w:r>
            <w:fldChar w:fldCharType="separate"/>
          </w:r>
          <w:r>
            <w:rPr>
              <w:rFonts w:ascii="Times New Roman" w:hAnsi="Times New Roman" w:eastAsia="Times New Roman" w:cs="Times New Roman"/>
              <w:spacing w:val="-1"/>
              <w:sz w:val="24"/>
              <w:szCs w:val="24"/>
            </w:rPr>
            <w:t xml:space="preserve">3.4  </w:t>
          </w:r>
          <w:r>
            <w:rPr>
              <w:rFonts w:ascii="宋体" w:hAnsi="宋体" w:eastAsia="宋体" w:cs="宋体"/>
              <w:spacing w:val="-1"/>
              <w:sz w:val="24"/>
              <w:szCs w:val="24"/>
            </w:rPr>
            <w:t>投标保证金</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16</w:t>
          </w:r>
          <w:r>
            <w:rPr>
              <w:rFonts w:ascii="Times New Roman" w:hAnsi="Times New Roman" w:eastAsia="Times New Roman" w:cs="Times New Roman"/>
              <w:spacing w:val="-15"/>
              <w:sz w:val="24"/>
              <w:szCs w:val="24"/>
            </w:rPr>
            <w:fldChar w:fldCharType="end"/>
          </w:r>
        </w:p>
        <w:p w14:paraId="5AF25BA4">
          <w:pPr>
            <w:tabs>
              <w:tab w:val="right" w:leader="dot" w:pos="8320"/>
            </w:tabs>
            <w:spacing w:before="137" w:line="184" w:lineRule="auto"/>
            <w:ind w:left="1283"/>
            <w:rPr>
              <w:rFonts w:ascii="Times New Roman" w:hAnsi="Times New Roman" w:eastAsia="Times New Roman" w:cs="Times New Roman"/>
              <w:sz w:val="24"/>
              <w:szCs w:val="24"/>
            </w:rPr>
          </w:pPr>
          <w:r>
            <w:fldChar w:fldCharType="begin"/>
          </w:r>
          <w:r>
            <w:instrText xml:space="preserve"> HYPERLINK \l "bookmark31" </w:instrText>
          </w:r>
          <w:r>
            <w:fldChar w:fldCharType="separate"/>
          </w:r>
          <w:r>
            <w:rPr>
              <w:rFonts w:ascii="Times New Roman" w:hAnsi="Times New Roman" w:eastAsia="Times New Roman" w:cs="Times New Roman"/>
              <w:spacing w:val="-1"/>
              <w:sz w:val="24"/>
              <w:szCs w:val="24"/>
            </w:rPr>
            <w:t xml:space="preserve">3.5  </w:t>
          </w:r>
          <w:r>
            <w:rPr>
              <w:rFonts w:ascii="宋体" w:hAnsi="宋体" w:eastAsia="宋体" w:cs="宋体"/>
              <w:spacing w:val="-1"/>
              <w:sz w:val="24"/>
              <w:szCs w:val="24"/>
            </w:rPr>
            <w:t>资格审查资料（适用于已进行资格预审的）</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16</w:t>
          </w:r>
          <w:r>
            <w:rPr>
              <w:rFonts w:ascii="Times New Roman" w:hAnsi="Times New Roman" w:eastAsia="Times New Roman" w:cs="Times New Roman"/>
              <w:spacing w:val="-15"/>
              <w:sz w:val="24"/>
              <w:szCs w:val="24"/>
            </w:rPr>
            <w:fldChar w:fldCharType="end"/>
          </w:r>
        </w:p>
        <w:p w14:paraId="39574661">
          <w:pPr>
            <w:tabs>
              <w:tab w:val="right" w:leader="dot" w:pos="8320"/>
            </w:tabs>
            <w:spacing w:before="132" w:line="185" w:lineRule="auto"/>
            <w:ind w:left="1283"/>
            <w:rPr>
              <w:rFonts w:ascii="Times New Roman" w:hAnsi="Times New Roman" w:eastAsia="Times New Roman" w:cs="Times New Roman"/>
              <w:sz w:val="24"/>
              <w:szCs w:val="24"/>
            </w:rPr>
          </w:pPr>
          <w:r>
            <w:fldChar w:fldCharType="begin"/>
          </w:r>
          <w:r>
            <w:instrText xml:space="preserve"> HYPERLINK \l "bookmark32" </w:instrText>
          </w:r>
          <w:r>
            <w:fldChar w:fldCharType="separate"/>
          </w:r>
          <w:r>
            <w:rPr>
              <w:rFonts w:ascii="Times New Roman" w:hAnsi="Times New Roman" w:eastAsia="Times New Roman" w:cs="Times New Roman"/>
              <w:spacing w:val="-1"/>
              <w:sz w:val="24"/>
              <w:szCs w:val="24"/>
            </w:rPr>
            <w:t xml:space="preserve">3.6  </w:t>
          </w:r>
          <w:r>
            <w:rPr>
              <w:rFonts w:ascii="宋体" w:hAnsi="宋体" w:eastAsia="宋体" w:cs="宋体"/>
              <w:spacing w:val="-1"/>
              <w:sz w:val="24"/>
              <w:szCs w:val="24"/>
            </w:rPr>
            <w:t>备选投标方案</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17</w:t>
          </w:r>
          <w:r>
            <w:rPr>
              <w:rFonts w:ascii="Times New Roman" w:hAnsi="Times New Roman" w:eastAsia="Times New Roman" w:cs="Times New Roman"/>
              <w:spacing w:val="-15"/>
              <w:sz w:val="24"/>
              <w:szCs w:val="24"/>
            </w:rPr>
            <w:fldChar w:fldCharType="end"/>
          </w:r>
        </w:p>
        <w:p w14:paraId="7231E2E3">
          <w:pPr>
            <w:tabs>
              <w:tab w:val="right" w:leader="dot" w:pos="8320"/>
            </w:tabs>
            <w:spacing w:before="137" w:line="184" w:lineRule="auto"/>
            <w:ind w:left="1283"/>
            <w:rPr>
              <w:rFonts w:ascii="Times New Roman" w:hAnsi="Times New Roman" w:eastAsia="Times New Roman" w:cs="Times New Roman"/>
              <w:sz w:val="24"/>
              <w:szCs w:val="24"/>
            </w:rPr>
          </w:pPr>
          <w:r>
            <w:fldChar w:fldCharType="begin"/>
          </w:r>
          <w:r>
            <w:instrText xml:space="preserve"> HYPERLINK \l "bookmark33" </w:instrText>
          </w:r>
          <w:r>
            <w:fldChar w:fldCharType="separate"/>
          </w:r>
          <w:r>
            <w:rPr>
              <w:rFonts w:ascii="Times New Roman" w:hAnsi="Times New Roman" w:eastAsia="Times New Roman" w:cs="Times New Roman"/>
              <w:spacing w:val="-1"/>
              <w:sz w:val="24"/>
              <w:szCs w:val="24"/>
            </w:rPr>
            <w:t xml:space="preserve">3.7  </w:t>
          </w:r>
          <w:r>
            <w:rPr>
              <w:rFonts w:ascii="宋体" w:hAnsi="宋体" w:eastAsia="宋体" w:cs="宋体"/>
              <w:spacing w:val="-1"/>
              <w:sz w:val="24"/>
              <w:szCs w:val="24"/>
            </w:rPr>
            <w:t>投标文件的编制</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17</w:t>
          </w:r>
          <w:r>
            <w:rPr>
              <w:rFonts w:ascii="Times New Roman" w:hAnsi="Times New Roman" w:eastAsia="Times New Roman" w:cs="Times New Roman"/>
              <w:spacing w:val="-15"/>
              <w:sz w:val="24"/>
              <w:szCs w:val="24"/>
            </w:rPr>
            <w:fldChar w:fldCharType="end"/>
          </w:r>
        </w:p>
        <w:p w14:paraId="06C81D60">
          <w:pPr>
            <w:tabs>
              <w:tab w:val="right" w:leader="dot" w:pos="8320"/>
            </w:tabs>
            <w:spacing w:before="135" w:line="184" w:lineRule="auto"/>
            <w:ind w:left="857"/>
            <w:rPr>
              <w:rFonts w:ascii="Times New Roman" w:hAnsi="Times New Roman" w:eastAsia="Times New Roman" w:cs="Times New Roman"/>
              <w:sz w:val="24"/>
              <w:szCs w:val="24"/>
            </w:rPr>
          </w:pPr>
          <w:r>
            <w:fldChar w:fldCharType="begin"/>
          </w:r>
          <w:r>
            <w:instrText xml:space="preserve"> HYPERLINK \l "bookmark34" </w:instrText>
          </w:r>
          <w:r>
            <w:fldChar w:fldCharType="separate"/>
          </w:r>
          <w:r>
            <w:rPr>
              <w:rFonts w:ascii="Times New Roman" w:hAnsi="Times New Roman" w:eastAsia="Times New Roman" w:cs="Times New Roman"/>
              <w:spacing w:val="-5"/>
              <w:sz w:val="24"/>
              <w:szCs w:val="24"/>
            </w:rPr>
            <w:t>4.</w:t>
          </w:r>
          <w:r>
            <w:rPr>
              <w:rFonts w:ascii="Times New Roman" w:hAnsi="Times New Roman" w:eastAsia="Times New Roman" w:cs="Times New Roman"/>
              <w:spacing w:val="7"/>
              <w:sz w:val="24"/>
              <w:szCs w:val="24"/>
            </w:rPr>
            <w:t xml:space="preserve">  </w:t>
          </w:r>
          <w:r>
            <w:rPr>
              <w:rFonts w:ascii="宋体" w:hAnsi="宋体" w:eastAsia="宋体" w:cs="宋体"/>
              <w:spacing w:val="-5"/>
              <w:sz w:val="24"/>
              <w:szCs w:val="24"/>
            </w:rPr>
            <w:t>投标</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18</w:t>
          </w:r>
          <w:r>
            <w:rPr>
              <w:rFonts w:ascii="Times New Roman" w:hAnsi="Times New Roman" w:eastAsia="Times New Roman" w:cs="Times New Roman"/>
              <w:spacing w:val="-15"/>
              <w:sz w:val="24"/>
              <w:szCs w:val="24"/>
            </w:rPr>
            <w:fldChar w:fldCharType="end"/>
          </w:r>
        </w:p>
        <w:p w14:paraId="530DA862">
          <w:pPr>
            <w:tabs>
              <w:tab w:val="right" w:leader="dot" w:pos="8320"/>
            </w:tabs>
            <w:spacing w:before="133" w:line="185" w:lineRule="auto"/>
            <w:ind w:left="1277"/>
            <w:rPr>
              <w:rFonts w:ascii="Times New Roman" w:hAnsi="Times New Roman" w:eastAsia="Times New Roman" w:cs="Times New Roman"/>
              <w:sz w:val="24"/>
              <w:szCs w:val="24"/>
            </w:rPr>
          </w:pPr>
          <w:r>
            <w:fldChar w:fldCharType="begin"/>
          </w:r>
          <w:r>
            <w:instrText xml:space="preserve"> HYPERLINK \l "bookmark35" </w:instrText>
          </w:r>
          <w:r>
            <w:fldChar w:fldCharType="separate"/>
          </w:r>
          <w:r>
            <w:rPr>
              <w:rFonts w:ascii="Times New Roman" w:hAnsi="Times New Roman" w:eastAsia="Times New Roman" w:cs="Times New Roman"/>
              <w:spacing w:val="-1"/>
              <w:sz w:val="24"/>
              <w:szCs w:val="24"/>
            </w:rPr>
            <w:t xml:space="preserve">4.1  </w:t>
          </w:r>
          <w:r>
            <w:rPr>
              <w:rFonts w:ascii="宋体" w:hAnsi="宋体" w:eastAsia="宋体" w:cs="宋体"/>
              <w:spacing w:val="-1"/>
              <w:sz w:val="24"/>
              <w:szCs w:val="24"/>
            </w:rPr>
            <w:t>投标文件的加密</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18</w:t>
          </w:r>
          <w:r>
            <w:rPr>
              <w:rFonts w:ascii="Times New Roman" w:hAnsi="Times New Roman" w:eastAsia="Times New Roman" w:cs="Times New Roman"/>
              <w:spacing w:val="-15"/>
              <w:sz w:val="24"/>
              <w:szCs w:val="24"/>
            </w:rPr>
            <w:fldChar w:fldCharType="end"/>
          </w:r>
        </w:p>
        <w:p w14:paraId="0B6447F2">
          <w:pPr>
            <w:tabs>
              <w:tab w:val="right" w:leader="dot" w:pos="8320"/>
            </w:tabs>
            <w:spacing w:before="136" w:line="219" w:lineRule="auto"/>
            <w:ind w:left="1277"/>
            <w:rPr>
              <w:rFonts w:ascii="Times New Roman" w:hAnsi="Times New Roman" w:eastAsia="Times New Roman" w:cs="Times New Roman"/>
              <w:sz w:val="24"/>
              <w:szCs w:val="24"/>
            </w:rPr>
          </w:pPr>
          <w:r>
            <w:fldChar w:fldCharType="begin"/>
          </w:r>
          <w:r>
            <w:instrText xml:space="preserve"> HYPERLINK \l "bookmark36" </w:instrText>
          </w:r>
          <w:r>
            <w:fldChar w:fldCharType="separate"/>
          </w:r>
          <w:r>
            <w:rPr>
              <w:rFonts w:ascii="Times New Roman" w:hAnsi="Times New Roman" w:eastAsia="Times New Roman" w:cs="Times New Roman"/>
              <w:spacing w:val="-1"/>
              <w:sz w:val="24"/>
              <w:szCs w:val="24"/>
            </w:rPr>
            <w:t xml:space="preserve">4.2  </w:t>
          </w:r>
          <w:r>
            <w:rPr>
              <w:rFonts w:ascii="宋体" w:hAnsi="宋体" w:eastAsia="宋体" w:cs="宋体"/>
              <w:spacing w:val="-1"/>
              <w:sz w:val="24"/>
              <w:szCs w:val="24"/>
            </w:rPr>
            <w:t>投标文件的递交</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18</w:t>
          </w:r>
          <w:r>
            <w:rPr>
              <w:rFonts w:ascii="Times New Roman" w:hAnsi="Times New Roman" w:eastAsia="Times New Roman" w:cs="Times New Roman"/>
              <w:spacing w:val="-15"/>
              <w:sz w:val="24"/>
              <w:szCs w:val="24"/>
            </w:rPr>
            <w:fldChar w:fldCharType="end"/>
          </w:r>
        </w:p>
      </w:sdtContent>
    </w:sdt>
    <w:p w14:paraId="18BC8001">
      <w:pPr>
        <w:spacing w:line="219" w:lineRule="auto"/>
        <w:rPr>
          <w:rFonts w:ascii="Times New Roman" w:hAnsi="Times New Roman" w:eastAsia="Times New Roman" w:cs="Times New Roman"/>
          <w:sz w:val="24"/>
          <w:szCs w:val="24"/>
        </w:rPr>
        <w:sectPr>
          <w:footerReference r:id="rId10" w:type="default"/>
          <w:pgSz w:w="11906" w:h="16839"/>
          <w:pgMar w:top="1431" w:right="1785" w:bottom="1153" w:left="1785" w:header="0" w:footer="994" w:gutter="0"/>
          <w:cols w:space="720" w:num="1"/>
        </w:sectPr>
      </w:pPr>
    </w:p>
    <w:sdt>
      <w:sdtPr>
        <w:rPr>
          <w:rFonts w:ascii="Times New Roman" w:hAnsi="Times New Roman" w:eastAsia="Times New Roman" w:cs="Times New Roman"/>
          <w:sz w:val="24"/>
          <w:szCs w:val="24"/>
        </w:rPr>
        <w:id w:val="147462763"/>
        <w:docPartObj>
          <w:docPartGallery w:val="Table of Contents"/>
          <w:docPartUnique/>
        </w:docPartObj>
      </w:sdtPr>
      <w:sdtEndPr>
        <w:rPr>
          <w:rFonts w:ascii="Times New Roman" w:hAnsi="Times New Roman" w:eastAsia="Times New Roman" w:cs="Times New Roman"/>
          <w:sz w:val="24"/>
          <w:szCs w:val="24"/>
        </w:rPr>
      </w:sdtEndPr>
      <w:sdtContent>
        <w:p w14:paraId="0E52D3B5">
          <w:pPr>
            <w:tabs>
              <w:tab w:val="right" w:leader="dot" w:pos="8320"/>
            </w:tabs>
            <w:spacing w:before="77" w:line="184" w:lineRule="auto"/>
            <w:ind w:left="1277"/>
            <w:rPr>
              <w:rFonts w:ascii="Times New Roman" w:hAnsi="Times New Roman" w:eastAsia="Times New Roman" w:cs="Times New Roman"/>
              <w:sz w:val="24"/>
              <w:szCs w:val="24"/>
            </w:rPr>
          </w:pPr>
          <w:r>
            <w:fldChar w:fldCharType="begin"/>
          </w:r>
          <w:r>
            <w:instrText xml:space="preserve"> HYPERLINK \l "bookmark37" </w:instrText>
          </w:r>
          <w:r>
            <w:fldChar w:fldCharType="separate"/>
          </w:r>
          <w:r>
            <w:rPr>
              <w:rFonts w:ascii="Times New Roman" w:hAnsi="Times New Roman" w:eastAsia="Times New Roman" w:cs="Times New Roman"/>
              <w:spacing w:val="-1"/>
              <w:sz w:val="24"/>
              <w:szCs w:val="24"/>
            </w:rPr>
            <w:t xml:space="preserve">4.3  </w:t>
          </w:r>
          <w:r>
            <w:rPr>
              <w:rFonts w:ascii="宋体" w:hAnsi="宋体" w:eastAsia="宋体" w:cs="宋体"/>
              <w:spacing w:val="-1"/>
              <w:sz w:val="24"/>
              <w:szCs w:val="24"/>
            </w:rPr>
            <w:t>投标文件的修改与撤回</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18</w:t>
          </w:r>
          <w:r>
            <w:rPr>
              <w:rFonts w:ascii="Times New Roman" w:hAnsi="Times New Roman" w:eastAsia="Times New Roman" w:cs="Times New Roman"/>
              <w:spacing w:val="-15"/>
              <w:sz w:val="24"/>
              <w:szCs w:val="24"/>
            </w:rPr>
            <w:fldChar w:fldCharType="end"/>
          </w:r>
        </w:p>
        <w:p w14:paraId="35D8D20C">
          <w:pPr>
            <w:tabs>
              <w:tab w:val="right" w:leader="dot" w:pos="8320"/>
            </w:tabs>
            <w:spacing w:before="135" w:line="184" w:lineRule="auto"/>
            <w:ind w:left="865"/>
            <w:rPr>
              <w:rFonts w:ascii="Times New Roman" w:hAnsi="Times New Roman" w:eastAsia="Times New Roman" w:cs="Times New Roman"/>
              <w:sz w:val="24"/>
              <w:szCs w:val="24"/>
            </w:rPr>
          </w:pPr>
          <w:r>
            <w:fldChar w:fldCharType="begin"/>
          </w:r>
          <w:r>
            <w:instrText xml:space="preserve"> HYPERLINK \l "bookmark38" </w:instrText>
          </w:r>
          <w:r>
            <w:fldChar w:fldCharType="separate"/>
          </w:r>
          <w:r>
            <w:rPr>
              <w:rFonts w:ascii="Times New Roman" w:hAnsi="Times New Roman" w:eastAsia="Times New Roman" w:cs="Times New Roman"/>
              <w:spacing w:val="-6"/>
              <w:sz w:val="24"/>
              <w:szCs w:val="24"/>
            </w:rPr>
            <w:t>5.</w:t>
          </w:r>
          <w:r>
            <w:rPr>
              <w:rFonts w:ascii="Times New Roman" w:hAnsi="Times New Roman" w:eastAsia="Times New Roman" w:cs="Times New Roman"/>
              <w:spacing w:val="5"/>
              <w:sz w:val="24"/>
              <w:szCs w:val="24"/>
            </w:rPr>
            <w:t xml:space="preserve">  </w:t>
          </w:r>
          <w:r>
            <w:rPr>
              <w:rFonts w:ascii="宋体" w:hAnsi="宋体" w:eastAsia="宋体" w:cs="宋体"/>
              <w:spacing w:val="-6"/>
              <w:sz w:val="24"/>
              <w:szCs w:val="24"/>
            </w:rPr>
            <w:t>开标</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19</w:t>
          </w:r>
          <w:r>
            <w:rPr>
              <w:rFonts w:ascii="Times New Roman" w:hAnsi="Times New Roman" w:eastAsia="Times New Roman" w:cs="Times New Roman"/>
              <w:spacing w:val="-15"/>
              <w:sz w:val="24"/>
              <w:szCs w:val="24"/>
            </w:rPr>
            <w:fldChar w:fldCharType="end"/>
          </w:r>
        </w:p>
        <w:p w14:paraId="1D8E7CD3">
          <w:pPr>
            <w:tabs>
              <w:tab w:val="right" w:leader="dot" w:pos="8320"/>
            </w:tabs>
            <w:spacing w:before="132" w:line="185" w:lineRule="auto"/>
            <w:ind w:left="1285"/>
            <w:rPr>
              <w:rFonts w:ascii="Times New Roman" w:hAnsi="Times New Roman" w:eastAsia="Times New Roman" w:cs="Times New Roman"/>
              <w:sz w:val="24"/>
              <w:szCs w:val="24"/>
            </w:rPr>
          </w:pPr>
          <w:r>
            <w:fldChar w:fldCharType="begin"/>
          </w:r>
          <w:r>
            <w:instrText xml:space="preserve"> HYPERLINK \l "bookmark39" </w:instrText>
          </w:r>
          <w:r>
            <w:fldChar w:fldCharType="separate"/>
          </w:r>
          <w:r>
            <w:rPr>
              <w:rFonts w:ascii="Times New Roman" w:hAnsi="Times New Roman" w:eastAsia="Times New Roman" w:cs="Times New Roman"/>
              <w:spacing w:val="-1"/>
              <w:sz w:val="24"/>
              <w:szCs w:val="24"/>
            </w:rPr>
            <w:t xml:space="preserve">5.1  </w:t>
          </w:r>
          <w:r>
            <w:rPr>
              <w:rFonts w:ascii="宋体" w:hAnsi="宋体" w:eastAsia="宋体" w:cs="宋体"/>
              <w:spacing w:val="-1"/>
              <w:sz w:val="24"/>
              <w:szCs w:val="24"/>
            </w:rPr>
            <w:t>开标时间和地点</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19</w:t>
          </w:r>
          <w:r>
            <w:rPr>
              <w:rFonts w:ascii="Times New Roman" w:hAnsi="Times New Roman" w:eastAsia="Times New Roman" w:cs="Times New Roman"/>
              <w:spacing w:val="-15"/>
              <w:sz w:val="24"/>
              <w:szCs w:val="24"/>
            </w:rPr>
            <w:fldChar w:fldCharType="end"/>
          </w:r>
        </w:p>
        <w:p w14:paraId="1BDD5BA8">
          <w:pPr>
            <w:tabs>
              <w:tab w:val="right" w:leader="dot" w:pos="8320"/>
            </w:tabs>
            <w:spacing w:before="136" w:line="184" w:lineRule="auto"/>
            <w:ind w:left="1285"/>
            <w:rPr>
              <w:rFonts w:ascii="Times New Roman" w:hAnsi="Times New Roman" w:eastAsia="Times New Roman" w:cs="Times New Roman"/>
              <w:sz w:val="24"/>
              <w:szCs w:val="24"/>
            </w:rPr>
          </w:pPr>
          <w:r>
            <w:fldChar w:fldCharType="begin"/>
          </w:r>
          <w:r>
            <w:instrText xml:space="preserve"> HYPERLINK \l "bookmark40" </w:instrText>
          </w:r>
          <w:r>
            <w:fldChar w:fldCharType="separate"/>
          </w:r>
          <w:r>
            <w:rPr>
              <w:rFonts w:ascii="Times New Roman" w:hAnsi="Times New Roman" w:eastAsia="Times New Roman" w:cs="Times New Roman"/>
              <w:spacing w:val="-2"/>
              <w:sz w:val="24"/>
              <w:szCs w:val="24"/>
            </w:rPr>
            <w:t xml:space="preserve">5.2  </w:t>
          </w:r>
          <w:r>
            <w:rPr>
              <w:rFonts w:ascii="宋体" w:hAnsi="宋体" w:eastAsia="宋体" w:cs="宋体"/>
              <w:spacing w:val="-2"/>
              <w:sz w:val="24"/>
              <w:szCs w:val="24"/>
            </w:rPr>
            <w:t>开标程序</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19</w:t>
          </w:r>
          <w:r>
            <w:rPr>
              <w:rFonts w:ascii="Times New Roman" w:hAnsi="Times New Roman" w:eastAsia="Times New Roman" w:cs="Times New Roman"/>
              <w:spacing w:val="-15"/>
              <w:sz w:val="24"/>
              <w:szCs w:val="24"/>
            </w:rPr>
            <w:fldChar w:fldCharType="end"/>
          </w:r>
        </w:p>
        <w:p w14:paraId="638B91EE">
          <w:pPr>
            <w:tabs>
              <w:tab w:val="right" w:leader="dot" w:pos="8320"/>
            </w:tabs>
            <w:spacing w:before="132" w:line="185" w:lineRule="auto"/>
            <w:ind w:left="1285"/>
            <w:rPr>
              <w:rFonts w:ascii="Times New Roman" w:hAnsi="Times New Roman" w:eastAsia="Times New Roman" w:cs="Times New Roman"/>
              <w:sz w:val="24"/>
              <w:szCs w:val="24"/>
            </w:rPr>
          </w:pPr>
          <w:r>
            <w:fldChar w:fldCharType="begin"/>
          </w:r>
          <w:r>
            <w:instrText xml:space="preserve"> HYPERLINK \l "bookmark41" </w:instrText>
          </w:r>
          <w:r>
            <w:fldChar w:fldCharType="separate"/>
          </w:r>
          <w:r>
            <w:rPr>
              <w:rFonts w:ascii="Times New Roman" w:hAnsi="Times New Roman" w:eastAsia="Times New Roman" w:cs="Times New Roman"/>
              <w:spacing w:val="-2"/>
              <w:sz w:val="24"/>
              <w:szCs w:val="24"/>
            </w:rPr>
            <w:t xml:space="preserve">5.3  </w:t>
          </w:r>
          <w:r>
            <w:rPr>
              <w:rFonts w:ascii="宋体" w:hAnsi="宋体" w:eastAsia="宋体" w:cs="宋体"/>
              <w:spacing w:val="-2"/>
              <w:sz w:val="24"/>
              <w:szCs w:val="24"/>
            </w:rPr>
            <w:t>开标异议</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19</w:t>
          </w:r>
          <w:r>
            <w:rPr>
              <w:rFonts w:ascii="Times New Roman" w:hAnsi="Times New Roman" w:eastAsia="Times New Roman" w:cs="Times New Roman"/>
              <w:spacing w:val="-15"/>
              <w:sz w:val="24"/>
              <w:szCs w:val="24"/>
            </w:rPr>
            <w:fldChar w:fldCharType="end"/>
          </w:r>
        </w:p>
        <w:p w14:paraId="482EBB07">
          <w:pPr>
            <w:tabs>
              <w:tab w:val="right" w:leader="dot" w:pos="8320"/>
            </w:tabs>
            <w:spacing w:before="137" w:line="184" w:lineRule="auto"/>
            <w:ind w:left="1285"/>
            <w:rPr>
              <w:rFonts w:ascii="Times New Roman" w:hAnsi="Times New Roman" w:eastAsia="Times New Roman" w:cs="Times New Roman"/>
              <w:sz w:val="24"/>
              <w:szCs w:val="24"/>
            </w:rPr>
          </w:pPr>
          <w:r>
            <w:fldChar w:fldCharType="begin"/>
          </w:r>
          <w:r>
            <w:instrText xml:space="preserve"> HYPERLINK \l "bookmark42" </w:instrText>
          </w:r>
          <w:r>
            <w:fldChar w:fldCharType="separate"/>
          </w:r>
          <w:r>
            <w:rPr>
              <w:rFonts w:ascii="Times New Roman" w:hAnsi="Times New Roman" w:eastAsia="Times New Roman" w:cs="Times New Roman"/>
              <w:spacing w:val="-1"/>
              <w:sz w:val="24"/>
              <w:szCs w:val="24"/>
            </w:rPr>
            <w:t xml:space="preserve">5.4  </w:t>
          </w:r>
          <w:r>
            <w:rPr>
              <w:rFonts w:ascii="宋体" w:hAnsi="宋体" w:eastAsia="宋体" w:cs="宋体"/>
              <w:spacing w:val="-1"/>
              <w:sz w:val="24"/>
              <w:szCs w:val="24"/>
            </w:rPr>
            <w:t>特殊情况的处置</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p w14:paraId="49683B0E">
          <w:pPr>
            <w:tabs>
              <w:tab w:val="right" w:leader="dot" w:pos="8320"/>
            </w:tabs>
            <w:spacing w:before="135" w:line="184" w:lineRule="auto"/>
            <w:ind w:left="864"/>
            <w:rPr>
              <w:rFonts w:ascii="Times New Roman" w:hAnsi="Times New Roman" w:eastAsia="Times New Roman" w:cs="Times New Roman"/>
              <w:sz w:val="24"/>
              <w:szCs w:val="24"/>
            </w:rPr>
          </w:pPr>
          <w:r>
            <w:fldChar w:fldCharType="begin"/>
          </w:r>
          <w:r>
            <w:instrText xml:space="preserve"> HYPERLINK \l "bookmark43" </w:instrText>
          </w:r>
          <w:r>
            <w:fldChar w:fldCharType="separate"/>
          </w:r>
          <w:r>
            <w:rPr>
              <w:rFonts w:ascii="Times New Roman" w:hAnsi="Times New Roman" w:eastAsia="Times New Roman" w:cs="Times New Roman"/>
              <w:spacing w:val="-5"/>
              <w:sz w:val="24"/>
              <w:szCs w:val="24"/>
            </w:rPr>
            <w:t>6.</w:t>
          </w:r>
          <w:r>
            <w:rPr>
              <w:rFonts w:ascii="Times New Roman" w:hAnsi="Times New Roman" w:eastAsia="Times New Roman" w:cs="Times New Roman"/>
              <w:spacing w:val="4"/>
              <w:sz w:val="24"/>
              <w:szCs w:val="24"/>
            </w:rPr>
            <w:t xml:space="preserve">  </w:t>
          </w:r>
          <w:r>
            <w:rPr>
              <w:rFonts w:ascii="宋体" w:hAnsi="宋体" w:eastAsia="宋体" w:cs="宋体"/>
              <w:spacing w:val="-5"/>
              <w:sz w:val="24"/>
              <w:szCs w:val="24"/>
            </w:rPr>
            <w:t>评标</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p w14:paraId="0E28216B">
          <w:pPr>
            <w:tabs>
              <w:tab w:val="right" w:leader="dot" w:pos="8320"/>
            </w:tabs>
            <w:spacing w:before="132" w:line="185" w:lineRule="auto"/>
            <w:ind w:left="1284"/>
            <w:rPr>
              <w:rFonts w:ascii="Times New Roman" w:hAnsi="Times New Roman" w:eastAsia="Times New Roman" w:cs="Times New Roman"/>
              <w:sz w:val="24"/>
              <w:szCs w:val="24"/>
            </w:rPr>
          </w:pPr>
          <w:r>
            <w:fldChar w:fldCharType="begin"/>
          </w:r>
          <w:r>
            <w:instrText xml:space="preserve"> HYPERLINK \l "bookmark44" </w:instrText>
          </w:r>
          <w:r>
            <w:fldChar w:fldCharType="separate"/>
          </w:r>
          <w:r>
            <w:rPr>
              <w:rFonts w:ascii="Times New Roman" w:hAnsi="Times New Roman" w:eastAsia="Times New Roman" w:cs="Times New Roman"/>
              <w:spacing w:val="-2"/>
              <w:sz w:val="24"/>
              <w:szCs w:val="24"/>
            </w:rPr>
            <w:t xml:space="preserve">6.1  </w:t>
          </w:r>
          <w:r>
            <w:rPr>
              <w:rFonts w:ascii="宋体" w:hAnsi="宋体" w:eastAsia="宋体" w:cs="宋体"/>
              <w:spacing w:val="-2"/>
              <w:sz w:val="24"/>
              <w:szCs w:val="24"/>
            </w:rPr>
            <w:t>评标委员会</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p w14:paraId="5F27ED7A">
          <w:pPr>
            <w:tabs>
              <w:tab w:val="right" w:leader="dot" w:pos="8320"/>
            </w:tabs>
            <w:spacing w:before="137" w:line="184" w:lineRule="auto"/>
            <w:ind w:left="1284"/>
            <w:rPr>
              <w:rFonts w:ascii="Times New Roman" w:hAnsi="Times New Roman" w:eastAsia="Times New Roman" w:cs="Times New Roman"/>
              <w:sz w:val="24"/>
              <w:szCs w:val="24"/>
            </w:rPr>
          </w:pPr>
          <w:r>
            <w:fldChar w:fldCharType="begin"/>
          </w:r>
          <w:r>
            <w:instrText xml:space="preserve"> HYPERLINK \l "bookmark45" </w:instrText>
          </w:r>
          <w:r>
            <w:fldChar w:fldCharType="separate"/>
          </w:r>
          <w:r>
            <w:rPr>
              <w:rFonts w:ascii="Times New Roman" w:hAnsi="Times New Roman" w:eastAsia="Times New Roman" w:cs="Times New Roman"/>
              <w:spacing w:val="-2"/>
              <w:sz w:val="24"/>
              <w:szCs w:val="24"/>
            </w:rPr>
            <w:t xml:space="preserve">6.2  </w:t>
          </w:r>
          <w:r>
            <w:rPr>
              <w:rFonts w:ascii="宋体" w:hAnsi="宋体" w:eastAsia="宋体" w:cs="宋体"/>
              <w:spacing w:val="-2"/>
              <w:sz w:val="24"/>
              <w:szCs w:val="24"/>
            </w:rPr>
            <w:t>评标原则</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p w14:paraId="6F3D655E">
          <w:pPr>
            <w:tabs>
              <w:tab w:val="right" w:leader="dot" w:pos="8320"/>
            </w:tabs>
            <w:spacing w:before="133" w:line="184" w:lineRule="auto"/>
            <w:ind w:left="1284"/>
            <w:rPr>
              <w:rFonts w:ascii="Times New Roman" w:hAnsi="Times New Roman" w:eastAsia="Times New Roman" w:cs="Times New Roman"/>
              <w:sz w:val="24"/>
              <w:szCs w:val="24"/>
            </w:rPr>
          </w:pPr>
          <w:r>
            <w:fldChar w:fldCharType="begin"/>
          </w:r>
          <w:r>
            <w:instrText xml:space="preserve"> HYPERLINK \l "bookmark46" </w:instrText>
          </w:r>
          <w:r>
            <w:fldChar w:fldCharType="separate"/>
          </w:r>
          <w:r>
            <w:rPr>
              <w:rFonts w:ascii="Times New Roman" w:hAnsi="Times New Roman" w:eastAsia="Times New Roman" w:cs="Times New Roman"/>
              <w:spacing w:val="-4"/>
              <w:sz w:val="24"/>
              <w:szCs w:val="24"/>
            </w:rPr>
            <w:t>6.3</w:t>
          </w:r>
          <w:r>
            <w:rPr>
              <w:rFonts w:ascii="Times New Roman" w:hAnsi="Times New Roman" w:eastAsia="Times New Roman" w:cs="Times New Roman"/>
              <w:spacing w:val="4"/>
              <w:sz w:val="24"/>
              <w:szCs w:val="24"/>
            </w:rPr>
            <w:t xml:space="preserve">  </w:t>
          </w:r>
          <w:r>
            <w:rPr>
              <w:rFonts w:ascii="宋体" w:hAnsi="宋体" w:eastAsia="宋体" w:cs="宋体"/>
              <w:spacing w:val="-4"/>
              <w:sz w:val="24"/>
              <w:szCs w:val="24"/>
            </w:rPr>
            <w:t>评标</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p w14:paraId="5C90F70F">
          <w:pPr>
            <w:tabs>
              <w:tab w:val="right" w:leader="dot" w:pos="8320"/>
            </w:tabs>
            <w:spacing w:before="135" w:line="185" w:lineRule="auto"/>
            <w:ind w:left="1284"/>
            <w:rPr>
              <w:rFonts w:ascii="Times New Roman" w:hAnsi="Times New Roman" w:eastAsia="Times New Roman" w:cs="Times New Roman"/>
              <w:sz w:val="24"/>
              <w:szCs w:val="24"/>
            </w:rPr>
          </w:pPr>
          <w:r>
            <w:fldChar w:fldCharType="begin"/>
          </w:r>
          <w:r>
            <w:instrText xml:space="preserve"> HYPERLINK \l "bookmark47" </w:instrText>
          </w:r>
          <w:r>
            <w:fldChar w:fldCharType="separate"/>
          </w:r>
          <w:r>
            <w:rPr>
              <w:rFonts w:ascii="Times New Roman" w:hAnsi="Times New Roman" w:eastAsia="Times New Roman" w:cs="Times New Roman"/>
              <w:spacing w:val="-1"/>
              <w:sz w:val="24"/>
              <w:szCs w:val="24"/>
            </w:rPr>
            <w:t xml:space="preserve">6.4  </w:t>
          </w:r>
          <w:r>
            <w:rPr>
              <w:rFonts w:ascii="宋体" w:hAnsi="宋体" w:eastAsia="宋体" w:cs="宋体"/>
              <w:spacing w:val="-1"/>
              <w:sz w:val="24"/>
              <w:szCs w:val="24"/>
            </w:rPr>
            <w:t>评标结果公示</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p w14:paraId="4C6086C0">
          <w:pPr>
            <w:tabs>
              <w:tab w:val="right" w:leader="dot" w:pos="8320"/>
            </w:tabs>
            <w:spacing w:before="136" w:line="184" w:lineRule="auto"/>
            <w:ind w:left="1284"/>
            <w:rPr>
              <w:rFonts w:ascii="Times New Roman" w:hAnsi="Times New Roman" w:eastAsia="Times New Roman" w:cs="Times New Roman"/>
              <w:sz w:val="24"/>
              <w:szCs w:val="24"/>
            </w:rPr>
          </w:pPr>
          <w:r>
            <w:fldChar w:fldCharType="begin"/>
          </w:r>
          <w:r>
            <w:instrText xml:space="preserve"> HYPERLINK \l "bookmark48" </w:instrText>
          </w:r>
          <w:r>
            <w:fldChar w:fldCharType="separate"/>
          </w:r>
          <w:r>
            <w:rPr>
              <w:rFonts w:ascii="Times New Roman" w:hAnsi="Times New Roman" w:eastAsia="Times New Roman" w:cs="Times New Roman"/>
              <w:spacing w:val="-1"/>
              <w:sz w:val="24"/>
              <w:szCs w:val="24"/>
            </w:rPr>
            <w:t xml:space="preserve">6.5  </w:t>
          </w:r>
          <w:r>
            <w:rPr>
              <w:rFonts w:ascii="宋体" w:hAnsi="宋体" w:eastAsia="宋体" w:cs="宋体"/>
              <w:spacing w:val="-1"/>
              <w:sz w:val="24"/>
              <w:szCs w:val="24"/>
            </w:rPr>
            <w:t>履约能力的审查（如有）</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21</w:t>
          </w:r>
          <w:r>
            <w:rPr>
              <w:rFonts w:ascii="Times New Roman" w:hAnsi="Times New Roman" w:eastAsia="Times New Roman" w:cs="Times New Roman"/>
              <w:spacing w:val="-3"/>
              <w:sz w:val="24"/>
              <w:szCs w:val="24"/>
            </w:rPr>
            <w:fldChar w:fldCharType="end"/>
          </w:r>
        </w:p>
        <w:p w14:paraId="4B65AAAE">
          <w:pPr>
            <w:tabs>
              <w:tab w:val="right" w:leader="dot" w:pos="8320"/>
            </w:tabs>
            <w:spacing w:before="133" w:line="185" w:lineRule="auto"/>
            <w:ind w:left="862"/>
            <w:rPr>
              <w:rFonts w:ascii="Times New Roman" w:hAnsi="Times New Roman" w:eastAsia="Times New Roman" w:cs="Times New Roman"/>
              <w:sz w:val="24"/>
              <w:szCs w:val="24"/>
            </w:rPr>
          </w:pPr>
          <w:r>
            <w:fldChar w:fldCharType="begin"/>
          </w:r>
          <w:r>
            <w:instrText xml:space="preserve"> HYPERLINK \l "bookmark49" </w:instrText>
          </w:r>
          <w:r>
            <w:fldChar w:fldCharType="separate"/>
          </w:r>
          <w:r>
            <w:rPr>
              <w:rFonts w:ascii="Times New Roman" w:hAnsi="Times New Roman" w:eastAsia="Times New Roman" w:cs="Times New Roman"/>
              <w:spacing w:val="-4"/>
              <w:sz w:val="24"/>
              <w:szCs w:val="24"/>
            </w:rPr>
            <w:t>7.</w:t>
          </w:r>
          <w:r>
            <w:rPr>
              <w:rFonts w:ascii="Times New Roman" w:hAnsi="Times New Roman" w:eastAsia="Times New Roman" w:cs="Times New Roman"/>
              <w:spacing w:val="7"/>
              <w:sz w:val="24"/>
              <w:szCs w:val="24"/>
            </w:rPr>
            <w:t xml:space="preserve">  </w:t>
          </w:r>
          <w:r>
            <w:rPr>
              <w:rFonts w:ascii="宋体" w:hAnsi="宋体" w:eastAsia="宋体" w:cs="宋体"/>
              <w:spacing w:val="-4"/>
              <w:sz w:val="24"/>
              <w:szCs w:val="24"/>
            </w:rPr>
            <w:t>合同授予</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21</w:t>
          </w:r>
          <w:r>
            <w:rPr>
              <w:rFonts w:ascii="Times New Roman" w:hAnsi="Times New Roman" w:eastAsia="Times New Roman" w:cs="Times New Roman"/>
              <w:spacing w:val="-3"/>
              <w:sz w:val="24"/>
              <w:szCs w:val="24"/>
            </w:rPr>
            <w:fldChar w:fldCharType="end"/>
          </w:r>
        </w:p>
        <w:p w14:paraId="578ED1A5">
          <w:pPr>
            <w:tabs>
              <w:tab w:val="right" w:leader="dot" w:pos="8320"/>
            </w:tabs>
            <w:spacing w:before="136" w:line="184" w:lineRule="auto"/>
            <w:ind w:left="1282"/>
            <w:rPr>
              <w:rFonts w:ascii="Times New Roman" w:hAnsi="Times New Roman" w:eastAsia="Times New Roman" w:cs="Times New Roman"/>
              <w:sz w:val="24"/>
              <w:szCs w:val="24"/>
            </w:rPr>
          </w:pPr>
          <w:r>
            <w:fldChar w:fldCharType="begin"/>
          </w:r>
          <w:r>
            <w:instrText xml:space="preserve"> HYPERLINK \l "bookmark50" </w:instrText>
          </w:r>
          <w:r>
            <w:fldChar w:fldCharType="separate"/>
          </w:r>
          <w:r>
            <w:rPr>
              <w:rFonts w:ascii="Times New Roman" w:hAnsi="Times New Roman" w:eastAsia="Times New Roman" w:cs="Times New Roman"/>
              <w:spacing w:val="-4"/>
              <w:sz w:val="24"/>
              <w:szCs w:val="24"/>
            </w:rPr>
            <w:t>7.1</w:t>
          </w:r>
          <w:r>
            <w:rPr>
              <w:rFonts w:ascii="Times New Roman" w:hAnsi="Times New Roman" w:eastAsia="Times New Roman" w:cs="Times New Roman"/>
              <w:spacing w:val="9"/>
              <w:sz w:val="24"/>
              <w:szCs w:val="24"/>
            </w:rPr>
            <w:t xml:space="preserve">  </w:t>
          </w:r>
          <w:r>
            <w:rPr>
              <w:rFonts w:ascii="宋体" w:hAnsi="宋体" w:eastAsia="宋体" w:cs="宋体"/>
              <w:spacing w:val="-4"/>
              <w:sz w:val="24"/>
              <w:szCs w:val="24"/>
            </w:rPr>
            <w:t>定标方式</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21</w:t>
          </w:r>
          <w:r>
            <w:rPr>
              <w:rFonts w:ascii="Times New Roman" w:hAnsi="Times New Roman" w:eastAsia="Times New Roman" w:cs="Times New Roman"/>
              <w:spacing w:val="-3"/>
              <w:sz w:val="24"/>
              <w:szCs w:val="24"/>
            </w:rPr>
            <w:fldChar w:fldCharType="end"/>
          </w:r>
        </w:p>
        <w:p w14:paraId="74E6E364">
          <w:pPr>
            <w:tabs>
              <w:tab w:val="right" w:leader="dot" w:pos="8320"/>
            </w:tabs>
            <w:spacing w:before="133" w:line="184" w:lineRule="auto"/>
            <w:ind w:left="1282"/>
            <w:rPr>
              <w:rFonts w:ascii="Times New Roman" w:hAnsi="Times New Roman" w:eastAsia="Times New Roman" w:cs="Times New Roman"/>
              <w:sz w:val="24"/>
              <w:szCs w:val="24"/>
            </w:rPr>
          </w:pPr>
          <w:r>
            <w:fldChar w:fldCharType="begin"/>
          </w:r>
          <w:r>
            <w:instrText xml:space="preserve"> HYPERLINK \l "bookmark51" </w:instrText>
          </w:r>
          <w:r>
            <w:fldChar w:fldCharType="separate"/>
          </w:r>
          <w:r>
            <w:rPr>
              <w:rFonts w:ascii="Times New Roman" w:hAnsi="Times New Roman" w:eastAsia="Times New Roman" w:cs="Times New Roman"/>
              <w:spacing w:val="-6"/>
              <w:sz w:val="24"/>
              <w:szCs w:val="24"/>
            </w:rPr>
            <w:t>7.2</w:t>
          </w:r>
          <w:r>
            <w:rPr>
              <w:rFonts w:ascii="Times New Roman" w:hAnsi="Times New Roman" w:eastAsia="Times New Roman" w:cs="Times New Roman"/>
              <w:spacing w:val="16"/>
              <w:sz w:val="24"/>
              <w:szCs w:val="24"/>
            </w:rPr>
            <w:t xml:space="preserve">  </w:t>
          </w:r>
          <w:r>
            <w:rPr>
              <w:rFonts w:ascii="宋体" w:hAnsi="宋体" w:eastAsia="宋体" w:cs="宋体"/>
              <w:spacing w:val="-6"/>
              <w:sz w:val="24"/>
              <w:szCs w:val="24"/>
            </w:rPr>
            <w:t>中标通知</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21</w:t>
          </w:r>
          <w:r>
            <w:rPr>
              <w:rFonts w:ascii="Times New Roman" w:hAnsi="Times New Roman" w:eastAsia="Times New Roman" w:cs="Times New Roman"/>
              <w:spacing w:val="-3"/>
              <w:sz w:val="24"/>
              <w:szCs w:val="24"/>
            </w:rPr>
            <w:fldChar w:fldCharType="end"/>
          </w:r>
        </w:p>
        <w:p w14:paraId="47A4FCA6">
          <w:pPr>
            <w:tabs>
              <w:tab w:val="right" w:leader="dot" w:pos="8320"/>
            </w:tabs>
            <w:spacing w:before="135" w:line="185" w:lineRule="auto"/>
            <w:ind w:left="1282"/>
            <w:rPr>
              <w:rFonts w:ascii="Times New Roman" w:hAnsi="Times New Roman" w:eastAsia="Times New Roman" w:cs="Times New Roman"/>
              <w:sz w:val="24"/>
              <w:szCs w:val="24"/>
            </w:rPr>
          </w:pPr>
          <w:r>
            <w:fldChar w:fldCharType="begin"/>
          </w:r>
          <w:r>
            <w:instrText xml:space="preserve"> HYPERLINK \l "bookmark52" </w:instrText>
          </w:r>
          <w:r>
            <w:fldChar w:fldCharType="separate"/>
          </w:r>
          <w:r>
            <w:rPr>
              <w:rFonts w:ascii="Times New Roman" w:hAnsi="Times New Roman" w:eastAsia="Times New Roman" w:cs="Times New Roman"/>
              <w:spacing w:val="-3"/>
              <w:sz w:val="24"/>
              <w:szCs w:val="24"/>
            </w:rPr>
            <w:t>7.3</w:t>
          </w:r>
          <w:r>
            <w:rPr>
              <w:rFonts w:ascii="Times New Roman" w:hAnsi="Times New Roman" w:eastAsia="Times New Roman" w:cs="Times New Roman"/>
              <w:spacing w:val="7"/>
              <w:sz w:val="24"/>
              <w:szCs w:val="24"/>
            </w:rPr>
            <w:t xml:space="preserve">  </w:t>
          </w:r>
          <w:r>
            <w:rPr>
              <w:rFonts w:ascii="宋体" w:hAnsi="宋体" w:eastAsia="宋体" w:cs="宋体"/>
              <w:spacing w:val="-3"/>
              <w:sz w:val="24"/>
              <w:szCs w:val="24"/>
            </w:rPr>
            <w:t>履约保证金</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21</w:t>
          </w:r>
          <w:r>
            <w:rPr>
              <w:rFonts w:ascii="Times New Roman" w:hAnsi="Times New Roman" w:eastAsia="Times New Roman" w:cs="Times New Roman"/>
              <w:spacing w:val="-3"/>
              <w:sz w:val="24"/>
              <w:szCs w:val="24"/>
            </w:rPr>
            <w:fldChar w:fldCharType="end"/>
          </w:r>
        </w:p>
        <w:p w14:paraId="0E58ACAE">
          <w:pPr>
            <w:tabs>
              <w:tab w:val="right" w:leader="dot" w:pos="8320"/>
            </w:tabs>
            <w:spacing w:before="137" w:line="184" w:lineRule="auto"/>
            <w:ind w:left="1282"/>
            <w:rPr>
              <w:rFonts w:ascii="Times New Roman" w:hAnsi="Times New Roman" w:eastAsia="Times New Roman" w:cs="Times New Roman"/>
              <w:sz w:val="24"/>
              <w:szCs w:val="24"/>
            </w:rPr>
          </w:pPr>
          <w:r>
            <w:fldChar w:fldCharType="begin"/>
          </w:r>
          <w:r>
            <w:instrText xml:space="preserve"> HYPERLINK \l "bookmark53" </w:instrText>
          </w:r>
          <w:r>
            <w:fldChar w:fldCharType="separate"/>
          </w:r>
          <w:r>
            <w:rPr>
              <w:rFonts w:ascii="Times New Roman" w:hAnsi="Times New Roman" w:eastAsia="Times New Roman" w:cs="Times New Roman"/>
              <w:spacing w:val="-1"/>
              <w:sz w:val="24"/>
              <w:szCs w:val="24"/>
            </w:rPr>
            <w:t xml:space="preserve">7.4  </w:t>
          </w:r>
          <w:r>
            <w:rPr>
              <w:rFonts w:ascii="宋体" w:hAnsi="宋体" w:eastAsia="宋体" w:cs="宋体"/>
              <w:spacing w:val="-1"/>
              <w:sz w:val="24"/>
              <w:szCs w:val="24"/>
            </w:rPr>
            <w:t>签订合同</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21</w:t>
          </w:r>
          <w:r>
            <w:rPr>
              <w:rFonts w:ascii="Times New Roman" w:hAnsi="Times New Roman" w:eastAsia="Times New Roman" w:cs="Times New Roman"/>
              <w:spacing w:val="-3"/>
              <w:sz w:val="24"/>
              <w:szCs w:val="24"/>
            </w:rPr>
            <w:fldChar w:fldCharType="end"/>
          </w:r>
        </w:p>
        <w:p w14:paraId="484C1C49">
          <w:pPr>
            <w:tabs>
              <w:tab w:val="right" w:leader="dot" w:pos="8320"/>
            </w:tabs>
            <w:spacing w:before="132" w:line="185" w:lineRule="auto"/>
            <w:ind w:left="868"/>
            <w:rPr>
              <w:rFonts w:ascii="Times New Roman" w:hAnsi="Times New Roman" w:eastAsia="Times New Roman" w:cs="Times New Roman"/>
              <w:sz w:val="24"/>
              <w:szCs w:val="24"/>
            </w:rPr>
          </w:pPr>
          <w:r>
            <w:fldChar w:fldCharType="begin"/>
          </w:r>
          <w:r>
            <w:instrText xml:space="preserve"> HYPERLINK \l "bookmark54" </w:instrText>
          </w:r>
          <w:r>
            <w:fldChar w:fldCharType="separate"/>
          </w:r>
          <w:r>
            <w:rPr>
              <w:rFonts w:ascii="Times New Roman" w:hAnsi="Times New Roman" w:eastAsia="Times New Roman" w:cs="Times New Roman"/>
              <w:spacing w:val="-1"/>
              <w:sz w:val="24"/>
              <w:szCs w:val="24"/>
            </w:rPr>
            <w:t xml:space="preserve">8.  </w:t>
          </w:r>
          <w:r>
            <w:rPr>
              <w:rFonts w:ascii="宋体" w:hAnsi="宋体" w:eastAsia="宋体" w:cs="宋体"/>
              <w:spacing w:val="-1"/>
              <w:sz w:val="24"/>
              <w:szCs w:val="24"/>
            </w:rPr>
            <w:t>重新招标、不再招标和终止招标</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22</w:t>
          </w:r>
          <w:r>
            <w:rPr>
              <w:rFonts w:ascii="Times New Roman" w:hAnsi="Times New Roman" w:eastAsia="Times New Roman" w:cs="Times New Roman"/>
              <w:spacing w:val="-3"/>
              <w:sz w:val="24"/>
              <w:szCs w:val="24"/>
            </w:rPr>
            <w:fldChar w:fldCharType="end"/>
          </w:r>
        </w:p>
        <w:p w14:paraId="34A2CA26">
          <w:pPr>
            <w:tabs>
              <w:tab w:val="right" w:leader="dot" w:pos="8320"/>
            </w:tabs>
            <w:spacing w:before="137" w:line="184" w:lineRule="auto"/>
            <w:ind w:left="1288"/>
            <w:rPr>
              <w:rFonts w:ascii="Times New Roman" w:hAnsi="Times New Roman" w:eastAsia="Times New Roman" w:cs="Times New Roman"/>
              <w:sz w:val="24"/>
              <w:szCs w:val="24"/>
            </w:rPr>
          </w:pPr>
          <w:r>
            <w:fldChar w:fldCharType="begin"/>
          </w:r>
          <w:r>
            <w:instrText xml:space="preserve"> HYPERLINK \l "bookmark55" </w:instrText>
          </w:r>
          <w:r>
            <w:fldChar w:fldCharType="separate"/>
          </w:r>
          <w:r>
            <w:rPr>
              <w:rFonts w:ascii="Times New Roman" w:hAnsi="Times New Roman" w:eastAsia="Times New Roman" w:cs="Times New Roman"/>
              <w:spacing w:val="-4"/>
              <w:sz w:val="24"/>
              <w:szCs w:val="24"/>
            </w:rPr>
            <w:t>8.1</w:t>
          </w:r>
          <w:r>
            <w:rPr>
              <w:rFonts w:ascii="Times New Roman" w:hAnsi="Times New Roman" w:eastAsia="Times New Roman" w:cs="Times New Roman"/>
              <w:spacing w:val="6"/>
              <w:sz w:val="24"/>
              <w:szCs w:val="24"/>
            </w:rPr>
            <w:t xml:space="preserve">  </w:t>
          </w:r>
          <w:r>
            <w:rPr>
              <w:rFonts w:ascii="宋体" w:hAnsi="宋体" w:eastAsia="宋体" w:cs="宋体"/>
              <w:spacing w:val="-4"/>
              <w:sz w:val="24"/>
              <w:szCs w:val="24"/>
            </w:rPr>
            <w:t>重新招标</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22</w:t>
          </w:r>
          <w:r>
            <w:rPr>
              <w:rFonts w:ascii="Times New Roman" w:hAnsi="Times New Roman" w:eastAsia="Times New Roman" w:cs="Times New Roman"/>
              <w:spacing w:val="-3"/>
              <w:sz w:val="24"/>
              <w:szCs w:val="24"/>
            </w:rPr>
            <w:fldChar w:fldCharType="end"/>
          </w:r>
        </w:p>
        <w:p w14:paraId="344E0893">
          <w:pPr>
            <w:tabs>
              <w:tab w:val="right" w:leader="dot" w:pos="8320"/>
            </w:tabs>
            <w:spacing w:before="133" w:line="184" w:lineRule="auto"/>
            <w:ind w:left="1288"/>
            <w:rPr>
              <w:rFonts w:ascii="Times New Roman" w:hAnsi="Times New Roman" w:eastAsia="Times New Roman" w:cs="Times New Roman"/>
              <w:sz w:val="24"/>
              <w:szCs w:val="24"/>
            </w:rPr>
          </w:pPr>
          <w:r>
            <w:fldChar w:fldCharType="begin"/>
          </w:r>
          <w:r>
            <w:instrText xml:space="preserve"> HYPERLINK \l "bookmark56" </w:instrText>
          </w:r>
          <w:r>
            <w:fldChar w:fldCharType="separate"/>
          </w:r>
          <w:r>
            <w:rPr>
              <w:rFonts w:ascii="Times New Roman" w:hAnsi="Times New Roman" w:eastAsia="Times New Roman" w:cs="Times New Roman"/>
              <w:spacing w:val="-4"/>
              <w:sz w:val="24"/>
              <w:szCs w:val="24"/>
            </w:rPr>
            <w:t>8.2</w:t>
          </w:r>
          <w:r>
            <w:rPr>
              <w:rFonts w:ascii="Times New Roman" w:hAnsi="Times New Roman" w:eastAsia="Times New Roman" w:cs="Times New Roman"/>
              <w:spacing w:val="6"/>
              <w:sz w:val="24"/>
              <w:szCs w:val="24"/>
            </w:rPr>
            <w:t xml:space="preserve">  </w:t>
          </w:r>
          <w:r>
            <w:rPr>
              <w:rFonts w:ascii="宋体" w:hAnsi="宋体" w:eastAsia="宋体" w:cs="宋体"/>
              <w:spacing w:val="-4"/>
              <w:sz w:val="24"/>
              <w:szCs w:val="24"/>
            </w:rPr>
            <w:t>不再招标</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22</w:t>
          </w:r>
          <w:r>
            <w:rPr>
              <w:rFonts w:ascii="Times New Roman" w:hAnsi="Times New Roman" w:eastAsia="Times New Roman" w:cs="Times New Roman"/>
              <w:spacing w:val="-3"/>
              <w:sz w:val="24"/>
              <w:szCs w:val="24"/>
            </w:rPr>
            <w:fldChar w:fldCharType="end"/>
          </w:r>
        </w:p>
        <w:p w14:paraId="03390FA8">
          <w:pPr>
            <w:tabs>
              <w:tab w:val="right" w:leader="dot" w:pos="8320"/>
            </w:tabs>
            <w:spacing w:before="134" w:line="185" w:lineRule="auto"/>
            <w:ind w:left="1288"/>
            <w:rPr>
              <w:rFonts w:ascii="Times New Roman" w:hAnsi="Times New Roman" w:eastAsia="Times New Roman" w:cs="Times New Roman"/>
              <w:sz w:val="24"/>
              <w:szCs w:val="24"/>
            </w:rPr>
          </w:pPr>
          <w:r>
            <w:fldChar w:fldCharType="begin"/>
          </w:r>
          <w:r>
            <w:instrText xml:space="preserve"> HYPERLINK \l "bookmark57" </w:instrText>
          </w:r>
          <w:r>
            <w:fldChar w:fldCharType="separate"/>
          </w:r>
          <w:r>
            <w:rPr>
              <w:rFonts w:ascii="Times New Roman" w:hAnsi="Times New Roman" w:eastAsia="Times New Roman" w:cs="Times New Roman"/>
              <w:spacing w:val="-4"/>
              <w:sz w:val="24"/>
              <w:szCs w:val="24"/>
            </w:rPr>
            <w:t>8.3</w:t>
          </w:r>
          <w:r>
            <w:rPr>
              <w:rFonts w:ascii="Times New Roman" w:hAnsi="Times New Roman" w:eastAsia="Times New Roman" w:cs="Times New Roman"/>
              <w:spacing w:val="6"/>
              <w:sz w:val="24"/>
              <w:szCs w:val="24"/>
            </w:rPr>
            <w:t xml:space="preserve">  </w:t>
          </w:r>
          <w:r>
            <w:rPr>
              <w:rFonts w:ascii="宋体" w:hAnsi="宋体" w:eastAsia="宋体" w:cs="宋体"/>
              <w:spacing w:val="-4"/>
              <w:sz w:val="24"/>
              <w:szCs w:val="24"/>
            </w:rPr>
            <w:t>终止招标</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22</w:t>
          </w:r>
          <w:r>
            <w:rPr>
              <w:rFonts w:ascii="Times New Roman" w:hAnsi="Times New Roman" w:eastAsia="Times New Roman" w:cs="Times New Roman"/>
              <w:spacing w:val="-3"/>
              <w:sz w:val="24"/>
              <w:szCs w:val="24"/>
            </w:rPr>
            <w:fldChar w:fldCharType="end"/>
          </w:r>
        </w:p>
        <w:p w14:paraId="4DCF4D6B">
          <w:pPr>
            <w:tabs>
              <w:tab w:val="right" w:leader="dot" w:pos="8320"/>
            </w:tabs>
            <w:spacing w:before="137" w:line="184" w:lineRule="auto"/>
            <w:ind w:left="863"/>
            <w:rPr>
              <w:rFonts w:ascii="Times New Roman" w:hAnsi="Times New Roman" w:eastAsia="Times New Roman" w:cs="Times New Roman"/>
              <w:sz w:val="24"/>
              <w:szCs w:val="24"/>
            </w:rPr>
          </w:pPr>
          <w:r>
            <w:fldChar w:fldCharType="begin"/>
          </w:r>
          <w:r>
            <w:instrText xml:space="preserve"> HYPERLINK \l "bookmark58" </w:instrText>
          </w:r>
          <w:r>
            <w:fldChar w:fldCharType="separate"/>
          </w:r>
          <w:r>
            <w:rPr>
              <w:rFonts w:ascii="Times New Roman" w:hAnsi="Times New Roman" w:eastAsia="Times New Roman" w:cs="Times New Roman"/>
              <w:spacing w:val="-4"/>
              <w:sz w:val="24"/>
              <w:szCs w:val="24"/>
            </w:rPr>
            <w:t>9.</w:t>
          </w:r>
          <w:r>
            <w:rPr>
              <w:rFonts w:ascii="Times New Roman" w:hAnsi="Times New Roman" w:eastAsia="Times New Roman" w:cs="Times New Roman"/>
              <w:spacing w:val="8"/>
              <w:sz w:val="24"/>
              <w:szCs w:val="24"/>
            </w:rPr>
            <w:t xml:space="preserve">  </w:t>
          </w:r>
          <w:r>
            <w:rPr>
              <w:rFonts w:ascii="宋体" w:hAnsi="宋体" w:eastAsia="宋体" w:cs="宋体"/>
              <w:spacing w:val="-4"/>
              <w:sz w:val="24"/>
              <w:szCs w:val="24"/>
            </w:rPr>
            <w:t>纪律和监督</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22</w:t>
          </w:r>
          <w:r>
            <w:rPr>
              <w:rFonts w:ascii="Times New Roman" w:hAnsi="Times New Roman" w:eastAsia="Times New Roman" w:cs="Times New Roman"/>
              <w:spacing w:val="-3"/>
              <w:sz w:val="24"/>
              <w:szCs w:val="24"/>
            </w:rPr>
            <w:fldChar w:fldCharType="end"/>
          </w:r>
        </w:p>
        <w:p w14:paraId="7000DCF9">
          <w:pPr>
            <w:tabs>
              <w:tab w:val="right" w:leader="dot" w:pos="8320"/>
            </w:tabs>
            <w:spacing w:before="133" w:line="185" w:lineRule="auto"/>
            <w:ind w:left="1283"/>
            <w:rPr>
              <w:rFonts w:ascii="Times New Roman" w:hAnsi="Times New Roman" w:eastAsia="Times New Roman" w:cs="Times New Roman"/>
              <w:sz w:val="24"/>
              <w:szCs w:val="24"/>
            </w:rPr>
          </w:pPr>
          <w:r>
            <w:fldChar w:fldCharType="begin"/>
          </w:r>
          <w:r>
            <w:instrText xml:space="preserve"> HYPERLINK \l "bookmark59" </w:instrText>
          </w:r>
          <w:r>
            <w:fldChar w:fldCharType="separate"/>
          </w:r>
          <w:r>
            <w:rPr>
              <w:rFonts w:ascii="Times New Roman" w:hAnsi="Times New Roman" w:eastAsia="Times New Roman" w:cs="Times New Roman"/>
              <w:spacing w:val="-1"/>
              <w:sz w:val="24"/>
              <w:szCs w:val="24"/>
            </w:rPr>
            <w:t xml:space="preserve">9.1  </w:t>
          </w:r>
          <w:r>
            <w:rPr>
              <w:rFonts w:ascii="宋体" w:hAnsi="宋体" w:eastAsia="宋体" w:cs="宋体"/>
              <w:spacing w:val="-1"/>
              <w:sz w:val="24"/>
              <w:szCs w:val="24"/>
            </w:rPr>
            <w:t>对招标人的纪律要求</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22</w:t>
          </w:r>
          <w:r>
            <w:rPr>
              <w:rFonts w:ascii="Times New Roman" w:hAnsi="Times New Roman" w:eastAsia="Times New Roman" w:cs="Times New Roman"/>
              <w:spacing w:val="-3"/>
              <w:sz w:val="24"/>
              <w:szCs w:val="24"/>
            </w:rPr>
            <w:fldChar w:fldCharType="end"/>
          </w:r>
        </w:p>
        <w:p w14:paraId="2121F203">
          <w:pPr>
            <w:tabs>
              <w:tab w:val="right" w:leader="dot" w:pos="8320"/>
            </w:tabs>
            <w:spacing w:before="136" w:line="184" w:lineRule="auto"/>
            <w:ind w:left="1283"/>
            <w:rPr>
              <w:rFonts w:ascii="Times New Roman" w:hAnsi="Times New Roman" w:eastAsia="Times New Roman" w:cs="Times New Roman"/>
              <w:sz w:val="24"/>
              <w:szCs w:val="24"/>
            </w:rPr>
          </w:pPr>
          <w:r>
            <w:fldChar w:fldCharType="begin"/>
          </w:r>
          <w:r>
            <w:instrText xml:space="preserve"> HYPERLINK \l "bookmark60" </w:instrText>
          </w:r>
          <w:r>
            <w:fldChar w:fldCharType="separate"/>
          </w:r>
          <w:r>
            <w:rPr>
              <w:rFonts w:ascii="Times New Roman" w:hAnsi="Times New Roman" w:eastAsia="Times New Roman" w:cs="Times New Roman"/>
              <w:spacing w:val="-1"/>
              <w:sz w:val="24"/>
              <w:szCs w:val="24"/>
            </w:rPr>
            <w:t xml:space="preserve">9.2  </w:t>
          </w:r>
          <w:r>
            <w:rPr>
              <w:rFonts w:ascii="宋体" w:hAnsi="宋体" w:eastAsia="宋体" w:cs="宋体"/>
              <w:spacing w:val="-1"/>
              <w:sz w:val="24"/>
              <w:szCs w:val="24"/>
            </w:rPr>
            <w:t>对投标人的纪律要求</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22</w:t>
          </w:r>
          <w:r>
            <w:rPr>
              <w:rFonts w:ascii="Times New Roman" w:hAnsi="Times New Roman" w:eastAsia="Times New Roman" w:cs="Times New Roman"/>
              <w:spacing w:val="-3"/>
              <w:sz w:val="24"/>
              <w:szCs w:val="24"/>
            </w:rPr>
            <w:fldChar w:fldCharType="end"/>
          </w:r>
        </w:p>
        <w:p w14:paraId="6128E28D">
          <w:pPr>
            <w:tabs>
              <w:tab w:val="right" w:leader="dot" w:pos="8320"/>
            </w:tabs>
            <w:spacing w:before="133" w:line="185" w:lineRule="auto"/>
            <w:ind w:left="1283"/>
            <w:rPr>
              <w:rFonts w:ascii="Times New Roman" w:hAnsi="Times New Roman" w:eastAsia="Times New Roman" w:cs="Times New Roman"/>
              <w:sz w:val="24"/>
              <w:szCs w:val="24"/>
            </w:rPr>
          </w:pPr>
          <w:r>
            <w:fldChar w:fldCharType="begin"/>
          </w:r>
          <w:r>
            <w:instrText xml:space="preserve"> HYPERLINK \l "bookmark61" </w:instrText>
          </w:r>
          <w:r>
            <w:fldChar w:fldCharType="separate"/>
          </w:r>
          <w:r>
            <w:rPr>
              <w:rFonts w:ascii="Times New Roman" w:hAnsi="Times New Roman" w:eastAsia="Times New Roman" w:cs="Times New Roman"/>
              <w:spacing w:val="-1"/>
              <w:sz w:val="24"/>
              <w:szCs w:val="24"/>
            </w:rPr>
            <w:t xml:space="preserve">9.3  </w:t>
          </w:r>
          <w:r>
            <w:rPr>
              <w:rFonts w:ascii="宋体" w:hAnsi="宋体" w:eastAsia="宋体" w:cs="宋体"/>
              <w:spacing w:val="-1"/>
              <w:sz w:val="24"/>
              <w:szCs w:val="24"/>
            </w:rPr>
            <w:t>对评标委员会成员的纪律要求</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22</w:t>
          </w:r>
          <w:r>
            <w:rPr>
              <w:rFonts w:ascii="Times New Roman" w:hAnsi="Times New Roman" w:eastAsia="Times New Roman" w:cs="Times New Roman"/>
              <w:spacing w:val="-3"/>
              <w:sz w:val="24"/>
              <w:szCs w:val="24"/>
            </w:rPr>
            <w:fldChar w:fldCharType="end"/>
          </w:r>
        </w:p>
        <w:p w14:paraId="398A98C3">
          <w:pPr>
            <w:tabs>
              <w:tab w:val="right" w:leader="dot" w:pos="8320"/>
            </w:tabs>
            <w:spacing w:before="136" w:line="184" w:lineRule="auto"/>
            <w:ind w:left="1283"/>
            <w:rPr>
              <w:rFonts w:ascii="Times New Roman" w:hAnsi="Times New Roman" w:eastAsia="Times New Roman" w:cs="Times New Roman"/>
              <w:sz w:val="24"/>
              <w:szCs w:val="24"/>
            </w:rPr>
          </w:pPr>
          <w:r>
            <w:fldChar w:fldCharType="begin"/>
          </w:r>
          <w:r>
            <w:instrText xml:space="preserve"> HYPERLINK \l "bookmark62" </w:instrText>
          </w:r>
          <w:r>
            <w:fldChar w:fldCharType="separate"/>
          </w:r>
          <w:r>
            <w:rPr>
              <w:rFonts w:ascii="Times New Roman" w:hAnsi="Times New Roman" w:eastAsia="Times New Roman" w:cs="Times New Roman"/>
              <w:spacing w:val="-1"/>
              <w:sz w:val="24"/>
              <w:szCs w:val="24"/>
            </w:rPr>
            <w:t xml:space="preserve">9.4  </w:t>
          </w:r>
          <w:r>
            <w:rPr>
              <w:rFonts w:ascii="宋体" w:hAnsi="宋体" w:eastAsia="宋体" w:cs="宋体"/>
              <w:spacing w:val="-1"/>
              <w:sz w:val="24"/>
              <w:szCs w:val="24"/>
            </w:rPr>
            <w:t>对与评标活动有关的工作人员的纪律要求</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22</w:t>
          </w:r>
          <w:r>
            <w:rPr>
              <w:rFonts w:ascii="Times New Roman" w:hAnsi="Times New Roman" w:eastAsia="Times New Roman" w:cs="Times New Roman"/>
              <w:spacing w:val="-3"/>
              <w:sz w:val="24"/>
              <w:szCs w:val="24"/>
            </w:rPr>
            <w:fldChar w:fldCharType="end"/>
          </w:r>
        </w:p>
        <w:p w14:paraId="0DEEEF89">
          <w:pPr>
            <w:tabs>
              <w:tab w:val="right" w:leader="dot" w:pos="8320"/>
            </w:tabs>
            <w:spacing w:before="135" w:line="184" w:lineRule="auto"/>
            <w:ind w:left="1283"/>
            <w:rPr>
              <w:rFonts w:ascii="Times New Roman" w:hAnsi="Times New Roman" w:eastAsia="Times New Roman" w:cs="Times New Roman"/>
              <w:sz w:val="24"/>
              <w:szCs w:val="24"/>
            </w:rPr>
          </w:pPr>
          <w:r>
            <w:fldChar w:fldCharType="begin"/>
          </w:r>
          <w:r>
            <w:instrText xml:space="preserve"> HYPERLINK \l "bookmark63" </w:instrText>
          </w:r>
          <w:r>
            <w:fldChar w:fldCharType="separate"/>
          </w:r>
          <w:r>
            <w:rPr>
              <w:rFonts w:ascii="Times New Roman" w:hAnsi="Times New Roman" w:eastAsia="Times New Roman" w:cs="Times New Roman"/>
              <w:spacing w:val="-5"/>
              <w:sz w:val="24"/>
              <w:szCs w:val="24"/>
            </w:rPr>
            <w:t>9.5</w:t>
          </w:r>
          <w:r>
            <w:rPr>
              <w:rFonts w:ascii="Times New Roman" w:hAnsi="Times New Roman" w:eastAsia="Times New Roman" w:cs="Times New Roman"/>
              <w:spacing w:val="7"/>
              <w:sz w:val="24"/>
              <w:szCs w:val="24"/>
            </w:rPr>
            <w:t xml:space="preserve">  </w:t>
          </w:r>
          <w:r>
            <w:rPr>
              <w:rFonts w:ascii="宋体" w:hAnsi="宋体" w:eastAsia="宋体" w:cs="宋体"/>
              <w:spacing w:val="-5"/>
              <w:sz w:val="24"/>
              <w:szCs w:val="24"/>
            </w:rPr>
            <w:t>投诉</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23</w:t>
          </w:r>
          <w:r>
            <w:rPr>
              <w:rFonts w:ascii="Times New Roman" w:hAnsi="Times New Roman" w:eastAsia="Times New Roman" w:cs="Times New Roman"/>
              <w:spacing w:val="-3"/>
              <w:sz w:val="24"/>
              <w:szCs w:val="24"/>
            </w:rPr>
            <w:fldChar w:fldCharType="end"/>
          </w:r>
        </w:p>
        <w:p w14:paraId="131C5DFB">
          <w:pPr>
            <w:tabs>
              <w:tab w:val="right" w:leader="dot" w:pos="8320"/>
            </w:tabs>
            <w:spacing w:before="133" w:line="185" w:lineRule="auto"/>
            <w:ind w:left="882"/>
            <w:rPr>
              <w:rFonts w:ascii="Times New Roman" w:hAnsi="Times New Roman" w:eastAsia="Times New Roman" w:cs="Times New Roman"/>
              <w:sz w:val="24"/>
              <w:szCs w:val="24"/>
            </w:rPr>
          </w:pPr>
          <w:r>
            <w:fldChar w:fldCharType="begin"/>
          </w:r>
          <w:r>
            <w:instrText xml:space="preserve"> HYPERLINK \l "bookmark64" </w:instrText>
          </w:r>
          <w:r>
            <w:fldChar w:fldCharType="separate"/>
          </w:r>
          <w:r>
            <w:rPr>
              <w:rFonts w:ascii="Times New Roman" w:hAnsi="Times New Roman" w:eastAsia="Times New Roman" w:cs="Times New Roman"/>
              <w:spacing w:val="-5"/>
              <w:sz w:val="24"/>
              <w:szCs w:val="24"/>
            </w:rPr>
            <w:t>10.</w:t>
          </w:r>
          <w:r>
            <w:rPr>
              <w:rFonts w:ascii="Times New Roman" w:hAnsi="Times New Roman" w:eastAsia="Times New Roman" w:cs="Times New Roman"/>
              <w:spacing w:val="15"/>
              <w:sz w:val="24"/>
              <w:szCs w:val="24"/>
            </w:rPr>
            <w:t xml:space="preserve">  </w:t>
          </w:r>
          <w:r>
            <w:rPr>
              <w:rFonts w:ascii="宋体" w:hAnsi="宋体" w:eastAsia="宋体" w:cs="宋体"/>
              <w:spacing w:val="-5"/>
              <w:sz w:val="24"/>
              <w:szCs w:val="24"/>
            </w:rPr>
            <w:t>需要补充的其他内容</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23</w:t>
          </w:r>
          <w:r>
            <w:rPr>
              <w:rFonts w:ascii="Times New Roman" w:hAnsi="Times New Roman" w:eastAsia="Times New Roman" w:cs="Times New Roman"/>
              <w:spacing w:val="-3"/>
              <w:sz w:val="24"/>
              <w:szCs w:val="24"/>
            </w:rPr>
            <w:fldChar w:fldCharType="end"/>
          </w:r>
        </w:p>
        <w:p w14:paraId="1BF81C82">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"bookmark65" </w:instrText>
          </w:r>
          <w:r>
            <w:fldChar w:fldCharType="separate"/>
          </w:r>
          <w:r>
            <w:rPr>
              <w:rFonts w:ascii="Times New Roman" w:hAnsi="Times New Roman" w:eastAsia="Times New Roman" w:cs="Times New Roman"/>
              <w:spacing w:val="-6"/>
              <w:sz w:val="24"/>
              <w:szCs w:val="24"/>
            </w:rPr>
            <w:t>10.1</w:t>
          </w:r>
          <w:r>
            <w:rPr>
              <w:rFonts w:ascii="Times New Roman" w:hAnsi="Times New Roman" w:eastAsia="Times New Roman" w:cs="Times New Roman"/>
              <w:spacing w:val="12"/>
              <w:sz w:val="24"/>
              <w:szCs w:val="24"/>
            </w:rPr>
            <w:t xml:space="preserve">  </w:t>
          </w:r>
          <w:r>
            <w:rPr>
              <w:rFonts w:ascii="宋体" w:hAnsi="宋体" w:eastAsia="宋体" w:cs="宋体"/>
              <w:spacing w:val="-6"/>
              <w:sz w:val="24"/>
              <w:szCs w:val="24"/>
            </w:rPr>
            <w:t>多标段投标</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23</w:t>
          </w:r>
          <w:r>
            <w:rPr>
              <w:rFonts w:ascii="Times New Roman" w:hAnsi="Times New Roman" w:eastAsia="Times New Roman" w:cs="Times New Roman"/>
              <w:spacing w:val="-3"/>
              <w:sz w:val="24"/>
              <w:szCs w:val="24"/>
            </w:rPr>
            <w:fldChar w:fldCharType="end"/>
          </w:r>
        </w:p>
        <w:p w14:paraId="597F91FF">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"bookmark66" </w:instrText>
          </w:r>
          <w:r>
            <w:fldChar w:fldCharType="separate"/>
          </w:r>
          <w:r>
            <w:rPr>
              <w:rFonts w:ascii="Times New Roman" w:hAnsi="Times New Roman" w:eastAsia="Times New Roman" w:cs="Times New Roman"/>
              <w:spacing w:val="-1"/>
              <w:sz w:val="24"/>
              <w:szCs w:val="24"/>
            </w:rPr>
            <w:t xml:space="preserve">10.2  </w:t>
          </w:r>
          <w:r>
            <w:rPr>
              <w:rFonts w:ascii="宋体" w:hAnsi="宋体" w:eastAsia="宋体" w:cs="宋体"/>
              <w:spacing w:val="-1"/>
              <w:sz w:val="24"/>
              <w:szCs w:val="24"/>
            </w:rPr>
            <w:t>评标办法中的有关系数的取值和评分</w:t>
          </w:r>
          <w:r>
            <w:rPr>
              <w:rFonts w:ascii="宋体" w:hAnsi="宋体" w:eastAsia="宋体" w:cs="宋体"/>
              <w:spacing w:val="-2"/>
              <w:sz w:val="24"/>
              <w:szCs w:val="24"/>
            </w:rPr>
            <w:t>因素设置</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23</w:t>
          </w:r>
          <w:r>
            <w:rPr>
              <w:rFonts w:ascii="Times New Roman" w:hAnsi="Times New Roman" w:eastAsia="Times New Roman" w:cs="Times New Roman"/>
              <w:spacing w:val="-3"/>
              <w:sz w:val="24"/>
              <w:szCs w:val="24"/>
            </w:rPr>
            <w:fldChar w:fldCharType="end"/>
          </w:r>
        </w:p>
        <w:p w14:paraId="54116B79">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"bookmark67" </w:instrText>
          </w:r>
          <w:r>
            <w:fldChar w:fldCharType="separate"/>
          </w:r>
          <w:r>
            <w:rPr>
              <w:rFonts w:ascii="Times New Roman" w:hAnsi="Times New Roman" w:eastAsia="Times New Roman" w:cs="Times New Roman"/>
              <w:spacing w:val="-5"/>
              <w:sz w:val="24"/>
              <w:szCs w:val="24"/>
            </w:rPr>
            <w:t>10.3</w:t>
          </w:r>
          <w:r>
            <w:rPr>
              <w:rFonts w:ascii="Times New Roman" w:hAnsi="Times New Roman" w:eastAsia="Times New Roman" w:cs="Times New Roman"/>
              <w:spacing w:val="15"/>
              <w:w w:val="101"/>
              <w:sz w:val="24"/>
              <w:szCs w:val="24"/>
            </w:rPr>
            <w:t xml:space="preserve">  </w:t>
          </w:r>
          <w:r>
            <w:rPr>
              <w:rFonts w:ascii="宋体" w:hAnsi="宋体" w:eastAsia="宋体" w:cs="宋体"/>
              <w:spacing w:val="-5"/>
              <w:sz w:val="24"/>
              <w:szCs w:val="24"/>
            </w:rPr>
            <w:t>中标人的投标文件</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23</w:t>
          </w:r>
          <w:r>
            <w:rPr>
              <w:rFonts w:ascii="Times New Roman" w:hAnsi="Times New Roman" w:eastAsia="Times New Roman" w:cs="Times New Roman"/>
              <w:spacing w:val="-3"/>
              <w:sz w:val="24"/>
              <w:szCs w:val="24"/>
            </w:rPr>
            <w:fldChar w:fldCharType="end"/>
          </w:r>
        </w:p>
        <w:p w14:paraId="728757EF">
          <w:pPr>
            <w:tabs>
              <w:tab w:val="right" w:leader="dot" w:pos="8320"/>
            </w:tabs>
            <w:spacing w:before="135" w:line="184" w:lineRule="auto"/>
            <w:ind w:left="1302"/>
            <w:rPr>
              <w:rFonts w:ascii="Times New Roman" w:hAnsi="Times New Roman" w:eastAsia="Times New Roman" w:cs="Times New Roman"/>
              <w:sz w:val="24"/>
              <w:szCs w:val="24"/>
            </w:rPr>
          </w:pPr>
          <w:r>
            <w:fldChar w:fldCharType="begin"/>
          </w:r>
          <w:r>
            <w:instrText xml:space="preserve"> HYPERLINK \l "bookmark68" </w:instrText>
          </w:r>
          <w:r>
            <w:fldChar w:fldCharType="separate"/>
          </w:r>
          <w:r>
            <w:rPr>
              <w:rFonts w:ascii="Times New Roman" w:hAnsi="Times New Roman" w:eastAsia="Times New Roman" w:cs="Times New Roman"/>
              <w:spacing w:val="-6"/>
              <w:sz w:val="24"/>
              <w:szCs w:val="24"/>
            </w:rPr>
            <w:t>10.4</w:t>
          </w:r>
          <w:r>
            <w:rPr>
              <w:rFonts w:ascii="Times New Roman" w:hAnsi="Times New Roman" w:eastAsia="Times New Roman" w:cs="Times New Roman"/>
              <w:spacing w:val="9"/>
              <w:sz w:val="24"/>
              <w:szCs w:val="24"/>
            </w:rPr>
            <w:t xml:space="preserve">  </w:t>
          </w:r>
          <w:r>
            <w:rPr>
              <w:rFonts w:ascii="宋体" w:hAnsi="宋体" w:eastAsia="宋体" w:cs="宋体"/>
              <w:spacing w:val="-6"/>
              <w:sz w:val="24"/>
              <w:szCs w:val="24"/>
            </w:rPr>
            <w:t>知识产权</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23</w:t>
          </w:r>
          <w:r>
            <w:rPr>
              <w:rFonts w:ascii="Times New Roman" w:hAnsi="Times New Roman" w:eastAsia="Times New Roman" w:cs="Times New Roman"/>
              <w:spacing w:val="-3"/>
              <w:sz w:val="24"/>
              <w:szCs w:val="24"/>
            </w:rPr>
            <w:fldChar w:fldCharType="end"/>
          </w:r>
        </w:p>
        <w:p w14:paraId="25B58988">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"bookmark69" </w:instrText>
          </w:r>
          <w:r>
            <w:fldChar w:fldCharType="separate"/>
          </w:r>
          <w:r>
            <w:rPr>
              <w:rFonts w:ascii="Times New Roman" w:hAnsi="Times New Roman" w:eastAsia="Times New Roman" w:cs="Times New Roman"/>
              <w:spacing w:val="-8"/>
              <w:sz w:val="24"/>
              <w:szCs w:val="24"/>
            </w:rPr>
            <w:t>10.5</w:t>
          </w:r>
          <w:r>
            <w:rPr>
              <w:rFonts w:ascii="Times New Roman" w:hAnsi="Times New Roman" w:eastAsia="Times New Roman" w:cs="Times New Roman"/>
              <w:spacing w:val="17"/>
              <w:sz w:val="24"/>
              <w:szCs w:val="24"/>
            </w:rPr>
            <w:t xml:space="preserve">  </w:t>
          </w:r>
          <w:r>
            <w:rPr>
              <w:rFonts w:ascii="宋体" w:hAnsi="宋体" w:eastAsia="宋体" w:cs="宋体"/>
              <w:spacing w:val="-8"/>
              <w:sz w:val="24"/>
              <w:szCs w:val="24"/>
            </w:rPr>
            <w:t>同义词语</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23</w:t>
          </w:r>
          <w:r>
            <w:rPr>
              <w:rFonts w:ascii="Times New Roman" w:hAnsi="Times New Roman" w:eastAsia="Times New Roman" w:cs="Times New Roman"/>
              <w:spacing w:val="-3"/>
              <w:sz w:val="24"/>
              <w:szCs w:val="24"/>
            </w:rPr>
            <w:fldChar w:fldCharType="end"/>
          </w:r>
        </w:p>
        <w:p w14:paraId="2EB7A668">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"bookmark70" </w:instrText>
          </w:r>
          <w:r>
            <w:fldChar w:fldCharType="separate"/>
          </w:r>
          <w:r>
            <w:rPr>
              <w:rFonts w:ascii="Times New Roman" w:hAnsi="Times New Roman" w:eastAsia="Times New Roman" w:cs="Times New Roman"/>
              <w:spacing w:val="-6"/>
              <w:sz w:val="24"/>
              <w:szCs w:val="24"/>
            </w:rPr>
            <w:t>10.6</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解释权</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24</w:t>
          </w:r>
          <w:r>
            <w:rPr>
              <w:rFonts w:ascii="Times New Roman" w:hAnsi="Times New Roman" w:eastAsia="Times New Roman" w:cs="Times New Roman"/>
              <w:spacing w:val="-3"/>
              <w:sz w:val="24"/>
              <w:szCs w:val="24"/>
            </w:rPr>
            <w:fldChar w:fldCharType="end"/>
          </w:r>
        </w:p>
        <w:p w14:paraId="6EFD06A4">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"bookmark71" </w:instrText>
          </w:r>
          <w:r>
            <w:fldChar w:fldCharType="separate"/>
          </w:r>
          <w:r>
            <w:rPr>
              <w:rFonts w:ascii="Times New Roman" w:hAnsi="Times New Roman" w:eastAsia="Times New Roman" w:cs="Times New Roman"/>
              <w:spacing w:val="-2"/>
              <w:sz w:val="24"/>
              <w:szCs w:val="24"/>
            </w:rPr>
            <w:t xml:space="preserve">10.7  </w:t>
          </w:r>
          <w:r>
            <w:rPr>
              <w:rFonts w:ascii="宋体" w:hAnsi="宋体" w:eastAsia="宋体" w:cs="宋体"/>
              <w:spacing w:val="-2"/>
              <w:sz w:val="24"/>
              <w:szCs w:val="24"/>
            </w:rPr>
            <w:t>交易平台信息服务费</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24</w:t>
          </w:r>
          <w:r>
            <w:rPr>
              <w:rFonts w:ascii="Times New Roman" w:hAnsi="Times New Roman" w:eastAsia="Times New Roman" w:cs="Times New Roman"/>
              <w:spacing w:val="-3"/>
              <w:sz w:val="24"/>
              <w:szCs w:val="24"/>
            </w:rPr>
            <w:fldChar w:fldCharType="end"/>
          </w:r>
        </w:p>
        <w:p w14:paraId="42FCEA39">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"bookmark72" </w:instrText>
          </w:r>
          <w:r>
            <w:fldChar w:fldCharType="separate"/>
          </w:r>
          <w:r>
            <w:rPr>
              <w:rFonts w:ascii="Times New Roman" w:hAnsi="Times New Roman" w:eastAsia="Times New Roman" w:cs="Times New Roman"/>
              <w:spacing w:val="-3"/>
              <w:sz w:val="24"/>
              <w:szCs w:val="24"/>
            </w:rPr>
            <w:t xml:space="preserve">10.8  </w:t>
          </w:r>
          <w:r>
            <w:rPr>
              <w:rFonts w:ascii="宋体" w:hAnsi="宋体" w:eastAsia="宋体" w:cs="宋体"/>
              <w:spacing w:val="-3"/>
              <w:sz w:val="24"/>
              <w:szCs w:val="24"/>
            </w:rPr>
            <w:t>招标代理服务费</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24</w:t>
          </w:r>
          <w:r>
            <w:rPr>
              <w:rFonts w:ascii="Times New Roman" w:hAnsi="Times New Roman" w:eastAsia="Times New Roman" w:cs="Times New Roman"/>
              <w:spacing w:val="-3"/>
              <w:sz w:val="24"/>
              <w:szCs w:val="24"/>
            </w:rPr>
            <w:fldChar w:fldCharType="end"/>
          </w:r>
        </w:p>
        <w:p w14:paraId="3DE11F06">
          <w:pPr>
            <w:tabs>
              <w:tab w:val="right" w:leader="dot" w:pos="8320"/>
            </w:tabs>
            <w:spacing w:before="134" w:line="219" w:lineRule="auto"/>
            <w:ind w:left="1302"/>
            <w:rPr>
              <w:rFonts w:ascii="Times New Roman" w:hAnsi="Times New Roman" w:eastAsia="Times New Roman" w:cs="Times New Roman"/>
              <w:sz w:val="24"/>
              <w:szCs w:val="24"/>
            </w:rPr>
          </w:pPr>
          <w:r>
            <w:fldChar w:fldCharType="begin"/>
          </w:r>
          <w:r>
            <w:instrText xml:space="preserve"> HYPERLINK \l "bookmark73" </w:instrText>
          </w:r>
          <w:r>
            <w:fldChar w:fldCharType="separate"/>
          </w:r>
          <w:r>
            <w:rPr>
              <w:rFonts w:ascii="Times New Roman" w:hAnsi="Times New Roman" w:eastAsia="Times New Roman" w:cs="Times New Roman"/>
              <w:spacing w:val="-2"/>
              <w:sz w:val="24"/>
              <w:szCs w:val="24"/>
            </w:rPr>
            <w:t xml:space="preserve">10.9  </w:t>
          </w:r>
          <w:r>
            <w:rPr>
              <w:rFonts w:ascii="宋体" w:hAnsi="宋体" w:eastAsia="宋体" w:cs="宋体"/>
              <w:spacing w:val="-2"/>
              <w:sz w:val="24"/>
              <w:szCs w:val="24"/>
            </w:rPr>
            <w:t>政府采购合同融资政策</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24</w:t>
          </w:r>
          <w:r>
            <w:rPr>
              <w:rFonts w:ascii="Times New Roman" w:hAnsi="Times New Roman" w:eastAsia="Times New Roman" w:cs="Times New Roman"/>
              <w:spacing w:val="-3"/>
              <w:sz w:val="24"/>
              <w:szCs w:val="24"/>
            </w:rPr>
            <w:fldChar w:fldCharType="end"/>
          </w:r>
        </w:p>
      </w:sdtContent>
    </w:sdt>
    <w:p w14:paraId="7E981735">
      <w:pPr>
        <w:spacing w:line="219" w:lineRule="auto"/>
        <w:rPr>
          <w:rFonts w:ascii="Times New Roman" w:hAnsi="Times New Roman" w:eastAsia="Times New Roman" w:cs="Times New Roman"/>
          <w:sz w:val="24"/>
          <w:szCs w:val="24"/>
        </w:rPr>
        <w:sectPr>
          <w:footerReference r:id="rId11" w:type="default"/>
          <w:pgSz w:w="11906" w:h="16839"/>
          <w:pgMar w:top="1431" w:right="1785" w:bottom="1153" w:left="1785" w:header="0" w:footer="994" w:gutter="0"/>
          <w:cols w:space="720" w:num="1"/>
        </w:sectPr>
      </w:pPr>
    </w:p>
    <w:sdt>
      <w:sdtPr>
        <w:rPr>
          <w:rFonts w:ascii="Times New Roman" w:hAnsi="Times New Roman" w:eastAsia="Times New Roman" w:cs="Times New Roman"/>
          <w:sz w:val="24"/>
          <w:szCs w:val="24"/>
        </w:rPr>
        <w:id w:val="147482238"/>
        <w:docPartObj>
          <w:docPartGallery w:val="Table of Contents"/>
          <w:docPartUnique/>
        </w:docPartObj>
      </w:sdtPr>
      <w:sdtEndPr>
        <w:rPr>
          <w:rFonts w:ascii="Times New Roman" w:hAnsi="Times New Roman" w:eastAsia="Times New Roman" w:cs="Times New Roman"/>
          <w:sz w:val="24"/>
          <w:szCs w:val="24"/>
        </w:rPr>
      </w:sdtEndPr>
      <w:sdtContent>
        <w:p w14:paraId="6BDCBC69">
          <w:pPr>
            <w:tabs>
              <w:tab w:val="right" w:leader="dot" w:pos="8320"/>
            </w:tabs>
            <w:spacing w:before="77" w:line="184" w:lineRule="auto"/>
            <w:ind w:left="1302"/>
            <w:rPr>
              <w:rFonts w:ascii="Times New Roman" w:hAnsi="Times New Roman" w:eastAsia="Times New Roman" w:cs="Times New Roman"/>
              <w:sz w:val="24"/>
              <w:szCs w:val="24"/>
            </w:rPr>
          </w:pPr>
          <w:r>
            <w:fldChar w:fldCharType="begin"/>
          </w:r>
          <w:r>
            <w:instrText xml:space="preserve"> HYPERLINK \l "bookmark74" </w:instrText>
          </w:r>
          <w:r>
            <w:fldChar w:fldCharType="separate"/>
          </w:r>
          <w:r>
            <w:rPr>
              <w:rFonts w:ascii="Times New Roman" w:hAnsi="Times New Roman" w:eastAsia="Times New Roman" w:cs="Times New Roman"/>
              <w:spacing w:val="-2"/>
              <w:sz w:val="24"/>
              <w:szCs w:val="24"/>
            </w:rPr>
            <w:t xml:space="preserve">10.10  </w:t>
          </w:r>
          <w:r>
            <w:rPr>
              <w:rFonts w:ascii="宋体" w:hAnsi="宋体" w:eastAsia="宋体" w:cs="宋体"/>
              <w:spacing w:val="-2"/>
              <w:sz w:val="24"/>
              <w:szCs w:val="24"/>
            </w:rPr>
            <w:t>招标人补充的其他内容</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24</w:t>
          </w:r>
          <w:r>
            <w:rPr>
              <w:rFonts w:ascii="Times New Roman" w:hAnsi="Times New Roman" w:eastAsia="Times New Roman" w:cs="Times New Roman"/>
              <w:spacing w:val="-3"/>
              <w:sz w:val="24"/>
              <w:szCs w:val="24"/>
            </w:rPr>
            <w:fldChar w:fldCharType="end"/>
          </w:r>
        </w:p>
        <w:p w14:paraId="46993C13">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"bookmark75" </w:instrText>
          </w:r>
          <w:r>
            <w:fldChar w:fldCharType="separate"/>
          </w:r>
          <w:r>
            <w:rPr>
              <w:rFonts w:ascii="宋体" w:hAnsi="宋体" w:eastAsia="宋体" w:cs="宋体"/>
              <w:spacing w:val="-3"/>
              <w:sz w:val="24"/>
              <w:szCs w:val="24"/>
            </w:rPr>
            <w:t>附表一：招标文件澄清申请函</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25</w:t>
          </w:r>
          <w:r>
            <w:rPr>
              <w:rFonts w:ascii="Times New Roman" w:hAnsi="Times New Roman" w:eastAsia="Times New Roman" w:cs="Times New Roman"/>
              <w:spacing w:val="-3"/>
              <w:sz w:val="24"/>
              <w:szCs w:val="24"/>
            </w:rPr>
            <w:fldChar w:fldCharType="end"/>
          </w:r>
        </w:p>
        <w:p w14:paraId="4CD61098">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"bookmark76" </w:instrText>
          </w:r>
          <w:r>
            <w:fldChar w:fldCharType="separate"/>
          </w:r>
          <w:r>
            <w:rPr>
              <w:rFonts w:ascii="宋体" w:hAnsi="宋体" w:eastAsia="宋体" w:cs="宋体"/>
              <w:spacing w:val="-3"/>
              <w:sz w:val="24"/>
              <w:szCs w:val="24"/>
            </w:rPr>
            <w:t>附表二：招标文件文件澄清通知</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26</w:t>
          </w:r>
          <w:r>
            <w:rPr>
              <w:rFonts w:ascii="Times New Roman" w:hAnsi="Times New Roman" w:eastAsia="Times New Roman" w:cs="Times New Roman"/>
              <w:spacing w:val="-3"/>
              <w:sz w:val="24"/>
              <w:szCs w:val="24"/>
            </w:rPr>
            <w:fldChar w:fldCharType="end"/>
          </w:r>
        </w:p>
        <w:p w14:paraId="64085105">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"bookmark77" </w:instrText>
          </w:r>
          <w:r>
            <w:fldChar w:fldCharType="separate"/>
          </w:r>
          <w:r>
            <w:rPr>
              <w:rFonts w:ascii="宋体" w:hAnsi="宋体" w:eastAsia="宋体" w:cs="宋体"/>
              <w:spacing w:val="-3"/>
              <w:sz w:val="24"/>
              <w:szCs w:val="24"/>
            </w:rPr>
            <w:t>附表三：招标文件文件修改通知</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27</w:t>
          </w:r>
          <w:r>
            <w:rPr>
              <w:rFonts w:ascii="Times New Roman" w:hAnsi="Times New Roman" w:eastAsia="Times New Roman" w:cs="Times New Roman"/>
              <w:spacing w:val="-3"/>
              <w:sz w:val="24"/>
              <w:szCs w:val="24"/>
            </w:rPr>
            <w:fldChar w:fldCharType="end"/>
          </w:r>
        </w:p>
        <w:p w14:paraId="55B4D710">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"bookmark78" </w:instrText>
          </w:r>
          <w:r>
            <w:fldChar w:fldCharType="separate"/>
          </w:r>
          <w:r>
            <w:rPr>
              <w:rFonts w:ascii="宋体" w:hAnsi="宋体" w:eastAsia="宋体" w:cs="宋体"/>
              <w:spacing w:val="-3"/>
              <w:sz w:val="24"/>
              <w:szCs w:val="24"/>
            </w:rPr>
            <w:t>附表四：投标文件递交签收凭证</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28</w:t>
          </w:r>
          <w:r>
            <w:rPr>
              <w:rFonts w:ascii="Times New Roman" w:hAnsi="Times New Roman" w:eastAsia="Times New Roman" w:cs="Times New Roman"/>
              <w:spacing w:val="-3"/>
              <w:sz w:val="24"/>
              <w:szCs w:val="24"/>
            </w:rPr>
            <w:fldChar w:fldCharType="end"/>
          </w:r>
        </w:p>
        <w:p w14:paraId="413F7F78">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"bookmark79" </w:instrText>
          </w:r>
          <w:r>
            <w:fldChar w:fldCharType="separate"/>
          </w:r>
          <w:r>
            <w:rPr>
              <w:rFonts w:ascii="宋体" w:hAnsi="宋体" w:eastAsia="宋体" w:cs="宋体"/>
              <w:spacing w:val="-4"/>
              <w:sz w:val="24"/>
              <w:szCs w:val="24"/>
            </w:rPr>
            <w:t>附表五：开标记录表</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29</w:t>
          </w:r>
          <w:r>
            <w:rPr>
              <w:rFonts w:ascii="Times New Roman" w:hAnsi="Times New Roman" w:eastAsia="Times New Roman" w:cs="Times New Roman"/>
              <w:spacing w:val="-3"/>
              <w:sz w:val="24"/>
              <w:szCs w:val="24"/>
            </w:rPr>
            <w:fldChar w:fldCharType="end"/>
          </w:r>
        </w:p>
        <w:p w14:paraId="04090D99">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"bookmark80" </w:instrText>
          </w:r>
          <w:r>
            <w:fldChar w:fldCharType="separate"/>
          </w:r>
          <w:r>
            <w:rPr>
              <w:rFonts w:ascii="宋体" w:hAnsi="宋体" w:eastAsia="宋体" w:cs="宋体"/>
              <w:spacing w:val="-3"/>
              <w:sz w:val="24"/>
              <w:szCs w:val="24"/>
            </w:rPr>
            <w:t>附表六：投标文件问题澄清通知</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30</w:t>
          </w:r>
          <w:r>
            <w:rPr>
              <w:rFonts w:ascii="Times New Roman" w:hAnsi="Times New Roman" w:eastAsia="Times New Roman" w:cs="Times New Roman"/>
              <w:spacing w:val="-5"/>
              <w:sz w:val="24"/>
              <w:szCs w:val="24"/>
            </w:rPr>
            <w:fldChar w:fldCharType="end"/>
          </w:r>
        </w:p>
        <w:p w14:paraId="14895420">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"bookmark81" </w:instrText>
          </w:r>
          <w:r>
            <w:fldChar w:fldCharType="separate"/>
          </w:r>
          <w:r>
            <w:rPr>
              <w:rFonts w:ascii="宋体" w:hAnsi="宋体" w:eastAsia="宋体" w:cs="宋体"/>
              <w:spacing w:val="-3"/>
              <w:sz w:val="24"/>
              <w:szCs w:val="24"/>
            </w:rPr>
            <w:t>附表七：投标文件问题的澄清</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31</w:t>
          </w:r>
          <w:r>
            <w:rPr>
              <w:rFonts w:ascii="Times New Roman" w:hAnsi="Times New Roman" w:eastAsia="Times New Roman" w:cs="Times New Roman"/>
              <w:spacing w:val="-5"/>
              <w:sz w:val="24"/>
              <w:szCs w:val="24"/>
            </w:rPr>
            <w:fldChar w:fldCharType="end"/>
          </w:r>
        </w:p>
        <w:p w14:paraId="1D9ADF89">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"bookmark82" </w:instrText>
          </w:r>
          <w:r>
            <w:fldChar w:fldCharType="separate"/>
          </w:r>
          <w:r>
            <w:rPr>
              <w:rFonts w:ascii="宋体" w:hAnsi="宋体" w:eastAsia="宋体" w:cs="宋体"/>
              <w:spacing w:val="-4"/>
              <w:sz w:val="24"/>
              <w:szCs w:val="24"/>
            </w:rPr>
            <w:t>附表八：中标通知书</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32</w:t>
          </w:r>
          <w:r>
            <w:rPr>
              <w:rFonts w:ascii="Times New Roman" w:hAnsi="Times New Roman" w:eastAsia="Times New Roman" w:cs="Times New Roman"/>
              <w:spacing w:val="-5"/>
              <w:sz w:val="24"/>
              <w:szCs w:val="24"/>
            </w:rPr>
            <w:fldChar w:fldCharType="end"/>
          </w:r>
        </w:p>
        <w:p w14:paraId="0737AAC9">
          <w:pPr>
            <w:tabs>
              <w:tab w:val="right" w:leader="dot" w:pos="8320"/>
            </w:tabs>
            <w:spacing w:before="133" w:line="184" w:lineRule="auto"/>
            <w:ind w:left="462"/>
            <w:rPr>
              <w:rFonts w:ascii="Times New Roman" w:hAnsi="Times New Roman" w:eastAsia="Times New Roman" w:cs="Times New Roman"/>
              <w:sz w:val="24"/>
              <w:szCs w:val="24"/>
            </w:rPr>
          </w:pPr>
          <w:r>
            <w:fldChar w:fldCharType="begin"/>
          </w:r>
          <w:r>
            <w:instrText xml:space="preserve"> HYPERLINK \l "bookmark83" </w:instrText>
          </w:r>
          <w:r>
            <w:fldChar w:fldCharType="separate"/>
          </w:r>
          <w:r>
            <w:rPr>
              <w:rFonts w:ascii="宋体" w:hAnsi="宋体" w:eastAsia="宋体" w:cs="宋体"/>
              <w:spacing w:val="-3"/>
              <w:sz w:val="24"/>
              <w:szCs w:val="24"/>
            </w:rPr>
            <w:t>附表九：中标结果通知书</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33</w:t>
          </w:r>
          <w:r>
            <w:rPr>
              <w:rFonts w:ascii="Times New Roman" w:hAnsi="Times New Roman" w:eastAsia="Times New Roman" w:cs="Times New Roman"/>
              <w:spacing w:val="-5"/>
              <w:sz w:val="24"/>
              <w:szCs w:val="24"/>
            </w:rPr>
            <w:fldChar w:fldCharType="end"/>
          </w:r>
        </w:p>
        <w:p w14:paraId="2B7B5E46">
          <w:pPr>
            <w:tabs>
              <w:tab w:val="right" w:leader="dot" w:pos="8320"/>
            </w:tabs>
            <w:spacing w:before="135" w:line="185" w:lineRule="auto"/>
            <w:ind w:left="462"/>
            <w:rPr>
              <w:rFonts w:ascii="Times New Roman" w:hAnsi="Times New Roman" w:eastAsia="Times New Roman" w:cs="Times New Roman"/>
              <w:sz w:val="24"/>
              <w:szCs w:val="24"/>
            </w:rPr>
          </w:pPr>
          <w:r>
            <w:fldChar w:fldCharType="begin"/>
          </w:r>
          <w:r>
            <w:instrText xml:space="preserve"> HYPERLINK \l "bookmark84" </w:instrText>
          </w:r>
          <w:r>
            <w:fldChar w:fldCharType="separate"/>
          </w:r>
          <w:r>
            <w:rPr>
              <w:rFonts w:ascii="宋体" w:hAnsi="宋体" w:eastAsia="宋体" w:cs="宋体"/>
              <w:spacing w:val="-5"/>
              <w:sz w:val="24"/>
              <w:szCs w:val="24"/>
            </w:rPr>
            <w:t>附表十：异议函</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34</w:t>
          </w:r>
          <w:r>
            <w:rPr>
              <w:rFonts w:ascii="Times New Roman" w:hAnsi="Times New Roman" w:eastAsia="Times New Roman" w:cs="Times New Roman"/>
              <w:spacing w:val="-5"/>
              <w:sz w:val="24"/>
              <w:szCs w:val="24"/>
            </w:rPr>
            <w:fldChar w:fldCharType="end"/>
          </w:r>
        </w:p>
        <w:p w14:paraId="19526A27">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"bookmark85" </w:instrText>
          </w:r>
          <w:r>
            <w:fldChar w:fldCharType="separate"/>
          </w:r>
          <w:r>
            <w:rPr>
              <w:rFonts w:ascii="宋体" w:hAnsi="宋体" w:eastAsia="宋体" w:cs="宋体"/>
              <w:spacing w:val="-3"/>
              <w:sz w:val="24"/>
              <w:szCs w:val="24"/>
            </w:rPr>
            <w:t>附表十一：异议答复函</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35</w:t>
          </w:r>
          <w:r>
            <w:rPr>
              <w:rFonts w:ascii="Times New Roman" w:hAnsi="Times New Roman" w:eastAsia="Times New Roman" w:cs="Times New Roman"/>
              <w:spacing w:val="-5"/>
              <w:sz w:val="24"/>
              <w:szCs w:val="24"/>
            </w:rPr>
            <w:fldChar w:fldCharType="end"/>
          </w:r>
        </w:p>
        <w:p w14:paraId="1DA2CF05">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"bookmark86" </w:instrText>
          </w:r>
          <w:r>
            <w:fldChar w:fldCharType="separate"/>
          </w:r>
          <w:r>
            <w:rPr>
              <w:rFonts w:ascii="宋体" w:hAnsi="宋体" w:eastAsia="宋体" w:cs="宋体"/>
              <w:spacing w:val="-3"/>
              <w:sz w:val="24"/>
              <w:szCs w:val="24"/>
            </w:rPr>
            <w:t>附表十二：招标控制价明细</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36</w:t>
          </w:r>
          <w:r>
            <w:rPr>
              <w:rFonts w:ascii="Times New Roman" w:hAnsi="Times New Roman" w:eastAsia="Times New Roman" w:cs="Times New Roman"/>
              <w:spacing w:val="-5"/>
              <w:sz w:val="24"/>
              <w:szCs w:val="24"/>
            </w:rPr>
            <w:fldChar w:fldCharType="end"/>
          </w:r>
        </w:p>
        <w:p w14:paraId="33573687">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"bookmark87" </w:instrText>
          </w:r>
          <w:r>
            <w:fldChar w:fldCharType="separate"/>
          </w:r>
          <w:r>
            <w:rPr>
              <w:rFonts w:ascii="宋体" w:hAnsi="宋体" w:eastAsia="宋体" w:cs="宋体"/>
              <w:spacing w:val="-3"/>
              <w:sz w:val="24"/>
              <w:szCs w:val="24"/>
            </w:rPr>
            <w:t>附表十三：授权委托书</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37</w:t>
          </w:r>
          <w:r>
            <w:rPr>
              <w:rFonts w:ascii="Times New Roman" w:hAnsi="Times New Roman" w:eastAsia="Times New Roman" w:cs="Times New Roman"/>
              <w:spacing w:val="-5"/>
              <w:sz w:val="24"/>
              <w:szCs w:val="24"/>
            </w:rPr>
            <w:fldChar w:fldCharType="end"/>
          </w:r>
        </w:p>
        <w:p w14:paraId="53220C42">
          <w:pPr>
            <w:pStyle w:val="2"/>
            <w:tabs>
              <w:tab w:val="right" w:leader="dot" w:pos="8320"/>
            </w:tabs>
            <w:spacing w:before="133" w:line="187" w:lineRule="auto"/>
            <w:ind w:left="23"/>
            <w:rPr>
              <w:rFonts w:ascii="Times New Roman" w:hAnsi="Times New Roman" w:eastAsia="Times New Roman" w:cs="Times New Roman"/>
              <w:sz w:val="24"/>
              <w:szCs w:val="24"/>
            </w:rPr>
          </w:pPr>
          <w:r>
            <w:fldChar w:fldCharType="begin"/>
          </w:r>
          <w:r>
            <w:instrText xml:space="preserve"> HYPERLINK \l "bookmark88" </w:instrText>
          </w:r>
          <w:r>
            <w:fldChar w:fldCharType="separate"/>
          </w:r>
          <w:r>
            <w:rPr>
              <w:spacing w:val="-2"/>
              <w:sz w:val="24"/>
              <w:szCs w:val="24"/>
            </w:rPr>
            <w:t>第三章  评标办法</w:t>
          </w:r>
          <w:r>
            <w:rPr>
              <w:spacing w:val="-67"/>
              <w:sz w:val="24"/>
              <w:szCs w:val="24"/>
            </w:rPr>
            <w:t xml:space="preserve"> </w:t>
          </w:r>
          <w:r>
            <w:rPr>
              <w:sz w:val="24"/>
              <w:szCs w:val="24"/>
            </w:rPr>
            <w:tab/>
          </w:r>
          <w:r>
            <w:rPr>
              <w:spacing w:val="-52"/>
              <w:sz w:val="24"/>
              <w:szCs w:val="24"/>
            </w:rPr>
            <w:t xml:space="preserve"> </w:t>
          </w:r>
          <w:r>
            <w:rPr>
              <w:rFonts w:ascii="Times New Roman" w:hAnsi="Times New Roman" w:eastAsia="Times New Roman" w:cs="Times New Roman"/>
              <w:spacing w:val="-5"/>
              <w:sz w:val="24"/>
              <w:szCs w:val="24"/>
            </w:rPr>
            <w:t>39</w:t>
          </w:r>
          <w:r>
            <w:rPr>
              <w:rFonts w:ascii="Times New Roman" w:hAnsi="Times New Roman" w:eastAsia="Times New Roman" w:cs="Times New Roman"/>
              <w:spacing w:val="-5"/>
              <w:sz w:val="24"/>
              <w:szCs w:val="24"/>
            </w:rPr>
            <w:fldChar w:fldCharType="end"/>
          </w:r>
        </w:p>
        <w:p w14:paraId="48F17AE3">
          <w:pPr>
            <w:tabs>
              <w:tab w:val="right" w:leader="dot" w:pos="8320"/>
            </w:tabs>
            <w:spacing w:before="131" w:line="185" w:lineRule="auto"/>
            <w:ind w:left="442"/>
            <w:rPr>
              <w:rFonts w:ascii="Times New Roman" w:hAnsi="Times New Roman" w:eastAsia="Times New Roman" w:cs="Times New Roman"/>
              <w:sz w:val="24"/>
              <w:szCs w:val="24"/>
            </w:rPr>
          </w:pPr>
          <w:r>
            <w:fldChar w:fldCharType="begin"/>
          </w:r>
          <w:r>
            <w:instrText xml:space="preserve"> HYPERLINK \l "bookmark89" </w:instrText>
          </w:r>
          <w:r>
            <w:fldChar w:fldCharType="separate"/>
          </w:r>
          <w:r>
            <w:rPr>
              <w:rFonts w:ascii="宋体" w:hAnsi="宋体" w:eastAsia="宋体" w:cs="宋体"/>
              <w:spacing w:val="1"/>
              <w:sz w:val="24"/>
              <w:szCs w:val="24"/>
            </w:rPr>
            <w:t>评标办法前附表（办法一</w:t>
          </w:r>
          <w:r>
            <w:rPr>
              <w:rFonts w:ascii="宋体" w:hAnsi="宋体" w:eastAsia="宋体" w:cs="宋体"/>
              <w:spacing w:val="-67"/>
              <w:w w:val="97"/>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39</w:t>
          </w:r>
          <w:r>
            <w:rPr>
              <w:rFonts w:ascii="Times New Roman" w:hAnsi="Times New Roman" w:eastAsia="Times New Roman" w:cs="Times New Roman"/>
              <w:spacing w:val="-5"/>
              <w:sz w:val="24"/>
              <w:szCs w:val="24"/>
            </w:rPr>
            <w:fldChar w:fldCharType="end"/>
          </w:r>
        </w:p>
        <w:p w14:paraId="753E1490">
          <w:pPr>
            <w:tabs>
              <w:tab w:val="right" w:leader="dot" w:pos="8320"/>
            </w:tabs>
            <w:spacing w:before="137" w:line="184" w:lineRule="auto"/>
            <w:ind w:left="442"/>
            <w:rPr>
              <w:rFonts w:ascii="Times New Roman" w:hAnsi="Times New Roman" w:eastAsia="Times New Roman" w:cs="Times New Roman"/>
              <w:sz w:val="24"/>
              <w:szCs w:val="24"/>
            </w:rPr>
          </w:pPr>
          <w:r>
            <w:fldChar w:fldCharType="begin"/>
          </w:r>
          <w:r>
            <w:instrText xml:space="preserve"> HYPERLINK \l "bookmark90" </w:instrText>
          </w:r>
          <w:r>
            <w:fldChar w:fldCharType="separate"/>
          </w:r>
          <w:r>
            <w:rPr>
              <w:rFonts w:ascii="宋体" w:hAnsi="宋体" w:eastAsia="宋体" w:cs="宋体"/>
              <w:spacing w:val="1"/>
              <w:sz w:val="24"/>
              <w:szCs w:val="24"/>
            </w:rPr>
            <w:t>评标办法前附表（办法二</w:t>
          </w:r>
          <w:r>
            <w:rPr>
              <w:rFonts w:ascii="宋体" w:hAnsi="宋体" w:eastAsia="宋体" w:cs="宋体"/>
              <w:spacing w:val="-67"/>
              <w:w w:val="97"/>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Times New Roman" w:hAnsi="Times New Roman" w:eastAsia="Times New Roman" w:cs="Times New Roman"/>
              <w:spacing w:val="-2"/>
              <w:sz w:val="24"/>
              <w:szCs w:val="24"/>
            </w:rPr>
            <w:t>46</w:t>
          </w:r>
          <w:r>
            <w:rPr>
              <w:rFonts w:ascii="Times New Roman" w:hAnsi="Times New Roman" w:eastAsia="Times New Roman" w:cs="Times New Roman"/>
              <w:spacing w:val="-2"/>
              <w:sz w:val="24"/>
              <w:szCs w:val="24"/>
            </w:rPr>
            <w:fldChar w:fldCharType="end"/>
          </w:r>
        </w:p>
        <w:p w14:paraId="62D0AAC5">
          <w:pPr>
            <w:tabs>
              <w:tab w:val="right" w:leader="dot" w:pos="8320"/>
            </w:tabs>
            <w:spacing w:before="132" w:line="185" w:lineRule="auto"/>
            <w:ind w:left="442"/>
            <w:rPr>
              <w:rFonts w:ascii="Times New Roman" w:hAnsi="Times New Roman" w:eastAsia="Times New Roman" w:cs="Times New Roman"/>
              <w:sz w:val="24"/>
              <w:szCs w:val="24"/>
            </w:rPr>
          </w:pPr>
          <w:r>
            <w:fldChar w:fldCharType="begin"/>
          </w:r>
          <w:r>
            <w:instrText xml:space="preserve"> HYPERLINK \l "bookmark91" </w:instrText>
          </w:r>
          <w:r>
            <w:fldChar w:fldCharType="separate"/>
          </w:r>
          <w:r>
            <w:rPr>
              <w:rFonts w:ascii="宋体" w:hAnsi="宋体" w:eastAsia="宋体" w:cs="宋体"/>
              <w:spacing w:val="1"/>
              <w:sz w:val="24"/>
              <w:szCs w:val="24"/>
            </w:rPr>
            <w:t>评标办法前附表（办法三</w:t>
          </w:r>
          <w:r>
            <w:rPr>
              <w:rFonts w:ascii="宋体" w:hAnsi="宋体" w:eastAsia="宋体" w:cs="宋体"/>
              <w:spacing w:val="-67"/>
              <w:w w:val="97"/>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52</w:t>
          </w:r>
          <w:r>
            <w:rPr>
              <w:rFonts w:ascii="Times New Roman" w:hAnsi="Times New Roman" w:eastAsia="Times New Roman" w:cs="Times New Roman"/>
              <w:spacing w:val="-6"/>
              <w:sz w:val="24"/>
              <w:szCs w:val="24"/>
            </w:rPr>
            <w:fldChar w:fldCharType="end"/>
          </w:r>
        </w:p>
        <w:p w14:paraId="05F45F73">
          <w:pPr>
            <w:tabs>
              <w:tab w:val="right" w:leader="dot" w:pos="8320"/>
            </w:tabs>
            <w:spacing w:before="137" w:line="184" w:lineRule="auto"/>
            <w:ind w:left="442"/>
            <w:rPr>
              <w:rFonts w:ascii="Times New Roman" w:hAnsi="Times New Roman" w:eastAsia="Times New Roman" w:cs="Times New Roman"/>
              <w:sz w:val="24"/>
              <w:szCs w:val="24"/>
            </w:rPr>
          </w:pPr>
          <w:r>
            <w:fldChar w:fldCharType="begin"/>
          </w:r>
          <w:r>
            <w:instrText xml:space="preserve"> HYPERLINK \l "bookmark92" </w:instrText>
          </w:r>
          <w:r>
            <w:fldChar w:fldCharType="separate"/>
          </w:r>
          <w:r>
            <w:rPr>
              <w:rFonts w:ascii="宋体" w:hAnsi="宋体" w:eastAsia="宋体" w:cs="宋体"/>
              <w:spacing w:val="1"/>
              <w:sz w:val="24"/>
              <w:szCs w:val="24"/>
            </w:rPr>
            <w:t>评标办法前附表（办法四</w:t>
          </w:r>
          <w:r>
            <w:rPr>
              <w:rFonts w:ascii="宋体" w:hAnsi="宋体" w:eastAsia="宋体" w:cs="宋体"/>
              <w:spacing w:val="-67"/>
              <w:w w:val="97"/>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57</w:t>
          </w:r>
          <w:r>
            <w:rPr>
              <w:rFonts w:ascii="Times New Roman" w:hAnsi="Times New Roman" w:eastAsia="Times New Roman" w:cs="Times New Roman"/>
              <w:spacing w:val="-6"/>
              <w:sz w:val="24"/>
              <w:szCs w:val="24"/>
            </w:rPr>
            <w:fldChar w:fldCharType="end"/>
          </w:r>
        </w:p>
        <w:p w14:paraId="38C7B0F5">
          <w:pPr>
            <w:tabs>
              <w:tab w:val="right" w:leader="dot" w:pos="8320"/>
            </w:tabs>
            <w:spacing w:before="133" w:line="184" w:lineRule="auto"/>
            <w:ind w:left="442"/>
            <w:rPr>
              <w:rFonts w:ascii="Times New Roman" w:hAnsi="Times New Roman" w:eastAsia="Times New Roman" w:cs="Times New Roman"/>
              <w:sz w:val="24"/>
              <w:szCs w:val="24"/>
            </w:rPr>
          </w:pPr>
          <w:r>
            <w:fldChar w:fldCharType="begin"/>
          </w:r>
          <w:r>
            <w:instrText xml:space="preserve"> HYPERLINK \l "bookmark93" </w:instrText>
          </w:r>
          <w:r>
            <w:fldChar w:fldCharType="separate"/>
          </w:r>
          <w:r>
            <w:rPr>
              <w:rFonts w:ascii="宋体" w:hAnsi="宋体" w:eastAsia="宋体" w:cs="宋体"/>
              <w:spacing w:val="1"/>
              <w:sz w:val="24"/>
              <w:szCs w:val="24"/>
            </w:rPr>
            <w:t>评标办法前附表（办法五</w:t>
          </w:r>
          <w:r>
            <w:rPr>
              <w:rFonts w:ascii="宋体" w:hAnsi="宋体" w:eastAsia="宋体" w:cs="宋体"/>
              <w:spacing w:val="-67"/>
              <w:w w:val="97"/>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62</w:t>
          </w:r>
          <w:r>
            <w:rPr>
              <w:rFonts w:ascii="Times New Roman" w:hAnsi="Times New Roman" w:eastAsia="Times New Roman" w:cs="Times New Roman"/>
              <w:spacing w:val="-6"/>
              <w:sz w:val="24"/>
              <w:szCs w:val="24"/>
            </w:rPr>
            <w:fldChar w:fldCharType="end"/>
          </w:r>
        </w:p>
        <w:p w14:paraId="65739B59">
          <w:pPr>
            <w:tabs>
              <w:tab w:val="right" w:leader="dot" w:pos="8320"/>
            </w:tabs>
            <w:spacing w:before="135" w:line="185" w:lineRule="auto"/>
            <w:ind w:left="442"/>
            <w:rPr>
              <w:rFonts w:ascii="Times New Roman" w:hAnsi="Times New Roman" w:eastAsia="Times New Roman" w:cs="Times New Roman"/>
              <w:sz w:val="24"/>
              <w:szCs w:val="24"/>
            </w:rPr>
          </w:pPr>
          <w:r>
            <w:fldChar w:fldCharType="begin"/>
          </w:r>
          <w:r>
            <w:instrText xml:space="preserve"> HYPERLINK \l "bookmark94" </w:instrText>
          </w:r>
          <w:r>
            <w:fldChar w:fldCharType="separate"/>
          </w:r>
          <w:r>
            <w:rPr>
              <w:rFonts w:ascii="宋体" w:hAnsi="宋体" w:eastAsia="宋体" w:cs="宋体"/>
              <w:spacing w:val="1"/>
              <w:sz w:val="24"/>
              <w:szCs w:val="24"/>
            </w:rPr>
            <w:t>评标办法前附表（办法六</w:t>
          </w:r>
          <w:r>
            <w:rPr>
              <w:rFonts w:ascii="宋体" w:hAnsi="宋体" w:eastAsia="宋体" w:cs="宋体"/>
              <w:spacing w:val="-67"/>
              <w:w w:val="97"/>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68</w:t>
          </w:r>
          <w:r>
            <w:rPr>
              <w:rFonts w:ascii="Times New Roman" w:hAnsi="Times New Roman" w:eastAsia="Times New Roman" w:cs="Times New Roman"/>
              <w:spacing w:val="-6"/>
              <w:sz w:val="24"/>
              <w:szCs w:val="24"/>
            </w:rPr>
            <w:fldChar w:fldCharType="end"/>
          </w:r>
        </w:p>
        <w:p w14:paraId="441633E8">
          <w:pPr>
            <w:tabs>
              <w:tab w:val="right" w:leader="dot" w:pos="8320"/>
            </w:tabs>
            <w:spacing w:before="136" w:line="184" w:lineRule="auto"/>
            <w:ind w:left="442"/>
            <w:rPr>
              <w:rFonts w:ascii="Times New Roman" w:hAnsi="Times New Roman" w:eastAsia="Times New Roman" w:cs="Times New Roman"/>
              <w:sz w:val="24"/>
              <w:szCs w:val="24"/>
            </w:rPr>
          </w:pPr>
          <w:r>
            <w:fldChar w:fldCharType="begin"/>
          </w:r>
          <w:r>
            <w:instrText xml:space="preserve"> HYPERLINK \l "bookmark95" </w:instrText>
          </w:r>
          <w:r>
            <w:fldChar w:fldCharType="separate"/>
          </w:r>
          <w:r>
            <w:rPr>
              <w:rFonts w:ascii="宋体" w:hAnsi="宋体" w:eastAsia="宋体" w:cs="宋体"/>
              <w:spacing w:val="1"/>
              <w:sz w:val="24"/>
              <w:szCs w:val="24"/>
            </w:rPr>
            <w:t>评标办法前附表（办法七</w:t>
          </w:r>
          <w:r>
            <w:rPr>
              <w:rFonts w:ascii="宋体" w:hAnsi="宋体" w:eastAsia="宋体" w:cs="宋体"/>
              <w:spacing w:val="-67"/>
              <w:w w:val="97"/>
              <w:sz w:val="24"/>
              <w:szCs w:val="24"/>
            </w:rPr>
            <w:t>）（</w:t>
          </w:r>
          <w:r>
            <w:rPr>
              <w:rFonts w:ascii="宋体" w:hAnsi="宋体" w:eastAsia="宋体" w:cs="宋体"/>
              <w:spacing w:val="1"/>
              <w:sz w:val="24"/>
              <w:szCs w:val="24"/>
            </w:rPr>
            <w:t>合理低价法）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5"/>
              <w:sz w:val="24"/>
              <w:szCs w:val="24"/>
            </w:rPr>
            <w:t>73</w:t>
          </w:r>
          <w:r>
            <w:rPr>
              <w:rFonts w:ascii="Times New Roman" w:hAnsi="Times New Roman" w:eastAsia="Times New Roman" w:cs="Times New Roman"/>
              <w:spacing w:val="-5"/>
              <w:sz w:val="24"/>
              <w:szCs w:val="24"/>
            </w:rPr>
            <w:fldChar w:fldCharType="end"/>
          </w:r>
        </w:p>
        <w:p w14:paraId="4B83AD7A">
          <w:pPr>
            <w:tabs>
              <w:tab w:val="right" w:leader="dot" w:pos="8320"/>
            </w:tabs>
            <w:spacing w:before="133" w:line="185" w:lineRule="auto"/>
            <w:ind w:left="442"/>
            <w:rPr>
              <w:rFonts w:ascii="Times New Roman" w:hAnsi="Times New Roman" w:eastAsia="Times New Roman" w:cs="Times New Roman"/>
              <w:sz w:val="24"/>
              <w:szCs w:val="24"/>
            </w:rPr>
          </w:pPr>
          <w:r>
            <w:fldChar w:fldCharType="begin"/>
          </w:r>
          <w:r>
            <w:instrText xml:space="preserve"> HYPERLINK \l "bookmark96" </w:instrText>
          </w:r>
          <w:r>
            <w:fldChar w:fldCharType="separate"/>
          </w:r>
          <w:r>
            <w:rPr>
              <w:rFonts w:ascii="宋体" w:hAnsi="宋体" w:eastAsia="宋体" w:cs="宋体"/>
              <w:spacing w:val="1"/>
              <w:sz w:val="24"/>
              <w:szCs w:val="24"/>
            </w:rPr>
            <w:t>评标办法前附表（办法八</w:t>
          </w:r>
          <w:r>
            <w:rPr>
              <w:rFonts w:ascii="宋体" w:hAnsi="宋体" w:eastAsia="宋体" w:cs="宋体"/>
              <w:spacing w:val="-67"/>
              <w:w w:val="97"/>
              <w:sz w:val="24"/>
              <w:szCs w:val="24"/>
            </w:rPr>
            <w:t>）（</w:t>
          </w:r>
          <w:r>
            <w:rPr>
              <w:rFonts w:ascii="宋体" w:hAnsi="宋体" w:eastAsia="宋体" w:cs="宋体"/>
              <w:spacing w:val="1"/>
              <w:sz w:val="24"/>
              <w:szCs w:val="24"/>
            </w:rPr>
            <w:t>合理低价法）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5"/>
              <w:sz w:val="24"/>
              <w:szCs w:val="24"/>
            </w:rPr>
            <w:t>78</w:t>
          </w:r>
          <w:r>
            <w:rPr>
              <w:rFonts w:ascii="Times New Roman" w:hAnsi="Times New Roman" w:eastAsia="Times New Roman" w:cs="Times New Roman"/>
              <w:spacing w:val="-5"/>
              <w:sz w:val="24"/>
              <w:szCs w:val="24"/>
            </w:rPr>
            <w:fldChar w:fldCharType="end"/>
          </w:r>
        </w:p>
        <w:p w14:paraId="5BD8E2B9">
          <w:pPr>
            <w:tabs>
              <w:tab w:val="right" w:leader="dot" w:pos="8320"/>
            </w:tabs>
            <w:spacing w:before="136" w:line="184" w:lineRule="auto"/>
            <w:ind w:left="442"/>
            <w:rPr>
              <w:rFonts w:ascii="Times New Roman" w:hAnsi="Times New Roman" w:eastAsia="Times New Roman" w:cs="Times New Roman"/>
              <w:sz w:val="24"/>
              <w:szCs w:val="24"/>
            </w:rPr>
          </w:pPr>
          <w:r>
            <w:fldChar w:fldCharType="begin"/>
          </w:r>
          <w:r>
            <w:instrText xml:space="preserve"> HYPERLINK \l "bookmark97" </w:instrText>
          </w:r>
          <w:r>
            <w:fldChar w:fldCharType="separate"/>
          </w:r>
          <w:r>
            <w:rPr>
              <w:rFonts w:ascii="宋体" w:hAnsi="宋体" w:eastAsia="宋体" w:cs="宋体"/>
              <w:spacing w:val="-2"/>
              <w:sz w:val="24"/>
              <w:szCs w:val="24"/>
            </w:rPr>
            <w:t>评标办法正文部分</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8"/>
              <w:sz w:val="24"/>
              <w:szCs w:val="24"/>
            </w:rPr>
            <w:t>82</w:t>
          </w:r>
          <w:r>
            <w:rPr>
              <w:rFonts w:ascii="Times New Roman" w:hAnsi="Times New Roman" w:eastAsia="Times New Roman" w:cs="Times New Roman"/>
              <w:spacing w:val="-8"/>
              <w:sz w:val="24"/>
              <w:szCs w:val="24"/>
            </w:rPr>
            <w:fldChar w:fldCharType="end"/>
          </w:r>
        </w:p>
        <w:p w14:paraId="102BBF20">
          <w:pPr>
            <w:tabs>
              <w:tab w:val="right" w:leader="dot" w:pos="8320"/>
            </w:tabs>
            <w:spacing w:before="133" w:line="185" w:lineRule="auto"/>
            <w:ind w:left="882"/>
            <w:rPr>
              <w:rFonts w:ascii="Times New Roman" w:hAnsi="Times New Roman" w:eastAsia="Times New Roman" w:cs="Times New Roman"/>
              <w:sz w:val="24"/>
              <w:szCs w:val="24"/>
            </w:rPr>
          </w:pPr>
          <w:r>
            <w:fldChar w:fldCharType="begin"/>
          </w:r>
          <w:r>
            <w:instrText xml:space="preserve"> HYPERLINK \l "bookmark98" </w:instrText>
          </w:r>
          <w:r>
            <w:fldChar w:fldCharType="separate"/>
          </w:r>
          <w:r>
            <w:rPr>
              <w:rFonts w:ascii="Times New Roman" w:hAnsi="Times New Roman" w:eastAsia="Times New Roman" w:cs="Times New Roman"/>
              <w:spacing w:val="-7"/>
              <w:sz w:val="24"/>
              <w:szCs w:val="24"/>
            </w:rPr>
            <w:t>1.</w:t>
          </w:r>
          <w:r>
            <w:rPr>
              <w:rFonts w:ascii="Times New Roman" w:hAnsi="Times New Roman" w:eastAsia="Times New Roman" w:cs="Times New Roman"/>
              <w:spacing w:val="6"/>
              <w:sz w:val="24"/>
              <w:szCs w:val="24"/>
            </w:rPr>
            <w:t xml:space="preserve">  </w:t>
          </w:r>
          <w:r>
            <w:rPr>
              <w:rFonts w:ascii="宋体" w:hAnsi="宋体" w:eastAsia="宋体" w:cs="宋体"/>
              <w:spacing w:val="-7"/>
              <w:sz w:val="24"/>
              <w:szCs w:val="24"/>
            </w:rPr>
            <w:t>评标方法</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8"/>
              <w:sz w:val="24"/>
              <w:szCs w:val="24"/>
            </w:rPr>
            <w:t>82</w:t>
          </w:r>
          <w:r>
            <w:rPr>
              <w:rFonts w:ascii="Times New Roman" w:hAnsi="Times New Roman" w:eastAsia="Times New Roman" w:cs="Times New Roman"/>
              <w:spacing w:val="-8"/>
              <w:sz w:val="24"/>
              <w:szCs w:val="24"/>
            </w:rPr>
            <w:fldChar w:fldCharType="end"/>
          </w:r>
        </w:p>
        <w:p w14:paraId="419D0481">
          <w:pPr>
            <w:tabs>
              <w:tab w:val="right" w:leader="dot" w:pos="8320"/>
            </w:tabs>
            <w:spacing w:before="136" w:line="184" w:lineRule="auto"/>
            <w:ind w:left="859"/>
            <w:rPr>
              <w:rFonts w:ascii="Times New Roman" w:hAnsi="Times New Roman" w:eastAsia="Times New Roman" w:cs="Times New Roman"/>
              <w:sz w:val="24"/>
              <w:szCs w:val="24"/>
            </w:rPr>
          </w:pPr>
          <w:r>
            <w:fldChar w:fldCharType="begin"/>
          </w:r>
          <w:r>
            <w:instrText xml:space="preserve"> HYPERLINK \l "bookmark99" </w:instrText>
          </w:r>
          <w:r>
            <w:fldChar w:fldCharType="separate"/>
          </w: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评审标准</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8"/>
              <w:sz w:val="24"/>
              <w:szCs w:val="24"/>
            </w:rPr>
            <w:t>82</w:t>
          </w:r>
          <w:r>
            <w:rPr>
              <w:rFonts w:ascii="Times New Roman" w:hAnsi="Times New Roman" w:eastAsia="Times New Roman" w:cs="Times New Roman"/>
              <w:spacing w:val="-8"/>
              <w:sz w:val="24"/>
              <w:szCs w:val="24"/>
            </w:rPr>
            <w:fldChar w:fldCharType="end"/>
          </w:r>
        </w:p>
        <w:p w14:paraId="75C81E2F">
          <w:pPr>
            <w:tabs>
              <w:tab w:val="right" w:leader="dot" w:pos="8320"/>
            </w:tabs>
            <w:spacing w:before="136" w:line="184" w:lineRule="auto"/>
            <w:ind w:left="1279"/>
            <w:rPr>
              <w:rFonts w:ascii="Times New Roman" w:hAnsi="Times New Roman" w:eastAsia="Times New Roman" w:cs="Times New Roman"/>
              <w:sz w:val="24"/>
              <w:szCs w:val="24"/>
            </w:rPr>
          </w:pPr>
          <w:r>
            <w:fldChar w:fldCharType="begin"/>
          </w:r>
          <w:r>
            <w:instrText xml:space="preserve"> HYPERLINK \l "bookmark100" </w:instrText>
          </w:r>
          <w:r>
            <w:fldChar w:fldCharType="separate"/>
          </w:r>
          <w:r>
            <w:rPr>
              <w:rFonts w:ascii="Times New Roman" w:hAnsi="Times New Roman" w:eastAsia="Times New Roman" w:cs="Times New Roman"/>
              <w:spacing w:val="-1"/>
              <w:sz w:val="24"/>
              <w:szCs w:val="24"/>
            </w:rPr>
            <w:t xml:space="preserve">2.1  </w:t>
          </w:r>
          <w:r>
            <w:rPr>
              <w:rFonts w:ascii="宋体" w:hAnsi="宋体" w:eastAsia="宋体" w:cs="宋体"/>
              <w:spacing w:val="-1"/>
              <w:sz w:val="24"/>
              <w:szCs w:val="24"/>
            </w:rPr>
            <w:t>初步评审标准</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8"/>
              <w:sz w:val="24"/>
              <w:szCs w:val="24"/>
            </w:rPr>
            <w:t>82</w:t>
          </w:r>
          <w:r>
            <w:rPr>
              <w:rFonts w:ascii="Times New Roman" w:hAnsi="Times New Roman" w:eastAsia="Times New Roman" w:cs="Times New Roman"/>
              <w:spacing w:val="-8"/>
              <w:sz w:val="24"/>
              <w:szCs w:val="24"/>
            </w:rPr>
            <w:fldChar w:fldCharType="end"/>
          </w:r>
        </w:p>
        <w:p w14:paraId="73275DBD">
          <w:pPr>
            <w:tabs>
              <w:tab w:val="right" w:leader="dot" w:pos="8320"/>
            </w:tabs>
            <w:spacing w:before="132" w:line="185" w:lineRule="auto"/>
            <w:ind w:left="1279"/>
            <w:rPr>
              <w:rFonts w:ascii="Times New Roman" w:hAnsi="Times New Roman" w:eastAsia="Times New Roman" w:cs="Times New Roman"/>
              <w:sz w:val="24"/>
              <w:szCs w:val="24"/>
            </w:rPr>
          </w:pPr>
          <w:r>
            <w:fldChar w:fldCharType="begin"/>
          </w:r>
          <w:r>
            <w:instrText xml:space="preserve"> HYPERLINK \l "bookmark101" </w:instrText>
          </w:r>
          <w:r>
            <w:fldChar w:fldCharType="separate"/>
          </w:r>
          <w:r>
            <w:rPr>
              <w:rFonts w:ascii="Times New Roman" w:hAnsi="Times New Roman" w:eastAsia="Times New Roman" w:cs="Times New Roman"/>
              <w:spacing w:val="-1"/>
              <w:sz w:val="24"/>
              <w:szCs w:val="24"/>
            </w:rPr>
            <w:t xml:space="preserve">2.2  </w:t>
          </w:r>
          <w:r>
            <w:rPr>
              <w:rFonts w:ascii="宋体" w:hAnsi="宋体" w:eastAsia="宋体" w:cs="宋体"/>
              <w:spacing w:val="-1"/>
              <w:sz w:val="24"/>
              <w:szCs w:val="24"/>
            </w:rPr>
            <w:t>分值构成与评分标准</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8"/>
              <w:sz w:val="24"/>
              <w:szCs w:val="24"/>
            </w:rPr>
            <w:t>82</w:t>
          </w:r>
          <w:r>
            <w:rPr>
              <w:rFonts w:ascii="Times New Roman" w:hAnsi="Times New Roman" w:eastAsia="Times New Roman" w:cs="Times New Roman"/>
              <w:spacing w:val="-8"/>
              <w:sz w:val="24"/>
              <w:szCs w:val="24"/>
            </w:rPr>
            <w:fldChar w:fldCharType="end"/>
          </w:r>
        </w:p>
        <w:p w14:paraId="3AE7E725">
          <w:pPr>
            <w:tabs>
              <w:tab w:val="right" w:leader="dot" w:pos="8320"/>
            </w:tabs>
            <w:spacing w:before="137" w:line="184" w:lineRule="auto"/>
            <w:ind w:left="863"/>
            <w:rPr>
              <w:rFonts w:ascii="Times New Roman" w:hAnsi="Times New Roman" w:eastAsia="Times New Roman" w:cs="Times New Roman"/>
              <w:sz w:val="24"/>
              <w:szCs w:val="24"/>
            </w:rPr>
          </w:pPr>
          <w:r>
            <w:fldChar w:fldCharType="begin"/>
          </w:r>
          <w:r>
            <w:instrText xml:space="preserve"> HYPERLINK \l "bookmark102" </w:instrText>
          </w:r>
          <w:r>
            <w:fldChar w:fldCharType="separate"/>
          </w: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评标程序</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8"/>
              <w:sz w:val="24"/>
              <w:szCs w:val="24"/>
            </w:rPr>
            <w:t>83</w:t>
          </w:r>
          <w:r>
            <w:rPr>
              <w:rFonts w:ascii="Times New Roman" w:hAnsi="Times New Roman" w:eastAsia="Times New Roman" w:cs="Times New Roman"/>
              <w:spacing w:val="-8"/>
              <w:sz w:val="24"/>
              <w:szCs w:val="24"/>
            </w:rPr>
            <w:fldChar w:fldCharType="end"/>
          </w:r>
        </w:p>
        <w:p w14:paraId="4166FFEB">
          <w:pPr>
            <w:tabs>
              <w:tab w:val="right" w:leader="dot" w:pos="8320"/>
            </w:tabs>
            <w:spacing w:before="132" w:line="185" w:lineRule="auto"/>
            <w:ind w:left="1283"/>
            <w:rPr>
              <w:rFonts w:ascii="Times New Roman" w:hAnsi="Times New Roman" w:eastAsia="Times New Roman" w:cs="Times New Roman"/>
              <w:sz w:val="24"/>
              <w:szCs w:val="24"/>
            </w:rPr>
          </w:pPr>
          <w:r>
            <w:fldChar w:fldCharType="begin"/>
          </w:r>
          <w:r>
            <w:instrText xml:space="preserve"> HYPERLINK \l "bookmark103" </w:instrText>
          </w:r>
          <w:r>
            <w:fldChar w:fldCharType="separate"/>
          </w:r>
          <w:r>
            <w:rPr>
              <w:rFonts w:ascii="Times New Roman" w:hAnsi="Times New Roman" w:eastAsia="Times New Roman" w:cs="Times New Roman"/>
              <w:spacing w:val="-2"/>
              <w:sz w:val="24"/>
              <w:szCs w:val="24"/>
            </w:rPr>
            <w:t xml:space="preserve">3.1  </w:t>
          </w:r>
          <w:r>
            <w:rPr>
              <w:rFonts w:ascii="宋体" w:hAnsi="宋体" w:eastAsia="宋体" w:cs="宋体"/>
              <w:spacing w:val="-2"/>
              <w:sz w:val="24"/>
              <w:szCs w:val="24"/>
            </w:rPr>
            <w:t>初步评审</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8"/>
              <w:sz w:val="24"/>
              <w:szCs w:val="24"/>
            </w:rPr>
            <w:t>83</w:t>
          </w:r>
          <w:r>
            <w:rPr>
              <w:rFonts w:ascii="Times New Roman" w:hAnsi="Times New Roman" w:eastAsia="Times New Roman" w:cs="Times New Roman"/>
              <w:spacing w:val="-8"/>
              <w:sz w:val="24"/>
              <w:szCs w:val="24"/>
            </w:rPr>
            <w:fldChar w:fldCharType="end"/>
          </w:r>
        </w:p>
        <w:p w14:paraId="057B6159">
          <w:pPr>
            <w:tabs>
              <w:tab w:val="right" w:leader="dot" w:pos="8320"/>
            </w:tabs>
            <w:spacing w:before="137" w:line="184" w:lineRule="auto"/>
            <w:ind w:left="1283"/>
            <w:rPr>
              <w:rFonts w:ascii="Times New Roman" w:hAnsi="Times New Roman" w:eastAsia="Times New Roman" w:cs="Times New Roman"/>
              <w:sz w:val="24"/>
              <w:szCs w:val="24"/>
            </w:rPr>
          </w:pPr>
          <w:r>
            <w:fldChar w:fldCharType="begin"/>
          </w:r>
          <w:r>
            <w:instrText xml:space="preserve"> HYPERLINK \l "bookmark104" </w:instrText>
          </w:r>
          <w:r>
            <w:fldChar w:fldCharType="separate"/>
          </w:r>
          <w:r>
            <w:rPr>
              <w:rFonts w:ascii="Times New Roman" w:hAnsi="Times New Roman" w:eastAsia="Times New Roman" w:cs="Times New Roman"/>
              <w:spacing w:val="-4"/>
              <w:sz w:val="24"/>
              <w:szCs w:val="24"/>
            </w:rPr>
            <w:t>3.2</w:t>
          </w:r>
          <w:r>
            <w:rPr>
              <w:rFonts w:ascii="Times New Roman" w:hAnsi="Times New Roman" w:eastAsia="Times New Roman" w:cs="Times New Roman"/>
              <w:spacing w:val="8"/>
              <w:sz w:val="24"/>
              <w:szCs w:val="24"/>
            </w:rPr>
            <w:t xml:space="preserve">  </w:t>
          </w:r>
          <w:r>
            <w:rPr>
              <w:rFonts w:ascii="宋体" w:hAnsi="宋体" w:eastAsia="宋体" w:cs="宋体"/>
              <w:spacing w:val="-4"/>
              <w:sz w:val="24"/>
              <w:szCs w:val="24"/>
            </w:rPr>
            <w:t>详细评审</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8"/>
              <w:sz w:val="24"/>
              <w:szCs w:val="24"/>
            </w:rPr>
            <w:t>84</w:t>
          </w:r>
          <w:r>
            <w:rPr>
              <w:rFonts w:ascii="Times New Roman" w:hAnsi="Times New Roman" w:eastAsia="Times New Roman" w:cs="Times New Roman"/>
              <w:spacing w:val="-8"/>
              <w:sz w:val="24"/>
              <w:szCs w:val="24"/>
            </w:rPr>
            <w:fldChar w:fldCharType="end"/>
          </w:r>
        </w:p>
        <w:p w14:paraId="090EF67E">
          <w:pPr>
            <w:tabs>
              <w:tab w:val="right" w:leader="dot" w:pos="8320"/>
            </w:tabs>
            <w:spacing w:before="135" w:line="184" w:lineRule="auto"/>
            <w:ind w:left="1283"/>
            <w:rPr>
              <w:rFonts w:ascii="Times New Roman" w:hAnsi="Times New Roman" w:eastAsia="Times New Roman" w:cs="Times New Roman"/>
              <w:sz w:val="24"/>
              <w:szCs w:val="24"/>
            </w:rPr>
          </w:pPr>
          <w:r>
            <w:fldChar w:fldCharType="begin"/>
          </w:r>
          <w:r>
            <w:instrText xml:space="preserve"> HYPERLINK \l "bookmark105" </w:instrText>
          </w:r>
          <w:r>
            <w:fldChar w:fldCharType="separate"/>
          </w:r>
          <w:r>
            <w:rPr>
              <w:rFonts w:ascii="Times New Roman" w:hAnsi="Times New Roman" w:eastAsia="Times New Roman" w:cs="Times New Roman"/>
              <w:spacing w:val="-1"/>
              <w:sz w:val="24"/>
              <w:szCs w:val="24"/>
            </w:rPr>
            <w:t xml:space="preserve">3.3  </w:t>
          </w:r>
          <w:r>
            <w:rPr>
              <w:rFonts w:ascii="宋体" w:hAnsi="宋体" w:eastAsia="宋体" w:cs="宋体"/>
              <w:spacing w:val="-1"/>
              <w:sz w:val="24"/>
              <w:szCs w:val="24"/>
            </w:rPr>
            <w:t>投标文件的澄清和补正</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8"/>
              <w:sz w:val="24"/>
              <w:szCs w:val="24"/>
            </w:rPr>
            <w:t>84</w:t>
          </w:r>
          <w:r>
            <w:rPr>
              <w:rFonts w:ascii="Times New Roman" w:hAnsi="Times New Roman" w:eastAsia="Times New Roman" w:cs="Times New Roman"/>
              <w:spacing w:val="-8"/>
              <w:sz w:val="24"/>
              <w:szCs w:val="24"/>
            </w:rPr>
            <w:fldChar w:fldCharType="end"/>
          </w:r>
        </w:p>
        <w:p w14:paraId="575AC3DF">
          <w:pPr>
            <w:tabs>
              <w:tab w:val="right" w:leader="dot" w:pos="8320"/>
            </w:tabs>
            <w:spacing w:before="132" w:line="185" w:lineRule="auto"/>
            <w:ind w:left="1283"/>
            <w:rPr>
              <w:rFonts w:ascii="Times New Roman" w:hAnsi="Times New Roman" w:eastAsia="Times New Roman" w:cs="Times New Roman"/>
              <w:sz w:val="24"/>
              <w:szCs w:val="24"/>
            </w:rPr>
          </w:pPr>
          <w:r>
            <w:fldChar w:fldCharType="begin"/>
          </w:r>
          <w:r>
            <w:instrText xml:space="preserve"> HYPERLINK \l "bookmark106" </w:instrText>
          </w:r>
          <w:r>
            <w:fldChar w:fldCharType="separate"/>
          </w:r>
          <w:r>
            <w:rPr>
              <w:rFonts w:ascii="Times New Roman" w:hAnsi="Times New Roman" w:eastAsia="Times New Roman" w:cs="Times New Roman"/>
              <w:spacing w:val="-2"/>
              <w:sz w:val="24"/>
              <w:szCs w:val="24"/>
            </w:rPr>
            <w:t xml:space="preserve">3.4  </w:t>
          </w:r>
          <w:r>
            <w:rPr>
              <w:rFonts w:ascii="宋体" w:hAnsi="宋体" w:eastAsia="宋体" w:cs="宋体"/>
              <w:spacing w:val="-2"/>
              <w:sz w:val="24"/>
              <w:szCs w:val="24"/>
            </w:rPr>
            <w:t>评标结果</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8"/>
              <w:sz w:val="24"/>
              <w:szCs w:val="24"/>
            </w:rPr>
            <w:t>84</w:t>
          </w:r>
          <w:r>
            <w:rPr>
              <w:rFonts w:ascii="Times New Roman" w:hAnsi="Times New Roman" w:eastAsia="Times New Roman" w:cs="Times New Roman"/>
              <w:spacing w:val="-8"/>
              <w:sz w:val="24"/>
              <w:szCs w:val="24"/>
            </w:rPr>
            <w:fldChar w:fldCharType="end"/>
          </w:r>
        </w:p>
        <w:p w14:paraId="31BC3CC8">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"bookmark107" </w:instrText>
          </w:r>
          <w:r>
            <w:fldChar w:fldCharType="separate"/>
          </w:r>
          <w:r>
            <w:rPr>
              <w:rFonts w:ascii="宋体" w:hAnsi="宋体" w:eastAsia="宋体" w:cs="宋体"/>
              <w:spacing w:val="-3"/>
              <w:sz w:val="24"/>
              <w:szCs w:val="24"/>
            </w:rPr>
            <w:t>附件</w:t>
          </w:r>
          <w:r>
            <w:rPr>
              <w:rFonts w:ascii="宋体" w:hAnsi="宋体" w:eastAsia="宋体" w:cs="宋体"/>
              <w:spacing w:val="-59"/>
              <w:sz w:val="24"/>
              <w:szCs w:val="24"/>
            </w:rPr>
            <w:t xml:space="preserve"> </w:t>
          </w:r>
          <w:r>
            <w:rPr>
              <w:rFonts w:ascii="Times New Roman" w:hAnsi="Times New Roman" w:eastAsia="Times New Roman" w:cs="Times New Roman"/>
              <w:spacing w:val="-3"/>
              <w:sz w:val="24"/>
              <w:szCs w:val="24"/>
            </w:rPr>
            <w:t>A:</w:t>
          </w:r>
          <w:r>
            <w:rPr>
              <w:rFonts w:ascii="宋体" w:hAnsi="宋体" w:eastAsia="宋体" w:cs="宋体"/>
              <w:spacing w:val="-3"/>
              <w:sz w:val="24"/>
              <w:szCs w:val="24"/>
            </w:rPr>
            <w:t>评标详细程序</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8"/>
              <w:sz w:val="24"/>
              <w:szCs w:val="24"/>
            </w:rPr>
            <w:t>85</w:t>
          </w:r>
          <w:r>
            <w:rPr>
              <w:rFonts w:ascii="Times New Roman" w:hAnsi="Times New Roman" w:eastAsia="Times New Roman" w:cs="Times New Roman"/>
              <w:spacing w:val="-8"/>
              <w:sz w:val="24"/>
              <w:szCs w:val="24"/>
            </w:rPr>
            <w:fldChar w:fldCharType="end"/>
          </w:r>
        </w:p>
        <w:p w14:paraId="2F3A9C58">
          <w:pPr>
            <w:tabs>
              <w:tab w:val="right" w:leader="dot" w:pos="8320"/>
            </w:tabs>
            <w:spacing w:before="133" w:line="185" w:lineRule="auto"/>
            <w:ind w:left="856"/>
            <w:rPr>
              <w:rFonts w:ascii="Times New Roman" w:hAnsi="Times New Roman" w:eastAsia="Times New Roman" w:cs="Times New Roman"/>
              <w:sz w:val="24"/>
              <w:szCs w:val="24"/>
            </w:rPr>
          </w:pPr>
          <w:r>
            <w:fldChar w:fldCharType="begin"/>
          </w:r>
          <w:r>
            <w:instrText xml:space="preserve"> HYPERLINK \l "bookmark108" </w:instrText>
          </w:r>
          <w:r>
            <w:fldChar w:fldCharType="separate"/>
          </w:r>
          <w:r>
            <w:rPr>
              <w:rFonts w:ascii="Times New Roman" w:hAnsi="Times New Roman" w:eastAsia="Times New Roman" w:cs="Times New Roman"/>
              <w:spacing w:val="-4"/>
              <w:sz w:val="24"/>
              <w:szCs w:val="24"/>
            </w:rPr>
            <w:t>A0.</w:t>
          </w:r>
          <w:r>
            <w:rPr>
              <w:rFonts w:ascii="宋体" w:hAnsi="宋体" w:eastAsia="宋体" w:cs="宋体"/>
              <w:spacing w:val="-4"/>
              <w:sz w:val="24"/>
              <w:szCs w:val="24"/>
            </w:rPr>
            <w:t>总</w:t>
          </w:r>
          <w:r>
            <w:rPr>
              <w:rFonts w:ascii="宋体" w:hAnsi="宋体" w:eastAsia="宋体" w:cs="宋体"/>
              <w:spacing w:val="8"/>
              <w:sz w:val="24"/>
              <w:szCs w:val="24"/>
            </w:rPr>
            <w:t xml:space="preserve">  </w:t>
          </w:r>
          <w:r>
            <w:rPr>
              <w:rFonts w:ascii="宋体" w:hAnsi="宋体" w:eastAsia="宋体" w:cs="宋体"/>
              <w:spacing w:val="-4"/>
              <w:sz w:val="24"/>
              <w:szCs w:val="24"/>
            </w:rPr>
            <w:t>则</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85</w:t>
          </w:r>
          <w:r>
            <w:rPr>
              <w:rFonts w:ascii="Times New Roman" w:hAnsi="Times New Roman" w:eastAsia="Times New Roman" w:cs="Times New Roman"/>
              <w:spacing w:val="1"/>
              <w:sz w:val="24"/>
              <w:szCs w:val="24"/>
            </w:rPr>
            <w:fldChar w:fldCharType="end"/>
          </w:r>
        </w:p>
        <w:p w14:paraId="38908704">
          <w:pPr>
            <w:tabs>
              <w:tab w:val="right" w:leader="dot" w:pos="8320"/>
            </w:tabs>
            <w:spacing w:before="136" w:line="184" w:lineRule="auto"/>
            <w:ind w:left="856"/>
            <w:rPr>
              <w:rFonts w:ascii="Times New Roman" w:hAnsi="Times New Roman" w:eastAsia="Times New Roman" w:cs="Times New Roman"/>
              <w:sz w:val="24"/>
              <w:szCs w:val="24"/>
            </w:rPr>
          </w:pPr>
          <w:r>
            <w:fldChar w:fldCharType="begin"/>
          </w:r>
          <w:r>
            <w:instrText xml:space="preserve"> HYPERLINK \l "bookmark109" </w:instrText>
          </w:r>
          <w:r>
            <w:fldChar w:fldCharType="separate"/>
          </w:r>
          <w:r>
            <w:rPr>
              <w:rFonts w:ascii="Times New Roman" w:hAnsi="Times New Roman" w:eastAsia="Times New Roman" w:cs="Times New Roman"/>
              <w:spacing w:val="-1"/>
              <w:sz w:val="24"/>
              <w:szCs w:val="24"/>
            </w:rPr>
            <w:t>A1.</w:t>
          </w:r>
          <w:r>
            <w:rPr>
              <w:rFonts w:ascii="宋体" w:hAnsi="宋体" w:eastAsia="宋体" w:cs="宋体"/>
              <w:spacing w:val="-1"/>
              <w:sz w:val="24"/>
              <w:szCs w:val="24"/>
            </w:rPr>
            <w:t>基本程序</w:t>
          </w:r>
          <w:r>
            <w:rPr>
              <w:rFonts w:ascii="宋体" w:hAnsi="宋体" w:eastAsia="宋体" w:cs="宋体"/>
              <w:spacing w:val="-69"/>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85</w:t>
          </w:r>
          <w:r>
            <w:rPr>
              <w:rFonts w:ascii="Times New Roman" w:hAnsi="Times New Roman" w:eastAsia="Times New Roman" w:cs="Times New Roman"/>
              <w:spacing w:val="1"/>
              <w:sz w:val="24"/>
              <w:szCs w:val="24"/>
            </w:rPr>
            <w:fldChar w:fldCharType="end"/>
          </w:r>
        </w:p>
        <w:p w14:paraId="0E429464">
          <w:pPr>
            <w:tabs>
              <w:tab w:val="right" w:leader="dot" w:pos="8320"/>
            </w:tabs>
            <w:spacing w:before="135" w:line="220" w:lineRule="auto"/>
            <w:ind w:left="856"/>
            <w:rPr>
              <w:rFonts w:ascii="Times New Roman" w:hAnsi="Times New Roman" w:eastAsia="Times New Roman" w:cs="Times New Roman"/>
              <w:sz w:val="24"/>
              <w:szCs w:val="24"/>
            </w:rPr>
          </w:pPr>
          <w:r>
            <w:fldChar w:fldCharType="begin"/>
          </w:r>
          <w:r>
            <w:instrText xml:space="preserve"> HYPERLINK \l "bookmark110" </w:instrText>
          </w:r>
          <w:r>
            <w:fldChar w:fldCharType="separate"/>
          </w:r>
          <w:r>
            <w:rPr>
              <w:rFonts w:ascii="Times New Roman" w:hAnsi="Times New Roman" w:eastAsia="Times New Roman" w:cs="Times New Roman"/>
              <w:spacing w:val="-1"/>
              <w:sz w:val="24"/>
              <w:szCs w:val="24"/>
            </w:rPr>
            <w:t>A2.</w:t>
          </w:r>
          <w:r>
            <w:rPr>
              <w:rFonts w:ascii="宋体" w:hAnsi="宋体" w:eastAsia="宋体" w:cs="宋体"/>
              <w:spacing w:val="-1"/>
              <w:sz w:val="24"/>
              <w:szCs w:val="24"/>
            </w:rPr>
            <w:t>评标准备</w:t>
          </w:r>
          <w:r>
            <w:rPr>
              <w:rFonts w:ascii="宋体" w:hAnsi="宋体" w:eastAsia="宋体" w:cs="宋体"/>
              <w:spacing w:val="-69"/>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85</w:t>
          </w:r>
          <w:r>
            <w:rPr>
              <w:rFonts w:ascii="Times New Roman" w:hAnsi="Times New Roman" w:eastAsia="Times New Roman" w:cs="Times New Roman"/>
              <w:spacing w:val="1"/>
              <w:sz w:val="24"/>
              <w:szCs w:val="24"/>
            </w:rPr>
            <w:fldChar w:fldCharType="end"/>
          </w:r>
        </w:p>
      </w:sdtContent>
    </w:sdt>
    <w:p w14:paraId="62CA17F3">
      <w:pPr>
        <w:spacing w:line="220" w:lineRule="auto"/>
        <w:rPr>
          <w:rFonts w:ascii="Times New Roman" w:hAnsi="Times New Roman" w:eastAsia="Times New Roman" w:cs="Times New Roman"/>
          <w:sz w:val="24"/>
          <w:szCs w:val="24"/>
        </w:rPr>
        <w:sectPr>
          <w:footerReference r:id="rId12" w:type="default"/>
          <w:pgSz w:w="11906" w:h="16839"/>
          <w:pgMar w:top="1431" w:right="1785" w:bottom="1153" w:left="1785" w:header="0" w:footer="994" w:gutter="0"/>
          <w:cols w:space="720" w:num="1"/>
        </w:sectPr>
      </w:pPr>
    </w:p>
    <w:sdt>
      <w:sdtPr>
        <w:rPr>
          <w:rFonts w:ascii="Times New Roman" w:hAnsi="Times New Roman" w:eastAsia="Times New Roman" w:cs="Times New Roman"/>
          <w:sz w:val="24"/>
          <w:szCs w:val="24"/>
        </w:rPr>
        <w:id w:val="147476324"/>
        <w:docPartObj>
          <w:docPartGallery w:val="Table of Contents"/>
          <w:docPartUnique/>
        </w:docPartObj>
      </w:sdtPr>
      <w:sdtEndPr>
        <w:rPr>
          <w:rFonts w:ascii="Times New Roman" w:hAnsi="Times New Roman" w:eastAsia="Times New Roman" w:cs="Times New Roman"/>
          <w:sz w:val="24"/>
          <w:szCs w:val="24"/>
        </w:rPr>
      </w:sdtEndPr>
      <w:sdtContent>
        <w:p w14:paraId="40608E24">
          <w:pPr>
            <w:tabs>
              <w:tab w:val="right" w:leader="dot" w:pos="8320"/>
            </w:tabs>
            <w:spacing w:before="77" w:line="184" w:lineRule="auto"/>
            <w:ind w:left="1276"/>
            <w:rPr>
              <w:rFonts w:ascii="Times New Roman" w:hAnsi="Times New Roman" w:eastAsia="Times New Roman" w:cs="Times New Roman"/>
              <w:sz w:val="24"/>
              <w:szCs w:val="24"/>
            </w:rPr>
          </w:pPr>
          <w:r>
            <w:fldChar w:fldCharType="begin"/>
          </w:r>
          <w:r>
            <w:instrText xml:space="preserve"> HYPERLINK \l "bookmark111" </w:instrText>
          </w:r>
          <w:r>
            <w:fldChar w:fldCharType="separate"/>
          </w:r>
          <w:r>
            <w:rPr>
              <w:rFonts w:ascii="Times New Roman" w:hAnsi="Times New Roman" w:eastAsia="Times New Roman" w:cs="Times New Roman"/>
              <w:spacing w:val="-1"/>
              <w:sz w:val="24"/>
              <w:szCs w:val="24"/>
            </w:rPr>
            <w:t xml:space="preserve">A2.1 </w:t>
          </w:r>
          <w:r>
            <w:rPr>
              <w:rFonts w:ascii="宋体" w:hAnsi="宋体" w:eastAsia="宋体" w:cs="宋体"/>
              <w:spacing w:val="-1"/>
              <w:sz w:val="24"/>
              <w:szCs w:val="24"/>
            </w:rPr>
            <w:t>评标委员会成员签到</w:t>
          </w:r>
          <w:r>
            <w:rPr>
              <w:rFonts w:ascii="宋体" w:hAnsi="宋体" w:eastAsia="宋体" w:cs="宋体"/>
              <w:spacing w:val="-6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85</w:t>
          </w:r>
          <w:r>
            <w:rPr>
              <w:rFonts w:ascii="Times New Roman" w:hAnsi="Times New Roman" w:eastAsia="Times New Roman" w:cs="Times New Roman"/>
              <w:spacing w:val="1"/>
              <w:sz w:val="24"/>
              <w:szCs w:val="24"/>
            </w:rPr>
            <w:fldChar w:fldCharType="end"/>
          </w:r>
        </w:p>
        <w:p w14:paraId="08F4E28D">
          <w:pPr>
            <w:tabs>
              <w:tab w:val="right" w:leader="dot" w:pos="8320"/>
            </w:tabs>
            <w:spacing w:before="135" w:line="184" w:lineRule="auto"/>
            <w:ind w:left="1276"/>
            <w:rPr>
              <w:rFonts w:ascii="Times New Roman" w:hAnsi="Times New Roman" w:eastAsia="Times New Roman" w:cs="Times New Roman"/>
              <w:sz w:val="24"/>
              <w:szCs w:val="24"/>
            </w:rPr>
          </w:pPr>
          <w:r>
            <w:fldChar w:fldCharType="begin"/>
          </w:r>
          <w:r>
            <w:instrText xml:space="preserve"> HYPERLINK \l "bookmark112" </w:instrText>
          </w:r>
          <w:r>
            <w:fldChar w:fldCharType="separate"/>
          </w:r>
          <w:r>
            <w:rPr>
              <w:rFonts w:ascii="Times New Roman" w:hAnsi="Times New Roman" w:eastAsia="Times New Roman" w:cs="Times New Roman"/>
              <w:spacing w:val="-1"/>
              <w:sz w:val="24"/>
              <w:szCs w:val="24"/>
            </w:rPr>
            <w:t xml:space="preserve">A2.2 </w:t>
          </w:r>
          <w:r>
            <w:rPr>
              <w:rFonts w:ascii="宋体" w:hAnsi="宋体" w:eastAsia="宋体" w:cs="宋体"/>
              <w:spacing w:val="-1"/>
              <w:sz w:val="24"/>
              <w:szCs w:val="24"/>
            </w:rPr>
            <w:t>评标委员会的分工</w:t>
          </w:r>
          <w:r>
            <w:rPr>
              <w:rFonts w:ascii="宋体" w:hAnsi="宋体" w:eastAsia="宋体" w:cs="宋体"/>
              <w:spacing w:val="-63"/>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85</w:t>
          </w:r>
          <w:r>
            <w:rPr>
              <w:rFonts w:ascii="Times New Roman" w:hAnsi="Times New Roman" w:eastAsia="Times New Roman" w:cs="Times New Roman"/>
              <w:spacing w:val="1"/>
              <w:sz w:val="24"/>
              <w:szCs w:val="24"/>
            </w:rPr>
            <w:fldChar w:fldCharType="end"/>
          </w:r>
        </w:p>
        <w:p w14:paraId="45D48969">
          <w:pPr>
            <w:tabs>
              <w:tab w:val="right" w:leader="dot" w:pos="8320"/>
            </w:tabs>
            <w:spacing w:before="132" w:line="185" w:lineRule="auto"/>
            <w:ind w:left="1276"/>
            <w:rPr>
              <w:rFonts w:ascii="Times New Roman" w:hAnsi="Times New Roman" w:eastAsia="Times New Roman" w:cs="Times New Roman"/>
              <w:sz w:val="24"/>
              <w:szCs w:val="24"/>
            </w:rPr>
          </w:pPr>
          <w:r>
            <w:fldChar w:fldCharType="begin"/>
          </w:r>
          <w:r>
            <w:instrText xml:space="preserve"> HYPERLINK \l "bookmark113" </w:instrText>
          </w:r>
          <w:r>
            <w:fldChar w:fldCharType="separate"/>
          </w:r>
          <w:r>
            <w:rPr>
              <w:rFonts w:ascii="Times New Roman" w:hAnsi="Times New Roman" w:eastAsia="Times New Roman" w:cs="Times New Roman"/>
              <w:spacing w:val="-1"/>
              <w:sz w:val="24"/>
              <w:szCs w:val="24"/>
            </w:rPr>
            <w:t xml:space="preserve">A2.3 </w:t>
          </w:r>
          <w:r>
            <w:rPr>
              <w:rFonts w:ascii="宋体" w:hAnsi="宋体" w:eastAsia="宋体" w:cs="宋体"/>
              <w:spacing w:val="-1"/>
              <w:sz w:val="24"/>
              <w:szCs w:val="24"/>
            </w:rPr>
            <w:t>熟悉文件资料</w:t>
          </w:r>
          <w:r>
            <w:rPr>
              <w:rFonts w:ascii="宋体" w:hAnsi="宋体" w:eastAsia="宋体" w:cs="宋体"/>
              <w:spacing w:val="-65"/>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86</w:t>
          </w:r>
          <w:r>
            <w:rPr>
              <w:rFonts w:ascii="Times New Roman" w:hAnsi="Times New Roman" w:eastAsia="Times New Roman" w:cs="Times New Roman"/>
              <w:spacing w:val="1"/>
              <w:sz w:val="24"/>
              <w:szCs w:val="24"/>
            </w:rPr>
            <w:fldChar w:fldCharType="end"/>
          </w:r>
        </w:p>
        <w:p w14:paraId="1622F2D3">
          <w:pPr>
            <w:tabs>
              <w:tab w:val="right" w:leader="dot" w:pos="8320"/>
            </w:tabs>
            <w:spacing w:before="136" w:line="184" w:lineRule="auto"/>
            <w:ind w:left="1276"/>
            <w:rPr>
              <w:rFonts w:ascii="Times New Roman" w:hAnsi="Times New Roman" w:eastAsia="Times New Roman" w:cs="Times New Roman"/>
              <w:sz w:val="24"/>
              <w:szCs w:val="24"/>
            </w:rPr>
          </w:pPr>
          <w:r>
            <w:fldChar w:fldCharType="begin"/>
          </w:r>
          <w:r>
            <w:instrText xml:space="preserve"> HYPERLINK \l "bookmark114" </w:instrText>
          </w:r>
          <w:r>
            <w:fldChar w:fldCharType="separate"/>
          </w:r>
          <w:r>
            <w:rPr>
              <w:rFonts w:ascii="Times New Roman" w:hAnsi="Times New Roman" w:eastAsia="Times New Roman" w:cs="Times New Roman"/>
              <w:spacing w:val="-1"/>
              <w:sz w:val="24"/>
              <w:szCs w:val="24"/>
            </w:rPr>
            <w:t>A2.4</w:t>
          </w:r>
          <w:r>
            <w:rPr>
              <w:rFonts w:ascii="Times New Roman" w:hAnsi="Times New Roman" w:eastAsia="Times New Roman" w:cs="Times New Roman"/>
              <w:spacing w:val="23"/>
              <w:sz w:val="24"/>
              <w:szCs w:val="24"/>
            </w:rPr>
            <w:t xml:space="preserve"> </w:t>
          </w:r>
          <w:r>
            <w:rPr>
              <w:rFonts w:ascii="宋体" w:hAnsi="宋体" w:eastAsia="宋体" w:cs="宋体"/>
              <w:spacing w:val="-1"/>
              <w:sz w:val="24"/>
              <w:szCs w:val="24"/>
            </w:rPr>
            <w:t>暗标编号（适用于对施工组织设计进行暗标评审的）</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86</w:t>
          </w:r>
          <w:r>
            <w:rPr>
              <w:rFonts w:ascii="Times New Roman" w:hAnsi="Times New Roman" w:eastAsia="Times New Roman" w:cs="Times New Roman"/>
              <w:spacing w:val="1"/>
              <w:sz w:val="24"/>
              <w:szCs w:val="24"/>
            </w:rPr>
            <w:fldChar w:fldCharType="end"/>
          </w:r>
        </w:p>
        <w:p w14:paraId="44903C2B">
          <w:pPr>
            <w:tabs>
              <w:tab w:val="right" w:leader="dot" w:pos="8320"/>
            </w:tabs>
            <w:spacing w:before="132" w:line="185" w:lineRule="auto"/>
            <w:ind w:left="1276"/>
            <w:rPr>
              <w:rFonts w:ascii="Times New Roman" w:hAnsi="Times New Roman" w:eastAsia="Times New Roman" w:cs="Times New Roman"/>
              <w:sz w:val="24"/>
              <w:szCs w:val="24"/>
            </w:rPr>
          </w:pPr>
          <w:r>
            <w:fldChar w:fldCharType="begin"/>
          </w:r>
          <w:r>
            <w:instrText xml:space="preserve"> HYPERLINK \l "bookmark115" </w:instrText>
          </w:r>
          <w:r>
            <w:fldChar w:fldCharType="separate"/>
          </w:r>
          <w:r>
            <w:rPr>
              <w:rFonts w:ascii="Times New Roman" w:hAnsi="Times New Roman" w:eastAsia="Times New Roman" w:cs="Times New Roman"/>
              <w:sz w:val="24"/>
              <w:szCs w:val="24"/>
            </w:rPr>
            <w:t xml:space="preserve">A2.5 </w:t>
          </w:r>
          <w:r>
            <w:rPr>
              <w:rFonts w:ascii="宋体" w:hAnsi="宋体" w:eastAsia="宋体" w:cs="宋体"/>
              <w:sz w:val="24"/>
              <w:szCs w:val="24"/>
            </w:rPr>
            <w:t>对投标文件进行基础性数据分析和整理工作</w:t>
          </w:r>
          <w:r>
            <w:rPr>
              <w:rFonts w:ascii="宋体" w:hAnsi="宋体" w:eastAsia="宋体" w:cs="宋体"/>
              <w:spacing w:val="-1"/>
              <w:sz w:val="24"/>
              <w:szCs w:val="24"/>
            </w:rPr>
            <w:t>（清标）</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87</w:t>
          </w:r>
          <w:r>
            <w:rPr>
              <w:rFonts w:ascii="Times New Roman" w:hAnsi="Times New Roman" w:eastAsia="Times New Roman" w:cs="Times New Roman"/>
              <w:spacing w:val="1"/>
              <w:sz w:val="24"/>
              <w:szCs w:val="24"/>
            </w:rPr>
            <w:fldChar w:fldCharType="end"/>
          </w:r>
        </w:p>
        <w:p w14:paraId="67E7423D">
          <w:pPr>
            <w:tabs>
              <w:tab w:val="right" w:leader="dot" w:pos="8320"/>
            </w:tabs>
            <w:spacing w:before="137" w:line="184" w:lineRule="auto"/>
            <w:ind w:left="856"/>
            <w:rPr>
              <w:rFonts w:ascii="Times New Roman" w:hAnsi="Times New Roman" w:eastAsia="Times New Roman" w:cs="Times New Roman"/>
              <w:sz w:val="24"/>
              <w:szCs w:val="24"/>
            </w:rPr>
          </w:pPr>
          <w:r>
            <w:fldChar w:fldCharType="begin"/>
          </w:r>
          <w:r>
            <w:instrText xml:space="preserve"> HYPERLINK \l "bookmark116" </w:instrText>
          </w:r>
          <w:r>
            <w:fldChar w:fldCharType="separate"/>
          </w:r>
          <w:r>
            <w:rPr>
              <w:rFonts w:ascii="Times New Roman" w:hAnsi="Times New Roman" w:eastAsia="Times New Roman" w:cs="Times New Roman"/>
              <w:spacing w:val="-1"/>
              <w:sz w:val="24"/>
              <w:szCs w:val="24"/>
            </w:rPr>
            <w:t>A3.</w:t>
          </w:r>
          <w:r>
            <w:rPr>
              <w:rFonts w:ascii="宋体" w:hAnsi="宋体" w:eastAsia="宋体" w:cs="宋体"/>
              <w:spacing w:val="-1"/>
              <w:sz w:val="24"/>
              <w:szCs w:val="24"/>
            </w:rPr>
            <w:t>初步评审</w:t>
          </w:r>
          <w:r>
            <w:rPr>
              <w:rFonts w:ascii="宋体" w:hAnsi="宋体" w:eastAsia="宋体" w:cs="宋体"/>
              <w:spacing w:val="-69"/>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87</w:t>
          </w:r>
          <w:r>
            <w:rPr>
              <w:rFonts w:ascii="Times New Roman" w:hAnsi="Times New Roman" w:eastAsia="Times New Roman" w:cs="Times New Roman"/>
              <w:spacing w:val="1"/>
              <w:sz w:val="24"/>
              <w:szCs w:val="24"/>
            </w:rPr>
            <w:fldChar w:fldCharType="end"/>
          </w:r>
        </w:p>
        <w:p w14:paraId="3D14AEFF">
          <w:pPr>
            <w:tabs>
              <w:tab w:val="right" w:leader="dot" w:pos="8320"/>
            </w:tabs>
            <w:spacing w:before="135" w:line="184" w:lineRule="auto"/>
            <w:ind w:left="1276"/>
            <w:rPr>
              <w:rFonts w:ascii="Times New Roman" w:hAnsi="Times New Roman" w:eastAsia="Times New Roman" w:cs="Times New Roman"/>
              <w:sz w:val="24"/>
              <w:szCs w:val="24"/>
            </w:rPr>
          </w:pPr>
          <w:r>
            <w:fldChar w:fldCharType="begin"/>
          </w:r>
          <w:r>
            <w:instrText xml:space="preserve"> HYPERLINK \l "bookmark117" </w:instrText>
          </w:r>
          <w:r>
            <w:fldChar w:fldCharType="separate"/>
          </w:r>
          <w:r>
            <w:rPr>
              <w:rFonts w:ascii="Times New Roman" w:hAnsi="Times New Roman" w:eastAsia="Times New Roman" w:cs="Times New Roman"/>
              <w:spacing w:val="-1"/>
              <w:sz w:val="24"/>
              <w:szCs w:val="24"/>
            </w:rPr>
            <w:t xml:space="preserve">A3.1 </w:t>
          </w:r>
          <w:r>
            <w:rPr>
              <w:rFonts w:ascii="宋体" w:hAnsi="宋体" w:eastAsia="宋体" w:cs="宋体"/>
              <w:spacing w:val="-1"/>
              <w:sz w:val="24"/>
              <w:szCs w:val="24"/>
            </w:rPr>
            <w:t>形式评审</w:t>
          </w:r>
          <w:r>
            <w:rPr>
              <w:rFonts w:ascii="宋体" w:hAnsi="宋体" w:eastAsia="宋体" w:cs="宋体"/>
              <w:spacing w:val="-67"/>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87</w:t>
          </w:r>
          <w:r>
            <w:rPr>
              <w:rFonts w:ascii="Times New Roman" w:hAnsi="Times New Roman" w:eastAsia="Times New Roman" w:cs="Times New Roman"/>
              <w:spacing w:val="1"/>
              <w:sz w:val="24"/>
              <w:szCs w:val="24"/>
            </w:rPr>
            <w:fldChar w:fldCharType="end"/>
          </w:r>
        </w:p>
        <w:p w14:paraId="50F77828">
          <w:pPr>
            <w:tabs>
              <w:tab w:val="right" w:leader="dot" w:pos="8320"/>
            </w:tabs>
            <w:spacing w:before="132" w:line="185" w:lineRule="auto"/>
            <w:ind w:left="1276"/>
            <w:rPr>
              <w:rFonts w:ascii="Times New Roman" w:hAnsi="Times New Roman" w:eastAsia="Times New Roman" w:cs="Times New Roman"/>
              <w:sz w:val="24"/>
              <w:szCs w:val="24"/>
            </w:rPr>
          </w:pPr>
          <w:r>
            <w:fldChar w:fldCharType="begin"/>
          </w:r>
          <w:r>
            <w:instrText xml:space="preserve"> HYPERLINK \l "bookmark118" </w:instrText>
          </w:r>
          <w:r>
            <w:fldChar w:fldCharType="separate"/>
          </w:r>
          <w:r>
            <w:rPr>
              <w:rFonts w:ascii="Times New Roman" w:hAnsi="Times New Roman" w:eastAsia="Times New Roman" w:cs="Times New Roman"/>
              <w:spacing w:val="-3"/>
              <w:sz w:val="24"/>
              <w:szCs w:val="24"/>
            </w:rPr>
            <w:t>A3.2</w:t>
          </w:r>
          <w:r>
            <w:rPr>
              <w:rFonts w:ascii="Times New Roman" w:hAnsi="Times New Roman" w:eastAsia="Times New Roman" w:cs="Times New Roman"/>
              <w:spacing w:val="20"/>
              <w:sz w:val="24"/>
              <w:szCs w:val="24"/>
            </w:rPr>
            <w:t xml:space="preserve"> </w:t>
          </w:r>
          <w:r>
            <w:rPr>
              <w:rFonts w:ascii="宋体" w:hAnsi="宋体" w:eastAsia="宋体" w:cs="宋体"/>
              <w:spacing w:val="-3"/>
              <w:sz w:val="24"/>
              <w:szCs w:val="24"/>
            </w:rPr>
            <w:t>资格评审</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87</w:t>
          </w:r>
          <w:r>
            <w:rPr>
              <w:rFonts w:ascii="Times New Roman" w:hAnsi="Times New Roman" w:eastAsia="Times New Roman" w:cs="Times New Roman"/>
              <w:spacing w:val="1"/>
              <w:sz w:val="24"/>
              <w:szCs w:val="24"/>
            </w:rPr>
            <w:fldChar w:fldCharType="end"/>
          </w:r>
        </w:p>
        <w:p w14:paraId="47DAB1B9">
          <w:pPr>
            <w:tabs>
              <w:tab w:val="right" w:leader="dot" w:pos="8320"/>
            </w:tabs>
            <w:spacing w:before="137" w:line="184" w:lineRule="auto"/>
            <w:ind w:left="1276"/>
            <w:rPr>
              <w:rFonts w:ascii="Times New Roman" w:hAnsi="Times New Roman" w:eastAsia="Times New Roman" w:cs="Times New Roman"/>
              <w:sz w:val="24"/>
              <w:szCs w:val="24"/>
            </w:rPr>
          </w:pPr>
          <w:r>
            <w:fldChar w:fldCharType="begin"/>
          </w:r>
          <w:r>
            <w:instrText xml:space="preserve"> HYPERLINK \l "bookmark119" </w:instrText>
          </w:r>
          <w:r>
            <w:fldChar w:fldCharType="separate"/>
          </w:r>
          <w:r>
            <w:rPr>
              <w:rFonts w:ascii="Times New Roman" w:hAnsi="Times New Roman" w:eastAsia="Times New Roman" w:cs="Times New Roman"/>
              <w:spacing w:val="-3"/>
              <w:sz w:val="24"/>
              <w:szCs w:val="24"/>
            </w:rPr>
            <w:t>A3.3</w:t>
          </w:r>
          <w:r>
            <w:rPr>
              <w:rFonts w:ascii="Times New Roman" w:hAnsi="Times New Roman" w:eastAsia="Times New Roman" w:cs="Times New Roman"/>
              <w:spacing w:val="23"/>
              <w:sz w:val="24"/>
              <w:szCs w:val="24"/>
            </w:rPr>
            <w:t xml:space="preserve"> </w:t>
          </w:r>
          <w:r>
            <w:rPr>
              <w:rFonts w:ascii="宋体" w:hAnsi="宋体" w:eastAsia="宋体" w:cs="宋体"/>
              <w:spacing w:val="-3"/>
              <w:sz w:val="24"/>
              <w:szCs w:val="24"/>
            </w:rPr>
            <w:t>响应性评审</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87</w:t>
          </w:r>
          <w:r>
            <w:rPr>
              <w:rFonts w:ascii="Times New Roman" w:hAnsi="Times New Roman" w:eastAsia="Times New Roman" w:cs="Times New Roman"/>
              <w:spacing w:val="1"/>
              <w:sz w:val="24"/>
              <w:szCs w:val="24"/>
            </w:rPr>
            <w:fldChar w:fldCharType="end"/>
          </w:r>
        </w:p>
        <w:p w14:paraId="75EE7F3F">
          <w:pPr>
            <w:tabs>
              <w:tab w:val="right" w:leader="dot" w:pos="8320"/>
            </w:tabs>
            <w:spacing w:before="133" w:line="184" w:lineRule="auto"/>
            <w:ind w:left="1276"/>
            <w:rPr>
              <w:rFonts w:ascii="Times New Roman" w:hAnsi="Times New Roman" w:eastAsia="Times New Roman" w:cs="Times New Roman"/>
              <w:sz w:val="24"/>
              <w:szCs w:val="24"/>
            </w:rPr>
          </w:pPr>
          <w:r>
            <w:fldChar w:fldCharType="begin"/>
          </w:r>
          <w:r>
            <w:instrText xml:space="preserve"> HYPERLINK \l "bookmark120" </w:instrText>
          </w:r>
          <w:r>
            <w:fldChar w:fldCharType="separate"/>
          </w:r>
          <w:r>
            <w:rPr>
              <w:rFonts w:ascii="Times New Roman" w:hAnsi="Times New Roman" w:eastAsia="Times New Roman" w:cs="Times New Roman"/>
              <w:spacing w:val="-1"/>
              <w:sz w:val="24"/>
              <w:szCs w:val="24"/>
            </w:rPr>
            <w:t xml:space="preserve">A3.4 </w:t>
          </w:r>
          <w:r>
            <w:rPr>
              <w:rFonts w:ascii="宋体" w:hAnsi="宋体" w:eastAsia="宋体" w:cs="宋体"/>
              <w:spacing w:val="-1"/>
              <w:sz w:val="24"/>
              <w:szCs w:val="24"/>
            </w:rPr>
            <w:t>施工组织设计评审</w:t>
          </w:r>
          <w:r>
            <w:rPr>
              <w:rFonts w:ascii="宋体" w:hAnsi="宋体" w:eastAsia="宋体" w:cs="宋体"/>
              <w:spacing w:val="-63"/>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88</w:t>
          </w:r>
          <w:r>
            <w:rPr>
              <w:rFonts w:ascii="Times New Roman" w:hAnsi="Times New Roman" w:eastAsia="Times New Roman" w:cs="Times New Roman"/>
              <w:spacing w:val="1"/>
              <w:sz w:val="24"/>
              <w:szCs w:val="24"/>
            </w:rPr>
            <w:fldChar w:fldCharType="end"/>
          </w:r>
        </w:p>
        <w:p w14:paraId="764F0C8A">
          <w:pPr>
            <w:tabs>
              <w:tab w:val="right" w:leader="dot" w:pos="8320"/>
            </w:tabs>
            <w:spacing w:before="135" w:line="185" w:lineRule="auto"/>
            <w:ind w:left="1276"/>
            <w:rPr>
              <w:rFonts w:ascii="Times New Roman" w:hAnsi="Times New Roman" w:eastAsia="Times New Roman" w:cs="Times New Roman"/>
              <w:sz w:val="24"/>
              <w:szCs w:val="24"/>
            </w:rPr>
          </w:pPr>
          <w:r>
            <w:fldChar w:fldCharType="begin"/>
          </w:r>
          <w:r>
            <w:instrText xml:space="preserve"> HYPERLINK \l "bookmark121" </w:instrText>
          </w:r>
          <w:r>
            <w:fldChar w:fldCharType="separate"/>
          </w:r>
          <w:r>
            <w:rPr>
              <w:rFonts w:ascii="Times New Roman" w:hAnsi="Times New Roman" w:eastAsia="Times New Roman" w:cs="Times New Roman"/>
              <w:spacing w:val="-1"/>
              <w:sz w:val="24"/>
              <w:szCs w:val="24"/>
            </w:rPr>
            <w:t xml:space="preserve">A3.5 </w:t>
          </w:r>
          <w:r>
            <w:rPr>
              <w:rFonts w:ascii="宋体" w:hAnsi="宋体" w:eastAsia="宋体" w:cs="宋体"/>
              <w:spacing w:val="-1"/>
              <w:sz w:val="24"/>
              <w:szCs w:val="24"/>
            </w:rPr>
            <w:t>算术错误修正</w:t>
          </w:r>
          <w:r>
            <w:rPr>
              <w:rFonts w:ascii="宋体" w:hAnsi="宋体" w:eastAsia="宋体" w:cs="宋体"/>
              <w:spacing w:val="-65"/>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88</w:t>
          </w:r>
          <w:r>
            <w:rPr>
              <w:rFonts w:ascii="Times New Roman" w:hAnsi="Times New Roman" w:eastAsia="Times New Roman" w:cs="Times New Roman"/>
              <w:spacing w:val="1"/>
              <w:sz w:val="24"/>
              <w:szCs w:val="24"/>
            </w:rPr>
            <w:fldChar w:fldCharType="end"/>
          </w:r>
        </w:p>
        <w:p w14:paraId="181FAE44">
          <w:pPr>
            <w:tabs>
              <w:tab w:val="right" w:leader="dot" w:pos="8320"/>
            </w:tabs>
            <w:spacing w:before="136" w:line="184" w:lineRule="auto"/>
            <w:ind w:left="1276"/>
            <w:rPr>
              <w:rFonts w:ascii="Times New Roman" w:hAnsi="Times New Roman" w:eastAsia="Times New Roman" w:cs="Times New Roman"/>
              <w:sz w:val="24"/>
              <w:szCs w:val="24"/>
            </w:rPr>
          </w:pPr>
          <w:r>
            <w:fldChar w:fldCharType="begin"/>
          </w:r>
          <w:r>
            <w:instrText xml:space="preserve"> HYPERLINK \l "bookmark122" </w:instrText>
          </w:r>
          <w:r>
            <w:fldChar w:fldCharType="separate"/>
          </w:r>
          <w:r>
            <w:rPr>
              <w:rFonts w:ascii="Times New Roman" w:hAnsi="Times New Roman" w:eastAsia="Times New Roman" w:cs="Times New Roman"/>
              <w:spacing w:val="-1"/>
              <w:sz w:val="24"/>
              <w:szCs w:val="24"/>
            </w:rPr>
            <w:t xml:space="preserve">A3.6 </w:t>
          </w:r>
          <w:r>
            <w:rPr>
              <w:rFonts w:ascii="宋体" w:hAnsi="宋体" w:eastAsia="宋体" w:cs="宋体"/>
              <w:spacing w:val="-1"/>
              <w:sz w:val="24"/>
              <w:szCs w:val="24"/>
            </w:rPr>
            <w:t>判断投标报价是否低于成本</w:t>
          </w:r>
          <w:r>
            <w:rPr>
              <w:rFonts w:ascii="宋体" w:hAnsi="宋体" w:eastAsia="宋体" w:cs="宋体"/>
              <w:spacing w:val="-59"/>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88</w:t>
          </w:r>
          <w:r>
            <w:rPr>
              <w:rFonts w:ascii="Times New Roman" w:hAnsi="Times New Roman" w:eastAsia="Times New Roman" w:cs="Times New Roman"/>
              <w:spacing w:val="1"/>
              <w:sz w:val="24"/>
              <w:szCs w:val="24"/>
            </w:rPr>
            <w:fldChar w:fldCharType="end"/>
          </w:r>
        </w:p>
        <w:p w14:paraId="50ECBE20">
          <w:pPr>
            <w:tabs>
              <w:tab w:val="right" w:leader="dot" w:pos="8320"/>
            </w:tabs>
            <w:spacing w:before="133" w:line="185" w:lineRule="auto"/>
            <w:ind w:left="1276"/>
            <w:rPr>
              <w:rFonts w:ascii="Times New Roman" w:hAnsi="Times New Roman" w:eastAsia="Times New Roman" w:cs="Times New Roman"/>
              <w:sz w:val="24"/>
              <w:szCs w:val="24"/>
            </w:rPr>
          </w:pPr>
          <w:r>
            <w:fldChar w:fldCharType="begin"/>
          </w:r>
          <w:r>
            <w:instrText xml:space="preserve"> HYPERLINK \l "bookmark123" </w:instrText>
          </w:r>
          <w:r>
            <w:fldChar w:fldCharType="separate"/>
          </w:r>
          <w:r>
            <w:rPr>
              <w:rFonts w:ascii="Times New Roman" w:hAnsi="Times New Roman" w:eastAsia="Times New Roman" w:cs="Times New Roman"/>
              <w:spacing w:val="-1"/>
              <w:sz w:val="24"/>
              <w:szCs w:val="24"/>
            </w:rPr>
            <w:t xml:space="preserve">A3.7 </w:t>
          </w:r>
          <w:r>
            <w:rPr>
              <w:rFonts w:ascii="宋体" w:hAnsi="宋体" w:eastAsia="宋体" w:cs="宋体"/>
              <w:spacing w:val="-1"/>
              <w:sz w:val="24"/>
              <w:szCs w:val="24"/>
            </w:rPr>
            <w:t>判断投标是否为应当被否决</w:t>
          </w:r>
          <w:r>
            <w:rPr>
              <w:rFonts w:ascii="宋体" w:hAnsi="宋体" w:eastAsia="宋体" w:cs="宋体"/>
              <w:spacing w:val="-59"/>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88</w:t>
          </w:r>
          <w:r>
            <w:rPr>
              <w:rFonts w:ascii="Times New Roman" w:hAnsi="Times New Roman" w:eastAsia="Times New Roman" w:cs="Times New Roman"/>
              <w:spacing w:val="1"/>
              <w:sz w:val="24"/>
              <w:szCs w:val="24"/>
            </w:rPr>
            <w:fldChar w:fldCharType="end"/>
          </w:r>
        </w:p>
        <w:p w14:paraId="49D19B29">
          <w:pPr>
            <w:tabs>
              <w:tab w:val="right" w:leader="dot" w:pos="8320"/>
            </w:tabs>
            <w:spacing w:before="136" w:line="184" w:lineRule="auto"/>
            <w:ind w:left="1276"/>
            <w:rPr>
              <w:rFonts w:ascii="Times New Roman" w:hAnsi="Times New Roman" w:eastAsia="Times New Roman" w:cs="Times New Roman"/>
              <w:sz w:val="24"/>
              <w:szCs w:val="24"/>
            </w:rPr>
          </w:pPr>
          <w:r>
            <w:fldChar w:fldCharType="begin"/>
          </w:r>
          <w:r>
            <w:instrText xml:space="preserve"> HYPERLINK \l "bookmark124" </w:instrText>
          </w:r>
          <w:r>
            <w:fldChar w:fldCharType="separate"/>
          </w:r>
          <w:r>
            <w:rPr>
              <w:rFonts w:ascii="Times New Roman" w:hAnsi="Times New Roman" w:eastAsia="Times New Roman" w:cs="Times New Roman"/>
              <w:spacing w:val="-1"/>
              <w:sz w:val="24"/>
              <w:szCs w:val="24"/>
            </w:rPr>
            <w:t xml:space="preserve">A3.8 </w:t>
          </w:r>
          <w:r>
            <w:rPr>
              <w:rFonts w:ascii="宋体" w:hAnsi="宋体" w:eastAsia="宋体" w:cs="宋体"/>
              <w:spacing w:val="-1"/>
              <w:sz w:val="24"/>
              <w:szCs w:val="24"/>
            </w:rPr>
            <w:t>澄清、说明或补正</w:t>
          </w:r>
          <w:r>
            <w:rPr>
              <w:rFonts w:ascii="宋体" w:hAnsi="宋体" w:eastAsia="宋体" w:cs="宋体"/>
              <w:spacing w:val="-63"/>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88</w:t>
          </w:r>
          <w:r>
            <w:rPr>
              <w:rFonts w:ascii="Times New Roman" w:hAnsi="Times New Roman" w:eastAsia="Times New Roman" w:cs="Times New Roman"/>
              <w:spacing w:val="1"/>
              <w:sz w:val="24"/>
              <w:szCs w:val="24"/>
            </w:rPr>
            <w:fldChar w:fldCharType="end"/>
          </w:r>
        </w:p>
        <w:p w14:paraId="42D6D0F3">
          <w:pPr>
            <w:tabs>
              <w:tab w:val="right" w:leader="dot" w:pos="8320"/>
            </w:tabs>
            <w:spacing w:before="133" w:line="184" w:lineRule="auto"/>
            <w:ind w:left="856"/>
            <w:rPr>
              <w:rFonts w:ascii="Times New Roman" w:hAnsi="Times New Roman" w:eastAsia="Times New Roman" w:cs="Times New Roman"/>
              <w:sz w:val="24"/>
              <w:szCs w:val="24"/>
            </w:rPr>
          </w:pPr>
          <w:r>
            <w:fldChar w:fldCharType="begin"/>
          </w:r>
          <w:r>
            <w:instrText xml:space="preserve"> HYPERLINK \l "bookmark125" </w:instrText>
          </w:r>
          <w:r>
            <w:fldChar w:fldCharType="separate"/>
          </w:r>
          <w:r>
            <w:rPr>
              <w:rFonts w:ascii="Times New Roman" w:hAnsi="Times New Roman" w:eastAsia="Times New Roman" w:cs="Times New Roman"/>
              <w:spacing w:val="-1"/>
              <w:sz w:val="24"/>
              <w:szCs w:val="24"/>
            </w:rPr>
            <w:t>A4.</w:t>
          </w:r>
          <w:r>
            <w:rPr>
              <w:rFonts w:ascii="宋体" w:hAnsi="宋体" w:eastAsia="宋体" w:cs="宋体"/>
              <w:spacing w:val="-1"/>
              <w:sz w:val="24"/>
              <w:szCs w:val="24"/>
            </w:rPr>
            <w:t>详细评审</w:t>
          </w:r>
          <w:r>
            <w:rPr>
              <w:rFonts w:ascii="宋体" w:hAnsi="宋体" w:eastAsia="宋体" w:cs="宋体"/>
              <w:spacing w:val="-69"/>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88</w:t>
          </w:r>
          <w:r>
            <w:rPr>
              <w:rFonts w:ascii="Times New Roman" w:hAnsi="Times New Roman" w:eastAsia="Times New Roman" w:cs="Times New Roman"/>
              <w:spacing w:val="1"/>
              <w:sz w:val="24"/>
              <w:szCs w:val="24"/>
            </w:rPr>
            <w:fldChar w:fldCharType="end"/>
          </w:r>
        </w:p>
        <w:p w14:paraId="2C5CF5D7">
          <w:pPr>
            <w:tabs>
              <w:tab w:val="right" w:leader="dot" w:pos="8320"/>
            </w:tabs>
            <w:spacing w:before="135" w:line="185" w:lineRule="auto"/>
            <w:ind w:left="1276"/>
            <w:rPr>
              <w:rFonts w:ascii="Times New Roman" w:hAnsi="Times New Roman" w:eastAsia="Times New Roman" w:cs="Times New Roman"/>
              <w:sz w:val="24"/>
              <w:szCs w:val="24"/>
            </w:rPr>
          </w:pPr>
          <w:r>
            <w:fldChar w:fldCharType="begin"/>
          </w:r>
          <w:r>
            <w:instrText xml:space="preserve"> HYPERLINK \l "bookmark126" </w:instrText>
          </w:r>
          <w:r>
            <w:fldChar w:fldCharType="separate"/>
          </w:r>
          <w:r>
            <w:rPr>
              <w:rFonts w:ascii="Times New Roman" w:hAnsi="Times New Roman" w:eastAsia="Times New Roman" w:cs="Times New Roman"/>
              <w:spacing w:val="-1"/>
              <w:sz w:val="24"/>
              <w:szCs w:val="24"/>
            </w:rPr>
            <w:t xml:space="preserve">A4.1 </w:t>
          </w:r>
          <w:r>
            <w:rPr>
              <w:rFonts w:ascii="宋体" w:hAnsi="宋体" w:eastAsia="宋体" w:cs="宋体"/>
              <w:spacing w:val="-1"/>
              <w:sz w:val="24"/>
              <w:szCs w:val="24"/>
            </w:rPr>
            <w:t>详细评审的程序</w:t>
          </w:r>
          <w:r>
            <w:rPr>
              <w:rFonts w:ascii="宋体" w:hAnsi="宋体" w:eastAsia="宋体" w:cs="宋体"/>
              <w:spacing w:val="-64"/>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88</w:t>
          </w:r>
          <w:r>
            <w:rPr>
              <w:rFonts w:ascii="Times New Roman" w:hAnsi="Times New Roman" w:eastAsia="Times New Roman" w:cs="Times New Roman"/>
              <w:spacing w:val="1"/>
              <w:sz w:val="24"/>
              <w:szCs w:val="24"/>
            </w:rPr>
            <w:fldChar w:fldCharType="end"/>
          </w:r>
        </w:p>
        <w:p w14:paraId="7709C74A">
          <w:pPr>
            <w:tabs>
              <w:tab w:val="right" w:leader="dot" w:pos="8320"/>
            </w:tabs>
            <w:spacing w:before="137" w:line="184" w:lineRule="auto"/>
            <w:ind w:left="1276"/>
            <w:rPr>
              <w:rFonts w:ascii="Times New Roman" w:hAnsi="Times New Roman" w:eastAsia="Times New Roman" w:cs="Times New Roman"/>
              <w:sz w:val="24"/>
              <w:szCs w:val="24"/>
            </w:rPr>
          </w:pPr>
          <w:r>
            <w:fldChar w:fldCharType="begin"/>
          </w:r>
          <w:r>
            <w:instrText xml:space="preserve"> HYPERLINK \l "bookmark127" </w:instrText>
          </w:r>
          <w:r>
            <w:fldChar w:fldCharType="separate"/>
          </w:r>
          <w:r>
            <w:rPr>
              <w:rFonts w:ascii="Times New Roman" w:hAnsi="Times New Roman" w:eastAsia="Times New Roman" w:cs="Times New Roman"/>
              <w:spacing w:val="-1"/>
              <w:sz w:val="24"/>
              <w:szCs w:val="24"/>
            </w:rPr>
            <w:t xml:space="preserve">A4.2 </w:t>
          </w:r>
          <w:r>
            <w:rPr>
              <w:rFonts w:ascii="宋体" w:hAnsi="宋体" w:eastAsia="宋体" w:cs="宋体"/>
              <w:spacing w:val="-1"/>
              <w:sz w:val="24"/>
              <w:szCs w:val="24"/>
            </w:rPr>
            <w:t>投标报价评审和评分</w:t>
          </w:r>
          <w:r>
            <w:rPr>
              <w:rFonts w:ascii="宋体" w:hAnsi="宋体" w:eastAsia="宋体" w:cs="宋体"/>
              <w:spacing w:val="-6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89</w:t>
          </w:r>
          <w:r>
            <w:rPr>
              <w:rFonts w:ascii="Times New Roman" w:hAnsi="Times New Roman" w:eastAsia="Times New Roman" w:cs="Times New Roman"/>
              <w:spacing w:val="1"/>
              <w:sz w:val="24"/>
              <w:szCs w:val="24"/>
            </w:rPr>
            <w:fldChar w:fldCharType="end"/>
          </w:r>
        </w:p>
        <w:p w14:paraId="138D0433">
          <w:pPr>
            <w:tabs>
              <w:tab w:val="right" w:leader="dot" w:pos="8320"/>
            </w:tabs>
            <w:spacing w:before="132" w:line="185" w:lineRule="auto"/>
            <w:ind w:left="1276"/>
            <w:rPr>
              <w:rFonts w:ascii="Times New Roman" w:hAnsi="Times New Roman" w:eastAsia="Times New Roman" w:cs="Times New Roman"/>
              <w:sz w:val="24"/>
              <w:szCs w:val="24"/>
            </w:rPr>
          </w:pPr>
          <w:r>
            <w:fldChar w:fldCharType="begin"/>
          </w:r>
          <w:r>
            <w:instrText xml:space="preserve"> HYPERLINK \l "bookmark128" </w:instrText>
          </w:r>
          <w:r>
            <w:fldChar w:fldCharType="separate"/>
          </w:r>
          <w:r>
            <w:rPr>
              <w:rFonts w:ascii="Times New Roman" w:hAnsi="Times New Roman" w:eastAsia="Times New Roman" w:cs="Times New Roman"/>
              <w:spacing w:val="-1"/>
              <w:sz w:val="24"/>
              <w:szCs w:val="24"/>
            </w:rPr>
            <w:t xml:space="preserve">A4.3 </w:t>
          </w:r>
          <w:r>
            <w:rPr>
              <w:rFonts w:ascii="宋体" w:hAnsi="宋体" w:eastAsia="宋体" w:cs="宋体"/>
              <w:spacing w:val="-1"/>
              <w:sz w:val="24"/>
              <w:szCs w:val="24"/>
            </w:rPr>
            <w:t>施工组织设计评审和评分</w:t>
          </w:r>
          <w:r>
            <w:rPr>
              <w:rFonts w:ascii="宋体" w:hAnsi="宋体" w:eastAsia="宋体" w:cs="宋体"/>
              <w:spacing w:val="-60"/>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89</w:t>
          </w:r>
          <w:r>
            <w:rPr>
              <w:rFonts w:ascii="Times New Roman" w:hAnsi="Times New Roman" w:eastAsia="Times New Roman" w:cs="Times New Roman"/>
              <w:spacing w:val="1"/>
              <w:sz w:val="24"/>
              <w:szCs w:val="24"/>
            </w:rPr>
            <w:fldChar w:fldCharType="end"/>
          </w:r>
        </w:p>
        <w:p w14:paraId="0D5F5FC6">
          <w:pPr>
            <w:tabs>
              <w:tab w:val="right" w:leader="dot" w:pos="8320"/>
            </w:tabs>
            <w:spacing w:before="137" w:line="184" w:lineRule="auto"/>
            <w:ind w:left="1276"/>
            <w:rPr>
              <w:rFonts w:ascii="Times New Roman" w:hAnsi="Times New Roman" w:eastAsia="Times New Roman" w:cs="Times New Roman"/>
              <w:sz w:val="24"/>
              <w:szCs w:val="24"/>
            </w:rPr>
          </w:pPr>
          <w:r>
            <w:fldChar w:fldCharType="begin"/>
          </w:r>
          <w:r>
            <w:instrText xml:space="preserve"> HYPERLINK \l "bookmark129" </w:instrText>
          </w:r>
          <w:r>
            <w:fldChar w:fldCharType="separate"/>
          </w:r>
          <w:r>
            <w:rPr>
              <w:rFonts w:ascii="Times New Roman" w:hAnsi="Times New Roman" w:eastAsia="Times New Roman" w:cs="Times New Roman"/>
              <w:spacing w:val="-1"/>
              <w:sz w:val="24"/>
              <w:szCs w:val="24"/>
            </w:rPr>
            <w:t xml:space="preserve">A4.4 </w:t>
          </w:r>
          <w:r>
            <w:rPr>
              <w:rFonts w:ascii="宋体" w:hAnsi="宋体" w:eastAsia="宋体" w:cs="宋体"/>
              <w:spacing w:val="-1"/>
              <w:sz w:val="24"/>
              <w:szCs w:val="24"/>
            </w:rPr>
            <w:t>项目管理机构评审和评分</w:t>
          </w:r>
          <w:r>
            <w:rPr>
              <w:rFonts w:ascii="宋体" w:hAnsi="宋体" w:eastAsia="宋体" w:cs="宋体"/>
              <w:spacing w:val="-60"/>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89</w:t>
          </w:r>
          <w:r>
            <w:rPr>
              <w:rFonts w:ascii="Times New Roman" w:hAnsi="Times New Roman" w:eastAsia="Times New Roman" w:cs="Times New Roman"/>
              <w:spacing w:val="1"/>
              <w:sz w:val="24"/>
              <w:szCs w:val="24"/>
            </w:rPr>
            <w:fldChar w:fldCharType="end"/>
          </w:r>
        </w:p>
        <w:p w14:paraId="7A2BD179">
          <w:pPr>
            <w:tabs>
              <w:tab w:val="right" w:leader="dot" w:pos="8320"/>
            </w:tabs>
            <w:spacing w:before="133" w:line="184" w:lineRule="auto"/>
            <w:ind w:left="1276"/>
            <w:rPr>
              <w:rFonts w:ascii="Times New Roman" w:hAnsi="Times New Roman" w:eastAsia="Times New Roman" w:cs="Times New Roman"/>
              <w:sz w:val="24"/>
              <w:szCs w:val="24"/>
            </w:rPr>
          </w:pPr>
          <w:r>
            <w:fldChar w:fldCharType="begin"/>
          </w:r>
          <w:r>
            <w:instrText xml:space="preserve"> HYPERLINK \l "bookmark130" </w:instrText>
          </w:r>
          <w:r>
            <w:fldChar w:fldCharType="separate"/>
          </w:r>
          <w:r>
            <w:rPr>
              <w:rFonts w:ascii="Times New Roman" w:hAnsi="Times New Roman" w:eastAsia="Times New Roman" w:cs="Times New Roman"/>
              <w:spacing w:val="-1"/>
              <w:sz w:val="24"/>
              <w:szCs w:val="24"/>
            </w:rPr>
            <w:t xml:space="preserve">A4.5 </w:t>
          </w:r>
          <w:r>
            <w:rPr>
              <w:rFonts w:ascii="宋体" w:hAnsi="宋体" w:eastAsia="宋体" w:cs="宋体"/>
              <w:spacing w:val="-1"/>
              <w:sz w:val="24"/>
              <w:szCs w:val="24"/>
            </w:rPr>
            <w:t>其他因素的评审和评分</w:t>
          </w:r>
          <w:r>
            <w:rPr>
              <w:rFonts w:ascii="宋体" w:hAnsi="宋体" w:eastAsia="宋体" w:cs="宋体"/>
              <w:spacing w:val="-61"/>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89</w:t>
          </w:r>
          <w:r>
            <w:rPr>
              <w:rFonts w:ascii="Times New Roman" w:hAnsi="Times New Roman" w:eastAsia="Times New Roman" w:cs="Times New Roman"/>
              <w:spacing w:val="1"/>
              <w:sz w:val="24"/>
              <w:szCs w:val="24"/>
            </w:rPr>
            <w:fldChar w:fldCharType="end"/>
          </w:r>
        </w:p>
        <w:p w14:paraId="4D9E1E70">
          <w:pPr>
            <w:tabs>
              <w:tab w:val="right" w:leader="dot" w:pos="8320"/>
            </w:tabs>
            <w:spacing w:before="134" w:line="185" w:lineRule="auto"/>
            <w:ind w:left="1276"/>
            <w:rPr>
              <w:rFonts w:ascii="Times New Roman" w:hAnsi="Times New Roman" w:eastAsia="Times New Roman" w:cs="Times New Roman"/>
              <w:sz w:val="24"/>
              <w:szCs w:val="24"/>
            </w:rPr>
          </w:pPr>
          <w:r>
            <w:fldChar w:fldCharType="begin"/>
          </w:r>
          <w:r>
            <w:instrText xml:space="preserve"> HYPERLINK \l "bookmark131" </w:instrText>
          </w:r>
          <w:r>
            <w:fldChar w:fldCharType="separate"/>
          </w:r>
          <w:r>
            <w:rPr>
              <w:rFonts w:ascii="Times New Roman" w:hAnsi="Times New Roman" w:eastAsia="Times New Roman" w:cs="Times New Roman"/>
              <w:spacing w:val="-1"/>
              <w:sz w:val="24"/>
              <w:szCs w:val="24"/>
            </w:rPr>
            <w:t xml:space="preserve">A4.6 </w:t>
          </w:r>
          <w:r>
            <w:rPr>
              <w:rFonts w:ascii="宋体" w:hAnsi="宋体" w:eastAsia="宋体" w:cs="宋体"/>
              <w:spacing w:val="-1"/>
              <w:sz w:val="24"/>
              <w:szCs w:val="24"/>
            </w:rPr>
            <w:t>澄清、说明或补正</w:t>
          </w:r>
          <w:r>
            <w:rPr>
              <w:rFonts w:ascii="宋体" w:hAnsi="宋体" w:eastAsia="宋体" w:cs="宋体"/>
              <w:spacing w:val="-63"/>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89</w:t>
          </w:r>
          <w:r>
            <w:rPr>
              <w:rFonts w:ascii="Times New Roman" w:hAnsi="Times New Roman" w:eastAsia="Times New Roman" w:cs="Times New Roman"/>
              <w:spacing w:val="1"/>
              <w:sz w:val="24"/>
              <w:szCs w:val="24"/>
            </w:rPr>
            <w:fldChar w:fldCharType="end"/>
          </w:r>
        </w:p>
        <w:p w14:paraId="4535E146">
          <w:pPr>
            <w:tabs>
              <w:tab w:val="right" w:leader="dot" w:pos="8320"/>
            </w:tabs>
            <w:spacing w:before="137" w:line="184" w:lineRule="auto"/>
            <w:ind w:left="1276"/>
            <w:rPr>
              <w:rFonts w:ascii="Times New Roman" w:hAnsi="Times New Roman" w:eastAsia="Times New Roman" w:cs="Times New Roman"/>
              <w:sz w:val="24"/>
              <w:szCs w:val="24"/>
            </w:rPr>
          </w:pPr>
          <w:r>
            <w:fldChar w:fldCharType="begin"/>
          </w:r>
          <w:r>
            <w:instrText xml:space="preserve"> HYPERLINK \l "bookmark132" </w:instrText>
          </w:r>
          <w:r>
            <w:fldChar w:fldCharType="separate"/>
          </w:r>
          <w:r>
            <w:rPr>
              <w:rFonts w:ascii="Times New Roman" w:hAnsi="Times New Roman" w:eastAsia="Times New Roman" w:cs="Times New Roman"/>
              <w:spacing w:val="-1"/>
              <w:sz w:val="24"/>
              <w:szCs w:val="24"/>
            </w:rPr>
            <w:t xml:space="preserve">A4.7 </w:t>
          </w:r>
          <w:r>
            <w:rPr>
              <w:rFonts w:ascii="宋体" w:hAnsi="宋体" w:eastAsia="宋体" w:cs="宋体"/>
              <w:spacing w:val="-1"/>
              <w:sz w:val="24"/>
              <w:szCs w:val="24"/>
            </w:rPr>
            <w:t>汇总评分（评审）结果</w:t>
          </w:r>
          <w:r>
            <w:rPr>
              <w:rFonts w:ascii="宋体" w:hAnsi="宋体" w:eastAsia="宋体" w:cs="宋体"/>
              <w:spacing w:val="-61"/>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90</w:t>
          </w:r>
          <w:r>
            <w:rPr>
              <w:rFonts w:ascii="Times New Roman" w:hAnsi="Times New Roman" w:eastAsia="Times New Roman" w:cs="Times New Roman"/>
              <w:spacing w:val="1"/>
              <w:sz w:val="24"/>
              <w:szCs w:val="24"/>
            </w:rPr>
            <w:fldChar w:fldCharType="end"/>
          </w:r>
        </w:p>
        <w:p w14:paraId="154D19A4">
          <w:pPr>
            <w:tabs>
              <w:tab w:val="right" w:leader="dot" w:pos="8320"/>
            </w:tabs>
            <w:spacing w:before="133" w:line="185" w:lineRule="auto"/>
            <w:ind w:left="856"/>
            <w:rPr>
              <w:rFonts w:ascii="Times New Roman" w:hAnsi="Times New Roman" w:eastAsia="Times New Roman" w:cs="Times New Roman"/>
              <w:sz w:val="24"/>
              <w:szCs w:val="24"/>
            </w:rPr>
          </w:pPr>
          <w:r>
            <w:fldChar w:fldCharType="begin"/>
          </w:r>
          <w:r>
            <w:instrText xml:space="preserve"> HYPERLINK \l "bookmark133" </w:instrText>
          </w:r>
          <w:r>
            <w:fldChar w:fldCharType="separate"/>
          </w:r>
          <w:r>
            <w:rPr>
              <w:rFonts w:ascii="Times New Roman" w:hAnsi="Times New Roman" w:eastAsia="Times New Roman" w:cs="Times New Roman"/>
              <w:spacing w:val="-1"/>
              <w:sz w:val="24"/>
              <w:szCs w:val="24"/>
            </w:rPr>
            <w:t>A5.</w:t>
          </w:r>
          <w:r>
            <w:rPr>
              <w:rFonts w:ascii="宋体" w:hAnsi="宋体" w:eastAsia="宋体" w:cs="宋体"/>
              <w:spacing w:val="-1"/>
              <w:sz w:val="24"/>
              <w:szCs w:val="24"/>
            </w:rPr>
            <w:t>推荐中标候选人或者直接确定中标人</w:t>
          </w:r>
          <w:r>
            <w:rPr>
              <w:rFonts w:ascii="宋体" w:hAnsi="宋体" w:eastAsia="宋体" w:cs="宋体"/>
              <w:spacing w:val="-57"/>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90</w:t>
          </w:r>
          <w:r>
            <w:rPr>
              <w:rFonts w:ascii="Times New Roman" w:hAnsi="Times New Roman" w:eastAsia="Times New Roman" w:cs="Times New Roman"/>
              <w:spacing w:val="1"/>
              <w:sz w:val="24"/>
              <w:szCs w:val="24"/>
            </w:rPr>
            <w:fldChar w:fldCharType="end"/>
          </w:r>
        </w:p>
        <w:p w14:paraId="29202343">
          <w:pPr>
            <w:tabs>
              <w:tab w:val="right" w:leader="dot" w:pos="8320"/>
            </w:tabs>
            <w:spacing w:before="136" w:line="184" w:lineRule="auto"/>
            <w:ind w:left="1276"/>
            <w:rPr>
              <w:rFonts w:ascii="Times New Roman" w:hAnsi="Times New Roman" w:eastAsia="Times New Roman" w:cs="Times New Roman"/>
              <w:sz w:val="24"/>
              <w:szCs w:val="24"/>
            </w:rPr>
          </w:pPr>
          <w:r>
            <w:fldChar w:fldCharType="begin"/>
          </w:r>
          <w:r>
            <w:instrText xml:space="preserve"> HYPERLINK \l "bookmark134" </w:instrText>
          </w:r>
          <w:r>
            <w:fldChar w:fldCharType="separate"/>
          </w:r>
          <w:r>
            <w:rPr>
              <w:rFonts w:ascii="Times New Roman" w:hAnsi="Times New Roman" w:eastAsia="Times New Roman" w:cs="Times New Roman"/>
              <w:spacing w:val="-1"/>
              <w:sz w:val="24"/>
              <w:szCs w:val="24"/>
            </w:rPr>
            <w:t xml:space="preserve">A5.1 </w:t>
          </w:r>
          <w:r>
            <w:rPr>
              <w:rFonts w:ascii="宋体" w:hAnsi="宋体" w:eastAsia="宋体" w:cs="宋体"/>
              <w:spacing w:val="-1"/>
              <w:sz w:val="24"/>
              <w:szCs w:val="24"/>
            </w:rPr>
            <w:t>推荐中标候选人</w:t>
          </w:r>
          <w:r>
            <w:rPr>
              <w:rFonts w:ascii="宋体" w:hAnsi="宋体" w:eastAsia="宋体" w:cs="宋体"/>
              <w:spacing w:val="-64"/>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90</w:t>
          </w:r>
          <w:r>
            <w:rPr>
              <w:rFonts w:ascii="Times New Roman" w:hAnsi="Times New Roman" w:eastAsia="Times New Roman" w:cs="Times New Roman"/>
              <w:spacing w:val="1"/>
              <w:sz w:val="24"/>
              <w:szCs w:val="24"/>
            </w:rPr>
            <w:fldChar w:fldCharType="end"/>
          </w:r>
        </w:p>
        <w:p w14:paraId="52BA6B74">
          <w:pPr>
            <w:tabs>
              <w:tab w:val="right" w:leader="dot" w:pos="8320"/>
            </w:tabs>
            <w:spacing w:before="133" w:line="185" w:lineRule="auto"/>
            <w:ind w:left="1276"/>
            <w:rPr>
              <w:rFonts w:ascii="Times New Roman" w:hAnsi="Times New Roman" w:eastAsia="Times New Roman" w:cs="Times New Roman"/>
              <w:sz w:val="24"/>
              <w:szCs w:val="24"/>
            </w:rPr>
          </w:pPr>
          <w:r>
            <w:fldChar w:fldCharType="begin"/>
          </w:r>
          <w:r>
            <w:instrText xml:space="preserve"> HYPERLINK \l "bookmark135" </w:instrText>
          </w:r>
          <w:r>
            <w:fldChar w:fldCharType="separate"/>
          </w:r>
          <w:r>
            <w:rPr>
              <w:rFonts w:ascii="Times New Roman" w:hAnsi="Times New Roman" w:eastAsia="Times New Roman" w:cs="Times New Roman"/>
              <w:spacing w:val="-1"/>
              <w:sz w:val="24"/>
              <w:szCs w:val="24"/>
            </w:rPr>
            <w:t xml:space="preserve">A5.2 </w:t>
          </w:r>
          <w:r>
            <w:rPr>
              <w:rFonts w:ascii="宋体" w:hAnsi="宋体" w:eastAsia="宋体" w:cs="宋体"/>
              <w:spacing w:val="-1"/>
              <w:sz w:val="24"/>
              <w:szCs w:val="24"/>
            </w:rPr>
            <w:t>直接确定中标人</w:t>
          </w:r>
          <w:r>
            <w:rPr>
              <w:rFonts w:ascii="宋体" w:hAnsi="宋体" w:eastAsia="宋体" w:cs="宋体"/>
              <w:spacing w:val="-64"/>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90</w:t>
          </w:r>
          <w:r>
            <w:rPr>
              <w:rFonts w:ascii="Times New Roman" w:hAnsi="Times New Roman" w:eastAsia="Times New Roman" w:cs="Times New Roman"/>
              <w:spacing w:val="1"/>
              <w:sz w:val="24"/>
              <w:szCs w:val="24"/>
            </w:rPr>
            <w:fldChar w:fldCharType="end"/>
          </w:r>
        </w:p>
        <w:p w14:paraId="79DE8C1F">
          <w:pPr>
            <w:tabs>
              <w:tab w:val="right" w:leader="dot" w:pos="8320"/>
            </w:tabs>
            <w:spacing w:before="136" w:line="184" w:lineRule="auto"/>
            <w:ind w:left="1276"/>
            <w:rPr>
              <w:rFonts w:ascii="Times New Roman" w:hAnsi="Times New Roman" w:eastAsia="Times New Roman" w:cs="Times New Roman"/>
              <w:sz w:val="24"/>
              <w:szCs w:val="24"/>
            </w:rPr>
          </w:pPr>
          <w:r>
            <w:fldChar w:fldCharType="begin"/>
          </w:r>
          <w:r>
            <w:instrText xml:space="preserve"> HYPERLINK \l "bookmark136" </w:instrText>
          </w:r>
          <w:r>
            <w:fldChar w:fldCharType="separate"/>
          </w:r>
          <w:r>
            <w:rPr>
              <w:rFonts w:ascii="Times New Roman" w:hAnsi="Times New Roman" w:eastAsia="Times New Roman" w:cs="Times New Roman"/>
              <w:spacing w:val="-1"/>
              <w:sz w:val="24"/>
              <w:szCs w:val="24"/>
            </w:rPr>
            <w:t xml:space="preserve">A5.3 </w:t>
          </w:r>
          <w:r>
            <w:rPr>
              <w:rFonts w:ascii="宋体" w:hAnsi="宋体" w:eastAsia="宋体" w:cs="宋体"/>
              <w:spacing w:val="-1"/>
              <w:sz w:val="24"/>
              <w:szCs w:val="24"/>
            </w:rPr>
            <w:t>编制评标报告</w:t>
          </w:r>
          <w:r>
            <w:rPr>
              <w:rFonts w:ascii="宋体" w:hAnsi="宋体" w:eastAsia="宋体" w:cs="宋体"/>
              <w:spacing w:val="-65"/>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90</w:t>
          </w:r>
          <w:r>
            <w:rPr>
              <w:rFonts w:ascii="Times New Roman" w:hAnsi="Times New Roman" w:eastAsia="Times New Roman" w:cs="Times New Roman"/>
              <w:spacing w:val="1"/>
              <w:sz w:val="24"/>
              <w:szCs w:val="24"/>
            </w:rPr>
            <w:fldChar w:fldCharType="end"/>
          </w:r>
        </w:p>
        <w:p w14:paraId="0B18CB97">
          <w:pPr>
            <w:tabs>
              <w:tab w:val="right" w:leader="dot" w:pos="8320"/>
            </w:tabs>
            <w:spacing w:before="135" w:line="184" w:lineRule="auto"/>
            <w:ind w:left="856"/>
            <w:rPr>
              <w:rFonts w:ascii="Times New Roman" w:hAnsi="Times New Roman" w:eastAsia="Times New Roman" w:cs="Times New Roman"/>
              <w:sz w:val="24"/>
              <w:szCs w:val="24"/>
            </w:rPr>
          </w:pPr>
          <w:r>
            <w:fldChar w:fldCharType="begin"/>
          </w:r>
          <w:r>
            <w:instrText xml:space="preserve"> HYPERLINK \l "bookmark137" </w:instrText>
          </w:r>
          <w:r>
            <w:fldChar w:fldCharType="separate"/>
          </w:r>
          <w:r>
            <w:rPr>
              <w:rFonts w:ascii="Times New Roman" w:hAnsi="Times New Roman" w:eastAsia="Times New Roman" w:cs="Times New Roman"/>
              <w:spacing w:val="-1"/>
              <w:sz w:val="24"/>
              <w:szCs w:val="24"/>
            </w:rPr>
            <w:t>A6.</w:t>
          </w:r>
          <w:r>
            <w:rPr>
              <w:rFonts w:ascii="宋体" w:hAnsi="宋体" w:eastAsia="宋体" w:cs="宋体"/>
              <w:spacing w:val="-1"/>
              <w:sz w:val="24"/>
              <w:szCs w:val="24"/>
            </w:rPr>
            <w:t>特殊情况的处置程序</w:t>
          </w:r>
          <w:r>
            <w:rPr>
              <w:rFonts w:ascii="宋体" w:hAnsi="宋体" w:eastAsia="宋体" w:cs="宋体"/>
              <w:spacing w:val="-64"/>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91</w:t>
          </w:r>
          <w:r>
            <w:rPr>
              <w:rFonts w:ascii="Times New Roman" w:hAnsi="Times New Roman" w:eastAsia="Times New Roman" w:cs="Times New Roman"/>
              <w:spacing w:val="1"/>
              <w:sz w:val="24"/>
              <w:szCs w:val="24"/>
            </w:rPr>
            <w:fldChar w:fldCharType="end"/>
          </w:r>
        </w:p>
        <w:p w14:paraId="3E94CA2D">
          <w:pPr>
            <w:spacing w:before="133" w:line="185" w:lineRule="auto"/>
            <w:ind w:left="1276"/>
            <w:rPr>
              <w:rFonts w:ascii="宋体" w:hAnsi="宋体" w:eastAsia="宋体" w:cs="宋体"/>
              <w:sz w:val="24"/>
              <w:szCs w:val="24"/>
            </w:rPr>
          </w:pPr>
          <w:r>
            <w:fldChar w:fldCharType="begin"/>
          </w:r>
          <w:r>
            <w:instrText xml:space="preserve"> HYPERLINK \l "bookmark138" </w:instrText>
          </w:r>
          <w:r>
            <w:fldChar w:fldCharType="separate"/>
          </w:r>
          <w:r>
            <w:rPr>
              <w:rFonts w:ascii="Times New Roman" w:hAnsi="Times New Roman" w:eastAsia="Times New Roman" w:cs="Times New Roman"/>
              <w:spacing w:val="2"/>
              <w:sz w:val="24"/>
              <w:szCs w:val="24"/>
            </w:rPr>
            <w:t>A6.1</w:t>
          </w:r>
          <w:r>
            <w:rPr>
              <w:rFonts w:ascii="Times New Roman" w:hAnsi="Times New Roman" w:eastAsia="Times New Roman" w:cs="Times New Roman"/>
              <w:spacing w:val="32"/>
              <w:sz w:val="24"/>
              <w:szCs w:val="24"/>
            </w:rPr>
            <w:t xml:space="preserve"> </w:t>
          </w:r>
          <w:r>
            <w:rPr>
              <w:rFonts w:ascii="宋体" w:hAnsi="宋体" w:eastAsia="宋体" w:cs="宋体"/>
              <w:spacing w:val="2"/>
              <w:sz w:val="24"/>
              <w:szCs w:val="24"/>
            </w:rPr>
            <w:t>暗标评审的评审程序规定（适用于对施工组织设计进行暗</w:t>
          </w:r>
          <w:r>
            <w:rPr>
              <w:rFonts w:ascii="宋体" w:hAnsi="宋体" w:eastAsia="宋体" w:cs="宋体"/>
              <w:spacing w:val="2"/>
              <w:sz w:val="24"/>
              <w:szCs w:val="24"/>
            </w:rPr>
            <w:fldChar w:fldCharType="end"/>
          </w:r>
        </w:p>
        <w:p w14:paraId="111D8C06">
          <w:pPr>
            <w:tabs>
              <w:tab w:val="right" w:leader="dot" w:pos="8320"/>
            </w:tabs>
            <w:spacing w:before="67" w:line="374" w:lineRule="exact"/>
            <w:ind w:left="1824"/>
            <w:rPr>
              <w:rFonts w:ascii="Times New Roman" w:hAnsi="Times New Roman" w:eastAsia="Times New Roman" w:cs="Times New Roman"/>
              <w:sz w:val="24"/>
              <w:szCs w:val="24"/>
            </w:rPr>
          </w:pPr>
          <w:r>
            <w:rPr>
              <w:rFonts w:ascii="宋体" w:hAnsi="宋体" w:eastAsia="宋体" w:cs="宋体"/>
              <w:spacing w:val="-3"/>
              <w:position w:val="3"/>
              <w:sz w:val="24"/>
              <w:szCs w:val="24"/>
            </w:rPr>
            <w:t>标评审的）</w:t>
          </w:r>
          <w:r>
            <w:rPr>
              <w:rFonts w:ascii="宋体" w:hAnsi="宋体" w:eastAsia="宋体" w:cs="宋体"/>
              <w:spacing w:val="-71"/>
              <w:position w:val="3"/>
              <w:sz w:val="24"/>
              <w:szCs w:val="24"/>
            </w:rPr>
            <w:t xml:space="preserve"> </w:t>
          </w:r>
          <w:r>
            <w:rPr>
              <w:rFonts w:ascii="宋体" w:hAnsi="宋体" w:eastAsia="宋体" w:cs="宋体"/>
              <w:position w:val="3"/>
              <w:sz w:val="24"/>
              <w:szCs w:val="24"/>
            </w:rPr>
            <w:tab/>
          </w:r>
          <w:r>
            <w:rPr>
              <w:rFonts w:ascii="宋体" w:hAnsi="宋体" w:eastAsia="宋体" w:cs="宋体"/>
              <w:spacing w:val="-62"/>
              <w:position w:val="3"/>
              <w:sz w:val="24"/>
              <w:szCs w:val="24"/>
            </w:rPr>
            <w:t xml:space="preserve"> </w:t>
          </w:r>
          <w:r>
            <w:fldChar w:fldCharType="begin"/>
          </w:r>
          <w:r>
            <w:instrText xml:space="preserve"> HYPERLINK \l "bookmark139" </w:instrText>
          </w:r>
          <w:r>
            <w:fldChar w:fldCharType="separate"/>
          </w:r>
          <w:r>
            <w:rPr>
              <w:rFonts w:ascii="Times New Roman" w:hAnsi="Times New Roman" w:eastAsia="Times New Roman" w:cs="Times New Roman"/>
              <w:position w:val="3"/>
              <w:sz w:val="24"/>
              <w:szCs w:val="24"/>
            </w:rPr>
            <w:t>91</w:t>
          </w:r>
          <w:r>
            <w:rPr>
              <w:rFonts w:ascii="Times New Roman" w:hAnsi="Times New Roman" w:eastAsia="Times New Roman" w:cs="Times New Roman"/>
              <w:position w:val="3"/>
              <w:sz w:val="24"/>
              <w:szCs w:val="24"/>
            </w:rPr>
            <w:fldChar w:fldCharType="end"/>
          </w:r>
        </w:p>
        <w:p w14:paraId="0329B7C2">
          <w:pPr>
            <w:tabs>
              <w:tab w:val="right" w:leader="dot" w:pos="8320"/>
            </w:tabs>
            <w:spacing w:before="67" w:line="185" w:lineRule="auto"/>
            <w:ind w:left="1276"/>
            <w:rPr>
              <w:rFonts w:ascii="Times New Roman" w:hAnsi="Times New Roman" w:eastAsia="Times New Roman" w:cs="Times New Roman"/>
              <w:sz w:val="24"/>
              <w:szCs w:val="24"/>
            </w:rPr>
          </w:pPr>
          <w:r>
            <w:fldChar w:fldCharType="begin"/>
          </w:r>
          <w:r>
            <w:instrText xml:space="preserve"> HYPERLINK \l "bookmark140" </w:instrText>
          </w:r>
          <w:r>
            <w:fldChar w:fldCharType="separate"/>
          </w:r>
          <w:r>
            <w:rPr>
              <w:rFonts w:ascii="Times New Roman" w:hAnsi="Times New Roman" w:eastAsia="Times New Roman" w:cs="Times New Roman"/>
              <w:spacing w:val="-1"/>
              <w:sz w:val="24"/>
              <w:szCs w:val="24"/>
            </w:rPr>
            <w:t xml:space="preserve">A6.2 </w:t>
          </w:r>
          <w:r>
            <w:rPr>
              <w:rFonts w:ascii="宋体" w:hAnsi="宋体" w:eastAsia="宋体" w:cs="宋体"/>
              <w:spacing w:val="-1"/>
              <w:sz w:val="24"/>
              <w:szCs w:val="24"/>
            </w:rPr>
            <w:t>关于评标活动暂停</w:t>
          </w:r>
          <w:r>
            <w:rPr>
              <w:rFonts w:ascii="宋体" w:hAnsi="宋体" w:eastAsia="宋体" w:cs="宋体"/>
              <w:spacing w:val="-63"/>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91</w:t>
          </w:r>
          <w:r>
            <w:rPr>
              <w:rFonts w:ascii="Times New Roman" w:hAnsi="Times New Roman" w:eastAsia="Times New Roman" w:cs="Times New Roman"/>
              <w:spacing w:val="1"/>
              <w:sz w:val="24"/>
              <w:szCs w:val="24"/>
            </w:rPr>
            <w:fldChar w:fldCharType="end"/>
          </w:r>
        </w:p>
        <w:p w14:paraId="18AB08B6">
          <w:pPr>
            <w:tabs>
              <w:tab w:val="right" w:leader="dot" w:pos="8320"/>
            </w:tabs>
            <w:spacing w:before="137" w:line="184" w:lineRule="auto"/>
            <w:ind w:left="1276"/>
            <w:rPr>
              <w:rFonts w:ascii="Times New Roman" w:hAnsi="Times New Roman" w:eastAsia="Times New Roman" w:cs="Times New Roman"/>
              <w:sz w:val="24"/>
              <w:szCs w:val="24"/>
            </w:rPr>
          </w:pPr>
          <w:r>
            <w:fldChar w:fldCharType="begin"/>
          </w:r>
          <w:r>
            <w:instrText xml:space="preserve"> HYPERLINK \l "bookmark141" </w:instrText>
          </w:r>
          <w:r>
            <w:fldChar w:fldCharType="separate"/>
          </w:r>
          <w:r>
            <w:rPr>
              <w:rFonts w:ascii="Times New Roman" w:hAnsi="Times New Roman" w:eastAsia="Times New Roman" w:cs="Times New Roman"/>
              <w:spacing w:val="-1"/>
              <w:sz w:val="24"/>
              <w:szCs w:val="24"/>
            </w:rPr>
            <w:t xml:space="preserve">A6.3 </w:t>
          </w:r>
          <w:r>
            <w:rPr>
              <w:rFonts w:ascii="宋体" w:hAnsi="宋体" w:eastAsia="宋体" w:cs="宋体"/>
              <w:spacing w:val="-1"/>
              <w:sz w:val="24"/>
              <w:szCs w:val="24"/>
            </w:rPr>
            <w:t>关于评标中途更换评标委员会成员</w:t>
          </w:r>
          <w:r>
            <w:rPr>
              <w:rFonts w:ascii="宋体" w:hAnsi="宋体" w:eastAsia="宋体" w:cs="宋体"/>
              <w:spacing w:val="-56"/>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91</w:t>
          </w:r>
          <w:r>
            <w:rPr>
              <w:rFonts w:ascii="Times New Roman" w:hAnsi="Times New Roman" w:eastAsia="Times New Roman" w:cs="Times New Roman"/>
              <w:spacing w:val="1"/>
              <w:sz w:val="24"/>
              <w:szCs w:val="24"/>
            </w:rPr>
            <w:fldChar w:fldCharType="end"/>
          </w:r>
        </w:p>
        <w:p w14:paraId="74C81706">
          <w:pPr>
            <w:tabs>
              <w:tab w:val="right" w:leader="dot" w:pos="8320"/>
            </w:tabs>
            <w:spacing w:before="135" w:line="184" w:lineRule="auto"/>
            <w:ind w:left="1276"/>
            <w:rPr>
              <w:rFonts w:ascii="Times New Roman" w:hAnsi="Times New Roman" w:eastAsia="Times New Roman" w:cs="Times New Roman"/>
              <w:sz w:val="24"/>
              <w:szCs w:val="24"/>
            </w:rPr>
          </w:pPr>
          <w:r>
            <w:fldChar w:fldCharType="begin"/>
          </w:r>
          <w:r>
            <w:instrText xml:space="preserve"> HYPERLINK \l "bookmark142" </w:instrText>
          </w:r>
          <w:r>
            <w:fldChar w:fldCharType="separate"/>
          </w:r>
          <w:r>
            <w:rPr>
              <w:rFonts w:ascii="Times New Roman" w:hAnsi="Times New Roman" w:eastAsia="Times New Roman" w:cs="Times New Roman"/>
              <w:spacing w:val="-1"/>
              <w:sz w:val="24"/>
              <w:szCs w:val="24"/>
            </w:rPr>
            <w:t xml:space="preserve">A6.4 </w:t>
          </w:r>
          <w:r>
            <w:rPr>
              <w:rFonts w:ascii="宋体" w:hAnsi="宋体" w:eastAsia="宋体" w:cs="宋体"/>
              <w:spacing w:val="-1"/>
              <w:sz w:val="24"/>
              <w:szCs w:val="24"/>
            </w:rPr>
            <w:t>评标争议处理</w:t>
          </w:r>
          <w:r>
            <w:rPr>
              <w:rFonts w:ascii="宋体" w:hAnsi="宋体" w:eastAsia="宋体" w:cs="宋体"/>
              <w:spacing w:val="-65"/>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92</w:t>
          </w:r>
          <w:r>
            <w:rPr>
              <w:rFonts w:ascii="Times New Roman" w:hAnsi="Times New Roman" w:eastAsia="Times New Roman" w:cs="Times New Roman"/>
              <w:spacing w:val="1"/>
              <w:sz w:val="24"/>
              <w:szCs w:val="24"/>
            </w:rPr>
            <w:fldChar w:fldCharType="end"/>
          </w:r>
        </w:p>
        <w:p w14:paraId="69DB9D93">
          <w:pPr>
            <w:tabs>
              <w:tab w:val="right" w:leader="dot" w:pos="8320"/>
            </w:tabs>
            <w:spacing w:before="133" w:line="185" w:lineRule="auto"/>
            <w:ind w:left="856"/>
            <w:rPr>
              <w:rFonts w:ascii="Times New Roman" w:hAnsi="Times New Roman" w:eastAsia="Times New Roman" w:cs="Times New Roman"/>
              <w:sz w:val="24"/>
              <w:szCs w:val="24"/>
            </w:rPr>
          </w:pPr>
          <w:r>
            <w:fldChar w:fldCharType="begin"/>
          </w:r>
          <w:r>
            <w:instrText xml:space="preserve"> HYPERLINK \l "bookmark143" </w:instrText>
          </w:r>
          <w:r>
            <w:fldChar w:fldCharType="separate"/>
          </w:r>
          <w:r>
            <w:rPr>
              <w:rFonts w:ascii="Times New Roman" w:hAnsi="Times New Roman" w:eastAsia="Times New Roman" w:cs="Times New Roman"/>
              <w:spacing w:val="-1"/>
              <w:sz w:val="24"/>
              <w:szCs w:val="24"/>
            </w:rPr>
            <w:t>A7.</w:t>
          </w:r>
          <w:r>
            <w:rPr>
              <w:rFonts w:ascii="宋体" w:hAnsi="宋体" w:eastAsia="宋体" w:cs="宋体"/>
              <w:spacing w:val="-1"/>
              <w:sz w:val="24"/>
              <w:szCs w:val="24"/>
            </w:rPr>
            <w:t>补充条款</w:t>
          </w:r>
          <w:r>
            <w:rPr>
              <w:rFonts w:ascii="宋体" w:hAnsi="宋体" w:eastAsia="宋体" w:cs="宋体"/>
              <w:spacing w:val="-69"/>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92</w:t>
          </w:r>
          <w:r>
            <w:rPr>
              <w:rFonts w:ascii="Times New Roman" w:hAnsi="Times New Roman" w:eastAsia="Times New Roman" w:cs="Times New Roman"/>
              <w:spacing w:val="1"/>
              <w:sz w:val="24"/>
              <w:szCs w:val="24"/>
            </w:rPr>
            <w:fldChar w:fldCharType="end"/>
          </w:r>
        </w:p>
        <w:p w14:paraId="32770430">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"bookmark144" </w:instrText>
          </w:r>
          <w:r>
            <w:fldChar w:fldCharType="separate"/>
          </w:r>
          <w:r>
            <w:rPr>
              <w:rFonts w:ascii="宋体" w:hAnsi="宋体" w:eastAsia="宋体" w:cs="宋体"/>
              <w:spacing w:val="-4"/>
              <w:sz w:val="24"/>
              <w:szCs w:val="24"/>
            </w:rPr>
            <w:t>附件</w:t>
          </w:r>
          <w:r>
            <w:rPr>
              <w:rFonts w:ascii="宋体" w:hAnsi="宋体" w:eastAsia="宋体" w:cs="宋体"/>
              <w:spacing w:val="-47"/>
              <w:sz w:val="24"/>
              <w:szCs w:val="24"/>
            </w:rPr>
            <w:t xml:space="preserve"> </w:t>
          </w:r>
          <w:r>
            <w:rPr>
              <w:rFonts w:ascii="Times New Roman" w:hAnsi="Times New Roman" w:eastAsia="Times New Roman" w:cs="Times New Roman"/>
              <w:spacing w:val="-4"/>
              <w:sz w:val="24"/>
              <w:szCs w:val="24"/>
            </w:rPr>
            <w:t>B:</w:t>
          </w:r>
          <w:r>
            <w:rPr>
              <w:rFonts w:ascii="宋体" w:hAnsi="宋体" w:eastAsia="宋体" w:cs="宋体"/>
              <w:spacing w:val="-4"/>
              <w:sz w:val="24"/>
              <w:szCs w:val="24"/>
            </w:rPr>
            <w:t>否决投标的条件</w:t>
          </w:r>
          <w:r>
            <w:rPr>
              <w:rFonts w:ascii="宋体" w:hAnsi="宋体" w:eastAsia="宋体" w:cs="宋体"/>
              <w:spacing w:val="-71"/>
              <w:sz w:val="24"/>
              <w:szCs w:val="24"/>
            </w:rPr>
            <w:t xml:space="preserve"> </w:t>
          </w:r>
          <w:r>
            <w:rPr>
              <w:rFonts w:ascii="宋体" w:hAnsi="宋体" w:eastAsia="宋体" w:cs="宋体"/>
              <w:sz w:val="24"/>
              <w:szCs w:val="24"/>
            </w:rPr>
            <w:tab/>
          </w:r>
          <w:r>
            <w:rPr>
              <w:rFonts w:ascii="Times New Roman" w:hAnsi="Times New Roman" w:eastAsia="Times New Roman" w:cs="Times New Roman"/>
              <w:spacing w:val="5"/>
              <w:sz w:val="24"/>
              <w:szCs w:val="24"/>
            </w:rPr>
            <w:t>93</w:t>
          </w:r>
          <w:r>
            <w:rPr>
              <w:rFonts w:ascii="Times New Roman" w:hAnsi="Times New Roman" w:eastAsia="Times New Roman" w:cs="Times New Roman"/>
              <w:spacing w:val="5"/>
              <w:sz w:val="24"/>
              <w:szCs w:val="24"/>
            </w:rPr>
            <w:fldChar w:fldCharType="end"/>
          </w:r>
        </w:p>
        <w:p w14:paraId="1F314500">
          <w:pPr>
            <w:tabs>
              <w:tab w:val="right" w:leader="dot" w:pos="8320"/>
            </w:tabs>
            <w:spacing w:before="133" w:line="185" w:lineRule="auto"/>
            <w:ind w:left="858"/>
            <w:rPr>
              <w:rFonts w:ascii="Times New Roman" w:hAnsi="Times New Roman" w:eastAsia="Times New Roman" w:cs="Times New Roman"/>
              <w:sz w:val="24"/>
              <w:szCs w:val="24"/>
            </w:rPr>
          </w:pPr>
          <w:r>
            <w:fldChar w:fldCharType="begin"/>
          </w:r>
          <w:r>
            <w:instrText xml:space="preserve"> HYPERLINK \l "bookmark145" </w:instrText>
          </w:r>
          <w:r>
            <w:fldChar w:fldCharType="separate"/>
          </w:r>
          <w:r>
            <w:rPr>
              <w:rFonts w:ascii="Times New Roman" w:hAnsi="Times New Roman" w:eastAsia="Times New Roman" w:cs="Times New Roman"/>
              <w:spacing w:val="-4"/>
              <w:sz w:val="24"/>
              <w:szCs w:val="24"/>
            </w:rPr>
            <w:t>B0.</w:t>
          </w:r>
          <w:r>
            <w:rPr>
              <w:rFonts w:ascii="宋体" w:hAnsi="宋体" w:eastAsia="宋体" w:cs="宋体"/>
              <w:spacing w:val="-4"/>
              <w:sz w:val="24"/>
              <w:szCs w:val="24"/>
            </w:rPr>
            <w:t>总</w:t>
          </w:r>
          <w:r>
            <w:rPr>
              <w:rFonts w:ascii="宋体" w:hAnsi="宋体" w:eastAsia="宋体" w:cs="宋体"/>
              <w:spacing w:val="7"/>
              <w:sz w:val="24"/>
              <w:szCs w:val="24"/>
            </w:rPr>
            <w:t xml:space="preserve">  </w:t>
          </w:r>
          <w:r>
            <w:rPr>
              <w:rFonts w:ascii="宋体" w:hAnsi="宋体" w:eastAsia="宋体" w:cs="宋体"/>
              <w:spacing w:val="-4"/>
              <w:sz w:val="24"/>
              <w:szCs w:val="24"/>
            </w:rPr>
            <w:t>则</w:t>
          </w:r>
          <w:r>
            <w:rPr>
              <w:rFonts w:ascii="宋体" w:hAnsi="宋体" w:eastAsia="宋体" w:cs="宋体"/>
              <w:spacing w:val="-73"/>
              <w:sz w:val="24"/>
              <w:szCs w:val="24"/>
            </w:rPr>
            <w:t xml:space="preserve"> </w:t>
          </w:r>
          <w:r>
            <w:rPr>
              <w:rFonts w:ascii="宋体" w:hAnsi="宋体" w:eastAsia="宋体" w:cs="宋体"/>
              <w:sz w:val="24"/>
              <w:szCs w:val="24"/>
            </w:rPr>
            <w:tab/>
          </w:r>
          <w:r>
            <w:rPr>
              <w:rFonts w:ascii="Times New Roman" w:hAnsi="Times New Roman" w:eastAsia="Times New Roman" w:cs="Times New Roman"/>
              <w:spacing w:val="8"/>
              <w:sz w:val="24"/>
              <w:szCs w:val="24"/>
            </w:rPr>
            <w:t>93</w:t>
          </w:r>
          <w:r>
            <w:rPr>
              <w:rFonts w:ascii="Times New Roman" w:hAnsi="Times New Roman" w:eastAsia="Times New Roman" w:cs="Times New Roman"/>
              <w:spacing w:val="8"/>
              <w:sz w:val="24"/>
              <w:szCs w:val="24"/>
            </w:rPr>
            <w:fldChar w:fldCharType="end"/>
          </w:r>
        </w:p>
        <w:p w14:paraId="0ADE5333">
          <w:pPr>
            <w:tabs>
              <w:tab w:val="right" w:leader="dot" w:pos="8320"/>
            </w:tabs>
            <w:spacing w:before="136" w:line="184" w:lineRule="auto"/>
            <w:ind w:left="858"/>
            <w:rPr>
              <w:rFonts w:ascii="Times New Roman" w:hAnsi="Times New Roman" w:eastAsia="Times New Roman" w:cs="Times New Roman"/>
              <w:sz w:val="24"/>
              <w:szCs w:val="24"/>
            </w:rPr>
          </w:pPr>
          <w:r>
            <w:fldChar w:fldCharType="begin"/>
          </w:r>
          <w:r>
            <w:instrText xml:space="preserve"> HYPERLINK \l "bookmark146" </w:instrText>
          </w:r>
          <w:r>
            <w:fldChar w:fldCharType="separate"/>
          </w:r>
          <w:r>
            <w:rPr>
              <w:rFonts w:ascii="Times New Roman" w:hAnsi="Times New Roman" w:eastAsia="Times New Roman" w:cs="Times New Roman"/>
              <w:spacing w:val="-1"/>
              <w:sz w:val="24"/>
              <w:szCs w:val="24"/>
            </w:rPr>
            <w:t>B1.</w:t>
          </w:r>
          <w:r>
            <w:rPr>
              <w:rFonts w:ascii="宋体" w:hAnsi="宋体" w:eastAsia="宋体" w:cs="宋体"/>
              <w:spacing w:val="-1"/>
              <w:sz w:val="24"/>
              <w:szCs w:val="24"/>
            </w:rPr>
            <w:t>否决投标的条件</w:t>
          </w:r>
          <w:r>
            <w:rPr>
              <w:rFonts w:ascii="宋体" w:hAnsi="宋体" w:eastAsia="宋体" w:cs="宋体"/>
              <w:spacing w:val="-69"/>
              <w:sz w:val="24"/>
              <w:szCs w:val="24"/>
            </w:rPr>
            <w:t xml:space="preserve"> </w:t>
          </w:r>
          <w:r>
            <w:rPr>
              <w:rFonts w:ascii="宋体" w:hAnsi="宋体" w:eastAsia="宋体" w:cs="宋体"/>
              <w:sz w:val="24"/>
              <w:szCs w:val="24"/>
            </w:rPr>
            <w:tab/>
          </w:r>
          <w:r>
            <w:rPr>
              <w:rFonts w:ascii="Times New Roman" w:hAnsi="Times New Roman" w:eastAsia="Times New Roman" w:cs="Times New Roman"/>
              <w:spacing w:val="8"/>
              <w:sz w:val="24"/>
              <w:szCs w:val="24"/>
            </w:rPr>
            <w:t>93</w:t>
          </w:r>
          <w:r>
            <w:rPr>
              <w:rFonts w:ascii="Times New Roman" w:hAnsi="Times New Roman" w:eastAsia="Times New Roman" w:cs="Times New Roman"/>
              <w:spacing w:val="8"/>
              <w:sz w:val="24"/>
              <w:szCs w:val="24"/>
            </w:rPr>
            <w:fldChar w:fldCharType="end"/>
          </w:r>
        </w:p>
        <w:p w14:paraId="7C177B54">
          <w:pPr>
            <w:tabs>
              <w:tab w:val="right" w:leader="dot" w:pos="8320"/>
            </w:tabs>
            <w:spacing w:before="135" w:line="218" w:lineRule="auto"/>
            <w:ind w:left="462"/>
            <w:rPr>
              <w:rFonts w:ascii="Times New Roman" w:hAnsi="Times New Roman" w:eastAsia="Times New Roman" w:cs="Times New Roman"/>
              <w:sz w:val="24"/>
              <w:szCs w:val="24"/>
            </w:rPr>
          </w:pPr>
          <w:r>
            <w:fldChar w:fldCharType="begin"/>
          </w:r>
          <w:r>
            <w:instrText xml:space="preserve"> HYPERLINK \l "bookmark147" </w:instrText>
          </w:r>
          <w:r>
            <w:fldChar w:fldCharType="separate"/>
          </w:r>
          <w:r>
            <w:rPr>
              <w:rFonts w:ascii="宋体" w:hAnsi="宋体" w:eastAsia="宋体" w:cs="宋体"/>
              <w:spacing w:val="-5"/>
              <w:sz w:val="24"/>
              <w:szCs w:val="24"/>
            </w:rPr>
            <w:t>附件</w:t>
          </w:r>
          <w:r>
            <w:rPr>
              <w:rFonts w:ascii="宋体" w:hAnsi="宋体" w:eastAsia="宋体" w:cs="宋体"/>
              <w:spacing w:val="-51"/>
              <w:sz w:val="24"/>
              <w:szCs w:val="24"/>
            </w:rPr>
            <w:t xml:space="preserve"> </w:t>
          </w:r>
          <w:r>
            <w:rPr>
              <w:rFonts w:ascii="Times New Roman" w:hAnsi="Times New Roman" w:eastAsia="Times New Roman" w:cs="Times New Roman"/>
              <w:spacing w:val="-5"/>
              <w:sz w:val="24"/>
              <w:szCs w:val="24"/>
            </w:rPr>
            <w:t>C:</w:t>
          </w:r>
          <w:r>
            <w:rPr>
              <w:rFonts w:ascii="宋体" w:hAnsi="宋体" w:eastAsia="宋体" w:cs="宋体"/>
              <w:spacing w:val="-5"/>
              <w:sz w:val="24"/>
              <w:szCs w:val="24"/>
            </w:rPr>
            <w:t>清标报告</w:t>
          </w:r>
          <w:r>
            <w:rPr>
              <w:rFonts w:ascii="宋体" w:hAnsi="宋体" w:eastAsia="宋体" w:cs="宋体"/>
              <w:spacing w:val="-71"/>
              <w:sz w:val="24"/>
              <w:szCs w:val="24"/>
            </w:rPr>
            <w:t xml:space="preserve"> </w:t>
          </w:r>
          <w:r>
            <w:rPr>
              <w:rFonts w:ascii="宋体" w:hAnsi="宋体" w:eastAsia="宋体" w:cs="宋体"/>
              <w:sz w:val="24"/>
              <w:szCs w:val="24"/>
            </w:rPr>
            <w:tab/>
          </w:r>
          <w:r>
            <w:rPr>
              <w:rFonts w:ascii="Times New Roman" w:hAnsi="Times New Roman" w:eastAsia="Times New Roman" w:cs="Times New Roman"/>
              <w:spacing w:val="5"/>
              <w:sz w:val="24"/>
              <w:szCs w:val="24"/>
            </w:rPr>
            <w:t>94</w:t>
          </w:r>
          <w:r>
            <w:rPr>
              <w:rFonts w:ascii="Times New Roman" w:hAnsi="Times New Roman" w:eastAsia="Times New Roman" w:cs="Times New Roman"/>
              <w:spacing w:val="5"/>
              <w:sz w:val="24"/>
              <w:szCs w:val="24"/>
            </w:rPr>
            <w:fldChar w:fldCharType="end"/>
          </w:r>
        </w:p>
      </w:sdtContent>
    </w:sdt>
    <w:p w14:paraId="323B45CE">
      <w:pPr>
        <w:spacing w:line="218" w:lineRule="auto"/>
        <w:rPr>
          <w:rFonts w:ascii="Times New Roman" w:hAnsi="Times New Roman" w:eastAsia="Times New Roman" w:cs="Times New Roman"/>
          <w:sz w:val="24"/>
          <w:szCs w:val="24"/>
        </w:rPr>
        <w:sectPr>
          <w:footerReference r:id="rId13" w:type="default"/>
          <w:pgSz w:w="11906" w:h="16839"/>
          <w:pgMar w:top="1431" w:right="1785" w:bottom="1153" w:left="1785" w:header="0" w:footer="994" w:gutter="0"/>
          <w:cols w:space="720" w:num="1"/>
        </w:sectPr>
      </w:pPr>
    </w:p>
    <w:sdt>
      <w:sdtPr>
        <w:rPr>
          <w:rFonts w:ascii="Times New Roman" w:hAnsi="Times New Roman" w:eastAsia="Times New Roman" w:cs="Times New Roman"/>
          <w:sz w:val="24"/>
          <w:szCs w:val="24"/>
        </w:rPr>
        <w:id w:val="147453541"/>
        <w:docPartObj>
          <w:docPartGallery w:val="Table of Contents"/>
          <w:docPartUnique/>
        </w:docPartObj>
      </w:sdtPr>
      <w:sdtEndPr>
        <w:rPr>
          <w:rFonts w:ascii="Times New Roman" w:hAnsi="Times New Roman" w:eastAsia="Times New Roman" w:cs="Times New Roman"/>
          <w:sz w:val="24"/>
          <w:szCs w:val="24"/>
        </w:rPr>
      </w:sdtEndPr>
      <w:sdtContent>
        <w:p w14:paraId="6BA2F91A">
          <w:pPr>
            <w:tabs>
              <w:tab w:val="right" w:leader="dot" w:pos="8320"/>
            </w:tabs>
            <w:spacing w:before="77" w:line="184" w:lineRule="auto"/>
            <w:ind w:left="862"/>
            <w:rPr>
              <w:rFonts w:ascii="Times New Roman" w:hAnsi="Times New Roman" w:eastAsia="Times New Roman" w:cs="Times New Roman"/>
              <w:sz w:val="24"/>
              <w:szCs w:val="24"/>
            </w:rPr>
          </w:pPr>
          <w:r>
            <w:fldChar w:fldCharType="begin"/>
          </w:r>
          <w:r>
            <w:instrText xml:space="preserve"> HYPERLINK \l "bookmark148" </w:instrText>
          </w:r>
          <w:r>
            <w:fldChar w:fldCharType="separate"/>
          </w:r>
          <w:r>
            <w:rPr>
              <w:rFonts w:ascii="Times New Roman" w:hAnsi="Times New Roman" w:eastAsia="Times New Roman" w:cs="Times New Roman"/>
              <w:spacing w:val="-5"/>
              <w:sz w:val="24"/>
              <w:szCs w:val="24"/>
            </w:rPr>
            <w:t>C0.</w:t>
          </w:r>
          <w:r>
            <w:rPr>
              <w:rFonts w:ascii="宋体" w:hAnsi="宋体" w:eastAsia="宋体" w:cs="宋体"/>
              <w:spacing w:val="-5"/>
              <w:sz w:val="24"/>
              <w:szCs w:val="24"/>
            </w:rPr>
            <w:t>总</w:t>
          </w:r>
          <w:r>
            <w:rPr>
              <w:rFonts w:ascii="宋体" w:hAnsi="宋体" w:eastAsia="宋体" w:cs="宋体"/>
              <w:spacing w:val="8"/>
              <w:sz w:val="24"/>
              <w:szCs w:val="24"/>
            </w:rPr>
            <w:t xml:space="preserve">  </w:t>
          </w:r>
          <w:r>
            <w:rPr>
              <w:rFonts w:ascii="宋体" w:hAnsi="宋体" w:eastAsia="宋体" w:cs="宋体"/>
              <w:spacing w:val="-5"/>
              <w:sz w:val="24"/>
              <w:szCs w:val="24"/>
            </w:rPr>
            <w:t>则</w:t>
          </w:r>
          <w:r>
            <w:rPr>
              <w:rFonts w:ascii="宋体" w:hAnsi="宋体" w:eastAsia="宋体" w:cs="宋体"/>
              <w:spacing w:val="-75"/>
              <w:sz w:val="24"/>
              <w:szCs w:val="24"/>
            </w:rPr>
            <w:t xml:space="preserve"> </w:t>
          </w:r>
          <w:r>
            <w:rPr>
              <w:rFonts w:ascii="宋体" w:hAnsi="宋体" w:eastAsia="宋体" w:cs="宋体"/>
              <w:sz w:val="24"/>
              <w:szCs w:val="24"/>
            </w:rPr>
            <w:tab/>
          </w:r>
          <w:r>
            <w:rPr>
              <w:rFonts w:ascii="Times New Roman" w:hAnsi="Times New Roman" w:eastAsia="Times New Roman" w:cs="Times New Roman"/>
              <w:spacing w:val="8"/>
              <w:sz w:val="24"/>
              <w:szCs w:val="24"/>
            </w:rPr>
            <w:t>94</w:t>
          </w:r>
          <w:r>
            <w:rPr>
              <w:rFonts w:ascii="Times New Roman" w:hAnsi="Times New Roman" w:eastAsia="Times New Roman" w:cs="Times New Roman"/>
              <w:spacing w:val="8"/>
              <w:sz w:val="24"/>
              <w:szCs w:val="24"/>
            </w:rPr>
            <w:fldChar w:fldCharType="end"/>
          </w:r>
        </w:p>
        <w:p w14:paraId="1C091E21">
          <w:pPr>
            <w:tabs>
              <w:tab w:val="right" w:leader="dot" w:pos="8320"/>
            </w:tabs>
            <w:spacing w:before="135" w:line="184" w:lineRule="auto"/>
            <w:ind w:left="862"/>
            <w:rPr>
              <w:rFonts w:ascii="Times New Roman" w:hAnsi="Times New Roman" w:eastAsia="Times New Roman" w:cs="Times New Roman"/>
              <w:sz w:val="24"/>
              <w:szCs w:val="24"/>
            </w:rPr>
          </w:pPr>
          <w:r>
            <w:fldChar w:fldCharType="begin"/>
          </w:r>
          <w:r>
            <w:instrText xml:space="preserve"> HYPERLINK \l "bookmark149" </w:instrText>
          </w:r>
          <w:r>
            <w:fldChar w:fldCharType="separate"/>
          </w:r>
          <w:r>
            <w:rPr>
              <w:rFonts w:ascii="Times New Roman" w:hAnsi="Times New Roman" w:eastAsia="Times New Roman" w:cs="Times New Roman"/>
              <w:spacing w:val="-2"/>
              <w:sz w:val="24"/>
              <w:szCs w:val="24"/>
            </w:rPr>
            <w:t>C1.</w:t>
          </w:r>
          <w:r>
            <w:rPr>
              <w:rFonts w:ascii="宋体" w:hAnsi="宋体" w:eastAsia="宋体" w:cs="宋体"/>
              <w:spacing w:val="-2"/>
              <w:sz w:val="24"/>
              <w:szCs w:val="24"/>
            </w:rPr>
            <w:t>清标程序</w:t>
          </w:r>
          <w:r>
            <w:rPr>
              <w:rFonts w:ascii="宋体" w:hAnsi="宋体" w:eastAsia="宋体" w:cs="宋体"/>
              <w:spacing w:val="-70"/>
              <w:sz w:val="24"/>
              <w:szCs w:val="24"/>
            </w:rPr>
            <w:t xml:space="preserve"> </w:t>
          </w:r>
          <w:r>
            <w:rPr>
              <w:rFonts w:ascii="宋体" w:hAnsi="宋体" w:eastAsia="宋体" w:cs="宋体"/>
              <w:sz w:val="24"/>
              <w:szCs w:val="24"/>
            </w:rPr>
            <w:tab/>
          </w:r>
          <w:r>
            <w:rPr>
              <w:rFonts w:ascii="Times New Roman" w:hAnsi="Times New Roman" w:eastAsia="Times New Roman" w:cs="Times New Roman"/>
              <w:spacing w:val="8"/>
              <w:sz w:val="24"/>
              <w:szCs w:val="24"/>
            </w:rPr>
            <w:t>94</w:t>
          </w:r>
          <w:r>
            <w:rPr>
              <w:rFonts w:ascii="Times New Roman" w:hAnsi="Times New Roman" w:eastAsia="Times New Roman" w:cs="Times New Roman"/>
              <w:spacing w:val="8"/>
              <w:sz w:val="24"/>
              <w:szCs w:val="24"/>
            </w:rPr>
            <w:fldChar w:fldCharType="end"/>
          </w:r>
        </w:p>
        <w:p w14:paraId="2D6E6C86">
          <w:pPr>
            <w:tabs>
              <w:tab w:val="right" w:leader="dot" w:pos="8320"/>
            </w:tabs>
            <w:spacing w:before="132" w:line="185" w:lineRule="auto"/>
            <w:ind w:left="862"/>
            <w:rPr>
              <w:rFonts w:ascii="Times New Roman" w:hAnsi="Times New Roman" w:eastAsia="Times New Roman" w:cs="Times New Roman"/>
              <w:sz w:val="24"/>
              <w:szCs w:val="24"/>
            </w:rPr>
          </w:pPr>
          <w:r>
            <w:fldChar w:fldCharType="begin"/>
          </w:r>
          <w:r>
            <w:instrText xml:space="preserve"> HYPERLINK \l "bookmark150" </w:instrText>
          </w:r>
          <w:r>
            <w:fldChar w:fldCharType="separate"/>
          </w:r>
          <w:r>
            <w:rPr>
              <w:rFonts w:ascii="Times New Roman" w:hAnsi="Times New Roman" w:eastAsia="Times New Roman" w:cs="Times New Roman"/>
              <w:spacing w:val="-2"/>
              <w:sz w:val="24"/>
              <w:szCs w:val="24"/>
            </w:rPr>
            <w:t>C2.</w:t>
          </w:r>
          <w:r>
            <w:rPr>
              <w:rFonts w:ascii="宋体" w:hAnsi="宋体" w:eastAsia="宋体" w:cs="宋体"/>
              <w:spacing w:val="-2"/>
              <w:sz w:val="24"/>
              <w:szCs w:val="24"/>
            </w:rPr>
            <w:t>清标内容</w:t>
          </w:r>
          <w:r>
            <w:rPr>
              <w:rFonts w:ascii="宋体" w:hAnsi="宋体" w:eastAsia="宋体" w:cs="宋体"/>
              <w:spacing w:val="-70"/>
              <w:sz w:val="24"/>
              <w:szCs w:val="24"/>
            </w:rPr>
            <w:t xml:space="preserve"> </w:t>
          </w:r>
          <w:r>
            <w:rPr>
              <w:rFonts w:ascii="宋体" w:hAnsi="宋体" w:eastAsia="宋体" w:cs="宋体"/>
              <w:sz w:val="24"/>
              <w:szCs w:val="24"/>
            </w:rPr>
            <w:tab/>
          </w:r>
          <w:r>
            <w:rPr>
              <w:rFonts w:ascii="Times New Roman" w:hAnsi="Times New Roman" w:eastAsia="Times New Roman" w:cs="Times New Roman"/>
              <w:spacing w:val="8"/>
              <w:sz w:val="24"/>
              <w:szCs w:val="24"/>
            </w:rPr>
            <w:t>94</w:t>
          </w:r>
          <w:r>
            <w:rPr>
              <w:rFonts w:ascii="Times New Roman" w:hAnsi="Times New Roman" w:eastAsia="Times New Roman" w:cs="Times New Roman"/>
              <w:spacing w:val="8"/>
              <w:sz w:val="24"/>
              <w:szCs w:val="24"/>
            </w:rPr>
            <w:fldChar w:fldCharType="end"/>
          </w:r>
        </w:p>
        <w:p w14:paraId="28C05B30">
          <w:pPr>
            <w:tabs>
              <w:tab w:val="right" w:leader="dot" w:pos="8320"/>
            </w:tabs>
            <w:spacing w:before="136" w:line="184" w:lineRule="auto"/>
            <w:ind w:left="1282"/>
            <w:rPr>
              <w:rFonts w:ascii="Times New Roman" w:hAnsi="Times New Roman" w:eastAsia="Times New Roman" w:cs="Times New Roman"/>
              <w:sz w:val="24"/>
              <w:szCs w:val="24"/>
            </w:rPr>
          </w:pPr>
          <w:r>
            <w:fldChar w:fldCharType="begin"/>
          </w:r>
          <w:r>
            <w:instrText xml:space="preserve"> HYPERLINK \l "bookmark151" </w:instrText>
          </w:r>
          <w:r>
            <w:fldChar w:fldCharType="separate"/>
          </w:r>
          <w:r>
            <w:rPr>
              <w:rFonts w:ascii="Times New Roman" w:hAnsi="Times New Roman" w:eastAsia="Times New Roman" w:cs="Times New Roman"/>
              <w:spacing w:val="-3"/>
              <w:sz w:val="24"/>
              <w:szCs w:val="24"/>
            </w:rPr>
            <w:t>C2.1</w:t>
          </w:r>
          <w:r>
            <w:rPr>
              <w:rFonts w:ascii="Times New Roman" w:hAnsi="Times New Roman" w:eastAsia="Times New Roman" w:cs="Times New Roman"/>
              <w:spacing w:val="42"/>
              <w:sz w:val="24"/>
              <w:szCs w:val="24"/>
            </w:rPr>
            <w:t xml:space="preserve"> </w:t>
          </w:r>
          <w:r>
            <w:rPr>
              <w:rFonts w:ascii="宋体" w:hAnsi="宋体" w:eastAsia="宋体" w:cs="宋体"/>
              <w:spacing w:val="-3"/>
              <w:sz w:val="24"/>
              <w:szCs w:val="24"/>
            </w:rPr>
            <w:t>已标价工程量清单符合性检查</w:t>
          </w:r>
          <w:r>
            <w:rPr>
              <w:rFonts w:ascii="宋体" w:hAnsi="宋体" w:eastAsia="宋体" w:cs="宋体"/>
              <w:spacing w:val="-75"/>
              <w:sz w:val="24"/>
              <w:szCs w:val="24"/>
            </w:rPr>
            <w:t xml:space="preserve"> </w:t>
          </w:r>
          <w:r>
            <w:rPr>
              <w:rFonts w:ascii="宋体" w:hAnsi="宋体" w:eastAsia="宋体" w:cs="宋体"/>
              <w:sz w:val="24"/>
              <w:szCs w:val="24"/>
            </w:rPr>
            <w:tab/>
          </w:r>
          <w:r>
            <w:rPr>
              <w:rFonts w:ascii="Times New Roman" w:hAnsi="Times New Roman" w:eastAsia="Times New Roman" w:cs="Times New Roman"/>
              <w:spacing w:val="8"/>
              <w:sz w:val="24"/>
              <w:szCs w:val="24"/>
            </w:rPr>
            <w:t>94</w:t>
          </w:r>
          <w:r>
            <w:rPr>
              <w:rFonts w:ascii="Times New Roman" w:hAnsi="Times New Roman" w:eastAsia="Times New Roman" w:cs="Times New Roman"/>
              <w:spacing w:val="8"/>
              <w:sz w:val="24"/>
              <w:szCs w:val="24"/>
            </w:rPr>
            <w:fldChar w:fldCharType="end"/>
          </w:r>
        </w:p>
        <w:p w14:paraId="38FFB0A4">
          <w:pPr>
            <w:tabs>
              <w:tab w:val="right" w:leader="dot" w:pos="8320"/>
            </w:tabs>
            <w:spacing w:before="132" w:line="185" w:lineRule="auto"/>
            <w:ind w:left="1282"/>
            <w:rPr>
              <w:rFonts w:ascii="Times New Roman" w:hAnsi="Times New Roman" w:eastAsia="Times New Roman" w:cs="Times New Roman"/>
              <w:sz w:val="24"/>
              <w:szCs w:val="24"/>
            </w:rPr>
          </w:pPr>
          <w:r>
            <w:fldChar w:fldCharType="begin"/>
          </w:r>
          <w:r>
            <w:instrText xml:space="preserve"> HYPERLINK \l "bookmark152" </w:instrText>
          </w:r>
          <w:r>
            <w:fldChar w:fldCharType="separate"/>
          </w:r>
          <w:r>
            <w:rPr>
              <w:rFonts w:ascii="Times New Roman" w:hAnsi="Times New Roman" w:eastAsia="Times New Roman" w:cs="Times New Roman"/>
              <w:spacing w:val="-3"/>
              <w:sz w:val="24"/>
              <w:szCs w:val="24"/>
            </w:rPr>
            <w:t>C2.2</w:t>
          </w:r>
          <w:r>
            <w:rPr>
              <w:rFonts w:ascii="Times New Roman" w:hAnsi="Times New Roman" w:eastAsia="Times New Roman" w:cs="Times New Roman"/>
              <w:spacing w:val="45"/>
              <w:sz w:val="24"/>
              <w:szCs w:val="24"/>
            </w:rPr>
            <w:t xml:space="preserve"> </w:t>
          </w:r>
          <w:r>
            <w:rPr>
              <w:rFonts w:ascii="宋体" w:hAnsi="宋体" w:eastAsia="宋体" w:cs="宋体"/>
              <w:spacing w:val="-3"/>
              <w:sz w:val="24"/>
              <w:szCs w:val="24"/>
            </w:rPr>
            <w:t>已标价工程量清单算术错误修正</w:t>
          </w:r>
          <w:r>
            <w:rPr>
              <w:rFonts w:ascii="宋体" w:hAnsi="宋体" w:eastAsia="宋体" w:cs="宋体"/>
              <w:spacing w:val="-75"/>
              <w:sz w:val="24"/>
              <w:szCs w:val="24"/>
            </w:rPr>
            <w:t xml:space="preserve"> </w:t>
          </w:r>
          <w:r>
            <w:rPr>
              <w:rFonts w:ascii="宋体" w:hAnsi="宋体" w:eastAsia="宋体" w:cs="宋体"/>
              <w:sz w:val="24"/>
              <w:szCs w:val="24"/>
            </w:rPr>
            <w:tab/>
          </w:r>
          <w:r>
            <w:rPr>
              <w:rFonts w:ascii="Times New Roman" w:hAnsi="Times New Roman" w:eastAsia="Times New Roman" w:cs="Times New Roman"/>
              <w:spacing w:val="8"/>
              <w:sz w:val="24"/>
              <w:szCs w:val="24"/>
            </w:rPr>
            <w:t>95</w:t>
          </w:r>
          <w:r>
            <w:rPr>
              <w:rFonts w:ascii="Times New Roman" w:hAnsi="Times New Roman" w:eastAsia="Times New Roman" w:cs="Times New Roman"/>
              <w:spacing w:val="8"/>
              <w:sz w:val="24"/>
              <w:szCs w:val="24"/>
            </w:rPr>
            <w:fldChar w:fldCharType="end"/>
          </w:r>
        </w:p>
        <w:p w14:paraId="7C9FD61C">
          <w:pPr>
            <w:tabs>
              <w:tab w:val="right" w:leader="dot" w:pos="8320"/>
            </w:tabs>
            <w:spacing w:before="137" w:line="184" w:lineRule="auto"/>
            <w:ind w:left="1282"/>
            <w:rPr>
              <w:rFonts w:ascii="Times New Roman" w:hAnsi="Times New Roman" w:eastAsia="Times New Roman" w:cs="Times New Roman"/>
              <w:sz w:val="24"/>
              <w:szCs w:val="24"/>
            </w:rPr>
          </w:pPr>
          <w:r>
            <w:fldChar w:fldCharType="begin"/>
          </w:r>
          <w:r>
            <w:instrText xml:space="preserve"> HYPERLINK \l "bookmark153" </w:instrText>
          </w:r>
          <w:r>
            <w:fldChar w:fldCharType="separate"/>
          </w:r>
          <w:r>
            <w:rPr>
              <w:rFonts w:ascii="Times New Roman" w:hAnsi="Times New Roman" w:eastAsia="Times New Roman" w:cs="Times New Roman"/>
              <w:spacing w:val="-3"/>
              <w:sz w:val="24"/>
              <w:szCs w:val="24"/>
            </w:rPr>
            <w:t>C2.3</w:t>
          </w:r>
          <w:r>
            <w:rPr>
              <w:rFonts w:ascii="Times New Roman" w:hAnsi="Times New Roman" w:eastAsia="Times New Roman" w:cs="Times New Roman"/>
              <w:spacing w:val="39"/>
              <w:sz w:val="24"/>
              <w:szCs w:val="24"/>
            </w:rPr>
            <w:t xml:space="preserve"> </w:t>
          </w:r>
          <w:r>
            <w:rPr>
              <w:rFonts w:ascii="宋体" w:hAnsi="宋体" w:eastAsia="宋体" w:cs="宋体"/>
              <w:spacing w:val="-3"/>
              <w:sz w:val="24"/>
              <w:szCs w:val="24"/>
            </w:rPr>
            <w:t>已标价工程量清单偏差分析</w:t>
          </w:r>
          <w:r>
            <w:rPr>
              <w:rFonts w:ascii="宋体" w:hAnsi="宋体" w:eastAsia="宋体" w:cs="宋体"/>
              <w:spacing w:val="-75"/>
              <w:sz w:val="24"/>
              <w:szCs w:val="24"/>
            </w:rPr>
            <w:t xml:space="preserve"> </w:t>
          </w:r>
          <w:r>
            <w:rPr>
              <w:rFonts w:ascii="宋体" w:hAnsi="宋体" w:eastAsia="宋体" w:cs="宋体"/>
              <w:sz w:val="24"/>
              <w:szCs w:val="24"/>
            </w:rPr>
            <w:tab/>
          </w:r>
          <w:r>
            <w:rPr>
              <w:rFonts w:ascii="Times New Roman" w:hAnsi="Times New Roman" w:eastAsia="Times New Roman" w:cs="Times New Roman"/>
              <w:spacing w:val="8"/>
              <w:sz w:val="24"/>
              <w:szCs w:val="24"/>
            </w:rPr>
            <w:t>95</w:t>
          </w:r>
          <w:r>
            <w:rPr>
              <w:rFonts w:ascii="Times New Roman" w:hAnsi="Times New Roman" w:eastAsia="Times New Roman" w:cs="Times New Roman"/>
              <w:spacing w:val="8"/>
              <w:sz w:val="24"/>
              <w:szCs w:val="24"/>
            </w:rPr>
            <w:fldChar w:fldCharType="end"/>
          </w:r>
        </w:p>
        <w:p w14:paraId="1F9E33F9">
          <w:pPr>
            <w:tabs>
              <w:tab w:val="right" w:leader="dot" w:pos="8320"/>
            </w:tabs>
            <w:spacing w:before="135" w:line="184" w:lineRule="auto"/>
            <w:ind w:left="862"/>
            <w:rPr>
              <w:rFonts w:ascii="Times New Roman" w:hAnsi="Times New Roman" w:eastAsia="Times New Roman" w:cs="Times New Roman"/>
              <w:sz w:val="24"/>
              <w:szCs w:val="24"/>
            </w:rPr>
          </w:pPr>
          <w:r>
            <w:fldChar w:fldCharType="begin"/>
          </w:r>
          <w:r>
            <w:instrText xml:space="preserve"> HYPERLINK \l "bookmark154" </w:instrText>
          </w:r>
          <w:r>
            <w:fldChar w:fldCharType="separate"/>
          </w:r>
          <w:r>
            <w:rPr>
              <w:rFonts w:ascii="Times New Roman" w:hAnsi="Times New Roman" w:eastAsia="Times New Roman" w:cs="Times New Roman"/>
              <w:spacing w:val="-2"/>
              <w:sz w:val="24"/>
              <w:szCs w:val="24"/>
            </w:rPr>
            <w:t>C3.</w:t>
          </w:r>
          <w:r>
            <w:rPr>
              <w:rFonts w:ascii="宋体" w:hAnsi="宋体" w:eastAsia="宋体" w:cs="宋体"/>
              <w:spacing w:val="-2"/>
              <w:sz w:val="24"/>
              <w:szCs w:val="24"/>
            </w:rPr>
            <w:t>清标报告</w:t>
          </w:r>
          <w:r>
            <w:rPr>
              <w:rFonts w:ascii="宋体" w:hAnsi="宋体" w:eastAsia="宋体" w:cs="宋体"/>
              <w:spacing w:val="-70"/>
              <w:sz w:val="24"/>
              <w:szCs w:val="24"/>
            </w:rPr>
            <w:t xml:space="preserve"> </w:t>
          </w:r>
          <w:r>
            <w:rPr>
              <w:rFonts w:ascii="宋体" w:hAnsi="宋体" w:eastAsia="宋体" w:cs="宋体"/>
              <w:sz w:val="24"/>
              <w:szCs w:val="24"/>
            </w:rPr>
            <w:tab/>
          </w:r>
          <w:r>
            <w:rPr>
              <w:rFonts w:ascii="Times New Roman" w:hAnsi="Times New Roman" w:eastAsia="Times New Roman" w:cs="Times New Roman"/>
              <w:spacing w:val="8"/>
              <w:sz w:val="24"/>
              <w:szCs w:val="24"/>
            </w:rPr>
            <w:t>96</w:t>
          </w:r>
          <w:r>
            <w:rPr>
              <w:rFonts w:ascii="Times New Roman" w:hAnsi="Times New Roman" w:eastAsia="Times New Roman" w:cs="Times New Roman"/>
              <w:spacing w:val="8"/>
              <w:sz w:val="24"/>
              <w:szCs w:val="24"/>
            </w:rPr>
            <w:fldChar w:fldCharType="end"/>
          </w:r>
        </w:p>
        <w:p w14:paraId="27BA59F8">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"bookmark155" </w:instrText>
          </w:r>
          <w:r>
            <w:fldChar w:fldCharType="separate"/>
          </w:r>
          <w:r>
            <w:rPr>
              <w:rFonts w:ascii="宋体" w:hAnsi="宋体" w:eastAsia="宋体" w:cs="宋体"/>
              <w:spacing w:val="-3"/>
              <w:sz w:val="24"/>
              <w:szCs w:val="24"/>
            </w:rPr>
            <w:t>附件</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D:</w:t>
          </w:r>
          <w:r>
            <w:rPr>
              <w:rFonts w:ascii="宋体" w:hAnsi="宋体" w:eastAsia="宋体" w:cs="宋体"/>
              <w:spacing w:val="-3"/>
              <w:sz w:val="24"/>
              <w:szCs w:val="24"/>
            </w:rPr>
            <w:t>投标人成本评审办法</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97</w:t>
          </w:r>
          <w:r>
            <w:rPr>
              <w:rFonts w:ascii="Times New Roman" w:hAnsi="Times New Roman" w:eastAsia="Times New Roman" w:cs="Times New Roman"/>
              <w:spacing w:val="-5"/>
              <w:sz w:val="24"/>
              <w:szCs w:val="24"/>
            </w:rPr>
            <w:fldChar w:fldCharType="end"/>
          </w:r>
        </w:p>
        <w:p w14:paraId="2EE1661B">
          <w:pPr>
            <w:tabs>
              <w:tab w:val="right" w:leader="dot" w:pos="8320"/>
            </w:tabs>
            <w:spacing w:before="137" w:line="184" w:lineRule="auto"/>
            <w:ind w:left="858"/>
            <w:rPr>
              <w:rFonts w:ascii="Times New Roman" w:hAnsi="Times New Roman" w:eastAsia="Times New Roman" w:cs="Times New Roman"/>
              <w:sz w:val="24"/>
              <w:szCs w:val="24"/>
            </w:rPr>
          </w:pPr>
          <w:r>
            <w:fldChar w:fldCharType="begin"/>
          </w:r>
          <w:r>
            <w:instrText xml:space="preserve"> HYPERLINK \l "bookmark156" </w:instrText>
          </w:r>
          <w:r>
            <w:fldChar w:fldCharType="separate"/>
          </w:r>
          <w:r>
            <w:rPr>
              <w:rFonts w:ascii="Times New Roman" w:hAnsi="Times New Roman" w:eastAsia="Times New Roman" w:cs="Times New Roman"/>
              <w:spacing w:val="-4"/>
              <w:sz w:val="24"/>
              <w:szCs w:val="24"/>
            </w:rPr>
            <w:t>D0.</w:t>
          </w:r>
          <w:r>
            <w:rPr>
              <w:rFonts w:ascii="宋体" w:hAnsi="宋体" w:eastAsia="宋体" w:cs="宋体"/>
              <w:spacing w:val="-4"/>
              <w:sz w:val="24"/>
              <w:szCs w:val="24"/>
            </w:rPr>
            <w:t>总</w:t>
          </w:r>
          <w:r>
            <w:rPr>
              <w:rFonts w:ascii="宋体" w:hAnsi="宋体" w:eastAsia="宋体" w:cs="宋体"/>
              <w:spacing w:val="7"/>
              <w:sz w:val="24"/>
              <w:szCs w:val="24"/>
            </w:rPr>
            <w:t xml:space="preserve">  </w:t>
          </w:r>
          <w:r>
            <w:rPr>
              <w:rFonts w:ascii="宋体" w:hAnsi="宋体" w:eastAsia="宋体" w:cs="宋体"/>
              <w:spacing w:val="-4"/>
              <w:sz w:val="24"/>
              <w:szCs w:val="24"/>
            </w:rPr>
            <w:t>则</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97</w:t>
          </w:r>
          <w:r>
            <w:rPr>
              <w:rFonts w:ascii="Times New Roman" w:hAnsi="Times New Roman" w:eastAsia="Times New Roman" w:cs="Times New Roman"/>
              <w:spacing w:val="1"/>
              <w:sz w:val="24"/>
              <w:szCs w:val="24"/>
            </w:rPr>
            <w:fldChar w:fldCharType="end"/>
          </w:r>
        </w:p>
        <w:p w14:paraId="20E51A77">
          <w:pPr>
            <w:tabs>
              <w:tab w:val="right" w:leader="dot" w:pos="8320"/>
            </w:tabs>
            <w:spacing w:before="133" w:line="184" w:lineRule="auto"/>
            <w:ind w:left="858"/>
            <w:rPr>
              <w:rFonts w:ascii="Times New Roman" w:hAnsi="Times New Roman" w:eastAsia="Times New Roman" w:cs="Times New Roman"/>
              <w:sz w:val="24"/>
              <w:szCs w:val="24"/>
            </w:rPr>
          </w:pPr>
          <w:r>
            <w:fldChar w:fldCharType="begin"/>
          </w:r>
          <w:r>
            <w:instrText xml:space="preserve"> HYPERLINK \l "bookmark157" </w:instrText>
          </w:r>
          <w:r>
            <w:fldChar w:fldCharType="separate"/>
          </w:r>
          <w:r>
            <w:rPr>
              <w:rFonts w:ascii="Times New Roman" w:hAnsi="Times New Roman" w:eastAsia="Times New Roman" w:cs="Times New Roman"/>
              <w:spacing w:val="-1"/>
              <w:sz w:val="24"/>
              <w:szCs w:val="24"/>
            </w:rPr>
            <w:t>D1.</w:t>
          </w:r>
          <w:r>
            <w:rPr>
              <w:rFonts w:ascii="宋体" w:hAnsi="宋体" w:eastAsia="宋体" w:cs="宋体"/>
              <w:spacing w:val="-1"/>
              <w:sz w:val="24"/>
              <w:szCs w:val="24"/>
            </w:rPr>
            <w:t>启动成本评审工作的前提条件</w:t>
          </w:r>
          <w:r>
            <w:rPr>
              <w:rFonts w:ascii="宋体" w:hAnsi="宋体" w:eastAsia="宋体" w:cs="宋体"/>
              <w:spacing w:val="-6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97</w:t>
          </w:r>
          <w:r>
            <w:rPr>
              <w:rFonts w:ascii="Times New Roman" w:hAnsi="Times New Roman" w:eastAsia="Times New Roman" w:cs="Times New Roman"/>
              <w:spacing w:val="1"/>
              <w:sz w:val="24"/>
              <w:szCs w:val="24"/>
            </w:rPr>
            <w:fldChar w:fldCharType="end"/>
          </w:r>
        </w:p>
        <w:p w14:paraId="253CF9D0">
          <w:pPr>
            <w:tabs>
              <w:tab w:val="right" w:leader="dot" w:pos="8320"/>
            </w:tabs>
            <w:spacing w:before="135" w:line="185" w:lineRule="auto"/>
            <w:ind w:left="858"/>
            <w:rPr>
              <w:rFonts w:ascii="Times New Roman" w:hAnsi="Times New Roman" w:eastAsia="Times New Roman" w:cs="Times New Roman"/>
              <w:sz w:val="24"/>
              <w:szCs w:val="24"/>
            </w:rPr>
          </w:pPr>
          <w:r>
            <w:fldChar w:fldCharType="begin"/>
          </w:r>
          <w:r>
            <w:instrText xml:space="preserve"> HYPERLINK \l "bookmark158" </w:instrText>
          </w:r>
          <w:r>
            <w:fldChar w:fldCharType="separate"/>
          </w:r>
          <w:r>
            <w:rPr>
              <w:rFonts w:ascii="Times New Roman" w:hAnsi="Times New Roman" w:eastAsia="Times New Roman" w:cs="Times New Roman"/>
              <w:spacing w:val="-1"/>
              <w:sz w:val="24"/>
              <w:szCs w:val="24"/>
            </w:rPr>
            <w:t>D2.</w:t>
          </w:r>
          <w:r>
            <w:rPr>
              <w:rFonts w:ascii="宋体" w:hAnsi="宋体" w:eastAsia="宋体" w:cs="宋体"/>
              <w:spacing w:val="-1"/>
              <w:sz w:val="24"/>
              <w:szCs w:val="24"/>
            </w:rPr>
            <w:t>评审的依据</w:t>
          </w:r>
          <w:r>
            <w:rPr>
              <w:rFonts w:ascii="宋体" w:hAnsi="宋体" w:eastAsia="宋体" w:cs="宋体"/>
              <w:spacing w:val="-70"/>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97</w:t>
          </w:r>
          <w:r>
            <w:rPr>
              <w:rFonts w:ascii="Times New Roman" w:hAnsi="Times New Roman" w:eastAsia="Times New Roman" w:cs="Times New Roman"/>
              <w:spacing w:val="1"/>
              <w:sz w:val="24"/>
              <w:szCs w:val="24"/>
            </w:rPr>
            <w:fldChar w:fldCharType="end"/>
          </w:r>
        </w:p>
        <w:p w14:paraId="42E42E84">
          <w:pPr>
            <w:tabs>
              <w:tab w:val="right" w:leader="dot" w:pos="8320"/>
            </w:tabs>
            <w:spacing w:before="136" w:line="184" w:lineRule="auto"/>
            <w:ind w:left="858"/>
            <w:rPr>
              <w:rFonts w:ascii="Times New Roman" w:hAnsi="Times New Roman" w:eastAsia="Times New Roman" w:cs="Times New Roman"/>
              <w:sz w:val="24"/>
              <w:szCs w:val="24"/>
            </w:rPr>
          </w:pPr>
          <w:r>
            <w:fldChar w:fldCharType="begin"/>
          </w:r>
          <w:r>
            <w:instrText xml:space="preserve"> HYPERLINK \l "bookmark159" </w:instrText>
          </w:r>
          <w:r>
            <w:fldChar w:fldCharType="separate"/>
          </w:r>
          <w:r>
            <w:rPr>
              <w:rFonts w:ascii="Times New Roman" w:hAnsi="Times New Roman" w:eastAsia="Times New Roman" w:cs="Times New Roman"/>
              <w:spacing w:val="-1"/>
              <w:sz w:val="24"/>
              <w:szCs w:val="24"/>
            </w:rPr>
            <w:t>D3.</w:t>
          </w:r>
          <w:r>
            <w:rPr>
              <w:rFonts w:ascii="宋体" w:hAnsi="宋体" w:eastAsia="宋体" w:cs="宋体"/>
              <w:spacing w:val="-1"/>
              <w:sz w:val="24"/>
              <w:szCs w:val="24"/>
            </w:rPr>
            <w:t>对投标价格的合理性进行评审</w:t>
          </w:r>
          <w:r>
            <w:rPr>
              <w:rFonts w:ascii="宋体" w:hAnsi="宋体" w:eastAsia="宋体" w:cs="宋体"/>
              <w:spacing w:val="-6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98</w:t>
          </w:r>
          <w:r>
            <w:rPr>
              <w:rFonts w:ascii="Times New Roman" w:hAnsi="Times New Roman" w:eastAsia="Times New Roman" w:cs="Times New Roman"/>
              <w:spacing w:val="1"/>
              <w:sz w:val="24"/>
              <w:szCs w:val="24"/>
            </w:rPr>
            <w:fldChar w:fldCharType="end"/>
          </w:r>
        </w:p>
        <w:p w14:paraId="4AAABEF6">
          <w:pPr>
            <w:tabs>
              <w:tab w:val="right" w:leader="dot" w:pos="8320"/>
            </w:tabs>
            <w:spacing w:before="133" w:line="185" w:lineRule="auto"/>
            <w:ind w:left="858"/>
            <w:rPr>
              <w:rFonts w:ascii="Times New Roman" w:hAnsi="Times New Roman" w:eastAsia="Times New Roman" w:cs="Times New Roman"/>
              <w:sz w:val="24"/>
              <w:szCs w:val="24"/>
            </w:rPr>
          </w:pPr>
          <w:r>
            <w:fldChar w:fldCharType="begin"/>
          </w:r>
          <w:r>
            <w:instrText xml:space="preserve"> HYPERLINK \l "bookmark160" </w:instrText>
          </w:r>
          <w:r>
            <w:fldChar w:fldCharType="separate"/>
          </w:r>
          <w:r>
            <w:rPr>
              <w:rFonts w:ascii="Times New Roman" w:hAnsi="Times New Roman" w:eastAsia="Times New Roman" w:cs="Times New Roman"/>
              <w:spacing w:val="-1"/>
              <w:sz w:val="24"/>
              <w:szCs w:val="24"/>
            </w:rPr>
            <w:t>D4.</w:t>
          </w:r>
          <w:r>
            <w:rPr>
              <w:rFonts w:ascii="宋体" w:hAnsi="宋体" w:eastAsia="宋体" w:cs="宋体"/>
              <w:spacing w:val="-1"/>
              <w:sz w:val="24"/>
              <w:szCs w:val="24"/>
            </w:rPr>
            <w:t>澄清、说明或补正</w:t>
          </w:r>
          <w:r>
            <w:rPr>
              <w:rFonts w:ascii="宋体" w:hAnsi="宋体" w:eastAsia="宋体" w:cs="宋体"/>
              <w:spacing w:val="-67"/>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98</w:t>
          </w:r>
          <w:r>
            <w:rPr>
              <w:rFonts w:ascii="Times New Roman" w:hAnsi="Times New Roman" w:eastAsia="Times New Roman" w:cs="Times New Roman"/>
              <w:spacing w:val="1"/>
              <w:sz w:val="24"/>
              <w:szCs w:val="24"/>
            </w:rPr>
            <w:fldChar w:fldCharType="end"/>
          </w:r>
        </w:p>
        <w:p w14:paraId="06375A5D">
          <w:pPr>
            <w:tabs>
              <w:tab w:val="right" w:leader="dot" w:pos="8320"/>
            </w:tabs>
            <w:spacing w:before="136" w:line="184" w:lineRule="auto"/>
            <w:ind w:left="858"/>
            <w:rPr>
              <w:rFonts w:ascii="Times New Roman" w:hAnsi="Times New Roman" w:eastAsia="Times New Roman" w:cs="Times New Roman"/>
              <w:sz w:val="24"/>
              <w:szCs w:val="24"/>
            </w:rPr>
          </w:pPr>
          <w:r>
            <w:fldChar w:fldCharType="begin"/>
          </w:r>
          <w:r>
            <w:instrText xml:space="preserve"> HYPERLINK \l "bookmark161" </w:instrText>
          </w:r>
          <w:r>
            <w:fldChar w:fldCharType="separate"/>
          </w:r>
          <w:r>
            <w:rPr>
              <w:rFonts w:ascii="Times New Roman" w:hAnsi="Times New Roman" w:eastAsia="Times New Roman" w:cs="Times New Roman"/>
              <w:spacing w:val="-1"/>
              <w:sz w:val="24"/>
              <w:szCs w:val="24"/>
            </w:rPr>
            <w:t>D5.</w:t>
          </w:r>
          <w:r>
            <w:rPr>
              <w:rFonts w:ascii="宋体" w:hAnsi="宋体" w:eastAsia="宋体" w:cs="宋体"/>
              <w:spacing w:val="-1"/>
              <w:sz w:val="24"/>
              <w:szCs w:val="24"/>
            </w:rPr>
            <w:t>判断投标报价是否低于其成本</w:t>
          </w:r>
          <w:r>
            <w:rPr>
              <w:rFonts w:ascii="宋体" w:hAnsi="宋体" w:eastAsia="宋体" w:cs="宋体"/>
              <w:spacing w:val="-6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98</w:t>
          </w:r>
          <w:r>
            <w:rPr>
              <w:rFonts w:ascii="Times New Roman" w:hAnsi="Times New Roman" w:eastAsia="Times New Roman" w:cs="Times New Roman"/>
              <w:spacing w:val="1"/>
              <w:sz w:val="24"/>
              <w:szCs w:val="24"/>
            </w:rPr>
            <w:fldChar w:fldCharType="end"/>
          </w:r>
        </w:p>
        <w:p w14:paraId="361E86F8">
          <w:pPr>
            <w:tabs>
              <w:tab w:val="right" w:leader="dot" w:pos="8320"/>
            </w:tabs>
            <w:spacing w:before="133" w:line="184" w:lineRule="auto"/>
            <w:ind w:left="462"/>
            <w:rPr>
              <w:rFonts w:ascii="Times New Roman" w:hAnsi="Times New Roman" w:eastAsia="Times New Roman" w:cs="Times New Roman"/>
              <w:sz w:val="24"/>
              <w:szCs w:val="24"/>
            </w:rPr>
          </w:pPr>
          <w:r>
            <w:fldChar w:fldCharType="begin"/>
          </w:r>
          <w:r>
            <w:instrText xml:space="preserve"> HYPERLINK \l "bookmark162" </w:instrText>
          </w:r>
          <w:r>
            <w:fldChar w:fldCharType="separate"/>
          </w:r>
          <w:r>
            <w:rPr>
              <w:rFonts w:ascii="宋体" w:hAnsi="宋体" w:eastAsia="宋体" w:cs="宋体"/>
              <w:spacing w:val="-7"/>
              <w:sz w:val="24"/>
              <w:szCs w:val="24"/>
            </w:rPr>
            <w:t>附表</w:t>
          </w:r>
          <w:r>
            <w:rPr>
              <w:rFonts w:ascii="宋体" w:hAnsi="宋体" w:eastAsia="宋体" w:cs="宋体"/>
              <w:spacing w:val="-50"/>
              <w:sz w:val="24"/>
              <w:szCs w:val="24"/>
            </w:rPr>
            <w:t xml:space="preserve"> </w:t>
          </w:r>
          <w:r>
            <w:rPr>
              <w:rFonts w:ascii="Times New Roman" w:hAnsi="Times New Roman" w:eastAsia="Times New Roman" w:cs="Times New Roman"/>
              <w:spacing w:val="-7"/>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7"/>
              <w:sz w:val="24"/>
              <w:szCs w:val="24"/>
            </w:rPr>
            <w:t>1</w:t>
          </w:r>
          <w:r>
            <w:rPr>
              <w:rFonts w:ascii="Times New Roman" w:hAnsi="Times New Roman" w:eastAsia="Times New Roman" w:cs="Times New Roman"/>
              <w:spacing w:val="-30"/>
              <w:sz w:val="24"/>
              <w:szCs w:val="24"/>
            </w:rPr>
            <w:t xml:space="preserve"> </w:t>
          </w:r>
          <w:r>
            <w:rPr>
              <w:rFonts w:ascii="宋体" w:hAnsi="宋体" w:eastAsia="宋体" w:cs="宋体"/>
              <w:spacing w:val="-7"/>
              <w:sz w:val="24"/>
              <w:szCs w:val="24"/>
            </w:rPr>
            <w:t>：评标委员会签到表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100</w:t>
          </w:r>
          <w:r>
            <w:rPr>
              <w:rFonts w:ascii="Times New Roman" w:hAnsi="Times New Roman" w:eastAsia="Times New Roman" w:cs="Times New Roman"/>
              <w:spacing w:val="-10"/>
              <w:sz w:val="24"/>
              <w:szCs w:val="24"/>
            </w:rPr>
            <w:fldChar w:fldCharType="end"/>
          </w:r>
        </w:p>
        <w:p w14:paraId="14DD3964">
          <w:pPr>
            <w:tabs>
              <w:tab w:val="right" w:leader="dot" w:pos="8320"/>
            </w:tabs>
            <w:spacing w:before="135" w:line="185" w:lineRule="auto"/>
            <w:ind w:left="462"/>
            <w:rPr>
              <w:rFonts w:ascii="Times New Roman" w:hAnsi="Times New Roman" w:eastAsia="Times New Roman" w:cs="Times New Roman"/>
              <w:sz w:val="24"/>
              <w:szCs w:val="24"/>
            </w:rPr>
          </w:pPr>
          <w:r>
            <w:fldChar w:fldCharType="begin"/>
          </w:r>
          <w:r>
            <w:instrText xml:space="preserve"> HYPERLINK \l "bookmark163" </w:instrText>
          </w:r>
          <w:r>
            <w:fldChar w:fldCharType="separate"/>
          </w:r>
          <w:r>
            <w:rPr>
              <w:rFonts w:ascii="宋体" w:hAnsi="宋体" w:eastAsia="宋体" w:cs="宋体"/>
              <w:spacing w:val="-5"/>
              <w:sz w:val="24"/>
              <w:szCs w:val="24"/>
            </w:rPr>
            <w:t>附表</w:t>
          </w:r>
          <w:r>
            <w:rPr>
              <w:rFonts w:ascii="宋体" w:hAnsi="宋体" w:eastAsia="宋体" w:cs="宋体"/>
              <w:spacing w:val="-56"/>
              <w:sz w:val="24"/>
              <w:szCs w:val="24"/>
            </w:rPr>
            <w:t xml:space="preserve"> </w:t>
          </w:r>
          <w:r>
            <w:rPr>
              <w:rFonts w:ascii="Times New Roman" w:hAnsi="Times New Roman" w:eastAsia="Times New Roman" w:cs="Times New Roman"/>
              <w:spacing w:val="-5"/>
              <w:sz w:val="24"/>
              <w:szCs w:val="24"/>
            </w:rPr>
            <w:t>A-2</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：评标专家声明书</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101</w:t>
          </w:r>
          <w:r>
            <w:rPr>
              <w:rFonts w:ascii="Times New Roman" w:hAnsi="Times New Roman" w:eastAsia="Times New Roman" w:cs="Times New Roman"/>
              <w:spacing w:val="-10"/>
              <w:sz w:val="24"/>
              <w:szCs w:val="24"/>
            </w:rPr>
            <w:fldChar w:fldCharType="end"/>
          </w:r>
        </w:p>
        <w:p w14:paraId="4B369D89">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"bookmark164" </w:instrText>
          </w:r>
          <w:r>
            <w:fldChar w:fldCharType="separate"/>
          </w:r>
          <w:r>
            <w:rPr>
              <w:rFonts w:ascii="宋体" w:hAnsi="宋体" w:eastAsia="宋体" w:cs="宋体"/>
              <w:spacing w:val="-2"/>
              <w:sz w:val="24"/>
              <w:szCs w:val="24"/>
            </w:rPr>
            <w:t>附表</w:t>
          </w:r>
          <w:r>
            <w:rPr>
              <w:rFonts w:ascii="宋体" w:hAnsi="宋体" w:eastAsia="宋体" w:cs="宋体"/>
              <w:spacing w:val="-58"/>
              <w:sz w:val="24"/>
              <w:szCs w:val="24"/>
            </w:rPr>
            <w:t xml:space="preserve"> </w:t>
          </w:r>
          <w:r>
            <w:rPr>
              <w:rFonts w:ascii="Times New Roman" w:hAnsi="Times New Roman" w:eastAsia="Times New Roman" w:cs="Times New Roman"/>
              <w:spacing w:val="-2"/>
              <w:sz w:val="24"/>
              <w:szCs w:val="24"/>
            </w:rPr>
            <w:t>A-3</w:t>
          </w:r>
          <w:r>
            <w:rPr>
              <w:rFonts w:ascii="Times New Roman" w:hAnsi="Times New Roman" w:eastAsia="Times New Roman" w:cs="Times New Roman"/>
              <w:spacing w:val="-30"/>
              <w:sz w:val="24"/>
              <w:szCs w:val="24"/>
            </w:rPr>
            <w:t xml:space="preserve"> </w:t>
          </w:r>
          <w:r>
            <w:rPr>
              <w:rFonts w:ascii="宋体" w:hAnsi="宋体" w:eastAsia="宋体" w:cs="宋体"/>
              <w:spacing w:val="-2"/>
              <w:sz w:val="24"/>
              <w:szCs w:val="24"/>
            </w:rPr>
            <w:t>：技术暗标编号确认表（适用于非计</w:t>
          </w:r>
          <w:r>
            <w:rPr>
              <w:rFonts w:ascii="宋体" w:hAnsi="宋体" w:eastAsia="宋体" w:cs="宋体"/>
              <w:spacing w:val="-3"/>
              <w:sz w:val="24"/>
              <w:szCs w:val="24"/>
            </w:rPr>
            <w:t>算机辅助评标）</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102</w:t>
          </w:r>
          <w:r>
            <w:rPr>
              <w:rFonts w:ascii="Times New Roman" w:hAnsi="Times New Roman" w:eastAsia="Times New Roman" w:cs="Times New Roman"/>
              <w:spacing w:val="-10"/>
              <w:sz w:val="24"/>
              <w:szCs w:val="24"/>
            </w:rPr>
            <w:fldChar w:fldCharType="end"/>
          </w:r>
        </w:p>
        <w:p w14:paraId="02AC3790">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"bookmark165" </w:instrText>
          </w:r>
          <w:r>
            <w:fldChar w:fldCharType="separate"/>
          </w:r>
          <w:r>
            <w:rPr>
              <w:rFonts w:ascii="宋体" w:hAnsi="宋体" w:eastAsia="宋体" w:cs="宋体"/>
              <w:spacing w:val="-3"/>
              <w:sz w:val="24"/>
              <w:szCs w:val="24"/>
            </w:rPr>
            <w:t>附表</w:t>
          </w:r>
          <w:r>
            <w:rPr>
              <w:rFonts w:ascii="宋体" w:hAnsi="宋体" w:eastAsia="宋体" w:cs="宋体"/>
              <w:spacing w:val="-40"/>
              <w:sz w:val="24"/>
              <w:szCs w:val="24"/>
            </w:rPr>
            <w:t xml:space="preserve"> </w:t>
          </w:r>
          <w:r>
            <w:rPr>
              <w:rFonts w:ascii="Times New Roman" w:hAnsi="Times New Roman" w:eastAsia="Times New Roman" w:cs="Times New Roman"/>
              <w:spacing w:val="-3"/>
              <w:sz w:val="24"/>
              <w:szCs w:val="24"/>
            </w:rPr>
            <w:t>A-3</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：技术暗标编号确认表（适用于计算机辅助评标）</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103</w:t>
          </w:r>
          <w:r>
            <w:rPr>
              <w:rFonts w:ascii="Times New Roman" w:hAnsi="Times New Roman" w:eastAsia="Times New Roman" w:cs="Times New Roman"/>
              <w:spacing w:val="-10"/>
              <w:sz w:val="24"/>
              <w:szCs w:val="24"/>
            </w:rPr>
            <w:fldChar w:fldCharType="end"/>
          </w:r>
        </w:p>
        <w:p w14:paraId="1BBF7C4A">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"bookmark166" </w:instrText>
          </w:r>
          <w:r>
            <w:fldChar w:fldCharType="separate"/>
          </w:r>
          <w:r>
            <w:rPr>
              <w:rFonts w:ascii="宋体" w:hAnsi="宋体" w:eastAsia="宋体" w:cs="宋体"/>
              <w:spacing w:val="-5"/>
              <w:sz w:val="24"/>
              <w:szCs w:val="24"/>
            </w:rPr>
            <w:t>附表</w:t>
          </w:r>
          <w:r>
            <w:rPr>
              <w:rFonts w:ascii="宋体" w:hAnsi="宋体" w:eastAsia="宋体" w:cs="宋体"/>
              <w:spacing w:val="-56"/>
              <w:sz w:val="24"/>
              <w:szCs w:val="24"/>
            </w:rPr>
            <w:t xml:space="preserve"> </w:t>
          </w:r>
          <w:r>
            <w:rPr>
              <w:rFonts w:ascii="Times New Roman" w:hAnsi="Times New Roman" w:eastAsia="Times New Roman" w:cs="Times New Roman"/>
              <w:spacing w:val="-5"/>
              <w:sz w:val="24"/>
              <w:szCs w:val="24"/>
            </w:rPr>
            <w:t>A-4</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：形式评审记录表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104</w:t>
          </w:r>
          <w:r>
            <w:rPr>
              <w:rFonts w:ascii="Times New Roman" w:hAnsi="Times New Roman" w:eastAsia="Times New Roman" w:cs="Times New Roman"/>
              <w:spacing w:val="-10"/>
              <w:sz w:val="24"/>
              <w:szCs w:val="24"/>
            </w:rPr>
            <w:fldChar w:fldCharType="end"/>
          </w:r>
        </w:p>
        <w:p w14:paraId="331F6070">
          <w:pPr>
            <w:tabs>
              <w:tab w:val="right" w:leader="dot" w:pos="8320"/>
            </w:tabs>
            <w:spacing w:before="133" w:line="184" w:lineRule="auto"/>
            <w:ind w:left="462"/>
            <w:rPr>
              <w:rFonts w:ascii="Times New Roman" w:hAnsi="Times New Roman" w:eastAsia="Times New Roman" w:cs="Times New Roman"/>
              <w:sz w:val="24"/>
              <w:szCs w:val="24"/>
            </w:rPr>
          </w:pPr>
          <w:r>
            <w:fldChar w:fldCharType="begin"/>
          </w:r>
          <w:r>
            <w:instrText xml:space="preserve"> HYPERLINK \l "bookmark167" </w:instrText>
          </w:r>
          <w:r>
            <w:fldChar w:fldCharType="separate"/>
          </w:r>
          <w:r>
            <w:rPr>
              <w:rFonts w:ascii="宋体" w:hAnsi="宋体" w:eastAsia="宋体" w:cs="宋体"/>
              <w:spacing w:val="-4"/>
              <w:sz w:val="24"/>
              <w:szCs w:val="24"/>
            </w:rPr>
            <w:t>附表</w:t>
          </w:r>
          <w:r>
            <w:rPr>
              <w:rFonts w:ascii="宋体" w:hAnsi="宋体" w:eastAsia="宋体" w:cs="宋体"/>
              <w:spacing w:val="-45"/>
              <w:sz w:val="24"/>
              <w:szCs w:val="24"/>
            </w:rPr>
            <w:t xml:space="preserve"> </w:t>
          </w:r>
          <w:r>
            <w:rPr>
              <w:rFonts w:ascii="Times New Roman" w:hAnsi="Times New Roman" w:eastAsia="Times New Roman" w:cs="Times New Roman"/>
              <w:spacing w:val="-4"/>
              <w:sz w:val="24"/>
              <w:szCs w:val="24"/>
            </w:rPr>
            <w:t>A-5</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：资格审查更新资料评审记录表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106</w:t>
          </w:r>
          <w:r>
            <w:rPr>
              <w:rFonts w:ascii="Times New Roman" w:hAnsi="Times New Roman" w:eastAsia="Times New Roman" w:cs="Times New Roman"/>
              <w:spacing w:val="-10"/>
              <w:sz w:val="24"/>
              <w:szCs w:val="24"/>
            </w:rPr>
            <w:fldChar w:fldCharType="end"/>
          </w:r>
        </w:p>
        <w:p w14:paraId="13258C40">
          <w:pPr>
            <w:tabs>
              <w:tab w:val="right" w:leader="dot" w:pos="8320"/>
            </w:tabs>
            <w:spacing w:before="134" w:line="185" w:lineRule="auto"/>
            <w:ind w:left="462"/>
            <w:rPr>
              <w:rFonts w:ascii="Times New Roman" w:hAnsi="Times New Roman" w:eastAsia="Times New Roman" w:cs="Times New Roman"/>
              <w:sz w:val="24"/>
              <w:szCs w:val="24"/>
            </w:rPr>
          </w:pPr>
          <w:r>
            <w:fldChar w:fldCharType="begin"/>
          </w:r>
          <w:r>
            <w:instrText xml:space="preserve"> HYPERLINK \l "bookmark168" </w:instrText>
          </w:r>
          <w:r>
            <w:fldChar w:fldCharType="separate"/>
          </w:r>
          <w:r>
            <w:rPr>
              <w:rFonts w:ascii="宋体" w:hAnsi="宋体" w:eastAsia="宋体" w:cs="宋体"/>
              <w:spacing w:val="-5"/>
              <w:sz w:val="24"/>
              <w:szCs w:val="24"/>
            </w:rPr>
            <w:t>附表</w:t>
          </w:r>
          <w:r>
            <w:rPr>
              <w:rFonts w:ascii="宋体" w:hAnsi="宋体" w:eastAsia="宋体" w:cs="宋体"/>
              <w:spacing w:val="-51"/>
              <w:sz w:val="24"/>
              <w:szCs w:val="24"/>
            </w:rPr>
            <w:t xml:space="preserve"> </w:t>
          </w:r>
          <w:r>
            <w:rPr>
              <w:rFonts w:ascii="Times New Roman" w:hAnsi="Times New Roman" w:eastAsia="Times New Roman" w:cs="Times New Roman"/>
              <w:spacing w:val="-5"/>
              <w:sz w:val="24"/>
              <w:szCs w:val="24"/>
            </w:rPr>
            <w:t>A-6</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：响应性评审记录表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107</w:t>
          </w:r>
          <w:r>
            <w:rPr>
              <w:rFonts w:ascii="Times New Roman" w:hAnsi="Times New Roman" w:eastAsia="Times New Roman" w:cs="Times New Roman"/>
              <w:spacing w:val="-10"/>
              <w:sz w:val="24"/>
              <w:szCs w:val="24"/>
            </w:rPr>
            <w:fldChar w:fldCharType="end"/>
          </w:r>
        </w:p>
        <w:p w14:paraId="44DA8263">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"bookmark169" </w:instrText>
          </w:r>
          <w:r>
            <w:fldChar w:fldCharType="separate"/>
          </w:r>
          <w:r>
            <w:rPr>
              <w:rFonts w:ascii="宋体" w:hAnsi="宋体" w:eastAsia="宋体" w:cs="宋体"/>
              <w:spacing w:val="-3"/>
              <w:sz w:val="24"/>
              <w:szCs w:val="24"/>
            </w:rPr>
            <w:t>附表</w:t>
          </w:r>
          <w:r>
            <w:rPr>
              <w:rFonts w:ascii="宋体" w:hAnsi="宋体" w:eastAsia="宋体" w:cs="宋体"/>
              <w:spacing w:val="-55"/>
              <w:sz w:val="24"/>
              <w:szCs w:val="24"/>
            </w:rPr>
            <w:t xml:space="preserve"> </w:t>
          </w:r>
          <w:r>
            <w:rPr>
              <w:rFonts w:ascii="Times New Roman" w:hAnsi="Times New Roman" w:eastAsia="Times New Roman" w:cs="Times New Roman"/>
              <w:spacing w:val="-3"/>
              <w:sz w:val="24"/>
              <w:szCs w:val="24"/>
            </w:rPr>
            <w:t>A-7</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：施工组织设计评审记录表（合格性）</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9"/>
              <w:sz w:val="24"/>
              <w:szCs w:val="24"/>
            </w:rPr>
            <w:t xml:space="preserve"> </w:t>
          </w:r>
          <w:r>
            <w:rPr>
              <w:rFonts w:ascii="Times New Roman" w:hAnsi="Times New Roman" w:eastAsia="Times New Roman" w:cs="Times New Roman"/>
              <w:spacing w:val="-12"/>
              <w:sz w:val="24"/>
              <w:szCs w:val="24"/>
            </w:rPr>
            <w:t>110</w:t>
          </w:r>
          <w:r>
            <w:rPr>
              <w:rFonts w:ascii="Times New Roman" w:hAnsi="Times New Roman" w:eastAsia="Times New Roman" w:cs="Times New Roman"/>
              <w:spacing w:val="-12"/>
              <w:sz w:val="24"/>
              <w:szCs w:val="24"/>
            </w:rPr>
            <w:fldChar w:fldCharType="end"/>
          </w:r>
        </w:p>
        <w:p w14:paraId="5FDD0C10">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"bookmark170" </w:instrText>
          </w:r>
          <w:r>
            <w:fldChar w:fldCharType="separate"/>
          </w:r>
          <w:r>
            <w:rPr>
              <w:rFonts w:ascii="宋体" w:hAnsi="宋体" w:eastAsia="宋体" w:cs="宋体"/>
              <w:spacing w:val="-5"/>
              <w:sz w:val="24"/>
              <w:szCs w:val="24"/>
            </w:rPr>
            <w:t>附表</w:t>
          </w:r>
          <w:r>
            <w:rPr>
              <w:rFonts w:ascii="宋体" w:hAnsi="宋体" w:eastAsia="宋体" w:cs="宋体"/>
              <w:spacing w:val="-46"/>
              <w:sz w:val="24"/>
              <w:szCs w:val="24"/>
            </w:rPr>
            <w:t xml:space="preserve"> </w:t>
          </w:r>
          <w:r>
            <w:rPr>
              <w:rFonts w:ascii="Times New Roman" w:hAnsi="Times New Roman" w:eastAsia="Times New Roman" w:cs="Times New Roman"/>
              <w:spacing w:val="-5"/>
              <w:sz w:val="24"/>
              <w:szCs w:val="24"/>
            </w:rPr>
            <w:t>A-8</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：投标报价评分记录表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9"/>
              <w:sz w:val="24"/>
              <w:szCs w:val="24"/>
            </w:rPr>
            <w:t xml:space="preserve"> </w:t>
          </w:r>
          <w:r>
            <w:rPr>
              <w:rFonts w:ascii="Times New Roman" w:hAnsi="Times New Roman" w:eastAsia="Times New Roman" w:cs="Times New Roman"/>
              <w:spacing w:val="-12"/>
              <w:sz w:val="24"/>
              <w:szCs w:val="24"/>
            </w:rPr>
            <w:t>112</w:t>
          </w:r>
          <w:r>
            <w:rPr>
              <w:rFonts w:ascii="Times New Roman" w:hAnsi="Times New Roman" w:eastAsia="Times New Roman" w:cs="Times New Roman"/>
              <w:spacing w:val="-12"/>
              <w:sz w:val="24"/>
              <w:szCs w:val="24"/>
            </w:rPr>
            <w:fldChar w:fldCharType="end"/>
          </w:r>
        </w:p>
        <w:p w14:paraId="7E28DE1B">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"bookmark171" </w:instrText>
          </w:r>
          <w:r>
            <w:fldChar w:fldCharType="separate"/>
          </w:r>
          <w:r>
            <w:rPr>
              <w:rFonts w:ascii="宋体" w:hAnsi="宋体" w:eastAsia="宋体" w:cs="宋体"/>
              <w:spacing w:val="-3"/>
              <w:sz w:val="24"/>
              <w:szCs w:val="24"/>
            </w:rPr>
            <w:t>附表</w:t>
          </w:r>
          <w:r>
            <w:rPr>
              <w:rFonts w:ascii="宋体" w:hAnsi="宋体" w:eastAsia="宋体" w:cs="宋体"/>
              <w:spacing w:val="-58"/>
              <w:sz w:val="24"/>
              <w:szCs w:val="24"/>
            </w:rPr>
            <w:t xml:space="preserve"> </w:t>
          </w:r>
          <w:r>
            <w:rPr>
              <w:rFonts w:ascii="Times New Roman" w:hAnsi="Times New Roman" w:eastAsia="Times New Roman" w:cs="Times New Roman"/>
              <w:spacing w:val="-3"/>
              <w:sz w:val="24"/>
              <w:szCs w:val="24"/>
            </w:rPr>
            <w:t>A-9</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：施工组织设计评审记录表（评分）</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9"/>
              <w:sz w:val="24"/>
              <w:szCs w:val="24"/>
            </w:rPr>
            <w:t xml:space="preserve"> </w:t>
          </w:r>
          <w:r>
            <w:rPr>
              <w:rFonts w:ascii="Times New Roman" w:hAnsi="Times New Roman" w:eastAsia="Times New Roman" w:cs="Times New Roman"/>
              <w:spacing w:val="-12"/>
              <w:sz w:val="24"/>
              <w:szCs w:val="24"/>
            </w:rPr>
            <w:t>113</w:t>
          </w:r>
          <w:r>
            <w:rPr>
              <w:rFonts w:ascii="Times New Roman" w:hAnsi="Times New Roman" w:eastAsia="Times New Roman" w:cs="Times New Roman"/>
              <w:spacing w:val="-12"/>
              <w:sz w:val="24"/>
              <w:szCs w:val="24"/>
            </w:rPr>
            <w:fldChar w:fldCharType="end"/>
          </w:r>
        </w:p>
        <w:p w14:paraId="6FA50B77">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"bookmark172" </w:instrText>
          </w:r>
          <w:r>
            <w:fldChar w:fldCharType="separate"/>
          </w:r>
          <w:r>
            <w:rPr>
              <w:rFonts w:ascii="宋体" w:hAnsi="宋体" w:eastAsia="宋体" w:cs="宋体"/>
              <w:spacing w:val="-4"/>
              <w:sz w:val="24"/>
              <w:szCs w:val="24"/>
            </w:rPr>
            <w:t>附表</w:t>
          </w:r>
          <w:r>
            <w:rPr>
              <w:rFonts w:ascii="宋体" w:hAnsi="宋体" w:eastAsia="宋体" w:cs="宋体"/>
              <w:spacing w:val="-46"/>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10</w:t>
          </w:r>
          <w:r>
            <w:rPr>
              <w:rFonts w:ascii="宋体" w:hAnsi="宋体" w:eastAsia="宋体" w:cs="宋体"/>
              <w:spacing w:val="-4"/>
              <w:sz w:val="24"/>
              <w:szCs w:val="24"/>
            </w:rPr>
            <w:t>：项目管理机构评审记录表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9"/>
              <w:sz w:val="24"/>
              <w:szCs w:val="24"/>
            </w:rPr>
            <w:t xml:space="preserve"> </w:t>
          </w:r>
          <w:r>
            <w:rPr>
              <w:rFonts w:ascii="Times New Roman" w:hAnsi="Times New Roman" w:eastAsia="Times New Roman" w:cs="Times New Roman"/>
              <w:spacing w:val="-12"/>
              <w:sz w:val="24"/>
              <w:szCs w:val="24"/>
            </w:rPr>
            <w:t>115</w:t>
          </w:r>
          <w:r>
            <w:rPr>
              <w:rFonts w:ascii="Times New Roman" w:hAnsi="Times New Roman" w:eastAsia="Times New Roman" w:cs="Times New Roman"/>
              <w:spacing w:val="-12"/>
              <w:sz w:val="24"/>
              <w:szCs w:val="24"/>
            </w:rPr>
            <w:fldChar w:fldCharType="end"/>
          </w:r>
        </w:p>
        <w:p w14:paraId="342C22B7">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"bookmark173" </w:instrText>
          </w:r>
          <w:r>
            <w:fldChar w:fldCharType="separate"/>
          </w:r>
          <w:r>
            <w:rPr>
              <w:rFonts w:ascii="宋体" w:hAnsi="宋体" w:eastAsia="宋体" w:cs="宋体"/>
              <w:spacing w:val="-5"/>
              <w:sz w:val="24"/>
              <w:szCs w:val="24"/>
            </w:rPr>
            <w:t>附表</w:t>
          </w:r>
          <w:r>
            <w:rPr>
              <w:rFonts w:ascii="宋体" w:hAnsi="宋体" w:eastAsia="宋体" w:cs="宋体"/>
              <w:spacing w:val="-45"/>
              <w:sz w:val="24"/>
              <w:szCs w:val="24"/>
            </w:rPr>
            <w:t xml:space="preserve"> </w:t>
          </w:r>
          <w:r>
            <w:rPr>
              <w:rFonts w:ascii="Times New Roman" w:hAnsi="Times New Roman" w:eastAsia="Times New Roman" w:cs="Times New Roman"/>
              <w:spacing w:val="-5"/>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5"/>
              <w:sz w:val="24"/>
              <w:szCs w:val="24"/>
            </w:rPr>
            <w:t>11</w:t>
          </w:r>
          <w:r>
            <w:rPr>
              <w:rFonts w:ascii="宋体" w:hAnsi="宋体" w:eastAsia="宋体" w:cs="宋体"/>
              <w:spacing w:val="-5"/>
              <w:sz w:val="24"/>
              <w:szCs w:val="24"/>
            </w:rPr>
            <w:t>：其他因素评审记录表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2"/>
              <w:sz w:val="24"/>
              <w:szCs w:val="24"/>
            </w:rPr>
            <w:t>116</w:t>
          </w:r>
          <w:r>
            <w:rPr>
              <w:rFonts w:ascii="Times New Roman" w:hAnsi="Times New Roman" w:eastAsia="Times New Roman" w:cs="Times New Roman"/>
              <w:spacing w:val="-12"/>
              <w:sz w:val="24"/>
              <w:szCs w:val="24"/>
            </w:rPr>
            <w:fldChar w:fldCharType="end"/>
          </w:r>
        </w:p>
        <w:p w14:paraId="507B2320">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"bookmark174" </w:instrText>
          </w:r>
          <w:r>
            <w:fldChar w:fldCharType="separate"/>
          </w:r>
          <w:r>
            <w:rPr>
              <w:rFonts w:ascii="宋体" w:hAnsi="宋体" w:eastAsia="宋体" w:cs="宋体"/>
              <w:spacing w:val="-4"/>
              <w:sz w:val="24"/>
              <w:szCs w:val="24"/>
            </w:rPr>
            <w:t>附表</w:t>
          </w:r>
          <w:r>
            <w:rPr>
              <w:rFonts w:ascii="宋体" w:hAnsi="宋体" w:eastAsia="宋体" w:cs="宋体"/>
              <w:spacing w:val="-54"/>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12</w:t>
          </w:r>
          <w:r>
            <w:rPr>
              <w:rFonts w:ascii="宋体" w:hAnsi="宋体" w:eastAsia="宋体" w:cs="宋体"/>
              <w:spacing w:val="-4"/>
              <w:sz w:val="24"/>
              <w:szCs w:val="24"/>
            </w:rPr>
            <w:t>：详细评审评分汇总表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9"/>
              <w:sz w:val="24"/>
              <w:szCs w:val="24"/>
            </w:rPr>
            <w:t xml:space="preserve"> </w:t>
          </w:r>
          <w:r>
            <w:rPr>
              <w:rFonts w:ascii="Times New Roman" w:hAnsi="Times New Roman" w:eastAsia="Times New Roman" w:cs="Times New Roman"/>
              <w:spacing w:val="-12"/>
              <w:sz w:val="24"/>
              <w:szCs w:val="24"/>
            </w:rPr>
            <w:t>117</w:t>
          </w:r>
          <w:r>
            <w:rPr>
              <w:rFonts w:ascii="Times New Roman" w:hAnsi="Times New Roman" w:eastAsia="Times New Roman" w:cs="Times New Roman"/>
              <w:spacing w:val="-12"/>
              <w:sz w:val="24"/>
              <w:szCs w:val="24"/>
            </w:rPr>
            <w:fldChar w:fldCharType="end"/>
          </w:r>
        </w:p>
        <w:p w14:paraId="3F097FFE">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"bookmark175" </w:instrText>
          </w:r>
          <w:r>
            <w:fldChar w:fldCharType="separate"/>
          </w:r>
          <w:r>
            <w:rPr>
              <w:rFonts w:ascii="宋体" w:hAnsi="宋体" w:eastAsia="宋体" w:cs="宋体"/>
              <w:spacing w:val="-5"/>
              <w:sz w:val="24"/>
              <w:szCs w:val="24"/>
            </w:rPr>
            <w:t>附表</w:t>
          </w:r>
          <w:r>
            <w:rPr>
              <w:rFonts w:ascii="宋体" w:hAnsi="宋体" w:eastAsia="宋体" w:cs="宋体"/>
              <w:spacing w:val="-48"/>
              <w:sz w:val="24"/>
              <w:szCs w:val="24"/>
            </w:rPr>
            <w:t xml:space="preserve"> </w:t>
          </w:r>
          <w:r>
            <w:rPr>
              <w:rFonts w:ascii="Times New Roman" w:hAnsi="Times New Roman" w:eastAsia="Times New Roman" w:cs="Times New Roman"/>
              <w:spacing w:val="-5"/>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5"/>
              <w:sz w:val="24"/>
              <w:szCs w:val="24"/>
            </w:rPr>
            <w:t>13</w:t>
          </w:r>
          <w:r>
            <w:rPr>
              <w:rFonts w:ascii="宋体" w:hAnsi="宋体" w:eastAsia="宋体" w:cs="宋体"/>
              <w:spacing w:val="-5"/>
              <w:sz w:val="24"/>
              <w:szCs w:val="24"/>
            </w:rPr>
            <w:t>：评标结果汇总表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9"/>
              <w:sz w:val="24"/>
              <w:szCs w:val="24"/>
            </w:rPr>
            <w:t xml:space="preserve"> </w:t>
          </w:r>
          <w:r>
            <w:rPr>
              <w:rFonts w:ascii="Times New Roman" w:hAnsi="Times New Roman" w:eastAsia="Times New Roman" w:cs="Times New Roman"/>
              <w:spacing w:val="-12"/>
              <w:sz w:val="24"/>
              <w:szCs w:val="24"/>
            </w:rPr>
            <w:t>118</w:t>
          </w:r>
          <w:r>
            <w:rPr>
              <w:rFonts w:ascii="Times New Roman" w:hAnsi="Times New Roman" w:eastAsia="Times New Roman" w:cs="Times New Roman"/>
              <w:spacing w:val="-12"/>
              <w:sz w:val="24"/>
              <w:szCs w:val="24"/>
            </w:rPr>
            <w:fldChar w:fldCharType="end"/>
          </w:r>
        </w:p>
        <w:p w14:paraId="45807B8F">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"bookmark176" </w:instrText>
          </w:r>
          <w:r>
            <w:fldChar w:fldCharType="separate"/>
          </w:r>
          <w:r>
            <w:rPr>
              <w:rFonts w:ascii="宋体" w:hAnsi="宋体" w:eastAsia="宋体" w:cs="宋体"/>
              <w:spacing w:val="-5"/>
              <w:sz w:val="24"/>
              <w:szCs w:val="24"/>
            </w:rPr>
            <w:t>附表</w:t>
          </w:r>
          <w:r>
            <w:rPr>
              <w:rFonts w:ascii="宋体" w:hAnsi="宋体" w:eastAsia="宋体" w:cs="宋体"/>
              <w:spacing w:val="-48"/>
              <w:sz w:val="24"/>
              <w:szCs w:val="24"/>
            </w:rPr>
            <w:t xml:space="preserve"> </w:t>
          </w:r>
          <w:r>
            <w:rPr>
              <w:rFonts w:ascii="Times New Roman" w:hAnsi="Times New Roman" w:eastAsia="Times New Roman" w:cs="Times New Roman"/>
              <w:spacing w:val="-5"/>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5"/>
              <w:sz w:val="24"/>
              <w:szCs w:val="24"/>
            </w:rPr>
            <w:t>13</w:t>
          </w:r>
          <w:r>
            <w:rPr>
              <w:rFonts w:ascii="宋体" w:hAnsi="宋体" w:eastAsia="宋体" w:cs="宋体"/>
              <w:spacing w:val="-5"/>
              <w:sz w:val="24"/>
              <w:szCs w:val="24"/>
            </w:rPr>
            <w:t>：评标结果汇总表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9"/>
              <w:sz w:val="24"/>
              <w:szCs w:val="24"/>
            </w:rPr>
            <w:t xml:space="preserve"> </w:t>
          </w:r>
          <w:r>
            <w:rPr>
              <w:rFonts w:ascii="Times New Roman" w:hAnsi="Times New Roman" w:eastAsia="Times New Roman" w:cs="Times New Roman"/>
              <w:spacing w:val="-12"/>
              <w:sz w:val="24"/>
              <w:szCs w:val="24"/>
            </w:rPr>
            <w:t>119</w:t>
          </w:r>
          <w:r>
            <w:rPr>
              <w:rFonts w:ascii="Times New Roman" w:hAnsi="Times New Roman" w:eastAsia="Times New Roman" w:cs="Times New Roman"/>
              <w:spacing w:val="-12"/>
              <w:sz w:val="24"/>
              <w:szCs w:val="24"/>
            </w:rPr>
            <w:fldChar w:fldCharType="end"/>
          </w:r>
        </w:p>
        <w:p w14:paraId="580D9990">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"bookmark177" </w:instrText>
          </w:r>
          <w:r>
            <w:fldChar w:fldCharType="separate"/>
          </w:r>
          <w:r>
            <w:rPr>
              <w:rFonts w:ascii="宋体" w:hAnsi="宋体" w:eastAsia="宋体" w:cs="宋体"/>
              <w:spacing w:val="-4"/>
              <w:sz w:val="24"/>
              <w:szCs w:val="24"/>
            </w:rPr>
            <w:t>附表</w:t>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14</w:t>
          </w:r>
          <w:r>
            <w:rPr>
              <w:rFonts w:ascii="宋体" w:hAnsi="宋体" w:eastAsia="宋体" w:cs="宋体"/>
              <w:spacing w:val="-4"/>
              <w:sz w:val="24"/>
              <w:szCs w:val="24"/>
            </w:rPr>
            <w:t>：否决投标的情况说明表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120</w:t>
          </w:r>
          <w:r>
            <w:rPr>
              <w:rFonts w:ascii="Times New Roman" w:hAnsi="Times New Roman" w:eastAsia="Times New Roman" w:cs="Times New Roman"/>
              <w:spacing w:val="-10"/>
              <w:sz w:val="24"/>
              <w:szCs w:val="24"/>
            </w:rPr>
            <w:fldChar w:fldCharType="end"/>
          </w:r>
        </w:p>
        <w:p w14:paraId="13F7BD1D">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"bookmark178" </w:instrText>
          </w:r>
          <w:r>
            <w:fldChar w:fldCharType="separate"/>
          </w:r>
          <w:r>
            <w:rPr>
              <w:rFonts w:ascii="宋体" w:hAnsi="宋体" w:eastAsia="宋体" w:cs="宋体"/>
              <w:spacing w:val="-3"/>
              <w:sz w:val="24"/>
              <w:szCs w:val="24"/>
            </w:rPr>
            <w:t>附表</w:t>
          </w:r>
          <w:r>
            <w:rPr>
              <w:rFonts w:ascii="宋体" w:hAnsi="宋体" w:eastAsia="宋体" w:cs="宋体"/>
              <w:spacing w:val="-52"/>
              <w:sz w:val="24"/>
              <w:szCs w:val="24"/>
            </w:rPr>
            <w:t xml:space="preserve"> </w:t>
          </w:r>
          <w:r>
            <w:rPr>
              <w:rFonts w:ascii="Times New Roman" w:hAnsi="Times New Roman" w:eastAsia="Times New Roman" w:cs="Times New Roman"/>
              <w:spacing w:val="-3"/>
              <w:sz w:val="24"/>
              <w:szCs w:val="24"/>
            </w:rPr>
            <w:t>C-</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分部分项工程和单价</w:t>
          </w:r>
          <w:r>
            <w:rPr>
              <w:rFonts w:ascii="宋体" w:hAnsi="宋体" w:eastAsia="宋体" w:cs="宋体"/>
              <w:spacing w:val="-4"/>
              <w:sz w:val="24"/>
              <w:szCs w:val="24"/>
            </w:rPr>
            <w:t>措施项目符合性检查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121</w:t>
          </w:r>
          <w:r>
            <w:rPr>
              <w:rFonts w:ascii="Times New Roman" w:hAnsi="Times New Roman" w:eastAsia="Times New Roman" w:cs="Times New Roman"/>
              <w:spacing w:val="-10"/>
              <w:sz w:val="24"/>
              <w:szCs w:val="24"/>
            </w:rPr>
            <w:fldChar w:fldCharType="end"/>
          </w:r>
        </w:p>
        <w:p w14:paraId="5494542D">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"bookmark179" </w:instrText>
          </w:r>
          <w:r>
            <w:fldChar w:fldCharType="separate"/>
          </w:r>
          <w:r>
            <w:rPr>
              <w:rFonts w:ascii="宋体" w:hAnsi="宋体" w:eastAsia="宋体" w:cs="宋体"/>
              <w:spacing w:val="-3"/>
              <w:sz w:val="24"/>
              <w:szCs w:val="24"/>
            </w:rPr>
            <w:t>附表</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C-2</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总价措施项目符合</w:t>
          </w:r>
          <w:r>
            <w:rPr>
              <w:rFonts w:ascii="宋体" w:hAnsi="宋体" w:eastAsia="宋体" w:cs="宋体"/>
              <w:spacing w:val="-4"/>
              <w:sz w:val="24"/>
              <w:szCs w:val="24"/>
            </w:rPr>
            <w:t>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122</w:t>
          </w:r>
          <w:r>
            <w:rPr>
              <w:rFonts w:ascii="Times New Roman" w:hAnsi="Times New Roman" w:eastAsia="Times New Roman" w:cs="Times New Roman"/>
              <w:spacing w:val="-10"/>
              <w:sz w:val="24"/>
              <w:szCs w:val="24"/>
            </w:rPr>
            <w:fldChar w:fldCharType="end"/>
          </w:r>
        </w:p>
        <w:p w14:paraId="54755FB3">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"bookmark180" </w:instrText>
          </w:r>
          <w:r>
            <w:fldChar w:fldCharType="separate"/>
          </w:r>
          <w:r>
            <w:rPr>
              <w:rFonts w:ascii="宋体" w:hAnsi="宋体" w:eastAsia="宋体" w:cs="宋体"/>
              <w:spacing w:val="-4"/>
              <w:sz w:val="24"/>
              <w:szCs w:val="24"/>
            </w:rPr>
            <w:t>附表</w:t>
          </w:r>
          <w:r>
            <w:rPr>
              <w:rFonts w:ascii="宋体" w:hAnsi="宋体" w:eastAsia="宋体" w:cs="宋体"/>
              <w:spacing w:val="-40"/>
              <w:sz w:val="24"/>
              <w:szCs w:val="24"/>
            </w:rPr>
            <w:t xml:space="preserve"> </w:t>
          </w:r>
          <w:r>
            <w:rPr>
              <w:rFonts w:ascii="Times New Roman" w:hAnsi="Times New Roman" w:eastAsia="Times New Roman" w:cs="Times New Roman"/>
              <w:spacing w:val="-4"/>
              <w:sz w:val="24"/>
              <w:szCs w:val="24"/>
            </w:rPr>
            <w:t>C-3</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：清标报告</w:t>
          </w:r>
          <w:r>
            <w:rPr>
              <w:rFonts w:ascii="Times New Roman" w:hAnsi="Times New Roman" w:eastAsia="Times New Roman" w:cs="Times New Roman"/>
              <w:spacing w:val="-4"/>
              <w:sz w:val="24"/>
              <w:szCs w:val="24"/>
            </w:rPr>
            <w:t>-</w:t>
          </w:r>
          <w:r>
            <w:rPr>
              <w:rFonts w:ascii="宋体" w:hAnsi="宋体" w:eastAsia="宋体" w:cs="宋体"/>
              <w:spacing w:val="-4"/>
              <w:sz w:val="24"/>
              <w:szCs w:val="24"/>
            </w:rPr>
            <w:t>其他项目符合性检查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123</w:t>
          </w:r>
          <w:r>
            <w:rPr>
              <w:rFonts w:ascii="Times New Roman" w:hAnsi="Times New Roman" w:eastAsia="Times New Roman" w:cs="Times New Roman"/>
              <w:spacing w:val="-10"/>
              <w:sz w:val="24"/>
              <w:szCs w:val="24"/>
            </w:rPr>
            <w:fldChar w:fldCharType="end"/>
          </w:r>
        </w:p>
        <w:p w14:paraId="5FB88265">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"bookmark181" </w:instrText>
          </w:r>
          <w:r>
            <w:fldChar w:fldCharType="separate"/>
          </w:r>
          <w:r>
            <w:rPr>
              <w:rFonts w:ascii="宋体" w:hAnsi="宋体" w:eastAsia="宋体" w:cs="宋体"/>
              <w:spacing w:val="-3"/>
              <w:sz w:val="24"/>
              <w:szCs w:val="24"/>
            </w:rPr>
            <w:t>附表</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C-4</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规费、税金项目符合性检查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124</w:t>
          </w:r>
          <w:r>
            <w:rPr>
              <w:rFonts w:ascii="Times New Roman" w:hAnsi="Times New Roman" w:eastAsia="Times New Roman" w:cs="Times New Roman"/>
              <w:spacing w:val="-10"/>
              <w:sz w:val="24"/>
              <w:szCs w:val="24"/>
            </w:rPr>
            <w:fldChar w:fldCharType="end"/>
          </w:r>
        </w:p>
        <w:p w14:paraId="00479854">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"bookmark182" </w:instrText>
          </w:r>
          <w:r>
            <w:fldChar w:fldCharType="separate"/>
          </w:r>
          <w:r>
            <w:rPr>
              <w:rFonts w:ascii="宋体" w:hAnsi="宋体" w:eastAsia="宋体" w:cs="宋体"/>
              <w:spacing w:val="-3"/>
              <w:sz w:val="24"/>
              <w:szCs w:val="24"/>
            </w:rPr>
            <w:t>附表</w:t>
          </w:r>
          <w:r>
            <w:rPr>
              <w:rFonts w:ascii="宋体" w:hAnsi="宋体" w:eastAsia="宋体" w:cs="宋体"/>
              <w:spacing w:val="-36"/>
              <w:sz w:val="24"/>
              <w:szCs w:val="24"/>
            </w:rPr>
            <w:t xml:space="preserve"> </w:t>
          </w:r>
          <w:r>
            <w:rPr>
              <w:rFonts w:ascii="Times New Roman" w:hAnsi="Times New Roman" w:eastAsia="Times New Roman" w:cs="Times New Roman"/>
              <w:spacing w:val="-3"/>
              <w:sz w:val="24"/>
              <w:szCs w:val="24"/>
            </w:rPr>
            <w:t>C-5</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发包人提供材料和工程设备符合性检查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125</w:t>
          </w:r>
          <w:r>
            <w:rPr>
              <w:rFonts w:ascii="Times New Roman" w:hAnsi="Times New Roman" w:eastAsia="Times New Roman" w:cs="Times New Roman"/>
              <w:spacing w:val="-10"/>
              <w:sz w:val="24"/>
              <w:szCs w:val="24"/>
            </w:rPr>
            <w:fldChar w:fldCharType="end"/>
          </w:r>
        </w:p>
        <w:p w14:paraId="62FABC2E">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"bookmark183" </w:instrText>
          </w:r>
          <w:r>
            <w:fldChar w:fldCharType="separate"/>
          </w:r>
          <w:r>
            <w:rPr>
              <w:rFonts w:ascii="宋体" w:hAnsi="宋体" w:eastAsia="宋体" w:cs="宋体"/>
              <w:spacing w:val="-4"/>
              <w:sz w:val="24"/>
              <w:szCs w:val="24"/>
            </w:rPr>
            <w:t>附表</w:t>
          </w:r>
          <w:r>
            <w:rPr>
              <w:rFonts w:ascii="宋体" w:hAnsi="宋体" w:eastAsia="宋体" w:cs="宋体"/>
              <w:spacing w:val="-52"/>
              <w:sz w:val="24"/>
              <w:szCs w:val="24"/>
            </w:rPr>
            <w:t xml:space="preserve"> </w:t>
          </w:r>
          <w:r>
            <w:rPr>
              <w:rFonts w:ascii="Times New Roman" w:hAnsi="Times New Roman" w:eastAsia="Times New Roman" w:cs="Times New Roman"/>
              <w:spacing w:val="-4"/>
              <w:sz w:val="24"/>
              <w:szCs w:val="24"/>
            </w:rPr>
            <w:t>C-6</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：清标报告</w:t>
          </w:r>
          <w:r>
            <w:rPr>
              <w:rFonts w:ascii="Times New Roman" w:hAnsi="Times New Roman" w:eastAsia="Times New Roman" w:cs="Times New Roman"/>
              <w:spacing w:val="-4"/>
              <w:sz w:val="24"/>
              <w:szCs w:val="24"/>
            </w:rPr>
            <w:t>-</w:t>
          </w:r>
          <w:r>
            <w:rPr>
              <w:rFonts w:ascii="宋体" w:hAnsi="宋体" w:eastAsia="宋体" w:cs="宋体"/>
              <w:spacing w:val="-4"/>
              <w:sz w:val="24"/>
              <w:szCs w:val="24"/>
            </w:rPr>
            <w:t>算术错误检查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126</w:t>
          </w:r>
          <w:r>
            <w:rPr>
              <w:rFonts w:ascii="Times New Roman" w:hAnsi="Times New Roman" w:eastAsia="Times New Roman" w:cs="Times New Roman"/>
              <w:spacing w:val="-10"/>
              <w:sz w:val="24"/>
              <w:szCs w:val="24"/>
            </w:rPr>
            <w:fldChar w:fldCharType="end"/>
          </w:r>
        </w:p>
        <w:p w14:paraId="0AE89503">
          <w:pPr>
            <w:tabs>
              <w:tab w:val="right" w:leader="dot" w:pos="8320"/>
            </w:tabs>
            <w:spacing w:before="135" w:line="218" w:lineRule="auto"/>
            <w:ind w:left="462"/>
            <w:rPr>
              <w:rFonts w:ascii="Times New Roman" w:hAnsi="Times New Roman" w:eastAsia="Times New Roman" w:cs="Times New Roman"/>
              <w:sz w:val="24"/>
              <w:szCs w:val="24"/>
            </w:rPr>
          </w:pPr>
          <w:r>
            <w:fldChar w:fldCharType="begin"/>
          </w:r>
          <w:r>
            <w:instrText xml:space="preserve"> HYPERLINK \l "bookmark184" </w:instrText>
          </w:r>
          <w:r>
            <w:fldChar w:fldCharType="separate"/>
          </w:r>
          <w:r>
            <w:rPr>
              <w:rFonts w:ascii="宋体" w:hAnsi="宋体" w:eastAsia="宋体" w:cs="宋体"/>
              <w:spacing w:val="-3"/>
              <w:sz w:val="24"/>
              <w:szCs w:val="24"/>
            </w:rPr>
            <w:t>附表</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C-7</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算术错误分析及修正记录表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127</w:t>
          </w:r>
          <w:r>
            <w:rPr>
              <w:rFonts w:ascii="Times New Roman" w:hAnsi="Times New Roman" w:eastAsia="Times New Roman" w:cs="Times New Roman"/>
              <w:spacing w:val="-10"/>
              <w:sz w:val="24"/>
              <w:szCs w:val="24"/>
            </w:rPr>
            <w:fldChar w:fldCharType="end"/>
          </w:r>
        </w:p>
      </w:sdtContent>
    </w:sdt>
    <w:p w14:paraId="4BDC99FB">
      <w:pPr>
        <w:spacing w:line="218" w:lineRule="auto"/>
        <w:rPr>
          <w:rFonts w:ascii="Times New Roman" w:hAnsi="Times New Roman" w:eastAsia="Times New Roman" w:cs="Times New Roman"/>
          <w:sz w:val="24"/>
          <w:szCs w:val="24"/>
        </w:rPr>
        <w:sectPr>
          <w:footerReference r:id="rId14" w:type="default"/>
          <w:pgSz w:w="11906" w:h="16839"/>
          <w:pgMar w:top="1431" w:right="1785" w:bottom="1153" w:left="1785" w:header="0" w:footer="994" w:gutter="0"/>
          <w:cols w:space="720" w:num="1"/>
        </w:sectPr>
      </w:pPr>
    </w:p>
    <w:sdt>
      <w:sdtPr>
        <w:rPr>
          <w:rFonts w:ascii="宋体" w:hAnsi="宋体" w:eastAsia="宋体" w:cs="宋体"/>
          <w:sz w:val="24"/>
          <w:szCs w:val="24"/>
        </w:rPr>
        <w:id w:val="147472664"/>
        <w:docPartObj>
          <w:docPartGallery w:val="Table of Contents"/>
          <w:docPartUnique/>
        </w:docPartObj>
      </w:sdtPr>
      <w:sdtEndPr>
        <w:rPr>
          <w:rFonts w:ascii="Times New Roman" w:hAnsi="Times New Roman" w:eastAsia="Times New Roman" w:cs="Times New Roman"/>
          <w:sz w:val="24"/>
          <w:szCs w:val="24"/>
        </w:rPr>
      </w:sdtEndPr>
      <w:sdtContent>
        <w:p w14:paraId="55D48A51">
          <w:pPr>
            <w:tabs>
              <w:tab w:val="right" w:leader="dot" w:pos="8320"/>
            </w:tabs>
            <w:spacing w:before="77" w:line="184" w:lineRule="auto"/>
            <w:ind w:left="462"/>
            <w:rPr>
              <w:rFonts w:ascii="Times New Roman" w:hAnsi="Times New Roman" w:eastAsia="Times New Roman" w:cs="Times New Roman"/>
              <w:sz w:val="24"/>
              <w:szCs w:val="24"/>
            </w:rPr>
          </w:pPr>
          <w:r>
            <w:fldChar w:fldCharType="begin"/>
          </w:r>
          <w:r>
            <w:instrText xml:space="preserve"> HYPERLINK \l "bookmark185" </w:instrText>
          </w:r>
          <w:r>
            <w:fldChar w:fldCharType="separate"/>
          </w:r>
          <w:r>
            <w:rPr>
              <w:rFonts w:ascii="宋体" w:hAnsi="宋体" w:eastAsia="宋体" w:cs="宋体"/>
              <w:spacing w:val="-3"/>
              <w:sz w:val="24"/>
              <w:szCs w:val="24"/>
            </w:rPr>
            <w:t>附表</w:t>
          </w:r>
          <w:r>
            <w:rPr>
              <w:rFonts w:ascii="宋体" w:hAnsi="宋体" w:eastAsia="宋体" w:cs="宋体"/>
              <w:spacing w:val="-39"/>
              <w:sz w:val="24"/>
              <w:szCs w:val="24"/>
            </w:rPr>
            <w:t xml:space="preserve"> </w:t>
          </w:r>
          <w:r>
            <w:rPr>
              <w:rFonts w:ascii="Times New Roman" w:hAnsi="Times New Roman" w:eastAsia="Times New Roman" w:cs="Times New Roman"/>
              <w:spacing w:val="-3"/>
              <w:sz w:val="24"/>
              <w:szCs w:val="24"/>
            </w:rPr>
            <w:t>C-8</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算术错误修正后的已标价工程量清单</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128</w:t>
          </w:r>
          <w:r>
            <w:rPr>
              <w:rFonts w:ascii="Times New Roman" w:hAnsi="Times New Roman" w:eastAsia="Times New Roman" w:cs="Times New Roman"/>
              <w:spacing w:val="-10"/>
              <w:sz w:val="24"/>
              <w:szCs w:val="24"/>
            </w:rPr>
            <w:fldChar w:fldCharType="end"/>
          </w:r>
        </w:p>
        <w:p w14:paraId="18A94FB4">
          <w:pPr>
            <w:spacing w:before="135" w:line="184" w:lineRule="auto"/>
            <w:ind w:right="13"/>
            <w:jc w:val="right"/>
            <w:rPr>
              <w:rFonts w:ascii="宋体" w:hAnsi="宋体" w:eastAsia="宋体" w:cs="宋体"/>
              <w:sz w:val="24"/>
              <w:szCs w:val="24"/>
            </w:rPr>
          </w:pPr>
          <w:r>
            <w:fldChar w:fldCharType="begin"/>
          </w:r>
          <w:r>
            <w:instrText xml:space="preserve"> HYPERLINK \l "bookmark186" </w:instrText>
          </w:r>
          <w:r>
            <w:fldChar w:fldCharType="separate"/>
          </w:r>
          <w:r>
            <w:rPr>
              <w:rFonts w:ascii="宋体" w:hAnsi="宋体" w:eastAsia="宋体" w:cs="宋体"/>
              <w:spacing w:val="-3"/>
              <w:sz w:val="24"/>
              <w:szCs w:val="24"/>
            </w:rPr>
            <w:t>附表</w:t>
          </w:r>
          <w:r>
            <w:rPr>
              <w:rFonts w:ascii="宋体" w:hAnsi="宋体" w:eastAsia="宋体" w:cs="宋体"/>
              <w:spacing w:val="-38"/>
              <w:sz w:val="24"/>
              <w:szCs w:val="24"/>
            </w:rPr>
            <w:t xml:space="preserve"> </w:t>
          </w:r>
          <w:r>
            <w:rPr>
              <w:rFonts w:ascii="Times New Roman" w:hAnsi="Times New Roman" w:eastAsia="Times New Roman" w:cs="Times New Roman"/>
              <w:spacing w:val="-3"/>
              <w:sz w:val="24"/>
              <w:szCs w:val="24"/>
            </w:rPr>
            <w:t>C-9</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分部分项工程和单价措施项目清单综合单价分析记录表</w:t>
          </w:r>
          <w:r>
            <w:rPr>
              <w:rFonts w:ascii="宋体" w:hAnsi="宋体" w:eastAsia="宋体" w:cs="宋体"/>
              <w:spacing w:val="-3"/>
              <w:sz w:val="24"/>
              <w:szCs w:val="24"/>
            </w:rPr>
            <w:fldChar w:fldCharType="end"/>
          </w:r>
        </w:p>
        <w:p w14:paraId="43D62BAE">
          <w:pPr>
            <w:tabs>
              <w:tab w:val="right" w:leader="dot" w:pos="8320"/>
            </w:tabs>
            <w:spacing w:before="65" w:line="374" w:lineRule="exact"/>
            <w:ind w:left="479"/>
            <w:rPr>
              <w:rFonts w:ascii="Times New Roman" w:hAnsi="Times New Roman" w:eastAsia="Times New Roman" w:cs="Times New Roman"/>
              <w:sz w:val="24"/>
              <w:szCs w:val="24"/>
            </w:rPr>
          </w:pPr>
          <w:r>
            <w:rPr>
              <w:rFonts w:ascii="Times New Roman" w:hAnsi="Times New Roman" w:eastAsia="Times New Roman" w:cs="Times New Roman"/>
              <w:position w:val="3"/>
              <w:sz w:val="24"/>
              <w:szCs w:val="24"/>
            </w:rPr>
            <w:tab/>
          </w:r>
          <w:r>
            <w:rPr>
              <w:rFonts w:ascii="Times New Roman" w:hAnsi="Times New Roman" w:eastAsia="Times New Roman" w:cs="Times New Roman"/>
              <w:spacing w:val="-2"/>
              <w:position w:val="3"/>
              <w:sz w:val="24"/>
              <w:szCs w:val="24"/>
            </w:rPr>
            <w:t xml:space="preserve"> </w:t>
          </w:r>
          <w:r>
            <w:fldChar w:fldCharType="begin"/>
          </w:r>
          <w:r>
            <w:instrText xml:space="preserve"> HYPERLINK \l "bookmark187" </w:instrText>
          </w:r>
          <w:r>
            <w:fldChar w:fldCharType="separate"/>
          </w:r>
          <w:r>
            <w:rPr>
              <w:rFonts w:ascii="Times New Roman" w:hAnsi="Times New Roman" w:eastAsia="Times New Roman" w:cs="Times New Roman"/>
              <w:position w:val="3"/>
              <w:sz w:val="24"/>
              <w:szCs w:val="24"/>
            </w:rPr>
            <w:t>129</w:t>
          </w:r>
          <w:r>
            <w:rPr>
              <w:rFonts w:ascii="Times New Roman" w:hAnsi="Times New Roman" w:eastAsia="Times New Roman" w:cs="Times New Roman"/>
              <w:position w:val="3"/>
              <w:sz w:val="24"/>
              <w:szCs w:val="24"/>
            </w:rPr>
            <w:fldChar w:fldCharType="end"/>
          </w:r>
        </w:p>
        <w:p w14:paraId="3ABD3900">
          <w:pPr>
            <w:tabs>
              <w:tab w:val="right" w:leader="dot" w:pos="8320"/>
            </w:tabs>
            <w:spacing w:before="70" w:line="184" w:lineRule="auto"/>
            <w:ind w:left="462"/>
            <w:rPr>
              <w:rFonts w:ascii="Times New Roman" w:hAnsi="Times New Roman" w:eastAsia="Times New Roman" w:cs="Times New Roman"/>
              <w:sz w:val="24"/>
              <w:szCs w:val="24"/>
            </w:rPr>
          </w:pPr>
          <w:r>
            <w:fldChar w:fldCharType="begin"/>
          </w:r>
          <w:r>
            <w:instrText xml:space="preserve"> HYPERLINK \l "bookmark188" </w:instrText>
          </w:r>
          <w:r>
            <w:fldChar w:fldCharType="separate"/>
          </w:r>
          <w:r>
            <w:rPr>
              <w:rFonts w:ascii="宋体" w:hAnsi="宋体" w:eastAsia="宋体" w:cs="宋体"/>
              <w:spacing w:val="-3"/>
              <w:sz w:val="24"/>
              <w:szCs w:val="24"/>
            </w:rPr>
            <w:t>附表</w:t>
          </w:r>
          <w:r>
            <w:rPr>
              <w:rFonts w:ascii="宋体" w:hAnsi="宋体" w:eastAsia="宋体" w:cs="宋体"/>
              <w:spacing w:val="-37"/>
              <w:sz w:val="24"/>
              <w:szCs w:val="24"/>
            </w:rPr>
            <w:t xml:space="preserve"> </w:t>
          </w:r>
          <w:r>
            <w:rPr>
              <w:rFonts w:ascii="Times New Roman" w:hAnsi="Times New Roman" w:eastAsia="Times New Roman" w:cs="Times New Roman"/>
              <w:spacing w:val="-3"/>
              <w:sz w:val="24"/>
              <w:szCs w:val="24"/>
            </w:rPr>
            <w:t>C-</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10</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总价措施项目清单价格分析记录表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130</w:t>
          </w:r>
          <w:r>
            <w:rPr>
              <w:rFonts w:ascii="Times New Roman" w:hAnsi="Times New Roman" w:eastAsia="Times New Roman" w:cs="Times New Roman"/>
              <w:spacing w:val="-10"/>
              <w:sz w:val="24"/>
              <w:szCs w:val="24"/>
            </w:rPr>
            <w:fldChar w:fldCharType="end"/>
          </w:r>
        </w:p>
        <w:p w14:paraId="1199C1D6">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"bookmark189" </w:instrText>
          </w:r>
          <w:r>
            <w:fldChar w:fldCharType="separate"/>
          </w:r>
          <w:r>
            <w:rPr>
              <w:rFonts w:ascii="宋体" w:hAnsi="宋体" w:eastAsia="宋体" w:cs="宋体"/>
              <w:spacing w:val="-3"/>
              <w:sz w:val="24"/>
              <w:szCs w:val="24"/>
            </w:rPr>
            <w:t>附表</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C-</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3"/>
              <w:sz w:val="24"/>
              <w:szCs w:val="24"/>
            </w:rPr>
            <w:t>11</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其他项目清单价格分析记录表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45"/>
              <w:sz w:val="24"/>
              <w:szCs w:val="24"/>
            </w:rPr>
            <w:t xml:space="preserve"> </w:t>
          </w:r>
          <w:r>
            <w:rPr>
              <w:rFonts w:ascii="Times New Roman" w:hAnsi="Times New Roman" w:eastAsia="Times New Roman" w:cs="Times New Roman"/>
              <w:spacing w:val="-10"/>
              <w:sz w:val="24"/>
              <w:szCs w:val="24"/>
            </w:rPr>
            <w:t>131</w:t>
          </w:r>
          <w:r>
            <w:rPr>
              <w:rFonts w:ascii="Times New Roman" w:hAnsi="Times New Roman" w:eastAsia="Times New Roman" w:cs="Times New Roman"/>
              <w:spacing w:val="-10"/>
              <w:sz w:val="24"/>
              <w:szCs w:val="24"/>
            </w:rPr>
            <w:fldChar w:fldCharType="end"/>
          </w:r>
        </w:p>
        <w:p w14:paraId="5090C750">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"bookmark190" </w:instrText>
          </w:r>
          <w:r>
            <w:fldChar w:fldCharType="separate"/>
          </w:r>
          <w:r>
            <w:rPr>
              <w:rFonts w:ascii="宋体" w:hAnsi="宋体" w:eastAsia="宋体" w:cs="宋体"/>
              <w:spacing w:val="-3"/>
              <w:sz w:val="24"/>
              <w:szCs w:val="24"/>
            </w:rPr>
            <w:t>附表</w:t>
          </w:r>
          <w:r>
            <w:rPr>
              <w:rFonts w:ascii="宋体" w:hAnsi="宋体" w:eastAsia="宋体" w:cs="宋体"/>
              <w:spacing w:val="-43"/>
              <w:sz w:val="24"/>
              <w:szCs w:val="24"/>
            </w:rPr>
            <w:t xml:space="preserve"> </w:t>
          </w:r>
          <w:r>
            <w:rPr>
              <w:rFonts w:ascii="Times New Roman" w:hAnsi="Times New Roman" w:eastAsia="Times New Roman" w:cs="Times New Roman"/>
              <w:spacing w:val="-3"/>
              <w:sz w:val="24"/>
              <w:szCs w:val="24"/>
            </w:rPr>
            <w:t>C-</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12</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建设项目总人工费分析记录表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132</w:t>
          </w:r>
          <w:r>
            <w:rPr>
              <w:rFonts w:ascii="Times New Roman" w:hAnsi="Times New Roman" w:eastAsia="Times New Roman" w:cs="Times New Roman"/>
              <w:spacing w:val="-10"/>
              <w:sz w:val="24"/>
              <w:szCs w:val="24"/>
            </w:rPr>
            <w:fldChar w:fldCharType="end"/>
          </w:r>
        </w:p>
        <w:p w14:paraId="1C1B3D79">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"bookmark191" </w:instrText>
          </w:r>
          <w:r>
            <w:fldChar w:fldCharType="separate"/>
          </w:r>
          <w:r>
            <w:rPr>
              <w:rFonts w:ascii="宋体" w:hAnsi="宋体" w:eastAsia="宋体" w:cs="宋体"/>
              <w:spacing w:val="-3"/>
              <w:sz w:val="24"/>
              <w:szCs w:val="24"/>
            </w:rPr>
            <w:t>附表</w:t>
          </w:r>
          <w:r>
            <w:rPr>
              <w:rFonts w:ascii="宋体" w:hAnsi="宋体" w:eastAsia="宋体" w:cs="宋体"/>
              <w:spacing w:val="-43"/>
              <w:sz w:val="24"/>
              <w:szCs w:val="24"/>
            </w:rPr>
            <w:t xml:space="preserve"> </w:t>
          </w:r>
          <w:r>
            <w:rPr>
              <w:rFonts w:ascii="Times New Roman" w:hAnsi="Times New Roman" w:eastAsia="Times New Roman" w:cs="Times New Roman"/>
              <w:spacing w:val="-3"/>
              <w:sz w:val="24"/>
              <w:szCs w:val="24"/>
            </w:rPr>
            <w:t>C-</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13</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单位工程投标报价分析记录表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133</w:t>
          </w:r>
          <w:r>
            <w:rPr>
              <w:rFonts w:ascii="Times New Roman" w:hAnsi="Times New Roman" w:eastAsia="Times New Roman" w:cs="Times New Roman"/>
              <w:spacing w:val="-10"/>
              <w:sz w:val="24"/>
              <w:szCs w:val="24"/>
            </w:rPr>
            <w:fldChar w:fldCharType="end"/>
          </w:r>
        </w:p>
        <w:p w14:paraId="14A3C361">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"bookmark192" </w:instrText>
          </w:r>
          <w:r>
            <w:fldChar w:fldCharType="separate"/>
          </w:r>
          <w:r>
            <w:rPr>
              <w:rFonts w:ascii="宋体" w:hAnsi="宋体" w:eastAsia="宋体" w:cs="宋体"/>
              <w:spacing w:val="-7"/>
              <w:sz w:val="24"/>
              <w:szCs w:val="24"/>
            </w:rPr>
            <w:t>附表</w:t>
          </w:r>
          <w:r>
            <w:rPr>
              <w:rFonts w:ascii="宋体" w:hAnsi="宋体" w:eastAsia="宋体" w:cs="宋体"/>
              <w:spacing w:val="-43"/>
              <w:sz w:val="24"/>
              <w:szCs w:val="24"/>
            </w:rPr>
            <w:t xml:space="preserve"> </w:t>
          </w:r>
          <w:r>
            <w:rPr>
              <w:rFonts w:ascii="Times New Roman" w:hAnsi="Times New Roman" w:eastAsia="Times New Roman" w:cs="Times New Roman"/>
              <w:spacing w:val="-7"/>
              <w:sz w:val="24"/>
              <w:szCs w:val="24"/>
            </w:rPr>
            <w:t>D-</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7"/>
              <w:sz w:val="24"/>
              <w:szCs w:val="24"/>
            </w:rPr>
            <w:t>1</w:t>
          </w:r>
          <w:r>
            <w:rPr>
              <w:rFonts w:ascii="Times New Roman" w:hAnsi="Times New Roman" w:eastAsia="Times New Roman" w:cs="Times New Roman"/>
              <w:spacing w:val="-30"/>
              <w:sz w:val="24"/>
              <w:szCs w:val="24"/>
            </w:rPr>
            <w:t xml:space="preserve"> </w:t>
          </w:r>
          <w:r>
            <w:rPr>
              <w:rFonts w:ascii="宋体" w:hAnsi="宋体" w:eastAsia="宋体" w:cs="宋体"/>
              <w:spacing w:val="-7"/>
              <w:sz w:val="24"/>
              <w:szCs w:val="24"/>
            </w:rPr>
            <w:t>：成本评审结论记录表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134</w:t>
          </w:r>
          <w:r>
            <w:rPr>
              <w:rFonts w:ascii="Times New Roman" w:hAnsi="Times New Roman" w:eastAsia="Times New Roman" w:cs="Times New Roman"/>
              <w:spacing w:val="-10"/>
              <w:sz w:val="24"/>
              <w:szCs w:val="24"/>
            </w:rPr>
            <w:fldChar w:fldCharType="end"/>
          </w:r>
        </w:p>
        <w:p w14:paraId="54811DE1">
          <w:pPr>
            <w:pStyle w:val="2"/>
            <w:tabs>
              <w:tab w:val="right" w:leader="dot" w:pos="8320"/>
            </w:tabs>
            <w:spacing w:before="136" w:line="187" w:lineRule="auto"/>
            <w:ind w:left="23"/>
            <w:rPr>
              <w:rFonts w:ascii="Times New Roman" w:hAnsi="Times New Roman" w:eastAsia="Times New Roman" w:cs="Times New Roman"/>
              <w:sz w:val="24"/>
              <w:szCs w:val="24"/>
            </w:rPr>
          </w:pPr>
          <w:r>
            <w:fldChar w:fldCharType="begin"/>
          </w:r>
          <w:r>
            <w:instrText xml:space="preserve"> HYPERLINK \l "bookmark193" </w:instrText>
          </w:r>
          <w:r>
            <w:fldChar w:fldCharType="separate"/>
          </w:r>
          <w:r>
            <w:rPr>
              <w:spacing w:val="-1"/>
              <w:sz w:val="24"/>
              <w:szCs w:val="24"/>
            </w:rPr>
            <w:t>第四章  合同条款及格式</w:t>
          </w:r>
          <w:r>
            <w:rPr>
              <w:spacing w:val="-73"/>
              <w:sz w:val="24"/>
              <w:szCs w:val="24"/>
            </w:rPr>
            <w:t xml:space="preserve"> </w:t>
          </w:r>
          <w:r>
            <w:rPr>
              <w:sz w:val="24"/>
              <w:szCs w:val="24"/>
            </w:rPr>
            <w:tab/>
          </w:r>
          <w:r>
            <w:rPr>
              <w:spacing w:val="-33"/>
              <w:sz w:val="24"/>
              <w:szCs w:val="24"/>
            </w:rPr>
            <w:t xml:space="preserve"> </w:t>
          </w:r>
          <w:r>
            <w:rPr>
              <w:rFonts w:ascii="Times New Roman" w:hAnsi="Times New Roman" w:eastAsia="Times New Roman" w:cs="Times New Roman"/>
              <w:spacing w:val="-10"/>
              <w:sz w:val="24"/>
              <w:szCs w:val="24"/>
            </w:rPr>
            <w:t>135</w:t>
          </w:r>
          <w:r>
            <w:rPr>
              <w:rFonts w:ascii="Times New Roman" w:hAnsi="Times New Roman" w:eastAsia="Times New Roman" w:cs="Times New Roman"/>
              <w:spacing w:val="-10"/>
              <w:sz w:val="24"/>
              <w:szCs w:val="24"/>
            </w:rPr>
            <w:fldChar w:fldCharType="end"/>
          </w:r>
        </w:p>
        <w:p w14:paraId="4AB98194">
          <w:pPr>
            <w:tabs>
              <w:tab w:val="right" w:leader="dot" w:pos="8320"/>
            </w:tabs>
            <w:spacing w:before="129" w:line="184" w:lineRule="auto"/>
            <w:ind w:left="443"/>
            <w:rPr>
              <w:rFonts w:ascii="Times New Roman" w:hAnsi="Times New Roman" w:eastAsia="Times New Roman" w:cs="Times New Roman"/>
              <w:sz w:val="24"/>
              <w:szCs w:val="24"/>
            </w:rPr>
          </w:pPr>
          <w:r>
            <w:fldChar w:fldCharType="begin"/>
          </w:r>
          <w:r>
            <w:instrText xml:space="preserve"> HYPERLINK \l "bookmark194" </w:instrText>
          </w:r>
          <w:r>
            <w:fldChar w:fldCharType="separate"/>
          </w:r>
          <w:r>
            <w:rPr>
              <w:rFonts w:ascii="宋体" w:hAnsi="宋体" w:eastAsia="宋体" w:cs="宋体"/>
              <w:spacing w:val="-1"/>
              <w:sz w:val="24"/>
              <w:szCs w:val="24"/>
            </w:rPr>
            <w:t>第一节  通用合同条款</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136</w:t>
          </w:r>
          <w:r>
            <w:rPr>
              <w:rFonts w:ascii="Times New Roman" w:hAnsi="Times New Roman" w:eastAsia="Times New Roman" w:cs="Times New Roman"/>
              <w:spacing w:val="-10"/>
              <w:sz w:val="24"/>
              <w:szCs w:val="24"/>
            </w:rPr>
            <w:fldChar w:fldCharType="end"/>
          </w:r>
        </w:p>
        <w:p w14:paraId="6422169D">
          <w:pPr>
            <w:tabs>
              <w:tab w:val="right" w:leader="dot" w:pos="8320"/>
            </w:tabs>
            <w:spacing w:before="135" w:line="185" w:lineRule="auto"/>
            <w:ind w:left="1302"/>
            <w:rPr>
              <w:rFonts w:ascii="Times New Roman" w:hAnsi="Times New Roman" w:eastAsia="Times New Roman" w:cs="Times New Roman"/>
              <w:sz w:val="24"/>
              <w:szCs w:val="24"/>
            </w:rPr>
          </w:pPr>
          <w:r>
            <w:fldChar w:fldCharType="begin"/>
          </w:r>
          <w:r>
            <w:instrText xml:space="preserve"> HYPERLINK \l "bookmark195" </w:instrText>
          </w:r>
          <w:r>
            <w:fldChar w:fldCharType="separate"/>
          </w:r>
          <w:r>
            <w:rPr>
              <w:rFonts w:ascii="Times New Roman" w:hAnsi="Times New Roman" w:eastAsia="Times New Roman" w:cs="Times New Roman"/>
              <w:spacing w:val="-7"/>
              <w:sz w:val="24"/>
              <w:szCs w:val="24"/>
            </w:rPr>
            <w:t>1.</w:t>
          </w:r>
          <w:r>
            <w:rPr>
              <w:rFonts w:ascii="Times New Roman" w:hAnsi="Times New Roman" w:eastAsia="Times New Roman" w:cs="Times New Roman"/>
              <w:spacing w:val="6"/>
              <w:sz w:val="24"/>
              <w:szCs w:val="24"/>
            </w:rPr>
            <w:t xml:space="preserve">  </w:t>
          </w:r>
          <w:r>
            <w:rPr>
              <w:rFonts w:ascii="宋体" w:hAnsi="宋体" w:eastAsia="宋体" w:cs="宋体"/>
              <w:spacing w:val="-7"/>
              <w:sz w:val="24"/>
              <w:szCs w:val="24"/>
            </w:rPr>
            <w:t>一般约定</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137</w:t>
          </w:r>
          <w:r>
            <w:rPr>
              <w:rFonts w:ascii="Times New Roman" w:hAnsi="Times New Roman" w:eastAsia="Times New Roman" w:cs="Times New Roman"/>
              <w:spacing w:val="-10"/>
              <w:sz w:val="24"/>
              <w:szCs w:val="24"/>
            </w:rPr>
            <w:fldChar w:fldCharType="end"/>
          </w:r>
        </w:p>
        <w:p w14:paraId="0C6A11C2">
          <w:pPr>
            <w:tabs>
              <w:tab w:val="right" w:leader="dot" w:pos="8320"/>
            </w:tabs>
            <w:spacing w:before="137" w:line="184" w:lineRule="auto"/>
            <w:ind w:left="1279"/>
            <w:rPr>
              <w:rFonts w:ascii="Times New Roman" w:hAnsi="Times New Roman" w:eastAsia="Times New Roman" w:cs="Times New Roman"/>
              <w:sz w:val="24"/>
              <w:szCs w:val="24"/>
            </w:rPr>
          </w:pPr>
          <w:r>
            <w:fldChar w:fldCharType="begin"/>
          </w:r>
          <w:r>
            <w:instrText xml:space="preserve"> HYPERLINK \l "bookmark196" </w:instrText>
          </w:r>
          <w:r>
            <w:fldChar w:fldCharType="separate"/>
          </w:r>
          <w:r>
            <w:rPr>
              <w:rFonts w:ascii="Times New Roman" w:hAnsi="Times New Roman" w:eastAsia="Times New Roman" w:cs="Times New Roman"/>
              <w:spacing w:val="-3"/>
              <w:sz w:val="24"/>
              <w:szCs w:val="24"/>
            </w:rPr>
            <w:t>2.</w:t>
          </w:r>
          <w:r>
            <w:rPr>
              <w:rFonts w:ascii="Times New Roman" w:hAnsi="Times New Roman" w:eastAsia="Times New Roman" w:cs="Times New Roman"/>
              <w:spacing w:val="7"/>
              <w:sz w:val="24"/>
              <w:szCs w:val="24"/>
            </w:rPr>
            <w:t xml:space="preserve">  </w:t>
          </w:r>
          <w:r>
            <w:rPr>
              <w:rFonts w:ascii="宋体" w:hAnsi="宋体" w:eastAsia="宋体" w:cs="宋体"/>
              <w:spacing w:val="-3"/>
              <w:sz w:val="24"/>
              <w:szCs w:val="24"/>
            </w:rPr>
            <w:t>发包人义务</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141</w:t>
          </w:r>
          <w:r>
            <w:rPr>
              <w:rFonts w:ascii="Times New Roman" w:hAnsi="Times New Roman" w:eastAsia="Times New Roman" w:cs="Times New Roman"/>
              <w:spacing w:val="-10"/>
              <w:sz w:val="24"/>
              <w:szCs w:val="24"/>
            </w:rPr>
            <w:fldChar w:fldCharType="end"/>
          </w:r>
        </w:p>
        <w:p w14:paraId="6F27020E">
          <w:pPr>
            <w:tabs>
              <w:tab w:val="right" w:leader="dot" w:pos="8320"/>
            </w:tabs>
            <w:spacing w:before="132" w:line="185" w:lineRule="auto"/>
            <w:ind w:left="1283"/>
            <w:rPr>
              <w:rFonts w:ascii="Times New Roman" w:hAnsi="Times New Roman" w:eastAsia="Times New Roman" w:cs="Times New Roman"/>
              <w:sz w:val="24"/>
              <w:szCs w:val="24"/>
            </w:rPr>
          </w:pPr>
          <w:r>
            <w:fldChar w:fldCharType="begin"/>
          </w:r>
          <w:r>
            <w:instrText xml:space="preserve"> HYPERLINK \l "bookmark197" </w:instrText>
          </w:r>
          <w:r>
            <w:fldChar w:fldCharType="separate"/>
          </w:r>
          <w:r>
            <w:rPr>
              <w:rFonts w:ascii="Times New Roman" w:hAnsi="Times New Roman" w:eastAsia="Times New Roman" w:cs="Times New Roman"/>
              <w:spacing w:val="-5"/>
              <w:sz w:val="24"/>
              <w:szCs w:val="24"/>
            </w:rPr>
            <w:t>3.</w:t>
          </w:r>
          <w:r>
            <w:rPr>
              <w:rFonts w:ascii="Times New Roman" w:hAnsi="Times New Roman" w:eastAsia="Times New Roman" w:cs="Times New Roman"/>
              <w:spacing w:val="7"/>
              <w:sz w:val="24"/>
              <w:szCs w:val="24"/>
            </w:rPr>
            <w:t xml:space="preserve">  </w:t>
          </w:r>
          <w:r>
            <w:rPr>
              <w:rFonts w:ascii="宋体" w:hAnsi="宋体" w:eastAsia="宋体" w:cs="宋体"/>
              <w:spacing w:val="-5"/>
              <w:sz w:val="24"/>
              <w:szCs w:val="24"/>
            </w:rPr>
            <w:t>监理人</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141</w:t>
          </w:r>
          <w:r>
            <w:rPr>
              <w:rFonts w:ascii="Times New Roman" w:hAnsi="Times New Roman" w:eastAsia="Times New Roman" w:cs="Times New Roman"/>
              <w:spacing w:val="-10"/>
              <w:sz w:val="24"/>
              <w:szCs w:val="24"/>
            </w:rPr>
            <w:fldChar w:fldCharType="end"/>
          </w:r>
        </w:p>
        <w:p w14:paraId="6D6DD3F2">
          <w:pPr>
            <w:tabs>
              <w:tab w:val="right" w:leader="dot" w:pos="8320"/>
            </w:tabs>
            <w:spacing w:before="137" w:line="184" w:lineRule="auto"/>
            <w:ind w:left="1277"/>
            <w:rPr>
              <w:rFonts w:ascii="Times New Roman" w:hAnsi="Times New Roman" w:eastAsia="Times New Roman" w:cs="Times New Roman"/>
              <w:sz w:val="24"/>
              <w:szCs w:val="24"/>
            </w:rPr>
          </w:pPr>
          <w:r>
            <w:fldChar w:fldCharType="begin"/>
          </w:r>
          <w:r>
            <w:instrText xml:space="preserve"> HYPERLINK \l "bookmark198" </w:instrText>
          </w:r>
          <w:r>
            <w:fldChar w:fldCharType="separate"/>
          </w:r>
          <w:r>
            <w:rPr>
              <w:rFonts w:ascii="Times New Roman" w:hAnsi="Times New Roman" w:eastAsia="Times New Roman" w:cs="Times New Roman"/>
              <w:spacing w:val="-3"/>
              <w:sz w:val="24"/>
              <w:szCs w:val="24"/>
            </w:rPr>
            <w:t>4.</w:t>
          </w:r>
          <w:r>
            <w:rPr>
              <w:rFonts w:ascii="Times New Roman" w:hAnsi="Times New Roman" w:eastAsia="Times New Roman" w:cs="Times New Roman"/>
              <w:spacing w:val="5"/>
              <w:sz w:val="24"/>
              <w:szCs w:val="24"/>
            </w:rPr>
            <w:t xml:space="preserve">  </w:t>
          </w:r>
          <w:r>
            <w:rPr>
              <w:rFonts w:ascii="宋体" w:hAnsi="宋体" w:eastAsia="宋体" w:cs="宋体"/>
              <w:spacing w:val="-3"/>
              <w:sz w:val="24"/>
              <w:szCs w:val="24"/>
            </w:rPr>
            <w:t>承包人</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143</w:t>
          </w:r>
          <w:r>
            <w:rPr>
              <w:rFonts w:ascii="Times New Roman" w:hAnsi="Times New Roman" w:eastAsia="Times New Roman" w:cs="Times New Roman"/>
              <w:spacing w:val="-10"/>
              <w:sz w:val="24"/>
              <w:szCs w:val="24"/>
            </w:rPr>
            <w:fldChar w:fldCharType="end"/>
          </w:r>
        </w:p>
        <w:p w14:paraId="43897B4C">
          <w:pPr>
            <w:tabs>
              <w:tab w:val="right" w:leader="dot" w:pos="8320"/>
            </w:tabs>
            <w:spacing w:before="133" w:line="184" w:lineRule="auto"/>
            <w:ind w:left="1285"/>
            <w:rPr>
              <w:rFonts w:ascii="Times New Roman" w:hAnsi="Times New Roman" w:eastAsia="Times New Roman" w:cs="Times New Roman"/>
              <w:sz w:val="24"/>
              <w:szCs w:val="24"/>
            </w:rPr>
          </w:pPr>
          <w:r>
            <w:fldChar w:fldCharType="begin"/>
          </w:r>
          <w:r>
            <w:instrText xml:space="preserve"> HYPERLINK \l "bookmark199" </w:instrText>
          </w:r>
          <w:r>
            <w:fldChar w:fldCharType="separate"/>
          </w: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材料和工程设备</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146</w:t>
          </w:r>
          <w:r>
            <w:rPr>
              <w:rFonts w:ascii="Times New Roman" w:hAnsi="Times New Roman" w:eastAsia="Times New Roman" w:cs="Times New Roman"/>
              <w:spacing w:val="-10"/>
              <w:sz w:val="24"/>
              <w:szCs w:val="24"/>
            </w:rPr>
            <w:fldChar w:fldCharType="end"/>
          </w:r>
        </w:p>
        <w:p w14:paraId="088F0AC1">
          <w:pPr>
            <w:tabs>
              <w:tab w:val="right" w:leader="dot" w:pos="8320"/>
            </w:tabs>
            <w:spacing w:before="135" w:line="185" w:lineRule="auto"/>
            <w:ind w:left="1284"/>
            <w:rPr>
              <w:rFonts w:ascii="Times New Roman" w:hAnsi="Times New Roman" w:eastAsia="Times New Roman" w:cs="Times New Roman"/>
              <w:sz w:val="24"/>
              <w:szCs w:val="24"/>
            </w:rPr>
          </w:pPr>
          <w:r>
            <w:fldChar w:fldCharType="begin"/>
          </w:r>
          <w:r>
            <w:instrText xml:space="preserve"> HYPERLINK \l "bookmark200" </w:instrText>
          </w:r>
          <w:r>
            <w:fldChar w:fldCharType="separate"/>
          </w:r>
          <w:r>
            <w:rPr>
              <w:rFonts w:ascii="Times New Roman" w:hAnsi="Times New Roman" w:eastAsia="Times New Roman" w:cs="Times New Roman"/>
              <w:spacing w:val="-1"/>
              <w:sz w:val="24"/>
              <w:szCs w:val="24"/>
            </w:rPr>
            <w:t xml:space="preserve">6.  </w:t>
          </w:r>
          <w:r>
            <w:rPr>
              <w:rFonts w:ascii="宋体" w:hAnsi="宋体" w:eastAsia="宋体" w:cs="宋体"/>
              <w:spacing w:val="-1"/>
              <w:sz w:val="24"/>
              <w:szCs w:val="24"/>
            </w:rPr>
            <w:t>施工设备和临时设施</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147</w:t>
          </w:r>
          <w:r>
            <w:rPr>
              <w:rFonts w:ascii="Times New Roman" w:hAnsi="Times New Roman" w:eastAsia="Times New Roman" w:cs="Times New Roman"/>
              <w:spacing w:val="-10"/>
              <w:sz w:val="24"/>
              <w:szCs w:val="24"/>
            </w:rPr>
            <w:fldChar w:fldCharType="end"/>
          </w:r>
        </w:p>
        <w:p w14:paraId="3AFA3C2B">
          <w:pPr>
            <w:tabs>
              <w:tab w:val="right" w:leader="dot" w:pos="8320"/>
            </w:tabs>
            <w:spacing w:before="136" w:line="184" w:lineRule="auto"/>
            <w:ind w:left="1282"/>
            <w:rPr>
              <w:rFonts w:ascii="Times New Roman" w:hAnsi="Times New Roman" w:eastAsia="Times New Roman" w:cs="Times New Roman"/>
              <w:sz w:val="24"/>
              <w:szCs w:val="24"/>
            </w:rPr>
          </w:pPr>
          <w:r>
            <w:fldChar w:fldCharType="begin"/>
          </w:r>
          <w:r>
            <w:instrText xml:space="preserve"> HYPERLINK \l "bookmark201" </w:instrText>
          </w:r>
          <w:r>
            <w:fldChar w:fldCharType="separate"/>
          </w:r>
          <w:r>
            <w:rPr>
              <w:rFonts w:ascii="Times New Roman" w:hAnsi="Times New Roman" w:eastAsia="Times New Roman" w:cs="Times New Roman"/>
              <w:spacing w:val="-4"/>
              <w:sz w:val="24"/>
              <w:szCs w:val="24"/>
            </w:rPr>
            <w:t>7.</w:t>
          </w:r>
          <w:r>
            <w:rPr>
              <w:rFonts w:ascii="Times New Roman" w:hAnsi="Times New Roman" w:eastAsia="Times New Roman" w:cs="Times New Roman"/>
              <w:spacing w:val="7"/>
              <w:sz w:val="24"/>
              <w:szCs w:val="24"/>
            </w:rPr>
            <w:t xml:space="preserve">  </w:t>
          </w:r>
          <w:r>
            <w:rPr>
              <w:rFonts w:ascii="宋体" w:hAnsi="宋体" w:eastAsia="宋体" w:cs="宋体"/>
              <w:spacing w:val="-4"/>
              <w:sz w:val="24"/>
              <w:szCs w:val="24"/>
            </w:rPr>
            <w:t>交通运输</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147</w:t>
          </w:r>
          <w:r>
            <w:rPr>
              <w:rFonts w:ascii="Times New Roman" w:hAnsi="Times New Roman" w:eastAsia="Times New Roman" w:cs="Times New Roman"/>
              <w:spacing w:val="-10"/>
              <w:sz w:val="24"/>
              <w:szCs w:val="24"/>
            </w:rPr>
            <w:fldChar w:fldCharType="end"/>
          </w:r>
        </w:p>
        <w:p w14:paraId="7FA6C726">
          <w:pPr>
            <w:tabs>
              <w:tab w:val="right" w:leader="dot" w:pos="8320"/>
            </w:tabs>
            <w:spacing w:before="133" w:line="185" w:lineRule="auto"/>
            <w:ind w:left="1288"/>
            <w:rPr>
              <w:rFonts w:ascii="Times New Roman" w:hAnsi="Times New Roman" w:eastAsia="Times New Roman" w:cs="Times New Roman"/>
              <w:sz w:val="24"/>
              <w:szCs w:val="24"/>
            </w:rPr>
          </w:pPr>
          <w:r>
            <w:fldChar w:fldCharType="begin"/>
          </w:r>
          <w:r>
            <w:instrText xml:space="preserve"> HYPERLINK \l "bookmark202" </w:instrText>
          </w:r>
          <w:r>
            <w:fldChar w:fldCharType="separate"/>
          </w:r>
          <w:r>
            <w:rPr>
              <w:rFonts w:ascii="Times New Roman" w:hAnsi="Times New Roman" w:eastAsia="Times New Roman" w:cs="Times New Roman"/>
              <w:spacing w:val="-5"/>
              <w:sz w:val="24"/>
              <w:szCs w:val="24"/>
            </w:rPr>
            <w:t>8.</w:t>
          </w:r>
          <w:r>
            <w:rPr>
              <w:rFonts w:ascii="Times New Roman" w:hAnsi="Times New Roman" w:eastAsia="Times New Roman" w:cs="Times New Roman"/>
              <w:spacing w:val="7"/>
              <w:sz w:val="24"/>
              <w:szCs w:val="24"/>
            </w:rPr>
            <w:t xml:space="preserve">  </w:t>
          </w:r>
          <w:r>
            <w:rPr>
              <w:rFonts w:ascii="宋体" w:hAnsi="宋体" w:eastAsia="宋体" w:cs="宋体"/>
              <w:spacing w:val="-5"/>
              <w:sz w:val="24"/>
              <w:szCs w:val="24"/>
            </w:rPr>
            <w:t>测量放线</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148</w:t>
          </w:r>
          <w:r>
            <w:rPr>
              <w:rFonts w:ascii="Times New Roman" w:hAnsi="Times New Roman" w:eastAsia="Times New Roman" w:cs="Times New Roman"/>
              <w:spacing w:val="-10"/>
              <w:sz w:val="24"/>
              <w:szCs w:val="24"/>
            </w:rPr>
            <w:fldChar w:fldCharType="end"/>
          </w:r>
        </w:p>
        <w:p w14:paraId="2188EA51">
          <w:pPr>
            <w:tabs>
              <w:tab w:val="right" w:leader="dot" w:pos="8320"/>
            </w:tabs>
            <w:spacing w:before="136" w:line="184" w:lineRule="auto"/>
            <w:ind w:left="1283"/>
            <w:rPr>
              <w:rFonts w:ascii="Times New Roman" w:hAnsi="Times New Roman" w:eastAsia="Times New Roman" w:cs="Times New Roman"/>
              <w:sz w:val="24"/>
              <w:szCs w:val="24"/>
            </w:rPr>
          </w:pPr>
          <w:r>
            <w:fldChar w:fldCharType="begin"/>
          </w:r>
          <w:r>
            <w:instrText xml:space="preserve"> HYPERLINK \l "bookmark203" </w:instrText>
          </w:r>
          <w:r>
            <w:fldChar w:fldCharType="separate"/>
          </w:r>
          <w:r>
            <w:rPr>
              <w:rFonts w:ascii="Times New Roman" w:hAnsi="Times New Roman" w:eastAsia="Times New Roman" w:cs="Times New Roman"/>
              <w:spacing w:val="-1"/>
              <w:sz w:val="24"/>
              <w:szCs w:val="24"/>
            </w:rPr>
            <w:t xml:space="preserve">9.  </w:t>
          </w:r>
          <w:r>
            <w:rPr>
              <w:rFonts w:ascii="宋体" w:hAnsi="宋体" w:eastAsia="宋体" w:cs="宋体"/>
              <w:spacing w:val="-1"/>
              <w:sz w:val="24"/>
              <w:szCs w:val="24"/>
            </w:rPr>
            <w:t>施工安全、治安保卫和环境保护</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149</w:t>
          </w:r>
          <w:r>
            <w:rPr>
              <w:rFonts w:ascii="Times New Roman" w:hAnsi="Times New Roman" w:eastAsia="Times New Roman" w:cs="Times New Roman"/>
              <w:spacing w:val="-10"/>
              <w:sz w:val="24"/>
              <w:szCs w:val="24"/>
            </w:rPr>
            <w:fldChar w:fldCharType="end"/>
          </w:r>
        </w:p>
        <w:p w14:paraId="3812DB80">
          <w:pPr>
            <w:tabs>
              <w:tab w:val="right" w:leader="dot" w:pos="8320"/>
            </w:tabs>
            <w:spacing w:before="133" w:line="184" w:lineRule="auto"/>
            <w:ind w:left="1302"/>
            <w:rPr>
              <w:rFonts w:ascii="Times New Roman" w:hAnsi="Times New Roman" w:eastAsia="Times New Roman" w:cs="Times New Roman"/>
              <w:sz w:val="24"/>
              <w:szCs w:val="24"/>
            </w:rPr>
          </w:pPr>
          <w:r>
            <w:fldChar w:fldCharType="begin"/>
          </w:r>
          <w:r>
            <w:instrText xml:space="preserve"> HYPERLINK \l "bookmark204" </w:instrText>
          </w:r>
          <w:r>
            <w:fldChar w:fldCharType="separate"/>
          </w:r>
          <w:r>
            <w:rPr>
              <w:rFonts w:ascii="Times New Roman" w:hAnsi="Times New Roman" w:eastAsia="Times New Roman" w:cs="Times New Roman"/>
              <w:spacing w:val="-4"/>
              <w:sz w:val="24"/>
              <w:szCs w:val="24"/>
            </w:rPr>
            <w:t xml:space="preserve">10.  </w:t>
          </w:r>
          <w:r>
            <w:rPr>
              <w:rFonts w:ascii="宋体" w:hAnsi="宋体" w:eastAsia="宋体" w:cs="宋体"/>
              <w:spacing w:val="-4"/>
              <w:sz w:val="24"/>
              <w:szCs w:val="24"/>
            </w:rPr>
            <w:t>进度计划</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150</w:t>
          </w:r>
          <w:r>
            <w:rPr>
              <w:rFonts w:ascii="Times New Roman" w:hAnsi="Times New Roman" w:eastAsia="Times New Roman" w:cs="Times New Roman"/>
              <w:spacing w:val="-10"/>
              <w:sz w:val="24"/>
              <w:szCs w:val="24"/>
            </w:rPr>
            <w:fldChar w:fldCharType="end"/>
          </w:r>
        </w:p>
        <w:p w14:paraId="5E2B8138">
          <w:pPr>
            <w:tabs>
              <w:tab w:val="right" w:leader="dot" w:pos="8320"/>
            </w:tabs>
            <w:spacing w:before="135" w:line="185" w:lineRule="auto"/>
            <w:ind w:left="1302"/>
            <w:rPr>
              <w:rFonts w:ascii="Times New Roman" w:hAnsi="Times New Roman" w:eastAsia="Times New Roman" w:cs="Times New Roman"/>
              <w:sz w:val="24"/>
              <w:szCs w:val="24"/>
            </w:rPr>
          </w:pPr>
          <w:r>
            <w:fldChar w:fldCharType="begin"/>
          </w:r>
          <w:r>
            <w:instrText xml:space="preserve"> HYPERLINK \l "bookmark205" </w:instrText>
          </w:r>
          <w:r>
            <w:fldChar w:fldCharType="separate"/>
          </w:r>
          <w:r>
            <w:rPr>
              <w:rFonts w:ascii="Times New Roman" w:hAnsi="Times New Roman" w:eastAsia="Times New Roman" w:cs="Times New Roman"/>
              <w:spacing w:val="-4"/>
              <w:sz w:val="24"/>
              <w:szCs w:val="24"/>
            </w:rPr>
            <w:t xml:space="preserve">11.  </w:t>
          </w:r>
          <w:r>
            <w:rPr>
              <w:rFonts w:ascii="宋体" w:hAnsi="宋体" w:eastAsia="宋体" w:cs="宋体"/>
              <w:spacing w:val="-4"/>
              <w:sz w:val="24"/>
              <w:szCs w:val="24"/>
            </w:rPr>
            <w:t>开工和竣工</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6"/>
              <w:sz w:val="24"/>
              <w:szCs w:val="24"/>
            </w:rPr>
            <w:t xml:space="preserve"> </w:t>
          </w:r>
          <w:r>
            <w:rPr>
              <w:rFonts w:ascii="Times New Roman" w:hAnsi="Times New Roman" w:eastAsia="Times New Roman" w:cs="Times New Roman"/>
              <w:spacing w:val="-10"/>
              <w:sz w:val="24"/>
              <w:szCs w:val="24"/>
            </w:rPr>
            <w:t>150</w:t>
          </w:r>
          <w:r>
            <w:rPr>
              <w:rFonts w:ascii="Times New Roman" w:hAnsi="Times New Roman" w:eastAsia="Times New Roman" w:cs="Times New Roman"/>
              <w:spacing w:val="-10"/>
              <w:sz w:val="24"/>
              <w:szCs w:val="24"/>
            </w:rPr>
            <w:fldChar w:fldCharType="end"/>
          </w:r>
        </w:p>
        <w:p w14:paraId="489EF48A">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"bookmark206" </w:instrText>
          </w:r>
          <w:r>
            <w:fldChar w:fldCharType="separate"/>
          </w:r>
          <w:r>
            <w:rPr>
              <w:rFonts w:ascii="Times New Roman" w:hAnsi="Times New Roman" w:eastAsia="Times New Roman" w:cs="Times New Roman"/>
              <w:spacing w:val="-7"/>
              <w:sz w:val="24"/>
              <w:szCs w:val="24"/>
            </w:rPr>
            <w:t>12.</w:t>
          </w:r>
          <w:r>
            <w:rPr>
              <w:rFonts w:ascii="Times New Roman" w:hAnsi="Times New Roman" w:eastAsia="Times New Roman" w:cs="Times New Roman"/>
              <w:spacing w:val="9"/>
              <w:sz w:val="24"/>
              <w:szCs w:val="24"/>
            </w:rPr>
            <w:t xml:space="preserve">  </w:t>
          </w:r>
          <w:r>
            <w:rPr>
              <w:rFonts w:ascii="宋体" w:hAnsi="宋体" w:eastAsia="宋体" w:cs="宋体"/>
              <w:spacing w:val="-7"/>
              <w:sz w:val="24"/>
              <w:szCs w:val="24"/>
            </w:rPr>
            <w:t>暂停施工</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151</w:t>
          </w:r>
          <w:r>
            <w:rPr>
              <w:rFonts w:ascii="Times New Roman" w:hAnsi="Times New Roman" w:eastAsia="Times New Roman" w:cs="Times New Roman"/>
              <w:spacing w:val="-10"/>
              <w:sz w:val="24"/>
              <w:szCs w:val="24"/>
            </w:rPr>
            <w:fldChar w:fldCharType="end"/>
          </w:r>
        </w:p>
        <w:p w14:paraId="71DCC6F9">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"bookmark207" </w:instrText>
          </w:r>
          <w:r>
            <w:fldChar w:fldCharType="separate"/>
          </w:r>
          <w:r>
            <w:rPr>
              <w:rFonts w:ascii="Times New Roman" w:hAnsi="Times New Roman" w:eastAsia="Times New Roman" w:cs="Times New Roman"/>
              <w:spacing w:val="-6"/>
              <w:sz w:val="24"/>
              <w:szCs w:val="24"/>
            </w:rPr>
            <w:t>13.</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工程质量</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152</w:t>
          </w:r>
          <w:r>
            <w:rPr>
              <w:rFonts w:ascii="Times New Roman" w:hAnsi="Times New Roman" w:eastAsia="Times New Roman" w:cs="Times New Roman"/>
              <w:spacing w:val="-10"/>
              <w:sz w:val="24"/>
              <w:szCs w:val="24"/>
            </w:rPr>
            <w:fldChar w:fldCharType="end"/>
          </w:r>
        </w:p>
        <w:p w14:paraId="7B6D84EA">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"bookmark208" </w:instrText>
          </w:r>
          <w:r>
            <w:fldChar w:fldCharType="separate"/>
          </w:r>
          <w:r>
            <w:rPr>
              <w:rFonts w:ascii="Times New Roman" w:hAnsi="Times New Roman" w:eastAsia="Times New Roman" w:cs="Times New Roman"/>
              <w:spacing w:val="-3"/>
              <w:sz w:val="24"/>
              <w:szCs w:val="24"/>
            </w:rPr>
            <w:t xml:space="preserve">14.  </w:t>
          </w:r>
          <w:r>
            <w:rPr>
              <w:rFonts w:ascii="宋体" w:hAnsi="宋体" w:eastAsia="宋体" w:cs="宋体"/>
              <w:spacing w:val="-3"/>
              <w:sz w:val="24"/>
              <w:szCs w:val="24"/>
            </w:rPr>
            <w:t>试验和检验</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154</w:t>
          </w:r>
          <w:r>
            <w:rPr>
              <w:rFonts w:ascii="Times New Roman" w:hAnsi="Times New Roman" w:eastAsia="Times New Roman" w:cs="Times New Roman"/>
              <w:spacing w:val="-10"/>
              <w:sz w:val="24"/>
              <w:szCs w:val="24"/>
            </w:rPr>
            <w:fldChar w:fldCharType="end"/>
          </w:r>
        </w:p>
        <w:p w14:paraId="7FA42A5B">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"bookmark209" </w:instrText>
          </w:r>
          <w:r>
            <w:fldChar w:fldCharType="separate"/>
          </w:r>
          <w:r>
            <w:rPr>
              <w:rFonts w:ascii="Times New Roman" w:hAnsi="Times New Roman" w:eastAsia="Times New Roman" w:cs="Times New Roman"/>
              <w:spacing w:val="-8"/>
              <w:sz w:val="24"/>
              <w:szCs w:val="24"/>
            </w:rPr>
            <w:t>15.</w:t>
          </w:r>
          <w:r>
            <w:rPr>
              <w:rFonts w:ascii="Times New Roman" w:hAnsi="Times New Roman" w:eastAsia="Times New Roman" w:cs="Times New Roman"/>
              <w:spacing w:val="5"/>
              <w:sz w:val="24"/>
              <w:szCs w:val="24"/>
            </w:rPr>
            <w:t xml:space="preserve">  </w:t>
          </w:r>
          <w:r>
            <w:rPr>
              <w:rFonts w:ascii="宋体" w:hAnsi="宋体" w:eastAsia="宋体" w:cs="宋体"/>
              <w:spacing w:val="-8"/>
              <w:sz w:val="24"/>
              <w:szCs w:val="24"/>
            </w:rPr>
            <w:t>变更</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154</w:t>
          </w:r>
          <w:r>
            <w:rPr>
              <w:rFonts w:ascii="Times New Roman" w:hAnsi="Times New Roman" w:eastAsia="Times New Roman" w:cs="Times New Roman"/>
              <w:spacing w:val="-10"/>
              <w:sz w:val="24"/>
              <w:szCs w:val="24"/>
            </w:rPr>
            <w:fldChar w:fldCharType="end"/>
          </w:r>
        </w:p>
        <w:p w14:paraId="032C0ADF">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"bookmark210" </w:instrText>
          </w:r>
          <w:r>
            <w:fldChar w:fldCharType="separate"/>
          </w:r>
          <w:r>
            <w:rPr>
              <w:rFonts w:ascii="Times New Roman" w:hAnsi="Times New Roman" w:eastAsia="Times New Roman" w:cs="Times New Roman"/>
              <w:spacing w:val="-6"/>
              <w:sz w:val="24"/>
              <w:szCs w:val="24"/>
            </w:rPr>
            <w:t>16.</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价格调整</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157</w:t>
          </w:r>
          <w:r>
            <w:rPr>
              <w:rFonts w:ascii="Times New Roman" w:hAnsi="Times New Roman" w:eastAsia="Times New Roman" w:cs="Times New Roman"/>
              <w:spacing w:val="-10"/>
              <w:sz w:val="24"/>
              <w:szCs w:val="24"/>
            </w:rPr>
            <w:fldChar w:fldCharType="end"/>
          </w:r>
        </w:p>
        <w:p w14:paraId="3685931C">
          <w:pPr>
            <w:tabs>
              <w:tab w:val="right" w:leader="dot" w:pos="8320"/>
            </w:tabs>
            <w:spacing w:before="135" w:line="184" w:lineRule="auto"/>
            <w:ind w:left="1302"/>
            <w:rPr>
              <w:rFonts w:ascii="Times New Roman" w:hAnsi="Times New Roman" w:eastAsia="Times New Roman" w:cs="Times New Roman"/>
              <w:sz w:val="24"/>
              <w:szCs w:val="24"/>
            </w:rPr>
          </w:pPr>
          <w:r>
            <w:fldChar w:fldCharType="begin"/>
          </w:r>
          <w:r>
            <w:instrText xml:space="preserve"> HYPERLINK \l "bookmark211" </w:instrText>
          </w:r>
          <w:r>
            <w:fldChar w:fldCharType="separate"/>
          </w:r>
          <w:r>
            <w:rPr>
              <w:rFonts w:ascii="Times New Roman" w:hAnsi="Times New Roman" w:eastAsia="Times New Roman" w:cs="Times New Roman"/>
              <w:spacing w:val="-3"/>
              <w:sz w:val="24"/>
              <w:szCs w:val="24"/>
            </w:rPr>
            <w:t xml:space="preserve">17.  </w:t>
          </w:r>
          <w:r>
            <w:rPr>
              <w:rFonts w:ascii="宋体" w:hAnsi="宋体" w:eastAsia="宋体" w:cs="宋体"/>
              <w:spacing w:val="-3"/>
              <w:sz w:val="24"/>
              <w:szCs w:val="24"/>
            </w:rPr>
            <w:t>计量与支付</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158</w:t>
          </w:r>
          <w:r>
            <w:rPr>
              <w:rFonts w:ascii="Times New Roman" w:hAnsi="Times New Roman" w:eastAsia="Times New Roman" w:cs="Times New Roman"/>
              <w:spacing w:val="-10"/>
              <w:sz w:val="24"/>
              <w:szCs w:val="24"/>
            </w:rPr>
            <w:fldChar w:fldCharType="end"/>
          </w:r>
        </w:p>
        <w:p w14:paraId="4677AFBA">
          <w:pPr>
            <w:tabs>
              <w:tab w:val="right" w:leader="dot" w:pos="8320"/>
            </w:tabs>
            <w:spacing w:before="133" w:line="185" w:lineRule="auto"/>
            <w:ind w:left="1302"/>
            <w:rPr>
              <w:rFonts w:ascii="Times New Roman" w:hAnsi="Times New Roman" w:eastAsia="Times New Roman" w:cs="Times New Roman"/>
              <w:sz w:val="24"/>
              <w:szCs w:val="24"/>
            </w:rPr>
          </w:pPr>
          <w:r>
            <w:fldChar w:fldCharType="begin"/>
          </w:r>
          <w:r>
            <w:instrText xml:space="preserve"> HYPERLINK \l "bookmark212" </w:instrText>
          </w:r>
          <w:r>
            <w:fldChar w:fldCharType="separate"/>
          </w:r>
          <w:r>
            <w:rPr>
              <w:rFonts w:ascii="Times New Roman" w:hAnsi="Times New Roman" w:eastAsia="Times New Roman" w:cs="Times New Roman"/>
              <w:spacing w:val="-6"/>
              <w:sz w:val="24"/>
              <w:szCs w:val="24"/>
            </w:rPr>
            <w:t>18.</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竣工验收</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161</w:t>
          </w:r>
          <w:r>
            <w:rPr>
              <w:rFonts w:ascii="Times New Roman" w:hAnsi="Times New Roman" w:eastAsia="Times New Roman" w:cs="Times New Roman"/>
              <w:spacing w:val="-10"/>
              <w:sz w:val="24"/>
              <w:szCs w:val="24"/>
            </w:rPr>
            <w:fldChar w:fldCharType="end"/>
          </w:r>
        </w:p>
        <w:p w14:paraId="62A746BA">
          <w:pPr>
            <w:tabs>
              <w:tab w:val="right" w:leader="dot" w:pos="8320"/>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"bookmark213" </w:instrText>
          </w:r>
          <w:r>
            <w:fldChar w:fldCharType="separate"/>
          </w:r>
          <w:r>
            <w:rPr>
              <w:rFonts w:ascii="Times New Roman" w:hAnsi="Times New Roman" w:eastAsia="Times New Roman" w:cs="Times New Roman"/>
              <w:spacing w:val="-3"/>
              <w:sz w:val="24"/>
              <w:szCs w:val="24"/>
            </w:rPr>
            <w:t xml:space="preserve">19.  </w:t>
          </w:r>
          <w:r>
            <w:rPr>
              <w:rFonts w:ascii="宋体" w:hAnsi="宋体" w:eastAsia="宋体" w:cs="宋体"/>
              <w:spacing w:val="-3"/>
              <w:sz w:val="24"/>
              <w:szCs w:val="24"/>
            </w:rPr>
            <w:t>缺陷责任与保修责任</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163</w:t>
          </w:r>
          <w:r>
            <w:rPr>
              <w:rFonts w:ascii="Times New Roman" w:hAnsi="Times New Roman" w:eastAsia="Times New Roman" w:cs="Times New Roman"/>
              <w:spacing w:val="-10"/>
              <w:sz w:val="24"/>
              <w:szCs w:val="24"/>
            </w:rPr>
            <w:fldChar w:fldCharType="end"/>
          </w:r>
        </w:p>
        <w:p w14:paraId="3113CC34">
          <w:pPr>
            <w:tabs>
              <w:tab w:val="right" w:leader="dot" w:pos="8320"/>
            </w:tabs>
            <w:spacing w:before="133" w:line="185" w:lineRule="auto"/>
            <w:ind w:left="1279"/>
            <w:rPr>
              <w:rFonts w:ascii="Times New Roman" w:hAnsi="Times New Roman" w:eastAsia="Times New Roman" w:cs="Times New Roman"/>
              <w:sz w:val="24"/>
              <w:szCs w:val="24"/>
            </w:rPr>
          </w:pPr>
          <w:r>
            <w:fldChar w:fldCharType="begin"/>
          </w:r>
          <w:r>
            <w:instrText xml:space="preserve"> HYPERLINK \l "bookmark214" </w:instrText>
          </w:r>
          <w:r>
            <w:fldChar w:fldCharType="separate"/>
          </w:r>
          <w:r>
            <w:rPr>
              <w:rFonts w:ascii="Times New Roman" w:hAnsi="Times New Roman" w:eastAsia="Times New Roman" w:cs="Times New Roman"/>
              <w:spacing w:val="-4"/>
              <w:sz w:val="24"/>
              <w:szCs w:val="24"/>
            </w:rPr>
            <w:t>20.</w:t>
          </w:r>
          <w:r>
            <w:rPr>
              <w:rFonts w:ascii="Times New Roman" w:hAnsi="Times New Roman" w:eastAsia="Times New Roman" w:cs="Times New Roman"/>
              <w:spacing w:val="6"/>
              <w:sz w:val="24"/>
              <w:szCs w:val="24"/>
            </w:rPr>
            <w:t xml:space="preserve">  </w:t>
          </w:r>
          <w:r>
            <w:rPr>
              <w:rFonts w:ascii="宋体" w:hAnsi="宋体" w:eastAsia="宋体" w:cs="宋体"/>
              <w:spacing w:val="-4"/>
              <w:sz w:val="24"/>
              <w:szCs w:val="24"/>
            </w:rPr>
            <w:t>保险</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164</w:t>
          </w:r>
          <w:r>
            <w:rPr>
              <w:rFonts w:ascii="Times New Roman" w:hAnsi="Times New Roman" w:eastAsia="Times New Roman" w:cs="Times New Roman"/>
              <w:spacing w:val="-10"/>
              <w:sz w:val="24"/>
              <w:szCs w:val="24"/>
            </w:rPr>
            <w:fldChar w:fldCharType="end"/>
          </w:r>
        </w:p>
        <w:p w14:paraId="561B974B">
          <w:pPr>
            <w:tabs>
              <w:tab w:val="right" w:leader="dot" w:pos="8320"/>
            </w:tabs>
            <w:spacing w:before="136" w:line="184" w:lineRule="auto"/>
            <w:ind w:left="1279"/>
            <w:rPr>
              <w:rFonts w:ascii="Times New Roman" w:hAnsi="Times New Roman" w:eastAsia="Times New Roman" w:cs="Times New Roman"/>
              <w:sz w:val="24"/>
              <w:szCs w:val="24"/>
            </w:rPr>
          </w:pPr>
          <w:r>
            <w:fldChar w:fldCharType="begin"/>
          </w:r>
          <w:r>
            <w:instrText xml:space="preserve"> HYPERLINK \l "bookmark215" </w:instrText>
          </w:r>
          <w:r>
            <w:fldChar w:fldCharType="separate"/>
          </w:r>
          <w:r>
            <w:rPr>
              <w:rFonts w:ascii="Times New Roman" w:hAnsi="Times New Roman" w:eastAsia="Times New Roman" w:cs="Times New Roman"/>
              <w:spacing w:val="-3"/>
              <w:sz w:val="24"/>
              <w:szCs w:val="24"/>
            </w:rPr>
            <w:t>21.</w:t>
          </w:r>
          <w:r>
            <w:rPr>
              <w:rFonts w:ascii="Times New Roman" w:hAnsi="Times New Roman" w:eastAsia="Times New Roman" w:cs="Times New Roman"/>
              <w:spacing w:val="7"/>
              <w:sz w:val="24"/>
              <w:szCs w:val="24"/>
            </w:rPr>
            <w:t xml:space="preserve">  </w:t>
          </w:r>
          <w:r>
            <w:rPr>
              <w:rFonts w:ascii="宋体" w:hAnsi="宋体" w:eastAsia="宋体" w:cs="宋体"/>
              <w:spacing w:val="-3"/>
              <w:sz w:val="24"/>
              <w:szCs w:val="24"/>
            </w:rPr>
            <w:t>不可抗力</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166</w:t>
          </w:r>
          <w:r>
            <w:rPr>
              <w:rFonts w:ascii="Times New Roman" w:hAnsi="Times New Roman" w:eastAsia="Times New Roman" w:cs="Times New Roman"/>
              <w:spacing w:val="-10"/>
              <w:sz w:val="24"/>
              <w:szCs w:val="24"/>
            </w:rPr>
            <w:fldChar w:fldCharType="end"/>
          </w:r>
        </w:p>
        <w:p w14:paraId="735E1628">
          <w:pPr>
            <w:tabs>
              <w:tab w:val="right" w:leader="dot" w:pos="8320"/>
            </w:tabs>
            <w:spacing w:before="135" w:line="184" w:lineRule="auto"/>
            <w:ind w:left="1279"/>
            <w:rPr>
              <w:rFonts w:ascii="Times New Roman" w:hAnsi="Times New Roman" w:eastAsia="Times New Roman" w:cs="Times New Roman"/>
              <w:sz w:val="24"/>
              <w:szCs w:val="24"/>
            </w:rPr>
          </w:pPr>
          <w:r>
            <w:fldChar w:fldCharType="begin"/>
          </w:r>
          <w:r>
            <w:instrText xml:space="preserve"> HYPERLINK \l "bookmark216" </w:instrText>
          </w:r>
          <w:r>
            <w:fldChar w:fldCharType="separate"/>
          </w:r>
          <w:r>
            <w:rPr>
              <w:rFonts w:ascii="Times New Roman" w:hAnsi="Times New Roman" w:eastAsia="Times New Roman" w:cs="Times New Roman"/>
              <w:spacing w:val="-3"/>
              <w:sz w:val="24"/>
              <w:szCs w:val="24"/>
            </w:rPr>
            <w:t>22.</w:t>
          </w:r>
          <w:r>
            <w:rPr>
              <w:rFonts w:ascii="Times New Roman" w:hAnsi="Times New Roman" w:eastAsia="Times New Roman" w:cs="Times New Roman"/>
              <w:spacing w:val="4"/>
              <w:sz w:val="24"/>
              <w:szCs w:val="24"/>
            </w:rPr>
            <w:t xml:space="preserve">  </w:t>
          </w:r>
          <w:r>
            <w:rPr>
              <w:rFonts w:ascii="宋体" w:hAnsi="宋体" w:eastAsia="宋体" w:cs="宋体"/>
              <w:spacing w:val="-3"/>
              <w:sz w:val="24"/>
              <w:szCs w:val="24"/>
            </w:rPr>
            <w:t>违约</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167</w:t>
          </w:r>
          <w:r>
            <w:rPr>
              <w:rFonts w:ascii="Times New Roman" w:hAnsi="Times New Roman" w:eastAsia="Times New Roman" w:cs="Times New Roman"/>
              <w:spacing w:val="-10"/>
              <w:sz w:val="24"/>
              <w:szCs w:val="24"/>
            </w:rPr>
            <w:fldChar w:fldCharType="end"/>
          </w:r>
        </w:p>
        <w:p w14:paraId="67C2CEA2">
          <w:pPr>
            <w:tabs>
              <w:tab w:val="right" w:leader="dot" w:pos="8320"/>
            </w:tabs>
            <w:spacing w:before="133" w:line="185" w:lineRule="auto"/>
            <w:ind w:left="1279"/>
            <w:rPr>
              <w:rFonts w:ascii="Times New Roman" w:hAnsi="Times New Roman" w:eastAsia="Times New Roman" w:cs="Times New Roman"/>
              <w:sz w:val="24"/>
              <w:szCs w:val="24"/>
            </w:rPr>
          </w:pPr>
          <w:r>
            <w:fldChar w:fldCharType="begin"/>
          </w:r>
          <w:r>
            <w:instrText xml:space="preserve"> HYPERLINK \l "bookmark217" </w:instrText>
          </w:r>
          <w:r>
            <w:fldChar w:fldCharType="separate"/>
          </w:r>
          <w:r>
            <w:rPr>
              <w:rFonts w:ascii="Times New Roman" w:hAnsi="Times New Roman" w:eastAsia="Times New Roman" w:cs="Times New Roman"/>
              <w:spacing w:val="-4"/>
              <w:sz w:val="24"/>
              <w:szCs w:val="24"/>
            </w:rPr>
            <w:t>23.</w:t>
          </w:r>
          <w:r>
            <w:rPr>
              <w:rFonts w:ascii="Times New Roman" w:hAnsi="Times New Roman" w:eastAsia="Times New Roman" w:cs="Times New Roman"/>
              <w:spacing w:val="7"/>
              <w:sz w:val="24"/>
              <w:szCs w:val="24"/>
            </w:rPr>
            <w:t xml:space="preserve">  </w:t>
          </w:r>
          <w:r>
            <w:rPr>
              <w:rFonts w:ascii="宋体" w:hAnsi="宋体" w:eastAsia="宋体" w:cs="宋体"/>
              <w:spacing w:val="-4"/>
              <w:sz w:val="24"/>
              <w:szCs w:val="24"/>
            </w:rPr>
            <w:t>索赔</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169</w:t>
          </w:r>
          <w:r>
            <w:rPr>
              <w:rFonts w:ascii="Times New Roman" w:hAnsi="Times New Roman" w:eastAsia="Times New Roman" w:cs="Times New Roman"/>
              <w:spacing w:val="-10"/>
              <w:sz w:val="24"/>
              <w:szCs w:val="24"/>
            </w:rPr>
            <w:fldChar w:fldCharType="end"/>
          </w:r>
        </w:p>
        <w:p w14:paraId="7552EC32">
          <w:pPr>
            <w:tabs>
              <w:tab w:val="right" w:leader="dot" w:pos="8320"/>
            </w:tabs>
            <w:spacing w:before="137" w:line="184" w:lineRule="auto"/>
            <w:ind w:left="1279"/>
            <w:rPr>
              <w:rFonts w:ascii="Times New Roman" w:hAnsi="Times New Roman" w:eastAsia="Times New Roman" w:cs="Times New Roman"/>
              <w:sz w:val="24"/>
              <w:szCs w:val="24"/>
            </w:rPr>
          </w:pPr>
          <w:r>
            <w:fldChar w:fldCharType="begin"/>
          </w:r>
          <w:r>
            <w:instrText xml:space="preserve"> HYPERLINK \l "bookmark218" </w:instrText>
          </w:r>
          <w:r>
            <w:fldChar w:fldCharType="separate"/>
          </w:r>
          <w:r>
            <w:rPr>
              <w:rFonts w:ascii="Times New Roman" w:hAnsi="Times New Roman" w:eastAsia="Times New Roman" w:cs="Times New Roman"/>
              <w:spacing w:val="-3"/>
              <w:sz w:val="24"/>
              <w:szCs w:val="24"/>
            </w:rPr>
            <w:t>24.</w:t>
          </w:r>
          <w:r>
            <w:rPr>
              <w:rFonts w:ascii="Times New Roman" w:hAnsi="Times New Roman" w:eastAsia="Times New Roman" w:cs="Times New Roman"/>
              <w:spacing w:val="8"/>
              <w:sz w:val="24"/>
              <w:szCs w:val="24"/>
            </w:rPr>
            <w:t xml:space="preserve">  </w:t>
          </w:r>
          <w:r>
            <w:rPr>
              <w:rFonts w:ascii="宋体" w:hAnsi="宋体" w:eastAsia="宋体" w:cs="宋体"/>
              <w:spacing w:val="-3"/>
              <w:sz w:val="24"/>
              <w:szCs w:val="24"/>
            </w:rPr>
            <w:t>争议的解决</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170</w:t>
          </w:r>
          <w:r>
            <w:rPr>
              <w:rFonts w:ascii="Times New Roman" w:hAnsi="Times New Roman" w:eastAsia="Times New Roman" w:cs="Times New Roman"/>
              <w:spacing w:val="-10"/>
              <w:sz w:val="24"/>
              <w:szCs w:val="24"/>
            </w:rPr>
            <w:fldChar w:fldCharType="end"/>
          </w:r>
        </w:p>
        <w:p w14:paraId="4A636D94">
          <w:pPr>
            <w:tabs>
              <w:tab w:val="right" w:leader="dot" w:pos="8320"/>
            </w:tabs>
            <w:spacing w:before="132" w:line="185" w:lineRule="auto"/>
            <w:ind w:left="443"/>
            <w:rPr>
              <w:rFonts w:ascii="Times New Roman" w:hAnsi="Times New Roman" w:eastAsia="Times New Roman" w:cs="Times New Roman"/>
              <w:sz w:val="24"/>
              <w:szCs w:val="24"/>
            </w:rPr>
          </w:pPr>
          <w:r>
            <w:fldChar w:fldCharType="begin"/>
          </w:r>
          <w:r>
            <w:instrText xml:space="preserve"> HYPERLINK \l "bookmark219" </w:instrText>
          </w:r>
          <w:r>
            <w:fldChar w:fldCharType="separate"/>
          </w:r>
          <w:r>
            <w:rPr>
              <w:rFonts w:ascii="宋体" w:hAnsi="宋体" w:eastAsia="宋体" w:cs="宋体"/>
              <w:spacing w:val="-1"/>
              <w:sz w:val="24"/>
              <w:szCs w:val="24"/>
            </w:rPr>
            <w:t>第二节  专用合同条款</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172</w:t>
          </w:r>
          <w:r>
            <w:rPr>
              <w:rFonts w:ascii="Times New Roman" w:hAnsi="Times New Roman" w:eastAsia="Times New Roman" w:cs="Times New Roman"/>
              <w:spacing w:val="-10"/>
              <w:sz w:val="24"/>
              <w:szCs w:val="24"/>
            </w:rPr>
            <w:fldChar w:fldCharType="end"/>
          </w:r>
        </w:p>
        <w:p w14:paraId="6E47F5CB">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"bookmark220" </w:instrText>
          </w:r>
          <w:r>
            <w:fldChar w:fldCharType="separate"/>
          </w:r>
          <w:r>
            <w:rPr>
              <w:rFonts w:ascii="Times New Roman" w:hAnsi="Times New Roman" w:eastAsia="Times New Roman" w:cs="Times New Roman"/>
              <w:spacing w:val="-5"/>
              <w:sz w:val="24"/>
              <w:szCs w:val="24"/>
            </w:rPr>
            <w:t>1.</w:t>
          </w:r>
          <w:r>
            <w:rPr>
              <w:rFonts w:ascii="宋体" w:hAnsi="宋体" w:eastAsia="宋体" w:cs="宋体"/>
              <w:spacing w:val="-5"/>
              <w:sz w:val="24"/>
              <w:szCs w:val="24"/>
            </w:rPr>
            <w:t>一般约定</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173</w:t>
          </w:r>
          <w:r>
            <w:rPr>
              <w:rFonts w:ascii="Times New Roman" w:hAnsi="Times New Roman" w:eastAsia="Times New Roman" w:cs="Times New Roman"/>
              <w:spacing w:val="-10"/>
              <w:sz w:val="24"/>
              <w:szCs w:val="24"/>
            </w:rPr>
            <w:fldChar w:fldCharType="end"/>
          </w:r>
        </w:p>
        <w:p w14:paraId="7BBDACF8">
          <w:pPr>
            <w:tabs>
              <w:tab w:val="right" w:leader="dot" w:pos="8320"/>
            </w:tabs>
            <w:spacing w:before="135" w:line="219" w:lineRule="auto"/>
            <w:ind w:left="1279"/>
            <w:rPr>
              <w:rFonts w:ascii="Times New Roman" w:hAnsi="Times New Roman" w:eastAsia="Times New Roman" w:cs="Times New Roman"/>
              <w:sz w:val="24"/>
              <w:szCs w:val="24"/>
            </w:rPr>
          </w:pPr>
          <w:r>
            <w:fldChar w:fldCharType="begin"/>
          </w:r>
          <w:r>
            <w:instrText xml:space="preserve"> HYPERLINK \l "bookmark221" </w:instrText>
          </w:r>
          <w:r>
            <w:fldChar w:fldCharType="separate"/>
          </w:r>
          <w:r>
            <w:rPr>
              <w:rFonts w:ascii="Times New Roman" w:hAnsi="Times New Roman" w:eastAsia="Times New Roman" w:cs="Times New Roman"/>
              <w:spacing w:val="-1"/>
              <w:sz w:val="24"/>
              <w:szCs w:val="24"/>
            </w:rPr>
            <w:t>2.</w:t>
          </w:r>
          <w:r>
            <w:rPr>
              <w:rFonts w:ascii="宋体" w:hAnsi="宋体" w:eastAsia="宋体" w:cs="宋体"/>
              <w:spacing w:val="-1"/>
              <w:sz w:val="24"/>
              <w:szCs w:val="24"/>
            </w:rPr>
            <w:t>发包人义务</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176</w:t>
          </w:r>
          <w:r>
            <w:rPr>
              <w:rFonts w:ascii="Times New Roman" w:hAnsi="Times New Roman" w:eastAsia="Times New Roman" w:cs="Times New Roman"/>
              <w:spacing w:val="-10"/>
              <w:sz w:val="24"/>
              <w:szCs w:val="24"/>
            </w:rPr>
            <w:fldChar w:fldCharType="end"/>
          </w:r>
        </w:p>
      </w:sdtContent>
    </w:sdt>
    <w:p w14:paraId="1428747E">
      <w:pPr>
        <w:spacing w:line="219" w:lineRule="auto"/>
        <w:rPr>
          <w:rFonts w:ascii="Times New Roman" w:hAnsi="Times New Roman" w:eastAsia="Times New Roman" w:cs="Times New Roman"/>
          <w:sz w:val="24"/>
          <w:szCs w:val="24"/>
        </w:rPr>
        <w:sectPr>
          <w:footerReference r:id="rId15" w:type="default"/>
          <w:pgSz w:w="11906" w:h="16839"/>
          <w:pgMar w:top="1431" w:right="1785" w:bottom="1153" w:left="1785" w:header="0" w:footer="994" w:gutter="0"/>
          <w:cols w:space="720" w:num="1"/>
        </w:sectPr>
      </w:pPr>
    </w:p>
    <w:sdt>
      <w:sdtPr>
        <w:rPr>
          <w:rFonts w:ascii="Times New Roman" w:hAnsi="Times New Roman" w:eastAsia="Times New Roman" w:cs="Times New Roman"/>
          <w:sz w:val="24"/>
          <w:szCs w:val="24"/>
        </w:rPr>
        <w:id w:val="147469163"/>
        <w:docPartObj>
          <w:docPartGallery w:val="Table of Contents"/>
          <w:docPartUnique/>
        </w:docPartObj>
      </w:sdtPr>
      <w:sdtEndPr>
        <w:rPr>
          <w:rFonts w:ascii="Times New Roman" w:hAnsi="Times New Roman" w:eastAsia="Times New Roman" w:cs="Times New Roman"/>
          <w:sz w:val="24"/>
          <w:szCs w:val="24"/>
        </w:rPr>
      </w:sdtEndPr>
      <w:sdtContent>
        <w:p w14:paraId="4A73EEAF">
          <w:pPr>
            <w:tabs>
              <w:tab w:val="right" w:leader="dot" w:pos="8320"/>
            </w:tabs>
            <w:spacing w:before="77" w:line="184" w:lineRule="auto"/>
            <w:ind w:left="1283"/>
            <w:rPr>
              <w:rFonts w:ascii="Times New Roman" w:hAnsi="Times New Roman" w:eastAsia="Times New Roman" w:cs="Times New Roman"/>
              <w:sz w:val="24"/>
              <w:szCs w:val="24"/>
            </w:rPr>
          </w:pPr>
          <w:r>
            <w:fldChar w:fldCharType="begin"/>
          </w:r>
          <w:r>
            <w:instrText xml:space="preserve"> HYPERLINK \l "bookmark222" </w:instrText>
          </w:r>
          <w:r>
            <w:fldChar w:fldCharType="separate"/>
          </w:r>
          <w:r>
            <w:rPr>
              <w:rFonts w:ascii="Times New Roman" w:hAnsi="Times New Roman" w:eastAsia="Times New Roman" w:cs="Times New Roman"/>
              <w:spacing w:val="-2"/>
              <w:sz w:val="24"/>
              <w:szCs w:val="24"/>
            </w:rPr>
            <w:t>3.</w:t>
          </w:r>
          <w:r>
            <w:rPr>
              <w:rFonts w:ascii="宋体" w:hAnsi="宋体" w:eastAsia="宋体" w:cs="宋体"/>
              <w:spacing w:val="-2"/>
              <w:sz w:val="24"/>
              <w:szCs w:val="24"/>
            </w:rPr>
            <w:t>监理人</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177</w:t>
          </w:r>
          <w:r>
            <w:rPr>
              <w:rFonts w:ascii="Times New Roman" w:hAnsi="Times New Roman" w:eastAsia="Times New Roman" w:cs="Times New Roman"/>
              <w:spacing w:val="-10"/>
              <w:sz w:val="24"/>
              <w:szCs w:val="24"/>
            </w:rPr>
            <w:fldChar w:fldCharType="end"/>
          </w:r>
        </w:p>
        <w:p w14:paraId="440825A3">
          <w:pPr>
            <w:tabs>
              <w:tab w:val="right" w:leader="dot" w:pos="8320"/>
            </w:tabs>
            <w:spacing w:before="135" w:line="184" w:lineRule="auto"/>
            <w:ind w:left="1277"/>
            <w:rPr>
              <w:rFonts w:ascii="Times New Roman" w:hAnsi="Times New Roman" w:eastAsia="Times New Roman" w:cs="Times New Roman"/>
              <w:sz w:val="24"/>
              <w:szCs w:val="24"/>
            </w:rPr>
          </w:pPr>
          <w:r>
            <w:fldChar w:fldCharType="begin"/>
          </w:r>
          <w:r>
            <w:instrText xml:space="preserve"> HYPERLINK \l "bookmark223" </w:instrText>
          </w:r>
          <w:r>
            <w:fldChar w:fldCharType="separate"/>
          </w:r>
          <w:r>
            <w:rPr>
              <w:rFonts w:ascii="Times New Roman" w:hAnsi="Times New Roman" w:eastAsia="Times New Roman" w:cs="Times New Roman"/>
              <w:spacing w:val="-1"/>
              <w:sz w:val="24"/>
              <w:szCs w:val="24"/>
            </w:rPr>
            <w:t>4.</w:t>
          </w:r>
          <w:r>
            <w:rPr>
              <w:rFonts w:ascii="宋体" w:hAnsi="宋体" w:eastAsia="宋体" w:cs="宋体"/>
              <w:spacing w:val="-1"/>
              <w:sz w:val="24"/>
              <w:szCs w:val="24"/>
            </w:rPr>
            <w:t>承包人</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177</w:t>
          </w:r>
          <w:r>
            <w:rPr>
              <w:rFonts w:ascii="Times New Roman" w:hAnsi="Times New Roman" w:eastAsia="Times New Roman" w:cs="Times New Roman"/>
              <w:spacing w:val="-10"/>
              <w:sz w:val="24"/>
              <w:szCs w:val="24"/>
            </w:rPr>
            <w:fldChar w:fldCharType="end"/>
          </w:r>
        </w:p>
        <w:p w14:paraId="1D39C2EE">
          <w:pPr>
            <w:tabs>
              <w:tab w:val="right" w:leader="dot" w:pos="8320"/>
            </w:tabs>
            <w:spacing w:before="132" w:line="185" w:lineRule="auto"/>
            <w:ind w:left="1285"/>
            <w:rPr>
              <w:rFonts w:ascii="Times New Roman" w:hAnsi="Times New Roman" w:eastAsia="Times New Roman" w:cs="Times New Roman"/>
              <w:sz w:val="24"/>
              <w:szCs w:val="24"/>
            </w:rPr>
          </w:pPr>
          <w:r>
            <w:fldChar w:fldCharType="begin"/>
          </w:r>
          <w:r>
            <w:instrText xml:space="preserve"> HYPERLINK \l "bookmark224" </w:instrText>
          </w:r>
          <w:r>
            <w:fldChar w:fldCharType="separate"/>
          </w:r>
          <w:r>
            <w:rPr>
              <w:rFonts w:ascii="Times New Roman" w:hAnsi="Times New Roman" w:eastAsia="Times New Roman" w:cs="Times New Roman"/>
              <w:spacing w:val="-2"/>
              <w:sz w:val="24"/>
              <w:szCs w:val="24"/>
            </w:rPr>
            <w:t>5.</w:t>
          </w:r>
          <w:r>
            <w:rPr>
              <w:rFonts w:ascii="宋体" w:hAnsi="宋体" w:eastAsia="宋体" w:cs="宋体"/>
              <w:spacing w:val="-2"/>
              <w:sz w:val="24"/>
              <w:szCs w:val="24"/>
            </w:rPr>
            <w:t>材料和工程设备</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179</w:t>
          </w:r>
          <w:r>
            <w:rPr>
              <w:rFonts w:ascii="Times New Roman" w:hAnsi="Times New Roman" w:eastAsia="Times New Roman" w:cs="Times New Roman"/>
              <w:spacing w:val="-10"/>
              <w:sz w:val="24"/>
              <w:szCs w:val="24"/>
            </w:rPr>
            <w:fldChar w:fldCharType="end"/>
          </w:r>
        </w:p>
        <w:p w14:paraId="100973AC">
          <w:pPr>
            <w:tabs>
              <w:tab w:val="right" w:leader="dot" w:pos="8320"/>
            </w:tabs>
            <w:spacing w:before="136" w:line="184" w:lineRule="auto"/>
            <w:ind w:left="1284"/>
            <w:rPr>
              <w:rFonts w:ascii="Times New Roman" w:hAnsi="Times New Roman" w:eastAsia="Times New Roman" w:cs="Times New Roman"/>
              <w:sz w:val="24"/>
              <w:szCs w:val="24"/>
            </w:rPr>
          </w:pPr>
          <w:r>
            <w:fldChar w:fldCharType="begin"/>
          </w:r>
          <w:r>
            <w:instrText xml:space="preserve"> HYPERLINK \l "bookmark225" </w:instrText>
          </w:r>
          <w:r>
            <w:fldChar w:fldCharType="separate"/>
          </w:r>
          <w:r>
            <w:rPr>
              <w:rFonts w:ascii="Times New Roman" w:hAnsi="Times New Roman" w:eastAsia="Times New Roman" w:cs="Times New Roman"/>
              <w:spacing w:val="-1"/>
              <w:sz w:val="24"/>
              <w:szCs w:val="24"/>
            </w:rPr>
            <w:t>6.</w:t>
          </w:r>
          <w:r>
            <w:rPr>
              <w:rFonts w:ascii="宋体" w:hAnsi="宋体" w:eastAsia="宋体" w:cs="宋体"/>
              <w:spacing w:val="-1"/>
              <w:sz w:val="24"/>
              <w:szCs w:val="24"/>
            </w:rPr>
            <w:t>施工设备和临时设施</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180</w:t>
          </w:r>
          <w:r>
            <w:rPr>
              <w:rFonts w:ascii="Times New Roman" w:hAnsi="Times New Roman" w:eastAsia="Times New Roman" w:cs="Times New Roman"/>
              <w:spacing w:val="-10"/>
              <w:sz w:val="24"/>
              <w:szCs w:val="24"/>
            </w:rPr>
            <w:fldChar w:fldCharType="end"/>
          </w:r>
        </w:p>
        <w:p w14:paraId="4A471788">
          <w:pPr>
            <w:tabs>
              <w:tab w:val="right" w:leader="dot" w:pos="8320"/>
            </w:tabs>
            <w:spacing w:before="132" w:line="185" w:lineRule="auto"/>
            <w:ind w:left="1282"/>
            <w:rPr>
              <w:rFonts w:ascii="Times New Roman" w:hAnsi="Times New Roman" w:eastAsia="Times New Roman" w:cs="Times New Roman"/>
              <w:sz w:val="24"/>
              <w:szCs w:val="24"/>
            </w:rPr>
          </w:pPr>
          <w:r>
            <w:fldChar w:fldCharType="begin"/>
          </w:r>
          <w:r>
            <w:instrText xml:space="preserve"> HYPERLINK \l "bookmark226" </w:instrText>
          </w:r>
          <w:r>
            <w:fldChar w:fldCharType="separate"/>
          </w:r>
          <w:r>
            <w:rPr>
              <w:rFonts w:ascii="Times New Roman" w:hAnsi="Times New Roman" w:eastAsia="Times New Roman" w:cs="Times New Roman"/>
              <w:spacing w:val="-2"/>
              <w:sz w:val="24"/>
              <w:szCs w:val="24"/>
            </w:rPr>
            <w:t>7.</w:t>
          </w:r>
          <w:r>
            <w:rPr>
              <w:rFonts w:ascii="宋体" w:hAnsi="宋体" w:eastAsia="宋体" w:cs="宋体"/>
              <w:spacing w:val="-2"/>
              <w:sz w:val="24"/>
              <w:szCs w:val="24"/>
            </w:rPr>
            <w:t>交通运输</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180</w:t>
          </w:r>
          <w:r>
            <w:rPr>
              <w:rFonts w:ascii="Times New Roman" w:hAnsi="Times New Roman" w:eastAsia="Times New Roman" w:cs="Times New Roman"/>
              <w:spacing w:val="-10"/>
              <w:sz w:val="24"/>
              <w:szCs w:val="24"/>
            </w:rPr>
            <w:fldChar w:fldCharType="end"/>
          </w:r>
        </w:p>
        <w:p w14:paraId="5C86FBF3">
          <w:pPr>
            <w:tabs>
              <w:tab w:val="right" w:leader="dot" w:pos="8320"/>
            </w:tabs>
            <w:spacing w:before="137" w:line="184" w:lineRule="auto"/>
            <w:ind w:left="1288"/>
            <w:rPr>
              <w:rFonts w:ascii="Times New Roman" w:hAnsi="Times New Roman" w:eastAsia="Times New Roman" w:cs="Times New Roman"/>
              <w:sz w:val="24"/>
              <w:szCs w:val="24"/>
            </w:rPr>
          </w:pPr>
          <w:r>
            <w:fldChar w:fldCharType="begin"/>
          </w:r>
          <w:r>
            <w:instrText xml:space="preserve"> HYPERLINK \l "bookmark227" </w:instrText>
          </w:r>
          <w:r>
            <w:fldChar w:fldCharType="separate"/>
          </w:r>
          <w:r>
            <w:rPr>
              <w:rFonts w:ascii="Times New Roman" w:hAnsi="Times New Roman" w:eastAsia="Times New Roman" w:cs="Times New Roman"/>
              <w:spacing w:val="-3"/>
              <w:sz w:val="24"/>
              <w:szCs w:val="24"/>
            </w:rPr>
            <w:t>8.</w:t>
          </w:r>
          <w:r>
            <w:rPr>
              <w:rFonts w:ascii="宋体" w:hAnsi="宋体" w:eastAsia="宋体" w:cs="宋体"/>
              <w:spacing w:val="-3"/>
              <w:sz w:val="24"/>
              <w:szCs w:val="24"/>
            </w:rPr>
            <w:t>测量放线</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180</w:t>
          </w:r>
          <w:r>
            <w:rPr>
              <w:rFonts w:ascii="Times New Roman" w:hAnsi="Times New Roman" w:eastAsia="Times New Roman" w:cs="Times New Roman"/>
              <w:spacing w:val="-10"/>
              <w:sz w:val="24"/>
              <w:szCs w:val="24"/>
            </w:rPr>
            <w:fldChar w:fldCharType="end"/>
          </w:r>
        </w:p>
        <w:p w14:paraId="67913939">
          <w:pPr>
            <w:tabs>
              <w:tab w:val="right" w:leader="dot" w:pos="8320"/>
            </w:tabs>
            <w:spacing w:before="135" w:line="184" w:lineRule="auto"/>
            <w:ind w:left="1283"/>
            <w:rPr>
              <w:rFonts w:ascii="Times New Roman" w:hAnsi="Times New Roman" w:eastAsia="Times New Roman" w:cs="Times New Roman"/>
              <w:sz w:val="24"/>
              <w:szCs w:val="24"/>
            </w:rPr>
          </w:pPr>
          <w:r>
            <w:fldChar w:fldCharType="begin"/>
          </w:r>
          <w:r>
            <w:instrText xml:space="preserve"> HYPERLINK \l "bookmark228" </w:instrText>
          </w:r>
          <w:r>
            <w:fldChar w:fldCharType="separate"/>
          </w:r>
          <w:r>
            <w:rPr>
              <w:rFonts w:ascii="Times New Roman" w:hAnsi="Times New Roman" w:eastAsia="Times New Roman" w:cs="Times New Roman"/>
              <w:spacing w:val="-1"/>
              <w:sz w:val="24"/>
              <w:szCs w:val="24"/>
            </w:rPr>
            <w:t>9.</w:t>
          </w:r>
          <w:r>
            <w:rPr>
              <w:rFonts w:ascii="宋体" w:hAnsi="宋体" w:eastAsia="宋体" w:cs="宋体"/>
              <w:spacing w:val="-1"/>
              <w:sz w:val="24"/>
              <w:szCs w:val="24"/>
            </w:rPr>
            <w:t>施工安全、治安保卫和环境保护</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181</w:t>
          </w:r>
          <w:r>
            <w:rPr>
              <w:rFonts w:ascii="Times New Roman" w:hAnsi="Times New Roman" w:eastAsia="Times New Roman" w:cs="Times New Roman"/>
              <w:spacing w:val="-10"/>
              <w:sz w:val="24"/>
              <w:szCs w:val="24"/>
            </w:rPr>
            <w:fldChar w:fldCharType="end"/>
          </w:r>
        </w:p>
        <w:p w14:paraId="634F34C7">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"bookmark229" </w:instrText>
          </w:r>
          <w:r>
            <w:fldChar w:fldCharType="separate"/>
          </w:r>
          <w:r>
            <w:rPr>
              <w:rFonts w:ascii="Times New Roman" w:hAnsi="Times New Roman" w:eastAsia="Times New Roman" w:cs="Times New Roman"/>
              <w:spacing w:val="-5"/>
              <w:sz w:val="24"/>
              <w:szCs w:val="24"/>
            </w:rPr>
            <w:t>10.</w:t>
          </w:r>
          <w:r>
            <w:rPr>
              <w:rFonts w:ascii="宋体" w:hAnsi="宋体" w:eastAsia="宋体" w:cs="宋体"/>
              <w:spacing w:val="-5"/>
              <w:sz w:val="24"/>
              <w:szCs w:val="24"/>
            </w:rPr>
            <w:t>进度计划</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181</w:t>
          </w:r>
          <w:r>
            <w:rPr>
              <w:rFonts w:ascii="Times New Roman" w:hAnsi="Times New Roman" w:eastAsia="Times New Roman" w:cs="Times New Roman"/>
              <w:spacing w:val="-10"/>
              <w:sz w:val="24"/>
              <w:szCs w:val="24"/>
            </w:rPr>
            <w:fldChar w:fldCharType="end"/>
          </w:r>
        </w:p>
        <w:p w14:paraId="6368973B">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"bookmark230" </w:instrText>
          </w:r>
          <w:r>
            <w:fldChar w:fldCharType="separate"/>
          </w:r>
          <w:r>
            <w:rPr>
              <w:rFonts w:ascii="Times New Roman" w:hAnsi="Times New Roman" w:eastAsia="Times New Roman" w:cs="Times New Roman"/>
              <w:spacing w:val="-5"/>
              <w:sz w:val="24"/>
              <w:szCs w:val="24"/>
            </w:rPr>
            <w:t>11.</w:t>
          </w:r>
          <w:r>
            <w:rPr>
              <w:rFonts w:ascii="宋体" w:hAnsi="宋体" w:eastAsia="宋体" w:cs="宋体"/>
              <w:spacing w:val="-5"/>
              <w:sz w:val="24"/>
              <w:szCs w:val="24"/>
            </w:rPr>
            <w:t>开工和竣工</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6"/>
              <w:sz w:val="24"/>
              <w:szCs w:val="24"/>
            </w:rPr>
            <w:t xml:space="preserve"> </w:t>
          </w:r>
          <w:r>
            <w:rPr>
              <w:rFonts w:ascii="Times New Roman" w:hAnsi="Times New Roman" w:eastAsia="Times New Roman" w:cs="Times New Roman"/>
              <w:spacing w:val="-10"/>
              <w:sz w:val="24"/>
              <w:szCs w:val="24"/>
            </w:rPr>
            <w:t>182</w:t>
          </w:r>
          <w:r>
            <w:rPr>
              <w:rFonts w:ascii="Times New Roman" w:hAnsi="Times New Roman" w:eastAsia="Times New Roman" w:cs="Times New Roman"/>
              <w:spacing w:val="-10"/>
              <w:sz w:val="24"/>
              <w:szCs w:val="24"/>
            </w:rPr>
            <w:fldChar w:fldCharType="end"/>
          </w:r>
        </w:p>
        <w:p w14:paraId="6EDD9A30">
          <w:pPr>
            <w:tabs>
              <w:tab w:val="right" w:leader="dot" w:pos="8320"/>
            </w:tabs>
            <w:spacing w:before="133" w:line="184" w:lineRule="auto"/>
            <w:ind w:left="1302"/>
            <w:rPr>
              <w:rFonts w:ascii="Times New Roman" w:hAnsi="Times New Roman" w:eastAsia="Times New Roman" w:cs="Times New Roman"/>
              <w:sz w:val="24"/>
              <w:szCs w:val="24"/>
            </w:rPr>
          </w:pPr>
          <w:r>
            <w:fldChar w:fldCharType="begin"/>
          </w:r>
          <w:r>
            <w:instrText xml:space="preserve"> HYPERLINK \l "bookmark231" </w:instrText>
          </w:r>
          <w:r>
            <w:fldChar w:fldCharType="separate"/>
          </w:r>
          <w:r>
            <w:rPr>
              <w:rFonts w:ascii="Times New Roman" w:hAnsi="Times New Roman" w:eastAsia="Times New Roman" w:cs="Times New Roman"/>
              <w:spacing w:val="-5"/>
              <w:sz w:val="24"/>
              <w:szCs w:val="24"/>
            </w:rPr>
            <w:t>12.</w:t>
          </w:r>
          <w:r>
            <w:rPr>
              <w:rFonts w:ascii="宋体" w:hAnsi="宋体" w:eastAsia="宋体" w:cs="宋体"/>
              <w:spacing w:val="-5"/>
              <w:sz w:val="24"/>
              <w:szCs w:val="24"/>
            </w:rPr>
            <w:t>暂停施工</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182</w:t>
          </w:r>
          <w:r>
            <w:rPr>
              <w:rFonts w:ascii="Times New Roman" w:hAnsi="Times New Roman" w:eastAsia="Times New Roman" w:cs="Times New Roman"/>
              <w:spacing w:val="-10"/>
              <w:sz w:val="24"/>
              <w:szCs w:val="24"/>
            </w:rPr>
            <w:fldChar w:fldCharType="end"/>
          </w:r>
        </w:p>
        <w:p w14:paraId="3DFA30EE">
          <w:pPr>
            <w:tabs>
              <w:tab w:val="right" w:leader="dot" w:pos="8320"/>
            </w:tabs>
            <w:spacing w:before="135" w:line="185" w:lineRule="auto"/>
            <w:ind w:left="1302"/>
            <w:rPr>
              <w:rFonts w:ascii="Times New Roman" w:hAnsi="Times New Roman" w:eastAsia="Times New Roman" w:cs="Times New Roman"/>
              <w:sz w:val="24"/>
              <w:szCs w:val="24"/>
            </w:rPr>
          </w:pPr>
          <w:r>
            <w:fldChar w:fldCharType="begin"/>
          </w:r>
          <w:r>
            <w:instrText xml:space="preserve"> HYPERLINK \l "bookmark232" </w:instrText>
          </w:r>
          <w:r>
            <w:fldChar w:fldCharType="separate"/>
          </w:r>
          <w:r>
            <w:rPr>
              <w:rFonts w:ascii="Times New Roman" w:hAnsi="Times New Roman" w:eastAsia="Times New Roman" w:cs="Times New Roman"/>
              <w:spacing w:val="-5"/>
              <w:sz w:val="24"/>
              <w:szCs w:val="24"/>
            </w:rPr>
            <w:t>13.</w:t>
          </w:r>
          <w:r>
            <w:rPr>
              <w:rFonts w:ascii="宋体" w:hAnsi="宋体" w:eastAsia="宋体" w:cs="宋体"/>
              <w:spacing w:val="-5"/>
              <w:sz w:val="24"/>
              <w:szCs w:val="24"/>
            </w:rPr>
            <w:t>工程质量</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183</w:t>
          </w:r>
          <w:r>
            <w:rPr>
              <w:rFonts w:ascii="Times New Roman" w:hAnsi="Times New Roman" w:eastAsia="Times New Roman" w:cs="Times New Roman"/>
              <w:spacing w:val="-10"/>
              <w:sz w:val="24"/>
              <w:szCs w:val="24"/>
            </w:rPr>
            <w:fldChar w:fldCharType="end"/>
          </w:r>
        </w:p>
        <w:p w14:paraId="70441D80">
          <w:pPr>
            <w:tabs>
              <w:tab w:val="right" w:leader="dot" w:pos="8320"/>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"bookmark233" </w:instrText>
          </w:r>
          <w:r>
            <w:fldChar w:fldCharType="separate"/>
          </w:r>
          <w:r>
            <w:rPr>
              <w:rFonts w:ascii="Times New Roman" w:hAnsi="Times New Roman" w:eastAsia="Times New Roman" w:cs="Times New Roman"/>
              <w:spacing w:val="-6"/>
              <w:sz w:val="24"/>
              <w:szCs w:val="24"/>
            </w:rPr>
            <w:t>15.</w:t>
          </w:r>
          <w:r>
            <w:rPr>
              <w:rFonts w:ascii="宋体" w:hAnsi="宋体" w:eastAsia="宋体" w:cs="宋体"/>
              <w:spacing w:val="-6"/>
              <w:sz w:val="24"/>
              <w:szCs w:val="24"/>
            </w:rPr>
            <w:t>变更</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183</w:t>
          </w:r>
          <w:r>
            <w:rPr>
              <w:rFonts w:ascii="Times New Roman" w:hAnsi="Times New Roman" w:eastAsia="Times New Roman" w:cs="Times New Roman"/>
              <w:spacing w:val="-10"/>
              <w:sz w:val="24"/>
              <w:szCs w:val="24"/>
            </w:rPr>
            <w:fldChar w:fldCharType="end"/>
          </w:r>
        </w:p>
        <w:p w14:paraId="3381FEEB">
          <w:pPr>
            <w:tabs>
              <w:tab w:val="right" w:leader="dot" w:pos="8320"/>
            </w:tabs>
            <w:spacing w:before="133" w:line="185" w:lineRule="auto"/>
            <w:ind w:left="1302"/>
            <w:rPr>
              <w:rFonts w:ascii="Times New Roman" w:hAnsi="Times New Roman" w:eastAsia="Times New Roman" w:cs="Times New Roman"/>
              <w:sz w:val="24"/>
              <w:szCs w:val="24"/>
            </w:rPr>
          </w:pPr>
          <w:r>
            <w:fldChar w:fldCharType="begin"/>
          </w:r>
          <w:r>
            <w:instrText xml:space="preserve"> HYPERLINK \l "bookmark234" </w:instrText>
          </w:r>
          <w:r>
            <w:fldChar w:fldCharType="separate"/>
          </w:r>
          <w:r>
            <w:rPr>
              <w:rFonts w:ascii="Times New Roman" w:hAnsi="Times New Roman" w:eastAsia="Times New Roman" w:cs="Times New Roman"/>
              <w:spacing w:val="-5"/>
              <w:sz w:val="24"/>
              <w:szCs w:val="24"/>
            </w:rPr>
            <w:t>16.</w:t>
          </w:r>
          <w:r>
            <w:rPr>
              <w:rFonts w:ascii="宋体" w:hAnsi="宋体" w:eastAsia="宋体" w:cs="宋体"/>
              <w:spacing w:val="-5"/>
              <w:sz w:val="24"/>
              <w:szCs w:val="24"/>
            </w:rPr>
            <w:t>价格调整</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185</w:t>
          </w:r>
          <w:r>
            <w:rPr>
              <w:rFonts w:ascii="Times New Roman" w:hAnsi="Times New Roman" w:eastAsia="Times New Roman" w:cs="Times New Roman"/>
              <w:spacing w:val="-10"/>
              <w:sz w:val="24"/>
              <w:szCs w:val="24"/>
            </w:rPr>
            <w:fldChar w:fldCharType="end"/>
          </w:r>
        </w:p>
        <w:p w14:paraId="789F839D">
          <w:pPr>
            <w:tabs>
              <w:tab w:val="right" w:leader="dot" w:pos="8320"/>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"bookmark235" </w:instrText>
          </w:r>
          <w:r>
            <w:fldChar w:fldCharType="separate"/>
          </w:r>
          <w:r>
            <w:rPr>
              <w:rFonts w:ascii="Times New Roman" w:hAnsi="Times New Roman" w:eastAsia="Times New Roman" w:cs="Times New Roman"/>
              <w:spacing w:val="-4"/>
              <w:sz w:val="24"/>
              <w:szCs w:val="24"/>
            </w:rPr>
            <w:t>17.</w:t>
          </w:r>
          <w:r>
            <w:rPr>
              <w:rFonts w:ascii="宋体" w:hAnsi="宋体" w:eastAsia="宋体" w:cs="宋体"/>
              <w:spacing w:val="-4"/>
              <w:sz w:val="24"/>
              <w:szCs w:val="24"/>
            </w:rPr>
            <w:t>计量与支付</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185</w:t>
          </w:r>
          <w:r>
            <w:rPr>
              <w:rFonts w:ascii="Times New Roman" w:hAnsi="Times New Roman" w:eastAsia="Times New Roman" w:cs="Times New Roman"/>
              <w:spacing w:val="-10"/>
              <w:sz w:val="24"/>
              <w:szCs w:val="24"/>
            </w:rPr>
            <w:fldChar w:fldCharType="end"/>
          </w:r>
        </w:p>
        <w:p w14:paraId="76EB02C7">
          <w:pPr>
            <w:tabs>
              <w:tab w:val="right" w:leader="dot" w:pos="8320"/>
            </w:tabs>
            <w:spacing w:before="133" w:line="184" w:lineRule="auto"/>
            <w:ind w:left="1302"/>
            <w:rPr>
              <w:rFonts w:ascii="Times New Roman" w:hAnsi="Times New Roman" w:eastAsia="Times New Roman" w:cs="Times New Roman"/>
              <w:sz w:val="24"/>
              <w:szCs w:val="24"/>
            </w:rPr>
          </w:pPr>
          <w:r>
            <w:fldChar w:fldCharType="begin"/>
          </w:r>
          <w:r>
            <w:instrText xml:space="preserve"> HYPERLINK \l "bookmark236" </w:instrText>
          </w:r>
          <w:r>
            <w:fldChar w:fldCharType="separate"/>
          </w:r>
          <w:r>
            <w:rPr>
              <w:rFonts w:ascii="Times New Roman" w:hAnsi="Times New Roman" w:eastAsia="Times New Roman" w:cs="Times New Roman"/>
              <w:spacing w:val="-5"/>
              <w:sz w:val="24"/>
              <w:szCs w:val="24"/>
            </w:rPr>
            <w:t>18.</w:t>
          </w:r>
          <w:r>
            <w:rPr>
              <w:rFonts w:ascii="宋体" w:hAnsi="宋体" w:eastAsia="宋体" w:cs="宋体"/>
              <w:spacing w:val="-5"/>
              <w:sz w:val="24"/>
              <w:szCs w:val="24"/>
            </w:rPr>
            <w:t>竣工验收</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189</w:t>
          </w:r>
          <w:r>
            <w:rPr>
              <w:rFonts w:ascii="Times New Roman" w:hAnsi="Times New Roman" w:eastAsia="Times New Roman" w:cs="Times New Roman"/>
              <w:spacing w:val="-10"/>
              <w:sz w:val="24"/>
              <w:szCs w:val="24"/>
            </w:rPr>
            <w:fldChar w:fldCharType="end"/>
          </w:r>
        </w:p>
        <w:p w14:paraId="06FED36E">
          <w:pPr>
            <w:tabs>
              <w:tab w:val="right" w:leader="dot" w:pos="8320"/>
            </w:tabs>
            <w:spacing w:before="135" w:line="185" w:lineRule="auto"/>
            <w:ind w:left="1302"/>
            <w:rPr>
              <w:rFonts w:ascii="Times New Roman" w:hAnsi="Times New Roman" w:eastAsia="Times New Roman" w:cs="Times New Roman"/>
              <w:sz w:val="24"/>
              <w:szCs w:val="24"/>
            </w:rPr>
          </w:pPr>
          <w:r>
            <w:fldChar w:fldCharType="begin"/>
          </w:r>
          <w:r>
            <w:instrText xml:space="preserve"> HYPERLINK \l "bookmark237" </w:instrText>
          </w:r>
          <w:r>
            <w:fldChar w:fldCharType="separate"/>
          </w:r>
          <w:r>
            <w:rPr>
              <w:rFonts w:ascii="Times New Roman" w:hAnsi="Times New Roman" w:eastAsia="Times New Roman" w:cs="Times New Roman"/>
              <w:spacing w:val="-3"/>
              <w:sz w:val="24"/>
              <w:szCs w:val="24"/>
            </w:rPr>
            <w:t>19.</w:t>
          </w:r>
          <w:r>
            <w:rPr>
              <w:rFonts w:ascii="宋体" w:hAnsi="宋体" w:eastAsia="宋体" w:cs="宋体"/>
              <w:spacing w:val="-3"/>
              <w:sz w:val="24"/>
              <w:szCs w:val="24"/>
            </w:rPr>
            <w:t>缺陷责任与保修责任</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191</w:t>
          </w:r>
          <w:r>
            <w:rPr>
              <w:rFonts w:ascii="Times New Roman" w:hAnsi="Times New Roman" w:eastAsia="Times New Roman" w:cs="Times New Roman"/>
              <w:spacing w:val="-10"/>
              <w:sz w:val="24"/>
              <w:szCs w:val="24"/>
            </w:rPr>
            <w:fldChar w:fldCharType="end"/>
          </w:r>
        </w:p>
        <w:p w14:paraId="2B337469">
          <w:pPr>
            <w:tabs>
              <w:tab w:val="right" w:leader="dot" w:pos="8320"/>
            </w:tabs>
            <w:spacing w:before="137" w:line="184" w:lineRule="auto"/>
            <w:ind w:left="1279"/>
            <w:rPr>
              <w:rFonts w:ascii="Times New Roman" w:hAnsi="Times New Roman" w:eastAsia="Times New Roman" w:cs="Times New Roman"/>
              <w:sz w:val="24"/>
              <w:szCs w:val="24"/>
            </w:rPr>
          </w:pPr>
          <w:r>
            <w:fldChar w:fldCharType="begin"/>
          </w:r>
          <w:r>
            <w:instrText xml:space="preserve"> HYPERLINK \l "bookmark238" </w:instrText>
          </w:r>
          <w:r>
            <w:fldChar w:fldCharType="separate"/>
          </w:r>
          <w:r>
            <w:rPr>
              <w:rFonts w:ascii="Times New Roman" w:hAnsi="Times New Roman" w:eastAsia="Times New Roman" w:cs="Times New Roman"/>
              <w:spacing w:val="-2"/>
              <w:sz w:val="24"/>
              <w:szCs w:val="24"/>
            </w:rPr>
            <w:t>20.</w:t>
          </w:r>
          <w:r>
            <w:rPr>
              <w:rFonts w:ascii="宋体" w:hAnsi="宋体" w:eastAsia="宋体" w:cs="宋体"/>
              <w:spacing w:val="-2"/>
              <w:sz w:val="24"/>
              <w:szCs w:val="24"/>
            </w:rPr>
            <w:t>保险</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191</w:t>
          </w:r>
          <w:r>
            <w:rPr>
              <w:rFonts w:ascii="Times New Roman" w:hAnsi="Times New Roman" w:eastAsia="Times New Roman" w:cs="Times New Roman"/>
              <w:spacing w:val="-10"/>
              <w:sz w:val="24"/>
              <w:szCs w:val="24"/>
            </w:rPr>
            <w:fldChar w:fldCharType="end"/>
          </w:r>
        </w:p>
        <w:p w14:paraId="45DA8BB2">
          <w:pPr>
            <w:tabs>
              <w:tab w:val="right" w:leader="dot" w:pos="8320"/>
            </w:tabs>
            <w:spacing w:before="132" w:line="185" w:lineRule="auto"/>
            <w:ind w:left="1279"/>
            <w:rPr>
              <w:rFonts w:ascii="Times New Roman" w:hAnsi="Times New Roman" w:eastAsia="Times New Roman" w:cs="Times New Roman"/>
              <w:sz w:val="24"/>
              <w:szCs w:val="24"/>
            </w:rPr>
          </w:pPr>
          <w:r>
            <w:fldChar w:fldCharType="begin"/>
          </w:r>
          <w:r>
            <w:instrText xml:space="preserve"> HYPERLINK \l "bookmark239" </w:instrText>
          </w:r>
          <w:r>
            <w:fldChar w:fldCharType="separate"/>
          </w:r>
          <w:r>
            <w:rPr>
              <w:rFonts w:ascii="Times New Roman" w:hAnsi="Times New Roman" w:eastAsia="Times New Roman" w:cs="Times New Roman"/>
              <w:spacing w:val="-1"/>
              <w:sz w:val="24"/>
              <w:szCs w:val="24"/>
            </w:rPr>
            <w:t>21.</w:t>
          </w:r>
          <w:r>
            <w:rPr>
              <w:rFonts w:ascii="宋体" w:hAnsi="宋体" w:eastAsia="宋体" w:cs="宋体"/>
              <w:spacing w:val="-1"/>
              <w:sz w:val="24"/>
              <w:szCs w:val="24"/>
            </w:rPr>
            <w:t>不可抗力</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191</w:t>
          </w:r>
          <w:r>
            <w:rPr>
              <w:rFonts w:ascii="Times New Roman" w:hAnsi="Times New Roman" w:eastAsia="Times New Roman" w:cs="Times New Roman"/>
              <w:spacing w:val="-10"/>
              <w:sz w:val="24"/>
              <w:szCs w:val="24"/>
            </w:rPr>
            <w:fldChar w:fldCharType="end"/>
          </w:r>
        </w:p>
        <w:p w14:paraId="48018734">
          <w:pPr>
            <w:tabs>
              <w:tab w:val="right" w:leader="dot" w:pos="8320"/>
            </w:tabs>
            <w:spacing w:before="137" w:line="184" w:lineRule="auto"/>
            <w:ind w:left="1279"/>
            <w:rPr>
              <w:rFonts w:ascii="Times New Roman" w:hAnsi="Times New Roman" w:eastAsia="Times New Roman" w:cs="Times New Roman"/>
              <w:sz w:val="24"/>
              <w:szCs w:val="24"/>
            </w:rPr>
          </w:pPr>
          <w:r>
            <w:fldChar w:fldCharType="begin"/>
          </w:r>
          <w:r>
            <w:instrText xml:space="preserve"> HYPERLINK \l "bookmark240" </w:instrText>
          </w:r>
          <w:r>
            <w:fldChar w:fldCharType="separate"/>
          </w:r>
          <w:r>
            <w:rPr>
              <w:rFonts w:ascii="Times New Roman" w:hAnsi="Times New Roman" w:eastAsia="Times New Roman" w:cs="Times New Roman"/>
              <w:spacing w:val="-1"/>
              <w:sz w:val="24"/>
              <w:szCs w:val="24"/>
            </w:rPr>
            <w:t>24.</w:t>
          </w:r>
          <w:r>
            <w:rPr>
              <w:rFonts w:ascii="宋体" w:hAnsi="宋体" w:eastAsia="宋体" w:cs="宋体"/>
              <w:spacing w:val="-1"/>
              <w:sz w:val="24"/>
              <w:szCs w:val="24"/>
            </w:rPr>
            <w:t>争议的解决</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192</w:t>
          </w:r>
          <w:r>
            <w:rPr>
              <w:rFonts w:ascii="Times New Roman" w:hAnsi="Times New Roman" w:eastAsia="Times New Roman" w:cs="Times New Roman"/>
              <w:spacing w:val="-10"/>
              <w:sz w:val="24"/>
              <w:szCs w:val="24"/>
            </w:rPr>
            <w:fldChar w:fldCharType="end"/>
          </w:r>
        </w:p>
        <w:p w14:paraId="226D7451">
          <w:pPr>
            <w:tabs>
              <w:tab w:val="right" w:leader="dot" w:pos="8320"/>
            </w:tabs>
            <w:spacing w:before="133" w:line="184" w:lineRule="auto"/>
            <w:ind w:left="443"/>
            <w:rPr>
              <w:rFonts w:ascii="Times New Roman" w:hAnsi="Times New Roman" w:eastAsia="Times New Roman" w:cs="Times New Roman"/>
              <w:sz w:val="24"/>
              <w:szCs w:val="24"/>
            </w:rPr>
          </w:pPr>
          <w:r>
            <w:fldChar w:fldCharType="begin"/>
          </w:r>
          <w:r>
            <w:instrText xml:space="preserve"> HYPERLINK \l "bookmark241" </w:instrText>
          </w:r>
          <w:r>
            <w:fldChar w:fldCharType="separate"/>
          </w:r>
          <w:r>
            <w:rPr>
              <w:rFonts w:ascii="宋体" w:hAnsi="宋体" w:eastAsia="宋体" w:cs="宋体"/>
              <w:spacing w:val="-1"/>
              <w:sz w:val="24"/>
              <w:szCs w:val="24"/>
            </w:rPr>
            <w:t>第三节  合同附件格式</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193</w:t>
          </w:r>
          <w:r>
            <w:rPr>
              <w:rFonts w:ascii="Times New Roman" w:hAnsi="Times New Roman" w:eastAsia="Times New Roman" w:cs="Times New Roman"/>
              <w:spacing w:val="-10"/>
              <w:sz w:val="24"/>
              <w:szCs w:val="24"/>
            </w:rPr>
            <w:fldChar w:fldCharType="end"/>
          </w:r>
        </w:p>
        <w:p w14:paraId="5AA6CA8B">
          <w:pPr>
            <w:pStyle w:val="2"/>
            <w:tabs>
              <w:tab w:val="right" w:leader="dot" w:pos="8320"/>
            </w:tabs>
            <w:spacing w:before="134" w:line="188" w:lineRule="auto"/>
            <w:ind w:left="23"/>
            <w:rPr>
              <w:rFonts w:ascii="Times New Roman" w:hAnsi="Times New Roman" w:eastAsia="Times New Roman" w:cs="Times New Roman"/>
              <w:sz w:val="24"/>
              <w:szCs w:val="24"/>
            </w:rPr>
          </w:pPr>
          <w:r>
            <w:fldChar w:fldCharType="begin"/>
          </w:r>
          <w:r>
            <w:instrText xml:space="preserve"> HYPERLINK \l "bookmark242" </w:instrText>
          </w:r>
          <w:r>
            <w:fldChar w:fldCharType="separate"/>
          </w:r>
          <w:r>
            <w:rPr>
              <w:spacing w:val="-1"/>
              <w:sz w:val="24"/>
              <w:szCs w:val="24"/>
            </w:rPr>
            <w:t>第四章  合同条款及格式</w:t>
          </w:r>
          <w:r>
            <w:rPr>
              <w:spacing w:val="-73"/>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205</w:t>
          </w:r>
          <w:r>
            <w:rPr>
              <w:rFonts w:ascii="Times New Roman" w:hAnsi="Times New Roman" w:eastAsia="Times New Roman" w:cs="Times New Roman"/>
              <w:spacing w:val="-2"/>
              <w:sz w:val="24"/>
              <w:szCs w:val="24"/>
            </w:rPr>
            <w:fldChar w:fldCharType="end"/>
          </w:r>
        </w:p>
        <w:p w14:paraId="59B6A68B">
          <w:pPr>
            <w:tabs>
              <w:tab w:val="right" w:leader="dot" w:pos="8320"/>
            </w:tabs>
            <w:spacing w:before="133" w:line="184" w:lineRule="auto"/>
            <w:ind w:left="443"/>
            <w:rPr>
              <w:rFonts w:ascii="Times New Roman" w:hAnsi="Times New Roman" w:eastAsia="Times New Roman" w:cs="Times New Roman"/>
              <w:sz w:val="24"/>
              <w:szCs w:val="24"/>
            </w:rPr>
          </w:pPr>
          <w:r>
            <w:fldChar w:fldCharType="begin"/>
          </w:r>
          <w:r>
            <w:instrText xml:space="preserve"> HYPERLINK \l "bookmark243" </w:instrText>
          </w:r>
          <w:r>
            <w:fldChar w:fldCharType="separate"/>
          </w:r>
          <w:r>
            <w:rPr>
              <w:rFonts w:ascii="宋体" w:hAnsi="宋体" w:eastAsia="宋体" w:cs="宋体"/>
              <w:spacing w:val="-1"/>
              <w:sz w:val="24"/>
              <w:szCs w:val="24"/>
            </w:rPr>
            <w:t>第一部分 合同协议书</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206</w:t>
          </w:r>
          <w:r>
            <w:rPr>
              <w:rFonts w:ascii="Times New Roman" w:hAnsi="Times New Roman" w:eastAsia="Times New Roman" w:cs="Times New Roman"/>
              <w:spacing w:val="-2"/>
              <w:sz w:val="24"/>
              <w:szCs w:val="24"/>
            </w:rPr>
            <w:fldChar w:fldCharType="end"/>
          </w:r>
        </w:p>
        <w:p w14:paraId="25B9298F">
          <w:pPr>
            <w:tabs>
              <w:tab w:val="right" w:leader="dot" w:pos="8320"/>
            </w:tabs>
            <w:spacing w:before="133" w:line="185" w:lineRule="auto"/>
            <w:ind w:left="443"/>
            <w:rPr>
              <w:rFonts w:ascii="Times New Roman" w:hAnsi="Times New Roman" w:eastAsia="Times New Roman" w:cs="Times New Roman"/>
              <w:sz w:val="24"/>
              <w:szCs w:val="24"/>
            </w:rPr>
          </w:pPr>
          <w:r>
            <w:fldChar w:fldCharType="begin"/>
          </w:r>
          <w:r>
            <w:instrText xml:space="preserve"> HYPERLINK \l "bookmark244" </w:instrText>
          </w:r>
          <w:r>
            <w:fldChar w:fldCharType="separate"/>
          </w:r>
          <w:r>
            <w:rPr>
              <w:rFonts w:ascii="宋体" w:hAnsi="宋体" w:eastAsia="宋体" w:cs="宋体"/>
              <w:spacing w:val="-1"/>
              <w:sz w:val="24"/>
              <w:szCs w:val="24"/>
            </w:rPr>
            <w:t>第二部分 通用合同条款</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210</w:t>
          </w:r>
          <w:r>
            <w:rPr>
              <w:rFonts w:ascii="Times New Roman" w:hAnsi="Times New Roman" w:eastAsia="Times New Roman" w:cs="Times New Roman"/>
              <w:spacing w:val="-2"/>
              <w:sz w:val="24"/>
              <w:szCs w:val="24"/>
            </w:rPr>
            <w:fldChar w:fldCharType="end"/>
          </w:r>
        </w:p>
        <w:p w14:paraId="0311F925">
          <w:pPr>
            <w:tabs>
              <w:tab w:val="right" w:leader="dot" w:pos="8322"/>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"bookmark245" </w:instrText>
          </w:r>
          <w:r>
            <w:fldChar w:fldCharType="separate"/>
          </w:r>
          <w:r>
            <w:rPr>
              <w:rFonts w:ascii="Times New Roman" w:hAnsi="Times New Roman" w:eastAsia="Times New Roman" w:cs="Times New Roman"/>
              <w:spacing w:val="-7"/>
              <w:sz w:val="24"/>
              <w:szCs w:val="24"/>
            </w:rPr>
            <w:t>1.</w:t>
          </w:r>
          <w:r>
            <w:rPr>
              <w:rFonts w:ascii="Times New Roman" w:hAnsi="Times New Roman" w:eastAsia="Times New Roman" w:cs="Times New Roman"/>
              <w:spacing w:val="6"/>
              <w:sz w:val="24"/>
              <w:szCs w:val="24"/>
            </w:rPr>
            <w:t xml:space="preserve">  </w:t>
          </w:r>
          <w:r>
            <w:rPr>
              <w:rFonts w:ascii="宋体" w:hAnsi="宋体" w:eastAsia="宋体" w:cs="宋体"/>
              <w:spacing w:val="-7"/>
              <w:sz w:val="24"/>
              <w:szCs w:val="24"/>
            </w:rPr>
            <w:t>一般约定</w:t>
          </w:r>
          <w:r>
            <w:rPr>
              <w:rFonts w:ascii="宋体" w:hAnsi="宋体" w:eastAsia="宋体" w:cs="宋体"/>
              <w:spacing w:val="-74"/>
              <w:sz w:val="24"/>
              <w:szCs w:val="24"/>
            </w:rPr>
            <w:t xml:space="preserve"> </w:t>
          </w:r>
          <w:r>
            <w:rPr>
              <w:rFonts w:ascii="宋体" w:hAnsi="宋体" w:eastAsia="宋体" w:cs="宋体"/>
              <w:sz w:val="24"/>
              <w:szCs w:val="24"/>
            </w:rPr>
            <w:tab/>
          </w:r>
          <w:r>
            <w:rPr>
              <w:rFonts w:ascii="Times New Roman" w:hAnsi="Times New Roman" w:eastAsia="Times New Roman" w:cs="Times New Roman"/>
              <w:spacing w:val="2"/>
              <w:sz w:val="24"/>
              <w:szCs w:val="24"/>
            </w:rPr>
            <w:t>211</w:t>
          </w:r>
          <w:r>
            <w:rPr>
              <w:rFonts w:ascii="Times New Roman" w:hAnsi="Times New Roman" w:eastAsia="Times New Roman" w:cs="Times New Roman"/>
              <w:spacing w:val="2"/>
              <w:sz w:val="24"/>
              <w:szCs w:val="24"/>
            </w:rPr>
            <w:fldChar w:fldCharType="end"/>
          </w:r>
        </w:p>
        <w:p w14:paraId="31E020CA">
          <w:pPr>
            <w:tabs>
              <w:tab w:val="right" w:leader="dot" w:pos="8320"/>
            </w:tabs>
            <w:spacing w:before="133" w:line="185" w:lineRule="auto"/>
            <w:ind w:left="1279"/>
            <w:rPr>
              <w:rFonts w:ascii="Times New Roman" w:hAnsi="Times New Roman" w:eastAsia="Times New Roman" w:cs="Times New Roman"/>
              <w:sz w:val="24"/>
              <w:szCs w:val="24"/>
            </w:rPr>
          </w:pPr>
          <w:r>
            <w:fldChar w:fldCharType="begin"/>
          </w:r>
          <w:r>
            <w:instrText xml:space="preserve"> HYPERLINK \l "bookmark246" </w:instrText>
          </w:r>
          <w:r>
            <w:fldChar w:fldCharType="separate"/>
          </w:r>
          <w:r>
            <w:rPr>
              <w:rFonts w:ascii="Times New Roman" w:hAnsi="Times New Roman" w:eastAsia="Times New Roman" w:cs="Times New Roman"/>
              <w:spacing w:val="-4"/>
              <w:sz w:val="24"/>
              <w:szCs w:val="24"/>
            </w:rPr>
            <w:t>2.</w:t>
          </w:r>
          <w:r>
            <w:rPr>
              <w:rFonts w:ascii="Times New Roman" w:hAnsi="Times New Roman" w:eastAsia="Times New Roman" w:cs="Times New Roman"/>
              <w:spacing w:val="6"/>
              <w:sz w:val="24"/>
              <w:szCs w:val="24"/>
            </w:rPr>
            <w:t xml:space="preserve">  </w:t>
          </w:r>
          <w:r>
            <w:rPr>
              <w:rFonts w:ascii="宋体" w:hAnsi="宋体" w:eastAsia="宋体" w:cs="宋体"/>
              <w:spacing w:val="-4"/>
              <w:sz w:val="24"/>
              <w:szCs w:val="24"/>
            </w:rPr>
            <w:t>发包人</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217</w:t>
          </w:r>
          <w:r>
            <w:rPr>
              <w:rFonts w:ascii="Times New Roman" w:hAnsi="Times New Roman" w:eastAsia="Times New Roman" w:cs="Times New Roman"/>
              <w:spacing w:val="-2"/>
              <w:sz w:val="24"/>
              <w:szCs w:val="24"/>
            </w:rPr>
            <w:fldChar w:fldCharType="end"/>
          </w:r>
        </w:p>
        <w:p w14:paraId="4B14991C">
          <w:pPr>
            <w:tabs>
              <w:tab w:val="right" w:leader="dot" w:pos="8320"/>
            </w:tabs>
            <w:spacing w:before="136" w:line="184" w:lineRule="auto"/>
            <w:ind w:left="1283"/>
            <w:rPr>
              <w:rFonts w:ascii="Times New Roman" w:hAnsi="Times New Roman" w:eastAsia="Times New Roman" w:cs="Times New Roman"/>
              <w:sz w:val="24"/>
              <w:szCs w:val="24"/>
            </w:rPr>
          </w:pPr>
          <w:r>
            <w:fldChar w:fldCharType="begin"/>
          </w:r>
          <w:r>
            <w:instrText xml:space="preserve"> HYPERLINK \l "bookmark247" </w:instrText>
          </w:r>
          <w:r>
            <w:fldChar w:fldCharType="separate"/>
          </w:r>
          <w:r>
            <w:rPr>
              <w:rFonts w:ascii="Times New Roman" w:hAnsi="Times New Roman" w:eastAsia="Times New Roman" w:cs="Times New Roman"/>
              <w:spacing w:val="-4"/>
              <w:sz w:val="24"/>
              <w:szCs w:val="24"/>
            </w:rPr>
            <w:t>3.</w:t>
          </w:r>
          <w:r>
            <w:rPr>
              <w:rFonts w:ascii="Times New Roman" w:hAnsi="Times New Roman" w:eastAsia="Times New Roman" w:cs="Times New Roman"/>
              <w:spacing w:val="4"/>
              <w:sz w:val="24"/>
              <w:szCs w:val="24"/>
            </w:rPr>
            <w:t xml:space="preserve">  </w:t>
          </w:r>
          <w:r>
            <w:rPr>
              <w:rFonts w:ascii="宋体" w:hAnsi="宋体" w:eastAsia="宋体" w:cs="宋体"/>
              <w:spacing w:val="-4"/>
              <w:sz w:val="24"/>
              <w:szCs w:val="24"/>
            </w:rPr>
            <w:t>承包人</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219</w:t>
          </w:r>
          <w:r>
            <w:rPr>
              <w:rFonts w:ascii="Times New Roman" w:hAnsi="Times New Roman" w:eastAsia="Times New Roman" w:cs="Times New Roman"/>
              <w:spacing w:val="-2"/>
              <w:sz w:val="24"/>
              <w:szCs w:val="24"/>
            </w:rPr>
            <w:fldChar w:fldCharType="end"/>
          </w:r>
        </w:p>
        <w:p w14:paraId="4E0F9165">
          <w:pPr>
            <w:tabs>
              <w:tab w:val="right" w:leader="dot" w:pos="8320"/>
            </w:tabs>
            <w:spacing w:before="136" w:line="184" w:lineRule="auto"/>
            <w:ind w:left="1277"/>
            <w:rPr>
              <w:rFonts w:ascii="Times New Roman" w:hAnsi="Times New Roman" w:eastAsia="Times New Roman" w:cs="Times New Roman"/>
              <w:sz w:val="24"/>
              <w:szCs w:val="24"/>
            </w:rPr>
          </w:pPr>
          <w:r>
            <w:fldChar w:fldCharType="begin"/>
          </w:r>
          <w:r>
            <w:instrText xml:space="preserve"> HYPERLINK \l "bookmark248" </w:instrText>
          </w:r>
          <w:r>
            <w:fldChar w:fldCharType="separate"/>
          </w:r>
          <w:r>
            <w:rPr>
              <w:rFonts w:ascii="Times New Roman" w:hAnsi="Times New Roman" w:eastAsia="Times New Roman" w:cs="Times New Roman"/>
              <w:spacing w:val="-3"/>
              <w:sz w:val="24"/>
              <w:szCs w:val="24"/>
            </w:rPr>
            <w:t>4.</w:t>
          </w:r>
          <w:r>
            <w:rPr>
              <w:rFonts w:ascii="Times New Roman" w:hAnsi="Times New Roman" w:eastAsia="Times New Roman" w:cs="Times New Roman"/>
              <w:spacing w:val="5"/>
              <w:sz w:val="24"/>
              <w:szCs w:val="24"/>
            </w:rPr>
            <w:t xml:space="preserve">  </w:t>
          </w:r>
          <w:r>
            <w:rPr>
              <w:rFonts w:ascii="宋体" w:hAnsi="宋体" w:eastAsia="宋体" w:cs="宋体"/>
              <w:spacing w:val="-3"/>
              <w:sz w:val="24"/>
              <w:szCs w:val="24"/>
            </w:rPr>
            <w:t>监理人</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222</w:t>
          </w:r>
          <w:r>
            <w:rPr>
              <w:rFonts w:ascii="Times New Roman" w:hAnsi="Times New Roman" w:eastAsia="Times New Roman" w:cs="Times New Roman"/>
              <w:spacing w:val="-2"/>
              <w:sz w:val="24"/>
              <w:szCs w:val="24"/>
            </w:rPr>
            <w:fldChar w:fldCharType="end"/>
          </w:r>
        </w:p>
        <w:p w14:paraId="21CFA12E">
          <w:pPr>
            <w:tabs>
              <w:tab w:val="right" w:leader="dot" w:pos="8320"/>
            </w:tabs>
            <w:spacing w:before="132" w:line="185" w:lineRule="auto"/>
            <w:ind w:left="1285"/>
            <w:rPr>
              <w:rFonts w:ascii="Times New Roman" w:hAnsi="Times New Roman" w:eastAsia="Times New Roman" w:cs="Times New Roman"/>
              <w:sz w:val="24"/>
              <w:szCs w:val="24"/>
            </w:rPr>
          </w:pPr>
          <w:r>
            <w:fldChar w:fldCharType="begin"/>
          </w:r>
          <w:r>
            <w:instrText xml:space="preserve"> HYPERLINK \l "bookmark249" </w:instrText>
          </w:r>
          <w:r>
            <w:fldChar w:fldCharType="separate"/>
          </w:r>
          <w:r>
            <w:rPr>
              <w:rFonts w:ascii="Times New Roman" w:hAnsi="Times New Roman" w:eastAsia="Times New Roman" w:cs="Times New Roman"/>
              <w:spacing w:val="-4"/>
              <w:sz w:val="24"/>
              <w:szCs w:val="24"/>
            </w:rPr>
            <w:t>5.</w:t>
          </w:r>
          <w:r>
            <w:rPr>
              <w:rFonts w:ascii="Times New Roman" w:hAnsi="Times New Roman" w:eastAsia="Times New Roman" w:cs="Times New Roman"/>
              <w:spacing w:val="6"/>
              <w:sz w:val="24"/>
              <w:szCs w:val="24"/>
            </w:rPr>
            <w:t xml:space="preserve">  </w:t>
          </w:r>
          <w:r>
            <w:rPr>
              <w:rFonts w:ascii="宋体" w:hAnsi="宋体" w:eastAsia="宋体" w:cs="宋体"/>
              <w:spacing w:val="-4"/>
              <w:sz w:val="24"/>
              <w:szCs w:val="24"/>
            </w:rPr>
            <w:t>工程质量</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223</w:t>
          </w:r>
          <w:r>
            <w:rPr>
              <w:rFonts w:ascii="Times New Roman" w:hAnsi="Times New Roman" w:eastAsia="Times New Roman" w:cs="Times New Roman"/>
              <w:spacing w:val="-2"/>
              <w:sz w:val="24"/>
              <w:szCs w:val="24"/>
            </w:rPr>
            <w:fldChar w:fldCharType="end"/>
          </w:r>
        </w:p>
        <w:p w14:paraId="1D7028D5">
          <w:pPr>
            <w:tabs>
              <w:tab w:val="right" w:leader="dot" w:pos="8320"/>
            </w:tabs>
            <w:spacing w:before="137" w:line="184" w:lineRule="auto"/>
            <w:ind w:left="1284"/>
            <w:rPr>
              <w:rFonts w:ascii="Times New Roman" w:hAnsi="Times New Roman" w:eastAsia="Times New Roman" w:cs="Times New Roman"/>
              <w:sz w:val="24"/>
              <w:szCs w:val="24"/>
            </w:rPr>
          </w:pPr>
          <w:r>
            <w:fldChar w:fldCharType="begin"/>
          </w:r>
          <w:r>
            <w:instrText xml:space="preserve"> HYPERLINK \l "bookmark250" </w:instrText>
          </w:r>
          <w:r>
            <w:fldChar w:fldCharType="separate"/>
          </w:r>
          <w:r>
            <w:rPr>
              <w:rFonts w:ascii="Times New Roman" w:hAnsi="Times New Roman" w:eastAsia="Times New Roman" w:cs="Times New Roman"/>
              <w:spacing w:val="-1"/>
              <w:sz w:val="24"/>
              <w:szCs w:val="24"/>
            </w:rPr>
            <w:t xml:space="preserve">6.  </w:t>
          </w:r>
          <w:r>
            <w:rPr>
              <w:rFonts w:ascii="宋体" w:hAnsi="宋体" w:eastAsia="宋体" w:cs="宋体"/>
              <w:spacing w:val="-1"/>
              <w:sz w:val="24"/>
              <w:szCs w:val="24"/>
            </w:rPr>
            <w:t>安全文明施工与环境保护</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225</w:t>
          </w:r>
          <w:r>
            <w:rPr>
              <w:rFonts w:ascii="Times New Roman" w:hAnsi="Times New Roman" w:eastAsia="Times New Roman" w:cs="Times New Roman"/>
              <w:spacing w:val="-2"/>
              <w:sz w:val="24"/>
              <w:szCs w:val="24"/>
            </w:rPr>
            <w:fldChar w:fldCharType="end"/>
          </w:r>
        </w:p>
        <w:p w14:paraId="3D164004">
          <w:pPr>
            <w:tabs>
              <w:tab w:val="right" w:leader="dot" w:pos="8320"/>
            </w:tabs>
            <w:spacing w:before="132" w:line="185" w:lineRule="auto"/>
            <w:ind w:left="1282"/>
            <w:rPr>
              <w:rFonts w:ascii="Times New Roman" w:hAnsi="Times New Roman" w:eastAsia="Times New Roman" w:cs="Times New Roman"/>
              <w:sz w:val="24"/>
              <w:szCs w:val="24"/>
            </w:rPr>
          </w:pPr>
          <w:r>
            <w:fldChar w:fldCharType="begin"/>
          </w:r>
          <w:r>
            <w:instrText xml:space="preserve"> HYPERLINK \l "bookmark251" </w:instrText>
          </w:r>
          <w:r>
            <w:fldChar w:fldCharType="separate"/>
          </w:r>
          <w:r>
            <w:rPr>
              <w:rFonts w:ascii="Times New Roman" w:hAnsi="Times New Roman" w:eastAsia="Times New Roman" w:cs="Times New Roman"/>
              <w:spacing w:val="-4"/>
              <w:sz w:val="24"/>
              <w:szCs w:val="24"/>
            </w:rPr>
            <w:t>7.</w:t>
          </w:r>
          <w:r>
            <w:rPr>
              <w:rFonts w:ascii="Times New Roman" w:hAnsi="Times New Roman" w:eastAsia="Times New Roman" w:cs="Times New Roman"/>
              <w:spacing w:val="9"/>
              <w:sz w:val="24"/>
              <w:szCs w:val="24"/>
            </w:rPr>
            <w:t xml:space="preserve">  </w:t>
          </w:r>
          <w:r>
            <w:rPr>
              <w:rFonts w:ascii="宋体" w:hAnsi="宋体" w:eastAsia="宋体" w:cs="宋体"/>
              <w:spacing w:val="-4"/>
              <w:sz w:val="24"/>
              <w:szCs w:val="24"/>
            </w:rPr>
            <w:t>工期和进度</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228</w:t>
          </w:r>
          <w:r>
            <w:rPr>
              <w:rFonts w:ascii="Times New Roman" w:hAnsi="Times New Roman" w:eastAsia="Times New Roman" w:cs="Times New Roman"/>
              <w:spacing w:val="-2"/>
              <w:sz w:val="24"/>
              <w:szCs w:val="24"/>
            </w:rPr>
            <w:fldChar w:fldCharType="end"/>
          </w:r>
        </w:p>
        <w:p w14:paraId="7E9C535F">
          <w:pPr>
            <w:tabs>
              <w:tab w:val="right" w:leader="dot" w:pos="8320"/>
            </w:tabs>
            <w:spacing w:before="137" w:line="184" w:lineRule="auto"/>
            <w:ind w:left="1288"/>
            <w:rPr>
              <w:rFonts w:ascii="Times New Roman" w:hAnsi="Times New Roman" w:eastAsia="Times New Roman" w:cs="Times New Roman"/>
              <w:sz w:val="24"/>
              <w:szCs w:val="24"/>
            </w:rPr>
          </w:pPr>
          <w:r>
            <w:fldChar w:fldCharType="begin"/>
          </w:r>
          <w:r>
            <w:instrText xml:space="preserve"> HYPERLINK \l "bookmark252" </w:instrText>
          </w:r>
          <w:r>
            <w:fldChar w:fldCharType="separate"/>
          </w:r>
          <w:r>
            <w:rPr>
              <w:rFonts w:ascii="Times New Roman" w:hAnsi="Times New Roman" w:eastAsia="Times New Roman" w:cs="Times New Roman"/>
              <w:spacing w:val="-2"/>
              <w:sz w:val="24"/>
              <w:szCs w:val="24"/>
            </w:rPr>
            <w:t xml:space="preserve">8.  </w:t>
          </w:r>
          <w:r>
            <w:rPr>
              <w:rFonts w:ascii="宋体" w:hAnsi="宋体" w:eastAsia="宋体" w:cs="宋体"/>
              <w:spacing w:val="-2"/>
              <w:sz w:val="24"/>
              <w:szCs w:val="24"/>
            </w:rPr>
            <w:t>材料与设备</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232</w:t>
          </w:r>
          <w:r>
            <w:rPr>
              <w:rFonts w:ascii="Times New Roman" w:hAnsi="Times New Roman" w:eastAsia="Times New Roman" w:cs="Times New Roman"/>
              <w:spacing w:val="-2"/>
              <w:sz w:val="24"/>
              <w:szCs w:val="24"/>
            </w:rPr>
            <w:fldChar w:fldCharType="end"/>
          </w:r>
        </w:p>
        <w:p w14:paraId="1CD845FF">
          <w:pPr>
            <w:tabs>
              <w:tab w:val="right" w:leader="dot" w:pos="8320"/>
            </w:tabs>
            <w:spacing w:before="135" w:line="184" w:lineRule="auto"/>
            <w:ind w:left="1283"/>
            <w:rPr>
              <w:rFonts w:ascii="Times New Roman" w:hAnsi="Times New Roman" w:eastAsia="Times New Roman" w:cs="Times New Roman"/>
              <w:sz w:val="24"/>
              <w:szCs w:val="24"/>
            </w:rPr>
          </w:pPr>
          <w:r>
            <w:fldChar w:fldCharType="begin"/>
          </w:r>
          <w:r>
            <w:instrText xml:space="preserve"> HYPERLINK \l "bookmark253" </w:instrText>
          </w:r>
          <w:r>
            <w:fldChar w:fldCharType="separate"/>
          </w:r>
          <w:r>
            <w:rPr>
              <w:rFonts w:ascii="Times New Roman" w:hAnsi="Times New Roman" w:eastAsia="Times New Roman" w:cs="Times New Roman"/>
              <w:spacing w:val="-2"/>
              <w:sz w:val="24"/>
              <w:szCs w:val="24"/>
            </w:rPr>
            <w:t xml:space="preserve">9.  </w:t>
          </w:r>
          <w:r>
            <w:rPr>
              <w:rFonts w:ascii="宋体" w:hAnsi="宋体" w:eastAsia="宋体" w:cs="宋体"/>
              <w:spacing w:val="-2"/>
              <w:sz w:val="24"/>
              <w:szCs w:val="24"/>
            </w:rPr>
            <w:t>试验与检验</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235</w:t>
          </w:r>
          <w:r>
            <w:rPr>
              <w:rFonts w:ascii="Times New Roman" w:hAnsi="Times New Roman" w:eastAsia="Times New Roman" w:cs="Times New Roman"/>
              <w:spacing w:val="-2"/>
              <w:sz w:val="24"/>
              <w:szCs w:val="24"/>
            </w:rPr>
            <w:fldChar w:fldCharType="end"/>
          </w:r>
        </w:p>
        <w:p w14:paraId="79BE83A4">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"bookmark254" </w:instrText>
          </w:r>
          <w:r>
            <w:fldChar w:fldCharType="separate"/>
          </w:r>
          <w:r>
            <w:rPr>
              <w:rFonts w:ascii="Times New Roman" w:hAnsi="Times New Roman" w:eastAsia="Times New Roman" w:cs="Times New Roman"/>
              <w:spacing w:val="-8"/>
              <w:sz w:val="24"/>
              <w:szCs w:val="24"/>
            </w:rPr>
            <w:t>10.</w:t>
          </w:r>
          <w:r>
            <w:rPr>
              <w:rFonts w:ascii="Times New Roman" w:hAnsi="Times New Roman" w:eastAsia="Times New Roman" w:cs="Times New Roman"/>
              <w:spacing w:val="5"/>
              <w:sz w:val="24"/>
              <w:szCs w:val="24"/>
            </w:rPr>
            <w:t xml:space="preserve">  </w:t>
          </w:r>
          <w:r>
            <w:rPr>
              <w:rFonts w:ascii="宋体" w:hAnsi="宋体" w:eastAsia="宋体" w:cs="宋体"/>
              <w:spacing w:val="-8"/>
              <w:sz w:val="24"/>
              <w:szCs w:val="24"/>
            </w:rPr>
            <w:t>变更</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236</w:t>
          </w:r>
          <w:r>
            <w:rPr>
              <w:rFonts w:ascii="Times New Roman" w:hAnsi="Times New Roman" w:eastAsia="Times New Roman" w:cs="Times New Roman"/>
              <w:spacing w:val="-2"/>
              <w:sz w:val="24"/>
              <w:szCs w:val="24"/>
            </w:rPr>
            <w:fldChar w:fldCharType="end"/>
          </w:r>
        </w:p>
        <w:p w14:paraId="04A6B7C3">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"bookmark255" </w:instrText>
          </w:r>
          <w:r>
            <w:fldChar w:fldCharType="separate"/>
          </w:r>
          <w:r>
            <w:rPr>
              <w:rFonts w:ascii="Times New Roman" w:hAnsi="Times New Roman" w:eastAsia="Times New Roman" w:cs="Times New Roman"/>
              <w:spacing w:val="-5"/>
              <w:sz w:val="24"/>
              <w:szCs w:val="24"/>
            </w:rPr>
            <w:t xml:space="preserve">11.  </w:t>
          </w:r>
          <w:r>
            <w:rPr>
              <w:rFonts w:ascii="宋体" w:hAnsi="宋体" w:eastAsia="宋体" w:cs="宋体"/>
              <w:spacing w:val="-5"/>
              <w:sz w:val="24"/>
              <w:szCs w:val="24"/>
            </w:rPr>
            <w:t>价格调整</w:t>
          </w:r>
          <w:r>
            <w:rPr>
              <w:rFonts w:ascii="宋体" w:hAnsi="宋体" w:eastAsia="宋体" w:cs="宋体"/>
              <w:spacing w:val="-66"/>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239</w:t>
          </w:r>
          <w:r>
            <w:rPr>
              <w:rFonts w:ascii="Times New Roman" w:hAnsi="Times New Roman" w:eastAsia="Times New Roman" w:cs="Times New Roman"/>
              <w:spacing w:val="1"/>
              <w:sz w:val="24"/>
              <w:szCs w:val="24"/>
            </w:rPr>
            <w:fldChar w:fldCharType="end"/>
          </w:r>
        </w:p>
        <w:p w14:paraId="7D7F0408">
          <w:pPr>
            <w:tabs>
              <w:tab w:val="right" w:leader="dot" w:pos="8320"/>
            </w:tabs>
            <w:spacing w:before="133" w:line="185" w:lineRule="auto"/>
            <w:ind w:left="1302"/>
            <w:rPr>
              <w:rFonts w:ascii="Times New Roman" w:hAnsi="Times New Roman" w:eastAsia="Times New Roman" w:cs="Times New Roman"/>
              <w:sz w:val="24"/>
              <w:szCs w:val="24"/>
            </w:rPr>
          </w:pPr>
          <w:r>
            <w:fldChar w:fldCharType="begin"/>
          </w:r>
          <w:r>
            <w:instrText xml:space="preserve"> HYPERLINK \l "bookmark256" </w:instrText>
          </w:r>
          <w:r>
            <w:fldChar w:fldCharType="separate"/>
          </w:r>
          <w:r>
            <w:rPr>
              <w:rFonts w:ascii="Times New Roman" w:hAnsi="Times New Roman" w:eastAsia="Times New Roman" w:cs="Times New Roman"/>
              <w:spacing w:val="-2"/>
              <w:sz w:val="24"/>
              <w:szCs w:val="24"/>
            </w:rPr>
            <w:t xml:space="preserve">12.  </w:t>
          </w:r>
          <w:r>
            <w:rPr>
              <w:rFonts w:ascii="宋体" w:hAnsi="宋体" w:eastAsia="宋体" w:cs="宋体"/>
              <w:spacing w:val="-2"/>
              <w:sz w:val="24"/>
              <w:szCs w:val="24"/>
            </w:rPr>
            <w:t>合同价格、计量与支付</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241</w:t>
          </w:r>
          <w:r>
            <w:rPr>
              <w:rFonts w:ascii="Times New Roman" w:hAnsi="Times New Roman" w:eastAsia="Times New Roman" w:cs="Times New Roman"/>
              <w:spacing w:val="-2"/>
              <w:sz w:val="24"/>
              <w:szCs w:val="24"/>
            </w:rPr>
            <w:fldChar w:fldCharType="end"/>
          </w:r>
        </w:p>
        <w:p w14:paraId="35FFD0A0">
          <w:pPr>
            <w:tabs>
              <w:tab w:val="right" w:leader="dot" w:pos="8320"/>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"bookmark257" </w:instrText>
          </w:r>
          <w:r>
            <w:fldChar w:fldCharType="separate"/>
          </w:r>
          <w:r>
            <w:rPr>
              <w:rFonts w:ascii="Times New Roman" w:hAnsi="Times New Roman" w:eastAsia="Times New Roman" w:cs="Times New Roman"/>
              <w:spacing w:val="-3"/>
              <w:sz w:val="24"/>
              <w:szCs w:val="24"/>
            </w:rPr>
            <w:t xml:space="preserve">13.  </w:t>
          </w:r>
          <w:r>
            <w:rPr>
              <w:rFonts w:ascii="宋体" w:hAnsi="宋体" w:eastAsia="宋体" w:cs="宋体"/>
              <w:spacing w:val="-3"/>
              <w:sz w:val="24"/>
              <w:szCs w:val="24"/>
            </w:rPr>
            <w:t>验收和工程试车</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244</w:t>
          </w:r>
          <w:r>
            <w:rPr>
              <w:rFonts w:ascii="Times New Roman" w:hAnsi="Times New Roman" w:eastAsia="Times New Roman" w:cs="Times New Roman"/>
              <w:spacing w:val="-2"/>
              <w:sz w:val="24"/>
              <w:szCs w:val="24"/>
            </w:rPr>
            <w:fldChar w:fldCharType="end"/>
          </w:r>
        </w:p>
        <w:p w14:paraId="4D60FD93">
          <w:pPr>
            <w:tabs>
              <w:tab w:val="right" w:leader="dot" w:pos="8320"/>
            </w:tabs>
            <w:spacing w:before="135" w:line="219" w:lineRule="auto"/>
            <w:ind w:left="1302"/>
            <w:rPr>
              <w:rFonts w:ascii="Times New Roman" w:hAnsi="Times New Roman" w:eastAsia="Times New Roman" w:cs="Times New Roman"/>
              <w:sz w:val="24"/>
              <w:szCs w:val="24"/>
            </w:rPr>
          </w:pPr>
          <w:r>
            <w:fldChar w:fldCharType="begin"/>
          </w:r>
          <w:r>
            <w:instrText xml:space="preserve"> HYPERLINK \l "bookmark258" </w:instrText>
          </w:r>
          <w:r>
            <w:fldChar w:fldCharType="separate"/>
          </w:r>
          <w:r>
            <w:rPr>
              <w:rFonts w:ascii="Times New Roman" w:hAnsi="Times New Roman" w:eastAsia="Times New Roman" w:cs="Times New Roman"/>
              <w:spacing w:val="-6"/>
              <w:sz w:val="24"/>
              <w:szCs w:val="24"/>
            </w:rPr>
            <w:t>14.</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竣工结算</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248</w:t>
          </w:r>
          <w:r>
            <w:rPr>
              <w:rFonts w:ascii="Times New Roman" w:hAnsi="Times New Roman" w:eastAsia="Times New Roman" w:cs="Times New Roman"/>
              <w:spacing w:val="-2"/>
              <w:sz w:val="24"/>
              <w:szCs w:val="24"/>
            </w:rPr>
            <w:fldChar w:fldCharType="end"/>
          </w:r>
        </w:p>
      </w:sdtContent>
    </w:sdt>
    <w:p w14:paraId="57F9B90C">
      <w:pPr>
        <w:spacing w:line="219" w:lineRule="auto"/>
        <w:rPr>
          <w:rFonts w:ascii="Times New Roman" w:hAnsi="Times New Roman" w:eastAsia="Times New Roman" w:cs="Times New Roman"/>
          <w:sz w:val="24"/>
          <w:szCs w:val="24"/>
        </w:rPr>
        <w:sectPr>
          <w:footerReference r:id="rId16" w:type="default"/>
          <w:pgSz w:w="11906" w:h="16839"/>
          <w:pgMar w:top="1431" w:right="1785" w:bottom="1153" w:left="1785" w:header="0" w:footer="994" w:gutter="0"/>
          <w:cols w:space="720" w:num="1"/>
        </w:sectPr>
      </w:pPr>
    </w:p>
    <w:sdt>
      <w:sdtPr>
        <w:rPr>
          <w:rFonts w:ascii="Times New Roman" w:hAnsi="Times New Roman" w:eastAsia="Times New Roman" w:cs="Times New Roman"/>
          <w:sz w:val="24"/>
          <w:szCs w:val="24"/>
        </w:rPr>
        <w:id w:val="147452033"/>
        <w:docPartObj>
          <w:docPartGallery w:val="Table of Contents"/>
          <w:docPartUnique/>
        </w:docPartObj>
      </w:sdtPr>
      <w:sdtEndPr>
        <w:rPr>
          <w:rFonts w:ascii="Times New Roman" w:hAnsi="Times New Roman" w:eastAsia="Times New Roman" w:cs="Times New Roman"/>
          <w:sz w:val="24"/>
          <w:szCs w:val="24"/>
        </w:rPr>
      </w:sdtEndPr>
      <w:sdtContent>
        <w:p w14:paraId="757A8734">
          <w:pPr>
            <w:tabs>
              <w:tab w:val="right" w:leader="dot" w:pos="8320"/>
            </w:tabs>
            <w:spacing w:before="77" w:line="184" w:lineRule="auto"/>
            <w:ind w:left="1302"/>
            <w:rPr>
              <w:rFonts w:ascii="Times New Roman" w:hAnsi="Times New Roman" w:eastAsia="Times New Roman" w:cs="Times New Roman"/>
              <w:sz w:val="24"/>
              <w:szCs w:val="24"/>
            </w:rPr>
          </w:pPr>
          <w:r>
            <w:fldChar w:fldCharType="begin"/>
          </w:r>
          <w:r>
            <w:instrText xml:space="preserve"> HYPERLINK \l "bookmark259" </w:instrText>
          </w:r>
          <w:r>
            <w:fldChar w:fldCharType="separate"/>
          </w:r>
          <w:r>
            <w:rPr>
              <w:rFonts w:ascii="Times New Roman" w:hAnsi="Times New Roman" w:eastAsia="Times New Roman" w:cs="Times New Roman"/>
              <w:spacing w:val="-3"/>
              <w:sz w:val="24"/>
              <w:szCs w:val="24"/>
            </w:rPr>
            <w:t xml:space="preserve">15.  </w:t>
          </w:r>
          <w:r>
            <w:rPr>
              <w:rFonts w:ascii="宋体" w:hAnsi="宋体" w:eastAsia="宋体" w:cs="宋体"/>
              <w:spacing w:val="-3"/>
              <w:sz w:val="24"/>
              <w:szCs w:val="24"/>
            </w:rPr>
            <w:t>缺陷责任与保修</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249</w:t>
          </w:r>
          <w:r>
            <w:rPr>
              <w:rFonts w:ascii="Times New Roman" w:hAnsi="Times New Roman" w:eastAsia="Times New Roman" w:cs="Times New Roman"/>
              <w:spacing w:val="-2"/>
              <w:sz w:val="24"/>
              <w:szCs w:val="24"/>
            </w:rPr>
            <w:fldChar w:fldCharType="end"/>
          </w:r>
        </w:p>
        <w:p w14:paraId="593FA41F">
          <w:pPr>
            <w:tabs>
              <w:tab w:val="right" w:leader="dot" w:pos="8320"/>
            </w:tabs>
            <w:spacing w:before="135" w:line="184" w:lineRule="auto"/>
            <w:ind w:left="1302"/>
            <w:rPr>
              <w:rFonts w:ascii="Times New Roman" w:hAnsi="Times New Roman" w:eastAsia="Times New Roman" w:cs="Times New Roman"/>
              <w:sz w:val="24"/>
              <w:szCs w:val="24"/>
            </w:rPr>
          </w:pPr>
          <w:r>
            <w:fldChar w:fldCharType="begin"/>
          </w:r>
          <w:r>
            <w:instrText xml:space="preserve"> HYPERLINK \l "bookmark260" </w:instrText>
          </w:r>
          <w:r>
            <w:fldChar w:fldCharType="separate"/>
          </w:r>
          <w:r>
            <w:rPr>
              <w:rFonts w:ascii="Times New Roman" w:hAnsi="Times New Roman" w:eastAsia="Times New Roman" w:cs="Times New Roman"/>
              <w:spacing w:val="-8"/>
              <w:sz w:val="24"/>
              <w:szCs w:val="24"/>
            </w:rPr>
            <w:t>16.</w:t>
          </w:r>
          <w:r>
            <w:rPr>
              <w:rFonts w:ascii="Times New Roman" w:hAnsi="Times New Roman" w:eastAsia="Times New Roman" w:cs="Times New Roman"/>
              <w:spacing w:val="5"/>
              <w:sz w:val="24"/>
              <w:szCs w:val="24"/>
            </w:rPr>
            <w:t xml:space="preserve">  </w:t>
          </w:r>
          <w:r>
            <w:rPr>
              <w:rFonts w:ascii="宋体" w:hAnsi="宋体" w:eastAsia="宋体" w:cs="宋体"/>
              <w:spacing w:val="-8"/>
              <w:sz w:val="24"/>
              <w:szCs w:val="24"/>
            </w:rPr>
            <w:t>违约</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251</w:t>
          </w:r>
          <w:r>
            <w:rPr>
              <w:rFonts w:ascii="Times New Roman" w:hAnsi="Times New Roman" w:eastAsia="Times New Roman" w:cs="Times New Roman"/>
              <w:spacing w:val="-2"/>
              <w:sz w:val="24"/>
              <w:szCs w:val="24"/>
            </w:rPr>
            <w:fldChar w:fldCharType="end"/>
          </w:r>
        </w:p>
        <w:p w14:paraId="6656A314">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"bookmark261" </w:instrText>
          </w:r>
          <w:r>
            <w:fldChar w:fldCharType="separate"/>
          </w:r>
          <w:r>
            <w:rPr>
              <w:rFonts w:ascii="Times New Roman" w:hAnsi="Times New Roman" w:eastAsia="Times New Roman" w:cs="Times New Roman"/>
              <w:spacing w:val="-6"/>
              <w:sz w:val="24"/>
              <w:szCs w:val="24"/>
            </w:rPr>
            <w:t>17.</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不可抗力</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254</w:t>
          </w:r>
          <w:r>
            <w:rPr>
              <w:rFonts w:ascii="Times New Roman" w:hAnsi="Times New Roman" w:eastAsia="Times New Roman" w:cs="Times New Roman"/>
              <w:spacing w:val="-2"/>
              <w:sz w:val="24"/>
              <w:szCs w:val="24"/>
            </w:rPr>
            <w:fldChar w:fldCharType="end"/>
          </w:r>
        </w:p>
        <w:p w14:paraId="2BA50F27">
          <w:pPr>
            <w:tabs>
              <w:tab w:val="right" w:leader="dot" w:pos="8320"/>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"bookmark262" </w:instrText>
          </w:r>
          <w:r>
            <w:fldChar w:fldCharType="separate"/>
          </w:r>
          <w:r>
            <w:rPr>
              <w:rFonts w:ascii="Times New Roman" w:hAnsi="Times New Roman" w:eastAsia="Times New Roman" w:cs="Times New Roman"/>
              <w:spacing w:val="-8"/>
              <w:sz w:val="24"/>
              <w:szCs w:val="24"/>
            </w:rPr>
            <w:t>18.</w:t>
          </w:r>
          <w:r>
            <w:rPr>
              <w:rFonts w:ascii="Times New Roman" w:hAnsi="Times New Roman" w:eastAsia="Times New Roman" w:cs="Times New Roman"/>
              <w:spacing w:val="5"/>
              <w:sz w:val="24"/>
              <w:szCs w:val="24"/>
            </w:rPr>
            <w:t xml:space="preserve">  </w:t>
          </w:r>
          <w:r>
            <w:rPr>
              <w:rFonts w:ascii="宋体" w:hAnsi="宋体" w:eastAsia="宋体" w:cs="宋体"/>
              <w:spacing w:val="-8"/>
              <w:sz w:val="24"/>
              <w:szCs w:val="24"/>
            </w:rPr>
            <w:t>保险</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255</w:t>
          </w:r>
          <w:r>
            <w:rPr>
              <w:rFonts w:ascii="Times New Roman" w:hAnsi="Times New Roman" w:eastAsia="Times New Roman" w:cs="Times New Roman"/>
              <w:spacing w:val="-2"/>
              <w:sz w:val="24"/>
              <w:szCs w:val="24"/>
            </w:rPr>
            <w:fldChar w:fldCharType="end"/>
          </w:r>
        </w:p>
        <w:p w14:paraId="7A395A0B">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"bookmark263" </w:instrText>
          </w:r>
          <w:r>
            <w:fldChar w:fldCharType="separate"/>
          </w:r>
          <w:r>
            <w:rPr>
              <w:rFonts w:ascii="Times New Roman" w:hAnsi="Times New Roman" w:eastAsia="Times New Roman" w:cs="Times New Roman"/>
              <w:spacing w:val="-9"/>
              <w:sz w:val="24"/>
              <w:szCs w:val="24"/>
            </w:rPr>
            <w:t>19.</w:t>
          </w:r>
          <w:r>
            <w:rPr>
              <w:rFonts w:ascii="Times New Roman" w:hAnsi="Times New Roman" w:eastAsia="Times New Roman" w:cs="Times New Roman"/>
              <w:spacing w:val="7"/>
              <w:sz w:val="24"/>
              <w:szCs w:val="24"/>
            </w:rPr>
            <w:t xml:space="preserve">  </w:t>
          </w:r>
          <w:r>
            <w:rPr>
              <w:rFonts w:ascii="宋体" w:hAnsi="宋体" w:eastAsia="宋体" w:cs="宋体"/>
              <w:spacing w:val="-9"/>
              <w:sz w:val="24"/>
              <w:szCs w:val="24"/>
            </w:rPr>
            <w:t>索赔</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256</w:t>
          </w:r>
          <w:r>
            <w:rPr>
              <w:rFonts w:ascii="Times New Roman" w:hAnsi="Times New Roman" w:eastAsia="Times New Roman" w:cs="Times New Roman"/>
              <w:spacing w:val="-2"/>
              <w:sz w:val="24"/>
              <w:szCs w:val="24"/>
            </w:rPr>
            <w:fldChar w:fldCharType="end"/>
          </w:r>
        </w:p>
        <w:p w14:paraId="4CB0A67C">
          <w:pPr>
            <w:tabs>
              <w:tab w:val="right" w:leader="dot" w:pos="8320"/>
            </w:tabs>
            <w:spacing w:before="137" w:line="184" w:lineRule="auto"/>
            <w:ind w:left="1279"/>
            <w:rPr>
              <w:rFonts w:ascii="Times New Roman" w:hAnsi="Times New Roman" w:eastAsia="Times New Roman" w:cs="Times New Roman"/>
              <w:sz w:val="24"/>
              <w:szCs w:val="24"/>
            </w:rPr>
          </w:pPr>
          <w:r>
            <w:fldChar w:fldCharType="begin"/>
          </w:r>
          <w:r>
            <w:instrText xml:space="preserve"> HYPERLINK \l "bookmark264" </w:instrText>
          </w:r>
          <w:r>
            <w:fldChar w:fldCharType="separate"/>
          </w:r>
          <w:r>
            <w:rPr>
              <w:rFonts w:ascii="Times New Roman" w:hAnsi="Times New Roman" w:eastAsia="Times New Roman" w:cs="Times New Roman"/>
              <w:spacing w:val="-3"/>
              <w:sz w:val="24"/>
              <w:szCs w:val="24"/>
            </w:rPr>
            <w:t>20.</w:t>
          </w:r>
          <w:r>
            <w:rPr>
              <w:rFonts w:ascii="Times New Roman" w:hAnsi="Times New Roman" w:eastAsia="Times New Roman" w:cs="Times New Roman"/>
              <w:spacing w:val="7"/>
              <w:sz w:val="24"/>
              <w:szCs w:val="24"/>
            </w:rPr>
            <w:t xml:space="preserve">  </w:t>
          </w:r>
          <w:r>
            <w:rPr>
              <w:rFonts w:ascii="宋体" w:hAnsi="宋体" w:eastAsia="宋体" w:cs="宋体"/>
              <w:spacing w:val="-3"/>
              <w:sz w:val="24"/>
              <w:szCs w:val="24"/>
            </w:rPr>
            <w:t>争议解决</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257</w:t>
          </w:r>
          <w:r>
            <w:rPr>
              <w:rFonts w:ascii="Times New Roman" w:hAnsi="Times New Roman" w:eastAsia="Times New Roman" w:cs="Times New Roman"/>
              <w:spacing w:val="-2"/>
              <w:sz w:val="24"/>
              <w:szCs w:val="24"/>
            </w:rPr>
            <w:fldChar w:fldCharType="end"/>
          </w:r>
        </w:p>
        <w:p w14:paraId="60C96770">
          <w:pPr>
            <w:tabs>
              <w:tab w:val="right" w:leader="dot" w:pos="8320"/>
            </w:tabs>
            <w:spacing w:before="135" w:line="184" w:lineRule="auto"/>
            <w:ind w:left="443"/>
            <w:rPr>
              <w:rFonts w:ascii="Times New Roman" w:hAnsi="Times New Roman" w:eastAsia="Times New Roman" w:cs="Times New Roman"/>
              <w:sz w:val="24"/>
              <w:szCs w:val="24"/>
            </w:rPr>
          </w:pPr>
          <w:r>
            <w:fldChar w:fldCharType="begin"/>
          </w:r>
          <w:r>
            <w:instrText xml:space="preserve"> HYPERLINK \l "bookmark265" </w:instrText>
          </w:r>
          <w:r>
            <w:fldChar w:fldCharType="separate"/>
          </w:r>
          <w:r>
            <w:rPr>
              <w:rFonts w:ascii="宋体" w:hAnsi="宋体" w:eastAsia="宋体" w:cs="宋体"/>
              <w:spacing w:val="-1"/>
              <w:sz w:val="24"/>
              <w:szCs w:val="24"/>
            </w:rPr>
            <w:t>第三部分 专用合同条款</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259</w:t>
          </w:r>
          <w:r>
            <w:rPr>
              <w:rFonts w:ascii="Times New Roman" w:hAnsi="Times New Roman" w:eastAsia="Times New Roman" w:cs="Times New Roman"/>
              <w:spacing w:val="-2"/>
              <w:sz w:val="24"/>
              <w:szCs w:val="24"/>
            </w:rPr>
            <w:fldChar w:fldCharType="end"/>
          </w:r>
        </w:p>
        <w:p w14:paraId="0038C691">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"bookmark266" </w:instrText>
          </w:r>
          <w:r>
            <w:fldChar w:fldCharType="separate"/>
          </w:r>
          <w:r>
            <w:rPr>
              <w:rFonts w:ascii="Times New Roman" w:hAnsi="Times New Roman" w:eastAsia="Times New Roman" w:cs="Times New Roman"/>
              <w:spacing w:val="-7"/>
              <w:sz w:val="24"/>
              <w:szCs w:val="24"/>
            </w:rPr>
            <w:t>1.</w:t>
          </w:r>
          <w:r>
            <w:rPr>
              <w:rFonts w:ascii="Times New Roman" w:hAnsi="Times New Roman" w:eastAsia="Times New Roman" w:cs="Times New Roman"/>
              <w:spacing w:val="6"/>
              <w:sz w:val="24"/>
              <w:szCs w:val="24"/>
            </w:rPr>
            <w:t xml:space="preserve">  </w:t>
          </w:r>
          <w:r>
            <w:rPr>
              <w:rFonts w:ascii="宋体" w:hAnsi="宋体" w:eastAsia="宋体" w:cs="宋体"/>
              <w:spacing w:val="-7"/>
              <w:sz w:val="24"/>
              <w:szCs w:val="24"/>
            </w:rPr>
            <w:t>一般约定</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260</w:t>
          </w:r>
          <w:r>
            <w:rPr>
              <w:rFonts w:ascii="Times New Roman" w:hAnsi="Times New Roman" w:eastAsia="Times New Roman" w:cs="Times New Roman"/>
              <w:spacing w:val="-2"/>
              <w:sz w:val="24"/>
              <w:szCs w:val="24"/>
            </w:rPr>
            <w:fldChar w:fldCharType="end"/>
          </w:r>
        </w:p>
        <w:p w14:paraId="7B364003">
          <w:pPr>
            <w:tabs>
              <w:tab w:val="right" w:leader="dot" w:pos="8320"/>
            </w:tabs>
            <w:spacing w:before="137" w:line="184" w:lineRule="auto"/>
            <w:ind w:left="1279"/>
            <w:rPr>
              <w:rFonts w:ascii="Times New Roman" w:hAnsi="Times New Roman" w:eastAsia="Times New Roman" w:cs="Times New Roman"/>
              <w:sz w:val="24"/>
              <w:szCs w:val="24"/>
            </w:rPr>
          </w:pPr>
          <w:r>
            <w:fldChar w:fldCharType="begin"/>
          </w:r>
          <w:r>
            <w:instrText xml:space="preserve"> HYPERLINK \l "bookmark267" </w:instrText>
          </w:r>
          <w:r>
            <w:fldChar w:fldCharType="separate"/>
          </w:r>
          <w:r>
            <w:rPr>
              <w:rFonts w:ascii="Times New Roman" w:hAnsi="Times New Roman" w:eastAsia="Times New Roman" w:cs="Times New Roman"/>
              <w:spacing w:val="-4"/>
              <w:sz w:val="24"/>
              <w:szCs w:val="24"/>
            </w:rPr>
            <w:t>2.</w:t>
          </w:r>
          <w:r>
            <w:rPr>
              <w:rFonts w:ascii="Times New Roman" w:hAnsi="Times New Roman" w:eastAsia="Times New Roman" w:cs="Times New Roman"/>
              <w:spacing w:val="6"/>
              <w:sz w:val="24"/>
              <w:szCs w:val="24"/>
            </w:rPr>
            <w:t xml:space="preserve">  </w:t>
          </w:r>
          <w:r>
            <w:rPr>
              <w:rFonts w:ascii="宋体" w:hAnsi="宋体" w:eastAsia="宋体" w:cs="宋体"/>
              <w:spacing w:val="-4"/>
              <w:sz w:val="24"/>
              <w:szCs w:val="24"/>
            </w:rPr>
            <w:t>发包人</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263</w:t>
          </w:r>
          <w:r>
            <w:rPr>
              <w:rFonts w:ascii="Times New Roman" w:hAnsi="Times New Roman" w:eastAsia="Times New Roman" w:cs="Times New Roman"/>
              <w:spacing w:val="-2"/>
              <w:sz w:val="24"/>
              <w:szCs w:val="24"/>
            </w:rPr>
            <w:fldChar w:fldCharType="end"/>
          </w:r>
        </w:p>
        <w:p w14:paraId="5731C40E">
          <w:pPr>
            <w:tabs>
              <w:tab w:val="right" w:leader="dot" w:pos="8320"/>
            </w:tabs>
            <w:spacing w:before="133" w:line="184" w:lineRule="auto"/>
            <w:ind w:left="1283"/>
            <w:rPr>
              <w:rFonts w:ascii="Times New Roman" w:hAnsi="Times New Roman" w:eastAsia="Times New Roman" w:cs="Times New Roman"/>
              <w:sz w:val="24"/>
              <w:szCs w:val="24"/>
            </w:rPr>
          </w:pPr>
          <w:r>
            <w:fldChar w:fldCharType="begin"/>
          </w:r>
          <w:r>
            <w:instrText xml:space="preserve"> HYPERLINK \l "bookmark268" </w:instrText>
          </w:r>
          <w:r>
            <w:fldChar w:fldCharType="separate"/>
          </w:r>
          <w:r>
            <w:rPr>
              <w:rFonts w:ascii="Times New Roman" w:hAnsi="Times New Roman" w:eastAsia="Times New Roman" w:cs="Times New Roman"/>
              <w:spacing w:val="-4"/>
              <w:sz w:val="24"/>
              <w:szCs w:val="24"/>
            </w:rPr>
            <w:t>3.</w:t>
          </w:r>
          <w:r>
            <w:rPr>
              <w:rFonts w:ascii="Times New Roman" w:hAnsi="Times New Roman" w:eastAsia="Times New Roman" w:cs="Times New Roman"/>
              <w:spacing w:val="4"/>
              <w:sz w:val="24"/>
              <w:szCs w:val="24"/>
            </w:rPr>
            <w:t xml:space="preserve">  </w:t>
          </w:r>
          <w:r>
            <w:rPr>
              <w:rFonts w:ascii="宋体" w:hAnsi="宋体" w:eastAsia="宋体" w:cs="宋体"/>
              <w:spacing w:val="-4"/>
              <w:sz w:val="24"/>
              <w:szCs w:val="24"/>
            </w:rPr>
            <w:t>承包人</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263</w:t>
          </w:r>
          <w:r>
            <w:rPr>
              <w:rFonts w:ascii="Times New Roman" w:hAnsi="Times New Roman" w:eastAsia="Times New Roman" w:cs="Times New Roman"/>
              <w:spacing w:val="-2"/>
              <w:sz w:val="24"/>
              <w:szCs w:val="24"/>
            </w:rPr>
            <w:fldChar w:fldCharType="end"/>
          </w:r>
        </w:p>
        <w:p w14:paraId="4E8390B5">
          <w:pPr>
            <w:tabs>
              <w:tab w:val="right" w:leader="dot" w:pos="8320"/>
            </w:tabs>
            <w:spacing w:before="135" w:line="185" w:lineRule="auto"/>
            <w:ind w:left="1277"/>
            <w:rPr>
              <w:rFonts w:ascii="Times New Roman" w:hAnsi="Times New Roman" w:eastAsia="Times New Roman" w:cs="Times New Roman"/>
              <w:sz w:val="24"/>
              <w:szCs w:val="24"/>
            </w:rPr>
          </w:pPr>
          <w:r>
            <w:fldChar w:fldCharType="begin"/>
          </w:r>
          <w:r>
            <w:instrText xml:space="preserve"> HYPERLINK \l "bookmark269" </w:instrText>
          </w:r>
          <w:r>
            <w:fldChar w:fldCharType="separate"/>
          </w:r>
          <w:r>
            <w:rPr>
              <w:rFonts w:ascii="Times New Roman" w:hAnsi="Times New Roman" w:eastAsia="Times New Roman" w:cs="Times New Roman"/>
              <w:spacing w:val="-3"/>
              <w:sz w:val="24"/>
              <w:szCs w:val="24"/>
            </w:rPr>
            <w:t>4.</w:t>
          </w:r>
          <w:r>
            <w:rPr>
              <w:rFonts w:ascii="Times New Roman" w:hAnsi="Times New Roman" w:eastAsia="Times New Roman" w:cs="Times New Roman"/>
              <w:spacing w:val="5"/>
              <w:sz w:val="24"/>
              <w:szCs w:val="24"/>
            </w:rPr>
            <w:t xml:space="preserve">  </w:t>
          </w:r>
          <w:r>
            <w:rPr>
              <w:rFonts w:ascii="宋体" w:hAnsi="宋体" w:eastAsia="宋体" w:cs="宋体"/>
              <w:spacing w:val="-3"/>
              <w:sz w:val="24"/>
              <w:szCs w:val="24"/>
            </w:rPr>
            <w:t>监理人</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266</w:t>
          </w:r>
          <w:r>
            <w:rPr>
              <w:rFonts w:ascii="Times New Roman" w:hAnsi="Times New Roman" w:eastAsia="Times New Roman" w:cs="Times New Roman"/>
              <w:spacing w:val="-2"/>
              <w:sz w:val="24"/>
              <w:szCs w:val="24"/>
            </w:rPr>
            <w:fldChar w:fldCharType="end"/>
          </w:r>
        </w:p>
        <w:p w14:paraId="591A1A1C">
          <w:pPr>
            <w:tabs>
              <w:tab w:val="right" w:leader="dot" w:pos="8320"/>
            </w:tabs>
            <w:spacing w:before="136" w:line="184" w:lineRule="auto"/>
            <w:ind w:left="1285"/>
            <w:rPr>
              <w:rFonts w:ascii="Times New Roman" w:hAnsi="Times New Roman" w:eastAsia="Times New Roman" w:cs="Times New Roman"/>
              <w:sz w:val="24"/>
              <w:szCs w:val="24"/>
            </w:rPr>
          </w:pPr>
          <w:r>
            <w:fldChar w:fldCharType="begin"/>
          </w:r>
          <w:r>
            <w:instrText xml:space="preserve"> HYPERLINK \l "bookmark270" </w:instrText>
          </w:r>
          <w:r>
            <w:fldChar w:fldCharType="separate"/>
          </w:r>
          <w:r>
            <w:rPr>
              <w:rFonts w:ascii="Times New Roman" w:hAnsi="Times New Roman" w:eastAsia="Times New Roman" w:cs="Times New Roman"/>
              <w:spacing w:val="-4"/>
              <w:sz w:val="24"/>
              <w:szCs w:val="24"/>
            </w:rPr>
            <w:t>5.</w:t>
          </w:r>
          <w:r>
            <w:rPr>
              <w:rFonts w:ascii="Times New Roman" w:hAnsi="Times New Roman" w:eastAsia="Times New Roman" w:cs="Times New Roman"/>
              <w:spacing w:val="6"/>
              <w:sz w:val="24"/>
              <w:szCs w:val="24"/>
            </w:rPr>
            <w:t xml:space="preserve">  </w:t>
          </w:r>
          <w:r>
            <w:rPr>
              <w:rFonts w:ascii="宋体" w:hAnsi="宋体" w:eastAsia="宋体" w:cs="宋体"/>
              <w:spacing w:val="-4"/>
              <w:sz w:val="24"/>
              <w:szCs w:val="24"/>
            </w:rPr>
            <w:t>工程质量</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266</w:t>
          </w:r>
          <w:r>
            <w:rPr>
              <w:rFonts w:ascii="Times New Roman" w:hAnsi="Times New Roman" w:eastAsia="Times New Roman" w:cs="Times New Roman"/>
              <w:spacing w:val="-2"/>
              <w:sz w:val="24"/>
              <w:szCs w:val="24"/>
            </w:rPr>
            <w:fldChar w:fldCharType="end"/>
          </w:r>
        </w:p>
        <w:p w14:paraId="47936F44">
          <w:pPr>
            <w:tabs>
              <w:tab w:val="right" w:leader="dot" w:pos="8320"/>
            </w:tabs>
            <w:spacing w:before="133" w:line="185" w:lineRule="auto"/>
            <w:ind w:left="1284"/>
            <w:rPr>
              <w:rFonts w:ascii="Times New Roman" w:hAnsi="Times New Roman" w:eastAsia="Times New Roman" w:cs="Times New Roman"/>
              <w:sz w:val="24"/>
              <w:szCs w:val="24"/>
            </w:rPr>
          </w:pPr>
          <w:r>
            <w:fldChar w:fldCharType="begin"/>
          </w:r>
          <w:r>
            <w:instrText xml:space="preserve"> HYPERLINK \l "bookmark271" </w:instrText>
          </w:r>
          <w:r>
            <w:fldChar w:fldCharType="separate"/>
          </w:r>
          <w:r>
            <w:rPr>
              <w:rFonts w:ascii="Times New Roman" w:hAnsi="Times New Roman" w:eastAsia="Times New Roman" w:cs="Times New Roman"/>
              <w:spacing w:val="-1"/>
              <w:sz w:val="24"/>
              <w:szCs w:val="24"/>
            </w:rPr>
            <w:t xml:space="preserve">6.  </w:t>
          </w:r>
          <w:r>
            <w:rPr>
              <w:rFonts w:ascii="宋体" w:hAnsi="宋体" w:eastAsia="宋体" w:cs="宋体"/>
              <w:spacing w:val="-1"/>
              <w:sz w:val="24"/>
              <w:szCs w:val="24"/>
            </w:rPr>
            <w:t>安全文明施工与环境保护</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267</w:t>
          </w:r>
          <w:r>
            <w:rPr>
              <w:rFonts w:ascii="Times New Roman" w:hAnsi="Times New Roman" w:eastAsia="Times New Roman" w:cs="Times New Roman"/>
              <w:spacing w:val="-2"/>
              <w:sz w:val="24"/>
              <w:szCs w:val="24"/>
            </w:rPr>
            <w:fldChar w:fldCharType="end"/>
          </w:r>
        </w:p>
        <w:p w14:paraId="5E52BF7D">
          <w:pPr>
            <w:tabs>
              <w:tab w:val="right" w:leader="dot" w:pos="8320"/>
            </w:tabs>
            <w:spacing w:before="136" w:line="184" w:lineRule="auto"/>
            <w:ind w:left="1282"/>
            <w:rPr>
              <w:rFonts w:ascii="Times New Roman" w:hAnsi="Times New Roman" w:eastAsia="Times New Roman" w:cs="Times New Roman"/>
              <w:sz w:val="24"/>
              <w:szCs w:val="24"/>
            </w:rPr>
          </w:pPr>
          <w:r>
            <w:fldChar w:fldCharType="begin"/>
          </w:r>
          <w:r>
            <w:instrText xml:space="preserve"> HYPERLINK \l "bookmark272" </w:instrText>
          </w:r>
          <w:r>
            <w:fldChar w:fldCharType="separate"/>
          </w:r>
          <w:r>
            <w:rPr>
              <w:rFonts w:ascii="Times New Roman" w:hAnsi="Times New Roman" w:eastAsia="Times New Roman" w:cs="Times New Roman"/>
              <w:spacing w:val="-4"/>
              <w:sz w:val="24"/>
              <w:szCs w:val="24"/>
            </w:rPr>
            <w:t>7.</w:t>
          </w:r>
          <w:r>
            <w:rPr>
              <w:rFonts w:ascii="Times New Roman" w:hAnsi="Times New Roman" w:eastAsia="Times New Roman" w:cs="Times New Roman"/>
              <w:spacing w:val="9"/>
              <w:sz w:val="24"/>
              <w:szCs w:val="24"/>
            </w:rPr>
            <w:t xml:space="preserve">  </w:t>
          </w:r>
          <w:r>
            <w:rPr>
              <w:rFonts w:ascii="宋体" w:hAnsi="宋体" w:eastAsia="宋体" w:cs="宋体"/>
              <w:spacing w:val="-4"/>
              <w:sz w:val="24"/>
              <w:szCs w:val="24"/>
            </w:rPr>
            <w:t>工期和进度</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267</w:t>
          </w:r>
          <w:r>
            <w:rPr>
              <w:rFonts w:ascii="Times New Roman" w:hAnsi="Times New Roman" w:eastAsia="Times New Roman" w:cs="Times New Roman"/>
              <w:spacing w:val="-2"/>
              <w:sz w:val="24"/>
              <w:szCs w:val="24"/>
            </w:rPr>
            <w:fldChar w:fldCharType="end"/>
          </w:r>
        </w:p>
        <w:p w14:paraId="6C925BB3">
          <w:pPr>
            <w:tabs>
              <w:tab w:val="right" w:leader="dot" w:pos="8320"/>
            </w:tabs>
            <w:spacing w:before="133" w:line="184" w:lineRule="auto"/>
            <w:ind w:left="1288"/>
            <w:rPr>
              <w:rFonts w:ascii="Times New Roman" w:hAnsi="Times New Roman" w:eastAsia="Times New Roman" w:cs="Times New Roman"/>
              <w:sz w:val="24"/>
              <w:szCs w:val="24"/>
            </w:rPr>
          </w:pPr>
          <w:r>
            <w:fldChar w:fldCharType="begin"/>
          </w:r>
          <w:r>
            <w:instrText xml:space="preserve"> HYPERLINK \l "bookmark273" </w:instrText>
          </w:r>
          <w:r>
            <w:fldChar w:fldCharType="separate"/>
          </w:r>
          <w:r>
            <w:rPr>
              <w:rFonts w:ascii="Times New Roman" w:hAnsi="Times New Roman" w:eastAsia="Times New Roman" w:cs="Times New Roman"/>
              <w:spacing w:val="-2"/>
              <w:sz w:val="24"/>
              <w:szCs w:val="24"/>
            </w:rPr>
            <w:t xml:space="preserve">8.  </w:t>
          </w:r>
          <w:r>
            <w:rPr>
              <w:rFonts w:ascii="宋体" w:hAnsi="宋体" w:eastAsia="宋体" w:cs="宋体"/>
              <w:spacing w:val="-2"/>
              <w:sz w:val="24"/>
              <w:szCs w:val="24"/>
            </w:rPr>
            <w:t>材料与设备</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268</w:t>
          </w:r>
          <w:r>
            <w:rPr>
              <w:rFonts w:ascii="Times New Roman" w:hAnsi="Times New Roman" w:eastAsia="Times New Roman" w:cs="Times New Roman"/>
              <w:spacing w:val="-2"/>
              <w:sz w:val="24"/>
              <w:szCs w:val="24"/>
            </w:rPr>
            <w:fldChar w:fldCharType="end"/>
          </w:r>
        </w:p>
        <w:p w14:paraId="2B5FEBDA">
          <w:pPr>
            <w:tabs>
              <w:tab w:val="right" w:leader="dot" w:pos="8320"/>
            </w:tabs>
            <w:spacing w:before="135" w:line="185" w:lineRule="auto"/>
            <w:ind w:left="1283"/>
            <w:rPr>
              <w:rFonts w:ascii="Times New Roman" w:hAnsi="Times New Roman" w:eastAsia="Times New Roman" w:cs="Times New Roman"/>
              <w:sz w:val="24"/>
              <w:szCs w:val="24"/>
            </w:rPr>
          </w:pPr>
          <w:r>
            <w:fldChar w:fldCharType="begin"/>
          </w:r>
          <w:r>
            <w:instrText xml:space="preserve"> HYPERLINK \l "bookmark274" </w:instrText>
          </w:r>
          <w:r>
            <w:fldChar w:fldCharType="separate"/>
          </w:r>
          <w:r>
            <w:rPr>
              <w:rFonts w:ascii="Times New Roman" w:hAnsi="Times New Roman" w:eastAsia="Times New Roman" w:cs="Times New Roman"/>
              <w:spacing w:val="-2"/>
              <w:sz w:val="24"/>
              <w:szCs w:val="24"/>
            </w:rPr>
            <w:t xml:space="preserve">9.  </w:t>
          </w:r>
          <w:r>
            <w:rPr>
              <w:rFonts w:ascii="宋体" w:hAnsi="宋体" w:eastAsia="宋体" w:cs="宋体"/>
              <w:spacing w:val="-2"/>
              <w:sz w:val="24"/>
              <w:szCs w:val="24"/>
            </w:rPr>
            <w:t>试验与检验</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269</w:t>
          </w:r>
          <w:r>
            <w:rPr>
              <w:rFonts w:ascii="Times New Roman" w:hAnsi="Times New Roman" w:eastAsia="Times New Roman" w:cs="Times New Roman"/>
              <w:spacing w:val="-2"/>
              <w:sz w:val="24"/>
              <w:szCs w:val="24"/>
            </w:rPr>
            <w:fldChar w:fldCharType="end"/>
          </w:r>
        </w:p>
        <w:p w14:paraId="0855248C">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"bookmark275" </w:instrText>
          </w:r>
          <w:r>
            <w:fldChar w:fldCharType="separate"/>
          </w:r>
          <w:r>
            <w:rPr>
              <w:rFonts w:ascii="Times New Roman" w:hAnsi="Times New Roman" w:eastAsia="Times New Roman" w:cs="Times New Roman"/>
              <w:spacing w:val="-8"/>
              <w:sz w:val="24"/>
              <w:szCs w:val="24"/>
            </w:rPr>
            <w:t>10.</w:t>
          </w:r>
          <w:r>
            <w:rPr>
              <w:rFonts w:ascii="Times New Roman" w:hAnsi="Times New Roman" w:eastAsia="Times New Roman" w:cs="Times New Roman"/>
              <w:spacing w:val="5"/>
              <w:sz w:val="24"/>
              <w:szCs w:val="24"/>
            </w:rPr>
            <w:t xml:space="preserve">  </w:t>
          </w:r>
          <w:r>
            <w:rPr>
              <w:rFonts w:ascii="宋体" w:hAnsi="宋体" w:eastAsia="宋体" w:cs="宋体"/>
              <w:spacing w:val="-8"/>
              <w:sz w:val="24"/>
              <w:szCs w:val="24"/>
            </w:rPr>
            <w:t>变更</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269</w:t>
          </w:r>
          <w:r>
            <w:rPr>
              <w:rFonts w:ascii="Times New Roman" w:hAnsi="Times New Roman" w:eastAsia="Times New Roman" w:cs="Times New Roman"/>
              <w:spacing w:val="-2"/>
              <w:sz w:val="24"/>
              <w:szCs w:val="24"/>
            </w:rPr>
            <w:fldChar w:fldCharType="end"/>
          </w:r>
        </w:p>
        <w:p w14:paraId="75D61252">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"bookmark276" </w:instrText>
          </w:r>
          <w:r>
            <w:fldChar w:fldCharType="separate"/>
          </w:r>
          <w:r>
            <w:rPr>
              <w:rFonts w:ascii="Times New Roman" w:hAnsi="Times New Roman" w:eastAsia="Times New Roman" w:cs="Times New Roman"/>
              <w:spacing w:val="-5"/>
              <w:sz w:val="24"/>
              <w:szCs w:val="24"/>
            </w:rPr>
            <w:t xml:space="preserve">11.  </w:t>
          </w:r>
          <w:r>
            <w:rPr>
              <w:rFonts w:ascii="宋体" w:hAnsi="宋体" w:eastAsia="宋体" w:cs="宋体"/>
              <w:spacing w:val="-5"/>
              <w:sz w:val="24"/>
              <w:szCs w:val="24"/>
            </w:rPr>
            <w:t>价格调整</w:t>
          </w:r>
          <w:r>
            <w:rPr>
              <w:rFonts w:ascii="宋体" w:hAnsi="宋体" w:eastAsia="宋体" w:cs="宋体"/>
              <w:spacing w:val="-66"/>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270</w:t>
          </w:r>
          <w:r>
            <w:rPr>
              <w:rFonts w:ascii="Times New Roman" w:hAnsi="Times New Roman" w:eastAsia="Times New Roman" w:cs="Times New Roman"/>
              <w:spacing w:val="1"/>
              <w:sz w:val="24"/>
              <w:szCs w:val="24"/>
            </w:rPr>
            <w:fldChar w:fldCharType="end"/>
          </w:r>
        </w:p>
        <w:p w14:paraId="51D7258D">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"bookmark277" </w:instrText>
          </w:r>
          <w:r>
            <w:fldChar w:fldCharType="separate"/>
          </w:r>
          <w:r>
            <w:rPr>
              <w:rFonts w:ascii="Times New Roman" w:hAnsi="Times New Roman" w:eastAsia="Times New Roman" w:cs="Times New Roman"/>
              <w:spacing w:val="-2"/>
              <w:sz w:val="24"/>
              <w:szCs w:val="24"/>
            </w:rPr>
            <w:t xml:space="preserve">12.  </w:t>
          </w:r>
          <w:r>
            <w:rPr>
              <w:rFonts w:ascii="宋体" w:hAnsi="宋体" w:eastAsia="宋体" w:cs="宋体"/>
              <w:spacing w:val="-2"/>
              <w:sz w:val="24"/>
              <w:szCs w:val="24"/>
            </w:rPr>
            <w:t>合同价格、计量与支付</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270</w:t>
          </w:r>
          <w:r>
            <w:rPr>
              <w:rFonts w:ascii="Times New Roman" w:hAnsi="Times New Roman" w:eastAsia="Times New Roman" w:cs="Times New Roman"/>
              <w:spacing w:val="-2"/>
              <w:sz w:val="24"/>
              <w:szCs w:val="24"/>
            </w:rPr>
            <w:fldChar w:fldCharType="end"/>
          </w:r>
        </w:p>
        <w:p w14:paraId="5EE510EC">
          <w:pPr>
            <w:tabs>
              <w:tab w:val="right" w:leader="dot" w:pos="8320"/>
            </w:tabs>
            <w:spacing w:before="133" w:line="184" w:lineRule="auto"/>
            <w:ind w:left="1302"/>
            <w:rPr>
              <w:rFonts w:ascii="Times New Roman" w:hAnsi="Times New Roman" w:eastAsia="Times New Roman" w:cs="Times New Roman"/>
              <w:sz w:val="24"/>
              <w:szCs w:val="24"/>
            </w:rPr>
          </w:pPr>
          <w:r>
            <w:fldChar w:fldCharType="begin"/>
          </w:r>
          <w:r>
            <w:instrText xml:space="preserve"> HYPERLINK \l "bookmark278" </w:instrText>
          </w:r>
          <w:r>
            <w:fldChar w:fldCharType="separate"/>
          </w:r>
          <w:r>
            <w:rPr>
              <w:rFonts w:ascii="Times New Roman" w:hAnsi="Times New Roman" w:eastAsia="Times New Roman" w:cs="Times New Roman"/>
              <w:spacing w:val="-3"/>
              <w:sz w:val="24"/>
              <w:szCs w:val="24"/>
            </w:rPr>
            <w:t xml:space="preserve">13.  </w:t>
          </w:r>
          <w:r>
            <w:rPr>
              <w:rFonts w:ascii="宋体" w:hAnsi="宋体" w:eastAsia="宋体" w:cs="宋体"/>
              <w:spacing w:val="-3"/>
              <w:sz w:val="24"/>
              <w:szCs w:val="24"/>
            </w:rPr>
            <w:t>验收和工程试车</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272</w:t>
          </w:r>
          <w:r>
            <w:rPr>
              <w:rFonts w:ascii="Times New Roman" w:hAnsi="Times New Roman" w:eastAsia="Times New Roman" w:cs="Times New Roman"/>
              <w:spacing w:val="-2"/>
              <w:sz w:val="24"/>
              <w:szCs w:val="24"/>
            </w:rPr>
            <w:fldChar w:fldCharType="end"/>
          </w:r>
        </w:p>
        <w:p w14:paraId="477E3C5F">
          <w:pPr>
            <w:tabs>
              <w:tab w:val="right" w:leader="dot" w:pos="8320"/>
            </w:tabs>
            <w:spacing w:before="134" w:line="185" w:lineRule="auto"/>
            <w:ind w:left="1302"/>
            <w:rPr>
              <w:rFonts w:ascii="Times New Roman" w:hAnsi="Times New Roman" w:eastAsia="Times New Roman" w:cs="Times New Roman"/>
              <w:sz w:val="24"/>
              <w:szCs w:val="24"/>
            </w:rPr>
          </w:pPr>
          <w:r>
            <w:fldChar w:fldCharType="begin"/>
          </w:r>
          <w:r>
            <w:instrText xml:space="preserve"> HYPERLINK \l "bookmark279" </w:instrText>
          </w:r>
          <w:r>
            <w:fldChar w:fldCharType="separate"/>
          </w:r>
          <w:r>
            <w:rPr>
              <w:rFonts w:ascii="Times New Roman" w:hAnsi="Times New Roman" w:eastAsia="Times New Roman" w:cs="Times New Roman"/>
              <w:spacing w:val="-6"/>
              <w:sz w:val="24"/>
              <w:szCs w:val="24"/>
            </w:rPr>
            <w:t>14.</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竣工结算</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273</w:t>
          </w:r>
          <w:r>
            <w:rPr>
              <w:rFonts w:ascii="Times New Roman" w:hAnsi="Times New Roman" w:eastAsia="Times New Roman" w:cs="Times New Roman"/>
              <w:spacing w:val="-2"/>
              <w:sz w:val="24"/>
              <w:szCs w:val="24"/>
            </w:rPr>
            <w:fldChar w:fldCharType="end"/>
          </w:r>
        </w:p>
        <w:p w14:paraId="7398AE0C">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"bookmark280" </w:instrText>
          </w:r>
          <w:r>
            <w:fldChar w:fldCharType="separate"/>
          </w:r>
          <w:r>
            <w:rPr>
              <w:rFonts w:ascii="Times New Roman" w:hAnsi="Times New Roman" w:eastAsia="Times New Roman" w:cs="Times New Roman"/>
              <w:spacing w:val="-3"/>
              <w:sz w:val="24"/>
              <w:szCs w:val="24"/>
            </w:rPr>
            <w:t xml:space="preserve">15.  </w:t>
          </w:r>
          <w:r>
            <w:rPr>
              <w:rFonts w:ascii="宋体" w:hAnsi="宋体" w:eastAsia="宋体" w:cs="宋体"/>
              <w:spacing w:val="-3"/>
              <w:sz w:val="24"/>
              <w:szCs w:val="24"/>
            </w:rPr>
            <w:t>缺陷责任期与保修</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274</w:t>
          </w:r>
          <w:r>
            <w:rPr>
              <w:rFonts w:ascii="Times New Roman" w:hAnsi="Times New Roman" w:eastAsia="Times New Roman" w:cs="Times New Roman"/>
              <w:spacing w:val="-2"/>
              <w:sz w:val="24"/>
              <w:szCs w:val="24"/>
            </w:rPr>
            <w:fldChar w:fldCharType="end"/>
          </w:r>
        </w:p>
        <w:p w14:paraId="2622FC29">
          <w:pPr>
            <w:tabs>
              <w:tab w:val="right" w:leader="dot" w:pos="8320"/>
            </w:tabs>
            <w:spacing w:before="133" w:line="185" w:lineRule="auto"/>
            <w:ind w:left="1302"/>
            <w:rPr>
              <w:rFonts w:ascii="Times New Roman" w:hAnsi="Times New Roman" w:eastAsia="Times New Roman" w:cs="Times New Roman"/>
              <w:sz w:val="24"/>
              <w:szCs w:val="24"/>
            </w:rPr>
          </w:pPr>
          <w:r>
            <w:fldChar w:fldCharType="begin"/>
          </w:r>
          <w:r>
            <w:instrText xml:space="preserve"> HYPERLINK \l "bookmark281" </w:instrText>
          </w:r>
          <w:r>
            <w:fldChar w:fldCharType="separate"/>
          </w:r>
          <w:r>
            <w:rPr>
              <w:rFonts w:ascii="Times New Roman" w:hAnsi="Times New Roman" w:eastAsia="Times New Roman" w:cs="Times New Roman"/>
              <w:spacing w:val="-8"/>
              <w:sz w:val="24"/>
              <w:szCs w:val="24"/>
            </w:rPr>
            <w:t>16.</w:t>
          </w:r>
          <w:r>
            <w:rPr>
              <w:rFonts w:ascii="Times New Roman" w:hAnsi="Times New Roman" w:eastAsia="Times New Roman" w:cs="Times New Roman"/>
              <w:spacing w:val="5"/>
              <w:sz w:val="24"/>
              <w:szCs w:val="24"/>
            </w:rPr>
            <w:t xml:space="preserve">  </w:t>
          </w:r>
          <w:r>
            <w:rPr>
              <w:rFonts w:ascii="宋体" w:hAnsi="宋体" w:eastAsia="宋体" w:cs="宋体"/>
              <w:spacing w:val="-8"/>
              <w:sz w:val="24"/>
              <w:szCs w:val="24"/>
            </w:rPr>
            <w:t>违约</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275</w:t>
          </w:r>
          <w:r>
            <w:rPr>
              <w:rFonts w:ascii="Times New Roman" w:hAnsi="Times New Roman" w:eastAsia="Times New Roman" w:cs="Times New Roman"/>
              <w:spacing w:val="-2"/>
              <w:sz w:val="24"/>
              <w:szCs w:val="24"/>
            </w:rPr>
            <w:fldChar w:fldCharType="end"/>
          </w:r>
        </w:p>
        <w:p w14:paraId="0256DA3D">
          <w:pPr>
            <w:tabs>
              <w:tab w:val="right" w:leader="dot" w:pos="8320"/>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"bookmark282" </w:instrText>
          </w:r>
          <w:r>
            <w:fldChar w:fldCharType="separate"/>
          </w:r>
          <w:r>
            <w:rPr>
              <w:rFonts w:ascii="Times New Roman" w:hAnsi="Times New Roman" w:eastAsia="Times New Roman" w:cs="Times New Roman"/>
              <w:spacing w:val="-6"/>
              <w:sz w:val="24"/>
              <w:szCs w:val="24"/>
            </w:rPr>
            <w:t>17.</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不可抗力</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276</w:t>
          </w:r>
          <w:r>
            <w:rPr>
              <w:rFonts w:ascii="Times New Roman" w:hAnsi="Times New Roman" w:eastAsia="Times New Roman" w:cs="Times New Roman"/>
              <w:spacing w:val="-2"/>
              <w:sz w:val="24"/>
              <w:szCs w:val="24"/>
            </w:rPr>
            <w:fldChar w:fldCharType="end"/>
          </w:r>
        </w:p>
        <w:p w14:paraId="610B7CDD">
          <w:pPr>
            <w:tabs>
              <w:tab w:val="right" w:leader="dot" w:pos="8320"/>
            </w:tabs>
            <w:spacing w:before="133" w:line="185" w:lineRule="auto"/>
            <w:ind w:left="1302"/>
            <w:rPr>
              <w:rFonts w:ascii="Times New Roman" w:hAnsi="Times New Roman" w:eastAsia="Times New Roman" w:cs="Times New Roman"/>
              <w:sz w:val="24"/>
              <w:szCs w:val="24"/>
            </w:rPr>
          </w:pPr>
          <w:r>
            <w:fldChar w:fldCharType="begin"/>
          </w:r>
          <w:r>
            <w:instrText xml:space="preserve"> HYPERLINK \l "bookmark283" </w:instrText>
          </w:r>
          <w:r>
            <w:fldChar w:fldCharType="separate"/>
          </w:r>
          <w:r>
            <w:rPr>
              <w:rFonts w:ascii="Times New Roman" w:hAnsi="Times New Roman" w:eastAsia="Times New Roman" w:cs="Times New Roman"/>
              <w:spacing w:val="-8"/>
              <w:sz w:val="24"/>
              <w:szCs w:val="24"/>
            </w:rPr>
            <w:t>18.</w:t>
          </w:r>
          <w:r>
            <w:rPr>
              <w:rFonts w:ascii="Times New Roman" w:hAnsi="Times New Roman" w:eastAsia="Times New Roman" w:cs="Times New Roman"/>
              <w:spacing w:val="5"/>
              <w:sz w:val="24"/>
              <w:szCs w:val="24"/>
            </w:rPr>
            <w:t xml:space="preserve">  </w:t>
          </w:r>
          <w:r>
            <w:rPr>
              <w:rFonts w:ascii="宋体" w:hAnsi="宋体" w:eastAsia="宋体" w:cs="宋体"/>
              <w:spacing w:val="-8"/>
              <w:sz w:val="24"/>
              <w:szCs w:val="24"/>
            </w:rPr>
            <w:t>保险</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276</w:t>
          </w:r>
          <w:r>
            <w:rPr>
              <w:rFonts w:ascii="Times New Roman" w:hAnsi="Times New Roman" w:eastAsia="Times New Roman" w:cs="Times New Roman"/>
              <w:spacing w:val="-2"/>
              <w:sz w:val="24"/>
              <w:szCs w:val="24"/>
            </w:rPr>
            <w:fldChar w:fldCharType="end"/>
          </w:r>
        </w:p>
        <w:p w14:paraId="5D618270">
          <w:pPr>
            <w:tabs>
              <w:tab w:val="right" w:leader="dot" w:pos="8320"/>
            </w:tabs>
            <w:spacing w:before="136" w:line="184" w:lineRule="auto"/>
            <w:ind w:left="1279"/>
            <w:rPr>
              <w:rFonts w:ascii="Times New Roman" w:hAnsi="Times New Roman" w:eastAsia="Times New Roman" w:cs="Times New Roman"/>
              <w:sz w:val="24"/>
              <w:szCs w:val="24"/>
            </w:rPr>
          </w:pPr>
          <w:r>
            <w:fldChar w:fldCharType="begin"/>
          </w:r>
          <w:r>
            <w:instrText xml:space="preserve"> HYPERLINK \l "bookmark284" </w:instrText>
          </w:r>
          <w:r>
            <w:fldChar w:fldCharType="separate"/>
          </w:r>
          <w:r>
            <w:rPr>
              <w:rFonts w:ascii="Times New Roman" w:hAnsi="Times New Roman" w:eastAsia="Times New Roman" w:cs="Times New Roman"/>
              <w:spacing w:val="-3"/>
              <w:sz w:val="24"/>
              <w:szCs w:val="24"/>
            </w:rPr>
            <w:t>20.</w:t>
          </w:r>
          <w:r>
            <w:rPr>
              <w:rFonts w:ascii="Times New Roman" w:hAnsi="Times New Roman" w:eastAsia="Times New Roman" w:cs="Times New Roman"/>
              <w:spacing w:val="7"/>
              <w:sz w:val="24"/>
              <w:szCs w:val="24"/>
            </w:rPr>
            <w:t xml:space="preserve">  </w:t>
          </w:r>
          <w:r>
            <w:rPr>
              <w:rFonts w:ascii="宋体" w:hAnsi="宋体" w:eastAsia="宋体" w:cs="宋体"/>
              <w:spacing w:val="-3"/>
              <w:sz w:val="24"/>
              <w:szCs w:val="24"/>
            </w:rPr>
            <w:t>争议解决</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276</w:t>
          </w:r>
          <w:r>
            <w:rPr>
              <w:rFonts w:ascii="Times New Roman" w:hAnsi="Times New Roman" w:eastAsia="Times New Roman" w:cs="Times New Roman"/>
              <w:spacing w:val="-2"/>
              <w:sz w:val="24"/>
              <w:szCs w:val="24"/>
            </w:rPr>
            <w:fldChar w:fldCharType="end"/>
          </w:r>
        </w:p>
        <w:p w14:paraId="08F41273">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"bookmark285" </w:instrText>
          </w:r>
          <w:r>
            <w:fldChar w:fldCharType="separate"/>
          </w:r>
          <w:r>
            <w:rPr>
              <w:rFonts w:ascii="宋体" w:hAnsi="宋体" w:eastAsia="宋体" w:cs="宋体"/>
              <w:spacing w:val="-15"/>
              <w:sz w:val="24"/>
              <w:szCs w:val="24"/>
            </w:rPr>
            <w:t>附件</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278</w:t>
          </w:r>
          <w:r>
            <w:rPr>
              <w:rFonts w:ascii="Times New Roman" w:hAnsi="Times New Roman" w:eastAsia="Times New Roman" w:cs="Times New Roman"/>
              <w:spacing w:val="-2"/>
              <w:sz w:val="24"/>
              <w:szCs w:val="24"/>
            </w:rPr>
            <w:fldChar w:fldCharType="end"/>
          </w:r>
        </w:p>
        <w:p w14:paraId="655F084D">
          <w:pPr>
            <w:pStyle w:val="2"/>
            <w:tabs>
              <w:tab w:val="right" w:leader="dot" w:pos="8320"/>
            </w:tabs>
            <w:spacing w:before="133" w:line="188" w:lineRule="auto"/>
            <w:ind w:left="23"/>
            <w:rPr>
              <w:rFonts w:ascii="Times New Roman" w:hAnsi="Times New Roman" w:eastAsia="Times New Roman" w:cs="Times New Roman"/>
              <w:sz w:val="24"/>
              <w:szCs w:val="24"/>
            </w:rPr>
          </w:pPr>
          <w:r>
            <w:fldChar w:fldCharType="begin"/>
          </w:r>
          <w:r>
            <w:instrText xml:space="preserve"> HYPERLINK \l "bookmark286" </w:instrText>
          </w:r>
          <w:r>
            <w:fldChar w:fldCharType="separate"/>
          </w:r>
          <w:r>
            <w:rPr>
              <w:spacing w:val="-1"/>
              <w:sz w:val="24"/>
              <w:szCs w:val="24"/>
            </w:rPr>
            <w:t>第四章  合同条款及格式</w:t>
          </w:r>
          <w:r>
            <w:rPr>
              <w:spacing w:val="-73"/>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294</w:t>
          </w:r>
          <w:r>
            <w:rPr>
              <w:rFonts w:ascii="Times New Roman" w:hAnsi="Times New Roman" w:eastAsia="Times New Roman" w:cs="Times New Roman"/>
              <w:spacing w:val="-2"/>
              <w:sz w:val="24"/>
              <w:szCs w:val="24"/>
            </w:rPr>
            <w:fldChar w:fldCharType="end"/>
          </w:r>
        </w:p>
        <w:p w14:paraId="15BA5CB6">
          <w:pPr>
            <w:pStyle w:val="2"/>
            <w:tabs>
              <w:tab w:val="right" w:leader="dot" w:pos="8320"/>
            </w:tabs>
            <w:spacing w:before="133" w:line="187" w:lineRule="auto"/>
            <w:ind w:left="443"/>
            <w:rPr>
              <w:rFonts w:ascii="Times New Roman" w:hAnsi="Times New Roman" w:eastAsia="Times New Roman" w:cs="Times New Roman"/>
              <w:sz w:val="24"/>
              <w:szCs w:val="24"/>
            </w:rPr>
          </w:pPr>
          <w:r>
            <w:fldChar w:fldCharType="begin"/>
          </w:r>
          <w:r>
            <w:instrText xml:space="preserve"> HYPERLINK \l "bookmark287" </w:instrText>
          </w:r>
          <w:r>
            <w:fldChar w:fldCharType="separate"/>
          </w:r>
          <w:r>
            <w:rPr>
              <w:spacing w:val="-1"/>
              <w:sz w:val="24"/>
              <w:szCs w:val="24"/>
            </w:rPr>
            <w:t>第一部分  合同协议书</w:t>
          </w:r>
          <w:r>
            <w:rPr>
              <w:spacing w:val="-74"/>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295</w:t>
          </w:r>
          <w:r>
            <w:rPr>
              <w:rFonts w:ascii="Times New Roman" w:hAnsi="Times New Roman" w:eastAsia="Times New Roman" w:cs="Times New Roman"/>
              <w:spacing w:val="-2"/>
              <w:sz w:val="24"/>
              <w:szCs w:val="24"/>
            </w:rPr>
            <w:fldChar w:fldCharType="end"/>
          </w:r>
        </w:p>
        <w:p w14:paraId="4ABD369D">
          <w:pPr>
            <w:pStyle w:val="2"/>
            <w:tabs>
              <w:tab w:val="right" w:leader="dot" w:pos="8320"/>
            </w:tabs>
            <w:spacing w:before="128" w:line="188" w:lineRule="auto"/>
            <w:ind w:left="443"/>
            <w:rPr>
              <w:rFonts w:ascii="Times New Roman" w:hAnsi="Times New Roman" w:eastAsia="Times New Roman" w:cs="Times New Roman"/>
              <w:sz w:val="24"/>
              <w:szCs w:val="24"/>
            </w:rPr>
          </w:pPr>
          <w:r>
            <w:fldChar w:fldCharType="begin"/>
          </w:r>
          <w:r>
            <w:instrText xml:space="preserve"> HYPERLINK \l "bookmark288" </w:instrText>
          </w:r>
          <w:r>
            <w:fldChar w:fldCharType="separate"/>
          </w:r>
          <w:r>
            <w:rPr>
              <w:spacing w:val="-1"/>
              <w:sz w:val="24"/>
              <w:szCs w:val="24"/>
            </w:rPr>
            <w:t>第二部分  通用合同条款</w:t>
          </w:r>
          <w:r>
            <w:rPr>
              <w:spacing w:val="-73"/>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299</w:t>
          </w:r>
          <w:r>
            <w:rPr>
              <w:rFonts w:ascii="Times New Roman" w:hAnsi="Times New Roman" w:eastAsia="Times New Roman" w:cs="Times New Roman"/>
              <w:spacing w:val="-2"/>
              <w:sz w:val="24"/>
              <w:szCs w:val="24"/>
            </w:rPr>
            <w:fldChar w:fldCharType="end"/>
          </w:r>
        </w:p>
        <w:p w14:paraId="7F7E34CE">
          <w:pPr>
            <w:tabs>
              <w:tab w:val="right" w:leader="dot" w:pos="8320"/>
            </w:tabs>
            <w:spacing w:before="133" w:line="184" w:lineRule="auto"/>
            <w:ind w:left="1301"/>
            <w:rPr>
              <w:rFonts w:ascii="Times New Roman" w:hAnsi="Times New Roman" w:eastAsia="Times New Roman" w:cs="Times New Roman"/>
              <w:sz w:val="24"/>
              <w:szCs w:val="24"/>
            </w:rPr>
          </w:pPr>
          <w:r>
            <w:fldChar w:fldCharType="begin"/>
          </w:r>
          <w:r>
            <w:instrText xml:space="preserve"> HYPERLINK \l "bookmark289" </w:instrText>
          </w:r>
          <w:r>
            <w:fldChar w:fldCharType="separate"/>
          </w:r>
          <w:r>
            <w:rPr>
              <w:rFonts w:ascii="宋体" w:hAnsi="宋体" w:eastAsia="宋体" w:cs="宋体"/>
              <w:spacing w:val="-7"/>
              <w:sz w:val="24"/>
              <w:szCs w:val="24"/>
            </w:rPr>
            <w:t>1.</w:t>
          </w:r>
          <w:r>
            <w:rPr>
              <w:rFonts w:ascii="宋体" w:hAnsi="宋体" w:eastAsia="宋体" w:cs="宋体"/>
              <w:spacing w:val="13"/>
              <w:sz w:val="24"/>
              <w:szCs w:val="24"/>
            </w:rPr>
            <w:t xml:space="preserve"> </w:t>
          </w:r>
          <w:r>
            <w:rPr>
              <w:rFonts w:ascii="宋体" w:hAnsi="宋体" w:eastAsia="宋体" w:cs="宋体"/>
              <w:spacing w:val="-7"/>
              <w:sz w:val="24"/>
              <w:szCs w:val="24"/>
            </w:rPr>
            <w:t>一般约定</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299</w:t>
          </w:r>
          <w:r>
            <w:rPr>
              <w:rFonts w:ascii="Times New Roman" w:hAnsi="Times New Roman" w:eastAsia="Times New Roman" w:cs="Times New Roman"/>
              <w:spacing w:val="-2"/>
              <w:sz w:val="24"/>
              <w:szCs w:val="24"/>
            </w:rPr>
            <w:fldChar w:fldCharType="end"/>
          </w:r>
        </w:p>
        <w:p w14:paraId="2225D0DA">
          <w:pPr>
            <w:tabs>
              <w:tab w:val="right" w:leader="dot" w:pos="8320"/>
            </w:tabs>
            <w:spacing w:before="135" w:line="184" w:lineRule="auto"/>
            <w:ind w:left="1286"/>
            <w:rPr>
              <w:rFonts w:ascii="Times New Roman" w:hAnsi="Times New Roman" w:eastAsia="Times New Roman" w:cs="Times New Roman"/>
              <w:sz w:val="24"/>
              <w:szCs w:val="24"/>
            </w:rPr>
          </w:pPr>
          <w:r>
            <w:fldChar w:fldCharType="begin"/>
          </w:r>
          <w:r>
            <w:instrText xml:space="preserve"> HYPERLINK \l "bookmark290" </w:instrText>
          </w:r>
          <w:r>
            <w:fldChar w:fldCharType="separate"/>
          </w:r>
          <w:r>
            <w:rPr>
              <w:rFonts w:ascii="宋体" w:hAnsi="宋体" w:eastAsia="宋体" w:cs="宋体"/>
              <w:spacing w:val="-6"/>
              <w:sz w:val="24"/>
              <w:szCs w:val="24"/>
            </w:rPr>
            <w:t>2.</w:t>
          </w:r>
          <w:r>
            <w:rPr>
              <w:rFonts w:ascii="宋体" w:hAnsi="宋体" w:eastAsia="宋体" w:cs="宋体"/>
              <w:spacing w:val="16"/>
              <w:sz w:val="24"/>
              <w:szCs w:val="24"/>
            </w:rPr>
            <w:t xml:space="preserve"> </w:t>
          </w:r>
          <w:r>
            <w:rPr>
              <w:rFonts w:ascii="宋体" w:hAnsi="宋体" w:eastAsia="宋体" w:cs="宋体"/>
              <w:spacing w:val="-6"/>
              <w:sz w:val="24"/>
              <w:szCs w:val="24"/>
            </w:rPr>
            <w:t>发包人</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306</w:t>
          </w:r>
          <w:r>
            <w:rPr>
              <w:rFonts w:ascii="Times New Roman" w:hAnsi="Times New Roman" w:eastAsia="Times New Roman" w:cs="Times New Roman"/>
              <w:spacing w:val="-4"/>
              <w:sz w:val="24"/>
              <w:szCs w:val="24"/>
            </w:rPr>
            <w:fldChar w:fldCharType="end"/>
          </w:r>
        </w:p>
        <w:p w14:paraId="2D3E8645">
          <w:pPr>
            <w:tabs>
              <w:tab w:val="right" w:leader="dot" w:pos="8320"/>
            </w:tabs>
            <w:spacing w:before="133" w:line="185" w:lineRule="auto"/>
            <w:ind w:left="1288"/>
            <w:rPr>
              <w:rFonts w:ascii="Times New Roman" w:hAnsi="Times New Roman" w:eastAsia="Times New Roman" w:cs="Times New Roman"/>
              <w:sz w:val="24"/>
              <w:szCs w:val="24"/>
            </w:rPr>
          </w:pPr>
          <w:r>
            <w:fldChar w:fldCharType="begin"/>
          </w:r>
          <w:r>
            <w:instrText xml:space="preserve"> HYPERLINK \l "bookmark291" </w:instrText>
          </w:r>
          <w:r>
            <w:fldChar w:fldCharType="separate"/>
          </w:r>
          <w:r>
            <w:rPr>
              <w:rFonts w:ascii="宋体" w:hAnsi="宋体" w:eastAsia="宋体" w:cs="宋体"/>
              <w:spacing w:val="-5"/>
              <w:sz w:val="24"/>
              <w:szCs w:val="24"/>
            </w:rPr>
            <w:t>3.</w:t>
          </w:r>
          <w:r>
            <w:rPr>
              <w:rFonts w:ascii="宋体" w:hAnsi="宋体" w:eastAsia="宋体" w:cs="宋体"/>
              <w:spacing w:val="9"/>
              <w:sz w:val="24"/>
              <w:szCs w:val="24"/>
            </w:rPr>
            <w:t xml:space="preserve"> </w:t>
          </w:r>
          <w:r>
            <w:rPr>
              <w:rFonts w:ascii="宋体" w:hAnsi="宋体" w:eastAsia="宋体" w:cs="宋体"/>
              <w:spacing w:val="-5"/>
              <w:sz w:val="24"/>
              <w:szCs w:val="24"/>
            </w:rPr>
            <w:t>承包人</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307</w:t>
          </w:r>
          <w:r>
            <w:rPr>
              <w:rFonts w:ascii="Times New Roman" w:hAnsi="Times New Roman" w:eastAsia="Times New Roman" w:cs="Times New Roman"/>
              <w:spacing w:val="-4"/>
              <w:sz w:val="24"/>
              <w:szCs w:val="24"/>
            </w:rPr>
            <w:fldChar w:fldCharType="end"/>
          </w:r>
        </w:p>
        <w:p w14:paraId="58739DD6">
          <w:pPr>
            <w:tabs>
              <w:tab w:val="right" w:leader="dot" w:pos="8322"/>
            </w:tabs>
            <w:spacing w:before="136" w:line="184" w:lineRule="auto"/>
            <w:ind w:left="1282"/>
            <w:rPr>
              <w:rFonts w:ascii="Times New Roman" w:hAnsi="Times New Roman" w:eastAsia="Times New Roman" w:cs="Times New Roman"/>
              <w:sz w:val="24"/>
              <w:szCs w:val="24"/>
            </w:rPr>
          </w:pPr>
          <w:r>
            <w:fldChar w:fldCharType="begin"/>
          </w:r>
          <w:r>
            <w:instrText xml:space="preserve"> HYPERLINK \l "bookmark292" </w:instrText>
          </w:r>
          <w:r>
            <w:fldChar w:fldCharType="separate"/>
          </w:r>
          <w:r>
            <w:rPr>
              <w:rFonts w:ascii="宋体" w:hAnsi="宋体" w:eastAsia="宋体" w:cs="宋体"/>
              <w:spacing w:val="-4"/>
              <w:sz w:val="24"/>
              <w:szCs w:val="24"/>
            </w:rPr>
            <w:t>4.</w:t>
          </w:r>
          <w:r>
            <w:rPr>
              <w:rFonts w:ascii="宋体" w:hAnsi="宋体" w:eastAsia="宋体" w:cs="宋体"/>
              <w:spacing w:val="10"/>
              <w:sz w:val="24"/>
              <w:szCs w:val="24"/>
            </w:rPr>
            <w:t xml:space="preserve"> </w:t>
          </w:r>
          <w:r>
            <w:rPr>
              <w:rFonts w:ascii="宋体" w:hAnsi="宋体" w:eastAsia="宋体" w:cs="宋体"/>
              <w:spacing w:val="-4"/>
              <w:sz w:val="24"/>
              <w:szCs w:val="24"/>
            </w:rPr>
            <w:t>监理人</w:t>
          </w:r>
          <w:r>
            <w:rPr>
              <w:rFonts w:ascii="宋体" w:hAnsi="宋体" w:eastAsia="宋体" w:cs="宋体"/>
              <w:spacing w:val="-74"/>
              <w:sz w:val="24"/>
              <w:szCs w:val="24"/>
            </w:rPr>
            <w:t xml:space="preserve"> </w:t>
          </w:r>
          <w:r>
            <w:rPr>
              <w:rFonts w:ascii="宋体" w:hAnsi="宋体" w:eastAsia="宋体" w:cs="宋体"/>
              <w:sz w:val="24"/>
              <w:szCs w:val="24"/>
            </w:rPr>
            <w:tab/>
          </w:r>
          <w:r>
            <w:rPr>
              <w:rFonts w:ascii="Times New Roman" w:hAnsi="Times New Roman" w:eastAsia="Times New Roman" w:cs="Times New Roman"/>
              <w:spacing w:val="2"/>
              <w:sz w:val="24"/>
              <w:szCs w:val="24"/>
            </w:rPr>
            <w:t>311</w:t>
          </w:r>
          <w:r>
            <w:rPr>
              <w:rFonts w:ascii="Times New Roman" w:hAnsi="Times New Roman" w:eastAsia="Times New Roman" w:cs="Times New Roman"/>
              <w:spacing w:val="2"/>
              <w:sz w:val="24"/>
              <w:szCs w:val="24"/>
            </w:rPr>
            <w:fldChar w:fldCharType="end"/>
          </w:r>
        </w:p>
        <w:p w14:paraId="1FD7EE88">
          <w:pPr>
            <w:tabs>
              <w:tab w:val="right" w:leader="dot" w:pos="8320"/>
            </w:tabs>
            <w:spacing w:before="133" w:line="185" w:lineRule="auto"/>
            <w:ind w:left="1288"/>
            <w:rPr>
              <w:rFonts w:ascii="Times New Roman" w:hAnsi="Times New Roman" w:eastAsia="Times New Roman" w:cs="Times New Roman"/>
              <w:sz w:val="24"/>
              <w:szCs w:val="24"/>
            </w:rPr>
          </w:pPr>
          <w:r>
            <w:fldChar w:fldCharType="begin"/>
          </w:r>
          <w:r>
            <w:instrText xml:space="preserve"> HYPERLINK \l "bookmark293" </w:instrText>
          </w:r>
          <w:r>
            <w:fldChar w:fldCharType="separate"/>
          </w:r>
          <w:r>
            <w:rPr>
              <w:rFonts w:ascii="宋体" w:hAnsi="宋体" w:eastAsia="宋体" w:cs="宋体"/>
              <w:spacing w:val="-5"/>
              <w:sz w:val="24"/>
              <w:szCs w:val="24"/>
            </w:rPr>
            <w:t>5.</w:t>
          </w:r>
          <w:r>
            <w:rPr>
              <w:rFonts w:ascii="宋体" w:hAnsi="宋体" w:eastAsia="宋体" w:cs="宋体"/>
              <w:spacing w:val="14"/>
              <w:sz w:val="24"/>
              <w:szCs w:val="24"/>
            </w:rPr>
            <w:t xml:space="preserve"> </w:t>
          </w:r>
          <w:r>
            <w:rPr>
              <w:rFonts w:ascii="宋体" w:hAnsi="宋体" w:eastAsia="宋体" w:cs="宋体"/>
              <w:spacing w:val="-5"/>
              <w:sz w:val="24"/>
              <w:szCs w:val="24"/>
            </w:rPr>
            <w:t>工程质量</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312</w:t>
          </w:r>
          <w:r>
            <w:rPr>
              <w:rFonts w:ascii="Times New Roman" w:hAnsi="Times New Roman" w:eastAsia="Times New Roman" w:cs="Times New Roman"/>
              <w:spacing w:val="-4"/>
              <w:sz w:val="24"/>
              <w:szCs w:val="24"/>
            </w:rPr>
            <w:fldChar w:fldCharType="end"/>
          </w:r>
        </w:p>
        <w:p w14:paraId="2E352309">
          <w:pPr>
            <w:tabs>
              <w:tab w:val="right" w:leader="dot" w:pos="8320"/>
            </w:tabs>
            <w:spacing w:before="136" w:line="184" w:lineRule="auto"/>
            <w:ind w:left="1285"/>
            <w:rPr>
              <w:rFonts w:ascii="Times New Roman" w:hAnsi="Times New Roman" w:eastAsia="Times New Roman" w:cs="Times New Roman"/>
              <w:sz w:val="24"/>
              <w:szCs w:val="24"/>
            </w:rPr>
          </w:pPr>
          <w:r>
            <w:fldChar w:fldCharType="begin"/>
          </w:r>
          <w:r>
            <w:instrText xml:space="preserve"> HYPERLINK \l "bookmark294" </w:instrText>
          </w:r>
          <w:r>
            <w:fldChar w:fldCharType="separate"/>
          </w:r>
          <w:r>
            <w:rPr>
              <w:rFonts w:ascii="宋体" w:hAnsi="宋体" w:eastAsia="宋体" w:cs="宋体"/>
              <w:spacing w:val="-1"/>
              <w:sz w:val="24"/>
              <w:szCs w:val="24"/>
            </w:rPr>
            <w:t>6. 安全文明施工与环境保护</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314</w:t>
          </w:r>
          <w:r>
            <w:rPr>
              <w:rFonts w:ascii="Times New Roman" w:hAnsi="Times New Roman" w:eastAsia="Times New Roman" w:cs="Times New Roman"/>
              <w:spacing w:val="-4"/>
              <w:sz w:val="24"/>
              <w:szCs w:val="24"/>
            </w:rPr>
            <w:fldChar w:fldCharType="end"/>
          </w:r>
        </w:p>
        <w:p w14:paraId="7019ACAD">
          <w:pPr>
            <w:tabs>
              <w:tab w:val="right" w:leader="dot" w:pos="8320"/>
            </w:tabs>
            <w:spacing w:before="135" w:line="220" w:lineRule="auto"/>
            <w:ind w:left="1289"/>
            <w:rPr>
              <w:rFonts w:ascii="Times New Roman" w:hAnsi="Times New Roman" w:eastAsia="Times New Roman" w:cs="Times New Roman"/>
              <w:sz w:val="24"/>
              <w:szCs w:val="24"/>
            </w:rPr>
          </w:pPr>
          <w:r>
            <w:fldChar w:fldCharType="begin"/>
          </w:r>
          <w:r>
            <w:instrText xml:space="preserve"> HYPERLINK \l "bookmark295" </w:instrText>
          </w:r>
          <w:r>
            <w:fldChar w:fldCharType="separate"/>
          </w:r>
          <w:r>
            <w:rPr>
              <w:rFonts w:ascii="宋体" w:hAnsi="宋体" w:eastAsia="宋体" w:cs="宋体"/>
              <w:spacing w:val="-4"/>
              <w:sz w:val="24"/>
              <w:szCs w:val="24"/>
            </w:rPr>
            <w:t>7.</w:t>
          </w:r>
          <w:r>
            <w:rPr>
              <w:rFonts w:ascii="宋体" w:hAnsi="宋体" w:eastAsia="宋体" w:cs="宋体"/>
              <w:spacing w:val="12"/>
              <w:sz w:val="24"/>
              <w:szCs w:val="24"/>
            </w:rPr>
            <w:t xml:space="preserve"> </w:t>
          </w:r>
          <w:r>
            <w:rPr>
              <w:rFonts w:ascii="宋体" w:hAnsi="宋体" w:eastAsia="宋体" w:cs="宋体"/>
              <w:spacing w:val="-4"/>
              <w:sz w:val="24"/>
              <w:szCs w:val="24"/>
            </w:rPr>
            <w:t>工期和进度</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317</w:t>
          </w:r>
          <w:r>
            <w:rPr>
              <w:rFonts w:ascii="Times New Roman" w:hAnsi="Times New Roman" w:eastAsia="Times New Roman" w:cs="Times New Roman"/>
              <w:spacing w:val="-4"/>
              <w:sz w:val="24"/>
              <w:szCs w:val="24"/>
            </w:rPr>
            <w:fldChar w:fldCharType="end"/>
          </w:r>
        </w:p>
      </w:sdtContent>
    </w:sdt>
    <w:p w14:paraId="2E90C749">
      <w:pPr>
        <w:spacing w:line="220" w:lineRule="auto"/>
        <w:rPr>
          <w:rFonts w:ascii="Times New Roman" w:hAnsi="Times New Roman" w:eastAsia="Times New Roman" w:cs="Times New Roman"/>
          <w:sz w:val="24"/>
          <w:szCs w:val="24"/>
        </w:rPr>
        <w:sectPr>
          <w:footerReference r:id="rId17" w:type="default"/>
          <w:pgSz w:w="11906" w:h="16839"/>
          <w:pgMar w:top="1431" w:right="1785" w:bottom="1153" w:left="1785" w:header="0" w:footer="994" w:gutter="0"/>
          <w:cols w:space="720" w:num="1"/>
        </w:sectPr>
      </w:pPr>
    </w:p>
    <w:sdt>
      <w:sdtPr>
        <w:rPr>
          <w:rFonts w:ascii="宋体" w:hAnsi="宋体" w:eastAsia="宋体" w:cs="宋体"/>
          <w:sz w:val="24"/>
          <w:szCs w:val="24"/>
        </w:rPr>
        <w:id w:val="147462944"/>
        <w:docPartObj>
          <w:docPartGallery w:val="Table of Contents"/>
          <w:docPartUnique/>
        </w:docPartObj>
      </w:sdtPr>
      <w:sdtEndPr>
        <w:rPr>
          <w:rFonts w:ascii="Times New Roman" w:hAnsi="Times New Roman" w:eastAsia="Times New Roman" w:cs="Times New Roman"/>
          <w:sz w:val="24"/>
          <w:szCs w:val="24"/>
        </w:rPr>
      </w:sdtEndPr>
      <w:sdtContent>
        <w:p w14:paraId="1FD423DD">
          <w:pPr>
            <w:tabs>
              <w:tab w:val="right" w:leader="dot" w:pos="8320"/>
            </w:tabs>
            <w:spacing w:before="77" w:line="184" w:lineRule="auto"/>
            <w:ind w:left="1284"/>
            <w:rPr>
              <w:rFonts w:ascii="Times New Roman" w:hAnsi="Times New Roman" w:eastAsia="Times New Roman" w:cs="Times New Roman"/>
              <w:sz w:val="24"/>
              <w:szCs w:val="24"/>
            </w:rPr>
          </w:pPr>
          <w:r>
            <w:fldChar w:fldCharType="begin"/>
          </w:r>
          <w:r>
            <w:instrText xml:space="preserve"> HYPERLINK \l "bookmark296" </w:instrText>
          </w:r>
          <w:r>
            <w:fldChar w:fldCharType="separate"/>
          </w:r>
          <w:r>
            <w:rPr>
              <w:rFonts w:ascii="宋体" w:hAnsi="宋体" w:eastAsia="宋体" w:cs="宋体"/>
              <w:spacing w:val="-2"/>
              <w:sz w:val="24"/>
              <w:szCs w:val="24"/>
            </w:rPr>
            <w:t>8. 材料与设备</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322</w:t>
          </w:r>
          <w:r>
            <w:rPr>
              <w:rFonts w:ascii="Times New Roman" w:hAnsi="Times New Roman" w:eastAsia="Times New Roman" w:cs="Times New Roman"/>
              <w:spacing w:val="-4"/>
              <w:sz w:val="24"/>
              <w:szCs w:val="24"/>
            </w:rPr>
            <w:fldChar w:fldCharType="end"/>
          </w:r>
        </w:p>
        <w:p w14:paraId="7925BEAE">
          <w:pPr>
            <w:tabs>
              <w:tab w:val="right" w:leader="dot" w:pos="8320"/>
            </w:tabs>
            <w:spacing w:before="135" w:line="184" w:lineRule="auto"/>
            <w:ind w:left="1284"/>
            <w:rPr>
              <w:rFonts w:ascii="Times New Roman" w:hAnsi="Times New Roman" w:eastAsia="Times New Roman" w:cs="Times New Roman"/>
              <w:sz w:val="24"/>
              <w:szCs w:val="24"/>
            </w:rPr>
          </w:pPr>
          <w:r>
            <w:fldChar w:fldCharType="begin"/>
          </w:r>
          <w:r>
            <w:instrText xml:space="preserve"> HYPERLINK \l "bookmark297" </w:instrText>
          </w:r>
          <w:r>
            <w:fldChar w:fldCharType="separate"/>
          </w:r>
          <w:r>
            <w:rPr>
              <w:rFonts w:ascii="宋体" w:hAnsi="宋体" w:eastAsia="宋体" w:cs="宋体"/>
              <w:spacing w:val="-2"/>
              <w:sz w:val="24"/>
              <w:szCs w:val="24"/>
            </w:rPr>
            <w:t>9. 试验与检验</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325</w:t>
          </w:r>
          <w:r>
            <w:rPr>
              <w:rFonts w:ascii="Times New Roman" w:hAnsi="Times New Roman" w:eastAsia="Times New Roman" w:cs="Times New Roman"/>
              <w:spacing w:val="-4"/>
              <w:sz w:val="24"/>
              <w:szCs w:val="24"/>
            </w:rPr>
            <w:fldChar w:fldCharType="end"/>
          </w:r>
        </w:p>
        <w:p w14:paraId="7CC145CF">
          <w:pPr>
            <w:tabs>
              <w:tab w:val="right" w:leader="dot" w:pos="8320"/>
            </w:tabs>
            <w:spacing w:before="132" w:line="185" w:lineRule="auto"/>
            <w:ind w:left="1301"/>
            <w:rPr>
              <w:rFonts w:ascii="Times New Roman" w:hAnsi="Times New Roman" w:eastAsia="Times New Roman" w:cs="Times New Roman"/>
              <w:sz w:val="24"/>
              <w:szCs w:val="24"/>
            </w:rPr>
          </w:pPr>
          <w:r>
            <w:fldChar w:fldCharType="begin"/>
          </w:r>
          <w:r>
            <w:instrText xml:space="preserve"> HYPERLINK \l "bookmark298" </w:instrText>
          </w:r>
          <w:r>
            <w:fldChar w:fldCharType="separate"/>
          </w:r>
          <w:r>
            <w:rPr>
              <w:rFonts w:ascii="宋体" w:hAnsi="宋体" w:eastAsia="宋体" w:cs="宋体"/>
              <w:spacing w:val="-8"/>
              <w:sz w:val="24"/>
              <w:szCs w:val="24"/>
            </w:rPr>
            <w:t>10.</w:t>
          </w:r>
          <w:r>
            <w:rPr>
              <w:rFonts w:ascii="宋体" w:hAnsi="宋体" w:eastAsia="宋体" w:cs="宋体"/>
              <w:spacing w:val="11"/>
              <w:sz w:val="24"/>
              <w:szCs w:val="24"/>
            </w:rPr>
            <w:t xml:space="preserve"> </w:t>
          </w:r>
          <w:r>
            <w:rPr>
              <w:rFonts w:ascii="宋体" w:hAnsi="宋体" w:eastAsia="宋体" w:cs="宋体"/>
              <w:spacing w:val="-8"/>
              <w:sz w:val="24"/>
              <w:szCs w:val="24"/>
            </w:rPr>
            <w:t>变更</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325</w:t>
          </w:r>
          <w:r>
            <w:rPr>
              <w:rFonts w:ascii="Times New Roman" w:hAnsi="Times New Roman" w:eastAsia="Times New Roman" w:cs="Times New Roman"/>
              <w:spacing w:val="-4"/>
              <w:sz w:val="24"/>
              <w:szCs w:val="24"/>
            </w:rPr>
            <w:fldChar w:fldCharType="end"/>
          </w:r>
        </w:p>
        <w:p w14:paraId="7BB52521">
          <w:pPr>
            <w:tabs>
              <w:tab w:val="right" w:leader="dot" w:pos="8320"/>
            </w:tabs>
            <w:spacing w:before="136" w:line="184" w:lineRule="auto"/>
            <w:ind w:left="1301"/>
            <w:rPr>
              <w:rFonts w:ascii="Times New Roman" w:hAnsi="Times New Roman" w:eastAsia="Times New Roman" w:cs="Times New Roman"/>
              <w:sz w:val="24"/>
              <w:szCs w:val="24"/>
            </w:rPr>
          </w:pPr>
          <w:r>
            <w:fldChar w:fldCharType="begin"/>
          </w:r>
          <w:r>
            <w:instrText xml:space="preserve"> HYPERLINK \l "bookmark299" </w:instrText>
          </w:r>
          <w:r>
            <w:fldChar w:fldCharType="separate"/>
          </w:r>
          <w:r>
            <w:rPr>
              <w:rFonts w:ascii="宋体" w:hAnsi="宋体" w:eastAsia="宋体" w:cs="宋体"/>
              <w:spacing w:val="-6"/>
              <w:sz w:val="24"/>
              <w:szCs w:val="24"/>
            </w:rPr>
            <w:t>11.</w:t>
          </w:r>
          <w:r>
            <w:rPr>
              <w:rFonts w:ascii="宋体" w:hAnsi="宋体" w:eastAsia="宋体" w:cs="宋体"/>
              <w:spacing w:val="13"/>
              <w:sz w:val="24"/>
              <w:szCs w:val="24"/>
            </w:rPr>
            <w:t xml:space="preserve"> </w:t>
          </w:r>
          <w:r>
            <w:rPr>
              <w:rFonts w:ascii="宋体" w:hAnsi="宋体" w:eastAsia="宋体" w:cs="宋体"/>
              <w:spacing w:val="-6"/>
              <w:sz w:val="24"/>
              <w:szCs w:val="24"/>
            </w:rPr>
            <w:t>价格调整</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329</w:t>
          </w:r>
          <w:r>
            <w:rPr>
              <w:rFonts w:ascii="Times New Roman" w:hAnsi="Times New Roman" w:eastAsia="Times New Roman" w:cs="Times New Roman"/>
              <w:spacing w:val="-4"/>
              <w:sz w:val="24"/>
              <w:szCs w:val="24"/>
            </w:rPr>
            <w:fldChar w:fldCharType="end"/>
          </w:r>
        </w:p>
        <w:p w14:paraId="08B9BF36">
          <w:pPr>
            <w:tabs>
              <w:tab w:val="right" w:leader="dot" w:pos="8320"/>
            </w:tabs>
            <w:spacing w:before="132" w:line="185" w:lineRule="auto"/>
            <w:ind w:left="1301"/>
            <w:rPr>
              <w:rFonts w:ascii="Times New Roman" w:hAnsi="Times New Roman" w:eastAsia="Times New Roman" w:cs="Times New Roman"/>
              <w:sz w:val="24"/>
              <w:szCs w:val="24"/>
            </w:rPr>
          </w:pPr>
          <w:r>
            <w:fldChar w:fldCharType="begin"/>
          </w:r>
          <w:r>
            <w:instrText xml:space="preserve"> HYPERLINK \l "bookmark300" </w:instrText>
          </w:r>
          <w:r>
            <w:fldChar w:fldCharType="separate"/>
          </w:r>
          <w:r>
            <w:rPr>
              <w:rFonts w:ascii="宋体" w:hAnsi="宋体" w:eastAsia="宋体" w:cs="宋体"/>
              <w:spacing w:val="-2"/>
              <w:sz w:val="24"/>
              <w:szCs w:val="24"/>
            </w:rPr>
            <w:t>12. 合同价格、计量与支付</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331</w:t>
          </w:r>
          <w:r>
            <w:rPr>
              <w:rFonts w:ascii="Times New Roman" w:hAnsi="Times New Roman" w:eastAsia="Times New Roman" w:cs="Times New Roman"/>
              <w:spacing w:val="-4"/>
              <w:sz w:val="24"/>
              <w:szCs w:val="24"/>
            </w:rPr>
            <w:fldChar w:fldCharType="end"/>
          </w:r>
        </w:p>
        <w:p w14:paraId="71F383EA">
          <w:pPr>
            <w:tabs>
              <w:tab w:val="right" w:leader="dot" w:pos="8320"/>
            </w:tabs>
            <w:spacing w:before="137" w:line="184" w:lineRule="auto"/>
            <w:ind w:left="1301"/>
            <w:rPr>
              <w:rFonts w:ascii="Times New Roman" w:hAnsi="Times New Roman" w:eastAsia="Times New Roman" w:cs="Times New Roman"/>
              <w:sz w:val="24"/>
              <w:szCs w:val="24"/>
            </w:rPr>
          </w:pPr>
          <w:r>
            <w:fldChar w:fldCharType="begin"/>
          </w:r>
          <w:r>
            <w:instrText xml:space="preserve"> HYPERLINK \l "bookmark301" </w:instrText>
          </w:r>
          <w:r>
            <w:fldChar w:fldCharType="separate"/>
          </w:r>
          <w:r>
            <w:rPr>
              <w:rFonts w:ascii="宋体" w:hAnsi="宋体" w:eastAsia="宋体" w:cs="宋体"/>
              <w:spacing w:val="-3"/>
              <w:sz w:val="24"/>
              <w:szCs w:val="24"/>
            </w:rPr>
            <w:t>13. 验收和工程试车</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335</w:t>
          </w:r>
          <w:r>
            <w:rPr>
              <w:rFonts w:ascii="Times New Roman" w:hAnsi="Times New Roman" w:eastAsia="Times New Roman" w:cs="Times New Roman"/>
              <w:spacing w:val="-4"/>
              <w:sz w:val="24"/>
              <w:szCs w:val="24"/>
            </w:rPr>
            <w:fldChar w:fldCharType="end"/>
          </w:r>
        </w:p>
        <w:p w14:paraId="207FC62B">
          <w:pPr>
            <w:tabs>
              <w:tab w:val="right" w:leader="dot" w:pos="8320"/>
            </w:tabs>
            <w:spacing w:before="135" w:line="184" w:lineRule="auto"/>
            <w:ind w:left="1301"/>
            <w:rPr>
              <w:rFonts w:ascii="Times New Roman" w:hAnsi="Times New Roman" w:eastAsia="Times New Roman" w:cs="Times New Roman"/>
              <w:sz w:val="24"/>
              <w:szCs w:val="24"/>
            </w:rPr>
          </w:pPr>
          <w:r>
            <w:fldChar w:fldCharType="begin"/>
          </w:r>
          <w:r>
            <w:instrText xml:space="preserve"> HYPERLINK \l "bookmark302" </w:instrText>
          </w:r>
          <w:r>
            <w:fldChar w:fldCharType="separate"/>
          </w:r>
          <w:r>
            <w:rPr>
              <w:rFonts w:ascii="宋体" w:hAnsi="宋体" w:eastAsia="宋体" w:cs="宋体"/>
              <w:spacing w:val="-7"/>
              <w:sz w:val="24"/>
              <w:szCs w:val="24"/>
            </w:rPr>
            <w:t>14</w:t>
          </w:r>
          <w:r>
            <w:rPr>
              <w:rFonts w:ascii="宋体" w:hAnsi="宋体" w:eastAsia="宋体" w:cs="宋体"/>
              <w:spacing w:val="13"/>
              <w:sz w:val="24"/>
              <w:szCs w:val="24"/>
            </w:rPr>
            <w:t xml:space="preserve"> </w:t>
          </w:r>
          <w:r>
            <w:rPr>
              <w:rFonts w:ascii="宋体" w:hAnsi="宋体" w:eastAsia="宋体" w:cs="宋体"/>
              <w:spacing w:val="-7"/>
              <w:sz w:val="24"/>
              <w:szCs w:val="24"/>
            </w:rPr>
            <w:t>工程结算</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339</w:t>
          </w:r>
          <w:r>
            <w:rPr>
              <w:rFonts w:ascii="Times New Roman" w:hAnsi="Times New Roman" w:eastAsia="Times New Roman" w:cs="Times New Roman"/>
              <w:spacing w:val="-4"/>
              <w:sz w:val="24"/>
              <w:szCs w:val="24"/>
            </w:rPr>
            <w:fldChar w:fldCharType="end"/>
          </w:r>
        </w:p>
        <w:p w14:paraId="20583CA6">
          <w:pPr>
            <w:tabs>
              <w:tab w:val="right" w:leader="dot" w:pos="8320"/>
            </w:tabs>
            <w:spacing w:before="132" w:line="185" w:lineRule="auto"/>
            <w:ind w:left="1301"/>
            <w:rPr>
              <w:rFonts w:ascii="Times New Roman" w:hAnsi="Times New Roman" w:eastAsia="Times New Roman" w:cs="Times New Roman"/>
              <w:sz w:val="24"/>
              <w:szCs w:val="24"/>
            </w:rPr>
          </w:pPr>
          <w:r>
            <w:fldChar w:fldCharType="begin"/>
          </w:r>
          <w:r>
            <w:instrText xml:space="preserve"> HYPERLINK \l "bookmark303" </w:instrText>
          </w:r>
          <w:r>
            <w:fldChar w:fldCharType="separate"/>
          </w:r>
          <w:r>
            <w:rPr>
              <w:rFonts w:ascii="宋体" w:hAnsi="宋体" w:eastAsia="宋体" w:cs="宋体"/>
              <w:spacing w:val="-3"/>
              <w:sz w:val="24"/>
              <w:szCs w:val="24"/>
            </w:rPr>
            <w:t>15. 缺陷责任与保修</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342</w:t>
          </w:r>
          <w:r>
            <w:rPr>
              <w:rFonts w:ascii="Times New Roman" w:hAnsi="Times New Roman" w:eastAsia="Times New Roman" w:cs="Times New Roman"/>
              <w:spacing w:val="-4"/>
              <w:sz w:val="24"/>
              <w:szCs w:val="24"/>
            </w:rPr>
            <w:fldChar w:fldCharType="end"/>
          </w:r>
        </w:p>
        <w:p w14:paraId="0FB7B2BE">
          <w:pPr>
            <w:tabs>
              <w:tab w:val="right" w:leader="dot" w:pos="8320"/>
            </w:tabs>
            <w:spacing w:before="137" w:line="184" w:lineRule="auto"/>
            <w:ind w:left="1301"/>
            <w:rPr>
              <w:rFonts w:ascii="Times New Roman" w:hAnsi="Times New Roman" w:eastAsia="Times New Roman" w:cs="Times New Roman"/>
              <w:sz w:val="24"/>
              <w:szCs w:val="24"/>
            </w:rPr>
          </w:pPr>
          <w:r>
            <w:fldChar w:fldCharType="begin"/>
          </w:r>
          <w:r>
            <w:instrText xml:space="preserve"> HYPERLINK \l "bookmark304" </w:instrText>
          </w:r>
          <w:r>
            <w:fldChar w:fldCharType="separate"/>
          </w:r>
          <w:r>
            <w:rPr>
              <w:rFonts w:ascii="宋体" w:hAnsi="宋体" w:eastAsia="宋体" w:cs="宋体"/>
              <w:spacing w:val="-8"/>
              <w:sz w:val="24"/>
              <w:szCs w:val="24"/>
            </w:rPr>
            <w:t>16.</w:t>
          </w:r>
          <w:r>
            <w:rPr>
              <w:rFonts w:ascii="宋体" w:hAnsi="宋体" w:eastAsia="宋体" w:cs="宋体"/>
              <w:spacing w:val="11"/>
              <w:sz w:val="24"/>
              <w:szCs w:val="24"/>
            </w:rPr>
            <w:t xml:space="preserve"> </w:t>
          </w:r>
          <w:r>
            <w:rPr>
              <w:rFonts w:ascii="宋体" w:hAnsi="宋体" w:eastAsia="宋体" w:cs="宋体"/>
              <w:spacing w:val="-8"/>
              <w:sz w:val="24"/>
              <w:szCs w:val="24"/>
            </w:rPr>
            <w:t>违约</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344</w:t>
          </w:r>
          <w:r>
            <w:rPr>
              <w:rFonts w:ascii="Times New Roman" w:hAnsi="Times New Roman" w:eastAsia="Times New Roman" w:cs="Times New Roman"/>
              <w:spacing w:val="-4"/>
              <w:sz w:val="24"/>
              <w:szCs w:val="24"/>
            </w:rPr>
            <w:fldChar w:fldCharType="end"/>
          </w:r>
        </w:p>
        <w:p w14:paraId="58C1B596">
          <w:pPr>
            <w:tabs>
              <w:tab w:val="right" w:leader="dot" w:pos="8320"/>
            </w:tabs>
            <w:spacing w:before="133" w:line="184" w:lineRule="auto"/>
            <w:ind w:left="1301"/>
            <w:rPr>
              <w:rFonts w:ascii="Times New Roman" w:hAnsi="Times New Roman" w:eastAsia="Times New Roman" w:cs="Times New Roman"/>
              <w:sz w:val="24"/>
              <w:szCs w:val="24"/>
            </w:rPr>
          </w:pPr>
          <w:r>
            <w:fldChar w:fldCharType="begin"/>
          </w:r>
          <w:r>
            <w:instrText xml:space="preserve"> HYPERLINK \l "bookmark305" </w:instrText>
          </w:r>
          <w:r>
            <w:fldChar w:fldCharType="separate"/>
          </w:r>
          <w:r>
            <w:rPr>
              <w:rFonts w:ascii="宋体" w:hAnsi="宋体" w:eastAsia="宋体" w:cs="宋体"/>
              <w:spacing w:val="-3"/>
              <w:sz w:val="24"/>
              <w:szCs w:val="24"/>
            </w:rPr>
            <w:t>17. 不可抗力和情势变更</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347</w:t>
          </w:r>
          <w:r>
            <w:rPr>
              <w:rFonts w:ascii="Times New Roman" w:hAnsi="Times New Roman" w:eastAsia="Times New Roman" w:cs="Times New Roman"/>
              <w:spacing w:val="-4"/>
              <w:sz w:val="24"/>
              <w:szCs w:val="24"/>
            </w:rPr>
            <w:fldChar w:fldCharType="end"/>
          </w:r>
        </w:p>
        <w:p w14:paraId="03E37A4F">
          <w:pPr>
            <w:tabs>
              <w:tab w:val="right" w:leader="dot" w:pos="8320"/>
            </w:tabs>
            <w:spacing w:before="135" w:line="185" w:lineRule="auto"/>
            <w:ind w:left="1301"/>
            <w:rPr>
              <w:rFonts w:ascii="Times New Roman" w:hAnsi="Times New Roman" w:eastAsia="Times New Roman" w:cs="Times New Roman"/>
              <w:sz w:val="24"/>
              <w:szCs w:val="24"/>
            </w:rPr>
          </w:pPr>
          <w:r>
            <w:fldChar w:fldCharType="begin"/>
          </w:r>
          <w:r>
            <w:instrText xml:space="preserve"> HYPERLINK \l "bookmark306" </w:instrText>
          </w:r>
          <w:r>
            <w:fldChar w:fldCharType="separate"/>
          </w:r>
          <w:r>
            <w:rPr>
              <w:rFonts w:ascii="宋体" w:hAnsi="宋体" w:eastAsia="宋体" w:cs="宋体"/>
              <w:spacing w:val="-8"/>
              <w:sz w:val="24"/>
              <w:szCs w:val="24"/>
            </w:rPr>
            <w:t>18.</w:t>
          </w:r>
          <w:r>
            <w:rPr>
              <w:rFonts w:ascii="宋体" w:hAnsi="宋体" w:eastAsia="宋体" w:cs="宋体"/>
              <w:spacing w:val="11"/>
              <w:sz w:val="24"/>
              <w:szCs w:val="24"/>
            </w:rPr>
            <w:t xml:space="preserve"> </w:t>
          </w:r>
          <w:r>
            <w:rPr>
              <w:rFonts w:ascii="宋体" w:hAnsi="宋体" w:eastAsia="宋体" w:cs="宋体"/>
              <w:spacing w:val="-8"/>
              <w:sz w:val="24"/>
              <w:szCs w:val="24"/>
            </w:rPr>
            <w:t>保险</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349</w:t>
          </w:r>
          <w:r>
            <w:rPr>
              <w:rFonts w:ascii="Times New Roman" w:hAnsi="Times New Roman" w:eastAsia="Times New Roman" w:cs="Times New Roman"/>
              <w:spacing w:val="-4"/>
              <w:sz w:val="24"/>
              <w:szCs w:val="24"/>
            </w:rPr>
            <w:fldChar w:fldCharType="end"/>
          </w:r>
        </w:p>
        <w:p w14:paraId="1C5D79CB">
          <w:pPr>
            <w:tabs>
              <w:tab w:val="right" w:leader="dot" w:pos="8320"/>
            </w:tabs>
            <w:spacing w:before="136" w:line="184" w:lineRule="auto"/>
            <w:ind w:left="1301"/>
            <w:rPr>
              <w:rFonts w:ascii="Times New Roman" w:hAnsi="Times New Roman" w:eastAsia="Times New Roman" w:cs="Times New Roman"/>
              <w:sz w:val="24"/>
              <w:szCs w:val="24"/>
            </w:rPr>
          </w:pPr>
          <w:r>
            <w:fldChar w:fldCharType="begin"/>
          </w:r>
          <w:r>
            <w:instrText xml:space="preserve"> HYPERLINK \l "bookmark307" </w:instrText>
          </w:r>
          <w:r>
            <w:fldChar w:fldCharType="separate"/>
          </w:r>
          <w:r>
            <w:rPr>
              <w:rFonts w:ascii="宋体" w:hAnsi="宋体" w:eastAsia="宋体" w:cs="宋体"/>
              <w:spacing w:val="-9"/>
              <w:sz w:val="24"/>
              <w:szCs w:val="24"/>
            </w:rPr>
            <w:t>19.</w:t>
          </w:r>
          <w:r>
            <w:rPr>
              <w:rFonts w:ascii="宋体" w:hAnsi="宋体" w:eastAsia="宋体" w:cs="宋体"/>
              <w:spacing w:val="16"/>
              <w:sz w:val="24"/>
              <w:szCs w:val="24"/>
            </w:rPr>
            <w:t xml:space="preserve"> </w:t>
          </w:r>
          <w:r>
            <w:rPr>
              <w:rFonts w:ascii="宋体" w:hAnsi="宋体" w:eastAsia="宋体" w:cs="宋体"/>
              <w:spacing w:val="-9"/>
              <w:sz w:val="24"/>
              <w:szCs w:val="24"/>
            </w:rPr>
            <w:t>索赔</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350</w:t>
          </w:r>
          <w:r>
            <w:rPr>
              <w:rFonts w:ascii="Times New Roman" w:hAnsi="Times New Roman" w:eastAsia="Times New Roman" w:cs="Times New Roman"/>
              <w:spacing w:val="-4"/>
              <w:sz w:val="24"/>
              <w:szCs w:val="24"/>
            </w:rPr>
            <w:fldChar w:fldCharType="end"/>
          </w:r>
        </w:p>
        <w:p w14:paraId="16005E1B">
          <w:pPr>
            <w:tabs>
              <w:tab w:val="right" w:leader="dot" w:pos="8320"/>
            </w:tabs>
            <w:spacing w:before="133" w:line="185" w:lineRule="auto"/>
            <w:ind w:left="1286"/>
            <w:rPr>
              <w:rFonts w:ascii="Times New Roman" w:hAnsi="Times New Roman" w:eastAsia="Times New Roman" w:cs="Times New Roman"/>
              <w:sz w:val="24"/>
              <w:szCs w:val="24"/>
            </w:rPr>
          </w:pPr>
          <w:r>
            <w:fldChar w:fldCharType="begin"/>
          </w:r>
          <w:r>
            <w:instrText xml:space="preserve"> HYPERLINK \l "bookmark308" </w:instrText>
          </w:r>
          <w:r>
            <w:fldChar w:fldCharType="separate"/>
          </w:r>
          <w:r>
            <w:rPr>
              <w:rFonts w:ascii="宋体" w:hAnsi="宋体" w:eastAsia="宋体" w:cs="宋体"/>
              <w:spacing w:val="-4"/>
              <w:sz w:val="24"/>
              <w:szCs w:val="24"/>
            </w:rPr>
            <w:t>20.</w:t>
          </w:r>
          <w:r>
            <w:rPr>
              <w:rFonts w:ascii="宋体" w:hAnsi="宋体" w:eastAsia="宋体" w:cs="宋体"/>
              <w:spacing w:val="14"/>
              <w:sz w:val="24"/>
              <w:szCs w:val="24"/>
            </w:rPr>
            <w:t xml:space="preserve"> </w:t>
          </w:r>
          <w:r>
            <w:rPr>
              <w:rFonts w:ascii="宋体" w:hAnsi="宋体" w:eastAsia="宋体" w:cs="宋体"/>
              <w:spacing w:val="-4"/>
              <w:sz w:val="24"/>
              <w:szCs w:val="24"/>
            </w:rPr>
            <w:t>争议解决</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352</w:t>
          </w:r>
          <w:r>
            <w:rPr>
              <w:rFonts w:ascii="Times New Roman" w:hAnsi="Times New Roman" w:eastAsia="Times New Roman" w:cs="Times New Roman"/>
              <w:spacing w:val="-4"/>
              <w:sz w:val="24"/>
              <w:szCs w:val="24"/>
            </w:rPr>
            <w:fldChar w:fldCharType="end"/>
          </w:r>
        </w:p>
        <w:p w14:paraId="15DF2F2B">
          <w:pPr>
            <w:pStyle w:val="2"/>
            <w:tabs>
              <w:tab w:val="right" w:leader="dot" w:pos="8320"/>
            </w:tabs>
            <w:spacing w:before="136" w:line="187" w:lineRule="auto"/>
            <w:ind w:left="443"/>
            <w:rPr>
              <w:rFonts w:ascii="Times New Roman" w:hAnsi="Times New Roman" w:eastAsia="Times New Roman" w:cs="Times New Roman"/>
              <w:sz w:val="24"/>
              <w:szCs w:val="24"/>
            </w:rPr>
          </w:pPr>
          <w:r>
            <w:fldChar w:fldCharType="begin"/>
          </w:r>
          <w:r>
            <w:instrText xml:space="preserve"> HYPERLINK \l "bookmark309" </w:instrText>
          </w:r>
          <w:r>
            <w:fldChar w:fldCharType="separate"/>
          </w:r>
          <w:r>
            <w:rPr>
              <w:spacing w:val="-1"/>
              <w:sz w:val="24"/>
              <w:szCs w:val="24"/>
            </w:rPr>
            <w:t>第三部分  专用合同条款</w:t>
          </w:r>
          <w:r>
            <w:rPr>
              <w:spacing w:val="-73"/>
              <w:sz w:val="24"/>
              <w:szCs w:val="24"/>
            </w:rPr>
            <w:t xml:space="preserve"> </w:t>
          </w:r>
          <w:r>
            <w:rPr>
              <w:sz w:val="24"/>
              <w:szCs w:val="24"/>
            </w:rPr>
            <w:tab/>
          </w:r>
          <w:r>
            <w:rPr>
              <w:spacing w:val="-51"/>
              <w:sz w:val="24"/>
              <w:szCs w:val="24"/>
            </w:rPr>
            <w:t xml:space="preserve"> </w:t>
          </w:r>
          <w:r>
            <w:rPr>
              <w:rFonts w:ascii="Times New Roman" w:hAnsi="Times New Roman" w:eastAsia="Times New Roman" w:cs="Times New Roman"/>
              <w:spacing w:val="-4"/>
              <w:sz w:val="24"/>
              <w:szCs w:val="24"/>
            </w:rPr>
            <w:t>354</w:t>
          </w:r>
          <w:r>
            <w:rPr>
              <w:rFonts w:ascii="Times New Roman" w:hAnsi="Times New Roman" w:eastAsia="Times New Roman" w:cs="Times New Roman"/>
              <w:spacing w:val="-4"/>
              <w:sz w:val="24"/>
              <w:szCs w:val="24"/>
            </w:rPr>
            <w:fldChar w:fldCharType="end"/>
          </w:r>
        </w:p>
        <w:p w14:paraId="67749C67">
          <w:pPr>
            <w:tabs>
              <w:tab w:val="right" w:leader="dot" w:pos="8320"/>
            </w:tabs>
            <w:spacing w:before="129" w:line="184" w:lineRule="auto"/>
            <w:ind w:left="1301"/>
            <w:rPr>
              <w:rFonts w:ascii="Times New Roman" w:hAnsi="Times New Roman" w:eastAsia="Times New Roman" w:cs="Times New Roman"/>
              <w:sz w:val="24"/>
              <w:szCs w:val="24"/>
            </w:rPr>
          </w:pPr>
          <w:r>
            <w:fldChar w:fldCharType="begin"/>
          </w:r>
          <w:r>
            <w:instrText xml:space="preserve"> HYPERLINK \l "bookmark310" </w:instrText>
          </w:r>
          <w:r>
            <w:fldChar w:fldCharType="separate"/>
          </w:r>
          <w:r>
            <w:rPr>
              <w:rFonts w:ascii="宋体" w:hAnsi="宋体" w:eastAsia="宋体" w:cs="宋体"/>
              <w:spacing w:val="-7"/>
              <w:sz w:val="24"/>
              <w:szCs w:val="24"/>
            </w:rPr>
            <w:t>1.</w:t>
          </w:r>
          <w:r>
            <w:rPr>
              <w:rFonts w:ascii="宋体" w:hAnsi="宋体" w:eastAsia="宋体" w:cs="宋体"/>
              <w:spacing w:val="13"/>
              <w:sz w:val="24"/>
              <w:szCs w:val="24"/>
            </w:rPr>
            <w:t xml:space="preserve"> </w:t>
          </w:r>
          <w:r>
            <w:rPr>
              <w:rFonts w:ascii="宋体" w:hAnsi="宋体" w:eastAsia="宋体" w:cs="宋体"/>
              <w:spacing w:val="-7"/>
              <w:sz w:val="24"/>
              <w:szCs w:val="24"/>
            </w:rPr>
            <w:t>一般约定</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354</w:t>
          </w:r>
          <w:r>
            <w:rPr>
              <w:rFonts w:ascii="Times New Roman" w:hAnsi="Times New Roman" w:eastAsia="Times New Roman" w:cs="Times New Roman"/>
              <w:spacing w:val="-4"/>
              <w:sz w:val="24"/>
              <w:szCs w:val="24"/>
            </w:rPr>
            <w:fldChar w:fldCharType="end"/>
          </w:r>
        </w:p>
        <w:p w14:paraId="377AC6DD">
          <w:pPr>
            <w:tabs>
              <w:tab w:val="right" w:leader="dot" w:pos="8320"/>
            </w:tabs>
            <w:spacing w:before="135" w:line="185" w:lineRule="auto"/>
            <w:ind w:left="1286"/>
            <w:rPr>
              <w:rFonts w:ascii="Times New Roman" w:hAnsi="Times New Roman" w:eastAsia="Times New Roman" w:cs="Times New Roman"/>
              <w:sz w:val="24"/>
              <w:szCs w:val="24"/>
            </w:rPr>
          </w:pPr>
          <w:r>
            <w:fldChar w:fldCharType="begin"/>
          </w:r>
          <w:r>
            <w:instrText xml:space="preserve"> HYPERLINK \l "bookmark311" </w:instrText>
          </w:r>
          <w:r>
            <w:fldChar w:fldCharType="separate"/>
          </w:r>
          <w:r>
            <w:rPr>
              <w:rFonts w:ascii="宋体" w:hAnsi="宋体" w:eastAsia="宋体" w:cs="宋体"/>
              <w:spacing w:val="-6"/>
              <w:sz w:val="24"/>
              <w:szCs w:val="24"/>
            </w:rPr>
            <w:t>2.</w:t>
          </w:r>
          <w:r>
            <w:rPr>
              <w:rFonts w:ascii="宋体" w:hAnsi="宋体" w:eastAsia="宋体" w:cs="宋体"/>
              <w:spacing w:val="16"/>
              <w:sz w:val="24"/>
              <w:szCs w:val="24"/>
            </w:rPr>
            <w:t xml:space="preserve"> </w:t>
          </w:r>
          <w:r>
            <w:rPr>
              <w:rFonts w:ascii="宋体" w:hAnsi="宋体" w:eastAsia="宋体" w:cs="宋体"/>
              <w:spacing w:val="-6"/>
              <w:sz w:val="24"/>
              <w:szCs w:val="24"/>
            </w:rPr>
            <w:t>发包人</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356</w:t>
          </w:r>
          <w:r>
            <w:rPr>
              <w:rFonts w:ascii="Times New Roman" w:hAnsi="Times New Roman" w:eastAsia="Times New Roman" w:cs="Times New Roman"/>
              <w:spacing w:val="-4"/>
              <w:sz w:val="24"/>
              <w:szCs w:val="24"/>
            </w:rPr>
            <w:fldChar w:fldCharType="end"/>
          </w:r>
        </w:p>
        <w:p w14:paraId="25F92FCA">
          <w:pPr>
            <w:tabs>
              <w:tab w:val="right" w:leader="dot" w:pos="8320"/>
            </w:tabs>
            <w:spacing w:before="137" w:line="184" w:lineRule="auto"/>
            <w:ind w:left="1288"/>
            <w:rPr>
              <w:rFonts w:ascii="Times New Roman" w:hAnsi="Times New Roman" w:eastAsia="Times New Roman" w:cs="Times New Roman"/>
              <w:sz w:val="24"/>
              <w:szCs w:val="24"/>
            </w:rPr>
          </w:pPr>
          <w:r>
            <w:fldChar w:fldCharType="begin"/>
          </w:r>
          <w:r>
            <w:instrText xml:space="preserve"> HYPERLINK \l "bookmark312" </w:instrText>
          </w:r>
          <w:r>
            <w:fldChar w:fldCharType="separate"/>
          </w:r>
          <w:r>
            <w:rPr>
              <w:rFonts w:ascii="宋体" w:hAnsi="宋体" w:eastAsia="宋体" w:cs="宋体"/>
              <w:spacing w:val="-5"/>
              <w:sz w:val="24"/>
              <w:szCs w:val="24"/>
            </w:rPr>
            <w:t>3.</w:t>
          </w:r>
          <w:r>
            <w:rPr>
              <w:rFonts w:ascii="宋体" w:hAnsi="宋体" w:eastAsia="宋体" w:cs="宋体"/>
              <w:spacing w:val="9"/>
              <w:sz w:val="24"/>
              <w:szCs w:val="24"/>
            </w:rPr>
            <w:t xml:space="preserve"> </w:t>
          </w:r>
          <w:r>
            <w:rPr>
              <w:rFonts w:ascii="宋体" w:hAnsi="宋体" w:eastAsia="宋体" w:cs="宋体"/>
              <w:spacing w:val="-5"/>
              <w:sz w:val="24"/>
              <w:szCs w:val="24"/>
            </w:rPr>
            <w:t>承包人</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357</w:t>
          </w:r>
          <w:r>
            <w:rPr>
              <w:rFonts w:ascii="Times New Roman" w:hAnsi="Times New Roman" w:eastAsia="Times New Roman" w:cs="Times New Roman"/>
              <w:spacing w:val="-4"/>
              <w:sz w:val="24"/>
              <w:szCs w:val="24"/>
            </w:rPr>
            <w:fldChar w:fldCharType="end"/>
          </w:r>
        </w:p>
        <w:p w14:paraId="1DC42A05">
          <w:pPr>
            <w:tabs>
              <w:tab w:val="right" w:leader="dot" w:pos="8320"/>
            </w:tabs>
            <w:spacing w:before="132" w:line="185" w:lineRule="auto"/>
            <w:ind w:left="1282"/>
            <w:rPr>
              <w:rFonts w:ascii="Times New Roman" w:hAnsi="Times New Roman" w:eastAsia="Times New Roman" w:cs="Times New Roman"/>
              <w:sz w:val="24"/>
              <w:szCs w:val="24"/>
            </w:rPr>
          </w:pPr>
          <w:r>
            <w:fldChar w:fldCharType="begin"/>
          </w:r>
          <w:r>
            <w:instrText xml:space="preserve"> HYPERLINK \l "bookmark313" </w:instrText>
          </w:r>
          <w:r>
            <w:fldChar w:fldCharType="separate"/>
          </w:r>
          <w:r>
            <w:rPr>
              <w:rFonts w:ascii="宋体" w:hAnsi="宋体" w:eastAsia="宋体" w:cs="宋体"/>
              <w:spacing w:val="-4"/>
              <w:sz w:val="24"/>
              <w:szCs w:val="24"/>
            </w:rPr>
            <w:t>4.</w:t>
          </w:r>
          <w:r>
            <w:rPr>
              <w:rFonts w:ascii="宋体" w:hAnsi="宋体" w:eastAsia="宋体" w:cs="宋体"/>
              <w:spacing w:val="10"/>
              <w:sz w:val="24"/>
              <w:szCs w:val="24"/>
            </w:rPr>
            <w:t xml:space="preserve"> </w:t>
          </w:r>
          <w:r>
            <w:rPr>
              <w:rFonts w:ascii="宋体" w:hAnsi="宋体" w:eastAsia="宋体" w:cs="宋体"/>
              <w:spacing w:val="-4"/>
              <w:sz w:val="24"/>
              <w:szCs w:val="24"/>
            </w:rPr>
            <w:t>监理人</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359</w:t>
          </w:r>
          <w:r>
            <w:rPr>
              <w:rFonts w:ascii="Times New Roman" w:hAnsi="Times New Roman" w:eastAsia="Times New Roman" w:cs="Times New Roman"/>
              <w:spacing w:val="-4"/>
              <w:sz w:val="24"/>
              <w:szCs w:val="24"/>
            </w:rPr>
            <w:fldChar w:fldCharType="end"/>
          </w:r>
        </w:p>
        <w:p w14:paraId="28A961EE">
          <w:pPr>
            <w:tabs>
              <w:tab w:val="right" w:leader="dot" w:pos="8320"/>
            </w:tabs>
            <w:spacing w:before="137" w:line="184" w:lineRule="auto"/>
            <w:ind w:left="1288"/>
            <w:rPr>
              <w:rFonts w:ascii="Times New Roman" w:hAnsi="Times New Roman" w:eastAsia="Times New Roman" w:cs="Times New Roman"/>
              <w:sz w:val="24"/>
              <w:szCs w:val="24"/>
            </w:rPr>
          </w:pPr>
          <w:r>
            <w:fldChar w:fldCharType="begin"/>
          </w:r>
          <w:r>
            <w:instrText xml:space="preserve"> HYPERLINK \l "bookmark314" </w:instrText>
          </w:r>
          <w:r>
            <w:fldChar w:fldCharType="separate"/>
          </w:r>
          <w:r>
            <w:rPr>
              <w:rFonts w:ascii="宋体" w:hAnsi="宋体" w:eastAsia="宋体" w:cs="宋体"/>
              <w:spacing w:val="-5"/>
              <w:sz w:val="24"/>
              <w:szCs w:val="24"/>
            </w:rPr>
            <w:t>5.</w:t>
          </w:r>
          <w:r>
            <w:rPr>
              <w:rFonts w:ascii="宋体" w:hAnsi="宋体" w:eastAsia="宋体" w:cs="宋体"/>
              <w:spacing w:val="14"/>
              <w:sz w:val="24"/>
              <w:szCs w:val="24"/>
            </w:rPr>
            <w:t xml:space="preserve"> </w:t>
          </w:r>
          <w:r>
            <w:rPr>
              <w:rFonts w:ascii="宋体" w:hAnsi="宋体" w:eastAsia="宋体" w:cs="宋体"/>
              <w:spacing w:val="-5"/>
              <w:sz w:val="24"/>
              <w:szCs w:val="24"/>
            </w:rPr>
            <w:t>工程质量</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359</w:t>
          </w:r>
          <w:r>
            <w:rPr>
              <w:rFonts w:ascii="Times New Roman" w:hAnsi="Times New Roman" w:eastAsia="Times New Roman" w:cs="Times New Roman"/>
              <w:spacing w:val="-4"/>
              <w:sz w:val="24"/>
              <w:szCs w:val="24"/>
            </w:rPr>
            <w:fldChar w:fldCharType="end"/>
          </w:r>
        </w:p>
        <w:p w14:paraId="7350C28E">
          <w:pPr>
            <w:tabs>
              <w:tab w:val="right" w:leader="dot" w:pos="8320"/>
            </w:tabs>
            <w:spacing w:before="133" w:line="184" w:lineRule="auto"/>
            <w:ind w:left="1285"/>
            <w:rPr>
              <w:rFonts w:ascii="Times New Roman" w:hAnsi="Times New Roman" w:eastAsia="Times New Roman" w:cs="Times New Roman"/>
              <w:sz w:val="24"/>
              <w:szCs w:val="24"/>
            </w:rPr>
          </w:pPr>
          <w:r>
            <w:fldChar w:fldCharType="begin"/>
          </w:r>
          <w:r>
            <w:instrText xml:space="preserve"> HYPERLINK \l "bookmark315" </w:instrText>
          </w:r>
          <w:r>
            <w:fldChar w:fldCharType="separate"/>
          </w:r>
          <w:r>
            <w:rPr>
              <w:rFonts w:ascii="宋体" w:hAnsi="宋体" w:eastAsia="宋体" w:cs="宋体"/>
              <w:spacing w:val="-1"/>
              <w:sz w:val="24"/>
              <w:szCs w:val="24"/>
            </w:rPr>
            <w:t>6. 安全文明施工与环境保护</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360</w:t>
          </w:r>
          <w:r>
            <w:rPr>
              <w:rFonts w:ascii="Times New Roman" w:hAnsi="Times New Roman" w:eastAsia="Times New Roman" w:cs="Times New Roman"/>
              <w:spacing w:val="-4"/>
              <w:sz w:val="24"/>
              <w:szCs w:val="24"/>
            </w:rPr>
            <w:fldChar w:fldCharType="end"/>
          </w:r>
        </w:p>
        <w:p w14:paraId="45934DC7">
          <w:pPr>
            <w:tabs>
              <w:tab w:val="right" w:leader="dot" w:pos="8320"/>
            </w:tabs>
            <w:spacing w:before="135" w:line="185" w:lineRule="auto"/>
            <w:ind w:left="1289"/>
            <w:rPr>
              <w:rFonts w:ascii="Times New Roman" w:hAnsi="Times New Roman" w:eastAsia="Times New Roman" w:cs="Times New Roman"/>
              <w:sz w:val="24"/>
              <w:szCs w:val="24"/>
            </w:rPr>
          </w:pPr>
          <w:r>
            <w:fldChar w:fldCharType="begin"/>
          </w:r>
          <w:r>
            <w:instrText xml:space="preserve"> HYPERLINK \l "bookmark316" </w:instrText>
          </w:r>
          <w:r>
            <w:fldChar w:fldCharType="separate"/>
          </w:r>
          <w:r>
            <w:rPr>
              <w:rFonts w:ascii="宋体" w:hAnsi="宋体" w:eastAsia="宋体" w:cs="宋体"/>
              <w:spacing w:val="-4"/>
              <w:sz w:val="24"/>
              <w:szCs w:val="24"/>
            </w:rPr>
            <w:t>7.</w:t>
          </w:r>
          <w:r>
            <w:rPr>
              <w:rFonts w:ascii="宋体" w:hAnsi="宋体" w:eastAsia="宋体" w:cs="宋体"/>
              <w:spacing w:val="12"/>
              <w:sz w:val="24"/>
              <w:szCs w:val="24"/>
            </w:rPr>
            <w:t xml:space="preserve"> </w:t>
          </w:r>
          <w:r>
            <w:rPr>
              <w:rFonts w:ascii="宋体" w:hAnsi="宋体" w:eastAsia="宋体" w:cs="宋体"/>
              <w:spacing w:val="-4"/>
              <w:sz w:val="24"/>
              <w:szCs w:val="24"/>
            </w:rPr>
            <w:t>工期和进度</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360</w:t>
          </w:r>
          <w:r>
            <w:rPr>
              <w:rFonts w:ascii="Times New Roman" w:hAnsi="Times New Roman" w:eastAsia="Times New Roman" w:cs="Times New Roman"/>
              <w:spacing w:val="-4"/>
              <w:sz w:val="24"/>
              <w:szCs w:val="24"/>
            </w:rPr>
            <w:fldChar w:fldCharType="end"/>
          </w:r>
        </w:p>
        <w:p w14:paraId="0C0667E9">
          <w:pPr>
            <w:tabs>
              <w:tab w:val="right" w:leader="dot" w:pos="8320"/>
            </w:tabs>
            <w:spacing w:before="136" w:line="184" w:lineRule="auto"/>
            <w:ind w:left="1284"/>
            <w:rPr>
              <w:rFonts w:ascii="Times New Roman" w:hAnsi="Times New Roman" w:eastAsia="Times New Roman" w:cs="Times New Roman"/>
              <w:sz w:val="24"/>
              <w:szCs w:val="24"/>
            </w:rPr>
          </w:pPr>
          <w:r>
            <w:fldChar w:fldCharType="begin"/>
          </w:r>
          <w:r>
            <w:instrText xml:space="preserve"> HYPERLINK \l "bookmark317" </w:instrText>
          </w:r>
          <w:r>
            <w:fldChar w:fldCharType="separate"/>
          </w:r>
          <w:r>
            <w:rPr>
              <w:rFonts w:ascii="宋体" w:hAnsi="宋体" w:eastAsia="宋体" w:cs="宋体"/>
              <w:spacing w:val="-2"/>
              <w:sz w:val="24"/>
              <w:szCs w:val="24"/>
            </w:rPr>
            <w:t>8. 材料与设备</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361</w:t>
          </w:r>
          <w:r>
            <w:rPr>
              <w:rFonts w:ascii="Times New Roman" w:hAnsi="Times New Roman" w:eastAsia="Times New Roman" w:cs="Times New Roman"/>
              <w:spacing w:val="-4"/>
              <w:sz w:val="24"/>
              <w:szCs w:val="24"/>
            </w:rPr>
            <w:fldChar w:fldCharType="end"/>
          </w:r>
        </w:p>
        <w:p w14:paraId="1FB178B4">
          <w:pPr>
            <w:tabs>
              <w:tab w:val="right" w:leader="dot" w:pos="8320"/>
            </w:tabs>
            <w:spacing w:before="133" w:line="185" w:lineRule="auto"/>
            <w:ind w:left="1284"/>
            <w:rPr>
              <w:rFonts w:ascii="Times New Roman" w:hAnsi="Times New Roman" w:eastAsia="Times New Roman" w:cs="Times New Roman"/>
              <w:sz w:val="24"/>
              <w:szCs w:val="24"/>
            </w:rPr>
          </w:pPr>
          <w:r>
            <w:fldChar w:fldCharType="begin"/>
          </w:r>
          <w:r>
            <w:instrText xml:space="preserve"> HYPERLINK \l "bookmark318" </w:instrText>
          </w:r>
          <w:r>
            <w:fldChar w:fldCharType="separate"/>
          </w:r>
          <w:r>
            <w:rPr>
              <w:rFonts w:ascii="宋体" w:hAnsi="宋体" w:eastAsia="宋体" w:cs="宋体"/>
              <w:spacing w:val="-2"/>
              <w:sz w:val="24"/>
              <w:szCs w:val="24"/>
            </w:rPr>
            <w:t>9. 试验与检验</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362</w:t>
          </w:r>
          <w:r>
            <w:rPr>
              <w:rFonts w:ascii="Times New Roman" w:hAnsi="Times New Roman" w:eastAsia="Times New Roman" w:cs="Times New Roman"/>
              <w:spacing w:val="-4"/>
              <w:sz w:val="24"/>
              <w:szCs w:val="24"/>
            </w:rPr>
            <w:fldChar w:fldCharType="end"/>
          </w:r>
        </w:p>
        <w:p w14:paraId="11B436D2">
          <w:pPr>
            <w:tabs>
              <w:tab w:val="right" w:leader="dot" w:pos="8320"/>
            </w:tabs>
            <w:spacing w:before="136" w:line="184" w:lineRule="auto"/>
            <w:ind w:left="1301"/>
            <w:rPr>
              <w:rFonts w:ascii="Times New Roman" w:hAnsi="Times New Roman" w:eastAsia="Times New Roman" w:cs="Times New Roman"/>
              <w:sz w:val="24"/>
              <w:szCs w:val="24"/>
            </w:rPr>
          </w:pPr>
          <w:r>
            <w:fldChar w:fldCharType="begin"/>
          </w:r>
          <w:r>
            <w:instrText xml:space="preserve"> HYPERLINK \l "bookmark319" </w:instrText>
          </w:r>
          <w:r>
            <w:fldChar w:fldCharType="separate"/>
          </w:r>
          <w:r>
            <w:rPr>
              <w:rFonts w:ascii="宋体" w:hAnsi="宋体" w:eastAsia="宋体" w:cs="宋体"/>
              <w:spacing w:val="-8"/>
              <w:sz w:val="24"/>
              <w:szCs w:val="24"/>
            </w:rPr>
            <w:t>10.</w:t>
          </w:r>
          <w:r>
            <w:rPr>
              <w:rFonts w:ascii="宋体" w:hAnsi="宋体" w:eastAsia="宋体" w:cs="宋体"/>
              <w:spacing w:val="11"/>
              <w:sz w:val="24"/>
              <w:szCs w:val="24"/>
            </w:rPr>
            <w:t xml:space="preserve"> </w:t>
          </w:r>
          <w:r>
            <w:rPr>
              <w:rFonts w:ascii="宋体" w:hAnsi="宋体" w:eastAsia="宋体" w:cs="宋体"/>
              <w:spacing w:val="-8"/>
              <w:sz w:val="24"/>
              <w:szCs w:val="24"/>
            </w:rPr>
            <w:t>变更</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362</w:t>
          </w:r>
          <w:r>
            <w:rPr>
              <w:rFonts w:ascii="Times New Roman" w:hAnsi="Times New Roman" w:eastAsia="Times New Roman" w:cs="Times New Roman"/>
              <w:spacing w:val="-4"/>
              <w:sz w:val="24"/>
              <w:szCs w:val="24"/>
            </w:rPr>
            <w:fldChar w:fldCharType="end"/>
          </w:r>
        </w:p>
        <w:p w14:paraId="40EBE782">
          <w:pPr>
            <w:tabs>
              <w:tab w:val="right" w:leader="dot" w:pos="8320"/>
            </w:tabs>
            <w:spacing w:before="133" w:line="185" w:lineRule="auto"/>
            <w:ind w:left="1301"/>
            <w:rPr>
              <w:rFonts w:ascii="Times New Roman" w:hAnsi="Times New Roman" w:eastAsia="Times New Roman" w:cs="Times New Roman"/>
              <w:sz w:val="24"/>
              <w:szCs w:val="24"/>
            </w:rPr>
          </w:pPr>
          <w:r>
            <w:fldChar w:fldCharType="begin"/>
          </w:r>
          <w:r>
            <w:instrText xml:space="preserve"> HYPERLINK \l "bookmark320" </w:instrText>
          </w:r>
          <w:r>
            <w:fldChar w:fldCharType="separate"/>
          </w:r>
          <w:r>
            <w:rPr>
              <w:rFonts w:ascii="宋体" w:hAnsi="宋体" w:eastAsia="宋体" w:cs="宋体"/>
              <w:spacing w:val="-6"/>
              <w:sz w:val="24"/>
              <w:szCs w:val="24"/>
            </w:rPr>
            <w:t>11.</w:t>
          </w:r>
          <w:r>
            <w:rPr>
              <w:rFonts w:ascii="宋体" w:hAnsi="宋体" w:eastAsia="宋体" w:cs="宋体"/>
              <w:spacing w:val="13"/>
              <w:sz w:val="24"/>
              <w:szCs w:val="24"/>
            </w:rPr>
            <w:t xml:space="preserve"> </w:t>
          </w:r>
          <w:r>
            <w:rPr>
              <w:rFonts w:ascii="宋体" w:hAnsi="宋体" w:eastAsia="宋体" w:cs="宋体"/>
              <w:spacing w:val="-6"/>
              <w:sz w:val="24"/>
              <w:szCs w:val="24"/>
            </w:rPr>
            <w:t>价格调整</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363</w:t>
          </w:r>
          <w:r>
            <w:rPr>
              <w:rFonts w:ascii="Times New Roman" w:hAnsi="Times New Roman" w:eastAsia="Times New Roman" w:cs="Times New Roman"/>
              <w:spacing w:val="-4"/>
              <w:sz w:val="24"/>
              <w:szCs w:val="24"/>
            </w:rPr>
            <w:fldChar w:fldCharType="end"/>
          </w:r>
        </w:p>
        <w:p w14:paraId="5F4CF511">
          <w:pPr>
            <w:tabs>
              <w:tab w:val="right" w:leader="dot" w:pos="8320"/>
            </w:tabs>
            <w:spacing w:before="136" w:line="184" w:lineRule="auto"/>
            <w:ind w:left="1301"/>
            <w:rPr>
              <w:rFonts w:ascii="Times New Roman" w:hAnsi="Times New Roman" w:eastAsia="Times New Roman" w:cs="Times New Roman"/>
              <w:sz w:val="24"/>
              <w:szCs w:val="24"/>
            </w:rPr>
          </w:pPr>
          <w:r>
            <w:fldChar w:fldCharType="begin"/>
          </w:r>
          <w:r>
            <w:instrText xml:space="preserve"> HYPERLINK \l "bookmark321" </w:instrText>
          </w:r>
          <w:r>
            <w:fldChar w:fldCharType="separate"/>
          </w:r>
          <w:r>
            <w:rPr>
              <w:rFonts w:ascii="宋体" w:hAnsi="宋体" w:eastAsia="宋体" w:cs="宋体"/>
              <w:spacing w:val="-2"/>
              <w:sz w:val="24"/>
              <w:szCs w:val="24"/>
            </w:rPr>
            <w:t>12. 合同价格、计量与支付</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364</w:t>
          </w:r>
          <w:r>
            <w:rPr>
              <w:rFonts w:ascii="Times New Roman" w:hAnsi="Times New Roman" w:eastAsia="Times New Roman" w:cs="Times New Roman"/>
              <w:spacing w:val="-4"/>
              <w:sz w:val="24"/>
              <w:szCs w:val="24"/>
            </w:rPr>
            <w:fldChar w:fldCharType="end"/>
          </w:r>
        </w:p>
        <w:p w14:paraId="564FD318">
          <w:pPr>
            <w:tabs>
              <w:tab w:val="right" w:leader="dot" w:pos="8320"/>
            </w:tabs>
            <w:spacing w:before="136" w:line="184" w:lineRule="auto"/>
            <w:ind w:left="1301"/>
            <w:rPr>
              <w:rFonts w:ascii="Times New Roman" w:hAnsi="Times New Roman" w:eastAsia="Times New Roman" w:cs="Times New Roman"/>
              <w:sz w:val="24"/>
              <w:szCs w:val="24"/>
            </w:rPr>
          </w:pPr>
          <w:r>
            <w:fldChar w:fldCharType="begin"/>
          </w:r>
          <w:r>
            <w:instrText xml:space="preserve"> HYPERLINK \l "bookmark322" </w:instrText>
          </w:r>
          <w:r>
            <w:fldChar w:fldCharType="separate"/>
          </w:r>
          <w:r>
            <w:rPr>
              <w:rFonts w:ascii="宋体" w:hAnsi="宋体" w:eastAsia="宋体" w:cs="宋体"/>
              <w:spacing w:val="-3"/>
              <w:sz w:val="24"/>
              <w:szCs w:val="24"/>
            </w:rPr>
            <w:t>13. 验收和工程试车</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366</w:t>
          </w:r>
          <w:r>
            <w:rPr>
              <w:rFonts w:ascii="Times New Roman" w:hAnsi="Times New Roman" w:eastAsia="Times New Roman" w:cs="Times New Roman"/>
              <w:spacing w:val="-4"/>
              <w:sz w:val="24"/>
              <w:szCs w:val="24"/>
            </w:rPr>
            <w:fldChar w:fldCharType="end"/>
          </w:r>
        </w:p>
        <w:p w14:paraId="2D750E75">
          <w:pPr>
            <w:tabs>
              <w:tab w:val="right" w:leader="dot" w:pos="8320"/>
            </w:tabs>
            <w:spacing w:before="132" w:line="185" w:lineRule="auto"/>
            <w:ind w:left="1301"/>
            <w:rPr>
              <w:rFonts w:ascii="Times New Roman" w:hAnsi="Times New Roman" w:eastAsia="Times New Roman" w:cs="Times New Roman"/>
              <w:sz w:val="24"/>
              <w:szCs w:val="24"/>
            </w:rPr>
          </w:pPr>
          <w:r>
            <w:fldChar w:fldCharType="begin"/>
          </w:r>
          <w:r>
            <w:instrText xml:space="preserve"> HYPERLINK \l "bookmark323" </w:instrText>
          </w:r>
          <w:r>
            <w:fldChar w:fldCharType="separate"/>
          </w:r>
          <w:r>
            <w:rPr>
              <w:rFonts w:ascii="宋体" w:hAnsi="宋体" w:eastAsia="宋体" w:cs="宋体"/>
              <w:spacing w:val="-6"/>
              <w:sz w:val="24"/>
              <w:szCs w:val="24"/>
            </w:rPr>
            <w:t>14.</w:t>
          </w:r>
          <w:r>
            <w:rPr>
              <w:rFonts w:ascii="宋体" w:hAnsi="宋体" w:eastAsia="宋体" w:cs="宋体"/>
              <w:spacing w:val="13"/>
              <w:sz w:val="24"/>
              <w:szCs w:val="24"/>
            </w:rPr>
            <w:t xml:space="preserve"> </w:t>
          </w:r>
          <w:r>
            <w:rPr>
              <w:rFonts w:ascii="宋体" w:hAnsi="宋体" w:eastAsia="宋体" w:cs="宋体"/>
              <w:spacing w:val="-6"/>
              <w:sz w:val="24"/>
              <w:szCs w:val="24"/>
            </w:rPr>
            <w:t>工程结算</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367</w:t>
          </w:r>
          <w:r>
            <w:rPr>
              <w:rFonts w:ascii="Times New Roman" w:hAnsi="Times New Roman" w:eastAsia="Times New Roman" w:cs="Times New Roman"/>
              <w:spacing w:val="-4"/>
              <w:sz w:val="24"/>
              <w:szCs w:val="24"/>
            </w:rPr>
            <w:fldChar w:fldCharType="end"/>
          </w:r>
        </w:p>
        <w:p w14:paraId="36157F52">
          <w:pPr>
            <w:tabs>
              <w:tab w:val="right" w:leader="dot" w:pos="8320"/>
            </w:tabs>
            <w:spacing w:before="137" w:line="184" w:lineRule="auto"/>
            <w:ind w:left="1301"/>
            <w:rPr>
              <w:rFonts w:ascii="Times New Roman" w:hAnsi="Times New Roman" w:eastAsia="Times New Roman" w:cs="Times New Roman"/>
              <w:sz w:val="24"/>
              <w:szCs w:val="24"/>
            </w:rPr>
          </w:pPr>
          <w:r>
            <w:fldChar w:fldCharType="begin"/>
          </w:r>
          <w:r>
            <w:instrText xml:space="preserve"> HYPERLINK \l "bookmark324" </w:instrText>
          </w:r>
          <w:r>
            <w:fldChar w:fldCharType="separate"/>
          </w:r>
          <w:r>
            <w:rPr>
              <w:rFonts w:ascii="宋体" w:hAnsi="宋体" w:eastAsia="宋体" w:cs="宋体"/>
              <w:spacing w:val="-3"/>
              <w:sz w:val="24"/>
              <w:szCs w:val="24"/>
            </w:rPr>
            <w:t>15. 缺陷责任期与保修</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368</w:t>
          </w:r>
          <w:r>
            <w:rPr>
              <w:rFonts w:ascii="Times New Roman" w:hAnsi="Times New Roman" w:eastAsia="Times New Roman" w:cs="Times New Roman"/>
              <w:spacing w:val="-4"/>
              <w:sz w:val="24"/>
              <w:szCs w:val="24"/>
            </w:rPr>
            <w:fldChar w:fldCharType="end"/>
          </w:r>
        </w:p>
        <w:p w14:paraId="7B7F73C1">
          <w:pPr>
            <w:tabs>
              <w:tab w:val="right" w:leader="dot" w:pos="8320"/>
            </w:tabs>
            <w:spacing w:before="132" w:line="185" w:lineRule="auto"/>
            <w:ind w:left="1301"/>
            <w:rPr>
              <w:rFonts w:ascii="Times New Roman" w:hAnsi="Times New Roman" w:eastAsia="Times New Roman" w:cs="Times New Roman"/>
              <w:sz w:val="24"/>
              <w:szCs w:val="24"/>
            </w:rPr>
          </w:pPr>
          <w:r>
            <w:fldChar w:fldCharType="begin"/>
          </w:r>
          <w:r>
            <w:instrText xml:space="preserve"> HYPERLINK \l "bookmark325" </w:instrText>
          </w:r>
          <w:r>
            <w:fldChar w:fldCharType="separate"/>
          </w:r>
          <w:r>
            <w:rPr>
              <w:rFonts w:ascii="宋体" w:hAnsi="宋体" w:eastAsia="宋体" w:cs="宋体"/>
              <w:spacing w:val="-8"/>
              <w:sz w:val="24"/>
              <w:szCs w:val="24"/>
            </w:rPr>
            <w:t>16.</w:t>
          </w:r>
          <w:r>
            <w:rPr>
              <w:rFonts w:ascii="宋体" w:hAnsi="宋体" w:eastAsia="宋体" w:cs="宋体"/>
              <w:spacing w:val="11"/>
              <w:sz w:val="24"/>
              <w:szCs w:val="24"/>
            </w:rPr>
            <w:t xml:space="preserve"> </w:t>
          </w:r>
          <w:r>
            <w:rPr>
              <w:rFonts w:ascii="宋体" w:hAnsi="宋体" w:eastAsia="宋体" w:cs="宋体"/>
              <w:spacing w:val="-8"/>
              <w:sz w:val="24"/>
              <w:szCs w:val="24"/>
            </w:rPr>
            <w:t>违约</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369</w:t>
          </w:r>
          <w:r>
            <w:rPr>
              <w:rFonts w:ascii="Times New Roman" w:hAnsi="Times New Roman" w:eastAsia="Times New Roman" w:cs="Times New Roman"/>
              <w:spacing w:val="-4"/>
              <w:sz w:val="24"/>
              <w:szCs w:val="24"/>
            </w:rPr>
            <w:fldChar w:fldCharType="end"/>
          </w:r>
        </w:p>
        <w:p w14:paraId="7B417CA7">
          <w:pPr>
            <w:tabs>
              <w:tab w:val="right" w:leader="dot" w:pos="8320"/>
            </w:tabs>
            <w:spacing w:before="137" w:line="184" w:lineRule="auto"/>
            <w:ind w:left="1301"/>
            <w:rPr>
              <w:rFonts w:ascii="Times New Roman" w:hAnsi="Times New Roman" w:eastAsia="Times New Roman" w:cs="Times New Roman"/>
              <w:sz w:val="24"/>
              <w:szCs w:val="24"/>
            </w:rPr>
          </w:pPr>
          <w:r>
            <w:fldChar w:fldCharType="begin"/>
          </w:r>
          <w:r>
            <w:instrText xml:space="preserve"> HYPERLINK \l "bookmark326" </w:instrText>
          </w:r>
          <w:r>
            <w:fldChar w:fldCharType="separate"/>
          </w:r>
          <w:r>
            <w:rPr>
              <w:rFonts w:ascii="宋体" w:hAnsi="宋体" w:eastAsia="宋体" w:cs="宋体"/>
              <w:spacing w:val="-3"/>
              <w:sz w:val="24"/>
              <w:szCs w:val="24"/>
            </w:rPr>
            <w:t>17. 不可抗力和情势变更</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370</w:t>
          </w:r>
          <w:r>
            <w:rPr>
              <w:rFonts w:ascii="Times New Roman" w:hAnsi="Times New Roman" w:eastAsia="Times New Roman" w:cs="Times New Roman"/>
              <w:spacing w:val="-4"/>
              <w:sz w:val="24"/>
              <w:szCs w:val="24"/>
            </w:rPr>
            <w:fldChar w:fldCharType="end"/>
          </w:r>
        </w:p>
        <w:p w14:paraId="71268568">
          <w:pPr>
            <w:tabs>
              <w:tab w:val="right" w:leader="dot" w:pos="8320"/>
            </w:tabs>
            <w:spacing w:before="135" w:line="184" w:lineRule="auto"/>
            <w:ind w:left="1301"/>
            <w:rPr>
              <w:rFonts w:ascii="Times New Roman" w:hAnsi="Times New Roman" w:eastAsia="Times New Roman" w:cs="Times New Roman"/>
              <w:sz w:val="24"/>
              <w:szCs w:val="24"/>
            </w:rPr>
          </w:pPr>
          <w:r>
            <w:fldChar w:fldCharType="begin"/>
          </w:r>
          <w:r>
            <w:instrText xml:space="preserve"> HYPERLINK \l "bookmark327" </w:instrText>
          </w:r>
          <w:r>
            <w:fldChar w:fldCharType="separate"/>
          </w:r>
          <w:r>
            <w:rPr>
              <w:rFonts w:ascii="宋体" w:hAnsi="宋体" w:eastAsia="宋体" w:cs="宋体"/>
              <w:spacing w:val="-8"/>
              <w:sz w:val="24"/>
              <w:szCs w:val="24"/>
            </w:rPr>
            <w:t>18.</w:t>
          </w:r>
          <w:r>
            <w:rPr>
              <w:rFonts w:ascii="宋体" w:hAnsi="宋体" w:eastAsia="宋体" w:cs="宋体"/>
              <w:spacing w:val="11"/>
              <w:sz w:val="24"/>
              <w:szCs w:val="24"/>
            </w:rPr>
            <w:t xml:space="preserve"> </w:t>
          </w:r>
          <w:r>
            <w:rPr>
              <w:rFonts w:ascii="宋体" w:hAnsi="宋体" w:eastAsia="宋体" w:cs="宋体"/>
              <w:spacing w:val="-8"/>
              <w:sz w:val="24"/>
              <w:szCs w:val="24"/>
            </w:rPr>
            <w:t>保险</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370</w:t>
          </w:r>
          <w:r>
            <w:rPr>
              <w:rFonts w:ascii="Times New Roman" w:hAnsi="Times New Roman" w:eastAsia="Times New Roman" w:cs="Times New Roman"/>
              <w:spacing w:val="-4"/>
              <w:sz w:val="24"/>
              <w:szCs w:val="24"/>
            </w:rPr>
            <w:fldChar w:fldCharType="end"/>
          </w:r>
        </w:p>
        <w:p w14:paraId="7A92BD4C">
          <w:pPr>
            <w:tabs>
              <w:tab w:val="right" w:leader="dot" w:pos="8320"/>
            </w:tabs>
            <w:spacing w:before="132" w:line="185" w:lineRule="auto"/>
            <w:ind w:left="1301"/>
            <w:rPr>
              <w:rFonts w:ascii="Times New Roman" w:hAnsi="Times New Roman" w:eastAsia="Times New Roman" w:cs="Times New Roman"/>
              <w:sz w:val="24"/>
              <w:szCs w:val="24"/>
            </w:rPr>
          </w:pPr>
          <w:r>
            <w:fldChar w:fldCharType="begin"/>
          </w:r>
          <w:r>
            <w:instrText xml:space="preserve"> HYPERLINK \l "bookmark328" </w:instrText>
          </w:r>
          <w:r>
            <w:fldChar w:fldCharType="separate"/>
          </w:r>
          <w:r>
            <w:rPr>
              <w:rFonts w:ascii="宋体" w:hAnsi="宋体" w:eastAsia="宋体" w:cs="宋体"/>
              <w:spacing w:val="-9"/>
              <w:sz w:val="24"/>
              <w:szCs w:val="24"/>
            </w:rPr>
            <w:t>19.</w:t>
          </w:r>
          <w:r>
            <w:rPr>
              <w:rFonts w:ascii="宋体" w:hAnsi="宋体" w:eastAsia="宋体" w:cs="宋体"/>
              <w:spacing w:val="16"/>
              <w:sz w:val="24"/>
              <w:szCs w:val="24"/>
            </w:rPr>
            <w:t xml:space="preserve"> </w:t>
          </w:r>
          <w:r>
            <w:rPr>
              <w:rFonts w:ascii="宋体" w:hAnsi="宋体" w:eastAsia="宋体" w:cs="宋体"/>
              <w:spacing w:val="-9"/>
              <w:sz w:val="24"/>
              <w:szCs w:val="24"/>
            </w:rPr>
            <w:t>索赔</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370</w:t>
          </w:r>
          <w:r>
            <w:rPr>
              <w:rFonts w:ascii="Times New Roman" w:hAnsi="Times New Roman" w:eastAsia="Times New Roman" w:cs="Times New Roman"/>
              <w:spacing w:val="-4"/>
              <w:sz w:val="24"/>
              <w:szCs w:val="24"/>
            </w:rPr>
            <w:fldChar w:fldCharType="end"/>
          </w:r>
        </w:p>
        <w:p w14:paraId="17990AB1">
          <w:pPr>
            <w:tabs>
              <w:tab w:val="right" w:leader="dot" w:pos="8320"/>
            </w:tabs>
            <w:spacing w:before="137" w:line="184" w:lineRule="auto"/>
            <w:ind w:left="1286"/>
            <w:rPr>
              <w:rFonts w:ascii="Times New Roman" w:hAnsi="Times New Roman" w:eastAsia="Times New Roman" w:cs="Times New Roman"/>
              <w:sz w:val="24"/>
              <w:szCs w:val="24"/>
            </w:rPr>
          </w:pPr>
          <w:r>
            <w:fldChar w:fldCharType="begin"/>
          </w:r>
          <w:r>
            <w:instrText xml:space="preserve"> HYPERLINK \l "bookmark329" </w:instrText>
          </w:r>
          <w:r>
            <w:fldChar w:fldCharType="separate"/>
          </w:r>
          <w:r>
            <w:rPr>
              <w:rFonts w:ascii="宋体" w:hAnsi="宋体" w:eastAsia="宋体" w:cs="宋体"/>
              <w:spacing w:val="-4"/>
              <w:sz w:val="24"/>
              <w:szCs w:val="24"/>
            </w:rPr>
            <w:t>20.</w:t>
          </w:r>
          <w:r>
            <w:rPr>
              <w:rFonts w:ascii="宋体" w:hAnsi="宋体" w:eastAsia="宋体" w:cs="宋体"/>
              <w:spacing w:val="14"/>
              <w:sz w:val="24"/>
              <w:szCs w:val="24"/>
            </w:rPr>
            <w:t xml:space="preserve"> </w:t>
          </w:r>
          <w:r>
            <w:rPr>
              <w:rFonts w:ascii="宋体" w:hAnsi="宋体" w:eastAsia="宋体" w:cs="宋体"/>
              <w:spacing w:val="-4"/>
              <w:sz w:val="24"/>
              <w:szCs w:val="24"/>
            </w:rPr>
            <w:t>争议解决</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370</w:t>
          </w:r>
          <w:r>
            <w:rPr>
              <w:rFonts w:ascii="Times New Roman" w:hAnsi="Times New Roman" w:eastAsia="Times New Roman" w:cs="Times New Roman"/>
              <w:spacing w:val="-4"/>
              <w:sz w:val="24"/>
              <w:szCs w:val="24"/>
            </w:rPr>
            <w:fldChar w:fldCharType="end"/>
          </w:r>
        </w:p>
        <w:p w14:paraId="2B9AFE9A">
          <w:pPr>
            <w:pStyle w:val="2"/>
            <w:tabs>
              <w:tab w:val="right" w:leader="dot" w:pos="8320"/>
            </w:tabs>
            <w:spacing w:before="133" w:line="188" w:lineRule="auto"/>
            <w:ind w:left="443"/>
            <w:rPr>
              <w:rFonts w:ascii="Times New Roman" w:hAnsi="Times New Roman" w:eastAsia="Times New Roman" w:cs="Times New Roman"/>
              <w:sz w:val="24"/>
              <w:szCs w:val="24"/>
            </w:rPr>
          </w:pPr>
          <w:r>
            <w:fldChar w:fldCharType="begin"/>
          </w:r>
          <w:r>
            <w:instrText xml:space="preserve"> HYPERLINK \l "bookmark330" </w:instrText>
          </w:r>
          <w:r>
            <w:fldChar w:fldCharType="separate"/>
          </w:r>
          <w:r>
            <w:rPr>
              <w:spacing w:val="-1"/>
              <w:sz w:val="24"/>
              <w:szCs w:val="24"/>
            </w:rPr>
            <w:t>第四部分  补充条款</w:t>
          </w:r>
          <w:r>
            <w:rPr>
              <w:spacing w:val="-75"/>
              <w:sz w:val="24"/>
              <w:szCs w:val="24"/>
            </w:rPr>
            <w:t xml:space="preserve"> </w:t>
          </w:r>
          <w:r>
            <w:rPr>
              <w:sz w:val="24"/>
              <w:szCs w:val="24"/>
            </w:rPr>
            <w:tab/>
          </w:r>
          <w:r>
            <w:rPr>
              <w:spacing w:val="-51"/>
              <w:sz w:val="24"/>
              <w:szCs w:val="24"/>
            </w:rPr>
            <w:t xml:space="preserve"> </w:t>
          </w:r>
          <w:r>
            <w:rPr>
              <w:rFonts w:ascii="Times New Roman" w:hAnsi="Times New Roman" w:eastAsia="Times New Roman" w:cs="Times New Roman"/>
              <w:spacing w:val="-4"/>
              <w:sz w:val="24"/>
              <w:szCs w:val="24"/>
            </w:rPr>
            <w:t>372</w:t>
          </w:r>
          <w:r>
            <w:rPr>
              <w:rFonts w:ascii="Times New Roman" w:hAnsi="Times New Roman" w:eastAsia="Times New Roman" w:cs="Times New Roman"/>
              <w:spacing w:val="-4"/>
              <w:sz w:val="24"/>
              <w:szCs w:val="24"/>
            </w:rPr>
            <w:fldChar w:fldCharType="end"/>
          </w:r>
        </w:p>
        <w:p w14:paraId="18F5EA59">
          <w:pPr>
            <w:pStyle w:val="2"/>
            <w:tabs>
              <w:tab w:val="right" w:leader="dot" w:pos="8320"/>
            </w:tabs>
            <w:spacing w:before="132" w:line="187" w:lineRule="auto"/>
            <w:ind w:left="456"/>
            <w:rPr>
              <w:rFonts w:ascii="Times New Roman" w:hAnsi="Times New Roman" w:eastAsia="Times New Roman" w:cs="Times New Roman"/>
              <w:sz w:val="24"/>
              <w:szCs w:val="24"/>
            </w:rPr>
          </w:pPr>
          <w:r>
            <w:fldChar w:fldCharType="begin"/>
          </w:r>
          <w:r>
            <w:instrText xml:space="preserve"> HYPERLINK \l "bookmark331" </w:instrText>
          </w:r>
          <w:r>
            <w:fldChar w:fldCharType="separate"/>
          </w:r>
          <w:r>
            <w:rPr>
              <w:spacing w:val="-12"/>
              <w:sz w:val="24"/>
              <w:szCs w:val="24"/>
            </w:rPr>
            <w:t>附件</w:t>
          </w:r>
          <w:r>
            <w:rPr>
              <w:spacing w:val="-74"/>
              <w:sz w:val="24"/>
              <w:szCs w:val="24"/>
            </w:rPr>
            <w:t xml:space="preserve"> </w:t>
          </w:r>
          <w:r>
            <w:rPr>
              <w:sz w:val="24"/>
              <w:szCs w:val="24"/>
            </w:rPr>
            <w:tab/>
          </w:r>
          <w:r>
            <w:rPr>
              <w:spacing w:val="-51"/>
              <w:sz w:val="24"/>
              <w:szCs w:val="24"/>
            </w:rPr>
            <w:t xml:space="preserve"> </w:t>
          </w:r>
          <w:r>
            <w:rPr>
              <w:rFonts w:ascii="Times New Roman" w:hAnsi="Times New Roman" w:eastAsia="Times New Roman" w:cs="Times New Roman"/>
              <w:spacing w:val="-4"/>
              <w:sz w:val="24"/>
              <w:szCs w:val="24"/>
            </w:rPr>
            <w:t>373</w:t>
          </w:r>
          <w:r>
            <w:rPr>
              <w:rFonts w:ascii="Times New Roman" w:hAnsi="Times New Roman" w:eastAsia="Times New Roman" w:cs="Times New Roman"/>
              <w:spacing w:val="-4"/>
              <w:sz w:val="24"/>
              <w:szCs w:val="24"/>
            </w:rPr>
            <w:fldChar w:fldCharType="end"/>
          </w:r>
        </w:p>
        <w:p w14:paraId="374DFD7C">
          <w:pPr>
            <w:pStyle w:val="2"/>
            <w:tabs>
              <w:tab w:val="right" w:leader="dot" w:pos="8320"/>
            </w:tabs>
            <w:spacing w:before="130" w:line="222" w:lineRule="auto"/>
            <w:ind w:left="23"/>
            <w:rPr>
              <w:rFonts w:ascii="Times New Roman" w:hAnsi="Times New Roman" w:eastAsia="Times New Roman" w:cs="Times New Roman"/>
              <w:sz w:val="24"/>
              <w:szCs w:val="24"/>
            </w:rPr>
          </w:pPr>
          <w:r>
            <w:fldChar w:fldCharType="begin"/>
          </w:r>
          <w:r>
            <w:instrText xml:space="preserve"> HYPERLINK \l "bookmark332" </w:instrText>
          </w:r>
          <w:r>
            <w:fldChar w:fldCharType="separate"/>
          </w:r>
          <w:r>
            <w:rPr>
              <w:spacing w:val="-1"/>
              <w:sz w:val="24"/>
              <w:szCs w:val="24"/>
            </w:rPr>
            <w:t>第五章  工程量清单</w:t>
          </w:r>
          <w:r>
            <w:rPr>
              <w:spacing w:val="-75"/>
              <w:sz w:val="24"/>
              <w:szCs w:val="24"/>
            </w:rPr>
            <w:t xml:space="preserve"> </w:t>
          </w:r>
          <w:r>
            <w:rPr>
              <w:sz w:val="24"/>
              <w:szCs w:val="24"/>
            </w:rPr>
            <w:tab/>
          </w:r>
          <w:r>
            <w:rPr>
              <w:spacing w:val="-51"/>
              <w:sz w:val="24"/>
              <w:szCs w:val="24"/>
            </w:rPr>
            <w:t xml:space="preserve"> </w:t>
          </w:r>
          <w:r>
            <w:rPr>
              <w:rFonts w:ascii="Times New Roman" w:hAnsi="Times New Roman" w:eastAsia="Times New Roman" w:cs="Times New Roman"/>
              <w:spacing w:val="-4"/>
              <w:sz w:val="24"/>
              <w:szCs w:val="24"/>
            </w:rPr>
            <w:t>389</w:t>
          </w:r>
          <w:r>
            <w:rPr>
              <w:rFonts w:ascii="Times New Roman" w:hAnsi="Times New Roman" w:eastAsia="Times New Roman" w:cs="Times New Roman"/>
              <w:spacing w:val="-4"/>
              <w:sz w:val="24"/>
              <w:szCs w:val="24"/>
            </w:rPr>
            <w:fldChar w:fldCharType="end"/>
          </w:r>
        </w:p>
      </w:sdtContent>
    </w:sdt>
    <w:p w14:paraId="298D77D3">
      <w:pPr>
        <w:spacing w:line="222" w:lineRule="auto"/>
        <w:rPr>
          <w:rFonts w:ascii="Times New Roman" w:hAnsi="Times New Roman" w:eastAsia="Times New Roman" w:cs="Times New Roman"/>
          <w:sz w:val="24"/>
          <w:szCs w:val="24"/>
        </w:rPr>
        <w:sectPr>
          <w:footerReference r:id="rId18" w:type="default"/>
          <w:pgSz w:w="11906" w:h="16839"/>
          <w:pgMar w:top="1431" w:right="1785" w:bottom="1153" w:left="1785" w:header="0" w:footer="994" w:gutter="0"/>
          <w:cols w:space="720" w:num="1"/>
        </w:sectPr>
      </w:pPr>
    </w:p>
    <w:sdt>
      <w:sdtPr>
        <w:rPr>
          <w:rFonts w:ascii="Times New Roman" w:hAnsi="Times New Roman" w:eastAsia="Times New Roman" w:cs="Times New Roman"/>
          <w:sz w:val="24"/>
          <w:szCs w:val="24"/>
        </w:rPr>
        <w:id w:val="147479413"/>
        <w:docPartObj>
          <w:docPartGallery w:val="Table of Contents"/>
          <w:docPartUnique/>
        </w:docPartObj>
      </w:sdtPr>
      <w:sdtEndPr>
        <w:rPr>
          <w:rFonts w:ascii="Times New Roman" w:hAnsi="Times New Roman" w:eastAsia="Times New Roman" w:cs="Times New Roman"/>
          <w:sz w:val="24"/>
          <w:szCs w:val="24"/>
        </w:rPr>
      </w:sdtEndPr>
      <w:sdtContent>
        <w:p w14:paraId="26B1458C">
          <w:pPr>
            <w:tabs>
              <w:tab w:val="right" w:leader="dot" w:pos="8320"/>
            </w:tabs>
            <w:spacing w:before="77" w:line="184" w:lineRule="auto"/>
            <w:ind w:left="462"/>
            <w:rPr>
              <w:rFonts w:ascii="Times New Roman" w:hAnsi="Times New Roman" w:eastAsia="Times New Roman" w:cs="Times New Roman"/>
              <w:sz w:val="24"/>
              <w:szCs w:val="24"/>
            </w:rPr>
          </w:pPr>
          <w:r>
            <w:fldChar w:fldCharType="begin"/>
          </w:r>
          <w:r>
            <w:instrText xml:space="preserve"> HYPERLINK \l "bookmark333" </w:instrText>
          </w:r>
          <w:r>
            <w:fldChar w:fldCharType="separate"/>
          </w:r>
          <w:r>
            <w:rPr>
              <w:rFonts w:ascii="Times New Roman" w:hAnsi="Times New Roman" w:eastAsia="Times New Roman" w:cs="Times New Roman"/>
              <w:spacing w:val="-3"/>
              <w:sz w:val="24"/>
              <w:szCs w:val="24"/>
            </w:rPr>
            <w:t>1.</w:t>
          </w:r>
          <w:r>
            <w:rPr>
              <w:rFonts w:ascii="宋体" w:hAnsi="宋体" w:eastAsia="宋体" w:cs="宋体"/>
              <w:spacing w:val="-3"/>
              <w:sz w:val="24"/>
              <w:szCs w:val="24"/>
            </w:rPr>
            <w:t>招标工程量清单说明</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390</w:t>
          </w:r>
          <w:r>
            <w:rPr>
              <w:rFonts w:ascii="Times New Roman" w:hAnsi="Times New Roman" w:eastAsia="Times New Roman" w:cs="Times New Roman"/>
              <w:spacing w:val="-4"/>
              <w:sz w:val="24"/>
              <w:szCs w:val="24"/>
            </w:rPr>
            <w:fldChar w:fldCharType="end"/>
          </w:r>
        </w:p>
        <w:p w14:paraId="6D5C1911">
          <w:pPr>
            <w:tabs>
              <w:tab w:val="right" w:leader="dot" w:pos="8320"/>
            </w:tabs>
            <w:spacing w:before="135" w:line="184" w:lineRule="auto"/>
            <w:ind w:left="439"/>
            <w:rPr>
              <w:rFonts w:ascii="Times New Roman" w:hAnsi="Times New Roman" w:eastAsia="Times New Roman" w:cs="Times New Roman"/>
              <w:sz w:val="24"/>
              <w:szCs w:val="24"/>
            </w:rPr>
          </w:pPr>
          <w:r>
            <w:fldChar w:fldCharType="begin"/>
          </w:r>
          <w:r>
            <w:instrText xml:space="preserve"> HYPERLINK \l "bookmark334" </w:instrText>
          </w:r>
          <w:r>
            <w:fldChar w:fldCharType="separate"/>
          </w:r>
          <w:r>
            <w:rPr>
              <w:rFonts w:ascii="Times New Roman" w:hAnsi="Times New Roman" w:eastAsia="Times New Roman" w:cs="Times New Roman"/>
              <w:spacing w:val="-1"/>
              <w:sz w:val="24"/>
              <w:szCs w:val="24"/>
            </w:rPr>
            <w:t>2.</w:t>
          </w:r>
          <w:r>
            <w:rPr>
              <w:rFonts w:ascii="宋体" w:hAnsi="宋体" w:eastAsia="宋体" w:cs="宋体"/>
              <w:spacing w:val="-1"/>
              <w:sz w:val="24"/>
              <w:szCs w:val="24"/>
            </w:rPr>
            <w:t>投标报价说明</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391</w:t>
          </w:r>
          <w:r>
            <w:rPr>
              <w:rFonts w:ascii="Times New Roman" w:hAnsi="Times New Roman" w:eastAsia="Times New Roman" w:cs="Times New Roman"/>
              <w:spacing w:val="-4"/>
              <w:sz w:val="24"/>
              <w:szCs w:val="24"/>
            </w:rPr>
            <w:fldChar w:fldCharType="end"/>
          </w:r>
        </w:p>
        <w:p w14:paraId="2F191015">
          <w:pPr>
            <w:tabs>
              <w:tab w:val="right" w:leader="dot" w:pos="8320"/>
            </w:tabs>
            <w:spacing w:before="132" w:line="185" w:lineRule="auto"/>
            <w:ind w:left="443"/>
            <w:rPr>
              <w:rFonts w:ascii="Times New Roman" w:hAnsi="Times New Roman" w:eastAsia="Times New Roman" w:cs="Times New Roman"/>
              <w:sz w:val="24"/>
              <w:szCs w:val="24"/>
            </w:rPr>
          </w:pPr>
          <w:r>
            <w:fldChar w:fldCharType="begin"/>
          </w:r>
          <w:r>
            <w:instrText xml:space="preserve"> HYPERLINK \l "bookmark335" </w:instrText>
          </w:r>
          <w:r>
            <w:fldChar w:fldCharType="separate"/>
          </w:r>
          <w:r>
            <w:rPr>
              <w:rFonts w:ascii="Times New Roman" w:hAnsi="Times New Roman" w:eastAsia="Times New Roman" w:cs="Times New Roman"/>
              <w:spacing w:val="-2"/>
              <w:sz w:val="24"/>
              <w:szCs w:val="24"/>
            </w:rPr>
            <w:t>3.</w:t>
          </w:r>
          <w:r>
            <w:rPr>
              <w:rFonts w:ascii="宋体" w:hAnsi="宋体" w:eastAsia="宋体" w:cs="宋体"/>
              <w:spacing w:val="-2"/>
              <w:sz w:val="24"/>
              <w:szCs w:val="24"/>
            </w:rPr>
            <w:t>其他说明</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393</w:t>
          </w:r>
          <w:r>
            <w:rPr>
              <w:rFonts w:ascii="Times New Roman" w:hAnsi="Times New Roman" w:eastAsia="Times New Roman" w:cs="Times New Roman"/>
              <w:spacing w:val="-4"/>
              <w:sz w:val="24"/>
              <w:szCs w:val="24"/>
            </w:rPr>
            <w:fldChar w:fldCharType="end"/>
          </w:r>
        </w:p>
        <w:p w14:paraId="01D16457">
          <w:pPr>
            <w:tabs>
              <w:tab w:val="right" w:leader="dot" w:pos="8320"/>
            </w:tabs>
            <w:spacing w:before="136" w:line="184" w:lineRule="auto"/>
            <w:ind w:left="437"/>
            <w:rPr>
              <w:rFonts w:ascii="Times New Roman" w:hAnsi="Times New Roman" w:eastAsia="Times New Roman" w:cs="Times New Roman"/>
              <w:sz w:val="24"/>
              <w:szCs w:val="24"/>
            </w:rPr>
          </w:pPr>
          <w:r>
            <w:fldChar w:fldCharType="begin"/>
          </w:r>
          <w:r>
            <w:instrText xml:space="preserve"> HYPERLINK \l "bookmark336" </w:instrText>
          </w:r>
          <w:r>
            <w:fldChar w:fldCharType="separate"/>
          </w:r>
          <w:r>
            <w:rPr>
              <w:rFonts w:ascii="Times New Roman" w:hAnsi="Times New Roman" w:eastAsia="Times New Roman" w:cs="Times New Roman"/>
              <w:spacing w:val="-1"/>
              <w:sz w:val="24"/>
              <w:szCs w:val="24"/>
            </w:rPr>
            <w:t>4.</w:t>
          </w:r>
          <w:r>
            <w:rPr>
              <w:rFonts w:ascii="宋体" w:hAnsi="宋体" w:eastAsia="宋体" w:cs="宋体"/>
              <w:spacing w:val="-1"/>
              <w:sz w:val="24"/>
              <w:szCs w:val="24"/>
            </w:rPr>
            <w:t>工程量清单与计价表</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396</w:t>
          </w:r>
          <w:r>
            <w:rPr>
              <w:rFonts w:ascii="Times New Roman" w:hAnsi="Times New Roman" w:eastAsia="Times New Roman" w:cs="Times New Roman"/>
              <w:spacing w:val="-4"/>
              <w:sz w:val="24"/>
              <w:szCs w:val="24"/>
            </w:rPr>
            <w:fldChar w:fldCharType="end"/>
          </w:r>
        </w:p>
        <w:p w14:paraId="718BBCC0">
          <w:pPr>
            <w:tabs>
              <w:tab w:val="right" w:leader="dot" w:pos="8320"/>
            </w:tabs>
            <w:spacing w:before="132" w:line="185" w:lineRule="auto"/>
            <w:ind w:left="857"/>
            <w:rPr>
              <w:rFonts w:ascii="Times New Roman" w:hAnsi="Times New Roman" w:eastAsia="Times New Roman" w:cs="Times New Roman"/>
              <w:sz w:val="24"/>
              <w:szCs w:val="24"/>
            </w:rPr>
          </w:pPr>
          <w:r>
            <w:fldChar w:fldCharType="begin"/>
          </w:r>
          <w:r>
            <w:instrText xml:space="preserve"> HYPERLINK \l "bookmark337" </w:instrText>
          </w:r>
          <w:r>
            <w:fldChar w:fldCharType="separate"/>
          </w:r>
          <w:r>
            <w:rPr>
              <w:rFonts w:ascii="Times New Roman" w:hAnsi="Times New Roman" w:eastAsia="Times New Roman" w:cs="Times New Roman"/>
              <w:spacing w:val="-1"/>
              <w:sz w:val="24"/>
              <w:szCs w:val="24"/>
            </w:rPr>
            <w:t xml:space="preserve">4.1 </w:t>
          </w:r>
          <w:r>
            <w:rPr>
              <w:rFonts w:ascii="宋体" w:hAnsi="宋体" w:eastAsia="宋体" w:cs="宋体"/>
              <w:spacing w:val="-1"/>
              <w:sz w:val="24"/>
              <w:szCs w:val="24"/>
            </w:rPr>
            <w:t>招标工程量清单封面</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397</w:t>
          </w:r>
          <w:r>
            <w:rPr>
              <w:rFonts w:ascii="Times New Roman" w:hAnsi="Times New Roman" w:eastAsia="Times New Roman" w:cs="Times New Roman"/>
              <w:spacing w:val="-4"/>
              <w:sz w:val="24"/>
              <w:szCs w:val="24"/>
            </w:rPr>
            <w:fldChar w:fldCharType="end"/>
          </w:r>
        </w:p>
        <w:p w14:paraId="155E0A2D">
          <w:pPr>
            <w:tabs>
              <w:tab w:val="right" w:leader="dot" w:pos="8320"/>
            </w:tabs>
            <w:spacing w:before="137" w:line="184" w:lineRule="auto"/>
            <w:ind w:left="857"/>
            <w:rPr>
              <w:rFonts w:ascii="Times New Roman" w:hAnsi="Times New Roman" w:eastAsia="Times New Roman" w:cs="Times New Roman"/>
              <w:sz w:val="24"/>
              <w:szCs w:val="24"/>
            </w:rPr>
          </w:pPr>
          <w:r>
            <w:fldChar w:fldCharType="begin"/>
          </w:r>
          <w:r>
            <w:instrText xml:space="preserve"> HYPERLINK \l "bookmark338" </w:instrText>
          </w:r>
          <w:r>
            <w:fldChar w:fldCharType="separate"/>
          </w:r>
          <w:r>
            <w:rPr>
              <w:rFonts w:ascii="Times New Roman" w:hAnsi="Times New Roman" w:eastAsia="Times New Roman" w:cs="Times New Roman"/>
              <w:spacing w:val="-1"/>
              <w:sz w:val="24"/>
              <w:szCs w:val="24"/>
            </w:rPr>
            <w:t xml:space="preserve">4.2 </w:t>
          </w:r>
          <w:r>
            <w:rPr>
              <w:rFonts w:ascii="宋体" w:hAnsi="宋体" w:eastAsia="宋体" w:cs="宋体"/>
              <w:spacing w:val="-1"/>
              <w:sz w:val="24"/>
              <w:szCs w:val="24"/>
            </w:rPr>
            <w:t>招标工程量清单扉页</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398</w:t>
          </w:r>
          <w:r>
            <w:rPr>
              <w:rFonts w:ascii="Times New Roman" w:hAnsi="Times New Roman" w:eastAsia="Times New Roman" w:cs="Times New Roman"/>
              <w:spacing w:val="-4"/>
              <w:sz w:val="24"/>
              <w:szCs w:val="24"/>
            </w:rPr>
            <w:fldChar w:fldCharType="end"/>
          </w:r>
        </w:p>
        <w:p w14:paraId="4552EDF1">
          <w:pPr>
            <w:tabs>
              <w:tab w:val="right" w:leader="dot" w:pos="8320"/>
            </w:tabs>
            <w:spacing w:before="135" w:line="184" w:lineRule="auto"/>
            <w:ind w:left="857"/>
            <w:rPr>
              <w:rFonts w:ascii="Times New Roman" w:hAnsi="Times New Roman" w:eastAsia="Times New Roman" w:cs="Times New Roman"/>
              <w:sz w:val="24"/>
              <w:szCs w:val="24"/>
            </w:rPr>
          </w:pPr>
          <w:r>
            <w:fldChar w:fldCharType="begin"/>
          </w:r>
          <w:r>
            <w:instrText xml:space="preserve"> HYPERLINK \l "bookmark339" </w:instrText>
          </w:r>
          <w:r>
            <w:fldChar w:fldCharType="separate"/>
          </w:r>
          <w:r>
            <w:rPr>
              <w:rFonts w:ascii="Times New Roman" w:hAnsi="Times New Roman" w:eastAsia="Times New Roman" w:cs="Times New Roman"/>
              <w:spacing w:val="-1"/>
              <w:sz w:val="24"/>
              <w:szCs w:val="24"/>
            </w:rPr>
            <w:t xml:space="preserve">4.3 </w:t>
          </w:r>
          <w:r>
            <w:rPr>
              <w:rFonts w:ascii="宋体" w:hAnsi="宋体" w:eastAsia="宋体" w:cs="宋体"/>
              <w:spacing w:val="-1"/>
              <w:sz w:val="24"/>
              <w:szCs w:val="24"/>
            </w:rPr>
            <w:t>投标总价封面</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399</w:t>
          </w:r>
          <w:r>
            <w:rPr>
              <w:rFonts w:ascii="Times New Roman" w:hAnsi="Times New Roman" w:eastAsia="Times New Roman" w:cs="Times New Roman"/>
              <w:spacing w:val="-4"/>
              <w:sz w:val="24"/>
              <w:szCs w:val="24"/>
            </w:rPr>
            <w:fldChar w:fldCharType="end"/>
          </w:r>
        </w:p>
        <w:p w14:paraId="5279F926">
          <w:pPr>
            <w:tabs>
              <w:tab w:val="right" w:leader="dot" w:pos="8320"/>
            </w:tabs>
            <w:spacing w:before="132" w:line="185" w:lineRule="auto"/>
            <w:ind w:left="857"/>
            <w:rPr>
              <w:rFonts w:ascii="Times New Roman" w:hAnsi="Times New Roman" w:eastAsia="Times New Roman" w:cs="Times New Roman"/>
              <w:sz w:val="24"/>
              <w:szCs w:val="24"/>
            </w:rPr>
          </w:pPr>
          <w:r>
            <w:fldChar w:fldCharType="begin"/>
          </w:r>
          <w:r>
            <w:instrText xml:space="preserve"> HYPERLINK \l "bookmark340" </w:instrText>
          </w:r>
          <w:r>
            <w:fldChar w:fldCharType="separate"/>
          </w:r>
          <w:r>
            <w:rPr>
              <w:rFonts w:ascii="Times New Roman" w:hAnsi="Times New Roman" w:eastAsia="Times New Roman" w:cs="Times New Roman"/>
              <w:spacing w:val="-1"/>
              <w:sz w:val="24"/>
              <w:szCs w:val="24"/>
            </w:rPr>
            <w:t xml:space="preserve">4.4 </w:t>
          </w:r>
          <w:r>
            <w:rPr>
              <w:rFonts w:ascii="宋体" w:hAnsi="宋体" w:eastAsia="宋体" w:cs="宋体"/>
              <w:spacing w:val="-1"/>
              <w:sz w:val="24"/>
              <w:szCs w:val="24"/>
            </w:rPr>
            <w:t>投标总价扉页</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400</w:t>
          </w:r>
          <w:r>
            <w:rPr>
              <w:rFonts w:ascii="Times New Roman" w:hAnsi="Times New Roman" w:eastAsia="Times New Roman" w:cs="Times New Roman"/>
              <w:spacing w:val="-2"/>
              <w:sz w:val="24"/>
              <w:szCs w:val="24"/>
            </w:rPr>
            <w:fldChar w:fldCharType="end"/>
          </w:r>
        </w:p>
        <w:p w14:paraId="5632C1F6">
          <w:pPr>
            <w:tabs>
              <w:tab w:val="right" w:leader="dot" w:pos="8320"/>
            </w:tabs>
            <w:spacing w:before="137" w:line="184" w:lineRule="auto"/>
            <w:ind w:left="857"/>
            <w:rPr>
              <w:rFonts w:ascii="Times New Roman" w:hAnsi="Times New Roman" w:eastAsia="Times New Roman" w:cs="Times New Roman"/>
              <w:sz w:val="24"/>
              <w:szCs w:val="24"/>
            </w:rPr>
          </w:pPr>
          <w:r>
            <w:fldChar w:fldCharType="begin"/>
          </w:r>
          <w:r>
            <w:instrText xml:space="preserve"> HYPERLINK \l "bookmark341" </w:instrText>
          </w:r>
          <w:r>
            <w:fldChar w:fldCharType="separate"/>
          </w:r>
          <w:r>
            <w:rPr>
              <w:rFonts w:ascii="Times New Roman" w:hAnsi="Times New Roman" w:eastAsia="Times New Roman" w:cs="Times New Roman"/>
              <w:spacing w:val="-3"/>
              <w:sz w:val="24"/>
              <w:szCs w:val="24"/>
            </w:rPr>
            <w:t>4.5</w:t>
          </w:r>
          <w:r>
            <w:rPr>
              <w:rFonts w:ascii="Times New Roman" w:hAnsi="Times New Roman" w:eastAsia="Times New Roman" w:cs="Times New Roman"/>
              <w:spacing w:val="16"/>
              <w:sz w:val="24"/>
              <w:szCs w:val="24"/>
            </w:rPr>
            <w:t xml:space="preserve"> </w:t>
          </w:r>
          <w:r>
            <w:rPr>
              <w:rFonts w:ascii="宋体" w:hAnsi="宋体" w:eastAsia="宋体" w:cs="宋体"/>
              <w:spacing w:val="-3"/>
              <w:sz w:val="24"/>
              <w:szCs w:val="24"/>
            </w:rPr>
            <w:t>总说明表</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401</w:t>
          </w:r>
          <w:r>
            <w:rPr>
              <w:rFonts w:ascii="Times New Roman" w:hAnsi="Times New Roman" w:eastAsia="Times New Roman" w:cs="Times New Roman"/>
              <w:spacing w:val="-2"/>
              <w:sz w:val="24"/>
              <w:szCs w:val="24"/>
            </w:rPr>
            <w:fldChar w:fldCharType="end"/>
          </w:r>
        </w:p>
        <w:p w14:paraId="7346966F">
          <w:pPr>
            <w:tabs>
              <w:tab w:val="right" w:leader="dot" w:pos="8320"/>
            </w:tabs>
            <w:spacing w:before="133" w:line="184" w:lineRule="auto"/>
            <w:ind w:left="857"/>
            <w:rPr>
              <w:rFonts w:ascii="Times New Roman" w:hAnsi="Times New Roman" w:eastAsia="Times New Roman" w:cs="Times New Roman"/>
              <w:sz w:val="24"/>
              <w:szCs w:val="24"/>
            </w:rPr>
          </w:pPr>
          <w:r>
            <w:fldChar w:fldCharType="begin"/>
          </w:r>
          <w:r>
            <w:instrText xml:space="preserve"> HYPERLINK \l "bookmark342" </w:instrText>
          </w:r>
          <w:r>
            <w:fldChar w:fldCharType="separate"/>
          </w:r>
          <w:r>
            <w:rPr>
              <w:rFonts w:ascii="Times New Roman" w:hAnsi="Times New Roman" w:eastAsia="Times New Roman" w:cs="Times New Roman"/>
              <w:spacing w:val="-1"/>
              <w:sz w:val="24"/>
              <w:szCs w:val="24"/>
            </w:rPr>
            <w:t xml:space="preserve">4.6 </w:t>
          </w:r>
          <w:r>
            <w:rPr>
              <w:rFonts w:ascii="宋体" w:hAnsi="宋体" w:eastAsia="宋体" w:cs="宋体"/>
              <w:spacing w:val="-1"/>
              <w:sz w:val="24"/>
              <w:szCs w:val="24"/>
            </w:rPr>
            <w:t>建设项目投标报价汇总表</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402</w:t>
          </w:r>
          <w:r>
            <w:rPr>
              <w:rFonts w:ascii="Times New Roman" w:hAnsi="Times New Roman" w:eastAsia="Times New Roman" w:cs="Times New Roman"/>
              <w:spacing w:val="-2"/>
              <w:sz w:val="24"/>
              <w:szCs w:val="24"/>
            </w:rPr>
            <w:fldChar w:fldCharType="end"/>
          </w:r>
        </w:p>
        <w:p w14:paraId="255423FB">
          <w:pPr>
            <w:tabs>
              <w:tab w:val="right" w:leader="dot" w:pos="8320"/>
            </w:tabs>
            <w:spacing w:before="135" w:line="185" w:lineRule="auto"/>
            <w:ind w:left="857"/>
            <w:rPr>
              <w:rFonts w:ascii="Times New Roman" w:hAnsi="Times New Roman" w:eastAsia="Times New Roman" w:cs="Times New Roman"/>
              <w:sz w:val="24"/>
              <w:szCs w:val="24"/>
            </w:rPr>
          </w:pPr>
          <w:r>
            <w:fldChar w:fldCharType="begin"/>
          </w:r>
          <w:r>
            <w:instrText xml:space="preserve"> HYPERLINK \l "bookmark343" </w:instrText>
          </w:r>
          <w:r>
            <w:fldChar w:fldCharType="separate"/>
          </w:r>
          <w:r>
            <w:rPr>
              <w:rFonts w:ascii="Times New Roman" w:hAnsi="Times New Roman" w:eastAsia="Times New Roman" w:cs="Times New Roman"/>
              <w:spacing w:val="-1"/>
              <w:sz w:val="24"/>
              <w:szCs w:val="24"/>
            </w:rPr>
            <w:t xml:space="preserve">4.7 </w:t>
          </w:r>
          <w:r>
            <w:rPr>
              <w:rFonts w:ascii="宋体" w:hAnsi="宋体" w:eastAsia="宋体" w:cs="宋体"/>
              <w:spacing w:val="-1"/>
              <w:sz w:val="24"/>
              <w:szCs w:val="24"/>
            </w:rPr>
            <w:t>单项工程投标报价汇总表</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403</w:t>
          </w:r>
          <w:r>
            <w:rPr>
              <w:rFonts w:ascii="Times New Roman" w:hAnsi="Times New Roman" w:eastAsia="Times New Roman" w:cs="Times New Roman"/>
              <w:spacing w:val="-2"/>
              <w:sz w:val="24"/>
              <w:szCs w:val="24"/>
            </w:rPr>
            <w:fldChar w:fldCharType="end"/>
          </w:r>
        </w:p>
        <w:p w14:paraId="5352DA10">
          <w:pPr>
            <w:tabs>
              <w:tab w:val="right" w:leader="dot" w:pos="8320"/>
            </w:tabs>
            <w:spacing w:before="136" w:line="184" w:lineRule="auto"/>
            <w:ind w:left="857"/>
            <w:rPr>
              <w:rFonts w:ascii="Times New Roman" w:hAnsi="Times New Roman" w:eastAsia="Times New Roman" w:cs="Times New Roman"/>
              <w:sz w:val="24"/>
              <w:szCs w:val="24"/>
            </w:rPr>
          </w:pPr>
          <w:r>
            <w:fldChar w:fldCharType="begin"/>
          </w:r>
          <w:r>
            <w:instrText xml:space="preserve"> HYPERLINK \l "bookmark344" </w:instrText>
          </w:r>
          <w:r>
            <w:fldChar w:fldCharType="separate"/>
          </w:r>
          <w:r>
            <w:rPr>
              <w:rFonts w:ascii="Times New Roman" w:hAnsi="Times New Roman" w:eastAsia="Times New Roman" w:cs="Times New Roman"/>
              <w:spacing w:val="-1"/>
              <w:sz w:val="24"/>
              <w:szCs w:val="24"/>
            </w:rPr>
            <w:t xml:space="preserve">4.8 </w:t>
          </w:r>
          <w:r>
            <w:rPr>
              <w:rFonts w:ascii="宋体" w:hAnsi="宋体" w:eastAsia="宋体" w:cs="宋体"/>
              <w:spacing w:val="-1"/>
              <w:sz w:val="24"/>
              <w:szCs w:val="24"/>
            </w:rPr>
            <w:t>单位工程投标报价汇总表</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404</w:t>
          </w:r>
          <w:r>
            <w:rPr>
              <w:rFonts w:ascii="Times New Roman" w:hAnsi="Times New Roman" w:eastAsia="Times New Roman" w:cs="Times New Roman"/>
              <w:spacing w:val="-2"/>
              <w:sz w:val="24"/>
              <w:szCs w:val="24"/>
            </w:rPr>
            <w:fldChar w:fldCharType="end"/>
          </w:r>
        </w:p>
        <w:p w14:paraId="220BC2AC">
          <w:pPr>
            <w:tabs>
              <w:tab w:val="right" w:leader="dot" w:pos="8320"/>
            </w:tabs>
            <w:spacing w:before="133" w:line="185" w:lineRule="auto"/>
            <w:ind w:left="857"/>
            <w:rPr>
              <w:rFonts w:ascii="Times New Roman" w:hAnsi="Times New Roman" w:eastAsia="Times New Roman" w:cs="Times New Roman"/>
              <w:sz w:val="24"/>
              <w:szCs w:val="24"/>
            </w:rPr>
          </w:pPr>
          <w:r>
            <w:fldChar w:fldCharType="begin"/>
          </w:r>
          <w:r>
            <w:instrText xml:space="preserve"> HYPERLINK \l "bookmark345" </w:instrText>
          </w:r>
          <w:r>
            <w:fldChar w:fldCharType="separate"/>
          </w:r>
          <w:r>
            <w:rPr>
              <w:rFonts w:ascii="Times New Roman" w:hAnsi="Times New Roman" w:eastAsia="Times New Roman" w:cs="Times New Roman"/>
              <w:spacing w:val="-1"/>
              <w:sz w:val="24"/>
              <w:szCs w:val="24"/>
            </w:rPr>
            <w:t xml:space="preserve">4.9 </w:t>
          </w:r>
          <w:r>
            <w:rPr>
              <w:rFonts w:ascii="宋体" w:hAnsi="宋体" w:eastAsia="宋体" w:cs="宋体"/>
              <w:spacing w:val="-1"/>
              <w:sz w:val="24"/>
              <w:szCs w:val="24"/>
            </w:rPr>
            <w:t>分部分项工程和单价措施项目清单与计价表</w:t>
          </w:r>
          <w:r>
            <w:rPr>
              <w:rFonts w:ascii="宋体" w:hAnsi="宋体" w:eastAsia="宋体" w:cs="宋体"/>
              <w:spacing w:val="-5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406</w:t>
          </w:r>
          <w:r>
            <w:rPr>
              <w:rFonts w:ascii="Times New Roman" w:hAnsi="Times New Roman" w:eastAsia="Times New Roman" w:cs="Times New Roman"/>
              <w:spacing w:val="-2"/>
              <w:sz w:val="24"/>
              <w:szCs w:val="24"/>
            </w:rPr>
            <w:fldChar w:fldCharType="end"/>
          </w:r>
        </w:p>
        <w:p w14:paraId="698893EA">
          <w:pPr>
            <w:tabs>
              <w:tab w:val="right" w:leader="dot" w:pos="8320"/>
            </w:tabs>
            <w:spacing w:before="136" w:line="184" w:lineRule="auto"/>
            <w:ind w:left="857"/>
            <w:rPr>
              <w:rFonts w:ascii="Times New Roman" w:hAnsi="Times New Roman" w:eastAsia="Times New Roman" w:cs="Times New Roman"/>
              <w:sz w:val="24"/>
              <w:szCs w:val="24"/>
            </w:rPr>
          </w:pPr>
          <w:r>
            <w:fldChar w:fldCharType="begin"/>
          </w:r>
          <w:r>
            <w:instrText xml:space="preserve"> HYPERLINK \l "bookmark346" </w:instrText>
          </w:r>
          <w:r>
            <w:fldChar w:fldCharType="separate"/>
          </w:r>
          <w:r>
            <w:rPr>
              <w:rFonts w:ascii="Times New Roman" w:hAnsi="Times New Roman" w:eastAsia="Times New Roman" w:cs="Times New Roman"/>
              <w:spacing w:val="-3"/>
              <w:sz w:val="24"/>
              <w:szCs w:val="24"/>
            </w:rPr>
            <w:t>4.</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3"/>
              <w:sz w:val="24"/>
              <w:szCs w:val="24"/>
            </w:rPr>
            <w:t xml:space="preserve">10 </w:t>
          </w:r>
          <w:r>
            <w:rPr>
              <w:rFonts w:ascii="宋体" w:hAnsi="宋体" w:eastAsia="宋体" w:cs="宋体"/>
              <w:spacing w:val="-3"/>
              <w:sz w:val="24"/>
              <w:szCs w:val="24"/>
            </w:rPr>
            <w:t>综合单价分析表</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407</w:t>
          </w:r>
          <w:r>
            <w:rPr>
              <w:rFonts w:ascii="Times New Roman" w:hAnsi="Times New Roman" w:eastAsia="Times New Roman" w:cs="Times New Roman"/>
              <w:spacing w:val="-2"/>
              <w:sz w:val="24"/>
              <w:szCs w:val="24"/>
            </w:rPr>
            <w:fldChar w:fldCharType="end"/>
          </w:r>
        </w:p>
        <w:p w14:paraId="4650D8BD">
          <w:pPr>
            <w:tabs>
              <w:tab w:val="right" w:leader="dot" w:pos="8320"/>
            </w:tabs>
            <w:spacing w:before="133" w:line="184" w:lineRule="auto"/>
            <w:ind w:left="857"/>
            <w:rPr>
              <w:rFonts w:ascii="Times New Roman" w:hAnsi="Times New Roman" w:eastAsia="Times New Roman" w:cs="Times New Roman"/>
              <w:sz w:val="24"/>
              <w:szCs w:val="24"/>
            </w:rPr>
          </w:pPr>
          <w:r>
            <w:fldChar w:fldCharType="begin"/>
          </w:r>
          <w:r>
            <w:instrText xml:space="preserve"> HYPERLINK \l "bookmark347" </w:instrText>
          </w:r>
          <w:r>
            <w:fldChar w:fldCharType="separate"/>
          </w:r>
          <w:r>
            <w:rPr>
              <w:rFonts w:ascii="Times New Roman" w:hAnsi="Times New Roman" w:eastAsia="Times New Roman" w:cs="Times New Roman"/>
              <w:spacing w:val="-1"/>
              <w:sz w:val="24"/>
              <w:szCs w:val="24"/>
            </w:rPr>
            <w:t xml:space="preserve">4.11 </w:t>
          </w:r>
          <w:r>
            <w:rPr>
              <w:rFonts w:ascii="宋体" w:hAnsi="宋体" w:eastAsia="宋体" w:cs="宋体"/>
              <w:spacing w:val="-1"/>
              <w:sz w:val="24"/>
              <w:szCs w:val="24"/>
            </w:rPr>
            <w:t>总价措施项目清单与计价表</w:t>
          </w:r>
          <w:r>
            <w:rPr>
              <w:rFonts w:ascii="宋体" w:hAnsi="宋体" w:eastAsia="宋体" w:cs="宋体"/>
              <w:spacing w:val="-70"/>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408</w:t>
          </w:r>
          <w:r>
            <w:rPr>
              <w:rFonts w:ascii="Times New Roman" w:hAnsi="Times New Roman" w:eastAsia="Times New Roman" w:cs="Times New Roman"/>
              <w:spacing w:val="1"/>
              <w:sz w:val="24"/>
              <w:szCs w:val="24"/>
            </w:rPr>
            <w:fldChar w:fldCharType="end"/>
          </w:r>
        </w:p>
        <w:p w14:paraId="3CFAA688">
          <w:pPr>
            <w:tabs>
              <w:tab w:val="right" w:leader="dot" w:pos="8320"/>
            </w:tabs>
            <w:spacing w:before="135" w:line="185" w:lineRule="auto"/>
            <w:ind w:left="857"/>
            <w:rPr>
              <w:rFonts w:ascii="Times New Roman" w:hAnsi="Times New Roman" w:eastAsia="Times New Roman" w:cs="Times New Roman"/>
              <w:sz w:val="24"/>
              <w:szCs w:val="24"/>
            </w:rPr>
          </w:pPr>
          <w:r>
            <w:fldChar w:fldCharType="begin"/>
          </w:r>
          <w:r>
            <w:instrText xml:space="preserve"> HYPERLINK \l "bookmark348" </w:instrText>
          </w:r>
          <w:r>
            <w:fldChar w:fldCharType="separate"/>
          </w:r>
          <w:r>
            <w:rPr>
              <w:rFonts w:ascii="Times New Roman" w:hAnsi="Times New Roman" w:eastAsia="Times New Roman" w:cs="Times New Roman"/>
              <w:spacing w:val="-2"/>
              <w:sz w:val="24"/>
              <w:szCs w:val="24"/>
            </w:rPr>
            <w:t>4.</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2"/>
              <w:sz w:val="24"/>
              <w:szCs w:val="24"/>
            </w:rPr>
            <w:t xml:space="preserve">12 </w:t>
          </w:r>
          <w:r>
            <w:rPr>
              <w:rFonts w:ascii="宋体" w:hAnsi="宋体" w:eastAsia="宋体" w:cs="宋体"/>
              <w:spacing w:val="-2"/>
              <w:sz w:val="24"/>
              <w:szCs w:val="24"/>
            </w:rPr>
            <w:t>其他项目清单与计价汇总表</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409</w:t>
          </w:r>
          <w:r>
            <w:rPr>
              <w:rFonts w:ascii="Times New Roman" w:hAnsi="Times New Roman" w:eastAsia="Times New Roman" w:cs="Times New Roman"/>
              <w:spacing w:val="-2"/>
              <w:sz w:val="24"/>
              <w:szCs w:val="24"/>
            </w:rPr>
            <w:fldChar w:fldCharType="end"/>
          </w:r>
        </w:p>
        <w:p w14:paraId="1D9090C3">
          <w:pPr>
            <w:tabs>
              <w:tab w:val="right" w:leader="dot" w:pos="8320"/>
            </w:tabs>
            <w:spacing w:before="137" w:line="184" w:lineRule="auto"/>
            <w:ind w:left="1277"/>
            <w:rPr>
              <w:rFonts w:ascii="Times New Roman" w:hAnsi="Times New Roman" w:eastAsia="Times New Roman" w:cs="Times New Roman"/>
              <w:sz w:val="24"/>
              <w:szCs w:val="24"/>
            </w:rPr>
          </w:pPr>
          <w:r>
            <w:fldChar w:fldCharType="begin"/>
          </w:r>
          <w:r>
            <w:instrText xml:space="preserve"> HYPERLINK \l "bookmark349" </w:instrText>
          </w:r>
          <w:r>
            <w:fldChar w:fldCharType="separate"/>
          </w:r>
          <w:r>
            <w:rPr>
              <w:rFonts w:ascii="Times New Roman" w:hAnsi="Times New Roman" w:eastAsia="Times New Roman" w:cs="Times New Roman"/>
              <w:spacing w:val="-4"/>
              <w:sz w:val="24"/>
              <w:szCs w:val="24"/>
            </w:rPr>
            <w:t>4.12-</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17"/>
              <w:sz w:val="24"/>
              <w:szCs w:val="24"/>
            </w:rPr>
            <w:t xml:space="preserve"> </w:t>
          </w:r>
          <w:r>
            <w:rPr>
              <w:rFonts w:ascii="宋体" w:hAnsi="宋体" w:eastAsia="宋体" w:cs="宋体"/>
              <w:spacing w:val="-4"/>
              <w:sz w:val="24"/>
              <w:szCs w:val="24"/>
            </w:rPr>
            <w:t>暂列金额明细表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410</w:t>
          </w:r>
          <w:r>
            <w:rPr>
              <w:rFonts w:ascii="Times New Roman" w:hAnsi="Times New Roman" w:eastAsia="Times New Roman" w:cs="Times New Roman"/>
              <w:spacing w:val="-2"/>
              <w:sz w:val="24"/>
              <w:szCs w:val="24"/>
            </w:rPr>
            <w:fldChar w:fldCharType="end"/>
          </w:r>
        </w:p>
        <w:p w14:paraId="2D6238D2">
          <w:pPr>
            <w:tabs>
              <w:tab w:val="right" w:leader="dot" w:pos="8322"/>
            </w:tabs>
            <w:spacing w:before="132" w:line="185" w:lineRule="auto"/>
            <w:ind w:left="1277"/>
            <w:rPr>
              <w:rFonts w:ascii="Times New Roman" w:hAnsi="Times New Roman" w:eastAsia="Times New Roman" w:cs="Times New Roman"/>
              <w:sz w:val="24"/>
              <w:szCs w:val="24"/>
            </w:rPr>
          </w:pPr>
          <w:r>
            <w:fldChar w:fldCharType="begin"/>
          </w:r>
          <w:r>
            <w:instrText xml:space="preserve"> HYPERLINK \l "bookmark350" </w:instrText>
          </w:r>
          <w:r>
            <w:fldChar w:fldCharType="separate"/>
          </w:r>
          <w:r>
            <w:rPr>
              <w:rFonts w:ascii="Times New Roman" w:hAnsi="Times New Roman" w:eastAsia="Times New Roman" w:cs="Times New Roman"/>
              <w:spacing w:val="-1"/>
              <w:sz w:val="24"/>
              <w:szCs w:val="24"/>
            </w:rPr>
            <w:t xml:space="preserve">4.12-2 </w:t>
          </w:r>
          <w:r>
            <w:rPr>
              <w:rFonts w:ascii="宋体" w:hAnsi="宋体" w:eastAsia="宋体" w:cs="宋体"/>
              <w:spacing w:val="-1"/>
              <w:sz w:val="24"/>
              <w:szCs w:val="24"/>
            </w:rPr>
            <w:t>材料（工程设备）暂估单价表</w:t>
          </w:r>
          <w:r>
            <w:rPr>
              <w:rFonts w:ascii="宋体" w:hAnsi="宋体" w:eastAsia="宋体" w:cs="宋体"/>
              <w:spacing w:val="-60"/>
              <w:sz w:val="24"/>
              <w:szCs w:val="24"/>
            </w:rPr>
            <w:t xml:space="preserve"> </w:t>
          </w:r>
          <w:r>
            <w:rPr>
              <w:rFonts w:ascii="宋体" w:hAnsi="宋体" w:eastAsia="宋体" w:cs="宋体"/>
              <w:sz w:val="24"/>
              <w:szCs w:val="24"/>
            </w:rPr>
            <w:tab/>
          </w:r>
          <w:r>
            <w:rPr>
              <w:rFonts w:ascii="宋体" w:hAnsi="宋体" w:eastAsia="宋体" w:cs="宋体"/>
              <w:spacing w:val="-70"/>
              <w:sz w:val="24"/>
              <w:szCs w:val="24"/>
            </w:rPr>
            <w:t xml:space="preserve"> </w:t>
          </w:r>
          <w:r>
            <w:rPr>
              <w:rFonts w:ascii="Times New Roman" w:hAnsi="Times New Roman" w:eastAsia="Times New Roman" w:cs="Times New Roman"/>
              <w:spacing w:val="-2"/>
              <w:sz w:val="24"/>
              <w:szCs w:val="24"/>
            </w:rPr>
            <w:t>411</w:t>
          </w:r>
          <w:r>
            <w:rPr>
              <w:rFonts w:ascii="Times New Roman" w:hAnsi="Times New Roman" w:eastAsia="Times New Roman" w:cs="Times New Roman"/>
              <w:spacing w:val="-2"/>
              <w:sz w:val="24"/>
              <w:szCs w:val="24"/>
            </w:rPr>
            <w:fldChar w:fldCharType="end"/>
          </w:r>
        </w:p>
        <w:p w14:paraId="7D3AD702">
          <w:pPr>
            <w:tabs>
              <w:tab w:val="right" w:leader="dot" w:pos="8320"/>
            </w:tabs>
            <w:spacing w:before="137" w:line="184" w:lineRule="auto"/>
            <w:ind w:left="1277"/>
            <w:rPr>
              <w:rFonts w:ascii="Times New Roman" w:hAnsi="Times New Roman" w:eastAsia="Times New Roman" w:cs="Times New Roman"/>
              <w:sz w:val="24"/>
              <w:szCs w:val="24"/>
            </w:rPr>
          </w:pPr>
          <w:r>
            <w:fldChar w:fldCharType="begin"/>
          </w:r>
          <w:r>
            <w:instrText xml:space="preserve"> HYPERLINK \l "bookmark351" </w:instrText>
          </w:r>
          <w:r>
            <w:fldChar w:fldCharType="separate"/>
          </w:r>
          <w:r>
            <w:rPr>
              <w:rFonts w:ascii="Times New Roman" w:hAnsi="Times New Roman" w:eastAsia="Times New Roman" w:cs="Times New Roman"/>
              <w:spacing w:val="-1"/>
              <w:sz w:val="24"/>
              <w:szCs w:val="24"/>
            </w:rPr>
            <w:t xml:space="preserve">4.12-3 </w:t>
          </w:r>
          <w:r>
            <w:rPr>
              <w:rFonts w:ascii="宋体" w:hAnsi="宋体" w:eastAsia="宋体" w:cs="宋体"/>
              <w:spacing w:val="-1"/>
              <w:sz w:val="24"/>
              <w:szCs w:val="24"/>
            </w:rPr>
            <w:t>专业工程暂估价表</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412</w:t>
          </w:r>
          <w:r>
            <w:rPr>
              <w:rFonts w:ascii="Times New Roman" w:hAnsi="Times New Roman" w:eastAsia="Times New Roman" w:cs="Times New Roman"/>
              <w:spacing w:val="-2"/>
              <w:sz w:val="24"/>
              <w:szCs w:val="24"/>
            </w:rPr>
            <w:fldChar w:fldCharType="end"/>
          </w:r>
        </w:p>
        <w:p w14:paraId="4746EB31">
          <w:pPr>
            <w:tabs>
              <w:tab w:val="right" w:leader="dot" w:pos="8320"/>
            </w:tabs>
            <w:spacing w:before="133" w:line="184" w:lineRule="auto"/>
            <w:ind w:left="1277"/>
            <w:rPr>
              <w:rFonts w:ascii="Times New Roman" w:hAnsi="Times New Roman" w:eastAsia="Times New Roman" w:cs="Times New Roman"/>
              <w:sz w:val="24"/>
              <w:szCs w:val="24"/>
            </w:rPr>
          </w:pPr>
          <w:r>
            <w:fldChar w:fldCharType="begin"/>
          </w:r>
          <w:r>
            <w:instrText xml:space="preserve"> HYPERLINK \l "bookmark352" </w:instrText>
          </w:r>
          <w:r>
            <w:fldChar w:fldCharType="separate"/>
          </w:r>
          <w:r>
            <w:rPr>
              <w:rFonts w:ascii="Times New Roman" w:hAnsi="Times New Roman" w:eastAsia="Times New Roman" w:cs="Times New Roman"/>
              <w:spacing w:val="-1"/>
              <w:sz w:val="24"/>
              <w:szCs w:val="24"/>
            </w:rPr>
            <w:t xml:space="preserve">4.12-4 </w:t>
          </w:r>
          <w:r>
            <w:rPr>
              <w:rFonts w:ascii="宋体" w:hAnsi="宋体" w:eastAsia="宋体" w:cs="宋体"/>
              <w:spacing w:val="-1"/>
              <w:sz w:val="24"/>
              <w:szCs w:val="24"/>
            </w:rPr>
            <w:t>计日工表</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413</w:t>
          </w:r>
          <w:r>
            <w:rPr>
              <w:rFonts w:ascii="Times New Roman" w:hAnsi="Times New Roman" w:eastAsia="Times New Roman" w:cs="Times New Roman"/>
              <w:spacing w:val="-2"/>
              <w:sz w:val="24"/>
              <w:szCs w:val="24"/>
            </w:rPr>
            <w:fldChar w:fldCharType="end"/>
          </w:r>
        </w:p>
        <w:p w14:paraId="027B1A2A">
          <w:pPr>
            <w:tabs>
              <w:tab w:val="right" w:leader="dot" w:pos="8320"/>
            </w:tabs>
            <w:spacing w:before="134" w:line="185" w:lineRule="auto"/>
            <w:ind w:left="1277"/>
            <w:rPr>
              <w:rFonts w:ascii="Times New Roman" w:hAnsi="Times New Roman" w:eastAsia="Times New Roman" w:cs="Times New Roman"/>
              <w:sz w:val="24"/>
              <w:szCs w:val="24"/>
            </w:rPr>
          </w:pPr>
          <w:r>
            <w:fldChar w:fldCharType="begin"/>
          </w:r>
          <w:r>
            <w:instrText xml:space="preserve"> HYPERLINK \l "bookmark353" </w:instrText>
          </w:r>
          <w:r>
            <w:fldChar w:fldCharType="separate"/>
          </w:r>
          <w:r>
            <w:rPr>
              <w:rFonts w:ascii="Times New Roman" w:hAnsi="Times New Roman" w:eastAsia="Times New Roman" w:cs="Times New Roman"/>
              <w:spacing w:val="-2"/>
              <w:sz w:val="24"/>
              <w:szCs w:val="24"/>
            </w:rPr>
            <w:t>4.12-5</w:t>
          </w:r>
          <w:r>
            <w:rPr>
              <w:rFonts w:ascii="Times New Roman" w:hAnsi="Times New Roman" w:eastAsia="Times New Roman" w:cs="Times New Roman"/>
              <w:spacing w:val="24"/>
              <w:sz w:val="24"/>
              <w:szCs w:val="24"/>
            </w:rPr>
            <w:t xml:space="preserve"> </w:t>
          </w:r>
          <w:r>
            <w:rPr>
              <w:rFonts w:ascii="宋体" w:hAnsi="宋体" w:eastAsia="宋体" w:cs="宋体"/>
              <w:spacing w:val="-2"/>
              <w:sz w:val="24"/>
              <w:szCs w:val="24"/>
            </w:rPr>
            <w:t>总承包服务费计价表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414</w:t>
          </w:r>
          <w:r>
            <w:rPr>
              <w:rFonts w:ascii="Times New Roman" w:hAnsi="Times New Roman" w:eastAsia="Times New Roman" w:cs="Times New Roman"/>
              <w:spacing w:val="-2"/>
              <w:sz w:val="24"/>
              <w:szCs w:val="24"/>
            </w:rPr>
            <w:fldChar w:fldCharType="end"/>
          </w:r>
        </w:p>
        <w:p w14:paraId="5BDA3F42">
          <w:pPr>
            <w:tabs>
              <w:tab w:val="right" w:leader="dot" w:pos="8320"/>
            </w:tabs>
            <w:spacing w:before="137" w:line="184" w:lineRule="auto"/>
            <w:ind w:left="857"/>
            <w:rPr>
              <w:rFonts w:ascii="Times New Roman" w:hAnsi="Times New Roman" w:eastAsia="Times New Roman" w:cs="Times New Roman"/>
              <w:sz w:val="24"/>
              <w:szCs w:val="24"/>
            </w:rPr>
          </w:pPr>
          <w:r>
            <w:fldChar w:fldCharType="begin"/>
          </w:r>
          <w:r>
            <w:instrText xml:space="preserve"> HYPERLINK \l "bookmark354" </w:instrText>
          </w:r>
          <w:r>
            <w:fldChar w:fldCharType="separate"/>
          </w:r>
          <w:r>
            <w:rPr>
              <w:rFonts w:ascii="Times New Roman" w:hAnsi="Times New Roman" w:eastAsia="Times New Roman" w:cs="Times New Roman"/>
              <w:spacing w:val="-1"/>
              <w:sz w:val="24"/>
              <w:szCs w:val="24"/>
            </w:rPr>
            <w:t xml:space="preserve">4.13 </w:t>
          </w:r>
          <w:r>
            <w:rPr>
              <w:rFonts w:ascii="宋体" w:hAnsi="宋体" w:eastAsia="宋体" w:cs="宋体"/>
              <w:spacing w:val="-1"/>
              <w:sz w:val="24"/>
              <w:szCs w:val="24"/>
            </w:rPr>
            <w:t>规费、税金项目计价表</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415</w:t>
          </w:r>
          <w:r>
            <w:rPr>
              <w:rFonts w:ascii="Times New Roman" w:hAnsi="Times New Roman" w:eastAsia="Times New Roman" w:cs="Times New Roman"/>
              <w:spacing w:val="-2"/>
              <w:sz w:val="24"/>
              <w:szCs w:val="24"/>
            </w:rPr>
            <w:fldChar w:fldCharType="end"/>
          </w:r>
        </w:p>
        <w:p w14:paraId="4CBD408D">
          <w:pPr>
            <w:tabs>
              <w:tab w:val="right" w:leader="dot" w:pos="8320"/>
            </w:tabs>
            <w:spacing w:before="133" w:line="185" w:lineRule="auto"/>
            <w:ind w:left="857"/>
            <w:rPr>
              <w:rFonts w:ascii="Times New Roman" w:hAnsi="Times New Roman" w:eastAsia="Times New Roman" w:cs="Times New Roman"/>
              <w:sz w:val="24"/>
              <w:szCs w:val="24"/>
            </w:rPr>
          </w:pPr>
          <w:r>
            <w:fldChar w:fldCharType="begin"/>
          </w:r>
          <w:r>
            <w:instrText xml:space="preserve"> HYPERLINK \l "bookmark355" </w:instrText>
          </w:r>
          <w:r>
            <w:fldChar w:fldCharType="separate"/>
          </w:r>
          <w:r>
            <w:rPr>
              <w:rFonts w:ascii="Times New Roman" w:hAnsi="Times New Roman" w:eastAsia="Times New Roman" w:cs="Times New Roman"/>
              <w:spacing w:val="-2"/>
              <w:sz w:val="24"/>
              <w:szCs w:val="24"/>
            </w:rPr>
            <w:t>4.</w:t>
          </w:r>
          <w:r>
            <w:rPr>
              <w:rFonts w:ascii="Times New Roman" w:hAnsi="Times New Roman" w:eastAsia="Times New Roman" w:cs="Times New Roman"/>
              <w:spacing w:val="-25"/>
              <w:sz w:val="24"/>
              <w:szCs w:val="24"/>
            </w:rPr>
            <w:t xml:space="preserve"> </w:t>
          </w:r>
          <w:r>
            <w:rPr>
              <w:rFonts w:ascii="Times New Roman" w:hAnsi="Times New Roman" w:eastAsia="Times New Roman" w:cs="Times New Roman"/>
              <w:spacing w:val="-2"/>
              <w:sz w:val="24"/>
              <w:szCs w:val="24"/>
            </w:rPr>
            <w:t xml:space="preserve">14 </w:t>
          </w:r>
          <w:r>
            <w:rPr>
              <w:rFonts w:ascii="宋体" w:hAnsi="宋体" w:eastAsia="宋体" w:cs="宋体"/>
              <w:spacing w:val="-2"/>
              <w:sz w:val="24"/>
              <w:szCs w:val="24"/>
            </w:rPr>
            <w:t>发包人提供材料和工程设备一览表</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416</w:t>
          </w:r>
          <w:r>
            <w:rPr>
              <w:rFonts w:ascii="Times New Roman" w:hAnsi="Times New Roman" w:eastAsia="Times New Roman" w:cs="Times New Roman"/>
              <w:spacing w:val="-2"/>
              <w:sz w:val="24"/>
              <w:szCs w:val="24"/>
            </w:rPr>
            <w:fldChar w:fldCharType="end"/>
          </w:r>
        </w:p>
        <w:p w14:paraId="1B4E9B98">
          <w:pPr>
            <w:spacing w:before="136" w:line="184" w:lineRule="auto"/>
            <w:ind w:right="13"/>
            <w:jc w:val="right"/>
            <w:rPr>
              <w:rFonts w:ascii="宋体" w:hAnsi="宋体" w:eastAsia="宋体" w:cs="宋体"/>
              <w:sz w:val="24"/>
              <w:szCs w:val="24"/>
            </w:rPr>
          </w:pPr>
          <w:r>
            <w:fldChar w:fldCharType="begin"/>
          </w:r>
          <w:r>
            <w:instrText xml:space="preserve"> HYPERLINK \l "bookmark356" </w:instrText>
          </w:r>
          <w:r>
            <w:fldChar w:fldCharType="separate"/>
          </w:r>
          <w:r>
            <w:rPr>
              <w:rFonts w:ascii="Times New Roman" w:hAnsi="Times New Roman" w:eastAsia="Times New Roman" w:cs="Times New Roman"/>
              <w:sz w:val="24"/>
              <w:szCs w:val="24"/>
            </w:rPr>
            <w:t>4.</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z w:val="24"/>
              <w:szCs w:val="24"/>
            </w:rPr>
            <w:t xml:space="preserve">15 </w:t>
          </w:r>
          <w:r>
            <w:rPr>
              <w:rFonts w:ascii="宋体" w:hAnsi="宋体" w:eastAsia="宋体" w:cs="宋体"/>
              <w:sz w:val="24"/>
              <w:szCs w:val="24"/>
            </w:rPr>
            <w:t>承包人提供主要材料和工程设备一览表（适用于造</w:t>
          </w:r>
          <w:r>
            <w:rPr>
              <w:rFonts w:ascii="宋体" w:hAnsi="宋体" w:eastAsia="宋体" w:cs="宋体"/>
              <w:spacing w:val="-1"/>
              <w:sz w:val="24"/>
              <w:szCs w:val="24"/>
            </w:rPr>
            <w:t>价信息差额调整</w:t>
          </w:r>
          <w:r>
            <w:rPr>
              <w:rFonts w:ascii="宋体" w:hAnsi="宋体" w:eastAsia="宋体" w:cs="宋体"/>
              <w:spacing w:val="-1"/>
              <w:sz w:val="24"/>
              <w:szCs w:val="24"/>
            </w:rPr>
            <w:fldChar w:fldCharType="end"/>
          </w:r>
        </w:p>
        <w:p w14:paraId="5FEBA98F">
          <w:pPr>
            <w:tabs>
              <w:tab w:val="right" w:leader="dot" w:pos="8320"/>
            </w:tabs>
            <w:spacing w:before="66" w:line="374" w:lineRule="exact"/>
            <w:ind w:left="864"/>
            <w:rPr>
              <w:rFonts w:ascii="Times New Roman" w:hAnsi="Times New Roman" w:eastAsia="Times New Roman" w:cs="Times New Roman"/>
              <w:sz w:val="24"/>
              <w:szCs w:val="24"/>
            </w:rPr>
          </w:pPr>
          <w:r>
            <w:rPr>
              <w:rFonts w:ascii="宋体" w:hAnsi="宋体" w:eastAsia="宋体" w:cs="宋体"/>
              <w:spacing w:val="-6"/>
              <w:position w:val="2"/>
              <w:sz w:val="24"/>
              <w:szCs w:val="24"/>
            </w:rPr>
            <w:t>法）</w:t>
          </w:r>
          <w:r>
            <w:rPr>
              <w:rFonts w:ascii="宋体" w:hAnsi="宋体" w:eastAsia="宋体" w:cs="宋体"/>
              <w:spacing w:val="-74"/>
              <w:position w:val="2"/>
              <w:sz w:val="24"/>
              <w:szCs w:val="24"/>
            </w:rPr>
            <w:t xml:space="preserve"> </w:t>
          </w:r>
          <w:r>
            <w:rPr>
              <w:rFonts w:ascii="宋体" w:hAnsi="宋体" w:eastAsia="宋体" w:cs="宋体"/>
              <w:position w:val="2"/>
              <w:sz w:val="24"/>
              <w:szCs w:val="24"/>
            </w:rPr>
            <w:tab/>
          </w:r>
          <w:r>
            <w:rPr>
              <w:rFonts w:ascii="宋体" w:hAnsi="宋体" w:eastAsia="宋体" w:cs="宋体"/>
              <w:spacing w:val="-62"/>
              <w:position w:val="2"/>
              <w:sz w:val="24"/>
              <w:szCs w:val="24"/>
            </w:rPr>
            <w:t xml:space="preserve"> </w:t>
          </w:r>
          <w:r>
            <w:fldChar w:fldCharType="begin"/>
          </w:r>
          <w:r>
            <w:instrText xml:space="preserve"> HYPERLINK \l "bookmark357" </w:instrText>
          </w:r>
          <w:r>
            <w:fldChar w:fldCharType="separate"/>
          </w:r>
          <w:r>
            <w:rPr>
              <w:rFonts w:ascii="Times New Roman" w:hAnsi="Times New Roman" w:eastAsia="Times New Roman" w:cs="Times New Roman"/>
              <w:position w:val="2"/>
              <w:sz w:val="24"/>
              <w:szCs w:val="24"/>
            </w:rPr>
            <w:t>417</w:t>
          </w:r>
          <w:r>
            <w:rPr>
              <w:rFonts w:ascii="Times New Roman" w:hAnsi="Times New Roman" w:eastAsia="Times New Roman" w:cs="Times New Roman"/>
              <w:position w:val="2"/>
              <w:sz w:val="24"/>
              <w:szCs w:val="24"/>
            </w:rPr>
            <w:fldChar w:fldCharType="end"/>
          </w:r>
        </w:p>
        <w:p w14:paraId="2EE8C1A3">
          <w:pPr>
            <w:spacing w:before="70" w:line="184" w:lineRule="auto"/>
            <w:ind w:right="13"/>
            <w:jc w:val="right"/>
            <w:rPr>
              <w:rFonts w:ascii="宋体" w:hAnsi="宋体" w:eastAsia="宋体" w:cs="宋体"/>
              <w:sz w:val="24"/>
              <w:szCs w:val="24"/>
            </w:rPr>
          </w:pPr>
          <w:r>
            <w:fldChar w:fldCharType="begin"/>
          </w:r>
          <w:r>
            <w:instrText xml:space="preserve"> HYPERLINK \l "bookmark358" </w:instrText>
          </w:r>
          <w:r>
            <w:fldChar w:fldCharType="separate"/>
          </w:r>
          <w:r>
            <w:rPr>
              <w:rFonts w:ascii="Times New Roman" w:hAnsi="Times New Roman" w:eastAsia="Times New Roman" w:cs="Times New Roman"/>
              <w:sz w:val="24"/>
              <w:szCs w:val="24"/>
            </w:rPr>
            <w:t>4.</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z w:val="24"/>
              <w:szCs w:val="24"/>
            </w:rPr>
            <w:t xml:space="preserve">16 </w:t>
          </w:r>
          <w:r>
            <w:rPr>
              <w:rFonts w:ascii="宋体" w:hAnsi="宋体" w:eastAsia="宋体" w:cs="宋体"/>
              <w:sz w:val="24"/>
              <w:szCs w:val="24"/>
            </w:rPr>
            <w:t>承包人提供主要材料和工程设备一览表（适用于价</w:t>
          </w:r>
          <w:r>
            <w:rPr>
              <w:rFonts w:ascii="宋体" w:hAnsi="宋体" w:eastAsia="宋体" w:cs="宋体"/>
              <w:spacing w:val="-1"/>
              <w:sz w:val="24"/>
              <w:szCs w:val="24"/>
            </w:rPr>
            <w:t>格指数差额调整</w:t>
          </w:r>
          <w:r>
            <w:rPr>
              <w:rFonts w:ascii="宋体" w:hAnsi="宋体" w:eastAsia="宋体" w:cs="宋体"/>
              <w:spacing w:val="-1"/>
              <w:sz w:val="24"/>
              <w:szCs w:val="24"/>
            </w:rPr>
            <w:fldChar w:fldCharType="end"/>
          </w:r>
        </w:p>
        <w:p w14:paraId="6C913061">
          <w:pPr>
            <w:tabs>
              <w:tab w:val="right" w:leader="dot" w:pos="8320"/>
            </w:tabs>
            <w:spacing w:before="66" w:line="374" w:lineRule="exact"/>
            <w:ind w:left="864"/>
            <w:rPr>
              <w:rFonts w:ascii="Times New Roman" w:hAnsi="Times New Roman" w:eastAsia="Times New Roman" w:cs="Times New Roman"/>
              <w:sz w:val="24"/>
              <w:szCs w:val="24"/>
            </w:rPr>
          </w:pPr>
          <w:r>
            <w:rPr>
              <w:rFonts w:ascii="宋体" w:hAnsi="宋体" w:eastAsia="宋体" w:cs="宋体"/>
              <w:spacing w:val="-6"/>
              <w:position w:val="2"/>
              <w:sz w:val="24"/>
              <w:szCs w:val="24"/>
            </w:rPr>
            <w:t>法）</w:t>
          </w:r>
          <w:r>
            <w:rPr>
              <w:rFonts w:ascii="宋体" w:hAnsi="宋体" w:eastAsia="宋体" w:cs="宋体"/>
              <w:spacing w:val="-74"/>
              <w:position w:val="2"/>
              <w:sz w:val="24"/>
              <w:szCs w:val="24"/>
            </w:rPr>
            <w:t xml:space="preserve"> </w:t>
          </w:r>
          <w:r>
            <w:rPr>
              <w:rFonts w:ascii="宋体" w:hAnsi="宋体" w:eastAsia="宋体" w:cs="宋体"/>
              <w:position w:val="2"/>
              <w:sz w:val="24"/>
              <w:szCs w:val="24"/>
            </w:rPr>
            <w:tab/>
          </w:r>
          <w:r>
            <w:rPr>
              <w:rFonts w:ascii="宋体" w:hAnsi="宋体" w:eastAsia="宋体" w:cs="宋体"/>
              <w:spacing w:val="-62"/>
              <w:position w:val="2"/>
              <w:sz w:val="24"/>
              <w:szCs w:val="24"/>
            </w:rPr>
            <w:t xml:space="preserve"> </w:t>
          </w:r>
          <w:r>
            <w:fldChar w:fldCharType="begin"/>
          </w:r>
          <w:r>
            <w:instrText xml:space="preserve"> HYPERLINK \l "bookmark359" </w:instrText>
          </w:r>
          <w:r>
            <w:fldChar w:fldCharType="separate"/>
          </w:r>
          <w:r>
            <w:rPr>
              <w:rFonts w:ascii="Times New Roman" w:hAnsi="Times New Roman" w:eastAsia="Times New Roman" w:cs="Times New Roman"/>
              <w:position w:val="2"/>
              <w:sz w:val="24"/>
              <w:szCs w:val="24"/>
            </w:rPr>
            <w:t>418</w:t>
          </w:r>
          <w:r>
            <w:rPr>
              <w:rFonts w:ascii="Times New Roman" w:hAnsi="Times New Roman" w:eastAsia="Times New Roman" w:cs="Times New Roman"/>
              <w:position w:val="2"/>
              <w:sz w:val="24"/>
              <w:szCs w:val="24"/>
            </w:rPr>
            <w:fldChar w:fldCharType="end"/>
          </w:r>
        </w:p>
        <w:p w14:paraId="2C8F214A">
          <w:pPr>
            <w:pStyle w:val="2"/>
            <w:tabs>
              <w:tab w:val="right" w:leader="dot" w:pos="8320"/>
            </w:tabs>
            <w:spacing w:before="67" w:line="188" w:lineRule="auto"/>
            <w:ind w:left="23"/>
            <w:rPr>
              <w:rFonts w:ascii="Times New Roman" w:hAnsi="Times New Roman" w:eastAsia="Times New Roman" w:cs="Times New Roman"/>
              <w:sz w:val="24"/>
              <w:szCs w:val="24"/>
            </w:rPr>
          </w:pPr>
          <w:r>
            <w:fldChar w:fldCharType="begin"/>
          </w:r>
          <w:r>
            <w:instrText xml:space="preserve"> HYPERLINK \l "bookmark360" </w:instrText>
          </w:r>
          <w:r>
            <w:fldChar w:fldCharType="separate"/>
          </w:r>
          <w:r>
            <w:rPr>
              <w:spacing w:val="-4"/>
              <w:sz w:val="24"/>
              <w:szCs w:val="24"/>
            </w:rPr>
            <w:t>第二卷</w:t>
          </w:r>
          <w:r>
            <w:rPr>
              <w:spacing w:val="-73"/>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419</w:t>
          </w:r>
          <w:r>
            <w:rPr>
              <w:rFonts w:ascii="Times New Roman" w:hAnsi="Times New Roman" w:eastAsia="Times New Roman" w:cs="Times New Roman"/>
              <w:spacing w:val="-2"/>
              <w:sz w:val="24"/>
              <w:szCs w:val="24"/>
            </w:rPr>
            <w:fldChar w:fldCharType="end"/>
          </w:r>
        </w:p>
        <w:p w14:paraId="495E14E4">
          <w:pPr>
            <w:pStyle w:val="2"/>
            <w:tabs>
              <w:tab w:val="right" w:leader="dot" w:pos="8320"/>
            </w:tabs>
            <w:spacing w:before="132" w:line="187" w:lineRule="auto"/>
            <w:ind w:left="23"/>
            <w:rPr>
              <w:rFonts w:ascii="Times New Roman" w:hAnsi="Times New Roman" w:eastAsia="Times New Roman" w:cs="Times New Roman"/>
              <w:sz w:val="24"/>
              <w:szCs w:val="24"/>
            </w:rPr>
          </w:pPr>
          <w:r>
            <w:fldChar w:fldCharType="begin"/>
          </w:r>
          <w:r>
            <w:instrText xml:space="preserve"> HYPERLINK \l "bookmark361" </w:instrText>
          </w:r>
          <w:r>
            <w:fldChar w:fldCharType="separate"/>
          </w:r>
          <w:r>
            <w:rPr>
              <w:spacing w:val="-10"/>
              <w:sz w:val="24"/>
              <w:szCs w:val="24"/>
            </w:rPr>
            <w:t>第六章</w:t>
          </w:r>
          <w:r>
            <w:rPr>
              <w:spacing w:val="13"/>
              <w:sz w:val="24"/>
              <w:szCs w:val="24"/>
            </w:rPr>
            <w:t xml:space="preserve">  </w:t>
          </w:r>
          <w:r>
            <w:rPr>
              <w:spacing w:val="-10"/>
              <w:sz w:val="24"/>
              <w:szCs w:val="24"/>
            </w:rPr>
            <w:t>图</w:t>
          </w:r>
          <w:r>
            <w:rPr>
              <w:spacing w:val="6"/>
              <w:sz w:val="24"/>
              <w:szCs w:val="24"/>
            </w:rPr>
            <w:t xml:space="preserve">  </w:t>
          </w:r>
          <w:r>
            <w:rPr>
              <w:spacing w:val="-10"/>
              <w:sz w:val="24"/>
              <w:szCs w:val="24"/>
            </w:rPr>
            <w:t>纸</w:t>
          </w:r>
          <w:r>
            <w:rPr>
              <w:spacing w:val="-73"/>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420</w:t>
          </w:r>
          <w:r>
            <w:rPr>
              <w:rFonts w:ascii="Times New Roman" w:hAnsi="Times New Roman" w:eastAsia="Times New Roman" w:cs="Times New Roman"/>
              <w:spacing w:val="-2"/>
              <w:sz w:val="24"/>
              <w:szCs w:val="24"/>
            </w:rPr>
            <w:fldChar w:fldCharType="end"/>
          </w:r>
        </w:p>
        <w:p w14:paraId="3EEDCE4E">
          <w:pPr>
            <w:tabs>
              <w:tab w:val="right" w:leader="dot" w:pos="8320"/>
            </w:tabs>
            <w:spacing w:before="129" w:line="185" w:lineRule="auto"/>
            <w:ind w:left="462"/>
            <w:rPr>
              <w:rFonts w:ascii="Times New Roman" w:hAnsi="Times New Roman" w:eastAsia="Times New Roman" w:cs="Times New Roman"/>
              <w:sz w:val="24"/>
              <w:szCs w:val="24"/>
            </w:rPr>
          </w:pPr>
          <w:r>
            <w:fldChar w:fldCharType="begin"/>
          </w:r>
          <w:r>
            <w:instrText xml:space="preserve"> HYPERLINK \l "bookmark362" </w:instrText>
          </w:r>
          <w:r>
            <w:fldChar w:fldCharType="separate"/>
          </w:r>
          <w:r>
            <w:rPr>
              <w:rFonts w:ascii="Times New Roman" w:hAnsi="Times New Roman" w:eastAsia="Times New Roman" w:cs="Times New Roman"/>
              <w:spacing w:val="-11"/>
              <w:sz w:val="24"/>
              <w:szCs w:val="24"/>
            </w:rPr>
            <w:t>1.</w:t>
          </w:r>
          <w:r>
            <w:rPr>
              <w:rFonts w:ascii="Times New Roman" w:hAnsi="Times New Roman" w:eastAsia="Times New Roman" w:cs="Times New Roman"/>
              <w:spacing w:val="-24"/>
              <w:sz w:val="24"/>
              <w:szCs w:val="24"/>
            </w:rPr>
            <w:t xml:space="preserve"> </w:t>
          </w:r>
          <w:r>
            <w:rPr>
              <w:rFonts w:ascii="宋体" w:hAnsi="宋体" w:eastAsia="宋体" w:cs="宋体"/>
              <w:spacing w:val="-11"/>
              <w:sz w:val="24"/>
              <w:szCs w:val="24"/>
            </w:rPr>
            <w:t>图纸目录</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421</w:t>
          </w:r>
          <w:r>
            <w:rPr>
              <w:rFonts w:ascii="Times New Roman" w:hAnsi="Times New Roman" w:eastAsia="Times New Roman" w:cs="Times New Roman"/>
              <w:spacing w:val="-2"/>
              <w:sz w:val="24"/>
              <w:szCs w:val="24"/>
            </w:rPr>
            <w:fldChar w:fldCharType="end"/>
          </w:r>
        </w:p>
        <w:p w14:paraId="5927438C">
          <w:pPr>
            <w:tabs>
              <w:tab w:val="right" w:leader="dot" w:pos="8320"/>
            </w:tabs>
            <w:spacing w:before="137" w:line="184" w:lineRule="auto"/>
            <w:ind w:left="439"/>
            <w:rPr>
              <w:rFonts w:ascii="Times New Roman" w:hAnsi="Times New Roman" w:eastAsia="Times New Roman" w:cs="Times New Roman"/>
              <w:sz w:val="24"/>
              <w:szCs w:val="24"/>
            </w:rPr>
          </w:pPr>
          <w:r>
            <w:fldChar w:fldCharType="begin"/>
          </w:r>
          <w:r>
            <w:instrText xml:space="preserve"> HYPERLINK \l "bookmark363" </w:instrText>
          </w:r>
          <w:r>
            <w:fldChar w:fldCharType="separate"/>
          </w:r>
          <w:r>
            <w:rPr>
              <w:rFonts w:ascii="Times New Roman" w:hAnsi="Times New Roman" w:eastAsia="Times New Roman" w:cs="Times New Roman"/>
              <w:spacing w:val="-13"/>
              <w:sz w:val="24"/>
              <w:szCs w:val="24"/>
            </w:rPr>
            <w:t>2.</w:t>
          </w:r>
          <w:r>
            <w:rPr>
              <w:rFonts w:ascii="Times New Roman" w:hAnsi="Times New Roman" w:eastAsia="Times New Roman" w:cs="Times New Roman"/>
              <w:spacing w:val="-26"/>
              <w:sz w:val="24"/>
              <w:szCs w:val="24"/>
            </w:rPr>
            <w:t xml:space="preserve"> </w:t>
          </w:r>
          <w:r>
            <w:rPr>
              <w:rFonts w:ascii="宋体" w:hAnsi="宋体" w:eastAsia="宋体" w:cs="宋体"/>
              <w:spacing w:val="-13"/>
              <w:sz w:val="24"/>
              <w:szCs w:val="24"/>
            </w:rPr>
            <w:t>图</w:t>
          </w:r>
          <w:r>
            <w:rPr>
              <w:rFonts w:ascii="宋体" w:hAnsi="宋体" w:eastAsia="宋体" w:cs="宋体"/>
              <w:spacing w:val="2"/>
              <w:sz w:val="24"/>
              <w:szCs w:val="24"/>
            </w:rPr>
            <w:t xml:space="preserve">    </w:t>
          </w:r>
          <w:r>
            <w:rPr>
              <w:rFonts w:ascii="宋体" w:hAnsi="宋体" w:eastAsia="宋体" w:cs="宋体"/>
              <w:spacing w:val="-13"/>
              <w:sz w:val="24"/>
              <w:szCs w:val="24"/>
            </w:rPr>
            <w:t>纸</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422</w:t>
          </w:r>
          <w:r>
            <w:rPr>
              <w:rFonts w:ascii="Times New Roman" w:hAnsi="Times New Roman" w:eastAsia="Times New Roman" w:cs="Times New Roman"/>
              <w:spacing w:val="-2"/>
              <w:sz w:val="24"/>
              <w:szCs w:val="24"/>
            </w:rPr>
            <w:fldChar w:fldCharType="end"/>
          </w:r>
        </w:p>
        <w:p w14:paraId="041529EE">
          <w:pPr>
            <w:pStyle w:val="2"/>
            <w:tabs>
              <w:tab w:val="right" w:leader="dot" w:pos="8320"/>
            </w:tabs>
            <w:spacing w:before="135" w:line="187" w:lineRule="auto"/>
            <w:ind w:left="23"/>
            <w:rPr>
              <w:rFonts w:ascii="Times New Roman" w:hAnsi="Times New Roman" w:eastAsia="Times New Roman" w:cs="Times New Roman"/>
              <w:sz w:val="24"/>
              <w:szCs w:val="24"/>
            </w:rPr>
          </w:pPr>
          <w:r>
            <w:fldChar w:fldCharType="begin"/>
          </w:r>
          <w:r>
            <w:instrText xml:space="preserve"> HYPERLINK \l "bookmark364" </w:instrText>
          </w:r>
          <w:r>
            <w:fldChar w:fldCharType="separate"/>
          </w:r>
          <w:r>
            <w:rPr>
              <w:spacing w:val="-4"/>
              <w:sz w:val="24"/>
              <w:szCs w:val="24"/>
            </w:rPr>
            <w:t>第三卷</w:t>
          </w:r>
          <w:r>
            <w:rPr>
              <w:spacing w:val="-73"/>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423</w:t>
          </w:r>
          <w:r>
            <w:rPr>
              <w:rFonts w:ascii="Times New Roman" w:hAnsi="Times New Roman" w:eastAsia="Times New Roman" w:cs="Times New Roman"/>
              <w:spacing w:val="-2"/>
              <w:sz w:val="24"/>
              <w:szCs w:val="24"/>
            </w:rPr>
            <w:fldChar w:fldCharType="end"/>
          </w:r>
        </w:p>
        <w:p w14:paraId="0666BF49">
          <w:pPr>
            <w:pStyle w:val="2"/>
            <w:tabs>
              <w:tab w:val="right" w:leader="dot" w:pos="8320"/>
            </w:tabs>
            <w:spacing w:before="128" w:line="188" w:lineRule="auto"/>
            <w:ind w:left="23"/>
            <w:rPr>
              <w:rFonts w:ascii="Times New Roman" w:hAnsi="Times New Roman" w:eastAsia="Times New Roman" w:cs="Times New Roman"/>
              <w:sz w:val="24"/>
              <w:szCs w:val="24"/>
            </w:rPr>
          </w:pPr>
          <w:r>
            <w:fldChar w:fldCharType="begin"/>
          </w:r>
          <w:r>
            <w:instrText xml:space="preserve"> HYPERLINK \l "bookmark365" </w:instrText>
          </w:r>
          <w:r>
            <w:fldChar w:fldCharType="separate"/>
          </w:r>
          <w:r>
            <w:rPr>
              <w:spacing w:val="-1"/>
              <w:sz w:val="24"/>
              <w:szCs w:val="24"/>
            </w:rPr>
            <w:t>第七章  技术标准和要求</w:t>
          </w:r>
          <w:r>
            <w:rPr>
              <w:spacing w:val="-73"/>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424</w:t>
          </w:r>
          <w:r>
            <w:rPr>
              <w:rFonts w:ascii="Times New Roman" w:hAnsi="Times New Roman" w:eastAsia="Times New Roman" w:cs="Times New Roman"/>
              <w:spacing w:val="-2"/>
              <w:sz w:val="24"/>
              <w:szCs w:val="24"/>
            </w:rPr>
            <w:fldChar w:fldCharType="end"/>
          </w:r>
        </w:p>
        <w:p w14:paraId="12837A64">
          <w:pPr>
            <w:tabs>
              <w:tab w:val="right" w:leader="dot" w:pos="8320"/>
            </w:tabs>
            <w:spacing w:before="133" w:line="184" w:lineRule="auto"/>
            <w:ind w:left="443"/>
            <w:rPr>
              <w:rFonts w:ascii="Times New Roman" w:hAnsi="Times New Roman" w:eastAsia="Times New Roman" w:cs="Times New Roman"/>
              <w:sz w:val="24"/>
              <w:szCs w:val="24"/>
            </w:rPr>
          </w:pPr>
          <w:r>
            <w:fldChar w:fldCharType="begin"/>
          </w:r>
          <w:r>
            <w:instrText xml:space="preserve"> HYPERLINK \l "bookmark366" </w:instrText>
          </w:r>
          <w:r>
            <w:fldChar w:fldCharType="separate"/>
          </w:r>
          <w:r>
            <w:rPr>
              <w:rFonts w:ascii="宋体" w:hAnsi="宋体" w:eastAsia="宋体" w:cs="宋体"/>
              <w:spacing w:val="-2"/>
              <w:sz w:val="24"/>
              <w:szCs w:val="24"/>
            </w:rPr>
            <w:t>第一节 一般要求</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425</w:t>
          </w:r>
          <w:r>
            <w:rPr>
              <w:rFonts w:ascii="Times New Roman" w:hAnsi="Times New Roman" w:eastAsia="Times New Roman" w:cs="Times New Roman"/>
              <w:spacing w:val="-2"/>
              <w:sz w:val="24"/>
              <w:szCs w:val="24"/>
            </w:rPr>
            <w:fldChar w:fldCharType="end"/>
          </w:r>
        </w:p>
        <w:p w14:paraId="7E1912CA">
          <w:pPr>
            <w:tabs>
              <w:tab w:val="right" w:leader="dot" w:pos="8320"/>
            </w:tabs>
            <w:spacing w:before="133" w:line="185" w:lineRule="auto"/>
            <w:ind w:left="882"/>
            <w:rPr>
              <w:rFonts w:ascii="Times New Roman" w:hAnsi="Times New Roman" w:eastAsia="Times New Roman" w:cs="Times New Roman"/>
              <w:sz w:val="24"/>
              <w:szCs w:val="24"/>
            </w:rPr>
          </w:pPr>
          <w:r>
            <w:fldChar w:fldCharType="begin"/>
          </w:r>
          <w:r>
            <w:instrText xml:space="preserve"> HYPERLINK \l "bookmark367" </w:instrText>
          </w:r>
          <w:r>
            <w:fldChar w:fldCharType="separate"/>
          </w:r>
          <w:r>
            <w:rPr>
              <w:rFonts w:ascii="Times New Roman" w:hAnsi="Times New Roman" w:eastAsia="Times New Roman" w:cs="Times New Roman"/>
              <w:spacing w:val="-5"/>
              <w:sz w:val="24"/>
              <w:szCs w:val="24"/>
            </w:rPr>
            <w:t>1.</w:t>
          </w:r>
          <w:r>
            <w:rPr>
              <w:rFonts w:ascii="宋体" w:hAnsi="宋体" w:eastAsia="宋体" w:cs="宋体"/>
              <w:spacing w:val="-5"/>
              <w:sz w:val="24"/>
              <w:szCs w:val="24"/>
            </w:rPr>
            <w:t>工程说明</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425</w:t>
          </w:r>
          <w:r>
            <w:rPr>
              <w:rFonts w:ascii="Times New Roman" w:hAnsi="Times New Roman" w:eastAsia="Times New Roman" w:cs="Times New Roman"/>
              <w:spacing w:val="-2"/>
              <w:sz w:val="24"/>
              <w:szCs w:val="24"/>
            </w:rPr>
            <w:fldChar w:fldCharType="end"/>
          </w:r>
        </w:p>
        <w:p w14:paraId="41D19A1B">
          <w:pPr>
            <w:tabs>
              <w:tab w:val="right" w:leader="dot" w:pos="8320"/>
            </w:tabs>
            <w:spacing w:before="136" w:line="184" w:lineRule="auto"/>
            <w:ind w:left="859"/>
            <w:rPr>
              <w:rFonts w:ascii="Times New Roman" w:hAnsi="Times New Roman" w:eastAsia="Times New Roman" w:cs="Times New Roman"/>
              <w:sz w:val="24"/>
              <w:szCs w:val="24"/>
            </w:rPr>
          </w:pPr>
          <w:r>
            <w:fldChar w:fldCharType="begin"/>
          </w:r>
          <w:r>
            <w:instrText xml:space="preserve"> HYPERLINK \l "bookmark368" </w:instrText>
          </w:r>
          <w:r>
            <w:fldChar w:fldCharType="separate"/>
          </w:r>
          <w:r>
            <w:rPr>
              <w:rFonts w:ascii="Times New Roman" w:hAnsi="Times New Roman" w:eastAsia="Times New Roman" w:cs="Times New Roman"/>
              <w:spacing w:val="-1"/>
              <w:sz w:val="24"/>
              <w:szCs w:val="24"/>
            </w:rPr>
            <w:t>2.</w:t>
          </w:r>
          <w:r>
            <w:rPr>
              <w:rFonts w:ascii="宋体" w:hAnsi="宋体" w:eastAsia="宋体" w:cs="宋体"/>
              <w:spacing w:val="-1"/>
              <w:sz w:val="24"/>
              <w:szCs w:val="24"/>
            </w:rPr>
            <w:t>承包范围</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426</w:t>
          </w:r>
          <w:r>
            <w:rPr>
              <w:rFonts w:ascii="Times New Roman" w:hAnsi="Times New Roman" w:eastAsia="Times New Roman" w:cs="Times New Roman"/>
              <w:spacing w:val="-2"/>
              <w:sz w:val="24"/>
              <w:szCs w:val="24"/>
            </w:rPr>
            <w:fldChar w:fldCharType="end"/>
          </w:r>
        </w:p>
        <w:p w14:paraId="55E726A1">
          <w:pPr>
            <w:tabs>
              <w:tab w:val="right" w:leader="dot" w:pos="8320"/>
            </w:tabs>
            <w:spacing w:before="135" w:line="220" w:lineRule="auto"/>
            <w:ind w:left="863"/>
            <w:rPr>
              <w:rFonts w:ascii="Times New Roman" w:hAnsi="Times New Roman" w:eastAsia="Times New Roman" w:cs="Times New Roman"/>
              <w:sz w:val="24"/>
              <w:szCs w:val="24"/>
            </w:rPr>
          </w:pPr>
          <w:r>
            <w:fldChar w:fldCharType="begin"/>
          </w:r>
          <w:r>
            <w:instrText xml:space="preserve"> HYPERLINK \l "bookmark369" </w:instrText>
          </w:r>
          <w:r>
            <w:fldChar w:fldCharType="separate"/>
          </w:r>
          <w:r>
            <w:rPr>
              <w:rFonts w:ascii="Times New Roman" w:hAnsi="Times New Roman" w:eastAsia="Times New Roman" w:cs="Times New Roman"/>
              <w:spacing w:val="-2"/>
              <w:sz w:val="24"/>
              <w:szCs w:val="24"/>
            </w:rPr>
            <w:t>3.</w:t>
          </w:r>
          <w:r>
            <w:rPr>
              <w:rFonts w:ascii="宋体" w:hAnsi="宋体" w:eastAsia="宋体" w:cs="宋体"/>
              <w:spacing w:val="-2"/>
              <w:sz w:val="24"/>
              <w:szCs w:val="24"/>
            </w:rPr>
            <w:t>工期要求</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427</w:t>
          </w:r>
          <w:r>
            <w:rPr>
              <w:rFonts w:ascii="Times New Roman" w:hAnsi="Times New Roman" w:eastAsia="Times New Roman" w:cs="Times New Roman"/>
              <w:spacing w:val="-2"/>
              <w:sz w:val="24"/>
              <w:szCs w:val="24"/>
            </w:rPr>
            <w:fldChar w:fldCharType="end"/>
          </w:r>
        </w:p>
      </w:sdtContent>
    </w:sdt>
    <w:p w14:paraId="2E949AE4">
      <w:pPr>
        <w:spacing w:line="220" w:lineRule="auto"/>
        <w:rPr>
          <w:rFonts w:ascii="Times New Roman" w:hAnsi="Times New Roman" w:eastAsia="Times New Roman" w:cs="Times New Roman"/>
          <w:sz w:val="24"/>
          <w:szCs w:val="24"/>
        </w:rPr>
        <w:sectPr>
          <w:footerReference r:id="rId19" w:type="default"/>
          <w:pgSz w:w="11906" w:h="16839"/>
          <w:pgMar w:top="1431" w:right="1785" w:bottom="1153" w:left="1785" w:header="0" w:footer="994" w:gutter="0"/>
          <w:cols w:space="720" w:num="1"/>
        </w:sectPr>
      </w:pPr>
    </w:p>
    <w:sdt>
      <w:sdtPr>
        <w:rPr>
          <w:rFonts w:ascii="Times New Roman" w:hAnsi="Times New Roman" w:eastAsia="Times New Roman" w:cs="Times New Roman"/>
          <w:sz w:val="24"/>
          <w:szCs w:val="24"/>
        </w:rPr>
        <w:id w:val="147482734"/>
        <w:docPartObj>
          <w:docPartGallery w:val="Table of Contents"/>
          <w:docPartUnique/>
        </w:docPartObj>
      </w:sdtPr>
      <w:sdtEndPr>
        <w:rPr>
          <w:rFonts w:ascii="Times New Roman" w:hAnsi="Times New Roman" w:eastAsia="Times New Roman" w:cs="Times New Roman"/>
          <w:sz w:val="24"/>
          <w:szCs w:val="24"/>
        </w:rPr>
      </w:sdtEndPr>
      <w:sdtContent>
        <w:p w14:paraId="47A7A909">
          <w:pPr>
            <w:tabs>
              <w:tab w:val="right" w:leader="dot" w:pos="8320"/>
            </w:tabs>
            <w:spacing w:before="77" w:line="184" w:lineRule="auto"/>
            <w:ind w:left="857"/>
            <w:rPr>
              <w:rFonts w:ascii="Times New Roman" w:hAnsi="Times New Roman" w:eastAsia="Times New Roman" w:cs="Times New Roman"/>
              <w:sz w:val="24"/>
              <w:szCs w:val="24"/>
            </w:rPr>
          </w:pPr>
          <w:r>
            <w:fldChar w:fldCharType="begin"/>
          </w:r>
          <w:r>
            <w:instrText xml:space="preserve"> HYPERLINK \l "bookmark370" </w:instrText>
          </w:r>
          <w:r>
            <w:fldChar w:fldCharType="separate"/>
          </w:r>
          <w:r>
            <w:rPr>
              <w:rFonts w:ascii="Times New Roman" w:hAnsi="Times New Roman" w:eastAsia="Times New Roman" w:cs="Times New Roman"/>
              <w:spacing w:val="-1"/>
              <w:sz w:val="24"/>
              <w:szCs w:val="24"/>
            </w:rPr>
            <w:t>4.</w:t>
          </w:r>
          <w:r>
            <w:rPr>
              <w:rFonts w:ascii="宋体" w:hAnsi="宋体" w:eastAsia="宋体" w:cs="宋体"/>
              <w:spacing w:val="-1"/>
              <w:sz w:val="24"/>
              <w:szCs w:val="24"/>
            </w:rPr>
            <w:t>质量要求</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427</w:t>
          </w:r>
          <w:r>
            <w:rPr>
              <w:rFonts w:ascii="Times New Roman" w:hAnsi="Times New Roman" w:eastAsia="Times New Roman" w:cs="Times New Roman"/>
              <w:spacing w:val="-2"/>
              <w:sz w:val="24"/>
              <w:szCs w:val="24"/>
            </w:rPr>
            <w:fldChar w:fldCharType="end"/>
          </w:r>
        </w:p>
        <w:p w14:paraId="1506DE56">
          <w:pPr>
            <w:tabs>
              <w:tab w:val="right" w:leader="dot" w:pos="8320"/>
            </w:tabs>
            <w:spacing w:before="135" w:line="184" w:lineRule="auto"/>
            <w:ind w:left="865"/>
            <w:rPr>
              <w:rFonts w:ascii="Times New Roman" w:hAnsi="Times New Roman" w:eastAsia="Times New Roman" w:cs="Times New Roman"/>
              <w:sz w:val="24"/>
              <w:szCs w:val="24"/>
            </w:rPr>
          </w:pPr>
          <w:r>
            <w:fldChar w:fldCharType="begin"/>
          </w:r>
          <w:r>
            <w:instrText xml:space="preserve"> HYPERLINK \l "bookmark371" </w:instrText>
          </w:r>
          <w:r>
            <w:fldChar w:fldCharType="separate"/>
          </w:r>
          <w:r>
            <w:rPr>
              <w:rFonts w:ascii="Times New Roman" w:hAnsi="Times New Roman" w:eastAsia="Times New Roman" w:cs="Times New Roman"/>
              <w:spacing w:val="-2"/>
              <w:sz w:val="24"/>
              <w:szCs w:val="24"/>
            </w:rPr>
            <w:t>5.</w:t>
          </w:r>
          <w:r>
            <w:rPr>
              <w:rFonts w:ascii="宋体" w:hAnsi="宋体" w:eastAsia="宋体" w:cs="宋体"/>
              <w:spacing w:val="-2"/>
              <w:sz w:val="24"/>
              <w:szCs w:val="24"/>
            </w:rPr>
            <w:t>适用规范和标准</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428</w:t>
          </w:r>
          <w:r>
            <w:rPr>
              <w:rFonts w:ascii="Times New Roman" w:hAnsi="Times New Roman" w:eastAsia="Times New Roman" w:cs="Times New Roman"/>
              <w:spacing w:val="-2"/>
              <w:sz w:val="24"/>
              <w:szCs w:val="24"/>
            </w:rPr>
            <w:fldChar w:fldCharType="end"/>
          </w:r>
        </w:p>
        <w:p w14:paraId="05047BFA">
          <w:pPr>
            <w:tabs>
              <w:tab w:val="right" w:leader="dot" w:pos="8320"/>
            </w:tabs>
            <w:spacing w:before="132" w:line="185" w:lineRule="auto"/>
            <w:ind w:left="864"/>
            <w:rPr>
              <w:rFonts w:ascii="Times New Roman" w:hAnsi="Times New Roman" w:eastAsia="Times New Roman" w:cs="Times New Roman"/>
              <w:sz w:val="24"/>
              <w:szCs w:val="24"/>
            </w:rPr>
          </w:pPr>
          <w:r>
            <w:fldChar w:fldCharType="begin"/>
          </w:r>
          <w:r>
            <w:instrText xml:space="preserve"> HYPERLINK \l "bookmark372" </w:instrText>
          </w:r>
          <w:r>
            <w:fldChar w:fldCharType="separate"/>
          </w:r>
          <w:r>
            <w:rPr>
              <w:rFonts w:ascii="Times New Roman" w:hAnsi="Times New Roman" w:eastAsia="Times New Roman" w:cs="Times New Roman"/>
              <w:spacing w:val="-2"/>
              <w:sz w:val="24"/>
              <w:szCs w:val="24"/>
            </w:rPr>
            <w:t>6.</w:t>
          </w:r>
          <w:r>
            <w:rPr>
              <w:rFonts w:ascii="宋体" w:hAnsi="宋体" w:eastAsia="宋体" w:cs="宋体"/>
              <w:spacing w:val="-2"/>
              <w:sz w:val="24"/>
              <w:szCs w:val="24"/>
            </w:rPr>
            <w:t>安全文明施工</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428</w:t>
          </w:r>
          <w:r>
            <w:rPr>
              <w:rFonts w:ascii="Times New Roman" w:hAnsi="Times New Roman" w:eastAsia="Times New Roman" w:cs="Times New Roman"/>
              <w:spacing w:val="-2"/>
              <w:sz w:val="24"/>
              <w:szCs w:val="24"/>
            </w:rPr>
            <w:fldChar w:fldCharType="end"/>
          </w:r>
        </w:p>
        <w:p w14:paraId="561CA238">
          <w:pPr>
            <w:tabs>
              <w:tab w:val="right" w:leader="dot" w:pos="8320"/>
            </w:tabs>
            <w:spacing w:before="136" w:line="184" w:lineRule="auto"/>
            <w:ind w:left="862"/>
            <w:rPr>
              <w:rFonts w:ascii="Times New Roman" w:hAnsi="Times New Roman" w:eastAsia="Times New Roman" w:cs="Times New Roman"/>
              <w:sz w:val="24"/>
              <w:szCs w:val="24"/>
            </w:rPr>
          </w:pPr>
          <w:r>
            <w:fldChar w:fldCharType="begin"/>
          </w:r>
          <w:r>
            <w:instrText xml:space="preserve"> HYPERLINK \l "bookmark373" </w:instrText>
          </w:r>
          <w:r>
            <w:fldChar w:fldCharType="separate"/>
          </w:r>
          <w:r>
            <w:rPr>
              <w:rFonts w:ascii="Times New Roman" w:hAnsi="Times New Roman" w:eastAsia="Times New Roman" w:cs="Times New Roman"/>
              <w:spacing w:val="-2"/>
              <w:sz w:val="24"/>
              <w:szCs w:val="24"/>
            </w:rPr>
            <w:t>7.</w:t>
          </w:r>
          <w:r>
            <w:rPr>
              <w:rFonts w:ascii="宋体" w:hAnsi="宋体" w:eastAsia="宋体" w:cs="宋体"/>
              <w:spacing w:val="-2"/>
              <w:sz w:val="24"/>
              <w:szCs w:val="24"/>
            </w:rPr>
            <w:t>治安保卫</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437</w:t>
          </w:r>
          <w:r>
            <w:rPr>
              <w:rFonts w:ascii="Times New Roman" w:hAnsi="Times New Roman" w:eastAsia="Times New Roman" w:cs="Times New Roman"/>
              <w:spacing w:val="-2"/>
              <w:sz w:val="24"/>
              <w:szCs w:val="24"/>
            </w:rPr>
            <w:fldChar w:fldCharType="end"/>
          </w:r>
        </w:p>
        <w:p w14:paraId="378DE044">
          <w:pPr>
            <w:tabs>
              <w:tab w:val="right" w:leader="dot" w:pos="8320"/>
            </w:tabs>
            <w:spacing w:before="132" w:line="185" w:lineRule="auto"/>
            <w:ind w:left="868"/>
            <w:rPr>
              <w:rFonts w:ascii="Times New Roman" w:hAnsi="Times New Roman" w:eastAsia="Times New Roman" w:cs="Times New Roman"/>
              <w:sz w:val="24"/>
              <w:szCs w:val="24"/>
            </w:rPr>
          </w:pPr>
          <w:r>
            <w:fldChar w:fldCharType="begin"/>
          </w:r>
          <w:r>
            <w:instrText xml:space="preserve"> HYPERLINK \l "bookmark374" </w:instrText>
          </w:r>
          <w:r>
            <w:fldChar w:fldCharType="separate"/>
          </w:r>
          <w:r>
            <w:rPr>
              <w:rFonts w:ascii="Times New Roman" w:hAnsi="Times New Roman" w:eastAsia="Times New Roman" w:cs="Times New Roman"/>
              <w:spacing w:val="-1"/>
              <w:sz w:val="24"/>
              <w:szCs w:val="24"/>
            </w:rPr>
            <w:t>8.</w:t>
          </w:r>
          <w:r>
            <w:rPr>
              <w:rFonts w:ascii="宋体" w:hAnsi="宋体" w:eastAsia="宋体" w:cs="宋体"/>
              <w:spacing w:val="-1"/>
              <w:sz w:val="24"/>
              <w:szCs w:val="24"/>
            </w:rPr>
            <w:t>地上、地下设施和周边建筑物的临时保护</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438</w:t>
          </w:r>
          <w:r>
            <w:rPr>
              <w:rFonts w:ascii="Times New Roman" w:hAnsi="Times New Roman" w:eastAsia="Times New Roman" w:cs="Times New Roman"/>
              <w:spacing w:val="-2"/>
              <w:sz w:val="24"/>
              <w:szCs w:val="24"/>
            </w:rPr>
            <w:fldChar w:fldCharType="end"/>
          </w:r>
        </w:p>
        <w:p w14:paraId="6BDEABDF">
          <w:pPr>
            <w:tabs>
              <w:tab w:val="right" w:leader="dot" w:pos="8320"/>
            </w:tabs>
            <w:spacing w:before="137" w:line="184" w:lineRule="auto"/>
            <w:ind w:left="863"/>
            <w:rPr>
              <w:rFonts w:ascii="Times New Roman" w:hAnsi="Times New Roman" w:eastAsia="Times New Roman" w:cs="Times New Roman"/>
              <w:sz w:val="24"/>
              <w:szCs w:val="24"/>
            </w:rPr>
          </w:pPr>
          <w:r>
            <w:fldChar w:fldCharType="begin"/>
          </w:r>
          <w:r>
            <w:instrText xml:space="preserve"> HYPERLINK \l "bookmark375" </w:instrText>
          </w:r>
          <w:r>
            <w:fldChar w:fldCharType="separate"/>
          </w:r>
          <w:r>
            <w:rPr>
              <w:rFonts w:ascii="Times New Roman" w:hAnsi="Times New Roman" w:eastAsia="Times New Roman" w:cs="Times New Roman"/>
              <w:spacing w:val="-2"/>
              <w:sz w:val="24"/>
              <w:szCs w:val="24"/>
            </w:rPr>
            <w:t>9.</w:t>
          </w:r>
          <w:r>
            <w:rPr>
              <w:rFonts w:ascii="宋体" w:hAnsi="宋体" w:eastAsia="宋体" w:cs="宋体"/>
              <w:spacing w:val="-2"/>
              <w:sz w:val="24"/>
              <w:szCs w:val="24"/>
            </w:rPr>
            <w:t>样品和材料代换</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438</w:t>
          </w:r>
          <w:r>
            <w:rPr>
              <w:rFonts w:ascii="Times New Roman" w:hAnsi="Times New Roman" w:eastAsia="Times New Roman" w:cs="Times New Roman"/>
              <w:spacing w:val="-2"/>
              <w:sz w:val="24"/>
              <w:szCs w:val="24"/>
            </w:rPr>
            <w:fldChar w:fldCharType="end"/>
          </w:r>
        </w:p>
        <w:p w14:paraId="37D73373">
          <w:pPr>
            <w:tabs>
              <w:tab w:val="right" w:leader="dot" w:pos="8320"/>
            </w:tabs>
            <w:spacing w:before="135" w:line="184" w:lineRule="auto"/>
            <w:ind w:left="882"/>
            <w:rPr>
              <w:rFonts w:ascii="Times New Roman" w:hAnsi="Times New Roman" w:eastAsia="Times New Roman" w:cs="Times New Roman"/>
              <w:sz w:val="24"/>
              <w:szCs w:val="24"/>
            </w:rPr>
          </w:pPr>
          <w:r>
            <w:fldChar w:fldCharType="begin"/>
          </w:r>
          <w:r>
            <w:instrText xml:space="preserve"> HYPERLINK \l "bookmark376" </w:instrText>
          </w:r>
          <w:r>
            <w:fldChar w:fldCharType="separate"/>
          </w:r>
          <w:r>
            <w:rPr>
              <w:rFonts w:ascii="Times New Roman" w:hAnsi="Times New Roman" w:eastAsia="Times New Roman" w:cs="Times New Roman"/>
              <w:spacing w:val="-3"/>
              <w:sz w:val="24"/>
              <w:szCs w:val="24"/>
            </w:rPr>
            <w:t>10.</w:t>
          </w:r>
          <w:r>
            <w:rPr>
              <w:rFonts w:ascii="宋体" w:hAnsi="宋体" w:eastAsia="宋体" w:cs="宋体"/>
              <w:spacing w:val="-3"/>
              <w:sz w:val="24"/>
              <w:szCs w:val="24"/>
            </w:rPr>
            <w:t>进口材料和工程设备</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440</w:t>
          </w:r>
          <w:r>
            <w:rPr>
              <w:rFonts w:ascii="Times New Roman" w:hAnsi="Times New Roman" w:eastAsia="Times New Roman" w:cs="Times New Roman"/>
              <w:spacing w:val="-2"/>
              <w:sz w:val="24"/>
              <w:szCs w:val="24"/>
            </w:rPr>
            <w:fldChar w:fldCharType="end"/>
          </w:r>
        </w:p>
        <w:p w14:paraId="5B6DC9E4">
          <w:pPr>
            <w:tabs>
              <w:tab w:val="right" w:leader="dot" w:pos="8320"/>
            </w:tabs>
            <w:spacing w:before="132" w:line="185" w:lineRule="auto"/>
            <w:ind w:left="882"/>
            <w:rPr>
              <w:rFonts w:ascii="Times New Roman" w:hAnsi="Times New Roman" w:eastAsia="Times New Roman" w:cs="Times New Roman"/>
              <w:sz w:val="24"/>
              <w:szCs w:val="24"/>
            </w:rPr>
          </w:pPr>
          <w:r>
            <w:fldChar w:fldCharType="begin"/>
          </w:r>
          <w:r>
            <w:instrText xml:space="preserve"> HYPERLINK \l "bookmark377" </w:instrText>
          </w:r>
          <w:r>
            <w:fldChar w:fldCharType="separate"/>
          </w:r>
          <w:r>
            <w:rPr>
              <w:rFonts w:ascii="Times New Roman" w:hAnsi="Times New Roman" w:eastAsia="Times New Roman" w:cs="Times New Roman"/>
              <w:spacing w:val="-4"/>
              <w:sz w:val="24"/>
              <w:szCs w:val="24"/>
            </w:rPr>
            <w:t>11.</w:t>
          </w:r>
          <w:r>
            <w:rPr>
              <w:rFonts w:ascii="宋体" w:hAnsi="宋体" w:eastAsia="宋体" w:cs="宋体"/>
              <w:spacing w:val="-4"/>
              <w:sz w:val="24"/>
              <w:szCs w:val="24"/>
            </w:rPr>
            <w:t>进度报告和进度例会</w:t>
          </w:r>
          <w:r>
            <w:rPr>
              <w:rFonts w:ascii="宋体" w:hAnsi="宋体" w:eastAsia="宋体" w:cs="宋体"/>
              <w:spacing w:val="-63"/>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440</w:t>
          </w:r>
          <w:r>
            <w:rPr>
              <w:rFonts w:ascii="Times New Roman" w:hAnsi="Times New Roman" w:eastAsia="Times New Roman" w:cs="Times New Roman"/>
              <w:spacing w:val="1"/>
              <w:sz w:val="24"/>
              <w:szCs w:val="24"/>
            </w:rPr>
            <w:fldChar w:fldCharType="end"/>
          </w:r>
        </w:p>
        <w:p w14:paraId="2AC059A8">
          <w:pPr>
            <w:tabs>
              <w:tab w:val="right" w:leader="dot" w:pos="8320"/>
            </w:tabs>
            <w:spacing w:before="137" w:line="184" w:lineRule="auto"/>
            <w:ind w:left="882"/>
            <w:rPr>
              <w:rFonts w:ascii="Times New Roman" w:hAnsi="Times New Roman" w:eastAsia="Times New Roman" w:cs="Times New Roman"/>
              <w:sz w:val="24"/>
              <w:szCs w:val="24"/>
            </w:rPr>
          </w:pPr>
          <w:r>
            <w:fldChar w:fldCharType="begin"/>
          </w:r>
          <w:r>
            <w:instrText xml:space="preserve"> HYPERLINK \l "bookmark378" </w:instrText>
          </w:r>
          <w:r>
            <w:fldChar w:fldCharType="separate"/>
          </w:r>
          <w:r>
            <w:rPr>
              <w:rFonts w:ascii="Times New Roman" w:hAnsi="Times New Roman" w:eastAsia="Times New Roman" w:cs="Times New Roman"/>
              <w:spacing w:val="-4"/>
              <w:sz w:val="24"/>
              <w:szCs w:val="24"/>
            </w:rPr>
            <w:t>12.</w:t>
          </w:r>
          <w:r>
            <w:rPr>
              <w:rFonts w:ascii="宋体" w:hAnsi="宋体" w:eastAsia="宋体" w:cs="宋体"/>
              <w:spacing w:val="-4"/>
              <w:sz w:val="24"/>
              <w:szCs w:val="24"/>
            </w:rPr>
            <w:t>试验和检验</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442</w:t>
          </w:r>
          <w:r>
            <w:rPr>
              <w:rFonts w:ascii="Times New Roman" w:hAnsi="Times New Roman" w:eastAsia="Times New Roman" w:cs="Times New Roman"/>
              <w:spacing w:val="-2"/>
              <w:sz w:val="24"/>
              <w:szCs w:val="24"/>
            </w:rPr>
            <w:fldChar w:fldCharType="end"/>
          </w:r>
        </w:p>
        <w:p w14:paraId="564AF885">
          <w:pPr>
            <w:tabs>
              <w:tab w:val="right" w:leader="dot" w:pos="8320"/>
            </w:tabs>
            <w:spacing w:before="133" w:line="184" w:lineRule="auto"/>
            <w:ind w:left="882"/>
            <w:rPr>
              <w:rFonts w:ascii="Times New Roman" w:hAnsi="Times New Roman" w:eastAsia="Times New Roman" w:cs="Times New Roman"/>
              <w:sz w:val="24"/>
              <w:szCs w:val="24"/>
            </w:rPr>
          </w:pPr>
          <w:r>
            <w:fldChar w:fldCharType="begin"/>
          </w:r>
          <w:r>
            <w:instrText xml:space="preserve"> HYPERLINK \l "bookmark379" </w:instrText>
          </w:r>
          <w:r>
            <w:fldChar w:fldCharType="separate"/>
          </w:r>
          <w:r>
            <w:rPr>
              <w:rFonts w:ascii="Times New Roman" w:hAnsi="Times New Roman" w:eastAsia="Times New Roman" w:cs="Times New Roman"/>
              <w:spacing w:val="-5"/>
              <w:sz w:val="24"/>
              <w:szCs w:val="24"/>
            </w:rPr>
            <w:t>13.</w:t>
          </w:r>
          <w:r>
            <w:rPr>
              <w:rFonts w:ascii="宋体" w:hAnsi="宋体" w:eastAsia="宋体" w:cs="宋体"/>
              <w:spacing w:val="-5"/>
              <w:sz w:val="24"/>
              <w:szCs w:val="24"/>
            </w:rPr>
            <w:t>计日工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442</w:t>
          </w:r>
          <w:r>
            <w:rPr>
              <w:rFonts w:ascii="Times New Roman" w:hAnsi="Times New Roman" w:eastAsia="Times New Roman" w:cs="Times New Roman"/>
              <w:spacing w:val="-2"/>
              <w:sz w:val="24"/>
              <w:szCs w:val="24"/>
            </w:rPr>
            <w:fldChar w:fldCharType="end"/>
          </w:r>
        </w:p>
        <w:p w14:paraId="479D82BA">
          <w:pPr>
            <w:tabs>
              <w:tab w:val="right" w:leader="dot" w:pos="8320"/>
            </w:tabs>
            <w:spacing w:before="135" w:line="185" w:lineRule="auto"/>
            <w:ind w:left="882"/>
            <w:rPr>
              <w:rFonts w:ascii="Times New Roman" w:hAnsi="Times New Roman" w:eastAsia="Times New Roman" w:cs="Times New Roman"/>
              <w:sz w:val="24"/>
              <w:szCs w:val="24"/>
            </w:rPr>
          </w:pPr>
          <w:r>
            <w:fldChar w:fldCharType="begin"/>
          </w:r>
          <w:r>
            <w:instrText xml:space="preserve"> HYPERLINK \l "bookmark380" </w:instrText>
          </w:r>
          <w:r>
            <w:fldChar w:fldCharType="separate"/>
          </w:r>
          <w:r>
            <w:rPr>
              <w:rFonts w:ascii="Times New Roman" w:hAnsi="Times New Roman" w:eastAsia="Times New Roman" w:cs="Times New Roman"/>
              <w:spacing w:val="-4"/>
              <w:sz w:val="24"/>
              <w:szCs w:val="24"/>
            </w:rPr>
            <w:t>14.</w:t>
          </w:r>
          <w:r>
            <w:rPr>
              <w:rFonts w:ascii="宋体" w:hAnsi="宋体" w:eastAsia="宋体" w:cs="宋体"/>
              <w:spacing w:val="-4"/>
              <w:sz w:val="24"/>
              <w:szCs w:val="24"/>
            </w:rPr>
            <w:t>计量与支付</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443</w:t>
          </w:r>
          <w:r>
            <w:rPr>
              <w:rFonts w:ascii="Times New Roman" w:hAnsi="Times New Roman" w:eastAsia="Times New Roman" w:cs="Times New Roman"/>
              <w:spacing w:val="-2"/>
              <w:sz w:val="24"/>
              <w:szCs w:val="24"/>
            </w:rPr>
            <w:fldChar w:fldCharType="end"/>
          </w:r>
        </w:p>
        <w:p w14:paraId="6A68C4BD">
          <w:pPr>
            <w:tabs>
              <w:tab w:val="right" w:leader="dot" w:pos="8320"/>
            </w:tabs>
            <w:spacing w:before="136" w:line="184" w:lineRule="auto"/>
            <w:ind w:left="882"/>
            <w:rPr>
              <w:rFonts w:ascii="Times New Roman" w:hAnsi="Times New Roman" w:eastAsia="Times New Roman" w:cs="Times New Roman"/>
              <w:sz w:val="24"/>
              <w:szCs w:val="24"/>
            </w:rPr>
          </w:pPr>
          <w:r>
            <w:fldChar w:fldCharType="begin"/>
          </w:r>
          <w:r>
            <w:instrText xml:space="preserve"> HYPERLINK \l "bookmark381" </w:instrText>
          </w:r>
          <w:r>
            <w:fldChar w:fldCharType="separate"/>
          </w:r>
          <w:r>
            <w:rPr>
              <w:rFonts w:ascii="Times New Roman" w:hAnsi="Times New Roman" w:eastAsia="Times New Roman" w:cs="Times New Roman"/>
              <w:spacing w:val="-3"/>
              <w:sz w:val="24"/>
              <w:szCs w:val="24"/>
            </w:rPr>
            <w:t>15.</w:t>
          </w:r>
          <w:r>
            <w:rPr>
              <w:rFonts w:ascii="宋体" w:hAnsi="宋体" w:eastAsia="宋体" w:cs="宋体"/>
              <w:spacing w:val="-3"/>
              <w:sz w:val="24"/>
              <w:szCs w:val="24"/>
            </w:rPr>
            <w:t>竣工验收和工程移交</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445</w:t>
          </w:r>
          <w:r>
            <w:rPr>
              <w:rFonts w:ascii="Times New Roman" w:hAnsi="Times New Roman" w:eastAsia="Times New Roman" w:cs="Times New Roman"/>
              <w:spacing w:val="-2"/>
              <w:sz w:val="24"/>
              <w:szCs w:val="24"/>
            </w:rPr>
            <w:fldChar w:fldCharType="end"/>
          </w:r>
        </w:p>
        <w:p w14:paraId="27ABAB73">
          <w:pPr>
            <w:tabs>
              <w:tab w:val="right" w:leader="dot" w:pos="8320"/>
            </w:tabs>
            <w:spacing w:before="133" w:line="185" w:lineRule="auto"/>
            <w:ind w:left="882"/>
            <w:rPr>
              <w:rFonts w:ascii="Times New Roman" w:hAnsi="Times New Roman" w:eastAsia="Times New Roman" w:cs="Times New Roman"/>
              <w:sz w:val="24"/>
              <w:szCs w:val="24"/>
            </w:rPr>
          </w:pPr>
          <w:r>
            <w:fldChar w:fldCharType="begin"/>
          </w:r>
          <w:r>
            <w:instrText xml:space="preserve"> HYPERLINK \l "bookmark382" </w:instrText>
          </w:r>
          <w:r>
            <w:fldChar w:fldCharType="separate"/>
          </w:r>
          <w:r>
            <w:rPr>
              <w:rFonts w:ascii="Times New Roman" w:hAnsi="Times New Roman" w:eastAsia="Times New Roman" w:cs="Times New Roman"/>
              <w:spacing w:val="-5"/>
              <w:sz w:val="24"/>
              <w:szCs w:val="24"/>
            </w:rPr>
            <w:t>16.</w:t>
          </w:r>
          <w:r>
            <w:rPr>
              <w:rFonts w:ascii="宋体" w:hAnsi="宋体" w:eastAsia="宋体" w:cs="宋体"/>
              <w:spacing w:val="-5"/>
              <w:sz w:val="24"/>
              <w:szCs w:val="24"/>
            </w:rPr>
            <w:t>其他要求</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446</w:t>
          </w:r>
          <w:r>
            <w:rPr>
              <w:rFonts w:ascii="Times New Roman" w:hAnsi="Times New Roman" w:eastAsia="Times New Roman" w:cs="Times New Roman"/>
              <w:spacing w:val="-2"/>
              <w:sz w:val="24"/>
              <w:szCs w:val="24"/>
            </w:rPr>
            <w:fldChar w:fldCharType="end"/>
          </w:r>
        </w:p>
        <w:p w14:paraId="352590F4">
          <w:pPr>
            <w:tabs>
              <w:tab w:val="right" w:leader="dot" w:pos="8320"/>
            </w:tabs>
            <w:spacing w:before="136" w:line="184" w:lineRule="auto"/>
            <w:ind w:left="443"/>
            <w:rPr>
              <w:rFonts w:ascii="Times New Roman" w:hAnsi="Times New Roman" w:eastAsia="Times New Roman" w:cs="Times New Roman"/>
              <w:sz w:val="24"/>
              <w:szCs w:val="24"/>
            </w:rPr>
          </w:pPr>
          <w:r>
            <w:fldChar w:fldCharType="begin"/>
          </w:r>
          <w:r>
            <w:instrText xml:space="preserve"> HYPERLINK \l "bookmark383" </w:instrText>
          </w:r>
          <w:r>
            <w:fldChar w:fldCharType="separate"/>
          </w:r>
          <w:r>
            <w:rPr>
              <w:rFonts w:ascii="宋体" w:hAnsi="宋体" w:eastAsia="宋体" w:cs="宋体"/>
              <w:spacing w:val="-1"/>
              <w:sz w:val="24"/>
              <w:szCs w:val="24"/>
            </w:rPr>
            <w:t>第二节 特殊技术标准和要求</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447</w:t>
          </w:r>
          <w:r>
            <w:rPr>
              <w:rFonts w:ascii="Times New Roman" w:hAnsi="Times New Roman" w:eastAsia="Times New Roman" w:cs="Times New Roman"/>
              <w:spacing w:val="-2"/>
              <w:sz w:val="24"/>
              <w:szCs w:val="24"/>
            </w:rPr>
            <w:fldChar w:fldCharType="end"/>
          </w:r>
        </w:p>
        <w:p w14:paraId="71DD55A0">
          <w:pPr>
            <w:tabs>
              <w:tab w:val="right" w:leader="dot" w:pos="8320"/>
            </w:tabs>
            <w:spacing w:before="133" w:line="184" w:lineRule="auto"/>
            <w:ind w:left="882"/>
            <w:rPr>
              <w:rFonts w:ascii="Times New Roman" w:hAnsi="Times New Roman" w:eastAsia="Times New Roman" w:cs="Times New Roman"/>
              <w:sz w:val="24"/>
              <w:szCs w:val="24"/>
            </w:rPr>
          </w:pPr>
          <w:r>
            <w:fldChar w:fldCharType="begin"/>
          </w:r>
          <w:r>
            <w:instrText xml:space="preserve"> HYPERLINK \l "bookmark384" </w:instrText>
          </w:r>
          <w:r>
            <w:fldChar w:fldCharType="separate"/>
          </w:r>
          <w:r>
            <w:rPr>
              <w:rFonts w:ascii="Times New Roman" w:hAnsi="Times New Roman" w:eastAsia="Times New Roman" w:cs="Times New Roman"/>
              <w:spacing w:val="-3"/>
              <w:sz w:val="24"/>
              <w:szCs w:val="24"/>
            </w:rPr>
            <w:t>1.</w:t>
          </w:r>
          <w:r>
            <w:rPr>
              <w:rFonts w:ascii="宋体" w:hAnsi="宋体" w:eastAsia="宋体" w:cs="宋体"/>
              <w:spacing w:val="-3"/>
              <w:sz w:val="24"/>
              <w:szCs w:val="24"/>
            </w:rPr>
            <w:t>材料和工程设备技术要求</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447</w:t>
          </w:r>
          <w:r>
            <w:rPr>
              <w:rFonts w:ascii="Times New Roman" w:hAnsi="Times New Roman" w:eastAsia="Times New Roman" w:cs="Times New Roman"/>
              <w:spacing w:val="-2"/>
              <w:sz w:val="24"/>
              <w:szCs w:val="24"/>
            </w:rPr>
            <w:fldChar w:fldCharType="end"/>
          </w:r>
        </w:p>
        <w:p w14:paraId="552C2E51">
          <w:pPr>
            <w:tabs>
              <w:tab w:val="right" w:leader="dot" w:pos="8320"/>
            </w:tabs>
            <w:spacing w:before="135" w:line="185" w:lineRule="auto"/>
            <w:ind w:left="859"/>
            <w:rPr>
              <w:rFonts w:ascii="Times New Roman" w:hAnsi="Times New Roman" w:eastAsia="Times New Roman" w:cs="Times New Roman"/>
              <w:sz w:val="24"/>
              <w:szCs w:val="24"/>
            </w:rPr>
          </w:pPr>
          <w:r>
            <w:fldChar w:fldCharType="begin"/>
          </w:r>
          <w:r>
            <w:instrText xml:space="preserve"> HYPERLINK \l "bookmark385" </w:instrText>
          </w:r>
          <w:r>
            <w:fldChar w:fldCharType="separate"/>
          </w:r>
          <w:r>
            <w:rPr>
              <w:rFonts w:ascii="Times New Roman" w:hAnsi="Times New Roman" w:eastAsia="Times New Roman" w:cs="Times New Roman"/>
              <w:spacing w:val="-1"/>
              <w:sz w:val="24"/>
              <w:szCs w:val="24"/>
            </w:rPr>
            <w:t>2.</w:t>
          </w:r>
          <w:r>
            <w:rPr>
              <w:rFonts w:ascii="宋体" w:hAnsi="宋体" w:eastAsia="宋体" w:cs="宋体"/>
              <w:spacing w:val="-1"/>
              <w:sz w:val="24"/>
              <w:szCs w:val="24"/>
            </w:rPr>
            <w:t>特殊技术要求</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447</w:t>
          </w:r>
          <w:r>
            <w:rPr>
              <w:rFonts w:ascii="Times New Roman" w:hAnsi="Times New Roman" w:eastAsia="Times New Roman" w:cs="Times New Roman"/>
              <w:spacing w:val="-2"/>
              <w:sz w:val="24"/>
              <w:szCs w:val="24"/>
            </w:rPr>
            <w:fldChar w:fldCharType="end"/>
          </w:r>
        </w:p>
        <w:p w14:paraId="7C765132">
          <w:pPr>
            <w:tabs>
              <w:tab w:val="right" w:leader="dot" w:pos="8320"/>
            </w:tabs>
            <w:spacing w:before="137" w:line="184" w:lineRule="auto"/>
            <w:ind w:left="863"/>
            <w:rPr>
              <w:rFonts w:ascii="Times New Roman" w:hAnsi="Times New Roman" w:eastAsia="Times New Roman" w:cs="Times New Roman"/>
              <w:sz w:val="24"/>
              <w:szCs w:val="24"/>
            </w:rPr>
          </w:pPr>
          <w:r>
            <w:fldChar w:fldCharType="begin"/>
          </w:r>
          <w:r>
            <w:instrText xml:space="preserve"> HYPERLINK \l "bookmark386" </w:instrText>
          </w:r>
          <w:r>
            <w:fldChar w:fldCharType="separate"/>
          </w:r>
          <w:r>
            <w:rPr>
              <w:rFonts w:ascii="Times New Roman" w:hAnsi="Times New Roman" w:eastAsia="Times New Roman" w:cs="Times New Roman"/>
              <w:spacing w:val="-1"/>
              <w:sz w:val="24"/>
              <w:szCs w:val="24"/>
            </w:rPr>
            <w:t>3.</w:t>
          </w:r>
          <w:r>
            <w:rPr>
              <w:rFonts w:ascii="宋体" w:hAnsi="宋体" w:eastAsia="宋体" w:cs="宋体"/>
              <w:spacing w:val="-1"/>
              <w:sz w:val="24"/>
              <w:szCs w:val="24"/>
            </w:rPr>
            <w:t>新技术、新工艺和新材料</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448</w:t>
          </w:r>
          <w:r>
            <w:rPr>
              <w:rFonts w:ascii="Times New Roman" w:hAnsi="Times New Roman" w:eastAsia="Times New Roman" w:cs="Times New Roman"/>
              <w:spacing w:val="-2"/>
              <w:sz w:val="24"/>
              <w:szCs w:val="24"/>
            </w:rPr>
            <w:fldChar w:fldCharType="end"/>
          </w:r>
        </w:p>
        <w:p w14:paraId="237ECA50">
          <w:pPr>
            <w:tabs>
              <w:tab w:val="right" w:leader="dot" w:pos="8320"/>
            </w:tabs>
            <w:spacing w:before="132" w:line="185" w:lineRule="auto"/>
            <w:ind w:left="857"/>
            <w:rPr>
              <w:rFonts w:ascii="Times New Roman" w:hAnsi="Times New Roman" w:eastAsia="Times New Roman" w:cs="Times New Roman"/>
              <w:sz w:val="24"/>
              <w:szCs w:val="24"/>
            </w:rPr>
          </w:pPr>
          <w:r>
            <w:fldChar w:fldCharType="begin"/>
          </w:r>
          <w:r>
            <w:instrText xml:space="preserve"> HYPERLINK \l "bookmark387" </w:instrText>
          </w:r>
          <w:r>
            <w:fldChar w:fldCharType="separate"/>
          </w:r>
          <w:r>
            <w:rPr>
              <w:rFonts w:ascii="Times New Roman" w:hAnsi="Times New Roman" w:eastAsia="Times New Roman" w:cs="Times New Roman"/>
              <w:spacing w:val="-1"/>
              <w:sz w:val="24"/>
              <w:szCs w:val="24"/>
            </w:rPr>
            <w:t>4.</w:t>
          </w:r>
          <w:r>
            <w:rPr>
              <w:rFonts w:ascii="宋体" w:hAnsi="宋体" w:eastAsia="宋体" w:cs="宋体"/>
              <w:spacing w:val="-1"/>
              <w:sz w:val="24"/>
              <w:szCs w:val="24"/>
            </w:rPr>
            <w:t>其他特殊技术标准和要求</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448</w:t>
          </w:r>
          <w:r>
            <w:rPr>
              <w:rFonts w:ascii="Times New Roman" w:hAnsi="Times New Roman" w:eastAsia="Times New Roman" w:cs="Times New Roman"/>
              <w:spacing w:val="-2"/>
              <w:sz w:val="24"/>
              <w:szCs w:val="24"/>
            </w:rPr>
            <w:fldChar w:fldCharType="end"/>
          </w:r>
        </w:p>
        <w:p w14:paraId="02543778">
          <w:pPr>
            <w:tabs>
              <w:tab w:val="right" w:leader="dot" w:pos="8320"/>
            </w:tabs>
            <w:spacing w:before="137" w:line="184" w:lineRule="auto"/>
            <w:ind w:left="443"/>
            <w:rPr>
              <w:rFonts w:ascii="Times New Roman" w:hAnsi="Times New Roman" w:eastAsia="Times New Roman" w:cs="Times New Roman"/>
              <w:sz w:val="24"/>
              <w:szCs w:val="24"/>
            </w:rPr>
          </w:pPr>
          <w:r>
            <w:fldChar w:fldCharType="begin"/>
          </w:r>
          <w:r>
            <w:instrText xml:space="preserve"> HYPERLINK \l "bookmark388" </w:instrText>
          </w:r>
          <w:r>
            <w:fldChar w:fldCharType="separate"/>
          </w:r>
          <w:r>
            <w:rPr>
              <w:rFonts w:ascii="宋体" w:hAnsi="宋体" w:eastAsia="宋体" w:cs="宋体"/>
              <w:spacing w:val="-1"/>
              <w:sz w:val="24"/>
              <w:szCs w:val="24"/>
            </w:rPr>
            <w:t>第三节 适用的国家、行业以及地方规范、标准和规程</w:t>
          </w:r>
          <w:r>
            <w:rPr>
              <w:rFonts w:ascii="宋体" w:hAnsi="宋体" w:eastAsia="宋体" w:cs="宋体"/>
              <w:spacing w:val="-61"/>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449</w:t>
          </w:r>
          <w:r>
            <w:rPr>
              <w:rFonts w:ascii="Times New Roman" w:hAnsi="Times New Roman" w:eastAsia="Times New Roman" w:cs="Times New Roman"/>
              <w:spacing w:val="-2"/>
              <w:sz w:val="24"/>
              <w:szCs w:val="24"/>
            </w:rPr>
            <w:fldChar w:fldCharType="end"/>
          </w:r>
        </w:p>
        <w:p w14:paraId="59D5C67D">
          <w:pPr>
            <w:pStyle w:val="2"/>
            <w:tabs>
              <w:tab w:val="right" w:leader="dot" w:pos="8320"/>
            </w:tabs>
            <w:spacing w:before="133" w:line="187" w:lineRule="auto"/>
            <w:ind w:left="23"/>
            <w:rPr>
              <w:rFonts w:ascii="Times New Roman" w:hAnsi="Times New Roman" w:eastAsia="Times New Roman" w:cs="Times New Roman"/>
              <w:sz w:val="24"/>
              <w:szCs w:val="24"/>
            </w:rPr>
          </w:pPr>
          <w:r>
            <w:fldChar w:fldCharType="begin"/>
          </w:r>
          <w:r>
            <w:instrText xml:space="preserve"> HYPERLINK \l "bookmark389" </w:instrText>
          </w:r>
          <w:r>
            <w:fldChar w:fldCharType="separate"/>
          </w:r>
          <w:r>
            <w:rPr>
              <w:spacing w:val="-4"/>
              <w:sz w:val="24"/>
              <w:szCs w:val="24"/>
            </w:rPr>
            <w:t>第四卷</w:t>
          </w:r>
          <w:r>
            <w:rPr>
              <w:spacing w:val="-73"/>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451</w:t>
          </w:r>
          <w:r>
            <w:rPr>
              <w:rFonts w:ascii="Times New Roman" w:hAnsi="Times New Roman" w:eastAsia="Times New Roman" w:cs="Times New Roman"/>
              <w:spacing w:val="-2"/>
              <w:sz w:val="24"/>
              <w:szCs w:val="24"/>
            </w:rPr>
            <w:fldChar w:fldCharType="end"/>
          </w:r>
        </w:p>
        <w:p w14:paraId="20E95DD9">
          <w:pPr>
            <w:pStyle w:val="2"/>
            <w:tabs>
              <w:tab w:val="right" w:leader="dot" w:pos="8320"/>
            </w:tabs>
            <w:spacing w:before="130" w:line="188" w:lineRule="auto"/>
            <w:ind w:left="23"/>
            <w:rPr>
              <w:rFonts w:ascii="Times New Roman" w:hAnsi="Times New Roman" w:eastAsia="Times New Roman" w:cs="Times New Roman"/>
              <w:sz w:val="24"/>
              <w:szCs w:val="24"/>
            </w:rPr>
          </w:pPr>
          <w:r>
            <w:fldChar w:fldCharType="begin"/>
          </w:r>
          <w:r>
            <w:instrText xml:space="preserve"> HYPERLINK \l "bookmark390" </w:instrText>
          </w:r>
          <w:r>
            <w:fldChar w:fldCharType="separate"/>
          </w:r>
          <w:r>
            <w:rPr>
              <w:spacing w:val="-1"/>
              <w:sz w:val="24"/>
              <w:szCs w:val="24"/>
            </w:rPr>
            <w:t>第八章  投标文件格式</w:t>
          </w:r>
          <w:r>
            <w:rPr>
              <w:spacing w:val="-74"/>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452</w:t>
          </w:r>
          <w:r>
            <w:rPr>
              <w:rFonts w:ascii="Times New Roman" w:hAnsi="Times New Roman" w:eastAsia="Times New Roman" w:cs="Times New Roman"/>
              <w:spacing w:val="-2"/>
              <w:sz w:val="24"/>
              <w:szCs w:val="24"/>
            </w:rPr>
            <w:fldChar w:fldCharType="end"/>
          </w:r>
        </w:p>
        <w:p w14:paraId="28687D88">
          <w:pPr>
            <w:tabs>
              <w:tab w:val="right" w:leader="dot" w:pos="8320"/>
            </w:tabs>
            <w:spacing w:before="133" w:line="184" w:lineRule="auto"/>
            <w:ind w:left="489"/>
            <w:rPr>
              <w:rFonts w:ascii="Times New Roman" w:hAnsi="Times New Roman" w:eastAsia="Times New Roman" w:cs="Times New Roman"/>
              <w:sz w:val="24"/>
              <w:szCs w:val="24"/>
            </w:rPr>
          </w:pPr>
          <w:r>
            <w:fldChar w:fldCharType="begin"/>
          </w:r>
          <w:r>
            <w:instrText xml:space="preserve"> HYPERLINK \l "bookmark391" </w:instrText>
          </w:r>
          <w:r>
            <w:fldChar w:fldCharType="separate"/>
          </w:r>
          <w:r>
            <w:rPr>
              <w:rFonts w:ascii="宋体" w:hAnsi="宋体" w:eastAsia="宋体" w:cs="宋体"/>
              <w:spacing w:val="-33"/>
              <w:sz w:val="24"/>
              <w:szCs w:val="24"/>
            </w:rPr>
            <w:t>目</w:t>
          </w:r>
          <w:r>
            <w:rPr>
              <w:rFonts w:ascii="宋体" w:hAnsi="宋体" w:eastAsia="宋体" w:cs="宋体"/>
              <w:spacing w:val="2"/>
              <w:sz w:val="24"/>
              <w:szCs w:val="24"/>
            </w:rPr>
            <w:t xml:space="preserve">    </w:t>
          </w:r>
          <w:r>
            <w:rPr>
              <w:rFonts w:ascii="宋体" w:hAnsi="宋体" w:eastAsia="宋体" w:cs="宋体"/>
              <w:spacing w:val="-33"/>
              <w:sz w:val="24"/>
              <w:szCs w:val="24"/>
            </w:rPr>
            <w:t>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454</w:t>
          </w:r>
          <w:r>
            <w:rPr>
              <w:rFonts w:ascii="Times New Roman" w:hAnsi="Times New Roman" w:eastAsia="Times New Roman" w:cs="Times New Roman"/>
              <w:spacing w:val="-2"/>
              <w:sz w:val="24"/>
              <w:szCs w:val="24"/>
            </w:rPr>
            <w:fldChar w:fldCharType="end"/>
          </w:r>
        </w:p>
        <w:p w14:paraId="5C886DDD">
          <w:pPr>
            <w:tabs>
              <w:tab w:val="right" w:leader="dot" w:pos="8320"/>
            </w:tabs>
            <w:spacing w:before="133" w:line="185" w:lineRule="auto"/>
            <w:ind w:left="447"/>
            <w:rPr>
              <w:rFonts w:ascii="Times New Roman" w:hAnsi="Times New Roman" w:eastAsia="Times New Roman" w:cs="Times New Roman"/>
              <w:sz w:val="24"/>
              <w:szCs w:val="24"/>
            </w:rPr>
          </w:pPr>
          <w:r>
            <w:fldChar w:fldCharType="begin"/>
          </w:r>
          <w:r>
            <w:instrText xml:space="preserve"> HYPERLINK \l "bookmark392" </w:instrText>
          </w:r>
          <w:r>
            <w:fldChar w:fldCharType="separate"/>
          </w:r>
          <w:r>
            <w:rPr>
              <w:rFonts w:ascii="宋体" w:hAnsi="宋体" w:eastAsia="宋体" w:cs="宋体"/>
              <w:spacing w:val="-2"/>
              <w:sz w:val="24"/>
              <w:szCs w:val="24"/>
            </w:rPr>
            <w:t>一、投标函及投标函附录</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455</w:t>
          </w:r>
          <w:r>
            <w:rPr>
              <w:rFonts w:ascii="Times New Roman" w:hAnsi="Times New Roman" w:eastAsia="Times New Roman" w:cs="Times New Roman"/>
              <w:spacing w:val="-2"/>
              <w:sz w:val="24"/>
              <w:szCs w:val="24"/>
            </w:rPr>
            <w:fldChar w:fldCharType="end"/>
          </w:r>
        </w:p>
        <w:p w14:paraId="1C46E940">
          <w:pPr>
            <w:tabs>
              <w:tab w:val="right" w:leader="dot" w:pos="8320"/>
            </w:tabs>
            <w:spacing w:before="136" w:line="184" w:lineRule="auto"/>
            <w:ind w:left="874"/>
            <w:rPr>
              <w:rFonts w:ascii="Times New Roman" w:hAnsi="Times New Roman" w:eastAsia="Times New Roman" w:cs="Times New Roman"/>
              <w:sz w:val="24"/>
              <w:szCs w:val="24"/>
            </w:rPr>
          </w:pPr>
          <w:r>
            <w:fldChar w:fldCharType="begin"/>
          </w:r>
          <w:r>
            <w:instrText xml:space="preserve"> HYPERLINK \l "bookmark393" </w:instrText>
          </w:r>
          <w:r>
            <w:fldChar w:fldCharType="separate"/>
          </w:r>
          <w:r>
            <w:rPr>
              <w:rFonts w:ascii="宋体" w:hAnsi="宋体" w:eastAsia="宋体" w:cs="宋体"/>
              <w:spacing w:val="-4"/>
              <w:sz w:val="24"/>
              <w:szCs w:val="24"/>
            </w:rPr>
            <w:t>（一）投标函</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455</w:t>
          </w:r>
          <w:r>
            <w:rPr>
              <w:rFonts w:ascii="Times New Roman" w:hAnsi="Times New Roman" w:eastAsia="Times New Roman" w:cs="Times New Roman"/>
              <w:spacing w:val="-2"/>
              <w:sz w:val="24"/>
              <w:szCs w:val="24"/>
            </w:rPr>
            <w:fldChar w:fldCharType="end"/>
          </w:r>
        </w:p>
        <w:p w14:paraId="02BA5435">
          <w:pPr>
            <w:tabs>
              <w:tab w:val="right" w:leader="dot" w:pos="8320"/>
            </w:tabs>
            <w:spacing w:before="133" w:line="185" w:lineRule="auto"/>
            <w:ind w:left="874"/>
            <w:rPr>
              <w:rFonts w:ascii="Times New Roman" w:hAnsi="Times New Roman" w:eastAsia="Times New Roman" w:cs="Times New Roman"/>
              <w:sz w:val="24"/>
              <w:szCs w:val="24"/>
            </w:rPr>
          </w:pPr>
          <w:r>
            <w:fldChar w:fldCharType="begin"/>
          </w:r>
          <w:r>
            <w:instrText xml:space="preserve"> HYPERLINK \l "bookmark394" </w:instrText>
          </w:r>
          <w:r>
            <w:fldChar w:fldCharType="separate"/>
          </w:r>
          <w:r>
            <w:rPr>
              <w:rFonts w:ascii="宋体" w:hAnsi="宋体" w:eastAsia="宋体" w:cs="宋体"/>
              <w:spacing w:val="-3"/>
              <w:sz w:val="24"/>
              <w:szCs w:val="24"/>
            </w:rPr>
            <w:t>（二）投标函附录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456</w:t>
          </w:r>
          <w:r>
            <w:rPr>
              <w:rFonts w:ascii="Times New Roman" w:hAnsi="Times New Roman" w:eastAsia="Times New Roman" w:cs="Times New Roman"/>
              <w:spacing w:val="-2"/>
              <w:sz w:val="24"/>
              <w:szCs w:val="24"/>
            </w:rPr>
            <w:fldChar w:fldCharType="end"/>
          </w:r>
        </w:p>
        <w:p w14:paraId="4279FCE6">
          <w:pPr>
            <w:tabs>
              <w:tab w:val="right" w:leader="dot" w:pos="8320"/>
            </w:tabs>
            <w:spacing w:before="136" w:line="184" w:lineRule="auto"/>
            <w:ind w:left="874"/>
            <w:rPr>
              <w:rFonts w:ascii="Times New Roman" w:hAnsi="Times New Roman" w:eastAsia="Times New Roman" w:cs="Times New Roman"/>
              <w:sz w:val="24"/>
              <w:szCs w:val="24"/>
            </w:rPr>
          </w:pPr>
          <w:r>
            <w:fldChar w:fldCharType="begin"/>
          </w:r>
          <w:r>
            <w:instrText xml:space="preserve"> HYPERLINK \l "bookmark395" </w:instrText>
          </w:r>
          <w:r>
            <w:fldChar w:fldCharType="separate"/>
          </w:r>
          <w:r>
            <w:rPr>
              <w:rFonts w:ascii="宋体" w:hAnsi="宋体" w:eastAsia="宋体" w:cs="宋体"/>
              <w:spacing w:val="-3"/>
              <w:sz w:val="24"/>
              <w:szCs w:val="24"/>
            </w:rPr>
            <w:t>（二）投标函附录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457</w:t>
          </w:r>
          <w:r>
            <w:rPr>
              <w:rFonts w:ascii="Times New Roman" w:hAnsi="Times New Roman" w:eastAsia="Times New Roman" w:cs="Times New Roman"/>
              <w:spacing w:val="-2"/>
              <w:sz w:val="24"/>
              <w:szCs w:val="24"/>
            </w:rPr>
            <w:fldChar w:fldCharType="end"/>
          </w:r>
        </w:p>
        <w:p w14:paraId="7B02E115">
          <w:pPr>
            <w:tabs>
              <w:tab w:val="right" w:leader="dot" w:pos="8320"/>
            </w:tabs>
            <w:spacing w:before="136" w:line="184" w:lineRule="auto"/>
            <w:ind w:left="447"/>
            <w:rPr>
              <w:rFonts w:ascii="Times New Roman" w:hAnsi="Times New Roman" w:eastAsia="Times New Roman" w:cs="Times New Roman"/>
              <w:sz w:val="24"/>
              <w:szCs w:val="24"/>
            </w:rPr>
          </w:pPr>
          <w:r>
            <w:fldChar w:fldCharType="begin"/>
          </w:r>
          <w:r>
            <w:instrText xml:space="preserve"> HYPERLINK \l "bookmark396" </w:instrText>
          </w:r>
          <w:r>
            <w:fldChar w:fldCharType="separate"/>
          </w:r>
          <w:r>
            <w:rPr>
              <w:rFonts w:ascii="宋体" w:hAnsi="宋体" w:eastAsia="宋体" w:cs="宋体"/>
              <w:spacing w:val="-2"/>
              <w:sz w:val="24"/>
              <w:szCs w:val="24"/>
            </w:rPr>
            <w:t>二、法定代表人身份证明</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459</w:t>
          </w:r>
          <w:r>
            <w:rPr>
              <w:rFonts w:ascii="Times New Roman" w:hAnsi="Times New Roman" w:eastAsia="Times New Roman" w:cs="Times New Roman"/>
              <w:spacing w:val="-2"/>
              <w:sz w:val="24"/>
              <w:szCs w:val="24"/>
            </w:rPr>
            <w:fldChar w:fldCharType="end"/>
          </w:r>
        </w:p>
        <w:p w14:paraId="14D27893">
          <w:pPr>
            <w:tabs>
              <w:tab w:val="right" w:leader="dot" w:pos="8320"/>
            </w:tabs>
            <w:spacing w:before="132" w:line="185" w:lineRule="auto"/>
            <w:ind w:left="443"/>
            <w:rPr>
              <w:rFonts w:ascii="Times New Roman" w:hAnsi="Times New Roman" w:eastAsia="Times New Roman" w:cs="Times New Roman"/>
              <w:sz w:val="24"/>
              <w:szCs w:val="24"/>
            </w:rPr>
          </w:pPr>
          <w:r>
            <w:fldChar w:fldCharType="begin"/>
          </w:r>
          <w:r>
            <w:instrText xml:space="preserve"> HYPERLINK \l "bookmark397" </w:instrText>
          </w:r>
          <w:r>
            <w:fldChar w:fldCharType="separate"/>
          </w:r>
          <w:r>
            <w:rPr>
              <w:rFonts w:ascii="宋体" w:hAnsi="宋体" w:eastAsia="宋体" w:cs="宋体"/>
              <w:spacing w:val="-2"/>
              <w:sz w:val="24"/>
              <w:szCs w:val="24"/>
            </w:rPr>
            <w:t>三、投标保证金</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460</w:t>
          </w:r>
          <w:r>
            <w:rPr>
              <w:rFonts w:ascii="Times New Roman" w:hAnsi="Times New Roman" w:eastAsia="Times New Roman" w:cs="Times New Roman"/>
              <w:spacing w:val="-2"/>
              <w:sz w:val="24"/>
              <w:szCs w:val="24"/>
            </w:rPr>
            <w:fldChar w:fldCharType="end"/>
          </w:r>
        </w:p>
        <w:p w14:paraId="4F98934B">
          <w:pPr>
            <w:tabs>
              <w:tab w:val="right" w:leader="dot" w:pos="8320"/>
            </w:tabs>
            <w:spacing w:before="137" w:line="184" w:lineRule="auto"/>
            <w:ind w:left="466"/>
            <w:rPr>
              <w:rFonts w:ascii="Times New Roman" w:hAnsi="Times New Roman" w:eastAsia="Times New Roman" w:cs="Times New Roman"/>
              <w:sz w:val="24"/>
              <w:szCs w:val="24"/>
            </w:rPr>
          </w:pPr>
          <w:r>
            <w:fldChar w:fldCharType="begin"/>
          </w:r>
          <w:r>
            <w:instrText xml:space="preserve"> HYPERLINK \l "bookmark398" </w:instrText>
          </w:r>
          <w:r>
            <w:fldChar w:fldCharType="separate"/>
          </w:r>
          <w:r>
            <w:rPr>
              <w:rFonts w:ascii="宋体" w:hAnsi="宋体" w:eastAsia="宋体" w:cs="宋体"/>
              <w:spacing w:val="-4"/>
              <w:sz w:val="24"/>
              <w:szCs w:val="24"/>
            </w:rPr>
            <w:t>四、联合体协议书</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461</w:t>
          </w:r>
          <w:r>
            <w:rPr>
              <w:rFonts w:ascii="Times New Roman" w:hAnsi="Times New Roman" w:eastAsia="Times New Roman" w:cs="Times New Roman"/>
              <w:spacing w:val="-2"/>
              <w:sz w:val="24"/>
              <w:szCs w:val="24"/>
            </w:rPr>
            <w:fldChar w:fldCharType="end"/>
          </w:r>
        </w:p>
        <w:p w14:paraId="652138F7">
          <w:pPr>
            <w:tabs>
              <w:tab w:val="right" w:leader="dot" w:pos="8320"/>
            </w:tabs>
            <w:spacing w:before="132" w:line="185" w:lineRule="auto"/>
            <w:ind w:left="447"/>
            <w:rPr>
              <w:rFonts w:ascii="Times New Roman" w:hAnsi="Times New Roman" w:eastAsia="Times New Roman" w:cs="Times New Roman"/>
              <w:sz w:val="24"/>
              <w:szCs w:val="24"/>
            </w:rPr>
          </w:pPr>
          <w:r>
            <w:fldChar w:fldCharType="begin"/>
          </w:r>
          <w:r>
            <w:instrText xml:space="preserve"> HYPERLINK \l "bookmark399" </w:instrText>
          </w:r>
          <w:r>
            <w:fldChar w:fldCharType="separate"/>
          </w:r>
          <w:r>
            <w:rPr>
              <w:rFonts w:ascii="宋体" w:hAnsi="宋体" w:eastAsia="宋体" w:cs="宋体"/>
              <w:spacing w:val="-1"/>
              <w:sz w:val="24"/>
              <w:szCs w:val="24"/>
            </w:rPr>
            <w:t>五、拟分包计划表（适用于非政府采购工程）</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463</w:t>
          </w:r>
          <w:r>
            <w:rPr>
              <w:rFonts w:ascii="Times New Roman" w:hAnsi="Times New Roman" w:eastAsia="Times New Roman" w:cs="Times New Roman"/>
              <w:spacing w:val="-2"/>
              <w:sz w:val="24"/>
              <w:szCs w:val="24"/>
            </w:rPr>
            <w:fldChar w:fldCharType="end"/>
          </w:r>
        </w:p>
        <w:p w14:paraId="3ECB71DD">
          <w:pPr>
            <w:tabs>
              <w:tab w:val="right" w:leader="dot" w:pos="8320"/>
            </w:tabs>
            <w:spacing w:before="137" w:line="184" w:lineRule="auto"/>
            <w:ind w:left="447"/>
            <w:rPr>
              <w:rFonts w:ascii="Times New Roman" w:hAnsi="Times New Roman" w:eastAsia="Times New Roman" w:cs="Times New Roman"/>
              <w:sz w:val="24"/>
              <w:szCs w:val="24"/>
            </w:rPr>
          </w:pPr>
          <w:r>
            <w:fldChar w:fldCharType="begin"/>
          </w:r>
          <w:r>
            <w:instrText xml:space="preserve"> HYPERLINK \l "bookmark400" </w:instrText>
          </w:r>
          <w:r>
            <w:fldChar w:fldCharType="separate"/>
          </w:r>
          <w:r>
            <w:rPr>
              <w:rFonts w:ascii="宋体" w:hAnsi="宋体" w:eastAsia="宋体" w:cs="宋体"/>
              <w:spacing w:val="-1"/>
              <w:sz w:val="24"/>
              <w:szCs w:val="24"/>
            </w:rPr>
            <w:t>五、分包意向协议书（适用于政府采购工程）</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464</w:t>
          </w:r>
          <w:r>
            <w:rPr>
              <w:rFonts w:ascii="Times New Roman" w:hAnsi="Times New Roman" w:eastAsia="Times New Roman" w:cs="Times New Roman"/>
              <w:spacing w:val="-2"/>
              <w:sz w:val="24"/>
              <w:szCs w:val="24"/>
            </w:rPr>
            <w:fldChar w:fldCharType="end"/>
          </w:r>
        </w:p>
        <w:p w14:paraId="7E8755C1">
          <w:pPr>
            <w:tabs>
              <w:tab w:val="right" w:leader="dot" w:pos="8320"/>
            </w:tabs>
            <w:spacing w:before="135" w:line="184" w:lineRule="auto"/>
            <w:ind w:left="445"/>
            <w:rPr>
              <w:rFonts w:ascii="Times New Roman" w:hAnsi="Times New Roman" w:eastAsia="Times New Roman" w:cs="Times New Roman"/>
              <w:sz w:val="24"/>
              <w:szCs w:val="24"/>
            </w:rPr>
          </w:pPr>
          <w:r>
            <w:fldChar w:fldCharType="begin"/>
          </w:r>
          <w:r>
            <w:instrText xml:space="preserve"> HYPERLINK \l "bookmark401" </w:instrText>
          </w:r>
          <w:r>
            <w:fldChar w:fldCharType="separate"/>
          </w:r>
          <w:r>
            <w:rPr>
              <w:rFonts w:ascii="宋体" w:hAnsi="宋体" w:eastAsia="宋体" w:cs="宋体"/>
              <w:spacing w:val="-1"/>
              <w:sz w:val="24"/>
              <w:szCs w:val="24"/>
            </w:rPr>
            <w:t>六、中小企业声明函（适用于政府采购工程）</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466</w:t>
          </w:r>
          <w:r>
            <w:rPr>
              <w:rFonts w:ascii="Times New Roman" w:hAnsi="Times New Roman" w:eastAsia="Times New Roman" w:cs="Times New Roman"/>
              <w:spacing w:val="-2"/>
              <w:sz w:val="24"/>
              <w:szCs w:val="24"/>
            </w:rPr>
            <w:fldChar w:fldCharType="end"/>
          </w:r>
        </w:p>
        <w:p w14:paraId="60BDC00A">
          <w:pPr>
            <w:tabs>
              <w:tab w:val="right" w:leader="dot" w:pos="8320"/>
            </w:tabs>
            <w:spacing w:before="133" w:line="185" w:lineRule="auto"/>
            <w:ind w:left="442"/>
            <w:rPr>
              <w:rFonts w:ascii="Times New Roman" w:hAnsi="Times New Roman" w:eastAsia="Times New Roman" w:cs="Times New Roman"/>
              <w:sz w:val="24"/>
              <w:szCs w:val="24"/>
            </w:rPr>
          </w:pPr>
          <w:r>
            <w:fldChar w:fldCharType="begin"/>
          </w:r>
          <w:r>
            <w:instrText xml:space="preserve"> HYPERLINK \l "bookmark402" </w:instrText>
          </w:r>
          <w:r>
            <w:fldChar w:fldCharType="separate"/>
          </w:r>
          <w:r>
            <w:rPr>
              <w:rFonts w:ascii="宋体" w:hAnsi="宋体" w:eastAsia="宋体" w:cs="宋体"/>
              <w:spacing w:val="-2"/>
              <w:sz w:val="24"/>
              <w:szCs w:val="24"/>
            </w:rPr>
            <w:t>七、项目管理机构</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467</w:t>
          </w:r>
          <w:r>
            <w:rPr>
              <w:rFonts w:ascii="Times New Roman" w:hAnsi="Times New Roman" w:eastAsia="Times New Roman" w:cs="Times New Roman"/>
              <w:spacing w:val="-2"/>
              <w:sz w:val="24"/>
              <w:szCs w:val="24"/>
            </w:rPr>
            <w:fldChar w:fldCharType="end"/>
          </w:r>
        </w:p>
        <w:p w14:paraId="7FA9F4C0">
          <w:pPr>
            <w:tabs>
              <w:tab w:val="right" w:leader="dot" w:pos="8320"/>
            </w:tabs>
            <w:spacing w:before="136" w:line="184" w:lineRule="auto"/>
            <w:ind w:left="874"/>
            <w:rPr>
              <w:rFonts w:ascii="Times New Roman" w:hAnsi="Times New Roman" w:eastAsia="Times New Roman" w:cs="Times New Roman"/>
              <w:sz w:val="24"/>
              <w:szCs w:val="24"/>
            </w:rPr>
          </w:pPr>
          <w:r>
            <w:fldChar w:fldCharType="begin"/>
          </w:r>
          <w:r>
            <w:instrText xml:space="preserve"> HYPERLINK \l "bookmark403" </w:instrText>
          </w:r>
          <w:r>
            <w:fldChar w:fldCharType="separate"/>
          </w:r>
          <w:r>
            <w:rPr>
              <w:rFonts w:ascii="宋体" w:hAnsi="宋体" w:eastAsia="宋体" w:cs="宋体"/>
              <w:spacing w:val="-2"/>
              <w:sz w:val="24"/>
              <w:szCs w:val="24"/>
            </w:rPr>
            <w:t>（一）项目管理机构主要人员表</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467</w:t>
          </w:r>
          <w:r>
            <w:rPr>
              <w:rFonts w:ascii="Times New Roman" w:hAnsi="Times New Roman" w:eastAsia="Times New Roman" w:cs="Times New Roman"/>
              <w:spacing w:val="-2"/>
              <w:sz w:val="24"/>
              <w:szCs w:val="24"/>
            </w:rPr>
            <w:fldChar w:fldCharType="end"/>
          </w:r>
        </w:p>
        <w:p w14:paraId="6ACD0357">
          <w:pPr>
            <w:tabs>
              <w:tab w:val="right" w:leader="dot" w:pos="8320"/>
            </w:tabs>
            <w:spacing w:before="133" w:line="185" w:lineRule="auto"/>
            <w:ind w:left="874"/>
            <w:rPr>
              <w:rFonts w:ascii="Times New Roman" w:hAnsi="Times New Roman" w:eastAsia="Times New Roman" w:cs="Times New Roman"/>
              <w:sz w:val="24"/>
              <w:szCs w:val="24"/>
            </w:rPr>
          </w:pPr>
          <w:r>
            <w:fldChar w:fldCharType="begin"/>
          </w:r>
          <w:r>
            <w:instrText xml:space="preserve"> HYPERLINK \l "bookmark404" </w:instrText>
          </w:r>
          <w:r>
            <w:fldChar w:fldCharType="separate"/>
          </w:r>
          <w:r>
            <w:rPr>
              <w:rFonts w:ascii="宋体" w:hAnsi="宋体" w:eastAsia="宋体" w:cs="宋体"/>
              <w:spacing w:val="-3"/>
              <w:sz w:val="24"/>
              <w:szCs w:val="24"/>
            </w:rPr>
            <w:t>（二）项目经理简历表</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468</w:t>
          </w:r>
          <w:r>
            <w:rPr>
              <w:rFonts w:ascii="Times New Roman" w:hAnsi="Times New Roman" w:eastAsia="Times New Roman" w:cs="Times New Roman"/>
              <w:spacing w:val="-2"/>
              <w:sz w:val="24"/>
              <w:szCs w:val="24"/>
            </w:rPr>
            <w:fldChar w:fldCharType="end"/>
          </w:r>
        </w:p>
        <w:p w14:paraId="385AF0A0">
          <w:pPr>
            <w:tabs>
              <w:tab w:val="right" w:leader="dot" w:pos="8320"/>
            </w:tabs>
            <w:spacing w:before="136" w:line="184" w:lineRule="auto"/>
            <w:ind w:left="874"/>
            <w:rPr>
              <w:rFonts w:ascii="Times New Roman" w:hAnsi="Times New Roman" w:eastAsia="Times New Roman" w:cs="Times New Roman"/>
              <w:sz w:val="24"/>
              <w:szCs w:val="24"/>
            </w:rPr>
          </w:pPr>
          <w:r>
            <w:fldChar w:fldCharType="begin"/>
          </w:r>
          <w:r>
            <w:instrText xml:space="preserve"> HYPERLINK \l "bookmark405" </w:instrText>
          </w:r>
          <w:r>
            <w:fldChar w:fldCharType="separate"/>
          </w:r>
          <w:r>
            <w:rPr>
              <w:rFonts w:ascii="宋体" w:hAnsi="宋体" w:eastAsia="宋体" w:cs="宋体"/>
              <w:spacing w:val="-4"/>
              <w:sz w:val="24"/>
              <w:szCs w:val="24"/>
            </w:rPr>
            <w:t>（三）承诺书</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469</w:t>
          </w:r>
          <w:r>
            <w:rPr>
              <w:rFonts w:ascii="Times New Roman" w:hAnsi="Times New Roman" w:eastAsia="Times New Roman" w:cs="Times New Roman"/>
              <w:spacing w:val="-2"/>
              <w:sz w:val="24"/>
              <w:szCs w:val="24"/>
            </w:rPr>
            <w:fldChar w:fldCharType="end"/>
          </w:r>
        </w:p>
        <w:p w14:paraId="2718052C">
          <w:pPr>
            <w:tabs>
              <w:tab w:val="right" w:leader="dot" w:pos="8320"/>
            </w:tabs>
            <w:spacing w:before="134" w:line="219" w:lineRule="auto"/>
            <w:ind w:left="874"/>
            <w:rPr>
              <w:rFonts w:ascii="Times New Roman" w:hAnsi="Times New Roman" w:eastAsia="Times New Roman" w:cs="Times New Roman"/>
              <w:sz w:val="24"/>
              <w:szCs w:val="24"/>
            </w:rPr>
          </w:pPr>
          <w:r>
            <w:fldChar w:fldCharType="begin"/>
          </w:r>
          <w:r>
            <w:instrText xml:space="preserve"> HYPERLINK \l "bookmark406" </w:instrText>
          </w:r>
          <w:r>
            <w:fldChar w:fldCharType="separate"/>
          </w:r>
          <w:r>
            <w:rPr>
              <w:rFonts w:ascii="宋体" w:hAnsi="宋体" w:eastAsia="宋体" w:cs="宋体"/>
              <w:spacing w:val="-2"/>
              <w:sz w:val="24"/>
              <w:szCs w:val="24"/>
            </w:rPr>
            <w:t>（四）其他主要项目管理人员简历表</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470</w:t>
          </w:r>
          <w:r>
            <w:rPr>
              <w:rFonts w:ascii="Times New Roman" w:hAnsi="Times New Roman" w:eastAsia="Times New Roman" w:cs="Times New Roman"/>
              <w:spacing w:val="-2"/>
              <w:sz w:val="24"/>
              <w:szCs w:val="24"/>
            </w:rPr>
            <w:fldChar w:fldCharType="end"/>
          </w:r>
        </w:p>
      </w:sdtContent>
    </w:sdt>
    <w:p w14:paraId="157C283C">
      <w:pPr>
        <w:spacing w:line="219" w:lineRule="auto"/>
        <w:rPr>
          <w:rFonts w:ascii="Times New Roman" w:hAnsi="Times New Roman" w:eastAsia="Times New Roman" w:cs="Times New Roman"/>
          <w:sz w:val="24"/>
          <w:szCs w:val="24"/>
        </w:rPr>
        <w:sectPr>
          <w:footerReference r:id="rId20" w:type="default"/>
          <w:pgSz w:w="11906" w:h="16839"/>
          <w:pgMar w:top="1431" w:right="1785" w:bottom="1153" w:left="1785" w:header="0" w:footer="994" w:gutter="0"/>
          <w:cols w:space="720" w:num="1"/>
        </w:sectPr>
      </w:pPr>
    </w:p>
    <w:sdt>
      <w:sdtPr>
        <w:rPr>
          <w:rFonts w:ascii="宋体" w:hAnsi="宋体" w:eastAsia="宋体" w:cs="宋体"/>
          <w:sz w:val="24"/>
          <w:szCs w:val="24"/>
        </w:rPr>
        <w:id w:val="147483625"/>
        <w:docPartObj>
          <w:docPartGallery w:val="Table of Contents"/>
          <w:docPartUnique/>
        </w:docPartObj>
      </w:sdtPr>
      <w:sdtEndPr>
        <w:rPr>
          <w:rFonts w:ascii="Times New Roman" w:hAnsi="Times New Roman" w:eastAsia="Times New Roman" w:cs="Times New Roman"/>
          <w:sz w:val="24"/>
          <w:szCs w:val="24"/>
        </w:rPr>
      </w:sdtEndPr>
      <w:sdtContent>
        <w:p w14:paraId="0F6CC5AA">
          <w:pPr>
            <w:tabs>
              <w:tab w:val="right" w:leader="dot" w:pos="8320"/>
            </w:tabs>
            <w:spacing w:before="77" w:line="184" w:lineRule="auto"/>
            <w:ind w:left="447"/>
            <w:rPr>
              <w:rFonts w:ascii="Times New Roman" w:hAnsi="Times New Roman" w:eastAsia="Times New Roman" w:cs="Times New Roman"/>
              <w:sz w:val="24"/>
              <w:szCs w:val="24"/>
            </w:rPr>
          </w:pPr>
          <w:r>
            <w:fldChar w:fldCharType="begin"/>
          </w:r>
          <w:r>
            <w:instrText xml:space="preserve"> HYPERLINK \l "bookmark407" </w:instrText>
          </w:r>
          <w:r>
            <w:fldChar w:fldCharType="separate"/>
          </w:r>
          <w:r>
            <w:rPr>
              <w:rFonts w:ascii="宋体" w:hAnsi="宋体" w:eastAsia="宋体" w:cs="宋体"/>
              <w:spacing w:val="-2"/>
              <w:sz w:val="24"/>
              <w:szCs w:val="24"/>
            </w:rPr>
            <w:t>八、资格审查资料</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471</w:t>
          </w:r>
          <w:r>
            <w:rPr>
              <w:rFonts w:ascii="Times New Roman" w:hAnsi="Times New Roman" w:eastAsia="Times New Roman" w:cs="Times New Roman"/>
              <w:spacing w:val="-2"/>
              <w:sz w:val="24"/>
              <w:szCs w:val="24"/>
            </w:rPr>
            <w:fldChar w:fldCharType="end"/>
          </w:r>
        </w:p>
        <w:p w14:paraId="05D4696B">
          <w:pPr>
            <w:tabs>
              <w:tab w:val="right" w:leader="dot" w:pos="8320"/>
            </w:tabs>
            <w:spacing w:before="135" w:line="184" w:lineRule="auto"/>
            <w:ind w:left="874"/>
            <w:rPr>
              <w:rFonts w:ascii="Times New Roman" w:hAnsi="Times New Roman" w:eastAsia="Times New Roman" w:cs="Times New Roman"/>
              <w:sz w:val="24"/>
              <w:szCs w:val="24"/>
            </w:rPr>
          </w:pPr>
          <w:r>
            <w:fldChar w:fldCharType="begin"/>
          </w:r>
          <w:r>
            <w:instrText xml:space="preserve"> HYPERLINK \l "bookmark408" </w:instrText>
          </w:r>
          <w:r>
            <w:fldChar w:fldCharType="separate"/>
          </w:r>
          <w:r>
            <w:rPr>
              <w:rFonts w:ascii="宋体" w:hAnsi="宋体" w:eastAsia="宋体" w:cs="宋体"/>
              <w:spacing w:val="-3"/>
              <w:sz w:val="24"/>
              <w:szCs w:val="24"/>
            </w:rPr>
            <w:t>（一）投标人基本情况</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471</w:t>
          </w:r>
          <w:r>
            <w:rPr>
              <w:rFonts w:ascii="Times New Roman" w:hAnsi="Times New Roman" w:eastAsia="Times New Roman" w:cs="Times New Roman"/>
              <w:spacing w:val="-2"/>
              <w:sz w:val="24"/>
              <w:szCs w:val="24"/>
            </w:rPr>
            <w:fldChar w:fldCharType="end"/>
          </w:r>
        </w:p>
        <w:p w14:paraId="1D046BE0">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"bookmark409" </w:instrText>
          </w:r>
          <w:r>
            <w:fldChar w:fldCharType="separate"/>
          </w:r>
          <w:r>
            <w:rPr>
              <w:rFonts w:ascii="Times New Roman" w:hAnsi="Times New Roman" w:eastAsia="Times New Roman" w:cs="Times New Roman"/>
              <w:spacing w:val="-5"/>
              <w:sz w:val="24"/>
              <w:szCs w:val="24"/>
            </w:rPr>
            <w:t>1-</w:t>
          </w:r>
          <w:r>
            <w:rPr>
              <w:rFonts w:ascii="Times New Roman" w:hAnsi="Times New Roman" w:eastAsia="Times New Roman" w:cs="Times New Roman"/>
              <w:spacing w:val="-30"/>
              <w:sz w:val="24"/>
              <w:szCs w:val="24"/>
            </w:rPr>
            <w:t xml:space="preserve"> </w:t>
          </w:r>
          <w:r>
            <w:rPr>
              <w:rFonts w:ascii="Times New Roman" w:hAnsi="Times New Roman" w:eastAsia="Times New Roman" w:cs="Times New Roman"/>
              <w:spacing w:val="-5"/>
              <w:sz w:val="24"/>
              <w:szCs w:val="24"/>
            </w:rPr>
            <w:t xml:space="preserve">1 </w:t>
          </w:r>
          <w:r>
            <w:rPr>
              <w:rFonts w:ascii="宋体" w:hAnsi="宋体" w:eastAsia="宋体" w:cs="宋体"/>
              <w:spacing w:val="-5"/>
              <w:sz w:val="24"/>
              <w:szCs w:val="24"/>
            </w:rPr>
            <w:t>投标人基本情况表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471</w:t>
          </w:r>
          <w:r>
            <w:rPr>
              <w:rFonts w:ascii="Times New Roman" w:hAnsi="Times New Roman" w:eastAsia="Times New Roman" w:cs="Times New Roman"/>
              <w:spacing w:val="-2"/>
              <w:sz w:val="24"/>
              <w:szCs w:val="24"/>
            </w:rPr>
            <w:fldChar w:fldCharType="end"/>
          </w:r>
        </w:p>
        <w:p w14:paraId="0E0F63D2">
          <w:pPr>
            <w:tabs>
              <w:tab w:val="right" w:leader="dot" w:pos="8320"/>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"bookmark410" </w:instrText>
          </w:r>
          <w:r>
            <w:fldChar w:fldCharType="separate"/>
          </w:r>
          <w:r>
            <w:rPr>
              <w:rFonts w:ascii="Times New Roman" w:hAnsi="Times New Roman" w:eastAsia="Times New Roman" w:cs="Times New Roman"/>
              <w:spacing w:val="-3"/>
              <w:sz w:val="24"/>
              <w:szCs w:val="24"/>
            </w:rPr>
            <w:t xml:space="preserve">1-2 </w:t>
          </w:r>
          <w:r>
            <w:rPr>
              <w:rFonts w:ascii="宋体" w:hAnsi="宋体" w:eastAsia="宋体" w:cs="宋体"/>
              <w:spacing w:val="-3"/>
              <w:sz w:val="24"/>
              <w:szCs w:val="24"/>
            </w:rPr>
            <w:t>关联单位情况说明</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472</w:t>
          </w:r>
          <w:r>
            <w:rPr>
              <w:rFonts w:ascii="Times New Roman" w:hAnsi="Times New Roman" w:eastAsia="Times New Roman" w:cs="Times New Roman"/>
              <w:spacing w:val="-2"/>
              <w:sz w:val="24"/>
              <w:szCs w:val="24"/>
            </w:rPr>
            <w:fldChar w:fldCharType="end"/>
          </w:r>
        </w:p>
        <w:p w14:paraId="4BB8D3D0">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"bookmark411" </w:instrText>
          </w:r>
          <w:r>
            <w:fldChar w:fldCharType="separate"/>
          </w:r>
          <w:r>
            <w:rPr>
              <w:rFonts w:ascii="Times New Roman" w:hAnsi="Times New Roman" w:eastAsia="Times New Roman" w:cs="Times New Roman"/>
              <w:spacing w:val="-3"/>
              <w:sz w:val="24"/>
              <w:szCs w:val="24"/>
            </w:rPr>
            <w:t xml:space="preserve">1-3 </w:t>
          </w:r>
          <w:r>
            <w:rPr>
              <w:rFonts w:ascii="宋体" w:hAnsi="宋体" w:eastAsia="宋体" w:cs="宋体"/>
              <w:spacing w:val="-3"/>
              <w:sz w:val="24"/>
              <w:szCs w:val="24"/>
            </w:rPr>
            <w:t>建筑业企业信息登记</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473</w:t>
          </w:r>
          <w:r>
            <w:rPr>
              <w:rFonts w:ascii="Times New Roman" w:hAnsi="Times New Roman" w:eastAsia="Times New Roman" w:cs="Times New Roman"/>
              <w:spacing w:val="-2"/>
              <w:sz w:val="24"/>
              <w:szCs w:val="24"/>
            </w:rPr>
            <w:fldChar w:fldCharType="end"/>
          </w:r>
        </w:p>
        <w:p w14:paraId="250C5B3D">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"bookmark412" </w:instrText>
          </w:r>
          <w:r>
            <w:fldChar w:fldCharType="separate"/>
          </w:r>
          <w:r>
            <w:rPr>
              <w:rFonts w:ascii="Times New Roman" w:hAnsi="Times New Roman" w:eastAsia="Times New Roman" w:cs="Times New Roman"/>
              <w:spacing w:val="-2"/>
              <w:sz w:val="24"/>
              <w:szCs w:val="24"/>
            </w:rPr>
            <w:t xml:space="preserve">1-4 </w:t>
          </w:r>
          <w:r>
            <w:rPr>
              <w:rFonts w:ascii="宋体" w:hAnsi="宋体" w:eastAsia="宋体" w:cs="宋体"/>
              <w:spacing w:val="-2"/>
              <w:sz w:val="24"/>
              <w:szCs w:val="24"/>
            </w:rPr>
            <w:t>项目管理机构主要人员及简历表</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474</w:t>
          </w:r>
          <w:r>
            <w:rPr>
              <w:rFonts w:ascii="Times New Roman" w:hAnsi="Times New Roman" w:eastAsia="Times New Roman" w:cs="Times New Roman"/>
              <w:spacing w:val="-2"/>
              <w:sz w:val="24"/>
              <w:szCs w:val="24"/>
            </w:rPr>
            <w:fldChar w:fldCharType="end"/>
          </w:r>
        </w:p>
        <w:p w14:paraId="1BD90401">
          <w:pPr>
            <w:tabs>
              <w:tab w:val="right" w:leader="dot" w:pos="8320"/>
            </w:tabs>
            <w:spacing w:before="135" w:line="184" w:lineRule="auto"/>
            <w:ind w:left="1302"/>
            <w:rPr>
              <w:rFonts w:ascii="Times New Roman" w:hAnsi="Times New Roman" w:eastAsia="Times New Roman" w:cs="Times New Roman"/>
              <w:sz w:val="24"/>
              <w:szCs w:val="24"/>
            </w:rPr>
          </w:pPr>
          <w:r>
            <w:fldChar w:fldCharType="begin"/>
          </w:r>
          <w:r>
            <w:instrText xml:space="preserve"> HYPERLINK \l "bookmark413" </w:instrText>
          </w:r>
          <w:r>
            <w:fldChar w:fldCharType="separate"/>
          </w:r>
          <w:r>
            <w:rPr>
              <w:rFonts w:ascii="Times New Roman" w:hAnsi="Times New Roman" w:eastAsia="Times New Roman" w:cs="Times New Roman"/>
              <w:spacing w:val="-2"/>
              <w:sz w:val="24"/>
              <w:szCs w:val="24"/>
            </w:rPr>
            <w:t xml:space="preserve">1-5 </w:t>
          </w:r>
          <w:r>
            <w:rPr>
              <w:rFonts w:ascii="宋体" w:hAnsi="宋体" w:eastAsia="宋体" w:cs="宋体"/>
              <w:spacing w:val="-2"/>
              <w:sz w:val="24"/>
              <w:szCs w:val="24"/>
            </w:rPr>
            <w:t>拟投入主要施工机械设备情况表</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475</w:t>
          </w:r>
          <w:r>
            <w:rPr>
              <w:rFonts w:ascii="Times New Roman" w:hAnsi="Times New Roman" w:eastAsia="Times New Roman" w:cs="Times New Roman"/>
              <w:spacing w:val="-2"/>
              <w:sz w:val="24"/>
              <w:szCs w:val="24"/>
            </w:rPr>
            <w:fldChar w:fldCharType="end"/>
          </w:r>
        </w:p>
        <w:p w14:paraId="41404F1E">
          <w:pPr>
            <w:tabs>
              <w:tab w:val="right" w:leader="dot" w:pos="8320"/>
            </w:tabs>
            <w:spacing w:before="132" w:line="185" w:lineRule="auto"/>
            <w:ind w:left="874"/>
            <w:rPr>
              <w:rFonts w:ascii="Times New Roman" w:hAnsi="Times New Roman" w:eastAsia="Times New Roman" w:cs="Times New Roman"/>
              <w:sz w:val="24"/>
              <w:szCs w:val="24"/>
            </w:rPr>
          </w:pPr>
          <w:r>
            <w:fldChar w:fldCharType="begin"/>
          </w:r>
          <w:r>
            <w:instrText xml:space="preserve"> HYPERLINK \l "bookmark414" </w:instrText>
          </w:r>
          <w:r>
            <w:fldChar w:fldCharType="separate"/>
          </w:r>
          <w:r>
            <w:rPr>
              <w:rFonts w:ascii="宋体" w:hAnsi="宋体" w:eastAsia="宋体" w:cs="宋体"/>
              <w:spacing w:val="-3"/>
              <w:sz w:val="24"/>
              <w:szCs w:val="24"/>
            </w:rPr>
            <w:t>（二）近</w:t>
          </w:r>
          <w:r>
            <w:rPr>
              <w:rFonts w:ascii="宋体" w:hAnsi="宋体" w:eastAsia="宋体" w:cs="宋体"/>
              <w:spacing w:val="-49"/>
              <w:sz w:val="24"/>
              <w:szCs w:val="24"/>
            </w:rPr>
            <w:t xml:space="preserve"> </w:t>
          </w:r>
          <w:r>
            <w:rPr>
              <w:rFonts w:ascii="Times New Roman" w:hAnsi="Times New Roman" w:eastAsia="Times New Roman" w:cs="Times New Roman"/>
              <w:spacing w:val="-3"/>
              <w:sz w:val="24"/>
              <w:szCs w:val="24"/>
            </w:rPr>
            <w:t xml:space="preserve">3 </w:t>
          </w:r>
          <w:r>
            <w:rPr>
              <w:rFonts w:ascii="宋体" w:hAnsi="宋体" w:eastAsia="宋体" w:cs="宋体"/>
              <w:spacing w:val="-3"/>
              <w:sz w:val="24"/>
              <w:szCs w:val="24"/>
            </w:rPr>
            <w:t>年财务状况</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476</w:t>
          </w:r>
          <w:r>
            <w:rPr>
              <w:rFonts w:ascii="Times New Roman" w:hAnsi="Times New Roman" w:eastAsia="Times New Roman" w:cs="Times New Roman"/>
              <w:spacing w:val="-2"/>
              <w:sz w:val="24"/>
              <w:szCs w:val="24"/>
            </w:rPr>
            <w:fldChar w:fldCharType="end"/>
          </w:r>
        </w:p>
        <w:p w14:paraId="15559C0D">
          <w:pPr>
            <w:tabs>
              <w:tab w:val="right" w:leader="dot" w:pos="8320"/>
            </w:tabs>
            <w:spacing w:before="137" w:line="184" w:lineRule="auto"/>
            <w:ind w:left="1279"/>
            <w:rPr>
              <w:rFonts w:ascii="Times New Roman" w:hAnsi="Times New Roman" w:eastAsia="Times New Roman" w:cs="Times New Roman"/>
              <w:sz w:val="24"/>
              <w:szCs w:val="24"/>
            </w:rPr>
          </w:pPr>
          <w:r>
            <w:fldChar w:fldCharType="begin"/>
          </w:r>
          <w:r>
            <w:instrText xml:space="preserve"> HYPERLINK \l "bookmark415" </w:instrText>
          </w:r>
          <w:r>
            <w:fldChar w:fldCharType="separate"/>
          </w:r>
          <w:r>
            <w:rPr>
              <w:rFonts w:ascii="Times New Roman" w:hAnsi="Times New Roman" w:eastAsia="Times New Roman" w:cs="Times New Roman"/>
              <w:spacing w:val="-5"/>
              <w:sz w:val="24"/>
              <w:szCs w:val="24"/>
            </w:rPr>
            <w:t>2-</w:t>
          </w:r>
          <w:r>
            <w:rPr>
              <w:rFonts w:ascii="Times New Roman" w:hAnsi="Times New Roman" w:eastAsia="Times New Roman" w:cs="Times New Roman"/>
              <w:spacing w:val="-27"/>
              <w:sz w:val="24"/>
              <w:szCs w:val="24"/>
            </w:rPr>
            <w:t xml:space="preserve"> </w:t>
          </w:r>
          <w:r>
            <w:rPr>
              <w:rFonts w:ascii="Times New Roman" w:hAnsi="Times New Roman" w:eastAsia="Times New Roman" w:cs="Times New Roman"/>
              <w:spacing w:val="-5"/>
              <w:sz w:val="24"/>
              <w:szCs w:val="24"/>
            </w:rPr>
            <w:t xml:space="preserve">1 </w:t>
          </w:r>
          <w:r>
            <w:rPr>
              <w:rFonts w:ascii="宋体" w:hAnsi="宋体" w:eastAsia="宋体" w:cs="宋体"/>
              <w:spacing w:val="-5"/>
              <w:sz w:val="24"/>
              <w:szCs w:val="24"/>
            </w:rPr>
            <w:t>近</w:t>
          </w:r>
          <w:r>
            <w:rPr>
              <w:rFonts w:ascii="宋体" w:hAnsi="宋体" w:eastAsia="宋体" w:cs="宋体"/>
              <w:spacing w:val="-51"/>
              <w:sz w:val="24"/>
              <w:szCs w:val="24"/>
            </w:rPr>
            <w:t xml:space="preserve"> </w:t>
          </w:r>
          <w:r>
            <w:rPr>
              <w:rFonts w:ascii="Times New Roman" w:hAnsi="Times New Roman" w:eastAsia="Times New Roman" w:cs="Times New Roman"/>
              <w:spacing w:val="-5"/>
              <w:sz w:val="24"/>
              <w:szCs w:val="24"/>
            </w:rPr>
            <w:t>3</w:t>
          </w:r>
          <w:r>
            <w:rPr>
              <w:rFonts w:ascii="Times New Roman" w:hAnsi="Times New Roman" w:eastAsia="Times New Roman" w:cs="Times New Roman"/>
              <w:spacing w:val="11"/>
              <w:sz w:val="24"/>
              <w:szCs w:val="24"/>
            </w:rPr>
            <w:t xml:space="preserve"> </w:t>
          </w:r>
          <w:r>
            <w:rPr>
              <w:rFonts w:ascii="宋体" w:hAnsi="宋体" w:eastAsia="宋体" w:cs="宋体"/>
              <w:spacing w:val="-5"/>
              <w:sz w:val="24"/>
              <w:szCs w:val="24"/>
            </w:rPr>
            <w:t>年财务状况表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476</w:t>
          </w:r>
          <w:r>
            <w:rPr>
              <w:rFonts w:ascii="Times New Roman" w:hAnsi="Times New Roman" w:eastAsia="Times New Roman" w:cs="Times New Roman"/>
              <w:spacing w:val="-2"/>
              <w:sz w:val="24"/>
              <w:szCs w:val="24"/>
            </w:rPr>
            <w:fldChar w:fldCharType="end"/>
          </w:r>
        </w:p>
        <w:p w14:paraId="612192C8">
          <w:pPr>
            <w:tabs>
              <w:tab w:val="right" w:leader="dot" w:pos="8320"/>
            </w:tabs>
            <w:spacing w:before="133" w:line="184" w:lineRule="auto"/>
            <w:ind w:left="1279"/>
            <w:rPr>
              <w:rFonts w:ascii="Times New Roman" w:hAnsi="Times New Roman" w:eastAsia="Times New Roman" w:cs="Times New Roman"/>
              <w:sz w:val="24"/>
              <w:szCs w:val="24"/>
            </w:rPr>
          </w:pPr>
          <w:r>
            <w:fldChar w:fldCharType="begin"/>
          </w:r>
          <w:r>
            <w:instrText xml:space="preserve"> HYPERLINK \l "bookmark416" </w:instrText>
          </w:r>
          <w:r>
            <w:fldChar w:fldCharType="separate"/>
          </w:r>
          <w:r>
            <w:rPr>
              <w:rFonts w:ascii="Times New Roman" w:hAnsi="Times New Roman" w:eastAsia="Times New Roman" w:cs="Times New Roman"/>
              <w:spacing w:val="-1"/>
              <w:sz w:val="24"/>
              <w:szCs w:val="24"/>
            </w:rPr>
            <w:t xml:space="preserve">2-2 </w:t>
          </w:r>
          <w:r>
            <w:rPr>
              <w:rFonts w:ascii="宋体" w:hAnsi="宋体" w:eastAsia="宋体" w:cs="宋体"/>
              <w:spacing w:val="-1"/>
              <w:sz w:val="24"/>
              <w:szCs w:val="24"/>
            </w:rPr>
            <w:t>拟投入的流动资金函（格式）</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477</w:t>
          </w:r>
          <w:r>
            <w:rPr>
              <w:rFonts w:ascii="Times New Roman" w:hAnsi="Times New Roman" w:eastAsia="Times New Roman" w:cs="Times New Roman"/>
              <w:spacing w:val="-2"/>
              <w:sz w:val="24"/>
              <w:szCs w:val="24"/>
            </w:rPr>
            <w:fldChar w:fldCharType="end"/>
          </w:r>
        </w:p>
        <w:p w14:paraId="7FE0BEE3">
          <w:pPr>
            <w:tabs>
              <w:tab w:val="right" w:leader="dot" w:pos="8320"/>
            </w:tabs>
            <w:spacing w:before="135" w:line="185" w:lineRule="auto"/>
            <w:ind w:left="874"/>
            <w:rPr>
              <w:rFonts w:ascii="Times New Roman" w:hAnsi="Times New Roman" w:eastAsia="Times New Roman" w:cs="Times New Roman"/>
              <w:sz w:val="24"/>
              <w:szCs w:val="24"/>
            </w:rPr>
          </w:pPr>
          <w:r>
            <w:fldChar w:fldCharType="begin"/>
          </w:r>
          <w:r>
            <w:instrText xml:space="preserve"> HYPERLINK \l "bookmark417" </w:instrText>
          </w:r>
          <w:r>
            <w:fldChar w:fldCharType="separate"/>
          </w:r>
          <w:r>
            <w:rPr>
              <w:rFonts w:ascii="宋体" w:hAnsi="宋体" w:eastAsia="宋体" w:cs="宋体"/>
              <w:spacing w:val="-3"/>
              <w:sz w:val="24"/>
              <w:szCs w:val="24"/>
            </w:rPr>
            <w:t>（三）近</w:t>
          </w:r>
          <w:r>
            <w:rPr>
              <w:rFonts w:ascii="宋体" w:hAnsi="宋体" w:eastAsia="宋体" w:cs="宋体"/>
              <w:spacing w:val="-34"/>
              <w:sz w:val="24"/>
              <w:szCs w:val="24"/>
            </w:rPr>
            <w:t xml:space="preserve"> </w:t>
          </w:r>
          <w:r>
            <w:rPr>
              <w:rFonts w:ascii="Times New Roman" w:hAnsi="Times New Roman" w:eastAsia="Times New Roman" w:cs="Times New Roman"/>
              <w:spacing w:val="-3"/>
              <w:sz w:val="24"/>
              <w:szCs w:val="24"/>
            </w:rPr>
            <w:t xml:space="preserve">5 </w:t>
          </w:r>
          <w:r>
            <w:rPr>
              <w:rFonts w:ascii="宋体" w:hAnsi="宋体" w:eastAsia="宋体" w:cs="宋体"/>
              <w:spacing w:val="-3"/>
              <w:sz w:val="24"/>
              <w:szCs w:val="24"/>
            </w:rPr>
            <w:t>年完成的类似项目情况</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478</w:t>
          </w:r>
          <w:r>
            <w:rPr>
              <w:rFonts w:ascii="Times New Roman" w:hAnsi="Times New Roman" w:eastAsia="Times New Roman" w:cs="Times New Roman"/>
              <w:spacing w:val="-2"/>
              <w:sz w:val="24"/>
              <w:szCs w:val="24"/>
            </w:rPr>
            <w:fldChar w:fldCharType="end"/>
          </w:r>
        </w:p>
        <w:p w14:paraId="06570136">
          <w:pPr>
            <w:tabs>
              <w:tab w:val="right" w:leader="dot" w:pos="8320"/>
            </w:tabs>
            <w:spacing w:before="136" w:line="184" w:lineRule="auto"/>
            <w:ind w:left="1283"/>
            <w:rPr>
              <w:rFonts w:ascii="Times New Roman" w:hAnsi="Times New Roman" w:eastAsia="Times New Roman" w:cs="Times New Roman"/>
              <w:sz w:val="24"/>
              <w:szCs w:val="24"/>
            </w:rPr>
          </w:pPr>
          <w:r>
            <w:fldChar w:fldCharType="begin"/>
          </w:r>
          <w:r>
            <w:instrText xml:space="preserve"> HYPERLINK \l "bookmark418" </w:instrText>
          </w:r>
          <w:r>
            <w:fldChar w:fldCharType="separate"/>
          </w:r>
          <w:r>
            <w:rPr>
              <w:rFonts w:ascii="Times New Roman" w:hAnsi="Times New Roman" w:eastAsia="Times New Roman" w:cs="Times New Roman"/>
              <w:spacing w:val="-3"/>
              <w:sz w:val="24"/>
              <w:szCs w:val="24"/>
            </w:rPr>
            <w:t>3-</w:t>
          </w:r>
          <w:r>
            <w:rPr>
              <w:rFonts w:ascii="Times New Roman" w:hAnsi="Times New Roman" w:eastAsia="Times New Roman" w:cs="Times New Roman"/>
              <w:spacing w:val="-30"/>
              <w:sz w:val="24"/>
              <w:szCs w:val="24"/>
            </w:rPr>
            <w:t xml:space="preserve"> </w:t>
          </w: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近</w:t>
          </w:r>
          <w:r>
            <w:rPr>
              <w:rFonts w:ascii="宋体" w:hAnsi="宋体" w:eastAsia="宋体" w:cs="宋体"/>
              <w:spacing w:val="-48"/>
              <w:sz w:val="24"/>
              <w:szCs w:val="24"/>
            </w:rPr>
            <w:t xml:space="preserve"> </w:t>
          </w:r>
          <w:r>
            <w:rPr>
              <w:rFonts w:ascii="Times New Roman" w:hAnsi="Times New Roman" w:eastAsia="Times New Roman" w:cs="Times New Roman"/>
              <w:spacing w:val="-3"/>
              <w:sz w:val="24"/>
              <w:szCs w:val="24"/>
            </w:rPr>
            <w:t xml:space="preserve">5 </w:t>
          </w:r>
          <w:r>
            <w:rPr>
              <w:rFonts w:ascii="宋体" w:hAnsi="宋体" w:eastAsia="宋体" w:cs="宋体"/>
              <w:spacing w:val="-3"/>
              <w:sz w:val="24"/>
              <w:szCs w:val="24"/>
            </w:rPr>
            <w:t>年完成的类似项目汇总表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478</w:t>
          </w:r>
          <w:r>
            <w:rPr>
              <w:rFonts w:ascii="Times New Roman" w:hAnsi="Times New Roman" w:eastAsia="Times New Roman" w:cs="Times New Roman"/>
              <w:spacing w:val="-2"/>
              <w:sz w:val="24"/>
              <w:szCs w:val="24"/>
            </w:rPr>
            <w:fldChar w:fldCharType="end"/>
          </w:r>
        </w:p>
        <w:p w14:paraId="0046D05A">
          <w:pPr>
            <w:tabs>
              <w:tab w:val="right" w:leader="dot" w:pos="8320"/>
            </w:tabs>
            <w:spacing w:before="133" w:line="185" w:lineRule="auto"/>
            <w:ind w:left="1283"/>
            <w:rPr>
              <w:rFonts w:ascii="Times New Roman" w:hAnsi="Times New Roman" w:eastAsia="Times New Roman" w:cs="Times New Roman"/>
              <w:sz w:val="24"/>
              <w:szCs w:val="24"/>
            </w:rPr>
          </w:pPr>
          <w:r>
            <w:fldChar w:fldCharType="begin"/>
          </w:r>
          <w:r>
            <w:instrText xml:space="preserve"> HYPERLINK \l "bookmark419" </w:instrText>
          </w:r>
          <w:r>
            <w:fldChar w:fldCharType="separate"/>
          </w:r>
          <w:r>
            <w:rPr>
              <w:rFonts w:ascii="Times New Roman" w:hAnsi="Times New Roman" w:eastAsia="Times New Roman" w:cs="Times New Roman"/>
              <w:spacing w:val="-2"/>
              <w:sz w:val="24"/>
              <w:szCs w:val="24"/>
            </w:rPr>
            <w:t xml:space="preserve">3-2 </w:t>
          </w:r>
          <w:r>
            <w:rPr>
              <w:rFonts w:ascii="宋体" w:hAnsi="宋体" w:eastAsia="宋体" w:cs="宋体"/>
              <w:spacing w:val="-2"/>
              <w:sz w:val="24"/>
              <w:szCs w:val="24"/>
            </w:rPr>
            <w:t>近</w:t>
          </w:r>
          <w:r>
            <w:rPr>
              <w:rFonts w:ascii="宋体" w:hAnsi="宋体" w:eastAsia="宋体" w:cs="宋体"/>
              <w:spacing w:val="-36"/>
              <w:sz w:val="24"/>
              <w:szCs w:val="24"/>
            </w:rPr>
            <w:t xml:space="preserve"> </w:t>
          </w: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年完成的类似项目情况表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479</w:t>
          </w:r>
          <w:r>
            <w:rPr>
              <w:rFonts w:ascii="Times New Roman" w:hAnsi="Times New Roman" w:eastAsia="Times New Roman" w:cs="Times New Roman"/>
              <w:spacing w:val="-2"/>
              <w:sz w:val="24"/>
              <w:szCs w:val="24"/>
            </w:rPr>
            <w:fldChar w:fldCharType="end"/>
          </w:r>
        </w:p>
        <w:p w14:paraId="25C5C512">
          <w:pPr>
            <w:tabs>
              <w:tab w:val="right" w:leader="dot" w:pos="8320"/>
            </w:tabs>
            <w:spacing w:before="136" w:line="184" w:lineRule="auto"/>
            <w:ind w:left="874"/>
            <w:rPr>
              <w:rFonts w:ascii="Times New Roman" w:hAnsi="Times New Roman" w:eastAsia="Times New Roman" w:cs="Times New Roman"/>
              <w:sz w:val="24"/>
              <w:szCs w:val="24"/>
            </w:rPr>
          </w:pPr>
          <w:r>
            <w:fldChar w:fldCharType="begin"/>
          </w:r>
          <w:r>
            <w:instrText xml:space="preserve"> HYPERLINK \l "bookmark420" </w:instrText>
          </w:r>
          <w:r>
            <w:fldChar w:fldCharType="separate"/>
          </w:r>
          <w:r>
            <w:rPr>
              <w:rFonts w:ascii="宋体" w:hAnsi="宋体" w:eastAsia="宋体" w:cs="宋体"/>
              <w:spacing w:val="-2"/>
              <w:sz w:val="24"/>
              <w:szCs w:val="24"/>
            </w:rPr>
            <w:t>（四）正在施工的和新承接的项目情况</w:t>
          </w:r>
          <w:r>
            <w:rPr>
              <w:rFonts w:ascii="宋体" w:hAnsi="宋体" w:eastAsia="宋体" w:cs="宋体"/>
              <w:spacing w:val="-6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480</w:t>
          </w:r>
          <w:r>
            <w:rPr>
              <w:rFonts w:ascii="Times New Roman" w:hAnsi="Times New Roman" w:eastAsia="Times New Roman" w:cs="Times New Roman"/>
              <w:spacing w:val="-2"/>
              <w:sz w:val="24"/>
              <w:szCs w:val="24"/>
            </w:rPr>
            <w:fldChar w:fldCharType="end"/>
          </w:r>
        </w:p>
        <w:p w14:paraId="4A7D03F9">
          <w:pPr>
            <w:tabs>
              <w:tab w:val="right" w:leader="dot" w:pos="8320"/>
            </w:tabs>
            <w:spacing w:before="133" w:line="184" w:lineRule="auto"/>
            <w:ind w:left="1277"/>
            <w:rPr>
              <w:rFonts w:ascii="Times New Roman" w:hAnsi="Times New Roman" w:eastAsia="Times New Roman" w:cs="Times New Roman"/>
              <w:sz w:val="24"/>
              <w:szCs w:val="24"/>
            </w:rPr>
          </w:pPr>
          <w:r>
            <w:fldChar w:fldCharType="begin"/>
          </w:r>
          <w:r>
            <w:instrText xml:space="preserve"> HYPERLINK \l "bookmark421" </w:instrText>
          </w:r>
          <w:r>
            <w:fldChar w:fldCharType="separate"/>
          </w:r>
          <w:r>
            <w:rPr>
              <w:rFonts w:ascii="Times New Roman" w:hAnsi="Times New Roman" w:eastAsia="Times New Roman" w:cs="Times New Roman"/>
              <w:spacing w:val="-2"/>
              <w:sz w:val="24"/>
              <w:szCs w:val="24"/>
            </w:rPr>
            <w:t>4-</w:t>
          </w:r>
          <w:r>
            <w:rPr>
              <w:rFonts w:ascii="Times New Roman" w:hAnsi="Times New Roman" w:eastAsia="Times New Roman" w:cs="Times New Roman"/>
              <w:spacing w:val="-28"/>
              <w:sz w:val="24"/>
              <w:szCs w:val="24"/>
            </w:rPr>
            <w:t xml:space="preserve"> </w:t>
          </w:r>
          <w:r>
            <w:rPr>
              <w:rFonts w:ascii="Times New Roman" w:hAnsi="Times New Roman" w:eastAsia="Times New Roman" w:cs="Times New Roman"/>
              <w:spacing w:val="-2"/>
              <w:sz w:val="24"/>
              <w:szCs w:val="24"/>
            </w:rPr>
            <w:t xml:space="preserve">1 </w:t>
          </w:r>
          <w:r>
            <w:rPr>
              <w:rFonts w:ascii="宋体" w:hAnsi="宋体" w:eastAsia="宋体" w:cs="宋体"/>
              <w:spacing w:val="-2"/>
              <w:sz w:val="24"/>
              <w:szCs w:val="24"/>
            </w:rPr>
            <w:t>正在施工的和新承接的项目汇总表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480</w:t>
          </w:r>
          <w:r>
            <w:rPr>
              <w:rFonts w:ascii="Times New Roman" w:hAnsi="Times New Roman" w:eastAsia="Times New Roman" w:cs="Times New Roman"/>
              <w:spacing w:val="-2"/>
              <w:sz w:val="24"/>
              <w:szCs w:val="24"/>
            </w:rPr>
            <w:fldChar w:fldCharType="end"/>
          </w:r>
        </w:p>
        <w:p w14:paraId="3A87F658">
          <w:pPr>
            <w:tabs>
              <w:tab w:val="right" w:leader="dot" w:pos="8320"/>
            </w:tabs>
            <w:spacing w:before="135" w:line="185" w:lineRule="auto"/>
            <w:ind w:left="1277"/>
            <w:rPr>
              <w:rFonts w:ascii="Times New Roman" w:hAnsi="Times New Roman" w:eastAsia="Times New Roman" w:cs="Times New Roman"/>
              <w:sz w:val="24"/>
              <w:szCs w:val="24"/>
            </w:rPr>
          </w:pPr>
          <w:r>
            <w:fldChar w:fldCharType="begin"/>
          </w:r>
          <w:r>
            <w:instrText xml:space="preserve"> HYPERLINK \l "bookmark422" </w:instrText>
          </w:r>
          <w:r>
            <w:fldChar w:fldCharType="separate"/>
          </w:r>
          <w:r>
            <w:rPr>
              <w:rFonts w:ascii="Times New Roman" w:hAnsi="Times New Roman" w:eastAsia="Times New Roman" w:cs="Times New Roman"/>
              <w:spacing w:val="-1"/>
              <w:sz w:val="24"/>
              <w:szCs w:val="24"/>
            </w:rPr>
            <w:t xml:space="preserve">4-2 </w:t>
          </w:r>
          <w:r>
            <w:rPr>
              <w:rFonts w:ascii="宋体" w:hAnsi="宋体" w:eastAsia="宋体" w:cs="宋体"/>
              <w:spacing w:val="-1"/>
              <w:sz w:val="24"/>
              <w:szCs w:val="24"/>
            </w:rPr>
            <w:t>正在施工的和新承接的项目情况表</w:t>
          </w:r>
          <w:r>
            <w:rPr>
              <w:rFonts w:ascii="宋体" w:hAnsi="宋体" w:eastAsia="宋体" w:cs="宋体"/>
              <w:spacing w:val="-61"/>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481</w:t>
          </w:r>
          <w:r>
            <w:rPr>
              <w:rFonts w:ascii="Times New Roman" w:hAnsi="Times New Roman" w:eastAsia="Times New Roman" w:cs="Times New Roman"/>
              <w:spacing w:val="-2"/>
              <w:sz w:val="24"/>
              <w:szCs w:val="24"/>
            </w:rPr>
            <w:fldChar w:fldCharType="end"/>
          </w:r>
        </w:p>
        <w:p w14:paraId="068992D2">
          <w:pPr>
            <w:tabs>
              <w:tab w:val="right" w:leader="dot" w:pos="8320"/>
            </w:tabs>
            <w:spacing w:before="137" w:line="184" w:lineRule="auto"/>
            <w:ind w:left="874"/>
            <w:rPr>
              <w:rFonts w:ascii="Times New Roman" w:hAnsi="Times New Roman" w:eastAsia="Times New Roman" w:cs="Times New Roman"/>
              <w:sz w:val="24"/>
              <w:szCs w:val="24"/>
            </w:rPr>
          </w:pPr>
          <w:r>
            <w:fldChar w:fldCharType="begin"/>
          </w:r>
          <w:r>
            <w:instrText xml:space="preserve"> HYPERLINK \l "bookmark423" </w:instrText>
          </w:r>
          <w:r>
            <w:fldChar w:fldCharType="separate"/>
          </w:r>
          <w:r>
            <w:rPr>
              <w:rFonts w:ascii="宋体" w:hAnsi="宋体" w:eastAsia="宋体" w:cs="宋体"/>
              <w:spacing w:val="-3"/>
              <w:sz w:val="24"/>
              <w:szCs w:val="24"/>
            </w:rPr>
            <w:t>（五）企业信誉情况</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482</w:t>
          </w:r>
          <w:r>
            <w:rPr>
              <w:rFonts w:ascii="Times New Roman" w:hAnsi="Times New Roman" w:eastAsia="Times New Roman" w:cs="Times New Roman"/>
              <w:spacing w:val="-2"/>
              <w:sz w:val="24"/>
              <w:szCs w:val="24"/>
            </w:rPr>
            <w:fldChar w:fldCharType="end"/>
          </w:r>
        </w:p>
        <w:p w14:paraId="2CC34E2D">
          <w:pPr>
            <w:tabs>
              <w:tab w:val="right" w:leader="dot" w:pos="8320"/>
            </w:tabs>
            <w:spacing w:before="132" w:line="185" w:lineRule="auto"/>
            <w:ind w:left="1285"/>
            <w:rPr>
              <w:rFonts w:ascii="Times New Roman" w:hAnsi="Times New Roman" w:eastAsia="Times New Roman" w:cs="Times New Roman"/>
              <w:sz w:val="24"/>
              <w:szCs w:val="24"/>
            </w:rPr>
          </w:pPr>
          <w:r>
            <w:fldChar w:fldCharType="begin"/>
          </w:r>
          <w:r>
            <w:instrText xml:space="preserve"> HYPERLINK \l "bookmark424" </w:instrText>
          </w:r>
          <w:r>
            <w:fldChar w:fldCharType="separate"/>
          </w:r>
          <w:r>
            <w:rPr>
              <w:rFonts w:ascii="Times New Roman" w:hAnsi="Times New Roman" w:eastAsia="Times New Roman" w:cs="Times New Roman"/>
              <w:spacing w:val="-4"/>
              <w:sz w:val="24"/>
              <w:szCs w:val="24"/>
            </w:rPr>
            <w:t>5-</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企业信誉声明</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482</w:t>
          </w:r>
          <w:r>
            <w:rPr>
              <w:rFonts w:ascii="Times New Roman" w:hAnsi="Times New Roman" w:eastAsia="Times New Roman" w:cs="Times New Roman"/>
              <w:spacing w:val="-2"/>
              <w:sz w:val="24"/>
              <w:szCs w:val="24"/>
            </w:rPr>
            <w:fldChar w:fldCharType="end"/>
          </w:r>
        </w:p>
        <w:p w14:paraId="09C7B223">
          <w:pPr>
            <w:tabs>
              <w:tab w:val="right" w:leader="dot" w:pos="8320"/>
            </w:tabs>
            <w:spacing w:before="137" w:line="184" w:lineRule="auto"/>
            <w:ind w:left="1285"/>
            <w:rPr>
              <w:rFonts w:ascii="Times New Roman" w:hAnsi="Times New Roman" w:eastAsia="Times New Roman" w:cs="Times New Roman"/>
              <w:sz w:val="24"/>
              <w:szCs w:val="24"/>
            </w:rPr>
          </w:pPr>
          <w:r>
            <w:fldChar w:fldCharType="begin"/>
          </w:r>
          <w:r>
            <w:instrText xml:space="preserve"> HYPERLINK \l "bookmark425" </w:instrText>
          </w:r>
          <w:r>
            <w:fldChar w:fldCharType="separate"/>
          </w:r>
          <w:r>
            <w:rPr>
              <w:rFonts w:ascii="Times New Roman" w:hAnsi="Times New Roman" w:eastAsia="Times New Roman" w:cs="Times New Roman"/>
              <w:spacing w:val="-2"/>
              <w:sz w:val="24"/>
              <w:szCs w:val="24"/>
            </w:rPr>
            <w:t xml:space="preserve">5-2 </w:t>
          </w:r>
          <w:r>
            <w:rPr>
              <w:rFonts w:ascii="宋体" w:hAnsi="宋体" w:eastAsia="宋体" w:cs="宋体"/>
              <w:spacing w:val="-2"/>
              <w:sz w:val="24"/>
              <w:szCs w:val="24"/>
            </w:rPr>
            <w:t>近</w:t>
          </w:r>
          <w:r>
            <w:rPr>
              <w:rFonts w:ascii="宋体" w:hAnsi="宋体" w:eastAsia="宋体" w:cs="宋体"/>
              <w:spacing w:val="-38"/>
              <w:sz w:val="24"/>
              <w:szCs w:val="24"/>
            </w:rPr>
            <w:t xml:space="preserve"> </w:t>
          </w: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年发生的诉讼和仲裁情况</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483</w:t>
          </w:r>
          <w:r>
            <w:rPr>
              <w:rFonts w:ascii="Times New Roman" w:hAnsi="Times New Roman" w:eastAsia="Times New Roman" w:cs="Times New Roman"/>
              <w:spacing w:val="-2"/>
              <w:sz w:val="24"/>
              <w:szCs w:val="24"/>
            </w:rPr>
            <w:fldChar w:fldCharType="end"/>
          </w:r>
        </w:p>
        <w:p w14:paraId="1529AAB7">
          <w:pPr>
            <w:tabs>
              <w:tab w:val="right" w:leader="dot" w:pos="8320"/>
            </w:tabs>
            <w:spacing w:before="133" w:line="184" w:lineRule="auto"/>
            <w:ind w:left="1285"/>
            <w:rPr>
              <w:rFonts w:ascii="Times New Roman" w:hAnsi="Times New Roman" w:eastAsia="Times New Roman" w:cs="Times New Roman"/>
              <w:sz w:val="24"/>
              <w:szCs w:val="24"/>
            </w:rPr>
          </w:pPr>
          <w:r>
            <w:fldChar w:fldCharType="begin"/>
          </w:r>
          <w:r>
            <w:instrText xml:space="preserve"> HYPERLINK \l "bookmark426" </w:instrText>
          </w:r>
          <w:r>
            <w:fldChar w:fldCharType="separate"/>
          </w:r>
          <w:r>
            <w:rPr>
              <w:rFonts w:ascii="Times New Roman" w:hAnsi="Times New Roman" w:eastAsia="Times New Roman" w:cs="Times New Roman"/>
              <w:spacing w:val="-2"/>
              <w:sz w:val="24"/>
              <w:szCs w:val="24"/>
            </w:rPr>
            <w:t xml:space="preserve">5-3 </w:t>
          </w:r>
          <w:r>
            <w:rPr>
              <w:rFonts w:ascii="宋体" w:hAnsi="宋体" w:eastAsia="宋体" w:cs="宋体"/>
              <w:spacing w:val="-2"/>
              <w:sz w:val="24"/>
              <w:szCs w:val="24"/>
            </w:rPr>
            <w:t>近</w:t>
          </w:r>
          <w:r>
            <w:rPr>
              <w:rFonts w:ascii="宋体" w:hAnsi="宋体" w:eastAsia="宋体" w:cs="宋体"/>
              <w:spacing w:val="-38"/>
              <w:sz w:val="24"/>
              <w:szCs w:val="24"/>
            </w:rPr>
            <w:t xml:space="preserve"> </w:t>
          </w: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年投标人工程获奖情况表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484</w:t>
          </w:r>
          <w:r>
            <w:rPr>
              <w:rFonts w:ascii="Times New Roman" w:hAnsi="Times New Roman" w:eastAsia="Times New Roman" w:cs="Times New Roman"/>
              <w:spacing w:val="-2"/>
              <w:sz w:val="24"/>
              <w:szCs w:val="24"/>
            </w:rPr>
            <w:fldChar w:fldCharType="end"/>
          </w:r>
        </w:p>
        <w:p w14:paraId="35494026">
          <w:pPr>
            <w:tabs>
              <w:tab w:val="right" w:leader="dot" w:pos="8320"/>
            </w:tabs>
            <w:spacing w:before="134" w:line="185" w:lineRule="auto"/>
            <w:ind w:left="1285"/>
            <w:rPr>
              <w:rFonts w:ascii="Times New Roman" w:hAnsi="Times New Roman" w:eastAsia="Times New Roman" w:cs="Times New Roman"/>
              <w:sz w:val="24"/>
              <w:szCs w:val="24"/>
            </w:rPr>
          </w:pPr>
          <w:r>
            <w:fldChar w:fldCharType="begin"/>
          </w:r>
          <w:r>
            <w:instrText xml:space="preserve"> HYPERLINK \l "bookmark427" </w:instrText>
          </w:r>
          <w:r>
            <w:fldChar w:fldCharType="separate"/>
          </w:r>
          <w:r>
            <w:rPr>
              <w:rFonts w:ascii="Times New Roman" w:hAnsi="Times New Roman" w:eastAsia="Times New Roman" w:cs="Times New Roman"/>
              <w:spacing w:val="-2"/>
              <w:sz w:val="24"/>
              <w:szCs w:val="24"/>
            </w:rPr>
            <w:t xml:space="preserve">5-4 </w:t>
          </w:r>
          <w:r>
            <w:rPr>
              <w:rFonts w:ascii="宋体" w:hAnsi="宋体" w:eastAsia="宋体" w:cs="宋体"/>
              <w:spacing w:val="-2"/>
              <w:sz w:val="24"/>
              <w:szCs w:val="24"/>
            </w:rPr>
            <w:t>近</w:t>
          </w:r>
          <w:r>
            <w:rPr>
              <w:rFonts w:ascii="宋体" w:hAnsi="宋体" w:eastAsia="宋体" w:cs="宋体"/>
              <w:spacing w:val="-36"/>
              <w:sz w:val="24"/>
              <w:szCs w:val="24"/>
            </w:rPr>
            <w:t xml:space="preserve"> </w:t>
          </w: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年项目经理工程获奖情况表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485</w:t>
          </w:r>
          <w:r>
            <w:rPr>
              <w:rFonts w:ascii="Times New Roman" w:hAnsi="Times New Roman" w:eastAsia="Times New Roman" w:cs="Times New Roman"/>
              <w:spacing w:val="-2"/>
              <w:sz w:val="24"/>
              <w:szCs w:val="24"/>
            </w:rPr>
            <w:fldChar w:fldCharType="end"/>
          </w:r>
        </w:p>
        <w:p w14:paraId="1C64B00C">
          <w:pPr>
            <w:tabs>
              <w:tab w:val="right" w:leader="dot" w:pos="8320"/>
            </w:tabs>
            <w:spacing w:before="137" w:line="184" w:lineRule="auto"/>
            <w:ind w:left="1285"/>
            <w:rPr>
              <w:rFonts w:ascii="Times New Roman" w:hAnsi="Times New Roman" w:eastAsia="Times New Roman" w:cs="Times New Roman"/>
              <w:sz w:val="24"/>
              <w:szCs w:val="24"/>
            </w:rPr>
          </w:pPr>
          <w:r>
            <w:fldChar w:fldCharType="begin"/>
          </w:r>
          <w:r>
            <w:instrText xml:space="preserve"> HYPERLINK \l "bookmark428" </w:instrText>
          </w:r>
          <w:r>
            <w:fldChar w:fldCharType="separate"/>
          </w:r>
          <w:r>
            <w:rPr>
              <w:rFonts w:ascii="Times New Roman" w:hAnsi="Times New Roman" w:eastAsia="Times New Roman" w:cs="Times New Roman"/>
              <w:spacing w:val="-2"/>
              <w:sz w:val="24"/>
              <w:szCs w:val="24"/>
            </w:rPr>
            <w:t xml:space="preserve">5-5 </w:t>
          </w:r>
          <w:r>
            <w:rPr>
              <w:rFonts w:ascii="宋体" w:hAnsi="宋体" w:eastAsia="宋体" w:cs="宋体"/>
              <w:spacing w:val="-2"/>
              <w:sz w:val="24"/>
              <w:szCs w:val="24"/>
            </w:rPr>
            <w:t>近</w:t>
          </w:r>
          <w:r>
            <w:rPr>
              <w:rFonts w:ascii="宋体" w:hAnsi="宋体" w:eastAsia="宋体" w:cs="宋体"/>
              <w:spacing w:val="-38"/>
              <w:sz w:val="24"/>
              <w:szCs w:val="24"/>
            </w:rPr>
            <w:t xml:space="preserve"> </w:t>
          </w: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年项目经理获表彰情况表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486</w:t>
          </w:r>
          <w:r>
            <w:rPr>
              <w:rFonts w:ascii="Times New Roman" w:hAnsi="Times New Roman" w:eastAsia="Times New Roman" w:cs="Times New Roman"/>
              <w:spacing w:val="-2"/>
              <w:sz w:val="24"/>
              <w:szCs w:val="24"/>
            </w:rPr>
            <w:fldChar w:fldCharType="end"/>
          </w:r>
        </w:p>
        <w:p w14:paraId="295B9E99">
          <w:pPr>
            <w:tabs>
              <w:tab w:val="right" w:leader="dot" w:pos="8320"/>
            </w:tabs>
            <w:spacing w:before="133" w:line="185" w:lineRule="auto"/>
            <w:ind w:left="449"/>
            <w:rPr>
              <w:rFonts w:ascii="Times New Roman" w:hAnsi="Times New Roman" w:eastAsia="Times New Roman" w:cs="Times New Roman"/>
              <w:sz w:val="24"/>
              <w:szCs w:val="24"/>
            </w:rPr>
          </w:pPr>
          <w:r>
            <w:fldChar w:fldCharType="begin"/>
          </w:r>
          <w:r>
            <w:instrText xml:space="preserve"> HYPERLINK \l "bookmark429" </w:instrText>
          </w:r>
          <w:r>
            <w:fldChar w:fldCharType="separate"/>
          </w:r>
          <w:r>
            <w:rPr>
              <w:rFonts w:ascii="宋体" w:hAnsi="宋体" w:eastAsia="宋体" w:cs="宋体"/>
              <w:spacing w:val="-2"/>
              <w:sz w:val="24"/>
              <w:szCs w:val="24"/>
            </w:rPr>
            <w:t>九、已标价工程量清单</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487</w:t>
          </w:r>
          <w:r>
            <w:rPr>
              <w:rFonts w:ascii="Times New Roman" w:hAnsi="Times New Roman" w:eastAsia="Times New Roman" w:cs="Times New Roman"/>
              <w:spacing w:val="-2"/>
              <w:sz w:val="24"/>
              <w:szCs w:val="24"/>
            </w:rPr>
            <w:fldChar w:fldCharType="end"/>
          </w:r>
        </w:p>
        <w:p w14:paraId="5E66A44D">
          <w:pPr>
            <w:tabs>
              <w:tab w:val="right" w:leader="dot" w:pos="8320"/>
            </w:tabs>
            <w:spacing w:before="136" w:line="184" w:lineRule="auto"/>
            <w:ind w:left="889"/>
            <w:rPr>
              <w:rFonts w:ascii="Times New Roman" w:hAnsi="Times New Roman" w:eastAsia="Times New Roman" w:cs="Times New Roman"/>
              <w:sz w:val="24"/>
              <w:szCs w:val="24"/>
            </w:rPr>
          </w:pPr>
          <w:r>
            <w:fldChar w:fldCharType="begin"/>
          </w:r>
          <w:r>
            <w:instrText xml:space="preserve"> HYPERLINK \l "bookmark430" </w:instrText>
          </w:r>
          <w:r>
            <w:fldChar w:fldCharType="separate"/>
          </w:r>
          <w:r>
            <w:rPr>
              <w:rFonts w:ascii="宋体" w:hAnsi="宋体" w:eastAsia="宋体" w:cs="宋体"/>
              <w:spacing w:val="-3"/>
              <w:sz w:val="24"/>
              <w:szCs w:val="24"/>
            </w:rPr>
            <w:t>已标价工程量清单（投标总价）封面</w:t>
          </w:r>
          <w:r>
            <w:rPr>
              <w:rFonts w:ascii="宋体" w:hAnsi="宋体" w:eastAsia="宋体" w:cs="宋体"/>
              <w:spacing w:val="-6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488</w:t>
          </w:r>
          <w:r>
            <w:rPr>
              <w:rFonts w:ascii="Times New Roman" w:hAnsi="Times New Roman" w:eastAsia="Times New Roman" w:cs="Times New Roman"/>
              <w:spacing w:val="-2"/>
              <w:sz w:val="24"/>
              <w:szCs w:val="24"/>
            </w:rPr>
            <w:fldChar w:fldCharType="end"/>
          </w:r>
        </w:p>
        <w:p w14:paraId="54AA8A98">
          <w:pPr>
            <w:tabs>
              <w:tab w:val="right" w:leader="dot" w:pos="8320"/>
            </w:tabs>
            <w:spacing w:before="133" w:line="185" w:lineRule="auto"/>
            <w:ind w:left="866"/>
            <w:rPr>
              <w:rFonts w:ascii="Times New Roman" w:hAnsi="Times New Roman" w:eastAsia="Times New Roman" w:cs="Times New Roman"/>
              <w:sz w:val="24"/>
              <w:szCs w:val="24"/>
            </w:rPr>
          </w:pPr>
          <w:r>
            <w:fldChar w:fldCharType="begin"/>
          </w:r>
          <w:r>
            <w:instrText xml:space="preserve"> HYPERLINK \l "bookmark431" </w:instrText>
          </w:r>
          <w:r>
            <w:fldChar w:fldCharType="separate"/>
          </w:r>
          <w:r>
            <w:rPr>
              <w:rFonts w:ascii="宋体" w:hAnsi="宋体" w:eastAsia="宋体" w:cs="宋体"/>
              <w:spacing w:val="-3"/>
              <w:sz w:val="24"/>
              <w:szCs w:val="24"/>
            </w:rPr>
            <w:t>投标总价扉页</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489</w:t>
          </w:r>
          <w:r>
            <w:rPr>
              <w:rFonts w:ascii="Times New Roman" w:hAnsi="Times New Roman" w:eastAsia="Times New Roman" w:cs="Times New Roman"/>
              <w:spacing w:val="-2"/>
              <w:sz w:val="24"/>
              <w:szCs w:val="24"/>
            </w:rPr>
            <w:fldChar w:fldCharType="end"/>
          </w:r>
        </w:p>
        <w:p w14:paraId="4F986C89">
          <w:pPr>
            <w:tabs>
              <w:tab w:val="right" w:leader="dot" w:pos="8320"/>
            </w:tabs>
            <w:spacing w:before="136" w:line="184" w:lineRule="auto"/>
            <w:ind w:left="444"/>
            <w:rPr>
              <w:rFonts w:ascii="Times New Roman" w:hAnsi="Times New Roman" w:eastAsia="Times New Roman" w:cs="Times New Roman"/>
              <w:sz w:val="24"/>
              <w:szCs w:val="24"/>
            </w:rPr>
          </w:pPr>
          <w:r>
            <w:fldChar w:fldCharType="begin"/>
          </w:r>
          <w:r>
            <w:instrText xml:space="preserve"> HYPERLINK \l "bookmark432" </w:instrText>
          </w:r>
          <w:r>
            <w:fldChar w:fldCharType="separate"/>
          </w:r>
          <w:r>
            <w:rPr>
              <w:rFonts w:ascii="宋体" w:hAnsi="宋体" w:eastAsia="宋体" w:cs="宋体"/>
              <w:spacing w:val="-2"/>
              <w:sz w:val="24"/>
              <w:szCs w:val="24"/>
            </w:rPr>
            <w:t>十、施工组织设计</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490</w:t>
          </w:r>
          <w:r>
            <w:rPr>
              <w:rFonts w:ascii="Times New Roman" w:hAnsi="Times New Roman" w:eastAsia="Times New Roman" w:cs="Times New Roman"/>
              <w:spacing w:val="-2"/>
              <w:sz w:val="24"/>
              <w:szCs w:val="24"/>
            </w:rPr>
            <w:fldChar w:fldCharType="end"/>
          </w:r>
        </w:p>
        <w:p w14:paraId="3457E1D0">
          <w:pPr>
            <w:tabs>
              <w:tab w:val="right" w:leader="dot" w:pos="8320"/>
            </w:tabs>
            <w:spacing w:before="135" w:line="184" w:lineRule="auto"/>
            <w:ind w:left="882"/>
            <w:rPr>
              <w:rFonts w:ascii="Times New Roman" w:hAnsi="Times New Roman" w:eastAsia="Times New Roman" w:cs="Times New Roman"/>
              <w:sz w:val="24"/>
              <w:szCs w:val="24"/>
            </w:rPr>
          </w:pPr>
          <w:r>
            <w:fldChar w:fldCharType="begin"/>
          </w:r>
          <w:r>
            <w:instrText xml:space="preserve"> HYPERLINK \l "bookmark433" </w:instrText>
          </w:r>
          <w:r>
            <w:fldChar w:fldCharType="separate"/>
          </w:r>
          <w:r>
            <w:rPr>
              <w:rFonts w:ascii="宋体" w:hAnsi="宋体" w:eastAsia="宋体" w:cs="宋体"/>
              <w:spacing w:val="-2"/>
              <w:sz w:val="24"/>
              <w:szCs w:val="24"/>
            </w:rPr>
            <w:t>附表一：拟投入本工程的主要施工设备表</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492</w:t>
          </w:r>
          <w:r>
            <w:rPr>
              <w:rFonts w:ascii="Times New Roman" w:hAnsi="Times New Roman" w:eastAsia="Times New Roman" w:cs="Times New Roman"/>
              <w:spacing w:val="-2"/>
              <w:sz w:val="24"/>
              <w:szCs w:val="24"/>
            </w:rPr>
            <w:fldChar w:fldCharType="end"/>
          </w:r>
        </w:p>
        <w:p w14:paraId="3CF43055">
          <w:pPr>
            <w:tabs>
              <w:tab w:val="right" w:leader="dot" w:pos="8320"/>
            </w:tabs>
            <w:spacing w:before="133" w:line="185" w:lineRule="auto"/>
            <w:ind w:left="882"/>
            <w:rPr>
              <w:rFonts w:ascii="Times New Roman" w:hAnsi="Times New Roman" w:eastAsia="Times New Roman" w:cs="Times New Roman"/>
              <w:sz w:val="24"/>
              <w:szCs w:val="24"/>
            </w:rPr>
          </w:pPr>
          <w:r>
            <w:fldChar w:fldCharType="begin"/>
          </w:r>
          <w:r>
            <w:instrText xml:space="preserve"> HYPERLINK \l "bookmark434" </w:instrText>
          </w:r>
          <w:r>
            <w:fldChar w:fldCharType="separate"/>
          </w:r>
          <w:r>
            <w:rPr>
              <w:rFonts w:ascii="宋体" w:hAnsi="宋体" w:eastAsia="宋体" w:cs="宋体"/>
              <w:spacing w:val="-2"/>
              <w:sz w:val="24"/>
              <w:szCs w:val="24"/>
            </w:rPr>
            <w:t>附表二：拟配备本工程的试验和检测仪器设备表</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493</w:t>
          </w:r>
          <w:r>
            <w:rPr>
              <w:rFonts w:ascii="Times New Roman" w:hAnsi="Times New Roman" w:eastAsia="Times New Roman" w:cs="Times New Roman"/>
              <w:spacing w:val="-2"/>
              <w:sz w:val="24"/>
              <w:szCs w:val="24"/>
            </w:rPr>
            <w:fldChar w:fldCharType="end"/>
          </w:r>
        </w:p>
        <w:p w14:paraId="1676D492">
          <w:pPr>
            <w:tabs>
              <w:tab w:val="right" w:leader="dot" w:pos="8320"/>
            </w:tabs>
            <w:spacing w:before="137" w:line="184" w:lineRule="auto"/>
            <w:ind w:left="882"/>
            <w:rPr>
              <w:rFonts w:ascii="Times New Roman" w:hAnsi="Times New Roman" w:eastAsia="Times New Roman" w:cs="Times New Roman"/>
              <w:sz w:val="24"/>
              <w:szCs w:val="24"/>
            </w:rPr>
          </w:pPr>
          <w:r>
            <w:fldChar w:fldCharType="begin"/>
          </w:r>
          <w:r>
            <w:instrText xml:space="preserve"> HYPERLINK \l "bookmark435" </w:instrText>
          </w:r>
          <w:r>
            <w:fldChar w:fldCharType="separate"/>
          </w:r>
          <w:r>
            <w:rPr>
              <w:rFonts w:ascii="宋体" w:hAnsi="宋体" w:eastAsia="宋体" w:cs="宋体"/>
              <w:spacing w:val="-3"/>
              <w:sz w:val="24"/>
              <w:szCs w:val="24"/>
            </w:rPr>
            <w:t>附表三：劳动力计划表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494</w:t>
          </w:r>
          <w:r>
            <w:rPr>
              <w:rFonts w:ascii="Times New Roman" w:hAnsi="Times New Roman" w:eastAsia="Times New Roman" w:cs="Times New Roman"/>
              <w:spacing w:val="-2"/>
              <w:sz w:val="24"/>
              <w:szCs w:val="24"/>
            </w:rPr>
            <w:fldChar w:fldCharType="end"/>
          </w:r>
        </w:p>
        <w:p w14:paraId="662419FF">
          <w:pPr>
            <w:tabs>
              <w:tab w:val="right" w:leader="dot" w:pos="8320"/>
            </w:tabs>
            <w:spacing w:before="132" w:line="185" w:lineRule="auto"/>
            <w:ind w:left="882"/>
            <w:rPr>
              <w:rFonts w:ascii="Times New Roman" w:hAnsi="Times New Roman" w:eastAsia="Times New Roman" w:cs="Times New Roman"/>
              <w:sz w:val="24"/>
              <w:szCs w:val="24"/>
            </w:rPr>
          </w:pPr>
          <w:r>
            <w:fldChar w:fldCharType="begin"/>
          </w:r>
          <w:r>
            <w:instrText xml:space="preserve"> HYPERLINK \l "bookmark436" </w:instrText>
          </w:r>
          <w:r>
            <w:fldChar w:fldCharType="separate"/>
          </w:r>
          <w:r>
            <w:rPr>
              <w:rFonts w:ascii="宋体" w:hAnsi="宋体" w:eastAsia="宋体" w:cs="宋体"/>
              <w:spacing w:val="-2"/>
              <w:sz w:val="24"/>
              <w:szCs w:val="24"/>
            </w:rPr>
            <w:t>附表四：计划开、竣工日期和施工进度网络图</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495</w:t>
          </w:r>
          <w:r>
            <w:rPr>
              <w:rFonts w:ascii="Times New Roman" w:hAnsi="Times New Roman" w:eastAsia="Times New Roman" w:cs="Times New Roman"/>
              <w:spacing w:val="-2"/>
              <w:sz w:val="24"/>
              <w:szCs w:val="24"/>
            </w:rPr>
            <w:fldChar w:fldCharType="end"/>
          </w:r>
        </w:p>
        <w:p w14:paraId="1D8A1ED5">
          <w:pPr>
            <w:tabs>
              <w:tab w:val="right" w:leader="dot" w:pos="8320"/>
            </w:tabs>
            <w:spacing w:before="137" w:line="184" w:lineRule="auto"/>
            <w:ind w:left="882"/>
            <w:rPr>
              <w:rFonts w:ascii="Times New Roman" w:hAnsi="Times New Roman" w:eastAsia="Times New Roman" w:cs="Times New Roman"/>
              <w:sz w:val="24"/>
              <w:szCs w:val="24"/>
            </w:rPr>
          </w:pPr>
          <w:r>
            <w:fldChar w:fldCharType="begin"/>
          </w:r>
          <w:r>
            <w:instrText xml:space="preserve"> HYPERLINK \l "bookmark437" </w:instrText>
          </w:r>
          <w:r>
            <w:fldChar w:fldCharType="separate"/>
          </w:r>
          <w:r>
            <w:rPr>
              <w:rFonts w:ascii="宋体" w:hAnsi="宋体" w:eastAsia="宋体" w:cs="宋体"/>
              <w:spacing w:val="-3"/>
              <w:sz w:val="24"/>
              <w:szCs w:val="24"/>
            </w:rPr>
            <w:t>附表五：施工总平面图</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496</w:t>
          </w:r>
          <w:r>
            <w:rPr>
              <w:rFonts w:ascii="Times New Roman" w:hAnsi="Times New Roman" w:eastAsia="Times New Roman" w:cs="Times New Roman"/>
              <w:spacing w:val="-2"/>
              <w:sz w:val="24"/>
              <w:szCs w:val="24"/>
            </w:rPr>
            <w:fldChar w:fldCharType="end"/>
          </w:r>
        </w:p>
        <w:p w14:paraId="75CE4117">
          <w:pPr>
            <w:tabs>
              <w:tab w:val="right" w:leader="dot" w:pos="8320"/>
            </w:tabs>
            <w:spacing w:before="135" w:line="184" w:lineRule="auto"/>
            <w:ind w:left="882"/>
            <w:rPr>
              <w:rFonts w:ascii="Times New Roman" w:hAnsi="Times New Roman" w:eastAsia="Times New Roman" w:cs="Times New Roman"/>
              <w:sz w:val="24"/>
              <w:szCs w:val="24"/>
            </w:rPr>
          </w:pPr>
          <w:r>
            <w:fldChar w:fldCharType="begin"/>
          </w:r>
          <w:r>
            <w:instrText xml:space="preserve"> HYPERLINK \l "bookmark438" </w:instrText>
          </w:r>
          <w:r>
            <w:fldChar w:fldCharType="separate"/>
          </w:r>
          <w:r>
            <w:rPr>
              <w:rFonts w:ascii="宋体" w:hAnsi="宋体" w:eastAsia="宋体" w:cs="宋体"/>
              <w:spacing w:val="-4"/>
              <w:sz w:val="24"/>
              <w:szCs w:val="24"/>
            </w:rPr>
            <w:t>附表六：临时用地表</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497</w:t>
          </w:r>
          <w:r>
            <w:rPr>
              <w:rFonts w:ascii="Times New Roman" w:hAnsi="Times New Roman" w:eastAsia="Times New Roman" w:cs="Times New Roman"/>
              <w:spacing w:val="-2"/>
              <w:sz w:val="24"/>
              <w:szCs w:val="24"/>
            </w:rPr>
            <w:fldChar w:fldCharType="end"/>
          </w:r>
        </w:p>
        <w:p w14:paraId="019351CF">
          <w:pPr>
            <w:tabs>
              <w:tab w:val="right" w:leader="dot" w:pos="8320"/>
            </w:tabs>
            <w:spacing w:before="132" w:line="219" w:lineRule="auto"/>
            <w:ind w:left="444"/>
            <w:rPr>
              <w:rFonts w:ascii="Times New Roman" w:hAnsi="Times New Roman" w:eastAsia="Times New Roman" w:cs="Times New Roman"/>
              <w:sz w:val="24"/>
              <w:szCs w:val="24"/>
            </w:rPr>
          </w:pPr>
          <w:r>
            <w:fldChar w:fldCharType="begin"/>
          </w:r>
          <w:r>
            <w:instrText xml:space="preserve"> HYPERLINK \l "bookmark439" </w:instrText>
          </w:r>
          <w:r>
            <w:fldChar w:fldCharType="separate"/>
          </w:r>
          <w:r>
            <w:rPr>
              <w:rFonts w:ascii="宋体" w:hAnsi="宋体" w:eastAsia="宋体" w:cs="宋体"/>
              <w:spacing w:val="-2"/>
              <w:sz w:val="24"/>
              <w:szCs w:val="24"/>
            </w:rPr>
            <w:t>十一、其他材料</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498</w:t>
          </w:r>
          <w:r>
            <w:rPr>
              <w:rFonts w:ascii="Times New Roman" w:hAnsi="Times New Roman" w:eastAsia="Times New Roman" w:cs="Times New Roman"/>
              <w:spacing w:val="-2"/>
              <w:sz w:val="24"/>
              <w:szCs w:val="24"/>
            </w:rPr>
            <w:fldChar w:fldCharType="end"/>
          </w:r>
        </w:p>
      </w:sdtContent>
    </w:sdt>
    <w:p w14:paraId="0208D485">
      <w:pPr>
        <w:spacing w:line="219" w:lineRule="auto"/>
        <w:rPr>
          <w:rFonts w:ascii="Times New Roman" w:hAnsi="Times New Roman" w:eastAsia="Times New Roman" w:cs="Times New Roman"/>
          <w:sz w:val="24"/>
          <w:szCs w:val="24"/>
        </w:rPr>
        <w:sectPr>
          <w:footerReference r:id="rId21" w:type="default"/>
          <w:pgSz w:w="11906" w:h="16839"/>
          <w:pgMar w:top="1431" w:right="1785" w:bottom="1153" w:left="1785" w:header="0" w:footer="994" w:gutter="0"/>
          <w:cols w:space="720" w:num="1"/>
        </w:sectPr>
      </w:pPr>
    </w:p>
    <w:p w14:paraId="56D2171C">
      <w:pPr>
        <w:spacing w:line="250" w:lineRule="auto"/>
        <w:rPr>
          <w:rFonts w:ascii="Arial"/>
          <w:sz w:val="21"/>
        </w:rPr>
      </w:pPr>
    </w:p>
    <w:p w14:paraId="5B9DB2D0">
      <w:pPr>
        <w:spacing w:line="250" w:lineRule="auto"/>
        <w:rPr>
          <w:rFonts w:ascii="Arial"/>
          <w:sz w:val="21"/>
        </w:rPr>
      </w:pPr>
    </w:p>
    <w:p w14:paraId="13B115D3">
      <w:pPr>
        <w:spacing w:line="250" w:lineRule="auto"/>
        <w:rPr>
          <w:rFonts w:ascii="Arial"/>
          <w:sz w:val="21"/>
        </w:rPr>
      </w:pPr>
    </w:p>
    <w:p w14:paraId="10A87FBA">
      <w:pPr>
        <w:spacing w:line="250" w:lineRule="auto"/>
        <w:rPr>
          <w:rFonts w:ascii="Arial"/>
          <w:sz w:val="21"/>
        </w:rPr>
      </w:pPr>
    </w:p>
    <w:p w14:paraId="16CBDDD8">
      <w:pPr>
        <w:spacing w:line="251" w:lineRule="auto"/>
        <w:rPr>
          <w:rFonts w:ascii="Arial"/>
          <w:sz w:val="21"/>
        </w:rPr>
      </w:pPr>
    </w:p>
    <w:p w14:paraId="03126C78">
      <w:pPr>
        <w:spacing w:line="251" w:lineRule="auto"/>
        <w:rPr>
          <w:rFonts w:ascii="Arial"/>
          <w:sz w:val="21"/>
        </w:rPr>
      </w:pPr>
    </w:p>
    <w:p w14:paraId="1DBB5890">
      <w:pPr>
        <w:spacing w:line="251" w:lineRule="auto"/>
        <w:rPr>
          <w:rFonts w:ascii="Arial"/>
          <w:sz w:val="21"/>
        </w:rPr>
      </w:pPr>
    </w:p>
    <w:p w14:paraId="40C151AB">
      <w:pPr>
        <w:spacing w:line="251" w:lineRule="auto"/>
        <w:rPr>
          <w:rFonts w:ascii="Arial"/>
          <w:sz w:val="21"/>
        </w:rPr>
      </w:pPr>
    </w:p>
    <w:p w14:paraId="0247E8C6">
      <w:pPr>
        <w:spacing w:line="251" w:lineRule="auto"/>
        <w:rPr>
          <w:rFonts w:ascii="Arial"/>
          <w:sz w:val="21"/>
        </w:rPr>
      </w:pPr>
    </w:p>
    <w:p w14:paraId="726B9BEF">
      <w:pPr>
        <w:spacing w:line="251" w:lineRule="auto"/>
        <w:rPr>
          <w:rFonts w:ascii="Arial"/>
          <w:sz w:val="21"/>
        </w:rPr>
      </w:pPr>
    </w:p>
    <w:p w14:paraId="1DD7308B">
      <w:pPr>
        <w:spacing w:line="251" w:lineRule="auto"/>
        <w:rPr>
          <w:rFonts w:ascii="Arial"/>
          <w:sz w:val="21"/>
        </w:rPr>
      </w:pPr>
    </w:p>
    <w:p w14:paraId="420DA67B">
      <w:pPr>
        <w:spacing w:line="251" w:lineRule="auto"/>
        <w:rPr>
          <w:rFonts w:ascii="Arial"/>
          <w:sz w:val="21"/>
        </w:rPr>
      </w:pPr>
    </w:p>
    <w:p w14:paraId="2F24B02F">
      <w:pPr>
        <w:pStyle w:val="2"/>
        <w:spacing w:before="152" w:line="226" w:lineRule="auto"/>
        <w:ind w:left="3464"/>
        <w:outlineLvl w:val="0"/>
        <w:rPr>
          <w:sz w:val="47"/>
          <w:szCs w:val="47"/>
        </w:rPr>
      </w:pPr>
      <w:bookmarkStart w:id="0" w:name="bookmark3"/>
      <w:bookmarkEnd w:id="0"/>
      <w:r>
        <w:rPr>
          <w:spacing w:val="3"/>
          <w:sz w:val="47"/>
          <w:szCs w:val="47"/>
        </w:rPr>
        <w:t>第一卷</w:t>
      </w:r>
    </w:p>
    <w:p w14:paraId="06E85FC5">
      <w:pPr>
        <w:spacing w:line="226" w:lineRule="auto"/>
        <w:rPr>
          <w:sz w:val="47"/>
          <w:szCs w:val="47"/>
        </w:rPr>
        <w:sectPr>
          <w:footerReference r:id="rId22" w:type="default"/>
          <w:pgSz w:w="11906" w:h="16839"/>
          <w:pgMar w:top="1431" w:right="1785" w:bottom="1156" w:left="1785" w:header="0" w:footer="994" w:gutter="0"/>
          <w:cols w:space="720" w:num="1"/>
        </w:sectPr>
      </w:pPr>
    </w:p>
    <w:p w14:paraId="72D4DF09">
      <w:pPr>
        <w:pStyle w:val="2"/>
        <w:spacing w:before="64" w:line="227" w:lineRule="auto"/>
        <w:ind w:left="1058"/>
        <w:outlineLvl w:val="0"/>
        <w:rPr>
          <w:rFonts w:ascii="宋体" w:hAnsi="宋体" w:eastAsia="宋体" w:cs="宋体"/>
          <w:sz w:val="28"/>
          <w:szCs w:val="28"/>
        </w:rPr>
      </w:pPr>
      <w:bookmarkStart w:id="1" w:name="bookmark4"/>
      <w:bookmarkEnd w:id="1"/>
      <w:r>
        <w:rPr>
          <w:spacing w:val="3"/>
          <w:sz w:val="31"/>
          <w:szCs w:val="31"/>
        </w:rPr>
        <w:t>第一章  投标邀请书</w:t>
      </w:r>
      <w:r>
        <w:rPr>
          <w:spacing w:val="3"/>
          <w:sz w:val="28"/>
          <w:szCs w:val="28"/>
        </w:rPr>
        <w:t>（</w:t>
      </w:r>
      <w:r>
        <w:rPr>
          <w:rFonts w:ascii="宋体" w:hAnsi="宋体" w:eastAsia="宋体" w:cs="宋体"/>
          <w:spacing w:val="3"/>
          <w:sz w:val="28"/>
          <w:szCs w:val="28"/>
        </w:rPr>
        <w:t>适用于已进行资格预审）</w:t>
      </w:r>
    </w:p>
    <w:p w14:paraId="2C63AFD4">
      <w:pPr>
        <w:spacing w:line="288" w:lineRule="auto"/>
        <w:rPr>
          <w:rFonts w:ascii="Arial"/>
          <w:sz w:val="21"/>
        </w:rPr>
      </w:pPr>
    </w:p>
    <w:p w14:paraId="30CBC814">
      <w:pPr>
        <w:spacing w:line="289" w:lineRule="auto"/>
        <w:rPr>
          <w:rFonts w:ascii="Arial"/>
          <w:sz w:val="21"/>
        </w:rPr>
      </w:pPr>
    </w:p>
    <w:p w14:paraId="0F41CD7F">
      <w:pPr>
        <w:pStyle w:val="2"/>
        <w:tabs>
          <w:tab w:val="left" w:pos="2486"/>
        </w:tabs>
        <w:spacing w:before="78" w:line="222" w:lineRule="auto"/>
        <w:ind w:left="566"/>
        <w:rPr>
          <w:sz w:val="24"/>
          <w:szCs w:val="24"/>
        </w:rPr>
      </w:pPr>
      <w:r>
        <w:rPr>
          <w:rFonts w:ascii="宋体" w:hAnsi="宋体" w:eastAsia="宋体" w:cs="宋体"/>
          <w:sz w:val="24"/>
          <w:szCs w:val="24"/>
          <w:u w:val="single" w:color="auto"/>
        </w:rPr>
        <w:tab/>
      </w:r>
      <w:r>
        <w:rPr>
          <w:rFonts w:ascii="宋体" w:hAnsi="宋体" w:eastAsia="宋体" w:cs="宋体"/>
          <w:spacing w:val="2"/>
          <w:sz w:val="24"/>
          <w:szCs w:val="24"/>
        </w:rPr>
        <w:t>（项目名称</w:t>
      </w:r>
      <w:r>
        <w:rPr>
          <w:rFonts w:ascii="宋体" w:hAnsi="宋体" w:eastAsia="宋体" w:cs="宋体"/>
          <w:spacing w:val="-18"/>
          <w:sz w:val="24"/>
          <w:szCs w:val="24"/>
        </w:rPr>
        <w:t>）</w:t>
      </w:r>
      <w:r>
        <w:rPr>
          <w:rFonts w:ascii="宋体" w:hAnsi="宋体" w:eastAsia="宋体" w:cs="宋体"/>
          <w:sz w:val="24"/>
          <w:szCs w:val="24"/>
          <w:u w:val="single" w:color="auto"/>
        </w:rPr>
        <w:t xml:space="preserve">      </w:t>
      </w:r>
      <w:r>
        <w:rPr>
          <w:rFonts w:ascii="宋体" w:hAnsi="宋体" w:eastAsia="宋体" w:cs="宋体"/>
          <w:spacing w:val="-18"/>
          <w:sz w:val="24"/>
          <w:szCs w:val="24"/>
        </w:rPr>
        <w:t>（</w:t>
      </w:r>
      <w:r>
        <w:rPr>
          <w:rFonts w:ascii="宋体" w:hAnsi="宋体" w:eastAsia="宋体" w:cs="宋体"/>
          <w:spacing w:val="2"/>
          <w:sz w:val="24"/>
          <w:szCs w:val="24"/>
        </w:rPr>
        <w:t>标段名称）</w:t>
      </w:r>
      <w:r>
        <w:rPr>
          <w:spacing w:val="2"/>
          <w:sz w:val="24"/>
          <w:szCs w:val="24"/>
        </w:rPr>
        <w:t>施工投标邀请书</w:t>
      </w:r>
    </w:p>
    <w:p w14:paraId="1B09BB6A">
      <w:pPr>
        <w:spacing w:line="289" w:lineRule="auto"/>
        <w:rPr>
          <w:rFonts w:ascii="Arial"/>
          <w:sz w:val="21"/>
        </w:rPr>
      </w:pPr>
    </w:p>
    <w:p w14:paraId="221995DA">
      <w:pPr>
        <w:spacing w:before="65" w:line="228" w:lineRule="auto"/>
        <w:ind w:left="3126"/>
        <w:rPr>
          <w:rFonts w:ascii="宋体" w:hAnsi="宋体" w:eastAsia="宋体" w:cs="宋体"/>
          <w:sz w:val="20"/>
          <w:szCs w:val="20"/>
        </w:rPr>
      </w:pPr>
      <w:r>
        <w:rPr>
          <w:rFonts w:ascii="宋体" w:hAnsi="宋体" w:eastAsia="宋体" w:cs="宋体"/>
          <w:spacing w:val="7"/>
          <w:sz w:val="20"/>
          <w:szCs w:val="20"/>
        </w:rPr>
        <w:t>招标编号：</w:t>
      </w:r>
      <w:r>
        <w:rPr>
          <w:rFonts w:ascii="宋体" w:hAnsi="宋体" w:eastAsia="宋体" w:cs="宋体"/>
          <w:sz w:val="20"/>
          <w:szCs w:val="20"/>
          <w:u w:val="single" w:color="auto"/>
        </w:rPr>
        <w:t xml:space="preserve">           </w:t>
      </w:r>
    </w:p>
    <w:p w14:paraId="03E19A2A">
      <w:pPr>
        <w:spacing w:line="446" w:lineRule="auto"/>
        <w:rPr>
          <w:rFonts w:ascii="Arial"/>
          <w:sz w:val="21"/>
        </w:rPr>
      </w:pPr>
    </w:p>
    <w:p w14:paraId="5C94ABC2">
      <w:pPr>
        <w:tabs>
          <w:tab w:val="left" w:pos="1168"/>
        </w:tabs>
        <w:spacing w:before="65" w:line="228" w:lineRule="auto"/>
        <w:ind w:left="1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（被邀请单位名称</w:t>
      </w:r>
      <w:r>
        <w:rPr>
          <w:rFonts w:ascii="宋体" w:hAnsi="宋体" w:eastAsia="宋体" w:cs="宋体"/>
          <w:spacing w:val="-54"/>
          <w:w w:val="99"/>
          <w:sz w:val="20"/>
          <w:szCs w:val="20"/>
        </w:rPr>
        <w:t>）：</w:t>
      </w:r>
    </w:p>
    <w:p w14:paraId="23F80690">
      <w:pPr>
        <w:spacing w:before="213" w:line="425" w:lineRule="auto"/>
        <w:ind w:left="24" w:right="68" w:firstLine="418"/>
        <w:rPr>
          <w:rFonts w:ascii="宋体" w:hAnsi="宋体" w:eastAsia="宋体" w:cs="宋体"/>
          <w:sz w:val="20"/>
          <w:szCs w:val="20"/>
        </w:rPr>
      </w:pPr>
      <w:r>
        <w:rPr>
          <w:rFonts w:ascii="宋体" w:hAnsi="宋体" w:eastAsia="宋体" w:cs="宋体"/>
          <w:spacing w:val="10"/>
          <w:sz w:val="20"/>
          <w:szCs w:val="20"/>
        </w:rPr>
        <w:t>你单位已通过资格预审，并提交了“投标确</w:t>
      </w:r>
      <w:r>
        <w:rPr>
          <w:rFonts w:ascii="宋体" w:hAnsi="宋体" w:eastAsia="宋体" w:cs="宋体"/>
          <w:spacing w:val="9"/>
          <w:sz w:val="20"/>
          <w:szCs w:val="20"/>
        </w:rPr>
        <w:t>认书</w:t>
      </w:r>
      <w:r>
        <w:rPr>
          <w:rFonts w:ascii="Times New Roman" w:hAnsi="Times New Roman" w:eastAsia="Times New Roman" w:cs="Times New Roman"/>
          <w:spacing w:val="9"/>
          <w:sz w:val="20"/>
          <w:szCs w:val="20"/>
        </w:rPr>
        <w:t>”</w:t>
      </w:r>
      <w:r>
        <w:rPr>
          <w:rFonts w:ascii="Times New Roman" w:hAnsi="Times New Roman" w:eastAsia="Times New Roman" w:cs="Times New Roman"/>
          <w:spacing w:val="-24"/>
          <w:sz w:val="20"/>
          <w:szCs w:val="20"/>
        </w:rPr>
        <w:t xml:space="preserve"> </w:t>
      </w:r>
      <w:r>
        <w:rPr>
          <w:rFonts w:ascii="宋体" w:hAnsi="宋体" w:eastAsia="宋体" w:cs="宋体"/>
          <w:spacing w:val="9"/>
          <w:sz w:val="20"/>
          <w:szCs w:val="20"/>
        </w:rPr>
        <w:t>，现邀请你单位按招标文件规定的内</w:t>
      </w:r>
      <w:r>
        <w:rPr>
          <w:rFonts w:ascii="宋体" w:hAnsi="宋体" w:eastAsia="宋体" w:cs="宋体"/>
          <w:spacing w:val="7"/>
          <w:sz w:val="20"/>
          <w:szCs w:val="20"/>
        </w:rPr>
        <w:t>容，参加</w:t>
      </w:r>
      <w:r>
        <w:rPr>
          <w:rFonts w:ascii="宋体" w:hAnsi="宋体" w:eastAsia="宋体" w:cs="宋体"/>
          <w:spacing w:val="-97"/>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 xml:space="preserve"> （项目名称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45"/>
          <w:sz w:val="20"/>
          <w:szCs w:val="20"/>
        </w:rPr>
        <w:t xml:space="preserve"> </w:t>
      </w:r>
      <w:r>
        <w:rPr>
          <w:rFonts w:ascii="宋体" w:hAnsi="宋体" w:eastAsia="宋体" w:cs="宋体"/>
          <w:spacing w:val="7"/>
          <w:sz w:val="20"/>
          <w:szCs w:val="20"/>
        </w:rPr>
        <w:t>标段名称）</w:t>
      </w:r>
      <w:r>
        <w:rPr>
          <w:rFonts w:ascii="宋体" w:hAnsi="宋体" w:eastAsia="宋体" w:cs="宋体"/>
          <w:spacing w:val="6"/>
          <w:sz w:val="20"/>
          <w:szCs w:val="20"/>
        </w:rPr>
        <w:t>施工投标。</w:t>
      </w:r>
    </w:p>
    <w:p w14:paraId="78649CAD">
      <w:pPr>
        <w:spacing w:before="251" w:line="424" w:lineRule="auto"/>
        <w:ind w:left="21" w:firstLine="421"/>
        <w:jc w:val="both"/>
        <w:rPr>
          <w:rFonts w:ascii="宋体" w:hAnsi="宋体" w:eastAsia="宋体" w:cs="宋体"/>
          <w:sz w:val="20"/>
          <w:szCs w:val="20"/>
        </w:rPr>
      </w:pPr>
      <w:r>
        <w:rPr>
          <w:rFonts w:ascii="宋体" w:hAnsi="宋体" w:eastAsia="宋体" w:cs="宋体"/>
          <w:spacing w:val="3"/>
          <w:sz w:val="20"/>
          <w:szCs w:val="20"/>
        </w:rPr>
        <w:t>本投标邀请书通过</w:t>
      </w:r>
      <w:r>
        <w:rPr>
          <w:rFonts w:ascii="宋体" w:hAnsi="宋体" w:eastAsia="宋体" w:cs="宋体"/>
          <w:spacing w:val="3"/>
          <w:sz w:val="20"/>
          <w:szCs w:val="20"/>
          <w:u w:val="single" w:color="auto"/>
        </w:rPr>
        <w:t>湖北省电子招投标交易平台</w:t>
      </w:r>
      <w:r>
        <w:rPr>
          <w:rFonts w:ascii="宋体" w:hAnsi="宋体" w:eastAsia="宋体" w:cs="宋体"/>
          <w:spacing w:val="3"/>
          <w:sz w:val="20"/>
          <w:szCs w:val="20"/>
        </w:rPr>
        <w:t>（以下简称“</w:t>
      </w:r>
      <w:r>
        <w:rPr>
          <w:rFonts w:ascii="宋体" w:hAnsi="宋体" w:eastAsia="宋体" w:cs="宋体"/>
          <w:spacing w:val="2"/>
          <w:sz w:val="20"/>
          <w:szCs w:val="20"/>
        </w:rPr>
        <w:t>电子交易平台</w:t>
      </w:r>
      <w:r>
        <w:rPr>
          <w:rFonts w:ascii="宋体" w:hAnsi="宋体" w:eastAsia="宋体" w:cs="宋体"/>
          <w:spacing w:val="-70"/>
          <w:sz w:val="20"/>
          <w:szCs w:val="20"/>
        </w:rPr>
        <w:t xml:space="preserve"> </w:t>
      </w:r>
      <w:r>
        <w:rPr>
          <w:rFonts w:ascii="宋体" w:hAnsi="宋体" w:eastAsia="宋体" w:cs="宋体"/>
          <w:spacing w:val="2"/>
          <w:sz w:val="20"/>
          <w:szCs w:val="20"/>
        </w:rPr>
        <w:t>”，下同</w:t>
      </w:r>
      <w:r>
        <w:rPr>
          <w:rFonts w:ascii="宋体" w:hAnsi="宋体" w:eastAsia="宋体" w:cs="宋体"/>
          <w:spacing w:val="-28"/>
          <w:sz w:val="20"/>
          <w:szCs w:val="20"/>
        </w:rPr>
        <w:t>）（</w:t>
      </w:r>
      <w:r>
        <w:rPr>
          <w:rFonts w:ascii="宋体" w:hAnsi="宋体" w:eastAsia="宋体" w:cs="宋体"/>
          <w:spacing w:val="2"/>
          <w:sz w:val="20"/>
          <w:szCs w:val="20"/>
        </w:rPr>
        <w:t>网</w:t>
      </w:r>
      <w:r>
        <w:rPr>
          <w:rFonts w:ascii="宋体" w:hAnsi="宋体" w:eastAsia="宋体" w:cs="宋体"/>
          <w:spacing w:val="16"/>
          <w:sz w:val="20"/>
          <w:szCs w:val="20"/>
        </w:rPr>
        <w:t>址：</w:t>
      </w:r>
      <w:r>
        <w:fldChar w:fldCharType="begin"/>
      </w:r>
      <w:r>
        <w:instrText xml:space="preserve"> HYPERLINK "https://" </w:instrText>
      </w:r>
      <w:r>
        <w:fldChar w:fldCharType="separate"/>
      </w:r>
      <w:r>
        <w:rPr>
          <w:rFonts w:ascii="Times New Roman" w:hAnsi="Times New Roman" w:eastAsia="Times New Roman" w:cs="Times New Roman"/>
          <w:sz w:val="20"/>
          <w:szCs w:val="20"/>
          <w:u w:val="single" w:color="auto"/>
        </w:rPr>
        <w:t>https</w:t>
      </w:r>
      <w:r>
        <w:rPr>
          <w:rFonts w:ascii="Times New Roman" w:hAnsi="Times New Roman" w:eastAsia="Times New Roman" w:cs="Times New Roman"/>
          <w:spacing w:val="16"/>
          <w:sz w:val="20"/>
          <w:szCs w:val="20"/>
          <w:u w:val="single" w:color="auto"/>
        </w:rPr>
        <w:t>://</w:t>
      </w:r>
      <w:r>
        <w:rPr>
          <w:rFonts w:ascii="Times New Roman" w:hAnsi="Times New Roman" w:eastAsia="Times New Roman" w:cs="Times New Roman"/>
          <w:spacing w:val="16"/>
          <w:sz w:val="20"/>
          <w:szCs w:val="20"/>
          <w:u w:val="single" w:color="auto"/>
        </w:rPr>
        <w:fldChar w:fldCharType="end"/>
      </w:r>
      <w:r>
        <w:fldChar w:fldCharType="begin"/>
      </w:r>
      <w:r>
        <w:instrText xml:space="preserve"> HYPERLINK "http://www.hbbidcloud.c" </w:instrText>
      </w:r>
      <w:r>
        <w:fldChar w:fldCharType="separate"/>
      </w:r>
      <w:r>
        <w:rPr>
          <w:rFonts w:ascii="Times New Roman" w:hAnsi="Times New Roman" w:eastAsia="Times New Roman" w:cs="Times New Roman"/>
          <w:sz w:val="20"/>
          <w:szCs w:val="20"/>
          <w:u w:val="single" w:color="auto"/>
        </w:rPr>
        <w:t>www</w:t>
      </w:r>
      <w:r>
        <w:rPr>
          <w:rFonts w:ascii="Times New Roman" w:hAnsi="Times New Roman" w:eastAsia="Times New Roman" w:cs="Times New Roman"/>
          <w:spacing w:val="16"/>
          <w:sz w:val="20"/>
          <w:szCs w:val="20"/>
          <w:u w:val="single" w:color="auto"/>
        </w:rPr>
        <w:t>.</w:t>
      </w:r>
      <w:r>
        <w:rPr>
          <w:rFonts w:ascii="Times New Roman" w:hAnsi="Times New Roman" w:eastAsia="Times New Roman" w:cs="Times New Roman"/>
          <w:sz w:val="20"/>
          <w:szCs w:val="20"/>
          <w:u w:val="single" w:color="auto"/>
        </w:rPr>
        <w:t>hbbidcloud</w:t>
      </w:r>
      <w:r>
        <w:rPr>
          <w:rFonts w:ascii="Times New Roman" w:hAnsi="Times New Roman" w:eastAsia="Times New Roman" w:cs="Times New Roman"/>
          <w:spacing w:val="16"/>
          <w:sz w:val="20"/>
          <w:szCs w:val="20"/>
          <w:u w:val="single" w:color="auto"/>
        </w:rPr>
        <w:t>.</w:t>
      </w:r>
      <w:r>
        <w:rPr>
          <w:rFonts w:ascii="Times New Roman" w:hAnsi="Times New Roman" w:eastAsia="Times New Roman" w:cs="Times New Roman"/>
          <w:sz w:val="20"/>
          <w:szCs w:val="20"/>
          <w:u w:val="single" w:color="auto"/>
        </w:rPr>
        <w:t>c</w:t>
      </w:r>
      <w:r>
        <w:rPr>
          <w:rFonts w:ascii="Times New Roman" w:hAnsi="Times New Roman" w:eastAsia="Times New Roman" w:cs="Times New Roman"/>
          <w:sz w:val="20"/>
          <w:szCs w:val="20"/>
          <w:u w:val="single" w:color="auto"/>
        </w:rPr>
        <w:fldChar w:fldCharType="end"/>
      </w:r>
      <w:r>
        <w:rPr>
          <w:rFonts w:ascii="Times New Roman" w:hAnsi="Times New Roman" w:eastAsia="Times New Roman" w:cs="Times New Roman"/>
          <w:sz w:val="20"/>
          <w:szCs w:val="20"/>
          <w:u w:val="single" w:color="auto"/>
        </w:rPr>
        <w:t>n</w:t>
      </w:r>
      <w:r>
        <w:rPr>
          <w:rFonts w:ascii="Times New Roman" w:hAnsi="Times New Roman" w:eastAsia="Times New Roman" w:cs="Times New Roman"/>
          <w:spacing w:val="-11"/>
          <w:sz w:val="20"/>
          <w:szCs w:val="20"/>
        </w:rPr>
        <w:t xml:space="preserve"> </w:t>
      </w:r>
      <w:r>
        <w:rPr>
          <w:rFonts w:ascii="宋体" w:hAnsi="宋体" w:eastAsia="宋体" w:cs="宋体"/>
          <w:spacing w:val="16"/>
          <w:sz w:val="20"/>
          <w:szCs w:val="20"/>
        </w:rPr>
        <w:t>）发出，请你单位收到投标邀请书后，于</w:t>
      </w:r>
      <w:r>
        <w:rPr>
          <w:rFonts w:ascii="宋体" w:hAnsi="宋体" w:eastAsia="宋体" w:cs="宋体"/>
          <w:spacing w:val="-93"/>
          <w:sz w:val="20"/>
          <w:szCs w:val="20"/>
        </w:rPr>
        <w:t xml:space="preserve"> </w:t>
      </w:r>
      <w:r>
        <w:rPr>
          <w:position w:val="-2"/>
          <w:sz w:val="20"/>
          <w:szCs w:val="20"/>
        </w:rPr>
        <w:drawing>
          <wp:inline distT="0" distB="0" distL="0" distR="0">
            <wp:extent cx="1060450" cy="571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562"/>
                    <a:stretch>
                      <a:fillRect/>
                    </a:stretch>
                  </pic:blipFill>
                  <pic:spPr>
                    <a:xfrm>
                      <a:off x="0" y="0"/>
                      <a:ext cx="1060450" cy="6095"/>
                    </a:xfrm>
                    <a:prstGeom prst="rect">
                      <a:avLst/>
                    </a:prstGeom>
                  </pic:spPr>
                </pic:pic>
              </a:graphicData>
            </a:graphic>
          </wp:inline>
        </w:drawing>
      </w:r>
      <w:r>
        <w:rPr>
          <w:rFonts w:ascii="宋体" w:hAnsi="宋体" w:eastAsia="宋体" w:cs="宋体"/>
          <w:w w:val="1"/>
          <w:sz w:val="20"/>
          <w:szCs w:val="20"/>
        </w:rPr>
        <w:t>年月</w:t>
      </w:r>
      <w:r>
        <w:rPr>
          <w:rFonts w:ascii="宋体" w:hAnsi="宋体" w:eastAsia="宋体" w:cs="宋体"/>
          <w:spacing w:val="6"/>
          <w:sz w:val="20"/>
          <w:szCs w:val="20"/>
        </w:rPr>
        <w:t>日至</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6"/>
          <w:sz w:val="20"/>
          <w:szCs w:val="20"/>
        </w:rPr>
        <w:t>年</w:t>
      </w:r>
      <w:r>
        <w:rPr>
          <w:rFonts w:ascii="宋体" w:hAnsi="宋体" w:eastAsia="宋体" w:cs="宋体"/>
          <w:spacing w:val="6"/>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6"/>
          <w:sz w:val="20"/>
          <w:szCs w:val="20"/>
        </w:rPr>
        <w:t>月</w:t>
      </w:r>
      <w:r>
        <w:rPr>
          <w:rFonts w:ascii="宋体" w:hAnsi="宋体" w:eastAsia="宋体" w:cs="宋体"/>
          <w:spacing w:val="6"/>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6"/>
          <w:sz w:val="20"/>
          <w:szCs w:val="20"/>
        </w:rPr>
        <w:t>日</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u w:val="single" w:color="auto"/>
        </w:rPr>
        <w:t>24</w:t>
      </w:r>
      <w:r>
        <w:rPr>
          <w:rFonts w:ascii="宋体" w:hAnsi="宋体" w:eastAsia="宋体" w:cs="宋体"/>
          <w:spacing w:val="6"/>
          <w:sz w:val="20"/>
          <w:szCs w:val="20"/>
          <w:u w:val="single" w:color="auto"/>
        </w:rPr>
        <w:t>：</w:t>
      </w:r>
      <w:r>
        <w:rPr>
          <w:rFonts w:ascii="Times New Roman" w:hAnsi="Times New Roman" w:eastAsia="Times New Roman" w:cs="Times New Roman"/>
          <w:spacing w:val="6"/>
          <w:sz w:val="20"/>
          <w:szCs w:val="20"/>
          <w:u w:val="single" w:color="auto"/>
        </w:rPr>
        <w:t>00</w:t>
      </w:r>
      <w:r>
        <w:rPr>
          <w:rFonts w:ascii="Times New Roman" w:hAnsi="Times New Roman" w:eastAsia="Times New Roman" w:cs="Times New Roman"/>
          <w:spacing w:val="20"/>
          <w:sz w:val="20"/>
          <w:szCs w:val="20"/>
          <w:u w:val="single" w:color="auto"/>
        </w:rPr>
        <w:t xml:space="preserve"> </w:t>
      </w:r>
      <w:r>
        <w:rPr>
          <w:rFonts w:ascii="宋体" w:hAnsi="宋体" w:eastAsia="宋体" w:cs="宋体"/>
          <w:spacing w:val="6"/>
          <w:sz w:val="20"/>
          <w:szCs w:val="20"/>
        </w:rPr>
        <w:t>时止（北京时间</w:t>
      </w:r>
      <w:r>
        <w:rPr>
          <w:rFonts w:ascii="宋体" w:hAnsi="宋体" w:eastAsia="宋体" w:cs="宋体"/>
          <w:spacing w:val="5"/>
          <w:sz w:val="20"/>
          <w:szCs w:val="20"/>
        </w:rPr>
        <w:t>，下同</w:t>
      </w:r>
      <w:r>
        <w:rPr>
          <w:rFonts w:ascii="宋体" w:hAnsi="宋体" w:eastAsia="宋体" w:cs="宋体"/>
          <w:spacing w:val="-46"/>
          <w:sz w:val="20"/>
          <w:szCs w:val="20"/>
        </w:rPr>
        <w:t>），</w:t>
      </w:r>
      <w:r>
        <w:rPr>
          <w:rFonts w:ascii="宋体" w:hAnsi="宋体" w:eastAsia="宋体" w:cs="宋体"/>
          <w:spacing w:val="5"/>
          <w:sz w:val="20"/>
          <w:szCs w:val="20"/>
        </w:rPr>
        <w:t>通过互联网使用</w:t>
      </w:r>
      <w:r>
        <w:rPr>
          <w:rFonts w:ascii="Times New Roman" w:hAnsi="Times New Roman" w:eastAsia="Times New Roman" w:cs="Times New Roman"/>
          <w:sz w:val="20"/>
          <w:szCs w:val="20"/>
        </w:rPr>
        <w:t>CA</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数字证书登录“</w:t>
      </w:r>
      <w:r>
        <w:rPr>
          <w:rFonts w:ascii="宋体" w:hAnsi="宋体" w:eastAsia="宋体" w:cs="宋体"/>
          <w:spacing w:val="-66"/>
          <w:sz w:val="20"/>
          <w:szCs w:val="20"/>
        </w:rPr>
        <w:t xml:space="preserve"> </w:t>
      </w:r>
      <w:r>
        <w:rPr>
          <w:rFonts w:ascii="宋体" w:hAnsi="宋体" w:eastAsia="宋体" w:cs="宋体"/>
          <w:spacing w:val="5"/>
          <w:sz w:val="20"/>
          <w:szCs w:val="20"/>
        </w:rPr>
        <w:t>电子交易平台</w:t>
      </w:r>
      <w:r>
        <w:rPr>
          <w:rFonts w:ascii="宋体" w:hAnsi="宋体" w:eastAsia="宋体" w:cs="宋体"/>
          <w:spacing w:val="-72"/>
          <w:sz w:val="20"/>
          <w:szCs w:val="20"/>
        </w:rPr>
        <w:t xml:space="preserve"> </w:t>
      </w:r>
      <w:r>
        <w:rPr>
          <w:rFonts w:ascii="宋体" w:hAnsi="宋体" w:eastAsia="宋体" w:cs="宋体"/>
          <w:spacing w:val="5"/>
          <w:sz w:val="20"/>
          <w:szCs w:val="20"/>
        </w:rPr>
        <w:t>”，在所投标段免费下载招标文件。联合体投标</w:t>
      </w:r>
      <w:r>
        <w:rPr>
          <w:rFonts w:ascii="宋体" w:hAnsi="宋体" w:eastAsia="宋体" w:cs="宋体"/>
          <w:spacing w:val="4"/>
          <w:sz w:val="20"/>
          <w:szCs w:val="20"/>
        </w:rPr>
        <w:t>的，</w:t>
      </w:r>
      <w:r>
        <w:rPr>
          <w:rFonts w:ascii="宋体" w:hAnsi="宋体" w:eastAsia="宋体" w:cs="宋体"/>
          <w:spacing w:val="-58"/>
          <w:sz w:val="20"/>
          <w:szCs w:val="20"/>
        </w:rPr>
        <w:t xml:space="preserve"> </w:t>
      </w:r>
      <w:r>
        <w:rPr>
          <w:rFonts w:ascii="宋体" w:hAnsi="宋体" w:eastAsia="宋体" w:cs="宋体"/>
          <w:spacing w:val="4"/>
          <w:sz w:val="20"/>
          <w:szCs w:val="20"/>
        </w:rPr>
        <w:t>由联合体牵头人</w:t>
      </w:r>
      <w:r>
        <w:rPr>
          <w:rFonts w:ascii="宋体" w:hAnsi="宋体" w:eastAsia="宋体" w:cs="宋体"/>
          <w:spacing w:val="3"/>
          <w:sz w:val="20"/>
          <w:szCs w:val="20"/>
        </w:rPr>
        <w:t>下载招标文件（具体操作参见“</w:t>
      </w:r>
      <w:r>
        <w:rPr>
          <w:rFonts w:ascii="宋体" w:hAnsi="宋体" w:eastAsia="宋体" w:cs="宋体"/>
          <w:spacing w:val="-68"/>
          <w:sz w:val="20"/>
          <w:szCs w:val="20"/>
        </w:rPr>
        <w:t xml:space="preserve"> </w:t>
      </w:r>
      <w:r>
        <w:rPr>
          <w:rFonts w:ascii="宋体" w:hAnsi="宋体" w:eastAsia="宋体" w:cs="宋体"/>
          <w:spacing w:val="3"/>
          <w:sz w:val="20"/>
          <w:szCs w:val="20"/>
        </w:rPr>
        <w:t>电子交易平台</w:t>
      </w:r>
      <w:r>
        <w:rPr>
          <w:rFonts w:ascii="宋体" w:hAnsi="宋体" w:eastAsia="宋体" w:cs="宋体"/>
          <w:spacing w:val="-70"/>
          <w:sz w:val="20"/>
          <w:szCs w:val="20"/>
        </w:rPr>
        <w:t xml:space="preserve"> </w:t>
      </w:r>
      <w:r>
        <w:rPr>
          <w:rFonts w:ascii="宋体" w:hAnsi="宋体" w:eastAsia="宋体" w:cs="宋体"/>
          <w:spacing w:val="3"/>
          <w:sz w:val="20"/>
          <w:szCs w:val="20"/>
        </w:rPr>
        <w:t>”—</w:t>
      </w:r>
      <w:r>
        <w:rPr>
          <w:rFonts w:ascii="宋体" w:hAnsi="宋体" w:eastAsia="宋体" w:cs="宋体"/>
          <w:spacing w:val="2"/>
          <w:sz w:val="20"/>
          <w:szCs w:val="20"/>
        </w:rPr>
        <w:t>服务指南—招标（资审）文件下载指南）。</w:t>
      </w:r>
      <w:r>
        <w:rPr>
          <w:rFonts w:ascii="宋体" w:hAnsi="宋体" w:eastAsia="宋体" w:cs="宋体"/>
          <w:spacing w:val="3"/>
          <w:sz w:val="20"/>
          <w:szCs w:val="20"/>
        </w:rPr>
        <w:t>未按规定从“</w:t>
      </w:r>
      <w:r>
        <w:rPr>
          <w:rFonts w:ascii="宋体" w:hAnsi="宋体" w:eastAsia="宋体" w:cs="宋体"/>
          <w:spacing w:val="-58"/>
          <w:sz w:val="20"/>
          <w:szCs w:val="20"/>
        </w:rPr>
        <w:t xml:space="preserve"> </w:t>
      </w:r>
      <w:r>
        <w:rPr>
          <w:rFonts w:ascii="宋体" w:hAnsi="宋体" w:eastAsia="宋体" w:cs="宋体"/>
          <w:spacing w:val="3"/>
          <w:sz w:val="20"/>
          <w:szCs w:val="20"/>
        </w:rPr>
        <w:t>电子交易平台</w:t>
      </w:r>
      <w:r>
        <w:rPr>
          <w:rFonts w:ascii="宋体" w:hAnsi="宋体" w:eastAsia="宋体" w:cs="宋体"/>
          <w:spacing w:val="-70"/>
          <w:sz w:val="20"/>
          <w:szCs w:val="20"/>
        </w:rPr>
        <w:t xml:space="preserve"> </w:t>
      </w:r>
      <w:r>
        <w:rPr>
          <w:rFonts w:ascii="宋体" w:hAnsi="宋体" w:eastAsia="宋体" w:cs="宋体"/>
          <w:spacing w:val="3"/>
          <w:sz w:val="20"/>
          <w:szCs w:val="20"/>
        </w:rPr>
        <w:t>”下载招标文件的，招标人 （“电子交易平台”）拒收其投标文</w:t>
      </w:r>
      <w:r>
        <w:rPr>
          <w:rFonts w:ascii="宋体" w:hAnsi="宋体" w:eastAsia="宋体" w:cs="宋体"/>
          <w:sz w:val="20"/>
          <w:szCs w:val="20"/>
        </w:rPr>
        <w:t>件。</w:t>
      </w:r>
    </w:p>
    <w:p w14:paraId="0EF01E28">
      <w:pPr>
        <w:spacing w:before="255" w:line="425" w:lineRule="auto"/>
        <w:ind w:left="21" w:right="70" w:firstLine="423"/>
        <w:jc w:val="both"/>
        <w:rPr>
          <w:rFonts w:ascii="宋体" w:hAnsi="宋体" w:eastAsia="宋体" w:cs="宋体"/>
          <w:sz w:val="20"/>
          <w:szCs w:val="20"/>
        </w:rPr>
      </w:pPr>
      <w:r>
        <w:rPr>
          <w:rFonts w:ascii="宋体" w:hAnsi="宋体" w:eastAsia="宋体" w:cs="宋体"/>
          <w:spacing w:val="3"/>
          <w:sz w:val="20"/>
          <w:szCs w:val="20"/>
        </w:rPr>
        <w:t>投标文件递交截止时间为</w:t>
      </w:r>
      <w:r>
        <w:rPr>
          <w:rFonts w:ascii="宋体" w:hAnsi="宋体" w:eastAsia="宋体" w:cs="宋体"/>
          <w:spacing w:val="3"/>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3"/>
          <w:sz w:val="20"/>
          <w:szCs w:val="20"/>
        </w:rPr>
        <w:t>年</w:t>
      </w:r>
      <w:r>
        <w:rPr>
          <w:rFonts w:ascii="宋体" w:hAnsi="宋体" w:eastAsia="宋体" w:cs="宋体"/>
          <w:spacing w:val="3"/>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3"/>
          <w:sz w:val="20"/>
          <w:szCs w:val="20"/>
        </w:rPr>
        <w:t>月</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2"/>
          <w:sz w:val="20"/>
          <w:szCs w:val="20"/>
        </w:rPr>
        <w:t xml:space="preserve"> </w:t>
      </w:r>
      <w:r>
        <w:rPr>
          <w:rFonts w:ascii="宋体" w:hAnsi="宋体" w:eastAsia="宋体" w:cs="宋体"/>
          <w:spacing w:val="3"/>
          <w:sz w:val="20"/>
          <w:szCs w:val="20"/>
        </w:rPr>
        <w:t>日</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3"/>
          <w:sz w:val="20"/>
          <w:szCs w:val="20"/>
        </w:rPr>
        <w:t>时</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2"/>
          <w:sz w:val="20"/>
          <w:szCs w:val="20"/>
        </w:rPr>
        <w:t>分。投标人应当在投标</w:t>
      </w:r>
      <w:r>
        <w:rPr>
          <w:rFonts w:ascii="宋体" w:hAnsi="宋体" w:eastAsia="宋体" w:cs="宋体"/>
          <w:spacing w:val="8"/>
          <w:sz w:val="20"/>
          <w:szCs w:val="20"/>
        </w:rPr>
        <w:t>截止时间前，通过互联网使用</w:t>
      </w:r>
      <w:r>
        <w:rPr>
          <w:rFonts w:ascii="宋体" w:hAnsi="宋体" w:eastAsia="宋体" w:cs="宋体"/>
          <w:sz w:val="20"/>
          <w:szCs w:val="20"/>
        </w:rPr>
        <w:t>CA</w:t>
      </w:r>
      <w:r>
        <w:rPr>
          <w:rFonts w:ascii="宋体" w:hAnsi="宋体" w:eastAsia="宋体" w:cs="宋体"/>
          <w:spacing w:val="-37"/>
          <w:sz w:val="20"/>
          <w:szCs w:val="20"/>
        </w:rPr>
        <w:t xml:space="preserve"> </w:t>
      </w:r>
      <w:r>
        <w:rPr>
          <w:rFonts w:ascii="宋体" w:hAnsi="宋体" w:eastAsia="宋体" w:cs="宋体"/>
          <w:spacing w:val="8"/>
          <w:sz w:val="20"/>
          <w:szCs w:val="20"/>
        </w:rPr>
        <w:t>数字证书登录“</w:t>
      </w:r>
      <w:r>
        <w:rPr>
          <w:rFonts w:ascii="宋体" w:hAnsi="宋体" w:eastAsia="宋体" w:cs="宋体"/>
          <w:spacing w:val="-65"/>
          <w:sz w:val="20"/>
          <w:szCs w:val="20"/>
        </w:rPr>
        <w:t xml:space="preserve"> </w:t>
      </w:r>
      <w:r>
        <w:rPr>
          <w:rFonts w:ascii="宋体" w:hAnsi="宋体" w:eastAsia="宋体" w:cs="宋体"/>
          <w:spacing w:val="8"/>
          <w:sz w:val="20"/>
          <w:szCs w:val="20"/>
        </w:rPr>
        <w:t>电</w:t>
      </w:r>
      <w:r>
        <w:rPr>
          <w:rFonts w:ascii="宋体" w:hAnsi="宋体" w:eastAsia="宋体" w:cs="宋体"/>
          <w:spacing w:val="7"/>
          <w:sz w:val="20"/>
          <w:szCs w:val="20"/>
        </w:rPr>
        <w:t>子交易平台</w:t>
      </w:r>
      <w:r>
        <w:rPr>
          <w:rFonts w:ascii="宋体" w:hAnsi="宋体" w:eastAsia="宋体" w:cs="宋体"/>
          <w:spacing w:val="-70"/>
          <w:sz w:val="20"/>
          <w:szCs w:val="20"/>
        </w:rPr>
        <w:t xml:space="preserve"> </w:t>
      </w:r>
      <w:r>
        <w:rPr>
          <w:rFonts w:ascii="宋体" w:hAnsi="宋体" w:eastAsia="宋体" w:cs="宋体"/>
          <w:spacing w:val="7"/>
          <w:sz w:val="20"/>
          <w:szCs w:val="20"/>
        </w:rPr>
        <w:t>”，</w:t>
      </w:r>
      <w:r>
        <w:rPr>
          <w:rFonts w:ascii="宋体" w:hAnsi="宋体" w:eastAsia="宋体" w:cs="宋体"/>
          <w:spacing w:val="-26"/>
          <w:sz w:val="20"/>
          <w:szCs w:val="20"/>
        </w:rPr>
        <w:t xml:space="preserve"> </w:t>
      </w:r>
      <w:r>
        <w:rPr>
          <w:rFonts w:ascii="宋体" w:hAnsi="宋体" w:eastAsia="宋体" w:cs="宋体"/>
          <w:spacing w:val="7"/>
          <w:sz w:val="20"/>
          <w:szCs w:val="20"/>
        </w:rPr>
        <w:t>选择所投标段将</w:t>
      </w:r>
      <w:r>
        <w:rPr>
          <w:rFonts w:ascii="宋体" w:hAnsi="宋体" w:eastAsia="宋体" w:cs="宋体"/>
          <w:b/>
          <w:bCs/>
          <w:spacing w:val="7"/>
          <w:sz w:val="20"/>
          <w:szCs w:val="20"/>
        </w:rPr>
        <w:t>加密的</w:t>
      </w:r>
      <w:r>
        <w:rPr>
          <w:rFonts w:ascii="宋体" w:hAnsi="宋体" w:eastAsia="宋体" w:cs="宋体"/>
          <w:b/>
          <w:bCs/>
          <w:spacing w:val="6"/>
          <w:sz w:val="20"/>
          <w:szCs w:val="20"/>
        </w:rPr>
        <w:t>电子投标文件</w:t>
      </w:r>
      <w:r>
        <w:rPr>
          <w:rFonts w:ascii="宋体" w:hAnsi="宋体" w:eastAsia="宋体" w:cs="宋体"/>
          <w:spacing w:val="6"/>
          <w:sz w:val="20"/>
          <w:szCs w:val="20"/>
        </w:rPr>
        <w:t>上传。投标人完成投标文件上传后，“电子交易平台</w:t>
      </w:r>
      <w:r>
        <w:rPr>
          <w:rFonts w:ascii="宋体" w:hAnsi="宋体" w:eastAsia="宋体" w:cs="宋体"/>
          <w:spacing w:val="-57"/>
          <w:sz w:val="20"/>
          <w:szCs w:val="20"/>
        </w:rPr>
        <w:t xml:space="preserve"> </w:t>
      </w:r>
      <w:r>
        <w:rPr>
          <w:rFonts w:ascii="宋体" w:hAnsi="宋体" w:eastAsia="宋体" w:cs="宋体"/>
          <w:spacing w:val="6"/>
          <w:sz w:val="20"/>
          <w:szCs w:val="20"/>
        </w:rPr>
        <w:t>”即时向投标人发出电子</w:t>
      </w:r>
      <w:r>
        <w:rPr>
          <w:rFonts w:ascii="宋体" w:hAnsi="宋体" w:eastAsia="宋体" w:cs="宋体"/>
          <w:spacing w:val="7"/>
          <w:sz w:val="20"/>
          <w:szCs w:val="20"/>
        </w:rPr>
        <w:t>签收凭证，递交时间以电子签收凭证载明的传输完成时间为准。逾期未完成上传或未加密的</w:t>
      </w:r>
      <w:r>
        <w:rPr>
          <w:rFonts w:ascii="宋体" w:hAnsi="宋体" w:eastAsia="宋体" w:cs="宋体"/>
          <w:sz w:val="20"/>
          <w:szCs w:val="20"/>
        </w:rPr>
        <w:t>电子投标文件，招标人（“电子交易平台”）将拒收。</w:t>
      </w:r>
    </w:p>
    <w:p w14:paraId="2E39345D">
      <w:pPr>
        <w:spacing w:line="271" w:lineRule="auto"/>
        <w:rPr>
          <w:rFonts w:ascii="Arial"/>
          <w:sz w:val="21"/>
        </w:rPr>
      </w:pPr>
    </w:p>
    <w:p w14:paraId="000A3990">
      <w:pPr>
        <w:spacing w:line="272" w:lineRule="auto"/>
        <w:rPr>
          <w:rFonts w:ascii="Arial"/>
          <w:sz w:val="21"/>
        </w:rPr>
      </w:pPr>
    </w:p>
    <w:p w14:paraId="23579D4E">
      <w:pPr>
        <w:spacing w:before="65" w:line="227" w:lineRule="auto"/>
        <w:ind w:left="459"/>
        <w:rPr>
          <w:rFonts w:ascii="宋体" w:hAnsi="宋体" w:eastAsia="宋体" w:cs="宋体"/>
          <w:sz w:val="20"/>
          <w:szCs w:val="20"/>
        </w:rPr>
      </w:pPr>
      <w:r>
        <w:rPr>
          <w:rFonts w:ascii="宋体" w:hAnsi="宋体" w:eastAsia="宋体" w:cs="宋体"/>
          <w:spacing w:val="6"/>
          <w:sz w:val="20"/>
          <w:szCs w:val="20"/>
        </w:rPr>
        <w:t>招 标</w:t>
      </w:r>
      <w:r>
        <w:rPr>
          <w:rFonts w:ascii="宋体" w:hAnsi="宋体" w:eastAsia="宋体" w:cs="宋体"/>
          <w:spacing w:val="28"/>
          <w:sz w:val="20"/>
          <w:szCs w:val="20"/>
        </w:rPr>
        <w:t xml:space="preserve"> </w:t>
      </w:r>
      <w:r>
        <w:rPr>
          <w:rFonts w:ascii="宋体" w:hAnsi="宋体" w:eastAsia="宋体" w:cs="宋体"/>
          <w:spacing w:val="6"/>
          <w:sz w:val="20"/>
          <w:szCs w:val="20"/>
        </w:rPr>
        <w:t>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9"/>
          <w:sz w:val="20"/>
          <w:szCs w:val="20"/>
        </w:rPr>
        <w:t xml:space="preserve">   </w:t>
      </w:r>
      <w:r>
        <w:rPr>
          <w:rFonts w:ascii="宋体" w:hAnsi="宋体" w:eastAsia="宋体" w:cs="宋体"/>
          <w:spacing w:val="6"/>
          <w:sz w:val="20"/>
          <w:szCs w:val="20"/>
        </w:rPr>
        <w:t>招标代理机构：</w:t>
      </w:r>
      <w:r>
        <w:rPr>
          <w:rFonts w:ascii="宋体" w:hAnsi="宋体" w:eastAsia="宋体" w:cs="宋体"/>
          <w:sz w:val="20"/>
          <w:szCs w:val="20"/>
          <w:u w:val="single" w:color="auto"/>
        </w:rPr>
        <w:t xml:space="preserve">                         </w:t>
      </w:r>
    </w:p>
    <w:p w14:paraId="3E9804DB">
      <w:pPr>
        <w:spacing w:before="215" w:line="237" w:lineRule="auto"/>
        <w:ind w:left="459"/>
        <w:rPr>
          <w:rFonts w:ascii="宋体" w:hAnsi="宋体" w:eastAsia="宋体" w:cs="宋体"/>
          <w:sz w:val="20"/>
          <w:szCs w:val="20"/>
        </w:rPr>
      </w:pPr>
      <w:r>
        <w:rPr>
          <w:rFonts w:ascii="宋体" w:hAnsi="宋体" w:eastAsia="宋体" w:cs="宋体"/>
          <w:spacing w:val="-3"/>
          <w:sz w:val="20"/>
          <w:szCs w:val="20"/>
        </w:rPr>
        <w:t>地</w:t>
      </w:r>
      <w:r>
        <w:rPr>
          <w:rFonts w:ascii="宋体" w:hAnsi="宋体" w:eastAsia="宋体" w:cs="宋体"/>
          <w:spacing w:val="9"/>
          <w:sz w:val="20"/>
          <w:szCs w:val="20"/>
        </w:rPr>
        <w:t xml:space="preserve">    </w:t>
      </w:r>
      <w:r>
        <w:rPr>
          <w:rFonts w:ascii="宋体" w:hAnsi="宋体" w:eastAsia="宋体" w:cs="宋体"/>
          <w:spacing w:val="-3"/>
          <w:sz w:val="20"/>
          <w:szCs w:val="20"/>
        </w:rPr>
        <w:t>址</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3"/>
          <w:sz w:val="20"/>
          <w:szCs w:val="20"/>
        </w:rPr>
        <w:t>地</w:t>
      </w:r>
      <w:r>
        <w:rPr>
          <w:rFonts w:ascii="宋体" w:hAnsi="宋体" w:eastAsia="宋体" w:cs="宋体"/>
          <w:spacing w:val="7"/>
          <w:sz w:val="20"/>
          <w:szCs w:val="20"/>
        </w:rPr>
        <w:t xml:space="preserve">    </w:t>
      </w:r>
      <w:r>
        <w:rPr>
          <w:rFonts w:ascii="宋体" w:hAnsi="宋体" w:eastAsia="宋体" w:cs="宋体"/>
          <w:spacing w:val="-3"/>
          <w:sz w:val="20"/>
          <w:szCs w:val="20"/>
        </w:rPr>
        <w:t>址</w:t>
      </w:r>
      <w:r>
        <w:rPr>
          <w:rFonts w:ascii="宋体" w:hAnsi="宋体" w:eastAsia="宋体" w:cs="宋体"/>
          <w:spacing w:val="-71"/>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387BB1CB">
      <w:pPr>
        <w:spacing w:before="201" w:line="228" w:lineRule="auto"/>
        <w:ind w:left="474"/>
        <w:rPr>
          <w:rFonts w:ascii="宋体" w:hAnsi="宋体" w:eastAsia="宋体" w:cs="宋体"/>
          <w:sz w:val="20"/>
          <w:szCs w:val="20"/>
        </w:rPr>
      </w:pPr>
      <w:r>
        <w:rPr>
          <w:rFonts w:ascii="宋体" w:hAnsi="宋体" w:eastAsia="宋体" w:cs="宋体"/>
          <w:spacing w:val="-6"/>
          <w:sz w:val="20"/>
          <w:szCs w:val="20"/>
        </w:rPr>
        <w:t>邮</w:t>
      </w:r>
      <w:r>
        <w:rPr>
          <w:rFonts w:ascii="宋体" w:hAnsi="宋体" w:eastAsia="宋体" w:cs="宋体"/>
          <w:spacing w:val="8"/>
          <w:sz w:val="20"/>
          <w:szCs w:val="20"/>
        </w:rPr>
        <w:t xml:space="preserve">    </w:t>
      </w:r>
      <w:r>
        <w:rPr>
          <w:rFonts w:ascii="宋体" w:hAnsi="宋体" w:eastAsia="宋体" w:cs="宋体"/>
          <w:spacing w:val="-6"/>
          <w:sz w:val="20"/>
          <w:szCs w:val="20"/>
        </w:rPr>
        <w:t>编</w:t>
      </w:r>
      <w:r>
        <w:rPr>
          <w:rFonts w:ascii="宋体" w:hAnsi="宋体" w:eastAsia="宋体" w:cs="宋体"/>
          <w:spacing w:val="-74"/>
          <w:sz w:val="20"/>
          <w:szCs w:val="20"/>
        </w:rPr>
        <w:t xml:space="preserve"> </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4"/>
          <w:sz w:val="20"/>
          <w:szCs w:val="20"/>
        </w:rPr>
        <w:t xml:space="preserve">   </w:t>
      </w:r>
      <w:r>
        <w:rPr>
          <w:rFonts w:ascii="宋体" w:hAnsi="宋体" w:eastAsia="宋体" w:cs="宋体"/>
          <w:spacing w:val="-6"/>
          <w:sz w:val="20"/>
          <w:szCs w:val="20"/>
        </w:rPr>
        <w:t>邮</w:t>
      </w:r>
      <w:r>
        <w:rPr>
          <w:rFonts w:ascii="宋体" w:hAnsi="宋体" w:eastAsia="宋体" w:cs="宋体"/>
          <w:spacing w:val="7"/>
          <w:sz w:val="20"/>
          <w:szCs w:val="20"/>
        </w:rPr>
        <w:t xml:space="preserve">    </w:t>
      </w:r>
      <w:r>
        <w:rPr>
          <w:rFonts w:ascii="宋体" w:hAnsi="宋体" w:eastAsia="宋体" w:cs="宋体"/>
          <w:spacing w:val="-6"/>
          <w:sz w:val="20"/>
          <w:szCs w:val="20"/>
        </w:rPr>
        <w:t>编</w:t>
      </w:r>
      <w:r>
        <w:rPr>
          <w:rFonts w:ascii="宋体" w:hAnsi="宋体" w:eastAsia="宋体" w:cs="宋体"/>
          <w:spacing w:val="-73"/>
          <w:sz w:val="20"/>
          <w:szCs w:val="20"/>
        </w:rPr>
        <w:t xml:space="preserve"> </w:t>
      </w:r>
      <w:r>
        <w:rPr>
          <w:rFonts w:ascii="宋体" w:hAnsi="宋体" w:eastAsia="宋体" w:cs="宋体"/>
          <w:spacing w:val="-6"/>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7"/>
          <w:sz w:val="20"/>
          <w:szCs w:val="20"/>
          <w:u w:val="single" w:color="auto"/>
        </w:rPr>
        <w:t xml:space="preserve">                 </w:t>
      </w:r>
    </w:p>
    <w:p w14:paraId="012D07D5">
      <w:pPr>
        <w:spacing w:before="214" w:line="228" w:lineRule="auto"/>
        <w:ind w:left="459"/>
        <w:rPr>
          <w:rFonts w:ascii="宋体" w:hAnsi="宋体" w:eastAsia="宋体" w:cs="宋体"/>
          <w:sz w:val="20"/>
          <w:szCs w:val="20"/>
        </w:rPr>
      </w:pPr>
      <w:r>
        <w:rPr>
          <w:rFonts w:ascii="宋体" w:hAnsi="宋体" w:eastAsia="宋体" w:cs="宋体"/>
          <w:spacing w:val="2"/>
          <w:sz w:val="20"/>
          <w:szCs w:val="20"/>
        </w:rPr>
        <w:t>联 系</w:t>
      </w:r>
      <w:r>
        <w:rPr>
          <w:rFonts w:ascii="宋体" w:hAnsi="宋体" w:eastAsia="宋体" w:cs="宋体"/>
          <w:spacing w:val="33"/>
          <w:sz w:val="20"/>
          <w:szCs w:val="20"/>
        </w:rPr>
        <w:t xml:space="preserve"> </w:t>
      </w:r>
      <w:r>
        <w:rPr>
          <w:rFonts w:ascii="宋体" w:hAnsi="宋体" w:eastAsia="宋体" w:cs="宋体"/>
          <w:spacing w:val="2"/>
          <w:sz w:val="20"/>
          <w:szCs w:val="20"/>
        </w:rPr>
        <w:t>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0"/>
          <w:sz w:val="20"/>
          <w:szCs w:val="20"/>
        </w:rPr>
        <w:t xml:space="preserve">   </w:t>
      </w:r>
      <w:r>
        <w:rPr>
          <w:rFonts w:ascii="宋体" w:hAnsi="宋体" w:eastAsia="宋体" w:cs="宋体"/>
          <w:spacing w:val="2"/>
          <w:sz w:val="20"/>
          <w:szCs w:val="20"/>
        </w:rPr>
        <w:t>项目负责人：</w:t>
      </w:r>
      <w:r>
        <w:rPr>
          <w:rFonts w:ascii="宋体" w:hAnsi="宋体" w:eastAsia="宋体" w:cs="宋体"/>
          <w:spacing w:val="2"/>
          <w:sz w:val="20"/>
          <w:szCs w:val="20"/>
          <w:u w:val="single" w:color="auto"/>
        </w:rPr>
        <w:t xml:space="preserve">                          </w:t>
      </w:r>
    </w:p>
    <w:p w14:paraId="28239EFD">
      <w:pPr>
        <w:spacing w:before="214" w:line="230" w:lineRule="auto"/>
        <w:ind w:left="483"/>
        <w:rPr>
          <w:rFonts w:ascii="宋体" w:hAnsi="宋体" w:eastAsia="宋体" w:cs="宋体"/>
          <w:sz w:val="20"/>
          <w:szCs w:val="20"/>
        </w:rPr>
      </w:pPr>
      <w:r>
        <w:rPr>
          <w:rFonts w:ascii="宋体" w:hAnsi="宋体" w:eastAsia="宋体" w:cs="宋体"/>
          <w:spacing w:val="-8"/>
          <w:sz w:val="20"/>
          <w:szCs w:val="20"/>
        </w:rPr>
        <w:t>电</w:t>
      </w:r>
      <w:r>
        <w:rPr>
          <w:rFonts w:ascii="宋体" w:hAnsi="宋体" w:eastAsia="宋体" w:cs="宋体"/>
          <w:spacing w:val="12"/>
          <w:sz w:val="20"/>
          <w:szCs w:val="20"/>
        </w:rPr>
        <w:t xml:space="preserve">    </w:t>
      </w:r>
      <w:r>
        <w:rPr>
          <w:rFonts w:ascii="宋体" w:hAnsi="宋体" w:eastAsia="宋体" w:cs="宋体"/>
          <w:spacing w:val="-8"/>
          <w:sz w:val="20"/>
          <w:szCs w:val="20"/>
        </w:rPr>
        <w:t>话</w:t>
      </w:r>
      <w:r>
        <w:rPr>
          <w:rFonts w:ascii="宋体" w:hAnsi="宋体" w:eastAsia="宋体" w:cs="宋体"/>
          <w:spacing w:val="-74"/>
          <w:sz w:val="20"/>
          <w:szCs w:val="20"/>
        </w:rPr>
        <w:t xml:space="preserve"> </w:t>
      </w:r>
      <w:r>
        <w:rPr>
          <w:rFonts w:ascii="宋体" w:hAnsi="宋体" w:eastAsia="宋体" w:cs="宋体"/>
          <w:spacing w:val="-8"/>
          <w:sz w:val="20"/>
          <w:szCs w:val="20"/>
        </w:rPr>
        <w:t>：</w:t>
      </w:r>
      <w:r>
        <w:rPr>
          <w:rFonts w:ascii="宋体" w:hAnsi="宋体" w:eastAsia="宋体" w:cs="宋体"/>
          <w:spacing w:val="-8"/>
          <w:sz w:val="20"/>
          <w:szCs w:val="20"/>
          <w:u w:val="single" w:color="auto"/>
        </w:rPr>
        <w:t xml:space="preserve">                            </w:t>
      </w:r>
      <w:r>
        <w:rPr>
          <w:rFonts w:ascii="宋体" w:hAnsi="宋体" w:eastAsia="宋体" w:cs="宋体"/>
          <w:spacing w:val="16"/>
          <w:sz w:val="20"/>
          <w:szCs w:val="20"/>
        </w:rPr>
        <w:t xml:space="preserve">   </w:t>
      </w:r>
      <w:r>
        <w:rPr>
          <w:rFonts w:ascii="宋体" w:hAnsi="宋体" w:eastAsia="宋体" w:cs="宋体"/>
          <w:spacing w:val="-8"/>
          <w:sz w:val="20"/>
          <w:szCs w:val="20"/>
        </w:rPr>
        <w:t>电</w:t>
      </w:r>
      <w:r>
        <w:rPr>
          <w:rFonts w:ascii="宋体" w:hAnsi="宋体" w:eastAsia="宋体" w:cs="宋体"/>
          <w:spacing w:val="7"/>
          <w:sz w:val="20"/>
          <w:szCs w:val="20"/>
        </w:rPr>
        <w:t xml:space="preserve">    </w:t>
      </w:r>
      <w:r>
        <w:rPr>
          <w:rFonts w:ascii="宋体" w:hAnsi="宋体" w:eastAsia="宋体" w:cs="宋体"/>
          <w:spacing w:val="-8"/>
          <w:sz w:val="20"/>
          <w:szCs w:val="20"/>
        </w:rPr>
        <w:t>话</w:t>
      </w:r>
      <w:r>
        <w:rPr>
          <w:rFonts w:ascii="宋体" w:hAnsi="宋体" w:eastAsia="宋体" w:cs="宋体"/>
          <w:spacing w:val="-73"/>
          <w:sz w:val="20"/>
          <w:szCs w:val="20"/>
        </w:rPr>
        <w:t xml:space="preserve"> </w:t>
      </w:r>
      <w:r>
        <w:rPr>
          <w:rFonts w:ascii="宋体" w:hAnsi="宋体" w:eastAsia="宋体" w:cs="宋体"/>
          <w:spacing w:val="-8"/>
          <w:sz w:val="20"/>
          <w:szCs w:val="20"/>
        </w:rPr>
        <w:t>：</w:t>
      </w:r>
      <w:r>
        <w:rPr>
          <w:rFonts w:ascii="宋体" w:hAnsi="宋体" w:eastAsia="宋体" w:cs="宋体"/>
          <w:sz w:val="20"/>
          <w:szCs w:val="20"/>
          <w:u w:val="single" w:color="auto"/>
        </w:rPr>
        <w:t xml:space="preserve">                             </w:t>
      </w:r>
    </w:p>
    <w:p w14:paraId="173BE696">
      <w:pPr>
        <w:spacing w:before="210" w:line="227" w:lineRule="auto"/>
        <w:ind w:left="457"/>
        <w:rPr>
          <w:rFonts w:ascii="宋体" w:hAnsi="宋体" w:eastAsia="宋体" w:cs="宋体"/>
          <w:sz w:val="20"/>
          <w:szCs w:val="20"/>
        </w:rPr>
      </w:pPr>
      <w:r>
        <w:rPr>
          <w:rFonts w:ascii="宋体" w:hAnsi="宋体" w:eastAsia="宋体" w:cs="宋体"/>
          <w:spacing w:val="-3"/>
          <w:sz w:val="20"/>
          <w:szCs w:val="20"/>
        </w:rPr>
        <w:t>传</w:t>
      </w:r>
      <w:r>
        <w:rPr>
          <w:rFonts w:ascii="宋体" w:hAnsi="宋体" w:eastAsia="宋体" w:cs="宋体"/>
          <w:spacing w:val="9"/>
          <w:sz w:val="20"/>
          <w:szCs w:val="20"/>
        </w:rPr>
        <w:t xml:space="preserve">    </w:t>
      </w:r>
      <w:r>
        <w:rPr>
          <w:rFonts w:ascii="宋体" w:hAnsi="宋体" w:eastAsia="宋体" w:cs="宋体"/>
          <w:spacing w:val="-3"/>
          <w:sz w:val="20"/>
          <w:szCs w:val="20"/>
        </w:rPr>
        <w:t>真</w:t>
      </w:r>
      <w:r>
        <w:rPr>
          <w:rFonts w:ascii="宋体" w:hAnsi="宋体" w:eastAsia="宋体" w:cs="宋体"/>
          <w:spacing w:val="-73"/>
          <w:sz w:val="20"/>
          <w:szCs w:val="20"/>
        </w:rPr>
        <w:t xml:space="preserve"> </w:t>
      </w:r>
      <w:r>
        <w:rPr>
          <w:rFonts w:ascii="宋体" w:hAnsi="宋体" w:eastAsia="宋体" w:cs="宋体"/>
          <w:spacing w:val="-3"/>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3"/>
          <w:sz w:val="20"/>
          <w:szCs w:val="20"/>
        </w:rPr>
        <w:t>传</w:t>
      </w:r>
      <w:r>
        <w:rPr>
          <w:rFonts w:ascii="宋体" w:hAnsi="宋体" w:eastAsia="宋体" w:cs="宋体"/>
          <w:spacing w:val="7"/>
          <w:sz w:val="20"/>
          <w:szCs w:val="20"/>
        </w:rPr>
        <w:t xml:space="preserve">    </w:t>
      </w:r>
      <w:r>
        <w:rPr>
          <w:rFonts w:ascii="宋体" w:hAnsi="宋体" w:eastAsia="宋体" w:cs="宋体"/>
          <w:spacing w:val="-3"/>
          <w:sz w:val="20"/>
          <w:szCs w:val="20"/>
        </w:rPr>
        <w:t>真</w:t>
      </w:r>
      <w:r>
        <w:rPr>
          <w:rFonts w:ascii="宋体" w:hAnsi="宋体" w:eastAsia="宋体" w:cs="宋体"/>
          <w:spacing w:val="-71"/>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07C0D951">
      <w:pPr>
        <w:spacing w:before="214" w:line="228" w:lineRule="auto"/>
        <w:ind w:left="483"/>
        <w:rPr>
          <w:rFonts w:ascii="宋体" w:hAnsi="宋体" w:eastAsia="宋体" w:cs="宋体"/>
          <w:sz w:val="20"/>
          <w:szCs w:val="20"/>
        </w:rPr>
      </w:pPr>
      <w:r>
        <w:rPr>
          <w:rFonts w:ascii="宋体" w:hAnsi="宋体" w:eastAsia="宋体" w:cs="宋体"/>
          <w:spacing w:val="2"/>
          <w:sz w:val="20"/>
          <w:szCs w:val="20"/>
        </w:rPr>
        <w:t>电子邮件：</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 xml:space="preserve">   </w:t>
      </w:r>
      <w:r>
        <w:rPr>
          <w:rFonts w:ascii="宋体" w:hAnsi="宋体" w:eastAsia="宋体" w:cs="宋体"/>
          <w:spacing w:val="2"/>
          <w:sz w:val="20"/>
          <w:szCs w:val="20"/>
        </w:rPr>
        <w:t>电子邮件：</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p>
    <w:p w14:paraId="669C38B8">
      <w:pPr>
        <w:spacing w:line="228" w:lineRule="auto"/>
        <w:rPr>
          <w:rFonts w:ascii="宋体" w:hAnsi="宋体" w:eastAsia="宋体" w:cs="宋体"/>
          <w:sz w:val="20"/>
          <w:szCs w:val="20"/>
        </w:rPr>
        <w:sectPr>
          <w:footerReference r:id="rId23" w:type="default"/>
          <w:pgSz w:w="11906" w:h="16839"/>
          <w:pgMar w:top="1421" w:right="1731" w:bottom="1156" w:left="1785" w:header="0" w:footer="994" w:gutter="0"/>
          <w:cols w:space="720" w:num="1"/>
        </w:sectPr>
      </w:pPr>
    </w:p>
    <w:p w14:paraId="12FA4562">
      <w:pPr>
        <w:spacing w:before="197" w:line="233" w:lineRule="auto"/>
        <w:ind w:left="475"/>
        <w:rPr>
          <w:rFonts w:ascii="宋体" w:hAnsi="宋体" w:eastAsia="宋体" w:cs="宋体"/>
          <w:sz w:val="20"/>
          <w:szCs w:val="20"/>
        </w:rPr>
      </w:pPr>
      <w:r>
        <w:rPr>
          <w:rFonts w:ascii="宋体" w:hAnsi="宋体" w:eastAsia="宋体" w:cs="宋体"/>
          <w:spacing w:val="-6"/>
          <w:sz w:val="20"/>
          <w:szCs w:val="20"/>
        </w:rPr>
        <w:t>网</w:t>
      </w:r>
      <w:r>
        <w:rPr>
          <w:rFonts w:ascii="宋体" w:hAnsi="宋体" w:eastAsia="宋体" w:cs="宋体"/>
          <w:spacing w:val="7"/>
          <w:sz w:val="20"/>
          <w:szCs w:val="20"/>
        </w:rPr>
        <w:t xml:space="preserve">    </w:t>
      </w:r>
      <w:r>
        <w:rPr>
          <w:rFonts w:ascii="宋体" w:hAnsi="宋体" w:eastAsia="宋体" w:cs="宋体"/>
          <w:spacing w:val="-6"/>
          <w:sz w:val="20"/>
          <w:szCs w:val="20"/>
        </w:rPr>
        <w:t>址</w:t>
      </w:r>
      <w:r>
        <w:rPr>
          <w:rFonts w:ascii="宋体" w:hAnsi="宋体" w:eastAsia="宋体" w:cs="宋体"/>
          <w:spacing w:val="-71"/>
          <w:sz w:val="20"/>
          <w:szCs w:val="20"/>
        </w:rPr>
        <w:t xml:space="preserve"> </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4"/>
          <w:sz w:val="20"/>
          <w:szCs w:val="20"/>
        </w:rPr>
        <w:t xml:space="preserve">   </w:t>
      </w:r>
      <w:r>
        <w:rPr>
          <w:rFonts w:ascii="宋体" w:hAnsi="宋体" w:eastAsia="宋体" w:cs="宋体"/>
          <w:spacing w:val="-6"/>
          <w:sz w:val="20"/>
          <w:szCs w:val="20"/>
        </w:rPr>
        <w:t>网</w:t>
      </w:r>
      <w:r>
        <w:rPr>
          <w:rFonts w:ascii="宋体" w:hAnsi="宋体" w:eastAsia="宋体" w:cs="宋体"/>
          <w:spacing w:val="7"/>
          <w:sz w:val="20"/>
          <w:szCs w:val="20"/>
        </w:rPr>
        <w:t xml:space="preserve">    </w:t>
      </w:r>
      <w:r>
        <w:rPr>
          <w:rFonts w:ascii="宋体" w:hAnsi="宋体" w:eastAsia="宋体" w:cs="宋体"/>
          <w:spacing w:val="-6"/>
          <w:sz w:val="20"/>
          <w:szCs w:val="20"/>
        </w:rPr>
        <w:t>址</w:t>
      </w:r>
      <w:r>
        <w:rPr>
          <w:rFonts w:ascii="宋体" w:hAnsi="宋体" w:eastAsia="宋体" w:cs="宋体"/>
          <w:spacing w:val="-73"/>
          <w:sz w:val="20"/>
          <w:szCs w:val="20"/>
        </w:rPr>
        <w:t xml:space="preserve"> </w:t>
      </w:r>
      <w:r>
        <w:rPr>
          <w:rFonts w:ascii="宋体" w:hAnsi="宋体" w:eastAsia="宋体" w:cs="宋体"/>
          <w:spacing w:val="-6"/>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7"/>
          <w:sz w:val="20"/>
          <w:szCs w:val="20"/>
          <w:u w:val="single" w:color="auto"/>
        </w:rPr>
        <w:t xml:space="preserve">                 </w:t>
      </w:r>
    </w:p>
    <w:p w14:paraId="2EF30C64">
      <w:pPr>
        <w:spacing w:before="209" w:line="228" w:lineRule="auto"/>
        <w:ind w:left="459"/>
        <w:rPr>
          <w:rFonts w:ascii="宋体" w:hAnsi="宋体" w:eastAsia="宋体" w:cs="宋体"/>
          <w:sz w:val="20"/>
          <w:szCs w:val="20"/>
        </w:rPr>
      </w:pPr>
      <w:r>
        <w:rPr>
          <w:rFonts w:ascii="宋体" w:hAnsi="宋体" w:eastAsia="宋体" w:cs="宋体"/>
          <w:spacing w:val="4"/>
          <w:sz w:val="20"/>
          <w:szCs w:val="20"/>
        </w:rPr>
        <w:t>开户银行：</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开户银行：</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4035F9A8">
      <w:pPr>
        <w:spacing w:before="211" w:line="229" w:lineRule="auto"/>
        <w:ind w:left="462"/>
        <w:rPr>
          <w:rFonts w:ascii="宋体" w:hAnsi="宋体" w:eastAsia="宋体" w:cs="宋体"/>
          <w:sz w:val="20"/>
          <w:szCs w:val="20"/>
        </w:rPr>
      </w:pPr>
      <w:r>
        <w:rPr>
          <w:rFonts w:ascii="宋体" w:hAnsi="宋体" w:eastAsia="宋体" w:cs="宋体"/>
          <w:spacing w:val="-4"/>
          <w:sz w:val="20"/>
          <w:szCs w:val="20"/>
        </w:rPr>
        <w:t>账</w:t>
      </w:r>
      <w:r>
        <w:rPr>
          <w:rFonts w:ascii="宋体" w:hAnsi="宋体" w:eastAsia="宋体" w:cs="宋体"/>
          <w:spacing w:val="8"/>
          <w:sz w:val="20"/>
          <w:szCs w:val="20"/>
        </w:rPr>
        <w:t xml:space="preserve">    </w:t>
      </w:r>
      <w:r>
        <w:rPr>
          <w:rFonts w:ascii="宋体" w:hAnsi="宋体" w:eastAsia="宋体" w:cs="宋体"/>
          <w:spacing w:val="-4"/>
          <w:sz w:val="20"/>
          <w:szCs w:val="20"/>
        </w:rPr>
        <w:t>号</w:t>
      </w:r>
      <w:r>
        <w:rPr>
          <w:rFonts w:ascii="宋体" w:hAnsi="宋体" w:eastAsia="宋体" w:cs="宋体"/>
          <w:spacing w:val="-71"/>
          <w:sz w:val="20"/>
          <w:szCs w:val="20"/>
        </w:rPr>
        <w:t xml:space="preserve"> </w:t>
      </w:r>
      <w:r>
        <w:rPr>
          <w:rFonts w:ascii="宋体" w:hAnsi="宋体" w:eastAsia="宋体" w:cs="宋体"/>
          <w:spacing w:val="-4"/>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9"/>
          <w:sz w:val="20"/>
          <w:szCs w:val="20"/>
        </w:rPr>
        <w:t xml:space="preserve">   </w:t>
      </w:r>
      <w:r>
        <w:rPr>
          <w:rFonts w:ascii="宋体" w:hAnsi="宋体" w:eastAsia="宋体" w:cs="宋体"/>
          <w:spacing w:val="-5"/>
          <w:sz w:val="20"/>
          <w:szCs w:val="20"/>
        </w:rPr>
        <w:t>账</w:t>
      </w:r>
      <w:r>
        <w:rPr>
          <w:rFonts w:ascii="宋体" w:hAnsi="宋体" w:eastAsia="宋体" w:cs="宋体"/>
          <w:spacing w:val="8"/>
          <w:sz w:val="20"/>
          <w:szCs w:val="20"/>
        </w:rPr>
        <w:t xml:space="preserve">    </w:t>
      </w:r>
      <w:r>
        <w:rPr>
          <w:rFonts w:ascii="宋体" w:hAnsi="宋体" w:eastAsia="宋体" w:cs="宋体"/>
          <w:spacing w:val="-5"/>
          <w:sz w:val="20"/>
          <w:szCs w:val="20"/>
        </w:rPr>
        <w:t>号</w:t>
      </w:r>
      <w:r>
        <w:rPr>
          <w:rFonts w:ascii="宋体" w:hAnsi="宋体" w:eastAsia="宋体" w:cs="宋体"/>
          <w:spacing w:val="-72"/>
          <w:sz w:val="20"/>
          <w:szCs w:val="20"/>
        </w:rPr>
        <w:t xml:space="preserve"> </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p>
    <w:p w14:paraId="546AAF9A">
      <w:pPr>
        <w:spacing w:line="256" w:lineRule="auto"/>
        <w:rPr>
          <w:rFonts w:ascii="Arial"/>
          <w:sz w:val="21"/>
        </w:rPr>
      </w:pPr>
    </w:p>
    <w:p w14:paraId="2B08ECED">
      <w:pPr>
        <w:spacing w:line="257" w:lineRule="auto"/>
        <w:rPr>
          <w:rFonts w:ascii="Arial"/>
          <w:sz w:val="21"/>
        </w:rPr>
      </w:pPr>
    </w:p>
    <w:p w14:paraId="12BBDDB7">
      <w:pPr>
        <w:spacing w:before="65" w:line="228" w:lineRule="auto"/>
        <w:ind w:left="445"/>
        <w:rPr>
          <w:rFonts w:ascii="宋体" w:hAnsi="宋体" w:eastAsia="宋体" w:cs="宋体"/>
          <w:sz w:val="20"/>
          <w:szCs w:val="20"/>
        </w:rPr>
      </w:pPr>
      <w:r>
        <w:rPr>
          <w:rFonts w:ascii="宋体" w:hAnsi="宋体" w:eastAsia="宋体" w:cs="宋体"/>
          <w:spacing w:val="8"/>
          <w:sz w:val="20"/>
          <w:szCs w:val="20"/>
        </w:rPr>
        <w:t>行政监督部门及联系方式：</w:t>
      </w:r>
    </w:p>
    <w:p w14:paraId="66846440">
      <w:pPr>
        <w:spacing w:before="153" w:line="230" w:lineRule="auto"/>
        <w:ind w:left="444"/>
        <w:rPr>
          <w:rFonts w:ascii="宋体" w:hAnsi="宋体" w:eastAsia="宋体" w:cs="宋体"/>
          <w:sz w:val="20"/>
          <w:szCs w:val="20"/>
        </w:rPr>
      </w:pPr>
      <w:r>
        <w:rPr>
          <w:rFonts w:ascii="宋体" w:hAnsi="宋体" w:eastAsia="宋体" w:cs="宋体"/>
          <w:spacing w:val="-7"/>
          <w:sz w:val="20"/>
          <w:szCs w:val="20"/>
        </w:rPr>
        <w:t>名</w:t>
      </w:r>
      <w:r>
        <w:rPr>
          <w:rFonts w:ascii="宋体" w:hAnsi="宋体" w:eastAsia="宋体" w:cs="宋体"/>
          <w:spacing w:val="7"/>
          <w:sz w:val="20"/>
          <w:szCs w:val="20"/>
        </w:rPr>
        <w:t xml:space="preserve">    </w:t>
      </w:r>
      <w:r>
        <w:rPr>
          <w:rFonts w:ascii="宋体" w:hAnsi="宋体" w:eastAsia="宋体" w:cs="宋体"/>
          <w:spacing w:val="-7"/>
          <w:sz w:val="20"/>
          <w:szCs w:val="20"/>
        </w:rPr>
        <w:t>称</w:t>
      </w:r>
      <w:r>
        <w:rPr>
          <w:rFonts w:ascii="宋体" w:hAnsi="宋体" w:eastAsia="宋体" w:cs="宋体"/>
          <w:spacing w:val="-71"/>
          <w:sz w:val="20"/>
          <w:szCs w:val="20"/>
        </w:rPr>
        <w:t xml:space="preserve"> </w:t>
      </w:r>
      <w:r>
        <w:rPr>
          <w:rFonts w:ascii="宋体" w:hAnsi="宋体" w:eastAsia="宋体" w:cs="宋体"/>
          <w:spacing w:val="-7"/>
          <w:sz w:val="20"/>
          <w:szCs w:val="20"/>
        </w:rPr>
        <w:t>：</w:t>
      </w:r>
      <w:r>
        <w:rPr>
          <w:rFonts w:ascii="宋体" w:hAnsi="宋体" w:eastAsia="宋体" w:cs="宋体"/>
          <w:sz w:val="20"/>
          <w:szCs w:val="20"/>
          <w:u w:val="single" w:color="auto"/>
        </w:rPr>
        <w:t xml:space="preserve">                    </w:t>
      </w:r>
    </w:p>
    <w:p w14:paraId="5648CC5A">
      <w:pPr>
        <w:spacing w:before="151" w:line="237" w:lineRule="auto"/>
        <w:ind w:left="442"/>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5"/>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613FE1C6">
      <w:pPr>
        <w:spacing w:before="142" w:line="230" w:lineRule="auto"/>
        <w:ind w:left="466"/>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6"/>
          <w:sz w:val="20"/>
          <w:szCs w:val="20"/>
        </w:rPr>
        <w:t xml:space="preserve">    </w:t>
      </w:r>
      <w:r>
        <w:rPr>
          <w:rFonts w:ascii="宋体" w:hAnsi="宋体" w:eastAsia="宋体" w:cs="宋体"/>
          <w:spacing w:val="-13"/>
          <w:sz w:val="20"/>
          <w:szCs w:val="20"/>
        </w:rPr>
        <w:t>话</w:t>
      </w:r>
      <w:r>
        <w:rPr>
          <w:rFonts w:ascii="宋体" w:hAnsi="宋体" w:eastAsia="宋体" w:cs="宋体"/>
          <w:spacing w:val="-71"/>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4BBF5494">
      <w:pPr>
        <w:spacing w:before="151" w:line="227" w:lineRule="auto"/>
        <w:ind w:left="440"/>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7"/>
          <w:sz w:val="20"/>
          <w:szCs w:val="20"/>
        </w:rPr>
        <w:t xml:space="preserve">    </w:t>
      </w:r>
      <w:r>
        <w:rPr>
          <w:rFonts w:ascii="宋体" w:hAnsi="宋体" w:eastAsia="宋体" w:cs="宋体"/>
          <w:spacing w:val="-5"/>
          <w:sz w:val="20"/>
          <w:szCs w:val="20"/>
        </w:rPr>
        <w:t>真</w:t>
      </w:r>
      <w:r>
        <w:rPr>
          <w:rFonts w:ascii="宋体" w:hAnsi="宋体" w:eastAsia="宋体" w:cs="宋体"/>
          <w:spacing w:val="-73"/>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24CB4946">
      <w:pPr>
        <w:spacing w:before="201" w:line="228" w:lineRule="auto"/>
        <w:ind w:left="457"/>
        <w:rPr>
          <w:rFonts w:ascii="宋体" w:hAnsi="宋体" w:eastAsia="宋体" w:cs="宋体"/>
          <w:sz w:val="20"/>
          <w:szCs w:val="20"/>
        </w:rPr>
      </w:pPr>
      <w:r>
        <w:rPr>
          <w:rFonts w:ascii="宋体" w:hAnsi="宋体" w:eastAsia="宋体" w:cs="宋体"/>
          <w:spacing w:val="4"/>
          <w:sz w:val="20"/>
          <w:szCs w:val="20"/>
        </w:rPr>
        <w:t>邮政编码：</w:t>
      </w:r>
      <w:r>
        <w:rPr>
          <w:rFonts w:ascii="宋体" w:hAnsi="宋体" w:eastAsia="宋体" w:cs="宋体"/>
          <w:sz w:val="20"/>
          <w:szCs w:val="20"/>
          <w:u w:val="single" w:color="auto"/>
        </w:rPr>
        <w:t xml:space="preserve">                    </w:t>
      </w:r>
    </w:p>
    <w:p w14:paraId="59F6A140">
      <w:pPr>
        <w:spacing w:line="280" w:lineRule="auto"/>
        <w:rPr>
          <w:rFonts w:ascii="Arial"/>
          <w:sz w:val="21"/>
        </w:rPr>
      </w:pPr>
    </w:p>
    <w:p w14:paraId="5A105FCC">
      <w:pPr>
        <w:spacing w:line="280" w:lineRule="auto"/>
        <w:rPr>
          <w:rFonts w:ascii="Arial"/>
          <w:sz w:val="21"/>
        </w:rPr>
      </w:pPr>
    </w:p>
    <w:p w14:paraId="5EFB9343">
      <w:pPr>
        <w:tabs>
          <w:tab w:val="left" w:pos="6325"/>
        </w:tabs>
        <w:spacing w:before="65" w:line="228" w:lineRule="auto"/>
        <w:ind w:left="527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14"/>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4"/>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50"/>
          <w:sz w:val="20"/>
          <w:szCs w:val="20"/>
        </w:rPr>
        <w:t xml:space="preserve"> </w:t>
      </w:r>
      <w:r>
        <w:rPr>
          <w:rFonts w:ascii="宋体" w:hAnsi="宋体" w:eastAsia="宋体" w:cs="宋体"/>
          <w:spacing w:val="-14"/>
          <w:sz w:val="20"/>
          <w:szCs w:val="20"/>
        </w:rPr>
        <w:t>日</w:t>
      </w:r>
    </w:p>
    <w:p w14:paraId="0BE02F11">
      <w:pPr>
        <w:spacing w:line="247" w:lineRule="auto"/>
        <w:rPr>
          <w:rFonts w:ascii="Arial"/>
          <w:sz w:val="21"/>
        </w:rPr>
      </w:pPr>
    </w:p>
    <w:p w14:paraId="40C8DD68">
      <w:pPr>
        <w:spacing w:line="247" w:lineRule="auto"/>
        <w:rPr>
          <w:rFonts w:ascii="Arial"/>
          <w:sz w:val="21"/>
        </w:rPr>
      </w:pPr>
    </w:p>
    <w:p w14:paraId="009A3CC1">
      <w:pPr>
        <w:spacing w:line="248" w:lineRule="auto"/>
        <w:rPr>
          <w:rFonts w:ascii="Arial"/>
          <w:sz w:val="21"/>
        </w:rPr>
      </w:pPr>
    </w:p>
    <w:p w14:paraId="6332404B">
      <w:pPr>
        <w:spacing w:line="248" w:lineRule="auto"/>
        <w:rPr>
          <w:rFonts w:ascii="Arial"/>
          <w:sz w:val="21"/>
        </w:rPr>
      </w:pPr>
    </w:p>
    <w:p w14:paraId="5CC6E21E">
      <w:pPr>
        <w:spacing w:line="248" w:lineRule="auto"/>
        <w:rPr>
          <w:rFonts w:ascii="Arial"/>
          <w:sz w:val="21"/>
        </w:rPr>
      </w:pPr>
    </w:p>
    <w:p w14:paraId="358A6178">
      <w:pPr>
        <w:spacing w:before="66" w:line="288" w:lineRule="auto"/>
        <w:ind w:left="1071" w:right="15" w:hanging="1047"/>
        <w:rPr>
          <w:rFonts w:ascii="宋体" w:hAnsi="宋体" w:eastAsia="宋体" w:cs="宋体"/>
          <w:sz w:val="20"/>
          <w:szCs w:val="20"/>
        </w:rPr>
      </w:pPr>
      <w:r>
        <w:rPr>
          <w:rFonts w:ascii="宋体" w:hAnsi="宋体" w:eastAsia="宋体" w:cs="宋体"/>
          <w:spacing w:val="8"/>
          <w:sz w:val="20"/>
          <w:szCs w:val="20"/>
        </w:rPr>
        <w:t>备注：</w:t>
      </w:r>
      <w:r>
        <w:rPr>
          <w:rFonts w:ascii="Times New Roman" w:hAnsi="Times New Roman" w:eastAsia="Times New Roman" w:cs="Times New Roman"/>
          <w:spacing w:val="8"/>
          <w:sz w:val="20"/>
          <w:szCs w:val="20"/>
        </w:rPr>
        <w:t>1.</w:t>
      </w:r>
      <w:r>
        <w:rPr>
          <w:rFonts w:ascii="宋体" w:hAnsi="宋体" w:eastAsia="宋体" w:cs="宋体"/>
          <w:spacing w:val="8"/>
          <w:sz w:val="20"/>
          <w:szCs w:val="20"/>
        </w:rPr>
        <w:t>“投标确认书</w:t>
      </w:r>
      <w:r>
        <w:rPr>
          <w:rFonts w:ascii="宋体" w:hAnsi="宋体" w:eastAsia="宋体" w:cs="宋体"/>
          <w:spacing w:val="-72"/>
          <w:sz w:val="20"/>
          <w:szCs w:val="20"/>
        </w:rPr>
        <w:t xml:space="preserve"> </w:t>
      </w:r>
      <w:r>
        <w:rPr>
          <w:rFonts w:ascii="宋体" w:hAnsi="宋体" w:eastAsia="宋体" w:cs="宋体"/>
          <w:spacing w:val="8"/>
          <w:sz w:val="20"/>
          <w:szCs w:val="20"/>
        </w:rPr>
        <w:t>”格式见《湖北省房屋建筑和市政工</w:t>
      </w:r>
      <w:r>
        <w:rPr>
          <w:rFonts w:ascii="宋体" w:hAnsi="宋体" w:eastAsia="宋体" w:cs="宋体"/>
          <w:spacing w:val="7"/>
          <w:sz w:val="20"/>
          <w:szCs w:val="20"/>
        </w:rPr>
        <w:t>程施工招标资格预审文件示范文本》第二章附表十。</w:t>
      </w:r>
    </w:p>
    <w:p w14:paraId="01DD2D55">
      <w:pPr>
        <w:spacing w:before="2" w:line="288" w:lineRule="auto"/>
        <w:ind w:left="957" w:right="15" w:hanging="310"/>
        <w:jc w:val="right"/>
        <w:rPr>
          <w:rFonts w:ascii="宋体" w:hAnsi="宋体" w:eastAsia="宋体" w:cs="宋体"/>
          <w:sz w:val="20"/>
          <w:szCs w:val="20"/>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1"/>
          <w:sz w:val="20"/>
          <w:szCs w:val="20"/>
        </w:rPr>
        <w:t xml:space="preserve">    </w:t>
      </w:r>
      <w:r>
        <w:rPr>
          <w:rFonts w:ascii="宋体" w:hAnsi="宋体" w:eastAsia="宋体" w:cs="宋体"/>
          <w:spacing w:val="8"/>
          <w:sz w:val="20"/>
          <w:szCs w:val="20"/>
        </w:rPr>
        <w:t>“在所投标段免费下载招标文件</w:t>
      </w:r>
      <w:r>
        <w:rPr>
          <w:rFonts w:ascii="宋体" w:hAnsi="宋体" w:eastAsia="宋体" w:cs="宋体"/>
          <w:spacing w:val="-68"/>
          <w:sz w:val="20"/>
          <w:szCs w:val="20"/>
        </w:rPr>
        <w:t xml:space="preserve"> </w:t>
      </w:r>
      <w:r>
        <w:rPr>
          <w:rFonts w:ascii="宋体" w:hAnsi="宋体" w:eastAsia="宋体" w:cs="宋体"/>
          <w:spacing w:val="8"/>
          <w:sz w:val="20"/>
          <w:szCs w:val="20"/>
        </w:rPr>
        <w:t>”是指投标人拟参</w:t>
      </w:r>
      <w:r>
        <w:rPr>
          <w:rFonts w:ascii="宋体" w:hAnsi="宋体" w:eastAsia="宋体" w:cs="宋体"/>
          <w:spacing w:val="7"/>
          <w:sz w:val="20"/>
          <w:szCs w:val="20"/>
        </w:rPr>
        <w:t>加某标段投标的，应按规定下</w:t>
      </w:r>
      <w:r>
        <w:rPr>
          <w:rFonts w:ascii="宋体" w:hAnsi="宋体" w:eastAsia="宋体" w:cs="宋体"/>
          <w:spacing w:val="8"/>
          <w:sz w:val="20"/>
          <w:szCs w:val="20"/>
        </w:rPr>
        <w:t>载该标段的招标文件。投标人的下载活动“</w:t>
      </w:r>
      <w:r>
        <w:rPr>
          <w:rFonts w:ascii="宋体" w:hAnsi="宋体" w:eastAsia="宋体" w:cs="宋体"/>
          <w:spacing w:val="-61"/>
          <w:sz w:val="20"/>
          <w:szCs w:val="20"/>
        </w:rPr>
        <w:t xml:space="preserve"> </w:t>
      </w:r>
      <w:r>
        <w:rPr>
          <w:rFonts w:ascii="宋体" w:hAnsi="宋体" w:eastAsia="宋体" w:cs="宋体"/>
          <w:spacing w:val="8"/>
          <w:sz w:val="20"/>
          <w:szCs w:val="20"/>
        </w:rPr>
        <w:t>电子交易平台</w:t>
      </w:r>
      <w:r>
        <w:rPr>
          <w:rFonts w:ascii="宋体" w:hAnsi="宋体" w:eastAsia="宋体" w:cs="宋体"/>
          <w:spacing w:val="-70"/>
          <w:sz w:val="20"/>
          <w:szCs w:val="20"/>
        </w:rPr>
        <w:t xml:space="preserve"> </w:t>
      </w:r>
      <w:r>
        <w:rPr>
          <w:rFonts w:ascii="宋体" w:hAnsi="宋体" w:eastAsia="宋体" w:cs="宋体"/>
          <w:spacing w:val="8"/>
          <w:sz w:val="20"/>
          <w:szCs w:val="20"/>
        </w:rPr>
        <w:t>”将予以记录，并可在“下载情况查询</w:t>
      </w:r>
      <w:r>
        <w:rPr>
          <w:rFonts w:ascii="宋体" w:hAnsi="宋体" w:eastAsia="宋体" w:cs="宋体"/>
          <w:spacing w:val="-66"/>
          <w:sz w:val="20"/>
          <w:szCs w:val="20"/>
        </w:rPr>
        <w:t xml:space="preserve"> </w:t>
      </w:r>
      <w:r>
        <w:rPr>
          <w:rFonts w:ascii="宋体" w:hAnsi="宋体" w:eastAsia="宋体" w:cs="宋体"/>
          <w:spacing w:val="8"/>
          <w:sz w:val="20"/>
          <w:szCs w:val="20"/>
        </w:rPr>
        <w:t>”中查看，该记录作为投标人是否下载该标段招标文件的依据。</w:t>
      </w:r>
    </w:p>
    <w:p w14:paraId="1DD6B656">
      <w:pPr>
        <w:spacing w:line="288" w:lineRule="auto"/>
        <w:rPr>
          <w:rFonts w:ascii="宋体" w:hAnsi="宋体" w:eastAsia="宋体" w:cs="宋体"/>
          <w:sz w:val="20"/>
          <w:szCs w:val="20"/>
        </w:rPr>
        <w:sectPr>
          <w:footerReference r:id="rId24" w:type="default"/>
          <w:pgSz w:w="11906" w:h="16839"/>
          <w:pgMar w:top="1431" w:right="1785" w:bottom="1156" w:left="1785" w:header="0" w:footer="994" w:gutter="0"/>
          <w:cols w:space="720" w:num="1"/>
        </w:sectPr>
      </w:pPr>
    </w:p>
    <w:p w14:paraId="7F793370">
      <w:pPr>
        <w:spacing w:line="254" w:lineRule="auto"/>
        <w:rPr>
          <w:rFonts w:ascii="Arial"/>
          <w:sz w:val="21"/>
        </w:rPr>
      </w:pPr>
    </w:p>
    <w:p w14:paraId="170F336A">
      <w:pPr>
        <w:spacing w:line="254" w:lineRule="auto"/>
        <w:rPr>
          <w:rFonts w:ascii="Arial"/>
          <w:sz w:val="21"/>
        </w:rPr>
      </w:pPr>
    </w:p>
    <w:p w14:paraId="1BC55CA0">
      <w:pPr>
        <w:spacing w:line="254" w:lineRule="auto"/>
        <w:rPr>
          <w:rFonts w:ascii="Arial"/>
          <w:sz w:val="21"/>
        </w:rPr>
      </w:pPr>
    </w:p>
    <w:p w14:paraId="18ACBD73">
      <w:pPr>
        <w:spacing w:line="254" w:lineRule="auto"/>
        <w:rPr>
          <w:rFonts w:ascii="Arial"/>
          <w:sz w:val="21"/>
        </w:rPr>
      </w:pPr>
    </w:p>
    <w:p w14:paraId="6BCCDA35">
      <w:pPr>
        <w:spacing w:line="254" w:lineRule="auto"/>
        <w:rPr>
          <w:rFonts w:ascii="Arial"/>
          <w:sz w:val="21"/>
        </w:rPr>
      </w:pPr>
    </w:p>
    <w:p w14:paraId="07A8355E">
      <w:pPr>
        <w:spacing w:line="254" w:lineRule="auto"/>
        <w:rPr>
          <w:rFonts w:ascii="Arial"/>
          <w:sz w:val="21"/>
        </w:rPr>
      </w:pPr>
    </w:p>
    <w:p w14:paraId="4075306E">
      <w:pPr>
        <w:spacing w:line="254" w:lineRule="auto"/>
        <w:rPr>
          <w:rFonts w:ascii="Arial"/>
          <w:sz w:val="21"/>
        </w:rPr>
      </w:pPr>
    </w:p>
    <w:p w14:paraId="59E19AAB">
      <w:pPr>
        <w:spacing w:line="254" w:lineRule="auto"/>
        <w:rPr>
          <w:rFonts w:ascii="Arial"/>
          <w:sz w:val="21"/>
        </w:rPr>
      </w:pPr>
    </w:p>
    <w:p w14:paraId="4C56949E">
      <w:pPr>
        <w:spacing w:line="255" w:lineRule="auto"/>
        <w:rPr>
          <w:rFonts w:ascii="Arial"/>
          <w:sz w:val="21"/>
        </w:rPr>
      </w:pPr>
    </w:p>
    <w:p w14:paraId="5C54CD63">
      <w:pPr>
        <w:spacing w:line="255" w:lineRule="auto"/>
        <w:rPr>
          <w:rFonts w:ascii="Arial"/>
          <w:sz w:val="21"/>
        </w:rPr>
      </w:pPr>
    </w:p>
    <w:p w14:paraId="46074A81">
      <w:pPr>
        <w:pStyle w:val="2"/>
        <w:spacing w:before="101" w:line="226" w:lineRule="auto"/>
        <w:ind w:left="2738"/>
        <w:outlineLvl w:val="0"/>
        <w:rPr>
          <w:sz w:val="31"/>
          <w:szCs w:val="31"/>
        </w:rPr>
      </w:pPr>
      <w:r>
        <w:rPr>
          <w:spacing w:val="7"/>
          <w:sz w:val="31"/>
          <w:szCs w:val="31"/>
        </w:rPr>
        <w:t>第二章  投标人须知</w:t>
      </w:r>
    </w:p>
    <w:p w14:paraId="6EA15043">
      <w:pPr>
        <w:spacing w:line="226" w:lineRule="auto"/>
        <w:rPr>
          <w:sz w:val="31"/>
          <w:szCs w:val="31"/>
        </w:rPr>
        <w:sectPr>
          <w:footerReference r:id="rId25" w:type="default"/>
          <w:pgSz w:w="11906" w:h="16839"/>
          <w:pgMar w:top="1431" w:right="1785" w:bottom="1156" w:left="1785" w:header="0" w:footer="994" w:gutter="0"/>
          <w:cols w:space="720" w:num="1"/>
        </w:sectPr>
      </w:pPr>
    </w:p>
    <w:p w14:paraId="376AAAEB">
      <w:pPr>
        <w:pStyle w:val="2"/>
        <w:spacing w:before="175" w:line="226" w:lineRule="auto"/>
        <w:ind w:left="2738"/>
        <w:outlineLvl w:val="0"/>
        <w:rPr>
          <w:sz w:val="31"/>
          <w:szCs w:val="31"/>
        </w:rPr>
      </w:pPr>
      <w:bookmarkStart w:id="2" w:name="bookmark5"/>
      <w:bookmarkEnd w:id="2"/>
      <w:bookmarkStart w:id="3" w:name="bookmark6"/>
      <w:bookmarkEnd w:id="3"/>
      <w:r>
        <w:rPr>
          <w:spacing w:val="7"/>
          <w:sz w:val="31"/>
          <w:szCs w:val="31"/>
        </w:rPr>
        <w:t>第二章  投标人须知</w:t>
      </w:r>
    </w:p>
    <w:p w14:paraId="4B469CD1">
      <w:pPr>
        <w:pStyle w:val="2"/>
        <w:spacing w:before="173" w:line="211" w:lineRule="auto"/>
        <w:ind w:left="22"/>
        <w:outlineLvl w:val="1"/>
        <w:rPr>
          <w:sz w:val="28"/>
          <w:szCs w:val="28"/>
        </w:rPr>
      </w:pPr>
      <w:bookmarkStart w:id="4" w:name="bookmark440"/>
      <w:bookmarkEnd w:id="4"/>
      <w:r>
        <w:rPr>
          <w:spacing w:val="-1"/>
          <w:sz w:val="28"/>
          <w:szCs w:val="28"/>
        </w:rPr>
        <w:t>投标人须知前附表</w:t>
      </w:r>
    </w:p>
    <w:tbl>
      <w:tblPr>
        <w:tblStyle w:val="5"/>
        <w:tblW w:w="8418"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2224"/>
        <w:gridCol w:w="5339"/>
      </w:tblGrid>
      <w:tr w14:paraId="5DD11F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855" w:type="dxa"/>
            <w:vAlign w:val="top"/>
          </w:tcPr>
          <w:p w14:paraId="4F466F8D">
            <w:pPr>
              <w:pStyle w:val="6"/>
              <w:spacing w:before="189" w:line="228" w:lineRule="auto"/>
              <w:ind w:left="117"/>
            </w:pPr>
            <w:r>
              <w:rPr>
                <w:b/>
                <w:bCs/>
                <w:spacing w:val="5"/>
              </w:rPr>
              <w:t>条款号</w:t>
            </w:r>
          </w:p>
        </w:tc>
        <w:tc>
          <w:tcPr>
            <w:tcW w:w="2224" w:type="dxa"/>
            <w:vAlign w:val="top"/>
          </w:tcPr>
          <w:p w14:paraId="38F06A8B">
            <w:pPr>
              <w:pStyle w:val="6"/>
              <w:spacing w:before="189" w:line="228" w:lineRule="auto"/>
              <w:ind w:left="381"/>
            </w:pPr>
            <w:r>
              <w:rPr>
                <w:b/>
                <w:bCs/>
                <w:spacing w:val="-3"/>
              </w:rPr>
              <w:t>条</w:t>
            </w:r>
            <w:r>
              <w:rPr>
                <w:spacing w:val="10"/>
              </w:rPr>
              <w:t xml:space="preserve">  </w:t>
            </w:r>
            <w:r>
              <w:rPr>
                <w:b/>
                <w:bCs/>
                <w:spacing w:val="-3"/>
              </w:rPr>
              <w:t>款</w:t>
            </w:r>
            <w:r>
              <w:rPr>
                <w:spacing w:val="12"/>
              </w:rPr>
              <w:t xml:space="preserve">  </w:t>
            </w:r>
            <w:r>
              <w:rPr>
                <w:b/>
                <w:bCs/>
                <w:spacing w:val="-3"/>
              </w:rPr>
              <w:t>名</w:t>
            </w:r>
            <w:r>
              <w:rPr>
                <w:spacing w:val="10"/>
              </w:rPr>
              <w:t xml:space="preserve">  </w:t>
            </w:r>
            <w:r>
              <w:rPr>
                <w:b/>
                <w:bCs/>
                <w:spacing w:val="-3"/>
              </w:rPr>
              <w:t>称</w:t>
            </w:r>
          </w:p>
        </w:tc>
        <w:tc>
          <w:tcPr>
            <w:tcW w:w="5339" w:type="dxa"/>
            <w:vAlign w:val="top"/>
          </w:tcPr>
          <w:p w14:paraId="7315A91C">
            <w:pPr>
              <w:pStyle w:val="6"/>
              <w:spacing w:before="189" w:line="228" w:lineRule="auto"/>
              <w:ind w:left="1939"/>
            </w:pPr>
            <w:r>
              <w:rPr>
                <w:b/>
                <w:bCs/>
                <w:spacing w:val="-10"/>
              </w:rPr>
              <w:t>编</w:t>
            </w:r>
            <w:r>
              <w:rPr>
                <w:spacing w:val="12"/>
              </w:rPr>
              <w:t xml:space="preserve">  </w:t>
            </w:r>
            <w:r>
              <w:rPr>
                <w:b/>
                <w:bCs/>
                <w:spacing w:val="-10"/>
              </w:rPr>
              <w:t>列</w:t>
            </w:r>
            <w:r>
              <w:rPr>
                <w:spacing w:val="22"/>
              </w:rPr>
              <w:t xml:space="preserve">  </w:t>
            </w:r>
            <w:r>
              <w:rPr>
                <w:b/>
                <w:bCs/>
                <w:spacing w:val="-10"/>
              </w:rPr>
              <w:t>内</w:t>
            </w:r>
            <w:r>
              <w:rPr>
                <w:spacing w:val="11"/>
              </w:rPr>
              <w:t xml:space="preserve">  </w:t>
            </w:r>
            <w:r>
              <w:rPr>
                <w:b/>
                <w:bCs/>
                <w:spacing w:val="-10"/>
              </w:rPr>
              <w:t>容</w:t>
            </w:r>
          </w:p>
        </w:tc>
      </w:tr>
      <w:tr w14:paraId="7F7FF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6" w:hRule="atLeast"/>
        </w:trPr>
        <w:tc>
          <w:tcPr>
            <w:tcW w:w="855" w:type="dxa"/>
            <w:vAlign w:val="top"/>
          </w:tcPr>
          <w:p w14:paraId="0DE3568C">
            <w:pPr>
              <w:spacing w:line="258" w:lineRule="auto"/>
              <w:rPr>
                <w:rFonts w:ascii="Arial"/>
                <w:sz w:val="21"/>
              </w:rPr>
            </w:pPr>
          </w:p>
          <w:p w14:paraId="67619C46">
            <w:pPr>
              <w:spacing w:line="259" w:lineRule="auto"/>
              <w:rPr>
                <w:rFonts w:ascii="Arial"/>
                <w:sz w:val="21"/>
              </w:rPr>
            </w:pPr>
          </w:p>
          <w:p w14:paraId="53B11746">
            <w:pPr>
              <w:spacing w:line="259" w:lineRule="auto"/>
              <w:rPr>
                <w:rFonts w:ascii="Arial"/>
                <w:sz w:val="21"/>
              </w:rPr>
            </w:pPr>
          </w:p>
          <w:p w14:paraId="5F8D7FCC">
            <w:pPr>
              <w:spacing w:before="5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1.2</w:t>
            </w:r>
          </w:p>
        </w:tc>
        <w:tc>
          <w:tcPr>
            <w:tcW w:w="2224" w:type="dxa"/>
            <w:vAlign w:val="top"/>
          </w:tcPr>
          <w:p w14:paraId="756CA4BB">
            <w:pPr>
              <w:spacing w:line="244" w:lineRule="auto"/>
              <w:rPr>
                <w:rFonts w:ascii="Arial"/>
                <w:sz w:val="21"/>
              </w:rPr>
            </w:pPr>
          </w:p>
          <w:p w14:paraId="40812133">
            <w:pPr>
              <w:spacing w:line="245" w:lineRule="auto"/>
              <w:rPr>
                <w:rFonts w:ascii="Arial"/>
                <w:sz w:val="21"/>
              </w:rPr>
            </w:pPr>
          </w:p>
          <w:p w14:paraId="42A674CA">
            <w:pPr>
              <w:spacing w:line="245" w:lineRule="auto"/>
              <w:rPr>
                <w:rFonts w:ascii="Arial"/>
                <w:sz w:val="21"/>
              </w:rPr>
            </w:pPr>
          </w:p>
          <w:p w14:paraId="645064AC">
            <w:pPr>
              <w:pStyle w:val="6"/>
              <w:spacing w:before="65" w:line="228" w:lineRule="auto"/>
              <w:ind w:left="113"/>
            </w:pPr>
            <w:r>
              <w:rPr>
                <w:spacing w:val="6"/>
              </w:rPr>
              <w:t>招标人</w:t>
            </w:r>
          </w:p>
        </w:tc>
        <w:tc>
          <w:tcPr>
            <w:tcW w:w="5339" w:type="dxa"/>
            <w:vAlign w:val="top"/>
          </w:tcPr>
          <w:p w14:paraId="2A918A10">
            <w:pPr>
              <w:pStyle w:val="6"/>
              <w:spacing w:before="179" w:line="227" w:lineRule="auto"/>
              <w:ind w:left="116"/>
            </w:pPr>
            <w:r>
              <w:rPr>
                <w:spacing w:val="7"/>
              </w:rPr>
              <w:t>名    称：同投标邀请书，下同</w:t>
            </w:r>
          </w:p>
          <w:p w14:paraId="75175F1A">
            <w:pPr>
              <w:pStyle w:val="6"/>
              <w:spacing w:before="66" w:line="237" w:lineRule="auto"/>
              <w:ind w:left="113"/>
            </w:pPr>
            <w:r>
              <w:rPr>
                <w:spacing w:val="-4"/>
              </w:rPr>
              <w:t>地</w:t>
            </w:r>
            <w:r>
              <w:rPr>
                <w:spacing w:val="7"/>
              </w:rPr>
              <w:t xml:space="preserve">    </w:t>
            </w:r>
            <w:r>
              <w:rPr>
                <w:spacing w:val="-4"/>
              </w:rPr>
              <w:t>址</w:t>
            </w:r>
            <w:r>
              <w:rPr>
                <w:spacing w:val="-73"/>
              </w:rPr>
              <w:t xml:space="preserve"> </w:t>
            </w:r>
            <w:r>
              <w:rPr>
                <w:spacing w:val="-4"/>
              </w:rPr>
              <w:t>：</w:t>
            </w:r>
            <w:r>
              <w:rPr>
                <w:spacing w:val="2"/>
                <w:u w:val="single" w:color="auto"/>
              </w:rPr>
              <w:t xml:space="preserve">                       </w:t>
            </w:r>
            <w:r>
              <w:rPr>
                <w:spacing w:val="1"/>
                <w:u w:val="single" w:color="auto"/>
              </w:rPr>
              <w:t xml:space="preserve">  </w:t>
            </w:r>
            <w:r>
              <w:rPr>
                <w:spacing w:val="-4"/>
                <w:u w:val="single" w:color="auto"/>
              </w:rPr>
              <w:t>。</w:t>
            </w:r>
          </w:p>
          <w:p w14:paraId="1027596A">
            <w:pPr>
              <w:pStyle w:val="6"/>
              <w:spacing w:before="55" w:line="230" w:lineRule="auto"/>
              <w:ind w:left="114"/>
            </w:pPr>
            <w:r>
              <w:rPr>
                <w:spacing w:val="-2"/>
              </w:rPr>
              <w:t>联</w:t>
            </w:r>
            <w:r>
              <w:rPr>
                <w:spacing w:val="18"/>
              </w:rPr>
              <w:t xml:space="preserve"> </w:t>
            </w:r>
            <w:r>
              <w:rPr>
                <w:spacing w:val="-2"/>
              </w:rPr>
              <w:t>系</w:t>
            </w:r>
            <w:r>
              <w:rPr>
                <w:spacing w:val="15"/>
              </w:rPr>
              <w:t xml:space="preserve"> </w:t>
            </w:r>
            <w:r>
              <w:rPr>
                <w:spacing w:val="-2"/>
              </w:rPr>
              <w:t>人</w:t>
            </w:r>
            <w:r>
              <w:rPr>
                <w:spacing w:val="-74"/>
              </w:rPr>
              <w:t xml:space="preserve"> </w:t>
            </w:r>
            <w:r>
              <w:rPr>
                <w:spacing w:val="-2"/>
              </w:rPr>
              <w:t>：</w:t>
            </w:r>
            <w:r>
              <w:rPr>
                <w:spacing w:val="-2"/>
                <w:u w:val="single" w:color="auto"/>
              </w:rPr>
              <w:t xml:space="preserve">                 </w:t>
            </w:r>
            <w:r>
              <w:rPr>
                <w:spacing w:val="-3"/>
                <w:u w:val="single" w:color="auto"/>
              </w:rPr>
              <w:t xml:space="preserve">         。</w:t>
            </w:r>
          </w:p>
          <w:p w14:paraId="1FFC6133">
            <w:pPr>
              <w:pStyle w:val="6"/>
              <w:spacing w:before="62" w:line="230" w:lineRule="auto"/>
              <w:ind w:left="138"/>
            </w:pPr>
            <w:r>
              <w:rPr>
                <w:spacing w:val="-10"/>
              </w:rPr>
              <w:t>电</w:t>
            </w:r>
            <w:r>
              <w:rPr>
                <w:spacing w:val="7"/>
              </w:rPr>
              <w:t xml:space="preserve">    </w:t>
            </w:r>
            <w:r>
              <w:rPr>
                <w:spacing w:val="-10"/>
              </w:rPr>
              <w:t>话</w:t>
            </w:r>
            <w:r>
              <w:rPr>
                <w:spacing w:val="-74"/>
              </w:rPr>
              <w:t xml:space="preserve"> </w:t>
            </w:r>
            <w:r>
              <w:rPr>
                <w:spacing w:val="-10"/>
              </w:rPr>
              <w:t>：</w:t>
            </w:r>
            <w:r>
              <w:rPr>
                <w:spacing w:val="2"/>
                <w:u w:val="single" w:color="auto"/>
              </w:rPr>
              <w:t xml:space="preserve">                       </w:t>
            </w:r>
            <w:r>
              <w:rPr>
                <w:spacing w:val="1"/>
                <w:u w:val="single" w:color="auto"/>
              </w:rPr>
              <w:t xml:space="preserve">  </w:t>
            </w:r>
            <w:r>
              <w:rPr>
                <w:spacing w:val="-10"/>
                <w:u w:val="single" w:color="auto"/>
              </w:rPr>
              <w:t>。</w:t>
            </w:r>
          </w:p>
          <w:p w14:paraId="3D9BA5F1">
            <w:pPr>
              <w:pStyle w:val="6"/>
              <w:spacing w:before="62" w:line="228" w:lineRule="auto"/>
              <w:ind w:left="138"/>
            </w:pPr>
            <w:r>
              <w:rPr>
                <w:spacing w:val="2"/>
              </w:rPr>
              <w:t>电子邮件：</w:t>
            </w:r>
            <w:r>
              <w:rPr>
                <w:spacing w:val="2"/>
                <w:u w:val="single" w:color="auto"/>
              </w:rPr>
              <w:t xml:space="preserve">                         。</w:t>
            </w:r>
          </w:p>
        </w:tc>
      </w:tr>
      <w:tr w14:paraId="100C6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6" w:hRule="atLeast"/>
        </w:trPr>
        <w:tc>
          <w:tcPr>
            <w:tcW w:w="855" w:type="dxa"/>
            <w:vAlign w:val="top"/>
          </w:tcPr>
          <w:p w14:paraId="5ACB7DD3">
            <w:pPr>
              <w:spacing w:line="265" w:lineRule="auto"/>
              <w:rPr>
                <w:rFonts w:ascii="Arial"/>
                <w:sz w:val="21"/>
              </w:rPr>
            </w:pPr>
          </w:p>
          <w:p w14:paraId="5069E7B7">
            <w:pPr>
              <w:spacing w:line="265" w:lineRule="auto"/>
              <w:rPr>
                <w:rFonts w:ascii="Arial"/>
                <w:sz w:val="21"/>
              </w:rPr>
            </w:pPr>
          </w:p>
          <w:p w14:paraId="0509B3FB">
            <w:pPr>
              <w:spacing w:line="266" w:lineRule="auto"/>
              <w:rPr>
                <w:rFonts w:ascii="Arial"/>
                <w:sz w:val="21"/>
              </w:rPr>
            </w:pPr>
          </w:p>
          <w:p w14:paraId="0912B60E">
            <w:pPr>
              <w:spacing w:before="5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1.3</w:t>
            </w:r>
          </w:p>
        </w:tc>
        <w:tc>
          <w:tcPr>
            <w:tcW w:w="2224" w:type="dxa"/>
            <w:vAlign w:val="top"/>
          </w:tcPr>
          <w:p w14:paraId="30BF2FFA">
            <w:pPr>
              <w:spacing w:line="251" w:lineRule="auto"/>
              <w:rPr>
                <w:rFonts w:ascii="Arial"/>
                <w:sz w:val="21"/>
              </w:rPr>
            </w:pPr>
          </w:p>
          <w:p w14:paraId="410D929E">
            <w:pPr>
              <w:spacing w:line="251" w:lineRule="auto"/>
              <w:rPr>
                <w:rFonts w:ascii="Arial"/>
                <w:sz w:val="21"/>
              </w:rPr>
            </w:pPr>
          </w:p>
          <w:p w14:paraId="4AF0BDAB">
            <w:pPr>
              <w:spacing w:line="251" w:lineRule="auto"/>
              <w:rPr>
                <w:rFonts w:ascii="Arial"/>
                <w:sz w:val="21"/>
              </w:rPr>
            </w:pPr>
          </w:p>
          <w:p w14:paraId="0C05C643">
            <w:pPr>
              <w:pStyle w:val="6"/>
              <w:spacing w:before="65" w:line="227" w:lineRule="auto"/>
              <w:ind w:left="113"/>
            </w:pPr>
            <w:r>
              <w:rPr>
                <w:spacing w:val="8"/>
              </w:rPr>
              <w:t>招标代理机构</w:t>
            </w:r>
          </w:p>
        </w:tc>
        <w:tc>
          <w:tcPr>
            <w:tcW w:w="5339" w:type="dxa"/>
            <w:vAlign w:val="top"/>
          </w:tcPr>
          <w:p w14:paraId="4064A99E">
            <w:pPr>
              <w:pStyle w:val="6"/>
              <w:spacing w:before="198" w:line="227" w:lineRule="auto"/>
              <w:ind w:left="116"/>
            </w:pPr>
            <w:r>
              <w:rPr>
                <w:spacing w:val="7"/>
              </w:rPr>
              <w:t>名    称：同投标邀请书，下同</w:t>
            </w:r>
          </w:p>
          <w:p w14:paraId="07CC2D97">
            <w:pPr>
              <w:pStyle w:val="6"/>
              <w:spacing w:before="66" w:line="237" w:lineRule="auto"/>
              <w:ind w:left="113"/>
            </w:pPr>
            <w:r>
              <w:rPr>
                <w:spacing w:val="-4"/>
              </w:rPr>
              <w:t>地</w:t>
            </w:r>
            <w:r>
              <w:rPr>
                <w:spacing w:val="7"/>
              </w:rPr>
              <w:t xml:space="preserve">    </w:t>
            </w:r>
            <w:r>
              <w:rPr>
                <w:spacing w:val="-4"/>
              </w:rPr>
              <w:t>址</w:t>
            </w:r>
            <w:r>
              <w:rPr>
                <w:spacing w:val="-73"/>
              </w:rPr>
              <w:t xml:space="preserve"> </w:t>
            </w:r>
            <w:r>
              <w:rPr>
                <w:spacing w:val="-4"/>
              </w:rPr>
              <w:t>：</w:t>
            </w:r>
            <w:r>
              <w:rPr>
                <w:spacing w:val="2"/>
                <w:u w:val="single" w:color="auto"/>
              </w:rPr>
              <w:t xml:space="preserve">                       </w:t>
            </w:r>
            <w:r>
              <w:rPr>
                <w:spacing w:val="1"/>
                <w:u w:val="single" w:color="auto"/>
              </w:rPr>
              <w:t xml:space="preserve">  </w:t>
            </w:r>
            <w:r>
              <w:rPr>
                <w:spacing w:val="-4"/>
                <w:u w:val="single" w:color="auto"/>
              </w:rPr>
              <w:t>。</w:t>
            </w:r>
          </w:p>
          <w:p w14:paraId="42CE60C0">
            <w:pPr>
              <w:pStyle w:val="6"/>
              <w:spacing w:before="54" w:line="228" w:lineRule="auto"/>
              <w:ind w:left="117"/>
            </w:pPr>
            <w:r>
              <w:rPr>
                <w:spacing w:val="6"/>
              </w:rPr>
              <w:t>项目负责人：</w:t>
            </w:r>
            <w:r>
              <w:rPr>
                <w:spacing w:val="1"/>
                <w:u w:val="single" w:color="auto"/>
              </w:rPr>
              <w:t xml:space="preserve">                       </w:t>
            </w:r>
            <w:r>
              <w:rPr>
                <w:spacing w:val="6"/>
                <w:u w:val="single" w:color="auto"/>
              </w:rPr>
              <w:t>。</w:t>
            </w:r>
          </w:p>
          <w:p w14:paraId="4677A72E">
            <w:pPr>
              <w:pStyle w:val="6"/>
              <w:spacing w:before="65" w:line="230" w:lineRule="auto"/>
              <w:ind w:left="138"/>
            </w:pPr>
            <w:r>
              <w:rPr>
                <w:spacing w:val="-10"/>
              </w:rPr>
              <w:t>电</w:t>
            </w:r>
            <w:r>
              <w:rPr>
                <w:spacing w:val="7"/>
              </w:rPr>
              <w:t xml:space="preserve">    </w:t>
            </w:r>
            <w:r>
              <w:rPr>
                <w:spacing w:val="-10"/>
              </w:rPr>
              <w:t>话</w:t>
            </w:r>
            <w:r>
              <w:rPr>
                <w:spacing w:val="-74"/>
              </w:rPr>
              <w:t xml:space="preserve"> </w:t>
            </w:r>
            <w:r>
              <w:rPr>
                <w:spacing w:val="-10"/>
              </w:rPr>
              <w:t>：</w:t>
            </w:r>
            <w:r>
              <w:rPr>
                <w:spacing w:val="2"/>
                <w:u w:val="single" w:color="auto"/>
              </w:rPr>
              <w:t xml:space="preserve">                       </w:t>
            </w:r>
            <w:r>
              <w:rPr>
                <w:spacing w:val="1"/>
                <w:u w:val="single" w:color="auto"/>
              </w:rPr>
              <w:t xml:space="preserve">  </w:t>
            </w:r>
            <w:r>
              <w:rPr>
                <w:spacing w:val="-10"/>
                <w:u w:val="single" w:color="auto"/>
              </w:rPr>
              <w:t>。</w:t>
            </w:r>
          </w:p>
          <w:p w14:paraId="0DC0D577">
            <w:pPr>
              <w:pStyle w:val="6"/>
              <w:spacing w:before="62" w:line="228" w:lineRule="auto"/>
              <w:ind w:left="138"/>
            </w:pPr>
            <w:r>
              <w:rPr>
                <w:spacing w:val="2"/>
              </w:rPr>
              <w:t>电子邮件：</w:t>
            </w:r>
            <w:r>
              <w:rPr>
                <w:spacing w:val="2"/>
                <w:u w:val="single" w:color="auto"/>
              </w:rPr>
              <w:t xml:space="preserve">                         。</w:t>
            </w:r>
          </w:p>
        </w:tc>
      </w:tr>
      <w:tr w14:paraId="292EB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35F03008">
            <w:pPr>
              <w:spacing w:before="164"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1.4</w:t>
            </w:r>
          </w:p>
        </w:tc>
        <w:tc>
          <w:tcPr>
            <w:tcW w:w="2224" w:type="dxa"/>
            <w:vAlign w:val="top"/>
          </w:tcPr>
          <w:p w14:paraId="485248B0">
            <w:pPr>
              <w:pStyle w:val="6"/>
              <w:spacing w:before="128" w:line="228" w:lineRule="auto"/>
              <w:ind w:left="116"/>
            </w:pPr>
            <w:r>
              <w:rPr>
                <w:spacing w:val="6"/>
              </w:rPr>
              <w:t>项目名称</w:t>
            </w:r>
          </w:p>
        </w:tc>
        <w:tc>
          <w:tcPr>
            <w:tcW w:w="5339" w:type="dxa"/>
            <w:vAlign w:val="top"/>
          </w:tcPr>
          <w:p w14:paraId="7E28F6C1">
            <w:pPr>
              <w:rPr>
                <w:rFonts w:ascii="Arial"/>
                <w:sz w:val="21"/>
              </w:rPr>
            </w:pPr>
          </w:p>
        </w:tc>
      </w:tr>
      <w:tr w14:paraId="405C0D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2A776C16">
            <w:pPr>
              <w:spacing w:before="163"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1.5</w:t>
            </w:r>
          </w:p>
        </w:tc>
        <w:tc>
          <w:tcPr>
            <w:tcW w:w="2224" w:type="dxa"/>
            <w:vAlign w:val="top"/>
          </w:tcPr>
          <w:p w14:paraId="63842E1D">
            <w:pPr>
              <w:pStyle w:val="6"/>
              <w:spacing w:before="127" w:line="229" w:lineRule="auto"/>
              <w:ind w:left="115"/>
            </w:pPr>
            <w:r>
              <w:rPr>
                <w:spacing w:val="6"/>
              </w:rPr>
              <w:t>建设地点</w:t>
            </w:r>
          </w:p>
        </w:tc>
        <w:tc>
          <w:tcPr>
            <w:tcW w:w="5339" w:type="dxa"/>
            <w:vAlign w:val="top"/>
          </w:tcPr>
          <w:p w14:paraId="32AD0B4E">
            <w:pPr>
              <w:rPr>
                <w:rFonts w:ascii="Arial"/>
                <w:sz w:val="21"/>
              </w:rPr>
            </w:pPr>
          </w:p>
        </w:tc>
      </w:tr>
      <w:tr w14:paraId="10C79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496177BC">
            <w:pPr>
              <w:spacing w:before="207"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1.6</w:t>
            </w:r>
          </w:p>
        </w:tc>
        <w:tc>
          <w:tcPr>
            <w:tcW w:w="2224" w:type="dxa"/>
            <w:vAlign w:val="top"/>
          </w:tcPr>
          <w:p w14:paraId="1A83A35F">
            <w:pPr>
              <w:pStyle w:val="6"/>
              <w:spacing w:before="172" w:line="229" w:lineRule="auto"/>
              <w:ind w:left="116"/>
            </w:pPr>
            <w:r>
              <w:rPr>
                <w:spacing w:val="5"/>
              </w:rPr>
              <w:t>设计人</w:t>
            </w:r>
          </w:p>
        </w:tc>
        <w:tc>
          <w:tcPr>
            <w:tcW w:w="5339" w:type="dxa"/>
            <w:vAlign w:val="top"/>
          </w:tcPr>
          <w:p w14:paraId="45E9657C">
            <w:pPr>
              <w:rPr>
                <w:rFonts w:ascii="Arial"/>
                <w:sz w:val="21"/>
              </w:rPr>
            </w:pPr>
          </w:p>
        </w:tc>
      </w:tr>
      <w:tr w14:paraId="22353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24A5A0F8">
            <w:pPr>
              <w:spacing w:before="209"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1.7</w:t>
            </w:r>
          </w:p>
        </w:tc>
        <w:tc>
          <w:tcPr>
            <w:tcW w:w="2224" w:type="dxa"/>
            <w:vAlign w:val="top"/>
          </w:tcPr>
          <w:p w14:paraId="4C8B6DC3">
            <w:pPr>
              <w:pStyle w:val="6"/>
              <w:spacing w:before="172" w:line="231" w:lineRule="auto"/>
              <w:ind w:left="113"/>
            </w:pPr>
            <w:r>
              <w:rPr>
                <w:spacing w:val="6"/>
              </w:rPr>
              <w:t>监理人</w:t>
            </w:r>
          </w:p>
        </w:tc>
        <w:tc>
          <w:tcPr>
            <w:tcW w:w="5339" w:type="dxa"/>
            <w:vAlign w:val="top"/>
          </w:tcPr>
          <w:p w14:paraId="26DD1A9D">
            <w:pPr>
              <w:rPr>
                <w:rFonts w:ascii="Arial"/>
                <w:sz w:val="21"/>
              </w:rPr>
            </w:pPr>
          </w:p>
        </w:tc>
      </w:tr>
      <w:tr w14:paraId="24C44B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6CF97E40">
            <w:pPr>
              <w:spacing w:before="20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1.8</w:t>
            </w:r>
          </w:p>
        </w:tc>
        <w:tc>
          <w:tcPr>
            <w:tcW w:w="2224" w:type="dxa"/>
            <w:vAlign w:val="top"/>
          </w:tcPr>
          <w:p w14:paraId="269C84B5">
            <w:pPr>
              <w:pStyle w:val="6"/>
              <w:spacing w:before="172" w:line="228" w:lineRule="auto"/>
              <w:ind w:left="112"/>
            </w:pPr>
            <w:r>
              <w:rPr>
                <w:spacing w:val="7"/>
              </w:rPr>
              <w:t>代建人</w:t>
            </w:r>
          </w:p>
        </w:tc>
        <w:tc>
          <w:tcPr>
            <w:tcW w:w="5339" w:type="dxa"/>
            <w:vAlign w:val="top"/>
          </w:tcPr>
          <w:p w14:paraId="4C5AE885">
            <w:pPr>
              <w:rPr>
                <w:rFonts w:ascii="Arial"/>
                <w:sz w:val="21"/>
              </w:rPr>
            </w:pPr>
          </w:p>
        </w:tc>
      </w:tr>
      <w:tr w14:paraId="40A78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15506AC9">
            <w:pPr>
              <w:spacing w:before="164"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3"/>
                <w:sz w:val="20"/>
                <w:szCs w:val="20"/>
              </w:rPr>
              <w:t>1</w:t>
            </w:r>
          </w:p>
        </w:tc>
        <w:tc>
          <w:tcPr>
            <w:tcW w:w="2224" w:type="dxa"/>
            <w:vAlign w:val="top"/>
          </w:tcPr>
          <w:p w14:paraId="28511CED">
            <w:pPr>
              <w:pStyle w:val="6"/>
              <w:spacing w:before="127" w:line="228" w:lineRule="auto"/>
              <w:ind w:left="121"/>
            </w:pPr>
            <w:r>
              <w:rPr>
                <w:spacing w:val="5"/>
              </w:rPr>
              <w:t>资金来源</w:t>
            </w:r>
          </w:p>
        </w:tc>
        <w:tc>
          <w:tcPr>
            <w:tcW w:w="5339" w:type="dxa"/>
            <w:vAlign w:val="top"/>
          </w:tcPr>
          <w:p w14:paraId="6128BE55">
            <w:pPr>
              <w:rPr>
                <w:rFonts w:ascii="Arial"/>
                <w:sz w:val="21"/>
              </w:rPr>
            </w:pPr>
          </w:p>
        </w:tc>
      </w:tr>
      <w:tr w14:paraId="0AA58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7DCF44F4">
            <w:pPr>
              <w:spacing w:before="163"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1.2.2</w:t>
            </w:r>
          </w:p>
        </w:tc>
        <w:tc>
          <w:tcPr>
            <w:tcW w:w="2224" w:type="dxa"/>
            <w:vAlign w:val="top"/>
          </w:tcPr>
          <w:p w14:paraId="442FC613">
            <w:pPr>
              <w:pStyle w:val="6"/>
              <w:spacing w:before="127" w:line="229" w:lineRule="auto"/>
              <w:ind w:left="130"/>
            </w:pPr>
            <w:r>
              <w:rPr>
                <w:spacing w:val="2"/>
              </w:rPr>
              <w:t>出资比例</w:t>
            </w:r>
          </w:p>
        </w:tc>
        <w:tc>
          <w:tcPr>
            <w:tcW w:w="5339" w:type="dxa"/>
            <w:vAlign w:val="top"/>
          </w:tcPr>
          <w:p w14:paraId="710501F7">
            <w:pPr>
              <w:rPr>
                <w:rFonts w:ascii="Arial"/>
                <w:sz w:val="21"/>
              </w:rPr>
            </w:pPr>
          </w:p>
        </w:tc>
      </w:tr>
      <w:tr w14:paraId="52DD4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6FF85944">
            <w:pPr>
              <w:spacing w:before="162"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1.2.3</w:t>
            </w:r>
          </w:p>
        </w:tc>
        <w:tc>
          <w:tcPr>
            <w:tcW w:w="2224" w:type="dxa"/>
            <w:vAlign w:val="top"/>
          </w:tcPr>
          <w:p w14:paraId="69A714D8">
            <w:pPr>
              <w:pStyle w:val="6"/>
              <w:spacing w:before="126" w:line="228" w:lineRule="auto"/>
              <w:ind w:left="121"/>
            </w:pPr>
            <w:r>
              <w:rPr>
                <w:spacing w:val="6"/>
              </w:rPr>
              <w:t>资金落实情况</w:t>
            </w:r>
          </w:p>
        </w:tc>
        <w:tc>
          <w:tcPr>
            <w:tcW w:w="5339" w:type="dxa"/>
            <w:vAlign w:val="top"/>
          </w:tcPr>
          <w:p w14:paraId="43D0C873">
            <w:pPr>
              <w:rPr>
                <w:rFonts w:ascii="Arial"/>
                <w:sz w:val="21"/>
              </w:rPr>
            </w:pPr>
          </w:p>
        </w:tc>
      </w:tr>
      <w:tr w14:paraId="7FE414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855" w:type="dxa"/>
            <w:vAlign w:val="top"/>
          </w:tcPr>
          <w:p w14:paraId="05DD41A7">
            <w:pPr>
              <w:spacing w:line="248" w:lineRule="auto"/>
              <w:rPr>
                <w:rFonts w:ascii="Arial"/>
                <w:sz w:val="21"/>
              </w:rPr>
            </w:pPr>
          </w:p>
          <w:p w14:paraId="2B308149">
            <w:pPr>
              <w:spacing w:line="248" w:lineRule="auto"/>
              <w:rPr>
                <w:rFonts w:ascii="Arial"/>
                <w:sz w:val="21"/>
              </w:rPr>
            </w:pPr>
          </w:p>
          <w:p w14:paraId="5C424328">
            <w:pPr>
              <w:spacing w:before="5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1.2.4</w:t>
            </w:r>
          </w:p>
        </w:tc>
        <w:tc>
          <w:tcPr>
            <w:tcW w:w="2224" w:type="dxa"/>
            <w:vAlign w:val="top"/>
          </w:tcPr>
          <w:p w14:paraId="77249A74">
            <w:pPr>
              <w:spacing w:line="297" w:lineRule="auto"/>
              <w:rPr>
                <w:rFonts w:ascii="Arial"/>
                <w:sz w:val="21"/>
              </w:rPr>
            </w:pPr>
          </w:p>
          <w:p w14:paraId="21ACF91F">
            <w:pPr>
              <w:pStyle w:val="6"/>
              <w:spacing w:before="65" w:line="290" w:lineRule="auto"/>
              <w:ind w:left="112" w:right="107" w:firstLine="4"/>
            </w:pPr>
            <w:r>
              <w:rPr>
                <w:spacing w:val="21"/>
              </w:rPr>
              <w:t>是否属于政府采购工</w:t>
            </w:r>
            <w:r>
              <w:rPr>
                <w:spacing w:val="1"/>
              </w:rPr>
              <w:t>程</w:t>
            </w:r>
          </w:p>
        </w:tc>
        <w:tc>
          <w:tcPr>
            <w:tcW w:w="5339" w:type="dxa"/>
            <w:vAlign w:val="top"/>
          </w:tcPr>
          <w:p w14:paraId="23804687">
            <w:pPr>
              <w:pStyle w:val="6"/>
              <w:spacing w:before="53" w:line="227" w:lineRule="auto"/>
              <w:ind w:left="135"/>
            </w:pPr>
            <w:r>
              <w:rPr>
                <w:spacing w:val="8"/>
              </w:rPr>
              <w:t>□本项目不属于政府采购工程，不执行政府采购政策。</w:t>
            </w:r>
          </w:p>
          <w:p w14:paraId="27286E30">
            <w:pPr>
              <w:pStyle w:val="6"/>
              <w:spacing w:before="65" w:line="270" w:lineRule="auto"/>
              <w:ind w:left="324" w:right="109" w:hanging="189"/>
            </w:pPr>
            <w:r>
              <w:rPr>
                <w:spacing w:val="12"/>
              </w:rPr>
              <w:t>□本项目属于政府采购工程，执行支持中小企业发展政策。采购标的对应的中小企业划型标准所属行业为：</w:t>
            </w:r>
            <w:r>
              <w:rPr>
                <w:spacing w:val="4"/>
                <w:u w:val="single" w:color="auto"/>
              </w:rPr>
              <w:t>建筑业</w:t>
            </w:r>
            <w:r>
              <w:rPr>
                <w:spacing w:val="4"/>
              </w:rPr>
              <w:t>。</w:t>
            </w:r>
          </w:p>
        </w:tc>
      </w:tr>
      <w:tr w14:paraId="61C85E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4" w:hRule="atLeast"/>
        </w:trPr>
        <w:tc>
          <w:tcPr>
            <w:tcW w:w="855" w:type="dxa"/>
            <w:vAlign w:val="top"/>
          </w:tcPr>
          <w:p w14:paraId="059C6DD0">
            <w:pPr>
              <w:spacing w:line="444" w:lineRule="auto"/>
              <w:rPr>
                <w:rFonts w:ascii="Arial"/>
                <w:sz w:val="21"/>
              </w:rPr>
            </w:pPr>
          </w:p>
          <w:p w14:paraId="5B212B0C">
            <w:pPr>
              <w:spacing w:before="5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1.3.</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3"/>
                <w:sz w:val="20"/>
                <w:szCs w:val="20"/>
              </w:rPr>
              <w:t>1</w:t>
            </w:r>
          </w:p>
        </w:tc>
        <w:tc>
          <w:tcPr>
            <w:tcW w:w="2224" w:type="dxa"/>
            <w:vAlign w:val="top"/>
          </w:tcPr>
          <w:p w14:paraId="1D60E346">
            <w:pPr>
              <w:spacing w:line="401" w:lineRule="auto"/>
              <w:rPr>
                <w:rFonts w:ascii="Arial"/>
                <w:sz w:val="21"/>
              </w:rPr>
            </w:pPr>
          </w:p>
          <w:p w14:paraId="1489AED4">
            <w:pPr>
              <w:pStyle w:val="6"/>
              <w:spacing w:before="65" w:line="228" w:lineRule="auto"/>
              <w:ind w:left="113"/>
            </w:pPr>
            <w:r>
              <w:rPr>
                <w:spacing w:val="7"/>
              </w:rPr>
              <w:t>招标范围</w:t>
            </w:r>
          </w:p>
        </w:tc>
        <w:tc>
          <w:tcPr>
            <w:tcW w:w="5339" w:type="dxa"/>
            <w:vAlign w:val="top"/>
          </w:tcPr>
          <w:p w14:paraId="4E9A30E6">
            <w:pPr>
              <w:spacing w:line="267" w:lineRule="auto"/>
              <w:rPr>
                <w:rFonts w:ascii="Arial"/>
                <w:sz w:val="21"/>
              </w:rPr>
            </w:pPr>
            <w:r>
              <w:pict>
                <v:shape id="_x0000_s1026" o:spid="_x0000_s1026" style="position:absolute;left:0pt;margin-left:5.4pt;margin-top:18.2pt;height:0.5pt;width:183.75pt;mso-position-horizontal-relative:page;mso-position-vertical-relative:page;z-index:251660288;mso-width-relative:page;mso-height-relative:page;" filled="f" stroked="t" coordsize="3675,10" path="m0,4l3674,4e">
                  <v:fill on="f" focussize="0,0"/>
                  <v:stroke weight="0.48pt" color="#000000" miterlimit="2" joinstyle="bevel"/>
                  <v:imagedata o:title=""/>
                  <o:lock v:ext="edit"/>
                </v:shape>
              </w:pict>
            </w:r>
          </w:p>
          <w:p w14:paraId="3ABE7A53">
            <w:pPr>
              <w:spacing w:line="268" w:lineRule="auto"/>
              <w:rPr>
                <w:rFonts w:ascii="Arial"/>
                <w:sz w:val="21"/>
              </w:rPr>
            </w:pPr>
          </w:p>
          <w:p w14:paraId="5A57AADC">
            <w:pPr>
              <w:pStyle w:val="6"/>
              <w:spacing w:before="65" w:line="45" w:lineRule="exact"/>
              <w:ind w:left="3808"/>
            </w:pPr>
            <w:r>
              <w:pict>
                <v:shape id="_x0000_s1027" o:spid="_x0000_s1027" o:spt="202" type="#_x0000_t202" style="position:absolute;left:0pt;margin-left:4.2pt;margin-top:-3.95pt;height:14.1pt;width:180.45pt;z-index:251661312;mso-width-relative:page;mso-height-relative:page;" filled="f" stroked="f" coordsize="21600,21600">
                  <v:path/>
                  <v:fill on="f" focussize="0,0"/>
                  <v:stroke on="f"/>
                  <v:imagedata o:title=""/>
                  <o:lock v:ext="edit" aspectratio="f"/>
                  <v:textbox inset="0mm,0mm,0mm,0mm">
                    <w:txbxContent>
                      <w:p w14:paraId="2897EE54">
                        <w:pPr>
                          <w:tabs>
                            <w:tab w:val="left" w:pos="3587"/>
                          </w:tabs>
                          <w:spacing w:before="19"/>
                          <w:ind w:left="20"/>
                          <w:rPr>
                            <w:rFonts w:ascii="Arial"/>
                            <w:sz w:val="21"/>
                          </w:rPr>
                        </w:pPr>
                        <w:r>
                          <w:rPr>
                            <w:rFonts w:ascii="Arial" w:hAnsi="Arial" w:eastAsia="Arial" w:cs="Arial"/>
                            <w:sz w:val="21"/>
                            <w:szCs w:val="21"/>
                            <w:u w:val="single" w:color="auto"/>
                          </w:rPr>
                          <w:tab/>
                        </w:r>
                      </w:p>
                    </w:txbxContent>
                  </v:textbox>
                </v:shape>
              </w:pict>
            </w:r>
            <w:r>
              <w:rPr>
                <w:position w:val="-1"/>
              </w:rPr>
              <w:t>。</w:t>
            </w:r>
          </w:p>
          <w:p w14:paraId="1E89BAFC">
            <w:pPr>
              <w:pStyle w:val="6"/>
              <w:spacing w:before="131" w:line="227" w:lineRule="auto"/>
              <w:jc w:val="right"/>
            </w:pPr>
            <w:r>
              <w:rPr>
                <w:spacing w:val="2"/>
              </w:rPr>
              <w:t>关于招标范围的详细说明见第七章“技术标准和要求</w:t>
            </w:r>
            <w:r>
              <w:rPr>
                <w:spacing w:val="-54"/>
              </w:rPr>
              <w:t xml:space="preserve"> </w:t>
            </w:r>
            <w:r>
              <w:rPr>
                <w:spacing w:val="2"/>
              </w:rPr>
              <w:t>”。</w:t>
            </w:r>
          </w:p>
        </w:tc>
      </w:tr>
      <w:tr w14:paraId="7275B2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24" w:hRule="atLeast"/>
        </w:trPr>
        <w:tc>
          <w:tcPr>
            <w:tcW w:w="855" w:type="dxa"/>
            <w:vAlign w:val="top"/>
          </w:tcPr>
          <w:p w14:paraId="70C8AF79">
            <w:pPr>
              <w:spacing w:line="310" w:lineRule="auto"/>
              <w:rPr>
                <w:rFonts w:ascii="Arial"/>
                <w:sz w:val="21"/>
              </w:rPr>
            </w:pPr>
          </w:p>
          <w:p w14:paraId="73CC13F7">
            <w:pPr>
              <w:spacing w:line="310" w:lineRule="auto"/>
              <w:rPr>
                <w:rFonts w:ascii="Arial"/>
                <w:sz w:val="21"/>
              </w:rPr>
            </w:pPr>
          </w:p>
          <w:p w14:paraId="3FDD2FD3">
            <w:pPr>
              <w:spacing w:line="311" w:lineRule="auto"/>
              <w:rPr>
                <w:rFonts w:ascii="Arial"/>
                <w:sz w:val="21"/>
              </w:rPr>
            </w:pPr>
          </w:p>
          <w:p w14:paraId="3DC80A47">
            <w:pPr>
              <w:spacing w:before="5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1.3.2</w:t>
            </w:r>
          </w:p>
        </w:tc>
        <w:tc>
          <w:tcPr>
            <w:tcW w:w="2224" w:type="dxa"/>
            <w:vAlign w:val="top"/>
          </w:tcPr>
          <w:p w14:paraId="773A51AE">
            <w:pPr>
              <w:spacing w:line="296" w:lineRule="auto"/>
              <w:rPr>
                <w:rFonts w:ascii="Arial"/>
                <w:sz w:val="21"/>
              </w:rPr>
            </w:pPr>
          </w:p>
          <w:p w14:paraId="63B0C08F">
            <w:pPr>
              <w:spacing w:line="296" w:lineRule="auto"/>
              <w:rPr>
                <w:rFonts w:ascii="Arial"/>
                <w:sz w:val="21"/>
              </w:rPr>
            </w:pPr>
          </w:p>
          <w:p w14:paraId="2CDA9265">
            <w:pPr>
              <w:spacing w:line="297" w:lineRule="auto"/>
              <w:rPr>
                <w:rFonts w:ascii="Arial"/>
                <w:sz w:val="21"/>
              </w:rPr>
            </w:pPr>
          </w:p>
          <w:p w14:paraId="62734F17">
            <w:pPr>
              <w:pStyle w:val="6"/>
              <w:spacing w:before="65" w:line="228" w:lineRule="auto"/>
              <w:ind w:left="112"/>
            </w:pPr>
            <w:r>
              <w:rPr>
                <w:spacing w:val="7"/>
              </w:rPr>
              <w:t>计划工期</w:t>
            </w:r>
          </w:p>
        </w:tc>
        <w:tc>
          <w:tcPr>
            <w:tcW w:w="5339" w:type="dxa"/>
            <w:vAlign w:val="top"/>
          </w:tcPr>
          <w:p w14:paraId="1FCBBD12">
            <w:pPr>
              <w:pStyle w:val="6"/>
              <w:spacing w:before="100" w:line="228" w:lineRule="auto"/>
              <w:ind w:left="113"/>
            </w:pPr>
            <w:r>
              <w:pict>
                <v:shape id="_x0000_s1028" o:spid="_x0000_s1028" style="position:absolute;left:0pt;margin-left:5.4pt;margin-top:77.75pt;height:0.5pt;width:194.2pt;mso-position-horizontal-relative:page;mso-position-vertical-relative:page;z-index:251659264;mso-width-relative:page;mso-height-relative:page;" filled="f" stroked="t" coordsize="3883,10" path="m0,4l3883,4e">
                  <v:fill on="f" focussize="0,0"/>
                  <v:stroke weight="0.48pt" color="#000000" miterlimit="2" joinstyle="bevel"/>
                  <v:imagedata o:title=""/>
                  <o:lock v:ext="edit"/>
                </v:shape>
              </w:pict>
            </w:r>
            <w:r>
              <w:rPr>
                <w:spacing w:val="3"/>
              </w:rPr>
              <w:t>计划工期：</w:t>
            </w:r>
            <w:r>
              <w:rPr>
                <w:spacing w:val="5"/>
                <w:u w:val="single" w:color="auto"/>
              </w:rPr>
              <w:t xml:space="preserve">       </w:t>
            </w:r>
            <w:r>
              <w:rPr>
                <w:spacing w:val="-56"/>
              </w:rPr>
              <w:t xml:space="preserve"> </w:t>
            </w:r>
            <w:r>
              <w:rPr>
                <w:spacing w:val="3"/>
              </w:rPr>
              <w:t>日历天</w:t>
            </w:r>
          </w:p>
          <w:p w14:paraId="4467DB8F">
            <w:pPr>
              <w:pStyle w:val="6"/>
              <w:spacing w:before="64" w:line="228" w:lineRule="auto"/>
              <w:ind w:left="113"/>
            </w:pPr>
            <w:r>
              <w:rPr>
                <w:spacing w:val="5"/>
              </w:rPr>
              <w:t>计划开工日期：</w:t>
            </w:r>
            <w:r>
              <w:rPr>
                <w:spacing w:val="5"/>
                <w:u w:val="single" w:color="auto"/>
              </w:rPr>
              <w:t xml:space="preserve">    </w:t>
            </w:r>
            <w:r>
              <w:rPr>
                <w:spacing w:val="-87"/>
              </w:rPr>
              <w:t xml:space="preserve"> </w:t>
            </w:r>
            <w:r>
              <w:rPr>
                <w:spacing w:val="5"/>
              </w:rPr>
              <w:t>年</w:t>
            </w:r>
            <w:r>
              <w:rPr>
                <w:spacing w:val="-98"/>
              </w:rPr>
              <w:t xml:space="preserve"> </w:t>
            </w:r>
            <w:r>
              <w:rPr>
                <w:spacing w:val="5"/>
                <w:u w:val="single" w:color="auto"/>
              </w:rPr>
              <w:t xml:space="preserve">    </w:t>
            </w:r>
            <w:r>
              <w:rPr>
                <w:spacing w:val="-86"/>
              </w:rPr>
              <w:t xml:space="preserve"> </w:t>
            </w:r>
            <w:r>
              <w:rPr>
                <w:spacing w:val="5"/>
              </w:rPr>
              <w:t>月</w:t>
            </w:r>
            <w:r>
              <w:rPr>
                <w:spacing w:val="5"/>
                <w:u w:val="single" w:color="auto"/>
              </w:rPr>
              <w:t xml:space="preserve">    </w:t>
            </w:r>
            <w:r>
              <w:rPr>
                <w:spacing w:val="-56"/>
              </w:rPr>
              <w:t xml:space="preserve"> </w:t>
            </w:r>
            <w:r>
              <w:rPr>
                <w:spacing w:val="5"/>
              </w:rPr>
              <w:t>日</w:t>
            </w:r>
          </w:p>
          <w:p w14:paraId="1BF103D6">
            <w:pPr>
              <w:pStyle w:val="6"/>
              <w:spacing w:before="64" w:line="228" w:lineRule="auto"/>
              <w:ind w:left="113"/>
            </w:pPr>
            <w:r>
              <w:rPr>
                <w:spacing w:val="5"/>
              </w:rPr>
              <w:t>计划竣工日期：</w:t>
            </w:r>
            <w:r>
              <w:rPr>
                <w:spacing w:val="5"/>
                <w:u w:val="single" w:color="auto"/>
              </w:rPr>
              <w:t xml:space="preserve">    </w:t>
            </w:r>
            <w:r>
              <w:rPr>
                <w:spacing w:val="-87"/>
              </w:rPr>
              <w:t xml:space="preserve"> </w:t>
            </w:r>
            <w:r>
              <w:rPr>
                <w:spacing w:val="5"/>
              </w:rPr>
              <w:t>年</w:t>
            </w:r>
            <w:r>
              <w:rPr>
                <w:spacing w:val="-98"/>
              </w:rPr>
              <w:t xml:space="preserve"> </w:t>
            </w:r>
            <w:r>
              <w:rPr>
                <w:spacing w:val="5"/>
                <w:u w:val="single" w:color="auto"/>
              </w:rPr>
              <w:t xml:space="preserve">    </w:t>
            </w:r>
            <w:r>
              <w:rPr>
                <w:spacing w:val="-86"/>
              </w:rPr>
              <w:t xml:space="preserve"> </w:t>
            </w:r>
            <w:r>
              <w:rPr>
                <w:spacing w:val="5"/>
              </w:rPr>
              <w:t>月</w:t>
            </w:r>
            <w:r>
              <w:rPr>
                <w:spacing w:val="5"/>
                <w:u w:val="single" w:color="auto"/>
              </w:rPr>
              <w:t xml:space="preserve">    </w:t>
            </w:r>
            <w:r>
              <w:rPr>
                <w:spacing w:val="-56"/>
              </w:rPr>
              <w:t xml:space="preserve"> </w:t>
            </w:r>
            <w:r>
              <w:rPr>
                <w:spacing w:val="5"/>
              </w:rPr>
              <w:t>日</w:t>
            </w:r>
          </w:p>
          <w:p w14:paraId="6B7EB6D3">
            <w:pPr>
              <w:pStyle w:val="6"/>
              <w:spacing w:before="65" w:line="228" w:lineRule="auto"/>
              <w:ind w:left="126"/>
            </w:pPr>
            <w:r>
              <w:rPr>
                <w:spacing w:val="8"/>
              </w:rPr>
              <w:t>除上述总工期外，发包人还要求以下区段工期：</w:t>
            </w:r>
          </w:p>
          <w:p w14:paraId="35058E99">
            <w:pPr>
              <w:spacing w:line="389" w:lineRule="auto"/>
              <w:rPr>
                <w:rFonts w:ascii="Arial"/>
                <w:sz w:val="21"/>
              </w:rPr>
            </w:pPr>
          </w:p>
          <w:p w14:paraId="55A9172E">
            <w:pPr>
              <w:pStyle w:val="6"/>
              <w:spacing w:before="65" w:line="227" w:lineRule="auto"/>
              <w:ind w:left="114"/>
            </w:pPr>
            <w:r>
              <w:rPr>
                <w:spacing w:val="8"/>
              </w:rPr>
              <w:t>有关工期的详细要求见第七章“技术标准和</w:t>
            </w:r>
            <w:r>
              <w:rPr>
                <w:spacing w:val="7"/>
              </w:rPr>
              <w:t>要求</w:t>
            </w:r>
            <w:r>
              <w:rPr>
                <w:spacing w:val="-73"/>
              </w:rPr>
              <w:t xml:space="preserve"> </w:t>
            </w:r>
            <w:r>
              <w:rPr>
                <w:spacing w:val="7"/>
              </w:rPr>
              <w:t>”。</w:t>
            </w:r>
          </w:p>
        </w:tc>
      </w:tr>
    </w:tbl>
    <w:p w14:paraId="1A5685A8">
      <w:pPr>
        <w:rPr>
          <w:rFonts w:ascii="Arial"/>
          <w:sz w:val="21"/>
        </w:rPr>
      </w:pPr>
    </w:p>
    <w:p w14:paraId="5B0DABFB">
      <w:pPr>
        <w:rPr>
          <w:rFonts w:ascii="Arial" w:hAnsi="Arial" w:eastAsia="Arial" w:cs="Arial"/>
          <w:sz w:val="21"/>
          <w:szCs w:val="21"/>
        </w:rPr>
        <w:sectPr>
          <w:footerReference r:id="rId26" w:type="default"/>
          <w:pgSz w:w="11906" w:h="16839"/>
          <w:pgMar w:top="1431" w:right="1687" w:bottom="1153" w:left="1785" w:header="0" w:footer="994" w:gutter="0"/>
          <w:cols w:space="720" w:num="1"/>
        </w:sectPr>
      </w:pPr>
    </w:p>
    <w:p w14:paraId="28FDB7D4">
      <w:pPr>
        <w:spacing w:line="91" w:lineRule="auto"/>
        <w:rPr>
          <w:rFonts w:ascii="Arial"/>
          <w:sz w:val="2"/>
        </w:rPr>
      </w:pPr>
    </w:p>
    <w:tbl>
      <w:tblPr>
        <w:tblStyle w:val="5"/>
        <w:tblW w:w="8418"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2224"/>
        <w:gridCol w:w="5339"/>
      </w:tblGrid>
      <w:tr w14:paraId="1B1A4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6" w:hRule="atLeast"/>
        </w:trPr>
        <w:tc>
          <w:tcPr>
            <w:tcW w:w="855" w:type="dxa"/>
            <w:vAlign w:val="top"/>
          </w:tcPr>
          <w:p w14:paraId="0F122FF2">
            <w:pPr>
              <w:spacing w:line="337" w:lineRule="auto"/>
              <w:rPr>
                <w:rFonts w:ascii="Arial"/>
                <w:sz w:val="21"/>
              </w:rPr>
            </w:pPr>
          </w:p>
          <w:p w14:paraId="542CE6CA">
            <w:pPr>
              <w:spacing w:before="5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1.3.3</w:t>
            </w:r>
          </w:p>
        </w:tc>
        <w:tc>
          <w:tcPr>
            <w:tcW w:w="2224" w:type="dxa"/>
            <w:vAlign w:val="top"/>
          </w:tcPr>
          <w:p w14:paraId="51FB923D">
            <w:pPr>
              <w:spacing w:line="294" w:lineRule="auto"/>
              <w:rPr>
                <w:rFonts w:ascii="Arial"/>
                <w:sz w:val="21"/>
              </w:rPr>
            </w:pPr>
          </w:p>
          <w:p w14:paraId="379462F5">
            <w:pPr>
              <w:pStyle w:val="6"/>
              <w:spacing w:before="65" w:line="228" w:lineRule="auto"/>
              <w:ind w:left="113"/>
            </w:pPr>
            <w:r>
              <w:rPr>
                <w:spacing w:val="7"/>
              </w:rPr>
              <w:t>质量要求</w:t>
            </w:r>
          </w:p>
        </w:tc>
        <w:tc>
          <w:tcPr>
            <w:tcW w:w="5339" w:type="dxa"/>
            <w:vAlign w:val="top"/>
          </w:tcPr>
          <w:p w14:paraId="08201B94">
            <w:pPr>
              <w:pStyle w:val="6"/>
              <w:spacing w:before="205" w:line="228" w:lineRule="auto"/>
              <w:ind w:left="114"/>
            </w:pPr>
            <w:r>
              <w:rPr>
                <w:spacing w:val="7"/>
              </w:rPr>
              <w:t>质量要求：</w:t>
            </w:r>
            <w:r>
              <w:rPr>
                <w:u w:val="single" w:color="auto"/>
              </w:rPr>
              <w:t xml:space="preserve">                             </w:t>
            </w:r>
          </w:p>
          <w:p w14:paraId="1032CA14">
            <w:pPr>
              <w:pStyle w:val="6"/>
              <w:spacing w:before="64" w:line="227" w:lineRule="auto"/>
              <w:jc w:val="right"/>
            </w:pPr>
            <w:r>
              <w:rPr>
                <w:spacing w:val="2"/>
              </w:rPr>
              <w:t>关于质量要求的详细说明见第七章“技术标准和要求</w:t>
            </w:r>
            <w:r>
              <w:rPr>
                <w:spacing w:val="-54"/>
              </w:rPr>
              <w:t xml:space="preserve"> </w:t>
            </w:r>
            <w:r>
              <w:rPr>
                <w:spacing w:val="2"/>
              </w:rPr>
              <w:t>”。</w:t>
            </w:r>
          </w:p>
        </w:tc>
      </w:tr>
      <w:tr w14:paraId="3182E1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4" w:hRule="atLeast"/>
        </w:trPr>
        <w:tc>
          <w:tcPr>
            <w:tcW w:w="855" w:type="dxa"/>
            <w:vAlign w:val="top"/>
          </w:tcPr>
          <w:p w14:paraId="5D15D08D">
            <w:pPr>
              <w:spacing w:line="251" w:lineRule="auto"/>
              <w:rPr>
                <w:rFonts w:ascii="Arial"/>
                <w:sz w:val="21"/>
              </w:rPr>
            </w:pPr>
          </w:p>
          <w:p w14:paraId="3B0A4796">
            <w:pPr>
              <w:spacing w:line="251" w:lineRule="auto"/>
              <w:rPr>
                <w:rFonts w:ascii="Arial"/>
                <w:sz w:val="21"/>
              </w:rPr>
            </w:pPr>
          </w:p>
          <w:p w14:paraId="080F7A28">
            <w:pPr>
              <w:spacing w:line="251" w:lineRule="auto"/>
              <w:rPr>
                <w:rFonts w:ascii="Arial"/>
                <w:sz w:val="21"/>
              </w:rPr>
            </w:pPr>
          </w:p>
          <w:p w14:paraId="4A8CCCB1">
            <w:pPr>
              <w:spacing w:line="251" w:lineRule="auto"/>
              <w:rPr>
                <w:rFonts w:ascii="Arial"/>
                <w:sz w:val="21"/>
              </w:rPr>
            </w:pPr>
          </w:p>
          <w:p w14:paraId="737E36B4">
            <w:pPr>
              <w:spacing w:line="251" w:lineRule="auto"/>
              <w:rPr>
                <w:rFonts w:ascii="Arial"/>
                <w:sz w:val="21"/>
              </w:rPr>
            </w:pPr>
          </w:p>
          <w:p w14:paraId="7E2F819B">
            <w:pPr>
              <w:spacing w:line="251" w:lineRule="auto"/>
              <w:rPr>
                <w:rFonts w:ascii="Arial"/>
                <w:sz w:val="21"/>
              </w:rPr>
            </w:pPr>
          </w:p>
          <w:p w14:paraId="23E6C939">
            <w:pPr>
              <w:spacing w:line="251" w:lineRule="auto"/>
              <w:rPr>
                <w:rFonts w:ascii="Arial"/>
                <w:sz w:val="21"/>
              </w:rPr>
            </w:pPr>
          </w:p>
          <w:p w14:paraId="13DFE1B5">
            <w:pPr>
              <w:spacing w:line="251" w:lineRule="auto"/>
              <w:rPr>
                <w:rFonts w:ascii="Arial"/>
                <w:sz w:val="21"/>
              </w:rPr>
            </w:pPr>
          </w:p>
          <w:p w14:paraId="29BD2CF0">
            <w:pPr>
              <w:spacing w:line="251" w:lineRule="auto"/>
              <w:rPr>
                <w:rFonts w:ascii="Arial"/>
                <w:sz w:val="21"/>
              </w:rPr>
            </w:pPr>
          </w:p>
          <w:p w14:paraId="5B72698C">
            <w:pPr>
              <w:spacing w:line="251" w:lineRule="auto"/>
              <w:rPr>
                <w:rFonts w:ascii="Arial"/>
                <w:sz w:val="21"/>
              </w:rPr>
            </w:pPr>
          </w:p>
          <w:p w14:paraId="1BCC8F25">
            <w:pPr>
              <w:spacing w:before="57"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1.3.4</w:t>
            </w:r>
          </w:p>
        </w:tc>
        <w:tc>
          <w:tcPr>
            <w:tcW w:w="2224" w:type="dxa"/>
            <w:vAlign w:val="top"/>
          </w:tcPr>
          <w:p w14:paraId="7E3D15E4">
            <w:pPr>
              <w:spacing w:line="246" w:lineRule="auto"/>
              <w:rPr>
                <w:rFonts w:ascii="Arial"/>
                <w:sz w:val="21"/>
              </w:rPr>
            </w:pPr>
          </w:p>
          <w:p w14:paraId="61E90103">
            <w:pPr>
              <w:spacing w:line="246" w:lineRule="auto"/>
              <w:rPr>
                <w:rFonts w:ascii="Arial"/>
                <w:sz w:val="21"/>
              </w:rPr>
            </w:pPr>
          </w:p>
          <w:p w14:paraId="62F0B6A9">
            <w:pPr>
              <w:spacing w:line="246" w:lineRule="auto"/>
              <w:rPr>
                <w:rFonts w:ascii="Arial"/>
                <w:sz w:val="21"/>
              </w:rPr>
            </w:pPr>
          </w:p>
          <w:p w14:paraId="006A1958">
            <w:pPr>
              <w:spacing w:line="247" w:lineRule="auto"/>
              <w:rPr>
                <w:rFonts w:ascii="Arial"/>
                <w:sz w:val="21"/>
              </w:rPr>
            </w:pPr>
          </w:p>
          <w:p w14:paraId="2131D155">
            <w:pPr>
              <w:spacing w:line="247" w:lineRule="auto"/>
              <w:rPr>
                <w:rFonts w:ascii="Arial"/>
                <w:sz w:val="21"/>
              </w:rPr>
            </w:pPr>
          </w:p>
          <w:p w14:paraId="3EF4F2EA">
            <w:pPr>
              <w:spacing w:line="247" w:lineRule="auto"/>
              <w:rPr>
                <w:rFonts w:ascii="Arial"/>
                <w:sz w:val="21"/>
              </w:rPr>
            </w:pPr>
          </w:p>
          <w:p w14:paraId="2176D868">
            <w:pPr>
              <w:spacing w:line="247" w:lineRule="auto"/>
              <w:rPr>
                <w:rFonts w:ascii="Arial"/>
                <w:sz w:val="21"/>
              </w:rPr>
            </w:pPr>
          </w:p>
          <w:p w14:paraId="4C3EB7C4">
            <w:pPr>
              <w:spacing w:line="247" w:lineRule="auto"/>
              <w:rPr>
                <w:rFonts w:ascii="Arial"/>
                <w:sz w:val="21"/>
              </w:rPr>
            </w:pPr>
          </w:p>
          <w:p w14:paraId="278757A7">
            <w:pPr>
              <w:spacing w:line="247" w:lineRule="auto"/>
              <w:rPr>
                <w:rFonts w:ascii="Arial"/>
                <w:sz w:val="21"/>
              </w:rPr>
            </w:pPr>
          </w:p>
          <w:p w14:paraId="2B358C35">
            <w:pPr>
              <w:spacing w:line="247" w:lineRule="auto"/>
              <w:rPr>
                <w:rFonts w:ascii="Arial"/>
                <w:sz w:val="21"/>
              </w:rPr>
            </w:pPr>
          </w:p>
          <w:p w14:paraId="69EB636F">
            <w:pPr>
              <w:pStyle w:val="6"/>
              <w:spacing w:before="65" w:line="227" w:lineRule="auto"/>
              <w:ind w:left="112"/>
            </w:pPr>
            <w:r>
              <w:rPr>
                <w:spacing w:val="8"/>
              </w:rPr>
              <w:t>政府采购政策</w:t>
            </w:r>
          </w:p>
        </w:tc>
        <w:tc>
          <w:tcPr>
            <w:tcW w:w="5339" w:type="dxa"/>
            <w:vAlign w:val="top"/>
          </w:tcPr>
          <w:p w14:paraId="1A3BD057">
            <w:pPr>
              <w:pStyle w:val="6"/>
              <w:spacing w:before="51" w:line="288" w:lineRule="auto"/>
              <w:ind w:left="134" w:right="190" w:hanging="21"/>
            </w:pPr>
            <w:r>
              <w:rPr>
                <w:spacing w:val="9"/>
                <w:u w:val="single" w:color="auto"/>
              </w:rPr>
              <w:t>根据相关规定，本项目采用以下方式支持中小企业发展□项目整体预留专门面向中小企业采购。</w:t>
            </w:r>
          </w:p>
          <w:p w14:paraId="4B123D95">
            <w:pPr>
              <w:pStyle w:val="6"/>
              <w:spacing w:line="226" w:lineRule="auto"/>
              <w:ind w:left="135"/>
            </w:pPr>
            <w:r>
              <w:rPr>
                <w:spacing w:val="9"/>
                <w:u w:val="single" w:color="auto"/>
              </w:rPr>
              <w:t>□项目整体预留专门面向小微企业采购。</w:t>
            </w:r>
          </w:p>
          <w:p w14:paraId="1D3B1429">
            <w:pPr>
              <w:pStyle w:val="6"/>
              <w:spacing w:before="63" w:line="289" w:lineRule="auto"/>
              <w:ind w:left="112" w:right="109" w:firstLine="22"/>
            </w:pPr>
            <w:r>
              <w:rPr>
                <w:spacing w:val="12"/>
                <w:u w:val="single" w:color="auto"/>
              </w:rPr>
              <w:t>□项目部分预留专门面向中小企业采购，具体的政府采</w:t>
            </w:r>
            <w:r>
              <w:rPr>
                <w:spacing w:val="13"/>
                <w:u w:val="single" w:color="auto"/>
              </w:rPr>
              <w:t>购特别资格要求详见资格预审文件第二章申请人须知附</w:t>
            </w:r>
            <w:r>
              <w:rPr>
                <w:spacing w:val="2"/>
                <w:u w:val="single" w:color="auto"/>
              </w:rPr>
              <w:t>录一“</w:t>
            </w:r>
            <w:r>
              <w:rPr>
                <w:spacing w:val="-65"/>
                <w:u w:val="single" w:color="auto"/>
              </w:rPr>
              <w:t xml:space="preserve"> </w:t>
            </w:r>
            <w:r>
              <w:rPr>
                <w:spacing w:val="2"/>
                <w:u w:val="single" w:color="auto"/>
              </w:rPr>
              <w:t>申请人资质条件、能力和信誉</w:t>
            </w:r>
            <w:r>
              <w:rPr>
                <w:spacing w:val="-70"/>
                <w:u w:val="single" w:color="auto"/>
              </w:rPr>
              <w:t xml:space="preserve"> </w:t>
            </w:r>
            <w:r>
              <w:rPr>
                <w:spacing w:val="2"/>
                <w:u w:val="single" w:color="auto"/>
              </w:rPr>
              <w:t>”。部分预</w:t>
            </w:r>
            <w:r>
              <w:rPr>
                <w:spacing w:val="1"/>
                <w:u w:val="single" w:color="auto"/>
              </w:rPr>
              <w:t>留的工作</w:t>
            </w:r>
            <w:r>
              <w:rPr>
                <w:spacing w:val="13"/>
                <w:u w:val="single" w:color="auto"/>
              </w:rPr>
              <w:t>详见资格预审文件第二章申请人须知附录二“政府采购</w:t>
            </w:r>
            <w:r>
              <w:rPr>
                <w:spacing w:val="5"/>
                <w:u w:val="single" w:color="auto"/>
              </w:rPr>
              <w:t>工程预留工作及金额</w:t>
            </w:r>
            <w:r>
              <w:rPr>
                <w:spacing w:val="-65"/>
                <w:u w:val="single" w:color="auto"/>
              </w:rPr>
              <w:t xml:space="preserve"> </w:t>
            </w:r>
            <w:r>
              <w:rPr>
                <w:spacing w:val="5"/>
                <w:u w:val="single" w:color="auto"/>
              </w:rPr>
              <w:t>”。</w:t>
            </w:r>
          </w:p>
          <w:p w14:paraId="14ABC641">
            <w:pPr>
              <w:spacing w:line="243" w:lineRule="auto"/>
              <w:rPr>
                <w:rFonts w:ascii="Arial"/>
                <w:sz w:val="21"/>
              </w:rPr>
            </w:pPr>
          </w:p>
          <w:p w14:paraId="7D714038">
            <w:pPr>
              <w:pStyle w:val="6"/>
              <w:tabs>
                <w:tab w:val="left" w:pos="202"/>
              </w:tabs>
              <w:spacing w:before="66" w:line="288" w:lineRule="auto"/>
              <w:ind w:left="104" w:right="106" w:firstLine="8"/>
              <w:jc w:val="both"/>
            </w:pPr>
            <w:r>
              <w:rPr>
                <w:spacing w:val="13"/>
                <w:u w:val="single" w:color="auto"/>
              </w:rPr>
              <w:t>根据相关规定，本项目未预留份额专门面向中小企业采购，但对符合政府采购特别资格要求（详见资格预审文</w:t>
            </w:r>
            <w:r>
              <w:rPr>
                <w:spacing w:val="11"/>
                <w:u w:val="single" w:color="auto"/>
              </w:rPr>
              <w:t>件第二章申请人须知附录一“</w:t>
            </w:r>
            <w:r>
              <w:rPr>
                <w:spacing w:val="-45"/>
                <w:u w:val="single" w:color="auto"/>
              </w:rPr>
              <w:t xml:space="preserve"> </w:t>
            </w:r>
            <w:r>
              <w:rPr>
                <w:spacing w:val="11"/>
                <w:u w:val="single" w:color="auto"/>
              </w:rPr>
              <w:t>申请人资质条件、能力和</w:t>
            </w:r>
            <w:r>
              <w:rPr>
                <w:spacing w:val="5"/>
                <w:u w:val="single" w:color="auto"/>
              </w:rPr>
              <w:t>信誉”）且满足一定条件的投标人（详见第</w:t>
            </w:r>
            <w:r>
              <w:rPr>
                <w:spacing w:val="4"/>
                <w:u w:val="single" w:color="auto"/>
              </w:rPr>
              <w:t>三章评标办法</w:t>
            </w:r>
            <w:r>
              <w:rPr>
                <w:u w:val="single" w:color="auto"/>
              </w:rPr>
              <w:tab/>
            </w:r>
            <w:r>
              <w:rPr>
                <w:spacing w:val="8"/>
                <w:u w:val="single" w:color="auto"/>
              </w:rPr>
              <w:t>“政府采购工程价格评审优惠”</w:t>
            </w:r>
            <w:r>
              <w:rPr>
                <w:spacing w:val="-42"/>
                <w:w w:val="80"/>
                <w:u w:val="single" w:color="auto"/>
              </w:rPr>
              <w:t>），</w:t>
            </w:r>
            <w:r>
              <w:rPr>
                <w:spacing w:val="8"/>
                <w:u w:val="single" w:color="auto"/>
              </w:rPr>
              <w:t>在评标时享受价格扣</w:t>
            </w:r>
            <w:r>
              <w:rPr>
                <w:spacing w:val="11"/>
                <w:u w:val="single" w:color="auto"/>
              </w:rPr>
              <w:t>除或增加价格分的优惠政策。</w:t>
            </w:r>
          </w:p>
          <w:p w14:paraId="6364EC8B">
            <w:pPr>
              <w:spacing w:line="244" w:lineRule="auto"/>
              <w:rPr>
                <w:rFonts w:ascii="Arial"/>
                <w:sz w:val="21"/>
              </w:rPr>
            </w:pPr>
          </w:p>
          <w:p w14:paraId="2107695A">
            <w:pPr>
              <w:pStyle w:val="6"/>
              <w:spacing w:before="65" w:line="222" w:lineRule="auto"/>
              <w:ind w:left="1637"/>
            </w:pPr>
            <w:r>
              <w:rPr>
                <w:spacing w:val="-10"/>
              </w:rPr>
              <w:t>/</w:t>
            </w:r>
            <w:r>
              <w:rPr>
                <w:spacing w:val="2"/>
              </w:rPr>
              <w:t xml:space="preserve">               </w:t>
            </w:r>
            <w:r>
              <w:rPr>
                <w:spacing w:val="-10"/>
              </w:rPr>
              <w:t>。</w:t>
            </w:r>
          </w:p>
        </w:tc>
      </w:tr>
      <w:tr w14:paraId="5D26AF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6" w:hRule="atLeast"/>
        </w:trPr>
        <w:tc>
          <w:tcPr>
            <w:tcW w:w="855" w:type="dxa"/>
            <w:vAlign w:val="top"/>
          </w:tcPr>
          <w:p w14:paraId="7816E58A">
            <w:pPr>
              <w:spacing w:line="399" w:lineRule="auto"/>
              <w:rPr>
                <w:rFonts w:ascii="Arial"/>
                <w:sz w:val="21"/>
              </w:rPr>
            </w:pPr>
          </w:p>
          <w:p w14:paraId="5720A669">
            <w:pPr>
              <w:spacing w:before="5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1.9.</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3"/>
                <w:sz w:val="20"/>
                <w:szCs w:val="20"/>
              </w:rPr>
              <w:t>1</w:t>
            </w:r>
          </w:p>
        </w:tc>
        <w:tc>
          <w:tcPr>
            <w:tcW w:w="2224" w:type="dxa"/>
            <w:vAlign w:val="top"/>
          </w:tcPr>
          <w:p w14:paraId="09C3D9ED">
            <w:pPr>
              <w:spacing w:line="356" w:lineRule="auto"/>
              <w:rPr>
                <w:rFonts w:ascii="Arial"/>
                <w:sz w:val="21"/>
              </w:rPr>
            </w:pPr>
          </w:p>
          <w:p w14:paraId="4576EA3C">
            <w:pPr>
              <w:pStyle w:val="6"/>
              <w:spacing w:before="65" w:line="228" w:lineRule="auto"/>
              <w:ind w:left="113"/>
            </w:pPr>
            <w:r>
              <w:rPr>
                <w:spacing w:val="7"/>
              </w:rPr>
              <w:t>踏勘现场</w:t>
            </w:r>
          </w:p>
        </w:tc>
        <w:tc>
          <w:tcPr>
            <w:tcW w:w="5339" w:type="dxa"/>
            <w:vAlign w:val="top"/>
          </w:tcPr>
          <w:p w14:paraId="0E329440">
            <w:pPr>
              <w:pStyle w:val="6"/>
              <w:spacing w:before="111" w:line="231" w:lineRule="auto"/>
              <w:ind w:left="135"/>
            </w:pPr>
            <w:r>
              <w:rPr>
                <w:spacing w:val="2"/>
              </w:rPr>
              <w:t>□不组织</w:t>
            </w:r>
          </w:p>
          <w:p w14:paraId="5AD834E3">
            <w:pPr>
              <w:pStyle w:val="6"/>
              <w:spacing w:before="107" w:line="257" w:lineRule="auto"/>
              <w:ind w:left="954" w:right="400" w:hanging="819"/>
            </w:pPr>
            <w:r>
              <w:rPr>
                <w:spacing w:val="6"/>
              </w:rPr>
              <w:t>□组织，踏勘时间：</w:t>
            </w:r>
            <w:r>
              <w:rPr>
                <w:spacing w:val="1"/>
                <w:u w:val="single" w:color="auto"/>
              </w:rPr>
              <w:t xml:space="preserve">                             </w:t>
            </w:r>
            <w:r>
              <w:rPr>
                <w:spacing w:val="8"/>
              </w:rPr>
              <w:t>踏勘集中地点：</w:t>
            </w:r>
            <w:r>
              <w:rPr>
                <w:u w:val="single" w:color="auto"/>
              </w:rPr>
              <w:t xml:space="preserve">                          </w:t>
            </w:r>
          </w:p>
        </w:tc>
      </w:tr>
      <w:tr w14:paraId="07A9A6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5" w:hRule="atLeast"/>
        </w:trPr>
        <w:tc>
          <w:tcPr>
            <w:tcW w:w="855" w:type="dxa"/>
            <w:vAlign w:val="top"/>
          </w:tcPr>
          <w:p w14:paraId="1700EDA1">
            <w:pPr>
              <w:spacing w:line="397" w:lineRule="auto"/>
              <w:rPr>
                <w:rFonts w:ascii="Arial"/>
                <w:sz w:val="21"/>
              </w:rPr>
            </w:pPr>
          </w:p>
          <w:p w14:paraId="105CE550">
            <w:pPr>
              <w:spacing w:before="58"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rPr>
              <w:t>1.10.1</w:t>
            </w:r>
          </w:p>
        </w:tc>
        <w:tc>
          <w:tcPr>
            <w:tcW w:w="2224" w:type="dxa"/>
            <w:vAlign w:val="top"/>
          </w:tcPr>
          <w:p w14:paraId="06000AB1">
            <w:pPr>
              <w:spacing w:line="354" w:lineRule="auto"/>
              <w:rPr>
                <w:rFonts w:ascii="Arial"/>
                <w:sz w:val="21"/>
              </w:rPr>
            </w:pPr>
          </w:p>
          <w:p w14:paraId="3B6B79C8">
            <w:pPr>
              <w:pStyle w:val="6"/>
              <w:spacing w:before="65" w:line="227" w:lineRule="auto"/>
              <w:ind w:left="115"/>
            </w:pPr>
            <w:r>
              <w:rPr>
                <w:spacing w:val="7"/>
              </w:rPr>
              <w:t>投标预备会</w:t>
            </w:r>
          </w:p>
        </w:tc>
        <w:tc>
          <w:tcPr>
            <w:tcW w:w="5339" w:type="dxa"/>
            <w:vAlign w:val="top"/>
          </w:tcPr>
          <w:p w14:paraId="383EE473">
            <w:pPr>
              <w:pStyle w:val="6"/>
              <w:spacing w:before="109" w:line="229" w:lineRule="auto"/>
              <w:ind w:left="135"/>
            </w:pPr>
            <w:r>
              <w:rPr>
                <w:spacing w:val="2"/>
              </w:rPr>
              <w:t>□不召开</w:t>
            </w:r>
          </w:p>
          <w:p w14:paraId="5EF6EB3E">
            <w:pPr>
              <w:pStyle w:val="6"/>
              <w:spacing w:before="110" w:line="257" w:lineRule="auto"/>
              <w:ind w:left="961" w:right="400" w:hanging="826"/>
            </w:pPr>
            <w:r>
              <w:rPr>
                <w:spacing w:val="6"/>
              </w:rPr>
              <w:t>□召开，召开时间：</w:t>
            </w:r>
            <w:r>
              <w:rPr>
                <w:spacing w:val="1"/>
                <w:u w:val="single" w:color="auto"/>
              </w:rPr>
              <w:t xml:space="preserve">                             </w:t>
            </w:r>
            <w:r>
              <w:rPr>
                <w:spacing w:val="6"/>
              </w:rPr>
              <w:t>召开地点：</w:t>
            </w:r>
            <w:r>
              <w:rPr>
                <w:u w:val="single" w:color="auto"/>
              </w:rPr>
              <w:t xml:space="preserve">                              </w:t>
            </w:r>
          </w:p>
        </w:tc>
      </w:tr>
      <w:tr w14:paraId="7D0D2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6" w:hRule="atLeast"/>
        </w:trPr>
        <w:tc>
          <w:tcPr>
            <w:tcW w:w="855" w:type="dxa"/>
            <w:vAlign w:val="top"/>
          </w:tcPr>
          <w:p w14:paraId="1B56611C">
            <w:pPr>
              <w:spacing w:line="268" w:lineRule="auto"/>
              <w:rPr>
                <w:rFonts w:ascii="Arial"/>
                <w:sz w:val="21"/>
              </w:rPr>
            </w:pPr>
          </w:p>
          <w:p w14:paraId="147E5A56">
            <w:pPr>
              <w:spacing w:before="57"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rPr>
              <w:t>1.10.2</w:t>
            </w:r>
          </w:p>
        </w:tc>
        <w:tc>
          <w:tcPr>
            <w:tcW w:w="2224" w:type="dxa"/>
            <w:vAlign w:val="top"/>
          </w:tcPr>
          <w:p w14:paraId="311E5DB4">
            <w:pPr>
              <w:pStyle w:val="6"/>
              <w:spacing w:before="134" w:line="290" w:lineRule="auto"/>
              <w:ind w:left="112" w:right="436" w:firstLine="3"/>
            </w:pPr>
            <w:r>
              <w:rPr>
                <w:spacing w:val="8"/>
              </w:rPr>
              <w:t>投标人提出问题的</w:t>
            </w:r>
            <w:r>
              <w:rPr>
                <w:spacing w:val="7"/>
              </w:rPr>
              <w:t>截止时间</w:t>
            </w:r>
          </w:p>
        </w:tc>
        <w:tc>
          <w:tcPr>
            <w:tcW w:w="5339" w:type="dxa"/>
            <w:vAlign w:val="top"/>
          </w:tcPr>
          <w:p w14:paraId="4208BE23">
            <w:pPr>
              <w:pStyle w:val="6"/>
              <w:spacing w:before="291" w:line="227" w:lineRule="auto"/>
              <w:ind w:left="121"/>
            </w:pPr>
            <w:r>
              <w:rPr>
                <w:spacing w:val="3"/>
              </w:rPr>
              <w:t>召开投标预备会之日</w:t>
            </w:r>
            <w:r>
              <w:rPr>
                <w:spacing w:val="-89"/>
              </w:rPr>
              <w:t xml:space="preserve"> </w:t>
            </w:r>
            <w:r>
              <w:rPr>
                <w:spacing w:val="5"/>
                <w:u w:val="single" w:color="auto"/>
              </w:rPr>
              <w:t xml:space="preserve">   </w:t>
            </w:r>
            <w:r>
              <w:rPr>
                <w:spacing w:val="-56"/>
              </w:rPr>
              <w:t xml:space="preserve"> </w:t>
            </w:r>
            <w:r>
              <w:rPr>
                <w:spacing w:val="3"/>
              </w:rPr>
              <w:t>日前</w:t>
            </w:r>
          </w:p>
        </w:tc>
      </w:tr>
      <w:tr w14:paraId="6B25E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1" w:hRule="atLeast"/>
        </w:trPr>
        <w:tc>
          <w:tcPr>
            <w:tcW w:w="855" w:type="dxa"/>
            <w:vAlign w:val="top"/>
          </w:tcPr>
          <w:p w14:paraId="1B497BE1">
            <w:pPr>
              <w:spacing w:line="331" w:lineRule="auto"/>
              <w:rPr>
                <w:rFonts w:ascii="Arial"/>
                <w:sz w:val="21"/>
              </w:rPr>
            </w:pPr>
          </w:p>
          <w:p w14:paraId="1A04A3EC">
            <w:pPr>
              <w:spacing w:line="332" w:lineRule="auto"/>
              <w:rPr>
                <w:rFonts w:ascii="Arial"/>
                <w:sz w:val="21"/>
              </w:rPr>
            </w:pPr>
          </w:p>
          <w:p w14:paraId="04294EF2">
            <w:pPr>
              <w:spacing w:before="57" w:line="195" w:lineRule="auto"/>
              <w:ind w:left="269"/>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9"/>
                <w:sz w:val="20"/>
                <w:szCs w:val="20"/>
              </w:rPr>
              <w:t>11</w:t>
            </w:r>
          </w:p>
        </w:tc>
        <w:tc>
          <w:tcPr>
            <w:tcW w:w="2224" w:type="dxa"/>
            <w:vAlign w:val="top"/>
          </w:tcPr>
          <w:p w14:paraId="3828FCB7">
            <w:pPr>
              <w:spacing w:line="310" w:lineRule="auto"/>
              <w:rPr>
                <w:rFonts w:ascii="Arial"/>
                <w:sz w:val="21"/>
              </w:rPr>
            </w:pPr>
          </w:p>
          <w:p w14:paraId="2FCC94F6">
            <w:pPr>
              <w:spacing w:line="310" w:lineRule="auto"/>
              <w:rPr>
                <w:rFonts w:ascii="Arial"/>
                <w:sz w:val="21"/>
              </w:rPr>
            </w:pPr>
          </w:p>
          <w:p w14:paraId="4A9963B2">
            <w:pPr>
              <w:pStyle w:val="6"/>
              <w:spacing w:before="65" w:line="228" w:lineRule="auto"/>
              <w:ind w:left="115"/>
            </w:pPr>
            <w:r>
              <w:rPr>
                <w:spacing w:val="-1"/>
              </w:rPr>
              <w:t>分</w:t>
            </w:r>
            <w:r>
              <w:rPr>
                <w:spacing w:val="9"/>
              </w:rPr>
              <w:t xml:space="preserve">  </w:t>
            </w:r>
            <w:r>
              <w:rPr>
                <w:spacing w:val="-1"/>
              </w:rPr>
              <w:t>包</w:t>
            </w:r>
          </w:p>
        </w:tc>
        <w:tc>
          <w:tcPr>
            <w:tcW w:w="5339" w:type="dxa"/>
            <w:vAlign w:val="top"/>
          </w:tcPr>
          <w:p w14:paraId="6F659E7E">
            <w:pPr>
              <w:pStyle w:val="6"/>
              <w:spacing w:before="220" w:line="228" w:lineRule="auto"/>
              <w:ind w:left="135"/>
            </w:pPr>
            <w:r>
              <w:rPr>
                <w:spacing w:val="2"/>
              </w:rPr>
              <w:t>□不允许</w:t>
            </w:r>
          </w:p>
          <w:p w14:paraId="12E519F6">
            <w:pPr>
              <w:pStyle w:val="6"/>
              <w:spacing w:before="110" w:line="289" w:lineRule="auto"/>
              <w:ind w:left="952" w:right="400" w:hanging="817"/>
            </w:pPr>
            <w:r>
              <w:rPr>
                <w:spacing w:val="6"/>
              </w:rPr>
              <w:t>□允许，分包内容要求：</w:t>
            </w:r>
            <w:r>
              <w:rPr>
                <w:spacing w:val="6"/>
                <w:u w:val="single" w:color="auto"/>
              </w:rPr>
              <w:t xml:space="preserve">           </w:t>
            </w:r>
            <w:r>
              <w:rPr>
                <w:spacing w:val="5"/>
                <w:u w:val="single" w:color="auto"/>
              </w:rPr>
              <w:t xml:space="preserve">             </w:t>
            </w:r>
            <w:r>
              <w:rPr>
                <w:spacing w:val="6"/>
              </w:rPr>
              <w:t>分包金额要求：</w:t>
            </w:r>
            <w:r>
              <w:rPr>
                <w:spacing w:val="6"/>
                <w:u w:val="single" w:color="auto"/>
              </w:rPr>
              <w:t xml:space="preserve">                 </w:t>
            </w:r>
            <w:r>
              <w:rPr>
                <w:spacing w:val="5"/>
                <w:u w:val="single" w:color="auto"/>
              </w:rPr>
              <w:t xml:space="preserve">       </w:t>
            </w:r>
            <w:r>
              <w:rPr>
                <w:spacing w:val="9"/>
              </w:rPr>
              <w:t>接受分包的第三人资质要求：</w:t>
            </w:r>
            <w:r>
              <w:rPr>
                <w:u w:val="single" w:color="auto"/>
              </w:rPr>
              <w:t xml:space="preserve">             </w:t>
            </w:r>
          </w:p>
        </w:tc>
      </w:tr>
      <w:tr w14:paraId="6E3F1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31" w:hRule="atLeast"/>
        </w:trPr>
        <w:tc>
          <w:tcPr>
            <w:tcW w:w="855" w:type="dxa"/>
            <w:vAlign w:val="top"/>
          </w:tcPr>
          <w:p w14:paraId="66F89835">
            <w:pPr>
              <w:spacing w:line="247" w:lineRule="auto"/>
              <w:rPr>
                <w:rFonts w:ascii="Arial"/>
                <w:sz w:val="21"/>
              </w:rPr>
            </w:pPr>
          </w:p>
          <w:p w14:paraId="5D3A2D33">
            <w:pPr>
              <w:spacing w:line="247" w:lineRule="auto"/>
              <w:rPr>
                <w:rFonts w:ascii="Arial"/>
                <w:sz w:val="21"/>
              </w:rPr>
            </w:pPr>
          </w:p>
          <w:p w14:paraId="54FFC4AB">
            <w:pPr>
              <w:spacing w:line="247" w:lineRule="auto"/>
              <w:rPr>
                <w:rFonts w:ascii="Arial"/>
                <w:sz w:val="21"/>
              </w:rPr>
            </w:pPr>
          </w:p>
          <w:p w14:paraId="68A24944">
            <w:pPr>
              <w:spacing w:line="247" w:lineRule="auto"/>
              <w:rPr>
                <w:rFonts w:ascii="Arial"/>
                <w:sz w:val="21"/>
              </w:rPr>
            </w:pPr>
          </w:p>
          <w:p w14:paraId="037ABB70">
            <w:pPr>
              <w:spacing w:before="57"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12</w:t>
            </w:r>
          </w:p>
        </w:tc>
        <w:tc>
          <w:tcPr>
            <w:tcW w:w="2224" w:type="dxa"/>
            <w:vAlign w:val="top"/>
          </w:tcPr>
          <w:p w14:paraId="0C2F630E">
            <w:pPr>
              <w:spacing w:line="314" w:lineRule="auto"/>
              <w:rPr>
                <w:rFonts w:ascii="Arial"/>
                <w:sz w:val="21"/>
              </w:rPr>
            </w:pPr>
          </w:p>
          <w:p w14:paraId="2F59D028">
            <w:pPr>
              <w:spacing w:line="315" w:lineRule="auto"/>
              <w:rPr>
                <w:rFonts w:ascii="Arial"/>
                <w:sz w:val="21"/>
              </w:rPr>
            </w:pPr>
          </w:p>
          <w:p w14:paraId="7348FFC4">
            <w:pPr>
              <w:spacing w:line="315" w:lineRule="auto"/>
              <w:rPr>
                <w:rFonts w:ascii="Arial"/>
                <w:sz w:val="21"/>
              </w:rPr>
            </w:pPr>
          </w:p>
          <w:p w14:paraId="2B90F8B1">
            <w:pPr>
              <w:pStyle w:val="6"/>
              <w:spacing w:before="65" w:line="228" w:lineRule="auto"/>
              <w:ind w:left="112"/>
            </w:pPr>
            <w:r>
              <w:t>偏</w:t>
            </w:r>
            <w:r>
              <w:rPr>
                <w:spacing w:val="11"/>
              </w:rPr>
              <w:t xml:space="preserve">  </w:t>
            </w:r>
            <w:r>
              <w:t>离</w:t>
            </w:r>
          </w:p>
        </w:tc>
        <w:tc>
          <w:tcPr>
            <w:tcW w:w="5339" w:type="dxa"/>
            <w:vAlign w:val="top"/>
          </w:tcPr>
          <w:p w14:paraId="34DE126A">
            <w:pPr>
              <w:pStyle w:val="6"/>
              <w:spacing w:before="204" w:line="228" w:lineRule="auto"/>
              <w:ind w:left="135"/>
            </w:pPr>
            <w:r>
              <w:pict>
                <v:shape id="_x0000_s1029" o:spid="_x0000_s1029" style="position:absolute;left:0pt;margin-left:52.6pt;margin-top:39.2pt;height:0.5pt;width:147pt;mso-position-horizontal-relative:page;mso-position-vertical-relative:page;z-index:251662336;mso-width-relative:page;mso-height-relative:page;" filled="f" stroked="t" coordsize="2940,10" path="m0,4l2940,4e">
                  <v:fill on="f" focussize="0,0"/>
                  <v:stroke weight="0.48pt" color="#000000" miterlimit="2" joinstyle="bevel"/>
                  <v:imagedata o:title=""/>
                  <o:lock v:ext="edit"/>
                </v:shape>
              </w:pict>
            </w:r>
            <w:r>
              <w:rPr>
                <w:spacing w:val="6"/>
              </w:rPr>
              <w:t>□不允许，不允许偏离的范围：</w:t>
            </w:r>
          </w:p>
          <w:p w14:paraId="3BABB4E6">
            <w:pPr>
              <w:spacing w:line="403" w:lineRule="auto"/>
              <w:rPr>
                <w:rFonts w:ascii="Arial"/>
                <w:sz w:val="21"/>
              </w:rPr>
            </w:pPr>
          </w:p>
          <w:p w14:paraId="7FCF3D14">
            <w:pPr>
              <w:pStyle w:val="6"/>
              <w:spacing w:before="65" w:line="227" w:lineRule="auto"/>
              <w:ind w:left="135"/>
            </w:pPr>
            <w:r>
              <w:rPr>
                <w:spacing w:val="8"/>
              </w:rPr>
              <w:t>□允许，可偏离的项目和范围见第七章</w:t>
            </w:r>
          </w:p>
          <w:p w14:paraId="4A2C61C5">
            <w:pPr>
              <w:pStyle w:val="6"/>
              <w:spacing w:before="65" w:line="228" w:lineRule="auto"/>
              <w:ind w:left="838"/>
            </w:pPr>
            <w:r>
              <w:rPr>
                <w:spacing w:val="6"/>
              </w:rPr>
              <w:t>“技术标准和要求</w:t>
            </w:r>
            <w:r>
              <w:rPr>
                <w:spacing w:val="-70"/>
              </w:rPr>
              <w:t xml:space="preserve"> </w:t>
            </w:r>
            <w:r>
              <w:rPr>
                <w:spacing w:val="6"/>
              </w:rPr>
              <w:t>”：</w:t>
            </w:r>
          </w:p>
          <w:p w14:paraId="5D78889B">
            <w:pPr>
              <w:pStyle w:val="6"/>
              <w:spacing w:before="66" w:line="289" w:lineRule="auto"/>
              <w:ind w:left="953" w:right="1449" w:firstLine="7"/>
            </w:pPr>
            <w:r>
              <w:rPr>
                <w:spacing w:val="6"/>
              </w:rPr>
              <w:t>允许偏离最高项数：</w:t>
            </w:r>
            <w:r>
              <w:rPr>
                <w:spacing w:val="6"/>
                <w:u w:val="single" w:color="auto"/>
              </w:rPr>
              <w:t xml:space="preserve">          </w:t>
            </w:r>
            <w:r>
              <w:rPr>
                <w:spacing w:val="8"/>
              </w:rPr>
              <w:t>偏差调整方法：</w:t>
            </w:r>
            <w:r>
              <w:rPr>
                <w:u w:val="single" w:color="auto"/>
              </w:rPr>
              <w:t xml:space="preserve">               </w:t>
            </w:r>
          </w:p>
        </w:tc>
      </w:tr>
      <w:tr w14:paraId="30391B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855" w:type="dxa"/>
            <w:vAlign w:val="top"/>
          </w:tcPr>
          <w:p w14:paraId="1A721F26">
            <w:pPr>
              <w:spacing w:line="280" w:lineRule="auto"/>
              <w:rPr>
                <w:rFonts w:ascii="Arial"/>
                <w:sz w:val="21"/>
              </w:rPr>
            </w:pPr>
          </w:p>
          <w:p w14:paraId="332D2FA5">
            <w:pPr>
              <w:spacing w:before="58" w:line="195" w:lineRule="auto"/>
              <w:ind w:left="22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p>
        </w:tc>
        <w:tc>
          <w:tcPr>
            <w:tcW w:w="2224" w:type="dxa"/>
            <w:vAlign w:val="top"/>
          </w:tcPr>
          <w:p w14:paraId="660B34A2">
            <w:pPr>
              <w:pStyle w:val="6"/>
              <w:spacing w:before="148" w:line="289" w:lineRule="auto"/>
              <w:ind w:left="112" w:right="105" w:firstLine="2"/>
            </w:pPr>
            <w:r>
              <w:rPr>
                <w:spacing w:val="22"/>
              </w:rPr>
              <w:t>构成招标文件的其他</w:t>
            </w:r>
            <w:r>
              <w:rPr>
                <w:spacing w:val="4"/>
              </w:rPr>
              <w:t>材料</w:t>
            </w:r>
          </w:p>
        </w:tc>
        <w:tc>
          <w:tcPr>
            <w:tcW w:w="5339" w:type="dxa"/>
            <w:vAlign w:val="top"/>
          </w:tcPr>
          <w:p w14:paraId="3D8A1587">
            <w:pPr>
              <w:rPr>
                <w:rFonts w:ascii="Arial"/>
                <w:sz w:val="21"/>
              </w:rPr>
            </w:pPr>
          </w:p>
        </w:tc>
      </w:tr>
    </w:tbl>
    <w:p w14:paraId="46DC40A2">
      <w:pPr>
        <w:rPr>
          <w:rFonts w:ascii="Arial"/>
          <w:sz w:val="21"/>
        </w:rPr>
      </w:pPr>
    </w:p>
    <w:p w14:paraId="049BF079">
      <w:pPr>
        <w:rPr>
          <w:rFonts w:ascii="Arial" w:hAnsi="Arial" w:eastAsia="Arial" w:cs="Arial"/>
          <w:sz w:val="21"/>
          <w:szCs w:val="21"/>
        </w:rPr>
        <w:sectPr>
          <w:footerReference r:id="rId27" w:type="default"/>
          <w:pgSz w:w="11906" w:h="16839"/>
          <w:pgMar w:top="1431" w:right="1687" w:bottom="1156" w:left="1785" w:header="0" w:footer="994" w:gutter="0"/>
          <w:cols w:space="720" w:num="1"/>
        </w:sectPr>
      </w:pPr>
    </w:p>
    <w:p w14:paraId="6B75BAF1">
      <w:pPr>
        <w:spacing w:line="91" w:lineRule="auto"/>
        <w:rPr>
          <w:rFonts w:ascii="Arial"/>
          <w:sz w:val="2"/>
        </w:rPr>
      </w:pPr>
    </w:p>
    <w:tbl>
      <w:tblPr>
        <w:tblStyle w:val="5"/>
        <w:tblW w:w="8418"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2224"/>
        <w:gridCol w:w="5339"/>
      </w:tblGrid>
      <w:tr w14:paraId="294D82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855" w:type="dxa"/>
            <w:vAlign w:val="top"/>
          </w:tcPr>
          <w:p w14:paraId="6FD4015A">
            <w:pPr>
              <w:spacing w:before="154" w:line="195" w:lineRule="auto"/>
              <w:ind w:left="22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3"/>
                <w:sz w:val="20"/>
                <w:szCs w:val="20"/>
              </w:rPr>
              <w:t>1.2</w:t>
            </w:r>
          </w:p>
          <w:p w14:paraId="6645FED6">
            <w:pPr>
              <w:pStyle w:val="6"/>
              <w:spacing w:before="89"/>
              <w:ind w:left="181"/>
            </w:pPr>
            <w:r>
              <w:rPr>
                <w:spacing w:val="-2"/>
              </w:rPr>
              <w:t>（</w:t>
            </w:r>
            <w:r>
              <w:rPr>
                <w:rFonts w:ascii="Times New Roman" w:hAnsi="Times New Roman" w:eastAsia="Times New Roman" w:cs="Times New Roman"/>
                <w:spacing w:val="-2"/>
              </w:rPr>
              <w:t>1</w:t>
            </w:r>
            <w:r>
              <w:rPr>
                <w:spacing w:val="-2"/>
              </w:rPr>
              <w:t>）</w:t>
            </w:r>
          </w:p>
        </w:tc>
        <w:tc>
          <w:tcPr>
            <w:tcW w:w="2224" w:type="dxa"/>
            <w:vAlign w:val="top"/>
          </w:tcPr>
          <w:p w14:paraId="47EDDDC0">
            <w:pPr>
              <w:pStyle w:val="6"/>
              <w:spacing w:before="274" w:line="227" w:lineRule="auto"/>
              <w:ind w:left="113"/>
            </w:pPr>
            <w:r>
              <w:rPr>
                <w:spacing w:val="8"/>
              </w:rPr>
              <w:t>本工程的计税方法</w:t>
            </w:r>
          </w:p>
        </w:tc>
        <w:tc>
          <w:tcPr>
            <w:tcW w:w="5339" w:type="dxa"/>
            <w:vAlign w:val="top"/>
          </w:tcPr>
          <w:p w14:paraId="090B446F">
            <w:pPr>
              <w:pStyle w:val="6"/>
              <w:spacing w:before="88" w:line="228" w:lineRule="auto"/>
              <w:ind w:left="135"/>
            </w:pPr>
            <w:r>
              <w:rPr>
                <w:spacing w:val="3"/>
              </w:rPr>
              <w:t>□</w:t>
            </w:r>
            <w:r>
              <w:rPr>
                <w:spacing w:val="20"/>
              </w:rPr>
              <w:t xml:space="preserve"> </w:t>
            </w:r>
            <w:r>
              <w:rPr>
                <w:spacing w:val="3"/>
              </w:rPr>
              <w:t>一般计税方法</w:t>
            </w:r>
          </w:p>
          <w:p w14:paraId="070D0F10">
            <w:pPr>
              <w:pStyle w:val="6"/>
              <w:spacing w:before="126" w:line="227" w:lineRule="auto"/>
              <w:ind w:left="135"/>
            </w:pPr>
            <w:r>
              <w:rPr>
                <w:spacing w:val="3"/>
              </w:rPr>
              <w:t>□</w:t>
            </w:r>
            <w:r>
              <w:rPr>
                <w:spacing w:val="20"/>
              </w:rPr>
              <w:t xml:space="preserve"> </w:t>
            </w:r>
            <w:r>
              <w:rPr>
                <w:spacing w:val="3"/>
              </w:rPr>
              <w:t>简易计税方法</w:t>
            </w:r>
          </w:p>
        </w:tc>
      </w:tr>
      <w:tr w14:paraId="27B51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55" w:type="dxa"/>
            <w:vAlign w:val="top"/>
          </w:tcPr>
          <w:p w14:paraId="3DD760DF">
            <w:pPr>
              <w:spacing w:before="114" w:line="195" w:lineRule="auto"/>
              <w:ind w:left="22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3"/>
                <w:sz w:val="20"/>
                <w:szCs w:val="20"/>
              </w:rPr>
              <w:t>1.2</w:t>
            </w:r>
          </w:p>
          <w:p w14:paraId="260E6A6E">
            <w:pPr>
              <w:pStyle w:val="6"/>
              <w:spacing w:before="89"/>
              <w:ind w:left="181"/>
            </w:pPr>
            <w:r>
              <w:rPr>
                <w:spacing w:val="-2"/>
              </w:rPr>
              <w:t>（</w:t>
            </w:r>
            <w:r>
              <w:rPr>
                <w:rFonts w:ascii="Times New Roman" w:hAnsi="Times New Roman" w:eastAsia="Times New Roman" w:cs="Times New Roman"/>
                <w:spacing w:val="-2"/>
              </w:rPr>
              <w:t>2</w:t>
            </w:r>
            <w:r>
              <w:rPr>
                <w:spacing w:val="-2"/>
              </w:rPr>
              <w:t>）</w:t>
            </w:r>
          </w:p>
        </w:tc>
        <w:tc>
          <w:tcPr>
            <w:tcW w:w="2224" w:type="dxa"/>
            <w:vAlign w:val="top"/>
          </w:tcPr>
          <w:p w14:paraId="5901D39F">
            <w:pPr>
              <w:pStyle w:val="6"/>
              <w:spacing w:before="234" w:line="226" w:lineRule="auto"/>
              <w:ind w:left="113"/>
            </w:pPr>
            <w:r>
              <w:rPr>
                <w:spacing w:val="7"/>
              </w:rPr>
              <w:t>招标控制价</w:t>
            </w:r>
          </w:p>
        </w:tc>
        <w:tc>
          <w:tcPr>
            <w:tcW w:w="5339" w:type="dxa"/>
            <w:vAlign w:val="top"/>
          </w:tcPr>
          <w:p w14:paraId="1A29EFF1">
            <w:pPr>
              <w:pStyle w:val="6"/>
              <w:spacing w:before="97" w:line="226" w:lineRule="auto"/>
              <w:ind w:left="114"/>
            </w:pPr>
            <w:r>
              <w:rPr>
                <w:spacing w:val="6"/>
              </w:rPr>
              <w:t>招标控制价总价为：</w:t>
            </w:r>
            <w:r>
              <w:rPr>
                <w:spacing w:val="6"/>
                <w:u w:val="single" w:color="auto"/>
              </w:rPr>
              <w:t xml:space="preserve">        </w:t>
            </w:r>
            <w:r>
              <w:rPr>
                <w:spacing w:val="-80"/>
              </w:rPr>
              <w:t xml:space="preserve"> </w:t>
            </w:r>
            <w:r>
              <w:rPr>
                <w:spacing w:val="6"/>
              </w:rPr>
              <w:t>元</w:t>
            </w:r>
          </w:p>
          <w:p w14:paraId="6816D27F">
            <w:pPr>
              <w:pStyle w:val="6"/>
              <w:spacing w:before="93" w:line="218" w:lineRule="auto"/>
              <w:ind w:left="116"/>
            </w:pPr>
            <w:r>
              <w:rPr>
                <w:spacing w:val="2"/>
              </w:rPr>
              <w:t>详见本须知附表十二：“招标控制价明细</w:t>
            </w:r>
            <w:r>
              <w:rPr>
                <w:spacing w:val="-69"/>
              </w:rPr>
              <w:t xml:space="preserve"> </w:t>
            </w:r>
            <w:r>
              <w:rPr>
                <w:spacing w:val="2"/>
              </w:rPr>
              <w:t>”。</w:t>
            </w:r>
          </w:p>
        </w:tc>
      </w:tr>
      <w:tr w14:paraId="56059B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55" w:type="dxa"/>
            <w:vAlign w:val="top"/>
          </w:tcPr>
          <w:p w14:paraId="408FE940">
            <w:pPr>
              <w:spacing w:before="243" w:line="195" w:lineRule="auto"/>
              <w:ind w:left="22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1"/>
                <w:sz w:val="20"/>
                <w:szCs w:val="20"/>
              </w:rPr>
              <w:t>1</w:t>
            </w:r>
          </w:p>
        </w:tc>
        <w:tc>
          <w:tcPr>
            <w:tcW w:w="2224" w:type="dxa"/>
            <w:vAlign w:val="top"/>
          </w:tcPr>
          <w:p w14:paraId="36FF98C7">
            <w:pPr>
              <w:pStyle w:val="6"/>
              <w:spacing w:before="51" w:line="262" w:lineRule="auto"/>
              <w:ind w:left="114" w:right="105"/>
            </w:pPr>
            <w:r>
              <w:rPr>
                <w:spacing w:val="22"/>
              </w:rPr>
              <w:t>投标人要求澄清招标</w:t>
            </w:r>
            <w:r>
              <w:rPr>
                <w:spacing w:val="8"/>
              </w:rPr>
              <w:t>文件的截止时间</w:t>
            </w:r>
          </w:p>
        </w:tc>
        <w:tc>
          <w:tcPr>
            <w:tcW w:w="5339" w:type="dxa"/>
            <w:vAlign w:val="top"/>
          </w:tcPr>
          <w:p w14:paraId="674E1C1E">
            <w:pPr>
              <w:pStyle w:val="6"/>
              <w:spacing w:before="206" w:line="228" w:lineRule="auto"/>
              <w:ind w:left="114"/>
            </w:pPr>
            <w:r>
              <w:rPr>
                <w:spacing w:val="5"/>
              </w:rPr>
              <w:t>递交投标文件截止之日</w:t>
            </w:r>
            <w:r>
              <w:rPr>
                <w:spacing w:val="-98"/>
              </w:rPr>
              <w:t xml:space="preserve"> </w:t>
            </w:r>
            <w:r>
              <w:rPr>
                <w:spacing w:val="5"/>
                <w:u w:val="single" w:color="auto"/>
              </w:rPr>
              <w:t xml:space="preserve">   </w:t>
            </w:r>
            <w:r>
              <w:rPr>
                <w:spacing w:val="-55"/>
              </w:rPr>
              <w:t xml:space="preserve"> </w:t>
            </w:r>
            <w:r>
              <w:rPr>
                <w:spacing w:val="5"/>
              </w:rPr>
              <w:t>日前</w:t>
            </w:r>
          </w:p>
        </w:tc>
      </w:tr>
      <w:tr w14:paraId="491B9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55" w:type="dxa"/>
            <w:vAlign w:val="top"/>
          </w:tcPr>
          <w:p w14:paraId="28271A11">
            <w:pPr>
              <w:spacing w:before="245" w:line="195" w:lineRule="auto"/>
              <w:ind w:left="22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p>
        </w:tc>
        <w:tc>
          <w:tcPr>
            <w:tcW w:w="2224" w:type="dxa"/>
            <w:vAlign w:val="top"/>
          </w:tcPr>
          <w:p w14:paraId="149C5C3A">
            <w:pPr>
              <w:pStyle w:val="6"/>
              <w:spacing w:before="53" w:line="261" w:lineRule="auto"/>
              <w:ind w:left="112" w:right="105" w:firstLine="2"/>
            </w:pPr>
            <w:r>
              <w:rPr>
                <w:spacing w:val="22"/>
              </w:rPr>
              <w:t>构成投标文件的其他</w:t>
            </w:r>
            <w:r>
              <w:rPr>
                <w:spacing w:val="4"/>
              </w:rPr>
              <w:t>材料</w:t>
            </w:r>
          </w:p>
        </w:tc>
        <w:tc>
          <w:tcPr>
            <w:tcW w:w="5339" w:type="dxa"/>
            <w:vAlign w:val="top"/>
          </w:tcPr>
          <w:p w14:paraId="321C8508">
            <w:pPr>
              <w:rPr>
                <w:rFonts w:ascii="Arial"/>
                <w:sz w:val="21"/>
              </w:rPr>
            </w:pPr>
          </w:p>
        </w:tc>
      </w:tr>
      <w:tr w14:paraId="508CB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855" w:type="dxa"/>
            <w:vAlign w:val="top"/>
          </w:tcPr>
          <w:p w14:paraId="64099617">
            <w:pPr>
              <w:spacing w:before="170" w:line="195" w:lineRule="auto"/>
              <w:ind w:left="22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3.3.</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1"/>
                <w:sz w:val="20"/>
                <w:szCs w:val="20"/>
              </w:rPr>
              <w:t>1</w:t>
            </w:r>
          </w:p>
        </w:tc>
        <w:tc>
          <w:tcPr>
            <w:tcW w:w="2224" w:type="dxa"/>
            <w:vAlign w:val="top"/>
          </w:tcPr>
          <w:p w14:paraId="76BF6D29">
            <w:pPr>
              <w:pStyle w:val="6"/>
              <w:spacing w:before="134" w:line="228" w:lineRule="auto"/>
              <w:ind w:left="115"/>
            </w:pPr>
            <w:r>
              <w:rPr>
                <w:spacing w:val="7"/>
              </w:rPr>
              <w:t>投标有效期</w:t>
            </w:r>
          </w:p>
        </w:tc>
        <w:tc>
          <w:tcPr>
            <w:tcW w:w="5339" w:type="dxa"/>
            <w:vAlign w:val="top"/>
          </w:tcPr>
          <w:p w14:paraId="6D11236D">
            <w:pPr>
              <w:pStyle w:val="6"/>
              <w:spacing w:before="134" w:line="228" w:lineRule="auto"/>
              <w:ind w:left="148"/>
            </w:pPr>
            <w:r>
              <w:rPr>
                <w:spacing w:val="2"/>
              </w:rPr>
              <w:t>自投标截止之日起</w:t>
            </w:r>
            <w:r>
              <w:rPr>
                <w:spacing w:val="-95"/>
              </w:rPr>
              <w:t xml:space="preserve"> </w:t>
            </w:r>
            <w:r>
              <w:rPr>
                <w:spacing w:val="4"/>
                <w:u w:val="single" w:color="auto"/>
              </w:rPr>
              <w:t xml:space="preserve">     </w:t>
            </w:r>
            <w:r>
              <w:rPr>
                <w:spacing w:val="-52"/>
              </w:rPr>
              <w:t xml:space="preserve"> </w:t>
            </w:r>
            <w:r>
              <w:rPr>
                <w:spacing w:val="2"/>
              </w:rPr>
              <w:t>日内有效</w:t>
            </w:r>
          </w:p>
        </w:tc>
      </w:tr>
      <w:tr w14:paraId="6EE766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36" w:hRule="atLeast"/>
        </w:trPr>
        <w:tc>
          <w:tcPr>
            <w:tcW w:w="855" w:type="dxa"/>
            <w:vAlign w:val="top"/>
          </w:tcPr>
          <w:p w14:paraId="08EDECDE">
            <w:pPr>
              <w:spacing w:line="250" w:lineRule="auto"/>
              <w:rPr>
                <w:rFonts w:ascii="Arial"/>
                <w:sz w:val="21"/>
              </w:rPr>
            </w:pPr>
          </w:p>
          <w:p w14:paraId="028AB035">
            <w:pPr>
              <w:spacing w:line="250" w:lineRule="auto"/>
              <w:rPr>
                <w:rFonts w:ascii="Arial"/>
                <w:sz w:val="21"/>
              </w:rPr>
            </w:pPr>
          </w:p>
          <w:p w14:paraId="0427FFA4">
            <w:pPr>
              <w:spacing w:line="250" w:lineRule="auto"/>
              <w:rPr>
                <w:rFonts w:ascii="Arial"/>
                <w:sz w:val="21"/>
              </w:rPr>
            </w:pPr>
          </w:p>
          <w:p w14:paraId="2B2277BE">
            <w:pPr>
              <w:spacing w:line="250" w:lineRule="auto"/>
              <w:rPr>
                <w:rFonts w:ascii="Arial"/>
                <w:sz w:val="21"/>
              </w:rPr>
            </w:pPr>
          </w:p>
          <w:p w14:paraId="632B590A">
            <w:pPr>
              <w:spacing w:line="250" w:lineRule="auto"/>
              <w:rPr>
                <w:rFonts w:ascii="Arial"/>
                <w:sz w:val="21"/>
              </w:rPr>
            </w:pPr>
          </w:p>
          <w:p w14:paraId="342760FC">
            <w:pPr>
              <w:spacing w:line="250" w:lineRule="auto"/>
              <w:rPr>
                <w:rFonts w:ascii="Arial"/>
                <w:sz w:val="21"/>
              </w:rPr>
            </w:pPr>
          </w:p>
          <w:p w14:paraId="755A801A">
            <w:pPr>
              <w:spacing w:line="250" w:lineRule="auto"/>
              <w:rPr>
                <w:rFonts w:ascii="Arial"/>
                <w:sz w:val="21"/>
              </w:rPr>
            </w:pPr>
          </w:p>
          <w:p w14:paraId="60EA0B39">
            <w:pPr>
              <w:spacing w:line="250" w:lineRule="auto"/>
              <w:rPr>
                <w:rFonts w:ascii="Arial"/>
                <w:sz w:val="21"/>
              </w:rPr>
            </w:pPr>
          </w:p>
          <w:p w14:paraId="73688DEE">
            <w:pPr>
              <w:spacing w:line="250" w:lineRule="auto"/>
              <w:rPr>
                <w:rFonts w:ascii="Arial"/>
                <w:sz w:val="21"/>
              </w:rPr>
            </w:pPr>
          </w:p>
          <w:p w14:paraId="7D4E7808">
            <w:pPr>
              <w:spacing w:line="250" w:lineRule="auto"/>
              <w:rPr>
                <w:rFonts w:ascii="Arial"/>
                <w:sz w:val="21"/>
              </w:rPr>
            </w:pPr>
          </w:p>
          <w:p w14:paraId="31C0538D">
            <w:pPr>
              <w:spacing w:line="250" w:lineRule="auto"/>
              <w:rPr>
                <w:rFonts w:ascii="Arial"/>
                <w:sz w:val="21"/>
              </w:rPr>
            </w:pPr>
          </w:p>
          <w:p w14:paraId="618BEB8E">
            <w:pPr>
              <w:spacing w:line="251" w:lineRule="auto"/>
              <w:rPr>
                <w:rFonts w:ascii="Arial"/>
                <w:sz w:val="21"/>
              </w:rPr>
            </w:pPr>
          </w:p>
          <w:p w14:paraId="357D462C">
            <w:pPr>
              <w:spacing w:line="251" w:lineRule="auto"/>
              <w:rPr>
                <w:rFonts w:ascii="Arial"/>
                <w:sz w:val="21"/>
              </w:rPr>
            </w:pPr>
          </w:p>
          <w:p w14:paraId="256A0034">
            <w:pPr>
              <w:spacing w:line="251" w:lineRule="auto"/>
              <w:rPr>
                <w:rFonts w:ascii="Arial"/>
                <w:sz w:val="21"/>
              </w:rPr>
            </w:pPr>
          </w:p>
          <w:p w14:paraId="4DE1FCD5">
            <w:pPr>
              <w:spacing w:line="251" w:lineRule="auto"/>
              <w:rPr>
                <w:rFonts w:ascii="Arial"/>
                <w:sz w:val="21"/>
              </w:rPr>
            </w:pPr>
          </w:p>
          <w:p w14:paraId="42E60ECA">
            <w:pPr>
              <w:spacing w:line="251" w:lineRule="auto"/>
              <w:rPr>
                <w:rFonts w:ascii="Arial"/>
                <w:sz w:val="21"/>
              </w:rPr>
            </w:pPr>
          </w:p>
          <w:p w14:paraId="12B871AD">
            <w:pPr>
              <w:spacing w:line="251" w:lineRule="auto"/>
              <w:rPr>
                <w:rFonts w:ascii="Arial"/>
                <w:sz w:val="21"/>
              </w:rPr>
            </w:pPr>
          </w:p>
          <w:p w14:paraId="0F1033A0">
            <w:pPr>
              <w:spacing w:line="251" w:lineRule="auto"/>
              <w:rPr>
                <w:rFonts w:ascii="Arial"/>
                <w:sz w:val="21"/>
              </w:rPr>
            </w:pPr>
          </w:p>
          <w:p w14:paraId="1BD77F53">
            <w:pPr>
              <w:spacing w:line="251" w:lineRule="auto"/>
              <w:rPr>
                <w:rFonts w:ascii="Arial"/>
                <w:sz w:val="21"/>
              </w:rPr>
            </w:pPr>
          </w:p>
          <w:p w14:paraId="582AF47F">
            <w:pPr>
              <w:spacing w:line="251" w:lineRule="auto"/>
              <w:rPr>
                <w:rFonts w:ascii="Arial"/>
                <w:sz w:val="21"/>
              </w:rPr>
            </w:pPr>
          </w:p>
          <w:p w14:paraId="6F4AE65C">
            <w:pPr>
              <w:spacing w:before="57" w:line="195" w:lineRule="auto"/>
              <w:ind w:left="22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3.4.</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1"/>
                <w:sz w:val="20"/>
                <w:szCs w:val="20"/>
              </w:rPr>
              <w:t>1</w:t>
            </w:r>
          </w:p>
        </w:tc>
        <w:tc>
          <w:tcPr>
            <w:tcW w:w="2224" w:type="dxa"/>
            <w:vAlign w:val="top"/>
          </w:tcPr>
          <w:p w14:paraId="2499C389">
            <w:pPr>
              <w:spacing w:line="248" w:lineRule="auto"/>
              <w:rPr>
                <w:rFonts w:ascii="Arial"/>
                <w:sz w:val="21"/>
              </w:rPr>
            </w:pPr>
          </w:p>
          <w:p w14:paraId="07605DE9">
            <w:pPr>
              <w:spacing w:line="248" w:lineRule="auto"/>
              <w:rPr>
                <w:rFonts w:ascii="Arial"/>
                <w:sz w:val="21"/>
              </w:rPr>
            </w:pPr>
          </w:p>
          <w:p w14:paraId="418B43CD">
            <w:pPr>
              <w:spacing w:line="248" w:lineRule="auto"/>
              <w:rPr>
                <w:rFonts w:ascii="Arial"/>
                <w:sz w:val="21"/>
              </w:rPr>
            </w:pPr>
          </w:p>
          <w:p w14:paraId="48C30C5A">
            <w:pPr>
              <w:spacing w:line="248" w:lineRule="auto"/>
              <w:rPr>
                <w:rFonts w:ascii="Arial"/>
                <w:sz w:val="21"/>
              </w:rPr>
            </w:pPr>
          </w:p>
          <w:p w14:paraId="1D9A0609">
            <w:pPr>
              <w:spacing w:line="248" w:lineRule="auto"/>
              <w:rPr>
                <w:rFonts w:ascii="Arial"/>
                <w:sz w:val="21"/>
              </w:rPr>
            </w:pPr>
          </w:p>
          <w:p w14:paraId="5B8220A2">
            <w:pPr>
              <w:spacing w:line="248" w:lineRule="auto"/>
              <w:rPr>
                <w:rFonts w:ascii="Arial"/>
                <w:sz w:val="21"/>
              </w:rPr>
            </w:pPr>
          </w:p>
          <w:p w14:paraId="0235D371">
            <w:pPr>
              <w:spacing w:line="248" w:lineRule="auto"/>
              <w:rPr>
                <w:rFonts w:ascii="Arial"/>
                <w:sz w:val="21"/>
              </w:rPr>
            </w:pPr>
          </w:p>
          <w:p w14:paraId="3C1C2D4A">
            <w:pPr>
              <w:spacing w:line="248" w:lineRule="auto"/>
              <w:rPr>
                <w:rFonts w:ascii="Arial"/>
                <w:sz w:val="21"/>
              </w:rPr>
            </w:pPr>
          </w:p>
          <w:p w14:paraId="6DC76581">
            <w:pPr>
              <w:spacing w:line="248" w:lineRule="auto"/>
              <w:rPr>
                <w:rFonts w:ascii="Arial"/>
                <w:sz w:val="21"/>
              </w:rPr>
            </w:pPr>
          </w:p>
          <w:p w14:paraId="08E3D2A2">
            <w:pPr>
              <w:spacing w:line="248" w:lineRule="auto"/>
              <w:rPr>
                <w:rFonts w:ascii="Arial"/>
                <w:sz w:val="21"/>
              </w:rPr>
            </w:pPr>
          </w:p>
          <w:p w14:paraId="7F82047F">
            <w:pPr>
              <w:spacing w:line="248" w:lineRule="auto"/>
              <w:rPr>
                <w:rFonts w:ascii="Arial"/>
                <w:sz w:val="21"/>
              </w:rPr>
            </w:pPr>
          </w:p>
          <w:p w14:paraId="49EF550F">
            <w:pPr>
              <w:spacing w:line="248" w:lineRule="auto"/>
              <w:rPr>
                <w:rFonts w:ascii="Arial"/>
                <w:sz w:val="21"/>
              </w:rPr>
            </w:pPr>
          </w:p>
          <w:p w14:paraId="731BE3FB">
            <w:pPr>
              <w:spacing w:line="248" w:lineRule="auto"/>
              <w:rPr>
                <w:rFonts w:ascii="Arial"/>
                <w:sz w:val="21"/>
              </w:rPr>
            </w:pPr>
          </w:p>
          <w:p w14:paraId="3AB27B1D">
            <w:pPr>
              <w:spacing w:line="248" w:lineRule="auto"/>
              <w:rPr>
                <w:rFonts w:ascii="Arial"/>
                <w:sz w:val="21"/>
              </w:rPr>
            </w:pPr>
          </w:p>
          <w:p w14:paraId="2208758E">
            <w:pPr>
              <w:spacing w:line="249" w:lineRule="auto"/>
              <w:rPr>
                <w:rFonts w:ascii="Arial"/>
                <w:sz w:val="21"/>
              </w:rPr>
            </w:pPr>
          </w:p>
          <w:p w14:paraId="6800CA54">
            <w:pPr>
              <w:spacing w:line="249" w:lineRule="auto"/>
              <w:rPr>
                <w:rFonts w:ascii="Arial"/>
                <w:sz w:val="21"/>
              </w:rPr>
            </w:pPr>
          </w:p>
          <w:p w14:paraId="16F502D8">
            <w:pPr>
              <w:spacing w:line="249" w:lineRule="auto"/>
              <w:rPr>
                <w:rFonts w:ascii="Arial"/>
                <w:sz w:val="21"/>
              </w:rPr>
            </w:pPr>
          </w:p>
          <w:p w14:paraId="2AE8102E">
            <w:pPr>
              <w:spacing w:line="249" w:lineRule="auto"/>
              <w:rPr>
                <w:rFonts w:ascii="Arial"/>
                <w:sz w:val="21"/>
              </w:rPr>
            </w:pPr>
          </w:p>
          <w:p w14:paraId="4F488F76">
            <w:pPr>
              <w:spacing w:line="249" w:lineRule="auto"/>
              <w:rPr>
                <w:rFonts w:ascii="Arial"/>
                <w:sz w:val="21"/>
              </w:rPr>
            </w:pPr>
          </w:p>
          <w:p w14:paraId="26D0D9C3">
            <w:pPr>
              <w:spacing w:line="249" w:lineRule="auto"/>
              <w:rPr>
                <w:rFonts w:ascii="Arial"/>
                <w:sz w:val="21"/>
              </w:rPr>
            </w:pPr>
          </w:p>
          <w:p w14:paraId="39DCD615">
            <w:pPr>
              <w:pStyle w:val="6"/>
              <w:spacing w:before="65" w:line="228" w:lineRule="auto"/>
              <w:ind w:left="115"/>
            </w:pPr>
            <w:r>
              <w:rPr>
                <w:spacing w:val="7"/>
              </w:rPr>
              <w:t>投标保证金</w:t>
            </w:r>
          </w:p>
        </w:tc>
        <w:tc>
          <w:tcPr>
            <w:tcW w:w="5339" w:type="dxa"/>
            <w:vAlign w:val="top"/>
          </w:tcPr>
          <w:p w14:paraId="0093C0F5">
            <w:pPr>
              <w:pStyle w:val="6"/>
              <w:spacing w:before="31" w:line="228" w:lineRule="auto"/>
              <w:ind w:left="135"/>
            </w:pPr>
            <w:r>
              <w:rPr>
                <w:spacing w:val="2"/>
              </w:rPr>
              <w:t>□不提交</w:t>
            </w:r>
          </w:p>
          <w:p w14:paraId="0631A37A">
            <w:pPr>
              <w:pStyle w:val="6"/>
              <w:spacing w:before="160" w:line="228" w:lineRule="auto"/>
              <w:ind w:left="135"/>
            </w:pPr>
            <w:r>
              <w:rPr>
                <w:spacing w:val="-1"/>
              </w:rPr>
              <w:t>□提交，</w:t>
            </w:r>
          </w:p>
          <w:p w14:paraId="5E908945">
            <w:pPr>
              <w:pStyle w:val="6"/>
              <w:spacing w:before="162" w:line="227" w:lineRule="auto"/>
              <w:ind w:left="123"/>
            </w:pPr>
            <w:r>
              <w:rPr>
                <w:rFonts w:ascii="Calibri" w:hAnsi="Calibri" w:eastAsia="Calibri" w:cs="Calibri"/>
                <w:spacing w:val="7"/>
              </w:rPr>
              <w:t xml:space="preserve">1.  </w:t>
            </w:r>
            <w:r>
              <w:rPr>
                <w:spacing w:val="7"/>
              </w:rPr>
              <w:t>递交截止时间（到账时间</w:t>
            </w:r>
            <w:r>
              <w:rPr>
                <w:spacing w:val="-54"/>
                <w:w w:val="99"/>
              </w:rPr>
              <w:t>）：</w:t>
            </w:r>
            <w:r>
              <w:rPr>
                <w:spacing w:val="-44"/>
              </w:rPr>
              <w:t xml:space="preserve"> </w:t>
            </w:r>
            <w:r>
              <w:rPr>
                <w:spacing w:val="7"/>
              </w:rPr>
              <w:t>同本项目投标截止时间。</w:t>
            </w:r>
          </w:p>
          <w:p w14:paraId="7D470342">
            <w:pPr>
              <w:pStyle w:val="6"/>
              <w:spacing w:before="162" w:line="228" w:lineRule="auto"/>
              <w:ind w:left="117"/>
            </w:pPr>
            <w:r>
              <w:rPr>
                <w:rFonts w:ascii="Calibri" w:hAnsi="Calibri" w:eastAsia="Calibri" w:cs="Calibri"/>
                <w:spacing w:val="1"/>
              </w:rPr>
              <w:t>2.</w:t>
            </w:r>
            <w:r>
              <w:rPr>
                <w:rFonts w:ascii="Calibri" w:hAnsi="Calibri" w:eastAsia="Calibri" w:cs="Calibri"/>
                <w:spacing w:val="14"/>
                <w:w w:val="101"/>
              </w:rPr>
              <w:t xml:space="preserve">  </w:t>
            </w:r>
            <w:r>
              <w:rPr>
                <w:spacing w:val="1"/>
              </w:rPr>
              <w:t>金额：</w:t>
            </w:r>
            <w:r>
              <w:rPr>
                <w:spacing w:val="5"/>
                <w:u w:val="single" w:color="auto"/>
              </w:rPr>
              <w:t xml:space="preserve">        </w:t>
            </w:r>
            <w:r>
              <w:rPr>
                <w:spacing w:val="-90"/>
              </w:rPr>
              <w:t xml:space="preserve"> </w:t>
            </w:r>
            <w:r>
              <w:rPr>
                <w:spacing w:val="1"/>
              </w:rPr>
              <w:t>元。</w:t>
            </w:r>
          </w:p>
          <w:p w14:paraId="05396F01">
            <w:pPr>
              <w:pStyle w:val="6"/>
              <w:spacing w:before="161" w:line="378" w:lineRule="auto"/>
              <w:ind w:left="114" w:right="109" w:firstLine="1"/>
            </w:pPr>
            <w:r>
              <w:rPr>
                <w:rFonts w:ascii="Calibri" w:hAnsi="Calibri" w:eastAsia="Calibri" w:cs="Calibri"/>
                <w:spacing w:val="7"/>
              </w:rPr>
              <w:t xml:space="preserve">3.  </w:t>
            </w:r>
            <w:r>
              <w:rPr>
                <w:spacing w:val="7"/>
              </w:rPr>
              <w:t>形式：投标人应当采用现金、</w:t>
            </w:r>
            <w:r>
              <w:rPr>
                <w:spacing w:val="-60"/>
              </w:rPr>
              <w:t xml:space="preserve"> </w:t>
            </w:r>
            <w:r>
              <w:rPr>
                <w:spacing w:val="7"/>
              </w:rPr>
              <w:t>电子银行保</w:t>
            </w:r>
            <w:r>
              <w:rPr>
                <w:spacing w:val="6"/>
              </w:rPr>
              <w:t>函、</w:t>
            </w:r>
            <w:r>
              <w:rPr>
                <w:spacing w:val="-59"/>
              </w:rPr>
              <w:t xml:space="preserve"> </w:t>
            </w:r>
            <w:r>
              <w:rPr>
                <w:spacing w:val="6"/>
              </w:rPr>
              <w:t>电子担</w:t>
            </w:r>
            <w:r>
              <w:rPr>
                <w:spacing w:val="7"/>
              </w:rPr>
              <w:t>保保函、</w:t>
            </w:r>
            <w:r>
              <w:rPr>
                <w:spacing w:val="-54"/>
              </w:rPr>
              <w:t xml:space="preserve"> </w:t>
            </w:r>
            <w:r>
              <w:rPr>
                <w:spacing w:val="7"/>
              </w:rPr>
              <w:t>电子保险保单中的一种形式递交投标担保。</w:t>
            </w:r>
          </w:p>
          <w:p w14:paraId="2A1BE64F">
            <w:pPr>
              <w:pStyle w:val="6"/>
              <w:spacing w:line="229" w:lineRule="auto"/>
              <w:ind w:left="110"/>
            </w:pPr>
            <w:r>
              <w:rPr>
                <w:rFonts w:ascii="Calibri" w:hAnsi="Calibri" w:eastAsia="Calibri" w:cs="Calibri"/>
                <w:spacing w:val="6"/>
              </w:rPr>
              <w:t>4.</w:t>
            </w:r>
            <w:r>
              <w:rPr>
                <w:rFonts w:ascii="Calibri" w:hAnsi="Calibri" w:eastAsia="Calibri" w:cs="Calibri"/>
                <w:spacing w:val="12"/>
              </w:rPr>
              <w:t xml:space="preserve">  </w:t>
            </w:r>
            <w:r>
              <w:rPr>
                <w:spacing w:val="6"/>
              </w:rPr>
              <w:t>递交方式及要求：</w:t>
            </w:r>
          </w:p>
          <w:p w14:paraId="4EC99CFC">
            <w:pPr>
              <w:pStyle w:val="6"/>
              <w:spacing w:before="160" w:line="227" w:lineRule="auto"/>
              <w:ind w:left="123"/>
            </w:pPr>
            <w:r>
              <w:rPr>
                <w:b/>
                <w:bCs/>
                <w:spacing w:val="6"/>
              </w:rPr>
              <w:t>（</w:t>
            </w:r>
            <w:r>
              <w:rPr>
                <w:rFonts w:ascii="Calibri" w:hAnsi="Calibri" w:eastAsia="Calibri" w:cs="Calibri"/>
                <w:b/>
                <w:bCs/>
                <w:spacing w:val="6"/>
              </w:rPr>
              <w:t>1</w:t>
            </w:r>
            <w:r>
              <w:rPr>
                <w:b/>
                <w:bCs/>
                <w:spacing w:val="6"/>
              </w:rPr>
              <w:t>）采用现金方式</w:t>
            </w:r>
          </w:p>
          <w:p w14:paraId="2E62884C">
            <w:pPr>
              <w:pStyle w:val="6"/>
              <w:spacing w:before="260" w:line="227" w:lineRule="auto"/>
              <w:ind w:left="543"/>
            </w:pPr>
            <w:r>
              <w:rPr>
                <w:rFonts w:ascii="Calibri" w:hAnsi="Calibri" w:eastAsia="Calibri" w:cs="Calibri"/>
                <w:spacing w:val="7"/>
              </w:rPr>
              <w:t>1</w:t>
            </w:r>
            <w:r>
              <w:rPr>
                <w:spacing w:val="7"/>
              </w:rPr>
              <w:t>）必须从投标人的基本账户汇至招标人指定的账户</w:t>
            </w:r>
          </w:p>
          <w:p w14:paraId="3D8F70E9">
            <w:pPr>
              <w:pStyle w:val="6"/>
              <w:spacing w:before="222" w:line="228" w:lineRule="auto"/>
              <w:ind w:left="112"/>
            </w:pPr>
            <w:r>
              <w:rPr>
                <w:spacing w:val="9"/>
              </w:rPr>
              <w:t>及账号。招标人指定收取投标保证金的账户信息如下：</w:t>
            </w:r>
          </w:p>
          <w:p w14:paraId="5C887B42">
            <w:pPr>
              <w:pStyle w:val="6"/>
              <w:spacing w:before="123" w:line="228" w:lineRule="auto"/>
              <w:ind w:left="534"/>
            </w:pPr>
            <w:r>
              <w:rPr>
                <w:spacing w:val="7"/>
              </w:rPr>
              <w:t>标段编号</w:t>
            </w:r>
            <w:r>
              <w:rPr>
                <w:spacing w:val="5"/>
              </w:rPr>
              <w:t>：</w:t>
            </w:r>
            <w:r>
              <w:rPr>
                <w:spacing w:val="1"/>
                <w:u w:val="single" w:color="auto"/>
              </w:rPr>
              <w:t xml:space="preserve">                               </w:t>
            </w:r>
            <w:r>
              <w:rPr>
                <w:spacing w:val="5"/>
              </w:rPr>
              <w:t>；</w:t>
            </w:r>
          </w:p>
          <w:p w14:paraId="6BA66A4D">
            <w:pPr>
              <w:pStyle w:val="6"/>
              <w:spacing w:before="161" w:line="228" w:lineRule="auto"/>
              <w:ind w:left="534"/>
            </w:pPr>
            <w:r>
              <w:rPr>
                <w:spacing w:val="7"/>
              </w:rPr>
              <w:t>标段名称</w:t>
            </w:r>
            <w:r>
              <w:rPr>
                <w:spacing w:val="5"/>
              </w:rPr>
              <w:t>：</w:t>
            </w:r>
            <w:r>
              <w:rPr>
                <w:spacing w:val="1"/>
                <w:u w:val="single" w:color="auto"/>
              </w:rPr>
              <w:t xml:space="preserve">                               </w:t>
            </w:r>
            <w:r>
              <w:rPr>
                <w:spacing w:val="5"/>
              </w:rPr>
              <w:t>；</w:t>
            </w:r>
          </w:p>
          <w:p w14:paraId="513F807F">
            <w:pPr>
              <w:pStyle w:val="6"/>
              <w:spacing w:before="161" w:line="228" w:lineRule="auto"/>
              <w:ind w:left="534"/>
            </w:pPr>
            <w:r>
              <w:rPr>
                <w:spacing w:val="7"/>
              </w:rPr>
              <w:t>保证金账号：</w:t>
            </w:r>
            <w:r>
              <w:rPr>
                <w:spacing w:val="1"/>
                <w:u w:val="single" w:color="auto"/>
              </w:rPr>
              <w:t xml:space="preserve">                          </w:t>
            </w:r>
            <w:r>
              <w:rPr>
                <w:u w:val="single" w:color="auto"/>
              </w:rPr>
              <w:t xml:space="preserve">   </w:t>
            </w:r>
            <w:r>
              <w:rPr>
                <w:spacing w:val="7"/>
              </w:rPr>
              <w:t>；</w:t>
            </w:r>
          </w:p>
          <w:p w14:paraId="12811450">
            <w:pPr>
              <w:pStyle w:val="6"/>
              <w:spacing w:before="161" w:line="228" w:lineRule="auto"/>
              <w:ind w:left="537"/>
            </w:pPr>
            <w:r>
              <w:rPr>
                <w:spacing w:val="6"/>
              </w:rPr>
              <w:t>账户名称</w:t>
            </w:r>
            <w:r>
              <w:rPr>
                <w:spacing w:val="5"/>
              </w:rPr>
              <w:t>：</w:t>
            </w:r>
            <w:r>
              <w:rPr>
                <w:spacing w:val="1"/>
                <w:u w:val="single" w:color="auto"/>
              </w:rPr>
              <w:t xml:space="preserve">                               </w:t>
            </w:r>
            <w:r>
              <w:rPr>
                <w:spacing w:val="5"/>
              </w:rPr>
              <w:t>；</w:t>
            </w:r>
          </w:p>
          <w:p w14:paraId="64AAE7C1">
            <w:pPr>
              <w:pStyle w:val="6"/>
              <w:spacing w:before="164" w:line="228" w:lineRule="auto"/>
              <w:ind w:left="534"/>
            </w:pPr>
            <w:r>
              <w:rPr>
                <w:spacing w:val="7"/>
              </w:rPr>
              <w:t>开户银行</w:t>
            </w:r>
            <w:r>
              <w:rPr>
                <w:spacing w:val="5"/>
              </w:rPr>
              <w:t>：</w:t>
            </w:r>
            <w:r>
              <w:rPr>
                <w:spacing w:val="1"/>
                <w:u w:val="single" w:color="auto"/>
              </w:rPr>
              <w:t xml:space="preserve">                               </w:t>
            </w:r>
            <w:r>
              <w:rPr>
                <w:spacing w:val="5"/>
              </w:rPr>
              <w:t>；</w:t>
            </w:r>
          </w:p>
          <w:p w14:paraId="294A08D4">
            <w:pPr>
              <w:pStyle w:val="6"/>
              <w:spacing w:before="161" w:line="377" w:lineRule="auto"/>
              <w:ind w:left="113" w:right="106" w:firstLine="423"/>
            </w:pPr>
            <w:r>
              <w:rPr>
                <w:rFonts w:ascii="Calibri" w:hAnsi="Calibri" w:eastAsia="Calibri" w:cs="Calibri"/>
                <w:spacing w:val="8"/>
              </w:rPr>
              <w:t>2</w:t>
            </w:r>
            <w:r>
              <w:rPr>
                <w:spacing w:val="8"/>
              </w:rPr>
              <w:t>）基本账户信息将以投标人办理交易主体注册登记</w:t>
            </w:r>
            <w:r>
              <w:rPr>
                <w:spacing w:val="13"/>
              </w:rPr>
              <w:t>所填基本账户信息为准，若投标人汇款账户与注册登记</w:t>
            </w:r>
            <w:r>
              <w:rPr>
                <w:spacing w:val="11"/>
              </w:rPr>
              <w:t>时的基本账户信息不相符，</w:t>
            </w:r>
            <w:r>
              <w:rPr>
                <w:spacing w:val="-52"/>
              </w:rPr>
              <w:t xml:space="preserve"> </w:t>
            </w:r>
            <w:r>
              <w:rPr>
                <w:spacing w:val="11"/>
              </w:rPr>
              <w:t>由此造成投标保证金递交失</w:t>
            </w:r>
            <w:r>
              <w:rPr>
                <w:spacing w:val="8"/>
              </w:rPr>
              <w:t>败的责任由投标人自行承担。</w:t>
            </w:r>
          </w:p>
          <w:p w14:paraId="0B06C813">
            <w:pPr>
              <w:pStyle w:val="6"/>
              <w:spacing w:line="228" w:lineRule="auto"/>
              <w:ind w:left="536"/>
            </w:pPr>
            <w:r>
              <w:rPr>
                <w:rFonts w:ascii="Calibri" w:hAnsi="Calibri" w:eastAsia="Calibri" w:cs="Calibri"/>
                <w:spacing w:val="8"/>
              </w:rPr>
              <w:t>3</w:t>
            </w:r>
            <w:r>
              <w:rPr>
                <w:spacing w:val="8"/>
              </w:rPr>
              <w:t>）投标保证金到账查询方法及其它要求：</w:t>
            </w:r>
            <w:r>
              <w:rPr>
                <w:spacing w:val="8"/>
                <w:u w:val="single" w:color="auto"/>
              </w:rPr>
              <w:t xml:space="preserve">    </w:t>
            </w:r>
            <w:r>
              <w:rPr>
                <w:spacing w:val="8"/>
              </w:rPr>
              <w:t>。</w:t>
            </w:r>
          </w:p>
          <w:p w14:paraId="17E015BA">
            <w:pPr>
              <w:pStyle w:val="6"/>
              <w:spacing w:before="160" w:line="378" w:lineRule="auto"/>
              <w:ind w:left="114" w:right="109" w:firstLine="9"/>
            </w:pPr>
            <w:r>
              <w:rPr>
                <w:b/>
                <w:bCs/>
                <w:spacing w:val="6"/>
              </w:rPr>
              <w:t>（</w:t>
            </w:r>
            <w:r>
              <w:rPr>
                <w:rFonts w:ascii="Calibri" w:hAnsi="Calibri" w:eastAsia="Calibri" w:cs="Calibri"/>
                <w:b/>
                <w:bCs/>
                <w:spacing w:val="6"/>
              </w:rPr>
              <w:t>2</w:t>
            </w:r>
            <w:r>
              <w:rPr>
                <w:b/>
                <w:bCs/>
                <w:spacing w:val="6"/>
              </w:rPr>
              <w:t>）采用电子银行保函、电子担保保函、电子保险</w:t>
            </w:r>
            <w:r>
              <w:rPr>
                <w:b/>
                <w:bCs/>
                <w:spacing w:val="5"/>
              </w:rPr>
              <w:t>保单</w:t>
            </w:r>
            <w:r>
              <w:rPr>
                <w:b/>
                <w:bCs/>
                <w:spacing w:val="6"/>
              </w:rPr>
              <w:t>方式（以下简称保函、保单）</w:t>
            </w:r>
          </w:p>
          <w:p w14:paraId="7E14DCFA">
            <w:pPr>
              <w:pStyle w:val="6"/>
              <w:spacing w:before="2" w:line="376" w:lineRule="auto"/>
              <w:ind w:left="153" w:right="109" w:firstLine="389"/>
            </w:pPr>
            <w:r>
              <w:rPr>
                <w:rFonts w:ascii="Calibri" w:hAnsi="Calibri" w:eastAsia="Calibri" w:cs="Calibri"/>
                <w:spacing w:val="5"/>
              </w:rPr>
              <w:t>1</w:t>
            </w:r>
            <w:r>
              <w:rPr>
                <w:spacing w:val="5"/>
              </w:rPr>
              <w:t>）投标人须及时登录“</w:t>
            </w:r>
            <w:r>
              <w:rPr>
                <w:spacing w:val="-66"/>
              </w:rPr>
              <w:t xml:space="preserve"> </w:t>
            </w:r>
            <w:r>
              <w:rPr>
                <w:spacing w:val="5"/>
              </w:rPr>
              <w:t>电子交易平台</w:t>
            </w:r>
            <w:r>
              <w:rPr>
                <w:spacing w:val="-70"/>
              </w:rPr>
              <w:t xml:space="preserve"> </w:t>
            </w:r>
            <w:r>
              <w:rPr>
                <w:spacing w:val="5"/>
              </w:rPr>
              <w:t>”选择所投项</w:t>
            </w:r>
            <w:r>
              <w:rPr>
                <w:spacing w:val="6"/>
              </w:rPr>
              <w:t>目按系统引导的程序申请电子保函或保单。</w:t>
            </w:r>
          </w:p>
          <w:p w14:paraId="21B94581">
            <w:pPr>
              <w:pStyle w:val="6"/>
              <w:spacing w:line="228" w:lineRule="auto"/>
              <w:ind w:left="537"/>
            </w:pPr>
            <w:r>
              <w:rPr>
                <w:rFonts w:ascii="Calibri" w:hAnsi="Calibri" w:eastAsia="Calibri" w:cs="Calibri"/>
                <w:spacing w:val="5"/>
              </w:rPr>
              <w:t>2</w:t>
            </w:r>
            <w:r>
              <w:rPr>
                <w:spacing w:val="5"/>
              </w:rPr>
              <w:t>）投标人可在“</w:t>
            </w:r>
            <w:r>
              <w:rPr>
                <w:spacing w:val="-60"/>
              </w:rPr>
              <w:t xml:space="preserve"> </w:t>
            </w:r>
            <w:r>
              <w:rPr>
                <w:spacing w:val="5"/>
              </w:rPr>
              <w:t>电子交易平台</w:t>
            </w:r>
            <w:r>
              <w:rPr>
                <w:spacing w:val="-70"/>
              </w:rPr>
              <w:t xml:space="preserve"> </w:t>
            </w:r>
            <w:r>
              <w:rPr>
                <w:spacing w:val="5"/>
              </w:rPr>
              <w:t>”查询保函或保单是</w:t>
            </w:r>
          </w:p>
        </w:tc>
      </w:tr>
    </w:tbl>
    <w:p w14:paraId="283C7E3B">
      <w:pPr>
        <w:rPr>
          <w:rFonts w:ascii="Arial"/>
          <w:sz w:val="21"/>
        </w:rPr>
      </w:pPr>
    </w:p>
    <w:p w14:paraId="2338C862">
      <w:pPr>
        <w:rPr>
          <w:rFonts w:ascii="Arial" w:hAnsi="Arial" w:eastAsia="Arial" w:cs="Arial"/>
          <w:sz w:val="21"/>
          <w:szCs w:val="21"/>
        </w:rPr>
        <w:sectPr>
          <w:footerReference r:id="rId28" w:type="default"/>
          <w:pgSz w:w="11906" w:h="16839"/>
          <w:pgMar w:top="1431" w:right="1687" w:bottom="1153" w:left="1785" w:header="0" w:footer="994" w:gutter="0"/>
          <w:cols w:space="720" w:num="1"/>
        </w:sectPr>
      </w:pPr>
    </w:p>
    <w:p w14:paraId="1DEE5B0B">
      <w:pPr>
        <w:spacing w:line="91" w:lineRule="auto"/>
        <w:rPr>
          <w:rFonts w:ascii="Arial"/>
          <w:sz w:val="2"/>
        </w:rPr>
      </w:pPr>
    </w:p>
    <w:tbl>
      <w:tblPr>
        <w:tblStyle w:val="5"/>
        <w:tblW w:w="8418"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2224"/>
        <w:gridCol w:w="5339"/>
      </w:tblGrid>
      <w:tr w14:paraId="1EBBEB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5" w:hRule="atLeast"/>
        </w:trPr>
        <w:tc>
          <w:tcPr>
            <w:tcW w:w="855" w:type="dxa"/>
            <w:vAlign w:val="top"/>
          </w:tcPr>
          <w:p w14:paraId="410BC701">
            <w:pPr>
              <w:rPr>
                <w:rFonts w:ascii="Arial"/>
                <w:sz w:val="21"/>
              </w:rPr>
            </w:pPr>
          </w:p>
        </w:tc>
        <w:tc>
          <w:tcPr>
            <w:tcW w:w="2224" w:type="dxa"/>
            <w:vAlign w:val="top"/>
          </w:tcPr>
          <w:p w14:paraId="0FC63D56">
            <w:pPr>
              <w:rPr>
                <w:rFonts w:ascii="Arial"/>
                <w:sz w:val="21"/>
              </w:rPr>
            </w:pPr>
          </w:p>
        </w:tc>
        <w:tc>
          <w:tcPr>
            <w:tcW w:w="5339" w:type="dxa"/>
            <w:vAlign w:val="top"/>
          </w:tcPr>
          <w:p w14:paraId="0B805619">
            <w:pPr>
              <w:pStyle w:val="6"/>
              <w:spacing w:before="37" w:line="377" w:lineRule="auto"/>
              <w:ind w:left="114" w:right="106" w:firstLine="5"/>
              <w:jc w:val="both"/>
            </w:pPr>
            <w:r>
              <w:rPr>
                <w:spacing w:val="11"/>
              </w:rPr>
              <w:t>否申请成功，开具成功后可下载电子保函或保单。</w:t>
            </w:r>
            <w:r>
              <w:rPr>
                <w:spacing w:val="-56"/>
              </w:rPr>
              <w:t xml:space="preserve"> </w:t>
            </w:r>
            <w:r>
              <w:rPr>
                <w:spacing w:val="10"/>
              </w:rPr>
              <w:t>电子</w:t>
            </w:r>
            <w:r>
              <w:rPr>
                <w:spacing w:val="4"/>
              </w:rPr>
              <w:t>保函或保单应载明：保函或保单受益人（招标人）、项目</w:t>
            </w:r>
            <w:r>
              <w:rPr>
                <w:spacing w:val="13"/>
              </w:rPr>
              <w:t>名称、项目编号、担保内容、担保金额、保函或</w:t>
            </w:r>
            <w:r>
              <w:rPr>
                <w:spacing w:val="12"/>
              </w:rPr>
              <w:t>保单有</w:t>
            </w:r>
            <w:r>
              <w:rPr>
                <w:spacing w:val="13"/>
              </w:rPr>
              <w:t>效期等信息，检查其内容符合招标文件的相关约定后，</w:t>
            </w:r>
            <w:r>
              <w:rPr>
                <w:spacing w:val="7"/>
              </w:rPr>
              <w:t>上传至投标文件的“投标保证金</w:t>
            </w:r>
            <w:r>
              <w:rPr>
                <w:spacing w:val="-66"/>
              </w:rPr>
              <w:t xml:space="preserve"> </w:t>
            </w:r>
            <w:r>
              <w:rPr>
                <w:spacing w:val="7"/>
              </w:rPr>
              <w:t>”栏目中。</w:t>
            </w:r>
          </w:p>
          <w:p w14:paraId="0E92211A">
            <w:pPr>
              <w:pStyle w:val="6"/>
              <w:spacing w:before="94" w:line="391" w:lineRule="auto"/>
              <w:ind w:left="115" w:right="109" w:firstLine="420"/>
              <w:jc w:val="both"/>
            </w:pPr>
            <w:r>
              <w:rPr>
                <w:rFonts w:ascii="Calibri" w:hAnsi="Calibri" w:eastAsia="Calibri" w:cs="Calibri"/>
                <w:spacing w:val="8"/>
              </w:rPr>
              <w:t>3</w:t>
            </w:r>
            <w:r>
              <w:rPr>
                <w:spacing w:val="8"/>
              </w:rPr>
              <w:t>）开标后，电子交易平台将自动比对投标截止时间</w:t>
            </w:r>
            <w:r>
              <w:rPr>
                <w:spacing w:val="9"/>
              </w:rPr>
              <w:t>前收到的电子保函或保单情况；评标时评标委员会可以</w:t>
            </w:r>
            <w:r>
              <w:rPr>
                <w:spacing w:val="8"/>
              </w:rPr>
              <w:t>直接在投标文件中查验电子保函或保单。</w:t>
            </w:r>
          </w:p>
        </w:tc>
      </w:tr>
      <w:tr w14:paraId="68FC7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5" w:hRule="atLeast"/>
        </w:trPr>
        <w:tc>
          <w:tcPr>
            <w:tcW w:w="855" w:type="dxa"/>
            <w:vAlign w:val="top"/>
          </w:tcPr>
          <w:p w14:paraId="32EE665F">
            <w:pPr>
              <w:spacing w:line="273" w:lineRule="auto"/>
              <w:rPr>
                <w:rFonts w:ascii="Arial"/>
                <w:sz w:val="21"/>
              </w:rPr>
            </w:pPr>
          </w:p>
          <w:p w14:paraId="439D1B2B">
            <w:pPr>
              <w:spacing w:line="273" w:lineRule="auto"/>
              <w:rPr>
                <w:rFonts w:ascii="Arial"/>
                <w:sz w:val="21"/>
              </w:rPr>
            </w:pPr>
          </w:p>
          <w:p w14:paraId="6978F850">
            <w:pPr>
              <w:spacing w:line="273" w:lineRule="auto"/>
              <w:rPr>
                <w:rFonts w:ascii="Arial"/>
                <w:sz w:val="21"/>
              </w:rPr>
            </w:pPr>
          </w:p>
          <w:p w14:paraId="2E1A2920">
            <w:pPr>
              <w:spacing w:line="273" w:lineRule="auto"/>
              <w:rPr>
                <w:rFonts w:ascii="Arial"/>
                <w:sz w:val="21"/>
              </w:rPr>
            </w:pPr>
          </w:p>
          <w:p w14:paraId="2A112FBE">
            <w:pPr>
              <w:spacing w:before="57" w:line="195" w:lineRule="auto"/>
              <w:ind w:left="22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3.4.3</w:t>
            </w:r>
          </w:p>
        </w:tc>
        <w:tc>
          <w:tcPr>
            <w:tcW w:w="2224" w:type="dxa"/>
            <w:vAlign w:val="top"/>
          </w:tcPr>
          <w:p w14:paraId="72BCD1CD">
            <w:pPr>
              <w:spacing w:line="287" w:lineRule="auto"/>
              <w:rPr>
                <w:rFonts w:ascii="Arial"/>
                <w:sz w:val="21"/>
              </w:rPr>
            </w:pPr>
          </w:p>
          <w:p w14:paraId="232F5386">
            <w:pPr>
              <w:spacing w:line="288" w:lineRule="auto"/>
              <w:rPr>
                <w:rFonts w:ascii="Arial"/>
                <w:sz w:val="21"/>
              </w:rPr>
            </w:pPr>
          </w:p>
          <w:p w14:paraId="65FF4930">
            <w:pPr>
              <w:spacing w:line="288" w:lineRule="auto"/>
              <w:rPr>
                <w:rFonts w:ascii="Arial"/>
                <w:sz w:val="21"/>
              </w:rPr>
            </w:pPr>
          </w:p>
          <w:p w14:paraId="6CBB0BEF">
            <w:pPr>
              <w:pStyle w:val="6"/>
              <w:spacing w:before="65" w:line="348" w:lineRule="auto"/>
              <w:ind w:left="112" w:right="645" w:firstLine="1"/>
            </w:pPr>
            <w:r>
              <w:rPr>
                <w:spacing w:val="8"/>
              </w:rPr>
              <w:t>退还投标保证金</w:t>
            </w:r>
            <w:r>
              <w:rPr>
                <w:spacing w:val="7"/>
              </w:rPr>
              <w:t>及利息</w:t>
            </w:r>
          </w:p>
        </w:tc>
        <w:tc>
          <w:tcPr>
            <w:tcW w:w="5339" w:type="dxa"/>
            <w:vAlign w:val="top"/>
          </w:tcPr>
          <w:p w14:paraId="3111E292">
            <w:pPr>
              <w:pStyle w:val="6"/>
              <w:spacing w:before="33" w:line="227" w:lineRule="auto"/>
              <w:ind w:left="123"/>
            </w:pPr>
            <w:r>
              <w:rPr>
                <w:rFonts w:ascii="Calibri" w:hAnsi="Calibri" w:eastAsia="Calibri" w:cs="Calibri"/>
                <w:spacing w:val="3"/>
              </w:rPr>
              <w:t>1</w:t>
            </w:r>
            <w:r>
              <w:rPr>
                <w:rFonts w:ascii="Calibri" w:hAnsi="Calibri" w:eastAsia="Calibri" w:cs="Calibri"/>
                <w:spacing w:val="21"/>
                <w:w w:val="102"/>
              </w:rPr>
              <w:t xml:space="preserve"> </w:t>
            </w:r>
            <w:r>
              <w:rPr>
                <w:rFonts w:ascii="Calibri" w:hAnsi="Calibri" w:eastAsia="Calibri" w:cs="Calibri"/>
                <w:spacing w:val="3"/>
              </w:rPr>
              <w:t>.</w:t>
            </w:r>
            <w:r>
              <w:rPr>
                <w:spacing w:val="3"/>
              </w:rPr>
              <w:t>采用现金方式</w:t>
            </w:r>
          </w:p>
          <w:p w14:paraId="6E4BD34D">
            <w:pPr>
              <w:pStyle w:val="6"/>
              <w:spacing w:before="162" w:line="228" w:lineRule="auto"/>
              <w:ind w:left="322"/>
            </w:pPr>
            <w:r>
              <w:rPr>
                <w:spacing w:val="5"/>
              </w:rPr>
              <w:t>计息标准：</w:t>
            </w:r>
            <w:r>
              <w:rPr>
                <w:spacing w:val="5"/>
                <w:u w:val="single" w:color="auto"/>
              </w:rPr>
              <w:t xml:space="preserve">                     </w:t>
            </w:r>
            <w:r>
              <w:rPr>
                <w:spacing w:val="5"/>
              </w:rPr>
              <w:t>。</w:t>
            </w:r>
          </w:p>
          <w:p w14:paraId="43A870BA">
            <w:pPr>
              <w:pStyle w:val="6"/>
              <w:spacing w:before="160" w:line="229" w:lineRule="auto"/>
              <w:ind w:left="322"/>
            </w:pPr>
            <w:r>
              <w:rPr>
                <w:spacing w:val="5"/>
              </w:rPr>
              <w:t>计息时间：</w:t>
            </w:r>
            <w:r>
              <w:rPr>
                <w:spacing w:val="5"/>
                <w:u w:val="single" w:color="auto"/>
              </w:rPr>
              <w:t xml:space="preserve">                     </w:t>
            </w:r>
            <w:r>
              <w:rPr>
                <w:spacing w:val="5"/>
              </w:rPr>
              <w:t>。</w:t>
            </w:r>
          </w:p>
          <w:p w14:paraId="63CC46B6">
            <w:pPr>
              <w:pStyle w:val="6"/>
              <w:spacing w:before="159" w:line="228" w:lineRule="auto"/>
              <w:ind w:left="323"/>
            </w:pPr>
            <w:r>
              <w:rPr>
                <w:spacing w:val="5"/>
              </w:rPr>
              <w:t>退还办法：</w:t>
            </w:r>
            <w:r>
              <w:rPr>
                <w:spacing w:val="5"/>
                <w:u w:val="single" w:color="auto"/>
              </w:rPr>
              <w:t xml:space="preserve">                     </w:t>
            </w:r>
            <w:r>
              <w:rPr>
                <w:spacing w:val="5"/>
              </w:rPr>
              <w:t>。</w:t>
            </w:r>
          </w:p>
          <w:p w14:paraId="6DA8C436">
            <w:pPr>
              <w:pStyle w:val="6"/>
              <w:spacing w:before="161" w:line="360" w:lineRule="auto"/>
              <w:ind w:left="356" w:right="109" w:hanging="239"/>
            </w:pPr>
            <w:r>
              <w:rPr>
                <w:rFonts w:ascii="Calibri" w:hAnsi="Calibri" w:eastAsia="Calibri" w:cs="Calibri"/>
                <w:spacing w:val="6"/>
              </w:rPr>
              <w:t>2.</w:t>
            </w:r>
            <w:r>
              <w:rPr>
                <w:spacing w:val="6"/>
              </w:rPr>
              <w:t>采用银行电子保函方式，不产生利息，电子保函到</w:t>
            </w:r>
            <w:r>
              <w:rPr>
                <w:spacing w:val="5"/>
              </w:rPr>
              <w:t>期后</w:t>
            </w:r>
            <w:r>
              <w:rPr>
                <w:spacing w:val="-1"/>
              </w:rPr>
              <w:t>自动失效。</w:t>
            </w:r>
          </w:p>
        </w:tc>
      </w:tr>
      <w:tr w14:paraId="3CD928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855" w:type="dxa"/>
            <w:vAlign w:val="top"/>
          </w:tcPr>
          <w:p w14:paraId="5E1F0E8F">
            <w:pPr>
              <w:spacing w:before="220" w:line="195" w:lineRule="auto"/>
              <w:ind w:left="22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3.5.</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1"/>
                <w:sz w:val="20"/>
                <w:szCs w:val="20"/>
              </w:rPr>
              <w:t>1</w:t>
            </w:r>
          </w:p>
        </w:tc>
        <w:tc>
          <w:tcPr>
            <w:tcW w:w="2224" w:type="dxa"/>
            <w:vAlign w:val="top"/>
          </w:tcPr>
          <w:p w14:paraId="23809EBB">
            <w:pPr>
              <w:pStyle w:val="6"/>
              <w:spacing w:before="184" w:line="228" w:lineRule="auto"/>
              <w:ind w:left="112"/>
            </w:pPr>
            <w:r>
              <w:rPr>
                <w:spacing w:val="7"/>
              </w:rPr>
              <w:t>类似项目</w:t>
            </w:r>
          </w:p>
        </w:tc>
        <w:tc>
          <w:tcPr>
            <w:tcW w:w="5339" w:type="dxa"/>
            <w:vAlign w:val="top"/>
          </w:tcPr>
          <w:p w14:paraId="7ED53104">
            <w:pPr>
              <w:pStyle w:val="6"/>
              <w:spacing w:before="184" w:line="228" w:lineRule="auto"/>
              <w:ind w:left="113"/>
            </w:pPr>
            <w:r>
              <w:rPr>
                <w:spacing w:val="6"/>
              </w:rPr>
              <w:t>类似项目是指：</w:t>
            </w:r>
            <w:r>
              <w:rPr>
                <w:spacing w:val="6"/>
                <w:u w:val="single" w:color="auto"/>
              </w:rPr>
              <w:t xml:space="preserve">           </w:t>
            </w:r>
            <w:r>
              <w:rPr>
                <w:spacing w:val="6"/>
              </w:rPr>
              <w:t>。</w:t>
            </w:r>
          </w:p>
        </w:tc>
      </w:tr>
      <w:tr w14:paraId="1A9F5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1" w:hRule="atLeast"/>
        </w:trPr>
        <w:tc>
          <w:tcPr>
            <w:tcW w:w="855" w:type="dxa"/>
            <w:vAlign w:val="top"/>
          </w:tcPr>
          <w:p w14:paraId="1EEE69C4">
            <w:pPr>
              <w:spacing w:line="290" w:lineRule="auto"/>
              <w:rPr>
                <w:rFonts w:ascii="Arial"/>
                <w:sz w:val="21"/>
              </w:rPr>
            </w:pPr>
          </w:p>
          <w:p w14:paraId="540F302E">
            <w:pPr>
              <w:spacing w:before="58" w:line="195" w:lineRule="auto"/>
              <w:ind w:left="30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3.6</w:t>
            </w:r>
          </w:p>
        </w:tc>
        <w:tc>
          <w:tcPr>
            <w:tcW w:w="2224" w:type="dxa"/>
            <w:vAlign w:val="top"/>
          </w:tcPr>
          <w:p w14:paraId="5AAE8CDF">
            <w:pPr>
              <w:pStyle w:val="6"/>
              <w:spacing w:before="157" w:line="290" w:lineRule="auto"/>
              <w:ind w:left="115" w:right="856"/>
            </w:pPr>
            <w:r>
              <w:rPr>
                <w:spacing w:val="7"/>
              </w:rPr>
              <w:t>是否允许递交备选投标方案</w:t>
            </w:r>
          </w:p>
        </w:tc>
        <w:tc>
          <w:tcPr>
            <w:tcW w:w="5339" w:type="dxa"/>
            <w:vAlign w:val="top"/>
          </w:tcPr>
          <w:p w14:paraId="34282A09">
            <w:pPr>
              <w:spacing w:line="247" w:lineRule="auto"/>
              <w:rPr>
                <w:rFonts w:ascii="Arial"/>
                <w:sz w:val="21"/>
              </w:rPr>
            </w:pPr>
          </w:p>
          <w:p w14:paraId="2C69FE96">
            <w:pPr>
              <w:pStyle w:val="6"/>
              <w:spacing w:before="65" w:line="228" w:lineRule="auto"/>
              <w:ind w:left="117"/>
            </w:pPr>
            <w:r>
              <w:rPr>
                <w:spacing w:val="5"/>
              </w:rPr>
              <w:t>不允许</w:t>
            </w:r>
          </w:p>
        </w:tc>
      </w:tr>
      <w:tr w14:paraId="6B25AB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55" w:type="dxa"/>
            <w:vAlign w:val="top"/>
          </w:tcPr>
          <w:p w14:paraId="417B4BFD">
            <w:pPr>
              <w:spacing w:before="159" w:line="195" w:lineRule="auto"/>
              <w:ind w:left="22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3.7.4</w:t>
            </w:r>
          </w:p>
        </w:tc>
        <w:tc>
          <w:tcPr>
            <w:tcW w:w="2224" w:type="dxa"/>
            <w:vAlign w:val="top"/>
          </w:tcPr>
          <w:p w14:paraId="001DEF8E">
            <w:pPr>
              <w:pStyle w:val="6"/>
              <w:spacing w:before="123" w:line="227" w:lineRule="auto"/>
              <w:jc w:val="right"/>
            </w:pPr>
            <w:r>
              <w:rPr>
                <w:spacing w:val="7"/>
              </w:rPr>
              <w:t>是否采用“技术暗标</w:t>
            </w:r>
            <w:r>
              <w:rPr>
                <w:spacing w:val="-69"/>
              </w:rPr>
              <w:t xml:space="preserve"> </w:t>
            </w:r>
            <w:r>
              <w:rPr>
                <w:spacing w:val="7"/>
              </w:rPr>
              <w:t>”</w:t>
            </w:r>
          </w:p>
        </w:tc>
        <w:tc>
          <w:tcPr>
            <w:tcW w:w="5339" w:type="dxa"/>
            <w:vAlign w:val="top"/>
          </w:tcPr>
          <w:p w14:paraId="0A9C24AB">
            <w:pPr>
              <w:pStyle w:val="6"/>
              <w:spacing w:before="123" w:line="227" w:lineRule="auto"/>
              <w:ind w:left="112"/>
            </w:pPr>
            <w:r>
              <w:rPr>
                <w:spacing w:val="5"/>
              </w:rPr>
              <w:t>采用</w:t>
            </w:r>
          </w:p>
        </w:tc>
      </w:tr>
      <w:tr w14:paraId="06B4A1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855" w:type="dxa"/>
            <w:vAlign w:val="top"/>
          </w:tcPr>
          <w:p w14:paraId="0A632543">
            <w:pPr>
              <w:spacing w:before="292" w:line="195"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4.2.</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2"/>
                <w:sz w:val="20"/>
                <w:szCs w:val="20"/>
              </w:rPr>
              <w:t>1</w:t>
            </w:r>
          </w:p>
        </w:tc>
        <w:tc>
          <w:tcPr>
            <w:tcW w:w="2224" w:type="dxa"/>
            <w:vAlign w:val="top"/>
          </w:tcPr>
          <w:p w14:paraId="5277351C">
            <w:pPr>
              <w:pStyle w:val="6"/>
              <w:spacing w:before="257" w:line="228" w:lineRule="auto"/>
              <w:ind w:left="115"/>
            </w:pPr>
            <w:r>
              <w:rPr>
                <w:spacing w:val="7"/>
              </w:rPr>
              <w:t>投标截止时间</w:t>
            </w:r>
          </w:p>
        </w:tc>
        <w:tc>
          <w:tcPr>
            <w:tcW w:w="5339" w:type="dxa"/>
            <w:vAlign w:val="top"/>
          </w:tcPr>
          <w:p w14:paraId="51D4FE6A">
            <w:pPr>
              <w:pStyle w:val="6"/>
              <w:tabs>
                <w:tab w:val="left" w:pos="627"/>
              </w:tabs>
              <w:spacing w:before="254" w:line="228" w:lineRule="auto"/>
              <w:ind w:left="104"/>
            </w:pPr>
            <w:r>
              <w:rPr>
                <w:u w:val="single" w:color="auto"/>
              </w:rPr>
              <w:tab/>
            </w:r>
            <w:r>
              <w:rPr>
                <w:spacing w:val="-90"/>
              </w:rPr>
              <w:t xml:space="preserve"> </w:t>
            </w:r>
            <w:r>
              <w:rPr>
                <w:spacing w:val="-10"/>
              </w:rPr>
              <w:t>年</w:t>
            </w:r>
            <w:r>
              <w:rPr>
                <w:spacing w:val="-98"/>
              </w:rPr>
              <w:t xml:space="preserve"> </w:t>
            </w:r>
            <w:r>
              <w:rPr>
                <w:spacing w:val="5"/>
                <w:u w:val="single" w:color="auto"/>
              </w:rPr>
              <w:t xml:space="preserve">     </w:t>
            </w:r>
            <w:r>
              <w:rPr>
                <w:spacing w:val="-86"/>
              </w:rPr>
              <w:t xml:space="preserve"> </w:t>
            </w:r>
            <w:r>
              <w:rPr>
                <w:spacing w:val="-10"/>
              </w:rPr>
              <w:t>月</w:t>
            </w:r>
            <w:r>
              <w:rPr>
                <w:spacing w:val="4"/>
                <w:u w:val="single" w:color="auto"/>
              </w:rPr>
              <w:t xml:space="preserve">    </w:t>
            </w:r>
            <w:r>
              <w:rPr>
                <w:spacing w:val="-52"/>
              </w:rPr>
              <w:t xml:space="preserve"> </w:t>
            </w:r>
            <w:r>
              <w:rPr>
                <w:spacing w:val="-10"/>
              </w:rPr>
              <w:t>日</w:t>
            </w:r>
            <w:r>
              <w:rPr>
                <w:spacing w:val="-99"/>
              </w:rPr>
              <w:t xml:space="preserve"> </w:t>
            </w:r>
            <w:r>
              <w:rPr>
                <w:spacing w:val="5"/>
                <w:u w:val="single" w:color="auto"/>
              </w:rPr>
              <w:t xml:space="preserve">    </w:t>
            </w:r>
            <w:r>
              <w:rPr>
                <w:spacing w:val="-81"/>
              </w:rPr>
              <w:t xml:space="preserve"> </w:t>
            </w:r>
            <w:r>
              <w:rPr>
                <w:spacing w:val="-10"/>
              </w:rPr>
              <w:t>时</w:t>
            </w:r>
            <w:r>
              <w:rPr>
                <w:spacing w:val="4"/>
                <w:u w:val="single" w:color="auto"/>
              </w:rPr>
              <w:t xml:space="preserve">    </w:t>
            </w:r>
            <w:r>
              <w:rPr>
                <w:spacing w:val="-85"/>
              </w:rPr>
              <w:t xml:space="preserve"> </w:t>
            </w:r>
            <w:r>
              <w:rPr>
                <w:spacing w:val="-10"/>
              </w:rPr>
              <w:t>分</w:t>
            </w:r>
          </w:p>
        </w:tc>
      </w:tr>
      <w:tr w14:paraId="447434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7" w:hRule="atLeast"/>
        </w:trPr>
        <w:tc>
          <w:tcPr>
            <w:tcW w:w="855" w:type="dxa"/>
            <w:vAlign w:val="top"/>
          </w:tcPr>
          <w:p w14:paraId="59F16A31">
            <w:pPr>
              <w:spacing w:line="323" w:lineRule="auto"/>
              <w:rPr>
                <w:rFonts w:ascii="Arial"/>
                <w:sz w:val="21"/>
              </w:rPr>
            </w:pPr>
          </w:p>
          <w:p w14:paraId="1D117434">
            <w:pPr>
              <w:spacing w:before="58" w:line="195"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4.2.3</w:t>
            </w:r>
          </w:p>
        </w:tc>
        <w:tc>
          <w:tcPr>
            <w:tcW w:w="2224" w:type="dxa"/>
            <w:vAlign w:val="top"/>
          </w:tcPr>
          <w:p w14:paraId="29A5E74E">
            <w:pPr>
              <w:spacing w:line="280" w:lineRule="auto"/>
              <w:rPr>
                <w:rFonts w:ascii="Arial"/>
                <w:sz w:val="21"/>
              </w:rPr>
            </w:pPr>
          </w:p>
          <w:p w14:paraId="06DE0C2E">
            <w:pPr>
              <w:pStyle w:val="6"/>
              <w:spacing w:before="65" w:line="228" w:lineRule="auto"/>
              <w:ind w:left="116"/>
            </w:pPr>
            <w:r>
              <w:rPr>
                <w:spacing w:val="8"/>
              </w:rPr>
              <w:t>是否退还投标文件</w:t>
            </w:r>
          </w:p>
        </w:tc>
        <w:tc>
          <w:tcPr>
            <w:tcW w:w="5339" w:type="dxa"/>
            <w:vAlign w:val="top"/>
          </w:tcPr>
          <w:p w14:paraId="12C5E659">
            <w:pPr>
              <w:pStyle w:val="6"/>
              <w:spacing w:before="160" w:line="228" w:lineRule="auto"/>
              <w:ind w:left="135"/>
            </w:pPr>
            <w:r>
              <w:rPr>
                <w:spacing w:val="-6"/>
              </w:rPr>
              <w:t>□否</w:t>
            </w:r>
          </w:p>
          <w:p w14:paraId="01249DF8">
            <w:pPr>
              <w:pStyle w:val="6"/>
              <w:spacing w:before="127" w:line="229" w:lineRule="auto"/>
              <w:ind w:left="135"/>
            </w:pPr>
            <w:r>
              <w:rPr>
                <w:spacing w:val="5"/>
              </w:rPr>
              <w:t>□是，退还安排：</w:t>
            </w:r>
            <w:r>
              <w:rPr>
                <w:spacing w:val="5"/>
                <w:u w:val="single" w:color="auto"/>
              </w:rPr>
              <w:t xml:space="preserve">           </w:t>
            </w:r>
            <w:r>
              <w:rPr>
                <w:spacing w:val="5"/>
              </w:rPr>
              <w:t>。</w:t>
            </w:r>
          </w:p>
        </w:tc>
      </w:tr>
      <w:tr w14:paraId="097C02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1" w:hRule="atLeast"/>
        </w:trPr>
        <w:tc>
          <w:tcPr>
            <w:tcW w:w="855" w:type="dxa"/>
            <w:vAlign w:val="top"/>
          </w:tcPr>
          <w:p w14:paraId="215D8157">
            <w:pPr>
              <w:spacing w:line="302" w:lineRule="auto"/>
              <w:rPr>
                <w:rFonts w:ascii="Arial"/>
                <w:sz w:val="21"/>
              </w:rPr>
            </w:pPr>
          </w:p>
          <w:p w14:paraId="23F911CA">
            <w:pPr>
              <w:spacing w:before="57" w:line="195" w:lineRule="auto"/>
              <w:ind w:left="22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5.</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4"/>
                <w:sz w:val="20"/>
                <w:szCs w:val="20"/>
              </w:rPr>
              <w:t>1.2</w:t>
            </w:r>
          </w:p>
        </w:tc>
        <w:tc>
          <w:tcPr>
            <w:tcW w:w="2224" w:type="dxa"/>
            <w:vAlign w:val="top"/>
          </w:tcPr>
          <w:p w14:paraId="174F9663">
            <w:pPr>
              <w:spacing w:line="259" w:lineRule="auto"/>
              <w:rPr>
                <w:rFonts w:ascii="Arial"/>
                <w:sz w:val="21"/>
              </w:rPr>
            </w:pPr>
          </w:p>
          <w:p w14:paraId="3223300E">
            <w:pPr>
              <w:pStyle w:val="6"/>
              <w:spacing w:before="65" w:line="228" w:lineRule="auto"/>
              <w:ind w:left="115"/>
            </w:pPr>
            <w:r>
              <w:rPr>
                <w:spacing w:val="7"/>
              </w:rPr>
              <w:t>组织开标地点</w:t>
            </w:r>
          </w:p>
        </w:tc>
        <w:tc>
          <w:tcPr>
            <w:tcW w:w="5339" w:type="dxa"/>
            <w:vAlign w:val="top"/>
          </w:tcPr>
          <w:p w14:paraId="74D5B8E1">
            <w:pPr>
              <w:pStyle w:val="6"/>
              <w:spacing w:before="196" w:line="302" w:lineRule="auto"/>
              <w:ind w:left="112" w:right="109" w:firstLine="3"/>
            </w:pPr>
            <w:r>
              <w:rPr>
                <w:spacing w:val="7"/>
                <w:u w:val="single" w:color="auto"/>
              </w:rPr>
              <w:t>武汉市武昌区中北路</w:t>
            </w:r>
            <w:r>
              <w:rPr>
                <w:spacing w:val="-47"/>
                <w:u w:val="single" w:color="auto"/>
              </w:rPr>
              <w:t xml:space="preserve"> </w:t>
            </w:r>
            <w:r>
              <w:rPr>
                <w:rFonts w:ascii="Times New Roman" w:hAnsi="Times New Roman" w:eastAsia="Times New Roman" w:cs="Times New Roman"/>
                <w:spacing w:val="7"/>
                <w:u w:val="single" w:color="auto"/>
              </w:rPr>
              <w:t xml:space="preserve">252 </w:t>
            </w:r>
            <w:r>
              <w:rPr>
                <w:spacing w:val="7"/>
                <w:u w:val="single" w:color="auto"/>
              </w:rPr>
              <w:t>号 普提金商务中心</w:t>
            </w:r>
            <w:r>
              <w:rPr>
                <w:rFonts w:ascii="Times New Roman" w:hAnsi="Times New Roman" w:eastAsia="Times New Roman" w:cs="Times New Roman"/>
                <w:spacing w:val="7"/>
                <w:u w:val="single" w:color="auto"/>
              </w:rPr>
              <w:t xml:space="preserve">A </w:t>
            </w:r>
            <w:r>
              <w:rPr>
                <w:spacing w:val="7"/>
                <w:u w:val="single" w:color="auto"/>
              </w:rPr>
              <w:t>座    楼</w:t>
            </w:r>
            <w:r>
              <w:rPr>
                <w:spacing w:val="8"/>
                <w:u w:val="single" w:color="auto"/>
              </w:rPr>
              <w:t>湖北省公共资源交易中心      开标厅</w:t>
            </w:r>
          </w:p>
        </w:tc>
      </w:tr>
      <w:tr w14:paraId="5BAF97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2" w:hRule="atLeast"/>
        </w:trPr>
        <w:tc>
          <w:tcPr>
            <w:tcW w:w="855" w:type="dxa"/>
            <w:vAlign w:val="top"/>
          </w:tcPr>
          <w:p w14:paraId="7A719874">
            <w:pPr>
              <w:spacing w:before="273" w:line="195" w:lineRule="auto"/>
              <w:ind w:left="225"/>
              <w:rPr>
                <w:rFonts w:ascii="Times New Roman" w:hAnsi="Times New Roman" w:eastAsia="Times New Roman" w:cs="Times New Roman"/>
                <w:sz w:val="20"/>
                <w:szCs w:val="20"/>
              </w:rPr>
            </w:pPr>
            <w:r>
              <w:rPr>
                <w:rFonts w:ascii="Times New Roman" w:hAnsi="Times New Roman" w:eastAsia="Times New Roman" w:cs="Times New Roman"/>
                <w:sz w:val="20"/>
                <w:szCs w:val="20"/>
              </w:rPr>
              <w:t>5.2.</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z w:val="20"/>
                <w:szCs w:val="20"/>
              </w:rPr>
              <w:t>1</w:t>
            </w:r>
          </w:p>
          <w:p w14:paraId="55B4AA20">
            <w:pPr>
              <w:pStyle w:val="6"/>
              <w:spacing w:before="89"/>
              <w:ind w:left="181"/>
            </w:pPr>
            <w:r>
              <w:rPr>
                <w:spacing w:val="-2"/>
              </w:rPr>
              <w:t>（</w:t>
            </w:r>
            <w:r>
              <w:rPr>
                <w:rFonts w:ascii="Times New Roman" w:hAnsi="Times New Roman" w:eastAsia="Times New Roman" w:cs="Times New Roman"/>
                <w:spacing w:val="-2"/>
              </w:rPr>
              <w:t>5</w:t>
            </w:r>
            <w:r>
              <w:rPr>
                <w:spacing w:val="-2"/>
              </w:rPr>
              <w:t>）</w:t>
            </w:r>
          </w:p>
        </w:tc>
        <w:tc>
          <w:tcPr>
            <w:tcW w:w="2224" w:type="dxa"/>
            <w:vAlign w:val="top"/>
          </w:tcPr>
          <w:p w14:paraId="691ECE25">
            <w:pPr>
              <w:spacing w:line="326" w:lineRule="auto"/>
              <w:rPr>
                <w:rFonts w:ascii="Arial"/>
                <w:sz w:val="21"/>
              </w:rPr>
            </w:pPr>
          </w:p>
          <w:p w14:paraId="368E2E8B">
            <w:pPr>
              <w:pStyle w:val="6"/>
              <w:spacing w:before="65" w:line="228" w:lineRule="auto"/>
              <w:ind w:left="112"/>
            </w:pPr>
            <w:r>
              <w:rPr>
                <w:spacing w:val="7"/>
              </w:rPr>
              <w:t>解密时间</w:t>
            </w:r>
          </w:p>
        </w:tc>
        <w:tc>
          <w:tcPr>
            <w:tcW w:w="5339" w:type="dxa"/>
            <w:vAlign w:val="top"/>
          </w:tcPr>
          <w:p w14:paraId="616D65EA">
            <w:pPr>
              <w:pStyle w:val="6"/>
              <w:spacing w:before="81" w:line="228" w:lineRule="auto"/>
              <w:ind w:left="114"/>
            </w:pPr>
            <w:r>
              <w:rPr>
                <w:spacing w:val="7"/>
              </w:rPr>
              <w:t>招标人发出解密提示后</w:t>
            </w:r>
            <w:r>
              <w:rPr>
                <w:spacing w:val="7"/>
                <w:u w:val="single" w:color="auto"/>
              </w:rPr>
              <w:t xml:space="preserve">  30  </w:t>
            </w:r>
            <w:r>
              <w:rPr>
                <w:spacing w:val="-86"/>
              </w:rPr>
              <w:t xml:space="preserve"> </w:t>
            </w:r>
            <w:r>
              <w:rPr>
                <w:spacing w:val="7"/>
              </w:rPr>
              <w:t>分钟内</w:t>
            </w:r>
          </w:p>
          <w:p w14:paraId="72C41D72">
            <w:pPr>
              <w:pStyle w:val="6"/>
              <w:spacing w:before="64" w:line="272" w:lineRule="auto"/>
              <w:ind w:left="114" w:right="106" w:firstLine="9"/>
            </w:pPr>
            <w:r>
              <w:rPr>
                <w:spacing w:val="12"/>
              </w:rPr>
              <w:t>（招标人应充分考虑标段数和投标人数量，合理设置解</w:t>
            </w:r>
            <w:r>
              <w:rPr>
                <w:spacing w:val="6"/>
              </w:rPr>
              <w:t>密时间，该时间不应少于</w:t>
            </w:r>
            <w:r>
              <w:rPr>
                <w:spacing w:val="-28"/>
              </w:rPr>
              <w:t xml:space="preserve"> </w:t>
            </w:r>
            <w:r>
              <w:rPr>
                <w:spacing w:val="6"/>
              </w:rPr>
              <w:t>20</w:t>
            </w:r>
            <w:r>
              <w:rPr>
                <w:spacing w:val="-37"/>
              </w:rPr>
              <w:t xml:space="preserve"> </w:t>
            </w:r>
            <w:r>
              <w:rPr>
                <w:spacing w:val="6"/>
              </w:rPr>
              <w:t>分钟）</w:t>
            </w:r>
          </w:p>
        </w:tc>
      </w:tr>
      <w:tr w14:paraId="53858B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12" w:hRule="atLeast"/>
        </w:trPr>
        <w:tc>
          <w:tcPr>
            <w:tcW w:w="855" w:type="dxa"/>
            <w:vAlign w:val="top"/>
          </w:tcPr>
          <w:p w14:paraId="7ECD329E">
            <w:pPr>
              <w:spacing w:line="313" w:lineRule="auto"/>
              <w:rPr>
                <w:rFonts w:ascii="Arial"/>
                <w:sz w:val="21"/>
              </w:rPr>
            </w:pPr>
          </w:p>
          <w:p w14:paraId="41439C6E">
            <w:pPr>
              <w:spacing w:line="313" w:lineRule="auto"/>
              <w:rPr>
                <w:rFonts w:ascii="Arial"/>
                <w:sz w:val="21"/>
              </w:rPr>
            </w:pPr>
          </w:p>
          <w:p w14:paraId="6F54575E">
            <w:pPr>
              <w:spacing w:before="57" w:line="195" w:lineRule="auto"/>
              <w:ind w:left="22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6.</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w:t>
            </w:r>
          </w:p>
        </w:tc>
        <w:tc>
          <w:tcPr>
            <w:tcW w:w="2224" w:type="dxa"/>
            <w:vAlign w:val="top"/>
          </w:tcPr>
          <w:p w14:paraId="2C2A49CF">
            <w:pPr>
              <w:spacing w:line="291" w:lineRule="auto"/>
              <w:rPr>
                <w:rFonts w:ascii="Arial"/>
                <w:sz w:val="21"/>
              </w:rPr>
            </w:pPr>
          </w:p>
          <w:p w14:paraId="01415981">
            <w:pPr>
              <w:spacing w:line="291" w:lineRule="auto"/>
              <w:rPr>
                <w:rFonts w:ascii="Arial"/>
                <w:sz w:val="21"/>
              </w:rPr>
            </w:pPr>
          </w:p>
          <w:p w14:paraId="7737A89B">
            <w:pPr>
              <w:pStyle w:val="6"/>
              <w:spacing w:before="65" w:line="227" w:lineRule="auto"/>
              <w:ind w:left="112"/>
            </w:pPr>
            <w:r>
              <w:rPr>
                <w:spacing w:val="8"/>
              </w:rPr>
              <w:t>评标委员会的组建</w:t>
            </w:r>
          </w:p>
        </w:tc>
        <w:tc>
          <w:tcPr>
            <w:tcW w:w="5339" w:type="dxa"/>
            <w:vAlign w:val="top"/>
          </w:tcPr>
          <w:p w14:paraId="6AEE2F46">
            <w:pPr>
              <w:pStyle w:val="6"/>
              <w:spacing w:before="183" w:line="288" w:lineRule="auto"/>
              <w:ind w:left="114" w:right="109" w:hanging="2"/>
            </w:pPr>
            <w:r>
              <w:rPr>
                <w:spacing w:val="11"/>
              </w:rPr>
              <w:t>评标委员会构成：</w:t>
            </w:r>
            <w:r>
              <w:rPr>
                <w:spacing w:val="11"/>
                <w:u w:val="single" w:color="auto"/>
              </w:rPr>
              <w:t xml:space="preserve">    人，其中招标人代表    人，专</w:t>
            </w:r>
            <w:r>
              <w:rPr>
                <w:spacing w:val="2"/>
                <w:u w:val="single" w:color="auto"/>
              </w:rPr>
              <w:t>家</w:t>
            </w:r>
            <w:r>
              <w:rPr>
                <w:spacing w:val="7"/>
                <w:u w:val="single" w:color="auto"/>
              </w:rPr>
              <w:t xml:space="preserve">    </w:t>
            </w:r>
            <w:r>
              <w:rPr>
                <w:spacing w:val="2"/>
                <w:u w:val="single" w:color="auto"/>
              </w:rPr>
              <w:t>人；</w:t>
            </w:r>
          </w:p>
          <w:p w14:paraId="254BECB5">
            <w:pPr>
              <w:pStyle w:val="6"/>
              <w:spacing w:line="289" w:lineRule="auto"/>
              <w:ind w:left="132" w:right="109" w:hanging="20"/>
            </w:pPr>
            <w:r>
              <w:rPr>
                <w:spacing w:val="13"/>
              </w:rPr>
              <w:t>评标专家确定方式：</w:t>
            </w:r>
            <w:r>
              <w:rPr>
                <w:spacing w:val="13"/>
                <w:u w:val="single" w:color="auto"/>
              </w:rPr>
              <w:t>从湖北省综合评标专家库相应专业</w:t>
            </w:r>
            <w:r>
              <w:rPr>
                <w:spacing w:val="8"/>
                <w:u w:val="single" w:color="auto"/>
              </w:rPr>
              <w:t>中随机抽取产生。</w:t>
            </w:r>
          </w:p>
        </w:tc>
      </w:tr>
    </w:tbl>
    <w:p w14:paraId="0488AF44">
      <w:pPr>
        <w:rPr>
          <w:rFonts w:ascii="Arial"/>
          <w:sz w:val="21"/>
        </w:rPr>
      </w:pPr>
    </w:p>
    <w:p w14:paraId="4536AE94">
      <w:pPr>
        <w:rPr>
          <w:rFonts w:ascii="Arial" w:hAnsi="Arial" w:eastAsia="Arial" w:cs="Arial"/>
          <w:sz w:val="21"/>
          <w:szCs w:val="21"/>
        </w:rPr>
        <w:sectPr>
          <w:footerReference r:id="rId29" w:type="default"/>
          <w:pgSz w:w="11906" w:h="16839"/>
          <w:pgMar w:top="1431" w:right="1687" w:bottom="1156" w:left="1785" w:header="0" w:footer="994" w:gutter="0"/>
          <w:cols w:space="720" w:num="1"/>
        </w:sectPr>
      </w:pPr>
    </w:p>
    <w:p w14:paraId="25F5C540">
      <w:pPr>
        <w:spacing w:line="91" w:lineRule="auto"/>
        <w:rPr>
          <w:rFonts w:ascii="Arial"/>
          <w:sz w:val="2"/>
        </w:rPr>
      </w:pPr>
    </w:p>
    <w:tbl>
      <w:tblPr>
        <w:tblStyle w:val="5"/>
        <w:tblW w:w="8418"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2224"/>
        <w:gridCol w:w="5339"/>
      </w:tblGrid>
      <w:tr w14:paraId="2D5EB5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27" w:hRule="atLeast"/>
        </w:trPr>
        <w:tc>
          <w:tcPr>
            <w:tcW w:w="855" w:type="dxa"/>
            <w:vAlign w:val="top"/>
          </w:tcPr>
          <w:p w14:paraId="2E8D1761">
            <w:pPr>
              <w:spacing w:line="263" w:lineRule="auto"/>
              <w:rPr>
                <w:rFonts w:ascii="Arial"/>
                <w:sz w:val="21"/>
              </w:rPr>
            </w:pPr>
          </w:p>
          <w:p w14:paraId="776738CB">
            <w:pPr>
              <w:spacing w:line="263" w:lineRule="auto"/>
              <w:rPr>
                <w:rFonts w:ascii="Arial"/>
                <w:sz w:val="21"/>
              </w:rPr>
            </w:pPr>
          </w:p>
          <w:p w14:paraId="18027A6B">
            <w:pPr>
              <w:spacing w:line="264" w:lineRule="auto"/>
              <w:rPr>
                <w:rFonts w:ascii="Arial"/>
                <w:sz w:val="21"/>
              </w:rPr>
            </w:pPr>
          </w:p>
          <w:p w14:paraId="26DC5430">
            <w:pPr>
              <w:spacing w:before="58" w:line="195" w:lineRule="auto"/>
              <w:ind w:left="30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6.4</w:t>
            </w:r>
          </w:p>
        </w:tc>
        <w:tc>
          <w:tcPr>
            <w:tcW w:w="2224" w:type="dxa"/>
            <w:vAlign w:val="top"/>
          </w:tcPr>
          <w:p w14:paraId="33FF0A10">
            <w:pPr>
              <w:spacing w:line="249" w:lineRule="auto"/>
              <w:rPr>
                <w:rFonts w:ascii="Arial"/>
                <w:sz w:val="21"/>
              </w:rPr>
            </w:pPr>
          </w:p>
          <w:p w14:paraId="67E976F9">
            <w:pPr>
              <w:spacing w:line="249" w:lineRule="auto"/>
              <w:rPr>
                <w:rFonts w:ascii="Arial"/>
                <w:sz w:val="21"/>
              </w:rPr>
            </w:pPr>
          </w:p>
          <w:p w14:paraId="0C8C93C9">
            <w:pPr>
              <w:spacing w:line="249" w:lineRule="auto"/>
              <w:rPr>
                <w:rFonts w:ascii="Arial"/>
                <w:sz w:val="21"/>
              </w:rPr>
            </w:pPr>
          </w:p>
          <w:p w14:paraId="2F96CF69">
            <w:pPr>
              <w:pStyle w:val="6"/>
              <w:spacing w:before="65" w:line="227" w:lineRule="auto"/>
              <w:ind w:left="112"/>
            </w:pPr>
            <w:r>
              <w:rPr>
                <w:spacing w:val="8"/>
              </w:rPr>
              <w:t>评标结果公示媒介</w:t>
            </w:r>
          </w:p>
        </w:tc>
        <w:tc>
          <w:tcPr>
            <w:tcW w:w="5339" w:type="dxa"/>
            <w:vAlign w:val="top"/>
          </w:tcPr>
          <w:p w14:paraId="11B8777C">
            <w:pPr>
              <w:pStyle w:val="6"/>
              <w:spacing w:before="135" w:line="228" w:lineRule="auto"/>
              <w:ind w:left="112"/>
            </w:pPr>
            <w:r>
              <w:rPr>
                <w:spacing w:val="9"/>
                <w:u w:val="single" w:color="auto"/>
              </w:rPr>
              <w:t>湖北省电子招投标交易平台</w:t>
            </w:r>
          </w:p>
          <w:p w14:paraId="20FD6706">
            <w:pPr>
              <w:pStyle w:val="6"/>
              <w:spacing w:before="65" w:line="221" w:lineRule="auto"/>
              <w:ind w:left="130"/>
              <w:rPr>
                <w:rFonts w:ascii="Times New Roman" w:hAnsi="Times New Roman" w:eastAsia="Times New Roman" w:cs="Times New Roman"/>
              </w:rPr>
            </w:pPr>
            <w:r>
              <w:rPr>
                <w:spacing w:val="12"/>
                <w:u w:val="single" w:color="auto"/>
              </w:rPr>
              <w:t>网址：</w:t>
            </w:r>
            <w:r>
              <w:fldChar w:fldCharType="begin"/>
            </w:r>
            <w:r>
              <w:instrText xml:space="preserve"> HYPERLINK "https://" </w:instrText>
            </w:r>
            <w:r>
              <w:fldChar w:fldCharType="separate"/>
            </w:r>
            <w:r>
              <w:rPr>
                <w:rFonts w:ascii="Times New Roman" w:hAnsi="Times New Roman" w:eastAsia="Times New Roman" w:cs="Times New Roman"/>
                <w:u w:val="single" w:color="auto"/>
              </w:rPr>
              <w:t>https</w:t>
            </w:r>
            <w:r>
              <w:rPr>
                <w:rFonts w:ascii="Times New Roman" w:hAnsi="Times New Roman" w:eastAsia="Times New Roman" w:cs="Times New Roman"/>
                <w:spacing w:val="12"/>
                <w:u w:val="single" w:color="auto"/>
              </w:rPr>
              <w:t>://</w:t>
            </w:r>
            <w:r>
              <w:rPr>
                <w:rFonts w:ascii="Times New Roman" w:hAnsi="Times New Roman" w:eastAsia="Times New Roman" w:cs="Times New Roman"/>
                <w:spacing w:val="12"/>
                <w:u w:val="single" w:color="auto"/>
              </w:rPr>
              <w:fldChar w:fldCharType="end"/>
            </w:r>
            <w:r>
              <w:fldChar w:fldCharType="begin"/>
            </w:r>
            <w:r>
              <w:instrText xml:space="preserve"> HYPERLINK "http://www.hbbidcloud.c" </w:instrText>
            </w:r>
            <w:r>
              <w:fldChar w:fldCharType="separate"/>
            </w:r>
            <w:r>
              <w:rPr>
                <w:rFonts w:ascii="Times New Roman" w:hAnsi="Times New Roman" w:eastAsia="Times New Roman" w:cs="Times New Roman"/>
                <w:u w:val="single" w:color="auto"/>
              </w:rPr>
              <w:t>www</w:t>
            </w:r>
            <w:r>
              <w:rPr>
                <w:rFonts w:ascii="Times New Roman" w:hAnsi="Times New Roman" w:eastAsia="Times New Roman" w:cs="Times New Roman"/>
                <w:spacing w:val="12"/>
                <w:u w:val="single" w:color="auto"/>
              </w:rPr>
              <w:t>.</w:t>
            </w:r>
            <w:r>
              <w:rPr>
                <w:rFonts w:ascii="Times New Roman" w:hAnsi="Times New Roman" w:eastAsia="Times New Roman" w:cs="Times New Roman"/>
                <w:u w:val="single" w:color="auto"/>
              </w:rPr>
              <w:t>hbbidcloud</w:t>
            </w:r>
            <w:r>
              <w:rPr>
                <w:rFonts w:ascii="Times New Roman" w:hAnsi="Times New Roman" w:eastAsia="Times New Roman" w:cs="Times New Roman"/>
                <w:spacing w:val="12"/>
                <w:u w:val="single" w:color="auto"/>
              </w:rPr>
              <w:t>.</w:t>
            </w:r>
            <w:r>
              <w:rPr>
                <w:rFonts w:ascii="Times New Roman" w:hAnsi="Times New Roman" w:eastAsia="Times New Roman" w:cs="Times New Roman"/>
                <w:u w:val="single" w:color="auto"/>
              </w:rPr>
              <w:t>c</w:t>
            </w:r>
            <w:r>
              <w:rPr>
                <w:rFonts w:ascii="Times New Roman" w:hAnsi="Times New Roman" w:eastAsia="Times New Roman" w:cs="Times New Roman"/>
                <w:u w:val="single" w:color="auto"/>
              </w:rPr>
              <w:fldChar w:fldCharType="end"/>
            </w:r>
            <w:r>
              <w:rPr>
                <w:rFonts w:ascii="Times New Roman" w:hAnsi="Times New Roman" w:eastAsia="Times New Roman" w:cs="Times New Roman"/>
                <w:u w:val="single" w:color="auto"/>
              </w:rPr>
              <w:t>n</w:t>
            </w:r>
          </w:p>
          <w:p w14:paraId="3E75C862">
            <w:pPr>
              <w:pStyle w:val="6"/>
              <w:spacing w:before="72" w:line="228" w:lineRule="auto"/>
              <w:ind w:left="112"/>
            </w:pPr>
            <w:r>
              <w:rPr>
                <w:spacing w:val="9"/>
                <w:u w:val="single" w:color="auto"/>
              </w:rPr>
              <w:t>湖北省公共资源交易电子服务系统</w:t>
            </w:r>
          </w:p>
          <w:p w14:paraId="03EC9B64">
            <w:pPr>
              <w:pStyle w:val="6"/>
              <w:spacing w:before="65" w:line="221" w:lineRule="auto"/>
              <w:ind w:left="130"/>
              <w:rPr>
                <w:rFonts w:ascii="Times New Roman" w:hAnsi="Times New Roman" w:eastAsia="Times New Roman" w:cs="Times New Roman"/>
              </w:rPr>
            </w:pPr>
            <w:r>
              <w:rPr>
                <w:spacing w:val="12"/>
                <w:u w:val="single" w:color="auto"/>
              </w:rPr>
              <w:t>网址：</w:t>
            </w:r>
            <w:r>
              <w:fldChar w:fldCharType="begin"/>
            </w:r>
            <w:r>
              <w:instrText xml:space="preserve"> HYPERLINK "https://www.hbggzyfwpt.cn" </w:instrText>
            </w:r>
            <w:r>
              <w:fldChar w:fldCharType="separate"/>
            </w:r>
            <w:r>
              <w:rPr>
                <w:rFonts w:ascii="Times New Roman" w:hAnsi="Times New Roman" w:eastAsia="Times New Roman" w:cs="Times New Roman"/>
                <w:u w:val="single" w:color="auto"/>
              </w:rPr>
              <w:t>https</w:t>
            </w:r>
            <w:r>
              <w:rPr>
                <w:rFonts w:ascii="Times New Roman" w:hAnsi="Times New Roman" w:eastAsia="Times New Roman" w:cs="Times New Roman"/>
                <w:spacing w:val="12"/>
                <w:u w:val="single" w:color="auto"/>
              </w:rPr>
              <w:t>://</w:t>
            </w:r>
            <w:r>
              <w:rPr>
                <w:rFonts w:ascii="Times New Roman" w:hAnsi="Times New Roman" w:eastAsia="Times New Roman" w:cs="Times New Roman"/>
                <w:u w:val="single" w:color="auto"/>
              </w:rPr>
              <w:t>www</w:t>
            </w:r>
            <w:r>
              <w:rPr>
                <w:rFonts w:ascii="Times New Roman" w:hAnsi="Times New Roman" w:eastAsia="Times New Roman" w:cs="Times New Roman"/>
                <w:spacing w:val="12"/>
                <w:u w:val="single" w:color="auto"/>
              </w:rPr>
              <w:t>.</w:t>
            </w:r>
            <w:r>
              <w:rPr>
                <w:rFonts w:ascii="Times New Roman" w:hAnsi="Times New Roman" w:eastAsia="Times New Roman" w:cs="Times New Roman"/>
                <w:u w:val="single" w:color="auto"/>
              </w:rPr>
              <w:t>hbggzyfwpt</w:t>
            </w:r>
            <w:r>
              <w:rPr>
                <w:rFonts w:ascii="Times New Roman" w:hAnsi="Times New Roman" w:eastAsia="Times New Roman" w:cs="Times New Roman"/>
                <w:spacing w:val="12"/>
                <w:u w:val="single" w:color="auto"/>
              </w:rPr>
              <w:t>.</w:t>
            </w:r>
            <w:r>
              <w:rPr>
                <w:rFonts w:ascii="Times New Roman" w:hAnsi="Times New Roman" w:eastAsia="Times New Roman" w:cs="Times New Roman"/>
                <w:u w:val="single" w:color="auto"/>
              </w:rPr>
              <w:t>cn</w:t>
            </w:r>
            <w:r>
              <w:rPr>
                <w:rFonts w:ascii="Times New Roman" w:hAnsi="Times New Roman" w:eastAsia="Times New Roman" w:cs="Times New Roman"/>
                <w:u w:val="single" w:color="auto"/>
              </w:rPr>
              <w:fldChar w:fldCharType="end"/>
            </w:r>
          </w:p>
          <w:p w14:paraId="01A39D53">
            <w:pPr>
              <w:tabs>
                <w:tab w:val="left" w:pos="2518"/>
              </w:tabs>
              <w:spacing w:before="79"/>
              <w:ind w:left="104"/>
              <w:rPr>
                <w:rFonts w:ascii="Arial"/>
                <w:sz w:val="21"/>
              </w:rPr>
            </w:pPr>
            <w:r>
              <w:rPr>
                <w:rFonts w:ascii="Arial" w:hAnsi="Arial" w:eastAsia="Arial" w:cs="Arial"/>
                <w:sz w:val="21"/>
                <w:szCs w:val="21"/>
                <w:u w:val="single" w:color="auto"/>
              </w:rPr>
              <w:tab/>
            </w:r>
          </w:p>
        </w:tc>
      </w:tr>
      <w:tr w14:paraId="46AC40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0" w:hRule="atLeast"/>
        </w:trPr>
        <w:tc>
          <w:tcPr>
            <w:tcW w:w="855" w:type="dxa"/>
            <w:vAlign w:val="top"/>
          </w:tcPr>
          <w:p w14:paraId="7A058262">
            <w:pPr>
              <w:spacing w:line="345" w:lineRule="auto"/>
              <w:rPr>
                <w:rFonts w:ascii="Arial"/>
                <w:sz w:val="21"/>
              </w:rPr>
            </w:pPr>
          </w:p>
          <w:p w14:paraId="20EA44DB">
            <w:pPr>
              <w:spacing w:before="58" w:line="195" w:lineRule="auto"/>
              <w:ind w:left="300"/>
              <w:rPr>
                <w:rFonts w:ascii="Times New Roman" w:hAnsi="Times New Roman" w:eastAsia="Times New Roman" w:cs="Times New Roman"/>
                <w:sz w:val="20"/>
                <w:szCs w:val="20"/>
              </w:rPr>
            </w:pPr>
            <w:r>
              <w:rPr>
                <w:rFonts w:ascii="Times New Roman" w:hAnsi="Times New Roman" w:eastAsia="Times New Roman" w:cs="Times New Roman"/>
                <w:sz w:val="20"/>
                <w:szCs w:val="20"/>
              </w:rPr>
              <w:t>7.</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z w:val="20"/>
                <w:szCs w:val="20"/>
              </w:rPr>
              <w:t>1</w:t>
            </w:r>
          </w:p>
        </w:tc>
        <w:tc>
          <w:tcPr>
            <w:tcW w:w="2224" w:type="dxa"/>
            <w:vAlign w:val="top"/>
          </w:tcPr>
          <w:p w14:paraId="28DB537B">
            <w:pPr>
              <w:pStyle w:val="6"/>
              <w:spacing w:before="212" w:line="290" w:lineRule="auto"/>
              <w:ind w:left="112" w:right="105" w:firstLine="3"/>
            </w:pPr>
            <w:r>
              <w:rPr>
                <w:spacing w:val="21"/>
              </w:rPr>
              <w:t>是否授权评标委员会</w:t>
            </w:r>
            <w:r>
              <w:rPr>
                <w:spacing w:val="8"/>
              </w:rPr>
              <w:t>确定中标人</w:t>
            </w:r>
          </w:p>
        </w:tc>
        <w:tc>
          <w:tcPr>
            <w:tcW w:w="5339" w:type="dxa"/>
            <w:vAlign w:val="top"/>
          </w:tcPr>
          <w:p w14:paraId="249A5A6C">
            <w:pPr>
              <w:pStyle w:val="6"/>
              <w:spacing w:before="182" w:line="231" w:lineRule="auto"/>
              <w:ind w:left="135"/>
            </w:pPr>
            <w:r>
              <w:rPr>
                <w:spacing w:val="-6"/>
              </w:rPr>
              <w:t>□是</w:t>
            </w:r>
          </w:p>
          <w:p w14:paraId="79855D8D">
            <w:pPr>
              <w:pStyle w:val="6"/>
              <w:spacing w:before="123" w:line="227" w:lineRule="auto"/>
              <w:ind w:left="135"/>
            </w:pPr>
            <w:r>
              <w:rPr>
                <w:spacing w:val="7"/>
              </w:rPr>
              <w:t>□否，推荐的中标候选人数：</w:t>
            </w:r>
            <w:r>
              <w:rPr>
                <w:u w:val="single" w:color="auto"/>
              </w:rPr>
              <w:t xml:space="preserve">         </w:t>
            </w:r>
          </w:p>
        </w:tc>
      </w:tr>
      <w:tr w14:paraId="598CBA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16" w:hRule="atLeast"/>
        </w:trPr>
        <w:tc>
          <w:tcPr>
            <w:tcW w:w="855" w:type="dxa"/>
            <w:vAlign w:val="top"/>
          </w:tcPr>
          <w:p w14:paraId="3B89216F">
            <w:pPr>
              <w:spacing w:line="256" w:lineRule="auto"/>
              <w:rPr>
                <w:rFonts w:ascii="Arial"/>
                <w:sz w:val="21"/>
              </w:rPr>
            </w:pPr>
          </w:p>
          <w:p w14:paraId="6C620C46">
            <w:pPr>
              <w:spacing w:line="256" w:lineRule="auto"/>
              <w:rPr>
                <w:rFonts w:ascii="Arial"/>
                <w:sz w:val="21"/>
              </w:rPr>
            </w:pPr>
          </w:p>
          <w:p w14:paraId="25281513">
            <w:pPr>
              <w:spacing w:line="256" w:lineRule="auto"/>
              <w:rPr>
                <w:rFonts w:ascii="Arial"/>
                <w:sz w:val="21"/>
              </w:rPr>
            </w:pPr>
          </w:p>
          <w:p w14:paraId="0A7EF713">
            <w:pPr>
              <w:spacing w:line="257" w:lineRule="auto"/>
              <w:rPr>
                <w:rFonts w:ascii="Arial"/>
                <w:sz w:val="21"/>
              </w:rPr>
            </w:pPr>
          </w:p>
          <w:p w14:paraId="5008DDE0">
            <w:pPr>
              <w:spacing w:before="58" w:line="195" w:lineRule="auto"/>
              <w:ind w:left="22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p>
        </w:tc>
        <w:tc>
          <w:tcPr>
            <w:tcW w:w="2224" w:type="dxa"/>
            <w:vAlign w:val="top"/>
          </w:tcPr>
          <w:p w14:paraId="772BFD64">
            <w:pPr>
              <w:spacing w:line="245" w:lineRule="auto"/>
              <w:rPr>
                <w:rFonts w:ascii="Arial"/>
                <w:sz w:val="21"/>
              </w:rPr>
            </w:pPr>
          </w:p>
          <w:p w14:paraId="14F24F2C">
            <w:pPr>
              <w:spacing w:line="245" w:lineRule="auto"/>
              <w:rPr>
                <w:rFonts w:ascii="Arial"/>
                <w:sz w:val="21"/>
              </w:rPr>
            </w:pPr>
          </w:p>
          <w:p w14:paraId="0BB66ABC">
            <w:pPr>
              <w:spacing w:line="246" w:lineRule="auto"/>
              <w:rPr>
                <w:rFonts w:ascii="Arial"/>
                <w:sz w:val="21"/>
              </w:rPr>
            </w:pPr>
          </w:p>
          <w:p w14:paraId="10247A38">
            <w:pPr>
              <w:spacing w:line="246" w:lineRule="auto"/>
              <w:rPr>
                <w:rFonts w:ascii="Arial"/>
                <w:sz w:val="21"/>
              </w:rPr>
            </w:pPr>
          </w:p>
          <w:p w14:paraId="2175CFDA">
            <w:pPr>
              <w:pStyle w:val="6"/>
              <w:spacing w:before="65" w:line="228" w:lineRule="auto"/>
              <w:ind w:left="116"/>
            </w:pPr>
            <w:r>
              <w:rPr>
                <w:spacing w:val="7"/>
              </w:rPr>
              <w:t>履约保证金</w:t>
            </w:r>
          </w:p>
        </w:tc>
        <w:tc>
          <w:tcPr>
            <w:tcW w:w="5339" w:type="dxa"/>
            <w:vAlign w:val="top"/>
          </w:tcPr>
          <w:p w14:paraId="17CA579B">
            <w:pPr>
              <w:pStyle w:val="6"/>
              <w:spacing w:before="173" w:line="228" w:lineRule="auto"/>
              <w:ind w:left="135"/>
            </w:pPr>
            <w:r>
              <w:rPr>
                <w:spacing w:val="2"/>
              </w:rPr>
              <w:t>□不提交</w:t>
            </w:r>
          </w:p>
          <w:p w14:paraId="459AB712">
            <w:pPr>
              <w:pStyle w:val="6"/>
              <w:spacing w:before="103" w:line="228" w:lineRule="auto"/>
              <w:ind w:left="135"/>
            </w:pPr>
            <w:r>
              <w:rPr>
                <w:spacing w:val="6"/>
              </w:rPr>
              <w:t>□提交，履约保证金的形式：</w:t>
            </w:r>
          </w:p>
          <w:p w14:paraId="29A59C3E">
            <w:pPr>
              <w:pStyle w:val="6"/>
              <w:spacing w:before="127" w:line="228" w:lineRule="auto"/>
              <w:ind w:left="975"/>
            </w:pPr>
            <w:r>
              <w:rPr>
                <w:spacing w:val="1"/>
              </w:rPr>
              <w:t xml:space="preserve">□银行保函 </w:t>
            </w:r>
            <w:r>
              <w:rPr>
                <w:spacing w:val="1"/>
                <w:u w:val="single" w:color="auto"/>
              </w:rPr>
              <w:t xml:space="preserve">                         </w:t>
            </w:r>
          </w:p>
          <w:p w14:paraId="67E53404">
            <w:pPr>
              <w:pStyle w:val="6"/>
              <w:spacing w:before="127" w:line="228" w:lineRule="auto"/>
              <w:ind w:left="975"/>
            </w:pPr>
            <w:r>
              <w:rPr>
                <w:spacing w:val="1"/>
              </w:rPr>
              <w:t xml:space="preserve">□保证保险 </w:t>
            </w:r>
            <w:r>
              <w:rPr>
                <w:spacing w:val="1"/>
                <w:u w:val="single" w:color="auto"/>
              </w:rPr>
              <w:t xml:space="preserve">                         </w:t>
            </w:r>
          </w:p>
          <w:p w14:paraId="335BC566">
            <w:pPr>
              <w:pStyle w:val="6"/>
              <w:spacing w:before="127" w:line="228" w:lineRule="auto"/>
              <w:ind w:left="975"/>
            </w:pPr>
            <w:r>
              <w:rPr>
                <w:spacing w:val="1"/>
              </w:rPr>
              <w:t xml:space="preserve">□其他形式 </w:t>
            </w:r>
            <w:r>
              <w:rPr>
                <w:spacing w:val="1"/>
                <w:u w:val="single" w:color="auto"/>
              </w:rPr>
              <w:t xml:space="preserve">                         </w:t>
            </w:r>
          </w:p>
          <w:p w14:paraId="4E65E25C">
            <w:pPr>
              <w:pStyle w:val="6"/>
              <w:spacing w:before="127" w:line="226" w:lineRule="auto"/>
              <w:ind w:left="957"/>
              <w:rPr>
                <w:rFonts w:ascii="Times New Roman" w:hAnsi="Times New Roman" w:eastAsia="Times New Roman" w:cs="Times New Roman"/>
              </w:rPr>
            </w:pPr>
            <w:r>
              <w:rPr>
                <w:spacing w:val="7"/>
              </w:rPr>
              <w:t>履约保证金的金额：合同总价的</w:t>
            </w:r>
            <w:r>
              <w:rPr>
                <w:spacing w:val="-86"/>
              </w:rPr>
              <w:t xml:space="preserve"> </w:t>
            </w:r>
            <w:r>
              <w:rPr>
                <w:spacing w:val="7"/>
                <w:u w:val="single" w:color="auto"/>
              </w:rPr>
              <w:t xml:space="preserve">       </w:t>
            </w:r>
            <w:r>
              <w:rPr>
                <w:spacing w:val="7"/>
              </w:rPr>
              <w:t xml:space="preserve"> </w:t>
            </w:r>
            <w:r>
              <w:rPr>
                <w:rFonts w:ascii="Times New Roman" w:hAnsi="Times New Roman" w:eastAsia="Times New Roman" w:cs="Times New Roman"/>
                <w:spacing w:val="7"/>
              </w:rPr>
              <w:t>%</w:t>
            </w:r>
          </w:p>
        </w:tc>
      </w:tr>
      <w:tr w14:paraId="426C81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4" w:hRule="atLeast"/>
        </w:trPr>
        <w:tc>
          <w:tcPr>
            <w:tcW w:w="855" w:type="dxa"/>
            <w:vAlign w:val="top"/>
          </w:tcPr>
          <w:p w14:paraId="1FC4086C">
            <w:pPr>
              <w:spacing w:line="309" w:lineRule="auto"/>
              <w:rPr>
                <w:rFonts w:ascii="Arial"/>
                <w:sz w:val="21"/>
              </w:rPr>
            </w:pPr>
          </w:p>
          <w:p w14:paraId="62AF57AB">
            <w:pPr>
              <w:spacing w:line="309" w:lineRule="auto"/>
              <w:rPr>
                <w:rFonts w:ascii="Arial"/>
                <w:sz w:val="21"/>
              </w:rPr>
            </w:pPr>
          </w:p>
          <w:p w14:paraId="17CC32A9">
            <w:pPr>
              <w:spacing w:line="309" w:lineRule="auto"/>
              <w:rPr>
                <w:rFonts w:ascii="Arial"/>
                <w:sz w:val="21"/>
              </w:rPr>
            </w:pPr>
          </w:p>
          <w:p w14:paraId="28262724">
            <w:pPr>
              <w:spacing w:before="58" w:line="195" w:lineRule="auto"/>
              <w:ind w:left="30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9.5</w:t>
            </w:r>
          </w:p>
        </w:tc>
        <w:tc>
          <w:tcPr>
            <w:tcW w:w="2224" w:type="dxa"/>
            <w:vAlign w:val="top"/>
          </w:tcPr>
          <w:p w14:paraId="16C7B83E">
            <w:pPr>
              <w:spacing w:line="294" w:lineRule="auto"/>
              <w:rPr>
                <w:rFonts w:ascii="Arial"/>
                <w:sz w:val="21"/>
              </w:rPr>
            </w:pPr>
          </w:p>
          <w:p w14:paraId="0471650A">
            <w:pPr>
              <w:spacing w:line="295" w:lineRule="auto"/>
              <w:rPr>
                <w:rFonts w:ascii="Arial"/>
                <w:sz w:val="21"/>
              </w:rPr>
            </w:pPr>
          </w:p>
          <w:p w14:paraId="7CE0C105">
            <w:pPr>
              <w:spacing w:line="295" w:lineRule="auto"/>
              <w:rPr>
                <w:rFonts w:ascii="Arial"/>
                <w:sz w:val="21"/>
              </w:rPr>
            </w:pPr>
          </w:p>
          <w:p w14:paraId="205BBFC7">
            <w:pPr>
              <w:pStyle w:val="6"/>
              <w:spacing w:before="65" w:line="228" w:lineRule="auto"/>
              <w:ind w:left="116"/>
            </w:pPr>
            <w:r>
              <w:rPr>
                <w:spacing w:val="7"/>
              </w:rPr>
              <w:t>行政监督部门</w:t>
            </w:r>
          </w:p>
        </w:tc>
        <w:tc>
          <w:tcPr>
            <w:tcW w:w="5339" w:type="dxa"/>
            <w:vAlign w:val="top"/>
          </w:tcPr>
          <w:p w14:paraId="05F64C41">
            <w:pPr>
              <w:pStyle w:val="6"/>
              <w:spacing w:before="160" w:line="230" w:lineRule="auto"/>
              <w:ind w:left="116"/>
            </w:pPr>
            <w:r>
              <w:rPr>
                <w:spacing w:val="-6"/>
              </w:rPr>
              <w:t>名</w:t>
            </w:r>
            <w:r>
              <w:rPr>
                <w:spacing w:val="7"/>
              </w:rPr>
              <w:t xml:space="preserve">    </w:t>
            </w:r>
            <w:r>
              <w:rPr>
                <w:spacing w:val="-6"/>
              </w:rPr>
              <w:t>称</w:t>
            </w:r>
            <w:r>
              <w:rPr>
                <w:spacing w:val="-74"/>
              </w:rPr>
              <w:t xml:space="preserve"> </w:t>
            </w:r>
            <w:r>
              <w:rPr>
                <w:spacing w:val="-6"/>
              </w:rPr>
              <w:t>：</w:t>
            </w:r>
            <w:r>
              <w:rPr>
                <w:u w:val="single" w:color="auto"/>
              </w:rPr>
              <w:t xml:space="preserve">                    </w:t>
            </w:r>
          </w:p>
          <w:p w14:paraId="4DD15C3C">
            <w:pPr>
              <w:pStyle w:val="6"/>
              <w:spacing w:before="151" w:line="237" w:lineRule="auto"/>
              <w:ind w:left="113"/>
            </w:pPr>
            <w:r>
              <w:rPr>
                <w:spacing w:val="-5"/>
              </w:rPr>
              <w:t>地</w:t>
            </w:r>
            <w:r>
              <w:rPr>
                <w:spacing w:val="7"/>
              </w:rPr>
              <w:t xml:space="preserve">    </w:t>
            </w:r>
            <w:r>
              <w:rPr>
                <w:spacing w:val="-5"/>
              </w:rPr>
              <w:t>址</w:t>
            </w:r>
            <w:r>
              <w:rPr>
                <w:spacing w:val="-74"/>
              </w:rPr>
              <w:t xml:space="preserve"> </w:t>
            </w:r>
            <w:r>
              <w:rPr>
                <w:spacing w:val="-5"/>
              </w:rPr>
              <w:t>：</w:t>
            </w:r>
            <w:r>
              <w:rPr>
                <w:u w:val="single" w:color="auto"/>
              </w:rPr>
              <w:t xml:space="preserve">                    </w:t>
            </w:r>
          </w:p>
          <w:p w14:paraId="7ADD535A">
            <w:pPr>
              <w:pStyle w:val="6"/>
              <w:spacing w:before="143" w:line="230" w:lineRule="auto"/>
              <w:ind w:left="138"/>
            </w:pPr>
            <w:r>
              <w:rPr>
                <w:spacing w:val="-13"/>
              </w:rPr>
              <w:t>电</w:t>
            </w:r>
            <w:r>
              <w:rPr>
                <w:spacing w:val="6"/>
              </w:rPr>
              <w:t xml:space="preserve">    </w:t>
            </w:r>
            <w:r>
              <w:rPr>
                <w:spacing w:val="-13"/>
              </w:rPr>
              <w:t>话</w:t>
            </w:r>
            <w:r>
              <w:rPr>
                <w:spacing w:val="-71"/>
              </w:rPr>
              <w:t xml:space="preserve"> </w:t>
            </w:r>
            <w:r>
              <w:rPr>
                <w:spacing w:val="-13"/>
              </w:rPr>
              <w:t>：</w:t>
            </w:r>
            <w:r>
              <w:rPr>
                <w:u w:val="single" w:color="auto"/>
              </w:rPr>
              <w:t xml:space="preserve">                    </w:t>
            </w:r>
          </w:p>
          <w:p w14:paraId="3AEAF95A">
            <w:pPr>
              <w:pStyle w:val="6"/>
              <w:spacing w:before="149" w:line="227" w:lineRule="auto"/>
              <w:ind w:left="112"/>
            </w:pPr>
            <w:r>
              <w:rPr>
                <w:spacing w:val="-5"/>
              </w:rPr>
              <w:t>传</w:t>
            </w:r>
            <w:r>
              <w:rPr>
                <w:spacing w:val="7"/>
              </w:rPr>
              <w:t xml:space="preserve">    </w:t>
            </w:r>
            <w:r>
              <w:rPr>
                <w:spacing w:val="-5"/>
              </w:rPr>
              <w:t>真</w:t>
            </w:r>
            <w:r>
              <w:rPr>
                <w:spacing w:val="-73"/>
              </w:rPr>
              <w:t xml:space="preserve"> </w:t>
            </w:r>
            <w:r>
              <w:rPr>
                <w:spacing w:val="-5"/>
              </w:rPr>
              <w:t>：</w:t>
            </w:r>
            <w:r>
              <w:rPr>
                <w:u w:val="single" w:color="auto"/>
              </w:rPr>
              <w:t xml:space="preserve">                    </w:t>
            </w:r>
          </w:p>
          <w:p w14:paraId="3EF84628">
            <w:pPr>
              <w:pStyle w:val="6"/>
              <w:spacing w:before="135" w:line="228" w:lineRule="auto"/>
              <w:ind w:left="129"/>
            </w:pPr>
            <w:r>
              <w:rPr>
                <w:spacing w:val="4"/>
              </w:rPr>
              <w:t>邮政编码：</w:t>
            </w:r>
            <w:r>
              <w:rPr>
                <w:u w:val="single" w:color="auto"/>
              </w:rPr>
              <w:t xml:space="preserve">                    </w:t>
            </w:r>
          </w:p>
        </w:tc>
      </w:tr>
      <w:tr w14:paraId="651F5E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3" w:hRule="atLeast"/>
        </w:trPr>
        <w:tc>
          <w:tcPr>
            <w:tcW w:w="855" w:type="dxa"/>
            <w:vAlign w:val="top"/>
          </w:tcPr>
          <w:p w14:paraId="2D2FCF0B">
            <w:pPr>
              <w:spacing w:line="250" w:lineRule="auto"/>
              <w:rPr>
                <w:rFonts w:ascii="Arial"/>
                <w:sz w:val="21"/>
              </w:rPr>
            </w:pPr>
          </w:p>
          <w:p w14:paraId="6AE1A4CB">
            <w:pPr>
              <w:spacing w:line="250" w:lineRule="auto"/>
              <w:rPr>
                <w:rFonts w:ascii="Arial"/>
                <w:sz w:val="21"/>
              </w:rPr>
            </w:pPr>
          </w:p>
          <w:p w14:paraId="3E85EB84">
            <w:pPr>
              <w:spacing w:line="250" w:lineRule="auto"/>
              <w:rPr>
                <w:rFonts w:ascii="Arial"/>
                <w:sz w:val="21"/>
              </w:rPr>
            </w:pPr>
          </w:p>
          <w:p w14:paraId="5497326C">
            <w:pPr>
              <w:spacing w:line="251" w:lineRule="auto"/>
              <w:rPr>
                <w:rFonts w:ascii="Arial"/>
                <w:sz w:val="21"/>
              </w:rPr>
            </w:pPr>
          </w:p>
          <w:p w14:paraId="42B9BA47">
            <w:pPr>
              <w:spacing w:line="251" w:lineRule="auto"/>
              <w:rPr>
                <w:rFonts w:ascii="Arial"/>
                <w:sz w:val="21"/>
              </w:rPr>
            </w:pPr>
          </w:p>
          <w:p w14:paraId="1EC197A2">
            <w:pPr>
              <w:spacing w:line="251" w:lineRule="auto"/>
              <w:rPr>
                <w:rFonts w:ascii="Arial"/>
                <w:sz w:val="21"/>
              </w:rPr>
            </w:pPr>
          </w:p>
          <w:p w14:paraId="1AEE0071">
            <w:pPr>
              <w:spacing w:line="251" w:lineRule="auto"/>
              <w:rPr>
                <w:rFonts w:ascii="Arial"/>
                <w:sz w:val="21"/>
              </w:rPr>
            </w:pPr>
          </w:p>
          <w:p w14:paraId="27802F4B">
            <w:pPr>
              <w:spacing w:line="251" w:lineRule="auto"/>
              <w:rPr>
                <w:rFonts w:ascii="Arial"/>
                <w:sz w:val="21"/>
              </w:rPr>
            </w:pPr>
          </w:p>
          <w:p w14:paraId="37792FD3">
            <w:pPr>
              <w:spacing w:before="58"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3"/>
                <w:sz w:val="20"/>
                <w:szCs w:val="20"/>
              </w:rPr>
              <w:t>1</w:t>
            </w:r>
          </w:p>
        </w:tc>
        <w:tc>
          <w:tcPr>
            <w:tcW w:w="2224" w:type="dxa"/>
            <w:vAlign w:val="top"/>
          </w:tcPr>
          <w:p w14:paraId="48AA6EBE">
            <w:pPr>
              <w:spacing w:line="241" w:lineRule="auto"/>
              <w:rPr>
                <w:rFonts w:ascii="Arial"/>
                <w:sz w:val="21"/>
              </w:rPr>
            </w:pPr>
          </w:p>
          <w:p w14:paraId="2A2DB01B">
            <w:pPr>
              <w:spacing w:line="242" w:lineRule="auto"/>
              <w:rPr>
                <w:rFonts w:ascii="Arial"/>
                <w:sz w:val="21"/>
              </w:rPr>
            </w:pPr>
          </w:p>
          <w:p w14:paraId="5D80A4B2">
            <w:pPr>
              <w:spacing w:line="242" w:lineRule="auto"/>
              <w:rPr>
                <w:rFonts w:ascii="Arial"/>
                <w:sz w:val="21"/>
              </w:rPr>
            </w:pPr>
          </w:p>
          <w:p w14:paraId="5942DE13">
            <w:pPr>
              <w:spacing w:line="242" w:lineRule="auto"/>
              <w:rPr>
                <w:rFonts w:ascii="Arial"/>
                <w:sz w:val="21"/>
              </w:rPr>
            </w:pPr>
          </w:p>
          <w:p w14:paraId="595B0A79">
            <w:pPr>
              <w:spacing w:line="242" w:lineRule="auto"/>
              <w:rPr>
                <w:rFonts w:ascii="Arial"/>
                <w:sz w:val="21"/>
              </w:rPr>
            </w:pPr>
          </w:p>
          <w:p w14:paraId="4412F4F2">
            <w:pPr>
              <w:spacing w:line="242" w:lineRule="auto"/>
              <w:rPr>
                <w:rFonts w:ascii="Arial"/>
                <w:sz w:val="21"/>
              </w:rPr>
            </w:pPr>
          </w:p>
          <w:p w14:paraId="198E910A">
            <w:pPr>
              <w:spacing w:line="242" w:lineRule="auto"/>
              <w:rPr>
                <w:rFonts w:ascii="Arial"/>
                <w:sz w:val="21"/>
              </w:rPr>
            </w:pPr>
          </w:p>
          <w:p w14:paraId="5F8D6887">
            <w:pPr>
              <w:spacing w:line="242" w:lineRule="auto"/>
              <w:rPr>
                <w:rFonts w:ascii="Arial"/>
                <w:sz w:val="21"/>
              </w:rPr>
            </w:pPr>
          </w:p>
          <w:p w14:paraId="352B699C">
            <w:pPr>
              <w:pStyle w:val="6"/>
              <w:spacing w:before="72" w:line="221" w:lineRule="auto"/>
              <w:ind w:left="123"/>
              <w:rPr>
                <w:sz w:val="22"/>
                <w:szCs w:val="22"/>
              </w:rPr>
            </w:pPr>
            <w:r>
              <w:rPr>
                <w:spacing w:val="2"/>
                <w:sz w:val="22"/>
                <w:szCs w:val="22"/>
              </w:rPr>
              <w:t>多标段投标</w:t>
            </w:r>
          </w:p>
        </w:tc>
        <w:tc>
          <w:tcPr>
            <w:tcW w:w="5339" w:type="dxa"/>
            <w:vAlign w:val="top"/>
          </w:tcPr>
          <w:p w14:paraId="2EE7EE54">
            <w:pPr>
              <w:pStyle w:val="6"/>
              <w:spacing w:before="114" w:line="288" w:lineRule="auto"/>
              <w:ind w:left="114" w:right="109" w:firstLine="1"/>
            </w:pPr>
            <w:r>
              <w:rPr>
                <w:spacing w:val="7"/>
              </w:rPr>
              <w:t>投标人可同时对本次招标标段中的</w:t>
            </w:r>
            <w:r>
              <w:rPr>
                <w:spacing w:val="7"/>
                <w:u w:val="single" w:color="auto"/>
              </w:rPr>
              <w:t xml:space="preserve">     </w:t>
            </w:r>
            <w:r>
              <w:rPr>
                <w:spacing w:val="-82"/>
              </w:rPr>
              <w:t xml:space="preserve"> </w:t>
            </w:r>
            <w:r>
              <w:rPr>
                <w:spacing w:val="7"/>
              </w:rPr>
              <w:t>个标段投标。招</w:t>
            </w:r>
            <w:r>
              <w:rPr>
                <w:spacing w:val="8"/>
              </w:rPr>
              <w:t>标人按下列原则选择中标人：</w:t>
            </w:r>
          </w:p>
          <w:p w14:paraId="1F7B3BE2">
            <w:pPr>
              <w:pStyle w:val="6"/>
              <w:spacing w:line="227" w:lineRule="auto"/>
              <w:ind w:left="135"/>
            </w:pPr>
            <w:r>
              <w:rPr>
                <w:spacing w:val="7"/>
              </w:rPr>
              <w:t>□ 招标人按标段择优选择中标人。</w:t>
            </w:r>
          </w:p>
          <w:p w14:paraId="064F56E5">
            <w:pPr>
              <w:pStyle w:val="6"/>
              <w:spacing w:before="154" w:line="370" w:lineRule="auto"/>
              <w:ind w:left="115" w:right="109" w:firstLine="19"/>
            </w:pPr>
            <w:r>
              <w:rPr>
                <w:spacing w:val="10"/>
              </w:rPr>
              <w:t>□ 投标人最多只允许中标</w:t>
            </w:r>
            <w:r>
              <w:rPr>
                <w:spacing w:val="-82"/>
              </w:rPr>
              <w:t xml:space="preserve"> </w:t>
            </w:r>
            <w:r>
              <w:rPr>
                <w:spacing w:val="8"/>
                <w:u w:val="single" w:color="auto"/>
              </w:rPr>
              <w:t xml:space="preserve">     </w:t>
            </w:r>
            <w:r>
              <w:rPr>
                <w:spacing w:val="-90"/>
              </w:rPr>
              <w:t xml:space="preserve"> </w:t>
            </w:r>
            <w:r>
              <w:rPr>
                <w:spacing w:val="10"/>
              </w:rPr>
              <w:t>个标段。如果同一投标</w:t>
            </w:r>
            <w:r>
              <w:rPr>
                <w:spacing w:val="9"/>
              </w:rPr>
              <w:t>人在多个标段中均排序第一，推荐中标候选人顺序为：</w:t>
            </w:r>
          </w:p>
          <w:p w14:paraId="18ED405A">
            <w:pPr>
              <w:pStyle w:val="6"/>
              <w:spacing w:before="1" w:line="368" w:lineRule="auto"/>
              <w:ind w:left="114" w:right="38" w:firstLine="334"/>
            </w:pPr>
            <w:r>
              <w:rPr>
                <w:spacing w:val="7"/>
              </w:rPr>
              <w:t>□按照标段顺序，投标人在前面标段被推荐为第一中标候选人后，所投其他标段将不再被推荐为中标候选人。</w:t>
            </w:r>
          </w:p>
          <w:p w14:paraId="0A47E235">
            <w:pPr>
              <w:pStyle w:val="6"/>
              <w:spacing w:before="2" w:line="368" w:lineRule="auto"/>
              <w:ind w:left="114" w:right="109" w:firstLine="334"/>
            </w:pPr>
            <w:r>
              <w:rPr>
                <w:spacing w:val="7"/>
              </w:rPr>
              <w:t>□按照标段招标控制价从大到小的顺序，投标人在招</w:t>
            </w:r>
            <w:r>
              <w:rPr>
                <w:spacing w:val="13"/>
              </w:rPr>
              <w:t>标控制价大的标段被推荐为第一中标候选人后，</w:t>
            </w:r>
            <w:r>
              <w:rPr>
                <w:spacing w:val="12"/>
              </w:rPr>
              <w:t>所投其</w:t>
            </w:r>
          </w:p>
          <w:p w14:paraId="39D67004">
            <w:pPr>
              <w:pStyle w:val="6"/>
              <w:spacing w:before="1" w:line="226" w:lineRule="auto"/>
              <w:ind w:left="113"/>
            </w:pPr>
            <w:r>
              <w:rPr>
                <w:spacing w:val="8"/>
              </w:rPr>
              <w:t>他标段将不再被推荐为中标候选人。</w:t>
            </w:r>
          </w:p>
          <w:p w14:paraId="0ED8F5C4">
            <w:pPr>
              <w:pStyle w:val="6"/>
              <w:spacing w:before="66" w:line="246" w:lineRule="auto"/>
              <w:ind w:left="449"/>
            </w:pPr>
            <w:r>
              <w:rPr>
                <w:spacing w:val="-5"/>
              </w:rPr>
              <w:t>□</w:t>
            </w:r>
            <w:r>
              <w:rPr>
                <w:spacing w:val="-5"/>
                <w:u w:val="single" w:color="auto"/>
              </w:rPr>
              <w:t xml:space="preserve">                                            </w:t>
            </w:r>
            <w:r>
              <w:rPr>
                <w:spacing w:val="-5"/>
              </w:rPr>
              <w:t>。</w:t>
            </w:r>
          </w:p>
        </w:tc>
      </w:tr>
      <w:tr w14:paraId="3E989F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855" w:type="dxa"/>
            <w:vAlign w:val="top"/>
          </w:tcPr>
          <w:p w14:paraId="3404515C">
            <w:pPr>
              <w:spacing w:line="298" w:lineRule="auto"/>
              <w:rPr>
                <w:rFonts w:ascii="Arial"/>
                <w:sz w:val="21"/>
              </w:rPr>
            </w:pPr>
          </w:p>
          <w:p w14:paraId="4007B294">
            <w:pPr>
              <w:spacing w:before="57"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rPr>
              <w:t>10.2.1</w:t>
            </w:r>
          </w:p>
        </w:tc>
        <w:tc>
          <w:tcPr>
            <w:tcW w:w="2224" w:type="dxa"/>
            <w:vAlign w:val="top"/>
          </w:tcPr>
          <w:p w14:paraId="2DC9E342">
            <w:pPr>
              <w:spacing w:line="243" w:lineRule="auto"/>
              <w:rPr>
                <w:rFonts w:ascii="Arial"/>
                <w:sz w:val="21"/>
              </w:rPr>
            </w:pPr>
          </w:p>
          <w:p w14:paraId="5FEAC430">
            <w:pPr>
              <w:pStyle w:val="6"/>
              <w:spacing w:before="65" w:line="226" w:lineRule="auto"/>
              <w:ind w:left="112"/>
            </w:pPr>
            <w:r>
              <w:rPr>
                <w:spacing w:val="9"/>
              </w:rPr>
              <w:t>评标基准价下浮系数</w:t>
            </w:r>
          </w:p>
        </w:tc>
        <w:tc>
          <w:tcPr>
            <w:tcW w:w="5339" w:type="dxa"/>
            <w:vAlign w:val="top"/>
          </w:tcPr>
          <w:p w14:paraId="412315A6">
            <w:pPr>
              <w:spacing w:line="254" w:lineRule="auto"/>
              <w:rPr>
                <w:rFonts w:ascii="Arial"/>
                <w:sz w:val="21"/>
              </w:rPr>
            </w:pPr>
          </w:p>
          <w:p w14:paraId="083BA1FF">
            <w:pPr>
              <w:pStyle w:val="6"/>
              <w:spacing w:before="65" w:line="228" w:lineRule="auto"/>
              <w:ind w:left="111"/>
            </w:pPr>
            <w:r>
              <w:rPr>
                <w:spacing w:val="2"/>
              </w:rPr>
              <w:t>E</w:t>
            </w:r>
            <w:r>
              <w:rPr>
                <w:spacing w:val="-22"/>
              </w:rPr>
              <w:t xml:space="preserve"> </w:t>
            </w:r>
            <w:r>
              <w:rPr>
                <w:spacing w:val="2"/>
              </w:rPr>
              <w:t>的取值：</w:t>
            </w:r>
            <w:r>
              <w:rPr>
                <w:u w:val="single" w:color="auto"/>
              </w:rPr>
              <w:t xml:space="preserve">         </w:t>
            </w:r>
          </w:p>
        </w:tc>
      </w:tr>
      <w:tr w14:paraId="121E4A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855" w:type="dxa"/>
            <w:vAlign w:val="top"/>
          </w:tcPr>
          <w:p w14:paraId="51B50D74">
            <w:pPr>
              <w:spacing w:line="401" w:lineRule="auto"/>
              <w:rPr>
                <w:rFonts w:ascii="Arial"/>
                <w:sz w:val="21"/>
              </w:rPr>
            </w:pPr>
          </w:p>
          <w:p w14:paraId="4ADCAE5F">
            <w:pPr>
              <w:spacing w:before="57"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rPr>
              <w:t>10.2.2</w:t>
            </w:r>
          </w:p>
        </w:tc>
        <w:tc>
          <w:tcPr>
            <w:tcW w:w="2224" w:type="dxa"/>
            <w:vAlign w:val="top"/>
          </w:tcPr>
          <w:p w14:paraId="2D2AC2EE">
            <w:pPr>
              <w:pStyle w:val="6"/>
              <w:spacing w:before="56" w:line="226" w:lineRule="auto"/>
              <w:ind w:left="116"/>
            </w:pPr>
            <w:r>
              <w:rPr>
                <w:spacing w:val="8"/>
              </w:rPr>
              <w:t>不平衡报价系数</w:t>
            </w:r>
          </w:p>
          <w:p w14:paraId="6139A7EE">
            <w:pPr>
              <w:pStyle w:val="6"/>
              <w:spacing w:before="66" w:line="260" w:lineRule="auto"/>
              <w:ind w:left="129" w:right="105" w:hanging="6"/>
            </w:pPr>
            <w:r>
              <w:rPr>
                <w:spacing w:val="21"/>
              </w:rPr>
              <w:t>（启动成本评审工作</w:t>
            </w:r>
            <w:r>
              <w:rPr>
                <w:spacing w:val="3"/>
              </w:rPr>
              <w:t>的前提条件）</w:t>
            </w:r>
          </w:p>
        </w:tc>
        <w:tc>
          <w:tcPr>
            <w:tcW w:w="5339" w:type="dxa"/>
            <w:vAlign w:val="top"/>
          </w:tcPr>
          <w:p w14:paraId="6A2ACAC7">
            <w:pPr>
              <w:spacing w:line="345" w:lineRule="auto"/>
              <w:rPr>
                <w:rFonts w:ascii="Arial"/>
                <w:sz w:val="21"/>
              </w:rPr>
            </w:pPr>
          </w:p>
          <w:p w14:paraId="398298CD">
            <w:pPr>
              <w:pStyle w:val="6"/>
              <w:spacing w:before="65" w:line="228" w:lineRule="auto"/>
              <w:ind w:left="108"/>
            </w:pPr>
            <w:r>
              <w:rPr>
                <w:spacing w:val="3"/>
              </w:rPr>
              <w:t>H</w:t>
            </w:r>
            <w:r>
              <w:rPr>
                <w:spacing w:val="-24"/>
              </w:rPr>
              <w:t xml:space="preserve"> </w:t>
            </w:r>
            <w:r>
              <w:rPr>
                <w:spacing w:val="3"/>
              </w:rPr>
              <w:t>的取值：</w:t>
            </w:r>
            <w:r>
              <w:rPr>
                <w:u w:val="single" w:color="auto"/>
              </w:rPr>
              <w:t xml:space="preserve">         </w:t>
            </w:r>
          </w:p>
        </w:tc>
      </w:tr>
      <w:tr w14:paraId="46E152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5" w:hRule="atLeast"/>
        </w:trPr>
        <w:tc>
          <w:tcPr>
            <w:tcW w:w="855" w:type="dxa"/>
            <w:vAlign w:val="top"/>
          </w:tcPr>
          <w:p w14:paraId="2414B455">
            <w:pPr>
              <w:spacing w:before="297"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rPr>
              <w:t>10.2.3</w:t>
            </w:r>
          </w:p>
        </w:tc>
        <w:tc>
          <w:tcPr>
            <w:tcW w:w="2224" w:type="dxa"/>
            <w:vAlign w:val="top"/>
          </w:tcPr>
          <w:p w14:paraId="4B25DEF1">
            <w:pPr>
              <w:pStyle w:val="6"/>
              <w:spacing w:before="204" w:line="226" w:lineRule="auto"/>
              <w:ind w:left="115"/>
            </w:pPr>
            <w:r>
              <w:rPr>
                <w:spacing w:val="8"/>
              </w:rPr>
              <w:t>期望合理价系数</w:t>
            </w:r>
          </w:p>
        </w:tc>
        <w:tc>
          <w:tcPr>
            <w:tcW w:w="5339" w:type="dxa"/>
            <w:vAlign w:val="top"/>
          </w:tcPr>
          <w:p w14:paraId="736B643F">
            <w:pPr>
              <w:pStyle w:val="6"/>
              <w:spacing w:before="249" w:line="228" w:lineRule="auto"/>
              <w:ind w:left="109"/>
            </w:pPr>
            <w:r>
              <w:rPr>
                <w:spacing w:val="2"/>
              </w:rPr>
              <w:t>D</w:t>
            </w:r>
            <w:r>
              <w:rPr>
                <w:spacing w:val="-20"/>
              </w:rPr>
              <w:t xml:space="preserve"> </w:t>
            </w:r>
            <w:r>
              <w:rPr>
                <w:spacing w:val="2"/>
              </w:rPr>
              <w:t>的取值：</w:t>
            </w:r>
            <w:r>
              <w:rPr>
                <w:u w:val="single" w:color="auto"/>
              </w:rPr>
              <w:t xml:space="preserve">         </w:t>
            </w:r>
          </w:p>
        </w:tc>
      </w:tr>
    </w:tbl>
    <w:p w14:paraId="42B54027">
      <w:pPr>
        <w:rPr>
          <w:rFonts w:ascii="Arial"/>
          <w:sz w:val="21"/>
        </w:rPr>
      </w:pPr>
    </w:p>
    <w:p w14:paraId="2952AB84">
      <w:pPr>
        <w:rPr>
          <w:rFonts w:ascii="Arial" w:hAnsi="Arial" w:eastAsia="Arial" w:cs="Arial"/>
          <w:sz w:val="21"/>
          <w:szCs w:val="21"/>
        </w:rPr>
        <w:sectPr>
          <w:footerReference r:id="rId30" w:type="default"/>
          <w:pgSz w:w="11906" w:h="16839"/>
          <w:pgMar w:top="1431" w:right="1687" w:bottom="1156" w:left="1785" w:header="0" w:footer="994" w:gutter="0"/>
          <w:cols w:space="720" w:num="1"/>
        </w:sectPr>
      </w:pPr>
    </w:p>
    <w:p w14:paraId="2E3FC722">
      <w:pPr>
        <w:spacing w:line="91" w:lineRule="auto"/>
        <w:rPr>
          <w:rFonts w:ascii="Arial"/>
          <w:sz w:val="2"/>
        </w:rPr>
      </w:pPr>
    </w:p>
    <w:tbl>
      <w:tblPr>
        <w:tblStyle w:val="5"/>
        <w:tblW w:w="8418"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2224"/>
        <w:gridCol w:w="5339"/>
      </w:tblGrid>
      <w:tr w14:paraId="5AFD5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7" w:hRule="atLeast"/>
        </w:trPr>
        <w:tc>
          <w:tcPr>
            <w:tcW w:w="855" w:type="dxa"/>
            <w:vAlign w:val="top"/>
          </w:tcPr>
          <w:p w14:paraId="0C466F89">
            <w:pPr>
              <w:spacing w:line="282" w:lineRule="auto"/>
              <w:rPr>
                <w:rFonts w:ascii="Arial"/>
                <w:sz w:val="21"/>
              </w:rPr>
            </w:pPr>
          </w:p>
          <w:p w14:paraId="0C245F04">
            <w:pPr>
              <w:spacing w:before="58"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rPr>
              <w:t>10.2.4</w:t>
            </w:r>
          </w:p>
        </w:tc>
        <w:tc>
          <w:tcPr>
            <w:tcW w:w="2224" w:type="dxa"/>
            <w:vAlign w:val="top"/>
          </w:tcPr>
          <w:p w14:paraId="2873B4AE">
            <w:pPr>
              <w:pStyle w:val="6"/>
              <w:spacing w:before="92" w:line="279" w:lineRule="auto"/>
              <w:ind w:left="124" w:right="107" w:hanging="6"/>
            </w:pPr>
            <w:r>
              <w:rPr>
                <w:spacing w:val="-1"/>
              </w:rPr>
              <w:t>小微企业报价优惠（扣</w:t>
            </w:r>
            <w:r>
              <w:rPr>
                <w:spacing w:val="4"/>
              </w:rPr>
              <w:t>除）系数</w:t>
            </w:r>
          </w:p>
        </w:tc>
        <w:tc>
          <w:tcPr>
            <w:tcW w:w="5339" w:type="dxa"/>
            <w:vAlign w:val="top"/>
          </w:tcPr>
          <w:p w14:paraId="0CC3851C">
            <w:pPr>
              <w:pStyle w:val="6"/>
              <w:spacing w:before="293" w:line="228" w:lineRule="auto"/>
              <w:ind w:left="110"/>
            </w:pPr>
            <w:r>
              <w:rPr>
                <w:spacing w:val="2"/>
              </w:rPr>
              <w:t>P</w:t>
            </w:r>
            <w:r>
              <w:rPr>
                <w:spacing w:val="-21"/>
              </w:rPr>
              <w:t xml:space="preserve"> </w:t>
            </w:r>
            <w:r>
              <w:rPr>
                <w:spacing w:val="2"/>
              </w:rPr>
              <w:t>的取值：</w:t>
            </w:r>
            <w:r>
              <w:rPr>
                <w:u w:val="single" w:color="auto"/>
              </w:rPr>
              <w:t xml:space="preserve">         </w:t>
            </w:r>
          </w:p>
        </w:tc>
      </w:tr>
      <w:tr w14:paraId="5457FC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855" w:type="dxa"/>
            <w:vAlign w:val="top"/>
          </w:tcPr>
          <w:p w14:paraId="525AEB12">
            <w:pPr>
              <w:spacing w:line="398" w:lineRule="auto"/>
              <w:rPr>
                <w:rFonts w:ascii="Arial"/>
                <w:sz w:val="21"/>
              </w:rPr>
            </w:pPr>
          </w:p>
          <w:p w14:paraId="0321D5D7">
            <w:pPr>
              <w:spacing w:before="57"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rPr>
              <w:t>10.2.5</w:t>
            </w:r>
          </w:p>
        </w:tc>
        <w:tc>
          <w:tcPr>
            <w:tcW w:w="2224" w:type="dxa"/>
            <w:vAlign w:val="top"/>
          </w:tcPr>
          <w:p w14:paraId="5DE30ADE">
            <w:pPr>
              <w:pStyle w:val="6"/>
              <w:spacing w:before="52" w:line="270" w:lineRule="auto"/>
              <w:ind w:left="113" w:right="105" w:hanging="1"/>
              <w:jc w:val="both"/>
            </w:pPr>
            <w:r>
              <w:rPr>
                <w:spacing w:val="22"/>
              </w:rPr>
              <w:t>满足条件的联合体或者分包企业报价优惠</w:t>
            </w:r>
            <w:r>
              <w:rPr>
                <w:spacing w:val="7"/>
              </w:rPr>
              <w:t>（扣除）系数</w:t>
            </w:r>
          </w:p>
        </w:tc>
        <w:tc>
          <w:tcPr>
            <w:tcW w:w="5339" w:type="dxa"/>
            <w:vAlign w:val="top"/>
          </w:tcPr>
          <w:p w14:paraId="6E1024AC">
            <w:pPr>
              <w:spacing w:line="342" w:lineRule="auto"/>
              <w:rPr>
                <w:rFonts w:ascii="Arial"/>
                <w:sz w:val="21"/>
              </w:rPr>
            </w:pPr>
          </w:p>
          <w:p w14:paraId="372C092C">
            <w:pPr>
              <w:pStyle w:val="6"/>
              <w:spacing w:before="65" w:line="228" w:lineRule="auto"/>
              <w:ind w:left="112"/>
            </w:pPr>
            <w:r>
              <w:rPr>
                <w:spacing w:val="2"/>
              </w:rPr>
              <w:t>Q</w:t>
            </w:r>
            <w:r>
              <w:rPr>
                <w:spacing w:val="-23"/>
              </w:rPr>
              <w:t xml:space="preserve"> </w:t>
            </w:r>
            <w:r>
              <w:rPr>
                <w:spacing w:val="2"/>
              </w:rPr>
              <w:t>的取值：</w:t>
            </w:r>
            <w:r>
              <w:rPr>
                <w:u w:val="single" w:color="auto"/>
              </w:rPr>
              <w:t xml:space="preserve">         </w:t>
            </w:r>
          </w:p>
        </w:tc>
      </w:tr>
      <w:tr w14:paraId="362347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855" w:type="dxa"/>
            <w:vAlign w:val="top"/>
          </w:tcPr>
          <w:p w14:paraId="53A9CEEC">
            <w:pPr>
              <w:spacing w:line="331" w:lineRule="auto"/>
              <w:rPr>
                <w:rFonts w:ascii="Arial"/>
                <w:sz w:val="21"/>
              </w:rPr>
            </w:pPr>
          </w:p>
          <w:p w14:paraId="72EA3ACE">
            <w:pPr>
              <w:spacing w:before="58"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10.3</w:t>
            </w:r>
          </w:p>
        </w:tc>
        <w:tc>
          <w:tcPr>
            <w:tcW w:w="2224" w:type="dxa"/>
            <w:vAlign w:val="top"/>
          </w:tcPr>
          <w:p w14:paraId="290559AA">
            <w:pPr>
              <w:pStyle w:val="6"/>
              <w:spacing w:before="145" w:line="289" w:lineRule="auto"/>
              <w:ind w:left="114" w:right="645" w:firstLine="17"/>
            </w:pPr>
            <w:r>
              <w:rPr>
                <w:spacing w:val="5"/>
              </w:rPr>
              <w:t>中标后须提交的</w:t>
            </w:r>
            <w:r>
              <w:rPr>
                <w:spacing w:val="7"/>
              </w:rPr>
              <w:t>纸质投标文件</w:t>
            </w:r>
          </w:p>
        </w:tc>
        <w:tc>
          <w:tcPr>
            <w:tcW w:w="5339" w:type="dxa"/>
            <w:vAlign w:val="top"/>
          </w:tcPr>
          <w:p w14:paraId="7F87288C">
            <w:pPr>
              <w:pStyle w:val="6"/>
              <w:spacing w:before="145" w:line="289" w:lineRule="auto"/>
              <w:ind w:left="122" w:right="109" w:hanging="9"/>
            </w:pPr>
            <w:r>
              <w:rPr>
                <w:spacing w:val="7"/>
              </w:rPr>
              <w:t>份数</w:t>
            </w:r>
            <w:r>
              <w:rPr>
                <w:spacing w:val="8"/>
              </w:rPr>
              <w:t>：</w:t>
            </w:r>
            <w:r>
              <w:rPr>
                <w:spacing w:val="5"/>
                <w:u w:val="single" w:color="auto"/>
              </w:rPr>
              <w:t xml:space="preserve">      </w:t>
            </w:r>
            <w:r>
              <w:rPr>
                <w:spacing w:val="31"/>
              </w:rPr>
              <w:t xml:space="preserve"> </w:t>
            </w:r>
            <w:r>
              <w:rPr>
                <w:spacing w:val="8"/>
              </w:rPr>
              <w:t>，</w:t>
            </w:r>
            <w:r>
              <w:rPr>
                <w:spacing w:val="7"/>
              </w:rPr>
              <w:t>中标人提交的纸质投标文件应当与投标时的电子投标文件内容一致。</w:t>
            </w:r>
          </w:p>
        </w:tc>
      </w:tr>
      <w:tr w14:paraId="6527EE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3" w:hRule="atLeast"/>
        </w:trPr>
        <w:tc>
          <w:tcPr>
            <w:tcW w:w="855" w:type="dxa"/>
            <w:vAlign w:val="top"/>
          </w:tcPr>
          <w:p w14:paraId="0F4C79A5">
            <w:pPr>
              <w:spacing w:line="335" w:lineRule="auto"/>
              <w:rPr>
                <w:rFonts w:ascii="Arial"/>
                <w:sz w:val="21"/>
              </w:rPr>
            </w:pPr>
          </w:p>
          <w:p w14:paraId="173A3310">
            <w:pPr>
              <w:spacing w:line="335" w:lineRule="auto"/>
              <w:rPr>
                <w:rFonts w:ascii="Arial"/>
                <w:sz w:val="21"/>
              </w:rPr>
            </w:pPr>
          </w:p>
          <w:p w14:paraId="230438F5">
            <w:pPr>
              <w:spacing w:before="57"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10.4</w:t>
            </w:r>
          </w:p>
        </w:tc>
        <w:tc>
          <w:tcPr>
            <w:tcW w:w="2224" w:type="dxa"/>
            <w:vAlign w:val="top"/>
          </w:tcPr>
          <w:p w14:paraId="6AD42937">
            <w:pPr>
              <w:spacing w:line="313" w:lineRule="auto"/>
              <w:rPr>
                <w:rFonts w:ascii="Arial"/>
                <w:sz w:val="21"/>
              </w:rPr>
            </w:pPr>
          </w:p>
          <w:p w14:paraId="36DEF4A3">
            <w:pPr>
              <w:spacing w:line="313" w:lineRule="auto"/>
              <w:rPr>
                <w:rFonts w:ascii="Arial"/>
                <w:sz w:val="21"/>
              </w:rPr>
            </w:pPr>
          </w:p>
          <w:p w14:paraId="0CA71828">
            <w:pPr>
              <w:pStyle w:val="6"/>
              <w:spacing w:before="65" w:line="228" w:lineRule="auto"/>
              <w:ind w:left="117"/>
            </w:pPr>
            <w:r>
              <w:rPr>
                <w:spacing w:val="6"/>
              </w:rPr>
              <w:t>知识产权</w:t>
            </w:r>
          </w:p>
        </w:tc>
        <w:tc>
          <w:tcPr>
            <w:tcW w:w="5339" w:type="dxa"/>
            <w:vAlign w:val="top"/>
          </w:tcPr>
          <w:p w14:paraId="6B7FC2CF">
            <w:pPr>
              <w:pStyle w:val="6"/>
              <w:spacing w:before="70" w:line="281" w:lineRule="auto"/>
              <w:ind w:left="114" w:right="106" w:firstLine="1"/>
              <w:jc w:val="both"/>
            </w:pPr>
            <w:r>
              <w:rPr>
                <w:spacing w:val="13"/>
              </w:rPr>
              <w:t>构成本招标文件各个组成部分的文件，未经招标人</w:t>
            </w:r>
            <w:r>
              <w:rPr>
                <w:spacing w:val="12"/>
              </w:rPr>
              <w:t>书面</w:t>
            </w:r>
            <w:r>
              <w:rPr>
                <w:spacing w:val="13"/>
              </w:rPr>
              <w:t>同意，投标人不得擅自复印和用于非本招标项目所需的其他目的。招标人全部或者部分使用未中标人投标文件中的技术成果或技术方案时，需征得其书面同意，并不</w:t>
            </w:r>
            <w:r>
              <w:rPr>
                <w:spacing w:val="8"/>
              </w:rPr>
              <w:t>得擅自复印或提供给第三人。</w:t>
            </w:r>
          </w:p>
        </w:tc>
      </w:tr>
      <w:tr w14:paraId="6CFF49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3" w:hRule="atLeast"/>
        </w:trPr>
        <w:tc>
          <w:tcPr>
            <w:tcW w:w="855" w:type="dxa"/>
            <w:vAlign w:val="top"/>
          </w:tcPr>
          <w:p w14:paraId="5BAF8B72">
            <w:pPr>
              <w:spacing w:line="293" w:lineRule="auto"/>
              <w:rPr>
                <w:rFonts w:ascii="Arial"/>
                <w:sz w:val="21"/>
              </w:rPr>
            </w:pPr>
          </w:p>
          <w:p w14:paraId="3A8F0F0E">
            <w:pPr>
              <w:spacing w:line="293" w:lineRule="auto"/>
              <w:rPr>
                <w:rFonts w:ascii="Arial"/>
                <w:sz w:val="21"/>
              </w:rPr>
            </w:pPr>
          </w:p>
          <w:p w14:paraId="6E184DE6">
            <w:pPr>
              <w:spacing w:before="58"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10.5</w:t>
            </w:r>
          </w:p>
        </w:tc>
        <w:tc>
          <w:tcPr>
            <w:tcW w:w="2224" w:type="dxa"/>
            <w:vAlign w:val="top"/>
          </w:tcPr>
          <w:p w14:paraId="045D181C">
            <w:pPr>
              <w:spacing w:line="271" w:lineRule="auto"/>
              <w:rPr>
                <w:rFonts w:ascii="Arial"/>
                <w:sz w:val="21"/>
              </w:rPr>
            </w:pPr>
          </w:p>
          <w:p w14:paraId="4785EE74">
            <w:pPr>
              <w:spacing w:line="272" w:lineRule="auto"/>
              <w:rPr>
                <w:rFonts w:ascii="Arial"/>
                <w:sz w:val="21"/>
              </w:rPr>
            </w:pPr>
          </w:p>
          <w:p w14:paraId="0A0D5149">
            <w:pPr>
              <w:pStyle w:val="6"/>
              <w:spacing w:before="65" w:line="228" w:lineRule="auto"/>
              <w:ind w:left="133"/>
            </w:pPr>
            <w:r>
              <w:rPr>
                <w:spacing w:val="2"/>
              </w:rPr>
              <w:t>同义词语</w:t>
            </w:r>
          </w:p>
        </w:tc>
        <w:tc>
          <w:tcPr>
            <w:tcW w:w="5339" w:type="dxa"/>
            <w:vAlign w:val="top"/>
          </w:tcPr>
          <w:p w14:paraId="362CF45A">
            <w:pPr>
              <w:pStyle w:val="6"/>
              <w:spacing w:before="142" w:line="289" w:lineRule="auto"/>
              <w:ind w:left="114" w:right="109" w:firstLine="1"/>
              <w:jc w:val="both"/>
            </w:pPr>
            <w:r>
              <w:rPr>
                <w:spacing w:val="3"/>
              </w:rPr>
              <w:t>构成招标文件组成部分的“通用合同条款</w:t>
            </w:r>
            <w:r>
              <w:rPr>
                <w:spacing w:val="-68"/>
              </w:rPr>
              <w:t xml:space="preserve"> </w:t>
            </w:r>
            <w:r>
              <w:rPr>
                <w:spacing w:val="3"/>
              </w:rPr>
              <w:t>”“专用合同条</w:t>
            </w:r>
            <w:r>
              <w:rPr>
                <w:spacing w:val="1"/>
              </w:rPr>
              <w:t>款</w:t>
            </w:r>
            <w:r>
              <w:rPr>
                <w:spacing w:val="-71"/>
              </w:rPr>
              <w:t xml:space="preserve"> </w:t>
            </w:r>
            <w:r>
              <w:rPr>
                <w:spacing w:val="1"/>
              </w:rPr>
              <w:t>”“技术标准和要求</w:t>
            </w:r>
            <w:r>
              <w:rPr>
                <w:spacing w:val="-73"/>
              </w:rPr>
              <w:t xml:space="preserve"> </w:t>
            </w:r>
            <w:r>
              <w:rPr>
                <w:spacing w:val="1"/>
              </w:rPr>
              <w:t>”和“工程量清单</w:t>
            </w:r>
            <w:r>
              <w:rPr>
                <w:spacing w:val="-72"/>
              </w:rPr>
              <w:t xml:space="preserve"> </w:t>
            </w:r>
            <w:r>
              <w:rPr>
                <w:spacing w:val="1"/>
              </w:rPr>
              <w:t>”等章节中出现</w:t>
            </w:r>
            <w:r>
              <w:rPr>
                <w:spacing w:val="2"/>
              </w:rPr>
              <w:t>的措辞“发包人</w:t>
            </w:r>
            <w:r>
              <w:rPr>
                <w:spacing w:val="-70"/>
              </w:rPr>
              <w:t xml:space="preserve"> </w:t>
            </w:r>
            <w:r>
              <w:rPr>
                <w:spacing w:val="2"/>
              </w:rPr>
              <w:t>”和“承包人</w:t>
            </w:r>
            <w:r>
              <w:rPr>
                <w:spacing w:val="-70"/>
              </w:rPr>
              <w:t xml:space="preserve"> </w:t>
            </w:r>
            <w:r>
              <w:rPr>
                <w:spacing w:val="2"/>
              </w:rPr>
              <w:t>”，在招标投标阶段应当分</w:t>
            </w:r>
            <w:r>
              <w:rPr>
                <w:spacing w:val="5"/>
              </w:rPr>
              <w:t>别按“招标人</w:t>
            </w:r>
            <w:r>
              <w:rPr>
                <w:spacing w:val="-64"/>
              </w:rPr>
              <w:t xml:space="preserve"> </w:t>
            </w:r>
            <w:r>
              <w:rPr>
                <w:spacing w:val="5"/>
              </w:rPr>
              <w:t>”和“投标人</w:t>
            </w:r>
            <w:r>
              <w:rPr>
                <w:spacing w:val="-70"/>
              </w:rPr>
              <w:t xml:space="preserve"> </w:t>
            </w:r>
            <w:r>
              <w:rPr>
                <w:spacing w:val="5"/>
              </w:rPr>
              <w:t>”进行理解。</w:t>
            </w:r>
          </w:p>
        </w:tc>
      </w:tr>
      <w:tr w14:paraId="059258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9" w:hRule="atLeast"/>
        </w:trPr>
        <w:tc>
          <w:tcPr>
            <w:tcW w:w="855" w:type="dxa"/>
            <w:vAlign w:val="top"/>
          </w:tcPr>
          <w:p w14:paraId="34DB22E8">
            <w:pPr>
              <w:spacing w:line="250" w:lineRule="auto"/>
              <w:rPr>
                <w:rFonts w:ascii="Arial"/>
                <w:sz w:val="21"/>
              </w:rPr>
            </w:pPr>
          </w:p>
          <w:p w14:paraId="72438819">
            <w:pPr>
              <w:spacing w:line="250" w:lineRule="auto"/>
              <w:rPr>
                <w:rFonts w:ascii="Arial"/>
                <w:sz w:val="21"/>
              </w:rPr>
            </w:pPr>
          </w:p>
          <w:p w14:paraId="5011F753">
            <w:pPr>
              <w:spacing w:line="251" w:lineRule="auto"/>
              <w:rPr>
                <w:rFonts w:ascii="Arial"/>
                <w:sz w:val="21"/>
              </w:rPr>
            </w:pPr>
          </w:p>
          <w:p w14:paraId="1CDE3283">
            <w:pPr>
              <w:spacing w:line="251" w:lineRule="auto"/>
              <w:rPr>
                <w:rFonts w:ascii="Arial"/>
                <w:sz w:val="21"/>
              </w:rPr>
            </w:pPr>
          </w:p>
          <w:p w14:paraId="2E56DE97">
            <w:pPr>
              <w:spacing w:line="251" w:lineRule="auto"/>
              <w:rPr>
                <w:rFonts w:ascii="Arial"/>
                <w:sz w:val="21"/>
              </w:rPr>
            </w:pPr>
          </w:p>
          <w:p w14:paraId="3D564E91">
            <w:pPr>
              <w:spacing w:line="251" w:lineRule="auto"/>
              <w:rPr>
                <w:rFonts w:ascii="Arial"/>
                <w:sz w:val="21"/>
              </w:rPr>
            </w:pPr>
          </w:p>
          <w:p w14:paraId="5D93E6C7">
            <w:pPr>
              <w:spacing w:before="58"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10.6</w:t>
            </w:r>
          </w:p>
        </w:tc>
        <w:tc>
          <w:tcPr>
            <w:tcW w:w="2224" w:type="dxa"/>
            <w:vAlign w:val="top"/>
          </w:tcPr>
          <w:p w14:paraId="7D2D45CC">
            <w:pPr>
              <w:spacing w:line="243" w:lineRule="auto"/>
              <w:rPr>
                <w:rFonts w:ascii="Arial"/>
                <w:sz w:val="21"/>
              </w:rPr>
            </w:pPr>
          </w:p>
          <w:p w14:paraId="731C721E">
            <w:pPr>
              <w:spacing w:line="243" w:lineRule="auto"/>
              <w:rPr>
                <w:rFonts w:ascii="Arial"/>
                <w:sz w:val="21"/>
              </w:rPr>
            </w:pPr>
          </w:p>
          <w:p w14:paraId="5B839430">
            <w:pPr>
              <w:spacing w:line="243" w:lineRule="auto"/>
              <w:rPr>
                <w:rFonts w:ascii="Arial"/>
                <w:sz w:val="21"/>
              </w:rPr>
            </w:pPr>
          </w:p>
          <w:p w14:paraId="543D8ADA">
            <w:pPr>
              <w:spacing w:line="244" w:lineRule="auto"/>
              <w:rPr>
                <w:rFonts w:ascii="Arial"/>
                <w:sz w:val="21"/>
              </w:rPr>
            </w:pPr>
          </w:p>
          <w:p w14:paraId="081D7761">
            <w:pPr>
              <w:spacing w:line="244" w:lineRule="auto"/>
              <w:rPr>
                <w:rFonts w:ascii="Arial"/>
                <w:sz w:val="21"/>
              </w:rPr>
            </w:pPr>
          </w:p>
          <w:p w14:paraId="4878863D">
            <w:pPr>
              <w:spacing w:line="244" w:lineRule="auto"/>
              <w:rPr>
                <w:rFonts w:ascii="Arial"/>
                <w:sz w:val="21"/>
              </w:rPr>
            </w:pPr>
          </w:p>
          <w:p w14:paraId="499A0221">
            <w:pPr>
              <w:pStyle w:val="6"/>
              <w:spacing w:before="65" w:line="228" w:lineRule="auto"/>
              <w:ind w:left="112"/>
            </w:pPr>
            <w:r>
              <w:rPr>
                <w:spacing w:val="7"/>
              </w:rPr>
              <w:t>解释权</w:t>
            </w:r>
          </w:p>
        </w:tc>
        <w:tc>
          <w:tcPr>
            <w:tcW w:w="5339" w:type="dxa"/>
            <w:vAlign w:val="top"/>
          </w:tcPr>
          <w:p w14:paraId="68D61818">
            <w:pPr>
              <w:pStyle w:val="6"/>
              <w:spacing w:before="134" w:line="288" w:lineRule="auto"/>
              <w:ind w:left="112" w:right="56" w:firstLine="3"/>
            </w:pPr>
            <w:r>
              <w:rPr>
                <w:spacing w:val="6"/>
              </w:rPr>
              <w:t>构成本招标文件的各个组成文件应互为解释，互为说明；</w:t>
            </w:r>
            <w:r>
              <w:rPr>
                <w:spacing w:val="11"/>
              </w:rPr>
              <w:t>如有不明确或不一致，构成合同文件组成内容的，</w:t>
            </w:r>
            <w:r>
              <w:rPr>
                <w:spacing w:val="-51"/>
              </w:rPr>
              <w:t xml:space="preserve"> </w:t>
            </w:r>
            <w:r>
              <w:rPr>
                <w:spacing w:val="11"/>
              </w:rPr>
              <w:t>以合</w:t>
            </w:r>
            <w:r>
              <w:rPr>
                <w:spacing w:val="13"/>
              </w:rPr>
              <w:t>同文件约定内容为准，且以专用合同条款约定的合同文件优先顺序解释；除招标文件中有特别规定外，仅适用</w:t>
            </w:r>
            <w:r>
              <w:rPr>
                <w:spacing w:val="4"/>
              </w:rPr>
              <w:t>于招标投标阶段的规定，按招标公告（投标邀请书）、投</w:t>
            </w:r>
            <w:r>
              <w:rPr>
                <w:spacing w:val="12"/>
              </w:rPr>
              <w:t>标人须知、评标办法、投标文件格式的先后顺序解释；</w:t>
            </w:r>
            <w:r>
              <w:rPr>
                <w:spacing w:val="11"/>
              </w:rPr>
              <w:t>同一组成文件中就同一事项的规定或约定不一致的，</w:t>
            </w:r>
            <w:r>
              <w:rPr>
                <w:spacing w:val="-51"/>
              </w:rPr>
              <w:t xml:space="preserve"> </w:t>
            </w:r>
            <w:r>
              <w:rPr>
                <w:spacing w:val="11"/>
              </w:rPr>
              <w:t>以编排顺序在后者为准；</w:t>
            </w:r>
            <w:r>
              <w:rPr>
                <w:spacing w:val="-51"/>
              </w:rPr>
              <w:t xml:space="preserve"> </w:t>
            </w:r>
            <w:r>
              <w:rPr>
                <w:spacing w:val="11"/>
              </w:rPr>
              <w:t>同一组成文件不同版本之间有不一致的，</w:t>
            </w:r>
            <w:r>
              <w:rPr>
                <w:spacing w:val="-51"/>
              </w:rPr>
              <w:t xml:space="preserve"> </w:t>
            </w:r>
            <w:r>
              <w:rPr>
                <w:spacing w:val="11"/>
              </w:rPr>
              <w:t>以形成时间在后者为准。按本款前述规定仍不</w:t>
            </w:r>
            <w:r>
              <w:rPr>
                <w:spacing w:val="8"/>
              </w:rPr>
              <w:t>能形成结论的，由招标人负责解释。</w:t>
            </w:r>
          </w:p>
        </w:tc>
      </w:tr>
      <w:tr w14:paraId="39FD6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855" w:type="dxa"/>
            <w:vAlign w:val="top"/>
          </w:tcPr>
          <w:p w14:paraId="5BC358E3">
            <w:pPr>
              <w:spacing w:before="272"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10.7</w:t>
            </w:r>
          </w:p>
        </w:tc>
        <w:tc>
          <w:tcPr>
            <w:tcW w:w="2224" w:type="dxa"/>
            <w:vAlign w:val="top"/>
          </w:tcPr>
          <w:p w14:paraId="260C8F3A">
            <w:pPr>
              <w:pStyle w:val="6"/>
              <w:spacing w:before="235" w:line="228" w:lineRule="auto"/>
              <w:ind w:left="117"/>
            </w:pPr>
            <w:r>
              <w:rPr>
                <w:spacing w:val="8"/>
              </w:rPr>
              <w:t>交易平台信息服务费</w:t>
            </w:r>
          </w:p>
        </w:tc>
        <w:tc>
          <w:tcPr>
            <w:tcW w:w="5339" w:type="dxa"/>
            <w:vAlign w:val="top"/>
          </w:tcPr>
          <w:p w14:paraId="60BAE21C">
            <w:pPr>
              <w:spacing w:before="268" w:line="199" w:lineRule="auto"/>
              <w:ind w:left="146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71655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4" w:hRule="atLeast"/>
        </w:trPr>
        <w:tc>
          <w:tcPr>
            <w:tcW w:w="855" w:type="dxa"/>
            <w:vAlign w:val="top"/>
          </w:tcPr>
          <w:p w14:paraId="6F256F3D">
            <w:pPr>
              <w:spacing w:line="252" w:lineRule="auto"/>
              <w:rPr>
                <w:rFonts w:ascii="Arial"/>
                <w:sz w:val="21"/>
              </w:rPr>
            </w:pPr>
          </w:p>
          <w:p w14:paraId="6D8FE3F6">
            <w:pPr>
              <w:spacing w:line="252" w:lineRule="auto"/>
              <w:rPr>
                <w:rFonts w:ascii="Arial"/>
                <w:sz w:val="21"/>
              </w:rPr>
            </w:pPr>
          </w:p>
          <w:p w14:paraId="076725F1">
            <w:pPr>
              <w:spacing w:line="252" w:lineRule="auto"/>
              <w:rPr>
                <w:rFonts w:ascii="Arial"/>
                <w:sz w:val="21"/>
              </w:rPr>
            </w:pPr>
          </w:p>
          <w:p w14:paraId="17B3C8B0">
            <w:pPr>
              <w:spacing w:line="253" w:lineRule="auto"/>
              <w:rPr>
                <w:rFonts w:ascii="Arial"/>
                <w:sz w:val="21"/>
              </w:rPr>
            </w:pPr>
          </w:p>
          <w:p w14:paraId="0ADC6873">
            <w:pPr>
              <w:spacing w:line="253" w:lineRule="auto"/>
              <w:rPr>
                <w:rFonts w:ascii="Arial"/>
                <w:sz w:val="21"/>
              </w:rPr>
            </w:pPr>
          </w:p>
          <w:p w14:paraId="518FC7B3">
            <w:pPr>
              <w:spacing w:before="58"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10.8</w:t>
            </w:r>
          </w:p>
        </w:tc>
        <w:tc>
          <w:tcPr>
            <w:tcW w:w="2224" w:type="dxa"/>
            <w:vAlign w:val="top"/>
          </w:tcPr>
          <w:p w14:paraId="4B3F7576">
            <w:pPr>
              <w:spacing w:line="241" w:lineRule="auto"/>
              <w:rPr>
                <w:rFonts w:ascii="Arial"/>
                <w:sz w:val="21"/>
              </w:rPr>
            </w:pPr>
          </w:p>
          <w:p w14:paraId="2936081D">
            <w:pPr>
              <w:spacing w:line="241" w:lineRule="auto"/>
              <w:rPr>
                <w:rFonts w:ascii="Arial"/>
                <w:sz w:val="21"/>
              </w:rPr>
            </w:pPr>
          </w:p>
          <w:p w14:paraId="0FAD1CDA">
            <w:pPr>
              <w:spacing w:line="242" w:lineRule="auto"/>
              <w:rPr>
                <w:rFonts w:ascii="Arial"/>
                <w:sz w:val="21"/>
              </w:rPr>
            </w:pPr>
          </w:p>
          <w:p w14:paraId="4292C9C2">
            <w:pPr>
              <w:spacing w:line="242" w:lineRule="auto"/>
              <w:rPr>
                <w:rFonts w:ascii="Arial"/>
                <w:sz w:val="21"/>
              </w:rPr>
            </w:pPr>
          </w:p>
          <w:p w14:paraId="23E4481D">
            <w:pPr>
              <w:spacing w:line="242" w:lineRule="auto"/>
              <w:rPr>
                <w:rFonts w:ascii="Arial"/>
                <w:sz w:val="21"/>
              </w:rPr>
            </w:pPr>
          </w:p>
          <w:p w14:paraId="519DA15F">
            <w:pPr>
              <w:pStyle w:val="6"/>
              <w:spacing w:before="71" w:line="220" w:lineRule="auto"/>
              <w:ind w:left="114"/>
              <w:rPr>
                <w:sz w:val="22"/>
                <w:szCs w:val="22"/>
              </w:rPr>
            </w:pPr>
            <w:r>
              <w:rPr>
                <w:spacing w:val="5"/>
                <w:sz w:val="22"/>
                <w:szCs w:val="22"/>
              </w:rPr>
              <w:t>招标代理服务费</w:t>
            </w:r>
          </w:p>
        </w:tc>
        <w:tc>
          <w:tcPr>
            <w:tcW w:w="5339" w:type="dxa"/>
            <w:vAlign w:val="top"/>
          </w:tcPr>
          <w:p w14:paraId="33961895">
            <w:pPr>
              <w:pStyle w:val="6"/>
              <w:spacing w:before="206" w:line="172" w:lineRule="auto"/>
              <w:ind w:left="128"/>
            </w:pPr>
            <w:r>
              <w:rPr>
                <w:rFonts w:ascii="Times New Roman" w:hAnsi="Times New Roman" w:eastAsia="Times New Roman" w:cs="Times New Roman"/>
                <w:spacing w:val="7"/>
                <w:sz w:val="31"/>
                <w:szCs w:val="31"/>
              </w:rPr>
              <w:t>□</w:t>
            </w:r>
            <w:r>
              <w:rPr>
                <w:spacing w:val="7"/>
              </w:rPr>
              <w:t>本次招标没有招标代理服务费。</w:t>
            </w:r>
          </w:p>
          <w:p w14:paraId="463220CB">
            <w:pPr>
              <w:pStyle w:val="6"/>
              <w:spacing w:before="130" w:line="218" w:lineRule="auto"/>
              <w:ind w:left="112" w:right="207" w:firstLine="15"/>
            </w:pPr>
            <w:r>
              <w:rPr>
                <w:rFonts w:ascii="Times New Roman" w:hAnsi="Times New Roman" w:eastAsia="Times New Roman" w:cs="Times New Roman"/>
                <w:spacing w:val="8"/>
                <w:sz w:val="31"/>
                <w:szCs w:val="31"/>
              </w:rPr>
              <w:t>□</w:t>
            </w:r>
            <w:r>
              <w:rPr>
                <w:spacing w:val="8"/>
              </w:rPr>
              <w:t>本次招标有招标代理服务费。根据招标人和招标代理</w:t>
            </w:r>
            <w:r>
              <w:rPr>
                <w:spacing w:val="9"/>
              </w:rPr>
              <w:t>机构委托代理合同的约定，本项目招标代理服务费：</w:t>
            </w:r>
          </w:p>
          <w:p w14:paraId="75C0BAAC">
            <w:pPr>
              <w:pStyle w:val="6"/>
              <w:spacing w:before="62" w:line="172" w:lineRule="auto"/>
              <w:ind w:left="447"/>
            </w:pPr>
            <w:r>
              <w:rPr>
                <w:rFonts w:ascii="Times New Roman" w:hAnsi="Times New Roman" w:eastAsia="Times New Roman" w:cs="Times New Roman"/>
                <w:sz w:val="31"/>
                <w:szCs w:val="31"/>
              </w:rPr>
              <w:t>□</w:t>
            </w:r>
            <w:r>
              <w:rPr>
                <w:rFonts w:ascii="Times New Roman" w:hAnsi="Times New Roman" w:eastAsia="Times New Roman" w:cs="Times New Roman"/>
                <w:spacing w:val="-39"/>
                <w:sz w:val="31"/>
                <w:szCs w:val="31"/>
              </w:rPr>
              <w:t xml:space="preserve"> </w:t>
            </w:r>
            <w:r>
              <w:t>由招标人支付。</w:t>
            </w:r>
          </w:p>
          <w:p w14:paraId="21597456">
            <w:pPr>
              <w:pStyle w:val="6"/>
              <w:spacing w:before="102" w:line="172" w:lineRule="auto"/>
              <w:ind w:left="447"/>
            </w:pPr>
            <w:r>
              <w:rPr>
                <w:rFonts w:ascii="Times New Roman" w:hAnsi="Times New Roman" w:eastAsia="Times New Roman" w:cs="Times New Roman"/>
                <w:sz w:val="31"/>
                <w:szCs w:val="31"/>
              </w:rPr>
              <w:t>□</w:t>
            </w:r>
            <w:r>
              <w:rPr>
                <w:rFonts w:ascii="Times New Roman" w:hAnsi="Times New Roman" w:eastAsia="Times New Roman" w:cs="Times New Roman"/>
                <w:spacing w:val="-39"/>
                <w:sz w:val="31"/>
                <w:szCs w:val="31"/>
              </w:rPr>
              <w:t xml:space="preserve"> </w:t>
            </w:r>
            <w:r>
              <w:t>由中标人支付。</w:t>
            </w:r>
          </w:p>
          <w:p w14:paraId="60741C0B">
            <w:pPr>
              <w:pStyle w:val="6"/>
              <w:spacing w:before="46" w:line="228" w:lineRule="auto"/>
              <w:ind w:left="637"/>
            </w:pPr>
            <w:r>
              <w:rPr>
                <w:spacing w:val="7"/>
              </w:rPr>
              <w:t>支付标准</w:t>
            </w:r>
            <w:r>
              <w:rPr>
                <w:spacing w:val="6"/>
              </w:rPr>
              <w:t>：</w:t>
            </w:r>
            <w:r>
              <w:rPr>
                <w:spacing w:val="1"/>
                <w:u w:val="single" w:color="auto"/>
              </w:rPr>
              <w:t xml:space="preserve">                            </w:t>
            </w:r>
            <w:r>
              <w:rPr>
                <w:spacing w:val="14"/>
              </w:rPr>
              <w:t xml:space="preserve"> </w:t>
            </w:r>
            <w:r>
              <w:rPr>
                <w:spacing w:val="6"/>
              </w:rPr>
              <w:t>；</w:t>
            </w:r>
          </w:p>
          <w:p w14:paraId="08FBD1FC">
            <w:pPr>
              <w:pStyle w:val="6"/>
              <w:spacing w:before="65" w:line="228" w:lineRule="auto"/>
              <w:ind w:left="637"/>
            </w:pPr>
            <w:r>
              <w:rPr>
                <w:spacing w:val="7"/>
              </w:rPr>
              <w:t>支付方式</w:t>
            </w:r>
            <w:r>
              <w:rPr>
                <w:spacing w:val="6"/>
              </w:rPr>
              <w:t>：</w:t>
            </w:r>
            <w:r>
              <w:rPr>
                <w:spacing w:val="1"/>
                <w:u w:val="single" w:color="auto"/>
              </w:rPr>
              <w:t xml:space="preserve">                            </w:t>
            </w:r>
            <w:r>
              <w:rPr>
                <w:spacing w:val="14"/>
              </w:rPr>
              <w:t xml:space="preserve"> </w:t>
            </w:r>
            <w:r>
              <w:rPr>
                <w:spacing w:val="6"/>
              </w:rPr>
              <w:t>；</w:t>
            </w:r>
          </w:p>
          <w:p w14:paraId="143B0D3F">
            <w:pPr>
              <w:pStyle w:val="6"/>
              <w:spacing w:before="65" w:line="228" w:lineRule="auto"/>
              <w:ind w:left="637"/>
            </w:pPr>
            <w:r>
              <w:rPr>
                <w:spacing w:val="7"/>
              </w:rPr>
              <w:t>支付时间：</w:t>
            </w:r>
            <w:r>
              <w:rPr>
                <w:spacing w:val="1"/>
                <w:u w:val="single" w:color="auto"/>
              </w:rPr>
              <w:t xml:space="preserve">                            </w:t>
            </w:r>
            <w:r>
              <w:rPr>
                <w:spacing w:val="7"/>
              </w:rPr>
              <w:t xml:space="preserve"> 。</w:t>
            </w:r>
          </w:p>
        </w:tc>
      </w:tr>
    </w:tbl>
    <w:p w14:paraId="78494345">
      <w:pPr>
        <w:rPr>
          <w:rFonts w:ascii="Arial"/>
          <w:sz w:val="21"/>
        </w:rPr>
      </w:pPr>
    </w:p>
    <w:p w14:paraId="2DA1F789">
      <w:pPr>
        <w:rPr>
          <w:rFonts w:ascii="Arial" w:hAnsi="Arial" w:eastAsia="Arial" w:cs="Arial"/>
          <w:sz w:val="21"/>
          <w:szCs w:val="21"/>
        </w:rPr>
        <w:sectPr>
          <w:footerReference r:id="rId31" w:type="default"/>
          <w:pgSz w:w="11906" w:h="16839"/>
          <w:pgMar w:top="1431" w:right="1687" w:bottom="1156" w:left="1785" w:header="0" w:footer="994" w:gutter="0"/>
          <w:cols w:space="720" w:num="1"/>
        </w:sectPr>
      </w:pPr>
    </w:p>
    <w:p w14:paraId="518203F6">
      <w:pPr>
        <w:spacing w:line="91" w:lineRule="auto"/>
        <w:rPr>
          <w:rFonts w:ascii="Arial"/>
          <w:sz w:val="2"/>
        </w:rPr>
      </w:pPr>
    </w:p>
    <w:tbl>
      <w:tblPr>
        <w:tblStyle w:val="5"/>
        <w:tblW w:w="8418"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2224"/>
        <w:gridCol w:w="5339"/>
      </w:tblGrid>
      <w:tr w14:paraId="22B88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4" w:hRule="atLeast"/>
        </w:trPr>
        <w:tc>
          <w:tcPr>
            <w:tcW w:w="855" w:type="dxa"/>
            <w:vAlign w:val="top"/>
          </w:tcPr>
          <w:p w14:paraId="467A423A">
            <w:pPr>
              <w:spacing w:line="255" w:lineRule="auto"/>
              <w:rPr>
                <w:rFonts w:ascii="Arial"/>
                <w:sz w:val="21"/>
              </w:rPr>
            </w:pPr>
          </w:p>
          <w:p w14:paraId="217663E4">
            <w:pPr>
              <w:spacing w:line="255" w:lineRule="auto"/>
              <w:rPr>
                <w:rFonts w:ascii="Arial"/>
                <w:sz w:val="21"/>
              </w:rPr>
            </w:pPr>
          </w:p>
          <w:p w14:paraId="5CC204B0">
            <w:pPr>
              <w:spacing w:line="255" w:lineRule="auto"/>
              <w:rPr>
                <w:rFonts w:ascii="Arial"/>
                <w:sz w:val="21"/>
              </w:rPr>
            </w:pPr>
          </w:p>
          <w:p w14:paraId="587A9E9F">
            <w:pPr>
              <w:spacing w:line="255" w:lineRule="auto"/>
              <w:rPr>
                <w:rFonts w:ascii="Arial"/>
                <w:sz w:val="21"/>
              </w:rPr>
            </w:pPr>
          </w:p>
          <w:p w14:paraId="1CCF844B">
            <w:pPr>
              <w:spacing w:line="255" w:lineRule="auto"/>
              <w:rPr>
                <w:rFonts w:ascii="Arial"/>
                <w:sz w:val="21"/>
              </w:rPr>
            </w:pPr>
          </w:p>
          <w:p w14:paraId="615FB0A3">
            <w:pPr>
              <w:spacing w:before="57"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10.9</w:t>
            </w:r>
          </w:p>
        </w:tc>
        <w:tc>
          <w:tcPr>
            <w:tcW w:w="2224" w:type="dxa"/>
            <w:vAlign w:val="top"/>
          </w:tcPr>
          <w:p w14:paraId="79D1DFBE">
            <w:pPr>
              <w:spacing w:line="269" w:lineRule="auto"/>
              <w:rPr>
                <w:rFonts w:ascii="Arial"/>
                <w:sz w:val="21"/>
              </w:rPr>
            </w:pPr>
          </w:p>
          <w:p w14:paraId="3A2D8B19">
            <w:pPr>
              <w:spacing w:line="269" w:lineRule="auto"/>
              <w:rPr>
                <w:rFonts w:ascii="Arial"/>
                <w:sz w:val="21"/>
              </w:rPr>
            </w:pPr>
          </w:p>
          <w:p w14:paraId="5B48FD7E">
            <w:pPr>
              <w:spacing w:line="269" w:lineRule="auto"/>
              <w:rPr>
                <w:rFonts w:ascii="Arial"/>
                <w:sz w:val="21"/>
              </w:rPr>
            </w:pPr>
          </w:p>
          <w:p w14:paraId="018E6623">
            <w:pPr>
              <w:spacing w:line="269" w:lineRule="auto"/>
              <w:rPr>
                <w:rFonts w:ascii="Arial"/>
                <w:sz w:val="21"/>
              </w:rPr>
            </w:pPr>
          </w:p>
          <w:p w14:paraId="340EE987">
            <w:pPr>
              <w:pStyle w:val="6"/>
              <w:spacing w:before="65" w:line="227" w:lineRule="auto"/>
              <w:ind w:left="112"/>
            </w:pPr>
            <w:r>
              <w:rPr>
                <w:spacing w:val="7"/>
              </w:rPr>
              <w:t>政府采购</w:t>
            </w:r>
          </w:p>
          <w:p w14:paraId="0D37F40C">
            <w:pPr>
              <w:pStyle w:val="6"/>
              <w:spacing w:before="66" w:line="228" w:lineRule="auto"/>
              <w:ind w:left="113"/>
            </w:pPr>
            <w:r>
              <w:rPr>
                <w:spacing w:val="8"/>
              </w:rPr>
              <w:t>合同融资政策</w:t>
            </w:r>
          </w:p>
        </w:tc>
        <w:tc>
          <w:tcPr>
            <w:tcW w:w="5339" w:type="dxa"/>
            <w:vAlign w:val="top"/>
          </w:tcPr>
          <w:p w14:paraId="77318F3F">
            <w:pPr>
              <w:pStyle w:val="6"/>
              <w:spacing w:before="56" w:line="288" w:lineRule="auto"/>
              <w:ind w:left="112" w:right="106"/>
            </w:pPr>
            <w:r>
              <w:rPr>
                <w:spacing w:val="4"/>
              </w:rPr>
              <w:t>政府采购合同融资（以下简称“政采贷”）指参与政府采</w:t>
            </w:r>
            <w:r>
              <w:rPr>
                <w:spacing w:val="13"/>
              </w:rPr>
              <w:t>购活动的中小微企业，在获得政府采购中标（成交）通</w:t>
            </w:r>
            <w:r>
              <w:rPr>
                <w:spacing w:val="11"/>
              </w:rPr>
              <w:t>知书后，即可向开展“政采贷</w:t>
            </w:r>
            <w:r>
              <w:rPr>
                <w:spacing w:val="-53"/>
              </w:rPr>
              <w:t xml:space="preserve"> </w:t>
            </w:r>
            <w:r>
              <w:rPr>
                <w:spacing w:val="11"/>
              </w:rPr>
              <w:t>”业务的金融机构提出申</w:t>
            </w:r>
            <w:r>
              <w:rPr>
                <w:spacing w:val="13"/>
              </w:rPr>
              <w:t>请，金融机构依据政府采购中标（成交）通知书和政府</w:t>
            </w:r>
            <w:r>
              <w:rPr>
                <w:spacing w:val="9"/>
              </w:rPr>
              <w:t>采购合同，为中小微企业提供融资服务。</w:t>
            </w:r>
          </w:p>
          <w:p w14:paraId="21593CA4">
            <w:pPr>
              <w:pStyle w:val="6"/>
              <w:tabs>
                <w:tab w:val="left" w:pos="202"/>
              </w:tabs>
              <w:spacing w:before="2" w:line="285" w:lineRule="auto"/>
              <w:ind w:left="114" w:right="109" w:hanging="10"/>
            </w:pPr>
            <w:r>
              <w:rPr>
                <w:u w:val="single" w:color="auto"/>
              </w:rPr>
              <w:tab/>
            </w:r>
            <w:r>
              <w:rPr>
                <w:u w:val="single" w:color="auto"/>
              </w:rPr>
              <w:tab/>
            </w:r>
            <w:r>
              <w:rPr>
                <w:spacing w:val="-1"/>
                <w:u w:val="single" w:color="auto"/>
              </w:rPr>
              <w:t>“政采贷</w:t>
            </w:r>
            <w:r>
              <w:rPr>
                <w:spacing w:val="-55"/>
                <w:u w:val="single" w:color="auto"/>
              </w:rPr>
              <w:t xml:space="preserve"> </w:t>
            </w:r>
            <w:r>
              <w:rPr>
                <w:spacing w:val="-1"/>
                <w:u w:val="single" w:color="auto"/>
              </w:rPr>
              <w:t>”业务政策：《湖北省政府采购合同融资实施方案》（鄂财采发</w:t>
            </w:r>
            <w:r>
              <w:rPr>
                <w:rFonts w:ascii="Times New Roman" w:hAnsi="Times New Roman" w:eastAsia="Times New Roman" w:cs="Times New Roman"/>
                <w:spacing w:val="-1"/>
                <w:u w:val="single" w:color="auto"/>
              </w:rPr>
              <w:t>[</w:t>
            </w:r>
            <w:r>
              <w:fldChar w:fldCharType="begin"/>
            </w:r>
            <w:r>
              <w:instrText xml:space="preserve"> HYPERLINK \l "bookmark441" </w:instrText>
            </w:r>
            <w:r>
              <w:fldChar w:fldCharType="separate"/>
            </w:r>
            <w:r>
              <w:rPr>
                <w:rFonts w:ascii="Times New Roman" w:hAnsi="Times New Roman" w:eastAsia="Times New Roman" w:cs="Times New Roman"/>
                <w:spacing w:val="-1"/>
                <w:u w:val="single" w:color="auto"/>
              </w:rPr>
              <w:t>2020</w:t>
            </w:r>
            <w:r>
              <w:rPr>
                <w:rFonts w:ascii="Times New Roman" w:hAnsi="Times New Roman" w:eastAsia="Times New Roman" w:cs="Times New Roman"/>
                <w:spacing w:val="-1"/>
                <w:u w:val="single" w:color="auto"/>
              </w:rPr>
              <w:fldChar w:fldCharType="end"/>
            </w:r>
            <w:r>
              <w:rPr>
                <w:rFonts w:ascii="Times New Roman" w:hAnsi="Times New Roman" w:eastAsia="Times New Roman" w:cs="Times New Roman"/>
                <w:spacing w:val="-1"/>
                <w:u w:val="single" w:color="auto"/>
              </w:rPr>
              <w:t>]5</w:t>
            </w:r>
            <w:r>
              <w:rPr>
                <w:rFonts w:ascii="Times New Roman" w:hAnsi="Times New Roman" w:eastAsia="Times New Roman" w:cs="Times New Roman"/>
                <w:spacing w:val="22"/>
                <w:u w:val="single" w:color="auto"/>
              </w:rPr>
              <w:t xml:space="preserve"> </w:t>
            </w:r>
            <w:r>
              <w:rPr>
                <w:spacing w:val="-1"/>
                <w:u w:val="single" w:color="auto"/>
              </w:rPr>
              <w:t>号）</w:t>
            </w:r>
          </w:p>
          <w:p w14:paraId="3EFE65A1">
            <w:pPr>
              <w:pStyle w:val="6"/>
              <w:tabs>
                <w:tab w:val="left" w:pos="202"/>
                <w:tab w:val="left" w:pos="222"/>
              </w:tabs>
              <w:spacing w:before="4" w:line="260" w:lineRule="auto"/>
              <w:ind w:left="104" w:right="106"/>
            </w:pPr>
            <w:r>
              <w:rPr>
                <w:u w:val="single" w:color="auto"/>
              </w:rPr>
              <w:tab/>
            </w:r>
            <w:r>
              <w:rPr>
                <w:spacing w:val="14"/>
                <w:u w:val="single" w:color="auto"/>
              </w:rPr>
              <w:t>“政采贷</w:t>
            </w:r>
            <w:r>
              <w:rPr>
                <w:spacing w:val="-44"/>
                <w:u w:val="single" w:color="auto"/>
              </w:rPr>
              <w:t xml:space="preserve"> </w:t>
            </w:r>
            <w:r>
              <w:rPr>
                <w:spacing w:val="14"/>
                <w:u w:val="single" w:color="auto"/>
              </w:rPr>
              <w:t>”业务申请：</w:t>
            </w:r>
            <w:r>
              <w:rPr>
                <w:spacing w:val="-55"/>
                <w:u w:val="single" w:color="auto"/>
              </w:rPr>
              <w:t xml:space="preserve"> </w:t>
            </w:r>
            <w:r>
              <w:rPr>
                <w:spacing w:val="14"/>
                <w:u w:val="single" w:color="auto"/>
              </w:rPr>
              <w:t>湖北省政府采购合同融资平台</w:t>
            </w:r>
            <w:r>
              <w:rPr>
                <w:u w:val="single" w:color="auto"/>
              </w:rPr>
              <w:tab/>
            </w:r>
            <w:r>
              <w:rPr>
                <w:u w:val="single" w:color="auto"/>
              </w:rPr>
              <w:tab/>
            </w:r>
            <w:r>
              <w:rPr>
                <w:spacing w:val="2"/>
                <w:u w:val="single" w:color="auto"/>
              </w:rPr>
              <w:t>（</w:t>
            </w:r>
            <w:r>
              <w:fldChar w:fldCharType="begin"/>
            </w:r>
            <w:r>
              <w:instrText xml:space="preserve"> HYPERLINK "https://czt.hubei.gov.cn/zcd/homepage" </w:instrText>
            </w:r>
            <w:r>
              <w:fldChar w:fldCharType="separate"/>
            </w:r>
            <w:r>
              <w:rPr>
                <w:rFonts w:ascii="Times New Roman" w:hAnsi="Times New Roman" w:eastAsia="Times New Roman" w:cs="Times New Roman"/>
                <w:u w:val="single" w:color="auto"/>
              </w:rPr>
              <w:t>https</w:t>
            </w:r>
            <w:r>
              <w:rPr>
                <w:rFonts w:ascii="Times New Roman" w:hAnsi="Times New Roman" w:eastAsia="Times New Roman" w:cs="Times New Roman"/>
                <w:spacing w:val="2"/>
                <w:u w:val="single" w:color="auto"/>
              </w:rPr>
              <w:t>://</w:t>
            </w:r>
            <w:r>
              <w:rPr>
                <w:rFonts w:ascii="Times New Roman" w:hAnsi="Times New Roman" w:eastAsia="Times New Roman" w:cs="Times New Roman"/>
                <w:u w:val="single" w:color="auto"/>
              </w:rPr>
              <w:t>czt</w:t>
            </w:r>
            <w:r>
              <w:rPr>
                <w:rFonts w:ascii="Times New Roman" w:hAnsi="Times New Roman" w:eastAsia="Times New Roman" w:cs="Times New Roman"/>
                <w:spacing w:val="2"/>
                <w:u w:val="single" w:color="auto"/>
              </w:rPr>
              <w:t>.</w:t>
            </w:r>
            <w:r>
              <w:rPr>
                <w:rFonts w:ascii="Times New Roman" w:hAnsi="Times New Roman" w:eastAsia="Times New Roman" w:cs="Times New Roman"/>
                <w:u w:val="single" w:color="auto"/>
              </w:rPr>
              <w:t>hubei</w:t>
            </w:r>
            <w:r>
              <w:rPr>
                <w:rFonts w:ascii="Times New Roman" w:hAnsi="Times New Roman" w:eastAsia="Times New Roman" w:cs="Times New Roman"/>
                <w:spacing w:val="2"/>
                <w:u w:val="single" w:color="auto"/>
              </w:rPr>
              <w:t>.</w:t>
            </w:r>
            <w:r>
              <w:rPr>
                <w:rFonts w:ascii="Times New Roman" w:hAnsi="Times New Roman" w:eastAsia="Times New Roman" w:cs="Times New Roman"/>
                <w:u w:val="single" w:color="auto"/>
              </w:rPr>
              <w:t>gov</w:t>
            </w:r>
            <w:r>
              <w:rPr>
                <w:rFonts w:ascii="Times New Roman" w:hAnsi="Times New Roman" w:eastAsia="Times New Roman" w:cs="Times New Roman"/>
                <w:spacing w:val="2"/>
                <w:u w:val="single" w:color="auto"/>
              </w:rPr>
              <w:t>.</w:t>
            </w:r>
            <w:r>
              <w:rPr>
                <w:rFonts w:ascii="Times New Roman" w:hAnsi="Times New Roman" w:eastAsia="Times New Roman" w:cs="Times New Roman"/>
                <w:u w:val="single" w:color="auto"/>
              </w:rPr>
              <w:t>cn</w:t>
            </w:r>
            <w:r>
              <w:rPr>
                <w:rFonts w:ascii="Times New Roman" w:hAnsi="Times New Roman" w:eastAsia="Times New Roman" w:cs="Times New Roman"/>
                <w:spacing w:val="2"/>
                <w:u w:val="single" w:color="auto"/>
              </w:rPr>
              <w:t>/</w:t>
            </w:r>
            <w:r>
              <w:rPr>
                <w:rFonts w:ascii="Times New Roman" w:hAnsi="Times New Roman" w:eastAsia="Times New Roman" w:cs="Times New Roman"/>
                <w:u w:val="single" w:color="auto"/>
              </w:rPr>
              <w:t>zcd</w:t>
            </w:r>
            <w:r>
              <w:rPr>
                <w:rFonts w:ascii="Times New Roman" w:hAnsi="Times New Roman" w:eastAsia="Times New Roman" w:cs="Times New Roman"/>
                <w:spacing w:val="2"/>
                <w:u w:val="single" w:color="auto"/>
              </w:rPr>
              <w:t>/</w:t>
            </w:r>
            <w:r>
              <w:rPr>
                <w:rFonts w:ascii="Times New Roman" w:hAnsi="Times New Roman" w:eastAsia="Times New Roman" w:cs="Times New Roman"/>
                <w:u w:val="single" w:color="auto"/>
              </w:rPr>
              <w:t>homepage</w:t>
            </w:r>
            <w:r>
              <w:rPr>
                <w:rFonts w:ascii="Times New Roman" w:hAnsi="Times New Roman" w:eastAsia="Times New Roman" w:cs="Times New Roman"/>
                <w:u w:val="single" w:color="auto"/>
              </w:rPr>
              <w:fldChar w:fldCharType="end"/>
            </w:r>
            <w:r>
              <w:rPr>
                <w:rFonts w:ascii="Times New Roman" w:hAnsi="Times New Roman" w:eastAsia="Times New Roman" w:cs="Times New Roman"/>
                <w:spacing w:val="-9"/>
                <w:u w:val="single" w:color="auto"/>
              </w:rPr>
              <w:t xml:space="preserve"> </w:t>
            </w:r>
            <w:r>
              <w:rPr>
                <w:spacing w:val="2"/>
                <w:u w:val="single" w:color="auto"/>
              </w:rPr>
              <w:t>）</w:t>
            </w:r>
          </w:p>
        </w:tc>
      </w:tr>
      <w:tr w14:paraId="42F4B5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855" w:type="dxa"/>
            <w:vAlign w:val="top"/>
          </w:tcPr>
          <w:p w14:paraId="6092C54B">
            <w:pPr>
              <w:spacing w:line="295" w:lineRule="auto"/>
              <w:rPr>
                <w:rFonts w:ascii="Arial"/>
                <w:sz w:val="21"/>
              </w:rPr>
            </w:pPr>
          </w:p>
          <w:p w14:paraId="1C800CF8">
            <w:pPr>
              <w:spacing w:before="58" w:line="195" w:lineRule="auto"/>
              <w:ind w:left="21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10.10</w:t>
            </w:r>
          </w:p>
        </w:tc>
        <w:tc>
          <w:tcPr>
            <w:tcW w:w="2224" w:type="dxa"/>
            <w:vAlign w:val="top"/>
          </w:tcPr>
          <w:p w14:paraId="257CE5E6">
            <w:pPr>
              <w:pStyle w:val="6"/>
              <w:spacing w:before="162" w:line="228" w:lineRule="auto"/>
              <w:ind w:left="113"/>
              <w:outlineLvl w:val="1"/>
            </w:pPr>
            <w:r>
              <w:rPr>
                <w:spacing w:val="22"/>
              </w:rPr>
              <w:t>招标人补充的其他内</w:t>
            </w:r>
          </w:p>
          <w:p w14:paraId="5A6CA3DC">
            <w:pPr>
              <w:pStyle w:val="6"/>
              <w:spacing w:before="65" w:line="228" w:lineRule="auto"/>
              <w:ind w:left="115"/>
            </w:pPr>
            <w:r>
              <w:t>容</w:t>
            </w:r>
          </w:p>
        </w:tc>
        <w:tc>
          <w:tcPr>
            <w:tcW w:w="5339" w:type="dxa"/>
            <w:vAlign w:val="top"/>
          </w:tcPr>
          <w:p w14:paraId="7A369693">
            <w:pPr>
              <w:spacing w:line="386" w:lineRule="auto"/>
              <w:rPr>
                <w:rFonts w:ascii="Arial"/>
                <w:sz w:val="21"/>
              </w:rPr>
            </w:pPr>
          </w:p>
          <w:p w14:paraId="71196196">
            <w:pPr>
              <w:pStyle w:val="6"/>
              <w:spacing w:before="65" w:line="45" w:lineRule="exact"/>
              <w:ind w:left="2337"/>
            </w:pPr>
            <w:r>
              <w:pict>
                <v:shape id="_x0000_s1030" o:spid="_x0000_s1030" o:spt="202" type="#_x0000_t202" style="position:absolute;left:0pt;margin-left:4.2pt;margin-top:-3.95pt;height:14.1pt;width:107.05pt;z-index:251666432;mso-width-relative:page;mso-height-relative:page;" filled="f" stroked="f" coordsize="21600,21600">
                  <v:path/>
                  <v:fill on="f" focussize="0,0"/>
                  <v:stroke on="f"/>
                  <v:imagedata o:title=""/>
                  <o:lock v:ext="edit" aspectratio="f"/>
                  <v:textbox inset="0mm,0mm,0mm,0mm">
                    <w:txbxContent>
                      <w:p w14:paraId="3E343B03">
                        <w:pPr>
                          <w:tabs>
                            <w:tab w:val="left" w:pos="2120"/>
                          </w:tabs>
                          <w:spacing w:before="20"/>
                          <w:ind w:left="20"/>
                          <w:rPr>
                            <w:rFonts w:ascii="Arial"/>
                            <w:sz w:val="21"/>
                          </w:rPr>
                        </w:pPr>
                        <w:r>
                          <w:rPr>
                            <w:rFonts w:ascii="Arial" w:hAnsi="Arial" w:eastAsia="Arial" w:cs="Arial"/>
                            <w:sz w:val="21"/>
                            <w:szCs w:val="21"/>
                            <w:u w:val="single" w:color="auto"/>
                          </w:rPr>
                          <w:tab/>
                        </w:r>
                      </w:p>
                    </w:txbxContent>
                  </v:textbox>
                </v:shape>
              </w:pict>
            </w:r>
            <w:r>
              <w:rPr>
                <w:position w:val="-1"/>
              </w:rPr>
              <w:t>。</w:t>
            </w:r>
          </w:p>
        </w:tc>
      </w:tr>
    </w:tbl>
    <w:p w14:paraId="5CFC633A">
      <w:pPr>
        <w:rPr>
          <w:rFonts w:ascii="Arial"/>
          <w:sz w:val="21"/>
        </w:rPr>
      </w:pPr>
    </w:p>
    <w:p w14:paraId="31FD3D86">
      <w:pPr>
        <w:rPr>
          <w:rFonts w:ascii="Arial" w:hAnsi="Arial" w:eastAsia="Arial" w:cs="Arial"/>
          <w:sz w:val="21"/>
          <w:szCs w:val="21"/>
        </w:rPr>
        <w:sectPr>
          <w:footerReference r:id="rId32" w:type="default"/>
          <w:pgSz w:w="11906" w:h="16839"/>
          <w:pgMar w:top="1431" w:right="1687" w:bottom="1156" w:left="1785" w:header="0" w:footer="994" w:gutter="0"/>
          <w:cols w:space="720" w:num="1"/>
        </w:sectPr>
      </w:pPr>
    </w:p>
    <w:p w14:paraId="6A08DD7F">
      <w:pPr>
        <w:pStyle w:val="2"/>
        <w:spacing w:before="187" w:line="222" w:lineRule="auto"/>
        <w:ind w:left="22"/>
        <w:outlineLvl w:val="1"/>
        <w:rPr>
          <w:sz w:val="28"/>
          <w:szCs w:val="28"/>
        </w:rPr>
      </w:pPr>
      <w:bookmarkStart w:id="5" w:name="bookmark8"/>
      <w:bookmarkEnd w:id="5"/>
      <w:bookmarkStart w:id="6" w:name="bookmark7"/>
      <w:bookmarkEnd w:id="6"/>
      <w:r>
        <w:rPr>
          <w:spacing w:val="-1"/>
          <w:sz w:val="28"/>
          <w:szCs w:val="28"/>
        </w:rPr>
        <w:t>投标人须知正文部分</w:t>
      </w:r>
    </w:p>
    <w:p w14:paraId="1D140AF2">
      <w:pPr>
        <w:pStyle w:val="2"/>
        <w:spacing w:before="163" w:line="222" w:lineRule="auto"/>
        <w:ind w:left="46"/>
        <w:outlineLvl w:val="2"/>
        <w:rPr>
          <w:sz w:val="28"/>
          <w:szCs w:val="28"/>
        </w:rPr>
      </w:pPr>
      <w:bookmarkStart w:id="7" w:name="bookmark9"/>
      <w:bookmarkEnd w:id="7"/>
      <w:r>
        <w:rPr>
          <w:rFonts w:ascii="Times New Roman" w:hAnsi="Times New Roman" w:eastAsia="Times New Roman" w:cs="Times New Roman"/>
          <w:spacing w:val="-12"/>
          <w:sz w:val="28"/>
          <w:szCs w:val="28"/>
        </w:rPr>
        <w:t>1.</w:t>
      </w:r>
      <w:r>
        <w:rPr>
          <w:rFonts w:ascii="Times New Roman" w:hAnsi="Times New Roman" w:eastAsia="Times New Roman" w:cs="Times New Roman"/>
          <w:spacing w:val="8"/>
          <w:sz w:val="28"/>
          <w:szCs w:val="28"/>
        </w:rPr>
        <w:t xml:space="preserve">  </w:t>
      </w:r>
      <w:r>
        <w:rPr>
          <w:spacing w:val="-12"/>
          <w:sz w:val="28"/>
          <w:szCs w:val="28"/>
        </w:rPr>
        <w:t>总则</w:t>
      </w:r>
    </w:p>
    <w:p w14:paraId="31767431">
      <w:pPr>
        <w:pStyle w:val="2"/>
        <w:spacing w:before="98" w:line="221" w:lineRule="auto"/>
        <w:ind w:left="42"/>
        <w:outlineLvl w:val="3"/>
        <w:rPr>
          <w:sz w:val="24"/>
          <w:szCs w:val="24"/>
        </w:rPr>
      </w:pPr>
      <w:bookmarkStart w:id="8" w:name="bookmark442"/>
      <w:bookmarkEnd w:id="8"/>
      <w:r>
        <w:rPr>
          <w:rFonts w:ascii="Times New Roman" w:hAnsi="Times New Roman" w:eastAsia="Times New Roman" w:cs="Times New Roman"/>
          <w:spacing w:val="-6"/>
          <w:sz w:val="24"/>
          <w:szCs w:val="24"/>
        </w:rPr>
        <w:t>1.1</w:t>
      </w:r>
      <w:r>
        <w:rPr>
          <w:rFonts w:ascii="Times New Roman" w:hAnsi="Times New Roman" w:eastAsia="Times New Roman" w:cs="Times New Roman"/>
          <w:spacing w:val="6"/>
          <w:sz w:val="24"/>
          <w:szCs w:val="24"/>
        </w:rPr>
        <w:t xml:space="preserve">  </w:t>
      </w:r>
      <w:r>
        <w:rPr>
          <w:spacing w:val="-6"/>
          <w:sz w:val="24"/>
          <w:szCs w:val="24"/>
        </w:rPr>
        <w:t>项目概况</w:t>
      </w:r>
    </w:p>
    <w:p w14:paraId="343E7EBC">
      <w:pPr>
        <w:spacing w:before="137" w:line="370" w:lineRule="auto"/>
        <w:ind w:left="62" w:right="59" w:firstLine="39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根据《中华人民共和国招标投标法》等有关法律、法规和规章的规定，本招标项目已具备招标条件，现对本标段施工进行招标。</w:t>
      </w:r>
    </w:p>
    <w:p w14:paraId="46B2378E">
      <w:pPr>
        <w:spacing w:before="1" w:line="226" w:lineRule="auto"/>
        <w:ind w:left="458"/>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  </w:t>
      </w:r>
      <w:r>
        <w:rPr>
          <w:rFonts w:ascii="宋体" w:hAnsi="宋体" w:eastAsia="宋体" w:cs="宋体"/>
          <w:spacing w:val="6"/>
          <w:sz w:val="20"/>
          <w:szCs w:val="20"/>
        </w:rPr>
        <w:t>本招标项目招标人：见投标人须知</w:t>
      </w:r>
      <w:r>
        <w:rPr>
          <w:rFonts w:ascii="宋体" w:hAnsi="宋体" w:eastAsia="宋体" w:cs="宋体"/>
          <w:spacing w:val="5"/>
          <w:sz w:val="20"/>
          <w:szCs w:val="20"/>
        </w:rPr>
        <w:t>前附表。</w:t>
      </w:r>
    </w:p>
    <w:p w14:paraId="293EE61F">
      <w:pPr>
        <w:spacing w:before="153" w:line="227" w:lineRule="auto"/>
        <w:ind w:left="458"/>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6"/>
          <w:sz w:val="20"/>
          <w:szCs w:val="20"/>
        </w:rPr>
        <w:t xml:space="preserve">1.3  </w:t>
      </w:r>
      <w:r>
        <w:rPr>
          <w:rFonts w:ascii="宋体" w:hAnsi="宋体" w:eastAsia="宋体" w:cs="宋体"/>
          <w:spacing w:val="6"/>
          <w:sz w:val="20"/>
          <w:szCs w:val="20"/>
        </w:rPr>
        <w:t>本标段招标代理机构：见投标人须知前附表。</w:t>
      </w:r>
    </w:p>
    <w:p w14:paraId="2DE63E1E">
      <w:pPr>
        <w:spacing w:before="155" w:line="227" w:lineRule="auto"/>
        <w:ind w:left="458"/>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本招标项目名称：见投标人</w:t>
      </w:r>
      <w:r>
        <w:rPr>
          <w:rFonts w:ascii="宋体" w:hAnsi="宋体" w:eastAsia="宋体" w:cs="宋体"/>
          <w:spacing w:val="5"/>
          <w:sz w:val="20"/>
          <w:szCs w:val="20"/>
        </w:rPr>
        <w:t>须知前附表。</w:t>
      </w:r>
    </w:p>
    <w:p w14:paraId="5247D520">
      <w:pPr>
        <w:spacing w:before="155" w:line="227" w:lineRule="auto"/>
        <w:ind w:left="458"/>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本标段建设地点：见投标人</w:t>
      </w:r>
      <w:r>
        <w:rPr>
          <w:rFonts w:ascii="宋体" w:hAnsi="宋体" w:eastAsia="宋体" w:cs="宋体"/>
          <w:spacing w:val="5"/>
          <w:sz w:val="20"/>
          <w:szCs w:val="20"/>
        </w:rPr>
        <w:t>须知前附表。</w:t>
      </w:r>
    </w:p>
    <w:p w14:paraId="09D97E66">
      <w:pPr>
        <w:spacing w:before="152" w:line="227" w:lineRule="auto"/>
        <w:ind w:left="458"/>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5"/>
          <w:sz w:val="20"/>
          <w:szCs w:val="20"/>
        </w:rPr>
        <w:t xml:space="preserve">1.6  </w:t>
      </w:r>
      <w:r>
        <w:rPr>
          <w:rFonts w:ascii="宋体" w:hAnsi="宋体" w:eastAsia="宋体" w:cs="宋体"/>
          <w:spacing w:val="5"/>
          <w:sz w:val="20"/>
          <w:szCs w:val="20"/>
        </w:rPr>
        <w:t>本标段设计人：见投标人须知前附表。</w:t>
      </w:r>
    </w:p>
    <w:p w14:paraId="4E1C347B">
      <w:pPr>
        <w:spacing w:before="155" w:line="227" w:lineRule="auto"/>
        <w:ind w:left="458"/>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5"/>
          <w:sz w:val="20"/>
          <w:szCs w:val="20"/>
        </w:rPr>
        <w:t xml:space="preserve">1.7  </w:t>
      </w:r>
      <w:r>
        <w:rPr>
          <w:rFonts w:ascii="宋体" w:hAnsi="宋体" w:eastAsia="宋体" w:cs="宋体"/>
          <w:spacing w:val="5"/>
          <w:sz w:val="20"/>
          <w:szCs w:val="20"/>
        </w:rPr>
        <w:t>本标段监理人：见投标人须知前附表。</w:t>
      </w:r>
    </w:p>
    <w:p w14:paraId="34140420">
      <w:pPr>
        <w:spacing w:before="155" w:line="227" w:lineRule="auto"/>
        <w:ind w:left="458"/>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5"/>
          <w:sz w:val="20"/>
          <w:szCs w:val="20"/>
        </w:rPr>
        <w:t xml:space="preserve">1.8  </w:t>
      </w:r>
      <w:r>
        <w:rPr>
          <w:rFonts w:ascii="宋体" w:hAnsi="宋体" w:eastAsia="宋体" w:cs="宋体"/>
          <w:spacing w:val="5"/>
          <w:sz w:val="20"/>
          <w:szCs w:val="20"/>
        </w:rPr>
        <w:t>本标段代建人：见投标人须知前附表。</w:t>
      </w:r>
    </w:p>
    <w:p w14:paraId="0566389F">
      <w:pPr>
        <w:pStyle w:val="2"/>
        <w:spacing w:before="128" w:line="221" w:lineRule="auto"/>
        <w:ind w:left="42"/>
        <w:outlineLvl w:val="3"/>
        <w:rPr>
          <w:sz w:val="24"/>
          <w:szCs w:val="24"/>
        </w:rPr>
      </w:pPr>
      <w:bookmarkStart w:id="9" w:name="bookmark10"/>
      <w:bookmarkEnd w:id="9"/>
      <w:r>
        <w:rPr>
          <w:rFonts w:ascii="Times New Roman" w:hAnsi="Times New Roman" w:eastAsia="Times New Roman" w:cs="Times New Roman"/>
          <w:spacing w:val="-3"/>
          <w:sz w:val="24"/>
          <w:szCs w:val="24"/>
        </w:rPr>
        <w:t xml:space="preserve">1.2  </w:t>
      </w:r>
      <w:r>
        <w:rPr>
          <w:spacing w:val="-3"/>
          <w:sz w:val="24"/>
          <w:szCs w:val="24"/>
        </w:rPr>
        <w:t>资金来源和落实情况</w:t>
      </w:r>
    </w:p>
    <w:p w14:paraId="29B5353D">
      <w:pPr>
        <w:spacing w:before="138" w:line="227" w:lineRule="auto"/>
        <w:ind w:left="458"/>
        <w:rPr>
          <w:rFonts w:ascii="宋体" w:hAnsi="宋体" w:eastAsia="宋体" w:cs="宋体"/>
          <w:sz w:val="20"/>
          <w:szCs w:val="20"/>
        </w:rPr>
      </w:pPr>
      <w:r>
        <w:rPr>
          <w:rFonts w:ascii="Times New Roman" w:hAnsi="Times New Roman" w:eastAsia="Times New Roman" w:cs="Times New Roman"/>
          <w:spacing w:val="6"/>
          <w:sz w:val="20"/>
          <w:szCs w:val="20"/>
        </w:rPr>
        <w:t>1.2.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本招标项目的资金来源：见投标人须知前附表。</w:t>
      </w:r>
    </w:p>
    <w:p w14:paraId="0D06E3DA">
      <w:pPr>
        <w:spacing w:before="155"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1.2.2  </w:t>
      </w:r>
      <w:r>
        <w:rPr>
          <w:rFonts w:ascii="宋体" w:hAnsi="宋体" w:eastAsia="宋体" w:cs="宋体"/>
          <w:spacing w:val="7"/>
          <w:sz w:val="20"/>
          <w:szCs w:val="20"/>
        </w:rPr>
        <w:t>本招标项目的出资比例：见投标人须知前附表。</w:t>
      </w:r>
    </w:p>
    <w:p w14:paraId="1DA71902">
      <w:pPr>
        <w:spacing w:before="152"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1.2.3  </w:t>
      </w:r>
      <w:r>
        <w:rPr>
          <w:rFonts w:ascii="宋体" w:hAnsi="宋体" w:eastAsia="宋体" w:cs="宋体"/>
          <w:spacing w:val="7"/>
          <w:sz w:val="20"/>
          <w:szCs w:val="20"/>
        </w:rPr>
        <w:t>本招标项目的资金落实情况：见投标人须知前附表。</w:t>
      </w:r>
    </w:p>
    <w:p w14:paraId="14992041">
      <w:pPr>
        <w:spacing w:before="155"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1.2.4  </w:t>
      </w:r>
      <w:r>
        <w:rPr>
          <w:rFonts w:ascii="宋体" w:hAnsi="宋体" w:eastAsia="宋体" w:cs="宋体"/>
          <w:spacing w:val="7"/>
          <w:sz w:val="20"/>
          <w:szCs w:val="20"/>
        </w:rPr>
        <w:t>本招标项目是否属于政府采购工程：见投标人须知前附表。</w:t>
      </w:r>
    </w:p>
    <w:p w14:paraId="0A71283D">
      <w:pPr>
        <w:pStyle w:val="2"/>
        <w:spacing w:before="129" w:line="222" w:lineRule="auto"/>
        <w:ind w:left="42"/>
        <w:outlineLvl w:val="3"/>
        <w:rPr>
          <w:sz w:val="24"/>
          <w:szCs w:val="24"/>
        </w:rPr>
      </w:pPr>
      <w:bookmarkStart w:id="10" w:name="bookmark11"/>
      <w:bookmarkEnd w:id="10"/>
      <w:r>
        <w:rPr>
          <w:rFonts w:ascii="Times New Roman" w:hAnsi="Times New Roman" w:eastAsia="Times New Roman" w:cs="Times New Roman"/>
          <w:spacing w:val="-2"/>
          <w:sz w:val="24"/>
          <w:szCs w:val="24"/>
        </w:rPr>
        <w:t xml:space="preserve">1.3  </w:t>
      </w:r>
      <w:r>
        <w:rPr>
          <w:spacing w:val="-2"/>
          <w:sz w:val="24"/>
          <w:szCs w:val="24"/>
        </w:rPr>
        <w:t>招标范围、计划工期和质量要求</w:t>
      </w:r>
    </w:p>
    <w:p w14:paraId="076CCE45">
      <w:pPr>
        <w:spacing w:before="136" w:line="227" w:lineRule="auto"/>
        <w:ind w:left="458"/>
        <w:rPr>
          <w:rFonts w:ascii="宋体" w:hAnsi="宋体" w:eastAsia="宋体" w:cs="宋体"/>
          <w:sz w:val="20"/>
          <w:szCs w:val="20"/>
        </w:rPr>
      </w:pPr>
      <w:r>
        <w:rPr>
          <w:rFonts w:ascii="Times New Roman" w:hAnsi="Times New Roman" w:eastAsia="Times New Roman" w:cs="Times New Roman"/>
          <w:spacing w:val="5"/>
          <w:sz w:val="20"/>
          <w:szCs w:val="20"/>
        </w:rPr>
        <w:t>1.3.</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本次招标范围：见投标人须知前附表。</w:t>
      </w:r>
    </w:p>
    <w:p w14:paraId="39EDC8AA">
      <w:pPr>
        <w:spacing w:before="155"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1.3.2  </w:t>
      </w:r>
      <w:r>
        <w:rPr>
          <w:rFonts w:ascii="宋体" w:hAnsi="宋体" w:eastAsia="宋体" w:cs="宋体"/>
          <w:spacing w:val="7"/>
          <w:sz w:val="20"/>
          <w:szCs w:val="20"/>
        </w:rPr>
        <w:t>本标段的计划工期：见投标人须</w:t>
      </w:r>
      <w:r>
        <w:rPr>
          <w:rFonts w:ascii="宋体" w:hAnsi="宋体" w:eastAsia="宋体" w:cs="宋体"/>
          <w:spacing w:val="6"/>
          <w:sz w:val="20"/>
          <w:szCs w:val="20"/>
        </w:rPr>
        <w:t>知前附表。</w:t>
      </w:r>
    </w:p>
    <w:p w14:paraId="5ABDE5DC">
      <w:pPr>
        <w:spacing w:before="155"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1.3.3  </w:t>
      </w:r>
      <w:r>
        <w:rPr>
          <w:rFonts w:ascii="宋体" w:hAnsi="宋体" w:eastAsia="宋体" w:cs="宋体"/>
          <w:spacing w:val="7"/>
          <w:sz w:val="20"/>
          <w:szCs w:val="20"/>
        </w:rPr>
        <w:t>本标段的质量要求：见投标人须</w:t>
      </w:r>
      <w:r>
        <w:rPr>
          <w:rFonts w:ascii="宋体" w:hAnsi="宋体" w:eastAsia="宋体" w:cs="宋体"/>
          <w:spacing w:val="6"/>
          <w:sz w:val="20"/>
          <w:szCs w:val="20"/>
        </w:rPr>
        <w:t>知前附表。</w:t>
      </w:r>
    </w:p>
    <w:p w14:paraId="320A5119">
      <w:pPr>
        <w:spacing w:before="152"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1.3.4  </w:t>
      </w:r>
      <w:r>
        <w:rPr>
          <w:rFonts w:ascii="宋体" w:hAnsi="宋体" w:eastAsia="宋体" w:cs="宋体"/>
          <w:spacing w:val="7"/>
          <w:sz w:val="20"/>
          <w:szCs w:val="20"/>
        </w:rPr>
        <w:t>本标段执行的政府采购政策：见投标人须知前附表。</w:t>
      </w:r>
    </w:p>
    <w:p w14:paraId="346B2BAC">
      <w:pPr>
        <w:pStyle w:val="2"/>
        <w:spacing w:before="128" w:line="222" w:lineRule="auto"/>
        <w:ind w:left="42"/>
        <w:outlineLvl w:val="3"/>
        <w:rPr>
          <w:sz w:val="24"/>
          <w:szCs w:val="24"/>
        </w:rPr>
      </w:pPr>
      <w:bookmarkStart w:id="11" w:name="bookmark12"/>
      <w:bookmarkEnd w:id="11"/>
      <w:r>
        <w:rPr>
          <w:rFonts w:ascii="Times New Roman" w:hAnsi="Times New Roman" w:eastAsia="Times New Roman" w:cs="Times New Roman"/>
          <w:spacing w:val="-1"/>
          <w:sz w:val="24"/>
          <w:szCs w:val="24"/>
        </w:rPr>
        <w:t xml:space="preserve">1.4  </w:t>
      </w:r>
      <w:r>
        <w:rPr>
          <w:spacing w:val="-1"/>
          <w:sz w:val="24"/>
          <w:szCs w:val="24"/>
        </w:rPr>
        <w:t>投标人资格要求（适用于已进行资</w:t>
      </w:r>
      <w:r>
        <w:rPr>
          <w:spacing w:val="-2"/>
          <w:sz w:val="24"/>
          <w:szCs w:val="24"/>
        </w:rPr>
        <w:t>格预审的）</w:t>
      </w:r>
    </w:p>
    <w:p w14:paraId="65DA55D2">
      <w:pPr>
        <w:spacing w:before="139" w:line="227" w:lineRule="auto"/>
        <w:ind w:left="444"/>
        <w:rPr>
          <w:rFonts w:ascii="宋体" w:hAnsi="宋体" w:eastAsia="宋体" w:cs="宋体"/>
          <w:sz w:val="20"/>
          <w:szCs w:val="20"/>
        </w:rPr>
      </w:pPr>
      <w:r>
        <w:rPr>
          <w:rFonts w:ascii="宋体" w:hAnsi="宋体" w:eastAsia="宋体" w:cs="宋体"/>
          <w:spacing w:val="8"/>
          <w:sz w:val="20"/>
          <w:szCs w:val="20"/>
        </w:rPr>
        <w:t>投标人应是收到招标人发出投标邀请书的单位。</w:t>
      </w:r>
    </w:p>
    <w:p w14:paraId="234469B7">
      <w:pPr>
        <w:pStyle w:val="2"/>
        <w:spacing w:before="129" w:line="222" w:lineRule="auto"/>
        <w:ind w:left="42"/>
        <w:outlineLvl w:val="3"/>
        <w:rPr>
          <w:sz w:val="24"/>
          <w:szCs w:val="24"/>
        </w:rPr>
      </w:pPr>
      <w:bookmarkStart w:id="12" w:name="bookmark13"/>
      <w:bookmarkEnd w:id="12"/>
      <w:r>
        <w:rPr>
          <w:rFonts w:ascii="Times New Roman" w:hAnsi="Times New Roman" w:eastAsia="Times New Roman" w:cs="Times New Roman"/>
          <w:spacing w:val="-6"/>
          <w:sz w:val="24"/>
          <w:szCs w:val="24"/>
        </w:rPr>
        <w:t>1.5</w:t>
      </w:r>
      <w:r>
        <w:rPr>
          <w:rFonts w:ascii="Times New Roman" w:hAnsi="Times New Roman" w:eastAsia="Times New Roman" w:cs="Times New Roman"/>
          <w:spacing w:val="6"/>
          <w:sz w:val="24"/>
          <w:szCs w:val="24"/>
        </w:rPr>
        <w:t xml:space="preserve">  </w:t>
      </w:r>
      <w:r>
        <w:rPr>
          <w:spacing w:val="-6"/>
          <w:sz w:val="24"/>
          <w:szCs w:val="24"/>
        </w:rPr>
        <w:t>费用承担</w:t>
      </w:r>
    </w:p>
    <w:p w14:paraId="07E3D2FD">
      <w:pPr>
        <w:spacing w:before="136" w:line="228" w:lineRule="auto"/>
        <w:ind w:left="444"/>
        <w:rPr>
          <w:rFonts w:ascii="宋体" w:hAnsi="宋体" w:eastAsia="宋体" w:cs="宋体"/>
          <w:sz w:val="20"/>
          <w:szCs w:val="20"/>
        </w:rPr>
      </w:pPr>
      <w:r>
        <w:rPr>
          <w:rFonts w:ascii="宋体" w:hAnsi="宋体" w:eastAsia="宋体" w:cs="宋体"/>
          <w:spacing w:val="8"/>
          <w:sz w:val="20"/>
          <w:szCs w:val="20"/>
        </w:rPr>
        <w:t>投标人准备和参加投标活动发生的费用自理。</w:t>
      </w:r>
    </w:p>
    <w:p w14:paraId="40A8F86D">
      <w:pPr>
        <w:pStyle w:val="2"/>
        <w:spacing w:before="127" w:line="221" w:lineRule="auto"/>
        <w:ind w:left="42"/>
        <w:outlineLvl w:val="3"/>
        <w:rPr>
          <w:sz w:val="24"/>
          <w:szCs w:val="24"/>
        </w:rPr>
      </w:pPr>
      <w:bookmarkStart w:id="13" w:name="bookmark14"/>
      <w:bookmarkEnd w:id="13"/>
      <w:r>
        <w:rPr>
          <w:rFonts w:ascii="Times New Roman" w:hAnsi="Times New Roman" w:eastAsia="Times New Roman" w:cs="Times New Roman"/>
          <w:spacing w:val="-8"/>
          <w:sz w:val="24"/>
          <w:szCs w:val="24"/>
        </w:rPr>
        <w:t>1.6</w:t>
      </w:r>
      <w:r>
        <w:rPr>
          <w:rFonts w:ascii="Times New Roman" w:hAnsi="Times New Roman" w:eastAsia="Times New Roman" w:cs="Times New Roman"/>
          <w:spacing w:val="5"/>
          <w:sz w:val="24"/>
          <w:szCs w:val="24"/>
        </w:rPr>
        <w:t xml:space="preserve">  </w:t>
      </w:r>
      <w:r>
        <w:rPr>
          <w:spacing w:val="-8"/>
          <w:sz w:val="24"/>
          <w:szCs w:val="24"/>
        </w:rPr>
        <w:t>保密</w:t>
      </w:r>
    </w:p>
    <w:p w14:paraId="7AEED081">
      <w:pPr>
        <w:spacing w:before="137" w:line="358" w:lineRule="auto"/>
        <w:ind w:left="21" w:right="58" w:firstLine="422"/>
        <w:rPr>
          <w:rFonts w:ascii="宋体" w:hAnsi="宋体" w:eastAsia="宋体" w:cs="宋体"/>
          <w:sz w:val="20"/>
          <w:szCs w:val="20"/>
        </w:rPr>
      </w:pPr>
      <w:r>
        <w:rPr>
          <w:rFonts w:ascii="宋体" w:hAnsi="宋体" w:eastAsia="宋体" w:cs="宋体"/>
          <w:spacing w:val="7"/>
          <w:sz w:val="20"/>
          <w:szCs w:val="20"/>
        </w:rPr>
        <w:t>参与招标投标活动的各方应对招标文件和投标文件中的商业和技术等秘密保密，违者应</w:t>
      </w:r>
      <w:r>
        <w:rPr>
          <w:rFonts w:ascii="宋体" w:hAnsi="宋体" w:eastAsia="宋体" w:cs="宋体"/>
          <w:spacing w:val="8"/>
          <w:sz w:val="20"/>
          <w:szCs w:val="20"/>
        </w:rPr>
        <w:t>对由此造成的后果承担法律责任。</w:t>
      </w:r>
    </w:p>
    <w:p w14:paraId="43A3FF17">
      <w:pPr>
        <w:pStyle w:val="2"/>
        <w:spacing w:before="1" w:line="221" w:lineRule="auto"/>
        <w:ind w:left="42"/>
        <w:outlineLvl w:val="3"/>
        <w:rPr>
          <w:sz w:val="24"/>
          <w:szCs w:val="24"/>
        </w:rPr>
      </w:pPr>
      <w:bookmarkStart w:id="14" w:name="bookmark15"/>
      <w:bookmarkEnd w:id="14"/>
      <w:r>
        <w:rPr>
          <w:rFonts w:ascii="Times New Roman" w:hAnsi="Times New Roman" w:eastAsia="Times New Roman" w:cs="Times New Roman"/>
          <w:spacing w:val="-4"/>
          <w:sz w:val="24"/>
          <w:szCs w:val="24"/>
        </w:rPr>
        <w:t xml:space="preserve">1.7  </w:t>
      </w:r>
      <w:r>
        <w:rPr>
          <w:spacing w:val="-4"/>
          <w:sz w:val="24"/>
          <w:szCs w:val="24"/>
        </w:rPr>
        <w:t>语言文字</w:t>
      </w:r>
    </w:p>
    <w:p w14:paraId="27433041">
      <w:pPr>
        <w:spacing w:before="137" w:line="227" w:lineRule="auto"/>
        <w:jc w:val="right"/>
        <w:rPr>
          <w:rFonts w:ascii="宋体" w:hAnsi="宋体" w:eastAsia="宋体" w:cs="宋体"/>
          <w:sz w:val="20"/>
          <w:szCs w:val="20"/>
        </w:rPr>
      </w:pPr>
      <w:r>
        <w:rPr>
          <w:rFonts w:ascii="宋体" w:hAnsi="宋体" w:eastAsia="宋体" w:cs="宋体"/>
          <w:spacing w:val="8"/>
          <w:sz w:val="20"/>
          <w:szCs w:val="20"/>
        </w:rPr>
        <w:t>除专用术语外，与招标投标有关的语言均使用中文。必要时专用术语应附有中文注释。</w:t>
      </w:r>
    </w:p>
    <w:p w14:paraId="6C08E2BB">
      <w:pPr>
        <w:pStyle w:val="2"/>
        <w:spacing w:before="128" w:line="222" w:lineRule="auto"/>
        <w:ind w:left="42"/>
        <w:outlineLvl w:val="3"/>
        <w:rPr>
          <w:sz w:val="24"/>
          <w:szCs w:val="24"/>
        </w:rPr>
      </w:pPr>
      <w:bookmarkStart w:id="15" w:name="bookmark16"/>
      <w:bookmarkEnd w:id="15"/>
      <w:r>
        <w:rPr>
          <w:rFonts w:ascii="Times New Roman" w:hAnsi="Times New Roman" w:eastAsia="Times New Roman" w:cs="Times New Roman"/>
          <w:spacing w:val="-6"/>
          <w:sz w:val="24"/>
          <w:szCs w:val="24"/>
        </w:rPr>
        <w:t>1.8</w:t>
      </w:r>
      <w:r>
        <w:rPr>
          <w:rFonts w:ascii="Times New Roman" w:hAnsi="Times New Roman" w:eastAsia="Times New Roman" w:cs="Times New Roman"/>
          <w:spacing w:val="6"/>
          <w:sz w:val="24"/>
          <w:szCs w:val="24"/>
        </w:rPr>
        <w:t xml:space="preserve">  </w:t>
      </w:r>
      <w:r>
        <w:rPr>
          <w:spacing w:val="-6"/>
          <w:sz w:val="24"/>
          <w:szCs w:val="24"/>
        </w:rPr>
        <w:t>计量单位</w:t>
      </w:r>
    </w:p>
    <w:p w14:paraId="3426DEA6">
      <w:pPr>
        <w:spacing w:before="139" w:line="227" w:lineRule="auto"/>
        <w:ind w:left="442"/>
        <w:rPr>
          <w:rFonts w:ascii="宋体" w:hAnsi="宋体" w:eastAsia="宋体" w:cs="宋体"/>
          <w:sz w:val="20"/>
          <w:szCs w:val="20"/>
        </w:rPr>
      </w:pPr>
      <w:r>
        <w:rPr>
          <w:rFonts w:ascii="宋体" w:hAnsi="宋体" w:eastAsia="宋体" w:cs="宋体"/>
          <w:spacing w:val="9"/>
          <w:sz w:val="20"/>
          <w:szCs w:val="20"/>
        </w:rPr>
        <w:t>所有计量均采用中华人民共和国法定计量单位。</w:t>
      </w:r>
    </w:p>
    <w:p w14:paraId="60047E0C">
      <w:pPr>
        <w:spacing w:line="227" w:lineRule="auto"/>
        <w:rPr>
          <w:rFonts w:ascii="宋体" w:hAnsi="宋体" w:eastAsia="宋体" w:cs="宋体"/>
          <w:sz w:val="20"/>
          <w:szCs w:val="20"/>
        </w:rPr>
        <w:sectPr>
          <w:footerReference r:id="rId33" w:type="default"/>
          <w:pgSz w:w="11906" w:h="16839"/>
          <w:pgMar w:top="1431" w:right="1743" w:bottom="1156" w:left="1785" w:header="0" w:footer="994" w:gutter="0"/>
          <w:cols w:space="720" w:num="1"/>
        </w:sectPr>
      </w:pPr>
    </w:p>
    <w:p w14:paraId="221020BB">
      <w:pPr>
        <w:pStyle w:val="2"/>
        <w:spacing w:before="122" w:line="222" w:lineRule="auto"/>
        <w:ind w:left="42"/>
        <w:outlineLvl w:val="3"/>
        <w:rPr>
          <w:sz w:val="24"/>
          <w:szCs w:val="24"/>
        </w:rPr>
      </w:pPr>
      <w:bookmarkStart w:id="16" w:name="bookmark17"/>
      <w:bookmarkEnd w:id="16"/>
      <w:r>
        <w:rPr>
          <w:rFonts w:ascii="Times New Roman" w:hAnsi="Times New Roman" w:eastAsia="Times New Roman" w:cs="Times New Roman"/>
          <w:spacing w:val="-6"/>
          <w:sz w:val="24"/>
          <w:szCs w:val="24"/>
        </w:rPr>
        <w:t>1.9</w:t>
      </w:r>
      <w:r>
        <w:rPr>
          <w:rFonts w:ascii="Times New Roman" w:hAnsi="Times New Roman" w:eastAsia="Times New Roman" w:cs="Times New Roman"/>
          <w:spacing w:val="6"/>
          <w:sz w:val="24"/>
          <w:szCs w:val="24"/>
        </w:rPr>
        <w:t xml:space="preserve">  </w:t>
      </w:r>
      <w:r>
        <w:rPr>
          <w:spacing w:val="-6"/>
          <w:sz w:val="24"/>
          <w:szCs w:val="24"/>
        </w:rPr>
        <w:t>踏勘现场</w:t>
      </w:r>
    </w:p>
    <w:p w14:paraId="721EC652">
      <w:pPr>
        <w:spacing w:before="139" w:line="369" w:lineRule="auto"/>
        <w:ind w:left="22" w:firstLine="436"/>
        <w:rPr>
          <w:rFonts w:ascii="宋体" w:hAnsi="宋体" w:eastAsia="宋体" w:cs="宋体"/>
          <w:sz w:val="20"/>
          <w:szCs w:val="20"/>
        </w:rPr>
      </w:pPr>
      <w:r>
        <w:rPr>
          <w:rFonts w:ascii="Times New Roman" w:hAnsi="Times New Roman" w:eastAsia="Times New Roman" w:cs="Times New Roman"/>
          <w:spacing w:val="5"/>
          <w:sz w:val="20"/>
          <w:szCs w:val="20"/>
        </w:rPr>
        <w:t>1.9.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投标人须知前附表规定组织踏勘现场的，招标人按投标人</w:t>
      </w:r>
      <w:r>
        <w:rPr>
          <w:rFonts w:ascii="宋体" w:hAnsi="宋体" w:eastAsia="宋体" w:cs="宋体"/>
          <w:spacing w:val="4"/>
          <w:sz w:val="20"/>
          <w:szCs w:val="20"/>
        </w:rPr>
        <w:t>须知前附表规定的时间、</w:t>
      </w:r>
      <w:r>
        <w:rPr>
          <w:rFonts w:ascii="宋体" w:hAnsi="宋体" w:eastAsia="宋体" w:cs="宋体"/>
          <w:spacing w:val="8"/>
          <w:sz w:val="20"/>
          <w:szCs w:val="20"/>
        </w:rPr>
        <w:t>地点组织投标人踏勘项目现场。</w:t>
      </w:r>
    </w:p>
    <w:p w14:paraId="11C49408">
      <w:pPr>
        <w:spacing w:line="227" w:lineRule="auto"/>
        <w:ind w:left="458"/>
        <w:rPr>
          <w:rFonts w:ascii="宋体" w:hAnsi="宋体" w:eastAsia="宋体" w:cs="宋体"/>
          <w:sz w:val="20"/>
          <w:szCs w:val="20"/>
        </w:rPr>
      </w:pPr>
      <w:r>
        <w:rPr>
          <w:rFonts w:ascii="Times New Roman" w:hAnsi="Times New Roman" w:eastAsia="Times New Roman" w:cs="Times New Roman"/>
          <w:spacing w:val="6"/>
          <w:sz w:val="20"/>
          <w:szCs w:val="20"/>
        </w:rPr>
        <w:t xml:space="preserve">1.9.2  </w:t>
      </w:r>
      <w:r>
        <w:rPr>
          <w:rFonts w:ascii="宋体" w:hAnsi="宋体" w:eastAsia="宋体" w:cs="宋体"/>
          <w:spacing w:val="6"/>
          <w:sz w:val="20"/>
          <w:szCs w:val="20"/>
        </w:rPr>
        <w:t>投标人踏勘现场发生的费用自理。</w:t>
      </w:r>
    </w:p>
    <w:p w14:paraId="185EACA8">
      <w:pPr>
        <w:spacing w:before="153" w:line="228" w:lineRule="auto"/>
        <w:jc w:val="right"/>
        <w:rPr>
          <w:rFonts w:ascii="宋体" w:hAnsi="宋体" w:eastAsia="宋体" w:cs="宋体"/>
          <w:sz w:val="20"/>
          <w:szCs w:val="20"/>
        </w:rPr>
      </w:pPr>
      <w:r>
        <w:rPr>
          <w:rFonts w:ascii="Times New Roman" w:hAnsi="Times New Roman" w:eastAsia="Times New Roman" w:cs="Times New Roman"/>
          <w:spacing w:val="5"/>
          <w:sz w:val="20"/>
          <w:szCs w:val="20"/>
        </w:rPr>
        <w:t xml:space="preserve">1.9.3  </w:t>
      </w:r>
      <w:r>
        <w:rPr>
          <w:rFonts w:ascii="宋体" w:hAnsi="宋体" w:eastAsia="宋体" w:cs="宋体"/>
          <w:spacing w:val="5"/>
          <w:sz w:val="20"/>
          <w:szCs w:val="20"/>
        </w:rPr>
        <w:t>除招标人的原因外，投标人自行负责在踏勘现场中所发生的人员伤亡和财产损失。</w:t>
      </w:r>
    </w:p>
    <w:p w14:paraId="5EA291DD">
      <w:pPr>
        <w:spacing w:before="151" w:line="358" w:lineRule="auto"/>
        <w:ind w:left="23" w:right="71" w:firstLine="435"/>
        <w:rPr>
          <w:rFonts w:ascii="宋体" w:hAnsi="宋体" w:eastAsia="宋体" w:cs="宋体"/>
          <w:sz w:val="20"/>
          <w:szCs w:val="20"/>
        </w:rPr>
      </w:pPr>
      <w:r>
        <w:rPr>
          <w:rFonts w:ascii="Times New Roman" w:hAnsi="Times New Roman" w:eastAsia="Times New Roman" w:cs="Times New Roman"/>
          <w:spacing w:val="9"/>
          <w:sz w:val="20"/>
          <w:szCs w:val="20"/>
        </w:rPr>
        <w:t xml:space="preserve">1.9.4  </w:t>
      </w:r>
      <w:r>
        <w:rPr>
          <w:rFonts w:ascii="宋体" w:hAnsi="宋体" w:eastAsia="宋体" w:cs="宋体"/>
          <w:spacing w:val="9"/>
          <w:sz w:val="20"/>
          <w:szCs w:val="20"/>
        </w:rPr>
        <w:t>招标人在踏勘现场中介绍的工程场</w:t>
      </w:r>
      <w:r>
        <w:rPr>
          <w:rFonts w:ascii="宋体" w:hAnsi="宋体" w:eastAsia="宋体" w:cs="宋体"/>
          <w:spacing w:val="8"/>
          <w:sz w:val="20"/>
          <w:szCs w:val="20"/>
        </w:rPr>
        <w:t>地和相关的周边环境情况，供投标人在编制投</w:t>
      </w:r>
      <w:r>
        <w:rPr>
          <w:rFonts w:ascii="宋体" w:hAnsi="宋体" w:eastAsia="宋体" w:cs="宋体"/>
          <w:spacing w:val="9"/>
          <w:sz w:val="20"/>
          <w:szCs w:val="20"/>
        </w:rPr>
        <w:t>标文件时参考，招标人不对投标人据此作出的判断和决策负责。</w:t>
      </w:r>
    </w:p>
    <w:p w14:paraId="1BB1ABA6">
      <w:pPr>
        <w:pStyle w:val="2"/>
        <w:spacing w:line="221" w:lineRule="auto"/>
        <w:ind w:left="42"/>
        <w:outlineLvl w:val="3"/>
        <w:rPr>
          <w:sz w:val="24"/>
          <w:szCs w:val="24"/>
        </w:rPr>
      </w:pPr>
      <w:bookmarkStart w:id="17" w:name="bookmark18"/>
      <w:bookmarkEnd w:id="17"/>
      <w:r>
        <w:rPr>
          <w:rFonts w:ascii="Times New Roman" w:hAnsi="Times New Roman" w:eastAsia="Times New Roman" w:cs="Times New Roman"/>
          <w:spacing w:val="-3"/>
          <w:sz w:val="24"/>
          <w:szCs w:val="24"/>
        </w:rPr>
        <w:t xml:space="preserve">1.10  </w:t>
      </w:r>
      <w:r>
        <w:rPr>
          <w:spacing w:val="-3"/>
          <w:sz w:val="24"/>
          <w:szCs w:val="24"/>
        </w:rPr>
        <w:t>投标预备会</w:t>
      </w:r>
    </w:p>
    <w:p w14:paraId="4D0A1BF0">
      <w:pPr>
        <w:spacing w:before="137" w:line="370" w:lineRule="auto"/>
        <w:ind w:left="38" w:right="70" w:firstLine="420"/>
        <w:rPr>
          <w:rFonts w:ascii="宋体" w:hAnsi="宋体" w:eastAsia="宋体" w:cs="宋体"/>
          <w:sz w:val="20"/>
          <w:szCs w:val="20"/>
        </w:rPr>
      </w:pPr>
      <w:r>
        <w:rPr>
          <w:rFonts w:ascii="Times New Roman" w:hAnsi="Times New Roman" w:eastAsia="Times New Roman" w:cs="Times New Roman"/>
          <w:spacing w:val="6"/>
          <w:sz w:val="20"/>
          <w:szCs w:val="20"/>
        </w:rPr>
        <w:t xml:space="preserve">1.10.1  </w:t>
      </w:r>
      <w:r>
        <w:rPr>
          <w:rFonts w:ascii="宋体" w:hAnsi="宋体" w:eastAsia="宋体" w:cs="宋体"/>
          <w:spacing w:val="6"/>
          <w:sz w:val="20"/>
          <w:szCs w:val="20"/>
        </w:rPr>
        <w:t>投标人须知前附表规定召开投标预备会的，招标人按投标人须知前附表规定的时</w:t>
      </w:r>
      <w:r>
        <w:rPr>
          <w:rFonts w:ascii="宋体" w:hAnsi="宋体" w:eastAsia="宋体" w:cs="宋体"/>
          <w:spacing w:val="8"/>
          <w:sz w:val="20"/>
          <w:szCs w:val="20"/>
        </w:rPr>
        <w:t>间和地点召开投标预备会，澄清投标人提出的问题。</w:t>
      </w:r>
    </w:p>
    <w:p w14:paraId="76AB8844">
      <w:pPr>
        <w:spacing w:before="1" w:line="369" w:lineRule="auto"/>
        <w:ind w:left="21" w:right="70" w:firstLine="437"/>
        <w:rPr>
          <w:rFonts w:ascii="宋体" w:hAnsi="宋体" w:eastAsia="宋体" w:cs="宋体"/>
          <w:sz w:val="20"/>
          <w:szCs w:val="20"/>
        </w:rPr>
      </w:pPr>
      <w:r>
        <w:rPr>
          <w:rFonts w:ascii="Times New Roman" w:hAnsi="Times New Roman" w:eastAsia="Times New Roman" w:cs="Times New Roman"/>
          <w:spacing w:val="6"/>
          <w:sz w:val="20"/>
          <w:szCs w:val="20"/>
        </w:rPr>
        <w:t xml:space="preserve">1.10.2  </w:t>
      </w:r>
      <w:r>
        <w:rPr>
          <w:rFonts w:ascii="宋体" w:hAnsi="宋体" w:eastAsia="宋体" w:cs="宋体"/>
          <w:spacing w:val="6"/>
          <w:sz w:val="20"/>
          <w:szCs w:val="20"/>
        </w:rPr>
        <w:t>在投标人须知前附表规定的时</w:t>
      </w:r>
      <w:r>
        <w:rPr>
          <w:rFonts w:ascii="宋体" w:hAnsi="宋体" w:eastAsia="宋体" w:cs="宋体"/>
          <w:spacing w:val="5"/>
          <w:sz w:val="20"/>
          <w:szCs w:val="20"/>
        </w:rPr>
        <w:t>间前，投标人应使用</w:t>
      </w:r>
      <w:r>
        <w:rPr>
          <w:rFonts w:ascii="宋体" w:hAnsi="宋体" w:eastAsia="宋体" w:cs="宋体"/>
          <w:spacing w:val="-35"/>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数字证书登录“</w:t>
      </w:r>
      <w:r>
        <w:rPr>
          <w:rFonts w:ascii="宋体" w:hAnsi="宋体" w:eastAsia="宋体" w:cs="宋体"/>
          <w:spacing w:val="-66"/>
          <w:sz w:val="20"/>
          <w:szCs w:val="20"/>
        </w:rPr>
        <w:t xml:space="preserve"> </w:t>
      </w:r>
      <w:r>
        <w:rPr>
          <w:rFonts w:ascii="宋体" w:hAnsi="宋体" w:eastAsia="宋体" w:cs="宋体"/>
          <w:spacing w:val="5"/>
          <w:sz w:val="20"/>
          <w:szCs w:val="20"/>
        </w:rPr>
        <w:t>电子交易平台</w:t>
      </w:r>
      <w:r>
        <w:rPr>
          <w:rFonts w:ascii="宋体" w:hAnsi="宋体" w:eastAsia="宋体" w:cs="宋体"/>
          <w:spacing w:val="-73"/>
          <w:sz w:val="20"/>
          <w:szCs w:val="20"/>
        </w:rPr>
        <w:t xml:space="preserve"> </w:t>
      </w:r>
      <w:r>
        <w:rPr>
          <w:rFonts w:ascii="宋体" w:hAnsi="宋体" w:eastAsia="宋体" w:cs="宋体"/>
          <w:spacing w:val="5"/>
          <w:sz w:val="20"/>
          <w:szCs w:val="20"/>
        </w:rPr>
        <w:t>”，在“投标答疑</w:t>
      </w:r>
      <w:r>
        <w:rPr>
          <w:rFonts w:ascii="宋体" w:hAnsi="宋体" w:eastAsia="宋体" w:cs="宋体"/>
          <w:spacing w:val="-72"/>
          <w:sz w:val="20"/>
          <w:szCs w:val="20"/>
        </w:rPr>
        <w:t xml:space="preserve"> </w:t>
      </w:r>
      <w:r>
        <w:rPr>
          <w:rFonts w:ascii="宋体" w:hAnsi="宋体" w:eastAsia="宋体" w:cs="宋体"/>
          <w:spacing w:val="5"/>
          <w:sz w:val="20"/>
          <w:szCs w:val="20"/>
        </w:rPr>
        <w:t>”菜单以书面形式将提出的问题送达招标人，</w:t>
      </w:r>
      <w:r>
        <w:rPr>
          <w:rFonts w:ascii="宋体" w:hAnsi="宋体" w:eastAsia="宋体" w:cs="宋体"/>
          <w:spacing w:val="-60"/>
          <w:sz w:val="20"/>
          <w:szCs w:val="20"/>
        </w:rPr>
        <w:t xml:space="preserve"> </w:t>
      </w:r>
      <w:r>
        <w:rPr>
          <w:rFonts w:ascii="宋体" w:hAnsi="宋体" w:eastAsia="宋体" w:cs="宋体"/>
          <w:spacing w:val="5"/>
          <w:sz w:val="20"/>
          <w:szCs w:val="20"/>
        </w:rPr>
        <w:t>以便招标人在会议期间</w:t>
      </w:r>
      <w:r>
        <w:rPr>
          <w:rFonts w:ascii="宋体" w:hAnsi="宋体" w:eastAsia="宋体" w:cs="宋体"/>
          <w:spacing w:val="3"/>
          <w:sz w:val="20"/>
          <w:szCs w:val="20"/>
        </w:rPr>
        <w:t>澄清。</w:t>
      </w:r>
    </w:p>
    <w:p w14:paraId="0069B47D">
      <w:pPr>
        <w:spacing w:line="361" w:lineRule="auto"/>
        <w:ind w:left="22" w:right="70"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1.10.3  </w:t>
      </w:r>
      <w:r>
        <w:rPr>
          <w:rFonts w:ascii="宋体" w:hAnsi="宋体" w:eastAsia="宋体" w:cs="宋体"/>
          <w:spacing w:val="8"/>
          <w:sz w:val="20"/>
          <w:szCs w:val="20"/>
        </w:rPr>
        <w:t>投标预备会后，招标人在本章第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2.2.2</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项规定的时间内，将对投标人所提问题的</w:t>
      </w:r>
      <w:r>
        <w:rPr>
          <w:rFonts w:ascii="宋体" w:hAnsi="宋体" w:eastAsia="宋体" w:cs="宋体"/>
          <w:spacing w:val="6"/>
          <w:sz w:val="20"/>
          <w:szCs w:val="20"/>
        </w:rPr>
        <w:t>澄清，以书面形式通过“</w:t>
      </w:r>
      <w:r>
        <w:rPr>
          <w:rFonts w:ascii="宋体" w:hAnsi="宋体" w:eastAsia="宋体" w:cs="宋体"/>
          <w:spacing w:val="-66"/>
          <w:sz w:val="20"/>
          <w:szCs w:val="20"/>
        </w:rPr>
        <w:t xml:space="preserve"> </w:t>
      </w:r>
      <w:r>
        <w:rPr>
          <w:rFonts w:ascii="宋体" w:hAnsi="宋体" w:eastAsia="宋体" w:cs="宋体"/>
          <w:spacing w:val="6"/>
          <w:sz w:val="20"/>
          <w:szCs w:val="20"/>
        </w:rPr>
        <w:t>电子交易平台</w:t>
      </w:r>
      <w:r>
        <w:rPr>
          <w:rFonts w:ascii="宋体" w:hAnsi="宋体" w:eastAsia="宋体" w:cs="宋体"/>
          <w:spacing w:val="-70"/>
          <w:sz w:val="20"/>
          <w:szCs w:val="20"/>
        </w:rPr>
        <w:t xml:space="preserve"> </w:t>
      </w:r>
      <w:r>
        <w:rPr>
          <w:rFonts w:ascii="宋体" w:hAnsi="宋体" w:eastAsia="宋体" w:cs="宋体"/>
          <w:spacing w:val="6"/>
          <w:sz w:val="20"/>
          <w:szCs w:val="20"/>
        </w:rPr>
        <w:t>”通知所有下载招标文件的投</w:t>
      </w:r>
      <w:r>
        <w:rPr>
          <w:rFonts w:ascii="宋体" w:hAnsi="宋体" w:eastAsia="宋体" w:cs="宋体"/>
          <w:spacing w:val="5"/>
          <w:sz w:val="20"/>
          <w:szCs w:val="20"/>
        </w:rPr>
        <w:t>标人。该澄清内容为招</w:t>
      </w:r>
      <w:r>
        <w:rPr>
          <w:rFonts w:ascii="宋体" w:hAnsi="宋体" w:eastAsia="宋体" w:cs="宋体"/>
          <w:spacing w:val="7"/>
          <w:sz w:val="20"/>
          <w:szCs w:val="20"/>
        </w:rPr>
        <w:t>标文件的组成部分。</w:t>
      </w:r>
    </w:p>
    <w:p w14:paraId="6A416A00">
      <w:pPr>
        <w:pStyle w:val="2"/>
        <w:spacing w:line="222" w:lineRule="auto"/>
        <w:ind w:left="42"/>
        <w:outlineLvl w:val="3"/>
        <w:rPr>
          <w:sz w:val="24"/>
          <w:szCs w:val="24"/>
        </w:rPr>
      </w:pPr>
      <w:bookmarkStart w:id="18" w:name="bookmark19"/>
      <w:bookmarkEnd w:id="18"/>
      <w:r>
        <w:rPr>
          <w:rFonts w:ascii="Times New Roman" w:hAnsi="Times New Roman" w:eastAsia="Times New Roman" w:cs="Times New Roman"/>
          <w:spacing w:val="-9"/>
          <w:sz w:val="24"/>
          <w:szCs w:val="24"/>
        </w:rPr>
        <w:t>1.11</w:t>
      </w:r>
      <w:r>
        <w:rPr>
          <w:rFonts w:ascii="Times New Roman" w:hAnsi="Times New Roman" w:eastAsia="Times New Roman" w:cs="Times New Roman"/>
          <w:spacing w:val="7"/>
          <w:sz w:val="24"/>
          <w:szCs w:val="24"/>
        </w:rPr>
        <w:t xml:space="preserve">  </w:t>
      </w:r>
      <w:r>
        <w:rPr>
          <w:spacing w:val="-9"/>
          <w:sz w:val="24"/>
          <w:szCs w:val="24"/>
        </w:rPr>
        <w:t>分包</w:t>
      </w:r>
    </w:p>
    <w:p w14:paraId="5D8E849B">
      <w:pPr>
        <w:spacing w:before="136" w:line="358" w:lineRule="auto"/>
        <w:ind w:left="23" w:right="70" w:firstLine="567"/>
        <w:rPr>
          <w:rFonts w:ascii="宋体" w:hAnsi="宋体" w:eastAsia="宋体" w:cs="宋体"/>
          <w:sz w:val="20"/>
          <w:szCs w:val="20"/>
        </w:rPr>
      </w:pPr>
      <w:r>
        <w:rPr>
          <w:rFonts w:ascii="宋体" w:hAnsi="宋体" w:eastAsia="宋体" w:cs="宋体"/>
          <w:spacing w:val="9"/>
          <w:sz w:val="20"/>
          <w:szCs w:val="20"/>
        </w:rPr>
        <w:t>投标人拟在中标后将中标项目的部分非主体、非关键性工作进行分包</w:t>
      </w:r>
      <w:r>
        <w:rPr>
          <w:rFonts w:ascii="宋体" w:hAnsi="宋体" w:eastAsia="宋体" w:cs="宋体"/>
          <w:spacing w:val="8"/>
          <w:sz w:val="20"/>
          <w:szCs w:val="20"/>
        </w:rPr>
        <w:t>的，应符合投标</w:t>
      </w:r>
      <w:r>
        <w:rPr>
          <w:rFonts w:ascii="宋体" w:hAnsi="宋体" w:eastAsia="宋体" w:cs="宋体"/>
          <w:spacing w:val="9"/>
          <w:sz w:val="20"/>
          <w:szCs w:val="20"/>
        </w:rPr>
        <w:t>人须知前附表规定的分包内容、分包金额和接受分包的第三人资质要求等限制性条件。</w:t>
      </w:r>
    </w:p>
    <w:p w14:paraId="5BFE12DB">
      <w:pPr>
        <w:pStyle w:val="2"/>
        <w:spacing w:line="222" w:lineRule="auto"/>
        <w:ind w:left="42"/>
        <w:outlineLvl w:val="3"/>
        <w:rPr>
          <w:sz w:val="24"/>
          <w:szCs w:val="24"/>
        </w:rPr>
      </w:pPr>
      <w:bookmarkStart w:id="19" w:name="bookmark20"/>
      <w:bookmarkEnd w:id="19"/>
      <w:r>
        <w:rPr>
          <w:rFonts w:ascii="Times New Roman" w:hAnsi="Times New Roman" w:eastAsia="Times New Roman" w:cs="Times New Roman"/>
          <w:spacing w:val="-7"/>
          <w:sz w:val="24"/>
          <w:szCs w:val="24"/>
        </w:rPr>
        <w:t>1.12</w:t>
      </w:r>
      <w:r>
        <w:rPr>
          <w:rFonts w:ascii="Times New Roman" w:hAnsi="Times New Roman" w:eastAsia="Times New Roman" w:cs="Times New Roman"/>
          <w:spacing w:val="6"/>
          <w:sz w:val="24"/>
          <w:szCs w:val="24"/>
        </w:rPr>
        <w:t xml:space="preserve">  </w:t>
      </w:r>
      <w:r>
        <w:rPr>
          <w:spacing w:val="-7"/>
          <w:sz w:val="24"/>
          <w:szCs w:val="24"/>
        </w:rPr>
        <w:t>偏离</w:t>
      </w:r>
    </w:p>
    <w:p w14:paraId="680003A6">
      <w:pPr>
        <w:spacing w:before="135" w:line="371" w:lineRule="auto"/>
        <w:ind w:left="39" w:right="70" w:firstLine="345"/>
        <w:rPr>
          <w:rFonts w:ascii="宋体" w:hAnsi="宋体" w:eastAsia="宋体" w:cs="宋体"/>
          <w:sz w:val="20"/>
          <w:szCs w:val="20"/>
        </w:rPr>
      </w:pPr>
      <w:r>
        <w:rPr>
          <w:rFonts w:ascii="宋体" w:hAnsi="宋体" w:eastAsia="宋体" w:cs="宋体"/>
          <w:spacing w:val="9"/>
          <w:sz w:val="20"/>
          <w:szCs w:val="20"/>
        </w:rPr>
        <w:t>投标人须知前附表允许投标文件偏离招标文件某些要求的，偏离</w:t>
      </w:r>
      <w:r>
        <w:rPr>
          <w:rFonts w:ascii="宋体" w:hAnsi="宋体" w:eastAsia="宋体" w:cs="宋体"/>
          <w:spacing w:val="8"/>
          <w:sz w:val="20"/>
          <w:szCs w:val="20"/>
        </w:rPr>
        <w:t>应当符合招标文件规定</w:t>
      </w:r>
      <w:r>
        <w:rPr>
          <w:rFonts w:ascii="宋体" w:hAnsi="宋体" w:eastAsia="宋体" w:cs="宋体"/>
          <w:spacing w:val="5"/>
          <w:sz w:val="20"/>
          <w:szCs w:val="20"/>
        </w:rPr>
        <w:t>的偏离范围和幅度。</w:t>
      </w:r>
    </w:p>
    <w:p w14:paraId="67D27862">
      <w:pPr>
        <w:pStyle w:val="2"/>
        <w:spacing w:before="38" w:line="222" w:lineRule="auto"/>
        <w:ind w:left="20"/>
        <w:outlineLvl w:val="2"/>
        <w:rPr>
          <w:sz w:val="28"/>
          <w:szCs w:val="28"/>
        </w:rPr>
      </w:pPr>
      <w:bookmarkStart w:id="20" w:name="bookmark22"/>
      <w:bookmarkEnd w:id="20"/>
      <w:bookmarkStart w:id="21" w:name="bookmark21"/>
      <w:bookmarkEnd w:id="21"/>
      <w:r>
        <w:rPr>
          <w:rFonts w:ascii="Times New Roman" w:hAnsi="Times New Roman" w:eastAsia="Times New Roman" w:cs="Times New Roman"/>
          <w:spacing w:val="-1"/>
          <w:sz w:val="28"/>
          <w:szCs w:val="28"/>
        </w:rPr>
        <w:t xml:space="preserve">2.  </w:t>
      </w:r>
      <w:r>
        <w:rPr>
          <w:spacing w:val="-1"/>
          <w:sz w:val="28"/>
          <w:szCs w:val="28"/>
        </w:rPr>
        <w:t>招标文件</w:t>
      </w:r>
    </w:p>
    <w:p w14:paraId="1CE45890">
      <w:pPr>
        <w:pStyle w:val="2"/>
        <w:spacing w:before="96" w:line="222" w:lineRule="auto"/>
        <w:ind w:left="19"/>
        <w:outlineLvl w:val="3"/>
        <w:rPr>
          <w:sz w:val="24"/>
          <w:szCs w:val="24"/>
        </w:rPr>
      </w:pPr>
      <w:bookmarkStart w:id="22" w:name="bookmark443"/>
      <w:bookmarkEnd w:id="22"/>
      <w:r>
        <w:rPr>
          <w:rFonts w:ascii="Times New Roman" w:hAnsi="Times New Roman" w:eastAsia="Times New Roman" w:cs="Times New Roman"/>
          <w:spacing w:val="-1"/>
          <w:sz w:val="24"/>
          <w:szCs w:val="24"/>
        </w:rPr>
        <w:t xml:space="preserve">2.1  </w:t>
      </w:r>
      <w:r>
        <w:rPr>
          <w:spacing w:val="-1"/>
          <w:sz w:val="24"/>
          <w:szCs w:val="24"/>
        </w:rPr>
        <w:t>招标文件的组成</w:t>
      </w:r>
    </w:p>
    <w:p w14:paraId="5F19960A">
      <w:pPr>
        <w:spacing w:before="139" w:line="227" w:lineRule="auto"/>
        <w:ind w:left="438"/>
        <w:rPr>
          <w:rFonts w:ascii="宋体" w:hAnsi="宋体" w:eastAsia="宋体" w:cs="宋体"/>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2"/>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 xml:space="preserve">1 </w:t>
      </w:r>
      <w:r>
        <w:rPr>
          <w:rFonts w:ascii="宋体" w:hAnsi="宋体" w:eastAsia="宋体" w:cs="宋体"/>
          <w:spacing w:val="2"/>
          <w:sz w:val="20"/>
          <w:szCs w:val="20"/>
        </w:rPr>
        <w:t>本招标文件包括：</w:t>
      </w:r>
    </w:p>
    <w:p w14:paraId="4501877C">
      <w:pPr>
        <w:spacing w:before="153" w:line="227" w:lineRule="auto"/>
        <w:ind w:left="392"/>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1</w:t>
      </w:r>
      <w:r>
        <w:rPr>
          <w:rFonts w:ascii="宋体" w:hAnsi="宋体" w:eastAsia="宋体" w:cs="宋体"/>
          <w:spacing w:val="5"/>
          <w:sz w:val="20"/>
          <w:szCs w:val="20"/>
        </w:rPr>
        <w:t>）投标邀请书；</w:t>
      </w:r>
    </w:p>
    <w:p w14:paraId="483CF940">
      <w:pPr>
        <w:spacing w:before="155" w:line="228" w:lineRule="auto"/>
        <w:ind w:left="392"/>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2</w:t>
      </w:r>
      <w:r>
        <w:rPr>
          <w:rFonts w:ascii="宋体" w:hAnsi="宋体" w:eastAsia="宋体" w:cs="宋体"/>
          <w:spacing w:val="5"/>
          <w:sz w:val="20"/>
          <w:szCs w:val="20"/>
        </w:rPr>
        <w:t>）投标人须知；</w:t>
      </w:r>
    </w:p>
    <w:p w14:paraId="3A8F60BD">
      <w:pPr>
        <w:spacing w:before="153" w:line="228" w:lineRule="auto"/>
        <w:ind w:left="392"/>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3</w:t>
      </w:r>
      <w:r>
        <w:rPr>
          <w:rFonts w:ascii="宋体" w:hAnsi="宋体" w:eastAsia="宋体" w:cs="宋体"/>
          <w:spacing w:val="5"/>
          <w:sz w:val="20"/>
          <w:szCs w:val="20"/>
        </w:rPr>
        <w:t>）评标办法；</w:t>
      </w:r>
    </w:p>
    <w:p w14:paraId="58C7ABBC">
      <w:pPr>
        <w:spacing w:before="152" w:line="228" w:lineRule="auto"/>
        <w:ind w:left="39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）合同条款及格式；</w:t>
      </w:r>
    </w:p>
    <w:p w14:paraId="1954C9EA">
      <w:pPr>
        <w:spacing w:before="154" w:line="228" w:lineRule="auto"/>
        <w:ind w:left="392"/>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5</w:t>
      </w:r>
      <w:r>
        <w:rPr>
          <w:rFonts w:ascii="宋体" w:hAnsi="宋体" w:eastAsia="宋体" w:cs="宋体"/>
          <w:spacing w:val="5"/>
          <w:sz w:val="20"/>
          <w:szCs w:val="20"/>
        </w:rPr>
        <w:t>）工程量清单；</w:t>
      </w:r>
    </w:p>
    <w:p w14:paraId="1F4FD890">
      <w:pPr>
        <w:spacing w:before="154" w:line="229" w:lineRule="auto"/>
        <w:ind w:left="392"/>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6</w:t>
      </w:r>
      <w:r>
        <w:rPr>
          <w:rFonts w:ascii="宋体" w:hAnsi="宋体" w:eastAsia="宋体" w:cs="宋体"/>
          <w:spacing w:val="4"/>
          <w:sz w:val="20"/>
          <w:szCs w:val="20"/>
        </w:rPr>
        <w:t>）图纸；</w:t>
      </w:r>
    </w:p>
    <w:p w14:paraId="16DDB971">
      <w:pPr>
        <w:spacing w:before="150" w:line="228" w:lineRule="auto"/>
        <w:ind w:left="39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7</w:t>
      </w:r>
      <w:r>
        <w:rPr>
          <w:rFonts w:ascii="宋体" w:hAnsi="宋体" w:eastAsia="宋体" w:cs="宋体"/>
          <w:spacing w:val="6"/>
          <w:sz w:val="20"/>
          <w:szCs w:val="20"/>
        </w:rPr>
        <w:t>）技术标准和要求；</w:t>
      </w:r>
    </w:p>
    <w:p w14:paraId="7B842E93">
      <w:pPr>
        <w:spacing w:before="153" w:line="228" w:lineRule="auto"/>
        <w:ind w:left="39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8</w:t>
      </w:r>
      <w:r>
        <w:rPr>
          <w:rFonts w:ascii="宋体" w:hAnsi="宋体" w:eastAsia="宋体" w:cs="宋体"/>
          <w:spacing w:val="6"/>
          <w:sz w:val="20"/>
          <w:szCs w:val="20"/>
        </w:rPr>
        <w:t>）投标文件格式；</w:t>
      </w:r>
    </w:p>
    <w:p w14:paraId="0FBF3195">
      <w:pPr>
        <w:spacing w:before="155" w:line="227" w:lineRule="auto"/>
        <w:ind w:left="39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9</w:t>
      </w:r>
      <w:r>
        <w:rPr>
          <w:rFonts w:ascii="宋体" w:hAnsi="宋体" w:eastAsia="宋体" w:cs="宋体"/>
          <w:spacing w:val="8"/>
          <w:sz w:val="20"/>
          <w:szCs w:val="20"/>
        </w:rPr>
        <w:t>）投标人须知前附表规定的其他材料。</w:t>
      </w:r>
    </w:p>
    <w:p w14:paraId="0372A7D0">
      <w:pPr>
        <w:spacing w:line="227" w:lineRule="auto"/>
        <w:rPr>
          <w:rFonts w:ascii="宋体" w:hAnsi="宋体" w:eastAsia="宋体" w:cs="宋体"/>
          <w:sz w:val="20"/>
          <w:szCs w:val="20"/>
        </w:rPr>
        <w:sectPr>
          <w:footerReference r:id="rId34" w:type="default"/>
          <w:pgSz w:w="11906" w:h="16839"/>
          <w:pgMar w:top="1431" w:right="1731" w:bottom="1156" w:left="1785" w:header="0" w:footer="994" w:gutter="0"/>
          <w:cols w:space="720" w:num="1"/>
        </w:sectPr>
      </w:pPr>
    </w:p>
    <w:p w14:paraId="21076B64">
      <w:pPr>
        <w:spacing w:before="149" w:line="369" w:lineRule="auto"/>
        <w:ind w:left="39" w:right="70" w:firstLine="402"/>
        <w:rPr>
          <w:rFonts w:ascii="宋体" w:hAnsi="宋体" w:eastAsia="宋体" w:cs="宋体"/>
          <w:sz w:val="20"/>
          <w:szCs w:val="20"/>
        </w:rPr>
      </w:pPr>
      <w:r>
        <w:rPr>
          <w:rFonts w:ascii="宋体" w:hAnsi="宋体" w:eastAsia="宋体" w:cs="宋体"/>
          <w:spacing w:val="6"/>
          <w:sz w:val="20"/>
          <w:szCs w:val="20"/>
        </w:rPr>
        <w:t>根据本章第</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10 </w:t>
      </w:r>
      <w:r>
        <w:rPr>
          <w:rFonts w:ascii="宋体" w:hAnsi="宋体" w:eastAsia="宋体" w:cs="宋体"/>
          <w:spacing w:val="6"/>
          <w:sz w:val="20"/>
          <w:szCs w:val="20"/>
        </w:rPr>
        <w:t>款、第</w:t>
      </w:r>
      <w:r>
        <w:rPr>
          <w:rFonts w:ascii="宋体" w:hAnsi="宋体" w:eastAsia="宋体" w:cs="宋体"/>
          <w:spacing w:val="-40"/>
          <w:sz w:val="20"/>
          <w:szCs w:val="20"/>
        </w:rPr>
        <w:t xml:space="preserve"> </w:t>
      </w:r>
      <w:r>
        <w:rPr>
          <w:rFonts w:ascii="Times New Roman" w:hAnsi="Times New Roman" w:eastAsia="Times New Roman" w:cs="Times New Roman"/>
          <w:spacing w:val="6"/>
          <w:sz w:val="20"/>
          <w:szCs w:val="20"/>
        </w:rPr>
        <w:t xml:space="preserve">2.2 </w:t>
      </w:r>
      <w:r>
        <w:rPr>
          <w:rFonts w:ascii="宋体" w:hAnsi="宋体" w:eastAsia="宋体" w:cs="宋体"/>
          <w:spacing w:val="6"/>
          <w:sz w:val="20"/>
          <w:szCs w:val="20"/>
        </w:rPr>
        <w:t>款和第</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 xml:space="preserve">2.3 </w:t>
      </w:r>
      <w:r>
        <w:rPr>
          <w:rFonts w:ascii="宋体" w:hAnsi="宋体" w:eastAsia="宋体" w:cs="宋体"/>
          <w:spacing w:val="6"/>
          <w:sz w:val="20"/>
          <w:szCs w:val="20"/>
        </w:rPr>
        <w:t>款对招标文件所</w:t>
      </w:r>
      <w:r>
        <w:rPr>
          <w:rFonts w:ascii="宋体" w:hAnsi="宋体" w:eastAsia="宋体" w:cs="宋体"/>
          <w:spacing w:val="5"/>
          <w:sz w:val="20"/>
          <w:szCs w:val="20"/>
        </w:rPr>
        <w:t>作的澄清、修改，构成招标文件</w:t>
      </w:r>
      <w:r>
        <w:rPr>
          <w:rFonts w:ascii="宋体" w:hAnsi="宋体" w:eastAsia="宋体" w:cs="宋体"/>
          <w:spacing w:val="3"/>
          <w:sz w:val="20"/>
          <w:szCs w:val="20"/>
        </w:rPr>
        <w:t>的组成部分。</w:t>
      </w:r>
    </w:p>
    <w:p w14:paraId="33DF3E80">
      <w:pPr>
        <w:spacing w:line="226" w:lineRule="auto"/>
        <w:ind w:left="438"/>
        <w:rPr>
          <w:rFonts w:ascii="宋体" w:hAnsi="宋体" w:eastAsia="宋体" w:cs="宋体"/>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3"/>
          <w:sz w:val="20"/>
          <w:szCs w:val="20"/>
        </w:rPr>
        <w:t xml:space="preserve">1.2  </w:t>
      </w:r>
      <w:r>
        <w:rPr>
          <w:rFonts w:ascii="宋体" w:hAnsi="宋体" w:eastAsia="宋体" w:cs="宋体"/>
          <w:spacing w:val="3"/>
          <w:sz w:val="20"/>
          <w:szCs w:val="20"/>
        </w:rPr>
        <w:t>招标控制价</w:t>
      </w:r>
    </w:p>
    <w:p w14:paraId="56D7898B">
      <w:pPr>
        <w:spacing w:before="155" w:line="227"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）本工程的计税方法见投标人须知前附表。</w:t>
      </w:r>
    </w:p>
    <w:p w14:paraId="2CD37FC3">
      <w:pPr>
        <w:spacing w:before="154" w:line="369" w:lineRule="auto"/>
        <w:ind w:left="23" w:right="70" w:firstLine="429"/>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）招标人设置招标控制价的，招标控制价总价</w:t>
      </w:r>
      <w:r>
        <w:rPr>
          <w:rFonts w:ascii="宋体" w:hAnsi="宋体" w:eastAsia="宋体" w:cs="宋体"/>
          <w:spacing w:val="9"/>
          <w:sz w:val="20"/>
          <w:szCs w:val="20"/>
        </w:rPr>
        <w:t>见投标人须知前附表，招标控制价明细应随招标文件发给所有下载招标文件的投标</w:t>
      </w:r>
      <w:r>
        <w:rPr>
          <w:rFonts w:ascii="宋体" w:hAnsi="宋体" w:eastAsia="宋体" w:cs="宋体"/>
          <w:spacing w:val="8"/>
          <w:sz w:val="20"/>
          <w:szCs w:val="20"/>
        </w:rPr>
        <w:t>人。</w:t>
      </w:r>
    </w:p>
    <w:p w14:paraId="18121C2B">
      <w:pPr>
        <w:spacing w:before="3" w:line="364" w:lineRule="auto"/>
        <w:ind w:left="21" w:firstLine="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）招标控制价按照《建设工程工程量清单计价规范》（</w:t>
      </w:r>
      <w:r>
        <w:rPr>
          <w:rFonts w:ascii="宋体" w:hAnsi="宋体" w:eastAsia="宋体" w:cs="宋体"/>
          <w:sz w:val="20"/>
          <w:szCs w:val="20"/>
        </w:rPr>
        <w:t>GB</w:t>
      </w:r>
      <w:r>
        <w:rPr>
          <w:rFonts w:ascii="宋体" w:hAnsi="宋体" w:eastAsia="宋体" w:cs="宋体"/>
          <w:spacing w:val="6"/>
          <w:sz w:val="20"/>
          <w:szCs w:val="20"/>
        </w:rPr>
        <w:t xml:space="preserve"> 50500-2013）和配套的工程量计算规范（</w:t>
      </w:r>
      <w:r>
        <w:rPr>
          <w:rFonts w:ascii="宋体" w:hAnsi="宋体" w:eastAsia="宋体" w:cs="宋体"/>
          <w:sz w:val="20"/>
          <w:szCs w:val="20"/>
        </w:rPr>
        <w:t>GB</w:t>
      </w:r>
      <w:r>
        <w:rPr>
          <w:rFonts w:ascii="宋体" w:hAnsi="宋体" w:eastAsia="宋体" w:cs="宋体"/>
          <w:spacing w:val="6"/>
          <w:sz w:val="20"/>
          <w:szCs w:val="20"/>
        </w:rPr>
        <w:t xml:space="preserve"> 50854-2013～</w:t>
      </w:r>
      <w:r>
        <w:rPr>
          <w:rFonts w:ascii="宋体" w:hAnsi="宋体" w:eastAsia="宋体" w:cs="宋体"/>
          <w:sz w:val="20"/>
          <w:szCs w:val="20"/>
        </w:rPr>
        <w:t>GB</w:t>
      </w:r>
      <w:r>
        <w:rPr>
          <w:rFonts w:ascii="宋体" w:hAnsi="宋体" w:eastAsia="宋体" w:cs="宋体"/>
          <w:spacing w:val="6"/>
          <w:sz w:val="20"/>
          <w:szCs w:val="20"/>
        </w:rPr>
        <w:t xml:space="preserve"> 50862-2013）、鄂建文[</w:t>
      </w:r>
      <w:r>
        <w:fldChar w:fldCharType="begin"/>
      </w:r>
      <w:r>
        <w:instrText xml:space="preserve"> HYPERLINK \l "bookmark444" </w:instrText>
      </w:r>
      <w:r>
        <w:fldChar w:fldCharType="separate"/>
      </w:r>
      <w:r>
        <w:rPr>
          <w:rFonts w:ascii="宋体" w:hAnsi="宋体" w:eastAsia="宋体" w:cs="宋体"/>
          <w:spacing w:val="6"/>
          <w:sz w:val="20"/>
          <w:szCs w:val="20"/>
        </w:rPr>
        <w:t>2013</w:t>
      </w:r>
      <w:r>
        <w:rPr>
          <w:rFonts w:ascii="宋体" w:hAnsi="宋体" w:eastAsia="宋体" w:cs="宋体"/>
          <w:spacing w:val="6"/>
          <w:sz w:val="20"/>
          <w:szCs w:val="20"/>
        </w:rPr>
        <w:fldChar w:fldCharType="end"/>
      </w:r>
      <w:r>
        <w:rPr>
          <w:rFonts w:ascii="宋体" w:hAnsi="宋体" w:eastAsia="宋体" w:cs="宋体"/>
          <w:spacing w:val="6"/>
          <w:sz w:val="20"/>
          <w:szCs w:val="20"/>
        </w:rPr>
        <w:t>]39</w:t>
      </w:r>
      <w:r>
        <w:rPr>
          <w:rFonts w:ascii="宋体" w:hAnsi="宋体" w:eastAsia="宋体" w:cs="宋体"/>
          <w:spacing w:val="-23"/>
          <w:sz w:val="20"/>
          <w:szCs w:val="20"/>
        </w:rPr>
        <w:t xml:space="preserve"> </w:t>
      </w:r>
      <w:r>
        <w:rPr>
          <w:rFonts w:ascii="宋体" w:hAnsi="宋体" w:eastAsia="宋体" w:cs="宋体"/>
          <w:spacing w:val="6"/>
          <w:sz w:val="20"/>
          <w:szCs w:val="20"/>
        </w:rPr>
        <w:t>号《关于执行&lt;房屋建</w:t>
      </w:r>
      <w:r>
        <w:rPr>
          <w:rFonts w:ascii="宋体" w:hAnsi="宋体" w:eastAsia="宋体" w:cs="宋体"/>
          <w:spacing w:val="4"/>
          <w:sz w:val="20"/>
          <w:szCs w:val="20"/>
        </w:rPr>
        <w:t>筑与装饰工程工程量计算规范&gt;（</w:t>
      </w:r>
      <w:r>
        <w:rPr>
          <w:rFonts w:ascii="宋体" w:hAnsi="宋体" w:eastAsia="宋体" w:cs="宋体"/>
          <w:sz w:val="20"/>
          <w:szCs w:val="20"/>
        </w:rPr>
        <w:t>GB</w:t>
      </w:r>
      <w:r>
        <w:rPr>
          <w:rFonts w:ascii="宋体" w:hAnsi="宋体" w:eastAsia="宋体" w:cs="宋体"/>
          <w:spacing w:val="-36"/>
          <w:sz w:val="20"/>
          <w:szCs w:val="20"/>
        </w:rPr>
        <w:t xml:space="preserve"> </w:t>
      </w:r>
      <w:r>
        <w:rPr>
          <w:rFonts w:ascii="宋体" w:hAnsi="宋体" w:eastAsia="宋体" w:cs="宋体"/>
          <w:spacing w:val="4"/>
          <w:sz w:val="20"/>
          <w:szCs w:val="20"/>
        </w:rPr>
        <w:t>50584-2013）等</w:t>
      </w:r>
      <w:r>
        <w:rPr>
          <w:rFonts w:ascii="宋体" w:hAnsi="宋体" w:eastAsia="宋体" w:cs="宋体"/>
          <w:spacing w:val="-38"/>
          <w:sz w:val="20"/>
          <w:szCs w:val="20"/>
        </w:rPr>
        <w:t xml:space="preserve"> </w:t>
      </w:r>
      <w:r>
        <w:rPr>
          <w:rFonts w:ascii="宋体" w:hAnsi="宋体" w:eastAsia="宋体" w:cs="宋体"/>
          <w:spacing w:val="4"/>
          <w:sz w:val="20"/>
          <w:szCs w:val="20"/>
        </w:rPr>
        <w:t>9</w:t>
      </w:r>
      <w:r>
        <w:rPr>
          <w:rFonts w:ascii="宋体" w:hAnsi="宋体" w:eastAsia="宋体" w:cs="宋体"/>
          <w:spacing w:val="-35"/>
          <w:sz w:val="20"/>
          <w:szCs w:val="20"/>
        </w:rPr>
        <w:t xml:space="preserve"> </w:t>
      </w:r>
      <w:r>
        <w:rPr>
          <w:rFonts w:ascii="宋体" w:hAnsi="宋体" w:eastAsia="宋体" w:cs="宋体"/>
          <w:spacing w:val="4"/>
          <w:sz w:val="20"/>
          <w:szCs w:val="20"/>
        </w:rPr>
        <w:t>项工程量计算规范有关问题</w:t>
      </w:r>
      <w:r>
        <w:rPr>
          <w:rFonts w:ascii="宋体" w:hAnsi="宋体" w:eastAsia="宋体" w:cs="宋体"/>
          <w:spacing w:val="3"/>
          <w:sz w:val="20"/>
          <w:szCs w:val="20"/>
        </w:rPr>
        <w:t>的通知》、</w:t>
      </w:r>
      <w:r>
        <w:rPr>
          <w:rFonts w:ascii="宋体" w:hAnsi="宋体" w:eastAsia="宋体" w:cs="宋体"/>
          <w:spacing w:val="7"/>
          <w:sz w:val="20"/>
          <w:szCs w:val="20"/>
        </w:rPr>
        <w:t>湖北省建设行政主管部门发布的建设工程计价依据等进行编制，具体内容依据第五章工程量</w:t>
      </w:r>
      <w:r>
        <w:rPr>
          <w:rFonts w:ascii="宋体" w:hAnsi="宋体" w:eastAsia="宋体" w:cs="宋体"/>
          <w:spacing w:val="6"/>
          <w:sz w:val="20"/>
          <w:szCs w:val="20"/>
        </w:rPr>
        <w:t>清单的说明。</w:t>
      </w:r>
    </w:p>
    <w:p w14:paraId="35EC6763">
      <w:pPr>
        <w:pStyle w:val="2"/>
        <w:spacing w:line="221" w:lineRule="auto"/>
        <w:ind w:left="19"/>
        <w:outlineLvl w:val="3"/>
        <w:rPr>
          <w:sz w:val="24"/>
          <w:szCs w:val="24"/>
        </w:rPr>
      </w:pPr>
      <w:bookmarkStart w:id="23" w:name="bookmark23"/>
      <w:bookmarkEnd w:id="23"/>
      <w:r>
        <w:rPr>
          <w:rFonts w:ascii="Times New Roman" w:hAnsi="Times New Roman" w:eastAsia="Times New Roman" w:cs="Times New Roman"/>
          <w:spacing w:val="-1"/>
          <w:sz w:val="24"/>
          <w:szCs w:val="24"/>
        </w:rPr>
        <w:t xml:space="preserve">2.2  </w:t>
      </w:r>
      <w:r>
        <w:rPr>
          <w:spacing w:val="-1"/>
          <w:sz w:val="24"/>
          <w:szCs w:val="24"/>
        </w:rPr>
        <w:t>招标文件的澄清</w:t>
      </w:r>
    </w:p>
    <w:p w14:paraId="17F3536A">
      <w:pPr>
        <w:spacing w:before="139" w:line="369" w:lineRule="auto"/>
        <w:ind w:left="22" w:right="70" w:firstLine="416"/>
        <w:rPr>
          <w:rFonts w:ascii="宋体" w:hAnsi="宋体" w:eastAsia="宋体" w:cs="宋体"/>
          <w:sz w:val="20"/>
          <w:szCs w:val="20"/>
        </w:rPr>
      </w:pPr>
      <w:r>
        <w:rPr>
          <w:rFonts w:ascii="Times New Roman" w:hAnsi="Times New Roman" w:eastAsia="Times New Roman" w:cs="Times New Roman"/>
          <w:spacing w:val="10"/>
          <w:sz w:val="20"/>
          <w:szCs w:val="20"/>
        </w:rPr>
        <w:t>2.2.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投标人应仔细阅读和检查招标文件的全部内容。如发现缺页或附</w:t>
      </w:r>
      <w:r>
        <w:rPr>
          <w:rFonts w:ascii="宋体" w:hAnsi="宋体" w:eastAsia="宋体" w:cs="宋体"/>
          <w:spacing w:val="9"/>
          <w:sz w:val="20"/>
          <w:szCs w:val="20"/>
        </w:rPr>
        <w:t>件不全，应及时向招标人提出，以便补齐。如有疑问，应在投标人须知前附表规定的时间前，使用</w:t>
      </w:r>
      <w:r>
        <w:rPr>
          <w:rFonts w:ascii="Times New Roman" w:hAnsi="Times New Roman" w:eastAsia="Times New Roman" w:cs="Times New Roman"/>
          <w:sz w:val="20"/>
          <w:szCs w:val="20"/>
        </w:rPr>
        <w:t>CA</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rPr>
        <w:t>数字</w:t>
      </w:r>
      <w:r>
        <w:rPr>
          <w:rFonts w:ascii="宋体" w:hAnsi="宋体" w:eastAsia="宋体" w:cs="宋体"/>
          <w:spacing w:val="5"/>
          <w:sz w:val="20"/>
          <w:szCs w:val="20"/>
        </w:rPr>
        <w:t>证书登录“</w:t>
      </w:r>
      <w:r>
        <w:rPr>
          <w:rFonts w:ascii="宋体" w:hAnsi="宋体" w:eastAsia="宋体" w:cs="宋体"/>
          <w:spacing w:val="-66"/>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”，在“投标答疑</w:t>
      </w:r>
      <w:r>
        <w:rPr>
          <w:rFonts w:ascii="宋体" w:hAnsi="宋体" w:eastAsia="宋体" w:cs="宋体"/>
          <w:spacing w:val="-70"/>
          <w:sz w:val="20"/>
          <w:szCs w:val="20"/>
        </w:rPr>
        <w:t xml:space="preserve"> </w:t>
      </w:r>
      <w:r>
        <w:rPr>
          <w:rFonts w:ascii="宋体" w:hAnsi="宋体" w:eastAsia="宋体" w:cs="宋体"/>
          <w:spacing w:val="5"/>
          <w:sz w:val="20"/>
          <w:szCs w:val="20"/>
        </w:rPr>
        <w:t>”菜单以书面形式要求招标人对招标文件予以澄</w:t>
      </w:r>
      <w:r>
        <w:rPr>
          <w:rFonts w:ascii="宋体" w:hAnsi="宋体" w:eastAsia="宋体" w:cs="宋体"/>
          <w:sz w:val="20"/>
          <w:szCs w:val="20"/>
        </w:rPr>
        <w:t>清。</w:t>
      </w:r>
    </w:p>
    <w:p w14:paraId="13D1E497">
      <w:pPr>
        <w:spacing w:before="4" w:line="368" w:lineRule="auto"/>
        <w:ind w:left="17" w:right="70" w:firstLine="421"/>
        <w:rPr>
          <w:rFonts w:ascii="宋体" w:hAnsi="宋体" w:eastAsia="宋体" w:cs="宋体"/>
          <w:sz w:val="20"/>
          <w:szCs w:val="20"/>
        </w:rPr>
      </w:pPr>
      <w:r>
        <w:rPr>
          <w:rFonts w:ascii="Times New Roman" w:hAnsi="Times New Roman" w:eastAsia="Times New Roman" w:cs="Times New Roman"/>
          <w:spacing w:val="8"/>
          <w:sz w:val="20"/>
          <w:szCs w:val="20"/>
        </w:rPr>
        <w:t xml:space="preserve">2.2.2  </w:t>
      </w:r>
      <w:r>
        <w:rPr>
          <w:rFonts w:ascii="宋体" w:hAnsi="宋体" w:eastAsia="宋体" w:cs="宋体"/>
          <w:spacing w:val="8"/>
          <w:sz w:val="20"/>
          <w:szCs w:val="20"/>
        </w:rPr>
        <w:t>招标人对招标文件的澄清通过“</w:t>
      </w:r>
      <w:r>
        <w:rPr>
          <w:rFonts w:ascii="宋体" w:hAnsi="宋体" w:eastAsia="宋体" w:cs="宋体"/>
          <w:spacing w:val="-68"/>
          <w:sz w:val="20"/>
          <w:szCs w:val="20"/>
        </w:rPr>
        <w:t xml:space="preserve"> </w:t>
      </w:r>
      <w:r>
        <w:rPr>
          <w:rFonts w:ascii="宋体" w:hAnsi="宋体" w:eastAsia="宋体" w:cs="宋体"/>
          <w:spacing w:val="8"/>
          <w:sz w:val="20"/>
          <w:szCs w:val="20"/>
        </w:rPr>
        <w:t>电</w:t>
      </w:r>
      <w:r>
        <w:rPr>
          <w:rFonts w:ascii="宋体" w:hAnsi="宋体" w:eastAsia="宋体" w:cs="宋体"/>
          <w:spacing w:val="7"/>
          <w:sz w:val="20"/>
          <w:szCs w:val="20"/>
        </w:rPr>
        <w:t>子交易平台</w:t>
      </w:r>
      <w:r>
        <w:rPr>
          <w:rFonts w:ascii="宋体" w:hAnsi="宋体" w:eastAsia="宋体" w:cs="宋体"/>
          <w:spacing w:val="-70"/>
          <w:sz w:val="20"/>
          <w:szCs w:val="20"/>
        </w:rPr>
        <w:t xml:space="preserve"> </w:t>
      </w:r>
      <w:r>
        <w:rPr>
          <w:rFonts w:ascii="宋体" w:hAnsi="宋体" w:eastAsia="宋体" w:cs="宋体"/>
          <w:spacing w:val="7"/>
          <w:sz w:val="20"/>
          <w:szCs w:val="20"/>
        </w:rPr>
        <w:t>”以书面形式发给所有下载招标文</w:t>
      </w:r>
      <w:r>
        <w:rPr>
          <w:rFonts w:ascii="宋体" w:hAnsi="宋体" w:eastAsia="宋体" w:cs="宋体"/>
          <w:spacing w:val="13"/>
          <w:sz w:val="20"/>
          <w:szCs w:val="20"/>
        </w:rPr>
        <w:t>件的投标人，但不指明澄清问题的来源。如果澄清通知发出的时间距投</w:t>
      </w:r>
      <w:r>
        <w:rPr>
          <w:rFonts w:ascii="宋体" w:hAnsi="宋体" w:eastAsia="宋体" w:cs="宋体"/>
          <w:spacing w:val="12"/>
          <w:sz w:val="20"/>
          <w:szCs w:val="20"/>
        </w:rPr>
        <w:t>标人须知前附表第</w:t>
      </w:r>
      <w:r>
        <w:rPr>
          <w:rFonts w:ascii="Times New Roman" w:hAnsi="Times New Roman" w:eastAsia="Times New Roman" w:cs="Times New Roman"/>
          <w:spacing w:val="5"/>
          <w:sz w:val="20"/>
          <w:szCs w:val="20"/>
        </w:rPr>
        <w:t>4.2.</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项规定的投标截止时间不足</w:t>
      </w:r>
      <w:r>
        <w:rPr>
          <w:rFonts w:ascii="宋体" w:hAnsi="宋体" w:eastAsia="宋体" w:cs="宋体"/>
          <w:spacing w:val="-21"/>
          <w:sz w:val="20"/>
          <w:szCs w:val="20"/>
        </w:rPr>
        <w:t xml:space="preserve"> </w:t>
      </w:r>
      <w:r>
        <w:rPr>
          <w:rFonts w:ascii="Times New Roman" w:hAnsi="Times New Roman" w:eastAsia="Times New Roman" w:cs="Times New Roman"/>
          <w:spacing w:val="5"/>
          <w:sz w:val="20"/>
          <w:szCs w:val="20"/>
        </w:rPr>
        <w:t xml:space="preserve">15  </w:t>
      </w:r>
      <w:r>
        <w:rPr>
          <w:rFonts w:ascii="宋体" w:hAnsi="宋体" w:eastAsia="宋体" w:cs="宋体"/>
          <w:spacing w:val="5"/>
          <w:sz w:val="20"/>
          <w:szCs w:val="20"/>
        </w:rPr>
        <w:t>日，并且澄清的内容影响投标文件编制的，相应延长投</w:t>
      </w:r>
      <w:r>
        <w:rPr>
          <w:rFonts w:ascii="宋体" w:hAnsi="宋体" w:eastAsia="宋体" w:cs="宋体"/>
          <w:spacing w:val="7"/>
          <w:sz w:val="20"/>
          <w:szCs w:val="20"/>
        </w:rPr>
        <w:t>标截止时间。</w:t>
      </w:r>
    </w:p>
    <w:p w14:paraId="594CC7DF">
      <w:pPr>
        <w:spacing w:before="1" w:line="357" w:lineRule="auto"/>
        <w:ind w:left="32" w:right="70" w:firstLine="406"/>
        <w:rPr>
          <w:rFonts w:ascii="宋体" w:hAnsi="宋体" w:eastAsia="宋体" w:cs="宋体"/>
          <w:sz w:val="20"/>
          <w:szCs w:val="20"/>
        </w:rPr>
      </w:pPr>
      <w:r>
        <w:rPr>
          <w:rFonts w:ascii="Times New Roman" w:hAnsi="Times New Roman" w:eastAsia="Times New Roman" w:cs="Times New Roman"/>
          <w:spacing w:val="7"/>
          <w:sz w:val="20"/>
          <w:szCs w:val="20"/>
        </w:rPr>
        <w:t xml:space="preserve">2.2.3  </w:t>
      </w:r>
      <w:r>
        <w:rPr>
          <w:rFonts w:ascii="宋体" w:hAnsi="宋体" w:eastAsia="宋体" w:cs="宋体"/>
          <w:spacing w:val="7"/>
          <w:sz w:val="20"/>
          <w:szCs w:val="20"/>
        </w:rPr>
        <w:t>投标人应</w:t>
      </w:r>
      <w:r>
        <w:rPr>
          <w:rFonts w:ascii="宋体" w:hAnsi="宋体" w:eastAsia="宋体" w:cs="宋体"/>
          <w:b/>
          <w:bCs/>
          <w:spacing w:val="7"/>
          <w:sz w:val="20"/>
          <w:szCs w:val="20"/>
        </w:rPr>
        <w:t>实时关注</w:t>
      </w:r>
      <w:r>
        <w:rPr>
          <w:rFonts w:ascii="宋体" w:hAnsi="宋体" w:eastAsia="宋体" w:cs="宋体"/>
          <w:spacing w:val="7"/>
          <w:sz w:val="20"/>
          <w:szCs w:val="20"/>
        </w:rPr>
        <w:t>“</w:t>
      </w:r>
      <w:r>
        <w:rPr>
          <w:rFonts w:ascii="宋体" w:hAnsi="宋体" w:eastAsia="宋体" w:cs="宋体"/>
          <w:spacing w:val="-54"/>
          <w:sz w:val="20"/>
          <w:szCs w:val="20"/>
        </w:rPr>
        <w:t xml:space="preserve"> </w:t>
      </w:r>
      <w:r>
        <w:rPr>
          <w:rFonts w:ascii="宋体" w:hAnsi="宋体" w:eastAsia="宋体" w:cs="宋体"/>
          <w:spacing w:val="7"/>
          <w:sz w:val="20"/>
          <w:szCs w:val="20"/>
        </w:rPr>
        <w:t>电子交易平台</w:t>
      </w:r>
      <w:r>
        <w:rPr>
          <w:rFonts w:ascii="宋体" w:hAnsi="宋体" w:eastAsia="宋体" w:cs="宋体"/>
          <w:spacing w:val="-70"/>
          <w:sz w:val="20"/>
          <w:szCs w:val="20"/>
        </w:rPr>
        <w:t xml:space="preserve"> </w:t>
      </w:r>
      <w:r>
        <w:rPr>
          <w:rFonts w:ascii="宋体" w:hAnsi="宋体" w:eastAsia="宋体" w:cs="宋体"/>
          <w:spacing w:val="7"/>
          <w:sz w:val="20"/>
          <w:szCs w:val="20"/>
        </w:rPr>
        <w:t>”上发出的澄清通知，因投标人自身原因未及</w:t>
      </w:r>
      <w:r>
        <w:rPr>
          <w:rFonts w:ascii="宋体" w:hAnsi="宋体" w:eastAsia="宋体" w:cs="宋体"/>
          <w:spacing w:val="8"/>
          <w:sz w:val="20"/>
          <w:szCs w:val="20"/>
        </w:rPr>
        <w:t>时获知澄清内容而导致的任何后果将由投标人自行承担。</w:t>
      </w:r>
    </w:p>
    <w:p w14:paraId="3AE06D92">
      <w:pPr>
        <w:pStyle w:val="2"/>
        <w:spacing w:before="1" w:line="221" w:lineRule="auto"/>
        <w:ind w:left="19"/>
        <w:outlineLvl w:val="3"/>
        <w:rPr>
          <w:sz w:val="24"/>
          <w:szCs w:val="24"/>
        </w:rPr>
      </w:pPr>
      <w:bookmarkStart w:id="24" w:name="bookmark24"/>
      <w:bookmarkEnd w:id="24"/>
      <w:r>
        <w:rPr>
          <w:rFonts w:ascii="Times New Roman" w:hAnsi="Times New Roman" w:eastAsia="Times New Roman" w:cs="Times New Roman"/>
          <w:spacing w:val="-1"/>
          <w:sz w:val="24"/>
          <w:szCs w:val="24"/>
        </w:rPr>
        <w:t xml:space="preserve">2.3  </w:t>
      </w:r>
      <w:r>
        <w:rPr>
          <w:spacing w:val="-1"/>
          <w:sz w:val="24"/>
          <w:szCs w:val="24"/>
        </w:rPr>
        <w:t>招标文件的修改</w:t>
      </w:r>
    </w:p>
    <w:p w14:paraId="7ADF1FFA">
      <w:pPr>
        <w:spacing w:before="138" w:line="369" w:lineRule="auto"/>
        <w:ind w:left="23" w:right="70" w:firstLine="415"/>
        <w:rPr>
          <w:rFonts w:ascii="宋体" w:hAnsi="宋体" w:eastAsia="宋体" w:cs="宋体"/>
          <w:sz w:val="20"/>
          <w:szCs w:val="20"/>
        </w:rPr>
      </w:pPr>
      <w:r>
        <w:rPr>
          <w:rFonts w:ascii="Times New Roman" w:hAnsi="Times New Roman" w:eastAsia="Times New Roman" w:cs="Times New Roman"/>
          <w:spacing w:val="7"/>
          <w:sz w:val="20"/>
          <w:szCs w:val="20"/>
        </w:rPr>
        <w:t>2.3.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招标人可以书面形式修改招标文件，并通过“</w:t>
      </w:r>
      <w:r>
        <w:rPr>
          <w:rFonts w:ascii="宋体" w:hAnsi="宋体" w:eastAsia="宋体" w:cs="宋体"/>
          <w:spacing w:val="-68"/>
          <w:sz w:val="20"/>
          <w:szCs w:val="20"/>
        </w:rPr>
        <w:t xml:space="preserve"> </w:t>
      </w:r>
      <w:r>
        <w:rPr>
          <w:rFonts w:ascii="宋体" w:hAnsi="宋体" w:eastAsia="宋体" w:cs="宋体"/>
          <w:spacing w:val="7"/>
          <w:sz w:val="20"/>
          <w:szCs w:val="20"/>
        </w:rPr>
        <w:t>电子交易平台</w:t>
      </w:r>
      <w:r>
        <w:rPr>
          <w:rFonts w:ascii="宋体" w:hAnsi="宋体" w:eastAsia="宋体" w:cs="宋体"/>
          <w:spacing w:val="-70"/>
          <w:sz w:val="20"/>
          <w:szCs w:val="20"/>
        </w:rPr>
        <w:t xml:space="preserve"> </w:t>
      </w:r>
      <w:r>
        <w:rPr>
          <w:rFonts w:ascii="宋体" w:hAnsi="宋体" w:eastAsia="宋体" w:cs="宋体"/>
          <w:spacing w:val="7"/>
          <w:sz w:val="20"/>
          <w:szCs w:val="20"/>
        </w:rPr>
        <w:t>”通知所有已</w:t>
      </w:r>
      <w:r>
        <w:rPr>
          <w:rFonts w:ascii="宋体" w:hAnsi="宋体" w:eastAsia="宋体" w:cs="宋体"/>
          <w:spacing w:val="6"/>
          <w:sz w:val="20"/>
          <w:szCs w:val="20"/>
        </w:rPr>
        <w:t>下载招</w:t>
      </w:r>
      <w:r>
        <w:rPr>
          <w:rFonts w:ascii="宋体" w:hAnsi="宋体" w:eastAsia="宋体" w:cs="宋体"/>
          <w:spacing w:val="8"/>
          <w:sz w:val="20"/>
          <w:szCs w:val="20"/>
        </w:rPr>
        <w:t>标文件的投标人。如果修改通知发出的时间距投标人须知前附表第</w:t>
      </w:r>
      <w:r>
        <w:rPr>
          <w:rFonts w:ascii="宋体" w:hAnsi="宋体" w:eastAsia="宋体" w:cs="宋体"/>
          <w:spacing w:val="-25"/>
          <w:sz w:val="20"/>
          <w:szCs w:val="20"/>
        </w:rPr>
        <w:t xml:space="preserve"> </w:t>
      </w:r>
      <w:r>
        <w:rPr>
          <w:rFonts w:ascii="Times New Roman" w:hAnsi="Times New Roman" w:eastAsia="Times New Roman" w:cs="Times New Roman"/>
          <w:spacing w:val="8"/>
          <w:sz w:val="20"/>
          <w:szCs w:val="20"/>
        </w:rPr>
        <w:t>4.2.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项规定的投标截止</w:t>
      </w:r>
      <w:r>
        <w:rPr>
          <w:rFonts w:ascii="宋体" w:hAnsi="宋体" w:eastAsia="宋体" w:cs="宋体"/>
          <w:spacing w:val="7"/>
          <w:sz w:val="20"/>
          <w:szCs w:val="20"/>
        </w:rPr>
        <w:t>时间不足</w:t>
      </w:r>
      <w:r>
        <w:rPr>
          <w:rFonts w:ascii="宋体" w:hAnsi="宋体" w:eastAsia="宋体" w:cs="宋体"/>
          <w:spacing w:val="-15"/>
          <w:sz w:val="20"/>
          <w:szCs w:val="20"/>
        </w:rPr>
        <w:t xml:space="preserve"> </w:t>
      </w:r>
      <w:r>
        <w:rPr>
          <w:rFonts w:ascii="Times New Roman" w:hAnsi="Times New Roman" w:eastAsia="Times New Roman" w:cs="Times New Roman"/>
          <w:spacing w:val="7"/>
          <w:sz w:val="20"/>
          <w:szCs w:val="20"/>
        </w:rPr>
        <w:t>15</w:t>
      </w:r>
      <w:r>
        <w:rPr>
          <w:rFonts w:ascii="Times New Roman" w:hAnsi="Times New Roman" w:eastAsia="Times New Roman" w:cs="Times New Roman"/>
          <w:spacing w:val="46"/>
          <w:sz w:val="20"/>
          <w:szCs w:val="20"/>
        </w:rPr>
        <w:t xml:space="preserve"> </w:t>
      </w:r>
      <w:r>
        <w:rPr>
          <w:rFonts w:ascii="宋体" w:hAnsi="宋体" w:eastAsia="宋体" w:cs="宋体"/>
          <w:spacing w:val="7"/>
          <w:sz w:val="20"/>
          <w:szCs w:val="20"/>
        </w:rPr>
        <w:t>日，并且修改的内容影响投标文件编制的，相应延长投标截止时间。</w:t>
      </w:r>
    </w:p>
    <w:p w14:paraId="49868832">
      <w:pPr>
        <w:spacing w:before="1" w:line="357" w:lineRule="auto"/>
        <w:ind w:left="32" w:right="70" w:firstLine="406"/>
        <w:rPr>
          <w:rFonts w:ascii="宋体" w:hAnsi="宋体" w:eastAsia="宋体" w:cs="宋体"/>
          <w:sz w:val="20"/>
          <w:szCs w:val="20"/>
        </w:rPr>
      </w:pPr>
      <w:r>
        <w:rPr>
          <w:rFonts w:ascii="Times New Roman" w:hAnsi="Times New Roman" w:eastAsia="Times New Roman" w:cs="Times New Roman"/>
          <w:spacing w:val="9"/>
          <w:sz w:val="20"/>
          <w:szCs w:val="20"/>
        </w:rPr>
        <w:t xml:space="preserve">2.3.2 </w:t>
      </w:r>
      <w:r>
        <w:rPr>
          <w:rFonts w:ascii="宋体" w:hAnsi="宋体" w:eastAsia="宋体" w:cs="宋体"/>
          <w:spacing w:val="9"/>
          <w:sz w:val="20"/>
          <w:szCs w:val="20"/>
        </w:rPr>
        <w:t>投标人应</w:t>
      </w:r>
      <w:r>
        <w:rPr>
          <w:rFonts w:ascii="宋体" w:hAnsi="宋体" w:eastAsia="宋体" w:cs="宋体"/>
          <w:b/>
          <w:bCs/>
          <w:spacing w:val="9"/>
          <w:sz w:val="20"/>
          <w:szCs w:val="20"/>
        </w:rPr>
        <w:t>实时关注</w:t>
      </w:r>
      <w:r>
        <w:rPr>
          <w:rFonts w:ascii="宋体" w:hAnsi="宋体" w:eastAsia="宋体" w:cs="宋体"/>
          <w:spacing w:val="9"/>
          <w:sz w:val="20"/>
          <w:szCs w:val="20"/>
        </w:rPr>
        <w:t>“</w:t>
      </w:r>
      <w:r>
        <w:rPr>
          <w:rFonts w:ascii="宋体" w:hAnsi="宋体" w:eastAsia="宋体" w:cs="宋体"/>
          <w:spacing w:val="-68"/>
          <w:sz w:val="20"/>
          <w:szCs w:val="20"/>
        </w:rPr>
        <w:t xml:space="preserve"> </w:t>
      </w:r>
      <w:r>
        <w:rPr>
          <w:rFonts w:ascii="宋体" w:hAnsi="宋体" w:eastAsia="宋体" w:cs="宋体"/>
          <w:spacing w:val="9"/>
          <w:sz w:val="20"/>
          <w:szCs w:val="20"/>
        </w:rPr>
        <w:t>电子交易平台</w:t>
      </w:r>
      <w:r>
        <w:rPr>
          <w:rFonts w:ascii="宋体" w:hAnsi="宋体" w:eastAsia="宋体" w:cs="宋体"/>
          <w:spacing w:val="-67"/>
          <w:sz w:val="20"/>
          <w:szCs w:val="20"/>
        </w:rPr>
        <w:t xml:space="preserve"> </w:t>
      </w:r>
      <w:r>
        <w:rPr>
          <w:rFonts w:ascii="宋体" w:hAnsi="宋体" w:eastAsia="宋体" w:cs="宋体"/>
          <w:spacing w:val="9"/>
          <w:sz w:val="20"/>
          <w:szCs w:val="20"/>
        </w:rPr>
        <w:t>”上发出的修</w:t>
      </w:r>
      <w:r>
        <w:rPr>
          <w:rFonts w:ascii="宋体" w:hAnsi="宋体" w:eastAsia="宋体" w:cs="宋体"/>
          <w:spacing w:val="8"/>
          <w:sz w:val="20"/>
          <w:szCs w:val="20"/>
        </w:rPr>
        <w:t>改通知，因投标人自身原因未及时获知修改内容而导致的任何后果将由投标人自行承担。</w:t>
      </w:r>
    </w:p>
    <w:p w14:paraId="2F890B28">
      <w:pPr>
        <w:pStyle w:val="2"/>
        <w:spacing w:before="1" w:line="221" w:lineRule="auto"/>
        <w:ind w:left="19"/>
        <w:outlineLvl w:val="3"/>
        <w:rPr>
          <w:sz w:val="24"/>
          <w:szCs w:val="24"/>
        </w:rPr>
      </w:pPr>
      <w:bookmarkStart w:id="25" w:name="bookmark25"/>
      <w:bookmarkEnd w:id="25"/>
      <w:r>
        <w:rPr>
          <w:rFonts w:ascii="Times New Roman" w:hAnsi="Times New Roman" w:eastAsia="Times New Roman" w:cs="Times New Roman"/>
          <w:spacing w:val="-1"/>
          <w:sz w:val="24"/>
          <w:szCs w:val="24"/>
        </w:rPr>
        <w:t xml:space="preserve">2.4  </w:t>
      </w:r>
      <w:r>
        <w:rPr>
          <w:spacing w:val="-1"/>
          <w:sz w:val="24"/>
          <w:szCs w:val="24"/>
        </w:rPr>
        <w:t>招标文件的异议</w:t>
      </w:r>
    </w:p>
    <w:p w14:paraId="6EAAEEB7">
      <w:pPr>
        <w:spacing w:before="138" w:line="370" w:lineRule="auto"/>
        <w:ind w:left="23" w:right="70" w:firstLine="415"/>
        <w:jc w:val="both"/>
        <w:rPr>
          <w:rFonts w:ascii="宋体" w:hAnsi="宋体" w:eastAsia="宋体" w:cs="宋体"/>
          <w:sz w:val="20"/>
          <w:szCs w:val="20"/>
        </w:rPr>
      </w:pPr>
      <w:r>
        <w:rPr>
          <w:rFonts w:ascii="Times New Roman" w:hAnsi="Times New Roman" w:eastAsia="Times New Roman" w:cs="Times New Roman"/>
          <w:spacing w:val="10"/>
          <w:sz w:val="20"/>
          <w:szCs w:val="20"/>
        </w:rPr>
        <w:t>2.4.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投标人或者其他利害关系人对招标文件（包括对招标文件澄</w:t>
      </w:r>
      <w:r>
        <w:rPr>
          <w:rFonts w:ascii="宋体" w:hAnsi="宋体" w:eastAsia="宋体" w:cs="宋体"/>
          <w:spacing w:val="9"/>
          <w:sz w:val="20"/>
          <w:szCs w:val="20"/>
        </w:rPr>
        <w:t>清和修改的内容）有</w:t>
      </w:r>
      <w:r>
        <w:rPr>
          <w:rFonts w:ascii="宋体" w:hAnsi="宋体" w:eastAsia="宋体" w:cs="宋体"/>
          <w:spacing w:val="4"/>
          <w:sz w:val="20"/>
          <w:szCs w:val="20"/>
        </w:rPr>
        <w:t>异议的，应当在投标人须知前附表第</w:t>
      </w:r>
      <w:r>
        <w:rPr>
          <w:rFonts w:ascii="宋体" w:hAnsi="宋体" w:eastAsia="宋体" w:cs="宋体"/>
          <w:spacing w:val="-42"/>
          <w:sz w:val="20"/>
          <w:szCs w:val="20"/>
        </w:rPr>
        <w:t xml:space="preserve"> </w:t>
      </w:r>
      <w:r>
        <w:rPr>
          <w:rFonts w:ascii="Times New Roman" w:hAnsi="Times New Roman" w:eastAsia="Times New Roman" w:cs="Times New Roman"/>
          <w:spacing w:val="4"/>
          <w:sz w:val="20"/>
          <w:szCs w:val="20"/>
        </w:rPr>
        <w:t>4.2.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项规定的投标截止时间</w:t>
      </w:r>
      <w:r>
        <w:rPr>
          <w:rFonts w:ascii="宋体" w:hAnsi="宋体" w:eastAsia="宋体" w:cs="宋体"/>
          <w:spacing w:val="-20"/>
          <w:sz w:val="20"/>
          <w:szCs w:val="20"/>
        </w:rPr>
        <w:t xml:space="preserve"> </w:t>
      </w:r>
      <w:r>
        <w:rPr>
          <w:rFonts w:ascii="Times New Roman" w:hAnsi="Times New Roman" w:eastAsia="Times New Roman" w:cs="Times New Roman"/>
          <w:spacing w:val="4"/>
          <w:sz w:val="20"/>
          <w:szCs w:val="20"/>
        </w:rPr>
        <w:t xml:space="preserve">10  </w:t>
      </w:r>
      <w:r>
        <w:rPr>
          <w:rFonts w:ascii="宋体" w:hAnsi="宋体" w:eastAsia="宋体" w:cs="宋体"/>
          <w:spacing w:val="4"/>
          <w:sz w:val="20"/>
          <w:szCs w:val="20"/>
        </w:rPr>
        <w:t>日前提出。招标</w:t>
      </w:r>
      <w:r>
        <w:rPr>
          <w:rFonts w:ascii="宋体" w:hAnsi="宋体" w:eastAsia="宋体" w:cs="宋体"/>
          <w:spacing w:val="3"/>
          <w:sz w:val="20"/>
          <w:szCs w:val="20"/>
        </w:rPr>
        <w:t>人自收</w:t>
      </w:r>
      <w:r>
        <w:rPr>
          <w:rFonts w:ascii="宋体" w:hAnsi="宋体" w:eastAsia="宋体" w:cs="宋体"/>
          <w:spacing w:val="6"/>
          <w:sz w:val="20"/>
          <w:szCs w:val="20"/>
        </w:rPr>
        <w:t>到异议之日起</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46"/>
          <w:sz w:val="20"/>
          <w:szCs w:val="20"/>
        </w:rPr>
        <w:t xml:space="preserve"> </w:t>
      </w:r>
      <w:r>
        <w:rPr>
          <w:rFonts w:ascii="宋体" w:hAnsi="宋体" w:eastAsia="宋体" w:cs="宋体"/>
          <w:spacing w:val="6"/>
          <w:sz w:val="20"/>
          <w:szCs w:val="20"/>
        </w:rPr>
        <w:t>日内作出答复；作出答复前，招标人将暂停招标投标活动。逾</w:t>
      </w:r>
      <w:r>
        <w:rPr>
          <w:rFonts w:ascii="宋体" w:hAnsi="宋体" w:eastAsia="宋体" w:cs="宋体"/>
          <w:spacing w:val="5"/>
          <w:sz w:val="20"/>
          <w:szCs w:val="20"/>
        </w:rPr>
        <w:t>期提出的，招标人可不予受理。异议与答复应通过“</w:t>
      </w:r>
      <w:r>
        <w:rPr>
          <w:rFonts w:ascii="宋体" w:hAnsi="宋体" w:eastAsia="宋体" w:cs="宋体"/>
          <w:spacing w:val="-66"/>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”在“异议与答复</w:t>
      </w:r>
      <w:r>
        <w:rPr>
          <w:rFonts w:ascii="宋体" w:hAnsi="宋体" w:eastAsia="宋体" w:cs="宋体"/>
          <w:spacing w:val="-70"/>
          <w:sz w:val="20"/>
          <w:szCs w:val="20"/>
        </w:rPr>
        <w:t xml:space="preserve"> </w:t>
      </w:r>
      <w:r>
        <w:rPr>
          <w:rFonts w:ascii="宋体" w:hAnsi="宋体" w:eastAsia="宋体" w:cs="宋体"/>
          <w:spacing w:val="5"/>
          <w:sz w:val="20"/>
          <w:szCs w:val="20"/>
        </w:rPr>
        <w:t>”菜单以书面形式进</w:t>
      </w:r>
      <w:r>
        <w:rPr>
          <w:rFonts w:ascii="宋体" w:hAnsi="宋体" w:eastAsia="宋体" w:cs="宋体"/>
          <w:sz w:val="20"/>
          <w:szCs w:val="20"/>
        </w:rPr>
        <w:t>行。</w:t>
      </w:r>
    </w:p>
    <w:p w14:paraId="269408C4">
      <w:pPr>
        <w:spacing w:line="370" w:lineRule="auto"/>
        <w:rPr>
          <w:rFonts w:ascii="宋体" w:hAnsi="宋体" w:eastAsia="宋体" w:cs="宋体"/>
          <w:sz w:val="20"/>
          <w:szCs w:val="20"/>
        </w:rPr>
        <w:sectPr>
          <w:footerReference r:id="rId35" w:type="default"/>
          <w:pgSz w:w="11906" w:h="16839"/>
          <w:pgMar w:top="1431" w:right="1731" w:bottom="1156" w:left="1785" w:header="0" w:footer="994" w:gutter="0"/>
          <w:cols w:space="720" w:num="1"/>
        </w:sectPr>
      </w:pPr>
    </w:p>
    <w:p w14:paraId="07F0C5B2">
      <w:pPr>
        <w:spacing w:before="150" w:line="369" w:lineRule="auto"/>
        <w:ind w:left="29" w:right="87" w:firstLine="413"/>
        <w:jc w:val="both"/>
        <w:rPr>
          <w:rFonts w:ascii="宋体" w:hAnsi="宋体" w:eastAsia="宋体" w:cs="宋体"/>
          <w:sz w:val="20"/>
          <w:szCs w:val="20"/>
        </w:rPr>
      </w:pPr>
      <w:r>
        <w:rPr>
          <w:rFonts w:ascii="宋体" w:hAnsi="宋体" w:eastAsia="宋体" w:cs="宋体"/>
          <w:spacing w:val="7"/>
          <w:sz w:val="20"/>
          <w:szCs w:val="20"/>
        </w:rPr>
        <w:t>本处所称异议是指投标人或者其他利害关系人认为招标文件的内容违反法律、法规、规章的强制性规定，违反公开、公平、公正和诚实信用原则，影响投标人投标而向招标人提出</w:t>
      </w:r>
      <w:r>
        <w:rPr>
          <w:rFonts w:ascii="宋体" w:hAnsi="宋体" w:eastAsia="宋体" w:cs="宋体"/>
          <w:spacing w:val="3"/>
          <w:sz w:val="20"/>
          <w:szCs w:val="20"/>
        </w:rPr>
        <w:t>的质疑。</w:t>
      </w:r>
    </w:p>
    <w:p w14:paraId="488E10CE">
      <w:pPr>
        <w:spacing w:line="371" w:lineRule="auto"/>
        <w:ind w:left="23" w:right="86" w:firstLine="415"/>
        <w:rPr>
          <w:rFonts w:ascii="宋体" w:hAnsi="宋体" w:eastAsia="宋体" w:cs="宋体"/>
          <w:sz w:val="20"/>
          <w:szCs w:val="20"/>
        </w:rPr>
      </w:pPr>
      <w:r>
        <w:rPr>
          <w:rFonts w:ascii="Times New Roman" w:hAnsi="Times New Roman" w:eastAsia="Times New Roman" w:cs="Times New Roman"/>
          <w:spacing w:val="12"/>
          <w:sz w:val="20"/>
          <w:szCs w:val="20"/>
        </w:rPr>
        <w:t xml:space="preserve">2.4.2 </w:t>
      </w:r>
      <w:r>
        <w:rPr>
          <w:rFonts w:ascii="宋体" w:hAnsi="宋体" w:eastAsia="宋体" w:cs="宋体"/>
          <w:spacing w:val="12"/>
          <w:sz w:val="20"/>
          <w:szCs w:val="20"/>
        </w:rPr>
        <w:t>招标人对异议的答复构成对招标文件澄清或者修改的，招标人将按照本章第</w:t>
      </w:r>
      <w:r>
        <w:rPr>
          <w:rFonts w:ascii="宋体" w:hAnsi="宋体" w:eastAsia="宋体" w:cs="宋体"/>
          <w:spacing w:val="-25"/>
          <w:sz w:val="20"/>
          <w:szCs w:val="20"/>
        </w:rPr>
        <w:t xml:space="preserve"> </w:t>
      </w:r>
      <w:r>
        <w:rPr>
          <w:rFonts w:ascii="Times New Roman" w:hAnsi="Times New Roman" w:eastAsia="Times New Roman" w:cs="Times New Roman"/>
          <w:spacing w:val="12"/>
          <w:sz w:val="20"/>
          <w:szCs w:val="20"/>
        </w:rPr>
        <w:t>2.2</w:t>
      </w:r>
      <w:r>
        <w:rPr>
          <w:rFonts w:ascii="宋体" w:hAnsi="宋体" w:eastAsia="宋体" w:cs="宋体"/>
          <w:spacing w:val="6"/>
          <w:sz w:val="20"/>
          <w:szCs w:val="20"/>
        </w:rPr>
        <w:t>款、第</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 xml:space="preserve">2.3 </w:t>
      </w:r>
      <w:r>
        <w:rPr>
          <w:rFonts w:ascii="宋体" w:hAnsi="宋体" w:eastAsia="宋体" w:cs="宋体"/>
          <w:spacing w:val="6"/>
          <w:sz w:val="20"/>
          <w:szCs w:val="20"/>
        </w:rPr>
        <w:t>款规定办理。</w:t>
      </w:r>
    </w:p>
    <w:p w14:paraId="7CAD4BEF">
      <w:pPr>
        <w:pStyle w:val="2"/>
        <w:spacing w:before="33" w:line="222" w:lineRule="auto"/>
        <w:ind w:left="25"/>
        <w:outlineLvl w:val="2"/>
        <w:rPr>
          <w:sz w:val="28"/>
          <w:szCs w:val="28"/>
        </w:rPr>
      </w:pPr>
      <w:bookmarkStart w:id="26" w:name="bookmark26"/>
      <w:bookmarkEnd w:id="26"/>
      <w:bookmarkStart w:id="27" w:name="bookmark27"/>
      <w:bookmarkEnd w:id="27"/>
      <w:r>
        <w:rPr>
          <w:rFonts w:ascii="Times New Roman" w:hAnsi="Times New Roman" w:eastAsia="Times New Roman" w:cs="Times New Roman"/>
          <w:spacing w:val="-2"/>
          <w:sz w:val="28"/>
          <w:szCs w:val="28"/>
        </w:rPr>
        <w:t xml:space="preserve">3.  </w:t>
      </w:r>
      <w:r>
        <w:rPr>
          <w:spacing w:val="-2"/>
          <w:sz w:val="28"/>
          <w:szCs w:val="28"/>
        </w:rPr>
        <w:t>投标文件</w:t>
      </w:r>
    </w:p>
    <w:p w14:paraId="76213D87">
      <w:pPr>
        <w:pStyle w:val="2"/>
        <w:spacing w:before="98" w:line="222" w:lineRule="auto"/>
        <w:ind w:left="23"/>
        <w:outlineLvl w:val="3"/>
        <w:rPr>
          <w:sz w:val="24"/>
          <w:szCs w:val="24"/>
        </w:rPr>
      </w:pPr>
      <w:bookmarkStart w:id="28" w:name="bookmark445"/>
      <w:bookmarkEnd w:id="28"/>
      <w:r>
        <w:rPr>
          <w:rFonts w:ascii="Times New Roman" w:hAnsi="Times New Roman" w:eastAsia="Times New Roman" w:cs="Times New Roman"/>
          <w:spacing w:val="-1"/>
          <w:sz w:val="24"/>
          <w:szCs w:val="24"/>
        </w:rPr>
        <w:t xml:space="preserve">3.1  </w:t>
      </w:r>
      <w:r>
        <w:rPr>
          <w:spacing w:val="-1"/>
          <w:sz w:val="24"/>
          <w:szCs w:val="24"/>
        </w:rPr>
        <w:t>投标文件的组成</w:t>
      </w:r>
    </w:p>
    <w:p w14:paraId="205C02F9">
      <w:pPr>
        <w:spacing w:before="136" w:line="228" w:lineRule="auto"/>
        <w:ind w:left="442"/>
        <w:rPr>
          <w:rFonts w:ascii="宋体" w:hAnsi="宋体" w:eastAsia="宋体" w:cs="宋体"/>
          <w:sz w:val="20"/>
          <w:szCs w:val="20"/>
        </w:rPr>
      </w:pPr>
      <w:r>
        <w:rPr>
          <w:rFonts w:ascii="Times New Roman" w:hAnsi="Times New Roman" w:eastAsia="Times New Roman" w:cs="Times New Roman"/>
          <w:spacing w:val="4"/>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投标文件应包括下列内容：</w:t>
      </w:r>
    </w:p>
    <w:p w14:paraId="08A999DF">
      <w:pPr>
        <w:spacing w:before="154" w:line="227" w:lineRule="auto"/>
        <w:ind w:left="39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）投标函及投标函附录；</w:t>
      </w:r>
    </w:p>
    <w:p w14:paraId="420C3559">
      <w:pPr>
        <w:spacing w:before="155" w:line="228" w:lineRule="auto"/>
        <w:ind w:left="39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）法定代表人身份证明；</w:t>
      </w:r>
    </w:p>
    <w:p w14:paraId="07AE12E5">
      <w:pPr>
        <w:spacing w:before="152" w:line="228" w:lineRule="auto"/>
        <w:ind w:left="392"/>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3</w:t>
      </w:r>
      <w:r>
        <w:rPr>
          <w:rFonts w:ascii="宋体" w:hAnsi="宋体" w:eastAsia="宋体" w:cs="宋体"/>
          <w:spacing w:val="5"/>
          <w:sz w:val="20"/>
          <w:szCs w:val="20"/>
        </w:rPr>
        <w:t>）投标保证金；</w:t>
      </w:r>
    </w:p>
    <w:p w14:paraId="3172A80E">
      <w:pPr>
        <w:spacing w:before="154" w:line="227" w:lineRule="auto"/>
        <w:ind w:left="39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）联合体协议书；</w:t>
      </w:r>
    </w:p>
    <w:p w14:paraId="73699ED6">
      <w:pPr>
        <w:spacing w:before="154" w:line="227" w:lineRule="auto"/>
        <w:ind w:left="39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）拟分包项目情况表（适用于非政府采购工程</w:t>
      </w:r>
      <w:r>
        <w:rPr>
          <w:rFonts w:ascii="宋体" w:hAnsi="宋体" w:eastAsia="宋体" w:cs="宋体"/>
          <w:spacing w:val="-46"/>
          <w:sz w:val="20"/>
          <w:szCs w:val="20"/>
        </w:rPr>
        <w:t>）；</w:t>
      </w:r>
    </w:p>
    <w:p w14:paraId="1C2AD1D0">
      <w:pPr>
        <w:spacing w:before="153" w:line="227" w:lineRule="auto"/>
        <w:ind w:left="39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）分包意向协议书（适用于政府采购工程</w:t>
      </w:r>
      <w:r>
        <w:rPr>
          <w:rFonts w:ascii="宋体" w:hAnsi="宋体" w:eastAsia="宋体" w:cs="宋体"/>
          <w:spacing w:val="-48"/>
          <w:sz w:val="20"/>
          <w:szCs w:val="20"/>
        </w:rPr>
        <w:t>）；</w:t>
      </w:r>
    </w:p>
    <w:p w14:paraId="3FC88FE5">
      <w:pPr>
        <w:spacing w:before="155" w:line="227" w:lineRule="auto"/>
        <w:ind w:left="39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）中小企业声明函（适用于政府采购工程</w:t>
      </w:r>
      <w:r>
        <w:rPr>
          <w:rFonts w:ascii="宋体" w:hAnsi="宋体" w:eastAsia="宋体" w:cs="宋体"/>
          <w:spacing w:val="-48"/>
          <w:sz w:val="20"/>
          <w:szCs w:val="20"/>
        </w:rPr>
        <w:t>）；</w:t>
      </w:r>
    </w:p>
    <w:p w14:paraId="30816FDE">
      <w:pPr>
        <w:spacing w:before="155" w:line="227" w:lineRule="auto"/>
        <w:ind w:left="39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7</w:t>
      </w:r>
      <w:r>
        <w:rPr>
          <w:rFonts w:ascii="宋体" w:hAnsi="宋体" w:eastAsia="宋体" w:cs="宋体"/>
          <w:spacing w:val="6"/>
          <w:sz w:val="20"/>
          <w:szCs w:val="20"/>
        </w:rPr>
        <w:t>）项目管理机构；</w:t>
      </w:r>
    </w:p>
    <w:p w14:paraId="5C225F49">
      <w:pPr>
        <w:spacing w:before="152" w:line="228" w:lineRule="auto"/>
        <w:ind w:left="39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8</w:t>
      </w:r>
      <w:r>
        <w:rPr>
          <w:rFonts w:ascii="宋体" w:hAnsi="宋体" w:eastAsia="宋体" w:cs="宋体"/>
          <w:spacing w:val="6"/>
          <w:sz w:val="20"/>
          <w:szCs w:val="20"/>
        </w:rPr>
        <w:t>）资格审查资料；</w:t>
      </w:r>
    </w:p>
    <w:p w14:paraId="3510A3AC">
      <w:pPr>
        <w:spacing w:before="154" w:line="226" w:lineRule="auto"/>
        <w:ind w:left="392"/>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9</w:t>
      </w:r>
      <w:r>
        <w:rPr>
          <w:rFonts w:ascii="宋体" w:hAnsi="宋体" w:eastAsia="宋体" w:cs="宋体"/>
          <w:spacing w:val="3"/>
          <w:sz w:val="20"/>
          <w:szCs w:val="20"/>
        </w:rPr>
        <w:t>）</w:t>
      </w:r>
      <w:r>
        <w:rPr>
          <w:rFonts w:ascii="宋体" w:hAnsi="宋体" w:eastAsia="宋体" w:cs="宋体"/>
          <w:spacing w:val="-55"/>
          <w:sz w:val="20"/>
          <w:szCs w:val="20"/>
        </w:rPr>
        <w:t xml:space="preserve"> </w:t>
      </w:r>
      <w:r>
        <w:rPr>
          <w:rFonts w:ascii="宋体" w:hAnsi="宋体" w:eastAsia="宋体" w:cs="宋体"/>
          <w:spacing w:val="3"/>
          <w:sz w:val="20"/>
          <w:szCs w:val="20"/>
        </w:rPr>
        <w:t>已标价工程量清单；</w:t>
      </w:r>
    </w:p>
    <w:p w14:paraId="5CA51283">
      <w:pPr>
        <w:spacing w:before="156" w:line="229" w:lineRule="auto"/>
        <w:ind w:left="39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10</w:t>
      </w:r>
      <w:r>
        <w:rPr>
          <w:rFonts w:ascii="宋体" w:hAnsi="宋体" w:eastAsia="宋体" w:cs="宋体"/>
          <w:spacing w:val="6"/>
          <w:sz w:val="20"/>
          <w:szCs w:val="20"/>
        </w:rPr>
        <w:t>）施工组织设计；</w:t>
      </w:r>
    </w:p>
    <w:p w14:paraId="7D14C7CC">
      <w:pPr>
        <w:spacing w:before="150" w:line="227" w:lineRule="auto"/>
        <w:ind w:left="39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11</w:t>
      </w:r>
      <w:r>
        <w:rPr>
          <w:rFonts w:ascii="宋体" w:hAnsi="宋体" w:eastAsia="宋体" w:cs="宋体"/>
          <w:spacing w:val="7"/>
          <w:sz w:val="20"/>
          <w:szCs w:val="20"/>
        </w:rPr>
        <w:t>）投标人须知前附表规定的其他材料。</w:t>
      </w:r>
    </w:p>
    <w:p w14:paraId="4BF25770">
      <w:pPr>
        <w:spacing w:before="155" w:line="358" w:lineRule="auto"/>
        <w:ind w:left="23" w:right="87" w:firstLine="358"/>
        <w:rPr>
          <w:rFonts w:ascii="宋体" w:hAnsi="宋体" w:eastAsia="宋体" w:cs="宋体"/>
          <w:sz w:val="20"/>
          <w:szCs w:val="20"/>
        </w:rPr>
      </w:pPr>
      <w:r>
        <w:rPr>
          <w:rFonts w:ascii="Times New Roman" w:hAnsi="Times New Roman" w:eastAsia="Times New Roman" w:cs="Times New Roman"/>
          <w:spacing w:val="10"/>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1.2  </w:t>
      </w:r>
      <w:r>
        <w:rPr>
          <w:rFonts w:ascii="宋体" w:hAnsi="宋体" w:eastAsia="宋体" w:cs="宋体"/>
          <w:spacing w:val="10"/>
          <w:sz w:val="20"/>
          <w:szCs w:val="20"/>
        </w:rPr>
        <w:t>投标人须知前附表规定不接受联合体投标的，或投标人</w:t>
      </w:r>
      <w:r>
        <w:rPr>
          <w:rFonts w:ascii="宋体" w:hAnsi="宋体" w:eastAsia="宋体" w:cs="宋体"/>
          <w:spacing w:val="9"/>
          <w:sz w:val="20"/>
          <w:szCs w:val="20"/>
        </w:rPr>
        <w:t>没有组成联合体的，投标</w:t>
      </w:r>
      <w:r>
        <w:rPr>
          <w:rFonts w:ascii="宋体" w:hAnsi="宋体" w:eastAsia="宋体" w:cs="宋体"/>
          <w:spacing w:val="4"/>
          <w:sz w:val="20"/>
          <w:szCs w:val="20"/>
        </w:rPr>
        <w:t>文件不包括本章第</w:t>
      </w:r>
      <w:r>
        <w:rPr>
          <w:rFonts w:ascii="宋体" w:hAnsi="宋体" w:eastAsia="宋体" w:cs="宋体"/>
          <w:spacing w:val="-26"/>
          <w:sz w:val="20"/>
          <w:szCs w:val="20"/>
        </w:rPr>
        <w:t xml:space="preserve"> </w:t>
      </w:r>
      <w:r>
        <w:rPr>
          <w:rFonts w:ascii="Times New Roman" w:hAnsi="Times New Roman" w:eastAsia="Times New Roman" w:cs="Times New Roman"/>
          <w:spacing w:val="4"/>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1.1</w:t>
      </w:r>
      <w:r>
        <w:rPr>
          <w:rFonts w:ascii="宋体" w:hAnsi="宋体" w:eastAsia="宋体" w:cs="宋体"/>
          <w:spacing w:val="4"/>
          <w:sz w:val="20"/>
          <w:szCs w:val="20"/>
        </w:rPr>
        <w:t>（</w:t>
      </w:r>
      <w:r>
        <w:rPr>
          <w:rFonts w:ascii="Times New Roman" w:hAnsi="Times New Roman" w:eastAsia="Times New Roman" w:cs="Times New Roman"/>
          <w:spacing w:val="4"/>
          <w:sz w:val="20"/>
          <w:szCs w:val="20"/>
        </w:rPr>
        <w:t>3</w:t>
      </w:r>
      <w:r>
        <w:rPr>
          <w:rFonts w:ascii="宋体" w:hAnsi="宋体" w:eastAsia="宋体" w:cs="宋体"/>
          <w:spacing w:val="4"/>
          <w:sz w:val="20"/>
          <w:szCs w:val="20"/>
        </w:rPr>
        <w:t>）</w:t>
      </w:r>
      <w:r>
        <w:rPr>
          <w:rFonts w:ascii="宋体" w:hAnsi="宋体" w:eastAsia="宋体" w:cs="宋体"/>
          <w:spacing w:val="-42"/>
          <w:sz w:val="20"/>
          <w:szCs w:val="20"/>
        </w:rPr>
        <w:t xml:space="preserve"> </w:t>
      </w:r>
      <w:r>
        <w:rPr>
          <w:rFonts w:ascii="宋体" w:hAnsi="宋体" w:eastAsia="宋体" w:cs="宋体"/>
          <w:spacing w:val="4"/>
          <w:sz w:val="20"/>
          <w:szCs w:val="20"/>
        </w:rPr>
        <w:t>目所指的联合体协议书。</w:t>
      </w:r>
    </w:p>
    <w:p w14:paraId="7DBC0343">
      <w:pPr>
        <w:pStyle w:val="2"/>
        <w:spacing w:line="221" w:lineRule="auto"/>
        <w:ind w:left="23"/>
        <w:outlineLvl w:val="3"/>
        <w:rPr>
          <w:sz w:val="24"/>
          <w:szCs w:val="24"/>
        </w:rPr>
      </w:pPr>
      <w:bookmarkStart w:id="29" w:name="bookmark28"/>
      <w:bookmarkEnd w:id="29"/>
      <w:r>
        <w:rPr>
          <w:rFonts w:ascii="Times New Roman" w:hAnsi="Times New Roman" w:eastAsia="Times New Roman" w:cs="Times New Roman"/>
          <w:spacing w:val="-2"/>
          <w:sz w:val="24"/>
          <w:szCs w:val="24"/>
        </w:rPr>
        <w:t xml:space="preserve">3.2  </w:t>
      </w:r>
      <w:r>
        <w:rPr>
          <w:spacing w:val="-2"/>
          <w:sz w:val="24"/>
          <w:szCs w:val="24"/>
        </w:rPr>
        <w:t>投标报价</w:t>
      </w:r>
    </w:p>
    <w:p w14:paraId="1CF296B3">
      <w:pPr>
        <w:spacing w:before="137" w:line="369" w:lineRule="auto"/>
        <w:ind w:left="62" w:right="105" w:firstLine="380"/>
        <w:rPr>
          <w:rFonts w:ascii="宋体" w:hAnsi="宋体" w:eastAsia="宋体" w:cs="宋体"/>
          <w:sz w:val="20"/>
          <w:szCs w:val="20"/>
        </w:rPr>
      </w:pPr>
      <w:r>
        <w:rPr>
          <w:rFonts w:ascii="Times New Roman" w:hAnsi="Times New Roman" w:eastAsia="Times New Roman" w:cs="Times New Roman"/>
          <w:spacing w:val="7"/>
          <w:sz w:val="20"/>
          <w:szCs w:val="20"/>
        </w:rPr>
        <w:t>3.2.</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投标人应按第五章“工程量清单</w:t>
      </w:r>
      <w:r>
        <w:rPr>
          <w:rFonts w:ascii="宋体" w:hAnsi="宋体" w:eastAsia="宋体" w:cs="宋体"/>
          <w:spacing w:val="-70"/>
          <w:sz w:val="20"/>
          <w:szCs w:val="20"/>
        </w:rPr>
        <w:t xml:space="preserve"> </w:t>
      </w:r>
      <w:r>
        <w:rPr>
          <w:rFonts w:ascii="宋体" w:hAnsi="宋体" w:eastAsia="宋体" w:cs="宋体"/>
          <w:spacing w:val="7"/>
          <w:sz w:val="20"/>
          <w:szCs w:val="20"/>
        </w:rPr>
        <w:t>”的要求填写相应表格，并按本章第</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1.2</w:t>
      </w: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w:t>
      </w:r>
      <w:r>
        <w:rPr>
          <w:rFonts w:ascii="宋体" w:hAnsi="宋体" w:eastAsia="宋体" w:cs="宋体"/>
          <w:spacing w:val="8"/>
          <w:sz w:val="20"/>
          <w:szCs w:val="20"/>
        </w:rPr>
        <w:t>目约定的计税方法计税。未按约定的计税方法计税的，其投标将被否决。</w:t>
      </w:r>
    </w:p>
    <w:p w14:paraId="566263AF">
      <w:pPr>
        <w:spacing w:before="1" w:line="369" w:lineRule="auto"/>
        <w:ind w:left="23" w:firstLine="418"/>
        <w:rPr>
          <w:rFonts w:ascii="宋体" w:hAnsi="宋体" w:eastAsia="宋体" w:cs="宋体"/>
          <w:sz w:val="20"/>
          <w:szCs w:val="20"/>
        </w:rPr>
      </w:pPr>
      <w:r>
        <w:rPr>
          <w:rFonts w:ascii="Times New Roman" w:hAnsi="Times New Roman" w:eastAsia="Times New Roman" w:cs="Times New Roman"/>
          <w:spacing w:val="2"/>
          <w:sz w:val="20"/>
          <w:szCs w:val="20"/>
        </w:rPr>
        <w:t xml:space="preserve">3.2.2  </w:t>
      </w:r>
      <w:r>
        <w:rPr>
          <w:rFonts w:ascii="宋体" w:hAnsi="宋体" w:eastAsia="宋体" w:cs="宋体"/>
          <w:spacing w:val="2"/>
          <w:sz w:val="20"/>
          <w:szCs w:val="20"/>
        </w:rPr>
        <w:t>投标人经复核认为招标人公布的招标控制价未按本章第</w:t>
      </w:r>
      <w:r>
        <w:rPr>
          <w:rFonts w:ascii="宋体" w:hAnsi="宋体" w:eastAsia="宋体" w:cs="宋体"/>
          <w:spacing w:val="-43"/>
          <w:sz w:val="20"/>
          <w:szCs w:val="20"/>
        </w:rPr>
        <w:t xml:space="preserve"> </w:t>
      </w: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r>
        <w:rPr>
          <w:rFonts w:ascii="宋体" w:hAnsi="宋体" w:eastAsia="宋体" w:cs="宋体"/>
          <w:spacing w:val="2"/>
          <w:sz w:val="20"/>
          <w:szCs w:val="20"/>
        </w:rPr>
        <w:t>（</w:t>
      </w:r>
      <w:r>
        <w:rPr>
          <w:rFonts w:ascii="Times New Roman" w:hAnsi="Times New Roman" w:eastAsia="Times New Roman" w:cs="Times New Roman"/>
          <w:spacing w:val="2"/>
          <w:sz w:val="20"/>
          <w:szCs w:val="20"/>
        </w:rPr>
        <w:t>1</w:t>
      </w:r>
      <w:r>
        <w:rPr>
          <w:rFonts w:ascii="宋体" w:hAnsi="宋体" w:eastAsia="宋体" w:cs="宋体"/>
          <w:spacing w:val="2"/>
          <w:sz w:val="20"/>
          <w:szCs w:val="20"/>
        </w:rPr>
        <w:t>）目、第</w:t>
      </w:r>
      <w:r>
        <w:rPr>
          <w:rFonts w:ascii="宋体" w:hAnsi="宋体" w:eastAsia="宋体" w:cs="宋体"/>
          <w:spacing w:val="-43"/>
          <w:sz w:val="20"/>
          <w:szCs w:val="20"/>
        </w:rPr>
        <w:t xml:space="preserve"> </w:t>
      </w: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r>
        <w:rPr>
          <w:rFonts w:ascii="宋体" w:hAnsi="宋体" w:eastAsia="宋体" w:cs="宋体"/>
          <w:spacing w:val="1"/>
          <w:sz w:val="20"/>
          <w:szCs w:val="20"/>
        </w:rPr>
        <w:t>（</w:t>
      </w:r>
      <w:r>
        <w:rPr>
          <w:rFonts w:ascii="Times New Roman" w:hAnsi="Times New Roman" w:eastAsia="Times New Roman" w:cs="Times New Roman"/>
          <w:spacing w:val="1"/>
          <w:sz w:val="20"/>
          <w:szCs w:val="20"/>
        </w:rPr>
        <w:t>3</w:t>
      </w:r>
      <w:r>
        <w:rPr>
          <w:rFonts w:ascii="宋体" w:hAnsi="宋体" w:eastAsia="宋体" w:cs="宋体"/>
          <w:spacing w:val="1"/>
          <w:sz w:val="20"/>
          <w:szCs w:val="20"/>
        </w:rPr>
        <w:t>）</w:t>
      </w:r>
      <w:r>
        <w:rPr>
          <w:rFonts w:ascii="宋体" w:hAnsi="宋体" w:eastAsia="宋体" w:cs="宋体"/>
          <w:spacing w:val="8"/>
          <w:sz w:val="20"/>
          <w:szCs w:val="20"/>
        </w:rPr>
        <w:t>目的规定编制，可按本章第</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款的规定向招标人提出异议。对异议的答复仍持有异议，可按本章第</w:t>
      </w:r>
      <w:r>
        <w:rPr>
          <w:rFonts w:ascii="宋体" w:hAnsi="宋体" w:eastAsia="宋体" w:cs="宋体"/>
          <w:spacing w:val="-31"/>
          <w:sz w:val="20"/>
          <w:szCs w:val="20"/>
        </w:rPr>
        <w:t xml:space="preserve"> </w:t>
      </w:r>
      <w:r>
        <w:rPr>
          <w:rFonts w:ascii="Times New Roman" w:hAnsi="Times New Roman" w:eastAsia="Times New Roman" w:cs="Times New Roman"/>
          <w:spacing w:val="8"/>
          <w:sz w:val="20"/>
          <w:szCs w:val="20"/>
        </w:rPr>
        <w:t xml:space="preserve">9.5 </w:t>
      </w:r>
      <w:r>
        <w:rPr>
          <w:rFonts w:ascii="宋体" w:hAnsi="宋体" w:eastAsia="宋体" w:cs="宋体"/>
          <w:spacing w:val="8"/>
          <w:sz w:val="20"/>
          <w:szCs w:val="20"/>
        </w:rPr>
        <w:t>款的规定在投标截止时间前，向有关行政监督部门投诉。</w:t>
      </w:r>
    </w:p>
    <w:p w14:paraId="6A0BB372">
      <w:pPr>
        <w:spacing w:before="2" w:line="369" w:lineRule="auto"/>
        <w:ind w:left="22" w:right="87" w:firstLine="420"/>
        <w:rPr>
          <w:rFonts w:ascii="宋体" w:hAnsi="宋体" w:eastAsia="宋体" w:cs="宋体"/>
          <w:sz w:val="20"/>
          <w:szCs w:val="20"/>
        </w:rPr>
      </w:pPr>
      <w:r>
        <w:rPr>
          <w:rFonts w:ascii="Times New Roman" w:hAnsi="Times New Roman" w:eastAsia="Times New Roman" w:cs="Times New Roman"/>
          <w:spacing w:val="9"/>
          <w:sz w:val="20"/>
          <w:szCs w:val="20"/>
        </w:rPr>
        <w:t xml:space="preserve">3.2.3  </w:t>
      </w:r>
      <w:r>
        <w:rPr>
          <w:rFonts w:ascii="宋体" w:hAnsi="宋体" w:eastAsia="宋体" w:cs="宋体"/>
          <w:spacing w:val="9"/>
          <w:sz w:val="20"/>
          <w:szCs w:val="20"/>
        </w:rPr>
        <w:t>投标人在投标截止时间前修改投标函中的投标总报价，应同时修改第五</w:t>
      </w:r>
      <w:r>
        <w:rPr>
          <w:rFonts w:ascii="宋体" w:hAnsi="宋体" w:eastAsia="宋体" w:cs="宋体"/>
          <w:spacing w:val="8"/>
          <w:sz w:val="20"/>
          <w:szCs w:val="20"/>
        </w:rPr>
        <w:t>章“工程</w:t>
      </w:r>
      <w:r>
        <w:rPr>
          <w:rFonts w:ascii="宋体" w:hAnsi="宋体" w:eastAsia="宋体" w:cs="宋体"/>
          <w:spacing w:val="7"/>
          <w:sz w:val="20"/>
          <w:szCs w:val="20"/>
        </w:rPr>
        <w:t>量清单</w:t>
      </w:r>
      <w:r>
        <w:rPr>
          <w:rFonts w:ascii="宋体" w:hAnsi="宋体" w:eastAsia="宋体" w:cs="宋体"/>
          <w:spacing w:val="-60"/>
          <w:sz w:val="20"/>
          <w:szCs w:val="20"/>
        </w:rPr>
        <w:t xml:space="preserve"> </w:t>
      </w:r>
      <w:r>
        <w:rPr>
          <w:rFonts w:ascii="宋体" w:hAnsi="宋体" w:eastAsia="宋体" w:cs="宋体"/>
          <w:spacing w:val="7"/>
          <w:sz w:val="20"/>
          <w:szCs w:val="20"/>
        </w:rPr>
        <w:t>”中的相应报价。此修改须符合本章第</w:t>
      </w:r>
      <w:r>
        <w:rPr>
          <w:rFonts w:ascii="宋体" w:hAnsi="宋体" w:eastAsia="宋体" w:cs="宋体"/>
          <w:spacing w:val="-42"/>
          <w:sz w:val="20"/>
          <w:szCs w:val="20"/>
        </w:rPr>
        <w:t xml:space="preserve"> </w:t>
      </w:r>
      <w:r>
        <w:rPr>
          <w:rFonts w:ascii="Times New Roman" w:hAnsi="Times New Roman" w:eastAsia="Times New Roman" w:cs="Times New Roman"/>
          <w:spacing w:val="7"/>
          <w:sz w:val="20"/>
          <w:szCs w:val="20"/>
        </w:rPr>
        <w:t xml:space="preserve">4.3 </w:t>
      </w:r>
      <w:r>
        <w:rPr>
          <w:rFonts w:ascii="宋体" w:hAnsi="宋体" w:eastAsia="宋体" w:cs="宋体"/>
          <w:spacing w:val="7"/>
          <w:sz w:val="20"/>
          <w:szCs w:val="20"/>
        </w:rPr>
        <w:t>款的有关要求。</w:t>
      </w:r>
    </w:p>
    <w:p w14:paraId="1A04EC79">
      <w:pPr>
        <w:spacing w:before="1" w:line="356" w:lineRule="auto"/>
        <w:ind w:left="27" w:right="87" w:firstLine="414"/>
        <w:rPr>
          <w:rFonts w:ascii="宋体" w:hAnsi="宋体" w:eastAsia="宋体" w:cs="宋体"/>
          <w:sz w:val="20"/>
          <w:szCs w:val="20"/>
        </w:rPr>
      </w:pPr>
      <w:r>
        <w:rPr>
          <w:rFonts w:ascii="Times New Roman" w:hAnsi="Times New Roman" w:eastAsia="Times New Roman" w:cs="Times New Roman"/>
          <w:spacing w:val="10"/>
          <w:sz w:val="20"/>
          <w:szCs w:val="20"/>
        </w:rPr>
        <w:t xml:space="preserve">3.2.4 </w:t>
      </w:r>
      <w:r>
        <w:rPr>
          <w:rFonts w:ascii="宋体" w:hAnsi="宋体" w:eastAsia="宋体" w:cs="宋体"/>
          <w:spacing w:val="10"/>
          <w:sz w:val="20"/>
          <w:szCs w:val="20"/>
        </w:rPr>
        <w:t>投标人投标函中的大写投标总报价或算术错误修正后的投标总价大于招标控制价</w:t>
      </w:r>
      <w:r>
        <w:rPr>
          <w:rFonts w:ascii="宋体" w:hAnsi="宋体" w:eastAsia="宋体" w:cs="宋体"/>
          <w:spacing w:val="7"/>
          <w:sz w:val="20"/>
          <w:szCs w:val="20"/>
        </w:rPr>
        <w:t>总价的，其投标将被否决。</w:t>
      </w:r>
    </w:p>
    <w:p w14:paraId="1F2A4EBC">
      <w:pPr>
        <w:pStyle w:val="2"/>
        <w:spacing w:before="1" w:line="220" w:lineRule="auto"/>
        <w:ind w:left="23"/>
        <w:outlineLvl w:val="3"/>
        <w:rPr>
          <w:sz w:val="24"/>
          <w:szCs w:val="24"/>
        </w:rPr>
      </w:pPr>
      <w:bookmarkStart w:id="30" w:name="bookmark29"/>
      <w:bookmarkEnd w:id="30"/>
      <w:r>
        <w:rPr>
          <w:rFonts w:ascii="Times New Roman" w:hAnsi="Times New Roman" w:eastAsia="Times New Roman" w:cs="Times New Roman"/>
          <w:spacing w:val="-1"/>
          <w:sz w:val="24"/>
          <w:szCs w:val="24"/>
        </w:rPr>
        <w:t xml:space="preserve">3.3  </w:t>
      </w:r>
      <w:r>
        <w:rPr>
          <w:spacing w:val="-1"/>
          <w:sz w:val="24"/>
          <w:szCs w:val="24"/>
        </w:rPr>
        <w:t>投标有效期</w:t>
      </w:r>
    </w:p>
    <w:p w14:paraId="0F56DFD8">
      <w:pPr>
        <w:spacing w:before="140" w:line="227" w:lineRule="auto"/>
        <w:ind w:left="442"/>
        <w:rPr>
          <w:rFonts w:ascii="宋体" w:hAnsi="宋体" w:eastAsia="宋体" w:cs="宋体"/>
          <w:sz w:val="20"/>
          <w:szCs w:val="20"/>
        </w:rPr>
      </w:pPr>
      <w:r>
        <w:rPr>
          <w:rFonts w:ascii="Times New Roman" w:hAnsi="Times New Roman" w:eastAsia="Times New Roman" w:cs="Times New Roman"/>
          <w:spacing w:val="8"/>
          <w:sz w:val="20"/>
          <w:szCs w:val="20"/>
        </w:rPr>
        <w:t>3.3.</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在投标人须知前附表规定的投标有效期内，投标人不得要求撤销或修改其投标文</w:t>
      </w:r>
    </w:p>
    <w:p w14:paraId="250E799F">
      <w:pPr>
        <w:spacing w:line="227" w:lineRule="auto"/>
        <w:rPr>
          <w:rFonts w:ascii="宋体" w:hAnsi="宋体" w:eastAsia="宋体" w:cs="宋体"/>
          <w:sz w:val="20"/>
          <w:szCs w:val="20"/>
        </w:rPr>
        <w:sectPr>
          <w:footerReference r:id="rId36" w:type="default"/>
          <w:pgSz w:w="11906" w:h="16839"/>
          <w:pgMar w:top="1431" w:right="1714" w:bottom="1156" w:left="1785" w:header="0" w:footer="994" w:gutter="0"/>
          <w:cols w:space="720" w:num="1"/>
        </w:sectPr>
      </w:pPr>
    </w:p>
    <w:p w14:paraId="19729527">
      <w:pPr>
        <w:spacing w:before="149" w:line="228" w:lineRule="auto"/>
        <w:ind w:left="21"/>
        <w:rPr>
          <w:rFonts w:ascii="宋体" w:hAnsi="宋体" w:eastAsia="宋体" w:cs="宋体"/>
          <w:sz w:val="20"/>
          <w:szCs w:val="20"/>
        </w:rPr>
      </w:pPr>
      <w:r>
        <w:rPr>
          <w:rFonts w:ascii="宋体" w:hAnsi="宋体" w:eastAsia="宋体" w:cs="宋体"/>
          <w:sz w:val="20"/>
          <w:szCs w:val="20"/>
        </w:rPr>
        <w:t>件。</w:t>
      </w:r>
    </w:p>
    <w:p w14:paraId="17606199">
      <w:pPr>
        <w:spacing w:before="154" w:line="361" w:lineRule="auto"/>
        <w:ind w:left="23" w:firstLine="419"/>
        <w:jc w:val="both"/>
        <w:rPr>
          <w:rFonts w:ascii="宋体" w:hAnsi="宋体" w:eastAsia="宋体" w:cs="宋体"/>
          <w:sz w:val="20"/>
          <w:szCs w:val="20"/>
        </w:rPr>
      </w:pPr>
      <w:r>
        <w:rPr>
          <w:rFonts w:ascii="Times New Roman" w:hAnsi="Times New Roman" w:eastAsia="Times New Roman" w:cs="Times New Roman"/>
          <w:spacing w:val="10"/>
          <w:sz w:val="20"/>
          <w:szCs w:val="20"/>
        </w:rPr>
        <w:t>3.3.2</w:t>
      </w:r>
      <w:r>
        <w:rPr>
          <w:rFonts w:ascii="Times New Roman" w:hAnsi="Times New Roman" w:eastAsia="Times New Roman" w:cs="Times New Roman"/>
          <w:spacing w:val="27"/>
          <w:w w:val="101"/>
          <w:sz w:val="20"/>
          <w:szCs w:val="20"/>
        </w:rPr>
        <w:t xml:space="preserve"> </w:t>
      </w:r>
      <w:r>
        <w:rPr>
          <w:rFonts w:ascii="宋体" w:hAnsi="宋体" w:eastAsia="宋体" w:cs="宋体"/>
          <w:spacing w:val="10"/>
          <w:sz w:val="20"/>
          <w:szCs w:val="20"/>
        </w:rPr>
        <w:t>出现特殊情况需要延长投标有效期的，招标人以书面形式通知所有</w:t>
      </w:r>
      <w:r>
        <w:rPr>
          <w:rFonts w:ascii="宋体" w:hAnsi="宋体" w:eastAsia="宋体" w:cs="宋体"/>
          <w:spacing w:val="9"/>
          <w:sz w:val="20"/>
          <w:szCs w:val="20"/>
        </w:rPr>
        <w:t>投标人延长投</w:t>
      </w:r>
      <w:r>
        <w:rPr>
          <w:rFonts w:ascii="宋体" w:hAnsi="宋体" w:eastAsia="宋体" w:cs="宋体"/>
          <w:spacing w:val="7"/>
          <w:sz w:val="20"/>
          <w:szCs w:val="20"/>
        </w:rPr>
        <w:t>标有效期。投标人同意延长的，应相应延长其投标保证金的有效期，但不得要求或被允许修</w:t>
      </w:r>
      <w:r>
        <w:rPr>
          <w:rFonts w:ascii="宋体" w:hAnsi="宋体" w:eastAsia="宋体" w:cs="宋体"/>
          <w:spacing w:val="9"/>
          <w:sz w:val="20"/>
          <w:szCs w:val="20"/>
        </w:rPr>
        <w:t>改或撤销其投标文件；投标人拒绝延长的，其投标失效，但投标人有权收回</w:t>
      </w:r>
      <w:r>
        <w:rPr>
          <w:rFonts w:ascii="宋体" w:hAnsi="宋体" w:eastAsia="宋体" w:cs="宋体"/>
          <w:spacing w:val="8"/>
          <w:sz w:val="20"/>
          <w:szCs w:val="20"/>
        </w:rPr>
        <w:t>其投标保证金。</w:t>
      </w:r>
    </w:p>
    <w:p w14:paraId="4D916B73">
      <w:pPr>
        <w:pStyle w:val="2"/>
        <w:spacing w:line="222" w:lineRule="auto"/>
        <w:ind w:left="23"/>
        <w:outlineLvl w:val="3"/>
        <w:rPr>
          <w:sz w:val="24"/>
          <w:szCs w:val="24"/>
        </w:rPr>
      </w:pPr>
      <w:bookmarkStart w:id="31" w:name="bookmark30"/>
      <w:bookmarkEnd w:id="31"/>
      <w:r>
        <w:rPr>
          <w:rFonts w:ascii="Times New Roman" w:hAnsi="Times New Roman" w:eastAsia="Times New Roman" w:cs="Times New Roman"/>
          <w:spacing w:val="-1"/>
          <w:sz w:val="24"/>
          <w:szCs w:val="24"/>
        </w:rPr>
        <w:t xml:space="preserve">3.4  </w:t>
      </w:r>
      <w:r>
        <w:rPr>
          <w:spacing w:val="-1"/>
          <w:sz w:val="24"/>
          <w:szCs w:val="24"/>
        </w:rPr>
        <w:t>投标保证金</w:t>
      </w:r>
    </w:p>
    <w:p w14:paraId="22448D3B">
      <w:pPr>
        <w:spacing w:before="137" w:line="369" w:lineRule="auto"/>
        <w:ind w:left="24" w:right="58" w:firstLine="417"/>
        <w:rPr>
          <w:rFonts w:ascii="宋体" w:hAnsi="宋体" w:eastAsia="宋体" w:cs="宋体"/>
          <w:sz w:val="20"/>
          <w:szCs w:val="20"/>
        </w:rPr>
      </w:pPr>
      <w:r>
        <w:rPr>
          <w:rFonts w:ascii="Times New Roman" w:hAnsi="Times New Roman" w:eastAsia="Times New Roman" w:cs="Times New Roman"/>
          <w:spacing w:val="10"/>
          <w:sz w:val="20"/>
          <w:szCs w:val="20"/>
        </w:rPr>
        <w:t>3.4.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投标人须知前附表规定提交投标保证金的，投标</w:t>
      </w:r>
      <w:r>
        <w:rPr>
          <w:rFonts w:ascii="宋体" w:hAnsi="宋体" w:eastAsia="宋体" w:cs="宋体"/>
          <w:spacing w:val="9"/>
          <w:sz w:val="20"/>
          <w:szCs w:val="20"/>
        </w:rPr>
        <w:t>人在递交投标文件的同时，应按</w:t>
      </w:r>
      <w:r>
        <w:rPr>
          <w:rFonts w:ascii="宋体" w:hAnsi="宋体" w:eastAsia="宋体" w:cs="宋体"/>
          <w:spacing w:val="7"/>
          <w:sz w:val="20"/>
          <w:szCs w:val="20"/>
        </w:rPr>
        <w:t>投标人须知前附表规定的形式、金额、递交截止时间、递交方式提交投标保证金，并作为其投标文件的组成部分。联合体投标的，其投标保证金由牵头人递交，并应符合投标人须知前</w:t>
      </w:r>
      <w:r>
        <w:rPr>
          <w:rFonts w:ascii="宋体" w:hAnsi="宋体" w:eastAsia="宋体" w:cs="宋体"/>
          <w:spacing w:val="6"/>
          <w:sz w:val="20"/>
          <w:szCs w:val="20"/>
        </w:rPr>
        <w:t>附表的规定。</w:t>
      </w:r>
    </w:p>
    <w:p w14:paraId="037905BF">
      <w:pPr>
        <w:spacing w:line="226" w:lineRule="auto"/>
        <w:ind w:left="442"/>
        <w:rPr>
          <w:rFonts w:ascii="宋体" w:hAnsi="宋体" w:eastAsia="宋体" w:cs="宋体"/>
          <w:sz w:val="20"/>
          <w:szCs w:val="20"/>
        </w:rPr>
      </w:pPr>
      <w:r>
        <w:rPr>
          <w:rFonts w:ascii="Times New Roman" w:hAnsi="Times New Roman" w:eastAsia="Times New Roman" w:cs="Times New Roman"/>
          <w:spacing w:val="7"/>
          <w:sz w:val="20"/>
          <w:szCs w:val="20"/>
        </w:rPr>
        <w:t xml:space="preserve">3.4.2  </w:t>
      </w:r>
      <w:r>
        <w:rPr>
          <w:rFonts w:ascii="宋体" w:hAnsi="宋体" w:eastAsia="宋体" w:cs="宋体"/>
          <w:spacing w:val="7"/>
          <w:sz w:val="20"/>
          <w:szCs w:val="20"/>
        </w:rPr>
        <w:t>投标人不按本章第</w:t>
      </w:r>
      <w:r>
        <w:rPr>
          <w:rFonts w:ascii="宋体" w:hAnsi="宋体" w:eastAsia="宋体" w:cs="宋体"/>
          <w:spacing w:val="-38"/>
          <w:sz w:val="20"/>
          <w:szCs w:val="20"/>
        </w:rPr>
        <w:t xml:space="preserve"> </w:t>
      </w:r>
      <w:r>
        <w:rPr>
          <w:rFonts w:ascii="Times New Roman" w:hAnsi="Times New Roman" w:eastAsia="Times New Roman" w:cs="Times New Roman"/>
          <w:spacing w:val="7"/>
          <w:sz w:val="20"/>
          <w:szCs w:val="20"/>
        </w:rPr>
        <w:t>3.4.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项要求提</w:t>
      </w:r>
      <w:r>
        <w:rPr>
          <w:rFonts w:ascii="宋体" w:hAnsi="宋体" w:eastAsia="宋体" w:cs="宋体"/>
          <w:spacing w:val="6"/>
          <w:sz w:val="20"/>
          <w:szCs w:val="20"/>
        </w:rPr>
        <w:t>交投标保证金的，其投标将被否决。</w:t>
      </w:r>
    </w:p>
    <w:p w14:paraId="7014EF91">
      <w:pPr>
        <w:spacing w:before="156" w:line="369" w:lineRule="auto"/>
        <w:ind w:left="23" w:right="58" w:firstLine="419"/>
        <w:rPr>
          <w:rFonts w:ascii="宋体" w:hAnsi="宋体" w:eastAsia="宋体" w:cs="宋体"/>
          <w:sz w:val="20"/>
          <w:szCs w:val="20"/>
        </w:rPr>
      </w:pPr>
      <w:r>
        <w:rPr>
          <w:rFonts w:ascii="Times New Roman" w:hAnsi="Times New Roman" w:eastAsia="Times New Roman" w:cs="Times New Roman"/>
          <w:spacing w:val="7"/>
          <w:sz w:val="20"/>
          <w:szCs w:val="20"/>
        </w:rPr>
        <w:t xml:space="preserve">3.4.3  </w:t>
      </w:r>
      <w:r>
        <w:rPr>
          <w:rFonts w:ascii="宋体" w:hAnsi="宋体" w:eastAsia="宋体" w:cs="宋体"/>
          <w:spacing w:val="7"/>
          <w:sz w:val="20"/>
          <w:szCs w:val="20"/>
        </w:rPr>
        <w:t>招标人最迟在与中标人签订合同后</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 xml:space="preserve">5  </w:t>
      </w:r>
      <w:r>
        <w:rPr>
          <w:rFonts w:ascii="宋体" w:hAnsi="宋体" w:eastAsia="宋体" w:cs="宋体"/>
          <w:spacing w:val="7"/>
          <w:sz w:val="20"/>
          <w:szCs w:val="20"/>
        </w:rPr>
        <w:t>日内，向未中标的投标人和中标人退还投标保证金。招标人同时退还投标保证金的银行同期存款利息。投标保证金及利息的计息标准和</w:t>
      </w:r>
      <w:r>
        <w:rPr>
          <w:rFonts w:ascii="宋体" w:hAnsi="宋体" w:eastAsia="宋体" w:cs="宋体"/>
          <w:spacing w:val="8"/>
          <w:sz w:val="20"/>
          <w:szCs w:val="20"/>
        </w:rPr>
        <w:t>退还方式见投标人须知前附表。</w:t>
      </w:r>
    </w:p>
    <w:p w14:paraId="362387BD">
      <w:pPr>
        <w:spacing w:line="227" w:lineRule="auto"/>
        <w:ind w:left="442"/>
        <w:rPr>
          <w:rFonts w:ascii="宋体" w:hAnsi="宋体" w:eastAsia="宋体" w:cs="宋体"/>
          <w:sz w:val="20"/>
          <w:szCs w:val="20"/>
        </w:rPr>
      </w:pPr>
      <w:r>
        <w:rPr>
          <w:rFonts w:ascii="Times New Roman" w:hAnsi="Times New Roman" w:eastAsia="Times New Roman" w:cs="Times New Roman"/>
          <w:spacing w:val="7"/>
          <w:sz w:val="20"/>
          <w:szCs w:val="20"/>
        </w:rPr>
        <w:t xml:space="preserve">3.4.4  </w:t>
      </w:r>
      <w:r>
        <w:rPr>
          <w:rFonts w:ascii="宋体" w:hAnsi="宋体" w:eastAsia="宋体" w:cs="宋体"/>
          <w:spacing w:val="7"/>
          <w:sz w:val="20"/>
          <w:szCs w:val="20"/>
        </w:rPr>
        <w:t>有下列情形之一的，投标保证金将不予退还：</w:t>
      </w:r>
    </w:p>
    <w:p w14:paraId="3722A5EF">
      <w:pPr>
        <w:spacing w:before="152" w:line="228" w:lineRule="auto"/>
        <w:ind w:left="74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）投标人在规定的投标有效期内撤销或修改其投标文件；</w:t>
      </w:r>
    </w:p>
    <w:p w14:paraId="1660DA7C">
      <w:pPr>
        <w:spacing w:before="153" w:line="358" w:lineRule="auto"/>
        <w:ind w:left="40" w:right="58" w:firstLine="70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）中标人在收到中标通知书后，无正当理由拒签合同、在签订合同时向招标人提</w:t>
      </w:r>
      <w:r>
        <w:rPr>
          <w:rFonts w:ascii="宋体" w:hAnsi="宋体" w:eastAsia="宋体" w:cs="宋体"/>
          <w:spacing w:val="8"/>
          <w:sz w:val="20"/>
          <w:szCs w:val="20"/>
        </w:rPr>
        <w:t>出附加条件或未按招标文件规定提交履约保证金。</w:t>
      </w:r>
    </w:p>
    <w:p w14:paraId="78504E45">
      <w:pPr>
        <w:pStyle w:val="2"/>
        <w:spacing w:before="1" w:line="221" w:lineRule="auto"/>
        <w:ind w:left="23"/>
        <w:outlineLvl w:val="3"/>
        <w:rPr>
          <w:sz w:val="24"/>
          <w:szCs w:val="24"/>
        </w:rPr>
      </w:pPr>
      <w:bookmarkStart w:id="32" w:name="bookmark31"/>
      <w:bookmarkEnd w:id="32"/>
      <w:r>
        <w:rPr>
          <w:rFonts w:ascii="Times New Roman" w:hAnsi="Times New Roman" w:eastAsia="Times New Roman" w:cs="Times New Roman"/>
          <w:spacing w:val="-1"/>
          <w:sz w:val="24"/>
          <w:szCs w:val="24"/>
        </w:rPr>
        <w:t xml:space="preserve">3.5  </w:t>
      </w:r>
      <w:r>
        <w:rPr>
          <w:spacing w:val="-1"/>
          <w:sz w:val="24"/>
          <w:szCs w:val="24"/>
        </w:rPr>
        <w:t>资格审查资料（适用于已进行资格预审的）</w:t>
      </w:r>
    </w:p>
    <w:p w14:paraId="1AB51A27">
      <w:pPr>
        <w:spacing w:before="138" w:line="369" w:lineRule="auto"/>
        <w:ind w:left="23" w:right="58" w:firstLine="419"/>
        <w:jc w:val="both"/>
        <w:rPr>
          <w:rFonts w:ascii="宋体" w:hAnsi="宋体" w:eastAsia="宋体" w:cs="宋体"/>
          <w:sz w:val="20"/>
          <w:szCs w:val="20"/>
        </w:rPr>
      </w:pPr>
      <w:r>
        <w:rPr>
          <w:rFonts w:ascii="Times New Roman" w:hAnsi="Times New Roman" w:eastAsia="Times New Roman" w:cs="Times New Roman"/>
          <w:spacing w:val="5"/>
          <w:sz w:val="20"/>
          <w:szCs w:val="20"/>
        </w:rPr>
        <w:t>3.5.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投标人应按本项目资格预审文件申请人须知第</w:t>
      </w:r>
      <w:r>
        <w:rPr>
          <w:rFonts w:ascii="宋体" w:hAnsi="宋体" w:eastAsia="宋体" w:cs="宋体"/>
          <w:spacing w:val="-21"/>
          <w:sz w:val="20"/>
          <w:szCs w:val="20"/>
        </w:rPr>
        <w:t xml:space="preserve"> </w:t>
      </w:r>
      <w:r>
        <w:rPr>
          <w:rFonts w:ascii="Times New Roman" w:hAnsi="Times New Roman" w:eastAsia="Times New Roman" w:cs="Times New Roman"/>
          <w:spacing w:val="5"/>
          <w:sz w:val="20"/>
          <w:szCs w:val="20"/>
        </w:rPr>
        <w:t xml:space="preserve">1.4 </w:t>
      </w:r>
      <w:r>
        <w:rPr>
          <w:rFonts w:ascii="宋体" w:hAnsi="宋体" w:eastAsia="宋体" w:cs="宋体"/>
          <w:spacing w:val="5"/>
          <w:sz w:val="20"/>
          <w:szCs w:val="20"/>
        </w:rPr>
        <w:t>款规定的相关要求、资格审查办</w:t>
      </w:r>
      <w:r>
        <w:rPr>
          <w:rFonts w:ascii="宋体" w:hAnsi="宋体" w:eastAsia="宋体" w:cs="宋体"/>
          <w:spacing w:val="7"/>
          <w:sz w:val="20"/>
          <w:szCs w:val="20"/>
        </w:rPr>
        <w:t>法以及招标文件第八章“投标文件格式</w:t>
      </w:r>
      <w:r>
        <w:rPr>
          <w:rFonts w:ascii="宋体" w:hAnsi="宋体" w:eastAsia="宋体" w:cs="宋体"/>
          <w:spacing w:val="-70"/>
          <w:sz w:val="20"/>
          <w:szCs w:val="20"/>
        </w:rPr>
        <w:t xml:space="preserve"> </w:t>
      </w:r>
      <w:r>
        <w:rPr>
          <w:rFonts w:ascii="宋体" w:hAnsi="宋体" w:eastAsia="宋体" w:cs="宋体"/>
          <w:spacing w:val="7"/>
          <w:sz w:val="20"/>
          <w:szCs w:val="20"/>
        </w:rPr>
        <w:t>”中规定的表格</w:t>
      </w:r>
      <w:r>
        <w:rPr>
          <w:rFonts w:ascii="宋体" w:hAnsi="宋体" w:eastAsia="宋体" w:cs="宋体"/>
          <w:spacing w:val="6"/>
          <w:sz w:val="20"/>
          <w:szCs w:val="20"/>
        </w:rPr>
        <w:t>内容填写资格审查表，并按各资格审</w:t>
      </w:r>
      <w:r>
        <w:rPr>
          <w:rFonts w:ascii="宋体" w:hAnsi="宋体" w:eastAsia="宋体" w:cs="宋体"/>
          <w:spacing w:val="8"/>
          <w:sz w:val="20"/>
          <w:szCs w:val="20"/>
        </w:rPr>
        <w:t>查表的具体要求提供相关证件及证明材料。</w:t>
      </w:r>
    </w:p>
    <w:p w14:paraId="2E1497D1">
      <w:pPr>
        <w:spacing w:before="2" w:line="368" w:lineRule="auto"/>
        <w:ind w:left="21" w:right="58" w:firstLine="433"/>
        <w:rPr>
          <w:rFonts w:ascii="宋体" w:hAnsi="宋体" w:eastAsia="宋体" w:cs="宋体"/>
          <w:sz w:val="20"/>
          <w:szCs w:val="20"/>
        </w:rPr>
      </w:pPr>
      <w:r>
        <w:rPr>
          <w:rFonts w:ascii="宋体" w:hAnsi="宋体" w:eastAsia="宋体" w:cs="宋体"/>
          <w:spacing w:val="7"/>
          <w:sz w:val="20"/>
          <w:szCs w:val="20"/>
        </w:rPr>
        <w:t>除非投标人资格条件有更新或补充资料，评标委员会在评标阶段不再对投标人</w:t>
      </w:r>
      <w:r>
        <w:rPr>
          <w:rFonts w:ascii="宋体" w:hAnsi="宋体" w:eastAsia="宋体" w:cs="宋体"/>
          <w:spacing w:val="6"/>
          <w:sz w:val="20"/>
          <w:szCs w:val="20"/>
        </w:rPr>
        <w:t>的资格条</w:t>
      </w:r>
      <w:r>
        <w:rPr>
          <w:rFonts w:ascii="宋体" w:hAnsi="宋体" w:eastAsia="宋体" w:cs="宋体"/>
          <w:spacing w:val="9"/>
          <w:sz w:val="20"/>
          <w:szCs w:val="20"/>
        </w:rPr>
        <w:t>件进行审查，但投标人在资格审查表中填写的内容将作为评标的重要依据。</w:t>
      </w:r>
    </w:p>
    <w:p w14:paraId="6394DC43">
      <w:pPr>
        <w:spacing w:before="1" w:line="226" w:lineRule="auto"/>
        <w:ind w:left="443"/>
        <w:rPr>
          <w:rFonts w:ascii="宋体" w:hAnsi="宋体" w:eastAsia="宋体" w:cs="宋体"/>
          <w:sz w:val="20"/>
          <w:szCs w:val="20"/>
        </w:rPr>
      </w:pPr>
      <w:r>
        <w:rPr>
          <w:rFonts w:ascii="宋体" w:hAnsi="宋体" w:eastAsia="宋体" w:cs="宋体"/>
          <w:spacing w:val="8"/>
          <w:sz w:val="20"/>
          <w:szCs w:val="20"/>
        </w:rPr>
        <w:t>本招标文件中“类似项目</w:t>
      </w:r>
      <w:r>
        <w:rPr>
          <w:rFonts w:ascii="宋体" w:hAnsi="宋体" w:eastAsia="宋体" w:cs="宋体"/>
          <w:spacing w:val="-70"/>
          <w:sz w:val="20"/>
          <w:szCs w:val="20"/>
        </w:rPr>
        <w:t xml:space="preserve"> </w:t>
      </w:r>
      <w:r>
        <w:rPr>
          <w:rFonts w:ascii="宋体" w:hAnsi="宋体" w:eastAsia="宋体" w:cs="宋体"/>
          <w:spacing w:val="8"/>
          <w:sz w:val="20"/>
          <w:szCs w:val="20"/>
        </w:rPr>
        <w:t>”的定义见投标人须知前</w:t>
      </w:r>
      <w:r>
        <w:rPr>
          <w:rFonts w:ascii="宋体" w:hAnsi="宋体" w:eastAsia="宋体" w:cs="宋体"/>
          <w:spacing w:val="7"/>
          <w:sz w:val="20"/>
          <w:szCs w:val="20"/>
        </w:rPr>
        <w:t>附表。</w:t>
      </w:r>
    </w:p>
    <w:p w14:paraId="01CD4594">
      <w:pPr>
        <w:spacing w:before="157" w:line="369" w:lineRule="auto"/>
        <w:ind w:left="23" w:right="58" w:firstLine="419"/>
        <w:jc w:val="both"/>
        <w:rPr>
          <w:rFonts w:ascii="宋体" w:hAnsi="宋体" w:eastAsia="宋体" w:cs="宋体"/>
          <w:sz w:val="20"/>
          <w:szCs w:val="20"/>
        </w:rPr>
      </w:pPr>
      <w:r>
        <w:rPr>
          <w:rFonts w:ascii="Times New Roman" w:hAnsi="Times New Roman" w:eastAsia="Times New Roman" w:cs="Times New Roman"/>
          <w:spacing w:val="10"/>
          <w:sz w:val="20"/>
          <w:szCs w:val="20"/>
        </w:rPr>
        <w:t xml:space="preserve">3.5.2 </w:t>
      </w:r>
      <w:r>
        <w:rPr>
          <w:rFonts w:ascii="宋体" w:hAnsi="宋体" w:eastAsia="宋体" w:cs="宋体"/>
          <w:spacing w:val="10"/>
          <w:sz w:val="20"/>
          <w:szCs w:val="20"/>
        </w:rPr>
        <w:t>投标人在编制投标文件时，其资质条件、组织机构、财务能力、信誉等资格条件</w:t>
      </w:r>
      <w:r>
        <w:rPr>
          <w:rFonts w:ascii="宋体" w:hAnsi="宋体" w:eastAsia="宋体" w:cs="宋体"/>
          <w:spacing w:val="7"/>
          <w:sz w:val="20"/>
          <w:szCs w:val="20"/>
        </w:rPr>
        <w:t>与资格预审时提交的资格预审申请文件相比发生变化的，应按新情况更新或补充其在资格预审申请时提供的资料，以证实其各项资格条件仍能继续满足资格预审文件的要求，具备承担</w:t>
      </w:r>
      <w:r>
        <w:rPr>
          <w:rFonts w:ascii="宋体" w:hAnsi="宋体" w:eastAsia="宋体" w:cs="宋体"/>
          <w:spacing w:val="9"/>
          <w:sz w:val="20"/>
          <w:szCs w:val="20"/>
        </w:rPr>
        <w:t>本标段施工的资质条件、能力和信誉。更新资料应包括但不限于以下内容：</w:t>
      </w:r>
    </w:p>
    <w:p w14:paraId="00D7C285">
      <w:pPr>
        <w:spacing w:before="1" w:line="368" w:lineRule="auto"/>
        <w:ind w:left="22" w:right="58" w:firstLine="430"/>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1</w:t>
      </w:r>
      <w:r>
        <w:rPr>
          <w:rFonts w:ascii="宋体" w:hAnsi="宋体" w:eastAsia="宋体" w:cs="宋体"/>
          <w:spacing w:val="10"/>
          <w:sz w:val="20"/>
          <w:szCs w:val="20"/>
        </w:rPr>
        <w:t>）投标人名称、营业执照、资质证书、安全生</w:t>
      </w:r>
      <w:r>
        <w:rPr>
          <w:rFonts w:ascii="宋体" w:hAnsi="宋体" w:eastAsia="宋体" w:cs="宋体"/>
          <w:spacing w:val="9"/>
          <w:sz w:val="20"/>
          <w:szCs w:val="20"/>
        </w:rPr>
        <w:t>产许可证和法定代表人的变更情况及</w:t>
      </w:r>
      <w:r>
        <w:rPr>
          <w:rFonts w:ascii="宋体" w:hAnsi="宋体" w:eastAsia="宋体" w:cs="宋体"/>
          <w:spacing w:val="8"/>
          <w:sz w:val="20"/>
          <w:szCs w:val="20"/>
        </w:rPr>
        <w:t>相关行政审批部门出具的证明材料；</w:t>
      </w:r>
    </w:p>
    <w:p w14:paraId="7231CA9B">
      <w:pPr>
        <w:spacing w:line="227"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）拟投入本工程的项目管理机构主要人员变化情况；</w:t>
      </w:r>
    </w:p>
    <w:p w14:paraId="357D0E04">
      <w:pPr>
        <w:spacing w:before="156" w:line="228"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）联合体分工比例变化情况；</w:t>
      </w:r>
    </w:p>
    <w:p w14:paraId="77F3EEDB">
      <w:pPr>
        <w:spacing w:before="150"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）财务状况、经营状况发生变化情况；</w:t>
      </w:r>
    </w:p>
    <w:p w14:paraId="0C263410">
      <w:pPr>
        <w:spacing w:before="154" w:line="227"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）完成的类似项目、企业信誉发生变化等情况。</w:t>
      </w:r>
    </w:p>
    <w:p w14:paraId="4016E3E6">
      <w:pPr>
        <w:spacing w:line="227" w:lineRule="auto"/>
        <w:rPr>
          <w:rFonts w:ascii="宋体" w:hAnsi="宋体" w:eastAsia="宋体" w:cs="宋体"/>
          <w:sz w:val="20"/>
          <w:szCs w:val="20"/>
        </w:rPr>
        <w:sectPr>
          <w:footerReference r:id="rId37" w:type="default"/>
          <w:pgSz w:w="11906" w:h="16839"/>
          <w:pgMar w:top="1431" w:right="1743" w:bottom="1156" w:left="1785" w:header="0" w:footer="994" w:gutter="0"/>
          <w:cols w:space="720" w:num="1"/>
        </w:sectPr>
      </w:pPr>
    </w:p>
    <w:p w14:paraId="1B7B2409">
      <w:pPr>
        <w:spacing w:before="149" w:line="369" w:lineRule="auto"/>
        <w:ind w:left="25" w:right="146" w:firstLine="417"/>
        <w:rPr>
          <w:rFonts w:ascii="宋体" w:hAnsi="宋体" w:eastAsia="宋体" w:cs="宋体"/>
          <w:sz w:val="20"/>
          <w:szCs w:val="20"/>
        </w:rPr>
      </w:pPr>
      <w:r>
        <w:rPr>
          <w:rFonts w:ascii="Times New Roman" w:hAnsi="Times New Roman" w:eastAsia="Times New Roman" w:cs="Times New Roman"/>
          <w:spacing w:val="7"/>
          <w:sz w:val="20"/>
          <w:szCs w:val="20"/>
        </w:rPr>
        <w:t xml:space="preserve">3.5.3  </w:t>
      </w:r>
      <w:r>
        <w:rPr>
          <w:rFonts w:ascii="宋体" w:hAnsi="宋体" w:eastAsia="宋体" w:cs="宋体"/>
          <w:spacing w:val="7"/>
          <w:sz w:val="20"/>
          <w:szCs w:val="20"/>
        </w:rPr>
        <w:t>按本章第</w:t>
      </w:r>
      <w:r>
        <w:rPr>
          <w:rFonts w:ascii="宋体" w:hAnsi="宋体" w:eastAsia="宋体" w:cs="宋体"/>
          <w:spacing w:val="-39"/>
          <w:sz w:val="20"/>
          <w:szCs w:val="20"/>
        </w:rPr>
        <w:t xml:space="preserve"> </w:t>
      </w:r>
      <w:r>
        <w:rPr>
          <w:rFonts w:ascii="Times New Roman" w:hAnsi="Times New Roman" w:eastAsia="Times New Roman" w:cs="Times New Roman"/>
          <w:spacing w:val="7"/>
          <w:sz w:val="20"/>
          <w:szCs w:val="20"/>
        </w:rPr>
        <w:t xml:space="preserve">3.5.2 </w:t>
      </w:r>
      <w:r>
        <w:rPr>
          <w:rFonts w:ascii="宋体" w:hAnsi="宋体" w:eastAsia="宋体" w:cs="宋体"/>
          <w:spacing w:val="7"/>
          <w:sz w:val="20"/>
          <w:szCs w:val="20"/>
        </w:rPr>
        <w:t>项规定，投标人资格条件无论是否有变化，均应在投标函中声明。</w:t>
      </w:r>
      <w:r>
        <w:rPr>
          <w:rFonts w:ascii="宋体" w:hAnsi="宋体" w:eastAsia="宋体" w:cs="宋体"/>
          <w:spacing w:val="9"/>
          <w:sz w:val="20"/>
          <w:szCs w:val="20"/>
        </w:rPr>
        <w:t>未声明是否有变化的，视为未实质响应招标文件的要求，其投标将被否决。</w:t>
      </w:r>
    </w:p>
    <w:p w14:paraId="17F45171">
      <w:pPr>
        <w:spacing w:before="2" w:line="369" w:lineRule="auto"/>
        <w:ind w:left="30" w:right="208" w:firstLine="412"/>
        <w:rPr>
          <w:rFonts w:ascii="宋体" w:hAnsi="宋体" w:eastAsia="宋体" w:cs="宋体"/>
          <w:sz w:val="20"/>
          <w:szCs w:val="20"/>
        </w:rPr>
      </w:pPr>
      <w:r>
        <w:rPr>
          <w:rFonts w:ascii="Times New Roman" w:hAnsi="Times New Roman" w:eastAsia="Times New Roman" w:cs="Times New Roman"/>
          <w:spacing w:val="10"/>
          <w:sz w:val="20"/>
          <w:szCs w:val="20"/>
        </w:rPr>
        <w:t xml:space="preserve">3.5.4 </w:t>
      </w:r>
      <w:r>
        <w:rPr>
          <w:rFonts w:ascii="宋体" w:hAnsi="宋体" w:eastAsia="宋体" w:cs="宋体"/>
          <w:spacing w:val="10"/>
          <w:sz w:val="20"/>
          <w:szCs w:val="20"/>
        </w:rPr>
        <w:t>评标委员会在评标阶段对提交更新和补充资料的投标人的资格条件进行复审，不</w:t>
      </w:r>
      <w:r>
        <w:rPr>
          <w:rFonts w:ascii="宋体" w:hAnsi="宋体" w:eastAsia="宋体" w:cs="宋体"/>
          <w:spacing w:val="9"/>
          <w:sz w:val="20"/>
          <w:szCs w:val="20"/>
        </w:rPr>
        <w:t>能满足资格预审文件的要求或影响本次招标的公正性的，其投标将被否决。</w:t>
      </w:r>
    </w:p>
    <w:p w14:paraId="0F7AAA7B">
      <w:pPr>
        <w:spacing w:line="227" w:lineRule="auto"/>
        <w:ind w:left="442"/>
        <w:rPr>
          <w:rFonts w:ascii="宋体" w:hAnsi="宋体" w:eastAsia="宋体" w:cs="宋体"/>
          <w:sz w:val="20"/>
          <w:szCs w:val="20"/>
        </w:rPr>
      </w:pPr>
      <w:r>
        <w:rPr>
          <w:rFonts w:ascii="Times New Roman" w:hAnsi="Times New Roman" w:eastAsia="Times New Roman" w:cs="Times New Roman"/>
          <w:spacing w:val="8"/>
          <w:sz w:val="20"/>
          <w:szCs w:val="20"/>
        </w:rPr>
        <w:t xml:space="preserve">3.5.5  </w:t>
      </w:r>
      <w:r>
        <w:rPr>
          <w:rFonts w:ascii="宋体" w:hAnsi="宋体" w:eastAsia="宋体" w:cs="宋体"/>
          <w:spacing w:val="8"/>
          <w:sz w:val="20"/>
          <w:szCs w:val="20"/>
        </w:rPr>
        <w:t>投标人更换通过资格预审的项目经理的，其投标将被否</w:t>
      </w:r>
      <w:r>
        <w:rPr>
          <w:rFonts w:ascii="宋体" w:hAnsi="宋体" w:eastAsia="宋体" w:cs="宋体"/>
          <w:spacing w:val="7"/>
          <w:sz w:val="20"/>
          <w:szCs w:val="20"/>
        </w:rPr>
        <w:t>决。</w:t>
      </w:r>
    </w:p>
    <w:p w14:paraId="4FA4552D">
      <w:pPr>
        <w:pStyle w:val="2"/>
        <w:spacing w:before="127" w:line="221" w:lineRule="auto"/>
        <w:ind w:left="23"/>
        <w:outlineLvl w:val="3"/>
        <w:rPr>
          <w:sz w:val="24"/>
          <w:szCs w:val="24"/>
        </w:rPr>
      </w:pPr>
      <w:bookmarkStart w:id="33" w:name="bookmark32"/>
      <w:bookmarkEnd w:id="33"/>
      <w:r>
        <w:rPr>
          <w:rFonts w:ascii="Times New Roman" w:hAnsi="Times New Roman" w:eastAsia="Times New Roman" w:cs="Times New Roman"/>
          <w:spacing w:val="-1"/>
          <w:sz w:val="24"/>
          <w:szCs w:val="24"/>
        </w:rPr>
        <w:t xml:space="preserve">3.6  </w:t>
      </w:r>
      <w:r>
        <w:rPr>
          <w:spacing w:val="-1"/>
          <w:sz w:val="24"/>
          <w:szCs w:val="24"/>
        </w:rPr>
        <w:t>备选投标方案</w:t>
      </w:r>
    </w:p>
    <w:p w14:paraId="31E6F1BE">
      <w:pPr>
        <w:spacing w:before="139" w:line="363" w:lineRule="auto"/>
        <w:ind w:left="23" w:right="205" w:firstLine="430"/>
        <w:jc w:val="both"/>
        <w:rPr>
          <w:rFonts w:ascii="宋体" w:hAnsi="宋体" w:eastAsia="宋体" w:cs="宋体"/>
          <w:sz w:val="20"/>
          <w:szCs w:val="20"/>
        </w:rPr>
      </w:pPr>
      <w:r>
        <w:rPr>
          <w:rFonts w:ascii="宋体" w:hAnsi="宋体" w:eastAsia="宋体" w:cs="宋体"/>
          <w:spacing w:val="7"/>
          <w:sz w:val="20"/>
          <w:szCs w:val="20"/>
        </w:rPr>
        <w:t>除投标人须知前附表另有规定外，投标人不得递交备选投标方案。允许投标人</w:t>
      </w:r>
      <w:r>
        <w:rPr>
          <w:rFonts w:ascii="宋体" w:hAnsi="宋体" w:eastAsia="宋体" w:cs="宋体"/>
          <w:spacing w:val="6"/>
          <w:sz w:val="20"/>
          <w:szCs w:val="20"/>
        </w:rPr>
        <w:t>递交备选</w:t>
      </w:r>
      <w:r>
        <w:rPr>
          <w:rFonts w:ascii="宋体" w:hAnsi="宋体" w:eastAsia="宋体" w:cs="宋体"/>
          <w:spacing w:val="7"/>
          <w:sz w:val="20"/>
          <w:szCs w:val="20"/>
        </w:rPr>
        <w:t>投标方案的，只有中标人所递交的备选投标方案方可予以考虑。评标委员会认为中标候选人</w:t>
      </w:r>
      <w:r>
        <w:rPr>
          <w:rFonts w:ascii="宋体" w:hAnsi="宋体" w:eastAsia="宋体" w:cs="宋体"/>
          <w:spacing w:val="13"/>
          <w:sz w:val="20"/>
          <w:szCs w:val="20"/>
        </w:rPr>
        <w:t>的备选投标方案优于其按照招标文件要求编制的投标方案</w:t>
      </w:r>
      <w:r>
        <w:rPr>
          <w:rFonts w:ascii="宋体" w:hAnsi="宋体" w:eastAsia="宋体" w:cs="宋体"/>
          <w:spacing w:val="12"/>
          <w:sz w:val="20"/>
          <w:szCs w:val="20"/>
        </w:rPr>
        <w:t>的，该中标候选人被确定中标人</w:t>
      </w:r>
      <w:r>
        <w:rPr>
          <w:rFonts w:ascii="宋体" w:hAnsi="宋体" w:eastAsia="宋体" w:cs="宋体"/>
          <w:spacing w:val="8"/>
          <w:sz w:val="20"/>
          <w:szCs w:val="20"/>
        </w:rPr>
        <w:t>后，招标人可以接受该备选投标方案。</w:t>
      </w:r>
    </w:p>
    <w:p w14:paraId="34CFD687">
      <w:pPr>
        <w:pStyle w:val="2"/>
        <w:spacing w:before="1" w:line="220" w:lineRule="auto"/>
        <w:ind w:left="23"/>
        <w:outlineLvl w:val="3"/>
        <w:rPr>
          <w:sz w:val="24"/>
          <w:szCs w:val="24"/>
        </w:rPr>
      </w:pPr>
      <w:bookmarkStart w:id="34" w:name="bookmark33"/>
      <w:bookmarkEnd w:id="34"/>
      <w:r>
        <w:rPr>
          <w:rFonts w:ascii="Times New Roman" w:hAnsi="Times New Roman" w:eastAsia="Times New Roman" w:cs="Times New Roman"/>
          <w:spacing w:val="-1"/>
          <w:sz w:val="24"/>
          <w:szCs w:val="24"/>
        </w:rPr>
        <w:t xml:space="preserve">3.7  </w:t>
      </w:r>
      <w:r>
        <w:rPr>
          <w:spacing w:val="-1"/>
          <w:sz w:val="24"/>
          <w:szCs w:val="24"/>
        </w:rPr>
        <w:t>投标文件的编制</w:t>
      </w:r>
    </w:p>
    <w:p w14:paraId="4A775ED7">
      <w:pPr>
        <w:spacing w:before="138" w:line="369" w:lineRule="auto"/>
        <w:ind w:left="24" w:right="205" w:firstLine="417"/>
        <w:rPr>
          <w:rFonts w:ascii="宋体" w:hAnsi="宋体" w:eastAsia="宋体" w:cs="宋体"/>
          <w:sz w:val="20"/>
          <w:szCs w:val="20"/>
        </w:rPr>
      </w:pPr>
      <w:r>
        <w:rPr>
          <w:rFonts w:ascii="Times New Roman" w:hAnsi="Times New Roman" w:eastAsia="Times New Roman" w:cs="Times New Roman"/>
          <w:spacing w:val="9"/>
          <w:sz w:val="20"/>
          <w:szCs w:val="20"/>
        </w:rPr>
        <w:t>3.7.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投标文件应按第八章“投标文件格式</w:t>
      </w:r>
      <w:r>
        <w:rPr>
          <w:rFonts w:ascii="宋体" w:hAnsi="宋体" w:eastAsia="宋体" w:cs="宋体"/>
          <w:spacing w:val="-67"/>
          <w:sz w:val="20"/>
          <w:szCs w:val="20"/>
        </w:rPr>
        <w:t xml:space="preserve"> </w:t>
      </w:r>
      <w:r>
        <w:rPr>
          <w:rFonts w:ascii="宋体" w:hAnsi="宋体" w:eastAsia="宋体" w:cs="宋体"/>
          <w:spacing w:val="9"/>
          <w:sz w:val="20"/>
          <w:szCs w:val="20"/>
        </w:rPr>
        <w:t>”进行编写，如有必要，可以增</w:t>
      </w:r>
      <w:r>
        <w:rPr>
          <w:rFonts w:ascii="宋体" w:hAnsi="宋体" w:eastAsia="宋体" w:cs="宋体"/>
          <w:spacing w:val="8"/>
          <w:sz w:val="20"/>
          <w:szCs w:val="20"/>
        </w:rPr>
        <w:t>加附页，作</w:t>
      </w:r>
      <w:r>
        <w:rPr>
          <w:rFonts w:ascii="宋体" w:hAnsi="宋体" w:eastAsia="宋体" w:cs="宋体"/>
          <w:spacing w:val="7"/>
          <w:sz w:val="20"/>
          <w:szCs w:val="20"/>
        </w:rPr>
        <w:t>为投标文件的组成部分。其中，投标函附录在满足招标文件实质性要求的基础上，可以提出</w:t>
      </w:r>
      <w:r>
        <w:rPr>
          <w:rFonts w:ascii="宋体" w:hAnsi="宋体" w:eastAsia="宋体" w:cs="宋体"/>
          <w:spacing w:val="8"/>
          <w:sz w:val="20"/>
          <w:szCs w:val="20"/>
        </w:rPr>
        <w:t>比招标文件要求更有利于招标人的承诺。</w:t>
      </w:r>
    </w:p>
    <w:p w14:paraId="76F78A3C">
      <w:pPr>
        <w:spacing w:before="2" w:line="369" w:lineRule="auto"/>
        <w:ind w:left="23" w:right="240" w:firstLine="419"/>
        <w:rPr>
          <w:rFonts w:ascii="宋体" w:hAnsi="宋体" w:eastAsia="宋体" w:cs="宋体"/>
          <w:sz w:val="20"/>
          <w:szCs w:val="20"/>
        </w:rPr>
      </w:pPr>
      <w:r>
        <w:rPr>
          <w:rFonts w:ascii="Times New Roman" w:hAnsi="Times New Roman" w:eastAsia="Times New Roman" w:cs="Times New Roman"/>
          <w:spacing w:val="8"/>
          <w:sz w:val="20"/>
          <w:szCs w:val="20"/>
        </w:rPr>
        <w:t xml:space="preserve">3.7.2  </w:t>
      </w:r>
      <w:r>
        <w:rPr>
          <w:rFonts w:ascii="宋体" w:hAnsi="宋体" w:eastAsia="宋体" w:cs="宋体"/>
          <w:spacing w:val="8"/>
          <w:sz w:val="20"/>
          <w:szCs w:val="20"/>
        </w:rPr>
        <w:t>投标文件应当对招标文件有关工期、投标有效期、质量要求、技术标准和要求、招标范围等实质性内容作出响应。</w:t>
      </w:r>
    </w:p>
    <w:p w14:paraId="2FFE1B69">
      <w:pPr>
        <w:spacing w:line="227" w:lineRule="auto"/>
        <w:ind w:left="442"/>
        <w:rPr>
          <w:rFonts w:ascii="宋体" w:hAnsi="宋体" w:eastAsia="宋体" w:cs="宋体"/>
          <w:sz w:val="20"/>
          <w:szCs w:val="20"/>
        </w:rPr>
      </w:pPr>
      <w:r>
        <w:rPr>
          <w:rFonts w:ascii="Times New Roman" w:hAnsi="Times New Roman" w:eastAsia="Times New Roman" w:cs="Times New Roman"/>
          <w:spacing w:val="4"/>
          <w:sz w:val="20"/>
          <w:szCs w:val="20"/>
        </w:rPr>
        <w:t>3.7.3</w:t>
      </w:r>
      <w:r>
        <w:rPr>
          <w:rFonts w:ascii="Times New Roman" w:hAnsi="Times New Roman" w:eastAsia="Times New Roman" w:cs="Times New Roman"/>
          <w:spacing w:val="20"/>
          <w:w w:val="101"/>
          <w:sz w:val="20"/>
          <w:szCs w:val="20"/>
        </w:rPr>
        <w:t xml:space="preserve">  </w:t>
      </w:r>
      <w:r>
        <w:rPr>
          <w:rFonts w:ascii="宋体" w:hAnsi="宋体" w:eastAsia="宋体" w:cs="宋体"/>
          <w:spacing w:val="4"/>
          <w:sz w:val="20"/>
          <w:szCs w:val="20"/>
        </w:rPr>
        <w:t>电子投标文件制作</w:t>
      </w:r>
    </w:p>
    <w:p w14:paraId="4559B3B9">
      <w:pPr>
        <w:spacing w:before="152" w:line="370" w:lineRule="auto"/>
        <w:ind w:left="23" w:right="205" w:firstLine="42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w:t>
      </w:r>
      <w:r>
        <w:rPr>
          <w:rFonts w:ascii="宋体" w:hAnsi="宋体" w:eastAsia="宋体" w:cs="宋体"/>
          <w:spacing w:val="-53"/>
          <w:sz w:val="20"/>
          <w:szCs w:val="20"/>
        </w:rPr>
        <w:t xml:space="preserve"> </w:t>
      </w:r>
      <w:r>
        <w:rPr>
          <w:rFonts w:ascii="宋体" w:hAnsi="宋体" w:eastAsia="宋体" w:cs="宋体"/>
          <w:spacing w:val="7"/>
          <w:sz w:val="20"/>
          <w:szCs w:val="20"/>
        </w:rPr>
        <w:t>电子投标文件由投标人使用“</w:t>
      </w:r>
      <w:r>
        <w:rPr>
          <w:rFonts w:ascii="宋体" w:hAnsi="宋体" w:eastAsia="宋体" w:cs="宋体"/>
          <w:spacing w:val="-65"/>
          <w:sz w:val="20"/>
          <w:szCs w:val="20"/>
        </w:rPr>
        <w:t xml:space="preserve"> </w:t>
      </w:r>
      <w:r>
        <w:rPr>
          <w:rFonts w:ascii="宋体" w:hAnsi="宋体" w:eastAsia="宋体" w:cs="宋体"/>
          <w:spacing w:val="7"/>
          <w:sz w:val="20"/>
          <w:szCs w:val="20"/>
        </w:rPr>
        <w:t>电子交易平台</w:t>
      </w:r>
      <w:r>
        <w:rPr>
          <w:rFonts w:ascii="Times New Roman" w:hAnsi="Times New Roman" w:eastAsia="Times New Roman" w:cs="Times New Roman"/>
          <w:spacing w:val="7"/>
          <w:sz w:val="20"/>
          <w:szCs w:val="20"/>
        </w:rPr>
        <w:t>”</w:t>
      </w:r>
      <w:r>
        <w:rPr>
          <w:rFonts w:ascii="宋体" w:hAnsi="宋体" w:eastAsia="宋体" w:cs="宋体"/>
          <w:spacing w:val="7"/>
          <w:sz w:val="20"/>
          <w:szCs w:val="20"/>
        </w:rPr>
        <w:t>提供的“</w:t>
      </w:r>
      <w:r>
        <w:rPr>
          <w:rFonts w:ascii="宋体" w:hAnsi="宋体" w:eastAsia="宋体" w:cs="宋体"/>
          <w:spacing w:val="-65"/>
          <w:sz w:val="20"/>
          <w:szCs w:val="20"/>
        </w:rPr>
        <w:t xml:space="preserve"> </w:t>
      </w:r>
      <w:r>
        <w:rPr>
          <w:rFonts w:ascii="宋体" w:hAnsi="宋体" w:eastAsia="宋体" w:cs="宋体"/>
          <w:spacing w:val="7"/>
          <w:sz w:val="20"/>
          <w:szCs w:val="20"/>
        </w:rPr>
        <w:t>电子投标文件制作软</w:t>
      </w:r>
      <w:r>
        <w:rPr>
          <w:rFonts w:ascii="宋体" w:hAnsi="宋体" w:eastAsia="宋体" w:cs="宋体"/>
          <w:spacing w:val="6"/>
          <w:sz w:val="20"/>
          <w:szCs w:val="20"/>
        </w:rPr>
        <w:t>件</w:t>
      </w:r>
      <w:r>
        <w:rPr>
          <w:rFonts w:ascii="Times New Roman" w:hAnsi="Times New Roman" w:eastAsia="Times New Roman" w:cs="Times New Roman"/>
          <w:spacing w:val="6"/>
          <w:sz w:val="20"/>
          <w:szCs w:val="20"/>
        </w:rPr>
        <w:t>”</w:t>
      </w:r>
      <w:r>
        <w:rPr>
          <w:rFonts w:ascii="宋体" w:hAnsi="宋体" w:eastAsia="宋体" w:cs="宋体"/>
          <w:spacing w:val="6"/>
          <w:sz w:val="20"/>
          <w:szCs w:val="20"/>
        </w:rPr>
        <w:t>制</w:t>
      </w:r>
      <w:r>
        <w:rPr>
          <w:rFonts w:ascii="宋体" w:hAnsi="宋体" w:eastAsia="宋体" w:cs="宋体"/>
          <w:spacing w:val="4"/>
          <w:sz w:val="20"/>
          <w:szCs w:val="20"/>
        </w:rPr>
        <w:t>作生成。</w:t>
      </w:r>
    </w:p>
    <w:p w14:paraId="4D14DCD3">
      <w:pPr>
        <w:spacing w:before="1" w:line="227"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）投标人在编制电子投标文件时应当建立分级目录，并按</w:t>
      </w:r>
      <w:r>
        <w:rPr>
          <w:rFonts w:ascii="宋体" w:hAnsi="宋体" w:eastAsia="宋体" w:cs="宋体"/>
          <w:spacing w:val="6"/>
          <w:sz w:val="20"/>
          <w:szCs w:val="20"/>
        </w:rPr>
        <w:t>照标签提示导入相关内容。</w:t>
      </w:r>
    </w:p>
    <w:p w14:paraId="462C851D">
      <w:pPr>
        <w:spacing w:before="152" w:line="369" w:lineRule="auto"/>
        <w:ind w:left="23" w:firstLine="429"/>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3</w:t>
      </w:r>
      <w:r>
        <w:rPr>
          <w:rFonts w:ascii="宋体" w:hAnsi="宋体" w:eastAsia="宋体" w:cs="宋体"/>
          <w:spacing w:val="4"/>
          <w:sz w:val="20"/>
          <w:szCs w:val="20"/>
        </w:rPr>
        <w:t>）</w:t>
      </w:r>
      <w:r>
        <w:rPr>
          <w:rFonts w:ascii="宋体" w:hAnsi="宋体" w:eastAsia="宋体" w:cs="宋体"/>
          <w:spacing w:val="-56"/>
          <w:sz w:val="20"/>
          <w:szCs w:val="20"/>
        </w:rPr>
        <w:t xml:space="preserve"> </w:t>
      </w:r>
      <w:r>
        <w:rPr>
          <w:rFonts w:ascii="宋体" w:hAnsi="宋体" w:eastAsia="宋体" w:cs="宋体"/>
          <w:spacing w:val="4"/>
          <w:sz w:val="20"/>
          <w:szCs w:val="20"/>
        </w:rPr>
        <w:t>电子投标文件中的证明资料均为“扫描件</w:t>
      </w:r>
      <w:r>
        <w:rPr>
          <w:rFonts w:ascii="宋体" w:hAnsi="宋体" w:eastAsia="宋体" w:cs="宋体"/>
          <w:spacing w:val="-70"/>
          <w:sz w:val="20"/>
          <w:szCs w:val="20"/>
        </w:rPr>
        <w:t xml:space="preserve"> </w:t>
      </w:r>
      <w:r>
        <w:rPr>
          <w:rFonts w:ascii="宋体" w:hAnsi="宋体" w:eastAsia="宋体" w:cs="宋体"/>
          <w:spacing w:val="4"/>
          <w:sz w:val="20"/>
          <w:szCs w:val="20"/>
        </w:rPr>
        <w:t>”，应从“</w:t>
      </w:r>
      <w:r>
        <w:rPr>
          <w:rFonts w:ascii="宋体" w:hAnsi="宋体" w:eastAsia="宋体" w:cs="宋体"/>
          <w:spacing w:val="-65"/>
          <w:sz w:val="20"/>
          <w:szCs w:val="20"/>
        </w:rPr>
        <w:t xml:space="preserve"> </w:t>
      </w:r>
      <w:r>
        <w:rPr>
          <w:rFonts w:ascii="宋体" w:hAnsi="宋体" w:eastAsia="宋体" w:cs="宋体"/>
          <w:spacing w:val="4"/>
          <w:sz w:val="20"/>
          <w:szCs w:val="20"/>
        </w:rPr>
        <w:t>电子交易平台</w:t>
      </w:r>
      <w:r>
        <w:rPr>
          <w:rFonts w:ascii="Times New Roman" w:hAnsi="Times New Roman" w:eastAsia="Times New Roman" w:cs="Times New Roman"/>
          <w:spacing w:val="4"/>
          <w:sz w:val="20"/>
          <w:szCs w:val="20"/>
        </w:rPr>
        <w:t>”</w:t>
      </w:r>
      <w:r>
        <w:rPr>
          <w:rFonts w:ascii="Times New Roman" w:hAnsi="Times New Roman" w:eastAsia="Times New Roman" w:cs="Times New Roman"/>
          <w:spacing w:val="-34"/>
          <w:sz w:val="20"/>
          <w:szCs w:val="20"/>
        </w:rPr>
        <w:t xml:space="preserve"> </w:t>
      </w:r>
      <w:r>
        <w:rPr>
          <w:rFonts w:ascii="宋体" w:hAnsi="宋体" w:eastAsia="宋体" w:cs="宋体"/>
          <w:spacing w:val="4"/>
          <w:sz w:val="20"/>
          <w:szCs w:val="20"/>
        </w:rPr>
        <w:t>交易主</w:t>
      </w:r>
      <w:r>
        <w:rPr>
          <w:rFonts w:ascii="宋体" w:hAnsi="宋体" w:eastAsia="宋体" w:cs="宋体"/>
          <w:spacing w:val="3"/>
          <w:sz w:val="20"/>
          <w:szCs w:val="20"/>
        </w:rPr>
        <w:t>体诚信</w:t>
      </w:r>
      <w:r>
        <w:rPr>
          <w:rFonts w:ascii="宋体" w:hAnsi="宋体" w:eastAsia="宋体" w:cs="宋体"/>
          <w:spacing w:val="6"/>
          <w:sz w:val="20"/>
          <w:szCs w:val="20"/>
        </w:rPr>
        <w:t>库中选择，交易主体诚信库中没有的“扫描件</w:t>
      </w:r>
      <w:r>
        <w:rPr>
          <w:rFonts w:ascii="宋体" w:hAnsi="宋体" w:eastAsia="宋体" w:cs="宋体"/>
          <w:spacing w:val="-72"/>
          <w:sz w:val="20"/>
          <w:szCs w:val="20"/>
        </w:rPr>
        <w:t xml:space="preserve"> </w:t>
      </w:r>
      <w:r>
        <w:rPr>
          <w:rFonts w:ascii="宋体" w:hAnsi="宋体" w:eastAsia="宋体" w:cs="宋体"/>
          <w:spacing w:val="6"/>
          <w:sz w:val="20"/>
          <w:szCs w:val="20"/>
        </w:rPr>
        <w:t>”，应以附件形式直接导入，未标示“扫描</w:t>
      </w:r>
      <w:r>
        <w:rPr>
          <w:rFonts w:ascii="宋体" w:hAnsi="宋体" w:eastAsia="宋体" w:cs="宋体"/>
          <w:spacing w:val="5"/>
          <w:sz w:val="20"/>
          <w:szCs w:val="20"/>
        </w:rPr>
        <w:t>件</w:t>
      </w:r>
      <w:r>
        <w:rPr>
          <w:rFonts w:ascii="宋体" w:hAnsi="宋体" w:eastAsia="宋体" w:cs="宋体"/>
          <w:spacing w:val="-73"/>
          <w:sz w:val="20"/>
          <w:szCs w:val="20"/>
        </w:rPr>
        <w:t xml:space="preserve"> </w:t>
      </w:r>
      <w:r>
        <w:rPr>
          <w:rFonts w:ascii="宋体" w:hAnsi="宋体" w:eastAsia="宋体" w:cs="宋体"/>
          <w:spacing w:val="5"/>
          <w:sz w:val="20"/>
          <w:szCs w:val="20"/>
        </w:rPr>
        <w:t>”</w:t>
      </w:r>
      <w:r>
        <w:rPr>
          <w:rFonts w:ascii="宋体" w:hAnsi="宋体" w:eastAsia="宋体" w:cs="宋体"/>
          <w:spacing w:val="8"/>
          <w:sz w:val="20"/>
          <w:szCs w:val="20"/>
        </w:rPr>
        <w:t>的证明资料均应直接制作生成。</w:t>
      </w:r>
    </w:p>
    <w:p w14:paraId="579263D5">
      <w:pPr>
        <w:spacing w:before="3" w:line="369" w:lineRule="auto"/>
        <w:ind w:left="18" w:right="203" w:firstLine="433"/>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w:t>
      </w:r>
      <w:r>
        <w:rPr>
          <w:rFonts w:ascii="宋体" w:hAnsi="宋体" w:eastAsia="宋体" w:cs="宋体"/>
          <w:spacing w:val="-40"/>
          <w:sz w:val="20"/>
          <w:szCs w:val="20"/>
        </w:rPr>
        <w:t xml:space="preserve"> </w:t>
      </w:r>
      <w:r>
        <w:rPr>
          <w:rFonts w:ascii="宋体" w:hAnsi="宋体" w:eastAsia="宋体" w:cs="宋体"/>
          <w:spacing w:val="8"/>
          <w:sz w:val="20"/>
          <w:szCs w:val="20"/>
        </w:rPr>
        <w:t>电子投标文件中的已标价工程量清单数据文件应符合湖北省现行《建设工程造价</w:t>
      </w:r>
      <w:r>
        <w:rPr>
          <w:rFonts w:ascii="宋体" w:hAnsi="宋体" w:eastAsia="宋体" w:cs="宋体"/>
          <w:spacing w:val="-3"/>
          <w:sz w:val="20"/>
          <w:szCs w:val="20"/>
        </w:rPr>
        <w:t>应用软件数据交换标准》（</w:t>
      </w:r>
      <w:r>
        <w:rPr>
          <w:rFonts w:ascii="Times New Roman" w:hAnsi="Times New Roman" w:eastAsia="Times New Roman" w:cs="Times New Roman"/>
          <w:spacing w:val="-3"/>
          <w:sz w:val="20"/>
          <w:szCs w:val="20"/>
        </w:rPr>
        <w:t>DB42/T 749</w:t>
      </w:r>
      <w:r>
        <w:rPr>
          <w:rFonts w:ascii="宋体" w:hAnsi="宋体" w:eastAsia="宋体" w:cs="宋体"/>
          <w:spacing w:val="-3"/>
          <w:sz w:val="20"/>
          <w:szCs w:val="20"/>
        </w:rPr>
        <w:t>）、《建筑工程和市政工程造价数据归集</w:t>
      </w:r>
      <w:r>
        <w:rPr>
          <w:rFonts w:ascii="宋体" w:hAnsi="宋体" w:eastAsia="宋体" w:cs="宋体"/>
          <w:spacing w:val="-4"/>
          <w:sz w:val="20"/>
          <w:szCs w:val="20"/>
        </w:rPr>
        <w:t>标准》（</w:t>
      </w:r>
      <w:r>
        <w:rPr>
          <w:rFonts w:ascii="Times New Roman" w:hAnsi="Times New Roman" w:eastAsia="Times New Roman" w:cs="Times New Roman"/>
          <w:spacing w:val="-4"/>
          <w:sz w:val="20"/>
          <w:szCs w:val="20"/>
        </w:rPr>
        <w:t>DB42/T</w:t>
      </w:r>
      <w:r>
        <w:rPr>
          <w:rFonts w:ascii="Times New Roman" w:hAnsi="Times New Roman" w:eastAsia="Times New Roman" w:cs="Times New Roman"/>
          <w:sz w:val="20"/>
          <w:szCs w:val="20"/>
        </w:rPr>
        <w:t xml:space="preserve"> 2176</w:t>
      </w:r>
      <w:r>
        <w:rPr>
          <w:rFonts w:ascii="宋体" w:hAnsi="宋体" w:eastAsia="宋体" w:cs="宋体"/>
          <w:sz w:val="20"/>
          <w:szCs w:val="20"/>
        </w:rPr>
        <w:t>）、《建设工程人工材料设备机械数据分类和编码标准》（</w:t>
      </w:r>
      <w:r>
        <w:rPr>
          <w:rFonts w:ascii="Times New Roman" w:hAnsi="Times New Roman" w:eastAsia="Times New Roman" w:cs="Times New Roman"/>
          <w:sz w:val="20"/>
          <w:szCs w:val="20"/>
        </w:rPr>
        <w:t>DB42/T 2306</w:t>
      </w:r>
      <w:r>
        <w:rPr>
          <w:rFonts w:ascii="宋体" w:hAnsi="宋体" w:eastAsia="宋体" w:cs="宋体"/>
          <w:sz w:val="20"/>
          <w:szCs w:val="20"/>
        </w:rPr>
        <w:t>）</w:t>
      </w:r>
      <w:r>
        <w:rPr>
          <w:rFonts w:ascii="宋体" w:hAnsi="宋体" w:eastAsia="宋体" w:cs="宋体"/>
          <w:spacing w:val="-1"/>
          <w:sz w:val="20"/>
          <w:szCs w:val="20"/>
        </w:rPr>
        <w:t>和《关于增加湖</w:t>
      </w:r>
      <w:r>
        <w:rPr>
          <w:rFonts w:ascii="宋体" w:hAnsi="宋体" w:eastAsia="宋体" w:cs="宋体"/>
          <w:spacing w:val="5"/>
          <w:sz w:val="20"/>
          <w:szCs w:val="20"/>
        </w:rPr>
        <w:t>北省建设工程造价数据接口内容的通知》（鄂建标函</w:t>
      </w:r>
      <w:r>
        <w:rPr>
          <w:rFonts w:ascii="Times New Roman" w:hAnsi="Times New Roman" w:eastAsia="Times New Roman" w:cs="Times New Roman"/>
          <w:spacing w:val="5"/>
          <w:sz w:val="20"/>
          <w:szCs w:val="20"/>
        </w:rPr>
        <w:t>[</w:t>
      </w:r>
      <w:r>
        <w:fldChar w:fldCharType="begin"/>
      </w:r>
      <w:r>
        <w:instrText xml:space="preserve"> HYPERLINK \l "bookmark446" </w:instrText>
      </w:r>
      <w:r>
        <w:fldChar w:fldCharType="separate"/>
      </w:r>
      <w:r>
        <w:rPr>
          <w:rFonts w:ascii="Times New Roman" w:hAnsi="Times New Roman" w:eastAsia="Times New Roman" w:cs="Times New Roman"/>
          <w:spacing w:val="4"/>
          <w:sz w:val="20"/>
          <w:szCs w:val="20"/>
        </w:rPr>
        <w:t>2018</w:t>
      </w:r>
      <w:r>
        <w:rPr>
          <w:rFonts w:ascii="Times New Roman" w:hAnsi="Times New Roman" w:eastAsia="Times New Roman" w:cs="Times New Roman"/>
          <w:spacing w:val="4"/>
          <w:sz w:val="20"/>
          <w:szCs w:val="20"/>
        </w:rPr>
        <w:fldChar w:fldCharType="end"/>
      </w:r>
      <w:r>
        <w:rPr>
          <w:rFonts w:ascii="Times New Roman" w:hAnsi="Times New Roman" w:eastAsia="Times New Roman" w:cs="Times New Roman"/>
          <w:spacing w:val="4"/>
          <w:sz w:val="20"/>
          <w:szCs w:val="20"/>
        </w:rPr>
        <w:t>]6</w:t>
      </w:r>
      <w:r>
        <w:rPr>
          <w:rFonts w:ascii="Times New Roman" w:hAnsi="Times New Roman" w:eastAsia="Times New Roman" w:cs="Times New Roman"/>
          <w:spacing w:val="15"/>
          <w:w w:val="101"/>
          <w:sz w:val="20"/>
          <w:szCs w:val="20"/>
        </w:rPr>
        <w:t xml:space="preserve"> </w:t>
      </w:r>
      <w:r>
        <w:rPr>
          <w:rFonts w:ascii="宋体" w:hAnsi="宋体" w:eastAsia="宋体" w:cs="宋体"/>
          <w:spacing w:val="4"/>
          <w:sz w:val="20"/>
          <w:szCs w:val="20"/>
        </w:rPr>
        <w:t>号）的要求，编制投标报价采用</w:t>
      </w:r>
      <w:r>
        <w:rPr>
          <w:rFonts w:ascii="宋体" w:hAnsi="宋体" w:eastAsia="宋体" w:cs="宋体"/>
          <w:spacing w:val="13"/>
          <w:sz w:val="20"/>
          <w:szCs w:val="20"/>
        </w:rPr>
        <w:t>的建设工程计价应用软件必须是通过湖北省建设工程标准定额管理总</w:t>
      </w:r>
      <w:r>
        <w:rPr>
          <w:rFonts w:ascii="宋体" w:hAnsi="宋体" w:eastAsia="宋体" w:cs="宋体"/>
          <w:spacing w:val="12"/>
          <w:sz w:val="20"/>
          <w:szCs w:val="20"/>
        </w:rPr>
        <w:t>站符合性测评的软件</w:t>
      </w:r>
      <w:r>
        <w:rPr>
          <w:rFonts w:ascii="宋体" w:hAnsi="宋体" w:eastAsia="宋体" w:cs="宋体"/>
          <w:spacing w:val="7"/>
          <w:sz w:val="20"/>
          <w:szCs w:val="20"/>
        </w:rPr>
        <w:t>（以湖北省建设工程数字造价平台公布名单为准）。电子投标文件中的已标价工程量清单数</w:t>
      </w:r>
      <w:r>
        <w:rPr>
          <w:rFonts w:ascii="宋体" w:hAnsi="宋体" w:eastAsia="宋体" w:cs="宋体"/>
          <w:spacing w:val="12"/>
          <w:sz w:val="20"/>
          <w:szCs w:val="20"/>
        </w:rPr>
        <w:t>据文件应采用</w:t>
      </w:r>
      <w:r>
        <w:rPr>
          <w:rFonts w:ascii="Times New Roman" w:hAnsi="Times New Roman" w:eastAsia="Times New Roman" w:cs="Times New Roman"/>
          <w:sz w:val="20"/>
          <w:szCs w:val="20"/>
        </w:rPr>
        <w:t>XML</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rPr>
        <w:t>格式。电子投标文件中只能包含一个</w:t>
      </w:r>
      <w:r>
        <w:rPr>
          <w:rFonts w:ascii="宋体" w:hAnsi="宋体" w:eastAsia="宋体" w:cs="宋体"/>
          <w:spacing w:val="-44"/>
          <w:sz w:val="20"/>
          <w:szCs w:val="20"/>
        </w:rPr>
        <w:t xml:space="preserve"> </w:t>
      </w:r>
      <w:r>
        <w:rPr>
          <w:rFonts w:ascii="Times New Roman" w:hAnsi="Times New Roman" w:eastAsia="Times New Roman" w:cs="Times New Roman"/>
          <w:sz w:val="20"/>
          <w:szCs w:val="20"/>
        </w:rPr>
        <w:t>XML</w:t>
      </w:r>
      <w:r>
        <w:rPr>
          <w:rFonts w:ascii="Times New Roman" w:hAnsi="Times New Roman" w:eastAsia="Times New Roman" w:cs="Times New Roman"/>
          <w:spacing w:val="18"/>
          <w:sz w:val="20"/>
          <w:szCs w:val="20"/>
        </w:rPr>
        <w:t xml:space="preserve"> </w:t>
      </w:r>
      <w:r>
        <w:rPr>
          <w:rFonts w:ascii="宋体" w:hAnsi="宋体" w:eastAsia="宋体" w:cs="宋体"/>
          <w:spacing w:val="12"/>
          <w:sz w:val="20"/>
          <w:szCs w:val="20"/>
        </w:rPr>
        <w:t>或</w:t>
      </w:r>
      <w:r>
        <w:rPr>
          <w:rFonts w:ascii="宋体" w:hAnsi="宋体" w:eastAsia="宋体" w:cs="宋体"/>
          <w:spacing w:val="-44"/>
          <w:sz w:val="20"/>
          <w:szCs w:val="20"/>
        </w:rPr>
        <w:t xml:space="preserve"> </w:t>
      </w:r>
      <w:r>
        <w:rPr>
          <w:rFonts w:ascii="Times New Roman" w:hAnsi="Times New Roman" w:eastAsia="Times New Roman" w:cs="Times New Roman"/>
          <w:sz w:val="20"/>
          <w:szCs w:val="20"/>
        </w:rPr>
        <w:t>HBTB</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rPr>
        <w:t>文件，多个专业分</w:t>
      </w:r>
      <w:r>
        <w:rPr>
          <w:rFonts w:ascii="宋体" w:hAnsi="宋体" w:eastAsia="宋体" w:cs="宋体"/>
          <w:spacing w:val="10"/>
          <w:sz w:val="20"/>
          <w:szCs w:val="20"/>
        </w:rPr>
        <w:t>别编制时，应汇总合并为一个</w:t>
      </w:r>
      <w:r>
        <w:rPr>
          <w:rFonts w:ascii="宋体" w:hAnsi="宋体" w:eastAsia="宋体" w:cs="宋体"/>
          <w:spacing w:val="-44"/>
          <w:sz w:val="20"/>
          <w:szCs w:val="20"/>
        </w:rPr>
        <w:t xml:space="preserve"> </w:t>
      </w:r>
      <w:r>
        <w:rPr>
          <w:rFonts w:ascii="Times New Roman" w:hAnsi="Times New Roman" w:eastAsia="Times New Roman" w:cs="Times New Roman"/>
          <w:sz w:val="20"/>
          <w:szCs w:val="20"/>
        </w:rPr>
        <w:t>XML</w:t>
      </w:r>
      <w:r>
        <w:rPr>
          <w:rFonts w:ascii="Times New Roman" w:hAnsi="Times New Roman" w:eastAsia="Times New Roman" w:cs="Times New Roman"/>
          <w:spacing w:val="16"/>
          <w:sz w:val="20"/>
          <w:szCs w:val="20"/>
        </w:rPr>
        <w:t xml:space="preserve"> </w:t>
      </w:r>
      <w:r>
        <w:rPr>
          <w:rFonts w:ascii="宋体" w:hAnsi="宋体" w:eastAsia="宋体" w:cs="宋体"/>
          <w:spacing w:val="10"/>
          <w:sz w:val="20"/>
          <w:szCs w:val="20"/>
        </w:rPr>
        <w:t>或</w:t>
      </w:r>
      <w:r>
        <w:rPr>
          <w:rFonts w:ascii="宋体" w:hAnsi="宋体" w:eastAsia="宋体" w:cs="宋体"/>
          <w:spacing w:val="-42"/>
          <w:sz w:val="20"/>
          <w:szCs w:val="20"/>
        </w:rPr>
        <w:t xml:space="preserve"> </w:t>
      </w:r>
      <w:r>
        <w:rPr>
          <w:rFonts w:ascii="Times New Roman" w:hAnsi="Times New Roman" w:eastAsia="Times New Roman" w:cs="Times New Roman"/>
          <w:sz w:val="20"/>
          <w:szCs w:val="20"/>
        </w:rPr>
        <w:t>HBTB</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文件导入。</w:t>
      </w:r>
    </w:p>
    <w:p w14:paraId="07641546">
      <w:pPr>
        <w:spacing w:before="3" w:line="369" w:lineRule="auto"/>
        <w:ind w:left="21" w:right="205"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）第八章投标文件格式文件要求“盖单位章</w:t>
      </w:r>
      <w:r>
        <w:rPr>
          <w:rFonts w:ascii="宋体" w:hAnsi="宋体" w:eastAsia="宋体" w:cs="宋体"/>
          <w:spacing w:val="-70"/>
          <w:sz w:val="20"/>
          <w:szCs w:val="20"/>
        </w:rPr>
        <w:t xml:space="preserve"> </w:t>
      </w:r>
      <w:r>
        <w:rPr>
          <w:rFonts w:ascii="宋体" w:hAnsi="宋体" w:eastAsia="宋体" w:cs="宋体"/>
          <w:spacing w:val="8"/>
          <w:sz w:val="20"/>
          <w:szCs w:val="20"/>
        </w:rPr>
        <w:t>”的地方，投标</w:t>
      </w:r>
      <w:r>
        <w:rPr>
          <w:rFonts w:ascii="宋体" w:hAnsi="宋体" w:eastAsia="宋体" w:cs="宋体"/>
          <w:spacing w:val="7"/>
          <w:sz w:val="20"/>
          <w:szCs w:val="20"/>
        </w:rPr>
        <w:t>人应使用</w:t>
      </w:r>
      <w:r>
        <w:rPr>
          <w:rFonts w:ascii="宋体" w:hAnsi="宋体" w:eastAsia="宋体" w:cs="宋体"/>
          <w:spacing w:val="-37"/>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数字证书</w:t>
      </w:r>
      <w:r>
        <w:rPr>
          <w:rFonts w:ascii="宋体" w:hAnsi="宋体" w:eastAsia="宋体" w:cs="宋体"/>
          <w:spacing w:val="11"/>
          <w:sz w:val="20"/>
          <w:szCs w:val="20"/>
        </w:rPr>
        <w:t>加盖投标人的单位电子印章；要求“签字</w:t>
      </w:r>
      <w:r>
        <w:rPr>
          <w:rFonts w:ascii="宋体" w:hAnsi="宋体" w:eastAsia="宋体" w:cs="宋体"/>
          <w:spacing w:val="-68"/>
          <w:sz w:val="20"/>
          <w:szCs w:val="20"/>
        </w:rPr>
        <w:t xml:space="preserve"> </w:t>
      </w:r>
      <w:r>
        <w:rPr>
          <w:rFonts w:ascii="宋体" w:hAnsi="宋体" w:eastAsia="宋体" w:cs="宋体"/>
          <w:spacing w:val="11"/>
          <w:sz w:val="20"/>
          <w:szCs w:val="20"/>
        </w:rPr>
        <w:t>”的地方，投标人应使用</w:t>
      </w:r>
      <w:r>
        <w:rPr>
          <w:rFonts w:ascii="宋体" w:hAnsi="宋体" w:eastAsia="宋体" w:cs="宋体"/>
          <w:spacing w:val="-35"/>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数字证书加盖法定</w:t>
      </w:r>
      <w:r>
        <w:rPr>
          <w:rFonts w:ascii="宋体" w:hAnsi="宋体" w:eastAsia="宋体" w:cs="宋体"/>
          <w:spacing w:val="7"/>
          <w:sz w:val="20"/>
          <w:szCs w:val="20"/>
        </w:rPr>
        <w:t>代表人的个人电子印章或电子签名章。联合体投标的，投标文件由联合体牵头人按上述规定</w:t>
      </w:r>
    </w:p>
    <w:p w14:paraId="2EA2CF34">
      <w:pPr>
        <w:spacing w:line="369" w:lineRule="auto"/>
        <w:rPr>
          <w:rFonts w:ascii="宋体" w:hAnsi="宋体" w:eastAsia="宋体" w:cs="宋体"/>
          <w:sz w:val="20"/>
          <w:szCs w:val="20"/>
        </w:rPr>
        <w:sectPr>
          <w:footerReference r:id="rId38" w:type="default"/>
          <w:pgSz w:w="11906" w:h="16839"/>
          <w:pgMar w:top="1431" w:right="1596" w:bottom="1156" w:left="1785" w:header="0" w:footer="994" w:gutter="0"/>
          <w:cols w:space="720" w:num="1"/>
        </w:sectPr>
      </w:pPr>
    </w:p>
    <w:p w14:paraId="4C1ED538">
      <w:pPr>
        <w:spacing w:before="149" w:line="369" w:lineRule="auto"/>
        <w:ind w:left="22" w:right="58" w:hanging="1"/>
        <w:rPr>
          <w:rFonts w:ascii="宋体" w:hAnsi="宋体" w:eastAsia="宋体" w:cs="宋体"/>
          <w:sz w:val="20"/>
          <w:szCs w:val="20"/>
        </w:rPr>
      </w:pPr>
      <w:r>
        <w:rPr>
          <w:rFonts w:ascii="宋体" w:hAnsi="宋体" w:eastAsia="宋体" w:cs="宋体"/>
          <w:spacing w:val="6"/>
          <w:sz w:val="20"/>
          <w:szCs w:val="20"/>
        </w:rPr>
        <w:t>在要求“盖单位章</w:t>
      </w:r>
      <w:r>
        <w:rPr>
          <w:rFonts w:ascii="宋体" w:hAnsi="宋体" w:eastAsia="宋体" w:cs="宋体"/>
          <w:spacing w:val="-70"/>
          <w:sz w:val="20"/>
          <w:szCs w:val="20"/>
        </w:rPr>
        <w:t xml:space="preserve"> </w:t>
      </w:r>
      <w:r>
        <w:rPr>
          <w:rFonts w:ascii="宋体" w:hAnsi="宋体" w:eastAsia="宋体" w:cs="宋体"/>
          <w:spacing w:val="6"/>
          <w:sz w:val="20"/>
          <w:szCs w:val="20"/>
        </w:rPr>
        <w:t>”的地方加盖联合体牵头人单位电子印章；在要求“签字</w:t>
      </w:r>
      <w:r>
        <w:rPr>
          <w:rFonts w:ascii="宋体" w:hAnsi="宋体" w:eastAsia="宋体" w:cs="宋体"/>
          <w:spacing w:val="-70"/>
          <w:sz w:val="20"/>
          <w:szCs w:val="20"/>
        </w:rPr>
        <w:t xml:space="preserve"> </w:t>
      </w:r>
      <w:r>
        <w:rPr>
          <w:rFonts w:ascii="宋体" w:hAnsi="宋体" w:eastAsia="宋体" w:cs="宋体"/>
          <w:spacing w:val="6"/>
          <w:sz w:val="20"/>
          <w:szCs w:val="20"/>
        </w:rPr>
        <w:t>”的</w:t>
      </w:r>
      <w:r>
        <w:rPr>
          <w:rFonts w:ascii="宋体" w:hAnsi="宋体" w:eastAsia="宋体" w:cs="宋体"/>
          <w:spacing w:val="5"/>
          <w:sz w:val="20"/>
          <w:szCs w:val="20"/>
        </w:rPr>
        <w:t>地方加盖联</w:t>
      </w:r>
      <w:r>
        <w:rPr>
          <w:rFonts w:ascii="宋体" w:hAnsi="宋体" w:eastAsia="宋体" w:cs="宋体"/>
          <w:spacing w:val="9"/>
          <w:sz w:val="20"/>
          <w:szCs w:val="20"/>
        </w:rPr>
        <w:t>合体牵头人法定代表人的个人电子印章或电子签名章。招标文件有特别说明的除外。</w:t>
      </w:r>
    </w:p>
    <w:p w14:paraId="1A35A439">
      <w:pPr>
        <w:spacing w:before="2" w:line="369" w:lineRule="auto"/>
        <w:ind w:left="23" w:right="12" w:firstLine="42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w:t>
      </w:r>
      <w:r>
        <w:rPr>
          <w:rFonts w:ascii="宋体" w:hAnsi="宋体" w:eastAsia="宋体" w:cs="宋体"/>
          <w:spacing w:val="-50"/>
          <w:sz w:val="20"/>
          <w:szCs w:val="20"/>
        </w:rPr>
        <w:t xml:space="preserve"> </w:t>
      </w:r>
      <w:r>
        <w:rPr>
          <w:rFonts w:ascii="宋体" w:hAnsi="宋体" w:eastAsia="宋体" w:cs="宋体"/>
          <w:spacing w:val="8"/>
          <w:sz w:val="20"/>
          <w:szCs w:val="20"/>
        </w:rPr>
        <w:t>电子投标文件制作完成后，将生成一份加密的电子投标文件（后缀名为</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HBSTF</w:t>
      </w:r>
      <w:r>
        <w:rPr>
          <w:rFonts w:ascii="宋体" w:hAnsi="宋体" w:eastAsia="宋体" w:cs="宋体"/>
          <w:spacing w:val="8"/>
          <w:sz w:val="20"/>
          <w:szCs w:val="20"/>
        </w:rPr>
        <w:t>）</w:t>
      </w:r>
      <w:r>
        <w:rPr>
          <w:rFonts w:ascii="宋体" w:hAnsi="宋体" w:eastAsia="宋体" w:cs="宋体"/>
          <w:spacing w:val="6"/>
          <w:sz w:val="20"/>
          <w:szCs w:val="20"/>
        </w:rPr>
        <w:t>和一份不加密的电子投标文件（后缀名为</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NHBSTF</w:t>
      </w:r>
      <w:r>
        <w:rPr>
          <w:rFonts w:ascii="宋体" w:hAnsi="宋体" w:eastAsia="宋体" w:cs="宋体"/>
          <w:spacing w:val="6"/>
          <w:sz w:val="20"/>
          <w:szCs w:val="20"/>
        </w:rPr>
        <w:t>）。</w:t>
      </w:r>
    </w:p>
    <w:p w14:paraId="4B0C7B77">
      <w:pPr>
        <w:spacing w:line="227" w:lineRule="auto"/>
        <w:ind w:left="45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7</w:t>
      </w:r>
      <w:r>
        <w:rPr>
          <w:rFonts w:ascii="宋体" w:hAnsi="宋体" w:eastAsia="宋体" w:cs="宋体"/>
          <w:spacing w:val="6"/>
          <w:sz w:val="20"/>
          <w:szCs w:val="20"/>
        </w:rPr>
        <w:t>）</w:t>
      </w:r>
      <w:r>
        <w:rPr>
          <w:rFonts w:ascii="宋体" w:hAnsi="宋体" w:eastAsia="宋体" w:cs="宋体"/>
          <w:spacing w:val="-54"/>
          <w:sz w:val="20"/>
          <w:szCs w:val="20"/>
        </w:rPr>
        <w:t xml:space="preserve"> </w:t>
      </w:r>
      <w:r>
        <w:rPr>
          <w:rFonts w:ascii="宋体" w:hAnsi="宋体" w:eastAsia="宋体" w:cs="宋体"/>
          <w:spacing w:val="6"/>
          <w:sz w:val="20"/>
          <w:szCs w:val="20"/>
        </w:rPr>
        <w:t>电子投标文件制作的具体方法详见“</w:t>
      </w:r>
      <w:r>
        <w:rPr>
          <w:rFonts w:ascii="宋体" w:hAnsi="宋体" w:eastAsia="宋体" w:cs="宋体"/>
          <w:spacing w:val="-66"/>
          <w:sz w:val="20"/>
          <w:szCs w:val="20"/>
        </w:rPr>
        <w:t xml:space="preserve"> </w:t>
      </w:r>
      <w:r>
        <w:rPr>
          <w:rFonts w:ascii="宋体" w:hAnsi="宋体" w:eastAsia="宋体" w:cs="宋体"/>
          <w:spacing w:val="6"/>
          <w:sz w:val="20"/>
          <w:szCs w:val="20"/>
        </w:rPr>
        <w:t>电子投标文件制作软件</w:t>
      </w:r>
      <w:r>
        <w:rPr>
          <w:rFonts w:ascii="宋体" w:hAnsi="宋体" w:eastAsia="宋体" w:cs="宋体"/>
          <w:spacing w:val="-70"/>
          <w:sz w:val="20"/>
          <w:szCs w:val="20"/>
        </w:rPr>
        <w:t xml:space="preserve"> </w:t>
      </w:r>
      <w:r>
        <w:rPr>
          <w:rFonts w:ascii="宋体" w:hAnsi="宋体" w:eastAsia="宋体" w:cs="宋体"/>
          <w:spacing w:val="6"/>
          <w:sz w:val="20"/>
          <w:szCs w:val="20"/>
        </w:rPr>
        <w:t>”中的帮助文档。</w:t>
      </w:r>
    </w:p>
    <w:p w14:paraId="48833EDA">
      <w:pPr>
        <w:spacing w:before="168" w:line="380" w:lineRule="auto"/>
        <w:ind w:left="24" w:right="58" w:firstLine="417"/>
        <w:rPr>
          <w:rFonts w:ascii="宋体" w:hAnsi="宋体" w:eastAsia="宋体" w:cs="宋体"/>
          <w:sz w:val="20"/>
          <w:szCs w:val="20"/>
        </w:rPr>
      </w:pPr>
      <w:r>
        <w:rPr>
          <w:rFonts w:ascii="Times New Roman" w:hAnsi="Times New Roman" w:eastAsia="Times New Roman" w:cs="Times New Roman"/>
          <w:spacing w:val="8"/>
          <w:sz w:val="20"/>
          <w:szCs w:val="20"/>
        </w:rPr>
        <w:t xml:space="preserve">3.7.4  </w:t>
      </w:r>
      <w:r>
        <w:rPr>
          <w:rFonts w:ascii="宋体" w:hAnsi="宋体" w:eastAsia="宋体" w:cs="宋体"/>
          <w:spacing w:val="8"/>
          <w:sz w:val="20"/>
          <w:szCs w:val="20"/>
        </w:rPr>
        <w:t>投标人须知前附表规定“施工组织</w:t>
      </w:r>
      <w:r>
        <w:rPr>
          <w:rFonts w:ascii="宋体" w:hAnsi="宋体" w:eastAsia="宋体" w:cs="宋体"/>
          <w:spacing w:val="7"/>
          <w:sz w:val="20"/>
          <w:szCs w:val="20"/>
        </w:rPr>
        <w:t>设计</w:t>
      </w:r>
      <w:r>
        <w:rPr>
          <w:rFonts w:ascii="宋体" w:hAnsi="宋体" w:eastAsia="宋体" w:cs="宋体"/>
          <w:spacing w:val="-70"/>
          <w:sz w:val="20"/>
          <w:szCs w:val="20"/>
        </w:rPr>
        <w:t xml:space="preserve"> </w:t>
      </w:r>
      <w:r>
        <w:rPr>
          <w:rFonts w:ascii="宋体" w:hAnsi="宋体" w:eastAsia="宋体" w:cs="宋体"/>
          <w:spacing w:val="7"/>
          <w:sz w:val="20"/>
          <w:szCs w:val="20"/>
        </w:rPr>
        <w:t>”采用无标识“技术暗标</w:t>
      </w:r>
      <w:r>
        <w:rPr>
          <w:rFonts w:ascii="宋体" w:hAnsi="宋体" w:eastAsia="宋体" w:cs="宋体"/>
          <w:spacing w:val="-72"/>
          <w:sz w:val="20"/>
          <w:szCs w:val="20"/>
        </w:rPr>
        <w:t xml:space="preserve"> </w:t>
      </w:r>
      <w:r>
        <w:rPr>
          <w:rFonts w:ascii="宋体" w:hAnsi="宋体" w:eastAsia="宋体" w:cs="宋体"/>
          <w:spacing w:val="7"/>
          <w:sz w:val="20"/>
          <w:szCs w:val="20"/>
        </w:rPr>
        <w:t>”时，则“施工组织设计</w:t>
      </w:r>
      <w:r>
        <w:rPr>
          <w:rFonts w:ascii="宋体" w:hAnsi="宋体" w:eastAsia="宋体" w:cs="宋体"/>
          <w:spacing w:val="-70"/>
          <w:sz w:val="20"/>
          <w:szCs w:val="20"/>
        </w:rPr>
        <w:t xml:space="preserve"> </w:t>
      </w:r>
      <w:r>
        <w:rPr>
          <w:rFonts w:ascii="宋体" w:hAnsi="宋体" w:eastAsia="宋体" w:cs="宋体"/>
          <w:spacing w:val="7"/>
          <w:sz w:val="20"/>
          <w:szCs w:val="20"/>
        </w:rPr>
        <w:t>”按本章第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3.7.3 </w:t>
      </w:r>
      <w:r>
        <w:rPr>
          <w:rFonts w:ascii="宋体" w:hAnsi="宋体" w:eastAsia="宋体" w:cs="宋体"/>
          <w:spacing w:val="7"/>
          <w:sz w:val="20"/>
          <w:szCs w:val="20"/>
        </w:rPr>
        <w:t>项制作电子投标文件时应满足下列</w:t>
      </w:r>
      <w:r>
        <w:rPr>
          <w:rFonts w:ascii="宋体" w:hAnsi="宋体" w:eastAsia="宋体" w:cs="宋体"/>
          <w:spacing w:val="6"/>
          <w:sz w:val="20"/>
          <w:szCs w:val="20"/>
        </w:rPr>
        <w:t>要求：</w:t>
      </w:r>
    </w:p>
    <w:p w14:paraId="2BCACC0A">
      <w:pPr>
        <w:spacing w:line="371" w:lineRule="auto"/>
        <w:ind w:left="21" w:right="58" w:firstLine="430"/>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1</w:t>
      </w:r>
      <w:r>
        <w:rPr>
          <w:rFonts w:ascii="宋体" w:hAnsi="宋体" w:eastAsia="宋体" w:cs="宋体"/>
          <w:spacing w:val="10"/>
          <w:sz w:val="20"/>
          <w:szCs w:val="20"/>
        </w:rPr>
        <w:t>）封面设置要求：采用</w:t>
      </w:r>
      <w:r>
        <w:rPr>
          <w:rFonts w:ascii="Times New Roman" w:hAnsi="Times New Roman" w:eastAsia="Times New Roman" w:cs="Times New Roman"/>
          <w:spacing w:val="10"/>
          <w:sz w:val="20"/>
          <w:szCs w:val="20"/>
        </w:rPr>
        <w:t xml:space="preserve">A4 </w:t>
      </w:r>
      <w:r>
        <w:rPr>
          <w:rFonts w:ascii="宋体" w:hAnsi="宋体" w:eastAsia="宋体" w:cs="宋体"/>
          <w:spacing w:val="10"/>
          <w:sz w:val="20"/>
          <w:szCs w:val="20"/>
        </w:rPr>
        <w:t>规格白色底色，写明“</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（项目名称</w:t>
      </w:r>
      <w:r>
        <w:rPr>
          <w:rFonts w:ascii="宋体" w:hAnsi="宋体" w:eastAsia="宋体" w:cs="宋体"/>
          <w:spacing w:val="-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9"/>
          <w:sz w:val="20"/>
          <w:szCs w:val="20"/>
        </w:rPr>
        <w:t>（</w:t>
      </w:r>
      <w:r>
        <w:rPr>
          <w:rFonts w:ascii="宋体" w:hAnsi="宋体" w:eastAsia="宋体" w:cs="宋体"/>
          <w:spacing w:val="9"/>
          <w:sz w:val="20"/>
          <w:szCs w:val="20"/>
        </w:rPr>
        <w:t>标段名</w:t>
      </w:r>
      <w:r>
        <w:rPr>
          <w:rFonts w:ascii="宋体" w:hAnsi="宋体" w:eastAsia="宋体" w:cs="宋体"/>
          <w:spacing w:val="8"/>
          <w:sz w:val="20"/>
          <w:szCs w:val="20"/>
        </w:rPr>
        <w:t>称）施工组织设计</w:t>
      </w:r>
      <w:r>
        <w:rPr>
          <w:rFonts w:ascii="宋体" w:hAnsi="宋体" w:eastAsia="宋体" w:cs="宋体"/>
          <w:spacing w:val="-68"/>
          <w:sz w:val="20"/>
          <w:szCs w:val="20"/>
        </w:rPr>
        <w:t xml:space="preserve"> </w:t>
      </w:r>
      <w:r>
        <w:rPr>
          <w:rFonts w:ascii="宋体" w:hAnsi="宋体" w:eastAsia="宋体" w:cs="宋体"/>
          <w:spacing w:val="8"/>
          <w:sz w:val="20"/>
          <w:szCs w:val="20"/>
        </w:rPr>
        <w:t>”字样，文字为黑色二号宋体，可加粗；</w:t>
      </w:r>
    </w:p>
    <w:p w14:paraId="2CE95379">
      <w:pPr>
        <w:spacing w:before="10" w:line="388" w:lineRule="auto"/>
        <w:ind w:left="23" w:right="4" w:firstLine="428"/>
        <w:rPr>
          <w:rFonts w:ascii="宋体" w:hAnsi="宋体" w:eastAsia="宋体" w:cs="宋体"/>
          <w:sz w:val="20"/>
          <w:szCs w:val="20"/>
        </w:rPr>
      </w:pPr>
      <w:r>
        <w:rPr>
          <w:rFonts w:ascii="宋体" w:hAnsi="宋体" w:eastAsia="宋体" w:cs="宋体"/>
          <w:spacing w:val="2"/>
          <w:sz w:val="20"/>
          <w:szCs w:val="20"/>
        </w:rPr>
        <w:t>（</w:t>
      </w:r>
      <w:r>
        <w:rPr>
          <w:rFonts w:ascii="Times New Roman" w:hAnsi="Times New Roman" w:eastAsia="Times New Roman" w:cs="Times New Roman"/>
          <w:spacing w:val="2"/>
          <w:sz w:val="20"/>
          <w:szCs w:val="20"/>
        </w:rPr>
        <w:t>2</w:t>
      </w:r>
      <w:r>
        <w:rPr>
          <w:rFonts w:ascii="宋体" w:hAnsi="宋体" w:eastAsia="宋体" w:cs="宋体"/>
          <w:spacing w:val="2"/>
          <w:sz w:val="20"/>
          <w:szCs w:val="20"/>
        </w:rPr>
        <w:t>）</w:t>
      </w:r>
      <w:r>
        <w:rPr>
          <w:rFonts w:ascii="宋体" w:hAnsi="宋体" w:eastAsia="宋体" w:cs="宋体"/>
          <w:spacing w:val="-57"/>
          <w:sz w:val="20"/>
          <w:szCs w:val="20"/>
        </w:rPr>
        <w:t xml:space="preserve"> </w:t>
      </w:r>
      <w:r>
        <w:rPr>
          <w:rFonts w:ascii="宋体" w:hAnsi="宋体" w:eastAsia="宋体" w:cs="宋体"/>
          <w:spacing w:val="2"/>
          <w:sz w:val="20"/>
          <w:szCs w:val="20"/>
        </w:rPr>
        <w:t>目录、正文标题（包括章、节、条、款、项）、正文要求：采用</w:t>
      </w:r>
      <w:r>
        <w:rPr>
          <w:rFonts w:ascii="Times New Roman" w:hAnsi="Times New Roman" w:eastAsia="Times New Roman" w:cs="Times New Roman"/>
          <w:spacing w:val="2"/>
          <w:sz w:val="20"/>
          <w:szCs w:val="20"/>
        </w:rPr>
        <w:t xml:space="preserve">A4 </w:t>
      </w:r>
      <w:r>
        <w:rPr>
          <w:rFonts w:ascii="宋体" w:hAnsi="宋体" w:eastAsia="宋体" w:cs="宋体"/>
          <w:spacing w:val="2"/>
          <w:sz w:val="20"/>
          <w:szCs w:val="20"/>
        </w:rPr>
        <w:t>规格白色底色，</w:t>
      </w:r>
      <w:r>
        <w:rPr>
          <w:rFonts w:ascii="宋体" w:hAnsi="宋体" w:eastAsia="宋体" w:cs="宋体"/>
          <w:spacing w:val="8"/>
          <w:sz w:val="20"/>
          <w:szCs w:val="20"/>
        </w:rPr>
        <w:t>文字为黑色小四号宋体，标题可加粗；</w:t>
      </w:r>
    </w:p>
    <w:p w14:paraId="648CD6D3">
      <w:pPr>
        <w:spacing w:before="2" w:line="387" w:lineRule="auto"/>
        <w:ind w:left="22" w:right="58" w:firstLine="430"/>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3</w:t>
      </w:r>
      <w:r>
        <w:rPr>
          <w:rFonts w:ascii="宋体" w:hAnsi="宋体" w:eastAsia="宋体" w:cs="宋体"/>
          <w:spacing w:val="10"/>
          <w:sz w:val="20"/>
          <w:szCs w:val="20"/>
        </w:rPr>
        <w:t>）图表要求：图表应尽可能采用</w:t>
      </w:r>
      <w:r>
        <w:rPr>
          <w:rFonts w:ascii="Times New Roman" w:hAnsi="Times New Roman" w:eastAsia="Times New Roman" w:cs="Times New Roman"/>
          <w:spacing w:val="10"/>
          <w:sz w:val="20"/>
          <w:szCs w:val="20"/>
        </w:rPr>
        <w:t xml:space="preserve">A4 </w:t>
      </w:r>
      <w:r>
        <w:rPr>
          <w:rFonts w:ascii="宋体" w:hAnsi="宋体" w:eastAsia="宋体" w:cs="宋体"/>
          <w:spacing w:val="10"/>
          <w:sz w:val="20"/>
          <w:szCs w:val="20"/>
        </w:rPr>
        <w:t>规格白色底色，对于比较大的图表可使用A3</w:t>
      </w:r>
      <w:r>
        <w:rPr>
          <w:rFonts w:ascii="宋体" w:hAnsi="宋体" w:eastAsia="宋体" w:cs="宋体"/>
          <w:spacing w:val="-30"/>
          <w:sz w:val="20"/>
          <w:szCs w:val="20"/>
        </w:rPr>
        <w:t xml:space="preserve"> </w:t>
      </w:r>
      <w:r>
        <w:rPr>
          <w:rFonts w:ascii="宋体" w:hAnsi="宋体" w:eastAsia="宋体" w:cs="宋体"/>
          <w:spacing w:val="10"/>
          <w:sz w:val="20"/>
          <w:szCs w:val="20"/>
        </w:rPr>
        <w:t>规</w:t>
      </w:r>
      <w:r>
        <w:rPr>
          <w:rFonts w:ascii="宋体" w:hAnsi="宋体" w:eastAsia="宋体" w:cs="宋体"/>
          <w:spacing w:val="9"/>
          <w:sz w:val="20"/>
          <w:szCs w:val="20"/>
        </w:rPr>
        <w:t>格白色底色。图表中的文字采用黑色，字体、字号不限；</w:t>
      </w:r>
    </w:p>
    <w:p w14:paraId="51447357">
      <w:pPr>
        <w:spacing w:before="1" w:line="387" w:lineRule="auto"/>
        <w:ind w:left="21" w:right="59" w:firstLine="430"/>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4</w:t>
      </w:r>
      <w:r>
        <w:rPr>
          <w:rFonts w:ascii="宋体" w:hAnsi="宋体" w:eastAsia="宋体" w:cs="宋体"/>
          <w:spacing w:val="10"/>
          <w:sz w:val="20"/>
          <w:szCs w:val="20"/>
        </w:rPr>
        <w:t>）页眉和页脚（包括页码）设置要求：不允许</w:t>
      </w:r>
      <w:r>
        <w:rPr>
          <w:rFonts w:ascii="宋体" w:hAnsi="宋体" w:eastAsia="宋体" w:cs="宋体"/>
          <w:spacing w:val="9"/>
          <w:sz w:val="20"/>
          <w:szCs w:val="20"/>
        </w:rPr>
        <w:t>出现页眉，且页脚只准出现页码，页码格式采用阿拉伯数字格式，字体为五号宋体，设在页脚居中位置，页码应当连续；</w:t>
      </w:r>
    </w:p>
    <w:p w14:paraId="5FB7DF8C">
      <w:pPr>
        <w:spacing w:before="1" w:line="389" w:lineRule="auto"/>
        <w:ind w:left="23" w:right="59" w:firstLine="429"/>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5</w:t>
      </w:r>
      <w:r>
        <w:rPr>
          <w:rFonts w:ascii="宋体" w:hAnsi="宋体" w:eastAsia="宋体" w:cs="宋体"/>
          <w:spacing w:val="10"/>
          <w:sz w:val="20"/>
          <w:szCs w:val="20"/>
        </w:rPr>
        <w:t>）任何情况下，施工组织设计中不得出现投标</w:t>
      </w:r>
      <w:r>
        <w:rPr>
          <w:rFonts w:ascii="宋体" w:hAnsi="宋体" w:eastAsia="宋体" w:cs="宋体"/>
          <w:spacing w:val="9"/>
          <w:sz w:val="20"/>
          <w:szCs w:val="20"/>
        </w:rPr>
        <w:t>人的名称和其它可识别投标人身份的</w:t>
      </w:r>
      <w:r>
        <w:rPr>
          <w:rFonts w:ascii="宋体" w:hAnsi="宋体" w:eastAsia="宋体" w:cs="宋体"/>
          <w:spacing w:val="8"/>
          <w:sz w:val="20"/>
          <w:szCs w:val="20"/>
        </w:rPr>
        <w:t>字符、徽标、人员名称等。</w:t>
      </w:r>
    </w:p>
    <w:p w14:paraId="433C9CC6">
      <w:pPr>
        <w:pStyle w:val="2"/>
        <w:spacing w:before="21" w:line="223" w:lineRule="auto"/>
        <w:ind w:left="18"/>
        <w:outlineLvl w:val="2"/>
        <w:rPr>
          <w:sz w:val="28"/>
          <w:szCs w:val="28"/>
        </w:rPr>
      </w:pPr>
      <w:bookmarkStart w:id="35" w:name="bookmark34"/>
      <w:bookmarkEnd w:id="35"/>
      <w:bookmarkStart w:id="36" w:name="bookmark35"/>
      <w:bookmarkEnd w:id="36"/>
      <w:r>
        <w:rPr>
          <w:rFonts w:ascii="Times New Roman" w:hAnsi="Times New Roman" w:eastAsia="Times New Roman" w:cs="Times New Roman"/>
          <w:spacing w:val="-3"/>
          <w:sz w:val="28"/>
          <w:szCs w:val="28"/>
        </w:rPr>
        <w:t>4.</w:t>
      </w:r>
      <w:r>
        <w:rPr>
          <w:rFonts w:ascii="Times New Roman" w:hAnsi="Times New Roman" w:eastAsia="Times New Roman" w:cs="Times New Roman"/>
          <w:spacing w:val="4"/>
          <w:sz w:val="28"/>
          <w:szCs w:val="28"/>
        </w:rPr>
        <w:t xml:space="preserve">  </w:t>
      </w:r>
      <w:r>
        <w:rPr>
          <w:spacing w:val="-3"/>
          <w:sz w:val="28"/>
          <w:szCs w:val="28"/>
        </w:rPr>
        <w:t>投标</w:t>
      </w:r>
    </w:p>
    <w:p w14:paraId="2A497CD7">
      <w:pPr>
        <w:pStyle w:val="2"/>
        <w:spacing w:before="95" w:line="221" w:lineRule="auto"/>
        <w:ind w:left="17"/>
        <w:outlineLvl w:val="3"/>
        <w:rPr>
          <w:sz w:val="24"/>
          <w:szCs w:val="24"/>
        </w:rPr>
      </w:pPr>
      <w:bookmarkStart w:id="37" w:name="bookmark447"/>
      <w:bookmarkEnd w:id="37"/>
      <w:r>
        <w:rPr>
          <w:rFonts w:ascii="Times New Roman" w:hAnsi="Times New Roman" w:eastAsia="Times New Roman" w:cs="Times New Roman"/>
          <w:spacing w:val="-1"/>
          <w:sz w:val="24"/>
          <w:szCs w:val="24"/>
        </w:rPr>
        <w:t xml:space="preserve">4.1  </w:t>
      </w:r>
      <w:r>
        <w:rPr>
          <w:spacing w:val="-1"/>
          <w:sz w:val="24"/>
          <w:szCs w:val="24"/>
        </w:rPr>
        <w:t>投标文件的加密</w:t>
      </w:r>
    </w:p>
    <w:p w14:paraId="2305D538">
      <w:pPr>
        <w:spacing w:before="140" w:line="357" w:lineRule="auto"/>
        <w:ind w:left="23" w:right="58" w:firstLine="421"/>
        <w:rPr>
          <w:rFonts w:ascii="宋体" w:hAnsi="宋体" w:eastAsia="宋体" w:cs="宋体"/>
          <w:sz w:val="20"/>
          <w:szCs w:val="20"/>
        </w:rPr>
      </w:pPr>
      <w:r>
        <w:rPr>
          <w:rFonts w:ascii="宋体" w:hAnsi="宋体" w:eastAsia="宋体" w:cs="宋体"/>
          <w:spacing w:val="9"/>
          <w:sz w:val="20"/>
          <w:szCs w:val="20"/>
        </w:rPr>
        <w:t>投标人应当按照本章第</w:t>
      </w:r>
      <w:r>
        <w:rPr>
          <w:rFonts w:ascii="宋体" w:hAnsi="宋体" w:eastAsia="宋体" w:cs="宋体"/>
          <w:spacing w:val="-39"/>
          <w:sz w:val="20"/>
          <w:szCs w:val="20"/>
        </w:rPr>
        <w:t xml:space="preserve"> </w:t>
      </w:r>
      <w:r>
        <w:rPr>
          <w:rFonts w:ascii="Times New Roman" w:hAnsi="Times New Roman" w:eastAsia="Times New Roman" w:cs="Times New Roman"/>
          <w:spacing w:val="9"/>
          <w:sz w:val="20"/>
          <w:szCs w:val="20"/>
        </w:rPr>
        <w:t xml:space="preserve">3.7.3 </w:t>
      </w:r>
      <w:r>
        <w:rPr>
          <w:rFonts w:ascii="宋体" w:hAnsi="宋体" w:eastAsia="宋体" w:cs="宋体"/>
          <w:spacing w:val="9"/>
          <w:sz w:val="20"/>
          <w:szCs w:val="20"/>
        </w:rPr>
        <w:t>项要求制</w:t>
      </w:r>
      <w:r>
        <w:rPr>
          <w:rFonts w:ascii="宋体" w:hAnsi="宋体" w:eastAsia="宋体" w:cs="宋体"/>
          <w:spacing w:val="8"/>
          <w:sz w:val="20"/>
          <w:szCs w:val="20"/>
        </w:rPr>
        <w:t>作电子投标文件，并在投标时上传</w:t>
      </w:r>
      <w:r>
        <w:rPr>
          <w:rFonts w:ascii="宋体" w:hAnsi="宋体" w:eastAsia="宋体" w:cs="宋体"/>
          <w:b/>
          <w:bCs/>
          <w:spacing w:val="8"/>
          <w:sz w:val="20"/>
          <w:szCs w:val="20"/>
        </w:rPr>
        <w:t>加密的电子投</w:t>
      </w:r>
      <w:r>
        <w:rPr>
          <w:rFonts w:ascii="宋体" w:hAnsi="宋体" w:eastAsia="宋体" w:cs="宋体"/>
          <w:b/>
          <w:bCs/>
          <w:spacing w:val="3"/>
          <w:sz w:val="20"/>
          <w:szCs w:val="20"/>
        </w:rPr>
        <w:t>标文件</w:t>
      </w:r>
      <w:r>
        <w:rPr>
          <w:rFonts w:ascii="宋体" w:hAnsi="宋体" w:eastAsia="宋体" w:cs="宋体"/>
          <w:spacing w:val="3"/>
          <w:sz w:val="20"/>
          <w:szCs w:val="20"/>
        </w:rPr>
        <w:t>，未加密的电子投标文件，招标人（“电子交易平台”）将拒收并提示。</w:t>
      </w:r>
    </w:p>
    <w:p w14:paraId="7F119C52">
      <w:pPr>
        <w:pStyle w:val="2"/>
        <w:spacing w:line="221" w:lineRule="auto"/>
        <w:ind w:left="17"/>
        <w:outlineLvl w:val="3"/>
        <w:rPr>
          <w:sz w:val="24"/>
          <w:szCs w:val="24"/>
        </w:rPr>
      </w:pPr>
      <w:bookmarkStart w:id="38" w:name="bookmark36"/>
      <w:bookmarkEnd w:id="38"/>
      <w:r>
        <w:rPr>
          <w:rFonts w:ascii="Times New Roman" w:hAnsi="Times New Roman" w:eastAsia="Times New Roman" w:cs="Times New Roman"/>
          <w:spacing w:val="-1"/>
          <w:sz w:val="24"/>
          <w:szCs w:val="24"/>
        </w:rPr>
        <w:t xml:space="preserve">4.2  </w:t>
      </w:r>
      <w:r>
        <w:rPr>
          <w:spacing w:val="-1"/>
          <w:sz w:val="24"/>
          <w:szCs w:val="24"/>
        </w:rPr>
        <w:t>投标文件的递交</w:t>
      </w:r>
    </w:p>
    <w:p w14:paraId="03065ECF">
      <w:pPr>
        <w:spacing w:before="140" w:line="227" w:lineRule="auto"/>
        <w:ind w:left="437"/>
        <w:rPr>
          <w:rFonts w:ascii="宋体" w:hAnsi="宋体" w:eastAsia="宋体" w:cs="宋体"/>
          <w:sz w:val="20"/>
          <w:szCs w:val="20"/>
        </w:rPr>
      </w:pPr>
      <w:r>
        <w:rPr>
          <w:rFonts w:ascii="Times New Roman" w:hAnsi="Times New Roman" w:eastAsia="Times New Roman" w:cs="Times New Roman"/>
          <w:spacing w:val="7"/>
          <w:sz w:val="20"/>
          <w:szCs w:val="20"/>
        </w:rPr>
        <w:t>4.2.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投标人递交投标文件的截止时间（投标截止时间</w:t>
      </w:r>
      <w:r>
        <w:rPr>
          <w:rFonts w:ascii="宋体" w:hAnsi="宋体" w:eastAsia="宋体" w:cs="宋体"/>
          <w:spacing w:val="-29"/>
          <w:sz w:val="20"/>
          <w:szCs w:val="20"/>
        </w:rPr>
        <w:t>）：</w:t>
      </w:r>
      <w:r>
        <w:rPr>
          <w:rFonts w:ascii="宋体" w:hAnsi="宋体" w:eastAsia="宋体" w:cs="宋体"/>
          <w:spacing w:val="7"/>
          <w:sz w:val="20"/>
          <w:szCs w:val="20"/>
        </w:rPr>
        <w:t>见投标人须知前附表。</w:t>
      </w:r>
    </w:p>
    <w:p w14:paraId="033A4A54">
      <w:pPr>
        <w:spacing w:before="150" w:line="370" w:lineRule="auto"/>
        <w:ind w:left="21" w:firstLine="416"/>
        <w:rPr>
          <w:rFonts w:ascii="宋体" w:hAnsi="宋体" w:eastAsia="宋体" w:cs="宋体"/>
          <w:sz w:val="20"/>
          <w:szCs w:val="20"/>
        </w:rPr>
      </w:pPr>
      <w:r>
        <w:rPr>
          <w:rFonts w:ascii="Times New Roman" w:hAnsi="Times New Roman" w:eastAsia="Times New Roman" w:cs="Times New Roman"/>
          <w:spacing w:val="10"/>
          <w:sz w:val="20"/>
          <w:szCs w:val="20"/>
        </w:rPr>
        <w:t>4.2.2</w:t>
      </w:r>
      <w:r>
        <w:rPr>
          <w:rFonts w:ascii="Times New Roman" w:hAnsi="Times New Roman" w:eastAsia="Times New Roman" w:cs="Times New Roman"/>
          <w:spacing w:val="17"/>
          <w:w w:val="101"/>
          <w:sz w:val="20"/>
          <w:szCs w:val="20"/>
        </w:rPr>
        <w:t xml:space="preserve"> </w:t>
      </w:r>
      <w:r>
        <w:rPr>
          <w:rFonts w:ascii="宋体" w:hAnsi="宋体" w:eastAsia="宋体" w:cs="宋体"/>
          <w:spacing w:val="10"/>
          <w:sz w:val="20"/>
          <w:szCs w:val="20"/>
        </w:rPr>
        <w:t>投标人应当在投标截止时间前，通过互联网使用</w:t>
      </w:r>
      <w:r>
        <w:rPr>
          <w:rFonts w:ascii="宋体" w:hAnsi="宋体" w:eastAsia="宋体" w:cs="宋体"/>
          <w:spacing w:val="-35"/>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数字证书</w:t>
      </w:r>
      <w:r>
        <w:rPr>
          <w:rFonts w:ascii="宋体" w:hAnsi="宋体" w:eastAsia="宋体" w:cs="宋体"/>
          <w:spacing w:val="9"/>
          <w:sz w:val="20"/>
          <w:szCs w:val="20"/>
        </w:rPr>
        <w:t>登录“</w:t>
      </w:r>
      <w:r>
        <w:rPr>
          <w:rFonts w:ascii="宋体" w:hAnsi="宋体" w:eastAsia="宋体" w:cs="宋体"/>
          <w:spacing w:val="-63"/>
          <w:sz w:val="20"/>
          <w:szCs w:val="20"/>
        </w:rPr>
        <w:t xml:space="preserve"> </w:t>
      </w:r>
      <w:r>
        <w:rPr>
          <w:rFonts w:ascii="宋体" w:hAnsi="宋体" w:eastAsia="宋体" w:cs="宋体"/>
          <w:spacing w:val="9"/>
          <w:sz w:val="20"/>
          <w:szCs w:val="20"/>
        </w:rPr>
        <w:t>电子交易平</w:t>
      </w:r>
      <w:r>
        <w:rPr>
          <w:rFonts w:ascii="宋体" w:hAnsi="宋体" w:eastAsia="宋体" w:cs="宋体"/>
          <w:spacing w:val="1"/>
          <w:sz w:val="20"/>
          <w:szCs w:val="20"/>
        </w:rPr>
        <w:t>台</w:t>
      </w:r>
      <w:r>
        <w:rPr>
          <w:rFonts w:ascii="宋体" w:hAnsi="宋体" w:eastAsia="宋体" w:cs="宋体"/>
          <w:spacing w:val="-65"/>
          <w:sz w:val="20"/>
          <w:szCs w:val="20"/>
        </w:rPr>
        <w:t xml:space="preserve"> </w:t>
      </w:r>
      <w:r>
        <w:rPr>
          <w:rFonts w:ascii="宋体" w:hAnsi="宋体" w:eastAsia="宋体" w:cs="宋体"/>
          <w:spacing w:val="1"/>
          <w:sz w:val="20"/>
          <w:szCs w:val="20"/>
        </w:rPr>
        <w:t>”，选择所投标段将</w:t>
      </w:r>
      <w:r>
        <w:rPr>
          <w:rFonts w:ascii="宋体" w:hAnsi="宋体" w:eastAsia="宋体" w:cs="宋体"/>
          <w:b/>
          <w:bCs/>
          <w:spacing w:val="1"/>
          <w:sz w:val="20"/>
          <w:szCs w:val="20"/>
        </w:rPr>
        <w:t>加密的电子投标文件</w:t>
      </w:r>
      <w:r>
        <w:rPr>
          <w:rFonts w:ascii="宋体" w:hAnsi="宋体" w:eastAsia="宋体" w:cs="宋体"/>
          <w:spacing w:val="1"/>
          <w:sz w:val="20"/>
          <w:szCs w:val="20"/>
        </w:rPr>
        <w:t>上传。投标人完成投标文件上传后，“电子交易平</w:t>
      </w:r>
      <w:r>
        <w:rPr>
          <w:rFonts w:ascii="宋体" w:hAnsi="宋体" w:eastAsia="宋体" w:cs="宋体"/>
          <w:spacing w:val="8"/>
          <w:sz w:val="20"/>
          <w:szCs w:val="20"/>
        </w:rPr>
        <w:t>台</w:t>
      </w:r>
      <w:r>
        <w:rPr>
          <w:rFonts w:ascii="宋体" w:hAnsi="宋体" w:eastAsia="宋体" w:cs="宋体"/>
          <w:spacing w:val="-66"/>
          <w:sz w:val="20"/>
          <w:szCs w:val="20"/>
        </w:rPr>
        <w:t xml:space="preserve"> </w:t>
      </w:r>
      <w:r>
        <w:rPr>
          <w:rFonts w:ascii="宋体" w:hAnsi="宋体" w:eastAsia="宋体" w:cs="宋体"/>
          <w:spacing w:val="8"/>
          <w:sz w:val="20"/>
          <w:szCs w:val="20"/>
        </w:rPr>
        <w:t>”即时向投标人发出电子签收凭证，递交时间以电子签收凭证载明的传输完成时间为准。</w:t>
      </w:r>
      <w:r>
        <w:rPr>
          <w:rFonts w:ascii="宋体" w:hAnsi="宋体" w:eastAsia="宋体" w:cs="宋体"/>
          <w:spacing w:val="9"/>
          <w:sz w:val="20"/>
          <w:szCs w:val="20"/>
        </w:rPr>
        <w:t>投标人应充分考虑上传文件时的不可预见因素，投标文件未在投标截止时间前</w:t>
      </w:r>
      <w:r>
        <w:rPr>
          <w:rFonts w:ascii="宋体" w:hAnsi="宋体" w:eastAsia="宋体" w:cs="宋体"/>
          <w:spacing w:val="8"/>
          <w:sz w:val="20"/>
          <w:szCs w:val="20"/>
        </w:rPr>
        <w:t>完成上传的，</w:t>
      </w:r>
      <w:r>
        <w:rPr>
          <w:rFonts w:ascii="宋体" w:hAnsi="宋体" w:eastAsia="宋体" w:cs="宋体"/>
          <w:sz w:val="20"/>
          <w:szCs w:val="20"/>
        </w:rPr>
        <w:t>视为逾期送达，招标人（“电子交易平台”）将拒收。</w:t>
      </w:r>
    </w:p>
    <w:p w14:paraId="0808989B">
      <w:pPr>
        <w:spacing w:before="1" w:line="226" w:lineRule="auto"/>
        <w:ind w:left="437"/>
        <w:rPr>
          <w:rFonts w:ascii="宋体" w:hAnsi="宋体" w:eastAsia="宋体" w:cs="宋体"/>
          <w:sz w:val="20"/>
          <w:szCs w:val="20"/>
        </w:rPr>
      </w:pPr>
      <w:r>
        <w:rPr>
          <w:rFonts w:ascii="Times New Roman" w:hAnsi="Times New Roman" w:eastAsia="Times New Roman" w:cs="Times New Roman"/>
          <w:spacing w:val="8"/>
          <w:sz w:val="20"/>
          <w:szCs w:val="20"/>
        </w:rPr>
        <w:t xml:space="preserve">4.2.3  </w:t>
      </w:r>
      <w:r>
        <w:rPr>
          <w:rFonts w:ascii="宋体" w:hAnsi="宋体" w:eastAsia="宋体" w:cs="宋体"/>
          <w:spacing w:val="8"/>
          <w:sz w:val="20"/>
          <w:szCs w:val="20"/>
        </w:rPr>
        <w:t>除投标人须知前附表另有规定外，投标人所递交的投标文件不予退还。</w:t>
      </w:r>
    </w:p>
    <w:p w14:paraId="703DA612">
      <w:pPr>
        <w:pStyle w:val="2"/>
        <w:spacing w:before="128" w:line="222" w:lineRule="auto"/>
        <w:ind w:left="17"/>
        <w:outlineLvl w:val="3"/>
        <w:rPr>
          <w:sz w:val="24"/>
          <w:szCs w:val="24"/>
        </w:rPr>
      </w:pPr>
      <w:bookmarkStart w:id="39" w:name="bookmark37"/>
      <w:bookmarkEnd w:id="39"/>
      <w:r>
        <w:rPr>
          <w:rFonts w:ascii="Times New Roman" w:hAnsi="Times New Roman" w:eastAsia="Times New Roman" w:cs="Times New Roman"/>
          <w:spacing w:val="-1"/>
          <w:sz w:val="24"/>
          <w:szCs w:val="24"/>
        </w:rPr>
        <w:t xml:space="preserve">4.3  </w:t>
      </w:r>
      <w:r>
        <w:rPr>
          <w:spacing w:val="-1"/>
          <w:sz w:val="24"/>
          <w:szCs w:val="24"/>
        </w:rPr>
        <w:t>投标文件的修改与撤回</w:t>
      </w:r>
    </w:p>
    <w:p w14:paraId="45B6B0A5">
      <w:pPr>
        <w:spacing w:before="136" w:line="369" w:lineRule="auto"/>
        <w:ind w:left="21" w:right="58" w:firstLine="416"/>
        <w:rPr>
          <w:rFonts w:ascii="宋体" w:hAnsi="宋体" w:eastAsia="宋体" w:cs="宋体"/>
          <w:sz w:val="20"/>
          <w:szCs w:val="20"/>
        </w:rPr>
      </w:pPr>
      <w:r>
        <w:rPr>
          <w:rFonts w:ascii="Times New Roman" w:hAnsi="Times New Roman" w:eastAsia="Times New Roman" w:cs="Times New Roman"/>
          <w:spacing w:val="5"/>
          <w:sz w:val="20"/>
          <w:szCs w:val="20"/>
        </w:rPr>
        <w:t>4.3.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在本章第</w:t>
      </w:r>
      <w:r>
        <w:rPr>
          <w:rFonts w:ascii="宋体" w:hAnsi="宋体" w:eastAsia="宋体" w:cs="宋体"/>
          <w:spacing w:val="-44"/>
          <w:sz w:val="20"/>
          <w:szCs w:val="20"/>
        </w:rPr>
        <w:t xml:space="preserve"> </w:t>
      </w:r>
      <w:r>
        <w:rPr>
          <w:rFonts w:ascii="Times New Roman" w:hAnsi="Times New Roman" w:eastAsia="Times New Roman" w:cs="Times New Roman"/>
          <w:spacing w:val="5"/>
          <w:sz w:val="20"/>
          <w:szCs w:val="20"/>
        </w:rPr>
        <w:t>4.2.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项规定的投标截止时间前，投标人可以修改或撤回</w:t>
      </w:r>
      <w:r>
        <w:rPr>
          <w:rFonts w:ascii="宋体" w:hAnsi="宋体" w:eastAsia="宋体" w:cs="宋体"/>
          <w:spacing w:val="4"/>
          <w:sz w:val="20"/>
          <w:szCs w:val="20"/>
        </w:rPr>
        <w:t>已递交的投标文</w:t>
      </w:r>
      <w:r>
        <w:rPr>
          <w:rFonts w:ascii="宋体" w:hAnsi="宋体" w:eastAsia="宋体" w:cs="宋体"/>
          <w:sz w:val="20"/>
          <w:szCs w:val="20"/>
        </w:rPr>
        <w:t>件。</w:t>
      </w:r>
    </w:p>
    <w:p w14:paraId="7BBCA28B">
      <w:pPr>
        <w:spacing w:before="1" w:line="227" w:lineRule="auto"/>
        <w:ind w:left="437"/>
        <w:rPr>
          <w:rFonts w:ascii="宋体" w:hAnsi="宋体" w:eastAsia="宋体" w:cs="宋体"/>
          <w:sz w:val="20"/>
          <w:szCs w:val="20"/>
        </w:rPr>
      </w:pPr>
      <w:r>
        <w:rPr>
          <w:rFonts w:ascii="Times New Roman" w:hAnsi="Times New Roman" w:eastAsia="Times New Roman" w:cs="Times New Roman"/>
          <w:spacing w:val="7"/>
          <w:sz w:val="20"/>
          <w:szCs w:val="20"/>
        </w:rPr>
        <w:t xml:space="preserve">4.3.2  </w:t>
      </w:r>
      <w:r>
        <w:rPr>
          <w:rFonts w:ascii="宋体" w:hAnsi="宋体" w:eastAsia="宋体" w:cs="宋体"/>
          <w:spacing w:val="7"/>
          <w:sz w:val="20"/>
          <w:szCs w:val="20"/>
        </w:rPr>
        <w:t>投标人撤回投标文件的，在“</w:t>
      </w:r>
      <w:r>
        <w:rPr>
          <w:rFonts w:ascii="宋体" w:hAnsi="宋体" w:eastAsia="宋体" w:cs="宋体"/>
          <w:spacing w:val="-68"/>
          <w:sz w:val="20"/>
          <w:szCs w:val="20"/>
        </w:rPr>
        <w:t xml:space="preserve"> </w:t>
      </w:r>
      <w:r>
        <w:rPr>
          <w:rFonts w:ascii="宋体" w:hAnsi="宋体" w:eastAsia="宋体" w:cs="宋体"/>
          <w:spacing w:val="6"/>
          <w:sz w:val="20"/>
          <w:szCs w:val="20"/>
        </w:rPr>
        <w:t>电子交易平台</w:t>
      </w:r>
      <w:r>
        <w:rPr>
          <w:rFonts w:ascii="宋体" w:hAnsi="宋体" w:eastAsia="宋体" w:cs="宋体"/>
          <w:spacing w:val="-69"/>
          <w:sz w:val="20"/>
          <w:szCs w:val="20"/>
        </w:rPr>
        <w:t xml:space="preserve"> </w:t>
      </w:r>
      <w:r>
        <w:rPr>
          <w:rFonts w:ascii="宋体" w:hAnsi="宋体" w:eastAsia="宋体" w:cs="宋体"/>
          <w:spacing w:val="6"/>
          <w:sz w:val="20"/>
          <w:szCs w:val="20"/>
        </w:rPr>
        <w:t>”直接进行撤回操作。</w:t>
      </w:r>
    </w:p>
    <w:p w14:paraId="332D6649">
      <w:pPr>
        <w:spacing w:before="154" w:line="227" w:lineRule="auto"/>
        <w:ind w:right="35"/>
        <w:jc w:val="right"/>
        <w:rPr>
          <w:rFonts w:ascii="宋体" w:hAnsi="宋体" w:eastAsia="宋体" w:cs="宋体"/>
          <w:sz w:val="20"/>
          <w:szCs w:val="20"/>
        </w:rPr>
      </w:pPr>
      <w:r>
        <w:rPr>
          <w:rFonts w:ascii="Times New Roman" w:hAnsi="Times New Roman" w:eastAsia="Times New Roman" w:cs="Times New Roman"/>
          <w:spacing w:val="2"/>
          <w:sz w:val="20"/>
          <w:szCs w:val="20"/>
        </w:rPr>
        <w:t xml:space="preserve">4.3.3  </w:t>
      </w:r>
      <w:r>
        <w:rPr>
          <w:rFonts w:ascii="宋体" w:hAnsi="宋体" w:eastAsia="宋体" w:cs="宋体"/>
          <w:spacing w:val="2"/>
          <w:sz w:val="20"/>
          <w:szCs w:val="20"/>
        </w:rPr>
        <w:t>投标人修改投标文件的，应当先按本章第</w:t>
      </w:r>
      <w:r>
        <w:rPr>
          <w:rFonts w:ascii="宋体" w:hAnsi="宋体" w:eastAsia="宋体" w:cs="宋体"/>
          <w:spacing w:val="-41"/>
          <w:sz w:val="20"/>
          <w:szCs w:val="20"/>
        </w:rPr>
        <w:t xml:space="preserve"> </w:t>
      </w:r>
      <w:r>
        <w:rPr>
          <w:rFonts w:ascii="Times New Roman" w:hAnsi="Times New Roman" w:eastAsia="Times New Roman" w:cs="Times New Roman"/>
          <w:spacing w:val="2"/>
          <w:sz w:val="20"/>
          <w:szCs w:val="20"/>
        </w:rPr>
        <w:t xml:space="preserve">4.3.2 </w:t>
      </w:r>
      <w:r>
        <w:rPr>
          <w:rFonts w:ascii="宋体" w:hAnsi="宋体" w:eastAsia="宋体" w:cs="宋体"/>
          <w:spacing w:val="2"/>
          <w:sz w:val="20"/>
          <w:szCs w:val="20"/>
        </w:rPr>
        <w:t>项的规定撤回投标文件，再使用“电</w:t>
      </w:r>
    </w:p>
    <w:p w14:paraId="267B9B4D">
      <w:pPr>
        <w:spacing w:line="227" w:lineRule="auto"/>
        <w:rPr>
          <w:rFonts w:ascii="宋体" w:hAnsi="宋体" w:eastAsia="宋体" w:cs="宋体"/>
          <w:sz w:val="20"/>
          <w:szCs w:val="20"/>
        </w:rPr>
        <w:sectPr>
          <w:footerReference r:id="rId39" w:type="default"/>
          <w:pgSz w:w="11906" w:h="16839"/>
          <w:pgMar w:top="1431" w:right="1743" w:bottom="1156" w:left="1785" w:header="0" w:footer="994" w:gutter="0"/>
          <w:cols w:space="720" w:num="1"/>
        </w:sectPr>
      </w:pPr>
    </w:p>
    <w:p w14:paraId="2C5B4724">
      <w:pPr>
        <w:spacing w:before="149" w:line="372" w:lineRule="auto"/>
        <w:ind w:left="23" w:right="70"/>
        <w:rPr>
          <w:rFonts w:ascii="宋体" w:hAnsi="宋体" w:eastAsia="宋体" w:cs="宋体"/>
          <w:sz w:val="20"/>
          <w:szCs w:val="20"/>
        </w:rPr>
      </w:pPr>
      <w:r>
        <w:rPr>
          <w:rFonts w:ascii="宋体" w:hAnsi="宋体" w:eastAsia="宋体" w:cs="宋体"/>
          <w:spacing w:val="9"/>
          <w:sz w:val="20"/>
          <w:szCs w:val="20"/>
        </w:rPr>
        <w:t>子投标文件制作软件</w:t>
      </w:r>
      <w:r>
        <w:rPr>
          <w:rFonts w:ascii="Times New Roman" w:hAnsi="Times New Roman" w:eastAsia="Times New Roman" w:cs="Times New Roman"/>
          <w:spacing w:val="9"/>
          <w:sz w:val="20"/>
          <w:szCs w:val="20"/>
        </w:rPr>
        <w:t>”</w:t>
      </w:r>
      <w:r>
        <w:rPr>
          <w:rFonts w:ascii="宋体" w:hAnsi="宋体" w:eastAsia="宋体" w:cs="宋体"/>
          <w:spacing w:val="9"/>
          <w:sz w:val="20"/>
          <w:szCs w:val="20"/>
        </w:rPr>
        <w:t>制作成完整的投标文件，并按照本章第</w:t>
      </w:r>
      <w:r>
        <w:rPr>
          <w:rFonts w:ascii="宋体" w:hAnsi="宋体" w:eastAsia="宋体" w:cs="宋体"/>
          <w:spacing w:val="-31"/>
          <w:sz w:val="20"/>
          <w:szCs w:val="20"/>
        </w:rPr>
        <w:t xml:space="preserve"> </w:t>
      </w:r>
      <w:r>
        <w:rPr>
          <w:rFonts w:ascii="Times New Roman" w:hAnsi="Times New Roman" w:eastAsia="Times New Roman" w:cs="Times New Roman"/>
          <w:spacing w:val="9"/>
          <w:sz w:val="20"/>
          <w:szCs w:val="20"/>
        </w:rPr>
        <w:t xml:space="preserve">3 </w:t>
      </w:r>
      <w:r>
        <w:rPr>
          <w:rFonts w:ascii="宋体" w:hAnsi="宋体" w:eastAsia="宋体" w:cs="宋体"/>
          <w:spacing w:val="9"/>
          <w:sz w:val="20"/>
          <w:szCs w:val="20"/>
        </w:rPr>
        <w:t>条、第</w:t>
      </w:r>
      <w:r>
        <w:rPr>
          <w:rFonts w:ascii="宋体" w:hAnsi="宋体" w:eastAsia="宋体" w:cs="宋体"/>
          <w:spacing w:val="-42"/>
          <w:sz w:val="20"/>
          <w:szCs w:val="20"/>
        </w:rPr>
        <w:t xml:space="preserve"> </w:t>
      </w:r>
      <w:r>
        <w:rPr>
          <w:rFonts w:ascii="Times New Roman" w:hAnsi="Times New Roman" w:eastAsia="Times New Roman" w:cs="Times New Roman"/>
          <w:spacing w:val="9"/>
          <w:sz w:val="20"/>
          <w:szCs w:val="20"/>
        </w:rPr>
        <w:t xml:space="preserve">4 </w:t>
      </w:r>
      <w:r>
        <w:rPr>
          <w:rFonts w:ascii="宋体" w:hAnsi="宋体" w:eastAsia="宋体" w:cs="宋体"/>
          <w:spacing w:val="9"/>
          <w:sz w:val="20"/>
          <w:szCs w:val="20"/>
        </w:rPr>
        <w:t>条规定进行编制和</w:t>
      </w:r>
      <w:r>
        <w:rPr>
          <w:rFonts w:ascii="宋体" w:hAnsi="宋体" w:eastAsia="宋体" w:cs="宋体"/>
          <w:spacing w:val="2"/>
          <w:sz w:val="20"/>
          <w:szCs w:val="20"/>
        </w:rPr>
        <w:t>递交。</w:t>
      </w:r>
    </w:p>
    <w:p w14:paraId="45D15CCC">
      <w:pPr>
        <w:pStyle w:val="2"/>
        <w:spacing w:before="32" w:line="225" w:lineRule="auto"/>
        <w:ind w:left="27"/>
        <w:outlineLvl w:val="2"/>
        <w:rPr>
          <w:sz w:val="28"/>
          <w:szCs w:val="28"/>
        </w:rPr>
      </w:pPr>
      <w:bookmarkStart w:id="40" w:name="bookmark39"/>
      <w:bookmarkEnd w:id="40"/>
      <w:bookmarkStart w:id="41" w:name="bookmark38"/>
      <w:bookmarkEnd w:id="41"/>
      <w:r>
        <w:rPr>
          <w:rFonts w:ascii="Times New Roman" w:hAnsi="Times New Roman" w:eastAsia="Times New Roman" w:cs="Times New Roman"/>
          <w:spacing w:val="-7"/>
          <w:sz w:val="28"/>
          <w:szCs w:val="28"/>
        </w:rPr>
        <w:t>5.</w:t>
      </w:r>
      <w:r>
        <w:rPr>
          <w:rFonts w:ascii="Times New Roman" w:hAnsi="Times New Roman" w:eastAsia="Times New Roman" w:cs="Times New Roman"/>
          <w:spacing w:val="7"/>
          <w:sz w:val="28"/>
          <w:szCs w:val="28"/>
        </w:rPr>
        <w:t xml:space="preserve">  </w:t>
      </w:r>
      <w:r>
        <w:rPr>
          <w:spacing w:val="-7"/>
          <w:sz w:val="28"/>
          <w:szCs w:val="28"/>
        </w:rPr>
        <w:t>开标</w:t>
      </w:r>
    </w:p>
    <w:p w14:paraId="00440033">
      <w:pPr>
        <w:pStyle w:val="2"/>
        <w:spacing w:before="94" w:line="223" w:lineRule="auto"/>
        <w:ind w:left="25"/>
        <w:outlineLvl w:val="3"/>
        <w:rPr>
          <w:sz w:val="24"/>
          <w:szCs w:val="24"/>
        </w:rPr>
      </w:pPr>
      <w:bookmarkStart w:id="42" w:name="bookmark448"/>
      <w:bookmarkEnd w:id="42"/>
      <w:r>
        <w:rPr>
          <w:rFonts w:ascii="Times New Roman" w:hAnsi="Times New Roman" w:eastAsia="Times New Roman" w:cs="Times New Roman"/>
          <w:spacing w:val="-1"/>
          <w:sz w:val="24"/>
          <w:szCs w:val="24"/>
        </w:rPr>
        <w:t xml:space="preserve">5.1  </w:t>
      </w:r>
      <w:r>
        <w:rPr>
          <w:spacing w:val="-1"/>
          <w:sz w:val="24"/>
          <w:szCs w:val="24"/>
        </w:rPr>
        <w:t>开标时间和地点</w:t>
      </w:r>
    </w:p>
    <w:p w14:paraId="23A46021">
      <w:pPr>
        <w:spacing w:before="135" w:line="370" w:lineRule="auto"/>
        <w:ind w:left="28" w:right="70" w:firstLine="415"/>
        <w:rPr>
          <w:rFonts w:ascii="宋体" w:hAnsi="宋体" w:eastAsia="宋体" w:cs="宋体"/>
          <w:sz w:val="20"/>
          <w:szCs w:val="20"/>
        </w:rPr>
      </w:pPr>
      <w:r>
        <w:rPr>
          <w:rFonts w:ascii="Times New Roman" w:hAnsi="Times New Roman" w:eastAsia="Times New Roman" w:cs="Times New Roman"/>
          <w:spacing w:val="4"/>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招标人在本章第</w:t>
      </w:r>
      <w:r>
        <w:rPr>
          <w:rFonts w:ascii="宋体" w:hAnsi="宋体" w:eastAsia="宋体" w:cs="宋体"/>
          <w:spacing w:val="-44"/>
          <w:sz w:val="20"/>
          <w:szCs w:val="20"/>
        </w:rPr>
        <w:t xml:space="preserve"> </w:t>
      </w:r>
      <w:r>
        <w:rPr>
          <w:rFonts w:ascii="Times New Roman" w:hAnsi="Times New Roman" w:eastAsia="Times New Roman" w:cs="Times New Roman"/>
          <w:spacing w:val="4"/>
          <w:sz w:val="20"/>
          <w:szCs w:val="20"/>
        </w:rPr>
        <w:t>4.2.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项规定的投标截止时间（开标时间）在“</w:t>
      </w:r>
      <w:r>
        <w:rPr>
          <w:rFonts w:ascii="宋体" w:hAnsi="宋体" w:eastAsia="宋体" w:cs="宋体"/>
          <w:spacing w:val="-65"/>
          <w:sz w:val="20"/>
          <w:szCs w:val="20"/>
        </w:rPr>
        <w:t xml:space="preserve"> </w:t>
      </w:r>
      <w:r>
        <w:rPr>
          <w:rFonts w:ascii="宋体" w:hAnsi="宋体" w:eastAsia="宋体" w:cs="宋体"/>
          <w:spacing w:val="4"/>
          <w:sz w:val="20"/>
          <w:szCs w:val="20"/>
        </w:rPr>
        <w:t>电子交易平</w:t>
      </w:r>
      <w:r>
        <w:rPr>
          <w:rFonts w:ascii="宋体" w:hAnsi="宋体" w:eastAsia="宋体" w:cs="宋体"/>
          <w:spacing w:val="3"/>
          <w:sz w:val="20"/>
          <w:szCs w:val="20"/>
        </w:rPr>
        <w:t>台</w:t>
      </w:r>
      <w:r>
        <w:rPr>
          <w:rFonts w:ascii="宋体" w:hAnsi="宋体" w:eastAsia="宋体" w:cs="宋体"/>
          <w:spacing w:val="-70"/>
          <w:sz w:val="20"/>
          <w:szCs w:val="20"/>
        </w:rPr>
        <w:t xml:space="preserve"> </w:t>
      </w:r>
      <w:r>
        <w:rPr>
          <w:rFonts w:ascii="宋体" w:hAnsi="宋体" w:eastAsia="宋体" w:cs="宋体"/>
          <w:spacing w:val="3"/>
          <w:sz w:val="20"/>
          <w:szCs w:val="20"/>
        </w:rPr>
        <w:t>”上</w:t>
      </w:r>
      <w:r>
        <w:rPr>
          <w:rFonts w:ascii="宋体" w:hAnsi="宋体" w:eastAsia="宋体" w:cs="宋体"/>
          <w:spacing w:val="8"/>
          <w:sz w:val="20"/>
          <w:szCs w:val="20"/>
        </w:rPr>
        <w:t>公开进行开标，所有投标人均</w:t>
      </w:r>
      <w:r>
        <w:rPr>
          <w:rFonts w:ascii="宋体" w:hAnsi="宋体" w:eastAsia="宋体" w:cs="宋体"/>
          <w:b/>
          <w:bCs/>
          <w:spacing w:val="8"/>
          <w:sz w:val="20"/>
          <w:szCs w:val="20"/>
        </w:rPr>
        <w:t>应当准时在线参加开标</w:t>
      </w:r>
      <w:r>
        <w:rPr>
          <w:rFonts w:ascii="宋体" w:hAnsi="宋体" w:eastAsia="宋体" w:cs="宋体"/>
          <w:spacing w:val="8"/>
          <w:sz w:val="20"/>
          <w:szCs w:val="20"/>
        </w:rPr>
        <w:t>。</w:t>
      </w:r>
    </w:p>
    <w:p w14:paraId="13DBD27F">
      <w:pPr>
        <w:spacing w:line="369" w:lineRule="auto"/>
        <w:ind w:left="22" w:right="70" w:firstLine="421"/>
        <w:rPr>
          <w:rFonts w:ascii="宋体" w:hAnsi="宋体" w:eastAsia="宋体" w:cs="宋体"/>
          <w:sz w:val="20"/>
          <w:szCs w:val="20"/>
        </w:rPr>
      </w:pPr>
      <w:r>
        <w:rPr>
          <w:rFonts w:ascii="Times New Roman" w:hAnsi="Times New Roman" w:eastAsia="Times New Roman" w:cs="Times New Roman"/>
          <w:spacing w:val="10"/>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1.2 </w:t>
      </w:r>
      <w:r>
        <w:rPr>
          <w:rFonts w:ascii="宋体" w:hAnsi="宋体" w:eastAsia="宋体" w:cs="宋体"/>
          <w:spacing w:val="10"/>
          <w:sz w:val="20"/>
          <w:szCs w:val="20"/>
        </w:rPr>
        <w:t>招标人通过互联网在投标人须知前附表规定的地点组</w:t>
      </w:r>
      <w:r>
        <w:rPr>
          <w:rFonts w:ascii="宋体" w:hAnsi="宋体" w:eastAsia="宋体" w:cs="宋体"/>
          <w:spacing w:val="9"/>
          <w:sz w:val="20"/>
          <w:szCs w:val="20"/>
        </w:rPr>
        <w:t>织开标，并在投标截止时间</w:t>
      </w:r>
      <w:r>
        <w:rPr>
          <w:rFonts w:ascii="Times New Roman" w:hAnsi="Times New Roman" w:eastAsia="Times New Roman" w:cs="Times New Roman"/>
          <w:spacing w:val="4"/>
          <w:sz w:val="20"/>
          <w:szCs w:val="20"/>
        </w:rPr>
        <w:t xml:space="preserve">30 </w:t>
      </w:r>
      <w:r>
        <w:rPr>
          <w:rFonts w:ascii="宋体" w:hAnsi="宋体" w:eastAsia="宋体" w:cs="宋体"/>
          <w:spacing w:val="4"/>
          <w:sz w:val="20"/>
          <w:szCs w:val="20"/>
        </w:rPr>
        <w:t>分钟前，使用</w:t>
      </w:r>
      <w:r>
        <w:rPr>
          <w:rFonts w:ascii="宋体" w:hAnsi="宋体" w:eastAsia="宋体" w:cs="宋体"/>
          <w:spacing w:val="-35"/>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数字证书登录“</w:t>
      </w:r>
      <w:r>
        <w:rPr>
          <w:rFonts w:ascii="宋体" w:hAnsi="宋体" w:eastAsia="宋体" w:cs="宋体"/>
          <w:spacing w:val="-68"/>
          <w:sz w:val="20"/>
          <w:szCs w:val="20"/>
        </w:rPr>
        <w:t xml:space="preserve"> </w:t>
      </w:r>
      <w:r>
        <w:rPr>
          <w:rFonts w:ascii="宋体" w:hAnsi="宋体" w:eastAsia="宋体" w:cs="宋体"/>
          <w:spacing w:val="4"/>
          <w:sz w:val="20"/>
          <w:szCs w:val="20"/>
        </w:rPr>
        <w:t>电子交易平台</w:t>
      </w:r>
      <w:r>
        <w:rPr>
          <w:rFonts w:ascii="宋体" w:hAnsi="宋体" w:eastAsia="宋体" w:cs="宋体"/>
          <w:spacing w:val="-70"/>
          <w:sz w:val="20"/>
          <w:szCs w:val="20"/>
        </w:rPr>
        <w:t xml:space="preserve"> </w:t>
      </w:r>
      <w:r>
        <w:rPr>
          <w:rFonts w:ascii="宋体" w:hAnsi="宋体" w:eastAsia="宋体" w:cs="宋体"/>
          <w:spacing w:val="4"/>
          <w:sz w:val="20"/>
          <w:szCs w:val="20"/>
        </w:rPr>
        <w:t>”，进入“开标大厅</w:t>
      </w:r>
      <w:r>
        <w:rPr>
          <w:rFonts w:ascii="宋体" w:hAnsi="宋体" w:eastAsia="宋体" w:cs="宋体"/>
          <w:spacing w:val="-70"/>
          <w:sz w:val="20"/>
          <w:szCs w:val="20"/>
        </w:rPr>
        <w:t xml:space="preserve"> </w:t>
      </w:r>
      <w:r>
        <w:rPr>
          <w:rFonts w:ascii="宋体" w:hAnsi="宋体" w:eastAsia="宋体" w:cs="宋体"/>
          <w:spacing w:val="4"/>
          <w:sz w:val="20"/>
          <w:szCs w:val="20"/>
        </w:rPr>
        <w:t>”选择相</w:t>
      </w:r>
      <w:r>
        <w:rPr>
          <w:rFonts w:ascii="宋体" w:hAnsi="宋体" w:eastAsia="宋体" w:cs="宋体"/>
          <w:spacing w:val="3"/>
          <w:sz w:val="20"/>
          <w:szCs w:val="20"/>
        </w:rPr>
        <w:t>应标段作在</w:t>
      </w:r>
      <w:r>
        <w:rPr>
          <w:rFonts w:ascii="宋体" w:hAnsi="宋体" w:eastAsia="宋体" w:cs="宋体"/>
          <w:spacing w:val="7"/>
          <w:sz w:val="20"/>
          <w:szCs w:val="20"/>
        </w:rPr>
        <w:t>线开标的准备工作。</w:t>
      </w:r>
    </w:p>
    <w:p w14:paraId="0DCA22CA">
      <w:pPr>
        <w:spacing w:line="361" w:lineRule="auto"/>
        <w:ind w:left="20" w:right="16" w:firstLine="423"/>
        <w:rPr>
          <w:rFonts w:ascii="宋体" w:hAnsi="宋体" w:eastAsia="宋体" w:cs="宋体"/>
          <w:sz w:val="20"/>
          <w:szCs w:val="20"/>
        </w:rPr>
      </w:pPr>
      <w:r>
        <w:rPr>
          <w:rFonts w:ascii="Times New Roman" w:hAnsi="Times New Roman" w:eastAsia="Times New Roman" w:cs="Times New Roman"/>
          <w:spacing w:val="9"/>
          <w:sz w:val="20"/>
          <w:szCs w:val="20"/>
        </w:rPr>
        <w:t>5.</w:t>
      </w:r>
      <w:r>
        <w:rPr>
          <w:rFonts w:ascii="Times New Roman" w:hAnsi="Times New Roman" w:eastAsia="Times New Roman" w:cs="Times New Roman"/>
          <w:spacing w:val="-7"/>
          <w:sz w:val="20"/>
          <w:szCs w:val="20"/>
        </w:rPr>
        <w:t xml:space="preserve"> </w:t>
      </w:r>
      <w:r>
        <w:rPr>
          <w:rFonts w:ascii="Times New Roman" w:hAnsi="Times New Roman" w:eastAsia="Times New Roman" w:cs="Times New Roman"/>
          <w:spacing w:val="9"/>
          <w:sz w:val="20"/>
          <w:szCs w:val="20"/>
        </w:rPr>
        <w:t xml:space="preserve">1.3 </w:t>
      </w:r>
      <w:r>
        <w:rPr>
          <w:rFonts w:ascii="宋体" w:hAnsi="宋体" w:eastAsia="宋体" w:cs="宋体"/>
          <w:spacing w:val="9"/>
          <w:sz w:val="20"/>
          <w:szCs w:val="20"/>
        </w:rPr>
        <w:t>投标人应当在能够保证设施设备可靠、互联网畅通的</w:t>
      </w:r>
      <w:r>
        <w:rPr>
          <w:rFonts w:ascii="宋体" w:hAnsi="宋体" w:eastAsia="宋体" w:cs="宋体"/>
          <w:b/>
          <w:bCs/>
          <w:spacing w:val="9"/>
          <w:sz w:val="20"/>
          <w:szCs w:val="20"/>
        </w:rPr>
        <w:t>任意地点</w:t>
      </w:r>
      <w:r>
        <w:rPr>
          <w:rFonts w:ascii="宋体" w:hAnsi="宋体" w:eastAsia="宋体" w:cs="宋体"/>
          <w:spacing w:val="9"/>
          <w:sz w:val="20"/>
          <w:szCs w:val="20"/>
        </w:rPr>
        <w:t>，通过互联网在线</w:t>
      </w:r>
      <w:r>
        <w:rPr>
          <w:rFonts w:ascii="宋体" w:hAnsi="宋体" w:eastAsia="宋体" w:cs="宋体"/>
          <w:spacing w:val="3"/>
          <w:sz w:val="20"/>
          <w:szCs w:val="20"/>
        </w:rPr>
        <w:t>参加开标。在投标截止时间前，</w:t>
      </w:r>
      <w:r>
        <w:rPr>
          <w:rFonts w:ascii="宋体" w:hAnsi="宋体" w:eastAsia="宋体" w:cs="宋体"/>
          <w:b/>
          <w:bCs/>
          <w:spacing w:val="3"/>
          <w:sz w:val="20"/>
          <w:szCs w:val="20"/>
        </w:rPr>
        <w:t>使用加密其投标文件的</w:t>
      </w:r>
      <w:r>
        <w:rPr>
          <w:rFonts w:ascii="Times New Roman" w:hAnsi="Times New Roman" w:eastAsia="Times New Roman" w:cs="Times New Roman"/>
          <w:b/>
          <w:bCs/>
          <w:sz w:val="20"/>
          <w:szCs w:val="20"/>
        </w:rPr>
        <w:t>CA</w:t>
      </w:r>
      <w:r>
        <w:rPr>
          <w:rFonts w:ascii="Times New Roman" w:hAnsi="Times New Roman" w:eastAsia="Times New Roman" w:cs="Times New Roman"/>
          <w:b/>
          <w:bCs/>
          <w:spacing w:val="3"/>
          <w:sz w:val="20"/>
          <w:szCs w:val="20"/>
        </w:rPr>
        <w:t xml:space="preserve"> </w:t>
      </w:r>
      <w:r>
        <w:rPr>
          <w:rFonts w:ascii="宋体" w:hAnsi="宋体" w:eastAsia="宋体" w:cs="宋体"/>
          <w:b/>
          <w:bCs/>
          <w:spacing w:val="3"/>
          <w:sz w:val="20"/>
          <w:szCs w:val="20"/>
        </w:rPr>
        <w:t>数字证书</w:t>
      </w:r>
      <w:r>
        <w:rPr>
          <w:rFonts w:ascii="宋体" w:hAnsi="宋体" w:eastAsia="宋体" w:cs="宋体"/>
          <w:spacing w:val="3"/>
          <w:sz w:val="20"/>
          <w:szCs w:val="20"/>
        </w:rPr>
        <w:t>登录“</w:t>
      </w:r>
      <w:r>
        <w:rPr>
          <w:rFonts w:ascii="宋体" w:hAnsi="宋体" w:eastAsia="宋体" w:cs="宋体"/>
          <w:spacing w:val="-68"/>
          <w:sz w:val="20"/>
          <w:szCs w:val="20"/>
        </w:rPr>
        <w:t xml:space="preserve"> </w:t>
      </w:r>
      <w:r>
        <w:rPr>
          <w:rFonts w:ascii="宋体" w:hAnsi="宋体" w:eastAsia="宋体" w:cs="宋体"/>
          <w:spacing w:val="3"/>
          <w:sz w:val="20"/>
          <w:szCs w:val="20"/>
        </w:rPr>
        <w:t>电子交易平台</w:t>
      </w:r>
      <w:r>
        <w:rPr>
          <w:rFonts w:ascii="宋体" w:hAnsi="宋体" w:eastAsia="宋体" w:cs="宋体"/>
          <w:spacing w:val="-70"/>
          <w:sz w:val="20"/>
          <w:szCs w:val="20"/>
        </w:rPr>
        <w:t xml:space="preserve"> </w:t>
      </w:r>
      <w:r>
        <w:rPr>
          <w:rFonts w:ascii="宋体" w:hAnsi="宋体" w:eastAsia="宋体" w:cs="宋体"/>
          <w:spacing w:val="3"/>
          <w:sz w:val="20"/>
          <w:szCs w:val="20"/>
        </w:rPr>
        <w:t>”，</w:t>
      </w:r>
      <w:r>
        <w:rPr>
          <w:rFonts w:ascii="宋体" w:hAnsi="宋体" w:eastAsia="宋体" w:cs="宋体"/>
          <w:spacing w:val="9"/>
          <w:sz w:val="20"/>
          <w:szCs w:val="20"/>
        </w:rPr>
        <w:t>进入“开标大厅</w:t>
      </w:r>
      <w:r>
        <w:rPr>
          <w:rFonts w:ascii="宋体" w:hAnsi="宋体" w:eastAsia="宋体" w:cs="宋体"/>
          <w:spacing w:val="-70"/>
          <w:sz w:val="20"/>
          <w:szCs w:val="20"/>
        </w:rPr>
        <w:t xml:space="preserve"> </w:t>
      </w:r>
      <w:r>
        <w:rPr>
          <w:rFonts w:ascii="宋体" w:hAnsi="宋体" w:eastAsia="宋体" w:cs="宋体"/>
          <w:spacing w:val="9"/>
          <w:sz w:val="20"/>
          <w:szCs w:val="20"/>
        </w:rPr>
        <w:t>”选择所投标段进行签到，并</w:t>
      </w:r>
      <w:r>
        <w:rPr>
          <w:rFonts w:ascii="宋体" w:hAnsi="宋体" w:eastAsia="宋体" w:cs="宋体"/>
          <w:spacing w:val="8"/>
          <w:sz w:val="20"/>
          <w:szCs w:val="20"/>
        </w:rPr>
        <w:t>实时在线关注招标人的操作情况。</w:t>
      </w:r>
    </w:p>
    <w:p w14:paraId="560EFADD">
      <w:pPr>
        <w:pStyle w:val="2"/>
        <w:spacing w:before="1" w:line="221" w:lineRule="auto"/>
        <w:ind w:left="25"/>
        <w:outlineLvl w:val="3"/>
        <w:rPr>
          <w:sz w:val="24"/>
          <w:szCs w:val="24"/>
        </w:rPr>
      </w:pPr>
      <w:bookmarkStart w:id="43" w:name="bookmark40"/>
      <w:bookmarkEnd w:id="43"/>
      <w:r>
        <w:rPr>
          <w:rFonts w:ascii="Times New Roman" w:hAnsi="Times New Roman" w:eastAsia="Times New Roman" w:cs="Times New Roman"/>
          <w:spacing w:val="-4"/>
          <w:sz w:val="24"/>
          <w:szCs w:val="24"/>
        </w:rPr>
        <w:t>5.2</w:t>
      </w:r>
      <w:r>
        <w:rPr>
          <w:rFonts w:ascii="Times New Roman" w:hAnsi="Times New Roman" w:eastAsia="Times New Roman" w:cs="Times New Roman"/>
          <w:spacing w:val="7"/>
          <w:sz w:val="24"/>
          <w:szCs w:val="24"/>
        </w:rPr>
        <w:t xml:space="preserve">  </w:t>
      </w:r>
      <w:r>
        <w:rPr>
          <w:spacing w:val="-4"/>
          <w:sz w:val="24"/>
          <w:szCs w:val="24"/>
        </w:rPr>
        <w:t>开标程序</w:t>
      </w:r>
    </w:p>
    <w:p w14:paraId="5338F274">
      <w:pPr>
        <w:spacing w:before="136" w:line="228" w:lineRule="auto"/>
        <w:ind w:left="444"/>
        <w:rPr>
          <w:rFonts w:ascii="宋体" w:hAnsi="宋体" w:eastAsia="宋体" w:cs="宋体"/>
          <w:sz w:val="20"/>
          <w:szCs w:val="20"/>
        </w:rPr>
      </w:pPr>
      <w:r>
        <w:rPr>
          <w:rFonts w:ascii="Times New Roman" w:hAnsi="Times New Roman" w:eastAsia="Times New Roman" w:cs="Times New Roman"/>
          <w:spacing w:val="5"/>
          <w:sz w:val="20"/>
          <w:szCs w:val="20"/>
        </w:rPr>
        <w:t>5.2.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主持人按下列程序在“</w:t>
      </w:r>
      <w:r>
        <w:rPr>
          <w:rFonts w:ascii="宋体" w:hAnsi="宋体" w:eastAsia="宋体" w:cs="宋体"/>
          <w:spacing w:val="-65"/>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”的“开标大厅</w:t>
      </w:r>
      <w:r>
        <w:rPr>
          <w:rFonts w:ascii="宋体" w:hAnsi="宋体" w:eastAsia="宋体" w:cs="宋体"/>
          <w:spacing w:val="-70"/>
          <w:sz w:val="20"/>
          <w:szCs w:val="20"/>
        </w:rPr>
        <w:t xml:space="preserve"> </w:t>
      </w:r>
      <w:r>
        <w:rPr>
          <w:rFonts w:ascii="宋体" w:hAnsi="宋体" w:eastAsia="宋体" w:cs="宋体"/>
          <w:spacing w:val="5"/>
          <w:sz w:val="20"/>
          <w:szCs w:val="20"/>
        </w:rPr>
        <w:t>”进行在线开标：</w:t>
      </w:r>
    </w:p>
    <w:p w14:paraId="523FAE1E">
      <w:pPr>
        <w:spacing w:before="154" w:line="227" w:lineRule="auto"/>
        <w:ind w:left="45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）宣布开标纪律；</w:t>
      </w:r>
    </w:p>
    <w:p w14:paraId="5B1FF4FA">
      <w:pPr>
        <w:spacing w:before="155" w:line="227"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）公布主持人、招标人代表、监标人等有关人员姓名；</w:t>
      </w:r>
    </w:p>
    <w:p w14:paraId="3072F726">
      <w:pPr>
        <w:spacing w:before="153" w:line="227"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）公布在投标截止时间前投标文件的递交情况；</w:t>
      </w:r>
    </w:p>
    <w:p w14:paraId="16C817D7">
      <w:pPr>
        <w:spacing w:before="154" w:line="227"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）公布投标保证金递交情况；</w:t>
      </w:r>
    </w:p>
    <w:p w14:paraId="43F0F5A7">
      <w:pPr>
        <w:spacing w:before="155" w:line="227" w:lineRule="auto"/>
        <w:ind w:left="45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5</w:t>
      </w:r>
      <w:r>
        <w:rPr>
          <w:rFonts w:ascii="宋体" w:hAnsi="宋体" w:eastAsia="宋体" w:cs="宋体"/>
          <w:spacing w:val="9"/>
          <w:sz w:val="20"/>
          <w:szCs w:val="20"/>
        </w:rPr>
        <w:t>）投标人根据提示在投标人须知前附表规定的时间内解密投</w:t>
      </w:r>
      <w:r>
        <w:rPr>
          <w:rFonts w:ascii="宋体" w:hAnsi="宋体" w:eastAsia="宋体" w:cs="宋体"/>
          <w:spacing w:val="8"/>
          <w:sz w:val="20"/>
          <w:szCs w:val="20"/>
        </w:rPr>
        <w:t>标文件；</w:t>
      </w:r>
    </w:p>
    <w:p w14:paraId="317DB933">
      <w:pPr>
        <w:spacing w:before="153" w:line="228"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6</w:t>
      </w:r>
      <w:r>
        <w:rPr>
          <w:rFonts w:ascii="宋体" w:hAnsi="宋体" w:eastAsia="宋体" w:cs="宋体"/>
          <w:spacing w:val="7"/>
          <w:sz w:val="20"/>
          <w:szCs w:val="20"/>
        </w:rPr>
        <w:t>）读取已解密的投标文件的内容；</w:t>
      </w:r>
    </w:p>
    <w:p w14:paraId="67D5349E">
      <w:pPr>
        <w:spacing w:before="153" w:line="369" w:lineRule="auto"/>
        <w:ind w:left="21" w:right="70" w:firstLine="430"/>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7</w:t>
      </w:r>
      <w:r>
        <w:rPr>
          <w:rFonts w:ascii="宋体" w:hAnsi="宋体" w:eastAsia="宋体" w:cs="宋体"/>
          <w:spacing w:val="10"/>
          <w:sz w:val="20"/>
          <w:szCs w:val="20"/>
        </w:rPr>
        <w:t>）公布投标人名称、标段名称、投标保证金的</w:t>
      </w:r>
      <w:r>
        <w:rPr>
          <w:rFonts w:ascii="宋体" w:hAnsi="宋体" w:eastAsia="宋体" w:cs="宋体"/>
          <w:spacing w:val="9"/>
          <w:sz w:val="20"/>
          <w:szCs w:val="20"/>
        </w:rPr>
        <w:t>递交情况、投标报价、项目经理姓名</w:t>
      </w:r>
      <w:r>
        <w:rPr>
          <w:rFonts w:ascii="宋体" w:hAnsi="宋体" w:eastAsia="宋体" w:cs="宋体"/>
          <w:spacing w:val="8"/>
          <w:sz w:val="20"/>
          <w:szCs w:val="20"/>
        </w:rPr>
        <w:t>及其他内容，并生成开标记录；</w:t>
      </w:r>
    </w:p>
    <w:p w14:paraId="70AE1144">
      <w:pPr>
        <w:spacing w:before="1" w:line="227" w:lineRule="auto"/>
        <w:ind w:left="452"/>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8</w:t>
      </w:r>
      <w:r>
        <w:rPr>
          <w:rFonts w:ascii="宋体" w:hAnsi="宋体" w:eastAsia="宋体" w:cs="宋体"/>
          <w:spacing w:val="5"/>
          <w:sz w:val="20"/>
          <w:szCs w:val="20"/>
        </w:rPr>
        <w:t>）开标结束。</w:t>
      </w:r>
    </w:p>
    <w:p w14:paraId="44D8885C">
      <w:pPr>
        <w:spacing w:before="154" w:line="361" w:lineRule="auto"/>
        <w:ind w:left="21" w:right="70" w:firstLine="422"/>
        <w:jc w:val="both"/>
        <w:rPr>
          <w:rFonts w:ascii="宋体" w:hAnsi="宋体" w:eastAsia="宋体" w:cs="宋体"/>
          <w:sz w:val="20"/>
          <w:szCs w:val="20"/>
        </w:rPr>
      </w:pPr>
      <w:r>
        <w:rPr>
          <w:rFonts w:ascii="Times New Roman" w:hAnsi="Times New Roman" w:eastAsia="Times New Roman" w:cs="Times New Roman"/>
          <w:spacing w:val="4"/>
          <w:sz w:val="20"/>
          <w:szCs w:val="20"/>
        </w:rPr>
        <w:t xml:space="preserve">5.2.2 </w:t>
      </w:r>
      <w:r>
        <w:rPr>
          <w:rFonts w:ascii="宋体" w:hAnsi="宋体" w:eastAsia="宋体" w:cs="宋体"/>
          <w:spacing w:val="4"/>
          <w:sz w:val="20"/>
          <w:szCs w:val="20"/>
        </w:rPr>
        <w:t>在本章第</w:t>
      </w:r>
      <w:r>
        <w:rPr>
          <w:rFonts w:ascii="宋体" w:hAnsi="宋体" w:eastAsia="宋体" w:cs="宋体"/>
          <w:spacing w:val="-35"/>
          <w:sz w:val="20"/>
          <w:szCs w:val="20"/>
        </w:rPr>
        <w:t xml:space="preserve"> </w:t>
      </w:r>
      <w:r>
        <w:rPr>
          <w:rFonts w:ascii="Times New Roman" w:hAnsi="Times New Roman" w:eastAsia="Times New Roman" w:cs="Times New Roman"/>
          <w:spacing w:val="4"/>
          <w:sz w:val="20"/>
          <w:szCs w:val="20"/>
        </w:rPr>
        <w:t>5.2.1</w:t>
      </w:r>
      <w:r>
        <w:rPr>
          <w:rFonts w:ascii="宋体" w:hAnsi="宋体" w:eastAsia="宋体" w:cs="宋体"/>
          <w:spacing w:val="4"/>
          <w:sz w:val="20"/>
          <w:szCs w:val="20"/>
        </w:rPr>
        <w:t>（</w:t>
      </w:r>
      <w:r>
        <w:rPr>
          <w:rFonts w:ascii="Times New Roman" w:hAnsi="Times New Roman" w:eastAsia="Times New Roman" w:cs="Times New Roman"/>
          <w:spacing w:val="4"/>
          <w:sz w:val="20"/>
          <w:szCs w:val="20"/>
        </w:rPr>
        <w:t>5</w:t>
      </w:r>
      <w:r>
        <w:rPr>
          <w:rFonts w:ascii="宋体" w:hAnsi="宋体" w:eastAsia="宋体" w:cs="宋体"/>
          <w:spacing w:val="4"/>
          <w:sz w:val="20"/>
          <w:szCs w:val="20"/>
        </w:rPr>
        <w:t>）</w:t>
      </w:r>
      <w:r>
        <w:rPr>
          <w:rFonts w:ascii="宋体" w:hAnsi="宋体" w:eastAsia="宋体" w:cs="宋体"/>
          <w:spacing w:val="-59"/>
          <w:sz w:val="20"/>
          <w:szCs w:val="20"/>
        </w:rPr>
        <w:t xml:space="preserve"> </w:t>
      </w:r>
      <w:r>
        <w:rPr>
          <w:rFonts w:ascii="宋体" w:hAnsi="宋体" w:eastAsia="宋体" w:cs="宋体"/>
          <w:spacing w:val="4"/>
          <w:sz w:val="20"/>
          <w:szCs w:val="20"/>
        </w:rPr>
        <w:t>目</w:t>
      </w:r>
      <w:r>
        <w:rPr>
          <w:rFonts w:ascii="宋体" w:hAnsi="宋体" w:eastAsia="宋体" w:cs="宋体"/>
          <w:spacing w:val="3"/>
          <w:sz w:val="20"/>
          <w:szCs w:val="20"/>
        </w:rPr>
        <w:t>规定的时间内，非因“</w:t>
      </w:r>
      <w:r>
        <w:rPr>
          <w:rFonts w:ascii="宋体" w:hAnsi="宋体" w:eastAsia="宋体" w:cs="宋体"/>
          <w:spacing w:val="-67"/>
          <w:sz w:val="20"/>
          <w:szCs w:val="20"/>
        </w:rPr>
        <w:t xml:space="preserve"> </w:t>
      </w:r>
      <w:r>
        <w:rPr>
          <w:rFonts w:ascii="宋体" w:hAnsi="宋体" w:eastAsia="宋体" w:cs="宋体"/>
          <w:spacing w:val="3"/>
          <w:sz w:val="20"/>
          <w:szCs w:val="20"/>
        </w:rPr>
        <w:t>电子交易平台</w:t>
      </w:r>
      <w:r>
        <w:rPr>
          <w:rFonts w:ascii="宋体" w:hAnsi="宋体" w:eastAsia="宋体" w:cs="宋体"/>
          <w:spacing w:val="-70"/>
          <w:sz w:val="20"/>
          <w:szCs w:val="20"/>
        </w:rPr>
        <w:t xml:space="preserve"> </w:t>
      </w:r>
      <w:r>
        <w:rPr>
          <w:rFonts w:ascii="宋体" w:hAnsi="宋体" w:eastAsia="宋体" w:cs="宋体"/>
          <w:spacing w:val="3"/>
          <w:sz w:val="20"/>
          <w:szCs w:val="20"/>
        </w:rPr>
        <w:t>”原因造成投标文件未</w:t>
      </w:r>
      <w:r>
        <w:rPr>
          <w:rFonts w:ascii="宋体" w:hAnsi="宋体" w:eastAsia="宋体" w:cs="宋体"/>
          <w:spacing w:val="7"/>
          <w:sz w:val="20"/>
          <w:szCs w:val="20"/>
        </w:rPr>
        <w:t>解密的，视为投标人撤回投标文件。在部分投标文件未解密的情况下，已解密的投标文件少</w:t>
      </w:r>
      <w:r>
        <w:rPr>
          <w:rFonts w:ascii="宋体" w:hAnsi="宋体" w:eastAsia="宋体" w:cs="宋体"/>
          <w:spacing w:val="8"/>
          <w:sz w:val="20"/>
          <w:szCs w:val="20"/>
        </w:rPr>
        <w:t>于三个的，招标失败；</w:t>
      </w:r>
      <w:r>
        <w:rPr>
          <w:rFonts w:ascii="宋体" w:hAnsi="宋体" w:eastAsia="宋体" w:cs="宋体"/>
          <w:spacing w:val="-59"/>
          <w:sz w:val="20"/>
          <w:szCs w:val="20"/>
        </w:rPr>
        <w:t xml:space="preserve"> </w:t>
      </w:r>
      <w:r>
        <w:rPr>
          <w:rFonts w:ascii="宋体" w:hAnsi="宋体" w:eastAsia="宋体" w:cs="宋体"/>
          <w:spacing w:val="8"/>
          <w:sz w:val="20"/>
          <w:szCs w:val="20"/>
        </w:rPr>
        <w:t>已解密的投标文件不少于三个，开标继续进行。</w:t>
      </w:r>
    </w:p>
    <w:p w14:paraId="07A7660A">
      <w:pPr>
        <w:pStyle w:val="2"/>
        <w:spacing w:before="1" w:line="221" w:lineRule="auto"/>
        <w:ind w:left="25"/>
        <w:outlineLvl w:val="3"/>
        <w:rPr>
          <w:sz w:val="24"/>
          <w:szCs w:val="24"/>
        </w:rPr>
      </w:pPr>
      <w:bookmarkStart w:id="44" w:name="bookmark41"/>
      <w:bookmarkEnd w:id="44"/>
      <w:r>
        <w:rPr>
          <w:rFonts w:ascii="Times New Roman" w:hAnsi="Times New Roman" w:eastAsia="Times New Roman" w:cs="Times New Roman"/>
          <w:spacing w:val="-4"/>
          <w:sz w:val="24"/>
          <w:szCs w:val="24"/>
        </w:rPr>
        <w:t>5.3</w:t>
      </w:r>
      <w:r>
        <w:rPr>
          <w:rFonts w:ascii="Times New Roman" w:hAnsi="Times New Roman" w:eastAsia="Times New Roman" w:cs="Times New Roman"/>
          <w:spacing w:val="7"/>
          <w:sz w:val="24"/>
          <w:szCs w:val="24"/>
        </w:rPr>
        <w:t xml:space="preserve">  </w:t>
      </w:r>
      <w:r>
        <w:rPr>
          <w:spacing w:val="-4"/>
          <w:sz w:val="24"/>
          <w:szCs w:val="24"/>
        </w:rPr>
        <w:t>开标异议</w:t>
      </w:r>
    </w:p>
    <w:p w14:paraId="1F51B4E3">
      <w:pPr>
        <w:spacing w:before="139" w:line="369" w:lineRule="auto"/>
        <w:ind w:left="27" w:firstLine="416"/>
        <w:rPr>
          <w:rFonts w:ascii="宋体" w:hAnsi="宋体" w:eastAsia="宋体" w:cs="宋体"/>
          <w:sz w:val="20"/>
          <w:szCs w:val="20"/>
        </w:rPr>
      </w:pPr>
      <w:r>
        <w:rPr>
          <w:rFonts w:ascii="Times New Roman" w:hAnsi="Times New Roman" w:eastAsia="Times New Roman" w:cs="Times New Roman"/>
          <w:spacing w:val="10"/>
          <w:sz w:val="20"/>
          <w:szCs w:val="20"/>
        </w:rPr>
        <w:t>5.3.</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投标人对开标有异议的，应当在开标过程中提出；招标人当场对异议作出答复，</w:t>
      </w:r>
      <w:r>
        <w:rPr>
          <w:rFonts w:ascii="宋体" w:hAnsi="宋体" w:eastAsia="宋体" w:cs="宋体"/>
          <w:spacing w:val="5"/>
          <w:sz w:val="20"/>
          <w:szCs w:val="20"/>
        </w:rPr>
        <w:t>并记入开标记录。异议与答复应通过 “开标大厅</w:t>
      </w:r>
      <w:r>
        <w:rPr>
          <w:rFonts w:ascii="宋体" w:hAnsi="宋体" w:eastAsia="宋体" w:cs="宋体"/>
          <w:spacing w:val="-70"/>
          <w:sz w:val="20"/>
          <w:szCs w:val="20"/>
        </w:rPr>
        <w:t xml:space="preserve"> </w:t>
      </w:r>
      <w:r>
        <w:rPr>
          <w:rFonts w:ascii="宋体" w:hAnsi="宋体" w:eastAsia="宋体" w:cs="宋体"/>
          <w:spacing w:val="5"/>
          <w:sz w:val="20"/>
          <w:szCs w:val="20"/>
        </w:rPr>
        <w:t>”在“异议与答复</w:t>
      </w:r>
      <w:r>
        <w:rPr>
          <w:rFonts w:ascii="宋体" w:hAnsi="宋体" w:eastAsia="宋体" w:cs="宋体"/>
          <w:spacing w:val="-70"/>
          <w:sz w:val="20"/>
          <w:szCs w:val="20"/>
        </w:rPr>
        <w:t xml:space="preserve"> </w:t>
      </w:r>
      <w:r>
        <w:rPr>
          <w:rFonts w:ascii="宋体" w:hAnsi="宋体" w:eastAsia="宋体" w:cs="宋体"/>
          <w:spacing w:val="5"/>
          <w:sz w:val="20"/>
          <w:szCs w:val="20"/>
        </w:rPr>
        <w:t>”菜单以书面</w:t>
      </w:r>
      <w:r>
        <w:rPr>
          <w:rFonts w:ascii="宋体" w:hAnsi="宋体" w:eastAsia="宋体" w:cs="宋体"/>
          <w:spacing w:val="4"/>
          <w:sz w:val="20"/>
          <w:szCs w:val="20"/>
        </w:rPr>
        <w:t>形式进行。</w:t>
      </w:r>
    </w:p>
    <w:p w14:paraId="0003F9C8">
      <w:pPr>
        <w:spacing w:before="2" w:line="368" w:lineRule="auto"/>
        <w:ind w:left="23" w:right="70" w:firstLine="420"/>
        <w:rPr>
          <w:rFonts w:ascii="宋体" w:hAnsi="宋体" w:eastAsia="宋体" w:cs="宋体"/>
          <w:sz w:val="20"/>
          <w:szCs w:val="20"/>
        </w:rPr>
      </w:pPr>
      <w:r>
        <w:rPr>
          <w:rFonts w:ascii="宋体" w:hAnsi="宋体" w:eastAsia="宋体" w:cs="宋体"/>
          <w:spacing w:val="7"/>
          <w:sz w:val="20"/>
          <w:szCs w:val="20"/>
        </w:rPr>
        <w:t>本处所称异议是指投标人在开标过程中对投标文件提交、投标截止时间、开标程序、开</w:t>
      </w:r>
      <w:r>
        <w:rPr>
          <w:rFonts w:ascii="宋体" w:hAnsi="宋体" w:eastAsia="宋体" w:cs="宋体"/>
          <w:spacing w:val="9"/>
          <w:sz w:val="20"/>
          <w:szCs w:val="20"/>
        </w:rPr>
        <w:t>标记录以及投标人和招标人或者投标人相互之间存在利益冲突的情形等提出的质疑。</w:t>
      </w:r>
    </w:p>
    <w:p w14:paraId="3BA4AA18">
      <w:pPr>
        <w:spacing w:before="1" w:line="371" w:lineRule="auto"/>
        <w:ind w:left="24" w:right="18" w:firstLine="419"/>
        <w:rPr>
          <w:rFonts w:ascii="宋体" w:hAnsi="宋体" w:eastAsia="宋体" w:cs="宋体"/>
          <w:sz w:val="20"/>
          <w:szCs w:val="20"/>
        </w:rPr>
      </w:pPr>
      <w:r>
        <w:rPr>
          <w:rFonts w:ascii="Times New Roman" w:hAnsi="Times New Roman" w:eastAsia="Times New Roman" w:cs="Times New Roman"/>
          <w:spacing w:val="7"/>
          <w:sz w:val="20"/>
          <w:szCs w:val="20"/>
        </w:rPr>
        <w:t xml:space="preserve">5.3.2 </w:t>
      </w:r>
      <w:r>
        <w:rPr>
          <w:rFonts w:ascii="宋体" w:hAnsi="宋体" w:eastAsia="宋体" w:cs="宋体"/>
          <w:spacing w:val="7"/>
          <w:sz w:val="20"/>
          <w:szCs w:val="20"/>
        </w:rPr>
        <w:t>投标人异议成立的，招标人将及时采取</w:t>
      </w:r>
      <w:r>
        <w:rPr>
          <w:rFonts w:ascii="宋体" w:hAnsi="宋体" w:eastAsia="宋体" w:cs="宋体"/>
          <w:spacing w:val="6"/>
          <w:sz w:val="20"/>
          <w:szCs w:val="20"/>
        </w:rPr>
        <w:t>纠正措施，或者提交评标委员会评审确认；</w:t>
      </w:r>
      <w:r>
        <w:rPr>
          <w:rFonts w:ascii="宋体" w:hAnsi="宋体" w:eastAsia="宋体" w:cs="宋体"/>
          <w:spacing w:val="9"/>
          <w:sz w:val="20"/>
          <w:szCs w:val="20"/>
        </w:rPr>
        <w:t>投标人异议不成立的，招标人将当场给予解释说明。</w:t>
      </w:r>
    </w:p>
    <w:p w14:paraId="58C4B049">
      <w:pPr>
        <w:spacing w:line="371" w:lineRule="auto"/>
        <w:rPr>
          <w:rFonts w:ascii="宋体" w:hAnsi="宋体" w:eastAsia="宋体" w:cs="宋体"/>
          <w:sz w:val="20"/>
          <w:szCs w:val="20"/>
        </w:rPr>
        <w:sectPr>
          <w:footerReference r:id="rId40" w:type="default"/>
          <w:pgSz w:w="11906" w:h="16839"/>
          <w:pgMar w:top="1431" w:right="1731" w:bottom="1156" w:left="1785" w:header="0" w:footer="994" w:gutter="0"/>
          <w:cols w:space="720" w:num="1"/>
        </w:sectPr>
      </w:pPr>
    </w:p>
    <w:p w14:paraId="74E163ED">
      <w:pPr>
        <w:pStyle w:val="2"/>
        <w:spacing w:before="122" w:line="222" w:lineRule="auto"/>
        <w:ind w:left="25"/>
        <w:outlineLvl w:val="3"/>
        <w:rPr>
          <w:sz w:val="24"/>
          <w:szCs w:val="24"/>
        </w:rPr>
      </w:pPr>
      <w:bookmarkStart w:id="45" w:name="bookmark42"/>
      <w:bookmarkEnd w:id="45"/>
      <w:r>
        <w:rPr>
          <w:rFonts w:ascii="Times New Roman" w:hAnsi="Times New Roman" w:eastAsia="Times New Roman" w:cs="Times New Roman"/>
          <w:spacing w:val="-1"/>
          <w:sz w:val="24"/>
          <w:szCs w:val="24"/>
        </w:rPr>
        <w:t xml:space="preserve">5.4  </w:t>
      </w:r>
      <w:r>
        <w:rPr>
          <w:spacing w:val="-1"/>
          <w:sz w:val="24"/>
          <w:szCs w:val="24"/>
        </w:rPr>
        <w:t>特殊情况的处置</w:t>
      </w:r>
    </w:p>
    <w:p w14:paraId="5A474947">
      <w:pPr>
        <w:spacing w:before="140" w:line="369" w:lineRule="auto"/>
        <w:ind w:left="23" w:right="15" w:firstLine="420"/>
        <w:rPr>
          <w:rFonts w:ascii="宋体" w:hAnsi="宋体" w:eastAsia="宋体" w:cs="宋体"/>
          <w:sz w:val="20"/>
          <w:szCs w:val="20"/>
        </w:rPr>
      </w:pPr>
      <w:r>
        <w:rPr>
          <w:rFonts w:ascii="Times New Roman" w:hAnsi="Times New Roman" w:eastAsia="Times New Roman" w:cs="Times New Roman"/>
          <w:spacing w:val="8"/>
          <w:sz w:val="20"/>
          <w:szCs w:val="20"/>
        </w:rPr>
        <w:t>5.4.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6"/>
          <w:sz w:val="20"/>
          <w:szCs w:val="20"/>
        </w:rPr>
        <w:t xml:space="preserve"> </w:t>
      </w:r>
      <w:r>
        <w:rPr>
          <w:rFonts w:ascii="宋体" w:hAnsi="宋体" w:eastAsia="宋体" w:cs="宋体"/>
          <w:spacing w:val="8"/>
          <w:sz w:val="20"/>
          <w:szCs w:val="20"/>
        </w:rPr>
        <w:t>因“</w:t>
      </w:r>
      <w:r>
        <w:rPr>
          <w:rFonts w:ascii="宋体" w:hAnsi="宋体" w:eastAsia="宋体" w:cs="宋体"/>
          <w:spacing w:val="-66"/>
          <w:sz w:val="20"/>
          <w:szCs w:val="20"/>
        </w:rPr>
        <w:t xml:space="preserve"> </w:t>
      </w:r>
      <w:r>
        <w:rPr>
          <w:rFonts w:ascii="宋体" w:hAnsi="宋体" w:eastAsia="宋体" w:cs="宋体"/>
          <w:spacing w:val="8"/>
          <w:sz w:val="20"/>
          <w:szCs w:val="20"/>
        </w:rPr>
        <w:t>电子交易平台</w:t>
      </w:r>
      <w:r>
        <w:rPr>
          <w:rFonts w:ascii="宋体" w:hAnsi="宋体" w:eastAsia="宋体" w:cs="宋体"/>
          <w:spacing w:val="-70"/>
          <w:sz w:val="20"/>
          <w:szCs w:val="20"/>
        </w:rPr>
        <w:t xml:space="preserve"> </w:t>
      </w:r>
      <w:r>
        <w:rPr>
          <w:rFonts w:ascii="宋体" w:hAnsi="宋体" w:eastAsia="宋体" w:cs="宋体"/>
          <w:spacing w:val="8"/>
          <w:sz w:val="20"/>
          <w:szCs w:val="20"/>
        </w:rPr>
        <w:t>”系统故障导致无法投标的，交</w:t>
      </w:r>
      <w:r>
        <w:rPr>
          <w:rFonts w:ascii="宋体" w:hAnsi="宋体" w:eastAsia="宋体" w:cs="宋体"/>
          <w:spacing w:val="7"/>
          <w:sz w:val="20"/>
          <w:szCs w:val="20"/>
        </w:rPr>
        <w:t>易中心及时通知招标人，招标人视情况决定是否顺延投标截止时间。因投标人自身原因导致无法完成投标的，由投标人自</w:t>
      </w:r>
      <w:r>
        <w:rPr>
          <w:rFonts w:ascii="宋体" w:hAnsi="宋体" w:eastAsia="宋体" w:cs="宋体"/>
          <w:spacing w:val="6"/>
          <w:sz w:val="20"/>
          <w:szCs w:val="20"/>
        </w:rPr>
        <w:t>行承担后果。</w:t>
      </w:r>
    </w:p>
    <w:p w14:paraId="68D59D86">
      <w:pPr>
        <w:spacing w:before="1" w:line="368" w:lineRule="auto"/>
        <w:ind w:left="23" w:right="15" w:firstLine="420"/>
        <w:rPr>
          <w:rFonts w:ascii="宋体" w:hAnsi="宋体" w:eastAsia="宋体" w:cs="宋体"/>
          <w:sz w:val="20"/>
          <w:szCs w:val="20"/>
        </w:rPr>
      </w:pPr>
      <w:r>
        <w:rPr>
          <w:rFonts w:ascii="Times New Roman" w:hAnsi="Times New Roman" w:eastAsia="Times New Roman" w:cs="Times New Roman"/>
          <w:spacing w:val="8"/>
          <w:sz w:val="20"/>
          <w:szCs w:val="20"/>
        </w:rPr>
        <w:t>5.4.2</w:t>
      </w:r>
      <w:r>
        <w:rPr>
          <w:rFonts w:ascii="Times New Roman" w:hAnsi="Times New Roman" w:eastAsia="Times New Roman" w:cs="Times New Roman"/>
          <w:spacing w:val="38"/>
          <w:sz w:val="20"/>
          <w:szCs w:val="20"/>
        </w:rPr>
        <w:t xml:space="preserve"> </w:t>
      </w:r>
      <w:r>
        <w:rPr>
          <w:rFonts w:ascii="宋体" w:hAnsi="宋体" w:eastAsia="宋体" w:cs="宋体"/>
          <w:spacing w:val="8"/>
          <w:sz w:val="20"/>
          <w:szCs w:val="20"/>
        </w:rPr>
        <w:t>因“</w:t>
      </w:r>
      <w:r>
        <w:rPr>
          <w:rFonts w:ascii="宋体" w:hAnsi="宋体" w:eastAsia="宋体" w:cs="宋体"/>
          <w:spacing w:val="-65"/>
          <w:sz w:val="20"/>
          <w:szCs w:val="20"/>
        </w:rPr>
        <w:t xml:space="preserve"> </w:t>
      </w:r>
      <w:r>
        <w:rPr>
          <w:rFonts w:ascii="宋体" w:hAnsi="宋体" w:eastAsia="宋体" w:cs="宋体"/>
          <w:spacing w:val="8"/>
          <w:sz w:val="20"/>
          <w:szCs w:val="20"/>
        </w:rPr>
        <w:t>电子交易平台</w:t>
      </w:r>
      <w:r>
        <w:rPr>
          <w:rFonts w:ascii="宋体" w:hAnsi="宋体" w:eastAsia="宋体" w:cs="宋体"/>
          <w:spacing w:val="-70"/>
          <w:sz w:val="20"/>
          <w:szCs w:val="20"/>
        </w:rPr>
        <w:t xml:space="preserve"> </w:t>
      </w:r>
      <w:r>
        <w:rPr>
          <w:rFonts w:ascii="宋体" w:hAnsi="宋体" w:eastAsia="宋体" w:cs="宋体"/>
          <w:spacing w:val="8"/>
          <w:sz w:val="20"/>
          <w:szCs w:val="20"/>
        </w:rPr>
        <w:t>”系统故障导致无法正常开标的，招标人将暂停开标，待系统</w:t>
      </w:r>
      <w:r>
        <w:rPr>
          <w:rFonts w:ascii="宋体" w:hAnsi="宋体" w:eastAsia="宋体" w:cs="宋体"/>
          <w:spacing w:val="7"/>
          <w:sz w:val="20"/>
          <w:szCs w:val="20"/>
        </w:rPr>
        <w:t>恢复正常后继续开标。</w:t>
      </w:r>
    </w:p>
    <w:p w14:paraId="23E59BA0">
      <w:pPr>
        <w:spacing w:line="227" w:lineRule="auto"/>
        <w:ind w:left="444"/>
        <w:rPr>
          <w:rFonts w:ascii="宋体" w:hAnsi="宋体" w:eastAsia="宋体" w:cs="宋体"/>
          <w:sz w:val="20"/>
          <w:szCs w:val="20"/>
        </w:rPr>
      </w:pPr>
      <w:r>
        <w:rPr>
          <w:rFonts w:ascii="Times New Roman" w:hAnsi="Times New Roman" w:eastAsia="Times New Roman" w:cs="Times New Roman"/>
          <w:spacing w:val="5"/>
          <w:sz w:val="20"/>
          <w:szCs w:val="20"/>
        </w:rPr>
        <w:t>5.4.3</w:t>
      </w:r>
      <w:r>
        <w:rPr>
          <w:rFonts w:ascii="宋体" w:hAnsi="宋体" w:eastAsia="宋体" w:cs="宋体"/>
          <w:spacing w:val="5"/>
          <w:sz w:val="20"/>
          <w:szCs w:val="20"/>
        </w:rPr>
        <w:t>“</w:t>
      </w:r>
      <w:r>
        <w:rPr>
          <w:rFonts w:ascii="宋体" w:hAnsi="宋体" w:eastAsia="宋体" w:cs="宋体"/>
          <w:spacing w:val="-64"/>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”系统故障是指下列情形：</w:t>
      </w:r>
    </w:p>
    <w:p w14:paraId="72E71395">
      <w:pPr>
        <w:spacing w:before="153"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）系统服务器发生故障，无法访问或无法使用系统；</w:t>
      </w:r>
    </w:p>
    <w:p w14:paraId="572A4F8E">
      <w:pPr>
        <w:spacing w:before="152"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）系统的软件或数据库出现错误，不能进行正常操作；</w:t>
      </w:r>
    </w:p>
    <w:p w14:paraId="031BFD06">
      <w:pPr>
        <w:spacing w:before="154"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）系统发现有安全漏洞，有潜在的泄密危险；</w:t>
      </w:r>
    </w:p>
    <w:p w14:paraId="71D36676">
      <w:pPr>
        <w:spacing w:before="153" w:line="228"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）出现断电、断网事故；</w:t>
      </w:r>
    </w:p>
    <w:p w14:paraId="5AD88C4D">
      <w:pPr>
        <w:spacing w:before="152"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）其他无法保证招投标过程正常进行的情形。</w:t>
      </w:r>
    </w:p>
    <w:p w14:paraId="67A3FEF1">
      <w:pPr>
        <w:pStyle w:val="2"/>
        <w:spacing w:before="193" w:line="222" w:lineRule="auto"/>
        <w:ind w:left="26"/>
        <w:outlineLvl w:val="2"/>
        <w:rPr>
          <w:sz w:val="28"/>
          <w:szCs w:val="28"/>
        </w:rPr>
      </w:pPr>
      <w:bookmarkStart w:id="46" w:name="bookmark44"/>
      <w:bookmarkEnd w:id="46"/>
      <w:bookmarkStart w:id="47" w:name="bookmark43"/>
      <w:bookmarkEnd w:id="47"/>
      <w:r>
        <w:rPr>
          <w:rFonts w:ascii="Times New Roman" w:hAnsi="Times New Roman" w:eastAsia="Times New Roman" w:cs="Times New Roman"/>
          <w:spacing w:val="-5"/>
          <w:sz w:val="28"/>
          <w:szCs w:val="28"/>
        </w:rPr>
        <w:t>6.</w:t>
      </w:r>
      <w:r>
        <w:rPr>
          <w:rFonts w:ascii="Times New Roman" w:hAnsi="Times New Roman" w:eastAsia="Times New Roman" w:cs="Times New Roman"/>
          <w:spacing w:val="4"/>
          <w:sz w:val="28"/>
          <w:szCs w:val="28"/>
        </w:rPr>
        <w:t xml:space="preserve">  </w:t>
      </w:r>
      <w:r>
        <w:rPr>
          <w:spacing w:val="-5"/>
          <w:sz w:val="28"/>
          <w:szCs w:val="28"/>
        </w:rPr>
        <w:t>评标</w:t>
      </w:r>
    </w:p>
    <w:p w14:paraId="60157C7B">
      <w:pPr>
        <w:pStyle w:val="2"/>
        <w:spacing w:before="99" w:line="221" w:lineRule="auto"/>
        <w:ind w:left="24"/>
        <w:outlineLvl w:val="3"/>
        <w:rPr>
          <w:sz w:val="24"/>
          <w:szCs w:val="24"/>
        </w:rPr>
      </w:pPr>
      <w:bookmarkStart w:id="48" w:name="bookmark449"/>
      <w:bookmarkEnd w:id="48"/>
      <w:r>
        <w:rPr>
          <w:rFonts w:ascii="Times New Roman" w:hAnsi="Times New Roman" w:eastAsia="Times New Roman" w:cs="Times New Roman"/>
          <w:spacing w:val="-2"/>
          <w:sz w:val="24"/>
          <w:szCs w:val="24"/>
        </w:rPr>
        <w:t xml:space="preserve">6.1  </w:t>
      </w:r>
      <w:r>
        <w:rPr>
          <w:spacing w:val="-2"/>
          <w:sz w:val="24"/>
          <w:szCs w:val="24"/>
        </w:rPr>
        <w:t>评标委员会</w:t>
      </w:r>
    </w:p>
    <w:p w14:paraId="51B40259">
      <w:pPr>
        <w:spacing w:before="139" w:line="369" w:lineRule="auto"/>
        <w:ind w:left="21" w:right="15" w:firstLine="421"/>
        <w:rPr>
          <w:rFonts w:ascii="宋体" w:hAnsi="宋体" w:eastAsia="宋体" w:cs="宋体"/>
          <w:sz w:val="20"/>
          <w:szCs w:val="20"/>
        </w:rPr>
      </w:pPr>
      <w:r>
        <w:rPr>
          <w:rFonts w:ascii="Times New Roman" w:hAnsi="Times New Roman" w:eastAsia="Times New Roman" w:cs="Times New Roman"/>
          <w:spacing w:val="8"/>
          <w:sz w:val="20"/>
          <w:szCs w:val="20"/>
        </w:rPr>
        <w:t>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评标由招标人依法组建的评标委员会负责。评标委</w:t>
      </w:r>
      <w:r>
        <w:rPr>
          <w:rFonts w:ascii="宋体" w:hAnsi="宋体" w:eastAsia="宋体" w:cs="宋体"/>
          <w:spacing w:val="7"/>
          <w:sz w:val="20"/>
          <w:szCs w:val="20"/>
        </w:rPr>
        <w:t>员会由招标人或其委托的招标代理机构熟悉相关业务的代表，以及有关技术、经济等方面的专家组成。评标委员会成员人</w:t>
      </w:r>
      <w:r>
        <w:rPr>
          <w:rFonts w:ascii="宋体" w:hAnsi="宋体" w:eastAsia="宋体" w:cs="宋体"/>
          <w:spacing w:val="9"/>
          <w:sz w:val="20"/>
          <w:szCs w:val="20"/>
        </w:rPr>
        <w:t>数以及技术、经济等方面专家的确定方式见投标人须知前附表。</w:t>
      </w:r>
    </w:p>
    <w:p w14:paraId="2B214834">
      <w:pPr>
        <w:spacing w:before="1" w:line="226" w:lineRule="auto"/>
        <w:ind w:left="443"/>
        <w:rPr>
          <w:rFonts w:ascii="宋体" w:hAnsi="宋体" w:eastAsia="宋体" w:cs="宋体"/>
          <w:sz w:val="20"/>
          <w:szCs w:val="20"/>
        </w:rPr>
      </w:pPr>
      <w:r>
        <w:rPr>
          <w:rFonts w:ascii="Times New Roman" w:hAnsi="Times New Roman" w:eastAsia="Times New Roman" w:cs="Times New Roman"/>
          <w:spacing w:val="7"/>
          <w:sz w:val="20"/>
          <w:szCs w:val="20"/>
        </w:rPr>
        <w:t>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  </w:t>
      </w:r>
      <w:r>
        <w:rPr>
          <w:rFonts w:ascii="宋体" w:hAnsi="宋体" w:eastAsia="宋体" w:cs="宋体"/>
          <w:spacing w:val="7"/>
          <w:sz w:val="20"/>
          <w:szCs w:val="20"/>
        </w:rPr>
        <w:t>评标委员会成员有下列情形之</w:t>
      </w:r>
      <w:r>
        <w:rPr>
          <w:rFonts w:ascii="宋体" w:hAnsi="宋体" w:eastAsia="宋体" w:cs="宋体"/>
          <w:spacing w:val="6"/>
          <w:sz w:val="20"/>
          <w:szCs w:val="20"/>
        </w:rPr>
        <w:t>一的，应当回避：</w:t>
      </w:r>
    </w:p>
    <w:p w14:paraId="316F6F95">
      <w:pPr>
        <w:spacing w:before="154"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）投标人或投标人的主要负责人的近亲属；</w:t>
      </w:r>
    </w:p>
    <w:p w14:paraId="60E7567C">
      <w:pPr>
        <w:spacing w:before="152"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）项目主管部门或者行政监督部门的人员；</w:t>
      </w:r>
    </w:p>
    <w:p w14:paraId="7D481C57">
      <w:pPr>
        <w:spacing w:before="154" w:line="228" w:lineRule="auto"/>
        <w:ind w:left="45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）与投标人有经济利益关系或其他利害关系，可能影响对投标公正评</w:t>
      </w:r>
      <w:r>
        <w:rPr>
          <w:rFonts w:ascii="宋体" w:hAnsi="宋体" w:eastAsia="宋体" w:cs="宋体"/>
          <w:spacing w:val="8"/>
          <w:sz w:val="20"/>
          <w:szCs w:val="20"/>
        </w:rPr>
        <w:t>审的；</w:t>
      </w:r>
    </w:p>
    <w:p w14:paraId="7CB10FC3">
      <w:pPr>
        <w:spacing w:before="153" w:line="357" w:lineRule="auto"/>
        <w:ind w:left="24" w:right="16" w:firstLine="42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w:t>
      </w:r>
      <w:r>
        <w:rPr>
          <w:rFonts w:ascii="宋体" w:hAnsi="宋体" w:eastAsia="宋体" w:cs="宋体"/>
          <w:spacing w:val="-40"/>
          <w:sz w:val="20"/>
          <w:szCs w:val="20"/>
        </w:rPr>
        <w:t xml:space="preserve"> </w:t>
      </w:r>
      <w:r>
        <w:rPr>
          <w:rFonts w:ascii="宋体" w:hAnsi="宋体" w:eastAsia="宋体" w:cs="宋体"/>
          <w:spacing w:val="8"/>
          <w:sz w:val="20"/>
          <w:szCs w:val="20"/>
        </w:rPr>
        <w:t>曾因在招标、评标以及其他与招标投标有关活动中从事违法行为而受过行政处罚</w:t>
      </w:r>
      <w:r>
        <w:rPr>
          <w:rFonts w:ascii="宋体" w:hAnsi="宋体" w:eastAsia="宋体" w:cs="宋体"/>
          <w:spacing w:val="6"/>
          <w:sz w:val="20"/>
          <w:szCs w:val="20"/>
        </w:rPr>
        <w:t>或刑事处罚的。</w:t>
      </w:r>
    </w:p>
    <w:p w14:paraId="1C8E8397">
      <w:pPr>
        <w:pStyle w:val="2"/>
        <w:spacing w:line="221" w:lineRule="auto"/>
        <w:ind w:left="24"/>
        <w:outlineLvl w:val="3"/>
        <w:rPr>
          <w:sz w:val="24"/>
          <w:szCs w:val="24"/>
        </w:rPr>
      </w:pPr>
      <w:bookmarkStart w:id="49" w:name="bookmark45"/>
      <w:bookmarkEnd w:id="49"/>
      <w:r>
        <w:rPr>
          <w:rFonts w:ascii="Times New Roman" w:hAnsi="Times New Roman" w:eastAsia="Times New Roman" w:cs="Times New Roman"/>
          <w:spacing w:val="-2"/>
          <w:sz w:val="24"/>
          <w:szCs w:val="24"/>
        </w:rPr>
        <w:t xml:space="preserve">6.2  </w:t>
      </w:r>
      <w:r>
        <w:rPr>
          <w:spacing w:val="-2"/>
          <w:sz w:val="24"/>
          <w:szCs w:val="24"/>
        </w:rPr>
        <w:t>评标原则</w:t>
      </w:r>
    </w:p>
    <w:p w14:paraId="3A3B0EB2">
      <w:pPr>
        <w:spacing w:before="140" w:line="227" w:lineRule="auto"/>
        <w:ind w:left="441"/>
        <w:rPr>
          <w:rFonts w:ascii="宋体" w:hAnsi="宋体" w:eastAsia="宋体" w:cs="宋体"/>
          <w:sz w:val="20"/>
          <w:szCs w:val="20"/>
        </w:rPr>
      </w:pPr>
      <w:r>
        <w:rPr>
          <w:rFonts w:ascii="宋体" w:hAnsi="宋体" w:eastAsia="宋体" w:cs="宋体"/>
          <w:spacing w:val="9"/>
          <w:sz w:val="20"/>
          <w:szCs w:val="20"/>
        </w:rPr>
        <w:t>评标活动遵循公平、公正、科学和择优的原则。</w:t>
      </w:r>
    </w:p>
    <w:p w14:paraId="73DF25C1">
      <w:pPr>
        <w:pStyle w:val="2"/>
        <w:spacing w:before="127" w:line="222" w:lineRule="auto"/>
        <w:ind w:left="24"/>
        <w:outlineLvl w:val="3"/>
        <w:rPr>
          <w:sz w:val="24"/>
          <w:szCs w:val="24"/>
        </w:rPr>
      </w:pPr>
      <w:bookmarkStart w:id="50" w:name="bookmark46"/>
      <w:bookmarkEnd w:id="50"/>
      <w:r>
        <w:rPr>
          <w:rFonts w:ascii="Times New Roman" w:hAnsi="Times New Roman" w:eastAsia="Times New Roman" w:cs="Times New Roman"/>
          <w:spacing w:val="-4"/>
          <w:sz w:val="24"/>
          <w:szCs w:val="24"/>
        </w:rPr>
        <w:t>6.3</w:t>
      </w:r>
      <w:r>
        <w:rPr>
          <w:rFonts w:ascii="Times New Roman" w:hAnsi="Times New Roman" w:eastAsia="Times New Roman" w:cs="Times New Roman"/>
          <w:spacing w:val="4"/>
          <w:sz w:val="24"/>
          <w:szCs w:val="24"/>
        </w:rPr>
        <w:t xml:space="preserve">  </w:t>
      </w:r>
      <w:r>
        <w:rPr>
          <w:spacing w:val="-4"/>
          <w:sz w:val="24"/>
          <w:szCs w:val="24"/>
        </w:rPr>
        <w:t>评标</w:t>
      </w:r>
    </w:p>
    <w:p w14:paraId="0D4F4665">
      <w:pPr>
        <w:spacing w:before="137" w:line="358" w:lineRule="auto"/>
        <w:ind w:left="25" w:right="15" w:firstLine="415"/>
        <w:rPr>
          <w:rFonts w:ascii="宋体" w:hAnsi="宋体" w:eastAsia="宋体" w:cs="宋体"/>
          <w:sz w:val="20"/>
          <w:szCs w:val="20"/>
        </w:rPr>
      </w:pPr>
      <w:r>
        <w:rPr>
          <w:rFonts w:ascii="宋体" w:hAnsi="宋体" w:eastAsia="宋体" w:cs="宋体"/>
          <w:spacing w:val="6"/>
          <w:sz w:val="20"/>
          <w:szCs w:val="20"/>
        </w:rPr>
        <w:t>评标委员会按照第三章“评标办法</w:t>
      </w:r>
      <w:r>
        <w:rPr>
          <w:rFonts w:ascii="宋体" w:hAnsi="宋体" w:eastAsia="宋体" w:cs="宋体"/>
          <w:spacing w:val="-53"/>
          <w:sz w:val="20"/>
          <w:szCs w:val="20"/>
        </w:rPr>
        <w:t xml:space="preserve"> </w:t>
      </w:r>
      <w:r>
        <w:rPr>
          <w:rFonts w:ascii="宋体" w:hAnsi="宋体" w:eastAsia="宋体" w:cs="宋体"/>
          <w:spacing w:val="6"/>
          <w:sz w:val="20"/>
          <w:szCs w:val="20"/>
        </w:rPr>
        <w:t>”规定的方法、评审因素、标准和程序对投标文件进</w:t>
      </w:r>
      <w:r>
        <w:rPr>
          <w:rFonts w:ascii="宋体" w:hAnsi="宋体" w:eastAsia="宋体" w:cs="宋体"/>
          <w:spacing w:val="9"/>
          <w:sz w:val="20"/>
          <w:szCs w:val="20"/>
        </w:rPr>
        <w:t>行评审。第三章“评标办法</w:t>
      </w:r>
      <w:r>
        <w:rPr>
          <w:rFonts w:ascii="宋体" w:hAnsi="宋体" w:eastAsia="宋体" w:cs="宋体"/>
          <w:spacing w:val="-70"/>
          <w:sz w:val="20"/>
          <w:szCs w:val="20"/>
        </w:rPr>
        <w:t xml:space="preserve"> </w:t>
      </w:r>
      <w:r>
        <w:rPr>
          <w:rFonts w:ascii="宋体" w:hAnsi="宋体" w:eastAsia="宋体" w:cs="宋体"/>
          <w:spacing w:val="9"/>
          <w:sz w:val="20"/>
          <w:szCs w:val="20"/>
        </w:rPr>
        <w:t>”没有规定的方</w:t>
      </w:r>
      <w:r>
        <w:rPr>
          <w:rFonts w:ascii="宋体" w:hAnsi="宋体" w:eastAsia="宋体" w:cs="宋体"/>
          <w:spacing w:val="8"/>
          <w:sz w:val="20"/>
          <w:szCs w:val="20"/>
        </w:rPr>
        <w:t>法、评审因素和标准，不作为评标依据。</w:t>
      </w:r>
    </w:p>
    <w:p w14:paraId="07850956">
      <w:pPr>
        <w:pStyle w:val="2"/>
        <w:spacing w:line="221" w:lineRule="auto"/>
        <w:ind w:left="24"/>
        <w:outlineLvl w:val="3"/>
        <w:rPr>
          <w:sz w:val="24"/>
          <w:szCs w:val="24"/>
        </w:rPr>
      </w:pPr>
      <w:bookmarkStart w:id="51" w:name="bookmark47"/>
      <w:bookmarkEnd w:id="51"/>
      <w:r>
        <w:rPr>
          <w:rFonts w:ascii="Times New Roman" w:hAnsi="Times New Roman" w:eastAsia="Times New Roman" w:cs="Times New Roman"/>
          <w:spacing w:val="-1"/>
          <w:sz w:val="24"/>
          <w:szCs w:val="24"/>
        </w:rPr>
        <w:t xml:space="preserve">6.4  </w:t>
      </w:r>
      <w:r>
        <w:rPr>
          <w:spacing w:val="-1"/>
          <w:sz w:val="24"/>
          <w:szCs w:val="24"/>
        </w:rPr>
        <w:t>评标结果公示</w:t>
      </w:r>
    </w:p>
    <w:p w14:paraId="43668C02">
      <w:pPr>
        <w:spacing w:before="137" w:line="369" w:lineRule="auto"/>
        <w:ind w:left="23" w:right="16" w:firstLine="419"/>
        <w:rPr>
          <w:rFonts w:ascii="宋体" w:hAnsi="宋体" w:eastAsia="宋体" w:cs="宋体"/>
          <w:sz w:val="20"/>
          <w:szCs w:val="20"/>
        </w:rPr>
      </w:pPr>
      <w:r>
        <w:rPr>
          <w:rFonts w:ascii="宋体" w:hAnsi="宋体" w:eastAsia="宋体" w:cs="宋体"/>
          <w:spacing w:val="6"/>
          <w:sz w:val="20"/>
          <w:szCs w:val="20"/>
        </w:rPr>
        <w:t>招标人将自收到评标报告之日起</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46"/>
          <w:sz w:val="20"/>
          <w:szCs w:val="20"/>
        </w:rPr>
        <w:t xml:space="preserve"> </w:t>
      </w:r>
      <w:r>
        <w:rPr>
          <w:rFonts w:ascii="宋体" w:hAnsi="宋体" w:eastAsia="宋体" w:cs="宋体"/>
          <w:spacing w:val="6"/>
          <w:sz w:val="20"/>
          <w:szCs w:val="20"/>
        </w:rPr>
        <w:t>日内，在投标人须知</w:t>
      </w:r>
      <w:r>
        <w:rPr>
          <w:rFonts w:ascii="宋体" w:hAnsi="宋体" w:eastAsia="宋体" w:cs="宋体"/>
          <w:spacing w:val="5"/>
          <w:sz w:val="20"/>
          <w:szCs w:val="20"/>
        </w:rPr>
        <w:t>前附表规定的媒介公示中标候选</w:t>
      </w:r>
      <w:r>
        <w:rPr>
          <w:rFonts w:ascii="宋体" w:hAnsi="宋体" w:eastAsia="宋体" w:cs="宋体"/>
          <w:spacing w:val="2"/>
          <w:sz w:val="20"/>
          <w:szCs w:val="20"/>
        </w:rPr>
        <w:t>人。公示期不少于</w:t>
      </w:r>
      <w:r>
        <w:rPr>
          <w:rFonts w:ascii="宋体" w:hAnsi="宋体" w:eastAsia="宋体" w:cs="宋体"/>
          <w:spacing w:val="-31"/>
          <w:sz w:val="20"/>
          <w:szCs w:val="20"/>
        </w:rPr>
        <w:t xml:space="preserve"> </w:t>
      </w:r>
      <w:r>
        <w:rPr>
          <w:rFonts w:ascii="Times New Roman" w:hAnsi="Times New Roman" w:eastAsia="Times New Roman" w:cs="Times New Roman"/>
          <w:spacing w:val="2"/>
          <w:sz w:val="20"/>
          <w:szCs w:val="20"/>
        </w:rPr>
        <w:t>3</w:t>
      </w:r>
      <w:r>
        <w:rPr>
          <w:rFonts w:ascii="Times New Roman" w:hAnsi="Times New Roman" w:eastAsia="Times New Roman" w:cs="Times New Roman"/>
          <w:spacing w:val="45"/>
          <w:w w:val="101"/>
          <w:sz w:val="20"/>
          <w:szCs w:val="20"/>
        </w:rPr>
        <w:t xml:space="preserve"> </w:t>
      </w:r>
      <w:r>
        <w:rPr>
          <w:rFonts w:ascii="宋体" w:hAnsi="宋体" w:eastAsia="宋体" w:cs="宋体"/>
          <w:spacing w:val="2"/>
          <w:sz w:val="20"/>
          <w:szCs w:val="20"/>
        </w:rPr>
        <w:t>日。</w:t>
      </w:r>
    </w:p>
    <w:p w14:paraId="4B8A21AF">
      <w:pPr>
        <w:spacing w:before="2" w:line="370" w:lineRule="auto"/>
        <w:ind w:left="23" w:right="15" w:firstLine="421"/>
        <w:jc w:val="both"/>
        <w:rPr>
          <w:rFonts w:ascii="宋体" w:hAnsi="宋体" w:eastAsia="宋体" w:cs="宋体"/>
          <w:sz w:val="20"/>
          <w:szCs w:val="20"/>
        </w:rPr>
      </w:pPr>
      <w:r>
        <w:rPr>
          <w:rFonts w:ascii="宋体" w:hAnsi="宋体" w:eastAsia="宋体" w:cs="宋体"/>
          <w:spacing w:val="7"/>
          <w:sz w:val="20"/>
          <w:szCs w:val="20"/>
        </w:rPr>
        <w:t>投标人或者其他利害关系人对评标结果有异议的，应当在评标结果公示期间提出。招标</w:t>
      </w:r>
      <w:r>
        <w:rPr>
          <w:rFonts w:ascii="宋体" w:hAnsi="宋体" w:eastAsia="宋体" w:cs="宋体"/>
          <w:spacing w:val="6"/>
          <w:sz w:val="20"/>
          <w:szCs w:val="20"/>
        </w:rPr>
        <w:t>人自收到异议之日起</w:t>
      </w:r>
      <w:r>
        <w:rPr>
          <w:rFonts w:ascii="宋体" w:hAnsi="宋体" w:eastAsia="宋体" w:cs="宋体"/>
          <w:spacing w:val="-38"/>
          <w:sz w:val="20"/>
          <w:szCs w:val="20"/>
        </w:rPr>
        <w:t xml:space="preserve"> </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48"/>
          <w:sz w:val="20"/>
          <w:szCs w:val="20"/>
        </w:rPr>
        <w:t xml:space="preserve"> </w:t>
      </w:r>
      <w:r>
        <w:rPr>
          <w:rFonts w:ascii="宋体" w:hAnsi="宋体" w:eastAsia="宋体" w:cs="宋体"/>
          <w:spacing w:val="6"/>
          <w:sz w:val="20"/>
          <w:szCs w:val="20"/>
        </w:rPr>
        <w:t>日内作出答复；作出答复前，暂停招标投标活动。异议</w:t>
      </w:r>
      <w:r>
        <w:rPr>
          <w:rFonts w:ascii="宋体" w:hAnsi="宋体" w:eastAsia="宋体" w:cs="宋体"/>
          <w:spacing w:val="5"/>
          <w:sz w:val="20"/>
          <w:szCs w:val="20"/>
        </w:rPr>
        <w:t>与答复应当通过“</w:t>
      </w:r>
      <w:r>
        <w:rPr>
          <w:rFonts w:ascii="宋体" w:hAnsi="宋体" w:eastAsia="宋体" w:cs="宋体"/>
          <w:spacing w:val="-48"/>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”在“异议与答复</w:t>
      </w:r>
      <w:r>
        <w:rPr>
          <w:rFonts w:ascii="宋体" w:hAnsi="宋体" w:eastAsia="宋体" w:cs="宋体"/>
          <w:spacing w:val="-70"/>
          <w:sz w:val="20"/>
          <w:szCs w:val="20"/>
        </w:rPr>
        <w:t xml:space="preserve"> </w:t>
      </w:r>
      <w:r>
        <w:rPr>
          <w:rFonts w:ascii="宋体" w:hAnsi="宋体" w:eastAsia="宋体" w:cs="宋体"/>
          <w:spacing w:val="5"/>
          <w:sz w:val="20"/>
          <w:szCs w:val="20"/>
        </w:rPr>
        <w:t>”菜单以书面形式进行。</w:t>
      </w:r>
    </w:p>
    <w:p w14:paraId="3E2F81A4">
      <w:pPr>
        <w:spacing w:line="370" w:lineRule="auto"/>
        <w:rPr>
          <w:rFonts w:ascii="宋体" w:hAnsi="宋体" w:eastAsia="宋体" w:cs="宋体"/>
          <w:sz w:val="20"/>
          <w:szCs w:val="20"/>
        </w:rPr>
        <w:sectPr>
          <w:footerReference r:id="rId41" w:type="default"/>
          <w:pgSz w:w="11906" w:h="16839"/>
          <w:pgMar w:top="1431" w:right="1785" w:bottom="1156" w:left="1785" w:header="0" w:footer="994" w:gutter="0"/>
          <w:cols w:space="720" w:num="1"/>
        </w:sectPr>
      </w:pPr>
    </w:p>
    <w:p w14:paraId="733C9BC5">
      <w:pPr>
        <w:pStyle w:val="2"/>
        <w:spacing w:before="122" w:line="222" w:lineRule="auto"/>
        <w:ind w:left="24"/>
        <w:outlineLvl w:val="3"/>
        <w:rPr>
          <w:sz w:val="24"/>
          <w:szCs w:val="24"/>
        </w:rPr>
      </w:pPr>
      <w:bookmarkStart w:id="52" w:name="bookmark48"/>
      <w:bookmarkEnd w:id="52"/>
      <w:r>
        <w:rPr>
          <w:rFonts w:ascii="Times New Roman" w:hAnsi="Times New Roman" w:eastAsia="Times New Roman" w:cs="Times New Roman"/>
          <w:spacing w:val="-1"/>
          <w:sz w:val="24"/>
          <w:szCs w:val="24"/>
        </w:rPr>
        <w:t xml:space="preserve">6.5  </w:t>
      </w:r>
      <w:r>
        <w:rPr>
          <w:spacing w:val="-1"/>
          <w:sz w:val="24"/>
          <w:szCs w:val="24"/>
        </w:rPr>
        <w:t>履约能力的审查（如有）</w:t>
      </w:r>
    </w:p>
    <w:p w14:paraId="62C6C839">
      <w:pPr>
        <w:spacing w:before="138" w:line="370" w:lineRule="auto"/>
        <w:ind w:left="23" w:right="70" w:firstLine="421"/>
        <w:jc w:val="both"/>
        <w:rPr>
          <w:rFonts w:ascii="宋体" w:hAnsi="宋体" w:eastAsia="宋体" w:cs="宋体"/>
          <w:sz w:val="20"/>
          <w:szCs w:val="20"/>
        </w:rPr>
      </w:pPr>
      <w:r>
        <w:rPr>
          <w:rFonts w:ascii="宋体" w:hAnsi="宋体" w:eastAsia="宋体" w:cs="宋体"/>
          <w:spacing w:val="7"/>
          <w:sz w:val="20"/>
          <w:szCs w:val="20"/>
        </w:rPr>
        <w:t>如果中标候选人的经营、财务状况发生较大变化或者存在违法行为，招标人认为可能影响其履约能力的，将在发出中标通知书前报请行政监督部门后，召集原评标委员会按照招标</w:t>
      </w:r>
      <w:r>
        <w:rPr>
          <w:rFonts w:ascii="宋体" w:hAnsi="宋体" w:eastAsia="宋体" w:cs="宋体"/>
          <w:spacing w:val="8"/>
          <w:sz w:val="20"/>
          <w:szCs w:val="20"/>
        </w:rPr>
        <w:t>文件规定的标准和方法审查确认。</w:t>
      </w:r>
    </w:p>
    <w:p w14:paraId="6EF46F00">
      <w:pPr>
        <w:pStyle w:val="2"/>
        <w:spacing w:before="37" w:line="223" w:lineRule="auto"/>
        <w:ind w:left="24"/>
        <w:outlineLvl w:val="2"/>
        <w:rPr>
          <w:sz w:val="28"/>
          <w:szCs w:val="28"/>
        </w:rPr>
      </w:pPr>
      <w:bookmarkStart w:id="53" w:name="bookmark49"/>
      <w:bookmarkEnd w:id="53"/>
      <w:bookmarkStart w:id="54" w:name="bookmark50"/>
      <w:bookmarkEnd w:id="54"/>
      <w:r>
        <w:rPr>
          <w:rFonts w:ascii="Times New Roman" w:hAnsi="Times New Roman" w:eastAsia="Times New Roman" w:cs="Times New Roman"/>
          <w:spacing w:val="-2"/>
          <w:sz w:val="28"/>
          <w:szCs w:val="28"/>
        </w:rPr>
        <w:t xml:space="preserve">7.  </w:t>
      </w:r>
      <w:r>
        <w:rPr>
          <w:spacing w:val="-2"/>
          <w:sz w:val="28"/>
          <w:szCs w:val="28"/>
        </w:rPr>
        <w:t>合同授予</w:t>
      </w:r>
    </w:p>
    <w:p w14:paraId="0502543F">
      <w:pPr>
        <w:pStyle w:val="2"/>
        <w:spacing w:before="95" w:line="221" w:lineRule="auto"/>
        <w:ind w:left="22"/>
        <w:outlineLvl w:val="3"/>
        <w:rPr>
          <w:sz w:val="24"/>
          <w:szCs w:val="24"/>
        </w:rPr>
      </w:pPr>
      <w:bookmarkStart w:id="55" w:name="bookmark450"/>
      <w:bookmarkEnd w:id="55"/>
      <w:r>
        <w:rPr>
          <w:rFonts w:ascii="Times New Roman" w:hAnsi="Times New Roman" w:eastAsia="Times New Roman" w:cs="Times New Roman"/>
          <w:spacing w:val="-1"/>
          <w:sz w:val="24"/>
          <w:szCs w:val="24"/>
        </w:rPr>
        <w:t xml:space="preserve">7.1  </w:t>
      </w:r>
      <w:r>
        <w:rPr>
          <w:spacing w:val="-1"/>
          <w:sz w:val="24"/>
          <w:szCs w:val="24"/>
        </w:rPr>
        <w:t>定标方式</w:t>
      </w:r>
    </w:p>
    <w:p w14:paraId="77414243">
      <w:pPr>
        <w:spacing w:before="139" w:line="357" w:lineRule="auto"/>
        <w:ind w:left="41" w:right="70" w:firstLine="412"/>
        <w:rPr>
          <w:rFonts w:ascii="宋体" w:hAnsi="宋体" w:eastAsia="宋体" w:cs="宋体"/>
          <w:sz w:val="20"/>
          <w:szCs w:val="20"/>
        </w:rPr>
      </w:pPr>
      <w:r>
        <w:rPr>
          <w:rFonts w:ascii="宋体" w:hAnsi="宋体" w:eastAsia="宋体" w:cs="宋体"/>
          <w:spacing w:val="7"/>
          <w:sz w:val="20"/>
          <w:szCs w:val="20"/>
        </w:rPr>
        <w:t>除投标人须知前附表规定评标委员会直接确定中标人外，招标人依据评标委员</w:t>
      </w:r>
      <w:r>
        <w:rPr>
          <w:rFonts w:ascii="宋体" w:hAnsi="宋体" w:eastAsia="宋体" w:cs="宋体"/>
          <w:spacing w:val="6"/>
          <w:sz w:val="20"/>
          <w:szCs w:val="20"/>
        </w:rPr>
        <w:t>会推荐的</w:t>
      </w:r>
      <w:r>
        <w:rPr>
          <w:rFonts w:ascii="宋体" w:hAnsi="宋体" w:eastAsia="宋体" w:cs="宋体"/>
          <w:spacing w:val="9"/>
          <w:sz w:val="20"/>
          <w:szCs w:val="20"/>
        </w:rPr>
        <w:t>中标候选人确定中标人，评标委员会推荐中标候选人的人数见投标人须</w:t>
      </w:r>
      <w:r>
        <w:rPr>
          <w:rFonts w:ascii="宋体" w:hAnsi="宋体" w:eastAsia="宋体" w:cs="宋体"/>
          <w:spacing w:val="8"/>
          <w:sz w:val="20"/>
          <w:szCs w:val="20"/>
        </w:rPr>
        <w:t>知前附表。</w:t>
      </w:r>
    </w:p>
    <w:p w14:paraId="36FA5FD1">
      <w:pPr>
        <w:pStyle w:val="2"/>
        <w:spacing w:line="222" w:lineRule="auto"/>
        <w:ind w:left="22"/>
        <w:outlineLvl w:val="3"/>
        <w:rPr>
          <w:sz w:val="24"/>
          <w:szCs w:val="24"/>
        </w:rPr>
      </w:pPr>
      <w:bookmarkStart w:id="56" w:name="bookmark51"/>
      <w:bookmarkEnd w:id="56"/>
      <w:r>
        <w:rPr>
          <w:rFonts w:ascii="Times New Roman" w:hAnsi="Times New Roman" w:eastAsia="Times New Roman" w:cs="Times New Roman"/>
          <w:spacing w:val="-6"/>
          <w:sz w:val="24"/>
          <w:szCs w:val="24"/>
        </w:rPr>
        <w:t>7.2</w:t>
      </w:r>
      <w:r>
        <w:rPr>
          <w:rFonts w:ascii="Times New Roman" w:hAnsi="Times New Roman" w:eastAsia="Times New Roman" w:cs="Times New Roman"/>
          <w:spacing w:val="16"/>
          <w:sz w:val="24"/>
          <w:szCs w:val="24"/>
        </w:rPr>
        <w:t xml:space="preserve">  </w:t>
      </w:r>
      <w:r>
        <w:rPr>
          <w:spacing w:val="-6"/>
          <w:sz w:val="24"/>
          <w:szCs w:val="24"/>
        </w:rPr>
        <w:t>中标通知</w:t>
      </w:r>
    </w:p>
    <w:p w14:paraId="1D9AE823">
      <w:pPr>
        <w:spacing w:before="138" w:line="369" w:lineRule="auto"/>
        <w:ind w:left="38" w:right="70" w:firstLine="402"/>
        <w:rPr>
          <w:rFonts w:ascii="宋体" w:hAnsi="宋体" w:eastAsia="宋体" w:cs="宋体"/>
          <w:sz w:val="20"/>
          <w:szCs w:val="20"/>
        </w:rPr>
      </w:pPr>
      <w:r>
        <w:rPr>
          <w:rFonts w:ascii="宋体" w:hAnsi="宋体" w:eastAsia="宋体" w:cs="宋体"/>
          <w:spacing w:val="7"/>
          <w:sz w:val="20"/>
          <w:szCs w:val="20"/>
        </w:rPr>
        <w:t>评标结果公示期满后，在本章第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3.3 </w:t>
      </w:r>
      <w:r>
        <w:rPr>
          <w:rFonts w:ascii="宋体" w:hAnsi="宋体" w:eastAsia="宋体" w:cs="宋体"/>
          <w:spacing w:val="7"/>
          <w:sz w:val="20"/>
          <w:szCs w:val="20"/>
        </w:rPr>
        <w:t>款规定的投标有效期内，招标人通过“</w:t>
      </w:r>
      <w:r>
        <w:rPr>
          <w:rFonts w:ascii="宋体" w:hAnsi="宋体" w:eastAsia="宋体" w:cs="宋体"/>
          <w:spacing w:val="-68"/>
          <w:sz w:val="20"/>
          <w:szCs w:val="20"/>
        </w:rPr>
        <w:t xml:space="preserve"> </w:t>
      </w:r>
      <w:r>
        <w:rPr>
          <w:rFonts w:ascii="宋体" w:hAnsi="宋体" w:eastAsia="宋体" w:cs="宋体"/>
          <w:spacing w:val="7"/>
          <w:sz w:val="20"/>
          <w:szCs w:val="20"/>
        </w:rPr>
        <w:t>电子交易平</w:t>
      </w:r>
      <w:r>
        <w:rPr>
          <w:rFonts w:ascii="宋体" w:hAnsi="宋体" w:eastAsia="宋体" w:cs="宋体"/>
          <w:spacing w:val="8"/>
          <w:sz w:val="20"/>
          <w:szCs w:val="20"/>
        </w:rPr>
        <w:t>台</w:t>
      </w:r>
      <w:r>
        <w:rPr>
          <w:rFonts w:ascii="宋体" w:hAnsi="宋体" w:eastAsia="宋体" w:cs="宋体"/>
          <w:spacing w:val="-65"/>
          <w:sz w:val="20"/>
          <w:szCs w:val="20"/>
        </w:rPr>
        <w:t xml:space="preserve"> </w:t>
      </w:r>
      <w:r>
        <w:rPr>
          <w:rFonts w:ascii="宋体" w:hAnsi="宋体" w:eastAsia="宋体" w:cs="宋体"/>
          <w:spacing w:val="8"/>
          <w:sz w:val="20"/>
          <w:szCs w:val="20"/>
        </w:rPr>
        <w:t>”以书面形式向中标人发出中标通知书，同时将中标结果通知未中标的投标人。</w:t>
      </w:r>
    </w:p>
    <w:p w14:paraId="04AD7CBC">
      <w:pPr>
        <w:spacing w:before="1" w:line="357" w:lineRule="auto"/>
        <w:ind w:left="26" w:right="70" w:firstLine="435"/>
        <w:rPr>
          <w:rFonts w:ascii="宋体" w:hAnsi="宋体" w:eastAsia="宋体" w:cs="宋体"/>
          <w:sz w:val="20"/>
          <w:szCs w:val="20"/>
        </w:rPr>
      </w:pPr>
      <w:r>
        <w:rPr>
          <w:rFonts w:ascii="宋体" w:hAnsi="宋体" w:eastAsia="宋体" w:cs="宋体"/>
          <w:spacing w:val="7"/>
          <w:sz w:val="20"/>
          <w:szCs w:val="20"/>
        </w:rPr>
        <w:t>中标通知书发出的同时，招标人将在投标人须知前附表第</w:t>
      </w:r>
      <w:r>
        <w:rPr>
          <w:rFonts w:ascii="宋体" w:hAnsi="宋体" w:eastAsia="宋体" w:cs="宋体"/>
          <w:spacing w:val="-25"/>
          <w:sz w:val="20"/>
          <w:szCs w:val="20"/>
        </w:rPr>
        <w:t xml:space="preserve"> </w:t>
      </w:r>
      <w:r>
        <w:rPr>
          <w:rFonts w:ascii="Times New Roman" w:hAnsi="Times New Roman" w:eastAsia="Times New Roman" w:cs="Times New Roman"/>
          <w:spacing w:val="7"/>
          <w:sz w:val="20"/>
          <w:szCs w:val="20"/>
        </w:rPr>
        <w:t xml:space="preserve">6.4 </w:t>
      </w:r>
      <w:r>
        <w:rPr>
          <w:rFonts w:ascii="宋体" w:hAnsi="宋体" w:eastAsia="宋体" w:cs="宋体"/>
          <w:spacing w:val="7"/>
          <w:sz w:val="20"/>
          <w:szCs w:val="20"/>
        </w:rPr>
        <w:t>款规定的媒介发布中标结</w:t>
      </w:r>
      <w:r>
        <w:rPr>
          <w:rFonts w:ascii="宋体" w:hAnsi="宋体" w:eastAsia="宋体" w:cs="宋体"/>
          <w:spacing w:val="4"/>
          <w:sz w:val="20"/>
          <w:szCs w:val="20"/>
        </w:rPr>
        <w:t>果公示。</w:t>
      </w:r>
    </w:p>
    <w:p w14:paraId="27C8F061">
      <w:pPr>
        <w:pStyle w:val="2"/>
        <w:spacing w:before="1" w:line="221" w:lineRule="auto"/>
        <w:ind w:left="22"/>
        <w:outlineLvl w:val="3"/>
        <w:rPr>
          <w:sz w:val="24"/>
          <w:szCs w:val="24"/>
        </w:rPr>
      </w:pPr>
      <w:bookmarkStart w:id="57" w:name="bookmark52"/>
      <w:bookmarkEnd w:id="57"/>
      <w:r>
        <w:rPr>
          <w:rFonts w:ascii="Times New Roman" w:hAnsi="Times New Roman" w:eastAsia="Times New Roman" w:cs="Times New Roman"/>
          <w:spacing w:val="-1"/>
          <w:sz w:val="24"/>
          <w:szCs w:val="24"/>
        </w:rPr>
        <w:t xml:space="preserve">7.3  </w:t>
      </w:r>
      <w:r>
        <w:rPr>
          <w:spacing w:val="-1"/>
          <w:sz w:val="24"/>
          <w:szCs w:val="24"/>
        </w:rPr>
        <w:t>履约保证金</w:t>
      </w:r>
    </w:p>
    <w:p w14:paraId="4629F13E">
      <w:pPr>
        <w:spacing w:before="139" w:line="369" w:lineRule="auto"/>
        <w:ind w:left="22" w:right="70" w:firstLine="419"/>
        <w:jc w:val="both"/>
        <w:rPr>
          <w:rFonts w:ascii="宋体" w:hAnsi="宋体" w:eastAsia="宋体" w:cs="宋体"/>
          <w:sz w:val="20"/>
          <w:szCs w:val="20"/>
        </w:rPr>
      </w:pPr>
      <w:r>
        <w:rPr>
          <w:rFonts w:ascii="Times New Roman" w:hAnsi="Times New Roman" w:eastAsia="Times New Roman" w:cs="Times New Roman"/>
          <w:spacing w:val="10"/>
          <w:sz w:val="20"/>
          <w:szCs w:val="20"/>
        </w:rPr>
        <w:t>7.3.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在签订合同前，中标人应按投标人须知前附表规定</w:t>
      </w:r>
      <w:r>
        <w:rPr>
          <w:rFonts w:ascii="宋体" w:hAnsi="宋体" w:eastAsia="宋体" w:cs="宋体"/>
          <w:spacing w:val="9"/>
          <w:sz w:val="20"/>
          <w:szCs w:val="20"/>
        </w:rPr>
        <w:t>的金额、担保形式和招标文件</w:t>
      </w:r>
      <w:r>
        <w:rPr>
          <w:rFonts w:ascii="宋体" w:hAnsi="宋体" w:eastAsia="宋体" w:cs="宋体"/>
          <w:spacing w:val="7"/>
          <w:sz w:val="20"/>
          <w:szCs w:val="20"/>
        </w:rPr>
        <w:t>第四章“合同条款及格式</w:t>
      </w:r>
      <w:r>
        <w:rPr>
          <w:rFonts w:ascii="宋体" w:hAnsi="宋体" w:eastAsia="宋体" w:cs="宋体"/>
          <w:spacing w:val="-70"/>
          <w:sz w:val="20"/>
          <w:szCs w:val="20"/>
        </w:rPr>
        <w:t xml:space="preserve"> </w:t>
      </w:r>
      <w:r>
        <w:rPr>
          <w:rFonts w:ascii="宋体" w:hAnsi="宋体" w:eastAsia="宋体" w:cs="宋体"/>
          <w:spacing w:val="7"/>
          <w:sz w:val="20"/>
          <w:szCs w:val="20"/>
        </w:rPr>
        <w:t>”规定的履约保证金格式或者</w:t>
      </w:r>
      <w:r>
        <w:rPr>
          <w:rFonts w:ascii="宋体" w:hAnsi="宋体" w:eastAsia="宋体" w:cs="宋体"/>
          <w:spacing w:val="6"/>
          <w:sz w:val="20"/>
          <w:szCs w:val="20"/>
        </w:rPr>
        <w:t>事先经过招标人书面认可的履约保证</w:t>
      </w:r>
      <w:r>
        <w:rPr>
          <w:rFonts w:ascii="宋体" w:hAnsi="宋体" w:eastAsia="宋体" w:cs="宋体"/>
          <w:spacing w:val="7"/>
          <w:sz w:val="20"/>
          <w:szCs w:val="20"/>
        </w:rPr>
        <w:t>金格式向招标人提交履约担保。联合体中标的，其履约保证金由牵头人递交，并应符合投标</w:t>
      </w:r>
      <w:r>
        <w:rPr>
          <w:rFonts w:ascii="宋体" w:hAnsi="宋体" w:eastAsia="宋体" w:cs="宋体"/>
          <w:spacing w:val="8"/>
          <w:sz w:val="20"/>
          <w:szCs w:val="20"/>
        </w:rPr>
        <w:t>人须知前附表的规定。</w:t>
      </w:r>
    </w:p>
    <w:p w14:paraId="1EEE010D">
      <w:pPr>
        <w:spacing w:line="361" w:lineRule="auto"/>
        <w:ind w:left="21" w:right="70" w:firstLine="420"/>
        <w:jc w:val="both"/>
        <w:rPr>
          <w:rFonts w:ascii="宋体" w:hAnsi="宋体" w:eastAsia="宋体" w:cs="宋体"/>
          <w:sz w:val="20"/>
          <w:szCs w:val="20"/>
        </w:rPr>
      </w:pPr>
      <w:r>
        <w:rPr>
          <w:rFonts w:ascii="Times New Roman" w:hAnsi="Times New Roman" w:eastAsia="Times New Roman" w:cs="Times New Roman"/>
          <w:spacing w:val="5"/>
          <w:sz w:val="20"/>
          <w:szCs w:val="20"/>
        </w:rPr>
        <w:t>7.3.2</w:t>
      </w:r>
      <w:r>
        <w:rPr>
          <w:rFonts w:ascii="Times New Roman" w:hAnsi="Times New Roman" w:eastAsia="Times New Roman" w:cs="Times New Roman"/>
          <w:spacing w:val="16"/>
          <w:w w:val="101"/>
          <w:sz w:val="20"/>
          <w:szCs w:val="20"/>
        </w:rPr>
        <w:t xml:space="preserve">  </w:t>
      </w:r>
      <w:r>
        <w:rPr>
          <w:rFonts w:ascii="宋体" w:hAnsi="宋体" w:eastAsia="宋体" w:cs="宋体"/>
          <w:spacing w:val="5"/>
          <w:sz w:val="20"/>
          <w:szCs w:val="20"/>
        </w:rPr>
        <w:t>中标人不能按本章第</w:t>
      </w:r>
      <w:r>
        <w:rPr>
          <w:rFonts w:ascii="宋体" w:hAnsi="宋体" w:eastAsia="宋体" w:cs="宋体"/>
          <w:spacing w:val="-40"/>
          <w:sz w:val="20"/>
          <w:szCs w:val="20"/>
        </w:rPr>
        <w:t xml:space="preserve"> </w:t>
      </w:r>
      <w:r>
        <w:rPr>
          <w:rFonts w:ascii="Times New Roman" w:hAnsi="Times New Roman" w:eastAsia="Times New Roman" w:cs="Times New Roman"/>
          <w:spacing w:val="5"/>
          <w:sz w:val="20"/>
          <w:szCs w:val="20"/>
        </w:rPr>
        <w:t>7.3.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项要求提交履约保证金的</w:t>
      </w:r>
      <w:r>
        <w:rPr>
          <w:rFonts w:ascii="宋体" w:hAnsi="宋体" w:eastAsia="宋体" w:cs="宋体"/>
          <w:spacing w:val="4"/>
          <w:sz w:val="20"/>
          <w:szCs w:val="20"/>
        </w:rPr>
        <w:t>，视为放弃中标，其投标保证</w:t>
      </w:r>
      <w:r>
        <w:rPr>
          <w:rFonts w:ascii="宋体" w:hAnsi="宋体" w:eastAsia="宋体" w:cs="宋体"/>
          <w:spacing w:val="7"/>
          <w:sz w:val="20"/>
          <w:szCs w:val="20"/>
        </w:rPr>
        <w:t>金不予退还，给招标人造成的损失超过投标保证金数额的，中标人还应当对超过部分予以赔</w:t>
      </w:r>
      <w:r>
        <w:rPr>
          <w:rFonts w:ascii="宋体" w:hAnsi="宋体" w:eastAsia="宋体" w:cs="宋体"/>
          <w:sz w:val="20"/>
          <w:szCs w:val="20"/>
        </w:rPr>
        <w:t>偿。</w:t>
      </w:r>
    </w:p>
    <w:p w14:paraId="19862787">
      <w:pPr>
        <w:pStyle w:val="2"/>
        <w:spacing w:line="223" w:lineRule="auto"/>
        <w:ind w:left="22"/>
        <w:outlineLvl w:val="3"/>
        <w:rPr>
          <w:sz w:val="24"/>
          <w:szCs w:val="24"/>
        </w:rPr>
      </w:pPr>
      <w:bookmarkStart w:id="58" w:name="bookmark53"/>
      <w:bookmarkEnd w:id="58"/>
      <w:r>
        <w:rPr>
          <w:rFonts w:ascii="Times New Roman" w:hAnsi="Times New Roman" w:eastAsia="Times New Roman" w:cs="Times New Roman"/>
          <w:spacing w:val="-1"/>
          <w:sz w:val="24"/>
          <w:szCs w:val="24"/>
        </w:rPr>
        <w:t xml:space="preserve">7.4  </w:t>
      </w:r>
      <w:r>
        <w:rPr>
          <w:spacing w:val="-1"/>
          <w:sz w:val="24"/>
          <w:szCs w:val="24"/>
        </w:rPr>
        <w:t>签订合同</w:t>
      </w:r>
    </w:p>
    <w:p w14:paraId="7FCACBE0">
      <w:pPr>
        <w:spacing w:before="132" w:line="370" w:lineRule="auto"/>
        <w:ind w:left="23" w:right="70" w:firstLine="418"/>
        <w:rPr>
          <w:rFonts w:ascii="宋体" w:hAnsi="宋体" w:eastAsia="宋体" w:cs="宋体"/>
          <w:sz w:val="20"/>
          <w:szCs w:val="20"/>
        </w:rPr>
      </w:pPr>
      <w:r>
        <w:rPr>
          <w:rFonts w:ascii="Times New Roman" w:hAnsi="Times New Roman" w:eastAsia="Times New Roman" w:cs="Times New Roman"/>
          <w:spacing w:val="5"/>
          <w:sz w:val="20"/>
          <w:szCs w:val="20"/>
        </w:rPr>
        <w:t>7.4.</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招标人和中标人应当在投标有效期内并自中标通知书发出之日起</w:t>
      </w:r>
      <w:r>
        <w:rPr>
          <w:rFonts w:ascii="宋体" w:hAnsi="宋体" w:eastAsia="宋体" w:cs="宋体"/>
          <w:spacing w:val="-36"/>
          <w:sz w:val="20"/>
          <w:szCs w:val="20"/>
        </w:rPr>
        <w:t xml:space="preserve"> </w:t>
      </w:r>
      <w:r>
        <w:rPr>
          <w:rFonts w:ascii="Times New Roman" w:hAnsi="Times New Roman" w:eastAsia="Times New Roman" w:cs="Times New Roman"/>
          <w:spacing w:val="5"/>
          <w:sz w:val="20"/>
          <w:szCs w:val="20"/>
        </w:rPr>
        <w:t xml:space="preserve">30  </w:t>
      </w:r>
      <w:r>
        <w:rPr>
          <w:rFonts w:ascii="宋体" w:hAnsi="宋体" w:eastAsia="宋体" w:cs="宋体"/>
          <w:spacing w:val="5"/>
          <w:sz w:val="20"/>
          <w:szCs w:val="20"/>
        </w:rPr>
        <w:t>日内，根据招</w:t>
      </w:r>
      <w:r>
        <w:rPr>
          <w:rFonts w:ascii="宋体" w:hAnsi="宋体" w:eastAsia="宋体" w:cs="宋体"/>
          <w:spacing w:val="7"/>
          <w:sz w:val="20"/>
          <w:szCs w:val="20"/>
        </w:rPr>
        <w:t>标文件和中标人的投标文件（以经评标委员会评审的文件版本为准）订立书面合同。中标人无正当理由拒签合同或在签订合同时向招标人提出附加条件的，招标人取消其中标资格，其投标保证金不予退还；给招标人造成的损失超过投标保证金数额的，中标人还应当对超过部</w:t>
      </w:r>
      <w:r>
        <w:rPr>
          <w:rFonts w:ascii="宋体" w:hAnsi="宋体" w:eastAsia="宋体" w:cs="宋体"/>
          <w:spacing w:val="6"/>
          <w:sz w:val="20"/>
          <w:szCs w:val="20"/>
        </w:rPr>
        <w:t>分予以赔偿。</w:t>
      </w:r>
    </w:p>
    <w:p w14:paraId="20FA7EAE">
      <w:pPr>
        <w:spacing w:before="2" w:line="368" w:lineRule="auto"/>
        <w:ind w:left="22" w:right="71" w:firstLine="419"/>
        <w:rPr>
          <w:rFonts w:ascii="宋体" w:hAnsi="宋体" w:eastAsia="宋体" w:cs="宋体"/>
          <w:sz w:val="20"/>
          <w:szCs w:val="20"/>
        </w:rPr>
      </w:pPr>
      <w:r>
        <w:rPr>
          <w:rFonts w:ascii="Times New Roman" w:hAnsi="Times New Roman" w:eastAsia="Times New Roman" w:cs="Times New Roman"/>
          <w:spacing w:val="9"/>
          <w:sz w:val="20"/>
          <w:szCs w:val="20"/>
        </w:rPr>
        <w:t xml:space="preserve">7.4.2  </w:t>
      </w:r>
      <w:r>
        <w:rPr>
          <w:rFonts w:ascii="宋体" w:hAnsi="宋体" w:eastAsia="宋体" w:cs="宋体"/>
          <w:spacing w:val="9"/>
          <w:sz w:val="20"/>
          <w:szCs w:val="20"/>
        </w:rPr>
        <w:t>发出中标通知书后，招标人无正当理由拒签合同的，招标人向中标人退还</w:t>
      </w:r>
      <w:r>
        <w:rPr>
          <w:rFonts w:ascii="宋体" w:hAnsi="宋体" w:eastAsia="宋体" w:cs="宋体"/>
          <w:spacing w:val="8"/>
          <w:sz w:val="20"/>
          <w:szCs w:val="20"/>
        </w:rPr>
        <w:t>投标保</w:t>
      </w:r>
      <w:r>
        <w:rPr>
          <w:rFonts w:ascii="宋体" w:hAnsi="宋体" w:eastAsia="宋体" w:cs="宋体"/>
          <w:spacing w:val="9"/>
          <w:sz w:val="20"/>
          <w:szCs w:val="20"/>
        </w:rPr>
        <w:t>证金；给中标人造成损失的，还应当赔偿损失。</w:t>
      </w:r>
    </w:p>
    <w:p w14:paraId="7B81A979">
      <w:pPr>
        <w:spacing w:line="226" w:lineRule="auto"/>
        <w:ind w:left="441"/>
        <w:rPr>
          <w:rFonts w:ascii="宋体" w:hAnsi="宋体" w:eastAsia="宋体" w:cs="宋体"/>
          <w:sz w:val="20"/>
          <w:szCs w:val="20"/>
        </w:rPr>
      </w:pPr>
      <w:r>
        <w:rPr>
          <w:rFonts w:ascii="Times New Roman" w:hAnsi="Times New Roman" w:eastAsia="Times New Roman" w:cs="Times New Roman"/>
          <w:spacing w:val="6"/>
          <w:sz w:val="20"/>
          <w:szCs w:val="20"/>
        </w:rPr>
        <w:t xml:space="preserve">7.4.3  </w:t>
      </w:r>
      <w:r>
        <w:rPr>
          <w:rFonts w:ascii="宋体" w:hAnsi="宋体" w:eastAsia="宋体" w:cs="宋体"/>
          <w:spacing w:val="6"/>
          <w:sz w:val="20"/>
          <w:szCs w:val="20"/>
        </w:rPr>
        <w:t>签约合同价的确定原则如下：</w:t>
      </w:r>
    </w:p>
    <w:p w14:paraId="5C23061A">
      <w:pPr>
        <w:spacing w:before="157" w:line="368" w:lineRule="auto"/>
        <w:ind w:left="23" w:firstLine="420"/>
        <w:rPr>
          <w:rFonts w:ascii="宋体" w:hAnsi="宋体" w:eastAsia="宋体" w:cs="宋体"/>
          <w:sz w:val="20"/>
          <w:szCs w:val="20"/>
        </w:rPr>
      </w:pPr>
      <w:r>
        <w:rPr>
          <w:rFonts w:ascii="宋体" w:hAnsi="宋体" w:eastAsia="宋体" w:cs="宋体"/>
          <w:spacing w:val="6"/>
          <w:sz w:val="20"/>
          <w:szCs w:val="20"/>
        </w:rPr>
        <w:t>开标时投标函中大写投标总价应为签约合同价。按照第三章“评标办法</w:t>
      </w:r>
      <w:r>
        <w:rPr>
          <w:rFonts w:ascii="宋体" w:hAnsi="宋体" w:eastAsia="宋体" w:cs="宋体"/>
          <w:spacing w:val="-54"/>
          <w:sz w:val="20"/>
          <w:szCs w:val="20"/>
        </w:rPr>
        <w:t xml:space="preserve"> </w:t>
      </w:r>
      <w:r>
        <w:rPr>
          <w:rFonts w:ascii="宋体" w:hAnsi="宋体" w:eastAsia="宋体" w:cs="宋体"/>
          <w:spacing w:val="6"/>
          <w:sz w:val="20"/>
          <w:szCs w:val="20"/>
        </w:rPr>
        <w:t>”的规定，如投</w:t>
      </w:r>
      <w:r>
        <w:rPr>
          <w:rFonts w:ascii="宋体" w:hAnsi="宋体" w:eastAsia="宋体" w:cs="宋体"/>
          <w:spacing w:val="4"/>
          <w:sz w:val="20"/>
          <w:szCs w:val="20"/>
        </w:rPr>
        <w:t>标报价有算术错误的，修正的价格经投标人书面确认后，以修正后的投标总价为签约合同价。</w:t>
      </w:r>
    </w:p>
    <w:p w14:paraId="0276EDF8">
      <w:pPr>
        <w:spacing w:before="1" w:line="228" w:lineRule="auto"/>
        <w:jc w:val="right"/>
        <w:rPr>
          <w:rFonts w:ascii="宋体" w:hAnsi="宋体" w:eastAsia="宋体" w:cs="宋体"/>
          <w:sz w:val="18"/>
          <w:szCs w:val="18"/>
        </w:rPr>
      </w:pPr>
      <w:r>
        <w:rPr>
          <w:rFonts w:ascii="Times New Roman" w:hAnsi="Times New Roman" w:eastAsia="Times New Roman" w:cs="Times New Roman"/>
          <w:spacing w:val="1"/>
          <w:sz w:val="20"/>
          <w:szCs w:val="20"/>
        </w:rPr>
        <w:t>7.4.4</w:t>
      </w:r>
      <w:r>
        <w:rPr>
          <w:rFonts w:ascii="Times New Roman" w:hAnsi="Times New Roman" w:eastAsia="Times New Roman" w:cs="Times New Roman"/>
          <w:spacing w:val="16"/>
          <w:sz w:val="20"/>
          <w:szCs w:val="20"/>
        </w:rPr>
        <w:t xml:space="preserve">  </w:t>
      </w:r>
      <w:r>
        <w:rPr>
          <w:rFonts w:ascii="宋体" w:hAnsi="宋体" w:eastAsia="宋体" w:cs="宋体"/>
          <w:spacing w:val="1"/>
          <w:sz w:val="20"/>
          <w:szCs w:val="20"/>
        </w:rPr>
        <w:t>中标人应当在合同签订后</w:t>
      </w:r>
      <w:r>
        <w:rPr>
          <w:rFonts w:ascii="宋体" w:hAnsi="宋体" w:eastAsia="宋体" w:cs="宋体"/>
          <w:spacing w:val="-23"/>
          <w:sz w:val="20"/>
          <w:szCs w:val="20"/>
        </w:rPr>
        <w:t xml:space="preserve"> </w:t>
      </w:r>
      <w:r>
        <w:rPr>
          <w:rFonts w:ascii="Times New Roman" w:hAnsi="Times New Roman" w:eastAsia="Times New Roman" w:cs="Times New Roman"/>
          <w:spacing w:val="1"/>
          <w:sz w:val="20"/>
          <w:szCs w:val="20"/>
        </w:rPr>
        <w:t>15</w:t>
      </w:r>
      <w:r>
        <w:rPr>
          <w:rFonts w:ascii="Times New Roman" w:hAnsi="Times New Roman" w:eastAsia="Times New Roman" w:cs="Times New Roman"/>
          <w:spacing w:val="46"/>
          <w:sz w:val="20"/>
          <w:szCs w:val="20"/>
        </w:rPr>
        <w:t xml:space="preserve"> </w:t>
      </w:r>
      <w:r>
        <w:rPr>
          <w:rFonts w:ascii="宋体" w:hAnsi="宋体" w:eastAsia="宋体" w:cs="宋体"/>
          <w:spacing w:val="1"/>
          <w:sz w:val="20"/>
          <w:szCs w:val="20"/>
        </w:rPr>
        <w:t>日内，登录“</w:t>
      </w:r>
      <w:r>
        <w:rPr>
          <w:rFonts w:ascii="宋体" w:hAnsi="宋体" w:eastAsia="宋体" w:cs="宋体"/>
          <w:sz w:val="20"/>
          <w:szCs w:val="20"/>
        </w:rPr>
        <w:t>电子交易平台</w:t>
      </w:r>
      <w:r>
        <w:rPr>
          <w:rFonts w:ascii="宋体" w:hAnsi="宋体" w:eastAsia="宋体" w:cs="宋体"/>
          <w:spacing w:val="-70"/>
          <w:sz w:val="20"/>
          <w:szCs w:val="20"/>
        </w:rPr>
        <w:t xml:space="preserve"> </w:t>
      </w:r>
      <w:r>
        <w:rPr>
          <w:rFonts w:ascii="宋体" w:hAnsi="宋体" w:eastAsia="宋体" w:cs="宋体"/>
          <w:sz w:val="20"/>
          <w:szCs w:val="20"/>
        </w:rPr>
        <w:t>”提交电子合同文件归档</w:t>
      </w:r>
      <w:r>
        <w:rPr>
          <w:rFonts w:ascii="宋体" w:hAnsi="宋体" w:eastAsia="宋体" w:cs="宋体"/>
          <w:sz w:val="18"/>
          <w:szCs w:val="18"/>
        </w:rPr>
        <w:t>。</w:t>
      </w:r>
    </w:p>
    <w:p w14:paraId="1325CC8C">
      <w:pPr>
        <w:spacing w:line="228" w:lineRule="auto"/>
        <w:rPr>
          <w:rFonts w:ascii="宋体" w:hAnsi="宋体" w:eastAsia="宋体" w:cs="宋体"/>
          <w:sz w:val="18"/>
          <w:szCs w:val="18"/>
        </w:rPr>
        <w:sectPr>
          <w:footerReference r:id="rId42" w:type="default"/>
          <w:pgSz w:w="11906" w:h="16839"/>
          <w:pgMar w:top="1431" w:right="1731" w:bottom="1156" w:left="1785" w:header="0" w:footer="994" w:gutter="0"/>
          <w:cols w:space="720" w:num="1"/>
        </w:sectPr>
      </w:pPr>
    </w:p>
    <w:p w14:paraId="01FA0610">
      <w:pPr>
        <w:pStyle w:val="2"/>
        <w:spacing w:before="86" w:line="222" w:lineRule="auto"/>
        <w:ind w:left="31"/>
        <w:outlineLvl w:val="2"/>
        <w:rPr>
          <w:sz w:val="28"/>
          <w:szCs w:val="28"/>
        </w:rPr>
      </w:pPr>
      <w:bookmarkStart w:id="59" w:name="bookmark55"/>
      <w:bookmarkEnd w:id="59"/>
      <w:bookmarkStart w:id="60" w:name="bookmark54"/>
      <w:bookmarkEnd w:id="60"/>
      <w:r>
        <w:rPr>
          <w:rFonts w:ascii="Times New Roman" w:hAnsi="Times New Roman" w:eastAsia="Times New Roman" w:cs="Times New Roman"/>
          <w:spacing w:val="-1"/>
          <w:sz w:val="28"/>
          <w:szCs w:val="28"/>
        </w:rPr>
        <w:t xml:space="preserve">8.  </w:t>
      </w:r>
      <w:r>
        <w:rPr>
          <w:spacing w:val="-1"/>
          <w:sz w:val="28"/>
          <w:szCs w:val="28"/>
        </w:rPr>
        <w:t>重新招标、不再招标和终止招标</w:t>
      </w:r>
    </w:p>
    <w:p w14:paraId="44A2E17C">
      <w:pPr>
        <w:pStyle w:val="2"/>
        <w:spacing w:before="99" w:line="221" w:lineRule="auto"/>
        <w:ind w:left="28"/>
        <w:outlineLvl w:val="3"/>
        <w:rPr>
          <w:sz w:val="24"/>
          <w:szCs w:val="24"/>
        </w:rPr>
      </w:pPr>
      <w:bookmarkStart w:id="61" w:name="bookmark451"/>
      <w:bookmarkEnd w:id="61"/>
      <w:r>
        <w:rPr>
          <w:rFonts w:ascii="Times New Roman" w:hAnsi="Times New Roman" w:eastAsia="Times New Roman" w:cs="Times New Roman"/>
          <w:spacing w:val="-5"/>
          <w:sz w:val="24"/>
          <w:szCs w:val="24"/>
        </w:rPr>
        <w:t>8.1</w:t>
      </w:r>
      <w:r>
        <w:rPr>
          <w:rFonts w:ascii="Times New Roman" w:hAnsi="Times New Roman" w:eastAsia="Times New Roman" w:cs="Times New Roman"/>
          <w:spacing w:val="9"/>
          <w:sz w:val="24"/>
          <w:szCs w:val="24"/>
        </w:rPr>
        <w:t xml:space="preserve">  </w:t>
      </w:r>
      <w:r>
        <w:rPr>
          <w:spacing w:val="-5"/>
          <w:sz w:val="24"/>
          <w:szCs w:val="24"/>
        </w:rPr>
        <w:t>重新招标</w:t>
      </w:r>
    </w:p>
    <w:p w14:paraId="58887393">
      <w:pPr>
        <w:spacing w:before="137" w:line="228" w:lineRule="auto"/>
        <w:ind w:left="443"/>
        <w:rPr>
          <w:rFonts w:ascii="宋体" w:hAnsi="宋体" w:eastAsia="宋体" w:cs="宋体"/>
          <w:sz w:val="20"/>
          <w:szCs w:val="20"/>
        </w:rPr>
      </w:pPr>
      <w:r>
        <w:rPr>
          <w:rFonts w:ascii="宋体" w:hAnsi="宋体" w:eastAsia="宋体" w:cs="宋体"/>
          <w:spacing w:val="8"/>
          <w:sz w:val="20"/>
          <w:szCs w:val="20"/>
        </w:rPr>
        <w:t>有下列情形之一的，招标人将重新招标：</w:t>
      </w:r>
    </w:p>
    <w:p w14:paraId="347ACBF5">
      <w:pPr>
        <w:spacing w:before="154" w:line="228" w:lineRule="auto"/>
        <w:ind w:left="39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）投标截止时间止，投标人少于</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 xml:space="preserve">3 </w:t>
      </w:r>
      <w:r>
        <w:rPr>
          <w:rFonts w:ascii="宋体" w:hAnsi="宋体" w:eastAsia="宋体" w:cs="宋体"/>
          <w:spacing w:val="7"/>
          <w:sz w:val="20"/>
          <w:szCs w:val="20"/>
        </w:rPr>
        <w:t>个的；</w:t>
      </w:r>
    </w:p>
    <w:p w14:paraId="7B2D47E6">
      <w:pPr>
        <w:spacing w:before="154" w:line="227" w:lineRule="auto"/>
        <w:ind w:left="39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）经评标委员会评审后否决所有投标的；</w:t>
      </w:r>
    </w:p>
    <w:p w14:paraId="3939296C">
      <w:pPr>
        <w:spacing w:before="152" w:line="228" w:lineRule="auto"/>
        <w:ind w:left="39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）第一中标候选人或所有中标候选人均未与招标</w:t>
      </w:r>
      <w:r>
        <w:rPr>
          <w:rFonts w:ascii="宋体" w:hAnsi="宋体" w:eastAsia="宋体" w:cs="宋体"/>
          <w:spacing w:val="8"/>
          <w:sz w:val="20"/>
          <w:szCs w:val="20"/>
        </w:rPr>
        <w:t>人签订合同的；</w:t>
      </w:r>
    </w:p>
    <w:p w14:paraId="39B7A55F">
      <w:pPr>
        <w:spacing w:before="154" w:line="228" w:lineRule="auto"/>
        <w:ind w:left="39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）法律、法规规定的其他情形。</w:t>
      </w:r>
    </w:p>
    <w:p w14:paraId="4D09E935">
      <w:pPr>
        <w:pStyle w:val="2"/>
        <w:spacing w:before="127" w:line="222" w:lineRule="auto"/>
        <w:ind w:left="28"/>
        <w:outlineLvl w:val="3"/>
        <w:rPr>
          <w:sz w:val="24"/>
          <w:szCs w:val="24"/>
        </w:rPr>
      </w:pPr>
      <w:bookmarkStart w:id="62" w:name="bookmark56"/>
      <w:bookmarkEnd w:id="62"/>
      <w:r>
        <w:rPr>
          <w:rFonts w:ascii="Times New Roman" w:hAnsi="Times New Roman" w:eastAsia="Times New Roman" w:cs="Times New Roman"/>
          <w:spacing w:val="-4"/>
          <w:sz w:val="24"/>
          <w:szCs w:val="24"/>
        </w:rPr>
        <w:t>8.2</w:t>
      </w:r>
      <w:r>
        <w:rPr>
          <w:rFonts w:ascii="Times New Roman" w:hAnsi="Times New Roman" w:eastAsia="Times New Roman" w:cs="Times New Roman"/>
          <w:spacing w:val="6"/>
          <w:sz w:val="24"/>
          <w:szCs w:val="24"/>
        </w:rPr>
        <w:t xml:space="preserve">  </w:t>
      </w:r>
      <w:r>
        <w:rPr>
          <w:spacing w:val="-4"/>
          <w:sz w:val="24"/>
          <w:szCs w:val="24"/>
        </w:rPr>
        <w:t>不再招标</w:t>
      </w:r>
    </w:p>
    <w:p w14:paraId="4A18BA48">
      <w:pPr>
        <w:spacing w:before="136" w:line="358" w:lineRule="auto"/>
        <w:ind w:left="25" w:right="70" w:firstLine="417"/>
        <w:rPr>
          <w:rFonts w:ascii="宋体" w:hAnsi="宋体" w:eastAsia="宋体" w:cs="宋体"/>
          <w:sz w:val="20"/>
          <w:szCs w:val="20"/>
        </w:rPr>
      </w:pPr>
      <w:r>
        <w:rPr>
          <w:rFonts w:ascii="宋体" w:hAnsi="宋体" w:eastAsia="宋体" w:cs="宋体"/>
          <w:spacing w:val="7"/>
          <w:sz w:val="20"/>
          <w:szCs w:val="20"/>
        </w:rPr>
        <w:t>重新招标后投标人仍少于</w:t>
      </w:r>
      <w:r>
        <w:rPr>
          <w:rFonts w:ascii="宋体" w:hAnsi="宋体" w:eastAsia="宋体" w:cs="宋体"/>
          <w:spacing w:val="-38"/>
          <w:sz w:val="20"/>
          <w:szCs w:val="20"/>
        </w:rPr>
        <w:t xml:space="preserve"> </w:t>
      </w:r>
      <w:r>
        <w:rPr>
          <w:rFonts w:ascii="Times New Roman" w:hAnsi="Times New Roman" w:eastAsia="Times New Roman" w:cs="Times New Roman"/>
          <w:spacing w:val="7"/>
          <w:sz w:val="20"/>
          <w:szCs w:val="20"/>
        </w:rPr>
        <w:t xml:space="preserve">3 </w:t>
      </w:r>
      <w:r>
        <w:rPr>
          <w:rFonts w:ascii="宋体" w:hAnsi="宋体" w:eastAsia="宋体" w:cs="宋体"/>
          <w:spacing w:val="7"/>
          <w:sz w:val="20"/>
          <w:szCs w:val="20"/>
        </w:rPr>
        <w:t>个或者所有投标被否决的，属于必</w:t>
      </w:r>
      <w:r>
        <w:rPr>
          <w:rFonts w:ascii="宋体" w:hAnsi="宋体" w:eastAsia="宋体" w:cs="宋体"/>
          <w:spacing w:val="6"/>
          <w:sz w:val="20"/>
          <w:szCs w:val="20"/>
        </w:rPr>
        <w:t>须审批或核准的工程建设</w:t>
      </w:r>
      <w:r>
        <w:rPr>
          <w:rFonts w:ascii="宋体" w:hAnsi="宋体" w:eastAsia="宋体" w:cs="宋体"/>
          <w:spacing w:val="9"/>
          <w:sz w:val="20"/>
          <w:szCs w:val="20"/>
        </w:rPr>
        <w:t>项目，经原审批或核准部门批准后不再进行招</w:t>
      </w:r>
      <w:r>
        <w:rPr>
          <w:rFonts w:ascii="宋体" w:hAnsi="宋体" w:eastAsia="宋体" w:cs="宋体"/>
          <w:spacing w:val="8"/>
          <w:sz w:val="20"/>
          <w:szCs w:val="20"/>
        </w:rPr>
        <w:t>标。</w:t>
      </w:r>
    </w:p>
    <w:p w14:paraId="3C2E5347">
      <w:pPr>
        <w:pStyle w:val="2"/>
        <w:spacing w:line="223" w:lineRule="auto"/>
        <w:ind w:left="28"/>
        <w:outlineLvl w:val="3"/>
        <w:rPr>
          <w:sz w:val="24"/>
          <w:szCs w:val="24"/>
        </w:rPr>
      </w:pPr>
      <w:bookmarkStart w:id="63" w:name="bookmark57"/>
      <w:bookmarkEnd w:id="63"/>
      <w:r>
        <w:rPr>
          <w:rFonts w:ascii="Times New Roman" w:hAnsi="Times New Roman" w:eastAsia="Times New Roman" w:cs="Times New Roman"/>
          <w:spacing w:val="-2"/>
          <w:sz w:val="24"/>
          <w:szCs w:val="24"/>
        </w:rPr>
        <w:t xml:space="preserve">8.3  </w:t>
      </w:r>
      <w:r>
        <w:rPr>
          <w:spacing w:val="-2"/>
          <w:sz w:val="24"/>
          <w:szCs w:val="24"/>
        </w:rPr>
        <w:t>终止招标</w:t>
      </w:r>
    </w:p>
    <w:p w14:paraId="499E3212">
      <w:pPr>
        <w:spacing w:before="135" w:line="370" w:lineRule="auto"/>
        <w:ind w:left="21" w:right="70" w:firstLine="437"/>
        <w:jc w:val="both"/>
        <w:rPr>
          <w:rFonts w:ascii="宋体" w:hAnsi="宋体" w:eastAsia="宋体" w:cs="宋体"/>
          <w:sz w:val="20"/>
          <w:szCs w:val="20"/>
        </w:rPr>
      </w:pPr>
      <w:r>
        <w:rPr>
          <w:rFonts w:ascii="宋体" w:hAnsi="宋体" w:eastAsia="宋体" w:cs="宋体"/>
          <w:spacing w:val="5"/>
          <w:sz w:val="20"/>
          <w:szCs w:val="20"/>
        </w:rPr>
        <w:t>因不可抗力等原因，招标人终止招标的，将通过“</w:t>
      </w:r>
      <w:r>
        <w:rPr>
          <w:rFonts w:ascii="宋体" w:hAnsi="宋体" w:eastAsia="宋体" w:cs="宋体"/>
          <w:spacing w:val="-62"/>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”及时发布公告，或者</w:t>
      </w:r>
      <w:r>
        <w:rPr>
          <w:rFonts w:ascii="宋体" w:hAnsi="宋体" w:eastAsia="宋体" w:cs="宋体"/>
          <w:spacing w:val="7"/>
          <w:sz w:val="20"/>
          <w:szCs w:val="20"/>
        </w:rPr>
        <w:t>以书面形式通知被邀请的或者已经获取招标文件的潜在投标人。已经发出招标文件或者已经收取投标保证金的，招标人将及时退还所收取的招标文件的费用，以及所收取的投标保证金</w:t>
      </w:r>
      <w:r>
        <w:rPr>
          <w:rFonts w:ascii="宋体" w:hAnsi="宋体" w:eastAsia="宋体" w:cs="宋体"/>
          <w:spacing w:val="8"/>
          <w:sz w:val="20"/>
          <w:szCs w:val="20"/>
        </w:rPr>
        <w:t>及银行同期存款利息。</w:t>
      </w:r>
    </w:p>
    <w:p w14:paraId="1CC92591">
      <w:pPr>
        <w:pStyle w:val="2"/>
        <w:spacing w:before="36" w:line="222" w:lineRule="auto"/>
        <w:ind w:left="25"/>
        <w:outlineLvl w:val="2"/>
        <w:rPr>
          <w:sz w:val="28"/>
          <w:szCs w:val="28"/>
        </w:rPr>
      </w:pPr>
      <w:bookmarkStart w:id="64" w:name="bookmark59"/>
      <w:bookmarkEnd w:id="64"/>
      <w:bookmarkStart w:id="65" w:name="bookmark58"/>
      <w:bookmarkEnd w:id="65"/>
      <w:r>
        <w:rPr>
          <w:rFonts w:ascii="Times New Roman" w:hAnsi="Times New Roman" w:eastAsia="Times New Roman" w:cs="Times New Roman"/>
          <w:spacing w:val="-4"/>
          <w:sz w:val="28"/>
          <w:szCs w:val="28"/>
        </w:rPr>
        <w:t>9.</w:t>
      </w:r>
      <w:r>
        <w:rPr>
          <w:rFonts w:ascii="Times New Roman" w:hAnsi="Times New Roman" w:eastAsia="Times New Roman" w:cs="Times New Roman"/>
          <w:spacing w:val="8"/>
          <w:sz w:val="28"/>
          <w:szCs w:val="28"/>
        </w:rPr>
        <w:t xml:space="preserve">  </w:t>
      </w:r>
      <w:r>
        <w:rPr>
          <w:spacing w:val="-4"/>
          <w:sz w:val="28"/>
          <w:szCs w:val="28"/>
        </w:rPr>
        <w:t>纪律和监督</w:t>
      </w:r>
    </w:p>
    <w:p w14:paraId="05378CBD">
      <w:pPr>
        <w:pStyle w:val="2"/>
        <w:spacing w:before="100" w:line="222" w:lineRule="auto"/>
        <w:ind w:left="23"/>
        <w:outlineLvl w:val="3"/>
        <w:rPr>
          <w:sz w:val="24"/>
          <w:szCs w:val="24"/>
        </w:rPr>
      </w:pPr>
      <w:bookmarkStart w:id="66" w:name="bookmark452"/>
      <w:bookmarkEnd w:id="66"/>
      <w:r>
        <w:rPr>
          <w:rFonts w:ascii="Times New Roman" w:hAnsi="Times New Roman" w:eastAsia="Times New Roman" w:cs="Times New Roman"/>
          <w:spacing w:val="-1"/>
          <w:sz w:val="24"/>
          <w:szCs w:val="24"/>
        </w:rPr>
        <w:t xml:space="preserve">9.1  </w:t>
      </w:r>
      <w:r>
        <w:rPr>
          <w:spacing w:val="-1"/>
          <w:sz w:val="24"/>
          <w:szCs w:val="24"/>
        </w:rPr>
        <w:t>对招标人的纪律要求</w:t>
      </w:r>
    </w:p>
    <w:p w14:paraId="6746A06B">
      <w:pPr>
        <w:spacing w:before="136" w:line="358" w:lineRule="auto"/>
        <w:ind w:left="23" w:right="70" w:firstLine="419"/>
        <w:rPr>
          <w:rFonts w:ascii="宋体" w:hAnsi="宋体" w:eastAsia="宋体" w:cs="宋体"/>
          <w:sz w:val="20"/>
          <w:szCs w:val="20"/>
        </w:rPr>
      </w:pPr>
      <w:r>
        <w:rPr>
          <w:rFonts w:ascii="宋体" w:hAnsi="宋体" w:eastAsia="宋体" w:cs="宋体"/>
          <w:spacing w:val="7"/>
          <w:sz w:val="20"/>
          <w:szCs w:val="20"/>
        </w:rPr>
        <w:t>招标人不得泄漏招标投标活动中应当保密的情况和资料，不得与投标人串通损害国家利</w:t>
      </w:r>
      <w:r>
        <w:rPr>
          <w:rFonts w:ascii="宋体" w:hAnsi="宋体" w:eastAsia="宋体" w:cs="宋体"/>
          <w:spacing w:val="8"/>
          <w:sz w:val="20"/>
          <w:szCs w:val="20"/>
        </w:rPr>
        <w:t>益、社会公共利益或者他人合法权益。</w:t>
      </w:r>
    </w:p>
    <w:p w14:paraId="1F77360C">
      <w:pPr>
        <w:pStyle w:val="2"/>
        <w:spacing w:line="222" w:lineRule="auto"/>
        <w:ind w:left="23"/>
        <w:outlineLvl w:val="3"/>
        <w:rPr>
          <w:sz w:val="24"/>
          <w:szCs w:val="24"/>
        </w:rPr>
      </w:pPr>
      <w:bookmarkStart w:id="67" w:name="bookmark60"/>
      <w:bookmarkEnd w:id="67"/>
      <w:r>
        <w:rPr>
          <w:rFonts w:ascii="Times New Roman" w:hAnsi="Times New Roman" w:eastAsia="Times New Roman" w:cs="Times New Roman"/>
          <w:spacing w:val="-1"/>
          <w:sz w:val="24"/>
          <w:szCs w:val="24"/>
        </w:rPr>
        <w:t xml:space="preserve">9.2  </w:t>
      </w:r>
      <w:r>
        <w:rPr>
          <w:spacing w:val="-1"/>
          <w:sz w:val="24"/>
          <w:szCs w:val="24"/>
        </w:rPr>
        <w:t>对投标人的纪律要求</w:t>
      </w:r>
    </w:p>
    <w:p w14:paraId="60D6CEE5">
      <w:pPr>
        <w:spacing w:before="136" w:line="361" w:lineRule="auto"/>
        <w:ind w:left="21" w:right="70" w:firstLine="423"/>
        <w:jc w:val="both"/>
        <w:rPr>
          <w:rFonts w:ascii="宋体" w:hAnsi="宋体" w:eastAsia="宋体" w:cs="宋体"/>
          <w:sz w:val="20"/>
          <w:szCs w:val="20"/>
        </w:rPr>
      </w:pPr>
      <w:r>
        <w:rPr>
          <w:rFonts w:ascii="宋体" w:hAnsi="宋体" w:eastAsia="宋体" w:cs="宋体"/>
          <w:spacing w:val="7"/>
          <w:sz w:val="20"/>
          <w:szCs w:val="20"/>
        </w:rPr>
        <w:t>投标人不得相互串通投标或者与招标人串通投标，不得向招标人或者评标委员会成员行贿谋取中标，不得以他人名义投标或者以其他方式弄虚作假骗取中标；投标人不得以任何方</w:t>
      </w:r>
      <w:r>
        <w:rPr>
          <w:rFonts w:ascii="宋体" w:hAnsi="宋体" w:eastAsia="宋体" w:cs="宋体"/>
          <w:spacing w:val="8"/>
          <w:sz w:val="20"/>
          <w:szCs w:val="20"/>
        </w:rPr>
        <w:t>式干扰、影响评标工作。</w:t>
      </w:r>
    </w:p>
    <w:p w14:paraId="101D06A5">
      <w:pPr>
        <w:pStyle w:val="2"/>
        <w:spacing w:before="1" w:line="220" w:lineRule="auto"/>
        <w:ind w:left="23"/>
        <w:outlineLvl w:val="3"/>
        <w:rPr>
          <w:sz w:val="24"/>
          <w:szCs w:val="24"/>
        </w:rPr>
      </w:pPr>
      <w:bookmarkStart w:id="68" w:name="bookmark61"/>
      <w:bookmarkEnd w:id="68"/>
      <w:r>
        <w:rPr>
          <w:rFonts w:ascii="Times New Roman" w:hAnsi="Times New Roman" w:eastAsia="Times New Roman" w:cs="Times New Roman"/>
          <w:spacing w:val="-1"/>
          <w:sz w:val="24"/>
          <w:szCs w:val="24"/>
        </w:rPr>
        <w:t xml:space="preserve">9.3  </w:t>
      </w:r>
      <w:r>
        <w:rPr>
          <w:spacing w:val="-1"/>
          <w:sz w:val="24"/>
          <w:szCs w:val="24"/>
        </w:rPr>
        <w:t>对评标委员会成员的纪律要求</w:t>
      </w:r>
    </w:p>
    <w:p w14:paraId="1776EC9A">
      <w:pPr>
        <w:spacing w:before="141" w:line="366" w:lineRule="auto"/>
        <w:ind w:left="21" w:firstLine="420"/>
        <w:jc w:val="both"/>
        <w:rPr>
          <w:rFonts w:ascii="宋体" w:hAnsi="宋体" w:eastAsia="宋体" w:cs="宋体"/>
          <w:sz w:val="20"/>
          <w:szCs w:val="20"/>
        </w:rPr>
      </w:pPr>
      <w:r>
        <w:rPr>
          <w:rFonts w:ascii="宋体" w:hAnsi="宋体" w:eastAsia="宋体" w:cs="宋体"/>
          <w:spacing w:val="7"/>
          <w:sz w:val="20"/>
          <w:szCs w:val="20"/>
        </w:rPr>
        <w:t>评标委员会成员不得与任何投标人或者与招标结果有利害关系的人进行私下接触，不得收受投标人、中介人、其他利害关系人的财物或者其他好处，不得向他人透漏对投标文件的评审和比较、中标候选人的推荐情况以及评标有关的其他情况。在评标活动中，评标委员会成员不得应当回避而不回避，不得擅离职守，影响评标程序正常进行，不得向招标人征询其确定中标人的意向，不得接受任何单位或者个人明示或者暗示提出的倾向或者排斥特定投标</w:t>
      </w:r>
      <w:r>
        <w:rPr>
          <w:rFonts w:ascii="宋体" w:hAnsi="宋体" w:eastAsia="宋体" w:cs="宋体"/>
          <w:spacing w:val="4"/>
          <w:sz w:val="20"/>
          <w:szCs w:val="20"/>
        </w:rPr>
        <w:t>人的要求，不得对依法应当否决的投标不提出否决意见，不得暗示或者诱导投标人作出澄清、</w:t>
      </w:r>
      <w:r>
        <w:rPr>
          <w:rFonts w:ascii="宋体" w:hAnsi="宋体" w:eastAsia="宋体" w:cs="宋体"/>
          <w:spacing w:val="7"/>
          <w:sz w:val="20"/>
          <w:szCs w:val="20"/>
        </w:rPr>
        <w:t>说明或者接受投标人主动提出的澄清、说明；不得使用第</w:t>
      </w:r>
      <w:r>
        <w:rPr>
          <w:rFonts w:ascii="宋体" w:hAnsi="宋体" w:eastAsia="宋体" w:cs="宋体"/>
          <w:spacing w:val="6"/>
          <w:sz w:val="20"/>
          <w:szCs w:val="20"/>
        </w:rPr>
        <w:t>三章“评标办法</w:t>
      </w:r>
      <w:r>
        <w:rPr>
          <w:rFonts w:ascii="宋体" w:hAnsi="宋体" w:eastAsia="宋体" w:cs="宋体"/>
          <w:spacing w:val="-70"/>
          <w:sz w:val="20"/>
          <w:szCs w:val="20"/>
        </w:rPr>
        <w:t xml:space="preserve"> </w:t>
      </w:r>
      <w:r>
        <w:rPr>
          <w:rFonts w:ascii="宋体" w:hAnsi="宋体" w:eastAsia="宋体" w:cs="宋体"/>
          <w:spacing w:val="6"/>
          <w:sz w:val="20"/>
          <w:szCs w:val="20"/>
        </w:rPr>
        <w:t>”没有规定的评审</w:t>
      </w:r>
      <w:r>
        <w:rPr>
          <w:rFonts w:ascii="宋体" w:hAnsi="宋体" w:eastAsia="宋体" w:cs="宋体"/>
          <w:spacing w:val="8"/>
          <w:sz w:val="20"/>
          <w:szCs w:val="20"/>
        </w:rPr>
        <w:t>因素和标准进行评标。</w:t>
      </w:r>
    </w:p>
    <w:p w14:paraId="15B09B7F">
      <w:pPr>
        <w:pStyle w:val="2"/>
        <w:spacing w:before="1" w:line="220" w:lineRule="auto"/>
        <w:ind w:left="23"/>
        <w:outlineLvl w:val="3"/>
        <w:rPr>
          <w:sz w:val="24"/>
          <w:szCs w:val="24"/>
        </w:rPr>
      </w:pPr>
      <w:bookmarkStart w:id="69" w:name="bookmark62"/>
      <w:bookmarkEnd w:id="69"/>
      <w:r>
        <w:rPr>
          <w:rFonts w:ascii="Times New Roman" w:hAnsi="Times New Roman" w:eastAsia="Times New Roman" w:cs="Times New Roman"/>
          <w:spacing w:val="-1"/>
          <w:sz w:val="24"/>
          <w:szCs w:val="24"/>
        </w:rPr>
        <w:t xml:space="preserve">9.4  </w:t>
      </w:r>
      <w:r>
        <w:rPr>
          <w:spacing w:val="-1"/>
          <w:sz w:val="24"/>
          <w:szCs w:val="24"/>
        </w:rPr>
        <w:t>对与评标活动有关的工作人员的纪律要求</w:t>
      </w:r>
    </w:p>
    <w:p w14:paraId="506E8612">
      <w:pPr>
        <w:spacing w:before="140" w:line="228" w:lineRule="auto"/>
        <w:ind w:left="446"/>
        <w:rPr>
          <w:rFonts w:ascii="宋体" w:hAnsi="宋体" w:eastAsia="宋体" w:cs="宋体"/>
          <w:sz w:val="20"/>
          <w:szCs w:val="20"/>
        </w:rPr>
      </w:pPr>
      <w:r>
        <w:rPr>
          <w:rFonts w:ascii="宋体" w:hAnsi="宋体" w:eastAsia="宋体" w:cs="宋体"/>
          <w:spacing w:val="7"/>
          <w:sz w:val="20"/>
          <w:szCs w:val="20"/>
        </w:rPr>
        <w:t>与评标活动有关的工作人员不得收受他人的财物或者其他好处，不得向他人透漏对投标</w:t>
      </w:r>
    </w:p>
    <w:p w14:paraId="5CE6D2F2">
      <w:pPr>
        <w:spacing w:line="228" w:lineRule="auto"/>
        <w:rPr>
          <w:rFonts w:ascii="宋体" w:hAnsi="宋体" w:eastAsia="宋体" w:cs="宋体"/>
          <w:sz w:val="20"/>
          <w:szCs w:val="20"/>
        </w:rPr>
        <w:sectPr>
          <w:footerReference r:id="rId43" w:type="default"/>
          <w:pgSz w:w="11906" w:h="16839"/>
          <w:pgMar w:top="1431" w:right="1731" w:bottom="1156" w:left="1785" w:header="0" w:footer="994" w:gutter="0"/>
          <w:cols w:space="720" w:num="1"/>
        </w:sectPr>
      </w:pPr>
    </w:p>
    <w:p w14:paraId="6C62C9BD">
      <w:pPr>
        <w:spacing w:before="148" w:line="358" w:lineRule="auto"/>
        <w:ind w:left="23" w:right="70"/>
        <w:rPr>
          <w:rFonts w:ascii="宋体" w:hAnsi="宋体" w:eastAsia="宋体" w:cs="宋体"/>
          <w:sz w:val="20"/>
          <w:szCs w:val="20"/>
        </w:rPr>
      </w:pPr>
      <w:r>
        <w:rPr>
          <w:rFonts w:ascii="宋体" w:hAnsi="宋体" w:eastAsia="宋体" w:cs="宋体"/>
          <w:spacing w:val="7"/>
          <w:sz w:val="20"/>
          <w:szCs w:val="20"/>
        </w:rPr>
        <w:t>文件的评审和比较、中标候选人的推荐情况以及评标有关的其他情况。在评标活动中，与评</w:t>
      </w:r>
      <w:r>
        <w:rPr>
          <w:rFonts w:ascii="宋体" w:hAnsi="宋体" w:eastAsia="宋体" w:cs="宋体"/>
          <w:spacing w:val="9"/>
          <w:sz w:val="20"/>
          <w:szCs w:val="20"/>
        </w:rPr>
        <w:t>标活动有关的工作人员不得擅离职守，影响评标程序正常进行。</w:t>
      </w:r>
    </w:p>
    <w:p w14:paraId="6727B84D">
      <w:pPr>
        <w:pStyle w:val="2"/>
        <w:spacing w:line="220" w:lineRule="auto"/>
        <w:ind w:left="23"/>
        <w:outlineLvl w:val="3"/>
        <w:rPr>
          <w:sz w:val="24"/>
          <w:szCs w:val="24"/>
        </w:rPr>
      </w:pPr>
      <w:bookmarkStart w:id="70" w:name="bookmark63"/>
      <w:bookmarkEnd w:id="70"/>
      <w:r>
        <w:rPr>
          <w:rFonts w:ascii="Times New Roman" w:hAnsi="Times New Roman" w:eastAsia="Times New Roman" w:cs="Times New Roman"/>
          <w:spacing w:val="-4"/>
          <w:sz w:val="24"/>
          <w:szCs w:val="24"/>
        </w:rPr>
        <w:t>9.5</w:t>
      </w:r>
      <w:r>
        <w:rPr>
          <w:rFonts w:ascii="Times New Roman" w:hAnsi="Times New Roman" w:eastAsia="Times New Roman" w:cs="Times New Roman"/>
          <w:spacing w:val="4"/>
          <w:sz w:val="24"/>
          <w:szCs w:val="24"/>
        </w:rPr>
        <w:t xml:space="preserve">  </w:t>
      </w:r>
      <w:r>
        <w:rPr>
          <w:spacing w:val="-4"/>
          <w:sz w:val="24"/>
          <w:szCs w:val="24"/>
        </w:rPr>
        <w:t>投诉</w:t>
      </w:r>
    </w:p>
    <w:p w14:paraId="10E0E410">
      <w:pPr>
        <w:spacing w:before="128" w:line="221" w:lineRule="auto"/>
        <w:ind w:left="443"/>
        <w:rPr>
          <w:rFonts w:ascii="宋体" w:hAnsi="宋体" w:eastAsia="宋体" w:cs="宋体"/>
          <w:sz w:val="20"/>
          <w:szCs w:val="20"/>
        </w:rPr>
      </w:pPr>
      <w:r>
        <w:rPr>
          <w:rFonts w:ascii="宋体" w:hAnsi="宋体" w:eastAsia="宋体" w:cs="宋体"/>
          <w:spacing w:val="9"/>
          <w:sz w:val="20"/>
          <w:szCs w:val="20"/>
        </w:rPr>
        <w:t>本次招标投标活动及其相关当事人应当接受</w:t>
      </w:r>
      <w:r>
        <w:rPr>
          <w:rFonts w:ascii="宋体" w:hAnsi="宋体" w:eastAsia="宋体" w:cs="宋体"/>
          <w:spacing w:val="9"/>
          <w:sz w:val="22"/>
          <w:szCs w:val="22"/>
        </w:rPr>
        <w:t>有关</w:t>
      </w:r>
      <w:r>
        <w:rPr>
          <w:rFonts w:ascii="宋体" w:hAnsi="宋体" w:eastAsia="宋体" w:cs="宋体"/>
          <w:spacing w:val="9"/>
          <w:sz w:val="20"/>
          <w:szCs w:val="20"/>
        </w:rPr>
        <w:t>行政监督部门依法实施的监督。</w:t>
      </w:r>
    </w:p>
    <w:p w14:paraId="4766A872">
      <w:pPr>
        <w:spacing w:before="147" w:line="369" w:lineRule="auto"/>
        <w:ind w:left="25" w:right="70" w:firstLine="418"/>
        <w:rPr>
          <w:rFonts w:ascii="宋体" w:hAnsi="宋体" w:eastAsia="宋体" w:cs="宋体"/>
          <w:sz w:val="20"/>
          <w:szCs w:val="20"/>
        </w:rPr>
      </w:pPr>
      <w:r>
        <w:rPr>
          <w:rFonts w:ascii="宋体" w:hAnsi="宋体" w:eastAsia="宋体" w:cs="宋体"/>
          <w:spacing w:val="7"/>
          <w:sz w:val="20"/>
          <w:szCs w:val="20"/>
        </w:rPr>
        <w:t>依据《中华人民共和国招标投标法实施条例》第四条第三款的规定，财政部门依法对实</w:t>
      </w:r>
      <w:r>
        <w:rPr>
          <w:rFonts w:ascii="宋体" w:hAnsi="宋体" w:eastAsia="宋体" w:cs="宋体"/>
          <w:spacing w:val="9"/>
          <w:sz w:val="20"/>
          <w:szCs w:val="20"/>
        </w:rPr>
        <w:t>行招标投标的政府采购工程建设项目的政府采购政策执行情况实施监督。</w:t>
      </w:r>
    </w:p>
    <w:p w14:paraId="59F719BD">
      <w:pPr>
        <w:spacing w:before="3" w:line="367" w:lineRule="auto"/>
        <w:ind w:left="21" w:right="69" w:firstLine="423"/>
        <w:jc w:val="both"/>
        <w:rPr>
          <w:rFonts w:ascii="宋体" w:hAnsi="宋体" w:eastAsia="宋体" w:cs="宋体"/>
          <w:sz w:val="20"/>
          <w:szCs w:val="20"/>
        </w:rPr>
      </w:pPr>
      <w:r>
        <w:rPr>
          <w:rFonts w:ascii="宋体" w:hAnsi="宋体" w:eastAsia="宋体" w:cs="宋体"/>
          <w:spacing w:val="7"/>
          <w:sz w:val="20"/>
          <w:szCs w:val="20"/>
        </w:rPr>
        <w:t>投标人和其他利害关系人认为本次招标活动违反法律、法规和规章规定的，有权自知道</w:t>
      </w:r>
      <w:r>
        <w:rPr>
          <w:rFonts w:ascii="宋体" w:hAnsi="宋体" w:eastAsia="宋体" w:cs="宋体"/>
          <w:spacing w:val="8"/>
          <w:sz w:val="20"/>
          <w:szCs w:val="20"/>
        </w:rPr>
        <w:t>或者应当知道之日起</w:t>
      </w:r>
      <w:r>
        <w:rPr>
          <w:rFonts w:ascii="宋体" w:hAnsi="宋体" w:eastAsia="宋体" w:cs="宋体"/>
          <w:spacing w:val="-23"/>
          <w:sz w:val="20"/>
          <w:szCs w:val="20"/>
        </w:rPr>
        <w:t xml:space="preserve"> </w:t>
      </w:r>
      <w:r>
        <w:rPr>
          <w:rFonts w:ascii="Times New Roman" w:hAnsi="Times New Roman" w:eastAsia="Times New Roman" w:cs="Times New Roman"/>
          <w:spacing w:val="8"/>
          <w:sz w:val="20"/>
          <w:szCs w:val="20"/>
        </w:rPr>
        <w:t>10</w:t>
      </w:r>
      <w:r>
        <w:rPr>
          <w:rFonts w:ascii="Times New Roman" w:hAnsi="Times New Roman" w:eastAsia="Times New Roman" w:cs="Times New Roman"/>
          <w:spacing w:val="48"/>
          <w:w w:val="101"/>
          <w:sz w:val="20"/>
          <w:szCs w:val="20"/>
        </w:rPr>
        <w:t xml:space="preserve"> </w:t>
      </w:r>
      <w:r>
        <w:rPr>
          <w:rFonts w:ascii="宋体" w:hAnsi="宋体" w:eastAsia="宋体" w:cs="宋体"/>
          <w:spacing w:val="8"/>
          <w:sz w:val="20"/>
          <w:szCs w:val="20"/>
        </w:rPr>
        <w:t>日内向有关行政监督部门投诉，其中对招标文件的内容（包括招标</w:t>
      </w:r>
      <w:r>
        <w:rPr>
          <w:rFonts w:ascii="宋体" w:hAnsi="宋体" w:eastAsia="宋体" w:cs="宋体"/>
          <w:spacing w:val="3"/>
          <w:sz w:val="20"/>
          <w:szCs w:val="20"/>
        </w:rPr>
        <w:t>控制价）、开标、评标结果进行投诉的，应当按本章第</w:t>
      </w:r>
      <w:r>
        <w:rPr>
          <w:rFonts w:ascii="宋体" w:hAnsi="宋体" w:eastAsia="宋体" w:cs="宋体"/>
          <w:spacing w:val="-39"/>
          <w:sz w:val="20"/>
          <w:szCs w:val="20"/>
        </w:rPr>
        <w:t xml:space="preserve"> </w:t>
      </w:r>
      <w:r>
        <w:rPr>
          <w:rFonts w:ascii="Times New Roman" w:hAnsi="Times New Roman" w:eastAsia="Times New Roman" w:cs="Times New Roman"/>
          <w:spacing w:val="3"/>
          <w:sz w:val="20"/>
          <w:szCs w:val="20"/>
        </w:rPr>
        <w:t xml:space="preserve">2.4 </w:t>
      </w:r>
      <w:r>
        <w:rPr>
          <w:rFonts w:ascii="宋体" w:hAnsi="宋体" w:eastAsia="宋体" w:cs="宋体"/>
          <w:spacing w:val="3"/>
          <w:sz w:val="20"/>
          <w:szCs w:val="20"/>
        </w:rPr>
        <w:t>款、第</w:t>
      </w:r>
      <w:r>
        <w:rPr>
          <w:rFonts w:ascii="宋体" w:hAnsi="宋体" w:eastAsia="宋体" w:cs="宋体"/>
          <w:spacing w:val="-39"/>
          <w:sz w:val="20"/>
          <w:szCs w:val="20"/>
        </w:rPr>
        <w:t xml:space="preserve"> </w:t>
      </w:r>
      <w:r>
        <w:rPr>
          <w:rFonts w:ascii="Times New Roman" w:hAnsi="Times New Roman" w:eastAsia="Times New Roman" w:cs="Times New Roman"/>
          <w:spacing w:val="3"/>
          <w:sz w:val="20"/>
          <w:szCs w:val="20"/>
        </w:rPr>
        <w:t xml:space="preserve">3.2.2 </w:t>
      </w:r>
      <w:r>
        <w:rPr>
          <w:rFonts w:ascii="宋体" w:hAnsi="宋体" w:eastAsia="宋体" w:cs="宋体"/>
          <w:spacing w:val="3"/>
          <w:sz w:val="20"/>
          <w:szCs w:val="20"/>
        </w:rPr>
        <w:t>项、第</w:t>
      </w:r>
      <w:r>
        <w:rPr>
          <w:rFonts w:ascii="宋体" w:hAnsi="宋体" w:eastAsia="宋体" w:cs="宋体"/>
          <w:spacing w:val="-37"/>
          <w:sz w:val="20"/>
          <w:szCs w:val="20"/>
        </w:rPr>
        <w:t xml:space="preserve"> </w:t>
      </w:r>
      <w:r>
        <w:rPr>
          <w:rFonts w:ascii="Times New Roman" w:hAnsi="Times New Roman" w:eastAsia="Times New Roman" w:cs="Times New Roman"/>
          <w:spacing w:val="3"/>
          <w:sz w:val="20"/>
          <w:szCs w:val="20"/>
        </w:rPr>
        <w:t xml:space="preserve">5.3 </w:t>
      </w:r>
      <w:r>
        <w:rPr>
          <w:rFonts w:ascii="宋体" w:hAnsi="宋体" w:eastAsia="宋体" w:cs="宋体"/>
          <w:spacing w:val="3"/>
          <w:sz w:val="20"/>
          <w:szCs w:val="20"/>
        </w:rPr>
        <w:t>款、第</w:t>
      </w:r>
      <w:r>
        <w:rPr>
          <w:rFonts w:ascii="宋体" w:hAnsi="宋体" w:eastAsia="宋体" w:cs="宋体"/>
          <w:spacing w:val="-39"/>
          <w:sz w:val="20"/>
          <w:szCs w:val="20"/>
        </w:rPr>
        <w:t xml:space="preserve"> </w:t>
      </w:r>
      <w:r>
        <w:rPr>
          <w:rFonts w:ascii="Times New Roman" w:hAnsi="Times New Roman" w:eastAsia="Times New Roman" w:cs="Times New Roman"/>
          <w:spacing w:val="3"/>
          <w:sz w:val="20"/>
          <w:szCs w:val="20"/>
        </w:rPr>
        <w:t>6.4</w:t>
      </w:r>
      <w:r>
        <w:rPr>
          <w:rFonts w:ascii="宋体" w:hAnsi="宋体" w:eastAsia="宋体" w:cs="宋体"/>
          <w:spacing w:val="7"/>
          <w:sz w:val="20"/>
          <w:szCs w:val="20"/>
        </w:rPr>
        <w:t>款的规定先向招标人提出异议后，方可向有关行政监督部门投诉，异议答复期不计算在规定的投诉时效期限内。</w:t>
      </w:r>
    </w:p>
    <w:p w14:paraId="29468A83">
      <w:pPr>
        <w:spacing w:before="1" w:line="336" w:lineRule="auto"/>
        <w:ind w:left="23" w:right="75" w:firstLine="421"/>
        <w:rPr>
          <w:rFonts w:ascii="宋体" w:hAnsi="宋体" w:eastAsia="宋体" w:cs="宋体"/>
          <w:sz w:val="22"/>
          <w:szCs w:val="22"/>
        </w:rPr>
      </w:pPr>
      <w:r>
        <w:rPr>
          <w:rFonts w:ascii="宋体" w:hAnsi="宋体" w:eastAsia="宋体" w:cs="宋体"/>
          <w:spacing w:val="12"/>
          <w:sz w:val="20"/>
          <w:szCs w:val="20"/>
        </w:rPr>
        <w:t>投标人和其他利害关系人的</w:t>
      </w:r>
      <w:r>
        <w:rPr>
          <w:rFonts w:ascii="宋体" w:hAnsi="宋体" w:eastAsia="宋体" w:cs="宋体"/>
          <w:spacing w:val="12"/>
          <w:sz w:val="22"/>
          <w:szCs w:val="22"/>
        </w:rPr>
        <w:t>投诉应按照《工程建设</w:t>
      </w:r>
      <w:r>
        <w:rPr>
          <w:rFonts w:ascii="宋体" w:hAnsi="宋体" w:eastAsia="宋体" w:cs="宋体"/>
          <w:spacing w:val="11"/>
          <w:sz w:val="22"/>
          <w:szCs w:val="22"/>
        </w:rPr>
        <w:t>项目招标投标活动投诉处理办</w:t>
      </w:r>
      <w:r>
        <w:rPr>
          <w:rFonts w:ascii="宋体" w:hAnsi="宋体" w:eastAsia="宋体" w:cs="宋体"/>
          <w:spacing w:val="4"/>
          <w:sz w:val="22"/>
          <w:szCs w:val="22"/>
        </w:rPr>
        <w:t>法》的规定进行。</w:t>
      </w:r>
    </w:p>
    <w:p w14:paraId="472189F8">
      <w:pPr>
        <w:spacing w:before="7" w:line="227" w:lineRule="auto"/>
        <w:ind w:left="443"/>
        <w:rPr>
          <w:rFonts w:ascii="宋体" w:hAnsi="宋体" w:eastAsia="宋体" w:cs="宋体"/>
          <w:sz w:val="20"/>
          <w:szCs w:val="20"/>
        </w:rPr>
      </w:pPr>
      <w:r>
        <w:rPr>
          <w:rFonts w:ascii="宋体" w:hAnsi="宋体" w:eastAsia="宋体" w:cs="宋体"/>
          <w:spacing w:val="9"/>
          <w:sz w:val="20"/>
          <w:szCs w:val="20"/>
        </w:rPr>
        <w:t>有关行政监督部门的联系方式见投标人须知前附表。</w:t>
      </w:r>
    </w:p>
    <w:p w14:paraId="26B971A1">
      <w:pPr>
        <w:pStyle w:val="2"/>
        <w:spacing w:before="192" w:line="223" w:lineRule="auto"/>
        <w:ind w:left="46"/>
        <w:outlineLvl w:val="2"/>
        <w:rPr>
          <w:sz w:val="28"/>
          <w:szCs w:val="28"/>
        </w:rPr>
      </w:pPr>
      <w:bookmarkStart w:id="71" w:name="bookmark64"/>
      <w:bookmarkEnd w:id="71"/>
      <w:bookmarkStart w:id="72" w:name="bookmark65"/>
      <w:bookmarkEnd w:id="72"/>
      <w:r>
        <w:rPr>
          <w:rFonts w:ascii="Times New Roman" w:hAnsi="Times New Roman" w:eastAsia="Times New Roman" w:cs="Times New Roman"/>
          <w:spacing w:val="-3"/>
          <w:sz w:val="28"/>
          <w:szCs w:val="28"/>
        </w:rPr>
        <w:t xml:space="preserve">10.  </w:t>
      </w:r>
      <w:r>
        <w:rPr>
          <w:spacing w:val="-3"/>
          <w:sz w:val="28"/>
          <w:szCs w:val="28"/>
        </w:rPr>
        <w:t>需要补充的其他内容</w:t>
      </w:r>
    </w:p>
    <w:p w14:paraId="3A4A64B2">
      <w:pPr>
        <w:pStyle w:val="2"/>
        <w:spacing w:before="97" w:line="222" w:lineRule="auto"/>
        <w:ind w:left="42"/>
        <w:outlineLvl w:val="3"/>
        <w:rPr>
          <w:sz w:val="24"/>
          <w:szCs w:val="24"/>
        </w:rPr>
      </w:pPr>
      <w:bookmarkStart w:id="73" w:name="bookmark453"/>
      <w:bookmarkEnd w:id="73"/>
      <w:r>
        <w:rPr>
          <w:rFonts w:ascii="Times New Roman" w:hAnsi="Times New Roman" w:eastAsia="Times New Roman" w:cs="Times New Roman"/>
          <w:spacing w:val="-6"/>
          <w:sz w:val="24"/>
          <w:szCs w:val="24"/>
        </w:rPr>
        <w:t>10.1</w:t>
      </w:r>
      <w:r>
        <w:rPr>
          <w:rFonts w:ascii="Times New Roman" w:hAnsi="Times New Roman" w:eastAsia="Times New Roman" w:cs="Times New Roman"/>
          <w:spacing w:val="12"/>
          <w:sz w:val="24"/>
          <w:szCs w:val="24"/>
        </w:rPr>
        <w:t xml:space="preserve">  </w:t>
      </w:r>
      <w:r>
        <w:rPr>
          <w:spacing w:val="-6"/>
          <w:sz w:val="24"/>
          <w:szCs w:val="24"/>
        </w:rPr>
        <w:t>多标段投标</w:t>
      </w:r>
    </w:p>
    <w:p w14:paraId="7682966F">
      <w:pPr>
        <w:spacing w:before="137" w:line="227" w:lineRule="auto"/>
        <w:ind w:left="452"/>
        <w:rPr>
          <w:rFonts w:ascii="宋体" w:hAnsi="宋体" w:eastAsia="宋体" w:cs="宋体"/>
          <w:sz w:val="20"/>
          <w:szCs w:val="20"/>
        </w:rPr>
      </w:pPr>
      <w:r>
        <w:rPr>
          <w:rFonts w:ascii="宋体" w:hAnsi="宋体" w:eastAsia="宋体" w:cs="宋体"/>
          <w:spacing w:val="8"/>
          <w:sz w:val="20"/>
          <w:szCs w:val="20"/>
        </w:rPr>
        <w:t>多标段投标规定：见投标人须知前附表。</w:t>
      </w:r>
    </w:p>
    <w:p w14:paraId="3B3EFFF0">
      <w:pPr>
        <w:pStyle w:val="2"/>
        <w:spacing w:before="128" w:line="221" w:lineRule="auto"/>
        <w:ind w:left="42"/>
        <w:outlineLvl w:val="3"/>
        <w:rPr>
          <w:sz w:val="24"/>
          <w:szCs w:val="24"/>
        </w:rPr>
      </w:pPr>
      <w:bookmarkStart w:id="74" w:name="bookmark66"/>
      <w:bookmarkEnd w:id="74"/>
      <w:r>
        <w:rPr>
          <w:rFonts w:ascii="Times New Roman" w:hAnsi="Times New Roman" w:eastAsia="Times New Roman" w:cs="Times New Roman"/>
          <w:spacing w:val="-1"/>
          <w:sz w:val="24"/>
          <w:szCs w:val="24"/>
        </w:rPr>
        <w:t xml:space="preserve">10.2  </w:t>
      </w:r>
      <w:r>
        <w:rPr>
          <w:spacing w:val="-1"/>
          <w:sz w:val="24"/>
          <w:szCs w:val="24"/>
        </w:rPr>
        <w:t>评标办法中的有关系数的取值和评分</w:t>
      </w:r>
      <w:r>
        <w:rPr>
          <w:spacing w:val="-2"/>
          <w:sz w:val="24"/>
          <w:szCs w:val="24"/>
        </w:rPr>
        <w:t>因素设置</w:t>
      </w:r>
    </w:p>
    <w:p w14:paraId="44C5FE52">
      <w:pPr>
        <w:spacing w:before="140" w:line="369" w:lineRule="auto"/>
        <w:ind w:left="21" w:right="70" w:firstLine="437"/>
        <w:rPr>
          <w:rFonts w:ascii="宋体" w:hAnsi="宋体" w:eastAsia="宋体" w:cs="宋体"/>
          <w:sz w:val="20"/>
          <w:szCs w:val="20"/>
        </w:rPr>
      </w:pPr>
      <w:r>
        <w:rPr>
          <w:rFonts w:ascii="Times New Roman" w:hAnsi="Times New Roman" w:eastAsia="Times New Roman" w:cs="Times New Roman"/>
          <w:spacing w:val="7"/>
          <w:sz w:val="20"/>
          <w:szCs w:val="20"/>
        </w:rPr>
        <w:t xml:space="preserve">10.2.1 </w:t>
      </w:r>
      <w:r>
        <w:rPr>
          <w:rFonts w:ascii="宋体" w:hAnsi="宋体" w:eastAsia="宋体" w:cs="宋体"/>
          <w:spacing w:val="7"/>
          <w:sz w:val="20"/>
          <w:szCs w:val="20"/>
        </w:rPr>
        <w:t>第三章评标办法前附表中“评标基准价下浮系数</w:t>
      </w:r>
      <w:r>
        <w:rPr>
          <w:rFonts w:ascii="宋体" w:hAnsi="宋体" w:eastAsia="宋体" w:cs="宋体"/>
          <w:spacing w:val="-65"/>
          <w:sz w:val="20"/>
          <w:szCs w:val="20"/>
        </w:rPr>
        <w:t xml:space="preserve"> </w:t>
      </w:r>
      <w:r>
        <w:rPr>
          <w:rFonts w:ascii="宋体" w:hAnsi="宋体" w:eastAsia="宋体" w:cs="宋体"/>
          <w:spacing w:val="7"/>
          <w:sz w:val="20"/>
          <w:szCs w:val="20"/>
        </w:rPr>
        <w:t>”E</w:t>
      </w:r>
      <w:r>
        <w:rPr>
          <w:rFonts w:ascii="宋体" w:hAnsi="宋体" w:eastAsia="宋体" w:cs="宋体"/>
          <w:spacing w:val="-21"/>
          <w:sz w:val="20"/>
          <w:szCs w:val="20"/>
        </w:rPr>
        <w:t xml:space="preserve"> </w:t>
      </w:r>
      <w:r>
        <w:rPr>
          <w:rFonts w:ascii="宋体" w:hAnsi="宋体" w:eastAsia="宋体" w:cs="宋体"/>
          <w:spacing w:val="7"/>
          <w:sz w:val="20"/>
          <w:szCs w:val="20"/>
        </w:rPr>
        <w:t>的取值：见投标人须知前附</w:t>
      </w:r>
      <w:r>
        <w:rPr>
          <w:rFonts w:ascii="宋体" w:hAnsi="宋体" w:eastAsia="宋体" w:cs="宋体"/>
          <w:sz w:val="20"/>
          <w:szCs w:val="20"/>
        </w:rPr>
        <w:t>表。</w:t>
      </w:r>
    </w:p>
    <w:p w14:paraId="3AD6B824">
      <w:pPr>
        <w:spacing w:before="2" w:line="368" w:lineRule="auto"/>
        <w:ind w:left="21" w:right="70" w:firstLine="437"/>
        <w:rPr>
          <w:rFonts w:ascii="宋体" w:hAnsi="宋体" w:eastAsia="宋体" w:cs="宋体"/>
          <w:sz w:val="20"/>
          <w:szCs w:val="20"/>
        </w:rPr>
      </w:pPr>
      <w:r>
        <w:rPr>
          <w:rFonts w:ascii="Times New Roman" w:hAnsi="Times New Roman" w:eastAsia="Times New Roman" w:cs="Times New Roman"/>
          <w:spacing w:val="7"/>
          <w:sz w:val="20"/>
          <w:szCs w:val="20"/>
        </w:rPr>
        <w:t xml:space="preserve">10.2.2 </w:t>
      </w:r>
      <w:r>
        <w:rPr>
          <w:rFonts w:ascii="宋体" w:hAnsi="宋体" w:eastAsia="宋体" w:cs="宋体"/>
          <w:spacing w:val="7"/>
          <w:sz w:val="20"/>
          <w:szCs w:val="20"/>
        </w:rPr>
        <w:t>第三章评标办法前附表中“不平衡报</w:t>
      </w:r>
      <w:r>
        <w:rPr>
          <w:rFonts w:ascii="宋体" w:hAnsi="宋体" w:eastAsia="宋体" w:cs="宋体"/>
          <w:spacing w:val="6"/>
          <w:sz w:val="20"/>
          <w:szCs w:val="20"/>
        </w:rPr>
        <w:t>价系数</w:t>
      </w:r>
      <w:r>
        <w:rPr>
          <w:rFonts w:ascii="宋体" w:hAnsi="宋体" w:eastAsia="宋体" w:cs="宋体"/>
          <w:spacing w:val="-70"/>
          <w:sz w:val="20"/>
          <w:szCs w:val="20"/>
        </w:rPr>
        <w:t xml:space="preserve"> </w:t>
      </w:r>
      <w:r>
        <w:rPr>
          <w:rFonts w:ascii="宋体" w:hAnsi="宋体" w:eastAsia="宋体" w:cs="宋体"/>
          <w:spacing w:val="6"/>
          <w:sz w:val="20"/>
          <w:szCs w:val="20"/>
        </w:rPr>
        <w:t>”以及评标办法附件</w:t>
      </w:r>
      <w:r>
        <w:rPr>
          <w:rFonts w:ascii="宋体" w:hAnsi="宋体" w:eastAsia="宋体" w:cs="宋体"/>
          <w:spacing w:val="-41"/>
          <w:sz w:val="20"/>
          <w:szCs w:val="20"/>
        </w:rPr>
        <w:t xml:space="preserve"> </w:t>
      </w:r>
      <w:r>
        <w:rPr>
          <w:rFonts w:ascii="Times New Roman" w:hAnsi="Times New Roman" w:eastAsia="Times New Roman" w:cs="Times New Roman"/>
          <w:spacing w:val="6"/>
          <w:sz w:val="20"/>
          <w:szCs w:val="20"/>
        </w:rPr>
        <w:t>D</w:t>
      </w:r>
      <w:r>
        <w:rPr>
          <w:rFonts w:ascii="宋体" w:hAnsi="宋体" w:eastAsia="宋体" w:cs="宋体"/>
          <w:spacing w:val="6"/>
          <w:sz w:val="20"/>
          <w:szCs w:val="20"/>
        </w:rPr>
        <w:t>“投标人成本</w:t>
      </w:r>
      <w:r>
        <w:rPr>
          <w:rFonts w:ascii="宋体" w:hAnsi="宋体" w:eastAsia="宋体" w:cs="宋体"/>
          <w:spacing w:val="7"/>
          <w:sz w:val="20"/>
          <w:szCs w:val="20"/>
        </w:rPr>
        <w:t>评审办法</w:t>
      </w:r>
      <w:r>
        <w:rPr>
          <w:rFonts w:ascii="宋体" w:hAnsi="宋体" w:eastAsia="宋体" w:cs="宋体"/>
          <w:spacing w:val="-70"/>
          <w:sz w:val="20"/>
          <w:szCs w:val="20"/>
        </w:rPr>
        <w:t xml:space="preserve"> </w:t>
      </w:r>
      <w:r>
        <w:rPr>
          <w:rFonts w:ascii="宋体" w:hAnsi="宋体" w:eastAsia="宋体" w:cs="宋体"/>
          <w:spacing w:val="7"/>
          <w:sz w:val="20"/>
          <w:szCs w:val="20"/>
        </w:rPr>
        <w:t>”中“启动成本评审工作的前提条件</w:t>
      </w:r>
      <w:r>
        <w:rPr>
          <w:rFonts w:ascii="宋体" w:hAnsi="宋体" w:eastAsia="宋体" w:cs="宋体"/>
          <w:spacing w:val="-70"/>
          <w:sz w:val="20"/>
          <w:szCs w:val="20"/>
        </w:rPr>
        <w:t xml:space="preserve"> </w:t>
      </w:r>
      <w:r>
        <w:rPr>
          <w:rFonts w:ascii="宋体" w:hAnsi="宋体" w:eastAsia="宋体" w:cs="宋体"/>
          <w:spacing w:val="7"/>
          <w:sz w:val="20"/>
          <w:szCs w:val="20"/>
        </w:rPr>
        <w:t>”H</w:t>
      </w:r>
      <w:r>
        <w:rPr>
          <w:rFonts w:ascii="宋体" w:hAnsi="宋体" w:eastAsia="宋体" w:cs="宋体"/>
          <w:spacing w:val="-21"/>
          <w:sz w:val="20"/>
          <w:szCs w:val="20"/>
        </w:rPr>
        <w:t xml:space="preserve"> </w:t>
      </w:r>
      <w:r>
        <w:rPr>
          <w:rFonts w:ascii="宋体" w:hAnsi="宋体" w:eastAsia="宋体" w:cs="宋体"/>
          <w:spacing w:val="7"/>
          <w:sz w:val="20"/>
          <w:szCs w:val="20"/>
        </w:rPr>
        <w:t>的取值：见投标人须知</w:t>
      </w:r>
      <w:r>
        <w:rPr>
          <w:rFonts w:ascii="宋体" w:hAnsi="宋体" w:eastAsia="宋体" w:cs="宋体"/>
          <w:spacing w:val="6"/>
          <w:sz w:val="20"/>
          <w:szCs w:val="20"/>
        </w:rPr>
        <w:t>前附表。</w:t>
      </w:r>
    </w:p>
    <w:p w14:paraId="32EF5B15">
      <w:pPr>
        <w:spacing w:before="2" w:line="369" w:lineRule="auto"/>
        <w:ind w:left="32" w:firstLine="426"/>
        <w:rPr>
          <w:rFonts w:ascii="宋体" w:hAnsi="宋体" w:eastAsia="宋体" w:cs="宋体"/>
          <w:sz w:val="20"/>
          <w:szCs w:val="20"/>
        </w:rPr>
      </w:pPr>
      <w:r>
        <w:rPr>
          <w:rFonts w:ascii="Times New Roman" w:hAnsi="Times New Roman" w:eastAsia="Times New Roman" w:cs="Times New Roman"/>
          <w:spacing w:val="9"/>
          <w:sz w:val="20"/>
          <w:szCs w:val="20"/>
        </w:rPr>
        <w:t xml:space="preserve">10.2.3 </w:t>
      </w:r>
      <w:r>
        <w:rPr>
          <w:rFonts w:ascii="宋体" w:hAnsi="宋体" w:eastAsia="宋体" w:cs="宋体"/>
          <w:spacing w:val="9"/>
          <w:sz w:val="20"/>
          <w:szCs w:val="20"/>
        </w:rPr>
        <w:t>第三章评标办法前附表中“期望合理价系数</w:t>
      </w:r>
      <w:r>
        <w:rPr>
          <w:rFonts w:ascii="宋体" w:hAnsi="宋体" w:eastAsia="宋体" w:cs="宋体"/>
          <w:spacing w:val="-67"/>
          <w:sz w:val="20"/>
          <w:szCs w:val="20"/>
        </w:rPr>
        <w:t xml:space="preserve"> </w:t>
      </w:r>
      <w:r>
        <w:rPr>
          <w:rFonts w:ascii="宋体" w:hAnsi="宋体" w:eastAsia="宋体" w:cs="宋体"/>
          <w:spacing w:val="9"/>
          <w:sz w:val="20"/>
          <w:szCs w:val="20"/>
        </w:rPr>
        <w:t>”D</w:t>
      </w:r>
      <w:r>
        <w:rPr>
          <w:rFonts w:ascii="宋体" w:hAnsi="宋体" w:eastAsia="宋体" w:cs="宋体"/>
          <w:spacing w:val="-21"/>
          <w:sz w:val="20"/>
          <w:szCs w:val="20"/>
        </w:rPr>
        <w:t xml:space="preserve"> </w:t>
      </w:r>
      <w:r>
        <w:rPr>
          <w:rFonts w:ascii="宋体" w:hAnsi="宋体" w:eastAsia="宋体" w:cs="宋体"/>
          <w:spacing w:val="9"/>
          <w:sz w:val="20"/>
          <w:szCs w:val="20"/>
        </w:rPr>
        <w:t>的取值</w:t>
      </w:r>
      <w:r>
        <w:rPr>
          <w:rFonts w:ascii="宋体" w:hAnsi="宋体" w:eastAsia="宋体" w:cs="宋体"/>
          <w:spacing w:val="8"/>
          <w:sz w:val="20"/>
          <w:szCs w:val="20"/>
        </w:rPr>
        <w:t>：见投标人须知前附表。</w:t>
      </w:r>
      <w:r>
        <w:rPr>
          <w:rFonts w:ascii="宋体" w:hAnsi="宋体" w:eastAsia="宋体" w:cs="宋体"/>
          <w:sz w:val="20"/>
          <w:szCs w:val="20"/>
        </w:rPr>
        <w:t xml:space="preserve"> </w:t>
      </w:r>
      <w:r>
        <w:rPr>
          <w:rFonts w:ascii="宋体" w:hAnsi="宋体" w:eastAsia="宋体" w:cs="宋体"/>
          <w:spacing w:val="6"/>
          <w:sz w:val="20"/>
          <w:szCs w:val="20"/>
        </w:rPr>
        <w:t>（适用于办法八）</w:t>
      </w:r>
    </w:p>
    <w:p w14:paraId="129AD626">
      <w:pPr>
        <w:spacing w:before="2" w:line="368" w:lineRule="auto"/>
        <w:ind w:left="23" w:right="70" w:firstLine="434"/>
        <w:rPr>
          <w:rFonts w:ascii="宋体" w:hAnsi="宋体" w:eastAsia="宋体" w:cs="宋体"/>
          <w:sz w:val="20"/>
          <w:szCs w:val="20"/>
        </w:rPr>
      </w:pPr>
      <w:r>
        <w:rPr>
          <w:rFonts w:ascii="Times New Roman" w:hAnsi="Times New Roman" w:eastAsia="Times New Roman" w:cs="Times New Roman"/>
          <w:spacing w:val="5"/>
          <w:sz w:val="20"/>
          <w:szCs w:val="20"/>
        </w:rPr>
        <w:t xml:space="preserve">10.2.4 </w:t>
      </w:r>
      <w:r>
        <w:rPr>
          <w:rFonts w:ascii="宋体" w:hAnsi="宋体" w:eastAsia="宋体" w:cs="宋体"/>
          <w:spacing w:val="5"/>
          <w:sz w:val="20"/>
          <w:szCs w:val="20"/>
        </w:rPr>
        <w:t>第三章评标办法前附表中“小微企业报价优惠（扣除）系数</w:t>
      </w:r>
      <w:r>
        <w:rPr>
          <w:rFonts w:ascii="宋体" w:hAnsi="宋体" w:eastAsia="宋体" w:cs="宋体"/>
          <w:spacing w:val="-53"/>
          <w:sz w:val="20"/>
          <w:szCs w:val="20"/>
        </w:rPr>
        <w:t xml:space="preserve"> </w:t>
      </w:r>
      <w:r>
        <w:rPr>
          <w:rFonts w:ascii="宋体" w:hAnsi="宋体" w:eastAsia="宋体" w:cs="宋体"/>
          <w:spacing w:val="5"/>
          <w:sz w:val="20"/>
          <w:szCs w:val="20"/>
        </w:rPr>
        <w:t>”</w:t>
      </w:r>
      <w:r>
        <w:rPr>
          <w:rFonts w:ascii="宋体" w:hAnsi="宋体" w:eastAsia="宋体" w:cs="宋体"/>
          <w:spacing w:val="-28"/>
          <w:sz w:val="20"/>
          <w:szCs w:val="20"/>
        </w:rPr>
        <w:t xml:space="preserve"> </w:t>
      </w:r>
      <w:r>
        <w:rPr>
          <w:rFonts w:ascii="宋体" w:hAnsi="宋体" w:eastAsia="宋体" w:cs="宋体"/>
          <w:spacing w:val="5"/>
          <w:sz w:val="20"/>
          <w:szCs w:val="20"/>
        </w:rPr>
        <w:t>P</w:t>
      </w:r>
      <w:r>
        <w:rPr>
          <w:rFonts w:ascii="宋体" w:hAnsi="宋体" w:eastAsia="宋体" w:cs="宋体"/>
          <w:spacing w:val="-21"/>
          <w:sz w:val="20"/>
          <w:szCs w:val="20"/>
        </w:rPr>
        <w:t xml:space="preserve"> </w:t>
      </w:r>
      <w:r>
        <w:rPr>
          <w:rFonts w:ascii="宋体" w:hAnsi="宋体" w:eastAsia="宋体" w:cs="宋体"/>
          <w:spacing w:val="5"/>
          <w:sz w:val="20"/>
          <w:szCs w:val="20"/>
        </w:rPr>
        <w:t>的取值：见投标</w:t>
      </w:r>
      <w:r>
        <w:rPr>
          <w:rFonts w:ascii="宋体" w:hAnsi="宋体" w:eastAsia="宋体" w:cs="宋体"/>
          <w:spacing w:val="6"/>
          <w:sz w:val="20"/>
          <w:szCs w:val="20"/>
        </w:rPr>
        <w:t>人须知前附表。</w:t>
      </w:r>
    </w:p>
    <w:p w14:paraId="6DC5B953">
      <w:pPr>
        <w:spacing w:before="2" w:line="357" w:lineRule="auto"/>
        <w:ind w:left="23" w:right="70" w:firstLine="434"/>
        <w:rPr>
          <w:rFonts w:ascii="宋体" w:hAnsi="宋体" w:eastAsia="宋体" w:cs="宋体"/>
          <w:sz w:val="20"/>
          <w:szCs w:val="20"/>
        </w:rPr>
      </w:pPr>
      <w:r>
        <w:rPr>
          <w:rFonts w:ascii="Times New Roman" w:hAnsi="Times New Roman" w:eastAsia="Times New Roman" w:cs="Times New Roman"/>
          <w:spacing w:val="7"/>
          <w:sz w:val="20"/>
          <w:szCs w:val="20"/>
        </w:rPr>
        <w:t xml:space="preserve">10.2.5 </w:t>
      </w:r>
      <w:r>
        <w:rPr>
          <w:rFonts w:ascii="宋体" w:hAnsi="宋体" w:eastAsia="宋体" w:cs="宋体"/>
          <w:spacing w:val="7"/>
          <w:sz w:val="20"/>
          <w:szCs w:val="20"/>
        </w:rPr>
        <w:t>第三章评标办法前附表中“满足条件的联合体或者分包企业报价优惠（扣除）系</w:t>
      </w:r>
      <w:r>
        <w:rPr>
          <w:rFonts w:ascii="宋体" w:hAnsi="宋体" w:eastAsia="宋体" w:cs="宋体"/>
          <w:spacing w:val="5"/>
          <w:sz w:val="20"/>
          <w:szCs w:val="20"/>
        </w:rPr>
        <w:t>数</w:t>
      </w:r>
      <w:r>
        <w:rPr>
          <w:rFonts w:ascii="宋体" w:hAnsi="宋体" w:eastAsia="宋体" w:cs="宋体"/>
          <w:spacing w:val="-68"/>
          <w:sz w:val="20"/>
          <w:szCs w:val="20"/>
        </w:rPr>
        <w:t xml:space="preserve"> </w:t>
      </w:r>
      <w:r>
        <w:rPr>
          <w:rFonts w:ascii="宋体" w:hAnsi="宋体" w:eastAsia="宋体" w:cs="宋体"/>
          <w:spacing w:val="5"/>
          <w:sz w:val="20"/>
          <w:szCs w:val="20"/>
        </w:rPr>
        <w:t>” Q</w:t>
      </w:r>
      <w:r>
        <w:rPr>
          <w:rFonts w:ascii="宋体" w:hAnsi="宋体" w:eastAsia="宋体" w:cs="宋体"/>
          <w:spacing w:val="-23"/>
          <w:sz w:val="20"/>
          <w:szCs w:val="20"/>
        </w:rPr>
        <w:t xml:space="preserve"> </w:t>
      </w:r>
      <w:r>
        <w:rPr>
          <w:rFonts w:ascii="宋体" w:hAnsi="宋体" w:eastAsia="宋体" w:cs="宋体"/>
          <w:spacing w:val="5"/>
          <w:sz w:val="20"/>
          <w:szCs w:val="20"/>
        </w:rPr>
        <w:t>的取值：见投标人须知前附表。</w:t>
      </w:r>
    </w:p>
    <w:p w14:paraId="46D5FE79">
      <w:pPr>
        <w:pStyle w:val="2"/>
        <w:spacing w:line="221" w:lineRule="auto"/>
        <w:ind w:left="42"/>
        <w:outlineLvl w:val="3"/>
        <w:rPr>
          <w:sz w:val="24"/>
          <w:szCs w:val="24"/>
        </w:rPr>
      </w:pPr>
      <w:bookmarkStart w:id="75" w:name="bookmark67"/>
      <w:bookmarkEnd w:id="75"/>
      <w:r>
        <w:rPr>
          <w:rFonts w:ascii="Times New Roman" w:hAnsi="Times New Roman" w:eastAsia="Times New Roman" w:cs="Times New Roman"/>
          <w:spacing w:val="-5"/>
          <w:sz w:val="24"/>
          <w:szCs w:val="24"/>
        </w:rPr>
        <w:t>10.3</w:t>
      </w:r>
      <w:r>
        <w:rPr>
          <w:rFonts w:ascii="Times New Roman" w:hAnsi="Times New Roman" w:eastAsia="Times New Roman" w:cs="Times New Roman"/>
          <w:spacing w:val="15"/>
          <w:sz w:val="24"/>
          <w:szCs w:val="24"/>
        </w:rPr>
        <w:t xml:space="preserve">  </w:t>
      </w:r>
      <w:r>
        <w:rPr>
          <w:spacing w:val="-5"/>
          <w:sz w:val="24"/>
          <w:szCs w:val="24"/>
        </w:rPr>
        <w:t>中标人的投标文件</w:t>
      </w:r>
    </w:p>
    <w:p w14:paraId="70F5F845">
      <w:pPr>
        <w:spacing w:before="125" w:line="227" w:lineRule="auto"/>
        <w:jc w:val="right"/>
        <w:rPr>
          <w:rFonts w:ascii="宋体" w:hAnsi="宋体" w:eastAsia="宋体" w:cs="宋体"/>
          <w:sz w:val="20"/>
          <w:szCs w:val="20"/>
        </w:rPr>
      </w:pPr>
      <w:r>
        <w:rPr>
          <w:rFonts w:ascii="宋体" w:hAnsi="宋体" w:eastAsia="宋体" w:cs="宋体"/>
          <w:spacing w:val="8"/>
          <w:sz w:val="20"/>
          <w:szCs w:val="20"/>
        </w:rPr>
        <w:t>中标人在签订合同前须向招标人另行提交的纸质投标文件份数：见投标人须知前附表。</w:t>
      </w:r>
    </w:p>
    <w:p w14:paraId="15D0E5DD">
      <w:pPr>
        <w:pStyle w:val="2"/>
        <w:spacing w:before="208" w:line="222" w:lineRule="auto"/>
        <w:ind w:left="42"/>
        <w:outlineLvl w:val="3"/>
        <w:rPr>
          <w:sz w:val="24"/>
          <w:szCs w:val="24"/>
        </w:rPr>
      </w:pPr>
      <w:bookmarkStart w:id="76" w:name="bookmark68"/>
      <w:bookmarkEnd w:id="76"/>
      <w:r>
        <w:rPr>
          <w:rFonts w:ascii="Times New Roman" w:hAnsi="Times New Roman" w:eastAsia="Times New Roman" w:cs="Times New Roman"/>
          <w:spacing w:val="-6"/>
          <w:sz w:val="24"/>
          <w:szCs w:val="24"/>
        </w:rPr>
        <w:t>10.4</w:t>
      </w:r>
      <w:r>
        <w:rPr>
          <w:rFonts w:ascii="Times New Roman" w:hAnsi="Times New Roman" w:eastAsia="Times New Roman" w:cs="Times New Roman"/>
          <w:spacing w:val="9"/>
          <w:sz w:val="24"/>
          <w:szCs w:val="24"/>
        </w:rPr>
        <w:t xml:space="preserve">  </w:t>
      </w:r>
      <w:r>
        <w:rPr>
          <w:spacing w:val="-6"/>
          <w:sz w:val="24"/>
          <w:szCs w:val="24"/>
        </w:rPr>
        <w:t>知识产权</w:t>
      </w:r>
    </w:p>
    <w:p w14:paraId="306EA8FB">
      <w:pPr>
        <w:spacing w:before="138" w:line="227" w:lineRule="auto"/>
        <w:ind w:left="443"/>
        <w:rPr>
          <w:rFonts w:ascii="宋体" w:hAnsi="宋体" w:eastAsia="宋体" w:cs="宋体"/>
          <w:sz w:val="20"/>
          <w:szCs w:val="20"/>
        </w:rPr>
      </w:pPr>
      <w:r>
        <w:rPr>
          <w:rFonts w:ascii="宋体" w:hAnsi="宋体" w:eastAsia="宋体" w:cs="宋体"/>
          <w:spacing w:val="8"/>
          <w:sz w:val="20"/>
          <w:szCs w:val="20"/>
        </w:rPr>
        <w:t>有关知识产权的规定：见投标人须知前附表。</w:t>
      </w:r>
    </w:p>
    <w:p w14:paraId="4328D808">
      <w:pPr>
        <w:pStyle w:val="2"/>
        <w:spacing w:before="129" w:line="222" w:lineRule="auto"/>
        <w:ind w:left="42"/>
        <w:outlineLvl w:val="3"/>
        <w:rPr>
          <w:sz w:val="24"/>
          <w:szCs w:val="24"/>
        </w:rPr>
      </w:pPr>
      <w:bookmarkStart w:id="77" w:name="bookmark69"/>
      <w:bookmarkEnd w:id="77"/>
      <w:r>
        <w:rPr>
          <w:rFonts w:ascii="Times New Roman" w:hAnsi="Times New Roman" w:eastAsia="Times New Roman" w:cs="Times New Roman"/>
          <w:spacing w:val="-7"/>
          <w:sz w:val="24"/>
          <w:szCs w:val="24"/>
        </w:rPr>
        <w:t>10.5</w:t>
      </w:r>
      <w:r>
        <w:rPr>
          <w:rFonts w:ascii="Times New Roman" w:hAnsi="Times New Roman" w:eastAsia="Times New Roman" w:cs="Times New Roman"/>
          <w:spacing w:val="13"/>
          <w:sz w:val="24"/>
          <w:szCs w:val="24"/>
        </w:rPr>
        <w:t xml:space="preserve">  </w:t>
      </w:r>
      <w:r>
        <w:rPr>
          <w:spacing w:val="-7"/>
          <w:sz w:val="24"/>
          <w:szCs w:val="24"/>
        </w:rPr>
        <w:t>同义词语</w:t>
      </w:r>
    </w:p>
    <w:p w14:paraId="690C1365">
      <w:pPr>
        <w:spacing w:before="136" w:line="227" w:lineRule="auto"/>
        <w:ind w:left="443"/>
        <w:rPr>
          <w:rFonts w:ascii="宋体" w:hAnsi="宋体" w:eastAsia="宋体" w:cs="宋体"/>
          <w:sz w:val="20"/>
          <w:szCs w:val="20"/>
        </w:rPr>
      </w:pPr>
      <w:r>
        <w:rPr>
          <w:rFonts w:ascii="宋体" w:hAnsi="宋体" w:eastAsia="宋体" w:cs="宋体"/>
          <w:spacing w:val="9"/>
          <w:sz w:val="20"/>
          <w:szCs w:val="20"/>
        </w:rPr>
        <w:t>本招标文件的同义词语：见投标人须知前附</w:t>
      </w:r>
      <w:r>
        <w:rPr>
          <w:rFonts w:ascii="宋体" w:hAnsi="宋体" w:eastAsia="宋体" w:cs="宋体"/>
          <w:spacing w:val="8"/>
          <w:sz w:val="20"/>
          <w:szCs w:val="20"/>
        </w:rPr>
        <w:t>表。</w:t>
      </w:r>
    </w:p>
    <w:p w14:paraId="61521C39">
      <w:pPr>
        <w:spacing w:line="227" w:lineRule="auto"/>
        <w:rPr>
          <w:rFonts w:ascii="宋体" w:hAnsi="宋体" w:eastAsia="宋体" w:cs="宋体"/>
          <w:sz w:val="20"/>
          <w:szCs w:val="20"/>
        </w:rPr>
        <w:sectPr>
          <w:footerReference r:id="rId44" w:type="default"/>
          <w:pgSz w:w="11906" w:h="16839"/>
          <w:pgMar w:top="1431" w:right="1731" w:bottom="1156" w:left="1785" w:header="0" w:footer="994" w:gutter="0"/>
          <w:cols w:space="720" w:num="1"/>
        </w:sectPr>
      </w:pPr>
    </w:p>
    <w:p w14:paraId="49BF24FB">
      <w:pPr>
        <w:pStyle w:val="2"/>
        <w:spacing w:before="123" w:line="222" w:lineRule="auto"/>
        <w:ind w:left="42"/>
        <w:outlineLvl w:val="3"/>
        <w:rPr>
          <w:sz w:val="24"/>
          <w:szCs w:val="24"/>
        </w:rPr>
      </w:pPr>
      <w:bookmarkStart w:id="78" w:name="bookmark70"/>
      <w:bookmarkEnd w:id="78"/>
      <w:r>
        <w:rPr>
          <w:rFonts w:ascii="Times New Roman" w:hAnsi="Times New Roman" w:eastAsia="Times New Roman" w:cs="Times New Roman"/>
          <w:spacing w:val="-4"/>
          <w:sz w:val="24"/>
          <w:szCs w:val="24"/>
        </w:rPr>
        <w:t xml:space="preserve">10.6  </w:t>
      </w:r>
      <w:r>
        <w:rPr>
          <w:spacing w:val="-4"/>
          <w:sz w:val="24"/>
          <w:szCs w:val="24"/>
        </w:rPr>
        <w:t>解释权</w:t>
      </w:r>
    </w:p>
    <w:p w14:paraId="2331D5D9">
      <w:pPr>
        <w:spacing w:before="138" w:line="227" w:lineRule="auto"/>
        <w:ind w:left="443"/>
        <w:rPr>
          <w:rFonts w:ascii="宋体" w:hAnsi="宋体" w:eastAsia="宋体" w:cs="宋体"/>
          <w:sz w:val="20"/>
          <w:szCs w:val="20"/>
        </w:rPr>
      </w:pPr>
      <w:r>
        <w:rPr>
          <w:rFonts w:ascii="宋体" w:hAnsi="宋体" w:eastAsia="宋体" w:cs="宋体"/>
          <w:spacing w:val="9"/>
          <w:sz w:val="20"/>
          <w:szCs w:val="20"/>
        </w:rPr>
        <w:t>有关招标文件的解释权：见投标人须知前附</w:t>
      </w:r>
      <w:r>
        <w:rPr>
          <w:rFonts w:ascii="宋体" w:hAnsi="宋体" w:eastAsia="宋体" w:cs="宋体"/>
          <w:spacing w:val="8"/>
          <w:sz w:val="20"/>
          <w:szCs w:val="20"/>
        </w:rPr>
        <w:t>表。</w:t>
      </w:r>
    </w:p>
    <w:p w14:paraId="0327D58B">
      <w:pPr>
        <w:pStyle w:val="2"/>
        <w:spacing w:before="128" w:line="221" w:lineRule="auto"/>
        <w:ind w:left="42"/>
        <w:outlineLvl w:val="3"/>
        <w:rPr>
          <w:sz w:val="24"/>
          <w:szCs w:val="24"/>
        </w:rPr>
      </w:pPr>
      <w:bookmarkStart w:id="79" w:name="bookmark71"/>
      <w:bookmarkEnd w:id="79"/>
      <w:r>
        <w:rPr>
          <w:rFonts w:ascii="Times New Roman" w:hAnsi="Times New Roman" w:eastAsia="Times New Roman" w:cs="Times New Roman"/>
          <w:spacing w:val="-2"/>
          <w:sz w:val="24"/>
          <w:szCs w:val="24"/>
        </w:rPr>
        <w:t xml:space="preserve">10.7  </w:t>
      </w:r>
      <w:r>
        <w:rPr>
          <w:spacing w:val="-2"/>
          <w:sz w:val="24"/>
          <w:szCs w:val="24"/>
        </w:rPr>
        <w:t>交易平台信息服务费</w:t>
      </w:r>
    </w:p>
    <w:p w14:paraId="789639E6">
      <w:pPr>
        <w:spacing w:before="125" w:line="227" w:lineRule="auto"/>
        <w:ind w:left="446"/>
        <w:rPr>
          <w:rFonts w:ascii="宋体" w:hAnsi="宋体" w:eastAsia="宋体" w:cs="宋体"/>
          <w:sz w:val="20"/>
          <w:szCs w:val="20"/>
        </w:rPr>
      </w:pPr>
      <w:r>
        <w:rPr>
          <w:rFonts w:ascii="宋体" w:hAnsi="宋体" w:eastAsia="宋体" w:cs="宋体"/>
          <w:spacing w:val="9"/>
          <w:sz w:val="20"/>
          <w:szCs w:val="20"/>
        </w:rPr>
        <w:t>交易平台信息服务费缴费规定：见投标人须知前附表。</w:t>
      </w:r>
    </w:p>
    <w:p w14:paraId="068D64AF">
      <w:pPr>
        <w:pStyle w:val="2"/>
        <w:spacing w:before="207" w:line="221" w:lineRule="auto"/>
        <w:ind w:left="42"/>
        <w:outlineLvl w:val="3"/>
        <w:rPr>
          <w:sz w:val="24"/>
          <w:szCs w:val="24"/>
        </w:rPr>
      </w:pPr>
      <w:bookmarkStart w:id="80" w:name="bookmark72"/>
      <w:bookmarkEnd w:id="80"/>
      <w:r>
        <w:rPr>
          <w:rFonts w:ascii="Times New Roman" w:hAnsi="Times New Roman" w:eastAsia="Times New Roman" w:cs="Times New Roman"/>
          <w:spacing w:val="-3"/>
          <w:sz w:val="24"/>
          <w:szCs w:val="24"/>
        </w:rPr>
        <w:t xml:space="preserve">10.8  </w:t>
      </w:r>
      <w:r>
        <w:rPr>
          <w:spacing w:val="-3"/>
          <w:sz w:val="24"/>
          <w:szCs w:val="24"/>
        </w:rPr>
        <w:t>招标代理服务费</w:t>
      </w:r>
    </w:p>
    <w:p w14:paraId="7BBC20FB">
      <w:pPr>
        <w:spacing w:before="128" w:line="227" w:lineRule="auto"/>
        <w:ind w:left="443"/>
        <w:rPr>
          <w:rFonts w:ascii="宋体" w:hAnsi="宋体" w:eastAsia="宋体" w:cs="宋体"/>
          <w:sz w:val="20"/>
          <w:szCs w:val="20"/>
        </w:rPr>
      </w:pPr>
      <w:r>
        <w:rPr>
          <w:rFonts w:ascii="宋体" w:hAnsi="宋体" w:eastAsia="宋体" w:cs="宋体"/>
          <w:spacing w:val="9"/>
          <w:sz w:val="20"/>
          <w:szCs w:val="20"/>
        </w:rPr>
        <w:t>招标代理服务费收取约定：见投标人须知前附表。</w:t>
      </w:r>
    </w:p>
    <w:p w14:paraId="55ADE10B">
      <w:pPr>
        <w:pStyle w:val="2"/>
        <w:spacing w:before="207" w:line="222" w:lineRule="auto"/>
        <w:ind w:left="42"/>
        <w:outlineLvl w:val="3"/>
        <w:rPr>
          <w:sz w:val="24"/>
          <w:szCs w:val="24"/>
        </w:rPr>
      </w:pPr>
      <w:bookmarkStart w:id="81" w:name="bookmark73"/>
      <w:bookmarkEnd w:id="81"/>
      <w:r>
        <w:rPr>
          <w:rFonts w:ascii="Times New Roman" w:hAnsi="Times New Roman" w:eastAsia="Times New Roman" w:cs="Times New Roman"/>
          <w:spacing w:val="-2"/>
          <w:sz w:val="24"/>
          <w:szCs w:val="24"/>
        </w:rPr>
        <w:t xml:space="preserve">10.9  </w:t>
      </w:r>
      <w:r>
        <w:rPr>
          <w:spacing w:val="-2"/>
          <w:sz w:val="24"/>
          <w:szCs w:val="24"/>
        </w:rPr>
        <w:t>政府采购合同融资政策</w:t>
      </w:r>
    </w:p>
    <w:p w14:paraId="7A848F7C">
      <w:pPr>
        <w:spacing w:before="127" w:line="227" w:lineRule="auto"/>
        <w:ind w:left="441"/>
        <w:rPr>
          <w:rFonts w:ascii="宋体" w:hAnsi="宋体" w:eastAsia="宋体" w:cs="宋体"/>
          <w:sz w:val="20"/>
          <w:szCs w:val="20"/>
        </w:rPr>
      </w:pPr>
      <w:r>
        <w:rPr>
          <w:rFonts w:ascii="宋体" w:hAnsi="宋体" w:eastAsia="宋体" w:cs="宋体"/>
          <w:spacing w:val="9"/>
          <w:sz w:val="20"/>
          <w:szCs w:val="20"/>
        </w:rPr>
        <w:t>政府采购合同融资政策：见投标人须知前附表。</w:t>
      </w:r>
    </w:p>
    <w:p w14:paraId="285BB895">
      <w:pPr>
        <w:pStyle w:val="2"/>
        <w:spacing w:before="208" w:line="222" w:lineRule="auto"/>
        <w:ind w:left="42"/>
        <w:outlineLvl w:val="1"/>
        <w:rPr>
          <w:sz w:val="24"/>
          <w:szCs w:val="24"/>
        </w:rPr>
      </w:pPr>
      <w:bookmarkStart w:id="82" w:name="bookmark74"/>
      <w:bookmarkEnd w:id="82"/>
      <w:r>
        <w:rPr>
          <w:rFonts w:ascii="Times New Roman" w:hAnsi="Times New Roman" w:eastAsia="Times New Roman" w:cs="Times New Roman"/>
          <w:spacing w:val="-2"/>
          <w:sz w:val="24"/>
          <w:szCs w:val="24"/>
        </w:rPr>
        <w:t xml:space="preserve">10.10  </w:t>
      </w:r>
      <w:r>
        <w:rPr>
          <w:spacing w:val="-2"/>
          <w:sz w:val="24"/>
          <w:szCs w:val="24"/>
        </w:rPr>
        <w:t>招标人补充的其他内容</w:t>
      </w:r>
    </w:p>
    <w:p w14:paraId="4B1C3F4D">
      <w:pPr>
        <w:spacing w:before="136" w:line="227" w:lineRule="auto"/>
        <w:ind w:left="443"/>
        <w:rPr>
          <w:rFonts w:ascii="宋体" w:hAnsi="宋体" w:eastAsia="宋体" w:cs="宋体"/>
          <w:sz w:val="20"/>
          <w:szCs w:val="20"/>
        </w:rPr>
      </w:pPr>
      <w:r>
        <w:rPr>
          <w:rFonts w:ascii="宋体" w:hAnsi="宋体" w:eastAsia="宋体" w:cs="宋体"/>
          <w:spacing w:val="9"/>
          <w:sz w:val="20"/>
          <w:szCs w:val="20"/>
        </w:rPr>
        <w:t>招标人补充的其他内容：见投标人须知前附</w:t>
      </w:r>
      <w:r>
        <w:rPr>
          <w:rFonts w:ascii="宋体" w:hAnsi="宋体" w:eastAsia="宋体" w:cs="宋体"/>
          <w:spacing w:val="8"/>
          <w:sz w:val="20"/>
          <w:szCs w:val="20"/>
        </w:rPr>
        <w:t>表。</w:t>
      </w:r>
    </w:p>
    <w:p w14:paraId="65C0B2E3">
      <w:pPr>
        <w:spacing w:line="227" w:lineRule="auto"/>
        <w:rPr>
          <w:rFonts w:ascii="宋体" w:hAnsi="宋体" w:eastAsia="宋体" w:cs="宋体"/>
          <w:sz w:val="20"/>
          <w:szCs w:val="20"/>
        </w:rPr>
        <w:sectPr>
          <w:footerReference r:id="rId45" w:type="default"/>
          <w:pgSz w:w="11906" w:h="16839"/>
          <w:pgMar w:top="1431" w:right="1785" w:bottom="1156" w:left="1785" w:header="0" w:footer="994" w:gutter="0"/>
          <w:cols w:space="720" w:num="1"/>
        </w:sectPr>
      </w:pPr>
    </w:p>
    <w:p w14:paraId="6DE09DE5">
      <w:pPr>
        <w:spacing w:line="339" w:lineRule="auto"/>
        <w:rPr>
          <w:rFonts w:ascii="Arial"/>
          <w:sz w:val="21"/>
        </w:rPr>
      </w:pPr>
    </w:p>
    <w:p w14:paraId="10B4CFB5">
      <w:pPr>
        <w:pStyle w:val="2"/>
        <w:spacing w:before="78" w:line="222" w:lineRule="auto"/>
        <w:ind w:left="36"/>
        <w:rPr>
          <w:sz w:val="24"/>
          <w:szCs w:val="24"/>
        </w:rPr>
      </w:pPr>
      <w:bookmarkStart w:id="83" w:name="bookmark75"/>
      <w:bookmarkEnd w:id="83"/>
      <w:r>
        <w:rPr>
          <w:spacing w:val="-2"/>
          <w:sz w:val="24"/>
          <w:szCs w:val="24"/>
        </w:rPr>
        <w:t>附表一：招标文件澄清申请函</w:t>
      </w:r>
    </w:p>
    <w:p w14:paraId="3B9DAC05">
      <w:pPr>
        <w:spacing w:line="258" w:lineRule="auto"/>
        <w:rPr>
          <w:rFonts w:ascii="Arial"/>
          <w:sz w:val="21"/>
        </w:rPr>
      </w:pPr>
    </w:p>
    <w:p w14:paraId="65A88437">
      <w:pPr>
        <w:spacing w:line="258" w:lineRule="auto"/>
        <w:rPr>
          <w:rFonts w:ascii="Arial"/>
          <w:sz w:val="21"/>
        </w:rPr>
      </w:pPr>
    </w:p>
    <w:p w14:paraId="5C119ACA">
      <w:pPr>
        <w:spacing w:line="258" w:lineRule="auto"/>
        <w:rPr>
          <w:rFonts w:ascii="Arial"/>
          <w:sz w:val="21"/>
        </w:rPr>
      </w:pPr>
    </w:p>
    <w:p w14:paraId="4121278F">
      <w:pPr>
        <w:spacing w:line="258" w:lineRule="auto"/>
        <w:rPr>
          <w:rFonts w:ascii="Arial"/>
          <w:sz w:val="21"/>
        </w:rPr>
      </w:pPr>
    </w:p>
    <w:p w14:paraId="40AFD361">
      <w:pPr>
        <w:spacing w:line="258" w:lineRule="auto"/>
        <w:rPr>
          <w:rFonts w:ascii="Arial"/>
          <w:sz w:val="21"/>
        </w:rPr>
      </w:pPr>
    </w:p>
    <w:p w14:paraId="43E267A1">
      <w:pPr>
        <w:spacing w:line="258" w:lineRule="auto"/>
        <w:rPr>
          <w:rFonts w:ascii="Arial"/>
          <w:sz w:val="21"/>
        </w:rPr>
      </w:pPr>
    </w:p>
    <w:p w14:paraId="0E4F10C2">
      <w:pPr>
        <w:spacing w:line="258" w:lineRule="auto"/>
        <w:rPr>
          <w:rFonts w:ascii="Arial"/>
          <w:sz w:val="21"/>
        </w:rPr>
      </w:pPr>
    </w:p>
    <w:p w14:paraId="1694B160">
      <w:pPr>
        <w:pStyle w:val="2"/>
        <w:spacing w:before="91" w:line="222" w:lineRule="auto"/>
        <w:ind w:left="2915"/>
        <w:rPr>
          <w:sz w:val="28"/>
          <w:szCs w:val="28"/>
        </w:rPr>
      </w:pPr>
      <w:r>
        <w:rPr>
          <w:spacing w:val="-1"/>
          <w:sz w:val="28"/>
          <w:szCs w:val="28"/>
        </w:rPr>
        <w:t>招标文件澄清申请函</w:t>
      </w:r>
    </w:p>
    <w:p w14:paraId="04586E06">
      <w:pPr>
        <w:spacing w:line="301" w:lineRule="auto"/>
        <w:rPr>
          <w:rFonts w:ascii="Arial"/>
          <w:sz w:val="21"/>
        </w:rPr>
      </w:pPr>
    </w:p>
    <w:p w14:paraId="79A40BC2">
      <w:pPr>
        <w:spacing w:line="302" w:lineRule="auto"/>
        <w:rPr>
          <w:rFonts w:ascii="Arial"/>
          <w:sz w:val="21"/>
        </w:rPr>
      </w:pPr>
    </w:p>
    <w:p w14:paraId="65423B94">
      <w:pPr>
        <w:spacing w:before="65" w:line="228" w:lineRule="auto"/>
        <w:ind w:left="6218"/>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5909C264">
      <w:pPr>
        <w:spacing w:line="257" w:lineRule="auto"/>
        <w:rPr>
          <w:rFonts w:ascii="Arial"/>
          <w:sz w:val="21"/>
        </w:rPr>
      </w:pPr>
    </w:p>
    <w:p w14:paraId="565ED551">
      <w:pPr>
        <w:spacing w:line="258" w:lineRule="auto"/>
        <w:rPr>
          <w:rFonts w:ascii="Arial"/>
          <w:sz w:val="21"/>
        </w:rPr>
      </w:pPr>
    </w:p>
    <w:p w14:paraId="634E9A99">
      <w:pPr>
        <w:spacing w:line="258" w:lineRule="auto"/>
        <w:rPr>
          <w:rFonts w:ascii="Arial"/>
          <w:sz w:val="21"/>
        </w:rPr>
      </w:pPr>
    </w:p>
    <w:p w14:paraId="6278B88B">
      <w:pPr>
        <w:tabs>
          <w:tab w:val="left" w:pos="3267"/>
        </w:tabs>
        <w:spacing w:before="66" w:line="228" w:lineRule="auto"/>
        <w:ind w:left="1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（招标人名称</w:t>
      </w:r>
      <w:r>
        <w:rPr>
          <w:rFonts w:ascii="宋体" w:hAnsi="宋体" w:eastAsia="宋体" w:cs="宋体"/>
          <w:spacing w:val="-54"/>
          <w:w w:val="99"/>
          <w:sz w:val="20"/>
          <w:szCs w:val="20"/>
        </w:rPr>
        <w:t>）：</w:t>
      </w:r>
    </w:p>
    <w:p w14:paraId="122B45EE">
      <w:pPr>
        <w:spacing w:line="248" w:lineRule="auto"/>
        <w:rPr>
          <w:rFonts w:ascii="Arial"/>
          <w:sz w:val="21"/>
        </w:rPr>
      </w:pPr>
    </w:p>
    <w:p w14:paraId="7BCF88EF">
      <w:pPr>
        <w:spacing w:before="65" w:line="516" w:lineRule="auto"/>
        <w:ind w:left="20" w:right="16" w:firstLine="423"/>
        <w:rPr>
          <w:rFonts w:ascii="宋体" w:hAnsi="宋体" w:eastAsia="宋体" w:cs="宋体"/>
          <w:sz w:val="20"/>
          <w:szCs w:val="20"/>
        </w:rPr>
      </w:pPr>
      <w:r>
        <w:rPr>
          <w:rFonts w:ascii="宋体" w:hAnsi="宋体" w:eastAsia="宋体" w:cs="宋体"/>
          <w:spacing w:val="11"/>
          <w:sz w:val="20"/>
          <w:szCs w:val="20"/>
        </w:rPr>
        <w:t>经过仔细阅读</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（项目名称</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1"/>
          <w:sz w:val="20"/>
          <w:szCs w:val="20"/>
        </w:rPr>
        <w:t>标段名称）施工招标文件后，我方申</w:t>
      </w:r>
      <w:r>
        <w:rPr>
          <w:rFonts w:ascii="宋体" w:hAnsi="宋体" w:eastAsia="宋体" w:cs="宋体"/>
          <w:spacing w:val="8"/>
          <w:sz w:val="20"/>
          <w:szCs w:val="20"/>
        </w:rPr>
        <w:t>请对以下问题予以澄清：</w:t>
      </w:r>
    </w:p>
    <w:p w14:paraId="5919CB2F">
      <w:pPr>
        <w:spacing w:line="267" w:lineRule="exact"/>
        <w:ind w:left="352"/>
        <w:rPr>
          <w:rFonts w:ascii="宋体" w:hAnsi="宋体" w:eastAsia="宋体" w:cs="宋体"/>
          <w:sz w:val="20"/>
          <w:szCs w:val="20"/>
        </w:rPr>
      </w:pPr>
      <w:r>
        <w:rPr>
          <w:rFonts w:ascii="宋体" w:hAnsi="宋体" w:eastAsia="宋体" w:cs="宋体"/>
          <w:spacing w:val="1"/>
          <w:position w:val="1"/>
          <w:sz w:val="20"/>
          <w:szCs w:val="20"/>
        </w:rPr>
        <w:t>1.……</w:t>
      </w:r>
    </w:p>
    <w:p w14:paraId="21C1D66C">
      <w:pPr>
        <w:spacing w:before="294" w:line="268" w:lineRule="exact"/>
        <w:ind w:left="339"/>
        <w:rPr>
          <w:rFonts w:ascii="宋体" w:hAnsi="宋体" w:eastAsia="宋体" w:cs="宋体"/>
          <w:sz w:val="20"/>
          <w:szCs w:val="20"/>
        </w:rPr>
      </w:pPr>
      <w:r>
        <w:rPr>
          <w:rFonts w:ascii="宋体" w:hAnsi="宋体" w:eastAsia="宋体" w:cs="宋体"/>
          <w:spacing w:val="4"/>
          <w:position w:val="1"/>
          <w:sz w:val="20"/>
          <w:szCs w:val="20"/>
        </w:rPr>
        <w:t>2.……</w:t>
      </w:r>
    </w:p>
    <w:p w14:paraId="732F67EC">
      <w:pPr>
        <w:spacing w:before="291" w:line="324" w:lineRule="exact"/>
        <w:ind w:left="455"/>
        <w:rPr>
          <w:rFonts w:ascii="宋体" w:hAnsi="宋体" w:eastAsia="宋体" w:cs="宋体"/>
          <w:sz w:val="20"/>
          <w:szCs w:val="20"/>
        </w:rPr>
      </w:pPr>
      <w:r>
        <w:rPr>
          <w:rFonts w:ascii="宋体" w:hAnsi="宋体" w:eastAsia="宋体" w:cs="宋体"/>
          <w:spacing w:val="-2"/>
          <w:position w:val="2"/>
          <w:sz w:val="20"/>
          <w:szCs w:val="20"/>
        </w:rPr>
        <w:t>……</w:t>
      </w:r>
    </w:p>
    <w:p w14:paraId="3E73A502">
      <w:pPr>
        <w:spacing w:line="266" w:lineRule="auto"/>
        <w:rPr>
          <w:rFonts w:ascii="Arial"/>
          <w:sz w:val="21"/>
        </w:rPr>
      </w:pPr>
    </w:p>
    <w:p w14:paraId="3E77E9BF">
      <w:pPr>
        <w:spacing w:line="266" w:lineRule="auto"/>
        <w:rPr>
          <w:rFonts w:ascii="Arial"/>
          <w:sz w:val="21"/>
        </w:rPr>
      </w:pPr>
    </w:p>
    <w:p w14:paraId="2128B393">
      <w:pPr>
        <w:spacing w:line="267" w:lineRule="auto"/>
        <w:rPr>
          <w:rFonts w:ascii="Arial"/>
          <w:sz w:val="21"/>
        </w:rPr>
      </w:pPr>
    </w:p>
    <w:p w14:paraId="4015D127">
      <w:pPr>
        <w:spacing w:line="267" w:lineRule="auto"/>
        <w:rPr>
          <w:rFonts w:ascii="Arial"/>
          <w:sz w:val="21"/>
        </w:rPr>
      </w:pPr>
    </w:p>
    <w:p w14:paraId="5039D2F3">
      <w:pPr>
        <w:spacing w:before="65" w:line="227" w:lineRule="auto"/>
        <w:ind w:right="24"/>
        <w:jc w:val="right"/>
        <w:rPr>
          <w:rFonts w:ascii="宋体" w:hAnsi="宋体" w:eastAsia="宋体" w:cs="宋体"/>
          <w:sz w:val="20"/>
          <w:szCs w:val="20"/>
        </w:rPr>
      </w:pPr>
      <w:r>
        <w:rPr>
          <w:rFonts w:ascii="宋体" w:hAnsi="宋体" w:eastAsia="宋体" w:cs="宋体"/>
          <w:spacing w:val="11"/>
          <w:sz w:val="20"/>
          <w:szCs w:val="20"/>
        </w:rPr>
        <w:t>投标人</w:t>
      </w:r>
      <w:r>
        <w:rPr>
          <w:rFonts w:ascii="宋体" w:hAnsi="宋体" w:eastAsia="宋体" w:cs="宋体"/>
          <w:spacing w:val="-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9"/>
          <w:sz w:val="20"/>
          <w:szCs w:val="20"/>
        </w:rPr>
        <w:t>（</w:t>
      </w:r>
      <w:r>
        <w:rPr>
          <w:rFonts w:ascii="宋体" w:hAnsi="宋体" w:eastAsia="宋体" w:cs="宋体"/>
          <w:spacing w:val="11"/>
          <w:sz w:val="20"/>
          <w:szCs w:val="20"/>
        </w:rPr>
        <w:t>盖单位章）</w:t>
      </w:r>
    </w:p>
    <w:p w14:paraId="33096B56">
      <w:pPr>
        <w:spacing w:line="263" w:lineRule="auto"/>
        <w:rPr>
          <w:rFonts w:ascii="Arial"/>
          <w:sz w:val="21"/>
        </w:rPr>
      </w:pPr>
    </w:p>
    <w:p w14:paraId="66A1AD34">
      <w:pPr>
        <w:spacing w:line="264" w:lineRule="auto"/>
        <w:rPr>
          <w:rFonts w:ascii="Arial"/>
          <w:sz w:val="21"/>
        </w:rPr>
      </w:pPr>
    </w:p>
    <w:p w14:paraId="5C618DCD">
      <w:pPr>
        <w:tabs>
          <w:tab w:val="left" w:pos="6839"/>
        </w:tabs>
        <w:spacing w:before="66" w:line="228" w:lineRule="auto"/>
        <w:ind w:left="589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14"/>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14"/>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4"/>
          <w:sz w:val="20"/>
          <w:szCs w:val="20"/>
        </w:rPr>
        <w:t>日</w:t>
      </w:r>
    </w:p>
    <w:p w14:paraId="6A0BA081">
      <w:pPr>
        <w:spacing w:line="252" w:lineRule="auto"/>
        <w:rPr>
          <w:rFonts w:ascii="Arial"/>
          <w:sz w:val="21"/>
        </w:rPr>
      </w:pPr>
    </w:p>
    <w:p w14:paraId="4F11317C">
      <w:pPr>
        <w:spacing w:line="252" w:lineRule="auto"/>
        <w:rPr>
          <w:rFonts w:ascii="Arial"/>
          <w:sz w:val="21"/>
        </w:rPr>
      </w:pPr>
    </w:p>
    <w:p w14:paraId="7DA14D59">
      <w:pPr>
        <w:spacing w:line="252" w:lineRule="auto"/>
        <w:rPr>
          <w:rFonts w:ascii="Arial"/>
          <w:sz w:val="21"/>
        </w:rPr>
      </w:pPr>
    </w:p>
    <w:p w14:paraId="5E531108">
      <w:pPr>
        <w:spacing w:line="252" w:lineRule="auto"/>
        <w:rPr>
          <w:rFonts w:ascii="Arial"/>
          <w:sz w:val="21"/>
        </w:rPr>
      </w:pPr>
    </w:p>
    <w:p w14:paraId="16A9B72D">
      <w:pPr>
        <w:spacing w:line="252" w:lineRule="auto"/>
        <w:rPr>
          <w:rFonts w:ascii="Arial"/>
          <w:sz w:val="21"/>
        </w:rPr>
      </w:pPr>
    </w:p>
    <w:p w14:paraId="4E2B0FF3">
      <w:pPr>
        <w:spacing w:line="252" w:lineRule="auto"/>
        <w:rPr>
          <w:rFonts w:ascii="Arial"/>
          <w:sz w:val="21"/>
        </w:rPr>
      </w:pPr>
    </w:p>
    <w:p w14:paraId="05B6A457">
      <w:pPr>
        <w:spacing w:line="252" w:lineRule="auto"/>
        <w:rPr>
          <w:rFonts w:ascii="Arial"/>
          <w:sz w:val="21"/>
        </w:rPr>
      </w:pPr>
    </w:p>
    <w:p w14:paraId="27F88FE5">
      <w:pPr>
        <w:spacing w:line="253" w:lineRule="auto"/>
        <w:rPr>
          <w:rFonts w:ascii="Arial"/>
          <w:sz w:val="21"/>
        </w:rPr>
      </w:pPr>
    </w:p>
    <w:p w14:paraId="24E7D3AA">
      <w:pPr>
        <w:spacing w:line="253" w:lineRule="auto"/>
        <w:rPr>
          <w:rFonts w:ascii="Arial"/>
          <w:sz w:val="21"/>
        </w:rPr>
      </w:pPr>
    </w:p>
    <w:p w14:paraId="6C798E85">
      <w:pPr>
        <w:spacing w:line="253" w:lineRule="auto"/>
        <w:rPr>
          <w:rFonts w:ascii="Arial"/>
          <w:sz w:val="21"/>
        </w:rPr>
      </w:pPr>
    </w:p>
    <w:p w14:paraId="281BB94E">
      <w:pPr>
        <w:spacing w:line="253" w:lineRule="auto"/>
        <w:rPr>
          <w:rFonts w:ascii="Arial"/>
          <w:sz w:val="21"/>
        </w:rPr>
      </w:pPr>
    </w:p>
    <w:p w14:paraId="313BFD6A">
      <w:pPr>
        <w:spacing w:line="253" w:lineRule="auto"/>
        <w:rPr>
          <w:rFonts w:ascii="Arial"/>
          <w:sz w:val="21"/>
        </w:rPr>
      </w:pPr>
    </w:p>
    <w:p w14:paraId="5EB5A76F">
      <w:pPr>
        <w:spacing w:before="66" w:line="227" w:lineRule="auto"/>
        <w:ind w:left="24"/>
        <w:rPr>
          <w:rFonts w:ascii="宋体" w:hAnsi="宋体" w:eastAsia="宋体" w:cs="宋体"/>
          <w:sz w:val="20"/>
          <w:szCs w:val="20"/>
        </w:rPr>
      </w:pPr>
      <w:r>
        <w:rPr>
          <w:rFonts w:ascii="宋体" w:hAnsi="宋体" w:eastAsia="宋体" w:cs="宋体"/>
          <w:spacing w:val="9"/>
          <w:sz w:val="20"/>
          <w:szCs w:val="20"/>
        </w:rPr>
        <w:t>备注：投标人要求招标人澄清招标文件有关问题时，适用于本格式。</w:t>
      </w:r>
    </w:p>
    <w:p w14:paraId="62C62038">
      <w:pPr>
        <w:spacing w:line="227" w:lineRule="auto"/>
        <w:rPr>
          <w:rFonts w:ascii="宋体" w:hAnsi="宋体" w:eastAsia="宋体" w:cs="宋体"/>
          <w:sz w:val="20"/>
          <w:szCs w:val="20"/>
        </w:rPr>
        <w:sectPr>
          <w:footerReference r:id="rId46" w:type="default"/>
          <w:pgSz w:w="11906" w:h="16839"/>
          <w:pgMar w:top="1431" w:right="1785" w:bottom="1156" w:left="1785" w:header="0" w:footer="994" w:gutter="0"/>
          <w:cols w:space="720" w:num="1"/>
        </w:sectPr>
      </w:pPr>
    </w:p>
    <w:p w14:paraId="313142E5">
      <w:pPr>
        <w:pStyle w:val="2"/>
        <w:spacing w:before="158" w:line="222" w:lineRule="auto"/>
        <w:ind w:left="36"/>
        <w:outlineLvl w:val="1"/>
        <w:rPr>
          <w:sz w:val="24"/>
          <w:szCs w:val="24"/>
        </w:rPr>
      </w:pPr>
      <w:bookmarkStart w:id="84" w:name="bookmark76"/>
      <w:bookmarkEnd w:id="84"/>
      <w:r>
        <w:rPr>
          <w:spacing w:val="-2"/>
          <w:sz w:val="24"/>
          <w:szCs w:val="24"/>
        </w:rPr>
        <w:t>附表二：招标文件文件澄清通知</w:t>
      </w:r>
    </w:p>
    <w:p w14:paraId="1DB46A08">
      <w:pPr>
        <w:spacing w:line="264" w:lineRule="auto"/>
        <w:rPr>
          <w:rFonts w:ascii="Arial"/>
          <w:sz w:val="21"/>
        </w:rPr>
      </w:pPr>
    </w:p>
    <w:p w14:paraId="0F925505">
      <w:pPr>
        <w:spacing w:line="265" w:lineRule="auto"/>
        <w:rPr>
          <w:rFonts w:ascii="Arial"/>
          <w:sz w:val="21"/>
        </w:rPr>
      </w:pPr>
    </w:p>
    <w:p w14:paraId="42718F4B">
      <w:pPr>
        <w:spacing w:line="265" w:lineRule="auto"/>
        <w:rPr>
          <w:rFonts w:ascii="Arial"/>
          <w:sz w:val="21"/>
        </w:rPr>
      </w:pPr>
    </w:p>
    <w:p w14:paraId="0CF04056">
      <w:pPr>
        <w:spacing w:line="265" w:lineRule="auto"/>
        <w:rPr>
          <w:rFonts w:ascii="Arial"/>
          <w:sz w:val="21"/>
        </w:rPr>
      </w:pPr>
    </w:p>
    <w:p w14:paraId="1DF34BAD">
      <w:pPr>
        <w:spacing w:line="265" w:lineRule="auto"/>
        <w:rPr>
          <w:rFonts w:ascii="Arial"/>
          <w:sz w:val="21"/>
        </w:rPr>
      </w:pPr>
    </w:p>
    <w:p w14:paraId="524E4B84">
      <w:pPr>
        <w:spacing w:line="265" w:lineRule="auto"/>
        <w:rPr>
          <w:rFonts w:ascii="Arial"/>
          <w:sz w:val="21"/>
        </w:rPr>
      </w:pPr>
    </w:p>
    <w:p w14:paraId="63C31E90">
      <w:pPr>
        <w:pStyle w:val="2"/>
        <w:spacing w:before="91" w:line="222" w:lineRule="auto"/>
        <w:ind w:left="3057"/>
        <w:rPr>
          <w:sz w:val="28"/>
          <w:szCs w:val="28"/>
        </w:rPr>
      </w:pPr>
      <w:r>
        <w:rPr>
          <w:spacing w:val="-2"/>
          <w:sz w:val="28"/>
          <w:szCs w:val="28"/>
        </w:rPr>
        <w:t>招标文件澄清通知</w:t>
      </w:r>
    </w:p>
    <w:p w14:paraId="26CFCC13">
      <w:pPr>
        <w:spacing w:line="301" w:lineRule="auto"/>
        <w:rPr>
          <w:rFonts w:ascii="Arial"/>
          <w:sz w:val="21"/>
        </w:rPr>
      </w:pPr>
    </w:p>
    <w:p w14:paraId="28900AF4">
      <w:pPr>
        <w:spacing w:line="302" w:lineRule="auto"/>
        <w:rPr>
          <w:rFonts w:ascii="Arial"/>
          <w:sz w:val="21"/>
        </w:rPr>
      </w:pPr>
    </w:p>
    <w:p w14:paraId="1F0B9440">
      <w:pPr>
        <w:spacing w:before="65" w:line="228" w:lineRule="auto"/>
        <w:ind w:left="6009"/>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0FABCDE8">
      <w:pPr>
        <w:spacing w:line="263" w:lineRule="auto"/>
        <w:rPr>
          <w:rFonts w:ascii="Arial"/>
          <w:sz w:val="21"/>
        </w:rPr>
      </w:pPr>
    </w:p>
    <w:p w14:paraId="3168D0FD">
      <w:pPr>
        <w:spacing w:line="264" w:lineRule="auto"/>
        <w:rPr>
          <w:rFonts w:ascii="Arial"/>
          <w:sz w:val="21"/>
        </w:rPr>
      </w:pPr>
    </w:p>
    <w:p w14:paraId="3FFBEC53">
      <w:pPr>
        <w:spacing w:before="65" w:line="228" w:lineRule="auto"/>
        <w:ind w:left="24"/>
        <w:rPr>
          <w:rFonts w:ascii="宋体" w:hAnsi="宋体" w:eastAsia="宋体" w:cs="宋体"/>
          <w:sz w:val="20"/>
          <w:szCs w:val="20"/>
        </w:rPr>
      </w:pPr>
      <w:r>
        <w:rPr>
          <w:rFonts w:ascii="宋体" w:hAnsi="宋体" w:eastAsia="宋体" w:cs="宋体"/>
          <w:spacing w:val="5"/>
          <w:sz w:val="20"/>
          <w:szCs w:val="20"/>
        </w:rPr>
        <w:t>各投标人：</w:t>
      </w:r>
    </w:p>
    <w:p w14:paraId="4BC3FCF2">
      <w:pPr>
        <w:spacing w:line="245" w:lineRule="auto"/>
        <w:rPr>
          <w:rFonts w:ascii="Arial"/>
          <w:sz w:val="21"/>
        </w:rPr>
      </w:pPr>
    </w:p>
    <w:p w14:paraId="3C584871">
      <w:pPr>
        <w:spacing w:before="66" w:line="517" w:lineRule="auto"/>
        <w:ind w:left="22" w:right="15" w:firstLine="421"/>
        <w:rPr>
          <w:rFonts w:ascii="宋体" w:hAnsi="宋体" w:eastAsia="宋体" w:cs="宋体"/>
          <w:sz w:val="20"/>
          <w:szCs w:val="20"/>
        </w:rPr>
      </w:pPr>
      <w:r>
        <w:rPr>
          <w:rFonts w:ascii="宋体" w:hAnsi="宋体" w:eastAsia="宋体" w:cs="宋体"/>
          <w:spacing w:val="7"/>
          <w:sz w:val="20"/>
          <w:szCs w:val="20"/>
        </w:rPr>
        <w:t>经研究，对</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（项目名称</w:t>
      </w:r>
      <w:r>
        <w:rPr>
          <w:rFonts w:ascii="宋体" w:hAnsi="宋体" w:eastAsia="宋体" w:cs="宋体"/>
          <w:spacing w:val="-20"/>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0"/>
          <w:sz w:val="20"/>
          <w:szCs w:val="20"/>
        </w:rPr>
        <w:t>（</w:t>
      </w:r>
      <w:r>
        <w:rPr>
          <w:rFonts w:ascii="宋体" w:hAnsi="宋体" w:eastAsia="宋体" w:cs="宋体"/>
          <w:spacing w:val="7"/>
          <w:sz w:val="20"/>
          <w:szCs w:val="20"/>
        </w:rPr>
        <w:t>标段名称）施工招标文件</w:t>
      </w:r>
      <w:r>
        <w:rPr>
          <w:rFonts w:ascii="宋体" w:hAnsi="宋体" w:eastAsia="宋体" w:cs="宋体"/>
          <w:spacing w:val="6"/>
          <w:sz w:val="20"/>
          <w:szCs w:val="20"/>
        </w:rPr>
        <w:t>，作如下</w:t>
      </w:r>
      <w:r>
        <w:rPr>
          <w:rFonts w:ascii="宋体" w:hAnsi="宋体" w:eastAsia="宋体" w:cs="宋体"/>
          <w:spacing w:val="3"/>
          <w:sz w:val="20"/>
          <w:szCs w:val="20"/>
        </w:rPr>
        <w:t>澄清：</w:t>
      </w:r>
    </w:p>
    <w:p w14:paraId="49D4ABB1">
      <w:pPr>
        <w:spacing w:line="268" w:lineRule="exact"/>
        <w:ind w:left="457"/>
        <w:rPr>
          <w:rFonts w:ascii="宋体" w:hAnsi="宋体" w:eastAsia="宋体" w:cs="宋体"/>
          <w:sz w:val="20"/>
          <w:szCs w:val="20"/>
        </w:rPr>
      </w:pPr>
      <w:r>
        <w:rPr>
          <w:rFonts w:ascii="宋体" w:hAnsi="宋体" w:eastAsia="宋体" w:cs="宋体"/>
          <w:position w:val="1"/>
          <w:sz w:val="20"/>
          <w:szCs w:val="20"/>
        </w:rPr>
        <w:t>1.……</w:t>
      </w:r>
    </w:p>
    <w:p w14:paraId="4370487B">
      <w:pPr>
        <w:spacing w:before="291" w:line="268" w:lineRule="exact"/>
        <w:ind w:left="444"/>
        <w:rPr>
          <w:rFonts w:ascii="宋体" w:hAnsi="宋体" w:eastAsia="宋体" w:cs="宋体"/>
          <w:sz w:val="20"/>
          <w:szCs w:val="20"/>
        </w:rPr>
      </w:pPr>
      <w:r>
        <w:rPr>
          <w:rFonts w:ascii="宋体" w:hAnsi="宋体" w:eastAsia="宋体" w:cs="宋体"/>
          <w:spacing w:val="3"/>
          <w:position w:val="1"/>
          <w:sz w:val="20"/>
          <w:szCs w:val="20"/>
        </w:rPr>
        <w:t>2.……</w:t>
      </w:r>
    </w:p>
    <w:p w14:paraId="3925DEF1">
      <w:pPr>
        <w:spacing w:before="294" w:line="324" w:lineRule="exact"/>
        <w:ind w:left="455"/>
        <w:rPr>
          <w:rFonts w:ascii="宋体" w:hAnsi="宋体" w:eastAsia="宋体" w:cs="宋体"/>
          <w:sz w:val="20"/>
          <w:szCs w:val="20"/>
        </w:rPr>
      </w:pPr>
      <w:r>
        <w:rPr>
          <w:rFonts w:ascii="宋体" w:hAnsi="宋体" w:eastAsia="宋体" w:cs="宋体"/>
          <w:spacing w:val="-2"/>
          <w:position w:val="2"/>
          <w:sz w:val="20"/>
          <w:szCs w:val="20"/>
        </w:rPr>
        <w:t>……</w:t>
      </w:r>
    </w:p>
    <w:p w14:paraId="35DA5122">
      <w:pPr>
        <w:spacing w:line="242" w:lineRule="auto"/>
        <w:rPr>
          <w:rFonts w:ascii="Arial"/>
          <w:sz w:val="21"/>
        </w:rPr>
      </w:pPr>
    </w:p>
    <w:p w14:paraId="03A6A03B">
      <w:pPr>
        <w:spacing w:line="242" w:lineRule="auto"/>
        <w:rPr>
          <w:rFonts w:ascii="Arial"/>
          <w:sz w:val="21"/>
        </w:rPr>
      </w:pPr>
    </w:p>
    <w:p w14:paraId="57A2AD0C">
      <w:pPr>
        <w:spacing w:line="242" w:lineRule="auto"/>
        <w:rPr>
          <w:rFonts w:ascii="Arial"/>
          <w:sz w:val="21"/>
        </w:rPr>
      </w:pPr>
    </w:p>
    <w:p w14:paraId="2F6CB226">
      <w:pPr>
        <w:spacing w:line="242" w:lineRule="auto"/>
        <w:rPr>
          <w:rFonts w:ascii="Arial"/>
          <w:sz w:val="21"/>
        </w:rPr>
      </w:pPr>
    </w:p>
    <w:p w14:paraId="1873A882">
      <w:pPr>
        <w:spacing w:line="242" w:lineRule="auto"/>
        <w:rPr>
          <w:rFonts w:ascii="Arial"/>
          <w:sz w:val="21"/>
        </w:rPr>
      </w:pPr>
    </w:p>
    <w:p w14:paraId="18879D6B">
      <w:pPr>
        <w:spacing w:line="242" w:lineRule="auto"/>
        <w:rPr>
          <w:rFonts w:ascii="Arial"/>
          <w:sz w:val="21"/>
        </w:rPr>
      </w:pPr>
    </w:p>
    <w:p w14:paraId="2B7FF462">
      <w:pPr>
        <w:spacing w:line="242" w:lineRule="auto"/>
        <w:rPr>
          <w:rFonts w:ascii="Arial"/>
          <w:sz w:val="21"/>
        </w:rPr>
      </w:pPr>
    </w:p>
    <w:p w14:paraId="5A78892C">
      <w:pPr>
        <w:spacing w:line="242" w:lineRule="auto"/>
        <w:rPr>
          <w:rFonts w:ascii="Arial"/>
          <w:sz w:val="21"/>
        </w:rPr>
      </w:pPr>
    </w:p>
    <w:p w14:paraId="0FA71F77">
      <w:pPr>
        <w:spacing w:line="243" w:lineRule="auto"/>
        <w:rPr>
          <w:rFonts w:ascii="Arial"/>
          <w:sz w:val="21"/>
        </w:rPr>
      </w:pPr>
    </w:p>
    <w:p w14:paraId="078B207E">
      <w:pPr>
        <w:spacing w:before="66" w:line="227" w:lineRule="auto"/>
        <w:ind w:right="24"/>
        <w:jc w:val="right"/>
        <w:rPr>
          <w:rFonts w:ascii="宋体" w:hAnsi="宋体" w:eastAsia="宋体" w:cs="宋体"/>
          <w:sz w:val="20"/>
          <w:szCs w:val="20"/>
        </w:rPr>
      </w:pPr>
      <w:r>
        <w:rPr>
          <w:rFonts w:ascii="宋体" w:hAnsi="宋体" w:eastAsia="宋体" w:cs="宋体"/>
          <w:spacing w:val="11"/>
          <w:sz w:val="20"/>
          <w:szCs w:val="20"/>
        </w:rPr>
        <w:t>招标人</w:t>
      </w:r>
      <w:r>
        <w:rPr>
          <w:rFonts w:ascii="宋体" w:hAnsi="宋体" w:eastAsia="宋体" w:cs="宋体"/>
          <w:spacing w:val="-8"/>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29"/>
          <w:sz w:val="20"/>
          <w:szCs w:val="20"/>
        </w:rPr>
        <w:t xml:space="preserve"> </w:t>
      </w:r>
      <w:r>
        <w:rPr>
          <w:rFonts w:ascii="宋体" w:hAnsi="宋体" w:eastAsia="宋体" w:cs="宋体"/>
          <w:spacing w:val="-8"/>
          <w:sz w:val="20"/>
          <w:szCs w:val="20"/>
        </w:rPr>
        <w:t>（</w:t>
      </w:r>
      <w:r>
        <w:rPr>
          <w:rFonts w:ascii="宋体" w:hAnsi="宋体" w:eastAsia="宋体" w:cs="宋体"/>
          <w:spacing w:val="11"/>
          <w:sz w:val="20"/>
          <w:szCs w:val="20"/>
        </w:rPr>
        <w:t>盖单位章）</w:t>
      </w:r>
    </w:p>
    <w:p w14:paraId="279CFEBC">
      <w:pPr>
        <w:spacing w:line="257" w:lineRule="auto"/>
        <w:rPr>
          <w:rFonts w:ascii="Arial"/>
          <w:sz w:val="21"/>
        </w:rPr>
      </w:pPr>
    </w:p>
    <w:p w14:paraId="3A15F7B0">
      <w:pPr>
        <w:spacing w:line="258" w:lineRule="auto"/>
        <w:rPr>
          <w:rFonts w:ascii="Arial"/>
          <w:sz w:val="21"/>
        </w:rPr>
      </w:pPr>
    </w:p>
    <w:p w14:paraId="7AB48B05">
      <w:pPr>
        <w:spacing w:line="258" w:lineRule="auto"/>
        <w:rPr>
          <w:rFonts w:ascii="Arial"/>
          <w:sz w:val="21"/>
        </w:rPr>
      </w:pPr>
    </w:p>
    <w:p w14:paraId="35038979">
      <w:pPr>
        <w:tabs>
          <w:tab w:val="left" w:pos="6839"/>
        </w:tabs>
        <w:spacing w:before="65" w:line="228" w:lineRule="auto"/>
        <w:ind w:left="589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14"/>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14"/>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4"/>
          <w:sz w:val="20"/>
          <w:szCs w:val="20"/>
        </w:rPr>
        <w:t>日</w:t>
      </w:r>
    </w:p>
    <w:p w14:paraId="250F4873">
      <w:pPr>
        <w:spacing w:line="244" w:lineRule="auto"/>
        <w:rPr>
          <w:rFonts w:ascii="Arial"/>
          <w:sz w:val="21"/>
        </w:rPr>
      </w:pPr>
    </w:p>
    <w:p w14:paraId="126D745B">
      <w:pPr>
        <w:spacing w:line="244" w:lineRule="auto"/>
        <w:rPr>
          <w:rFonts w:ascii="Arial"/>
          <w:sz w:val="21"/>
        </w:rPr>
      </w:pPr>
    </w:p>
    <w:p w14:paraId="2EA01266">
      <w:pPr>
        <w:spacing w:line="244" w:lineRule="auto"/>
        <w:rPr>
          <w:rFonts w:ascii="Arial"/>
          <w:sz w:val="21"/>
        </w:rPr>
      </w:pPr>
    </w:p>
    <w:p w14:paraId="350084D1">
      <w:pPr>
        <w:spacing w:line="245" w:lineRule="auto"/>
        <w:rPr>
          <w:rFonts w:ascii="Arial"/>
          <w:sz w:val="21"/>
        </w:rPr>
      </w:pPr>
    </w:p>
    <w:p w14:paraId="5F1A0D69">
      <w:pPr>
        <w:spacing w:line="245" w:lineRule="auto"/>
        <w:rPr>
          <w:rFonts w:ascii="Arial"/>
          <w:sz w:val="21"/>
        </w:rPr>
      </w:pPr>
    </w:p>
    <w:p w14:paraId="06B18209">
      <w:pPr>
        <w:spacing w:before="66" w:line="433" w:lineRule="auto"/>
        <w:ind w:left="650" w:right="16" w:hanging="626"/>
        <w:rPr>
          <w:rFonts w:ascii="宋体" w:hAnsi="宋体" w:eastAsia="宋体" w:cs="宋体"/>
          <w:sz w:val="20"/>
          <w:szCs w:val="20"/>
        </w:rPr>
      </w:pPr>
      <w:r>
        <w:rPr>
          <w:rFonts w:ascii="宋体" w:hAnsi="宋体" w:eastAsia="宋体" w:cs="宋体"/>
          <w:spacing w:val="7"/>
          <w:sz w:val="20"/>
          <w:szCs w:val="20"/>
        </w:rPr>
        <w:t>备注：招标人对招标文件有关问题澄清时，适用本格式。招标人可根据需要将附表二与附表三内容合并发出。</w:t>
      </w:r>
    </w:p>
    <w:p w14:paraId="7E0507DF">
      <w:pPr>
        <w:spacing w:line="433" w:lineRule="auto"/>
        <w:rPr>
          <w:rFonts w:ascii="宋体" w:hAnsi="宋体" w:eastAsia="宋体" w:cs="宋体"/>
          <w:sz w:val="20"/>
          <w:szCs w:val="20"/>
        </w:rPr>
        <w:sectPr>
          <w:footerReference r:id="rId47" w:type="default"/>
          <w:pgSz w:w="11906" w:h="16839"/>
          <w:pgMar w:top="1431" w:right="1785" w:bottom="1156" w:left="1785" w:header="0" w:footer="994" w:gutter="0"/>
          <w:cols w:space="720" w:num="1"/>
        </w:sectPr>
      </w:pPr>
    </w:p>
    <w:p w14:paraId="7815CD07">
      <w:pPr>
        <w:spacing w:line="261" w:lineRule="auto"/>
        <w:rPr>
          <w:rFonts w:ascii="Arial"/>
          <w:sz w:val="21"/>
        </w:rPr>
      </w:pPr>
    </w:p>
    <w:p w14:paraId="2A21D61E">
      <w:pPr>
        <w:spacing w:line="262" w:lineRule="auto"/>
        <w:rPr>
          <w:rFonts w:ascii="Arial"/>
          <w:sz w:val="21"/>
        </w:rPr>
      </w:pPr>
    </w:p>
    <w:p w14:paraId="21CF0C38">
      <w:pPr>
        <w:spacing w:line="262" w:lineRule="auto"/>
        <w:rPr>
          <w:rFonts w:ascii="Arial"/>
          <w:sz w:val="21"/>
        </w:rPr>
      </w:pPr>
    </w:p>
    <w:p w14:paraId="10FC85CD">
      <w:pPr>
        <w:spacing w:line="262" w:lineRule="auto"/>
        <w:rPr>
          <w:rFonts w:ascii="Arial"/>
          <w:sz w:val="21"/>
        </w:rPr>
      </w:pPr>
    </w:p>
    <w:p w14:paraId="55BD70F8">
      <w:pPr>
        <w:spacing w:line="262" w:lineRule="auto"/>
        <w:rPr>
          <w:rFonts w:ascii="Arial"/>
          <w:sz w:val="21"/>
        </w:rPr>
      </w:pPr>
    </w:p>
    <w:p w14:paraId="4DE68B17">
      <w:pPr>
        <w:spacing w:line="262" w:lineRule="auto"/>
        <w:rPr>
          <w:rFonts w:ascii="Arial"/>
          <w:sz w:val="21"/>
        </w:rPr>
      </w:pPr>
    </w:p>
    <w:p w14:paraId="38C94F26">
      <w:pPr>
        <w:pStyle w:val="2"/>
        <w:spacing w:before="91" w:line="222" w:lineRule="auto"/>
        <w:ind w:left="3057"/>
        <w:outlineLvl w:val="1"/>
        <w:rPr>
          <w:sz w:val="28"/>
          <w:szCs w:val="28"/>
        </w:rPr>
      </w:pPr>
      <w:bookmarkStart w:id="85" w:name="bookmark77"/>
      <w:bookmarkEnd w:id="85"/>
      <w:r>
        <w:rPr>
          <w:spacing w:val="-2"/>
          <w:sz w:val="28"/>
          <w:szCs w:val="28"/>
        </w:rPr>
        <w:t>招标文件修改通知</w:t>
      </w:r>
    </w:p>
    <w:p w14:paraId="416D6343">
      <w:pPr>
        <w:spacing w:line="304" w:lineRule="auto"/>
        <w:rPr>
          <w:rFonts w:ascii="Arial"/>
          <w:sz w:val="21"/>
        </w:rPr>
      </w:pPr>
    </w:p>
    <w:p w14:paraId="57727B52">
      <w:pPr>
        <w:spacing w:line="304" w:lineRule="auto"/>
        <w:rPr>
          <w:rFonts w:ascii="Arial"/>
          <w:sz w:val="21"/>
        </w:rPr>
      </w:pPr>
    </w:p>
    <w:p w14:paraId="2F130A6C">
      <w:pPr>
        <w:spacing w:line="305" w:lineRule="auto"/>
        <w:rPr>
          <w:rFonts w:ascii="Arial"/>
          <w:sz w:val="21"/>
        </w:rPr>
      </w:pPr>
    </w:p>
    <w:p w14:paraId="7F100D2D">
      <w:pPr>
        <w:spacing w:before="65" w:line="228" w:lineRule="auto"/>
        <w:ind w:left="6009"/>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4C4A558B">
      <w:pPr>
        <w:spacing w:line="263" w:lineRule="auto"/>
        <w:rPr>
          <w:rFonts w:ascii="Arial"/>
          <w:sz w:val="21"/>
        </w:rPr>
      </w:pPr>
    </w:p>
    <w:p w14:paraId="608251AF">
      <w:pPr>
        <w:spacing w:line="264" w:lineRule="auto"/>
        <w:rPr>
          <w:rFonts w:ascii="Arial"/>
          <w:sz w:val="21"/>
        </w:rPr>
      </w:pPr>
    </w:p>
    <w:p w14:paraId="1A91D028">
      <w:pPr>
        <w:spacing w:before="65" w:line="228" w:lineRule="auto"/>
        <w:ind w:left="24"/>
        <w:rPr>
          <w:rFonts w:ascii="宋体" w:hAnsi="宋体" w:eastAsia="宋体" w:cs="宋体"/>
          <w:sz w:val="20"/>
          <w:szCs w:val="20"/>
        </w:rPr>
      </w:pPr>
      <w:r>
        <w:rPr>
          <w:rFonts w:ascii="宋体" w:hAnsi="宋体" w:eastAsia="宋体" w:cs="宋体"/>
          <w:spacing w:val="5"/>
          <w:sz w:val="20"/>
          <w:szCs w:val="20"/>
        </w:rPr>
        <w:t>各投标人：</w:t>
      </w:r>
    </w:p>
    <w:p w14:paraId="2A5C93CA">
      <w:pPr>
        <w:spacing w:line="245" w:lineRule="auto"/>
        <w:rPr>
          <w:rFonts w:ascii="Arial"/>
          <w:sz w:val="21"/>
        </w:rPr>
      </w:pPr>
    </w:p>
    <w:p w14:paraId="0CFC395F">
      <w:pPr>
        <w:spacing w:before="66" w:line="517" w:lineRule="auto"/>
        <w:ind w:left="22" w:right="16" w:firstLine="421"/>
        <w:rPr>
          <w:rFonts w:ascii="宋体" w:hAnsi="宋体" w:eastAsia="宋体" w:cs="宋体"/>
          <w:sz w:val="20"/>
          <w:szCs w:val="20"/>
        </w:rPr>
      </w:pPr>
      <w:r>
        <w:rPr>
          <w:rFonts w:ascii="宋体" w:hAnsi="宋体" w:eastAsia="宋体" w:cs="宋体"/>
          <w:spacing w:val="11"/>
          <w:sz w:val="20"/>
          <w:szCs w:val="20"/>
        </w:rPr>
        <w:t>经研究，对</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（项目名称</w:t>
      </w:r>
      <w:r>
        <w:rPr>
          <w:rFonts w:ascii="宋体" w:hAnsi="宋体" w:eastAsia="宋体" w:cs="宋体"/>
          <w:spacing w:val="-8"/>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6"/>
          <w:sz w:val="20"/>
          <w:szCs w:val="20"/>
        </w:rPr>
        <w:t xml:space="preserve"> </w:t>
      </w:r>
      <w:r>
        <w:rPr>
          <w:rFonts w:ascii="宋体" w:hAnsi="宋体" w:eastAsia="宋体" w:cs="宋体"/>
          <w:spacing w:val="-8"/>
          <w:sz w:val="20"/>
          <w:szCs w:val="20"/>
        </w:rPr>
        <w:t>（</w:t>
      </w:r>
      <w:r>
        <w:rPr>
          <w:rFonts w:ascii="宋体" w:hAnsi="宋体" w:eastAsia="宋体" w:cs="宋体"/>
          <w:spacing w:val="11"/>
          <w:sz w:val="20"/>
          <w:szCs w:val="20"/>
        </w:rPr>
        <w:t>标段名称）施工招标文件</w:t>
      </w:r>
      <w:r>
        <w:rPr>
          <w:rFonts w:ascii="宋体" w:hAnsi="宋体" w:eastAsia="宋体" w:cs="宋体"/>
          <w:spacing w:val="10"/>
          <w:sz w:val="20"/>
          <w:szCs w:val="20"/>
        </w:rPr>
        <w:t>，作如下</w:t>
      </w:r>
      <w:r>
        <w:rPr>
          <w:rFonts w:ascii="宋体" w:hAnsi="宋体" w:eastAsia="宋体" w:cs="宋体"/>
          <w:spacing w:val="3"/>
          <w:sz w:val="20"/>
          <w:szCs w:val="20"/>
        </w:rPr>
        <w:t>修改：</w:t>
      </w:r>
    </w:p>
    <w:p w14:paraId="5492BE10">
      <w:pPr>
        <w:spacing w:line="267" w:lineRule="exact"/>
        <w:ind w:left="457"/>
        <w:rPr>
          <w:rFonts w:ascii="宋体" w:hAnsi="宋体" w:eastAsia="宋体" w:cs="宋体"/>
          <w:sz w:val="20"/>
          <w:szCs w:val="20"/>
        </w:rPr>
      </w:pPr>
      <w:r>
        <w:rPr>
          <w:rFonts w:ascii="宋体" w:hAnsi="宋体" w:eastAsia="宋体" w:cs="宋体"/>
          <w:position w:val="1"/>
          <w:sz w:val="20"/>
          <w:szCs w:val="20"/>
        </w:rPr>
        <w:t>1.……</w:t>
      </w:r>
    </w:p>
    <w:p w14:paraId="75C7023F">
      <w:pPr>
        <w:spacing w:before="292" w:line="268" w:lineRule="exact"/>
        <w:ind w:left="444"/>
        <w:rPr>
          <w:rFonts w:ascii="宋体" w:hAnsi="宋体" w:eastAsia="宋体" w:cs="宋体"/>
          <w:sz w:val="20"/>
          <w:szCs w:val="20"/>
        </w:rPr>
      </w:pPr>
      <w:r>
        <w:rPr>
          <w:rFonts w:ascii="宋体" w:hAnsi="宋体" w:eastAsia="宋体" w:cs="宋体"/>
          <w:spacing w:val="3"/>
          <w:position w:val="1"/>
          <w:sz w:val="20"/>
          <w:szCs w:val="20"/>
        </w:rPr>
        <w:t>2.……</w:t>
      </w:r>
    </w:p>
    <w:p w14:paraId="7F6CF114">
      <w:pPr>
        <w:spacing w:before="294" w:line="324" w:lineRule="exact"/>
        <w:ind w:left="455"/>
        <w:rPr>
          <w:rFonts w:ascii="宋体" w:hAnsi="宋体" w:eastAsia="宋体" w:cs="宋体"/>
          <w:sz w:val="20"/>
          <w:szCs w:val="20"/>
        </w:rPr>
      </w:pPr>
      <w:r>
        <w:rPr>
          <w:rFonts w:ascii="宋体" w:hAnsi="宋体" w:eastAsia="宋体" w:cs="宋体"/>
          <w:spacing w:val="-2"/>
          <w:position w:val="2"/>
          <w:sz w:val="20"/>
          <w:szCs w:val="20"/>
        </w:rPr>
        <w:t>……</w:t>
      </w:r>
    </w:p>
    <w:p w14:paraId="5A439CD3">
      <w:pPr>
        <w:spacing w:line="242" w:lineRule="auto"/>
        <w:rPr>
          <w:rFonts w:ascii="Arial"/>
          <w:sz w:val="21"/>
        </w:rPr>
      </w:pPr>
    </w:p>
    <w:p w14:paraId="7F7F58C0">
      <w:pPr>
        <w:spacing w:line="242" w:lineRule="auto"/>
        <w:rPr>
          <w:rFonts w:ascii="Arial"/>
          <w:sz w:val="21"/>
        </w:rPr>
      </w:pPr>
    </w:p>
    <w:p w14:paraId="5DF9B10E">
      <w:pPr>
        <w:spacing w:line="242" w:lineRule="auto"/>
        <w:rPr>
          <w:rFonts w:ascii="Arial"/>
          <w:sz w:val="21"/>
        </w:rPr>
      </w:pPr>
    </w:p>
    <w:p w14:paraId="2A4A838B">
      <w:pPr>
        <w:spacing w:line="242" w:lineRule="auto"/>
        <w:rPr>
          <w:rFonts w:ascii="Arial"/>
          <w:sz w:val="21"/>
        </w:rPr>
      </w:pPr>
    </w:p>
    <w:p w14:paraId="44CD2895">
      <w:pPr>
        <w:spacing w:line="242" w:lineRule="auto"/>
        <w:rPr>
          <w:rFonts w:ascii="Arial"/>
          <w:sz w:val="21"/>
        </w:rPr>
      </w:pPr>
    </w:p>
    <w:p w14:paraId="1E9B1299">
      <w:pPr>
        <w:spacing w:line="242" w:lineRule="auto"/>
        <w:rPr>
          <w:rFonts w:ascii="Arial"/>
          <w:sz w:val="21"/>
        </w:rPr>
      </w:pPr>
    </w:p>
    <w:p w14:paraId="01463195">
      <w:pPr>
        <w:spacing w:line="242" w:lineRule="auto"/>
        <w:rPr>
          <w:rFonts w:ascii="Arial"/>
          <w:sz w:val="21"/>
        </w:rPr>
      </w:pPr>
    </w:p>
    <w:p w14:paraId="38433B64">
      <w:pPr>
        <w:spacing w:line="242" w:lineRule="auto"/>
        <w:rPr>
          <w:rFonts w:ascii="Arial"/>
          <w:sz w:val="21"/>
        </w:rPr>
      </w:pPr>
    </w:p>
    <w:p w14:paraId="20676F96">
      <w:pPr>
        <w:spacing w:line="243" w:lineRule="auto"/>
        <w:rPr>
          <w:rFonts w:ascii="Arial"/>
          <w:sz w:val="21"/>
        </w:rPr>
      </w:pPr>
    </w:p>
    <w:p w14:paraId="3804F984">
      <w:pPr>
        <w:spacing w:before="65" w:line="227" w:lineRule="auto"/>
        <w:ind w:right="24"/>
        <w:jc w:val="right"/>
        <w:rPr>
          <w:rFonts w:ascii="宋体" w:hAnsi="宋体" w:eastAsia="宋体" w:cs="宋体"/>
          <w:sz w:val="20"/>
          <w:szCs w:val="20"/>
        </w:rPr>
      </w:pPr>
      <w:r>
        <w:rPr>
          <w:rFonts w:ascii="宋体" w:hAnsi="宋体" w:eastAsia="宋体" w:cs="宋体"/>
          <w:spacing w:val="11"/>
          <w:sz w:val="20"/>
          <w:szCs w:val="20"/>
        </w:rPr>
        <w:t>招标人</w:t>
      </w:r>
      <w:r>
        <w:rPr>
          <w:rFonts w:ascii="宋体" w:hAnsi="宋体" w:eastAsia="宋体" w:cs="宋体"/>
          <w:spacing w:val="-8"/>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29"/>
          <w:sz w:val="20"/>
          <w:szCs w:val="20"/>
        </w:rPr>
        <w:t xml:space="preserve"> </w:t>
      </w:r>
      <w:r>
        <w:rPr>
          <w:rFonts w:ascii="宋体" w:hAnsi="宋体" w:eastAsia="宋体" w:cs="宋体"/>
          <w:spacing w:val="-8"/>
          <w:sz w:val="20"/>
          <w:szCs w:val="20"/>
        </w:rPr>
        <w:t>（</w:t>
      </w:r>
      <w:r>
        <w:rPr>
          <w:rFonts w:ascii="宋体" w:hAnsi="宋体" w:eastAsia="宋体" w:cs="宋体"/>
          <w:spacing w:val="11"/>
          <w:sz w:val="20"/>
          <w:szCs w:val="20"/>
        </w:rPr>
        <w:t>盖单位章）</w:t>
      </w:r>
    </w:p>
    <w:p w14:paraId="74446291">
      <w:pPr>
        <w:spacing w:line="257" w:lineRule="auto"/>
        <w:rPr>
          <w:rFonts w:ascii="Arial"/>
          <w:sz w:val="21"/>
        </w:rPr>
      </w:pPr>
    </w:p>
    <w:p w14:paraId="24F28593">
      <w:pPr>
        <w:spacing w:line="258" w:lineRule="auto"/>
        <w:rPr>
          <w:rFonts w:ascii="Arial"/>
          <w:sz w:val="21"/>
        </w:rPr>
      </w:pPr>
    </w:p>
    <w:p w14:paraId="265B8448">
      <w:pPr>
        <w:spacing w:line="258" w:lineRule="auto"/>
        <w:rPr>
          <w:rFonts w:ascii="Arial"/>
          <w:sz w:val="21"/>
        </w:rPr>
      </w:pPr>
    </w:p>
    <w:p w14:paraId="64B740C6">
      <w:pPr>
        <w:tabs>
          <w:tab w:val="left" w:pos="6734"/>
        </w:tabs>
        <w:spacing w:before="66" w:line="228" w:lineRule="auto"/>
        <w:ind w:left="578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1"/>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2"/>
          <w:sz w:val="20"/>
          <w:szCs w:val="20"/>
        </w:rPr>
        <w:t>月</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7AC41243">
      <w:pPr>
        <w:spacing w:line="271" w:lineRule="auto"/>
        <w:rPr>
          <w:rFonts w:ascii="Arial"/>
          <w:sz w:val="21"/>
        </w:rPr>
      </w:pPr>
    </w:p>
    <w:p w14:paraId="3E4DB704">
      <w:pPr>
        <w:spacing w:line="272" w:lineRule="auto"/>
        <w:rPr>
          <w:rFonts w:ascii="Arial"/>
          <w:sz w:val="21"/>
        </w:rPr>
      </w:pPr>
    </w:p>
    <w:p w14:paraId="1F28D843">
      <w:pPr>
        <w:spacing w:line="272" w:lineRule="auto"/>
        <w:rPr>
          <w:rFonts w:ascii="Arial"/>
          <w:sz w:val="21"/>
        </w:rPr>
      </w:pPr>
    </w:p>
    <w:p w14:paraId="663AE965">
      <w:pPr>
        <w:spacing w:line="272" w:lineRule="auto"/>
        <w:rPr>
          <w:rFonts w:ascii="Arial"/>
          <w:sz w:val="21"/>
        </w:rPr>
      </w:pPr>
    </w:p>
    <w:p w14:paraId="4703E32A">
      <w:pPr>
        <w:spacing w:line="272" w:lineRule="auto"/>
        <w:rPr>
          <w:rFonts w:ascii="Arial"/>
          <w:sz w:val="21"/>
        </w:rPr>
      </w:pPr>
    </w:p>
    <w:p w14:paraId="24D88214">
      <w:pPr>
        <w:spacing w:before="66" w:line="227" w:lineRule="auto"/>
        <w:ind w:left="24"/>
        <w:rPr>
          <w:rFonts w:ascii="宋体" w:hAnsi="宋体" w:eastAsia="宋体" w:cs="宋体"/>
          <w:sz w:val="20"/>
          <w:szCs w:val="20"/>
        </w:rPr>
      </w:pPr>
      <w:r>
        <w:rPr>
          <w:rFonts w:ascii="宋体" w:hAnsi="宋体" w:eastAsia="宋体" w:cs="宋体"/>
          <w:spacing w:val="9"/>
          <w:sz w:val="20"/>
          <w:szCs w:val="20"/>
        </w:rPr>
        <w:t>备注：招标人对招标文件有关问题修改时，适用本格式。</w:t>
      </w:r>
    </w:p>
    <w:p w14:paraId="25F32576">
      <w:pPr>
        <w:spacing w:line="227" w:lineRule="auto"/>
        <w:rPr>
          <w:rFonts w:ascii="宋体" w:hAnsi="宋体" w:eastAsia="宋体" w:cs="宋体"/>
          <w:sz w:val="20"/>
          <w:szCs w:val="20"/>
        </w:rPr>
        <w:sectPr>
          <w:headerReference r:id="rId48" w:type="default"/>
          <w:footerReference r:id="rId49" w:type="default"/>
          <w:pgSz w:w="11906" w:h="16839"/>
          <w:pgMar w:top="1896" w:right="1785" w:bottom="1156" w:left="1785" w:header="1527" w:footer="994" w:gutter="0"/>
          <w:cols w:space="720" w:num="1"/>
        </w:sectPr>
      </w:pPr>
    </w:p>
    <w:p w14:paraId="6AFFBC1F">
      <w:pPr>
        <w:spacing w:line="276" w:lineRule="auto"/>
        <w:rPr>
          <w:rFonts w:ascii="Arial"/>
          <w:sz w:val="21"/>
        </w:rPr>
      </w:pPr>
    </w:p>
    <w:p w14:paraId="7243641B">
      <w:pPr>
        <w:spacing w:line="276" w:lineRule="auto"/>
        <w:rPr>
          <w:rFonts w:ascii="Arial"/>
          <w:sz w:val="21"/>
        </w:rPr>
      </w:pPr>
    </w:p>
    <w:p w14:paraId="42B4DAB0">
      <w:pPr>
        <w:spacing w:line="276" w:lineRule="auto"/>
        <w:rPr>
          <w:rFonts w:ascii="Arial"/>
          <w:sz w:val="21"/>
        </w:rPr>
      </w:pPr>
    </w:p>
    <w:p w14:paraId="56689414">
      <w:pPr>
        <w:spacing w:line="277" w:lineRule="auto"/>
        <w:rPr>
          <w:rFonts w:ascii="Arial"/>
          <w:sz w:val="21"/>
        </w:rPr>
      </w:pPr>
    </w:p>
    <w:p w14:paraId="1899A83D">
      <w:pPr>
        <w:pStyle w:val="2"/>
        <w:spacing w:before="78" w:line="221" w:lineRule="auto"/>
        <w:ind w:left="135"/>
        <w:outlineLvl w:val="1"/>
        <w:rPr>
          <w:sz w:val="24"/>
          <w:szCs w:val="24"/>
        </w:rPr>
      </w:pPr>
      <w:bookmarkStart w:id="86" w:name="bookmark78"/>
      <w:bookmarkEnd w:id="86"/>
      <w:r>
        <w:rPr>
          <w:spacing w:val="-2"/>
          <w:sz w:val="24"/>
          <w:szCs w:val="24"/>
        </w:rPr>
        <w:t>附表四：投标文件递交签收凭证</w:t>
      </w:r>
    </w:p>
    <w:p w14:paraId="3677FD24">
      <w:pPr>
        <w:spacing w:line="250" w:lineRule="auto"/>
        <w:rPr>
          <w:rFonts w:ascii="Arial"/>
          <w:sz w:val="21"/>
        </w:rPr>
      </w:pPr>
    </w:p>
    <w:p w14:paraId="66A8A43F">
      <w:pPr>
        <w:spacing w:line="250" w:lineRule="auto"/>
        <w:rPr>
          <w:rFonts w:ascii="Arial"/>
          <w:sz w:val="21"/>
        </w:rPr>
      </w:pPr>
    </w:p>
    <w:p w14:paraId="35458B98">
      <w:pPr>
        <w:spacing w:line="250" w:lineRule="auto"/>
        <w:rPr>
          <w:rFonts w:ascii="Arial"/>
          <w:sz w:val="21"/>
        </w:rPr>
      </w:pPr>
    </w:p>
    <w:p w14:paraId="7465F2FE">
      <w:pPr>
        <w:spacing w:line="250" w:lineRule="auto"/>
        <w:rPr>
          <w:rFonts w:ascii="Arial"/>
          <w:sz w:val="21"/>
        </w:rPr>
      </w:pPr>
    </w:p>
    <w:p w14:paraId="314DECEB">
      <w:pPr>
        <w:spacing w:line="251" w:lineRule="auto"/>
        <w:rPr>
          <w:rFonts w:ascii="Arial"/>
          <w:sz w:val="21"/>
        </w:rPr>
      </w:pPr>
    </w:p>
    <w:p w14:paraId="750E4F8C">
      <w:pPr>
        <w:pStyle w:val="2"/>
        <w:spacing w:before="91" w:line="222" w:lineRule="auto"/>
        <w:ind w:left="2874"/>
        <w:rPr>
          <w:sz w:val="28"/>
          <w:szCs w:val="28"/>
        </w:rPr>
      </w:pPr>
      <w:r>
        <w:rPr>
          <w:spacing w:val="-1"/>
          <w:sz w:val="28"/>
          <w:szCs w:val="28"/>
        </w:rPr>
        <w:t>投标文件递交签收凭证</w:t>
      </w:r>
    </w:p>
    <w:p w14:paraId="34F9CA24">
      <w:pPr>
        <w:spacing w:line="303" w:lineRule="auto"/>
        <w:rPr>
          <w:rFonts w:ascii="Arial"/>
          <w:sz w:val="21"/>
        </w:rPr>
      </w:pPr>
    </w:p>
    <w:p w14:paraId="6C75620E">
      <w:pPr>
        <w:spacing w:line="304" w:lineRule="auto"/>
        <w:rPr>
          <w:rFonts w:ascii="Arial"/>
          <w:sz w:val="21"/>
        </w:rPr>
      </w:pPr>
    </w:p>
    <w:p w14:paraId="5D49E47F">
      <w:pPr>
        <w:spacing w:before="65" w:line="228" w:lineRule="auto"/>
        <w:ind w:left="6528"/>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32F9CB58">
      <w:pPr>
        <w:spacing w:line="14" w:lineRule="exact"/>
      </w:pP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3"/>
        <w:gridCol w:w="6393"/>
      </w:tblGrid>
      <w:tr w14:paraId="2BD39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89" w:hRule="atLeast"/>
        </w:trPr>
        <w:tc>
          <w:tcPr>
            <w:tcW w:w="2133" w:type="dxa"/>
            <w:vAlign w:val="top"/>
          </w:tcPr>
          <w:p w14:paraId="2DCCFFE8">
            <w:pPr>
              <w:pStyle w:val="6"/>
              <w:spacing w:before="240" w:line="228" w:lineRule="auto"/>
              <w:ind w:left="656"/>
            </w:pPr>
            <w:r>
              <w:rPr>
                <w:spacing w:val="6"/>
              </w:rPr>
              <w:t>工程名称</w:t>
            </w:r>
          </w:p>
        </w:tc>
        <w:tc>
          <w:tcPr>
            <w:tcW w:w="6393" w:type="dxa"/>
            <w:vAlign w:val="top"/>
          </w:tcPr>
          <w:p w14:paraId="1786E579">
            <w:pPr>
              <w:pStyle w:val="6"/>
              <w:tabs>
                <w:tab w:val="left" w:pos="1888"/>
              </w:tabs>
              <w:spacing w:before="240" w:line="228" w:lineRule="auto"/>
              <w:ind w:left="102"/>
            </w:pPr>
            <w:r>
              <w:rPr>
                <w:u w:val="single" w:color="auto"/>
              </w:rPr>
              <w:tab/>
            </w:r>
            <w:r>
              <w:rPr>
                <w:spacing w:val="13"/>
              </w:rPr>
              <w:t xml:space="preserve"> </w:t>
            </w:r>
            <w:r>
              <w:rPr>
                <w:spacing w:val="11"/>
              </w:rPr>
              <w:t>（项目名称</w:t>
            </w:r>
            <w:r>
              <w:rPr>
                <w:spacing w:val="-7"/>
              </w:rPr>
              <w:t>）</w:t>
            </w:r>
            <w:r>
              <w:rPr>
                <w:spacing w:val="5"/>
                <w:u w:val="single" w:color="auto"/>
              </w:rPr>
              <w:t xml:space="preserve">        </w:t>
            </w:r>
            <w:r>
              <w:rPr>
                <w:spacing w:val="11"/>
              </w:rPr>
              <w:t xml:space="preserve"> </w:t>
            </w:r>
            <w:r>
              <w:rPr>
                <w:spacing w:val="-7"/>
              </w:rPr>
              <w:t>（</w:t>
            </w:r>
            <w:r>
              <w:rPr>
                <w:spacing w:val="11"/>
              </w:rPr>
              <w:t>标段名称）</w:t>
            </w:r>
          </w:p>
        </w:tc>
      </w:tr>
      <w:tr w14:paraId="574F3D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133" w:type="dxa"/>
            <w:vAlign w:val="top"/>
          </w:tcPr>
          <w:p w14:paraId="0667B3B3">
            <w:pPr>
              <w:pStyle w:val="6"/>
              <w:spacing w:before="235" w:line="228" w:lineRule="auto"/>
              <w:ind w:left="757"/>
            </w:pPr>
            <w:r>
              <w:rPr>
                <w:spacing w:val="6"/>
              </w:rPr>
              <w:t>招标人</w:t>
            </w:r>
          </w:p>
        </w:tc>
        <w:tc>
          <w:tcPr>
            <w:tcW w:w="6393" w:type="dxa"/>
            <w:vAlign w:val="top"/>
          </w:tcPr>
          <w:p w14:paraId="2E838D5B">
            <w:pPr>
              <w:rPr>
                <w:rFonts w:ascii="Arial"/>
                <w:sz w:val="21"/>
              </w:rPr>
            </w:pPr>
          </w:p>
        </w:tc>
      </w:tr>
      <w:tr w14:paraId="1840BA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133" w:type="dxa"/>
            <w:vAlign w:val="top"/>
          </w:tcPr>
          <w:p w14:paraId="5E704CFE">
            <w:pPr>
              <w:pStyle w:val="6"/>
              <w:spacing w:before="237" w:line="227" w:lineRule="auto"/>
              <w:ind w:left="443"/>
            </w:pPr>
            <w:r>
              <w:rPr>
                <w:spacing w:val="8"/>
              </w:rPr>
              <w:t>招标代理机构</w:t>
            </w:r>
          </w:p>
        </w:tc>
        <w:tc>
          <w:tcPr>
            <w:tcW w:w="6393" w:type="dxa"/>
            <w:vAlign w:val="top"/>
          </w:tcPr>
          <w:p w14:paraId="40744AFA">
            <w:pPr>
              <w:rPr>
                <w:rFonts w:ascii="Arial"/>
                <w:sz w:val="21"/>
              </w:rPr>
            </w:pPr>
          </w:p>
        </w:tc>
      </w:tr>
      <w:tr w14:paraId="51B0E0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133" w:type="dxa"/>
            <w:vAlign w:val="top"/>
          </w:tcPr>
          <w:p w14:paraId="09DC610A">
            <w:pPr>
              <w:pStyle w:val="6"/>
              <w:spacing w:before="237" w:line="228" w:lineRule="auto"/>
              <w:ind w:left="759"/>
            </w:pPr>
            <w:r>
              <w:rPr>
                <w:spacing w:val="6"/>
              </w:rPr>
              <w:t>投标人</w:t>
            </w:r>
          </w:p>
        </w:tc>
        <w:tc>
          <w:tcPr>
            <w:tcW w:w="6393" w:type="dxa"/>
            <w:vAlign w:val="top"/>
          </w:tcPr>
          <w:p w14:paraId="5A5C444F">
            <w:pPr>
              <w:rPr>
                <w:rFonts w:ascii="Arial"/>
                <w:sz w:val="21"/>
              </w:rPr>
            </w:pPr>
          </w:p>
        </w:tc>
      </w:tr>
      <w:tr w14:paraId="0C288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133" w:type="dxa"/>
            <w:vAlign w:val="top"/>
          </w:tcPr>
          <w:p w14:paraId="53B22129">
            <w:pPr>
              <w:pStyle w:val="6"/>
              <w:spacing w:before="238" w:line="228" w:lineRule="auto"/>
              <w:ind w:left="236"/>
            </w:pPr>
            <w:r>
              <w:rPr>
                <w:spacing w:val="8"/>
              </w:rPr>
              <w:t>投标文件递交时间</w:t>
            </w:r>
          </w:p>
        </w:tc>
        <w:tc>
          <w:tcPr>
            <w:tcW w:w="6393" w:type="dxa"/>
            <w:vAlign w:val="top"/>
          </w:tcPr>
          <w:p w14:paraId="3D80059C">
            <w:pPr>
              <w:pStyle w:val="6"/>
              <w:tabs>
                <w:tab w:val="left" w:pos="1048"/>
              </w:tabs>
              <w:spacing w:before="238" w:line="228" w:lineRule="auto"/>
              <w:ind w:left="102"/>
            </w:pPr>
            <w:r>
              <w:rPr>
                <w:u w:val="single" w:color="auto"/>
              </w:rPr>
              <w:tab/>
            </w:r>
            <w:r>
              <w:rPr>
                <w:spacing w:val="-90"/>
              </w:rPr>
              <w:t xml:space="preserve"> </w:t>
            </w:r>
            <w:r>
              <w:rPr>
                <w:spacing w:val="-10"/>
              </w:rPr>
              <w:t>年</w:t>
            </w:r>
            <w:r>
              <w:rPr>
                <w:spacing w:val="-98"/>
              </w:rPr>
              <w:t xml:space="preserve"> </w:t>
            </w:r>
            <w:r>
              <w:rPr>
                <w:spacing w:val="5"/>
                <w:u w:val="single" w:color="auto"/>
              </w:rPr>
              <w:t xml:space="preserve">    </w:t>
            </w:r>
            <w:r>
              <w:rPr>
                <w:spacing w:val="-86"/>
              </w:rPr>
              <w:t xml:space="preserve"> </w:t>
            </w:r>
            <w:r>
              <w:rPr>
                <w:spacing w:val="-10"/>
              </w:rPr>
              <w:t>月</w:t>
            </w:r>
            <w:r>
              <w:rPr>
                <w:spacing w:val="4"/>
                <w:u w:val="single" w:color="auto"/>
              </w:rPr>
              <w:t xml:space="preserve">    </w:t>
            </w:r>
            <w:r>
              <w:rPr>
                <w:spacing w:val="-52"/>
              </w:rPr>
              <w:t xml:space="preserve"> </w:t>
            </w:r>
            <w:r>
              <w:rPr>
                <w:spacing w:val="-10"/>
              </w:rPr>
              <w:t>日</w:t>
            </w:r>
            <w:r>
              <w:rPr>
                <w:spacing w:val="-99"/>
              </w:rPr>
              <w:t xml:space="preserve"> </w:t>
            </w:r>
            <w:r>
              <w:rPr>
                <w:spacing w:val="5"/>
                <w:u w:val="single" w:color="auto"/>
              </w:rPr>
              <w:t xml:space="preserve">    </w:t>
            </w:r>
            <w:r>
              <w:rPr>
                <w:spacing w:val="-81"/>
              </w:rPr>
              <w:t xml:space="preserve"> </w:t>
            </w:r>
            <w:r>
              <w:rPr>
                <w:spacing w:val="-10"/>
              </w:rPr>
              <w:t>时</w:t>
            </w:r>
            <w:r>
              <w:rPr>
                <w:spacing w:val="4"/>
                <w:u w:val="single" w:color="auto"/>
              </w:rPr>
              <w:t xml:space="preserve">    </w:t>
            </w:r>
            <w:r>
              <w:rPr>
                <w:spacing w:val="-86"/>
              </w:rPr>
              <w:t xml:space="preserve"> </w:t>
            </w:r>
            <w:r>
              <w:rPr>
                <w:spacing w:val="-10"/>
              </w:rPr>
              <w:t>分</w:t>
            </w:r>
          </w:p>
        </w:tc>
      </w:tr>
      <w:tr w14:paraId="42C316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2133" w:type="dxa"/>
            <w:vAlign w:val="top"/>
          </w:tcPr>
          <w:p w14:paraId="0E7DC069">
            <w:pPr>
              <w:pStyle w:val="6"/>
              <w:spacing w:before="238" w:line="228" w:lineRule="auto"/>
              <w:ind w:left="236"/>
            </w:pPr>
            <w:r>
              <w:rPr>
                <w:spacing w:val="8"/>
              </w:rPr>
              <w:t>投标文件是否加密</w:t>
            </w:r>
          </w:p>
        </w:tc>
        <w:tc>
          <w:tcPr>
            <w:tcW w:w="6393" w:type="dxa"/>
            <w:vAlign w:val="top"/>
          </w:tcPr>
          <w:p w14:paraId="011F2B0E">
            <w:pPr>
              <w:rPr>
                <w:rFonts w:ascii="Arial"/>
                <w:sz w:val="21"/>
              </w:rPr>
            </w:pPr>
          </w:p>
        </w:tc>
      </w:tr>
    </w:tbl>
    <w:p w14:paraId="454E40CE">
      <w:pPr>
        <w:rPr>
          <w:rFonts w:ascii="Arial"/>
          <w:sz w:val="21"/>
        </w:rPr>
      </w:pPr>
    </w:p>
    <w:p w14:paraId="6C533F15">
      <w:pPr>
        <w:rPr>
          <w:rFonts w:ascii="Arial" w:hAnsi="Arial" w:eastAsia="Arial" w:cs="Arial"/>
          <w:sz w:val="21"/>
          <w:szCs w:val="21"/>
        </w:rPr>
        <w:sectPr>
          <w:headerReference r:id="rId50" w:type="default"/>
          <w:footerReference r:id="rId51" w:type="default"/>
          <w:pgSz w:w="11906" w:h="16839"/>
          <w:pgMar w:top="400" w:right="1687" w:bottom="1156" w:left="1687" w:header="0" w:footer="994" w:gutter="0"/>
          <w:cols w:space="720" w:num="1"/>
        </w:sectPr>
      </w:pPr>
    </w:p>
    <w:p w14:paraId="18010FBF">
      <w:pPr>
        <w:spacing w:line="269" w:lineRule="auto"/>
        <w:rPr>
          <w:rFonts w:ascii="Arial"/>
          <w:sz w:val="21"/>
        </w:rPr>
      </w:pPr>
    </w:p>
    <w:p w14:paraId="417E52A0">
      <w:pPr>
        <w:spacing w:line="269" w:lineRule="auto"/>
        <w:rPr>
          <w:rFonts w:ascii="Arial"/>
          <w:sz w:val="21"/>
        </w:rPr>
      </w:pPr>
    </w:p>
    <w:p w14:paraId="2901A854">
      <w:pPr>
        <w:spacing w:line="269" w:lineRule="auto"/>
        <w:rPr>
          <w:rFonts w:ascii="Arial"/>
          <w:sz w:val="21"/>
        </w:rPr>
      </w:pPr>
    </w:p>
    <w:p w14:paraId="63219975">
      <w:pPr>
        <w:spacing w:line="270" w:lineRule="auto"/>
        <w:rPr>
          <w:rFonts w:ascii="Arial"/>
          <w:sz w:val="21"/>
        </w:rPr>
      </w:pPr>
    </w:p>
    <w:p w14:paraId="235D3A31">
      <w:pPr>
        <w:spacing w:line="270" w:lineRule="auto"/>
        <w:rPr>
          <w:rFonts w:ascii="Arial"/>
          <w:sz w:val="21"/>
        </w:rPr>
      </w:pPr>
    </w:p>
    <w:p w14:paraId="60C734F6">
      <w:pPr>
        <w:pStyle w:val="2"/>
        <w:spacing w:before="78" w:line="222" w:lineRule="auto"/>
        <w:ind w:left="55"/>
        <w:outlineLvl w:val="1"/>
        <w:rPr>
          <w:sz w:val="24"/>
          <w:szCs w:val="24"/>
        </w:rPr>
      </w:pPr>
      <w:bookmarkStart w:id="87" w:name="bookmark79"/>
      <w:bookmarkEnd w:id="87"/>
      <w:r>
        <w:rPr>
          <w:spacing w:val="-3"/>
          <w:sz w:val="24"/>
          <w:szCs w:val="24"/>
        </w:rPr>
        <w:t>附表五：开标记录表</w:t>
      </w:r>
    </w:p>
    <w:p w14:paraId="089F7C9F">
      <w:pPr>
        <w:spacing w:line="461" w:lineRule="auto"/>
        <w:rPr>
          <w:rFonts w:ascii="Arial"/>
          <w:sz w:val="21"/>
        </w:rPr>
      </w:pPr>
    </w:p>
    <w:p w14:paraId="0672198A">
      <w:pPr>
        <w:pStyle w:val="2"/>
        <w:tabs>
          <w:tab w:val="left" w:pos="4860"/>
        </w:tabs>
        <w:spacing w:before="91" w:line="222" w:lineRule="auto"/>
        <w:ind w:left="3497"/>
        <w:rPr>
          <w:sz w:val="28"/>
          <w:szCs w:val="28"/>
        </w:rPr>
      </w:pPr>
      <w:r>
        <w:rPr>
          <w:sz w:val="28"/>
          <w:szCs w:val="28"/>
          <w:u w:val="single" w:color="auto"/>
        </w:rPr>
        <w:tab/>
      </w:r>
      <w:r>
        <w:rPr>
          <w:spacing w:val="1"/>
          <w:sz w:val="28"/>
          <w:szCs w:val="28"/>
        </w:rPr>
        <w:t>（项目名称</w:t>
      </w:r>
      <w:r>
        <w:rPr>
          <w:spacing w:val="-8"/>
          <w:sz w:val="28"/>
          <w:szCs w:val="28"/>
        </w:rPr>
        <w:t>）</w:t>
      </w:r>
      <w:r>
        <w:rPr>
          <w:sz w:val="28"/>
          <w:szCs w:val="28"/>
          <w:u w:val="single" w:color="auto"/>
        </w:rPr>
        <w:t xml:space="preserve">       </w:t>
      </w:r>
      <w:r>
        <w:rPr>
          <w:spacing w:val="-8"/>
          <w:sz w:val="28"/>
          <w:szCs w:val="28"/>
        </w:rPr>
        <w:t>（</w:t>
      </w:r>
      <w:r>
        <w:rPr>
          <w:spacing w:val="1"/>
          <w:sz w:val="28"/>
          <w:szCs w:val="28"/>
        </w:rPr>
        <w:t>标段名称）施工开标记录表</w:t>
      </w:r>
    </w:p>
    <w:p w14:paraId="60F8CBDF">
      <w:pPr>
        <w:spacing w:line="295" w:lineRule="auto"/>
        <w:rPr>
          <w:rFonts w:ascii="Arial"/>
          <w:sz w:val="21"/>
        </w:rPr>
      </w:pPr>
    </w:p>
    <w:p w14:paraId="731D4614">
      <w:pPr>
        <w:spacing w:before="65" w:line="228" w:lineRule="auto"/>
        <w:ind w:left="147"/>
        <w:rPr>
          <w:rFonts w:ascii="宋体" w:hAnsi="宋体" w:eastAsia="宋体" w:cs="宋体"/>
          <w:sz w:val="20"/>
          <w:szCs w:val="20"/>
        </w:rPr>
      </w:pPr>
      <w:r>
        <w:rPr>
          <w:rFonts w:ascii="宋体" w:hAnsi="宋体" w:eastAsia="宋体" w:cs="宋体"/>
          <w:spacing w:val="1"/>
          <w:sz w:val="20"/>
          <w:szCs w:val="20"/>
        </w:rPr>
        <w:t>开标时间：</w:t>
      </w:r>
      <w:r>
        <w:rPr>
          <w:rFonts w:ascii="宋体" w:hAnsi="宋体" w:eastAsia="宋体" w:cs="宋体"/>
          <w:spacing w:val="1"/>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1"/>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1"/>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
          <w:sz w:val="20"/>
          <w:szCs w:val="20"/>
        </w:rPr>
        <w:t>日</w:t>
      </w:r>
      <w:r>
        <w:rPr>
          <w:rFonts w:ascii="宋体" w:hAnsi="宋体" w:eastAsia="宋体" w:cs="宋体"/>
          <w:spacing w:val="5"/>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1"/>
          <w:sz w:val="20"/>
          <w:szCs w:val="20"/>
        </w:rPr>
        <w:t>时</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1"/>
          <w:sz w:val="20"/>
          <w:szCs w:val="20"/>
        </w:rPr>
        <w:t xml:space="preserve">分                      </w:t>
      </w:r>
      <w:r>
        <w:rPr>
          <w:rFonts w:ascii="宋体" w:hAnsi="宋体" w:eastAsia="宋体" w:cs="宋体"/>
          <w:sz w:val="20"/>
          <w:szCs w:val="20"/>
        </w:rPr>
        <w:t xml:space="preserve">                      开标地点：</w:t>
      </w:r>
      <w:r>
        <w:rPr>
          <w:rFonts w:ascii="宋体" w:hAnsi="宋体" w:eastAsia="宋体" w:cs="宋体"/>
          <w:sz w:val="20"/>
          <w:szCs w:val="20"/>
          <w:u w:val="single" w:color="auto"/>
        </w:rPr>
        <w:t xml:space="preserve">                                  </w:t>
      </w:r>
    </w:p>
    <w:p w14:paraId="108A860B">
      <w:pPr>
        <w:spacing w:line="15" w:lineRule="exact"/>
      </w:pPr>
    </w:p>
    <w:tbl>
      <w:tblPr>
        <w:tblStyle w:val="5"/>
        <w:tblW w:w="1420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0"/>
        <w:gridCol w:w="2480"/>
        <w:gridCol w:w="850"/>
        <w:gridCol w:w="1417"/>
        <w:gridCol w:w="1134"/>
        <w:gridCol w:w="1134"/>
        <w:gridCol w:w="850"/>
        <w:gridCol w:w="1984"/>
        <w:gridCol w:w="1416"/>
        <w:gridCol w:w="851"/>
        <w:gridCol w:w="1421"/>
      </w:tblGrid>
      <w:tr w14:paraId="776E26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670" w:type="dxa"/>
            <w:vMerge w:val="restart"/>
            <w:tcBorders>
              <w:bottom w:val="nil"/>
            </w:tcBorders>
            <w:vAlign w:val="top"/>
          </w:tcPr>
          <w:p w14:paraId="2558868F">
            <w:pPr>
              <w:pStyle w:val="6"/>
              <w:spacing w:before="174" w:line="229" w:lineRule="auto"/>
              <w:ind w:left="131"/>
            </w:pPr>
            <w:r>
              <w:rPr>
                <w:spacing w:val="5"/>
              </w:rPr>
              <w:t>序号</w:t>
            </w:r>
          </w:p>
        </w:tc>
        <w:tc>
          <w:tcPr>
            <w:tcW w:w="2480" w:type="dxa"/>
            <w:vMerge w:val="restart"/>
            <w:tcBorders>
              <w:bottom w:val="nil"/>
            </w:tcBorders>
            <w:vAlign w:val="top"/>
          </w:tcPr>
          <w:p w14:paraId="163FEB1F">
            <w:pPr>
              <w:pStyle w:val="6"/>
              <w:spacing w:before="175" w:line="228" w:lineRule="auto"/>
              <w:ind w:left="722"/>
            </w:pPr>
            <w:r>
              <w:rPr>
                <w:spacing w:val="7"/>
              </w:rPr>
              <w:t>投标人名称</w:t>
            </w:r>
          </w:p>
        </w:tc>
        <w:tc>
          <w:tcPr>
            <w:tcW w:w="850" w:type="dxa"/>
            <w:vMerge w:val="restart"/>
            <w:tcBorders>
              <w:bottom w:val="nil"/>
            </w:tcBorders>
            <w:vAlign w:val="top"/>
          </w:tcPr>
          <w:p w14:paraId="10D076DF">
            <w:pPr>
              <w:pStyle w:val="6"/>
              <w:spacing w:before="39" w:line="237" w:lineRule="auto"/>
              <w:ind w:left="114" w:right="110" w:firstLine="107"/>
            </w:pPr>
            <w:r>
              <w:rPr>
                <w:spacing w:val="3"/>
              </w:rPr>
              <w:t>投标</w:t>
            </w:r>
            <w:r>
              <w:rPr>
                <w:spacing w:val="6"/>
              </w:rPr>
              <w:t>保证金</w:t>
            </w:r>
          </w:p>
        </w:tc>
        <w:tc>
          <w:tcPr>
            <w:tcW w:w="1417" w:type="dxa"/>
            <w:vMerge w:val="restart"/>
            <w:tcBorders>
              <w:bottom w:val="nil"/>
            </w:tcBorders>
            <w:vAlign w:val="top"/>
          </w:tcPr>
          <w:p w14:paraId="0E9CA13D">
            <w:pPr>
              <w:pStyle w:val="6"/>
              <w:spacing w:before="175" w:line="226" w:lineRule="auto"/>
              <w:jc w:val="right"/>
            </w:pPr>
            <w:r>
              <w:rPr>
                <w:spacing w:val="-4"/>
              </w:rPr>
              <w:t>投标报价（元）</w:t>
            </w:r>
          </w:p>
        </w:tc>
        <w:tc>
          <w:tcPr>
            <w:tcW w:w="1134" w:type="dxa"/>
            <w:vMerge w:val="restart"/>
            <w:tcBorders>
              <w:bottom w:val="nil"/>
            </w:tcBorders>
            <w:vAlign w:val="top"/>
          </w:tcPr>
          <w:p w14:paraId="07A99780">
            <w:pPr>
              <w:pStyle w:val="6"/>
              <w:spacing w:before="40" w:line="228" w:lineRule="auto"/>
              <w:ind w:left="364"/>
            </w:pPr>
            <w:r>
              <w:rPr>
                <w:spacing w:val="3"/>
              </w:rPr>
              <w:t>工期</w:t>
            </w:r>
          </w:p>
          <w:p w14:paraId="23AE1B9F">
            <w:pPr>
              <w:pStyle w:val="6"/>
              <w:spacing w:before="23" w:line="223" w:lineRule="auto"/>
              <w:ind w:left="57"/>
            </w:pPr>
            <w:r>
              <w:rPr>
                <w:spacing w:val="-6"/>
              </w:rPr>
              <w:t>（</w:t>
            </w:r>
            <w:r>
              <w:rPr>
                <w:spacing w:val="-52"/>
              </w:rPr>
              <w:t xml:space="preserve"> </w:t>
            </w:r>
            <w:r>
              <w:rPr>
                <w:spacing w:val="-6"/>
              </w:rPr>
              <w:t>日历天）</w:t>
            </w:r>
          </w:p>
        </w:tc>
        <w:tc>
          <w:tcPr>
            <w:tcW w:w="1134" w:type="dxa"/>
            <w:vMerge w:val="restart"/>
            <w:tcBorders>
              <w:bottom w:val="nil"/>
            </w:tcBorders>
            <w:vAlign w:val="top"/>
          </w:tcPr>
          <w:p w14:paraId="68A3A86E">
            <w:pPr>
              <w:pStyle w:val="6"/>
              <w:spacing w:before="175" w:line="228" w:lineRule="auto"/>
              <w:ind w:left="152"/>
            </w:pPr>
            <w:r>
              <w:rPr>
                <w:spacing w:val="7"/>
              </w:rPr>
              <w:t>质量目标</w:t>
            </w:r>
          </w:p>
        </w:tc>
        <w:tc>
          <w:tcPr>
            <w:tcW w:w="4250" w:type="dxa"/>
            <w:gridSpan w:val="3"/>
            <w:vAlign w:val="top"/>
          </w:tcPr>
          <w:p w14:paraId="35502B5C">
            <w:pPr>
              <w:pStyle w:val="6"/>
              <w:spacing w:before="35" w:line="217" w:lineRule="auto"/>
              <w:ind w:left="1714"/>
            </w:pPr>
            <w:r>
              <w:rPr>
                <w:spacing w:val="6"/>
              </w:rPr>
              <w:t>项目经理</w:t>
            </w:r>
          </w:p>
        </w:tc>
        <w:tc>
          <w:tcPr>
            <w:tcW w:w="851" w:type="dxa"/>
            <w:vMerge w:val="restart"/>
            <w:tcBorders>
              <w:bottom w:val="nil"/>
            </w:tcBorders>
            <w:vAlign w:val="top"/>
          </w:tcPr>
          <w:p w14:paraId="06C5D309">
            <w:pPr>
              <w:pStyle w:val="6"/>
              <w:spacing w:before="39" w:line="237" w:lineRule="auto"/>
              <w:ind w:left="222" w:right="107" w:hanging="102"/>
            </w:pPr>
            <w:r>
              <w:rPr>
                <w:spacing w:val="6"/>
              </w:rPr>
              <w:t>投标人</w:t>
            </w:r>
            <w:r>
              <w:rPr>
                <w:spacing w:val="5"/>
              </w:rPr>
              <w:t>代表</w:t>
            </w:r>
          </w:p>
        </w:tc>
        <w:tc>
          <w:tcPr>
            <w:tcW w:w="1421" w:type="dxa"/>
            <w:vMerge w:val="restart"/>
            <w:tcBorders>
              <w:bottom w:val="nil"/>
            </w:tcBorders>
            <w:vAlign w:val="top"/>
          </w:tcPr>
          <w:p w14:paraId="74E61FAF">
            <w:pPr>
              <w:pStyle w:val="6"/>
              <w:spacing w:before="174" w:line="230" w:lineRule="auto"/>
              <w:ind w:left="297"/>
            </w:pPr>
            <w:r>
              <w:rPr>
                <w:spacing w:val="7"/>
              </w:rPr>
              <w:t>联系电话</w:t>
            </w:r>
          </w:p>
        </w:tc>
      </w:tr>
      <w:tr w14:paraId="43E05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70" w:type="dxa"/>
            <w:vMerge w:val="continue"/>
            <w:tcBorders>
              <w:top w:val="nil"/>
            </w:tcBorders>
            <w:vAlign w:val="top"/>
          </w:tcPr>
          <w:p w14:paraId="6FF54A4D">
            <w:pPr>
              <w:rPr>
                <w:rFonts w:ascii="Arial"/>
                <w:sz w:val="21"/>
              </w:rPr>
            </w:pPr>
          </w:p>
        </w:tc>
        <w:tc>
          <w:tcPr>
            <w:tcW w:w="2480" w:type="dxa"/>
            <w:vMerge w:val="continue"/>
            <w:tcBorders>
              <w:top w:val="nil"/>
            </w:tcBorders>
            <w:vAlign w:val="top"/>
          </w:tcPr>
          <w:p w14:paraId="65B2D4B7">
            <w:pPr>
              <w:rPr>
                <w:rFonts w:ascii="Arial"/>
                <w:sz w:val="21"/>
              </w:rPr>
            </w:pPr>
          </w:p>
        </w:tc>
        <w:tc>
          <w:tcPr>
            <w:tcW w:w="850" w:type="dxa"/>
            <w:vMerge w:val="continue"/>
            <w:tcBorders>
              <w:top w:val="nil"/>
            </w:tcBorders>
            <w:vAlign w:val="top"/>
          </w:tcPr>
          <w:p w14:paraId="27B8B5FB">
            <w:pPr>
              <w:rPr>
                <w:rFonts w:ascii="Arial"/>
                <w:sz w:val="21"/>
              </w:rPr>
            </w:pPr>
          </w:p>
        </w:tc>
        <w:tc>
          <w:tcPr>
            <w:tcW w:w="1417" w:type="dxa"/>
            <w:vMerge w:val="continue"/>
            <w:tcBorders>
              <w:top w:val="nil"/>
            </w:tcBorders>
            <w:vAlign w:val="top"/>
          </w:tcPr>
          <w:p w14:paraId="2B3DF62D">
            <w:pPr>
              <w:rPr>
                <w:rFonts w:ascii="Arial"/>
                <w:sz w:val="21"/>
              </w:rPr>
            </w:pPr>
          </w:p>
        </w:tc>
        <w:tc>
          <w:tcPr>
            <w:tcW w:w="1134" w:type="dxa"/>
            <w:vMerge w:val="continue"/>
            <w:tcBorders>
              <w:top w:val="nil"/>
            </w:tcBorders>
            <w:vAlign w:val="top"/>
          </w:tcPr>
          <w:p w14:paraId="4E77AFCA">
            <w:pPr>
              <w:rPr>
                <w:rFonts w:ascii="Arial"/>
                <w:sz w:val="21"/>
              </w:rPr>
            </w:pPr>
          </w:p>
        </w:tc>
        <w:tc>
          <w:tcPr>
            <w:tcW w:w="1134" w:type="dxa"/>
            <w:vMerge w:val="continue"/>
            <w:tcBorders>
              <w:top w:val="nil"/>
            </w:tcBorders>
            <w:vAlign w:val="top"/>
          </w:tcPr>
          <w:p w14:paraId="4743AFB8">
            <w:pPr>
              <w:rPr>
                <w:rFonts w:ascii="Arial"/>
                <w:sz w:val="21"/>
              </w:rPr>
            </w:pPr>
          </w:p>
        </w:tc>
        <w:tc>
          <w:tcPr>
            <w:tcW w:w="850" w:type="dxa"/>
            <w:vAlign w:val="top"/>
          </w:tcPr>
          <w:p w14:paraId="676ED257">
            <w:pPr>
              <w:pStyle w:val="6"/>
              <w:spacing w:before="30" w:line="218" w:lineRule="auto"/>
              <w:ind w:left="220"/>
            </w:pPr>
            <w:r>
              <w:rPr>
                <w:spacing w:val="4"/>
              </w:rPr>
              <w:t>姓名</w:t>
            </w:r>
          </w:p>
        </w:tc>
        <w:tc>
          <w:tcPr>
            <w:tcW w:w="1984" w:type="dxa"/>
            <w:vAlign w:val="top"/>
          </w:tcPr>
          <w:p w14:paraId="6C51831D">
            <w:pPr>
              <w:pStyle w:val="6"/>
              <w:spacing w:before="30" w:line="218" w:lineRule="auto"/>
              <w:ind w:left="577"/>
            </w:pPr>
            <w:r>
              <w:rPr>
                <w:spacing w:val="7"/>
              </w:rPr>
              <w:t>证书名称</w:t>
            </w:r>
          </w:p>
        </w:tc>
        <w:tc>
          <w:tcPr>
            <w:tcW w:w="1416" w:type="dxa"/>
            <w:vAlign w:val="top"/>
          </w:tcPr>
          <w:p w14:paraId="08292980">
            <w:pPr>
              <w:pStyle w:val="6"/>
              <w:spacing w:before="30" w:line="218" w:lineRule="auto"/>
              <w:ind w:left="295"/>
            </w:pPr>
            <w:r>
              <w:rPr>
                <w:spacing w:val="7"/>
              </w:rPr>
              <w:t>证书编号</w:t>
            </w:r>
          </w:p>
        </w:tc>
        <w:tc>
          <w:tcPr>
            <w:tcW w:w="851" w:type="dxa"/>
            <w:vMerge w:val="continue"/>
            <w:tcBorders>
              <w:top w:val="nil"/>
            </w:tcBorders>
            <w:vAlign w:val="top"/>
          </w:tcPr>
          <w:p w14:paraId="77007D6B">
            <w:pPr>
              <w:rPr>
                <w:rFonts w:ascii="Arial"/>
                <w:sz w:val="21"/>
              </w:rPr>
            </w:pPr>
          </w:p>
        </w:tc>
        <w:tc>
          <w:tcPr>
            <w:tcW w:w="1421" w:type="dxa"/>
            <w:vMerge w:val="continue"/>
            <w:tcBorders>
              <w:top w:val="nil"/>
            </w:tcBorders>
            <w:vAlign w:val="top"/>
          </w:tcPr>
          <w:p w14:paraId="4FEA0419">
            <w:pPr>
              <w:rPr>
                <w:rFonts w:ascii="Arial"/>
                <w:sz w:val="21"/>
              </w:rPr>
            </w:pPr>
          </w:p>
        </w:tc>
      </w:tr>
      <w:tr w14:paraId="27F401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70" w:type="dxa"/>
            <w:vAlign w:val="top"/>
          </w:tcPr>
          <w:p w14:paraId="585CDC88">
            <w:pPr>
              <w:rPr>
                <w:rFonts w:ascii="Arial"/>
                <w:sz w:val="21"/>
              </w:rPr>
            </w:pPr>
          </w:p>
        </w:tc>
        <w:tc>
          <w:tcPr>
            <w:tcW w:w="2480" w:type="dxa"/>
            <w:vAlign w:val="top"/>
          </w:tcPr>
          <w:p w14:paraId="1E666485">
            <w:pPr>
              <w:rPr>
                <w:rFonts w:ascii="Arial"/>
                <w:sz w:val="21"/>
              </w:rPr>
            </w:pPr>
          </w:p>
        </w:tc>
        <w:tc>
          <w:tcPr>
            <w:tcW w:w="850" w:type="dxa"/>
            <w:vAlign w:val="top"/>
          </w:tcPr>
          <w:p w14:paraId="6388086B">
            <w:pPr>
              <w:rPr>
                <w:rFonts w:ascii="Arial"/>
                <w:sz w:val="21"/>
              </w:rPr>
            </w:pPr>
          </w:p>
        </w:tc>
        <w:tc>
          <w:tcPr>
            <w:tcW w:w="1417" w:type="dxa"/>
            <w:vAlign w:val="top"/>
          </w:tcPr>
          <w:p w14:paraId="77241760">
            <w:pPr>
              <w:rPr>
                <w:rFonts w:ascii="Arial"/>
                <w:sz w:val="21"/>
              </w:rPr>
            </w:pPr>
          </w:p>
        </w:tc>
        <w:tc>
          <w:tcPr>
            <w:tcW w:w="1134" w:type="dxa"/>
            <w:vAlign w:val="top"/>
          </w:tcPr>
          <w:p w14:paraId="25D682A7">
            <w:pPr>
              <w:rPr>
                <w:rFonts w:ascii="Arial"/>
                <w:sz w:val="21"/>
              </w:rPr>
            </w:pPr>
          </w:p>
        </w:tc>
        <w:tc>
          <w:tcPr>
            <w:tcW w:w="1134" w:type="dxa"/>
            <w:vAlign w:val="top"/>
          </w:tcPr>
          <w:p w14:paraId="329FEB2E">
            <w:pPr>
              <w:rPr>
                <w:rFonts w:ascii="Arial"/>
                <w:sz w:val="21"/>
              </w:rPr>
            </w:pPr>
          </w:p>
        </w:tc>
        <w:tc>
          <w:tcPr>
            <w:tcW w:w="850" w:type="dxa"/>
            <w:vAlign w:val="top"/>
          </w:tcPr>
          <w:p w14:paraId="4F87327B">
            <w:pPr>
              <w:rPr>
                <w:rFonts w:ascii="Arial"/>
                <w:sz w:val="21"/>
              </w:rPr>
            </w:pPr>
          </w:p>
        </w:tc>
        <w:tc>
          <w:tcPr>
            <w:tcW w:w="1984" w:type="dxa"/>
            <w:vAlign w:val="top"/>
          </w:tcPr>
          <w:p w14:paraId="1E745CF9">
            <w:pPr>
              <w:rPr>
                <w:rFonts w:ascii="Arial"/>
                <w:sz w:val="21"/>
              </w:rPr>
            </w:pPr>
          </w:p>
        </w:tc>
        <w:tc>
          <w:tcPr>
            <w:tcW w:w="1416" w:type="dxa"/>
            <w:vAlign w:val="top"/>
          </w:tcPr>
          <w:p w14:paraId="3A5FC0A8">
            <w:pPr>
              <w:rPr>
                <w:rFonts w:ascii="Arial"/>
                <w:sz w:val="21"/>
              </w:rPr>
            </w:pPr>
          </w:p>
        </w:tc>
        <w:tc>
          <w:tcPr>
            <w:tcW w:w="851" w:type="dxa"/>
            <w:vAlign w:val="top"/>
          </w:tcPr>
          <w:p w14:paraId="0D249E23">
            <w:pPr>
              <w:rPr>
                <w:rFonts w:ascii="Arial"/>
                <w:sz w:val="21"/>
              </w:rPr>
            </w:pPr>
          </w:p>
        </w:tc>
        <w:tc>
          <w:tcPr>
            <w:tcW w:w="1421" w:type="dxa"/>
            <w:vAlign w:val="top"/>
          </w:tcPr>
          <w:p w14:paraId="0D6D3D95">
            <w:pPr>
              <w:rPr>
                <w:rFonts w:ascii="Arial"/>
                <w:sz w:val="21"/>
              </w:rPr>
            </w:pPr>
          </w:p>
        </w:tc>
      </w:tr>
      <w:tr w14:paraId="34E1C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670" w:type="dxa"/>
            <w:vAlign w:val="top"/>
          </w:tcPr>
          <w:p w14:paraId="57198116">
            <w:pPr>
              <w:rPr>
                <w:rFonts w:ascii="Arial"/>
                <w:sz w:val="21"/>
              </w:rPr>
            </w:pPr>
          </w:p>
        </w:tc>
        <w:tc>
          <w:tcPr>
            <w:tcW w:w="2480" w:type="dxa"/>
            <w:vAlign w:val="top"/>
          </w:tcPr>
          <w:p w14:paraId="298B3E3F">
            <w:pPr>
              <w:rPr>
                <w:rFonts w:ascii="Arial"/>
                <w:sz w:val="21"/>
              </w:rPr>
            </w:pPr>
          </w:p>
        </w:tc>
        <w:tc>
          <w:tcPr>
            <w:tcW w:w="850" w:type="dxa"/>
            <w:vAlign w:val="top"/>
          </w:tcPr>
          <w:p w14:paraId="63F2E8F7">
            <w:pPr>
              <w:rPr>
                <w:rFonts w:ascii="Arial"/>
                <w:sz w:val="21"/>
              </w:rPr>
            </w:pPr>
          </w:p>
        </w:tc>
        <w:tc>
          <w:tcPr>
            <w:tcW w:w="1417" w:type="dxa"/>
            <w:vAlign w:val="top"/>
          </w:tcPr>
          <w:p w14:paraId="7C3987ED">
            <w:pPr>
              <w:rPr>
                <w:rFonts w:ascii="Arial"/>
                <w:sz w:val="21"/>
              </w:rPr>
            </w:pPr>
          </w:p>
        </w:tc>
        <w:tc>
          <w:tcPr>
            <w:tcW w:w="1134" w:type="dxa"/>
            <w:vAlign w:val="top"/>
          </w:tcPr>
          <w:p w14:paraId="7783BFE6">
            <w:pPr>
              <w:rPr>
                <w:rFonts w:ascii="Arial"/>
                <w:sz w:val="21"/>
              </w:rPr>
            </w:pPr>
          </w:p>
        </w:tc>
        <w:tc>
          <w:tcPr>
            <w:tcW w:w="1134" w:type="dxa"/>
            <w:vAlign w:val="top"/>
          </w:tcPr>
          <w:p w14:paraId="4741BEB7">
            <w:pPr>
              <w:rPr>
                <w:rFonts w:ascii="Arial"/>
                <w:sz w:val="21"/>
              </w:rPr>
            </w:pPr>
          </w:p>
        </w:tc>
        <w:tc>
          <w:tcPr>
            <w:tcW w:w="850" w:type="dxa"/>
            <w:vAlign w:val="top"/>
          </w:tcPr>
          <w:p w14:paraId="1C764530">
            <w:pPr>
              <w:rPr>
                <w:rFonts w:ascii="Arial"/>
                <w:sz w:val="21"/>
              </w:rPr>
            </w:pPr>
          </w:p>
        </w:tc>
        <w:tc>
          <w:tcPr>
            <w:tcW w:w="1984" w:type="dxa"/>
            <w:vAlign w:val="top"/>
          </w:tcPr>
          <w:p w14:paraId="208D1C7D">
            <w:pPr>
              <w:rPr>
                <w:rFonts w:ascii="Arial"/>
                <w:sz w:val="21"/>
              </w:rPr>
            </w:pPr>
          </w:p>
        </w:tc>
        <w:tc>
          <w:tcPr>
            <w:tcW w:w="1416" w:type="dxa"/>
            <w:vAlign w:val="top"/>
          </w:tcPr>
          <w:p w14:paraId="6555ECE2">
            <w:pPr>
              <w:rPr>
                <w:rFonts w:ascii="Arial"/>
                <w:sz w:val="21"/>
              </w:rPr>
            </w:pPr>
          </w:p>
        </w:tc>
        <w:tc>
          <w:tcPr>
            <w:tcW w:w="851" w:type="dxa"/>
            <w:vAlign w:val="top"/>
          </w:tcPr>
          <w:p w14:paraId="7A1A413A">
            <w:pPr>
              <w:rPr>
                <w:rFonts w:ascii="Arial"/>
                <w:sz w:val="21"/>
              </w:rPr>
            </w:pPr>
          </w:p>
        </w:tc>
        <w:tc>
          <w:tcPr>
            <w:tcW w:w="1421" w:type="dxa"/>
            <w:vAlign w:val="top"/>
          </w:tcPr>
          <w:p w14:paraId="2301212D">
            <w:pPr>
              <w:rPr>
                <w:rFonts w:ascii="Arial"/>
                <w:sz w:val="21"/>
              </w:rPr>
            </w:pPr>
          </w:p>
        </w:tc>
      </w:tr>
      <w:tr w14:paraId="50ED6F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70" w:type="dxa"/>
            <w:vAlign w:val="top"/>
          </w:tcPr>
          <w:p w14:paraId="2089D824">
            <w:pPr>
              <w:rPr>
                <w:rFonts w:ascii="Arial"/>
                <w:sz w:val="21"/>
              </w:rPr>
            </w:pPr>
          </w:p>
        </w:tc>
        <w:tc>
          <w:tcPr>
            <w:tcW w:w="2480" w:type="dxa"/>
            <w:vAlign w:val="top"/>
          </w:tcPr>
          <w:p w14:paraId="4CE6FF0C">
            <w:pPr>
              <w:rPr>
                <w:rFonts w:ascii="Arial"/>
                <w:sz w:val="21"/>
              </w:rPr>
            </w:pPr>
          </w:p>
        </w:tc>
        <w:tc>
          <w:tcPr>
            <w:tcW w:w="850" w:type="dxa"/>
            <w:vAlign w:val="top"/>
          </w:tcPr>
          <w:p w14:paraId="168FF606">
            <w:pPr>
              <w:rPr>
                <w:rFonts w:ascii="Arial"/>
                <w:sz w:val="21"/>
              </w:rPr>
            </w:pPr>
          </w:p>
        </w:tc>
        <w:tc>
          <w:tcPr>
            <w:tcW w:w="1417" w:type="dxa"/>
            <w:vAlign w:val="top"/>
          </w:tcPr>
          <w:p w14:paraId="2F67AEDB">
            <w:pPr>
              <w:rPr>
                <w:rFonts w:ascii="Arial"/>
                <w:sz w:val="21"/>
              </w:rPr>
            </w:pPr>
          </w:p>
        </w:tc>
        <w:tc>
          <w:tcPr>
            <w:tcW w:w="1134" w:type="dxa"/>
            <w:vAlign w:val="top"/>
          </w:tcPr>
          <w:p w14:paraId="1A864C51">
            <w:pPr>
              <w:rPr>
                <w:rFonts w:ascii="Arial"/>
                <w:sz w:val="21"/>
              </w:rPr>
            </w:pPr>
          </w:p>
        </w:tc>
        <w:tc>
          <w:tcPr>
            <w:tcW w:w="1134" w:type="dxa"/>
            <w:vAlign w:val="top"/>
          </w:tcPr>
          <w:p w14:paraId="788D1202">
            <w:pPr>
              <w:rPr>
                <w:rFonts w:ascii="Arial"/>
                <w:sz w:val="21"/>
              </w:rPr>
            </w:pPr>
          </w:p>
        </w:tc>
        <w:tc>
          <w:tcPr>
            <w:tcW w:w="850" w:type="dxa"/>
            <w:vAlign w:val="top"/>
          </w:tcPr>
          <w:p w14:paraId="51B073F3">
            <w:pPr>
              <w:rPr>
                <w:rFonts w:ascii="Arial"/>
                <w:sz w:val="21"/>
              </w:rPr>
            </w:pPr>
          </w:p>
        </w:tc>
        <w:tc>
          <w:tcPr>
            <w:tcW w:w="1984" w:type="dxa"/>
            <w:vAlign w:val="top"/>
          </w:tcPr>
          <w:p w14:paraId="054D4918">
            <w:pPr>
              <w:rPr>
                <w:rFonts w:ascii="Arial"/>
                <w:sz w:val="21"/>
              </w:rPr>
            </w:pPr>
          </w:p>
        </w:tc>
        <w:tc>
          <w:tcPr>
            <w:tcW w:w="1416" w:type="dxa"/>
            <w:vAlign w:val="top"/>
          </w:tcPr>
          <w:p w14:paraId="3F3A88B8">
            <w:pPr>
              <w:rPr>
                <w:rFonts w:ascii="Arial"/>
                <w:sz w:val="21"/>
              </w:rPr>
            </w:pPr>
          </w:p>
        </w:tc>
        <w:tc>
          <w:tcPr>
            <w:tcW w:w="851" w:type="dxa"/>
            <w:vAlign w:val="top"/>
          </w:tcPr>
          <w:p w14:paraId="57AFE460">
            <w:pPr>
              <w:rPr>
                <w:rFonts w:ascii="Arial"/>
                <w:sz w:val="21"/>
              </w:rPr>
            </w:pPr>
          </w:p>
        </w:tc>
        <w:tc>
          <w:tcPr>
            <w:tcW w:w="1421" w:type="dxa"/>
            <w:vAlign w:val="top"/>
          </w:tcPr>
          <w:p w14:paraId="36BA99A2">
            <w:pPr>
              <w:rPr>
                <w:rFonts w:ascii="Arial"/>
                <w:sz w:val="21"/>
              </w:rPr>
            </w:pPr>
          </w:p>
        </w:tc>
      </w:tr>
      <w:tr w14:paraId="49BBA2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670" w:type="dxa"/>
            <w:vAlign w:val="top"/>
          </w:tcPr>
          <w:p w14:paraId="793819B6">
            <w:pPr>
              <w:rPr>
                <w:rFonts w:ascii="Arial"/>
                <w:sz w:val="21"/>
              </w:rPr>
            </w:pPr>
          </w:p>
        </w:tc>
        <w:tc>
          <w:tcPr>
            <w:tcW w:w="2480" w:type="dxa"/>
            <w:vAlign w:val="top"/>
          </w:tcPr>
          <w:p w14:paraId="7141C97E">
            <w:pPr>
              <w:rPr>
                <w:rFonts w:ascii="Arial"/>
                <w:sz w:val="21"/>
              </w:rPr>
            </w:pPr>
          </w:p>
        </w:tc>
        <w:tc>
          <w:tcPr>
            <w:tcW w:w="850" w:type="dxa"/>
            <w:vAlign w:val="top"/>
          </w:tcPr>
          <w:p w14:paraId="4CAF3FA3">
            <w:pPr>
              <w:rPr>
                <w:rFonts w:ascii="Arial"/>
                <w:sz w:val="21"/>
              </w:rPr>
            </w:pPr>
          </w:p>
        </w:tc>
        <w:tc>
          <w:tcPr>
            <w:tcW w:w="1417" w:type="dxa"/>
            <w:vAlign w:val="top"/>
          </w:tcPr>
          <w:p w14:paraId="12196E85">
            <w:pPr>
              <w:rPr>
                <w:rFonts w:ascii="Arial"/>
                <w:sz w:val="21"/>
              </w:rPr>
            </w:pPr>
          </w:p>
        </w:tc>
        <w:tc>
          <w:tcPr>
            <w:tcW w:w="1134" w:type="dxa"/>
            <w:vAlign w:val="top"/>
          </w:tcPr>
          <w:p w14:paraId="2EDD4148">
            <w:pPr>
              <w:rPr>
                <w:rFonts w:ascii="Arial"/>
                <w:sz w:val="21"/>
              </w:rPr>
            </w:pPr>
          </w:p>
        </w:tc>
        <w:tc>
          <w:tcPr>
            <w:tcW w:w="1134" w:type="dxa"/>
            <w:vAlign w:val="top"/>
          </w:tcPr>
          <w:p w14:paraId="1C9C43C4">
            <w:pPr>
              <w:rPr>
                <w:rFonts w:ascii="Arial"/>
                <w:sz w:val="21"/>
              </w:rPr>
            </w:pPr>
          </w:p>
        </w:tc>
        <w:tc>
          <w:tcPr>
            <w:tcW w:w="850" w:type="dxa"/>
            <w:vAlign w:val="top"/>
          </w:tcPr>
          <w:p w14:paraId="58A6F06D">
            <w:pPr>
              <w:rPr>
                <w:rFonts w:ascii="Arial"/>
                <w:sz w:val="21"/>
              </w:rPr>
            </w:pPr>
          </w:p>
        </w:tc>
        <w:tc>
          <w:tcPr>
            <w:tcW w:w="1984" w:type="dxa"/>
            <w:vAlign w:val="top"/>
          </w:tcPr>
          <w:p w14:paraId="64FD2AC8">
            <w:pPr>
              <w:rPr>
                <w:rFonts w:ascii="Arial"/>
                <w:sz w:val="21"/>
              </w:rPr>
            </w:pPr>
          </w:p>
        </w:tc>
        <w:tc>
          <w:tcPr>
            <w:tcW w:w="1416" w:type="dxa"/>
            <w:vAlign w:val="top"/>
          </w:tcPr>
          <w:p w14:paraId="1896C952">
            <w:pPr>
              <w:rPr>
                <w:rFonts w:ascii="Arial"/>
                <w:sz w:val="21"/>
              </w:rPr>
            </w:pPr>
          </w:p>
        </w:tc>
        <w:tc>
          <w:tcPr>
            <w:tcW w:w="851" w:type="dxa"/>
            <w:vAlign w:val="top"/>
          </w:tcPr>
          <w:p w14:paraId="6081CAF3">
            <w:pPr>
              <w:rPr>
                <w:rFonts w:ascii="Arial"/>
                <w:sz w:val="21"/>
              </w:rPr>
            </w:pPr>
          </w:p>
        </w:tc>
        <w:tc>
          <w:tcPr>
            <w:tcW w:w="1421" w:type="dxa"/>
            <w:vAlign w:val="top"/>
          </w:tcPr>
          <w:p w14:paraId="6CC91F2B">
            <w:pPr>
              <w:rPr>
                <w:rFonts w:ascii="Arial"/>
                <w:sz w:val="21"/>
              </w:rPr>
            </w:pPr>
          </w:p>
        </w:tc>
      </w:tr>
      <w:tr w14:paraId="5DB1C3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70" w:type="dxa"/>
            <w:vAlign w:val="top"/>
          </w:tcPr>
          <w:p w14:paraId="623A1160">
            <w:pPr>
              <w:rPr>
                <w:rFonts w:ascii="Arial"/>
                <w:sz w:val="21"/>
              </w:rPr>
            </w:pPr>
          </w:p>
        </w:tc>
        <w:tc>
          <w:tcPr>
            <w:tcW w:w="2480" w:type="dxa"/>
            <w:vAlign w:val="top"/>
          </w:tcPr>
          <w:p w14:paraId="74E01219">
            <w:pPr>
              <w:rPr>
                <w:rFonts w:ascii="Arial"/>
                <w:sz w:val="21"/>
              </w:rPr>
            </w:pPr>
          </w:p>
        </w:tc>
        <w:tc>
          <w:tcPr>
            <w:tcW w:w="850" w:type="dxa"/>
            <w:vAlign w:val="top"/>
          </w:tcPr>
          <w:p w14:paraId="0F3DF9E3">
            <w:pPr>
              <w:rPr>
                <w:rFonts w:ascii="Arial"/>
                <w:sz w:val="21"/>
              </w:rPr>
            </w:pPr>
          </w:p>
        </w:tc>
        <w:tc>
          <w:tcPr>
            <w:tcW w:w="1417" w:type="dxa"/>
            <w:vAlign w:val="top"/>
          </w:tcPr>
          <w:p w14:paraId="1B81B615">
            <w:pPr>
              <w:rPr>
                <w:rFonts w:ascii="Arial"/>
                <w:sz w:val="21"/>
              </w:rPr>
            </w:pPr>
          </w:p>
        </w:tc>
        <w:tc>
          <w:tcPr>
            <w:tcW w:w="1134" w:type="dxa"/>
            <w:vAlign w:val="top"/>
          </w:tcPr>
          <w:p w14:paraId="42C773F5">
            <w:pPr>
              <w:rPr>
                <w:rFonts w:ascii="Arial"/>
                <w:sz w:val="21"/>
              </w:rPr>
            </w:pPr>
          </w:p>
        </w:tc>
        <w:tc>
          <w:tcPr>
            <w:tcW w:w="1134" w:type="dxa"/>
            <w:vAlign w:val="top"/>
          </w:tcPr>
          <w:p w14:paraId="259C673C">
            <w:pPr>
              <w:rPr>
                <w:rFonts w:ascii="Arial"/>
                <w:sz w:val="21"/>
              </w:rPr>
            </w:pPr>
          </w:p>
        </w:tc>
        <w:tc>
          <w:tcPr>
            <w:tcW w:w="850" w:type="dxa"/>
            <w:vAlign w:val="top"/>
          </w:tcPr>
          <w:p w14:paraId="75B4A714">
            <w:pPr>
              <w:rPr>
                <w:rFonts w:ascii="Arial"/>
                <w:sz w:val="21"/>
              </w:rPr>
            </w:pPr>
          </w:p>
        </w:tc>
        <w:tc>
          <w:tcPr>
            <w:tcW w:w="1984" w:type="dxa"/>
            <w:vAlign w:val="top"/>
          </w:tcPr>
          <w:p w14:paraId="677D9E9B">
            <w:pPr>
              <w:rPr>
                <w:rFonts w:ascii="Arial"/>
                <w:sz w:val="21"/>
              </w:rPr>
            </w:pPr>
          </w:p>
        </w:tc>
        <w:tc>
          <w:tcPr>
            <w:tcW w:w="1416" w:type="dxa"/>
            <w:vAlign w:val="top"/>
          </w:tcPr>
          <w:p w14:paraId="0EF27A10">
            <w:pPr>
              <w:rPr>
                <w:rFonts w:ascii="Arial"/>
                <w:sz w:val="21"/>
              </w:rPr>
            </w:pPr>
          </w:p>
        </w:tc>
        <w:tc>
          <w:tcPr>
            <w:tcW w:w="851" w:type="dxa"/>
            <w:vAlign w:val="top"/>
          </w:tcPr>
          <w:p w14:paraId="39F89289">
            <w:pPr>
              <w:rPr>
                <w:rFonts w:ascii="Arial"/>
                <w:sz w:val="21"/>
              </w:rPr>
            </w:pPr>
          </w:p>
        </w:tc>
        <w:tc>
          <w:tcPr>
            <w:tcW w:w="1421" w:type="dxa"/>
            <w:vAlign w:val="top"/>
          </w:tcPr>
          <w:p w14:paraId="3993EAEF">
            <w:pPr>
              <w:rPr>
                <w:rFonts w:ascii="Arial"/>
                <w:sz w:val="21"/>
              </w:rPr>
            </w:pPr>
          </w:p>
        </w:tc>
      </w:tr>
      <w:tr w14:paraId="04E550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670" w:type="dxa"/>
            <w:vAlign w:val="top"/>
          </w:tcPr>
          <w:p w14:paraId="5507AB06">
            <w:pPr>
              <w:rPr>
                <w:rFonts w:ascii="Arial"/>
                <w:sz w:val="21"/>
              </w:rPr>
            </w:pPr>
          </w:p>
        </w:tc>
        <w:tc>
          <w:tcPr>
            <w:tcW w:w="2480" w:type="dxa"/>
            <w:vAlign w:val="top"/>
          </w:tcPr>
          <w:p w14:paraId="7504D3D2">
            <w:pPr>
              <w:rPr>
                <w:rFonts w:ascii="Arial"/>
                <w:sz w:val="21"/>
              </w:rPr>
            </w:pPr>
          </w:p>
        </w:tc>
        <w:tc>
          <w:tcPr>
            <w:tcW w:w="850" w:type="dxa"/>
            <w:vAlign w:val="top"/>
          </w:tcPr>
          <w:p w14:paraId="2F04C50C">
            <w:pPr>
              <w:rPr>
                <w:rFonts w:ascii="Arial"/>
                <w:sz w:val="21"/>
              </w:rPr>
            </w:pPr>
          </w:p>
        </w:tc>
        <w:tc>
          <w:tcPr>
            <w:tcW w:w="1417" w:type="dxa"/>
            <w:vAlign w:val="top"/>
          </w:tcPr>
          <w:p w14:paraId="58DBB606">
            <w:pPr>
              <w:rPr>
                <w:rFonts w:ascii="Arial"/>
                <w:sz w:val="21"/>
              </w:rPr>
            </w:pPr>
          </w:p>
        </w:tc>
        <w:tc>
          <w:tcPr>
            <w:tcW w:w="1134" w:type="dxa"/>
            <w:vAlign w:val="top"/>
          </w:tcPr>
          <w:p w14:paraId="50B3FD0A">
            <w:pPr>
              <w:rPr>
                <w:rFonts w:ascii="Arial"/>
                <w:sz w:val="21"/>
              </w:rPr>
            </w:pPr>
          </w:p>
        </w:tc>
        <w:tc>
          <w:tcPr>
            <w:tcW w:w="1134" w:type="dxa"/>
            <w:vAlign w:val="top"/>
          </w:tcPr>
          <w:p w14:paraId="5B513EDB">
            <w:pPr>
              <w:rPr>
                <w:rFonts w:ascii="Arial"/>
                <w:sz w:val="21"/>
              </w:rPr>
            </w:pPr>
          </w:p>
        </w:tc>
        <w:tc>
          <w:tcPr>
            <w:tcW w:w="850" w:type="dxa"/>
            <w:vAlign w:val="top"/>
          </w:tcPr>
          <w:p w14:paraId="47B4A130">
            <w:pPr>
              <w:rPr>
                <w:rFonts w:ascii="Arial"/>
                <w:sz w:val="21"/>
              </w:rPr>
            </w:pPr>
          </w:p>
        </w:tc>
        <w:tc>
          <w:tcPr>
            <w:tcW w:w="1984" w:type="dxa"/>
            <w:vAlign w:val="top"/>
          </w:tcPr>
          <w:p w14:paraId="2629FCA0">
            <w:pPr>
              <w:rPr>
                <w:rFonts w:ascii="Arial"/>
                <w:sz w:val="21"/>
              </w:rPr>
            </w:pPr>
          </w:p>
        </w:tc>
        <w:tc>
          <w:tcPr>
            <w:tcW w:w="1416" w:type="dxa"/>
            <w:vAlign w:val="top"/>
          </w:tcPr>
          <w:p w14:paraId="1E6CC3C7">
            <w:pPr>
              <w:rPr>
                <w:rFonts w:ascii="Arial"/>
                <w:sz w:val="21"/>
              </w:rPr>
            </w:pPr>
          </w:p>
        </w:tc>
        <w:tc>
          <w:tcPr>
            <w:tcW w:w="851" w:type="dxa"/>
            <w:vAlign w:val="top"/>
          </w:tcPr>
          <w:p w14:paraId="2D3516A2">
            <w:pPr>
              <w:rPr>
                <w:rFonts w:ascii="Arial"/>
                <w:sz w:val="21"/>
              </w:rPr>
            </w:pPr>
          </w:p>
        </w:tc>
        <w:tc>
          <w:tcPr>
            <w:tcW w:w="1421" w:type="dxa"/>
            <w:vAlign w:val="top"/>
          </w:tcPr>
          <w:p w14:paraId="73D3860E">
            <w:pPr>
              <w:rPr>
                <w:rFonts w:ascii="Arial"/>
                <w:sz w:val="21"/>
              </w:rPr>
            </w:pPr>
          </w:p>
        </w:tc>
      </w:tr>
      <w:tr w14:paraId="699C2B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70" w:type="dxa"/>
            <w:vAlign w:val="top"/>
          </w:tcPr>
          <w:p w14:paraId="6678B0C1">
            <w:pPr>
              <w:rPr>
                <w:rFonts w:ascii="Arial"/>
                <w:sz w:val="21"/>
              </w:rPr>
            </w:pPr>
          </w:p>
        </w:tc>
        <w:tc>
          <w:tcPr>
            <w:tcW w:w="2480" w:type="dxa"/>
            <w:vAlign w:val="top"/>
          </w:tcPr>
          <w:p w14:paraId="1FBB764A">
            <w:pPr>
              <w:rPr>
                <w:rFonts w:ascii="Arial"/>
                <w:sz w:val="21"/>
              </w:rPr>
            </w:pPr>
          </w:p>
        </w:tc>
        <w:tc>
          <w:tcPr>
            <w:tcW w:w="850" w:type="dxa"/>
            <w:vAlign w:val="top"/>
          </w:tcPr>
          <w:p w14:paraId="33AAF6EC">
            <w:pPr>
              <w:rPr>
                <w:rFonts w:ascii="Arial"/>
                <w:sz w:val="21"/>
              </w:rPr>
            </w:pPr>
          </w:p>
        </w:tc>
        <w:tc>
          <w:tcPr>
            <w:tcW w:w="1417" w:type="dxa"/>
            <w:vAlign w:val="top"/>
          </w:tcPr>
          <w:p w14:paraId="48E86F80">
            <w:pPr>
              <w:rPr>
                <w:rFonts w:ascii="Arial"/>
                <w:sz w:val="21"/>
              </w:rPr>
            </w:pPr>
          </w:p>
        </w:tc>
        <w:tc>
          <w:tcPr>
            <w:tcW w:w="1134" w:type="dxa"/>
            <w:vAlign w:val="top"/>
          </w:tcPr>
          <w:p w14:paraId="0B6E6E41">
            <w:pPr>
              <w:rPr>
                <w:rFonts w:ascii="Arial"/>
                <w:sz w:val="21"/>
              </w:rPr>
            </w:pPr>
          </w:p>
        </w:tc>
        <w:tc>
          <w:tcPr>
            <w:tcW w:w="1134" w:type="dxa"/>
            <w:vAlign w:val="top"/>
          </w:tcPr>
          <w:p w14:paraId="160B7F97">
            <w:pPr>
              <w:rPr>
                <w:rFonts w:ascii="Arial"/>
                <w:sz w:val="21"/>
              </w:rPr>
            </w:pPr>
          </w:p>
        </w:tc>
        <w:tc>
          <w:tcPr>
            <w:tcW w:w="850" w:type="dxa"/>
            <w:vAlign w:val="top"/>
          </w:tcPr>
          <w:p w14:paraId="658B0B12">
            <w:pPr>
              <w:rPr>
                <w:rFonts w:ascii="Arial"/>
                <w:sz w:val="21"/>
              </w:rPr>
            </w:pPr>
          </w:p>
        </w:tc>
        <w:tc>
          <w:tcPr>
            <w:tcW w:w="1984" w:type="dxa"/>
            <w:vAlign w:val="top"/>
          </w:tcPr>
          <w:p w14:paraId="2AD30928">
            <w:pPr>
              <w:rPr>
                <w:rFonts w:ascii="Arial"/>
                <w:sz w:val="21"/>
              </w:rPr>
            </w:pPr>
          </w:p>
        </w:tc>
        <w:tc>
          <w:tcPr>
            <w:tcW w:w="1416" w:type="dxa"/>
            <w:vAlign w:val="top"/>
          </w:tcPr>
          <w:p w14:paraId="08B51FE4">
            <w:pPr>
              <w:rPr>
                <w:rFonts w:ascii="Arial"/>
                <w:sz w:val="21"/>
              </w:rPr>
            </w:pPr>
          </w:p>
        </w:tc>
        <w:tc>
          <w:tcPr>
            <w:tcW w:w="851" w:type="dxa"/>
            <w:vAlign w:val="top"/>
          </w:tcPr>
          <w:p w14:paraId="33071BC0">
            <w:pPr>
              <w:rPr>
                <w:rFonts w:ascii="Arial"/>
                <w:sz w:val="21"/>
              </w:rPr>
            </w:pPr>
          </w:p>
        </w:tc>
        <w:tc>
          <w:tcPr>
            <w:tcW w:w="1421" w:type="dxa"/>
            <w:vAlign w:val="top"/>
          </w:tcPr>
          <w:p w14:paraId="60ED03CD">
            <w:pPr>
              <w:rPr>
                <w:rFonts w:ascii="Arial"/>
                <w:sz w:val="21"/>
              </w:rPr>
            </w:pPr>
          </w:p>
        </w:tc>
      </w:tr>
      <w:tr w14:paraId="0B77D2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670" w:type="dxa"/>
            <w:vAlign w:val="top"/>
          </w:tcPr>
          <w:p w14:paraId="101BD6A2">
            <w:pPr>
              <w:rPr>
                <w:rFonts w:ascii="Arial"/>
                <w:sz w:val="21"/>
              </w:rPr>
            </w:pPr>
          </w:p>
        </w:tc>
        <w:tc>
          <w:tcPr>
            <w:tcW w:w="2480" w:type="dxa"/>
            <w:vAlign w:val="top"/>
          </w:tcPr>
          <w:p w14:paraId="6D204A98">
            <w:pPr>
              <w:rPr>
                <w:rFonts w:ascii="Arial"/>
                <w:sz w:val="21"/>
              </w:rPr>
            </w:pPr>
          </w:p>
        </w:tc>
        <w:tc>
          <w:tcPr>
            <w:tcW w:w="850" w:type="dxa"/>
            <w:vAlign w:val="top"/>
          </w:tcPr>
          <w:p w14:paraId="3E44672A">
            <w:pPr>
              <w:rPr>
                <w:rFonts w:ascii="Arial"/>
                <w:sz w:val="21"/>
              </w:rPr>
            </w:pPr>
          </w:p>
        </w:tc>
        <w:tc>
          <w:tcPr>
            <w:tcW w:w="1417" w:type="dxa"/>
            <w:vAlign w:val="top"/>
          </w:tcPr>
          <w:p w14:paraId="31D1A79D">
            <w:pPr>
              <w:rPr>
                <w:rFonts w:ascii="Arial"/>
                <w:sz w:val="21"/>
              </w:rPr>
            </w:pPr>
          </w:p>
        </w:tc>
        <w:tc>
          <w:tcPr>
            <w:tcW w:w="1134" w:type="dxa"/>
            <w:vAlign w:val="top"/>
          </w:tcPr>
          <w:p w14:paraId="74B594FF">
            <w:pPr>
              <w:rPr>
                <w:rFonts w:ascii="Arial"/>
                <w:sz w:val="21"/>
              </w:rPr>
            </w:pPr>
          </w:p>
        </w:tc>
        <w:tc>
          <w:tcPr>
            <w:tcW w:w="1134" w:type="dxa"/>
            <w:vAlign w:val="top"/>
          </w:tcPr>
          <w:p w14:paraId="42E77B5D">
            <w:pPr>
              <w:rPr>
                <w:rFonts w:ascii="Arial"/>
                <w:sz w:val="21"/>
              </w:rPr>
            </w:pPr>
          </w:p>
        </w:tc>
        <w:tc>
          <w:tcPr>
            <w:tcW w:w="850" w:type="dxa"/>
            <w:vAlign w:val="top"/>
          </w:tcPr>
          <w:p w14:paraId="07B27EE0">
            <w:pPr>
              <w:rPr>
                <w:rFonts w:ascii="Arial"/>
                <w:sz w:val="21"/>
              </w:rPr>
            </w:pPr>
          </w:p>
        </w:tc>
        <w:tc>
          <w:tcPr>
            <w:tcW w:w="1984" w:type="dxa"/>
            <w:vAlign w:val="top"/>
          </w:tcPr>
          <w:p w14:paraId="6F6EC7A8">
            <w:pPr>
              <w:rPr>
                <w:rFonts w:ascii="Arial"/>
                <w:sz w:val="21"/>
              </w:rPr>
            </w:pPr>
          </w:p>
        </w:tc>
        <w:tc>
          <w:tcPr>
            <w:tcW w:w="1416" w:type="dxa"/>
            <w:vAlign w:val="top"/>
          </w:tcPr>
          <w:p w14:paraId="7F1A791C">
            <w:pPr>
              <w:rPr>
                <w:rFonts w:ascii="Arial"/>
                <w:sz w:val="21"/>
              </w:rPr>
            </w:pPr>
          </w:p>
        </w:tc>
        <w:tc>
          <w:tcPr>
            <w:tcW w:w="851" w:type="dxa"/>
            <w:vAlign w:val="top"/>
          </w:tcPr>
          <w:p w14:paraId="5879FAE2">
            <w:pPr>
              <w:rPr>
                <w:rFonts w:ascii="Arial"/>
                <w:sz w:val="21"/>
              </w:rPr>
            </w:pPr>
          </w:p>
        </w:tc>
        <w:tc>
          <w:tcPr>
            <w:tcW w:w="1421" w:type="dxa"/>
            <w:vAlign w:val="top"/>
          </w:tcPr>
          <w:p w14:paraId="600F6989">
            <w:pPr>
              <w:rPr>
                <w:rFonts w:ascii="Arial"/>
                <w:sz w:val="21"/>
              </w:rPr>
            </w:pPr>
          </w:p>
        </w:tc>
      </w:tr>
      <w:tr w14:paraId="3CB46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3150" w:type="dxa"/>
            <w:gridSpan w:val="2"/>
            <w:vAlign w:val="top"/>
          </w:tcPr>
          <w:p w14:paraId="0CBD73DD">
            <w:pPr>
              <w:pStyle w:val="6"/>
              <w:spacing w:before="162" w:line="226" w:lineRule="auto"/>
              <w:ind w:left="531"/>
            </w:pPr>
            <w:r>
              <w:rPr>
                <w:spacing w:val="7"/>
              </w:rPr>
              <w:t>招标控制价总价（元）</w:t>
            </w:r>
          </w:p>
        </w:tc>
        <w:tc>
          <w:tcPr>
            <w:tcW w:w="11057" w:type="dxa"/>
            <w:gridSpan w:val="9"/>
            <w:vAlign w:val="top"/>
          </w:tcPr>
          <w:p w14:paraId="39B1CCA7">
            <w:pPr>
              <w:rPr>
                <w:rFonts w:ascii="Arial"/>
                <w:sz w:val="21"/>
              </w:rPr>
            </w:pPr>
          </w:p>
        </w:tc>
      </w:tr>
      <w:tr w14:paraId="56960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3150" w:type="dxa"/>
            <w:gridSpan w:val="2"/>
            <w:vAlign w:val="top"/>
          </w:tcPr>
          <w:p w14:paraId="6609923C">
            <w:pPr>
              <w:spacing w:line="277" w:lineRule="auto"/>
              <w:rPr>
                <w:rFonts w:ascii="Arial"/>
                <w:sz w:val="21"/>
              </w:rPr>
            </w:pPr>
          </w:p>
          <w:p w14:paraId="240BB96E">
            <w:pPr>
              <w:pStyle w:val="6"/>
              <w:spacing w:before="65" w:line="228" w:lineRule="auto"/>
              <w:ind w:left="322"/>
            </w:pPr>
            <w:r>
              <w:rPr>
                <w:spacing w:val="9"/>
              </w:rPr>
              <w:t>开标过程需记录的其他事项</w:t>
            </w:r>
          </w:p>
        </w:tc>
        <w:tc>
          <w:tcPr>
            <w:tcW w:w="11057" w:type="dxa"/>
            <w:gridSpan w:val="9"/>
            <w:vAlign w:val="top"/>
          </w:tcPr>
          <w:p w14:paraId="2B102EE1">
            <w:pPr>
              <w:rPr>
                <w:rFonts w:ascii="Arial"/>
                <w:sz w:val="21"/>
              </w:rPr>
            </w:pPr>
          </w:p>
        </w:tc>
      </w:tr>
    </w:tbl>
    <w:p w14:paraId="4D0DC900">
      <w:pPr>
        <w:spacing w:before="142" w:line="228" w:lineRule="auto"/>
        <w:ind w:left="5502"/>
        <w:rPr>
          <w:rFonts w:ascii="宋体" w:hAnsi="宋体" w:eastAsia="宋体" w:cs="宋体"/>
          <w:sz w:val="20"/>
          <w:szCs w:val="20"/>
        </w:rPr>
      </w:pPr>
      <w:r>
        <w:rPr>
          <w:rFonts w:ascii="宋体" w:hAnsi="宋体" w:eastAsia="宋体" w:cs="宋体"/>
          <w:spacing w:val="4"/>
          <w:sz w:val="20"/>
          <w:szCs w:val="20"/>
        </w:rPr>
        <w:t>主持人：</w:t>
      </w:r>
      <w:r>
        <w:rPr>
          <w:rFonts w:ascii="宋体" w:hAnsi="宋体" w:eastAsia="宋体" w:cs="宋体"/>
          <w:spacing w:val="4"/>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4"/>
          <w:sz w:val="20"/>
          <w:szCs w:val="20"/>
        </w:rPr>
        <w:t>招标人代表：</w:t>
      </w:r>
      <w:r>
        <w:rPr>
          <w:rFonts w:ascii="宋体" w:hAnsi="宋体" w:eastAsia="宋体" w:cs="宋体"/>
          <w:spacing w:val="4"/>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4"/>
          <w:sz w:val="20"/>
          <w:szCs w:val="20"/>
        </w:rPr>
        <w:t>监标人：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7D82FF77">
      <w:pPr>
        <w:spacing w:line="228" w:lineRule="auto"/>
        <w:rPr>
          <w:rFonts w:ascii="宋体" w:hAnsi="宋体" w:eastAsia="宋体" w:cs="宋体"/>
          <w:sz w:val="20"/>
          <w:szCs w:val="20"/>
        </w:rPr>
        <w:sectPr>
          <w:footerReference r:id="rId52" w:type="default"/>
          <w:pgSz w:w="16839" w:h="11906"/>
          <w:pgMar w:top="400" w:right="1218" w:bottom="1156" w:left="1407" w:header="0" w:footer="994" w:gutter="0"/>
          <w:cols w:space="720" w:num="1"/>
        </w:sectPr>
      </w:pPr>
    </w:p>
    <w:p w14:paraId="1F83978A">
      <w:pPr>
        <w:spacing w:line="250" w:lineRule="auto"/>
        <w:rPr>
          <w:rFonts w:ascii="Arial"/>
          <w:sz w:val="21"/>
        </w:rPr>
      </w:pPr>
    </w:p>
    <w:p w14:paraId="20A26B41">
      <w:pPr>
        <w:spacing w:line="250" w:lineRule="auto"/>
        <w:rPr>
          <w:rFonts w:ascii="Arial"/>
          <w:sz w:val="21"/>
        </w:rPr>
      </w:pPr>
    </w:p>
    <w:p w14:paraId="2E9EC223">
      <w:pPr>
        <w:spacing w:line="250" w:lineRule="auto"/>
        <w:rPr>
          <w:rFonts w:ascii="Arial"/>
          <w:sz w:val="21"/>
        </w:rPr>
      </w:pPr>
    </w:p>
    <w:p w14:paraId="0848F7C1">
      <w:pPr>
        <w:spacing w:line="250" w:lineRule="auto"/>
        <w:rPr>
          <w:rFonts w:ascii="Arial"/>
          <w:sz w:val="21"/>
        </w:rPr>
      </w:pPr>
    </w:p>
    <w:p w14:paraId="08AE4B79">
      <w:pPr>
        <w:spacing w:line="250" w:lineRule="auto"/>
        <w:rPr>
          <w:rFonts w:ascii="Arial"/>
          <w:sz w:val="21"/>
        </w:rPr>
      </w:pPr>
    </w:p>
    <w:p w14:paraId="75536E51">
      <w:pPr>
        <w:pStyle w:val="2"/>
        <w:spacing w:before="78" w:line="222" w:lineRule="auto"/>
        <w:ind w:left="34"/>
        <w:outlineLvl w:val="1"/>
        <w:rPr>
          <w:sz w:val="24"/>
          <w:szCs w:val="24"/>
        </w:rPr>
      </w:pPr>
      <w:bookmarkStart w:id="88" w:name="bookmark80"/>
      <w:bookmarkEnd w:id="88"/>
      <w:r>
        <w:rPr>
          <w:spacing w:val="-2"/>
          <w:sz w:val="24"/>
          <w:szCs w:val="24"/>
        </w:rPr>
        <w:t>附表六：投标文件问题澄清通知</w:t>
      </w:r>
    </w:p>
    <w:p w14:paraId="400CE9CB">
      <w:pPr>
        <w:spacing w:line="312" w:lineRule="auto"/>
        <w:rPr>
          <w:rFonts w:ascii="Arial"/>
          <w:sz w:val="21"/>
        </w:rPr>
      </w:pPr>
    </w:p>
    <w:p w14:paraId="7A483FF7">
      <w:pPr>
        <w:spacing w:line="313" w:lineRule="auto"/>
        <w:rPr>
          <w:rFonts w:ascii="Arial"/>
          <w:sz w:val="21"/>
        </w:rPr>
      </w:pPr>
    </w:p>
    <w:p w14:paraId="7C1F448D">
      <w:pPr>
        <w:spacing w:line="313" w:lineRule="auto"/>
        <w:rPr>
          <w:rFonts w:ascii="Arial"/>
          <w:sz w:val="21"/>
        </w:rPr>
      </w:pPr>
    </w:p>
    <w:p w14:paraId="11773D32">
      <w:pPr>
        <w:pStyle w:val="2"/>
        <w:spacing w:before="91" w:line="222" w:lineRule="auto"/>
        <w:ind w:left="2775"/>
        <w:rPr>
          <w:sz w:val="28"/>
          <w:szCs w:val="28"/>
        </w:rPr>
      </w:pPr>
      <w:r>
        <w:rPr>
          <w:spacing w:val="-1"/>
          <w:sz w:val="28"/>
          <w:szCs w:val="28"/>
        </w:rPr>
        <w:t>投标文件问题澄清通知</w:t>
      </w:r>
    </w:p>
    <w:p w14:paraId="51DB7E69">
      <w:pPr>
        <w:spacing w:line="295" w:lineRule="auto"/>
        <w:rPr>
          <w:rFonts w:ascii="Arial"/>
          <w:sz w:val="21"/>
        </w:rPr>
      </w:pPr>
    </w:p>
    <w:p w14:paraId="3D89DA9E">
      <w:pPr>
        <w:spacing w:before="65" w:line="228" w:lineRule="auto"/>
        <w:ind w:left="5375"/>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7CE098C7">
      <w:pPr>
        <w:tabs>
          <w:tab w:val="left" w:pos="2846"/>
        </w:tabs>
        <w:spacing w:before="219" w:line="228" w:lineRule="auto"/>
        <w:ind w:left="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（投标人名称</w:t>
      </w:r>
      <w:r>
        <w:rPr>
          <w:rFonts w:ascii="宋体" w:hAnsi="宋体" w:eastAsia="宋体" w:cs="宋体"/>
          <w:spacing w:val="-53"/>
          <w:sz w:val="20"/>
          <w:szCs w:val="20"/>
        </w:rPr>
        <w:t>）：</w:t>
      </w:r>
    </w:p>
    <w:p w14:paraId="03331DB8">
      <w:pPr>
        <w:spacing w:line="320" w:lineRule="auto"/>
        <w:rPr>
          <w:rFonts w:ascii="Arial"/>
          <w:sz w:val="21"/>
        </w:rPr>
      </w:pPr>
    </w:p>
    <w:p w14:paraId="69C789AC">
      <w:pPr>
        <w:spacing w:line="321" w:lineRule="auto"/>
        <w:rPr>
          <w:rFonts w:ascii="Arial"/>
          <w:sz w:val="21"/>
        </w:rPr>
      </w:pPr>
    </w:p>
    <w:p w14:paraId="57B65179">
      <w:pPr>
        <w:tabs>
          <w:tab w:val="left" w:pos="1900"/>
        </w:tabs>
        <w:spacing w:before="66" w:line="444" w:lineRule="auto"/>
        <w:ind w:left="18" w:right="11" w:firstLine="515"/>
        <w:jc w:val="both"/>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（项目名称</w:t>
      </w:r>
      <w:r>
        <w:rPr>
          <w:rFonts w:ascii="宋体" w:hAnsi="宋体" w:eastAsia="宋体" w:cs="宋体"/>
          <w:spacing w:val="-2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3"/>
          <w:sz w:val="20"/>
          <w:szCs w:val="20"/>
        </w:rPr>
        <w:t>（</w:t>
      </w:r>
      <w:r>
        <w:rPr>
          <w:rFonts w:ascii="宋体" w:hAnsi="宋体" w:eastAsia="宋体" w:cs="宋体"/>
          <w:spacing w:val="9"/>
          <w:sz w:val="20"/>
          <w:szCs w:val="20"/>
        </w:rPr>
        <w:t>标段名称）施工招标的评标委员会，对你方的</w:t>
      </w:r>
      <w:r>
        <w:rPr>
          <w:rFonts w:ascii="宋体" w:hAnsi="宋体" w:eastAsia="宋体" w:cs="宋体"/>
          <w:spacing w:val="8"/>
          <w:sz w:val="20"/>
          <w:szCs w:val="20"/>
        </w:rPr>
        <w:t>投标文件进行了仔细的审查，现需你方对下列问题以</w:t>
      </w:r>
      <w:r>
        <w:rPr>
          <w:rFonts w:ascii="宋体" w:hAnsi="宋体" w:eastAsia="宋体" w:cs="宋体"/>
          <w:spacing w:val="7"/>
          <w:sz w:val="20"/>
          <w:szCs w:val="20"/>
        </w:rPr>
        <w:t>书面形式予以澄清、说明或者补正，并</w:t>
      </w:r>
      <w:r>
        <w:rPr>
          <w:rFonts w:ascii="宋体" w:hAnsi="宋体" w:eastAsia="宋体" w:cs="宋体"/>
          <w:spacing w:val="-1"/>
          <w:sz w:val="20"/>
          <w:szCs w:val="20"/>
        </w:rPr>
        <w:t>将投标文件的澄清、说明或者补正于</w:t>
      </w:r>
      <w:r>
        <w:rPr>
          <w:rFonts w:ascii="宋体" w:hAnsi="宋体" w:eastAsia="宋体" w:cs="宋体"/>
          <w:spacing w:val="-1"/>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1"/>
          <w:sz w:val="20"/>
          <w:szCs w:val="20"/>
        </w:rPr>
        <w:t>年</w:t>
      </w:r>
      <w:r>
        <w:rPr>
          <w:rFonts w:ascii="宋体" w:hAnsi="宋体" w:eastAsia="宋体" w:cs="宋体"/>
          <w:spacing w:val="-97"/>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
          <w:sz w:val="20"/>
          <w:szCs w:val="20"/>
        </w:rPr>
        <w:t>月</w:t>
      </w:r>
      <w:r>
        <w:rPr>
          <w:rFonts w:ascii="宋体" w:hAnsi="宋体" w:eastAsia="宋体" w:cs="宋体"/>
          <w:spacing w:val="-1"/>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
          <w:sz w:val="20"/>
          <w:szCs w:val="20"/>
        </w:rPr>
        <w:t>日</w:t>
      </w:r>
      <w:r>
        <w:rPr>
          <w:rFonts w:ascii="宋体" w:hAnsi="宋体" w:eastAsia="宋体" w:cs="宋体"/>
          <w:spacing w:val="-1"/>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1"/>
          <w:sz w:val="20"/>
          <w:szCs w:val="20"/>
        </w:rPr>
        <w:t>时前，通过“电子交易平台</w:t>
      </w:r>
      <w:r>
        <w:rPr>
          <w:rFonts w:ascii="宋体" w:hAnsi="宋体" w:eastAsia="宋体" w:cs="宋体"/>
          <w:spacing w:val="-70"/>
          <w:sz w:val="20"/>
          <w:szCs w:val="20"/>
        </w:rPr>
        <w:t xml:space="preserve"> </w:t>
      </w:r>
      <w:r>
        <w:rPr>
          <w:rFonts w:ascii="宋体" w:hAnsi="宋体" w:eastAsia="宋体" w:cs="宋体"/>
          <w:spacing w:val="-1"/>
          <w:sz w:val="20"/>
          <w:szCs w:val="20"/>
        </w:rPr>
        <w:t>”“投</w:t>
      </w:r>
      <w:r>
        <w:rPr>
          <w:rFonts w:ascii="宋体" w:hAnsi="宋体" w:eastAsia="宋体" w:cs="宋体"/>
          <w:spacing w:val="7"/>
          <w:sz w:val="20"/>
          <w:szCs w:val="20"/>
        </w:rPr>
        <w:t>标文件澄清</w:t>
      </w:r>
      <w:r>
        <w:rPr>
          <w:rFonts w:ascii="宋体" w:hAnsi="宋体" w:eastAsia="宋体" w:cs="宋体"/>
          <w:spacing w:val="-65"/>
          <w:sz w:val="20"/>
          <w:szCs w:val="20"/>
        </w:rPr>
        <w:t xml:space="preserve"> </w:t>
      </w:r>
      <w:r>
        <w:rPr>
          <w:rFonts w:ascii="宋体" w:hAnsi="宋体" w:eastAsia="宋体" w:cs="宋体"/>
          <w:spacing w:val="7"/>
          <w:sz w:val="20"/>
          <w:szCs w:val="20"/>
        </w:rPr>
        <w:t>”菜单提交给本评标委员会。</w:t>
      </w:r>
    </w:p>
    <w:p w14:paraId="2667D6BB">
      <w:pPr>
        <w:spacing w:line="186" w:lineRule="auto"/>
        <w:ind w:left="456"/>
        <w:rPr>
          <w:rFonts w:ascii="宋体" w:hAnsi="宋体" w:eastAsia="宋体" w:cs="宋体"/>
          <w:sz w:val="20"/>
          <w:szCs w:val="20"/>
        </w:rPr>
      </w:pPr>
      <w:r>
        <w:rPr>
          <w:rFonts w:ascii="Times New Roman" w:hAnsi="Times New Roman" w:eastAsia="Times New Roman" w:cs="Times New Roman"/>
          <w:spacing w:val="-20"/>
          <w:sz w:val="20"/>
          <w:szCs w:val="20"/>
        </w:rPr>
        <w:t>1</w:t>
      </w:r>
      <w:r>
        <w:rPr>
          <w:rFonts w:ascii="Times New Roman" w:hAnsi="Times New Roman" w:eastAsia="Times New Roman" w:cs="Times New Roman"/>
          <w:spacing w:val="-29"/>
          <w:sz w:val="20"/>
          <w:szCs w:val="20"/>
        </w:rPr>
        <w:t xml:space="preserve"> </w:t>
      </w:r>
      <w:r>
        <w:rPr>
          <w:rFonts w:ascii="宋体" w:hAnsi="宋体" w:eastAsia="宋体" w:cs="宋体"/>
          <w:spacing w:val="-20"/>
          <w:sz w:val="20"/>
          <w:szCs w:val="20"/>
        </w:rPr>
        <w:t>、</w:t>
      </w:r>
      <w:r>
        <w:rPr>
          <w:rFonts w:ascii="宋体" w:hAnsi="宋体" w:eastAsia="宋体" w:cs="宋体"/>
          <w:spacing w:val="28"/>
          <w:sz w:val="20"/>
          <w:szCs w:val="20"/>
        </w:rPr>
        <w:t xml:space="preserve"> </w:t>
      </w:r>
      <w:r>
        <w:rPr>
          <w:rFonts w:ascii="宋体" w:hAnsi="宋体" w:eastAsia="宋体" w:cs="宋体"/>
          <w:sz w:val="20"/>
          <w:szCs w:val="20"/>
          <w:u w:val="dotted" w:color="auto"/>
        </w:rPr>
        <w:t xml:space="preserve">    </w:t>
      </w:r>
    </w:p>
    <w:p w14:paraId="4DF3953E">
      <w:pPr>
        <w:spacing w:before="240" w:line="186" w:lineRule="auto"/>
        <w:ind w:left="436"/>
        <w:rPr>
          <w:rFonts w:ascii="宋体" w:hAnsi="宋体" w:eastAsia="宋体" w:cs="宋体"/>
          <w:sz w:val="20"/>
          <w:szCs w:val="20"/>
        </w:rPr>
      </w:pPr>
      <w:r>
        <w:rPr>
          <w:rFonts w:ascii="Times New Roman" w:hAnsi="Times New Roman" w:eastAsia="Times New Roman" w:cs="Times New Roman"/>
          <w:spacing w:val="-10"/>
          <w:sz w:val="20"/>
          <w:szCs w:val="20"/>
        </w:rPr>
        <w:t>2</w:t>
      </w:r>
      <w:r>
        <w:rPr>
          <w:rFonts w:ascii="Times New Roman" w:hAnsi="Times New Roman" w:eastAsia="Times New Roman" w:cs="Times New Roman"/>
          <w:spacing w:val="-29"/>
          <w:sz w:val="20"/>
          <w:szCs w:val="20"/>
        </w:rPr>
        <w:t xml:space="preserve"> </w:t>
      </w:r>
      <w:r>
        <w:rPr>
          <w:rFonts w:ascii="宋体" w:hAnsi="宋体" w:eastAsia="宋体" w:cs="宋体"/>
          <w:spacing w:val="-10"/>
          <w:sz w:val="20"/>
          <w:szCs w:val="20"/>
        </w:rPr>
        <w:t>、</w:t>
      </w:r>
      <w:r>
        <w:rPr>
          <w:rFonts w:ascii="宋体" w:hAnsi="宋体" w:eastAsia="宋体" w:cs="宋体"/>
          <w:spacing w:val="28"/>
          <w:sz w:val="20"/>
          <w:szCs w:val="20"/>
        </w:rPr>
        <w:t xml:space="preserve"> </w:t>
      </w:r>
      <w:r>
        <w:rPr>
          <w:rFonts w:ascii="宋体" w:hAnsi="宋体" w:eastAsia="宋体" w:cs="宋体"/>
          <w:sz w:val="20"/>
          <w:szCs w:val="20"/>
          <w:u w:val="dotted" w:color="auto"/>
        </w:rPr>
        <w:t xml:space="preserve">    </w:t>
      </w:r>
    </w:p>
    <w:p w14:paraId="2A60E27D">
      <w:pPr>
        <w:spacing w:line="301" w:lineRule="auto"/>
        <w:rPr>
          <w:rFonts w:ascii="Arial"/>
          <w:sz w:val="21"/>
        </w:rPr>
      </w:pPr>
    </w:p>
    <w:p w14:paraId="568E9420">
      <w:pPr>
        <w:spacing w:before="58" w:line="64" w:lineRule="exact"/>
        <w:ind w:left="54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w:t>
      </w:r>
    </w:p>
    <w:p w14:paraId="5786007D">
      <w:pPr>
        <w:spacing w:line="330" w:lineRule="auto"/>
        <w:rPr>
          <w:rFonts w:ascii="Arial"/>
          <w:sz w:val="21"/>
        </w:rPr>
      </w:pPr>
    </w:p>
    <w:p w14:paraId="4B3595A2">
      <w:pPr>
        <w:spacing w:line="331" w:lineRule="auto"/>
        <w:rPr>
          <w:rFonts w:ascii="Arial"/>
          <w:sz w:val="21"/>
        </w:rPr>
      </w:pPr>
    </w:p>
    <w:p w14:paraId="712A6EF6">
      <w:pPr>
        <w:tabs>
          <w:tab w:val="left" w:pos="3473"/>
        </w:tabs>
        <w:spacing w:before="65" w:line="444" w:lineRule="auto"/>
        <w:ind w:left="973" w:right="30" w:firstLine="1766"/>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1"/>
          <w:sz w:val="20"/>
          <w:szCs w:val="20"/>
        </w:rPr>
        <w:t>（项目名称</w:t>
      </w:r>
      <w:r>
        <w:rPr>
          <w:rFonts w:ascii="宋体" w:hAnsi="宋体" w:eastAsia="宋体" w:cs="宋体"/>
          <w:spacing w:val="-1"/>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1"/>
          <w:sz w:val="20"/>
          <w:szCs w:val="20"/>
        </w:rPr>
        <w:t>标段名称）施工招标评标委员会</w:t>
      </w:r>
      <w:r>
        <w:rPr>
          <w:rFonts w:ascii="宋体" w:hAnsi="宋体" w:eastAsia="宋体" w:cs="宋体"/>
          <w:spacing w:val="9"/>
          <w:sz w:val="20"/>
          <w:szCs w:val="20"/>
        </w:rPr>
        <w:t>（经评标委员会授权的招标人代表签字或招标人盖单位章</w:t>
      </w:r>
      <w:r>
        <w:rPr>
          <w:rFonts w:ascii="宋体" w:hAnsi="宋体" w:eastAsia="宋体" w:cs="宋体"/>
          <w:spacing w:val="-52"/>
          <w:sz w:val="20"/>
          <w:szCs w:val="20"/>
        </w:rPr>
        <w:t>）：</w:t>
      </w:r>
      <w:r>
        <w:rPr>
          <w:rFonts w:ascii="宋体" w:hAnsi="宋体" w:eastAsia="宋体" w:cs="宋体"/>
          <w:spacing w:val="-76"/>
          <w:sz w:val="20"/>
          <w:szCs w:val="20"/>
        </w:rPr>
        <w:t xml:space="preserve"> </w:t>
      </w:r>
      <w:r>
        <w:rPr>
          <w:rFonts w:ascii="宋体" w:hAnsi="宋体" w:eastAsia="宋体" w:cs="宋体"/>
          <w:sz w:val="20"/>
          <w:szCs w:val="20"/>
          <w:u w:val="single" w:color="auto"/>
        </w:rPr>
        <w:t xml:space="preserve">                </w:t>
      </w:r>
    </w:p>
    <w:p w14:paraId="4815E1C0">
      <w:pPr>
        <w:spacing w:line="409" w:lineRule="auto"/>
        <w:rPr>
          <w:rFonts w:ascii="Arial"/>
          <w:sz w:val="21"/>
        </w:rPr>
      </w:pPr>
    </w:p>
    <w:p w14:paraId="77F83FEA">
      <w:pPr>
        <w:tabs>
          <w:tab w:val="left" w:pos="6205"/>
        </w:tabs>
        <w:spacing w:before="66" w:line="228" w:lineRule="auto"/>
        <w:ind w:left="557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14"/>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4"/>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50"/>
          <w:sz w:val="20"/>
          <w:szCs w:val="20"/>
        </w:rPr>
        <w:t xml:space="preserve"> </w:t>
      </w:r>
      <w:r>
        <w:rPr>
          <w:rFonts w:ascii="宋体" w:hAnsi="宋体" w:eastAsia="宋体" w:cs="宋体"/>
          <w:spacing w:val="-14"/>
          <w:sz w:val="20"/>
          <w:szCs w:val="20"/>
        </w:rPr>
        <w:t>日</w:t>
      </w:r>
    </w:p>
    <w:p w14:paraId="0B7D8FB5">
      <w:pPr>
        <w:spacing w:line="228" w:lineRule="auto"/>
        <w:rPr>
          <w:rFonts w:ascii="宋体" w:hAnsi="宋体" w:eastAsia="宋体" w:cs="宋体"/>
          <w:sz w:val="20"/>
          <w:szCs w:val="20"/>
        </w:rPr>
        <w:sectPr>
          <w:footerReference r:id="rId53" w:type="default"/>
          <w:pgSz w:w="11906" w:h="16839"/>
          <w:pgMar w:top="400" w:right="1785" w:bottom="1156" w:left="1785" w:header="0" w:footer="994" w:gutter="0"/>
          <w:cols w:space="720" w:num="1"/>
        </w:sectPr>
      </w:pPr>
    </w:p>
    <w:p w14:paraId="078DF588">
      <w:pPr>
        <w:spacing w:line="251" w:lineRule="auto"/>
        <w:rPr>
          <w:rFonts w:ascii="Arial"/>
          <w:sz w:val="21"/>
        </w:rPr>
      </w:pPr>
    </w:p>
    <w:p w14:paraId="062AD0FA">
      <w:pPr>
        <w:spacing w:line="251" w:lineRule="auto"/>
        <w:rPr>
          <w:rFonts w:ascii="Arial"/>
          <w:sz w:val="21"/>
        </w:rPr>
      </w:pPr>
    </w:p>
    <w:p w14:paraId="67A97865">
      <w:pPr>
        <w:spacing w:line="251" w:lineRule="auto"/>
        <w:rPr>
          <w:rFonts w:ascii="Arial"/>
          <w:sz w:val="21"/>
        </w:rPr>
      </w:pPr>
    </w:p>
    <w:p w14:paraId="31EC8A53">
      <w:pPr>
        <w:spacing w:line="251" w:lineRule="auto"/>
        <w:rPr>
          <w:rFonts w:ascii="Arial"/>
          <w:sz w:val="21"/>
        </w:rPr>
      </w:pPr>
    </w:p>
    <w:p w14:paraId="43010348">
      <w:pPr>
        <w:spacing w:line="251" w:lineRule="auto"/>
        <w:rPr>
          <w:rFonts w:ascii="Arial"/>
          <w:sz w:val="21"/>
        </w:rPr>
      </w:pPr>
    </w:p>
    <w:p w14:paraId="5E38ED78">
      <w:pPr>
        <w:spacing w:line="252" w:lineRule="auto"/>
        <w:rPr>
          <w:rFonts w:ascii="Arial"/>
          <w:sz w:val="21"/>
        </w:rPr>
      </w:pPr>
    </w:p>
    <w:p w14:paraId="568BCBF9">
      <w:pPr>
        <w:pStyle w:val="2"/>
        <w:spacing w:before="78" w:line="222" w:lineRule="auto"/>
        <w:outlineLvl w:val="1"/>
        <w:rPr>
          <w:sz w:val="24"/>
          <w:szCs w:val="24"/>
        </w:rPr>
      </w:pPr>
      <w:bookmarkStart w:id="89" w:name="bookmark81"/>
      <w:bookmarkEnd w:id="89"/>
      <w:r>
        <w:rPr>
          <w:spacing w:val="-2"/>
          <w:sz w:val="24"/>
          <w:szCs w:val="24"/>
        </w:rPr>
        <w:t>附表七：投标文件问题的澄清</w:t>
      </w:r>
    </w:p>
    <w:p w14:paraId="7FB9778D">
      <w:pPr>
        <w:spacing w:line="248" w:lineRule="auto"/>
        <w:rPr>
          <w:rFonts w:ascii="Arial"/>
          <w:sz w:val="21"/>
        </w:rPr>
      </w:pPr>
    </w:p>
    <w:p w14:paraId="36A8A594">
      <w:pPr>
        <w:spacing w:line="248" w:lineRule="auto"/>
        <w:rPr>
          <w:rFonts w:ascii="Arial"/>
          <w:sz w:val="21"/>
        </w:rPr>
      </w:pPr>
    </w:p>
    <w:p w14:paraId="1E350869">
      <w:pPr>
        <w:spacing w:line="248" w:lineRule="auto"/>
        <w:rPr>
          <w:rFonts w:ascii="Arial"/>
          <w:sz w:val="21"/>
        </w:rPr>
      </w:pPr>
    </w:p>
    <w:p w14:paraId="570B9FDC">
      <w:pPr>
        <w:spacing w:line="248" w:lineRule="auto"/>
        <w:rPr>
          <w:rFonts w:ascii="Arial"/>
          <w:sz w:val="21"/>
        </w:rPr>
      </w:pPr>
    </w:p>
    <w:p w14:paraId="3FAE0648">
      <w:pPr>
        <w:spacing w:line="248" w:lineRule="auto"/>
        <w:rPr>
          <w:rFonts w:ascii="Arial"/>
          <w:sz w:val="21"/>
        </w:rPr>
      </w:pPr>
    </w:p>
    <w:p w14:paraId="7D3B72CE">
      <w:pPr>
        <w:pStyle w:val="2"/>
        <w:spacing w:before="91" w:line="222" w:lineRule="auto"/>
        <w:ind w:left="2338"/>
        <w:rPr>
          <w:sz w:val="28"/>
          <w:szCs w:val="28"/>
        </w:rPr>
      </w:pPr>
      <w:r>
        <w:rPr>
          <w:spacing w:val="-1"/>
          <w:sz w:val="28"/>
          <w:szCs w:val="28"/>
        </w:rPr>
        <w:t>投标文件问题的澄清、说明或补正</w:t>
      </w:r>
    </w:p>
    <w:p w14:paraId="67D3CEC1">
      <w:pPr>
        <w:spacing w:line="313" w:lineRule="auto"/>
        <w:rPr>
          <w:rFonts w:ascii="Arial"/>
          <w:sz w:val="21"/>
        </w:rPr>
      </w:pPr>
    </w:p>
    <w:p w14:paraId="5D10E517">
      <w:pPr>
        <w:spacing w:before="65" w:line="228" w:lineRule="auto"/>
        <w:ind w:left="5341"/>
        <w:rPr>
          <w:rFonts w:ascii="宋体" w:hAnsi="宋体" w:eastAsia="宋体" w:cs="宋体"/>
          <w:sz w:val="20"/>
          <w:szCs w:val="20"/>
        </w:rPr>
      </w:pPr>
      <w:r>
        <w:rPr>
          <w:rFonts w:ascii="宋体" w:hAnsi="宋体" w:eastAsia="宋体" w:cs="宋体"/>
          <w:spacing w:val="7"/>
          <w:sz w:val="20"/>
          <w:szCs w:val="20"/>
        </w:rPr>
        <w:t>编号：</w:t>
      </w:r>
      <w:r>
        <w:rPr>
          <w:rFonts w:ascii="宋体" w:hAnsi="宋体" w:eastAsia="宋体" w:cs="宋体"/>
          <w:sz w:val="20"/>
          <w:szCs w:val="20"/>
          <w:u w:val="single" w:color="auto"/>
        </w:rPr>
        <w:t xml:space="preserve">                   </w:t>
      </w:r>
    </w:p>
    <w:p w14:paraId="048685FF">
      <w:pPr>
        <w:tabs>
          <w:tab w:val="left" w:pos="1446"/>
        </w:tabs>
        <w:spacing w:before="216" w:line="227" w:lineRule="auto"/>
        <w:ind w:left="187"/>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1"/>
          <w:sz w:val="20"/>
          <w:szCs w:val="20"/>
        </w:rPr>
        <w:t>（项目名称</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1"/>
          <w:sz w:val="20"/>
          <w:szCs w:val="20"/>
        </w:rPr>
        <w:t>标段名称）施工招标评标委员会：</w:t>
      </w:r>
    </w:p>
    <w:p w14:paraId="793F056A">
      <w:pPr>
        <w:spacing w:before="234" w:line="228" w:lineRule="auto"/>
        <w:ind w:left="408"/>
        <w:rPr>
          <w:rFonts w:ascii="宋体" w:hAnsi="宋体" w:eastAsia="宋体" w:cs="宋体"/>
          <w:sz w:val="20"/>
          <w:szCs w:val="20"/>
        </w:rPr>
      </w:pPr>
      <w:r>
        <w:rPr>
          <w:rFonts w:ascii="宋体" w:hAnsi="宋体" w:eastAsia="宋体" w:cs="宋体"/>
          <w:spacing w:val="8"/>
          <w:sz w:val="20"/>
          <w:szCs w:val="20"/>
        </w:rPr>
        <w:t>投标文件问题澄清通知（编号</w:t>
      </w:r>
      <w:r>
        <w:rPr>
          <w:rFonts w:ascii="宋体" w:hAnsi="宋体" w:eastAsia="宋体" w:cs="宋体"/>
          <w:spacing w:val="1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8"/>
          <w:sz w:val="20"/>
          <w:szCs w:val="20"/>
        </w:rPr>
        <w:t xml:space="preserve"> </w:t>
      </w:r>
      <w:r>
        <w:rPr>
          <w:rFonts w:ascii="宋体" w:hAnsi="宋体" w:eastAsia="宋体" w:cs="宋体"/>
          <w:spacing w:val="13"/>
          <w:sz w:val="20"/>
          <w:szCs w:val="20"/>
        </w:rPr>
        <w:t>）</w:t>
      </w:r>
      <w:r>
        <w:rPr>
          <w:rFonts w:ascii="宋体" w:hAnsi="宋体" w:eastAsia="宋体" w:cs="宋体"/>
          <w:spacing w:val="8"/>
          <w:sz w:val="20"/>
          <w:szCs w:val="20"/>
        </w:rPr>
        <w:t>已收悉，现澄清、说明或者补正如下：</w:t>
      </w:r>
    </w:p>
    <w:p w14:paraId="6C9D23C4">
      <w:pPr>
        <w:spacing w:before="269" w:line="195" w:lineRule="auto"/>
        <w:ind w:left="421"/>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1.</w:t>
      </w:r>
    </w:p>
    <w:p w14:paraId="772378A7">
      <w:pPr>
        <w:spacing w:before="293" w:line="195" w:lineRule="auto"/>
        <w:ind w:left="40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w:t>
      </w:r>
    </w:p>
    <w:p w14:paraId="42A8A52A">
      <w:pPr>
        <w:spacing w:line="334" w:lineRule="auto"/>
        <w:rPr>
          <w:rFonts w:ascii="Arial"/>
          <w:sz w:val="21"/>
        </w:rPr>
      </w:pPr>
    </w:p>
    <w:p w14:paraId="061FC24A">
      <w:pPr>
        <w:spacing w:line="334" w:lineRule="auto"/>
        <w:rPr>
          <w:rFonts w:ascii="Arial"/>
          <w:sz w:val="21"/>
        </w:rPr>
      </w:pPr>
    </w:p>
    <w:p w14:paraId="207035C9">
      <w:pPr>
        <w:spacing w:before="65" w:line="324" w:lineRule="exact"/>
        <w:ind w:left="418"/>
        <w:rPr>
          <w:rFonts w:ascii="宋体" w:hAnsi="宋体" w:eastAsia="宋体" w:cs="宋体"/>
          <w:sz w:val="20"/>
          <w:szCs w:val="20"/>
        </w:rPr>
      </w:pPr>
      <w:r>
        <w:rPr>
          <w:rFonts w:ascii="宋体" w:hAnsi="宋体" w:eastAsia="宋体" w:cs="宋体"/>
          <w:spacing w:val="-2"/>
          <w:position w:val="2"/>
          <w:sz w:val="20"/>
          <w:szCs w:val="20"/>
        </w:rPr>
        <w:t>……</w:t>
      </w:r>
    </w:p>
    <w:p w14:paraId="7DBAAB43">
      <w:pPr>
        <w:spacing w:line="246" w:lineRule="auto"/>
        <w:rPr>
          <w:rFonts w:ascii="Arial"/>
          <w:sz w:val="21"/>
        </w:rPr>
      </w:pPr>
    </w:p>
    <w:p w14:paraId="566D71B9">
      <w:pPr>
        <w:spacing w:line="246" w:lineRule="auto"/>
        <w:rPr>
          <w:rFonts w:ascii="Arial"/>
          <w:sz w:val="21"/>
        </w:rPr>
      </w:pPr>
    </w:p>
    <w:p w14:paraId="0DFE2958">
      <w:pPr>
        <w:spacing w:line="246" w:lineRule="auto"/>
        <w:rPr>
          <w:rFonts w:ascii="Arial"/>
          <w:sz w:val="21"/>
        </w:rPr>
      </w:pPr>
    </w:p>
    <w:p w14:paraId="28CF03C1">
      <w:pPr>
        <w:spacing w:line="246" w:lineRule="auto"/>
        <w:rPr>
          <w:rFonts w:ascii="Arial"/>
          <w:sz w:val="21"/>
        </w:rPr>
      </w:pPr>
    </w:p>
    <w:p w14:paraId="381EF45B">
      <w:pPr>
        <w:spacing w:line="246" w:lineRule="auto"/>
        <w:rPr>
          <w:rFonts w:ascii="Arial"/>
          <w:sz w:val="21"/>
        </w:rPr>
      </w:pPr>
    </w:p>
    <w:p w14:paraId="4BB34ECD">
      <w:pPr>
        <w:spacing w:line="246" w:lineRule="auto"/>
        <w:rPr>
          <w:rFonts w:ascii="Arial"/>
          <w:sz w:val="21"/>
        </w:rPr>
      </w:pPr>
    </w:p>
    <w:p w14:paraId="75E9CD47">
      <w:pPr>
        <w:spacing w:line="246" w:lineRule="auto"/>
        <w:rPr>
          <w:rFonts w:ascii="Arial"/>
          <w:sz w:val="21"/>
        </w:rPr>
      </w:pPr>
    </w:p>
    <w:p w14:paraId="2B5CE619">
      <w:pPr>
        <w:spacing w:line="246" w:lineRule="auto"/>
        <w:rPr>
          <w:rFonts w:ascii="Arial"/>
          <w:sz w:val="21"/>
        </w:rPr>
      </w:pPr>
    </w:p>
    <w:p w14:paraId="77D6EF63">
      <w:pPr>
        <w:spacing w:line="246" w:lineRule="auto"/>
        <w:rPr>
          <w:rFonts w:ascii="Arial"/>
          <w:sz w:val="21"/>
        </w:rPr>
      </w:pPr>
    </w:p>
    <w:p w14:paraId="33DB215F">
      <w:pPr>
        <w:spacing w:line="246" w:lineRule="auto"/>
        <w:rPr>
          <w:rFonts w:ascii="Arial"/>
          <w:sz w:val="21"/>
        </w:rPr>
      </w:pPr>
    </w:p>
    <w:p w14:paraId="7A10179C">
      <w:pPr>
        <w:spacing w:line="246" w:lineRule="auto"/>
        <w:rPr>
          <w:rFonts w:ascii="Arial"/>
          <w:sz w:val="21"/>
        </w:rPr>
      </w:pPr>
    </w:p>
    <w:p w14:paraId="30FFA627">
      <w:pPr>
        <w:spacing w:line="246" w:lineRule="auto"/>
        <w:rPr>
          <w:rFonts w:ascii="Arial"/>
          <w:sz w:val="21"/>
        </w:rPr>
      </w:pPr>
    </w:p>
    <w:p w14:paraId="35538539">
      <w:pPr>
        <w:spacing w:before="66" w:line="227" w:lineRule="auto"/>
        <w:jc w:val="right"/>
        <w:rPr>
          <w:rFonts w:ascii="宋体" w:hAnsi="宋体" w:eastAsia="宋体" w:cs="宋体"/>
          <w:sz w:val="20"/>
          <w:szCs w:val="20"/>
        </w:rPr>
      </w:pPr>
      <w:r>
        <w:rPr>
          <w:rFonts w:ascii="宋体" w:hAnsi="宋体" w:eastAsia="宋体" w:cs="宋体"/>
          <w:spacing w:val="9"/>
          <w:sz w:val="20"/>
          <w:szCs w:val="20"/>
        </w:rPr>
        <w:t>投标人</w:t>
      </w:r>
      <w:r>
        <w:rPr>
          <w:rFonts w:ascii="宋体" w:hAnsi="宋体" w:eastAsia="宋体" w:cs="宋体"/>
          <w:spacing w:val="-3"/>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9"/>
          <w:sz w:val="20"/>
          <w:szCs w:val="20"/>
        </w:rPr>
        <w:t>盖单位章）</w:t>
      </w:r>
    </w:p>
    <w:p w14:paraId="5955340E">
      <w:pPr>
        <w:spacing w:line="287" w:lineRule="auto"/>
        <w:rPr>
          <w:rFonts w:ascii="Arial"/>
          <w:sz w:val="21"/>
        </w:rPr>
      </w:pPr>
    </w:p>
    <w:p w14:paraId="557E2571">
      <w:pPr>
        <w:spacing w:before="65" w:line="228" w:lineRule="auto"/>
        <w:jc w:val="right"/>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w:t>
      </w:r>
    </w:p>
    <w:p w14:paraId="4B24647C">
      <w:pPr>
        <w:spacing w:line="286" w:lineRule="auto"/>
        <w:rPr>
          <w:rFonts w:ascii="Arial"/>
          <w:sz w:val="21"/>
        </w:rPr>
      </w:pPr>
    </w:p>
    <w:p w14:paraId="20148574">
      <w:pPr>
        <w:tabs>
          <w:tab w:val="left" w:pos="6382"/>
        </w:tabs>
        <w:spacing w:before="65" w:line="228" w:lineRule="auto"/>
        <w:ind w:left="575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2"/>
          <w:sz w:val="20"/>
          <w:szCs w:val="20"/>
        </w:rPr>
        <w:t xml:space="preserve"> </w:t>
      </w:r>
      <w:r>
        <w:rPr>
          <w:rFonts w:ascii="宋体" w:hAnsi="宋体" w:eastAsia="宋体" w:cs="宋体"/>
          <w:spacing w:val="-2"/>
          <w:sz w:val="20"/>
          <w:szCs w:val="20"/>
        </w:rPr>
        <w:t>日</w:t>
      </w:r>
    </w:p>
    <w:p w14:paraId="6B525024">
      <w:pPr>
        <w:spacing w:line="228" w:lineRule="auto"/>
        <w:rPr>
          <w:rFonts w:ascii="宋体" w:hAnsi="宋体" w:eastAsia="宋体" w:cs="宋体"/>
          <w:sz w:val="20"/>
          <w:szCs w:val="20"/>
        </w:rPr>
        <w:sectPr>
          <w:footerReference r:id="rId54" w:type="default"/>
          <w:pgSz w:w="11907" w:h="16840"/>
          <w:pgMar w:top="400" w:right="1655" w:bottom="1035" w:left="1496" w:header="0" w:footer="785" w:gutter="0"/>
          <w:cols w:space="720" w:num="1"/>
        </w:sectPr>
      </w:pPr>
    </w:p>
    <w:p w14:paraId="7C92074E">
      <w:pPr>
        <w:spacing w:line="250" w:lineRule="auto"/>
        <w:rPr>
          <w:rFonts w:ascii="Arial"/>
          <w:sz w:val="21"/>
        </w:rPr>
      </w:pPr>
    </w:p>
    <w:p w14:paraId="235E98A9">
      <w:pPr>
        <w:spacing w:line="250" w:lineRule="auto"/>
        <w:rPr>
          <w:rFonts w:ascii="Arial"/>
          <w:sz w:val="21"/>
        </w:rPr>
      </w:pPr>
    </w:p>
    <w:p w14:paraId="2038DF0D">
      <w:pPr>
        <w:spacing w:line="250" w:lineRule="auto"/>
        <w:rPr>
          <w:rFonts w:ascii="Arial"/>
          <w:sz w:val="21"/>
        </w:rPr>
      </w:pPr>
    </w:p>
    <w:p w14:paraId="56F1DA3C">
      <w:pPr>
        <w:spacing w:line="250" w:lineRule="auto"/>
        <w:rPr>
          <w:rFonts w:ascii="Arial"/>
          <w:sz w:val="21"/>
        </w:rPr>
      </w:pPr>
    </w:p>
    <w:p w14:paraId="644FF994">
      <w:pPr>
        <w:spacing w:line="251" w:lineRule="auto"/>
        <w:rPr>
          <w:rFonts w:ascii="Arial"/>
          <w:sz w:val="21"/>
        </w:rPr>
      </w:pPr>
    </w:p>
    <w:p w14:paraId="5EB3F94F">
      <w:pPr>
        <w:pStyle w:val="2"/>
        <w:spacing w:before="78" w:line="222" w:lineRule="auto"/>
        <w:ind w:left="23"/>
        <w:outlineLvl w:val="1"/>
        <w:rPr>
          <w:sz w:val="24"/>
          <w:szCs w:val="24"/>
        </w:rPr>
      </w:pPr>
      <w:bookmarkStart w:id="90" w:name="bookmark82"/>
      <w:bookmarkEnd w:id="90"/>
      <w:r>
        <w:rPr>
          <w:spacing w:val="-3"/>
          <w:sz w:val="24"/>
          <w:szCs w:val="24"/>
        </w:rPr>
        <w:t>附表八：中标通知书</w:t>
      </w:r>
    </w:p>
    <w:p w14:paraId="26C1B0A5">
      <w:pPr>
        <w:spacing w:line="262" w:lineRule="auto"/>
        <w:rPr>
          <w:rFonts w:ascii="Arial"/>
          <w:sz w:val="21"/>
        </w:rPr>
      </w:pPr>
    </w:p>
    <w:p w14:paraId="2B7D7A18">
      <w:pPr>
        <w:spacing w:line="262" w:lineRule="auto"/>
        <w:rPr>
          <w:rFonts w:ascii="Arial"/>
          <w:sz w:val="21"/>
        </w:rPr>
      </w:pPr>
    </w:p>
    <w:p w14:paraId="35BE8A49">
      <w:pPr>
        <w:pStyle w:val="2"/>
        <w:spacing w:before="91" w:line="223" w:lineRule="auto"/>
        <w:ind w:left="3784"/>
        <w:rPr>
          <w:sz w:val="28"/>
          <w:szCs w:val="28"/>
        </w:rPr>
      </w:pPr>
      <w:r>
        <w:rPr>
          <w:spacing w:val="-7"/>
          <w:sz w:val="28"/>
          <w:szCs w:val="28"/>
        </w:rPr>
        <w:t>中标通知书</w:t>
      </w:r>
    </w:p>
    <w:p w14:paraId="68A98F06">
      <w:pPr>
        <w:spacing w:line="373" w:lineRule="auto"/>
        <w:rPr>
          <w:rFonts w:ascii="Arial"/>
          <w:sz w:val="21"/>
        </w:rPr>
      </w:pPr>
    </w:p>
    <w:p w14:paraId="0E1AE8E9">
      <w:pPr>
        <w:spacing w:before="65" w:line="231" w:lineRule="auto"/>
        <w:ind w:left="5934"/>
        <w:rPr>
          <w:rFonts w:ascii="仿宋" w:hAnsi="仿宋" w:eastAsia="仿宋" w:cs="仿宋"/>
          <w:sz w:val="20"/>
          <w:szCs w:val="20"/>
        </w:rPr>
      </w:pPr>
      <w:r>
        <w:rPr>
          <w:rFonts w:ascii="仿宋" w:hAnsi="仿宋" w:eastAsia="仿宋" w:cs="仿宋"/>
          <w:spacing w:val="7"/>
          <w:sz w:val="20"/>
          <w:szCs w:val="20"/>
        </w:rPr>
        <w:t>招标编号：</w:t>
      </w:r>
      <w:r>
        <w:rPr>
          <w:rFonts w:ascii="仿宋" w:hAnsi="仿宋" w:eastAsia="仿宋" w:cs="仿宋"/>
          <w:sz w:val="20"/>
          <w:szCs w:val="20"/>
          <w:u w:val="single" w:color="auto"/>
        </w:rPr>
        <w:t xml:space="preserve">               </w:t>
      </w:r>
    </w:p>
    <w:p w14:paraId="5249B399">
      <w:pPr>
        <w:spacing w:line="402" w:lineRule="auto"/>
        <w:rPr>
          <w:rFonts w:ascii="Arial"/>
          <w:sz w:val="21"/>
        </w:rPr>
      </w:pPr>
    </w:p>
    <w:p w14:paraId="16395A2C">
      <w:pPr>
        <w:tabs>
          <w:tab w:val="left" w:pos="1573"/>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（中标人名称</w:t>
      </w:r>
      <w:r>
        <w:rPr>
          <w:rFonts w:ascii="宋体" w:hAnsi="宋体" w:eastAsia="宋体" w:cs="宋体"/>
          <w:spacing w:val="-52"/>
          <w:sz w:val="20"/>
          <w:szCs w:val="20"/>
        </w:rPr>
        <w:t>）：</w:t>
      </w:r>
    </w:p>
    <w:p w14:paraId="73FFD178">
      <w:pPr>
        <w:spacing w:line="321" w:lineRule="auto"/>
        <w:rPr>
          <w:rFonts w:ascii="Arial"/>
          <w:sz w:val="21"/>
        </w:rPr>
      </w:pPr>
    </w:p>
    <w:p w14:paraId="5EFA89D8">
      <w:pPr>
        <w:spacing w:line="322" w:lineRule="auto"/>
        <w:rPr>
          <w:rFonts w:ascii="Arial"/>
          <w:sz w:val="21"/>
        </w:rPr>
      </w:pPr>
    </w:p>
    <w:p w14:paraId="6282DBE8">
      <w:pPr>
        <w:spacing w:before="66" w:line="443" w:lineRule="auto"/>
        <w:ind w:left="7" w:right="57" w:firstLine="421"/>
        <w:rPr>
          <w:rFonts w:ascii="宋体" w:hAnsi="宋体" w:eastAsia="宋体" w:cs="宋体"/>
          <w:sz w:val="20"/>
          <w:szCs w:val="20"/>
        </w:rPr>
      </w:pPr>
      <w:r>
        <w:rPr>
          <w:rFonts w:ascii="宋体" w:hAnsi="宋体" w:eastAsia="宋体" w:cs="宋体"/>
          <w:spacing w:val="9"/>
          <w:sz w:val="20"/>
          <w:szCs w:val="20"/>
        </w:rPr>
        <w:t>你方于</w:t>
      </w:r>
      <w:r>
        <w:rPr>
          <w:rFonts w:ascii="宋体" w:hAnsi="宋体" w:eastAsia="宋体" w:cs="宋体"/>
          <w:spacing w:val="-97"/>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（投标日期）所递交的</w:t>
      </w:r>
      <w:r>
        <w:rPr>
          <w:rFonts w:ascii="宋体" w:hAnsi="宋体" w:eastAsia="宋体" w:cs="宋体"/>
          <w:spacing w:val="-96"/>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（项目名称</w:t>
      </w:r>
      <w:r>
        <w:rPr>
          <w:rFonts w:ascii="宋体" w:hAnsi="宋体" w:eastAsia="宋体" w:cs="宋体"/>
          <w:spacing w:val="-5"/>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8"/>
          <w:sz w:val="20"/>
          <w:szCs w:val="20"/>
        </w:rPr>
        <w:t>标段名称）</w:t>
      </w:r>
      <w:r>
        <w:rPr>
          <w:rFonts w:ascii="宋体" w:hAnsi="宋体" w:eastAsia="宋体" w:cs="宋体"/>
          <w:spacing w:val="9"/>
          <w:sz w:val="20"/>
          <w:szCs w:val="20"/>
        </w:rPr>
        <w:t>施工投标文件已被我方接受，被确定为中标人。</w:t>
      </w:r>
    </w:p>
    <w:p w14:paraId="0B4A197A">
      <w:pPr>
        <w:spacing w:line="226" w:lineRule="auto"/>
        <w:ind w:left="448"/>
        <w:rPr>
          <w:rFonts w:ascii="宋体" w:hAnsi="宋体" w:eastAsia="宋体" w:cs="宋体"/>
          <w:sz w:val="20"/>
          <w:szCs w:val="20"/>
        </w:rPr>
      </w:pPr>
      <w:r>
        <w:rPr>
          <w:rFonts w:ascii="宋体" w:hAnsi="宋体" w:eastAsia="宋体" w:cs="宋体"/>
          <w:spacing w:val="1"/>
          <w:sz w:val="20"/>
          <w:szCs w:val="20"/>
        </w:rPr>
        <w:t>中标价：</w:t>
      </w:r>
      <w:r>
        <w:rPr>
          <w:rFonts w:ascii="宋体" w:hAnsi="宋体" w:eastAsia="宋体" w:cs="宋体"/>
          <w:spacing w:val="1"/>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1"/>
          <w:sz w:val="20"/>
          <w:szCs w:val="20"/>
        </w:rPr>
        <w:t>元。</w:t>
      </w:r>
    </w:p>
    <w:p w14:paraId="0FF7BCD0">
      <w:pPr>
        <w:spacing w:before="235" w:line="228" w:lineRule="auto"/>
        <w:ind w:left="431"/>
        <w:rPr>
          <w:rFonts w:ascii="宋体" w:hAnsi="宋体" w:eastAsia="宋体" w:cs="宋体"/>
          <w:sz w:val="20"/>
          <w:szCs w:val="20"/>
        </w:rPr>
      </w:pPr>
      <w:r>
        <w:rPr>
          <w:rFonts w:ascii="宋体" w:hAnsi="宋体" w:eastAsia="宋体" w:cs="宋体"/>
          <w:sz w:val="20"/>
          <w:szCs w:val="20"/>
        </w:rPr>
        <w:t>工</w:t>
      </w:r>
      <w:r>
        <w:rPr>
          <w:rFonts w:ascii="宋体" w:hAnsi="宋体" w:eastAsia="宋体" w:cs="宋体"/>
          <w:spacing w:val="11"/>
          <w:sz w:val="20"/>
          <w:szCs w:val="20"/>
        </w:rPr>
        <w:t xml:space="preserve">  </w:t>
      </w:r>
      <w:r>
        <w:rPr>
          <w:rFonts w:ascii="宋体" w:hAnsi="宋体" w:eastAsia="宋体" w:cs="宋体"/>
          <w:sz w:val="20"/>
          <w:szCs w:val="20"/>
        </w:rPr>
        <w:t>期：</w:t>
      </w:r>
      <w:r>
        <w:rPr>
          <w:rFonts w:ascii="宋体" w:hAnsi="宋体" w:eastAsia="宋体" w:cs="宋体"/>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
          <w:sz w:val="20"/>
          <w:szCs w:val="20"/>
        </w:rPr>
        <w:t>日历天。</w:t>
      </w:r>
    </w:p>
    <w:p w14:paraId="3CA74636">
      <w:pPr>
        <w:spacing w:before="233" w:line="228" w:lineRule="auto"/>
        <w:ind w:left="431"/>
        <w:rPr>
          <w:rFonts w:ascii="宋体" w:hAnsi="宋体" w:eastAsia="宋体" w:cs="宋体"/>
          <w:sz w:val="20"/>
          <w:szCs w:val="20"/>
        </w:rPr>
      </w:pPr>
      <w:r>
        <w:rPr>
          <w:rFonts w:ascii="宋体" w:hAnsi="宋体" w:eastAsia="宋体" w:cs="宋体"/>
          <w:spacing w:val="6"/>
          <w:sz w:val="20"/>
          <w:szCs w:val="20"/>
        </w:rPr>
        <w:t>工程质量：</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20811F88">
      <w:pPr>
        <w:spacing w:before="233" w:line="228" w:lineRule="auto"/>
        <w:ind w:left="432"/>
        <w:rPr>
          <w:rFonts w:ascii="宋体" w:hAnsi="宋体" w:eastAsia="宋体" w:cs="宋体"/>
          <w:sz w:val="20"/>
          <w:szCs w:val="20"/>
        </w:rPr>
      </w:pPr>
      <w:r>
        <w:rPr>
          <w:rFonts w:ascii="宋体" w:hAnsi="宋体" w:eastAsia="宋体" w:cs="宋体"/>
          <w:spacing w:val="1"/>
          <w:sz w:val="20"/>
          <w:szCs w:val="20"/>
        </w:rPr>
        <w:t>项目经理</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
          <w:sz w:val="20"/>
          <w:szCs w:val="20"/>
        </w:rPr>
        <w:t>姓名）。</w:t>
      </w:r>
    </w:p>
    <w:p w14:paraId="266B56BF">
      <w:pPr>
        <w:spacing w:line="322" w:lineRule="auto"/>
        <w:rPr>
          <w:rFonts w:ascii="Arial"/>
          <w:sz w:val="21"/>
        </w:rPr>
      </w:pPr>
    </w:p>
    <w:p w14:paraId="025C2EA4">
      <w:pPr>
        <w:spacing w:line="322" w:lineRule="auto"/>
        <w:rPr>
          <w:rFonts w:ascii="Arial"/>
          <w:sz w:val="21"/>
        </w:rPr>
      </w:pPr>
    </w:p>
    <w:p w14:paraId="510DA1C7">
      <w:pPr>
        <w:spacing w:before="65" w:line="443" w:lineRule="auto"/>
        <w:ind w:left="11" w:firstLine="415"/>
        <w:rPr>
          <w:rFonts w:ascii="宋体" w:hAnsi="宋体" w:eastAsia="宋体" w:cs="宋体"/>
          <w:sz w:val="20"/>
          <w:szCs w:val="20"/>
        </w:rPr>
      </w:pPr>
      <w:r>
        <w:rPr>
          <w:rFonts w:ascii="宋体" w:hAnsi="宋体" w:eastAsia="宋体" w:cs="宋体"/>
          <w:spacing w:val="6"/>
          <w:sz w:val="20"/>
          <w:szCs w:val="20"/>
        </w:rPr>
        <w:t>请你方在接到本通知书后的</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6"/>
          <w:sz w:val="20"/>
          <w:szCs w:val="20"/>
        </w:rPr>
        <w:t>日内到</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（指定地</w:t>
      </w:r>
      <w:r>
        <w:rPr>
          <w:rFonts w:ascii="宋体" w:hAnsi="宋体" w:eastAsia="宋体" w:cs="宋体"/>
          <w:spacing w:val="5"/>
          <w:sz w:val="20"/>
          <w:szCs w:val="20"/>
        </w:rPr>
        <w:t>点）与我方签</w:t>
      </w:r>
      <w:r>
        <w:rPr>
          <w:rFonts w:ascii="宋体" w:hAnsi="宋体" w:eastAsia="宋体" w:cs="宋体"/>
          <w:spacing w:val="8"/>
          <w:sz w:val="20"/>
          <w:szCs w:val="20"/>
        </w:rPr>
        <w:t>订施工承包合同，在此之前按招标文件第二章“投标人须知</w:t>
      </w:r>
      <w:r>
        <w:rPr>
          <w:rFonts w:ascii="宋体" w:hAnsi="宋体" w:eastAsia="宋体" w:cs="宋体"/>
          <w:spacing w:val="-72"/>
          <w:sz w:val="20"/>
          <w:szCs w:val="20"/>
        </w:rPr>
        <w:t xml:space="preserve"> </w:t>
      </w:r>
      <w:r>
        <w:rPr>
          <w:rFonts w:ascii="宋体" w:hAnsi="宋体" w:eastAsia="宋体" w:cs="宋体"/>
          <w:spacing w:val="7"/>
          <w:sz w:val="20"/>
          <w:szCs w:val="20"/>
        </w:rPr>
        <w:t>”第</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 xml:space="preserve">7.3 </w:t>
      </w:r>
      <w:r>
        <w:rPr>
          <w:rFonts w:ascii="宋体" w:hAnsi="宋体" w:eastAsia="宋体" w:cs="宋体"/>
          <w:spacing w:val="7"/>
          <w:sz w:val="20"/>
          <w:szCs w:val="20"/>
        </w:rPr>
        <w:t>款规定向我方提交履约担保。</w:t>
      </w:r>
    </w:p>
    <w:p w14:paraId="6B2CD868">
      <w:pPr>
        <w:spacing w:before="1" w:line="226" w:lineRule="auto"/>
        <w:ind w:left="440"/>
        <w:rPr>
          <w:rFonts w:ascii="宋体" w:hAnsi="宋体" w:eastAsia="宋体" w:cs="宋体"/>
          <w:sz w:val="20"/>
          <w:szCs w:val="20"/>
        </w:rPr>
      </w:pPr>
      <w:r>
        <w:rPr>
          <w:rFonts w:ascii="宋体" w:hAnsi="宋体" w:eastAsia="宋体" w:cs="宋体"/>
          <w:spacing w:val="9"/>
          <w:sz w:val="20"/>
          <w:szCs w:val="20"/>
        </w:rPr>
        <w:t>随附的投标文件澄清、说明、补正事项纪要（如果有</w:t>
      </w:r>
      <w:r>
        <w:rPr>
          <w:rFonts w:ascii="宋体" w:hAnsi="宋体" w:eastAsia="宋体" w:cs="宋体"/>
          <w:spacing w:val="-37"/>
          <w:sz w:val="20"/>
          <w:szCs w:val="20"/>
        </w:rPr>
        <w:t>），</w:t>
      </w:r>
      <w:r>
        <w:rPr>
          <w:rFonts w:ascii="宋体" w:hAnsi="宋体" w:eastAsia="宋体" w:cs="宋体"/>
          <w:spacing w:val="9"/>
          <w:sz w:val="20"/>
          <w:szCs w:val="20"/>
        </w:rPr>
        <w:t>是本中标通</w:t>
      </w:r>
      <w:r>
        <w:rPr>
          <w:rFonts w:ascii="宋体" w:hAnsi="宋体" w:eastAsia="宋体" w:cs="宋体"/>
          <w:spacing w:val="8"/>
          <w:sz w:val="20"/>
          <w:szCs w:val="20"/>
        </w:rPr>
        <w:t>知书的组成部分。</w:t>
      </w:r>
    </w:p>
    <w:p w14:paraId="0BB7FBA1">
      <w:pPr>
        <w:spacing w:before="234" w:line="228" w:lineRule="auto"/>
        <w:ind w:left="428"/>
        <w:rPr>
          <w:rFonts w:ascii="宋体" w:hAnsi="宋体" w:eastAsia="宋体" w:cs="宋体"/>
          <w:sz w:val="20"/>
          <w:szCs w:val="20"/>
        </w:rPr>
      </w:pPr>
      <w:r>
        <w:rPr>
          <w:rFonts w:ascii="宋体" w:hAnsi="宋体" w:eastAsia="宋体" w:cs="宋体"/>
          <w:spacing w:val="5"/>
          <w:sz w:val="20"/>
          <w:szCs w:val="20"/>
        </w:rPr>
        <w:t>特此通知。</w:t>
      </w:r>
    </w:p>
    <w:p w14:paraId="32BBD8ED">
      <w:pPr>
        <w:spacing w:before="233" w:line="227" w:lineRule="auto"/>
        <w:ind w:left="445"/>
        <w:rPr>
          <w:rFonts w:ascii="宋体" w:hAnsi="宋体" w:eastAsia="宋体" w:cs="宋体"/>
          <w:sz w:val="20"/>
          <w:szCs w:val="20"/>
        </w:rPr>
      </w:pPr>
      <w:r>
        <w:rPr>
          <w:rFonts w:ascii="宋体" w:hAnsi="宋体" w:eastAsia="宋体" w:cs="宋体"/>
          <w:spacing w:val="8"/>
          <w:sz w:val="20"/>
          <w:szCs w:val="20"/>
        </w:rPr>
        <w:t>附：澄清、说明、补正事项纪要</w:t>
      </w:r>
    </w:p>
    <w:p w14:paraId="25B19A54">
      <w:pPr>
        <w:spacing w:line="266" w:lineRule="auto"/>
        <w:rPr>
          <w:rFonts w:ascii="Arial"/>
          <w:sz w:val="21"/>
        </w:rPr>
      </w:pPr>
    </w:p>
    <w:p w14:paraId="68CC1AAD">
      <w:pPr>
        <w:spacing w:line="266" w:lineRule="auto"/>
        <w:rPr>
          <w:rFonts w:ascii="Arial"/>
          <w:sz w:val="21"/>
        </w:rPr>
      </w:pPr>
    </w:p>
    <w:p w14:paraId="0174754A">
      <w:pPr>
        <w:spacing w:line="266" w:lineRule="auto"/>
        <w:rPr>
          <w:rFonts w:ascii="Arial"/>
          <w:sz w:val="21"/>
        </w:rPr>
      </w:pPr>
    </w:p>
    <w:p w14:paraId="1374AEFE">
      <w:pPr>
        <w:spacing w:line="267" w:lineRule="auto"/>
        <w:rPr>
          <w:rFonts w:ascii="Arial"/>
          <w:sz w:val="21"/>
        </w:rPr>
      </w:pPr>
    </w:p>
    <w:p w14:paraId="4069E1DF">
      <w:pPr>
        <w:spacing w:line="267" w:lineRule="auto"/>
        <w:rPr>
          <w:rFonts w:ascii="Arial"/>
          <w:sz w:val="21"/>
        </w:rPr>
      </w:pPr>
    </w:p>
    <w:p w14:paraId="1E1A8522">
      <w:pPr>
        <w:spacing w:line="267" w:lineRule="auto"/>
        <w:rPr>
          <w:rFonts w:ascii="Arial"/>
          <w:sz w:val="21"/>
        </w:rPr>
      </w:pPr>
    </w:p>
    <w:p w14:paraId="26137AF0">
      <w:pPr>
        <w:spacing w:before="65" w:line="227" w:lineRule="auto"/>
        <w:ind w:left="4816"/>
        <w:rPr>
          <w:rFonts w:ascii="宋体" w:hAnsi="宋体" w:eastAsia="宋体" w:cs="宋体"/>
          <w:sz w:val="20"/>
          <w:szCs w:val="20"/>
        </w:rPr>
      </w:pPr>
      <w:r>
        <w:rPr>
          <w:rFonts w:ascii="宋体" w:hAnsi="宋体" w:eastAsia="宋体" w:cs="宋体"/>
          <w:spacing w:val="11"/>
          <w:sz w:val="20"/>
          <w:szCs w:val="20"/>
        </w:rPr>
        <w:t>招标人</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盖单位章）</w:t>
      </w:r>
    </w:p>
    <w:p w14:paraId="69146409">
      <w:pPr>
        <w:tabs>
          <w:tab w:val="left" w:pos="7012"/>
        </w:tabs>
        <w:spacing w:before="236" w:line="444" w:lineRule="auto"/>
        <w:ind w:left="6172" w:right="163" w:hanging="1356"/>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w:t>
      </w: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2"/>
          <w:sz w:val="20"/>
          <w:szCs w:val="20"/>
        </w:rPr>
        <w:t>月</w:t>
      </w:r>
      <w:r>
        <w:rPr>
          <w:rFonts w:ascii="宋体" w:hAnsi="宋体" w:eastAsia="宋体" w:cs="宋体"/>
          <w:spacing w:val="-97"/>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3"/>
          <w:sz w:val="20"/>
          <w:szCs w:val="20"/>
        </w:rPr>
        <w:t xml:space="preserve"> </w:t>
      </w:r>
      <w:r>
        <w:rPr>
          <w:rFonts w:ascii="宋体" w:hAnsi="宋体" w:eastAsia="宋体" w:cs="宋体"/>
          <w:spacing w:val="-2"/>
          <w:sz w:val="20"/>
          <w:szCs w:val="20"/>
        </w:rPr>
        <w:t>日</w:t>
      </w:r>
    </w:p>
    <w:p w14:paraId="752C4507">
      <w:pPr>
        <w:spacing w:line="409" w:lineRule="auto"/>
        <w:rPr>
          <w:rFonts w:ascii="Arial"/>
          <w:sz w:val="21"/>
        </w:rPr>
      </w:pPr>
    </w:p>
    <w:p w14:paraId="4E4108D1">
      <w:pPr>
        <w:spacing w:before="65" w:line="227" w:lineRule="auto"/>
        <w:ind w:left="11"/>
        <w:rPr>
          <w:rFonts w:ascii="宋体" w:hAnsi="宋体" w:eastAsia="宋体" w:cs="宋体"/>
          <w:sz w:val="20"/>
          <w:szCs w:val="20"/>
        </w:rPr>
      </w:pPr>
      <w:r>
        <w:rPr>
          <w:rFonts w:ascii="宋体" w:hAnsi="宋体" w:eastAsia="宋体" w:cs="宋体"/>
          <w:spacing w:val="9"/>
          <w:sz w:val="20"/>
          <w:szCs w:val="20"/>
        </w:rPr>
        <w:t>备注：行政主管部门对中标通知书有备案管理程序的，从其规定。</w:t>
      </w:r>
    </w:p>
    <w:p w14:paraId="198BF71E">
      <w:pPr>
        <w:spacing w:line="227" w:lineRule="auto"/>
        <w:rPr>
          <w:rFonts w:ascii="宋体" w:hAnsi="宋体" w:eastAsia="宋体" w:cs="宋体"/>
          <w:sz w:val="20"/>
          <w:szCs w:val="20"/>
        </w:rPr>
        <w:sectPr>
          <w:footerReference r:id="rId55" w:type="default"/>
          <w:pgSz w:w="11907" w:h="16840"/>
          <w:pgMar w:top="400" w:right="1492" w:bottom="1035" w:left="1473" w:header="0" w:footer="785" w:gutter="0"/>
          <w:cols w:space="720" w:num="1"/>
        </w:sectPr>
      </w:pPr>
    </w:p>
    <w:p w14:paraId="517E2EB9">
      <w:pPr>
        <w:spacing w:line="250" w:lineRule="auto"/>
        <w:rPr>
          <w:rFonts w:ascii="Arial"/>
          <w:sz w:val="21"/>
        </w:rPr>
      </w:pPr>
    </w:p>
    <w:p w14:paraId="52EE1E8A">
      <w:pPr>
        <w:spacing w:line="250" w:lineRule="auto"/>
        <w:rPr>
          <w:rFonts w:ascii="Arial"/>
          <w:sz w:val="21"/>
        </w:rPr>
      </w:pPr>
    </w:p>
    <w:p w14:paraId="0CDCC9C9">
      <w:pPr>
        <w:spacing w:line="250" w:lineRule="auto"/>
        <w:rPr>
          <w:rFonts w:ascii="Arial"/>
          <w:sz w:val="21"/>
        </w:rPr>
      </w:pPr>
    </w:p>
    <w:p w14:paraId="3346258E">
      <w:pPr>
        <w:spacing w:line="250" w:lineRule="auto"/>
        <w:rPr>
          <w:rFonts w:ascii="Arial"/>
          <w:sz w:val="21"/>
        </w:rPr>
      </w:pPr>
    </w:p>
    <w:p w14:paraId="2CAEB3E0">
      <w:pPr>
        <w:spacing w:line="251" w:lineRule="auto"/>
        <w:rPr>
          <w:rFonts w:ascii="Arial"/>
          <w:sz w:val="21"/>
        </w:rPr>
      </w:pPr>
    </w:p>
    <w:p w14:paraId="64D0848B">
      <w:pPr>
        <w:pStyle w:val="2"/>
        <w:spacing w:before="78" w:line="222" w:lineRule="auto"/>
        <w:ind w:left="23"/>
        <w:outlineLvl w:val="1"/>
        <w:rPr>
          <w:sz w:val="24"/>
          <w:szCs w:val="24"/>
        </w:rPr>
      </w:pPr>
      <w:bookmarkStart w:id="91" w:name="bookmark83"/>
      <w:bookmarkEnd w:id="91"/>
      <w:r>
        <w:rPr>
          <w:spacing w:val="-3"/>
          <w:sz w:val="24"/>
          <w:szCs w:val="24"/>
        </w:rPr>
        <w:t>附表九：中标结果通知书</w:t>
      </w:r>
    </w:p>
    <w:p w14:paraId="11507D7A">
      <w:pPr>
        <w:spacing w:line="262" w:lineRule="auto"/>
        <w:rPr>
          <w:rFonts w:ascii="Arial"/>
          <w:sz w:val="21"/>
        </w:rPr>
      </w:pPr>
    </w:p>
    <w:p w14:paraId="3DAF7827">
      <w:pPr>
        <w:spacing w:line="262" w:lineRule="auto"/>
        <w:rPr>
          <w:rFonts w:ascii="Arial"/>
          <w:sz w:val="21"/>
        </w:rPr>
      </w:pPr>
    </w:p>
    <w:p w14:paraId="1A50D99B">
      <w:pPr>
        <w:pStyle w:val="2"/>
        <w:spacing w:before="91" w:line="223" w:lineRule="auto"/>
        <w:ind w:left="3503"/>
        <w:rPr>
          <w:sz w:val="28"/>
          <w:szCs w:val="28"/>
        </w:rPr>
      </w:pPr>
      <w:r>
        <w:rPr>
          <w:spacing w:val="-5"/>
          <w:sz w:val="28"/>
          <w:szCs w:val="28"/>
        </w:rPr>
        <w:t>中标结果通知书</w:t>
      </w:r>
    </w:p>
    <w:p w14:paraId="5D814988">
      <w:pPr>
        <w:spacing w:line="374" w:lineRule="auto"/>
        <w:rPr>
          <w:rFonts w:ascii="Arial"/>
          <w:sz w:val="21"/>
        </w:rPr>
      </w:pPr>
    </w:p>
    <w:p w14:paraId="58B6657B">
      <w:pPr>
        <w:tabs>
          <w:tab w:val="left" w:pos="2310"/>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（未中标人名称</w:t>
      </w:r>
      <w:r>
        <w:rPr>
          <w:rFonts w:ascii="宋体" w:hAnsi="宋体" w:eastAsia="宋体" w:cs="宋体"/>
          <w:spacing w:val="-54"/>
          <w:w w:val="99"/>
          <w:sz w:val="20"/>
          <w:szCs w:val="20"/>
        </w:rPr>
        <w:t>）：</w:t>
      </w:r>
    </w:p>
    <w:p w14:paraId="6F2D8D39">
      <w:pPr>
        <w:spacing w:line="322" w:lineRule="auto"/>
        <w:rPr>
          <w:rFonts w:ascii="Arial"/>
          <w:sz w:val="21"/>
        </w:rPr>
      </w:pPr>
    </w:p>
    <w:p w14:paraId="700B7DB1">
      <w:pPr>
        <w:spacing w:line="322" w:lineRule="auto"/>
        <w:rPr>
          <w:rFonts w:ascii="Arial"/>
          <w:sz w:val="21"/>
        </w:rPr>
      </w:pPr>
    </w:p>
    <w:p w14:paraId="473277EE">
      <w:pPr>
        <w:spacing w:before="65" w:line="444" w:lineRule="auto"/>
        <w:ind w:left="8" w:firstLine="421"/>
        <w:jc w:val="both"/>
        <w:rPr>
          <w:rFonts w:ascii="宋体" w:hAnsi="宋体" w:eastAsia="宋体" w:cs="宋体"/>
          <w:sz w:val="20"/>
          <w:szCs w:val="20"/>
        </w:rPr>
      </w:pPr>
      <w:r>
        <w:rPr>
          <w:rFonts w:ascii="宋体" w:hAnsi="宋体" w:eastAsia="宋体" w:cs="宋体"/>
          <w:spacing w:val="7"/>
          <w:sz w:val="20"/>
          <w:szCs w:val="20"/>
        </w:rPr>
        <w:t>我方已接受</w:t>
      </w:r>
      <w:r>
        <w:rPr>
          <w:rFonts w:ascii="宋体" w:hAnsi="宋体" w:eastAsia="宋体" w:cs="宋体"/>
          <w:spacing w:val="-82"/>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（中标人名称）于</w:t>
      </w:r>
      <w:r>
        <w:rPr>
          <w:rFonts w:ascii="宋体" w:hAnsi="宋体" w:eastAsia="宋体" w:cs="宋体"/>
          <w:spacing w:val="-95"/>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（投标日期）</w:t>
      </w:r>
      <w:r>
        <w:rPr>
          <w:rFonts w:ascii="宋体" w:hAnsi="宋体" w:eastAsia="宋体" w:cs="宋体"/>
          <w:spacing w:val="8"/>
          <w:sz w:val="20"/>
          <w:szCs w:val="20"/>
        </w:rPr>
        <w:t>所递交的</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（项目名称</w:t>
      </w:r>
      <w:r>
        <w:rPr>
          <w:rFonts w:ascii="宋体" w:hAnsi="宋体" w:eastAsia="宋体" w:cs="宋体"/>
          <w:spacing w:val="-8"/>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8"/>
          <w:sz w:val="20"/>
          <w:szCs w:val="20"/>
        </w:rPr>
        <w:t>标段名称）施工投标文件，确定</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（中标人名称）为中标人。</w:t>
      </w:r>
    </w:p>
    <w:p w14:paraId="035BB1F2">
      <w:pPr>
        <w:spacing w:line="408" w:lineRule="auto"/>
        <w:rPr>
          <w:rFonts w:ascii="Arial"/>
          <w:sz w:val="21"/>
        </w:rPr>
      </w:pPr>
    </w:p>
    <w:p w14:paraId="2171D961">
      <w:pPr>
        <w:spacing w:before="65" w:line="228" w:lineRule="auto"/>
        <w:ind w:left="429"/>
        <w:rPr>
          <w:rFonts w:ascii="Times New Roman" w:hAnsi="Times New Roman" w:eastAsia="Times New Roman" w:cs="Times New Roman"/>
          <w:sz w:val="20"/>
          <w:szCs w:val="20"/>
        </w:rPr>
      </w:pPr>
      <w:r>
        <w:rPr>
          <w:rFonts w:ascii="宋体" w:hAnsi="宋体" w:eastAsia="宋体" w:cs="宋体"/>
          <w:spacing w:val="9"/>
          <w:sz w:val="20"/>
          <w:szCs w:val="20"/>
        </w:rPr>
        <w:t>感谢你单位对我方工作的大力支持</w:t>
      </w:r>
      <w:r>
        <w:rPr>
          <w:rFonts w:ascii="Times New Roman" w:hAnsi="Times New Roman" w:eastAsia="Times New Roman" w:cs="Times New Roman"/>
          <w:spacing w:val="9"/>
          <w:sz w:val="20"/>
          <w:szCs w:val="20"/>
        </w:rPr>
        <w:t>!</w:t>
      </w:r>
    </w:p>
    <w:p w14:paraId="25697366">
      <w:pPr>
        <w:spacing w:line="259" w:lineRule="auto"/>
        <w:rPr>
          <w:rFonts w:ascii="Arial"/>
          <w:sz w:val="21"/>
        </w:rPr>
      </w:pPr>
    </w:p>
    <w:p w14:paraId="26CB0CCB">
      <w:pPr>
        <w:spacing w:line="259" w:lineRule="auto"/>
        <w:rPr>
          <w:rFonts w:ascii="Arial"/>
          <w:sz w:val="21"/>
        </w:rPr>
      </w:pPr>
    </w:p>
    <w:p w14:paraId="15903D5D">
      <w:pPr>
        <w:spacing w:line="259" w:lineRule="auto"/>
        <w:rPr>
          <w:rFonts w:ascii="Arial"/>
          <w:sz w:val="21"/>
        </w:rPr>
      </w:pPr>
    </w:p>
    <w:p w14:paraId="16F15254">
      <w:pPr>
        <w:spacing w:line="259" w:lineRule="auto"/>
        <w:rPr>
          <w:rFonts w:ascii="Arial"/>
          <w:sz w:val="21"/>
        </w:rPr>
      </w:pPr>
    </w:p>
    <w:p w14:paraId="38C4B2F3">
      <w:pPr>
        <w:spacing w:line="259" w:lineRule="auto"/>
        <w:rPr>
          <w:rFonts w:ascii="Arial"/>
          <w:sz w:val="21"/>
        </w:rPr>
      </w:pPr>
    </w:p>
    <w:p w14:paraId="6288382D">
      <w:pPr>
        <w:spacing w:line="260" w:lineRule="auto"/>
        <w:rPr>
          <w:rFonts w:ascii="Arial"/>
          <w:sz w:val="21"/>
        </w:rPr>
      </w:pPr>
    </w:p>
    <w:p w14:paraId="3E01815A">
      <w:pPr>
        <w:spacing w:line="260" w:lineRule="auto"/>
        <w:rPr>
          <w:rFonts w:ascii="Arial"/>
          <w:sz w:val="21"/>
        </w:rPr>
      </w:pPr>
    </w:p>
    <w:p w14:paraId="6ABD0FDA">
      <w:pPr>
        <w:spacing w:line="260" w:lineRule="auto"/>
        <w:rPr>
          <w:rFonts w:ascii="Arial"/>
          <w:sz w:val="21"/>
        </w:rPr>
      </w:pPr>
    </w:p>
    <w:p w14:paraId="6BD38533">
      <w:pPr>
        <w:spacing w:before="65" w:line="227" w:lineRule="auto"/>
        <w:ind w:left="5131"/>
        <w:rPr>
          <w:rFonts w:ascii="宋体" w:hAnsi="宋体" w:eastAsia="宋体" w:cs="宋体"/>
          <w:sz w:val="20"/>
          <w:szCs w:val="20"/>
        </w:rPr>
      </w:pPr>
      <w:r>
        <w:rPr>
          <w:rFonts w:ascii="宋体" w:hAnsi="宋体" w:eastAsia="宋体" w:cs="宋体"/>
          <w:spacing w:val="11"/>
          <w:sz w:val="20"/>
          <w:szCs w:val="20"/>
        </w:rPr>
        <w:t>招标人</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盖单位章）</w:t>
      </w:r>
    </w:p>
    <w:p w14:paraId="376A3BD4">
      <w:pPr>
        <w:tabs>
          <w:tab w:val="left" w:pos="6592"/>
        </w:tabs>
        <w:spacing w:before="235" w:line="444" w:lineRule="auto"/>
        <w:ind w:left="5858" w:right="123" w:hanging="727"/>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8"/>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8"/>
          <w:sz w:val="20"/>
          <w:szCs w:val="20"/>
        </w:rPr>
        <w:t>（</w:t>
      </w:r>
      <w:r>
        <w:rPr>
          <w:rFonts w:ascii="宋体" w:hAnsi="宋体" w:eastAsia="宋体" w:cs="宋体"/>
          <w:spacing w:val="10"/>
          <w:sz w:val="20"/>
          <w:szCs w:val="20"/>
        </w:rPr>
        <w:t>签字）</w:t>
      </w: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2"/>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50"/>
          <w:sz w:val="20"/>
          <w:szCs w:val="20"/>
        </w:rPr>
        <w:t xml:space="preserve"> </w:t>
      </w:r>
      <w:r>
        <w:rPr>
          <w:rFonts w:ascii="宋体" w:hAnsi="宋体" w:eastAsia="宋体" w:cs="宋体"/>
          <w:spacing w:val="-2"/>
          <w:sz w:val="20"/>
          <w:szCs w:val="20"/>
        </w:rPr>
        <w:t>日</w:t>
      </w:r>
    </w:p>
    <w:p w14:paraId="10951B73">
      <w:pPr>
        <w:spacing w:line="444" w:lineRule="auto"/>
        <w:rPr>
          <w:rFonts w:ascii="宋体" w:hAnsi="宋体" w:eastAsia="宋体" w:cs="宋体"/>
          <w:sz w:val="20"/>
          <w:szCs w:val="20"/>
        </w:rPr>
        <w:sectPr>
          <w:footerReference r:id="rId56" w:type="default"/>
          <w:pgSz w:w="11907" w:h="16840"/>
          <w:pgMar w:top="400" w:right="1531" w:bottom="1035" w:left="1473" w:header="0" w:footer="785" w:gutter="0"/>
          <w:cols w:space="720" w:num="1"/>
        </w:sectPr>
      </w:pPr>
    </w:p>
    <w:p w14:paraId="25DCA3BB">
      <w:pPr>
        <w:spacing w:line="250" w:lineRule="auto"/>
        <w:rPr>
          <w:rFonts w:ascii="Arial"/>
          <w:sz w:val="21"/>
        </w:rPr>
      </w:pPr>
    </w:p>
    <w:p w14:paraId="7B50FC7D">
      <w:pPr>
        <w:spacing w:line="250" w:lineRule="auto"/>
        <w:rPr>
          <w:rFonts w:ascii="Arial"/>
          <w:sz w:val="21"/>
        </w:rPr>
      </w:pPr>
    </w:p>
    <w:p w14:paraId="12D19F6E">
      <w:pPr>
        <w:spacing w:line="250" w:lineRule="auto"/>
        <w:rPr>
          <w:rFonts w:ascii="Arial"/>
          <w:sz w:val="21"/>
        </w:rPr>
      </w:pPr>
    </w:p>
    <w:p w14:paraId="57041E90">
      <w:pPr>
        <w:spacing w:line="250" w:lineRule="auto"/>
        <w:rPr>
          <w:rFonts w:ascii="Arial"/>
          <w:sz w:val="21"/>
        </w:rPr>
      </w:pPr>
    </w:p>
    <w:p w14:paraId="2B311DFC">
      <w:pPr>
        <w:spacing w:line="250" w:lineRule="auto"/>
        <w:rPr>
          <w:rFonts w:ascii="Arial"/>
          <w:sz w:val="21"/>
        </w:rPr>
      </w:pPr>
    </w:p>
    <w:p w14:paraId="12FF004E">
      <w:pPr>
        <w:pStyle w:val="2"/>
        <w:spacing w:before="78" w:line="222" w:lineRule="auto"/>
        <w:ind w:left="23"/>
        <w:outlineLvl w:val="1"/>
        <w:rPr>
          <w:sz w:val="24"/>
          <w:szCs w:val="24"/>
        </w:rPr>
      </w:pPr>
      <w:bookmarkStart w:id="92" w:name="bookmark84"/>
      <w:bookmarkEnd w:id="92"/>
      <w:r>
        <w:rPr>
          <w:spacing w:val="-4"/>
          <w:sz w:val="24"/>
          <w:szCs w:val="24"/>
        </w:rPr>
        <w:t>附表十：异议函</w:t>
      </w:r>
    </w:p>
    <w:p w14:paraId="4FDB2664">
      <w:pPr>
        <w:spacing w:line="263" w:lineRule="auto"/>
        <w:rPr>
          <w:rFonts w:ascii="Arial"/>
          <w:sz w:val="21"/>
        </w:rPr>
      </w:pPr>
    </w:p>
    <w:p w14:paraId="5505D08E">
      <w:pPr>
        <w:spacing w:line="263" w:lineRule="auto"/>
        <w:rPr>
          <w:rFonts w:ascii="Arial"/>
          <w:sz w:val="21"/>
        </w:rPr>
      </w:pPr>
    </w:p>
    <w:p w14:paraId="1AFDAA12">
      <w:pPr>
        <w:spacing w:line="263" w:lineRule="auto"/>
        <w:rPr>
          <w:rFonts w:ascii="Arial"/>
          <w:sz w:val="21"/>
        </w:rPr>
      </w:pPr>
    </w:p>
    <w:p w14:paraId="6A4378C3">
      <w:pPr>
        <w:spacing w:line="264" w:lineRule="auto"/>
        <w:rPr>
          <w:rFonts w:ascii="Arial"/>
          <w:sz w:val="21"/>
        </w:rPr>
      </w:pPr>
    </w:p>
    <w:p w14:paraId="1E2DED92">
      <w:pPr>
        <w:spacing w:line="264" w:lineRule="auto"/>
        <w:rPr>
          <w:rFonts w:ascii="Arial"/>
          <w:sz w:val="21"/>
        </w:rPr>
      </w:pPr>
    </w:p>
    <w:p w14:paraId="6E327199">
      <w:pPr>
        <w:spacing w:line="264" w:lineRule="auto"/>
        <w:rPr>
          <w:rFonts w:ascii="Arial"/>
          <w:sz w:val="21"/>
        </w:rPr>
      </w:pPr>
    </w:p>
    <w:p w14:paraId="7ABC3BE7">
      <w:pPr>
        <w:spacing w:line="264" w:lineRule="auto"/>
        <w:rPr>
          <w:rFonts w:ascii="Arial"/>
          <w:sz w:val="21"/>
        </w:rPr>
      </w:pPr>
    </w:p>
    <w:p w14:paraId="08A7FE2A">
      <w:pPr>
        <w:pStyle w:val="2"/>
        <w:spacing w:before="91" w:line="222" w:lineRule="auto"/>
        <w:ind w:left="4049"/>
        <w:rPr>
          <w:sz w:val="28"/>
          <w:szCs w:val="28"/>
        </w:rPr>
      </w:pPr>
      <w:r>
        <w:rPr>
          <w:spacing w:val="-5"/>
          <w:sz w:val="28"/>
          <w:szCs w:val="28"/>
        </w:rPr>
        <w:t>异议函</w:t>
      </w:r>
    </w:p>
    <w:p w14:paraId="6C980282">
      <w:pPr>
        <w:spacing w:line="305" w:lineRule="auto"/>
        <w:rPr>
          <w:rFonts w:ascii="Arial"/>
          <w:sz w:val="21"/>
        </w:rPr>
      </w:pPr>
    </w:p>
    <w:p w14:paraId="6FCB7CE4">
      <w:pPr>
        <w:spacing w:line="305" w:lineRule="auto"/>
        <w:rPr>
          <w:rFonts w:ascii="Arial"/>
          <w:sz w:val="21"/>
        </w:rPr>
      </w:pPr>
    </w:p>
    <w:p w14:paraId="51C4DBAA">
      <w:pPr>
        <w:tabs>
          <w:tab w:val="left" w:pos="1993"/>
        </w:tabs>
        <w:spacing w:before="65" w:line="378" w:lineRule="auto"/>
        <w:ind w:right="82" w:firstLine="6941"/>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pacing w:val="4"/>
          <w:sz w:val="20"/>
          <w:szCs w:val="20"/>
          <w:u w:val="single" w:color="auto"/>
        </w:rPr>
        <w:t xml:space="preserve">            </w:t>
      </w:r>
      <w:r>
        <w:rPr>
          <w:rFonts w:ascii="宋体" w:hAnsi="宋体" w:eastAsia="宋体" w:cs="宋体"/>
          <w:sz w:val="20"/>
          <w:szCs w:val="20"/>
          <w:u w:val="single" w:color="auto"/>
        </w:rPr>
        <w:tab/>
      </w:r>
      <w:r>
        <w:rPr>
          <w:rFonts w:ascii="宋体" w:hAnsi="宋体" w:eastAsia="宋体" w:cs="宋体"/>
          <w:spacing w:val="10"/>
          <w:sz w:val="20"/>
          <w:szCs w:val="20"/>
        </w:rPr>
        <w:t>（招标人名称</w:t>
      </w:r>
      <w:r>
        <w:rPr>
          <w:rFonts w:ascii="宋体" w:hAnsi="宋体" w:eastAsia="宋体" w:cs="宋体"/>
          <w:spacing w:val="-54"/>
          <w:w w:val="99"/>
          <w:sz w:val="20"/>
          <w:szCs w:val="20"/>
        </w:rPr>
        <w:t>）：</w:t>
      </w:r>
    </w:p>
    <w:p w14:paraId="717E99ED">
      <w:pPr>
        <w:spacing w:before="1" w:line="376" w:lineRule="auto"/>
        <w:ind w:left="9" w:right="2" w:firstLine="420"/>
        <w:rPr>
          <w:rFonts w:ascii="宋体" w:hAnsi="宋体" w:eastAsia="宋体" w:cs="宋体"/>
          <w:sz w:val="20"/>
          <w:szCs w:val="20"/>
        </w:rPr>
      </w:pPr>
      <w:r>
        <w:rPr>
          <w:rFonts w:ascii="宋体" w:hAnsi="宋体" w:eastAsia="宋体" w:cs="宋体"/>
          <w:spacing w:val="8"/>
          <w:sz w:val="20"/>
          <w:szCs w:val="20"/>
        </w:rPr>
        <w:t>我方已研究（看到）你方发出的</w:t>
      </w:r>
      <w:r>
        <w:rPr>
          <w:rFonts w:ascii="宋体" w:hAnsi="宋体" w:eastAsia="宋体" w:cs="宋体"/>
          <w:spacing w:val="-97"/>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 xml:space="preserve"> （项目名</w:t>
      </w:r>
      <w:r>
        <w:rPr>
          <w:rFonts w:ascii="宋体" w:hAnsi="宋体" w:eastAsia="宋体" w:cs="宋体"/>
          <w:spacing w:val="7"/>
          <w:sz w:val="20"/>
          <w:szCs w:val="20"/>
        </w:rPr>
        <w:t>称</w:t>
      </w:r>
      <w:r>
        <w:rPr>
          <w:rFonts w:ascii="宋体" w:hAnsi="宋体" w:eastAsia="宋体" w:cs="宋体"/>
          <w:spacing w:val="-8"/>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7"/>
          <w:sz w:val="20"/>
          <w:szCs w:val="20"/>
        </w:rPr>
        <w:t>标段名称）施工</w:t>
      </w:r>
      <w:r>
        <w:rPr>
          <w:rFonts w:ascii="宋体" w:hAnsi="宋体" w:eastAsia="宋体" w:cs="宋体"/>
          <w:spacing w:val="9"/>
          <w:sz w:val="20"/>
          <w:szCs w:val="20"/>
        </w:rPr>
        <w:t>招标文件（或评标结果公示</w:t>
      </w:r>
      <w:r>
        <w:rPr>
          <w:rFonts w:ascii="宋体" w:hAnsi="宋体" w:eastAsia="宋体" w:cs="宋体"/>
          <w:spacing w:val="-37"/>
          <w:sz w:val="20"/>
          <w:szCs w:val="20"/>
        </w:rPr>
        <w:t>），</w:t>
      </w:r>
      <w:r>
        <w:rPr>
          <w:rFonts w:ascii="宋体" w:hAnsi="宋体" w:eastAsia="宋体" w:cs="宋体"/>
          <w:spacing w:val="9"/>
          <w:sz w:val="20"/>
          <w:szCs w:val="20"/>
        </w:rPr>
        <w:t>现对下列问题提出异议，请予</w:t>
      </w:r>
      <w:r>
        <w:rPr>
          <w:rFonts w:ascii="宋体" w:hAnsi="宋体" w:eastAsia="宋体" w:cs="宋体"/>
          <w:spacing w:val="8"/>
          <w:sz w:val="20"/>
          <w:szCs w:val="20"/>
        </w:rPr>
        <w:t>以解释：</w:t>
      </w:r>
    </w:p>
    <w:p w14:paraId="2879342B">
      <w:pPr>
        <w:spacing w:line="267" w:lineRule="exact"/>
        <w:ind w:left="864"/>
        <w:rPr>
          <w:rFonts w:ascii="宋体" w:hAnsi="宋体" w:eastAsia="宋体" w:cs="宋体"/>
          <w:sz w:val="20"/>
          <w:szCs w:val="20"/>
        </w:rPr>
      </w:pPr>
      <w:r>
        <w:rPr>
          <w:rFonts w:ascii="宋体" w:hAnsi="宋体" w:eastAsia="宋体" w:cs="宋体"/>
          <w:spacing w:val="1"/>
          <w:position w:val="1"/>
          <w:sz w:val="20"/>
          <w:szCs w:val="20"/>
        </w:rPr>
        <w:t>1.……</w:t>
      </w:r>
    </w:p>
    <w:p w14:paraId="551FBAFD">
      <w:pPr>
        <w:spacing w:before="140" w:line="267" w:lineRule="exact"/>
        <w:ind w:left="851"/>
        <w:rPr>
          <w:rFonts w:ascii="宋体" w:hAnsi="宋体" w:eastAsia="宋体" w:cs="宋体"/>
          <w:sz w:val="20"/>
          <w:szCs w:val="20"/>
        </w:rPr>
      </w:pPr>
      <w:r>
        <w:rPr>
          <w:rFonts w:ascii="宋体" w:hAnsi="宋体" w:eastAsia="宋体" w:cs="宋体"/>
          <w:spacing w:val="4"/>
          <w:position w:val="1"/>
          <w:sz w:val="20"/>
          <w:szCs w:val="20"/>
        </w:rPr>
        <w:t>2.……</w:t>
      </w:r>
    </w:p>
    <w:p w14:paraId="51EA8468">
      <w:pPr>
        <w:spacing w:line="241" w:lineRule="auto"/>
        <w:rPr>
          <w:rFonts w:ascii="Arial"/>
          <w:sz w:val="21"/>
        </w:rPr>
      </w:pPr>
    </w:p>
    <w:p w14:paraId="3D208629">
      <w:pPr>
        <w:spacing w:line="241" w:lineRule="auto"/>
        <w:rPr>
          <w:rFonts w:ascii="Arial"/>
          <w:sz w:val="21"/>
        </w:rPr>
      </w:pPr>
    </w:p>
    <w:p w14:paraId="250252AD">
      <w:pPr>
        <w:spacing w:before="66" w:line="227" w:lineRule="auto"/>
        <w:ind w:left="3582"/>
        <w:rPr>
          <w:rFonts w:ascii="宋体" w:hAnsi="宋体" w:eastAsia="宋体" w:cs="宋体"/>
          <w:sz w:val="20"/>
          <w:szCs w:val="20"/>
        </w:rPr>
      </w:pPr>
      <w:r>
        <w:rPr>
          <w:rFonts w:ascii="宋体" w:hAnsi="宋体" w:eastAsia="宋体" w:cs="宋体"/>
          <w:spacing w:val="10"/>
          <w:sz w:val="20"/>
          <w:szCs w:val="20"/>
        </w:rPr>
        <w:t>投标人或利害关系人</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0"/>
          <w:sz w:val="20"/>
          <w:szCs w:val="20"/>
        </w:rPr>
        <w:t>盖单位章）</w:t>
      </w:r>
    </w:p>
    <w:p w14:paraId="03F5ECC3">
      <w:pPr>
        <w:tabs>
          <w:tab w:val="left" w:pos="6825"/>
        </w:tabs>
        <w:spacing w:before="162" w:line="378" w:lineRule="auto"/>
        <w:ind w:left="5774" w:right="310" w:hanging="2194"/>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w:t>
      </w: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2"/>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1C3302F6">
      <w:pPr>
        <w:spacing w:line="243" w:lineRule="auto"/>
        <w:rPr>
          <w:rFonts w:ascii="Arial"/>
          <w:sz w:val="21"/>
        </w:rPr>
      </w:pPr>
    </w:p>
    <w:p w14:paraId="3CD134D1">
      <w:pPr>
        <w:spacing w:line="243" w:lineRule="auto"/>
        <w:rPr>
          <w:rFonts w:ascii="Arial"/>
          <w:sz w:val="21"/>
        </w:rPr>
      </w:pPr>
    </w:p>
    <w:p w14:paraId="35ED53EF">
      <w:pPr>
        <w:spacing w:line="243" w:lineRule="auto"/>
        <w:rPr>
          <w:rFonts w:ascii="Arial"/>
          <w:sz w:val="21"/>
        </w:rPr>
      </w:pPr>
    </w:p>
    <w:p w14:paraId="30394C09">
      <w:pPr>
        <w:spacing w:line="243" w:lineRule="auto"/>
        <w:rPr>
          <w:rFonts w:ascii="Arial"/>
          <w:sz w:val="21"/>
        </w:rPr>
      </w:pPr>
    </w:p>
    <w:p w14:paraId="26EB4EB6">
      <w:pPr>
        <w:spacing w:line="243" w:lineRule="auto"/>
        <w:rPr>
          <w:rFonts w:ascii="Arial"/>
          <w:sz w:val="21"/>
        </w:rPr>
      </w:pPr>
    </w:p>
    <w:p w14:paraId="040B0062">
      <w:pPr>
        <w:spacing w:line="243" w:lineRule="auto"/>
        <w:rPr>
          <w:rFonts w:ascii="Arial"/>
          <w:sz w:val="21"/>
        </w:rPr>
      </w:pPr>
    </w:p>
    <w:p w14:paraId="071B022D">
      <w:pPr>
        <w:spacing w:line="243" w:lineRule="auto"/>
        <w:rPr>
          <w:rFonts w:ascii="Arial"/>
          <w:sz w:val="21"/>
        </w:rPr>
      </w:pPr>
    </w:p>
    <w:p w14:paraId="239EECB1">
      <w:pPr>
        <w:spacing w:line="243" w:lineRule="auto"/>
        <w:rPr>
          <w:rFonts w:ascii="Arial"/>
          <w:sz w:val="21"/>
        </w:rPr>
      </w:pPr>
    </w:p>
    <w:p w14:paraId="25E45401">
      <w:pPr>
        <w:spacing w:line="243" w:lineRule="auto"/>
        <w:rPr>
          <w:rFonts w:ascii="Arial"/>
          <w:sz w:val="21"/>
        </w:rPr>
      </w:pPr>
    </w:p>
    <w:p w14:paraId="5127F436">
      <w:pPr>
        <w:spacing w:line="243" w:lineRule="auto"/>
        <w:rPr>
          <w:rFonts w:ascii="Arial"/>
          <w:sz w:val="21"/>
        </w:rPr>
      </w:pPr>
    </w:p>
    <w:p w14:paraId="29C3FBBD">
      <w:pPr>
        <w:spacing w:line="243" w:lineRule="auto"/>
        <w:rPr>
          <w:rFonts w:ascii="Arial"/>
          <w:sz w:val="21"/>
        </w:rPr>
      </w:pPr>
    </w:p>
    <w:p w14:paraId="05BE441E">
      <w:pPr>
        <w:spacing w:line="243" w:lineRule="auto"/>
        <w:rPr>
          <w:rFonts w:ascii="Arial"/>
          <w:sz w:val="21"/>
        </w:rPr>
      </w:pPr>
    </w:p>
    <w:p w14:paraId="73D7FED1">
      <w:pPr>
        <w:spacing w:line="243" w:lineRule="auto"/>
        <w:rPr>
          <w:rFonts w:ascii="Arial"/>
          <w:sz w:val="21"/>
        </w:rPr>
      </w:pPr>
    </w:p>
    <w:p w14:paraId="2A50D881">
      <w:pPr>
        <w:spacing w:line="243" w:lineRule="auto"/>
        <w:rPr>
          <w:rFonts w:ascii="Arial"/>
          <w:sz w:val="21"/>
        </w:rPr>
      </w:pPr>
    </w:p>
    <w:p w14:paraId="1BE3D1D6">
      <w:pPr>
        <w:spacing w:line="243" w:lineRule="auto"/>
        <w:rPr>
          <w:rFonts w:ascii="Arial"/>
          <w:sz w:val="21"/>
        </w:rPr>
      </w:pPr>
    </w:p>
    <w:p w14:paraId="287C48AD">
      <w:pPr>
        <w:spacing w:line="244" w:lineRule="auto"/>
        <w:rPr>
          <w:rFonts w:ascii="Arial"/>
          <w:sz w:val="21"/>
        </w:rPr>
      </w:pPr>
    </w:p>
    <w:p w14:paraId="3F718C55">
      <w:pPr>
        <w:spacing w:before="65" w:line="252" w:lineRule="auto"/>
        <w:ind w:left="639" w:hanging="628"/>
        <w:rPr>
          <w:rFonts w:ascii="宋体" w:hAnsi="宋体" w:eastAsia="宋体" w:cs="宋体"/>
          <w:sz w:val="20"/>
          <w:szCs w:val="20"/>
        </w:rPr>
      </w:pPr>
      <w:r>
        <w:rPr>
          <w:rFonts w:ascii="宋体" w:hAnsi="宋体" w:eastAsia="宋体" w:cs="宋体"/>
          <w:spacing w:val="12"/>
          <w:sz w:val="20"/>
          <w:szCs w:val="20"/>
        </w:rPr>
        <w:t>备注：投标人或利害关系人对招标文件的内容或对评标结果有异</w:t>
      </w:r>
      <w:r>
        <w:rPr>
          <w:rFonts w:ascii="宋体" w:hAnsi="宋体" w:eastAsia="宋体" w:cs="宋体"/>
          <w:spacing w:val="11"/>
          <w:sz w:val="20"/>
          <w:szCs w:val="20"/>
        </w:rPr>
        <w:t>议，要求招标人解释的，适用本</w:t>
      </w:r>
      <w:r>
        <w:rPr>
          <w:rFonts w:ascii="宋体" w:hAnsi="宋体" w:eastAsia="宋体" w:cs="宋体"/>
          <w:spacing w:val="3"/>
          <w:sz w:val="20"/>
          <w:szCs w:val="20"/>
        </w:rPr>
        <w:t>格式。</w:t>
      </w:r>
    </w:p>
    <w:p w14:paraId="47EB0BE2">
      <w:pPr>
        <w:spacing w:line="252" w:lineRule="auto"/>
        <w:rPr>
          <w:rFonts w:ascii="宋体" w:hAnsi="宋体" w:eastAsia="宋体" w:cs="宋体"/>
          <w:sz w:val="20"/>
          <w:szCs w:val="20"/>
        </w:rPr>
        <w:sectPr>
          <w:footerReference r:id="rId57" w:type="default"/>
          <w:pgSz w:w="11907" w:h="16840"/>
          <w:pgMar w:top="400" w:right="1531" w:bottom="1035" w:left="1473" w:header="0" w:footer="785" w:gutter="0"/>
          <w:cols w:space="720" w:num="1"/>
        </w:sectPr>
      </w:pPr>
    </w:p>
    <w:p w14:paraId="235F9B7D">
      <w:pPr>
        <w:spacing w:line="250" w:lineRule="auto"/>
        <w:rPr>
          <w:rFonts w:ascii="Arial"/>
          <w:sz w:val="21"/>
        </w:rPr>
      </w:pPr>
    </w:p>
    <w:p w14:paraId="1A2976C6">
      <w:pPr>
        <w:spacing w:line="250" w:lineRule="auto"/>
        <w:rPr>
          <w:rFonts w:ascii="Arial"/>
          <w:sz w:val="21"/>
        </w:rPr>
      </w:pPr>
    </w:p>
    <w:p w14:paraId="4EC6DBFF">
      <w:pPr>
        <w:spacing w:line="250" w:lineRule="auto"/>
        <w:rPr>
          <w:rFonts w:ascii="Arial"/>
          <w:sz w:val="21"/>
        </w:rPr>
      </w:pPr>
    </w:p>
    <w:p w14:paraId="54C663EF">
      <w:pPr>
        <w:spacing w:line="250" w:lineRule="auto"/>
        <w:rPr>
          <w:rFonts w:ascii="Arial"/>
          <w:sz w:val="21"/>
        </w:rPr>
      </w:pPr>
    </w:p>
    <w:p w14:paraId="1D780B1E">
      <w:pPr>
        <w:spacing w:line="250" w:lineRule="auto"/>
        <w:rPr>
          <w:rFonts w:ascii="Arial"/>
          <w:sz w:val="21"/>
        </w:rPr>
      </w:pPr>
    </w:p>
    <w:p w14:paraId="28209520">
      <w:pPr>
        <w:pStyle w:val="2"/>
        <w:spacing w:before="78" w:line="222" w:lineRule="auto"/>
        <w:ind w:left="23"/>
        <w:outlineLvl w:val="1"/>
        <w:rPr>
          <w:sz w:val="24"/>
          <w:szCs w:val="24"/>
        </w:rPr>
      </w:pPr>
      <w:bookmarkStart w:id="93" w:name="bookmark85"/>
      <w:bookmarkEnd w:id="93"/>
      <w:r>
        <w:rPr>
          <w:spacing w:val="-3"/>
          <w:sz w:val="24"/>
          <w:szCs w:val="24"/>
        </w:rPr>
        <w:t>附表十一：异议答复函</w:t>
      </w:r>
    </w:p>
    <w:p w14:paraId="1E9FDB64">
      <w:pPr>
        <w:spacing w:line="280" w:lineRule="auto"/>
        <w:rPr>
          <w:rFonts w:ascii="Arial"/>
          <w:sz w:val="21"/>
        </w:rPr>
      </w:pPr>
    </w:p>
    <w:p w14:paraId="1F391292">
      <w:pPr>
        <w:spacing w:line="280" w:lineRule="auto"/>
        <w:rPr>
          <w:rFonts w:ascii="Arial"/>
          <w:sz w:val="21"/>
        </w:rPr>
      </w:pPr>
    </w:p>
    <w:p w14:paraId="2837D037">
      <w:pPr>
        <w:spacing w:line="281" w:lineRule="auto"/>
        <w:rPr>
          <w:rFonts w:ascii="Arial"/>
          <w:sz w:val="21"/>
        </w:rPr>
      </w:pPr>
    </w:p>
    <w:p w14:paraId="57BFACF8">
      <w:pPr>
        <w:spacing w:line="281" w:lineRule="auto"/>
        <w:rPr>
          <w:rFonts w:ascii="Arial"/>
          <w:sz w:val="21"/>
        </w:rPr>
      </w:pPr>
    </w:p>
    <w:p w14:paraId="4FC574EB">
      <w:pPr>
        <w:spacing w:line="281" w:lineRule="auto"/>
        <w:rPr>
          <w:rFonts w:ascii="Arial"/>
          <w:sz w:val="21"/>
        </w:rPr>
      </w:pPr>
    </w:p>
    <w:p w14:paraId="16C3E6C2">
      <w:pPr>
        <w:pStyle w:val="2"/>
        <w:spacing w:before="91" w:line="222" w:lineRule="auto"/>
        <w:ind w:left="3768"/>
        <w:rPr>
          <w:sz w:val="28"/>
          <w:szCs w:val="28"/>
        </w:rPr>
      </w:pPr>
      <w:r>
        <w:rPr>
          <w:spacing w:val="-3"/>
          <w:sz w:val="28"/>
          <w:szCs w:val="28"/>
        </w:rPr>
        <w:t>异议答复函</w:t>
      </w:r>
    </w:p>
    <w:p w14:paraId="7C22A72D">
      <w:pPr>
        <w:spacing w:line="304" w:lineRule="auto"/>
        <w:rPr>
          <w:rFonts w:ascii="Arial"/>
          <w:sz w:val="21"/>
        </w:rPr>
      </w:pPr>
    </w:p>
    <w:p w14:paraId="130950F7">
      <w:pPr>
        <w:spacing w:line="304" w:lineRule="auto"/>
        <w:rPr>
          <w:rFonts w:ascii="Arial"/>
          <w:sz w:val="21"/>
        </w:rPr>
      </w:pPr>
    </w:p>
    <w:p w14:paraId="2825F2B5">
      <w:pPr>
        <w:spacing w:before="65" w:line="228" w:lineRule="auto"/>
        <w:ind w:left="6521"/>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7C28D639">
      <w:pPr>
        <w:tabs>
          <w:tab w:val="left" w:pos="1993"/>
        </w:tabs>
        <w:spacing w:before="164"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（投标人或利害关系人名称</w:t>
      </w:r>
      <w:r>
        <w:rPr>
          <w:rFonts w:ascii="宋体" w:hAnsi="宋体" w:eastAsia="宋体" w:cs="宋体"/>
          <w:spacing w:val="-54"/>
          <w:w w:val="99"/>
          <w:sz w:val="20"/>
          <w:szCs w:val="20"/>
        </w:rPr>
        <w:t>）：</w:t>
      </w:r>
    </w:p>
    <w:p w14:paraId="7806E340">
      <w:pPr>
        <w:spacing w:before="160" w:line="378" w:lineRule="auto"/>
        <w:ind w:left="7" w:right="87" w:firstLine="421"/>
        <w:rPr>
          <w:rFonts w:ascii="宋体" w:hAnsi="宋体" w:eastAsia="宋体" w:cs="宋体"/>
          <w:sz w:val="20"/>
          <w:szCs w:val="20"/>
        </w:rPr>
      </w:pPr>
      <w:r>
        <w:rPr>
          <w:rFonts w:ascii="宋体" w:hAnsi="宋体" w:eastAsia="宋体" w:cs="宋体"/>
          <w:spacing w:val="10"/>
          <w:sz w:val="20"/>
          <w:szCs w:val="20"/>
        </w:rPr>
        <w:t>你方提出的有关</w:t>
      </w:r>
      <w:r>
        <w:rPr>
          <w:rFonts w:ascii="宋体" w:hAnsi="宋体" w:eastAsia="宋体" w:cs="宋体"/>
          <w:spacing w:val="-96"/>
          <w:sz w:val="20"/>
          <w:szCs w:val="20"/>
        </w:rPr>
        <w:t xml:space="preserve"> </w:t>
      </w:r>
      <w:r>
        <w:rPr>
          <w:rFonts w:ascii="宋体" w:hAnsi="宋体" w:eastAsia="宋体" w:cs="宋体"/>
          <w:spacing w:val="10"/>
          <w:sz w:val="20"/>
          <w:szCs w:val="20"/>
          <w:u w:val="single" w:color="auto"/>
        </w:rPr>
        <w:t xml:space="preserve">                 </w:t>
      </w:r>
      <w:r>
        <w:rPr>
          <w:rFonts w:ascii="宋体" w:hAnsi="宋体" w:eastAsia="宋体" w:cs="宋体"/>
          <w:spacing w:val="10"/>
          <w:sz w:val="20"/>
          <w:szCs w:val="20"/>
        </w:rPr>
        <w:t>（项目名称</w:t>
      </w:r>
      <w:r>
        <w:rPr>
          <w:rFonts w:ascii="宋体" w:hAnsi="宋体" w:eastAsia="宋体" w:cs="宋体"/>
          <w:spacing w:val="-3"/>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0"/>
          <w:sz w:val="20"/>
          <w:szCs w:val="20"/>
        </w:rPr>
        <w:t>标段名称）施工招标文件</w:t>
      </w:r>
      <w:r>
        <w:rPr>
          <w:rFonts w:ascii="宋体" w:hAnsi="宋体" w:eastAsia="宋体" w:cs="宋体"/>
          <w:spacing w:val="9"/>
          <w:sz w:val="20"/>
          <w:szCs w:val="20"/>
        </w:rPr>
        <w:t>（或评标结果公示）的异议已收悉，现答复如下：</w:t>
      </w:r>
    </w:p>
    <w:p w14:paraId="0EB9EA7B">
      <w:pPr>
        <w:spacing w:line="267" w:lineRule="exact"/>
        <w:ind w:left="444"/>
        <w:rPr>
          <w:rFonts w:ascii="宋体" w:hAnsi="宋体" w:eastAsia="宋体" w:cs="宋体"/>
          <w:sz w:val="20"/>
          <w:szCs w:val="20"/>
        </w:rPr>
      </w:pPr>
      <w:r>
        <w:rPr>
          <w:rFonts w:ascii="宋体" w:hAnsi="宋体" w:eastAsia="宋体" w:cs="宋体"/>
          <w:spacing w:val="1"/>
          <w:position w:val="1"/>
          <w:sz w:val="20"/>
          <w:szCs w:val="20"/>
        </w:rPr>
        <w:t>1.……</w:t>
      </w:r>
    </w:p>
    <w:p w14:paraId="412B59B5">
      <w:pPr>
        <w:spacing w:before="140" w:line="268" w:lineRule="exact"/>
        <w:ind w:left="431"/>
        <w:rPr>
          <w:rFonts w:ascii="宋体" w:hAnsi="宋体" w:eastAsia="宋体" w:cs="宋体"/>
          <w:sz w:val="20"/>
          <w:szCs w:val="20"/>
        </w:rPr>
      </w:pPr>
      <w:r>
        <w:rPr>
          <w:rFonts w:ascii="宋体" w:hAnsi="宋体" w:eastAsia="宋体" w:cs="宋体"/>
          <w:spacing w:val="4"/>
          <w:position w:val="1"/>
          <w:sz w:val="20"/>
          <w:szCs w:val="20"/>
        </w:rPr>
        <w:t>2.……</w:t>
      </w:r>
    </w:p>
    <w:p w14:paraId="2716146F">
      <w:pPr>
        <w:spacing w:before="140" w:line="324" w:lineRule="exact"/>
        <w:ind w:left="441"/>
        <w:rPr>
          <w:rFonts w:ascii="宋体" w:hAnsi="宋体" w:eastAsia="宋体" w:cs="宋体"/>
          <w:sz w:val="20"/>
          <w:szCs w:val="20"/>
        </w:rPr>
      </w:pPr>
      <w:r>
        <w:rPr>
          <w:rFonts w:ascii="宋体" w:hAnsi="宋体" w:eastAsia="宋体" w:cs="宋体"/>
          <w:spacing w:val="-2"/>
          <w:position w:val="2"/>
          <w:sz w:val="20"/>
          <w:szCs w:val="20"/>
        </w:rPr>
        <w:t>……</w:t>
      </w:r>
    </w:p>
    <w:p w14:paraId="2FD433D8">
      <w:pPr>
        <w:spacing w:line="247" w:lineRule="auto"/>
        <w:rPr>
          <w:rFonts w:ascii="Arial"/>
          <w:sz w:val="21"/>
        </w:rPr>
      </w:pPr>
    </w:p>
    <w:p w14:paraId="56CBC6FD">
      <w:pPr>
        <w:spacing w:line="247" w:lineRule="auto"/>
        <w:rPr>
          <w:rFonts w:ascii="Arial"/>
          <w:sz w:val="21"/>
        </w:rPr>
      </w:pPr>
    </w:p>
    <w:p w14:paraId="6B5EEE55">
      <w:pPr>
        <w:spacing w:line="247" w:lineRule="auto"/>
        <w:rPr>
          <w:rFonts w:ascii="Arial"/>
          <w:sz w:val="21"/>
        </w:rPr>
      </w:pPr>
    </w:p>
    <w:p w14:paraId="025EE24A">
      <w:pPr>
        <w:spacing w:line="248" w:lineRule="auto"/>
        <w:rPr>
          <w:rFonts w:ascii="Arial"/>
          <w:sz w:val="21"/>
        </w:rPr>
      </w:pPr>
    </w:p>
    <w:p w14:paraId="10CBA6E0">
      <w:pPr>
        <w:spacing w:line="248" w:lineRule="auto"/>
        <w:rPr>
          <w:rFonts w:ascii="Arial"/>
          <w:sz w:val="21"/>
        </w:rPr>
      </w:pPr>
    </w:p>
    <w:p w14:paraId="0E53E9B1">
      <w:pPr>
        <w:spacing w:before="66" w:line="227" w:lineRule="auto"/>
        <w:jc w:val="right"/>
        <w:rPr>
          <w:rFonts w:ascii="宋体" w:hAnsi="宋体" w:eastAsia="宋体" w:cs="宋体"/>
          <w:sz w:val="20"/>
          <w:szCs w:val="20"/>
        </w:rPr>
      </w:pPr>
      <w:r>
        <w:rPr>
          <w:rFonts w:ascii="宋体" w:hAnsi="宋体" w:eastAsia="宋体" w:cs="宋体"/>
          <w:spacing w:val="9"/>
          <w:sz w:val="20"/>
          <w:szCs w:val="20"/>
        </w:rPr>
        <w:t>招标人（招标委托人</w:t>
      </w:r>
      <w:r>
        <w:rPr>
          <w:rFonts w:ascii="宋体" w:hAnsi="宋体" w:eastAsia="宋体" w:cs="宋体"/>
          <w:spacing w:val="-43"/>
          <w:sz w:val="20"/>
          <w:szCs w:val="20"/>
        </w:rPr>
        <w:t>）：</w:t>
      </w:r>
      <w:r>
        <w:rPr>
          <w:rFonts w:ascii="宋体" w:hAnsi="宋体" w:eastAsia="宋体" w:cs="宋体"/>
          <w:spacing w:val="23"/>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13"/>
          <w:sz w:val="20"/>
          <w:szCs w:val="20"/>
        </w:rPr>
        <w:t xml:space="preserve"> </w:t>
      </w:r>
      <w:r>
        <w:rPr>
          <w:rFonts w:ascii="宋体" w:hAnsi="宋体" w:eastAsia="宋体" w:cs="宋体"/>
          <w:spacing w:val="-43"/>
          <w:sz w:val="20"/>
          <w:szCs w:val="20"/>
        </w:rPr>
        <w:t>（</w:t>
      </w:r>
      <w:r>
        <w:rPr>
          <w:rFonts w:ascii="宋体" w:hAnsi="宋体" w:eastAsia="宋体" w:cs="宋体"/>
          <w:spacing w:val="9"/>
          <w:sz w:val="20"/>
          <w:szCs w:val="20"/>
        </w:rPr>
        <w:t>盖单位章）</w:t>
      </w:r>
    </w:p>
    <w:p w14:paraId="54826DEF">
      <w:pPr>
        <w:spacing w:line="250" w:lineRule="auto"/>
        <w:rPr>
          <w:rFonts w:ascii="Arial"/>
          <w:sz w:val="21"/>
        </w:rPr>
      </w:pPr>
    </w:p>
    <w:p w14:paraId="1C90FF1E">
      <w:pPr>
        <w:spacing w:line="251" w:lineRule="auto"/>
        <w:rPr>
          <w:rFonts w:ascii="Arial"/>
          <w:sz w:val="21"/>
        </w:rPr>
      </w:pPr>
    </w:p>
    <w:p w14:paraId="649875B6">
      <w:pPr>
        <w:tabs>
          <w:tab w:val="left" w:pos="6614"/>
        </w:tabs>
        <w:spacing w:before="66" w:line="228" w:lineRule="auto"/>
        <w:ind w:left="567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4D5AE0F6">
      <w:pPr>
        <w:spacing w:line="228" w:lineRule="auto"/>
        <w:rPr>
          <w:rFonts w:ascii="宋体" w:hAnsi="宋体" w:eastAsia="宋体" w:cs="宋体"/>
          <w:sz w:val="20"/>
          <w:szCs w:val="20"/>
        </w:rPr>
        <w:sectPr>
          <w:footerReference r:id="rId58" w:type="default"/>
          <w:pgSz w:w="11907" w:h="16840"/>
          <w:pgMar w:top="400" w:right="1444" w:bottom="1035" w:left="1473" w:header="0" w:footer="785" w:gutter="0"/>
          <w:cols w:space="720" w:num="1"/>
        </w:sectPr>
      </w:pPr>
    </w:p>
    <w:p w14:paraId="5B917161">
      <w:pPr>
        <w:spacing w:line="250" w:lineRule="auto"/>
        <w:rPr>
          <w:rFonts w:ascii="Arial"/>
          <w:sz w:val="21"/>
        </w:rPr>
      </w:pPr>
    </w:p>
    <w:p w14:paraId="25B84A92">
      <w:pPr>
        <w:spacing w:line="250" w:lineRule="auto"/>
        <w:rPr>
          <w:rFonts w:ascii="Arial"/>
          <w:sz w:val="21"/>
        </w:rPr>
      </w:pPr>
    </w:p>
    <w:p w14:paraId="1E6BD538">
      <w:pPr>
        <w:spacing w:line="250" w:lineRule="auto"/>
        <w:rPr>
          <w:rFonts w:ascii="Arial"/>
          <w:sz w:val="21"/>
        </w:rPr>
      </w:pPr>
    </w:p>
    <w:p w14:paraId="2E434F90">
      <w:pPr>
        <w:spacing w:line="250" w:lineRule="auto"/>
        <w:rPr>
          <w:rFonts w:ascii="Arial"/>
          <w:sz w:val="21"/>
        </w:rPr>
      </w:pPr>
    </w:p>
    <w:p w14:paraId="539E3D9C">
      <w:pPr>
        <w:spacing w:line="250" w:lineRule="auto"/>
        <w:rPr>
          <w:rFonts w:ascii="Arial"/>
          <w:sz w:val="21"/>
        </w:rPr>
      </w:pPr>
    </w:p>
    <w:p w14:paraId="24872B7C">
      <w:pPr>
        <w:pStyle w:val="2"/>
        <w:spacing w:before="78" w:line="221" w:lineRule="auto"/>
        <w:ind w:left="24"/>
        <w:outlineLvl w:val="1"/>
        <w:rPr>
          <w:sz w:val="24"/>
          <w:szCs w:val="24"/>
        </w:rPr>
      </w:pPr>
      <w:bookmarkStart w:id="94" w:name="bookmark86"/>
      <w:bookmarkEnd w:id="94"/>
      <w:r>
        <w:rPr>
          <w:spacing w:val="-2"/>
          <w:sz w:val="24"/>
          <w:szCs w:val="24"/>
        </w:rPr>
        <w:t>附表十二：招标控制价明细</w:t>
      </w:r>
    </w:p>
    <w:p w14:paraId="12847A99">
      <w:pPr>
        <w:spacing w:line="332" w:lineRule="auto"/>
        <w:rPr>
          <w:rFonts w:ascii="Arial"/>
          <w:sz w:val="21"/>
        </w:rPr>
      </w:pPr>
    </w:p>
    <w:p w14:paraId="08FC9E51">
      <w:pPr>
        <w:pStyle w:val="2"/>
        <w:spacing w:before="91" w:line="222" w:lineRule="auto"/>
        <w:ind w:left="3482"/>
        <w:rPr>
          <w:sz w:val="28"/>
          <w:szCs w:val="28"/>
        </w:rPr>
      </w:pPr>
      <w:r>
        <w:rPr>
          <w:spacing w:val="-2"/>
          <w:sz w:val="28"/>
          <w:szCs w:val="28"/>
        </w:rPr>
        <w:t>招标控制价明细</w:t>
      </w:r>
    </w:p>
    <w:p w14:paraId="6121B429">
      <w:pPr>
        <w:spacing w:before="154" w:line="377" w:lineRule="auto"/>
        <w:ind w:right="42" w:firstLine="430"/>
        <w:jc w:val="both"/>
        <w:rPr>
          <w:rFonts w:ascii="宋体" w:hAnsi="宋体" w:eastAsia="宋体" w:cs="宋体"/>
          <w:sz w:val="20"/>
          <w:szCs w:val="20"/>
        </w:rPr>
      </w:pPr>
      <w:r>
        <w:rPr>
          <w:rFonts w:ascii="宋体" w:hAnsi="宋体" w:eastAsia="宋体" w:cs="宋体"/>
          <w:spacing w:val="9"/>
          <w:sz w:val="20"/>
          <w:szCs w:val="20"/>
        </w:rPr>
        <w:t>根据住房和城乡建设部令第</w:t>
      </w:r>
      <w:r>
        <w:rPr>
          <w:rFonts w:ascii="宋体" w:hAnsi="宋体" w:eastAsia="宋体" w:cs="宋体"/>
          <w:spacing w:val="-16"/>
          <w:sz w:val="20"/>
          <w:szCs w:val="20"/>
        </w:rPr>
        <w:t xml:space="preserve"> </w:t>
      </w:r>
      <w:r>
        <w:rPr>
          <w:rFonts w:ascii="宋体" w:hAnsi="宋体" w:eastAsia="宋体" w:cs="宋体"/>
          <w:spacing w:val="9"/>
          <w:sz w:val="20"/>
          <w:szCs w:val="20"/>
        </w:rPr>
        <w:t>16</w:t>
      </w:r>
      <w:r>
        <w:rPr>
          <w:rFonts w:ascii="宋体" w:hAnsi="宋体" w:eastAsia="宋体" w:cs="宋体"/>
          <w:spacing w:val="-30"/>
          <w:sz w:val="20"/>
          <w:szCs w:val="20"/>
        </w:rPr>
        <w:t xml:space="preserve"> </w:t>
      </w:r>
      <w:r>
        <w:rPr>
          <w:rFonts w:ascii="宋体" w:hAnsi="宋体" w:eastAsia="宋体" w:cs="宋体"/>
          <w:spacing w:val="9"/>
          <w:sz w:val="20"/>
          <w:szCs w:val="20"/>
        </w:rPr>
        <w:t>号《建筑工程施工发包与承包计价管理办法》第八条的规定：</w:t>
      </w:r>
      <w:r>
        <w:rPr>
          <w:rFonts w:ascii="宋体" w:hAnsi="宋体" w:eastAsia="宋体" w:cs="宋体"/>
          <w:sz w:val="20"/>
          <w:szCs w:val="20"/>
        </w:rPr>
        <w:t xml:space="preserve"> </w:t>
      </w:r>
      <w:r>
        <w:rPr>
          <w:rFonts w:ascii="宋体" w:hAnsi="宋体" w:eastAsia="宋体" w:cs="宋体"/>
          <w:spacing w:val="11"/>
          <w:sz w:val="20"/>
          <w:szCs w:val="20"/>
        </w:rPr>
        <w:t>“招标人设有最高投标限价的，应当在招标时公布最高投标限价的总价，</w:t>
      </w:r>
      <w:r>
        <w:rPr>
          <w:rFonts w:ascii="宋体" w:hAnsi="宋体" w:eastAsia="宋体" w:cs="宋体"/>
          <w:spacing w:val="-60"/>
          <w:sz w:val="20"/>
          <w:szCs w:val="20"/>
        </w:rPr>
        <w:t xml:space="preserve"> </w:t>
      </w:r>
      <w:r>
        <w:rPr>
          <w:rFonts w:ascii="宋体" w:hAnsi="宋体" w:eastAsia="宋体" w:cs="宋体"/>
          <w:spacing w:val="11"/>
          <w:sz w:val="20"/>
          <w:szCs w:val="20"/>
        </w:rPr>
        <w:t>以及各单位工程</w:t>
      </w:r>
      <w:r>
        <w:rPr>
          <w:rFonts w:ascii="宋体" w:hAnsi="宋体" w:eastAsia="宋体" w:cs="宋体"/>
          <w:spacing w:val="10"/>
          <w:sz w:val="20"/>
          <w:szCs w:val="20"/>
        </w:rPr>
        <w:t>的分部分项工程费、措施项目费、其他项目费、规</w:t>
      </w:r>
      <w:r>
        <w:rPr>
          <w:rFonts w:ascii="宋体" w:hAnsi="宋体" w:eastAsia="宋体" w:cs="宋体"/>
          <w:spacing w:val="9"/>
          <w:sz w:val="20"/>
          <w:szCs w:val="20"/>
        </w:rPr>
        <w:t>费和税金。”</w:t>
      </w:r>
    </w:p>
    <w:p w14:paraId="0A17407C">
      <w:pPr>
        <w:spacing w:before="1" w:line="376" w:lineRule="auto"/>
        <w:ind w:left="10" w:right="94" w:firstLine="419"/>
        <w:rPr>
          <w:rFonts w:ascii="宋体" w:hAnsi="宋体" w:eastAsia="宋体" w:cs="宋体"/>
          <w:sz w:val="20"/>
          <w:szCs w:val="20"/>
        </w:rPr>
      </w:pPr>
      <w:r>
        <w:rPr>
          <w:rFonts w:ascii="宋体" w:hAnsi="宋体" w:eastAsia="宋体" w:cs="宋体"/>
          <w:spacing w:val="9"/>
          <w:sz w:val="20"/>
          <w:szCs w:val="20"/>
        </w:rPr>
        <w:t>根据中华人民共和国国家标准《建设工程工程量清单计价</w:t>
      </w:r>
      <w:r>
        <w:rPr>
          <w:rFonts w:ascii="宋体" w:hAnsi="宋体" w:eastAsia="宋体" w:cs="宋体"/>
          <w:spacing w:val="8"/>
          <w:sz w:val="20"/>
          <w:szCs w:val="20"/>
        </w:rPr>
        <w:t>规范》（</w:t>
      </w:r>
      <w:r>
        <w:rPr>
          <w:rFonts w:ascii="宋体" w:hAnsi="宋体" w:eastAsia="宋体" w:cs="宋体"/>
          <w:sz w:val="20"/>
          <w:szCs w:val="20"/>
        </w:rPr>
        <w:t>GB</w:t>
      </w:r>
      <w:r>
        <w:rPr>
          <w:rFonts w:ascii="宋体" w:hAnsi="宋体" w:eastAsia="宋体" w:cs="宋体"/>
          <w:spacing w:val="8"/>
          <w:sz w:val="20"/>
          <w:szCs w:val="20"/>
        </w:rPr>
        <w:t xml:space="preserve"> 50500-2013）第</w:t>
      </w:r>
      <w:r>
        <w:rPr>
          <w:rFonts w:ascii="宋体" w:hAnsi="宋体" w:eastAsia="宋体" w:cs="宋体"/>
          <w:spacing w:val="-30"/>
          <w:sz w:val="20"/>
          <w:szCs w:val="20"/>
        </w:rPr>
        <w:t xml:space="preserve"> </w:t>
      </w:r>
      <w:r>
        <w:rPr>
          <w:rFonts w:ascii="宋体" w:hAnsi="宋体" w:eastAsia="宋体" w:cs="宋体"/>
          <w:spacing w:val="8"/>
          <w:sz w:val="20"/>
          <w:szCs w:val="20"/>
        </w:rPr>
        <w:t>5.1.6</w:t>
      </w:r>
      <w:r>
        <w:rPr>
          <w:rFonts w:ascii="宋体" w:hAnsi="宋体" w:eastAsia="宋体" w:cs="宋体"/>
          <w:spacing w:val="5"/>
          <w:sz w:val="20"/>
          <w:szCs w:val="20"/>
        </w:rPr>
        <w:t>款规定：“招标人应当在发布招标文件时公布招标控制价。”</w:t>
      </w:r>
    </w:p>
    <w:p w14:paraId="5940FA38">
      <w:pPr>
        <w:spacing w:line="226" w:lineRule="auto"/>
        <w:ind w:left="430"/>
        <w:rPr>
          <w:rFonts w:ascii="宋体" w:hAnsi="宋体" w:eastAsia="宋体" w:cs="宋体"/>
          <w:sz w:val="20"/>
          <w:szCs w:val="20"/>
        </w:rPr>
      </w:pPr>
      <w:r>
        <w:rPr>
          <w:rFonts w:ascii="宋体" w:hAnsi="宋体" w:eastAsia="宋体" w:cs="宋体"/>
          <w:spacing w:val="8"/>
          <w:sz w:val="20"/>
          <w:szCs w:val="20"/>
        </w:rPr>
        <w:t>本招标项目招标控制价应公布的资料为：</w:t>
      </w:r>
    </w:p>
    <w:p w14:paraId="02910395">
      <w:pPr>
        <w:spacing w:before="163" w:line="226" w:lineRule="auto"/>
        <w:ind w:left="445"/>
        <w:rPr>
          <w:rFonts w:ascii="宋体" w:hAnsi="宋体" w:eastAsia="宋体" w:cs="宋体"/>
          <w:sz w:val="20"/>
          <w:szCs w:val="20"/>
        </w:rPr>
      </w:pPr>
      <w:r>
        <w:rPr>
          <w:rFonts w:ascii="宋体" w:hAnsi="宋体" w:eastAsia="宋体" w:cs="宋体"/>
          <w:spacing w:val="5"/>
          <w:sz w:val="20"/>
          <w:szCs w:val="20"/>
        </w:rPr>
        <w:t>1.招标控制价封面；</w:t>
      </w:r>
    </w:p>
    <w:p w14:paraId="785BF86D">
      <w:pPr>
        <w:spacing w:before="163" w:line="226" w:lineRule="auto"/>
        <w:ind w:left="432"/>
        <w:rPr>
          <w:rFonts w:ascii="宋体" w:hAnsi="宋体" w:eastAsia="宋体" w:cs="宋体"/>
          <w:sz w:val="20"/>
          <w:szCs w:val="20"/>
        </w:rPr>
      </w:pPr>
      <w:r>
        <w:rPr>
          <w:rFonts w:ascii="宋体" w:hAnsi="宋体" w:eastAsia="宋体" w:cs="宋体"/>
          <w:spacing w:val="7"/>
          <w:sz w:val="20"/>
          <w:szCs w:val="20"/>
        </w:rPr>
        <w:t>2.招标控制价封面扉页；</w:t>
      </w:r>
    </w:p>
    <w:p w14:paraId="33C8FA89">
      <w:pPr>
        <w:spacing w:before="165" w:line="226" w:lineRule="auto"/>
        <w:ind w:left="434"/>
        <w:rPr>
          <w:rFonts w:ascii="宋体" w:hAnsi="宋体" w:eastAsia="宋体" w:cs="宋体"/>
          <w:sz w:val="20"/>
          <w:szCs w:val="20"/>
        </w:rPr>
      </w:pPr>
      <w:r>
        <w:rPr>
          <w:rFonts w:ascii="宋体" w:hAnsi="宋体" w:eastAsia="宋体" w:cs="宋体"/>
          <w:spacing w:val="6"/>
          <w:sz w:val="20"/>
          <w:szCs w:val="20"/>
        </w:rPr>
        <w:t>3.工程计价总说明；</w:t>
      </w:r>
    </w:p>
    <w:p w14:paraId="5D54ED24">
      <w:pPr>
        <w:spacing w:before="164" w:line="226" w:lineRule="auto"/>
        <w:ind w:left="429"/>
        <w:rPr>
          <w:rFonts w:ascii="宋体" w:hAnsi="宋体" w:eastAsia="宋体" w:cs="宋体"/>
          <w:sz w:val="20"/>
          <w:szCs w:val="20"/>
        </w:rPr>
      </w:pPr>
      <w:r>
        <w:rPr>
          <w:rFonts w:ascii="宋体" w:hAnsi="宋体" w:eastAsia="宋体" w:cs="宋体"/>
          <w:spacing w:val="8"/>
          <w:sz w:val="20"/>
          <w:szCs w:val="20"/>
        </w:rPr>
        <w:t>4.建设项目招标控制价汇总表；</w:t>
      </w:r>
    </w:p>
    <w:p w14:paraId="5E007E46">
      <w:pPr>
        <w:spacing w:before="163" w:line="226" w:lineRule="auto"/>
        <w:ind w:left="434"/>
        <w:rPr>
          <w:rFonts w:ascii="宋体" w:hAnsi="宋体" w:eastAsia="宋体" w:cs="宋体"/>
          <w:sz w:val="20"/>
          <w:szCs w:val="20"/>
        </w:rPr>
      </w:pPr>
      <w:r>
        <w:rPr>
          <w:rFonts w:ascii="宋体" w:hAnsi="宋体" w:eastAsia="宋体" w:cs="宋体"/>
          <w:spacing w:val="7"/>
          <w:sz w:val="20"/>
          <w:szCs w:val="20"/>
        </w:rPr>
        <w:t>5.单项工程招标控制价汇总表；</w:t>
      </w:r>
    </w:p>
    <w:p w14:paraId="7C16DF13">
      <w:pPr>
        <w:spacing w:before="163" w:line="226" w:lineRule="auto"/>
        <w:ind w:left="431"/>
        <w:rPr>
          <w:rFonts w:ascii="宋体" w:hAnsi="宋体" w:eastAsia="宋体" w:cs="宋体"/>
          <w:sz w:val="20"/>
          <w:szCs w:val="20"/>
        </w:rPr>
      </w:pPr>
      <w:r>
        <w:rPr>
          <w:rFonts w:ascii="宋体" w:hAnsi="宋体" w:eastAsia="宋体" w:cs="宋体"/>
          <w:spacing w:val="7"/>
          <w:sz w:val="20"/>
          <w:szCs w:val="20"/>
        </w:rPr>
        <w:t>6.单位工程招标控制价汇总表；</w:t>
      </w:r>
    </w:p>
    <w:p w14:paraId="4EB10AA4">
      <w:pPr>
        <w:spacing w:before="165" w:line="226" w:lineRule="auto"/>
        <w:ind w:left="435"/>
        <w:rPr>
          <w:rFonts w:ascii="宋体" w:hAnsi="宋体" w:eastAsia="宋体" w:cs="宋体"/>
          <w:sz w:val="20"/>
          <w:szCs w:val="20"/>
        </w:rPr>
      </w:pPr>
      <w:r>
        <w:rPr>
          <w:rFonts w:ascii="宋体" w:hAnsi="宋体" w:eastAsia="宋体" w:cs="宋体"/>
          <w:spacing w:val="8"/>
          <w:sz w:val="20"/>
          <w:szCs w:val="20"/>
        </w:rPr>
        <w:t>7.分部分项工程和单价措施项目清单与计价表；</w:t>
      </w:r>
    </w:p>
    <w:p w14:paraId="35E669EE">
      <w:pPr>
        <w:spacing w:before="164" w:line="226" w:lineRule="auto"/>
        <w:ind w:left="430"/>
        <w:rPr>
          <w:rFonts w:ascii="宋体" w:hAnsi="宋体" w:eastAsia="宋体" w:cs="宋体"/>
          <w:sz w:val="20"/>
          <w:szCs w:val="20"/>
        </w:rPr>
      </w:pPr>
      <w:r>
        <w:rPr>
          <w:rFonts w:ascii="宋体" w:hAnsi="宋体" w:eastAsia="宋体" w:cs="宋体"/>
          <w:spacing w:val="7"/>
          <w:sz w:val="20"/>
          <w:szCs w:val="20"/>
        </w:rPr>
        <w:t>8.总价措施项目清单与计价表；</w:t>
      </w:r>
    </w:p>
    <w:p w14:paraId="37509367">
      <w:pPr>
        <w:spacing w:before="163" w:line="226" w:lineRule="auto"/>
        <w:ind w:left="430"/>
        <w:rPr>
          <w:rFonts w:ascii="宋体" w:hAnsi="宋体" w:eastAsia="宋体" w:cs="宋体"/>
          <w:sz w:val="20"/>
          <w:szCs w:val="20"/>
        </w:rPr>
      </w:pPr>
      <w:r>
        <w:rPr>
          <w:rFonts w:ascii="宋体" w:hAnsi="宋体" w:eastAsia="宋体" w:cs="宋体"/>
          <w:spacing w:val="7"/>
          <w:sz w:val="20"/>
          <w:szCs w:val="20"/>
        </w:rPr>
        <w:t>9.其它项目清单与计价汇总表；</w:t>
      </w:r>
    </w:p>
    <w:p w14:paraId="336E6266">
      <w:pPr>
        <w:spacing w:before="162" w:line="228" w:lineRule="auto"/>
        <w:ind w:left="656"/>
        <w:rPr>
          <w:rFonts w:ascii="宋体" w:hAnsi="宋体" w:eastAsia="宋体" w:cs="宋体"/>
          <w:sz w:val="20"/>
          <w:szCs w:val="20"/>
        </w:rPr>
      </w:pPr>
      <w:r>
        <w:rPr>
          <w:rFonts w:ascii="宋体" w:hAnsi="宋体" w:eastAsia="宋体" w:cs="宋体"/>
          <w:spacing w:val="6"/>
          <w:sz w:val="20"/>
          <w:szCs w:val="20"/>
        </w:rPr>
        <w:t>1）暂列金额明细表</w:t>
      </w:r>
    </w:p>
    <w:p w14:paraId="401E2A4E">
      <w:pPr>
        <w:spacing w:before="162" w:line="226" w:lineRule="auto"/>
        <w:ind w:left="643"/>
        <w:rPr>
          <w:rFonts w:ascii="宋体" w:hAnsi="宋体" w:eastAsia="宋体" w:cs="宋体"/>
          <w:sz w:val="20"/>
          <w:szCs w:val="20"/>
        </w:rPr>
      </w:pPr>
      <w:r>
        <w:rPr>
          <w:rFonts w:ascii="宋体" w:hAnsi="宋体" w:eastAsia="宋体" w:cs="宋体"/>
          <w:spacing w:val="8"/>
          <w:sz w:val="20"/>
          <w:szCs w:val="20"/>
        </w:rPr>
        <w:t>2）材料（工程设备）暂估单价表</w:t>
      </w:r>
    </w:p>
    <w:p w14:paraId="27449647">
      <w:pPr>
        <w:spacing w:before="163" w:line="226" w:lineRule="auto"/>
        <w:ind w:left="645"/>
        <w:rPr>
          <w:rFonts w:ascii="宋体" w:hAnsi="宋体" w:eastAsia="宋体" w:cs="宋体"/>
          <w:sz w:val="20"/>
          <w:szCs w:val="20"/>
        </w:rPr>
      </w:pPr>
      <w:r>
        <w:rPr>
          <w:rFonts w:ascii="宋体" w:hAnsi="宋体" w:eastAsia="宋体" w:cs="宋体"/>
          <w:spacing w:val="7"/>
          <w:sz w:val="20"/>
          <w:szCs w:val="20"/>
        </w:rPr>
        <w:t>3）专业工程暂估价表</w:t>
      </w:r>
    </w:p>
    <w:p w14:paraId="555F2C78">
      <w:pPr>
        <w:spacing w:before="166" w:line="229" w:lineRule="auto"/>
        <w:ind w:left="640"/>
        <w:rPr>
          <w:rFonts w:ascii="宋体" w:hAnsi="宋体" w:eastAsia="宋体" w:cs="宋体"/>
          <w:sz w:val="20"/>
          <w:szCs w:val="20"/>
        </w:rPr>
      </w:pPr>
      <w:r>
        <w:rPr>
          <w:rFonts w:ascii="宋体" w:hAnsi="宋体" w:eastAsia="宋体" w:cs="宋体"/>
          <w:spacing w:val="7"/>
          <w:sz w:val="20"/>
          <w:szCs w:val="20"/>
        </w:rPr>
        <w:t>4）计日工表</w:t>
      </w:r>
    </w:p>
    <w:p w14:paraId="52ACA24A">
      <w:pPr>
        <w:spacing w:before="160" w:line="226" w:lineRule="auto"/>
        <w:ind w:left="445"/>
        <w:rPr>
          <w:rFonts w:ascii="宋体" w:hAnsi="宋体" w:eastAsia="宋体" w:cs="宋体"/>
          <w:sz w:val="20"/>
          <w:szCs w:val="20"/>
        </w:rPr>
      </w:pPr>
      <w:r>
        <w:rPr>
          <w:rFonts w:ascii="宋体" w:hAnsi="宋体" w:eastAsia="宋体" w:cs="宋体"/>
          <w:spacing w:val="6"/>
          <w:sz w:val="20"/>
          <w:szCs w:val="20"/>
        </w:rPr>
        <w:t>10.规费和税金项目计价表。</w:t>
      </w:r>
    </w:p>
    <w:p w14:paraId="2A04D07B">
      <w:pPr>
        <w:spacing w:before="162" w:line="227" w:lineRule="auto"/>
        <w:ind w:left="445"/>
        <w:rPr>
          <w:rFonts w:ascii="宋体" w:hAnsi="宋体" w:eastAsia="宋体" w:cs="宋体"/>
          <w:sz w:val="20"/>
          <w:szCs w:val="20"/>
        </w:rPr>
      </w:pPr>
      <w:r>
        <w:rPr>
          <w:rFonts w:ascii="宋体" w:hAnsi="宋体" w:eastAsia="宋体" w:cs="宋体"/>
          <w:spacing w:val="7"/>
          <w:sz w:val="20"/>
          <w:szCs w:val="20"/>
        </w:rPr>
        <w:t>11.发包人提供材料和工程设备一览表</w:t>
      </w:r>
    </w:p>
    <w:p w14:paraId="2C10D4C0">
      <w:pPr>
        <w:spacing w:line="252" w:lineRule="auto"/>
        <w:rPr>
          <w:rFonts w:ascii="Arial"/>
          <w:sz w:val="21"/>
        </w:rPr>
      </w:pPr>
    </w:p>
    <w:p w14:paraId="11B5DB0F">
      <w:pPr>
        <w:spacing w:line="252" w:lineRule="auto"/>
        <w:rPr>
          <w:rFonts w:ascii="Arial"/>
          <w:sz w:val="21"/>
        </w:rPr>
      </w:pPr>
    </w:p>
    <w:p w14:paraId="5C128AA2">
      <w:pPr>
        <w:spacing w:before="66" w:line="226" w:lineRule="auto"/>
        <w:ind w:left="446"/>
        <w:rPr>
          <w:rFonts w:ascii="宋体" w:hAnsi="宋体" w:eastAsia="宋体" w:cs="宋体"/>
          <w:sz w:val="20"/>
          <w:szCs w:val="20"/>
        </w:rPr>
      </w:pPr>
      <w:r>
        <w:rPr>
          <w:rFonts w:ascii="宋体" w:hAnsi="宋体" w:eastAsia="宋体" w:cs="宋体"/>
          <w:spacing w:val="7"/>
          <w:sz w:val="20"/>
          <w:szCs w:val="20"/>
        </w:rPr>
        <w:t>附：招标控制价明细</w:t>
      </w:r>
    </w:p>
    <w:p w14:paraId="4DCE1A46">
      <w:pPr>
        <w:spacing w:line="252" w:lineRule="auto"/>
        <w:rPr>
          <w:rFonts w:ascii="Arial"/>
          <w:sz w:val="21"/>
        </w:rPr>
      </w:pPr>
    </w:p>
    <w:p w14:paraId="6104BFA7">
      <w:pPr>
        <w:spacing w:before="81" w:line="230" w:lineRule="auto"/>
        <w:ind w:left="847" w:right="92" w:hanging="835"/>
        <w:rPr>
          <w:rFonts w:ascii="宋体" w:hAnsi="宋体" w:eastAsia="宋体" w:cs="宋体"/>
          <w:sz w:val="20"/>
          <w:szCs w:val="20"/>
        </w:rPr>
      </w:pPr>
      <w:r>
        <w:rPr>
          <w:rFonts w:ascii="宋体" w:hAnsi="宋体" w:eastAsia="宋体" w:cs="宋体"/>
          <w:spacing w:val="7"/>
          <w:sz w:val="20"/>
          <w:szCs w:val="20"/>
        </w:rPr>
        <w:t>备注：1.</w:t>
      </w:r>
      <w:r>
        <w:rPr>
          <w:rFonts w:ascii="宋体" w:hAnsi="宋体" w:eastAsia="宋体" w:cs="宋体"/>
          <w:spacing w:val="-25"/>
          <w:sz w:val="20"/>
          <w:szCs w:val="20"/>
        </w:rPr>
        <w:t xml:space="preserve"> </w:t>
      </w:r>
      <w:r>
        <w:rPr>
          <w:rFonts w:ascii="Times New Roman" w:hAnsi="Times New Roman" w:eastAsia="Times New Roman" w:cs="Times New Roman"/>
          <w:spacing w:val="7"/>
          <w:sz w:val="28"/>
          <w:szCs w:val="28"/>
        </w:rPr>
        <w:t>“</w:t>
      </w:r>
      <w:r>
        <w:rPr>
          <w:rFonts w:ascii="宋体" w:hAnsi="宋体" w:eastAsia="宋体" w:cs="宋体"/>
          <w:spacing w:val="7"/>
          <w:sz w:val="20"/>
          <w:szCs w:val="20"/>
        </w:rPr>
        <w:t>招标控制价明细</w:t>
      </w:r>
      <w:r>
        <w:rPr>
          <w:rFonts w:ascii="Times New Roman" w:hAnsi="Times New Roman" w:eastAsia="Times New Roman" w:cs="Times New Roman"/>
          <w:spacing w:val="7"/>
          <w:sz w:val="28"/>
          <w:szCs w:val="28"/>
        </w:rPr>
        <w:t>”</w:t>
      </w:r>
      <w:r>
        <w:rPr>
          <w:rFonts w:ascii="宋体" w:hAnsi="宋体" w:eastAsia="宋体" w:cs="宋体"/>
          <w:spacing w:val="7"/>
          <w:sz w:val="20"/>
          <w:szCs w:val="20"/>
        </w:rPr>
        <w:t>与“招标控制价文件</w:t>
      </w:r>
      <w:r>
        <w:rPr>
          <w:rFonts w:ascii="宋体" w:hAnsi="宋体" w:eastAsia="宋体" w:cs="宋体"/>
          <w:spacing w:val="-70"/>
          <w:sz w:val="20"/>
          <w:szCs w:val="20"/>
        </w:rPr>
        <w:t xml:space="preserve"> </w:t>
      </w:r>
      <w:r>
        <w:rPr>
          <w:rFonts w:ascii="宋体" w:hAnsi="宋体" w:eastAsia="宋体" w:cs="宋体"/>
          <w:spacing w:val="7"/>
          <w:sz w:val="20"/>
          <w:szCs w:val="20"/>
        </w:rPr>
        <w:t>”相比，缺少“综合单价分析表</w:t>
      </w:r>
      <w:r>
        <w:rPr>
          <w:rFonts w:ascii="宋体" w:hAnsi="宋体" w:eastAsia="宋体" w:cs="宋体"/>
          <w:spacing w:val="-72"/>
          <w:sz w:val="20"/>
          <w:szCs w:val="20"/>
        </w:rPr>
        <w:t xml:space="preserve"> </w:t>
      </w:r>
      <w:r>
        <w:rPr>
          <w:rFonts w:ascii="宋体" w:hAnsi="宋体" w:eastAsia="宋体" w:cs="宋体"/>
          <w:spacing w:val="7"/>
          <w:sz w:val="20"/>
          <w:szCs w:val="20"/>
        </w:rPr>
        <w:t>”。招标人应当</w:t>
      </w:r>
      <w:r>
        <w:rPr>
          <w:rFonts w:ascii="宋体" w:hAnsi="宋体" w:eastAsia="宋体" w:cs="宋体"/>
          <w:spacing w:val="9"/>
          <w:sz w:val="20"/>
          <w:szCs w:val="20"/>
        </w:rPr>
        <w:t>将“招标控制价明细</w:t>
      </w:r>
      <w:r>
        <w:rPr>
          <w:rFonts w:ascii="宋体" w:hAnsi="宋体" w:eastAsia="宋体" w:cs="宋体"/>
          <w:spacing w:val="-70"/>
          <w:sz w:val="20"/>
          <w:szCs w:val="20"/>
        </w:rPr>
        <w:t xml:space="preserve"> </w:t>
      </w:r>
      <w:r>
        <w:rPr>
          <w:rFonts w:ascii="宋体" w:hAnsi="宋体" w:eastAsia="宋体" w:cs="宋体"/>
          <w:spacing w:val="9"/>
          <w:sz w:val="20"/>
          <w:szCs w:val="20"/>
        </w:rPr>
        <w:t>”随招标文件或招标文件澄清修改文件一</w:t>
      </w:r>
      <w:r>
        <w:rPr>
          <w:rFonts w:ascii="宋体" w:hAnsi="宋体" w:eastAsia="宋体" w:cs="宋体"/>
          <w:spacing w:val="8"/>
          <w:sz w:val="20"/>
          <w:szCs w:val="20"/>
        </w:rPr>
        <w:t>起发布，供投标人查询。</w:t>
      </w:r>
    </w:p>
    <w:p w14:paraId="7C2488A8">
      <w:pPr>
        <w:spacing w:before="2" w:line="251" w:lineRule="auto"/>
        <w:ind w:left="848" w:hanging="205"/>
        <w:rPr>
          <w:rFonts w:ascii="宋体" w:hAnsi="宋体" w:eastAsia="宋体" w:cs="宋体"/>
          <w:sz w:val="20"/>
          <w:szCs w:val="20"/>
        </w:rPr>
      </w:pPr>
      <w:r>
        <w:rPr>
          <w:rFonts w:ascii="宋体" w:hAnsi="宋体" w:eastAsia="宋体" w:cs="宋体"/>
          <w:spacing w:val="9"/>
          <w:sz w:val="20"/>
          <w:szCs w:val="20"/>
        </w:rPr>
        <w:t>2.“招标控制价文件</w:t>
      </w:r>
      <w:r>
        <w:rPr>
          <w:rFonts w:ascii="宋体" w:hAnsi="宋体" w:eastAsia="宋体" w:cs="宋体"/>
          <w:spacing w:val="-56"/>
          <w:sz w:val="20"/>
          <w:szCs w:val="20"/>
        </w:rPr>
        <w:t xml:space="preserve"> </w:t>
      </w:r>
      <w:r>
        <w:rPr>
          <w:rFonts w:ascii="宋体" w:hAnsi="宋体" w:eastAsia="宋体" w:cs="宋体"/>
          <w:spacing w:val="9"/>
          <w:sz w:val="20"/>
          <w:szCs w:val="20"/>
        </w:rPr>
        <w:t>”是指招标人根据本章投标人须知第</w:t>
      </w:r>
      <w:r>
        <w:rPr>
          <w:rFonts w:ascii="宋体" w:hAnsi="宋体" w:eastAsia="宋体" w:cs="宋体"/>
          <w:spacing w:val="-31"/>
          <w:sz w:val="20"/>
          <w:szCs w:val="20"/>
        </w:rPr>
        <w:t xml:space="preserve"> </w:t>
      </w:r>
      <w:r>
        <w:rPr>
          <w:rFonts w:ascii="宋体" w:hAnsi="宋体" w:eastAsia="宋体" w:cs="宋体"/>
          <w:spacing w:val="9"/>
          <w:sz w:val="20"/>
          <w:szCs w:val="20"/>
        </w:rPr>
        <w:t>2.1.2</w:t>
      </w:r>
      <w:r>
        <w:rPr>
          <w:rFonts w:ascii="宋体" w:hAnsi="宋体" w:eastAsia="宋体" w:cs="宋体"/>
          <w:spacing w:val="-35"/>
          <w:sz w:val="20"/>
          <w:szCs w:val="20"/>
        </w:rPr>
        <w:t xml:space="preserve"> </w:t>
      </w:r>
      <w:r>
        <w:rPr>
          <w:rFonts w:ascii="宋体" w:hAnsi="宋体" w:eastAsia="宋体" w:cs="宋体"/>
          <w:spacing w:val="9"/>
          <w:sz w:val="20"/>
          <w:szCs w:val="20"/>
        </w:rPr>
        <w:t>项的规定，采用符合湖北</w:t>
      </w:r>
      <w:r>
        <w:rPr>
          <w:rFonts w:ascii="宋体" w:hAnsi="宋体" w:eastAsia="宋体" w:cs="宋体"/>
          <w:spacing w:val="1"/>
          <w:sz w:val="20"/>
          <w:szCs w:val="20"/>
        </w:rPr>
        <w:t>省现行《建设工程造价应用软件数据交换标准》（</w:t>
      </w:r>
      <w:r>
        <w:rPr>
          <w:rFonts w:ascii="Times New Roman" w:hAnsi="Times New Roman" w:eastAsia="Times New Roman" w:cs="Times New Roman"/>
          <w:sz w:val="20"/>
          <w:szCs w:val="20"/>
        </w:rPr>
        <w:t>DB</w:t>
      </w:r>
      <w:r>
        <w:rPr>
          <w:rFonts w:ascii="Times New Roman" w:hAnsi="Times New Roman" w:eastAsia="Times New Roman" w:cs="Times New Roman"/>
          <w:spacing w:val="1"/>
          <w:sz w:val="20"/>
          <w:szCs w:val="20"/>
        </w:rPr>
        <w:t>42/T 749</w:t>
      </w:r>
      <w:r>
        <w:rPr>
          <w:rFonts w:ascii="宋体" w:hAnsi="宋体" w:eastAsia="宋体" w:cs="宋体"/>
          <w:spacing w:val="1"/>
          <w:sz w:val="20"/>
          <w:szCs w:val="20"/>
        </w:rPr>
        <w:t>）、《建筑工程和市政工程造</w:t>
      </w:r>
      <w:r>
        <w:rPr>
          <w:rFonts w:ascii="宋体" w:hAnsi="宋体" w:eastAsia="宋体" w:cs="宋体"/>
          <w:spacing w:val="7"/>
          <w:sz w:val="20"/>
          <w:szCs w:val="20"/>
        </w:rPr>
        <w:t>价数据归集标准》（</w:t>
      </w:r>
      <w:r>
        <w:rPr>
          <w:rFonts w:ascii="Times New Roman" w:hAnsi="Times New Roman" w:eastAsia="Times New Roman" w:cs="Times New Roman"/>
          <w:sz w:val="20"/>
          <w:szCs w:val="20"/>
        </w:rPr>
        <w:t>DB</w:t>
      </w:r>
      <w:r>
        <w:rPr>
          <w:rFonts w:ascii="Times New Roman" w:hAnsi="Times New Roman" w:eastAsia="Times New Roman" w:cs="Times New Roman"/>
          <w:spacing w:val="7"/>
          <w:sz w:val="20"/>
          <w:szCs w:val="20"/>
        </w:rPr>
        <w:t>42/T2176</w:t>
      </w:r>
      <w:r>
        <w:rPr>
          <w:rFonts w:ascii="宋体" w:hAnsi="宋体" w:eastAsia="宋体" w:cs="宋体"/>
          <w:spacing w:val="7"/>
          <w:sz w:val="20"/>
          <w:szCs w:val="20"/>
        </w:rPr>
        <w:t>）、《建设工程人工材料设备机械数据分类和编</w:t>
      </w:r>
      <w:r>
        <w:rPr>
          <w:rFonts w:ascii="宋体" w:hAnsi="宋体" w:eastAsia="宋体" w:cs="宋体"/>
          <w:spacing w:val="6"/>
          <w:sz w:val="20"/>
          <w:szCs w:val="20"/>
        </w:rPr>
        <w:t>码标准》</w:t>
      </w:r>
      <w:r>
        <w:rPr>
          <w:rFonts w:ascii="宋体" w:hAnsi="宋体" w:eastAsia="宋体" w:cs="宋体"/>
          <w:sz w:val="20"/>
          <w:szCs w:val="20"/>
        </w:rPr>
        <w:t xml:space="preserve"> </w:t>
      </w:r>
      <w:r>
        <w:rPr>
          <w:rFonts w:ascii="宋体" w:hAnsi="宋体" w:eastAsia="宋体" w:cs="宋体"/>
          <w:spacing w:val="13"/>
          <w:sz w:val="20"/>
          <w:szCs w:val="20"/>
        </w:rPr>
        <w:t>（</w:t>
      </w:r>
      <w:r>
        <w:rPr>
          <w:rFonts w:ascii="Times New Roman" w:hAnsi="Times New Roman" w:eastAsia="Times New Roman" w:cs="Times New Roman"/>
          <w:sz w:val="20"/>
          <w:szCs w:val="20"/>
        </w:rPr>
        <w:t>DB</w:t>
      </w:r>
      <w:r>
        <w:rPr>
          <w:rFonts w:ascii="Times New Roman" w:hAnsi="Times New Roman" w:eastAsia="Times New Roman" w:cs="Times New Roman"/>
          <w:spacing w:val="13"/>
          <w:sz w:val="20"/>
          <w:szCs w:val="20"/>
        </w:rPr>
        <w:t>42/T 2306</w:t>
      </w:r>
      <w:r>
        <w:rPr>
          <w:rFonts w:ascii="宋体" w:hAnsi="宋体" w:eastAsia="宋体" w:cs="宋体"/>
          <w:spacing w:val="13"/>
          <w:sz w:val="20"/>
          <w:szCs w:val="20"/>
        </w:rPr>
        <w:t>）和《关于增加湖北省建设工程造价数据接口内容的通知》（鄂建标函</w:t>
      </w:r>
      <w:r>
        <w:rPr>
          <w:rFonts w:ascii="宋体" w:hAnsi="宋体" w:eastAsia="宋体" w:cs="宋体"/>
          <w:spacing w:val="7"/>
          <w:sz w:val="20"/>
          <w:szCs w:val="20"/>
        </w:rPr>
        <w:t xml:space="preserve"> </w:t>
      </w:r>
      <w:r>
        <w:rPr>
          <w:rFonts w:ascii="Times New Roman" w:hAnsi="Times New Roman" w:eastAsia="Times New Roman" w:cs="Times New Roman"/>
          <w:spacing w:val="9"/>
          <w:sz w:val="20"/>
          <w:szCs w:val="20"/>
        </w:rPr>
        <w:t>[</w:t>
      </w:r>
      <w:r>
        <w:fldChar w:fldCharType="begin"/>
      </w:r>
      <w:r>
        <w:instrText xml:space="preserve"> HYPERLINK \l "bookmark454" </w:instrText>
      </w:r>
      <w:r>
        <w:fldChar w:fldCharType="separate"/>
      </w:r>
      <w:r>
        <w:rPr>
          <w:rFonts w:ascii="Times New Roman" w:hAnsi="Times New Roman" w:eastAsia="Times New Roman" w:cs="Times New Roman"/>
          <w:spacing w:val="9"/>
          <w:sz w:val="20"/>
          <w:szCs w:val="20"/>
        </w:rPr>
        <w:t>2018</w:t>
      </w:r>
      <w:r>
        <w:rPr>
          <w:rFonts w:ascii="Times New Roman" w:hAnsi="Times New Roman" w:eastAsia="Times New Roman" w:cs="Times New Roman"/>
          <w:spacing w:val="9"/>
          <w:sz w:val="20"/>
          <w:szCs w:val="20"/>
        </w:rPr>
        <w:fldChar w:fldCharType="end"/>
      </w:r>
      <w:r>
        <w:rPr>
          <w:rFonts w:ascii="Times New Roman" w:hAnsi="Times New Roman" w:eastAsia="Times New Roman" w:cs="Times New Roman"/>
          <w:spacing w:val="9"/>
          <w:sz w:val="20"/>
          <w:szCs w:val="20"/>
        </w:rPr>
        <w:t xml:space="preserve">]6 </w:t>
      </w:r>
      <w:r>
        <w:rPr>
          <w:rFonts w:ascii="宋体" w:hAnsi="宋体" w:eastAsia="宋体" w:cs="宋体"/>
          <w:spacing w:val="9"/>
          <w:sz w:val="20"/>
          <w:szCs w:val="20"/>
        </w:rPr>
        <w:t>号）要求，且通过湖北省建设工程</w:t>
      </w:r>
      <w:r>
        <w:rPr>
          <w:rFonts w:ascii="宋体" w:hAnsi="宋体" w:eastAsia="宋体" w:cs="宋体"/>
          <w:spacing w:val="8"/>
          <w:sz w:val="20"/>
          <w:szCs w:val="20"/>
        </w:rPr>
        <w:t>标准定额管理总站符合性测评的计价软件（以</w:t>
      </w:r>
      <w:r>
        <w:rPr>
          <w:rFonts w:ascii="宋体" w:hAnsi="宋体" w:eastAsia="宋体" w:cs="宋体"/>
          <w:spacing w:val="4"/>
          <w:sz w:val="20"/>
          <w:szCs w:val="20"/>
        </w:rPr>
        <w:t>湖北省建设工程数字造价平台公布名单为准）编制的完整的招标控制价 。</w:t>
      </w:r>
      <w:r>
        <w:rPr>
          <w:rFonts w:ascii="宋体" w:hAnsi="宋体" w:eastAsia="宋体" w:cs="宋体"/>
          <w:spacing w:val="3"/>
          <w:sz w:val="20"/>
          <w:szCs w:val="20"/>
        </w:rPr>
        <w:t>招标人应在“电</w:t>
      </w:r>
      <w:r>
        <w:rPr>
          <w:rFonts w:ascii="宋体" w:hAnsi="宋体" w:eastAsia="宋体" w:cs="宋体"/>
          <w:spacing w:val="1"/>
          <w:sz w:val="20"/>
          <w:szCs w:val="20"/>
        </w:rPr>
        <w:t>子交易平台</w:t>
      </w:r>
      <w:r>
        <w:rPr>
          <w:rFonts w:ascii="宋体" w:hAnsi="宋体" w:eastAsia="宋体" w:cs="宋体"/>
          <w:spacing w:val="-69"/>
          <w:sz w:val="20"/>
          <w:szCs w:val="20"/>
        </w:rPr>
        <w:t xml:space="preserve"> </w:t>
      </w:r>
      <w:r>
        <w:rPr>
          <w:rFonts w:ascii="宋体" w:hAnsi="宋体" w:eastAsia="宋体" w:cs="宋体"/>
          <w:spacing w:val="1"/>
          <w:sz w:val="20"/>
          <w:szCs w:val="20"/>
        </w:rPr>
        <w:t>”“招标控制价备案</w:t>
      </w:r>
      <w:r>
        <w:rPr>
          <w:rFonts w:ascii="宋体" w:hAnsi="宋体" w:eastAsia="宋体" w:cs="宋体"/>
          <w:spacing w:val="-73"/>
          <w:sz w:val="20"/>
          <w:szCs w:val="20"/>
        </w:rPr>
        <w:t xml:space="preserve"> </w:t>
      </w:r>
      <w:r>
        <w:rPr>
          <w:rFonts w:ascii="宋体" w:hAnsi="宋体" w:eastAsia="宋体" w:cs="宋体"/>
          <w:spacing w:val="1"/>
          <w:sz w:val="20"/>
          <w:szCs w:val="20"/>
        </w:rPr>
        <w:t>”</w:t>
      </w:r>
      <w:r>
        <w:rPr>
          <w:rFonts w:ascii="宋体" w:hAnsi="宋体" w:eastAsia="宋体" w:cs="宋体"/>
          <w:spacing w:val="-72"/>
          <w:sz w:val="20"/>
          <w:szCs w:val="20"/>
        </w:rPr>
        <w:t xml:space="preserve"> </w:t>
      </w:r>
      <w:r>
        <w:rPr>
          <w:rFonts w:ascii="宋体" w:hAnsi="宋体" w:eastAsia="宋体" w:cs="宋体"/>
          <w:spacing w:val="1"/>
          <w:sz w:val="20"/>
          <w:szCs w:val="20"/>
        </w:rPr>
        <w:t>菜单上传完整的“招标控制价</w:t>
      </w:r>
      <w:r>
        <w:rPr>
          <w:rFonts w:ascii="宋体" w:hAnsi="宋体" w:eastAsia="宋体" w:cs="宋体"/>
          <w:sz w:val="20"/>
          <w:szCs w:val="20"/>
        </w:rPr>
        <w:t>文件</w:t>
      </w:r>
      <w:r>
        <w:rPr>
          <w:rFonts w:ascii="宋体" w:hAnsi="宋体" w:eastAsia="宋体" w:cs="宋体"/>
          <w:spacing w:val="-70"/>
          <w:sz w:val="20"/>
          <w:szCs w:val="20"/>
        </w:rPr>
        <w:t xml:space="preserve"> </w:t>
      </w:r>
      <w:r>
        <w:rPr>
          <w:rFonts w:ascii="宋体" w:hAnsi="宋体" w:eastAsia="宋体" w:cs="宋体"/>
          <w:sz w:val="20"/>
          <w:szCs w:val="20"/>
        </w:rPr>
        <w:t>”（后缀名为.HBKJ</w:t>
      </w:r>
      <w:r>
        <w:rPr>
          <w:rFonts w:ascii="宋体" w:hAnsi="宋体" w:eastAsia="宋体" w:cs="宋体"/>
          <w:spacing w:val="-49"/>
          <w:sz w:val="20"/>
          <w:szCs w:val="20"/>
        </w:rPr>
        <w:t>），</w:t>
      </w:r>
      <w:r>
        <w:rPr>
          <w:rFonts w:ascii="宋体" w:hAnsi="宋体" w:eastAsia="宋体" w:cs="宋体"/>
          <w:spacing w:val="9"/>
          <w:sz w:val="20"/>
          <w:szCs w:val="20"/>
        </w:rPr>
        <w:t>以方便在评标阶段与投标人的已标价工程量清单进行对比和偏差分析。</w:t>
      </w:r>
    </w:p>
    <w:p w14:paraId="12AB782D">
      <w:pPr>
        <w:spacing w:line="251" w:lineRule="auto"/>
        <w:rPr>
          <w:rFonts w:ascii="宋体" w:hAnsi="宋体" w:eastAsia="宋体" w:cs="宋体"/>
          <w:sz w:val="20"/>
          <w:szCs w:val="20"/>
        </w:rPr>
        <w:sectPr>
          <w:footerReference r:id="rId59" w:type="default"/>
          <w:pgSz w:w="11907" w:h="16840"/>
          <w:pgMar w:top="400" w:right="1438" w:bottom="1035" w:left="1471" w:header="0" w:footer="785" w:gutter="0"/>
          <w:cols w:space="720" w:num="1"/>
        </w:sectPr>
      </w:pPr>
    </w:p>
    <w:p w14:paraId="3AF4F6D3">
      <w:pPr>
        <w:spacing w:line="251" w:lineRule="auto"/>
        <w:rPr>
          <w:rFonts w:ascii="Arial"/>
          <w:sz w:val="21"/>
        </w:rPr>
      </w:pPr>
    </w:p>
    <w:p w14:paraId="15F25A7E">
      <w:pPr>
        <w:spacing w:line="251" w:lineRule="auto"/>
        <w:rPr>
          <w:rFonts w:ascii="Arial"/>
          <w:sz w:val="21"/>
        </w:rPr>
      </w:pPr>
    </w:p>
    <w:p w14:paraId="63771BBE">
      <w:pPr>
        <w:spacing w:line="251" w:lineRule="auto"/>
        <w:rPr>
          <w:rFonts w:ascii="Arial"/>
          <w:sz w:val="21"/>
        </w:rPr>
      </w:pPr>
    </w:p>
    <w:p w14:paraId="2CDC9E42">
      <w:pPr>
        <w:spacing w:line="251" w:lineRule="auto"/>
        <w:rPr>
          <w:rFonts w:ascii="Arial"/>
          <w:sz w:val="21"/>
        </w:rPr>
      </w:pPr>
    </w:p>
    <w:p w14:paraId="6C1BEE0A">
      <w:pPr>
        <w:spacing w:line="252" w:lineRule="auto"/>
        <w:rPr>
          <w:rFonts w:ascii="Arial"/>
          <w:sz w:val="21"/>
        </w:rPr>
      </w:pPr>
    </w:p>
    <w:p w14:paraId="33B9ECFE">
      <w:pPr>
        <w:spacing w:line="252" w:lineRule="auto"/>
        <w:rPr>
          <w:rFonts w:ascii="Arial"/>
          <w:sz w:val="21"/>
        </w:rPr>
      </w:pPr>
    </w:p>
    <w:p w14:paraId="7C0C2F00">
      <w:pPr>
        <w:pStyle w:val="2"/>
        <w:spacing w:before="78" w:line="222" w:lineRule="auto"/>
        <w:ind w:left="13"/>
        <w:rPr>
          <w:sz w:val="24"/>
          <w:szCs w:val="24"/>
        </w:rPr>
      </w:pPr>
      <w:bookmarkStart w:id="95" w:name="bookmark87"/>
      <w:bookmarkEnd w:id="95"/>
      <w:r>
        <w:rPr>
          <w:spacing w:val="-3"/>
          <w:sz w:val="24"/>
          <w:szCs w:val="24"/>
        </w:rPr>
        <w:t>附表十三：授权委托书</w:t>
      </w:r>
    </w:p>
    <w:p w14:paraId="70025559">
      <w:pPr>
        <w:spacing w:line="295" w:lineRule="auto"/>
        <w:rPr>
          <w:rFonts w:ascii="Arial"/>
          <w:sz w:val="21"/>
        </w:rPr>
      </w:pPr>
    </w:p>
    <w:p w14:paraId="7EF61058">
      <w:pPr>
        <w:spacing w:line="295" w:lineRule="auto"/>
        <w:rPr>
          <w:rFonts w:ascii="Arial"/>
          <w:sz w:val="21"/>
        </w:rPr>
      </w:pPr>
    </w:p>
    <w:p w14:paraId="5C9785A1">
      <w:pPr>
        <w:spacing w:line="295" w:lineRule="auto"/>
        <w:rPr>
          <w:rFonts w:ascii="Arial"/>
          <w:sz w:val="21"/>
        </w:rPr>
      </w:pPr>
    </w:p>
    <w:p w14:paraId="7941551F">
      <w:pPr>
        <w:spacing w:line="295" w:lineRule="auto"/>
        <w:rPr>
          <w:rFonts w:ascii="Arial"/>
          <w:sz w:val="21"/>
        </w:rPr>
      </w:pPr>
    </w:p>
    <w:p w14:paraId="7B8A7532">
      <w:pPr>
        <w:pStyle w:val="2"/>
        <w:spacing w:before="91" w:line="223" w:lineRule="auto"/>
        <w:ind w:left="3750"/>
        <w:rPr>
          <w:sz w:val="28"/>
          <w:szCs w:val="28"/>
        </w:rPr>
      </w:pPr>
      <w:r>
        <w:rPr>
          <w:spacing w:val="-2"/>
          <w:sz w:val="28"/>
          <w:szCs w:val="28"/>
        </w:rPr>
        <w:t>授权委托书</w:t>
      </w:r>
    </w:p>
    <w:p w14:paraId="70C63EA8">
      <w:pPr>
        <w:spacing w:line="277" w:lineRule="auto"/>
        <w:rPr>
          <w:rFonts w:ascii="Arial"/>
          <w:sz w:val="21"/>
        </w:rPr>
      </w:pPr>
    </w:p>
    <w:p w14:paraId="2F3931DB">
      <w:pPr>
        <w:spacing w:line="277" w:lineRule="auto"/>
        <w:rPr>
          <w:rFonts w:ascii="Arial"/>
          <w:sz w:val="21"/>
        </w:rPr>
      </w:pPr>
    </w:p>
    <w:p w14:paraId="02E6CE97">
      <w:pPr>
        <w:spacing w:line="277" w:lineRule="auto"/>
        <w:rPr>
          <w:rFonts w:ascii="Arial"/>
          <w:sz w:val="21"/>
        </w:rPr>
      </w:pPr>
    </w:p>
    <w:p w14:paraId="704CC53E">
      <w:pPr>
        <w:spacing w:line="277" w:lineRule="auto"/>
        <w:rPr>
          <w:rFonts w:ascii="Arial"/>
          <w:sz w:val="21"/>
        </w:rPr>
      </w:pPr>
    </w:p>
    <w:p w14:paraId="0714E221">
      <w:pPr>
        <w:spacing w:before="65" w:line="462" w:lineRule="auto"/>
        <w:ind w:firstLine="420"/>
        <w:jc w:val="both"/>
        <w:rPr>
          <w:rFonts w:ascii="宋体" w:hAnsi="宋体" w:eastAsia="宋体" w:cs="宋体"/>
          <w:sz w:val="20"/>
          <w:szCs w:val="20"/>
        </w:rPr>
      </w:pPr>
      <w:r>
        <w:rPr>
          <w:rFonts w:ascii="宋体" w:hAnsi="宋体" w:eastAsia="宋体" w:cs="宋体"/>
          <w:spacing w:val="9"/>
          <w:sz w:val="20"/>
          <w:szCs w:val="20"/>
        </w:rPr>
        <w:t>本人</w:t>
      </w:r>
      <w:r>
        <w:rPr>
          <w:rFonts w:ascii="宋体" w:hAnsi="宋体" w:eastAsia="宋体" w:cs="宋体"/>
          <w:spacing w:val="-85"/>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（姓名）系</w:t>
      </w:r>
      <w:r>
        <w:rPr>
          <w:rFonts w:ascii="宋体" w:hAnsi="宋体" w:eastAsia="宋体" w:cs="宋体"/>
          <w:spacing w:val="-96"/>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（投标人名称）的法定代表人，现委托</w:t>
      </w:r>
      <w:r>
        <w:rPr>
          <w:rFonts w:ascii="宋体" w:hAnsi="宋体" w:eastAsia="宋体" w:cs="宋体"/>
          <w:spacing w:val="-98"/>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（姓名）为我</w:t>
      </w:r>
      <w:r>
        <w:rPr>
          <w:rFonts w:ascii="宋体" w:hAnsi="宋体" w:eastAsia="宋体" w:cs="宋体"/>
          <w:sz w:val="20"/>
          <w:szCs w:val="20"/>
        </w:rPr>
        <w:t>方代理人。代理人根据授权，以我方名义签署、澄清、说明、补正、递交、撤回、修改</w:t>
      </w:r>
      <w:r>
        <w:rPr>
          <w:rFonts w:ascii="宋体" w:hAnsi="宋体" w:eastAsia="宋体" w:cs="宋体"/>
          <w:spacing w:val="-99"/>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（项</w:t>
      </w:r>
      <w:r>
        <w:rPr>
          <w:rFonts w:ascii="宋体" w:hAnsi="宋体" w:eastAsia="宋体" w:cs="宋体"/>
          <w:spacing w:val="10"/>
          <w:sz w:val="20"/>
          <w:szCs w:val="20"/>
        </w:rPr>
        <w:t>目名称</w:t>
      </w:r>
      <w:r>
        <w:rPr>
          <w:rFonts w:ascii="宋体" w:hAnsi="宋体" w:eastAsia="宋体" w:cs="宋体"/>
          <w:spacing w:val="-8"/>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10"/>
          <w:sz w:val="20"/>
          <w:szCs w:val="20"/>
        </w:rPr>
        <w:t>标段名称）施工投标文件、签订合同和处理有关事宜，其法律后果由我方承</w:t>
      </w:r>
      <w:r>
        <w:rPr>
          <w:rFonts w:ascii="宋体" w:hAnsi="宋体" w:eastAsia="宋体" w:cs="宋体"/>
          <w:sz w:val="20"/>
          <w:szCs w:val="20"/>
        </w:rPr>
        <w:t>担。</w:t>
      </w:r>
    </w:p>
    <w:p w14:paraId="3ECC6370">
      <w:pPr>
        <w:spacing w:before="118" w:line="228" w:lineRule="auto"/>
        <w:ind w:left="418"/>
        <w:rPr>
          <w:rFonts w:ascii="宋体" w:hAnsi="宋体" w:eastAsia="宋体" w:cs="宋体"/>
          <w:sz w:val="20"/>
          <w:szCs w:val="20"/>
        </w:rPr>
      </w:pPr>
      <w:r>
        <w:rPr>
          <w:rFonts w:ascii="宋体" w:hAnsi="宋体" w:eastAsia="宋体" w:cs="宋体"/>
          <w:spacing w:val="8"/>
          <w:sz w:val="20"/>
          <w:szCs w:val="20"/>
        </w:rPr>
        <w:t>委托期限：</w:t>
      </w:r>
      <w:r>
        <w:rPr>
          <w:rFonts w:ascii="宋体" w:hAnsi="宋体" w:eastAsia="宋体" w:cs="宋体"/>
          <w:sz w:val="20"/>
          <w:szCs w:val="20"/>
          <w:u w:val="single" w:color="auto"/>
        </w:rPr>
        <w:t xml:space="preserve">                                                             </w:t>
      </w:r>
    </w:p>
    <w:p w14:paraId="5EB757CB">
      <w:pPr>
        <w:spacing w:line="361" w:lineRule="auto"/>
        <w:rPr>
          <w:rFonts w:ascii="Arial"/>
          <w:sz w:val="21"/>
        </w:rPr>
      </w:pPr>
    </w:p>
    <w:p w14:paraId="7B19E31F">
      <w:pPr>
        <w:tabs>
          <w:tab w:val="left" w:pos="7445"/>
        </w:tabs>
        <w:spacing w:before="23" w:line="173" w:lineRule="auto"/>
        <w:ind w:left="146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054E7B1">
      <w:pPr>
        <w:spacing w:line="470" w:lineRule="auto"/>
        <w:rPr>
          <w:rFonts w:ascii="Arial"/>
          <w:sz w:val="21"/>
        </w:rPr>
      </w:pPr>
    </w:p>
    <w:p w14:paraId="74CE7536">
      <w:pPr>
        <w:spacing w:before="65" w:line="228" w:lineRule="auto"/>
        <w:ind w:left="418"/>
        <w:rPr>
          <w:rFonts w:ascii="宋体" w:hAnsi="宋体" w:eastAsia="宋体" w:cs="宋体"/>
          <w:sz w:val="20"/>
          <w:szCs w:val="20"/>
        </w:rPr>
      </w:pPr>
      <w:r>
        <w:rPr>
          <w:rFonts w:ascii="宋体" w:hAnsi="宋体" w:eastAsia="宋体" w:cs="宋体"/>
          <w:spacing w:val="7"/>
          <w:sz w:val="20"/>
          <w:szCs w:val="20"/>
        </w:rPr>
        <w:t>代理人无转委托权。</w:t>
      </w:r>
    </w:p>
    <w:p w14:paraId="2F91E517">
      <w:pPr>
        <w:spacing w:line="427" w:lineRule="auto"/>
        <w:rPr>
          <w:rFonts w:ascii="Arial"/>
          <w:sz w:val="21"/>
        </w:rPr>
      </w:pPr>
    </w:p>
    <w:p w14:paraId="60C7EDAB">
      <w:pPr>
        <w:spacing w:before="65" w:line="227" w:lineRule="auto"/>
        <w:ind w:left="435"/>
        <w:rPr>
          <w:rFonts w:ascii="宋体" w:hAnsi="宋体" w:eastAsia="宋体" w:cs="宋体"/>
          <w:sz w:val="20"/>
          <w:szCs w:val="20"/>
        </w:rPr>
      </w:pPr>
      <w:r>
        <w:rPr>
          <w:rFonts w:ascii="宋体" w:hAnsi="宋体" w:eastAsia="宋体" w:cs="宋体"/>
          <w:spacing w:val="7"/>
          <w:sz w:val="20"/>
          <w:szCs w:val="20"/>
        </w:rPr>
        <w:t>附：法定代表人身份证明</w:t>
      </w:r>
    </w:p>
    <w:p w14:paraId="768662A9">
      <w:pPr>
        <w:spacing w:line="285" w:lineRule="auto"/>
        <w:rPr>
          <w:rFonts w:ascii="Arial"/>
          <w:sz w:val="21"/>
        </w:rPr>
      </w:pPr>
    </w:p>
    <w:p w14:paraId="37115A59">
      <w:pPr>
        <w:spacing w:line="285" w:lineRule="auto"/>
        <w:rPr>
          <w:rFonts w:ascii="Arial"/>
          <w:sz w:val="21"/>
        </w:rPr>
      </w:pPr>
    </w:p>
    <w:p w14:paraId="3C80821E">
      <w:pPr>
        <w:spacing w:line="285" w:lineRule="auto"/>
        <w:rPr>
          <w:rFonts w:ascii="Arial"/>
          <w:sz w:val="21"/>
        </w:rPr>
      </w:pPr>
    </w:p>
    <w:p w14:paraId="4087C5EA">
      <w:pPr>
        <w:spacing w:line="286" w:lineRule="auto"/>
        <w:rPr>
          <w:rFonts w:ascii="Arial"/>
          <w:sz w:val="21"/>
        </w:rPr>
      </w:pPr>
    </w:p>
    <w:p w14:paraId="2A7D7914">
      <w:pPr>
        <w:spacing w:before="66" w:line="227" w:lineRule="auto"/>
        <w:ind w:left="3572"/>
        <w:rPr>
          <w:rFonts w:ascii="宋体" w:hAnsi="宋体" w:eastAsia="宋体" w:cs="宋体"/>
          <w:sz w:val="20"/>
          <w:szCs w:val="20"/>
        </w:rPr>
      </w:pPr>
      <w:r>
        <w:rPr>
          <w:rFonts w:ascii="宋体" w:hAnsi="宋体" w:eastAsia="宋体" w:cs="宋体"/>
          <w:spacing w:val="11"/>
          <w:sz w:val="20"/>
          <w:szCs w:val="20"/>
        </w:rPr>
        <w:t>投  标  人</w:t>
      </w:r>
      <w:r>
        <w:rPr>
          <w:rFonts w:ascii="宋体" w:hAnsi="宋体" w:eastAsia="宋体" w:cs="宋体"/>
          <w:spacing w:val="-1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8"/>
          <w:sz w:val="20"/>
          <w:szCs w:val="20"/>
        </w:rPr>
        <w:t>（</w:t>
      </w:r>
      <w:r>
        <w:rPr>
          <w:rFonts w:ascii="宋体" w:hAnsi="宋体" w:eastAsia="宋体" w:cs="宋体"/>
          <w:spacing w:val="11"/>
          <w:sz w:val="20"/>
          <w:szCs w:val="20"/>
        </w:rPr>
        <w:t>盖单位章）</w:t>
      </w:r>
    </w:p>
    <w:p w14:paraId="28ED3AED">
      <w:pPr>
        <w:spacing w:line="242" w:lineRule="auto"/>
        <w:rPr>
          <w:rFonts w:ascii="Arial"/>
          <w:sz w:val="21"/>
        </w:rPr>
      </w:pPr>
    </w:p>
    <w:p w14:paraId="17986092">
      <w:pPr>
        <w:spacing w:line="242" w:lineRule="auto"/>
        <w:rPr>
          <w:rFonts w:ascii="Arial"/>
          <w:sz w:val="21"/>
        </w:rPr>
      </w:pPr>
    </w:p>
    <w:p w14:paraId="2E1D99C2">
      <w:pPr>
        <w:spacing w:before="66" w:line="228" w:lineRule="auto"/>
        <w:ind w:left="3571"/>
        <w:rPr>
          <w:rFonts w:ascii="宋体" w:hAnsi="宋体" w:eastAsia="宋体" w:cs="宋体"/>
          <w:sz w:val="20"/>
          <w:szCs w:val="20"/>
        </w:rPr>
      </w:pPr>
      <w:r>
        <w:rPr>
          <w:rFonts w:ascii="宋体" w:hAnsi="宋体" w:eastAsia="宋体" w:cs="宋体"/>
          <w:spacing w:val="11"/>
          <w:sz w:val="20"/>
          <w:szCs w:val="20"/>
        </w:rPr>
        <w:t>法定代表人</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签字）</w:t>
      </w:r>
    </w:p>
    <w:p w14:paraId="08190317">
      <w:pPr>
        <w:spacing w:line="243" w:lineRule="auto"/>
        <w:rPr>
          <w:rFonts w:ascii="Arial"/>
          <w:sz w:val="21"/>
        </w:rPr>
      </w:pPr>
    </w:p>
    <w:p w14:paraId="686F830B">
      <w:pPr>
        <w:spacing w:line="243" w:lineRule="auto"/>
        <w:rPr>
          <w:rFonts w:ascii="Arial"/>
          <w:sz w:val="21"/>
        </w:rPr>
      </w:pPr>
    </w:p>
    <w:p w14:paraId="7674816C">
      <w:pPr>
        <w:spacing w:before="65" w:line="228" w:lineRule="auto"/>
        <w:ind w:left="3576"/>
        <w:rPr>
          <w:rFonts w:ascii="宋体" w:hAnsi="宋体" w:eastAsia="宋体" w:cs="宋体"/>
          <w:sz w:val="20"/>
          <w:szCs w:val="20"/>
        </w:rPr>
      </w:pPr>
      <w:r>
        <w:rPr>
          <w:rFonts w:ascii="宋体" w:hAnsi="宋体" w:eastAsia="宋体" w:cs="宋体"/>
          <w:spacing w:val="7"/>
          <w:sz w:val="20"/>
          <w:szCs w:val="20"/>
        </w:rPr>
        <w:t>身份证号码：</w:t>
      </w:r>
      <w:r>
        <w:rPr>
          <w:rFonts w:ascii="宋体" w:hAnsi="宋体" w:eastAsia="宋体" w:cs="宋体"/>
          <w:sz w:val="20"/>
          <w:szCs w:val="20"/>
          <w:u w:val="single" w:color="auto"/>
        </w:rPr>
        <w:t xml:space="preserve">                                     </w:t>
      </w:r>
    </w:p>
    <w:p w14:paraId="2C2EAEB6">
      <w:pPr>
        <w:spacing w:line="242" w:lineRule="auto"/>
        <w:rPr>
          <w:rFonts w:ascii="Arial"/>
          <w:sz w:val="21"/>
        </w:rPr>
      </w:pPr>
    </w:p>
    <w:p w14:paraId="5AB1D768">
      <w:pPr>
        <w:spacing w:line="242" w:lineRule="auto"/>
        <w:rPr>
          <w:rFonts w:ascii="Arial"/>
          <w:sz w:val="21"/>
        </w:rPr>
      </w:pPr>
    </w:p>
    <w:p w14:paraId="30116B0B">
      <w:pPr>
        <w:spacing w:before="65" w:line="228" w:lineRule="auto"/>
        <w:ind w:left="3569"/>
        <w:rPr>
          <w:rFonts w:ascii="宋体" w:hAnsi="宋体" w:eastAsia="宋体" w:cs="宋体"/>
          <w:sz w:val="20"/>
          <w:szCs w:val="20"/>
        </w:rPr>
      </w:pPr>
      <w:r>
        <w:rPr>
          <w:rFonts w:ascii="宋体" w:hAnsi="宋体" w:eastAsia="宋体" w:cs="宋体"/>
          <w:spacing w:val="11"/>
          <w:sz w:val="20"/>
          <w:szCs w:val="20"/>
        </w:rPr>
        <w:t>委托代理人</w:t>
      </w:r>
      <w:r>
        <w:rPr>
          <w:rFonts w:ascii="宋体" w:hAnsi="宋体" w:eastAsia="宋体" w:cs="宋体"/>
          <w:spacing w:val="-4"/>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签字）</w:t>
      </w:r>
    </w:p>
    <w:p w14:paraId="16C5647E">
      <w:pPr>
        <w:spacing w:line="242" w:lineRule="auto"/>
        <w:rPr>
          <w:rFonts w:ascii="Arial"/>
          <w:sz w:val="21"/>
        </w:rPr>
      </w:pPr>
    </w:p>
    <w:p w14:paraId="48BBC0C9">
      <w:pPr>
        <w:spacing w:line="242" w:lineRule="auto"/>
        <w:rPr>
          <w:rFonts w:ascii="Arial"/>
          <w:sz w:val="21"/>
        </w:rPr>
      </w:pPr>
    </w:p>
    <w:p w14:paraId="30C8AB21">
      <w:pPr>
        <w:spacing w:before="66" w:line="228" w:lineRule="auto"/>
        <w:ind w:left="3576"/>
        <w:rPr>
          <w:rFonts w:ascii="宋体" w:hAnsi="宋体" w:eastAsia="宋体" w:cs="宋体"/>
          <w:sz w:val="20"/>
          <w:szCs w:val="20"/>
        </w:rPr>
      </w:pPr>
      <w:r>
        <w:rPr>
          <w:rFonts w:ascii="宋体" w:hAnsi="宋体" w:eastAsia="宋体" w:cs="宋体"/>
          <w:spacing w:val="7"/>
          <w:sz w:val="20"/>
          <w:szCs w:val="20"/>
        </w:rPr>
        <w:t>身份证号码：</w:t>
      </w:r>
      <w:r>
        <w:rPr>
          <w:rFonts w:ascii="宋体" w:hAnsi="宋体" w:eastAsia="宋体" w:cs="宋体"/>
          <w:sz w:val="20"/>
          <w:szCs w:val="20"/>
          <w:u w:val="single" w:color="auto"/>
        </w:rPr>
        <w:t xml:space="preserve">                                     </w:t>
      </w:r>
    </w:p>
    <w:p w14:paraId="1F9FB843">
      <w:pPr>
        <w:spacing w:line="243" w:lineRule="auto"/>
        <w:rPr>
          <w:rFonts w:ascii="Arial"/>
          <w:sz w:val="21"/>
        </w:rPr>
      </w:pPr>
    </w:p>
    <w:p w14:paraId="61FD1906">
      <w:pPr>
        <w:spacing w:line="243" w:lineRule="auto"/>
        <w:rPr>
          <w:rFonts w:ascii="Arial"/>
          <w:sz w:val="21"/>
        </w:rPr>
      </w:pPr>
    </w:p>
    <w:p w14:paraId="1C4021C7">
      <w:pPr>
        <w:tabs>
          <w:tab w:val="left" w:pos="5660"/>
        </w:tabs>
        <w:spacing w:before="65" w:line="228" w:lineRule="auto"/>
        <w:ind w:left="482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2"/>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6063D735">
      <w:pPr>
        <w:spacing w:line="228" w:lineRule="auto"/>
        <w:rPr>
          <w:rFonts w:ascii="宋体" w:hAnsi="宋体" w:eastAsia="宋体" w:cs="宋体"/>
          <w:sz w:val="20"/>
          <w:szCs w:val="20"/>
        </w:rPr>
        <w:sectPr>
          <w:footerReference r:id="rId60" w:type="default"/>
          <w:pgSz w:w="11907" w:h="16840"/>
          <w:pgMar w:top="400" w:right="1531" w:bottom="1035" w:left="1482" w:header="0" w:footer="785" w:gutter="0"/>
          <w:cols w:space="720" w:num="1"/>
        </w:sectPr>
      </w:pPr>
    </w:p>
    <w:p w14:paraId="0613B2B9">
      <w:pPr>
        <w:spacing w:line="245" w:lineRule="auto"/>
        <w:rPr>
          <w:rFonts w:ascii="Arial"/>
          <w:sz w:val="21"/>
        </w:rPr>
      </w:pPr>
    </w:p>
    <w:p w14:paraId="55511C26">
      <w:pPr>
        <w:spacing w:line="245" w:lineRule="auto"/>
        <w:rPr>
          <w:rFonts w:ascii="Arial"/>
          <w:sz w:val="21"/>
        </w:rPr>
      </w:pPr>
    </w:p>
    <w:p w14:paraId="58D3CBA1">
      <w:pPr>
        <w:spacing w:line="245" w:lineRule="auto"/>
        <w:rPr>
          <w:rFonts w:ascii="Arial"/>
          <w:sz w:val="21"/>
        </w:rPr>
      </w:pPr>
    </w:p>
    <w:p w14:paraId="09FEC25C">
      <w:pPr>
        <w:spacing w:line="245" w:lineRule="auto"/>
        <w:rPr>
          <w:rFonts w:ascii="Arial"/>
          <w:sz w:val="21"/>
        </w:rPr>
      </w:pPr>
    </w:p>
    <w:p w14:paraId="0A254FC6">
      <w:pPr>
        <w:spacing w:line="246" w:lineRule="auto"/>
        <w:rPr>
          <w:rFonts w:ascii="Arial"/>
          <w:sz w:val="21"/>
        </w:rPr>
      </w:pPr>
    </w:p>
    <w:p w14:paraId="18402BF3">
      <w:pPr>
        <w:spacing w:line="246" w:lineRule="auto"/>
        <w:rPr>
          <w:rFonts w:ascii="Arial"/>
          <w:sz w:val="21"/>
        </w:rPr>
      </w:pPr>
    </w:p>
    <w:p w14:paraId="2EE6D5A7">
      <w:pPr>
        <w:spacing w:line="246" w:lineRule="auto"/>
        <w:rPr>
          <w:rFonts w:ascii="Arial"/>
          <w:sz w:val="21"/>
        </w:rPr>
      </w:pPr>
    </w:p>
    <w:p w14:paraId="6DC02753">
      <w:pPr>
        <w:spacing w:line="246" w:lineRule="auto"/>
        <w:rPr>
          <w:rFonts w:ascii="Arial"/>
          <w:sz w:val="21"/>
        </w:rPr>
      </w:pPr>
    </w:p>
    <w:p w14:paraId="3F55DF33">
      <w:pPr>
        <w:spacing w:line="246" w:lineRule="auto"/>
        <w:rPr>
          <w:rFonts w:ascii="Arial"/>
          <w:sz w:val="21"/>
        </w:rPr>
      </w:pPr>
    </w:p>
    <w:p w14:paraId="212B9205">
      <w:pPr>
        <w:spacing w:line="246" w:lineRule="auto"/>
        <w:rPr>
          <w:rFonts w:ascii="Arial"/>
          <w:sz w:val="21"/>
        </w:rPr>
      </w:pPr>
    </w:p>
    <w:p w14:paraId="550DC57D">
      <w:pPr>
        <w:spacing w:line="246" w:lineRule="auto"/>
        <w:rPr>
          <w:rFonts w:ascii="Arial"/>
          <w:sz w:val="21"/>
        </w:rPr>
      </w:pPr>
    </w:p>
    <w:p w14:paraId="1466CE84">
      <w:pPr>
        <w:spacing w:line="246" w:lineRule="auto"/>
        <w:rPr>
          <w:rFonts w:ascii="Arial"/>
          <w:sz w:val="21"/>
        </w:rPr>
      </w:pPr>
    </w:p>
    <w:p w14:paraId="00CA5416">
      <w:pPr>
        <w:spacing w:line="246" w:lineRule="auto"/>
        <w:rPr>
          <w:rFonts w:ascii="Arial"/>
          <w:sz w:val="21"/>
        </w:rPr>
      </w:pPr>
    </w:p>
    <w:p w14:paraId="76DA6AB7">
      <w:pPr>
        <w:spacing w:line="246" w:lineRule="auto"/>
        <w:rPr>
          <w:rFonts w:ascii="Arial"/>
          <w:sz w:val="21"/>
        </w:rPr>
      </w:pPr>
    </w:p>
    <w:p w14:paraId="2B2A3B3B">
      <w:pPr>
        <w:spacing w:line="246" w:lineRule="auto"/>
        <w:rPr>
          <w:rFonts w:ascii="Arial"/>
          <w:sz w:val="21"/>
        </w:rPr>
      </w:pPr>
    </w:p>
    <w:p w14:paraId="4AB20CF8">
      <w:pPr>
        <w:spacing w:line="246" w:lineRule="auto"/>
        <w:rPr>
          <w:rFonts w:ascii="Arial"/>
          <w:sz w:val="21"/>
        </w:rPr>
      </w:pPr>
    </w:p>
    <w:p w14:paraId="1AD6D641">
      <w:pPr>
        <w:spacing w:line="246" w:lineRule="auto"/>
        <w:rPr>
          <w:rFonts w:ascii="Arial"/>
          <w:sz w:val="21"/>
        </w:rPr>
      </w:pPr>
    </w:p>
    <w:p w14:paraId="2DB4DA3A">
      <w:pPr>
        <w:pStyle w:val="2"/>
        <w:spacing w:before="101" w:line="226" w:lineRule="auto"/>
        <w:ind w:left="2870"/>
        <w:rPr>
          <w:sz w:val="31"/>
          <w:szCs w:val="31"/>
        </w:rPr>
      </w:pPr>
      <w:r>
        <w:rPr>
          <w:spacing w:val="7"/>
          <w:sz w:val="31"/>
          <w:szCs w:val="31"/>
        </w:rPr>
        <w:t>第三章  评标办法</w:t>
      </w:r>
    </w:p>
    <w:p w14:paraId="259CF386">
      <w:pPr>
        <w:spacing w:line="226" w:lineRule="auto"/>
        <w:rPr>
          <w:sz w:val="31"/>
          <w:szCs w:val="31"/>
        </w:rPr>
        <w:sectPr>
          <w:footerReference r:id="rId61" w:type="default"/>
          <w:pgSz w:w="11907" w:h="16840"/>
          <w:pgMar w:top="400" w:right="1786" w:bottom="1035" w:left="1786" w:header="0" w:footer="785" w:gutter="0"/>
          <w:cols w:space="720" w:num="1"/>
        </w:sectPr>
      </w:pPr>
    </w:p>
    <w:p w14:paraId="410AC081">
      <w:pPr>
        <w:spacing w:line="247" w:lineRule="auto"/>
        <w:rPr>
          <w:rFonts w:ascii="Arial"/>
          <w:sz w:val="21"/>
        </w:rPr>
      </w:pPr>
    </w:p>
    <w:p w14:paraId="19CD476D">
      <w:pPr>
        <w:spacing w:line="248" w:lineRule="auto"/>
        <w:rPr>
          <w:rFonts w:ascii="Arial"/>
          <w:sz w:val="21"/>
        </w:rPr>
      </w:pPr>
    </w:p>
    <w:p w14:paraId="548EC196">
      <w:pPr>
        <w:spacing w:line="248" w:lineRule="auto"/>
        <w:rPr>
          <w:rFonts w:ascii="Arial"/>
          <w:sz w:val="21"/>
        </w:rPr>
      </w:pPr>
    </w:p>
    <w:p w14:paraId="0E4798AC">
      <w:pPr>
        <w:spacing w:line="248" w:lineRule="auto"/>
        <w:rPr>
          <w:rFonts w:ascii="Arial"/>
          <w:sz w:val="21"/>
        </w:rPr>
      </w:pPr>
    </w:p>
    <w:p w14:paraId="7AAE58B3">
      <w:pPr>
        <w:spacing w:line="248" w:lineRule="auto"/>
        <w:rPr>
          <w:rFonts w:ascii="Arial"/>
          <w:sz w:val="21"/>
        </w:rPr>
      </w:pPr>
    </w:p>
    <w:p w14:paraId="2CAB345B">
      <w:pPr>
        <w:pStyle w:val="2"/>
        <w:spacing w:before="101" w:line="226" w:lineRule="auto"/>
        <w:ind w:left="3187"/>
        <w:outlineLvl w:val="0"/>
        <w:rPr>
          <w:sz w:val="31"/>
          <w:szCs w:val="31"/>
        </w:rPr>
      </w:pPr>
      <w:bookmarkStart w:id="96" w:name="bookmark88"/>
      <w:bookmarkEnd w:id="96"/>
      <w:bookmarkStart w:id="97" w:name="bookmark89"/>
      <w:bookmarkEnd w:id="97"/>
      <w:r>
        <w:rPr>
          <w:spacing w:val="7"/>
          <w:sz w:val="31"/>
          <w:szCs w:val="31"/>
        </w:rPr>
        <w:t>第三章  评标办法</w:t>
      </w:r>
    </w:p>
    <w:p w14:paraId="6B4F267D">
      <w:pPr>
        <w:spacing w:line="419" w:lineRule="auto"/>
        <w:rPr>
          <w:rFonts w:ascii="Arial"/>
          <w:sz w:val="21"/>
        </w:rPr>
      </w:pPr>
    </w:p>
    <w:p w14:paraId="05B558D1">
      <w:pPr>
        <w:pStyle w:val="2"/>
        <w:spacing w:before="91" w:line="222" w:lineRule="auto"/>
        <w:ind w:left="14"/>
        <w:outlineLvl w:val="1"/>
        <w:rPr>
          <w:sz w:val="28"/>
          <w:szCs w:val="28"/>
        </w:rPr>
      </w:pPr>
      <w:bookmarkStart w:id="98" w:name="bookmark455"/>
      <w:bookmarkEnd w:id="98"/>
      <w:r>
        <w:rPr>
          <w:spacing w:val="1"/>
          <w:sz w:val="28"/>
          <w:szCs w:val="28"/>
        </w:rPr>
        <w:t>评标办法前附表（办法一</w:t>
      </w:r>
      <w:r>
        <w:rPr>
          <w:spacing w:val="-55"/>
          <w:w w:val="89"/>
          <w:sz w:val="28"/>
          <w:szCs w:val="28"/>
        </w:rPr>
        <w:t>）（</w:t>
      </w:r>
      <w:r>
        <w:rPr>
          <w:spacing w:val="1"/>
          <w:sz w:val="28"/>
          <w:szCs w:val="28"/>
        </w:rPr>
        <w:t>综合评估法）</w:t>
      </w:r>
    </w:p>
    <w:p w14:paraId="3F5ADDD3">
      <w:pPr>
        <w:spacing w:before="106"/>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24985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03" w:type="dxa"/>
            <w:gridSpan w:val="2"/>
            <w:vAlign w:val="top"/>
          </w:tcPr>
          <w:p w14:paraId="4431F471">
            <w:pPr>
              <w:pStyle w:val="6"/>
              <w:spacing w:before="126" w:line="228" w:lineRule="auto"/>
              <w:ind w:left="592"/>
            </w:pPr>
            <w:r>
              <w:rPr>
                <w:b/>
                <w:bCs/>
                <w:spacing w:val="5"/>
              </w:rPr>
              <w:t>条款号</w:t>
            </w:r>
          </w:p>
        </w:tc>
        <w:tc>
          <w:tcPr>
            <w:tcW w:w="2339" w:type="dxa"/>
            <w:vAlign w:val="top"/>
          </w:tcPr>
          <w:p w14:paraId="155A46E7">
            <w:pPr>
              <w:pStyle w:val="6"/>
              <w:spacing w:before="126" w:line="228" w:lineRule="auto"/>
              <w:ind w:left="752"/>
            </w:pPr>
            <w:r>
              <w:rPr>
                <w:b/>
                <w:bCs/>
                <w:spacing w:val="6"/>
              </w:rPr>
              <w:t>评审因素</w:t>
            </w:r>
          </w:p>
        </w:tc>
        <w:tc>
          <w:tcPr>
            <w:tcW w:w="5042" w:type="dxa"/>
            <w:vAlign w:val="top"/>
          </w:tcPr>
          <w:p w14:paraId="5114ABB1">
            <w:pPr>
              <w:pStyle w:val="6"/>
              <w:spacing w:before="126" w:line="228" w:lineRule="auto"/>
              <w:ind w:left="2102"/>
            </w:pPr>
            <w:r>
              <w:rPr>
                <w:b/>
                <w:bCs/>
                <w:spacing w:val="6"/>
              </w:rPr>
              <w:t>评审标准</w:t>
            </w:r>
          </w:p>
        </w:tc>
      </w:tr>
      <w:tr w14:paraId="6A1B2A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3EFE4DF0">
            <w:pPr>
              <w:spacing w:line="258" w:lineRule="auto"/>
              <w:rPr>
                <w:rFonts w:ascii="Arial"/>
                <w:sz w:val="21"/>
              </w:rPr>
            </w:pPr>
          </w:p>
          <w:p w14:paraId="4368BB40">
            <w:pPr>
              <w:spacing w:line="258" w:lineRule="auto"/>
              <w:rPr>
                <w:rFonts w:ascii="Arial"/>
                <w:sz w:val="21"/>
              </w:rPr>
            </w:pPr>
          </w:p>
          <w:p w14:paraId="6EDE140D">
            <w:pPr>
              <w:spacing w:line="258" w:lineRule="auto"/>
              <w:rPr>
                <w:rFonts w:ascii="Arial"/>
                <w:sz w:val="21"/>
              </w:rPr>
            </w:pPr>
          </w:p>
          <w:p w14:paraId="4DB1B34D">
            <w:pPr>
              <w:spacing w:line="258" w:lineRule="auto"/>
              <w:rPr>
                <w:rFonts w:ascii="Arial"/>
                <w:sz w:val="21"/>
              </w:rPr>
            </w:pPr>
          </w:p>
          <w:p w14:paraId="75CFD219">
            <w:pPr>
              <w:spacing w:line="258" w:lineRule="auto"/>
              <w:rPr>
                <w:rFonts w:ascii="Arial"/>
                <w:sz w:val="21"/>
              </w:rPr>
            </w:pPr>
          </w:p>
          <w:p w14:paraId="63A063E3">
            <w:pPr>
              <w:spacing w:line="258" w:lineRule="auto"/>
              <w:rPr>
                <w:rFonts w:ascii="Arial"/>
                <w:sz w:val="21"/>
              </w:rPr>
            </w:pPr>
          </w:p>
          <w:p w14:paraId="0F419C74">
            <w:pPr>
              <w:spacing w:line="258" w:lineRule="auto"/>
              <w:rPr>
                <w:rFonts w:ascii="Arial"/>
                <w:sz w:val="21"/>
              </w:rPr>
            </w:pPr>
          </w:p>
          <w:p w14:paraId="5F1EBC93">
            <w:pPr>
              <w:spacing w:line="258" w:lineRule="auto"/>
              <w:rPr>
                <w:rFonts w:ascii="Arial"/>
                <w:sz w:val="21"/>
              </w:rPr>
            </w:pPr>
          </w:p>
          <w:p w14:paraId="480AD077">
            <w:pPr>
              <w:spacing w:line="258" w:lineRule="auto"/>
              <w:rPr>
                <w:rFonts w:ascii="Arial"/>
                <w:sz w:val="21"/>
              </w:rPr>
            </w:pPr>
          </w:p>
          <w:p w14:paraId="434A5ADD">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0F650A80">
            <w:pPr>
              <w:spacing w:line="243" w:lineRule="auto"/>
              <w:rPr>
                <w:rFonts w:ascii="Arial"/>
                <w:sz w:val="21"/>
              </w:rPr>
            </w:pPr>
          </w:p>
          <w:p w14:paraId="5E871F3D">
            <w:pPr>
              <w:spacing w:line="243" w:lineRule="auto"/>
              <w:rPr>
                <w:rFonts w:ascii="Arial"/>
                <w:sz w:val="21"/>
              </w:rPr>
            </w:pPr>
          </w:p>
          <w:p w14:paraId="02BD3E76">
            <w:pPr>
              <w:spacing w:line="243" w:lineRule="auto"/>
              <w:rPr>
                <w:rFonts w:ascii="Arial"/>
                <w:sz w:val="21"/>
              </w:rPr>
            </w:pPr>
          </w:p>
          <w:p w14:paraId="419A3AC1">
            <w:pPr>
              <w:spacing w:line="243" w:lineRule="auto"/>
              <w:rPr>
                <w:rFonts w:ascii="Arial"/>
                <w:sz w:val="21"/>
              </w:rPr>
            </w:pPr>
          </w:p>
          <w:p w14:paraId="04CF58DF">
            <w:pPr>
              <w:spacing w:line="244" w:lineRule="auto"/>
              <w:rPr>
                <w:rFonts w:ascii="Arial"/>
                <w:sz w:val="21"/>
              </w:rPr>
            </w:pPr>
          </w:p>
          <w:p w14:paraId="06D6300A">
            <w:pPr>
              <w:spacing w:line="244" w:lineRule="auto"/>
              <w:rPr>
                <w:rFonts w:ascii="Arial"/>
                <w:sz w:val="21"/>
              </w:rPr>
            </w:pPr>
          </w:p>
          <w:p w14:paraId="6500CA14">
            <w:pPr>
              <w:spacing w:line="244" w:lineRule="auto"/>
              <w:rPr>
                <w:rFonts w:ascii="Arial"/>
                <w:sz w:val="21"/>
              </w:rPr>
            </w:pPr>
          </w:p>
          <w:p w14:paraId="2150E172">
            <w:pPr>
              <w:spacing w:line="244" w:lineRule="auto"/>
              <w:rPr>
                <w:rFonts w:ascii="Arial"/>
                <w:sz w:val="21"/>
              </w:rPr>
            </w:pPr>
          </w:p>
          <w:p w14:paraId="3565DA9A">
            <w:pPr>
              <w:pStyle w:val="6"/>
              <w:spacing w:before="66" w:line="253" w:lineRule="auto"/>
              <w:ind w:left="322" w:right="320" w:firstLine="3"/>
              <w:jc w:val="both"/>
            </w:pPr>
            <w:r>
              <w:rPr>
                <w:spacing w:val="3"/>
              </w:rPr>
              <w:t>形式</w:t>
            </w:r>
            <w:r>
              <w:rPr>
                <w:spacing w:val="5"/>
              </w:rPr>
              <w:t>评审标准</w:t>
            </w:r>
          </w:p>
        </w:tc>
        <w:tc>
          <w:tcPr>
            <w:tcW w:w="2339" w:type="dxa"/>
            <w:vAlign w:val="top"/>
          </w:tcPr>
          <w:p w14:paraId="7233D22C">
            <w:pPr>
              <w:pStyle w:val="6"/>
              <w:spacing w:before="121" w:line="228" w:lineRule="auto"/>
              <w:ind w:left="115"/>
            </w:pPr>
            <w:r>
              <w:rPr>
                <w:spacing w:val="6"/>
              </w:rPr>
              <w:t>投标文件</w:t>
            </w:r>
          </w:p>
        </w:tc>
        <w:tc>
          <w:tcPr>
            <w:tcW w:w="5042" w:type="dxa"/>
            <w:vAlign w:val="top"/>
          </w:tcPr>
          <w:p w14:paraId="69411E25">
            <w:pPr>
              <w:pStyle w:val="6"/>
              <w:spacing w:before="121" w:line="228" w:lineRule="auto"/>
              <w:ind w:left="116"/>
            </w:pPr>
            <w:r>
              <w:rPr>
                <w:spacing w:val="8"/>
              </w:rPr>
              <w:t>投标文件能正常打开</w:t>
            </w:r>
          </w:p>
        </w:tc>
      </w:tr>
      <w:tr w14:paraId="029726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F028F88">
            <w:pPr>
              <w:rPr>
                <w:rFonts w:ascii="Arial"/>
                <w:sz w:val="21"/>
              </w:rPr>
            </w:pPr>
          </w:p>
        </w:tc>
        <w:tc>
          <w:tcPr>
            <w:tcW w:w="1058" w:type="dxa"/>
            <w:vMerge w:val="continue"/>
            <w:tcBorders>
              <w:top w:val="nil"/>
              <w:bottom w:val="nil"/>
            </w:tcBorders>
            <w:vAlign w:val="top"/>
          </w:tcPr>
          <w:p w14:paraId="7953F279">
            <w:pPr>
              <w:rPr>
                <w:rFonts w:ascii="Arial"/>
                <w:sz w:val="21"/>
              </w:rPr>
            </w:pPr>
          </w:p>
        </w:tc>
        <w:tc>
          <w:tcPr>
            <w:tcW w:w="2339" w:type="dxa"/>
            <w:vAlign w:val="top"/>
          </w:tcPr>
          <w:p w14:paraId="1FD2B964">
            <w:pPr>
              <w:pStyle w:val="6"/>
              <w:spacing w:before="121" w:line="228" w:lineRule="auto"/>
              <w:ind w:left="115"/>
            </w:pPr>
            <w:r>
              <w:rPr>
                <w:spacing w:val="7"/>
              </w:rPr>
              <w:t>投标人名称</w:t>
            </w:r>
          </w:p>
        </w:tc>
        <w:tc>
          <w:tcPr>
            <w:tcW w:w="5042" w:type="dxa"/>
            <w:vAlign w:val="top"/>
          </w:tcPr>
          <w:p w14:paraId="554C8E65">
            <w:pPr>
              <w:pStyle w:val="6"/>
              <w:spacing w:before="120" w:line="227" w:lineRule="auto"/>
              <w:ind w:left="117"/>
            </w:pPr>
            <w:r>
              <w:rPr>
                <w:spacing w:val="9"/>
              </w:rPr>
              <w:t>与营业执照、资质证书、安全生产许可证一致</w:t>
            </w:r>
          </w:p>
        </w:tc>
      </w:tr>
      <w:tr w14:paraId="4B27B0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8711907">
            <w:pPr>
              <w:rPr>
                <w:rFonts w:ascii="Arial"/>
                <w:sz w:val="21"/>
              </w:rPr>
            </w:pPr>
          </w:p>
        </w:tc>
        <w:tc>
          <w:tcPr>
            <w:tcW w:w="1058" w:type="dxa"/>
            <w:vMerge w:val="continue"/>
            <w:tcBorders>
              <w:top w:val="nil"/>
              <w:bottom w:val="nil"/>
            </w:tcBorders>
            <w:vAlign w:val="top"/>
          </w:tcPr>
          <w:p w14:paraId="667A529E">
            <w:pPr>
              <w:rPr>
                <w:rFonts w:ascii="Arial"/>
                <w:sz w:val="21"/>
              </w:rPr>
            </w:pPr>
          </w:p>
        </w:tc>
        <w:tc>
          <w:tcPr>
            <w:tcW w:w="2339" w:type="dxa"/>
            <w:vAlign w:val="top"/>
          </w:tcPr>
          <w:p w14:paraId="010CE342">
            <w:pPr>
              <w:pStyle w:val="6"/>
              <w:spacing w:before="122" w:line="227" w:lineRule="auto"/>
              <w:ind w:left="115"/>
            </w:pPr>
            <w:r>
              <w:rPr>
                <w:spacing w:val="8"/>
              </w:rPr>
              <w:t>投标文件签字盖章</w:t>
            </w:r>
          </w:p>
        </w:tc>
        <w:tc>
          <w:tcPr>
            <w:tcW w:w="5042" w:type="dxa"/>
            <w:vAlign w:val="top"/>
          </w:tcPr>
          <w:p w14:paraId="6F105460">
            <w:pPr>
              <w:pStyle w:val="6"/>
              <w:spacing w:before="122"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77F6F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52512509">
            <w:pPr>
              <w:rPr>
                <w:rFonts w:ascii="Arial"/>
                <w:sz w:val="21"/>
              </w:rPr>
            </w:pPr>
          </w:p>
        </w:tc>
        <w:tc>
          <w:tcPr>
            <w:tcW w:w="1058" w:type="dxa"/>
            <w:vMerge w:val="continue"/>
            <w:tcBorders>
              <w:top w:val="nil"/>
              <w:bottom w:val="nil"/>
            </w:tcBorders>
            <w:vAlign w:val="top"/>
          </w:tcPr>
          <w:p w14:paraId="4260398C">
            <w:pPr>
              <w:rPr>
                <w:rFonts w:ascii="Arial"/>
                <w:sz w:val="21"/>
              </w:rPr>
            </w:pPr>
          </w:p>
        </w:tc>
        <w:tc>
          <w:tcPr>
            <w:tcW w:w="2339" w:type="dxa"/>
            <w:vAlign w:val="top"/>
          </w:tcPr>
          <w:p w14:paraId="4F2555C9">
            <w:pPr>
              <w:pStyle w:val="6"/>
              <w:spacing w:before="166" w:line="228" w:lineRule="auto"/>
              <w:ind w:left="115"/>
            </w:pPr>
            <w:r>
              <w:rPr>
                <w:spacing w:val="4"/>
              </w:rPr>
              <w:t>投标文件格式、</w:t>
            </w:r>
            <w:r>
              <w:rPr>
                <w:spacing w:val="-59"/>
              </w:rPr>
              <w:t xml:space="preserve"> </w:t>
            </w:r>
            <w:r>
              <w:rPr>
                <w:spacing w:val="4"/>
              </w:rPr>
              <w:t>内容</w:t>
            </w:r>
          </w:p>
        </w:tc>
        <w:tc>
          <w:tcPr>
            <w:tcW w:w="5042" w:type="dxa"/>
            <w:vAlign w:val="top"/>
          </w:tcPr>
          <w:p w14:paraId="51BA6C87">
            <w:pPr>
              <w:pStyle w:val="6"/>
              <w:spacing w:before="29" w:line="235"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2C71F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9366BE8">
            <w:pPr>
              <w:rPr>
                <w:rFonts w:ascii="Arial"/>
                <w:sz w:val="21"/>
              </w:rPr>
            </w:pPr>
          </w:p>
        </w:tc>
        <w:tc>
          <w:tcPr>
            <w:tcW w:w="1058" w:type="dxa"/>
            <w:vMerge w:val="continue"/>
            <w:tcBorders>
              <w:top w:val="nil"/>
              <w:bottom w:val="nil"/>
            </w:tcBorders>
            <w:vAlign w:val="top"/>
          </w:tcPr>
          <w:p w14:paraId="2E0FFFDD">
            <w:pPr>
              <w:rPr>
                <w:rFonts w:ascii="Arial"/>
                <w:sz w:val="21"/>
              </w:rPr>
            </w:pPr>
          </w:p>
        </w:tc>
        <w:tc>
          <w:tcPr>
            <w:tcW w:w="2339" w:type="dxa"/>
            <w:vAlign w:val="top"/>
          </w:tcPr>
          <w:p w14:paraId="05C664D7">
            <w:pPr>
              <w:pStyle w:val="6"/>
              <w:spacing w:before="122" w:line="228" w:lineRule="auto"/>
              <w:ind w:left="113"/>
            </w:pPr>
            <w:r>
              <w:rPr>
                <w:spacing w:val="7"/>
              </w:rPr>
              <w:t>联合体投标人（如有）</w:t>
            </w:r>
          </w:p>
        </w:tc>
        <w:tc>
          <w:tcPr>
            <w:tcW w:w="5042" w:type="dxa"/>
            <w:vAlign w:val="top"/>
          </w:tcPr>
          <w:p w14:paraId="3C44182C">
            <w:pPr>
              <w:pStyle w:val="6"/>
              <w:spacing w:before="121" w:line="227" w:lineRule="auto"/>
              <w:ind w:left="114"/>
            </w:pPr>
            <w:r>
              <w:rPr>
                <w:spacing w:val="9"/>
              </w:rPr>
              <w:t>提交联合体协议书，并明确联合体牵头人</w:t>
            </w:r>
          </w:p>
        </w:tc>
      </w:tr>
      <w:tr w14:paraId="282E2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052A5690">
            <w:pPr>
              <w:rPr>
                <w:rFonts w:ascii="Arial"/>
                <w:sz w:val="21"/>
              </w:rPr>
            </w:pPr>
          </w:p>
        </w:tc>
        <w:tc>
          <w:tcPr>
            <w:tcW w:w="1058" w:type="dxa"/>
            <w:vMerge w:val="continue"/>
            <w:tcBorders>
              <w:top w:val="nil"/>
              <w:bottom w:val="nil"/>
            </w:tcBorders>
            <w:vAlign w:val="top"/>
          </w:tcPr>
          <w:p w14:paraId="5C7D654B">
            <w:pPr>
              <w:rPr>
                <w:rFonts w:ascii="Arial"/>
                <w:sz w:val="21"/>
              </w:rPr>
            </w:pPr>
          </w:p>
        </w:tc>
        <w:tc>
          <w:tcPr>
            <w:tcW w:w="2339" w:type="dxa"/>
            <w:vAlign w:val="top"/>
          </w:tcPr>
          <w:p w14:paraId="10F1B9BF">
            <w:pPr>
              <w:pStyle w:val="6"/>
              <w:spacing w:before="167" w:line="226" w:lineRule="auto"/>
              <w:ind w:left="110"/>
            </w:pPr>
            <w:r>
              <w:rPr>
                <w:spacing w:val="8"/>
              </w:rPr>
              <w:t>报价唯一</w:t>
            </w:r>
          </w:p>
        </w:tc>
        <w:tc>
          <w:tcPr>
            <w:tcW w:w="5042" w:type="dxa"/>
            <w:vAlign w:val="top"/>
          </w:tcPr>
          <w:p w14:paraId="33BA16E7">
            <w:pPr>
              <w:pStyle w:val="6"/>
              <w:spacing w:before="32" w:line="234" w:lineRule="auto"/>
              <w:ind w:left="114" w:right="109" w:firstLine="11"/>
            </w:pPr>
            <w:r>
              <w:rPr>
                <w:spacing w:val="18"/>
              </w:rPr>
              <w:t>只能有一个有效报价（指投标函中的大写投标总报</w:t>
            </w:r>
            <w:r>
              <w:t>价）</w:t>
            </w:r>
          </w:p>
        </w:tc>
      </w:tr>
      <w:tr w14:paraId="3B3AD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FE440A7">
            <w:pPr>
              <w:rPr>
                <w:rFonts w:ascii="Arial"/>
                <w:sz w:val="21"/>
              </w:rPr>
            </w:pPr>
          </w:p>
        </w:tc>
        <w:tc>
          <w:tcPr>
            <w:tcW w:w="1058" w:type="dxa"/>
            <w:vMerge w:val="continue"/>
            <w:tcBorders>
              <w:top w:val="nil"/>
              <w:bottom w:val="nil"/>
            </w:tcBorders>
            <w:vAlign w:val="top"/>
          </w:tcPr>
          <w:p w14:paraId="7A618FAA">
            <w:pPr>
              <w:rPr>
                <w:rFonts w:ascii="Arial"/>
                <w:sz w:val="21"/>
              </w:rPr>
            </w:pPr>
          </w:p>
        </w:tc>
        <w:tc>
          <w:tcPr>
            <w:tcW w:w="2339" w:type="dxa"/>
            <w:vAlign w:val="top"/>
          </w:tcPr>
          <w:p w14:paraId="26B434D2">
            <w:pPr>
              <w:pStyle w:val="6"/>
              <w:spacing w:before="179" w:line="228" w:lineRule="auto"/>
              <w:ind w:left="122"/>
            </w:pPr>
            <w:r>
              <w:rPr>
                <w:spacing w:val="6"/>
              </w:rPr>
              <w:t>多标段投标</w:t>
            </w:r>
          </w:p>
        </w:tc>
        <w:tc>
          <w:tcPr>
            <w:tcW w:w="5042" w:type="dxa"/>
            <w:vAlign w:val="top"/>
          </w:tcPr>
          <w:p w14:paraId="4052D943">
            <w:pPr>
              <w:pStyle w:val="6"/>
              <w:spacing w:before="179"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615C63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5DA49D8">
            <w:pPr>
              <w:rPr>
                <w:rFonts w:ascii="Arial"/>
                <w:sz w:val="21"/>
              </w:rPr>
            </w:pPr>
          </w:p>
        </w:tc>
        <w:tc>
          <w:tcPr>
            <w:tcW w:w="1058" w:type="dxa"/>
            <w:vMerge w:val="continue"/>
            <w:tcBorders>
              <w:top w:val="nil"/>
              <w:bottom w:val="nil"/>
            </w:tcBorders>
            <w:vAlign w:val="top"/>
          </w:tcPr>
          <w:p w14:paraId="75495D4C">
            <w:pPr>
              <w:rPr>
                <w:rFonts w:ascii="Arial"/>
                <w:sz w:val="21"/>
              </w:rPr>
            </w:pPr>
          </w:p>
        </w:tc>
        <w:tc>
          <w:tcPr>
            <w:tcW w:w="2339" w:type="dxa"/>
            <w:vAlign w:val="top"/>
          </w:tcPr>
          <w:p w14:paraId="56FDFBCB">
            <w:pPr>
              <w:pStyle w:val="6"/>
              <w:spacing w:before="122" w:line="228" w:lineRule="auto"/>
              <w:ind w:left="102"/>
            </w:pPr>
            <w:r>
              <w:rPr>
                <w:spacing w:val="22"/>
              </w:rPr>
              <w:t>“技术暗标</w:t>
            </w:r>
            <w:r>
              <w:rPr>
                <w:spacing w:val="-70"/>
              </w:rPr>
              <w:t xml:space="preserve"> </w:t>
            </w:r>
            <w:r>
              <w:rPr>
                <w:spacing w:val="22"/>
              </w:rPr>
              <w:t>”</w:t>
            </w:r>
          </w:p>
        </w:tc>
        <w:tc>
          <w:tcPr>
            <w:tcW w:w="5042" w:type="dxa"/>
            <w:vAlign w:val="top"/>
          </w:tcPr>
          <w:p w14:paraId="04AD50FA">
            <w:pPr>
              <w:pStyle w:val="6"/>
              <w:spacing w:before="123"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5E7778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CC9998B">
            <w:pPr>
              <w:rPr>
                <w:rFonts w:ascii="Arial"/>
                <w:sz w:val="21"/>
              </w:rPr>
            </w:pPr>
          </w:p>
        </w:tc>
        <w:tc>
          <w:tcPr>
            <w:tcW w:w="1058" w:type="dxa"/>
            <w:vMerge w:val="continue"/>
            <w:tcBorders>
              <w:top w:val="nil"/>
              <w:bottom w:val="nil"/>
            </w:tcBorders>
            <w:vAlign w:val="top"/>
          </w:tcPr>
          <w:p w14:paraId="05D3850B">
            <w:pPr>
              <w:rPr>
                <w:rFonts w:ascii="Arial"/>
                <w:sz w:val="21"/>
              </w:rPr>
            </w:pPr>
          </w:p>
        </w:tc>
        <w:tc>
          <w:tcPr>
            <w:tcW w:w="2339" w:type="dxa"/>
            <w:vAlign w:val="top"/>
          </w:tcPr>
          <w:p w14:paraId="5A18A76E">
            <w:pPr>
              <w:pStyle w:val="6"/>
              <w:spacing w:before="122" w:line="228" w:lineRule="auto"/>
              <w:ind w:left="115"/>
            </w:pPr>
            <w:r>
              <w:rPr>
                <w:spacing w:val="6"/>
              </w:rPr>
              <w:t>项目经理</w:t>
            </w:r>
          </w:p>
        </w:tc>
        <w:tc>
          <w:tcPr>
            <w:tcW w:w="5042" w:type="dxa"/>
            <w:vAlign w:val="top"/>
          </w:tcPr>
          <w:p w14:paraId="0C081A9C">
            <w:pPr>
              <w:pStyle w:val="6"/>
              <w:spacing w:before="122" w:line="228" w:lineRule="auto"/>
              <w:ind w:left="116"/>
            </w:pPr>
            <w:r>
              <w:rPr>
                <w:spacing w:val="9"/>
              </w:rPr>
              <w:t>未更换通过资格预审的项目经理</w:t>
            </w:r>
          </w:p>
        </w:tc>
      </w:tr>
      <w:tr w14:paraId="1303B9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6D58F48B">
            <w:pPr>
              <w:rPr>
                <w:rFonts w:ascii="Arial"/>
                <w:sz w:val="21"/>
              </w:rPr>
            </w:pPr>
          </w:p>
        </w:tc>
        <w:tc>
          <w:tcPr>
            <w:tcW w:w="1058" w:type="dxa"/>
            <w:vMerge w:val="continue"/>
            <w:tcBorders>
              <w:top w:val="nil"/>
            </w:tcBorders>
            <w:vAlign w:val="top"/>
          </w:tcPr>
          <w:p w14:paraId="66AD53A0">
            <w:pPr>
              <w:rPr>
                <w:rFonts w:ascii="Arial"/>
                <w:sz w:val="21"/>
              </w:rPr>
            </w:pPr>
          </w:p>
        </w:tc>
        <w:tc>
          <w:tcPr>
            <w:tcW w:w="2339" w:type="dxa"/>
            <w:vAlign w:val="top"/>
          </w:tcPr>
          <w:p w14:paraId="29D8CC5A">
            <w:pPr>
              <w:pStyle w:val="6"/>
              <w:spacing w:before="121" w:line="228" w:lineRule="auto"/>
              <w:ind w:left="121"/>
            </w:pPr>
            <w:r>
              <w:rPr>
                <w:spacing w:val="6"/>
              </w:rPr>
              <w:t>资格条件变化</w:t>
            </w:r>
          </w:p>
        </w:tc>
        <w:tc>
          <w:tcPr>
            <w:tcW w:w="5042" w:type="dxa"/>
            <w:vAlign w:val="top"/>
          </w:tcPr>
          <w:p w14:paraId="00B1AE7F">
            <w:pPr>
              <w:pStyle w:val="6"/>
              <w:spacing w:before="121" w:line="228" w:lineRule="auto"/>
              <w:ind w:left="116"/>
            </w:pPr>
            <w:r>
              <w:rPr>
                <w:spacing w:val="9"/>
              </w:rPr>
              <w:t>投标函中有资格条件是否变化的声明</w:t>
            </w:r>
          </w:p>
        </w:tc>
      </w:tr>
      <w:tr w14:paraId="510DBA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8" w:hRule="atLeast"/>
        </w:trPr>
        <w:tc>
          <w:tcPr>
            <w:tcW w:w="745" w:type="dxa"/>
            <w:vAlign w:val="top"/>
          </w:tcPr>
          <w:p w14:paraId="5175FF9D">
            <w:pPr>
              <w:spacing w:line="283" w:lineRule="auto"/>
              <w:rPr>
                <w:rFonts w:ascii="Arial"/>
                <w:sz w:val="21"/>
              </w:rPr>
            </w:pPr>
          </w:p>
          <w:p w14:paraId="28648F4B">
            <w:pPr>
              <w:spacing w:line="283" w:lineRule="auto"/>
              <w:rPr>
                <w:rFonts w:ascii="Arial"/>
                <w:sz w:val="21"/>
              </w:rPr>
            </w:pPr>
          </w:p>
          <w:p w14:paraId="0AF5E0B7">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7F114B25">
            <w:pPr>
              <w:pStyle w:val="6"/>
              <w:spacing w:before="122" w:line="228" w:lineRule="auto"/>
              <w:ind w:left="332"/>
            </w:pPr>
            <w:r>
              <w:t>资格</w:t>
            </w:r>
          </w:p>
          <w:p w14:paraId="7464C634">
            <w:pPr>
              <w:pStyle w:val="6"/>
              <w:spacing w:before="27" w:line="228" w:lineRule="auto"/>
              <w:ind w:left="322"/>
            </w:pPr>
            <w:r>
              <w:rPr>
                <w:spacing w:val="5"/>
              </w:rPr>
              <w:t>评审</w:t>
            </w:r>
          </w:p>
          <w:p w14:paraId="169501DA">
            <w:pPr>
              <w:pStyle w:val="6"/>
              <w:spacing w:before="24" w:line="254" w:lineRule="auto"/>
              <w:ind w:left="122" w:right="129" w:firstLine="201"/>
            </w:pPr>
            <w:r>
              <w:rPr>
                <w:spacing w:val="4"/>
              </w:rPr>
              <w:t>标准</w:t>
            </w:r>
            <w:r>
              <w:t>（预审）</w:t>
            </w:r>
          </w:p>
        </w:tc>
        <w:tc>
          <w:tcPr>
            <w:tcW w:w="2339" w:type="dxa"/>
            <w:vAlign w:val="top"/>
          </w:tcPr>
          <w:p w14:paraId="1C09B791">
            <w:pPr>
              <w:spacing w:line="261" w:lineRule="auto"/>
              <w:rPr>
                <w:rFonts w:ascii="Arial"/>
                <w:sz w:val="21"/>
              </w:rPr>
            </w:pPr>
          </w:p>
          <w:p w14:paraId="106D2851">
            <w:pPr>
              <w:spacing w:line="261" w:lineRule="auto"/>
              <w:rPr>
                <w:rFonts w:ascii="Arial"/>
                <w:sz w:val="21"/>
              </w:rPr>
            </w:pPr>
          </w:p>
          <w:p w14:paraId="39AA2072">
            <w:pPr>
              <w:pStyle w:val="6"/>
              <w:spacing w:before="65" w:line="227" w:lineRule="auto"/>
              <w:ind w:left="115"/>
            </w:pPr>
            <w:r>
              <w:rPr>
                <w:spacing w:val="8"/>
              </w:rPr>
              <w:t>见本标段资格预审文件</w:t>
            </w:r>
          </w:p>
        </w:tc>
        <w:tc>
          <w:tcPr>
            <w:tcW w:w="5042" w:type="dxa"/>
            <w:vAlign w:val="top"/>
          </w:tcPr>
          <w:p w14:paraId="607C1813">
            <w:pPr>
              <w:spacing w:line="330" w:lineRule="auto"/>
              <w:rPr>
                <w:rFonts w:ascii="Arial"/>
                <w:sz w:val="21"/>
              </w:rPr>
            </w:pPr>
          </w:p>
          <w:p w14:paraId="6A8CFFED">
            <w:pPr>
              <w:pStyle w:val="6"/>
              <w:spacing w:before="65" w:line="251" w:lineRule="auto"/>
              <w:ind w:left="123" w:right="107" w:hanging="8"/>
            </w:pPr>
            <w:r>
              <w:rPr>
                <w:spacing w:val="8"/>
              </w:rPr>
              <w:t>符合本标段资格预审文件第三章“资格审查办法</w:t>
            </w:r>
            <w:r>
              <w:rPr>
                <w:spacing w:val="-70"/>
              </w:rPr>
              <w:t xml:space="preserve"> </w:t>
            </w:r>
            <w:r>
              <w:rPr>
                <w:spacing w:val="8"/>
              </w:rPr>
              <w:t>”的审查标准并且不影响本次招标的公正性。</w:t>
            </w:r>
          </w:p>
        </w:tc>
      </w:tr>
      <w:tr w14:paraId="59C85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745" w:type="dxa"/>
            <w:vMerge w:val="restart"/>
            <w:tcBorders>
              <w:bottom w:val="nil"/>
            </w:tcBorders>
            <w:vAlign w:val="top"/>
          </w:tcPr>
          <w:p w14:paraId="32732CFB">
            <w:pPr>
              <w:spacing w:line="243" w:lineRule="auto"/>
              <w:rPr>
                <w:rFonts w:ascii="Arial"/>
                <w:sz w:val="21"/>
              </w:rPr>
            </w:pPr>
          </w:p>
          <w:p w14:paraId="2D8F80A0">
            <w:pPr>
              <w:spacing w:line="243" w:lineRule="auto"/>
              <w:rPr>
                <w:rFonts w:ascii="Arial"/>
                <w:sz w:val="21"/>
              </w:rPr>
            </w:pPr>
          </w:p>
          <w:p w14:paraId="4753E734">
            <w:pPr>
              <w:spacing w:line="243" w:lineRule="auto"/>
              <w:rPr>
                <w:rFonts w:ascii="Arial"/>
                <w:sz w:val="21"/>
              </w:rPr>
            </w:pPr>
          </w:p>
          <w:p w14:paraId="46ACD98A">
            <w:pPr>
              <w:spacing w:line="244" w:lineRule="auto"/>
              <w:rPr>
                <w:rFonts w:ascii="Arial"/>
                <w:sz w:val="21"/>
              </w:rPr>
            </w:pPr>
          </w:p>
          <w:p w14:paraId="285E922E">
            <w:pPr>
              <w:spacing w:line="244" w:lineRule="auto"/>
              <w:rPr>
                <w:rFonts w:ascii="Arial"/>
                <w:sz w:val="21"/>
              </w:rPr>
            </w:pPr>
          </w:p>
          <w:p w14:paraId="560C0881">
            <w:pPr>
              <w:spacing w:line="244" w:lineRule="auto"/>
              <w:rPr>
                <w:rFonts w:ascii="Arial"/>
                <w:sz w:val="21"/>
              </w:rPr>
            </w:pPr>
          </w:p>
          <w:p w14:paraId="6859409B">
            <w:pPr>
              <w:spacing w:line="244" w:lineRule="auto"/>
              <w:rPr>
                <w:rFonts w:ascii="Arial"/>
                <w:sz w:val="21"/>
              </w:rPr>
            </w:pPr>
          </w:p>
          <w:p w14:paraId="1AA35FBF">
            <w:pPr>
              <w:spacing w:line="244" w:lineRule="auto"/>
              <w:rPr>
                <w:rFonts w:ascii="Arial"/>
                <w:sz w:val="21"/>
              </w:rPr>
            </w:pPr>
          </w:p>
          <w:p w14:paraId="218F3301">
            <w:pPr>
              <w:spacing w:line="244" w:lineRule="auto"/>
              <w:rPr>
                <w:rFonts w:ascii="Arial"/>
                <w:sz w:val="21"/>
              </w:rPr>
            </w:pPr>
          </w:p>
          <w:p w14:paraId="5A901FDA">
            <w:pPr>
              <w:spacing w:line="244" w:lineRule="auto"/>
              <w:rPr>
                <w:rFonts w:ascii="Arial"/>
                <w:sz w:val="21"/>
              </w:rPr>
            </w:pPr>
          </w:p>
          <w:p w14:paraId="14379ECD">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4A25DC6A">
            <w:pPr>
              <w:spacing w:line="244" w:lineRule="auto"/>
              <w:rPr>
                <w:rFonts w:ascii="Arial"/>
                <w:sz w:val="21"/>
              </w:rPr>
            </w:pPr>
          </w:p>
          <w:p w14:paraId="01ABD622">
            <w:pPr>
              <w:spacing w:line="244" w:lineRule="auto"/>
              <w:rPr>
                <w:rFonts w:ascii="Arial"/>
                <w:sz w:val="21"/>
              </w:rPr>
            </w:pPr>
          </w:p>
          <w:p w14:paraId="1965C757">
            <w:pPr>
              <w:spacing w:line="244" w:lineRule="auto"/>
              <w:rPr>
                <w:rFonts w:ascii="Arial"/>
                <w:sz w:val="21"/>
              </w:rPr>
            </w:pPr>
          </w:p>
          <w:p w14:paraId="13B8D078">
            <w:pPr>
              <w:spacing w:line="244" w:lineRule="auto"/>
              <w:rPr>
                <w:rFonts w:ascii="Arial"/>
                <w:sz w:val="21"/>
              </w:rPr>
            </w:pPr>
          </w:p>
          <w:p w14:paraId="1C74ADC4">
            <w:pPr>
              <w:spacing w:line="245" w:lineRule="auto"/>
              <w:rPr>
                <w:rFonts w:ascii="Arial"/>
                <w:sz w:val="21"/>
              </w:rPr>
            </w:pPr>
          </w:p>
          <w:p w14:paraId="304F8622">
            <w:pPr>
              <w:spacing w:line="245" w:lineRule="auto"/>
              <w:rPr>
                <w:rFonts w:ascii="Arial"/>
                <w:sz w:val="21"/>
              </w:rPr>
            </w:pPr>
          </w:p>
          <w:p w14:paraId="6E1C5613">
            <w:pPr>
              <w:spacing w:line="245" w:lineRule="auto"/>
              <w:rPr>
                <w:rFonts w:ascii="Arial"/>
                <w:sz w:val="21"/>
              </w:rPr>
            </w:pPr>
          </w:p>
          <w:p w14:paraId="6CCA8A07">
            <w:pPr>
              <w:spacing w:line="245" w:lineRule="auto"/>
              <w:rPr>
                <w:rFonts w:ascii="Arial"/>
                <w:sz w:val="21"/>
              </w:rPr>
            </w:pPr>
          </w:p>
          <w:p w14:paraId="031591B3">
            <w:pPr>
              <w:spacing w:line="245" w:lineRule="auto"/>
              <w:rPr>
                <w:rFonts w:ascii="Arial"/>
                <w:sz w:val="21"/>
              </w:rPr>
            </w:pPr>
          </w:p>
          <w:p w14:paraId="1BC1FD6B">
            <w:pPr>
              <w:pStyle w:val="6"/>
              <w:spacing w:before="65" w:line="254"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1178AF01">
            <w:pPr>
              <w:pStyle w:val="6"/>
              <w:spacing w:before="131" w:line="228" w:lineRule="auto"/>
              <w:ind w:left="115"/>
            </w:pPr>
            <w:r>
              <w:rPr>
                <w:spacing w:val="6"/>
              </w:rPr>
              <w:t>投标内容</w:t>
            </w:r>
          </w:p>
        </w:tc>
        <w:tc>
          <w:tcPr>
            <w:tcW w:w="5042" w:type="dxa"/>
            <w:vAlign w:val="top"/>
          </w:tcPr>
          <w:p w14:paraId="1530791E">
            <w:pPr>
              <w:pStyle w:val="6"/>
              <w:spacing w:before="131"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61B46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ECF18B9">
            <w:pPr>
              <w:rPr>
                <w:rFonts w:ascii="Arial"/>
                <w:sz w:val="21"/>
              </w:rPr>
            </w:pPr>
          </w:p>
        </w:tc>
        <w:tc>
          <w:tcPr>
            <w:tcW w:w="1058" w:type="dxa"/>
            <w:vMerge w:val="continue"/>
            <w:tcBorders>
              <w:top w:val="nil"/>
              <w:bottom w:val="nil"/>
            </w:tcBorders>
            <w:vAlign w:val="top"/>
          </w:tcPr>
          <w:p w14:paraId="3F38DA58">
            <w:pPr>
              <w:rPr>
                <w:rFonts w:ascii="Arial"/>
                <w:sz w:val="21"/>
              </w:rPr>
            </w:pPr>
          </w:p>
        </w:tc>
        <w:tc>
          <w:tcPr>
            <w:tcW w:w="2339" w:type="dxa"/>
            <w:vAlign w:val="top"/>
          </w:tcPr>
          <w:p w14:paraId="6BDD2A06">
            <w:pPr>
              <w:pStyle w:val="6"/>
              <w:spacing w:before="123" w:line="228" w:lineRule="auto"/>
              <w:ind w:left="115"/>
            </w:pPr>
            <w:r>
              <w:rPr>
                <w:spacing w:val="3"/>
              </w:rPr>
              <w:t>工期</w:t>
            </w:r>
          </w:p>
        </w:tc>
        <w:tc>
          <w:tcPr>
            <w:tcW w:w="5042" w:type="dxa"/>
            <w:vAlign w:val="top"/>
          </w:tcPr>
          <w:p w14:paraId="33D7BC12">
            <w:pPr>
              <w:pStyle w:val="6"/>
              <w:spacing w:before="12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0D93CE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4CF23440">
            <w:pPr>
              <w:rPr>
                <w:rFonts w:ascii="Arial"/>
                <w:sz w:val="21"/>
              </w:rPr>
            </w:pPr>
          </w:p>
        </w:tc>
        <w:tc>
          <w:tcPr>
            <w:tcW w:w="1058" w:type="dxa"/>
            <w:vMerge w:val="continue"/>
            <w:tcBorders>
              <w:top w:val="nil"/>
              <w:bottom w:val="nil"/>
            </w:tcBorders>
            <w:vAlign w:val="top"/>
          </w:tcPr>
          <w:p w14:paraId="5BC3C469">
            <w:pPr>
              <w:rPr>
                <w:rFonts w:ascii="Arial"/>
                <w:sz w:val="21"/>
              </w:rPr>
            </w:pPr>
          </w:p>
        </w:tc>
        <w:tc>
          <w:tcPr>
            <w:tcW w:w="2339" w:type="dxa"/>
            <w:vAlign w:val="top"/>
          </w:tcPr>
          <w:p w14:paraId="030108F3">
            <w:pPr>
              <w:spacing w:line="374" w:lineRule="auto"/>
              <w:rPr>
                <w:rFonts w:ascii="Arial"/>
                <w:sz w:val="21"/>
              </w:rPr>
            </w:pPr>
          </w:p>
          <w:p w14:paraId="399B4F73">
            <w:pPr>
              <w:pStyle w:val="6"/>
              <w:spacing w:before="65" w:line="228" w:lineRule="auto"/>
              <w:ind w:left="115"/>
            </w:pPr>
            <w:r>
              <w:rPr>
                <w:spacing w:val="6"/>
              </w:rPr>
              <w:t>工程质量</w:t>
            </w:r>
          </w:p>
        </w:tc>
        <w:tc>
          <w:tcPr>
            <w:tcW w:w="5042" w:type="dxa"/>
            <w:vAlign w:val="top"/>
          </w:tcPr>
          <w:p w14:paraId="7EE8F890">
            <w:pPr>
              <w:pStyle w:val="6"/>
              <w:spacing w:before="33"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20D5BD4F">
            <w:pPr>
              <w:pStyle w:val="6"/>
              <w:spacing w:before="23"/>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32B23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8B5C165">
            <w:pPr>
              <w:rPr>
                <w:rFonts w:ascii="Arial"/>
                <w:sz w:val="21"/>
              </w:rPr>
            </w:pPr>
          </w:p>
        </w:tc>
        <w:tc>
          <w:tcPr>
            <w:tcW w:w="1058" w:type="dxa"/>
            <w:vMerge w:val="continue"/>
            <w:tcBorders>
              <w:top w:val="nil"/>
              <w:bottom w:val="nil"/>
            </w:tcBorders>
            <w:vAlign w:val="top"/>
          </w:tcPr>
          <w:p w14:paraId="584FBB54">
            <w:pPr>
              <w:rPr>
                <w:rFonts w:ascii="Arial"/>
                <w:sz w:val="21"/>
              </w:rPr>
            </w:pPr>
          </w:p>
        </w:tc>
        <w:tc>
          <w:tcPr>
            <w:tcW w:w="2339" w:type="dxa"/>
            <w:vAlign w:val="top"/>
          </w:tcPr>
          <w:p w14:paraId="4F40E0C6">
            <w:pPr>
              <w:pStyle w:val="6"/>
              <w:spacing w:before="126" w:line="228" w:lineRule="auto"/>
              <w:ind w:left="115"/>
            </w:pPr>
            <w:r>
              <w:rPr>
                <w:spacing w:val="7"/>
              </w:rPr>
              <w:t>投标有效期</w:t>
            </w:r>
          </w:p>
        </w:tc>
        <w:tc>
          <w:tcPr>
            <w:tcW w:w="5042" w:type="dxa"/>
            <w:vAlign w:val="top"/>
          </w:tcPr>
          <w:p w14:paraId="348544A5">
            <w:pPr>
              <w:pStyle w:val="6"/>
              <w:spacing w:before="125"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608D74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664D1946">
            <w:pPr>
              <w:rPr>
                <w:rFonts w:ascii="Arial"/>
                <w:sz w:val="21"/>
              </w:rPr>
            </w:pPr>
          </w:p>
        </w:tc>
        <w:tc>
          <w:tcPr>
            <w:tcW w:w="1058" w:type="dxa"/>
            <w:vMerge w:val="continue"/>
            <w:tcBorders>
              <w:top w:val="nil"/>
              <w:bottom w:val="nil"/>
            </w:tcBorders>
            <w:vAlign w:val="top"/>
          </w:tcPr>
          <w:p w14:paraId="25DB88AB">
            <w:pPr>
              <w:rPr>
                <w:rFonts w:ascii="Arial"/>
                <w:sz w:val="21"/>
              </w:rPr>
            </w:pPr>
          </w:p>
        </w:tc>
        <w:tc>
          <w:tcPr>
            <w:tcW w:w="2339" w:type="dxa"/>
            <w:vAlign w:val="top"/>
          </w:tcPr>
          <w:p w14:paraId="3ED4B96E">
            <w:pPr>
              <w:spacing w:line="323" w:lineRule="auto"/>
              <w:rPr>
                <w:rFonts w:ascii="Arial"/>
                <w:sz w:val="21"/>
              </w:rPr>
            </w:pPr>
          </w:p>
          <w:p w14:paraId="7B051BFF">
            <w:pPr>
              <w:spacing w:line="323" w:lineRule="auto"/>
              <w:rPr>
                <w:rFonts w:ascii="Arial"/>
                <w:sz w:val="21"/>
              </w:rPr>
            </w:pPr>
          </w:p>
          <w:p w14:paraId="4A715CDD">
            <w:pPr>
              <w:pStyle w:val="6"/>
              <w:spacing w:before="65" w:line="228" w:lineRule="auto"/>
              <w:ind w:left="115"/>
            </w:pPr>
            <w:r>
              <w:rPr>
                <w:spacing w:val="7"/>
              </w:rPr>
              <w:t>投标保证金</w:t>
            </w:r>
          </w:p>
        </w:tc>
        <w:tc>
          <w:tcPr>
            <w:tcW w:w="5042" w:type="dxa"/>
            <w:vAlign w:val="top"/>
          </w:tcPr>
          <w:p w14:paraId="2FB9AB87">
            <w:pPr>
              <w:pStyle w:val="6"/>
              <w:spacing w:before="35"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7B1F90DC">
            <w:pPr>
              <w:pStyle w:val="6"/>
              <w:spacing w:before="24" w:line="228" w:lineRule="auto"/>
              <w:ind w:left="123"/>
            </w:pPr>
            <w:r>
              <w:rPr>
                <w:spacing w:val="9"/>
              </w:rPr>
              <w:t>（投标保证金符合要求是指投标保证金的形式、金</w:t>
            </w:r>
          </w:p>
          <w:p w14:paraId="39C1B9F5">
            <w:pPr>
              <w:pStyle w:val="6"/>
              <w:spacing w:before="23" w:line="252"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0895D4F9">
            <w:pPr>
              <w:pStyle w:val="6"/>
              <w:spacing w:before="1" w:line="213" w:lineRule="auto"/>
              <w:ind w:left="130"/>
            </w:pPr>
            <w:r>
              <w:rPr>
                <w:spacing w:val="4"/>
              </w:rPr>
              <w:t>的账户号一致）</w:t>
            </w:r>
          </w:p>
        </w:tc>
      </w:tr>
      <w:tr w14:paraId="22CD50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6" w:hRule="atLeast"/>
        </w:trPr>
        <w:tc>
          <w:tcPr>
            <w:tcW w:w="745" w:type="dxa"/>
            <w:vMerge w:val="continue"/>
            <w:tcBorders>
              <w:top w:val="nil"/>
            </w:tcBorders>
            <w:vAlign w:val="top"/>
          </w:tcPr>
          <w:p w14:paraId="7CDD2FC0">
            <w:pPr>
              <w:rPr>
                <w:rFonts w:ascii="Arial"/>
                <w:sz w:val="21"/>
              </w:rPr>
            </w:pPr>
          </w:p>
        </w:tc>
        <w:tc>
          <w:tcPr>
            <w:tcW w:w="1058" w:type="dxa"/>
            <w:vMerge w:val="continue"/>
            <w:tcBorders>
              <w:top w:val="nil"/>
            </w:tcBorders>
            <w:vAlign w:val="top"/>
          </w:tcPr>
          <w:p w14:paraId="5641C318">
            <w:pPr>
              <w:rPr>
                <w:rFonts w:ascii="Arial"/>
                <w:sz w:val="21"/>
              </w:rPr>
            </w:pPr>
          </w:p>
        </w:tc>
        <w:tc>
          <w:tcPr>
            <w:tcW w:w="2339" w:type="dxa"/>
            <w:vAlign w:val="top"/>
          </w:tcPr>
          <w:p w14:paraId="0809A5F7">
            <w:pPr>
              <w:spacing w:line="277" w:lineRule="auto"/>
              <w:rPr>
                <w:rFonts w:ascii="Arial"/>
                <w:sz w:val="21"/>
              </w:rPr>
            </w:pPr>
          </w:p>
          <w:p w14:paraId="7E43CFF3">
            <w:pPr>
              <w:pStyle w:val="6"/>
              <w:spacing w:before="65" w:line="228" w:lineRule="auto"/>
              <w:ind w:left="111"/>
            </w:pPr>
            <w:r>
              <w:rPr>
                <w:spacing w:val="7"/>
              </w:rPr>
              <w:t>权利义务</w:t>
            </w:r>
          </w:p>
        </w:tc>
        <w:tc>
          <w:tcPr>
            <w:tcW w:w="5042" w:type="dxa"/>
            <w:vAlign w:val="top"/>
          </w:tcPr>
          <w:p w14:paraId="5DCF3DC6">
            <w:pPr>
              <w:pStyle w:val="6"/>
              <w:spacing w:before="207" w:line="254"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bl>
    <w:p w14:paraId="7F743B18">
      <w:pPr>
        <w:rPr>
          <w:rFonts w:ascii="Arial"/>
          <w:sz w:val="21"/>
        </w:rPr>
      </w:pPr>
    </w:p>
    <w:p w14:paraId="24A8DAAC">
      <w:pPr>
        <w:rPr>
          <w:rFonts w:ascii="Arial" w:hAnsi="Arial" w:eastAsia="Arial" w:cs="Arial"/>
          <w:sz w:val="21"/>
          <w:szCs w:val="21"/>
        </w:rPr>
        <w:sectPr>
          <w:footerReference r:id="rId62" w:type="default"/>
          <w:pgSz w:w="11907" w:h="16840"/>
          <w:pgMar w:top="400" w:right="1248" w:bottom="1035" w:left="1469" w:header="0" w:footer="785" w:gutter="0"/>
          <w:cols w:space="720" w:num="1"/>
        </w:sectPr>
      </w:pPr>
    </w:p>
    <w:p w14:paraId="01CB2216">
      <w:pPr>
        <w:spacing w:before="19"/>
      </w:pPr>
    </w:p>
    <w:p w14:paraId="4AAAD25F">
      <w:pPr>
        <w:spacing w:before="19"/>
      </w:pPr>
    </w:p>
    <w:p w14:paraId="6339FCA1">
      <w:pPr>
        <w:spacing w:before="19"/>
      </w:pPr>
    </w:p>
    <w:p w14:paraId="22478169">
      <w:pPr>
        <w:spacing w:before="18"/>
      </w:pPr>
    </w:p>
    <w:p w14:paraId="4B02F52F">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159"/>
        <w:gridCol w:w="180"/>
        <w:gridCol w:w="5042"/>
      </w:tblGrid>
      <w:tr w14:paraId="54F62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745" w:type="dxa"/>
            <w:vMerge w:val="restart"/>
            <w:tcBorders>
              <w:bottom w:val="nil"/>
            </w:tcBorders>
            <w:vAlign w:val="top"/>
          </w:tcPr>
          <w:p w14:paraId="799E601F">
            <w:pPr>
              <w:rPr>
                <w:rFonts w:ascii="Arial"/>
                <w:sz w:val="21"/>
              </w:rPr>
            </w:pPr>
          </w:p>
        </w:tc>
        <w:tc>
          <w:tcPr>
            <w:tcW w:w="1058" w:type="dxa"/>
            <w:vMerge w:val="restart"/>
            <w:tcBorders>
              <w:bottom w:val="nil"/>
            </w:tcBorders>
            <w:vAlign w:val="top"/>
          </w:tcPr>
          <w:p w14:paraId="208D0716">
            <w:pPr>
              <w:rPr>
                <w:rFonts w:ascii="Arial"/>
                <w:sz w:val="21"/>
              </w:rPr>
            </w:pPr>
          </w:p>
        </w:tc>
        <w:tc>
          <w:tcPr>
            <w:tcW w:w="2339" w:type="dxa"/>
            <w:gridSpan w:val="2"/>
            <w:vAlign w:val="top"/>
          </w:tcPr>
          <w:p w14:paraId="5777CA3F">
            <w:pPr>
              <w:pStyle w:val="6"/>
              <w:spacing w:before="147" w:line="228" w:lineRule="auto"/>
              <w:ind w:left="113"/>
            </w:pPr>
            <w:r>
              <w:rPr>
                <w:spacing w:val="8"/>
              </w:rPr>
              <w:t>技术标准和要求</w:t>
            </w:r>
          </w:p>
        </w:tc>
        <w:tc>
          <w:tcPr>
            <w:tcW w:w="5042" w:type="dxa"/>
            <w:vAlign w:val="top"/>
          </w:tcPr>
          <w:p w14:paraId="57E6B966">
            <w:pPr>
              <w:pStyle w:val="6"/>
              <w:spacing w:before="148" w:line="227" w:lineRule="auto"/>
              <w:ind w:left="115"/>
            </w:pPr>
            <w:r>
              <w:rPr>
                <w:spacing w:val="7"/>
              </w:rPr>
              <w:t>符合第七章“技术标准和要求</w:t>
            </w:r>
            <w:r>
              <w:rPr>
                <w:spacing w:val="-66"/>
              </w:rPr>
              <w:t xml:space="preserve"> </w:t>
            </w:r>
            <w:r>
              <w:rPr>
                <w:spacing w:val="7"/>
              </w:rPr>
              <w:t>”规定</w:t>
            </w:r>
          </w:p>
        </w:tc>
      </w:tr>
      <w:tr w14:paraId="318CDD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6EECF1AE">
            <w:pPr>
              <w:rPr>
                <w:rFonts w:ascii="Arial"/>
                <w:sz w:val="21"/>
              </w:rPr>
            </w:pPr>
          </w:p>
        </w:tc>
        <w:tc>
          <w:tcPr>
            <w:tcW w:w="1058" w:type="dxa"/>
            <w:vMerge w:val="continue"/>
            <w:tcBorders>
              <w:top w:val="nil"/>
              <w:bottom w:val="nil"/>
            </w:tcBorders>
            <w:vAlign w:val="top"/>
          </w:tcPr>
          <w:p w14:paraId="2F421437">
            <w:pPr>
              <w:rPr>
                <w:rFonts w:ascii="Arial"/>
                <w:sz w:val="21"/>
              </w:rPr>
            </w:pPr>
          </w:p>
        </w:tc>
        <w:tc>
          <w:tcPr>
            <w:tcW w:w="2339" w:type="dxa"/>
            <w:gridSpan w:val="2"/>
            <w:vAlign w:val="top"/>
          </w:tcPr>
          <w:p w14:paraId="30BBB756">
            <w:pPr>
              <w:pStyle w:val="6"/>
              <w:spacing w:before="144" w:line="228" w:lineRule="auto"/>
              <w:ind w:left="115"/>
            </w:pPr>
            <w:r>
              <w:rPr>
                <w:spacing w:val="6"/>
              </w:rPr>
              <w:t>分包计划</w:t>
            </w:r>
          </w:p>
        </w:tc>
        <w:tc>
          <w:tcPr>
            <w:tcW w:w="5042" w:type="dxa"/>
            <w:vAlign w:val="top"/>
          </w:tcPr>
          <w:p w14:paraId="20BDE6BE">
            <w:pPr>
              <w:pStyle w:val="6"/>
              <w:spacing w:before="144" w:line="227" w:lineRule="auto"/>
              <w:ind w:left="115"/>
            </w:pPr>
            <w:r>
              <w:rPr>
                <w:spacing w:val="3"/>
              </w:rPr>
              <w:t>符合第二章“投标人须知</w:t>
            </w:r>
            <w:r>
              <w:rPr>
                <w:spacing w:val="-53"/>
              </w:rPr>
              <w:t xml:space="preserve"> </w:t>
            </w:r>
            <w:r>
              <w:rPr>
                <w:spacing w:val="3"/>
              </w:rPr>
              <w:t>”第</w:t>
            </w:r>
            <w:r>
              <w:rPr>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5"/>
              </w:rPr>
              <w:t xml:space="preserve"> </w:t>
            </w:r>
            <w:r>
              <w:rPr>
                <w:rFonts w:ascii="Times New Roman" w:hAnsi="Times New Roman" w:eastAsia="Times New Roman" w:cs="Times New Roman"/>
                <w:spacing w:val="3"/>
              </w:rPr>
              <w:t xml:space="preserve">11 </w:t>
            </w:r>
            <w:r>
              <w:rPr>
                <w:spacing w:val="3"/>
              </w:rPr>
              <w:t>款规定</w:t>
            </w:r>
          </w:p>
        </w:tc>
      </w:tr>
      <w:tr w14:paraId="5B6BD0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8" w:hRule="atLeast"/>
        </w:trPr>
        <w:tc>
          <w:tcPr>
            <w:tcW w:w="745" w:type="dxa"/>
            <w:vMerge w:val="continue"/>
            <w:tcBorders>
              <w:top w:val="nil"/>
              <w:bottom w:val="nil"/>
            </w:tcBorders>
            <w:vAlign w:val="top"/>
          </w:tcPr>
          <w:p w14:paraId="1569F977">
            <w:pPr>
              <w:rPr>
                <w:rFonts w:ascii="Arial"/>
                <w:sz w:val="21"/>
              </w:rPr>
            </w:pPr>
          </w:p>
        </w:tc>
        <w:tc>
          <w:tcPr>
            <w:tcW w:w="1058" w:type="dxa"/>
            <w:vMerge w:val="continue"/>
            <w:tcBorders>
              <w:top w:val="nil"/>
              <w:bottom w:val="nil"/>
            </w:tcBorders>
            <w:vAlign w:val="top"/>
          </w:tcPr>
          <w:p w14:paraId="2EA0B223">
            <w:pPr>
              <w:rPr>
                <w:rFonts w:ascii="Arial"/>
                <w:sz w:val="21"/>
              </w:rPr>
            </w:pPr>
          </w:p>
        </w:tc>
        <w:tc>
          <w:tcPr>
            <w:tcW w:w="2339" w:type="dxa"/>
            <w:gridSpan w:val="2"/>
            <w:vAlign w:val="top"/>
          </w:tcPr>
          <w:p w14:paraId="37CBA3C7">
            <w:pPr>
              <w:spacing w:line="303" w:lineRule="auto"/>
              <w:rPr>
                <w:rFonts w:ascii="Arial"/>
                <w:sz w:val="21"/>
              </w:rPr>
            </w:pPr>
          </w:p>
          <w:p w14:paraId="7541A8B3">
            <w:pPr>
              <w:pStyle w:val="6"/>
              <w:spacing w:before="66" w:line="228" w:lineRule="auto"/>
              <w:ind w:left="114"/>
            </w:pPr>
            <w:r>
              <w:rPr>
                <w:spacing w:val="7"/>
              </w:rPr>
              <w:t>算术错误修正</w:t>
            </w:r>
          </w:p>
        </w:tc>
        <w:tc>
          <w:tcPr>
            <w:tcW w:w="5042" w:type="dxa"/>
            <w:vAlign w:val="top"/>
          </w:tcPr>
          <w:p w14:paraId="7ABED567">
            <w:pPr>
              <w:pStyle w:val="6"/>
              <w:spacing w:before="30" w:line="226" w:lineRule="auto"/>
              <w:ind w:left="129"/>
            </w:pPr>
            <w:r>
              <w:rPr>
                <w:spacing w:val="7"/>
              </w:rPr>
              <w:t>1） 投标人接受算术错误修正后的报价；</w:t>
            </w:r>
          </w:p>
          <w:p w14:paraId="107DA729">
            <w:pPr>
              <w:pStyle w:val="6"/>
              <w:spacing w:before="163" w:line="235" w:lineRule="auto"/>
              <w:ind w:left="115" w:right="109"/>
            </w:pPr>
            <w:r>
              <w:rPr>
                <w:spacing w:val="8"/>
              </w:rPr>
              <w:t>2） 算术错误修正后的投标总价与投标总价相比偏差</w:t>
            </w:r>
            <w:r>
              <w:rPr>
                <w:spacing w:val="6"/>
              </w:rPr>
              <w:t>率不超过±1%。</w:t>
            </w:r>
          </w:p>
        </w:tc>
      </w:tr>
      <w:tr w14:paraId="4E4F63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3" w:hRule="atLeast"/>
        </w:trPr>
        <w:tc>
          <w:tcPr>
            <w:tcW w:w="745" w:type="dxa"/>
            <w:vMerge w:val="continue"/>
            <w:tcBorders>
              <w:top w:val="nil"/>
              <w:bottom w:val="nil"/>
            </w:tcBorders>
            <w:vAlign w:val="top"/>
          </w:tcPr>
          <w:p w14:paraId="6407E996">
            <w:pPr>
              <w:rPr>
                <w:rFonts w:ascii="Arial"/>
                <w:sz w:val="21"/>
              </w:rPr>
            </w:pPr>
          </w:p>
        </w:tc>
        <w:tc>
          <w:tcPr>
            <w:tcW w:w="1058" w:type="dxa"/>
            <w:vMerge w:val="continue"/>
            <w:tcBorders>
              <w:top w:val="nil"/>
              <w:bottom w:val="nil"/>
            </w:tcBorders>
            <w:vAlign w:val="top"/>
          </w:tcPr>
          <w:p w14:paraId="41B3BB71">
            <w:pPr>
              <w:rPr>
                <w:rFonts w:ascii="Arial"/>
                <w:sz w:val="21"/>
              </w:rPr>
            </w:pPr>
          </w:p>
        </w:tc>
        <w:tc>
          <w:tcPr>
            <w:tcW w:w="2339" w:type="dxa"/>
            <w:gridSpan w:val="2"/>
            <w:vAlign w:val="top"/>
          </w:tcPr>
          <w:p w14:paraId="68D7D4D3">
            <w:pPr>
              <w:spacing w:line="304" w:lineRule="auto"/>
              <w:rPr>
                <w:rFonts w:ascii="Arial"/>
                <w:sz w:val="21"/>
              </w:rPr>
            </w:pPr>
          </w:p>
          <w:p w14:paraId="6BE76A89">
            <w:pPr>
              <w:spacing w:line="304" w:lineRule="auto"/>
              <w:rPr>
                <w:rFonts w:ascii="Arial"/>
                <w:sz w:val="21"/>
              </w:rPr>
            </w:pPr>
          </w:p>
          <w:p w14:paraId="401E9580">
            <w:pPr>
              <w:spacing w:line="304" w:lineRule="auto"/>
              <w:rPr>
                <w:rFonts w:ascii="Arial"/>
                <w:sz w:val="21"/>
              </w:rPr>
            </w:pPr>
          </w:p>
          <w:p w14:paraId="3FCFEAEC">
            <w:pPr>
              <w:pStyle w:val="6"/>
              <w:spacing w:before="65" w:line="226" w:lineRule="auto"/>
              <w:ind w:left="115"/>
            </w:pPr>
            <w:r>
              <w:rPr>
                <w:spacing w:val="6"/>
              </w:rPr>
              <w:t>投标价格</w:t>
            </w:r>
          </w:p>
        </w:tc>
        <w:tc>
          <w:tcPr>
            <w:tcW w:w="5042" w:type="dxa"/>
            <w:vAlign w:val="top"/>
          </w:tcPr>
          <w:p w14:paraId="7594F296">
            <w:pPr>
              <w:pStyle w:val="6"/>
              <w:spacing w:before="32" w:line="250" w:lineRule="auto"/>
              <w:ind w:left="133" w:right="107" w:hanging="4"/>
            </w:pPr>
            <w:r>
              <w:rPr>
                <w:spacing w:val="13"/>
              </w:rPr>
              <w:t>1）投标函中的大写投标总报价与已标价工程量清单</w:t>
            </w:r>
            <w:r>
              <w:rPr>
                <w:spacing w:val="5"/>
              </w:rPr>
              <w:t>中的投标总价一致；</w:t>
            </w:r>
          </w:p>
          <w:p w14:paraId="5A63B61F">
            <w:pPr>
              <w:pStyle w:val="6"/>
              <w:spacing w:line="251" w:lineRule="auto"/>
              <w:ind w:left="114" w:right="107" w:firstLine="1"/>
            </w:pPr>
            <w:r>
              <w:rPr>
                <w:spacing w:val="13"/>
              </w:rPr>
              <w:t>2）投标函中的大写投标总报价不大于本标段招标控</w:t>
            </w:r>
            <w:r>
              <w:rPr>
                <w:spacing w:val="5"/>
              </w:rPr>
              <w:t>制价总价；</w:t>
            </w:r>
          </w:p>
          <w:p w14:paraId="402544DD">
            <w:pPr>
              <w:pStyle w:val="6"/>
              <w:spacing w:line="251" w:lineRule="auto"/>
              <w:ind w:left="114" w:right="107" w:firstLine="3"/>
            </w:pPr>
            <w:r>
              <w:rPr>
                <w:spacing w:val="13"/>
              </w:rPr>
              <w:t>3）算术错误修正后的投标总价不大于本标段招标控</w:t>
            </w:r>
            <w:r>
              <w:rPr>
                <w:spacing w:val="5"/>
              </w:rPr>
              <w:t>制价总价；</w:t>
            </w:r>
          </w:p>
          <w:p w14:paraId="157D3E23">
            <w:pPr>
              <w:pStyle w:val="6"/>
              <w:spacing w:before="2" w:line="234" w:lineRule="auto"/>
              <w:ind w:left="115" w:right="107" w:hanging="3"/>
            </w:pPr>
            <w:r>
              <w:rPr>
                <w:spacing w:val="13"/>
              </w:rPr>
              <w:t>4）投标函中的大写投标总报价（算术错误修正后的</w:t>
            </w:r>
            <w:r>
              <w:rPr>
                <w:spacing w:val="8"/>
              </w:rPr>
              <w:t>投标总价，如有）不低于其成本。</w:t>
            </w:r>
          </w:p>
        </w:tc>
      </w:tr>
      <w:tr w14:paraId="0DDB1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5" w:hRule="atLeast"/>
        </w:trPr>
        <w:tc>
          <w:tcPr>
            <w:tcW w:w="745" w:type="dxa"/>
            <w:vMerge w:val="continue"/>
            <w:tcBorders>
              <w:top w:val="nil"/>
            </w:tcBorders>
            <w:vAlign w:val="top"/>
          </w:tcPr>
          <w:p w14:paraId="37685866">
            <w:pPr>
              <w:rPr>
                <w:rFonts w:ascii="Arial"/>
                <w:sz w:val="21"/>
              </w:rPr>
            </w:pPr>
          </w:p>
        </w:tc>
        <w:tc>
          <w:tcPr>
            <w:tcW w:w="1058" w:type="dxa"/>
            <w:vMerge w:val="continue"/>
            <w:tcBorders>
              <w:top w:val="nil"/>
            </w:tcBorders>
            <w:vAlign w:val="top"/>
          </w:tcPr>
          <w:p w14:paraId="29A603CD">
            <w:pPr>
              <w:rPr>
                <w:rFonts w:ascii="Arial"/>
                <w:sz w:val="21"/>
              </w:rPr>
            </w:pPr>
          </w:p>
        </w:tc>
        <w:tc>
          <w:tcPr>
            <w:tcW w:w="2339" w:type="dxa"/>
            <w:gridSpan w:val="2"/>
            <w:vAlign w:val="top"/>
          </w:tcPr>
          <w:p w14:paraId="56A987A8">
            <w:pPr>
              <w:spacing w:line="251" w:lineRule="auto"/>
              <w:rPr>
                <w:rFonts w:ascii="Arial"/>
                <w:sz w:val="21"/>
              </w:rPr>
            </w:pPr>
          </w:p>
          <w:p w14:paraId="340FF07F">
            <w:pPr>
              <w:spacing w:line="251" w:lineRule="auto"/>
              <w:rPr>
                <w:rFonts w:ascii="Arial"/>
                <w:sz w:val="21"/>
              </w:rPr>
            </w:pPr>
          </w:p>
          <w:p w14:paraId="3DB7911A">
            <w:pPr>
              <w:spacing w:line="251" w:lineRule="auto"/>
              <w:rPr>
                <w:rFonts w:ascii="Arial"/>
                <w:sz w:val="21"/>
              </w:rPr>
            </w:pPr>
          </w:p>
          <w:p w14:paraId="3DC1FBBE">
            <w:pPr>
              <w:spacing w:line="252" w:lineRule="auto"/>
              <w:rPr>
                <w:rFonts w:ascii="Arial"/>
                <w:sz w:val="21"/>
              </w:rPr>
            </w:pPr>
          </w:p>
          <w:p w14:paraId="035950A8">
            <w:pPr>
              <w:spacing w:line="252" w:lineRule="auto"/>
              <w:rPr>
                <w:rFonts w:ascii="Arial"/>
                <w:sz w:val="21"/>
              </w:rPr>
            </w:pPr>
          </w:p>
          <w:p w14:paraId="2527C25E">
            <w:pPr>
              <w:spacing w:line="252" w:lineRule="auto"/>
              <w:rPr>
                <w:rFonts w:ascii="Arial"/>
                <w:sz w:val="21"/>
              </w:rPr>
            </w:pPr>
          </w:p>
          <w:p w14:paraId="6EE007B8">
            <w:pPr>
              <w:spacing w:line="252" w:lineRule="auto"/>
              <w:rPr>
                <w:rFonts w:ascii="Arial"/>
                <w:sz w:val="21"/>
              </w:rPr>
            </w:pPr>
          </w:p>
          <w:p w14:paraId="76E7209B">
            <w:pPr>
              <w:spacing w:line="252" w:lineRule="auto"/>
              <w:rPr>
                <w:rFonts w:ascii="Arial"/>
                <w:sz w:val="21"/>
              </w:rPr>
            </w:pPr>
          </w:p>
          <w:p w14:paraId="3BC4AF27">
            <w:pPr>
              <w:spacing w:line="252" w:lineRule="auto"/>
              <w:rPr>
                <w:rFonts w:ascii="Arial"/>
                <w:sz w:val="21"/>
              </w:rPr>
            </w:pPr>
          </w:p>
          <w:p w14:paraId="1224512E">
            <w:pPr>
              <w:pStyle w:val="6"/>
              <w:spacing w:before="65" w:line="226" w:lineRule="auto"/>
              <w:ind w:left="135"/>
            </w:pPr>
            <w:r>
              <w:rPr>
                <w:spacing w:val="5"/>
              </w:rPr>
              <w:t>已标价工程量清单</w:t>
            </w:r>
          </w:p>
        </w:tc>
        <w:tc>
          <w:tcPr>
            <w:tcW w:w="5042" w:type="dxa"/>
            <w:vAlign w:val="top"/>
          </w:tcPr>
          <w:p w14:paraId="5B1600E5">
            <w:pPr>
              <w:pStyle w:val="6"/>
              <w:spacing w:before="31" w:line="251"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09CB9FDB">
            <w:pPr>
              <w:pStyle w:val="6"/>
              <w:spacing w:line="251" w:lineRule="auto"/>
              <w:ind w:left="112" w:right="107" w:firstLine="3"/>
            </w:pPr>
            <w:r>
              <w:rPr>
                <w:spacing w:val="10"/>
              </w:rPr>
              <w:t>2）</w:t>
            </w:r>
            <w:r>
              <w:rPr>
                <w:spacing w:val="-50"/>
              </w:rPr>
              <w:t xml:space="preserve"> </w:t>
            </w:r>
            <w:r>
              <w:rPr>
                <w:spacing w:val="10"/>
              </w:rPr>
              <w:t>已标价工程量清单符合第五章“工程量清</w:t>
            </w:r>
            <w:r>
              <w:rPr>
                <w:spacing w:val="9"/>
              </w:rPr>
              <w:t>单</w:t>
            </w:r>
            <w:r>
              <w:rPr>
                <w:spacing w:val="-65"/>
              </w:rPr>
              <w:t xml:space="preserve"> </w:t>
            </w:r>
            <w:r>
              <w:rPr>
                <w:spacing w:val="9"/>
              </w:rPr>
              <w:t>”给出的项目编码、项目名称、项目特征、计量单位和工</w:t>
            </w:r>
            <w:r>
              <w:rPr>
                <w:spacing w:val="3"/>
              </w:rPr>
              <w:t>程量；</w:t>
            </w:r>
          </w:p>
          <w:p w14:paraId="79F3A1A5">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2C24B74D">
            <w:pPr>
              <w:pStyle w:val="6"/>
              <w:spacing w:before="28" w:line="251" w:lineRule="auto"/>
              <w:ind w:left="129" w:right="109" w:hanging="17"/>
            </w:pPr>
            <w:r>
              <w:rPr>
                <w:spacing w:val="12"/>
              </w:rPr>
              <w:t>4）专业工程暂估价符合第五章“工程量清单</w:t>
            </w:r>
            <w:r>
              <w:rPr>
                <w:spacing w:val="-63"/>
              </w:rPr>
              <w:t xml:space="preserve"> </w:t>
            </w:r>
            <w:r>
              <w:rPr>
                <w:spacing w:val="12"/>
              </w:rPr>
              <w:t>”列出</w:t>
            </w:r>
            <w:r>
              <w:t>的金额；</w:t>
            </w:r>
          </w:p>
          <w:p w14:paraId="57DE0A4F">
            <w:pPr>
              <w:pStyle w:val="6"/>
              <w:spacing w:before="1" w:line="251" w:lineRule="auto"/>
              <w:ind w:left="115" w:right="109" w:firstLine="2"/>
            </w:pPr>
            <w:r>
              <w:rPr>
                <w:spacing w:val="13"/>
              </w:rPr>
              <w:t>5）材料（工程设备）暂估价符合第五章“工程量清</w:t>
            </w:r>
            <w:r>
              <w:rPr>
                <w:spacing w:val="6"/>
              </w:rPr>
              <w:t>单</w:t>
            </w:r>
            <w:r>
              <w:rPr>
                <w:spacing w:val="-64"/>
              </w:rPr>
              <w:t xml:space="preserve"> </w:t>
            </w:r>
            <w:r>
              <w:rPr>
                <w:spacing w:val="6"/>
              </w:rPr>
              <w:t>”列出的单价并计入综合单价；</w:t>
            </w:r>
          </w:p>
          <w:p w14:paraId="66547493">
            <w:pPr>
              <w:pStyle w:val="6"/>
              <w:spacing w:before="1" w:line="251" w:lineRule="auto"/>
              <w:ind w:left="115" w:right="158"/>
            </w:pPr>
            <w:r>
              <w:rPr>
                <w:spacing w:val="11"/>
              </w:rPr>
              <w:t>6）安全文明施工费、规费和税金等不可竞争费用，</w:t>
            </w:r>
            <w:r>
              <w:rPr>
                <w:spacing w:val="7"/>
              </w:rPr>
              <w:t>按照规定的标准计取；</w:t>
            </w:r>
          </w:p>
          <w:p w14:paraId="709C2395">
            <w:pPr>
              <w:pStyle w:val="6"/>
              <w:spacing w:before="1" w:line="227" w:lineRule="auto"/>
              <w:ind w:left="118"/>
            </w:pPr>
            <w:r>
              <w:rPr>
                <w:spacing w:val="8"/>
              </w:rPr>
              <w:t>7）计税方法符合招标文件的约定；</w:t>
            </w:r>
          </w:p>
          <w:p w14:paraId="636FF7DC">
            <w:pPr>
              <w:pStyle w:val="6"/>
              <w:spacing w:before="27" w:line="244" w:lineRule="auto"/>
              <w:ind w:left="113" w:right="55"/>
            </w:pPr>
            <w:r>
              <w:rPr>
                <w:spacing w:val="7"/>
              </w:rPr>
              <w:t>8）已标价工程量清单项目未填报的项目不超过三</w:t>
            </w:r>
            <w:r>
              <w:rPr>
                <w:spacing w:val="6"/>
              </w:rPr>
              <w:t>项，</w:t>
            </w:r>
            <w:r>
              <w:rPr>
                <w:spacing w:val="9"/>
              </w:rPr>
              <w:t>且不超过三项未填报的项目的费用合计（按招标控制价相应项目的费用合计计算）不超过其投标函中的大</w:t>
            </w:r>
            <w:r>
              <w:rPr>
                <w:spacing w:val="8"/>
              </w:rPr>
              <w:t>写投标总报价（算术错误修正后的投标总价，如有）</w:t>
            </w:r>
            <w:r>
              <w:rPr>
                <w:spacing w:val="4"/>
              </w:rPr>
              <w:t>的±1%。</w:t>
            </w:r>
          </w:p>
        </w:tc>
      </w:tr>
      <w:tr w14:paraId="2CEF41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1803" w:type="dxa"/>
            <w:gridSpan w:val="2"/>
            <w:vAlign w:val="top"/>
          </w:tcPr>
          <w:p w14:paraId="51828817">
            <w:pPr>
              <w:spacing w:line="276" w:lineRule="auto"/>
              <w:rPr>
                <w:rFonts w:ascii="Arial"/>
                <w:sz w:val="21"/>
              </w:rPr>
            </w:pPr>
          </w:p>
          <w:p w14:paraId="1EDD7B59">
            <w:pPr>
              <w:spacing w:line="277" w:lineRule="auto"/>
              <w:rPr>
                <w:rFonts w:ascii="Arial"/>
                <w:sz w:val="21"/>
              </w:rPr>
            </w:pPr>
          </w:p>
          <w:p w14:paraId="472B318D">
            <w:pPr>
              <w:spacing w:before="57"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3"/>
            <w:vAlign w:val="top"/>
          </w:tcPr>
          <w:p w14:paraId="34D5A7A0">
            <w:pPr>
              <w:pStyle w:val="6"/>
              <w:spacing w:before="158" w:line="227" w:lineRule="auto"/>
              <w:ind w:left="111"/>
            </w:pPr>
            <w:r>
              <w:rPr>
                <w:spacing w:val="9"/>
              </w:rPr>
              <w:t>在本标段招标投标活动中，投标人不得存在的其他情形：</w:t>
            </w:r>
          </w:p>
          <w:p w14:paraId="651C3C16">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14E4A8CB">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30A3F9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1803" w:type="dxa"/>
            <w:gridSpan w:val="2"/>
            <w:vAlign w:val="top"/>
          </w:tcPr>
          <w:p w14:paraId="1F02CB83">
            <w:pPr>
              <w:pStyle w:val="6"/>
              <w:spacing w:before="158" w:line="228" w:lineRule="auto"/>
              <w:ind w:left="592"/>
            </w:pPr>
            <w:r>
              <w:rPr>
                <w:b/>
                <w:bCs/>
                <w:spacing w:val="5"/>
              </w:rPr>
              <w:t>条款号</w:t>
            </w:r>
          </w:p>
        </w:tc>
        <w:tc>
          <w:tcPr>
            <w:tcW w:w="2159" w:type="dxa"/>
            <w:vAlign w:val="top"/>
          </w:tcPr>
          <w:p w14:paraId="558D73EB">
            <w:pPr>
              <w:pStyle w:val="6"/>
              <w:spacing w:before="158" w:line="228" w:lineRule="auto"/>
              <w:ind w:left="663"/>
            </w:pPr>
            <w:r>
              <w:rPr>
                <w:b/>
                <w:bCs/>
                <w:spacing w:val="6"/>
              </w:rPr>
              <w:t>条款内容</w:t>
            </w:r>
          </w:p>
        </w:tc>
        <w:tc>
          <w:tcPr>
            <w:tcW w:w="5222" w:type="dxa"/>
            <w:gridSpan w:val="2"/>
            <w:vAlign w:val="top"/>
          </w:tcPr>
          <w:p w14:paraId="29A89AC8">
            <w:pPr>
              <w:pStyle w:val="6"/>
              <w:spacing w:before="158" w:line="228" w:lineRule="auto"/>
              <w:ind w:left="2196"/>
            </w:pPr>
            <w:r>
              <w:rPr>
                <w:b/>
                <w:bCs/>
                <w:spacing w:val="6"/>
              </w:rPr>
              <w:t>编列内容</w:t>
            </w:r>
          </w:p>
        </w:tc>
      </w:tr>
      <w:tr w14:paraId="307811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4" w:hRule="atLeast"/>
        </w:trPr>
        <w:tc>
          <w:tcPr>
            <w:tcW w:w="1803" w:type="dxa"/>
            <w:gridSpan w:val="2"/>
            <w:vAlign w:val="top"/>
          </w:tcPr>
          <w:p w14:paraId="151D33CE">
            <w:pPr>
              <w:spacing w:line="275" w:lineRule="auto"/>
              <w:rPr>
                <w:rFonts w:ascii="Arial"/>
                <w:sz w:val="21"/>
              </w:rPr>
            </w:pPr>
          </w:p>
          <w:p w14:paraId="00E7F1CD">
            <w:pPr>
              <w:spacing w:line="275" w:lineRule="auto"/>
              <w:rPr>
                <w:rFonts w:ascii="Arial"/>
                <w:sz w:val="21"/>
              </w:rPr>
            </w:pPr>
          </w:p>
          <w:p w14:paraId="60012BAE">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159" w:type="dxa"/>
            <w:vAlign w:val="top"/>
          </w:tcPr>
          <w:p w14:paraId="5D238EC9">
            <w:pPr>
              <w:spacing w:line="318" w:lineRule="auto"/>
              <w:rPr>
                <w:rFonts w:ascii="Arial"/>
                <w:sz w:val="21"/>
              </w:rPr>
            </w:pPr>
          </w:p>
          <w:p w14:paraId="589AA9F4">
            <w:pPr>
              <w:pStyle w:val="6"/>
              <w:spacing w:before="65" w:line="228" w:lineRule="auto"/>
              <w:ind w:left="115"/>
            </w:pPr>
            <w:r>
              <w:rPr>
                <w:spacing w:val="6"/>
              </w:rPr>
              <w:t>分值构成</w:t>
            </w:r>
          </w:p>
          <w:p w14:paraId="36EFA860">
            <w:pPr>
              <w:pStyle w:val="6"/>
              <w:spacing w:before="27" w:line="228" w:lineRule="auto"/>
              <w:ind w:left="122"/>
            </w:pPr>
            <w:r>
              <w:t>（总分</w:t>
            </w:r>
            <w:r>
              <w:rPr>
                <w:spacing w:val="-16"/>
              </w:rPr>
              <w:t xml:space="preserve"> </w:t>
            </w:r>
            <w:r>
              <w:t>100</w:t>
            </w:r>
            <w:r>
              <w:rPr>
                <w:spacing w:val="-35"/>
              </w:rPr>
              <w:t xml:space="preserve"> </w:t>
            </w:r>
            <w:r>
              <w:t>分+3</w:t>
            </w:r>
            <w:r>
              <w:rPr>
                <w:spacing w:val="-38"/>
              </w:rPr>
              <w:t xml:space="preserve"> </w:t>
            </w:r>
            <w:r>
              <w:t>分）</w:t>
            </w:r>
          </w:p>
        </w:tc>
        <w:tc>
          <w:tcPr>
            <w:tcW w:w="5222" w:type="dxa"/>
            <w:gridSpan w:val="2"/>
            <w:vAlign w:val="top"/>
          </w:tcPr>
          <w:p w14:paraId="2449BDA7">
            <w:pPr>
              <w:pStyle w:val="6"/>
              <w:spacing w:before="115" w:line="226" w:lineRule="auto"/>
              <w:ind w:left="116"/>
            </w:pPr>
            <w:r>
              <w:rPr>
                <w:spacing w:val="4"/>
              </w:rPr>
              <w:t>投标报价：</w:t>
            </w:r>
            <w:r>
              <w:rPr>
                <w:spacing w:val="10"/>
              </w:rPr>
              <w:t xml:space="preserve">     </w:t>
            </w:r>
            <w:r>
              <w:rPr>
                <w:spacing w:val="4"/>
              </w:rPr>
              <w:t>60 分（+3</w:t>
            </w:r>
            <w:r>
              <w:rPr>
                <w:spacing w:val="-36"/>
              </w:rPr>
              <w:t xml:space="preserve"> </w:t>
            </w:r>
            <w:r>
              <w:rPr>
                <w:spacing w:val="4"/>
              </w:rPr>
              <w:t>分）</w:t>
            </w:r>
          </w:p>
          <w:p w14:paraId="7DFB3EEA">
            <w:pPr>
              <w:pStyle w:val="6"/>
              <w:spacing w:before="26" w:line="228" w:lineRule="auto"/>
              <w:ind w:left="112"/>
            </w:pPr>
            <w:r>
              <w:rPr>
                <w:spacing w:val="6"/>
              </w:rPr>
              <w:t>施工组织设计：</w:t>
            </w:r>
            <w:r>
              <w:rPr>
                <w:spacing w:val="27"/>
              </w:rPr>
              <w:t xml:space="preserve"> </w:t>
            </w:r>
            <w:r>
              <w:rPr>
                <w:spacing w:val="6"/>
              </w:rPr>
              <w:t>20 分</w:t>
            </w:r>
          </w:p>
          <w:p w14:paraId="3A281D8A">
            <w:pPr>
              <w:pStyle w:val="6"/>
              <w:spacing w:before="26" w:line="227" w:lineRule="auto"/>
              <w:ind w:left="116"/>
            </w:pPr>
            <w:r>
              <w:rPr>
                <w:spacing w:val="5"/>
              </w:rPr>
              <w:t>项目管理机构：</w:t>
            </w:r>
            <w:r>
              <w:rPr>
                <w:spacing w:val="19"/>
              </w:rPr>
              <w:t xml:space="preserve">  </w:t>
            </w:r>
            <w:r>
              <w:rPr>
                <w:spacing w:val="5"/>
              </w:rPr>
              <w:t>8 分</w:t>
            </w:r>
          </w:p>
          <w:p w14:paraId="5DCA27C8">
            <w:pPr>
              <w:pStyle w:val="6"/>
              <w:spacing w:before="27" w:line="228" w:lineRule="auto"/>
              <w:ind w:left="114"/>
            </w:pPr>
            <w:r>
              <w:rPr>
                <w:spacing w:val="4"/>
              </w:rPr>
              <w:t>其他评分因素：</w:t>
            </w:r>
            <w:r>
              <w:rPr>
                <w:spacing w:val="47"/>
              </w:rPr>
              <w:t xml:space="preserve"> </w:t>
            </w:r>
            <w:r>
              <w:rPr>
                <w:spacing w:val="4"/>
              </w:rPr>
              <w:t>12 分</w:t>
            </w:r>
          </w:p>
        </w:tc>
      </w:tr>
      <w:tr w14:paraId="395C7E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5" w:hRule="atLeast"/>
        </w:trPr>
        <w:tc>
          <w:tcPr>
            <w:tcW w:w="1803" w:type="dxa"/>
            <w:gridSpan w:val="2"/>
            <w:vAlign w:val="top"/>
          </w:tcPr>
          <w:p w14:paraId="007ABF6A">
            <w:pPr>
              <w:spacing w:line="337" w:lineRule="auto"/>
              <w:rPr>
                <w:rFonts w:ascii="Arial"/>
                <w:sz w:val="21"/>
              </w:rPr>
            </w:pPr>
          </w:p>
          <w:p w14:paraId="21945E32">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30417653">
            <w:pPr>
              <w:pStyle w:val="6"/>
              <w:spacing w:before="197"/>
              <w:ind w:left="656"/>
            </w:pPr>
            <w:r>
              <w:rPr>
                <w:spacing w:val="-2"/>
              </w:rPr>
              <w:t>（</w:t>
            </w:r>
            <w:r>
              <w:rPr>
                <w:rFonts w:ascii="Times New Roman" w:hAnsi="Times New Roman" w:eastAsia="Times New Roman" w:cs="Times New Roman"/>
                <w:spacing w:val="-2"/>
              </w:rPr>
              <w:t>1</w:t>
            </w:r>
            <w:r>
              <w:rPr>
                <w:spacing w:val="-2"/>
              </w:rPr>
              <w:t>）</w:t>
            </w:r>
          </w:p>
        </w:tc>
        <w:tc>
          <w:tcPr>
            <w:tcW w:w="2159" w:type="dxa"/>
            <w:vAlign w:val="top"/>
          </w:tcPr>
          <w:p w14:paraId="155413A9">
            <w:pPr>
              <w:spacing w:line="451" w:lineRule="auto"/>
              <w:rPr>
                <w:rFonts w:ascii="Arial"/>
                <w:sz w:val="21"/>
              </w:rPr>
            </w:pPr>
          </w:p>
          <w:p w14:paraId="006E16E3">
            <w:pPr>
              <w:pStyle w:val="6"/>
              <w:spacing w:before="65" w:line="226" w:lineRule="auto"/>
              <w:ind w:left="111"/>
            </w:pPr>
            <w:r>
              <w:rPr>
                <w:spacing w:val="8"/>
              </w:rPr>
              <w:t>评标价确定方法</w:t>
            </w:r>
          </w:p>
        </w:tc>
        <w:tc>
          <w:tcPr>
            <w:tcW w:w="5222" w:type="dxa"/>
            <w:gridSpan w:val="2"/>
            <w:vAlign w:val="top"/>
          </w:tcPr>
          <w:p w14:paraId="6F58260B">
            <w:pPr>
              <w:pStyle w:val="6"/>
              <w:spacing w:before="245" w:line="252" w:lineRule="auto"/>
              <w:ind w:left="112" w:right="220"/>
              <w:jc w:val="both"/>
            </w:pPr>
            <w:r>
              <w:rPr>
                <w:spacing w:val="12"/>
              </w:rPr>
              <w:t>评标价＝投标函中的大写投标总报价（或经投标人书</w:t>
            </w:r>
            <w:r>
              <w:rPr>
                <w:spacing w:val="11"/>
              </w:rPr>
              <w:t>面确认的算术错误修正后的投标总价）-（暂列金额+</w:t>
            </w:r>
            <w:r>
              <w:rPr>
                <w:spacing w:val="8"/>
              </w:rPr>
              <w:t>税金）-（专业工程暂估价+税金）</w:t>
            </w:r>
          </w:p>
        </w:tc>
      </w:tr>
    </w:tbl>
    <w:p w14:paraId="03326A7E">
      <w:pPr>
        <w:rPr>
          <w:rFonts w:ascii="Arial"/>
          <w:sz w:val="21"/>
        </w:rPr>
      </w:pPr>
    </w:p>
    <w:p w14:paraId="0F91BD02">
      <w:pPr>
        <w:rPr>
          <w:rFonts w:ascii="Arial" w:hAnsi="Arial" w:eastAsia="Arial" w:cs="Arial"/>
          <w:sz w:val="21"/>
          <w:szCs w:val="21"/>
        </w:rPr>
        <w:sectPr>
          <w:footerReference r:id="rId63" w:type="default"/>
          <w:pgSz w:w="11907" w:h="16840"/>
          <w:pgMar w:top="400" w:right="1248" w:bottom="1035" w:left="1469" w:header="0" w:footer="785" w:gutter="0"/>
          <w:cols w:space="720" w:num="1"/>
        </w:sectPr>
      </w:pPr>
    </w:p>
    <w:p w14:paraId="1E48D0B5">
      <w:pPr>
        <w:spacing w:before="19"/>
      </w:pPr>
    </w:p>
    <w:p w14:paraId="5F485C6B">
      <w:pPr>
        <w:spacing w:before="19"/>
      </w:pPr>
    </w:p>
    <w:p w14:paraId="442D684C">
      <w:pPr>
        <w:spacing w:before="19"/>
      </w:pPr>
    </w:p>
    <w:p w14:paraId="3FCFF322">
      <w:pPr>
        <w:spacing w:before="18"/>
      </w:pPr>
    </w:p>
    <w:p w14:paraId="057885F4">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159"/>
        <w:gridCol w:w="720"/>
        <w:gridCol w:w="4502"/>
      </w:tblGrid>
      <w:tr w14:paraId="201D80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5" w:hRule="atLeast"/>
        </w:trPr>
        <w:tc>
          <w:tcPr>
            <w:tcW w:w="1803" w:type="dxa"/>
            <w:gridSpan w:val="2"/>
            <w:vAlign w:val="top"/>
          </w:tcPr>
          <w:p w14:paraId="00E426BE">
            <w:pPr>
              <w:spacing w:line="358" w:lineRule="auto"/>
              <w:rPr>
                <w:rFonts w:ascii="Arial"/>
                <w:sz w:val="21"/>
              </w:rPr>
            </w:pPr>
          </w:p>
          <w:p w14:paraId="3477CC2E">
            <w:pPr>
              <w:spacing w:line="359" w:lineRule="auto"/>
              <w:rPr>
                <w:rFonts w:ascii="Arial"/>
                <w:sz w:val="21"/>
              </w:rPr>
            </w:pPr>
          </w:p>
          <w:p w14:paraId="27E8E600">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5A886EF1">
            <w:pPr>
              <w:pStyle w:val="6"/>
              <w:spacing w:before="197"/>
              <w:ind w:left="656"/>
            </w:pPr>
            <w:r>
              <w:rPr>
                <w:spacing w:val="-2"/>
              </w:rPr>
              <w:t>（</w:t>
            </w:r>
            <w:r>
              <w:rPr>
                <w:rFonts w:ascii="Times New Roman" w:hAnsi="Times New Roman" w:eastAsia="Times New Roman" w:cs="Times New Roman"/>
                <w:spacing w:val="-2"/>
              </w:rPr>
              <w:t>2</w:t>
            </w:r>
            <w:r>
              <w:rPr>
                <w:spacing w:val="-2"/>
              </w:rPr>
              <w:t>）</w:t>
            </w:r>
          </w:p>
        </w:tc>
        <w:tc>
          <w:tcPr>
            <w:tcW w:w="2159" w:type="dxa"/>
            <w:vAlign w:val="top"/>
          </w:tcPr>
          <w:p w14:paraId="4EA452CF">
            <w:pPr>
              <w:spacing w:line="277" w:lineRule="auto"/>
              <w:rPr>
                <w:rFonts w:ascii="Arial"/>
                <w:sz w:val="21"/>
              </w:rPr>
            </w:pPr>
          </w:p>
          <w:p w14:paraId="4BFE2AF2">
            <w:pPr>
              <w:spacing w:line="277" w:lineRule="auto"/>
              <w:rPr>
                <w:rFonts w:ascii="Arial"/>
                <w:sz w:val="21"/>
              </w:rPr>
            </w:pPr>
          </w:p>
          <w:p w14:paraId="6A37C1FB">
            <w:pPr>
              <w:spacing w:line="277" w:lineRule="auto"/>
              <w:rPr>
                <w:rFonts w:ascii="Arial"/>
                <w:sz w:val="21"/>
              </w:rPr>
            </w:pPr>
          </w:p>
          <w:p w14:paraId="13351E2E">
            <w:pPr>
              <w:pStyle w:val="6"/>
              <w:spacing w:before="65" w:line="226" w:lineRule="auto"/>
              <w:ind w:left="111"/>
            </w:pPr>
            <w:r>
              <w:rPr>
                <w:spacing w:val="9"/>
              </w:rPr>
              <w:t>评标基准价计算方法</w:t>
            </w:r>
          </w:p>
        </w:tc>
        <w:tc>
          <w:tcPr>
            <w:tcW w:w="5222" w:type="dxa"/>
            <w:gridSpan w:val="2"/>
            <w:vAlign w:val="top"/>
          </w:tcPr>
          <w:p w14:paraId="35FB86B1">
            <w:pPr>
              <w:pStyle w:val="6"/>
              <w:spacing w:before="87" w:line="251" w:lineRule="auto"/>
              <w:ind w:left="113" w:right="220"/>
              <w:jc w:val="both"/>
            </w:pPr>
            <w:r>
              <w:rPr>
                <w:spacing w:val="12"/>
              </w:rPr>
              <w:t>所有有效投标的评标价去掉六分之一（不能整除的按</w:t>
            </w:r>
            <w:r>
              <w:rPr>
                <w:spacing w:val="10"/>
              </w:rPr>
              <w:t>小数前整数取整，不足六家报价则不去掉）</w:t>
            </w:r>
            <w:r>
              <w:rPr>
                <w:spacing w:val="-52"/>
              </w:rPr>
              <w:t xml:space="preserve"> </w:t>
            </w:r>
            <w:r>
              <w:rPr>
                <w:spacing w:val="10"/>
              </w:rPr>
              <w:t>的最低价</w:t>
            </w:r>
            <w:r>
              <w:rPr>
                <w:spacing w:val="11"/>
              </w:rPr>
              <w:t>和相同数量的最高价后的算术平均值下浮E%，作为评</w:t>
            </w:r>
            <w:r>
              <w:rPr>
                <w:spacing w:val="5"/>
              </w:rPr>
              <w:t>标基准价。</w:t>
            </w:r>
          </w:p>
          <w:p w14:paraId="66232480">
            <w:pPr>
              <w:pStyle w:val="6"/>
              <w:spacing w:before="2" w:line="252" w:lineRule="auto"/>
              <w:ind w:left="114" w:right="220" w:hanging="3"/>
              <w:jc w:val="both"/>
            </w:pPr>
            <w:r>
              <w:rPr>
                <w:spacing w:val="7"/>
              </w:rPr>
              <w:t>E:为评标基准价下浮系数，范围为</w:t>
            </w:r>
            <w:r>
              <w:rPr>
                <w:spacing w:val="-15"/>
              </w:rPr>
              <w:t xml:space="preserve"> </w:t>
            </w:r>
            <w:r>
              <w:rPr>
                <w:spacing w:val="7"/>
              </w:rPr>
              <w:t>1-3</w:t>
            </w:r>
            <w:r>
              <w:rPr>
                <w:spacing w:val="-20"/>
              </w:rPr>
              <w:t xml:space="preserve"> </w:t>
            </w:r>
            <w:r>
              <w:rPr>
                <w:spacing w:val="7"/>
              </w:rPr>
              <w:t>的整数，</w:t>
            </w:r>
            <w:r>
              <w:rPr>
                <w:spacing w:val="-56"/>
              </w:rPr>
              <w:t xml:space="preserve"> </w:t>
            </w:r>
            <w:r>
              <w:rPr>
                <w:spacing w:val="7"/>
              </w:rPr>
              <w:t>由招</w:t>
            </w:r>
            <w:r>
              <w:rPr>
                <w:spacing w:val="19"/>
              </w:rPr>
              <w:t>标人确定</w:t>
            </w:r>
            <w:r>
              <w:rPr>
                <w:spacing w:val="-54"/>
              </w:rPr>
              <w:t xml:space="preserve"> </w:t>
            </w:r>
            <w:r>
              <w:rPr>
                <w:spacing w:val="19"/>
              </w:rPr>
              <w:t>。E 的取值见第二章投标人须知</w:t>
            </w:r>
            <w:r>
              <w:rPr>
                <w:spacing w:val="18"/>
              </w:rPr>
              <w:t>前附表第</w:t>
            </w:r>
            <w:r>
              <w:rPr>
                <w:rFonts w:ascii="Times New Roman" w:hAnsi="Times New Roman" w:eastAsia="Times New Roman" w:cs="Times New Roman"/>
                <w:spacing w:val="1"/>
              </w:rPr>
              <w:t>10.2.1</w:t>
            </w:r>
            <w:r>
              <w:rPr>
                <w:rFonts w:ascii="Times New Roman" w:hAnsi="Times New Roman" w:eastAsia="Times New Roman" w:cs="Times New Roman"/>
                <w:spacing w:val="19"/>
              </w:rPr>
              <w:t xml:space="preserve"> </w:t>
            </w:r>
            <w:r>
              <w:rPr>
                <w:spacing w:val="1"/>
              </w:rPr>
              <w:t>项。</w:t>
            </w:r>
          </w:p>
        </w:tc>
      </w:tr>
      <w:tr w14:paraId="7C0110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1803" w:type="dxa"/>
            <w:gridSpan w:val="2"/>
            <w:vAlign w:val="top"/>
          </w:tcPr>
          <w:p w14:paraId="73D57E32">
            <w:pPr>
              <w:spacing w:line="286" w:lineRule="auto"/>
              <w:rPr>
                <w:rFonts w:ascii="Arial"/>
                <w:sz w:val="21"/>
              </w:rPr>
            </w:pPr>
          </w:p>
          <w:p w14:paraId="7D3C8C28">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159" w:type="dxa"/>
            <w:vAlign w:val="top"/>
          </w:tcPr>
          <w:p w14:paraId="24EEECD0">
            <w:pPr>
              <w:pStyle w:val="6"/>
              <w:spacing w:before="122" w:line="254" w:lineRule="auto"/>
              <w:ind w:left="112" w:right="371" w:firstLine="2"/>
            </w:pPr>
            <w:r>
              <w:rPr>
                <w:spacing w:val="8"/>
              </w:rPr>
              <w:t>投标报价的偏差率</w:t>
            </w:r>
            <w:r>
              <w:rPr>
                <w:spacing w:val="7"/>
              </w:rPr>
              <w:t>计算公式</w:t>
            </w:r>
          </w:p>
        </w:tc>
        <w:tc>
          <w:tcPr>
            <w:tcW w:w="5222" w:type="dxa"/>
            <w:gridSpan w:val="2"/>
            <w:vAlign w:val="top"/>
          </w:tcPr>
          <w:p w14:paraId="642662A8">
            <w:pPr>
              <w:pStyle w:val="6"/>
              <w:spacing w:before="123" w:line="253" w:lineRule="auto"/>
              <w:ind w:left="113" w:right="109"/>
            </w:pPr>
            <w:r>
              <w:rPr>
                <w:spacing w:val="9"/>
              </w:rPr>
              <w:t>偏差率=100%×（投标人评标价－评标基准价）</w:t>
            </w:r>
            <w:r>
              <w:rPr>
                <w:spacing w:val="-42"/>
              </w:rPr>
              <w:t xml:space="preserve"> </w:t>
            </w:r>
            <w:r>
              <w:rPr>
                <w:spacing w:val="9"/>
              </w:rPr>
              <w:t>÷评标</w:t>
            </w:r>
            <w:r>
              <w:rPr>
                <w:spacing w:val="6"/>
              </w:rPr>
              <w:t>基准价</w:t>
            </w:r>
          </w:p>
        </w:tc>
      </w:tr>
      <w:tr w14:paraId="351E2B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2EE89DC6">
            <w:pPr>
              <w:pStyle w:val="6"/>
              <w:spacing w:before="167" w:line="228" w:lineRule="auto"/>
              <w:ind w:left="592"/>
            </w:pPr>
            <w:r>
              <w:rPr>
                <w:b/>
                <w:bCs/>
                <w:spacing w:val="5"/>
              </w:rPr>
              <w:t>条款号</w:t>
            </w:r>
          </w:p>
        </w:tc>
        <w:tc>
          <w:tcPr>
            <w:tcW w:w="2159" w:type="dxa"/>
            <w:vAlign w:val="top"/>
          </w:tcPr>
          <w:p w14:paraId="0B480053">
            <w:pPr>
              <w:pStyle w:val="6"/>
              <w:spacing w:before="167" w:line="228" w:lineRule="auto"/>
              <w:ind w:left="661"/>
            </w:pPr>
            <w:r>
              <w:rPr>
                <w:b/>
                <w:bCs/>
                <w:spacing w:val="6"/>
              </w:rPr>
              <w:t>评分因素</w:t>
            </w:r>
          </w:p>
        </w:tc>
        <w:tc>
          <w:tcPr>
            <w:tcW w:w="720" w:type="dxa"/>
            <w:vAlign w:val="top"/>
          </w:tcPr>
          <w:p w14:paraId="79453258">
            <w:pPr>
              <w:pStyle w:val="6"/>
              <w:spacing w:before="30" w:line="235" w:lineRule="auto"/>
              <w:ind w:left="262" w:right="148" w:hanging="107"/>
            </w:pPr>
            <w:r>
              <w:rPr>
                <w:b/>
                <w:bCs/>
                <w:spacing w:val="3"/>
              </w:rPr>
              <w:t>标准</w:t>
            </w:r>
            <w:r>
              <w:rPr>
                <w:b/>
                <w:bCs/>
                <w:spacing w:val="-3"/>
              </w:rPr>
              <w:t>分</w:t>
            </w:r>
          </w:p>
        </w:tc>
        <w:tc>
          <w:tcPr>
            <w:tcW w:w="4502" w:type="dxa"/>
            <w:vAlign w:val="top"/>
          </w:tcPr>
          <w:p w14:paraId="798FC8F4">
            <w:pPr>
              <w:pStyle w:val="6"/>
              <w:spacing w:before="168" w:line="228" w:lineRule="auto"/>
              <w:ind w:left="1833"/>
            </w:pPr>
            <w:r>
              <w:rPr>
                <w:b/>
                <w:bCs/>
                <w:spacing w:val="6"/>
              </w:rPr>
              <w:t>评分标准</w:t>
            </w:r>
          </w:p>
        </w:tc>
      </w:tr>
      <w:tr w14:paraId="262FD4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3" w:hRule="atLeast"/>
        </w:trPr>
        <w:tc>
          <w:tcPr>
            <w:tcW w:w="745" w:type="dxa"/>
            <w:vMerge w:val="restart"/>
            <w:tcBorders>
              <w:bottom w:val="nil"/>
            </w:tcBorders>
            <w:vAlign w:val="top"/>
          </w:tcPr>
          <w:p w14:paraId="34431EBC">
            <w:pPr>
              <w:spacing w:line="250" w:lineRule="auto"/>
              <w:rPr>
                <w:rFonts w:ascii="Arial"/>
                <w:sz w:val="21"/>
              </w:rPr>
            </w:pPr>
          </w:p>
          <w:p w14:paraId="4D4B8494">
            <w:pPr>
              <w:spacing w:line="250" w:lineRule="auto"/>
              <w:rPr>
                <w:rFonts w:ascii="Arial"/>
                <w:sz w:val="21"/>
              </w:rPr>
            </w:pPr>
          </w:p>
          <w:p w14:paraId="6022EB08">
            <w:pPr>
              <w:spacing w:line="250" w:lineRule="auto"/>
              <w:rPr>
                <w:rFonts w:ascii="Arial"/>
                <w:sz w:val="21"/>
              </w:rPr>
            </w:pPr>
          </w:p>
          <w:p w14:paraId="75C21D2D">
            <w:pPr>
              <w:spacing w:line="250" w:lineRule="auto"/>
              <w:rPr>
                <w:rFonts w:ascii="Arial"/>
                <w:sz w:val="21"/>
              </w:rPr>
            </w:pPr>
          </w:p>
          <w:p w14:paraId="544B2D3C">
            <w:pPr>
              <w:spacing w:line="250" w:lineRule="auto"/>
              <w:rPr>
                <w:rFonts w:ascii="Arial"/>
                <w:sz w:val="21"/>
              </w:rPr>
            </w:pPr>
          </w:p>
          <w:p w14:paraId="239D264D">
            <w:pPr>
              <w:spacing w:line="250" w:lineRule="auto"/>
              <w:rPr>
                <w:rFonts w:ascii="Arial"/>
                <w:sz w:val="21"/>
              </w:rPr>
            </w:pPr>
          </w:p>
          <w:p w14:paraId="1E30F67B">
            <w:pPr>
              <w:spacing w:line="250" w:lineRule="auto"/>
              <w:rPr>
                <w:rFonts w:ascii="Arial"/>
                <w:sz w:val="21"/>
              </w:rPr>
            </w:pPr>
          </w:p>
          <w:p w14:paraId="43495F07">
            <w:pPr>
              <w:spacing w:line="250" w:lineRule="auto"/>
              <w:rPr>
                <w:rFonts w:ascii="Arial"/>
                <w:sz w:val="21"/>
              </w:rPr>
            </w:pPr>
          </w:p>
          <w:p w14:paraId="3C6EB612">
            <w:pPr>
              <w:spacing w:line="250" w:lineRule="auto"/>
              <w:rPr>
                <w:rFonts w:ascii="Arial"/>
                <w:sz w:val="21"/>
              </w:rPr>
            </w:pPr>
          </w:p>
          <w:p w14:paraId="1D3BB4F5">
            <w:pPr>
              <w:spacing w:line="250" w:lineRule="auto"/>
              <w:rPr>
                <w:rFonts w:ascii="Arial"/>
                <w:sz w:val="21"/>
              </w:rPr>
            </w:pPr>
          </w:p>
          <w:p w14:paraId="13119F44">
            <w:pPr>
              <w:spacing w:line="250" w:lineRule="auto"/>
              <w:rPr>
                <w:rFonts w:ascii="Arial"/>
                <w:sz w:val="21"/>
              </w:rPr>
            </w:pPr>
          </w:p>
          <w:p w14:paraId="725F791A">
            <w:pPr>
              <w:spacing w:line="250" w:lineRule="auto"/>
              <w:rPr>
                <w:rFonts w:ascii="Arial"/>
                <w:sz w:val="21"/>
              </w:rPr>
            </w:pPr>
          </w:p>
          <w:p w14:paraId="6853C9C4">
            <w:pPr>
              <w:spacing w:line="250" w:lineRule="auto"/>
              <w:rPr>
                <w:rFonts w:ascii="Arial"/>
                <w:sz w:val="21"/>
              </w:rPr>
            </w:pPr>
          </w:p>
          <w:p w14:paraId="68B7978C">
            <w:pPr>
              <w:spacing w:line="250" w:lineRule="auto"/>
              <w:rPr>
                <w:rFonts w:ascii="Arial"/>
                <w:sz w:val="21"/>
              </w:rPr>
            </w:pPr>
          </w:p>
          <w:p w14:paraId="69E783D4">
            <w:pPr>
              <w:spacing w:line="250" w:lineRule="auto"/>
              <w:rPr>
                <w:rFonts w:ascii="Arial"/>
                <w:sz w:val="21"/>
              </w:rPr>
            </w:pPr>
          </w:p>
          <w:p w14:paraId="305538C8">
            <w:pPr>
              <w:spacing w:line="250" w:lineRule="auto"/>
              <w:rPr>
                <w:rFonts w:ascii="Arial"/>
                <w:sz w:val="21"/>
              </w:rPr>
            </w:pPr>
          </w:p>
          <w:p w14:paraId="72C47F66">
            <w:pPr>
              <w:spacing w:line="251" w:lineRule="auto"/>
              <w:rPr>
                <w:rFonts w:ascii="Arial"/>
                <w:sz w:val="21"/>
              </w:rPr>
            </w:pPr>
          </w:p>
          <w:p w14:paraId="0A24FC39">
            <w:pPr>
              <w:spacing w:line="251" w:lineRule="auto"/>
              <w:rPr>
                <w:rFonts w:ascii="Arial"/>
                <w:sz w:val="21"/>
              </w:rPr>
            </w:pPr>
          </w:p>
          <w:p w14:paraId="5F489A80">
            <w:pPr>
              <w:spacing w:line="251" w:lineRule="auto"/>
              <w:rPr>
                <w:rFonts w:ascii="Arial"/>
                <w:sz w:val="21"/>
              </w:rPr>
            </w:pPr>
          </w:p>
          <w:p w14:paraId="2D6B64E7">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26797136">
            <w:pPr>
              <w:pStyle w:val="6"/>
              <w:spacing w:before="197"/>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6DDA4798">
            <w:pPr>
              <w:spacing w:line="249" w:lineRule="auto"/>
              <w:rPr>
                <w:rFonts w:ascii="Arial"/>
                <w:sz w:val="21"/>
              </w:rPr>
            </w:pPr>
          </w:p>
          <w:p w14:paraId="5B4B3AFB">
            <w:pPr>
              <w:spacing w:line="249" w:lineRule="auto"/>
              <w:rPr>
                <w:rFonts w:ascii="Arial"/>
                <w:sz w:val="21"/>
              </w:rPr>
            </w:pPr>
          </w:p>
          <w:p w14:paraId="3C398E50">
            <w:pPr>
              <w:spacing w:line="249" w:lineRule="auto"/>
              <w:rPr>
                <w:rFonts w:ascii="Arial"/>
                <w:sz w:val="21"/>
              </w:rPr>
            </w:pPr>
          </w:p>
          <w:p w14:paraId="5A867441">
            <w:pPr>
              <w:spacing w:line="249" w:lineRule="auto"/>
              <w:rPr>
                <w:rFonts w:ascii="Arial"/>
                <w:sz w:val="21"/>
              </w:rPr>
            </w:pPr>
          </w:p>
          <w:p w14:paraId="4E7A5FC4">
            <w:pPr>
              <w:spacing w:line="249" w:lineRule="auto"/>
              <w:rPr>
                <w:rFonts w:ascii="Arial"/>
                <w:sz w:val="21"/>
              </w:rPr>
            </w:pPr>
          </w:p>
          <w:p w14:paraId="5251A2A2">
            <w:pPr>
              <w:spacing w:line="249" w:lineRule="auto"/>
              <w:rPr>
                <w:rFonts w:ascii="Arial"/>
                <w:sz w:val="21"/>
              </w:rPr>
            </w:pPr>
          </w:p>
          <w:p w14:paraId="2CA5EDF4">
            <w:pPr>
              <w:spacing w:line="249" w:lineRule="auto"/>
              <w:rPr>
                <w:rFonts w:ascii="Arial"/>
                <w:sz w:val="21"/>
              </w:rPr>
            </w:pPr>
          </w:p>
          <w:p w14:paraId="4C5777D3">
            <w:pPr>
              <w:spacing w:line="249" w:lineRule="auto"/>
              <w:rPr>
                <w:rFonts w:ascii="Arial"/>
                <w:sz w:val="21"/>
              </w:rPr>
            </w:pPr>
          </w:p>
          <w:p w14:paraId="6F004978">
            <w:pPr>
              <w:spacing w:line="249" w:lineRule="auto"/>
              <w:rPr>
                <w:rFonts w:ascii="Arial"/>
                <w:sz w:val="21"/>
              </w:rPr>
            </w:pPr>
          </w:p>
          <w:p w14:paraId="77F81330">
            <w:pPr>
              <w:spacing w:line="249" w:lineRule="auto"/>
              <w:rPr>
                <w:rFonts w:ascii="Arial"/>
                <w:sz w:val="21"/>
              </w:rPr>
            </w:pPr>
          </w:p>
          <w:p w14:paraId="23310E03">
            <w:pPr>
              <w:spacing w:line="249" w:lineRule="auto"/>
              <w:rPr>
                <w:rFonts w:ascii="Arial"/>
                <w:sz w:val="21"/>
              </w:rPr>
            </w:pPr>
          </w:p>
          <w:p w14:paraId="639C04BF">
            <w:pPr>
              <w:spacing w:line="249" w:lineRule="auto"/>
              <w:rPr>
                <w:rFonts w:ascii="Arial"/>
                <w:sz w:val="21"/>
              </w:rPr>
            </w:pPr>
          </w:p>
          <w:p w14:paraId="7DA2DC46">
            <w:pPr>
              <w:spacing w:line="249" w:lineRule="auto"/>
              <w:rPr>
                <w:rFonts w:ascii="Arial"/>
                <w:sz w:val="21"/>
              </w:rPr>
            </w:pPr>
          </w:p>
          <w:p w14:paraId="124C4975">
            <w:pPr>
              <w:spacing w:line="249" w:lineRule="auto"/>
              <w:rPr>
                <w:rFonts w:ascii="Arial"/>
                <w:sz w:val="21"/>
              </w:rPr>
            </w:pPr>
          </w:p>
          <w:p w14:paraId="36DEAC04">
            <w:pPr>
              <w:spacing w:line="249" w:lineRule="auto"/>
              <w:rPr>
                <w:rFonts w:ascii="Arial"/>
                <w:sz w:val="21"/>
              </w:rPr>
            </w:pPr>
          </w:p>
          <w:p w14:paraId="12DEB330">
            <w:pPr>
              <w:spacing w:line="249" w:lineRule="auto"/>
              <w:rPr>
                <w:rFonts w:ascii="Arial"/>
                <w:sz w:val="21"/>
              </w:rPr>
            </w:pPr>
          </w:p>
          <w:p w14:paraId="2F6E052A">
            <w:pPr>
              <w:spacing w:line="250" w:lineRule="auto"/>
              <w:rPr>
                <w:rFonts w:ascii="Arial"/>
                <w:sz w:val="21"/>
              </w:rPr>
            </w:pPr>
          </w:p>
          <w:p w14:paraId="7D4CD52A">
            <w:pPr>
              <w:spacing w:line="250" w:lineRule="auto"/>
              <w:rPr>
                <w:rFonts w:ascii="Arial"/>
                <w:sz w:val="21"/>
              </w:rPr>
            </w:pPr>
          </w:p>
          <w:p w14:paraId="7BBD540E">
            <w:pPr>
              <w:spacing w:line="250" w:lineRule="auto"/>
              <w:rPr>
                <w:rFonts w:ascii="Arial"/>
                <w:sz w:val="21"/>
              </w:rPr>
            </w:pPr>
          </w:p>
          <w:p w14:paraId="447F46A4">
            <w:pPr>
              <w:pStyle w:val="6"/>
              <w:spacing w:before="65" w:line="252" w:lineRule="auto"/>
              <w:ind w:left="111" w:right="111" w:firstLine="3"/>
            </w:pPr>
            <w:r>
              <w:rPr>
                <w:spacing w:val="6"/>
              </w:rPr>
              <w:t>投标报价</w:t>
            </w:r>
            <w:r>
              <w:rPr>
                <w:spacing w:val="7"/>
              </w:rPr>
              <w:t>评分标准</w:t>
            </w:r>
          </w:p>
        </w:tc>
        <w:tc>
          <w:tcPr>
            <w:tcW w:w="2159" w:type="dxa"/>
            <w:vAlign w:val="top"/>
          </w:tcPr>
          <w:p w14:paraId="16D7339D">
            <w:pPr>
              <w:spacing w:line="332" w:lineRule="auto"/>
              <w:rPr>
                <w:rFonts w:ascii="Arial"/>
                <w:sz w:val="21"/>
              </w:rPr>
            </w:pPr>
          </w:p>
          <w:p w14:paraId="5050A9FE">
            <w:pPr>
              <w:spacing w:line="332" w:lineRule="auto"/>
              <w:rPr>
                <w:rFonts w:ascii="Arial"/>
                <w:sz w:val="21"/>
              </w:rPr>
            </w:pPr>
          </w:p>
          <w:p w14:paraId="6D9B36E7">
            <w:pPr>
              <w:pStyle w:val="6"/>
              <w:spacing w:before="65" w:line="226" w:lineRule="auto"/>
              <w:ind w:left="112"/>
            </w:pPr>
            <w:r>
              <w:rPr>
                <w:spacing w:val="8"/>
              </w:rPr>
              <w:t>计算投标报价得分</w:t>
            </w:r>
          </w:p>
        </w:tc>
        <w:tc>
          <w:tcPr>
            <w:tcW w:w="720" w:type="dxa"/>
            <w:vAlign w:val="top"/>
          </w:tcPr>
          <w:p w14:paraId="21A2A91B">
            <w:pPr>
              <w:spacing w:line="332" w:lineRule="auto"/>
              <w:rPr>
                <w:rFonts w:ascii="Arial"/>
                <w:sz w:val="21"/>
              </w:rPr>
            </w:pPr>
          </w:p>
          <w:p w14:paraId="6F98D461">
            <w:pPr>
              <w:spacing w:line="333" w:lineRule="auto"/>
              <w:rPr>
                <w:rFonts w:ascii="Arial"/>
                <w:sz w:val="21"/>
              </w:rPr>
            </w:pPr>
          </w:p>
          <w:p w14:paraId="648F4E73">
            <w:pPr>
              <w:pStyle w:val="6"/>
              <w:spacing w:before="65" w:line="228" w:lineRule="auto"/>
              <w:ind w:left="129"/>
            </w:pPr>
            <w:r>
              <w:t>60</w:t>
            </w:r>
            <w:r>
              <w:rPr>
                <w:spacing w:val="-36"/>
              </w:rPr>
              <w:t xml:space="preserve"> </w:t>
            </w:r>
            <w:r>
              <w:t>分</w:t>
            </w:r>
          </w:p>
        </w:tc>
        <w:tc>
          <w:tcPr>
            <w:tcW w:w="4502" w:type="dxa"/>
            <w:vAlign w:val="top"/>
          </w:tcPr>
          <w:p w14:paraId="024908F3">
            <w:pPr>
              <w:pStyle w:val="6"/>
              <w:spacing w:before="189" w:line="251" w:lineRule="auto"/>
              <w:ind w:left="115" w:right="107" w:hanging="5"/>
            </w:pPr>
            <w:r>
              <w:rPr>
                <w:spacing w:val="6"/>
              </w:rPr>
              <w:t>F＝60-（投标人评标价-评标基准价）</w:t>
            </w:r>
            <w:r>
              <w:rPr>
                <w:spacing w:val="-60"/>
              </w:rPr>
              <w:t xml:space="preserve"> </w:t>
            </w:r>
            <w:r>
              <w:rPr>
                <w:spacing w:val="6"/>
              </w:rPr>
              <w:t>÷评标基</w:t>
            </w:r>
            <w:r>
              <w:rPr>
                <w:spacing w:val="7"/>
              </w:rPr>
              <w:t>准价×100×3   （评标价＞基准价时）</w:t>
            </w:r>
          </w:p>
          <w:p w14:paraId="638F65DD">
            <w:pPr>
              <w:pStyle w:val="6"/>
              <w:spacing w:before="1" w:line="251" w:lineRule="auto"/>
              <w:ind w:left="115" w:right="107" w:hanging="5"/>
            </w:pPr>
            <w:r>
              <w:rPr>
                <w:spacing w:val="6"/>
              </w:rPr>
              <w:t>F＝60-（评标基准价-投标人评标价）</w:t>
            </w:r>
            <w:r>
              <w:rPr>
                <w:spacing w:val="-60"/>
              </w:rPr>
              <w:t xml:space="preserve"> </w:t>
            </w:r>
            <w:r>
              <w:rPr>
                <w:spacing w:val="6"/>
              </w:rPr>
              <w:t>÷评标基</w:t>
            </w:r>
            <w:r>
              <w:rPr>
                <w:spacing w:val="7"/>
              </w:rPr>
              <w:t>准价×100×2   （评标价≤基准价时）</w:t>
            </w:r>
          </w:p>
          <w:p w14:paraId="0F7409A2">
            <w:pPr>
              <w:pStyle w:val="6"/>
              <w:spacing w:line="228" w:lineRule="auto"/>
              <w:ind w:left="114"/>
            </w:pPr>
            <w:r>
              <w:rPr>
                <w:spacing w:val="5"/>
              </w:rPr>
              <w:t>其中：</w:t>
            </w:r>
            <w:r>
              <w:rPr>
                <w:rFonts w:ascii="Times New Roman" w:hAnsi="Times New Roman" w:eastAsia="Times New Roman" w:cs="Times New Roman"/>
                <w:spacing w:val="5"/>
              </w:rPr>
              <w:t>F</w:t>
            </w:r>
            <w:r>
              <w:rPr>
                <w:spacing w:val="5"/>
              </w:rPr>
              <w:t>≥</w:t>
            </w:r>
            <w:r>
              <w:rPr>
                <w:rFonts w:ascii="Times New Roman" w:hAnsi="Times New Roman" w:eastAsia="Times New Roman" w:cs="Times New Roman"/>
                <w:spacing w:val="5"/>
              </w:rPr>
              <w:t>0</w:t>
            </w:r>
            <w:r>
              <w:rPr>
                <w:spacing w:val="5"/>
              </w:rPr>
              <w:t>。</w:t>
            </w:r>
          </w:p>
        </w:tc>
      </w:tr>
      <w:tr w14:paraId="425E95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2" w:hRule="atLeast"/>
        </w:trPr>
        <w:tc>
          <w:tcPr>
            <w:tcW w:w="745" w:type="dxa"/>
            <w:vMerge w:val="continue"/>
            <w:tcBorders>
              <w:top w:val="nil"/>
              <w:bottom w:val="nil"/>
            </w:tcBorders>
            <w:vAlign w:val="top"/>
          </w:tcPr>
          <w:p w14:paraId="0118141F">
            <w:pPr>
              <w:rPr>
                <w:rFonts w:ascii="Arial"/>
                <w:sz w:val="21"/>
              </w:rPr>
            </w:pPr>
          </w:p>
        </w:tc>
        <w:tc>
          <w:tcPr>
            <w:tcW w:w="1058" w:type="dxa"/>
            <w:vMerge w:val="continue"/>
            <w:tcBorders>
              <w:top w:val="nil"/>
              <w:bottom w:val="nil"/>
            </w:tcBorders>
            <w:vAlign w:val="top"/>
          </w:tcPr>
          <w:p w14:paraId="71FC7EE2">
            <w:pPr>
              <w:rPr>
                <w:rFonts w:ascii="Arial"/>
                <w:sz w:val="21"/>
              </w:rPr>
            </w:pPr>
          </w:p>
        </w:tc>
        <w:tc>
          <w:tcPr>
            <w:tcW w:w="2159" w:type="dxa"/>
            <w:vAlign w:val="top"/>
          </w:tcPr>
          <w:p w14:paraId="4F71290D">
            <w:pPr>
              <w:spacing w:line="241" w:lineRule="auto"/>
              <w:rPr>
                <w:rFonts w:ascii="Arial"/>
                <w:sz w:val="21"/>
              </w:rPr>
            </w:pPr>
          </w:p>
          <w:p w14:paraId="16BB37CB">
            <w:pPr>
              <w:spacing w:line="241" w:lineRule="auto"/>
              <w:rPr>
                <w:rFonts w:ascii="Arial"/>
                <w:sz w:val="21"/>
              </w:rPr>
            </w:pPr>
          </w:p>
          <w:p w14:paraId="7A71E3B3">
            <w:pPr>
              <w:spacing w:line="241" w:lineRule="auto"/>
              <w:rPr>
                <w:rFonts w:ascii="Arial"/>
                <w:sz w:val="21"/>
              </w:rPr>
            </w:pPr>
          </w:p>
          <w:p w14:paraId="2E45623A">
            <w:pPr>
              <w:spacing w:line="241" w:lineRule="auto"/>
              <w:rPr>
                <w:rFonts w:ascii="Arial"/>
                <w:sz w:val="21"/>
              </w:rPr>
            </w:pPr>
          </w:p>
          <w:p w14:paraId="31746258">
            <w:pPr>
              <w:spacing w:line="241" w:lineRule="auto"/>
              <w:rPr>
                <w:rFonts w:ascii="Arial"/>
                <w:sz w:val="21"/>
              </w:rPr>
            </w:pPr>
          </w:p>
          <w:p w14:paraId="3E6C85C0">
            <w:pPr>
              <w:spacing w:line="242" w:lineRule="auto"/>
              <w:rPr>
                <w:rFonts w:ascii="Arial"/>
                <w:sz w:val="21"/>
              </w:rPr>
            </w:pPr>
          </w:p>
          <w:p w14:paraId="4B0260E5">
            <w:pPr>
              <w:spacing w:line="242" w:lineRule="auto"/>
              <w:rPr>
                <w:rFonts w:ascii="Arial"/>
                <w:sz w:val="21"/>
              </w:rPr>
            </w:pPr>
          </w:p>
          <w:p w14:paraId="30C9A9DF">
            <w:pPr>
              <w:pStyle w:val="6"/>
              <w:spacing w:before="65" w:line="226" w:lineRule="auto"/>
              <w:ind w:left="115"/>
            </w:pPr>
            <w:r>
              <w:rPr>
                <w:spacing w:val="8"/>
              </w:rPr>
              <w:t>不平衡报价扣分</w:t>
            </w:r>
          </w:p>
        </w:tc>
        <w:tc>
          <w:tcPr>
            <w:tcW w:w="720" w:type="dxa"/>
            <w:vAlign w:val="top"/>
          </w:tcPr>
          <w:p w14:paraId="3145EB2F">
            <w:pPr>
              <w:rPr>
                <w:rFonts w:ascii="Arial"/>
                <w:sz w:val="21"/>
              </w:rPr>
            </w:pPr>
          </w:p>
        </w:tc>
        <w:tc>
          <w:tcPr>
            <w:tcW w:w="4502" w:type="dxa"/>
            <w:vAlign w:val="top"/>
          </w:tcPr>
          <w:p w14:paraId="01D303B7">
            <w:pPr>
              <w:pStyle w:val="6"/>
              <w:spacing w:before="132" w:line="251" w:lineRule="auto"/>
              <w:ind w:left="112" w:right="107" w:firstLine="28"/>
            </w:pPr>
            <w:r>
              <w:rPr>
                <w:spacing w:val="6"/>
              </w:rPr>
              <w:t>〔单位工程投标报价-（暂列金额+税金）-（专</w:t>
            </w:r>
            <w:r>
              <w:rPr>
                <w:spacing w:val="-2"/>
              </w:rPr>
              <w:t>业工程暂估价+税金）〕低于（不含）〔单位工程</w:t>
            </w:r>
            <w:r>
              <w:rPr>
                <w:spacing w:val="8"/>
              </w:rPr>
              <w:t>招标控制价-（暂列金额+税金）-（专业工程暂</w:t>
            </w:r>
            <w:r>
              <w:t>估价+税金）〕</w:t>
            </w:r>
            <w:r>
              <w:rPr>
                <w:spacing w:val="-66"/>
              </w:rPr>
              <w:t xml:space="preserve"> </w:t>
            </w:r>
            <w:r>
              <w:rPr>
                <w:u w:val="single" w:color="auto"/>
              </w:rPr>
              <w:t xml:space="preserve">   H%</w:t>
            </w:r>
            <w:r>
              <w:rPr>
                <w:spacing w:val="5"/>
                <w:u w:val="single" w:color="auto"/>
              </w:rPr>
              <w:t xml:space="preserve">    </w:t>
            </w:r>
            <w:r>
              <w:rPr>
                <w:spacing w:val="-74"/>
              </w:rPr>
              <w:t xml:space="preserve"> </w:t>
            </w:r>
            <w:r>
              <w:t>的,视为不平衡报价，</w:t>
            </w:r>
          </w:p>
          <w:p w14:paraId="40E6CA73">
            <w:pPr>
              <w:pStyle w:val="6"/>
              <w:spacing w:line="227" w:lineRule="auto"/>
              <w:ind w:left="113"/>
            </w:pPr>
            <w:r>
              <w:rPr>
                <w:spacing w:val="7"/>
              </w:rPr>
              <w:t>每发现一项，扣</w:t>
            </w:r>
            <w:r>
              <w:rPr>
                <w:spacing w:val="-31"/>
              </w:rPr>
              <w:t xml:space="preserve"> </w:t>
            </w:r>
            <w:r>
              <w:rPr>
                <w:spacing w:val="7"/>
              </w:rPr>
              <w:t>5</w:t>
            </w:r>
            <w:r>
              <w:rPr>
                <w:spacing w:val="-36"/>
              </w:rPr>
              <w:t xml:space="preserve"> </w:t>
            </w:r>
            <w:r>
              <w:rPr>
                <w:spacing w:val="7"/>
              </w:rPr>
              <w:t>分，该项计分公式为：</w:t>
            </w:r>
          </w:p>
          <w:p w14:paraId="714EA596">
            <w:pPr>
              <w:pStyle w:val="6"/>
              <w:spacing w:before="24" w:line="265" w:lineRule="exact"/>
              <w:ind w:left="424"/>
              <w:rPr>
                <w:sz w:val="10"/>
                <w:szCs w:val="10"/>
              </w:rPr>
            </w:pPr>
            <w:r>
              <w:rPr>
                <w:spacing w:val="-2"/>
                <w:position w:val="2"/>
              </w:rPr>
              <w:t>K</w:t>
            </w:r>
            <w:r>
              <w:rPr>
                <w:spacing w:val="19"/>
                <w:position w:val="2"/>
              </w:rPr>
              <w:t xml:space="preserve"> </w:t>
            </w:r>
            <w:r>
              <w:rPr>
                <w:spacing w:val="-2"/>
                <w:position w:val="2"/>
              </w:rPr>
              <w:t>=k</w:t>
            </w:r>
            <w:r>
              <w:rPr>
                <w:spacing w:val="-2"/>
                <w:sz w:val="10"/>
                <w:szCs w:val="10"/>
              </w:rPr>
              <w:t>1</w:t>
            </w:r>
            <w:r>
              <w:rPr>
                <w:spacing w:val="7"/>
                <w:sz w:val="10"/>
                <w:szCs w:val="10"/>
              </w:rPr>
              <w:t xml:space="preserve">  </w:t>
            </w:r>
            <w:r>
              <w:rPr>
                <w:spacing w:val="-2"/>
                <w:position w:val="2"/>
              </w:rPr>
              <w:t>+</w:t>
            </w:r>
            <w:r>
              <w:rPr>
                <w:spacing w:val="11"/>
                <w:position w:val="2"/>
              </w:rPr>
              <w:t xml:space="preserve"> </w:t>
            </w:r>
            <w:r>
              <w:rPr>
                <w:spacing w:val="-2"/>
                <w:position w:val="2"/>
              </w:rPr>
              <w:t>k</w:t>
            </w:r>
            <w:r>
              <w:rPr>
                <w:spacing w:val="-2"/>
                <w:sz w:val="10"/>
                <w:szCs w:val="10"/>
              </w:rPr>
              <w:t>2</w:t>
            </w:r>
            <w:r>
              <w:rPr>
                <w:spacing w:val="12"/>
                <w:sz w:val="10"/>
                <w:szCs w:val="10"/>
              </w:rPr>
              <w:t xml:space="preserve"> </w:t>
            </w:r>
            <w:r>
              <w:rPr>
                <w:spacing w:val="-2"/>
                <w:position w:val="2"/>
              </w:rPr>
              <w:t>+</w:t>
            </w:r>
            <w:r>
              <w:rPr>
                <w:spacing w:val="26"/>
                <w:position w:val="2"/>
              </w:rPr>
              <w:t xml:space="preserve"> </w:t>
            </w:r>
            <w:r>
              <w:rPr>
                <w:spacing w:val="-2"/>
                <w:position w:val="2"/>
              </w:rPr>
              <w:t>…</w:t>
            </w:r>
            <w:r>
              <w:rPr>
                <w:spacing w:val="16"/>
                <w:position w:val="2"/>
              </w:rPr>
              <w:t xml:space="preserve"> </w:t>
            </w:r>
            <w:r>
              <w:rPr>
                <w:spacing w:val="-2"/>
                <w:position w:val="2"/>
              </w:rPr>
              <w:t>+</w:t>
            </w:r>
            <w:r>
              <w:rPr>
                <w:spacing w:val="11"/>
                <w:position w:val="2"/>
              </w:rPr>
              <w:t xml:space="preserve"> </w:t>
            </w:r>
            <w:r>
              <w:rPr>
                <w:spacing w:val="-2"/>
                <w:position w:val="2"/>
              </w:rPr>
              <w:t>k</w:t>
            </w:r>
            <w:r>
              <w:rPr>
                <w:spacing w:val="-2"/>
                <w:sz w:val="10"/>
                <w:szCs w:val="10"/>
              </w:rPr>
              <w:t>n</w:t>
            </w:r>
          </w:p>
          <w:p w14:paraId="616A1C7F">
            <w:pPr>
              <w:pStyle w:val="6"/>
              <w:spacing w:before="8" w:line="228" w:lineRule="auto"/>
              <w:ind w:left="428"/>
            </w:pPr>
            <w:r>
              <w:rPr>
                <w:spacing w:val="5"/>
              </w:rPr>
              <w:t>其中:K</w:t>
            </w:r>
            <w:r>
              <w:rPr>
                <w:spacing w:val="-28"/>
              </w:rPr>
              <w:t xml:space="preserve"> </w:t>
            </w:r>
            <w:r>
              <w:rPr>
                <w:spacing w:val="5"/>
              </w:rPr>
              <w:t>为扣分合计；</w:t>
            </w:r>
          </w:p>
          <w:p w14:paraId="6D5EB8B4">
            <w:pPr>
              <w:pStyle w:val="6"/>
              <w:spacing w:before="24" w:line="228" w:lineRule="auto"/>
              <w:ind w:left="951"/>
            </w:pPr>
            <w:r>
              <w:rPr>
                <w:spacing w:val="6"/>
              </w:rPr>
              <w:t>k</w:t>
            </w:r>
            <w:r>
              <w:rPr>
                <w:spacing w:val="-35"/>
              </w:rPr>
              <w:t xml:space="preserve"> </w:t>
            </w:r>
            <w:r>
              <w:rPr>
                <w:spacing w:val="6"/>
              </w:rPr>
              <w:t>为单次扣分分值；</w:t>
            </w:r>
          </w:p>
          <w:p w14:paraId="49132A02">
            <w:pPr>
              <w:pStyle w:val="6"/>
              <w:spacing w:before="26" w:line="228" w:lineRule="auto"/>
              <w:ind w:left="951"/>
            </w:pPr>
            <w:r>
              <w:rPr>
                <w:spacing w:val="5"/>
              </w:rPr>
              <w:t>n</w:t>
            </w:r>
            <w:r>
              <w:rPr>
                <w:spacing w:val="-36"/>
              </w:rPr>
              <w:t xml:space="preserve"> </w:t>
            </w:r>
            <w:r>
              <w:rPr>
                <w:spacing w:val="5"/>
              </w:rPr>
              <w:t>为扣分次数；</w:t>
            </w:r>
          </w:p>
          <w:p w14:paraId="2E4F342F">
            <w:pPr>
              <w:pStyle w:val="6"/>
              <w:spacing w:before="28" w:line="250" w:lineRule="auto"/>
              <w:ind w:left="120" w:right="109" w:firstLine="827"/>
            </w:pPr>
            <w:r>
              <w:rPr>
                <w:spacing w:val="5"/>
              </w:rPr>
              <w:t>H</w:t>
            </w:r>
            <w:r>
              <w:rPr>
                <w:spacing w:val="-27"/>
              </w:rPr>
              <w:t xml:space="preserve"> </w:t>
            </w:r>
            <w:r>
              <w:rPr>
                <w:spacing w:val="5"/>
              </w:rPr>
              <w:t>为不平衡报价系数。H</w:t>
            </w:r>
            <w:r>
              <w:rPr>
                <w:spacing w:val="-21"/>
              </w:rPr>
              <w:t xml:space="preserve"> </w:t>
            </w:r>
            <w:r>
              <w:rPr>
                <w:spacing w:val="5"/>
              </w:rPr>
              <w:t>的取值见第二</w:t>
            </w:r>
            <w:r>
              <w:rPr>
                <w:spacing w:val="4"/>
              </w:rPr>
              <w:t>章投标人须知前附表第</w:t>
            </w:r>
            <w:r>
              <w:rPr>
                <w:spacing w:val="-14"/>
              </w:rPr>
              <w:t xml:space="preserve"> </w:t>
            </w:r>
            <w:r>
              <w:rPr>
                <w:rFonts w:ascii="Times New Roman" w:hAnsi="Times New Roman" w:eastAsia="Times New Roman" w:cs="Times New Roman"/>
                <w:spacing w:val="4"/>
              </w:rPr>
              <w:t>10.2.2</w:t>
            </w:r>
            <w:r>
              <w:rPr>
                <w:rFonts w:ascii="Times New Roman" w:hAnsi="Times New Roman" w:eastAsia="Times New Roman" w:cs="Times New Roman"/>
                <w:spacing w:val="15"/>
                <w:w w:val="101"/>
              </w:rPr>
              <w:t xml:space="preserve"> </w:t>
            </w:r>
            <w:r>
              <w:rPr>
                <w:spacing w:val="4"/>
              </w:rPr>
              <w:t>项。</w:t>
            </w:r>
          </w:p>
          <w:p w14:paraId="7B22ACCE">
            <w:pPr>
              <w:pStyle w:val="6"/>
              <w:spacing w:before="1" w:line="253" w:lineRule="auto"/>
              <w:ind w:left="115" w:right="107"/>
            </w:pPr>
            <w:r>
              <w:rPr>
                <w:spacing w:val="11"/>
              </w:rPr>
              <w:t>单位工程投标报价如有算术错误修正，</w:t>
            </w:r>
            <w:r>
              <w:rPr>
                <w:spacing w:val="-47"/>
              </w:rPr>
              <w:t xml:space="preserve"> </w:t>
            </w:r>
            <w:r>
              <w:rPr>
                <w:spacing w:val="11"/>
              </w:rPr>
              <w:t>以修正</w:t>
            </w:r>
            <w:r>
              <w:rPr>
                <w:spacing w:val="8"/>
              </w:rPr>
              <w:t>后的单位工程投标报价计算。</w:t>
            </w:r>
          </w:p>
        </w:tc>
      </w:tr>
      <w:tr w14:paraId="653E51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745" w:type="dxa"/>
            <w:vMerge w:val="continue"/>
            <w:tcBorders>
              <w:top w:val="nil"/>
              <w:bottom w:val="nil"/>
            </w:tcBorders>
            <w:vAlign w:val="top"/>
          </w:tcPr>
          <w:p w14:paraId="5EACB6F0">
            <w:pPr>
              <w:rPr>
                <w:rFonts w:ascii="Arial"/>
                <w:sz w:val="21"/>
              </w:rPr>
            </w:pPr>
          </w:p>
        </w:tc>
        <w:tc>
          <w:tcPr>
            <w:tcW w:w="1058" w:type="dxa"/>
            <w:vMerge w:val="continue"/>
            <w:tcBorders>
              <w:top w:val="nil"/>
              <w:bottom w:val="nil"/>
            </w:tcBorders>
            <w:vAlign w:val="top"/>
          </w:tcPr>
          <w:p w14:paraId="39B20BB0">
            <w:pPr>
              <w:rPr>
                <w:rFonts w:ascii="Arial"/>
                <w:sz w:val="21"/>
              </w:rPr>
            </w:pPr>
          </w:p>
        </w:tc>
        <w:tc>
          <w:tcPr>
            <w:tcW w:w="2159" w:type="dxa"/>
            <w:vAlign w:val="top"/>
          </w:tcPr>
          <w:p w14:paraId="7E8FB9F8">
            <w:pPr>
              <w:pStyle w:val="6"/>
              <w:spacing w:before="199" w:line="226" w:lineRule="auto"/>
              <w:ind w:left="115"/>
            </w:pPr>
            <w:r>
              <w:rPr>
                <w:spacing w:val="7"/>
              </w:rPr>
              <w:t>投标报价得分</w:t>
            </w:r>
          </w:p>
        </w:tc>
        <w:tc>
          <w:tcPr>
            <w:tcW w:w="720" w:type="dxa"/>
            <w:vAlign w:val="top"/>
          </w:tcPr>
          <w:p w14:paraId="6309E3F4">
            <w:pPr>
              <w:rPr>
                <w:rFonts w:ascii="Arial"/>
                <w:sz w:val="21"/>
              </w:rPr>
            </w:pPr>
          </w:p>
        </w:tc>
        <w:tc>
          <w:tcPr>
            <w:tcW w:w="4502" w:type="dxa"/>
            <w:vAlign w:val="top"/>
          </w:tcPr>
          <w:p w14:paraId="0FD926F1">
            <w:pPr>
              <w:pStyle w:val="6"/>
              <w:spacing w:before="162" w:line="281" w:lineRule="exact"/>
              <w:ind w:left="108"/>
            </w:pPr>
            <w:r>
              <w:rPr>
                <w:rFonts w:ascii="Times New Roman" w:hAnsi="Times New Roman" w:eastAsia="Times New Roman" w:cs="Times New Roman"/>
                <w:spacing w:val="5"/>
                <w:position w:val="1"/>
              </w:rPr>
              <w:t>M = F – K</w:t>
            </w:r>
            <w:r>
              <w:rPr>
                <w:rFonts w:ascii="Times New Roman" w:hAnsi="Times New Roman" w:eastAsia="Times New Roman" w:cs="Times New Roman"/>
                <w:spacing w:val="3"/>
                <w:position w:val="1"/>
              </w:rPr>
              <w:t xml:space="preserve">            </w:t>
            </w:r>
            <w:r>
              <w:rPr>
                <w:spacing w:val="5"/>
                <w:position w:val="1"/>
              </w:rPr>
              <w:t>其中：</w:t>
            </w:r>
            <w:r>
              <w:rPr>
                <w:rFonts w:ascii="Times New Roman" w:hAnsi="Times New Roman" w:eastAsia="Times New Roman" w:cs="Times New Roman"/>
                <w:spacing w:val="5"/>
                <w:position w:val="1"/>
              </w:rPr>
              <w:t>M</w:t>
            </w:r>
            <w:r>
              <w:rPr>
                <w:spacing w:val="5"/>
                <w:position w:val="1"/>
              </w:rPr>
              <w:t>≥</w:t>
            </w:r>
            <w:r>
              <w:rPr>
                <w:rFonts w:ascii="Times New Roman" w:hAnsi="Times New Roman" w:eastAsia="Times New Roman" w:cs="Times New Roman"/>
                <w:spacing w:val="5"/>
                <w:position w:val="1"/>
              </w:rPr>
              <w:t>0</w:t>
            </w:r>
            <w:r>
              <w:rPr>
                <w:spacing w:val="5"/>
                <w:position w:val="1"/>
              </w:rPr>
              <w:t>。</w:t>
            </w:r>
          </w:p>
        </w:tc>
      </w:tr>
      <w:tr w14:paraId="28FE3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1" w:hRule="atLeast"/>
        </w:trPr>
        <w:tc>
          <w:tcPr>
            <w:tcW w:w="745" w:type="dxa"/>
            <w:vMerge w:val="continue"/>
            <w:tcBorders>
              <w:top w:val="nil"/>
            </w:tcBorders>
            <w:vAlign w:val="top"/>
          </w:tcPr>
          <w:p w14:paraId="03BECD4D">
            <w:pPr>
              <w:rPr>
                <w:rFonts w:ascii="Arial"/>
                <w:sz w:val="21"/>
              </w:rPr>
            </w:pPr>
          </w:p>
        </w:tc>
        <w:tc>
          <w:tcPr>
            <w:tcW w:w="1058" w:type="dxa"/>
            <w:vMerge w:val="continue"/>
            <w:tcBorders>
              <w:top w:val="nil"/>
            </w:tcBorders>
            <w:vAlign w:val="top"/>
          </w:tcPr>
          <w:p w14:paraId="0602F16A">
            <w:pPr>
              <w:rPr>
                <w:rFonts w:ascii="Arial"/>
                <w:sz w:val="21"/>
              </w:rPr>
            </w:pPr>
          </w:p>
        </w:tc>
        <w:tc>
          <w:tcPr>
            <w:tcW w:w="2159" w:type="dxa"/>
            <w:vAlign w:val="top"/>
          </w:tcPr>
          <w:p w14:paraId="7B867640">
            <w:pPr>
              <w:spacing w:line="252" w:lineRule="auto"/>
              <w:rPr>
                <w:rFonts w:ascii="Arial"/>
                <w:sz w:val="21"/>
              </w:rPr>
            </w:pPr>
          </w:p>
          <w:p w14:paraId="4D017A37">
            <w:pPr>
              <w:spacing w:line="252" w:lineRule="auto"/>
              <w:rPr>
                <w:rFonts w:ascii="Arial"/>
                <w:sz w:val="21"/>
              </w:rPr>
            </w:pPr>
          </w:p>
          <w:p w14:paraId="061945B8">
            <w:pPr>
              <w:spacing w:line="252" w:lineRule="auto"/>
              <w:rPr>
                <w:rFonts w:ascii="Arial"/>
                <w:sz w:val="21"/>
              </w:rPr>
            </w:pPr>
          </w:p>
          <w:p w14:paraId="71D932E4">
            <w:pPr>
              <w:spacing w:line="252" w:lineRule="auto"/>
              <w:rPr>
                <w:rFonts w:ascii="Arial"/>
                <w:sz w:val="21"/>
              </w:rPr>
            </w:pPr>
          </w:p>
          <w:p w14:paraId="1DDC7A5B">
            <w:pPr>
              <w:spacing w:line="252" w:lineRule="auto"/>
              <w:rPr>
                <w:rFonts w:ascii="Arial"/>
                <w:sz w:val="21"/>
              </w:rPr>
            </w:pPr>
          </w:p>
          <w:p w14:paraId="27AF7319">
            <w:pPr>
              <w:spacing w:line="252" w:lineRule="auto"/>
              <w:rPr>
                <w:rFonts w:ascii="Arial"/>
                <w:sz w:val="21"/>
              </w:rPr>
            </w:pPr>
          </w:p>
          <w:p w14:paraId="703BB649">
            <w:pPr>
              <w:spacing w:line="252" w:lineRule="auto"/>
              <w:rPr>
                <w:rFonts w:ascii="Arial"/>
                <w:sz w:val="21"/>
              </w:rPr>
            </w:pPr>
          </w:p>
          <w:p w14:paraId="4BFC310F">
            <w:pPr>
              <w:spacing w:line="253" w:lineRule="auto"/>
              <w:rPr>
                <w:rFonts w:ascii="Arial"/>
                <w:sz w:val="21"/>
              </w:rPr>
            </w:pPr>
          </w:p>
          <w:p w14:paraId="7AF596C2">
            <w:pPr>
              <w:spacing w:line="253" w:lineRule="auto"/>
              <w:rPr>
                <w:rFonts w:ascii="Arial"/>
                <w:sz w:val="21"/>
              </w:rPr>
            </w:pPr>
          </w:p>
          <w:p w14:paraId="24D0A972">
            <w:pPr>
              <w:pStyle w:val="6"/>
              <w:spacing w:before="65" w:line="251" w:lineRule="auto"/>
              <w:ind w:left="112" w:right="791" w:hanging="1"/>
            </w:pPr>
            <w:r>
              <w:rPr>
                <w:spacing w:val="8"/>
              </w:rPr>
              <w:t>政府采购工程价格评审优惠</w:t>
            </w:r>
          </w:p>
        </w:tc>
        <w:tc>
          <w:tcPr>
            <w:tcW w:w="720" w:type="dxa"/>
            <w:vAlign w:val="top"/>
          </w:tcPr>
          <w:p w14:paraId="6A07338C">
            <w:pPr>
              <w:rPr>
                <w:rFonts w:ascii="Arial"/>
                <w:sz w:val="21"/>
              </w:rPr>
            </w:pPr>
          </w:p>
        </w:tc>
        <w:tc>
          <w:tcPr>
            <w:tcW w:w="4502" w:type="dxa"/>
            <w:vAlign w:val="top"/>
          </w:tcPr>
          <w:p w14:paraId="19687BF0">
            <w:pPr>
              <w:pStyle w:val="6"/>
              <w:spacing w:before="33" w:line="227" w:lineRule="auto"/>
              <w:ind w:left="112"/>
            </w:pPr>
            <w:r>
              <w:rPr>
                <w:spacing w:val="9"/>
              </w:rPr>
              <w:t>对项目未预留份额专门面向中小企业采购的</w:t>
            </w:r>
          </w:p>
          <w:p w14:paraId="2D9EFCEF">
            <w:pPr>
              <w:pStyle w:val="6"/>
              <w:spacing w:before="28" w:line="251" w:lineRule="auto"/>
              <w:ind w:left="114" w:right="107" w:firstLine="15"/>
            </w:pPr>
            <w:r>
              <w:rPr>
                <w:rFonts w:ascii="Times New Roman" w:hAnsi="Times New Roman" w:eastAsia="Times New Roman" w:cs="Times New Roman"/>
                <w:spacing w:val="4"/>
              </w:rPr>
              <w:t>1.</w:t>
            </w:r>
            <w:r>
              <w:rPr>
                <w:spacing w:val="4"/>
              </w:rPr>
              <w:t>如投标人属于小微企业的，评标时在其投标报</w:t>
            </w:r>
            <w:r>
              <w:rPr>
                <w:spacing w:val="11"/>
              </w:rPr>
              <w:t>价得分的基础上增加</w:t>
            </w:r>
            <w:r>
              <w:rPr>
                <w:spacing w:val="-89"/>
              </w:rPr>
              <w:t xml:space="preserve"> </w:t>
            </w:r>
            <w:r>
              <w:rPr>
                <w:spacing w:val="11"/>
                <w:u w:val="single" w:color="auto"/>
              </w:rPr>
              <w:t xml:space="preserve">  P%  </w:t>
            </w:r>
            <w:r>
              <w:rPr>
                <w:spacing w:val="-90"/>
              </w:rPr>
              <w:t xml:space="preserve"> </w:t>
            </w:r>
            <w:r>
              <w:rPr>
                <w:spacing w:val="11"/>
              </w:rPr>
              <w:t>作为其投标报价最</w:t>
            </w:r>
            <w:r>
              <w:rPr>
                <w:spacing w:val="4"/>
              </w:rPr>
              <w:t>终得分。</w:t>
            </w:r>
          </w:p>
          <w:p w14:paraId="734BBC69">
            <w:pPr>
              <w:pStyle w:val="6"/>
              <w:spacing w:line="228" w:lineRule="auto"/>
              <w:ind w:left="549"/>
            </w:pPr>
            <w:r>
              <w:rPr>
                <w:spacing w:val="3"/>
              </w:rPr>
              <w:t>即</w:t>
            </w:r>
            <w:r>
              <w:rPr>
                <w:spacing w:val="-38"/>
              </w:rPr>
              <w:t xml:space="preserve"> </w:t>
            </w:r>
            <w:r>
              <w:rPr>
                <w:spacing w:val="3"/>
              </w:rPr>
              <w:t>S= M×（1+P%）</w:t>
            </w:r>
          </w:p>
          <w:p w14:paraId="3231238D">
            <w:pPr>
              <w:pStyle w:val="6"/>
              <w:spacing w:before="23" w:line="252" w:lineRule="auto"/>
              <w:ind w:left="115" w:right="107" w:firstLine="414"/>
              <w:jc w:val="both"/>
            </w:pPr>
            <w:r>
              <w:rPr>
                <w:spacing w:val="7"/>
              </w:rPr>
              <w:t>P：为小微企业报价优惠系数，范围为</w:t>
            </w:r>
            <w:r>
              <w:rPr>
                <w:spacing w:val="-15"/>
              </w:rPr>
              <w:t xml:space="preserve"> </w:t>
            </w:r>
            <w:r>
              <w:rPr>
                <w:spacing w:val="7"/>
              </w:rPr>
              <w:t>3-5</w:t>
            </w:r>
            <w:r>
              <w:rPr>
                <w:spacing w:val="4"/>
              </w:rPr>
              <w:t>的整数，由招标人确定。P</w:t>
            </w:r>
            <w:r>
              <w:rPr>
                <w:spacing w:val="-11"/>
              </w:rPr>
              <w:t xml:space="preserve"> </w:t>
            </w:r>
            <w:r>
              <w:rPr>
                <w:spacing w:val="4"/>
              </w:rPr>
              <w:t>的取值见第二章投标人须知前附表第</w:t>
            </w:r>
            <w:r>
              <w:rPr>
                <w:spacing w:val="-22"/>
              </w:rPr>
              <w:t xml:space="preserve"> </w:t>
            </w:r>
            <w:r>
              <w:rPr>
                <w:spacing w:val="4"/>
              </w:rPr>
              <w:t>10.2.4</w:t>
            </w:r>
            <w:r>
              <w:rPr>
                <w:spacing w:val="-35"/>
              </w:rPr>
              <w:t xml:space="preserve"> </w:t>
            </w:r>
            <w:r>
              <w:rPr>
                <w:spacing w:val="4"/>
              </w:rPr>
              <w:t>项。</w:t>
            </w:r>
          </w:p>
          <w:p w14:paraId="7930F63E">
            <w:pPr>
              <w:pStyle w:val="6"/>
              <w:spacing w:before="2" w:line="253" w:lineRule="auto"/>
              <w:ind w:left="113" w:right="107" w:firstLine="423"/>
            </w:pPr>
            <w:r>
              <w:rPr>
                <w:spacing w:val="14"/>
              </w:rPr>
              <w:t>如招标人接受联合体，联合体各方均为小</w:t>
            </w:r>
            <w:r>
              <w:rPr>
                <w:spacing w:val="8"/>
              </w:rPr>
              <w:t>微企业的，联合体视同小微企业。</w:t>
            </w:r>
          </w:p>
          <w:p w14:paraId="470A0B73">
            <w:pPr>
              <w:pStyle w:val="6"/>
              <w:spacing w:before="265" w:line="243" w:lineRule="auto"/>
              <w:ind w:left="114" w:right="109" w:firstLine="1"/>
              <w:jc w:val="both"/>
            </w:pPr>
            <w:r>
              <w:rPr>
                <w:spacing w:val="12"/>
              </w:rPr>
              <w:t>2.如招标人接受大中型企业与小微企业组成联</w:t>
            </w:r>
            <w:r>
              <w:rPr>
                <w:spacing w:val="13"/>
              </w:rPr>
              <w:t>合体或者允许大中型企业向一家或者多家小微企业分包的采购项目，对于联合协议或者分包意向协议约定小微企业的合同份额占到合同总</w:t>
            </w:r>
          </w:p>
        </w:tc>
      </w:tr>
    </w:tbl>
    <w:p w14:paraId="39651B55">
      <w:pPr>
        <w:rPr>
          <w:rFonts w:ascii="Arial"/>
          <w:sz w:val="21"/>
        </w:rPr>
      </w:pPr>
    </w:p>
    <w:p w14:paraId="627B3EC8">
      <w:pPr>
        <w:rPr>
          <w:rFonts w:ascii="Arial" w:hAnsi="Arial" w:eastAsia="Arial" w:cs="Arial"/>
          <w:sz w:val="21"/>
          <w:szCs w:val="21"/>
        </w:rPr>
        <w:sectPr>
          <w:footerReference r:id="rId64" w:type="default"/>
          <w:pgSz w:w="11907" w:h="16840"/>
          <w:pgMar w:top="400" w:right="1248" w:bottom="1035" w:left="1469" w:header="0" w:footer="785" w:gutter="0"/>
          <w:cols w:space="720" w:num="1"/>
        </w:sectPr>
      </w:pPr>
    </w:p>
    <w:p w14:paraId="4CC3B480">
      <w:pPr>
        <w:spacing w:before="19"/>
      </w:pPr>
    </w:p>
    <w:p w14:paraId="2301970E">
      <w:pPr>
        <w:spacing w:before="19"/>
      </w:pPr>
    </w:p>
    <w:p w14:paraId="2C293DAE">
      <w:pPr>
        <w:spacing w:before="19"/>
      </w:pPr>
    </w:p>
    <w:p w14:paraId="4B0F3BB3">
      <w:pPr>
        <w:spacing w:before="18"/>
      </w:pPr>
    </w:p>
    <w:p w14:paraId="5B3B7BA6">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159"/>
        <w:gridCol w:w="720"/>
        <w:gridCol w:w="4502"/>
      </w:tblGrid>
      <w:tr w14:paraId="1E042A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4" w:hRule="atLeast"/>
        </w:trPr>
        <w:tc>
          <w:tcPr>
            <w:tcW w:w="745" w:type="dxa"/>
            <w:vMerge w:val="restart"/>
            <w:tcBorders>
              <w:bottom w:val="nil"/>
            </w:tcBorders>
            <w:vAlign w:val="top"/>
          </w:tcPr>
          <w:p w14:paraId="59B65224">
            <w:pPr>
              <w:rPr>
                <w:rFonts w:ascii="Arial"/>
                <w:sz w:val="21"/>
              </w:rPr>
            </w:pPr>
          </w:p>
        </w:tc>
        <w:tc>
          <w:tcPr>
            <w:tcW w:w="1058" w:type="dxa"/>
            <w:vMerge w:val="restart"/>
            <w:tcBorders>
              <w:bottom w:val="nil"/>
            </w:tcBorders>
            <w:vAlign w:val="top"/>
          </w:tcPr>
          <w:p w14:paraId="24B6F841">
            <w:pPr>
              <w:rPr>
                <w:rFonts w:ascii="Arial"/>
                <w:sz w:val="21"/>
              </w:rPr>
            </w:pPr>
          </w:p>
        </w:tc>
        <w:tc>
          <w:tcPr>
            <w:tcW w:w="2159" w:type="dxa"/>
            <w:vAlign w:val="top"/>
          </w:tcPr>
          <w:p w14:paraId="479BE803">
            <w:pPr>
              <w:rPr>
                <w:rFonts w:ascii="Arial"/>
                <w:sz w:val="21"/>
              </w:rPr>
            </w:pPr>
          </w:p>
        </w:tc>
        <w:tc>
          <w:tcPr>
            <w:tcW w:w="720" w:type="dxa"/>
            <w:vAlign w:val="top"/>
          </w:tcPr>
          <w:p w14:paraId="3594CF7F">
            <w:pPr>
              <w:rPr>
                <w:rFonts w:ascii="Arial"/>
                <w:sz w:val="21"/>
              </w:rPr>
            </w:pPr>
          </w:p>
        </w:tc>
        <w:tc>
          <w:tcPr>
            <w:tcW w:w="4502" w:type="dxa"/>
            <w:vAlign w:val="top"/>
          </w:tcPr>
          <w:p w14:paraId="1785C097">
            <w:pPr>
              <w:pStyle w:val="6"/>
              <w:spacing w:before="35" w:line="234" w:lineRule="auto"/>
              <w:ind w:left="115" w:right="109"/>
            </w:pPr>
            <w:r>
              <w:rPr>
                <w:spacing w:val="12"/>
              </w:rPr>
              <w:t>金额 30%以上的，评标时在其报价得分的基础</w:t>
            </w:r>
            <w:r>
              <w:rPr>
                <w:spacing w:val="7"/>
              </w:rPr>
              <w:t>上增加</w:t>
            </w:r>
            <w:r>
              <w:rPr>
                <w:spacing w:val="7"/>
                <w:u w:val="single" w:color="auto"/>
              </w:rPr>
              <w:t xml:space="preserve">  Q%  </w:t>
            </w:r>
            <w:r>
              <w:rPr>
                <w:spacing w:val="-89"/>
              </w:rPr>
              <w:t xml:space="preserve"> </w:t>
            </w:r>
            <w:r>
              <w:rPr>
                <w:spacing w:val="7"/>
              </w:rPr>
              <w:t>作为其投标报价最终得分。</w:t>
            </w:r>
          </w:p>
          <w:p w14:paraId="63D26F70">
            <w:pPr>
              <w:pStyle w:val="6"/>
              <w:spacing w:line="281" w:lineRule="exact"/>
              <w:ind w:left="549"/>
            </w:pPr>
            <w:r>
              <w:rPr>
                <w:spacing w:val="3"/>
                <w:position w:val="2"/>
              </w:rPr>
              <w:t>即</w:t>
            </w:r>
            <w:r>
              <w:rPr>
                <w:spacing w:val="-36"/>
                <w:position w:val="2"/>
              </w:rPr>
              <w:t xml:space="preserve"> </w:t>
            </w:r>
            <w:r>
              <w:rPr>
                <w:spacing w:val="3"/>
                <w:position w:val="2"/>
              </w:rPr>
              <w:t>S</w:t>
            </w:r>
            <w:r>
              <w:rPr>
                <w:rFonts w:ascii="Times New Roman" w:hAnsi="Times New Roman" w:eastAsia="Times New Roman" w:cs="Times New Roman"/>
                <w:spacing w:val="3"/>
                <w:position w:val="2"/>
              </w:rPr>
              <w:t>= M</w:t>
            </w:r>
            <w:r>
              <w:rPr>
                <w:spacing w:val="3"/>
                <w:position w:val="2"/>
              </w:rPr>
              <w:t>×（1+Q%）</w:t>
            </w:r>
          </w:p>
          <w:p w14:paraId="76EBFBAC">
            <w:pPr>
              <w:pStyle w:val="6"/>
              <w:spacing w:before="29" w:line="252" w:lineRule="auto"/>
              <w:ind w:left="111" w:right="39" w:firstLine="420"/>
            </w:pPr>
            <w:r>
              <w:rPr>
                <w:spacing w:val="8"/>
              </w:rPr>
              <w:t>Q：为满足条件的联合体或者分包企业报价</w:t>
            </w:r>
            <w:r>
              <w:rPr>
                <w:spacing w:val="4"/>
              </w:rPr>
              <w:t>优惠系数，范围为</w:t>
            </w:r>
            <w:r>
              <w:rPr>
                <w:spacing w:val="-20"/>
              </w:rPr>
              <w:t xml:space="preserve"> </w:t>
            </w:r>
            <w:r>
              <w:rPr>
                <w:spacing w:val="4"/>
              </w:rPr>
              <w:t>1-2</w:t>
            </w:r>
            <w:r>
              <w:rPr>
                <w:spacing w:val="-23"/>
              </w:rPr>
              <w:t xml:space="preserve"> </w:t>
            </w:r>
            <w:r>
              <w:rPr>
                <w:spacing w:val="4"/>
              </w:rPr>
              <w:t>的整数，由招标人确定。</w:t>
            </w:r>
            <w:r>
              <w:t xml:space="preserve"> </w:t>
            </w:r>
            <w:r>
              <w:rPr>
                <w:spacing w:val="9"/>
              </w:rPr>
              <w:t>Q</w:t>
            </w:r>
            <w:r>
              <w:rPr>
                <w:spacing w:val="-16"/>
              </w:rPr>
              <w:t xml:space="preserve"> </w:t>
            </w:r>
            <w:r>
              <w:rPr>
                <w:spacing w:val="9"/>
              </w:rPr>
              <w:t>的取值见第二章投标人须知前附表第</w:t>
            </w:r>
            <w:r>
              <w:rPr>
                <w:spacing w:val="-16"/>
              </w:rPr>
              <w:t xml:space="preserve"> </w:t>
            </w:r>
            <w:r>
              <w:rPr>
                <w:spacing w:val="9"/>
              </w:rPr>
              <w:t>10.2.5</w:t>
            </w:r>
            <w:r>
              <w:rPr>
                <w:spacing w:val="1"/>
              </w:rPr>
              <w:t>项。</w:t>
            </w:r>
          </w:p>
          <w:p w14:paraId="29062694">
            <w:pPr>
              <w:pStyle w:val="6"/>
              <w:spacing w:before="268"/>
              <w:ind w:left="113" w:right="109" w:firstLine="4"/>
            </w:pPr>
            <w:r>
              <w:rPr>
                <w:spacing w:val="12"/>
              </w:rPr>
              <w:t>3.组成联合体或者接受分包的小微企业与联合</w:t>
            </w:r>
            <w:r>
              <w:rPr>
                <w:spacing w:val="13"/>
              </w:rPr>
              <w:t>体内其他企业、分包企业之间存在直接控股、</w:t>
            </w:r>
            <w:r>
              <w:rPr>
                <w:spacing w:val="8"/>
              </w:rPr>
              <w:t>管理关系的，不享受价格评审优惠政策。</w:t>
            </w:r>
          </w:p>
        </w:tc>
      </w:tr>
      <w:tr w14:paraId="2F397B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45" w:type="dxa"/>
            <w:vMerge w:val="continue"/>
            <w:tcBorders>
              <w:top w:val="nil"/>
            </w:tcBorders>
            <w:vAlign w:val="top"/>
          </w:tcPr>
          <w:p w14:paraId="79C66816">
            <w:pPr>
              <w:rPr>
                <w:rFonts w:ascii="Arial"/>
                <w:sz w:val="21"/>
              </w:rPr>
            </w:pPr>
          </w:p>
        </w:tc>
        <w:tc>
          <w:tcPr>
            <w:tcW w:w="1058" w:type="dxa"/>
            <w:vMerge w:val="continue"/>
            <w:tcBorders>
              <w:top w:val="nil"/>
            </w:tcBorders>
            <w:vAlign w:val="top"/>
          </w:tcPr>
          <w:p w14:paraId="612D98E3">
            <w:pPr>
              <w:rPr>
                <w:rFonts w:ascii="Arial"/>
                <w:sz w:val="21"/>
              </w:rPr>
            </w:pPr>
          </w:p>
        </w:tc>
        <w:tc>
          <w:tcPr>
            <w:tcW w:w="2159" w:type="dxa"/>
            <w:vAlign w:val="top"/>
          </w:tcPr>
          <w:p w14:paraId="54164D1D">
            <w:pPr>
              <w:pStyle w:val="6"/>
              <w:spacing w:before="199" w:line="226" w:lineRule="auto"/>
              <w:ind w:left="115"/>
            </w:pPr>
            <w:r>
              <w:rPr>
                <w:spacing w:val="8"/>
              </w:rPr>
              <w:t>投标报价最终得分</w:t>
            </w:r>
          </w:p>
        </w:tc>
        <w:tc>
          <w:tcPr>
            <w:tcW w:w="720" w:type="dxa"/>
            <w:vAlign w:val="top"/>
          </w:tcPr>
          <w:p w14:paraId="6E09D91A">
            <w:pPr>
              <w:rPr>
                <w:rFonts w:ascii="Arial"/>
                <w:sz w:val="21"/>
              </w:rPr>
            </w:pPr>
          </w:p>
        </w:tc>
        <w:tc>
          <w:tcPr>
            <w:tcW w:w="4502" w:type="dxa"/>
            <w:vAlign w:val="top"/>
          </w:tcPr>
          <w:p w14:paraId="6959A8E7">
            <w:pPr>
              <w:pStyle w:val="6"/>
              <w:spacing w:before="161" w:line="281" w:lineRule="exact"/>
              <w:ind w:left="114"/>
            </w:pPr>
            <w:r>
              <w:rPr>
                <w:spacing w:val="5"/>
                <w:position w:val="1"/>
              </w:rPr>
              <w:t>S</w:t>
            </w:r>
            <w:r>
              <w:rPr>
                <w:rFonts w:ascii="Times New Roman" w:hAnsi="Times New Roman" w:eastAsia="Times New Roman" w:cs="Times New Roman"/>
                <w:spacing w:val="5"/>
                <w:position w:val="1"/>
              </w:rPr>
              <w:t>= M</w:t>
            </w:r>
            <w:r>
              <w:rPr>
                <w:spacing w:val="5"/>
                <w:position w:val="1"/>
              </w:rPr>
              <w:t>×（1+P%） 或</w:t>
            </w:r>
            <w:r>
              <w:rPr>
                <w:spacing w:val="-29"/>
                <w:position w:val="1"/>
              </w:rPr>
              <w:t xml:space="preserve"> </w:t>
            </w:r>
            <w:r>
              <w:rPr>
                <w:spacing w:val="5"/>
                <w:position w:val="1"/>
              </w:rPr>
              <w:t>S</w:t>
            </w:r>
            <w:r>
              <w:rPr>
                <w:rFonts w:ascii="Times New Roman" w:hAnsi="Times New Roman" w:eastAsia="Times New Roman" w:cs="Times New Roman"/>
                <w:spacing w:val="5"/>
                <w:position w:val="1"/>
              </w:rPr>
              <w:t>=</w:t>
            </w:r>
            <w:r>
              <w:rPr>
                <w:rFonts w:ascii="Times New Roman" w:hAnsi="Times New Roman" w:eastAsia="Times New Roman" w:cs="Times New Roman"/>
                <w:spacing w:val="6"/>
                <w:position w:val="1"/>
              </w:rPr>
              <w:t xml:space="preserve"> </w:t>
            </w:r>
            <w:r>
              <w:rPr>
                <w:rFonts w:ascii="Times New Roman" w:hAnsi="Times New Roman" w:eastAsia="Times New Roman" w:cs="Times New Roman"/>
                <w:spacing w:val="5"/>
                <w:position w:val="1"/>
              </w:rPr>
              <w:t>M</w:t>
            </w:r>
            <w:r>
              <w:rPr>
                <w:spacing w:val="5"/>
                <w:position w:val="1"/>
              </w:rPr>
              <w:t>×（1+Q%）</w:t>
            </w:r>
          </w:p>
        </w:tc>
      </w:tr>
      <w:tr w14:paraId="2BAE6A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745" w:type="dxa"/>
            <w:vAlign w:val="top"/>
          </w:tcPr>
          <w:p w14:paraId="7045C862">
            <w:pPr>
              <w:rPr>
                <w:rFonts w:ascii="Arial"/>
                <w:sz w:val="21"/>
              </w:rPr>
            </w:pPr>
          </w:p>
        </w:tc>
        <w:tc>
          <w:tcPr>
            <w:tcW w:w="8439" w:type="dxa"/>
            <w:gridSpan w:val="4"/>
            <w:vAlign w:val="top"/>
          </w:tcPr>
          <w:p w14:paraId="144E6499">
            <w:pPr>
              <w:pStyle w:val="6"/>
              <w:spacing w:before="108" w:line="252" w:lineRule="auto"/>
              <w:ind w:left="114" w:right="108" w:hanging="2"/>
            </w:pPr>
            <w:r>
              <w:rPr>
                <w:spacing w:val="13"/>
              </w:rPr>
              <w:t>通过初步评审的有效投标多于</w:t>
            </w:r>
            <w:r>
              <w:rPr>
                <w:spacing w:val="-36"/>
              </w:rPr>
              <w:t xml:space="preserve"> </w:t>
            </w:r>
            <w:r>
              <w:rPr>
                <w:rFonts w:ascii="Times New Roman" w:hAnsi="Times New Roman" w:eastAsia="Times New Roman" w:cs="Times New Roman"/>
                <w:spacing w:val="13"/>
              </w:rPr>
              <w:t>9</w:t>
            </w:r>
            <w:r>
              <w:rPr>
                <w:rFonts w:ascii="Times New Roman" w:hAnsi="Times New Roman" w:eastAsia="Times New Roman" w:cs="Times New Roman"/>
                <w:spacing w:val="18"/>
                <w:w w:val="101"/>
              </w:rPr>
              <w:t xml:space="preserve"> </w:t>
            </w:r>
            <w:r>
              <w:rPr>
                <w:spacing w:val="13"/>
              </w:rPr>
              <w:t>家时，评标委员会选择投标报价最终得分</w:t>
            </w:r>
            <w:r>
              <w:rPr>
                <w:spacing w:val="12"/>
              </w:rPr>
              <w:t>（</w:t>
            </w:r>
            <w:r>
              <w:rPr>
                <w:rFonts w:ascii="Times New Roman" w:hAnsi="Times New Roman" w:eastAsia="Times New Roman" w:cs="Times New Roman"/>
                <w:spacing w:val="12"/>
              </w:rPr>
              <w:t>S</w:t>
            </w:r>
            <w:r>
              <w:rPr>
                <w:spacing w:val="12"/>
              </w:rPr>
              <w:t>）高的前</w:t>
            </w:r>
            <w:r>
              <w:rPr>
                <w:spacing w:val="-32"/>
              </w:rPr>
              <w:t xml:space="preserve"> </w:t>
            </w:r>
            <w:r>
              <w:rPr>
                <w:rFonts w:ascii="Times New Roman" w:hAnsi="Times New Roman" w:eastAsia="Times New Roman" w:cs="Times New Roman"/>
                <w:spacing w:val="12"/>
              </w:rPr>
              <w:t>9</w:t>
            </w:r>
            <w:r>
              <w:rPr>
                <w:spacing w:val="9"/>
              </w:rPr>
              <w:t>名的有效投标进行后续详细评审，其他有效投标不再进行详细评审。</w:t>
            </w:r>
          </w:p>
        </w:tc>
      </w:tr>
      <w:tr w14:paraId="54572E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45" w:type="dxa"/>
            <w:vMerge w:val="restart"/>
            <w:tcBorders>
              <w:bottom w:val="nil"/>
            </w:tcBorders>
            <w:vAlign w:val="top"/>
          </w:tcPr>
          <w:p w14:paraId="40602F06">
            <w:pPr>
              <w:spacing w:line="242" w:lineRule="auto"/>
              <w:rPr>
                <w:rFonts w:ascii="Arial"/>
                <w:sz w:val="21"/>
              </w:rPr>
            </w:pPr>
          </w:p>
          <w:p w14:paraId="3E524141">
            <w:pPr>
              <w:spacing w:line="242" w:lineRule="auto"/>
              <w:rPr>
                <w:rFonts w:ascii="Arial"/>
                <w:sz w:val="21"/>
              </w:rPr>
            </w:pPr>
          </w:p>
          <w:p w14:paraId="00C48CFC">
            <w:pPr>
              <w:spacing w:line="242" w:lineRule="auto"/>
              <w:rPr>
                <w:rFonts w:ascii="Arial"/>
                <w:sz w:val="21"/>
              </w:rPr>
            </w:pPr>
          </w:p>
          <w:p w14:paraId="579D01D2">
            <w:pPr>
              <w:spacing w:line="242" w:lineRule="auto"/>
              <w:rPr>
                <w:rFonts w:ascii="Arial"/>
                <w:sz w:val="21"/>
              </w:rPr>
            </w:pPr>
          </w:p>
          <w:p w14:paraId="541D2FC5">
            <w:pPr>
              <w:spacing w:line="242" w:lineRule="auto"/>
              <w:rPr>
                <w:rFonts w:ascii="Arial"/>
                <w:sz w:val="21"/>
              </w:rPr>
            </w:pPr>
          </w:p>
          <w:p w14:paraId="6B71FFB3">
            <w:pPr>
              <w:spacing w:line="243" w:lineRule="auto"/>
              <w:rPr>
                <w:rFonts w:ascii="Arial"/>
                <w:sz w:val="21"/>
              </w:rPr>
            </w:pPr>
          </w:p>
          <w:p w14:paraId="06356AFC">
            <w:pPr>
              <w:spacing w:line="243" w:lineRule="auto"/>
              <w:rPr>
                <w:rFonts w:ascii="Arial"/>
                <w:sz w:val="21"/>
              </w:rPr>
            </w:pPr>
          </w:p>
          <w:p w14:paraId="3E86CD71">
            <w:pPr>
              <w:spacing w:line="243" w:lineRule="auto"/>
              <w:rPr>
                <w:rFonts w:ascii="Arial"/>
                <w:sz w:val="21"/>
              </w:rPr>
            </w:pPr>
          </w:p>
          <w:p w14:paraId="41EC45CD">
            <w:pPr>
              <w:spacing w:line="243" w:lineRule="auto"/>
              <w:rPr>
                <w:rFonts w:ascii="Arial"/>
                <w:sz w:val="21"/>
              </w:rPr>
            </w:pPr>
          </w:p>
          <w:p w14:paraId="6449CD82">
            <w:pPr>
              <w:spacing w:line="243" w:lineRule="auto"/>
              <w:rPr>
                <w:rFonts w:ascii="Arial"/>
                <w:sz w:val="21"/>
              </w:rPr>
            </w:pPr>
          </w:p>
          <w:p w14:paraId="7825BD92">
            <w:pPr>
              <w:spacing w:line="243" w:lineRule="auto"/>
              <w:rPr>
                <w:rFonts w:ascii="Arial"/>
                <w:sz w:val="21"/>
              </w:rPr>
            </w:pPr>
          </w:p>
          <w:p w14:paraId="7359231E">
            <w:pPr>
              <w:spacing w:line="243" w:lineRule="auto"/>
              <w:rPr>
                <w:rFonts w:ascii="Arial"/>
                <w:sz w:val="21"/>
              </w:rPr>
            </w:pPr>
          </w:p>
          <w:p w14:paraId="76790853">
            <w:pPr>
              <w:spacing w:line="243" w:lineRule="auto"/>
              <w:rPr>
                <w:rFonts w:ascii="Arial"/>
                <w:sz w:val="21"/>
              </w:rPr>
            </w:pPr>
          </w:p>
          <w:p w14:paraId="70CEC37D">
            <w:pPr>
              <w:spacing w:line="243" w:lineRule="auto"/>
              <w:rPr>
                <w:rFonts w:ascii="Arial"/>
                <w:sz w:val="21"/>
              </w:rPr>
            </w:pPr>
          </w:p>
          <w:p w14:paraId="71D92CDC">
            <w:pPr>
              <w:spacing w:line="243" w:lineRule="auto"/>
              <w:rPr>
                <w:rFonts w:ascii="Arial"/>
                <w:sz w:val="21"/>
              </w:rPr>
            </w:pPr>
          </w:p>
          <w:p w14:paraId="2730A0AD">
            <w:pPr>
              <w:spacing w:line="243" w:lineRule="auto"/>
              <w:rPr>
                <w:rFonts w:ascii="Arial"/>
                <w:sz w:val="21"/>
              </w:rPr>
            </w:pPr>
          </w:p>
          <w:p w14:paraId="1A711847">
            <w:pPr>
              <w:spacing w:line="243" w:lineRule="auto"/>
              <w:rPr>
                <w:rFonts w:ascii="Arial"/>
                <w:sz w:val="21"/>
              </w:rPr>
            </w:pPr>
          </w:p>
          <w:p w14:paraId="75B761C5">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6053A0E7">
            <w:pPr>
              <w:pStyle w:val="6"/>
              <w:spacing w:before="197"/>
              <w:ind w:left="125"/>
            </w:pPr>
            <w:r>
              <w:rPr>
                <w:spacing w:val="-1"/>
              </w:rPr>
              <w:t>（</w:t>
            </w:r>
            <w:r>
              <w:rPr>
                <w:rFonts w:ascii="Times New Roman" w:hAnsi="Times New Roman" w:eastAsia="Times New Roman" w:cs="Times New Roman"/>
                <w:spacing w:val="-1"/>
              </w:rPr>
              <w:t>2</w:t>
            </w:r>
            <w:r>
              <w:rPr>
                <w:spacing w:val="-1"/>
              </w:rPr>
              <w:t>）</w:t>
            </w:r>
          </w:p>
        </w:tc>
        <w:tc>
          <w:tcPr>
            <w:tcW w:w="1058" w:type="dxa"/>
            <w:vMerge w:val="restart"/>
            <w:tcBorders>
              <w:bottom w:val="nil"/>
            </w:tcBorders>
            <w:vAlign w:val="top"/>
          </w:tcPr>
          <w:p w14:paraId="154E54F9">
            <w:pPr>
              <w:spacing w:line="255" w:lineRule="auto"/>
              <w:rPr>
                <w:rFonts w:ascii="Arial"/>
                <w:sz w:val="21"/>
              </w:rPr>
            </w:pPr>
          </w:p>
          <w:p w14:paraId="5C066E33">
            <w:pPr>
              <w:spacing w:line="255" w:lineRule="auto"/>
              <w:rPr>
                <w:rFonts w:ascii="Arial"/>
                <w:sz w:val="21"/>
              </w:rPr>
            </w:pPr>
          </w:p>
          <w:p w14:paraId="7C345C8F">
            <w:pPr>
              <w:spacing w:line="255" w:lineRule="auto"/>
              <w:rPr>
                <w:rFonts w:ascii="Arial"/>
                <w:sz w:val="21"/>
              </w:rPr>
            </w:pPr>
          </w:p>
          <w:p w14:paraId="2D8F7D82">
            <w:pPr>
              <w:spacing w:line="255" w:lineRule="auto"/>
              <w:rPr>
                <w:rFonts w:ascii="Arial"/>
                <w:sz w:val="21"/>
              </w:rPr>
            </w:pPr>
          </w:p>
          <w:p w14:paraId="79484011">
            <w:pPr>
              <w:spacing w:line="255" w:lineRule="auto"/>
              <w:rPr>
                <w:rFonts w:ascii="Arial"/>
                <w:sz w:val="21"/>
              </w:rPr>
            </w:pPr>
          </w:p>
          <w:p w14:paraId="74C23BD9">
            <w:pPr>
              <w:spacing w:line="255" w:lineRule="auto"/>
              <w:rPr>
                <w:rFonts w:ascii="Arial"/>
                <w:sz w:val="21"/>
              </w:rPr>
            </w:pPr>
          </w:p>
          <w:p w14:paraId="0AF8E63E">
            <w:pPr>
              <w:spacing w:line="255" w:lineRule="auto"/>
              <w:rPr>
                <w:rFonts w:ascii="Arial"/>
                <w:sz w:val="21"/>
              </w:rPr>
            </w:pPr>
          </w:p>
          <w:p w14:paraId="485C6988">
            <w:pPr>
              <w:spacing w:line="256" w:lineRule="auto"/>
              <w:rPr>
                <w:rFonts w:ascii="Arial"/>
                <w:sz w:val="21"/>
              </w:rPr>
            </w:pPr>
          </w:p>
          <w:p w14:paraId="68D7A854">
            <w:pPr>
              <w:spacing w:line="256" w:lineRule="auto"/>
              <w:rPr>
                <w:rFonts w:ascii="Arial"/>
                <w:sz w:val="21"/>
              </w:rPr>
            </w:pPr>
          </w:p>
          <w:p w14:paraId="52063355">
            <w:pPr>
              <w:spacing w:line="256" w:lineRule="auto"/>
              <w:rPr>
                <w:rFonts w:ascii="Arial"/>
                <w:sz w:val="21"/>
              </w:rPr>
            </w:pPr>
          </w:p>
          <w:p w14:paraId="3F3C3389">
            <w:pPr>
              <w:spacing w:line="256" w:lineRule="auto"/>
              <w:rPr>
                <w:rFonts w:ascii="Arial"/>
                <w:sz w:val="21"/>
              </w:rPr>
            </w:pPr>
          </w:p>
          <w:p w14:paraId="6614C69D">
            <w:pPr>
              <w:spacing w:line="256" w:lineRule="auto"/>
              <w:rPr>
                <w:rFonts w:ascii="Arial"/>
                <w:sz w:val="21"/>
              </w:rPr>
            </w:pPr>
          </w:p>
          <w:p w14:paraId="1870747F">
            <w:pPr>
              <w:spacing w:line="256" w:lineRule="auto"/>
              <w:rPr>
                <w:rFonts w:ascii="Arial"/>
                <w:sz w:val="21"/>
              </w:rPr>
            </w:pPr>
          </w:p>
          <w:p w14:paraId="77E50E80">
            <w:pPr>
              <w:spacing w:line="256" w:lineRule="auto"/>
              <w:rPr>
                <w:rFonts w:ascii="Arial"/>
                <w:sz w:val="21"/>
              </w:rPr>
            </w:pPr>
          </w:p>
          <w:p w14:paraId="72388674">
            <w:pPr>
              <w:spacing w:line="256" w:lineRule="auto"/>
              <w:rPr>
                <w:rFonts w:ascii="Arial"/>
                <w:sz w:val="21"/>
              </w:rPr>
            </w:pPr>
          </w:p>
          <w:p w14:paraId="6ECA9634">
            <w:pPr>
              <w:pStyle w:val="6"/>
              <w:spacing w:before="65" w:line="253" w:lineRule="auto"/>
              <w:ind w:left="115" w:right="111" w:hanging="4"/>
              <w:jc w:val="both"/>
            </w:pPr>
            <w:r>
              <w:rPr>
                <w:spacing w:val="7"/>
              </w:rPr>
              <w:t>施工组织</w:t>
            </w:r>
            <w:r>
              <w:rPr>
                <w:spacing w:val="6"/>
              </w:rPr>
              <w:t>设计评分</w:t>
            </w:r>
            <w:r>
              <w:rPr>
                <w:spacing w:val="25"/>
              </w:rPr>
              <w:t>标</w:t>
            </w:r>
            <w:r>
              <w:rPr>
                <w:spacing w:val="8"/>
              </w:rPr>
              <w:t xml:space="preserve">   </w:t>
            </w:r>
            <w:r>
              <w:rPr>
                <w:spacing w:val="25"/>
              </w:rPr>
              <w:t>准</w:t>
            </w:r>
          </w:p>
        </w:tc>
        <w:tc>
          <w:tcPr>
            <w:tcW w:w="2159" w:type="dxa"/>
            <w:vMerge w:val="restart"/>
            <w:tcBorders>
              <w:bottom w:val="nil"/>
            </w:tcBorders>
            <w:vAlign w:val="top"/>
          </w:tcPr>
          <w:p w14:paraId="5FE09BB3">
            <w:pPr>
              <w:spacing w:line="380" w:lineRule="auto"/>
              <w:rPr>
                <w:rFonts w:ascii="Arial"/>
                <w:sz w:val="21"/>
              </w:rPr>
            </w:pPr>
          </w:p>
          <w:p w14:paraId="5D7E74D7">
            <w:pPr>
              <w:pStyle w:val="6"/>
              <w:spacing w:before="65" w:line="228" w:lineRule="auto"/>
              <w:ind w:left="115"/>
            </w:pPr>
            <w:r>
              <w:rPr>
                <w:spacing w:val="6"/>
              </w:rPr>
              <w:t>工程概况</w:t>
            </w:r>
          </w:p>
        </w:tc>
        <w:tc>
          <w:tcPr>
            <w:tcW w:w="720" w:type="dxa"/>
            <w:vMerge w:val="restart"/>
            <w:tcBorders>
              <w:bottom w:val="nil"/>
            </w:tcBorders>
            <w:vAlign w:val="top"/>
          </w:tcPr>
          <w:p w14:paraId="23B26383">
            <w:pPr>
              <w:spacing w:line="381" w:lineRule="auto"/>
              <w:rPr>
                <w:rFonts w:ascii="Arial"/>
                <w:sz w:val="21"/>
              </w:rPr>
            </w:pPr>
          </w:p>
          <w:p w14:paraId="72DEB70F">
            <w:pPr>
              <w:pStyle w:val="6"/>
              <w:spacing w:before="65" w:line="228" w:lineRule="auto"/>
              <w:ind w:left="129"/>
            </w:pPr>
            <w:r>
              <w:rPr>
                <w:spacing w:val="-10"/>
              </w:rPr>
              <w:t>1</w:t>
            </w:r>
            <w:r>
              <w:rPr>
                <w:spacing w:val="-36"/>
              </w:rPr>
              <w:t xml:space="preserve"> </w:t>
            </w:r>
            <w:r>
              <w:rPr>
                <w:spacing w:val="-10"/>
              </w:rPr>
              <w:t>分</w:t>
            </w:r>
          </w:p>
        </w:tc>
        <w:tc>
          <w:tcPr>
            <w:tcW w:w="4502" w:type="dxa"/>
            <w:vAlign w:val="top"/>
          </w:tcPr>
          <w:p w14:paraId="266133E8">
            <w:pPr>
              <w:pStyle w:val="6"/>
              <w:spacing w:before="76" w:line="228" w:lineRule="auto"/>
              <w:ind w:left="115"/>
            </w:pPr>
            <w:r>
              <w:rPr>
                <w:spacing w:val="4"/>
              </w:rPr>
              <w:t>描述准确、清晰</w:t>
            </w:r>
            <w:r>
              <w:rPr>
                <w:spacing w:val="1"/>
              </w:rPr>
              <w:t xml:space="preserve">                       </w:t>
            </w:r>
            <w:r>
              <w:rPr>
                <w:spacing w:val="4"/>
              </w:rPr>
              <w:t>1</w:t>
            </w:r>
            <w:r>
              <w:rPr>
                <w:spacing w:val="-21"/>
              </w:rPr>
              <w:t xml:space="preserve"> </w:t>
            </w:r>
            <w:r>
              <w:rPr>
                <w:spacing w:val="4"/>
              </w:rPr>
              <w:t>分</w:t>
            </w:r>
          </w:p>
        </w:tc>
      </w:tr>
      <w:tr w14:paraId="0FF85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C77F5CC">
            <w:pPr>
              <w:rPr>
                <w:rFonts w:ascii="Arial"/>
                <w:sz w:val="21"/>
              </w:rPr>
            </w:pPr>
          </w:p>
        </w:tc>
        <w:tc>
          <w:tcPr>
            <w:tcW w:w="1058" w:type="dxa"/>
            <w:vMerge w:val="continue"/>
            <w:tcBorders>
              <w:top w:val="nil"/>
              <w:bottom w:val="nil"/>
            </w:tcBorders>
            <w:vAlign w:val="top"/>
          </w:tcPr>
          <w:p w14:paraId="02A740CE">
            <w:pPr>
              <w:rPr>
                <w:rFonts w:ascii="Arial"/>
                <w:sz w:val="21"/>
              </w:rPr>
            </w:pPr>
          </w:p>
        </w:tc>
        <w:tc>
          <w:tcPr>
            <w:tcW w:w="2159" w:type="dxa"/>
            <w:vMerge w:val="continue"/>
            <w:tcBorders>
              <w:top w:val="nil"/>
              <w:bottom w:val="nil"/>
            </w:tcBorders>
            <w:vAlign w:val="top"/>
          </w:tcPr>
          <w:p w14:paraId="2C67A15B">
            <w:pPr>
              <w:rPr>
                <w:rFonts w:ascii="Arial"/>
                <w:sz w:val="21"/>
              </w:rPr>
            </w:pPr>
          </w:p>
        </w:tc>
        <w:tc>
          <w:tcPr>
            <w:tcW w:w="720" w:type="dxa"/>
            <w:vMerge w:val="continue"/>
            <w:tcBorders>
              <w:top w:val="nil"/>
              <w:bottom w:val="nil"/>
            </w:tcBorders>
            <w:vAlign w:val="top"/>
          </w:tcPr>
          <w:p w14:paraId="323D423C">
            <w:pPr>
              <w:rPr>
                <w:rFonts w:ascii="Arial"/>
                <w:sz w:val="21"/>
              </w:rPr>
            </w:pPr>
          </w:p>
        </w:tc>
        <w:tc>
          <w:tcPr>
            <w:tcW w:w="4502" w:type="dxa"/>
            <w:vAlign w:val="top"/>
          </w:tcPr>
          <w:p w14:paraId="16299196">
            <w:pPr>
              <w:pStyle w:val="6"/>
              <w:spacing w:before="79" w:line="227" w:lineRule="auto"/>
              <w:ind w:left="115"/>
            </w:pPr>
            <w:r>
              <w:rPr>
                <w:spacing w:val="5"/>
              </w:rPr>
              <w:t>描述基本准确</w:t>
            </w:r>
            <w:r>
              <w:t xml:space="preserve">                   </w:t>
            </w:r>
            <w:r>
              <w:rPr>
                <w:spacing w:val="5"/>
              </w:rPr>
              <w:t>0.9-0.8</w:t>
            </w:r>
            <w:r>
              <w:rPr>
                <w:spacing w:val="-32"/>
              </w:rPr>
              <w:t xml:space="preserve"> </w:t>
            </w:r>
            <w:r>
              <w:rPr>
                <w:spacing w:val="5"/>
              </w:rPr>
              <w:t>分</w:t>
            </w:r>
          </w:p>
        </w:tc>
      </w:tr>
      <w:tr w14:paraId="764CEF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B90C1EB">
            <w:pPr>
              <w:rPr>
                <w:rFonts w:ascii="Arial"/>
                <w:sz w:val="21"/>
              </w:rPr>
            </w:pPr>
          </w:p>
        </w:tc>
        <w:tc>
          <w:tcPr>
            <w:tcW w:w="1058" w:type="dxa"/>
            <w:vMerge w:val="continue"/>
            <w:tcBorders>
              <w:top w:val="nil"/>
              <w:bottom w:val="nil"/>
            </w:tcBorders>
            <w:vAlign w:val="top"/>
          </w:tcPr>
          <w:p w14:paraId="0103325F">
            <w:pPr>
              <w:rPr>
                <w:rFonts w:ascii="Arial"/>
                <w:sz w:val="21"/>
              </w:rPr>
            </w:pPr>
          </w:p>
        </w:tc>
        <w:tc>
          <w:tcPr>
            <w:tcW w:w="2159" w:type="dxa"/>
            <w:vMerge w:val="continue"/>
            <w:tcBorders>
              <w:top w:val="nil"/>
            </w:tcBorders>
            <w:vAlign w:val="top"/>
          </w:tcPr>
          <w:p w14:paraId="0D0CB6A4">
            <w:pPr>
              <w:rPr>
                <w:rFonts w:ascii="Arial"/>
                <w:sz w:val="21"/>
              </w:rPr>
            </w:pPr>
          </w:p>
        </w:tc>
        <w:tc>
          <w:tcPr>
            <w:tcW w:w="720" w:type="dxa"/>
            <w:vMerge w:val="continue"/>
            <w:tcBorders>
              <w:top w:val="nil"/>
            </w:tcBorders>
            <w:vAlign w:val="top"/>
          </w:tcPr>
          <w:p w14:paraId="7F48F073">
            <w:pPr>
              <w:rPr>
                <w:rFonts w:ascii="Arial"/>
                <w:sz w:val="21"/>
              </w:rPr>
            </w:pPr>
          </w:p>
        </w:tc>
        <w:tc>
          <w:tcPr>
            <w:tcW w:w="4502" w:type="dxa"/>
            <w:vAlign w:val="top"/>
          </w:tcPr>
          <w:p w14:paraId="12577AB9">
            <w:pPr>
              <w:pStyle w:val="6"/>
              <w:spacing w:before="79" w:line="228" w:lineRule="auto"/>
              <w:ind w:left="115"/>
            </w:pPr>
            <w:r>
              <w:rPr>
                <w:spacing w:val="4"/>
              </w:rPr>
              <w:t>描述不准确</w:t>
            </w:r>
            <w:r>
              <w:rPr>
                <w:spacing w:val="1"/>
              </w:rPr>
              <w:t xml:space="preserve">                           </w:t>
            </w:r>
            <w:r>
              <w:rPr>
                <w:spacing w:val="4"/>
              </w:rPr>
              <w:t>0</w:t>
            </w:r>
            <w:r>
              <w:rPr>
                <w:spacing w:val="-17"/>
              </w:rPr>
              <w:t xml:space="preserve"> </w:t>
            </w:r>
            <w:r>
              <w:rPr>
                <w:spacing w:val="4"/>
              </w:rPr>
              <w:t>分</w:t>
            </w:r>
          </w:p>
        </w:tc>
      </w:tr>
      <w:tr w14:paraId="36131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F5DA8E5">
            <w:pPr>
              <w:rPr>
                <w:rFonts w:ascii="Arial"/>
                <w:sz w:val="21"/>
              </w:rPr>
            </w:pPr>
          </w:p>
        </w:tc>
        <w:tc>
          <w:tcPr>
            <w:tcW w:w="1058" w:type="dxa"/>
            <w:vMerge w:val="continue"/>
            <w:tcBorders>
              <w:top w:val="nil"/>
              <w:bottom w:val="nil"/>
            </w:tcBorders>
            <w:vAlign w:val="top"/>
          </w:tcPr>
          <w:p w14:paraId="04074CD0">
            <w:pPr>
              <w:rPr>
                <w:rFonts w:ascii="Arial"/>
                <w:sz w:val="21"/>
              </w:rPr>
            </w:pPr>
          </w:p>
        </w:tc>
        <w:tc>
          <w:tcPr>
            <w:tcW w:w="2159" w:type="dxa"/>
            <w:vMerge w:val="restart"/>
            <w:tcBorders>
              <w:bottom w:val="nil"/>
            </w:tcBorders>
            <w:vAlign w:val="top"/>
          </w:tcPr>
          <w:p w14:paraId="0B591794">
            <w:pPr>
              <w:spacing w:line="282" w:lineRule="auto"/>
              <w:rPr>
                <w:rFonts w:ascii="Arial"/>
                <w:sz w:val="21"/>
              </w:rPr>
            </w:pPr>
          </w:p>
          <w:p w14:paraId="2187F13B">
            <w:pPr>
              <w:spacing w:line="282" w:lineRule="auto"/>
              <w:rPr>
                <w:rFonts w:ascii="Arial"/>
                <w:sz w:val="21"/>
              </w:rPr>
            </w:pPr>
          </w:p>
          <w:p w14:paraId="0A0127D5">
            <w:pPr>
              <w:pStyle w:val="6"/>
              <w:spacing w:before="65" w:line="228" w:lineRule="auto"/>
              <w:ind w:left="111"/>
            </w:pPr>
            <w:r>
              <w:rPr>
                <w:spacing w:val="7"/>
              </w:rPr>
              <w:t>施工部署</w:t>
            </w:r>
          </w:p>
        </w:tc>
        <w:tc>
          <w:tcPr>
            <w:tcW w:w="720" w:type="dxa"/>
            <w:vMerge w:val="restart"/>
            <w:tcBorders>
              <w:bottom w:val="nil"/>
            </w:tcBorders>
            <w:vAlign w:val="top"/>
          </w:tcPr>
          <w:p w14:paraId="0FFEF460">
            <w:pPr>
              <w:spacing w:line="282" w:lineRule="auto"/>
              <w:rPr>
                <w:rFonts w:ascii="Arial"/>
                <w:sz w:val="21"/>
              </w:rPr>
            </w:pPr>
          </w:p>
          <w:p w14:paraId="571FBBDD">
            <w:pPr>
              <w:spacing w:line="282" w:lineRule="auto"/>
              <w:rPr>
                <w:rFonts w:ascii="Arial"/>
                <w:sz w:val="21"/>
              </w:rPr>
            </w:pPr>
          </w:p>
          <w:p w14:paraId="1227CE37">
            <w:pPr>
              <w:pStyle w:val="6"/>
              <w:spacing w:before="65" w:line="228" w:lineRule="auto"/>
              <w:ind w:left="117"/>
            </w:pPr>
            <w:r>
              <w:rPr>
                <w:spacing w:val="-4"/>
              </w:rPr>
              <w:t>3</w:t>
            </w:r>
            <w:r>
              <w:rPr>
                <w:spacing w:val="-36"/>
              </w:rPr>
              <w:t xml:space="preserve"> </w:t>
            </w:r>
            <w:r>
              <w:rPr>
                <w:spacing w:val="-4"/>
              </w:rPr>
              <w:t>分</w:t>
            </w:r>
          </w:p>
        </w:tc>
        <w:tc>
          <w:tcPr>
            <w:tcW w:w="4502" w:type="dxa"/>
            <w:vAlign w:val="top"/>
          </w:tcPr>
          <w:p w14:paraId="082B1EB6">
            <w:pPr>
              <w:pStyle w:val="6"/>
              <w:spacing w:before="78" w:line="227" w:lineRule="auto"/>
              <w:ind w:left="113"/>
            </w:pPr>
            <w:r>
              <w:rPr>
                <w:spacing w:val="6"/>
              </w:rPr>
              <w:t>科学、合理、针对性强            3-2.8</w:t>
            </w:r>
            <w:r>
              <w:rPr>
                <w:spacing w:val="-29"/>
              </w:rPr>
              <w:t xml:space="preserve"> </w:t>
            </w:r>
            <w:r>
              <w:rPr>
                <w:spacing w:val="6"/>
              </w:rPr>
              <w:t>分</w:t>
            </w:r>
          </w:p>
        </w:tc>
      </w:tr>
      <w:tr w14:paraId="24EB82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0C05E5E">
            <w:pPr>
              <w:rPr>
                <w:rFonts w:ascii="Arial"/>
                <w:sz w:val="21"/>
              </w:rPr>
            </w:pPr>
          </w:p>
        </w:tc>
        <w:tc>
          <w:tcPr>
            <w:tcW w:w="1058" w:type="dxa"/>
            <w:vMerge w:val="continue"/>
            <w:tcBorders>
              <w:top w:val="nil"/>
              <w:bottom w:val="nil"/>
            </w:tcBorders>
            <w:vAlign w:val="top"/>
          </w:tcPr>
          <w:p w14:paraId="2E9D1965">
            <w:pPr>
              <w:rPr>
                <w:rFonts w:ascii="Arial"/>
                <w:sz w:val="21"/>
              </w:rPr>
            </w:pPr>
          </w:p>
        </w:tc>
        <w:tc>
          <w:tcPr>
            <w:tcW w:w="2159" w:type="dxa"/>
            <w:vMerge w:val="continue"/>
            <w:tcBorders>
              <w:top w:val="nil"/>
              <w:bottom w:val="nil"/>
            </w:tcBorders>
            <w:vAlign w:val="top"/>
          </w:tcPr>
          <w:p w14:paraId="2FD86EE9">
            <w:pPr>
              <w:rPr>
                <w:rFonts w:ascii="Arial"/>
                <w:sz w:val="21"/>
              </w:rPr>
            </w:pPr>
          </w:p>
        </w:tc>
        <w:tc>
          <w:tcPr>
            <w:tcW w:w="720" w:type="dxa"/>
            <w:vMerge w:val="continue"/>
            <w:tcBorders>
              <w:top w:val="nil"/>
              <w:bottom w:val="nil"/>
            </w:tcBorders>
            <w:vAlign w:val="top"/>
          </w:tcPr>
          <w:p w14:paraId="52091940">
            <w:pPr>
              <w:rPr>
                <w:rFonts w:ascii="Arial"/>
                <w:sz w:val="21"/>
              </w:rPr>
            </w:pPr>
          </w:p>
        </w:tc>
        <w:tc>
          <w:tcPr>
            <w:tcW w:w="4502" w:type="dxa"/>
            <w:vAlign w:val="top"/>
          </w:tcPr>
          <w:p w14:paraId="502D9355">
            <w:pPr>
              <w:pStyle w:val="6"/>
              <w:spacing w:before="78" w:line="228" w:lineRule="auto"/>
              <w:ind w:left="114"/>
            </w:pPr>
            <w:r>
              <w:rPr>
                <w:spacing w:val="4"/>
              </w:rPr>
              <w:t>合理、可行</w:t>
            </w:r>
            <w:r>
              <w:rPr>
                <w:spacing w:val="1"/>
              </w:rPr>
              <w:t xml:space="preserve">                     </w:t>
            </w:r>
            <w:r>
              <w:rPr>
                <w:spacing w:val="4"/>
              </w:rPr>
              <w:t>2.7-2.4</w:t>
            </w:r>
            <w:r>
              <w:rPr>
                <w:spacing w:val="-34"/>
              </w:rPr>
              <w:t xml:space="preserve"> </w:t>
            </w:r>
            <w:r>
              <w:rPr>
                <w:spacing w:val="4"/>
              </w:rPr>
              <w:t>分</w:t>
            </w:r>
          </w:p>
        </w:tc>
      </w:tr>
      <w:tr w14:paraId="2A0C8A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29B1A41">
            <w:pPr>
              <w:rPr>
                <w:rFonts w:ascii="Arial"/>
                <w:sz w:val="21"/>
              </w:rPr>
            </w:pPr>
          </w:p>
        </w:tc>
        <w:tc>
          <w:tcPr>
            <w:tcW w:w="1058" w:type="dxa"/>
            <w:vMerge w:val="continue"/>
            <w:tcBorders>
              <w:top w:val="nil"/>
              <w:bottom w:val="nil"/>
            </w:tcBorders>
            <w:vAlign w:val="top"/>
          </w:tcPr>
          <w:p w14:paraId="5097130F">
            <w:pPr>
              <w:rPr>
                <w:rFonts w:ascii="Arial"/>
                <w:sz w:val="21"/>
              </w:rPr>
            </w:pPr>
          </w:p>
        </w:tc>
        <w:tc>
          <w:tcPr>
            <w:tcW w:w="2159" w:type="dxa"/>
            <w:vMerge w:val="continue"/>
            <w:tcBorders>
              <w:top w:val="nil"/>
              <w:bottom w:val="nil"/>
            </w:tcBorders>
            <w:vAlign w:val="top"/>
          </w:tcPr>
          <w:p w14:paraId="64C96EF6">
            <w:pPr>
              <w:rPr>
                <w:rFonts w:ascii="Arial"/>
                <w:sz w:val="21"/>
              </w:rPr>
            </w:pPr>
          </w:p>
        </w:tc>
        <w:tc>
          <w:tcPr>
            <w:tcW w:w="720" w:type="dxa"/>
            <w:vMerge w:val="continue"/>
            <w:tcBorders>
              <w:top w:val="nil"/>
              <w:bottom w:val="nil"/>
            </w:tcBorders>
            <w:vAlign w:val="top"/>
          </w:tcPr>
          <w:p w14:paraId="6387735C">
            <w:pPr>
              <w:rPr>
                <w:rFonts w:ascii="Arial"/>
                <w:sz w:val="21"/>
              </w:rPr>
            </w:pPr>
          </w:p>
        </w:tc>
        <w:tc>
          <w:tcPr>
            <w:tcW w:w="4502" w:type="dxa"/>
            <w:vAlign w:val="top"/>
          </w:tcPr>
          <w:p w14:paraId="797931FD">
            <w:pPr>
              <w:pStyle w:val="6"/>
              <w:spacing w:before="77" w:line="227" w:lineRule="auto"/>
              <w:ind w:left="114"/>
            </w:pPr>
            <w:r>
              <w:rPr>
                <w:spacing w:val="6"/>
              </w:rPr>
              <w:t>欠合理，基本可行              2.3-</w:t>
            </w:r>
            <w:r>
              <w:rPr>
                <w:spacing w:val="5"/>
              </w:rPr>
              <w:t>2.1</w:t>
            </w:r>
            <w:r>
              <w:rPr>
                <w:spacing w:val="-37"/>
              </w:rPr>
              <w:t xml:space="preserve"> </w:t>
            </w:r>
            <w:r>
              <w:rPr>
                <w:spacing w:val="5"/>
              </w:rPr>
              <w:t>分</w:t>
            </w:r>
          </w:p>
        </w:tc>
      </w:tr>
      <w:tr w14:paraId="59E6ED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6573C12">
            <w:pPr>
              <w:rPr>
                <w:rFonts w:ascii="Arial"/>
                <w:sz w:val="21"/>
              </w:rPr>
            </w:pPr>
          </w:p>
        </w:tc>
        <w:tc>
          <w:tcPr>
            <w:tcW w:w="1058" w:type="dxa"/>
            <w:vMerge w:val="continue"/>
            <w:tcBorders>
              <w:top w:val="nil"/>
              <w:bottom w:val="nil"/>
            </w:tcBorders>
            <w:vAlign w:val="top"/>
          </w:tcPr>
          <w:p w14:paraId="62680388">
            <w:pPr>
              <w:rPr>
                <w:rFonts w:ascii="Arial"/>
                <w:sz w:val="21"/>
              </w:rPr>
            </w:pPr>
          </w:p>
        </w:tc>
        <w:tc>
          <w:tcPr>
            <w:tcW w:w="2159" w:type="dxa"/>
            <w:vMerge w:val="continue"/>
            <w:tcBorders>
              <w:top w:val="nil"/>
            </w:tcBorders>
            <w:vAlign w:val="top"/>
          </w:tcPr>
          <w:p w14:paraId="4720E5C4">
            <w:pPr>
              <w:rPr>
                <w:rFonts w:ascii="Arial"/>
                <w:sz w:val="21"/>
              </w:rPr>
            </w:pPr>
          </w:p>
        </w:tc>
        <w:tc>
          <w:tcPr>
            <w:tcW w:w="720" w:type="dxa"/>
            <w:vMerge w:val="continue"/>
            <w:tcBorders>
              <w:top w:val="nil"/>
            </w:tcBorders>
            <w:vAlign w:val="top"/>
          </w:tcPr>
          <w:p w14:paraId="62828F3F">
            <w:pPr>
              <w:rPr>
                <w:rFonts w:ascii="Arial"/>
                <w:sz w:val="21"/>
              </w:rPr>
            </w:pPr>
          </w:p>
        </w:tc>
        <w:tc>
          <w:tcPr>
            <w:tcW w:w="4502" w:type="dxa"/>
            <w:vAlign w:val="top"/>
          </w:tcPr>
          <w:p w14:paraId="5BBA177B">
            <w:pPr>
              <w:pStyle w:val="6"/>
              <w:spacing w:before="77" w:line="228" w:lineRule="auto"/>
              <w:ind w:left="116"/>
            </w:pPr>
            <w:r>
              <w:rPr>
                <w:spacing w:val="6"/>
              </w:rPr>
              <w:t>不可行，不能满足工程需要            0</w:t>
            </w:r>
            <w:r>
              <w:rPr>
                <w:spacing w:val="-20"/>
              </w:rPr>
              <w:t xml:space="preserve"> </w:t>
            </w:r>
            <w:r>
              <w:rPr>
                <w:spacing w:val="6"/>
              </w:rPr>
              <w:t>分</w:t>
            </w:r>
          </w:p>
        </w:tc>
      </w:tr>
      <w:tr w14:paraId="2703CF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B25AE88">
            <w:pPr>
              <w:rPr>
                <w:rFonts w:ascii="Arial"/>
                <w:sz w:val="21"/>
              </w:rPr>
            </w:pPr>
          </w:p>
        </w:tc>
        <w:tc>
          <w:tcPr>
            <w:tcW w:w="1058" w:type="dxa"/>
            <w:vMerge w:val="continue"/>
            <w:tcBorders>
              <w:top w:val="nil"/>
              <w:bottom w:val="nil"/>
            </w:tcBorders>
            <w:vAlign w:val="top"/>
          </w:tcPr>
          <w:p w14:paraId="217C09F5">
            <w:pPr>
              <w:rPr>
                <w:rFonts w:ascii="Arial"/>
                <w:sz w:val="21"/>
              </w:rPr>
            </w:pPr>
          </w:p>
        </w:tc>
        <w:tc>
          <w:tcPr>
            <w:tcW w:w="2159" w:type="dxa"/>
            <w:vMerge w:val="restart"/>
            <w:tcBorders>
              <w:bottom w:val="nil"/>
            </w:tcBorders>
            <w:vAlign w:val="top"/>
          </w:tcPr>
          <w:p w14:paraId="17AB8D14">
            <w:pPr>
              <w:spacing w:line="282" w:lineRule="auto"/>
              <w:rPr>
                <w:rFonts w:ascii="Arial"/>
                <w:sz w:val="21"/>
              </w:rPr>
            </w:pPr>
          </w:p>
          <w:p w14:paraId="1D349C28">
            <w:pPr>
              <w:spacing w:line="283" w:lineRule="auto"/>
              <w:rPr>
                <w:rFonts w:ascii="Arial"/>
                <w:sz w:val="21"/>
              </w:rPr>
            </w:pPr>
          </w:p>
          <w:p w14:paraId="0636E4FE">
            <w:pPr>
              <w:pStyle w:val="6"/>
              <w:spacing w:before="65" w:line="228" w:lineRule="auto"/>
              <w:ind w:left="111"/>
            </w:pPr>
            <w:r>
              <w:rPr>
                <w:spacing w:val="8"/>
              </w:rPr>
              <w:t>施工进度计划</w:t>
            </w:r>
          </w:p>
        </w:tc>
        <w:tc>
          <w:tcPr>
            <w:tcW w:w="720" w:type="dxa"/>
            <w:vMerge w:val="restart"/>
            <w:tcBorders>
              <w:bottom w:val="nil"/>
            </w:tcBorders>
            <w:vAlign w:val="top"/>
          </w:tcPr>
          <w:p w14:paraId="5E68FC6F">
            <w:pPr>
              <w:spacing w:line="282" w:lineRule="auto"/>
              <w:rPr>
                <w:rFonts w:ascii="Arial"/>
                <w:sz w:val="21"/>
              </w:rPr>
            </w:pPr>
          </w:p>
          <w:p w14:paraId="1B35B919">
            <w:pPr>
              <w:spacing w:line="283" w:lineRule="auto"/>
              <w:rPr>
                <w:rFonts w:ascii="Arial"/>
                <w:sz w:val="21"/>
              </w:rPr>
            </w:pPr>
          </w:p>
          <w:p w14:paraId="740EB052">
            <w:pPr>
              <w:pStyle w:val="6"/>
              <w:spacing w:before="65" w:line="228" w:lineRule="auto"/>
              <w:ind w:left="117"/>
            </w:pPr>
            <w:r>
              <w:rPr>
                <w:spacing w:val="-4"/>
              </w:rPr>
              <w:t>3</w:t>
            </w:r>
            <w:r>
              <w:rPr>
                <w:spacing w:val="-36"/>
              </w:rPr>
              <w:t xml:space="preserve"> </w:t>
            </w:r>
            <w:r>
              <w:rPr>
                <w:spacing w:val="-4"/>
              </w:rPr>
              <w:t>分</w:t>
            </w:r>
          </w:p>
        </w:tc>
        <w:tc>
          <w:tcPr>
            <w:tcW w:w="4502" w:type="dxa"/>
            <w:vAlign w:val="top"/>
          </w:tcPr>
          <w:p w14:paraId="59F4BDF2">
            <w:pPr>
              <w:pStyle w:val="6"/>
              <w:spacing w:before="79" w:line="227" w:lineRule="auto"/>
              <w:ind w:left="113"/>
            </w:pPr>
            <w:r>
              <w:rPr>
                <w:spacing w:val="6"/>
              </w:rPr>
              <w:t>科学、合理、针对性强            3-2.8</w:t>
            </w:r>
            <w:r>
              <w:rPr>
                <w:spacing w:val="-29"/>
              </w:rPr>
              <w:t xml:space="preserve"> </w:t>
            </w:r>
            <w:r>
              <w:rPr>
                <w:spacing w:val="6"/>
              </w:rPr>
              <w:t>分</w:t>
            </w:r>
          </w:p>
        </w:tc>
      </w:tr>
      <w:tr w14:paraId="2A707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53CA4C5">
            <w:pPr>
              <w:rPr>
                <w:rFonts w:ascii="Arial"/>
                <w:sz w:val="21"/>
              </w:rPr>
            </w:pPr>
          </w:p>
        </w:tc>
        <w:tc>
          <w:tcPr>
            <w:tcW w:w="1058" w:type="dxa"/>
            <w:vMerge w:val="continue"/>
            <w:tcBorders>
              <w:top w:val="nil"/>
              <w:bottom w:val="nil"/>
            </w:tcBorders>
            <w:vAlign w:val="top"/>
          </w:tcPr>
          <w:p w14:paraId="3FE31A9B">
            <w:pPr>
              <w:rPr>
                <w:rFonts w:ascii="Arial"/>
                <w:sz w:val="21"/>
              </w:rPr>
            </w:pPr>
          </w:p>
        </w:tc>
        <w:tc>
          <w:tcPr>
            <w:tcW w:w="2159" w:type="dxa"/>
            <w:vMerge w:val="continue"/>
            <w:tcBorders>
              <w:top w:val="nil"/>
              <w:bottom w:val="nil"/>
            </w:tcBorders>
            <w:vAlign w:val="top"/>
          </w:tcPr>
          <w:p w14:paraId="6E2A3F18">
            <w:pPr>
              <w:rPr>
                <w:rFonts w:ascii="Arial"/>
                <w:sz w:val="21"/>
              </w:rPr>
            </w:pPr>
          </w:p>
        </w:tc>
        <w:tc>
          <w:tcPr>
            <w:tcW w:w="720" w:type="dxa"/>
            <w:vMerge w:val="continue"/>
            <w:tcBorders>
              <w:top w:val="nil"/>
              <w:bottom w:val="nil"/>
            </w:tcBorders>
            <w:vAlign w:val="top"/>
          </w:tcPr>
          <w:p w14:paraId="410EE64A">
            <w:pPr>
              <w:rPr>
                <w:rFonts w:ascii="Arial"/>
                <w:sz w:val="21"/>
              </w:rPr>
            </w:pPr>
          </w:p>
        </w:tc>
        <w:tc>
          <w:tcPr>
            <w:tcW w:w="4502" w:type="dxa"/>
            <w:vAlign w:val="top"/>
          </w:tcPr>
          <w:p w14:paraId="4170BABB">
            <w:pPr>
              <w:pStyle w:val="6"/>
              <w:spacing w:before="79" w:line="228" w:lineRule="auto"/>
              <w:ind w:left="114"/>
            </w:pPr>
            <w:r>
              <w:rPr>
                <w:spacing w:val="4"/>
              </w:rPr>
              <w:t>合理、可行、</w:t>
            </w:r>
            <w:r>
              <w:rPr>
                <w:spacing w:val="1"/>
              </w:rPr>
              <w:t xml:space="preserve">                   </w:t>
            </w:r>
            <w:r>
              <w:rPr>
                <w:spacing w:val="4"/>
              </w:rPr>
              <w:t>2.7-2.4</w:t>
            </w:r>
            <w:r>
              <w:rPr>
                <w:spacing w:val="-36"/>
              </w:rPr>
              <w:t xml:space="preserve"> </w:t>
            </w:r>
            <w:r>
              <w:rPr>
                <w:spacing w:val="4"/>
              </w:rPr>
              <w:t>分</w:t>
            </w:r>
          </w:p>
        </w:tc>
      </w:tr>
      <w:tr w14:paraId="557E7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310AE8D">
            <w:pPr>
              <w:rPr>
                <w:rFonts w:ascii="Arial"/>
                <w:sz w:val="21"/>
              </w:rPr>
            </w:pPr>
          </w:p>
        </w:tc>
        <w:tc>
          <w:tcPr>
            <w:tcW w:w="1058" w:type="dxa"/>
            <w:vMerge w:val="continue"/>
            <w:tcBorders>
              <w:top w:val="nil"/>
              <w:bottom w:val="nil"/>
            </w:tcBorders>
            <w:vAlign w:val="top"/>
          </w:tcPr>
          <w:p w14:paraId="69084317">
            <w:pPr>
              <w:rPr>
                <w:rFonts w:ascii="Arial"/>
                <w:sz w:val="21"/>
              </w:rPr>
            </w:pPr>
          </w:p>
        </w:tc>
        <w:tc>
          <w:tcPr>
            <w:tcW w:w="2159" w:type="dxa"/>
            <w:vMerge w:val="continue"/>
            <w:tcBorders>
              <w:top w:val="nil"/>
              <w:bottom w:val="nil"/>
            </w:tcBorders>
            <w:vAlign w:val="top"/>
          </w:tcPr>
          <w:p w14:paraId="39C0ABCE">
            <w:pPr>
              <w:rPr>
                <w:rFonts w:ascii="Arial"/>
                <w:sz w:val="21"/>
              </w:rPr>
            </w:pPr>
          </w:p>
        </w:tc>
        <w:tc>
          <w:tcPr>
            <w:tcW w:w="720" w:type="dxa"/>
            <w:vMerge w:val="continue"/>
            <w:tcBorders>
              <w:top w:val="nil"/>
              <w:bottom w:val="nil"/>
            </w:tcBorders>
            <w:vAlign w:val="top"/>
          </w:tcPr>
          <w:p w14:paraId="27F44B64">
            <w:pPr>
              <w:rPr>
                <w:rFonts w:ascii="Arial"/>
                <w:sz w:val="21"/>
              </w:rPr>
            </w:pPr>
          </w:p>
        </w:tc>
        <w:tc>
          <w:tcPr>
            <w:tcW w:w="4502" w:type="dxa"/>
            <w:vAlign w:val="top"/>
          </w:tcPr>
          <w:p w14:paraId="24C12216">
            <w:pPr>
              <w:pStyle w:val="6"/>
              <w:spacing w:before="78" w:line="227" w:lineRule="auto"/>
              <w:ind w:left="114"/>
            </w:pPr>
            <w:r>
              <w:rPr>
                <w:spacing w:val="6"/>
              </w:rPr>
              <w:t>欠合理，基本可行              2.3-</w:t>
            </w:r>
            <w:r>
              <w:rPr>
                <w:spacing w:val="5"/>
              </w:rPr>
              <w:t>2.1</w:t>
            </w:r>
            <w:r>
              <w:rPr>
                <w:spacing w:val="-37"/>
              </w:rPr>
              <w:t xml:space="preserve"> </w:t>
            </w:r>
            <w:r>
              <w:rPr>
                <w:spacing w:val="5"/>
              </w:rPr>
              <w:t>分</w:t>
            </w:r>
          </w:p>
        </w:tc>
      </w:tr>
      <w:tr w14:paraId="32AA63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610C730">
            <w:pPr>
              <w:rPr>
                <w:rFonts w:ascii="Arial"/>
                <w:sz w:val="21"/>
              </w:rPr>
            </w:pPr>
          </w:p>
        </w:tc>
        <w:tc>
          <w:tcPr>
            <w:tcW w:w="1058" w:type="dxa"/>
            <w:vMerge w:val="continue"/>
            <w:tcBorders>
              <w:top w:val="nil"/>
              <w:bottom w:val="nil"/>
            </w:tcBorders>
            <w:vAlign w:val="top"/>
          </w:tcPr>
          <w:p w14:paraId="392F1713">
            <w:pPr>
              <w:rPr>
                <w:rFonts w:ascii="Arial"/>
                <w:sz w:val="21"/>
              </w:rPr>
            </w:pPr>
          </w:p>
        </w:tc>
        <w:tc>
          <w:tcPr>
            <w:tcW w:w="2159" w:type="dxa"/>
            <w:vMerge w:val="continue"/>
            <w:tcBorders>
              <w:top w:val="nil"/>
            </w:tcBorders>
            <w:vAlign w:val="top"/>
          </w:tcPr>
          <w:p w14:paraId="527B97B8">
            <w:pPr>
              <w:rPr>
                <w:rFonts w:ascii="Arial"/>
                <w:sz w:val="21"/>
              </w:rPr>
            </w:pPr>
          </w:p>
        </w:tc>
        <w:tc>
          <w:tcPr>
            <w:tcW w:w="720" w:type="dxa"/>
            <w:vMerge w:val="continue"/>
            <w:tcBorders>
              <w:top w:val="nil"/>
            </w:tcBorders>
            <w:vAlign w:val="top"/>
          </w:tcPr>
          <w:p w14:paraId="00897D23">
            <w:pPr>
              <w:rPr>
                <w:rFonts w:ascii="Arial"/>
                <w:sz w:val="21"/>
              </w:rPr>
            </w:pPr>
          </w:p>
        </w:tc>
        <w:tc>
          <w:tcPr>
            <w:tcW w:w="4502" w:type="dxa"/>
            <w:vAlign w:val="top"/>
          </w:tcPr>
          <w:p w14:paraId="13C6196F">
            <w:pPr>
              <w:pStyle w:val="6"/>
              <w:spacing w:before="77" w:line="228" w:lineRule="auto"/>
              <w:ind w:left="116"/>
            </w:pPr>
            <w:r>
              <w:rPr>
                <w:spacing w:val="7"/>
              </w:rPr>
              <w:t>不可行，不能满足招标文件要求        0</w:t>
            </w:r>
            <w:r>
              <w:rPr>
                <w:spacing w:val="-32"/>
              </w:rPr>
              <w:t xml:space="preserve"> </w:t>
            </w:r>
            <w:r>
              <w:rPr>
                <w:spacing w:val="7"/>
              </w:rPr>
              <w:t>分</w:t>
            </w:r>
          </w:p>
        </w:tc>
      </w:tr>
      <w:tr w14:paraId="14E44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C436F6F">
            <w:pPr>
              <w:rPr>
                <w:rFonts w:ascii="Arial"/>
                <w:sz w:val="21"/>
              </w:rPr>
            </w:pPr>
          </w:p>
        </w:tc>
        <w:tc>
          <w:tcPr>
            <w:tcW w:w="1058" w:type="dxa"/>
            <w:vMerge w:val="continue"/>
            <w:tcBorders>
              <w:top w:val="nil"/>
              <w:bottom w:val="nil"/>
            </w:tcBorders>
            <w:vAlign w:val="top"/>
          </w:tcPr>
          <w:p w14:paraId="71ACCA5D">
            <w:pPr>
              <w:rPr>
                <w:rFonts w:ascii="Arial"/>
                <w:sz w:val="21"/>
              </w:rPr>
            </w:pPr>
          </w:p>
        </w:tc>
        <w:tc>
          <w:tcPr>
            <w:tcW w:w="2159" w:type="dxa"/>
            <w:vMerge w:val="restart"/>
            <w:tcBorders>
              <w:bottom w:val="nil"/>
            </w:tcBorders>
            <w:vAlign w:val="top"/>
          </w:tcPr>
          <w:p w14:paraId="021BEDFD">
            <w:pPr>
              <w:spacing w:line="430" w:lineRule="auto"/>
              <w:rPr>
                <w:rFonts w:ascii="Arial"/>
                <w:sz w:val="21"/>
              </w:rPr>
            </w:pPr>
          </w:p>
          <w:p w14:paraId="3D182C09">
            <w:pPr>
              <w:pStyle w:val="6"/>
              <w:spacing w:before="65" w:line="229" w:lineRule="auto"/>
              <w:ind w:left="111"/>
            </w:pPr>
            <w:r>
              <w:rPr>
                <w:spacing w:val="8"/>
              </w:rPr>
              <w:t>施工准备与</w:t>
            </w:r>
          </w:p>
          <w:p w14:paraId="433287C2">
            <w:pPr>
              <w:pStyle w:val="6"/>
              <w:spacing w:before="23" w:line="229" w:lineRule="auto"/>
              <w:ind w:left="121"/>
            </w:pPr>
            <w:r>
              <w:rPr>
                <w:spacing w:val="6"/>
              </w:rPr>
              <w:t>资源配置计划</w:t>
            </w:r>
          </w:p>
        </w:tc>
        <w:tc>
          <w:tcPr>
            <w:tcW w:w="720" w:type="dxa"/>
            <w:vMerge w:val="restart"/>
            <w:tcBorders>
              <w:bottom w:val="nil"/>
            </w:tcBorders>
            <w:vAlign w:val="top"/>
          </w:tcPr>
          <w:p w14:paraId="73F49D4C">
            <w:pPr>
              <w:spacing w:line="282" w:lineRule="auto"/>
              <w:rPr>
                <w:rFonts w:ascii="Arial"/>
                <w:sz w:val="21"/>
              </w:rPr>
            </w:pPr>
          </w:p>
          <w:p w14:paraId="36AF09D3">
            <w:pPr>
              <w:spacing w:line="282" w:lineRule="auto"/>
              <w:rPr>
                <w:rFonts w:ascii="Arial"/>
                <w:sz w:val="21"/>
              </w:rPr>
            </w:pPr>
          </w:p>
          <w:p w14:paraId="2776F671">
            <w:pPr>
              <w:pStyle w:val="6"/>
              <w:spacing w:before="65" w:line="228" w:lineRule="auto"/>
              <w:ind w:left="116"/>
            </w:pPr>
            <w:r>
              <w:rPr>
                <w:spacing w:val="-4"/>
              </w:rPr>
              <w:t>2</w:t>
            </w:r>
            <w:r>
              <w:rPr>
                <w:spacing w:val="-35"/>
              </w:rPr>
              <w:t xml:space="preserve"> </w:t>
            </w:r>
            <w:r>
              <w:rPr>
                <w:spacing w:val="-4"/>
              </w:rPr>
              <w:t>分</w:t>
            </w:r>
          </w:p>
        </w:tc>
        <w:tc>
          <w:tcPr>
            <w:tcW w:w="4502" w:type="dxa"/>
            <w:vAlign w:val="top"/>
          </w:tcPr>
          <w:p w14:paraId="32642181">
            <w:pPr>
              <w:pStyle w:val="6"/>
              <w:spacing w:before="77" w:line="228" w:lineRule="auto"/>
              <w:ind w:left="138"/>
            </w:pPr>
            <w:r>
              <w:rPr>
                <w:spacing w:val="6"/>
              </w:rPr>
              <w:t xml:space="preserve">内容完备，合理、针对性强        </w:t>
            </w:r>
            <w:r>
              <w:rPr>
                <w:spacing w:val="5"/>
              </w:rPr>
              <w:t>2-1.9</w:t>
            </w:r>
            <w:r>
              <w:rPr>
                <w:spacing w:val="-36"/>
              </w:rPr>
              <w:t xml:space="preserve"> </w:t>
            </w:r>
            <w:r>
              <w:rPr>
                <w:spacing w:val="5"/>
              </w:rPr>
              <w:t>分</w:t>
            </w:r>
          </w:p>
        </w:tc>
      </w:tr>
      <w:tr w14:paraId="202A4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AAE716E">
            <w:pPr>
              <w:rPr>
                <w:rFonts w:ascii="Arial"/>
                <w:sz w:val="21"/>
              </w:rPr>
            </w:pPr>
          </w:p>
        </w:tc>
        <w:tc>
          <w:tcPr>
            <w:tcW w:w="1058" w:type="dxa"/>
            <w:vMerge w:val="continue"/>
            <w:tcBorders>
              <w:top w:val="nil"/>
              <w:bottom w:val="nil"/>
            </w:tcBorders>
            <w:vAlign w:val="top"/>
          </w:tcPr>
          <w:p w14:paraId="487AF8D8">
            <w:pPr>
              <w:rPr>
                <w:rFonts w:ascii="Arial"/>
                <w:sz w:val="21"/>
              </w:rPr>
            </w:pPr>
          </w:p>
        </w:tc>
        <w:tc>
          <w:tcPr>
            <w:tcW w:w="2159" w:type="dxa"/>
            <w:vMerge w:val="continue"/>
            <w:tcBorders>
              <w:top w:val="nil"/>
              <w:bottom w:val="nil"/>
            </w:tcBorders>
            <w:vAlign w:val="top"/>
          </w:tcPr>
          <w:p w14:paraId="0BA6EC0F">
            <w:pPr>
              <w:rPr>
                <w:rFonts w:ascii="Arial"/>
                <w:sz w:val="21"/>
              </w:rPr>
            </w:pPr>
          </w:p>
        </w:tc>
        <w:tc>
          <w:tcPr>
            <w:tcW w:w="720" w:type="dxa"/>
            <w:vMerge w:val="continue"/>
            <w:tcBorders>
              <w:top w:val="nil"/>
              <w:bottom w:val="nil"/>
            </w:tcBorders>
            <w:vAlign w:val="top"/>
          </w:tcPr>
          <w:p w14:paraId="1209B8BC">
            <w:pPr>
              <w:rPr>
                <w:rFonts w:ascii="Arial"/>
                <w:sz w:val="21"/>
              </w:rPr>
            </w:pPr>
          </w:p>
        </w:tc>
        <w:tc>
          <w:tcPr>
            <w:tcW w:w="4502" w:type="dxa"/>
            <w:vAlign w:val="top"/>
          </w:tcPr>
          <w:p w14:paraId="0BBEC8FA">
            <w:pPr>
              <w:pStyle w:val="6"/>
              <w:spacing w:before="77" w:line="228" w:lineRule="auto"/>
              <w:ind w:left="138"/>
            </w:pPr>
            <w:r>
              <w:rPr>
                <w:spacing w:val="3"/>
              </w:rPr>
              <w:t>内容完备，可行</w:t>
            </w:r>
            <w:r>
              <w:t xml:space="preserve">                 </w:t>
            </w:r>
            <w:r>
              <w:rPr>
                <w:spacing w:val="3"/>
              </w:rPr>
              <w:t>1.8-1.6</w:t>
            </w:r>
            <w:r>
              <w:rPr>
                <w:spacing w:val="-31"/>
              </w:rPr>
              <w:t xml:space="preserve"> </w:t>
            </w:r>
            <w:r>
              <w:rPr>
                <w:spacing w:val="3"/>
              </w:rPr>
              <w:t>分</w:t>
            </w:r>
          </w:p>
        </w:tc>
      </w:tr>
      <w:tr w14:paraId="182A2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9CE5E96">
            <w:pPr>
              <w:rPr>
                <w:rFonts w:ascii="Arial"/>
                <w:sz w:val="21"/>
              </w:rPr>
            </w:pPr>
          </w:p>
        </w:tc>
        <w:tc>
          <w:tcPr>
            <w:tcW w:w="1058" w:type="dxa"/>
            <w:vMerge w:val="continue"/>
            <w:tcBorders>
              <w:top w:val="nil"/>
              <w:bottom w:val="nil"/>
            </w:tcBorders>
            <w:vAlign w:val="top"/>
          </w:tcPr>
          <w:p w14:paraId="47C664A9">
            <w:pPr>
              <w:rPr>
                <w:rFonts w:ascii="Arial"/>
                <w:sz w:val="21"/>
              </w:rPr>
            </w:pPr>
          </w:p>
        </w:tc>
        <w:tc>
          <w:tcPr>
            <w:tcW w:w="2159" w:type="dxa"/>
            <w:vMerge w:val="continue"/>
            <w:tcBorders>
              <w:top w:val="nil"/>
              <w:bottom w:val="nil"/>
            </w:tcBorders>
            <w:vAlign w:val="top"/>
          </w:tcPr>
          <w:p w14:paraId="285019EB">
            <w:pPr>
              <w:rPr>
                <w:rFonts w:ascii="Arial"/>
                <w:sz w:val="21"/>
              </w:rPr>
            </w:pPr>
          </w:p>
        </w:tc>
        <w:tc>
          <w:tcPr>
            <w:tcW w:w="720" w:type="dxa"/>
            <w:vMerge w:val="continue"/>
            <w:tcBorders>
              <w:top w:val="nil"/>
              <w:bottom w:val="nil"/>
            </w:tcBorders>
            <w:vAlign w:val="top"/>
          </w:tcPr>
          <w:p w14:paraId="593C8DC7">
            <w:pPr>
              <w:rPr>
                <w:rFonts w:ascii="Arial"/>
                <w:sz w:val="21"/>
              </w:rPr>
            </w:pPr>
          </w:p>
        </w:tc>
        <w:tc>
          <w:tcPr>
            <w:tcW w:w="4502" w:type="dxa"/>
            <w:vAlign w:val="top"/>
          </w:tcPr>
          <w:p w14:paraId="3648DB8E">
            <w:pPr>
              <w:pStyle w:val="6"/>
              <w:spacing w:before="79" w:line="227" w:lineRule="auto"/>
              <w:ind w:left="138"/>
            </w:pPr>
            <w:r>
              <w:rPr>
                <w:spacing w:val="4"/>
              </w:rPr>
              <w:t>内容欠完备，基本可行</w:t>
            </w:r>
            <w:r>
              <w:rPr>
                <w:spacing w:val="8"/>
              </w:rPr>
              <w:t xml:space="preserve">          </w:t>
            </w:r>
            <w:r>
              <w:rPr>
                <w:spacing w:val="4"/>
              </w:rPr>
              <w:t>1.5-1.4</w:t>
            </w:r>
            <w:r>
              <w:rPr>
                <w:spacing w:val="-38"/>
              </w:rPr>
              <w:t xml:space="preserve"> </w:t>
            </w:r>
            <w:r>
              <w:rPr>
                <w:spacing w:val="4"/>
              </w:rPr>
              <w:t>分</w:t>
            </w:r>
          </w:p>
        </w:tc>
      </w:tr>
      <w:tr w14:paraId="14231C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08064670">
            <w:pPr>
              <w:rPr>
                <w:rFonts w:ascii="Arial"/>
                <w:sz w:val="21"/>
              </w:rPr>
            </w:pPr>
          </w:p>
        </w:tc>
        <w:tc>
          <w:tcPr>
            <w:tcW w:w="1058" w:type="dxa"/>
            <w:vMerge w:val="continue"/>
            <w:tcBorders>
              <w:top w:val="nil"/>
              <w:bottom w:val="nil"/>
            </w:tcBorders>
            <w:vAlign w:val="top"/>
          </w:tcPr>
          <w:p w14:paraId="1AD98C82">
            <w:pPr>
              <w:rPr>
                <w:rFonts w:ascii="Arial"/>
                <w:sz w:val="21"/>
              </w:rPr>
            </w:pPr>
          </w:p>
        </w:tc>
        <w:tc>
          <w:tcPr>
            <w:tcW w:w="2159" w:type="dxa"/>
            <w:vMerge w:val="continue"/>
            <w:tcBorders>
              <w:top w:val="nil"/>
            </w:tcBorders>
            <w:vAlign w:val="top"/>
          </w:tcPr>
          <w:p w14:paraId="3FF152FD">
            <w:pPr>
              <w:rPr>
                <w:rFonts w:ascii="Arial"/>
                <w:sz w:val="21"/>
              </w:rPr>
            </w:pPr>
          </w:p>
        </w:tc>
        <w:tc>
          <w:tcPr>
            <w:tcW w:w="720" w:type="dxa"/>
            <w:vMerge w:val="continue"/>
            <w:tcBorders>
              <w:top w:val="nil"/>
            </w:tcBorders>
            <w:vAlign w:val="top"/>
          </w:tcPr>
          <w:p w14:paraId="1C532AD0">
            <w:pPr>
              <w:rPr>
                <w:rFonts w:ascii="Arial"/>
                <w:sz w:val="21"/>
              </w:rPr>
            </w:pPr>
          </w:p>
        </w:tc>
        <w:tc>
          <w:tcPr>
            <w:tcW w:w="4502" w:type="dxa"/>
            <w:vAlign w:val="top"/>
          </w:tcPr>
          <w:p w14:paraId="1730F876">
            <w:pPr>
              <w:pStyle w:val="6"/>
              <w:spacing w:before="79" w:line="228" w:lineRule="auto"/>
              <w:ind w:left="116"/>
            </w:pPr>
            <w:r>
              <w:rPr>
                <w:spacing w:val="2"/>
              </w:rPr>
              <w:t>不可行                               0</w:t>
            </w:r>
            <w:r>
              <w:rPr>
                <w:spacing w:val="-36"/>
              </w:rPr>
              <w:t xml:space="preserve"> </w:t>
            </w:r>
            <w:r>
              <w:rPr>
                <w:spacing w:val="2"/>
              </w:rPr>
              <w:t>分</w:t>
            </w:r>
          </w:p>
        </w:tc>
      </w:tr>
      <w:tr w14:paraId="6A611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135A50A">
            <w:pPr>
              <w:rPr>
                <w:rFonts w:ascii="Arial"/>
                <w:sz w:val="21"/>
              </w:rPr>
            </w:pPr>
          </w:p>
        </w:tc>
        <w:tc>
          <w:tcPr>
            <w:tcW w:w="1058" w:type="dxa"/>
            <w:vMerge w:val="continue"/>
            <w:tcBorders>
              <w:top w:val="nil"/>
              <w:bottom w:val="nil"/>
            </w:tcBorders>
            <w:vAlign w:val="top"/>
          </w:tcPr>
          <w:p w14:paraId="4549B532">
            <w:pPr>
              <w:rPr>
                <w:rFonts w:ascii="Arial"/>
                <w:sz w:val="21"/>
              </w:rPr>
            </w:pPr>
          </w:p>
        </w:tc>
        <w:tc>
          <w:tcPr>
            <w:tcW w:w="2159" w:type="dxa"/>
            <w:vMerge w:val="restart"/>
            <w:tcBorders>
              <w:bottom w:val="nil"/>
            </w:tcBorders>
            <w:vAlign w:val="top"/>
          </w:tcPr>
          <w:p w14:paraId="3C8D40AD">
            <w:pPr>
              <w:spacing w:line="282" w:lineRule="auto"/>
              <w:rPr>
                <w:rFonts w:ascii="Arial"/>
                <w:sz w:val="21"/>
              </w:rPr>
            </w:pPr>
          </w:p>
          <w:p w14:paraId="321533A2">
            <w:pPr>
              <w:spacing w:line="282" w:lineRule="auto"/>
              <w:rPr>
                <w:rFonts w:ascii="Arial"/>
                <w:sz w:val="21"/>
              </w:rPr>
            </w:pPr>
          </w:p>
          <w:p w14:paraId="2066FD1E">
            <w:pPr>
              <w:pStyle w:val="6"/>
              <w:spacing w:before="65" w:line="228" w:lineRule="auto"/>
              <w:ind w:left="114"/>
            </w:pPr>
            <w:r>
              <w:rPr>
                <w:spacing w:val="7"/>
              </w:rPr>
              <w:t>主要施工方案</w:t>
            </w:r>
          </w:p>
        </w:tc>
        <w:tc>
          <w:tcPr>
            <w:tcW w:w="720" w:type="dxa"/>
            <w:vMerge w:val="restart"/>
            <w:tcBorders>
              <w:bottom w:val="nil"/>
            </w:tcBorders>
            <w:vAlign w:val="top"/>
          </w:tcPr>
          <w:p w14:paraId="52E3ABF7">
            <w:pPr>
              <w:spacing w:line="282" w:lineRule="auto"/>
              <w:rPr>
                <w:rFonts w:ascii="Arial"/>
                <w:sz w:val="21"/>
              </w:rPr>
            </w:pPr>
          </w:p>
          <w:p w14:paraId="2B69FC2D">
            <w:pPr>
              <w:spacing w:line="282" w:lineRule="auto"/>
              <w:rPr>
                <w:rFonts w:ascii="Arial"/>
                <w:sz w:val="21"/>
              </w:rPr>
            </w:pPr>
          </w:p>
          <w:p w14:paraId="35E75139">
            <w:pPr>
              <w:pStyle w:val="6"/>
              <w:spacing w:before="65" w:line="228" w:lineRule="auto"/>
              <w:ind w:left="117"/>
            </w:pPr>
            <w:r>
              <w:rPr>
                <w:spacing w:val="-4"/>
              </w:rPr>
              <w:t>5</w:t>
            </w:r>
            <w:r>
              <w:rPr>
                <w:spacing w:val="-36"/>
              </w:rPr>
              <w:t xml:space="preserve"> </w:t>
            </w:r>
            <w:r>
              <w:rPr>
                <w:spacing w:val="-4"/>
              </w:rPr>
              <w:t>分</w:t>
            </w:r>
          </w:p>
        </w:tc>
        <w:tc>
          <w:tcPr>
            <w:tcW w:w="4502" w:type="dxa"/>
            <w:vAlign w:val="top"/>
          </w:tcPr>
          <w:p w14:paraId="3025B34E">
            <w:pPr>
              <w:pStyle w:val="6"/>
              <w:spacing w:before="78" w:line="227" w:lineRule="auto"/>
              <w:ind w:left="113"/>
            </w:pPr>
            <w:r>
              <w:rPr>
                <w:spacing w:val="6"/>
              </w:rPr>
              <w:t>科学、合理、针对性强            5-4.6</w:t>
            </w:r>
            <w:r>
              <w:rPr>
                <w:spacing w:val="-29"/>
              </w:rPr>
              <w:t xml:space="preserve"> </w:t>
            </w:r>
            <w:r>
              <w:rPr>
                <w:spacing w:val="6"/>
              </w:rPr>
              <w:t>分</w:t>
            </w:r>
          </w:p>
        </w:tc>
      </w:tr>
      <w:tr w14:paraId="649BBA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428AD19">
            <w:pPr>
              <w:rPr>
                <w:rFonts w:ascii="Arial"/>
                <w:sz w:val="21"/>
              </w:rPr>
            </w:pPr>
          </w:p>
        </w:tc>
        <w:tc>
          <w:tcPr>
            <w:tcW w:w="1058" w:type="dxa"/>
            <w:vMerge w:val="continue"/>
            <w:tcBorders>
              <w:top w:val="nil"/>
              <w:bottom w:val="nil"/>
            </w:tcBorders>
            <w:vAlign w:val="top"/>
          </w:tcPr>
          <w:p w14:paraId="4ED4F917">
            <w:pPr>
              <w:rPr>
                <w:rFonts w:ascii="Arial"/>
                <w:sz w:val="21"/>
              </w:rPr>
            </w:pPr>
          </w:p>
        </w:tc>
        <w:tc>
          <w:tcPr>
            <w:tcW w:w="2159" w:type="dxa"/>
            <w:vMerge w:val="continue"/>
            <w:tcBorders>
              <w:top w:val="nil"/>
              <w:bottom w:val="nil"/>
            </w:tcBorders>
            <w:vAlign w:val="top"/>
          </w:tcPr>
          <w:p w14:paraId="1CC70245">
            <w:pPr>
              <w:rPr>
                <w:rFonts w:ascii="Arial"/>
                <w:sz w:val="21"/>
              </w:rPr>
            </w:pPr>
          </w:p>
        </w:tc>
        <w:tc>
          <w:tcPr>
            <w:tcW w:w="720" w:type="dxa"/>
            <w:vMerge w:val="continue"/>
            <w:tcBorders>
              <w:top w:val="nil"/>
              <w:bottom w:val="nil"/>
            </w:tcBorders>
            <w:vAlign w:val="top"/>
          </w:tcPr>
          <w:p w14:paraId="212C72C9">
            <w:pPr>
              <w:rPr>
                <w:rFonts w:ascii="Arial"/>
                <w:sz w:val="21"/>
              </w:rPr>
            </w:pPr>
          </w:p>
        </w:tc>
        <w:tc>
          <w:tcPr>
            <w:tcW w:w="4502" w:type="dxa"/>
            <w:vAlign w:val="top"/>
          </w:tcPr>
          <w:p w14:paraId="2AF41791">
            <w:pPr>
              <w:pStyle w:val="6"/>
              <w:spacing w:before="78" w:line="228" w:lineRule="auto"/>
              <w:ind w:left="114"/>
            </w:pPr>
            <w:r>
              <w:rPr>
                <w:spacing w:val="5"/>
              </w:rPr>
              <w:t>合理、可行</w:t>
            </w:r>
            <w:r>
              <w:t xml:space="preserve">                       </w:t>
            </w:r>
            <w:r>
              <w:rPr>
                <w:spacing w:val="5"/>
              </w:rPr>
              <w:t>4.5-4</w:t>
            </w:r>
            <w:r>
              <w:rPr>
                <w:spacing w:val="-16"/>
              </w:rPr>
              <w:t xml:space="preserve"> </w:t>
            </w:r>
            <w:r>
              <w:rPr>
                <w:spacing w:val="5"/>
              </w:rPr>
              <w:t>分</w:t>
            </w:r>
          </w:p>
        </w:tc>
      </w:tr>
      <w:tr w14:paraId="625BCD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D953000">
            <w:pPr>
              <w:rPr>
                <w:rFonts w:ascii="Arial"/>
                <w:sz w:val="21"/>
              </w:rPr>
            </w:pPr>
          </w:p>
        </w:tc>
        <w:tc>
          <w:tcPr>
            <w:tcW w:w="1058" w:type="dxa"/>
            <w:vMerge w:val="continue"/>
            <w:tcBorders>
              <w:top w:val="nil"/>
              <w:bottom w:val="nil"/>
            </w:tcBorders>
            <w:vAlign w:val="top"/>
          </w:tcPr>
          <w:p w14:paraId="0D3B1689">
            <w:pPr>
              <w:rPr>
                <w:rFonts w:ascii="Arial"/>
                <w:sz w:val="21"/>
              </w:rPr>
            </w:pPr>
          </w:p>
        </w:tc>
        <w:tc>
          <w:tcPr>
            <w:tcW w:w="2159" w:type="dxa"/>
            <w:vMerge w:val="continue"/>
            <w:tcBorders>
              <w:top w:val="nil"/>
              <w:bottom w:val="nil"/>
            </w:tcBorders>
            <w:vAlign w:val="top"/>
          </w:tcPr>
          <w:p w14:paraId="44A01D08">
            <w:pPr>
              <w:rPr>
                <w:rFonts w:ascii="Arial"/>
                <w:sz w:val="21"/>
              </w:rPr>
            </w:pPr>
          </w:p>
        </w:tc>
        <w:tc>
          <w:tcPr>
            <w:tcW w:w="720" w:type="dxa"/>
            <w:vMerge w:val="continue"/>
            <w:tcBorders>
              <w:top w:val="nil"/>
              <w:bottom w:val="nil"/>
            </w:tcBorders>
            <w:vAlign w:val="top"/>
          </w:tcPr>
          <w:p w14:paraId="1D880F65">
            <w:pPr>
              <w:rPr>
                <w:rFonts w:ascii="Arial"/>
                <w:sz w:val="21"/>
              </w:rPr>
            </w:pPr>
          </w:p>
        </w:tc>
        <w:tc>
          <w:tcPr>
            <w:tcW w:w="4502" w:type="dxa"/>
            <w:vAlign w:val="top"/>
          </w:tcPr>
          <w:p w14:paraId="23CB74CF">
            <w:pPr>
              <w:pStyle w:val="6"/>
              <w:spacing w:before="77" w:line="227" w:lineRule="auto"/>
              <w:ind w:left="114"/>
            </w:pPr>
            <w:r>
              <w:rPr>
                <w:spacing w:val="6"/>
              </w:rPr>
              <w:t>欠合理，基本可行              3.9-</w:t>
            </w:r>
            <w:r>
              <w:rPr>
                <w:spacing w:val="5"/>
              </w:rPr>
              <w:t>3.5</w:t>
            </w:r>
            <w:r>
              <w:rPr>
                <w:spacing w:val="-37"/>
              </w:rPr>
              <w:t xml:space="preserve"> </w:t>
            </w:r>
            <w:r>
              <w:rPr>
                <w:spacing w:val="5"/>
              </w:rPr>
              <w:t>分</w:t>
            </w:r>
          </w:p>
        </w:tc>
      </w:tr>
      <w:tr w14:paraId="645206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8677EFE">
            <w:pPr>
              <w:rPr>
                <w:rFonts w:ascii="Arial"/>
                <w:sz w:val="21"/>
              </w:rPr>
            </w:pPr>
          </w:p>
        </w:tc>
        <w:tc>
          <w:tcPr>
            <w:tcW w:w="1058" w:type="dxa"/>
            <w:vMerge w:val="continue"/>
            <w:tcBorders>
              <w:top w:val="nil"/>
              <w:bottom w:val="nil"/>
            </w:tcBorders>
            <w:vAlign w:val="top"/>
          </w:tcPr>
          <w:p w14:paraId="5F7F968F">
            <w:pPr>
              <w:rPr>
                <w:rFonts w:ascii="Arial"/>
                <w:sz w:val="21"/>
              </w:rPr>
            </w:pPr>
          </w:p>
        </w:tc>
        <w:tc>
          <w:tcPr>
            <w:tcW w:w="2159" w:type="dxa"/>
            <w:vMerge w:val="continue"/>
            <w:tcBorders>
              <w:top w:val="nil"/>
            </w:tcBorders>
            <w:vAlign w:val="top"/>
          </w:tcPr>
          <w:p w14:paraId="14B7D78C">
            <w:pPr>
              <w:rPr>
                <w:rFonts w:ascii="Arial"/>
                <w:sz w:val="21"/>
              </w:rPr>
            </w:pPr>
          </w:p>
        </w:tc>
        <w:tc>
          <w:tcPr>
            <w:tcW w:w="720" w:type="dxa"/>
            <w:vMerge w:val="continue"/>
            <w:tcBorders>
              <w:top w:val="nil"/>
            </w:tcBorders>
            <w:vAlign w:val="top"/>
          </w:tcPr>
          <w:p w14:paraId="64F0827C">
            <w:pPr>
              <w:rPr>
                <w:rFonts w:ascii="Arial"/>
                <w:sz w:val="21"/>
              </w:rPr>
            </w:pPr>
          </w:p>
        </w:tc>
        <w:tc>
          <w:tcPr>
            <w:tcW w:w="4502" w:type="dxa"/>
            <w:vAlign w:val="top"/>
          </w:tcPr>
          <w:p w14:paraId="015A86A1">
            <w:pPr>
              <w:pStyle w:val="6"/>
              <w:spacing w:before="77" w:line="228" w:lineRule="auto"/>
              <w:ind w:left="116"/>
            </w:pPr>
            <w:r>
              <w:rPr>
                <w:spacing w:val="6"/>
              </w:rPr>
              <w:t>不可行，不能满足工程需要            0</w:t>
            </w:r>
            <w:r>
              <w:rPr>
                <w:spacing w:val="-20"/>
              </w:rPr>
              <w:t xml:space="preserve"> </w:t>
            </w:r>
            <w:r>
              <w:rPr>
                <w:spacing w:val="6"/>
              </w:rPr>
              <w:t>分</w:t>
            </w:r>
          </w:p>
        </w:tc>
      </w:tr>
      <w:tr w14:paraId="63D865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0284B5B">
            <w:pPr>
              <w:rPr>
                <w:rFonts w:ascii="Arial"/>
                <w:sz w:val="21"/>
              </w:rPr>
            </w:pPr>
          </w:p>
        </w:tc>
        <w:tc>
          <w:tcPr>
            <w:tcW w:w="1058" w:type="dxa"/>
            <w:vMerge w:val="continue"/>
            <w:tcBorders>
              <w:top w:val="nil"/>
              <w:bottom w:val="nil"/>
            </w:tcBorders>
            <w:vAlign w:val="top"/>
          </w:tcPr>
          <w:p w14:paraId="59618D86">
            <w:pPr>
              <w:rPr>
                <w:rFonts w:ascii="Arial"/>
                <w:sz w:val="21"/>
              </w:rPr>
            </w:pPr>
          </w:p>
        </w:tc>
        <w:tc>
          <w:tcPr>
            <w:tcW w:w="2159" w:type="dxa"/>
            <w:vMerge w:val="restart"/>
            <w:tcBorders>
              <w:bottom w:val="nil"/>
            </w:tcBorders>
            <w:vAlign w:val="top"/>
          </w:tcPr>
          <w:p w14:paraId="38D7E833">
            <w:pPr>
              <w:spacing w:line="282" w:lineRule="auto"/>
              <w:rPr>
                <w:rFonts w:ascii="Arial"/>
                <w:sz w:val="21"/>
              </w:rPr>
            </w:pPr>
          </w:p>
          <w:p w14:paraId="29E96780">
            <w:pPr>
              <w:spacing w:line="283" w:lineRule="auto"/>
              <w:rPr>
                <w:rFonts w:ascii="Arial"/>
                <w:sz w:val="21"/>
              </w:rPr>
            </w:pPr>
          </w:p>
          <w:p w14:paraId="5223601A">
            <w:pPr>
              <w:pStyle w:val="6"/>
              <w:spacing w:before="65" w:line="227" w:lineRule="auto"/>
              <w:ind w:left="111"/>
            </w:pPr>
            <w:r>
              <w:rPr>
                <w:spacing w:val="8"/>
              </w:rPr>
              <w:t>施工现场平面布置</w:t>
            </w:r>
          </w:p>
        </w:tc>
        <w:tc>
          <w:tcPr>
            <w:tcW w:w="720" w:type="dxa"/>
            <w:vMerge w:val="restart"/>
            <w:tcBorders>
              <w:bottom w:val="nil"/>
            </w:tcBorders>
            <w:vAlign w:val="top"/>
          </w:tcPr>
          <w:p w14:paraId="2A34CBC8">
            <w:pPr>
              <w:spacing w:line="282" w:lineRule="auto"/>
              <w:rPr>
                <w:rFonts w:ascii="Arial"/>
                <w:sz w:val="21"/>
              </w:rPr>
            </w:pPr>
          </w:p>
          <w:p w14:paraId="562F59D4">
            <w:pPr>
              <w:spacing w:line="283" w:lineRule="auto"/>
              <w:rPr>
                <w:rFonts w:ascii="Arial"/>
                <w:sz w:val="21"/>
              </w:rPr>
            </w:pPr>
          </w:p>
          <w:p w14:paraId="0DB64CC3">
            <w:pPr>
              <w:pStyle w:val="6"/>
              <w:spacing w:before="65" w:line="228" w:lineRule="auto"/>
              <w:ind w:left="116"/>
            </w:pPr>
            <w:r>
              <w:rPr>
                <w:spacing w:val="-4"/>
              </w:rPr>
              <w:t>2</w:t>
            </w:r>
            <w:r>
              <w:rPr>
                <w:spacing w:val="-35"/>
              </w:rPr>
              <w:t xml:space="preserve"> </w:t>
            </w:r>
            <w:r>
              <w:rPr>
                <w:spacing w:val="-4"/>
              </w:rPr>
              <w:t>分</w:t>
            </w:r>
          </w:p>
        </w:tc>
        <w:tc>
          <w:tcPr>
            <w:tcW w:w="4502" w:type="dxa"/>
            <w:vAlign w:val="top"/>
          </w:tcPr>
          <w:p w14:paraId="76005BDC">
            <w:pPr>
              <w:pStyle w:val="6"/>
              <w:spacing w:before="79" w:line="227" w:lineRule="auto"/>
              <w:ind w:left="115"/>
            </w:pPr>
            <w:r>
              <w:rPr>
                <w:spacing w:val="5"/>
              </w:rPr>
              <w:t>现场布置合理</w:t>
            </w:r>
            <w:r>
              <w:t xml:space="preserve">                     </w:t>
            </w:r>
            <w:r>
              <w:rPr>
                <w:spacing w:val="5"/>
              </w:rPr>
              <w:t>2-1.9</w:t>
            </w:r>
            <w:r>
              <w:rPr>
                <w:spacing w:val="-22"/>
              </w:rPr>
              <w:t xml:space="preserve"> </w:t>
            </w:r>
            <w:r>
              <w:rPr>
                <w:spacing w:val="5"/>
              </w:rPr>
              <w:t>分</w:t>
            </w:r>
          </w:p>
        </w:tc>
      </w:tr>
      <w:tr w14:paraId="0121B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DEBD20C">
            <w:pPr>
              <w:rPr>
                <w:rFonts w:ascii="Arial"/>
                <w:sz w:val="21"/>
              </w:rPr>
            </w:pPr>
          </w:p>
        </w:tc>
        <w:tc>
          <w:tcPr>
            <w:tcW w:w="1058" w:type="dxa"/>
            <w:vMerge w:val="continue"/>
            <w:tcBorders>
              <w:top w:val="nil"/>
              <w:bottom w:val="nil"/>
            </w:tcBorders>
            <w:vAlign w:val="top"/>
          </w:tcPr>
          <w:p w14:paraId="1AB8E0F6">
            <w:pPr>
              <w:rPr>
                <w:rFonts w:ascii="Arial"/>
                <w:sz w:val="21"/>
              </w:rPr>
            </w:pPr>
          </w:p>
        </w:tc>
        <w:tc>
          <w:tcPr>
            <w:tcW w:w="2159" w:type="dxa"/>
            <w:vMerge w:val="continue"/>
            <w:tcBorders>
              <w:top w:val="nil"/>
              <w:bottom w:val="nil"/>
            </w:tcBorders>
            <w:vAlign w:val="top"/>
          </w:tcPr>
          <w:p w14:paraId="56E252D8">
            <w:pPr>
              <w:rPr>
                <w:rFonts w:ascii="Arial"/>
                <w:sz w:val="21"/>
              </w:rPr>
            </w:pPr>
          </w:p>
        </w:tc>
        <w:tc>
          <w:tcPr>
            <w:tcW w:w="720" w:type="dxa"/>
            <w:vMerge w:val="continue"/>
            <w:tcBorders>
              <w:top w:val="nil"/>
              <w:bottom w:val="nil"/>
            </w:tcBorders>
            <w:vAlign w:val="top"/>
          </w:tcPr>
          <w:p w14:paraId="6D78E515">
            <w:pPr>
              <w:rPr>
                <w:rFonts w:ascii="Arial"/>
                <w:sz w:val="21"/>
              </w:rPr>
            </w:pPr>
          </w:p>
        </w:tc>
        <w:tc>
          <w:tcPr>
            <w:tcW w:w="4502" w:type="dxa"/>
            <w:vAlign w:val="top"/>
          </w:tcPr>
          <w:p w14:paraId="5B88DFA2">
            <w:pPr>
              <w:pStyle w:val="6"/>
              <w:spacing w:before="78" w:line="227" w:lineRule="auto"/>
              <w:ind w:left="115"/>
            </w:pPr>
            <w:r>
              <w:rPr>
                <w:spacing w:val="4"/>
              </w:rPr>
              <w:t>现场布置可行</w:t>
            </w:r>
            <w:r>
              <w:rPr>
                <w:spacing w:val="1"/>
              </w:rPr>
              <w:t xml:space="preserve">                   </w:t>
            </w:r>
            <w:r>
              <w:rPr>
                <w:spacing w:val="4"/>
              </w:rPr>
              <w:t>1.8-1.6</w:t>
            </w:r>
            <w:r>
              <w:rPr>
                <w:spacing w:val="-37"/>
              </w:rPr>
              <w:t xml:space="preserve"> </w:t>
            </w:r>
            <w:r>
              <w:rPr>
                <w:spacing w:val="4"/>
              </w:rPr>
              <w:t>分</w:t>
            </w:r>
          </w:p>
        </w:tc>
      </w:tr>
      <w:tr w14:paraId="7DF5B1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5F0E2DB">
            <w:pPr>
              <w:rPr>
                <w:rFonts w:ascii="Arial"/>
                <w:sz w:val="21"/>
              </w:rPr>
            </w:pPr>
          </w:p>
        </w:tc>
        <w:tc>
          <w:tcPr>
            <w:tcW w:w="1058" w:type="dxa"/>
            <w:vMerge w:val="continue"/>
            <w:tcBorders>
              <w:top w:val="nil"/>
              <w:bottom w:val="nil"/>
            </w:tcBorders>
            <w:vAlign w:val="top"/>
          </w:tcPr>
          <w:p w14:paraId="3DF48173">
            <w:pPr>
              <w:rPr>
                <w:rFonts w:ascii="Arial"/>
                <w:sz w:val="21"/>
              </w:rPr>
            </w:pPr>
          </w:p>
        </w:tc>
        <w:tc>
          <w:tcPr>
            <w:tcW w:w="2159" w:type="dxa"/>
            <w:vMerge w:val="continue"/>
            <w:tcBorders>
              <w:top w:val="nil"/>
              <w:bottom w:val="nil"/>
            </w:tcBorders>
            <w:vAlign w:val="top"/>
          </w:tcPr>
          <w:p w14:paraId="38F60003">
            <w:pPr>
              <w:rPr>
                <w:rFonts w:ascii="Arial"/>
                <w:sz w:val="21"/>
              </w:rPr>
            </w:pPr>
          </w:p>
        </w:tc>
        <w:tc>
          <w:tcPr>
            <w:tcW w:w="720" w:type="dxa"/>
            <w:vMerge w:val="continue"/>
            <w:tcBorders>
              <w:top w:val="nil"/>
              <w:bottom w:val="nil"/>
            </w:tcBorders>
            <w:vAlign w:val="top"/>
          </w:tcPr>
          <w:p w14:paraId="534751D0">
            <w:pPr>
              <w:rPr>
                <w:rFonts w:ascii="Arial"/>
                <w:sz w:val="21"/>
              </w:rPr>
            </w:pPr>
          </w:p>
        </w:tc>
        <w:tc>
          <w:tcPr>
            <w:tcW w:w="4502" w:type="dxa"/>
            <w:vAlign w:val="top"/>
          </w:tcPr>
          <w:p w14:paraId="0D0F94CD">
            <w:pPr>
              <w:pStyle w:val="6"/>
              <w:spacing w:before="78" w:line="227" w:lineRule="auto"/>
              <w:ind w:left="115"/>
            </w:pPr>
            <w:r>
              <w:rPr>
                <w:spacing w:val="4"/>
              </w:rPr>
              <w:t>现场布置基本可行</w:t>
            </w:r>
            <w:r>
              <w:rPr>
                <w:spacing w:val="8"/>
              </w:rPr>
              <w:t xml:space="preserve">              </w:t>
            </w:r>
            <w:r>
              <w:rPr>
                <w:spacing w:val="4"/>
              </w:rPr>
              <w:t>1.5-1.4</w:t>
            </w:r>
            <w:r>
              <w:rPr>
                <w:spacing w:val="-38"/>
              </w:rPr>
              <w:t xml:space="preserve"> </w:t>
            </w:r>
            <w:r>
              <w:rPr>
                <w:spacing w:val="4"/>
              </w:rPr>
              <w:t>分</w:t>
            </w:r>
          </w:p>
        </w:tc>
      </w:tr>
      <w:tr w14:paraId="791E8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97CB23E">
            <w:pPr>
              <w:rPr>
                <w:rFonts w:ascii="Arial"/>
                <w:sz w:val="21"/>
              </w:rPr>
            </w:pPr>
          </w:p>
        </w:tc>
        <w:tc>
          <w:tcPr>
            <w:tcW w:w="1058" w:type="dxa"/>
            <w:vMerge w:val="continue"/>
            <w:tcBorders>
              <w:top w:val="nil"/>
              <w:bottom w:val="nil"/>
            </w:tcBorders>
            <w:vAlign w:val="top"/>
          </w:tcPr>
          <w:p w14:paraId="47996F95">
            <w:pPr>
              <w:rPr>
                <w:rFonts w:ascii="Arial"/>
                <w:sz w:val="21"/>
              </w:rPr>
            </w:pPr>
          </w:p>
        </w:tc>
        <w:tc>
          <w:tcPr>
            <w:tcW w:w="2159" w:type="dxa"/>
            <w:vMerge w:val="continue"/>
            <w:tcBorders>
              <w:top w:val="nil"/>
            </w:tcBorders>
            <w:vAlign w:val="top"/>
          </w:tcPr>
          <w:p w14:paraId="22DD9DDF">
            <w:pPr>
              <w:rPr>
                <w:rFonts w:ascii="Arial"/>
                <w:sz w:val="21"/>
              </w:rPr>
            </w:pPr>
          </w:p>
        </w:tc>
        <w:tc>
          <w:tcPr>
            <w:tcW w:w="720" w:type="dxa"/>
            <w:vMerge w:val="continue"/>
            <w:tcBorders>
              <w:top w:val="nil"/>
            </w:tcBorders>
            <w:vAlign w:val="top"/>
          </w:tcPr>
          <w:p w14:paraId="0F858BC2">
            <w:pPr>
              <w:rPr>
                <w:rFonts w:ascii="Arial"/>
                <w:sz w:val="21"/>
              </w:rPr>
            </w:pPr>
          </w:p>
        </w:tc>
        <w:tc>
          <w:tcPr>
            <w:tcW w:w="4502" w:type="dxa"/>
            <w:vAlign w:val="top"/>
          </w:tcPr>
          <w:p w14:paraId="1442F7A1">
            <w:pPr>
              <w:pStyle w:val="6"/>
              <w:spacing w:before="78" w:line="227" w:lineRule="auto"/>
              <w:ind w:left="115"/>
            </w:pPr>
            <w:r>
              <w:rPr>
                <w:spacing w:val="5"/>
              </w:rPr>
              <w:t>现场布置不可行</w:t>
            </w:r>
            <w:r>
              <w:rPr>
                <w:spacing w:val="1"/>
              </w:rPr>
              <w:t xml:space="preserve">                       </w:t>
            </w:r>
            <w:r>
              <w:rPr>
                <w:spacing w:val="5"/>
              </w:rPr>
              <w:t>0</w:t>
            </w:r>
            <w:r>
              <w:rPr>
                <w:spacing w:val="-30"/>
              </w:rPr>
              <w:t xml:space="preserve"> </w:t>
            </w:r>
            <w:r>
              <w:rPr>
                <w:spacing w:val="5"/>
              </w:rPr>
              <w:t>分</w:t>
            </w:r>
          </w:p>
        </w:tc>
      </w:tr>
      <w:tr w14:paraId="639C39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45" w:type="dxa"/>
            <w:vMerge w:val="continue"/>
            <w:tcBorders>
              <w:top w:val="nil"/>
            </w:tcBorders>
            <w:vAlign w:val="top"/>
          </w:tcPr>
          <w:p w14:paraId="183495D3">
            <w:pPr>
              <w:rPr>
                <w:rFonts w:ascii="Arial"/>
                <w:sz w:val="21"/>
              </w:rPr>
            </w:pPr>
          </w:p>
        </w:tc>
        <w:tc>
          <w:tcPr>
            <w:tcW w:w="1058" w:type="dxa"/>
            <w:vMerge w:val="continue"/>
            <w:tcBorders>
              <w:top w:val="nil"/>
            </w:tcBorders>
            <w:vAlign w:val="top"/>
          </w:tcPr>
          <w:p w14:paraId="02033158">
            <w:pPr>
              <w:rPr>
                <w:rFonts w:ascii="Arial"/>
                <w:sz w:val="21"/>
              </w:rPr>
            </w:pPr>
          </w:p>
        </w:tc>
        <w:tc>
          <w:tcPr>
            <w:tcW w:w="2159" w:type="dxa"/>
            <w:vAlign w:val="top"/>
          </w:tcPr>
          <w:p w14:paraId="2316DFCB">
            <w:pPr>
              <w:pStyle w:val="6"/>
              <w:spacing w:before="77" w:line="228" w:lineRule="auto"/>
              <w:ind w:left="114"/>
            </w:pPr>
            <w:r>
              <w:rPr>
                <w:spacing w:val="8"/>
              </w:rPr>
              <w:t>主要施工管理计划</w:t>
            </w:r>
          </w:p>
        </w:tc>
        <w:tc>
          <w:tcPr>
            <w:tcW w:w="720" w:type="dxa"/>
            <w:vAlign w:val="top"/>
          </w:tcPr>
          <w:p w14:paraId="1285D836">
            <w:pPr>
              <w:pStyle w:val="6"/>
              <w:spacing w:before="78" w:line="228" w:lineRule="auto"/>
              <w:ind w:left="112"/>
            </w:pPr>
            <w:r>
              <w:rPr>
                <w:spacing w:val="-2"/>
              </w:rPr>
              <w:t>4</w:t>
            </w:r>
            <w:r>
              <w:rPr>
                <w:spacing w:val="-36"/>
              </w:rPr>
              <w:t xml:space="preserve"> </w:t>
            </w:r>
            <w:r>
              <w:rPr>
                <w:spacing w:val="-2"/>
              </w:rPr>
              <w:t>分</w:t>
            </w:r>
          </w:p>
        </w:tc>
        <w:tc>
          <w:tcPr>
            <w:tcW w:w="4502" w:type="dxa"/>
            <w:vAlign w:val="top"/>
          </w:tcPr>
          <w:p w14:paraId="05B0C016">
            <w:pPr>
              <w:pStyle w:val="6"/>
              <w:spacing w:before="77" w:line="228" w:lineRule="auto"/>
              <w:ind w:left="138"/>
            </w:pPr>
            <w:r>
              <w:rPr>
                <w:spacing w:val="6"/>
              </w:rPr>
              <w:t xml:space="preserve">内容完备，合理、针对性强        </w:t>
            </w:r>
            <w:r>
              <w:rPr>
                <w:spacing w:val="5"/>
              </w:rPr>
              <w:t>4-3.7</w:t>
            </w:r>
            <w:r>
              <w:rPr>
                <w:spacing w:val="-36"/>
              </w:rPr>
              <w:t xml:space="preserve"> </w:t>
            </w:r>
            <w:r>
              <w:rPr>
                <w:spacing w:val="5"/>
              </w:rPr>
              <w:t>分</w:t>
            </w:r>
          </w:p>
        </w:tc>
      </w:tr>
    </w:tbl>
    <w:p w14:paraId="1AA0EB01">
      <w:pPr>
        <w:rPr>
          <w:rFonts w:ascii="Arial"/>
          <w:sz w:val="21"/>
        </w:rPr>
      </w:pPr>
    </w:p>
    <w:p w14:paraId="72674EE5">
      <w:pPr>
        <w:rPr>
          <w:rFonts w:ascii="Arial" w:hAnsi="Arial" w:eastAsia="Arial" w:cs="Arial"/>
          <w:sz w:val="21"/>
          <w:szCs w:val="21"/>
        </w:rPr>
        <w:sectPr>
          <w:footerReference r:id="rId65" w:type="default"/>
          <w:pgSz w:w="11907" w:h="16840"/>
          <w:pgMar w:top="400" w:right="1248" w:bottom="1035" w:left="1469" w:header="0" w:footer="785" w:gutter="0"/>
          <w:cols w:space="720" w:num="1"/>
        </w:sectPr>
      </w:pPr>
    </w:p>
    <w:p w14:paraId="5C5E826E">
      <w:pPr>
        <w:spacing w:before="19"/>
      </w:pPr>
    </w:p>
    <w:p w14:paraId="0AFA6592">
      <w:pPr>
        <w:spacing w:before="19"/>
      </w:pPr>
    </w:p>
    <w:p w14:paraId="7716BF7F">
      <w:pPr>
        <w:spacing w:before="19"/>
      </w:pPr>
    </w:p>
    <w:p w14:paraId="33DE279B">
      <w:pPr>
        <w:spacing w:before="18"/>
      </w:pPr>
    </w:p>
    <w:p w14:paraId="210F001B">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439"/>
        <w:gridCol w:w="720"/>
        <w:gridCol w:w="720"/>
        <w:gridCol w:w="4502"/>
      </w:tblGrid>
      <w:tr w14:paraId="30D83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745" w:type="dxa"/>
            <w:vMerge w:val="restart"/>
            <w:tcBorders>
              <w:bottom w:val="nil"/>
            </w:tcBorders>
            <w:vAlign w:val="top"/>
          </w:tcPr>
          <w:p w14:paraId="4473FB09">
            <w:pPr>
              <w:rPr>
                <w:rFonts w:ascii="Arial"/>
                <w:sz w:val="21"/>
              </w:rPr>
            </w:pPr>
          </w:p>
        </w:tc>
        <w:tc>
          <w:tcPr>
            <w:tcW w:w="1058" w:type="dxa"/>
            <w:vMerge w:val="restart"/>
            <w:tcBorders>
              <w:bottom w:val="nil"/>
            </w:tcBorders>
            <w:vAlign w:val="top"/>
          </w:tcPr>
          <w:p w14:paraId="4C72CF45">
            <w:pPr>
              <w:rPr>
                <w:rFonts w:ascii="Arial"/>
                <w:sz w:val="21"/>
              </w:rPr>
            </w:pPr>
          </w:p>
        </w:tc>
        <w:tc>
          <w:tcPr>
            <w:tcW w:w="2159" w:type="dxa"/>
            <w:gridSpan w:val="2"/>
            <w:vMerge w:val="restart"/>
            <w:tcBorders>
              <w:bottom w:val="nil"/>
            </w:tcBorders>
            <w:vAlign w:val="top"/>
          </w:tcPr>
          <w:p w14:paraId="7874DCC3">
            <w:pPr>
              <w:rPr>
                <w:rFonts w:ascii="Arial"/>
                <w:sz w:val="21"/>
              </w:rPr>
            </w:pPr>
          </w:p>
        </w:tc>
        <w:tc>
          <w:tcPr>
            <w:tcW w:w="720" w:type="dxa"/>
            <w:vMerge w:val="restart"/>
            <w:tcBorders>
              <w:bottom w:val="nil"/>
            </w:tcBorders>
            <w:vAlign w:val="top"/>
          </w:tcPr>
          <w:p w14:paraId="6FB0679F">
            <w:pPr>
              <w:rPr>
                <w:rFonts w:ascii="Arial"/>
                <w:sz w:val="21"/>
              </w:rPr>
            </w:pPr>
          </w:p>
        </w:tc>
        <w:tc>
          <w:tcPr>
            <w:tcW w:w="4502" w:type="dxa"/>
            <w:vAlign w:val="top"/>
          </w:tcPr>
          <w:p w14:paraId="0DD7C69C">
            <w:pPr>
              <w:pStyle w:val="6"/>
              <w:spacing w:before="78" w:line="228" w:lineRule="auto"/>
              <w:ind w:left="138"/>
            </w:pPr>
            <w:r>
              <w:rPr>
                <w:spacing w:val="3"/>
              </w:rPr>
              <w:t>内容完备，可行</w:t>
            </w:r>
            <w:r>
              <w:rPr>
                <w:spacing w:val="6"/>
              </w:rPr>
              <w:t xml:space="preserve">                </w:t>
            </w:r>
            <w:r>
              <w:rPr>
                <w:spacing w:val="3"/>
              </w:rPr>
              <w:t>3.6-3.2</w:t>
            </w:r>
            <w:r>
              <w:rPr>
                <w:spacing w:val="-27"/>
              </w:rPr>
              <w:t xml:space="preserve"> </w:t>
            </w:r>
            <w:r>
              <w:rPr>
                <w:spacing w:val="3"/>
              </w:rPr>
              <w:t>分</w:t>
            </w:r>
          </w:p>
        </w:tc>
      </w:tr>
      <w:tr w14:paraId="60485B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1EEE3D6">
            <w:pPr>
              <w:rPr>
                <w:rFonts w:ascii="Arial"/>
                <w:sz w:val="21"/>
              </w:rPr>
            </w:pPr>
          </w:p>
        </w:tc>
        <w:tc>
          <w:tcPr>
            <w:tcW w:w="1058" w:type="dxa"/>
            <w:vMerge w:val="continue"/>
            <w:tcBorders>
              <w:top w:val="nil"/>
              <w:bottom w:val="nil"/>
            </w:tcBorders>
            <w:vAlign w:val="top"/>
          </w:tcPr>
          <w:p w14:paraId="406593AB">
            <w:pPr>
              <w:rPr>
                <w:rFonts w:ascii="Arial"/>
                <w:sz w:val="21"/>
              </w:rPr>
            </w:pPr>
          </w:p>
        </w:tc>
        <w:tc>
          <w:tcPr>
            <w:tcW w:w="2159" w:type="dxa"/>
            <w:gridSpan w:val="2"/>
            <w:vMerge w:val="continue"/>
            <w:tcBorders>
              <w:top w:val="nil"/>
              <w:bottom w:val="nil"/>
            </w:tcBorders>
            <w:vAlign w:val="top"/>
          </w:tcPr>
          <w:p w14:paraId="11058C0D">
            <w:pPr>
              <w:rPr>
                <w:rFonts w:ascii="Arial"/>
                <w:sz w:val="21"/>
              </w:rPr>
            </w:pPr>
          </w:p>
        </w:tc>
        <w:tc>
          <w:tcPr>
            <w:tcW w:w="720" w:type="dxa"/>
            <w:vMerge w:val="continue"/>
            <w:tcBorders>
              <w:top w:val="nil"/>
              <w:bottom w:val="nil"/>
            </w:tcBorders>
            <w:vAlign w:val="top"/>
          </w:tcPr>
          <w:p w14:paraId="411A60E7">
            <w:pPr>
              <w:rPr>
                <w:rFonts w:ascii="Arial"/>
                <w:sz w:val="21"/>
              </w:rPr>
            </w:pPr>
          </w:p>
        </w:tc>
        <w:tc>
          <w:tcPr>
            <w:tcW w:w="4502" w:type="dxa"/>
            <w:vAlign w:val="top"/>
          </w:tcPr>
          <w:p w14:paraId="6D5403E5">
            <w:pPr>
              <w:pStyle w:val="6"/>
              <w:spacing w:before="73" w:line="227" w:lineRule="auto"/>
              <w:ind w:left="138"/>
            </w:pPr>
            <w:r>
              <w:rPr>
                <w:spacing w:val="4"/>
              </w:rPr>
              <w:t>内容欠完备，基本可行</w:t>
            </w:r>
            <w:r>
              <w:rPr>
                <w:spacing w:val="8"/>
              </w:rPr>
              <w:t xml:space="preserve">          </w:t>
            </w:r>
            <w:r>
              <w:rPr>
                <w:spacing w:val="4"/>
              </w:rPr>
              <w:t>3.1-2.8</w:t>
            </w:r>
            <w:r>
              <w:rPr>
                <w:spacing w:val="-38"/>
              </w:rPr>
              <w:t xml:space="preserve"> </w:t>
            </w:r>
            <w:r>
              <w:rPr>
                <w:spacing w:val="4"/>
              </w:rPr>
              <w:t>分</w:t>
            </w:r>
          </w:p>
        </w:tc>
      </w:tr>
      <w:tr w14:paraId="3BC68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tcBorders>
            <w:vAlign w:val="top"/>
          </w:tcPr>
          <w:p w14:paraId="25D36BF9">
            <w:pPr>
              <w:rPr>
                <w:rFonts w:ascii="Arial"/>
                <w:sz w:val="21"/>
              </w:rPr>
            </w:pPr>
          </w:p>
        </w:tc>
        <w:tc>
          <w:tcPr>
            <w:tcW w:w="1058" w:type="dxa"/>
            <w:vMerge w:val="continue"/>
            <w:tcBorders>
              <w:top w:val="nil"/>
            </w:tcBorders>
            <w:vAlign w:val="top"/>
          </w:tcPr>
          <w:p w14:paraId="536B767D">
            <w:pPr>
              <w:rPr>
                <w:rFonts w:ascii="Arial"/>
                <w:sz w:val="21"/>
              </w:rPr>
            </w:pPr>
          </w:p>
        </w:tc>
        <w:tc>
          <w:tcPr>
            <w:tcW w:w="2159" w:type="dxa"/>
            <w:gridSpan w:val="2"/>
            <w:vMerge w:val="continue"/>
            <w:tcBorders>
              <w:top w:val="nil"/>
            </w:tcBorders>
            <w:vAlign w:val="top"/>
          </w:tcPr>
          <w:p w14:paraId="0290CB91">
            <w:pPr>
              <w:rPr>
                <w:rFonts w:ascii="Arial"/>
                <w:sz w:val="21"/>
              </w:rPr>
            </w:pPr>
          </w:p>
        </w:tc>
        <w:tc>
          <w:tcPr>
            <w:tcW w:w="720" w:type="dxa"/>
            <w:vMerge w:val="continue"/>
            <w:tcBorders>
              <w:top w:val="nil"/>
            </w:tcBorders>
            <w:vAlign w:val="top"/>
          </w:tcPr>
          <w:p w14:paraId="1BC40707">
            <w:pPr>
              <w:rPr>
                <w:rFonts w:ascii="Arial"/>
                <w:sz w:val="21"/>
              </w:rPr>
            </w:pPr>
          </w:p>
        </w:tc>
        <w:tc>
          <w:tcPr>
            <w:tcW w:w="4502" w:type="dxa"/>
            <w:vAlign w:val="top"/>
          </w:tcPr>
          <w:p w14:paraId="3AF90969">
            <w:pPr>
              <w:pStyle w:val="6"/>
              <w:spacing w:before="75" w:line="228" w:lineRule="auto"/>
              <w:ind w:left="116"/>
            </w:pPr>
            <w:r>
              <w:rPr>
                <w:spacing w:val="2"/>
              </w:rPr>
              <w:t>不可行                               0</w:t>
            </w:r>
            <w:r>
              <w:rPr>
                <w:spacing w:val="-36"/>
              </w:rPr>
              <w:t xml:space="preserve"> </w:t>
            </w:r>
            <w:r>
              <w:rPr>
                <w:spacing w:val="2"/>
              </w:rPr>
              <w:t>分</w:t>
            </w:r>
          </w:p>
        </w:tc>
      </w:tr>
      <w:tr w14:paraId="62FC7F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restart"/>
            <w:tcBorders>
              <w:bottom w:val="nil"/>
            </w:tcBorders>
            <w:vAlign w:val="top"/>
          </w:tcPr>
          <w:p w14:paraId="6F5A0DF8">
            <w:pPr>
              <w:spacing w:line="247" w:lineRule="auto"/>
              <w:rPr>
                <w:rFonts w:ascii="Arial"/>
                <w:sz w:val="21"/>
              </w:rPr>
            </w:pPr>
          </w:p>
          <w:p w14:paraId="069B4EED">
            <w:pPr>
              <w:spacing w:line="247" w:lineRule="auto"/>
              <w:rPr>
                <w:rFonts w:ascii="Arial"/>
                <w:sz w:val="21"/>
              </w:rPr>
            </w:pPr>
          </w:p>
          <w:p w14:paraId="1AB84A51">
            <w:pPr>
              <w:spacing w:line="247" w:lineRule="auto"/>
              <w:rPr>
                <w:rFonts w:ascii="Arial"/>
                <w:sz w:val="21"/>
              </w:rPr>
            </w:pPr>
          </w:p>
          <w:p w14:paraId="2EAB3F7C">
            <w:pPr>
              <w:spacing w:line="247" w:lineRule="auto"/>
              <w:rPr>
                <w:rFonts w:ascii="Arial"/>
                <w:sz w:val="21"/>
              </w:rPr>
            </w:pPr>
          </w:p>
          <w:p w14:paraId="4099597E">
            <w:pPr>
              <w:spacing w:line="247" w:lineRule="auto"/>
              <w:rPr>
                <w:rFonts w:ascii="Arial"/>
                <w:sz w:val="21"/>
              </w:rPr>
            </w:pPr>
          </w:p>
          <w:p w14:paraId="7759BF21">
            <w:pPr>
              <w:spacing w:line="247" w:lineRule="auto"/>
              <w:rPr>
                <w:rFonts w:ascii="Arial"/>
                <w:sz w:val="21"/>
              </w:rPr>
            </w:pPr>
          </w:p>
          <w:p w14:paraId="615BDD6E">
            <w:pPr>
              <w:spacing w:line="248" w:lineRule="auto"/>
              <w:rPr>
                <w:rFonts w:ascii="Arial"/>
                <w:sz w:val="21"/>
              </w:rPr>
            </w:pPr>
          </w:p>
          <w:p w14:paraId="436A1AFE">
            <w:pPr>
              <w:spacing w:line="248" w:lineRule="auto"/>
              <w:rPr>
                <w:rFonts w:ascii="Arial"/>
                <w:sz w:val="21"/>
              </w:rPr>
            </w:pPr>
          </w:p>
          <w:p w14:paraId="01E28E40">
            <w:pPr>
              <w:spacing w:line="248" w:lineRule="auto"/>
              <w:rPr>
                <w:rFonts w:ascii="Arial"/>
                <w:sz w:val="21"/>
              </w:rPr>
            </w:pPr>
          </w:p>
          <w:p w14:paraId="786DE8F7">
            <w:pPr>
              <w:spacing w:line="248" w:lineRule="auto"/>
              <w:rPr>
                <w:rFonts w:ascii="Arial"/>
                <w:sz w:val="21"/>
              </w:rPr>
            </w:pPr>
          </w:p>
          <w:p w14:paraId="4CD8375C">
            <w:pPr>
              <w:spacing w:line="248" w:lineRule="auto"/>
              <w:rPr>
                <w:rFonts w:ascii="Arial"/>
                <w:sz w:val="21"/>
              </w:rPr>
            </w:pPr>
          </w:p>
          <w:p w14:paraId="4A426595">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714AEE0B">
            <w:pPr>
              <w:pStyle w:val="6"/>
              <w:spacing w:before="197"/>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4419C118">
            <w:pPr>
              <w:spacing w:line="256" w:lineRule="auto"/>
              <w:rPr>
                <w:rFonts w:ascii="Arial"/>
                <w:sz w:val="21"/>
              </w:rPr>
            </w:pPr>
          </w:p>
          <w:p w14:paraId="5C7E21B3">
            <w:pPr>
              <w:spacing w:line="256" w:lineRule="auto"/>
              <w:rPr>
                <w:rFonts w:ascii="Arial"/>
                <w:sz w:val="21"/>
              </w:rPr>
            </w:pPr>
          </w:p>
          <w:p w14:paraId="07C71CE5">
            <w:pPr>
              <w:spacing w:line="256" w:lineRule="auto"/>
              <w:rPr>
                <w:rFonts w:ascii="Arial"/>
                <w:sz w:val="21"/>
              </w:rPr>
            </w:pPr>
          </w:p>
          <w:p w14:paraId="11B688C5">
            <w:pPr>
              <w:spacing w:line="256" w:lineRule="auto"/>
              <w:rPr>
                <w:rFonts w:ascii="Arial"/>
                <w:sz w:val="21"/>
              </w:rPr>
            </w:pPr>
          </w:p>
          <w:p w14:paraId="4B3004DA">
            <w:pPr>
              <w:spacing w:line="256" w:lineRule="auto"/>
              <w:rPr>
                <w:rFonts w:ascii="Arial"/>
                <w:sz w:val="21"/>
              </w:rPr>
            </w:pPr>
          </w:p>
          <w:p w14:paraId="3CBED383">
            <w:pPr>
              <w:spacing w:line="257" w:lineRule="auto"/>
              <w:rPr>
                <w:rFonts w:ascii="Arial"/>
                <w:sz w:val="21"/>
              </w:rPr>
            </w:pPr>
          </w:p>
          <w:p w14:paraId="101FC1F1">
            <w:pPr>
              <w:spacing w:line="257" w:lineRule="auto"/>
              <w:rPr>
                <w:rFonts w:ascii="Arial"/>
                <w:sz w:val="21"/>
              </w:rPr>
            </w:pPr>
          </w:p>
          <w:p w14:paraId="6A168E6D">
            <w:pPr>
              <w:spacing w:line="257" w:lineRule="auto"/>
              <w:rPr>
                <w:rFonts w:ascii="Arial"/>
                <w:sz w:val="21"/>
              </w:rPr>
            </w:pPr>
          </w:p>
          <w:p w14:paraId="02AC78A0">
            <w:pPr>
              <w:spacing w:line="257" w:lineRule="auto"/>
              <w:rPr>
                <w:rFonts w:ascii="Arial"/>
                <w:sz w:val="21"/>
              </w:rPr>
            </w:pPr>
          </w:p>
          <w:p w14:paraId="4BD6E713">
            <w:pPr>
              <w:spacing w:line="257" w:lineRule="auto"/>
              <w:rPr>
                <w:rFonts w:ascii="Arial"/>
                <w:sz w:val="21"/>
              </w:rPr>
            </w:pPr>
          </w:p>
          <w:p w14:paraId="316F0823">
            <w:pPr>
              <w:pStyle w:val="6"/>
              <w:spacing w:before="65" w:line="253" w:lineRule="auto"/>
              <w:ind w:left="111" w:right="111" w:firstLine="4"/>
              <w:jc w:val="both"/>
            </w:pPr>
            <w:r>
              <w:rPr>
                <w:spacing w:val="6"/>
              </w:rPr>
              <w:t>项目管理</w:t>
            </w:r>
            <w:r>
              <w:rPr>
                <w:spacing w:val="7"/>
              </w:rPr>
              <w:t>机构评分</w:t>
            </w:r>
            <w:r>
              <w:rPr>
                <w:spacing w:val="27"/>
              </w:rPr>
              <w:t>标</w:t>
            </w:r>
            <w:r>
              <w:rPr>
                <w:spacing w:val="8"/>
              </w:rPr>
              <w:t xml:space="preserve">   </w:t>
            </w:r>
            <w:r>
              <w:rPr>
                <w:spacing w:val="27"/>
              </w:rPr>
              <w:t>准</w:t>
            </w:r>
          </w:p>
        </w:tc>
        <w:tc>
          <w:tcPr>
            <w:tcW w:w="1439" w:type="dxa"/>
            <w:vMerge w:val="restart"/>
            <w:tcBorders>
              <w:bottom w:val="nil"/>
            </w:tcBorders>
            <w:vAlign w:val="top"/>
          </w:tcPr>
          <w:p w14:paraId="3C7E0A24">
            <w:pPr>
              <w:spacing w:line="307" w:lineRule="auto"/>
              <w:rPr>
                <w:rFonts w:ascii="Arial"/>
                <w:sz w:val="21"/>
              </w:rPr>
            </w:pPr>
          </w:p>
          <w:p w14:paraId="3F4E4D03">
            <w:pPr>
              <w:spacing w:line="308" w:lineRule="auto"/>
              <w:rPr>
                <w:rFonts w:ascii="Arial"/>
                <w:sz w:val="21"/>
              </w:rPr>
            </w:pPr>
          </w:p>
          <w:p w14:paraId="13C1F2E5">
            <w:pPr>
              <w:spacing w:line="308" w:lineRule="auto"/>
              <w:rPr>
                <w:rFonts w:ascii="Arial"/>
                <w:sz w:val="21"/>
              </w:rPr>
            </w:pPr>
          </w:p>
          <w:p w14:paraId="79E467BF">
            <w:pPr>
              <w:pStyle w:val="6"/>
              <w:spacing w:before="65" w:line="228" w:lineRule="auto"/>
              <w:ind w:left="115"/>
            </w:pPr>
            <w:r>
              <w:rPr>
                <w:spacing w:val="6"/>
              </w:rPr>
              <w:t>项目经理</w:t>
            </w:r>
          </w:p>
          <w:p w14:paraId="760BBFF0">
            <w:pPr>
              <w:pStyle w:val="6"/>
              <w:spacing w:before="23" w:line="228" w:lineRule="auto"/>
              <w:ind w:left="121"/>
            </w:pPr>
            <w:r>
              <w:rPr>
                <w:spacing w:val="6"/>
              </w:rPr>
              <w:t>资格与业绩</w:t>
            </w:r>
          </w:p>
        </w:tc>
        <w:tc>
          <w:tcPr>
            <w:tcW w:w="720" w:type="dxa"/>
            <w:vAlign w:val="top"/>
          </w:tcPr>
          <w:p w14:paraId="60612E8E">
            <w:pPr>
              <w:pStyle w:val="6"/>
              <w:spacing w:before="302" w:line="230" w:lineRule="auto"/>
              <w:ind w:left="114"/>
            </w:pPr>
            <w:r>
              <w:rPr>
                <w:spacing w:val="4"/>
              </w:rPr>
              <w:t>职称</w:t>
            </w:r>
          </w:p>
        </w:tc>
        <w:tc>
          <w:tcPr>
            <w:tcW w:w="720" w:type="dxa"/>
            <w:vAlign w:val="top"/>
          </w:tcPr>
          <w:p w14:paraId="070BA15D">
            <w:pPr>
              <w:pStyle w:val="6"/>
              <w:spacing w:before="303" w:line="228" w:lineRule="auto"/>
              <w:ind w:left="196"/>
            </w:pPr>
            <w:r>
              <w:rPr>
                <w:spacing w:val="-10"/>
              </w:rPr>
              <w:t>1</w:t>
            </w:r>
            <w:r>
              <w:rPr>
                <w:spacing w:val="-36"/>
              </w:rPr>
              <w:t xml:space="preserve"> </w:t>
            </w:r>
            <w:r>
              <w:rPr>
                <w:spacing w:val="-10"/>
              </w:rPr>
              <w:t>分</w:t>
            </w:r>
          </w:p>
        </w:tc>
        <w:tc>
          <w:tcPr>
            <w:tcW w:w="4502" w:type="dxa"/>
            <w:vAlign w:val="top"/>
          </w:tcPr>
          <w:p w14:paraId="4D9A42CF">
            <w:pPr>
              <w:pStyle w:val="6"/>
              <w:spacing w:before="31" w:line="228" w:lineRule="auto"/>
              <w:ind w:left="113"/>
            </w:pPr>
            <w:r>
              <w:rPr>
                <w:spacing w:val="8"/>
              </w:rPr>
              <w:t>相关专业高级及以上职称（高级工程师）1</w:t>
            </w:r>
            <w:r>
              <w:rPr>
                <w:spacing w:val="-21"/>
              </w:rPr>
              <w:t xml:space="preserve"> </w:t>
            </w:r>
            <w:r>
              <w:rPr>
                <w:spacing w:val="8"/>
              </w:rPr>
              <w:t>分</w:t>
            </w:r>
          </w:p>
          <w:p w14:paraId="5A72BDEB">
            <w:pPr>
              <w:pStyle w:val="6"/>
              <w:spacing w:before="24" w:line="228" w:lineRule="auto"/>
              <w:ind w:left="113"/>
            </w:pPr>
            <w:r>
              <w:rPr>
                <w:spacing w:val="7"/>
              </w:rPr>
              <w:t>相关专业中级职称（工程师）        0.8</w:t>
            </w:r>
            <w:r>
              <w:rPr>
                <w:spacing w:val="-36"/>
              </w:rPr>
              <w:t xml:space="preserve"> </w:t>
            </w:r>
            <w:r>
              <w:rPr>
                <w:spacing w:val="7"/>
              </w:rPr>
              <w:t>分</w:t>
            </w:r>
          </w:p>
          <w:p w14:paraId="3312F56A">
            <w:pPr>
              <w:pStyle w:val="6"/>
              <w:spacing w:before="27" w:line="216" w:lineRule="auto"/>
              <w:ind w:left="114"/>
            </w:pPr>
            <w:r>
              <w:t>其他</w:t>
            </w:r>
            <w:r>
              <w:rPr>
                <w:spacing w:val="2"/>
              </w:rPr>
              <w:t xml:space="preserve">                                 </w:t>
            </w:r>
            <w:r>
              <w:t>0</w:t>
            </w:r>
            <w:r>
              <w:rPr>
                <w:spacing w:val="-27"/>
              </w:rPr>
              <w:t xml:space="preserve"> </w:t>
            </w:r>
            <w:r>
              <w:t>分</w:t>
            </w:r>
          </w:p>
        </w:tc>
      </w:tr>
      <w:tr w14:paraId="69F5D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continue"/>
            <w:tcBorders>
              <w:top w:val="nil"/>
              <w:bottom w:val="nil"/>
            </w:tcBorders>
            <w:vAlign w:val="top"/>
          </w:tcPr>
          <w:p w14:paraId="2CC97A49">
            <w:pPr>
              <w:rPr>
                <w:rFonts w:ascii="Arial"/>
                <w:sz w:val="21"/>
              </w:rPr>
            </w:pPr>
          </w:p>
        </w:tc>
        <w:tc>
          <w:tcPr>
            <w:tcW w:w="1058" w:type="dxa"/>
            <w:vMerge w:val="continue"/>
            <w:tcBorders>
              <w:top w:val="nil"/>
              <w:bottom w:val="nil"/>
            </w:tcBorders>
            <w:vAlign w:val="top"/>
          </w:tcPr>
          <w:p w14:paraId="1B73C9E4">
            <w:pPr>
              <w:rPr>
                <w:rFonts w:ascii="Arial"/>
                <w:sz w:val="21"/>
              </w:rPr>
            </w:pPr>
          </w:p>
        </w:tc>
        <w:tc>
          <w:tcPr>
            <w:tcW w:w="1439" w:type="dxa"/>
            <w:vMerge w:val="continue"/>
            <w:tcBorders>
              <w:top w:val="nil"/>
              <w:bottom w:val="nil"/>
            </w:tcBorders>
            <w:vAlign w:val="top"/>
          </w:tcPr>
          <w:p w14:paraId="4B92260B">
            <w:pPr>
              <w:rPr>
                <w:rFonts w:ascii="Arial"/>
                <w:sz w:val="21"/>
              </w:rPr>
            </w:pPr>
          </w:p>
        </w:tc>
        <w:tc>
          <w:tcPr>
            <w:tcW w:w="720" w:type="dxa"/>
            <w:vAlign w:val="top"/>
          </w:tcPr>
          <w:p w14:paraId="0D87C37A">
            <w:pPr>
              <w:pStyle w:val="6"/>
              <w:spacing w:before="304" w:line="229" w:lineRule="auto"/>
              <w:ind w:left="117"/>
            </w:pPr>
            <w:r>
              <w:rPr>
                <w:spacing w:val="2"/>
              </w:rPr>
              <w:t>学历</w:t>
            </w:r>
          </w:p>
        </w:tc>
        <w:tc>
          <w:tcPr>
            <w:tcW w:w="720" w:type="dxa"/>
            <w:vAlign w:val="top"/>
          </w:tcPr>
          <w:p w14:paraId="48CD97CB">
            <w:pPr>
              <w:pStyle w:val="6"/>
              <w:spacing w:before="305" w:line="228" w:lineRule="auto"/>
              <w:ind w:left="196"/>
            </w:pPr>
            <w:r>
              <w:rPr>
                <w:spacing w:val="-10"/>
              </w:rPr>
              <w:t>1</w:t>
            </w:r>
            <w:r>
              <w:rPr>
                <w:spacing w:val="-36"/>
              </w:rPr>
              <w:t xml:space="preserve"> </w:t>
            </w:r>
            <w:r>
              <w:rPr>
                <w:spacing w:val="-10"/>
              </w:rPr>
              <w:t>分</w:t>
            </w:r>
          </w:p>
        </w:tc>
        <w:tc>
          <w:tcPr>
            <w:tcW w:w="4502" w:type="dxa"/>
            <w:vAlign w:val="top"/>
          </w:tcPr>
          <w:p w14:paraId="6A721825">
            <w:pPr>
              <w:pStyle w:val="6"/>
              <w:spacing w:before="31" w:line="227" w:lineRule="auto"/>
              <w:ind w:left="116"/>
            </w:pPr>
            <w:r>
              <w:rPr>
                <w:spacing w:val="4"/>
              </w:rPr>
              <w:t>大学本科及以上</w:t>
            </w:r>
            <w:r>
              <w:rPr>
                <w:spacing w:val="1"/>
              </w:rPr>
              <w:t xml:space="preserve">                       </w:t>
            </w:r>
            <w:r>
              <w:rPr>
                <w:spacing w:val="4"/>
              </w:rPr>
              <w:t>1</w:t>
            </w:r>
            <w:r>
              <w:rPr>
                <w:spacing w:val="-22"/>
              </w:rPr>
              <w:t xml:space="preserve"> </w:t>
            </w:r>
            <w:r>
              <w:rPr>
                <w:spacing w:val="4"/>
              </w:rPr>
              <w:t>分</w:t>
            </w:r>
          </w:p>
          <w:p w14:paraId="1E679204">
            <w:pPr>
              <w:pStyle w:val="6"/>
              <w:spacing w:before="27" w:line="227" w:lineRule="auto"/>
              <w:ind w:left="114"/>
            </w:pPr>
            <w:r>
              <w:rPr>
                <w:spacing w:val="2"/>
              </w:rPr>
              <w:t>专科                               0.8</w:t>
            </w:r>
            <w:r>
              <w:rPr>
                <w:spacing w:val="-35"/>
              </w:rPr>
              <w:t xml:space="preserve"> </w:t>
            </w:r>
            <w:r>
              <w:rPr>
                <w:spacing w:val="2"/>
              </w:rPr>
              <w:t>分</w:t>
            </w:r>
          </w:p>
          <w:p w14:paraId="09D6B01E">
            <w:pPr>
              <w:pStyle w:val="6"/>
              <w:spacing w:before="25" w:line="217" w:lineRule="auto"/>
              <w:ind w:left="114"/>
            </w:pPr>
            <w:r>
              <w:t>其他</w:t>
            </w:r>
            <w:r>
              <w:rPr>
                <w:spacing w:val="2"/>
              </w:rPr>
              <w:t xml:space="preserve">                                 </w:t>
            </w:r>
            <w:r>
              <w:t>0</w:t>
            </w:r>
            <w:r>
              <w:rPr>
                <w:spacing w:val="-27"/>
              </w:rPr>
              <w:t xml:space="preserve"> </w:t>
            </w:r>
            <w:r>
              <w:t>分</w:t>
            </w:r>
          </w:p>
        </w:tc>
      </w:tr>
      <w:tr w14:paraId="6B949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continue"/>
            <w:tcBorders>
              <w:top w:val="nil"/>
              <w:bottom w:val="nil"/>
            </w:tcBorders>
            <w:vAlign w:val="top"/>
          </w:tcPr>
          <w:p w14:paraId="7B568171">
            <w:pPr>
              <w:rPr>
                <w:rFonts w:ascii="Arial"/>
                <w:sz w:val="21"/>
              </w:rPr>
            </w:pPr>
          </w:p>
        </w:tc>
        <w:tc>
          <w:tcPr>
            <w:tcW w:w="1058" w:type="dxa"/>
            <w:vMerge w:val="continue"/>
            <w:tcBorders>
              <w:top w:val="nil"/>
              <w:bottom w:val="nil"/>
            </w:tcBorders>
            <w:vAlign w:val="top"/>
          </w:tcPr>
          <w:p w14:paraId="066BC5C7">
            <w:pPr>
              <w:rPr>
                <w:rFonts w:ascii="Arial"/>
                <w:sz w:val="21"/>
              </w:rPr>
            </w:pPr>
          </w:p>
        </w:tc>
        <w:tc>
          <w:tcPr>
            <w:tcW w:w="1439" w:type="dxa"/>
            <w:vMerge w:val="continue"/>
            <w:tcBorders>
              <w:top w:val="nil"/>
            </w:tcBorders>
            <w:vAlign w:val="top"/>
          </w:tcPr>
          <w:p w14:paraId="456218BF">
            <w:pPr>
              <w:rPr>
                <w:rFonts w:ascii="Arial"/>
                <w:sz w:val="21"/>
              </w:rPr>
            </w:pPr>
          </w:p>
        </w:tc>
        <w:tc>
          <w:tcPr>
            <w:tcW w:w="720" w:type="dxa"/>
            <w:vAlign w:val="top"/>
          </w:tcPr>
          <w:p w14:paraId="1A604A2C">
            <w:pPr>
              <w:pStyle w:val="6"/>
              <w:spacing w:before="32" w:line="228" w:lineRule="auto"/>
              <w:ind w:left="113"/>
            </w:pPr>
            <w:r>
              <w:rPr>
                <w:spacing w:val="4"/>
              </w:rPr>
              <w:t>类似</w:t>
            </w:r>
          </w:p>
          <w:p w14:paraId="33FC90BE">
            <w:pPr>
              <w:pStyle w:val="6"/>
              <w:spacing w:before="24" w:line="228" w:lineRule="auto"/>
              <w:ind w:left="116"/>
            </w:pPr>
            <w:r>
              <w:rPr>
                <w:spacing w:val="3"/>
              </w:rPr>
              <w:t>项目</w:t>
            </w:r>
          </w:p>
          <w:p w14:paraId="53446CEC">
            <w:pPr>
              <w:pStyle w:val="6"/>
              <w:spacing w:before="26" w:line="215" w:lineRule="auto"/>
              <w:ind w:left="112"/>
            </w:pPr>
            <w:r>
              <w:rPr>
                <w:spacing w:val="5"/>
              </w:rPr>
              <w:t>业绩</w:t>
            </w:r>
          </w:p>
        </w:tc>
        <w:tc>
          <w:tcPr>
            <w:tcW w:w="720" w:type="dxa"/>
            <w:vAlign w:val="top"/>
          </w:tcPr>
          <w:p w14:paraId="2046B2DC">
            <w:pPr>
              <w:pStyle w:val="6"/>
              <w:spacing w:before="304" w:line="228" w:lineRule="auto"/>
              <w:ind w:left="183"/>
            </w:pPr>
            <w:r>
              <w:rPr>
                <w:spacing w:val="-4"/>
              </w:rPr>
              <w:t>2</w:t>
            </w:r>
            <w:r>
              <w:rPr>
                <w:spacing w:val="-35"/>
              </w:rPr>
              <w:t xml:space="preserve"> </w:t>
            </w:r>
            <w:r>
              <w:rPr>
                <w:spacing w:val="-4"/>
              </w:rPr>
              <w:t>分</w:t>
            </w:r>
          </w:p>
        </w:tc>
        <w:tc>
          <w:tcPr>
            <w:tcW w:w="4502" w:type="dxa"/>
            <w:vAlign w:val="top"/>
          </w:tcPr>
          <w:p w14:paraId="31DD6E3D">
            <w:pPr>
              <w:pStyle w:val="6"/>
              <w:spacing w:before="169" w:line="228" w:lineRule="auto"/>
              <w:ind w:left="137"/>
            </w:pPr>
            <w:r>
              <w:rPr>
                <w:spacing w:val="5"/>
              </w:rPr>
              <w:t>以项目经理身份主持过</w:t>
            </w:r>
            <w:r>
              <w:rPr>
                <w:spacing w:val="-21"/>
              </w:rPr>
              <w:t xml:space="preserve"> </w:t>
            </w:r>
            <w:r>
              <w:rPr>
                <w:spacing w:val="5"/>
              </w:rPr>
              <w:t>2</w:t>
            </w:r>
            <w:r>
              <w:rPr>
                <w:spacing w:val="-38"/>
              </w:rPr>
              <w:t xml:space="preserve"> </w:t>
            </w:r>
            <w:r>
              <w:rPr>
                <w:spacing w:val="5"/>
              </w:rPr>
              <w:t>个类似项目    2</w:t>
            </w:r>
            <w:r>
              <w:rPr>
                <w:spacing w:val="-35"/>
              </w:rPr>
              <w:t xml:space="preserve"> </w:t>
            </w:r>
            <w:r>
              <w:rPr>
                <w:spacing w:val="5"/>
              </w:rPr>
              <w:t>分</w:t>
            </w:r>
          </w:p>
          <w:p w14:paraId="039816AC">
            <w:pPr>
              <w:pStyle w:val="6"/>
              <w:spacing w:before="24" w:line="228" w:lineRule="auto"/>
              <w:ind w:left="137"/>
            </w:pPr>
            <w:r>
              <w:rPr>
                <w:spacing w:val="3"/>
              </w:rPr>
              <w:t>以项目经理身份主持过</w:t>
            </w:r>
            <w:r>
              <w:rPr>
                <w:spacing w:val="-8"/>
              </w:rPr>
              <w:t xml:space="preserve"> </w:t>
            </w:r>
            <w:r>
              <w:rPr>
                <w:spacing w:val="3"/>
              </w:rPr>
              <w:t>1</w:t>
            </w:r>
            <w:r>
              <w:rPr>
                <w:spacing w:val="-38"/>
              </w:rPr>
              <w:t xml:space="preserve"> </w:t>
            </w:r>
            <w:r>
              <w:rPr>
                <w:spacing w:val="3"/>
              </w:rPr>
              <w:t>个类似项目</w:t>
            </w:r>
            <w:r>
              <w:rPr>
                <w:spacing w:val="10"/>
              </w:rPr>
              <w:t xml:space="preserve">    </w:t>
            </w:r>
            <w:r>
              <w:rPr>
                <w:spacing w:val="3"/>
              </w:rPr>
              <w:t>1</w:t>
            </w:r>
            <w:r>
              <w:rPr>
                <w:spacing w:val="-32"/>
              </w:rPr>
              <w:t xml:space="preserve"> </w:t>
            </w:r>
            <w:r>
              <w:rPr>
                <w:spacing w:val="3"/>
              </w:rPr>
              <w:t>分</w:t>
            </w:r>
          </w:p>
        </w:tc>
      </w:tr>
      <w:tr w14:paraId="78C9B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1197B8E3">
            <w:pPr>
              <w:rPr>
                <w:rFonts w:ascii="Arial"/>
                <w:sz w:val="21"/>
              </w:rPr>
            </w:pPr>
          </w:p>
        </w:tc>
        <w:tc>
          <w:tcPr>
            <w:tcW w:w="1058" w:type="dxa"/>
            <w:vMerge w:val="continue"/>
            <w:tcBorders>
              <w:top w:val="nil"/>
              <w:bottom w:val="nil"/>
            </w:tcBorders>
            <w:vAlign w:val="top"/>
          </w:tcPr>
          <w:p w14:paraId="54216414">
            <w:pPr>
              <w:rPr>
                <w:rFonts w:ascii="Arial"/>
                <w:sz w:val="21"/>
              </w:rPr>
            </w:pPr>
          </w:p>
        </w:tc>
        <w:tc>
          <w:tcPr>
            <w:tcW w:w="1439" w:type="dxa"/>
            <w:vMerge w:val="restart"/>
            <w:tcBorders>
              <w:bottom w:val="nil"/>
            </w:tcBorders>
            <w:vAlign w:val="top"/>
          </w:tcPr>
          <w:p w14:paraId="3B291FAA">
            <w:pPr>
              <w:spacing w:line="265" w:lineRule="auto"/>
              <w:rPr>
                <w:rFonts w:ascii="Arial"/>
                <w:sz w:val="21"/>
              </w:rPr>
            </w:pPr>
          </w:p>
          <w:p w14:paraId="5D965575">
            <w:pPr>
              <w:spacing w:line="265" w:lineRule="auto"/>
              <w:rPr>
                <w:rFonts w:ascii="Arial"/>
                <w:sz w:val="21"/>
              </w:rPr>
            </w:pPr>
          </w:p>
          <w:p w14:paraId="655FD6A0">
            <w:pPr>
              <w:spacing w:line="266" w:lineRule="auto"/>
              <w:rPr>
                <w:rFonts w:ascii="Arial"/>
                <w:sz w:val="21"/>
              </w:rPr>
            </w:pPr>
          </w:p>
          <w:p w14:paraId="066E04B3">
            <w:pPr>
              <w:spacing w:line="266" w:lineRule="auto"/>
              <w:rPr>
                <w:rFonts w:ascii="Arial"/>
                <w:sz w:val="21"/>
              </w:rPr>
            </w:pPr>
          </w:p>
          <w:p w14:paraId="4546FFEC">
            <w:pPr>
              <w:pStyle w:val="6"/>
              <w:spacing w:before="65" w:line="252" w:lineRule="auto"/>
              <w:ind w:left="121" w:right="280" w:hanging="8"/>
            </w:pPr>
            <w:r>
              <w:rPr>
                <w:spacing w:val="7"/>
              </w:rPr>
              <w:t>技术负责人</w:t>
            </w:r>
            <w:r>
              <w:rPr>
                <w:spacing w:val="6"/>
              </w:rPr>
              <w:t>资格与业绩</w:t>
            </w:r>
          </w:p>
        </w:tc>
        <w:tc>
          <w:tcPr>
            <w:tcW w:w="720" w:type="dxa"/>
            <w:vAlign w:val="top"/>
          </w:tcPr>
          <w:p w14:paraId="56FB4262">
            <w:pPr>
              <w:pStyle w:val="6"/>
              <w:spacing w:before="306" w:line="230" w:lineRule="auto"/>
              <w:ind w:left="114"/>
            </w:pPr>
            <w:r>
              <w:rPr>
                <w:spacing w:val="4"/>
              </w:rPr>
              <w:t>职称</w:t>
            </w:r>
          </w:p>
        </w:tc>
        <w:tc>
          <w:tcPr>
            <w:tcW w:w="720" w:type="dxa"/>
            <w:vAlign w:val="top"/>
          </w:tcPr>
          <w:p w14:paraId="2EEFF3E5">
            <w:pPr>
              <w:rPr>
                <w:rFonts w:ascii="Arial"/>
                <w:sz w:val="21"/>
              </w:rPr>
            </w:pPr>
          </w:p>
          <w:p w14:paraId="1BB3BFFA">
            <w:pPr>
              <w:pStyle w:val="6"/>
              <w:spacing w:before="65" w:line="228" w:lineRule="auto"/>
              <w:ind w:left="196"/>
            </w:pPr>
            <w:r>
              <w:rPr>
                <w:spacing w:val="-10"/>
              </w:rPr>
              <w:t>1</w:t>
            </w:r>
            <w:r>
              <w:rPr>
                <w:spacing w:val="-36"/>
              </w:rPr>
              <w:t xml:space="preserve"> </w:t>
            </w:r>
            <w:r>
              <w:rPr>
                <w:spacing w:val="-10"/>
              </w:rPr>
              <w:t>分</w:t>
            </w:r>
          </w:p>
        </w:tc>
        <w:tc>
          <w:tcPr>
            <w:tcW w:w="4502" w:type="dxa"/>
            <w:vAlign w:val="top"/>
          </w:tcPr>
          <w:p w14:paraId="3D4A426A">
            <w:pPr>
              <w:pStyle w:val="6"/>
              <w:spacing w:before="34" w:line="228" w:lineRule="auto"/>
              <w:ind w:left="113"/>
            </w:pPr>
            <w:r>
              <w:rPr>
                <w:spacing w:val="8"/>
              </w:rPr>
              <w:t>相关专业高级及以上职称（高级工程师）1</w:t>
            </w:r>
            <w:r>
              <w:rPr>
                <w:spacing w:val="-21"/>
              </w:rPr>
              <w:t xml:space="preserve"> </w:t>
            </w:r>
            <w:r>
              <w:rPr>
                <w:spacing w:val="8"/>
              </w:rPr>
              <w:t>分</w:t>
            </w:r>
          </w:p>
          <w:p w14:paraId="797EB6B9">
            <w:pPr>
              <w:pStyle w:val="6"/>
              <w:spacing w:before="24" w:line="228" w:lineRule="auto"/>
              <w:ind w:left="113"/>
            </w:pPr>
            <w:r>
              <w:rPr>
                <w:spacing w:val="7"/>
              </w:rPr>
              <w:t>相关专业中级职称（工程师）        0.8</w:t>
            </w:r>
            <w:r>
              <w:rPr>
                <w:spacing w:val="-36"/>
              </w:rPr>
              <w:t xml:space="preserve"> </w:t>
            </w:r>
            <w:r>
              <w:rPr>
                <w:spacing w:val="7"/>
              </w:rPr>
              <w:t>分</w:t>
            </w:r>
          </w:p>
          <w:p w14:paraId="5BA54859">
            <w:pPr>
              <w:pStyle w:val="6"/>
              <w:spacing w:before="24" w:line="216" w:lineRule="auto"/>
              <w:ind w:left="114"/>
            </w:pPr>
            <w:r>
              <w:t>其他</w:t>
            </w:r>
            <w:r>
              <w:rPr>
                <w:spacing w:val="2"/>
              </w:rPr>
              <w:t xml:space="preserve">                                 </w:t>
            </w:r>
            <w:r>
              <w:t>0</w:t>
            </w:r>
            <w:r>
              <w:rPr>
                <w:spacing w:val="-27"/>
              </w:rPr>
              <w:t xml:space="preserve"> </w:t>
            </w:r>
            <w:r>
              <w:t>分</w:t>
            </w:r>
          </w:p>
        </w:tc>
      </w:tr>
      <w:tr w14:paraId="472CC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0255A2A9">
            <w:pPr>
              <w:rPr>
                <w:rFonts w:ascii="Arial"/>
                <w:sz w:val="21"/>
              </w:rPr>
            </w:pPr>
          </w:p>
        </w:tc>
        <w:tc>
          <w:tcPr>
            <w:tcW w:w="1058" w:type="dxa"/>
            <w:vMerge w:val="continue"/>
            <w:tcBorders>
              <w:top w:val="nil"/>
              <w:bottom w:val="nil"/>
            </w:tcBorders>
            <w:vAlign w:val="top"/>
          </w:tcPr>
          <w:p w14:paraId="0958E990">
            <w:pPr>
              <w:rPr>
                <w:rFonts w:ascii="Arial"/>
                <w:sz w:val="21"/>
              </w:rPr>
            </w:pPr>
          </w:p>
        </w:tc>
        <w:tc>
          <w:tcPr>
            <w:tcW w:w="1439" w:type="dxa"/>
            <w:vMerge w:val="continue"/>
            <w:tcBorders>
              <w:top w:val="nil"/>
              <w:bottom w:val="nil"/>
            </w:tcBorders>
            <w:vAlign w:val="top"/>
          </w:tcPr>
          <w:p w14:paraId="57F367E8">
            <w:pPr>
              <w:rPr>
                <w:rFonts w:ascii="Arial"/>
                <w:sz w:val="21"/>
              </w:rPr>
            </w:pPr>
          </w:p>
        </w:tc>
        <w:tc>
          <w:tcPr>
            <w:tcW w:w="720" w:type="dxa"/>
            <w:vAlign w:val="top"/>
          </w:tcPr>
          <w:p w14:paraId="25F4A76E">
            <w:pPr>
              <w:spacing w:line="241" w:lineRule="auto"/>
              <w:rPr>
                <w:rFonts w:ascii="Arial"/>
                <w:sz w:val="21"/>
              </w:rPr>
            </w:pPr>
          </w:p>
          <w:p w14:paraId="2F650F9A">
            <w:pPr>
              <w:pStyle w:val="6"/>
              <w:spacing w:before="65" w:line="229" w:lineRule="auto"/>
              <w:ind w:left="117"/>
            </w:pPr>
            <w:r>
              <w:rPr>
                <w:spacing w:val="2"/>
              </w:rPr>
              <w:t>学历</w:t>
            </w:r>
          </w:p>
        </w:tc>
        <w:tc>
          <w:tcPr>
            <w:tcW w:w="720" w:type="dxa"/>
            <w:vAlign w:val="top"/>
          </w:tcPr>
          <w:p w14:paraId="0F99DBE9">
            <w:pPr>
              <w:spacing w:line="241" w:lineRule="auto"/>
              <w:rPr>
                <w:rFonts w:ascii="Arial"/>
                <w:sz w:val="21"/>
              </w:rPr>
            </w:pPr>
          </w:p>
          <w:p w14:paraId="6B8DE210">
            <w:pPr>
              <w:pStyle w:val="6"/>
              <w:spacing w:before="65" w:line="228" w:lineRule="auto"/>
              <w:ind w:left="196"/>
            </w:pPr>
            <w:r>
              <w:rPr>
                <w:spacing w:val="-10"/>
              </w:rPr>
              <w:t>1</w:t>
            </w:r>
            <w:r>
              <w:rPr>
                <w:spacing w:val="-36"/>
              </w:rPr>
              <w:t xml:space="preserve"> </w:t>
            </w:r>
            <w:r>
              <w:rPr>
                <w:spacing w:val="-10"/>
              </w:rPr>
              <w:t>分</w:t>
            </w:r>
          </w:p>
        </w:tc>
        <w:tc>
          <w:tcPr>
            <w:tcW w:w="4502" w:type="dxa"/>
            <w:vAlign w:val="top"/>
          </w:tcPr>
          <w:p w14:paraId="0A23EFE6">
            <w:pPr>
              <w:pStyle w:val="6"/>
              <w:spacing w:before="33" w:line="227" w:lineRule="auto"/>
              <w:ind w:left="116"/>
            </w:pPr>
            <w:r>
              <w:rPr>
                <w:spacing w:val="4"/>
              </w:rPr>
              <w:t>大学本科及以上</w:t>
            </w:r>
            <w:r>
              <w:rPr>
                <w:spacing w:val="1"/>
              </w:rPr>
              <w:t xml:space="preserve">                       </w:t>
            </w:r>
            <w:r>
              <w:rPr>
                <w:spacing w:val="4"/>
              </w:rPr>
              <w:t>1</w:t>
            </w:r>
            <w:r>
              <w:rPr>
                <w:spacing w:val="-22"/>
              </w:rPr>
              <w:t xml:space="preserve"> </w:t>
            </w:r>
            <w:r>
              <w:rPr>
                <w:spacing w:val="4"/>
              </w:rPr>
              <w:t>分</w:t>
            </w:r>
          </w:p>
          <w:p w14:paraId="1D88232A">
            <w:pPr>
              <w:pStyle w:val="6"/>
              <w:spacing w:before="27" w:line="227" w:lineRule="auto"/>
              <w:ind w:left="114"/>
            </w:pPr>
            <w:r>
              <w:rPr>
                <w:spacing w:val="2"/>
              </w:rPr>
              <w:t>专科                               0.8</w:t>
            </w:r>
            <w:r>
              <w:rPr>
                <w:spacing w:val="-35"/>
              </w:rPr>
              <w:t xml:space="preserve"> </w:t>
            </w:r>
            <w:r>
              <w:rPr>
                <w:spacing w:val="2"/>
              </w:rPr>
              <w:t>分</w:t>
            </w:r>
          </w:p>
          <w:p w14:paraId="7F96991C">
            <w:pPr>
              <w:pStyle w:val="6"/>
              <w:spacing w:before="25" w:line="215" w:lineRule="auto"/>
              <w:ind w:left="114"/>
            </w:pPr>
            <w:r>
              <w:t>其他</w:t>
            </w:r>
            <w:r>
              <w:rPr>
                <w:spacing w:val="2"/>
              </w:rPr>
              <w:t xml:space="preserve">                                 </w:t>
            </w:r>
            <w:r>
              <w:t>0</w:t>
            </w:r>
            <w:r>
              <w:rPr>
                <w:spacing w:val="-27"/>
              </w:rPr>
              <w:t xml:space="preserve"> </w:t>
            </w:r>
            <w:r>
              <w:t>分</w:t>
            </w:r>
          </w:p>
        </w:tc>
      </w:tr>
      <w:tr w14:paraId="337D9D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27D427CD">
            <w:pPr>
              <w:rPr>
                <w:rFonts w:ascii="Arial"/>
                <w:sz w:val="21"/>
              </w:rPr>
            </w:pPr>
          </w:p>
        </w:tc>
        <w:tc>
          <w:tcPr>
            <w:tcW w:w="1058" w:type="dxa"/>
            <w:vMerge w:val="continue"/>
            <w:tcBorders>
              <w:top w:val="nil"/>
              <w:bottom w:val="nil"/>
            </w:tcBorders>
            <w:vAlign w:val="top"/>
          </w:tcPr>
          <w:p w14:paraId="00059594">
            <w:pPr>
              <w:rPr>
                <w:rFonts w:ascii="Arial"/>
                <w:sz w:val="21"/>
              </w:rPr>
            </w:pPr>
          </w:p>
        </w:tc>
        <w:tc>
          <w:tcPr>
            <w:tcW w:w="1439" w:type="dxa"/>
            <w:vMerge w:val="continue"/>
            <w:tcBorders>
              <w:top w:val="nil"/>
            </w:tcBorders>
            <w:vAlign w:val="top"/>
          </w:tcPr>
          <w:p w14:paraId="52951669">
            <w:pPr>
              <w:rPr>
                <w:rFonts w:ascii="Arial"/>
                <w:sz w:val="21"/>
              </w:rPr>
            </w:pPr>
          </w:p>
        </w:tc>
        <w:tc>
          <w:tcPr>
            <w:tcW w:w="720" w:type="dxa"/>
            <w:vAlign w:val="top"/>
          </w:tcPr>
          <w:p w14:paraId="7B2FA1EC">
            <w:pPr>
              <w:pStyle w:val="6"/>
              <w:spacing w:before="35" w:line="228" w:lineRule="auto"/>
              <w:ind w:left="116"/>
            </w:pPr>
            <w:r>
              <w:rPr>
                <w:spacing w:val="3"/>
              </w:rPr>
              <w:t>从事</w:t>
            </w:r>
          </w:p>
          <w:p w14:paraId="1FFFB2D0">
            <w:pPr>
              <w:pStyle w:val="6"/>
              <w:spacing w:before="24" w:line="228" w:lineRule="auto"/>
              <w:ind w:left="114"/>
            </w:pPr>
            <w:r>
              <w:rPr>
                <w:spacing w:val="4"/>
              </w:rPr>
              <w:t>专业</w:t>
            </w:r>
          </w:p>
          <w:p w14:paraId="6BD59DA0">
            <w:pPr>
              <w:pStyle w:val="6"/>
              <w:spacing w:before="24" w:line="228" w:lineRule="auto"/>
              <w:ind w:left="116"/>
            </w:pPr>
            <w:r>
              <w:rPr>
                <w:spacing w:val="3"/>
              </w:rPr>
              <w:t>工作</w:t>
            </w:r>
          </w:p>
          <w:p w14:paraId="5C0541AD">
            <w:pPr>
              <w:pStyle w:val="6"/>
              <w:spacing w:before="26" w:line="215" w:lineRule="auto"/>
              <w:ind w:left="114"/>
            </w:pPr>
            <w:r>
              <w:rPr>
                <w:spacing w:val="4"/>
              </w:rPr>
              <w:t>年限</w:t>
            </w:r>
          </w:p>
        </w:tc>
        <w:tc>
          <w:tcPr>
            <w:tcW w:w="720" w:type="dxa"/>
            <w:vAlign w:val="top"/>
          </w:tcPr>
          <w:p w14:paraId="673F5807">
            <w:pPr>
              <w:spacing w:line="375" w:lineRule="auto"/>
              <w:rPr>
                <w:rFonts w:ascii="Arial"/>
                <w:sz w:val="21"/>
              </w:rPr>
            </w:pPr>
          </w:p>
          <w:p w14:paraId="60216FAF">
            <w:pPr>
              <w:pStyle w:val="6"/>
              <w:spacing w:before="65" w:line="228" w:lineRule="auto"/>
              <w:ind w:left="196"/>
            </w:pPr>
            <w:r>
              <w:rPr>
                <w:spacing w:val="-10"/>
              </w:rPr>
              <w:t>1</w:t>
            </w:r>
            <w:r>
              <w:rPr>
                <w:spacing w:val="-36"/>
              </w:rPr>
              <w:t xml:space="preserve"> </w:t>
            </w:r>
            <w:r>
              <w:rPr>
                <w:spacing w:val="-10"/>
              </w:rPr>
              <w:t>分</w:t>
            </w:r>
          </w:p>
        </w:tc>
        <w:tc>
          <w:tcPr>
            <w:tcW w:w="4502" w:type="dxa"/>
            <w:vAlign w:val="top"/>
          </w:tcPr>
          <w:p w14:paraId="6FEABE68">
            <w:pPr>
              <w:pStyle w:val="6"/>
              <w:spacing w:before="34"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41F5B119">
            <w:pPr>
              <w:pStyle w:val="6"/>
              <w:spacing w:before="24"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06BF611E">
            <w:pPr>
              <w:pStyle w:val="6"/>
              <w:spacing w:before="24"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7D642079">
            <w:pPr>
              <w:pStyle w:val="6"/>
              <w:spacing w:before="27" w:line="215"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2C5FE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tcBorders>
            <w:vAlign w:val="top"/>
          </w:tcPr>
          <w:p w14:paraId="4F82C038">
            <w:pPr>
              <w:rPr>
                <w:rFonts w:ascii="Arial"/>
                <w:sz w:val="21"/>
              </w:rPr>
            </w:pPr>
          </w:p>
        </w:tc>
        <w:tc>
          <w:tcPr>
            <w:tcW w:w="1058" w:type="dxa"/>
            <w:vMerge w:val="continue"/>
            <w:tcBorders>
              <w:top w:val="nil"/>
            </w:tcBorders>
            <w:vAlign w:val="top"/>
          </w:tcPr>
          <w:p w14:paraId="2D68B784">
            <w:pPr>
              <w:rPr>
                <w:rFonts w:ascii="Arial"/>
                <w:sz w:val="21"/>
              </w:rPr>
            </w:pPr>
          </w:p>
        </w:tc>
        <w:tc>
          <w:tcPr>
            <w:tcW w:w="2159" w:type="dxa"/>
            <w:gridSpan w:val="2"/>
            <w:vAlign w:val="top"/>
          </w:tcPr>
          <w:p w14:paraId="023CD68A">
            <w:pPr>
              <w:rPr>
                <w:rFonts w:ascii="Arial"/>
                <w:sz w:val="21"/>
              </w:rPr>
            </w:pPr>
          </w:p>
          <w:p w14:paraId="0E6B2517">
            <w:pPr>
              <w:pStyle w:val="6"/>
              <w:spacing w:before="65" w:line="228" w:lineRule="auto"/>
              <w:ind w:left="113"/>
            </w:pPr>
            <w:r>
              <w:rPr>
                <w:spacing w:val="8"/>
              </w:rPr>
              <w:t>其他主要人员</w:t>
            </w:r>
          </w:p>
        </w:tc>
        <w:tc>
          <w:tcPr>
            <w:tcW w:w="720" w:type="dxa"/>
            <w:vAlign w:val="top"/>
          </w:tcPr>
          <w:p w14:paraId="2B6E1714">
            <w:pPr>
              <w:rPr>
                <w:rFonts w:ascii="Arial"/>
                <w:sz w:val="21"/>
              </w:rPr>
            </w:pPr>
          </w:p>
          <w:p w14:paraId="4205DDCD">
            <w:pPr>
              <w:pStyle w:val="6"/>
              <w:spacing w:before="65" w:line="228" w:lineRule="auto"/>
              <w:ind w:left="196"/>
            </w:pPr>
            <w:r>
              <w:rPr>
                <w:spacing w:val="-10"/>
              </w:rPr>
              <w:t>1</w:t>
            </w:r>
            <w:r>
              <w:rPr>
                <w:spacing w:val="-36"/>
              </w:rPr>
              <w:t xml:space="preserve"> </w:t>
            </w:r>
            <w:r>
              <w:rPr>
                <w:spacing w:val="-10"/>
              </w:rPr>
              <w:t>分</w:t>
            </w:r>
          </w:p>
        </w:tc>
        <w:tc>
          <w:tcPr>
            <w:tcW w:w="4502" w:type="dxa"/>
            <w:vAlign w:val="top"/>
          </w:tcPr>
          <w:p w14:paraId="4ABA0E95">
            <w:pPr>
              <w:pStyle w:val="6"/>
              <w:spacing w:before="34" w:line="228" w:lineRule="auto"/>
              <w:ind w:left="115"/>
            </w:pPr>
            <w:r>
              <w:rPr>
                <w:spacing w:val="6"/>
              </w:rPr>
              <w:t>人员配备合理，满足需要              1</w:t>
            </w:r>
            <w:r>
              <w:rPr>
                <w:spacing w:val="-24"/>
              </w:rPr>
              <w:t xml:space="preserve"> </w:t>
            </w:r>
            <w:r>
              <w:rPr>
                <w:spacing w:val="6"/>
              </w:rPr>
              <w:t>分</w:t>
            </w:r>
          </w:p>
          <w:p w14:paraId="2982785B">
            <w:pPr>
              <w:pStyle w:val="6"/>
              <w:spacing w:before="25" w:line="233" w:lineRule="auto"/>
              <w:ind w:left="115" w:right="244"/>
            </w:pPr>
            <w:r>
              <w:rPr>
                <w:spacing w:val="7"/>
              </w:rPr>
              <w:t>人员配备基本合理,基本满足需要     0.8</w:t>
            </w:r>
            <w:r>
              <w:rPr>
                <w:spacing w:val="-32"/>
              </w:rPr>
              <w:t xml:space="preserve"> </w:t>
            </w:r>
            <w:r>
              <w:rPr>
                <w:spacing w:val="7"/>
              </w:rPr>
              <w:t>分</w:t>
            </w:r>
            <w:r>
              <w:rPr>
                <w:spacing w:val="5"/>
              </w:rPr>
              <w:t>人员配备不合理</w:t>
            </w:r>
            <w:r>
              <w:rPr>
                <w:spacing w:val="1"/>
              </w:rPr>
              <w:t xml:space="preserve">                       </w:t>
            </w:r>
            <w:r>
              <w:rPr>
                <w:spacing w:val="5"/>
              </w:rPr>
              <w:t>0</w:t>
            </w:r>
            <w:r>
              <w:rPr>
                <w:spacing w:val="-32"/>
              </w:rPr>
              <w:t xml:space="preserve"> </w:t>
            </w:r>
            <w:r>
              <w:rPr>
                <w:spacing w:val="5"/>
              </w:rPr>
              <w:t>分</w:t>
            </w:r>
          </w:p>
        </w:tc>
      </w:tr>
      <w:tr w14:paraId="0E8D37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3" w:hRule="atLeast"/>
        </w:trPr>
        <w:tc>
          <w:tcPr>
            <w:tcW w:w="745" w:type="dxa"/>
            <w:vMerge w:val="restart"/>
            <w:tcBorders>
              <w:bottom w:val="nil"/>
            </w:tcBorders>
            <w:vAlign w:val="top"/>
          </w:tcPr>
          <w:p w14:paraId="3C8DBA2C">
            <w:pPr>
              <w:rPr>
                <w:rFonts w:ascii="Arial"/>
                <w:sz w:val="21"/>
              </w:rPr>
            </w:pPr>
          </w:p>
        </w:tc>
        <w:tc>
          <w:tcPr>
            <w:tcW w:w="1058" w:type="dxa"/>
            <w:vMerge w:val="restart"/>
            <w:tcBorders>
              <w:bottom w:val="nil"/>
            </w:tcBorders>
            <w:vAlign w:val="top"/>
          </w:tcPr>
          <w:p w14:paraId="39D9E6B4">
            <w:pPr>
              <w:rPr>
                <w:rFonts w:ascii="Arial"/>
                <w:sz w:val="21"/>
              </w:rPr>
            </w:pPr>
          </w:p>
        </w:tc>
        <w:tc>
          <w:tcPr>
            <w:tcW w:w="2159" w:type="dxa"/>
            <w:gridSpan w:val="2"/>
            <w:vAlign w:val="top"/>
          </w:tcPr>
          <w:p w14:paraId="63DF53DB">
            <w:pPr>
              <w:spacing w:line="299" w:lineRule="auto"/>
              <w:rPr>
                <w:rFonts w:ascii="Arial"/>
                <w:sz w:val="21"/>
              </w:rPr>
            </w:pPr>
          </w:p>
          <w:p w14:paraId="164B8DAB">
            <w:pPr>
              <w:spacing w:line="299" w:lineRule="auto"/>
              <w:rPr>
                <w:rFonts w:ascii="Arial"/>
                <w:sz w:val="21"/>
              </w:rPr>
            </w:pPr>
          </w:p>
          <w:p w14:paraId="2970B8E8">
            <w:pPr>
              <w:pStyle w:val="6"/>
              <w:spacing w:before="65" w:line="228" w:lineRule="auto"/>
              <w:ind w:left="112"/>
            </w:pPr>
            <w:r>
              <w:rPr>
                <w:spacing w:val="8"/>
              </w:rPr>
              <w:t>类似项目业绩</w:t>
            </w:r>
          </w:p>
        </w:tc>
        <w:tc>
          <w:tcPr>
            <w:tcW w:w="720" w:type="dxa"/>
            <w:vAlign w:val="top"/>
          </w:tcPr>
          <w:p w14:paraId="046A4DB2">
            <w:pPr>
              <w:spacing w:line="299" w:lineRule="auto"/>
              <w:rPr>
                <w:rFonts w:ascii="Arial"/>
                <w:sz w:val="21"/>
              </w:rPr>
            </w:pPr>
          </w:p>
          <w:p w14:paraId="2DD7AA00">
            <w:pPr>
              <w:spacing w:line="299" w:lineRule="auto"/>
              <w:rPr>
                <w:rFonts w:ascii="Arial"/>
                <w:sz w:val="21"/>
              </w:rPr>
            </w:pPr>
          </w:p>
          <w:p w14:paraId="6E5C5F52">
            <w:pPr>
              <w:pStyle w:val="6"/>
              <w:spacing w:before="65" w:line="228" w:lineRule="auto"/>
              <w:ind w:left="184"/>
            </w:pPr>
            <w:r>
              <w:rPr>
                <w:spacing w:val="-4"/>
              </w:rPr>
              <w:t>5</w:t>
            </w:r>
            <w:r>
              <w:rPr>
                <w:spacing w:val="-36"/>
              </w:rPr>
              <w:t xml:space="preserve"> </w:t>
            </w:r>
            <w:r>
              <w:rPr>
                <w:spacing w:val="-4"/>
              </w:rPr>
              <w:t>分</w:t>
            </w:r>
          </w:p>
        </w:tc>
        <w:tc>
          <w:tcPr>
            <w:tcW w:w="4502" w:type="dxa"/>
            <w:vAlign w:val="top"/>
          </w:tcPr>
          <w:p w14:paraId="02B9250E">
            <w:pPr>
              <w:pStyle w:val="6"/>
              <w:spacing w:before="122" w:line="228" w:lineRule="auto"/>
              <w:ind w:left="112"/>
            </w:pPr>
            <w:r>
              <w:rPr>
                <w:spacing w:val="1"/>
              </w:rPr>
              <w:t>近</w:t>
            </w:r>
            <w:r>
              <w:rPr>
                <w:spacing w:val="-23"/>
              </w:rPr>
              <w:t xml:space="preserve"> </w:t>
            </w:r>
            <w:r>
              <w:rPr>
                <w:spacing w:val="1"/>
              </w:rPr>
              <w:t>5</w:t>
            </w:r>
            <w:r>
              <w:rPr>
                <w:spacing w:val="-37"/>
              </w:rPr>
              <w:t xml:space="preserve"> </w:t>
            </w:r>
            <w:r>
              <w:rPr>
                <w:spacing w:val="1"/>
              </w:rPr>
              <w:t>年有</w:t>
            </w:r>
            <w:r>
              <w:rPr>
                <w:spacing w:val="-24"/>
              </w:rPr>
              <w:t xml:space="preserve"> </w:t>
            </w:r>
            <w:r>
              <w:rPr>
                <w:spacing w:val="1"/>
              </w:rPr>
              <w:t>1</w:t>
            </w:r>
            <w:r>
              <w:rPr>
                <w:spacing w:val="-38"/>
              </w:rPr>
              <w:t xml:space="preserve"> </w:t>
            </w:r>
            <w:r>
              <w:rPr>
                <w:spacing w:val="1"/>
              </w:rPr>
              <w:t>个类似项目业绩</w:t>
            </w:r>
            <w:r>
              <w:rPr>
                <w:spacing w:val="7"/>
              </w:rPr>
              <w:t xml:space="preserve">            </w:t>
            </w:r>
            <w:r>
              <w:rPr>
                <w:spacing w:val="1"/>
              </w:rPr>
              <w:t>1</w:t>
            </w:r>
            <w:r>
              <w:rPr>
                <w:spacing w:val="-36"/>
              </w:rPr>
              <w:t xml:space="preserve"> </w:t>
            </w:r>
            <w:r>
              <w:rPr>
                <w:spacing w:val="1"/>
              </w:rPr>
              <w:t>分</w:t>
            </w:r>
          </w:p>
          <w:p w14:paraId="50C04985">
            <w:pPr>
              <w:pStyle w:val="6"/>
              <w:spacing w:before="24" w:line="228" w:lineRule="auto"/>
              <w:ind w:left="112"/>
            </w:pPr>
            <w:r>
              <w:rPr>
                <w:spacing w:val="3"/>
              </w:rPr>
              <w:t>近</w:t>
            </w:r>
            <w:r>
              <w:rPr>
                <w:spacing w:val="-25"/>
              </w:rPr>
              <w:t xml:space="preserve"> </w:t>
            </w:r>
            <w:r>
              <w:rPr>
                <w:spacing w:val="3"/>
              </w:rPr>
              <w:t>5</w:t>
            </w:r>
            <w:r>
              <w:rPr>
                <w:spacing w:val="-37"/>
              </w:rPr>
              <w:t xml:space="preserve"> </w:t>
            </w:r>
            <w:r>
              <w:rPr>
                <w:spacing w:val="3"/>
              </w:rPr>
              <w:t>年有</w:t>
            </w:r>
            <w:r>
              <w:rPr>
                <w:spacing w:val="-37"/>
              </w:rPr>
              <w:t xml:space="preserve"> </w:t>
            </w:r>
            <w:r>
              <w:rPr>
                <w:spacing w:val="3"/>
              </w:rPr>
              <w:t>2</w:t>
            </w:r>
            <w:r>
              <w:rPr>
                <w:spacing w:val="-38"/>
              </w:rPr>
              <w:t xml:space="preserve"> </w:t>
            </w:r>
            <w:r>
              <w:rPr>
                <w:spacing w:val="3"/>
              </w:rPr>
              <w:t>个类似项目业绩</w:t>
            </w:r>
            <w:r>
              <w:rPr>
                <w:spacing w:val="5"/>
              </w:rPr>
              <w:t xml:space="preserve">            </w:t>
            </w:r>
            <w:r>
              <w:rPr>
                <w:spacing w:val="3"/>
              </w:rPr>
              <w:t>2</w:t>
            </w:r>
            <w:r>
              <w:rPr>
                <w:spacing w:val="-25"/>
              </w:rPr>
              <w:t xml:space="preserve"> </w:t>
            </w:r>
            <w:r>
              <w:rPr>
                <w:spacing w:val="3"/>
              </w:rPr>
              <w:t>分</w:t>
            </w:r>
          </w:p>
          <w:p w14:paraId="0C9625AA">
            <w:pPr>
              <w:pStyle w:val="6"/>
              <w:spacing w:before="26" w:line="228" w:lineRule="auto"/>
              <w:ind w:left="112"/>
            </w:pPr>
            <w:r>
              <w:rPr>
                <w:spacing w:val="3"/>
              </w:rPr>
              <w:t>近</w:t>
            </w:r>
            <w:r>
              <w:rPr>
                <w:spacing w:val="-28"/>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6"/>
              </w:rPr>
              <w:t xml:space="preserve">            </w:t>
            </w:r>
            <w:r>
              <w:rPr>
                <w:spacing w:val="3"/>
              </w:rPr>
              <w:t>3</w:t>
            </w:r>
            <w:r>
              <w:rPr>
                <w:spacing w:val="-36"/>
              </w:rPr>
              <w:t xml:space="preserve"> </w:t>
            </w:r>
            <w:r>
              <w:rPr>
                <w:spacing w:val="3"/>
              </w:rPr>
              <w:t>分</w:t>
            </w:r>
          </w:p>
          <w:p w14:paraId="30BEC2B9">
            <w:pPr>
              <w:pStyle w:val="6"/>
              <w:spacing w:before="24" w:line="228" w:lineRule="auto"/>
              <w:ind w:left="112"/>
            </w:pPr>
            <w:r>
              <w:rPr>
                <w:spacing w:val="4"/>
              </w:rPr>
              <w:t>近</w:t>
            </w:r>
            <w:r>
              <w:rPr>
                <w:spacing w:val="-32"/>
              </w:rPr>
              <w:t xml:space="preserve"> </w:t>
            </w:r>
            <w:r>
              <w:rPr>
                <w:spacing w:val="4"/>
              </w:rPr>
              <w:t>5</w:t>
            </w:r>
            <w:r>
              <w:rPr>
                <w:spacing w:val="-37"/>
              </w:rPr>
              <w:t xml:space="preserve"> </w:t>
            </w:r>
            <w:r>
              <w:rPr>
                <w:spacing w:val="4"/>
              </w:rPr>
              <w:t>年有</w:t>
            </w:r>
            <w:r>
              <w:rPr>
                <w:spacing w:val="-41"/>
              </w:rPr>
              <w:t xml:space="preserve"> </w:t>
            </w:r>
            <w:r>
              <w:rPr>
                <w:spacing w:val="4"/>
              </w:rPr>
              <w:t>4</w:t>
            </w:r>
            <w:r>
              <w:rPr>
                <w:spacing w:val="-37"/>
              </w:rPr>
              <w:t xml:space="preserve"> </w:t>
            </w:r>
            <w:r>
              <w:rPr>
                <w:spacing w:val="4"/>
              </w:rPr>
              <w:t>个类似项目业绩</w:t>
            </w:r>
            <w:r>
              <w:rPr>
                <w:spacing w:val="5"/>
              </w:rPr>
              <w:t xml:space="preserve">            </w:t>
            </w:r>
            <w:r>
              <w:rPr>
                <w:spacing w:val="4"/>
              </w:rPr>
              <w:t>4</w:t>
            </w:r>
            <w:r>
              <w:rPr>
                <w:spacing w:val="-29"/>
              </w:rPr>
              <w:t xml:space="preserve"> </w:t>
            </w:r>
            <w:r>
              <w:rPr>
                <w:spacing w:val="4"/>
              </w:rPr>
              <w:t>分</w:t>
            </w:r>
          </w:p>
          <w:p w14:paraId="2B8CB928">
            <w:pPr>
              <w:pStyle w:val="6"/>
              <w:spacing w:before="26" w:line="228" w:lineRule="auto"/>
              <w:ind w:left="112"/>
            </w:pPr>
            <w:r>
              <w:rPr>
                <w:spacing w:val="3"/>
              </w:rPr>
              <w:t>近</w:t>
            </w:r>
            <w:r>
              <w:rPr>
                <w:spacing w:val="-31"/>
              </w:rPr>
              <w:t xml:space="preserve"> </w:t>
            </w:r>
            <w:r>
              <w:rPr>
                <w:spacing w:val="3"/>
              </w:rPr>
              <w:t>5</w:t>
            </w:r>
            <w:r>
              <w:rPr>
                <w:spacing w:val="-37"/>
              </w:rPr>
              <w:t xml:space="preserve"> </w:t>
            </w:r>
            <w:r>
              <w:rPr>
                <w:spacing w:val="3"/>
              </w:rPr>
              <w:t>年有</w:t>
            </w:r>
            <w:r>
              <w:rPr>
                <w:spacing w:val="-33"/>
              </w:rPr>
              <w:t xml:space="preserve"> </w:t>
            </w:r>
            <w:r>
              <w:rPr>
                <w:spacing w:val="3"/>
              </w:rPr>
              <w:t>5</w:t>
            </w:r>
            <w:r>
              <w:rPr>
                <w:spacing w:val="-37"/>
              </w:rPr>
              <w:t xml:space="preserve"> </w:t>
            </w:r>
            <w:r>
              <w:rPr>
                <w:spacing w:val="3"/>
              </w:rPr>
              <w:t>个类似项目业绩</w:t>
            </w:r>
            <w:r>
              <w:rPr>
                <w:spacing w:val="6"/>
              </w:rPr>
              <w:t xml:space="preserve">            </w:t>
            </w:r>
            <w:r>
              <w:rPr>
                <w:spacing w:val="3"/>
              </w:rPr>
              <w:t>5</w:t>
            </w:r>
            <w:r>
              <w:rPr>
                <w:spacing w:val="-36"/>
              </w:rPr>
              <w:t xml:space="preserve"> </w:t>
            </w:r>
            <w:r>
              <w:rPr>
                <w:spacing w:val="3"/>
              </w:rPr>
              <w:t>分</w:t>
            </w:r>
          </w:p>
        </w:tc>
      </w:tr>
      <w:tr w14:paraId="713906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3" w:hRule="atLeast"/>
        </w:trPr>
        <w:tc>
          <w:tcPr>
            <w:tcW w:w="745" w:type="dxa"/>
            <w:vMerge w:val="continue"/>
            <w:tcBorders>
              <w:top w:val="nil"/>
            </w:tcBorders>
            <w:vAlign w:val="top"/>
          </w:tcPr>
          <w:p w14:paraId="5B899A2F">
            <w:pPr>
              <w:rPr>
                <w:rFonts w:ascii="Arial"/>
                <w:sz w:val="21"/>
              </w:rPr>
            </w:pPr>
          </w:p>
        </w:tc>
        <w:tc>
          <w:tcPr>
            <w:tcW w:w="1058" w:type="dxa"/>
            <w:vMerge w:val="continue"/>
            <w:tcBorders>
              <w:top w:val="nil"/>
            </w:tcBorders>
            <w:vAlign w:val="top"/>
          </w:tcPr>
          <w:p w14:paraId="2F4E0063">
            <w:pPr>
              <w:rPr>
                <w:rFonts w:ascii="Arial"/>
                <w:sz w:val="21"/>
              </w:rPr>
            </w:pPr>
          </w:p>
        </w:tc>
        <w:tc>
          <w:tcPr>
            <w:tcW w:w="2159" w:type="dxa"/>
            <w:gridSpan w:val="2"/>
            <w:vAlign w:val="top"/>
          </w:tcPr>
          <w:p w14:paraId="3262D541">
            <w:pPr>
              <w:spacing w:line="358" w:lineRule="auto"/>
              <w:rPr>
                <w:rFonts w:ascii="Arial"/>
                <w:sz w:val="21"/>
              </w:rPr>
            </w:pPr>
          </w:p>
          <w:p w14:paraId="06A88F90">
            <w:pPr>
              <w:spacing w:line="359" w:lineRule="auto"/>
              <w:rPr>
                <w:rFonts w:ascii="Arial"/>
                <w:sz w:val="21"/>
              </w:rPr>
            </w:pPr>
          </w:p>
          <w:p w14:paraId="2DAA778D">
            <w:pPr>
              <w:pStyle w:val="6"/>
              <w:spacing w:before="65" w:line="229" w:lineRule="auto"/>
              <w:ind w:left="112"/>
            </w:pPr>
            <w:r>
              <w:rPr>
                <w:spacing w:val="7"/>
              </w:rPr>
              <w:t>认证体系</w:t>
            </w:r>
          </w:p>
        </w:tc>
        <w:tc>
          <w:tcPr>
            <w:tcW w:w="720" w:type="dxa"/>
            <w:vAlign w:val="top"/>
          </w:tcPr>
          <w:p w14:paraId="03A05758">
            <w:pPr>
              <w:spacing w:line="260" w:lineRule="auto"/>
              <w:rPr>
                <w:rFonts w:ascii="Arial"/>
                <w:sz w:val="21"/>
              </w:rPr>
            </w:pPr>
          </w:p>
          <w:p w14:paraId="2FE418BE">
            <w:pPr>
              <w:spacing w:line="261" w:lineRule="auto"/>
              <w:rPr>
                <w:rFonts w:ascii="Arial"/>
                <w:sz w:val="21"/>
              </w:rPr>
            </w:pPr>
          </w:p>
          <w:p w14:paraId="41EC7B18">
            <w:pPr>
              <w:spacing w:line="261" w:lineRule="auto"/>
              <w:rPr>
                <w:rFonts w:ascii="Arial"/>
                <w:sz w:val="21"/>
              </w:rPr>
            </w:pPr>
          </w:p>
          <w:p w14:paraId="4D33D4B3">
            <w:pPr>
              <w:pStyle w:val="6"/>
              <w:spacing w:before="65" w:line="228" w:lineRule="auto"/>
              <w:ind w:left="184"/>
            </w:pPr>
            <w:r>
              <w:rPr>
                <w:spacing w:val="-4"/>
              </w:rPr>
              <w:t>3</w:t>
            </w:r>
            <w:r>
              <w:rPr>
                <w:spacing w:val="-36"/>
              </w:rPr>
              <w:t xml:space="preserve"> </w:t>
            </w:r>
            <w:r>
              <w:rPr>
                <w:spacing w:val="-4"/>
              </w:rPr>
              <w:t>分</w:t>
            </w:r>
          </w:p>
        </w:tc>
        <w:tc>
          <w:tcPr>
            <w:tcW w:w="4502" w:type="dxa"/>
            <w:vAlign w:val="top"/>
          </w:tcPr>
          <w:p w14:paraId="7B5AE29E">
            <w:pPr>
              <w:pStyle w:val="6"/>
              <w:spacing w:before="36" w:line="250" w:lineRule="auto"/>
              <w:ind w:left="117" w:right="107"/>
            </w:pPr>
            <w:r>
              <w:rPr>
                <w:spacing w:val="6"/>
              </w:rPr>
              <w:t>具有有效的</w:t>
            </w:r>
            <w:r>
              <w:rPr>
                <w:spacing w:val="-42"/>
              </w:rPr>
              <w:t xml:space="preserve"> </w:t>
            </w:r>
            <w:r>
              <w:rPr>
                <w:rFonts w:ascii="Times New Roman" w:hAnsi="Times New Roman" w:eastAsia="Times New Roman" w:cs="Times New Roman"/>
              </w:rPr>
              <w:t>ISO</w:t>
            </w:r>
            <w:r>
              <w:rPr>
                <w:rFonts w:ascii="Times New Roman" w:hAnsi="Times New Roman" w:eastAsia="Times New Roman" w:cs="Times New Roman"/>
                <w:spacing w:val="6"/>
              </w:rPr>
              <w:t>9001</w:t>
            </w:r>
            <w:r>
              <w:rPr>
                <w:spacing w:val="6"/>
              </w:rPr>
              <w:t>（</w:t>
            </w:r>
            <w:r>
              <w:rPr>
                <w:rFonts w:ascii="Times New Roman" w:hAnsi="Times New Roman" w:eastAsia="Times New Roman" w:cs="Times New Roman"/>
              </w:rPr>
              <w:t>GB</w:t>
            </w:r>
            <w:r>
              <w:rPr>
                <w:rFonts w:ascii="Times New Roman" w:hAnsi="Times New Roman" w:eastAsia="Times New Roman" w:cs="Times New Roman"/>
                <w:spacing w:val="6"/>
              </w:rPr>
              <w:t>/T19001</w:t>
            </w:r>
            <w:r>
              <w:rPr>
                <w:spacing w:val="6"/>
              </w:rPr>
              <w:t>）质量</w:t>
            </w:r>
            <w:r>
              <w:rPr>
                <w:spacing w:val="5"/>
              </w:rPr>
              <w:t>管理体系认证证书，1</w:t>
            </w:r>
            <w:r>
              <w:rPr>
                <w:spacing w:val="-31"/>
              </w:rPr>
              <w:t xml:space="preserve"> </w:t>
            </w:r>
            <w:r>
              <w:rPr>
                <w:spacing w:val="5"/>
              </w:rPr>
              <w:t>分；</w:t>
            </w:r>
          </w:p>
          <w:p w14:paraId="31657F9E">
            <w:pPr>
              <w:pStyle w:val="6"/>
              <w:spacing w:line="251" w:lineRule="auto"/>
              <w:ind w:left="116" w:right="107" w:firstLine="1"/>
            </w:pPr>
            <w:r>
              <w:rPr>
                <w:spacing w:val="8"/>
              </w:rPr>
              <w:t>具有有效的</w:t>
            </w:r>
            <w:r>
              <w:rPr>
                <w:spacing w:val="-38"/>
              </w:rPr>
              <w:t xml:space="preserve"> </w:t>
            </w:r>
            <w:r>
              <w:rPr>
                <w:rFonts w:ascii="Times New Roman" w:hAnsi="Times New Roman" w:eastAsia="Times New Roman" w:cs="Times New Roman"/>
              </w:rPr>
              <w:t>ISO</w:t>
            </w:r>
            <w:r>
              <w:rPr>
                <w:rFonts w:ascii="Times New Roman" w:hAnsi="Times New Roman" w:eastAsia="Times New Roman" w:cs="Times New Roman"/>
                <w:spacing w:val="8"/>
              </w:rPr>
              <w:t xml:space="preserve">14001  </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/T24001</w:t>
            </w:r>
            <w:r>
              <w:rPr>
                <w:spacing w:val="8"/>
              </w:rPr>
              <w:t>）</w:t>
            </w:r>
            <w:r>
              <w:rPr>
                <w:spacing w:val="39"/>
              </w:rPr>
              <w:t xml:space="preserve"> </w:t>
            </w:r>
            <w:r>
              <w:rPr>
                <w:spacing w:val="8"/>
              </w:rPr>
              <w:t>环境管</w:t>
            </w:r>
            <w:r>
              <w:rPr>
                <w:spacing w:val="6"/>
              </w:rPr>
              <w:t>理体系认证证书，1</w:t>
            </w:r>
            <w:r>
              <w:rPr>
                <w:spacing w:val="-31"/>
              </w:rPr>
              <w:t xml:space="preserve"> </w:t>
            </w:r>
            <w:r>
              <w:rPr>
                <w:spacing w:val="6"/>
              </w:rPr>
              <w:t>分；</w:t>
            </w:r>
          </w:p>
          <w:p w14:paraId="4447495E">
            <w:pPr>
              <w:pStyle w:val="6"/>
              <w:spacing w:before="2" w:line="239" w:lineRule="auto"/>
              <w:ind w:left="117" w:right="108"/>
            </w:pPr>
            <w:r>
              <w:rPr>
                <w:spacing w:val="5"/>
              </w:rPr>
              <w:t>具 有</w:t>
            </w:r>
            <w:r>
              <w:rPr>
                <w:spacing w:val="22"/>
              </w:rPr>
              <w:t xml:space="preserve"> </w:t>
            </w:r>
            <w:r>
              <w:rPr>
                <w:spacing w:val="5"/>
              </w:rPr>
              <w:t>有</w:t>
            </w:r>
            <w:r>
              <w:rPr>
                <w:spacing w:val="28"/>
              </w:rPr>
              <w:t xml:space="preserve"> </w:t>
            </w:r>
            <w:r>
              <w:rPr>
                <w:spacing w:val="5"/>
              </w:rPr>
              <w:t>效</w:t>
            </w:r>
            <w:r>
              <w:rPr>
                <w:spacing w:val="38"/>
              </w:rPr>
              <w:t xml:space="preserve"> </w:t>
            </w:r>
            <w:r>
              <w:rPr>
                <w:spacing w:val="5"/>
              </w:rPr>
              <w:t>的</w:t>
            </w:r>
            <w:r>
              <w:rPr>
                <w:spacing w:val="70"/>
              </w:rPr>
              <w:t xml:space="preserve"> </w:t>
            </w:r>
            <w:r>
              <w:rPr>
                <w:rFonts w:ascii="Times New Roman" w:hAnsi="Times New Roman" w:eastAsia="Times New Roman" w:cs="Times New Roman"/>
              </w:rPr>
              <w:t>ISO</w:t>
            </w:r>
            <w:r>
              <w:rPr>
                <w:rFonts w:ascii="Times New Roman" w:hAnsi="Times New Roman" w:eastAsia="Times New Roman" w:cs="Times New Roman"/>
                <w:spacing w:val="5"/>
              </w:rPr>
              <w:t>45001</w:t>
            </w:r>
            <w:r>
              <w:rPr>
                <w:rFonts w:ascii="Times New Roman" w:hAnsi="Times New Roman" w:eastAsia="Times New Roman" w:cs="Times New Roman"/>
                <w:spacing w:val="8"/>
              </w:rPr>
              <w:t xml:space="preserve">   </w:t>
            </w:r>
            <w:r>
              <w:rPr>
                <w:spacing w:val="5"/>
              </w:rPr>
              <w:t>或</w:t>
            </w:r>
            <w:r>
              <w:rPr>
                <w:spacing w:val="74"/>
              </w:rPr>
              <w:t xml:space="preserve"> </w:t>
            </w:r>
            <w:r>
              <w:rPr>
                <w:rFonts w:ascii="Times New Roman" w:hAnsi="Times New Roman" w:eastAsia="Times New Roman" w:cs="Times New Roman"/>
              </w:rPr>
              <w:t>OHSAS</w:t>
            </w:r>
            <w:r>
              <w:rPr>
                <w:rFonts w:ascii="Times New Roman" w:hAnsi="Times New Roman" w:eastAsia="Times New Roman" w:cs="Times New Roman"/>
                <w:spacing w:val="5"/>
              </w:rPr>
              <w:t>18001</w:t>
            </w:r>
            <w:r>
              <w:rPr>
                <w:rFonts w:ascii="Times New Roman" w:hAnsi="Times New Roman" w:eastAsia="Times New Roman" w:cs="Times New Roman"/>
              </w:rPr>
              <w:t xml:space="preserve"> </w:t>
            </w:r>
            <w:r>
              <w:rPr>
                <w:spacing w:val="9"/>
              </w:rPr>
              <w:t>（</w:t>
            </w:r>
            <w:r>
              <w:rPr>
                <w:rFonts w:ascii="Times New Roman" w:hAnsi="Times New Roman" w:eastAsia="Times New Roman" w:cs="Times New Roman"/>
              </w:rPr>
              <w:t>GB</w:t>
            </w:r>
            <w:r>
              <w:rPr>
                <w:rFonts w:ascii="Times New Roman" w:hAnsi="Times New Roman" w:eastAsia="Times New Roman" w:cs="Times New Roman"/>
                <w:spacing w:val="9"/>
              </w:rPr>
              <w:t>/T28001</w:t>
            </w:r>
            <w:r>
              <w:rPr>
                <w:spacing w:val="9"/>
              </w:rPr>
              <w:t>） 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bl>
    <w:p w14:paraId="5D54689C">
      <w:pPr>
        <w:rPr>
          <w:rFonts w:ascii="Arial"/>
          <w:sz w:val="21"/>
        </w:rPr>
      </w:pPr>
    </w:p>
    <w:p w14:paraId="74EAF920">
      <w:pPr>
        <w:rPr>
          <w:rFonts w:ascii="Arial" w:hAnsi="Arial" w:eastAsia="Arial" w:cs="Arial"/>
          <w:sz w:val="21"/>
          <w:szCs w:val="21"/>
        </w:rPr>
        <w:sectPr>
          <w:footerReference r:id="rId66" w:type="default"/>
          <w:pgSz w:w="11907" w:h="16840"/>
          <w:pgMar w:top="400" w:right="1248" w:bottom="1035" w:left="1469" w:header="0" w:footer="785" w:gutter="0"/>
          <w:cols w:space="720" w:num="1"/>
        </w:sectPr>
      </w:pPr>
    </w:p>
    <w:p w14:paraId="228BC94B">
      <w:pPr>
        <w:spacing w:before="19"/>
      </w:pPr>
    </w:p>
    <w:p w14:paraId="0FB8416A">
      <w:pPr>
        <w:spacing w:before="19"/>
      </w:pPr>
    </w:p>
    <w:p w14:paraId="55D01B7B">
      <w:pPr>
        <w:spacing w:before="19"/>
      </w:pPr>
    </w:p>
    <w:p w14:paraId="1C966348">
      <w:pPr>
        <w:spacing w:before="18"/>
      </w:pPr>
    </w:p>
    <w:p w14:paraId="57CD1403">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159"/>
        <w:gridCol w:w="720"/>
        <w:gridCol w:w="4502"/>
      </w:tblGrid>
      <w:tr w14:paraId="615345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6" w:hRule="atLeast"/>
        </w:trPr>
        <w:tc>
          <w:tcPr>
            <w:tcW w:w="745" w:type="dxa"/>
            <w:vMerge w:val="restart"/>
            <w:tcBorders>
              <w:bottom w:val="nil"/>
            </w:tcBorders>
            <w:vAlign w:val="top"/>
          </w:tcPr>
          <w:p w14:paraId="6E8EBE35">
            <w:pPr>
              <w:spacing w:line="247" w:lineRule="auto"/>
              <w:rPr>
                <w:rFonts w:ascii="Arial"/>
                <w:sz w:val="21"/>
              </w:rPr>
            </w:pPr>
          </w:p>
          <w:p w14:paraId="11B7CF43">
            <w:pPr>
              <w:spacing w:line="247" w:lineRule="auto"/>
              <w:rPr>
                <w:rFonts w:ascii="Arial"/>
                <w:sz w:val="21"/>
              </w:rPr>
            </w:pPr>
          </w:p>
          <w:p w14:paraId="671D1744">
            <w:pPr>
              <w:spacing w:line="247" w:lineRule="auto"/>
              <w:rPr>
                <w:rFonts w:ascii="Arial"/>
                <w:sz w:val="21"/>
              </w:rPr>
            </w:pPr>
          </w:p>
          <w:p w14:paraId="60F0A919">
            <w:pPr>
              <w:spacing w:line="247" w:lineRule="auto"/>
              <w:rPr>
                <w:rFonts w:ascii="Arial"/>
                <w:sz w:val="21"/>
              </w:rPr>
            </w:pPr>
          </w:p>
          <w:p w14:paraId="5D8221F2">
            <w:pPr>
              <w:spacing w:line="247" w:lineRule="auto"/>
              <w:rPr>
                <w:rFonts w:ascii="Arial"/>
                <w:sz w:val="21"/>
              </w:rPr>
            </w:pPr>
          </w:p>
          <w:p w14:paraId="186E75A6">
            <w:pPr>
              <w:spacing w:line="247" w:lineRule="auto"/>
              <w:rPr>
                <w:rFonts w:ascii="Arial"/>
                <w:sz w:val="21"/>
              </w:rPr>
            </w:pPr>
          </w:p>
          <w:p w14:paraId="7B30E2C1">
            <w:pPr>
              <w:spacing w:line="247" w:lineRule="auto"/>
              <w:rPr>
                <w:rFonts w:ascii="Arial"/>
                <w:sz w:val="21"/>
              </w:rPr>
            </w:pPr>
          </w:p>
          <w:p w14:paraId="55AFA879">
            <w:pPr>
              <w:spacing w:line="247" w:lineRule="auto"/>
              <w:rPr>
                <w:rFonts w:ascii="Arial"/>
                <w:sz w:val="21"/>
              </w:rPr>
            </w:pPr>
          </w:p>
          <w:p w14:paraId="01CD943E">
            <w:pPr>
              <w:spacing w:line="247" w:lineRule="auto"/>
              <w:rPr>
                <w:rFonts w:ascii="Arial"/>
                <w:sz w:val="21"/>
              </w:rPr>
            </w:pPr>
          </w:p>
          <w:p w14:paraId="6F5AA758">
            <w:pPr>
              <w:spacing w:line="247" w:lineRule="auto"/>
              <w:rPr>
                <w:rFonts w:ascii="Arial"/>
                <w:sz w:val="21"/>
              </w:rPr>
            </w:pPr>
          </w:p>
          <w:p w14:paraId="03F1C426">
            <w:pPr>
              <w:spacing w:line="247" w:lineRule="auto"/>
              <w:rPr>
                <w:rFonts w:ascii="Arial"/>
                <w:sz w:val="21"/>
              </w:rPr>
            </w:pPr>
          </w:p>
          <w:p w14:paraId="58DBF309">
            <w:pPr>
              <w:spacing w:line="247" w:lineRule="auto"/>
              <w:rPr>
                <w:rFonts w:ascii="Arial"/>
                <w:sz w:val="21"/>
              </w:rPr>
            </w:pPr>
          </w:p>
          <w:p w14:paraId="48DA2BF3">
            <w:pPr>
              <w:spacing w:line="247" w:lineRule="auto"/>
              <w:rPr>
                <w:rFonts w:ascii="Arial"/>
                <w:sz w:val="21"/>
              </w:rPr>
            </w:pPr>
          </w:p>
          <w:p w14:paraId="12C152B4">
            <w:pPr>
              <w:spacing w:line="247" w:lineRule="auto"/>
              <w:rPr>
                <w:rFonts w:ascii="Arial"/>
                <w:sz w:val="21"/>
              </w:rPr>
            </w:pPr>
          </w:p>
          <w:p w14:paraId="7434827D">
            <w:pPr>
              <w:spacing w:line="247" w:lineRule="auto"/>
              <w:rPr>
                <w:rFonts w:ascii="Arial"/>
                <w:sz w:val="21"/>
              </w:rPr>
            </w:pPr>
          </w:p>
          <w:p w14:paraId="770ABD53">
            <w:pPr>
              <w:spacing w:line="247" w:lineRule="auto"/>
              <w:rPr>
                <w:rFonts w:ascii="Arial"/>
                <w:sz w:val="21"/>
              </w:rPr>
            </w:pPr>
          </w:p>
          <w:p w14:paraId="2E24E062">
            <w:pPr>
              <w:spacing w:line="247" w:lineRule="auto"/>
              <w:rPr>
                <w:rFonts w:ascii="Arial"/>
                <w:sz w:val="21"/>
              </w:rPr>
            </w:pPr>
          </w:p>
          <w:p w14:paraId="646A8398">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0DD5F87D">
            <w:pPr>
              <w:pStyle w:val="6"/>
              <w:spacing w:before="197"/>
              <w:ind w:left="125"/>
            </w:pPr>
            <w:r>
              <w:rPr>
                <w:spacing w:val="-1"/>
              </w:rPr>
              <w:t>（</w:t>
            </w:r>
            <w:r>
              <w:rPr>
                <w:rFonts w:ascii="Times New Roman" w:hAnsi="Times New Roman" w:eastAsia="Times New Roman" w:cs="Times New Roman"/>
                <w:spacing w:val="-1"/>
              </w:rPr>
              <w:t>4</w:t>
            </w:r>
            <w:r>
              <w:rPr>
                <w:spacing w:val="-1"/>
              </w:rPr>
              <w:t>）</w:t>
            </w:r>
          </w:p>
        </w:tc>
        <w:tc>
          <w:tcPr>
            <w:tcW w:w="1058" w:type="dxa"/>
            <w:vMerge w:val="restart"/>
            <w:tcBorders>
              <w:bottom w:val="nil"/>
            </w:tcBorders>
            <w:vAlign w:val="top"/>
          </w:tcPr>
          <w:p w14:paraId="52955F05">
            <w:pPr>
              <w:spacing w:line="253" w:lineRule="auto"/>
              <w:rPr>
                <w:rFonts w:ascii="Arial"/>
                <w:sz w:val="21"/>
              </w:rPr>
            </w:pPr>
          </w:p>
          <w:p w14:paraId="6B213864">
            <w:pPr>
              <w:spacing w:line="253" w:lineRule="auto"/>
              <w:rPr>
                <w:rFonts w:ascii="Arial"/>
                <w:sz w:val="21"/>
              </w:rPr>
            </w:pPr>
          </w:p>
          <w:p w14:paraId="239B2760">
            <w:pPr>
              <w:spacing w:line="253" w:lineRule="auto"/>
              <w:rPr>
                <w:rFonts w:ascii="Arial"/>
                <w:sz w:val="21"/>
              </w:rPr>
            </w:pPr>
          </w:p>
          <w:p w14:paraId="6CDE9086">
            <w:pPr>
              <w:spacing w:line="253" w:lineRule="auto"/>
              <w:rPr>
                <w:rFonts w:ascii="Arial"/>
                <w:sz w:val="21"/>
              </w:rPr>
            </w:pPr>
          </w:p>
          <w:p w14:paraId="02C7E971">
            <w:pPr>
              <w:spacing w:line="253" w:lineRule="auto"/>
              <w:rPr>
                <w:rFonts w:ascii="Arial"/>
                <w:sz w:val="21"/>
              </w:rPr>
            </w:pPr>
          </w:p>
          <w:p w14:paraId="591CFDC2">
            <w:pPr>
              <w:spacing w:line="253" w:lineRule="auto"/>
              <w:rPr>
                <w:rFonts w:ascii="Arial"/>
                <w:sz w:val="21"/>
              </w:rPr>
            </w:pPr>
          </w:p>
          <w:p w14:paraId="0B11D53E">
            <w:pPr>
              <w:spacing w:line="253" w:lineRule="auto"/>
              <w:rPr>
                <w:rFonts w:ascii="Arial"/>
                <w:sz w:val="21"/>
              </w:rPr>
            </w:pPr>
          </w:p>
          <w:p w14:paraId="7BC97339">
            <w:pPr>
              <w:spacing w:line="253" w:lineRule="auto"/>
              <w:rPr>
                <w:rFonts w:ascii="Arial"/>
                <w:sz w:val="21"/>
              </w:rPr>
            </w:pPr>
          </w:p>
          <w:p w14:paraId="3A8C5219">
            <w:pPr>
              <w:spacing w:line="253" w:lineRule="auto"/>
              <w:rPr>
                <w:rFonts w:ascii="Arial"/>
                <w:sz w:val="21"/>
              </w:rPr>
            </w:pPr>
          </w:p>
          <w:p w14:paraId="25A4EA1D">
            <w:pPr>
              <w:spacing w:line="253" w:lineRule="auto"/>
              <w:rPr>
                <w:rFonts w:ascii="Arial"/>
                <w:sz w:val="21"/>
              </w:rPr>
            </w:pPr>
          </w:p>
          <w:p w14:paraId="326D9886">
            <w:pPr>
              <w:spacing w:line="253" w:lineRule="auto"/>
              <w:rPr>
                <w:rFonts w:ascii="Arial"/>
                <w:sz w:val="21"/>
              </w:rPr>
            </w:pPr>
          </w:p>
          <w:p w14:paraId="679C50DD">
            <w:pPr>
              <w:spacing w:line="253" w:lineRule="auto"/>
              <w:rPr>
                <w:rFonts w:ascii="Arial"/>
                <w:sz w:val="21"/>
              </w:rPr>
            </w:pPr>
          </w:p>
          <w:p w14:paraId="2AF83B1C">
            <w:pPr>
              <w:spacing w:line="253" w:lineRule="auto"/>
              <w:rPr>
                <w:rFonts w:ascii="Arial"/>
                <w:sz w:val="21"/>
              </w:rPr>
            </w:pPr>
          </w:p>
          <w:p w14:paraId="116AD271">
            <w:pPr>
              <w:spacing w:line="253" w:lineRule="auto"/>
              <w:rPr>
                <w:rFonts w:ascii="Arial"/>
                <w:sz w:val="21"/>
              </w:rPr>
            </w:pPr>
          </w:p>
          <w:p w14:paraId="00788CA5">
            <w:pPr>
              <w:spacing w:line="253" w:lineRule="auto"/>
              <w:rPr>
                <w:rFonts w:ascii="Arial"/>
                <w:sz w:val="21"/>
              </w:rPr>
            </w:pPr>
          </w:p>
          <w:p w14:paraId="326B59EC">
            <w:pPr>
              <w:spacing w:line="253" w:lineRule="auto"/>
              <w:rPr>
                <w:rFonts w:ascii="Arial"/>
                <w:sz w:val="21"/>
              </w:rPr>
            </w:pPr>
          </w:p>
          <w:p w14:paraId="6AFBE4FA">
            <w:pPr>
              <w:spacing w:line="254" w:lineRule="auto"/>
              <w:rPr>
                <w:rFonts w:ascii="Arial"/>
                <w:sz w:val="21"/>
              </w:rPr>
            </w:pPr>
          </w:p>
          <w:p w14:paraId="5936D318">
            <w:pPr>
              <w:pStyle w:val="6"/>
              <w:spacing w:before="65" w:line="252" w:lineRule="auto"/>
              <w:ind w:left="111" w:right="111" w:firstLine="1"/>
            </w:pPr>
            <w:r>
              <w:rPr>
                <w:spacing w:val="7"/>
              </w:rPr>
              <w:t>其他因素评分标准</w:t>
            </w:r>
          </w:p>
        </w:tc>
        <w:tc>
          <w:tcPr>
            <w:tcW w:w="2159" w:type="dxa"/>
            <w:vAlign w:val="top"/>
          </w:tcPr>
          <w:p w14:paraId="7BD8CB05">
            <w:pPr>
              <w:spacing w:line="258" w:lineRule="auto"/>
              <w:rPr>
                <w:rFonts w:ascii="Arial"/>
                <w:sz w:val="21"/>
              </w:rPr>
            </w:pPr>
          </w:p>
          <w:p w14:paraId="582AD10C">
            <w:pPr>
              <w:spacing w:line="258" w:lineRule="auto"/>
              <w:rPr>
                <w:rFonts w:ascii="Arial"/>
                <w:sz w:val="21"/>
              </w:rPr>
            </w:pPr>
          </w:p>
          <w:p w14:paraId="38C854D3">
            <w:pPr>
              <w:spacing w:line="258" w:lineRule="auto"/>
              <w:rPr>
                <w:rFonts w:ascii="Arial"/>
                <w:sz w:val="21"/>
              </w:rPr>
            </w:pPr>
          </w:p>
          <w:p w14:paraId="7467E24D">
            <w:pPr>
              <w:spacing w:line="258" w:lineRule="auto"/>
              <w:rPr>
                <w:rFonts w:ascii="Arial"/>
                <w:sz w:val="21"/>
              </w:rPr>
            </w:pPr>
          </w:p>
          <w:p w14:paraId="52AC8ED2">
            <w:pPr>
              <w:spacing w:line="258" w:lineRule="auto"/>
              <w:rPr>
                <w:rFonts w:ascii="Arial"/>
                <w:sz w:val="21"/>
              </w:rPr>
            </w:pPr>
          </w:p>
          <w:p w14:paraId="50114A68">
            <w:pPr>
              <w:spacing w:line="258" w:lineRule="auto"/>
              <w:rPr>
                <w:rFonts w:ascii="Arial"/>
                <w:sz w:val="21"/>
              </w:rPr>
            </w:pPr>
          </w:p>
          <w:p w14:paraId="6E117DF3">
            <w:pPr>
              <w:spacing w:line="258" w:lineRule="auto"/>
              <w:rPr>
                <w:rFonts w:ascii="Arial"/>
                <w:sz w:val="21"/>
              </w:rPr>
            </w:pPr>
          </w:p>
          <w:p w14:paraId="2332C4EA">
            <w:pPr>
              <w:spacing w:line="258" w:lineRule="auto"/>
              <w:rPr>
                <w:rFonts w:ascii="Arial"/>
                <w:sz w:val="21"/>
              </w:rPr>
            </w:pPr>
          </w:p>
          <w:p w14:paraId="0026A616">
            <w:pPr>
              <w:spacing w:line="258" w:lineRule="auto"/>
              <w:rPr>
                <w:rFonts w:ascii="Arial"/>
                <w:sz w:val="21"/>
              </w:rPr>
            </w:pPr>
          </w:p>
          <w:p w14:paraId="3CF7CF3A">
            <w:pPr>
              <w:spacing w:line="258" w:lineRule="auto"/>
              <w:rPr>
                <w:rFonts w:ascii="Arial"/>
                <w:sz w:val="21"/>
              </w:rPr>
            </w:pPr>
          </w:p>
          <w:p w14:paraId="5DC2B33C">
            <w:pPr>
              <w:spacing w:line="258" w:lineRule="auto"/>
              <w:rPr>
                <w:rFonts w:ascii="Arial"/>
                <w:sz w:val="21"/>
              </w:rPr>
            </w:pPr>
          </w:p>
          <w:p w14:paraId="40FFC042">
            <w:pPr>
              <w:spacing w:line="258" w:lineRule="auto"/>
              <w:rPr>
                <w:rFonts w:ascii="Arial"/>
                <w:sz w:val="21"/>
              </w:rPr>
            </w:pPr>
          </w:p>
          <w:p w14:paraId="2E4FDC2E">
            <w:pPr>
              <w:spacing w:line="258" w:lineRule="auto"/>
              <w:rPr>
                <w:rFonts w:ascii="Arial"/>
                <w:sz w:val="21"/>
              </w:rPr>
            </w:pPr>
          </w:p>
          <w:p w14:paraId="7274C9D4">
            <w:pPr>
              <w:pStyle w:val="6"/>
              <w:spacing w:before="65" w:line="228" w:lineRule="auto"/>
              <w:ind w:left="111"/>
            </w:pPr>
            <w:r>
              <w:rPr>
                <w:spacing w:val="4"/>
              </w:rPr>
              <w:t>近</w:t>
            </w:r>
            <w:r>
              <w:rPr>
                <w:spacing w:val="-35"/>
              </w:rPr>
              <w:t xml:space="preserve"> </w:t>
            </w:r>
            <w:r>
              <w:rPr>
                <w:spacing w:val="4"/>
              </w:rPr>
              <w:t>5</w:t>
            </w:r>
            <w:r>
              <w:rPr>
                <w:spacing w:val="-37"/>
              </w:rPr>
              <w:t xml:space="preserve"> </w:t>
            </w:r>
            <w:r>
              <w:rPr>
                <w:spacing w:val="4"/>
              </w:rPr>
              <w:t>年工程奖项、</w:t>
            </w:r>
          </w:p>
          <w:p w14:paraId="4479E82E">
            <w:pPr>
              <w:pStyle w:val="6"/>
              <w:spacing w:before="25" w:line="251" w:lineRule="auto"/>
              <w:ind w:left="111" w:right="160" w:firstLine="4"/>
            </w:pPr>
            <w:r>
              <w:rPr>
                <w:spacing w:val="8"/>
              </w:rPr>
              <w:t>项目经理工程奖项及</w:t>
            </w:r>
            <w:r>
              <w:rPr>
                <w:spacing w:val="5"/>
              </w:rPr>
              <w:t>表彰</w:t>
            </w:r>
          </w:p>
          <w:p w14:paraId="63455A46">
            <w:pPr>
              <w:pStyle w:val="6"/>
              <w:spacing w:line="252" w:lineRule="auto"/>
              <w:ind w:left="113" w:right="160" w:firstLine="9"/>
            </w:pPr>
            <w:r>
              <w:rPr>
                <w:spacing w:val="7"/>
              </w:rPr>
              <w:t>（适用于施工总承包</w:t>
            </w:r>
            <w:r>
              <w:rPr>
                <w:spacing w:val="2"/>
              </w:rPr>
              <w:t>招标）</w:t>
            </w:r>
          </w:p>
        </w:tc>
        <w:tc>
          <w:tcPr>
            <w:tcW w:w="720" w:type="dxa"/>
            <w:vAlign w:val="top"/>
          </w:tcPr>
          <w:p w14:paraId="3E9FE65F">
            <w:pPr>
              <w:spacing w:line="243" w:lineRule="auto"/>
              <w:rPr>
                <w:rFonts w:ascii="Arial"/>
                <w:sz w:val="21"/>
              </w:rPr>
            </w:pPr>
          </w:p>
          <w:p w14:paraId="725C3699">
            <w:pPr>
              <w:spacing w:line="243" w:lineRule="auto"/>
              <w:rPr>
                <w:rFonts w:ascii="Arial"/>
                <w:sz w:val="21"/>
              </w:rPr>
            </w:pPr>
          </w:p>
          <w:p w14:paraId="3FD06EA7">
            <w:pPr>
              <w:spacing w:line="243" w:lineRule="auto"/>
              <w:rPr>
                <w:rFonts w:ascii="Arial"/>
                <w:sz w:val="21"/>
              </w:rPr>
            </w:pPr>
          </w:p>
          <w:p w14:paraId="74B76217">
            <w:pPr>
              <w:spacing w:line="243" w:lineRule="auto"/>
              <w:rPr>
                <w:rFonts w:ascii="Arial"/>
                <w:sz w:val="21"/>
              </w:rPr>
            </w:pPr>
          </w:p>
          <w:p w14:paraId="4A6F8243">
            <w:pPr>
              <w:spacing w:line="243" w:lineRule="auto"/>
              <w:rPr>
                <w:rFonts w:ascii="Arial"/>
                <w:sz w:val="21"/>
              </w:rPr>
            </w:pPr>
          </w:p>
          <w:p w14:paraId="5A33700B">
            <w:pPr>
              <w:spacing w:line="243" w:lineRule="auto"/>
              <w:rPr>
                <w:rFonts w:ascii="Arial"/>
                <w:sz w:val="21"/>
              </w:rPr>
            </w:pPr>
          </w:p>
          <w:p w14:paraId="0A16D4DC">
            <w:pPr>
              <w:spacing w:line="243" w:lineRule="auto"/>
              <w:rPr>
                <w:rFonts w:ascii="Arial"/>
                <w:sz w:val="21"/>
              </w:rPr>
            </w:pPr>
          </w:p>
          <w:p w14:paraId="15AC4D37">
            <w:pPr>
              <w:spacing w:line="243" w:lineRule="auto"/>
              <w:rPr>
                <w:rFonts w:ascii="Arial"/>
                <w:sz w:val="21"/>
              </w:rPr>
            </w:pPr>
          </w:p>
          <w:p w14:paraId="48B1AD64">
            <w:pPr>
              <w:spacing w:line="243" w:lineRule="auto"/>
              <w:rPr>
                <w:rFonts w:ascii="Arial"/>
                <w:sz w:val="21"/>
              </w:rPr>
            </w:pPr>
          </w:p>
          <w:p w14:paraId="3E14B02A">
            <w:pPr>
              <w:spacing w:line="243" w:lineRule="auto"/>
              <w:rPr>
                <w:rFonts w:ascii="Arial"/>
                <w:sz w:val="21"/>
              </w:rPr>
            </w:pPr>
          </w:p>
          <w:p w14:paraId="7145923A">
            <w:pPr>
              <w:spacing w:line="244" w:lineRule="auto"/>
              <w:rPr>
                <w:rFonts w:ascii="Arial"/>
                <w:sz w:val="21"/>
              </w:rPr>
            </w:pPr>
          </w:p>
          <w:p w14:paraId="372F6248">
            <w:pPr>
              <w:spacing w:line="244" w:lineRule="auto"/>
              <w:rPr>
                <w:rFonts w:ascii="Arial"/>
                <w:sz w:val="21"/>
              </w:rPr>
            </w:pPr>
          </w:p>
          <w:p w14:paraId="4B5B49FD">
            <w:pPr>
              <w:spacing w:line="244" w:lineRule="auto"/>
              <w:rPr>
                <w:rFonts w:ascii="Arial"/>
                <w:sz w:val="21"/>
              </w:rPr>
            </w:pPr>
          </w:p>
          <w:p w14:paraId="3054DF6D">
            <w:pPr>
              <w:spacing w:line="244" w:lineRule="auto"/>
              <w:rPr>
                <w:rFonts w:ascii="Arial"/>
                <w:sz w:val="21"/>
              </w:rPr>
            </w:pPr>
          </w:p>
          <w:p w14:paraId="11D15EBA">
            <w:pPr>
              <w:spacing w:line="244" w:lineRule="auto"/>
              <w:rPr>
                <w:rFonts w:ascii="Arial"/>
                <w:sz w:val="21"/>
              </w:rPr>
            </w:pPr>
          </w:p>
          <w:p w14:paraId="19F80544">
            <w:pPr>
              <w:spacing w:line="244" w:lineRule="auto"/>
              <w:rPr>
                <w:rFonts w:ascii="Arial"/>
                <w:sz w:val="21"/>
              </w:rPr>
            </w:pPr>
          </w:p>
          <w:p w14:paraId="2F6C896F">
            <w:pPr>
              <w:pStyle w:val="6"/>
              <w:spacing w:before="65" w:line="228" w:lineRule="auto"/>
              <w:ind w:left="179"/>
            </w:pPr>
            <w:r>
              <w:rPr>
                <w:spacing w:val="-2"/>
              </w:rPr>
              <w:t>4</w:t>
            </w:r>
            <w:r>
              <w:rPr>
                <w:spacing w:val="-36"/>
              </w:rPr>
              <w:t xml:space="preserve"> </w:t>
            </w:r>
            <w:r>
              <w:rPr>
                <w:spacing w:val="-2"/>
              </w:rPr>
              <w:t>分</w:t>
            </w:r>
          </w:p>
        </w:tc>
        <w:tc>
          <w:tcPr>
            <w:tcW w:w="4502" w:type="dxa"/>
            <w:vAlign w:val="top"/>
          </w:tcPr>
          <w:p w14:paraId="2D00F055">
            <w:pPr>
              <w:pStyle w:val="6"/>
              <w:spacing w:before="41" w:line="251" w:lineRule="auto"/>
              <w:ind w:left="103" w:firstLine="25"/>
            </w:pPr>
            <w:r>
              <w:rPr>
                <w:rFonts w:ascii="Times New Roman" w:hAnsi="Times New Roman" w:eastAsia="Times New Roman" w:cs="Times New Roman"/>
                <w:spacing w:val="1"/>
              </w:rPr>
              <w:t>1</w:t>
            </w:r>
            <w:r>
              <w:rPr>
                <w:rFonts w:ascii="Times New Roman" w:hAnsi="Times New Roman" w:eastAsia="Times New Roman" w:cs="Times New Roman"/>
                <w:spacing w:val="-6"/>
              </w:rPr>
              <w:t xml:space="preserve"> </w:t>
            </w:r>
            <w:r>
              <w:rPr>
                <w:spacing w:val="1"/>
              </w:rPr>
              <w:t>．投标人完成的与招标项目同类别工程（即房</w:t>
            </w:r>
            <w:r>
              <w:t xml:space="preserve"> </w:t>
            </w:r>
            <w:r>
              <w:rPr>
                <w:spacing w:val="2"/>
              </w:rPr>
              <w:t>屋建筑或市政工程，下同</w:t>
            </w:r>
            <w:r>
              <w:rPr>
                <w:spacing w:val="-44"/>
              </w:rPr>
              <w:t>），</w:t>
            </w:r>
            <w:r>
              <w:rPr>
                <w:spacing w:val="2"/>
              </w:rPr>
              <w:t>近</w:t>
            </w:r>
            <w:r>
              <w:rPr>
                <w:spacing w:val="-38"/>
              </w:rPr>
              <w:t xml:space="preserve"> </w:t>
            </w:r>
            <w:r>
              <w:rPr>
                <w:rFonts w:ascii="Times New Roman" w:hAnsi="Times New Roman" w:eastAsia="Times New Roman" w:cs="Times New Roman"/>
                <w:spacing w:val="2"/>
              </w:rPr>
              <w:t xml:space="preserve">5 </w:t>
            </w:r>
            <w:r>
              <w:rPr>
                <w:spacing w:val="2"/>
              </w:rPr>
              <w:t>年获得“</w:t>
            </w:r>
            <w:r>
              <w:rPr>
                <w:spacing w:val="-73"/>
              </w:rPr>
              <w:t xml:space="preserve"> </w:t>
            </w:r>
            <w:r>
              <w:rPr>
                <w:spacing w:val="2"/>
              </w:rPr>
              <w:t>中国</w:t>
            </w:r>
            <w:r>
              <w:t xml:space="preserve"> </w:t>
            </w:r>
            <w:r>
              <w:rPr>
                <w:spacing w:val="-1"/>
              </w:rPr>
              <w:t>建设工程鲁班奖（国家优质工程）”“中国土木</w:t>
            </w:r>
            <w:r>
              <w:rPr>
                <w:spacing w:val="4"/>
              </w:rPr>
              <w:t xml:space="preserve"> </w:t>
            </w:r>
            <w:r>
              <w:rPr>
                <w:spacing w:val="6"/>
              </w:rPr>
              <w:t>工程詹天佑奖</w:t>
            </w:r>
            <w:r>
              <w:rPr>
                <w:spacing w:val="-66"/>
              </w:rPr>
              <w:t xml:space="preserve"> </w:t>
            </w:r>
            <w:r>
              <w:rPr>
                <w:spacing w:val="6"/>
              </w:rPr>
              <w:t>”“市政工程最高质量水平评价</w:t>
            </w:r>
            <w:r>
              <w:rPr>
                <w:spacing w:val="-68"/>
              </w:rPr>
              <w:t xml:space="preserve"> </w:t>
            </w:r>
            <w:r>
              <w:rPr>
                <w:spacing w:val="6"/>
              </w:rPr>
              <w:t>”</w:t>
            </w:r>
            <w:r>
              <w:t xml:space="preserve"> </w:t>
            </w:r>
            <w:r>
              <w:rPr>
                <w:spacing w:val="3"/>
              </w:rPr>
              <w:t>“全国市政金杯示范工程</w:t>
            </w:r>
            <w:r>
              <w:rPr>
                <w:spacing w:val="-67"/>
              </w:rPr>
              <w:t xml:space="preserve"> </w:t>
            </w:r>
            <w:r>
              <w:rPr>
                <w:spacing w:val="3"/>
              </w:rPr>
              <w:t>”“</w:t>
            </w:r>
            <w:r>
              <w:rPr>
                <w:rFonts w:ascii="Times New Roman" w:hAnsi="Times New Roman" w:eastAsia="Times New Roman" w:cs="Times New Roman"/>
              </w:rPr>
              <w:t>AAA</w:t>
            </w:r>
            <w:r>
              <w:rPr>
                <w:rFonts w:ascii="Times New Roman" w:hAnsi="Times New Roman" w:eastAsia="Times New Roman" w:cs="Times New Roman"/>
                <w:spacing w:val="21"/>
              </w:rPr>
              <w:t xml:space="preserve"> </w:t>
            </w:r>
            <w:r>
              <w:rPr>
                <w:spacing w:val="3"/>
              </w:rPr>
              <w:t>级安全文明</w:t>
            </w:r>
            <w:r>
              <w:t xml:space="preserve"> </w:t>
            </w:r>
            <w:r>
              <w:rPr>
                <w:spacing w:val="-2"/>
              </w:rPr>
              <w:t>标准化工地</w:t>
            </w:r>
            <w:r>
              <w:rPr>
                <w:spacing w:val="-67"/>
              </w:rPr>
              <w:t xml:space="preserve"> </w:t>
            </w:r>
            <w:r>
              <w:rPr>
                <w:spacing w:val="-2"/>
              </w:rPr>
              <w:t>”“建设工程项目施工工地安全生产</w:t>
            </w:r>
            <w:r>
              <w:rPr>
                <w:spacing w:val="6"/>
              </w:rPr>
              <w:t>标准化学习交流项目</w:t>
            </w:r>
            <w:r>
              <w:rPr>
                <w:spacing w:val="-59"/>
              </w:rPr>
              <w:t xml:space="preserve"> </w:t>
            </w:r>
            <w:r>
              <w:rPr>
                <w:spacing w:val="6"/>
              </w:rPr>
              <w:t>”的每项得</w:t>
            </w:r>
            <w:r>
              <w:rPr>
                <w:spacing w:val="-36"/>
              </w:rPr>
              <w:t xml:space="preserve"> </w:t>
            </w:r>
            <w:r>
              <w:rPr>
                <w:rFonts w:ascii="Times New Roman" w:hAnsi="Times New Roman" w:eastAsia="Times New Roman" w:cs="Times New Roman"/>
                <w:spacing w:val="6"/>
              </w:rPr>
              <w:t>3</w:t>
            </w:r>
            <w:r>
              <w:rPr>
                <w:rFonts w:ascii="Times New Roman" w:hAnsi="Times New Roman" w:eastAsia="Times New Roman" w:cs="Times New Roman"/>
                <w:spacing w:val="16"/>
              </w:rPr>
              <w:t xml:space="preserve"> </w:t>
            </w:r>
            <w:r>
              <w:rPr>
                <w:spacing w:val="6"/>
              </w:rPr>
              <w:t>分；获得省</w:t>
            </w:r>
            <w:r>
              <w:rPr>
                <w:spacing w:val="9"/>
              </w:rPr>
              <w:t>级优质工程奖（如楚天杯）或安全文明施工现</w:t>
            </w:r>
            <w:r>
              <w:rPr>
                <w:spacing w:val="3"/>
              </w:rPr>
              <w:t xml:space="preserve"> </w:t>
            </w:r>
            <w:r>
              <w:rPr>
                <w:spacing w:val="8"/>
              </w:rPr>
              <w:t>场奖的每项得</w:t>
            </w:r>
            <w:r>
              <w:rPr>
                <w:spacing w:val="-35"/>
              </w:rPr>
              <w:t xml:space="preserve"> </w:t>
            </w:r>
            <w:r>
              <w:rPr>
                <w:rFonts w:ascii="Times New Roman" w:hAnsi="Times New Roman" w:eastAsia="Times New Roman" w:cs="Times New Roman"/>
                <w:spacing w:val="8"/>
              </w:rPr>
              <w:t>3</w:t>
            </w:r>
            <w:r>
              <w:rPr>
                <w:rFonts w:ascii="Times New Roman" w:hAnsi="Times New Roman" w:eastAsia="Times New Roman" w:cs="Times New Roman"/>
                <w:spacing w:val="16"/>
              </w:rPr>
              <w:t xml:space="preserve"> </w:t>
            </w:r>
            <w:r>
              <w:rPr>
                <w:spacing w:val="8"/>
              </w:rPr>
              <w:t>分；获得地市级优质工程奖或</w:t>
            </w:r>
            <w:r>
              <w:t xml:space="preserve"> </w:t>
            </w:r>
            <w:r>
              <w:rPr>
                <w:spacing w:val="-2"/>
              </w:rPr>
              <w:t>安全文明施工现场奖的每项得</w:t>
            </w:r>
            <w:r>
              <w:rPr>
                <w:spacing w:val="-30"/>
              </w:rPr>
              <w:t xml:space="preserve"> </w:t>
            </w:r>
            <w:r>
              <w:rPr>
                <w:rFonts w:ascii="Times New Roman" w:hAnsi="Times New Roman" w:eastAsia="Times New Roman" w:cs="Times New Roman"/>
                <w:spacing w:val="-2"/>
              </w:rPr>
              <w:t>2</w:t>
            </w:r>
            <w:r>
              <w:rPr>
                <w:rFonts w:ascii="Times New Roman" w:hAnsi="Times New Roman" w:eastAsia="Times New Roman" w:cs="Times New Roman"/>
                <w:spacing w:val="13"/>
              </w:rPr>
              <w:t xml:space="preserve"> </w:t>
            </w:r>
            <w:r>
              <w:rPr>
                <w:spacing w:val="-2"/>
              </w:rPr>
              <w:t>分。（同一工程</w:t>
            </w:r>
            <w:r>
              <w:rPr>
                <w:spacing w:val="9"/>
              </w:rPr>
              <w:t>获得不同级别奖项的，按级别高的奖项加分且</w:t>
            </w:r>
            <w:r>
              <w:rPr>
                <w:spacing w:val="3"/>
              </w:rPr>
              <w:t xml:space="preserve"> </w:t>
            </w:r>
            <w:r>
              <w:rPr>
                <w:spacing w:val="4"/>
              </w:rPr>
              <w:t>不重复计分）</w:t>
            </w:r>
          </w:p>
          <w:p w14:paraId="7F9FBB5B">
            <w:pPr>
              <w:pStyle w:val="6"/>
              <w:spacing w:before="5" w:line="251" w:lineRule="auto"/>
              <w:ind w:left="111" w:right="107" w:hanging="2"/>
            </w:pPr>
            <w:r>
              <w:rPr>
                <w:rFonts w:ascii="Times New Roman" w:hAnsi="Times New Roman" w:eastAsia="Times New Roman" w:cs="Times New Roman"/>
                <w:spacing w:val="7"/>
              </w:rPr>
              <w:t>2</w:t>
            </w:r>
            <w:r>
              <w:rPr>
                <w:rFonts w:ascii="Times New Roman" w:hAnsi="Times New Roman" w:eastAsia="Times New Roman" w:cs="Times New Roman"/>
                <w:spacing w:val="-19"/>
              </w:rPr>
              <w:t xml:space="preserve"> </w:t>
            </w:r>
            <w:r>
              <w:rPr>
                <w:spacing w:val="7"/>
              </w:rPr>
              <w:t>．以项目经理身份完成的与招标项目同类别工程（即房屋建筑或市政工程，下同</w:t>
            </w:r>
            <w:r>
              <w:rPr>
                <w:spacing w:val="-39"/>
              </w:rPr>
              <w:t>），</w:t>
            </w:r>
            <w:r>
              <w:rPr>
                <w:spacing w:val="7"/>
              </w:rPr>
              <w:t>近</w:t>
            </w:r>
            <w:r>
              <w:rPr>
                <w:spacing w:val="-37"/>
              </w:rPr>
              <w:t xml:space="preserve"> </w:t>
            </w:r>
            <w:r>
              <w:rPr>
                <w:rFonts w:ascii="Times New Roman" w:hAnsi="Times New Roman" w:eastAsia="Times New Roman" w:cs="Times New Roman"/>
                <w:spacing w:val="7"/>
              </w:rPr>
              <w:t xml:space="preserve">5 </w:t>
            </w:r>
            <w:r>
              <w:rPr>
                <w:spacing w:val="7"/>
              </w:rPr>
              <w:t>年获</w:t>
            </w:r>
            <w:r>
              <w:rPr>
                <w:spacing w:val="-6"/>
              </w:rPr>
              <w:t>得“中国建设工程鲁班奖（国家优质工程）”“中</w:t>
            </w:r>
            <w:r>
              <w:rPr>
                <w:spacing w:val="2"/>
              </w:rPr>
              <w:t>国土木工程詹天佑奖</w:t>
            </w:r>
            <w:r>
              <w:rPr>
                <w:spacing w:val="-69"/>
              </w:rPr>
              <w:t xml:space="preserve"> </w:t>
            </w:r>
            <w:r>
              <w:rPr>
                <w:spacing w:val="2"/>
              </w:rPr>
              <w:t>”“市政工程最高质量水平</w:t>
            </w:r>
            <w:r>
              <w:rPr>
                <w:spacing w:val="-4"/>
              </w:rPr>
              <w:t>评价</w:t>
            </w:r>
            <w:r>
              <w:rPr>
                <w:spacing w:val="-67"/>
              </w:rPr>
              <w:t xml:space="preserve"> </w:t>
            </w:r>
            <w:r>
              <w:rPr>
                <w:spacing w:val="-4"/>
              </w:rPr>
              <w:t>”“全国市政金杯示范工程</w:t>
            </w:r>
            <w:r>
              <w:rPr>
                <w:spacing w:val="-70"/>
              </w:rPr>
              <w:t xml:space="preserve"> </w:t>
            </w:r>
            <w:r>
              <w:rPr>
                <w:spacing w:val="-4"/>
              </w:rPr>
              <w:t>”“</w:t>
            </w:r>
            <w:r>
              <w:rPr>
                <w:rFonts w:ascii="Times New Roman" w:hAnsi="Times New Roman" w:eastAsia="Times New Roman" w:cs="Times New Roman"/>
                <w:spacing w:val="-4"/>
              </w:rPr>
              <w:t>AAA</w:t>
            </w:r>
            <w:r>
              <w:rPr>
                <w:rFonts w:ascii="Times New Roman" w:hAnsi="Times New Roman" w:eastAsia="Times New Roman" w:cs="Times New Roman"/>
                <w:spacing w:val="17"/>
                <w:w w:val="101"/>
              </w:rPr>
              <w:t xml:space="preserve"> </w:t>
            </w:r>
            <w:r>
              <w:rPr>
                <w:spacing w:val="-4"/>
              </w:rPr>
              <w:t>级安全</w:t>
            </w:r>
            <w:r>
              <w:rPr>
                <w:spacing w:val="2"/>
              </w:rPr>
              <w:t>文明标准化工地</w:t>
            </w:r>
            <w:r>
              <w:rPr>
                <w:spacing w:val="-69"/>
              </w:rPr>
              <w:t xml:space="preserve"> </w:t>
            </w:r>
            <w:r>
              <w:rPr>
                <w:spacing w:val="2"/>
              </w:rPr>
              <w:t>”“建设工程项目施工工地安全</w:t>
            </w:r>
            <w:r>
              <w:rPr>
                <w:spacing w:val="10"/>
              </w:rPr>
              <w:t>生产标准化学习交流项目</w:t>
            </w:r>
            <w:r>
              <w:rPr>
                <w:spacing w:val="-60"/>
              </w:rPr>
              <w:t xml:space="preserve"> </w:t>
            </w:r>
            <w:r>
              <w:rPr>
                <w:spacing w:val="10"/>
              </w:rPr>
              <w:t>”的每项得</w:t>
            </w:r>
            <w:r>
              <w:rPr>
                <w:spacing w:val="-34"/>
              </w:rPr>
              <w:t xml:space="preserve"> </w:t>
            </w:r>
            <w:r>
              <w:rPr>
                <w:rFonts w:ascii="Times New Roman" w:hAnsi="Times New Roman" w:eastAsia="Times New Roman" w:cs="Times New Roman"/>
                <w:spacing w:val="10"/>
              </w:rPr>
              <w:t>3</w:t>
            </w:r>
            <w:r>
              <w:rPr>
                <w:rFonts w:ascii="Times New Roman" w:hAnsi="Times New Roman" w:eastAsia="Times New Roman" w:cs="Times New Roman"/>
                <w:spacing w:val="19"/>
                <w:w w:val="101"/>
              </w:rPr>
              <w:t xml:space="preserve"> </w:t>
            </w:r>
            <w:r>
              <w:rPr>
                <w:spacing w:val="10"/>
              </w:rPr>
              <w:t>分；获</w:t>
            </w:r>
            <w:r>
              <w:rPr>
                <w:spacing w:val="13"/>
              </w:rPr>
              <w:t>得省级优质工程奖（如楚天杯）或安全文明施</w:t>
            </w:r>
            <w:r>
              <w:rPr>
                <w:spacing w:val="11"/>
              </w:rPr>
              <w:t>工现场奖的每项得</w:t>
            </w:r>
            <w:r>
              <w:rPr>
                <w:spacing w:val="-16"/>
              </w:rPr>
              <w:t xml:space="preserve"> </w:t>
            </w:r>
            <w:r>
              <w:rPr>
                <w:rFonts w:ascii="Times New Roman" w:hAnsi="Times New Roman" w:eastAsia="Times New Roman" w:cs="Times New Roman"/>
                <w:spacing w:val="11"/>
              </w:rPr>
              <w:t>3</w:t>
            </w:r>
            <w:r>
              <w:rPr>
                <w:rFonts w:ascii="Times New Roman" w:hAnsi="Times New Roman" w:eastAsia="Times New Roman" w:cs="Times New Roman"/>
                <w:spacing w:val="19"/>
              </w:rPr>
              <w:t xml:space="preserve"> </w:t>
            </w:r>
            <w:r>
              <w:rPr>
                <w:spacing w:val="11"/>
              </w:rPr>
              <w:t>分；获得地市级优质工程</w:t>
            </w:r>
            <w:r>
              <w:rPr>
                <w:spacing w:val="2"/>
              </w:rPr>
              <w:t>奖或安全文明施工现场奖的每项得</w:t>
            </w:r>
            <w:r>
              <w:rPr>
                <w:spacing w:val="-34"/>
              </w:rPr>
              <w:t xml:space="preserve"> </w:t>
            </w:r>
            <w:r>
              <w:rPr>
                <w:rFonts w:ascii="Times New Roman" w:hAnsi="Times New Roman" w:eastAsia="Times New Roman" w:cs="Times New Roman"/>
                <w:spacing w:val="2"/>
              </w:rPr>
              <w:t>2</w:t>
            </w:r>
            <w:r>
              <w:rPr>
                <w:rFonts w:ascii="Times New Roman" w:hAnsi="Times New Roman" w:eastAsia="Times New Roman" w:cs="Times New Roman"/>
                <w:spacing w:val="15"/>
              </w:rPr>
              <w:t xml:space="preserve"> </w:t>
            </w:r>
            <w:r>
              <w:rPr>
                <w:spacing w:val="2"/>
              </w:rPr>
              <w:t>分。（同一</w:t>
            </w:r>
            <w:r>
              <w:rPr>
                <w:spacing w:val="13"/>
              </w:rPr>
              <w:t>工程获得不同级别奖项的，按级别高的奖项加</w:t>
            </w:r>
            <w:r>
              <w:rPr>
                <w:spacing w:val="7"/>
              </w:rPr>
              <w:t>分且不重复计分）</w:t>
            </w:r>
          </w:p>
          <w:p w14:paraId="358CFE1E">
            <w:pPr>
              <w:pStyle w:val="6"/>
              <w:spacing w:line="245" w:lineRule="auto"/>
              <w:ind w:left="112" w:right="107" w:firstLine="1"/>
            </w:pPr>
            <w:r>
              <w:rPr>
                <w:rFonts w:ascii="Times New Roman" w:hAnsi="Times New Roman" w:eastAsia="Times New Roman" w:cs="Times New Roman"/>
                <w:spacing w:val="6"/>
              </w:rPr>
              <w:t>3</w:t>
            </w:r>
            <w:r>
              <w:rPr>
                <w:rFonts w:ascii="Times New Roman" w:hAnsi="Times New Roman" w:eastAsia="Times New Roman" w:cs="Times New Roman"/>
                <w:spacing w:val="-21"/>
              </w:rPr>
              <w:t xml:space="preserve"> </w:t>
            </w:r>
            <w:r>
              <w:rPr>
                <w:spacing w:val="6"/>
              </w:rPr>
              <w:t>．项目经理近</w:t>
            </w:r>
            <w:r>
              <w:rPr>
                <w:spacing w:val="-37"/>
              </w:rPr>
              <w:t xml:space="preserve"> </w:t>
            </w:r>
            <w:r>
              <w:rPr>
                <w:rFonts w:ascii="Times New Roman" w:hAnsi="Times New Roman" w:eastAsia="Times New Roman" w:cs="Times New Roman"/>
                <w:spacing w:val="6"/>
              </w:rPr>
              <w:t xml:space="preserve">5 </w:t>
            </w:r>
            <w:r>
              <w:rPr>
                <w:spacing w:val="6"/>
              </w:rPr>
              <w:t>年获得省级优秀项目经理（或</w:t>
            </w:r>
            <w:r>
              <w:rPr>
                <w:spacing w:val="5"/>
              </w:rPr>
              <w:t>诚信项目经理，或优秀建造师）表彰的每项得</w:t>
            </w:r>
            <w:r>
              <w:rPr>
                <w:spacing w:val="-31"/>
              </w:rPr>
              <w:t xml:space="preserve"> </w:t>
            </w:r>
            <w:r>
              <w:rPr>
                <w:rFonts w:ascii="Times New Roman" w:hAnsi="Times New Roman" w:eastAsia="Times New Roman" w:cs="Times New Roman"/>
                <w:spacing w:val="5"/>
              </w:rPr>
              <w:t>2</w:t>
            </w:r>
            <w:r>
              <w:rPr>
                <w:spacing w:val="13"/>
              </w:rPr>
              <w:t>分，获得地市级优秀项目经理（或诚信项目经</w:t>
            </w:r>
            <w:r>
              <w:rPr>
                <w:spacing w:val="1"/>
              </w:rPr>
              <w:t>理，或优秀建造师）表彰的每项得</w:t>
            </w:r>
            <w:r>
              <w:rPr>
                <w:spacing w:val="-13"/>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15"/>
              </w:rPr>
              <w:t xml:space="preserve"> </w:t>
            </w:r>
            <w:r>
              <w:rPr>
                <w:spacing w:val="1"/>
              </w:rPr>
              <w:t>分。（获得</w:t>
            </w:r>
            <w:r>
              <w:rPr>
                <w:spacing w:val="13"/>
              </w:rPr>
              <w:t>不同级别表彰的，按级别高的奖励加分且不重</w:t>
            </w:r>
            <w:r>
              <w:rPr>
                <w:spacing w:val="5"/>
              </w:rPr>
              <w:t>复计分）</w:t>
            </w:r>
          </w:p>
        </w:tc>
      </w:tr>
      <w:tr w14:paraId="50E988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1" w:hRule="atLeast"/>
        </w:trPr>
        <w:tc>
          <w:tcPr>
            <w:tcW w:w="745" w:type="dxa"/>
            <w:vMerge w:val="continue"/>
            <w:tcBorders>
              <w:top w:val="nil"/>
            </w:tcBorders>
            <w:vAlign w:val="top"/>
          </w:tcPr>
          <w:p w14:paraId="1F995F36">
            <w:pPr>
              <w:rPr>
                <w:rFonts w:ascii="Arial"/>
                <w:sz w:val="21"/>
              </w:rPr>
            </w:pPr>
          </w:p>
        </w:tc>
        <w:tc>
          <w:tcPr>
            <w:tcW w:w="1058" w:type="dxa"/>
            <w:vMerge w:val="continue"/>
            <w:tcBorders>
              <w:top w:val="nil"/>
            </w:tcBorders>
            <w:vAlign w:val="top"/>
          </w:tcPr>
          <w:p w14:paraId="3C5630D0">
            <w:pPr>
              <w:rPr>
                <w:rFonts w:ascii="Arial"/>
                <w:sz w:val="21"/>
              </w:rPr>
            </w:pPr>
          </w:p>
        </w:tc>
        <w:tc>
          <w:tcPr>
            <w:tcW w:w="2159" w:type="dxa"/>
            <w:vAlign w:val="top"/>
          </w:tcPr>
          <w:p w14:paraId="2EC4C692">
            <w:pPr>
              <w:spacing w:line="246" w:lineRule="auto"/>
              <w:rPr>
                <w:rFonts w:ascii="Arial"/>
                <w:sz w:val="21"/>
              </w:rPr>
            </w:pPr>
          </w:p>
          <w:p w14:paraId="58DC371C">
            <w:pPr>
              <w:spacing w:line="247" w:lineRule="auto"/>
              <w:rPr>
                <w:rFonts w:ascii="Arial"/>
                <w:sz w:val="21"/>
              </w:rPr>
            </w:pPr>
          </w:p>
          <w:p w14:paraId="3C40CE74">
            <w:pPr>
              <w:spacing w:line="247" w:lineRule="auto"/>
              <w:rPr>
                <w:rFonts w:ascii="Arial"/>
                <w:sz w:val="21"/>
              </w:rPr>
            </w:pPr>
          </w:p>
          <w:p w14:paraId="19307114">
            <w:pPr>
              <w:spacing w:line="247" w:lineRule="auto"/>
              <w:rPr>
                <w:rFonts w:ascii="Arial"/>
                <w:sz w:val="21"/>
              </w:rPr>
            </w:pPr>
          </w:p>
          <w:p w14:paraId="2BC57594">
            <w:pPr>
              <w:spacing w:line="247" w:lineRule="auto"/>
              <w:rPr>
                <w:rFonts w:ascii="Arial"/>
                <w:sz w:val="21"/>
              </w:rPr>
            </w:pPr>
          </w:p>
          <w:p w14:paraId="2645CACF">
            <w:pPr>
              <w:spacing w:line="247" w:lineRule="auto"/>
              <w:rPr>
                <w:rFonts w:ascii="Arial"/>
                <w:sz w:val="21"/>
              </w:rPr>
            </w:pPr>
          </w:p>
          <w:p w14:paraId="53707778">
            <w:pPr>
              <w:spacing w:line="247" w:lineRule="auto"/>
              <w:rPr>
                <w:rFonts w:ascii="Arial"/>
                <w:sz w:val="21"/>
              </w:rPr>
            </w:pPr>
          </w:p>
          <w:p w14:paraId="0E352FA7">
            <w:pPr>
              <w:pStyle w:val="6"/>
              <w:spacing w:before="65" w:line="228" w:lineRule="auto"/>
              <w:ind w:left="111"/>
            </w:pPr>
            <w:r>
              <w:rPr>
                <w:spacing w:val="5"/>
              </w:rPr>
              <w:t>近</w:t>
            </w:r>
            <w:r>
              <w:rPr>
                <w:spacing w:val="-35"/>
              </w:rPr>
              <w:t xml:space="preserve"> </w:t>
            </w:r>
            <w:r>
              <w:rPr>
                <w:rFonts w:ascii="Times New Roman" w:hAnsi="Times New Roman" w:eastAsia="Times New Roman" w:cs="Times New Roman"/>
                <w:spacing w:val="5"/>
              </w:rPr>
              <w:t xml:space="preserve">5 </w:t>
            </w:r>
            <w:r>
              <w:rPr>
                <w:spacing w:val="5"/>
              </w:rPr>
              <w:t>年工程奖项、</w:t>
            </w:r>
          </w:p>
          <w:p w14:paraId="778FAA68">
            <w:pPr>
              <w:pStyle w:val="6"/>
              <w:spacing w:before="27" w:line="251" w:lineRule="auto"/>
              <w:ind w:left="111" w:right="160" w:firstLine="4"/>
            </w:pPr>
            <w:r>
              <w:rPr>
                <w:spacing w:val="8"/>
              </w:rPr>
              <w:t>项目经理工程奖项及</w:t>
            </w:r>
            <w:r>
              <w:rPr>
                <w:spacing w:val="5"/>
              </w:rPr>
              <w:t>表彰</w:t>
            </w:r>
          </w:p>
          <w:p w14:paraId="5FC6F133">
            <w:pPr>
              <w:pStyle w:val="6"/>
              <w:spacing w:line="251" w:lineRule="auto"/>
              <w:ind w:left="111" w:right="160" w:firstLine="10"/>
            </w:pPr>
            <w:r>
              <w:rPr>
                <w:spacing w:val="7"/>
              </w:rPr>
              <w:t>（适用于建筑装饰或幕墙专业招标）</w:t>
            </w:r>
          </w:p>
        </w:tc>
        <w:tc>
          <w:tcPr>
            <w:tcW w:w="720" w:type="dxa"/>
            <w:vAlign w:val="top"/>
          </w:tcPr>
          <w:p w14:paraId="25BB1808">
            <w:pPr>
              <w:spacing w:line="252" w:lineRule="auto"/>
              <w:rPr>
                <w:rFonts w:ascii="Arial"/>
                <w:sz w:val="21"/>
              </w:rPr>
            </w:pPr>
          </w:p>
          <w:p w14:paraId="0CE8F091">
            <w:pPr>
              <w:spacing w:line="252" w:lineRule="auto"/>
              <w:rPr>
                <w:rFonts w:ascii="Arial"/>
                <w:sz w:val="21"/>
              </w:rPr>
            </w:pPr>
          </w:p>
          <w:p w14:paraId="7DA50095">
            <w:pPr>
              <w:spacing w:line="252" w:lineRule="auto"/>
              <w:rPr>
                <w:rFonts w:ascii="Arial"/>
                <w:sz w:val="21"/>
              </w:rPr>
            </w:pPr>
          </w:p>
          <w:p w14:paraId="1EA78C7F">
            <w:pPr>
              <w:spacing w:line="252" w:lineRule="auto"/>
              <w:rPr>
                <w:rFonts w:ascii="Arial"/>
                <w:sz w:val="21"/>
              </w:rPr>
            </w:pPr>
          </w:p>
          <w:p w14:paraId="7478BF8B">
            <w:pPr>
              <w:spacing w:line="252" w:lineRule="auto"/>
              <w:rPr>
                <w:rFonts w:ascii="Arial"/>
                <w:sz w:val="21"/>
              </w:rPr>
            </w:pPr>
          </w:p>
          <w:p w14:paraId="70B27557">
            <w:pPr>
              <w:spacing w:line="252" w:lineRule="auto"/>
              <w:rPr>
                <w:rFonts w:ascii="Arial"/>
                <w:sz w:val="21"/>
              </w:rPr>
            </w:pPr>
          </w:p>
          <w:p w14:paraId="6C7DBB83">
            <w:pPr>
              <w:spacing w:line="253" w:lineRule="auto"/>
              <w:rPr>
                <w:rFonts w:ascii="Arial"/>
                <w:sz w:val="21"/>
              </w:rPr>
            </w:pPr>
          </w:p>
          <w:p w14:paraId="7153E9F2">
            <w:pPr>
              <w:spacing w:line="253" w:lineRule="auto"/>
              <w:rPr>
                <w:rFonts w:ascii="Arial"/>
                <w:sz w:val="21"/>
              </w:rPr>
            </w:pPr>
          </w:p>
          <w:p w14:paraId="74373142">
            <w:pPr>
              <w:spacing w:line="253" w:lineRule="auto"/>
              <w:rPr>
                <w:rFonts w:ascii="Arial"/>
                <w:sz w:val="21"/>
              </w:rPr>
            </w:pPr>
          </w:p>
          <w:p w14:paraId="184228C4">
            <w:pPr>
              <w:pStyle w:val="6"/>
              <w:spacing w:before="65" w:line="228" w:lineRule="auto"/>
              <w:ind w:left="179"/>
            </w:pPr>
            <w:r>
              <w:rPr>
                <w:spacing w:val="-2"/>
              </w:rPr>
              <w:t>4</w:t>
            </w:r>
            <w:r>
              <w:rPr>
                <w:spacing w:val="-36"/>
              </w:rPr>
              <w:t xml:space="preserve"> </w:t>
            </w:r>
            <w:r>
              <w:rPr>
                <w:spacing w:val="-2"/>
              </w:rPr>
              <w:t>分</w:t>
            </w:r>
          </w:p>
        </w:tc>
        <w:tc>
          <w:tcPr>
            <w:tcW w:w="4502" w:type="dxa"/>
            <w:vAlign w:val="top"/>
          </w:tcPr>
          <w:p w14:paraId="6CAF7049">
            <w:pPr>
              <w:pStyle w:val="6"/>
              <w:spacing w:before="39" w:line="251" w:lineRule="auto"/>
              <w:ind w:left="112" w:right="39" w:firstLine="17"/>
            </w:pPr>
            <w:r>
              <w:rPr>
                <w:rFonts w:ascii="Times New Roman" w:hAnsi="Times New Roman" w:eastAsia="Times New Roman" w:cs="Times New Roman"/>
                <w:spacing w:val="9"/>
              </w:rPr>
              <w:t xml:space="preserve">1.  </w:t>
            </w:r>
            <w:r>
              <w:rPr>
                <w:spacing w:val="9"/>
              </w:rPr>
              <w:t>投标人完成的与招标项目同类别工程（即公</w:t>
            </w:r>
            <w:r>
              <w:rPr>
                <w:spacing w:val="7"/>
              </w:rPr>
              <w:t>共建筑装饰或建筑幕墙工程</w:t>
            </w:r>
            <w:r>
              <w:rPr>
                <w:spacing w:val="-39"/>
              </w:rPr>
              <w:t>），</w:t>
            </w:r>
            <w:r>
              <w:rPr>
                <w:spacing w:val="7"/>
              </w:rPr>
              <w:t>近</w:t>
            </w:r>
            <w:r>
              <w:rPr>
                <w:spacing w:val="-37"/>
              </w:rPr>
              <w:t xml:space="preserve"> </w:t>
            </w:r>
            <w:r>
              <w:rPr>
                <w:rFonts w:ascii="Times New Roman" w:hAnsi="Times New Roman" w:eastAsia="Times New Roman" w:cs="Times New Roman"/>
                <w:spacing w:val="7"/>
              </w:rPr>
              <w:t xml:space="preserve">5 </w:t>
            </w:r>
            <w:r>
              <w:rPr>
                <w:spacing w:val="7"/>
              </w:rPr>
              <w:t>年获得中国</w:t>
            </w:r>
            <w:r>
              <w:rPr>
                <w:spacing w:val="3"/>
              </w:rPr>
              <w:t>建筑装饰协会颁发的“中国建筑工程装饰奖（公</w:t>
            </w:r>
            <w:r>
              <w:rPr>
                <w:spacing w:val="1"/>
              </w:rPr>
              <w:t>共建筑装饰类、建筑幕墙类）”, 每项得</w:t>
            </w:r>
            <w:r>
              <w:rPr>
                <w:spacing w:val="-30"/>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17"/>
                <w:w w:val="101"/>
              </w:rPr>
              <w:t xml:space="preserve"> </w:t>
            </w:r>
            <w:r>
              <w:rPr>
                <w:spacing w:val="1"/>
              </w:rPr>
              <w:t>分；</w:t>
            </w:r>
            <w:r>
              <w:rPr>
                <w:spacing w:val="6"/>
              </w:rPr>
              <w:t>获得省级建筑装饰协会颁发的“省优质（优秀、</w:t>
            </w:r>
            <w:r>
              <w:rPr>
                <w:spacing w:val="13"/>
              </w:rPr>
              <w:t>优良）建筑装饰工程（公共建筑装饰工程、建</w:t>
            </w:r>
            <w:r>
              <w:rPr>
                <w:spacing w:val="-2"/>
              </w:rPr>
              <w:t>筑幕墙工程）”（如装饰楚天杯</w:t>
            </w:r>
            <w:r>
              <w:rPr>
                <w:spacing w:val="-26"/>
              </w:rPr>
              <w:t>），</w:t>
            </w:r>
            <w:r>
              <w:rPr>
                <w:spacing w:val="-2"/>
              </w:rPr>
              <w:t>每项得</w:t>
            </w:r>
            <w:r>
              <w:rPr>
                <w:spacing w:val="-31"/>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7"/>
              </w:rPr>
              <w:t xml:space="preserve"> </w:t>
            </w:r>
            <w:r>
              <w:rPr>
                <w:spacing w:val="-2"/>
              </w:rPr>
              <w:t>分。</w:t>
            </w:r>
            <w:r>
              <w:t xml:space="preserve"> </w:t>
            </w:r>
            <w:r>
              <w:rPr>
                <w:spacing w:val="13"/>
              </w:rPr>
              <w:t>（同一工程获得不同级别奖项的，按级别高的</w:t>
            </w:r>
            <w:r>
              <w:rPr>
                <w:spacing w:val="8"/>
              </w:rPr>
              <w:t>奖项加分且不重复计分）</w:t>
            </w:r>
          </w:p>
          <w:p w14:paraId="4AC47777">
            <w:pPr>
              <w:pStyle w:val="6"/>
              <w:spacing w:before="6" w:line="247" w:lineRule="auto"/>
              <w:ind w:left="111" w:right="39" w:hanging="2"/>
            </w:pPr>
            <w:r>
              <w:rPr>
                <w:rFonts w:ascii="Times New Roman" w:hAnsi="Times New Roman" w:eastAsia="Times New Roman" w:cs="Times New Roman"/>
                <w:spacing w:val="9"/>
              </w:rPr>
              <w:t>2.</w:t>
            </w:r>
            <w:r>
              <w:rPr>
                <w:rFonts w:ascii="Times New Roman" w:hAnsi="Times New Roman" w:eastAsia="Times New Roman" w:cs="Times New Roman"/>
                <w:spacing w:val="18"/>
                <w:w w:val="101"/>
              </w:rPr>
              <w:t xml:space="preserve">  </w:t>
            </w:r>
            <w:r>
              <w:rPr>
                <w:spacing w:val="9"/>
              </w:rPr>
              <w:t>以项目经理身份完成的同类别工程（即公共</w:t>
            </w:r>
            <w:r>
              <w:rPr>
                <w:spacing w:val="7"/>
              </w:rPr>
              <w:t>建筑装饰或建筑幕墙工程</w:t>
            </w:r>
            <w:r>
              <w:rPr>
                <w:spacing w:val="-40"/>
              </w:rPr>
              <w:t>），</w:t>
            </w:r>
            <w:r>
              <w:rPr>
                <w:spacing w:val="7"/>
              </w:rPr>
              <w:t>近</w:t>
            </w:r>
            <w:r>
              <w:rPr>
                <w:spacing w:val="-37"/>
              </w:rPr>
              <w:t xml:space="preserve"> </w:t>
            </w:r>
            <w:r>
              <w:rPr>
                <w:rFonts w:ascii="Times New Roman" w:hAnsi="Times New Roman" w:eastAsia="Times New Roman" w:cs="Times New Roman"/>
                <w:spacing w:val="7"/>
              </w:rPr>
              <w:t xml:space="preserve">5 </w:t>
            </w:r>
            <w:r>
              <w:rPr>
                <w:spacing w:val="7"/>
              </w:rPr>
              <w:t>年获得中国建</w:t>
            </w:r>
            <w:r>
              <w:rPr>
                <w:spacing w:val="12"/>
              </w:rPr>
              <w:t>筑装饰协会颁发的“</w:t>
            </w:r>
            <w:r>
              <w:rPr>
                <w:spacing w:val="-67"/>
              </w:rPr>
              <w:t xml:space="preserve"> </w:t>
            </w:r>
            <w:r>
              <w:rPr>
                <w:spacing w:val="12"/>
              </w:rPr>
              <w:t>中国建筑工程装饰奖（公</w:t>
            </w:r>
            <w:r>
              <w:rPr>
                <w:spacing w:val="1"/>
              </w:rPr>
              <w:t>共建筑装饰类、建筑幕墙类）”, 每项得</w:t>
            </w:r>
            <w:r>
              <w:rPr>
                <w:spacing w:val="-30"/>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17"/>
                <w:w w:val="101"/>
              </w:rPr>
              <w:t xml:space="preserve"> </w:t>
            </w:r>
            <w:r>
              <w:rPr>
                <w:spacing w:val="1"/>
              </w:rPr>
              <w:t>分；</w:t>
            </w:r>
            <w:r>
              <w:rPr>
                <w:spacing w:val="6"/>
              </w:rPr>
              <w:t>获得省级建筑装饰协会颁发的“省优质（优秀、</w:t>
            </w:r>
            <w:r>
              <w:rPr>
                <w:spacing w:val="13"/>
              </w:rPr>
              <w:t>优良）建筑装饰工程（公共建筑装饰工程、建</w:t>
            </w:r>
            <w:r>
              <w:rPr>
                <w:spacing w:val="-2"/>
              </w:rPr>
              <w:t>筑幕墙工程）”（如装饰楚天杯</w:t>
            </w:r>
            <w:r>
              <w:rPr>
                <w:spacing w:val="-26"/>
              </w:rPr>
              <w:t>），</w:t>
            </w:r>
            <w:r>
              <w:rPr>
                <w:spacing w:val="-2"/>
              </w:rPr>
              <w:t>每项得</w:t>
            </w:r>
            <w:r>
              <w:rPr>
                <w:spacing w:val="-31"/>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7"/>
              </w:rPr>
              <w:t xml:space="preserve"> </w:t>
            </w:r>
            <w:r>
              <w:rPr>
                <w:spacing w:val="-2"/>
              </w:rPr>
              <w:t>分。</w:t>
            </w:r>
            <w:r>
              <w:t xml:space="preserve"> </w:t>
            </w:r>
            <w:r>
              <w:rPr>
                <w:spacing w:val="13"/>
              </w:rPr>
              <w:t>（同一工程获得不同级别奖项的，按级别高的</w:t>
            </w:r>
            <w:r>
              <w:rPr>
                <w:spacing w:val="8"/>
              </w:rPr>
              <w:t>奖项加分且不重复计分）</w:t>
            </w:r>
          </w:p>
        </w:tc>
      </w:tr>
    </w:tbl>
    <w:p w14:paraId="300BBF27">
      <w:pPr>
        <w:rPr>
          <w:rFonts w:ascii="Arial"/>
          <w:sz w:val="21"/>
        </w:rPr>
      </w:pPr>
    </w:p>
    <w:p w14:paraId="4722E151">
      <w:pPr>
        <w:rPr>
          <w:rFonts w:ascii="Arial" w:hAnsi="Arial" w:eastAsia="Arial" w:cs="Arial"/>
          <w:sz w:val="21"/>
          <w:szCs w:val="21"/>
        </w:rPr>
        <w:sectPr>
          <w:footerReference r:id="rId67" w:type="default"/>
          <w:pgSz w:w="11907" w:h="16840"/>
          <w:pgMar w:top="400" w:right="1248" w:bottom="1035" w:left="1469" w:header="0" w:footer="785" w:gutter="0"/>
          <w:cols w:space="720" w:num="1"/>
        </w:sectPr>
      </w:pPr>
    </w:p>
    <w:p w14:paraId="4593F31C">
      <w:pPr>
        <w:spacing w:line="252" w:lineRule="auto"/>
        <w:rPr>
          <w:rFonts w:ascii="Arial"/>
          <w:sz w:val="21"/>
        </w:rPr>
      </w:pPr>
    </w:p>
    <w:p w14:paraId="53BE81C3">
      <w:pPr>
        <w:spacing w:line="252" w:lineRule="auto"/>
        <w:rPr>
          <w:rFonts w:ascii="Arial"/>
          <w:sz w:val="21"/>
        </w:rPr>
      </w:pPr>
    </w:p>
    <w:p w14:paraId="0A5EB8E5">
      <w:pPr>
        <w:spacing w:line="252" w:lineRule="auto"/>
        <w:rPr>
          <w:rFonts w:ascii="Arial"/>
          <w:sz w:val="21"/>
        </w:rPr>
      </w:pPr>
    </w:p>
    <w:p w14:paraId="15D27F2A">
      <w:pPr>
        <w:spacing w:line="252" w:lineRule="auto"/>
        <w:rPr>
          <w:rFonts w:ascii="Arial"/>
          <w:sz w:val="21"/>
        </w:rPr>
      </w:pPr>
    </w:p>
    <w:p w14:paraId="1FCCAF0A">
      <w:pPr>
        <w:spacing w:line="252" w:lineRule="auto"/>
        <w:rPr>
          <w:rFonts w:ascii="Arial"/>
          <w:sz w:val="21"/>
        </w:rPr>
      </w:pPr>
    </w:p>
    <w:p w14:paraId="1278EB91">
      <w:pPr>
        <w:spacing w:before="65" w:line="251" w:lineRule="auto"/>
        <w:ind w:left="627" w:hanging="628"/>
        <w:rPr>
          <w:rFonts w:ascii="宋体" w:hAnsi="宋体" w:eastAsia="宋体" w:cs="宋体"/>
          <w:sz w:val="20"/>
          <w:szCs w:val="20"/>
        </w:rPr>
      </w:pPr>
      <w:r>
        <w:rPr>
          <w:rFonts w:ascii="宋体" w:hAnsi="宋体" w:eastAsia="宋体" w:cs="宋体"/>
          <w:spacing w:val="1"/>
          <w:sz w:val="20"/>
          <w:szCs w:val="20"/>
        </w:rPr>
        <w:t>备注：</w:t>
      </w:r>
      <w:r>
        <w:rPr>
          <w:rFonts w:ascii="宋体" w:hAnsi="宋体" w:eastAsia="宋体" w:cs="宋体"/>
          <w:spacing w:val="-29"/>
          <w:sz w:val="20"/>
          <w:szCs w:val="20"/>
        </w:rPr>
        <w:t xml:space="preserve"> </w:t>
      </w:r>
      <w:r>
        <w:rPr>
          <w:rFonts w:ascii="宋体" w:hAnsi="宋体" w:eastAsia="宋体" w:cs="宋体"/>
          <w:spacing w:val="1"/>
          <w:sz w:val="20"/>
          <w:szCs w:val="20"/>
        </w:rPr>
        <w:t>根据《关于建立部分专业技术类职业资格与职称对应关系的通知（鄂人社发〔</w:t>
      </w:r>
      <w:r>
        <w:rPr>
          <w:rFonts w:ascii="Times New Roman" w:hAnsi="Times New Roman" w:eastAsia="Times New Roman" w:cs="Times New Roman"/>
          <w:spacing w:val="1"/>
          <w:sz w:val="20"/>
          <w:szCs w:val="20"/>
        </w:rPr>
        <w:t>2018</w:t>
      </w:r>
      <w:r>
        <w:rPr>
          <w:rFonts w:ascii="宋体" w:hAnsi="宋体" w:eastAsia="宋体" w:cs="宋体"/>
          <w:spacing w:val="1"/>
          <w:sz w:val="20"/>
          <w:szCs w:val="20"/>
        </w:rPr>
        <w:t>〕</w:t>
      </w:r>
      <w:r>
        <w:rPr>
          <w:rFonts w:ascii="Times New Roman" w:hAnsi="Times New Roman" w:eastAsia="Times New Roman" w:cs="Times New Roman"/>
          <w:spacing w:val="1"/>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1"/>
          <w:sz w:val="20"/>
          <w:szCs w:val="20"/>
        </w:rPr>
        <w:t>号）》</w:t>
      </w:r>
      <w:r>
        <w:rPr>
          <w:rFonts w:ascii="宋体" w:hAnsi="宋体" w:eastAsia="宋体" w:cs="宋体"/>
          <w:sz w:val="20"/>
          <w:szCs w:val="20"/>
        </w:rPr>
        <w:t xml:space="preserve"> </w:t>
      </w:r>
      <w:r>
        <w:rPr>
          <w:rFonts w:ascii="宋体" w:hAnsi="宋体" w:eastAsia="宋体" w:cs="宋体"/>
          <w:spacing w:val="9"/>
          <w:sz w:val="20"/>
          <w:szCs w:val="20"/>
        </w:rPr>
        <w:t>《住房城乡建设部 交通运输部 水利部 人力资源社会保障部关于</w:t>
      </w:r>
      <w:r>
        <w:rPr>
          <w:rFonts w:ascii="宋体" w:hAnsi="宋体" w:eastAsia="宋体" w:cs="宋体"/>
          <w:spacing w:val="8"/>
          <w:sz w:val="20"/>
          <w:szCs w:val="20"/>
        </w:rPr>
        <w:t>印发〈造价工程师职业资</w:t>
      </w:r>
      <w:r>
        <w:rPr>
          <w:rFonts w:ascii="宋体" w:hAnsi="宋体" w:eastAsia="宋体" w:cs="宋体"/>
          <w:spacing w:val="2"/>
          <w:sz w:val="20"/>
          <w:szCs w:val="20"/>
        </w:rPr>
        <w:t>格制度规定〉〈造价工程师职业资格考试实施办法〉的通知（建人〔</w:t>
      </w:r>
      <w:r>
        <w:rPr>
          <w:rFonts w:ascii="Times New Roman" w:hAnsi="Times New Roman" w:eastAsia="Times New Roman" w:cs="Times New Roman"/>
          <w:spacing w:val="2"/>
          <w:sz w:val="20"/>
          <w:szCs w:val="20"/>
        </w:rPr>
        <w:t>2018</w:t>
      </w:r>
      <w:r>
        <w:rPr>
          <w:rFonts w:ascii="宋体" w:hAnsi="宋体" w:eastAsia="宋体" w:cs="宋体"/>
          <w:spacing w:val="2"/>
          <w:sz w:val="20"/>
          <w:szCs w:val="20"/>
        </w:rPr>
        <w:t>〕</w:t>
      </w:r>
      <w:r>
        <w:rPr>
          <w:rFonts w:ascii="Times New Roman" w:hAnsi="Times New Roman" w:eastAsia="Times New Roman" w:cs="Times New Roman"/>
          <w:spacing w:val="2"/>
          <w:sz w:val="20"/>
          <w:szCs w:val="20"/>
        </w:rPr>
        <w:t>67</w:t>
      </w:r>
      <w:r>
        <w:rPr>
          <w:rFonts w:ascii="Times New Roman" w:hAnsi="Times New Roman" w:eastAsia="Times New Roman" w:cs="Times New Roman"/>
          <w:spacing w:val="16"/>
          <w:sz w:val="20"/>
          <w:szCs w:val="20"/>
        </w:rPr>
        <w:t xml:space="preserve"> </w:t>
      </w:r>
      <w:r>
        <w:rPr>
          <w:rFonts w:ascii="宋体" w:hAnsi="宋体" w:eastAsia="宋体" w:cs="宋体"/>
          <w:spacing w:val="2"/>
          <w:sz w:val="20"/>
          <w:szCs w:val="20"/>
        </w:rPr>
        <w:t>号）》等文件，</w:t>
      </w:r>
      <w:r>
        <w:rPr>
          <w:rFonts w:ascii="宋体" w:hAnsi="宋体" w:eastAsia="宋体" w:cs="宋体"/>
          <w:spacing w:val="12"/>
          <w:sz w:val="20"/>
          <w:szCs w:val="20"/>
        </w:rPr>
        <w:t>一级造价工程师、一级注册建筑师、一级建造师、一级注册结构工</w:t>
      </w:r>
      <w:r>
        <w:rPr>
          <w:rFonts w:ascii="宋体" w:hAnsi="宋体" w:eastAsia="宋体" w:cs="宋体"/>
          <w:spacing w:val="11"/>
          <w:sz w:val="20"/>
          <w:szCs w:val="20"/>
        </w:rPr>
        <w:t>程师、其他勘察设计注</w:t>
      </w:r>
      <w:r>
        <w:rPr>
          <w:rFonts w:ascii="宋体" w:hAnsi="宋体" w:eastAsia="宋体" w:cs="宋体"/>
          <w:spacing w:val="12"/>
          <w:sz w:val="20"/>
          <w:szCs w:val="20"/>
        </w:rPr>
        <w:t>册工程师等，其职业资格直接对应相应系列的中级职称。二级造价工程师</w:t>
      </w:r>
      <w:r>
        <w:rPr>
          <w:rFonts w:ascii="宋体" w:hAnsi="宋体" w:eastAsia="宋体" w:cs="宋体"/>
          <w:spacing w:val="11"/>
          <w:sz w:val="20"/>
          <w:szCs w:val="20"/>
        </w:rPr>
        <w:t>、二级注册建筑</w:t>
      </w:r>
    </w:p>
    <w:p w14:paraId="5D781A98">
      <w:pPr>
        <w:spacing w:line="227" w:lineRule="auto"/>
        <w:ind w:left="632"/>
        <w:outlineLvl w:val="1"/>
        <w:rPr>
          <w:rFonts w:ascii="宋体" w:hAnsi="宋体" w:eastAsia="宋体" w:cs="宋体"/>
          <w:sz w:val="20"/>
          <w:szCs w:val="20"/>
        </w:rPr>
      </w:pPr>
      <w:r>
        <w:rPr>
          <w:rFonts w:ascii="宋体" w:hAnsi="宋体" w:eastAsia="宋体" w:cs="宋体"/>
          <w:spacing w:val="9"/>
          <w:sz w:val="20"/>
          <w:szCs w:val="20"/>
        </w:rPr>
        <w:t>师、二级建造师、二级注册结构工程师等，其职业资格直接对应相应系列的初级职称。</w:t>
      </w:r>
    </w:p>
    <w:p w14:paraId="24960D68">
      <w:pPr>
        <w:spacing w:line="227" w:lineRule="auto"/>
        <w:rPr>
          <w:rFonts w:ascii="宋体" w:hAnsi="宋体" w:eastAsia="宋体" w:cs="宋体"/>
          <w:sz w:val="20"/>
          <w:szCs w:val="20"/>
        </w:rPr>
        <w:sectPr>
          <w:footerReference r:id="rId68" w:type="default"/>
          <w:pgSz w:w="11907" w:h="16840"/>
          <w:pgMar w:top="400" w:right="1438" w:bottom="1035" w:left="1484" w:header="0" w:footer="785" w:gutter="0"/>
          <w:cols w:space="720" w:num="1"/>
        </w:sectPr>
      </w:pPr>
    </w:p>
    <w:p w14:paraId="5F67E22C">
      <w:pPr>
        <w:spacing w:line="276" w:lineRule="auto"/>
        <w:rPr>
          <w:rFonts w:ascii="Arial"/>
          <w:sz w:val="21"/>
        </w:rPr>
      </w:pPr>
    </w:p>
    <w:p w14:paraId="61C1C239">
      <w:pPr>
        <w:spacing w:line="276" w:lineRule="auto"/>
        <w:rPr>
          <w:rFonts w:ascii="Arial"/>
          <w:sz w:val="21"/>
        </w:rPr>
      </w:pPr>
    </w:p>
    <w:p w14:paraId="5BC3DF71">
      <w:pPr>
        <w:spacing w:line="276" w:lineRule="auto"/>
        <w:rPr>
          <w:rFonts w:ascii="Arial"/>
          <w:sz w:val="21"/>
        </w:rPr>
      </w:pPr>
    </w:p>
    <w:p w14:paraId="029D666E">
      <w:pPr>
        <w:spacing w:line="276" w:lineRule="auto"/>
        <w:rPr>
          <w:rFonts w:ascii="Arial"/>
          <w:sz w:val="21"/>
        </w:rPr>
      </w:pPr>
    </w:p>
    <w:p w14:paraId="7EBEE97F">
      <w:pPr>
        <w:spacing w:line="276" w:lineRule="auto"/>
        <w:rPr>
          <w:rFonts w:ascii="Arial"/>
          <w:sz w:val="21"/>
        </w:rPr>
      </w:pPr>
    </w:p>
    <w:p w14:paraId="3842A3B7">
      <w:pPr>
        <w:pStyle w:val="2"/>
        <w:spacing w:before="91" w:line="222" w:lineRule="auto"/>
        <w:ind w:left="14"/>
        <w:outlineLvl w:val="1"/>
        <w:rPr>
          <w:sz w:val="28"/>
          <w:szCs w:val="28"/>
        </w:rPr>
      </w:pPr>
      <w:bookmarkStart w:id="99" w:name="bookmark90"/>
      <w:bookmarkEnd w:id="99"/>
      <w:r>
        <w:rPr>
          <w:spacing w:val="1"/>
          <w:sz w:val="28"/>
          <w:szCs w:val="28"/>
        </w:rPr>
        <w:t>评标办法前附表（办法二</w:t>
      </w:r>
      <w:r>
        <w:rPr>
          <w:spacing w:val="-55"/>
          <w:w w:val="89"/>
          <w:sz w:val="28"/>
          <w:szCs w:val="28"/>
        </w:rPr>
        <w:t>）（</w:t>
      </w:r>
      <w:r>
        <w:rPr>
          <w:spacing w:val="1"/>
          <w:sz w:val="28"/>
          <w:szCs w:val="28"/>
        </w:rPr>
        <w:t>综合评估法）</w:t>
      </w:r>
    </w:p>
    <w:p w14:paraId="5B7D853E">
      <w:pPr>
        <w:spacing w:before="105"/>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49EAF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03" w:type="dxa"/>
            <w:gridSpan w:val="2"/>
            <w:vAlign w:val="top"/>
          </w:tcPr>
          <w:p w14:paraId="14BE266D">
            <w:pPr>
              <w:pStyle w:val="6"/>
              <w:spacing w:before="124" w:line="228" w:lineRule="auto"/>
              <w:ind w:left="592"/>
            </w:pPr>
            <w:r>
              <w:rPr>
                <w:b/>
                <w:bCs/>
                <w:spacing w:val="5"/>
              </w:rPr>
              <w:t>条款号</w:t>
            </w:r>
          </w:p>
        </w:tc>
        <w:tc>
          <w:tcPr>
            <w:tcW w:w="2339" w:type="dxa"/>
            <w:vAlign w:val="top"/>
          </w:tcPr>
          <w:p w14:paraId="4ED0C213">
            <w:pPr>
              <w:pStyle w:val="6"/>
              <w:spacing w:before="124" w:line="228" w:lineRule="auto"/>
              <w:ind w:left="752"/>
            </w:pPr>
            <w:r>
              <w:rPr>
                <w:b/>
                <w:bCs/>
                <w:spacing w:val="6"/>
              </w:rPr>
              <w:t>评审因素</w:t>
            </w:r>
          </w:p>
        </w:tc>
        <w:tc>
          <w:tcPr>
            <w:tcW w:w="5042" w:type="dxa"/>
            <w:vAlign w:val="top"/>
          </w:tcPr>
          <w:p w14:paraId="195BE4F0">
            <w:pPr>
              <w:pStyle w:val="6"/>
              <w:spacing w:before="125" w:line="228" w:lineRule="auto"/>
              <w:ind w:left="2102"/>
            </w:pPr>
            <w:r>
              <w:rPr>
                <w:b/>
                <w:bCs/>
                <w:spacing w:val="6"/>
              </w:rPr>
              <w:t>评审标准</w:t>
            </w:r>
          </w:p>
        </w:tc>
      </w:tr>
      <w:tr w14:paraId="2AFC37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788CC0F3">
            <w:pPr>
              <w:spacing w:line="258" w:lineRule="auto"/>
              <w:rPr>
                <w:rFonts w:ascii="Arial"/>
                <w:sz w:val="21"/>
              </w:rPr>
            </w:pPr>
          </w:p>
          <w:p w14:paraId="6CA2EF07">
            <w:pPr>
              <w:spacing w:line="259" w:lineRule="auto"/>
              <w:rPr>
                <w:rFonts w:ascii="Arial"/>
                <w:sz w:val="21"/>
              </w:rPr>
            </w:pPr>
          </w:p>
          <w:p w14:paraId="36699198">
            <w:pPr>
              <w:spacing w:line="259" w:lineRule="auto"/>
              <w:rPr>
                <w:rFonts w:ascii="Arial"/>
                <w:sz w:val="21"/>
              </w:rPr>
            </w:pPr>
          </w:p>
          <w:p w14:paraId="4600434E">
            <w:pPr>
              <w:spacing w:line="259" w:lineRule="auto"/>
              <w:rPr>
                <w:rFonts w:ascii="Arial"/>
                <w:sz w:val="21"/>
              </w:rPr>
            </w:pPr>
          </w:p>
          <w:p w14:paraId="008C6B7D">
            <w:pPr>
              <w:spacing w:line="259" w:lineRule="auto"/>
              <w:rPr>
                <w:rFonts w:ascii="Arial"/>
                <w:sz w:val="21"/>
              </w:rPr>
            </w:pPr>
          </w:p>
          <w:p w14:paraId="6EC38D86">
            <w:pPr>
              <w:spacing w:line="259" w:lineRule="auto"/>
              <w:rPr>
                <w:rFonts w:ascii="Arial"/>
                <w:sz w:val="21"/>
              </w:rPr>
            </w:pPr>
          </w:p>
          <w:p w14:paraId="132F7FC0">
            <w:pPr>
              <w:spacing w:line="259" w:lineRule="auto"/>
              <w:rPr>
                <w:rFonts w:ascii="Arial"/>
                <w:sz w:val="21"/>
              </w:rPr>
            </w:pPr>
          </w:p>
          <w:p w14:paraId="4D230794">
            <w:pPr>
              <w:spacing w:line="259" w:lineRule="auto"/>
              <w:rPr>
                <w:rFonts w:ascii="Arial"/>
                <w:sz w:val="21"/>
              </w:rPr>
            </w:pPr>
          </w:p>
          <w:p w14:paraId="710A8BE9">
            <w:pPr>
              <w:spacing w:line="259" w:lineRule="auto"/>
              <w:rPr>
                <w:rFonts w:ascii="Arial"/>
                <w:sz w:val="21"/>
              </w:rPr>
            </w:pPr>
          </w:p>
          <w:p w14:paraId="514E1E1F">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4A1DD923">
            <w:pPr>
              <w:spacing w:line="244" w:lineRule="auto"/>
              <w:rPr>
                <w:rFonts w:ascii="Arial"/>
                <w:sz w:val="21"/>
              </w:rPr>
            </w:pPr>
          </w:p>
          <w:p w14:paraId="338BEAE3">
            <w:pPr>
              <w:spacing w:line="245" w:lineRule="auto"/>
              <w:rPr>
                <w:rFonts w:ascii="Arial"/>
                <w:sz w:val="21"/>
              </w:rPr>
            </w:pPr>
          </w:p>
          <w:p w14:paraId="22108EE6">
            <w:pPr>
              <w:spacing w:line="245" w:lineRule="auto"/>
              <w:rPr>
                <w:rFonts w:ascii="Arial"/>
                <w:sz w:val="21"/>
              </w:rPr>
            </w:pPr>
          </w:p>
          <w:p w14:paraId="3557F811">
            <w:pPr>
              <w:spacing w:line="245" w:lineRule="auto"/>
              <w:rPr>
                <w:rFonts w:ascii="Arial"/>
                <w:sz w:val="21"/>
              </w:rPr>
            </w:pPr>
          </w:p>
          <w:p w14:paraId="75299B80">
            <w:pPr>
              <w:spacing w:line="245" w:lineRule="auto"/>
              <w:rPr>
                <w:rFonts w:ascii="Arial"/>
                <w:sz w:val="21"/>
              </w:rPr>
            </w:pPr>
          </w:p>
          <w:p w14:paraId="499B1799">
            <w:pPr>
              <w:spacing w:line="245" w:lineRule="auto"/>
              <w:rPr>
                <w:rFonts w:ascii="Arial"/>
                <w:sz w:val="21"/>
              </w:rPr>
            </w:pPr>
          </w:p>
          <w:p w14:paraId="29404FD5">
            <w:pPr>
              <w:spacing w:line="245" w:lineRule="auto"/>
              <w:rPr>
                <w:rFonts w:ascii="Arial"/>
                <w:sz w:val="21"/>
              </w:rPr>
            </w:pPr>
          </w:p>
          <w:p w14:paraId="4F727094">
            <w:pPr>
              <w:spacing w:line="245" w:lineRule="auto"/>
              <w:rPr>
                <w:rFonts w:ascii="Arial"/>
                <w:sz w:val="21"/>
              </w:rPr>
            </w:pPr>
          </w:p>
          <w:p w14:paraId="7EA5B794">
            <w:pPr>
              <w:pStyle w:val="6"/>
              <w:spacing w:before="65" w:line="252" w:lineRule="auto"/>
              <w:ind w:left="322" w:right="320" w:firstLine="3"/>
              <w:jc w:val="both"/>
            </w:pPr>
            <w:r>
              <w:rPr>
                <w:spacing w:val="3"/>
              </w:rPr>
              <w:t>形式</w:t>
            </w:r>
            <w:r>
              <w:rPr>
                <w:spacing w:val="5"/>
              </w:rPr>
              <w:t>评审标准</w:t>
            </w:r>
          </w:p>
        </w:tc>
        <w:tc>
          <w:tcPr>
            <w:tcW w:w="2339" w:type="dxa"/>
            <w:vAlign w:val="top"/>
          </w:tcPr>
          <w:p w14:paraId="7B5BA731">
            <w:pPr>
              <w:pStyle w:val="6"/>
              <w:spacing w:before="122" w:line="228" w:lineRule="auto"/>
              <w:ind w:left="115"/>
            </w:pPr>
            <w:r>
              <w:rPr>
                <w:spacing w:val="6"/>
              </w:rPr>
              <w:t>投标文件</w:t>
            </w:r>
          </w:p>
        </w:tc>
        <w:tc>
          <w:tcPr>
            <w:tcW w:w="5042" w:type="dxa"/>
            <w:vAlign w:val="top"/>
          </w:tcPr>
          <w:p w14:paraId="1E5C0F5F">
            <w:pPr>
              <w:pStyle w:val="6"/>
              <w:spacing w:before="122" w:line="228" w:lineRule="auto"/>
              <w:ind w:left="116"/>
            </w:pPr>
            <w:r>
              <w:rPr>
                <w:spacing w:val="8"/>
              </w:rPr>
              <w:t>投标文件能正常打开</w:t>
            </w:r>
          </w:p>
        </w:tc>
      </w:tr>
      <w:tr w14:paraId="71FF6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1283D6F">
            <w:pPr>
              <w:rPr>
                <w:rFonts w:ascii="Arial"/>
                <w:sz w:val="21"/>
              </w:rPr>
            </w:pPr>
          </w:p>
        </w:tc>
        <w:tc>
          <w:tcPr>
            <w:tcW w:w="1058" w:type="dxa"/>
            <w:vMerge w:val="continue"/>
            <w:tcBorders>
              <w:top w:val="nil"/>
              <w:bottom w:val="nil"/>
            </w:tcBorders>
            <w:vAlign w:val="top"/>
          </w:tcPr>
          <w:p w14:paraId="635F03F4">
            <w:pPr>
              <w:rPr>
                <w:rFonts w:ascii="Arial"/>
                <w:sz w:val="21"/>
              </w:rPr>
            </w:pPr>
          </w:p>
        </w:tc>
        <w:tc>
          <w:tcPr>
            <w:tcW w:w="2339" w:type="dxa"/>
            <w:vAlign w:val="top"/>
          </w:tcPr>
          <w:p w14:paraId="698E5E72">
            <w:pPr>
              <w:pStyle w:val="6"/>
              <w:spacing w:before="122" w:line="228" w:lineRule="auto"/>
              <w:ind w:left="115"/>
            </w:pPr>
            <w:r>
              <w:rPr>
                <w:spacing w:val="7"/>
              </w:rPr>
              <w:t>投标人名称</w:t>
            </w:r>
          </w:p>
        </w:tc>
        <w:tc>
          <w:tcPr>
            <w:tcW w:w="5042" w:type="dxa"/>
            <w:vAlign w:val="top"/>
          </w:tcPr>
          <w:p w14:paraId="463B3CA1">
            <w:pPr>
              <w:pStyle w:val="6"/>
              <w:spacing w:before="121" w:line="227" w:lineRule="auto"/>
              <w:ind w:left="117"/>
            </w:pPr>
            <w:r>
              <w:rPr>
                <w:spacing w:val="9"/>
              </w:rPr>
              <w:t>与营业执照、资质证书、安全生产许可证一致</w:t>
            </w:r>
          </w:p>
        </w:tc>
      </w:tr>
      <w:tr w14:paraId="09DACA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45" w:type="dxa"/>
            <w:vMerge w:val="continue"/>
            <w:tcBorders>
              <w:top w:val="nil"/>
              <w:bottom w:val="nil"/>
            </w:tcBorders>
            <w:vAlign w:val="top"/>
          </w:tcPr>
          <w:p w14:paraId="5D8ABF87">
            <w:pPr>
              <w:rPr>
                <w:rFonts w:ascii="Arial"/>
                <w:sz w:val="21"/>
              </w:rPr>
            </w:pPr>
          </w:p>
        </w:tc>
        <w:tc>
          <w:tcPr>
            <w:tcW w:w="1058" w:type="dxa"/>
            <w:vMerge w:val="continue"/>
            <w:tcBorders>
              <w:top w:val="nil"/>
              <w:bottom w:val="nil"/>
            </w:tcBorders>
            <w:vAlign w:val="top"/>
          </w:tcPr>
          <w:p w14:paraId="50A42F76">
            <w:pPr>
              <w:rPr>
                <w:rFonts w:ascii="Arial"/>
                <w:sz w:val="21"/>
              </w:rPr>
            </w:pPr>
          </w:p>
        </w:tc>
        <w:tc>
          <w:tcPr>
            <w:tcW w:w="2339" w:type="dxa"/>
            <w:vAlign w:val="top"/>
          </w:tcPr>
          <w:p w14:paraId="6D207D44">
            <w:pPr>
              <w:pStyle w:val="6"/>
              <w:spacing w:before="130" w:line="227" w:lineRule="auto"/>
              <w:ind w:left="115"/>
            </w:pPr>
            <w:r>
              <w:rPr>
                <w:spacing w:val="8"/>
              </w:rPr>
              <w:t>投标文件签字盖章</w:t>
            </w:r>
          </w:p>
        </w:tc>
        <w:tc>
          <w:tcPr>
            <w:tcW w:w="5042" w:type="dxa"/>
            <w:vAlign w:val="top"/>
          </w:tcPr>
          <w:p w14:paraId="3EF5B82A">
            <w:pPr>
              <w:pStyle w:val="6"/>
              <w:spacing w:before="130"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2F3F2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58DB3B0E">
            <w:pPr>
              <w:rPr>
                <w:rFonts w:ascii="Arial"/>
                <w:sz w:val="21"/>
              </w:rPr>
            </w:pPr>
          </w:p>
        </w:tc>
        <w:tc>
          <w:tcPr>
            <w:tcW w:w="1058" w:type="dxa"/>
            <w:vMerge w:val="continue"/>
            <w:tcBorders>
              <w:top w:val="nil"/>
              <w:bottom w:val="nil"/>
            </w:tcBorders>
            <w:vAlign w:val="top"/>
          </w:tcPr>
          <w:p w14:paraId="5FF3CBF0">
            <w:pPr>
              <w:rPr>
                <w:rFonts w:ascii="Arial"/>
                <w:sz w:val="21"/>
              </w:rPr>
            </w:pPr>
          </w:p>
        </w:tc>
        <w:tc>
          <w:tcPr>
            <w:tcW w:w="2339" w:type="dxa"/>
            <w:vAlign w:val="top"/>
          </w:tcPr>
          <w:p w14:paraId="25853DE4">
            <w:pPr>
              <w:pStyle w:val="6"/>
              <w:spacing w:before="167" w:line="228" w:lineRule="auto"/>
              <w:ind w:left="115"/>
            </w:pPr>
            <w:r>
              <w:rPr>
                <w:spacing w:val="8"/>
              </w:rPr>
              <w:t>投标文件格式、内容</w:t>
            </w:r>
          </w:p>
        </w:tc>
        <w:tc>
          <w:tcPr>
            <w:tcW w:w="5042" w:type="dxa"/>
            <w:vAlign w:val="top"/>
          </w:tcPr>
          <w:p w14:paraId="46C04F86">
            <w:pPr>
              <w:pStyle w:val="6"/>
              <w:spacing w:before="32" w:line="234"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343A5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CEC7877">
            <w:pPr>
              <w:rPr>
                <w:rFonts w:ascii="Arial"/>
                <w:sz w:val="21"/>
              </w:rPr>
            </w:pPr>
          </w:p>
        </w:tc>
        <w:tc>
          <w:tcPr>
            <w:tcW w:w="1058" w:type="dxa"/>
            <w:vMerge w:val="continue"/>
            <w:tcBorders>
              <w:top w:val="nil"/>
              <w:bottom w:val="nil"/>
            </w:tcBorders>
            <w:vAlign w:val="top"/>
          </w:tcPr>
          <w:p w14:paraId="7DBD8B9F">
            <w:pPr>
              <w:rPr>
                <w:rFonts w:ascii="Arial"/>
                <w:sz w:val="21"/>
              </w:rPr>
            </w:pPr>
          </w:p>
        </w:tc>
        <w:tc>
          <w:tcPr>
            <w:tcW w:w="2339" w:type="dxa"/>
            <w:vAlign w:val="top"/>
          </w:tcPr>
          <w:p w14:paraId="5CA17247">
            <w:pPr>
              <w:pStyle w:val="6"/>
              <w:spacing w:before="123" w:line="228" w:lineRule="auto"/>
              <w:ind w:left="113"/>
            </w:pPr>
            <w:r>
              <w:rPr>
                <w:spacing w:val="7"/>
              </w:rPr>
              <w:t>联合体投标人（如有）</w:t>
            </w:r>
          </w:p>
        </w:tc>
        <w:tc>
          <w:tcPr>
            <w:tcW w:w="5042" w:type="dxa"/>
            <w:vAlign w:val="top"/>
          </w:tcPr>
          <w:p w14:paraId="1A8D88B6">
            <w:pPr>
              <w:pStyle w:val="6"/>
              <w:spacing w:before="122" w:line="227" w:lineRule="auto"/>
              <w:ind w:left="114"/>
            </w:pPr>
            <w:r>
              <w:rPr>
                <w:spacing w:val="9"/>
              </w:rPr>
              <w:t>提交联合体协议书，并明确联合体牵头人</w:t>
            </w:r>
          </w:p>
        </w:tc>
      </w:tr>
      <w:tr w14:paraId="644D13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32A34200">
            <w:pPr>
              <w:rPr>
                <w:rFonts w:ascii="Arial"/>
                <w:sz w:val="21"/>
              </w:rPr>
            </w:pPr>
          </w:p>
        </w:tc>
        <w:tc>
          <w:tcPr>
            <w:tcW w:w="1058" w:type="dxa"/>
            <w:vMerge w:val="continue"/>
            <w:tcBorders>
              <w:top w:val="nil"/>
              <w:bottom w:val="nil"/>
            </w:tcBorders>
            <w:vAlign w:val="top"/>
          </w:tcPr>
          <w:p w14:paraId="6BD77DE6">
            <w:pPr>
              <w:rPr>
                <w:rFonts w:ascii="Arial"/>
                <w:sz w:val="21"/>
              </w:rPr>
            </w:pPr>
          </w:p>
        </w:tc>
        <w:tc>
          <w:tcPr>
            <w:tcW w:w="2339" w:type="dxa"/>
            <w:vAlign w:val="top"/>
          </w:tcPr>
          <w:p w14:paraId="43E80FD9">
            <w:pPr>
              <w:pStyle w:val="6"/>
              <w:spacing w:before="168" w:line="226" w:lineRule="auto"/>
              <w:ind w:left="110"/>
            </w:pPr>
            <w:r>
              <w:rPr>
                <w:spacing w:val="8"/>
              </w:rPr>
              <w:t>报价唯一</w:t>
            </w:r>
          </w:p>
        </w:tc>
        <w:tc>
          <w:tcPr>
            <w:tcW w:w="5042" w:type="dxa"/>
            <w:vAlign w:val="top"/>
          </w:tcPr>
          <w:p w14:paraId="03CEBF16">
            <w:pPr>
              <w:pStyle w:val="6"/>
              <w:spacing w:before="32" w:line="234" w:lineRule="auto"/>
              <w:ind w:left="114" w:right="109" w:firstLine="11"/>
            </w:pPr>
            <w:r>
              <w:rPr>
                <w:spacing w:val="18"/>
              </w:rPr>
              <w:t>只能有一个有效报价（指投标函中的大写投标总报</w:t>
            </w:r>
            <w:r>
              <w:t>价）</w:t>
            </w:r>
          </w:p>
        </w:tc>
      </w:tr>
      <w:tr w14:paraId="7579D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C86CC9C">
            <w:pPr>
              <w:rPr>
                <w:rFonts w:ascii="Arial"/>
                <w:sz w:val="21"/>
              </w:rPr>
            </w:pPr>
          </w:p>
        </w:tc>
        <w:tc>
          <w:tcPr>
            <w:tcW w:w="1058" w:type="dxa"/>
            <w:vMerge w:val="continue"/>
            <w:tcBorders>
              <w:top w:val="nil"/>
              <w:bottom w:val="nil"/>
            </w:tcBorders>
            <w:vAlign w:val="top"/>
          </w:tcPr>
          <w:p w14:paraId="7B89C197">
            <w:pPr>
              <w:rPr>
                <w:rFonts w:ascii="Arial"/>
                <w:sz w:val="21"/>
              </w:rPr>
            </w:pPr>
          </w:p>
        </w:tc>
        <w:tc>
          <w:tcPr>
            <w:tcW w:w="2339" w:type="dxa"/>
            <w:vAlign w:val="top"/>
          </w:tcPr>
          <w:p w14:paraId="7FF074DA">
            <w:pPr>
              <w:pStyle w:val="6"/>
              <w:spacing w:before="179" w:line="228" w:lineRule="auto"/>
              <w:ind w:left="122"/>
            </w:pPr>
            <w:r>
              <w:rPr>
                <w:spacing w:val="6"/>
              </w:rPr>
              <w:t>多标段投标</w:t>
            </w:r>
          </w:p>
        </w:tc>
        <w:tc>
          <w:tcPr>
            <w:tcW w:w="5042" w:type="dxa"/>
            <w:vAlign w:val="top"/>
          </w:tcPr>
          <w:p w14:paraId="65B704EE">
            <w:pPr>
              <w:pStyle w:val="6"/>
              <w:spacing w:before="179"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78FE9E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7A15089">
            <w:pPr>
              <w:rPr>
                <w:rFonts w:ascii="Arial"/>
                <w:sz w:val="21"/>
              </w:rPr>
            </w:pPr>
          </w:p>
        </w:tc>
        <w:tc>
          <w:tcPr>
            <w:tcW w:w="1058" w:type="dxa"/>
            <w:vMerge w:val="continue"/>
            <w:tcBorders>
              <w:top w:val="nil"/>
              <w:bottom w:val="nil"/>
            </w:tcBorders>
            <w:vAlign w:val="top"/>
          </w:tcPr>
          <w:p w14:paraId="7C714EFF">
            <w:pPr>
              <w:rPr>
                <w:rFonts w:ascii="Arial"/>
                <w:sz w:val="21"/>
              </w:rPr>
            </w:pPr>
          </w:p>
        </w:tc>
        <w:tc>
          <w:tcPr>
            <w:tcW w:w="2339" w:type="dxa"/>
            <w:vAlign w:val="top"/>
          </w:tcPr>
          <w:p w14:paraId="18E8E74C">
            <w:pPr>
              <w:pStyle w:val="6"/>
              <w:spacing w:before="122" w:line="228" w:lineRule="auto"/>
              <w:ind w:left="102"/>
            </w:pPr>
            <w:r>
              <w:rPr>
                <w:spacing w:val="22"/>
              </w:rPr>
              <w:t>“技术暗标</w:t>
            </w:r>
            <w:r>
              <w:rPr>
                <w:spacing w:val="-70"/>
              </w:rPr>
              <w:t xml:space="preserve"> </w:t>
            </w:r>
            <w:r>
              <w:rPr>
                <w:spacing w:val="22"/>
              </w:rPr>
              <w:t>”</w:t>
            </w:r>
          </w:p>
        </w:tc>
        <w:tc>
          <w:tcPr>
            <w:tcW w:w="5042" w:type="dxa"/>
            <w:vAlign w:val="top"/>
          </w:tcPr>
          <w:p w14:paraId="7732AD1B">
            <w:pPr>
              <w:pStyle w:val="6"/>
              <w:spacing w:before="123"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358B1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F332B32">
            <w:pPr>
              <w:rPr>
                <w:rFonts w:ascii="Arial"/>
                <w:sz w:val="21"/>
              </w:rPr>
            </w:pPr>
          </w:p>
        </w:tc>
        <w:tc>
          <w:tcPr>
            <w:tcW w:w="1058" w:type="dxa"/>
            <w:vMerge w:val="continue"/>
            <w:tcBorders>
              <w:top w:val="nil"/>
              <w:bottom w:val="nil"/>
            </w:tcBorders>
            <w:vAlign w:val="top"/>
          </w:tcPr>
          <w:p w14:paraId="0275ABCA">
            <w:pPr>
              <w:rPr>
                <w:rFonts w:ascii="Arial"/>
                <w:sz w:val="21"/>
              </w:rPr>
            </w:pPr>
          </w:p>
        </w:tc>
        <w:tc>
          <w:tcPr>
            <w:tcW w:w="2339" w:type="dxa"/>
            <w:vAlign w:val="top"/>
          </w:tcPr>
          <w:p w14:paraId="17F462DA">
            <w:pPr>
              <w:pStyle w:val="6"/>
              <w:spacing w:before="122" w:line="228" w:lineRule="auto"/>
              <w:ind w:left="115"/>
            </w:pPr>
            <w:r>
              <w:rPr>
                <w:spacing w:val="6"/>
              </w:rPr>
              <w:t>项目经理</w:t>
            </w:r>
          </w:p>
        </w:tc>
        <w:tc>
          <w:tcPr>
            <w:tcW w:w="5042" w:type="dxa"/>
            <w:vAlign w:val="top"/>
          </w:tcPr>
          <w:p w14:paraId="6D4FECE4">
            <w:pPr>
              <w:pStyle w:val="6"/>
              <w:spacing w:before="122" w:line="228" w:lineRule="auto"/>
              <w:ind w:left="116"/>
            </w:pPr>
            <w:r>
              <w:rPr>
                <w:spacing w:val="9"/>
              </w:rPr>
              <w:t>未更换通过资格预审的项目经理</w:t>
            </w:r>
          </w:p>
        </w:tc>
      </w:tr>
      <w:tr w14:paraId="7836A4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7C8F0E79">
            <w:pPr>
              <w:rPr>
                <w:rFonts w:ascii="Arial"/>
                <w:sz w:val="21"/>
              </w:rPr>
            </w:pPr>
          </w:p>
        </w:tc>
        <w:tc>
          <w:tcPr>
            <w:tcW w:w="1058" w:type="dxa"/>
            <w:vMerge w:val="continue"/>
            <w:tcBorders>
              <w:top w:val="nil"/>
            </w:tcBorders>
            <w:vAlign w:val="top"/>
          </w:tcPr>
          <w:p w14:paraId="27A55606">
            <w:pPr>
              <w:rPr>
                <w:rFonts w:ascii="Arial"/>
                <w:sz w:val="21"/>
              </w:rPr>
            </w:pPr>
          </w:p>
        </w:tc>
        <w:tc>
          <w:tcPr>
            <w:tcW w:w="2339" w:type="dxa"/>
            <w:vAlign w:val="top"/>
          </w:tcPr>
          <w:p w14:paraId="008E0D6F">
            <w:pPr>
              <w:pStyle w:val="6"/>
              <w:spacing w:before="121" w:line="228" w:lineRule="auto"/>
              <w:ind w:left="121"/>
            </w:pPr>
            <w:r>
              <w:rPr>
                <w:spacing w:val="6"/>
              </w:rPr>
              <w:t>资格条件变化</w:t>
            </w:r>
          </w:p>
        </w:tc>
        <w:tc>
          <w:tcPr>
            <w:tcW w:w="5042" w:type="dxa"/>
            <w:vAlign w:val="top"/>
          </w:tcPr>
          <w:p w14:paraId="7528B630">
            <w:pPr>
              <w:pStyle w:val="6"/>
              <w:spacing w:before="121" w:line="228" w:lineRule="auto"/>
              <w:ind w:left="116"/>
            </w:pPr>
            <w:r>
              <w:rPr>
                <w:spacing w:val="9"/>
              </w:rPr>
              <w:t>投标函中有资格条件是否变化的声明</w:t>
            </w:r>
          </w:p>
        </w:tc>
      </w:tr>
      <w:tr w14:paraId="4AA5AB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0" w:hRule="atLeast"/>
        </w:trPr>
        <w:tc>
          <w:tcPr>
            <w:tcW w:w="745" w:type="dxa"/>
            <w:vAlign w:val="top"/>
          </w:tcPr>
          <w:p w14:paraId="123FF9CA">
            <w:pPr>
              <w:spacing w:line="258" w:lineRule="auto"/>
              <w:rPr>
                <w:rFonts w:ascii="Arial"/>
                <w:sz w:val="21"/>
              </w:rPr>
            </w:pPr>
          </w:p>
          <w:p w14:paraId="25DA06F7">
            <w:pPr>
              <w:spacing w:line="258" w:lineRule="auto"/>
              <w:rPr>
                <w:rFonts w:ascii="Arial"/>
                <w:sz w:val="21"/>
              </w:rPr>
            </w:pPr>
          </w:p>
          <w:p w14:paraId="37F9C1D2">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22EB78A4">
            <w:pPr>
              <w:pStyle w:val="6"/>
              <w:spacing w:before="74" w:line="228" w:lineRule="auto"/>
              <w:ind w:left="332"/>
            </w:pPr>
            <w:r>
              <w:t>资格</w:t>
            </w:r>
          </w:p>
          <w:p w14:paraId="4D40AD10">
            <w:pPr>
              <w:pStyle w:val="6"/>
              <w:spacing w:before="24" w:line="228" w:lineRule="auto"/>
              <w:ind w:left="322"/>
            </w:pPr>
            <w:r>
              <w:rPr>
                <w:spacing w:val="5"/>
              </w:rPr>
              <w:t>评审</w:t>
            </w:r>
          </w:p>
          <w:p w14:paraId="1C1F8A7A">
            <w:pPr>
              <w:pStyle w:val="6"/>
              <w:spacing w:before="26" w:line="252" w:lineRule="auto"/>
              <w:ind w:left="122" w:right="129" w:firstLine="201"/>
            </w:pPr>
            <w:r>
              <w:rPr>
                <w:spacing w:val="4"/>
              </w:rPr>
              <w:t>标准</w:t>
            </w:r>
            <w:r>
              <w:t>（预审）</w:t>
            </w:r>
          </w:p>
        </w:tc>
        <w:tc>
          <w:tcPr>
            <w:tcW w:w="2339" w:type="dxa"/>
            <w:vAlign w:val="top"/>
          </w:tcPr>
          <w:p w14:paraId="244C6A1A">
            <w:pPr>
              <w:spacing w:line="472" w:lineRule="auto"/>
              <w:rPr>
                <w:rFonts w:ascii="Arial"/>
                <w:sz w:val="21"/>
              </w:rPr>
            </w:pPr>
          </w:p>
          <w:p w14:paraId="2625B6B5">
            <w:pPr>
              <w:pStyle w:val="6"/>
              <w:spacing w:before="65" w:line="227" w:lineRule="auto"/>
              <w:ind w:left="115"/>
            </w:pPr>
            <w:r>
              <w:rPr>
                <w:spacing w:val="8"/>
              </w:rPr>
              <w:t>见本标段资格预审文件</w:t>
            </w:r>
          </w:p>
        </w:tc>
        <w:tc>
          <w:tcPr>
            <w:tcW w:w="5042" w:type="dxa"/>
            <w:vAlign w:val="top"/>
          </w:tcPr>
          <w:p w14:paraId="02C56C86">
            <w:pPr>
              <w:spacing w:line="278" w:lineRule="auto"/>
              <w:rPr>
                <w:rFonts w:ascii="Arial"/>
                <w:sz w:val="21"/>
              </w:rPr>
            </w:pPr>
          </w:p>
          <w:p w14:paraId="50F4EB34">
            <w:pPr>
              <w:pStyle w:val="6"/>
              <w:spacing w:before="65" w:line="254" w:lineRule="auto"/>
              <w:ind w:left="123" w:right="107" w:hanging="8"/>
            </w:pPr>
            <w:r>
              <w:rPr>
                <w:spacing w:val="8"/>
              </w:rPr>
              <w:t>符合本标段资格预审文件第三章“资格审查办法</w:t>
            </w:r>
            <w:r>
              <w:rPr>
                <w:spacing w:val="-70"/>
              </w:rPr>
              <w:t xml:space="preserve"> </w:t>
            </w:r>
            <w:r>
              <w:rPr>
                <w:spacing w:val="8"/>
              </w:rPr>
              <w:t>”的审查标准并且不影响本次招标的公正性。</w:t>
            </w:r>
          </w:p>
        </w:tc>
      </w:tr>
      <w:tr w14:paraId="7D187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23B78454">
            <w:pPr>
              <w:spacing w:line="243" w:lineRule="auto"/>
              <w:rPr>
                <w:rFonts w:ascii="Arial"/>
                <w:sz w:val="21"/>
              </w:rPr>
            </w:pPr>
          </w:p>
          <w:p w14:paraId="7C77DCF1">
            <w:pPr>
              <w:spacing w:line="243" w:lineRule="auto"/>
              <w:rPr>
                <w:rFonts w:ascii="Arial"/>
                <w:sz w:val="21"/>
              </w:rPr>
            </w:pPr>
          </w:p>
          <w:p w14:paraId="7AF70946">
            <w:pPr>
              <w:spacing w:line="243" w:lineRule="auto"/>
              <w:rPr>
                <w:rFonts w:ascii="Arial"/>
                <w:sz w:val="21"/>
              </w:rPr>
            </w:pPr>
          </w:p>
          <w:p w14:paraId="6B1C0CA4">
            <w:pPr>
              <w:spacing w:line="243" w:lineRule="auto"/>
              <w:rPr>
                <w:rFonts w:ascii="Arial"/>
                <w:sz w:val="21"/>
              </w:rPr>
            </w:pPr>
          </w:p>
          <w:p w14:paraId="0A2F359E">
            <w:pPr>
              <w:spacing w:line="244" w:lineRule="auto"/>
              <w:rPr>
                <w:rFonts w:ascii="Arial"/>
                <w:sz w:val="21"/>
              </w:rPr>
            </w:pPr>
          </w:p>
          <w:p w14:paraId="7C943389">
            <w:pPr>
              <w:spacing w:line="244" w:lineRule="auto"/>
              <w:rPr>
                <w:rFonts w:ascii="Arial"/>
                <w:sz w:val="21"/>
              </w:rPr>
            </w:pPr>
          </w:p>
          <w:p w14:paraId="6FAE7AEB">
            <w:pPr>
              <w:spacing w:line="244" w:lineRule="auto"/>
              <w:rPr>
                <w:rFonts w:ascii="Arial"/>
                <w:sz w:val="21"/>
              </w:rPr>
            </w:pPr>
          </w:p>
          <w:p w14:paraId="77BE6AE7">
            <w:pPr>
              <w:spacing w:line="244" w:lineRule="auto"/>
              <w:rPr>
                <w:rFonts w:ascii="Arial"/>
                <w:sz w:val="21"/>
              </w:rPr>
            </w:pPr>
          </w:p>
          <w:p w14:paraId="1DA7FAE7">
            <w:pPr>
              <w:spacing w:line="244" w:lineRule="auto"/>
              <w:rPr>
                <w:rFonts w:ascii="Arial"/>
                <w:sz w:val="21"/>
              </w:rPr>
            </w:pPr>
          </w:p>
          <w:p w14:paraId="3812D9EC">
            <w:pPr>
              <w:spacing w:line="244" w:lineRule="auto"/>
              <w:rPr>
                <w:rFonts w:ascii="Arial"/>
                <w:sz w:val="21"/>
              </w:rPr>
            </w:pPr>
          </w:p>
          <w:p w14:paraId="51C2D64B">
            <w:pPr>
              <w:spacing w:line="244" w:lineRule="auto"/>
              <w:rPr>
                <w:rFonts w:ascii="Arial"/>
                <w:sz w:val="21"/>
              </w:rPr>
            </w:pPr>
          </w:p>
          <w:p w14:paraId="5126607E">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494103FD">
            <w:pPr>
              <w:spacing w:line="244" w:lineRule="auto"/>
              <w:rPr>
                <w:rFonts w:ascii="Arial"/>
                <w:sz w:val="21"/>
              </w:rPr>
            </w:pPr>
          </w:p>
          <w:p w14:paraId="2DA025E4">
            <w:pPr>
              <w:spacing w:line="244" w:lineRule="auto"/>
              <w:rPr>
                <w:rFonts w:ascii="Arial"/>
                <w:sz w:val="21"/>
              </w:rPr>
            </w:pPr>
          </w:p>
          <w:p w14:paraId="79B0705C">
            <w:pPr>
              <w:spacing w:line="244" w:lineRule="auto"/>
              <w:rPr>
                <w:rFonts w:ascii="Arial"/>
                <w:sz w:val="21"/>
              </w:rPr>
            </w:pPr>
          </w:p>
          <w:p w14:paraId="6402636C">
            <w:pPr>
              <w:spacing w:line="244" w:lineRule="auto"/>
              <w:rPr>
                <w:rFonts w:ascii="Arial"/>
                <w:sz w:val="21"/>
              </w:rPr>
            </w:pPr>
          </w:p>
          <w:p w14:paraId="010ACF7F">
            <w:pPr>
              <w:spacing w:line="244" w:lineRule="auto"/>
              <w:rPr>
                <w:rFonts w:ascii="Arial"/>
                <w:sz w:val="21"/>
              </w:rPr>
            </w:pPr>
          </w:p>
          <w:p w14:paraId="56CDA151">
            <w:pPr>
              <w:spacing w:line="244" w:lineRule="auto"/>
              <w:rPr>
                <w:rFonts w:ascii="Arial"/>
                <w:sz w:val="21"/>
              </w:rPr>
            </w:pPr>
          </w:p>
          <w:p w14:paraId="42E74B27">
            <w:pPr>
              <w:spacing w:line="245" w:lineRule="auto"/>
              <w:rPr>
                <w:rFonts w:ascii="Arial"/>
                <w:sz w:val="21"/>
              </w:rPr>
            </w:pPr>
          </w:p>
          <w:p w14:paraId="7D0043A1">
            <w:pPr>
              <w:spacing w:line="245" w:lineRule="auto"/>
              <w:rPr>
                <w:rFonts w:ascii="Arial"/>
                <w:sz w:val="21"/>
              </w:rPr>
            </w:pPr>
          </w:p>
          <w:p w14:paraId="6A416C92">
            <w:pPr>
              <w:spacing w:line="245" w:lineRule="auto"/>
              <w:rPr>
                <w:rFonts w:ascii="Arial"/>
                <w:sz w:val="21"/>
              </w:rPr>
            </w:pPr>
          </w:p>
          <w:p w14:paraId="5F18D3C1">
            <w:pPr>
              <w:spacing w:line="245" w:lineRule="auto"/>
              <w:rPr>
                <w:rFonts w:ascii="Arial"/>
                <w:sz w:val="21"/>
              </w:rPr>
            </w:pPr>
          </w:p>
          <w:p w14:paraId="5C5B1221">
            <w:pPr>
              <w:pStyle w:val="6"/>
              <w:spacing w:before="65" w:line="252"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155E9314">
            <w:pPr>
              <w:pStyle w:val="6"/>
              <w:spacing w:before="123" w:line="228" w:lineRule="auto"/>
              <w:ind w:left="115"/>
            </w:pPr>
            <w:r>
              <w:rPr>
                <w:spacing w:val="6"/>
              </w:rPr>
              <w:t>投标内容</w:t>
            </w:r>
          </w:p>
        </w:tc>
        <w:tc>
          <w:tcPr>
            <w:tcW w:w="5042" w:type="dxa"/>
            <w:vAlign w:val="top"/>
          </w:tcPr>
          <w:p w14:paraId="53E54522">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53CD1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397C4F1">
            <w:pPr>
              <w:rPr>
                <w:rFonts w:ascii="Arial"/>
                <w:sz w:val="21"/>
              </w:rPr>
            </w:pPr>
          </w:p>
        </w:tc>
        <w:tc>
          <w:tcPr>
            <w:tcW w:w="1058" w:type="dxa"/>
            <w:vMerge w:val="continue"/>
            <w:tcBorders>
              <w:top w:val="nil"/>
              <w:bottom w:val="nil"/>
            </w:tcBorders>
            <w:vAlign w:val="top"/>
          </w:tcPr>
          <w:p w14:paraId="4CAB2201">
            <w:pPr>
              <w:rPr>
                <w:rFonts w:ascii="Arial"/>
                <w:sz w:val="21"/>
              </w:rPr>
            </w:pPr>
          </w:p>
        </w:tc>
        <w:tc>
          <w:tcPr>
            <w:tcW w:w="2339" w:type="dxa"/>
            <w:vAlign w:val="top"/>
          </w:tcPr>
          <w:p w14:paraId="5F632941">
            <w:pPr>
              <w:pStyle w:val="6"/>
              <w:spacing w:before="123" w:line="228" w:lineRule="auto"/>
              <w:ind w:left="115"/>
            </w:pPr>
            <w:r>
              <w:rPr>
                <w:spacing w:val="3"/>
              </w:rPr>
              <w:t>工期</w:t>
            </w:r>
          </w:p>
        </w:tc>
        <w:tc>
          <w:tcPr>
            <w:tcW w:w="5042" w:type="dxa"/>
            <w:vAlign w:val="top"/>
          </w:tcPr>
          <w:p w14:paraId="40295DA2">
            <w:pPr>
              <w:pStyle w:val="6"/>
              <w:spacing w:before="12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791247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22F0097C">
            <w:pPr>
              <w:rPr>
                <w:rFonts w:ascii="Arial"/>
                <w:sz w:val="21"/>
              </w:rPr>
            </w:pPr>
          </w:p>
        </w:tc>
        <w:tc>
          <w:tcPr>
            <w:tcW w:w="1058" w:type="dxa"/>
            <w:vMerge w:val="continue"/>
            <w:tcBorders>
              <w:top w:val="nil"/>
              <w:bottom w:val="nil"/>
            </w:tcBorders>
            <w:vAlign w:val="top"/>
          </w:tcPr>
          <w:p w14:paraId="1EE67C3E">
            <w:pPr>
              <w:rPr>
                <w:rFonts w:ascii="Arial"/>
                <w:sz w:val="21"/>
              </w:rPr>
            </w:pPr>
          </w:p>
        </w:tc>
        <w:tc>
          <w:tcPr>
            <w:tcW w:w="2339" w:type="dxa"/>
            <w:vAlign w:val="top"/>
          </w:tcPr>
          <w:p w14:paraId="3E53D1B9">
            <w:pPr>
              <w:spacing w:line="374" w:lineRule="auto"/>
              <w:rPr>
                <w:rFonts w:ascii="Arial"/>
                <w:sz w:val="21"/>
              </w:rPr>
            </w:pPr>
          </w:p>
          <w:p w14:paraId="76C6F5BE">
            <w:pPr>
              <w:pStyle w:val="6"/>
              <w:spacing w:before="65" w:line="228" w:lineRule="auto"/>
              <w:ind w:left="115"/>
            </w:pPr>
            <w:r>
              <w:rPr>
                <w:spacing w:val="6"/>
              </w:rPr>
              <w:t>工程质量</w:t>
            </w:r>
          </w:p>
        </w:tc>
        <w:tc>
          <w:tcPr>
            <w:tcW w:w="5042" w:type="dxa"/>
            <w:vAlign w:val="top"/>
          </w:tcPr>
          <w:p w14:paraId="60ED6990">
            <w:pPr>
              <w:pStyle w:val="6"/>
              <w:spacing w:before="33"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3F8D33D8">
            <w:pPr>
              <w:pStyle w:val="6"/>
              <w:spacing w:before="26" w:line="239" w:lineRule="auto"/>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0A029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325173D">
            <w:pPr>
              <w:rPr>
                <w:rFonts w:ascii="Arial"/>
                <w:sz w:val="21"/>
              </w:rPr>
            </w:pPr>
          </w:p>
        </w:tc>
        <w:tc>
          <w:tcPr>
            <w:tcW w:w="1058" w:type="dxa"/>
            <w:vMerge w:val="continue"/>
            <w:tcBorders>
              <w:top w:val="nil"/>
              <w:bottom w:val="nil"/>
            </w:tcBorders>
            <w:vAlign w:val="top"/>
          </w:tcPr>
          <w:p w14:paraId="0FEE094F">
            <w:pPr>
              <w:rPr>
                <w:rFonts w:ascii="Arial"/>
                <w:sz w:val="21"/>
              </w:rPr>
            </w:pPr>
          </w:p>
        </w:tc>
        <w:tc>
          <w:tcPr>
            <w:tcW w:w="2339" w:type="dxa"/>
            <w:vAlign w:val="top"/>
          </w:tcPr>
          <w:p w14:paraId="4A36A37B">
            <w:pPr>
              <w:pStyle w:val="6"/>
              <w:spacing w:before="123" w:line="228" w:lineRule="auto"/>
              <w:ind w:left="115"/>
            </w:pPr>
            <w:r>
              <w:rPr>
                <w:spacing w:val="7"/>
              </w:rPr>
              <w:t>投标有效期</w:t>
            </w:r>
          </w:p>
        </w:tc>
        <w:tc>
          <w:tcPr>
            <w:tcW w:w="5042" w:type="dxa"/>
            <w:vAlign w:val="top"/>
          </w:tcPr>
          <w:p w14:paraId="771DCBAD">
            <w:pPr>
              <w:pStyle w:val="6"/>
              <w:spacing w:before="123"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37202D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646B40A8">
            <w:pPr>
              <w:rPr>
                <w:rFonts w:ascii="Arial"/>
                <w:sz w:val="21"/>
              </w:rPr>
            </w:pPr>
          </w:p>
        </w:tc>
        <w:tc>
          <w:tcPr>
            <w:tcW w:w="1058" w:type="dxa"/>
            <w:vMerge w:val="continue"/>
            <w:tcBorders>
              <w:top w:val="nil"/>
              <w:bottom w:val="nil"/>
            </w:tcBorders>
            <w:vAlign w:val="top"/>
          </w:tcPr>
          <w:p w14:paraId="3F9BC5A2">
            <w:pPr>
              <w:rPr>
                <w:rFonts w:ascii="Arial"/>
                <w:sz w:val="21"/>
              </w:rPr>
            </w:pPr>
          </w:p>
        </w:tc>
        <w:tc>
          <w:tcPr>
            <w:tcW w:w="2339" w:type="dxa"/>
            <w:vAlign w:val="top"/>
          </w:tcPr>
          <w:p w14:paraId="76B6FBFA">
            <w:pPr>
              <w:spacing w:line="323" w:lineRule="auto"/>
              <w:rPr>
                <w:rFonts w:ascii="Arial"/>
                <w:sz w:val="21"/>
              </w:rPr>
            </w:pPr>
          </w:p>
          <w:p w14:paraId="2BAAA038">
            <w:pPr>
              <w:spacing w:line="323" w:lineRule="auto"/>
              <w:rPr>
                <w:rFonts w:ascii="Arial"/>
                <w:sz w:val="21"/>
              </w:rPr>
            </w:pPr>
          </w:p>
          <w:p w14:paraId="4B121A92">
            <w:pPr>
              <w:pStyle w:val="6"/>
              <w:spacing w:before="65" w:line="228" w:lineRule="auto"/>
              <w:ind w:left="115"/>
            </w:pPr>
            <w:r>
              <w:rPr>
                <w:spacing w:val="7"/>
              </w:rPr>
              <w:t>投标保证金</w:t>
            </w:r>
          </w:p>
        </w:tc>
        <w:tc>
          <w:tcPr>
            <w:tcW w:w="5042" w:type="dxa"/>
            <w:vAlign w:val="top"/>
          </w:tcPr>
          <w:p w14:paraId="21D18C8D">
            <w:pPr>
              <w:pStyle w:val="6"/>
              <w:spacing w:before="33"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12FB1ACC">
            <w:pPr>
              <w:pStyle w:val="6"/>
              <w:spacing w:before="27" w:line="228" w:lineRule="auto"/>
              <w:ind w:left="123"/>
            </w:pPr>
            <w:r>
              <w:rPr>
                <w:spacing w:val="9"/>
              </w:rPr>
              <w:t>（投标保证金符合要求是指投标保证金的形式、金</w:t>
            </w:r>
          </w:p>
          <w:p w14:paraId="5C0587D1">
            <w:pPr>
              <w:pStyle w:val="6"/>
              <w:spacing w:before="24" w:line="251"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61A820BE">
            <w:pPr>
              <w:pStyle w:val="6"/>
              <w:spacing w:line="215" w:lineRule="auto"/>
              <w:ind w:left="130"/>
            </w:pPr>
            <w:r>
              <w:rPr>
                <w:spacing w:val="4"/>
              </w:rPr>
              <w:t>的账户号一致）</w:t>
            </w:r>
          </w:p>
        </w:tc>
      </w:tr>
      <w:tr w14:paraId="19D1B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2B39668C">
            <w:pPr>
              <w:rPr>
                <w:rFonts w:ascii="Arial"/>
                <w:sz w:val="21"/>
              </w:rPr>
            </w:pPr>
          </w:p>
        </w:tc>
        <w:tc>
          <w:tcPr>
            <w:tcW w:w="1058" w:type="dxa"/>
            <w:vMerge w:val="continue"/>
            <w:tcBorders>
              <w:top w:val="nil"/>
              <w:bottom w:val="nil"/>
            </w:tcBorders>
            <w:vAlign w:val="top"/>
          </w:tcPr>
          <w:p w14:paraId="3FE5943A">
            <w:pPr>
              <w:rPr>
                <w:rFonts w:ascii="Arial"/>
                <w:sz w:val="21"/>
              </w:rPr>
            </w:pPr>
          </w:p>
        </w:tc>
        <w:tc>
          <w:tcPr>
            <w:tcW w:w="2339" w:type="dxa"/>
            <w:vAlign w:val="top"/>
          </w:tcPr>
          <w:p w14:paraId="36DD6BF4">
            <w:pPr>
              <w:pStyle w:val="6"/>
              <w:spacing w:before="168" w:line="228" w:lineRule="auto"/>
              <w:ind w:left="111"/>
            </w:pPr>
            <w:r>
              <w:rPr>
                <w:spacing w:val="7"/>
              </w:rPr>
              <w:t>权利义务</w:t>
            </w:r>
          </w:p>
        </w:tc>
        <w:tc>
          <w:tcPr>
            <w:tcW w:w="5042" w:type="dxa"/>
            <w:vAlign w:val="top"/>
          </w:tcPr>
          <w:p w14:paraId="71753B11">
            <w:pPr>
              <w:pStyle w:val="6"/>
              <w:spacing w:before="35" w:line="233"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5DDF7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745" w:type="dxa"/>
            <w:vMerge w:val="continue"/>
            <w:tcBorders>
              <w:top w:val="nil"/>
              <w:bottom w:val="nil"/>
            </w:tcBorders>
            <w:vAlign w:val="top"/>
          </w:tcPr>
          <w:p w14:paraId="372F2657">
            <w:pPr>
              <w:rPr>
                <w:rFonts w:ascii="Arial"/>
                <w:sz w:val="21"/>
              </w:rPr>
            </w:pPr>
          </w:p>
        </w:tc>
        <w:tc>
          <w:tcPr>
            <w:tcW w:w="1058" w:type="dxa"/>
            <w:vMerge w:val="continue"/>
            <w:tcBorders>
              <w:top w:val="nil"/>
              <w:bottom w:val="nil"/>
            </w:tcBorders>
            <w:vAlign w:val="top"/>
          </w:tcPr>
          <w:p w14:paraId="1C8F29C7">
            <w:pPr>
              <w:rPr>
                <w:rFonts w:ascii="Arial"/>
                <w:sz w:val="21"/>
              </w:rPr>
            </w:pPr>
          </w:p>
        </w:tc>
        <w:tc>
          <w:tcPr>
            <w:tcW w:w="2339" w:type="dxa"/>
            <w:vAlign w:val="top"/>
          </w:tcPr>
          <w:p w14:paraId="2F010537">
            <w:pPr>
              <w:pStyle w:val="6"/>
              <w:spacing w:before="113" w:line="228" w:lineRule="auto"/>
              <w:ind w:left="113"/>
            </w:pPr>
            <w:r>
              <w:rPr>
                <w:spacing w:val="8"/>
              </w:rPr>
              <w:t>技术标准和要求</w:t>
            </w:r>
          </w:p>
        </w:tc>
        <w:tc>
          <w:tcPr>
            <w:tcW w:w="5042" w:type="dxa"/>
            <w:vAlign w:val="top"/>
          </w:tcPr>
          <w:p w14:paraId="62CE6831">
            <w:pPr>
              <w:pStyle w:val="6"/>
              <w:spacing w:before="113" w:line="227" w:lineRule="auto"/>
              <w:ind w:left="115"/>
            </w:pPr>
            <w:r>
              <w:rPr>
                <w:spacing w:val="7"/>
              </w:rPr>
              <w:t>符合第七章“技术标准和要求</w:t>
            </w:r>
            <w:r>
              <w:rPr>
                <w:spacing w:val="-66"/>
              </w:rPr>
              <w:t xml:space="preserve"> </w:t>
            </w:r>
            <w:r>
              <w:rPr>
                <w:spacing w:val="7"/>
              </w:rPr>
              <w:t>”规定</w:t>
            </w:r>
          </w:p>
        </w:tc>
      </w:tr>
      <w:tr w14:paraId="621815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45" w:type="dxa"/>
            <w:vMerge w:val="continue"/>
            <w:tcBorders>
              <w:top w:val="nil"/>
            </w:tcBorders>
            <w:vAlign w:val="top"/>
          </w:tcPr>
          <w:p w14:paraId="47ABB9E4">
            <w:pPr>
              <w:rPr>
                <w:rFonts w:ascii="Arial"/>
                <w:sz w:val="21"/>
              </w:rPr>
            </w:pPr>
          </w:p>
        </w:tc>
        <w:tc>
          <w:tcPr>
            <w:tcW w:w="1058" w:type="dxa"/>
            <w:vMerge w:val="continue"/>
            <w:tcBorders>
              <w:top w:val="nil"/>
            </w:tcBorders>
            <w:vAlign w:val="top"/>
          </w:tcPr>
          <w:p w14:paraId="23B589F2">
            <w:pPr>
              <w:rPr>
                <w:rFonts w:ascii="Arial"/>
                <w:sz w:val="21"/>
              </w:rPr>
            </w:pPr>
          </w:p>
        </w:tc>
        <w:tc>
          <w:tcPr>
            <w:tcW w:w="2339" w:type="dxa"/>
            <w:vAlign w:val="top"/>
          </w:tcPr>
          <w:p w14:paraId="4C576B29">
            <w:pPr>
              <w:pStyle w:val="6"/>
              <w:spacing w:before="97" w:line="228" w:lineRule="auto"/>
              <w:ind w:left="115"/>
            </w:pPr>
            <w:r>
              <w:rPr>
                <w:spacing w:val="6"/>
              </w:rPr>
              <w:t>分包计划</w:t>
            </w:r>
          </w:p>
        </w:tc>
        <w:tc>
          <w:tcPr>
            <w:tcW w:w="5042" w:type="dxa"/>
            <w:vAlign w:val="top"/>
          </w:tcPr>
          <w:p w14:paraId="4C6EFDDA">
            <w:pPr>
              <w:pStyle w:val="6"/>
              <w:spacing w:before="97"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bl>
    <w:p w14:paraId="46BAAAE6">
      <w:pPr>
        <w:rPr>
          <w:rFonts w:ascii="Arial"/>
          <w:sz w:val="21"/>
        </w:rPr>
      </w:pPr>
    </w:p>
    <w:p w14:paraId="6E148123">
      <w:pPr>
        <w:rPr>
          <w:rFonts w:ascii="Arial" w:hAnsi="Arial" w:eastAsia="Arial" w:cs="Arial"/>
          <w:sz w:val="21"/>
          <w:szCs w:val="21"/>
        </w:rPr>
        <w:sectPr>
          <w:footerReference r:id="rId69" w:type="default"/>
          <w:pgSz w:w="11907" w:h="16840"/>
          <w:pgMar w:top="400" w:right="1248" w:bottom="1035" w:left="1469" w:header="0" w:footer="785" w:gutter="0"/>
          <w:cols w:space="720" w:num="1"/>
        </w:sectPr>
      </w:pPr>
    </w:p>
    <w:p w14:paraId="31D58E07">
      <w:pPr>
        <w:spacing w:before="19"/>
      </w:pPr>
    </w:p>
    <w:p w14:paraId="0065068A">
      <w:pPr>
        <w:spacing w:before="19"/>
      </w:pPr>
    </w:p>
    <w:p w14:paraId="57970D34">
      <w:pPr>
        <w:spacing w:before="19"/>
      </w:pPr>
    </w:p>
    <w:p w14:paraId="68808DF7">
      <w:pPr>
        <w:spacing w:before="18"/>
      </w:pPr>
    </w:p>
    <w:p w14:paraId="0D6EB06D">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255"/>
        <w:gridCol w:w="5042"/>
      </w:tblGrid>
      <w:tr w14:paraId="7716E5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2" w:hRule="atLeast"/>
        </w:trPr>
        <w:tc>
          <w:tcPr>
            <w:tcW w:w="745" w:type="dxa"/>
            <w:vMerge w:val="restart"/>
            <w:tcBorders>
              <w:bottom w:val="nil"/>
            </w:tcBorders>
            <w:vAlign w:val="top"/>
          </w:tcPr>
          <w:p w14:paraId="582E8811">
            <w:pPr>
              <w:rPr>
                <w:rFonts w:ascii="Arial"/>
                <w:sz w:val="21"/>
              </w:rPr>
            </w:pPr>
          </w:p>
        </w:tc>
        <w:tc>
          <w:tcPr>
            <w:tcW w:w="1058" w:type="dxa"/>
            <w:vMerge w:val="restart"/>
            <w:tcBorders>
              <w:bottom w:val="nil"/>
            </w:tcBorders>
            <w:vAlign w:val="top"/>
          </w:tcPr>
          <w:p w14:paraId="2016DCAD">
            <w:pPr>
              <w:rPr>
                <w:rFonts w:ascii="Arial"/>
                <w:sz w:val="21"/>
              </w:rPr>
            </w:pPr>
          </w:p>
        </w:tc>
        <w:tc>
          <w:tcPr>
            <w:tcW w:w="2339" w:type="dxa"/>
            <w:gridSpan w:val="2"/>
            <w:vAlign w:val="top"/>
          </w:tcPr>
          <w:p w14:paraId="4437FD49">
            <w:pPr>
              <w:spacing w:line="308" w:lineRule="auto"/>
              <w:rPr>
                <w:rFonts w:ascii="Arial"/>
                <w:sz w:val="21"/>
              </w:rPr>
            </w:pPr>
          </w:p>
          <w:p w14:paraId="5BA20631">
            <w:pPr>
              <w:pStyle w:val="6"/>
              <w:spacing w:before="65" w:line="228" w:lineRule="auto"/>
              <w:ind w:left="114"/>
            </w:pPr>
            <w:r>
              <w:rPr>
                <w:spacing w:val="7"/>
              </w:rPr>
              <w:t>算术错误修正</w:t>
            </w:r>
          </w:p>
        </w:tc>
        <w:tc>
          <w:tcPr>
            <w:tcW w:w="5042" w:type="dxa"/>
            <w:vAlign w:val="top"/>
          </w:tcPr>
          <w:p w14:paraId="2A5EE74B">
            <w:pPr>
              <w:pStyle w:val="6"/>
              <w:spacing w:before="35" w:line="226" w:lineRule="auto"/>
              <w:ind w:left="129"/>
            </w:pPr>
            <w:r>
              <w:rPr>
                <w:spacing w:val="7"/>
              </w:rPr>
              <w:t>1） 投标人接受算术错误修正后的报价；</w:t>
            </w:r>
          </w:p>
          <w:p w14:paraId="2588D70A">
            <w:pPr>
              <w:pStyle w:val="6"/>
              <w:spacing w:before="162" w:line="235" w:lineRule="auto"/>
              <w:ind w:left="115" w:right="109"/>
            </w:pPr>
            <w:r>
              <w:rPr>
                <w:spacing w:val="8"/>
              </w:rPr>
              <w:t>2） 算术错误修正后的投标总价与投标总价相比偏差</w:t>
            </w:r>
            <w:r>
              <w:rPr>
                <w:spacing w:val="6"/>
              </w:rPr>
              <w:t>率不超过±1%。</w:t>
            </w:r>
          </w:p>
        </w:tc>
      </w:tr>
      <w:tr w14:paraId="0A9109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3" w:hRule="atLeast"/>
        </w:trPr>
        <w:tc>
          <w:tcPr>
            <w:tcW w:w="745" w:type="dxa"/>
            <w:vMerge w:val="continue"/>
            <w:tcBorders>
              <w:top w:val="nil"/>
              <w:bottom w:val="nil"/>
            </w:tcBorders>
            <w:vAlign w:val="top"/>
          </w:tcPr>
          <w:p w14:paraId="3C7CB051">
            <w:pPr>
              <w:rPr>
                <w:rFonts w:ascii="Arial"/>
                <w:sz w:val="21"/>
              </w:rPr>
            </w:pPr>
          </w:p>
        </w:tc>
        <w:tc>
          <w:tcPr>
            <w:tcW w:w="1058" w:type="dxa"/>
            <w:vMerge w:val="continue"/>
            <w:tcBorders>
              <w:top w:val="nil"/>
              <w:bottom w:val="nil"/>
            </w:tcBorders>
            <w:vAlign w:val="top"/>
          </w:tcPr>
          <w:p w14:paraId="77A1B46E">
            <w:pPr>
              <w:rPr>
                <w:rFonts w:ascii="Arial"/>
                <w:sz w:val="21"/>
              </w:rPr>
            </w:pPr>
          </w:p>
        </w:tc>
        <w:tc>
          <w:tcPr>
            <w:tcW w:w="2339" w:type="dxa"/>
            <w:gridSpan w:val="2"/>
            <w:vAlign w:val="top"/>
          </w:tcPr>
          <w:p w14:paraId="2B1F3B4B">
            <w:pPr>
              <w:spacing w:line="304" w:lineRule="auto"/>
              <w:rPr>
                <w:rFonts w:ascii="Arial"/>
                <w:sz w:val="21"/>
              </w:rPr>
            </w:pPr>
          </w:p>
          <w:p w14:paraId="29B930B5">
            <w:pPr>
              <w:spacing w:line="304" w:lineRule="auto"/>
              <w:rPr>
                <w:rFonts w:ascii="Arial"/>
                <w:sz w:val="21"/>
              </w:rPr>
            </w:pPr>
          </w:p>
          <w:p w14:paraId="7119E2A1">
            <w:pPr>
              <w:spacing w:line="305" w:lineRule="auto"/>
              <w:rPr>
                <w:rFonts w:ascii="Arial"/>
                <w:sz w:val="21"/>
              </w:rPr>
            </w:pPr>
          </w:p>
          <w:p w14:paraId="77622481">
            <w:pPr>
              <w:pStyle w:val="6"/>
              <w:spacing w:before="65" w:line="226" w:lineRule="auto"/>
              <w:ind w:left="115"/>
            </w:pPr>
            <w:r>
              <w:rPr>
                <w:spacing w:val="6"/>
              </w:rPr>
              <w:t>投标价格</w:t>
            </w:r>
          </w:p>
        </w:tc>
        <w:tc>
          <w:tcPr>
            <w:tcW w:w="5042" w:type="dxa"/>
            <w:vAlign w:val="top"/>
          </w:tcPr>
          <w:p w14:paraId="39F0F05A">
            <w:pPr>
              <w:pStyle w:val="6"/>
              <w:spacing w:before="33" w:line="250" w:lineRule="auto"/>
              <w:ind w:left="133" w:right="107" w:hanging="4"/>
            </w:pPr>
            <w:r>
              <w:rPr>
                <w:spacing w:val="13"/>
              </w:rPr>
              <w:t>1）投标函中的大写投标总报价与已标价工程量清单</w:t>
            </w:r>
            <w:r>
              <w:rPr>
                <w:spacing w:val="5"/>
              </w:rPr>
              <w:t>中的投标总价一致；</w:t>
            </w:r>
          </w:p>
          <w:p w14:paraId="0571E2DC">
            <w:pPr>
              <w:pStyle w:val="6"/>
              <w:spacing w:line="251" w:lineRule="auto"/>
              <w:ind w:left="114" w:right="107" w:firstLine="1"/>
            </w:pPr>
            <w:r>
              <w:rPr>
                <w:spacing w:val="13"/>
              </w:rPr>
              <w:t>2）投标函中的大写投标总报价不大于本标段招标控</w:t>
            </w:r>
            <w:r>
              <w:rPr>
                <w:spacing w:val="5"/>
              </w:rPr>
              <w:t>制价总价；</w:t>
            </w:r>
          </w:p>
          <w:p w14:paraId="4E5E86DE">
            <w:pPr>
              <w:pStyle w:val="6"/>
              <w:spacing w:line="251" w:lineRule="auto"/>
              <w:ind w:left="114" w:right="107" w:firstLine="3"/>
            </w:pPr>
            <w:r>
              <w:rPr>
                <w:spacing w:val="13"/>
              </w:rPr>
              <w:t>3）算术错误修正后的投标总价不大于本标段招标控</w:t>
            </w:r>
            <w:r>
              <w:rPr>
                <w:spacing w:val="5"/>
              </w:rPr>
              <w:t>制价总价；</w:t>
            </w:r>
          </w:p>
          <w:p w14:paraId="244D9822">
            <w:pPr>
              <w:pStyle w:val="6"/>
              <w:spacing w:before="1" w:line="234" w:lineRule="auto"/>
              <w:ind w:left="115" w:right="107" w:hanging="3"/>
            </w:pPr>
            <w:r>
              <w:rPr>
                <w:spacing w:val="13"/>
              </w:rPr>
              <w:t>4）投标函中的大写投标总报价（算术错误修正后的</w:t>
            </w:r>
            <w:r>
              <w:rPr>
                <w:spacing w:val="8"/>
              </w:rPr>
              <w:t>投标总价，如有）不低于其成本。</w:t>
            </w:r>
          </w:p>
        </w:tc>
      </w:tr>
      <w:tr w14:paraId="4A96F7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5" w:hRule="atLeast"/>
        </w:trPr>
        <w:tc>
          <w:tcPr>
            <w:tcW w:w="745" w:type="dxa"/>
            <w:vMerge w:val="continue"/>
            <w:tcBorders>
              <w:top w:val="nil"/>
            </w:tcBorders>
            <w:vAlign w:val="top"/>
          </w:tcPr>
          <w:p w14:paraId="59333C21">
            <w:pPr>
              <w:rPr>
                <w:rFonts w:ascii="Arial"/>
                <w:sz w:val="21"/>
              </w:rPr>
            </w:pPr>
          </w:p>
        </w:tc>
        <w:tc>
          <w:tcPr>
            <w:tcW w:w="1058" w:type="dxa"/>
            <w:vMerge w:val="continue"/>
            <w:tcBorders>
              <w:top w:val="nil"/>
            </w:tcBorders>
            <w:vAlign w:val="top"/>
          </w:tcPr>
          <w:p w14:paraId="2F558C66">
            <w:pPr>
              <w:rPr>
                <w:rFonts w:ascii="Arial"/>
                <w:sz w:val="21"/>
              </w:rPr>
            </w:pPr>
          </w:p>
        </w:tc>
        <w:tc>
          <w:tcPr>
            <w:tcW w:w="2339" w:type="dxa"/>
            <w:gridSpan w:val="2"/>
            <w:vAlign w:val="top"/>
          </w:tcPr>
          <w:p w14:paraId="70554027">
            <w:pPr>
              <w:spacing w:line="252" w:lineRule="auto"/>
              <w:rPr>
                <w:rFonts w:ascii="Arial"/>
                <w:sz w:val="21"/>
              </w:rPr>
            </w:pPr>
          </w:p>
          <w:p w14:paraId="1CC99589">
            <w:pPr>
              <w:spacing w:line="252" w:lineRule="auto"/>
              <w:rPr>
                <w:rFonts w:ascii="Arial"/>
                <w:sz w:val="21"/>
              </w:rPr>
            </w:pPr>
          </w:p>
          <w:p w14:paraId="3FC0AA05">
            <w:pPr>
              <w:spacing w:line="252" w:lineRule="auto"/>
              <w:rPr>
                <w:rFonts w:ascii="Arial"/>
                <w:sz w:val="21"/>
              </w:rPr>
            </w:pPr>
          </w:p>
          <w:p w14:paraId="5ED6D770">
            <w:pPr>
              <w:spacing w:line="252" w:lineRule="auto"/>
              <w:rPr>
                <w:rFonts w:ascii="Arial"/>
                <w:sz w:val="21"/>
              </w:rPr>
            </w:pPr>
          </w:p>
          <w:p w14:paraId="44D8772B">
            <w:pPr>
              <w:spacing w:line="253" w:lineRule="auto"/>
              <w:rPr>
                <w:rFonts w:ascii="Arial"/>
                <w:sz w:val="21"/>
              </w:rPr>
            </w:pPr>
          </w:p>
          <w:p w14:paraId="4A618EB0">
            <w:pPr>
              <w:spacing w:line="253" w:lineRule="auto"/>
              <w:rPr>
                <w:rFonts w:ascii="Arial"/>
                <w:sz w:val="21"/>
              </w:rPr>
            </w:pPr>
          </w:p>
          <w:p w14:paraId="458E3988">
            <w:pPr>
              <w:spacing w:line="253" w:lineRule="auto"/>
              <w:rPr>
                <w:rFonts w:ascii="Arial"/>
                <w:sz w:val="21"/>
              </w:rPr>
            </w:pPr>
          </w:p>
          <w:p w14:paraId="7CAF5759">
            <w:pPr>
              <w:spacing w:line="253" w:lineRule="auto"/>
              <w:rPr>
                <w:rFonts w:ascii="Arial"/>
                <w:sz w:val="21"/>
              </w:rPr>
            </w:pPr>
          </w:p>
          <w:p w14:paraId="6223FF80">
            <w:pPr>
              <w:spacing w:line="253" w:lineRule="auto"/>
              <w:rPr>
                <w:rFonts w:ascii="Arial"/>
                <w:sz w:val="21"/>
              </w:rPr>
            </w:pPr>
          </w:p>
          <w:p w14:paraId="593D90C1">
            <w:pPr>
              <w:pStyle w:val="6"/>
              <w:spacing w:before="65" w:line="226" w:lineRule="auto"/>
              <w:ind w:left="135"/>
            </w:pPr>
            <w:r>
              <w:rPr>
                <w:spacing w:val="5"/>
              </w:rPr>
              <w:t>已标价工程量清单</w:t>
            </w:r>
          </w:p>
        </w:tc>
        <w:tc>
          <w:tcPr>
            <w:tcW w:w="5042" w:type="dxa"/>
            <w:vAlign w:val="top"/>
          </w:tcPr>
          <w:p w14:paraId="47953BA1">
            <w:pPr>
              <w:pStyle w:val="6"/>
              <w:spacing w:before="37" w:line="251"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6A36934D">
            <w:pPr>
              <w:pStyle w:val="6"/>
              <w:spacing w:line="251" w:lineRule="auto"/>
              <w:ind w:left="112" w:right="107" w:firstLine="3"/>
            </w:pPr>
            <w:r>
              <w:rPr>
                <w:spacing w:val="10"/>
              </w:rPr>
              <w:t>2）</w:t>
            </w:r>
            <w:r>
              <w:rPr>
                <w:spacing w:val="-50"/>
              </w:rPr>
              <w:t xml:space="preserve"> </w:t>
            </w:r>
            <w:r>
              <w:rPr>
                <w:spacing w:val="10"/>
              </w:rPr>
              <w:t>已标价工程量清单符合第五章“工程量清</w:t>
            </w:r>
            <w:r>
              <w:rPr>
                <w:spacing w:val="9"/>
              </w:rPr>
              <w:t>单</w:t>
            </w:r>
            <w:r>
              <w:rPr>
                <w:spacing w:val="-65"/>
              </w:rPr>
              <w:t xml:space="preserve"> </w:t>
            </w:r>
            <w:r>
              <w:rPr>
                <w:spacing w:val="9"/>
              </w:rPr>
              <w:t>”给出的项目编码、项目名称、项目特征、计量单位和工</w:t>
            </w:r>
            <w:r>
              <w:rPr>
                <w:spacing w:val="3"/>
              </w:rPr>
              <w:t>程量；</w:t>
            </w:r>
          </w:p>
          <w:p w14:paraId="44E0161D">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42178262">
            <w:pPr>
              <w:pStyle w:val="6"/>
              <w:spacing w:before="28" w:line="250" w:lineRule="auto"/>
              <w:ind w:left="129" w:right="109" w:hanging="17"/>
            </w:pPr>
            <w:r>
              <w:rPr>
                <w:spacing w:val="12"/>
              </w:rPr>
              <w:t>4）专业工程暂估价符合第五章“工程量清单</w:t>
            </w:r>
            <w:r>
              <w:rPr>
                <w:spacing w:val="-63"/>
              </w:rPr>
              <w:t xml:space="preserve"> </w:t>
            </w:r>
            <w:r>
              <w:rPr>
                <w:spacing w:val="12"/>
              </w:rPr>
              <w:t>”列出</w:t>
            </w:r>
            <w:r>
              <w:t>的金额；</w:t>
            </w:r>
          </w:p>
          <w:p w14:paraId="6ACA4189">
            <w:pPr>
              <w:pStyle w:val="6"/>
              <w:spacing w:before="1" w:line="252" w:lineRule="auto"/>
              <w:ind w:left="115" w:right="109" w:firstLine="2"/>
            </w:pPr>
            <w:r>
              <w:rPr>
                <w:spacing w:val="13"/>
              </w:rPr>
              <w:t>5）材料（工程设备）暂估价符合第五章“工程量清</w:t>
            </w:r>
            <w:r>
              <w:rPr>
                <w:spacing w:val="6"/>
              </w:rPr>
              <w:t>单</w:t>
            </w:r>
            <w:r>
              <w:rPr>
                <w:spacing w:val="-64"/>
              </w:rPr>
              <w:t xml:space="preserve"> </w:t>
            </w:r>
            <w:r>
              <w:rPr>
                <w:spacing w:val="6"/>
              </w:rPr>
              <w:t>”列出的单价并计入综合单价；</w:t>
            </w:r>
          </w:p>
          <w:p w14:paraId="02C21B63">
            <w:pPr>
              <w:pStyle w:val="6"/>
              <w:spacing w:before="1" w:line="251" w:lineRule="auto"/>
              <w:ind w:left="115" w:right="158"/>
            </w:pPr>
            <w:r>
              <w:rPr>
                <w:spacing w:val="11"/>
              </w:rPr>
              <w:t>6）安全文明施工费、规费和税金等不可竞争费用，</w:t>
            </w:r>
            <w:r>
              <w:rPr>
                <w:spacing w:val="7"/>
              </w:rPr>
              <w:t>按照规定的标准计取；</w:t>
            </w:r>
          </w:p>
          <w:p w14:paraId="543A391A">
            <w:pPr>
              <w:pStyle w:val="6"/>
              <w:spacing w:before="1" w:line="227" w:lineRule="auto"/>
              <w:ind w:left="118"/>
            </w:pPr>
            <w:r>
              <w:rPr>
                <w:spacing w:val="8"/>
              </w:rPr>
              <w:t>7）计税方法符合招标文件的约定；</w:t>
            </w:r>
          </w:p>
          <w:p w14:paraId="23A7C07E">
            <w:pPr>
              <w:pStyle w:val="6"/>
              <w:spacing w:before="26" w:line="245" w:lineRule="auto"/>
              <w:ind w:left="113" w:right="55"/>
            </w:pPr>
            <w:r>
              <w:rPr>
                <w:spacing w:val="7"/>
              </w:rPr>
              <w:t>8）已标价工程量清单项目未填报的项目不超过三</w:t>
            </w:r>
            <w:r>
              <w:rPr>
                <w:spacing w:val="6"/>
              </w:rPr>
              <w:t>项，</w:t>
            </w:r>
            <w:r>
              <w:rPr>
                <w:spacing w:val="9"/>
              </w:rPr>
              <w:t>且不超过三项未填报的项目的费用合计（按招标控制价相应项目的费用合计计算）不超过其投标函中的大</w:t>
            </w:r>
            <w:r>
              <w:rPr>
                <w:spacing w:val="8"/>
              </w:rPr>
              <w:t>写投标总报价（算术错误修正后的投标总价，如有）</w:t>
            </w:r>
            <w:r>
              <w:rPr>
                <w:spacing w:val="4"/>
              </w:rPr>
              <w:t>的±1%。</w:t>
            </w:r>
          </w:p>
        </w:tc>
      </w:tr>
      <w:tr w14:paraId="5D8E9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6" w:hRule="atLeast"/>
        </w:trPr>
        <w:tc>
          <w:tcPr>
            <w:tcW w:w="1803" w:type="dxa"/>
            <w:gridSpan w:val="2"/>
            <w:vAlign w:val="top"/>
          </w:tcPr>
          <w:p w14:paraId="3CF9728F">
            <w:pPr>
              <w:spacing w:line="287" w:lineRule="auto"/>
              <w:rPr>
                <w:rFonts w:ascii="Arial"/>
                <w:sz w:val="21"/>
              </w:rPr>
            </w:pPr>
          </w:p>
          <w:p w14:paraId="3A10A446">
            <w:pPr>
              <w:spacing w:line="288" w:lineRule="auto"/>
              <w:rPr>
                <w:rFonts w:ascii="Arial"/>
                <w:sz w:val="21"/>
              </w:rPr>
            </w:pPr>
          </w:p>
          <w:p w14:paraId="19BACD84">
            <w:pPr>
              <w:spacing w:before="57"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3"/>
            <w:vAlign w:val="top"/>
          </w:tcPr>
          <w:p w14:paraId="476A3FC3">
            <w:pPr>
              <w:pStyle w:val="6"/>
              <w:spacing w:before="180" w:line="227" w:lineRule="auto"/>
              <w:ind w:left="111"/>
            </w:pPr>
            <w:r>
              <w:rPr>
                <w:spacing w:val="9"/>
              </w:rPr>
              <w:t>在本标段招标投标活动中，投标人不得存在的其他情形：</w:t>
            </w:r>
          </w:p>
          <w:p w14:paraId="2A675A5A">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721D52FE">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64A7B9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03" w:type="dxa"/>
            <w:gridSpan w:val="2"/>
            <w:vAlign w:val="top"/>
          </w:tcPr>
          <w:p w14:paraId="7F1765D2">
            <w:pPr>
              <w:pStyle w:val="6"/>
              <w:spacing w:before="121" w:line="228" w:lineRule="auto"/>
              <w:ind w:left="592"/>
            </w:pPr>
            <w:r>
              <w:rPr>
                <w:b/>
                <w:bCs/>
                <w:spacing w:val="5"/>
              </w:rPr>
              <w:t>条款号</w:t>
            </w:r>
          </w:p>
        </w:tc>
        <w:tc>
          <w:tcPr>
            <w:tcW w:w="2084" w:type="dxa"/>
            <w:vAlign w:val="top"/>
          </w:tcPr>
          <w:p w14:paraId="38E8A572">
            <w:pPr>
              <w:pStyle w:val="6"/>
              <w:spacing w:before="121" w:line="228" w:lineRule="auto"/>
              <w:ind w:left="627"/>
            </w:pPr>
            <w:r>
              <w:rPr>
                <w:b/>
                <w:bCs/>
                <w:spacing w:val="6"/>
              </w:rPr>
              <w:t>条款内容</w:t>
            </w:r>
          </w:p>
        </w:tc>
        <w:tc>
          <w:tcPr>
            <w:tcW w:w="5297" w:type="dxa"/>
            <w:gridSpan w:val="2"/>
            <w:vAlign w:val="top"/>
          </w:tcPr>
          <w:p w14:paraId="5168F2E9">
            <w:pPr>
              <w:pStyle w:val="6"/>
              <w:spacing w:before="121" w:line="228" w:lineRule="auto"/>
              <w:ind w:left="2232"/>
            </w:pPr>
            <w:r>
              <w:rPr>
                <w:b/>
                <w:bCs/>
                <w:spacing w:val="6"/>
              </w:rPr>
              <w:t>编列内容</w:t>
            </w:r>
          </w:p>
        </w:tc>
      </w:tr>
      <w:tr w14:paraId="305B6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trPr>
        <w:tc>
          <w:tcPr>
            <w:tcW w:w="1803" w:type="dxa"/>
            <w:gridSpan w:val="2"/>
            <w:vAlign w:val="top"/>
          </w:tcPr>
          <w:p w14:paraId="6412CA4C">
            <w:pPr>
              <w:spacing w:line="277" w:lineRule="auto"/>
              <w:rPr>
                <w:rFonts w:ascii="Arial"/>
                <w:sz w:val="21"/>
              </w:rPr>
            </w:pPr>
          </w:p>
          <w:p w14:paraId="12E8F4E1">
            <w:pPr>
              <w:spacing w:line="278" w:lineRule="auto"/>
              <w:rPr>
                <w:rFonts w:ascii="Arial"/>
                <w:sz w:val="21"/>
              </w:rPr>
            </w:pPr>
          </w:p>
          <w:p w14:paraId="642CA24B">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51D69FE3">
            <w:pPr>
              <w:spacing w:line="318" w:lineRule="auto"/>
              <w:rPr>
                <w:rFonts w:ascii="Arial"/>
                <w:sz w:val="21"/>
              </w:rPr>
            </w:pPr>
          </w:p>
          <w:p w14:paraId="00C39B92">
            <w:pPr>
              <w:pStyle w:val="6"/>
              <w:spacing w:before="65" w:line="228" w:lineRule="auto"/>
              <w:ind w:left="115"/>
            </w:pPr>
            <w:r>
              <w:rPr>
                <w:spacing w:val="6"/>
              </w:rPr>
              <w:t>分值构成</w:t>
            </w:r>
          </w:p>
          <w:p w14:paraId="3AAA903C">
            <w:pPr>
              <w:pStyle w:val="6"/>
              <w:spacing w:before="25" w:line="228" w:lineRule="auto"/>
              <w:ind w:left="122"/>
            </w:pPr>
            <w:r>
              <w:t>（总分</w:t>
            </w:r>
            <w:r>
              <w:rPr>
                <w:spacing w:val="-16"/>
              </w:rPr>
              <w:t xml:space="preserve"> </w:t>
            </w:r>
            <w:r>
              <w:t>100</w:t>
            </w:r>
            <w:r>
              <w:rPr>
                <w:spacing w:val="-35"/>
              </w:rPr>
              <w:t xml:space="preserve"> </w:t>
            </w:r>
            <w:r>
              <w:t>分+3</w:t>
            </w:r>
            <w:r>
              <w:rPr>
                <w:spacing w:val="-38"/>
              </w:rPr>
              <w:t xml:space="preserve"> </w:t>
            </w:r>
            <w:r>
              <w:t>分）</w:t>
            </w:r>
          </w:p>
        </w:tc>
        <w:tc>
          <w:tcPr>
            <w:tcW w:w="5297" w:type="dxa"/>
            <w:gridSpan w:val="2"/>
            <w:vAlign w:val="top"/>
          </w:tcPr>
          <w:p w14:paraId="0CDB3D63">
            <w:pPr>
              <w:pStyle w:val="6"/>
              <w:spacing w:before="114" w:line="226" w:lineRule="auto"/>
              <w:ind w:left="116"/>
            </w:pPr>
            <w:r>
              <w:rPr>
                <w:spacing w:val="3"/>
              </w:rPr>
              <w:t>投标报价：</w:t>
            </w:r>
            <w:r>
              <w:rPr>
                <w:spacing w:val="10"/>
              </w:rPr>
              <w:t xml:space="preserve">     </w:t>
            </w:r>
            <w:r>
              <w:rPr>
                <w:spacing w:val="3"/>
              </w:rPr>
              <w:t>60</w:t>
            </w:r>
            <w:r>
              <w:rPr>
                <w:spacing w:val="-37"/>
              </w:rPr>
              <w:t xml:space="preserve"> </w:t>
            </w:r>
            <w:r>
              <w:rPr>
                <w:spacing w:val="3"/>
              </w:rPr>
              <w:t>分（+3</w:t>
            </w:r>
            <w:r>
              <w:rPr>
                <w:spacing w:val="-35"/>
              </w:rPr>
              <w:t xml:space="preserve"> </w:t>
            </w:r>
            <w:r>
              <w:rPr>
                <w:spacing w:val="3"/>
              </w:rPr>
              <w:t>分）</w:t>
            </w:r>
          </w:p>
          <w:p w14:paraId="22154302">
            <w:pPr>
              <w:pStyle w:val="6"/>
              <w:spacing w:before="26" w:line="228" w:lineRule="auto"/>
              <w:ind w:left="113"/>
            </w:pPr>
            <w:r>
              <w:rPr>
                <w:spacing w:val="5"/>
              </w:rPr>
              <w:t>施工组织设计：</w:t>
            </w:r>
            <w:r>
              <w:rPr>
                <w:spacing w:val="36"/>
              </w:rPr>
              <w:t xml:space="preserve"> </w:t>
            </w:r>
            <w:r>
              <w:rPr>
                <w:spacing w:val="5"/>
              </w:rPr>
              <w:t>20 分</w:t>
            </w:r>
          </w:p>
          <w:p w14:paraId="36B5AF99">
            <w:pPr>
              <w:pStyle w:val="6"/>
              <w:spacing w:before="23" w:line="227" w:lineRule="auto"/>
              <w:ind w:left="117"/>
            </w:pPr>
            <w:r>
              <w:rPr>
                <w:spacing w:val="5"/>
              </w:rPr>
              <w:t>项目管理机构：</w:t>
            </w:r>
            <w:r>
              <w:rPr>
                <w:spacing w:val="18"/>
              </w:rPr>
              <w:t xml:space="preserve">  </w:t>
            </w:r>
            <w:r>
              <w:rPr>
                <w:spacing w:val="5"/>
              </w:rPr>
              <w:t>8 分</w:t>
            </w:r>
          </w:p>
          <w:p w14:paraId="69143479">
            <w:pPr>
              <w:pStyle w:val="6"/>
              <w:spacing w:before="27" w:line="228" w:lineRule="auto"/>
              <w:ind w:left="114"/>
            </w:pPr>
            <w:r>
              <w:rPr>
                <w:spacing w:val="4"/>
              </w:rPr>
              <w:t>其他评分因素：</w:t>
            </w:r>
            <w:r>
              <w:rPr>
                <w:spacing w:val="45"/>
              </w:rPr>
              <w:t xml:space="preserve"> </w:t>
            </w:r>
            <w:r>
              <w:rPr>
                <w:spacing w:val="4"/>
              </w:rPr>
              <w:t>12 分</w:t>
            </w:r>
          </w:p>
        </w:tc>
      </w:tr>
      <w:tr w14:paraId="0F61F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5" w:hRule="atLeast"/>
        </w:trPr>
        <w:tc>
          <w:tcPr>
            <w:tcW w:w="1803" w:type="dxa"/>
            <w:gridSpan w:val="2"/>
            <w:vAlign w:val="top"/>
          </w:tcPr>
          <w:p w14:paraId="4C88F84D">
            <w:pPr>
              <w:spacing w:line="332" w:lineRule="auto"/>
              <w:rPr>
                <w:rFonts w:ascii="Arial"/>
                <w:sz w:val="21"/>
              </w:rPr>
            </w:pPr>
          </w:p>
          <w:p w14:paraId="6190298D">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35F8591D">
            <w:pPr>
              <w:pStyle w:val="6"/>
              <w:spacing w:before="216"/>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3F4E9935">
            <w:pPr>
              <w:spacing w:line="449" w:lineRule="auto"/>
              <w:rPr>
                <w:rFonts w:ascii="Arial"/>
                <w:sz w:val="21"/>
              </w:rPr>
            </w:pPr>
          </w:p>
          <w:p w14:paraId="4966C215">
            <w:pPr>
              <w:pStyle w:val="6"/>
              <w:spacing w:before="65" w:line="226" w:lineRule="auto"/>
              <w:ind w:left="111"/>
            </w:pPr>
            <w:r>
              <w:rPr>
                <w:spacing w:val="8"/>
              </w:rPr>
              <w:t>评标价确定方法</w:t>
            </w:r>
          </w:p>
        </w:tc>
        <w:tc>
          <w:tcPr>
            <w:tcW w:w="5297" w:type="dxa"/>
            <w:gridSpan w:val="2"/>
            <w:vAlign w:val="top"/>
          </w:tcPr>
          <w:p w14:paraId="21A55C6D">
            <w:pPr>
              <w:pStyle w:val="6"/>
              <w:spacing w:before="245" w:line="252" w:lineRule="auto"/>
              <w:ind w:left="112" w:right="135"/>
              <w:jc w:val="both"/>
            </w:pPr>
            <w:r>
              <w:rPr>
                <w:spacing w:val="6"/>
              </w:rPr>
              <w:t>评标价＝投标函中的大写投标总报价（或经投标人书面</w:t>
            </w:r>
            <w:r>
              <w:rPr>
                <w:spacing w:val="1"/>
              </w:rPr>
              <w:t>确认的算术错误修正后的投标总价）-（暂列金额+税金）</w:t>
            </w:r>
            <w:r>
              <w:rPr>
                <w:spacing w:val="17"/>
              </w:rPr>
              <w:t xml:space="preserve"> </w:t>
            </w:r>
            <w:r>
              <w:rPr>
                <w:spacing w:val="7"/>
              </w:rPr>
              <w:t>-（专业工程暂估价+税金）</w:t>
            </w:r>
          </w:p>
        </w:tc>
      </w:tr>
    </w:tbl>
    <w:p w14:paraId="4161B5E6">
      <w:pPr>
        <w:rPr>
          <w:rFonts w:ascii="Arial"/>
          <w:sz w:val="21"/>
        </w:rPr>
      </w:pPr>
    </w:p>
    <w:p w14:paraId="013AA85C">
      <w:pPr>
        <w:rPr>
          <w:rFonts w:ascii="Arial" w:hAnsi="Arial" w:eastAsia="Arial" w:cs="Arial"/>
          <w:sz w:val="21"/>
          <w:szCs w:val="21"/>
        </w:rPr>
        <w:sectPr>
          <w:footerReference r:id="rId70" w:type="default"/>
          <w:pgSz w:w="11907" w:h="16840"/>
          <w:pgMar w:top="400" w:right="1248" w:bottom="1035" w:left="1469" w:header="0" w:footer="785" w:gutter="0"/>
          <w:cols w:space="720" w:num="1"/>
        </w:sectPr>
      </w:pPr>
    </w:p>
    <w:p w14:paraId="75B2108A">
      <w:pPr>
        <w:spacing w:before="19"/>
      </w:pPr>
    </w:p>
    <w:p w14:paraId="3592AD30">
      <w:pPr>
        <w:spacing w:before="19"/>
      </w:pPr>
    </w:p>
    <w:p w14:paraId="1EB46643">
      <w:pPr>
        <w:spacing w:before="19"/>
      </w:pPr>
    </w:p>
    <w:p w14:paraId="78F4406E">
      <w:pPr>
        <w:spacing w:before="18"/>
      </w:pPr>
    </w:p>
    <w:p w14:paraId="1F1717F8">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1F46E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2" w:hRule="atLeast"/>
        </w:trPr>
        <w:tc>
          <w:tcPr>
            <w:tcW w:w="1803" w:type="dxa"/>
            <w:gridSpan w:val="2"/>
            <w:vAlign w:val="top"/>
          </w:tcPr>
          <w:p w14:paraId="0E6B831E">
            <w:pPr>
              <w:spacing w:line="353" w:lineRule="auto"/>
              <w:rPr>
                <w:rFonts w:ascii="Arial"/>
                <w:sz w:val="21"/>
              </w:rPr>
            </w:pPr>
          </w:p>
          <w:p w14:paraId="4020BEAF">
            <w:pPr>
              <w:spacing w:line="354" w:lineRule="auto"/>
              <w:rPr>
                <w:rFonts w:ascii="Arial"/>
                <w:sz w:val="21"/>
              </w:rPr>
            </w:pPr>
          </w:p>
          <w:p w14:paraId="57B06773">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20377193">
            <w:pPr>
              <w:pStyle w:val="6"/>
              <w:spacing w:before="216"/>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0215CEC2">
            <w:pPr>
              <w:spacing w:line="345" w:lineRule="auto"/>
              <w:rPr>
                <w:rFonts w:ascii="Arial"/>
                <w:sz w:val="21"/>
              </w:rPr>
            </w:pPr>
          </w:p>
          <w:p w14:paraId="1773C012">
            <w:pPr>
              <w:spacing w:line="345" w:lineRule="auto"/>
              <w:rPr>
                <w:rFonts w:ascii="Arial"/>
                <w:sz w:val="21"/>
              </w:rPr>
            </w:pPr>
          </w:p>
          <w:p w14:paraId="733E2F61">
            <w:pPr>
              <w:pStyle w:val="6"/>
              <w:spacing w:before="65" w:line="255" w:lineRule="auto"/>
              <w:ind w:left="112" w:right="107" w:hanging="1"/>
            </w:pPr>
            <w:r>
              <w:rPr>
                <w:spacing w:val="32"/>
              </w:rPr>
              <w:t>评标基准价计算方</w:t>
            </w:r>
            <w:r>
              <w:t>法</w:t>
            </w:r>
          </w:p>
        </w:tc>
        <w:tc>
          <w:tcPr>
            <w:tcW w:w="5297" w:type="dxa"/>
            <w:gridSpan w:val="2"/>
            <w:vAlign w:val="top"/>
          </w:tcPr>
          <w:p w14:paraId="68D7FDF5">
            <w:pPr>
              <w:pStyle w:val="6"/>
              <w:spacing w:before="80"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6F138CBE">
            <w:pPr>
              <w:pStyle w:val="6"/>
              <w:spacing w:before="1" w:line="252"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35319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803" w:type="dxa"/>
            <w:gridSpan w:val="2"/>
            <w:vAlign w:val="top"/>
          </w:tcPr>
          <w:p w14:paraId="314E2191">
            <w:pPr>
              <w:spacing w:line="332" w:lineRule="auto"/>
              <w:rPr>
                <w:rFonts w:ascii="Arial"/>
                <w:sz w:val="21"/>
              </w:rPr>
            </w:pPr>
          </w:p>
          <w:p w14:paraId="7D448054">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61A3FD00">
            <w:pPr>
              <w:pStyle w:val="6"/>
              <w:spacing w:before="161" w:line="252" w:lineRule="auto"/>
              <w:ind w:left="112" w:right="296" w:firstLine="2"/>
            </w:pPr>
            <w:r>
              <w:rPr>
                <w:spacing w:val="8"/>
              </w:rPr>
              <w:t>投标报价的偏差率</w:t>
            </w:r>
            <w:r>
              <w:rPr>
                <w:spacing w:val="7"/>
              </w:rPr>
              <w:t>计算公式</w:t>
            </w:r>
          </w:p>
        </w:tc>
        <w:tc>
          <w:tcPr>
            <w:tcW w:w="5297" w:type="dxa"/>
            <w:gridSpan w:val="2"/>
            <w:vAlign w:val="top"/>
          </w:tcPr>
          <w:p w14:paraId="5E08043C">
            <w:pPr>
              <w:pStyle w:val="6"/>
              <w:spacing w:before="162" w:line="251" w:lineRule="auto"/>
              <w:ind w:left="115" w:right="107" w:hanging="1"/>
            </w:pPr>
            <w:r>
              <w:rPr>
                <w:spacing w:val="6"/>
              </w:rPr>
              <w:t>偏差率=100%×（投标人评标价－评标基准价）÷评标基</w:t>
            </w:r>
            <w:r>
              <w:rPr>
                <w:spacing w:val="3"/>
              </w:rPr>
              <w:t>准价</w:t>
            </w:r>
          </w:p>
        </w:tc>
      </w:tr>
      <w:tr w14:paraId="33470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325D051C">
            <w:pPr>
              <w:pStyle w:val="6"/>
              <w:spacing w:before="166" w:line="228" w:lineRule="auto"/>
              <w:ind w:left="592"/>
            </w:pPr>
            <w:r>
              <w:rPr>
                <w:b/>
                <w:bCs/>
                <w:spacing w:val="5"/>
              </w:rPr>
              <w:t>条款号</w:t>
            </w:r>
          </w:p>
        </w:tc>
        <w:tc>
          <w:tcPr>
            <w:tcW w:w="2084" w:type="dxa"/>
            <w:vAlign w:val="top"/>
          </w:tcPr>
          <w:p w14:paraId="013B031B">
            <w:pPr>
              <w:pStyle w:val="6"/>
              <w:spacing w:before="166" w:line="228" w:lineRule="auto"/>
              <w:ind w:left="625"/>
            </w:pPr>
            <w:r>
              <w:rPr>
                <w:b/>
                <w:bCs/>
                <w:spacing w:val="6"/>
              </w:rPr>
              <w:t>评分因素</w:t>
            </w:r>
          </w:p>
        </w:tc>
        <w:tc>
          <w:tcPr>
            <w:tcW w:w="735" w:type="dxa"/>
            <w:vAlign w:val="top"/>
          </w:tcPr>
          <w:p w14:paraId="5902066D">
            <w:pPr>
              <w:pStyle w:val="6"/>
              <w:spacing w:before="32" w:line="234" w:lineRule="auto"/>
              <w:ind w:left="269" w:right="155" w:hanging="107"/>
            </w:pPr>
            <w:r>
              <w:rPr>
                <w:b/>
                <w:bCs/>
                <w:spacing w:val="3"/>
              </w:rPr>
              <w:t>标准</w:t>
            </w:r>
            <w:r>
              <w:rPr>
                <w:b/>
                <w:bCs/>
                <w:spacing w:val="-3"/>
              </w:rPr>
              <w:t>分</w:t>
            </w:r>
          </w:p>
        </w:tc>
        <w:tc>
          <w:tcPr>
            <w:tcW w:w="4562" w:type="dxa"/>
            <w:vAlign w:val="top"/>
          </w:tcPr>
          <w:p w14:paraId="2EB0F364">
            <w:pPr>
              <w:pStyle w:val="6"/>
              <w:spacing w:before="167" w:line="228" w:lineRule="auto"/>
              <w:ind w:left="1862"/>
            </w:pPr>
            <w:r>
              <w:rPr>
                <w:b/>
                <w:bCs/>
                <w:spacing w:val="6"/>
              </w:rPr>
              <w:t>评分标准</w:t>
            </w:r>
          </w:p>
        </w:tc>
      </w:tr>
      <w:tr w14:paraId="7334F7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8" w:hRule="atLeast"/>
        </w:trPr>
        <w:tc>
          <w:tcPr>
            <w:tcW w:w="745" w:type="dxa"/>
            <w:vMerge w:val="restart"/>
            <w:tcBorders>
              <w:bottom w:val="nil"/>
            </w:tcBorders>
            <w:vAlign w:val="top"/>
          </w:tcPr>
          <w:p w14:paraId="536BF0B0">
            <w:pPr>
              <w:spacing w:line="250" w:lineRule="auto"/>
              <w:rPr>
                <w:rFonts w:ascii="Arial"/>
                <w:sz w:val="21"/>
              </w:rPr>
            </w:pPr>
          </w:p>
          <w:p w14:paraId="6035FA5E">
            <w:pPr>
              <w:spacing w:line="250" w:lineRule="auto"/>
              <w:rPr>
                <w:rFonts w:ascii="Arial"/>
                <w:sz w:val="21"/>
              </w:rPr>
            </w:pPr>
          </w:p>
          <w:p w14:paraId="57E5E98A">
            <w:pPr>
              <w:spacing w:line="250" w:lineRule="auto"/>
              <w:rPr>
                <w:rFonts w:ascii="Arial"/>
                <w:sz w:val="21"/>
              </w:rPr>
            </w:pPr>
          </w:p>
          <w:p w14:paraId="47426923">
            <w:pPr>
              <w:spacing w:line="250" w:lineRule="auto"/>
              <w:rPr>
                <w:rFonts w:ascii="Arial"/>
                <w:sz w:val="21"/>
              </w:rPr>
            </w:pPr>
          </w:p>
          <w:p w14:paraId="016D484A">
            <w:pPr>
              <w:spacing w:line="250" w:lineRule="auto"/>
              <w:rPr>
                <w:rFonts w:ascii="Arial"/>
                <w:sz w:val="21"/>
              </w:rPr>
            </w:pPr>
          </w:p>
          <w:p w14:paraId="3879BFFB">
            <w:pPr>
              <w:spacing w:line="250" w:lineRule="auto"/>
              <w:rPr>
                <w:rFonts w:ascii="Arial"/>
                <w:sz w:val="21"/>
              </w:rPr>
            </w:pPr>
          </w:p>
          <w:p w14:paraId="27CA596F">
            <w:pPr>
              <w:spacing w:line="250" w:lineRule="auto"/>
              <w:rPr>
                <w:rFonts w:ascii="Arial"/>
                <w:sz w:val="21"/>
              </w:rPr>
            </w:pPr>
          </w:p>
          <w:p w14:paraId="7DFF1B71">
            <w:pPr>
              <w:spacing w:line="250" w:lineRule="auto"/>
              <w:rPr>
                <w:rFonts w:ascii="Arial"/>
                <w:sz w:val="21"/>
              </w:rPr>
            </w:pPr>
          </w:p>
          <w:p w14:paraId="4DAA87A5">
            <w:pPr>
              <w:spacing w:line="250" w:lineRule="auto"/>
              <w:rPr>
                <w:rFonts w:ascii="Arial"/>
                <w:sz w:val="21"/>
              </w:rPr>
            </w:pPr>
          </w:p>
          <w:p w14:paraId="47EE9335">
            <w:pPr>
              <w:spacing w:line="250" w:lineRule="auto"/>
              <w:rPr>
                <w:rFonts w:ascii="Arial"/>
                <w:sz w:val="21"/>
              </w:rPr>
            </w:pPr>
          </w:p>
          <w:p w14:paraId="27858203">
            <w:pPr>
              <w:spacing w:line="250" w:lineRule="auto"/>
              <w:rPr>
                <w:rFonts w:ascii="Arial"/>
                <w:sz w:val="21"/>
              </w:rPr>
            </w:pPr>
          </w:p>
          <w:p w14:paraId="2147AD7A">
            <w:pPr>
              <w:spacing w:line="250" w:lineRule="auto"/>
              <w:rPr>
                <w:rFonts w:ascii="Arial"/>
                <w:sz w:val="21"/>
              </w:rPr>
            </w:pPr>
          </w:p>
          <w:p w14:paraId="70E12B83">
            <w:pPr>
              <w:spacing w:line="250" w:lineRule="auto"/>
              <w:rPr>
                <w:rFonts w:ascii="Arial"/>
                <w:sz w:val="21"/>
              </w:rPr>
            </w:pPr>
          </w:p>
          <w:p w14:paraId="32A0100B">
            <w:pPr>
              <w:spacing w:line="250" w:lineRule="auto"/>
              <w:rPr>
                <w:rFonts w:ascii="Arial"/>
                <w:sz w:val="21"/>
              </w:rPr>
            </w:pPr>
          </w:p>
          <w:p w14:paraId="5CA1E0B0">
            <w:pPr>
              <w:spacing w:line="250" w:lineRule="auto"/>
              <w:rPr>
                <w:rFonts w:ascii="Arial"/>
                <w:sz w:val="21"/>
              </w:rPr>
            </w:pPr>
          </w:p>
          <w:p w14:paraId="7D97B7D3">
            <w:pPr>
              <w:spacing w:line="251" w:lineRule="auto"/>
              <w:rPr>
                <w:rFonts w:ascii="Arial"/>
                <w:sz w:val="21"/>
              </w:rPr>
            </w:pPr>
          </w:p>
          <w:p w14:paraId="7D84C31D">
            <w:pPr>
              <w:spacing w:line="251" w:lineRule="auto"/>
              <w:rPr>
                <w:rFonts w:ascii="Arial"/>
                <w:sz w:val="21"/>
              </w:rPr>
            </w:pPr>
          </w:p>
          <w:p w14:paraId="0BB6AA33">
            <w:pPr>
              <w:spacing w:line="251" w:lineRule="auto"/>
              <w:rPr>
                <w:rFonts w:ascii="Arial"/>
                <w:sz w:val="21"/>
              </w:rPr>
            </w:pPr>
          </w:p>
          <w:p w14:paraId="18BC911E">
            <w:pPr>
              <w:spacing w:line="251" w:lineRule="auto"/>
              <w:rPr>
                <w:rFonts w:ascii="Arial"/>
                <w:sz w:val="21"/>
              </w:rPr>
            </w:pPr>
          </w:p>
          <w:p w14:paraId="2542D4EB">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7AAAF12D">
            <w:pPr>
              <w:pStyle w:val="6"/>
              <w:spacing w:before="218"/>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143EB2DF">
            <w:pPr>
              <w:spacing w:line="249" w:lineRule="auto"/>
              <w:rPr>
                <w:rFonts w:ascii="Arial"/>
                <w:sz w:val="21"/>
              </w:rPr>
            </w:pPr>
          </w:p>
          <w:p w14:paraId="1889111E">
            <w:pPr>
              <w:spacing w:line="249" w:lineRule="auto"/>
              <w:rPr>
                <w:rFonts w:ascii="Arial"/>
                <w:sz w:val="21"/>
              </w:rPr>
            </w:pPr>
          </w:p>
          <w:p w14:paraId="22328C8C">
            <w:pPr>
              <w:spacing w:line="249" w:lineRule="auto"/>
              <w:rPr>
                <w:rFonts w:ascii="Arial"/>
                <w:sz w:val="21"/>
              </w:rPr>
            </w:pPr>
          </w:p>
          <w:p w14:paraId="13A58E9F">
            <w:pPr>
              <w:spacing w:line="249" w:lineRule="auto"/>
              <w:rPr>
                <w:rFonts w:ascii="Arial"/>
                <w:sz w:val="21"/>
              </w:rPr>
            </w:pPr>
          </w:p>
          <w:p w14:paraId="7B3B0A10">
            <w:pPr>
              <w:spacing w:line="249" w:lineRule="auto"/>
              <w:rPr>
                <w:rFonts w:ascii="Arial"/>
                <w:sz w:val="21"/>
              </w:rPr>
            </w:pPr>
          </w:p>
          <w:p w14:paraId="619883DF">
            <w:pPr>
              <w:spacing w:line="249" w:lineRule="auto"/>
              <w:rPr>
                <w:rFonts w:ascii="Arial"/>
                <w:sz w:val="21"/>
              </w:rPr>
            </w:pPr>
          </w:p>
          <w:p w14:paraId="5C5417DA">
            <w:pPr>
              <w:spacing w:line="249" w:lineRule="auto"/>
              <w:rPr>
                <w:rFonts w:ascii="Arial"/>
                <w:sz w:val="21"/>
              </w:rPr>
            </w:pPr>
          </w:p>
          <w:p w14:paraId="09B13D74">
            <w:pPr>
              <w:spacing w:line="249" w:lineRule="auto"/>
              <w:rPr>
                <w:rFonts w:ascii="Arial"/>
                <w:sz w:val="21"/>
              </w:rPr>
            </w:pPr>
          </w:p>
          <w:p w14:paraId="7D00B15C">
            <w:pPr>
              <w:spacing w:line="249" w:lineRule="auto"/>
              <w:rPr>
                <w:rFonts w:ascii="Arial"/>
                <w:sz w:val="21"/>
              </w:rPr>
            </w:pPr>
          </w:p>
          <w:p w14:paraId="78E4EF44">
            <w:pPr>
              <w:spacing w:line="249" w:lineRule="auto"/>
              <w:rPr>
                <w:rFonts w:ascii="Arial"/>
                <w:sz w:val="21"/>
              </w:rPr>
            </w:pPr>
          </w:p>
          <w:p w14:paraId="29D0F90A">
            <w:pPr>
              <w:spacing w:line="249" w:lineRule="auto"/>
              <w:rPr>
                <w:rFonts w:ascii="Arial"/>
                <w:sz w:val="21"/>
              </w:rPr>
            </w:pPr>
          </w:p>
          <w:p w14:paraId="34BF74EF">
            <w:pPr>
              <w:spacing w:line="249" w:lineRule="auto"/>
              <w:rPr>
                <w:rFonts w:ascii="Arial"/>
                <w:sz w:val="21"/>
              </w:rPr>
            </w:pPr>
          </w:p>
          <w:p w14:paraId="6C2D344A">
            <w:pPr>
              <w:spacing w:line="250" w:lineRule="auto"/>
              <w:rPr>
                <w:rFonts w:ascii="Arial"/>
                <w:sz w:val="21"/>
              </w:rPr>
            </w:pPr>
          </w:p>
          <w:p w14:paraId="415A1D76">
            <w:pPr>
              <w:spacing w:line="250" w:lineRule="auto"/>
              <w:rPr>
                <w:rFonts w:ascii="Arial"/>
                <w:sz w:val="21"/>
              </w:rPr>
            </w:pPr>
          </w:p>
          <w:p w14:paraId="79BAD0CD">
            <w:pPr>
              <w:spacing w:line="250" w:lineRule="auto"/>
              <w:rPr>
                <w:rFonts w:ascii="Arial"/>
                <w:sz w:val="21"/>
              </w:rPr>
            </w:pPr>
          </w:p>
          <w:p w14:paraId="08EBCE25">
            <w:pPr>
              <w:spacing w:line="250" w:lineRule="auto"/>
              <w:rPr>
                <w:rFonts w:ascii="Arial"/>
                <w:sz w:val="21"/>
              </w:rPr>
            </w:pPr>
          </w:p>
          <w:p w14:paraId="0C5389D6">
            <w:pPr>
              <w:spacing w:line="250" w:lineRule="auto"/>
              <w:rPr>
                <w:rFonts w:ascii="Arial"/>
                <w:sz w:val="21"/>
              </w:rPr>
            </w:pPr>
          </w:p>
          <w:p w14:paraId="309E650C">
            <w:pPr>
              <w:spacing w:line="250" w:lineRule="auto"/>
              <w:rPr>
                <w:rFonts w:ascii="Arial"/>
                <w:sz w:val="21"/>
              </w:rPr>
            </w:pPr>
          </w:p>
          <w:p w14:paraId="72CA1405">
            <w:pPr>
              <w:spacing w:line="250" w:lineRule="auto"/>
              <w:rPr>
                <w:rFonts w:ascii="Arial"/>
                <w:sz w:val="21"/>
              </w:rPr>
            </w:pPr>
          </w:p>
          <w:p w14:paraId="41F19567">
            <w:pPr>
              <w:pStyle w:val="6"/>
              <w:spacing w:before="65" w:line="254" w:lineRule="auto"/>
              <w:ind w:left="111" w:right="111" w:firstLine="3"/>
            </w:pPr>
            <w:r>
              <w:rPr>
                <w:spacing w:val="6"/>
              </w:rPr>
              <w:t>投标报价</w:t>
            </w:r>
            <w:r>
              <w:rPr>
                <w:spacing w:val="7"/>
              </w:rPr>
              <w:t>评分标准</w:t>
            </w:r>
          </w:p>
        </w:tc>
        <w:tc>
          <w:tcPr>
            <w:tcW w:w="2084" w:type="dxa"/>
            <w:vAlign w:val="top"/>
          </w:tcPr>
          <w:p w14:paraId="12B6F6D0">
            <w:pPr>
              <w:spacing w:line="309" w:lineRule="auto"/>
              <w:rPr>
                <w:rFonts w:ascii="Arial"/>
                <w:sz w:val="21"/>
              </w:rPr>
            </w:pPr>
          </w:p>
          <w:p w14:paraId="27854AB7">
            <w:pPr>
              <w:spacing w:line="309" w:lineRule="auto"/>
              <w:rPr>
                <w:rFonts w:ascii="Arial"/>
                <w:sz w:val="21"/>
              </w:rPr>
            </w:pPr>
          </w:p>
          <w:p w14:paraId="2430FEB4">
            <w:pPr>
              <w:pStyle w:val="6"/>
              <w:spacing w:before="65" w:line="226" w:lineRule="auto"/>
              <w:ind w:left="112"/>
            </w:pPr>
            <w:r>
              <w:rPr>
                <w:spacing w:val="8"/>
              </w:rPr>
              <w:t>计算投标报价得分</w:t>
            </w:r>
          </w:p>
        </w:tc>
        <w:tc>
          <w:tcPr>
            <w:tcW w:w="735" w:type="dxa"/>
            <w:vAlign w:val="top"/>
          </w:tcPr>
          <w:p w14:paraId="0DBE1C68">
            <w:pPr>
              <w:spacing w:line="309" w:lineRule="auto"/>
              <w:rPr>
                <w:rFonts w:ascii="Arial"/>
                <w:sz w:val="21"/>
              </w:rPr>
            </w:pPr>
          </w:p>
          <w:p w14:paraId="20B43433">
            <w:pPr>
              <w:spacing w:line="309" w:lineRule="auto"/>
              <w:rPr>
                <w:rFonts w:ascii="Arial"/>
                <w:sz w:val="21"/>
              </w:rPr>
            </w:pPr>
          </w:p>
          <w:p w14:paraId="5C56B511">
            <w:pPr>
              <w:pStyle w:val="6"/>
              <w:spacing w:before="65" w:line="228" w:lineRule="auto"/>
              <w:ind w:left="137"/>
            </w:pPr>
            <w:r>
              <w:t>60</w:t>
            </w:r>
            <w:r>
              <w:rPr>
                <w:spacing w:val="-36"/>
              </w:rPr>
              <w:t xml:space="preserve"> </w:t>
            </w:r>
            <w:r>
              <w:t>分</w:t>
            </w:r>
          </w:p>
        </w:tc>
        <w:tc>
          <w:tcPr>
            <w:tcW w:w="4562" w:type="dxa"/>
            <w:vAlign w:val="top"/>
          </w:tcPr>
          <w:p w14:paraId="5634E9C5">
            <w:pPr>
              <w:pStyle w:val="6"/>
              <w:spacing w:before="142" w:line="251" w:lineRule="auto"/>
              <w:ind w:left="115" w:right="148" w:hanging="5"/>
            </w:pPr>
            <w:r>
              <w:rPr>
                <w:spacing w:val="7"/>
              </w:rPr>
              <w:t>F＝60-（投标人评标价-评标基准价）</w:t>
            </w:r>
            <w:r>
              <w:rPr>
                <w:spacing w:val="-60"/>
              </w:rPr>
              <w:t xml:space="preserve"> </w:t>
            </w:r>
            <w:r>
              <w:rPr>
                <w:spacing w:val="6"/>
              </w:rPr>
              <w:t>÷评标基</w:t>
            </w:r>
            <w:r>
              <w:rPr>
                <w:spacing w:val="7"/>
              </w:rPr>
              <w:t>准价×100×3   （评标价＞基准价时）</w:t>
            </w:r>
          </w:p>
          <w:p w14:paraId="3F52D9A0">
            <w:pPr>
              <w:pStyle w:val="6"/>
              <w:spacing w:line="251" w:lineRule="auto"/>
              <w:ind w:left="115" w:right="148" w:hanging="5"/>
            </w:pPr>
            <w:r>
              <w:rPr>
                <w:spacing w:val="6"/>
              </w:rPr>
              <w:t>F＝60-（评标基准价-投标人评标价）</w:t>
            </w:r>
            <w:r>
              <w:rPr>
                <w:spacing w:val="-41"/>
              </w:rPr>
              <w:t xml:space="preserve"> </w:t>
            </w:r>
            <w:r>
              <w:rPr>
                <w:spacing w:val="6"/>
              </w:rPr>
              <w:t>÷评标基</w:t>
            </w:r>
            <w:r>
              <w:rPr>
                <w:spacing w:val="7"/>
              </w:rPr>
              <w:t>准价×100×2   （评标价≤基准价时）</w:t>
            </w:r>
          </w:p>
          <w:p w14:paraId="75B5C62F">
            <w:pPr>
              <w:pStyle w:val="6"/>
              <w:spacing w:before="1" w:line="228" w:lineRule="auto"/>
              <w:ind w:left="114"/>
            </w:pPr>
            <w:r>
              <w:rPr>
                <w:spacing w:val="5"/>
              </w:rPr>
              <w:t>其中：</w:t>
            </w:r>
            <w:r>
              <w:rPr>
                <w:rFonts w:ascii="Times New Roman" w:hAnsi="Times New Roman" w:eastAsia="Times New Roman" w:cs="Times New Roman"/>
                <w:spacing w:val="5"/>
              </w:rPr>
              <w:t>F</w:t>
            </w:r>
            <w:r>
              <w:rPr>
                <w:spacing w:val="5"/>
              </w:rPr>
              <w:t>≥</w:t>
            </w:r>
            <w:r>
              <w:rPr>
                <w:rFonts w:ascii="Times New Roman" w:hAnsi="Times New Roman" w:eastAsia="Times New Roman" w:cs="Times New Roman"/>
                <w:spacing w:val="5"/>
              </w:rPr>
              <w:t>0</w:t>
            </w:r>
            <w:r>
              <w:rPr>
                <w:spacing w:val="5"/>
              </w:rPr>
              <w:t>。</w:t>
            </w:r>
          </w:p>
        </w:tc>
      </w:tr>
      <w:tr w14:paraId="42704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7" w:hRule="atLeast"/>
        </w:trPr>
        <w:tc>
          <w:tcPr>
            <w:tcW w:w="745" w:type="dxa"/>
            <w:vMerge w:val="continue"/>
            <w:tcBorders>
              <w:top w:val="nil"/>
              <w:bottom w:val="nil"/>
            </w:tcBorders>
            <w:vAlign w:val="top"/>
          </w:tcPr>
          <w:p w14:paraId="67DF8417">
            <w:pPr>
              <w:rPr>
                <w:rFonts w:ascii="Arial"/>
                <w:sz w:val="21"/>
              </w:rPr>
            </w:pPr>
          </w:p>
        </w:tc>
        <w:tc>
          <w:tcPr>
            <w:tcW w:w="1058" w:type="dxa"/>
            <w:vMerge w:val="continue"/>
            <w:tcBorders>
              <w:top w:val="nil"/>
              <w:bottom w:val="nil"/>
            </w:tcBorders>
            <w:vAlign w:val="top"/>
          </w:tcPr>
          <w:p w14:paraId="575C13F4">
            <w:pPr>
              <w:rPr>
                <w:rFonts w:ascii="Arial"/>
                <w:sz w:val="21"/>
              </w:rPr>
            </w:pPr>
          </w:p>
        </w:tc>
        <w:tc>
          <w:tcPr>
            <w:tcW w:w="2084" w:type="dxa"/>
            <w:vAlign w:val="top"/>
          </w:tcPr>
          <w:p w14:paraId="47B130AC">
            <w:pPr>
              <w:spacing w:line="279" w:lineRule="auto"/>
              <w:rPr>
                <w:rFonts w:ascii="Arial"/>
                <w:sz w:val="21"/>
              </w:rPr>
            </w:pPr>
          </w:p>
          <w:p w14:paraId="1E5D8FB6">
            <w:pPr>
              <w:spacing w:line="279" w:lineRule="auto"/>
              <w:rPr>
                <w:rFonts w:ascii="Arial"/>
                <w:sz w:val="21"/>
              </w:rPr>
            </w:pPr>
          </w:p>
          <w:p w14:paraId="0BFAC095">
            <w:pPr>
              <w:spacing w:line="280" w:lineRule="auto"/>
              <w:rPr>
                <w:rFonts w:ascii="Arial"/>
                <w:sz w:val="21"/>
              </w:rPr>
            </w:pPr>
          </w:p>
          <w:p w14:paraId="59811F3D">
            <w:pPr>
              <w:spacing w:line="280" w:lineRule="auto"/>
              <w:rPr>
                <w:rFonts w:ascii="Arial"/>
                <w:sz w:val="21"/>
              </w:rPr>
            </w:pPr>
          </w:p>
          <w:p w14:paraId="16EC9F5A">
            <w:pPr>
              <w:spacing w:line="280" w:lineRule="auto"/>
              <w:rPr>
                <w:rFonts w:ascii="Arial"/>
                <w:sz w:val="21"/>
              </w:rPr>
            </w:pPr>
          </w:p>
          <w:p w14:paraId="6ED3C4C5">
            <w:pPr>
              <w:spacing w:line="280" w:lineRule="auto"/>
              <w:rPr>
                <w:rFonts w:ascii="Arial"/>
                <w:sz w:val="21"/>
              </w:rPr>
            </w:pPr>
          </w:p>
          <w:p w14:paraId="21D160F4">
            <w:pPr>
              <w:pStyle w:val="6"/>
              <w:spacing w:before="65" w:line="226" w:lineRule="auto"/>
              <w:ind w:left="115"/>
            </w:pPr>
            <w:r>
              <w:rPr>
                <w:spacing w:val="8"/>
              </w:rPr>
              <w:t>不平衡报价扣分</w:t>
            </w:r>
          </w:p>
        </w:tc>
        <w:tc>
          <w:tcPr>
            <w:tcW w:w="735" w:type="dxa"/>
            <w:vAlign w:val="top"/>
          </w:tcPr>
          <w:p w14:paraId="75703DE0">
            <w:pPr>
              <w:rPr>
                <w:rFonts w:ascii="Arial"/>
                <w:sz w:val="21"/>
              </w:rPr>
            </w:pPr>
          </w:p>
        </w:tc>
        <w:tc>
          <w:tcPr>
            <w:tcW w:w="4562" w:type="dxa"/>
            <w:vAlign w:val="top"/>
          </w:tcPr>
          <w:p w14:paraId="47F994FC">
            <w:pPr>
              <w:pStyle w:val="6"/>
              <w:spacing w:before="120" w:line="251" w:lineRule="auto"/>
              <w:ind w:left="112" w:right="107" w:firstLine="28"/>
              <w:jc w:val="both"/>
            </w:pPr>
            <w:r>
              <w:rPr>
                <w:spacing w:val="7"/>
              </w:rPr>
              <w:t>〔单位工程投标报价-（暂列金额+税金）-（专</w:t>
            </w:r>
            <w:r>
              <w:rPr>
                <w:spacing w:val="-1"/>
              </w:rPr>
              <w:t>业工程暂估价+税金）〕低于（不含）〔单位工程</w:t>
            </w:r>
            <w:r>
              <w:rPr>
                <w:spacing w:val="9"/>
              </w:rPr>
              <w:t>招标控制价-（暂列金额+税金）-（专业</w:t>
            </w:r>
            <w:r>
              <w:rPr>
                <w:spacing w:val="8"/>
              </w:rPr>
              <w:t>工程暂</w:t>
            </w:r>
            <w:r>
              <w:rPr>
                <w:spacing w:val="-1"/>
              </w:rPr>
              <w:t>估价+税金）〕</w:t>
            </w:r>
            <w:r>
              <w:rPr>
                <w:spacing w:val="-1"/>
                <w:u w:val="single" w:color="auto"/>
              </w:rPr>
              <w:t xml:space="preserve">   H%</w:t>
            </w:r>
            <w:r>
              <w:rPr>
                <w:spacing w:val="8"/>
                <w:u w:val="single" w:color="auto"/>
              </w:rPr>
              <w:t xml:space="preserve">    </w:t>
            </w:r>
            <w:r>
              <w:rPr>
                <w:spacing w:val="-74"/>
              </w:rPr>
              <w:t xml:space="preserve"> </w:t>
            </w:r>
            <w:r>
              <w:rPr>
                <w:spacing w:val="-1"/>
              </w:rPr>
              <w:t>的,视为不平衡报价，每</w:t>
            </w:r>
            <w:r>
              <w:rPr>
                <w:spacing w:val="7"/>
              </w:rPr>
              <w:t>发现一项，扣</w:t>
            </w:r>
            <w:r>
              <w:rPr>
                <w:spacing w:val="-32"/>
              </w:rPr>
              <w:t xml:space="preserve"> </w:t>
            </w:r>
            <w:r>
              <w:rPr>
                <w:spacing w:val="7"/>
              </w:rPr>
              <w:t>5</w:t>
            </w:r>
            <w:r>
              <w:rPr>
                <w:spacing w:val="-36"/>
              </w:rPr>
              <w:t xml:space="preserve"> </w:t>
            </w:r>
            <w:r>
              <w:rPr>
                <w:spacing w:val="7"/>
              </w:rPr>
              <w:t>分，该项计分公式为：</w:t>
            </w:r>
          </w:p>
          <w:p w14:paraId="1B90DDBA">
            <w:pPr>
              <w:pStyle w:val="6"/>
              <w:spacing w:line="242" w:lineRule="auto"/>
              <w:ind w:left="424"/>
              <w:rPr>
                <w:sz w:val="10"/>
                <w:szCs w:val="10"/>
              </w:rPr>
            </w:pPr>
            <w:r>
              <w:rPr>
                <w:spacing w:val="-2"/>
              </w:rPr>
              <w:t>K</w:t>
            </w:r>
            <w:r>
              <w:rPr>
                <w:spacing w:val="19"/>
              </w:rPr>
              <w:t xml:space="preserve"> </w:t>
            </w:r>
            <w:r>
              <w:rPr>
                <w:spacing w:val="-2"/>
              </w:rPr>
              <w:t>=k</w:t>
            </w:r>
            <w:r>
              <w:rPr>
                <w:spacing w:val="-2"/>
                <w:position w:val="-2"/>
                <w:sz w:val="10"/>
                <w:szCs w:val="10"/>
              </w:rPr>
              <w:t>1</w:t>
            </w:r>
            <w:r>
              <w:rPr>
                <w:spacing w:val="7"/>
                <w:position w:val="-2"/>
                <w:sz w:val="10"/>
                <w:szCs w:val="10"/>
              </w:rPr>
              <w:t xml:space="preserve">  </w:t>
            </w:r>
            <w:r>
              <w:rPr>
                <w:spacing w:val="-2"/>
              </w:rPr>
              <w:t>+</w:t>
            </w:r>
            <w:r>
              <w:rPr>
                <w:spacing w:val="11"/>
              </w:rPr>
              <w:t xml:space="preserve"> </w:t>
            </w:r>
            <w:r>
              <w:rPr>
                <w:spacing w:val="-2"/>
              </w:rPr>
              <w:t>k</w:t>
            </w:r>
            <w:r>
              <w:rPr>
                <w:spacing w:val="-2"/>
                <w:position w:val="-2"/>
                <w:sz w:val="10"/>
                <w:szCs w:val="10"/>
              </w:rPr>
              <w:t>2</w:t>
            </w:r>
            <w:r>
              <w:rPr>
                <w:spacing w:val="12"/>
                <w:position w:val="-2"/>
                <w:sz w:val="10"/>
                <w:szCs w:val="10"/>
              </w:rPr>
              <w:t xml:space="preserve"> </w:t>
            </w:r>
            <w:r>
              <w:rPr>
                <w:spacing w:val="-2"/>
              </w:rPr>
              <w:t>+</w:t>
            </w:r>
            <w:r>
              <w:rPr>
                <w:spacing w:val="26"/>
              </w:rPr>
              <w:t xml:space="preserve"> </w:t>
            </w:r>
            <w:r>
              <w:rPr>
                <w:spacing w:val="-2"/>
              </w:rPr>
              <w:t>…</w:t>
            </w:r>
            <w:r>
              <w:rPr>
                <w:spacing w:val="16"/>
              </w:rPr>
              <w:t xml:space="preserve"> </w:t>
            </w:r>
            <w:r>
              <w:rPr>
                <w:spacing w:val="-2"/>
              </w:rPr>
              <w:t>+</w:t>
            </w:r>
            <w:r>
              <w:rPr>
                <w:spacing w:val="11"/>
              </w:rPr>
              <w:t xml:space="preserve"> </w:t>
            </w:r>
            <w:r>
              <w:rPr>
                <w:spacing w:val="-2"/>
              </w:rPr>
              <w:t>k</w:t>
            </w:r>
            <w:r>
              <w:rPr>
                <w:spacing w:val="-2"/>
                <w:position w:val="-2"/>
                <w:sz w:val="10"/>
                <w:szCs w:val="10"/>
              </w:rPr>
              <w:t>n</w:t>
            </w:r>
          </w:p>
          <w:p w14:paraId="6C3AAF16">
            <w:pPr>
              <w:pStyle w:val="6"/>
              <w:spacing w:before="11" w:line="228" w:lineRule="auto"/>
              <w:ind w:left="428"/>
            </w:pPr>
            <w:r>
              <w:rPr>
                <w:spacing w:val="5"/>
              </w:rPr>
              <w:t>其中:K</w:t>
            </w:r>
            <w:r>
              <w:rPr>
                <w:spacing w:val="-28"/>
              </w:rPr>
              <w:t xml:space="preserve"> </w:t>
            </w:r>
            <w:r>
              <w:rPr>
                <w:spacing w:val="5"/>
              </w:rPr>
              <w:t>为扣分合计；</w:t>
            </w:r>
          </w:p>
          <w:p w14:paraId="1E017741">
            <w:pPr>
              <w:pStyle w:val="6"/>
              <w:spacing w:before="23" w:line="228" w:lineRule="auto"/>
              <w:ind w:left="951"/>
            </w:pPr>
            <w:r>
              <w:rPr>
                <w:spacing w:val="6"/>
              </w:rPr>
              <w:t>k</w:t>
            </w:r>
            <w:r>
              <w:rPr>
                <w:spacing w:val="-35"/>
              </w:rPr>
              <w:t xml:space="preserve"> </w:t>
            </w:r>
            <w:r>
              <w:rPr>
                <w:spacing w:val="6"/>
              </w:rPr>
              <w:t>为单次扣分分值；</w:t>
            </w:r>
          </w:p>
          <w:p w14:paraId="60F9BA7C">
            <w:pPr>
              <w:pStyle w:val="6"/>
              <w:spacing w:before="24" w:line="228" w:lineRule="auto"/>
              <w:ind w:left="951"/>
            </w:pPr>
            <w:r>
              <w:rPr>
                <w:spacing w:val="5"/>
              </w:rPr>
              <w:t>n</w:t>
            </w:r>
            <w:r>
              <w:rPr>
                <w:spacing w:val="-36"/>
              </w:rPr>
              <w:t xml:space="preserve"> </w:t>
            </w:r>
            <w:r>
              <w:rPr>
                <w:spacing w:val="5"/>
              </w:rPr>
              <w:t>为扣分次数；</w:t>
            </w:r>
          </w:p>
          <w:p w14:paraId="20EAA827">
            <w:pPr>
              <w:pStyle w:val="6"/>
              <w:spacing w:before="27" w:line="251" w:lineRule="auto"/>
              <w:ind w:left="120" w:right="148" w:firstLine="827"/>
            </w:pPr>
            <w:r>
              <w:rPr>
                <w:spacing w:val="6"/>
              </w:rPr>
              <w:t>H</w:t>
            </w:r>
            <w:r>
              <w:rPr>
                <w:spacing w:val="-23"/>
              </w:rPr>
              <w:t xml:space="preserve"> </w:t>
            </w:r>
            <w:r>
              <w:rPr>
                <w:spacing w:val="6"/>
              </w:rPr>
              <w:t>为不平衡报价系数。H</w:t>
            </w:r>
            <w:r>
              <w:rPr>
                <w:spacing w:val="-20"/>
              </w:rPr>
              <w:t xml:space="preserve"> </w:t>
            </w:r>
            <w:r>
              <w:rPr>
                <w:spacing w:val="6"/>
              </w:rPr>
              <w:t>的取值见第二</w:t>
            </w:r>
            <w:r>
              <w:rPr>
                <w:spacing w:val="4"/>
              </w:rPr>
              <w:t>章投标人须知前附表第</w:t>
            </w:r>
            <w:r>
              <w:rPr>
                <w:spacing w:val="-14"/>
              </w:rPr>
              <w:t xml:space="preserve"> </w:t>
            </w:r>
            <w:r>
              <w:rPr>
                <w:rFonts w:ascii="Times New Roman" w:hAnsi="Times New Roman" w:eastAsia="Times New Roman" w:cs="Times New Roman"/>
                <w:spacing w:val="4"/>
              </w:rPr>
              <w:t>10.2.2</w:t>
            </w:r>
            <w:r>
              <w:rPr>
                <w:rFonts w:ascii="Times New Roman" w:hAnsi="Times New Roman" w:eastAsia="Times New Roman" w:cs="Times New Roman"/>
                <w:spacing w:val="15"/>
                <w:w w:val="101"/>
              </w:rPr>
              <w:t xml:space="preserve"> </w:t>
            </w:r>
            <w:r>
              <w:rPr>
                <w:spacing w:val="4"/>
              </w:rPr>
              <w:t>项。</w:t>
            </w:r>
          </w:p>
          <w:p w14:paraId="61A2168E">
            <w:pPr>
              <w:pStyle w:val="6"/>
              <w:spacing w:line="251" w:lineRule="auto"/>
              <w:ind w:left="130" w:right="109" w:hanging="15"/>
            </w:pPr>
            <w:r>
              <w:rPr>
                <w:spacing w:val="6"/>
              </w:rPr>
              <w:t>单位工程投标报价如有算术错误修正，以修正后的单位工程投标报价计算。</w:t>
            </w:r>
          </w:p>
        </w:tc>
      </w:tr>
      <w:tr w14:paraId="27833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745" w:type="dxa"/>
            <w:vMerge w:val="continue"/>
            <w:tcBorders>
              <w:top w:val="nil"/>
              <w:bottom w:val="nil"/>
            </w:tcBorders>
            <w:vAlign w:val="top"/>
          </w:tcPr>
          <w:p w14:paraId="7BCA83BC">
            <w:pPr>
              <w:rPr>
                <w:rFonts w:ascii="Arial"/>
                <w:sz w:val="21"/>
              </w:rPr>
            </w:pPr>
          </w:p>
        </w:tc>
        <w:tc>
          <w:tcPr>
            <w:tcW w:w="1058" w:type="dxa"/>
            <w:vMerge w:val="continue"/>
            <w:tcBorders>
              <w:top w:val="nil"/>
              <w:bottom w:val="nil"/>
            </w:tcBorders>
            <w:vAlign w:val="top"/>
          </w:tcPr>
          <w:p w14:paraId="383FF353">
            <w:pPr>
              <w:rPr>
                <w:rFonts w:ascii="Arial"/>
                <w:sz w:val="21"/>
              </w:rPr>
            </w:pPr>
          </w:p>
        </w:tc>
        <w:tc>
          <w:tcPr>
            <w:tcW w:w="2084" w:type="dxa"/>
            <w:vAlign w:val="top"/>
          </w:tcPr>
          <w:p w14:paraId="383D9F0D">
            <w:pPr>
              <w:pStyle w:val="6"/>
              <w:spacing w:before="129" w:line="226" w:lineRule="auto"/>
              <w:ind w:left="115"/>
            </w:pPr>
            <w:r>
              <w:rPr>
                <w:spacing w:val="7"/>
              </w:rPr>
              <w:t>投标报价得分</w:t>
            </w:r>
          </w:p>
        </w:tc>
        <w:tc>
          <w:tcPr>
            <w:tcW w:w="735" w:type="dxa"/>
            <w:vAlign w:val="top"/>
          </w:tcPr>
          <w:p w14:paraId="049BA0A5">
            <w:pPr>
              <w:rPr>
                <w:rFonts w:ascii="Arial"/>
                <w:sz w:val="21"/>
              </w:rPr>
            </w:pPr>
          </w:p>
        </w:tc>
        <w:tc>
          <w:tcPr>
            <w:tcW w:w="4562" w:type="dxa"/>
            <w:vAlign w:val="top"/>
          </w:tcPr>
          <w:p w14:paraId="1D4AEE25">
            <w:pPr>
              <w:pStyle w:val="6"/>
              <w:spacing w:before="91" w:line="281" w:lineRule="exact"/>
              <w:ind w:left="108"/>
            </w:pPr>
            <w:r>
              <w:rPr>
                <w:rFonts w:ascii="Times New Roman" w:hAnsi="Times New Roman" w:eastAsia="Times New Roman" w:cs="Times New Roman"/>
                <w:spacing w:val="5"/>
                <w:position w:val="1"/>
              </w:rPr>
              <w:t>M = F – K</w:t>
            </w:r>
            <w:r>
              <w:rPr>
                <w:rFonts w:ascii="Times New Roman" w:hAnsi="Times New Roman" w:eastAsia="Times New Roman" w:cs="Times New Roman"/>
                <w:spacing w:val="3"/>
                <w:position w:val="1"/>
              </w:rPr>
              <w:t xml:space="preserve">            </w:t>
            </w:r>
            <w:r>
              <w:rPr>
                <w:spacing w:val="5"/>
                <w:position w:val="1"/>
              </w:rPr>
              <w:t>其中：</w:t>
            </w:r>
            <w:r>
              <w:rPr>
                <w:rFonts w:ascii="Times New Roman" w:hAnsi="Times New Roman" w:eastAsia="Times New Roman" w:cs="Times New Roman"/>
                <w:spacing w:val="5"/>
                <w:position w:val="1"/>
              </w:rPr>
              <w:t>M</w:t>
            </w:r>
            <w:r>
              <w:rPr>
                <w:spacing w:val="5"/>
                <w:position w:val="1"/>
              </w:rPr>
              <w:t>≥</w:t>
            </w:r>
            <w:r>
              <w:rPr>
                <w:rFonts w:ascii="Times New Roman" w:hAnsi="Times New Roman" w:eastAsia="Times New Roman" w:cs="Times New Roman"/>
                <w:spacing w:val="5"/>
                <w:position w:val="1"/>
              </w:rPr>
              <w:t>0</w:t>
            </w:r>
            <w:r>
              <w:rPr>
                <w:spacing w:val="5"/>
                <w:position w:val="1"/>
              </w:rPr>
              <w:t>。</w:t>
            </w:r>
          </w:p>
        </w:tc>
      </w:tr>
      <w:tr w14:paraId="786464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3" w:hRule="atLeast"/>
        </w:trPr>
        <w:tc>
          <w:tcPr>
            <w:tcW w:w="745" w:type="dxa"/>
            <w:vMerge w:val="continue"/>
            <w:tcBorders>
              <w:top w:val="nil"/>
            </w:tcBorders>
            <w:vAlign w:val="top"/>
          </w:tcPr>
          <w:p w14:paraId="6BE5C74D">
            <w:pPr>
              <w:rPr>
                <w:rFonts w:ascii="Arial"/>
                <w:sz w:val="21"/>
              </w:rPr>
            </w:pPr>
          </w:p>
        </w:tc>
        <w:tc>
          <w:tcPr>
            <w:tcW w:w="1058" w:type="dxa"/>
            <w:vMerge w:val="continue"/>
            <w:tcBorders>
              <w:top w:val="nil"/>
            </w:tcBorders>
            <w:vAlign w:val="top"/>
          </w:tcPr>
          <w:p w14:paraId="0FA45A3B">
            <w:pPr>
              <w:rPr>
                <w:rFonts w:ascii="Arial"/>
                <w:sz w:val="21"/>
              </w:rPr>
            </w:pPr>
          </w:p>
        </w:tc>
        <w:tc>
          <w:tcPr>
            <w:tcW w:w="2084" w:type="dxa"/>
            <w:vAlign w:val="top"/>
          </w:tcPr>
          <w:p w14:paraId="1CD366C0">
            <w:pPr>
              <w:spacing w:line="255" w:lineRule="auto"/>
              <w:rPr>
                <w:rFonts w:ascii="Arial"/>
                <w:sz w:val="21"/>
              </w:rPr>
            </w:pPr>
          </w:p>
          <w:p w14:paraId="617AC5C5">
            <w:pPr>
              <w:spacing w:line="255" w:lineRule="auto"/>
              <w:rPr>
                <w:rFonts w:ascii="Arial"/>
                <w:sz w:val="21"/>
              </w:rPr>
            </w:pPr>
          </w:p>
          <w:p w14:paraId="6412C94A">
            <w:pPr>
              <w:spacing w:line="255" w:lineRule="auto"/>
              <w:rPr>
                <w:rFonts w:ascii="Arial"/>
                <w:sz w:val="21"/>
              </w:rPr>
            </w:pPr>
          </w:p>
          <w:p w14:paraId="42FD6E56">
            <w:pPr>
              <w:spacing w:line="255" w:lineRule="auto"/>
              <w:rPr>
                <w:rFonts w:ascii="Arial"/>
                <w:sz w:val="21"/>
              </w:rPr>
            </w:pPr>
          </w:p>
          <w:p w14:paraId="55963810">
            <w:pPr>
              <w:spacing w:line="255" w:lineRule="auto"/>
              <w:rPr>
                <w:rFonts w:ascii="Arial"/>
                <w:sz w:val="21"/>
              </w:rPr>
            </w:pPr>
          </w:p>
          <w:p w14:paraId="11168141">
            <w:pPr>
              <w:spacing w:line="256" w:lineRule="auto"/>
              <w:rPr>
                <w:rFonts w:ascii="Arial"/>
                <w:sz w:val="21"/>
              </w:rPr>
            </w:pPr>
          </w:p>
          <w:p w14:paraId="6D4E88F5">
            <w:pPr>
              <w:spacing w:line="256" w:lineRule="auto"/>
              <w:rPr>
                <w:rFonts w:ascii="Arial"/>
                <w:sz w:val="21"/>
              </w:rPr>
            </w:pPr>
          </w:p>
          <w:p w14:paraId="1FB79445">
            <w:pPr>
              <w:spacing w:line="256" w:lineRule="auto"/>
              <w:rPr>
                <w:rFonts w:ascii="Arial"/>
                <w:sz w:val="21"/>
              </w:rPr>
            </w:pPr>
          </w:p>
          <w:p w14:paraId="47376EE6">
            <w:pPr>
              <w:spacing w:line="256" w:lineRule="auto"/>
              <w:rPr>
                <w:rFonts w:ascii="Arial"/>
                <w:sz w:val="21"/>
              </w:rPr>
            </w:pPr>
          </w:p>
          <w:p w14:paraId="5A57FFE1">
            <w:pPr>
              <w:spacing w:line="256" w:lineRule="auto"/>
              <w:rPr>
                <w:rFonts w:ascii="Arial"/>
                <w:sz w:val="21"/>
              </w:rPr>
            </w:pPr>
          </w:p>
          <w:p w14:paraId="6317F1A0">
            <w:pPr>
              <w:spacing w:line="256" w:lineRule="auto"/>
              <w:rPr>
                <w:rFonts w:ascii="Arial"/>
                <w:sz w:val="21"/>
              </w:rPr>
            </w:pPr>
          </w:p>
          <w:p w14:paraId="23891347">
            <w:pPr>
              <w:pStyle w:val="6"/>
              <w:spacing w:before="65" w:line="251" w:lineRule="auto"/>
              <w:ind w:left="112" w:right="716" w:hanging="1"/>
            </w:pPr>
            <w:r>
              <w:rPr>
                <w:spacing w:val="8"/>
              </w:rPr>
              <w:t>政府采购工程价格评审优惠</w:t>
            </w:r>
          </w:p>
        </w:tc>
        <w:tc>
          <w:tcPr>
            <w:tcW w:w="735" w:type="dxa"/>
            <w:vAlign w:val="top"/>
          </w:tcPr>
          <w:p w14:paraId="7BC409AD">
            <w:pPr>
              <w:rPr>
                <w:rFonts w:ascii="Arial"/>
                <w:sz w:val="21"/>
              </w:rPr>
            </w:pPr>
          </w:p>
        </w:tc>
        <w:tc>
          <w:tcPr>
            <w:tcW w:w="4562" w:type="dxa"/>
            <w:vAlign w:val="top"/>
          </w:tcPr>
          <w:p w14:paraId="3BF7E808">
            <w:pPr>
              <w:pStyle w:val="6"/>
              <w:spacing w:before="34" w:line="227" w:lineRule="auto"/>
              <w:ind w:left="112"/>
            </w:pPr>
            <w:r>
              <w:rPr>
                <w:spacing w:val="9"/>
              </w:rPr>
              <w:t>对项目未预留份额专门面向中小企业采购的</w:t>
            </w:r>
          </w:p>
          <w:p w14:paraId="144D5C89">
            <w:pPr>
              <w:pStyle w:val="6"/>
              <w:spacing w:before="25" w:line="251"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p w14:paraId="3BACA5C9">
            <w:pPr>
              <w:pStyle w:val="6"/>
              <w:spacing w:line="228" w:lineRule="auto"/>
              <w:ind w:left="549"/>
            </w:pPr>
            <w:r>
              <w:rPr>
                <w:spacing w:val="3"/>
              </w:rPr>
              <w:t>即</w:t>
            </w:r>
            <w:r>
              <w:rPr>
                <w:spacing w:val="-38"/>
              </w:rPr>
              <w:t xml:space="preserve"> </w:t>
            </w:r>
            <w:r>
              <w:rPr>
                <w:spacing w:val="3"/>
              </w:rPr>
              <w:t>S= M×（1+P%）</w:t>
            </w:r>
          </w:p>
          <w:p w14:paraId="5760453C">
            <w:pPr>
              <w:pStyle w:val="6"/>
              <w:spacing w:before="26" w:line="251"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26BC63FD">
            <w:pPr>
              <w:pStyle w:val="6"/>
              <w:spacing w:before="2" w:line="253" w:lineRule="auto"/>
              <w:ind w:left="116" w:right="107" w:firstLine="420"/>
            </w:pPr>
            <w:r>
              <w:rPr>
                <w:spacing w:val="5"/>
              </w:rPr>
              <w:t>如招标人接受联合体，联合体各方均为小微</w:t>
            </w:r>
            <w:r>
              <w:rPr>
                <w:spacing w:val="8"/>
              </w:rPr>
              <w:t>企业的，联合体视同小微企业。</w:t>
            </w:r>
          </w:p>
          <w:p w14:paraId="4428523E">
            <w:pPr>
              <w:pStyle w:val="6"/>
              <w:spacing w:before="269" w:line="244" w:lineRule="auto"/>
              <w:ind w:left="113" w:right="107" w:firstLine="2"/>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r>
              <w:rPr>
                <w:spacing w:val="5"/>
              </w:rPr>
              <w:t>额 30%以上的，评标时在其报价得分的基础上增</w:t>
            </w:r>
          </w:p>
        </w:tc>
      </w:tr>
    </w:tbl>
    <w:p w14:paraId="21324749">
      <w:pPr>
        <w:rPr>
          <w:rFonts w:ascii="Arial"/>
          <w:sz w:val="21"/>
        </w:rPr>
      </w:pPr>
    </w:p>
    <w:p w14:paraId="502CC79A">
      <w:pPr>
        <w:rPr>
          <w:rFonts w:ascii="Arial" w:hAnsi="Arial" w:eastAsia="Arial" w:cs="Arial"/>
          <w:sz w:val="21"/>
          <w:szCs w:val="21"/>
        </w:rPr>
        <w:sectPr>
          <w:footerReference r:id="rId71" w:type="default"/>
          <w:pgSz w:w="11907" w:h="16840"/>
          <w:pgMar w:top="400" w:right="1248" w:bottom="1035" w:left="1469" w:header="0" w:footer="785" w:gutter="0"/>
          <w:cols w:space="720" w:num="1"/>
        </w:sectPr>
      </w:pPr>
    </w:p>
    <w:p w14:paraId="35EF2F5A">
      <w:pPr>
        <w:spacing w:before="19"/>
      </w:pPr>
    </w:p>
    <w:p w14:paraId="571FBD4B">
      <w:pPr>
        <w:spacing w:before="19"/>
      </w:pPr>
    </w:p>
    <w:p w14:paraId="4AF4951C">
      <w:pPr>
        <w:spacing w:before="19"/>
      </w:pPr>
    </w:p>
    <w:p w14:paraId="6CD16320">
      <w:pPr>
        <w:spacing w:before="18"/>
      </w:pPr>
    </w:p>
    <w:p w14:paraId="13BEDB45">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065FC6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1" w:hRule="atLeast"/>
        </w:trPr>
        <w:tc>
          <w:tcPr>
            <w:tcW w:w="745" w:type="dxa"/>
            <w:vMerge w:val="restart"/>
            <w:tcBorders>
              <w:bottom w:val="nil"/>
            </w:tcBorders>
            <w:vAlign w:val="top"/>
          </w:tcPr>
          <w:p w14:paraId="6505E983">
            <w:pPr>
              <w:rPr>
                <w:rFonts w:ascii="Arial"/>
                <w:sz w:val="21"/>
              </w:rPr>
            </w:pPr>
          </w:p>
        </w:tc>
        <w:tc>
          <w:tcPr>
            <w:tcW w:w="1058" w:type="dxa"/>
            <w:vMerge w:val="restart"/>
            <w:tcBorders>
              <w:bottom w:val="nil"/>
            </w:tcBorders>
            <w:vAlign w:val="top"/>
          </w:tcPr>
          <w:p w14:paraId="57358CD7">
            <w:pPr>
              <w:rPr>
                <w:rFonts w:ascii="Arial"/>
                <w:sz w:val="21"/>
              </w:rPr>
            </w:pPr>
          </w:p>
        </w:tc>
        <w:tc>
          <w:tcPr>
            <w:tcW w:w="2084" w:type="dxa"/>
            <w:vAlign w:val="top"/>
          </w:tcPr>
          <w:p w14:paraId="244A48F8">
            <w:pPr>
              <w:rPr>
                <w:rFonts w:ascii="Arial"/>
                <w:sz w:val="21"/>
              </w:rPr>
            </w:pPr>
          </w:p>
        </w:tc>
        <w:tc>
          <w:tcPr>
            <w:tcW w:w="735" w:type="dxa"/>
            <w:vAlign w:val="top"/>
          </w:tcPr>
          <w:p w14:paraId="67B45456">
            <w:pPr>
              <w:rPr>
                <w:rFonts w:ascii="Arial"/>
                <w:sz w:val="21"/>
              </w:rPr>
            </w:pPr>
          </w:p>
        </w:tc>
        <w:tc>
          <w:tcPr>
            <w:tcW w:w="4562" w:type="dxa"/>
            <w:vAlign w:val="top"/>
          </w:tcPr>
          <w:p w14:paraId="1D856EED">
            <w:pPr>
              <w:pStyle w:val="6"/>
              <w:spacing w:before="35" w:line="217" w:lineRule="auto"/>
              <w:ind w:left="113"/>
            </w:pPr>
            <w:r>
              <w:rPr>
                <w:spacing w:val="6"/>
              </w:rPr>
              <w:t>加</w:t>
            </w:r>
            <w:r>
              <w:rPr>
                <w:spacing w:val="6"/>
                <w:u w:val="single" w:color="auto"/>
              </w:rPr>
              <w:t xml:space="preserve">  Q%  </w:t>
            </w:r>
            <w:r>
              <w:rPr>
                <w:spacing w:val="-75"/>
              </w:rPr>
              <w:t xml:space="preserve"> </w:t>
            </w:r>
            <w:r>
              <w:rPr>
                <w:spacing w:val="6"/>
              </w:rPr>
              <w:t>作为其投标报价最终得分。</w:t>
            </w:r>
          </w:p>
          <w:p w14:paraId="28BB75E8">
            <w:pPr>
              <w:pStyle w:val="6"/>
              <w:spacing w:line="281" w:lineRule="exact"/>
              <w:ind w:left="549"/>
            </w:pPr>
            <w:r>
              <w:rPr>
                <w:spacing w:val="3"/>
                <w:position w:val="2"/>
              </w:rPr>
              <w:t>即</w:t>
            </w:r>
            <w:r>
              <w:rPr>
                <w:spacing w:val="-36"/>
                <w:position w:val="2"/>
              </w:rPr>
              <w:t xml:space="preserve"> </w:t>
            </w:r>
            <w:r>
              <w:rPr>
                <w:spacing w:val="3"/>
                <w:position w:val="2"/>
              </w:rPr>
              <w:t>S</w:t>
            </w:r>
            <w:r>
              <w:rPr>
                <w:rFonts w:ascii="Times New Roman" w:hAnsi="Times New Roman" w:eastAsia="Times New Roman" w:cs="Times New Roman"/>
                <w:spacing w:val="3"/>
                <w:position w:val="2"/>
              </w:rPr>
              <w:t>= M</w:t>
            </w:r>
            <w:r>
              <w:rPr>
                <w:spacing w:val="3"/>
                <w:position w:val="2"/>
              </w:rPr>
              <w:t>×（1+Q%）</w:t>
            </w:r>
          </w:p>
          <w:p w14:paraId="5461C4CE">
            <w:pPr>
              <w:pStyle w:val="6"/>
              <w:spacing w:before="27" w:line="252"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55975280">
            <w:pPr>
              <w:pStyle w:val="6"/>
              <w:spacing w:before="272" w:line="239" w:lineRule="auto"/>
              <w:ind w:left="113" w:right="107" w:firstLine="4"/>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r w14:paraId="5098E3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745" w:type="dxa"/>
            <w:vMerge w:val="continue"/>
            <w:tcBorders>
              <w:top w:val="nil"/>
            </w:tcBorders>
            <w:vAlign w:val="top"/>
          </w:tcPr>
          <w:p w14:paraId="55BC0F74">
            <w:pPr>
              <w:rPr>
                <w:rFonts w:ascii="Arial"/>
                <w:sz w:val="21"/>
              </w:rPr>
            </w:pPr>
          </w:p>
        </w:tc>
        <w:tc>
          <w:tcPr>
            <w:tcW w:w="1058" w:type="dxa"/>
            <w:vMerge w:val="continue"/>
            <w:tcBorders>
              <w:top w:val="nil"/>
            </w:tcBorders>
            <w:vAlign w:val="top"/>
          </w:tcPr>
          <w:p w14:paraId="45B0056E">
            <w:pPr>
              <w:rPr>
                <w:rFonts w:ascii="Arial"/>
                <w:sz w:val="21"/>
              </w:rPr>
            </w:pPr>
          </w:p>
        </w:tc>
        <w:tc>
          <w:tcPr>
            <w:tcW w:w="2084" w:type="dxa"/>
            <w:vAlign w:val="top"/>
          </w:tcPr>
          <w:p w14:paraId="35771C23">
            <w:pPr>
              <w:pStyle w:val="6"/>
              <w:spacing w:before="129" w:line="226" w:lineRule="auto"/>
              <w:ind w:left="115"/>
            </w:pPr>
            <w:r>
              <w:rPr>
                <w:spacing w:val="8"/>
              </w:rPr>
              <w:t>投标报价最终得分</w:t>
            </w:r>
          </w:p>
        </w:tc>
        <w:tc>
          <w:tcPr>
            <w:tcW w:w="735" w:type="dxa"/>
            <w:vAlign w:val="top"/>
          </w:tcPr>
          <w:p w14:paraId="29042DD1">
            <w:pPr>
              <w:rPr>
                <w:rFonts w:ascii="Arial"/>
                <w:sz w:val="21"/>
              </w:rPr>
            </w:pPr>
          </w:p>
        </w:tc>
        <w:tc>
          <w:tcPr>
            <w:tcW w:w="4562" w:type="dxa"/>
            <w:vAlign w:val="top"/>
          </w:tcPr>
          <w:p w14:paraId="175BF541">
            <w:pPr>
              <w:pStyle w:val="6"/>
              <w:spacing w:before="91" w:line="281" w:lineRule="exact"/>
              <w:ind w:left="114"/>
            </w:pPr>
            <w:r>
              <w:rPr>
                <w:spacing w:val="5"/>
                <w:position w:val="1"/>
              </w:rPr>
              <w:t>S</w:t>
            </w:r>
            <w:r>
              <w:rPr>
                <w:rFonts w:ascii="Times New Roman" w:hAnsi="Times New Roman" w:eastAsia="Times New Roman" w:cs="Times New Roman"/>
                <w:spacing w:val="5"/>
                <w:position w:val="1"/>
              </w:rPr>
              <w:t>= M</w:t>
            </w:r>
            <w:r>
              <w:rPr>
                <w:spacing w:val="5"/>
                <w:position w:val="1"/>
              </w:rPr>
              <w:t>×（1+P%） 或</w:t>
            </w:r>
            <w:r>
              <w:rPr>
                <w:spacing w:val="-29"/>
                <w:position w:val="1"/>
              </w:rPr>
              <w:t xml:space="preserve"> </w:t>
            </w:r>
            <w:r>
              <w:rPr>
                <w:spacing w:val="5"/>
                <w:position w:val="1"/>
              </w:rPr>
              <w:t>S</w:t>
            </w:r>
            <w:r>
              <w:rPr>
                <w:rFonts w:ascii="Times New Roman" w:hAnsi="Times New Roman" w:eastAsia="Times New Roman" w:cs="Times New Roman"/>
                <w:spacing w:val="5"/>
                <w:position w:val="1"/>
              </w:rPr>
              <w:t>=</w:t>
            </w:r>
            <w:r>
              <w:rPr>
                <w:rFonts w:ascii="Times New Roman" w:hAnsi="Times New Roman" w:eastAsia="Times New Roman" w:cs="Times New Roman"/>
                <w:spacing w:val="6"/>
                <w:position w:val="1"/>
              </w:rPr>
              <w:t xml:space="preserve"> </w:t>
            </w:r>
            <w:r>
              <w:rPr>
                <w:rFonts w:ascii="Times New Roman" w:hAnsi="Times New Roman" w:eastAsia="Times New Roman" w:cs="Times New Roman"/>
                <w:spacing w:val="5"/>
                <w:position w:val="1"/>
              </w:rPr>
              <w:t>M</w:t>
            </w:r>
            <w:r>
              <w:rPr>
                <w:spacing w:val="5"/>
                <w:position w:val="1"/>
              </w:rPr>
              <w:t>×（1+Q%）</w:t>
            </w:r>
          </w:p>
        </w:tc>
      </w:tr>
      <w:tr w14:paraId="5B14F1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745" w:type="dxa"/>
            <w:vAlign w:val="top"/>
          </w:tcPr>
          <w:p w14:paraId="12620C2E">
            <w:pPr>
              <w:rPr>
                <w:rFonts w:ascii="Arial"/>
                <w:sz w:val="21"/>
              </w:rPr>
            </w:pPr>
          </w:p>
        </w:tc>
        <w:tc>
          <w:tcPr>
            <w:tcW w:w="8439" w:type="dxa"/>
            <w:gridSpan w:val="4"/>
            <w:vAlign w:val="top"/>
          </w:tcPr>
          <w:p w14:paraId="746236C3">
            <w:pPr>
              <w:pStyle w:val="6"/>
              <w:spacing w:before="144" w:line="252"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r w14:paraId="0AB72F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restart"/>
            <w:tcBorders>
              <w:bottom w:val="nil"/>
            </w:tcBorders>
            <w:vAlign w:val="top"/>
          </w:tcPr>
          <w:p w14:paraId="7F8DE763">
            <w:pPr>
              <w:rPr>
                <w:rFonts w:ascii="Arial"/>
                <w:sz w:val="21"/>
              </w:rPr>
            </w:pPr>
          </w:p>
          <w:p w14:paraId="16D24808">
            <w:pPr>
              <w:spacing w:line="241" w:lineRule="auto"/>
              <w:rPr>
                <w:rFonts w:ascii="Arial"/>
                <w:sz w:val="21"/>
              </w:rPr>
            </w:pPr>
          </w:p>
          <w:p w14:paraId="54FD2E1C">
            <w:pPr>
              <w:spacing w:line="241" w:lineRule="auto"/>
              <w:rPr>
                <w:rFonts w:ascii="Arial"/>
                <w:sz w:val="21"/>
              </w:rPr>
            </w:pPr>
          </w:p>
          <w:p w14:paraId="2C1FA694">
            <w:pPr>
              <w:spacing w:line="241" w:lineRule="auto"/>
              <w:rPr>
                <w:rFonts w:ascii="Arial"/>
                <w:sz w:val="21"/>
              </w:rPr>
            </w:pPr>
          </w:p>
          <w:p w14:paraId="7599CA51">
            <w:pPr>
              <w:spacing w:line="241" w:lineRule="auto"/>
              <w:rPr>
                <w:rFonts w:ascii="Arial"/>
                <w:sz w:val="21"/>
              </w:rPr>
            </w:pPr>
          </w:p>
          <w:p w14:paraId="2DB9A965">
            <w:pPr>
              <w:spacing w:line="241" w:lineRule="auto"/>
              <w:rPr>
                <w:rFonts w:ascii="Arial"/>
                <w:sz w:val="21"/>
              </w:rPr>
            </w:pPr>
          </w:p>
          <w:p w14:paraId="2035293E">
            <w:pPr>
              <w:spacing w:line="241" w:lineRule="auto"/>
              <w:rPr>
                <w:rFonts w:ascii="Arial"/>
                <w:sz w:val="21"/>
              </w:rPr>
            </w:pPr>
          </w:p>
          <w:p w14:paraId="44CF8307">
            <w:pPr>
              <w:spacing w:line="241" w:lineRule="auto"/>
              <w:rPr>
                <w:rFonts w:ascii="Arial"/>
                <w:sz w:val="21"/>
              </w:rPr>
            </w:pPr>
          </w:p>
          <w:p w14:paraId="12D1E790">
            <w:pPr>
              <w:spacing w:line="241" w:lineRule="auto"/>
              <w:rPr>
                <w:rFonts w:ascii="Arial"/>
                <w:sz w:val="21"/>
              </w:rPr>
            </w:pPr>
          </w:p>
          <w:p w14:paraId="3D8A5402">
            <w:pPr>
              <w:spacing w:line="241" w:lineRule="auto"/>
              <w:rPr>
                <w:rFonts w:ascii="Arial"/>
                <w:sz w:val="21"/>
              </w:rPr>
            </w:pPr>
          </w:p>
          <w:p w14:paraId="2368676F">
            <w:pPr>
              <w:spacing w:line="241" w:lineRule="auto"/>
              <w:rPr>
                <w:rFonts w:ascii="Arial"/>
                <w:sz w:val="21"/>
              </w:rPr>
            </w:pPr>
          </w:p>
          <w:p w14:paraId="6E3E67EA">
            <w:pPr>
              <w:spacing w:line="241" w:lineRule="auto"/>
              <w:rPr>
                <w:rFonts w:ascii="Arial"/>
                <w:sz w:val="21"/>
              </w:rPr>
            </w:pPr>
          </w:p>
          <w:p w14:paraId="298B3EDF">
            <w:pPr>
              <w:spacing w:line="241" w:lineRule="auto"/>
              <w:rPr>
                <w:rFonts w:ascii="Arial"/>
                <w:sz w:val="21"/>
              </w:rPr>
            </w:pPr>
          </w:p>
          <w:p w14:paraId="7B0D1532">
            <w:pPr>
              <w:spacing w:line="241" w:lineRule="auto"/>
              <w:rPr>
                <w:rFonts w:ascii="Arial"/>
                <w:sz w:val="21"/>
              </w:rPr>
            </w:pPr>
          </w:p>
          <w:p w14:paraId="1AFDF82E">
            <w:pPr>
              <w:spacing w:line="241" w:lineRule="auto"/>
              <w:rPr>
                <w:rFonts w:ascii="Arial"/>
                <w:sz w:val="21"/>
              </w:rPr>
            </w:pPr>
          </w:p>
          <w:p w14:paraId="3A6C9B49">
            <w:pPr>
              <w:spacing w:line="241" w:lineRule="auto"/>
              <w:rPr>
                <w:rFonts w:ascii="Arial"/>
                <w:sz w:val="21"/>
              </w:rPr>
            </w:pPr>
          </w:p>
          <w:p w14:paraId="07C93CAA">
            <w:pPr>
              <w:spacing w:line="241" w:lineRule="auto"/>
              <w:rPr>
                <w:rFonts w:ascii="Arial"/>
                <w:sz w:val="21"/>
              </w:rPr>
            </w:pPr>
          </w:p>
          <w:p w14:paraId="1D2010F2">
            <w:pPr>
              <w:spacing w:line="241" w:lineRule="auto"/>
              <w:rPr>
                <w:rFonts w:ascii="Arial"/>
                <w:sz w:val="21"/>
              </w:rPr>
            </w:pPr>
          </w:p>
          <w:p w14:paraId="15FEF5A0">
            <w:pPr>
              <w:spacing w:line="241" w:lineRule="auto"/>
              <w:rPr>
                <w:rFonts w:ascii="Arial"/>
                <w:sz w:val="21"/>
              </w:rPr>
            </w:pPr>
          </w:p>
          <w:p w14:paraId="61CB0C27">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31DA039F">
            <w:pPr>
              <w:pStyle w:val="6"/>
              <w:spacing w:before="216"/>
              <w:ind w:left="125"/>
            </w:pPr>
            <w:r>
              <w:rPr>
                <w:spacing w:val="-1"/>
              </w:rPr>
              <w:t>（</w:t>
            </w:r>
            <w:r>
              <w:rPr>
                <w:rFonts w:ascii="Times New Roman" w:hAnsi="Times New Roman" w:eastAsia="Times New Roman" w:cs="Times New Roman"/>
                <w:spacing w:val="-1"/>
              </w:rPr>
              <w:t>2</w:t>
            </w:r>
            <w:r>
              <w:rPr>
                <w:spacing w:val="-1"/>
              </w:rPr>
              <w:t>）</w:t>
            </w:r>
          </w:p>
        </w:tc>
        <w:tc>
          <w:tcPr>
            <w:tcW w:w="1058" w:type="dxa"/>
            <w:vMerge w:val="restart"/>
            <w:tcBorders>
              <w:bottom w:val="nil"/>
            </w:tcBorders>
            <w:vAlign w:val="top"/>
          </w:tcPr>
          <w:p w14:paraId="0FC4C56F">
            <w:pPr>
              <w:spacing w:line="252" w:lineRule="auto"/>
              <w:rPr>
                <w:rFonts w:ascii="Arial"/>
                <w:sz w:val="21"/>
              </w:rPr>
            </w:pPr>
          </w:p>
          <w:p w14:paraId="13668FE8">
            <w:pPr>
              <w:spacing w:line="252" w:lineRule="auto"/>
              <w:rPr>
                <w:rFonts w:ascii="Arial"/>
                <w:sz w:val="21"/>
              </w:rPr>
            </w:pPr>
          </w:p>
          <w:p w14:paraId="2689AFDE">
            <w:pPr>
              <w:spacing w:line="252" w:lineRule="auto"/>
              <w:rPr>
                <w:rFonts w:ascii="Arial"/>
                <w:sz w:val="21"/>
              </w:rPr>
            </w:pPr>
          </w:p>
          <w:p w14:paraId="6C31CE09">
            <w:pPr>
              <w:spacing w:line="252" w:lineRule="auto"/>
              <w:rPr>
                <w:rFonts w:ascii="Arial"/>
                <w:sz w:val="21"/>
              </w:rPr>
            </w:pPr>
          </w:p>
          <w:p w14:paraId="5B1C90EF">
            <w:pPr>
              <w:spacing w:line="252" w:lineRule="auto"/>
              <w:rPr>
                <w:rFonts w:ascii="Arial"/>
                <w:sz w:val="21"/>
              </w:rPr>
            </w:pPr>
          </w:p>
          <w:p w14:paraId="798ECD01">
            <w:pPr>
              <w:spacing w:line="252" w:lineRule="auto"/>
              <w:rPr>
                <w:rFonts w:ascii="Arial"/>
                <w:sz w:val="21"/>
              </w:rPr>
            </w:pPr>
          </w:p>
          <w:p w14:paraId="5EBD9F6B">
            <w:pPr>
              <w:spacing w:line="252" w:lineRule="auto"/>
              <w:rPr>
                <w:rFonts w:ascii="Arial"/>
                <w:sz w:val="21"/>
              </w:rPr>
            </w:pPr>
          </w:p>
          <w:p w14:paraId="06925255">
            <w:pPr>
              <w:spacing w:line="252" w:lineRule="auto"/>
              <w:rPr>
                <w:rFonts w:ascii="Arial"/>
                <w:sz w:val="21"/>
              </w:rPr>
            </w:pPr>
          </w:p>
          <w:p w14:paraId="44E57524">
            <w:pPr>
              <w:spacing w:line="252" w:lineRule="auto"/>
              <w:rPr>
                <w:rFonts w:ascii="Arial"/>
                <w:sz w:val="21"/>
              </w:rPr>
            </w:pPr>
          </w:p>
          <w:p w14:paraId="0389788C">
            <w:pPr>
              <w:spacing w:line="252" w:lineRule="auto"/>
              <w:rPr>
                <w:rFonts w:ascii="Arial"/>
                <w:sz w:val="21"/>
              </w:rPr>
            </w:pPr>
          </w:p>
          <w:p w14:paraId="2F2CC955">
            <w:pPr>
              <w:spacing w:line="252" w:lineRule="auto"/>
              <w:rPr>
                <w:rFonts w:ascii="Arial"/>
                <w:sz w:val="21"/>
              </w:rPr>
            </w:pPr>
          </w:p>
          <w:p w14:paraId="191D581A">
            <w:pPr>
              <w:spacing w:line="252" w:lineRule="auto"/>
              <w:rPr>
                <w:rFonts w:ascii="Arial"/>
                <w:sz w:val="21"/>
              </w:rPr>
            </w:pPr>
          </w:p>
          <w:p w14:paraId="6113C50A">
            <w:pPr>
              <w:spacing w:line="252" w:lineRule="auto"/>
              <w:rPr>
                <w:rFonts w:ascii="Arial"/>
                <w:sz w:val="21"/>
              </w:rPr>
            </w:pPr>
          </w:p>
          <w:p w14:paraId="4A974E84">
            <w:pPr>
              <w:spacing w:line="253" w:lineRule="auto"/>
              <w:rPr>
                <w:rFonts w:ascii="Arial"/>
                <w:sz w:val="21"/>
              </w:rPr>
            </w:pPr>
          </w:p>
          <w:p w14:paraId="1537CD8A">
            <w:pPr>
              <w:spacing w:line="253" w:lineRule="auto"/>
              <w:rPr>
                <w:rFonts w:ascii="Arial"/>
                <w:sz w:val="21"/>
              </w:rPr>
            </w:pPr>
          </w:p>
          <w:p w14:paraId="6C73BC2D">
            <w:pPr>
              <w:spacing w:line="253" w:lineRule="auto"/>
              <w:rPr>
                <w:rFonts w:ascii="Arial"/>
                <w:sz w:val="21"/>
              </w:rPr>
            </w:pPr>
          </w:p>
          <w:p w14:paraId="09C58B5A">
            <w:pPr>
              <w:spacing w:line="253" w:lineRule="auto"/>
              <w:rPr>
                <w:rFonts w:ascii="Arial"/>
                <w:sz w:val="21"/>
              </w:rPr>
            </w:pPr>
          </w:p>
          <w:p w14:paraId="3171D7E4">
            <w:pPr>
              <w:pStyle w:val="6"/>
              <w:spacing w:before="65" w:line="253" w:lineRule="auto"/>
              <w:ind w:left="115" w:right="111" w:hanging="4"/>
              <w:jc w:val="both"/>
            </w:pPr>
            <w:r>
              <w:rPr>
                <w:spacing w:val="7"/>
              </w:rPr>
              <w:t>施工组织</w:t>
            </w:r>
            <w:r>
              <w:rPr>
                <w:spacing w:val="6"/>
              </w:rPr>
              <w:t>设计评分</w:t>
            </w:r>
            <w:r>
              <w:rPr>
                <w:spacing w:val="25"/>
              </w:rPr>
              <w:t>标</w:t>
            </w:r>
            <w:r>
              <w:rPr>
                <w:spacing w:val="8"/>
              </w:rPr>
              <w:t xml:space="preserve">   </w:t>
            </w:r>
            <w:r>
              <w:rPr>
                <w:spacing w:val="25"/>
              </w:rPr>
              <w:t>准</w:t>
            </w:r>
          </w:p>
        </w:tc>
        <w:tc>
          <w:tcPr>
            <w:tcW w:w="2084" w:type="dxa"/>
            <w:vMerge w:val="restart"/>
            <w:tcBorders>
              <w:bottom w:val="nil"/>
            </w:tcBorders>
            <w:vAlign w:val="top"/>
          </w:tcPr>
          <w:p w14:paraId="2FBF72DE">
            <w:pPr>
              <w:spacing w:line="379" w:lineRule="auto"/>
              <w:rPr>
                <w:rFonts w:ascii="Arial"/>
                <w:sz w:val="21"/>
              </w:rPr>
            </w:pPr>
          </w:p>
          <w:p w14:paraId="7BCB1472">
            <w:pPr>
              <w:pStyle w:val="6"/>
              <w:spacing w:before="65" w:line="228" w:lineRule="auto"/>
              <w:ind w:left="115"/>
            </w:pPr>
            <w:r>
              <w:rPr>
                <w:spacing w:val="6"/>
              </w:rPr>
              <w:t>工程概况</w:t>
            </w:r>
          </w:p>
        </w:tc>
        <w:tc>
          <w:tcPr>
            <w:tcW w:w="735" w:type="dxa"/>
            <w:vMerge w:val="restart"/>
            <w:tcBorders>
              <w:bottom w:val="nil"/>
            </w:tcBorders>
            <w:vAlign w:val="top"/>
          </w:tcPr>
          <w:p w14:paraId="59DC3635">
            <w:pPr>
              <w:spacing w:line="380" w:lineRule="auto"/>
              <w:rPr>
                <w:rFonts w:ascii="Arial"/>
                <w:sz w:val="21"/>
              </w:rPr>
            </w:pPr>
          </w:p>
          <w:p w14:paraId="53942795">
            <w:pPr>
              <w:pStyle w:val="6"/>
              <w:spacing w:before="65" w:line="228" w:lineRule="auto"/>
              <w:ind w:left="129"/>
            </w:pPr>
            <w:r>
              <w:rPr>
                <w:spacing w:val="-10"/>
              </w:rPr>
              <w:t>1</w:t>
            </w:r>
            <w:r>
              <w:rPr>
                <w:spacing w:val="-38"/>
              </w:rPr>
              <w:t xml:space="preserve"> </w:t>
            </w:r>
            <w:r>
              <w:rPr>
                <w:spacing w:val="-10"/>
              </w:rPr>
              <w:t>分</w:t>
            </w:r>
          </w:p>
        </w:tc>
        <w:tc>
          <w:tcPr>
            <w:tcW w:w="4562" w:type="dxa"/>
            <w:vAlign w:val="top"/>
          </w:tcPr>
          <w:p w14:paraId="61FF3146">
            <w:pPr>
              <w:pStyle w:val="6"/>
              <w:spacing w:before="78" w:line="228" w:lineRule="auto"/>
              <w:ind w:left="115"/>
            </w:pPr>
            <w:r>
              <w:rPr>
                <w:spacing w:val="4"/>
              </w:rPr>
              <w:t>描述准确、清晰</w:t>
            </w:r>
            <w:r>
              <w:rPr>
                <w:spacing w:val="1"/>
              </w:rPr>
              <w:t xml:space="preserve">                       </w:t>
            </w:r>
            <w:r>
              <w:rPr>
                <w:spacing w:val="4"/>
              </w:rPr>
              <w:t>1</w:t>
            </w:r>
            <w:r>
              <w:rPr>
                <w:spacing w:val="-21"/>
              </w:rPr>
              <w:t xml:space="preserve"> </w:t>
            </w:r>
            <w:r>
              <w:rPr>
                <w:spacing w:val="4"/>
              </w:rPr>
              <w:t>分</w:t>
            </w:r>
          </w:p>
        </w:tc>
      </w:tr>
      <w:tr w14:paraId="0753A3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E01AAE8">
            <w:pPr>
              <w:rPr>
                <w:rFonts w:ascii="Arial"/>
                <w:sz w:val="21"/>
              </w:rPr>
            </w:pPr>
          </w:p>
        </w:tc>
        <w:tc>
          <w:tcPr>
            <w:tcW w:w="1058" w:type="dxa"/>
            <w:vMerge w:val="continue"/>
            <w:tcBorders>
              <w:top w:val="nil"/>
              <w:bottom w:val="nil"/>
            </w:tcBorders>
            <w:vAlign w:val="top"/>
          </w:tcPr>
          <w:p w14:paraId="17B3D8F7">
            <w:pPr>
              <w:rPr>
                <w:rFonts w:ascii="Arial"/>
                <w:sz w:val="21"/>
              </w:rPr>
            </w:pPr>
          </w:p>
        </w:tc>
        <w:tc>
          <w:tcPr>
            <w:tcW w:w="2084" w:type="dxa"/>
            <w:vMerge w:val="continue"/>
            <w:tcBorders>
              <w:top w:val="nil"/>
              <w:bottom w:val="nil"/>
            </w:tcBorders>
            <w:vAlign w:val="top"/>
          </w:tcPr>
          <w:p w14:paraId="6D28E2FA">
            <w:pPr>
              <w:rPr>
                <w:rFonts w:ascii="Arial"/>
                <w:sz w:val="21"/>
              </w:rPr>
            </w:pPr>
          </w:p>
        </w:tc>
        <w:tc>
          <w:tcPr>
            <w:tcW w:w="735" w:type="dxa"/>
            <w:vMerge w:val="continue"/>
            <w:tcBorders>
              <w:top w:val="nil"/>
              <w:bottom w:val="nil"/>
            </w:tcBorders>
            <w:vAlign w:val="top"/>
          </w:tcPr>
          <w:p w14:paraId="25B6CBEB">
            <w:pPr>
              <w:rPr>
                <w:rFonts w:ascii="Arial"/>
                <w:sz w:val="21"/>
              </w:rPr>
            </w:pPr>
          </w:p>
        </w:tc>
        <w:tc>
          <w:tcPr>
            <w:tcW w:w="4562" w:type="dxa"/>
            <w:vAlign w:val="top"/>
          </w:tcPr>
          <w:p w14:paraId="4D5A0A91">
            <w:pPr>
              <w:pStyle w:val="6"/>
              <w:spacing w:before="77" w:line="227" w:lineRule="auto"/>
              <w:ind w:left="115"/>
            </w:pPr>
            <w:r>
              <w:rPr>
                <w:spacing w:val="5"/>
              </w:rPr>
              <w:t>描述基本准确</w:t>
            </w:r>
            <w:r>
              <w:t xml:space="preserve">                   </w:t>
            </w:r>
            <w:r>
              <w:rPr>
                <w:spacing w:val="5"/>
              </w:rPr>
              <w:t>0.9-0.8</w:t>
            </w:r>
            <w:r>
              <w:rPr>
                <w:spacing w:val="-32"/>
              </w:rPr>
              <w:t xml:space="preserve"> </w:t>
            </w:r>
            <w:r>
              <w:rPr>
                <w:spacing w:val="5"/>
              </w:rPr>
              <w:t>分</w:t>
            </w:r>
          </w:p>
        </w:tc>
      </w:tr>
      <w:tr w14:paraId="31A9BC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6470BA7">
            <w:pPr>
              <w:rPr>
                <w:rFonts w:ascii="Arial"/>
                <w:sz w:val="21"/>
              </w:rPr>
            </w:pPr>
          </w:p>
        </w:tc>
        <w:tc>
          <w:tcPr>
            <w:tcW w:w="1058" w:type="dxa"/>
            <w:vMerge w:val="continue"/>
            <w:tcBorders>
              <w:top w:val="nil"/>
              <w:bottom w:val="nil"/>
            </w:tcBorders>
            <w:vAlign w:val="top"/>
          </w:tcPr>
          <w:p w14:paraId="3C95674A">
            <w:pPr>
              <w:rPr>
                <w:rFonts w:ascii="Arial"/>
                <w:sz w:val="21"/>
              </w:rPr>
            </w:pPr>
          </w:p>
        </w:tc>
        <w:tc>
          <w:tcPr>
            <w:tcW w:w="2084" w:type="dxa"/>
            <w:vMerge w:val="continue"/>
            <w:tcBorders>
              <w:top w:val="nil"/>
            </w:tcBorders>
            <w:vAlign w:val="top"/>
          </w:tcPr>
          <w:p w14:paraId="40208BE9">
            <w:pPr>
              <w:rPr>
                <w:rFonts w:ascii="Arial"/>
                <w:sz w:val="21"/>
              </w:rPr>
            </w:pPr>
          </w:p>
        </w:tc>
        <w:tc>
          <w:tcPr>
            <w:tcW w:w="735" w:type="dxa"/>
            <w:vMerge w:val="continue"/>
            <w:tcBorders>
              <w:top w:val="nil"/>
            </w:tcBorders>
            <w:vAlign w:val="top"/>
          </w:tcPr>
          <w:p w14:paraId="53EF17D3">
            <w:pPr>
              <w:rPr>
                <w:rFonts w:ascii="Arial"/>
                <w:sz w:val="21"/>
              </w:rPr>
            </w:pPr>
          </w:p>
        </w:tc>
        <w:tc>
          <w:tcPr>
            <w:tcW w:w="4562" w:type="dxa"/>
            <w:vAlign w:val="top"/>
          </w:tcPr>
          <w:p w14:paraId="07C60030">
            <w:pPr>
              <w:pStyle w:val="6"/>
              <w:spacing w:before="79" w:line="228" w:lineRule="auto"/>
              <w:ind w:left="115"/>
            </w:pPr>
            <w:r>
              <w:rPr>
                <w:spacing w:val="4"/>
              </w:rPr>
              <w:t>描述不准确</w:t>
            </w:r>
            <w:r>
              <w:rPr>
                <w:spacing w:val="1"/>
              </w:rPr>
              <w:t xml:space="preserve">                           </w:t>
            </w:r>
            <w:r>
              <w:rPr>
                <w:spacing w:val="4"/>
              </w:rPr>
              <w:t>0</w:t>
            </w:r>
            <w:r>
              <w:rPr>
                <w:spacing w:val="-17"/>
              </w:rPr>
              <w:t xml:space="preserve"> </w:t>
            </w:r>
            <w:r>
              <w:rPr>
                <w:spacing w:val="4"/>
              </w:rPr>
              <w:t>分</w:t>
            </w:r>
          </w:p>
        </w:tc>
      </w:tr>
      <w:tr w14:paraId="4DE88D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F00C344">
            <w:pPr>
              <w:rPr>
                <w:rFonts w:ascii="Arial"/>
                <w:sz w:val="21"/>
              </w:rPr>
            </w:pPr>
          </w:p>
        </w:tc>
        <w:tc>
          <w:tcPr>
            <w:tcW w:w="1058" w:type="dxa"/>
            <w:vMerge w:val="continue"/>
            <w:tcBorders>
              <w:top w:val="nil"/>
              <w:bottom w:val="nil"/>
            </w:tcBorders>
            <w:vAlign w:val="top"/>
          </w:tcPr>
          <w:p w14:paraId="11177442">
            <w:pPr>
              <w:rPr>
                <w:rFonts w:ascii="Arial"/>
                <w:sz w:val="21"/>
              </w:rPr>
            </w:pPr>
          </w:p>
        </w:tc>
        <w:tc>
          <w:tcPr>
            <w:tcW w:w="2084" w:type="dxa"/>
            <w:vMerge w:val="restart"/>
            <w:tcBorders>
              <w:bottom w:val="nil"/>
            </w:tcBorders>
            <w:vAlign w:val="top"/>
          </w:tcPr>
          <w:p w14:paraId="0DDCCAFC">
            <w:pPr>
              <w:spacing w:line="282" w:lineRule="auto"/>
              <w:rPr>
                <w:rFonts w:ascii="Arial"/>
                <w:sz w:val="21"/>
              </w:rPr>
            </w:pPr>
          </w:p>
          <w:p w14:paraId="19E82250">
            <w:pPr>
              <w:spacing w:line="282" w:lineRule="auto"/>
              <w:rPr>
                <w:rFonts w:ascii="Arial"/>
                <w:sz w:val="21"/>
              </w:rPr>
            </w:pPr>
          </w:p>
          <w:p w14:paraId="43837108">
            <w:pPr>
              <w:pStyle w:val="6"/>
              <w:spacing w:before="65" w:line="228" w:lineRule="auto"/>
              <w:ind w:left="111"/>
            </w:pPr>
            <w:r>
              <w:rPr>
                <w:spacing w:val="7"/>
              </w:rPr>
              <w:t>施工部署</w:t>
            </w:r>
          </w:p>
        </w:tc>
        <w:tc>
          <w:tcPr>
            <w:tcW w:w="735" w:type="dxa"/>
            <w:vMerge w:val="restart"/>
            <w:tcBorders>
              <w:bottom w:val="nil"/>
            </w:tcBorders>
            <w:vAlign w:val="top"/>
          </w:tcPr>
          <w:p w14:paraId="75EB0A05">
            <w:pPr>
              <w:spacing w:line="282" w:lineRule="auto"/>
              <w:rPr>
                <w:rFonts w:ascii="Arial"/>
                <w:sz w:val="21"/>
              </w:rPr>
            </w:pPr>
          </w:p>
          <w:p w14:paraId="63E1287F">
            <w:pPr>
              <w:spacing w:line="283" w:lineRule="auto"/>
              <w:rPr>
                <w:rFonts w:ascii="Arial"/>
                <w:sz w:val="21"/>
              </w:rPr>
            </w:pPr>
          </w:p>
          <w:p w14:paraId="714E8A0D">
            <w:pPr>
              <w:pStyle w:val="6"/>
              <w:spacing w:before="65" w:line="228" w:lineRule="auto"/>
              <w:ind w:left="118"/>
            </w:pPr>
            <w:r>
              <w:rPr>
                <w:spacing w:val="-4"/>
              </w:rPr>
              <w:t>3</w:t>
            </w:r>
            <w:r>
              <w:rPr>
                <w:spacing w:val="-38"/>
              </w:rPr>
              <w:t xml:space="preserve"> </w:t>
            </w:r>
            <w:r>
              <w:rPr>
                <w:spacing w:val="-4"/>
              </w:rPr>
              <w:t>分</w:t>
            </w:r>
          </w:p>
        </w:tc>
        <w:tc>
          <w:tcPr>
            <w:tcW w:w="4562" w:type="dxa"/>
            <w:vAlign w:val="top"/>
          </w:tcPr>
          <w:p w14:paraId="649DEB53">
            <w:pPr>
              <w:pStyle w:val="6"/>
              <w:spacing w:before="78" w:line="227" w:lineRule="auto"/>
              <w:ind w:left="113"/>
            </w:pPr>
            <w:r>
              <w:rPr>
                <w:spacing w:val="6"/>
              </w:rPr>
              <w:t>科学、合理、针对性强            3-2.8</w:t>
            </w:r>
            <w:r>
              <w:rPr>
                <w:spacing w:val="-29"/>
              </w:rPr>
              <w:t xml:space="preserve"> </w:t>
            </w:r>
            <w:r>
              <w:rPr>
                <w:spacing w:val="6"/>
              </w:rPr>
              <w:t>分</w:t>
            </w:r>
          </w:p>
        </w:tc>
      </w:tr>
      <w:tr w14:paraId="526032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949A686">
            <w:pPr>
              <w:rPr>
                <w:rFonts w:ascii="Arial"/>
                <w:sz w:val="21"/>
              </w:rPr>
            </w:pPr>
          </w:p>
        </w:tc>
        <w:tc>
          <w:tcPr>
            <w:tcW w:w="1058" w:type="dxa"/>
            <w:vMerge w:val="continue"/>
            <w:tcBorders>
              <w:top w:val="nil"/>
              <w:bottom w:val="nil"/>
            </w:tcBorders>
            <w:vAlign w:val="top"/>
          </w:tcPr>
          <w:p w14:paraId="7B968F49">
            <w:pPr>
              <w:rPr>
                <w:rFonts w:ascii="Arial"/>
                <w:sz w:val="21"/>
              </w:rPr>
            </w:pPr>
          </w:p>
        </w:tc>
        <w:tc>
          <w:tcPr>
            <w:tcW w:w="2084" w:type="dxa"/>
            <w:vMerge w:val="continue"/>
            <w:tcBorders>
              <w:top w:val="nil"/>
              <w:bottom w:val="nil"/>
            </w:tcBorders>
            <w:vAlign w:val="top"/>
          </w:tcPr>
          <w:p w14:paraId="3789D12A">
            <w:pPr>
              <w:rPr>
                <w:rFonts w:ascii="Arial"/>
                <w:sz w:val="21"/>
              </w:rPr>
            </w:pPr>
          </w:p>
        </w:tc>
        <w:tc>
          <w:tcPr>
            <w:tcW w:w="735" w:type="dxa"/>
            <w:vMerge w:val="continue"/>
            <w:tcBorders>
              <w:top w:val="nil"/>
              <w:bottom w:val="nil"/>
            </w:tcBorders>
            <w:vAlign w:val="top"/>
          </w:tcPr>
          <w:p w14:paraId="02B3F6BA">
            <w:pPr>
              <w:rPr>
                <w:rFonts w:ascii="Arial"/>
                <w:sz w:val="21"/>
              </w:rPr>
            </w:pPr>
          </w:p>
        </w:tc>
        <w:tc>
          <w:tcPr>
            <w:tcW w:w="4562" w:type="dxa"/>
            <w:vAlign w:val="top"/>
          </w:tcPr>
          <w:p w14:paraId="1DFF6B98">
            <w:pPr>
              <w:pStyle w:val="6"/>
              <w:spacing w:before="79" w:line="228" w:lineRule="auto"/>
              <w:ind w:left="114"/>
            </w:pPr>
            <w:r>
              <w:rPr>
                <w:spacing w:val="4"/>
              </w:rPr>
              <w:t>合理、可行</w:t>
            </w:r>
            <w:r>
              <w:rPr>
                <w:spacing w:val="1"/>
              </w:rPr>
              <w:t xml:space="preserve">                     </w:t>
            </w:r>
            <w:r>
              <w:rPr>
                <w:spacing w:val="4"/>
              </w:rPr>
              <w:t>2.7-2.4</w:t>
            </w:r>
            <w:r>
              <w:rPr>
                <w:spacing w:val="-34"/>
              </w:rPr>
              <w:t xml:space="preserve"> </w:t>
            </w:r>
            <w:r>
              <w:rPr>
                <w:spacing w:val="4"/>
              </w:rPr>
              <w:t>分</w:t>
            </w:r>
          </w:p>
        </w:tc>
      </w:tr>
      <w:tr w14:paraId="0004F5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2700E48">
            <w:pPr>
              <w:rPr>
                <w:rFonts w:ascii="Arial"/>
                <w:sz w:val="21"/>
              </w:rPr>
            </w:pPr>
          </w:p>
        </w:tc>
        <w:tc>
          <w:tcPr>
            <w:tcW w:w="1058" w:type="dxa"/>
            <w:vMerge w:val="continue"/>
            <w:tcBorders>
              <w:top w:val="nil"/>
              <w:bottom w:val="nil"/>
            </w:tcBorders>
            <w:vAlign w:val="top"/>
          </w:tcPr>
          <w:p w14:paraId="27D50F60">
            <w:pPr>
              <w:rPr>
                <w:rFonts w:ascii="Arial"/>
                <w:sz w:val="21"/>
              </w:rPr>
            </w:pPr>
          </w:p>
        </w:tc>
        <w:tc>
          <w:tcPr>
            <w:tcW w:w="2084" w:type="dxa"/>
            <w:vMerge w:val="continue"/>
            <w:tcBorders>
              <w:top w:val="nil"/>
              <w:bottom w:val="nil"/>
            </w:tcBorders>
            <w:vAlign w:val="top"/>
          </w:tcPr>
          <w:p w14:paraId="06724D1A">
            <w:pPr>
              <w:rPr>
                <w:rFonts w:ascii="Arial"/>
                <w:sz w:val="21"/>
              </w:rPr>
            </w:pPr>
          </w:p>
        </w:tc>
        <w:tc>
          <w:tcPr>
            <w:tcW w:w="735" w:type="dxa"/>
            <w:vMerge w:val="continue"/>
            <w:tcBorders>
              <w:top w:val="nil"/>
              <w:bottom w:val="nil"/>
            </w:tcBorders>
            <w:vAlign w:val="top"/>
          </w:tcPr>
          <w:p w14:paraId="2D4526B9">
            <w:pPr>
              <w:rPr>
                <w:rFonts w:ascii="Arial"/>
                <w:sz w:val="21"/>
              </w:rPr>
            </w:pPr>
          </w:p>
        </w:tc>
        <w:tc>
          <w:tcPr>
            <w:tcW w:w="4562" w:type="dxa"/>
            <w:vAlign w:val="top"/>
          </w:tcPr>
          <w:p w14:paraId="45FA1A25">
            <w:pPr>
              <w:pStyle w:val="6"/>
              <w:spacing w:before="78" w:line="227" w:lineRule="auto"/>
              <w:ind w:left="114"/>
            </w:pPr>
            <w:r>
              <w:rPr>
                <w:spacing w:val="6"/>
              </w:rPr>
              <w:t>欠合理，基本可行              2.3-</w:t>
            </w:r>
            <w:r>
              <w:rPr>
                <w:spacing w:val="5"/>
              </w:rPr>
              <w:t>2.1</w:t>
            </w:r>
            <w:r>
              <w:rPr>
                <w:spacing w:val="-37"/>
              </w:rPr>
              <w:t xml:space="preserve"> </w:t>
            </w:r>
            <w:r>
              <w:rPr>
                <w:spacing w:val="5"/>
              </w:rPr>
              <w:t>分</w:t>
            </w:r>
          </w:p>
        </w:tc>
      </w:tr>
      <w:tr w14:paraId="178AEC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094F95C9">
            <w:pPr>
              <w:rPr>
                <w:rFonts w:ascii="Arial"/>
                <w:sz w:val="21"/>
              </w:rPr>
            </w:pPr>
          </w:p>
        </w:tc>
        <w:tc>
          <w:tcPr>
            <w:tcW w:w="1058" w:type="dxa"/>
            <w:vMerge w:val="continue"/>
            <w:tcBorders>
              <w:top w:val="nil"/>
              <w:bottom w:val="nil"/>
            </w:tcBorders>
            <w:vAlign w:val="top"/>
          </w:tcPr>
          <w:p w14:paraId="7C87EBB4">
            <w:pPr>
              <w:rPr>
                <w:rFonts w:ascii="Arial"/>
                <w:sz w:val="21"/>
              </w:rPr>
            </w:pPr>
          </w:p>
        </w:tc>
        <w:tc>
          <w:tcPr>
            <w:tcW w:w="2084" w:type="dxa"/>
            <w:vMerge w:val="continue"/>
            <w:tcBorders>
              <w:top w:val="nil"/>
            </w:tcBorders>
            <w:vAlign w:val="top"/>
          </w:tcPr>
          <w:p w14:paraId="6DF6623D">
            <w:pPr>
              <w:rPr>
                <w:rFonts w:ascii="Arial"/>
                <w:sz w:val="21"/>
              </w:rPr>
            </w:pPr>
          </w:p>
        </w:tc>
        <w:tc>
          <w:tcPr>
            <w:tcW w:w="735" w:type="dxa"/>
            <w:vMerge w:val="continue"/>
            <w:tcBorders>
              <w:top w:val="nil"/>
            </w:tcBorders>
            <w:vAlign w:val="top"/>
          </w:tcPr>
          <w:p w14:paraId="3B87856E">
            <w:pPr>
              <w:rPr>
                <w:rFonts w:ascii="Arial"/>
                <w:sz w:val="21"/>
              </w:rPr>
            </w:pPr>
          </w:p>
        </w:tc>
        <w:tc>
          <w:tcPr>
            <w:tcW w:w="4562" w:type="dxa"/>
            <w:vAlign w:val="top"/>
          </w:tcPr>
          <w:p w14:paraId="66B1FE51">
            <w:pPr>
              <w:pStyle w:val="6"/>
              <w:spacing w:before="77" w:line="228" w:lineRule="auto"/>
              <w:ind w:left="116"/>
            </w:pPr>
            <w:r>
              <w:rPr>
                <w:spacing w:val="6"/>
              </w:rPr>
              <w:t>不可行，不能满足工程需要            0</w:t>
            </w:r>
            <w:r>
              <w:rPr>
                <w:spacing w:val="-20"/>
              </w:rPr>
              <w:t xml:space="preserve"> </w:t>
            </w:r>
            <w:r>
              <w:rPr>
                <w:spacing w:val="6"/>
              </w:rPr>
              <w:t>分</w:t>
            </w:r>
          </w:p>
        </w:tc>
      </w:tr>
      <w:tr w14:paraId="255FA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9753738">
            <w:pPr>
              <w:rPr>
                <w:rFonts w:ascii="Arial"/>
                <w:sz w:val="21"/>
              </w:rPr>
            </w:pPr>
          </w:p>
        </w:tc>
        <w:tc>
          <w:tcPr>
            <w:tcW w:w="1058" w:type="dxa"/>
            <w:vMerge w:val="continue"/>
            <w:tcBorders>
              <w:top w:val="nil"/>
              <w:bottom w:val="nil"/>
            </w:tcBorders>
            <w:vAlign w:val="top"/>
          </w:tcPr>
          <w:p w14:paraId="3496A3C9">
            <w:pPr>
              <w:rPr>
                <w:rFonts w:ascii="Arial"/>
                <w:sz w:val="21"/>
              </w:rPr>
            </w:pPr>
          </w:p>
        </w:tc>
        <w:tc>
          <w:tcPr>
            <w:tcW w:w="2084" w:type="dxa"/>
            <w:vMerge w:val="restart"/>
            <w:tcBorders>
              <w:bottom w:val="nil"/>
            </w:tcBorders>
            <w:vAlign w:val="top"/>
          </w:tcPr>
          <w:p w14:paraId="7D492C72">
            <w:pPr>
              <w:spacing w:line="283" w:lineRule="auto"/>
              <w:rPr>
                <w:rFonts w:ascii="Arial"/>
                <w:sz w:val="21"/>
              </w:rPr>
            </w:pPr>
          </w:p>
          <w:p w14:paraId="1BD1BFD9">
            <w:pPr>
              <w:spacing w:line="283" w:lineRule="auto"/>
              <w:rPr>
                <w:rFonts w:ascii="Arial"/>
                <w:sz w:val="21"/>
              </w:rPr>
            </w:pPr>
          </w:p>
          <w:p w14:paraId="6530B630">
            <w:pPr>
              <w:pStyle w:val="6"/>
              <w:spacing w:before="65" w:line="228" w:lineRule="auto"/>
              <w:ind w:left="111"/>
            </w:pPr>
            <w:r>
              <w:rPr>
                <w:spacing w:val="8"/>
              </w:rPr>
              <w:t>施工进度计划</w:t>
            </w:r>
          </w:p>
        </w:tc>
        <w:tc>
          <w:tcPr>
            <w:tcW w:w="735" w:type="dxa"/>
            <w:vMerge w:val="restart"/>
            <w:tcBorders>
              <w:bottom w:val="nil"/>
            </w:tcBorders>
            <w:vAlign w:val="top"/>
          </w:tcPr>
          <w:p w14:paraId="0AB9A967">
            <w:pPr>
              <w:spacing w:line="283" w:lineRule="auto"/>
              <w:rPr>
                <w:rFonts w:ascii="Arial"/>
                <w:sz w:val="21"/>
              </w:rPr>
            </w:pPr>
          </w:p>
          <w:p w14:paraId="15B2A303">
            <w:pPr>
              <w:spacing w:line="283" w:lineRule="auto"/>
              <w:rPr>
                <w:rFonts w:ascii="Arial"/>
                <w:sz w:val="21"/>
              </w:rPr>
            </w:pPr>
          </w:p>
          <w:p w14:paraId="07733C70">
            <w:pPr>
              <w:pStyle w:val="6"/>
              <w:spacing w:before="65" w:line="228" w:lineRule="auto"/>
              <w:ind w:left="118"/>
            </w:pPr>
            <w:r>
              <w:rPr>
                <w:spacing w:val="-4"/>
              </w:rPr>
              <w:t>3</w:t>
            </w:r>
            <w:r>
              <w:rPr>
                <w:spacing w:val="-38"/>
              </w:rPr>
              <w:t xml:space="preserve"> </w:t>
            </w:r>
            <w:r>
              <w:rPr>
                <w:spacing w:val="-4"/>
              </w:rPr>
              <w:t>分</w:t>
            </w:r>
          </w:p>
        </w:tc>
        <w:tc>
          <w:tcPr>
            <w:tcW w:w="4562" w:type="dxa"/>
            <w:vAlign w:val="top"/>
          </w:tcPr>
          <w:p w14:paraId="29CB7BCF">
            <w:pPr>
              <w:pStyle w:val="6"/>
              <w:spacing w:before="77" w:line="227" w:lineRule="auto"/>
              <w:ind w:left="113"/>
            </w:pPr>
            <w:r>
              <w:rPr>
                <w:spacing w:val="6"/>
              </w:rPr>
              <w:t>科学、合理、针对性强            3-2.8</w:t>
            </w:r>
            <w:r>
              <w:rPr>
                <w:spacing w:val="-29"/>
              </w:rPr>
              <w:t xml:space="preserve"> </w:t>
            </w:r>
            <w:r>
              <w:rPr>
                <w:spacing w:val="6"/>
              </w:rPr>
              <w:t>分</w:t>
            </w:r>
          </w:p>
        </w:tc>
      </w:tr>
      <w:tr w14:paraId="7CCCF9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8129648">
            <w:pPr>
              <w:rPr>
                <w:rFonts w:ascii="Arial"/>
                <w:sz w:val="21"/>
              </w:rPr>
            </w:pPr>
          </w:p>
        </w:tc>
        <w:tc>
          <w:tcPr>
            <w:tcW w:w="1058" w:type="dxa"/>
            <w:vMerge w:val="continue"/>
            <w:tcBorders>
              <w:top w:val="nil"/>
              <w:bottom w:val="nil"/>
            </w:tcBorders>
            <w:vAlign w:val="top"/>
          </w:tcPr>
          <w:p w14:paraId="6755C0D8">
            <w:pPr>
              <w:rPr>
                <w:rFonts w:ascii="Arial"/>
                <w:sz w:val="21"/>
              </w:rPr>
            </w:pPr>
          </w:p>
        </w:tc>
        <w:tc>
          <w:tcPr>
            <w:tcW w:w="2084" w:type="dxa"/>
            <w:vMerge w:val="continue"/>
            <w:tcBorders>
              <w:top w:val="nil"/>
              <w:bottom w:val="nil"/>
            </w:tcBorders>
            <w:vAlign w:val="top"/>
          </w:tcPr>
          <w:p w14:paraId="32329578">
            <w:pPr>
              <w:rPr>
                <w:rFonts w:ascii="Arial"/>
                <w:sz w:val="21"/>
              </w:rPr>
            </w:pPr>
          </w:p>
        </w:tc>
        <w:tc>
          <w:tcPr>
            <w:tcW w:w="735" w:type="dxa"/>
            <w:vMerge w:val="continue"/>
            <w:tcBorders>
              <w:top w:val="nil"/>
              <w:bottom w:val="nil"/>
            </w:tcBorders>
            <w:vAlign w:val="top"/>
          </w:tcPr>
          <w:p w14:paraId="19A91A9B">
            <w:pPr>
              <w:rPr>
                <w:rFonts w:ascii="Arial"/>
                <w:sz w:val="21"/>
              </w:rPr>
            </w:pPr>
          </w:p>
        </w:tc>
        <w:tc>
          <w:tcPr>
            <w:tcW w:w="4562" w:type="dxa"/>
            <w:vAlign w:val="top"/>
          </w:tcPr>
          <w:p w14:paraId="471DCD80">
            <w:pPr>
              <w:pStyle w:val="6"/>
              <w:spacing w:before="79" w:line="228" w:lineRule="auto"/>
              <w:ind w:left="114"/>
            </w:pPr>
            <w:r>
              <w:rPr>
                <w:spacing w:val="4"/>
              </w:rPr>
              <w:t>合理、可行、</w:t>
            </w:r>
            <w:r>
              <w:rPr>
                <w:spacing w:val="1"/>
              </w:rPr>
              <w:t xml:space="preserve">                   </w:t>
            </w:r>
            <w:r>
              <w:rPr>
                <w:spacing w:val="4"/>
              </w:rPr>
              <w:t>2.7-2.4</w:t>
            </w:r>
            <w:r>
              <w:rPr>
                <w:spacing w:val="-36"/>
              </w:rPr>
              <w:t xml:space="preserve"> </w:t>
            </w:r>
            <w:r>
              <w:rPr>
                <w:spacing w:val="4"/>
              </w:rPr>
              <w:t>分</w:t>
            </w:r>
          </w:p>
        </w:tc>
      </w:tr>
      <w:tr w14:paraId="05DF7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D4E8BB9">
            <w:pPr>
              <w:rPr>
                <w:rFonts w:ascii="Arial"/>
                <w:sz w:val="21"/>
              </w:rPr>
            </w:pPr>
          </w:p>
        </w:tc>
        <w:tc>
          <w:tcPr>
            <w:tcW w:w="1058" w:type="dxa"/>
            <w:vMerge w:val="continue"/>
            <w:tcBorders>
              <w:top w:val="nil"/>
              <w:bottom w:val="nil"/>
            </w:tcBorders>
            <w:vAlign w:val="top"/>
          </w:tcPr>
          <w:p w14:paraId="30536A32">
            <w:pPr>
              <w:rPr>
                <w:rFonts w:ascii="Arial"/>
                <w:sz w:val="21"/>
              </w:rPr>
            </w:pPr>
          </w:p>
        </w:tc>
        <w:tc>
          <w:tcPr>
            <w:tcW w:w="2084" w:type="dxa"/>
            <w:vMerge w:val="continue"/>
            <w:tcBorders>
              <w:top w:val="nil"/>
              <w:bottom w:val="nil"/>
            </w:tcBorders>
            <w:vAlign w:val="top"/>
          </w:tcPr>
          <w:p w14:paraId="40392E45">
            <w:pPr>
              <w:rPr>
                <w:rFonts w:ascii="Arial"/>
                <w:sz w:val="21"/>
              </w:rPr>
            </w:pPr>
          </w:p>
        </w:tc>
        <w:tc>
          <w:tcPr>
            <w:tcW w:w="735" w:type="dxa"/>
            <w:vMerge w:val="continue"/>
            <w:tcBorders>
              <w:top w:val="nil"/>
              <w:bottom w:val="nil"/>
            </w:tcBorders>
            <w:vAlign w:val="top"/>
          </w:tcPr>
          <w:p w14:paraId="69B1C735">
            <w:pPr>
              <w:rPr>
                <w:rFonts w:ascii="Arial"/>
                <w:sz w:val="21"/>
              </w:rPr>
            </w:pPr>
          </w:p>
        </w:tc>
        <w:tc>
          <w:tcPr>
            <w:tcW w:w="4562" w:type="dxa"/>
            <w:vAlign w:val="top"/>
          </w:tcPr>
          <w:p w14:paraId="0B94DB8E">
            <w:pPr>
              <w:pStyle w:val="6"/>
              <w:spacing w:before="78" w:line="227" w:lineRule="auto"/>
              <w:ind w:left="114"/>
            </w:pPr>
            <w:r>
              <w:rPr>
                <w:spacing w:val="6"/>
              </w:rPr>
              <w:t>欠合理，基本可行              2.3-</w:t>
            </w:r>
            <w:r>
              <w:rPr>
                <w:spacing w:val="5"/>
              </w:rPr>
              <w:t>2.1</w:t>
            </w:r>
            <w:r>
              <w:rPr>
                <w:spacing w:val="-37"/>
              </w:rPr>
              <w:t xml:space="preserve"> </w:t>
            </w:r>
            <w:r>
              <w:rPr>
                <w:spacing w:val="5"/>
              </w:rPr>
              <w:t>分</w:t>
            </w:r>
          </w:p>
        </w:tc>
      </w:tr>
      <w:tr w14:paraId="3EEDE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7BECDFE">
            <w:pPr>
              <w:rPr>
                <w:rFonts w:ascii="Arial"/>
                <w:sz w:val="21"/>
              </w:rPr>
            </w:pPr>
          </w:p>
        </w:tc>
        <w:tc>
          <w:tcPr>
            <w:tcW w:w="1058" w:type="dxa"/>
            <w:vMerge w:val="continue"/>
            <w:tcBorders>
              <w:top w:val="nil"/>
              <w:bottom w:val="nil"/>
            </w:tcBorders>
            <w:vAlign w:val="top"/>
          </w:tcPr>
          <w:p w14:paraId="7854FADF">
            <w:pPr>
              <w:rPr>
                <w:rFonts w:ascii="Arial"/>
                <w:sz w:val="21"/>
              </w:rPr>
            </w:pPr>
          </w:p>
        </w:tc>
        <w:tc>
          <w:tcPr>
            <w:tcW w:w="2084" w:type="dxa"/>
            <w:vMerge w:val="continue"/>
            <w:tcBorders>
              <w:top w:val="nil"/>
            </w:tcBorders>
            <w:vAlign w:val="top"/>
          </w:tcPr>
          <w:p w14:paraId="56520F78">
            <w:pPr>
              <w:rPr>
                <w:rFonts w:ascii="Arial"/>
                <w:sz w:val="21"/>
              </w:rPr>
            </w:pPr>
          </w:p>
        </w:tc>
        <w:tc>
          <w:tcPr>
            <w:tcW w:w="735" w:type="dxa"/>
            <w:vMerge w:val="continue"/>
            <w:tcBorders>
              <w:top w:val="nil"/>
            </w:tcBorders>
            <w:vAlign w:val="top"/>
          </w:tcPr>
          <w:p w14:paraId="3EDDD626">
            <w:pPr>
              <w:rPr>
                <w:rFonts w:ascii="Arial"/>
                <w:sz w:val="21"/>
              </w:rPr>
            </w:pPr>
          </w:p>
        </w:tc>
        <w:tc>
          <w:tcPr>
            <w:tcW w:w="4562" w:type="dxa"/>
            <w:vAlign w:val="top"/>
          </w:tcPr>
          <w:p w14:paraId="2EE2DFFE">
            <w:pPr>
              <w:pStyle w:val="6"/>
              <w:spacing w:before="78" w:line="228" w:lineRule="auto"/>
              <w:ind w:left="116"/>
            </w:pPr>
            <w:r>
              <w:rPr>
                <w:spacing w:val="7"/>
              </w:rPr>
              <w:t>不可行，不能满足招标文件要求        0</w:t>
            </w:r>
            <w:r>
              <w:rPr>
                <w:spacing w:val="-32"/>
              </w:rPr>
              <w:t xml:space="preserve"> </w:t>
            </w:r>
            <w:r>
              <w:rPr>
                <w:spacing w:val="7"/>
              </w:rPr>
              <w:t>分</w:t>
            </w:r>
          </w:p>
        </w:tc>
      </w:tr>
      <w:tr w14:paraId="317FD2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78F6210">
            <w:pPr>
              <w:rPr>
                <w:rFonts w:ascii="Arial"/>
                <w:sz w:val="21"/>
              </w:rPr>
            </w:pPr>
          </w:p>
        </w:tc>
        <w:tc>
          <w:tcPr>
            <w:tcW w:w="1058" w:type="dxa"/>
            <w:vMerge w:val="continue"/>
            <w:tcBorders>
              <w:top w:val="nil"/>
              <w:bottom w:val="nil"/>
            </w:tcBorders>
            <w:vAlign w:val="top"/>
          </w:tcPr>
          <w:p w14:paraId="3D1FD660">
            <w:pPr>
              <w:rPr>
                <w:rFonts w:ascii="Arial"/>
                <w:sz w:val="21"/>
              </w:rPr>
            </w:pPr>
          </w:p>
        </w:tc>
        <w:tc>
          <w:tcPr>
            <w:tcW w:w="2084" w:type="dxa"/>
            <w:vMerge w:val="restart"/>
            <w:tcBorders>
              <w:bottom w:val="nil"/>
            </w:tcBorders>
            <w:vAlign w:val="top"/>
          </w:tcPr>
          <w:p w14:paraId="01B03A37">
            <w:pPr>
              <w:spacing w:line="430" w:lineRule="auto"/>
              <w:rPr>
                <w:rFonts w:ascii="Arial"/>
                <w:sz w:val="21"/>
              </w:rPr>
            </w:pPr>
          </w:p>
          <w:p w14:paraId="6FB2C445">
            <w:pPr>
              <w:pStyle w:val="6"/>
              <w:spacing w:before="65" w:line="229" w:lineRule="auto"/>
              <w:ind w:left="111"/>
            </w:pPr>
            <w:r>
              <w:rPr>
                <w:spacing w:val="8"/>
              </w:rPr>
              <w:t>施工准备与</w:t>
            </w:r>
          </w:p>
          <w:p w14:paraId="05D66125">
            <w:pPr>
              <w:pStyle w:val="6"/>
              <w:spacing w:before="23" w:line="229" w:lineRule="auto"/>
              <w:ind w:left="121"/>
            </w:pPr>
            <w:r>
              <w:rPr>
                <w:spacing w:val="6"/>
              </w:rPr>
              <w:t>资源配置计划</w:t>
            </w:r>
          </w:p>
        </w:tc>
        <w:tc>
          <w:tcPr>
            <w:tcW w:w="735" w:type="dxa"/>
            <w:vMerge w:val="restart"/>
            <w:tcBorders>
              <w:bottom w:val="nil"/>
            </w:tcBorders>
            <w:vAlign w:val="top"/>
          </w:tcPr>
          <w:p w14:paraId="3DA2E3DC">
            <w:pPr>
              <w:spacing w:line="282" w:lineRule="auto"/>
              <w:rPr>
                <w:rFonts w:ascii="Arial"/>
                <w:sz w:val="21"/>
              </w:rPr>
            </w:pPr>
          </w:p>
          <w:p w14:paraId="02F1A892">
            <w:pPr>
              <w:spacing w:line="282" w:lineRule="auto"/>
              <w:rPr>
                <w:rFonts w:ascii="Arial"/>
                <w:sz w:val="21"/>
              </w:rPr>
            </w:pPr>
          </w:p>
          <w:p w14:paraId="6BE887DD">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7AE828EE">
            <w:pPr>
              <w:pStyle w:val="6"/>
              <w:spacing w:before="77" w:line="228" w:lineRule="auto"/>
              <w:ind w:left="138"/>
            </w:pPr>
            <w:r>
              <w:rPr>
                <w:spacing w:val="6"/>
              </w:rPr>
              <w:t xml:space="preserve">内容完备，合理、针对性强        </w:t>
            </w:r>
            <w:r>
              <w:rPr>
                <w:spacing w:val="5"/>
              </w:rPr>
              <w:t>2-1.9</w:t>
            </w:r>
            <w:r>
              <w:rPr>
                <w:spacing w:val="-36"/>
              </w:rPr>
              <w:t xml:space="preserve"> </w:t>
            </w:r>
            <w:r>
              <w:rPr>
                <w:spacing w:val="5"/>
              </w:rPr>
              <w:t>分</w:t>
            </w:r>
          </w:p>
        </w:tc>
      </w:tr>
      <w:tr w14:paraId="23099E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45" w:type="dxa"/>
            <w:vMerge w:val="continue"/>
            <w:tcBorders>
              <w:top w:val="nil"/>
              <w:bottom w:val="nil"/>
            </w:tcBorders>
            <w:vAlign w:val="top"/>
          </w:tcPr>
          <w:p w14:paraId="79B0014A">
            <w:pPr>
              <w:rPr>
                <w:rFonts w:ascii="Arial"/>
                <w:sz w:val="21"/>
              </w:rPr>
            </w:pPr>
          </w:p>
        </w:tc>
        <w:tc>
          <w:tcPr>
            <w:tcW w:w="1058" w:type="dxa"/>
            <w:vMerge w:val="continue"/>
            <w:tcBorders>
              <w:top w:val="nil"/>
              <w:bottom w:val="nil"/>
            </w:tcBorders>
            <w:vAlign w:val="top"/>
          </w:tcPr>
          <w:p w14:paraId="5EB9E040">
            <w:pPr>
              <w:rPr>
                <w:rFonts w:ascii="Arial"/>
                <w:sz w:val="21"/>
              </w:rPr>
            </w:pPr>
          </w:p>
        </w:tc>
        <w:tc>
          <w:tcPr>
            <w:tcW w:w="2084" w:type="dxa"/>
            <w:vMerge w:val="continue"/>
            <w:tcBorders>
              <w:top w:val="nil"/>
              <w:bottom w:val="nil"/>
            </w:tcBorders>
            <w:vAlign w:val="top"/>
          </w:tcPr>
          <w:p w14:paraId="30A6FAC2">
            <w:pPr>
              <w:rPr>
                <w:rFonts w:ascii="Arial"/>
                <w:sz w:val="21"/>
              </w:rPr>
            </w:pPr>
          </w:p>
        </w:tc>
        <w:tc>
          <w:tcPr>
            <w:tcW w:w="735" w:type="dxa"/>
            <w:vMerge w:val="continue"/>
            <w:tcBorders>
              <w:top w:val="nil"/>
              <w:bottom w:val="nil"/>
            </w:tcBorders>
            <w:vAlign w:val="top"/>
          </w:tcPr>
          <w:p w14:paraId="057D947C">
            <w:pPr>
              <w:rPr>
                <w:rFonts w:ascii="Arial"/>
                <w:sz w:val="21"/>
              </w:rPr>
            </w:pPr>
          </w:p>
        </w:tc>
        <w:tc>
          <w:tcPr>
            <w:tcW w:w="4562" w:type="dxa"/>
            <w:vAlign w:val="top"/>
          </w:tcPr>
          <w:p w14:paraId="3EB40CFC">
            <w:pPr>
              <w:pStyle w:val="6"/>
              <w:spacing w:before="77" w:line="228" w:lineRule="auto"/>
              <w:ind w:left="138"/>
            </w:pPr>
            <w:r>
              <w:rPr>
                <w:spacing w:val="3"/>
              </w:rPr>
              <w:t>内容完备，可行</w:t>
            </w:r>
            <w:r>
              <w:t xml:space="preserve">                 </w:t>
            </w:r>
            <w:r>
              <w:rPr>
                <w:spacing w:val="3"/>
              </w:rPr>
              <w:t>1.8-1.6</w:t>
            </w:r>
            <w:r>
              <w:rPr>
                <w:spacing w:val="-31"/>
              </w:rPr>
              <w:t xml:space="preserve"> </w:t>
            </w:r>
            <w:r>
              <w:rPr>
                <w:spacing w:val="3"/>
              </w:rPr>
              <w:t>分</w:t>
            </w:r>
          </w:p>
        </w:tc>
      </w:tr>
      <w:tr w14:paraId="764619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D689D9A">
            <w:pPr>
              <w:rPr>
                <w:rFonts w:ascii="Arial"/>
                <w:sz w:val="21"/>
              </w:rPr>
            </w:pPr>
          </w:p>
        </w:tc>
        <w:tc>
          <w:tcPr>
            <w:tcW w:w="1058" w:type="dxa"/>
            <w:vMerge w:val="continue"/>
            <w:tcBorders>
              <w:top w:val="nil"/>
              <w:bottom w:val="nil"/>
            </w:tcBorders>
            <w:vAlign w:val="top"/>
          </w:tcPr>
          <w:p w14:paraId="399D94CB">
            <w:pPr>
              <w:rPr>
                <w:rFonts w:ascii="Arial"/>
                <w:sz w:val="21"/>
              </w:rPr>
            </w:pPr>
          </w:p>
        </w:tc>
        <w:tc>
          <w:tcPr>
            <w:tcW w:w="2084" w:type="dxa"/>
            <w:vMerge w:val="continue"/>
            <w:tcBorders>
              <w:top w:val="nil"/>
              <w:bottom w:val="nil"/>
            </w:tcBorders>
            <w:vAlign w:val="top"/>
          </w:tcPr>
          <w:p w14:paraId="44F33B00">
            <w:pPr>
              <w:rPr>
                <w:rFonts w:ascii="Arial"/>
                <w:sz w:val="21"/>
              </w:rPr>
            </w:pPr>
          </w:p>
        </w:tc>
        <w:tc>
          <w:tcPr>
            <w:tcW w:w="735" w:type="dxa"/>
            <w:vMerge w:val="continue"/>
            <w:tcBorders>
              <w:top w:val="nil"/>
              <w:bottom w:val="nil"/>
            </w:tcBorders>
            <w:vAlign w:val="top"/>
          </w:tcPr>
          <w:p w14:paraId="389B0E1F">
            <w:pPr>
              <w:rPr>
                <w:rFonts w:ascii="Arial"/>
                <w:sz w:val="21"/>
              </w:rPr>
            </w:pPr>
          </w:p>
        </w:tc>
        <w:tc>
          <w:tcPr>
            <w:tcW w:w="4562" w:type="dxa"/>
            <w:vAlign w:val="top"/>
          </w:tcPr>
          <w:p w14:paraId="773CBA84">
            <w:pPr>
              <w:pStyle w:val="6"/>
              <w:spacing w:before="78" w:line="227" w:lineRule="auto"/>
              <w:ind w:left="138"/>
            </w:pPr>
            <w:r>
              <w:rPr>
                <w:spacing w:val="4"/>
              </w:rPr>
              <w:t>内容欠完备，基本可行</w:t>
            </w:r>
            <w:r>
              <w:rPr>
                <w:spacing w:val="8"/>
              </w:rPr>
              <w:t xml:space="preserve">          </w:t>
            </w:r>
            <w:r>
              <w:rPr>
                <w:spacing w:val="4"/>
              </w:rPr>
              <w:t>1.5-1.4</w:t>
            </w:r>
            <w:r>
              <w:rPr>
                <w:spacing w:val="-38"/>
              </w:rPr>
              <w:t xml:space="preserve"> </w:t>
            </w:r>
            <w:r>
              <w:rPr>
                <w:spacing w:val="4"/>
              </w:rPr>
              <w:t>分</w:t>
            </w:r>
          </w:p>
        </w:tc>
      </w:tr>
      <w:tr w14:paraId="5B243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2E35ADE">
            <w:pPr>
              <w:rPr>
                <w:rFonts w:ascii="Arial"/>
                <w:sz w:val="21"/>
              </w:rPr>
            </w:pPr>
          </w:p>
        </w:tc>
        <w:tc>
          <w:tcPr>
            <w:tcW w:w="1058" w:type="dxa"/>
            <w:vMerge w:val="continue"/>
            <w:tcBorders>
              <w:top w:val="nil"/>
              <w:bottom w:val="nil"/>
            </w:tcBorders>
            <w:vAlign w:val="top"/>
          </w:tcPr>
          <w:p w14:paraId="497723FB">
            <w:pPr>
              <w:rPr>
                <w:rFonts w:ascii="Arial"/>
                <w:sz w:val="21"/>
              </w:rPr>
            </w:pPr>
          </w:p>
        </w:tc>
        <w:tc>
          <w:tcPr>
            <w:tcW w:w="2084" w:type="dxa"/>
            <w:vMerge w:val="continue"/>
            <w:tcBorders>
              <w:top w:val="nil"/>
            </w:tcBorders>
            <w:vAlign w:val="top"/>
          </w:tcPr>
          <w:p w14:paraId="21D2CB6E">
            <w:pPr>
              <w:rPr>
                <w:rFonts w:ascii="Arial"/>
                <w:sz w:val="21"/>
              </w:rPr>
            </w:pPr>
          </w:p>
        </w:tc>
        <w:tc>
          <w:tcPr>
            <w:tcW w:w="735" w:type="dxa"/>
            <w:vMerge w:val="continue"/>
            <w:tcBorders>
              <w:top w:val="nil"/>
            </w:tcBorders>
            <w:vAlign w:val="top"/>
          </w:tcPr>
          <w:p w14:paraId="666E6382">
            <w:pPr>
              <w:rPr>
                <w:rFonts w:ascii="Arial"/>
                <w:sz w:val="21"/>
              </w:rPr>
            </w:pPr>
          </w:p>
        </w:tc>
        <w:tc>
          <w:tcPr>
            <w:tcW w:w="4562" w:type="dxa"/>
            <w:vAlign w:val="top"/>
          </w:tcPr>
          <w:p w14:paraId="22AA2EB9">
            <w:pPr>
              <w:pStyle w:val="6"/>
              <w:spacing w:before="80" w:line="228" w:lineRule="auto"/>
              <w:ind w:left="116"/>
            </w:pPr>
            <w:r>
              <w:rPr>
                <w:spacing w:val="2"/>
              </w:rPr>
              <w:t>不可行                               0</w:t>
            </w:r>
            <w:r>
              <w:rPr>
                <w:spacing w:val="-36"/>
              </w:rPr>
              <w:t xml:space="preserve"> </w:t>
            </w:r>
            <w:r>
              <w:rPr>
                <w:spacing w:val="2"/>
              </w:rPr>
              <w:t>分</w:t>
            </w:r>
          </w:p>
        </w:tc>
      </w:tr>
      <w:tr w14:paraId="52C06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C1BDB6B">
            <w:pPr>
              <w:rPr>
                <w:rFonts w:ascii="Arial"/>
                <w:sz w:val="21"/>
              </w:rPr>
            </w:pPr>
          </w:p>
        </w:tc>
        <w:tc>
          <w:tcPr>
            <w:tcW w:w="1058" w:type="dxa"/>
            <w:vMerge w:val="continue"/>
            <w:tcBorders>
              <w:top w:val="nil"/>
              <w:bottom w:val="nil"/>
            </w:tcBorders>
            <w:vAlign w:val="top"/>
          </w:tcPr>
          <w:p w14:paraId="1BFE8AB4">
            <w:pPr>
              <w:rPr>
                <w:rFonts w:ascii="Arial"/>
                <w:sz w:val="21"/>
              </w:rPr>
            </w:pPr>
          </w:p>
        </w:tc>
        <w:tc>
          <w:tcPr>
            <w:tcW w:w="2084" w:type="dxa"/>
            <w:vMerge w:val="restart"/>
            <w:tcBorders>
              <w:bottom w:val="nil"/>
            </w:tcBorders>
            <w:vAlign w:val="top"/>
          </w:tcPr>
          <w:p w14:paraId="1F35DFA1">
            <w:pPr>
              <w:spacing w:line="283" w:lineRule="auto"/>
              <w:rPr>
                <w:rFonts w:ascii="Arial"/>
                <w:sz w:val="21"/>
              </w:rPr>
            </w:pPr>
          </w:p>
          <w:p w14:paraId="05888CEC">
            <w:pPr>
              <w:spacing w:line="283" w:lineRule="auto"/>
              <w:rPr>
                <w:rFonts w:ascii="Arial"/>
                <w:sz w:val="21"/>
              </w:rPr>
            </w:pPr>
          </w:p>
          <w:p w14:paraId="6DAD6FA6">
            <w:pPr>
              <w:pStyle w:val="6"/>
              <w:spacing w:before="65" w:line="228" w:lineRule="auto"/>
              <w:ind w:left="114"/>
            </w:pPr>
            <w:r>
              <w:rPr>
                <w:spacing w:val="7"/>
              </w:rPr>
              <w:t>主要施工方案</w:t>
            </w:r>
          </w:p>
        </w:tc>
        <w:tc>
          <w:tcPr>
            <w:tcW w:w="735" w:type="dxa"/>
            <w:vMerge w:val="restart"/>
            <w:tcBorders>
              <w:bottom w:val="nil"/>
            </w:tcBorders>
            <w:vAlign w:val="top"/>
          </w:tcPr>
          <w:p w14:paraId="56F1EBFD">
            <w:pPr>
              <w:spacing w:line="283" w:lineRule="auto"/>
              <w:rPr>
                <w:rFonts w:ascii="Arial"/>
                <w:sz w:val="21"/>
              </w:rPr>
            </w:pPr>
          </w:p>
          <w:p w14:paraId="5D3A7884">
            <w:pPr>
              <w:spacing w:line="283" w:lineRule="auto"/>
              <w:rPr>
                <w:rFonts w:ascii="Arial"/>
                <w:sz w:val="21"/>
              </w:rPr>
            </w:pPr>
          </w:p>
          <w:p w14:paraId="34DA9A15">
            <w:pPr>
              <w:pStyle w:val="6"/>
              <w:spacing w:before="65" w:line="228" w:lineRule="auto"/>
              <w:ind w:left="118"/>
            </w:pPr>
            <w:r>
              <w:rPr>
                <w:spacing w:val="-4"/>
              </w:rPr>
              <w:t>5</w:t>
            </w:r>
            <w:r>
              <w:rPr>
                <w:spacing w:val="-38"/>
              </w:rPr>
              <w:t xml:space="preserve"> </w:t>
            </w:r>
            <w:r>
              <w:rPr>
                <w:spacing w:val="-4"/>
              </w:rPr>
              <w:t>分</w:t>
            </w:r>
          </w:p>
        </w:tc>
        <w:tc>
          <w:tcPr>
            <w:tcW w:w="4562" w:type="dxa"/>
            <w:vAlign w:val="top"/>
          </w:tcPr>
          <w:p w14:paraId="4D418C53">
            <w:pPr>
              <w:pStyle w:val="6"/>
              <w:spacing w:before="79" w:line="227" w:lineRule="auto"/>
              <w:ind w:left="113"/>
            </w:pPr>
            <w:r>
              <w:rPr>
                <w:spacing w:val="6"/>
              </w:rPr>
              <w:t>科学、合理、针对性强            5-4.6</w:t>
            </w:r>
            <w:r>
              <w:rPr>
                <w:spacing w:val="-29"/>
              </w:rPr>
              <w:t xml:space="preserve"> </w:t>
            </w:r>
            <w:r>
              <w:rPr>
                <w:spacing w:val="6"/>
              </w:rPr>
              <w:t>分</w:t>
            </w:r>
          </w:p>
        </w:tc>
      </w:tr>
      <w:tr w14:paraId="270F48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F1B2307">
            <w:pPr>
              <w:rPr>
                <w:rFonts w:ascii="Arial"/>
                <w:sz w:val="21"/>
              </w:rPr>
            </w:pPr>
          </w:p>
        </w:tc>
        <w:tc>
          <w:tcPr>
            <w:tcW w:w="1058" w:type="dxa"/>
            <w:vMerge w:val="continue"/>
            <w:tcBorders>
              <w:top w:val="nil"/>
              <w:bottom w:val="nil"/>
            </w:tcBorders>
            <w:vAlign w:val="top"/>
          </w:tcPr>
          <w:p w14:paraId="0256776B">
            <w:pPr>
              <w:rPr>
                <w:rFonts w:ascii="Arial"/>
                <w:sz w:val="21"/>
              </w:rPr>
            </w:pPr>
          </w:p>
        </w:tc>
        <w:tc>
          <w:tcPr>
            <w:tcW w:w="2084" w:type="dxa"/>
            <w:vMerge w:val="continue"/>
            <w:tcBorders>
              <w:top w:val="nil"/>
              <w:bottom w:val="nil"/>
            </w:tcBorders>
            <w:vAlign w:val="top"/>
          </w:tcPr>
          <w:p w14:paraId="392A64C8">
            <w:pPr>
              <w:rPr>
                <w:rFonts w:ascii="Arial"/>
                <w:sz w:val="21"/>
              </w:rPr>
            </w:pPr>
          </w:p>
        </w:tc>
        <w:tc>
          <w:tcPr>
            <w:tcW w:w="735" w:type="dxa"/>
            <w:vMerge w:val="continue"/>
            <w:tcBorders>
              <w:top w:val="nil"/>
              <w:bottom w:val="nil"/>
            </w:tcBorders>
            <w:vAlign w:val="top"/>
          </w:tcPr>
          <w:p w14:paraId="65F8D4DA">
            <w:pPr>
              <w:rPr>
                <w:rFonts w:ascii="Arial"/>
                <w:sz w:val="21"/>
              </w:rPr>
            </w:pPr>
          </w:p>
        </w:tc>
        <w:tc>
          <w:tcPr>
            <w:tcW w:w="4562" w:type="dxa"/>
            <w:vAlign w:val="top"/>
          </w:tcPr>
          <w:p w14:paraId="56C75CAF">
            <w:pPr>
              <w:pStyle w:val="6"/>
              <w:spacing w:before="80" w:line="228" w:lineRule="auto"/>
              <w:ind w:left="114"/>
            </w:pPr>
            <w:r>
              <w:rPr>
                <w:spacing w:val="5"/>
              </w:rPr>
              <w:t>合理、可行</w:t>
            </w:r>
            <w:r>
              <w:t xml:space="preserve">                       </w:t>
            </w:r>
            <w:r>
              <w:rPr>
                <w:spacing w:val="5"/>
              </w:rPr>
              <w:t>4.5-4</w:t>
            </w:r>
            <w:r>
              <w:rPr>
                <w:spacing w:val="-16"/>
              </w:rPr>
              <w:t xml:space="preserve"> </w:t>
            </w:r>
            <w:r>
              <w:rPr>
                <w:spacing w:val="5"/>
              </w:rPr>
              <w:t>分</w:t>
            </w:r>
          </w:p>
        </w:tc>
      </w:tr>
      <w:tr w14:paraId="24789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E8E8FF5">
            <w:pPr>
              <w:rPr>
                <w:rFonts w:ascii="Arial"/>
                <w:sz w:val="21"/>
              </w:rPr>
            </w:pPr>
          </w:p>
        </w:tc>
        <w:tc>
          <w:tcPr>
            <w:tcW w:w="1058" w:type="dxa"/>
            <w:vMerge w:val="continue"/>
            <w:tcBorders>
              <w:top w:val="nil"/>
              <w:bottom w:val="nil"/>
            </w:tcBorders>
            <w:vAlign w:val="top"/>
          </w:tcPr>
          <w:p w14:paraId="5A61FCBA">
            <w:pPr>
              <w:rPr>
                <w:rFonts w:ascii="Arial"/>
                <w:sz w:val="21"/>
              </w:rPr>
            </w:pPr>
          </w:p>
        </w:tc>
        <w:tc>
          <w:tcPr>
            <w:tcW w:w="2084" w:type="dxa"/>
            <w:vMerge w:val="continue"/>
            <w:tcBorders>
              <w:top w:val="nil"/>
              <w:bottom w:val="nil"/>
            </w:tcBorders>
            <w:vAlign w:val="top"/>
          </w:tcPr>
          <w:p w14:paraId="2590D320">
            <w:pPr>
              <w:rPr>
                <w:rFonts w:ascii="Arial"/>
                <w:sz w:val="21"/>
              </w:rPr>
            </w:pPr>
          </w:p>
        </w:tc>
        <w:tc>
          <w:tcPr>
            <w:tcW w:w="735" w:type="dxa"/>
            <w:vMerge w:val="continue"/>
            <w:tcBorders>
              <w:top w:val="nil"/>
              <w:bottom w:val="nil"/>
            </w:tcBorders>
            <w:vAlign w:val="top"/>
          </w:tcPr>
          <w:p w14:paraId="4C92377A">
            <w:pPr>
              <w:rPr>
                <w:rFonts w:ascii="Arial"/>
                <w:sz w:val="21"/>
              </w:rPr>
            </w:pPr>
          </w:p>
        </w:tc>
        <w:tc>
          <w:tcPr>
            <w:tcW w:w="4562" w:type="dxa"/>
            <w:vAlign w:val="top"/>
          </w:tcPr>
          <w:p w14:paraId="040976D1">
            <w:pPr>
              <w:pStyle w:val="6"/>
              <w:spacing w:before="79" w:line="227" w:lineRule="auto"/>
              <w:ind w:left="114"/>
            </w:pPr>
            <w:r>
              <w:rPr>
                <w:spacing w:val="6"/>
              </w:rPr>
              <w:t>欠合理，基本可行              3.9-</w:t>
            </w:r>
            <w:r>
              <w:rPr>
                <w:spacing w:val="5"/>
              </w:rPr>
              <w:t>3.5</w:t>
            </w:r>
            <w:r>
              <w:rPr>
                <w:spacing w:val="-37"/>
              </w:rPr>
              <w:t xml:space="preserve"> </w:t>
            </w:r>
            <w:r>
              <w:rPr>
                <w:spacing w:val="5"/>
              </w:rPr>
              <w:t>分</w:t>
            </w:r>
          </w:p>
        </w:tc>
      </w:tr>
      <w:tr w14:paraId="2DA7C4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B8AC69D">
            <w:pPr>
              <w:rPr>
                <w:rFonts w:ascii="Arial"/>
                <w:sz w:val="21"/>
              </w:rPr>
            </w:pPr>
          </w:p>
        </w:tc>
        <w:tc>
          <w:tcPr>
            <w:tcW w:w="1058" w:type="dxa"/>
            <w:vMerge w:val="continue"/>
            <w:tcBorders>
              <w:top w:val="nil"/>
              <w:bottom w:val="nil"/>
            </w:tcBorders>
            <w:vAlign w:val="top"/>
          </w:tcPr>
          <w:p w14:paraId="7FFD2A01">
            <w:pPr>
              <w:rPr>
                <w:rFonts w:ascii="Arial"/>
                <w:sz w:val="21"/>
              </w:rPr>
            </w:pPr>
          </w:p>
        </w:tc>
        <w:tc>
          <w:tcPr>
            <w:tcW w:w="2084" w:type="dxa"/>
            <w:vMerge w:val="continue"/>
            <w:tcBorders>
              <w:top w:val="nil"/>
            </w:tcBorders>
            <w:vAlign w:val="top"/>
          </w:tcPr>
          <w:p w14:paraId="6EBAD9F5">
            <w:pPr>
              <w:rPr>
                <w:rFonts w:ascii="Arial"/>
                <w:sz w:val="21"/>
              </w:rPr>
            </w:pPr>
          </w:p>
        </w:tc>
        <w:tc>
          <w:tcPr>
            <w:tcW w:w="735" w:type="dxa"/>
            <w:vMerge w:val="continue"/>
            <w:tcBorders>
              <w:top w:val="nil"/>
            </w:tcBorders>
            <w:vAlign w:val="top"/>
          </w:tcPr>
          <w:p w14:paraId="0789C6DF">
            <w:pPr>
              <w:rPr>
                <w:rFonts w:ascii="Arial"/>
                <w:sz w:val="21"/>
              </w:rPr>
            </w:pPr>
          </w:p>
        </w:tc>
        <w:tc>
          <w:tcPr>
            <w:tcW w:w="4562" w:type="dxa"/>
            <w:vAlign w:val="top"/>
          </w:tcPr>
          <w:p w14:paraId="673D373E">
            <w:pPr>
              <w:pStyle w:val="6"/>
              <w:spacing w:before="78" w:line="228" w:lineRule="auto"/>
              <w:ind w:left="116"/>
            </w:pPr>
            <w:r>
              <w:rPr>
                <w:spacing w:val="6"/>
              </w:rPr>
              <w:t>不可行，不能满足工程需要            0</w:t>
            </w:r>
            <w:r>
              <w:rPr>
                <w:spacing w:val="-20"/>
              </w:rPr>
              <w:t xml:space="preserve"> </w:t>
            </w:r>
            <w:r>
              <w:rPr>
                <w:spacing w:val="6"/>
              </w:rPr>
              <w:t>分</w:t>
            </w:r>
          </w:p>
        </w:tc>
      </w:tr>
      <w:tr w14:paraId="1579B2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6D4D1F8">
            <w:pPr>
              <w:rPr>
                <w:rFonts w:ascii="Arial"/>
                <w:sz w:val="21"/>
              </w:rPr>
            </w:pPr>
          </w:p>
        </w:tc>
        <w:tc>
          <w:tcPr>
            <w:tcW w:w="1058" w:type="dxa"/>
            <w:vMerge w:val="continue"/>
            <w:tcBorders>
              <w:top w:val="nil"/>
              <w:bottom w:val="nil"/>
            </w:tcBorders>
            <w:vAlign w:val="top"/>
          </w:tcPr>
          <w:p w14:paraId="391DD011">
            <w:pPr>
              <w:rPr>
                <w:rFonts w:ascii="Arial"/>
                <w:sz w:val="21"/>
              </w:rPr>
            </w:pPr>
          </w:p>
        </w:tc>
        <w:tc>
          <w:tcPr>
            <w:tcW w:w="2084" w:type="dxa"/>
            <w:vMerge w:val="restart"/>
            <w:tcBorders>
              <w:bottom w:val="nil"/>
            </w:tcBorders>
            <w:vAlign w:val="top"/>
          </w:tcPr>
          <w:p w14:paraId="17A4565D">
            <w:pPr>
              <w:spacing w:line="283" w:lineRule="auto"/>
              <w:rPr>
                <w:rFonts w:ascii="Arial"/>
                <w:sz w:val="21"/>
              </w:rPr>
            </w:pPr>
          </w:p>
          <w:p w14:paraId="78933B99">
            <w:pPr>
              <w:spacing w:line="283" w:lineRule="auto"/>
              <w:rPr>
                <w:rFonts w:ascii="Arial"/>
                <w:sz w:val="21"/>
              </w:rPr>
            </w:pPr>
          </w:p>
          <w:p w14:paraId="55A51BDE">
            <w:pPr>
              <w:pStyle w:val="6"/>
              <w:spacing w:before="65" w:line="227" w:lineRule="auto"/>
              <w:ind w:left="111"/>
            </w:pPr>
            <w:r>
              <w:rPr>
                <w:spacing w:val="8"/>
              </w:rPr>
              <w:t>施工现场平面布置</w:t>
            </w:r>
          </w:p>
        </w:tc>
        <w:tc>
          <w:tcPr>
            <w:tcW w:w="735" w:type="dxa"/>
            <w:vMerge w:val="restart"/>
            <w:tcBorders>
              <w:bottom w:val="nil"/>
            </w:tcBorders>
            <w:vAlign w:val="top"/>
          </w:tcPr>
          <w:p w14:paraId="72034C02">
            <w:pPr>
              <w:spacing w:line="283" w:lineRule="auto"/>
              <w:rPr>
                <w:rFonts w:ascii="Arial"/>
                <w:sz w:val="21"/>
              </w:rPr>
            </w:pPr>
          </w:p>
          <w:p w14:paraId="00311E81">
            <w:pPr>
              <w:spacing w:line="284" w:lineRule="auto"/>
              <w:rPr>
                <w:rFonts w:ascii="Arial"/>
                <w:sz w:val="21"/>
              </w:rPr>
            </w:pPr>
          </w:p>
          <w:p w14:paraId="4731179C">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07FA4A0C">
            <w:pPr>
              <w:pStyle w:val="6"/>
              <w:spacing w:before="78" w:line="227" w:lineRule="auto"/>
              <w:ind w:left="115"/>
            </w:pPr>
            <w:r>
              <w:rPr>
                <w:spacing w:val="5"/>
              </w:rPr>
              <w:t>现场布置合理</w:t>
            </w:r>
            <w:r>
              <w:t xml:space="preserve">                     </w:t>
            </w:r>
            <w:r>
              <w:rPr>
                <w:spacing w:val="5"/>
              </w:rPr>
              <w:t>2-1.9</w:t>
            </w:r>
            <w:r>
              <w:rPr>
                <w:spacing w:val="-22"/>
              </w:rPr>
              <w:t xml:space="preserve"> </w:t>
            </w:r>
            <w:r>
              <w:rPr>
                <w:spacing w:val="5"/>
              </w:rPr>
              <w:t>分</w:t>
            </w:r>
          </w:p>
        </w:tc>
      </w:tr>
      <w:tr w14:paraId="29C4F9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35B557E">
            <w:pPr>
              <w:rPr>
                <w:rFonts w:ascii="Arial"/>
                <w:sz w:val="21"/>
              </w:rPr>
            </w:pPr>
          </w:p>
        </w:tc>
        <w:tc>
          <w:tcPr>
            <w:tcW w:w="1058" w:type="dxa"/>
            <w:vMerge w:val="continue"/>
            <w:tcBorders>
              <w:top w:val="nil"/>
              <w:bottom w:val="nil"/>
            </w:tcBorders>
            <w:vAlign w:val="top"/>
          </w:tcPr>
          <w:p w14:paraId="57B76DB1">
            <w:pPr>
              <w:rPr>
                <w:rFonts w:ascii="Arial"/>
                <w:sz w:val="21"/>
              </w:rPr>
            </w:pPr>
          </w:p>
        </w:tc>
        <w:tc>
          <w:tcPr>
            <w:tcW w:w="2084" w:type="dxa"/>
            <w:vMerge w:val="continue"/>
            <w:tcBorders>
              <w:top w:val="nil"/>
              <w:bottom w:val="nil"/>
            </w:tcBorders>
            <w:vAlign w:val="top"/>
          </w:tcPr>
          <w:p w14:paraId="0B519DE2">
            <w:pPr>
              <w:rPr>
                <w:rFonts w:ascii="Arial"/>
                <w:sz w:val="21"/>
              </w:rPr>
            </w:pPr>
          </w:p>
        </w:tc>
        <w:tc>
          <w:tcPr>
            <w:tcW w:w="735" w:type="dxa"/>
            <w:vMerge w:val="continue"/>
            <w:tcBorders>
              <w:top w:val="nil"/>
              <w:bottom w:val="nil"/>
            </w:tcBorders>
            <w:vAlign w:val="top"/>
          </w:tcPr>
          <w:p w14:paraId="52D20964">
            <w:pPr>
              <w:rPr>
                <w:rFonts w:ascii="Arial"/>
                <w:sz w:val="21"/>
              </w:rPr>
            </w:pPr>
          </w:p>
        </w:tc>
        <w:tc>
          <w:tcPr>
            <w:tcW w:w="4562" w:type="dxa"/>
            <w:vAlign w:val="top"/>
          </w:tcPr>
          <w:p w14:paraId="2782B1E3">
            <w:pPr>
              <w:pStyle w:val="6"/>
              <w:spacing w:before="80" w:line="227" w:lineRule="auto"/>
              <w:ind w:left="115"/>
            </w:pPr>
            <w:r>
              <w:rPr>
                <w:spacing w:val="4"/>
              </w:rPr>
              <w:t>现场布置可行</w:t>
            </w:r>
            <w:r>
              <w:rPr>
                <w:spacing w:val="1"/>
              </w:rPr>
              <w:t xml:space="preserve">                   </w:t>
            </w:r>
            <w:r>
              <w:rPr>
                <w:spacing w:val="4"/>
              </w:rPr>
              <w:t>1.8-1.6</w:t>
            </w:r>
            <w:r>
              <w:rPr>
                <w:spacing w:val="-37"/>
              </w:rPr>
              <w:t xml:space="preserve"> </w:t>
            </w:r>
            <w:r>
              <w:rPr>
                <w:spacing w:val="4"/>
              </w:rPr>
              <w:t>分</w:t>
            </w:r>
          </w:p>
        </w:tc>
      </w:tr>
      <w:tr w14:paraId="6A230D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0E4EBE24">
            <w:pPr>
              <w:rPr>
                <w:rFonts w:ascii="Arial"/>
                <w:sz w:val="21"/>
              </w:rPr>
            </w:pPr>
          </w:p>
        </w:tc>
        <w:tc>
          <w:tcPr>
            <w:tcW w:w="1058" w:type="dxa"/>
            <w:vMerge w:val="continue"/>
            <w:tcBorders>
              <w:top w:val="nil"/>
              <w:bottom w:val="nil"/>
            </w:tcBorders>
            <w:vAlign w:val="top"/>
          </w:tcPr>
          <w:p w14:paraId="53BF81D2">
            <w:pPr>
              <w:rPr>
                <w:rFonts w:ascii="Arial"/>
                <w:sz w:val="21"/>
              </w:rPr>
            </w:pPr>
          </w:p>
        </w:tc>
        <w:tc>
          <w:tcPr>
            <w:tcW w:w="2084" w:type="dxa"/>
            <w:vMerge w:val="continue"/>
            <w:tcBorders>
              <w:top w:val="nil"/>
              <w:bottom w:val="nil"/>
            </w:tcBorders>
            <w:vAlign w:val="top"/>
          </w:tcPr>
          <w:p w14:paraId="70C34AF0">
            <w:pPr>
              <w:rPr>
                <w:rFonts w:ascii="Arial"/>
                <w:sz w:val="21"/>
              </w:rPr>
            </w:pPr>
          </w:p>
        </w:tc>
        <w:tc>
          <w:tcPr>
            <w:tcW w:w="735" w:type="dxa"/>
            <w:vMerge w:val="continue"/>
            <w:tcBorders>
              <w:top w:val="nil"/>
              <w:bottom w:val="nil"/>
            </w:tcBorders>
            <w:vAlign w:val="top"/>
          </w:tcPr>
          <w:p w14:paraId="6055522E">
            <w:pPr>
              <w:rPr>
                <w:rFonts w:ascii="Arial"/>
                <w:sz w:val="21"/>
              </w:rPr>
            </w:pPr>
          </w:p>
        </w:tc>
        <w:tc>
          <w:tcPr>
            <w:tcW w:w="4562" w:type="dxa"/>
            <w:vAlign w:val="top"/>
          </w:tcPr>
          <w:p w14:paraId="122488EA">
            <w:pPr>
              <w:pStyle w:val="6"/>
              <w:spacing w:before="79" w:line="227" w:lineRule="auto"/>
              <w:ind w:left="115"/>
            </w:pPr>
            <w:r>
              <w:rPr>
                <w:spacing w:val="4"/>
              </w:rPr>
              <w:t>现场布置基本可行</w:t>
            </w:r>
            <w:r>
              <w:rPr>
                <w:spacing w:val="8"/>
              </w:rPr>
              <w:t xml:space="preserve">              </w:t>
            </w:r>
            <w:r>
              <w:rPr>
                <w:spacing w:val="4"/>
              </w:rPr>
              <w:t>1.5-1.4</w:t>
            </w:r>
            <w:r>
              <w:rPr>
                <w:spacing w:val="-38"/>
              </w:rPr>
              <w:t xml:space="preserve"> </w:t>
            </w:r>
            <w:r>
              <w:rPr>
                <w:spacing w:val="4"/>
              </w:rPr>
              <w:t>分</w:t>
            </w:r>
          </w:p>
        </w:tc>
      </w:tr>
      <w:tr w14:paraId="1BEE1D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073DC4F">
            <w:pPr>
              <w:rPr>
                <w:rFonts w:ascii="Arial"/>
                <w:sz w:val="21"/>
              </w:rPr>
            </w:pPr>
          </w:p>
        </w:tc>
        <w:tc>
          <w:tcPr>
            <w:tcW w:w="1058" w:type="dxa"/>
            <w:vMerge w:val="continue"/>
            <w:tcBorders>
              <w:top w:val="nil"/>
              <w:bottom w:val="nil"/>
            </w:tcBorders>
            <w:vAlign w:val="top"/>
          </w:tcPr>
          <w:p w14:paraId="587E6250">
            <w:pPr>
              <w:rPr>
                <w:rFonts w:ascii="Arial"/>
                <w:sz w:val="21"/>
              </w:rPr>
            </w:pPr>
          </w:p>
        </w:tc>
        <w:tc>
          <w:tcPr>
            <w:tcW w:w="2084" w:type="dxa"/>
            <w:vMerge w:val="continue"/>
            <w:tcBorders>
              <w:top w:val="nil"/>
            </w:tcBorders>
            <w:vAlign w:val="top"/>
          </w:tcPr>
          <w:p w14:paraId="4438E7D1">
            <w:pPr>
              <w:rPr>
                <w:rFonts w:ascii="Arial"/>
                <w:sz w:val="21"/>
              </w:rPr>
            </w:pPr>
          </w:p>
        </w:tc>
        <w:tc>
          <w:tcPr>
            <w:tcW w:w="735" w:type="dxa"/>
            <w:vMerge w:val="continue"/>
            <w:tcBorders>
              <w:top w:val="nil"/>
            </w:tcBorders>
            <w:vAlign w:val="top"/>
          </w:tcPr>
          <w:p w14:paraId="26A5D706">
            <w:pPr>
              <w:rPr>
                <w:rFonts w:ascii="Arial"/>
                <w:sz w:val="21"/>
              </w:rPr>
            </w:pPr>
          </w:p>
        </w:tc>
        <w:tc>
          <w:tcPr>
            <w:tcW w:w="4562" w:type="dxa"/>
            <w:vAlign w:val="top"/>
          </w:tcPr>
          <w:p w14:paraId="49C6AE72">
            <w:pPr>
              <w:pStyle w:val="6"/>
              <w:spacing w:before="79" w:line="227" w:lineRule="auto"/>
              <w:ind w:left="115"/>
            </w:pPr>
            <w:r>
              <w:rPr>
                <w:spacing w:val="5"/>
              </w:rPr>
              <w:t>现场布置不可行</w:t>
            </w:r>
            <w:r>
              <w:rPr>
                <w:spacing w:val="1"/>
              </w:rPr>
              <w:t xml:space="preserve">                       </w:t>
            </w:r>
            <w:r>
              <w:rPr>
                <w:spacing w:val="5"/>
              </w:rPr>
              <w:t>0</w:t>
            </w:r>
            <w:r>
              <w:rPr>
                <w:spacing w:val="-30"/>
              </w:rPr>
              <w:t xml:space="preserve"> </w:t>
            </w:r>
            <w:r>
              <w:rPr>
                <w:spacing w:val="5"/>
              </w:rPr>
              <w:t>分</w:t>
            </w:r>
          </w:p>
        </w:tc>
      </w:tr>
      <w:tr w14:paraId="19635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DE4E72A">
            <w:pPr>
              <w:rPr>
                <w:rFonts w:ascii="Arial"/>
                <w:sz w:val="21"/>
              </w:rPr>
            </w:pPr>
          </w:p>
        </w:tc>
        <w:tc>
          <w:tcPr>
            <w:tcW w:w="1058" w:type="dxa"/>
            <w:vMerge w:val="continue"/>
            <w:tcBorders>
              <w:top w:val="nil"/>
              <w:bottom w:val="nil"/>
            </w:tcBorders>
            <w:vAlign w:val="top"/>
          </w:tcPr>
          <w:p w14:paraId="18149DD5">
            <w:pPr>
              <w:rPr>
                <w:rFonts w:ascii="Arial"/>
                <w:sz w:val="21"/>
              </w:rPr>
            </w:pPr>
          </w:p>
        </w:tc>
        <w:tc>
          <w:tcPr>
            <w:tcW w:w="2084" w:type="dxa"/>
            <w:vMerge w:val="restart"/>
            <w:tcBorders>
              <w:bottom w:val="nil"/>
            </w:tcBorders>
            <w:vAlign w:val="top"/>
          </w:tcPr>
          <w:p w14:paraId="22332650">
            <w:pPr>
              <w:pStyle w:val="6"/>
              <w:spacing w:before="263" w:line="228" w:lineRule="auto"/>
              <w:ind w:left="114"/>
            </w:pPr>
            <w:r>
              <w:rPr>
                <w:spacing w:val="8"/>
              </w:rPr>
              <w:t>主要施工管理计划</w:t>
            </w:r>
          </w:p>
        </w:tc>
        <w:tc>
          <w:tcPr>
            <w:tcW w:w="735" w:type="dxa"/>
            <w:vMerge w:val="restart"/>
            <w:tcBorders>
              <w:bottom w:val="nil"/>
            </w:tcBorders>
            <w:vAlign w:val="top"/>
          </w:tcPr>
          <w:p w14:paraId="15EF2A28">
            <w:pPr>
              <w:pStyle w:val="6"/>
              <w:spacing w:before="264" w:line="228" w:lineRule="auto"/>
              <w:ind w:left="113"/>
            </w:pPr>
            <w:r>
              <w:rPr>
                <w:spacing w:val="-2"/>
              </w:rPr>
              <w:t>4</w:t>
            </w:r>
            <w:r>
              <w:rPr>
                <w:spacing w:val="-38"/>
              </w:rPr>
              <w:t xml:space="preserve"> </w:t>
            </w:r>
            <w:r>
              <w:rPr>
                <w:spacing w:val="-2"/>
              </w:rPr>
              <w:t>分</w:t>
            </w:r>
          </w:p>
        </w:tc>
        <w:tc>
          <w:tcPr>
            <w:tcW w:w="4562" w:type="dxa"/>
            <w:vAlign w:val="top"/>
          </w:tcPr>
          <w:p w14:paraId="6F3E58E5">
            <w:pPr>
              <w:pStyle w:val="6"/>
              <w:spacing w:before="78" w:line="228" w:lineRule="auto"/>
              <w:ind w:left="138"/>
            </w:pPr>
            <w:r>
              <w:rPr>
                <w:spacing w:val="6"/>
              </w:rPr>
              <w:t xml:space="preserve">内容完备，合理、针对性强        </w:t>
            </w:r>
            <w:r>
              <w:rPr>
                <w:spacing w:val="5"/>
              </w:rPr>
              <w:t>4-3.7</w:t>
            </w:r>
            <w:r>
              <w:rPr>
                <w:spacing w:val="-36"/>
              </w:rPr>
              <w:t xml:space="preserve"> </w:t>
            </w:r>
            <w:r>
              <w:rPr>
                <w:spacing w:val="5"/>
              </w:rPr>
              <w:t>分</w:t>
            </w:r>
          </w:p>
        </w:tc>
      </w:tr>
      <w:tr w14:paraId="0E0B0C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45" w:type="dxa"/>
            <w:vMerge w:val="continue"/>
            <w:tcBorders>
              <w:top w:val="nil"/>
            </w:tcBorders>
            <w:vAlign w:val="top"/>
          </w:tcPr>
          <w:p w14:paraId="4B0C0DE5">
            <w:pPr>
              <w:rPr>
                <w:rFonts w:ascii="Arial"/>
                <w:sz w:val="21"/>
              </w:rPr>
            </w:pPr>
          </w:p>
        </w:tc>
        <w:tc>
          <w:tcPr>
            <w:tcW w:w="1058" w:type="dxa"/>
            <w:vMerge w:val="continue"/>
            <w:tcBorders>
              <w:top w:val="nil"/>
            </w:tcBorders>
            <w:vAlign w:val="top"/>
          </w:tcPr>
          <w:p w14:paraId="53595AFD">
            <w:pPr>
              <w:rPr>
                <w:rFonts w:ascii="Arial"/>
                <w:sz w:val="21"/>
              </w:rPr>
            </w:pPr>
          </w:p>
        </w:tc>
        <w:tc>
          <w:tcPr>
            <w:tcW w:w="2084" w:type="dxa"/>
            <w:vMerge w:val="continue"/>
            <w:tcBorders>
              <w:top w:val="nil"/>
            </w:tcBorders>
            <w:vAlign w:val="top"/>
          </w:tcPr>
          <w:p w14:paraId="5D59C3EC">
            <w:pPr>
              <w:rPr>
                <w:rFonts w:ascii="Arial"/>
                <w:sz w:val="21"/>
              </w:rPr>
            </w:pPr>
          </w:p>
        </w:tc>
        <w:tc>
          <w:tcPr>
            <w:tcW w:w="735" w:type="dxa"/>
            <w:vMerge w:val="continue"/>
            <w:tcBorders>
              <w:top w:val="nil"/>
            </w:tcBorders>
            <w:vAlign w:val="top"/>
          </w:tcPr>
          <w:p w14:paraId="5295DDFE">
            <w:pPr>
              <w:rPr>
                <w:rFonts w:ascii="Arial"/>
                <w:sz w:val="21"/>
              </w:rPr>
            </w:pPr>
          </w:p>
        </w:tc>
        <w:tc>
          <w:tcPr>
            <w:tcW w:w="4562" w:type="dxa"/>
            <w:vAlign w:val="top"/>
          </w:tcPr>
          <w:p w14:paraId="7859F3E9">
            <w:pPr>
              <w:pStyle w:val="6"/>
              <w:spacing w:before="78" w:line="228" w:lineRule="auto"/>
              <w:ind w:left="138"/>
            </w:pPr>
            <w:r>
              <w:rPr>
                <w:spacing w:val="3"/>
              </w:rPr>
              <w:t>内容完备，可行</w:t>
            </w:r>
            <w:r>
              <w:rPr>
                <w:spacing w:val="6"/>
              </w:rPr>
              <w:t xml:space="preserve">                </w:t>
            </w:r>
            <w:r>
              <w:rPr>
                <w:spacing w:val="3"/>
              </w:rPr>
              <w:t>3.6-3.2</w:t>
            </w:r>
            <w:r>
              <w:rPr>
                <w:spacing w:val="-27"/>
              </w:rPr>
              <w:t xml:space="preserve"> </w:t>
            </w:r>
            <w:r>
              <w:rPr>
                <w:spacing w:val="3"/>
              </w:rPr>
              <w:t>分</w:t>
            </w:r>
          </w:p>
        </w:tc>
      </w:tr>
    </w:tbl>
    <w:p w14:paraId="50CC6235">
      <w:pPr>
        <w:rPr>
          <w:rFonts w:ascii="Arial"/>
          <w:sz w:val="21"/>
        </w:rPr>
      </w:pPr>
    </w:p>
    <w:p w14:paraId="7706C4F3">
      <w:pPr>
        <w:rPr>
          <w:rFonts w:ascii="Arial" w:hAnsi="Arial" w:eastAsia="Arial" w:cs="Arial"/>
          <w:sz w:val="21"/>
          <w:szCs w:val="21"/>
        </w:rPr>
        <w:sectPr>
          <w:footerReference r:id="rId72" w:type="default"/>
          <w:pgSz w:w="11907" w:h="16840"/>
          <w:pgMar w:top="400" w:right="1248" w:bottom="1035" w:left="1469" w:header="0" w:footer="785" w:gutter="0"/>
          <w:cols w:space="720" w:num="1"/>
        </w:sectPr>
      </w:pPr>
    </w:p>
    <w:p w14:paraId="03E73635">
      <w:pPr>
        <w:spacing w:before="19"/>
      </w:pPr>
    </w:p>
    <w:p w14:paraId="55C858F3">
      <w:pPr>
        <w:spacing w:before="19"/>
      </w:pPr>
    </w:p>
    <w:p w14:paraId="4CDD1EB5">
      <w:pPr>
        <w:spacing w:before="19"/>
      </w:pPr>
    </w:p>
    <w:p w14:paraId="056D5F81">
      <w:pPr>
        <w:spacing w:before="18"/>
      </w:pPr>
    </w:p>
    <w:p w14:paraId="74A045F1">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439"/>
        <w:gridCol w:w="645"/>
        <w:gridCol w:w="735"/>
        <w:gridCol w:w="4562"/>
      </w:tblGrid>
      <w:tr w14:paraId="019701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745" w:type="dxa"/>
            <w:vMerge w:val="restart"/>
            <w:tcBorders>
              <w:bottom w:val="nil"/>
            </w:tcBorders>
            <w:vAlign w:val="top"/>
          </w:tcPr>
          <w:p w14:paraId="4E76CE5F">
            <w:pPr>
              <w:rPr>
                <w:rFonts w:ascii="Arial"/>
                <w:sz w:val="21"/>
              </w:rPr>
            </w:pPr>
          </w:p>
        </w:tc>
        <w:tc>
          <w:tcPr>
            <w:tcW w:w="1058" w:type="dxa"/>
            <w:vMerge w:val="restart"/>
            <w:tcBorders>
              <w:bottom w:val="nil"/>
            </w:tcBorders>
            <w:vAlign w:val="top"/>
          </w:tcPr>
          <w:p w14:paraId="6ED12D1B">
            <w:pPr>
              <w:rPr>
                <w:rFonts w:ascii="Arial"/>
                <w:sz w:val="21"/>
              </w:rPr>
            </w:pPr>
          </w:p>
        </w:tc>
        <w:tc>
          <w:tcPr>
            <w:tcW w:w="2084" w:type="dxa"/>
            <w:gridSpan w:val="2"/>
            <w:vMerge w:val="restart"/>
            <w:tcBorders>
              <w:bottom w:val="nil"/>
            </w:tcBorders>
            <w:vAlign w:val="top"/>
          </w:tcPr>
          <w:p w14:paraId="329F4498">
            <w:pPr>
              <w:rPr>
                <w:rFonts w:ascii="Arial"/>
                <w:sz w:val="21"/>
              </w:rPr>
            </w:pPr>
          </w:p>
        </w:tc>
        <w:tc>
          <w:tcPr>
            <w:tcW w:w="735" w:type="dxa"/>
            <w:vMerge w:val="restart"/>
            <w:tcBorders>
              <w:bottom w:val="nil"/>
            </w:tcBorders>
            <w:vAlign w:val="top"/>
          </w:tcPr>
          <w:p w14:paraId="075AD268">
            <w:pPr>
              <w:rPr>
                <w:rFonts w:ascii="Arial"/>
                <w:sz w:val="21"/>
              </w:rPr>
            </w:pPr>
          </w:p>
        </w:tc>
        <w:tc>
          <w:tcPr>
            <w:tcW w:w="4562" w:type="dxa"/>
            <w:vAlign w:val="top"/>
          </w:tcPr>
          <w:p w14:paraId="60949DDD">
            <w:pPr>
              <w:pStyle w:val="6"/>
              <w:spacing w:before="78" w:line="227" w:lineRule="auto"/>
              <w:ind w:left="138"/>
            </w:pPr>
            <w:r>
              <w:rPr>
                <w:spacing w:val="4"/>
              </w:rPr>
              <w:t>内容欠完备，基本可行</w:t>
            </w:r>
            <w:r>
              <w:rPr>
                <w:spacing w:val="8"/>
              </w:rPr>
              <w:t xml:space="preserve">          </w:t>
            </w:r>
            <w:r>
              <w:rPr>
                <w:spacing w:val="4"/>
              </w:rPr>
              <w:t>3.1-2.8</w:t>
            </w:r>
            <w:r>
              <w:rPr>
                <w:spacing w:val="-38"/>
              </w:rPr>
              <w:t xml:space="preserve"> </w:t>
            </w:r>
            <w:r>
              <w:rPr>
                <w:spacing w:val="4"/>
              </w:rPr>
              <w:t>分</w:t>
            </w:r>
          </w:p>
        </w:tc>
      </w:tr>
      <w:tr w14:paraId="3D7F2C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tcBorders>
            <w:vAlign w:val="top"/>
          </w:tcPr>
          <w:p w14:paraId="0C592920">
            <w:pPr>
              <w:rPr>
                <w:rFonts w:ascii="Arial"/>
                <w:sz w:val="21"/>
              </w:rPr>
            </w:pPr>
          </w:p>
        </w:tc>
        <w:tc>
          <w:tcPr>
            <w:tcW w:w="1058" w:type="dxa"/>
            <w:vMerge w:val="continue"/>
            <w:tcBorders>
              <w:top w:val="nil"/>
            </w:tcBorders>
            <w:vAlign w:val="top"/>
          </w:tcPr>
          <w:p w14:paraId="432E6A11">
            <w:pPr>
              <w:rPr>
                <w:rFonts w:ascii="Arial"/>
                <w:sz w:val="21"/>
              </w:rPr>
            </w:pPr>
          </w:p>
        </w:tc>
        <w:tc>
          <w:tcPr>
            <w:tcW w:w="2084" w:type="dxa"/>
            <w:gridSpan w:val="2"/>
            <w:vMerge w:val="continue"/>
            <w:tcBorders>
              <w:top w:val="nil"/>
            </w:tcBorders>
            <w:vAlign w:val="top"/>
          </w:tcPr>
          <w:p w14:paraId="18E6045C">
            <w:pPr>
              <w:rPr>
                <w:rFonts w:ascii="Arial"/>
                <w:sz w:val="21"/>
              </w:rPr>
            </w:pPr>
          </w:p>
        </w:tc>
        <w:tc>
          <w:tcPr>
            <w:tcW w:w="735" w:type="dxa"/>
            <w:vMerge w:val="continue"/>
            <w:tcBorders>
              <w:top w:val="nil"/>
            </w:tcBorders>
            <w:vAlign w:val="top"/>
          </w:tcPr>
          <w:p w14:paraId="62F1F5BF">
            <w:pPr>
              <w:rPr>
                <w:rFonts w:ascii="Arial"/>
                <w:sz w:val="21"/>
              </w:rPr>
            </w:pPr>
          </w:p>
        </w:tc>
        <w:tc>
          <w:tcPr>
            <w:tcW w:w="4562" w:type="dxa"/>
            <w:vAlign w:val="top"/>
          </w:tcPr>
          <w:p w14:paraId="4687ABCD">
            <w:pPr>
              <w:pStyle w:val="6"/>
              <w:spacing w:before="73" w:line="228" w:lineRule="auto"/>
              <w:ind w:left="116"/>
            </w:pPr>
            <w:r>
              <w:rPr>
                <w:spacing w:val="2"/>
              </w:rPr>
              <w:t>不可行                               0</w:t>
            </w:r>
            <w:r>
              <w:rPr>
                <w:spacing w:val="-36"/>
              </w:rPr>
              <w:t xml:space="preserve"> </w:t>
            </w:r>
            <w:r>
              <w:rPr>
                <w:spacing w:val="2"/>
              </w:rPr>
              <w:t>分</w:t>
            </w:r>
          </w:p>
        </w:tc>
      </w:tr>
      <w:tr w14:paraId="0EECA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7" w:hRule="atLeast"/>
        </w:trPr>
        <w:tc>
          <w:tcPr>
            <w:tcW w:w="745" w:type="dxa"/>
            <w:vMerge w:val="restart"/>
            <w:tcBorders>
              <w:bottom w:val="nil"/>
            </w:tcBorders>
            <w:vAlign w:val="top"/>
          </w:tcPr>
          <w:p w14:paraId="76FD9848">
            <w:pPr>
              <w:spacing w:line="247" w:lineRule="auto"/>
              <w:rPr>
                <w:rFonts w:ascii="Arial"/>
                <w:sz w:val="21"/>
              </w:rPr>
            </w:pPr>
          </w:p>
          <w:p w14:paraId="199617DB">
            <w:pPr>
              <w:spacing w:line="248" w:lineRule="auto"/>
              <w:rPr>
                <w:rFonts w:ascii="Arial"/>
                <w:sz w:val="21"/>
              </w:rPr>
            </w:pPr>
          </w:p>
          <w:p w14:paraId="61E5C281">
            <w:pPr>
              <w:spacing w:line="248" w:lineRule="auto"/>
              <w:rPr>
                <w:rFonts w:ascii="Arial"/>
                <w:sz w:val="21"/>
              </w:rPr>
            </w:pPr>
          </w:p>
          <w:p w14:paraId="1B07CA63">
            <w:pPr>
              <w:spacing w:line="248" w:lineRule="auto"/>
              <w:rPr>
                <w:rFonts w:ascii="Arial"/>
                <w:sz w:val="21"/>
              </w:rPr>
            </w:pPr>
          </w:p>
          <w:p w14:paraId="6401C35E">
            <w:pPr>
              <w:spacing w:line="248" w:lineRule="auto"/>
              <w:rPr>
                <w:rFonts w:ascii="Arial"/>
                <w:sz w:val="21"/>
              </w:rPr>
            </w:pPr>
          </w:p>
          <w:p w14:paraId="2ADC5E6A">
            <w:pPr>
              <w:spacing w:line="248" w:lineRule="auto"/>
              <w:rPr>
                <w:rFonts w:ascii="Arial"/>
                <w:sz w:val="21"/>
              </w:rPr>
            </w:pPr>
          </w:p>
          <w:p w14:paraId="375EAA6B">
            <w:pPr>
              <w:spacing w:line="248" w:lineRule="auto"/>
              <w:rPr>
                <w:rFonts w:ascii="Arial"/>
                <w:sz w:val="21"/>
              </w:rPr>
            </w:pPr>
          </w:p>
          <w:p w14:paraId="582C8BBD">
            <w:pPr>
              <w:spacing w:line="248" w:lineRule="auto"/>
              <w:rPr>
                <w:rFonts w:ascii="Arial"/>
                <w:sz w:val="21"/>
              </w:rPr>
            </w:pPr>
          </w:p>
          <w:p w14:paraId="45E9C211">
            <w:pPr>
              <w:spacing w:line="248" w:lineRule="auto"/>
              <w:rPr>
                <w:rFonts w:ascii="Arial"/>
                <w:sz w:val="21"/>
              </w:rPr>
            </w:pPr>
          </w:p>
          <w:p w14:paraId="7A8FE4F2">
            <w:pPr>
              <w:spacing w:line="248" w:lineRule="auto"/>
              <w:rPr>
                <w:rFonts w:ascii="Arial"/>
                <w:sz w:val="21"/>
              </w:rPr>
            </w:pPr>
          </w:p>
          <w:p w14:paraId="57C141B5">
            <w:pPr>
              <w:spacing w:line="248" w:lineRule="auto"/>
              <w:rPr>
                <w:rFonts w:ascii="Arial"/>
                <w:sz w:val="21"/>
              </w:rPr>
            </w:pPr>
          </w:p>
          <w:p w14:paraId="4F623CF9">
            <w:pPr>
              <w:spacing w:line="248" w:lineRule="auto"/>
              <w:rPr>
                <w:rFonts w:ascii="Arial"/>
                <w:sz w:val="21"/>
              </w:rPr>
            </w:pPr>
          </w:p>
          <w:p w14:paraId="20131016">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186DD85A">
            <w:pPr>
              <w:pStyle w:val="6"/>
              <w:spacing w:before="216"/>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263E3350">
            <w:pPr>
              <w:spacing w:line="256" w:lineRule="auto"/>
              <w:rPr>
                <w:rFonts w:ascii="Arial"/>
                <w:sz w:val="21"/>
              </w:rPr>
            </w:pPr>
          </w:p>
          <w:p w14:paraId="1A6052A6">
            <w:pPr>
              <w:spacing w:line="256" w:lineRule="auto"/>
              <w:rPr>
                <w:rFonts w:ascii="Arial"/>
                <w:sz w:val="21"/>
              </w:rPr>
            </w:pPr>
          </w:p>
          <w:p w14:paraId="13D80AFB">
            <w:pPr>
              <w:spacing w:line="256" w:lineRule="auto"/>
              <w:rPr>
                <w:rFonts w:ascii="Arial"/>
                <w:sz w:val="21"/>
              </w:rPr>
            </w:pPr>
          </w:p>
          <w:p w14:paraId="61A6173C">
            <w:pPr>
              <w:spacing w:line="256" w:lineRule="auto"/>
              <w:rPr>
                <w:rFonts w:ascii="Arial"/>
                <w:sz w:val="21"/>
              </w:rPr>
            </w:pPr>
          </w:p>
          <w:p w14:paraId="28D5EDDE">
            <w:pPr>
              <w:spacing w:line="256" w:lineRule="auto"/>
              <w:rPr>
                <w:rFonts w:ascii="Arial"/>
                <w:sz w:val="21"/>
              </w:rPr>
            </w:pPr>
          </w:p>
          <w:p w14:paraId="5FC76B9F">
            <w:pPr>
              <w:spacing w:line="256" w:lineRule="auto"/>
              <w:rPr>
                <w:rFonts w:ascii="Arial"/>
                <w:sz w:val="21"/>
              </w:rPr>
            </w:pPr>
          </w:p>
          <w:p w14:paraId="399C811C">
            <w:pPr>
              <w:spacing w:line="256" w:lineRule="auto"/>
              <w:rPr>
                <w:rFonts w:ascii="Arial"/>
                <w:sz w:val="21"/>
              </w:rPr>
            </w:pPr>
          </w:p>
          <w:p w14:paraId="03389179">
            <w:pPr>
              <w:spacing w:line="257" w:lineRule="auto"/>
              <w:rPr>
                <w:rFonts w:ascii="Arial"/>
                <w:sz w:val="21"/>
              </w:rPr>
            </w:pPr>
          </w:p>
          <w:p w14:paraId="2F4BC4EB">
            <w:pPr>
              <w:spacing w:line="257" w:lineRule="auto"/>
              <w:rPr>
                <w:rFonts w:ascii="Arial"/>
                <w:sz w:val="21"/>
              </w:rPr>
            </w:pPr>
          </w:p>
          <w:p w14:paraId="2A16D1FF">
            <w:pPr>
              <w:spacing w:line="257" w:lineRule="auto"/>
              <w:rPr>
                <w:rFonts w:ascii="Arial"/>
                <w:sz w:val="21"/>
              </w:rPr>
            </w:pPr>
          </w:p>
          <w:p w14:paraId="569D89AE">
            <w:pPr>
              <w:spacing w:line="257" w:lineRule="auto"/>
              <w:rPr>
                <w:rFonts w:ascii="Arial"/>
                <w:sz w:val="21"/>
              </w:rPr>
            </w:pPr>
          </w:p>
          <w:p w14:paraId="798BAA77">
            <w:pPr>
              <w:pStyle w:val="6"/>
              <w:spacing w:before="65" w:line="252" w:lineRule="auto"/>
              <w:ind w:left="111" w:right="111" w:firstLine="4"/>
              <w:jc w:val="both"/>
            </w:pPr>
            <w:r>
              <w:rPr>
                <w:spacing w:val="6"/>
              </w:rPr>
              <w:t>项目管理</w:t>
            </w:r>
            <w:r>
              <w:rPr>
                <w:spacing w:val="7"/>
              </w:rPr>
              <w:t>机构评分</w:t>
            </w:r>
            <w:r>
              <w:rPr>
                <w:spacing w:val="27"/>
              </w:rPr>
              <w:t>标</w:t>
            </w:r>
            <w:r>
              <w:rPr>
                <w:spacing w:val="8"/>
              </w:rPr>
              <w:t xml:space="preserve">   </w:t>
            </w:r>
            <w:r>
              <w:rPr>
                <w:spacing w:val="27"/>
              </w:rPr>
              <w:t>准</w:t>
            </w:r>
          </w:p>
        </w:tc>
        <w:tc>
          <w:tcPr>
            <w:tcW w:w="1439" w:type="dxa"/>
            <w:vMerge w:val="restart"/>
            <w:tcBorders>
              <w:bottom w:val="nil"/>
            </w:tcBorders>
            <w:vAlign w:val="top"/>
          </w:tcPr>
          <w:p w14:paraId="47519419">
            <w:pPr>
              <w:spacing w:line="256" w:lineRule="auto"/>
              <w:rPr>
                <w:rFonts w:ascii="Arial"/>
                <w:sz w:val="21"/>
              </w:rPr>
            </w:pPr>
          </w:p>
          <w:p w14:paraId="5514895B">
            <w:pPr>
              <w:spacing w:line="256" w:lineRule="auto"/>
              <w:rPr>
                <w:rFonts w:ascii="Arial"/>
                <w:sz w:val="21"/>
              </w:rPr>
            </w:pPr>
          </w:p>
          <w:p w14:paraId="7E7E18BF">
            <w:pPr>
              <w:spacing w:line="256" w:lineRule="auto"/>
              <w:rPr>
                <w:rFonts w:ascii="Arial"/>
                <w:sz w:val="21"/>
              </w:rPr>
            </w:pPr>
          </w:p>
          <w:p w14:paraId="4FDB2002">
            <w:pPr>
              <w:spacing w:line="256" w:lineRule="auto"/>
              <w:rPr>
                <w:rFonts w:ascii="Arial"/>
                <w:sz w:val="21"/>
              </w:rPr>
            </w:pPr>
          </w:p>
          <w:p w14:paraId="70625CC9">
            <w:pPr>
              <w:pStyle w:val="6"/>
              <w:spacing w:before="65" w:line="228" w:lineRule="auto"/>
              <w:ind w:left="115"/>
            </w:pPr>
            <w:r>
              <w:rPr>
                <w:spacing w:val="6"/>
              </w:rPr>
              <w:t>项目经理</w:t>
            </w:r>
          </w:p>
          <w:p w14:paraId="782E12F6">
            <w:pPr>
              <w:pStyle w:val="6"/>
              <w:spacing w:before="23" w:line="228" w:lineRule="auto"/>
              <w:ind w:left="121"/>
            </w:pPr>
            <w:r>
              <w:rPr>
                <w:spacing w:val="6"/>
              </w:rPr>
              <w:t>资格与业绩</w:t>
            </w:r>
          </w:p>
        </w:tc>
        <w:tc>
          <w:tcPr>
            <w:tcW w:w="645" w:type="dxa"/>
            <w:vAlign w:val="top"/>
          </w:tcPr>
          <w:p w14:paraId="1F56504A">
            <w:pPr>
              <w:spacing w:line="308" w:lineRule="auto"/>
              <w:rPr>
                <w:rFonts w:ascii="Arial"/>
                <w:sz w:val="21"/>
              </w:rPr>
            </w:pPr>
          </w:p>
          <w:p w14:paraId="15CC8456">
            <w:pPr>
              <w:pStyle w:val="6"/>
              <w:spacing w:before="65" w:line="230" w:lineRule="auto"/>
              <w:ind w:left="114"/>
            </w:pPr>
            <w:r>
              <w:rPr>
                <w:spacing w:val="4"/>
              </w:rPr>
              <w:t>职称</w:t>
            </w:r>
          </w:p>
        </w:tc>
        <w:tc>
          <w:tcPr>
            <w:tcW w:w="735" w:type="dxa"/>
            <w:vAlign w:val="top"/>
          </w:tcPr>
          <w:p w14:paraId="7C8EFBBC">
            <w:pPr>
              <w:spacing w:line="308" w:lineRule="auto"/>
              <w:rPr>
                <w:rFonts w:ascii="Arial"/>
                <w:sz w:val="21"/>
              </w:rPr>
            </w:pPr>
          </w:p>
          <w:p w14:paraId="4FF5E898">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310A72AC">
            <w:pPr>
              <w:pStyle w:val="6"/>
              <w:spacing w:before="103"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32187D24">
            <w:pPr>
              <w:pStyle w:val="6"/>
              <w:spacing w:before="24" w:line="252"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06E130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2B00CF1A">
            <w:pPr>
              <w:rPr>
                <w:rFonts w:ascii="Arial"/>
                <w:sz w:val="21"/>
              </w:rPr>
            </w:pPr>
          </w:p>
        </w:tc>
        <w:tc>
          <w:tcPr>
            <w:tcW w:w="1058" w:type="dxa"/>
            <w:vMerge w:val="continue"/>
            <w:tcBorders>
              <w:top w:val="nil"/>
              <w:bottom w:val="nil"/>
            </w:tcBorders>
            <w:vAlign w:val="top"/>
          </w:tcPr>
          <w:p w14:paraId="5F1608DD">
            <w:pPr>
              <w:rPr>
                <w:rFonts w:ascii="Arial"/>
                <w:sz w:val="21"/>
              </w:rPr>
            </w:pPr>
          </w:p>
        </w:tc>
        <w:tc>
          <w:tcPr>
            <w:tcW w:w="1439" w:type="dxa"/>
            <w:vMerge w:val="continue"/>
            <w:tcBorders>
              <w:top w:val="nil"/>
              <w:bottom w:val="nil"/>
            </w:tcBorders>
            <w:vAlign w:val="top"/>
          </w:tcPr>
          <w:p w14:paraId="6850A3D8">
            <w:pPr>
              <w:rPr>
                <w:rFonts w:ascii="Arial"/>
                <w:sz w:val="21"/>
              </w:rPr>
            </w:pPr>
          </w:p>
        </w:tc>
        <w:tc>
          <w:tcPr>
            <w:tcW w:w="645" w:type="dxa"/>
            <w:vAlign w:val="top"/>
          </w:tcPr>
          <w:p w14:paraId="500906BA">
            <w:pPr>
              <w:pStyle w:val="6"/>
              <w:spacing w:before="303" w:line="229" w:lineRule="auto"/>
              <w:ind w:left="117"/>
            </w:pPr>
            <w:r>
              <w:rPr>
                <w:spacing w:val="2"/>
              </w:rPr>
              <w:t>学历</w:t>
            </w:r>
          </w:p>
        </w:tc>
        <w:tc>
          <w:tcPr>
            <w:tcW w:w="735" w:type="dxa"/>
            <w:vAlign w:val="top"/>
          </w:tcPr>
          <w:p w14:paraId="3FCBEC47">
            <w:pPr>
              <w:pStyle w:val="6"/>
              <w:spacing w:before="303" w:line="228" w:lineRule="auto"/>
              <w:ind w:left="204"/>
            </w:pPr>
            <w:r>
              <w:rPr>
                <w:spacing w:val="-10"/>
              </w:rPr>
              <w:t>1</w:t>
            </w:r>
            <w:r>
              <w:rPr>
                <w:spacing w:val="-36"/>
              </w:rPr>
              <w:t xml:space="preserve"> </w:t>
            </w:r>
            <w:r>
              <w:rPr>
                <w:spacing w:val="-10"/>
              </w:rPr>
              <w:t>分</w:t>
            </w:r>
          </w:p>
        </w:tc>
        <w:tc>
          <w:tcPr>
            <w:tcW w:w="4562" w:type="dxa"/>
            <w:vAlign w:val="top"/>
          </w:tcPr>
          <w:p w14:paraId="31CDD463">
            <w:pPr>
              <w:pStyle w:val="6"/>
              <w:spacing w:before="31" w:line="227" w:lineRule="auto"/>
              <w:ind w:left="114"/>
            </w:pPr>
            <w:r>
              <w:rPr>
                <w:spacing w:val="2"/>
              </w:rPr>
              <w:t>专科及以上                           1</w:t>
            </w:r>
            <w:r>
              <w:rPr>
                <w:spacing w:val="-29"/>
              </w:rPr>
              <w:t xml:space="preserve"> </w:t>
            </w:r>
            <w:r>
              <w:rPr>
                <w:spacing w:val="2"/>
              </w:rPr>
              <w:t>分</w:t>
            </w:r>
          </w:p>
          <w:p w14:paraId="73BB4DCC">
            <w:pPr>
              <w:pStyle w:val="6"/>
              <w:spacing w:before="25" w:line="228" w:lineRule="auto"/>
              <w:ind w:left="133"/>
            </w:pPr>
            <w:r>
              <w:rPr>
                <w:spacing w:val="-1"/>
              </w:rPr>
              <w:t>中专</w:t>
            </w:r>
            <w:r>
              <w:rPr>
                <w:spacing w:val="2"/>
              </w:rPr>
              <w:t xml:space="preserve">                               </w:t>
            </w:r>
            <w:r>
              <w:rPr>
                <w:spacing w:val="-1"/>
              </w:rPr>
              <w:t>0.8</w:t>
            </w:r>
            <w:r>
              <w:rPr>
                <w:spacing w:val="-36"/>
              </w:rPr>
              <w:t xml:space="preserve"> </w:t>
            </w:r>
            <w:r>
              <w:rPr>
                <w:spacing w:val="-1"/>
              </w:rPr>
              <w:t>分</w:t>
            </w:r>
          </w:p>
          <w:p w14:paraId="193ECE08">
            <w:pPr>
              <w:pStyle w:val="6"/>
              <w:spacing w:before="24" w:line="219" w:lineRule="auto"/>
              <w:ind w:left="114"/>
            </w:pPr>
            <w:r>
              <w:t>其他</w:t>
            </w:r>
            <w:r>
              <w:rPr>
                <w:spacing w:val="2"/>
              </w:rPr>
              <w:t xml:space="preserve">                                 </w:t>
            </w:r>
            <w:r>
              <w:t>0</w:t>
            </w:r>
            <w:r>
              <w:rPr>
                <w:spacing w:val="-27"/>
              </w:rPr>
              <w:t xml:space="preserve"> </w:t>
            </w:r>
            <w:r>
              <w:t>分</w:t>
            </w:r>
          </w:p>
        </w:tc>
      </w:tr>
      <w:tr w14:paraId="1B8F5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745" w:type="dxa"/>
            <w:vMerge w:val="continue"/>
            <w:tcBorders>
              <w:top w:val="nil"/>
              <w:bottom w:val="nil"/>
            </w:tcBorders>
            <w:vAlign w:val="top"/>
          </w:tcPr>
          <w:p w14:paraId="2471DE4B">
            <w:pPr>
              <w:rPr>
                <w:rFonts w:ascii="Arial"/>
                <w:sz w:val="21"/>
              </w:rPr>
            </w:pPr>
          </w:p>
        </w:tc>
        <w:tc>
          <w:tcPr>
            <w:tcW w:w="1058" w:type="dxa"/>
            <w:vMerge w:val="continue"/>
            <w:tcBorders>
              <w:top w:val="nil"/>
              <w:bottom w:val="nil"/>
            </w:tcBorders>
            <w:vAlign w:val="top"/>
          </w:tcPr>
          <w:p w14:paraId="49DEB717">
            <w:pPr>
              <w:rPr>
                <w:rFonts w:ascii="Arial"/>
                <w:sz w:val="21"/>
              </w:rPr>
            </w:pPr>
          </w:p>
        </w:tc>
        <w:tc>
          <w:tcPr>
            <w:tcW w:w="1439" w:type="dxa"/>
            <w:vMerge w:val="continue"/>
            <w:tcBorders>
              <w:top w:val="nil"/>
            </w:tcBorders>
            <w:vAlign w:val="top"/>
          </w:tcPr>
          <w:p w14:paraId="4F5494D5">
            <w:pPr>
              <w:rPr>
                <w:rFonts w:ascii="Arial"/>
                <w:sz w:val="21"/>
              </w:rPr>
            </w:pPr>
          </w:p>
        </w:tc>
        <w:tc>
          <w:tcPr>
            <w:tcW w:w="645" w:type="dxa"/>
            <w:vAlign w:val="top"/>
          </w:tcPr>
          <w:p w14:paraId="73922F99">
            <w:pPr>
              <w:pStyle w:val="6"/>
              <w:spacing w:before="59" w:line="228" w:lineRule="auto"/>
              <w:ind w:left="113"/>
            </w:pPr>
            <w:r>
              <w:rPr>
                <w:spacing w:val="9"/>
              </w:rPr>
              <w:t>类似</w:t>
            </w:r>
          </w:p>
          <w:p w14:paraId="3B544D94">
            <w:pPr>
              <w:pStyle w:val="6"/>
              <w:spacing w:before="24" w:line="228" w:lineRule="auto"/>
              <w:ind w:left="116"/>
            </w:pPr>
            <w:r>
              <w:rPr>
                <w:spacing w:val="7"/>
              </w:rPr>
              <w:t>项目</w:t>
            </w:r>
          </w:p>
          <w:p w14:paraId="02087EEE">
            <w:pPr>
              <w:pStyle w:val="6"/>
              <w:spacing w:before="24" w:line="228" w:lineRule="auto"/>
              <w:ind w:left="112"/>
            </w:pPr>
            <w:r>
              <w:rPr>
                <w:spacing w:val="5"/>
              </w:rPr>
              <w:t>业绩</w:t>
            </w:r>
          </w:p>
        </w:tc>
        <w:tc>
          <w:tcPr>
            <w:tcW w:w="735" w:type="dxa"/>
            <w:vAlign w:val="top"/>
          </w:tcPr>
          <w:p w14:paraId="039665F0">
            <w:pPr>
              <w:spacing w:line="264" w:lineRule="auto"/>
              <w:rPr>
                <w:rFonts w:ascii="Arial"/>
                <w:sz w:val="21"/>
              </w:rPr>
            </w:pPr>
          </w:p>
          <w:p w14:paraId="0E6054A1">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66649A82">
            <w:pPr>
              <w:spacing w:line="263" w:lineRule="auto"/>
              <w:rPr>
                <w:rFonts w:ascii="Arial"/>
                <w:sz w:val="21"/>
              </w:rPr>
            </w:pPr>
          </w:p>
          <w:p w14:paraId="72543568">
            <w:pPr>
              <w:pStyle w:val="6"/>
              <w:spacing w:before="65" w:line="228" w:lineRule="auto"/>
              <w:ind w:left="137"/>
            </w:pPr>
            <w:r>
              <w:rPr>
                <w:spacing w:val="3"/>
              </w:rPr>
              <w:t>以项目经理身份主持过</w:t>
            </w:r>
            <w:r>
              <w:rPr>
                <w:spacing w:val="-8"/>
              </w:rPr>
              <w:t xml:space="preserve"> </w:t>
            </w:r>
            <w:r>
              <w:rPr>
                <w:spacing w:val="3"/>
              </w:rPr>
              <w:t>1</w:t>
            </w:r>
            <w:r>
              <w:rPr>
                <w:spacing w:val="-38"/>
              </w:rPr>
              <w:t xml:space="preserve"> </w:t>
            </w:r>
            <w:r>
              <w:rPr>
                <w:spacing w:val="3"/>
              </w:rPr>
              <w:t>个类似项目</w:t>
            </w:r>
            <w:r>
              <w:rPr>
                <w:spacing w:val="10"/>
              </w:rPr>
              <w:t xml:space="preserve">    </w:t>
            </w:r>
            <w:r>
              <w:rPr>
                <w:spacing w:val="3"/>
              </w:rPr>
              <w:t>1</w:t>
            </w:r>
            <w:r>
              <w:rPr>
                <w:spacing w:val="-32"/>
              </w:rPr>
              <w:t xml:space="preserve"> </w:t>
            </w:r>
            <w:r>
              <w:rPr>
                <w:spacing w:val="3"/>
              </w:rPr>
              <w:t>分</w:t>
            </w:r>
          </w:p>
        </w:tc>
      </w:tr>
      <w:tr w14:paraId="7ECCE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2" w:hRule="atLeast"/>
        </w:trPr>
        <w:tc>
          <w:tcPr>
            <w:tcW w:w="745" w:type="dxa"/>
            <w:vMerge w:val="continue"/>
            <w:tcBorders>
              <w:top w:val="nil"/>
              <w:bottom w:val="nil"/>
            </w:tcBorders>
            <w:vAlign w:val="top"/>
          </w:tcPr>
          <w:p w14:paraId="7EB7CF6B">
            <w:pPr>
              <w:rPr>
                <w:rFonts w:ascii="Arial"/>
                <w:sz w:val="21"/>
              </w:rPr>
            </w:pPr>
          </w:p>
        </w:tc>
        <w:tc>
          <w:tcPr>
            <w:tcW w:w="1058" w:type="dxa"/>
            <w:vMerge w:val="continue"/>
            <w:tcBorders>
              <w:top w:val="nil"/>
              <w:bottom w:val="nil"/>
            </w:tcBorders>
            <w:vAlign w:val="top"/>
          </w:tcPr>
          <w:p w14:paraId="68CBE4F9">
            <w:pPr>
              <w:rPr>
                <w:rFonts w:ascii="Arial"/>
                <w:sz w:val="21"/>
              </w:rPr>
            </w:pPr>
          </w:p>
        </w:tc>
        <w:tc>
          <w:tcPr>
            <w:tcW w:w="1439" w:type="dxa"/>
            <w:vMerge w:val="restart"/>
            <w:tcBorders>
              <w:bottom w:val="nil"/>
            </w:tcBorders>
            <w:vAlign w:val="top"/>
          </w:tcPr>
          <w:p w14:paraId="14817B75">
            <w:pPr>
              <w:spacing w:line="278" w:lineRule="auto"/>
              <w:rPr>
                <w:rFonts w:ascii="Arial"/>
                <w:sz w:val="21"/>
              </w:rPr>
            </w:pPr>
          </w:p>
          <w:p w14:paraId="5631CC83">
            <w:pPr>
              <w:spacing w:line="278" w:lineRule="auto"/>
              <w:rPr>
                <w:rFonts w:ascii="Arial"/>
                <w:sz w:val="21"/>
              </w:rPr>
            </w:pPr>
          </w:p>
          <w:p w14:paraId="5EC53129">
            <w:pPr>
              <w:spacing w:line="278" w:lineRule="auto"/>
              <w:rPr>
                <w:rFonts w:ascii="Arial"/>
                <w:sz w:val="21"/>
              </w:rPr>
            </w:pPr>
          </w:p>
          <w:p w14:paraId="31E4EF01">
            <w:pPr>
              <w:spacing w:line="279" w:lineRule="auto"/>
              <w:rPr>
                <w:rFonts w:ascii="Arial"/>
                <w:sz w:val="21"/>
              </w:rPr>
            </w:pPr>
          </w:p>
          <w:p w14:paraId="0B82D317">
            <w:pPr>
              <w:pStyle w:val="6"/>
              <w:spacing w:before="65" w:line="252" w:lineRule="auto"/>
              <w:ind w:left="121" w:right="280" w:hanging="8"/>
            </w:pPr>
            <w:r>
              <w:rPr>
                <w:spacing w:val="7"/>
              </w:rPr>
              <w:t>技术负责人</w:t>
            </w:r>
            <w:r>
              <w:rPr>
                <w:spacing w:val="6"/>
              </w:rPr>
              <w:t>资格与业绩</w:t>
            </w:r>
          </w:p>
        </w:tc>
        <w:tc>
          <w:tcPr>
            <w:tcW w:w="645" w:type="dxa"/>
            <w:vAlign w:val="top"/>
          </w:tcPr>
          <w:p w14:paraId="7FCC5112">
            <w:pPr>
              <w:spacing w:line="291" w:lineRule="auto"/>
              <w:rPr>
                <w:rFonts w:ascii="Arial"/>
                <w:sz w:val="21"/>
              </w:rPr>
            </w:pPr>
          </w:p>
          <w:p w14:paraId="2B8C5BB1">
            <w:pPr>
              <w:pStyle w:val="6"/>
              <w:spacing w:before="65" w:line="230" w:lineRule="auto"/>
              <w:ind w:left="114"/>
            </w:pPr>
            <w:r>
              <w:rPr>
                <w:spacing w:val="4"/>
              </w:rPr>
              <w:t>职称</w:t>
            </w:r>
          </w:p>
        </w:tc>
        <w:tc>
          <w:tcPr>
            <w:tcW w:w="735" w:type="dxa"/>
            <w:vAlign w:val="top"/>
          </w:tcPr>
          <w:p w14:paraId="0E944FEB">
            <w:pPr>
              <w:spacing w:line="291" w:lineRule="auto"/>
              <w:rPr>
                <w:rFonts w:ascii="Arial"/>
                <w:sz w:val="21"/>
              </w:rPr>
            </w:pPr>
          </w:p>
          <w:p w14:paraId="43781362">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7085F218">
            <w:pPr>
              <w:pStyle w:val="6"/>
              <w:spacing w:before="84"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77100D3D">
            <w:pPr>
              <w:pStyle w:val="6"/>
              <w:spacing w:before="27" w:line="252"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0574A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1BED49DC">
            <w:pPr>
              <w:rPr>
                <w:rFonts w:ascii="Arial"/>
                <w:sz w:val="21"/>
              </w:rPr>
            </w:pPr>
          </w:p>
        </w:tc>
        <w:tc>
          <w:tcPr>
            <w:tcW w:w="1058" w:type="dxa"/>
            <w:vMerge w:val="continue"/>
            <w:tcBorders>
              <w:top w:val="nil"/>
              <w:bottom w:val="nil"/>
            </w:tcBorders>
            <w:vAlign w:val="top"/>
          </w:tcPr>
          <w:p w14:paraId="4AC3D9EC">
            <w:pPr>
              <w:rPr>
                <w:rFonts w:ascii="Arial"/>
                <w:sz w:val="21"/>
              </w:rPr>
            </w:pPr>
          </w:p>
        </w:tc>
        <w:tc>
          <w:tcPr>
            <w:tcW w:w="1439" w:type="dxa"/>
            <w:vMerge w:val="continue"/>
            <w:tcBorders>
              <w:top w:val="nil"/>
              <w:bottom w:val="nil"/>
            </w:tcBorders>
            <w:vAlign w:val="top"/>
          </w:tcPr>
          <w:p w14:paraId="3C0451E9">
            <w:pPr>
              <w:rPr>
                <w:rFonts w:ascii="Arial"/>
                <w:sz w:val="21"/>
              </w:rPr>
            </w:pPr>
          </w:p>
        </w:tc>
        <w:tc>
          <w:tcPr>
            <w:tcW w:w="645" w:type="dxa"/>
            <w:vAlign w:val="top"/>
          </w:tcPr>
          <w:p w14:paraId="05D8BB42">
            <w:pPr>
              <w:pStyle w:val="6"/>
              <w:spacing w:before="304" w:line="229" w:lineRule="auto"/>
              <w:ind w:left="117"/>
            </w:pPr>
            <w:r>
              <w:rPr>
                <w:spacing w:val="2"/>
              </w:rPr>
              <w:t>学历</w:t>
            </w:r>
          </w:p>
        </w:tc>
        <w:tc>
          <w:tcPr>
            <w:tcW w:w="735" w:type="dxa"/>
            <w:vAlign w:val="top"/>
          </w:tcPr>
          <w:p w14:paraId="7422FE32">
            <w:pPr>
              <w:pStyle w:val="6"/>
              <w:spacing w:before="304" w:line="228" w:lineRule="auto"/>
              <w:ind w:left="204"/>
            </w:pPr>
            <w:r>
              <w:rPr>
                <w:spacing w:val="-10"/>
              </w:rPr>
              <w:t>1</w:t>
            </w:r>
            <w:r>
              <w:rPr>
                <w:spacing w:val="-36"/>
              </w:rPr>
              <w:t xml:space="preserve"> </w:t>
            </w:r>
            <w:r>
              <w:rPr>
                <w:spacing w:val="-10"/>
              </w:rPr>
              <w:t>分</w:t>
            </w:r>
          </w:p>
        </w:tc>
        <w:tc>
          <w:tcPr>
            <w:tcW w:w="4562" w:type="dxa"/>
            <w:vAlign w:val="top"/>
          </w:tcPr>
          <w:p w14:paraId="68794EBB">
            <w:pPr>
              <w:pStyle w:val="6"/>
              <w:spacing w:before="30" w:line="227" w:lineRule="auto"/>
              <w:ind w:left="114"/>
            </w:pPr>
            <w:r>
              <w:rPr>
                <w:spacing w:val="2"/>
              </w:rPr>
              <w:t>专科及以上                           1</w:t>
            </w:r>
            <w:r>
              <w:rPr>
                <w:spacing w:val="-29"/>
              </w:rPr>
              <w:t xml:space="preserve"> </w:t>
            </w:r>
            <w:r>
              <w:rPr>
                <w:spacing w:val="2"/>
              </w:rPr>
              <w:t>分</w:t>
            </w:r>
          </w:p>
          <w:p w14:paraId="1006967F">
            <w:pPr>
              <w:pStyle w:val="6"/>
              <w:spacing w:before="28" w:line="228" w:lineRule="auto"/>
              <w:ind w:left="133"/>
            </w:pPr>
            <w:r>
              <w:rPr>
                <w:spacing w:val="-1"/>
              </w:rPr>
              <w:t>中专</w:t>
            </w:r>
            <w:r>
              <w:rPr>
                <w:spacing w:val="2"/>
              </w:rPr>
              <w:t xml:space="preserve">                               </w:t>
            </w:r>
            <w:r>
              <w:rPr>
                <w:spacing w:val="-1"/>
              </w:rPr>
              <w:t>0.8</w:t>
            </w:r>
            <w:r>
              <w:rPr>
                <w:spacing w:val="-36"/>
              </w:rPr>
              <w:t xml:space="preserve"> </w:t>
            </w:r>
            <w:r>
              <w:rPr>
                <w:spacing w:val="-1"/>
              </w:rPr>
              <w:t>分</w:t>
            </w:r>
          </w:p>
          <w:p w14:paraId="66F85339">
            <w:pPr>
              <w:pStyle w:val="6"/>
              <w:spacing w:before="23" w:line="218" w:lineRule="auto"/>
              <w:ind w:left="114"/>
            </w:pPr>
            <w:r>
              <w:t>其他</w:t>
            </w:r>
            <w:r>
              <w:rPr>
                <w:spacing w:val="2"/>
              </w:rPr>
              <w:t xml:space="preserve">                                 </w:t>
            </w:r>
            <w:r>
              <w:t>0</w:t>
            </w:r>
            <w:r>
              <w:rPr>
                <w:spacing w:val="-27"/>
              </w:rPr>
              <w:t xml:space="preserve"> </w:t>
            </w:r>
            <w:r>
              <w:t>分</w:t>
            </w:r>
          </w:p>
        </w:tc>
      </w:tr>
      <w:tr w14:paraId="0A530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78C9A12D">
            <w:pPr>
              <w:rPr>
                <w:rFonts w:ascii="Arial"/>
                <w:sz w:val="21"/>
              </w:rPr>
            </w:pPr>
          </w:p>
        </w:tc>
        <w:tc>
          <w:tcPr>
            <w:tcW w:w="1058" w:type="dxa"/>
            <w:vMerge w:val="continue"/>
            <w:tcBorders>
              <w:top w:val="nil"/>
              <w:bottom w:val="nil"/>
            </w:tcBorders>
            <w:vAlign w:val="top"/>
          </w:tcPr>
          <w:p w14:paraId="6E386185">
            <w:pPr>
              <w:rPr>
                <w:rFonts w:ascii="Arial"/>
                <w:sz w:val="21"/>
              </w:rPr>
            </w:pPr>
          </w:p>
        </w:tc>
        <w:tc>
          <w:tcPr>
            <w:tcW w:w="1439" w:type="dxa"/>
            <w:vMerge w:val="continue"/>
            <w:tcBorders>
              <w:top w:val="nil"/>
            </w:tcBorders>
            <w:vAlign w:val="top"/>
          </w:tcPr>
          <w:p w14:paraId="0A1843D4">
            <w:pPr>
              <w:rPr>
                <w:rFonts w:ascii="Arial"/>
                <w:sz w:val="21"/>
              </w:rPr>
            </w:pPr>
          </w:p>
        </w:tc>
        <w:tc>
          <w:tcPr>
            <w:tcW w:w="645" w:type="dxa"/>
            <w:vAlign w:val="top"/>
          </w:tcPr>
          <w:p w14:paraId="3E02CD15">
            <w:pPr>
              <w:pStyle w:val="6"/>
              <w:spacing w:before="32" w:line="228" w:lineRule="auto"/>
              <w:ind w:left="116"/>
            </w:pPr>
            <w:r>
              <w:rPr>
                <w:spacing w:val="8"/>
              </w:rPr>
              <w:t>从事</w:t>
            </w:r>
          </w:p>
          <w:p w14:paraId="5205492D">
            <w:pPr>
              <w:pStyle w:val="6"/>
              <w:spacing w:before="24" w:line="228" w:lineRule="auto"/>
              <w:ind w:left="114"/>
            </w:pPr>
            <w:r>
              <w:rPr>
                <w:spacing w:val="9"/>
              </w:rPr>
              <w:t>专业</w:t>
            </w:r>
          </w:p>
          <w:p w14:paraId="3A07D0AB">
            <w:pPr>
              <w:pStyle w:val="6"/>
              <w:spacing w:before="24" w:line="228" w:lineRule="auto"/>
              <w:ind w:left="116"/>
            </w:pPr>
            <w:r>
              <w:rPr>
                <w:spacing w:val="8"/>
              </w:rPr>
              <w:t>工作</w:t>
            </w:r>
          </w:p>
          <w:p w14:paraId="3DA3DE57">
            <w:pPr>
              <w:pStyle w:val="6"/>
              <w:spacing w:before="26" w:line="217" w:lineRule="auto"/>
              <w:ind w:left="114"/>
            </w:pPr>
            <w:r>
              <w:rPr>
                <w:spacing w:val="4"/>
              </w:rPr>
              <w:t>年限</w:t>
            </w:r>
          </w:p>
        </w:tc>
        <w:tc>
          <w:tcPr>
            <w:tcW w:w="735" w:type="dxa"/>
            <w:vAlign w:val="top"/>
          </w:tcPr>
          <w:p w14:paraId="3DCCDA84">
            <w:pPr>
              <w:spacing w:line="372" w:lineRule="auto"/>
              <w:rPr>
                <w:rFonts w:ascii="Arial"/>
                <w:sz w:val="21"/>
              </w:rPr>
            </w:pPr>
          </w:p>
          <w:p w14:paraId="0467E38D">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70F034C9">
            <w:pPr>
              <w:pStyle w:val="6"/>
              <w:spacing w:before="31"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625DBC72">
            <w:pPr>
              <w:pStyle w:val="6"/>
              <w:spacing w:before="24"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3E7A1326">
            <w:pPr>
              <w:pStyle w:val="6"/>
              <w:spacing w:before="24"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32F06516">
            <w:pPr>
              <w:pStyle w:val="6"/>
              <w:spacing w:before="27" w:line="217"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0D9697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4" w:hRule="atLeast"/>
        </w:trPr>
        <w:tc>
          <w:tcPr>
            <w:tcW w:w="745" w:type="dxa"/>
            <w:vMerge w:val="continue"/>
            <w:tcBorders>
              <w:top w:val="nil"/>
            </w:tcBorders>
            <w:vAlign w:val="top"/>
          </w:tcPr>
          <w:p w14:paraId="5D827FD4">
            <w:pPr>
              <w:rPr>
                <w:rFonts w:ascii="Arial"/>
                <w:sz w:val="21"/>
              </w:rPr>
            </w:pPr>
          </w:p>
        </w:tc>
        <w:tc>
          <w:tcPr>
            <w:tcW w:w="1058" w:type="dxa"/>
            <w:vMerge w:val="continue"/>
            <w:tcBorders>
              <w:top w:val="nil"/>
            </w:tcBorders>
            <w:vAlign w:val="top"/>
          </w:tcPr>
          <w:p w14:paraId="603A2232">
            <w:pPr>
              <w:rPr>
                <w:rFonts w:ascii="Arial"/>
                <w:sz w:val="21"/>
              </w:rPr>
            </w:pPr>
          </w:p>
        </w:tc>
        <w:tc>
          <w:tcPr>
            <w:tcW w:w="2084" w:type="dxa"/>
            <w:gridSpan w:val="2"/>
            <w:vAlign w:val="top"/>
          </w:tcPr>
          <w:p w14:paraId="04DD506C">
            <w:pPr>
              <w:spacing w:line="338" w:lineRule="auto"/>
              <w:rPr>
                <w:rFonts w:ascii="Arial"/>
                <w:sz w:val="21"/>
              </w:rPr>
            </w:pPr>
          </w:p>
          <w:p w14:paraId="26D985A9">
            <w:pPr>
              <w:pStyle w:val="6"/>
              <w:spacing w:before="65" w:line="228" w:lineRule="auto"/>
              <w:ind w:left="113"/>
            </w:pPr>
            <w:r>
              <w:rPr>
                <w:spacing w:val="8"/>
              </w:rPr>
              <w:t>其他主要人员</w:t>
            </w:r>
          </w:p>
        </w:tc>
        <w:tc>
          <w:tcPr>
            <w:tcW w:w="735" w:type="dxa"/>
            <w:vAlign w:val="top"/>
          </w:tcPr>
          <w:p w14:paraId="379EB4EF">
            <w:pPr>
              <w:spacing w:line="338" w:lineRule="auto"/>
              <w:rPr>
                <w:rFonts w:ascii="Arial"/>
                <w:sz w:val="21"/>
              </w:rPr>
            </w:pPr>
          </w:p>
          <w:p w14:paraId="40514CF9">
            <w:pPr>
              <w:pStyle w:val="6"/>
              <w:spacing w:before="65" w:line="228" w:lineRule="auto"/>
              <w:ind w:left="191"/>
            </w:pPr>
            <w:r>
              <w:rPr>
                <w:spacing w:val="-4"/>
              </w:rPr>
              <w:t>2</w:t>
            </w:r>
            <w:r>
              <w:rPr>
                <w:spacing w:val="-35"/>
              </w:rPr>
              <w:t xml:space="preserve"> </w:t>
            </w:r>
            <w:r>
              <w:rPr>
                <w:spacing w:val="-4"/>
              </w:rPr>
              <w:t>分</w:t>
            </w:r>
          </w:p>
        </w:tc>
        <w:tc>
          <w:tcPr>
            <w:tcW w:w="4562" w:type="dxa"/>
            <w:vAlign w:val="top"/>
          </w:tcPr>
          <w:p w14:paraId="4743AB0D">
            <w:pPr>
              <w:pStyle w:val="6"/>
              <w:spacing w:before="133" w:line="228" w:lineRule="auto"/>
              <w:ind w:left="115"/>
            </w:pPr>
            <w:r>
              <w:rPr>
                <w:spacing w:val="6"/>
              </w:rPr>
              <w:t>人员配备合理，满足需要              2</w:t>
            </w:r>
            <w:r>
              <w:rPr>
                <w:spacing w:val="-24"/>
              </w:rPr>
              <w:t xml:space="preserve"> </w:t>
            </w:r>
            <w:r>
              <w:rPr>
                <w:spacing w:val="6"/>
              </w:rPr>
              <w:t>分</w:t>
            </w:r>
          </w:p>
          <w:p w14:paraId="61504042">
            <w:pPr>
              <w:pStyle w:val="6"/>
              <w:spacing w:before="24" w:line="252" w:lineRule="auto"/>
              <w:ind w:left="115" w:right="304"/>
            </w:pPr>
            <w:r>
              <w:rPr>
                <w:spacing w:val="7"/>
              </w:rPr>
              <w:t>人员配备基本合理,基本满足需要     1.6</w:t>
            </w:r>
            <w:r>
              <w:rPr>
                <w:spacing w:val="-32"/>
              </w:rPr>
              <w:t xml:space="preserve"> </w:t>
            </w:r>
            <w:r>
              <w:rPr>
                <w:spacing w:val="7"/>
              </w:rPr>
              <w:t>分</w:t>
            </w:r>
            <w:r>
              <w:rPr>
                <w:spacing w:val="5"/>
              </w:rPr>
              <w:t>人员配备不合理</w:t>
            </w:r>
            <w:r>
              <w:rPr>
                <w:spacing w:val="1"/>
              </w:rPr>
              <w:t xml:space="preserve">                       </w:t>
            </w:r>
            <w:r>
              <w:rPr>
                <w:spacing w:val="5"/>
              </w:rPr>
              <w:t>0</w:t>
            </w:r>
            <w:r>
              <w:rPr>
                <w:spacing w:val="-32"/>
              </w:rPr>
              <w:t xml:space="preserve"> </w:t>
            </w:r>
            <w:r>
              <w:rPr>
                <w:spacing w:val="5"/>
              </w:rPr>
              <w:t>分</w:t>
            </w:r>
          </w:p>
        </w:tc>
      </w:tr>
      <w:tr w14:paraId="5EBE0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0" w:hRule="atLeast"/>
        </w:trPr>
        <w:tc>
          <w:tcPr>
            <w:tcW w:w="745" w:type="dxa"/>
            <w:vMerge w:val="restart"/>
            <w:tcBorders>
              <w:bottom w:val="nil"/>
            </w:tcBorders>
            <w:vAlign w:val="top"/>
          </w:tcPr>
          <w:p w14:paraId="6DF5F119">
            <w:pPr>
              <w:rPr>
                <w:rFonts w:ascii="Arial"/>
                <w:sz w:val="21"/>
              </w:rPr>
            </w:pPr>
          </w:p>
        </w:tc>
        <w:tc>
          <w:tcPr>
            <w:tcW w:w="1058" w:type="dxa"/>
            <w:vMerge w:val="restart"/>
            <w:tcBorders>
              <w:bottom w:val="nil"/>
            </w:tcBorders>
            <w:vAlign w:val="top"/>
          </w:tcPr>
          <w:p w14:paraId="46FCECA2">
            <w:pPr>
              <w:rPr>
                <w:rFonts w:ascii="Arial"/>
                <w:sz w:val="21"/>
              </w:rPr>
            </w:pPr>
          </w:p>
        </w:tc>
        <w:tc>
          <w:tcPr>
            <w:tcW w:w="2084" w:type="dxa"/>
            <w:gridSpan w:val="2"/>
            <w:vAlign w:val="top"/>
          </w:tcPr>
          <w:p w14:paraId="671F550A">
            <w:pPr>
              <w:spacing w:line="326" w:lineRule="auto"/>
              <w:rPr>
                <w:rFonts w:ascii="Arial"/>
                <w:sz w:val="21"/>
              </w:rPr>
            </w:pPr>
          </w:p>
          <w:p w14:paraId="4596F8B9">
            <w:pPr>
              <w:pStyle w:val="6"/>
              <w:spacing w:before="65" w:line="228" w:lineRule="auto"/>
              <w:ind w:left="112"/>
            </w:pPr>
            <w:r>
              <w:rPr>
                <w:spacing w:val="8"/>
              </w:rPr>
              <w:t>类似项目业绩</w:t>
            </w:r>
          </w:p>
        </w:tc>
        <w:tc>
          <w:tcPr>
            <w:tcW w:w="735" w:type="dxa"/>
            <w:vAlign w:val="top"/>
          </w:tcPr>
          <w:p w14:paraId="3B1CEFBF">
            <w:pPr>
              <w:spacing w:line="327" w:lineRule="auto"/>
              <w:rPr>
                <w:rFonts w:ascii="Arial"/>
                <w:sz w:val="21"/>
              </w:rPr>
            </w:pPr>
          </w:p>
          <w:p w14:paraId="7A74FFCF">
            <w:pPr>
              <w:pStyle w:val="6"/>
              <w:spacing w:before="65" w:line="228" w:lineRule="auto"/>
              <w:ind w:left="192"/>
            </w:pPr>
            <w:r>
              <w:rPr>
                <w:spacing w:val="-4"/>
              </w:rPr>
              <w:t>5</w:t>
            </w:r>
            <w:r>
              <w:rPr>
                <w:spacing w:val="-36"/>
              </w:rPr>
              <w:t xml:space="preserve"> </w:t>
            </w:r>
            <w:r>
              <w:rPr>
                <w:spacing w:val="-4"/>
              </w:rPr>
              <w:t>分</w:t>
            </w:r>
          </w:p>
        </w:tc>
        <w:tc>
          <w:tcPr>
            <w:tcW w:w="4562" w:type="dxa"/>
            <w:vAlign w:val="top"/>
          </w:tcPr>
          <w:p w14:paraId="26B04099">
            <w:pPr>
              <w:pStyle w:val="6"/>
              <w:spacing w:before="122" w:line="228" w:lineRule="auto"/>
              <w:ind w:left="112"/>
            </w:pPr>
            <w:r>
              <w:rPr>
                <w:spacing w:val="2"/>
              </w:rPr>
              <w:t>近</w:t>
            </w:r>
            <w:r>
              <w:rPr>
                <w:spacing w:val="-24"/>
              </w:rPr>
              <w:t xml:space="preserve"> </w:t>
            </w:r>
            <w:r>
              <w:rPr>
                <w:spacing w:val="2"/>
              </w:rPr>
              <w:t>5</w:t>
            </w:r>
            <w:r>
              <w:rPr>
                <w:spacing w:val="-37"/>
              </w:rPr>
              <w:t xml:space="preserve"> </w:t>
            </w:r>
            <w:r>
              <w:rPr>
                <w:spacing w:val="2"/>
              </w:rPr>
              <w:t>年有</w:t>
            </w:r>
            <w:r>
              <w:rPr>
                <w:spacing w:val="-24"/>
              </w:rPr>
              <w:t xml:space="preserve"> </w:t>
            </w:r>
            <w:r>
              <w:rPr>
                <w:spacing w:val="2"/>
              </w:rPr>
              <w:t>1</w:t>
            </w:r>
            <w:r>
              <w:rPr>
                <w:spacing w:val="-38"/>
              </w:rPr>
              <w:t xml:space="preserve"> </w:t>
            </w:r>
            <w:r>
              <w:rPr>
                <w:spacing w:val="2"/>
              </w:rPr>
              <w:t>个类似项目业绩</w:t>
            </w:r>
            <w:r>
              <w:rPr>
                <w:spacing w:val="5"/>
              </w:rPr>
              <w:t xml:space="preserve">            </w:t>
            </w:r>
            <w:r>
              <w:rPr>
                <w:spacing w:val="2"/>
              </w:rPr>
              <w:t>2</w:t>
            </w:r>
            <w:r>
              <w:rPr>
                <w:spacing w:val="-25"/>
              </w:rPr>
              <w:t xml:space="preserve"> </w:t>
            </w:r>
            <w:r>
              <w:rPr>
                <w:spacing w:val="2"/>
              </w:rPr>
              <w:t>分</w:t>
            </w:r>
          </w:p>
          <w:p w14:paraId="1FEAEFBC">
            <w:pPr>
              <w:pStyle w:val="6"/>
              <w:spacing w:before="24" w:line="228" w:lineRule="auto"/>
              <w:ind w:left="112"/>
            </w:pPr>
            <w:r>
              <w:rPr>
                <w:spacing w:val="3"/>
              </w:rPr>
              <w:t>近</w:t>
            </w:r>
            <w:r>
              <w:rPr>
                <w:spacing w:val="-22"/>
              </w:rPr>
              <w:t xml:space="preserve"> </w:t>
            </w:r>
            <w:r>
              <w:rPr>
                <w:spacing w:val="3"/>
              </w:rPr>
              <w:t>5</w:t>
            </w:r>
            <w:r>
              <w:rPr>
                <w:spacing w:val="-37"/>
              </w:rPr>
              <w:t xml:space="preserve"> </w:t>
            </w:r>
            <w:r>
              <w:rPr>
                <w:spacing w:val="3"/>
              </w:rPr>
              <w:t>年有</w:t>
            </w:r>
            <w:r>
              <w:rPr>
                <w:spacing w:val="-36"/>
              </w:rPr>
              <w:t xml:space="preserve"> </w:t>
            </w:r>
            <w:r>
              <w:rPr>
                <w:spacing w:val="3"/>
              </w:rPr>
              <w:t>2</w:t>
            </w:r>
            <w:r>
              <w:rPr>
                <w:spacing w:val="-38"/>
              </w:rPr>
              <w:t xml:space="preserve"> </w:t>
            </w:r>
            <w:r>
              <w:rPr>
                <w:spacing w:val="3"/>
              </w:rPr>
              <w:t>个类似项目业绩</w:t>
            </w:r>
            <w:r>
              <w:rPr>
                <w:spacing w:val="6"/>
              </w:rPr>
              <w:t xml:space="preserve">          </w:t>
            </w:r>
            <w:r>
              <w:rPr>
                <w:spacing w:val="3"/>
              </w:rPr>
              <w:t>3.5</w:t>
            </w:r>
            <w:r>
              <w:rPr>
                <w:spacing w:val="-35"/>
              </w:rPr>
              <w:t xml:space="preserve"> </w:t>
            </w:r>
            <w:r>
              <w:rPr>
                <w:spacing w:val="3"/>
              </w:rPr>
              <w:t>分</w:t>
            </w:r>
          </w:p>
          <w:p w14:paraId="0A7AEABF">
            <w:pPr>
              <w:pStyle w:val="6"/>
              <w:spacing w:before="26" w:line="228" w:lineRule="auto"/>
              <w:ind w:left="112"/>
            </w:pPr>
            <w:r>
              <w:rPr>
                <w:spacing w:val="3"/>
              </w:rPr>
              <w:t>近</w:t>
            </w:r>
            <w:r>
              <w:rPr>
                <w:spacing w:val="-28"/>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6"/>
              </w:rPr>
              <w:t xml:space="preserve">            </w:t>
            </w:r>
            <w:r>
              <w:rPr>
                <w:spacing w:val="3"/>
              </w:rPr>
              <w:t>5</w:t>
            </w:r>
            <w:r>
              <w:rPr>
                <w:spacing w:val="-36"/>
              </w:rPr>
              <w:t xml:space="preserve"> </w:t>
            </w:r>
            <w:r>
              <w:rPr>
                <w:spacing w:val="3"/>
              </w:rPr>
              <w:t>分</w:t>
            </w:r>
          </w:p>
        </w:tc>
      </w:tr>
      <w:tr w14:paraId="766138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1" w:hRule="atLeast"/>
        </w:trPr>
        <w:tc>
          <w:tcPr>
            <w:tcW w:w="745" w:type="dxa"/>
            <w:vMerge w:val="continue"/>
            <w:tcBorders>
              <w:top w:val="nil"/>
              <w:bottom w:val="nil"/>
            </w:tcBorders>
            <w:vAlign w:val="top"/>
          </w:tcPr>
          <w:p w14:paraId="3FC2A89B">
            <w:pPr>
              <w:rPr>
                <w:rFonts w:ascii="Arial"/>
                <w:sz w:val="21"/>
              </w:rPr>
            </w:pPr>
          </w:p>
        </w:tc>
        <w:tc>
          <w:tcPr>
            <w:tcW w:w="1058" w:type="dxa"/>
            <w:vMerge w:val="continue"/>
            <w:tcBorders>
              <w:top w:val="nil"/>
              <w:bottom w:val="nil"/>
            </w:tcBorders>
            <w:vAlign w:val="top"/>
          </w:tcPr>
          <w:p w14:paraId="22F57E34">
            <w:pPr>
              <w:rPr>
                <w:rFonts w:ascii="Arial"/>
                <w:sz w:val="21"/>
              </w:rPr>
            </w:pPr>
          </w:p>
        </w:tc>
        <w:tc>
          <w:tcPr>
            <w:tcW w:w="2084" w:type="dxa"/>
            <w:gridSpan w:val="2"/>
            <w:vAlign w:val="top"/>
          </w:tcPr>
          <w:p w14:paraId="0CA03955">
            <w:pPr>
              <w:spacing w:line="359" w:lineRule="auto"/>
              <w:rPr>
                <w:rFonts w:ascii="Arial"/>
                <w:sz w:val="21"/>
              </w:rPr>
            </w:pPr>
          </w:p>
          <w:p w14:paraId="449F05B1">
            <w:pPr>
              <w:spacing w:line="359" w:lineRule="auto"/>
              <w:rPr>
                <w:rFonts w:ascii="Arial"/>
                <w:sz w:val="21"/>
              </w:rPr>
            </w:pPr>
          </w:p>
          <w:p w14:paraId="0E05F096">
            <w:pPr>
              <w:pStyle w:val="6"/>
              <w:spacing w:before="65" w:line="229" w:lineRule="auto"/>
              <w:ind w:left="112"/>
            </w:pPr>
            <w:r>
              <w:rPr>
                <w:spacing w:val="7"/>
              </w:rPr>
              <w:t>认证体系</w:t>
            </w:r>
          </w:p>
        </w:tc>
        <w:tc>
          <w:tcPr>
            <w:tcW w:w="735" w:type="dxa"/>
            <w:vAlign w:val="top"/>
          </w:tcPr>
          <w:p w14:paraId="6546C3EE">
            <w:pPr>
              <w:spacing w:line="260" w:lineRule="auto"/>
              <w:rPr>
                <w:rFonts w:ascii="Arial"/>
                <w:sz w:val="21"/>
              </w:rPr>
            </w:pPr>
          </w:p>
          <w:p w14:paraId="583B672A">
            <w:pPr>
              <w:spacing w:line="260" w:lineRule="auto"/>
              <w:rPr>
                <w:rFonts w:ascii="Arial"/>
                <w:sz w:val="21"/>
              </w:rPr>
            </w:pPr>
          </w:p>
          <w:p w14:paraId="7B167605">
            <w:pPr>
              <w:spacing w:line="260" w:lineRule="auto"/>
              <w:rPr>
                <w:rFonts w:ascii="Arial"/>
                <w:sz w:val="21"/>
              </w:rPr>
            </w:pPr>
          </w:p>
          <w:p w14:paraId="1524B138">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036CC562">
            <w:pPr>
              <w:pStyle w:val="6"/>
              <w:spacing w:before="35" w:line="251" w:lineRule="auto"/>
              <w:ind w:left="117" w:right="107"/>
            </w:pPr>
            <w:r>
              <w:rPr>
                <w:spacing w:val="8"/>
              </w:rPr>
              <w:t>具有有效的</w:t>
            </w:r>
            <w:r>
              <w:rPr>
                <w:spacing w:val="-31"/>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w:t>
            </w:r>
            <w:r>
              <w:rPr>
                <w:spacing w:val="5"/>
              </w:rPr>
              <w:t>系认证证书，1</w:t>
            </w:r>
            <w:r>
              <w:rPr>
                <w:spacing w:val="-31"/>
              </w:rPr>
              <w:t xml:space="preserve"> </w:t>
            </w:r>
            <w:r>
              <w:rPr>
                <w:spacing w:val="5"/>
              </w:rPr>
              <w:t>分；</w:t>
            </w:r>
          </w:p>
          <w:p w14:paraId="491CD338">
            <w:pPr>
              <w:pStyle w:val="6"/>
              <w:spacing w:line="251" w:lineRule="auto"/>
              <w:ind w:left="113" w:right="109" w:firstLine="4"/>
            </w:pPr>
            <w:r>
              <w:rPr>
                <w:spacing w:val="7"/>
              </w:rPr>
              <w:t>具有有效的</w:t>
            </w:r>
            <w:r>
              <w:rPr>
                <w:spacing w:val="-43"/>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5"/>
              </w:rPr>
              <w:t xml:space="preserve"> </w:t>
            </w:r>
            <w:r>
              <w:rPr>
                <w:spacing w:val="7"/>
              </w:rPr>
              <w:t>环境管理</w:t>
            </w:r>
            <w:r>
              <w:rPr>
                <w:spacing w:val="6"/>
              </w:rPr>
              <w:t>体系认证证书，1</w:t>
            </w:r>
            <w:r>
              <w:rPr>
                <w:spacing w:val="-33"/>
              </w:rPr>
              <w:t xml:space="preserve"> </w:t>
            </w:r>
            <w:r>
              <w:rPr>
                <w:spacing w:val="6"/>
              </w:rPr>
              <w:t>分；</w:t>
            </w:r>
          </w:p>
          <w:p w14:paraId="62E1D91D">
            <w:pPr>
              <w:pStyle w:val="6"/>
              <w:spacing w:line="239" w:lineRule="auto"/>
              <w:ind w:left="117" w:right="107"/>
            </w:pPr>
            <w:r>
              <w:rPr>
                <w:spacing w:val="4"/>
              </w:rPr>
              <w:t>具 有 有 效</w:t>
            </w:r>
            <w:r>
              <w:rPr>
                <w:spacing w:val="41"/>
              </w:rPr>
              <w:t xml:space="preserve"> </w:t>
            </w:r>
            <w:r>
              <w:rPr>
                <w:spacing w:val="4"/>
              </w:rPr>
              <w:t>的</w:t>
            </w:r>
            <w:r>
              <w:rPr>
                <w:spacing w:val="59"/>
              </w:rPr>
              <w:t xml:space="preserve"> </w:t>
            </w:r>
            <w:r>
              <w:rPr>
                <w:rFonts w:ascii="Times New Roman" w:hAnsi="Times New Roman" w:eastAsia="Times New Roman" w:cs="Times New Roman"/>
              </w:rPr>
              <w:t>ISO</w:t>
            </w:r>
            <w:r>
              <w:rPr>
                <w:rFonts w:ascii="Times New Roman" w:hAnsi="Times New Roman" w:eastAsia="Times New Roman" w:cs="Times New Roman"/>
                <w:spacing w:val="4"/>
              </w:rPr>
              <w:t xml:space="preserve">45001   </w:t>
            </w:r>
            <w:r>
              <w:rPr>
                <w:spacing w:val="4"/>
              </w:rPr>
              <w:t xml:space="preserve">或   </w:t>
            </w:r>
            <w:r>
              <w:rPr>
                <w:rFonts w:ascii="Times New Roman" w:hAnsi="Times New Roman" w:eastAsia="Times New Roman" w:cs="Times New Roman"/>
              </w:rPr>
              <w:t>OHSAS</w:t>
            </w:r>
            <w:r>
              <w:rPr>
                <w:rFonts w:ascii="Times New Roman" w:hAnsi="Times New Roman" w:eastAsia="Times New Roman" w:cs="Times New Roman"/>
                <w:spacing w:val="4"/>
              </w:rPr>
              <w:t>18001</w:t>
            </w:r>
            <w:r>
              <w:rPr>
                <w:rFonts w:ascii="Times New Roman" w:hAnsi="Times New Roman" w:eastAsia="Times New Roman" w:cs="Times New Roman"/>
                <w:spacing w:val="1"/>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/T28001</w:t>
            </w:r>
            <w:r>
              <w:rPr>
                <w:spacing w:val="10"/>
              </w:rPr>
              <w:t>）</w:t>
            </w:r>
            <w:r>
              <w:rPr>
                <w:spacing w:val="55"/>
              </w:rPr>
              <w:t xml:space="preserve"> </w:t>
            </w:r>
            <w:r>
              <w:rPr>
                <w:spacing w:val="10"/>
              </w:rPr>
              <w:t>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r w14:paraId="73FCC6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4" w:hRule="atLeast"/>
        </w:trPr>
        <w:tc>
          <w:tcPr>
            <w:tcW w:w="745" w:type="dxa"/>
            <w:vMerge w:val="continue"/>
            <w:tcBorders>
              <w:top w:val="nil"/>
            </w:tcBorders>
            <w:vAlign w:val="top"/>
          </w:tcPr>
          <w:p w14:paraId="58AC0568">
            <w:pPr>
              <w:rPr>
                <w:rFonts w:ascii="Arial"/>
                <w:sz w:val="21"/>
              </w:rPr>
            </w:pPr>
          </w:p>
        </w:tc>
        <w:tc>
          <w:tcPr>
            <w:tcW w:w="1058" w:type="dxa"/>
            <w:vMerge w:val="continue"/>
            <w:tcBorders>
              <w:top w:val="nil"/>
            </w:tcBorders>
            <w:vAlign w:val="top"/>
          </w:tcPr>
          <w:p w14:paraId="3BD679BD">
            <w:pPr>
              <w:rPr>
                <w:rFonts w:ascii="Arial"/>
                <w:sz w:val="21"/>
              </w:rPr>
            </w:pPr>
          </w:p>
        </w:tc>
        <w:tc>
          <w:tcPr>
            <w:tcW w:w="2084" w:type="dxa"/>
            <w:gridSpan w:val="2"/>
            <w:vAlign w:val="top"/>
          </w:tcPr>
          <w:p w14:paraId="25E27BD0">
            <w:pPr>
              <w:spacing w:line="305" w:lineRule="auto"/>
              <w:rPr>
                <w:rFonts w:ascii="Arial"/>
                <w:sz w:val="21"/>
              </w:rPr>
            </w:pPr>
          </w:p>
          <w:p w14:paraId="1FBEB27C">
            <w:pPr>
              <w:spacing w:line="305" w:lineRule="auto"/>
              <w:rPr>
                <w:rFonts w:ascii="Arial"/>
                <w:sz w:val="21"/>
              </w:rPr>
            </w:pPr>
          </w:p>
          <w:p w14:paraId="31419142">
            <w:pPr>
              <w:spacing w:line="305" w:lineRule="auto"/>
              <w:rPr>
                <w:rFonts w:ascii="Arial"/>
                <w:sz w:val="21"/>
              </w:rPr>
            </w:pPr>
          </w:p>
          <w:p w14:paraId="39292FD1">
            <w:pPr>
              <w:pStyle w:val="6"/>
              <w:spacing w:before="65" w:line="252" w:lineRule="auto"/>
              <w:ind w:left="111" w:right="296"/>
            </w:pPr>
            <w:r>
              <w:rPr>
                <w:spacing w:val="5"/>
              </w:rPr>
              <w:t>近</w:t>
            </w:r>
            <w:r>
              <w:rPr>
                <w:spacing w:val="-34"/>
              </w:rPr>
              <w:t xml:space="preserve"> </w:t>
            </w:r>
            <w:r>
              <w:rPr>
                <w:spacing w:val="5"/>
              </w:rPr>
              <w:t>5</w:t>
            </w:r>
            <w:r>
              <w:rPr>
                <w:spacing w:val="-37"/>
              </w:rPr>
              <w:t xml:space="preserve"> </w:t>
            </w:r>
            <w:r>
              <w:rPr>
                <w:spacing w:val="5"/>
              </w:rPr>
              <w:t>年工程奖项、</w:t>
            </w:r>
            <w:r>
              <w:rPr>
                <w:spacing w:val="8"/>
              </w:rPr>
              <w:t>项目经理工程奖项</w:t>
            </w:r>
            <w:r>
              <w:rPr>
                <w:spacing w:val="7"/>
              </w:rPr>
              <w:t>及表彰</w:t>
            </w:r>
          </w:p>
          <w:p w14:paraId="2AD63792">
            <w:pPr>
              <w:pStyle w:val="6"/>
              <w:spacing w:line="227" w:lineRule="auto"/>
              <w:ind w:left="122"/>
            </w:pPr>
            <w:r>
              <w:rPr>
                <w:spacing w:val="7"/>
              </w:rPr>
              <w:t>（适用于施工总承</w:t>
            </w:r>
          </w:p>
          <w:p w14:paraId="25AC35E6">
            <w:pPr>
              <w:pStyle w:val="6"/>
              <w:spacing w:before="24" w:line="228" w:lineRule="auto"/>
              <w:ind w:left="112"/>
            </w:pPr>
            <w:r>
              <w:rPr>
                <w:spacing w:val="5"/>
              </w:rPr>
              <w:t>包招标）</w:t>
            </w:r>
          </w:p>
        </w:tc>
        <w:tc>
          <w:tcPr>
            <w:tcW w:w="735" w:type="dxa"/>
            <w:vAlign w:val="top"/>
          </w:tcPr>
          <w:p w14:paraId="6CA4BFBC">
            <w:pPr>
              <w:spacing w:line="242" w:lineRule="auto"/>
              <w:rPr>
                <w:rFonts w:ascii="Arial"/>
                <w:sz w:val="21"/>
              </w:rPr>
            </w:pPr>
          </w:p>
          <w:p w14:paraId="24AEDD66">
            <w:pPr>
              <w:spacing w:line="243" w:lineRule="auto"/>
              <w:rPr>
                <w:rFonts w:ascii="Arial"/>
                <w:sz w:val="21"/>
              </w:rPr>
            </w:pPr>
          </w:p>
          <w:p w14:paraId="699FFF43">
            <w:pPr>
              <w:spacing w:line="243" w:lineRule="auto"/>
              <w:rPr>
                <w:rFonts w:ascii="Arial"/>
                <w:sz w:val="21"/>
              </w:rPr>
            </w:pPr>
          </w:p>
          <w:p w14:paraId="14D94C97">
            <w:pPr>
              <w:spacing w:line="243" w:lineRule="auto"/>
              <w:rPr>
                <w:rFonts w:ascii="Arial"/>
                <w:sz w:val="21"/>
              </w:rPr>
            </w:pPr>
          </w:p>
          <w:p w14:paraId="4236D51D">
            <w:pPr>
              <w:spacing w:line="243" w:lineRule="auto"/>
              <w:rPr>
                <w:rFonts w:ascii="Arial"/>
                <w:sz w:val="21"/>
              </w:rPr>
            </w:pPr>
          </w:p>
          <w:p w14:paraId="730BFAF5">
            <w:pPr>
              <w:spacing w:line="243" w:lineRule="auto"/>
              <w:rPr>
                <w:rFonts w:ascii="Arial"/>
                <w:sz w:val="21"/>
              </w:rPr>
            </w:pPr>
          </w:p>
          <w:p w14:paraId="06302015">
            <w:pPr>
              <w:pStyle w:val="6"/>
              <w:spacing w:before="65" w:line="228" w:lineRule="auto"/>
              <w:ind w:left="187"/>
            </w:pPr>
            <w:r>
              <w:rPr>
                <w:spacing w:val="-2"/>
              </w:rPr>
              <w:t>4</w:t>
            </w:r>
            <w:r>
              <w:rPr>
                <w:spacing w:val="-36"/>
              </w:rPr>
              <w:t xml:space="preserve"> </w:t>
            </w:r>
            <w:r>
              <w:rPr>
                <w:spacing w:val="-2"/>
              </w:rPr>
              <w:t>分</w:t>
            </w:r>
          </w:p>
        </w:tc>
        <w:tc>
          <w:tcPr>
            <w:tcW w:w="4562" w:type="dxa"/>
            <w:vAlign w:val="top"/>
          </w:tcPr>
          <w:p w14:paraId="72496D8C">
            <w:pPr>
              <w:pStyle w:val="6"/>
              <w:spacing w:before="37" w:line="251" w:lineRule="auto"/>
              <w:ind w:left="112" w:right="107" w:firstLine="17"/>
            </w:pPr>
            <w:r>
              <w:rPr>
                <w:rFonts w:ascii="Times New Roman" w:hAnsi="Times New Roman" w:eastAsia="Times New Roman" w:cs="Times New Roman"/>
                <w:spacing w:val="9"/>
              </w:rPr>
              <w:t>1</w:t>
            </w:r>
            <w:r>
              <w:rPr>
                <w:rFonts w:ascii="Times New Roman" w:hAnsi="Times New Roman" w:eastAsia="Times New Roman" w:cs="Times New Roman"/>
                <w:spacing w:val="-21"/>
              </w:rPr>
              <w:t xml:space="preserve"> </w:t>
            </w:r>
            <w:r>
              <w:rPr>
                <w:spacing w:val="9"/>
              </w:rPr>
              <w:t>．投标人完成的与招标项目同类别工程（</w:t>
            </w:r>
            <w:r>
              <w:rPr>
                <w:spacing w:val="8"/>
              </w:rPr>
              <w:t>即房</w:t>
            </w:r>
            <w:r>
              <w:rPr>
                <w:spacing w:val="7"/>
              </w:rPr>
              <w:t>屋建筑或市政工程，下同</w:t>
            </w:r>
            <w:r>
              <w:rPr>
                <w:spacing w:val="-32"/>
              </w:rPr>
              <w:t>），</w:t>
            </w:r>
            <w:r>
              <w:rPr>
                <w:spacing w:val="7"/>
              </w:rPr>
              <w:t>近</w:t>
            </w:r>
            <w:r>
              <w:rPr>
                <w:spacing w:val="-31"/>
              </w:rPr>
              <w:t xml:space="preserve"> </w:t>
            </w:r>
            <w:r>
              <w:rPr>
                <w:spacing w:val="7"/>
              </w:rPr>
              <w:t>5</w:t>
            </w:r>
            <w:r>
              <w:rPr>
                <w:spacing w:val="-35"/>
              </w:rPr>
              <w:t xml:space="preserve"> </w:t>
            </w:r>
            <w:r>
              <w:rPr>
                <w:spacing w:val="7"/>
              </w:rPr>
              <w:t>年获得“</w:t>
            </w:r>
            <w:r>
              <w:rPr>
                <w:spacing w:val="-70"/>
              </w:rPr>
              <w:t xml:space="preserve"> </w:t>
            </w:r>
            <w:r>
              <w:rPr>
                <w:spacing w:val="7"/>
              </w:rPr>
              <w:t>中国</w:t>
            </w:r>
            <w:r>
              <w:rPr>
                <w:spacing w:val="-3"/>
              </w:rPr>
              <w:t>建设工程鲁班奖（国家优质工程）”“中国土木工</w:t>
            </w:r>
            <w:r>
              <w:rPr>
                <w:spacing w:val="-6"/>
              </w:rPr>
              <w:t>程詹天佑奖</w:t>
            </w:r>
            <w:r>
              <w:rPr>
                <w:spacing w:val="-63"/>
              </w:rPr>
              <w:t xml:space="preserve"> </w:t>
            </w:r>
            <w:r>
              <w:rPr>
                <w:spacing w:val="-6"/>
              </w:rPr>
              <w:t>”“市政工程最高质量水平评价</w:t>
            </w:r>
            <w:r>
              <w:rPr>
                <w:spacing w:val="-70"/>
              </w:rPr>
              <w:t xml:space="preserve"> </w:t>
            </w:r>
            <w:r>
              <w:rPr>
                <w:spacing w:val="-6"/>
              </w:rPr>
              <w:t>”“全</w:t>
            </w:r>
            <w:r>
              <w:t>国市政金杯示范工程</w:t>
            </w:r>
            <w:r>
              <w:rPr>
                <w:spacing w:val="-67"/>
              </w:rPr>
              <w:t xml:space="preserve"> </w:t>
            </w:r>
            <w:r>
              <w:t>”“</w:t>
            </w:r>
            <w:r>
              <w:rPr>
                <w:rFonts w:ascii="Times New Roman" w:hAnsi="Times New Roman" w:eastAsia="Times New Roman" w:cs="Times New Roman"/>
              </w:rPr>
              <w:t>AAA</w:t>
            </w:r>
            <w:r>
              <w:rPr>
                <w:rFonts w:ascii="Times New Roman" w:hAnsi="Times New Roman" w:eastAsia="Times New Roman" w:cs="Times New Roman"/>
                <w:spacing w:val="17"/>
              </w:rPr>
              <w:t xml:space="preserve"> </w:t>
            </w:r>
            <w:r>
              <w:t>级安全文明标准化</w:t>
            </w:r>
            <w:r>
              <w:rPr>
                <w:spacing w:val="5"/>
              </w:rPr>
              <w:t>工地</w:t>
            </w:r>
            <w:r>
              <w:rPr>
                <w:spacing w:val="-70"/>
              </w:rPr>
              <w:t xml:space="preserve"> </w:t>
            </w:r>
            <w:r>
              <w:rPr>
                <w:spacing w:val="5"/>
              </w:rPr>
              <w:t>”“建设工程项目施工工地安全生产标</w:t>
            </w:r>
            <w:r>
              <w:rPr>
                <w:spacing w:val="4"/>
              </w:rPr>
              <w:t>准化学习交流项目</w:t>
            </w:r>
            <w:r>
              <w:rPr>
                <w:spacing w:val="-66"/>
              </w:rPr>
              <w:t xml:space="preserve"> </w:t>
            </w:r>
            <w:r>
              <w:rPr>
                <w:spacing w:val="4"/>
              </w:rPr>
              <w:t>”的每项得</w:t>
            </w:r>
            <w:r>
              <w:rPr>
                <w:spacing w:val="-37"/>
              </w:rPr>
              <w:t xml:space="preserve"> </w:t>
            </w:r>
            <w:r>
              <w:rPr>
                <w:rFonts w:ascii="Times New Roman" w:hAnsi="Times New Roman" w:eastAsia="Times New Roman" w:cs="Times New Roman"/>
                <w:spacing w:val="4"/>
              </w:rPr>
              <w:t xml:space="preserve">3 </w:t>
            </w:r>
            <w:r>
              <w:rPr>
                <w:spacing w:val="4"/>
              </w:rPr>
              <w:t>分；获得省级优质工</w:t>
            </w:r>
            <w:r>
              <w:rPr>
                <w:spacing w:val="6"/>
              </w:rPr>
              <w:t>程奖（如楚天杯）或安全文明施工现场奖的每项</w:t>
            </w:r>
            <w:r>
              <w:rPr>
                <w:spacing w:val="5"/>
              </w:rPr>
              <w:t>得</w:t>
            </w:r>
            <w:r>
              <w:rPr>
                <w:spacing w:val="-34"/>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4"/>
                <w:w w:val="101"/>
              </w:rPr>
              <w:t xml:space="preserve"> </w:t>
            </w:r>
            <w:r>
              <w:rPr>
                <w:spacing w:val="5"/>
              </w:rPr>
              <w:t>分；获得地市级优质工程奖或安全文明施工现场奖的每项得</w:t>
            </w:r>
            <w:r>
              <w:rPr>
                <w:spacing w:val="-34"/>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14"/>
                <w:w w:val="101"/>
              </w:rPr>
              <w:t xml:space="preserve"> </w:t>
            </w:r>
            <w:r>
              <w:rPr>
                <w:spacing w:val="5"/>
              </w:rPr>
              <w:t>分。（同一工程获得不同级别</w:t>
            </w:r>
            <w:r>
              <w:rPr>
                <w:spacing w:val="9"/>
              </w:rPr>
              <w:t>奖项的，按级别高的奖项加分且不重复计分）</w:t>
            </w:r>
          </w:p>
          <w:p w14:paraId="0DB98FCE">
            <w:pPr>
              <w:pStyle w:val="6"/>
              <w:spacing w:line="217" w:lineRule="auto"/>
              <w:ind w:left="109"/>
            </w:pPr>
            <w:r>
              <w:rPr>
                <w:rFonts w:ascii="Times New Roman" w:hAnsi="Times New Roman" w:eastAsia="Times New Roman" w:cs="Times New Roman"/>
                <w:spacing w:val="8"/>
              </w:rPr>
              <w:t>2</w:t>
            </w:r>
            <w:r>
              <w:rPr>
                <w:rFonts w:ascii="Times New Roman" w:hAnsi="Times New Roman" w:eastAsia="Times New Roman" w:cs="Times New Roman"/>
                <w:spacing w:val="-21"/>
              </w:rPr>
              <w:t xml:space="preserve"> </w:t>
            </w:r>
            <w:r>
              <w:rPr>
                <w:spacing w:val="8"/>
              </w:rPr>
              <w:t>．</w:t>
            </w:r>
            <w:r>
              <w:rPr>
                <w:spacing w:val="-59"/>
              </w:rPr>
              <w:t xml:space="preserve"> </w:t>
            </w:r>
            <w:r>
              <w:rPr>
                <w:spacing w:val="8"/>
              </w:rPr>
              <w:t>以项目经理身份完成的与招标项目同类</w:t>
            </w:r>
            <w:r>
              <w:rPr>
                <w:spacing w:val="7"/>
              </w:rPr>
              <w:t>别工</w:t>
            </w:r>
          </w:p>
        </w:tc>
      </w:tr>
    </w:tbl>
    <w:p w14:paraId="1A61CE69">
      <w:pPr>
        <w:rPr>
          <w:rFonts w:ascii="Arial"/>
          <w:sz w:val="21"/>
        </w:rPr>
      </w:pPr>
    </w:p>
    <w:p w14:paraId="05C8254E">
      <w:pPr>
        <w:rPr>
          <w:rFonts w:ascii="Arial" w:hAnsi="Arial" w:eastAsia="Arial" w:cs="Arial"/>
          <w:sz w:val="21"/>
          <w:szCs w:val="21"/>
        </w:rPr>
        <w:sectPr>
          <w:footerReference r:id="rId73" w:type="default"/>
          <w:pgSz w:w="11907" w:h="16840"/>
          <w:pgMar w:top="400" w:right="1248" w:bottom="1035" w:left="1469" w:header="0" w:footer="785" w:gutter="0"/>
          <w:cols w:space="720" w:num="1"/>
        </w:sectPr>
      </w:pPr>
    </w:p>
    <w:p w14:paraId="33ED6599">
      <w:pPr>
        <w:spacing w:before="19"/>
      </w:pPr>
    </w:p>
    <w:p w14:paraId="4A0E1ADE">
      <w:pPr>
        <w:spacing w:before="19"/>
      </w:pPr>
    </w:p>
    <w:p w14:paraId="2F619140">
      <w:pPr>
        <w:spacing w:before="19"/>
      </w:pPr>
    </w:p>
    <w:p w14:paraId="4E413A4F">
      <w:pPr>
        <w:spacing w:before="18"/>
      </w:pPr>
    </w:p>
    <w:p w14:paraId="06602318">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3D041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7" w:hRule="atLeast"/>
        </w:trPr>
        <w:tc>
          <w:tcPr>
            <w:tcW w:w="745" w:type="dxa"/>
            <w:vMerge w:val="restart"/>
            <w:tcBorders>
              <w:bottom w:val="nil"/>
            </w:tcBorders>
            <w:vAlign w:val="top"/>
          </w:tcPr>
          <w:p w14:paraId="20BAF611">
            <w:pPr>
              <w:spacing w:line="271" w:lineRule="auto"/>
              <w:rPr>
                <w:rFonts w:ascii="Arial"/>
                <w:sz w:val="21"/>
              </w:rPr>
            </w:pPr>
          </w:p>
          <w:p w14:paraId="6CB76181">
            <w:pPr>
              <w:spacing w:line="271" w:lineRule="auto"/>
              <w:rPr>
                <w:rFonts w:ascii="Arial"/>
                <w:sz w:val="21"/>
              </w:rPr>
            </w:pPr>
          </w:p>
          <w:p w14:paraId="18E3F958">
            <w:pPr>
              <w:spacing w:line="272" w:lineRule="auto"/>
              <w:rPr>
                <w:rFonts w:ascii="Arial"/>
                <w:sz w:val="21"/>
              </w:rPr>
            </w:pPr>
          </w:p>
          <w:p w14:paraId="33FAC5B7">
            <w:pPr>
              <w:spacing w:line="272" w:lineRule="auto"/>
              <w:rPr>
                <w:rFonts w:ascii="Arial"/>
                <w:sz w:val="21"/>
              </w:rPr>
            </w:pPr>
          </w:p>
          <w:p w14:paraId="1F81819E">
            <w:pPr>
              <w:spacing w:line="272" w:lineRule="auto"/>
              <w:rPr>
                <w:rFonts w:ascii="Arial"/>
                <w:sz w:val="21"/>
              </w:rPr>
            </w:pPr>
          </w:p>
          <w:p w14:paraId="5D6B2A53">
            <w:pPr>
              <w:spacing w:line="272" w:lineRule="auto"/>
              <w:rPr>
                <w:rFonts w:ascii="Arial"/>
                <w:sz w:val="21"/>
              </w:rPr>
            </w:pPr>
          </w:p>
          <w:p w14:paraId="7BC2562C">
            <w:pPr>
              <w:spacing w:line="272" w:lineRule="auto"/>
              <w:rPr>
                <w:rFonts w:ascii="Arial"/>
                <w:sz w:val="21"/>
              </w:rPr>
            </w:pPr>
          </w:p>
          <w:p w14:paraId="27CB2300">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75A8A573">
            <w:pPr>
              <w:pStyle w:val="6"/>
              <w:spacing w:before="218"/>
              <w:ind w:left="125"/>
            </w:pPr>
            <w:r>
              <w:rPr>
                <w:spacing w:val="-1"/>
              </w:rPr>
              <w:t>（</w:t>
            </w:r>
            <w:r>
              <w:rPr>
                <w:rFonts w:ascii="Times New Roman" w:hAnsi="Times New Roman" w:eastAsia="Times New Roman" w:cs="Times New Roman"/>
                <w:spacing w:val="-1"/>
              </w:rPr>
              <w:t>4</w:t>
            </w:r>
            <w:r>
              <w:rPr>
                <w:spacing w:val="-1"/>
              </w:rPr>
              <w:t>）</w:t>
            </w:r>
          </w:p>
        </w:tc>
        <w:tc>
          <w:tcPr>
            <w:tcW w:w="1058" w:type="dxa"/>
            <w:vMerge w:val="restart"/>
            <w:tcBorders>
              <w:bottom w:val="nil"/>
            </w:tcBorders>
            <w:vAlign w:val="top"/>
          </w:tcPr>
          <w:p w14:paraId="0F5BA1E5">
            <w:pPr>
              <w:spacing w:line="267" w:lineRule="auto"/>
              <w:rPr>
                <w:rFonts w:ascii="Arial"/>
                <w:sz w:val="21"/>
              </w:rPr>
            </w:pPr>
          </w:p>
          <w:p w14:paraId="57D94D8A">
            <w:pPr>
              <w:spacing w:line="267" w:lineRule="auto"/>
              <w:rPr>
                <w:rFonts w:ascii="Arial"/>
                <w:sz w:val="21"/>
              </w:rPr>
            </w:pPr>
          </w:p>
          <w:p w14:paraId="308C3F4A">
            <w:pPr>
              <w:spacing w:line="267" w:lineRule="auto"/>
              <w:rPr>
                <w:rFonts w:ascii="Arial"/>
                <w:sz w:val="21"/>
              </w:rPr>
            </w:pPr>
          </w:p>
          <w:p w14:paraId="30AAD51A">
            <w:pPr>
              <w:spacing w:line="267" w:lineRule="auto"/>
              <w:rPr>
                <w:rFonts w:ascii="Arial"/>
                <w:sz w:val="21"/>
              </w:rPr>
            </w:pPr>
          </w:p>
          <w:p w14:paraId="737BB72E">
            <w:pPr>
              <w:spacing w:line="267" w:lineRule="auto"/>
              <w:rPr>
                <w:rFonts w:ascii="Arial"/>
                <w:sz w:val="21"/>
              </w:rPr>
            </w:pPr>
          </w:p>
          <w:p w14:paraId="589B3F54">
            <w:pPr>
              <w:spacing w:line="267" w:lineRule="auto"/>
              <w:rPr>
                <w:rFonts w:ascii="Arial"/>
                <w:sz w:val="21"/>
              </w:rPr>
            </w:pPr>
          </w:p>
          <w:p w14:paraId="29756289">
            <w:pPr>
              <w:spacing w:line="267" w:lineRule="auto"/>
              <w:rPr>
                <w:rFonts w:ascii="Arial"/>
                <w:sz w:val="21"/>
              </w:rPr>
            </w:pPr>
          </w:p>
          <w:p w14:paraId="6EDECB06">
            <w:pPr>
              <w:spacing w:line="268" w:lineRule="auto"/>
              <w:rPr>
                <w:rFonts w:ascii="Arial"/>
                <w:sz w:val="21"/>
              </w:rPr>
            </w:pPr>
          </w:p>
          <w:p w14:paraId="20273D7D">
            <w:pPr>
              <w:pStyle w:val="6"/>
              <w:spacing w:before="65" w:line="254" w:lineRule="auto"/>
              <w:ind w:left="111" w:right="111" w:firstLine="1"/>
            </w:pPr>
            <w:r>
              <w:rPr>
                <w:spacing w:val="7"/>
              </w:rPr>
              <w:t>其他因素评分标准</w:t>
            </w:r>
          </w:p>
        </w:tc>
        <w:tc>
          <w:tcPr>
            <w:tcW w:w="2084" w:type="dxa"/>
            <w:vAlign w:val="top"/>
          </w:tcPr>
          <w:p w14:paraId="521F296E">
            <w:pPr>
              <w:rPr>
                <w:rFonts w:ascii="Arial"/>
                <w:sz w:val="21"/>
              </w:rPr>
            </w:pPr>
          </w:p>
        </w:tc>
        <w:tc>
          <w:tcPr>
            <w:tcW w:w="735" w:type="dxa"/>
            <w:vAlign w:val="top"/>
          </w:tcPr>
          <w:p w14:paraId="6295E01D">
            <w:pPr>
              <w:rPr>
                <w:rFonts w:ascii="Arial"/>
                <w:sz w:val="21"/>
              </w:rPr>
            </w:pPr>
          </w:p>
        </w:tc>
        <w:tc>
          <w:tcPr>
            <w:tcW w:w="4562" w:type="dxa"/>
            <w:vAlign w:val="top"/>
          </w:tcPr>
          <w:p w14:paraId="44F5AFEF">
            <w:pPr>
              <w:pStyle w:val="6"/>
              <w:spacing w:before="39" w:line="251" w:lineRule="auto"/>
              <w:ind w:left="112" w:right="107"/>
              <w:jc w:val="both"/>
            </w:pPr>
            <w:r>
              <w:rPr>
                <w:spacing w:val="9"/>
              </w:rPr>
              <w:t>程（即房屋建筑或市政工程，下同</w:t>
            </w:r>
            <w:r>
              <w:rPr>
                <w:spacing w:val="-33"/>
              </w:rPr>
              <w:t>），</w:t>
            </w:r>
            <w:r>
              <w:rPr>
                <w:spacing w:val="9"/>
              </w:rPr>
              <w:t>近</w:t>
            </w:r>
            <w:r>
              <w:rPr>
                <w:spacing w:val="-32"/>
              </w:rPr>
              <w:t xml:space="preserve"> </w:t>
            </w:r>
            <w:r>
              <w:rPr>
                <w:spacing w:val="9"/>
              </w:rPr>
              <w:t>5</w:t>
            </w:r>
            <w:r>
              <w:rPr>
                <w:spacing w:val="-38"/>
              </w:rPr>
              <w:t xml:space="preserve"> </w:t>
            </w:r>
            <w:r>
              <w:rPr>
                <w:spacing w:val="9"/>
              </w:rPr>
              <w:t>年获</w:t>
            </w:r>
            <w:r>
              <w:rPr>
                <w:spacing w:val="-5"/>
              </w:rPr>
              <w:t>得“</w:t>
            </w:r>
            <w:r>
              <w:rPr>
                <w:spacing w:val="-55"/>
              </w:rPr>
              <w:t xml:space="preserve"> </w:t>
            </w:r>
            <w:r>
              <w:rPr>
                <w:spacing w:val="-5"/>
              </w:rPr>
              <w:t>中国建设工程鲁班奖（国家优质工程）”“中</w:t>
            </w:r>
            <w:r>
              <w:rPr>
                <w:spacing w:val="5"/>
              </w:rPr>
              <w:t>国土木工程詹天佑奖</w:t>
            </w:r>
            <w:r>
              <w:rPr>
                <w:spacing w:val="-68"/>
              </w:rPr>
              <w:t xml:space="preserve"> </w:t>
            </w:r>
            <w:r>
              <w:rPr>
                <w:spacing w:val="5"/>
              </w:rPr>
              <w:t>”“市政工程最高质量</w:t>
            </w:r>
            <w:r>
              <w:rPr>
                <w:spacing w:val="4"/>
              </w:rPr>
              <w:t>水平</w:t>
            </w:r>
            <w:r>
              <w:rPr>
                <w:spacing w:val="-2"/>
              </w:rPr>
              <w:t>评价</w:t>
            </w:r>
            <w:r>
              <w:rPr>
                <w:spacing w:val="-56"/>
              </w:rPr>
              <w:t xml:space="preserve"> </w:t>
            </w:r>
            <w:r>
              <w:rPr>
                <w:spacing w:val="-2"/>
              </w:rPr>
              <w:t>”“全国市政金杯示范工程</w:t>
            </w:r>
            <w:r>
              <w:rPr>
                <w:spacing w:val="-67"/>
              </w:rPr>
              <w:t xml:space="preserve"> </w:t>
            </w:r>
            <w:r>
              <w:rPr>
                <w:spacing w:val="-2"/>
              </w:rPr>
              <w:t>”“</w:t>
            </w:r>
            <w:r>
              <w:rPr>
                <w:rFonts w:ascii="Times New Roman" w:hAnsi="Times New Roman" w:eastAsia="Times New Roman" w:cs="Times New Roman"/>
                <w:spacing w:val="-2"/>
              </w:rPr>
              <w:t>AAA</w:t>
            </w:r>
            <w:r>
              <w:rPr>
                <w:rFonts w:ascii="Times New Roman" w:hAnsi="Times New Roman" w:eastAsia="Times New Roman" w:cs="Times New Roman"/>
                <w:spacing w:val="17"/>
              </w:rPr>
              <w:t xml:space="preserve"> </w:t>
            </w:r>
            <w:r>
              <w:rPr>
                <w:spacing w:val="-2"/>
              </w:rPr>
              <w:t>级安全</w:t>
            </w:r>
            <w:r>
              <w:rPr>
                <w:spacing w:val="5"/>
              </w:rPr>
              <w:t>文明标准化工地</w:t>
            </w:r>
            <w:r>
              <w:rPr>
                <w:spacing w:val="-70"/>
              </w:rPr>
              <w:t xml:space="preserve"> </w:t>
            </w:r>
            <w:r>
              <w:rPr>
                <w:spacing w:val="5"/>
              </w:rPr>
              <w:t>”“建设工程项目施工工地</w:t>
            </w:r>
            <w:r>
              <w:rPr>
                <w:spacing w:val="4"/>
              </w:rPr>
              <w:t>安全</w:t>
            </w:r>
            <w:r>
              <w:rPr>
                <w:spacing w:val="3"/>
              </w:rPr>
              <w:t>生产标准化学习交流项目</w:t>
            </w:r>
            <w:r>
              <w:rPr>
                <w:spacing w:val="-56"/>
              </w:rPr>
              <w:t xml:space="preserve"> </w:t>
            </w:r>
            <w:r>
              <w:rPr>
                <w:spacing w:val="3"/>
              </w:rPr>
              <w:t>”的每项得</w:t>
            </w:r>
            <w:r>
              <w:rPr>
                <w:spacing w:val="-39"/>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5"/>
              </w:rPr>
              <w:t xml:space="preserve"> </w:t>
            </w:r>
            <w:r>
              <w:rPr>
                <w:spacing w:val="3"/>
              </w:rPr>
              <w:t>分；获得</w:t>
            </w:r>
            <w:r>
              <w:rPr>
                <w:spacing w:val="6"/>
              </w:rPr>
              <w:t>省级优质工程奖（如楚天杯）或安全文明施工现</w:t>
            </w:r>
            <w:r>
              <w:rPr>
                <w:spacing w:val="5"/>
              </w:rPr>
              <w:t>场奖的每项得</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5"/>
              </w:rPr>
              <w:t xml:space="preserve"> </w:t>
            </w:r>
            <w:r>
              <w:rPr>
                <w:spacing w:val="5"/>
              </w:rPr>
              <w:t>分；获得地市级优质工程奖或安全文明施工现场奖的每项得</w:t>
            </w:r>
            <w:r>
              <w:rPr>
                <w:spacing w:val="-39"/>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17"/>
              </w:rPr>
              <w:t xml:space="preserve"> </w:t>
            </w:r>
            <w:r>
              <w:rPr>
                <w:spacing w:val="5"/>
              </w:rPr>
              <w:t>分。（同一工程获</w:t>
            </w:r>
            <w:r>
              <w:rPr>
                <w:spacing w:val="6"/>
              </w:rPr>
              <w:t>得不同级别奖项的，按级别高的奖项加分且不重</w:t>
            </w:r>
            <w:r>
              <w:rPr>
                <w:spacing w:val="5"/>
              </w:rPr>
              <w:t>复计分）</w:t>
            </w:r>
          </w:p>
          <w:p w14:paraId="58ED97F8">
            <w:pPr>
              <w:pStyle w:val="6"/>
              <w:spacing w:before="3" w:line="245" w:lineRule="auto"/>
              <w:ind w:left="112" w:right="55" w:firstLine="1"/>
              <w:jc w:val="both"/>
            </w:pPr>
            <w:r>
              <w:rPr>
                <w:rFonts w:ascii="Times New Roman" w:hAnsi="Times New Roman" w:eastAsia="Times New Roman" w:cs="Times New Roman"/>
                <w:spacing w:val="8"/>
              </w:rPr>
              <w:t>3</w:t>
            </w:r>
            <w:r>
              <w:rPr>
                <w:rFonts w:ascii="Times New Roman" w:hAnsi="Times New Roman" w:eastAsia="Times New Roman" w:cs="Times New Roman"/>
                <w:spacing w:val="-19"/>
              </w:rPr>
              <w:t xml:space="preserve"> </w:t>
            </w:r>
            <w:r>
              <w:rPr>
                <w:spacing w:val="8"/>
              </w:rPr>
              <w:t>．项目经理近</w:t>
            </w:r>
            <w:r>
              <w:rPr>
                <w:spacing w:val="-33"/>
              </w:rPr>
              <w:t xml:space="preserve"> </w:t>
            </w:r>
            <w:r>
              <w:rPr>
                <w:spacing w:val="8"/>
              </w:rPr>
              <w:t>5</w:t>
            </w:r>
            <w:r>
              <w:rPr>
                <w:spacing w:val="-34"/>
              </w:rPr>
              <w:t xml:space="preserve"> </w:t>
            </w:r>
            <w:r>
              <w:rPr>
                <w:spacing w:val="8"/>
              </w:rPr>
              <w:t>年获得省级优秀项目经理（或诚信项目经理，或优秀建造师）表彰的每项得</w:t>
            </w:r>
            <w:r>
              <w:rPr>
                <w:spacing w:val="-34"/>
              </w:rPr>
              <w:t xml:space="preserve"> </w:t>
            </w:r>
            <w:r>
              <w:rPr>
                <w:rFonts w:ascii="Times New Roman" w:hAnsi="Times New Roman" w:eastAsia="Times New Roman" w:cs="Times New Roman"/>
                <w:spacing w:val="8"/>
              </w:rPr>
              <w:t>2</w:t>
            </w:r>
            <w:r>
              <w:rPr>
                <w:spacing w:val="-1"/>
              </w:rPr>
              <w:t>分，获得地市级优秀项目经理（或诚信项目经理，</w:t>
            </w:r>
            <w:r>
              <w:rPr>
                <w:spacing w:val="4"/>
              </w:rPr>
              <w:t>或优秀建造师）表彰的每项得</w:t>
            </w:r>
            <w:r>
              <w:rPr>
                <w:spacing w:val="-16"/>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5"/>
              </w:rPr>
              <w:t xml:space="preserve"> </w:t>
            </w:r>
            <w:r>
              <w:rPr>
                <w:spacing w:val="4"/>
              </w:rPr>
              <w:t>分。（获得不同</w:t>
            </w:r>
            <w:r>
              <w:rPr>
                <w:spacing w:val="16"/>
              </w:rPr>
              <w:t>级别表彰的，按级别高的奖励加分且不重复计</w:t>
            </w:r>
            <w:r>
              <w:t>分）</w:t>
            </w:r>
          </w:p>
        </w:tc>
      </w:tr>
      <w:tr w14:paraId="05A193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9" w:hRule="atLeast"/>
        </w:trPr>
        <w:tc>
          <w:tcPr>
            <w:tcW w:w="745" w:type="dxa"/>
            <w:vMerge w:val="continue"/>
            <w:tcBorders>
              <w:top w:val="nil"/>
            </w:tcBorders>
            <w:vAlign w:val="top"/>
          </w:tcPr>
          <w:p w14:paraId="5E2B58FB">
            <w:pPr>
              <w:rPr>
                <w:rFonts w:ascii="Arial"/>
                <w:sz w:val="21"/>
              </w:rPr>
            </w:pPr>
          </w:p>
        </w:tc>
        <w:tc>
          <w:tcPr>
            <w:tcW w:w="1058" w:type="dxa"/>
            <w:vMerge w:val="continue"/>
            <w:tcBorders>
              <w:top w:val="nil"/>
            </w:tcBorders>
            <w:vAlign w:val="top"/>
          </w:tcPr>
          <w:p w14:paraId="77D6CF15">
            <w:pPr>
              <w:rPr>
                <w:rFonts w:ascii="Arial"/>
                <w:sz w:val="21"/>
              </w:rPr>
            </w:pPr>
          </w:p>
        </w:tc>
        <w:tc>
          <w:tcPr>
            <w:tcW w:w="2084" w:type="dxa"/>
            <w:vAlign w:val="top"/>
          </w:tcPr>
          <w:p w14:paraId="7BDE3223">
            <w:pPr>
              <w:spacing w:line="246" w:lineRule="auto"/>
              <w:rPr>
                <w:rFonts w:ascii="Arial"/>
                <w:sz w:val="21"/>
              </w:rPr>
            </w:pPr>
          </w:p>
          <w:p w14:paraId="191C9068">
            <w:pPr>
              <w:spacing w:line="247" w:lineRule="auto"/>
              <w:rPr>
                <w:rFonts w:ascii="Arial"/>
                <w:sz w:val="21"/>
              </w:rPr>
            </w:pPr>
          </w:p>
          <w:p w14:paraId="26F3CF02">
            <w:pPr>
              <w:spacing w:line="247" w:lineRule="auto"/>
              <w:rPr>
                <w:rFonts w:ascii="Arial"/>
                <w:sz w:val="21"/>
              </w:rPr>
            </w:pPr>
          </w:p>
          <w:p w14:paraId="648E15C1">
            <w:pPr>
              <w:spacing w:line="247" w:lineRule="auto"/>
              <w:rPr>
                <w:rFonts w:ascii="Arial"/>
                <w:sz w:val="21"/>
              </w:rPr>
            </w:pPr>
          </w:p>
          <w:p w14:paraId="000CDD99">
            <w:pPr>
              <w:spacing w:line="247" w:lineRule="auto"/>
              <w:rPr>
                <w:rFonts w:ascii="Arial"/>
                <w:sz w:val="21"/>
              </w:rPr>
            </w:pPr>
          </w:p>
          <w:p w14:paraId="024415AF">
            <w:pPr>
              <w:spacing w:line="247" w:lineRule="auto"/>
              <w:rPr>
                <w:rFonts w:ascii="Arial"/>
                <w:sz w:val="21"/>
              </w:rPr>
            </w:pPr>
          </w:p>
          <w:p w14:paraId="6F8202D4">
            <w:pPr>
              <w:spacing w:line="247" w:lineRule="auto"/>
              <w:rPr>
                <w:rFonts w:ascii="Arial"/>
                <w:sz w:val="21"/>
              </w:rPr>
            </w:pPr>
          </w:p>
          <w:p w14:paraId="74B73950">
            <w:pPr>
              <w:pStyle w:val="6"/>
              <w:spacing w:before="65" w:line="251" w:lineRule="auto"/>
              <w:ind w:left="111" w:right="296"/>
            </w:pPr>
            <w:r>
              <w:rPr>
                <w:spacing w:val="5"/>
              </w:rPr>
              <w:t>近</w:t>
            </w:r>
            <w:r>
              <w:rPr>
                <w:spacing w:val="-34"/>
              </w:rPr>
              <w:t xml:space="preserve"> </w:t>
            </w:r>
            <w:r>
              <w:rPr>
                <w:spacing w:val="5"/>
              </w:rPr>
              <w:t>5</w:t>
            </w:r>
            <w:r>
              <w:rPr>
                <w:spacing w:val="-37"/>
              </w:rPr>
              <w:t xml:space="preserve"> </w:t>
            </w:r>
            <w:r>
              <w:rPr>
                <w:spacing w:val="5"/>
              </w:rPr>
              <w:t>年工程奖项、</w:t>
            </w:r>
            <w:r>
              <w:rPr>
                <w:spacing w:val="8"/>
              </w:rPr>
              <w:t>项目经理工程奖项</w:t>
            </w:r>
            <w:r>
              <w:rPr>
                <w:spacing w:val="7"/>
              </w:rPr>
              <w:t>及表彰</w:t>
            </w:r>
          </w:p>
          <w:p w14:paraId="6F99CA79">
            <w:pPr>
              <w:pStyle w:val="6"/>
              <w:spacing w:before="1" w:line="253" w:lineRule="auto"/>
              <w:ind w:left="115" w:right="296" w:firstLine="7"/>
            </w:pPr>
            <w:r>
              <w:rPr>
                <w:spacing w:val="7"/>
              </w:rPr>
              <w:t>（适用于建筑装饰或幕墙专业招标）</w:t>
            </w:r>
          </w:p>
        </w:tc>
        <w:tc>
          <w:tcPr>
            <w:tcW w:w="735" w:type="dxa"/>
            <w:vAlign w:val="top"/>
          </w:tcPr>
          <w:p w14:paraId="30E25D8A">
            <w:pPr>
              <w:spacing w:line="251" w:lineRule="auto"/>
              <w:rPr>
                <w:rFonts w:ascii="Arial"/>
                <w:sz w:val="21"/>
              </w:rPr>
            </w:pPr>
          </w:p>
          <w:p w14:paraId="0B8E219A">
            <w:pPr>
              <w:spacing w:line="252" w:lineRule="auto"/>
              <w:rPr>
                <w:rFonts w:ascii="Arial"/>
                <w:sz w:val="21"/>
              </w:rPr>
            </w:pPr>
          </w:p>
          <w:p w14:paraId="30C0D34E">
            <w:pPr>
              <w:spacing w:line="252" w:lineRule="auto"/>
              <w:rPr>
                <w:rFonts w:ascii="Arial"/>
                <w:sz w:val="21"/>
              </w:rPr>
            </w:pPr>
          </w:p>
          <w:p w14:paraId="01C4ED9E">
            <w:pPr>
              <w:spacing w:line="252" w:lineRule="auto"/>
              <w:rPr>
                <w:rFonts w:ascii="Arial"/>
                <w:sz w:val="21"/>
              </w:rPr>
            </w:pPr>
          </w:p>
          <w:p w14:paraId="33156DD9">
            <w:pPr>
              <w:spacing w:line="252" w:lineRule="auto"/>
              <w:rPr>
                <w:rFonts w:ascii="Arial"/>
                <w:sz w:val="21"/>
              </w:rPr>
            </w:pPr>
          </w:p>
          <w:p w14:paraId="568DB9BD">
            <w:pPr>
              <w:spacing w:line="252" w:lineRule="auto"/>
              <w:rPr>
                <w:rFonts w:ascii="Arial"/>
                <w:sz w:val="21"/>
              </w:rPr>
            </w:pPr>
          </w:p>
          <w:p w14:paraId="693FB0BA">
            <w:pPr>
              <w:spacing w:line="252" w:lineRule="auto"/>
              <w:rPr>
                <w:rFonts w:ascii="Arial"/>
                <w:sz w:val="21"/>
              </w:rPr>
            </w:pPr>
          </w:p>
          <w:p w14:paraId="5F797A17">
            <w:pPr>
              <w:spacing w:line="252" w:lineRule="auto"/>
              <w:rPr>
                <w:rFonts w:ascii="Arial"/>
                <w:sz w:val="21"/>
              </w:rPr>
            </w:pPr>
          </w:p>
          <w:p w14:paraId="5AED0328">
            <w:pPr>
              <w:spacing w:line="252" w:lineRule="auto"/>
              <w:rPr>
                <w:rFonts w:ascii="Arial"/>
                <w:sz w:val="21"/>
              </w:rPr>
            </w:pPr>
          </w:p>
          <w:p w14:paraId="5906DA17">
            <w:pPr>
              <w:pStyle w:val="6"/>
              <w:spacing w:before="65" w:line="228" w:lineRule="auto"/>
              <w:ind w:left="187"/>
            </w:pPr>
            <w:r>
              <w:rPr>
                <w:spacing w:val="-2"/>
              </w:rPr>
              <w:t>4</w:t>
            </w:r>
            <w:r>
              <w:rPr>
                <w:spacing w:val="-36"/>
              </w:rPr>
              <w:t xml:space="preserve"> </w:t>
            </w:r>
            <w:r>
              <w:rPr>
                <w:spacing w:val="-2"/>
              </w:rPr>
              <w:t>分</w:t>
            </w:r>
          </w:p>
        </w:tc>
        <w:tc>
          <w:tcPr>
            <w:tcW w:w="4562" w:type="dxa"/>
            <w:vAlign w:val="top"/>
          </w:tcPr>
          <w:p w14:paraId="4CB47561">
            <w:pPr>
              <w:pStyle w:val="6"/>
              <w:spacing w:before="28" w:line="252" w:lineRule="auto"/>
              <w:ind w:left="112" w:right="107" w:firstLine="17"/>
            </w:pPr>
            <w:r>
              <w:rPr>
                <w:rFonts w:ascii="Times New Roman" w:hAnsi="Times New Roman" w:eastAsia="Times New Roman" w:cs="Times New Roman"/>
                <w:spacing w:val="11"/>
              </w:rPr>
              <w:t xml:space="preserve">1.  </w:t>
            </w:r>
            <w:r>
              <w:rPr>
                <w:spacing w:val="11"/>
              </w:rPr>
              <w:t>投标人完成的与招标项目同类别工程（即公</w:t>
            </w:r>
            <w:r>
              <w:rPr>
                <w:spacing w:val="9"/>
              </w:rPr>
              <w:t>共建筑装饰或建筑幕墙工程</w:t>
            </w:r>
            <w:r>
              <w:rPr>
                <w:spacing w:val="-33"/>
              </w:rPr>
              <w:t>），</w:t>
            </w:r>
            <w:r>
              <w:rPr>
                <w:spacing w:val="9"/>
              </w:rPr>
              <w:t>近</w:t>
            </w:r>
            <w:r>
              <w:rPr>
                <w:spacing w:val="-33"/>
              </w:rPr>
              <w:t xml:space="preserve"> </w:t>
            </w:r>
            <w:r>
              <w:rPr>
                <w:spacing w:val="9"/>
              </w:rPr>
              <w:t>5</w:t>
            </w:r>
            <w:r>
              <w:rPr>
                <w:spacing w:val="-37"/>
              </w:rPr>
              <w:t xml:space="preserve"> </w:t>
            </w:r>
            <w:r>
              <w:rPr>
                <w:spacing w:val="9"/>
              </w:rPr>
              <w:t>年获得中国</w:t>
            </w:r>
            <w:r>
              <w:rPr>
                <w:spacing w:val="5"/>
              </w:rPr>
              <w:t>建筑装饰协会颁发的“</w:t>
            </w:r>
            <w:r>
              <w:rPr>
                <w:spacing w:val="-70"/>
              </w:rPr>
              <w:t xml:space="preserve"> </w:t>
            </w:r>
            <w:r>
              <w:rPr>
                <w:spacing w:val="5"/>
              </w:rPr>
              <w:t>中国建筑工程装饰奖（公</w:t>
            </w:r>
            <w:r>
              <w:rPr>
                <w:spacing w:val="-4"/>
              </w:rPr>
              <w:t>共建筑装饰类、建筑幕墙类）”, 每项得</w:t>
            </w:r>
            <w:r>
              <w:rPr>
                <w:spacing w:val="-37"/>
              </w:rPr>
              <w:t xml:space="preserve"> </w:t>
            </w:r>
            <w:r>
              <w:rPr>
                <w:rFonts w:ascii="Times New Roman" w:hAnsi="Times New Roman" w:eastAsia="Times New Roman" w:cs="Times New Roman"/>
                <w:spacing w:val="-4"/>
              </w:rPr>
              <w:t>4</w:t>
            </w:r>
            <w:r>
              <w:rPr>
                <w:rFonts w:ascii="Times New Roman" w:hAnsi="Times New Roman" w:eastAsia="Times New Roman" w:cs="Times New Roman"/>
                <w:spacing w:val="14"/>
                <w:w w:val="101"/>
              </w:rPr>
              <w:t xml:space="preserve"> </w:t>
            </w:r>
            <w:r>
              <w:rPr>
                <w:spacing w:val="-4"/>
              </w:rPr>
              <w:t>分；获</w:t>
            </w:r>
            <w:r>
              <w:rPr>
                <w:spacing w:val="6"/>
              </w:rPr>
              <w:t>得省级建筑装饰协会颁发的“省优质（优秀、优良）建筑装饰工程（公共建筑装饰工程、建筑幕</w:t>
            </w:r>
            <w:r>
              <w:rPr>
                <w:spacing w:val="-10"/>
              </w:rPr>
              <w:t>墙工程）”（如装饰楚天杯</w:t>
            </w:r>
            <w:r>
              <w:rPr>
                <w:spacing w:val="-42"/>
              </w:rPr>
              <w:t>），</w:t>
            </w:r>
            <w:r>
              <w:rPr>
                <w:spacing w:val="-10"/>
              </w:rPr>
              <w:t>每项得</w:t>
            </w:r>
            <w:r>
              <w:rPr>
                <w:spacing w:val="-38"/>
              </w:rPr>
              <w:t xml:space="preserve"> </w:t>
            </w:r>
            <w:r>
              <w:rPr>
                <w:rFonts w:ascii="Times New Roman" w:hAnsi="Times New Roman" w:eastAsia="Times New Roman" w:cs="Times New Roman"/>
                <w:spacing w:val="-10"/>
              </w:rPr>
              <w:t>3</w:t>
            </w:r>
            <w:r>
              <w:rPr>
                <w:rFonts w:ascii="Times New Roman" w:hAnsi="Times New Roman" w:eastAsia="Times New Roman" w:cs="Times New Roman"/>
                <w:spacing w:val="15"/>
              </w:rPr>
              <w:t xml:space="preserve"> </w:t>
            </w:r>
            <w:r>
              <w:rPr>
                <w:spacing w:val="-10"/>
              </w:rPr>
              <w:t>分。（同一</w:t>
            </w:r>
            <w:r>
              <w:rPr>
                <w:spacing w:val="6"/>
              </w:rPr>
              <w:t>工程获得不同级别奖项的，按级别高的奖项加分</w:t>
            </w:r>
            <w:r>
              <w:rPr>
                <w:spacing w:val="7"/>
              </w:rPr>
              <w:t>且不重复计分）</w:t>
            </w:r>
          </w:p>
          <w:p w14:paraId="10274033">
            <w:pPr>
              <w:pStyle w:val="6"/>
              <w:spacing w:before="5" w:line="247" w:lineRule="auto"/>
              <w:ind w:left="111" w:right="22" w:hanging="2"/>
            </w:pPr>
            <w:r>
              <w:rPr>
                <w:rFonts w:ascii="Times New Roman" w:hAnsi="Times New Roman" w:eastAsia="Times New Roman" w:cs="Times New Roman"/>
                <w:spacing w:val="11"/>
              </w:rPr>
              <w:t>2.</w:t>
            </w:r>
            <w:r>
              <w:rPr>
                <w:rFonts w:ascii="Times New Roman" w:hAnsi="Times New Roman" w:eastAsia="Times New Roman" w:cs="Times New Roman"/>
                <w:spacing w:val="27"/>
                <w:w w:val="101"/>
              </w:rPr>
              <w:t xml:space="preserve">  </w:t>
            </w:r>
            <w:r>
              <w:rPr>
                <w:spacing w:val="11"/>
              </w:rPr>
              <w:t>以项目经理身份完成的同类别工程（即公共</w:t>
            </w:r>
            <w:r>
              <w:rPr>
                <w:spacing w:val="9"/>
              </w:rPr>
              <w:t>建筑装饰或建筑幕墙工程</w:t>
            </w:r>
            <w:r>
              <w:rPr>
                <w:spacing w:val="-36"/>
              </w:rPr>
              <w:t>），</w:t>
            </w:r>
            <w:r>
              <w:rPr>
                <w:spacing w:val="9"/>
              </w:rPr>
              <w:t>近</w:t>
            </w:r>
            <w:r>
              <w:rPr>
                <w:spacing w:val="-31"/>
              </w:rPr>
              <w:t xml:space="preserve"> </w:t>
            </w:r>
            <w:r>
              <w:rPr>
                <w:spacing w:val="9"/>
              </w:rPr>
              <w:t>5</w:t>
            </w:r>
            <w:r>
              <w:rPr>
                <w:spacing w:val="-35"/>
              </w:rPr>
              <w:t xml:space="preserve"> </w:t>
            </w:r>
            <w:r>
              <w:rPr>
                <w:spacing w:val="9"/>
              </w:rPr>
              <w:t>年获得中国建</w:t>
            </w:r>
            <w:r>
              <w:rPr>
                <w:spacing w:val="5"/>
              </w:rPr>
              <w:t>筑装饰协会颁发的“</w:t>
            </w:r>
            <w:r>
              <w:rPr>
                <w:spacing w:val="-70"/>
              </w:rPr>
              <w:t xml:space="preserve"> </w:t>
            </w:r>
            <w:r>
              <w:rPr>
                <w:spacing w:val="5"/>
              </w:rPr>
              <w:t>中国建筑工程装饰奖（</w:t>
            </w:r>
            <w:r>
              <w:rPr>
                <w:spacing w:val="4"/>
              </w:rPr>
              <w:t>公共</w:t>
            </w:r>
            <w:r>
              <w:rPr>
                <w:spacing w:val="-4"/>
              </w:rPr>
              <w:t>建筑装饰类、建筑幕墙类）”, 每项得</w:t>
            </w:r>
            <w:r>
              <w:rPr>
                <w:spacing w:val="-40"/>
              </w:rPr>
              <w:t xml:space="preserve"> </w:t>
            </w:r>
            <w:r>
              <w:rPr>
                <w:rFonts w:ascii="Times New Roman" w:hAnsi="Times New Roman" w:eastAsia="Times New Roman" w:cs="Times New Roman"/>
                <w:spacing w:val="-4"/>
              </w:rPr>
              <w:t>4</w:t>
            </w:r>
            <w:r>
              <w:rPr>
                <w:rFonts w:ascii="Times New Roman" w:hAnsi="Times New Roman" w:eastAsia="Times New Roman" w:cs="Times New Roman"/>
                <w:spacing w:val="15"/>
              </w:rPr>
              <w:t xml:space="preserve"> </w:t>
            </w:r>
            <w:r>
              <w:rPr>
                <w:spacing w:val="-4"/>
              </w:rPr>
              <w:t>分；获得</w:t>
            </w:r>
            <w:r>
              <w:rPr>
                <w:spacing w:val="1"/>
              </w:rPr>
              <w:t>省级建筑装饰协会颁发的“省优质（优秀、优</w:t>
            </w:r>
            <w:r>
              <w:t>良）</w:t>
            </w:r>
            <w:r>
              <w:rPr>
                <w:spacing w:val="6"/>
              </w:rPr>
              <w:t>建筑装饰工程（公共建筑装饰工程、建筑幕墙工</w:t>
            </w:r>
            <w:r>
              <w:rPr>
                <w:spacing w:val="-10"/>
              </w:rPr>
              <w:t>程）”（如装饰楚天杯</w:t>
            </w:r>
            <w:r>
              <w:rPr>
                <w:spacing w:val="-42"/>
              </w:rPr>
              <w:t>），</w:t>
            </w:r>
            <w:r>
              <w:rPr>
                <w:spacing w:val="-10"/>
              </w:rPr>
              <w:t>每项得</w:t>
            </w:r>
            <w:r>
              <w:rPr>
                <w:spacing w:val="-38"/>
              </w:rPr>
              <w:t xml:space="preserve"> </w:t>
            </w:r>
            <w:r>
              <w:rPr>
                <w:rFonts w:ascii="Times New Roman" w:hAnsi="Times New Roman" w:eastAsia="Times New Roman" w:cs="Times New Roman"/>
                <w:spacing w:val="-10"/>
              </w:rPr>
              <w:t>3</w:t>
            </w:r>
            <w:r>
              <w:rPr>
                <w:rFonts w:ascii="Times New Roman" w:hAnsi="Times New Roman" w:eastAsia="Times New Roman" w:cs="Times New Roman"/>
                <w:spacing w:val="15"/>
              </w:rPr>
              <w:t xml:space="preserve"> </w:t>
            </w:r>
            <w:r>
              <w:rPr>
                <w:spacing w:val="-10"/>
              </w:rPr>
              <w:t>分。（同一工程</w:t>
            </w:r>
            <w:r>
              <w:rPr>
                <w:spacing w:val="6"/>
              </w:rPr>
              <w:t>获得不同级别奖项的，按级别高的奖项加分且不重复计分）</w:t>
            </w:r>
          </w:p>
        </w:tc>
      </w:tr>
    </w:tbl>
    <w:p w14:paraId="6B43960B">
      <w:pPr>
        <w:spacing w:before="302" w:line="252" w:lineRule="auto"/>
        <w:ind w:left="643" w:right="190" w:hanging="628"/>
        <w:rPr>
          <w:rFonts w:ascii="宋体" w:hAnsi="宋体" w:eastAsia="宋体" w:cs="宋体"/>
          <w:sz w:val="20"/>
          <w:szCs w:val="20"/>
        </w:rPr>
      </w:pPr>
      <w:r>
        <w:rPr>
          <w:rFonts w:ascii="宋体" w:hAnsi="宋体" w:eastAsia="宋体" w:cs="宋体"/>
          <w:spacing w:val="1"/>
          <w:sz w:val="20"/>
          <w:szCs w:val="20"/>
        </w:rPr>
        <w:t>备注：</w:t>
      </w:r>
      <w:r>
        <w:rPr>
          <w:rFonts w:ascii="宋体" w:hAnsi="宋体" w:eastAsia="宋体" w:cs="宋体"/>
          <w:spacing w:val="-29"/>
          <w:sz w:val="20"/>
          <w:szCs w:val="20"/>
        </w:rPr>
        <w:t xml:space="preserve"> </w:t>
      </w:r>
      <w:r>
        <w:rPr>
          <w:rFonts w:ascii="宋体" w:hAnsi="宋体" w:eastAsia="宋体" w:cs="宋体"/>
          <w:spacing w:val="1"/>
          <w:sz w:val="20"/>
          <w:szCs w:val="20"/>
        </w:rPr>
        <w:t>根据《关于建立部分专业技术类职业资格与职称对应关系的通知（鄂人社发〔</w:t>
      </w:r>
      <w:r>
        <w:rPr>
          <w:rFonts w:ascii="Times New Roman" w:hAnsi="Times New Roman" w:eastAsia="Times New Roman" w:cs="Times New Roman"/>
          <w:spacing w:val="1"/>
          <w:sz w:val="20"/>
          <w:szCs w:val="20"/>
        </w:rPr>
        <w:t>2018</w:t>
      </w:r>
      <w:r>
        <w:rPr>
          <w:rFonts w:ascii="宋体" w:hAnsi="宋体" w:eastAsia="宋体" w:cs="宋体"/>
          <w:spacing w:val="1"/>
          <w:sz w:val="20"/>
          <w:szCs w:val="20"/>
        </w:rPr>
        <w:t>〕</w:t>
      </w:r>
      <w:r>
        <w:rPr>
          <w:rFonts w:ascii="Times New Roman" w:hAnsi="Times New Roman" w:eastAsia="Times New Roman" w:cs="Times New Roman"/>
          <w:spacing w:val="1"/>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1"/>
          <w:sz w:val="20"/>
          <w:szCs w:val="20"/>
        </w:rPr>
        <w:t>号）》</w:t>
      </w:r>
      <w:r>
        <w:rPr>
          <w:rFonts w:ascii="宋体" w:hAnsi="宋体" w:eastAsia="宋体" w:cs="宋体"/>
          <w:sz w:val="20"/>
          <w:szCs w:val="20"/>
        </w:rPr>
        <w:t xml:space="preserve"> </w:t>
      </w:r>
      <w:r>
        <w:rPr>
          <w:rFonts w:ascii="宋体" w:hAnsi="宋体" w:eastAsia="宋体" w:cs="宋体"/>
          <w:spacing w:val="9"/>
          <w:sz w:val="20"/>
          <w:szCs w:val="20"/>
        </w:rPr>
        <w:t>《住房城乡建设部 交通运输部 水利部 人力资源社会保障部关于</w:t>
      </w:r>
      <w:r>
        <w:rPr>
          <w:rFonts w:ascii="宋体" w:hAnsi="宋体" w:eastAsia="宋体" w:cs="宋体"/>
          <w:spacing w:val="8"/>
          <w:sz w:val="20"/>
          <w:szCs w:val="20"/>
        </w:rPr>
        <w:t>印发〈造价工程师职业资</w:t>
      </w:r>
      <w:r>
        <w:rPr>
          <w:rFonts w:ascii="宋体" w:hAnsi="宋体" w:eastAsia="宋体" w:cs="宋体"/>
          <w:spacing w:val="2"/>
          <w:sz w:val="20"/>
          <w:szCs w:val="20"/>
        </w:rPr>
        <w:t>格制度规定〉〈造价工程师职业资格考试实施办法〉的通知（建人〔</w:t>
      </w:r>
      <w:r>
        <w:rPr>
          <w:rFonts w:ascii="Times New Roman" w:hAnsi="Times New Roman" w:eastAsia="Times New Roman" w:cs="Times New Roman"/>
          <w:spacing w:val="2"/>
          <w:sz w:val="20"/>
          <w:szCs w:val="20"/>
        </w:rPr>
        <w:t>2018</w:t>
      </w:r>
      <w:r>
        <w:rPr>
          <w:rFonts w:ascii="宋体" w:hAnsi="宋体" w:eastAsia="宋体" w:cs="宋体"/>
          <w:spacing w:val="2"/>
          <w:sz w:val="20"/>
          <w:szCs w:val="20"/>
        </w:rPr>
        <w:t>〕</w:t>
      </w:r>
      <w:r>
        <w:rPr>
          <w:rFonts w:ascii="Times New Roman" w:hAnsi="Times New Roman" w:eastAsia="Times New Roman" w:cs="Times New Roman"/>
          <w:spacing w:val="2"/>
          <w:sz w:val="20"/>
          <w:szCs w:val="20"/>
        </w:rPr>
        <w:t>67</w:t>
      </w:r>
      <w:r>
        <w:rPr>
          <w:rFonts w:ascii="Times New Roman" w:hAnsi="Times New Roman" w:eastAsia="Times New Roman" w:cs="Times New Roman"/>
          <w:spacing w:val="16"/>
          <w:sz w:val="20"/>
          <w:szCs w:val="20"/>
        </w:rPr>
        <w:t xml:space="preserve"> </w:t>
      </w:r>
      <w:r>
        <w:rPr>
          <w:rFonts w:ascii="宋体" w:hAnsi="宋体" w:eastAsia="宋体" w:cs="宋体"/>
          <w:spacing w:val="2"/>
          <w:sz w:val="20"/>
          <w:szCs w:val="20"/>
        </w:rPr>
        <w:t>号）》等文件，</w:t>
      </w:r>
      <w:r>
        <w:rPr>
          <w:rFonts w:ascii="宋体" w:hAnsi="宋体" w:eastAsia="宋体" w:cs="宋体"/>
          <w:spacing w:val="12"/>
          <w:sz w:val="20"/>
          <w:szCs w:val="20"/>
        </w:rPr>
        <w:t>一级造价工程师、一级注册建筑师、一级建造师、一级注册结构工</w:t>
      </w:r>
      <w:r>
        <w:rPr>
          <w:rFonts w:ascii="宋体" w:hAnsi="宋体" w:eastAsia="宋体" w:cs="宋体"/>
          <w:spacing w:val="11"/>
          <w:sz w:val="20"/>
          <w:szCs w:val="20"/>
        </w:rPr>
        <w:t>程师、其他勘察设计注</w:t>
      </w:r>
      <w:r>
        <w:rPr>
          <w:rFonts w:ascii="宋体" w:hAnsi="宋体" w:eastAsia="宋体" w:cs="宋体"/>
          <w:spacing w:val="12"/>
          <w:sz w:val="20"/>
          <w:szCs w:val="20"/>
        </w:rPr>
        <w:t>册工程师等，其职业资格直接对应相应系列的中级职称。二级造价工程师</w:t>
      </w:r>
      <w:r>
        <w:rPr>
          <w:rFonts w:ascii="宋体" w:hAnsi="宋体" w:eastAsia="宋体" w:cs="宋体"/>
          <w:spacing w:val="11"/>
          <w:sz w:val="20"/>
          <w:szCs w:val="20"/>
        </w:rPr>
        <w:t>、二级注册建筑</w:t>
      </w:r>
      <w:r>
        <w:rPr>
          <w:rFonts w:ascii="宋体" w:hAnsi="宋体" w:eastAsia="宋体" w:cs="宋体"/>
          <w:spacing w:val="9"/>
          <w:sz w:val="20"/>
          <w:szCs w:val="20"/>
        </w:rPr>
        <w:t>师、二级建造师、二级注册结构工程师等，其职业资格直接对应相应系列的初级职称。</w:t>
      </w:r>
    </w:p>
    <w:p w14:paraId="0932F15D">
      <w:pPr>
        <w:spacing w:line="252" w:lineRule="auto"/>
        <w:rPr>
          <w:rFonts w:ascii="宋体" w:hAnsi="宋体" w:eastAsia="宋体" w:cs="宋体"/>
          <w:sz w:val="20"/>
          <w:szCs w:val="20"/>
        </w:rPr>
        <w:sectPr>
          <w:footerReference r:id="rId74" w:type="default"/>
          <w:pgSz w:w="11907" w:h="16840"/>
          <w:pgMar w:top="400" w:right="1248" w:bottom="1035" w:left="1469" w:header="0" w:footer="785" w:gutter="0"/>
          <w:cols w:space="720" w:num="1"/>
        </w:sectPr>
      </w:pPr>
    </w:p>
    <w:p w14:paraId="7A11F8F7">
      <w:pPr>
        <w:spacing w:line="276" w:lineRule="auto"/>
        <w:rPr>
          <w:rFonts w:ascii="Arial"/>
          <w:sz w:val="21"/>
        </w:rPr>
      </w:pPr>
    </w:p>
    <w:p w14:paraId="7CAC2D0B">
      <w:pPr>
        <w:spacing w:line="276" w:lineRule="auto"/>
        <w:rPr>
          <w:rFonts w:ascii="Arial"/>
          <w:sz w:val="21"/>
        </w:rPr>
      </w:pPr>
    </w:p>
    <w:p w14:paraId="1F96361C">
      <w:pPr>
        <w:spacing w:line="276" w:lineRule="auto"/>
        <w:rPr>
          <w:rFonts w:ascii="Arial"/>
          <w:sz w:val="21"/>
        </w:rPr>
      </w:pPr>
    </w:p>
    <w:p w14:paraId="31702CFD">
      <w:pPr>
        <w:spacing w:line="276" w:lineRule="auto"/>
        <w:rPr>
          <w:rFonts w:ascii="Arial"/>
          <w:sz w:val="21"/>
        </w:rPr>
      </w:pPr>
    </w:p>
    <w:p w14:paraId="0FCCA2D9">
      <w:pPr>
        <w:spacing w:line="276" w:lineRule="auto"/>
        <w:rPr>
          <w:rFonts w:ascii="Arial"/>
          <w:sz w:val="21"/>
        </w:rPr>
      </w:pPr>
    </w:p>
    <w:p w14:paraId="0F8819B8">
      <w:pPr>
        <w:pStyle w:val="2"/>
        <w:spacing w:before="91" w:line="222" w:lineRule="auto"/>
        <w:ind w:left="14"/>
        <w:outlineLvl w:val="1"/>
        <w:rPr>
          <w:sz w:val="28"/>
          <w:szCs w:val="28"/>
        </w:rPr>
      </w:pPr>
      <w:bookmarkStart w:id="100" w:name="bookmark91"/>
      <w:bookmarkEnd w:id="100"/>
      <w:r>
        <w:rPr>
          <w:spacing w:val="1"/>
          <w:sz w:val="28"/>
          <w:szCs w:val="28"/>
        </w:rPr>
        <w:t>评标办法前附表（办法三</w:t>
      </w:r>
      <w:r>
        <w:rPr>
          <w:spacing w:val="-55"/>
          <w:w w:val="89"/>
          <w:sz w:val="28"/>
          <w:szCs w:val="28"/>
        </w:rPr>
        <w:t>）（</w:t>
      </w:r>
      <w:r>
        <w:rPr>
          <w:spacing w:val="1"/>
          <w:sz w:val="28"/>
          <w:szCs w:val="28"/>
        </w:rPr>
        <w:t>综合评估法）</w:t>
      </w:r>
    </w:p>
    <w:p w14:paraId="6AD3F66E">
      <w:pPr>
        <w:spacing w:before="105"/>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40C7F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03" w:type="dxa"/>
            <w:gridSpan w:val="2"/>
            <w:vAlign w:val="top"/>
          </w:tcPr>
          <w:p w14:paraId="65518C02">
            <w:pPr>
              <w:pStyle w:val="6"/>
              <w:spacing w:before="124" w:line="228" w:lineRule="auto"/>
              <w:ind w:left="592"/>
            </w:pPr>
            <w:r>
              <w:rPr>
                <w:b/>
                <w:bCs/>
                <w:spacing w:val="5"/>
              </w:rPr>
              <w:t>条款号</w:t>
            </w:r>
          </w:p>
        </w:tc>
        <w:tc>
          <w:tcPr>
            <w:tcW w:w="2339" w:type="dxa"/>
            <w:vAlign w:val="top"/>
          </w:tcPr>
          <w:p w14:paraId="1D929921">
            <w:pPr>
              <w:pStyle w:val="6"/>
              <w:spacing w:before="124" w:line="228" w:lineRule="auto"/>
              <w:ind w:left="752"/>
            </w:pPr>
            <w:r>
              <w:rPr>
                <w:b/>
                <w:bCs/>
                <w:spacing w:val="6"/>
              </w:rPr>
              <w:t>评审因素</w:t>
            </w:r>
          </w:p>
        </w:tc>
        <w:tc>
          <w:tcPr>
            <w:tcW w:w="5042" w:type="dxa"/>
            <w:vAlign w:val="top"/>
          </w:tcPr>
          <w:p w14:paraId="25F5CAA3">
            <w:pPr>
              <w:pStyle w:val="6"/>
              <w:spacing w:before="125" w:line="228" w:lineRule="auto"/>
              <w:ind w:left="2102"/>
            </w:pPr>
            <w:r>
              <w:rPr>
                <w:b/>
                <w:bCs/>
                <w:spacing w:val="6"/>
              </w:rPr>
              <w:t>评审标准</w:t>
            </w:r>
          </w:p>
        </w:tc>
      </w:tr>
      <w:tr w14:paraId="06481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7EA00E51">
            <w:pPr>
              <w:spacing w:line="258" w:lineRule="auto"/>
              <w:rPr>
                <w:rFonts w:ascii="Arial"/>
                <w:sz w:val="21"/>
              </w:rPr>
            </w:pPr>
          </w:p>
          <w:p w14:paraId="383ECEB4">
            <w:pPr>
              <w:spacing w:line="259" w:lineRule="auto"/>
              <w:rPr>
                <w:rFonts w:ascii="Arial"/>
                <w:sz w:val="21"/>
              </w:rPr>
            </w:pPr>
          </w:p>
          <w:p w14:paraId="128384D8">
            <w:pPr>
              <w:spacing w:line="259" w:lineRule="auto"/>
              <w:rPr>
                <w:rFonts w:ascii="Arial"/>
                <w:sz w:val="21"/>
              </w:rPr>
            </w:pPr>
          </w:p>
          <w:p w14:paraId="09BEFB5B">
            <w:pPr>
              <w:spacing w:line="259" w:lineRule="auto"/>
              <w:rPr>
                <w:rFonts w:ascii="Arial"/>
                <w:sz w:val="21"/>
              </w:rPr>
            </w:pPr>
          </w:p>
          <w:p w14:paraId="794080C2">
            <w:pPr>
              <w:spacing w:line="259" w:lineRule="auto"/>
              <w:rPr>
                <w:rFonts w:ascii="Arial"/>
                <w:sz w:val="21"/>
              </w:rPr>
            </w:pPr>
          </w:p>
          <w:p w14:paraId="518E0CB1">
            <w:pPr>
              <w:spacing w:line="259" w:lineRule="auto"/>
              <w:rPr>
                <w:rFonts w:ascii="Arial"/>
                <w:sz w:val="21"/>
              </w:rPr>
            </w:pPr>
          </w:p>
          <w:p w14:paraId="6B17963E">
            <w:pPr>
              <w:spacing w:line="259" w:lineRule="auto"/>
              <w:rPr>
                <w:rFonts w:ascii="Arial"/>
                <w:sz w:val="21"/>
              </w:rPr>
            </w:pPr>
          </w:p>
          <w:p w14:paraId="2C91DB70">
            <w:pPr>
              <w:spacing w:line="259" w:lineRule="auto"/>
              <w:rPr>
                <w:rFonts w:ascii="Arial"/>
                <w:sz w:val="21"/>
              </w:rPr>
            </w:pPr>
          </w:p>
          <w:p w14:paraId="083850F0">
            <w:pPr>
              <w:spacing w:line="259" w:lineRule="auto"/>
              <w:rPr>
                <w:rFonts w:ascii="Arial"/>
                <w:sz w:val="21"/>
              </w:rPr>
            </w:pPr>
          </w:p>
          <w:p w14:paraId="09B8BC2D">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5DF8C1A8">
            <w:pPr>
              <w:spacing w:line="244" w:lineRule="auto"/>
              <w:rPr>
                <w:rFonts w:ascii="Arial"/>
                <w:sz w:val="21"/>
              </w:rPr>
            </w:pPr>
          </w:p>
          <w:p w14:paraId="592CB559">
            <w:pPr>
              <w:spacing w:line="245" w:lineRule="auto"/>
              <w:rPr>
                <w:rFonts w:ascii="Arial"/>
                <w:sz w:val="21"/>
              </w:rPr>
            </w:pPr>
          </w:p>
          <w:p w14:paraId="1C6A97E2">
            <w:pPr>
              <w:spacing w:line="245" w:lineRule="auto"/>
              <w:rPr>
                <w:rFonts w:ascii="Arial"/>
                <w:sz w:val="21"/>
              </w:rPr>
            </w:pPr>
          </w:p>
          <w:p w14:paraId="2182DD35">
            <w:pPr>
              <w:spacing w:line="245" w:lineRule="auto"/>
              <w:rPr>
                <w:rFonts w:ascii="Arial"/>
                <w:sz w:val="21"/>
              </w:rPr>
            </w:pPr>
          </w:p>
          <w:p w14:paraId="666519F5">
            <w:pPr>
              <w:spacing w:line="245" w:lineRule="auto"/>
              <w:rPr>
                <w:rFonts w:ascii="Arial"/>
                <w:sz w:val="21"/>
              </w:rPr>
            </w:pPr>
          </w:p>
          <w:p w14:paraId="2EBFF132">
            <w:pPr>
              <w:spacing w:line="245" w:lineRule="auto"/>
              <w:rPr>
                <w:rFonts w:ascii="Arial"/>
                <w:sz w:val="21"/>
              </w:rPr>
            </w:pPr>
          </w:p>
          <w:p w14:paraId="7FD61DED">
            <w:pPr>
              <w:spacing w:line="245" w:lineRule="auto"/>
              <w:rPr>
                <w:rFonts w:ascii="Arial"/>
                <w:sz w:val="21"/>
              </w:rPr>
            </w:pPr>
          </w:p>
          <w:p w14:paraId="613BC6D5">
            <w:pPr>
              <w:spacing w:line="245" w:lineRule="auto"/>
              <w:rPr>
                <w:rFonts w:ascii="Arial"/>
                <w:sz w:val="21"/>
              </w:rPr>
            </w:pPr>
          </w:p>
          <w:p w14:paraId="7F739AB4">
            <w:pPr>
              <w:pStyle w:val="6"/>
              <w:spacing w:before="65" w:line="252" w:lineRule="auto"/>
              <w:ind w:left="322" w:right="320" w:firstLine="3"/>
              <w:jc w:val="both"/>
            </w:pPr>
            <w:r>
              <w:rPr>
                <w:spacing w:val="3"/>
              </w:rPr>
              <w:t>形式</w:t>
            </w:r>
            <w:r>
              <w:rPr>
                <w:spacing w:val="5"/>
              </w:rPr>
              <w:t>评审标准</w:t>
            </w:r>
          </w:p>
        </w:tc>
        <w:tc>
          <w:tcPr>
            <w:tcW w:w="2339" w:type="dxa"/>
            <w:vAlign w:val="top"/>
          </w:tcPr>
          <w:p w14:paraId="37A351A1">
            <w:pPr>
              <w:pStyle w:val="6"/>
              <w:spacing w:before="122" w:line="228" w:lineRule="auto"/>
              <w:ind w:left="115"/>
            </w:pPr>
            <w:r>
              <w:rPr>
                <w:spacing w:val="6"/>
              </w:rPr>
              <w:t>投标文件</w:t>
            </w:r>
          </w:p>
        </w:tc>
        <w:tc>
          <w:tcPr>
            <w:tcW w:w="5042" w:type="dxa"/>
            <w:vAlign w:val="top"/>
          </w:tcPr>
          <w:p w14:paraId="1CE20AA1">
            <w:pPr>
              <w:pStyle w:val="6"/>
              <w:spacing w:before="122" w:line="228" w:lineRule="auto"/>
              <w:ind w:left="116"/>
            </w:pPr>
            <w:r>
              <w:rPr>
                <w:spacing w:val="8"/>
              </w:rPr>
              <w:t>投标文件能正常打开</w:t>
            </w:r>
          </w:p>
        </w:tc>
      </w:tr>
      <w:tr w14:paraId="2F030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CC50B98">
            <w:pPr>
              <w:rPr>
                <w:rFonts w:ascii="Arial"/>
                <w:sz w:val="21"/>
              </w:rPr>
            </w:pPr>
          </w:p>
        </w:tc>
        <w:tc>
          <w:tcPr>
            <w:tcW w:w="1058" w:type="dxa"/>
            <w:vMerge w:val="continue"/>
            <w:tcBorders>
              <w:top w:val="nil"/>
              <w:bottom w:val="nil"/>
            </w:tcBorders>
            <w:vAlign w:val="top"/>
          </w:tcPr>
          <w:p w14:paraId="1B08F2D6">
            <w:pPr>
              <w:rPr>
                <w:rFonts w:ascii="Arial"/>
                <w:sz w:val="21"/>
              </w:rPr>
            </w:pPr>
          </w:p>
        </w:tc>
        <w:tc>
          <w:tcPr>
            <w:tcW w:w="2339" w:type="dxa"/>
            <w:vAlign w:val="top"/>
          </w:tcPr>
          <w:p w14:paraId="090BB486">
            <w:pPr>
              <w:pStyle w:val="6"/>
              <w:spacing w:before="122" w:line="228" w:lineRule="auto"/>
              <w:ind w:left="115"/>
            </w:pPr>
            <w:r>
              <w:rPr>
                <w:spacing w:val="7"/>
              </w:rPr>
              <w:t>投标人名称</w:t>
            </w:r>
          </w:p>
        </w:tc>
        <w:tc>
          <w:tcPr>
            <w:tcW w:w="5042" w:type="dxa"/>
            <w:vAlign w:val="top"/>
          </w:tcPr>
          <w:p w14:paraId="69174852">
            <w:pPr>
              <w:pStyle w:val="6"/>
              <w:spacing w:before="121" w:line="227" w:lineRule="auto"/>
              <w:ind w:left="117"/>
            </w:pPr>
            <w:r>
              <w:rPr>
                <w:spacing w:val="9"/>
              </w:rPr>
              <w:t>与营业执照、资质证书、安全生产许可证一致</w:t>
            </w:r>
          </w:p>
        </w:tc>
      </w:tr>
      <w:tr w14:paraId="37D22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45" w:type="dxa"/>
            <w:vMerge w:val="continue"/>
            <w:tcBorders>
              <w:top w:val="nil"/>
              <w:bottom w:val="nil"/>
            </w:tcBorders>
            <w:vAlign w:val="top"/>
          </w:tcPr>
          <w:p w14:paraId="2324AB12">
            <w:pPr>
              <w:rPr>
                <w:rFonts w:ascii="Arial"/>
                <w:sz w:val="21"/>
              </w:rPr>
            </w:pPr>
          </w:p>
        </w:tc>
        <w:tc>
          <w:tcPr>
            <w:tcW w:w="1058" w:type="dxa"/>
            <w:vMerge w:val="continue"/>
            <w:tcBorders>
              <w:top w:val="nil"/>
              <w:bottom w:val="nil"/>
            </w:tcBorders>
            <w:vAlign w:val="top"/>
          </w:tcPr>
          <w:p w14:paraId="035CC7C5">
            <w:pPr>
              <w:rPr>
                <w:rFonts w:ascii="Arial"/>
                <w:sz w:val="21"/>
              </w:rPr>
            </w:pPr>
          </w:p>
        </w:tc>
        <w:tc>
          <w:tcPr>
            <w:tcW w:w="2339" w:type="dxa"/>
            <w:vAlign w:val="top"/>
          </w:tcPr>
          <w:p w14:paraId="30495BCB">
            <w:pPr>
              <w:pStyle w:val="6"/>
              <w:spacing w:before="130" w:line="227" w:lineRule="auto"/>
              <w:ind w:left="115"/>
            </w:pPr>
            <w:r>
              <w:rPr>
                <w:spacing w:val="8"/>
              </w:rPr>
              <w:t>投标文件签字盖章</w:t>
            </w:r>
          </w:p>
        </w:tc>
        <w:tc>
          <w:tcPr>
            <w:tcW w:w="5042" w:type="dxa"/>
            <w:vAlign w:val="top"/>
          </w:tcPr>
          <w:p w14:paraId="27D40686">
            <w:pPr>
              <w:pStyle w:val="6"/>
              <w:spacing w:before="130"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713CEF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15C3E071">
            <w:pPr>
              <w:rPr>
                <w:rFonts w:ascii="Arial"/>
                <w:sz w:val="21"/>
              </w:rPr>
            </w:pPr>
          </w:p>
        </w:tc>
        <w:tc>
          <w:tcPr>
            <w:tcW w:w="1058" w:type="dxa"/>
            <w:vMerge w:val="continue"/>
            <w:tcBorders>
              <w:top w:val="nil"/>
              <w:bottom w:val="nil"/>
            </w:tcBorders>
            <w:vAlign w:val="top"/>
          </w:tcPr>
          <w:p w14:paraId="7A197A0D">
            <w:pPr>
              <w:rPr>
                <w:rFonts w:ascii="Arial"/>
                <w:sz w:val="21"/>
              </w:rPr>
            </w:pPr>
          </w:p>
        </w:tc>
        <w:tc>
          <w:tcPr>
            <w:tcW w:w="2339" w:type="dxa"/>
            <w:vAlign w:val="top"/>
          </w:tcPr>
          <w:p w14:paraId="49306327">
            <w:pPr>
              <w:pStyle w:val="6"/>
              <w:spacing w:before="167" w:line="228" w:lineRule="auto"/>
              <w:ind w:left="115"/>
            </w:pPr>
            <w:r>
              <w:rPr>
                <w:spacing w:val="8"/>
              </w:rPr>
              <w:t>投标文件格式、内容</w:t>
            </w:r>
          </w:p>
        </w:tc>
        <w:tc>
          <w:tcPr>
            <w:tcW w:w="5042" w:type="dxa"/>
            <w:vAlign w:val="top"/>
          </w:tcPr>
          <w:p w14:paraId="5DBB2187">
            <w:pPr>
              <w:pStyle w:val="6"/>
              <w:spacing w:before="32" w:line="234"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3EAE3E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D5415F6">
            <w:pPr>
              <w:rPr>
                <w:rFonts w:ascii="Arial"/>
                <w:sz w:val="21"/>
              </w:rPr>
            </w:pPr>
          </w:p>
        </w:tc>
        <w:tc>
          <w:tcPr>
            <w:tcW w:w="1058" w:type="dxa"/>
            <w:vMerge w:val="continue"/>
            <w:tcBorders>
              <w:top w:val="nil"/>
              <w:bottom w:val="nil"/>
            </w:tcBorders>
            <w:vAlign w:val="top"/>
          </w:tcPr>
          <w:p w14:paraId="68774157">
            <w:pPr>
              <w:rPr>
                <w:rFonts w:ascii="Arial"/>
                <w:sz w:val="21"/>
              </w:rPr>
            </w:pPr>
          </w:p>
        </w:tc>
        <w:tc>
          <w:tcPr>
            <w:tcW w:w="2339" w:type="dxa"/>
            <w:vAlign w:val="top"/>
          </w:tcPr>
          <w:p w14:paraId="4AA91ECD">
            <w:pPr>
              <w:pStyle w:val="6"/>
              <w:spacing w:before="123" w:line="228" w:lineRule="auto"/>
              <w:ind w:left="113"/>
            </w:pPr>
            <w:r>
              <w:rPr>
                <w:spacing w:val="7"/>
              </w:rPr>
              <w:t>联合体投标人（如有）</w:t>
            </w:r>
          </w:p>
        </w:tc>
        <w:tc>
          <w:tcPr>
            <w:tcW w:w="5042" w:type="dxa"/>
            <w:vAlign w:val="top"/>
          </w:tcPr>
          <w:p w14:paraId="7A3872B3">
            <w:pPr>
              <w:pStyle w:val="6"/>
              <w:spacing w:before="122" w:line="227" w:lineRule="auto"/>
              <w:ind w:left="114"/>
            </w:pPr>
            <w:r>
              <w:rPr>
                <w:spacing w:val="9"/>
              </w:rPr>
              <w:t>提交联合体协议书，并明确联合体牵头人</w:t>
            </w:r>
          </w:p>
        </w:tc>
      </w:tr>
      <w:tr w14:paraId="6614C7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52C21115">
            <w:pPr>
              <w:rPr>
                <w:rFonts w:ascii="Arial"/>
                <w:sz w:val="21"/>
              </w:rPr>
            </w:pPr>
          </w:p>
        </w:tc>
        <w:tc>
          <w:tcPr>
            <w:tcW w:w="1058" w:type="dxa"/>
            <w:vMerge w:val="continue"/>
            <w:tcBorders>
              <w:top w:val="nil"/>
              <w:bottom w:val="nil"/>
            </w:tcBorders>
            <w:vAlign w:val="top"/>
          </w:tcPr>
          <w:p w14:paraId="17CB1206">
            <w:pPr>
              <w:rPr>
                <w:rFonts w:ascii="Arial"/>
                <w:sz w:val="21"/>
              </w:rPr>
            </w:pPr>
          </w:p>
        </w:tc>
        <w:tc>
          <w:tcPr>
            <w:tcW w:w="2339" w:type="dxa"/>
            <w:vAlign w:val="top"/>
          </w:tcPr>
          <w:p w14:paraId="64298BD8">
            <w:pPr>
              <w:pStyle w:val="6"/>
              <w:spacing w:before="168" w:line="226" w:lineRule="auto"/>
              <w:ind w:left="110"/>
            </w:pPr>
            <w:r>
              <w:rPr>
                <w:spacing w:val="8"/>
              </w:rPr>
              <w:t>报价唯一</w:t>
            </w:r>
          </w:p>
        </w:tc>
        <w:tc>
          <w:tcPr>
            <w:tcW w:w="5042" w:type="dxa"/>
            <w:vAlign w:val="top"/>
          </w:tcPr>
          <w:p w14:paraId="1CE4DEA1">
            <w:pPr>
              <w:pStyle w:val="6"/>
              <w:spacing w:before="32" w:line="234" w:lineRule="auto"/>
              <w:ind w:left="114" w:right="109" w:firstLine="11"/>
            </w:pPr>
            <w:r>
              <w:rPr>
                <w:spacing w:val="18"/>
              </w:rPr>
              <w:t>只能有一个有效报价（指投标函中的大写投标总报</w:t>
            </w:r>
            <w:r>
              <w:t>价）</w:t>
            </w:r>
          </w:p>
        </w:tc>
      </w:tr>
      <w:tr w14:paraId="5BC78A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9BEFA14">
            <w:pPr>
              <w:rPr>
                <w:rFonts w:ascii="Arial"/>
                <w:sz w:val="21"/>
              </w:rPr>
            </w:pPr>
          </w:p>
        </w:tc>
        <w:tc>
          <w:tcPr>
            <w:tcW w:w="1058" w:type="dxa"/>
            <w:vMerge w:val="continue"/>
            <w:tcBorders>
              <w:top w:val="nil"/>
              <w:bottom w:val="nil"/>
            </w:tcBorders>
            <w:vAlign w:val="top"/>
          </w:tcPr>
          <w:p w14:paraId="6BF699EF">
            <w:pPr>
              <w:rPr>
                <w:rFonts w:ascii="Arial"/>
                <w:sz w:val="21"/>
              </w:rPr>
            </w:pPr>
          </w:p>
        </w:tc>
        <w:tc>
          <w:tcPr>
            <w:tcW w:w="2339" w:type="dxa"/>
            <w:vAlign w:val="top"/>
          </w:tcPr>
          <w:p w14:paraId="0EF8339A">
            <w:pPr>
              <w:pStyle w:val="6"/>
              <w:spacing w:before="179" w:line="228" w:lineRule="auto"/>
              <w:ind w:left="122"/>
            </w:pPr>
            <w:r>
              <w:rPr>
                <w:spacing w:val="6"/>
              </w:rPr>
              <w:t>多标段投标</w:t>
            </w:r>
          </w:p>
        </w:tc>
        <w:tc>
          <w:tcPr>
            <w:tcW w:w="5042" w:type="dxa"/>
            <w:vAlign w:val="top"/>
          </w:tcPr>
          <w:p w14:paraId="7EE52ABA">
            <w:pPr>
              <w:pStyle w:val="6"/>
              <w:spacing w:before="179"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2205FD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A3736CD">
            <w:pPr>
              <w:rPr>
                <w:rFonts w:ascii="Arial"/>
                <w:sz w:val="21"/>
              </w:rPr>
            </w:pPr>
          </w:p>
        </w:tc>
        <w:tc>
          <w:tcPr>
            <w:tcW w:w="1058" w:type="dxa"/>
            <w:vMerge w:val="continue"/>
            <w:tcBorders>
              <w:top w:val="nil"/>
              <w:bottom w:val="nil"/>
            </w:tcBorders>
            <w:vAlign w:val="top"/>
          </w:tcPr>
          <w:p w14:paraId="65B1177C">
            <w:pPr>
              <w:rPr>
                <w:rFonts w:ascii="Arial"/>
                <w:sz w:val="21"/>
              </w:rPr>
            </w:pPr>
          </w:p>
        </w:tc>
        <w:tc>
          <w:tcPr>
            <w:tcW w:w="2339" w:type="dxa"/>
            <w:vAlign w:val="top"/>
          </w:tcPr>
          <w:p w14:paraId="1ED992C6">
            <w:pPr>
              <w:pStyle w:val="6"/>
              <w:spacing w:before="122" w:line="228" w:lineRule="auto"/>
              <w:ind w:left="102"/>
            </w:pPr>
            <w:r>
              <w:rPr>
                <w:spacing w:val="22"/>
              </w:rPr>
              <w:t>“技术暗标</w:t>
            </w:r>
            <w:r>
              <w:rPr>
                <w:spacing w:val="-70"/>
              </w:rPr>
              <w:t xml:space="preserve"> </w:t>
            </w:r>
            <w:r>
              <w:rPr>
                <w:spacing w:val="22"/>
              </w:rPr>
              <w:t>”</w:t>
            </w:r>
          </w:p>
        </w:tc>
        <w:tc>
          <w:tcPr>
            <w:tcW w:w="5042" w:type="dxa"/>
            <w:vAlign w:val="top"/>
          </w:tcPr>
          <w:p w14:paraId="146FA185">
            <w:pPr>
              <w:pStyle w:val="6"/>
              <w:spacing w:before="123"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58A223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7AFD49E">
            <w:pPr>
              <w:rPr>
                <w:rFonts w:ascii="Arial"/>
                <w:sz w:val="21"/>
              </w:rPr>
            </w:pPr>
          </w:p>
        </w:tc>
        <w:tc>
          <w:tcPr>
            <w:tcW w:w="1058" w:type="dxa"/>
            <w:vMerge w:val="continue"/>
            <w:tcBorders>
              <w:top w:val="nil"/>
              <w:bottom w:val="nil"/>
            </w:tcBorders>
            <w:vAlign w:val="top"/>
          </w:tcPr>
          <w:p w14:paraId="7366A5BE">
            <w:pPr>
              <w:rPr>
                <w:rFonts w:ascii="Arial"/>
                <w:sz w:val="21"/>
              </w:rPr>
            </w:pPr>
          </w:p>
        </w:tc>
        <w:tc>
          <w:tcPr>
            <w:tcW w:w="2339" w:type="dxa"/>
            <w:vAlign w:val="top"/>
          </w:tcPr>
          <w:p w14:paraId="552471C6">
            <w:pPr>
              <w:pStyle w:val="6"/>
              <w:spacing w:before="122" w:line="228" w:lineRule="auto"/>
              <w:ind w:left="115"/>
            </w:pPr>
            <w:r>
              <w:rPr>
                <w:spacing w:val="6"/>
              </w:rPr>
              <w:t>项目经理</w:t>
            </w:r>
          </w:p>
        </w:tc>
        <w:tc>
          <w:tcPr>
            <w:tcW w:w="5042" w:type="dxa"/>
            <w:vAlign w:val="top"/>
          </w:tcPr>
          <w:p w14:paraId="321BED0C">
            <w:pPr>
              <w:pStyle w:val="6"/>
              <w:spacing w:before="122" w:line="228" w:lineRule="auto"/>
              <w:ind w:left="116"/>
            </w:pPr>
            <w:r>
              <w:rPr>
                <w:spacing w:val="9"/>
              </w:rPr>
              <w:t>未更换通过资格预审的项目经理</w:t>
            </w:r>
          </w:p>
        </w:tc>
      </w:tr>
      <w:tr w14:paraId="4BD97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0021CA55">
            <w:pPr>
              <w:rPr>
                <w:rFonts w:ascii="Arial"/>
                <w:sz w:val="21"/>
              </w:rPr>
            </w:pPr>
          </w:p>
        </w:tc>
        <w:tc>
          <w:tcPr>
            <w:tcW w:w="1058" w:type="dxa"/>
            <w:vMerge w:val="continue"/>
            <w:tcBorders>
              <w:top w:val="nil"/>
            </w:tcBorders>
            <w:vAlign w:val="top"/>
          </w:tcPr>
          <w:p w14:paraId="53C22781">
            <w:pPr>
              <w:rPr>
                <w:rFonts w:ascii="Arial"/>
                <w:sz w:val="21"/>
              </w:rPr>
            </w:pPr>
          </w:p>
        </w:tc>
        <w:tc>
          <w:tcPr>
            <w:tcW w:w="2339" w:type="dxa"/>
            <w:vAlign w:val="top"/>
          </w:tcPr>
          <w:p w14:paraId="0B92616A">
            <w:pPr>
              <w:pStyle w:val="6"/>
              <w:spacing w:before="121" w:line="228" w:lineRule="auto"/>
              <w:ind w:left="121"/>
            </w:pPr>
            <w:r>
              <w:rPr>
                <w:spacing w:val="6"/>
              </w:rPr>
              <w:t>资格条件变化</w:t>
            </w:r>
          </w:p>
        </w:tc>
        <w:tc>
          <w:tcPr>
            <w:tcW w:w="5042" w:type="dxa"/>
            <w:vAlign w:val="top"/>
          </w:tcPr>
          <w:p w14:paraId="155CC8B0">
            <w:pPr>
              <w:pStyle w:val="6"/>
              <w:spacing w:before="121" w:line="228" w:lineRule="auto"/>
              <w:ind w:left="116"/>
            </w:pPr>
            <w:r>
              <w:rPr>
                <w:spacing w:val="9"/>
              </w:rPr>
              <w:t>投标函中有资格条件是否变化的声明</w:t>
            </w:r>
          </w:p>
        </w:tc>
      </w:tr>
      <w:tr w14:paraId="5D1130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0" w:hRule="atLeast"/>
        </w:trPr>
        <w:tc>
          <w:tcPr>
            <w:tcW w:w="745" w:type="dxa"/>
            <w:vAlign w:val="top"/>
          </w:tcPr>
          <w:p w14:paraId="61E22432">
            <w:pPr>
              <w:spacing w:line="258" w:lineRule="auto"/>
              <w:rPr>
                <w:rFonts w:ascii="Arial"/>
                <w:sz w:val="21"/>
              </w:rPr>
            </w:pPr>
          </w:p>
          <w:p w14:paraId="1E16069F">
            <w:pPr>
              <w:spacing w:line="258" w:lineRule="auto"/>
              <w:rPr>
                <w:rFonts w:ascii="Arial"/>
                <w:sz w:val="21"/>
              </w:rPr>
            </w:pPr>
          </w:p>
          <w:p w14:paraId="3E93E57A">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2EEE292B">
            <w:pPr>
              <w:pStyle w:val="6"/>
              <w:spacing w:before="74" w:line="228" w:lineRule="auto"/>
              <w:ind w:left="332"/>
            </w:pPr>
            <w:r>
              <w:t>资格</w:t>
            </w:r>
          </w:p>
          <w:p w14:paraId="3C4A03D0">
            <w:pPr>
              <w:pStyle w:val="6"/>
              <w:spacing w:before="24" w:line="228" w:lineRule="auto"/>
              <w:ind w:left="322"/>
            </w:pPr>
            <w:r>
              <w:rPr>
                <w:spacing w:val="5"/>
              </w:rPr>
              <w:t>评审</w:t>
            </w:r>
          </w:p>
          <w:p w14:paraId="4CE48F34">
            <w:pPr>
              <w:pStyle w:val="6"/>
              <w:spacing w:before="26" w:line="252" w:lineRule="auto"/>
              <w:ind w:left="122" w:right="129" w:firstLine="201"/>
            </w:pPr>
            <w:r>
              <w:rPr>
                <w:spacing w:val="4"/>
              </w:rPr>
              <w:t>标准</w:t>
            </w:r>
            <w:r>
              <w:t>（预审）</w:t>
            </w:r>
          </w:p>
        </w:tc>
        <w:tc>
          <w:tcPr>
            <w:tcW w:w="2339" w:type="dxa"/>
            <w:vAlign w:val="top"/>
          </w:tcPr>
          <w:p w14:paraId="2FE3FB8C">
            <w:pPr>
              <w:spacing w:line="472" w:lineRule="auto"/>
              <w:rPr>
                <w:rFonts w:ascii="Arial"/>
                <w:sz w:val="21"/>
              </w:rPr>
            </w:pPr>
          </w:p>
          <w:p w14:paraId="1C9D2D36">
            <w:pPr>
              <w:pStyle w:val="6"/>
              <w:spacing w:before="65" w:line="227" w:lineRule="auto"/>
              <w:ind w:left="115"/>
            </w:pPr>
            <w:r>
              <w:rPr>
                <w:spacing w:val="8"/>
              </w:rPr>
              <w:t>见本标段资格预审文件</w:t>
            </w:r>
          </w:p>
        </w:tc>
        <w:tc>
          <w:tcPr>
            <w:tcW w:w="5042" w:type="dxa"/>
            <w:vAlign w:val="top"/>
          </w:tcPr>
          <w:p w14:paraId="36DE5930">
            <w:pPr>
              <w:spacing w:line="278" w:lineRule="auto"/>
              <w:rPr>
                <w:rFonts w:ascii="Arial"/>
                <w:sz w:val="21"/>
              </w:rPr>
            </w:pPr>
          </w:p>
          <w:p w14:paraId="7E1765EE">
            <w:pPr>
              <w:pStyle w:val="6"/>
              <w:spacing w:before="65" w:line="254" w:lineRule="auto"/>
              <w:ind w:left="123" w:right="107" w:hanging="8"/>
            </w:pPr>
            <w:r>
              <w:rPr>
                <w:spacing w:val="8"/>
              </w:rPr>
              <w:t>符合本标段资格预审文件第三章“资格审查办法</w:t>
            </w:r>
            <w:r>
              <w:rPr>
                <w:spacing w:val="-70"/>
              </w:rPr>
              <w:t xml:space="preserve"> </w:t>
            </w:r>
            <w:r>
              <w:rPr>
                <w:spacing w:val="8"/>
              </w:rPr>
              <w:t>”的审查标准并且不影响本次招标的公正性。</w:t>
            </w:r>
          </w:p>
        </w:tc>
      </w:tr>
      <w:tr w14:paraId="2343E9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6CCC5B25">
            <w:pPr>
              <w:spacing w:line="251" w:lineRule="auto"/>
              <w:rPr>
                <w:rFonts w:ascii="Arial"/>
                <w:sz w:val="21"/>
              </w:rPr>
            </w:pPr>
          </w:p>
          <w:p w14:paraId="5F238226">
            <w:pPr>
              <w:spacing w:line="251" w:lineRule="auto"/>
              <w:rPr>
                <w:rFonts w:ascii="Arial"/>
                <w:sz w:val="21"/>
              </w:rPr>
            </w:pPr>
          </w:p>
          <w:p w14:paraId="1B869961">
            <w:pPr>
              <w:spacing w:line="251" w:lineRule="auto"/>
              <w:rPr>
                <w:rFonts w:ascii="Arial"/>
                <w:sz w:val="21"/>
              </w:rPr>
            </w:pPr>
          </w:p>
          <w:p w14:paraId="0BCB17A6">
            <w:pPr>
              <w:spacing w:line="251" w:lineRule="auto"/>
              <w:rPr>
                <w:rFonts w:ascii="Arial"/>
                <w:sz w:val="21"/>
              </w:rPr>
            </w:pPr>
          </w:p>
          <w:p w14:paraId="73BE787A">
            <w:pPr>
              <w:spacing w:line="251" w:lineRule="auto"/>
              <w:rPr>
                <w:rFonts w:ascii="Arial"/>
                <w:sz w:val="21"/>
              </w:rPr>
            </w:pPr>
          </w:p>
          <w:p w14:paraId="4F852AFF">
            <w:pPr>
              <w:spacing w:line="251" w:lineRule="auto"/>
              <w:rPr>
                <w:rFonts w:ascii="Arial"/>
                <w:sz w:val="21"/>
              </w:rPr>
            </w:pPr>
          </w:p>
          <w:p w14:paraId="4BD75D52">
            <w:pPr>
              <w:spacing w:line="252" w:lineRule="auto"/>
              <w:rPr>
                <w:rFonts w:ascii="Arial"/>
                <w:sz w:val="21"/>
              </w:rPr>
            </w:pPr>
          </w:p>
          <w:p w14:paraId="0FC9990A">
            <w:pPr>
              <w:spacing w:line="252" w:lineRule="auto"/>
              <w:rPr>
                <w:rFonts w:ascii="Arial"/>
                <w:sz w:val="21"/>
              </w:rPr>
            </w:pPr>
          </w:p>
          <w:p w14:paraId="3A278BBF">
            <w:pPr>
              <w:spacing w:line="252" w:lineRule="auto"/>
              <w:rPr>
                <w:rFonts w:ascii="Arial"/>
                <w:sz w:val="21"/>
              </w:rPr>
            </w:pPr>
          </w:p>
          <w:p w14:paraId="70204125">
            <w:pPr>
              <w:spacing w:line="252" w:lineRule="auto"/>
              <w:rPr>
                <w:rFonts w:ascii="Arial"/>
                <w:sz w:val="21"/>
              </w:rPr>
            </w:pPr>
          </w:p>
          <w:p w14:paraId="6BCD7C16">
            <w:pPr>
              <w:spacing w:line="252" w:lineRule="auto"/>
              <w:rPr>
                <w:rFonts w:ascii="Arial"/>
                <w:sz w:val="21"/>
              </w:rPr>
            </w:pPr>
          </w:p>
          <w:p w14:paraId="10B038C2">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7DDA3D4B">
            <w:pPr>
              <w:spacing w:line="252" w:lineRule="auto"/>
              <w:rPr>
                <w:rFonts w:ascii="Arial"/>
                <w:sz w:val="21"/>
              </w:rPr>
            </w:pPr>
          </w:p>
          <w:p w14:paraId="7D06AAAC">
            <w:pPr>
              <w:spacing w:line="253" w:lineRule="auto"/>
              <w:rPr>
                <w:rFonts w:ascii="Arial"/>
                <w:sz w:val="21"/>
              </w:rPr>
            </w:pPr>
          </w:p>
          <w:p w14:paraId="753D8903">
            <w:pPr>
              <w:spacing w:line="253" w:lineRule="auto"/>
              <w:rPr>
                <w:rFonts w:ascii="Arial"/>
                <w:sz w:val="21"/>
              </w:rPr>
            </w:pPr>
          </w:p>
          <w:p w14:paraId="5AFB5F3B">
            <w:pPr>
              <w:spacing w:line="253" w:lineRule="auto"/>
              <w:rPr>
                <w:rFonts w:ascii="Arial"/>
                <w:sz w:val="21"/>
              </w:rPr>
            </w:pPr>
          </w:p>
          <w:p w14:paraId="092D8A27">
            <w:pPr>
              <w:spacing w:line="253" w:lineRule="auto"/>
              <w:rPr>
                <w:rFonts w:ascii="Arial"/>
                <w:sz w:val="21"/>
              </w:rPr>
            </w:pPr>
          </w:p>
          <w:p w14:paraId="5C7A16CC">
            <w:pPr>
              <w:spacing w:line="253" w:lineRule="auto"/>
              <w:rPr>
                <w:rFonts w:ascii="Arial"/>
                <w:sz w:val="21"/>
              </w:rPr>
            </w:pPr>
          </w:p>
          <w:p w14:paraId="5D2B98D2">
            <w:pPr>
              <w:spacing w:line="253" w:lineRule="auto"/>
              <w:rPr>
                <w:rFonts w:ascii="Arial"/>
                <w:sz w:val="21"/>
              </w:rPr>
            </w:pPr>
          </w:p>
          <w:p w14:paraId="7DC93B37">
            <w:pPr>
              <w:spacing w:line="253" w:lineRule="auto"/>
              <w:rPr>
                <w:rFonts w:ascii="Arial"/>
                <w:sz w:val="21"/>
              </w:rPr>
            </w:pPr>
          </w:p>
          <w:p w14:paraId="36DE75F7">
            <w:pPr>
              <w:spacing w:line="253" w:lineRule="auto"/>
              <w:rPr>
                <w:rFonts w:ascii="Arial"/>
                <w:sz w:val="21"/>
              </w:rPr>
            </w:pPr>
          </w:p>
          <w:p w14:paraId="11C3AF99">
            <w:pPr>
              <w:spacing w:line="253" w:lineRule="auto"/>
              <w:rPr>
                <w:rFonts w:ascii="Arial"/>
                <w:sz w:val="21"/>
              </w:rPr>
            </w:pPr>
          </w:p>
          <w:p w14:paraId="26D0903B">
            <w:pPr>
              <w:pStyle w:val="6"/>
              <w:spacing w:before="65" w:line="252"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7F09B731">
            <w:pPr>
              <w:pStyle w:val="6"/>
              <w:spacing w:before="123" w:line="228" w:lineRule="auto"/>
              <w:ind w:left="115"/>
            </w:pPr>
            <w:r>
              <w:rPr>
                <w:spacing w:val="6"/>
              </w:rPr>
              <w:t>投标内容</w:t>
            </w:r>
          </w:p>
        </w:tc>
        <w:tc>
          <w:tcPr>
            <w:tcW w:w="5042" w:type="dxa"/>
            <w:vAlign w:val="top"/>
          </w:tcPr>
          <w:p w14:paraId="711FE79D">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59B3E4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ED749B0">
            <w:pPr>
              <w:rPr>
                <w:rFonts w:ascii="Arial"/>
                <w:sz w:val="21"/>
              </w:rPr>
            </w:pPr>
          </w:p>
        </w:tc>
        <w:tc>
          <w:tcPr>
            <w:tcW w:w="1058" w:type="dxa"/>
            <w:vMerge w:val="continue"/>
            <w:tcBorders>
              <w:top w:val="nil"/>
              <w:bottom w:val="nil"/>
            </w:tcBorders>
            <w:vAlign w:val="top"/>
          </w:tcPr>
          <w:p w14:paraId="05A07E51">
            <w:pPr>
              <w:rPr>
                <w:rFonts w:ascii="Arial"/>
                <w:sz w:val="21"/>
              </w:rPr>
            </w:pPr>
          </w:p>
        </w:tc>
        <w:tc>
          <w:tcPr>
            <w:tcW w:w="2339" w:type="dxa"/>
            <w:vAlign w:val="top"/>
          </w:tcPr>
          <w:p w14:paraId="69B62E3F">
            <w:pPr>
              <w:pStyle w:val="6"/>
              <w:spacing w:before="123" w:line="228" w:lineRule="auto"/>
              <w:ind w:left="115"/>
            </w:pPr>
            <w:r>
              <w:rPr>
                <w:spacing w:val="3"/>
              </w:rPr>
              <w:t>工期</w:t>
            </w:r>
          </w:p>
        </w:tc>
        <w:tc>
          <w:tcPr>
            <w:tcW w:w="5042" w:type="dxa"/>
            <w:vAlign w:val="top"/>
          </w:tcPr>
          <w:p w14:paraId="4D0992CE">
            <w:pPr>
              <w:pStyle w:val="6"/>
              <w:spacing w:before="12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4DFB85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18F75B30">
            <w:pPr>
              <w:rPr>
                <w:rFonts w:ascii="Arial"/>
                <w:sz w:val="21"/>
              </w:rPr>
            </w:pPr>
          </w:p>
        </w:tc>
        <w:tc>
          <w:tcPr>
            <w:tcW w:w="1058" w:type="dxa"/>
            <w:vMerge w:val="continue"/>
            <w:tcBorders>
              <w:top w:val="nil"/>
              <w:bottom w:val="nil"/>
            </w:tcBorders>
            <w:vAlign w:val="top"/>
          </w:tcPr>
          <w:p w14:paraId="62ECBFDD">
            <w:pPr>
              <w:rPr>
                <w:rFonts w:ascii="Arial"/>
                <w:sz w:val="21"/>
              </w:rPr>
            </w:pPr>
          </w:p>
        </w:tc>
        <w:tc>
          <w:tcPr>
            <w:tcW w:w="2339" w:type="dxa"/>
            <w:vAlign w:val="top"/>
          </w:tcPr>
          <w:p w14:paraId="1FA70F12">
            <w:pPr>
              <w:spacing w:line="374" w:lineRule="auto"/>
              <w:rPr>
                <w:rFonts w:ascii="Arial"/>
                <w:sz w:val="21"/>
              </w:rPr>
            </w:pPr>
          </w:p>
          <w:p w14:paraId="2DACA793">
            <w:pPr>
              <w:pStyle w:val="6"/>
              <w:spacing w:before="65" w:line="228" w:lineRule="auto"/>
              <w:ind w:left="115"/>
            </w:pPr>
            <w:r>
              <w:rPr>
                <w:spacing w:val="6"/>
              </w:rPr>
              <w:t>工程质量</w:t>
            </w:r>
          </w:p>
        </w:tc>
        <w:tc>
          <w:tcPr>
            <w:tcW w:w="5042" w:type="dxa"/>
            <w:vAlign w:val="top"/>
          </w:tcPr>
          <w:p w14:paraId="3A5A8868">
            <w:pPr>
              <w:pStyle w:val="6"/>
              <w:spacing w:before="33"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1C3FB7CC">
            <w:pPr>
              <w:pStyle w:val="6"/>
              <w:spacing w:before="26" w:line="239" w:lineRule="auto"/>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36BE7F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E55B992">
            <w:pPr>
              <w:rPr>
                <w:rFonts w:ascii="Arial"/>
                <w:sz w:val="21"/>
              </w:rPr>
            </w:pPr>
          </w:p>
        </w:tc>
        <w:tc>
          <w:tcPr>
            <w:tcW w:w="1058" w:type="dxa"/>
            <w:vMerge w:val="continue"/>
            <w:tcBorders>
              <w:top w:val="nil"/>
              <w:bottom w:val="nil"/>
            </w:tcBorders>
            <w:vAlign w:val="top"/>
          </w:tcPr>
          <w:p w14:paraId="43A79970">
            <w:pPr>
              <w:rPr>
                <w:rFonts w:ascii="Arial"/>
                <w:sz w:val="21"/>
              </w:rPr>
            </w:pPr>
          </w:p>
        </w:tc>
        <w:tc>
          <w:tcPr>
            <w:tcW w:w="2339" w:type="dxa"/>
            <w:vAlign w:val="top"/>
          </w:tcPr>
          <w:p w14:paraId="3901B84B">
            <w:pPr>
              <w:pStyle w:val="6"/>
              <w:spacing w:before="123" w:line="228" w:lineRule="auto"/>
              <w:ind w:left="115"/>
            </w:pPr>
            <w:r>
              <w:rPr>
                <w:spacing w:val="7"/>
              </w:rPr>
              <w:t>投标有效期</w:t>
            </w:r>
          </w:p>
        </w:tc>
        <w:tc>
          <w:tcPr>
            <w:tcW w:w="5042" w:type="dxa"/>
            <w:vAlign w:val="top"/>
          </w:tcPr>
          <w:p w14:paraId="29AACE59">
            <w:pPr>
              <w:pStyle w:val="6"/>
              <w:spacing w:before="123"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003F6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082F6A1D">
            <w:pPr>
              <w:rPr>
                <w:rFonts w:ascii="Arial"/>
                <w:sz w:val="21"/>
              </w:rPr>
            </w:pPr>
          </w:p>
        </w:tc>
        <w:tc>
          <w:tcPr>
            <w:tcW w:w="1058" w:type="dxa"/>
            <w:vMerge w:val="continue"/>
            <w:tcBorders>
              <w:top w:val="nil"/>
              <w:bottom w:val="nil"/>
            </w:tcBorders>
            <w:vAlign w:val="top"/>
          </w:tcPr>
          <w:p w14:paraId="67E80156">
            <w:pPr>
              <w:rPr>
                <w:rFonts w:ascii="Arial"/>
                <w:sz w:val="21"/>
              </w:rPr>
            </w:pPr>
          </w:p>
        </w:tc>
        <w:tc>
          <w:tcPr>
            <w:tcW w:w="2339" w:type="dxa"/>
            <w:vAlign w:val="top"/>
          </w:tcPr>
          <w:p w14:paraId="1DC3FFCC">
            <w:pPr>
              <w:spacing w:line="323" w:lineRule="auto"/>
              <w:rPr>
                <w:rFonts w:ascii="Arial"/>
                <w:sz w:val="21"/>
              </w:rPr>
            </w:pPr>
          </w:p>
          <w:p w14:paraId="346EAF7F">
            <w:pPr>
              <w:spacing w:line="323" w:lineRule="auto"/>
              <w:rPr>
                <w:rFonts w:ascii="Arial"/>
                <w:sz w:val="21"/>
              </w:rPr>
            </w:pPr>
          </w:p>
          <w:p w14:paraId="19E49511">
            <w:pPr>
              <w:pStyle w:val="6"/>
              <w:spacing w:before="65" w:line="228" w:lineRule="auto"/>
              <w:ind w:left="115"/>
            </w:pPr>
            <w:r>
              <w:rPr>
                <w:spacing w:val="7"/>
              </w:rPr>
              <w:t>投标保证金</w:t>
            </w:r>
          </w:p>
        </w:tc>
        <w:tc>
          <w:tcPr>
            <w:tcW w:w="5042" w:type="dxa"/>
            <w:vAlign w:val="top"/>
          </w:tcPr>
          <w:p w14:paraId="1F62BD26">
            <w:pPr>
              <w:pStyle w:val="6"/>
              <w:spacing w:before="33"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2E4FDCA7">
            <w:pPr>
              <w:pStyle w:val="6"/>
              <w:spacing w:before="27" w:line="228" w:lineRule="auto"/>
              <w:ind w:left="123"/>
            </w:pPr>
            <w:r>
              <w:rPr>
                <w:spacing w:val="9"/>
              </w:rPr>
              <w:t>（投标保证金符合要求是指投标保证金的形式、金</w:t>
            </w:r>
          </w:p>
          <w:p w14:paraId="2F54113B">
            <w:pPr>
              <w:pStyle w:val="6"/>
              <w:spacing w:before="24" w:line="251"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5F8112AE">
            <w:pPr>
              <w:pStyle w:val="6"/>
              <w:spacing w:line="215" w:lineRule="auto"/>
              <w:ind w:left="130"/>
            </w:pPr>
            <w:r>
              <w:rPr>
                <w:spacing w:val="4"/>
              </w:rPr>
              <w:t>的账户号一致）</w:t>
            </w:r>
          </w:p>
        </w:tc>
      </w:tr>
      <w:tr w14:paraId="3725CD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33478EFE">
            <w:pPr>
              <w:rPr>
                <w:rFonts w:ascii="Arial"/>
                <w:sz w:val="21"/>
              </w:rPr>
            </w:pPr>
          </w:p>
        </w:tc>
        <w:tc>
          <w:tcPr>
            <w:tcW w:w="1058" w:type="dxa"/>
            <w:vMerge w:val="continue"/>
            <w:tcBorders>
              <w:top w:val="nil"/>
              <w:bottom w:val="nil"/>
            </w:tcBorders>
            <w:vAlign w:val="top"/>
          </w:tcPr>
          <w:p w14:paraId="3775B72E">
            <w:pPr>
              <w:rPr>
                <w:rFonts w:ascii="Arial"/>
                <w:sz w:val="21"/>
              </w:rPr>
            </w:pPr>
          </w:p>
        </w:tc>
        <w:tc>
          <w:tcPr>
            <w:tcW w:w="2339" w:type="dxa"/>
            <w:vAlign w:val="top"/>
          </w:tcPr>
          <w:p w14:paraId="3596B09D">
            <w:pPr>
              <w:pStyle w:val="6"/>
              <w:spacing w:before="168" w:line="228" w:lineRule="auto"/>
              <w:ind w:left="111"/>
            </w:pPr>
            <w:r>
              <w:rPr>
                <w:spacing w:val="7"/>
              </w:rPr>
              <w:t>权利义务</w:t>
            </w:r>
          </w:p>
        </w:tc>
        <w:tc>
          <w:tcPr>
            <w:tcW w:w="5042" w:type="dxa"/>
            <w:vAlign w:val="top"/>
          </w:tcPr>
          <w:p w14:paraId="53BD5542">
            <w:pPr>
              <w:pStyle w:val="6"/>
              <w:spacing w:before="35" w:line="233"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79BD92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7E41B8A7">
            <w:pPr>
              <w:rPr>
                <w:rFonts w:ascii="Arial"/>
                <w:sz w:val="21"/>
              </w:rPr>
            </w:pPr>
          </w:p>
        </w:tc>
        <w:tc>
          <w:tcPr>
            <w:tcW w:w="1058" w:type="dxa"/>
            <w:vMerge w:val="continue"/>
            <w:tcBorders>
              <w:top w:val="nil"/>
              <w:bottom w:val="nil"/>
            </w:tcBorders>
            <w:vAlign w:val="top"/>
          </w:tcPr>
          <w:p w14:paraId="1B022A7C">
            <w:pPr>
              <w:rPr>
                <w:rFonts w:ascii="Arial"/>
                <w:sz w:val="21"/>
              </w:rPr>
            </w:pPr>
          </w:p>
        </w:tc>
        <w:tc>
          <w:tcPr>
            <w:tcW w:w="2339" w:type="dxa"/>
            <w:vAlign w:val="top"/>
          </w:tcPr>
          <w:p w14:paraId="395CC104">
            <w:pPr>
              <w:pStyle w:val="6"/>
              <w:spacing w:before="149" w:line="228" w:lineRule="auto"/>
              <w:ind w:left="113"/>
            </w:pPr>
            <w:r>
              <w:rPr>
                <w:spacing w:val="8"/>
              </w:rPr>
              <w:t>技术标准和要求</w:t>
            </w:r>
          </w:p>
        </w:tc>
        <w:tc>
          <w:tcPr>
            <w:tcW w:w="5042" w:type="dxa"/>
            <w:vAlign w:val="top"/>
          </w:tcPr>
          <w:p w14:paraId="382FF3BE">
            <w:pPr>
              <w:pStyle w:val="6"/>
              <w:spacing w:before="149" w:line="227" w:lineRule="auto"/>
              <w:ind w:left="115"/>
            </w:pPr>
            <w:r>
              <w:rPr>
                <w:spacing w:val="7"/>
              </w:rPr>
              <w:t>符合第七章“技术标准和要求</w:t>
            </w:r>
            <w:r>
              <w:rPr>
                <w:spacing w:val="-66"/>
              </w:rPr>
              <w:t xml:space="preserve"> </w:t>
            </w:r>
            <w:r>
              <w:rPr>
                <w:spacing w:val="7"/>
              </w:rPr>
              <w:t>”规定</w:t>
            </w:r>
          </w:p>
        </w:tc>
      </w:tr>
      <w:tr w14:paraId="5935DA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745" w:type="dxa"/>
            <w:vMerge w:val="continue"/>
            <w:tcBorders>
              <w:top w:val="nil"/>
            </w:tcBorders>
            <w:vAlign w:val="top"/>
          </w:tcPr>
          <w:p w14:paraId="7074610B">
            <w:pPr>
              <w:rPr>
                <w:rFonts w:ascii="Arial"/>
                <w:sz w:val="21"/>
              </w:rPr>
            </w:pPr>
          </w:p>
        </w:tc>
        <w:tc>
          <w:tcPr>
            <w:tcW w:w="1058" w:type="dxa"/>
            <w:vMerge w:val="continue"/>
            <w:tcBorders>
              <w:top w:val="nil"/>
            </w:tcBorders>
            <w:vAlign w:val="top"/>
          </w:tcPr>
          <w:p w14:paraId="624FE70E">
            <w:pPr>
              <w:rPr>
                <w:rFonts w:ascii="Arial"/>
                <w:sz w:val="21"/>
              </w:rPr>
            </w:pPr>
          </w:p>
        </w:tc>
        <w:tc>
          <w:tcPr>
            <w:tcW w:w="2339" w:type="dxa"/>
            <w:vAlign w:val="top"/>
          </w:tcPr>
          <w:p w14:paraId="243A84FF">
            <w:pPr>
              <w:pStyle w:val="6"/>
              <w:spacing w:before="148" w:line="228" w:lineRule="auto"/>
              <w:ind w:left="115"/>
            </w:pPr>
            <w:r>
              <w:rPr>
                <w:spacing w:val="6"/>
              </w:rPr>
              <w:t>分包计划</w:t>
            </w:r>
          </w:p>
        </w:tc>
        <w:tc>
          <w:tcPr>
            <w:tcW w:w="5042" w:type="dxa"/>
            <w:vAlign w:val="top"/>
          </w:tcPr>
          <w:p w14:paraId="5BF8C79E">
            <w:pPr>
              <w:pStyle w:val="6"/>
              <w:spacing w:before="148"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bl>
    <w:p w14:paraId="22AE862D">
      <w:pPr>
        <w:rPr>
          <w:rFonts w:ascii="Arial"/>
          <w:sz w:val="21"/>
        </w:rPr>
      </w:pPr>
    </w:p>
    <w:p w14:paraId="19DB4090">
      <w:pPr>
        <w:rPr>
          <w:rFonts w:ascii="Arial" w:hAnsi="Arial" w:eastAsia="Arial" w:cs="Arial"/>
          <w:sz w:val="21"/>
          <w:szCs w:val="21"/>
        </w:rPr>
        <w:sectPr>
          <w:footerReference r:id="rId75" w:type="default"/>
          <w:pgSz w:w="11907" w:h="16840"/>
          <w:pgMar w:top="400" w:right="1248" w:bottom="1035" w:left="1469" w:header="0" w:footer="785" w:gutter="0"/>
          <w:cols w:space="720" w:num="1"/>
        </w:sectPr>
      </w:pPr>
    </w:p>
    <w:p w14:paraId="190FB521">
      <w:pPr>
        <w:spacing w:before="19"/>
      </w:pPr>
    </w:p>
    <w:p w14:paraId="5D9BA301">
      <w:pPr>
        <w:spacing w:before="19"/>
      </w:pPr>
    </w:p>
    <w:p w14:paraId="1CC81091">
      <w:pPr>
        <w:spacing w:before="19"/>
      </w:pPr>
    </w:p>
    <w:p w14:paraId="470B3F9D">
      <w:pPr>
        <w:spacing w:before="18"/>
      </w:pPr>
    </w:p>
    <w:p w14:paraId="7F5BE33D">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255"/>
        <w:gridCol w:w="5042"/>
      </w:tblGrid>
      <w:tr w14:paraId="4601C7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45" w:type="dxa"/>
            <w:vMerge w:val="restart"/>
            <w:tcBorders>
              <w:bottom w:val="nil"/>
            </w:tcBorders>
            <w:vAlign w:val="top"/>
          </w:tcPr>
          <w:p w14:paraId="629011E8">
            <w:pPr>
              <w:rPr>
                <w:rFonts w:ascii="Arial"/>
                <w:sz w:val="21"/>
              </w:rPr>
            </w:pPr>
          </w:p>
        </w:tc>
        <w:tc>
          <w:tcPr>
            <w:tcW w:w="1058" w:type="dxa"/>
            <w:vMerge w:val="restart"/>
            <w:tcBorders>
              <w:bottom w:val="nil"/>
            </w:tcBorders>
            <w:vAlign w:val="top"/>
          </w:tcPr>
          <w:p w14:paraId="328A0ADF">
            <w:pPr>
              <w:rPr>
                <w:rFonts w:ascii="Arial"/>
                <w:sz w:val="21"/>
              </w:rPr>
            </w:pPr>
          </w:p>
        </w:tc>
        <w:tc>
          <w:tcPr>
            <w:tcW w:w="2339" w:type="dxa"/>
            <w:gridSpan w:val="2"/>
            <w:vAlign w:val="top"/>
          </w:tcPr>
          <w:p w14:paraId="308583B0">
            <w:pPr>
              <w:spacing w:line="242" w:lineRule="auto"/>
              <w:rPr>
                <w:rFonts w:ascii="Arial"/>
                <w:sz w:val="21"/>
              </w:rPr>
            </w:pPr>
          </w:p>
          <w:p w14:paraId="0E3B56C6">
            <w:pPr>
              <w:pStyle w:val="6"/>
              <w:spacing w:before="65" w:line="228" w:lineRule="auto"/>
              <w:ind w:left="114"/>
            </w:pPr>
            <w:r>
              <w:rPr>
                <w:spacing w:val="7"/>
              </w:rPr>
              <w:t>算术错误修正</w:t>
            </w:r>
          </w:p>
        </w:tc>
        <w:tc>
          <w:tcPr>
            <w:tcW w:w="5042" w:type="dxa"/>
            <w:vAlign w:val="top"/>
          </w:tcPr>
          <w:p w14:paraId="3C228BE9">
            <w:pPr>
              <w:pStyle w:val="6"/>
              <w:spacing w:before="35" w:line="226" w:lineRule="auto"/>
              <w:ind w:left="129"/>
            </w:pPr>
            <w:r>
              <w:rPr>
                <w:spacing w:val="7"/>
              </w:rPr>
              <w:t>1） 投标人接受算术错误修正后的报价；</w:t>
            </w:r>
          </w:p>
          <w:p w14:paraId="66EEDE68">
            <w:pPr>
              <w:pStyle w:val="6"/>
              <w:spacing w:before="28" w:line="234" w:lineRule="auto"/>
              <w:ind w:left="115" w:right="109"/>
            </w:pPr>
            <w:r>
              <w:rPr>
                <w:spacing w:val="8"/>
              </w:rPr>
              <w:t>2） 算术错误修正后的投标总价与投标总价相比偏差</w:t>
            </w:r>
            <w:r>
              <w:rPr>
                <w:spacing w:val="6"/>
              </w:rPr>
              <w:t>率不超过±1%。</w:t>
            </w:r>
          </w:p>
        </w:tc>
      </w:tr>
      <w:tr w14:paraId="3ADF17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3" w:hRule="atLeast"/>
        </w:trPr>
        <w:tc>
          <w:tcPr>
            <w:tcW w:w="745" w:type="dxa"/>
            <w:vMerge w:val="continue"/>
            <w:tcBorders>
              <w:top w:val="nil"/>
              <w:bottom w:val="nil"/>
            </w:tcBorders>
            <w:vAlign w:val="top"/>
          </w:tcPr>
          <w:p w14:paraId="7D997008">
            <w:pPr>
              <w:rPr>
                <w:rFonts w:ascii="Arial"/>
                <w:sz w:val="21"/>
              </w:rPr>
            </w:pPr>
          </w:p>
        </w:tc>
        <w:tc>
          <w:tcPr>
            <w:tcW w:w="1058" w:type="dxa"/>
            <w:vMerge w:val="continue"/>
            <w:tcBorders>
              <w:top w:val="nil"/>
              <w:bottom w:val="nil"/>
            </w:tcBorders>
            <w:vAlign w:val="top"/>
          </w:tcPr>
          <w:p w14:paraId="3079E0C2">
            <w:pPr>
              <w:rPr>
                <w:rFonts w:ascii="Arial"/>
                <w:sz w:val="21"/>
              </w:rPr>
            </w:pPr>
          </w:p>
        </w:tc>
        <w:tc>
          <w:tcPr>
            <w:tcW w:w="2339" w:type="dxa"/>
            <w:gridSpan w:val="2"/>
            <w:vAlign w:val="top"/>
          </w:tcPr>
          <w:p w14:paraId="6B08C3FF">
            <w:pPr>
              <w:spacing w:line="304" w:lineRule="auto"/>
              <w:rPr>
                <w:rFonts w:ascii="Arial"/>
                <w:sz w:val="21"/>
              </w:rPr>
            </w:pPr>
          </w:p>
          <w:p w14:paraId="3681ED8F">
            <w:pPr>
              <w:spacing w:line="305" w:lineRule="auto"/>
              <w:rPr>
                <w:rFonts w:ascii="Arial"/>
                <w:sz w:val="21"/>
              </w:rPr>
            </w:pPr>
          </w:p>
          <w:p w14:paraId="757DFFC0">
            <w:pPr>
              <w:spacing w:line="305" w:lineRule="auto"/>
              <w:rPr>
                <w:rFonts w:ascii="Arial"/>
                <w:sz w:val="21"/>
              </w:rPr>
            </w:pPr>
          </w:p>
          <w:p w14:paraId="33419E67">
            <w:pPr>
              <w:pStyle w:val="6"/>
              <w:spacing w:before="65" w:line="226" w:lineRule="auto"/>
              <w:ind w:left="115"/>
            </w:pPr>
            <w:r>
              <w:rPr>
                <w:spacing w:val="6"/>
              </w:rPr>
              <w:t>投标价格</w:t>
            </w:r>
          </w:p>
        </w:tc>
        <w:tc>
          <w:tcPr>
            <w:tcW w:w="5042" w:type="dxa"/>
            <w:vAlign w:val="top"/>
          </w:tcPr>
          <w:p w14:paraId="6E7A8B47">
            <w:pPr>
              <w:pStyle w:val="6"/>
              <w:spacing w:before="32" w:line="251" w:lineRule="auto"/>
              <w:ind w:left="133" w:right="107" w:hanging="4"/>
            </w:pPr>
            <w:r>
              <w:rPr>
                <w:spacing w:val="13"/>
              </w:rPr>
              <w:t>1）投标函中的大写投标总报价与已标价工程量清单</w:t>
            </w:r>
            <w:r>
              <w:rPr>
                <w:spacing w:val="5"/>
              </w:rPr>
              <w:t>中的投标总价一致；</w:t>
            </w:r>
          </w:p>
          <w:p w14:paraId="2BCD1DDF">
            <w:pPr>
              <w:pStyle w:val="6"/>
              <w:spacing w:before="1" w:line="251" w:lineRule="auto"/>
              <w:ind w:left="114" w:right="107" w:firstLine="1"/>
            </w:pPr>
            <w:r>
              <w:rPr>
                <w:spacing w:val="13"/>
              </w:rPr>
              <w:t>2）投标函中的大写投标总报价不大于本标段招标控</w:t>
            </w:r>
            <w:r>
              <w:rPr>
                <w:spacing w:val="5"/>
              </w:rPr>
              <w:t>制价总价；</w:t>
            </w:r>
          </w:p>
          <w:p w14:paraId="4CBD448B">
            <w:pPr>
              <w:pStyle w:val="6"/>
              <w:spacing w:line="251" w:lineRule="auto"/>
              <w:ind w:left="114" w:right="107" w:firstLine="3"/>
            </w:pPr>
            <w:r>
              <w:rPr>
                <w:spacing w:val="13"/>
              </w:rPr>
              <w:t>3）算术错误修正后的投标总价不大于本标段招标控</w:t>
            </w:r>
            <w:r>
              <w:rPr>
                <w:spacing w:val="5"/>
              </w:rPr>
              <w:t>制价总价；</w:t>
            </w:r>
          </w:p>
          <w:p w14:paraId="444D2757">
            <w:pPr>
              <w:pStyle w:val="6"/>
              <w:spacing w:line="234" w:lineRule="auto"/>
              <w:ind w:left="115" w:right="107" w:hanging="3"/>
            </w:pPr>
            <w:r>
              <w:rPr>
                <w:spacing w:val="13"/>
              </w:rPr>
              <w:t>4）投标函中的大写投标总报价（算术错误修正后的</w:t>
            </w:r>
            <w:r>
              <w:rPr>
                <w:spacing w:val="8"/>
              </w:rPr>
              <w:t>投标总价，如有）不低于其成本。</w:t>
            </w:r>
          </w:p>
        </w:tc>
      </w:tr>
      <w:tr w14:paraId="0C6226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5" w:hRule="atLeast"/>
        </w:trPr>
        <w:tc>
          <w:tcPr>
            <w:tcW w:w="745" w:type="dxa"/>
            <w:vMerge w:val="continue"/>
            <w:tcBorders>
              <w:top w:val="nil"/>
            </w:tcBorders>
            <w:vAlign w:val="top"/>
          </w:tcPr>
          <w:p w14:paraId="1F67D9DC">
            <w:pPr>
              <w:rPr>
                <w:rFonts w:ascii="Arial"/>
                <w:sz w:val="21"/>
              </w:rPr>
            </w:pPr>
          </w:p>
        </w:tc>
        <w:tc>
          <w:tcPr>
            <w:tcW w:w="1058" w:type="dxa"/>
            <w:vMerge w:val="continue"/>
            <w:tcBorders>
              <w:top w:val="nil"/>
            </w:tcBorders>
            <w:vAlign w:val="top"/>
          </w:tcPr>
          <w:p w14:paraId="717F607E">
            <w:pPr>
              <w:rPr>
                <w:rFonts w:ascii="Arial"/>
                <w:sz w:val="21"/>
              </w:rPr>
            </w:pPr>
          </w:p>
        </w:tc>
        <w:tc>
          <w:tcPr>
            <w:tcW w:w="2339" w:type="dxa"/>
            <w:gridSpan w:val="2"/>
            <w:vAlign w:val="top"/>
          </w:tcPr>
          <w:p w14:paraId="4D1D428C">
            <w:pPr>
              <w:spacing w:line="252" w:lineRule="auto"/>
              <w:rPr>
                <w:rFonts w:ascii="Arial"/>
                <w:sz w:val="21"/>
              </w:rPr>
            </w:pPr>
          </w:p>
          <w:p w14:paraId="77D33597">
            <w:pPr>
              <w:spacing w:line="252" w:lineRule="auto"/>
              <w:rPr>
                <w:rFonts w:ascii="Arial"/>
                <w:sz w:val="21"/>
              </w:rPr>
            </w:pPr>
          </w:p>
          <w:p w14:paraId="386B1013">
            <w:pPr>
              <w:spacing w:line="252" w:lineRule="auto"/>
              <w:rPr>
                <w:rFonts w:ascii="Arial"/>
                <w:sz w:val="21"/>
              </w:rPr>
            </w:pPr>
          </w:p>
          <w:p w14:paraId="1111CFA8">
            <w:pPr>
              <w:spacing w:line="252" w:lineRule="auto"/>
              <w:rPr>
                <w:rFonts w:ascii="Arial"/>
                <w:sz w:val="21"/>
              </w:rPr>
            </w:pPr>
          </w:p>
          <w:p w14:paraId="1DD1F48A">
            <w:pPr>
              <w:spacing w:line="252" w:lineRule="auto"/>
              <w:rPr>
                <w:rFonts w:ascii="Arial"/>
                <w:sz w:val="21"/>
              </w:rPr>
            </w:pPr>
          </w:p>
          <w:p w14:paraId="5A99F114">
            <w:pPr>
              <w:spacing w:line="253" w:lineRule="auto"/>
              <w:rPr>
                <w:rFonts w:ascii="Arial"/>
                <w:sz w:val="21"/>
              </w:rPr>
            </w:pPr>
          </w:p>
          <w:p w14:paraId="4F28BD33">
            <w:pPr>
              <w:spacing w:line="253" w:lineRule="auto"/>
              <w:rPr>
                <w:rFonts w:ascii="Arial"/>
                <w:sz w:val="21"/>
              </w:rPr>
            </w:pPr>
          </w:p>
          <w:p w14:paraId="5BE5B244">
            <w:pPr>
              <w:spacing w:line="253" w:lineRule="auto"/>
              <w:rPr>
                <w:rFonts w:ascii="Arial"/>
                <w:sz w:val="21"/>
              </w:rPr>
            </w:pPr>
          </w:p>
          <w:p w14:paraId="79AB9716">
            <w:pPr>
              <w:spacing w:line="253" w:lineRule="auto"/>
              <w:rPr>
                <w:rFonts w:ascii="Arial"/>
                <w:sz w:val="21"/>
              </w:rPr>
            </w:pPr>
          </w:p>
          <w:p w14:paraId="08F62F07">
            <w:pPr>
              <w:pStyle w:val="6"/>
              <w:spacing w:before="65" w:line="226" w:lineRule="auto"/>
              <w:ind w:left="135"/>
            </w:pPr>
            <w:r>
              <w:rPr>
                <w:spacing w:val="5"/>
              </w:rPr>
              <w:t>已标价工程量清单</w:t>
            </w:r>
          </w:p>
        </w:tc>
        <w:tc>
          <w:tcPr>
            <w:tcW w:w="5042" w:type="dxa"/>
            <w:vAlign w:val="top"/>
          </w:tcPr>
          <w:p w14:paraId="5E150438">
            <w:pPr>
              <w:pStyle w:val="6"/>
              <w:spacing w:before="36" w:line="251"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1DF4092C">
            <w:pPr>
              <w:pStyle w:val="6"/>
              <w:spacing w:line="251" w:lineRule="auto"/>
              <w:ind w:left="112" w:right="107" w:firstLine="3"/>
            </w:pPr>
            <w:r>
              <w:rPr>
                <w:spacing w:val="10"/>
              </w:rPr>
              <w:t>2）</w:t>
            </w:r>
            <w:r>
              <w:rPr>
                <w:spacing w:val="-50"/>
              </w:rPr>
              <w:t xml:space="preserve"> </w:t>
            </w:r>
            <w:r>
              <w:rPr>
                <w:spacing w:val="10"/>
              </w:rPr>
              <w:t>已标价工程量清单符合第五章“工程量清</w:t>
            </w:r>
            <w:r>
              <w:rPr>
                <w:spacing w:val="9"/>
              </w:rPr>
              <w:t>单</w:t>
            </w:r>
            <w:r>
              <w:rPr>
                <w:spacing w:val="-65"/>
              </w:rPr>
              <w:t xml:space="preserve"> </w:t>
            </w:r>
            <w:r>
              <w:rPr>
                <w:spacing w:val="9"/>
              </w:rPr>
              <w:t>”给出的项目编码、项目名称、项目特征、计量单位和工</w:t>
            </w:r>
            <w:r>
              <w:rPr>
                <w:spacing w:val="3"/>
              </w:rPr>
              <w:t>程量；</w:t>
            </w:r>
          </w:p>
          <w:p w14:paraId="5F9AD5D5">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1953000C">
            <w:pPr>
              <w:pStyle w:val="6"/>
              <w:spacing w:before="28" w:line="251" w:lineRule="auto"/>
              <w:ind w:left="129" w:right="109" w:hanging="17"/>
            </w:pPr>
            <w:r>
              <w:rPr>
                <w:spacing w:val="12"/>
              </w:rPr>
              <w:t>4）专业工程暂估价符合第五章“工程量清单</w:t>
            </w:r>
            <w:r>
              <w:rPr>
                <w:spacing w:val="-63"/>
              </w:rPr>
              <w:t xml:space="preserve"> </w:t>
            </w:r>
            <w:r>
              <w:rPr>
                <w:spacing w:val="12"/>
              </w:rPr>
              <w:t>”列出</w:t>
            </w:r>
            <w:r>
              <w:t>的金额；</w:t>
            </w:r>
          </w:p>
          <w:p w14:paraId="6A87F425">
            <w:pPr>
              <w:pStyle w:val="6"/>
              <w:spacing w:before="1" w:line="251" w:lineRule="auto"/>
              <w:ind w:left="115" w:right="109" w:firstLine="2"/>
            </w:pPr>
            <w:r>
              <w:rPr>
                <w:spacing w:val="13"/>
              </w:rPr>
              <w:t>5）材料（工程设备）暂估价符合第五章“工程量清</w:t>
            </w:r>
            <w:r>
              <w:rPr>
                <w:spacing w:val="6"/>
              </w:rPr>
              <w:t>单</w:t>
            </w:r>
            <w:r>
              <w:rPr>
                <w:spacing w:val="-64"/>
              </w:rPr>
              <w:t xml:space="preserve"> </w:t>
            </w:r>
            <w:r>
              <w:rPr>
                <w:spacing w:val="6"/>
              </w:rPr>
              <w:t>”列出的单价并计入综合单价；</w:t>
            </w:r>
          </w:p>
          <w:p w14:paraId="1F356FD1">
            <w:pPr>
              <w:pStyle w:val="6"/>
              <w:spacing w:before="1" w:line="251" w:lineRule="auto"/>
              <w:ind w:left="115" w:right="158"/>
            </w:pPr>
            <w:r>
              <w:rPr>
                <w:spacing w:val="11"/>
              </w:rPr>
              <w:t>6）安全文明施工费、规费和税金等不可竞争费用，</w:t>
            </w:r>
            <w:r>
              <w:rPr>
                <w:spacing w:val="7"/>
              </w:rPr>
              <w:t>按照规定的标准计取；</w:t>
            </w:r>
          </w:p>
          <w:p w14:paraId="6E7D5E46">
            <w:pPr>
              <w:pStyle w:val="6"/>
              <w:spacing w:before="1" w:line="227" w:lineRule="auto"/>
              <w:ind w:left="118"/>
            </w:pPr>
            <w:r>
              <w:rPr>
                <w:spacing w:val="8"/>
              </w:rPr>
              <w:t>7）计税方法符合招标文件的约定；</w:t>
            </w:r>
          </w:p>
          <w:p w14:paraId="4A1E4198">
            <w:pPr>
              <w:pStyle w:val="6"/>
              <w:spacing w:before="27" w:line="245" w:lineRule="auto"/>
              <w:ind w:left="113" w:right="55"/>
            </w:pPr>
            <w:r>
              <w:rPr>
                <w:spacing w:val="7"/>
              </w:rPr>
              <w:t>8）已标价工程量清单项目未填报的项目不超过三</w:t>
            </w:r>
            <w:r>
              <w:rPr>
                <w:spacing w:val="6"/>
              </w:rPr>
              <w:t>项，</w:t>
            </w:r>
            <w:r>
              <w:rPr>
                <w:spacing w:val="9"/>
              </w:rPr>
              <w:t>且不超过三项未填报的项目的费用合计（按招标控制价相应项目的费用合计计算）不超过其投标函中的大</w:t>
            </w:r>
            <w:r>
              <w:rPr>
                <w:spacing w:val="8"/>
              </w:rPr>
              <w:t>写投标总报价（算术错误修正后的投标总价，如有）</w:t>
            </w:r>
            <w:r>
              <w:rPr>
                <w:spacing w:val="4"/>
              </w:rPr>
              <w:t>的±1%。</w:t>
            </w:r>
          </w:p>
        </w:tc>
      </w:tr>
      <w:tr w14:paraId="45A52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6" w:hRule="atLeast"/>
        </w:trPr>
        <w:tc>
          <w:tcPr>
            <w:tcW w:w="1803" w:type="dxa"/>
            <w:gridSpan w:val="2"/>
            <w:vAlign w:val="top"/>
          </w:tcPr>
          <w:p w14:paraId="755F5646">
            <w:pPr>
              <w:spacing w:line="287" w:lineRule="auto"/>
              <w:rPr>
                <w:rFonts w:ascii="Arial"/>
                <w:sz w:val="21"/>
              </w:rPr>
            </w:pPr>
          </w:p>
          <w:p w14:paraId="6366B79E">
            <w:pPr>
              <w:spacing w:line="287" w:lineRule="auto"/>
              <w:rPr>
                <w:rFonts w:ascii="Arial"/>
                <w:sz w:val="21"/>
              </w:rPr>
            </w:pPr>
          </w:p>
          <w:p w14:paraId="622E3ACE">
            <w:pPr>
              <w:spacing w:before="58"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3"/>
            <w:vAlign w:val="top"/>
          </w:tcPr>
          <w:p w14:paraId="2C452C69">
            <w:pPr>
              <w:pStyle w:val="6"/>
              <w:spacing w:before="179" w:line="227" w:lineRule="auto"/>
              <w:ind w:left="111"/>
            </w:pPr>
            <w:r>
              <w:rPr>
                <w:spacing w:val="9"/>
              </w:rPr>
              <w:t>在本标段招标投标活动中，投标人不得存在的其他情形：</w:t>
            </w:r>
          </w:p>
          <w:p w14:paraId="0C059070">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2D44B8DE">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072BA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03" w:type="dxa"/>
            <w:gridSpan w:val="2"/>
            <w:vAlign w:val="top"/>
          </w:tcPr>
          <w:p w14:paraId="5FE16AD6">
            <w:pPr>
              <w:pStyle w:val="6"/>
              <w:spacing w:before="123" w:line="228" w:lineRule="auto"/>
              <w:ind w:left="592"/>
            </w:pPr>
            <w:r>
              <w:rPr>
                <w:b/>
                <w:bCs/>
                <w:spacing w:val="5"/>
              </w:rPr>
              <w:t>条款号</w:t>
            </w:r>
          </w:p>
        </w:tc>
        <w:tc>
          <w:tcPr>
            <w:tcW w:w="2084" w:type="dxa"/>
            <w:vAlign w:val="top"/>
          </w:tcPr>
          <w:p w14:paraId="62BB2411">
            <w:pPr>
              <w:pStyle w:val="6"/>
              <w:spacing w:before="123" w:line="228" w:lineRule="auto"/>
              <w:ind w:left="627"/>
            </w:pPr>
            <w:r>
              <w:rPr>
                <w:b/>
                <w:bCs/>
                <w:spacing w:val="6"/>
              </w:rPr>
              <w:t>条款内容</w:t>
            </w:r>
          </w:p>
        </w:tc>
        <w:tc>
          <w:tcPr>
            <w:tcW w:w="5297" w:type="dxa"/>
            <w:gridSpan w:val="2"/>
            <w:vAlign w:val="top"/>
          </w:tcPr>
          <w:p w14:paraId="4DECC20C">
            <w:pPr>
              <w:pStyle w:val="6"/>
              <w:spacing w:before="123" w:line="228" w:lineRule="auto"/>
              <w:ind w:left="2232"/>
            </w:pPr>
            <w:r>
              <w:rPr>
                <w:b/>
                <w:bCs/>
                <w:spacing w:val="6"/>
              </w:rPr>
              <w:t>编列内容</w:t>
            </w:r>
          </w:p>
        </w:tc>
      </w:tr>
      <w:tr w14:paraId="58BCBD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trPr>
        <w:tc>
          <w:tcPr>
            <w:tcW w:w="1803" w:type="dxa"/>
            <w:gridSpan w:val="2"/>
            <w:vAlign w:val="top"/>
          </w:tcPr>
          <w:p w14:paraId="56E84AA9">
            <w:pPr>
              <w:spacing w:line="277" w:lineRule="auto"/>
              <w:rPr>
                <w:rFonts w:ascii="Arial"/>
                <w:sz w:val="21"/>
              </w:rPr>
            </w:pPr>
          </w:p>
          <w:p w14:paraId="0D8EE020">
            <w:pPr>
              <w:spacing w:line="277" w:lineRule="auto"/>
              <w:rPr>
                <w:rFonts w:ascii="Arial"/>
                <w:sz w:val="21"/>
              </w:rPr>
            </w:pPr>
          </w:p>
          <w:p w14:paraId="565FA57A">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17248E26">
            <w:pPr>
              <w:pStyle w:val="6"/>
              <w:spacing w:before="250" w:line="228" w:lineRule="auto"/>
              <w:ind w:left="115"/>
            </w:pPr>
            <w:r>
              <w:rPr>
                <w:spacing w:val="6"/>
              </w:rPr>
              <w:t>分值构成</w:t>
            </w:r>
          </w:p>
          <w:p w14:paraId="027F96BA">
            <w:pPr>
              <w:pStyle w:val="6"/>
              <w:spacing w:before="24" w:line="252" w:lineRule="auto"/>
              <w:ind w:left="115" w:right="106" w:firstLine="7"/>
            </w:pPr>
            <w:r>
              <w:rPr>
                <w:spacing w:val="-1"/>
              </w:rPr>
              <w:t>（</w:t>
            </w:r>
            <w:r>
              <w:rPr>
                <w:spacing w:val="-47"/>
              </w:rPr>
              <w:t xml:space="preserve"> </w:t>
            </w:r>
            <w:r>
              <w:rPr>
                <w:spacing w:val="-1"/>
              </w:rPr>
              <w:t>总</w:t>
            </w:r>
            <w:r>
              <w:rPr>
                <w:spacing w:val="-52"/>
              </w:rPr>
              <w:t xml:space="preserve"> </w:t>
            </w:r>
            <w:r>
              <w:rPr>
                <w:spacing w:val="-1"/>
              </w:rPr>
              <w:t>分</w:t>
            </w:r>
            <w:r>
              <w:rPr>
                <w:spacing w:val="15"/>
              </w:rPr>
              <w:t xml:space="preserve"> </w:t>
            </w:r>
            <w:r>
              <w:rPr>
                <w:spacing w:val="-1"/>
              </w:rPr>
              <w:t>100 分</w:t>
            </w:r>
            <w:r>
              <w:rPr>
                <w:spacing w:val="-55"/>
              </w:rPr>
              <w:t xml:space="preserve"> </w:t>
            </w:r>
            <w:r>
              <w:rPr>
                <w:spacing w:val="-1"/>
              </w:rPr>
              <w:t>+3.5分）</w:t>
            </w:r>
          </w:p>
        </w:tc>
        <w:tc>
          <w:tcPr>
            <w:tcW w:w="5297" w:type="dxa"/>
            <w:gridSpan w:val="2"/>
            <w:vAlign w:val="top"/>
          </w:tcPr>
          <w:p w14:paraId="6DDB6718">
            <w:pPr>
              <w:pStyle w:val="6"/>
              <w:spacing w:before="113" w:line="226" w:lineRule="auto"/>
              <w:ind w:left="116"/>
            </w:pPr>
            <w:r>
              <w:rPr>
                <w:spacing w:val="3"/>
              </w:rPr>
              <w:t>投标报价：</w:t>
            </w:r>
            <w:r>
              <w:rPr>
                <w:spacing w:val="15"/>
              </w:rPr>
              <w:t xml:space="preserve">   </w:t>
            </w:r>
            <w:r>
              <w:rPr>
                <w:spacing w:val="3"/>
              </w:rPr>
              <w:t>70</w:t>
            </w:r>
            <w:r>
              <w:rPr>
                <w:spacing w:val="-35"/>
              </w:rPr>
              <w:t xml:space="preserve"> </w:t>
            </w:r>
            <w:r>
              <w:rPr>
                <w:spacing w:val="3"/>
              </w:rPr>
              <w:t>分（+3.5</w:t>
            </w:r>
            <w:r>
              <w:rPr>
                <w:spacing w:val="-38"/>
              </w:rPr>
              <w:t xml:space="preserve"> </w:t>
            </w:r>
            <w:r>
              <w:rPr>
                <w:spacing w:val="3"/>
              </w:rPr>
              <w:t>分）</w:t>
            </w:r>
          </w:p>
          <w:p w14:paraId="0BA2EA95">
            <w:pPr>
              <w:pStyle w:val="6"/>
              <w:spacing w:before="26" w:line="228" w:lineRule="auto"/>
              <w:ind w:left="113"/>
            </w:pPr>
            <w:r>
              <w:rPr>
                <w:spacing w:val="3"/>
              </w:rPr>
              <w:t>施工组织设计：</w:t>
            </w:r>
            <w:r>
              <w:rPr>
                <w:spacing w:val="46"/>
              </w:rPr>
              <w:t xml:space="preserve"> </w:t>
            </w:r>
            <w:r>
              <w:rPr>
                <w:spacing w:val="3"/>
              </w:rPr>
              <w:t>16</w:t>
            </w:r>
            <w:r>
              <w:rPr>
                <w:spacing w:val="-38"/>
              </w:rPr>
              <w:t xml:space="preserve"> </w:t>
            </w:r>
            <w:r>
              <w:rPr>
                <w:spacing w:val="3"/>
              </w:rPr>
              <w:t>分</w:t>
            </w:r>
          </w:p>
          <w:p w14:paraId="608DA4BB">
            <w:pPr>
              <w:pStyle w:val="6"/>
              <w:spacing w:before="26" w:line="227" w:lineRule="auto"/>
              <w:ind w:left="117"/>
            </w:pPr>
            <w:r>
              <w:rPr>
                <w:spacing w:val="4"/>
              </w:rPr>
              <w:t>项目管理机构：</w:t>
            </w:r>
            <w:r>
              <w:rPr>
                <w:spacing w:val="18"/>
              </w:rPr>
              <w:t xml:space="preserve">  </w:t>
            </w:r>
            <w:r>
              <w:rPr>
                <w:spacing w:val="4"/>
              </w:rPr>
              <w:t>6</w:t>
            </w:r>
            <w:r>
              <w:rPr>
                <w:spacing w:val="-38"/>
              </w:rPr>
              <w:t xml:space="preserve"> </w:t>
            </w:r>
            <w:r>
              <w:rPr>
                <w:spacing w:val="4"/>
              </w:rPr>
              <w:t>分</w:t>
            </w:r>
          </w:p>
          <w:p w14:paraId="70B6D510">
            <w:pPr>
              <w:pStyle w:val="6"/>
              <w:spacing w:before="24" w:line="228" w:lineRule="auto"/>
              <w:ind w:left="114"/>
            </w:pPr>
            <w:r>
              <w:rPr>
                <w:spacing w:val="4"/>
              </w:rPr>
              <w:t>其他评分因素：</w:t>
            </w:r>
            <w:r>
              <w:rPr>
                <w:spacing w:val="19"/>
              </w:rPr>
              <w:t xml:space="preserve">  </w:t>
            </w:r>
            <w:r>
              <w:rPr>
                <w:spacing w:val="4"/>
              </w:rPr>
              <w:t>8</w:t>
            </w:r>
            <w:r>
              <w:rPr>
                <w:spacing w:val="-38"/>
              </w:rPr>
              <w:t xml:space="preserve"> </w:t>
            </w:r>
            <w:r>
              <w:rPr>
                <w:spacing w:val="4"/>
              </w:rPr>
              <w:t>分</w:t>
            </w:r>
          </w:p>
        </w:tc>
      </w:tr>
      <w:tr w14:paraId="020AF8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5" w:hRule="atLeast"/>
        </w:trPr>
        <w:tc>
          <w:tcPr>
            <w:tcW w:w="1803" w:type="dxa"/>
            <w:gridSpan w:val="2"/>
            <w:vAlign w:val="top"/>
          </w:tcPr>
          <w:p w14:paraId="16A9F0DA">
            <w:pPr>
              <w:spacing w:line="331" w:lineRule="auto"/>
              <w:rPr>
                <w:rFonts w:ascii="Arial"/>
                <w:sz w:val="21"/>
              </w:rPr>
            </w:pPr>
          </w:p>
          <w:p w14:paraId="4D205465">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35D145EC">
            <w:pPr>
              <w:pStyle w:val="6"/>
              <w:spacing w:before="216"/>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0E0D447D">
            <w:pPr>
              <w:spacing w:line="450" w:lineRule="auto"/>
              <w:rPr>
                <w:rFonts w:ascii="Arial"/>
                <w:sz w:val="21"/>
              </w:rPr>
            </w:pPr>
          </w:p>
          <w:p w14:paraId="7C16BD93">
            <w:pPr>
              <w:pStyle w:val="6"/>
              <w:spacing w:before="65" w:line="226" w:lineRule="auto"/>
              <w:ind w:left="111"/>
            </w:pPr>
            <w:r>
              <w:rPr>
                <w:spacing w:val="8"/>
              </w:rPr>
              <w:t>评标价确定方法</w:t>
            </w:r>
          </w:p>
        </w:tc>
        <w:tc>
          <w:tcPr>
            <w:tcW w:w="5297" w:type="dxa"/>
            <w:gridSpan w:val="2"/>
            <w:vAlign w:val="top"/>
          </w:tcPr>
          <w:p w14:paraId="25F1A2B3">
            <w:pPr>
              <w:pStyle w:val="6"/>
              <w:spacing w:before="244" w:line="252" w:lineRule="auto"/>
              <w:ind w:left="112" w:right="135"/>
              <w:jc w:val="both"/>
            </w:pPr>
            <w:r>
              <w:rPr>
                <w:spacing w:val="6"/>
              </w:rPr>
              <w:t>评标价＝投标函中的大写投标总报价（或经投标人书面</w:t>
            </w:r>
            <w:r>
              <w:rPr>
                <w:spacing w:val="1"/>
              </w:rPr>
              <w:t>确认的算术错误修正后的投标总价）-（暂列金额+税金）</w:t>
            </w:r>
            <w:r>
              <w:rPr>
                <w:spacing w:val="17"/>
              </w:rPr>
              <w:t xml:space="preserve"> </w:t>
            </w:r>
            <w:r>
              <w:rPr>
                <w:spacing w:val="7"/>
              </w:rPr>
              <w:t>-（专业工程暂估价+税金）</w:t>
            </w:r>
          </w:p>
        </w:tc>
      </w:tr>
    </w:tbl>
    <w:p w14:paraId="056A9DF2">
      <w:pPr>
        <w:rPr>
          <w:rFonts w:ascii="Arial"/>
          <w:sz w:val="21"/>
        </w:rPr>
      </w:pPr>
    </w:p>
    <w:p w14:paraId="739742B7">
      <w:pPr>
        <w:rPr>
          <w:rFonts w:ascii="Arial" w:hAnsi="Arial" w:eastAsia="Arial" w:cs="Arial"/>
          <w:sz w:val="21"/>
          <w:szCs w:val="21"/>
        </w:rPr>
        <w:sectPr>
          <w:footerReference r:id="rId76" w:type="default"/>
          <w:pgSz w:w="11907" w:h="16840"/>
          <w:pgMar w:top="400" w:right="1248" w:bottom="1035" w:left="1469" w:header="0" w:footer="785" w:gutter="0"/>
          <w:cols w:space="720" w:num="1"/>
        </w:sectPr>
      </w:pPr>
    </w:p>
    <w:p w14:paraId="1B87B199">
      <w:pPr>
        <w:spacing w:before="19"/>
      </w:pPr>
    </w:p>
    <w:p w14:paraId="6F198106">
      <w:pPr>
        <w:spacing w:before="19"/>
      </w:pPr>
    </w:p>
    <w:p w14:paraId="0C5B593A">
      <w:pPr>
        <w:spacing w:before="19"/>
      </w:pPr>
    </w:p>
    <w:p w14:paraId="1C91A787">
      <w:pPr>
        <w:spacing w:before="18"/>
      </w:pPr>
    </w:p>
    <w:p w14:paraId="712AD91C">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5235B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7" w:hRule="atLeast"/>
        </w:trPr>
        <w:tc>
          <w:tcPr>
            <w:tcW w:w="1803" w:type="dxa"/>
            <w:gridSpan w:val="2"/>
            <w:vAlign w:val="top"/>
          </w:tcPr>
          <w:p w14:paraId="17D30084">
            <w:pPr>
              <w:spacing w:line="241" w:lineRule="auto"/>
              <w:rPr>
                <w:rFonts w:ascii="Arial"/>
                <w:sz w:val="21"/>
              </w:rPr>
            </w:pPr>
          </w:p>
          <w:p w14:paraId="73746C4B">
            <w:pPr>
              <w:spacing w:line="241" w:lineRule="auto"/>
              <w:rPr>
                <w:rFonts w:ascii="Arial"/>
                <w:sz w:val="21"/>
              </w:rPr>
            </w:pPr>
          </w:p>
          <w:p w14:paraId="3EA78223">
            <w:pPr>
              <w:spacing w:line="242" w:lineRule="auto"/>
              <w:rPr>
                <w:rFonts w:ascii="Arial"/>
                <w:sz w:val="21"/>
              </w:rPr>
            </w:pPr>
          </w:p>
          <w:p w14:paraId="2A349FC2">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330168D2">
            <w:pPr>
              <w:pStyle w:val="6"/>
              <w:spacing w:before="218"/>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7374713A">
            <w:pPr>
              <w:spacing w:line="353" w:lineRule="auto"/>
              <w:rPr>
                <w:rFonts w:ascii="Arial"/>
                <w:sz w:val="21"/>
              </w:rPr>
            </w:pPr>
          </w:p>
          <w:p w14:paraId="56FF1ECE">
            <w:pPr>
              <w:spacing w:line="353" w:lineRule="auto"/>
              <w:rPr>
                <w:rFonts w:ascii="Arial"/>
                <w:sz w:val="21"/>
              </w:rPr>
            </w:pPr>
          </w:p>
          <w:p w14:paraId="6B71ECF4">
            <w:pPr>
              <w:pStyle w:val="6"/>
              <w:spacing w:before="65" w:line="255" w:lineRule="auto"/>
              <w:ind w:left="112" w:right="107" w:hanging="1"/>
            </w:pPr>
            <w:r>
              <w:rPr>
                <w:spacing w:val="32"/>
              </w:rPr>
              <w:t>评标基准价计算方</w:t>
            </w:r>
            <w:r>
              <w:t>法</w:t>
            </w:r>
          </w:p>
        </w:tc>
        <w:tc>
          <w:tcPr>
            <w:tcW w:w="5297" w:type="dxa"/>
            <w:gridSpan w:val="2"/>
            <w:vAlign w:val="top"/>
          </w:tcPr>
          <w:p w14:paraId="60EFA574">
            <w:pPr>
              <w:pStyle w:val="6"/>
              <w:spacing w:before="97"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0A5CE2B4">
            <w:pPr>
              <w:pStyle w:val="6"/>
              <w:spacing w:before="1" w:line="252"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55A54C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803" w:type="dxa"/>
            <w:gridSpan w:val="2"/>
            <w:vAlign w:val="top"/>
          </w:tcPr>
          <w:p w14:paraId="22B808E1">
            <w:pPr>
              <w:spacing w:line="333" w:lineRule="auto"/>
              <w:rPr>
                <w:rFonts w:ascii="Arial"/>
                <w:sz w:val="21"/>
              </w:rPr>
            </w:pPr>
          </w:p>
          <w:p w14:paraId="12D7CFE6">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699E8515">
            <w:pPr>
              <w:pStyle w:val="6"/>
              <w:spacing w:before="162" w:line="252" w:lineRule="auto"/>
              <w:ind w:left="112" w:right="296" w:firstLine="2"/>
            </w:pPr>
            <w:r>
              <w:rPr>
                <w:spacing w:val="8"/>
              </w:rPr>
              <w:t>投标报价的偏差率</w:t>
            </w:r>
            <w:r>
              <w:rPr>
                <w:spacing w:val="7"/>
              </w:rPr>
              <w:t>计算公式</w:t>
            </w:r>
          </w:p>
        </w:tc>
        <w:tc>
          <w:tcPr>
            <w:tcW w:w="5297" w:type="dxa"/>
            <w:gridSpan w:val="2"/>
            <w:vAlign w:val="top"/>
          </w:tcPr>
          <w:p w14:paraId="4E53C241">
            <w:pPr>
              <w:pStyle w:val="6"/>
              <w:spacing w:before="163" w:line="251" w:lineRule="auto"/>
              <w:ind w:left="115" w:right="107" w:hanging="1"/>
            </w:pPr>
            <w:r>
              <w:rPr>
                <w:spacing w:val="6"/>
              </w:rPr>
              <w:t>偏差率=100%×（投标人评标价－评标基准价）÷评标基</w:t>
            </w:r>
            <w:r>
              <w:rPr>
                <w:spacing w:val="3"/>
              </w:rPr>
              <w:t>准价</w:t>
            </w:r>
          </w:p>
        </w:tc>
      </w:tr>
      <w:tr w14:paraId="46F8A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4FC03535">
            <w:pPr>
              <w:pStyle w:val="6"/>
              <w:spacing w:before="167" w:line="228" w:lineRule="auto"/>
              <w:ind w:left="592"/>
            </w:pPr>
            <w:r>
              <w:rPr>
                <w:b/>
                <w:bCs/>
                <w:spacing w:val="5"/>
              </w:rPr>
              <w:t>条款号</w:t>
            </w:r>
          </w:p>
        </w:tc>
        <w:tc>
          <w:tcPr>
            <w:tcW w:w="2084" w:type="dxa"/>
            <w:vAlign w:val="top"/>
          </w:tcPr>
          <w:p w14:paraId="0922A700">
            <w:pPr>
              <w:pStyle w:val="6"/>
              <w:spacing w:before="167" w:line="228" w:lineRule="auto"/>
              <w:ind w:left="625"/>
            </w:pPr>
            <w:r>
              <w:rPr>
                <w:b/>
                <w:bCs/>
                <w:spacing w:val="6"/>
              </w:rPr>
              <w:t>评分因素</w:t>
            </w:r>
          </w:p>
        </w:tc>
        <w:tc>
          <w:tcPr>
            <w:tcW w:w="735" w:type="dxa"/>
            <w:vAlign w:val="top"/>
          </w:tcPr>
          <w:p w14:paraId="325F7351">
            <w:pPr>
              <w:pStyle w:val="6"/>
              <w:spacing w:before="32" w:line="234" w:lineRule="auto"/>
              <w:ind w:left="269" w:right="155" w:hanging="107"/>
            </w:pPr>
            <w:r>
              <w:rPr>
                <w:b/>
                <w:bCs/>
                <w:spacing w:val="3"/>
              </w:rPr>
              <w:t>标准</w:t>
            </w:r>
            <w:r>
              <w:rPr>
                <w:b/>
                <w:bCs/>
                <w:spacing w:val="-3"/>
              </w:rPr>
              <w:t>分</w:t>
            </w:r>
          </w:p>
        </w:tc>
        <w:tc>
          <w:tcPr>
            <w:tcW w:w="4562" w:type="dxa"/>
            <w:vAlign w:val="top"/>
          </w:tcPr>
          <w:p w14:paraId="23FA89D1">
            <w:pPr>
              <w:pStyle w:val="6"/>
              <w:spacing w:before="168" w:line="228" w:lineRule="auto"/>
              <w:ind w:left="1862"/>
            </w:pPr>
            <w:r>
              <w:rPr>
                <w:b/>
                <w:bCs/>
                <w:spacing w:val="6"/>
              </w:rPr>
              <w:t>评分标准</w:t>
            </w:r>
          </w:p>
        </w:tc>
      </w:tr>
      <w:tr w14:paraId="462029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28" w:hRule="atLeast"/>
        </w:trPr>
        <w:tc>
          <w:tcPr>
            <w:tcW w:w="745" w:type="dxa"/>
            <w:vMerge w:val="restart"/>
            <w:tcBorders>
              <w:bottom w:val="nil"/>
            </w:tcBorders>
            <w:vAlign w:val="top"/>
          </w:tcPr>
          <w:p w14:paraId="53DA4F5D">
            <w:pPr>
              <w:spacing w:line="244" w:lineRule="auto"/>
              <w:rPr>
                <w:rFonts w:ascii="Arial"/>
                <w:sz w:val="21"/>
              </w:rPr>
            </w:pPr>
          </w:p>
          <w:p w14:paraId="36A032A8">
            <w:pPr>
              <w:spacing w:line="244" w:lineRule="auto"/>
              <w:rPr>
                <w:rFonts w:ascii="Arial"/>
                <w:sz w:val="21"/>
              </w:rPr>
            </w:pPr>
          </w:p>
          <w:p w14:paraId="150C3DC0">
            <w:pPr>
              <w:spacing w:line="244" w:lineRule="auto"/>
              <w:rPr>
                <w:rFonts w:ascii="Arial"/>
                <w:sz w:val="21"/>
              </w:rPr>
            </w:pPr>
          </w:p>
          <w:p w14:paraId="718A5BB5">
            <w:pPr>
              <w:spacing w:line="244" w:lineRule="auto"/>
              <w:rPr>
                <w:rFonts w:ascii="Arial"/>
                <w:sz w:val="21"/>
              </w:rPr>
            </w:pPr>
          </w:p>
          <w:p w14:paraId="6EC20EE8">
            <w:pPr>
              <w:spacing w:line="244" w:lineRule="auto"/>
              <w:rPr>
                <w:rFonts w:ascii="Arial"/>
                <w:sz w:val="21"/>
              </w:rPr>
            </w:pPr>
          </w:p>
          <w:p w14:paraId="44B3C993">
            <w:pPr>
              <w:spacing w:line="244" w:lineRule="auto"/>
              <w:rPr>
                <w:rFonts w:ascii="Arial"/>
                <w:sz w:val="21"/>
              </w:rPr>
            </w:pPr>
          </w:p>
          <w:p w14:paraId="46CCF94C">
            <w:pPr>
              <w:spacing w:line="244" w:lineRule="auto"/>
              <w:rPr>
                <w:rFonts w:ascii="Arial"/>
                <w:sz w:val="21"/>
              </w:rPr>
            </w:pPr>
          </w:p>
          <w:p w14:paraId="4109EDF2">
            <w:pPr>
              <w:spacing w:line="244" w:lineRule="auto"/>
              <w:rPr>
                <w:rFonts w:ascii="Arial"/>
                <w:sz w:val="21"/>
              </w:rPr>
            </w:pPr>
          </w:p>
          <w:p w14:paraId="3AD855C0">
            <w:pPr>
              <w:spacing w:line="244" w:lineRule="auto"/>
              <w:rPr>
                <w:rFonts w:ascii="Arial"/>
                <w:sz w:val="21"/>
              </w:rPr>
            </w:pPr>
          </w:p>
          <w:p w14:paraId="291AD52E">
            <w:pPr>
              <w:spacing w:line="244" w:lineRule="auto"/>
              <w:rPr>
                <w:rFonts w:ascii="Arial"/>
                <w:sz w:val="21"/>
              </w:rPr>
            </w:pPr>
          </w:p>
          <w:p w14:paraId="339DADC9">
            <w:pPr>
              <w:spacing w:line="244" w:lineRule="auto"/>
              <w:rPr>
                <w:rFonts w:ascii="Arial"/>
                <w:sz w:val="21"/>
              </w:rPr>
            </w:pPr>
          </w:p>
          <w:p w14:paraId="55A89AC2">
            <w:pPr>
              <w:spacing w:line="244" w:lineRule="auto"/>
              <w:rPr>
                <w:rFonts w:ascii="Arial"/>
                <w:sz w:val="21"/>
              </w:rPr>
            </w:pPr>
          </w:p>
          <w:p w14:paraId="32A32BBF">
            <w:pPr>
              <w:spacing w:line="245" w:lineRule="auto"/>
              <w:rPr>
                <w:rFonts w:ascii="Arial"/>
                <w:sz w:val="21"/>
              </w:rPr>
            </w:pPr>
          </w:p>
          <w:p w14:paraId="1B6995C4">
            <w:pPr>
              <w:spacing w:line="245" w:lineRule="auto"/>
              <w:rPr>
                <w:rFonts w:ascii="Arial"/>
                <w:sz w:val="21"/>
              </w:rPr>
            </w:pPr>
          </w:p>
          <w:p w14:paraId="1AB0A293">
            <w:pPr>
              <w:spacing w:line="245" w:lineRule="auto"/>
              <w:rPr>
                <w:rFonts w:ascii="Arial"/>
                <w:sz w:val="21"/>
              </w:rPr>
            </w:pPr>
          </w:p>
          <w:p w14:paraId="01342883">
            <w:pPr>
              <w:spacing w:line="245" w:lineRule="auto"/>
              <w:rPr>
                <w:rFonts w:ascii="Arial"/>
                <w:sz w:val="21"/>
              </w:rPr>
            </w:pPr>
          </w:p>
          <w:p w14:paraId="4AEA8BD6">
            <w:pPr>
              <w:spacing w:line="245" w:lineRule="auto"/>
              <w:rPr>
                <w:rFonts w:ascii="Arial"/>
                <w:sz w:val="21"/>
              </w:rPr>
            </w:pPr>
          </w:p>
          <w:p w14:paraId="035E3F53">
            <w:pPr>
              <w:spacing w:line="245" w:lineRule="auto"/>
              <w:rPr>
                <w:rFonts w:ascii="Arial"/>
                <w:sz w:val="21"/>
              </w:rPr>
            </w:pPr>
          </w:p>
          <w:p w14:paraId="0293A327">
            <w:pPr>
              <w:spacing w:line="245" w:lineRule="auto"/>
              <w:rPr>
                <w:rFonts w:ascii="Arial"/>
                <w:sz w:val="21"/>
              </w:rPr>
            </w:pPr>
          </w:p>
          <w:p w14:paraId="107DD5B5">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63771B03">
            <w:pPr>
              <w:pStyle w:val="6"/>
              <w:spacing w:before="216"/>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466684B6">
            <w:pPr>
              <w:spacing w:line="243" w:lineRule="auto"/>
              <w:rPr>
                <w:rFonts w:ascii="Arial"/>
                <w:sz w:val="21"/>
              </w:rPr>
            </w:pPr>
          </w:p>
          <w:p w14:paraId="4A8405B6">
            <w:pPr>
              <w:spacing w:line="243" w:lineRule="auto"/>
              <w:rPr>
                <w:rFonts w:ascii="Arial"/>
                <w:sz w:val="21"/>
              </w:rPr>
            </w:pPr>
          </w:p>
          <w:p w14:paraId="1A99966B">
            <w:pPr>
              <w:spacing w:line="243" w:lineRule="auto"/>
              <w:rPr>
                <w:rFonts w:ascii="Arial"/>
                <w:sz w:val="21"/>
              </w:rPr>
            </w:pPr>
          </w:p>
          <w:p w14:paraId="60ADCE8C">
            <w:pPr>
              <w:spacing w:line="243" w:lineRule="auto"/>
              <w:rPr>
                <w:rFonts w:ascii="Arial"/>
                <w:sz w:val="21"/>
              </w:rPr>
            </w:pPr>
          </w:p>
          <w:p w14:paraId="4B5B946D">
            <w:pPr>
              <w:spacing w:line="243" w:lineRule="auto"/>
              <w:rPr>
                <w:rFonts w:ascii="Arial"/>
                <w:sz w:val="21"/>
              </w:rPr>
            </w:pPr>
          </w:p>
          <w:p w14:paraId="5C99C23B">
            <w:pPr>
              <w:spacing w:line="243" w:lineRule="auto"/>
              <w:rPr>
                <w:rFonts w:ascii="Arial"/>
                <w:sz w:val="21"/>
              </w:rPr>
            </w:pPr>
          </w:p>
          <w:p w14:paraId="27F624CB">
            <w:pPr>
              <w:spacing w:line="243" w:lineRule="auto"/>
              <w:rPr>
                <w:rFonts w:ascii="Arial"/>
                <w:sz w:val="21"/>
              </w:rPr>
            </w:pPr>
          </w:p>
          <w:p w14:paraId="6FBCA59B">
            <w:pPr>
              <w:spacing w:line="243" w:lineRule="auto"/>
              <w:rPr>
                <w:rFonts w:ascii="Arial"/>
                <w:sz w:val="21"/>
              </w:rPr>
            </w:pPr>
          </w:p>
          <w:p w14:paraId="00CFDE0D">
            <w:pPr>
              <w:spacing w:line="243" w:lineRule="auto"/>
              <w:rPr>
                <w:rFonts w:ascii="Arial"/>
                <w:sz w:val="21"/>
              </w:rPr>
            </w:pPr>
          </w:p>
          <w:p w14:paraId="4436D716">
            <w:pPr>
              <w:spacing w:line="243" w:lineRule="auto"/>
              <w:rPr>
                <w:rFonts w:ascii="Arial"/>
                <w:sz w:val="21"/>
              </w:rPr>
            </w:pPr>
          </w:p>
          <w:p w14:paraId="69369235">
            <w:pPr>
              <w:spacing w:line="244" w:lineRule="auto"/>
              <w:rPr>
                <w:rFonts w:ascii="Arial"/>
                <w:sz w:val="21"/>
              </w:rPr>
            </w:pPr>
          </w:p>
          <w:p w14:paraId="166A7F3B">
            <w:pPr>
              <w:spacing w:line="244" w:lineRule="auto"/>
              <w:rPr>
                <w:rFonts w:ascii="Arial"/>
                <w:sz w:val="21"/>
              </w:rPr>
            </w:pPr>
          </w:p>
          <w:p w14:paraId="701868D1">
            <w:pPr>
              <w:spacing w:line="244" w:lineRule="auto"/>
              <w:rPr>
                <w:rFonts w:ascii="Arial"/>
                <w:sz w:val="21"/>
              </w:rPr>
            </w:pPr>
          </w:p>
          <w:p w14:paraId="6CA5D1DF">
            <w:pPr>
              <w:spacing w:line="244" w:lineRule="auto"/>
              <w:rPr>
                <w:rFonts w:ascii="Arial"/>
                <w:sz w:val="21"/>
              </w:rPr>
            </w:pPr>
          </w:p>
          <w:p w14:paraId="66C78243">
            <w:pPr>
              <w:spacing w:line="244" w:lineRule="auto"/>
              <w:rPr>
                <w:rFonts w:ascii="Arial"/>
                <w:sz w:val="21"/>
              </w:rPr>
            </w:pPr>
          </w:p>
          <w:p w14:paraId="666B77C3">
            <w:pPr>
              <w:spacing w:line="244" w:lineRule="auto"/>
              <w:rPr>
                <w:rFonts w:ascii="Arial"/>
                <w:sz w:val="21"/>
              </w:rPr>
            </w:pPr>
          </w:p>
          <w:p w14:paraId="2C09C52D">
            <w:pPr>
              <w:spacing w:line="244" w:lineRule="auto"/>
              <w:rPr>
                <w:rFonts w:ascii="Arial"/>
                <w:sz w:val="21"/>
              </w:rPr>
            </w:pPr>
          </w:p>
          <w:p w14:paraId="1E4F218C">
            <w:pPr>
              <w:spacing w:line="244" w:lineRule="auto"/>
              <w:rPr>
                <w:rFonts w:ascii="Arial"/>
                <w:sz w:val="21"/>
              </w:rPr>
            </w:pPr>
          </w:p>
          <w:p w14:paraId="5490B38D">
            <w:pPr>
              <w:spacing w:line="244" w:lineRule="auto"/>
              <w:rPr>
                <w:rFonts w:ascii="Arial"/>
                <w:sz w:val="21"/>
              </w:rPr>
            </w:pPr>
          </w:p>
          <w:p w14:paraId="691AD3EE">
            <w:pPr>
              <w:pStyle w:val="6"/>
              <w:spacing w:before="65" w:line="252" w:lineRule="auto"/>
              <w:ind w:left="111" w:right="111" w:firstLine="3"/>
            </w:pPr>
            <w:r>
              <w:rPr>
                <w:spacing w:val="6"/>
              </w:rPr>
              <w:t>投标报价</w:t>
            </w:r>
            <w:r>
              <w:rPr>
                <w:spacing w:val="7"/>
              </w:rPr>
              <w:t>评分标准</w:t>
            </w:r>
          </w:p>
        </w:tc>
        <w:tc>
          <w:tcPr>
            <w:tcW w:w="2084" w:type="dxa"/>
            <w:vAlign w:val="top"/>
          </w:tcPr>
          <w:p w14:paraId="006CFA39">
            <w:pPr>
              <w:spacing w:line="343" w:lineRule="auto"/>
              <w:rPr>
                <w:rFonts w:ascii="Arial"/>
                <w:sz w:val="21"/>
              </w:rPr>
            </w:pPr>
          </w:p>
          <w:p w14:paraId="019AB4F3">
            <w:pPr>
              <w:spacing w:line="343" w:lineRule="auto"/>
              <w:rPr>
                <w:rFonts w:ascii="Arial"/>
                <w:sz w:val="21"/>
              </w:rPr>
            </w:pPr>
          </w:p>
          <w:p w14:paraId="5F791D05">
            <w:pPr>
              <w:pStyle w:val="6"/>
              <w:spacing w:before="65" w:line="226" w:lineRule="auto"/>
              <w:ind w:left="112"/>
            </w:pPr>
            <w:r>
              <w:rPr>
                <w:spacing w:val="8"/>
              </w:rPr>
              <w:t>计算投标报价得分</w:t>
            </w:r>
          </w:p>
        </w:tc>
        <w:tc>
          <w:tcPr>
            <w:tcW w:w="735" w:type="dxa"/>
            <w:vAlign w:val="top"/>
          </w:tcPr>
          <w:p w14:paraId="4E8355A9">
            <w:pPr>
              <w:spacing w:line="343" w:lineRule="auto"/>
              <w:rPr>
                <w:rFonts w:ascii="Arial"/>
                <w:sz w:val="21"/>
              </w:rPr>
            </w:pPr>
          </w:p>
          <w:p w14:paraId="762B9D65">
            <w:pPr>
              <w:spacing w:line="343" w:lineRule="auto"/>
              <w:rPr>
                <w:rFonts w:ascii="Arial"/>
                <w:sz w:val="21"/>
              </w:rPr>
            </w:pPr>
          </w:p>
          <w:p w14:paraId="416AE515">
            <w:pPr>
              <w:pStyle w:val="6"/>
              <w:spacing w:before="65" w:line="228" w:lineRule="auto"/>
              <w:ind w:left="140"/>
            </w:pPr>
            <w:r>
              <w:rPr>
                <w:spacing w:val="-2"/>
              </w:rPr>
              <w:t>70</w:t>
            </w:r>
            <w:r>
              <w:rPr>
                <w:spacing w:val="-34"/>
              </w:rPr>
              <w:t xml:space="preserve"> </w:t>
            </w:r>
            <w:r>
              <w:rPr>
                <w:spacing w:val="-2"/>
              </w:rPr>
              <w:t>分</w:t>
            </w:r>
          </w:p>
        </w:tc>
        <w:tc>
          <w:tcPr>
            <w:tcW w:w="4562" w:type="dxa"/>
            <w:vAlign w:val="top"/>
          </w:tcPr>
          <w:p w14:paraId="3D772888">
            <w:pPr>
              <w:pStyle w:val="6"/>
              <w:spacing w:before="213" w:line="250" w:lineRule="auto"/>
              <w:ind w:left="115" w:right="148" w:hanging="5"/>
            </w:pPr>
            <w:r>
              <w:rPr>
                <w:spacing w:val="7"/>
              </w:rPr>
              <w:t>F＝70-（投标人评标价-评标基准价）</w:t>
            </w:r>
            <w:r>
              <w:rPr>
                <w:spacing w:val="-60"/>
              </w:rPr>
              <w:t xml:space="preserve"> </w:t>
            </w:r>
            <w:r>
              <w:rPr>
                <w:spacing w:val="6"/>
              </w:rPr>
              <w:t>÷评标基</w:t>
            </w:r>
            <w:r>
              <w:rPr>
                <w:spacing w:val="7"/>
              </w:rPr>
              <w:t>准价×100×3   （评标价＞基准价时）</w:t>
            </w:r>
          </w:p>
          <w:p w14:paraId="31F96088">
            <w:pPr>
              <w:pStyle w:val="6"/>
              <w:spacing w:before="1" w:line="252" w:lineRule="auto"/>
              <w:ind w:left="115" w:right="148" w:hanging="5"/>
            </w:pPr>
            <w:r>
              <w:rPr>
                <w:spacing w:val="6"/>
              </w:rPr>
              <w:t>F＝70-（评标基准价-投标人评标价）</w:t>
            </w:r>
            <w:r>
              <w:rPr>
                <w:spacing w:val="-41"/>
              </w:rPr>
              <w:t xml:space="preserve"> </w:t>
            </w:r>
            <w:r>
              <w:rPr>
                <w:spacing w:val="6"/>
              </w:rPr>
              <w:t>÷评标基</w:t>
            </w:r>
            <w:r>
              <w:rPr>
                <w:spacing w:val="7"/>
              </w:rPr>
              <w:t>准价×100×2   （评标价≤基准价时）</w:t>
            </w:r>
          </w:p>
          <w:p w14:paraId="434F0C23">
            <w:pPr>
              <w:pStyle w:val="6"/>
              <w:spacing w:line="228" w:lineRule="auto"/>
              <w:ind w:left="114"/>
            </w:pPr>
            <w:r>
              <w:rPr>
                <w:spacing w:val="5"/>
              </w:rPr>
              <w:t>其中：</w:t>
            </w:r>
            <w:r>
              <w:rPr>
                <w:rFonts w:ascii="Times New Roman" w:hAnsi="Times New Roman" w:eastAsia="Times New Roman" w:cs="Times New Roman"/>
                <w:spacing w:val="5"/>
              </w:rPr>
              <w:t>F</w:t>
            </w:r>
            <w:r>
              <w:rPr>
                <w:spacing w:val="5"/>
              </w:rPr>
              <w:t>≥</w:t>
            </w:r>
            <w:r>
              <w:rPr>
                <w:rFonts w:ascii="Times New Roman" w:hAnsi="Times New Roman" w:eastAsia="Times New Roman" w:cs="Times New Roman"/>
                <w:spacing w:val="5"/>
              </w:rPr>
              <w:t>0</w:t>
            </w:r>
            <w:r>
              <w:rPr>
                <w:spacing w:val="5"/>
              </w:rPr>
              <w:t>。</w:t>
            </w:r>
          </w:p>
        </w:tc>
      </w:tr>
      <w:tr w14:paraId="69186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4" w:hRule="atLeast"/>
        </w:trPr>
        <w:tc>
          <w:tcPr>
            <w:tcW w:w="745" w:type="dxa"/>
            <w:vMerge w:val="continue"/>
            <w:tcBorders>
              <w:top w:val="nil"/>
              <w:bottom w:val="nil"/>
            </w:tcBorders>
            <w:vAlign w:val="top"/>
          </w:tcPr>
          <w:p w14:paraId="19DC274F">
            <w:pPr>
              <w:rPr>
                <w:rFonts w:ascii="Arial"/>
                <w:sz w:val="21"/>
              </w:rPr>
            </w:pPr>
          </w:p>
        </w:tc>
        <w:tc>
          <w:tcPr>
            <w:tcW w:w="1058" w:type="dxa"/>
            <w:vMerge w:val="continue"/>
            <w:tcBorders>
              <w:top w:val="nil"/>
              <w:bottom w:val="nil"/>
            </w:tcBorders>
            <w:vAlign w:val="top"/>
          </w:tcPr>
          <w:p w14:paraId="0DC4B662">
            <w:pPr>
              <w:rPr>
                <w:rFonts w:ascii="Arial"/>
                <w:sz w:val="21"/>
              </w:rPr>
            </w:pPr>
          </w:p>
        </w:tc>
        <w:tc>
          <w:tcPr>
            <w:tcW w:w="2084" w:type="dxa"/>
            <w:vAlign w:val="top"/>
          </w:tcPr>
          <w:p w14:paraId="6B4A67D1">
            <w:pPr>
              <w:spacing w:line="249" w:lineRule="auto"/>
              <w:rPr>
                <w:rFonts w:ascii="Arial"/>
                <w:sz w:val="21"/>
              </w:rPr>
            </w:pPr>
          </w:p>
          <w:p w14:paraId="1F1980DA">
            <w:pPr>
              <w:spacing w:line="250" w:lineRule="auto"/>
              <w:rPr>
                <w:rFonts w:ascii="Arial"/>
                <w:sz w:val="21"/>
              </w:rPr>
            </w:pPr>
          </w:p>
          <w:p w14:paraId="54B56DE6">
            <w:pPr>
              <w:spacing w:line="250" w:lineRule="auto"/>
              <w:rPr>
                <w:rFonts w:ascii="Arial"/>
                <w:sz w:val="21"/>
              </w:rPr>
            </w:pPr>
          </w:p>
          <w:p w14:paraId="33DED860">
            <w:pPr>
              <w:spacing w:line="250" w:lineRule="auto"/>
              <w:rPr>
                <w:rFonts w:ascii="Arial"/>
                <w:sz w:val="21"/>
              </w:rPr>
            </w:pPr>
          </w:p>
          <w:p w14:paraId="1111FF7A">
            <w:pPr>
              <w:spacing w:line="250" w:lineRule="auto"/>
              <w:rPr>
                <w:rFonts w:ascii="Arial"/>
                <w:sz w:val="21"/>
              </w:rPr>
            </w:pPr>
          </w:p>
          <w:p w14:paraId="759AA560">
            <w:pPr>
              <w:spacing w:line="250" w:lineRule="auto"/>
              <w:rPr>
                <w:rFonts w:ascii="Arial"/>
                <w:sz w:val="21"/>
              </w:rPr>
            </w:pPr>
          </w:p>
          <w:p w14:paraId="098D9938">
            <w:pPr>
              <w:spacing w:line="250" w:lineRule="auto"/>
              <w:rPr>
                <w:rFonts w:ascii="Arial"/>
                <w:sz w:val="21"/>
              </w:rPr>
            </w:pPr>
          </w:p>
          <w:p w14:paraId="76EF5134">
            <w:pPr>
              <w:pStyle w:val="6"/>
              <w:spacing w:before="65" w:line="226" w:lineRule="auto"/>
              <w:ind w:left="115"/>
            </w:pPr>
            <w:r>
              <w:rPr>
                <w:spacing w:val="8"/>
              </w:rPr>
              <w:t>不平衡报价扣分</w:t>
            </w:r>
          </w:p>
        </w:tc>
        <w:tc>
          <w:tcPr>
            <w:tcW w:w="735" w:type="dxa"/>
            <w:vAlign w:val="top"/>
          </w:tcPr>
          <w:p w14:paraId="65254C8B">
            <w:pPr>
              <w:rPr>
                <w:rFonts w:ascii="Arial"/>
                <w:sz w:val="21"/>
              </w:rPr>
            </w:pPr>
          </w:p>
        </w:tc>
        <w:tc>
          <w:tcPr>
            <w:tcW w:w="4562" w:type="dxa"/>
            <w:vAlign w:val="top"/>
          </w:tcPr>
          <w:p w14:paraId="43A95270">
            <w:pPr>
              <w:pStyle w:val="6"/>
              <w:spacing w:before="194" w:line="251" w:lineRule="auto"/>
              <w:ind w:left="112" w:right="107" w:firstLine="28"/>
              <w:jc w:val="both"/>
            </w:pPr>
            <w:r>
              <w:rPr>
                <w:spacing w:val="7"/>
              </w:rPr>
              <w:t>〔单位工程投标报价-（暂列金额+税金）-（专</w:t>
            </w:r>
            <w:r>
              <w:rPr>
                <w:spacing w:val="-1"/>
              </w:rPr>
              <w:t>业工程暂估价+税金）〕低于（不含）〔单位工程</w:t>
            </w:r>
            <w:r>
              <w:rPr>
                <w:spacing w:val="9"/>
              </w:rPr>
              <w:t>招标控制价-（暂列金额+税金）-（专业</w:t>
            </w:r>
            <w:r>
              <w:rPr>
                <w:spacing w:val="8"/>
              </w:rPr>
              <w:t>工程暂</w:t>
            </w:r>
            <w:r>
              <w:rPr>
                <w:spacing w:val="-1"/>
              </w:rPr>
              <w:t>估价+税金）〕</w:t>
            </w:r>
            <w:r>
              <w:rPr>
                <w:spacing w:val="-1"/>
                <w:u w:val="single" w:color="auto"/>
              </w:rPr>
              <w:t xml:space="preserve">   H%</w:t>
            </w:r>
            <w:r>
              <w:rPr>
                <w:spacing w:val="8"/>
                <w:u w:val="single" w:color="auto"/>
              </w:rPr>
              <w:t xml:space="preserve">    </w:t>
            </w:r>
            <w:r>
              <w:rPr>
                <w:spacing w:val="-74"/>
              </w:rPr>
              <w:t xml:space="preserve"> </w:t>
            </w:r>
            <w:r>
              <w:rPr>
                <w:spacing w:val="-1"/>
              </w:rPr>
              <w:t>的,视为不平衡报价，每</w:t>
            </w:r>
            <w:r>
              <w:rPr>
                <w:spacing w:val="7"/>
              </w:rPr>
              <w:t>发现一项，扣</w:t>
            </w:r>
            <w:r>
              <w:rPr>
                <w:spacing w:val="-32"/>
              </w:rPr>
              <w:t xml:space="preserve"> </w:t>
            </w:r>
            <w:r>
              <w:rPr>
                <w:spacing w:val="7"/>
              </w:rPr>
              <w:t>5</w:t>
            </w:r>
            <w:r>
              <w:rPr>
                <w:spacing w:val="-36"/>
              </w:rPr>
              <w:t xml:space="preserve"> </w:t>
            </w:r>
            <w:r>
              <w:rPr>
                <w:spacing w:val="7"/>
              </w:rPr>
              <w:t>分，该项计分公式为：</w:t>
            </w:r>
          </w:p>
          <w:p w14:paraId="000BB8D2">
            <w:pPr>
              <w:pStyle w:val="6"/>
              <w:spacing w:line="242" w:lineRule="auto"/>
              <w:ind w:left="424"/>
              <w:rPr>
                <w:sz w:val="10"/>
                <w:szCs w:val="10"/>
              </w:rPr>
            </w:pPr>
            <w:r>
              <w:rPr>
                <w:spacing w:val="-2"/>
              </w:rPr>
              <w:t>K</w:t>
            </w:r>
            <w:r>
              <w:rPr>
                <w:spacing w:val="19"/>
              </w:rPr>
              <w:t xml:space="preserve"> </w:t>
            </w:r>
            <w:r>
              <w:rPr>
                <w:spacing w:val="-2"/>
              </w:rPr>
              <w:t>=k</w:t>
            </w:r>
            <w:r>
              <w:rPr>
                <w:spacing w:val="-2"/>
                <w:position w:val="-2"/>
                <w:sz w:val="10"/>
                <w:szCs w:val="10"/>
              </w:rPr>
              <w:t>1</w:t>
            </w:r>
            <w:r>
              <w:rPr>
                <w:spacing w:val="7"/>
                <w:position w:val="-2"/>
                <w:sz w:val="10"/>
                <w:szCs w:val="10"/>
              </w:rPr>
              <w:t xml:space="preserve">  </w:t>
            </w:r>
            <w:r>
              <w:rPr>
                <w:spacing w:val="-2"/>
              </w:rPr>
              <w:t>+</w:t>
            </w:r>
            <w:r>
              <w:rPr>
                <w:spacing w:val="11"/>
              </w:rPr>
              <w:t xml:space="preserve"> </w:t>
            </w:r>
            <w:r>
              <w:rPr>
                <w:spacing w:val="-2"/>
              </w:rPr>
              <w:t>k</w:t>
            </w:r>
            <w:r>
              <w:rPr>
                <w:spacing w:val="-2"/>
                <w:position w:val="-2"/>
                <w:sz w:val="10"/>
                <w:szCs w:val="10"/>
              </w:rPr>
              <w:t>2</w:t>
            </w:r>
            <w:r>
              <w:rPr>
                <w:spacing w:val="12"/>
                <w:position w:val="-2"/>
                <w:sz w:val="10"/>
                <w:szCs w:val="10"/>
              </w:rPr>
              <w:t xml:space="preserve"> </w:t>
            </w:r>
            <w:r>
              <w:rPr>
                <w:spacing w:val="-2"/>
              </w:rPr>
              <w:t>+</w:t>
            </w:r>
            <w:r>
              <w:rPr>
                <w:spacing w:val="26"/>
              </w:rPr>
              <w:t xml:space="preserve"> </w:t>
            </w:r>
            <w:r>
              <w:rPr>
                <w:spacing w:val="-2"/>
              </w:rPr>
              <w:t>…</w:t>
            </w:r>
            <w:r>
              <w:rPr>
                <w:spacing w:val="16"/>
              </w:rPr>
              <w:t xml:space="preserve"> </w:t>
            </w:r>
            <w:r>
              <w:rPr>
                <w:spacing w:val="-2"/>
              </w:rPr>
              <w:t>+</w:t>
            </w:r>
            <w:r>
              <w:rPr>
                <w:spacing w:val="11"/>
              </w:rPr>
              <w:t xml:space="preserve"> </w:t>
            </w:r>
            <w:r>
              <w:rPr>
                <w:spacing w:val="-2"/>
              </w:rPr>
              <w:t>k</w:t>
            </w:r>
            <w:r>
              <w:rPr>
                <w:spacing w:val="-2"/>
                <w:position w:val="-2"/>
                <w:sz w:val="10"/>
                <w:szCs w:val="10"/>
              </w:rPr>
              <w:t>n</w:t>
            </w:r>
          </w:p>
          <w:p w14:paraId="31E90ECC">
            <w:pPr>
              <w:pStyle w:val="6"/>
              <w:spacing w:before="8" w:line="228" w:lineRule="auto"/>
              <w:ind w:left="428"/>
            </w:pPr>
            <w:r>
              <w:rPr>
                <w:spacing w:val="5"/>
              </w:rPr>
              <w:t>其中:K</w:t>
            </w:r>
            <w:r>
              <w:rPr>
                <w:spacing w:val="-28"/>
              </w:rPr>
              <w:t xml:space="preserve"> </w:t>
            </w:r>
            <w:r>
              <w:rPr>
                <w:spacing w:val="5"/>
              </w:rPr>
              <w:t>为扣分合计；</w:t>
            </w:r>
          </w:p>
          <w:p w14:paraId="31CEC539">
            <w:pPr>
              <w:pStyle w:val="6"/>
              <w:spacing w:before="25" w:line="228" w:lineRule="auto"/>
              <w:ind w:left="951"/>
            </w:pPr>
            <w:r>
              <w:rPr>
                <w:spacing w:val="6"/>
              </w:rPr>
              <w:t>k</w:t>
            </w:r>
            <w:r>
              <w:rPr>
                <w:spacing w:val="-35"/>
              </w:rPr>
              <w:t xml:space="preserve"> </w:t>
            </w:r>
            <w:r>
              <w:rPr>
                <w:spacing w:val="6"/>
              </w:rPr>
              <w:t>为单次扣分分值；</w:t>
            </w:r>
          </w:p>
          <w:p w14:paraId="31EA10FA">
            <w:pPr>
              <w:pStyle w:val="6"/>
              <w:spacing w:before="25" w:line="228" w:lineRule="auto"/>
              <w:ind w:left="951"/>
            </w:pPr>
            <w:r>
              <w:rPr>
                <w:spacing w:val="5"/>
              </w:rPr>
              <w:t>n</w:t>
            </w:r>
            <w:r>
              <w:rPr>
                <w:spacing w:val="-36"/>
              </w:rPr>
              <w:t xml:space="preserve"> </w:t>
            </w:r>
            <w:r>
              <w:rPr>
                <w:spacing w:val="5"/>
              </w:rPr>
              <w:t>为扣分次数；</w:t>
            </w:r>
          </w:p>
          <w:p w14:paraId="71B2ADF6">
            <w:pPr>
              <w:pStyle w:val="6"/>
              <w:spacing w:before="27" w:line="250" w:lineRule="auto"/>
              <w:ind w:left="120" w:right="148" w:firstLine="827"/>
            </w:pPr>
            <w:r>
              <w:rPr>
                <w:spacing w:val="6"/>
              </w:rPr>
              <w:t>H</w:t>
            </w:r>
            <w:r>
              <w:rPr>
                <w:spacing w:val="-23"/>
              </w:rPr>
              <w:t xml:space="preserve"> </w:t>
            </w:r>
            <w:r>
              <w:rPr>
                <w:spacing w:val="6"/>
              </w:rPr>
              <w:t>为不平衡报价系数。H</w:t>
            </w:r>
            <w:r>
              <w:rPr>
                <w:spacing w:val="-20"/>
              </w:rPr>
              <w:t xml:space="preserve"> </w:t>
            </w:r>
            <w:r>
              <w:rPr>
                <w:spacing w:val="6"/>
              </w:rPr>
              <w:t>的取值见第二</w:t>
            </w:r>
            <w:r>
              <w:rPr>
                <w:spacing w:val="4"/>
              </w:rPr>
              <w:t>章投标人须知前附表第</w:t>
            </w:r>
            <w:r>
              <w:rPr>
                <w:spacing w:val="-14"/>
              </w:rPr>
              <w:t xml:space="preserve"> </w:t>
            </w:r>
            <w:r>
              <w:rPr>
                <w:rFonts w:ascii="Times New Roman" w:hAnsi="Times New Roman" w:eastAsia="Times New Roman" w:cs="Times New Roman"/>
                <w:spacing w:val="4"/>
              </w:rPr>
              <w:t>10.2.2</w:t>
            </w:r>
            <w:r>
              <w:rPr>
                <w:rFonts w:ascii="Times New Roman" w:hAnsi="Times New Roman" w:eastAsia="Times New Roman" w:cs="Times New Roman"/>
                <w:spacing w:val="15"/>
                <w:w w:val="101"/>
              </w:rPr>
              <w:t xml:space="preserve"> </w:t>
            </w:r>
            <w:r>
              <w:rPr>
                <w:spacing w:val="4"/>
              </w:rPr>
              <w:t>项。</w:t>
            </w:r>
          </w:p>
          <w:p w14:paraId="21E08901">
            <w:pPr>
              <w:pStyle w:val="6"/>
              <w:spacing w:before="1" w:line="253" w:lineRule="auto"/>
              <w:ind w:left="130" w:right="109" w:hanging="15"/>
            </w:pPr>
            <w:r>
              <w:rPr>
                <w:spacing w:val="6"/>
              </w:rPr>
              <w:t>单位工程投标报价如有算术错误修正，以修正后的单位工程投标报价计算。</w:t>
            </w:r>
          </w:p>
        </w:tc>
      </w:tr>
      <w:tr w14:paraId="3B8E4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745" w:type="dxa"/>
            <w:vMerge w:val="continue"/>
            <w:tcBorders>
              <w:top w:val="nil"/>
              <w:bottom w:val="nil"/>
            </w:tcBorders>
            <w:vAlign w:val="top"/>
          </w:tcPr>
          <w:p w14:paraId="3E0F9FC7">
            <w:pPr>
              <w:rPr>
                <w:rFonts w:ascii="Arial"/>
                <w:sz w:val="21"/>
              </w:rPr>
            </w:pPr>
          </w:p>
        </w:tc>
        <w:tc>
          <w:tcPr>
            <w:tcW w:w="1058" w:type="dxa"/>
            <w:vMerge w:val="continue"/>
            <w:tcBorders>
              <w:top w:val="nil"/>
              <w:bottom w:val="nil"/>
            </w:tcBorders>
            <w:vAlign w:val="top"/>
          </w:tcPr>
          <w:p w14:paraId="5A43848D">
            <w:pPr>
              <w:rPr>
                <w:rFonts w:ascii="Arial"/>
                <w:sz w:val="21"/>
              </w:rPr>
            </w:pPr>
          </w:p>
        </w:tc>
        <w:tc>
          <w:tcPr>
            <w:tcW w:w="2084" w:type="dxa"/>
            <w:vAlign w:val="top"/>
          </w:tcPr>
          <w:p w14:paraId="5F291B44">
            <w:pPr>
              <w:pStyle w:val="6"/>
              <w:spacing w:before="145" w:line="226" w:lineRule="auto"/>
              <w:ind w:left="115"/>
            </w:pPr>
            <w:r>
              <w:rPr>
                <w:spacing w:val="7"/>
              </w:rPr>
              <w:t>投标报价得分</w:t>
            </w:r>
          </w:p>
        </w:tc>
        <w:tc>
          <w:tcPr>
            <w:tcW w:w="735" w:type="dxa"/>
            <w:vAlign w:val="top"/>
          </w:tcPr>
          <w:p w14:paraId="75F22B3A">
            <w:pPr>
              <w:rPr>
                <w:rFonts w:ascii="Arial"/>
                <w:sz w:val="21"/>
              </w:rPr>
            </w:pPr>
          </w:p>
        </w:tc>
        <w:tc>
          <w:tcPr>
            <w:tcW w:w="4562" w:type="dxa"/>
            <w:vAlign w:val="top"/>
          </w:tcPr>
          <w:p w14:paraId="2B5A7083">
            <w:pPr>
              <w:pStyle w:val="6"/>
              <w:spacing w:before="107" w:line="281" w:lineRule="exact"/>
              <w:ind w:left="108"/>
            </w:pPr>
            <w:r>
              <w:rPr>
                <w:rFonts w:ascii="Times New Roman" w:hAnsi="Times New Roman" w:eastAsia="Times New Roman" w:cs="Times New Roman"/>
                <w:spacing w:val="5"/>
                <w:position w:val="1"/>
              </w:rPr>
              <w:t>M = F – K</w:t>
            </w:r>
            <w:r>
              <w:rPr>
                <w:rFonts w:ascii="Times New Roman" w:hAnsi="Times New Roman" w:eastAsia="Times New Roman" w:cs="Times New Roman"/>
                <w:spacing w:val="3"/>
                <w:position w:val="1"/>
              </w:rPr>
              <w:t xml:space="preserve">            </w:t>
            </w:r>
            <w:r>
              <w:rPr>
                <w:spacing w:val="5"/>
                <w:position w:val="1"/>
              </w:rPr>
              <w:t>其中：</w:t>
            </w:r>
            <w:r>
              <w:rPr>
                <w:rFonts w:ascii="Times New Roman" w:hAnsi="Times New Roman" w:eastAsia="Times New Roman" w:cs="Times New Roman"/>
                <w:spacing w:val="5"/>
                <w:position w:val="1"/>
              </w:rPr>
              <w:t>M</w:t>
            </w:r>
            <w:r>
              <w:rPr>
                <w:spacing w:val="5"/>
                <w:position w:val="1"/>
              </w:rPr>
              <w:t>≥</w:t>
            </w:r>
            <w:r>
              <w:rPr>
                <w:rFonts w:ascii="Times New Roman" w:hAnsi="Times New Roman" w:eastAsia="Times New Roman" w:cs="Times New Roman"/>
                <w:spacing w:val="5"/>
                <w:position w:val="1"/>
              </w:rPr>
              <w:t>0</w:t>
            </w:r>
            <w:r>
              <w:rPr>
                <w:spacing w:val="5"/>
                <w:position w:val="1"/>
              </w:rPr>
              <w:t>。</w:t>
            </w:r>
          </w:p>
        </w:tc>
      </w:tr>
      <w:tr w14:paraId="3E130A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9" w:hRule="atLeast"/>
        </w:trPr>
        <w:tc>
          <w:tcPr>
            <w:tcW w:w="745" w:type="dxa"/>
            <w:vMerge w:val="continue"/>
            <w:tcBorders>
              <w:top w:val="nil"/>
            </w:tcBorders>
            <w:vAlign w:val="top"/>
          </w:tcPr>
          <w:p w14:paraId="0F357284">
            <w:pPr>
              <w:rPr>
                <w:rFonts w:ascii="Arial"/>
                <w:sz w:val="21"/>
              </w:rPr>
            </w:pPr>
          </w:p>
        </w:tc>
        <w:tc>
          <w:tcPr>
            <w:tcW w:w="1058" w:type="dxa"/>
            <w:vMerge w:val="continue"/>
            <w:tcBorders>
              <w:top w:val="nil"/>
            </w:tcBorders>
            <w:vAlign w:val="top"/>
          </w:tcPr>
          <w:p w14:paraId="4522B81D">
            <w:pPr>
              <w:rPr>
                <w:rFonts w:ascii="Arial"/>
                <w:sz w:val="21"/>
              </w:rPr>
            </w:pPr>
          </w:p>
        </w:tc>
        <w:tc>
          <w:tcPr>
            <w:tcW w:w="2084" w:type="dxa"/>
            <w:vAlign w:val="top"/>
          </w:tcPr>
          <w:p w14:paraId="43E85F9E">
            <w:pPr>
              <w:rPr>
                <w:rFonts w:ascii="Arial"/>
                <w:sz w:val="21"/>
              </w:rPr>
            </w:pPr>
          </w:p>
          <w:p w14:paraId="586E380B">
            <w:pPr>
              <w:rPr>
                <w:rFonts w:ascii="Arial"/>
                <w:sz w:val="21"/>
              </w:rPr>
            </w:pPr>
          </w:p>
          <w:p w14:paraId="4804BB52">
            <w:pPr>
              <w:rPr>
                <w:rFonts w:ascii="Arial"/>
                <w:sz w:val="21"/>
              </w:rPr>
            </w:pPr>
          </w:p>
          <w:p w14:paraId="3730120D">
            <w:pPr>
              <w:rPr>
                <w:rFonts w:ascii="Arial"/>
                <w:sz w:val="21"/>
              </w:rPr>
            </w:pPr>
          </w:p>
          <w:p w14:paraId="0D41381A">
            <w:pPr>
              <w:rPr>
                <w:rFonts w:ascii="Arial"/>
                <w:sz w:val="21"/>
              </w:rPr>
            </w:pPr>
          </w:p>
          <w:p w14:paraId="0B9A591B">
            <w:pPr>
              <w:rPr>
                <w:rFonts w:ascii="Arial"/>
                <w:sz w:val="21"/>
              </w:rPr>
            </w:pPr>
          </w:p>
          <w:p w14:paraId="33ECFD7E">
            <w:pPr>
              <w:spacing w:line="241" w:lineRule="auto"/>
              <w:rPr>
                <w:rFonts w:ascii="Arial"/>
                <w:sz w:val="21"/>
              </w:rPr>
            </w:pPr>
          </w:p>
          <w:p w14:paraId="285FE9C7">
            <w:pPr>
              <w:spacing w:line="241" w:lineRule="auto"/>
              <w:rPr>
                <w:rFonts w:ascii="Arial"/>
                <w:sz w:val="21"/>
              </w:rPr>
            </w:pPr>
          </w:p>
          <w:p w14:paraId="70C9BE8D">
            <w:pPr>
              <w:spacing w:line="241" w:lineRule="auto"/>
              <w:rPr>
                <w:rFonts w:ascii="Arial"/>
                <w:sz w:val="21"/>
              </w:rPr>
            </w:pPr>
          </w:p>
          <w:p w14:paraId="65C29C7B">
            <w:pPr>
              <w:spacing w:line="241" w:lineRule="auto"/>
              <w:rPr>
                <w:rFonts w:ascii="Arial"/>
                <w:sz w:val="21"/>
              </w:rPr>
            </w:pPr>
          </w:p>
          <w:p w14:paraId="5FC0036D">
            <w:pPr>
              <w:pStyle w:val="6"/>
              <w:spacing w:before="65" w:line="251" w:lineRule="auto"/>
              <w:ind w:left="112" w:right="716" w:hanging="1"/>
            </w:pPr>
            <w:r>
              <w:rPr>
                <w:spacing w:val="8"/>
              </w:rPr>
              <w:t>政府采购工程价格评审优惠</w:t>
            </w:r>
          </w:p>
        </w:tc>
        <w:tc>
          <w:tcPr>
            <w:tcW w:w="735" w:type="dxa"/>
            <w:vAlign w:val="top"/>
          </w:tcPr>
          <w:p w14:paraId="1D376561">
            <w:pPr>
              <w:rPr>
                <w:rFonts w:ascii="Arial"/>
                <w:sz w:val="21"/>
              </w:rPr>
            </w:pPr>
          </w:p>
        </w:tc>
        <w:tc>
          <w:tcPr>
            <w:tcW w:w="4562" w:type="dxa"/>
            <w:vAlign w:val="top"/>
          </w:tcPr>
          <w:p w14:paraId="18FF993C">
            <w:pPr>
              <w:pStyle w:val="6"/>
              <w:spacing w:before="33" w:line="227" w:lineRule="auto"/>
              <w:ind w:left="112"/>
            </w:pPr>
            <w:r>
              <w:rPr>
                <w:spacing w:val="9"/>
              </w:rPr>
              <w:t>对项目未预留份额专门面向中小企业采购的</w:t>
            </w:r>
          </w:p>
          <w:p w14:paraId="6809EFB1">
            <w:pPr>
              <w:pStyle w:val="6"/>
              <w:spacing w:before="28" w:line="251"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p w14:paraId="2B63AE62">
            <w:pPr>
              <w:pStyle w:val="6"/>
              <w:spacing w:line="228" w:lineRule="auto"/>
              <w:ind w:left="549"/>
            </w:pPr>
            <w:r>
              <w:rPr>
                <w:spacing w:val="3"/>
              </w:rPr>
              <w:t>即</w:t>
            </w:r>
            <w:r>
              <w:rPr>
                <w:spacing w:val="-38"/>
              </w:rPr>
              <w:t xml:space="preserve"> </w:t>
            </w:r>
            <w:r>
              <w:rPr>
                <w:spacing w:val="3"/>
              </w:rPr>
              <w:t>S= M×（1+P%）</w:t>
            </w:r>
          </w:p>
          <w:p w14:paraId="052990F4">
            <w:pPr>
              <w:pStyle w:val="6"/>
              <w:spacing w:before="23" w:line="252"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0FEB1474">
            <w:pPr>
              <w:pStyle w:val="6"/>
              <w:spacing w:before="1" w:line="251" w:lineRule="auto"/>
              <w:ind w:left="116" w:right="107" w:firstLine="420"/>
            </w:pPr>
            <w:r>
              <w:rPr>
                <w:spacing w:val="5"/>
              </w:rPr>
              <w:t>如招标人接受联合体，联合体各方均为小微</w:t>
            </w:r>
            <w:r>
              <w:rPr>
                <w:spacing w:val="8"/>
              </w:rPr>
              <w:t>企业的，联合体视同小微企业。</w:t>
            </w:r>
          </w:p>
          <w:p w14:paraId="44785204">
            <w:pPr>
              <w:pStyle w:val="6"/>
              <w:spacing w:before="270"/>
              <w:ind w:left="114" w:right="107" w:firstLine="1"/>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p>
        </w:tc>
      </w:tr>
    </w:tbl>
    <w:p w14:paraId="39DBF168">
      <w:pPr>
        <w:rPr>
          <w:rFonts w:ascii="Arial"/>
          <w:sz w:val="21"/>
        </w:rPr>
      </w:pPr>
    </w:p>
    <w:p w14:paraId="3A262941">
      <w:pPr>
        <w:rPr>
          <w:rFonts w:ascii="Arial" w:hAnsi="Arial" w:eastAsia="Arial" w:cs="Arial"/>
          <w:sz w:val="21"/>
          <w:szCs w:val="21"/>
        </w:rPr>
        <w:sectPr>
          <w:footerReference r:id="rId77" w:type="default"/>
          <w:pgSz w:w="11907" w:h="16840"/>
          <w:pgMar w:top="400" w:right="1248" w:bottom="1035" w:left="1469" w:header="0" w:footer="785" w:gutter="0"/>
          <w:cols w:space="720" w:num="1"/>
        </w:sectPr>
      </w:pPr>
    </w:p>
    <w:p w14:paraId="3418A464">
      <w:pPr>
        <w:spacing w:before="19"/>
      </w:pPr>
    </w:p>
    <w:p w14:paraId="2578B800">
      <w:pPr>
        <w:spacing w:before="19"/>
      </w:pPr>
    </w:p>
    <w:p w14:paraId="3154CC00">
      <w:pPr>
        <w:spacing w:before="19"/>
      </w:pPr>
    </w:p>
    <w:p w14:paraId="7495E4DC">
      <w:pPr>
        <w:spacing w:before="18"/>
      </w:pPr>
    </w:p>
    <w:p w14:paraId="360FEA99">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229D3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6" w:hRule="atLeast"/>
        </w:trPr>
        <w:tc>
          <w:tcPr>
            <w:tcW w:w="745" w:type="dxa"/>
            <w:vMerge w:val="restart"/>
            <w:tcBorders>
              <w:bottom w:val="nil"/>
            </w:tcBorders>
            <w:vAlign w:val="top"/>
          </w:tcPr>
          <w:p w14:paraId="09056650">
            <w:pPr>
              <w:rPr>
                <w:rFonts w:ascii="Arial"/>
                <w:sz w:val="21"/>
              </w:rPr>
            </w:pPr>
          </w:p>
        </w:tc>
        <w:tc>
          <w:tcPr>
            <w:tcW w:w="1058" w:type="dxa"/>
            <w:vMerge w:val="restart"/>
            <w:tcBorders>
              <w:bottom w:val="nil"/>
            </w:tcBorders>
            <w:vAlign w:val="top"/>
          </w:tcPr>
          <w:p w14:paraId="377E36D6">
            <w:pPr>
              <w:rPr>
                <w:rFonts w:ascii="Arial"/>
                <w:sz w:val="21"/>
              </w:rPr>
            </w:pPr>
          </w:p>
        </w:tc>
        <w:tc>
          <w:tcPr>
            <w:tcW w:w="2084" w:type="dxa"/>
            <w:vAlign w:val="top"/>
          </w:tcPr>
          <w:p w14:paraId="5C2FF2F1">
            <w:pPr>
              <w:rPr>
                <w:rFonts w:ascii="Arial"/>
                <w:sz w:val="21"/>
              </w:rPr>
            </w:pPr>
          </w:p>
        </w:tc>
        <w:tc>
          <w:tcPr>
            <w:tcW w:w="735" w:type="dxa"/>
            <w:vAlign w:val="top"/>
          </w:tcPr>
          <w:p w14:paraId="117D0250">
            <w:pPr>
              <w:rPr>
                <w:rFonts w:ascii="Arial"/>
                <w:sz w:val="21"/>
              </w:rPr>
            </w:pPr>
          </w:p>
        </w:tc>
        <w:tc>
          <w:tcPr>
            <w:tcW w:w="4562" w:type="dxa"/>
            <w:vAlign w:val="top"/>
          </w:tcPr>
          <w:p w14:paraId="1F3CE004">
            <w:pPr>
              <w:pStyle w:val="6"/>
              <w:spacing w:before="36"/>
              <w:ind w:left="113" w:right="109" w:firstLine="21"/>
              <w:jc w:val="both"/>
            </w:pPr>
            <w:r>
              <w:rPr>
                <w:spacing w:val="15"/>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713E9174">
            <w:pPr>
              <w:pStyle w:val="6"/>
              <w:spacing w:line="281" w:lineRule="exact"/>
              <w:ind w:left="549"/>
            </w:pPr>
            <w:r>
              <w:rPr>
                <w:spacing w:val="3"/>
                <w:position w:val="2"/>
              </w:rPr>
              <w:t>即</w:t>
            </w:r>
            <w:r>
              <w:rPr>
                <w:spacing w:val="-36"/>
                <w:position w:val="2"/>
              </w:rPr>
              <w:t xml:space="preserve"> </w:t>
            </w:r>
            <w:r>
              <w:rPr>
                <w:spacing w:val="3"/>
                <w:position w:val="2"/>
              </w:rPr>
              <w:t>S</w:t>
            </w:r>
            <w:r>
              <w:rPr>
                <w:rFonts w:ascii="Times New Roman" w:hAnsi="Times New Roman" w:eastAsia="Times New Roman" w:cs="Times New Roman"/>
                <w:spacing w:val="3"/>
                <w:position w:val="2"/>
              </w:rPr>
              <w:t>= M</w:t>
            </w:r>
            <w:r>
              <w:rPr>
                <w:spacing w:val="3"/>
                <w:position w:val="2"/>
              </w:rPr>
              <w:t>×（1+Q%）</w:t>
            </w:r>
          </w:p>
          <w:p w14:paraId="3DF8E611">
            <w:pPr>
              <w:pStyle w:val="6"/>
              <w:spacing w:before="26" w:line="253"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6A6292E8">
            <w:pPr>
              <w:pStyle w:val="6"/>
              <w:spacing w:before="269" w:line="239" w:lineRule="auto"/>
              <w:ind w:left="113" w:right="107" w:firstLine="4"/>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r w14:paraId="207F72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745" w:type="dxa"/>
            <w:vMerge w:val="continue"/>
            <w:tcBorders>
              <w:top w:val="nil"/>
            </w:tcBorders>
            <w:vAlign w:val="top"/>
          </w:tcPr>
          <w:p w14:paraId="1B2C5B0D">
            <w:pPr>
              <w:rPr>
                <w:rFonts w:ascii="Arial"/>
                <w:sz w:val="21"/>
              </w:rPr>
            </w:pPr>
          </w:p>
        </w:tc>
        <w:tc>
          <w:tcPr>
            <w:tcW w:w="1058" w:type="dxa"/>
            <w:vMerge w:val="continue"/>
            <w:tcBorders>
              <w:top w:val="nil"/>
            </w:tcBorders>
            <w:vAlign w:val="top"/>
          </w:tcPr>
          <w:p w14:paraId="60E39747">
            <w:pPr>
              <w:rPr>
                <w:rFonts w:ascii="Arial"/>
                <w:sz w:val="21"/>
              </w:rPr>
            </w:pPr>
          </w:p>
        </w:tc>
        <w:tc>
          <w:tcPr>
            <w:tcW w:w="2084" w:type="dxa"/>
            <w:vAlign w:val="top"/>
          </w:tcPr>
          <w:p w14:paraId="04410368">
            <w:pPr>
              <w:pStyle w:val="6"/>
              <w:spacing w:before="143" w:line="226" w:lineRule="auto"/>
              <w:ind w:left="115"/>
            </w:pPr>
            <w:r>
              <w:rPr>
                <w:spacing w:val="8"/>
              </w:rPr>
              <w:t>投标报价最终得分</w:t>
            </w:r>
          </w:p>
        </w:tc>
        <w:tc>
          <w:tcPr>
            <w:tcW w:w="735" w:type="dxa"/>
            <w:vAlign w:val="top"/>
          </w:tcPr>
          <w:p w14:paraId="25833E63">
            <w:pPr>
              <w:rPr>
                <w:rFonts w:ascii="Arial"/>
                <w:sz w:val="21"/>
              </w:rPr>
            </w:pPr>
          </w:p>
        </w:tc>
        <w:tc>
          <w:tcPr>
            <w:tcW w:w="4562" w:type="dxa"/>
            <w:vAlign w:val="top"/>
          </w:tcPr>
          <w:p w14:paraId="34BF6139">
            <w:pPr>
              <w:pStyle w:val="6"/>
              <w:spacing w:before="105" w:line="281" w:lineRule="exact"/>
              <w:ind w:left="114"/>
            </w:pPr>
            <w:r>
              <w:rPr>
                <w:spacing w:val="5"/>
                <w:position w:val="1"/>
              </w:rPr>
              <w:t>S</w:t>
            </w:r>
            <w:r>
              <w:rPr>
                <w:rFonts w:ascii="Times New Roman" w:hAnsi="Times New Roman" w:eastAsia="Times New Roman" w:cs="Times New Roman"/>
                <w:spacing w:val="5"/>
                <w:position w:val="1"/>
              </w:rPr>
              <w:t>= M</w:t>
            </w:r>
            <w:r>
              <w:rPr>
                <w:spacing w:val="5"/>
                <w:position w:val="1"/>
              </w:rPr>
              <w:t>×（1+P%） 或</w:t>
            </w:r>
            <w:r>
              <w:rPr>
                <w:spacing w:val="-29"/>
                <w:position w:val="1"/>
              </w:rPr>
              <w:t xml:space="preserve"> </w:t>
            </w:r>
            <w:r>
              <w:rPr>
                <w:spacing w:val="5"/>
                <w:position w:val="1"/>
              </w:rPr>
              <w:t>S</w:t>
            </w:r>
            <w:r>
              <w:rPr>
                <w:rFonts w:ascii="Times New Roman" w:hAnsi="Times New Roman" w:eastAsia="Times New Roman" w:cs="Times New Roman"/>
                <w:spacing w:val="5"/>
                <w:position w:val="1"/>
              </w:rPr>
              <w:t>=</w:t>
            </w:r>
            <w:r>
              <w:rPr>
                <w:rFonts w:ascii="Times New Roman" w:hAnsi="Times New Roman" w:eastAsia="Times New Roman" w:cs="Times New Roman"/>
                <w:spacing w:val="6"/>
                <w:position w:val="1"/>
              </w:rPr>
              <w:t xml:space="preserve"> </w:t>
            </w:r>
            <w:r>
              <w:rPr>
                <w:rFonts w:ascii="Times New Roman" w:hAnsi="Times New Roman" w:eastAsia="Times New Roman" w:cs="Times New Roman"/>
                <w:spacing w:val="5"/>
                <w:position w:val="1"/>
              </w:rPr>
              <w:t>M</w:t>
            </w:r>
            <w:r>
              <w:rPr>
                <w:spacing w:val="5"/>
                <w:position w:val="1"/>
              </w:rPr>
              <w:t>×（1+Q%）</w:t>
            </w:r>
          </w:p>
        </w:tc>
      </w:tr>
      <w:tr w14:paraId="04983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745" w:type="dxa"/>
            <w:vAlign w:val="top"/>
          </w:tcPr>
          <w:p w14:paraId="5E7801FC">
            <w:pPr>
              <w:rPr>
                <w:rFonts w:ascii="Arial"/>
                <w:sz w:val="21"/>
              </w:rPr>
            </w:pPr>
          </w:p>
        </w:tc>
        <w:tc>
          <w:tcPr>
            <w:tcW w:w="8439" w:type="dxa"/>
            <w:gridSpan w:val="4"/>
            <w:vAlign w:val="top"/>
          </w:tcPr>
          <w:p w14:paraId="3BF1688D">
            <w:pPr>
              <w:pStyle w:val="6"/>
              <w:spacing w:before="131" w:line="252"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r w14:paraId="76B3AA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45" w:type="dxa"/>
            <w:vMerge w:val="restart"/>
            <w:tcBorders>
              <w:bottom w:val="nil"/>
            </w:tcBorders>
            <w:vAlign w:val="top"/>
          </w:tcPr>
          <w:p w14:paraId="1B4439CC">
            <w:pPr>
              <w:spacing w:line="242" w:lineRule="auto"/>
              <w:rPr>
                <w:rFonts w:ascii="Arial"/>
                <w:sz w:val="21"/>
              </w:rPr>
            </w:pPr>
          </w:p>
          <w:p w14:paraId="3E5F0594">
            <w:pPr>
              <w:spacing w:line="242" w:lineRule="auto"/>
              <w:rPr>
                <w:rFonts w:ascii="Arial"/>
                <w:sz w:val="21"/>
              </w:rPr>
            </w:pPr>
          </w:p>
          <w:p w14:paraId="49CB5DF7">
            <w:pPr>
              <w:spacing w:line="242" w:lineRule="auto"/>
              <w:rPr>
                <w:rFonts w:ascii="Arial"/>
                <w:sz w:val="21"/>
              </w:rPr>
            </w:pPr>
          </w:p>
          <w:p w14:paraId="2A65BB3E">
            <w:pPr>
              <w:spacing w:line="242" w:lineRule="auto"/>
              <w:rPr>
                <w:rFonts w:ascii="Arial"/>
                <w:sz w:val="21"/>
              </w:rPr>
            </w:pPr>
          </w:p>
          <w:p w14:paraId="4F2618D9">
            <w:pPr>
              <w:spacing w:line="242" w:lineRule="auto"/>
              <w:rPr>
                <w:rFonts w:ascii="Arial"/>
                <w:sz w:val="21"/>
              </w:rPr>
            </w:pPr>
          </w:p>
          <w:p w14:paraId="49FFA152">
            <w:pPr>
              <w:spacing w:line="242" w:lineRule="auto"/>
              <w:rPr>
                <w:rFonts w:ascii="Arial"/>
                <w:sz w:val="21"/>
              </w:rPr>
            </w:pPr>
          </w:p>
          <w:p w14:paraId="364BA135">
            <w:pPr>
              <w:spacing w:line="242" w:lineRule="auto"/>
              <w:rPr>
                <w:rFonts w:ascii="Arial"/>
                <w:sz w:val="21"/>
              </w:rPr>
            </w:pPr>
          </w:p>
          <w:p w14:paraId="1DF374B0">
            <w:pPr>
              <w:spacing w:line="243" w:lineRule="auto"/>
              <w:rPr>
                <w:rFonts w:ascii="Arial"/>
                <w:sz w:val="21"/>
              </w:rPr>
            </w:pPr>
          </w:p>
          <w:p w14:paraId="5DC322AF">
            <w:pPr>
              <w:spacing w:line="243" w:lineRule="auto"/>
              <w:rPr>
                <w:rFonts w:ascii="Arial"/>
                <w:sz w:val="21"/>
              </w:rPr>
            </w:pPr>
          </w:p>
          <w:p w14:paraId="62BA3171">
            <w:pPr>
              <w:spacing w:line="243" w:lineRule="auto"/>
              <w:rPr>
                <w:rFonts w:ascii="Arial"/>
                <w:sz w:val="21"/>
              </w:rPr>
            </w:pPr>
          </w:p>
          <w:p w14:paraId="59568F07">
            <w:pPr>
              <w:spacing w:line="243" w:lineRule="auto"/>
              <w:rPr>
                <w:rFonts w:ascii="Arial"/>
                <w:sz w:val="21"/>
              </w:rPr>
            </w:pPr>
          </w:p>
          <w:p w14:paraId="7C024649">
            <w:pPr>
              <w:spacing w:line="243" w:lineRule="auto"/>
              <w:rPr>
                <w:rFonts w:ascii="Arial"/>
                <w:sz w:val="21"/>
              </w:rPr>
            </w:pPr>
          </w:p>
          <w:p w14:paraId="4A6A7A4D">
            <w:pPr>
              <w:spacing w:line="243" w:lineRule="auto"/>
              <w:rPr>
                <w:rFonts w:ascii="Arial"/>
                <w:sz w:val="21"/>
              </w:rPr>
            </w:pPr>
          </w:p>
          <w:p w14:paraId="07F8B2E9">
            <w:pPr>
              <w:spacing w:line="243" w:lineRule="auto"/>
              <w:rPr>
                <w:rFonts w:ascii="Arial"/>
                <w:sz w:val="21"/>
              </w:rPr>
            </w:pPr>
          </w:p>
          <w:p w14:paraId="6BD81484">
            <w:pPr>
              <w:spacing w:line="243" w:lineRule="auto"/>
              <w:rPr>
                <w:rFonts w:ascii="Arial"/>
                <w:sz w:val="21"/>
              </w:rPr>
            </w:pPr>
          </w:p>
          <w:p w14:paraId="16054C4C">
            <w:pPr>
              <w:spacing w:line="243" w:lineRule="auto"/>
              <w:rPr>
                <w:rFonts w:ascii="Arial"/>
                <w:sz w:val="21"/>
              </w:rPr>
            </w:pPr>
          </w:p>
          <w:p w14:paraId="7A4D2239">
            <w:pPr>
              <w:spacing w:line="243" w:lineRule="auto"/>
              <w:rPr>
                <w:rFonts w:ascii="Arial"/>
                <w:sz w:val="21"/>
              </w:rPr>
            </w:pPr>
          </w:p>
          <w:p w14:paraId="3C9929B7">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086A3738">
            <w:pPr>
              <w:pStyle w:val="6"/>
              <w:spacing w:before="216"/>
              <w:ind w:left="125"/>
            </w:pPr>
            <w:r>
              <w:rPr>
                <w:spacing w:val="-1"/>
              </w:rPr>
              <w:t>（</w:t>
            </w:r>
            <w:r>
              <w:rPr>
                <w:rFonts w:ascii="Times New Roman" w:hAnsi="Times New Roman" w:eastAsia="Times New Roman" w:cs="Times New Roman"/>
                <w:spacing w:val="-1"/>
              </w:rPr>
              <w:t>2</w:t>
            </w:r>
            <w:r>
              <w:rPr>
                <w:spacing w:val="-1"/>
              </w:rPr>
              <w:t>）</w:t>
            </w:r>
          </w:p>
        </w:tc>
        <w:tc>
          <w:tcPr>
            <w:tcW w:w="1058" w:type="dxa"/>
            <w:vMerge w:val="restart"/>
            <w:tcBorders>
              <w:bottom w:val="nil"/>
            </w:tcBorders>
            <w:vAlign w:val="top"/>
          </w:tcPr>
          <w:p w14:paraId="2AD3723A">
            <w:pPr>
              <w:spacing w:line="255" w:lineRule="auto"/>
              <w:rPr>
                <w:rFonts w:ascii="Arial"/>
                <w:sz w:val="21"/>
              </w:rPr>
            </w:pPr>
          </w:p>
          <w:p w14:paraId="4C3EA150">
            <w:pPr>
              <w:spacing w:line="255" w:lineRule="auto"/>
              <w:rPr>
                <w:rFonts w:ascii="Arial"/>
                <w:sz w:val="21"/>
              </w:rPr>
            </w:pPr>
          </w:p>
          <w:p w14:paraId="23AFF967">
            <w:pPr>
              <w:spacing w:line="255" w:lineRule="auto"/>
              <w:rPr>
                <w:rFonts w:ascii="Arial"/>
                <w:sz w:val="21"/>
              </w:rPr>
            </w:pPr>
          </w:p>
          <w:p w14:paraId="65378638">
            <w:pPr>
              <w:spacing w:line="255" w:lineRule="auto"/>
              <w:rPr>
                <w:rFonts w:ascii="Arial"/>
                <w:sz w:val="21"/>
              </w:rPr>
            </w:pPr>
          </w:p>
          <w:p w14:paraId="1870998E">
            <w:pPr>
              <w:spacing w:line="256" w:lineRule="auto"/>
              <w:rPr>
                <w:rFonts w:ascii="Arial"/>
                <w:sz w:val="21"/>
              </w:rPr>
            </w:pPr>
          </w:p>
          <w:p w14:paraId="4F6E8D3A">
            <w:pPr>
              <w:spacing w:line="256" w:lineRule="auto"/>
              <w:rPr>
                <w:rFonts w:ascii="Arial"/>
                <w:sz w:val="21"/>
              </w:rPr>
            </w:pPr>
          </w:p>
          <w:p w14:paraId="36CED827">
            <w:pPr>
              <w:spacing w:line="256" w:lineRule="auto"/>
              <w:rPr>
                <w:rFonts w:ascii="Arial"/>
                <w:sz w:val="21"/>
              </w:rPr>
            </w:pPr>
          </w:p>
          <w:p w14:paraId="2C7B405C">
            <w:pPr>
              <w:spacing w:line="256" w:lineRule="auto"/>
              <w:rPr>
                <w:rFonts w:ascii="Arial"/>
                <w:sz w:val="21"/>
              </w:rPr>
            </w:pPr>
          </w:p>
          <w:p w14:paraId="55E844A3">
            <w:pPr>
              <w:spacing w:line="256" w:lineRule="auto"/>
              <w:rPr>
                <w:rFonts w:ascii="Arial"/>
                <w:sz w:val="21"/>
              </w:rPr>
            </w:pPr>
          </w:p>
          <w:p w14:paraId="017E9E83">
            <w:pPr>
              <w:spacing w:line="256" w:lineRule="auto"/>
              <w:rPr>
                <w:rFonts w:ascii="Arial"/>
                <w:sz w:val="21"/>
              </w:rPr>
            </w:pPr>
          </w:p>
          <w:p w14:paraId="70CA5AD8">
            <w:pPr>
              <w:spacing w:line="256" w:lineRule="auto"/>
              <w:rPr>
                <w:rFonts w:ascii="Arial"/>
                <w:sz w:val="21"/>
              </w:rPr>
            </w:pPr>
          </w:p>
          <w:p w14:paraId="0C8F3D27">
            <w:pPr>
              <w:spacing w:line="256" w:lineRule="auto"/>
              <w:rPr>
                <w:rFonts w:ascii="Arial"/>
                <w:sz w:val="21"/>
              </w:rPr>
            </w:pPr>
          </w:p>
          <w:p w14:paraId="121E3B14">
            <w:pPr>
              <w:spacing w:line="256" w:lineRule="auto"/>
              <w:rPr>
                <w:rFonts w:ascii="Arial"/>
                <w:sz w:val="21"/>
              </w:rPr>
            </w:pPr>
          </w:p>
          <w:p w14:paraId="5F482277">
            <w:pPr>
              <w:spacing w:line="256" w:lineRule="auto"/>
              <w:rPr>
                <w:rFonts w:ascii="Arial"/>
                <w:sz w:val="21"/>
              </w:rPr>
            </w:pPr>
          </w:p>
          <w:p w14:paraId="4E221A60">
            <w:pPr>
              <w:spacing w:line="256" w:lineRule="auto"/>
              <w:rPr>
                <w:rFonts w:ascii="Arial"/>
                <w:sz w:val="21"/>
              </w:rPr>
            </w:pPr>
          </w:p>
          <w:p w14:paraId="69D84FDB">
            <w:pPr>
              <w:pStyle w:val="6"/>
              <w:spacing w:before="65" w:line="252" w:lineRule="auto"/>
              <w:ind w:left="115" w:right="111" w:hanging="4"/>
              <w:jc w:val="both"/>
            </w:pPr>
            <w:r>
              <w:rPr>
                <w:spacing w:val="7"/>
              </w:rPr>
              <w:t>施工组织</w:t>
            </w:r>
            <w:r>
              <w:rPr>
                <w:spacing w:val="6"/>
              </w:rPr>
              <w:t>设计评分</w:t>
            </w:r>
            <w:r>
              <w:rPr>
                <w:spacing w:val="25"/>
              </w:rPr>
              <w:t>标</w:t>
            </w:r>
            <w:r>
              <w:rPr>
                <w:spacing w:val="8"/>
              </w:rPr>
              <w:t xml:space="preserve">   </w:t>
            </w:r>
            <w:r>
              <w:rPr>
                <w:spacing w:val="25"/>
              </w:rPr>
              <w:t>准</w:t>
            </w:r>
          </w:p>
        </w:tc>
        <w:tc>
          <w:tcPr>
            <w:tcW w:w="2084" w:type="dxa"/>
            <w:vMerge w:val="restart"/>
            <w:tcBorders>
              <w:bottom w:val="nil"/>
            </w:tcBorders>
            <w:vAlign w:val="top"/>
          </w:tcPr>
          <w:p w14:paraId="67F1B9D5">
            <w:pPr>
              <w:spacing w:line="381" w:lineRule="auto"/>
              <w:rPr>
                <w:rFonts w:ascii="Arial"/>
                <w:sz w:val="21"/>
              </w:rPr>
            </w:pPr>
          </w:p>
          <w:p w14:paraId="423253BC">
            <w:pPr>
              <w:pStyle w:val="6"/>
              <w:spacing w:before="65" w:line="228" w:lineRule="auto"/>
              <w:ind w:left="115"/>
            </w:pPr>
            <w:r>
              <w:rPr>
                <w:spacing w:val="6"/>
              </w:rPr>
              <w:t>工程概况</w:t>
            </w:r>
          </w:p>
        </w:tc>
        <w:tc>
          <w:tcPr>
            <w:tcW w:w="735" w:type="dxa"/>
            <w:vMerge w:val="restart"/>
            <w:tcBorders>
              <w:bottom w:val="nil"/>
            </w:tcBorders>
            <w:vAlign w:val="top"/>
          </w:tcPr>
          <w:p w14:paraId="5790D9A2">
            <w:pPr>
              <w:spacing w:line="381" w:lineRule="auto"/>
              <w:rPr>
                <w:rFonts w:ascii="Arial"/>
                <w:sz w:val="21"/>
              </w:rPr>
            </w:pPr>
          </w:p>
          <w:p w14:paraId="3FCEA937">
            <w:pPr>
              <w:pStyle w:val="6"/>
              <w:spacing w:before="65" w:line="228" w:lineRule="auto"/>
              <w:ind w:left="129"/>
            </w:pPr>
            <w:r>
              <w:rPr>
                <w:spacing w:val="-10"/>
              </w:rPr>
              <w:t>1</w:t>
            </w:r>
            <w:r>
              <w:rPr>
                <w:spacing w:val="-38"/>
              </w:rPr>
              <w:t xml:space="preserve"> </w:t>
            </w:r>
            <w:r>
              <w:rPr>
                <w:spacing w:val="-10"/>
              </w:rPr>
              <w:t>分</w:t>
            </w:r>
          </w:p>
        </w:tc>
        <w:tc>
          <w:tcPr>
            <w:tcW w:w="4562" w:type="dxa"/>
            <w:vAlign w:val="top"/>
          </w:tcPr>
          <w:p w14:paraId="238E4FCD">
            <w:pPr>
              <w:pStyle w:val="6"/>
              <w:spacing w:before="79" w:line="228" w:lineRule="auto"/>
              <w:ind w:left="115"/>
            </w:pPr>
            <w:r>
              <w:rPr>
                <w:spacing w:val="4"/>
              </w:rPr>
              <w:t>描述准确、清晰</w:t>
            </w:r>
            <w:r>
              <w:rPr>
                <w:spacing w:val="1"/>
              </w:rPr>
              <w:t xml:space="preserve">                       </w:t>
            </w:r>
            <w:r>
              <w:rPr>
                <w:spacing w:val="4"/>
              </w:rPr>
              <w:t>1</w:t>
            </w:r>
            <w:r>
              <w:rPr>
                <w:spacing w:val="-21"/>
              </w:rPr>
              <w:t xml:space="preserve"> </w:t>
            </w:r>
            <w:r>
              <w:rPr>
                <w:spacing w:val="4"/>
              </w:rPr>
              <w:t>分</w:t>
            </w:r>
          </w:p>
        </w:tc>
      </w:tr>
      <w:tr w14:paraId="6DDA9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952E8A3">
            <w:pPr>
              <w:rPr>
                <w:rFonts w:ascii="Arial"/>
                <w:sz w:val="21"/>
              </w:rPr>
            </w:pPr>
          </w:p>
        </w:tc>
        <w:tc>
          <w:tcPr>
            <w:tcW w:w="1058" w:type="dxa"/>
            <w:vMerge w:val="continue"/>
            <w:tcBorders>
              <w:top w:val="nil"/>
              <w:bottom w:val="nil"/>
            </w:tcBorders>
            <w:vAlign w:val="top"/>
          </w:tcPr>
          <w:p w14:paraId="7173ADF7">
            <w:pPr>
              <w:rPr>
                <w:rFonts w:ascii="Arial"/>
                <w:sz w:val="21"/>
              </w:rPr>
            </w:pPr>
          </w:p>
        </w:tc>
        <w:tc>
          <w:tcPr>
            <w:tcW w:w="2084" w:type="dxa"/>
            <w:vMerge w:val="continue"/>
            <w:tcBorders>
              <w:top w:val="nil"/>
              <w:bottom w:val="nil"/>
            </w:tcBorders>
            <w:vAlign w:val="top"/>
          </w:tcPr>
          <w:p w14:paraId="687E9BF2">
            <w:pPr>
              <w:rPr>
                <w:rFonts w:ascii="Arial"/>
                <w:sz w:val="21"/>
              </w:rPr>
            </w:pPr>
          </w:p>
        </w:tc>
        <w:tc>
          <w:tcPr>
            <w:tcW w:w="735" w:type="dxa"/>
            <w:vMerge w:val="continue"/>
            <w:tcBorders>
              <w:top w:val="nil"/>
              <w:bottom w:val="nil"/>
            </w:tcBorders>
            <w:vAlign w:val="top"/>
          </w:tcPr>
          <w:p w14:paraId="72EFA9F2">
            <w:pPr>
              <w:rPr>
                <w:rFonts w:ascii="Arial"/>
                <w:sz w:val="21"/>
              </w:rPr>
            </w:pPr>
          </w:p>
        </w:tc>
        <w:tc>
          <w:tcPr>
            <w:tcW w:w="4562" w:type="dxa"/>
            <w:vAlign w:val="top"/>
          </w:tcPr>
          <w:p w14:paraId="48F12659">
            <w:pPr>
              <w:pStyle w:val="6"/>
              <w:spacing w:before="79" w:line="227" w:lineRule="auto"/>
              <w:ind w:left="115"/>
            </w:pPr>
            <w:r>
              <w:rPr>
                <w:spacing w:val="5"/>
              </w:rPr>
              <w:t>描述基本准确</w:t>
            </w:r>
            <w:r>
              <w:t xml:space="preserve">                   </w:t>
            </w:r>
            <w:r>
              <w:rPr>
                <w:spacing w:val="5"/>
              </w:rPr>
              <w:t>0.9-0.8</w:t>
            </w:r>
            <w:r>
              <w:rPr>
                <w:spacing w:val="-32"/>
              </w:rPr>
              <w:t xml:space="preserve"> </w:t>
            </w:r>
            <w:r>
              <w:rPr>
                <w:spacing w:val="5"/>
              </w:rPr>
              <w:t>分</w:t>
            </w:r>
          </w:p>
        </w:tc>
      </w:tr>
      <w:tr w14:paraId="20B888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3856C64">
            <w:pPr>
              <w:rPr>
                <w:rFonts w:ascii="Arial"/>
                <w:sz w:val="21"/>
              </w:rPr>
            </w:pPr>
          </w:p>
        </w:tc>
        <w:tc>
          <w:tcPr>
            <w:tcW w:w="1058" w:type="dxa"/>
            <w:vMerge w:val="continue"/>
            <w:tcBorders>
              <w:top w:val="nil"/>
              <w:bottom w:val="nil"/>
            </w:tcBorders>
            <w:vAlign w:val="top"/>
          </w:tcPr>
          <w:p w14:paraId="35652B76">
            <w:pPr>
              <w:rPr>
                <w:rFonts w:ascii="Arial"/>
                <w:sz w:val="21"/>
              </w:rPr>
            </w:pPr>
          </w:p>
        </w:tc>
        <w:tc>
          <w:tcPr>
            <w:tcW w:w="2084" w:type="dxa"/>
            <w:vMerge w:val="continue"/>
            <w:tcBorders>
              <w:top w:val="nil"/>
            </w:tcBorders>
            <w:vAlign w:val="top"/>
          </w:tcPr>
          <w:p w14:paraId="6C59D7A1">
            <w:pPr>
              <w:rPr>
                <w:rFonts w:ascii="Arial"/>
                <w:sz w:val="21"/>
              </w:rPr>
            </w:pPr>
          </w:p>
        </w:tc>
        <w:tc>
          <w:tcPr>
            <w:tcW w:w="735" w:type="dxa"/>
            <w:vMerge w:val="continue"/>
            <w:tcBorders>
              <w:top w:val="nil"/>
            </w:tcBorders>
            <w:vAlign w:val="top"/>
          </w:tcPr>
          <w:p w14:paraId="71413DA2">
            <w:pPr>
              <w:rPr>
                <w:rFonts w:ascii="Arial"/>
                <w:sz w:val="21"/>
              </w:rPr>
            </w:pPr>
          </w:p>
        </w:tc>
        <w:tc>
          <w:tcPr>
            <w:tcW w:w="4562" w:type="dxa"/>
            <w:vAlign w:val="top"/>
          </w:tcPr>
          <w:p w14:paraId="308C5D83">
            <w:pPr>
              <w:pStyle w:val="6"/>
              <w:spacing w:before="79" w:line="228" w:lineRule="auto"/>
              <w:ind w:left="115"/>
            </w:pPr>
            <w:r>
              <w:rPr>
                <w:spacing w:val="4"/>
              </w:rPr>
              <w:t>描述不准确</w:t>
            </w:r>
            <w:r>
              <w:rPr>
                <w:spacing w:val="1"/>
              </w:rPr>
              <w:t xml:space="preserve">                           </w:t>
            </w:r>
            <w:r>
              <w:rPr>
                <w:spacing w:val="4"/>
              </w:rPr>
              <w:t>0</w:t>
            </w:r>
            <w:r>
              <w:rPr>
                <w:spacing w:val="-17"/>
              </w:rPr>
              <w:t xml:space="preserve"> </w:t>
            </w:r>
            <w:r>
              <w:rPr>
                <w:spacing w:val="4"/>
              </w:rPr>
              <w:t>分</w:t>
            </w:r>
          </w:p>
        </w:tc>
      </w:tr>
      <w:tr w14:paraId="3C2171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172F92A">
            <w:pPr>
              <w:rPr>
                <w:rFonts w:ascii="Arial"/>
                <w:sz w:val="21"/>
              </w:rPr>
            </w:pPr>
          </w:p>
        </w:tc>
        <w:tc>
          <w:tcPr>
            <w:tcW w:w="1058" w:type="dxa"/>
            <w:vMerge w:val="continue"/>
            <w:tcBorders>
              <w:top w:val="nil"/>
              <w:bottom w:val="nil"/>
            </w:tcBorders>
            <w:vAlign w:val="top"/>
          </w:tcPr>
          <w:p w14:paraId="3AAEEC40">
            <w:pPr>
              <w:rPr>
                <w:rFonts w:ascii="Arial"/>
                <w:sz w:val="21"/>
              </w:rPr>
            </w:pPr>
          </w:p>
        </w:tc>
        <w:tc>
          <w:tcPr>
            <w:tcW w:w="2084" w:type="dxa"/>
            <w:vMerge w:val="restart"/>
            <w:tcBorders>
              <w:bottom w:val="nil"/>
            </w:tcBorders>
            <w:vAlign w:val="top"/>
          </w:tcPr>
          <w:p w14:paraId="4197EE5B">
            <w:pPr>
              <w:spacing w:line="380" w:lineRule="auto"/>
              <w:rPr>
                <w:rFonts w:ascii="Arial"/>
                <w:sz w:val="21"/>
              </w:rPr>
            </w:pPr>
          </w:p>
          <w:p w14:paraId="0F835DF0">
            <w:pPr>
              <w:pStyle w:val="6"/>
              <w:spacing w:before="65" w:line="228" w:lineRule="auto"/>
              <w:ind w:left="111"/>
            </w:pPr>
            <w:r>
              <w:rPr>
                <w:spacing w:val="7"/>
              </w:rPr>
              <w:t>施工部署</w:t>
            </w:r>
          </w:p>
        </w:tc>
        <w:tc>
          <w:tcPr>
            <w:tcW w:w="735" w:type="dxa"/>
            <w:vMerge w:val="restart"/>
            <w:tcBorders>
              <w:bottom w:val="nil"/>
            </w:tcBorders>
            <w:vAlign w:val="top"/>
          </w:tcPr>
          <w:p w14:paraId="302E4161">
            <w:pPr>
              <w:spacing w:line="381" w:lineRule="auto"/>
              <w:rPr>
                <w:rFonts w:ascii="Arial"/>
                <w:sz w:val="21"/>
              </w:rPr>
            </w:pPr>
          </w:p>
          <w:p w14:paraId="70BB76B4">
            <w:pPr>
              <w:pStyle w:val="6"/>
              <w:spacing w:before="65" w:line="228" w:lineRule="auto"/>
              <w:ind w:left="129"/>
            </w:pPr>
            <w:r>
              <w:rPr>
                <w:spacing w:val="-10"/>
              </w:rPr>
              <w:t>1</w:t>
            </w:r>
            <w:r>
              <w:rPr>
                <w:spacing w:val="-38"/>
              </w:rPr>
              <w:t xml:space="preserve"> </w:t>
            </w:r>
            <w:r>
              <w:rPr>
                <w:spacing w:val="-10"/>
              </w:rPr>
              <w:t>分</w:t>
            </w:r>
          </w:p>
        </w:tc>
        <w:tc>
          <w:tcPr>
            <w:tcW w:w="4562" w:type="dxa"/>
            <w:vAlign w:val="top"/>
          </w:tcPr>
          <w:p w14:paraId="6B452C8E">
            <w:pPr>
              <w:pStyle w:val="6"/>
              <w:spacing w:before="78" w:line="227" w:lineRule="auto"/>
              <w:ind w:left="113"/>
            </w:pPr>
            <w:r>
              <w:rPr>
                <w:spacing w:val="6"/>
              </w:rPr>
              <w:t>科学、合理、针对性强</w:t>
            </w:r>
            <w:r>
              <w:t xml:space="preserve">                 </w:t>
            </w:r>
            <w:r>
              <w:rPr>
                <w:spacing w:val="6"/>
              </w:rPr>
              <w:t>1</w:t>
            </w:r>
            <w:r>
              <w:rPr>
                <w:spacing w:val="-33"/>
              </w:rPr>
              <w:t xml:space="preserve"> </w:t>
            </w:r>
            <w:r>
              <w:rPr>
                <w:spacing w:val="6"/>
              </w:rPr>
              <w:t>分</w:t>
            </w:r>
          </w:p>
        </w:tc>
      </w:tr>
      <w:tr w14:paraId="0E2D601B">
        <w:tblPrEx>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527783B">
            <w:pPr>
              <w:rPr>
                <w:rFonts w:ascii="Arial"/>
                <w:sz w:val="21"/>
              </w:rPr>
            </w:pPr>
          </w:p>
        </w:tc>
        <w:tc>
          <w:tcPr>
            <w:tcW w:w="1058" w:type="dxa"/>
            <w:vMerge w:val="continue"/>
            <w:tcBorders>
              <w:top w:val="nil"/>
              <w:bottom w:val="nil"/>
            </w:tcBorders>
            <w:vAlign w:val="top"/>
          </w:tcPr>
          <w:p w14:paraId="3D732590">
            <w:pPr>
              <w:rPr>
                <w:rFonts w:ascii="Arial"/>
                <w:sz w:val="21"/>
              </w:rPr>
            </w:pPr>
          </w:p>
        </w:tc>
        <w:tc>
          <w:tcPr>
            <w:tcW w:w="2084" w:type="dxa"/>
            <w:vMerge w:val="continue"/>
            <w:tcBorders>
              <w:top w:val="nil"/>
              <w:bottom w:val="nil"/>
            </w:tcBorders>
            <w:vAlign w:val="top"/>
          </w:tcPr>
          <w:p w14:paraId="5FFEAB96">
            <w:pPr>
              <w:rPr>
                <w:rFonts w:ascii="Arial"/>
                <w:sz w:val="21"/>
              </w:rPr>
            </w:pPr>
          </w:p>
        </w:tc>
        <w:tc>
          <w:tcPr>
            <w:tcW w:w="735" w:type="dxa"/>
            <w:vMerge w:val="continue"/>
            <w:tcBorders>
              <w:top w:val="nil"/>
              <w:bottom w:val="nil"/>
            </w:tcBorders>
            <w:vAlign w:val="top"/>
          </w:tcPr>
          <w:p w14:paraId="031F0CF1">
            <w:pPr>
              <w:rPr>
                <w:rFonts w:ascii="Arial"/>
                <w:sz w:val="21"/>
              </w:rPr>
            </w:pPr>
          </w:p>
        </w:tc>
        <w:tc>
          <w:tcPr>
            <w:tcW w:w="4562" w:type="dxa"/>
            <w:vAlign w:val="top"/>
          </w:tcPr>
          <w:p w14:paraId="131FB023">
            <w:pPr>
              <w:pStyle w:val="6"/>
              <w:spacing w:before="79" w:line="228" w:lineRule="auto"/>
              <w:ind w:left="114"/>
            </w:pPr>
            <w:r>
              <w:rPr>
                <w:spacing w:val="5"/>
              </w:rPr>
              <w:t>合理、可行</w:t>
            </w:r>
            <w:r>
              <w:t xml:space="preserve">                     </w:t>
            </w:r>
            <w:r>
              <w:rPr>
                <w:spacing w:val="5"/>
              </w:rPr>
              <w:t>0.9-0.8</w:t>
            </w:r>
            <w:r>
              <w:rPr>
                <w:spacing w:val="-26"/>
              </w:rPr>
              <w:t xml:space="preserve"> </w:t>
            </w:r>
            <w:r>
              <w:rPr>
                <w:spacing w:val="5"/>
              </w:rPr>
              <w:t>分</w:t>
            </w:r>
          </w:p>
        </w:tc>
      </w:tr>
      <w:tr w14:paraId="142EDA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BE4DBF9">
            <w:pPr>
              <w:rPr>
                <w:rFonts w:ascii="Arial"/>
                <w:sz w:val="21"/>
              </w:rPr>
            </w:pPr>
          </w:p>
        </w:tc>
        <w:tc>
          <w:tcPr>
            <w:tcW w:w="1058" w:type="dxa"/>
            <w:vMerge w:val="continue"/>
            <w:tcBorders>
              <w:top w:val="nil"/>
              <w:bottom w:val="nil"/>
            </w:tcBorders>
            <w:vAlign w:val="top"/>
          </w:tcPr>
          <w:p w14:paraId="47448778">
            <w:pPr>
              <w:rPr>
                <w:rFonts w:ascii="Arial"/>
                <w:sz w:val="21"/>
              </w:rPr>
            </w:pPr>
          </w:p>
        </w:tc>
        <w:tc>
          <w:tcPr>
            <w:tcW w:w="2084" w:type="dxa"/>
            <w:vMerge w:val="continue"/>
            <w:tcBorders>
              <w:top w:val="nil"/>
            </w:tcBorders>
            <w:vAlign w:val="top"/>
          </w:tcPr>
          <w:p w14:paraId="7514389A">
            <w:pPr>
              <w:rPr>
                <w:rFonts w:ascii="Arial"/>
                <w:sz w:val="21"/>
              </w:rPr>
            </w:pPr>
          </w:p>
        </w:tc>
        <w:tc>
          <w:tcPr>
            <w:tcW w:w="735" w:type="dxa"/>
            <w:vMerge w:val="continue"/>
            <w:tcBorders>
              <w:top w:val="nil"/>
            </w:tcBorders>
            <w:vAlign w:val="top"/>
          </w:tcPr>
          <w:p w14:paraId="03CCDB5D">
            <w:pPr>
              <w:rPr>
                <w:rFonts w:ascii="Arial"/>
                <w:sz w:val="21"/>
              </w:rPr>
            </w:pPr>
          </w:p>
        </w:tc>
        <w:tc>
          <w:tcPr>
            <w:tcW w:w="4562" w:type="dxa"/>
            <w:vAlign w:val="top"/>
          </w:tcPr>
          <w:p w14:paraId="6D29F9DB">
            <w:pPr>
              <w:pStyle w:val="6"/>
              <w:spacing w:before="77" w:line="228" w:lineRule="auto"/>
              <w:ind w:left="116"/>
            </w:pPr>
            <w:r>
              <w:rPr>
                <w:spacing w:val="6"/>
              </w:rPr>
              <w:t>不可行，不能满足工程需要            0</w:t>
            </w:r>
            <w:r>
              <w:rPr>
                <w:spacing w:val="-20"/>
              </w:rPr>
              <w:t xml:space="preserve"> </w:t>
            </w:r>
            <w:r>
              <w:rPr>
                <w:spacing w:val="6"/>
              </w:rPr>
              <w:t>分</w:t>
            </w:r>
          </w:p>
        </w:tc>
      </w:tr>
      <w:tr w14:paraId="607871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7A51AC4">
            <w:pPr>
              <w:rPr>
                <w:rFonts w:ascii="Arial"/>
                <w:sz w:val="21"/>
              </w:rPr>
            </w:pPr>
          </w:p>
        </w:tc>
        <w:tc>
          <w:tcPr>
            <w:tcW w:w="1058" w:type="dxa"/>
            <w:vMerge w:val="continue"/>
            <w:tcBorders>
              <w:top w:val="nil"/>
              <w:bottom w:val="nil"/>
            </w:tcBorders>
            <w:vAlign w:val="top"/>
          </w:tcPr>
          <w:p w14:paraId="4138010E">
            <w:pPr>
              <w:rPr>
                <w:rFonts w:ascii="Arial"/>
                <w:sz w:val="21"/>
              </w:rPr>
            </w:pPr>
          </w:p>
        </w:tc>
        <w:tc>
          <w:tcPr>
            <w:tcW w:w="2084" w:type="dxa"/>
            <w:vMerge w:val="restart"/>
            <w:tcBorders>
              <w:bottom w:val="nil"/>
            </w:tcBorders>
            <w:vAlign w:val="top"/>
          </w:tcPr>
          <w:p w14:paraId="4A5C9C06">
            <w:pPr>
              <w:spacing w:line="283" w:lineRule="auto"/>
              <w:rPr>
                <w:rFonts w:ascii="Arial"/>
                <w:sz w:val="21"/>
              </w:rPr>
            </w:pPr>
          </w:p>
          <w:p w14:paraId="5416B802">
            <w:pPr>
              <w:spacing w:line="283" w:lineRule="auto"/>
              <w:rPr>
                <w:rFonts w:ascii="Arial"/>
                <w:sz w:val="21"/>
              </w:rPr>
            </w:pPr>
          </w:p>
          <w:p w14:paraId="14BBC9E8">
            <w:pPr>
              <w:pStyle w:val="6"/>
              <w:spacing w:before="65" w:line="228" w:lineRule="auto"/>
              <w:ind w:left="111"/>
            </w:pPr>
            <w:r>
              <w:rPr>
                <w:spacing w:val="8"/>
              </w:rPr>
              <w:t>施工进度计划</w:t>
            </w:r>
          </w:p>
        </w:tc>
        <w:tc>
          <w:tcPr>
            <w:tcW w:w="735" w:type="dxa"/>
            <w:vMerge w:val="restart"/>
            <w:tcBorders>
              <w:bottom w:val="nil"/>
            </w:tcBorders>
            <w:vAlign w:val="top"/>
          </w:tcPr>
          <w:p w14:paraId="2C2B5807">
            <w:pPr>
              <w:spacing w:line="283" w:lineRule="auto"/>
              <w:rPr>
                <w:rFonts w:ascii="Arial"/>
                <w:sz w:val="21"/>
              </w:rPr>
            </w:pPr>
          </w:p>
          <w:p w14:paraId="79547204">
            <w:pPr>
              <w:spacing w:line="283" w:lineRule="auto"/>
              <w:rPr>
                <w:rFonts w:ascii="Arial"/>
                <w:sz w:val="21"/>
              </w:rPr>
            </w:pPr>
          </w:p>
          <w:p w14:paraId="5AE2CC3A">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58AE6E4C">
            <w:pPr>
              <w:pStyle w:val="6"/>
              <w:spacing w:before="80" w:line="227" w:lineRule="auto"/>
              <w:ind w:left="113"/>
            </w:pPr>
            <w:r>
              <w:rPr>
                <w:spacing w:val="6"/>
              </w:rPr>
              <w:t>科学、合理、针对性强            2-1.9</w:t>
            </w:r>
            <w:r>
              <w:rPr>
                <w:spacing w:val="-29"/>
              </w:rPr>
              <w:t xml:space="preserve"> </w:t>
            </w:r>
            <w:r>
              <w:rPr>
                <w:spacing w:val="6"/>
              </w:rPr>
              <w:t>分</w:t>
            </w:r>
          </w:p>
        </w:tc>
      </w:tr>
      <w:tr w14:paraId="237AED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68E0B63">
            <w:pPr>
              <w:rPr>
                <w:rFonts w:ascii="Arial"/>
                <w:sz w:val="21"/>
              </w:rPr>
            </w:pPr>
          </w:p>
        </w:tc>
        <w:tc>
          <w:tcPr>
            <w:tcW w:w="1058" w:type="dxa"/>
            <w:vMerge w:val="continue"/>
            <w:tcBorders>
              <w:top w:val="nil"/>
              <w:bottom w:val="nil"/>
            </w:tcBorders>
            <w:vAlign w:val="top"/>
          </w:tcPr>
          <w:p w14:paraId="39FFC25B">
            <w:pPr>
              <w:rPr>
                <w:rFonts w:ascii="Arial"/>
                <w:sz w:val="21"/>
              </w:rPr>
            </w:pPr>
          </w:p>
        </w:tc>
        <w:tc>
          <w:tcPr>
            <w:tcW w:w="2084" w:type="dxa"/>
            <w:vMerge w:val="continue"/>
            <w:tcBorders>
              <w:top w:val="nil"/>
              <w:bottom w:val="nil"/>
            </w:tcBorders>
            <w:vAlign w:val="top"/>
          </w:tcPr>
          <w:p w14:paraId="39BBA543">
            <w:pPr>
              <w:rPr>
                <w:rFonts w:ascii="Arial"/>
                <w:sz w:val="21"/>
              </w:rPr>
            </w:pPr>
          </w:p>
        </w:tc>
        <w:tc>
          <w:tcPr>
            <w:tcW w:w="735" w:type="dxa"/>
            <w:vMerge w:val="continue"/>
            <w:tcBorders>
              <w:top w:val="nil"/>
              <w:bottom w:val="nil"/>
            </w:tcBorders>
            <w:vAlign w:val="top"/>
          </w:tcPr>
          <w:p w14:paraId="60B293F7">
            <w:pPr>
              <w:rPr>
                <w:rFonts w:ascii="Arial"/>
                <w:sz w:val="21"/>
              </w:rPr>
            </w:pPr>
          </w:p>
        </w:tc>
        <w:tc>
          <w:tcPr>
            <w:tcW w:w="4562" w:type="dxa"/>
            <w:vAlign w:val="top"/>
          </w:tcPr>
          <w:p w14:paraId="42B316D2">
            <w:pPr>
              <w:pStyle w:val="6"/>
              <w:spacing w:before="80" w:line="228" w:lineRule="auto"/>
              <w:ind w:left="114"/>
            </w:pPr>
            <w:r>
              <w:rPr>
                <w:spacing w:val="3"/>
              </w:rPr>
              <w:t>合理、可行、</w:t>
            </w:r>
            <w:r>
              <w:rPr>
                <w:spacing w:val="1"/>
              </w:rPr>
              <w:t xml:space="preserve">                   </w:t>
            </w:r>
            <w:r>
              <w:rPr>
                <w:spacing w:val="3"/>
              </w:rPr>
              <w:t>1.8-1.6</w:t>
            </w:r>
            <w:r>
              <w:rPr>
                <w:spacing w:val="-22"/>
              </w:rPr>
              <w:t xml:space="preserve"> </w:t>
            </w:r>
            <w:r>
              <w:rPr>
                <w:spacing w:val="3"/>
              </w:rPr>
              <w:t>分</w:t>
            </w:r>
          </w:p>
        </w:tc>
      </w:tr>
      <w:tr w14:paraId="6F2F2E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6A97F8B">
            <w:pPr>
              <w:rPr>
                <w:rFonts w:ascii="Arial"/>
                <w:sz w:val="21"/>
              </w:rPr>
            </w:pPr>
          </w:p>
        </w:tc>
        <w:tc>
          <w:tcPr>
            <w:tcW w:w="1058" w:type="dxa"/>
            <w:vMerge w:val="continue"/>
            <w:tcBorders>
              <w:top w:val="nil"/>
              <w:bottom w:val="nil"/>
            </w:tcBorders>
            <w:vAlign w:val="top"/>
          </w:tcPr>
          <w:p w14:paraId="5DB2F045">
            <w:pPr>
              <w:rPr>
                <w:rFonts w:ascii="Arial"/>
                <w:sz w:val="21"/>
              </w:rPr>
            </w:pPr>
          </w:p>
        </w:tc>
        <w:tc>
          <w:tcPr>
            <w:tcW w:w="2084" w:type="dxa"/>
            <w:vMerge w:val="continue"/>
            <w:tcBorders>
              <w:top w:val="nil"/>
              <w:bottom w:val="nil"/>
            </w:tcBorders>
            <w:vAlign w:val="top"/>
          </w:tcPr>
          <w:p w14:paraId="584B502B">
            <w:pPr>
              <w:rPr>
                <w:rFonts w:ascii="Arial"/>
                <w:sz w:val="21"/>
              </w:rPr>
            </w:pPr>
          </w:p>
        </w:tc>
        <w:tc>
          <w:tcPr>
            <w:tcW w:w="735" w:type="dxa"/>
            <w:vMerge w:val="continue"/>
            <w:tcBorders>
              <w:top w:val="nil"/>
              <w:bottom w:val="nil"/>
            </w:tcBorders>
            <w:vAlign w:val="top"/>
          </w:tcPr>
          <w:p w14:paraId="7AD7B659">
            <w:pPr>
              <w:rPr>
                <w:rFonts w:ascii="Arial"/>
                <w:sz w:val="21"/>
              </w:rPr>
            </w:pPr>
          </w:p>
        </w:tc>
        <w:tc>
          <w:tcPr>
            <w:tcW w:w="4562" w:type="dxa"/>
            <w:vAlign w:val="top"/>
          </w:tcPr>
          <w:p w14:paraId="20346075">
            <w:pPr>
              <w:pStyle w:val="6"/>
              <w:spacing w:before="79" w:line="227" w:lineRule="auto"/>
              <w:ind w:left="114"/>
            </w:pPr>
            <w:r>
              <w:rPr>
                <w:spacing w:val="5"/>
              </w:rPr>
              <w:t>欠合理，基本可行</w:t>
            </w:r>
            <w:r>
              <w:rPr>
                <w:spacing w:val="6"/>
              </w:rPr>
              <w:t xml:space="preserve">              </w:t>
            </w:r>
            <w:r>
              <w:rPr>
                <w:spacing w:val="5"/>
              </w:rPr>
              <w:t>1.5-1.4</w:t>
            </w:r>
            <w:r>
              <w:rPr>
                <w:spacing w:val="-25"/>
              </w:rPr>
              <w:t xml:space="preserve"> </w:t>
            </w:r>
            <w:r>
              <w:rPr>
                <w:spacing w:val="5"/>
              </w:rPr>
              <w:t>分</w:t>
            </w:r>
          </w:p>
        </w:tc>
      </w:tr>
      <w:tr w14:paraId="360B2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5" w:hRule="atLeast"/>
        </w:trPr>
        <w:tc>
          <w:tcPr>
            <w:tcW w:w="745" w:type="dxa"/>
            <w:vMerge w:val="continue"/>
            <w:tcBorders>
              <w:top w:val="nil"/>
              <w:bottom w:val="nil"/>
            </w:tcBorders>
            <w:vAlign w:val="top"/>
          </w:tcPr>
          <w:p w14:paraId="55350D1F">
            <w:pPr>
              <w:rPr>
                <w:rFonts w:ascii="Arial"/>
                <w:sz w:val="21"/>
              </w:rPr>
            </w:pPr>
          </w:p>
        </w:tc>
        <w:tc>
          <w:tcPr>
            <w:tcW w:w="1058" w:type="dxa"/>
            <w:vMerge w:val="continue"/>
            <w:tcBorders>
              <w:top w:val="nil"/>
              <w:bottom w:val="nil"/>
            </w:tcBorders>
            <w:vAlign w:val="top"/>
          </w:tcPr>
          <w:p w14:paraId="51E976F3">
            <w:pPr>
              <w:rPr>
                <w:rFonts w:ascii="Arial"/>
                <w:sz w:val="21"/>
              </w:rPr>
            </w:pPr>
          </w:p>
        </w:tc>
        <w:tc>
          <w:tcPr>
            <w:tcW w:w="2084" w:type="dxa"/>
            <w:vMerge w:val="continue"/>
            <w:tcBorders>
              <w:top w:val="nil"/>
            </w:tcBorders>
            <w:vAlign w:val="top"/>
          </w:tcPr>
          <w:p w14:paraId="11923826">
            <w:pPr>
              <w:rPr>
                <w:rFonts w:ascii="Arial"/>
                <w:sz w:val="21"/>
              </w:rPr>
            </w:pPr>
          </w:p>
        </w:tc>
        <w:tc>
          <w:tcPr>
            <w:tcW w:w="735" w:type="dxa"/>
            <w:vMerge w:val="continue"/>
            <w:tcBorders>
              <w:top w:val="nil"/>
            </w:tcBorders>
            <w:vAlign w:val="top"/>
          </w:tcPr>
          <w:p w14:paraId="53E39C39">
            <w:pPr>
              <w:rPr>
                <w:rFonts w:ascii="Arial"/>
                <w:sz w:val="21"/>
              </w:rPr>
            </w:pPr>
          </w:p>
        </w:tc>
        <w:tc>
          <w:tcPr>
            <w:tcW w:w="4562" w:type="dxa"/>
            <w:vAlign w:val="top"/>
          </w:tcPr>
          <w:p w14:paraId="30CB5CBC">
            <w:pPr>
              <w:pStyle w:val="6"/>
              <w:spacing w:before="78" w:line="228" w:lineRule="auto"/>
              <w:ind w:left="116"/>
            </w:pPr>
            <w:r>
              <w:rPr>
                <w:spacing w:val="7"/>
              </w:rPr>
              <w:t>不可行，不能满足招标文件要求        0</w:t>
            </w:r>
            <w:r>
              <w:rPr>
                <w:spacing w:val="-32"/>
              </w:rPr>
              <w:t xml:space="preserve"> </w:t>
            </w:r>
            <w:r>
              <w:rPr>
                <w:spacing w:val="7"/>
              </w:rPr>
              <w:t>分</w:t>
            </w:r>
          </w:p>
        </w:tc>
      </w:tr>
      <w:tr w14:paraId="57302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996DAF2">
            <w:pPr>
              <w:rPr>
                <w:rFonts w:ascii="Arial"/>
                <w:sz w:val="21"/>
              </w:rPr>
            </w:pPr>
          </w:p>
        </w:tc>
        <w:tc>
          <w:tcPr>
            <w:tcW w:w="1058" w:type="dxa"/>
            <w:vMerge w:val="continue"/>
            <w:tcBorders>
              <w:top w:val="nil"/>
              <w:bottom w:val="nil"/>
            </w:tcBorders>
            <w:vAlign w:val="top"/>
          </w:tcPr>
          <w:p w14:paraId="57F4440C">
            <w:pPr>
              <w:rPr>
                <w:rFonts w:ascii="Arial"/>
                <w:sz w:val="21"/>
              </w:rPr>
            </w:pPr>
          </w:p>
        </w:tc>
        <w:tc>
          <w:tcPr>
            <w:tcW w:w="2084" w:type="dxa"/>
            <w:vMerge w:val="restart"/>
            <w:tcBorders>
              <w:bottom w:val="nil"/>
            </w:tcBorders>
            <w:vAlign w:val="top"/>
          </w:tcPr>
          <w:p w14:paraId="1199A94B">
            <w:pPr>
              <w:spacing w:line="431" w:lineRule="auto"/>
              <w:rPr>
                <w:rFonts w:ascii="Arial"/>
                <w:sz w:val="21"/>
              </w:rPr>
            </w:pPr>
          </w:p>
          <w:p w14:paraId="677F9CA7">
            <w:pPr>
              <w:pStyle w:val="6"/>
              <w:spacing w:before="65" w:line="229" w:lineRule="auto"/>
              <w:ind w:left="111"/>
            </w:pPr>
            <w:r>
              <w:rPr>
                <w:spacing w:val="8"/>
              </w:rPr>
              <w:t>施工准备与</w:t>
            </w:r>
          </w:p>
          <w:p w14:paraId="229DD19B">
            <w:pPr>
              <w:pStyle w:val="6"/>
              <w:spacing w:before="23" w:line="229" w:lineRule="auto"/>
              <w:ind w:left="121"/>
            </w:pPr>
            <w:r>
              <w:rPr>
                <w:spacing w:val="6"/>
              </w:rPr>
              <w:t>资源配置计划</w:t>
            </w:r>
          </w:p>
        </w:tc>
        <w:tc>
          <w:tcPr>
            <w:tcW w:w="735" w:type="dxa"/>
            <w:vMerge w:val="restart"/>
            <w:tcBorders>
              <w:bottom w:val="nil"/>
            </w:tcBorders>
            <w:vAlign w:val="top"/>
          </w:tcPr>
          <w:p w14:paraId="17E35B10">
            <w:pPr>
              <w:spacing w:line="283" w:lineRule="auto"/>
              <w:rPr>
                <w:rFonts w:ascii="Arial"/>
                <w:sz w:val="21"/>
              </w:rPr>
            </w:pPr>
          </w:p>
          <w:p w14:paraId="14B23D8F">
            <w:pPr>
              <w:spacing w:line="284" w:lineRule="auto"/>
              <w:rPr>
                <w:rFonts w:ascii="Arial"/>
                <w:sz w:val="21"/>
              </w:rPr>
            </w:pPr>
          </w:p>
          <w:p w14:paraId="1B157E0E">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5AB63F33">
            <w:pPr>
              <w:pStyle w:val="6"/>
              <w:spacing w:before="78" w:line="228" w:lineRule="auto"/>
              <w:ind w:left="138"/>
            </w:pPr>
            <w:r>
              <w:rPr>
                <w:spacing w:val="6"/>
              </w:rPr>
              <w:t xml:space="preserve">内容完备，合理、针对性强        </w:t>
            </w:r>
            <w:r>
              <w:rPr>
                <w:spacing w:val="5"/>
              </w:rPr>
              <w:t>2-1.9</w:t>
            </w:r>
            <w:r>
              <w:rPr>
                <w:spacing w:val="-36"/>
              </w:rPr>
              <w:t xml:space="preserve"> </w:t>
            </w:r>
            <w:r>
              <w:rPr>
                <w:spacing w:val="5"/>
              </w:rPr>
              <w:t>分</w:t>
            </w:r>
          </w:p>
        </w:tc>
      </w:tr>
      <w:tr w14:paraId="057576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23B40C4">
            <w:pPr>
              <w:rPr>
                <w:rFonts w:ascii="Arial"/>
                <w:sz w:val="21"/>
              </w:rPr>
            </w:pPr>
          </w:p>
        </w:tc>
        <w:tc>
          <w:tcPr>
            <w:tcW w:w="1058" w:type="dxa"/>
            <w:vMerge w:val="continue"/>
            <w:tcBorders>
              <w:top w:val="nil"/>
              <w:bottom w:val="nil"/>
            </w:tcBorders>
            <w:vAlign w:val="top"/>
          </w:tcPr>
          <w:p w14:paraId="07DB3C22">
            <w:pPr>
              <w:rPr>
                <w:rFonts w:ascii="Arial"/>
                <w:sz w:val="21"/>
              </w:rPr>
            </w:pPr>
          </w:p>
        </w:tc>
        <w:tc>
          <w:tcPr>
            <w:tcW w:w="2084" w:type="dxa"/>
            <w:vMerge w:val="continue"/>
            <w:tcBorders>
              <w:top w:val="nil"/>
              <w:bottom w:val="nil"/>
            </w:tcBorders>
            <w:vAlign w:val="top"/>
          </w:tcPr>
          <w:p w14:paraId="726F8CA8">
            <w:pPr>
              <w:rPr>
                <w:rFonts w:ascii="Arial"/>
                <w:sz w:val="21"/>
              </w:rPr>
            </w:pPr>
          </w:p>
        </w:tc>
        <w:tc>
          <w:tcPr>
            <w:tcW w:w="735" w:type="dxa"/>
            <w:vMerge w:val="continue"/>
            <w:tcBorders>
              <w:top w:val="nil"/>
              <w:bottom w:val="nil"/>
            </w:tcBorders>
            <w:vAlign w:val="top"/>
          </w:tcPr>
          <w:p w14:paraId="4482F649">
            <w:pPr>
              <w:rPr>
                <w:rFonts w:ascii="Arial"/>
                <w:sz w:val="21"/>
              </w:rPr>
            </w:pPr>
          </w:p>
        </w:tc>
        <w:tc>
          <w:tcPr>
            <w:tcW w:w="4562" w:type="dxa"/>
            <w:vAlign w:val="top"/>
          </w:tcPr>
          <w:p w14:paraId="7E6DBE26">
            <w:pPr>
              <w:pStyle w:val="6"/>
              <w:spacing w:before="77" w:line="228" w:lineRule="auto"/>
              <w:ind w:left="138"/>
            </w:pPr>
            <w:r>
              <w:rPr>
                <w:spacing w:val="3"/>
              </w:rPr>
              <w:t>内容完备，可行</w:t>
            </w:r>
            <w:r>
              <w:t xml:space="preserve">                 </w:t>
            </w:r>
            <w:r>
              <w:rPr>
                <w:spacing w:val="3"/>
              </w:rPr>
              <w:t>1.8-1.6</w:t>
            </w:r>
            <w:r>
              <w:rPr>
                <w:spacing w:val="-31"/>
              </w:rPr>
              <w:t xml:space="preserve"> </w:t>
            </w:r>
            <w:r>
              <w:rPr>
                <w:spacing w:val="3"/>
              </w:rPr>
              <w:t>分</w:t>
            </w:r>
          </w:p>
        </w:tc>
      </w:tr>
      <w:tr w14:paraId="2913B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2EAB8A7">
            <w:pPr>
              <w:rPr>
                <w:rFonts w:ascii="Arial"/>
                <w:sz w:val="21"/>
              </w:rPr>
            </w:pPr>
          </w:p>
        </w:tc>
        <w:tc>
          <w:tcPr>
            <w:tcW w:w="1058" w:type="dxa"/>
            <w:vMerge w:val="continue"/>
            <w:tcBorders>
              <w:top w:val="nil"/>
              <w:bottom w:val="nil"/>
            </w:tcBorders>
            <w:vAlign w:val="top"/>
          </w:tcPr>
          <w:p w14:paraId="71D371B0">
            <w:pPr>
              <w:rPr>
                <w:rFonts w:ascii="Arial"/>
                <w:sz w:val="21"/>
              </w:rPr>
            </w:pPr>
          </w:p>
        </w:tc>
        <w:tc>
          <w:tcPr>
            <w:tcW w:w="2084" w:type="dxa"/>
            <w:vMerge w:val="continue"/>
            <w:tcBorders>
              <w:top w:val="nil"/>
              <w:bottom w:val="nil"/>
            </w:tcBorders>
            <w:vAlign w:val="top"/>
          </w:tcPr>
          <w:p w14:paraId="70DB3B21">
            <w:pPr>
              <w:rPr>
                <w:rFonts w:ascii="Arial"/>
                <w:sz w:val="21"/>
              </w:rPr>
            </w:pPr>
          </w:p>
        </w:tc>
        <w:tc>
          <w:tcPr>
            <w:tcW w:w="735" w:type="dxa"/>
            <w:vMerge w:val="continue"/>
            <w:tcBorders>
              <w:top w:val="nil"/>
              <w:bottom w:val="nil"/>
            </w:tcBorders>
            <w:vAlign w:val="top"/>
          </w:tcPr>
          <w:p w14:paraId="42BBE10C">
            <w:pPr>
              <w:rPr>
                <w:rFonts w:ascii="Arial"/>
                <w:sz w:val="21"/>
              </w:rPr>
            </w:pPr>
          </w:p>
        </w:tc>
        <w:tc>
          <w:tcPr>
            <w:tcW w:w="4562" w:type="dxa"/>
            <w:vAlign w:val="top"/>
          </w:tcPr>
          <w:p w14:paraId="21555886">
            <w:pPr>
              <w:pStyle w:val="6"/>
              <w:spacing w:before="80" w:line="227" w:lineRule="auto"/>
              <w:ind w:left="138"/>
            </w:pPr>
            <w:r>
              <w:rPr>
                <w:spacing w:val="4"/>
              </w:rPr>
              <w:t>内容欠完备，基本可行</w:t>
            </w:r>
            <w:r>
              <w:rPr>
                <w:spacing w:val="8"/>
              </w:rPr>
              <w:t xml:space="preserve">          </w:t>
            </w:r>
            <w:r>
              <w:rPr>
                <w:spacing w:val="4"/>
              </w:rPr>
              <w:t>1.5-1.4</w:t>
            </w:r>
            <w:r>
              <w:rPr>
                <w:spacing w:val="-38"/>
              </w:rPr>
              <w:t xml:space="preserve"> </w:t>
            </w:r>
            <w:r>
              <w:rPr>
                <w:spacing w:val="4"/>
              </w:rPr>
              <w:t>分</w:t>
            </w:r>
          </w:p>
        </w:tc>
      </w:tr>
      <w:tr w14:paraId="7B67E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9AFB63A">
            <w:pPr>
              <w:rPr>
                <w:rFonts w:ascii="Arial"/>
                <w:sz w:val="21"/>
              </w:rPr>
            </w:pPr>
          </w:p>
        </w:tc>
        <w:tc>
          <w:tcPr>
            <w:tcW w:w="1058" w:type="dxa"/>
            <w:vMerge w:val="continue"/>
            <w:tcBorders>
              <w:top w:val="nil"/>
              <w:bottom w:val="nil"/>
            </w:tcBorders>
            <w:vAlign w:val="top"/>
          </w:tcPr>
          <w:p w14:paraId="05A53C2A">
            <w:pPr>
              <w:rPr>
                <w:rFonts w:ascii="Arial"/>
                <w:sz w:val="21"/>
              </w:rPr>
            </w:pPr>
          </w:p>
        </w:tc>
        <w:tc>
          <w:tcPr>
            <w:tcW w:w="2084" w:type="dxa"/>
            <w:vMerge w:val="continue"/>
            <w:tcBorders>
              <w:top w:val="nil"/>
            </w:tcBorders>
            <w:vAlign w:val="top"/>
          </w:tcPr>
          <w:p w14:paraId="028D46A5">
            <w:pPr>
              <w:rPr>
                <w:rFonts w:ascii="Arial"/>
                <w:sz w:val="21"/>
              </w:rPr>
            </w:pPr>
          </w:p>
        </w:tc>
        <w:tc>
          <w:tcPr>
            <w:tcW w:w="735" w:type="dxa"/>
            <w:vMerge w:val="continue"/>
            <w:tcBorders>
              <w:top w:val="nil"/>
            </w:tcBorders>
            <w:vAlign w:val="top"/>
          </w:tcPr>
          <w:p w14:paraId="6B3EEDC0">
            <w:pPr>
              <w:rPr>
                <w:rFonts w:ascii="Arial"/>
                <w:sz w:val="21"/>
              </w:rPr>
            </w:pPr>
          </w:p>
        </w:tc>
        <w:tc>
          <w:tcPr>
            <w:tcW w:w="4562" w:type="dxa"/>
            <w:vAlign w:val="top"/>
          </w:tcPr>
          <w:p w14:paraId="5B102161">
            <w:pPr>
              <w:pStyle w:val="6"/>
              <w:spacing w:before="80" w:line="228" w:lineRule="auto"/>
              <w:ind w:left="116"/>
            </w:pPr>
            <w:r>
              <w:rPr>
                <w:spacing w:val="2"/>
              </w:rPr>
              <w:t>不可行                               0</w:t>
            </w:r>
            <w:r>
              <w:rPr>
                <w:spacing w:val="-36"/>
              </w:rPr>
              <w:t xml:space="preserve"> </w:t>
            </w:r>
            <w:r>
              <w:rPr>
                <w:spacing w:val="2"/>
              </w:rPr>
              <w:t>分</w:t>
            </w:r>
          </w:p>
        </w:tc>
      </w:tr>
      <w:tr w14:paraId="638CD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95813B5">
            <w:pPr>
              <w:rPr>
                <w:rFonts w:ascii="Arial"/>
                <w:sz w:val="21"/>
              </w:rPr>
            </w:pPr>
          </w:p>
        </w:tc>
        <w:tc>
          <w:tcPr>
            <w:tcW w:w="1058" w:type="dxa"/>
            <w:vMerge w:val="continue"/>
            <w:tcBorders>
              <w:top w:val="nil"/>
              <w:bottom w:val="nil"/>
            </w:tcBorders>
            <w:vAlign w:val="top"/>
          </w:tcPr>
          <w:p w14:paraId="4519EA8E">
            <w:pPr>
              <w:rPr>
                <w:rFonts w:ascii="Arial"/>
                <w:sz w:val="21"/>
              </w:rPr>
            </w:pPr>
          </w:p>
        </w:tc>
        <w:tc>
          <w:tcPr>
            <w:tcW w:w="2084" w:type="dxa"/>
            <w:vMerge w:val="restart"/>
            <w:tcBorders>
              <w:bottom w:val="nil"/>
            </w:tcBorders>
            <w:vAlign w:val="top"/>
          </w:tcPr>
          <w:p w14:paraId="6512C6C2">
            <w:pPr>
              <w:spacing w:line="282" w:lineRule="auto"/>
              <w:rPr>
                <w:rFonts w:ascii="Arial"/>
                <w:sz w:val="21"/>
              </w:rPr>
            </w:pPr>
          </w:p>
          <w:p w14:paraId="0D40620D">
            <w:pPr>
              <w:spacing w:line="283" w:lineRule="auto"/>
              <w:rPr>
                <w:rFonts w:ascii="Arial"/>
                <w:sz w:val="21"/>
              </w:rPr>
            </w:pPr>
          </w:p>
          <w:p w14:paraId="35D058C6">
            <w:pPr>
              <w:pStyle w:val="6"/>
              <w:spacing w:before="65" w:line="228" w:lineRule="auto"/>
              <w:ind w:left="114"/>
            </w:pPr>
            <w:r>
              <w:rPr>
                <w:spacing w:val="7"/>
              </w:rPr>
              <w:t>主要施工方案</w:t>
            </w:r>
          </w:p>
        </w:tc>
        <w:tc>
          <w:tcPr>
            <w:tcW w:w="735" w:type="dxa"/>
            <w:vMerge w:val="restart"/>
            <w:tcBorders>
              <w:bottom w:val="nil"/>
            </w:tcBorders>
            <w:vAlign w:val="top"/>
          </w:tcPr>
          <w:p w14:paraId="3E58471D">
            <w:pPr>
              <w:spacing w:line="282" w:lineRule="auto"/>
              <w:rPr>
                <w:rFonts w:ascii="Arial"/>
                <w:sz w:val="21"/>
              </w:rPr>
            </w:pPr>
          </w:p>
          <w:p w14:paraId="53F259E4">
            <w:pPr>
              <w:spacing w:line="283" w:lineRule="auto"/>
              <w:rPr>
                <w:rFonts w:ascii="Arial"/>
                <w:sz w:val="21"/>
              </w:rPr>
            </w:pPr>
          </w:p>
          <w:p w14:paraId="0627966B">
            <w:pPr>
              <w:pStyle w:val="6"/>
              <w:spacing w:before="65" w:line="228" w:lineRule="auto"/>
              <w:ind w:left="118"/>
            </w:pPr>
            <w:r>
              <w:rPr>
                <w:spacing w:val="-4"/>
              </w:rPr>
              <w:t>5</w:t>
            </w:r>
            <w:r>
              <w:rPr>
                <w:spacing w:val="-38"/>
              </w:rPr>
              <w:t xml:space="preserve"> </w:t>
            </w:r>
            <w:r>
              <w:rPr>
                <w:spacing w:val="-4"/>
              </w:rPr>
              <w:t>分</w:t>
            </w:r>
          </w:p>
        </w:tc>
        <w:tc>
          <w:tcPr>
            <w:tcW w:w="4562" w:type="dxa"/>
            <w:vAlign w:val="top"/>
          </w:tcPr>
          <w:p w14:paraId="21A85C12">
            <w:pPr>
              <w:pStyle w:val="6"/>
              <w:spacing w:before="79" w:line="227" w:lineRule="auto"/>
              <w:ind w:left="113"/>
            </w:pPr>
            <w:r>
              <w:rPr>
                <w:spacing w:val="6"/>
              </w:rPr>
              <w:t>科学、合理、针对性强            5-4.6</w:t>
            </w:r>
            <w:r>
              <w:rPr>
                <w:spacing w:val="-29"/>
              </w:rPr>
              <w:t xml:space="preserve"> </w:t>
            </w:r>
            <w:r>
              <w:rPr>
                <w:spacing w:val="6"/>
              </w:rPr>
              <w:t>分</w:t>
            </w:r>
          </w:p>
        </w:tc>
      </w:tr>
      <w:tr w14:paraId="05CE71EB">
        <w:tblPrEx>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777B88F">
            <w:pPr>
              <w:rPr>
                <w:rFonts w:ascii="Arial"/>
                <w:sz w:val="21"/>
              </w:rPr>
            </w:pPr>
          </w:p>
        </w:tc>
        <w:tc>
          <w:tcPr>
            <w:tcW w:w="1058" w:type="dxa"/>
            <w:vMerge w:val="continue"/>
            <w:tcBorders>
              <w:top w:val="nil"/>
              <w:bottom w:val="nil"/>
            </w:tcBorders>
            <w:vAlign w:val="top"/>
          </w:tcPr>
          <w:p w14:paraId="34DA65AD">
            <w:pPr>
              <w:rPr>
                <w:rFonts w:ascii="Arial"/>
                <w:sz w:val="21"/>
              </w:rPr>
            </w:pPr>
          </w:p>
        </w:tc>
        <w:tc>
          <w:tcPr>
            <w:tcW w:w="2084" w:type="dxa"/>
            <w:vMerge w:val="continue"/>
            <w:tcBorders>
              <w:top w:val="nil"/>
              <w:bottom w:val="nil"/>
            </w:tcBorders>
            <w:vAlign w:val="top"/>
          </w:tcPr>
          <w:p w14:paraId="4333CEF5">
            <w:pPr>
              <w:rPr>
                <w:rFonts w:ascii="Arial"/>
                <w:sz w:val="21"/>
              </w:rPr>
            </w:pPr>
          </w:p>
        </w:tc>
        <w:tc>
          <w:tcPr>
            <w:tcW w:w="735" w:type="dxa"/>
            <w:vMerge w:val="continue"/>
            <w:tcBorders>
              <w:top w:val="nil"/>
              <w:bottom w:val="nil"/>
            </w:tcBorders>
            <w:vAlign w:val="top"/>
          </w:tcPr>
          <w:p w14:paraId="0A5AABFE">
            <w:pPr>
              <w:rPr>
                <w:rFonts w:ascii="Arial"/>
                <w:sz w:val="21"/>
              </w:rPr>
            </w:pPr>
          </w:p>
        </w:tc>
        <w:tc>
          <w:tcPr>
            <w:tcW w:w="4562" w:type="dxa"/>
            <w:vAlign w:val="top"/>
          </w:tcPr>
          <w:p w14:paraId="33310EC1">
            <w:pPr>
              <w:pStyle w:val="6"/>
              <w:spacing w:before="79" w:line="228" w:lineRule="auto"/>
              <w:ind w:left="114"/>
            </w:pPr>
            <w:r>
              <w:rPr>
                <w:spacing w:val="5"/>
              </w:rPr>
              <w:t>合理、可行</w:t>
            </w:r>
            <w:r>
              <w:t xml:space="preserve">                       </w:t>
            </w:r>
            <w:r>
              <w:rPr>
                <w:spacing w:val="5"/>
              </w:rPr>
              <w:t>4.5-4</w:t>
            </w:r>
            <w:r>
              <w:rPr>
                <w:spacing w:val="-16"/>
              </w:rPr>
              <w:t xml:space="preserve"> </w:t>
            </w:r>
            <w:r>
              <w:rPr>
                <w:spacing w:val="5"/>
              </w:rPr>
              <w:t>分</w:t>
            </w:r>
          </w:p>
        </w:tc>
      </w:tr>
      <w:tr w14:paraId="5132F4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C404DB7">
            <w:pPr>
              <w:rPr>
                <w:rFonts w:ascii="Arial"/>
                <w:sz w:val="21"/>
              </w:rPr>
            </w:pPr>
          </w:p>
        </w:tc>
        <w:tc>
          <w:tcPr>
            <w:tcW w:w="1058" w:type="dxa"/>
            <w:vMerge w:val="continue"/>
            <w:tcBorders>
              <w:top w:val="nil"/>
              <w:bottom w:val="nil"/>
            </w:tcBorders>
            <w:vAlign w:val="top"/>
          </w:tcPr>
          <w:p w14:paraId="6CD98C6F">
            <w:pPr>
              <w:rPr>
                <w:rFonts w:ascii="Arial"/>
                <w:sz w:val="21"/>
              </w:rPr>
            </w:pPr>
          </w:p>
        </w:tc>
        <w:tc>
          <w:tcPr>
            <w:tcW w:w="2084" w:type="dxa"/>
            <w:vMerge w:val="continue"/>
            <w:tcBorders>
              <w:top w:val="nil"/>
              <w:bottom w:val="nil"/>
            </w:tcBorders>
            <w:vAlign w:val="top"/>
          </w:tcPr>
          <w:p w14:paraId="7D104DB1">
            <w:pPr>
              <w:rPr>
                <w:rFonts w:ascii="Arial"/>
                <w:sz w:val="21"/>
              </w:rPr>
            </w:pPr>
          </w:p>
        </w:tc>
        <w:tc>
          <w:tcPr>
            <w:tcW w:w="735" w:type="dxa"/>
            <w:vMerge w:val="continue"/>
            <w:tcBorders>
              <w:top w:val="nil"/>
              <w:bottom w:val="nil"/>
            </w:tcBorders>
            <w:vAlign w:val="top"/>
          </w:tcPr>
          <w:p w14:paraId="3ED77126">
            <w:pPr>
              <w:rPr>
                <w:rFonts w:ascii="Arial"/>
                <w:sz w:val="21"/>
              </w:rPr>
            </w:pPr>
          </w:p>
        </w:tc>
        <w:tc>
          <w:tcPr>
            <w:tcW w:w="4562" w:type="dxa"/>
            <w:vAlign w:val="top"/>
          </w:tcPr>
          <w:p w14:paraId="29D0F5B3">
            <w:pPr>
              <w:pStyle w:val="6"/>
              <w:spacing w:before="78" w:line="227" w:lineRule="auto"/>
              <w:ind w:left="114"/>
            </w:pPr>
            <w:r>
              <w:rPr>
                <w:spacing w:val="6"/>
              </w:rPr>
              <w:t>欠合理，基本可行              3.9-</w:t>
            </w:r>
            <w:r>
              <w:rPr>
                <w:spacing w:val="5"/>
              </w:rPr>
              <w:t>3.5</w:t>
            </w:r>
            <w:r>
              <w:rPr>
                <w:spacing w:val="-37"/>
              </w:rPr>
              <w:t xml:space="preserve"> </w:t>
            </w:r>
            <w:r>
              <w:rPr>
                <w:spacing w:val="5"/>
              </w:rPr>
              <w:t>分</w:t>
            </w:r>
          </w:p>
        </w:tc>
      </w:tr>
      <w:tr w14:paraId="5D2A1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533B96C">
            <w:pPr>
              <w:rPr>
                <w:rFonts w:ascii="Arial"/>
                <w:sz w:val="21"/>
              </w:rPr>
            </w:pPr>
          </w:p>
        </w:tc>
        <w:tc>
          <w:tcPr>
            <w:tcW w:w="1058" w:type="dxa"/>
            <w:vMerge w:val="continue"/>
            <w:tcBorders>
              <w:top w:val="nil"/>
              <w:bottom w:val="nil"/>
            </w:tcBorders>
            <w:vAlign w:val="top"/>
          </w:tcPr>
          <w:p w14:paraId="52642FF2">
            <w:pPr>
              <w:rPr>
                <w:rFonts w:ascii="Arial"/>
                <w:sz w:val="21"/>
              </w:rPr>
            </w:pPr>
          </w:p>
        </w:tc>
        <w:tc>
          <w:tcPr>
            <w:tcW w:w="2084" w:type="dxa"/>
            <w:vMerge w:val="continue"/>
            <w:tcBorders>
              <w:top w:val="nil"/>
            </w:tcBorders>
            <w:vAlign w:val="top"/>
          </w:tcPr>
          <w:p w14:paraId="294ADF86">
            <w:pPr>
              <w:rPr>
                <w:rFonts w:ascii="Arial"/>
                <w:sz w:val="21"/>
              </w:rPr>
            </w:pPr>
          </w:p>
        </w:tc>
        <w:tc>
          <w:tcPr>
            <w:tcW w:w="735" w:type="dxa"/>
            <w:vMerge w:val="continue"/>
            <w:tcBorders>
              <w:top w:val="nil"/>
            </w:tcBorders>
            <w:vAlign w:val="top"/>
          </w:tcPr>
          <w:p w14:paraId="2DBFC512">
            <w:pPr>
              <w:rPr>
                <w:rFonts w:ascii="Arial"/>
                <w:sz w:val="21"/>
              </w:rPr>
            </w:pPr>
          </w:p>
        </w:tc>
        <w:tc>
          <w:tcPr>
            <w:tcW w:w="4562" w:type="dxa"/>
            <w:vAlign w:val="top"/>
          </w:tcPr>
          <w:p w14:paraId="19A1D4DC">
            <w:pPr>
              <w:pStyle w:val="6"/>
              <w:spacing w:before="77" w:line="228" w:lineRule="auto"/>
              <w:ind w:left="116"/>
            </w:pPr>
            <w:r>
              <w:rPr>
                <w:spacing w:val="6"/>
              </w:rPr>
              <w:t>不可行，不能满足工程需要            0</w:t>
            </w:r>
            <w:r>
              <w:rPr>
                <w:spacing w:val="-20"/>
              </w:rPr>
              <w:t xml:space="preserve"> </w:t>
            </w:r>
            <w:r>
              <w:rPr>
                <w:spacing w:val="6"/>
              </w:rPr>
              <w:t>分</w:t>
            </w:r>
          </w:p>
        </w:tc>
      </w:tr>
      <w:tr w14:paraId="38BB8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891A8F1">
            <w:pPr>
              <w:rPr>
                <w:rFonts w:ascii="Arial"/>
                <w:sz w:val="21"/>
              </w:rPr>
            </w:pPr>
          </w:p>
        </w:tc>
        <w:tc>
          <w:tcPr>
            <w:tcW w:w="1058" w:type="dxa"/>
            <w:vMerge w:val="continue"/>
            <w:tcBorders>
              <w:top w:val="nil"/>
              <w:bottom w:val="nil"/>
            </w:tcBorders>
            <w:vAlign w:val="top"/>
          </w:tcPr>
          <w:p w14:paraId="23C7DF7E">
            <w:pPr>
              <w:rPr>
                <w:rFonts w:ascii="Arial"/>
                <w:sz w:val="21"/>
              </w:rPr>
            </w:pPr>
          </w:p>
        </w:tc>
        <w:tc>
          <w:tcPr>
            <w:tcW w:w="2084" w:type="dxa"/>
            <w:vMerge w:val="restart"/>
            <w:tcBorders>
              <w:bottom w:val="nil"/>
            </w:tcBorders>
            <w:vAlign w:val="top"/>
          </w:tcPr>
          <w:p w14:paraId="6AD974D1">
            <w:pPr>
              <w:spacing w:line="283" w:lineRule="auto"/>
              <w:rPr>
                <w:rFonts w:ascii="Arial"/>
                <w:sz w:val="21"/>
              </w:rPr>
            </w:pPr>
          </w:p>
          <w:p w14:paraId="576A6A71">
            <w:pPr>
              <w:spacing w:line="283" w:lineRule="auto"/>
              <w:rPr>
                <w:rFonts w:ascii="Arial"/>
                <w:sz w:val="21"/>
              </w:rPr>
            </w:pPr>
          </w:p>
          <w:p w14:paraId="4F93D2C4">
            <w:pPr>
              <w:pStyle w:val="6"/>
              <w:spacing w:before="65" w:line="227" w:lineRule="auto"/>
              <w:ind w:left="111"/>
            </w:pPr>
            <w:r>
              <w:rPr>
                <w:spacing w:val="8"/>
              </w:rPr>
              <w:t>施工现场平面布置</w:t>
            </w:r>
          </w:p>
        </w:tc>
        <w:tc>
          <w:tcPr>
            <w:tcW w:w="735" w:type="dxa"/>
            <w:vMerge w:val="restart"/>
            <w:tcBorders>
              <w:bottom w:val="nil"/>
            </w:tcBorders>
            <w:vAlign w:val="top"/>
          </w:tcPr>
          <w:p w14:paraId="38B3360C">
            <w:pPr>
              <w:spacing w:line="283" w:lineRule="auto"/>
              <w:rPr>
                <w:rFonts w:ascii="Arial"/>
                <w:sz w:val="21"/>
              </w:rPr>
            </w:pPr>
          </w:p>
          <w:p w14:paraId="1E8645D6">
            <w:pPr>
              <w:spacing w:line="283" w:lineRule="auto"/>
              <w:rPr>
                <w:rFonts w:ascii="Arial"/>
                <w:sz w:val="21"/>
              </w:rPr>
            </w:pPr>
          </w:p>
          <w:p w14:paraId="3C22F437">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77DED8E7">
            <w:pPr>
              <w:pStyle w:val="6"/>
              <w:spacing w:before="80" w:line="227" w:lineRule="auto"/>
              <w:ind w:left="115"/>
            </w:pPr>
            <w:r>
              <w:rPr>
                <w:spacing w:val="5"/>
              </w:rPr>
              <w:t>现场布置合理</w:t>
            </w:r>
            <w:r>
              <w:t xml:space="preserve">                     </w:t>
            </w:r>
            <w:r>
              <w:rPr>
                <w:spacing w:val="5"/>
              </w:rPr>
              <w:t>2-1.9</w:t>
            </w:r>
            <w:r>
              <w:rPr>
                <w:spacing w:val="-22"/>
              </w:rPr>
              <w:t xml:space="preserve"> </w:t>
            </w:r>
            <w:r>
              <w:rPr>
                <w:spacing w:val="5"/>
              </w:rPr>
              <w:t>分</w:t>
            </w:r>
          </w:p>
        </w:tc>
      </w:tr>
      <w:tr w14:paraId="2E619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7958394">
            <w:pPr>
              <w:rPr>
                <w:rFonts w:ascii="Arial"/>
                <w:sz w:val="21"/>
              </w:rPr>
            </w:pPr>
          </w:p>
        </w:tc>
        <w:tc>
          <w:tcPr>
            <w:tcW w:w="1058" w:type="dxa"/>
            <w:vMerge w:val="continue"/>
            <w:tcBorders>
              <w:top w:val="nil"/>
              <w:bottom w:val="nil"/>
            </w:tcBorders>
            <w:vAlign w:val="top"/>
          </w:tcPr>
          <w:p w14:paraId="61F30192">
            <w:pPr>
              <w:rPr>
                <w:rFonts w:ascii="Arial"/>
                <w:sz w:val="21"/>
              </w:rPr>
            </w:pPr>
          </w:p>
        </w:tc>
        <w:tc>
          <w:tcPr>
            <w:tcW w:w="2084" w:type="dxa"/>
            <w:vMerge w:val="continue"/>
            <w:tcBorders>
              <w:top w:val="nil"/>
              <w:bottom w:val="nil"/>
            </w:tcBorders>
            <w:vAlign w:val="top"/>
          </w:tcPr>
          <w:p w14:paraId="6AE983A8">
            <w:pPr>
              <w:rPr>
                <w:rFonts w:ascii="Arial"/>
                <w:sz w:val="21"/>
              </w:rPr>
            </w:pPr>
          </w:p>
        </w:tc>
        <w:tc>
          <w:tcPr>
            <w:tcW w:w="735" w:type="dxa"/>
            <w:vMerge w:val="continue"/>
            <w:tcBorders>
              <w:top w:val="nil"/>
              <w:bottom w:val="nil"/>
            </w:tcBorders>
            <w:vAlign w:val="top"/>
          </w:tcPr>
          <w:p w14:paraId="1149440E">
            <w:pPr>
              <w:rPr>
                <w:rFonts w:ascii="Arial"/>
                <w:sz w:val="21"/>
              </w:rPr>
            </w:pPr>
          </w:p>
        </w:tc>
        <w:tc>
          <w:tcPr>
            <w:tcW w:w="4562" w:type="dxa"/>
            <w:vAlign w:val="top"/>
          </w:tcPr>
          <w:p w14:paraId="7D68E1C5">
            <w:pPr>
              <w:pStyle w:val="6"/>
              <w:spacing w:before="79" w:line="227" w:lineRule="auto"/>
              <w:ind w:left="115"/>
            </w:pPr>
            <w:r>
              <w:rPr>
                <w:spacing w:val="4"/>
              </w:rPr>
              <w:t>现场布置可行</w:t>
            </w:r>
            <w:r>
              <w:rPr>
                <w:spacing w:val="1"/>
              </w:rPr>
              <w:t xml:space="preserve">                   </w:t>
            </w:r>
            <w:r>
              <w:rPr>
                <w:spacing w:val="4"/>
              </w:rPr>
              <w:t>1.8-1.6</w:t>
            </w:r>
            <w:r>
              <w:rPr>
                <w:spacing w:val="-37"/>
              </w:rPr>
              <w:t xml:space="preserve"> </w:t>
            </w:r>
            <w:r>
              <w:rPr>
                <w:spacing w:val="4"/>
              </w:rPr>
              <w:t>分</w:t>
            </w:r>
          </w:p>
        </w:tc>
      </w:tr>
      <w:tr w14:paraId="633D40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31ECFD1">
            <w:pPr>
              <w:rPr>
                <w:rFonts w:ascii="Arial"/>
                <w:sz w:val="21"/>
              </w:rPr>
            </w:pPr>
          </w:p>
        </w:tc>
        <w:tc>
          <w:tcPr>
            <w:tcW w:w="1058" w:type="dxa"/>
            <w:vMerge w:val="continue"/>
            <w:tcBorders>
              <w:top w:val="nil"/>
              <w:bottom w:val="nil"/>
            </w:tcBorders>
            <w:vAlign w:val="top"/>
          </w:tcPr>
          <w:p w14:paraId="40BEF284">
            <w:pPr>
              <w:rPr>
                <w:rFonts w:ascii="Arial"/>
                <w:sz w:val="21"/>
              </w:rPr>
            </w:pPr>
          </w:p>
        </w:tc>
        <w:tc>
          <w:tcPr>
            <w:tcW w:w="2084" w:type="dxa"/>
            <w:vMerge w:val="continue"/>
            <w:tcBorders>
              <w:top w:val="nil"/>
              <w:bottom w:val="nil"/>
            </w:tcBorders>
            <w:vAlign w:val="top"/>
          </w:tcPr>
          <w:p w14:paraId="5969236C">
            <w:pPr>
              <w:rPr>
                <w:rFonts w:ascii="Arial"/>
                <w:sz w:val="21"/>
              </w:rPr>
            </w:pPr>
          </w:p>
        </w:tc>
        <w:tc>
          <w:tcPr>
            <w:tcW w:w="735" w:type="dxa"/>
            <w:vMerge w:val="continue"/>
            <w:tcBorders>
              <w:top w:val="nil"/>
              <w:bottom w:val="nil"/>
            </w:tcBorders>
            <w:vAlign w:val="top"/>
          </w:tcPr>
          <w:p w14:paraId="3DDBF154">
            <w:pPr>
              <w:rPr>
                <w:rFonts w:ascii="Arial"/>
                <w:sz w:val="21"/>
              </w:rPr>
            </w:pPr>
          </w:p>
        </w:tc>
        <w:tc>
          <w:tcPr>
            <w:tcW w:w="4562" w:type="dxa"/>
            <w:vAlign w:val="top"/>
          </w:tcPr>
          <w:p w14:paraId="200A3D12">
            <w:pPr>
              <w:pStyle w:val="6"/>
              <w:spacing w:before="79" w:line="227" w:lineRule="auto"/>
              <w:ind w:left="115"/>
            </w:pPr>
            <w:r>
              <w:rPr>
                <w:spacing w:val="4"/>
              </w:rPr>
              <w:t>现场布置基本可行</w:t>
            </w:r>
            <w:r>
              <w:rPr>
                <w:spacing w:val="8"/>
              </w:rPr>
              <w:t xml:space="preserve">              </w:t>
            </w:r>
            <w:r>
              <w:rPr>
                <w:spacing w:val="4"/>
              </w:rPr>
              <w:t>1.5-1.4</w:t>
            </w:r>
            <w:r>
              <w:rPr>
                <w:spacing w:val="-38"/>
              </w:rPr>
              <w:t xml:space="preserve"> </w:t>
            </w:r>
            <w:r>
              <w:rPr>
                <w:spacing w:val="4"/>
              </w:rPr>
              <w:t>分</w:t>
            </w:r>
          </w:p>
        </w:tc>
      </w:tr>
      <w:tr w14:paraId="469249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5514810">
            <w:pPr>
              <w:rPr>
                <w:rFonts w:ascii="Arial"/>
                <w:sz w:val="21"/>
              </w:rPr>
            </w:pPr>
          </w:p>
        </w:tc>
        <w:tc>
          <w:tcPr>
            <w:tcW w:w="1058" w:type="dxa"/>
            <w:vMerge w:val="continue"/>
            <w:tcBorders>
              <w:top w:val="nil"/>
              <w:bottom w:val="nil"/>
            </w:tcBorders>
            <w:vAlign w:val="top"/>
          </w:tcPr>
          <w:p w14:paraId="68EFED71">
            <w:pPr>
              <w:rPr>
                <w:rFonts w:ascii="Arial"/>
                <w:sz w:val="21"/>
              </w:rPr>
            </w:pPr>
          </w:p>
        </w:tc>
        <w:tc>
          <w:tcPr>
            <w:tcW w:w="2084" w:type="dxa"/>
            <w:vMerge w:val="continue"/>
            <w:tcBorders>
              <w:top w:val="nil"/>
            </w:tcBorders>
            <w:vAlign w:val="top"/>
          </w:tcPr>
          <w:p w14:paraId="15CD2389">
            <w:pPr>
              <w:rPr>
                <w:rFonts w:ascii="Arial"/>
                <w:sz w:val="21"/>
              </w:rPr>
            </w:pPr>
          </w:p>
        </w:tc>
        <w:tc>
          <w:tcPr>
            <w:tcW w:w="735" w:type="dxa"/>
            <w:vMerge w:val="continue"/>
            <w:tcBorders>
              <w:top w:val="nil"/>
            </w:tcBorders>
            <w:vAlign w:val="top"/>
          </w:tcPr>
          <w:p w14:paraId="244821AF">
            <w:pPr>
              <w:rPr>
                <w:rFonts w:ascii="Arial"/>
                <w:sz w:val="21"/>
              </w:rPr>
            </w:pPr>
          </w:p>
        </w:tc>
        <w:tc>
          <w:tcPr>
            <w:tcW w:w="4562" w:type="dxa"/>
            <w:vAlign w:val="top"/>
          </w:tcPr>
          <w:p w14:paraId="2EF0F828">
            <w:pPr>
              <w:pStyle w:val="6"/>
              <w:spacing w:before="78" w:line="227" w:lineRule="auto"/>
              <w:ind w:left="115"/>
            </w:pPr>
            <w:r>
              <w:rPr>
                <w:spacing w:val="5"/>
              </w:rPr>
              <w:t>现场布置不可行</w:t>
            </w:r>
            <w:r>
              <w:rPr>
                <w:spacing w:val="1"/>
              </w:rPr>
              <w:t xml:space="preserve">                       </w:t>
            </w:r>
            <w:r>
              <w:rPr>
                <w:spacing w:val="5"/>
              </w:rPr>
              <w:t>0</w:t>
            </w:r>
            <w:r>
              <w:rPr>
                <w:spacing w:val="-30"/>
              </w:rPr>
              <w:t xml:space="preserve"> </w:t>
            </w:r>
            <w:r>
              <w:rPr>
                <w:spacing w:val="5"/>
              </w:rPr>
              <w:t>分</w:t>
            </w:r>
          </w:p>
        </w:tc>
      </w:tr>
      <w:tr w14:paraId="71CF8A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6692630">
            <w:pPr>
              <w:rPr>
                <w:rFonts w:ascii="Arial"/>
                <w:sz w:val="21"/>
              </w:rPr>
            </w:pPr>
          </w:p>
        </w:tc>
        <w:tc>
          <w:tcPr>
            <w:tcW w:w="1058" w:type="dxa"/>
            <w:vMerge w:val="continue"/>
            <w:tcBorders>
              <w:top w:val="nil"/>
              <w:bottom w:val="nil"/>
            </w:tcBorders>
            <w:vAlign w:val="top"/>
          </w:tcPr>
          <w:p w14:paraId="43963FD4">
            <w:pPr>
              <w:rPr>
                <w:rFonts w:ascii="Arial"/>
                <w:sz w:val="21"/>
              </w:rPr>
            </w:pPr>
          </w:p>
        </w:tc>
        <w:tc>
          <w:tcPr>
            <w:tcW w:w="2084" w:type="dxa"/>
            <w:vMerge w:val="restart"/>
            <w:tcBorders>
              <w:bottom w:val="nil"/>
            </w:tcBorders>
            <w:vAlign w:val="top"/>
          </w:tcPr>
          <w:p w14:paraId="0612C281">
            <w:pPr>
              <w:pStyle w:val="6"/>
              <w:spacing w:before="263" w:line="228" w:lineRule="auto"/>
              <w:ind w:left="114"/>
            </w:pPr>
            <w:r>
              <w:rPr>
                <w:spacing w:val="8"/>
              </w:rPr>
              <w:t>主要施工管理计划</w:t>
            </w:r>
          </w:p>
        </w:tc>
        <w:tc>
          <w:tcPr>
            <w:tcW w:w="735" w:type="dxa"/>
            <w:vMerge w:val="restart"/>
            <w:tcBorders>
              <w:bottom w:val="nil"/>
            </w:tcBorders>
            <w:vAlign w:val="top"/>
          </w:tcPr>
          <w:p w14:paraId="1B4BEEB9">
            <w:pPr>
              <w:pStyle w:val="6"/>
              <w:spacing w:before="263" w:line="228" w:lineRule="auto"/>
              <w:ind w:left="118"/>
            </w:pPr>
            <w:r>
              <w:rPr>
                <w:spacing w:val="-4"/>
              </w:rPr>
              <w:t>3</w:t>
            </w:r>
            <w:r>
              <w:rPr>
                <w:spacing w:val="-38"/>
              </w:rPr>
              <w:t xml:space="preserve"> </w:t>
            </w:r>
            <w:r>
              <w:rPr>
                <w:spacing w:val="-4"/>
              </w:rPr>
              <w:t>分</w:t>
            </w:r>
          </w:p>
        </w:tc>
        <w:tc>
          <w:tcPr>
            <w:tcW w:w="4562" w:type="dxa"/>
            <w:vAlign w:val="top"/>
          </w:tcPr>
          <w:p w14:paraId="4AA19050">
            <w:pPr>
              <w:pStyle w:val="6"/>
              <w:spacing w:before="78" w:line="228" w:lineRule="auto"/>
              <w:ind w:left="138"/>
            </w:pPr>
            <w:r>
              <w:rPr>
                <w:spacing w:val="6"/>
              </w:rPr>
              <w:t xml:space="preserve">内容完备，合理、针对性强        </w:t>
            </w:r>
            <w:r>
              <w:rPr>
                <w:spacing w:val="5"/>
              </w:rPr>
              <w:t>3-2.8</w:t>
            </w:r>
            <w:r>
              <w:rPr>
                <w:spacing w:val="-36"/>
              </w:rPr>
              <w:t xml:space="preserve"> </w:t>
            </w:r>
            <w:r>
              <w:rPr>
                <w:spacing w:val="5"/>
              </w:rPr>
              <w:t>分</w:t>
            </w:r>
          </w:p>
        </w:tc>
      </w:tr>
      <w:tr w14:paraId="5036E3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45" w:type="dxa"/>
            <w:vMerge w:val="continue"/>
            <w:tcBorders>
              <w:top w:val="nil"/>
            </w:tcBorders>
            <w:vAlign w:val="top"/>
          </w:tcPr>
          <w:p w14:paraId="4A854D74">
            <w:pPr>
              <w:rPr>
                <w:rFonts w:ascii="Arial"/>
                <w:sz w:val="21"/>
              </w:rPr>
            </w:pPr>
          </w:p>
        </w:tc>
        <w:tc>
          <w:tcPr>
            <w:tcW w:w="1058" w:type="dxa"/>
            <w:vMerge w:val="continue"/>
            <w:tcBorders>
              <w:top w:val="nil"/>
            </w:tcBorders>
            <w:vAlign w:val="top"/>
          </w:tcPr>
          <w:p w14:paraId="7758A253">
            <w:pPr>
              <w:rPr>
                <w:rFonts w:ascii="Arial"/>
                <w:sz w:val="21"/>
              </w:rPr>
            </w:pPr>
          </w:p>
        </w:tc>
        <w:tc>
          <w:tcPr>
            <w:tcW w:w="2084" w:type="dxa"/>
            <w:vMerge w:val="continue"/>
            <w:tcBorders>
              <w:top w:val="nil"/>
            </w:tcBorders>
            <w:vAlign w:val="top"/>
          </w:tcPr>
          <w:p w14:paraId="513C1E00">
            <w:pPr>
              <w:rPr>
                <w:rFonts w:ascii="Arial"/>
                <w:sz w:val="21"/>
              </w:rPr>
            </w:pPr>
          </w:p>
        </w:tc>
        <w:tc>
          <w:tcPr>
            <w:tcW w:w="735" w:type="dxa"/>
            <w:vMerge w:val="continue"/>
            <w:tcBorders>
              <w:top w:val="nil"/>
            </w:tcBorders>
            <w:vAlign w:val="top"/>
          </w:tcPr>
          <w:p w14:paraId="431B08FB">
            <w:pPr>
              <w:rPr>
                <w:rFonts w:ascii="Arial"/>
                <w:sz w:val="21"/>
              </w:rPr>
            </w:pPr>
          </w:p>
        </w:tc>
        <w:tc>
          <w:tcPr>
            <w:tcW w:w="4562" w:type="dxa"/>
            <w:vAlign w:val="top"/>
          </w:tcPr>
          <w:p w14:paraId="480F58CD">
            <w:pPr>
              <w:pStyle w:val="6"/>
              <w:spacing w:before="77" w:line="228" w:lineRule="auto"/>
              <w:ind w:left="138"/>
            </w:pPr>
            <w:r>
              <w:rPr>
                <w:spacing w:val="4"/>
              </w:rPr>
              <w:t>内容完备，可行</w:t>
            </w:r>
            <w:r>
              <w:rPr>
                <w:spacing w:val="5"/>
              </w:rPr>
              <w:t xml:space="preserve">                </w:t>
            </w:r>
            <w:r>
              <w:rPr>
                <w:spacing w:val="4"/>
              </w:rPr>
              <w:t>2.7-2.4</w:t>
            </w:r>
            <w:r>
              <w:rPr>
                <w:spacing w:val="-26"/>
              </w:rPr>
              <w:t xml:space="preserve"> </w:t>
            </w:r>
            <w:r>
              <w:rPr>
                <w:spacing w:val="4"/>
              </w:rPr>
              <w:t>分</w:t>
            </w:r>
          </w:p>
        </w:tc>
      </w:tr>
    </w:tbl>
    <w:p w14:paraId="6DD9226A">
      <w:pPr>
        <w:rPr>
          <w:rFonts w:ascii="Arial"/>
          <w:sz w:val="21"/>
        </w:rPr>
      </w:pPr>
    </w:p>
    <w:p w14:paraId="6503E93B">
      <w:pPr>
        <w:rPr>
          <w:rFonts w:ascii="Arial" w:hAnsi="Arial" w:eastAsia="Arial" w:cs="Arial"/>
          <w:sz w:val="21"/>
          <w:szCs w:val="21"/>
        </w:rPr>
        <w:sectPr>
          <w:footerReference r:id="rId78" w:type="default"/>
          <w:pgSz w:w="11907" w:h="16840"/>
          <w:pgMar w:top="400" w:right="1248" w:bottom="1035" w:left="1469" w:header="0" w:footer="785" w:gutter="0"/>
          <w:cols w:space="720" w:num="1"/>
        </w:sectPr>
      </w:pPr>
    </w:p>
    <w:p w14:paraId="6E49E37D">
      <w:pPr>
        <w:spacing w:before="19"/>
      </w:pPr>
    </w:p>
    <w:p w14:paraId="70A6AE9D">
      <w:pPr>
        <w:spacing w:before="19"/>
      </w:pPr>
    </w:p>
    <w:p w14:paraId="19DE05A0">
      <w:pPr>
        <w:spacing w:before="19"/>
      </w:pPr>
    </w:p>
    <w:p w14:paraId="689498A9">
      <w:pPr>
        <w:spacing w:before="18"/>
      </w:pPr>
    </w:p>
    <w:p w14:paraId="31B22340">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439"/>
        <w:gridCol w:w="645"/>
        <w:gridCol w:w="735"/>
        <w:gridCol w:w="4562"/>
      </w:tblGrid>
      <w:tr w14:paraId="556C5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745" w:type="dxa"/>
            <w:vMerge w:val="restart"/>
            <w:tcBorders>
              <w:bottom w:val="nil"/>
            </w:tcBorders>
            <w:vAlign w:val="top"/>
          </w:tcPr>
          <w:p w14:paraId="09863FE8">
            <w:pPr>
              <w:rPr>
                <w:rFonts w:ascii="Arial"/>
                <w:sz w:val="21"/>
              </w:rPr>
            </w:pPr>
          </w:p>
        </w:tc>
        <w:tc>
          <w:tcPr>
            <w:tcW w:w="1058" w:type="dxa"/>
            <w:vMerge w:val="restart"/>
            <w:tcBorders>
              <w:bottom w:val="nil"/>
            </w:tcBorders>
            <w:vAlign w:val="top"/>
          </w:tcPr>
          <w:p w14:paraId="22F5B1D5">
            <w:pPr>
              <w:rPr>
                <w:rFonts w:ascii="Arial"/>
                <w:sz w:val="21"/>
              </w:rPr>
            </w:pPr>
          </w:p>
        </w:tc>
        <w:tc>
          <w:tcPr>
            <w:tcW w:w="2084" w:type="dxa"/>
            <w:gridSpan w:val="2"/>
            <w:vMerge w:val="restart"/>
            <w:tcBorders>
              <w:bottom w:val="nil"/>
            </w:tcBorders>
            <w:vAlign w:val="top"/>
          </w:tcPr>
          <w:p w14:paraId="44BA2C6F">
            <w:pPr>
              <w:rPr>
                <w:rFonts w:ascii="Arial"/>
                <w:sz w:val="21"/>
              </w:rPr>
            </w:pPr>
          </w:p>
        </w:tc>
        <w:tc>
          <w:tcPr>
            <w:tcW w:w="735" w:type="dxa"/>
            <w:vMerge w:val="restart"/>
            <w:tcBorders>
              <w:bottom w:val="nil"/>
            </w:tcBorders>
            <w:vAlign w:val="top"/>
          </w:tcPr>
          <w:p w14:paraId="1D4D88FA">
            <w:pPr>
              <w:rPr>
                <w:rFonts w:ascii="Arial"/>
                <w:sz w:val="21"/>
              </w:rPr>
            </w:pPr>
          </w:p>
        </w:tc>
        <w:tc>
          <w:tcPr>
            <w:tcW w:w="4562" w:type="dxa"/>
            <w:vAlign w:val="top"/>
          </w:tcPr>
          <w:p w14:paraId="37A8AB16">
            <w:pPr>
              <w:pStyle w:val="6"/>
              <w:spacing w:before="78" w:line="227" w:lineRule="auto"/>
              <w:ind w:left="138"/>
            </w:pPr>
            <w:r>
              <w:rPr>
                <w:spacing w:val="5"/>
              </w:rPr>
              <w:t>内容欠完备，基本可行          2.3-2.1</w:t>
            </w:r>
            <w:r>
              <w:rPr>
                <w:spacing w:val="-26"/>
              </w:rPr>
              <w:t xml:space="preserve"> </w:t>
            </w:r>
            <w:r>
              <w:rPr>
                <w:spacing w:val="5"/>
              </w:rPr>
              <w:t>分</w:t>
            </w:r>
          </w:p>
        </w:tc>
      </w:tr>
      <w:tr w14:paraId="7DD7CA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tcBorders>
            <w:vAlign w:val="top"/>
          </w:tcPr>
          <w:p w14:paraId="21B4C233">
            <w:pPr>
              <w:rPr>
                <w:rFonts w:ascii="Arial"/>
                <w:sz w:val="21"/>
              </w:rPr>
            </w:pPr>
          </w:p>
        </w:tc>
        <w:tc>
          <w:tcPr>
            <w:tcW w:w="1058" w:type="dxa"/>
            <w:vMerge w:val="continue"/>
            <w:tcBorders>
              <w:top w:val="nil"/>
            </w:tcBorders>
            <w:vAlign w:val="top"/>
          </w:tcPr>
          <w:p w14:paraId="708B7B91">
            <w:pPr>
              <w:rPr>
                <w:rFonts w:ascii="Arial"/>
                <w:sz w:val="21"/>
              </w:rPr>
            </w:pPr>
          </w:p>
        </w:tc>
        <w:tc>
          <w:tcPr>
            <w:tcW w:w="2084" w:type="dxa"/>
            <w:gridSpan w:val="2"/>
            <w:vMerge w:val="continue"/>
            <w:tcBorders>
              <w:top w:val="nil"/>
            </w:tcBorders>
            <w:vAlign w:val="top"/>
          </w:tcPr>
          <w:p w14:paraId="059CB2A2">
            <w:pPr>
              <w:rPr>
                <w:rFonts w:ascii="Arial"/>
                <w:sz w:val="21"/>
              </w:rPr>
            </w:pPr>
          </w:p>
        </w:tc>
        <w:tc>
          <w:tcPr>
            <w:tcW w:w="735" w:type="dxa"/>
            <w:vMerge w:val="continue"/>
            <w:tcBorders>
              <w:top w:val="nil"/>
            </w:tcBorders>
            <w:vAlign w:val="top"/>
          </w:tcPr>
          <w:p w14:paraId="4ACF53E5">
            <w:pPr>
              <w:rPr>
                <w:rFonts w:ascii="Arial"/>
                <w:sz w:val="21"/>
              </w:rPr>
            </w:pPr>
          </w:p>
        </w:tc>
        <w:tc>
          <w:tcPr>
            <w:tcW w:w="4562" w:type="dxa"/>
            <w:vAlign w:val="top"/>
          </w:tcPr>
          <w:p w14:paraId="3A1241B5">
            <w:pPr>
              <w:pStyle w:val="6"/>
              <w:spacing w:before="73" w:line="228" w:lineRule="auto"/>
              <w:ind w:left="116"/>
            </w:pPr>
            <w:r>
              <w:rPr>
                <w:spacing w:val="2"/>
              </w:rPr>
              <w:t>不可行                               0</w:t>
            </w:r>
            <w:r>
              <w:rPr>
                <w:spacing w:val="-36"/>
              </w:rPr>
              <w:t xml:space="preserve"> </w:t>
            </w:r>
            <w:r>
              <w:rPr>
                <w:spacing w:val="2"/>
              </w:rPr>
              <w:t>分</w:t>
            </w:r>
          </w:p>
        </w:tc>
      </w:tr>
      <w:tr w14:paraId="3C441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745" w:type="dxa"/>
            <w:vMerge w:val="restart"/>
            <w:tcBorders>
              <w:bottom w:val="nil"/>
            </w:tcBorders>
            <w:vAlign w:val="top"/>
          </w:tcPr>
          <w:p w14:paraId="14B8EBD5">
            <w:pPr>
              <w:spacing w:line="253" w:lineRule="auto"/>
              <w:rPr>
                <w:rFonts w:ascii="Arial"/>
                <w:sz w:val="21"/>
              </w:rPr>
            </w:pPr>
          </w:p>
          <w:p w14:paraId="07244948">
            <w:pPr>
              <w:spacing w:line="253" w:lineRule="auto"/>
              <w:rPr>
                <w:rFonts w:ascii="Arial"/>
                <w:sz w:val="21"/>
              </w:rPr>
            </w:pPr>
          </w:p>
          <w:p w14:paraId="10927710">
            <w:pPr>
              <w:spacing w:line="253" w:lineRule="auto"/>
              <w:rPr>
                <w:rFonts w:ascii="Arial"/>
                <w:sz w:val="21"/>
              </w:rPr>
            </w:pPr>
          </w:p>
          <w:p w14:paraId="56021067">
            <w:pPr>
              <w:spacing w:line="253" w:lineRule="auto"/>
              <w:rPr>
                <w:rFonts w:ascii="Arial"/>
                <w:sz w:val="21"/>
              </w:rPr>
            </w:pPr>
          </w:p>
          <w:p w14:paraId="12031162">
            <w:pPr>
              <w:spacing w:line="253" w:lineRule="auto"/>
              <w:rPr>
                <w:rFonts w:ascii="Arial"/>
                <w:sz w:val="21"/>
              </w:rPr>
            </w:pPr>
          </w:p>
          <w:p w14:paraId="3C744AAA">
            <w:pPr>
              <w:spacing w:line="253" w:lineRule="auto"/>
              <w:rPr>
                <w:rFonts w:ascii="Arial"/>
                <w:sz w:val="21"/>
              </w:rPr>
            </w:pPr>
          </w:p>
          <w:p w14:paraId="08864FD5">
            <w:pPr>
              <w:spacing w:line="254" w:lineRule="auto"/>
              <w:rPr>
                <w:rFonts w:ascii="Arial"/>
                <w:sz w:val="21"/>
              </w:rPr>
            </w:pPr>
          </w:p>
          <w:p w14:paraId="442210DA">
            <w:pPr>
              <w:spacing w:line="254" w:lineRule="auto"/>
              <w:rPr>
                <w:rFonts w:ascii="Arial"/>
                <w:sz w:val="21"/>
              </w:rPr>
            </w:pPr>
          </w:p>
          <w:p w14:paraId="7D813D76">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68978B7C">
            <w:pPr>
              <w:pStyle w:val="6"/>
              <w:spacing w:before="216"/>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23F7B96B">
            <w:pPr>
              <w:spacing w:line="267" w:lineRule="auto"/>
              <w:rPr>
                <w:rFonts w:ascii="Arial"/>
                <w:sz w:val="21"/>
              </w:rPr>
            </w:pPr>
          </w:p>
          <w:p w14:paraId="4E0D963D">
            <w:pPr>
              <w:spacing w:line="267" w:lineRule="auto"/>
              <w:rPr>
                <w:rFonts w:ascii="Arial"/>
                <w:sz w:val="21"/>
              </w:rPr>
            </w:pPr>
          </w:p>
          <w:p w14:paraId="2F19A39C">
            <w:pPr>
              <w:spacing w:line="267" w:lineRule="auto"/>
              <w:rPr>
                <w:rFonts w:ascii="Arial"/>
                <w:sz w:val="21"/>
              </w:rPr>
            </w:pPr>
          </w:p>
          <w:p w14:paraId="69C5688E">
            <w:pPr>
              <w:spacing w:line="267" w:lineRule="auto"/>
              <w:rPr>
                <w:rFonts w:ascii="Arial"/>
                <w:sz w:val="21"/>
              </w:rPr>
            </w:pPr>
          </w:p>
          <w:p w14:paraId="65E36E9A">
            <w:pPr>
              <w:spacing w:line="267" w:lineRule="auto"/>
              <w:rPr>
                <w:rFonts w:ascii="Arial"/>
                <w:sz w:val="21"/>
              </w:rPr>
            </w:pPr>
          </w:p>
          <w:p w14:paraId="701859FB">
            <w:pPr>
              <w:spacing w:line="268" w:lineRule="auto"/>
              <w:rPr>
                <w:rFonts w:ascii="Arial"/>
                <w:sz w:val="21"/>
              </w:rPr>
            </w:pPr>
          </w:p>
          <w:p w14:paraId="28501338">
            <w:pPr>
              <w:spacing w:line="268" w:lineRule="auto"/>
              <w:rPr>
                <w:rFonts w:ascii="Arial"/>
                <w:sz w:val="21"/>
              </w:rPr>
            </w:pPr>
          </w:p>
          <w:p w14:paraId="5070816A">
            <w:pPr>
              <w:pStyle w:val="6"/>
              <w:spacing w:before="65" w:line="253" w:lineRule="auto"/>
              <w:ind w:left="111" w:right="111" w:firstLine="4"/>
              <w:jc w:val="both"/>
            </w:pPr>
            <w:r>
              <w:rPr>
                <w:spacing w:val="6"/>
              </w:rPr>
              <w:t>项目管理</w:t>
            </w:r>
            <w:r>
              <w:rPr>
                <w:spacing w:val="7"/>
              </w:rPr>
              <w:t>机构评分</w:t>
            </w:r>
            <w:r>
              <w:rPr>
                <w:spacing w:val="27"/>
              </w:rPr>
              <w:t>标</w:t>
            </w:r>
            <w:r>
              <w:rPr>
                <w:spacing w:val="8"/>
              </w:rPr>
              <w:t xml:space="preserve">   </w:t>
            </w:r>
            <w:r>
              <w:rPr>
                <w:spacing w:val="27"/>
              </w:rPr>
              <w:t>准</w:t>
            </w:r>
          </w:p>
        </w:tc>
        <w:tc>
          <w:tcPr>
            <w:tcW w:w="1439" w:type="dxa"/>
            <w:vMerge w:val="restart"/>
            <w:tcBorders>
              <w:bottom w:val="nil"/>
            </w:tcBorders>
            <w:vAlign w:val="top"/>
          </w:tcPr>
          <w:p w14:paraId="7D1E3174">
            <w:pPr>
              <w:spacing w:line="265" w:lineRule="auto"/>
              <w:rPr>
                <w:rFonts w:ascii="Arial"/>
                <w:sz w:val="21"/>
              </w:rPr>
            </w:pPr>
          </w:p>
          <w:p w14:paraId="7CF1BBC7">
            <w:pPr>
              <w:spacing w:line="265" w:lineRule="auto"/>
              <w:rPr>
                <w:rFonts w:ascii="Arial"/>
                <w:sz w:val="21"/>
              </w:rPr>
            </w:pPr>
          </w:p>
          <w:p w14:paraId="453E3881">
            <w:pPr>
              <w:pStyle w:val="6"/>
              <w:spacing w:before="65" w:line="228" w:lineRule="auto"/>
              <w:ind w:left="115"/>
            </w:pPr>
            <w:r>
              <w:rPr>
                <w:spacing w:val="6"/>
              </w:rPr>
              <w:t>项目经理</w:t>
            </w:r>
          </w:p>
          <w:p w14:paraId="4D21CBEB">
            <w:pPr>
              <w:pStyle w:val="6"/>
              <w:spacing w:before="25" w:line="228" w:lineRule="auto"/>
              <w:ind w:left="121"/>
            </w:pPr>
            <w:r>
              <w:rPr>
                <w:spacing w:val="6"/>
              </w:rPr>
              <w:t>资格与业绩</w:t>
            </w:r>
          </w:p>
        </w:tc>
        <w:tc>
          <w:tcPr>
            <w:tcW w:w="645" w:type="dxa"/>
            <w:vAlign w:val="top"/>
          </w:tcPr>
          <w:p w14:paraId="0A80C77E">
            <w:pPr>
              <w:spacing w:line="255" w:lineRule="auto"/>
              <w:rPr>
                <w:rFonts w:ascii="Arial"/>
                <w:sz w:val="21"/>
              </w:rPr>
            </w:pPr>
          </w:p>
          <w:p w14:paraId="70788331">
            <w:pPr>
              <w:pStyle w:val="6"/>
              <w:spacing w:before="65" w:line="230" w:lineRule="auto"/>
              <w:ind w:left="114"/>
            </w:pPr>
            <w:r>
              <w:rPr>
                <w:spacing w:val="4"/>
              </w:rPr>
              <w:t>职称</w:t>
            </w:r>
          </w:p>
        </w:tc>
        <w:tc>
          <w:tcPr>
            <w:tcW w:w="735" w:type="dxa"/>
            <w:vAlign w:val="top"/>
          </w:tcPr>
          <w:p w14:paraId="12349C94">
            <w:pPr>
              <w:spacing w:line="256" w:lineRule="auto"/>
              <w:rPr>
                <w:rFonts w:ascii="Arial"/>
                <w:sz w:val="21"/>
              </w:rPr>
            </w:pPr>
          </w:p>
          <w:p w14:paraId="2CBAB270">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016E8225">
            <w:pPr>
              <w:pStyle w:val="6"/>
              <w:spacing w:before="48" w:line="228" w:lineRule="auto"/>
              <w:ind w:left="113"/>
            </w:pPr>
            <w:r>
              <w:rPr>
                <w:spacing w:val="8"/>
              </w:rPr>
              <w:t>相关专业高级及以上职称（高级工程师）1</w:t>
            </w:r>
            <w:r>
              <w:rPr>
                <w:spacing w:val="-21"/>
              </w:rPr>
              <w:t xml:space="preserve"> </w:t>
            </w:r>
            <w:r>
              <w:rPr>
                <w:spacing w:val="8"/>
              </w:rPr>
              <w:t>分</w:t>
            </w:r>
          </w:p>
          <w:p w14:paraId="1A14CDE8">
            <w:pPr>
              <w:pStyle w:val="6"/>
              <w:spacing w:before="26" w:line="228" w:lineRule="auto"/>
              <w:ind w:left="113"/>
            </w:pPr>
            <w:r>
              <w:rPr>
                <w:spacing w:val="7"/>
              </w:rPr>
              <w:t>相关专业中级职称（工程师）        0.8</w:t>
            </w:r>
            <w:r>
              <w:rPr>
                <w:spacing w:val="-36"/>
              </w:rPr>
              <w:t xml:space="preserve"> </w:t>
            </w:r>
            <w:r>
              <w:rPr>
                <w:spacing w:val="7"/>
              </w:rPr>
              <w:t>分</w:t>
            </w:r>
          </w:p>
          <w:p w14:paraId="111C91E2">
            <w:pPr>
              <w:pStyle w:val="6"/>
              <w:spacing w:before="24" w:line="228" w:lineRule="auto"/>
              <w:ind w:left="114"/>
            </w:pPr>
            <w:r>
              <w:t>其他</w:t>
            </w:r>
            <w:r>
              <w:rPr>
                <w:spacing w:val="2"/>
              </w:rPr>
              <w:t xml:space="preserve">                                 </w:t>
            </w:r>
            <w:r>
              <w:t>0</w:t>
            </w:r>
            <w:r>
              <w:rPr>
                <w:spacing w:val="-27"/>
              </w:rPr>
              <w:t xml:space="preserve"> </w:t>
            </w:r>
            <w:r>
              <w:t>分</w:t>
            </w:r>
          </w:p>
        </w:tc>
      </w:tr>
      <w:tr w14:paraId="051925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03E17B3F">
            <w:pPr>
              <w:rPr>
                <w:rFonts w:ascii="Arial"/>
                <w:sz w:val="21"/>
              </w:rPr>
            </w:pPr>
          </w:p>
        </w:tc>
        <w:tc>
          <w:tcPr>
            <w:tcW w:w="1058" w:type="dxa"/>
            <w:vMerge w:val="continue"/>
            <w:tcBorders>
              <w:top w:val="nil"/>
              <w:bottom w:val="nil"/>
            </w:tcBorders>
            <w:vAlign w:val="top"/>
          </w:tcPr>
          <w:p w14:paraId="35AA417B">
            <w:pPr>
              <w:rPr>
                <w:rFonts w:ascii="Arial"/>
                <w:sz w:val="21"/>
              </w:rPr>
            </w:pPr>
          </w:p>
        </w:tc>
        <w:tc>
          <w:tcPr>
            <w:tcW w:w="1439" w:type="dxa"/>
            <w:vMerge w:val="continue"/>
            <w:tcBorders>
              <w:top w:val="nil"/>
            </w:tcBorders>
            <w:vAlign w:val="top"/>
          </w:tcPr>
          <w:p w14:paraId="22918E88">
            <w:pPr>
              <w:rPr>
                <w:rFonts w:ascii="Arial"/>
                <w:sz w:val="21"/>
              </w:rPr>
            </w:pPr>
          </w:p>
        </w:tc>
        <w:tc>
          <w:tcPr>
            <w:tcW w:w="645" w:type="dxa"/>
            <w:vAlign w:val="top"/>
          </w:tcPr>
          <w:p w14:paraId="2C59EF14">
            <w:pPr>
              <w:pStyle w:val="6"/>
              <w:spacing w:before="32" w:line="228" w:lineRule="auto"/>
              <w:ind w:left="113"/>
            </w:pPr>
            <w:r>
              <w:rPr>
                <w:spacing w:val="9"/>
              </w:rPr>
              <w:t>类似</w:t>
            </w:r>
          </w:p>
          <w:p w14:paraId="44178CB9">
            <w:pPr>
              <w:pStyle w:val="6"/>
              <w:spacing w:before="24" w:line="228" w:lineRule="auto"/>
              <w:ind w:left="116"/>
            </w:pPr>
            <w:r>
              <w:rPr>
                <w:spacing w:val="7"/>
              </w:rPr>
              <w:t>项目</w:t>
            </w:r>
          </w:p>
          <w:p w14:paraId="43E76701">
            <w:pPr>
              <w:pStyle w:val="6"/>
              <w:spacing w:before="24" w:line="218" w:lineRule="auto"/>
              <w:ind w:left="112"/>
            </w:pPr>
            <w:r>
              <w:rPr>
                <w:spacing w:val="5"/>
              </w:rPr>
              <w:t>业绩</w:t>
            </w:r>
          </w:p>
        </w:tc>
        <w:tc>
          <w:tcPr>
            <w:tcW w:w="735" w:type="dxa"/>
            <w:vAlign w:val="top"/>
          </w:tcPr>
          <w:p w14:paraId="274F69B2">
            <w:pPr>
              <w:pStyle w:val="6"/>
              <w:spacing w:before="304" w:line="228" w:lineRule="auto"/>
              <w:ind w:left="191"/>
            </w:pPr>
            <w:r>
              <w:rPr>
                <w:spacing w:val="-4"/>
              </w:rPr>
              <w:t>2</w:t>
            </w:r>
            <w:r>
              <w:rPr>
                <w:spacing w:val="-35"/>
              </w:rPr>
              <w:t xml:space="preserve"> </w:t>
            </w:r>
            <w:r>
              <w:rPr>
                <w:spacing w:val="-4"/>
              </w:rPr>
              <w:t>分</w:t>
            </w:r>
          </w:p>
        </w:tc>
        <w:tc>
          <w:tcPr>
            <w:tcW w:w="4562" w:type="dxa"/>
            <w:vAlign w:val="top"/>
          </w:tcPr>
          <w:p w14:paraId="64372552">
            <w:pPr>
              <w:pStyle w:val="6"/>
              <w:spacing w:before="167" w:line="228" w:lineRule="auto"/>
              <w:ind w:left="137"/>
            </w:pPr>
            <w:r>
              <w:rPr>
                <w:spacing w:val="5"/>
              </w:rPr>
              <w:t>以项目经理身份主持过</w:t>
            </w:r>
            <w:r>
              <w:rPr>
                <w:spacing w:val="-21"/>
              </w:rPr>
              <w:t xml:space="preserve"> </w:t>
            </w:r>
            <w:r>
              <w:rPr>
                <w:spacing w:val="5"/>
              </w:rPr>
              <w:t>2</w:t>
            </w:r>
            <w:r>
              <w:rPr>
                <w:spacing w:val="-38"/>
              </w:rPr>
              <w:t xml:space="preserve"> </w:t>
            </w:r>
            <w:r>
              <w:rPr>
                <w:spacing w:val="5"/>
              </w:rPr>
              <w:t>个类似项目    2</w:t>
            </w:r>
            <w:r>
              <w:rPr>
                <w:spacing w:val="-35"/>
              </w:rPr>
              <w:t xml:space="preserve"> </w:t>
            </w:r>
            <w:r>
              <w:rPr>
                <w:spacing w:val="5"/>
              </w:rPr>
              <w:t>分</w:t>
            </w:r>
          </w:p>
          <w:p w14:paraId="3B574389">
            <w:pPr>
              <w:pStyle w:val="6"/>
              <w:spacing w:before="26" w:line="228" w:lineRule="auto"/>
              <w:ind w:left="137"/>
            </w:pPr>
            <w:r>
              <w:rPr>
                <w:spacing w:val="3"/>
              </w:rPr>
              <w:t>以项目经理身份主持过</w:t>
            </w:r>
            <w:r>
              <w:rPr>
                <w:spacing w:val="-8"/>
              </w:rPr>
              <w:t xml:space="preserve"> </w:t>
            </w:r>
            <w:r>
              <w:rPr>
                <w:spacing w:val="3"/>
              </w:rPr>
              <w:t>1</w:t>
            </w:r>
            <w:r>
              <w:rPr>
                <w:spacing w:val="-38"/>
              </w:rPr>
              <w:t xml:space="preserve"> </w:t>
            </w:r>
            <w:r>
              <w:rPr>
                <w:spacing w:val="3"/>
              </w:rPr>
              <w:t>个类似项目</w:t>
            </w:r>
            <w:r>
              <w:rPr>
                <w:spacing w:val="10"/>
              </w:rPr>
              <w:t xml:space="preserve">    </w:t>
            </w:r>
            <w:r>
              <w:rPr>
                <w:spacing w:val="3"/>
              </w:rPr>
              <w:t>1</w:t>
            </w:r>
            <w:r>
              <w:rPr>
                <w:spacing w:val="-32"/>
              </w:rPr>
              <w:t xml:space="preserve"> </w:t>
            </w:r>
            <w:r>
              <w:rPr>
                <w:spacing w:val="3"/>
              </w:rPr>
              <w:t>分</w:t>
            </w:r>
          </w:p>
        </w:tc>
      </w:tr>
      <w:tr w14:paraId="71D8E7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1" w:hRule="atLeast"/>
        </w:trPr>
        <w:tc>
          <w:tcPr>
            <w:tcW w:w="745" w:type="dxa"/>
            <w:vMerge w:val="continue"/>
            <w:tcBorders>
              <w:top w:val="nil"/>
              <w:bottom w:val="nil"/>
            </w:tcBorders>
            <w:vAlign w:val="top"/>
          </w:tcPr>
          <w:p w14:paraId="762F2648">
            <w:pPr>
              <w:rPr>
                <w:rFonts w:ascii="Arial"/>
                <w:sz w:val="21"/>
              </w:rPr>
            </w:pPr>
          </w:p>
        </w:tc>
        <w:tc>
          <w:tcPr>
            <w:tcW w:w="1058" w:type="dxa"/>
            <w:vMerge w:val="continue"/>
            <w:tcBorders>
              <w:top w:val="nil"/>
              <w:bottom w:val="nil"/>
            </w:tcBorders>
            <w:vAlign w:val="top"/>
          </w:tcPr>
          <w:p w14:paraId="07E34FA2">
            <w:pPr>
              <w:rPr>
                <w:rFonts w:ascii="Arial"/>
                <w:sz w:val="21"/>
              </w:rPr>
            </w:pPr>
          </w:p>
        </w:tc>
        <w:tc>
          <w:tcPr>
            <w:tcW w:w="1439" w:type="dxa"/>
            <w:vMerge w:val="restart"/>
            <w:tcBorders>
              <w:bottom w:val="nil"/>
            </w:tcBorders>
            <w:vAlign w:val="top"/>
          </w:tcPr>
          <w:p w14:paraId="12F22329">
            <w:pPr>
              <w:spacing w:line="336" w:lineRule="auto"/>
              <w:rPr>
                <w:rFonts w:ascii="Arial"/>
                <w:sz w:val="21"/>
              </w:rPr>
            </w:pPr>
          </w:p>
          <w:p w14:paraId="7F93BD18">
            <w:pPr>
              <w:spacing w:line="336" w:lineRule="auto"/>
              <w:rPr>
                <w:rFonts w:ascii="Arial"/>
                <w:sz w:val="21"/>
              </w:rPr>
            </w:pPr>
          </w:p>
          <w:p w14:paraId="172DC73F">
            <w:pPr>
              <w:pStyle w:val="6"/>
              <w:spacing w:before="65" w:line="252" w:lineRule="auto"/>
              <w:ind w:left="121" w:right="280" w:hanging="8"/>
            </w:pPr>
            <w:r>
              <w:rPr>
                <w:spacing w:val="7"/>
              </w:rPr>
              <w:t>技术负责人</w:t>
            </w:r>
            <w:r>
              <w:rPr>
                <w:spacing w:val="6"/>
              </w:rPr>
              <w:t>资格与业绩</w:t>
            </w:r>
          </w:p>
        </w:tc>
        <w:tc>
          <w:tcPr>
            <w:tcW w:w="645" w:type="dxa"/>
            <w:vAlign w:val="top"/>
          </w:tcPr>
          <w:p w14:paraId="304C1619">
            <w:pPr>
              <w:spacing w:line="262" w:lineRule="auto"/>
              <w:rPr>
                <w:rFonts w:ascii="Arial"/>
                <w:sz w:val="21"/>
              </w:rPr>
            </w:pPr>
          </w:p>
          <w:p w14:paraId="18012A8D">
            <w:pPr>
              <w:pStyle w:val="6"/>
              <w:spacing w:before="65" w:line="230" w:lineRule="auto"/>
              <w:ind w:left="114"/>
            </w:pPr>
            <w:r>
              <w:rPr>
                <w:spacing w:val="4"/>
              </w:rPr>
              <w:t>职称</w:t>
            </w:r>
          </w:p>
        </w:tc>
        <w:tc>
          <w:tcPr>
            <w:tcW w:w="735" w:type="dxa"/>
            <w:vAlign w:val="top"/>
          </w:tcPr>
          <w:p w14:paraId="5A9E09FD">
            <w:pPr>
              <w:spacing w:line="263" w:lineRule="auto"/>
              <w:rPr>
                <w:rFonts w:ascii="Arial"/>
                <w:sz w:val="21"/>
              </w:rPr>
            </w:pPr>
          </w:p>
          <w:p w14:paraId="5321C40C">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68D3FF26">
            <w:pPr>
              <w:pStyle w:val="6"/>
              <w:spacing w:before="55" w:line="228" w:lineRule="auto"/>
              <w:ind w:left="113"/>
            </w:pPr>
            <w:r>
              <w:rPr>
                <w:spacing w:val="8"/>
              </w:rPr>
              <w:t>相关专业高级及以上职称（高级工程师）1</w:t>
            </w:r>
            <w:r>
              <w:rPr>
                <w:spacing w:val="-21"/>
              </w:rPr>
              <w:t xml:space="preserve"> </w:t>
            </w:r>
            <w:r>
              <w:rPr>
                <w:spacing w:val="8"/>
              </w:rPr>
              <w:t>分</w:t>
            </w:r>
          </w:p>
          <w:p w14:paraId="644D2343">
            <w:pPr>
              <w:pStyle w:val="6"/>
              <w:spacing w:before="26" w:line="228" w:lineRule="auto"/>
              <w:ind w:left="113"/>
            </w:pPr>
            <w:r>
              <w:rPr>
                <w:spacing w:val="7"/>
              </w:rPr>
              <w:t>相关专业中级职称（工程师）        0.8</w:t>
            </w:r>
            <w:r>
              <w:rPr>
                <w:spacing w:val="-36"/>
              </w:rPr>
              <w:t xml:space="preserve"> </w:t>
            </w:r>
            <w:r>
              <w:rPr>
                <w:spacing w:val="7"/>
              </w:rPr>
              <w:t>分</w:t>
            </w:r>
          </w:p>
          <w:p w14:paraId="570BD9A5">
            <w:pPr>
              <w:pStyle w:val="6"/>
              <w:spacing w:before="24" w:line="228" w:lineRule="auto"/>
              <w:ind w:left="114"/>
            </w:pPr>
            <w:r>
              <w:t>其他</w:t>
            </w:r>
            <w:r>
              <w:rPr>
                <w:spacing w:val="2"/>
              </w:rPr>
              <w:t xml:space="preserve">                                 </w:t>
            </w:r>
            <w:r>
              <w:t>0</w:t>
            </w:r>
            <w:r>
              <w:rPr>
                <w:spacing w:val="-27"/>
              </w:rPr>
              <w:t xml:space="preserve"> </w:t>
            </w:r>
            <w:r>
              <w:t>分</w:t>
            </w:r>
          </w:p>
        </w:tc>
      </w:tr>
      <w:tr w14:paraId="1B7ACC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20390FF3">
            <w:pPr>
              <w:rPr>
                <w:rFonts w:ascii="Arial"/>
                <w:sz w:val="21"/>
              </w:rPr>
            </w:pPr>
          </w:p>
        </w:tc>
        <w:tc>
          <w:tcPr>
            <w:tcW w:w="1058" w:type="dxa"/>
            <w:vMerge w:val="continue"/>
            <w:tcBorders>
              <w:top w:val="nil"/>
              <w:bottom w:val="nil"/>
            </w:tcBorders>
            <w:vAlign w:val="top"/>
          </w:tcPr>
          <w:p w14:paraId="3D6FF0E3">
            <w:pPr>
              <w:rPr>
                <w:rFonts w:ascii="Arial"/>
                <w:sz w:val="21"/>
              </w:rPr>
            </w:pPr>
          </w:p>
        </w:tc>
        <w:tc>
          <w:tcPr>
            <w:tcW w:w="1439" w:type="dxa"/>
            <w:vMerge w:val="continue"/>
            <w:tcBorders>
              <w:top w:val="nil"/>
            </w:tcBorders>
            <w:vAlign w:val="top"/>
          </w:tcPr>
          <w:p w14:paraId="3791A839">
            <w:pPr>
              <w:rPr>
                <w:rFonts w:ascii="Arial"/>
                <w:sz w:val="21"/>
              </w:rPr>
            </w:pPr>
          </w:p>
        </w:tc>
        <w:tc>
          <w:tcPr>
            <w:tcW w:w="645" w:type="dxa"/>
            <w:vAlign w:val="top"/>
          </w:tcPr>
          <w:p w14:paraId="411CC850">
            <w:pPr>
              <w:pStyle w:val="6"/>
              <w:spacing w:before="34" w:line="228" w:lineRule="auto"/>
              <w:ind w:left="116"/>
            </w:pPr>
            <w:r>
              <w:rPr>
                <w:spacing w:val="8"/>
              </w:rPr>
              <w:t>从事</w:t>
            </w:r>
          </w:p>
          <w:p w14:paraId="00F90B2C">
            <w:pPr>
              <w:pStyle w:val="6"/>
              <w:spacing w:before="24" w:line="228" w:lineRule="auto"/>
              <w:ind w:left="114"/>
            </w:pPr>
            <w:r>
              <w:rPr>
                <w:spacing w:val="9"/>
              </w:rPr>
              <w:t>专业</w:t>
            </w:r>
          </w:p>
          <w:p w14:paraId="3AEB510A">
            <w:pPr>
              <w:pStyle w:val="6"/>
              <w:spacing w:before="24" w:line="228" w:lineRule="auto"/>
              <w:ind w:left="116"/>
            </w:pPr>
            <w:r>
              <w:rPr>
                <w:spacing w:val="8"/>
              </w:rPr>
              <w:t>工作</w:t>
            </w:r>
          </w:p>
          <w:p w14:paraId="48A949D4">
            <w:pPr>
              <w:pStyle w:val="6"/>
              <w:spacing w:before="26" w:line="215" w:lineRule="auto"/>
              <w:ind w:left="114"/>
            </w:pPr>
            <w:r>
              <w:rPr>
                <w:spacing w:val="4"/>
              </w:rPr>
              <w:t>年限</w:t>
            </w:r>
          </w:p>
        </w:tc>
        <w:tc>
          <w:tcPr>
            <w:tcW w:w="735" w:type="dxa"/>
            <w:vAlign w:val="top"/>
          </w:tcPr>
          <w:p w14:paraId="15EA1D3C">
            <w:pPr>
              <w:spacing w:line="375" w:lineRule="auto"/>
              <w:rPr>
                <w:rFonts w:ascii="Arial"/>
                <w:sz w:val="21"/>
              </w:rPr>
            </w:pPr>
          </w:p>
          <w:p w14:paraId="399A4CD1">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0C9E8958">
            <w:pPr>
              <w:pStyle w:val="6"/>
              <w:spacing w:before="33"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1904EBC4">
            <w:pPr>
              <w:pStyle w:val="6"/>
              <w:spacing w:before="24"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2AAE8459">
            <w:pPr>
              <w:pStyle w:val="6"/>
              <w:spacing w:before="24"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40CE1DDB">
            <w:pPr>
              <w:pStyle w:val="6"/>
              <w:spacing w:before="27" w:line="215"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2F3DA2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1" w:hRule="atLeast"/>
        </w:trPr>
        <w:tc>
          <w:tcPr>
            <w:tcW w:w="745" w:type="dxa"/>
            <w:vMerge w:val="continue"/>
            <w:tcBorders>
              <w:top w:val="nil"/>
            </w:tcBorders>
            <w:vAlign w:val="top"/>
          </w:tcPr>
          <w:p w14:paraId="7C26866A">
            <w:pPr>
              <w:rPr>
                <w:rFonts w:ascii="Arial"/>
                <w:sz w:val="21"/>
              </w:rPr>
            </w:pPr>
          </w:p>
        </w:tc>
        <w:tc>
          <w:tcPr>
            <w:tcW w:w="1058" w:type="dxa"/>
            <w:vMerge w:val="continue"/>
            <w:tcBorders>
              <w:top w:val="nil"/>
            </w:tcBorders>
            <w:vAlign w:val="top"/>
          </w:tcPr>
          <w:p w14:paraId="022026D6">
            <w:pPr>
              <w:rPr>
                <w:rFonts w:ascii="Arial"/>
                <w:sz w:val="21"/>
              </w:rPr>
            </w:pPr>
          </w:p>
        </w:tc>
        <w:tc>
          <w:tcPr>
            <w:tcW w:w="2084" w:type="dxa"/>
            <w:gridSpan w:val="2"/>
            <w:vAlign w:val="top"/>
          </w:tcPr>
          <w:p w14:paraId="0EE86784">
            <w:pPr>
              <w:spacing w:line="323" w:lineRule="auto"/>
              <w:rPr>
                <w:rFonts w:ascii="Arial"/>
                <w:sz w:val="21"/>
              </w:rPr>
            </w:pPr>
          </w:p>
          <w:p w14:paraId="3D1403E5">
            <w:pPr>
              <w:pStyle w:val="6"/>
              <w:spacing w:before="65" w:line="228" w:lineRule="auto"/>
              <w:ind w:left="113"/>
            </w:pPr>
            <w:r>
              <w:rPr>
                <w:spacing w:val="8"/>
              </w:rPr>
              <w:t>其他主要人员</w:t>
            </w:r>
          </w:p>
        </w:tc>
        <w:tc>
          <w:tcPr>
            <w:tcW w:w="735" w:type="dxa"/>
            <w:vAlign w:val="top"/>
          </w:tcPr>
          <w:p w14:paraId="48C52B4E">
            <w:pPr>
              <w:spacing w:line="323" w:lineRule="auto"/>
              <w:rPr>
                <w:rFonts w:ascii="Arial"/>
                <w:sz w:val="21"/>
              </w:rPr>
            </w:pPr>
          </w:p>
          <w:p w14:paraId="2DBEDA92">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3C98E616">
            <w:pPr>
              <w:pStyle w:val="6"/>
              <w:spacing w:before="118" w:line="228" w:lineRule="auto"/>
              <w:ind w:left="115"/>
            </w:pPr>
            <w:r>
              <w:rPr>
                <w:spacing w:val="6"/>
              </w:rPr>
              <w:t>人员配备合理，满足需要              1</w:t>
            </w:r>
            <w:r>
              <w:rPr>
                <w:spacing w:val="-24"/>
              </w:rPr>
              <w:t xml:space="preserve"> </w:t>
            </w:r>
            <w:r>
              <w:rPr>
                <w:spacing w:val="6"/>
              </w:rPr>
              <w:t>分</w:t>
            </w:r>
          </w:p>
          <w:p w14:paraId="0EEF445C">
            <w:pPr>
              <w:pStyle w:val="6"/>
              <w:spacing w:before="24" w:line="252" w:lineRule="auto"/>
              <w:ind w:left="115" w:right="304"/>
            </w:pPr>
            <w:r>
              <w:rPr>
                <w:spacing w:val="7"/>
              </w:rPr>
              <w:t>人员配备基本合理,基本满足需要     0.8</w:t>
            </w:r>
            <w:r>
              <w:rPr>
                <w:spacing w:val="-32"/>
              </w:rPr>
              <w:t xml:space="preserve"> </w:t>
            </w:r>
            <w:r>
              <w:rPr>
                <w:spacing w:val="7"/>
              </w:rPr>
              <w:t>分</w:t>
            </w:r>
            <w:r>
              <w:rPr>
                <w:spacing w:val="5"/>
              </w:rPr>
              <w:t>人员配备不合理</w:t>
            </w:r>
            <w:r>
              <w:rPr>
                <w:spacing w:val="1"/>
              </w:rPr>
              <w:t xml:space="preserve">                       </w:t>
            </w:r>
            <w:r>
              <w:rPr>
                <w:spacing w:val="5"/>
              </w:rPr>
              <w:t>0</w:t>
            </w:r>
            <w:r>
              <w:rPr>
                <w:spacing w:val="-32"/>
              </w:rPr>
              <w:t xml:space="preserve"> </w:t>
            </w:r>
            <w:r>
              <w:rPr>
                <w:spacing w:val="5"/>
              </w:rPr>
              <w:t>分</w:t>
            </w:r>
          </w:p>
        </w:tc>
      </w:tr>
      <w:tr w14:paraId="64C393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3" w:hRule="atLeast"/>
        </w:trPr>
        <w:tc>
          <w:tcPr>
            <w:tcW w:w="745" w:type="dxa"/>
            <w:vMerge w:val="restart"/>
            <w:tcBorders>
              <w:bottom w:val="nil"/>
            </w:tcBorders>
            <w:vAlign w:val="top"/>
          </w:tcPr>
          <w:p w14:paraId="44EE7A5A">
            <w:pPr>
              <w:spacing w:line="249" w:lineRule="auto"/>
              <w:rPr>
                <w:rFonts w:ascii="Arial"/>
                <w:sz w:val="21"/>
              </w:rPr>
            </w:pPr>
          </w:p>
          <w:p w14:paraId="5FDE8C81">
            <w:pPr>
              <w:spacing w:line="249" w:lineRule="auto"/>
              <w:rPr>
                <w:rFonts w:ascii="Arial"/>
                <w:sz w:val="21"/>
              </w:rPr>
            </w:pPr>
          </w:p>
          <w:p w14:paraId="4946043F">
            <w:pPr>
              <w:spacing w:line="249" w:lineRule="auto"/>
              <w:rPr>
                <w:rFonts w:ascii="Arial"/>
                <w:sz w:val="21"/>
              </w:rPr>
            </w:pPr>
          </w:p>
          <w:p w14:paraId="2D75FFBE">
            <w:pPr>
              <w:spacing w:line="250" w:lineRule="auto"/>
              <w:rPr>
                <w:rFonts w:ascii="Arial"/>
                <w:sz w:val="21"/>
              </w:rPr>
            </w:pPr>
          </w:p>
          <w:p w14:paraId="6947187E">
            <w:pPr>
              <w:spacing w:line="250" w:lineRule="auto"/>
              <w:rPr>
                <w:rFonts w:ascii="Arial"/>
                <w:sz w:val="21"/>
              </w:rPr>
            </w:pPr>
          </w:p>
          <w:p w14:paraId="4918AC6B">
            <w:pPr>
              <w:spacing w:line="250" w:lineRule="auto"/>
              <w:rPr>
                <w:rFonts w:ascii="Arial"/>
                <w:sz w:val="21"/>
              </w:rPr>
            </w:pPr>
          </w:p>
          <w:p w14:paraId="68E10D4D">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3D4E670B">
            <w:pPr>
              <w:pStyle w:val="6"/>
              <w:spacing w:before="216"/>
              <w:ind w:left="125"/>
            </w:pPr>
            <w:r>
              <w:rPr>
                <w:spacing w:val="-1"/>
              </w:rPr>
              <w:t>（</w:t>
            </w:r>
            <w:r>
              <w:rPr>
                <w:rFonts w:ascii="Times New Roman" w:hAnsi="Times New Roman" w:eastAsia="Times New Roman" w:cs="Times New Roman"/>
                <w:spacing w:val="-1"/>
              </w:rPr>
              <w:t>4</w:t>
            </w:r>
            <w:r>
              <w:rPr>
                <w:spacing w:val="-1"/>
              </w:rPr>
              <w:t>）</w:t>
            </w:r>
          </w:p>
        </w:tc>
        <w:tc>
          <w:tcPr>
            <w:tcW w:w="1058" w:type="dxa"/>
            <w:vMerge w:val="restart"/>
            <w:tcBorders>
              <w:bottom w:val="nil"/>
            </w:tcBorders>
            <w:vAlign w:val="top"/>
          </w:tcPr>
          <w:p w14:paraId="109DA3CF">
            <w:pPr>
              <w:spacing w:line="246" w:lineRule="auto"/>
              <w:rPr>
                <w:rFonts w:ascii="Arial"/>
                <w:sz w:val="21"/>
              </w:rPr>
            </w:pPr>
          </w:p>
          <w:p w14:paraId="3ADBFEF5">
            <w:pPr>
              <w:spacing w:line="247" w:lineRule="auto"/>
              <w:rPr>
                <w:rFonts w:ascii="Arial"/>
                <w:sz w:val="21"/>
              </w:rPr>
            </w:pPr>
          </w:p>
          <w:p w14:paraId="6067CF25">
            <w:pPr>
              <w:spacing w:line="247" w:lineRule="auto"/>
              <w:rPr>
                <w:rFonts w:ascii="Arial"/>
                <w:sz w:val="21"/>
              </w:rPr>
            </w:pPr>
          </w:p>
          <w:p w14:paraId="0A7D173D">
            <w:pPr>
              <w:spacing w:line="247" w:lineRule="auto"/>
              <w:rPr>
                <w:rFonts w:ascii="Arial"/>
                <w:sz w:val="21"/>
              </w:rPr>
            </w:pPr>
          </w:p>
          <w:p w14:paraId="39DFF481">
            <w:pPr>
              <w:spacing w:line="247" w:lineRule="auto"/>
              <w:rPr>
                <w:rFonts w:ascii="Arial"/>
                <w:sz w:val="21"/>
              </w:rPr>
            </w:pPr>
          </w:p>
          <w:p w14:paraId="65627238">
            <w:pPr>
              <w:spacing w:line="247" w:lineRule="auto"/>
              <w:rPr>
                <w:rFonts w:ascii="Arial"/>
                <w:sz w:val="21"/>
              </w:rPr>
            </w:pPr>
          </w:p>
          <w:p w14:paraId="43A3E1C3">
            <w:pPr>
              <w:pStyle w:val="6"/>
              <w:spacing w:before="65" w:line="254" w:lineRule="auto"/>
              <w:ind w:left="111" w:right="111" w:firstLine="1"/>
            </w:pPr>
            <w:r>
              <w:rPr>
                <w:spacing w:val="7"/>
              </w:rPr>
              <w:t>其他因素评分标准</w:t>
            </w:r>
          </w:p>
        </w:tc>
        <w:tc>
          <w:tcPr>
            <w:tcW w:w="2084" w:type="dxa"/>
            <w:gridSpan w:val="2"/>
            <w:vAlign w:val="top"/>
          </w:tcPr>
          <w:p w14:paraId="300EAA32">
            <w:pPr>
              <w:spacing w:line="332" w:lineRule="auto"/>
              <w:rPr>
                <w:rFonts w:ascii="Arial"/>
                <w:sz w:val="21"/>
              </w:rPr>
            </w:pPr>
          </w:p>
          <w:p w14:paraId="38BFC102">
            <w:pPr>
              <w:spacing w:line="332" w:lineRule="auto"/>
              <w:rPr>
                <w:rFonts w:ascii="Arial"/>
                <w:sz w:val="21"/>
              </w:rPr>
            </w:pPr>
          </w:p>
          <w:p w14:paraId="0336DBC8">
            <w:pPr>
              <w:pStyle w:val="6"/>
              <w:spacing w:before="65" w:line="228" w:lineRule="auto"/>
              <w:ind w:left="112"/>
            </w:pPr>
            <w:r>
              <w:rPr>
                <w:spacing w:val="8"/>
              </w:rPr>
              <w:t>类似项目业绩</w:t>
            </w:r>
          </w:p>
        </w:tc>
        <w:tc>
          <w:tcPr>
            <w:tcW w:w="735" w:type="dxa"/>
            <w:vAlign w:val="top"/>
          </w:tcPr>
          <w:p w14:paraId="0E829ADB">
            <w:pPr>
              <w:spacing w:line="332" w:lineRule="auto"/>
              <w:rPr>
                <w:rFonts w:ascii="Arial"/>
                <w:sz w:val="21"/>
              </w:rPr>
            </w:pPr>
          </w:p>
          <w:p w14:paraId="12A50482">
            <w:pPr>
              <w:spacing w:line="332" w:lineRule="auto"/>
              <w:rPr>
                <w:rFonts w:ascii="Arial"/>
                <w:sz w:val="21"/>
              </w:rPr>
            </w:pPr>
          </w:p>
          <w:p w14:paraId="66743450">
            <w:pPr>
              <w:pStyle w:val="6"/>
              <w:spacing w:before="65" w:line="228" w:lineRule="auto"/>
              <w:ind w:left="192"/>
            </w:pPr>
            <w:r>
              <w:rPr>
                <w:spacing w:val="-4"/>
              </w:rPr>
              <w:t>5</w:t>
            </w:r>
            <w:r>
              <w:rPr>
                <w:spacing w:val="-36"/>
              </w:rPr>
              <w:t xml:space="preserve"> </w:t>
            </w:r>
            <w:r>
              <w:rPr>
                <w:spacing w:val="-4"/>
              </w:rPr>
              <w:t>分</w:t>
            </w:r>
          </w:p>
        </w:tc>
        <w:tc>
          <w:tcPr>
            <w:tcW w:w="4562" w:type="dxa"/>
            <w:vAlign w:val="top"/>
          </w:tcPr>
          <w:p w14:paraId="56F8686E">
            <w:pPr>
              <w:pStyle w:val="6"/>
              <w:spacing w:before="188" w:line="228" w:lineRule="auto"/>
              <w:ind w:left="112"/>
            </w:pPr>
            <w:r>
              <w:rPr>
                <w:spacing w:val="1"/>
              </w:rPr>
              <w:t>近</w:t>
            </w:r>
            <w:r>
              <w:rPr>
                <w:spacing w:val="-23"/>
              </w:rPr>
              <w:t xml:space="preserve"> </w:t>
            </w:r>
            <w:r>
              <w:rPr>
                <w:spacing w:val="1"/>
              </w:rPr>
              <w:t>5</w:t>
            </w:r>
            <w:r>
              <w:rPr>
                <w:spacing w:val="-37"/>
              </w:rPr>
              <w:t xml:space="preserve"> </w:t>
            </w:r>
            <w:r>
              <w:rPr>
                <w:spacing w:val="1"/>
              </w:rPr>
              <w:t>年有</w:t>
            </w:r>
            <w:r>
              <w:rPr>
                <w:spacing w:val="-24"/>
              </w:rPr>
              <w:t xml:space="preserve"> </w:t>
            </w:r>
            <w:r>
              <w:rPr>
                <w:spacing w:val="1"/>
              </w:rPr>
              <w:t>1</w:t>
            </w:r>
            <w:r>
              <w:rPr>
                <w:spacing w:val="-38"/>
              </w:rPr>
              <w:t xml:space="preserve"> </w:t>
            </w:r>
            <w:r>
              <w:rPr>
                <w:spacing w:val="1"/>
              </w:rPr>
              <w:t>个类似项目业绩</w:t>
            </w:r>
            <w:r>
              <w:rPr>
                <w:spacing w:val="7"/>
              </w:rPr>
              <w:t xml:space="preserve">            </w:t>
            </w:r>
            <w:r>
              <w:rPr>
                <w:spacing w:val="1"/>
              </w:rPr>
              <w:t>1</w:t>
            </w:r>
            <w:r>
              <w:rPr>
                <w:spacing w:val="-36"/>
              </w:rPr>
              <w:t xml:space="preserve"> </w:t>
            </w:r>
            <w:r>
              <w:rPr>
                <w:spacing w:val="1"/>
              </w:rPr>
              <w:t>分</w:t>
            </w:r>
          </w:p>
          <w:p w14:paraId="4003F186">
            <w:pPr>
              <w:pStyle w:val="6"/>
              <w:spacing w:before="24" w:line="228" w:lineRule="auto"/>
              <w:ind w:left="112"/>
            </w:pPr>
            <w:r>
              <w:rPr>
                <w:spacing w:val="3"/>
              </w:rPr>
              <w:t>近</w:t>
            </w:r>
            <w:r>
              <w:rPr>
                <w:spacing w:val="-25"/>
              </w:rPr>
              <w:t xml:space="preserve"> </w:t>
            </w:r>
            <w:r>
              <w:rPr>
                <w:spacing w:val="3"/>
              </w:rPr>
              <w:t>5</w:t>
            </w:r>
            <w:r>
              <w:rPr>
                <w:spacing w:val="-37"/>
              </w:rPr>
              <w:t xml:space="preserve"> </w:t>
            </w:r>
            <w:r>
              <w:rPr>
                <w:spacing w:val="3"/>
              </w:rPr>
              <w:t>年有</w:t>
            </w:r>
            <w:r>
              <w:rPr>
                <w:spacing w:val="-37"/>
              </w:rPr>
              <w:t xml:space="preserve"> </w:t>
            </w:r>
            <w:r>
              <w:rPr>
                <w:spacing w:val="3"/>
              </w:rPr>
              <w:t>2</w:t>
            </w:r>
            <w:r>
              <w:rPr>
                <w:spacing w:val="-38"/>
              </w:rPr>
              <w:t xml:space="preserve"> </w:t>
            </w:r>
            <w:r>
              <w:rPr>
                <w:spacing w:val="3"/>
              </w:rPr>
              <w:t>个类似项目业绩</w:t>
            </w:r>
            <w:r>
              <w:rPr>
                <w:spacing w:val="5"/>
              </w:rPr>
              <w:t xml:space="preserve">            </w:t>
            </w:r>
            <w:r>
              <w:rPr>
                <w:spacing w:val="3"/>
              </w:rPr>
              <w:t>2</w:t>
            </w:r>
            <w:r>
              <w:rPr>
                <w:spacing w:val="-25"/>
              </w:rPr>
              <w:t xml:space="preserve"> </w:t>
            </w:r>
            <w:r>
              <w:rPr>
                <w:spacing w:val="3"/>
              </w:rPr>
              <w:t>分</w:t>
            </w:r>
          </w:p>
          <w:p w14:paraId="2938CF47">
            <w:pPr>
              <w:pStyle w:val="6"/>
              <w:spacing w:before="24" w:line="228" w:lineRule="auto"/>
              <w:ind w:left="112"/>
            </w:pPr>
            <w:r>
              <w:rPr>
                <w:spacing w:val="3"/>
              </w:rPr>
              <w:t>近</w:t>
            </w:r>
            <w:r>
              <w:rPr>
                <w:spacing w:val="-28"/>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6"/>
              </w:rPr>
              <w:t xml:space="preserve">            </w:t>
            </w:r>
            <w:r>
              <w:rPr>
                <w:spacing w:val="3"/>
              </w:rPr>
              <w:t>3</w:t>
            </w:r>
            <w:r>
              <w:rPr>
                <w:spacing w:val="-36"/>
              </w:rPr>
              <w:t xml:space="preserve"> </w:t>
            </w:r>
            <w:r>
              <w:rPr>
                <w:spacing w:val="3"/>
              </w:rPr>
              <w:t>分</w:t>
            </w:r>
          </w:p>
          <w:p w14:paraId="6751BB05">
            <w:pPr>
              <w:pStyle w:val="6"/>
              <w:spacing w:before="26" w:line="228" w:lineRule="auto"/>
              <w:ind w:left="112"/>
            </w:pPr>
            <w:r>
              <w:rPr>
                <w:spacing w:val="4"/>
              </w:rPr>
              <w:t>近</w:t>
            </w:r>
            <w:r>
              <w:rPr>
                <w:spacing w:val="-32"/>
              </w:rPr>
              <w:t xml:space="preserve"> </w:t>
            </w:r>
            <w:r>
              <w:rPr>
                <w:spacing w:val="4"/>
              </w:rPr>
              <w:t>5</w:t>
            </w:r>
            <w:r>
              <w:rPr>
                <w:spacing w:val="-37"/>
              </w:rPr>
              <w:t xml:space="preserve"> </w:t>
            </w:r>
            <w:r>
              <w:rPr>
                <w:spacing w:val="4"/>
              </w:rPr>
              <w:t>年有</w:t>
            </w:r>
            <w:r>
              <w:rPr>
                <w:spacing w:val="-41"/>
              </w:rPr>
              <w:t xml:space="preserve"> </w:t>
            </w:r>
            <w:r>
              <w:rPr>
                <w:spacing w:val="4"/>
              </w:rPr>
              <w:t>4</w:t>
            </w:r>
            <w:r>
              <w:rPr>
                <w:spacing w:val="-37"/>
              </w:rPr>
              <w:t xml:space="preserve"> </w:t>
            </w:r>
            <w:r>
              <w:rPr>
                <w:spacing w:val="4"/>
              </w:rPr>
              <w:t>个类似项目业绩</w:t>
            </w:r>
            <w:r>
              <w:rPr>
                <w:spacing w:val="5"/>
              </w:rPr>
              <w:t xml:space="preserve">            </w:t>
            </w:r>
            <w:r>
              <w:rPr>
                <w:spacing w:val="4"/>
              </w:rPr>
              <w:t>4</w:t>
            </w:r>
            <w:r>
              <w:rPr>
                <w:spacing w:val="-29"/>
              </w:rPr>
              <w:t xml:space="preserve"> </w:t>
            </w:r>
            <w:r>
              <w:rPr>
                <w:spacing w:val="4"/>
              </w:rPr>
              <w:t>分</w:t>
            </w:r>
          </w:p>
          <w:p w14:paraId="4C44A56E">
            <w:pPr>
              <w:pStyle w:val="6"/>
              <w:spacing w:before="26" w:line="228" w:lineRule="auto"/>
              <w:ind w:left="112"/>
            </w:pPr>
            <w:r>
              <w:rPr>
                <w:spacing w:val="3"/>
              </w:rPr>
              <w:t>近</w:t>
            </w:r>
            <w:r>
              <w:rPr>
                <w:spacing w:val="-31"/>
              </w:rPr>
              <w:t xml:space="preserve"> </w:t>
            </w:r>
            <w:r>
              <w:rPr>
                <w:spacing w:val="3"/>
              </w:rPr>
              <w:t>5</w:t>
            </w:r>
            <w:r>
              <w:rPr>
                <w:spacing w:val="-37"/>
              </w:rPr>
              <w:t xml:space="preserve"> </w:t>
            </w:r>
            <w:r>
              <w:rPr>
                <w:spacing w:val="3"/>
              </w:rPr>
              <w:t>年有</w:t>
            </w:r>
            <w:r>
              <w:rPr>
                <w:spacing w:val="-33"/>
              </w:rPr>
              <w:t xml:space="preserve"> </w:t>
            </w:r>
            <w:r>
              <w:rPr>
                <w:spacing w:val="3"/>
              </w:rPr>
              <w:t>5</w:t>
            </w:r>
            <w:r>
              <w:rPr>
                <w:spacing w:val="-37"/>
              </w:rPr>
              <w:t xml:space="preserve"> </w:t>
            </w:r>
            <w:r>
              <w:rPr>
                <w:spacing w:val="3"/>
              </w:rPr>
              <w:t>个类似项目业绩</w:t>
            </w:r>
            <w:r>
              <w:rPr>
                <w:spacing w:val="6"/>
              </w:rPr>
              <w:t xml:space="preserve">            </w:t>
            </w:r>
            <w:r>
              <w:rPr>
                <w:spacing w:val="3"/>
              </w:rPr>
              <w:t>5</w:t>
            </w:r>
            <w:r>
              <w:rPr>
                <w:spacing w:val="-36"/>
              </w:rPr>
              <w:t xml:space="preserve"> </w:t>
            </w:r>
            <w:r>
              <w:rPr>
                <w:spacing w:val="3"/>
              </w:rPr>
              <w:t>分</w:t>
            </w:r>
          </w:p>
        </w:tc>
      </w:tr>
      <w:tr w14:paraId="279432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6" w:hRule="atLeast"/>
        </w:trPr>
        <w:tc>
          <w:tcPr>
            <w:tcW w:w="745" w:type="dxa"/>
            <w:vMerge w:val="continue"/>
            <w:tcBorders>
              <w:top w:val="nil"/>
            </w:tcBorders>
            <w:vAlign w:val="top"/>
          </w:tcPr>
          <w:p w14:paraId="546EDAAA">
            <w:pPr>
              <w:rPr>
                <w:rFonts w:ascii="Arial"/>
                <w:sz w:val="21"/>
              </w:rPr>
            </w:pPr>
          </w:p>
        </w:tc>
        <w:tc>
          <w:tcPr>
            <w:tcW w:w="1058" w:type="dxa"/>
            <w:vMerge w:val="continue"/>
            <w:tcBorders>
              <w:top w:val="nil"/>
            </w:tcBorders>
            <w:vAlign w:val="top"/>
          </w:tcPr>
          <w:p w14:paraId="5DB5519A">
            <w:pPr>
              <w:rPr>
                <w:rFonts w:ascii="Arial"/>
                <w:sz w:val="21"/>
              </w:rPr>
            </w:pPr>
          </w:p>
        </w:tc>
        <w:tc>
          <w:tcPr>
            <w:tcW w:w="2084" w:type="dxa"/>
            <w:gridSpan w:val="2"/>
            <w:vAlign w:val="top"/>
          </w:tcPr>
          <w:p w14:paraId="0EF71173">
            <w:pPr>
              <w:spacing w:line="359" w:lineRule="auto"/>
              <w:rPr>
                <w:rFonts w:ascii="Arial"/>
                <w:sz w:val="21"/>
              </w:rPr>
            </w:pPr>
          </w:p>
          <w:p w14:paraId="01114DF5">
            <w:pPr>
              <w:spacing w:line="360" w:lineRule="auto"/>
              <w:rPr>
                <w:rFonts w:ascii="Arial"/>
                <w:sz w:val="21"/>
              </w:rPr>
            </w:pPr>
          </w:p>
          <w:p w14:paraId="3002742F">
            <w:pPr>
              <w:pStyle w:val="6"/>
              <w:spacing w:before="65" w:line="229" w:lineRule="auto"/>
              <w:ind w:left="112"/>
            </w:pPr>
            <w:r>
              <w:rPr>
                <w:spacing w:val="7"/>
              </w:rPr>
              <w:t>认证体系</w:t>
            </w:r>
          </w:p>
        </w:tc>
        <w:tc>
          <w:tcPr>
            <w:tcW w:w="735" w:type="dxa"/>
            <w:vAlign w:val="top"/>
          </w:tcPr>
          <w:p w14:paraId="33E0323E">
            <w:pPr>
              <w:spacing w:line="261" w:lineRule="auto"/>
              <w:rPr>
                <w:rFonts w:ascii="Arial"/>
                <w:sz w:val="21"/>
              </w:rPr>
            </w:pPr>
          </w:p>
          <w:p w14:paraId="6F7EFE82">
            <w:pPr>
              <w:spacing w:line="261" w:lineRule="auto"/>
              <w:rPr>
                <w:rFonts w:ascii="Arial"/>
                <w:sz w:val="21"/>
              </w:rPr>
            </w:pPr>
          </w:p>
          <w:p w14:paraId="067471F3">
            <w:pPr>
              <w:spacing w:line="261" w:lineRule="auto"/>
              <w:rPr>
                <w:rFonts w:ascii="Arial"/>
                <w:sz w:val="21"/>
              </w:rPr>
            </w:pPr>
          </w:p>
          <w:p w14:paraId="04139407">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5C058D8A">
            <w:pPr>
              <w:pStyle w:val="6"/>
              <w:spacing w:before="37" w:line="250" w:lineRule="auto"/>
              <w:ind w:left="117" w:right="107"/>
            </w:pPr>
            <w:r>
              <w:rPr>
                <w:spacing w:val="8"/>
              </w:rPr>
              <w:t>具有有效的</w:t>
            </w:r>
            <w:r>
              <w:rPr>
                <w:spacing w:val="-31"/>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w:t>
            </w:r>
            <w:r>
              <w:rPr>
                <w:spacing w:val="5"/>
              </w:rPr>
              <w:t>系认证证书，1</w:t>
            </w:r>
            <w:r>
              <w:rPr>
                <w:spacing w:val="-31"/>
              </w:rPr>
              <w:t xml:space="preserve"> </w:t>
            </w:r>
            <w:r>
              <w:rPr>
                <w:spacing w:val="5"/>
              </w:rPr>
              <w:t>分；</w:t>
            </w:r>
          </w:p>
          <w:p w14:paraId="22C662A1">
            <w:pPr>
              <w:pStyle w:val="6"/>
              <w:spacing w:line="251" w:lineRule="auto"/>
              <w:ind w:left="113" w:right="109" w:firstLine="4"/>
            </w:pPr>
            <w:r>
              <w:rPr>
                <w:spacing w:val="7"/>
              </w:rPr>
              <w:t>具有有效的</w:t>
            </w:r>
            <w:r>
              <w:rPr>
                <w:spacing w:val="-43"/>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5"/>
              </w:rPr>
              <w:t xml:space="preserve"> </w:t>
            </w:r>
            <w:r>
              <w:rPr>
                <w:spacing w:val="7"/>
              </w:rPr>
              <w:t>环境管理</w:t>
            </w:r>
            <w:r>
              <w:rPr>
                <w:spacing w:val="6"/>
              </w:rPr>
              <w:t>体系认证证书，1</w:t>
            </w:r>
            <w:r>
              <w:rPr>
                <w:spacing w:val="-33"/>
              </w:rPr>
              <w:t xml:space="preserve"> </w:t>
            </w:r>
            <w:r>
              <w:rPr>
                <w:spacing w:val="6"/>
              </w:rPr>
              <w:t>分；</w:t>
            </w:r>
          </w:p>
          <w:p w14:paraId="05098695">
            <w:pPr>
              <w:pStyle w:val="6"/>
              <w:spacing w:before="1"/>
              <w:ind w:left="117" w:right="107"/>
            </w:pPr>
            <w:r>
              <w:rPr>
                <w:spacing w:val="4"/>
              </w:rPr>
              <w:t>具 有 有 效</w:t>
            </w:r>
            <w:r>
              <w:rPr>
                <w:spacing w:val="41"/>
              </w:rPr>
              <w:t xml:space="preserve"> </w:t>
            </w:r>
            <w:r>
              <w:rPr>
                <w:spacing w:val="4"/>
              </w:rPr>
              <w:t>的</w:t>
            </w:r>
            <w:r>
              <w:rPr>
                <w:spacing w:val="59"/>
              </w:rPr>
              <w:t xml:space="preserve"> </w:t>
            </w:r>
            <w:r>
              <w:rPr>
                <w:rFonts w:ascii="Times New Roman" w:hAnsi="Times New Roman" w:eastAsia="Times New Roman" w:cs="Times New Roman"/>
              </w:rPr>
              <w:t>ISO</w:t>
            </w:r>
            <w:r>
              <w:rPr>
                <w:rFonts w:ascii="Times New Roman" w:hAnsi="Times New Roman" w:eastAsia="Times New Roman" w:cs="Times New Roman"/>
                <w:spacing w:val="4"/>
              </w:rPr>
              <w:t xml:space="preserve">45001   </w:t>
            </w:r>
            <w:r>
              <w:rPr>
                <w:spacing w:val="4"/>
              </w:rPr>
              <w:t xml:space="preserve">或   </w:t>
            </w:r>
            <w:r>
              <w:rPr>
                <w:rFonts w:ascii="Times New Roman" w:hAnsi="Times New Roman" w:eastAsia="Times New Roman" w:cs="Times New Roman"/>
              </w:rPr>
              <w:t>OHSAS</w:t>
            </w:r>
            <w:r>
              <w:rPr>
                <w:rFonts w:ascii="Times New Roman" w:hAnsi="Times New Roman" w:eastAsia="Times New Roman" w:cs="Times New Roman"/>
                <w:spacing w:val="4"/>
              </w:rPr>
              <w:t>18001</w:t>
            </w:r>
            <w:r>
              <w:rPr>
                <w:rFonts w:ascii="Times New Roman" w:hAnsi="Times New Roman" w:eastAsia="Times New Roman" w:cs="Times New Roman"/>
                <w:spacing w:val="1"/>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/T28001</w:t>
            </w:r>
            <w:r>
              <w:rPr>
                <w:spacing w:val="10"/>
              </w:rPr>
              <w:t>）</w:t>
            </w:r>
            <w:r>
              <w:rPr>
                <w:spacing w:val="55"/>
              </w:rPr>
              <w:t xml:space="preserve"> </w:t>
            </w:r>
            <w:r>
              <w:rPr>
                <w:spacing w:val="10"/>
              </w:rPr>
              <w:t>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bl>
    <w:p w14:paraId="47FC55B3">
      <w:pPr>
        <w:spacing w:line="477" w:lineRule="auto"/>
        <w:rPr>
          <w:rFonts w:ascii="Arial"/>
          <w:sz w:val="21"/>
        </w:rPr>
      </w:pPr>
    </w:p>
    <w:p w14:paraId="6F7F9F46">
      <w:pPr>
        <w:spacing w:before="65" w:line="252" w:lineRule="auto"/>
        <w:ind w:left="538" w:right="190" w:hanging="523"/>
        <w:rPr>
          <w:rFonts w:ascii="宋体" w:hAnsi="宋体" w:eastAsia="宋体" w:cs="宋体"/>
          <w:sz w:val="20"/>
          <w:szCs w:val="20"/>
        </w:rPr>
      </w:pPr>
      <w:r>
        <w:rPr>
          <w:rFonts w:ascii="宋体" w:hAnsi="宋体" w:eastAsia="宋体" w:cs="宋体"/>
          <w:spacing w:val="3"/>
          <w:sz w:val="20"/>
          <w:szCs w:val="20"/>
        </w:rPr>
        <w:t>备注：根据《关于建立部分专业技术类职业资格与职称</w:t>
      </w:r>
      <w:r>
        <w:rPr>
          <w:rFonts w:ascii="宋体" w:hAnsi="宋体" w:eastAsia="宋体" w:cs="宋体"/>
          <w:spacing w:val="2"/>
          <w:sz w:val="20"/>
          <w:szCs w:val="20"/>
        </w:rPr>
        <w:t>对应关系的通知（鄂人社发〔</w:t>
      </w:r>
      <w:r>
        <w:rPr>
          <w:rFonts w:ascii="Times New Roman" w:hAnsi="Times New Roman" w:eastAsia="Times New Roman" w:cs="Times New Roman"/>
          <w:spacing w:val="2"/>
          <w:sz w:val="20"/>
          <w:szCs w:val="20"/>
        </w:rPr>
        <w:t>2018</w:t>
      </w:r>
      <w:r>
        <w:rPr>
          <w:rFonts w:ascii="宋体" w:hAnsi="宋体" w:eastAsia="宋体" w:cs="宋体"/>
          <w:spacing w:val="2"/>
          <w:sz w:val="20"/>
          <w:szCs w:val="20"/>
        </w:rPr>
        <w:t>〕</w:t>
      </w:r>
      <w:r>
        <w:rPr>
          <w:rFonts w:ascii="Times New Roman" w:hAnsi="Times New Roman" w:eastAsia="Times New Roman" w:cs="Times New Roman"/>
          <w:spacing w:val="2"/>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2"/>
          <w:sz w:val="20"/>
          <w:szCs w:val="20"/>
        </w:rPr>
        <w:t>号）》</w:t>
      </w:r>
      <w:r>
        <w:rPr>
          <w:rFonts w:ascii="宋体" w:hAnsi="宋体" w:eastAsia="宋体" w:cs="宋体"/>
          <w:sz w:val="20"/>
          <w:szCs w:val="20"/>
        </w:rPr>
        <w:t xml:space="preserve"> </w:t>
      </w:r>
      <w:r>
        <w:rPr>
          <w:rFonts w:ascii="宋体" w:hAnsi="宋体" w:eastAsia="宋体" w:cs="宋体"/>
          <w:spacing w:val="11"/>
          <w:sz w:val="20"/>
          <w:szCs w:val="20"/>
        </w:rPr>
        <w:t>《住房城乡建设部 交通运输部 水利部 人力资源社会保障部关于印发〈造价工程师职业资</w:t>
      </w:r>
      <w:r>
        <w:rPr>
          <w:rFonts w:ascii="宋体" w:hAnsi="宋体" w:eastAsia="宋体" w:cs="宋体"/>
          <w:spacing w:val="4"/>
          <w:sz w:val="20"/>
          <w:szCs w:val="20"/>
        </w:rPr>
        <w:t>格制度规定〉〈造价工程师职业资格考试实施办法〉的通知（建人〔</w:t>
      </w:r>
      <w:r>
        <w:rPr>
          <w:rFonts w:ascii="Times New Roman" w:hAnsi="Times New Roman" w:eastAsia="Times New Roman" w:cs="Times New Roman"/>
          <w:spacing w:val="4"/>
          <w:sz w:val="20"/>
          <w:szCs w:val="20"/>
        </w:rPr>
        <w:t>2018</w:t>
      </w:r>
      <w:r>
        <w:rPr>
          <w:rFonts w:ascii="宋体" w:hAnsi="宋体" w:eastAsia="宋体" w:cs="宋体"/>
          <w:spacing w:val="4"/>
          <w:sz w:val="20"/>
          <w:szCs w:val="20"/>
        </w:rPr>
        <w:t>〕</w:t>
      </w:r>
      <w:r>
        <w:rPr>
          <w:rFonts w:ascii="Times New Roman" w:hAnsi="Times New Roman" w:eastAsia="Times New Roman" w:cs="Times New Roman"/>
          <w:spacing w:val="4"/>
          <w:sz w:val="20"/>
          <w:szCs w:val="20"/>
        </w:rPr>
        <w:t>67</w:t>
      </w:r>
      <w:r>
        <w:rPr>
          <w:rFonts w:ascii="Times New Roman" w:hAnsi="Times New Roman" w:eastAsia="Times New Roman" w:cs="Times New Roman"/>
          <w:spacing w:val="31"/>
          <w:w w:val="101"/>
          <w:sz w:val="20"/>
          <w:szCs w:val="20"/>
        </w:rPr>
        <w:t xml:space="preserve"> </w:t>
      </w:r>
      <w:r>
        <w:rPr>
          <w:rFonts w:ascii="宋体" w:hAnsi="宋体" w:eastAsia="宋体" w:cs="宋体"/>
          <w:spacing w:val="4"/>
          <w:sz w:val="20"/>
          <w:szCs w:val="20"/>
        </w:rPr>
        <w:t>号）》等文件，</w:t>
      </w:r>
      <w:r>
        <w:rPr>
          <w:rFonts w:ascii="宋体" w:hAnsi="宋体" w:eastAsia="宋体" w:cs="宋体"/>
          <w:spacing w:val="9"/>
          <w:sz w:val="20"/>
          <w:szCs w:val="20"/>
        </w:rPr>
        <w:t>一级造价工程师、一级注册建筑师、一级建造师、一级注册结构工程师、其他勘察设计注册</w:t>
      </w:r>
      <w:r>
        <w:rPr>
          <w:rFonts w:ascii="宋体" w:hAnsi="宋体" w:eastAsia="宋体" w:cs="宋体"/>
          <w:spacing w:val="10"/>
          <w:sz w:val="20"/>
          <w:szCs w:val="20"/>
        </w:rPr>
        <w:t>工程师等，其职业资格直接对应相应系列的中级职称。二级造价工程师、二级注册建筑师、</w:t>
      </w:r>
      <w:r>
        <w:rPr>
          <w:rFonts w:ascii="宋体" w:hAnsi="宋体" w:eastAsia="宋体" w:cs="宋体"/>
          <w:spacing w:val="9"/>
          <w:sz w:val="20"/>
          <w:szCs w:val="20"/>
        </w:rPr>
        <w:t>二级建造师、二级注册结构工程师等，其职业资格直接对应相应系列的初级职称。</w:t>
      </w:r>
    </w:p>
    <w:p w14:paraId="53CE3260">
      <w:pPr>
        <w:spacing w:line="252" w:lineRule="auto"/>
        <w:rPr>
          <w:rFonts w:ascii="宋体" w:hAnsi="宋体" w:eastAsia="宋体" w:cs="宋体"/>
          <w:sz w:val="20"/>
          <w:szCs w:val="20"/>
        </w:rPr>
        <w:sectPr>
          <w:footerReference r:id="rId79" w:type="default"/>
          <w:pgSz w:w="11907" w:h="16840"/>
          <w:pgMar w:top="400" w:right="1248" w:bottom="1035" w:left="1469" w:header="0" w:footer="785" w:gutter="0"/>
          <w:cols w:space="720" w:num="1"/>
        </w:sectPr>
      </w:pPr>
    </w:p>
    <w:p w14:paraId="4ACAB7BE">
      <w:pPr>
        <w:spacing w:line="276" w:lineRule="auto"/>
        <w:rPr>
          <w:rFonts w:ascii="Arial"/>
          <w:sz w:val="21"/>
        </w:rPr>
      </w:pPr>
    </w:p>
    <w:p w14:paraId="73F3A66D">
      <w:pPr>
        <w:spacing w:line="276" w:lineRule="auto"/>
        <w:rPr>
          <w:rFonts w:ascii="Arial"/>
          <w:sz w:val="21"/>
        </w:rPr>
      </w:pPr>
    </w:p>
    <w:p w14:paraId="51FC555B">
      <w:pPr>
        <w:spacing w:line="276" w:lineRule="auto"/>
        <w:rPr>
          <w:rFonts w:ascii="Arial"/>
          <w:sz w:val="21"/>
        </w:rPr>
      </w:pPr>
    </w:p>
    <w:p w14:paraId="704C3E9E">
      <w:pPr>
        <w:spacing w:line="276" w:lineRule="auto"/>
        <w:rPr>
          <w:rFonts w:ascii="Arial"/>
          <w:sz w:val="21"/>
        </w:rPr>
      </w:pPr>
    </w:p>
    <w:p w14:paraId="28F2F93E">
      <w:pPr>
        <w:spacing w:line="276" w:lineRule="auto"/>
        <w:rPr>
          <w:rFonts w:ascii="Arial"/>
          <w:sz w:val="21"/>
        </w:rPr>
      </w:pPr>
    </w:p>
    <w:p w14:paraId="62DB25EE">
      <w:pPr>
        <w:pStyle w:val="2"/>
        <w:spacing w:before="91" w:line="222" w:lineRule="auto"/>
        <w:ind w:left="14"/>
        <w:outlineLvl w:val="1"/>
        <w:rPr>
          <w:sz w:val="28"/>
          <w:szCs w:val="28"/>
        </w:rPr>
      </w:pPr>
      <w:bookmarkStart w:id="101" w:name="bookmark92"/>
      <w:bookmarkEnd w:id="101"/>
      <w:r>
        <w:rPr>
          <w:spacing w:val="1"/>
          <w:sz w:val="28"/>
          <w:szCs w:val="28"/>
        </w:rPr>
        <w:t>评标办法前附表（办法四</w:t>
      </w:r>
      <w:r>
        <w:rPr>
          <w:spacing w:val="-55"/>
          <w:w w:val="89"/>
          <w:sz w:val="28"/>
          <w:szCs w:val="28"/>
        </w:rPr>
        <w:t>）（</w:t>
      </w:r>
      <w:r>
        <w:rPr>
          <w:spacing w:val="1"/>
          <w:sz w:val="28"/>
          <w:szCs w:val="28"/>
        </w:rPr>
        <w:t>综合评估法）</w:t>
      </w:r>
    </w:p>
    <w:p w14:paraId="46B07B5E">
      <w:pPr>
        <w:spacing w:before="142"/>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40DA6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03" w:type="dxa"/>
            <w:gridSpan w:val="2"/>
            <w:vAlign w:val="top"/>
          </w:tcPr>
          <w:p w14:paraId="2539F58D">
            <w:pPr>
              <w:pStyle w:val="6"/>
              <w:spacing w:before="126" w:line="228" w:lineRule="auto"/>
              <w:ind w:left="592"/>
            </w:pPr>
            <w:r>
              <w:rPr>
                <w:b/>
                <w:bCs/>
                <w:spacing w:val="5"/>
              </w:rPr>
              <w:t>条款号</w:t>
            </w:r>
          </w:p>
        </w:tc>
        <w:tc>
          <w:tcPr>
            <w:tcW w:w="2339" w:type="dxa"/>
            <w:vAlign w:val="top"/>
          </w:tcPr>
          <w:p w14:paraId="49EEDA81">
            <w:pPr>
              <w:pStyle w:val="6"/>
              <w:spacing w:before="126" w:line="228" w:lineRule="auto"/>
              <w:ind w:left="752"/>
            </w:pPr>
            <w:r>
              <w:rPr>
                <w:b/>
                <w:bCs/>
                <w:spacing w:val="6"/>
              </w:rPr>
              <w:t>评审因素</w:t>
            </w:r>
          </w:p>
        </w:tc>
        <w:tc>
          <w:tcPr>
            <w:tcW w:w="5042" w:type="dxa"/>
            <w:vAlign w:val="top"/>
          </w:tcPr>
          <w:p w14:paraId="57560A38">
            <w:pPr>
              <w:pStyle w:val="6"/>
              <w:spacing w:before="127" w:line="228" w:lineRule="auto"/>
              <w:ind w:left="2102"/>
            </w:pPr>
            <w:r>
              <w:rPr>
                <w:b/>
                <w:bCs/>
                <w:spacing w:val="6"/>
              </w:rPr>
              <w:t>评审标准</w:t>
            </w:r>
          </w:p>
        </w:tc>
      </w:tr>
      <w:tr w14:paraId="45F155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327B16D9">
            <w:pPr>
              <w:spacing w:line="259" w:lineRule="auto"/>
              <w:rPr>
                <w:rFonts w:ascii="Arial"/>
                <w:sz w:val="21"/>
              </w:rPr>
            </w:pPr>
          </w:p>
          <w:p w14:paraId="6C16BBB1">
            <w:pPr>
              <w:spacing w:line="259" w:lineRule="auto"/>
              <w:rPr>
                <w:rFonts w:ascii="Arial"/>
                <w:sz w:val="21"/>
              </w:rPr>
            </w:pPr>
          </w:p>
          <w:p w14:paraId="26563F76">
            <w:pPr>
              <w:spacing w:line="259" w:lineRule="auto"/>
              <w:rPr>
                <w:rFonts w:ascii="Arial"/>
                <w:sz w:val="21"/>
              </w:rPr>
            </w:pPr>
          </w:p>
          <w:p w14:paraId="256D8957">
            <w:pPr>
              <w:spacing w:line="259" w:lineRule="auto"/>
              <w:rPr>
                <w:rFonts w:ascii="Arial"/>
                <w:sz w:val="21"/>
              </w:rPr>
            </w:pPr>
          </w:p>
          <w:p w14:paraId="037ABB88">
            <w:pPr>
              <w:spacing w:line="259" w:lineRule="auto"/>
              <w:rPr>
                <w:rFonts w:ascii="Arial"/>
                <w:sz w:val="21"/>
              </w:rPr>
            </w:pPr>
          </w:p>
          <w:p w14:paraId="0C5DC954">
            <w:pPr>
              <w:spacing w:line="259" w:lineRule="auto"/>
              <w:rPr>
                <w:rFonts w:ascii="Arial"/>
                <w:sz w:val="21"/>
              </w:rPr>
            </w:pPr>
          </w:p>
          <w:p w14:paraId="2D2F4EF4">
            <w:pPr>
              <w:spacing w:line="259" w:lineRule="auto"/>
              <w:rPr>
                <w:rFonts w:ascii="Arial"/>
                <w:sz w:val="21"/>
              </w:rPr>
            </w:pPr>
          </w:p>
          <w:p w14:paraId="5FB76B3C">
            <w:pPr>
              <w:spacing w:line="259" w:lineRule="auto"/>
              <w:rPr>
                <w:rFonts w:ascii="Arial"/>
                <w:sz w:val="21"/>
              </w:rPr>
            </w:pPr>
          </w:p>
          <w:p w14:paraId="336820A6">
            <w:pPr>
              <w:spacing w:line="260" w:lineRule="auto"/>
              <w:rPr>
                <w:rFonts w:ascii="Arial"/>
                <w:sz w:val="21"/>
              </w:rPr>
            </w:pPr>
          </w:p>
          <w:p w14:paraId="175C3302">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533DFCF6">
            <w:pPr>
              <w:spacing w:line="244" w:lineRule="auto"/>
              <w:rPr>
                <w:rFonts w:ascii="Arial"/>
                <w:sz w:val="21"/>
              </w:rPr>
            </w:pPr>
          </w:p>
          <w:p w14:paraId="04F2272F">
            <w:pPr>
              <w:spacing w:line="244" w:lineRule="auto"/>
              <w:rPr>
                <w:rFonts w:ascii="Arial"/>
                <w:sz w:val="21"/>
              </w:rPr>
            </w:pPr>
          </w:p>
          <w:p w14:paraId="5D30AF83">
            <w:pPr>
              <w:spacing w:line="245" w:lineRule="auto"/>
              <w:rPr>
                <w:rFonts w:ascii="Arial"/>
                <w:sz w:val="21"/>
              </w:rPr>
            </w:pPr>
          </w:p>
          <w:p w14:paraId="324C5CDA">
            <w:pPr>
              <w:spacing w:line="245" w:lineRule="auto"/>
              <w:rPr>
                <w:rFonts w:ascii="Arial"/>
                <w:sz w:val="21"/>
              </w:rPr>
            </w:pPr>
          </w:p>
          <w:p w14:paraId="2C718F77">
            <w:pPr>
              <w:spacing w:line="245" w:lineRule="auto"/>
              <w:rPr>
                <w:rFonts w:ascii="Arial"/>
                <w:sz w:val="21"/>
              </w:rPr>
            </w:pPr>
          </w:p>
          <w:p w14:paraId="475B507F">
            <w:pPr>
              <w:spacing w:line="245" w:lineRule="auto"/>
              <w:rPr>
                <w:rFonts w:ascii="Arial"/>
                <w:sz w:val="21"/>
              </w:rPr>
            </w:pPr>
          </w:p>
          <w:p w14:paraId="0FC0AEFD">
            <w:pPr>
              <w:spacing w:line="245" w:lineRule="auto"/>
              <w:rPr>
                <w:rFonts w:ascii="Arial"/>
                <w:sz w:val="21"/>
              </w:rPr>
            </w:pPr>
          </w:p>
          <w:p w14:paraId="378CCA5D">
            <w:pPr>
              <w:spacing w:line="245" w:lineRule="auto"/>
              <w:rPr>
                <w:rFonts w:ascii="Arial"/>
                <w:sz w:val="21"/>
              </w:rPr>
            </w:pPr>
          </w:p>
          <w:p w14:paraId="5DA4B8FC">
            <w:pPr>
              <w:pStyle w:val="6"/>
              <w:spacing w:before="65" w:line="253" w:lineRule="auto"/>
              <w:ind w:left="322" w:right="320" w:firstLine="3"/>
              <w:jc w:val="both"/>
            </w:pPr>
            <w:r>
              <w:rPr>
                <w:spacing w:val="3"/>
              </w:rPr>
              <w:t>形式</w:t>
            </w:r>
            <w:r>
              <w:rPr>
                <w:spacing w:val="5"/>
              </w:rPr>
              <w:t>评审标准</w:t>
            </w:r>
          </w:p>
        </w:tc>
        <w:tc>
          <w:tcPr>
            <w:tcW w:w="2339" w:type="dxa"/>
            <w:vAlign w:val="top"/>
          </w:tcPr>
          <w:p w14:paraId="707EC73D">
            <w:pPr>
              <w:pStyle w:val="6"/>
              <w:spacing w:before="121" w:line="228" w:lineRule="auto"/>
              <w:ind w:left="115"/>
            </w:pPr>
            <w:r>
              <w:rPr>
                <w:spacing w:val="6"/>
              </w:rPr>
              <w:t>投标文件</w:t>
            </w:r>
          </w:p>
        </w:tc>
        <w:tc>
          <w:tcPr>
            <w:tcW w:w="5042" w:type="dxa"/>
            <w:vAlign w:val="top"/>
          </w:tcPr>
          <w:p w14:paraId="33F8A412">
            <w:pPr>
              <w:pStyle w:val="6"/>
              <w:spacing w:before="121" w:line="228" w:lineRule="auto"/>
              <w:ind w:left="116"/>
            </w:pPr>
            <w:r>
              <w:rPr>
                <w:spacing w:val="8"/>
              </w:rPr>
              <w:t>投标文件能正常打开</w:t>
            </w:r>
          </w:p>
        </w:tc>
      </w:tr>
      <w:tr w14:paraId="44D57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EAE9F0D">
            <w:pPr>
              <w:rPr>
                <w:rFonts w:ascii="Arial"/>
                <w:sz w:val="21"/>
              </w:rPr>
            </w:pPr>
          </w:p>
        </w:tc>
        <w:tc>
          <w:tcPr>
            <w:tcW w:w="1058" w:type="dxa"/>
            <w:vMerge w:val="continue"/>
            <w:tcBorders>
              <w:top w:val="nil"/>
              <w:bottom w:val="nil"/>
            </w:tcBorders>
            <w:vAlign w:val="top"/>
          </w:tcPr>
          <w:p w14:paraId="60CA304F">
            <w:pPr>
              <w:rPr>
                <w:rFonts w:ascii="Arial"/>
                <w:sz w:val="21"/>
              </w:rPr>
            </w:pPr>
          </w:p>
        </w:tc>
        <w:tc>
          <w:tcPr>
            <w:tcW w:w="2339" w:type="dxa"/>
            <w:vAlign w:val="top"/>
          </w:tcPr>
          <w:p w14:paraId="360EE03D">
            <w:pPr>
              <w:pStyle w:val="6"/>
              <w:spacing w:before="123" w:line="228" w:lineRule="auto"/>
              <w:ind w:left="115"/>
            </w:pPr>
            <w:r>
              <w:rPr>
                <w:spacing w:val="7"/>
              </w:rPr>
              <w:t>投标人名称</w:t>
            </w:r>
          </w:p>
        </w:tc>
        <w:tc>
          <w:tcPr>
            <w:tcW w:w="5042" w:type="dxa"/>
            <w:vAlign w:val="top"/>
          </w:tcPr>
          <w:p w14:paraId="5FE49420">
            <w:pPr>
              <w:pStyle w:val="6"/>
              <w:spacing w:before="123" w:line="227" w:lineRule="auto"/>
              <w:ind w:left="117"/>
            </w:pPr>
            <w:r>
              <w:rPr>
                <w:spacing w:val="9"/>
              </w:rPr>
              <w:t>与营业执照、资质证书、安全生产许可证一致</w:t>
            </w:r>
          </w:p>
        </w:tc>
      </w:tr>
      <w:tr w14:paraId="25E86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45" w:type="dxa"/>
            <w:vMerge w:val="continue"/>
            <w:tcBorders>
              <w:top w:val="nil"/>
              <w:bottom w:val="nil"/>
            </w:tcBorders>
            <w:vAlign w:val="top"/>
          </w:tcPr>
          <w:p w14:paraId="10029197">
            <w:pPr>
              <w:rPr>
                <w:rFonts w:ascii="Arial"/>
                <w:sz w:val="21"/>
              </w:rPr>
            </w:pPr>
          </w:p>
        </w:tc>
        <w:tc>
          <w:tcPr>
            <w:tcW w:w="1058" w:type="dxa"/>
            <w:vMerge w:val="continue"/>
            <w:tcBorders>
              <w:top w:val="nil"/>
              <w:bottom w:val="nil"/>
            </w:tcBorders>
            <w:vAlign w:val="top"/>
          </w:tcPr>
          <w:p w14:paraId="4CE87144">
            <w:pPr>
              <w:rPr>
                <w:rFonts w:ascii="Arial"/>
                <w:sz w:val="21"/>
              </w:rPr>
            </w:pPr>
          </w:p>
        </w:tc>
        <w:tc>
          <w:tcPr>
            <w:tcW w:w="2339" w:type="dxa"/>
            <w:vAlign w:val="top"/>
          </w:tcPr>
          <w:p w14:paraId="20520F36">
            <w:pPr>
              <w:pStyle w:val="6"/>
              <w:spacing w:before="132" w:line="227" w:lineRule="auto"/>
              <w:ind w:left="115"/>
            </w:pPr>
            <w:r>
              <w:rPr>
                <w:spacing w:val="8"/>
              </w:rPr>
              <w:t>投标文件签字盖章</w:t>
            </w:r>
          </w:p>
        </w:tc>
        <w:tc>
          <w:tcPr>
            <w:tcW w:w="5042" w:type="dxa"/>
            <w:vAlign w:val="top"/>
          </w:tcPr>
          <w:p w14:paraId="37218F00">
            <w:pPr>
              <w:pStyle w:val="6"/>
              <w:spacing w:before="132"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684333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1503DA39">
            <w:pPr>
              <w:rPr>
                <w:rFonts w:ascii="Arial"/>
                <w:sz w:val="21"/>
              </w:rPr>
            </w:pPr>
          </w:p>
        </w:tc>
        <w:tc>
          <w:tcPr>
            <w:tcW w:w="1058" w:type="dxa"/>
            <w:vMerge w:val="continue"/>
            <w:tcBorders>
              <w:top w:val="nil"/>
              <w:bottom w:val="nil"/>
            </w:tcBorders>
            <w:vAlign w:val="top"/>
          </w:tcPr>
          <w:p w14:paraId="305C1D20">
            <w:pPr>
              <w:rPr>
                <w:rFonts w:ascii="Arial"/>
                <w:sz w:val="21"/>
              </w:rPr>
            </w:pPr>
          </w:p>
        </w:tc>
        <w:tc>
          <w:tcPr>
            <w:tcW w:w="2339" w:type="dxa"/>
            <w:vAlign w:val="top"/>
          </w:tcPr>
          <w:p w14:paraId="36C19365">
            <w:pPr>
              <w:pStyle w:val="6"/>
              <w:spacing w:before="166" w:line="228" w:lineRule="auto"/>
              <w:ind w:left="115"/>
            </w:pPr>
            <w:r>
              <w:rPr>
                <w:spacing w:val="8"/>
              </w:rPr>
              <w:t>投标文件格式、内容</w:t>
            </w:r>
          </w:p>
        </w:tc>
        <w:tc>
          <w:tcPr>
            <w:tcW w:w="5042" w:type="dxa"/>
            <w:vAlign w:val="top"/>
          </w:tcPr>
          <w:p w14:paraId="2179D65A">
            <w:pPr>
              <w:pStyle w:val="6"/>
              <w:spacing w:before="32" w:line="234"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087E8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228CB3E">
            <w:pPr>
              <w:rPr>
                <w:rFonts w:ascii="Arial"/>
                <w:sz w:val="21"/>
              </w:rPr>
            </w:pPr>
          </w:p>
        </w:tc>
        <w:tc>
          <w:tcPr>
            <w:tcW w:w="1058" w:type="dxa"/>
            <w:vMerge w:val="continue"/>
            <w:tcBorders>
              <w:top w:val="nil"/>
              <w:bottom w:val="nil"/>
            </w:tcBorders>
            <w:vAlign w:val="top"/>
          </w:tcPr>
          <w:p w14:paraId="2EAEA484">
            <w:pPr>
              <w:rPr>
                <w:rFonts w:ascii="Arial"/>
                <w:sz w:val="21"/>
              </w:rPr>
            </w:pPr>
          </w:p>
        </w:tc>
        <w:tc>
          <w:tcPr>
            <w:tcW w:w="2339" w:type="dxa"/>
            <w:vAlign w:val="top"/>
          </w:tcPr>
          <w:p w14:paraId="657C4088">
            <w:pPr>
              <w:pStyle w:val="6"/>
              <w:spacing w:before="121" w:line="228" w:lineRule="auto"/>
              <w:ind w:left="113"/>
            </w:pPr>
            <w:r>
              <w:rPr>
                <w:spacing w:val="7"/>
              </w:rPr>
              <w:t>联合体投标人（如有）</w:t>
            </w:r>
          </w:p>
        </w:tc>
        <w:tc>
          <w:tcPr>
            <w:tcW w:w="5042" w:type="dxa"/>
            <w:vAlign w:val="top"/>
          </w:tcPr>
          <w:p w14:paraId="70B36279">
            <w:pPr>
              <w:pStyle w:val="6"/>
              <w:spacing w:before="120" w:line="227" w:lineRule="auto"/>
              <w:ind w:left="114"/>
            </w:pPr>
            <w:r>
              <w:rPr>
                <w:spacing w:val="9"/>
              </w:rPr>
              <w:t>提交联合体协议书，并明确联合体牵头人</w:t>
            </w:r>
          </w:p>
        </w:tc>
      </w:tr>
      <w:tr w14:paraId="2D472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1039A7D6">
            <w:pPr>
              <w:rPr>
                <w:rFonts w:ascii="Arial"/>
                <w:sz w:val="21"/>
              </w:rPr>
            </w:pPr>
          </w:p>
        </w:tc>
        <w:tc>
          <w:tcPr>
            <w:tcW w:w="1058" w:type="dxa"/>
            <w:vMerge w:val="continue"/>
            <w:tcBorders>
              <w:top w:val="nil"/>
              <w:bottom w:val="nil"/>
            </w:tcBorders>
            <w:vAlign w:val="top"/>
          </w:tcPr>
          <w:p w14:paraId="0C3BE4A4">
            <w:pPr>
              <w:rPr>
                <w:rFonts w:ascii="Arial"/>
                <w:sz w:val="21"/>
              </w:rPr>
            </w:pPr>
          </w:p>
        </w:tc>
        <w:tc>
          <w:tcPr>
            <w:tcW w:w="2339" w:type="dxa"/>
            <w:vAlign w:val="top"/>
          </w:tcPr>
          <w:p w14:paraId="0B47594C">
            <w:pPr>
              <w:pStyle w:val="6"/>
              <w:spacing w:before="166" w:line="226" w:lineRule="auto"/>
              <w:ind w:left="110"/>
            </w:pPr>
            <w:r>
              <w:rPr>
                <w:spacing w:val="8"/>
              </w:rPr>
              <w:t>报价唯一</w:t>
            </w:r>
          </w:p>
        </w:tc>
        <w:tc>
          <w:tcPr>
            <w:tcW w:w="5042" w:type="dxa"/>
            <w:vAlign w:val="top"/>
          </w:tcPr>
          <w:p w14:paraId="60A60AA8">
            <w:pPr>
              <w:pStyle w:val="6"/>
              <w:spacing w:before="32" w:line="234" w:lineRule="auto"/>
              <w:ind w:left="114" w:right="109" w:firstLine="11"/>
            </w:pPr>
            <w:r>
              <w:rPr>
                <w:spacing w:val="18"/>
              </w:rPr>
              <w:t>只能有一个有效报价（指投标函中的大写投标总报</w:t>
            </w:r>
            <w:r>
              <w:t>价）</w:t>
            </w:r>
          </w:p>
        </w:tc>
      </w:tr>
      <w:tr w14:paraId="73B75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21540D4">
            <w:pPr>
              <w:rPr>
                <w:rFonts w:ascii="Arial"/>
                <w:sz w:val="21"/>
              </w:rPr>
            </w:pPr>
          </w:p>
        </w:tc>
        <w:tc>
          <w:tcPr>
            <w:tcW w:w="1058" w:type="dxa"/>
            <w:vMerge w:val="continue"/>
            <w:tcBorders>
              <w:top w:val="nil"/>
              <w:bottom w:val="nil"/>
            </w:tcBorders>
            <w:vAlign w:val="top"/>
          </w:tcPr>
          <w:p w14:paraId="20833A14">
            <w:pPr>
              <w:rPr>
                <w:rFonts w:ascii="Arial"/>
                <w:sz w:val="21"/>
              </w:rPr>
            </w:pPr>
          </w:p>
        </w:tc>
        <w:tc>
          <w:tcPr>
            <w:tcW w:w="2339" w:type="dxa"/>
            <w:vAlign w:val="top"/>
          </w:tcPr>
          <w:p w14:paraId="0E8A484B">
            <w:pPr>
              <w:pStyle w:val="6"/>
              <w:spacing w:before="181" w:line="228" w:lineRule="auto"/>
              <w:ind w:left="122"/>
            </w:pPr>
            <w:r>
              <w:rPr>
                <w:spacing w:val="6"/>
              </w:rPr>
              <w:t>多标段投标</w:t>
            </w:r>
          </w:p>
        </w:tc>
        <w:tc>
          <w:tcPr>
            <w:tcW w:w="5042" w:type="dxa"/>
            <w:vAlign w:val="top"/>
          </w:tcPr>
          <w:p w14:paraId="2185C3B6">
            <w:pPr>
              <w:pStyle w:val="6"/>
              <w:spacing w:before="180"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59FB4F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1CC7518">
            <w:pPr>
              <w:rPr>
                <w:rFonts w:ascii="Arial"/>
                <w:sz w:val="21"/>
              </w:rPr>
            </w:pPr>
          </w:p>
        </w:tc>
        <w:tc>
          <w:tcPr>
            <w:tcW w:w="1058" w:type="dxa"/>
            <w:vMerge w:val="continue"/>
            <w:tcBorders>
              <w:top w:val="nil"/>
              <w:bottom w:val="nil"/>
            </w:tcBorders>
            <w:vAlign w:val="top"/>
          </w:tcPr>
          <w:p w14:paraId="2E3190B5">
            <w:pPr>
              <w:rPr>
                <w:rFonts w:ascii="Arial"/>
                <w:sz w:val="21"/>
              </w:rPr>
            </w:pPr>
          </w:p>
        </w:tc>
        <w:tc>
          <w:tcPr>
            <w:tcW w:w="2339" w:type="dxa"/>
            <w:vAlign w:val="top"/>
          </w:tcPr>
          <w:p w14:paraId="167831F8">
            <w:pPr>
              <w:pStyle w:val="6"/>
              <w:spacing w:before="121" w:line="228" w:lineRule="auto"/>
              <w:ind w:left="102"/>
            </w:pPr>
            <w:r>
              <w:rPr>
                <w:spacing w:val="22"/>
              </w:rPr>
              <w:t>“技术暗标</w:t>
            </w:r>
            <w:r>
              <w:rPr>
                <w:spacing w:val="-70"/>
              </w:rPr>
              <w:t xml:space="preserve"> </w:t>
            </w:r>
            <w:r>
              <w:rPr>
                <w:spacing w:val="22"/>
              </w:rPr>
              <w:t>”</w:t>
            </w:r>
          </w:p>
        </w:tc>
        <w:tc>
          <w:tcPr>
            <w:tcW w:w="5042" w:type="dxa"/>
            <w:vAlign w:val="top"/>
          </w:tcPr>
          <w:p w14:paraId="4882E3B1">
            <w:pPr>
              <w:pStyle w:val="6"/>
              <w:spacing w:before="122"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065553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6CEF7F6">
            <w:pPr>
              <w:rPr>
                <w:rFonts w:ascii="Arial"/>
                <w:sz w:val="21"/>
              </w:rPr>
            </w:pPr>
          </w:p>
        </w:tc>
        <w:tc>
          <w:tcPr>
            <w:tcW w:w="1058" w:type="dxa"/>
            <w:vMerge w:val="continue"/>
            <w:tcBorders>
              <w:top w:val="nil"/>
              <w:bottom w:val="nil"/>
            </w:tcBorders>
            <w:vAlign w:val="top"/>
          </w:tcPr>
          <w:p w14:paraId="4CE0F8D9">
            <w:pPr>
              <w:rPr>
                <w:rFonts w:ascii="Arial"/>
                <w:sz w:val="21"/>
              </w:rPr>
            </w:pPr>
          </w:p>
        </w:tc>
        <w:tc>
          <w:tcPr>
            <w:tcW w:w="2339" w:type="dxa"/>
            <w:vAlign w:val="top"/>
          </w:tcPr>
          <w:p w14:paraId="539220C1">
            <w:pPr>
              <w:pStyle w:val="6"/>
              <w:spacing w:before="121" w:line="228" w:lineRule="auto"/>
              <w:ind w:left="115"/>
            </w:pPr>
            <w:r>
              <w:rPr>
                <w:spacing w:val="6"/>
              </w:rPr>
              <w:t>项目经理</w:t>
            </w:r>
          </w:p>
        </w:tc>
        <w:tc>
          <w:tcPr>
            <w:tcW w:w="5042" w:type="dxa"/>
            <w:vAlign w:val="top"/>
          </w:tcPr>
          <w:p w14:paraId="08E95A1D">
            <w:pPr>
              <w:pStyle w:val="6"/>
              <w:spacing w:before="121" w:line="228" w:lineRule="auto"/>
              <w:ind w:left="116"/>
            </w:pPr>
            <w:r>
              <w:rPr>
                <w:spacing w:val="9"/>
              </w:rPr>
              <w:t>未更换通过资格预审的项目经理</w:t>
            </w:r>
          </w:p>
        </w:tc>
      </w:tr>
      <w:tr w14:paraId="112251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17C3F9BC">
            <w:pPr>
              <w:rPr>
                <w:rFonts w:ascii="Arial"/>
                <w:sz w:val="21"/>
              </w:rPr>
            </w:pPr>
          </w:p>
        </w:tc>
        <w:tc>
          <w:tcPr>
            <w:tcW w:w="1058" w:type="dxa"/>
            <w:vMerge w:val="continue"/>
            <w:tcBorders>
              <w:top w:val="nil"/>
            </w:tcBorders>
            <w:vAlign w:val="top"/>
          </w:tcPr>
          <w:p w14:paraId="09993ECD">
            <w:pPr>
              <w:rPr>
                <w:rFonts w:ascii="Arial"/>
                <w:sz w:val="21"/>
              </w:rPr>
            </w:pPr>
          </w:p>
        </w:tc>
        <w:tc>
          <w:tcPr>
            <w:tcW w:w="2339" w:type="dxa"/>
            <w:vAlign w:val="top"/>
          </w:tcPr>
          <w:p w14:paraId="5EBAFC58">
            <w:pPr>
              <w:pStyle w:val="6"/>
              <w:spacing w:before="122" w:line="228" w:lineRule="auto"/>
              <w:ind w:left="121"/>
            </w:pPr>
            <w:r>
              <w:rPr>
                <w:spacing w:val="6"/>
              </w:rPr>
              <w:t>资格条件变化</w:t>
            </w:r>
          </w:p>
        </w:tc>
        <w:tc>
          <w:tcPr>
            <w:tcW w:w="5042" w:type="dxa"/>
            <w:vAlign w:val="top"/>
          </w:tcPr>
          <w:p w14:paraId="64C5168E">
            <w:pPr>
              <w:pStyle w:val="6"/>
              <w:spacing w:before="122" w:line="228" w:lineRule="auto"/>
              <w:ind w:left="116"/>
            </w:pPr>
            <w:r>
              <w:rPr>
                <w:spacing w:val="9"/>
              </w:rPr>
              <w:t>投标函中有资格条件是否变化的声明</w:t>
            </w:r>
          </w:p>
        </w:tc>
      </w:tr>
      <w:tr w14:paraId="48862D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8" w:hRule="atLeast"/>
        </w:trPr>
        <w:tc>
          <w:tcPr>
            <w:tcW w:w="745" w:type="dxa"/>
            <w:vAlign w:val="top"/>
          </w:tcPr>
          <w:p w14:paraId="5D25739C">
            <w:pPr>
              <w:spacing w:line="248" w:lineRule="auto"/>
              <w:rPr>
                <w:rFonts w:ascii="Arial"/>
                <w:sz w:val="21"/>
              </w:rPr>
            </w:pPr>
          </w:p>
          <w:p w14:paraId="57DD29A4">
            <w:pPr>
              <w:spacing w:line="248" w:lineRule="auto"/>
              <w:rPr>
                <w:rFonts w:ascii="Arial"/>
                <w:sz w:val="21"/>
              </w:rPr>
            </w:pPr>
          </w:p>
          <w:p w14:paraId="74DEC927">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36995769">
            <w:pPr>
              <w:pStyle w:val="6"/>
              <w:spacing w:before="54" w:line="228" w:lineRule="auto"/>
              <w:ind w:left="332"/>
            </w:pPr>
            <w:r>
              <w:t>资格</w:t>
            </w:r>
          </w:p>
          <w:p w14:paraId="1B35F0B9">
            <w:pPr>
              <w:pStyle w:val="6"/>
              <w:spacing w:before="24" w:line="228" w:lineRule="auto"/>
              <w:ind w:left="322"/>
            </w:pPr>
            <w:r>
              <w:rPr>
                <w:spacing w:val="5"/>
              </w:rPr>
              <w:t>评审</w:t>
            </w:r>
          </w:p>
          <w:p w14:paraId="0353C069">
            <w:pPr>
              <w:pStyle w:val="6"/>
              <w:spacing w:before="23" w:line="245" w:lineRule="auto"/>
              <w:ind w:left="122" w:right="129" w:firstLine="201"/>
            </w:pPr>
            <w:r>
              <w:rPr>
                <w:spacing w:val="4"/>
              </w:rPr>
              <w:t>标准</w:t>
            </w:r>
            <w:r>
              <w:t>（预审）</w:t>
            </w:r>
          </w:p>
        </w:tc>
        <w:tc>
          <w:tcPr>
            <w:tcW w:w="2339" w:type="dxa"/>
            <w:vAlign w:val="top"/>
          </w:tcPr>
          <w:p w14:paraId="5FBA6541">
            <w:pPr>
              <w:spacing w:line="452" w:lineRule="auto"/>
              <w:rPr>
                <w:rFonts w:ascii="Arial"/>
                <w:sz w:val="21"/>
              </w:rPr>
            </w:pPr>
          </w:p>
          <w:p w14:paraId="06948D49">
            <w:pPr>
              <w:pStyle w:val="6"/>
              <w:spacing w:before="65" w:line="227" w:lineRule="auto"/>
              <w:ind w:left="115"/>
            </w:pPr>
            <w:r>
              <w:rPr>
                <w:spacing w:val="8"/>
              </w:rPr>
              <w:t>见本标段资格预审文件</w:t>
            </w:r>
          </w:p>
        </w:tc>
        <w:tc>
          <w:tcPr>
            <w:tcW w:w="5042" w:type="dxa"/>
            <w:vAlign w:val="top"/>
          </w:tcPr>
          <w:p w14:paraId="099BBEE3">
            <w:pPr>
              <w:spacing w:line="260" w:lineRule="auto"/>
              <w:rPr>
                <w:rFonts w:ascii="Arial"/>
                <w:sz w:val="21"/>
              </w:rPr>
            </w:pPr>
          </w:p>
          <w:p w14:paraId="55938A9B">
            <w:pPr>
              <w:pStyle w:val="6"/>
              <w:spacing w:before="65" w:line="251" w:lineRule="auto"/>
              <w:ind w:left="123" w:right="107" w:hanging="8"/>
            </w:pPr>
            <w:r>
              <w:rPr>
                <w:spacing w:val="8"/>
              </w:rPr>
              <w:t>符合本标段资格预审文件第三章“资格审查办法</w:t>
            </w:r>
            <w:r>
              <w:rPr>
                <w:spacing w:val="-70"/>
              </w:rPr>
              <w:t xml:space="preserve"> </w:t>
            </w:r>
            <w:r>
              <w:rPr>
                <w:spacing w:val="8"/>
              </w:rPr>
              <w:t>”的审查标准并且不影响本次招标的公正性。</w:t>
            </w:r>
          </w:p>
        </w:tc>
      </w:tr>
      <w:tr w14:paraId="0AD89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57BF13BE">
            <w:pPr>
              <w:spacing w:line="246" w:lineRule="auto"/>
              <w:rPr>
                <w:rFonts w:ascii="Arial"/>
                <w:sz w:val="21"/>
              </w:rPr>
            </w:pPr>
          </w:p>
          <w:p w14:paraId="02ED535C">
            <w:pPr>
              <w:spacing w:line="246" w:lineRule="auto"/>
              <w:rPr>
                <w:rFonts w:ascii="Arial"/>
                <w:sz w:val="21"/>
              </w:rPr>
            </w:pPr>
          </w:p>
          <w:p w14:paraId="7F6317AB">
            <w:pPr>
              <w:spacing w:line="246" w:lineRule="auto"/>
              <w:rPr>
                <w:rFonts w:ascii="Arial"/>
                <w:sz w:val="21"/>
              </w:rPr>
            </w:pPr>
          </w:p>
          <w:p w14:paraId="7D890B4A">
            <w:pPr>
              <w:spacing w:line="246" w:lineRule="auto"/>
              <w:rPr>
                <w:rFonts w:ascii="Arial"/>
                <w:sz w:val="21"/>
              </w:rPr>
            </w:pPr>
          </w:p>
          <w:p w14:paraId="4A7A3322">
            <w:pPr>
              <w:spacing w:line="247" w:lineRule="auto"/>
              <w:rPr>
                <w:rFonts w:ascii="Arial"/>
                <w:sz w:val="21"/>
              </w:rPr>
            </w:pPr>
          </w:p>
          <w:p w14:paraId="78B26702">
            <w:pPr>
              <w:spacing w:line="247" w:lineRule="auto"/>
              <w:rPr>
                <w:rFonts w:ascii="Arial"/>
                <w:sz w:val="21"/>
              </w:rPr>
            </w:pPr>
          </w:p>
          <w:p w14:paraId="5881226B">
            <w:pPr>
              <w:spacing w:line="247" w:lineRule="auto"/>
              <w:rPr>
                <w:rFonts w:ascii="Arial"/>
                <w:sz w:val="21"/>
              </w:rPr>
            </w:pPr>
          </w:p>
          <w:p w14:paraId="78B31972">
            <w:pPr>
              <w:spacing w:line="247" w:lineRule="auto"/>
              <w:rPr>
                <w:rFonts w:ascii="Arial"/>
                <w:sz w:val="21"/>
              </w:rPr>
            </w:pPr>
          </w:p>
          <w:p w14:paraId="25376485">
            <w:pPr>
              <w:spacing w:line="247" w:lineRule="auto"/>
              <w:rPr>
                <w:rFonts w:ascii="Arial"/>
                <w:sz w:val="21"/>
              </w:rPr>
            </w:pPr>
          </w:p>
          <w:p w14:paraId="68859148">
            <w:pPr>
              <w:spacing w:line="247" w:lineRule="auto"/>
              <w:rPr>
                <w:rFonts w:ascii="Arial"/>
                <w:sz w:val="21"/>
              </w:rPr>
            </w:pPr>
          </w:p>
          <w:p w14:paraId="7F1CAC28">
            <w:pPr>
              <w:spacing w:line="247" w:lineRule="auto"/>
              <w:rPr>
                <w:rFonts w:ascii="Arial"/>
                <w:sz w:val="21"/>
              </w:rPr>
            </w:pPr>
          </w:p>
          <w:p w14:paraId="2026A7C2">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720B52F4">
            <w:pPr>
              <w:spacing w:line="247" w:lineRule="auto"/>
              <w:rPr>
                <w:rFonts w:ascii="Arial"/>
                <w:sz w:val="21"/>
              </w:rPr>
            </w:pPr>
          </w:p>
          <w:p w14:paraId="6461AA2C">
            <w:pPr>
              <w:spacing w:line="247" w:lineRule="auto"/>
              <w:rPr>
                <w:rFonts w:ascii="Arial"/>
                <w:sz w:val="21"/>
              </w:rPr>
            </w:pPr>
          </w:p>
          <w:p w14:paraId="415A7736">
            <w:pPr>
              <w:spacing w:line="248" w:lineRule="auto"/>
              <w:rPr>
                <w:rFonts w:ascii="Arial"/>
                <w:sz w:val="21"/>
              </w:rPr>
            </w:pPr>
          </w:p>
          <w:p w14:paraId="445DEDED">
            <w:pPr>
              <w:spacing w:line="248" w:lineRule="auto"/>
              <w:rPr>
                <w:rFonts w:ascii="Arial"/>
                <w:sz w:val="21"/>
              </w:rPr>
            </w:pPr>
          </w:p>
          <w:p w14:paraId="7409EC13">
            <w:pPr>
              <w:spacing w:line="248" w:lineRule="auto"/>
              <w:rPr>
                <w:rFonts w:ascii="Arial"/>
                <w:sz w:val="21"/>
              </w:rPr>
            </w:pPr>
          </w:p>
          <w:p w14:paraId="7A6C2EDE">
            <w:pPr>
              <w:spacing w:line="248" w:lineRule="auto"/>
              <w:rPr>
                <w:rFonts w:ascii="Arial"/>
                <w:sz w:val="21"/>
              </w:rPr>
            </w:pPr>
          </w:p>
          <w:p w14:paraId="1C621B33">
            <w:pPr>
              <w:spacing w:line="248" w:lineRule="auto"/>
              <w:rPr>
                <w:rFonts w:ascii="Arial"/>
                <w:sz w:val="21"/>
              </w:rPr>
            </w:pPr>
          </w:p>
          <w:p w14:paraId="2109879D">
            <w:pPr>
              <w:spacing w:line="248" w:lineRule="auto"/>
              <w:rPr>
                <w:rFonts w:ascii="Arial"/>
                <w:sz w:val="21"/>
              </w:rPr>
            </w:pPr>
          </w:p>
          <w:p w14:paraId="02A61DFE">
            <w:pPr>
              <w:spacing w:line="248" w:lineRule="auto"/>
              <w:rPr>
                <w:rFonts w:ascii="Arial"/>
                <w:sz w:val="21"/>
              </w:rPr>
            </w:pPr>
          </w:p>
          <w:p w14:paraId="6FF885D1">
            <w:pPr>
              <w:spacing w:line="248" w:lineRule="auto"/>
              <w:rPr>
                <w:rFonts w:ascii="Arial"/>
                <w:sz w:val="21"/>
              </w:rPr>
            </w:pPr>
          </w:p>
          <w:p w14:paraId="37FC7244">
            <w:pPr>
              <w:pStyle w:val="6"/>
              <w:spacing w:before="65" w:line="254"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46B5F63C">
            <w:pPr>
              <w:pStyle w:val="6"/>
              <w:spacing w:before="123" w:line="228" w:lineRule="auto"/>
              <w:ind w:left="115"/>
            </w:pPr>
            <w:r>
              <w:rPr>
                <w:spacing w:val="6"/>
              </w:rPr>
              <w:t>投标内容</w:t>
            </w:r>
          </w:p>
        </w:tc>
        <w:tc>
          <w:tcPr>
            <w:tcW w:w="5042" w:type="dxa"/>
            <w:vAlign w:val="top"/>
          </w:tcPr>
          <w:p w14:paraId="66C73671">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5062E9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7586E84">
            <w:pPr>
              <w:rPr>
                <w:rFonts w:ascii="Arial"/>
                <w:sz w:val="21"/>
              </w:rPr>
            </w:pPr>
          </w:p>
        </w:tc>
        <w:tc>
          <w:tcPr>
            <w:tcW w:w="1058" w:type="dxa"/>
            <w:vMerge w:val="continue"/>
            <w:tcBorders>
              <w:top w:val="nil"/>
              <w:bottom w:val="nil"/>
            </w:tcBorders>
            <w:vAlign w:val="top"/>
          </w:tcPr>
          <w:p w14:paraId="32CD0082">
            <w:pPr>
              <w:rPr>
                <w:rFonts w:ascii="Arial"/>
                <w:sz w:val="21"/>
              </w:rPr>
            </w:pPr>
          </w:p>
        </w:tc>
        <w:tc>
          <w:tcPr>
            <w:tcW w:w="2339" w:type="dxa"/>
            <w:vAlign w:val="top"/>
          </w:tcPr>
          <w:p w14:paraId="1E444B66">
            <w:pPr>
              <w:pStyle w:val="6"/>
              <w:spacing w:before="123" w:line="228" w:lineRule="auto"/>
              <w:ind w:left="115"/>
            </w:pPr>
            <w:r>
              <w:rPr>
                <w:spacing w:val="3"/>
              </w:rPr>
              <w:t>工期</w:t>
            </w:r>
          </w:p>
        </w:tc>
        <w:tc>
          <w:tcPr>
            <w:tcW w:w="5042" w:type="dxa"/>
            <w:vAlign w:val="top"/>
          </w:tcPr>
          <w:p w14:paraId="06912D31">
            <w:pPr>
              <w:pStyle w:val="6"/>
              <w:spacing w:before="123"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511830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2E865D0B">
            <w:pPr>
              <w:rPr>
                <w:rFonts w:ascii="Arial"/>
                <w:sz w:val="21"/>
              </w:rPr>
            </w:pPr>
          </w:p>
        </w:tc>
        <w:tc>
          <w:tcPr>
            <w:tcW w:w="1058" w:type="dxa"/>
            <w:vMerge w:val="continue"/>
            <w:tcBorders>
              <w:top w:val="nil"/>
              <w:bottom w:val="nil"/>
            </w:tcBorders>
            <w:vAlign w:val="top"/>
          </w:tcPr>
          <w:p w14:paraId="41082639">
            <w:pPr>
              <w:rPr>
                <w:rFonts w:ascii="Arial"/>
                <w:sz w:val="21"/>
              </w:rPr>
            </w:pPr>
          </w:p>
        </w:tc>
        <w:tc>
          <w:tcPr>
            <w:tcW w:w="2339" w:type="dxa"/>
            <w:vAlign w:val="top"/>
          </w:tcPr>
          <w:p w14:paraId="3AEF4E09">
            <w:pPr>
              <w:spacing w:line="374" w:lineRule="auto"/>
              <w:rPr>
                <w:rFonts w:ascii="Arial"/>
                <w:sz w:val="21"/>
              </w:rPr>
            </w:pPr>
          </w:p>
          <w:p w14:paraId="40395C87">
            <w:pPr>
              <w:pStyle w:val="6"/>
              <w:spacing w:before="65" w:line="228" w:lineRule="auto"/>
              <w:ind w:left="115"/>
            </w:pPr>
            <w:r>
              <w:rPr>
                <w:spacing w:val="6"/>
              </w:rPr>
              <w:t>工程质量</w:t>
            </w:r>
          </w:p>
        </w:tc>
        <w:tc>
          <w:tcPr>
            <w:tcW w:w="5042" w:type="dxa"/>
            <w:vAlign w:val="top"/>
          </w:tcPr>
          <w:p w14:paraId="58154EF6">
            <w:pPr>
              <w:pStyle w:val="6"/>
              <w:spacing w:before="33"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7BEB646C">
            <w:pPr>
              <w:pStyle w:val="6"/>
              <w:spacing w:before="24"/>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72DB1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A9E031B">
            <w:pPr>
              <w:rPr>
                <w:rFonts w:ascii="Arial"/>
                <w:sz w:val="21"/>
              </w:rPr>
            </w:pPr>
          </w:p>
        </w:tc>
        <w:tc>
          <w:tcPr>
            <w:tcW w:w="1058" w:type="dxa"/>
            <w:vMerge w:val="continue"/>
            <w:tcBorders>
              <w:top w:val="nil"/>
              <w:bottom w:val="nil"/>
            </w:tcBorders>
            <w:vAlign w:val="top"/>
          </w:tcPr>
          <w:p w14:paraId="1AA5F8D4">
            <w:pPr>
              <w:rPr>
                <w:rFonts w:ascii="Arial"/>
                <w:sz w:val="21"/>
              </w:rPr>
            </w:pPr>
          </w:p>
        </w:tc>
        <w:tc>
          <w:tcPr>
            <w:tcW w:w="2339" w:type="dxa"/>
            <w:vAlign w:val="top"/>
          </w:tcPr>
          <w:p w14:paraId="56E42F53">
            <w:pPr>
              <w:pStyle w:val="6"/>
              <w:spacing w:before="123" w:line="228" w:lineRule="auto"/>
              <w:ind w:left="115"/>
            </w:pPr>
            <w:r>
              <w:rPr>
                <w:spacing w:val="7"/>
              </w:rPr>
              <w:t>投标有效期</w:t>
            </w:r>
          </w:p>
        </w:tc>
        <w:tc>
          <w:tcPr>
            <w:tcW w:w="5042" w:type="dxa"/>
            <w:vAlign w:val="top"/>
          </w:tcPr>
          <w:p w14:paraId="6389F1FB">
            <w:pPr>
              <w:pStyle w:val="6"/>
              <w:spacing w:before="122"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0F81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37AEBA06">
            <w:pPr>
              <w:rPr>
                <w:rFonts w:ascii="Arial"/>
                <w:sz w:val="21"/>
              </w:rPr>
            </w:pPr>
          </w:p>
        </w:tc>
        <w:tc>
          <w:tcPr>
            <w:tcW w:w="1058" w:type="dxa"/>
            <w:vMerge w:val="continue"/>
            <w:tcBorders>
              <w:top w:val="nil"/>
              <w:bottom w:val="nil"/>
            </w:tcBorders>
            <w:vAlign w:val="top"/>
          </w:tcPr>
          <w:p w14:paraId="3BF1EB92">
            <w:pPr>
              <w:rPr>
                <w:rFonts w:ascii="Arial"/>
                <w:sz w:val="21"/>
              </w:rPr>
            </w:pPr>
          </w:p>
        </w:tc>
        <w:tc>
          <w:tcPr>
            <w:tcW w:w="2339" w:type="dxa"/>
            <w:vAlign w:val="top"/>
          </w:tcPr>
          <w:p w14:paraId="685CEA90">
            <w:pPr>
              <w:spacing w:line="321" w:lineRule="auto"/>
              <w:rPr>
                <w:rFonts w:ascii="Arial"/>
                <w:sz w:val="21"/>
              </w:rPr>
            </w:pPr>
          </w:p>
          <w:p w14:paraId="65D5226D">
            <w:pPr>
              <w:spacing w:line="322" w:lineRule="auto"/>
              <w:rPr>
                <w:rFonts w:ascii="Arial"/>
                <w:sz w:val="21"/>
              </w:rPr>
            </w:pPr>
          </w:p>
          <w:p w14:paraId="2922F733">
            <w:pPr>
              <w:pStyle w:val="6"/>
              <w:spacing w:before="65" w:line="228" w:lineRule="auto"/>
              <w:ind w:left="115"/>
            </w:pPr>
            <w:r>
              <w:rPr>
                <w:spacing w:val="7"/>
              </w:rPr>
              <w:t>投标保证金</w:t>
            </w:r>
          </w:p>
        </w:tc>
        <w:tc>
          <w:tcPr>
            <w:tcW w:w="5042" w:type="dxa"/>
            <w:vAlign w:val="top"/>
          </w:tcPr>
          <w:p w14:paraId="14AF3D3E">
            <w:pPr>
              <w:pStyle w:val="6"/>
              <w:spacing w:before="32"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5E02FDF5">
            <w:pPr>
              <w:pStyle w:val="6"/>
              <w:spacing w:before="24" w:line="228" w:lineRule="auto"/>
              <w:ind w:left="123"/>
            </w:pPr>
            <w:r>
              <w:rPr>
                <w:spacing w:val="9"/>
              </w:rPr>
              <w:t>（投标保证金符合要求是指投标保证金的形式、金</w:t>
            </w:r>
          </w:p>
          <w:p w14:paraId="36B6DF5E">
            <w:pPr>
              <w:pStyle w:val="6"/>
              <w:spacing w:before="27" w:line="251"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125571D0">
            <w:pPr>
              <w:pStyle w:val="6"/>
              <w:spacing w:line="216" w:lineRule="auto"/>
              <w:ind w:left="130"/>
            </w:pPr>
            <w:r>
              <w:rPr>
                <w:spacing w:val="4"/>
              </w:rPr>
              <w:t>的账户号一致）</w:t>
            </w:r>
          </w:p>
        </w:tc>
      </w:tr>
      <w:tr w14:paraId="16CB5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11BF0C38">
            <w:pPr>
              <w:rPr>
                <w:rFonts w:ascii="Arial"/>
                <w:sz w:val="21"/>
              </w:rPr>
            </w:pPr>
          </w:p>
        </w:tc>
        <w:tc>
          <w:tcPr>
            <w:tcW w:w="1058" w:type="dxa"/>
            <w:vMerge w:val="continue"/>
            <w:tcBorders>
              <w:top w:val="nil"/>
              <w:bottom w:val="nil"/>
            </w:tcBorders>
            <w:vAlign w:val="top"/>
          </w:tcPr>
          <w:p w14:paraId="71D8FFCB">
            <w:pPr>
              <w:rPr>
                <w:rFonts w:ascii="Arial"/>
                <w:sz w:val="21"/>
              </w:rPr>
            </w:pPr>
          </w:p>
        </w:tc>
        <w:tc>
          <w:tcPr>
            <w:tcW w:w="2339" w:type="dxa"/>
            <w:vAlign w:val="top"/>
          </w:tcPr>
          <w:p w14:paraId="4BB5FAEC">
            <w:pPr>
              <w:pStyle w:val="6"/>
              <w:spacing w:before="168" w:line="228" w:lineRule="auto"/>
              <w:ind w:left="111"/>
            </w:pPr>
            <w:r>
              <w:rPr>
                <w:spacing w:val="7"/>
              </w:rPr>
              <w:t>权利义务</w:t>
            </w:r>
          </w:p>
        </w:tc>
        <w:tc>
          <w:tcPr>
            <w:tcW w:w="5042" w:type="dxa"/>
            <w:vAlign w:val="top"/>
          </w:tcPr>
          <w:p w14:paraId="3AA3BFD2">
            <w:pPr>
              <w:pStyle w:val="6"/>
              <w:spacing w:before="34" w:line="233"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1D3BD9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745" w:type="dxa"/>
            <w:vMerge w:val="continue"/>
            <w:tcBorders>
              <w:top w:val="nil"/>
              <w:bottom w:val="nil"/>
            </w:tcBorders>
            <w:vAlign w:val="top"/>
          </w:tcPr>
          <w:p w14:paraId="3F8940EE">
            <w:pPr>
              <w:rPr>
                <w:rFonts w:ascii="Arial"/>
                <w:sz w:val="21"/>
              </w:rPr>
            </w:pPr>
          </w:p>
        </w:tc>
        <w:tc>
          <w:tcPr>
            <w:tcW w:w="1058" w:type="dxa"/>
            <w:vMerge w:val="continue"/>
            <w:tcBorders>
              <w:top w:val="nil"/>
              <w:bottom w:val="nil"/>
            </w:tcBorders>
            <w:vAlign w:val="top"/>
          </w:tcPr>
          <w:p w14:paraId="25AFFAF0">
            <w:pPr>
              <w:rPr>
                <w:rFonts w:ascii="Arial"/>
                <w:sz w:val="21"/>
              </w:rPr>
            </w:pPr>
          </w:p>
        </w:tc>
        <w:tc>
          <w:tcPr>
            <w:tcW w:w="2339" w:type="dxa"/>
            <w:vAlign w:val="top"/>
          </w:tcPr>
          <w:p w14:paraId="4B0E190D">
            <w:pPr>
              <w:pStyle w:val="6"/>
              <w:spacing w:before="120" w:line="228" w:lineRule="auto"/>
              <w:ind w:left="113"/>
            </w:pPr>
            <w:r>
              <w:rPr>
                <w:spacing w:val="8"/>
              </w:rPr>
              <w:t>技术标准和要求</w:t>
            </w:r>
          </w:p>
        </w:tc>
        <w:tc>
          <w:tcPr>
            <w:tcW w:w="5042" w:type="dxa"/>
            <w:vAlign w:val="top"/>
          </w:tcPr>
          <w:p w14:paraId="20C6E9C0">
            <w:pPr>
              <w:pStyle w:val="6"/>
              <w:spacing w:before="120" w:line="227" w:lineRule="auto"/>
              <w:ind w:left="115"/>
            </w:pPr>
            <w:r>
              <w:rPr>
                <w:spacing w:val="7"/>
              </w:rPr>
              <w:t>符合第七章“技术标准和要求</w:t>
            </w:r>
            <w:r>
              <w:rPr>
                <w:spacing w:val="-66"/>
              </w:rPr>
              <w:t xml:space="preserve"> </w:t>
            </w:r>
            <w:r>
              <w:rPr>
                <w:spacing w:val="7"/>
              </w:rPr>
              <w:t>”规定</w:t>
            </w:r>
          </w:p>
        </w:tc>
      </w:tr>
      <w:tr w14:paraId="080CCA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45" w:type="dxa"/>
            <w:vMerge w:val="continue"/>
            <w:tcBorders>
              <w:top w:val="nil"/>
            </w:tcBorders>
            <w:vAlign w:val="top"/>
          </w:tcPr>
          <w:p w14:paraId="50BF650E">
            <w:pPr>
              <w:rPr>
                <w:rFonts w:ascii="Arial"/>
                <w:sz w:val="21"/>
              </w:rPr>
            </w:pPr>
          </w:p>
        </w:tc>
        <w:tc>
          <w:tcPr>
            <w:tcW w:w="1058" w:type="dxa"/>
            <w:vMerge w:val="continue"/>
            <w:tcBorders>
              <w:top w:val="nil"/>
            </w:tcBorders>
            <w:vAlign w:val="top"/>
          </w:tcPr>
          <w:p w14:paraId="000DA700">
            <w:pPr>
              <w:rPr>
                <w:rFonts w:ascii="Arial"/>
                <w:sz w:val="21"/>
              </w:rPr>
            </w:pPr>
          </w:p>
        </w:tc>
        <w:tc>
          <w:tcPr>
            <w:tcW w:w="2339" w:type="dxa"/>
            <w:vAlign w:val="top"/>
          </w:tcPr>
          <w:p w14:paraId="057FAAD5">
            <w:pPr>
              <w:pStyle w:val="6"/>
              <w:spacing w:before="124" w:line="228" w:lineRule="auto"/>
              <w:ind w:left="115"/>
            </w:pPr>
            <w:r>
              <w:rPr>
                <w:spacing w:val="6"/>
              </w:rPr>
              <w:t>分包计划</w:t>
            </w:r>
          </w:p>
        </w:tc>
        <w:tc>
          <w:tcPr>
            <w:tcW w:w="5042" w:type="dxa"/>
            <w:vAlign w:val="top"/>
          </w:tcPr>
          <w:p w14:paraId="469B45A0">
            <w:pPr>
              <w:pStyle w:val="6"/>
              <w:spacing w:before="124"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bl>
    <w:p w14:paraId="5D026074">
      <w:pPr>
        <w:rPr>
          <w:rFonts w:ascii="Arial"/>
          <w:sz w:val="21"/>
        </w:rPr>
      </w:pPr>
    </w:p>
    <w:p w14:paraId="666C48E5">
      <w:pPr>
        <w:rPr>
          <w:rFonts w:ascii="Arial" w:hAnsi="Arial" w:eastAsia="Arial" w:cs="Arial"/>
          <w:sz w:val="21"/>
          <w:szCs w:val="21"/>
        </w:rPr>
        <w:sectPr>
          <w:footerReference r:id="rId80" w:type="default"/>
          <w:pgSz w:w="11907" w:h="16840"/>
          <w:pgMar w:top="400" w:right="1248" w:bottom="1035" w:left="1469" w:header="0" w:footer="785" w:gutter="0"/>
          <w:cols w:space="720" w:num="1"/>
        </w:sectPr>
      </w:pPr>
    </w:p>
    <w:p w14:paraId="1A8F7404">
      <w:pPr>
        <w:spacing w:before="19"/>
      </w:pPr>
    </w:p>
    <w:p w14:paraId="3F042B17">
      <w:pPr>
        <w:spacing w:before="19"/>
      </w:pPr>
    </w:p>
    <w:p w14:paraId="3FB4E9A1">
      <w:pPr>
        <w:spacing w:before="19"/>
      </w:pPr>
    </w:p>
    <w:p w14:paraId="49E64E23">
      <w:pPr>
        <w:spacing w:before="18"/>
      </w:pPr>
    </w:p>
    <w:p w14:paraId="317F965F">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255"/>
        <w:gridCol w:w="5042"/>
      </w:tblGrid>
      <w:tr w14:paraId="1BEAD9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2" w:hRule="atLeast"/>
        </w:trPr>
        <w:tc>
          <w:tcPr>
            <w:tcW w:w="745" w:type="dxa"/>
            <w:vMerge w:val="restart"/>
            <w:tcBorders>
              <w:bottom w:val="nil"/>
            </w:tcBorders>
            <w:vAlign w:val="top"/>
          </w:tcPr>
          <w:p w14:paraId="5A8BD9A4">
            <w:pPr>
              <w:rPr>
                <w:rFonts w:ascii="Arial"/>
                <w:sz w:val="21"/>
              </w:rPr>
            </w:pPr>
          </w:p>
        </w:tc>
        <w:tc>
          <w:tcPr>
            <w:tcW w:w="1058" w:type="dxa"/>
            <w:vMerge w:val="restart"/>
            <w:tcBorders>
              <w:bottom w:val="nil"/>
            </w:tcBorders>
            <w:vAlign w:val="top"/>
          </w:tcPr>
          <w:p w14:paraId="0A516AC8">
            <w:pPr>
              <w:rPr>
                <w:rFonts w:ascii="Arial"/>
                <w:sz w:val="21"/>
              </w:rPr>
            </w:pPr>
          </w:p>
        </w:tc>
        <w:tc>
          <w:tcPr>
            <w:tcW w:w="2339" w:type="dxa"/>
            <w:gridSpan w:val="2"/>
            <w:vAlign w:val="top"/>
          </w:tcPr>
          <w:p w14:paraId="118DA30C">
            <w:pPr>
              <w:spacing w:line="308" w:lineRule="auto"/>
              <w:rPr>
                <w:rFonts w:ascii="Arial"/>
                <w:sz w:val="21"/>
              </w:rPr>
            </w:pPr>
          </w:p>
          <w:p w14:paraId="49F1BC44">
            <w:pPr>
              <w:pStyle w:val="6"/>
              <w:spacing w:before="65" w:line="228" w:lineRule="auto"/>
              <w:ind w:left="114"/>
            </w:pPr>
            <w:r>
              <w:rPr>
                <w:spacing w:val="7"/>
              </w:rPr>
              <w:t>算术错误修正</w:t>
            </w:r>
          </w:p>
        </w:tc>
        <w:tc>
          <w:tcPr>
            <w:tcW w:w="5042" w:type="dxa"/>
            <w:vAlign w:val="top"/>
          </w:tcPr>
          <w:p w14:paraId="6D824BCD">
            <w:pPr>
              <w:pStyle w:val="6"/>
              <w:spacing w:before="35" w:line="226" w:lineRule="auto"/>
              <w:ind w:left="129"/>
            </w:pPr>
            <w:r>
              <w:rPr>
                <w:spacing w:val="7"/>
              </w:rPr>
              <w:t>1） 投标人接受算术错误修正后的报价；</w:t>
            </w:r>
          </w:p>
          <w:p w14:paraId="6D2E4815">
            <w:pPr>
              <w:pStyle w:val="6"/>
              <w:spacing w:before="162" w:line="235" w:lineRule="auto"/>
              <w:ind w:left="115" w:right="109"/>
            </w:pPr>
            <w:r>
              <w:rPr>
                <w:spacing w:val="8"/>
              </w:rPr>
              <w:t>2） 算术错误修正后的投标总价与投标总价相比偏差</w:t>
            </w:r>
            <w:r>
              <w:rPr>
                <w:spacing w:val="6"/>
              </w:rPr>
              <w:t>率不超过±1%。</w:t>
            </w:r>
          </w:p>
        </w:tc>
      </w:tr>
      <w:tr w14:paraId="2FFB87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6" w:hRule="atLeast"/>
        </w:trPr>
        <w:tc>
          <w:tcPr>
            <w:tcW w:w="745" w:type="dxa"/>
            <w:vMerge w:val="continue"/>
            <w:tcBorders>
              <w:top w:val="nil"/>
              <w:bottom w:val="nil"/>
            </w:tcBorders>
            <w:vAlign w:val="top"/>
          </w:tcPr>
          <w:p w14:paraId="1BED210F">
            <w:pPr>
              <w:rPr>
                <w:rFonts w:ascii="Arial"/>
                <w:sz w:val="21"/>
              </w:rPr>
            </w:pPr>
          </w:p>
        </w:tc>
        <w:tc>
          <w:tcPr>
            <w:tcW w:w="1058" w:type="dxa"/>
            <w:vMerge w:val="continue"/>
            <w:tcBorders>
              <w:top w:val="nil"/>
              <w:bottom w:val="nil"/>
            </w:tcBorders>
            <w:vAlign w:val="top"/>
          </w:tcPr>
          <w:p w14:paraId="578530C8">
            <w:pPr>
              <w:rPr>
                <w:rFonts w:ascii="Arial"/>
                <w:sz w:val="21"/>
              </w:rPr>
            </w:pPr>
          </w:p>
        </w:tc>
        <w:tc>
          <w:tcPr>
            <w:tcW w:w="2339" w:type="dxa"/>
            <w:gridSpan w:val="2"/>
            <w:vAlign w:val="top"/>
          </w:tcPr>
          <w:p w14:paraId="59F975A5">
            <w:pPr>
              <w:spacing w:line="317" w:lineRule="auto"/>
              <w:rPr>
                <w:rFonts w:ascii="Arial"/>
                <w:sz w:val="21"/>
              </w:rPr>
            </w:pPr>
          </w:p>
          <w:p w14:paraId="30AFB07C">
            <w:pPr>
              <w:spacing w:line="317" w:lineRule="auto"/>
              <w:rPr>
                <w:rFonts w:ascii="Arial"/>
                <w:sz w:val="21"/>
              </w:rPr>
            </w:pPr>
          </w:p>
          <w:p w14:paraId="7250B496">
            <w:pPr>
              <w:spacing w:line="317" w:lineRule="auto"/>
              <w:rPr>
                <w:rFonts w:ascii="Arial"/>
                <w:sz w:val="21"/>
              </w:rPr>
            </w:pPr>
          </w:p>
          <w:p w14:paraId="056AA96C">
            <w:pPr>
              <w:pStyle w:val="6"/>
              <w:spacing w:before="65" w:line="226" w:lineRule="auto"/>
              <w:ind w:left="115"/>
            </w:pPr>
            <w:r>
              <w:rPr>
                <w:spacing w:val="6"/>
              </w:rPr>
              <w:t>投标价格</w:t>
            </w:r>
          </w:p>
        </w:tc>
        <w:tc>
          <w:tcPr>
            <w:tcW w:w="5042" w:type="dxa"/>
            <w:vAlign w:val="top"/>
          </w:tcPr>
          <w:p w14:paraId="08105A2A">
            <w:pPr>
              <w:pStyle w:val="6"/>
              <w:spacing w:before="69" w:line="250" w:lineRule="auto"/>
              <w:ind w:left="133" w:right="107" w:hanging="4"/>
            </w:pPr>
            <w:r>
              <w:rPr>
                <w:spacing w:val="13"/>
              </w:rPr>
              <w:t>1）投标函中的大写投标总报价与已标价工程量清单</w:t>
            </w:r>
            <w:r>
              <w:rPr>
                <w:spacing w:val="5"/>
              </w:rPr>
              <w:t>中的投标总价一致；</w:t>
            </w:r>
          </w:p>
          <w:p w14:paraId="48046967">
            <w:pPr>
              <w:pStyle w:val="6"/>
              <w:spacing w:line="251" w:lineRule="auto"/>
              <w:ind w:left="114" w:right="107" w:firstLine="1"/>
            </w:pPr>
            <w:r>
              <w:rPr>
                <w:spacing w:val="13"/>
              </w:rPr>
              <w:t>2）投标函中的大写投标总报价不大于本标段招标控</w:t>
            </w:r>
            <w:r>
              <w:rPr>
                <w:spacing w:val="5"/>
              </w:rPr>
              <w:t>制价总价；</w:t>
            </w:r>
          </w:p>
          <w:p w14:paraId="7CC738EF">
            <w:pPr>
              <w:pStyle w:val="6"/>
              <w:spacing w:line="251" w:lineRule="auto"/>
              <w:ind w:left="114" w:right="107" w:firstLine="3"/>
            </w:pPr>
            <w:r>
              <w:rPr>
                <w:spacing w:val="13"/>
              </w:rPr>
              <w:t>3）算术错误修正后的投标总价不大于本标段招标控</w:t>
            </w:r>
            <w:r>
              <w:rPr>
                <w:spacing w:val="5"/>
              </w:rPr>
              <w:t>制价总价；</w:t>
            </w:r>
          </w:p>
          <w:p w14:paraId="113E8EE3">
            <w:pPr>
              <w:pStyle w:val="6"/>
              <w:spacing w:before="1" w:line="251" w:lineRule="auto"/>
              <w:ind w:left="115" w:right="107" w:hanging="3"/>
            </w:pPr>
            <w:r>
              <w:rPr>
                <w:spacing w:val="13"/>
              </w:rPr>
              <w:t>4）投标函中的大写投标总报价（算术错误修正后的</w:t>
            </w:r>
            <w:r>
              <w:rPr>
                <w:spacing w:val="8"/>
              </w:rPr>
              <w:t>投标总价，如有）不低于其成本。</w:t>
            </w:r>
          </w:p>
        </w:tc>
      </w:tr>
      <w:tr w14:paraId="2D3954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5" w:hRule="atLeast"/>
        </w:trPr>
        <w:tc>
          <w:tcPr>
            <w:tcW w:w="745" w:type="dxa"/>
            <w:vMerge w:val="continue"/>
            <w:tcBorders>
              <w:top w:val="nil"/>
            </w:tcBorders>
            <w:vAlign w:val="top"/>
          </w:tcPr>
          <w:p w14:paraId="1C088CC7">
            <w:pPr>
              <w:rPr>
                <w:rFonts w:ascii="Arial"/>
                <w:sz w:val="21"/>
              </w:rPr>
            </w:pPr>
          </w:p>
        </w:tc>
        <w:tc>
          <w:tcPr>
            <w:tcW w:w="1058" w:type="dxa"/>
            <w:vMerge w:val="continue"/>
            <w:tcBorders>
              <w:top w:val="nil"/>
            </w:tcBorders>
            <w:vAlign w:val="top"/>
          </w:tcPr>
          <w:p w14:paraId="66A1ACE8">
            <w:pPr>
              <w:rPr>
                <w:rFonts w:ascii="Arial"/>
                <w:sz w:val="21"/>
              </w:rPr>
            </w:pPr>
          </w:p>
        </w:tc>
        <w:tc>
          <w:tcPr>
            <w:tcW w:w="2339" w:type="dxa"/>
            <w:gridSpan w:val="2"/>
            <w:vAlign w:val="top"/>
          </w:tcPr>
          <w:p w14:paraId="41DA0E5A">
            <w:pPr>
              <w:spacing w:line="252" w:lineRule="auto"/>
              <w:rPr>
                <w:rFonts w:ascii="Arial"/>
                <w:sz w:val="21"/>
              </w:rPr>
            </w:pPr>
          </w:p>
          <w:p w14:paraId="66716F98">
            <w:pPr>
              <w:spacing w:line="252" w:lineRule="auto"/>
              <w:rPr>
                <w:rFonts w:ascii="Arial"/>
                <w:sz w:val="21"/>
              </w:rPr>
            </w:pPr>
          </w:p>
          <w:p w14:paraId="43734533">
            <w:pPr>
              <w:spacing w:line="252" w:lineRule="auto"/>
              <w:rPr>
                <w:rFonts w:ascii="Arial"/>
                <w:sz w:val="21"/>
              </w:rPr>
            </w:pPr>
          </w:p>
          <w:p w14:paraId="0A7E2575">
            <w:pPr>
              <w:spacing w:line="252" w:lineRule="auto"/>
              <w:rPr>
                <w:rFonts w:ascii="Arial"/>
                <w:sz w:val="21"/>
              </w:rPr>
            </w:pPr>
          </w:p>
          <w:p w14:paraId="1001DBB2">
            <w:pPr>
              <w:spacing w:line="252" w:lineRule="auto"/>
              <w:rPr>
                <w:rFonts w:ascii="Arial"/>
                <w:sz w:val="21"/>
              </w:rPr>
            </w:pPr>
          </w:p>
          <w:p w14:paraId="333D6944">
            <w:pPr>
              <w:spacing w:line="253" w:lineRule="auto"/>
              <w:rPr>
                <w:rFonts w:ascii="Arial"/>
                <w:sz w:val="21"/>
              </w:rPr>
            </w:pPr>
          </w:p>
          <w:p w14:paraId="698A2282">
            <w:pPr>
              <w:spacing w:line="253" w:lineRule="auto"/>
              <w:rPr>
                <w:rFonts w:ascii="Arial"/>
                <w:sz w:val="21"/>
              </w:rPr>
            </w:pPr>
          </w:p>
          <w:p w14:paraId="438E2869">
            <w:pPr>
              <w:spacing w:line="253" w:lineRule="auto"/>
              <w:rPr>
                <w:rFonts w:ascii="Arial"/>
                <w:sz w:val="21"/>
              </w:rPr>
            </w:pPr>
          </w:p>
          <w:p w14:paraId="5E6A9403">
            <w:pPr>
              <w:spacing w:line="253" w:lineRule="auto"/>
              <w:rPr>
                <w:rFonts w:ascii="Arial"/>
                <w:sz w:val="21"/>
              </w:rPr>
            </w:pPr>
          </w:p>
          <w:p w14:paraId="264299F9">
            <w:pPr>
              <w:pStyle w:val="6"/>
              <w:spacing w:before="65" w:line="226" w:lineRule="auto"/>
              <w:ind w:left="135"/>
            </w:pPr>
            <w:r>
              <w:rPr>
                <w:spacing w:val="5"/>
              </w:rPr>
              <w:t>已标价工程量清单</w:t>
            </w:r>
          </w:p>
        </w:tc>
        <w:tc>
          <w:tcPr>
            <w:tcW w:w="5042" w:type="dxa"/>
            <w:vAlign w:val="top"/>
          </w:tcPr>
          <w:p w14:paraId="0480B597">
            <w:pPr>
              <w:pStyle w:val="6"/>
              <w:spacing w:before="38" w:line="250"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690D4F2E">
            <w:pPr>
              <w:pStyle w:val="6"/>
              <w:spacing w:before="2" w:line="251" w:lineRule="auto"/>
              <w:ind w:left="112" w:right="107" w:firstLine="3"/>
            </w:pPr>
            <w:r>
              <w:rPr>
                <w:spacing w:val="10"/>
              </w:rPr>
              <w:t>2）</w:t>
            </w:r>
            <w:r>
              <w:rPr>
                <w:spacing w:val="-50"/>
              </w:rPr>
              <w:t xml:space="preserve"> </w:t>
            </w:r>
            <w:r>
              <w:rPr>
                <w:spacing w:val="10"/>
              </w:rPr>
              <w:t>已标价工程量清单符合第五章“工程量清</w:t>
            </w:r>
            <w:r>
              <w:rPr>
                <w:spacing w:val="9"/>
              </w:rPr>
              <w:t>单</w:t>
            </w:r>
            <w:r>
              <w:rPr>
                <w:spacing w:val="-65"/>
              </w:rPr>
              <w:t xml:space="preserve"> </w:t>
            </w:r>
            <w:r>
              <w:rPr>
                <w:spacing w:val="9"/>
              </w:rPr>
              <w:t>”给出的项目编码、项目名称、项目特征、计量单位和工</w:t>
            </w:r>
            <w:r>
              <w:rPr>
                <w:spacing w:val="3"/>
              </w:rPr>
              <w:t>程量；</w:t>
            </w:r>
          </w:p>
          <w:p w14:paraId="2583F65E">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61145462">
            <w:pPr>
              <w:pStyle w:val="6"/>
              <w:spacing w:before="28" w:line="250" w:lineRule="auto"/>
              <w:ind w:left="129" w:right="109" w:hanging="17"/>
            </w:pPr>
            <w:r>
              <w:rPr>
                <w:spacing w:val="12"/>
              </w:rPr>
              <w:t>4）专业工程暂估价符合第五章“工程量清单</w:t>
            </w:r>
            <w:r>
              <w:rPr>
                <w:spacing w:val="-63"/>
              </w:rPr>
              <w:t xml:space="preserve"> </w:t>
            </w:r>
            <w:r>
              <w:rPr>
                <w:spacing w:val="12"/>
              </w:rPr>
              <w:t>”列出</w:t>
            </w:r>
            <w:r>
              <w:t>的金额；</w:t>
            </w:r>
          </w:p>
          <w:p w14:paraId="525F80ED">
            <w:pPr>
              <w:pStyle w:val="6"/>
              <w:spacing w:before="1" w:line="251" w:lineRule="auto"/>
              <w:ind w:left="115" w:right="109" w:firstLine="2"/>
            </w:pPr>
            <w:r>
              <w:rPr>
                <w:spacing w:val="13"/>
              </w:rPr>
              <w:t>5）材料（工程设备）暂估价符合第五章“工程量清</w:t>
            </w:r>
            <w:r>
              <w:rPr>
                <w:spacing w:val="6"/>
              </w:rPr>
              <w:t>单</w:t>
            </w:r>
            <w:r>
              <w:rPr>
                <w:spacing w:val="-64"/>
              </w:rPr>
              <w:t xml:space="preserve"> </w:t>
            </w:r>
            <w:r>
              <w:rPr>
                <w:spacing w:val="6"/>
              </w:rPr>
              <w:t>”列出的单价并计入综合单价；</w:t>
            </w:r>
          </w:p>
          <w:p w14:paraId="0111737B">
            <w:pPr>
              <w:pStyle w:val="6"/>
              <w:spacing w:before="1" w:line="251" w:lineRule="auto"/>
              <w:ind w:left="115" w:right="158"/>
            </w:pPr>
            <w:r>
              <w:rPr>
                <w:spacing w:val="11"/>
              </w:rPr>
              <w:t>6）安全文明施工费、规费和税金等不可竞争费用，</w:t>
            </w:r>
            <w:r>
              <w:rPr>
                <w:spacing w:val="7"/>
              </w:rPr>
              <w:t>按照规定的标准计取；</w:t>
            </w:r>
          </w:p>
          <w:p w14:paraId="6197AD24">
            <w:pPr>
              <w:pStyle w:val="6"/>
              <w:spacing w:before="1" w:line="227" w:lineRule="auto"/>
              <w:ind w:left="118"/>
            </w:pPr>
            <w:r>
              <w:rPr>
                <w:spacing w:val="8"/>
              </w:rPr>
              <w:t>7）计税方法符合招标文件的约定；</w:t>
            </w:r>
          </w:p>
          <w:p w14:paraId="41F5C444">
            <w:pPr>
              <w:pStyle w:val="6"/>
              <w:spacing w:before="27" w:line="245" w:lineRule="auto"/>
              <w:ind w:left="113" w:right="55"/>
            </w:pPr>
            <w:r>
              <w:rPr>
                <w:spacing w:val="7"/>
              </w:rPr>
              <w:t>8）已标价工程量清单项目未填报的项目不超过三</w:t>
            </w:r>
            <w:r>
              <w:rPr>
                <w:spacing w:val="6"/>
              </w:rPr>
              <w:t>项，</w:t>
            </w:r>
            <w:r>
              <w:rPr>
                <w:spacing w:val="9"/>
              </w:rPr>
              <w:t>且不超过三项未填报的项目的费用合计（按招标控制价相应项目的费用合计计算）不超过其投标函中的大</w:t>
            </w:r>
            <w:r>
              <w:rPr>
                <w:spacing w:val="8"/>
              </w:rPr>
              <w:t>写投标总报价（算术错误修正后的投标总价，如有）</w:t>
            </w:r>
            <w:r>
              <w:rPr>
                <w:spacing w:val="4"/>
              </w:rPr>
              <w:t>的±1%。</w:t>
            </w:r>
          </w:p>
        </w:tc>
      </w:tr>
      <w:tr w14:paraId="6213C2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8" w:hRule="atLeast"/>
        </w:trPr>
        <w:tc>
          <w:tcPr>
            <w:tcW w:w="1803" w:type="dxa"/>
            <w:gridSpan w:val="2"/>
            <w:vAlign w:val="top"/>
          </w:tcPr>
          <w:p w14:paraId="16083E26">
            <w:pPr>
              <w:spacing w:line="281" w:lineRule="auto"/>
              <w:rPr>
                <w:rFonts w:ascii="Arial"/>
                <w:sz w:val="21"/>
              </w:rPr>
            </w:pPr>
          </w:p>
          <w:p w14:paraId="6D62DA26">
            <w:pPr>
              <w:spacing w:line="281" w:lineRule="auto"/>
              <w:rPr>
                <w:rFonts w:ascii="Arial"/>
                <w:sz w:val="21"/>
              </w:rPr>
            </w:pPr>
          </w:p>
          <w:p w14:paraId="7BD8B247">
            <w:pPr>
              <w:spacing w:before="57"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3"/>
            <w:vAlign w:val="top"/>
          </w:tcPr>
          <w:p w14:paraId="19CB537F">
            <w:pPr>
              <w:pStyle w:val="6"/>
              <w:spacing w:before="167" w:line="227" w:lineRule="auto"/>
              <w:ind w:left="111"/>
            </w:pPr>
            <w:r>
              <w:rPr>
                <w:spacing w:val="9"/>
              </w:rPr>
              <w:t>在本标段招标投标活动中，投标人不得存在的其他情形：</w:t>
            </w:r>
          </w:p>
          <w:p w14:paraId="02928DA2">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36F3A9BE">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5CBEC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03" w:type="dxa"/>
            <w:gridSpan w:val="2"/>
            <w:vAlign w:val="top"/>
          </w:tcPr>
          <w:p w14:paraId="2E67C82C">
            <w:pPr>
              <w:pStyle w:val="6"/>
              <w:spacing w:before="124" w:line="228" w:lineRule="auto"/>
              <w:ind w:left="592"/>
            </w:pPr>
            <w:r>
              <w:rPr>
                <w:b/>
                <w:bCs/>
                <w:spacing w:val="5"/>
              </w:rPr>
              <w:t>条款号</w:t>
            </w:r>
          </w:p>
        </w:tc>
        <w:tc>
          <w:tcPr>
            <w:tcW w:w="2084" w:type="dxa"/>
            <w:vAlign w:val="top"/>
          </w:tcPr>
          <w:p w14:paraId="2AD341FF">
            <w:pPr>
              <w:pStyle w:val="6"/>
              <w:spacing w:before="124" w:line="228" w:lineRule="auto"/>
              <w:ind w:left="627"/>
            </w:pPr>
            <w:r>
              <w:rPr>
                <w:b/>
                <w:bCs/>
                <w:spacing w:val="6"/>
              </w:rPr>
              <w:t>条款内容</w:t>
            </w:r>
          </w:p>
        </w:tc>
        <w:tc>
          <w:tcPr>
            <w:tcW w:w="5297" w:type="dxa"/>
            <w:gridSpan w:val="2"/>
            <w:vAlign w:val="top"/>
          </w:tcPr>
          <w:p w14:paraId="72EEF7BE">
            <w:pPr>
              <w:pStyle w:val="6"/>
              <w:spacing w:before="124" w:line="228" w:lineRule="auto"/>
              <w:ind w:left="2232"/>
            </w:pPr>
            <w:r>
              <w:rPr>
                <w:b/>
                <w:bCs/>
                <w:spacing w:val="6"/>
              </w:rPr>
              <w:t>编列内容</w:t>
            </w:r>
          </w:p>
        </w:tc>
      </w:tr>
      <w:tr w14:paraId="4BD374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trPr>
        <w:tc>
          <w:tcPr>
            <w:tcW w:w="1803" w:type="dxa"/>
            <w:gridSpan w:val="2"/>
            <w:vAlign w:val="top"/>
          </w:tcPr>
          <w:p w14:paraId="2098F5F7">
            <w:pPr>
              <w:spacing w:line="277" w:lineRule="auto"/>
              <w:rPr>
                <w:rFonts w:ascii="Arial"/>
                <w:sz w:val="21"/>
              </w:rPr>
            </w:pPr>
          </w:p>
          <w:p w14:paraId="6A73B6A9">
            <w:pPr>
              <w:spacing w:line="278" w:lineRule="auto"/>
              <w:rPr>
                <w:rFonts w:ascii="Arial"/>
                <w:sz w:val="21"/>
              </w:rPr>
            </w:pPr>
          </w:p>
          <w:p w14:paraId="14457029">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0CAD9D47">
            <w:pPr>
              <w:pStyle w:val="6"/>
              <w:spacing w:before="249" w:line="228" w:lineRule="auto"/>
              <w:ind w:left="115"/>
            </w:pPr>
            <w:r>
              <w:rPr>
                <w:spacing w:val="6"/>
              </w:rPr>
              <w:t>分值构成</w:t>
            </w:r>
          </w:p>
          <w:p w14:paraId="25266FD8">
            <w:pPr>
              <w:pStyle w:val="6"/>
              <w:spacing w:before="27" w:line="252" w:lineRule="auto"/>
              <w:ind w:left="115" w:right="106" w:firstLine="7"/>
            </w:pPr>
            <w:r>
              <w:rPr>
                <w:spacing w:val="-1"/>
              </w:rPr>
              <w:t>（</w:t>
            </w:r>
            <w:r>
              <w:rPr>
                <w:spacing w:val="-47"/>
              </w:rPr>
              <w:t xml:space="preserve"> </w:t>
            </w:r>
            <w:r>
              <w:rPr>
                <w:spacing w:val="-1"/>
              </w:rPr>
              <w:t>总</w:t>
            </w:r>
            <w:r>
              <w:rPr>
                <w:spacing w:val="-52"/>
              </w:rPr>
              <w:t xml:space="preserve"> </w:t>
            </w:r>
            <w:r>
              <w:rPr>
                <w:spacing w:val="-1"/>
              </w:rPr>
              <w:t>分</w:t>
            </w:r>
            <w:r>
              <w:rPr>
                <w:spacing w:val="15"/>
              </w:rPr>
              <w:t xml:space="preserve"> </w:t>
            </w:r>
            <w:r>
              <w:rPr>
                <w:spacing w:val="-1"/>
              </w:rPr>
              <w:t>100 分</w:t>
            </w:r>
            <w:r>
              <w:rPr>
                <w:spacing w:val="-55"/>
              </w:rPr>
              <w:t xml:space="preserve"> </w:t>
            </w:r>
            <w:r>
              <w:rPr>
                <w:spacing w:val="-1"/>
              </w:rPr>
              <w:t>+3.5分）</w:t>
            </w:r>
          </w:p>
        </w:tc>
        <w:tc>
          <w:tcPr>
            <w:tcW w:w="5297" w:type="dxa"/>
            <w:gridSpan w:val="2"/>
            <w:vAlign w:val="top"/>
          </w:tcPr>
          <w:p w14:paraId="31D03FE4">
            <w:pPr>
              <w:pStyle w:val="6"/>
              <w:spacing w:before="115" w:line="226" w:lineRule="auto"/>
              <w:ind w:left="116"/>
            </w:pPr>
            <w:r>
              <w:rPr>
                <w:spacing w:val="3"/>
              </w:rPr>
              <w:t>投标报价：</w:t>
            </w:r>
            <w:r>
              <w:rPr>
                <w:spacing w:val="15"/>
              </w:rPr>
              <w:t xml:space="preserve">   </w:t>
            </w:r>
            <w:r>
              <w:rPr>
                <w:spacing w:val="3"/>
              </w:rPr>
              <w:t>70</w:t>
            </w:r>
            <w:r>
              <w:rPr>
                <w:spacing w:val="-35"/>
              </w:rPr>
              <w:t xml:space="preserve"> </w:t>
            </w:r>
            <w:r>
              <w:rPr>
                <w:spacing w:val="3"/>
              </w:rPr>
              <w:t>分（+3.5</w:t>
            </w:r>
            <w:r>
              <w:rPr>
                <w:spacing w:val="-38"/>
              </w:rPr>
              <w:t xml:space="preserve"> </w:t>
            </w:r>
            <w:r>
              <w:rPr>
                <w:spacing w:val="3"/>
              </w:rPr>
              <w:t>分）</w:t>
            </w:r>
          </w:p>
          <w:p w14:paraId="363E3FA9">
            <w:pPr>
              <w:pStyle w:val="6"/>
              <w:spacing w:before="26" w:line="228" w:lineRule="auto"/>
              <w:ind w:left="113"/>
            </w:pPr>
            <w:r>
              <w:rPr>
                <w:spacing w:val="3"/>
              </w:rPr>
              <w:t>施工组织设计：</w:t>
            </w:r>
            <w:r>
              <w:rPr>
                <w:spacing w:val="46"/>
              </w:rPr>
              <w:t xml:space="preserve"> </w:t>
            </w:r>
            <w:r>
              <w:rPr>
                <w:spacing w:val="3"/>
              </w:rPr>
              <w:t>16</w:t>
            </w:r>
            <w:r>
              <w:rPr>
                <w:spacing w:val="-38"/>
              </w:rPr>
              <w:t xml:space="preserve"> </w:t>
            </w:r>
            <w:r>
              <w:rPr>
                <w:spacing w:val="3"/>
              </w:rPr>
              <w:t>分</w:t>
            </w:r>
          </w:p>
          <w:p w14:paraId="77F3EC23">
            <w:pPr>
              <w:pStyle w:val="6"/>
              <w:spacing w:before="23" w:line="227" w:lineRule="auto"/>
              <w:ind w:left="117"/>
            </w:pPr>
            <w:r>
              <w:rPr>
                <w:spacing w:val="4"/>
              </w:rPr>
              <w:t>项目管理机构：</w:t>
            </w:r>
            <w:r>
              <w:rPr>
                <w:spacing w:val="18"/>
              </w:rPr>
              <w:t xml:space="preserve">  </w:t>
            </w:r>
            <w:r>
              <w:rPr>
                <w:spacing w:val="4"/>
              </w:rPr>
              <w:t>6</w:t>
            </w:r>
            <w:r>
              <w:rPr>
                <w:spacing w:val="-38"/>
              </w:rPr>
              <w:t xml:space="preserve"> </w:t>
            </w:r>
            <w:r>
              <w:rPr>
                <w:spacing w:val="4"/>
              </w:rPr>
              <w:t>分</w:t>
            </w:r>
          </w:p>
          <w:p w14:paraId="03A2E409">
            <w:pPr>
              <w:pStyle w:val="6"/>
              <w:spacing w:before="27" w:line="228" w:lineRule="auto"/>
              <w:ind w:left="114"/>
            </w:pPr>
            <w:r>
              <w:rPr>
                <w:spacing w:val="4"/>
              </w:rPr>
              <w:t>其他评分因素：</w:t>
            </w:r>
            <w:r>
              <w:rPr>
                <w:spacing w:val="19"/>
              </w:rPr>
              <w:t xml:space="preserve">  </w:t>
            </w:r>
            <w:r>
              <w:rPr>
                <w:spacing w:val="4"/>
              </w:rPr>
              <w:t>8</w:t>
            </w:r>
            <w:r>
              <w:rPr>
                <w:spacing w:val="-38"/>
              </w:rPr>
              <w:t xml:space="preserve"> </w:t>
            </w:r>
            <w:r>
              <w:rPr>
                <w:spacing w:val="4"/>
              </w:rPr>
              <w:t>分</w:t>
            </w:r>
          </w:p>
        </w:tc>
      </w:tr>
      <w:tr w14:paraId="157ECE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1803" w:type="dxa"/>
            <w:gridSpan w:val="2"/>
            <w:vAlign w:val="top"/>
          </w:tcPr>
          <w:p w14:paraId="4D106C58">
            <w:pPr>
              <w:spacing w:before="23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6C80CE74">
            <w:pPr>
              <w:pStyle w:val="6"/>
              <w:spacing w:before="216"/>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2245495C">
            <w:pPr>
              <w:spacing w:line="297" w:lineRule="auto"/>
              <w:rPr>
                <w:rFonts w:ascii="Arial"/>
                <w:sz w:val="21"/>
              </w:rPr>
            </w:pPr>
          </w:p>
          <w:p w14:paraId="7A45E568">
            <w:pPr>
              <w:pStyle w:val="6"/>
              <w:spacing w:before="65" w:line="226" w:lineRule="auto"/>
              <w:ind w:left="111"/>
            </w:pPr>
            <w:r>
              <w:rPr>
                <w:spacing w:val="8"/>
              </w:rPr>
              <w:t>评标价确定方法</w:t>
            </w:r>
          </w:p>
        </w:tc>
        <w:tc>
          <w:tcPr>
            <w:tcW w:w="5297" w:type="dxa"/>
            <w:gridSpan w:val="2"/>
            <w:vAlign w:val="top"/>
          </w:tcPr>
          <w:p w14:paraId="10CB8EF9">
            <w:pPr>
              <w:pStyle w:val="6"/>
              <w:spacing w:before="92" w:line="252" w:lineRule="auto"/>
              <w:ind w:left="112" w:right="135"/>
              <w:jc w:val="both"/>
            </w:pPr>
            <w:r>
              <w:rPr>
                <w:spacing w:val="6"/>
              </w:rPr>
              <w:t>评标价＝投标函中的大写投标总报价（或经投标人书面</w:t>
            </w:r>
            <w:r>
              <w:rPr>
                <w:spacing w:val="1"/>
              </w:rPr>
              <w:t>确认的算术错误修正后的投标总价）-（暂列金额+税金）</w:t>
            </w:r>
            <w:r>
              <w:rPr>
                <w:spacing w:val="17"/>
              </w:rPr>
              <w:t xml:space="preserve"> </w:t>
            </w:r>
            <w:r>
              <w:rPr>
                <w:spacing w:val="7"/>
              </w:rPr>
              <w:t>-（专业工程暂估价+税金）</w:t>
            </w:r>
          </w:p>
        </w:tc>
      </w:tr>
    </w:tbl>
    <w:p w14:paraId="1DD1D73B">
      <w:pPr>
        <w:rPr>
          <w:rFonts w:ascii="Arial"/>
          <w:sz w:val="21"/>
        </w:rPr>
      </w:pPr>
    </w:p>
    <w:p w14:paraId="3CB626C0">
      <w:pPr>
        <w:rPr>
          <w:rFonts w:ascii="Arial" w:hAnsi="Arial" w:eastAsia="Arial" w:cs="Arial"/>
          <w:sz w:val="21"/>
          <w:szCs w:val="21"/>
        </w:rPr>
        <w:sectPr>
          <w:footerReference r:id="rId81" w:type="default"/>
          <w:pgSz w:w="11907" w:h="16840"/>
          <w:pgMar w:top="400" w:right="1248" w:bottom="1035" w:left="1469" w:header="0" w:footer="785" w:gutter="0"/>
          <w:cols w:space="720" w:num="1"/>
        </w:sectPr>
      </w:pPr>
    </w:p>
    <w:p w14:paraId="6FA6B783">
      <w:pPr>
        <w:spacing w:before="19"/>
      </w:pPr>
    </w:p>
    <w:p w14:paraId="7F202DD8">
      <w:pPr>
        <w:spacing w:before="19"/>
      </w:pPr>
    </w:p>
    <w:p w14:paraId="6520C5CB">
      <w:pPr>
        <w:spacing w:before="19"/>
      </w:pPr>
    </w:p>
    <w:p w14:paraId="79B6CD02">
      <w:pPr>
        <w:spacing w:before="18"/>
      </w:pPr>
    </w:p>
    <w:p w14:paraId="72C5690E">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083416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7" w:hRule="atLeast"/>
        </w:trPr>
        <w:tc>
          <w:tcPr>
            <w:tcW w:w="1803" w:type="dxa"/>
            <w:gridSpan w:val="2"/>
            <w:vAlign w:val="top"/>
          </w:tcPr>
          <w:p w14:paraId="4E00CF17">
            <w:pPr>
              <w:spacing w:line="241" w:lineRule="auto"/>
              <w:rPr>
                <w:rFonts w:ascii="Arial"/>
                <w:sz w:val="21"/>
              </w:rPr>
            </w:pPr>
          </w:p>
          <w:p w14:paraId="18A757B5">
            <w:pPr>
              <w:spacing w:line="241" w:lineRule="auto"/>
              <w:rPr>
                <w:rFonts w:ascii="Arial"/>
                <w:sz w:val="21"/>
              </w:rPr>
            </w:pPr>
          </w:p>
          <w:p w14:paraId="63115C07">
            <w:pPr>
              <w:spacing w:line="242" w:lineRule="auto"/>
              <w:rPr>
                <w:rFonts w:ascii="Arial"/>
                <w:sz w:val="21"/>
              </w:rPr>
            </w:pPr>
          </w:p>
          <w:p w14:paraId="2842DAFD">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346752AD">
            <w:pPr>
              <w:pStyle w:val="6"/>
              <w:spacing w:before="218"/>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6718B966">
            <w:pPr>
              <w:spacing w:line="353" w:lineRule="auto"/>
              <w:rPr>
                <w:rFonts w:ascii="Arial"/>
                <w:sz w:val="21"/>
              </w:rPr>
            </w:pPr>
          </w:p>
          <w:p w14:paraId="3D3BD20A">
            <w:pPr>
              <w:spacing w:line="353" w:lineRule="auto"/>
              <w:rPr>
                <w:rFonts w:ascii="Arial"/>
                <w:sz w:val="21"/>
              </w:rPr>
            </w:pPr>
          </w:p>
          <w:p w14:paraId="491BF26C">
            <w:pPr>
              <w:pStyle w:val="6"/>
              <w:spacing w:before="65" w:line="255" w:lineRule="auto"/>
              <w:ind w:left="112" w:right="107" w:hanging="1"/>
            </w:pPr>
            <w:r>
              <w:rPr>
                <w:spacing w:val="32"/>
              </w:rPr>
              <w:t>评标基准价计算方</w:t>
            </w:r>
            <w:r>
              <w:t>法</w:t>
            </w:r>
          </w:p>
        </w:tc>
        <w:tc>
          <w:tcPr>
            <w:tcW w:w="5297" w:type="dxa"/>
            <w:gridSpan w:val="2"/>
            <w:vAlign w:val="top"/>
          </w:tcPr>
          <w:p w14:paraId="4AFC65F9">
            <w:pPr>
              <w:pStyle w:val="6"/>
              <w:spacing w:before="97"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664253A5">
            <w:pPr>
              <w:pStyle w:val="6"/>
              <w:spacing w:before="1" w:line="252"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457F94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803" w:type="dxa"/>
            <w:gridSpan w:val="2"/>
            <w:vAlign w:val="top"/>
          </w:tcPr>
          <w:p w14:paraId="1433D737">
            <w:pPr>
              <w:spacing w:line="333" w:lineRule="auto"/>
              <w:rPr>
                <w:rFonts w:ascii="Arial"/>
                <w:sz w:val="21"/>
              </w:rPr>
            </w:pPr>
          </w:p>
          <w:p w14:paraId="0687B38D">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51D7F5EC">
            <w:pPr>
              <w:pStyle w:val="6"/>
              <w:spacing w:before="162" w:line="252" w:lineRule="auto"/>
              <w:ind w:left="112" w:right="296" w:firstLine="2"/>
            </w:pPr>
            <w:r>
              <w:rPr>
                <w:spacing w:val="8"/>
              </w:rPr>
              <w:t>投标报价的偏差率</w:t>
            </w:r>
            <w:r>
              <w:rPr>
                <w:spacing w:val="7"/>
              </w:rPr>
              <w:t>计算公式</w:t>
            </w:r>
          </w:p>
        </w:tc>
        <w:tc>
          <w:tcPr>
            <w:tcW w:w="5297" w:type="dxa"/>
            <w:gridSpan w:val="2"/>
            <w:vAlign w:val="top"/>
          </w:tcPr>
          <w:p w14:paraId="4AFFF104">
            <w:pPr>
              <w:pStyle w:val="6"/>
              <w:spacing w:before="163" w:line="251" w:lineRule="auto"/>
              <w:ind w:left="115" w:right="107" w:hanging="1"/>
            </w:pPr>
            <w:r>
              <w:rPr>
                <w:spacing w:val="6"/>
              </w:rPr>
              <w:t>偏差率=100%×（投标人评标价－评标基准价）÷评标基</w:t>
            </w:r>
            <w:r>
              <w:rPr>
                <w:spacing w:val="3"/>
              </w:rPr>
              <w:t>准价</w:t>
            </w:r>
          </w:p>
        </w:tc>
      </w:tr>
      <w:tr w14:paraId="5D455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6F7F17C2">
            <w:pPr>
              <w:pStyle w:val="6"/>
              <w:spacing w:before="167" w:line="228" w:lineRule="auto"/>
              <w:ind w:left="592"/>
            </w:pPr>
            <w:r>
              <w:rPr>
                <w:b/>
                <w:bCs/>
                <w:spacing w:val="5"/>
              </w:rPr>
              <w:t>条款号</w:t>
            </w:r>
          </w:p>
        </w:tc>
        <w:tc>
          <w:tcPr>
            <w:tcW w:w="2084" w:type="dxa"/>
            <w:vAlign w:val="top"/>
          </w:tcPr>
          <w:p w14:paraId="46326B5B">
            <w:pPr>
              <w:pStyle w:val="6"/>
              <w:spacing w:before="167" w:line="228" w:lineRule="auto"/>
              <w:ind w:left="625"/>
            </w:pPr>
            <w:r>
              <w:rPr>
                <w:b/>
                <w:bCs/>
                <w:spacing w:val="6"/>
              </w:rPr>
              <w:t>评分因素</w:t>
            </w:r>
          </w:p>
        </w:tc>
        <w:tc>
          <w:tcPr>
            <w:tcW w:w="735" w:type="dxa"/>
            <w:vAlign w:val="top"/>
          </w:tcPr>
          <w:p w14:paraId="61AE69E3">
            <w:pPr>
              <w:pStyle w:val="6"/>
              <w:spacing w:before="32" w:line="234" w:lineRule="auto"/>
              <w:ind w:left="269" w:right="155" w:hanging="107"/>
            </w:pPr>
            <w:r>
              <w:rPr>
                <w:b/>
                <w:bCs/>
                <w:spacing w:val="3"/>
              </w:rPr>
              <w:t>标准</w:t>
            </w:r>
            <w:r>
              <w:rPr>
                <w:b/>
                <w:bCs/>
                <w:spacing w:val="-3"/>
              </w:rPr>
              <w:t>分</w:t>
            </w:r>
          </w:p>
        </w:tc>
        <w:tc>
          <w:tcPr>
            <w:tcW w:w="4562" w:type="dxa"/>
            <w:vAlign w:val="top"/>
          </w:tcPr>
          <w:p w14:paraId="4C8A64D1">
            <w:pPr>
              <w:pStyle w:val="6"/>
              <w:spacing w:before="168" w:line="228" w:lineRule="auto"/>
              <w:ind w:left="1862"/>
            </w:pPr>
            <w:r>
              <w:rPr>
                <w:b/>
                <w:bCs/>
                <w:spacing w:val="6"/>
              </w:rPr>
              <w:t>评分标准</w:t>
            </w:r>
          </w:p>
        </w:tc>
      </w:tr>
      <w:tr w14:paraId="6F8D49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4" w:hRule="atLeast"/>
        </w:trPr>
        <w:tc>
          <w:tcPr>
            <w:tcW w:w="745" w:type="dxa"/>
            <w:vMerge w:val="restart"/>
            <w:tcBorders>
              <w:bottom w:val="nil"/>
            </w:tcBorders>
            <w:vAlign w:val="top"/>
          </w:tcPr>
          <w:p w14:paraId="250336D4">
            <w:pPr>
              <w:spacing w:line="243" w:lineRule="auto"/>
              <w:rPr>
                <w:rFonts w:ascii="Arial"/>
                <w:sz w:val="21"/>
              </w:rPr>
            </w:pPr>
          </w:p>
          <w:p w14:paraId="10B1E2AC">
            <w:pPr>
              <w:spacing w:line="243" w:lineRule="auto"/>
              <w:rPr>
                <w:rFonts w:ascii="Arial"/>
                <w:sz w:val="21"/>
              </w:rPr>
            </w:pPr>
          </w:p>
          <w:p w14:paraId="14EA189D">
            <w:pPr>
              <w:spacing w:line="243" w:lineRule="auto"/>
              <w:rPr>
                <w:rFonts w:ascii="Arial"/>
                <w:sz w:val="21"/>
              </w:rPr>
            </w:pPr>
          </w:p>
          <w:p w14:paraId="1A95B83B">
            <w:pPr>
              <w:spacing w:line="244" w:lineRule="auto"/>
              <w:rPr>
                <w:rFonts w:ascii="Arial"/>
                <w:sz w:val="21"/>
              </w:rPr>
            </w:pPr>
          </w:p>
          <w:p w14:paraId="5A8E5A79">
            <w:pPr>
              <w:spacing w:line="244" w:lineRule="auto"/>
              <w:rPr>
                <w:rFonts w:ascii="Arial"/>
                <w:sz w:val="21"/>
              </w:rPr>
            </w:pPr>
          </w:p>
          <w:p w14:paraId="64EA7808">
            <w:pPr>
              <w:spacing w:line="244" w:lineRule="auto"/>
              <w:rPr>
                <w:rFonts w:ascii="Arial"/>
                <w:sz w:val="21"/>
              </w:rPr>
            </w:pPr>
          </w:p>
          <w:p w14:paraId="4245443F">
            <w:pPr>
              <w:spacing w:line="244" w:lineRule="auto"/>
              <w:rPr>
                <w:rFonts w:ascii="Arial"/>
                <w:sz w:val="21"/>
              </w:rPr>
            </w:pPr>
          </w:p>
          <w:p w14:paraId="50DFEB3A">
            <w:pPr>
              <w:spacing w:line="244" w:lineRule="auto"/>
              <w:rPr>
                <w:rFonts w:ascii="Arial"/>
                <w:sz w:val="21"/>
              </w:rPr>
            </w:pPr>
          </w:p>
          <w:p w14:paraId="549C71BD">
            <w:pPr>
              <w:spacing w:line="244" w:lineRule="auto"/>
              <w:rPr>
                <w:rFonts w:ascii="Arial"/>
                <w:sz w:val="21"/>
              </w:rPr>
            </w:pPr>
          </w:p>
          <w:p w14:paraId="4A76ED0B">
            <w:pPr>
              <w:spacing w:line="244" w:lineRule="auto"/>
              <w:rPr>
                <w:rFonts w:ascii="Arial"/>
                <w:sz w:val="21"/>
              </w:rPr>
            </w:pPr>
          </w:p>
          <w:p w14:paraId="13346F03">
            <w:pPr>
              <w:spacing w:line="244" w:lineRule="auto"/>
              <w:rPr>
                <w:rFonts w:ascii="Arial"/>
                <w:sz w:val="21"/>
              </w:rPr>
            </w:pPr>
          </w:p>
          <w:p w14:paraId="650E4826">
            <w:pPr>
              <w:spacing w:line="244" w:lineRule="auto"/>
              <w:rPr>
                <w:rFonts w:ascii="Arial"/>
                <w:sz w:val="21"/>
              </w:rPr>
            </w:pPr>
          </w:p>
          <w:p w14:paraId="2C2053DD">
            <w:pPr>
              <w:spacing w:line="244" w:lineRule="auto"/>
              <w:rPr>
                <w:rFonts w:ascii="Arial"/>
                <w:sz w:val="21"/>
              </w:rPr>
            </w:pPr>
          </w:p>
          <w:p w14:paraId="5C0EC4F8">
            <w:pPr>
              <w:spacing w:line="244" w:lineRule="auto"/>
              <w:rPr>
                <w:rFonts w:ascii="Arial"/>
                <w:sz w:val="21"/>
              </w:rPr>
            </w:pPr>
          </w:p>
          <w:p w14:paraId="70A06C38">
            <w:pPr>
              <w:spacing w:line="244" w:lineRule="auto"/>
              <w:rPr>
                <w:rFonts w:ascii="Arial"/>
                <w:sz w:val="21"/>
              </w:rPr>
            </w:pPr>
          </w:p>
          <w:p w14:paraId="5505A64A">
            <w:pPr>
              <w:spacing w:line="244" w:lineRule="auto"/>
              <w:rPr>
                <w:rFonts w:ascii="Arial"/>
                <w:sz w:val="21"/>
              </w:rPr>
            </w:pPr>
          </w:p>
          <w:p w14:paraId="34A65E27">
            <w:pPr>
              <w:spacing w:line="244" w:lineRule="auto"/>
              <w:rPr>
                <w:rFonts w:ascii="Arial"/>
                <w:sz w:val="21"/>
              </w:rPr>
            </w:pPr>
          </w:p>
          <w:p w14:paraId="38B77585">
            <w:pPr>
              <w:spacing w:line="244" w:lineRule="auto"/>
              <w:rPr>
                <w:rFonts w:ascii="Arial"/>
                <w:sz w:val="21"/>
              </w:rPr>
            </w:pPr>
          </w:p>
          <w:p w14:paraId="26C46F3E">
            <w:pPr>
              <w:spacing w:line="244" w:lineRule="auto"/>
              <w:rPr>
                <w:rFonts w:ascii="Arial"/>
                <w:sz w:val="21"/>
              </w:rPr>
            </w:pPr>
          </w:p>
          <w:p w14:paraId="40946212">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2F756AD6">
            <w:pPr>
              <w:pStyle w:val="6"/>
              <w:spacing w:before="216"/>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64ABCEE5">
            <w:pPr>
              <w:spacing w:line="243" w:lineRule="auto"/>
              <w:rPr>
                <w:rFonts w:ascii="Arial"/>
                <w:sz w:val="21"/>
              </w:rPr>
            </w:pPr>
          </w:p>
          <w:p w14:paraId="2CED1A6D">
            <w:pPr>
              <w:spacing w:line="243" w:lineRule="auto"/>
              <w:rPr>
                <w:rFonts w:ascii="Arial"/>
                <w:sz w:val="21"/>
              </w:rPr>
            </w:pPr>
          </w:p>
          <w:p w14:paraId="26129E70">
            <w:pPr>
              <w:spacing w:line="243" w:lineRule="auto"/>
              <w:rPr>
                <w:rFonts w:ascii="Arial"/>
                <w:sz w:val="21"/>
              </w:rPr>
            </w:pPr>
          </w:p>
          <w:p w14:paraId="3646EECC">
            <w:pPr>
              <w:spacing w:line="243" w:lineRule="auto"/>
              <w:rPr>
                <w:rFonts w:ascii="Arial"/>
                <w:sz w:val="21"/>
              </w:rPr>
            </w:pPr>
          </w:p>
          <w:p w14:paraId="22729A2C">
            <w:pPr>
              <w:spacing w:line="243" w:lineRule="auto"/>
              <w:rPr>
                <w:rFonts w:ascii="Arial"/>
                <w:sz w:val="21"/>
              </w:rPr>
            </w:pPr>
          </w:p>
          <w:p w14:paraId="04A30C78">
            <w:pPr>
              <w:spacing w:line="243" w:lineRule="auto"/>
              <w:rPr>
                <w:rFonts w:ascii="Arial"/>
                <w:sz w:val="21"/>
              </w:rPr>
            </w:pPr>
          </w:p>
          <w:p w14:paraId="14C51895">
            <w:pPr>
              <w:spacing w:line="243" w:lineRule="auto"/>
              <w:rPr>
                <w:rFonts w:ascii="Arial"/>
                <w:sz w:val="21"/>
              </w:rPr>
            </w:pPr>
          </w:p>
          <w:p w14:paraId="3BBE4AA6">
            <w:pPr>
              <w:spacing w:line="243" w:lineRule="auto"/>
              <w:rPr>
                <w:rFonts w:ascii="Arial"/>
                <w:sz w:val="21"/>
              </w:rPr>
            </w:pPr>
          </w:p>
          <w:p w14:paraId="67B0383B">
            <w:pPr>
              <w:spacing w:line="243" w:lineRule="auto"/>
              <w:rPr>
                <w:rFonts w:ascii="Arial"/>
                <w:sz w:val="21"/>
              </w:rPr>
            </w:pPr>
          </w:p>
          <w:p w14:paraId="0651B6CA">
            <w:pPr>
              <w:spacing w:line="243" w:lineRule="auto"/>
              <w:rPr>
                <w:rFonts w:ascii="Arial"/>
                <w:sz w:val="21"/>
              </w:rPr>
            </w:pPr>
          </w:p>
          <w:p w14:paraId="1B3324C1">
            <w:pPr>
              <w:spacing w:line="243" w:lineRule="auto"/>
              <w:rPr>
                <w:rFonts w:ascii="Arial"/>
                <w:sz w:val="21"/>
              </w:rPr>
            </w:pPr>
          </w:p>
          <w:p w14:paraId="2CE9A583">
            <w:pPr>
              <w:spacing w:line="243" w:lineRule="auto"/>
              <w:rPr>
                <w:rFonts w:ascii="Arial"/>
                <w:sz w:val="21"/>
              </w:rPr>
            </w:pPr>
          </w:p>
          <w:p w14:paraId="01936050">
            <w:pPr>
              <w:spacing w:line="243" w:lineRule="auto"/>
              <w:rPr>
                <w:rFonts w:ascii="Arial"/>
                <w:sz w:val="21"/>
              </w:rPr>
            </w:pPr>
          </w:p>
          <w:p w14:paraId="11D6FEB1">
            <w:pPr>
              <w:spacing w:line="243" w:lineRule="auto"/>
              <w:rPr>
                <w:rFonts w:ascii="Arial"/>
                <w:sz w:val="21"/>
              </w:rPr>
            </w:pPr>
          </w:p>
          <w:p w14:paraId="2C99D1FE">
            <w:pPr>
              <w:spacing w:line="243" w:lineRule="auto"/>
              <w:rPr>
                <w:rFonts w:ascii="Arial"/>
                <w:sz w:val="21"/>
              </w:rPr>
            </w:pPr>
          </w:p>
          <w:p w14:paraId="247729CF">
            <w:pPr>
              <w:spacing w:line="243" w:lineRule="auto"/>
              <w:rPr>
                <w:rFonts w:ascii="Arial"/>
                <w:sz w:val="21"/>
              </w:rPr>
            </w:pPr>
          </w:p>
          <w:p w14:paraId="3D021221">
            <w:pPr>
              <w:spacing w:line="243" w:lineRule="auto"/>
              <w:rPr>
                <w:rFonts w:ascii="Arial"/>
                <w:sz w:val="21"/>
              </w:rPr>
            </w:pPr>
          </w:p>
          <w:p w14:paraId="7E15A2D8">
            <w:pPr>
              <w:spacing w:line="243" w:lineRule="auto"/>
              <w:rPr>
                <w:rFonts w:ascii="Arial"/>
                <w:sz w:val="21"/>
              </w:rPr>
            </w:pPr>
          </w:p>
          <w:p w14:paraId="5B15857C">
            <w:pPr>
              <w:spacing w:line="243" w:lineRule="auto"/>
              <w:rPr>
                <w:rFonts w:ascii="Arial"/>
                <w:sz w:val="21"/>
              </w:rPr>
            </w:pPr>
          </w:p>
          <w:p w14:paraId="042341A1">
            <w:pPr>
              <w:pStyle w:val="6"/>
              <w:spacing w:before="65" w:line="252" w:lineRule="auto"/>
              <w:ind w:left="111" w:right="111" w:firstLine="3"/>
            </w:pPr>
            <w:r>
              <w:rPr>
                <w:spacing w:val="6"/>
              </w:rPr>
              <w:t>投标报价</w:t>
            </w:r>
            <w:r>
              <w:rPr>
                <w:spacing w:val="7"/>
              </w:rPr>
              <w:t>评分标准</w:t>
            </w:r>
          </w:p>
        </w:tc>
        <w:tc>
          <w:tcPr>
            <w:tcW w:w="2084" w:type="dxa"/>
            <w:vAlign w:val="top"/>
          </w:tcPr>
          <w:p w14:paraId="20CB10C2">
            <w:pPr>
              <w:spacing w:line="307" w:lineRule="auto"/>
              <w:rPr>
                <w:rFonts w:ascii="Arial"/>
                <w:sz w:val="21"/>
              </w:rPr>
            </w:pPr>
          </w:p>
          <w:p w14:paraId="52228C27">
            <w:pPr>
              <w:spacing w:line="307" w:lineRule="auto"/>
              <w:rPr>
                <w:rFonts w:ascii="Arial"/>
                <w:sz w:val="21"/>
              </w:rPr>
            </w:pPr>
          </w:p>
          <w:p w14:paraId="7C421F0D">
            <w:pPr>
              <w:pStyle w:val="6"/>
              <w:spacing w:before="65" w:line="226" w:lineRule="auto"/>
              <w:ind w:left="112"/>
            </w:pPr>
            <w:r>
              <w:rPr>
                <w:spacing w:val="8"/>
              </w:rPr>
              <w:t>计算投标报价得分</w:t>
            </w:r>
          </w:p>
        </w:tc>
        <w:tc>
          <w:tcPr>
            <w:tcW w:w="735" w:type="dxa"/>
            <w:vAlign w:val="top"/>
          </w:tcPr>
          <w:p w14:paraId="277A9F28">
            <w:pPr>
              <w:spacing w:line="307" w:lineRule="auto"/>
              <w:rPr>
                <w:rFonts w:ascii="Arial"/>
                <w:sz w:val="21"/>
              </w:rPr>
            </w:pPr>
          </w:p>
          <w:p w14:paraId="75B75ED0">
            <w:pPr>
              <w:spacing w:line="307" w:lineRule="auto"/>
              <w:rPr>
                <w:rFonts w:ascii="Arial"/>
                <w:sz w:val="21"/>
              </w:rPr>
            </w:pPr>
          </w:p>
          <w:p w14:paraId="2DA28083">
            <w:pPr>
              <w:pStyle w:val="6"/>
              <w:spacing w:before="65" w:line="228" w:lineRule="auto"/>
              <w:ind w:left="140"/>
            </w:pPr>
            <w:r>
              <w:rPr>
                <w:spacing w:val="-2"/>
              </w:rPr>
              <w:t>70</w:t>
            </w:r>
            <w:r>
              <w:rPr>
                <w:spacing w:val="-34"/>
              </w:rPr>
              <w:t xml:space="preserve"> </w:t>
            </w:r>
            <w:r>
              <w:rPr>
                <w:spacing w:val="-2"/>
              </w:rPr>
              <w:t>分</w:t>
            </w:r>
          </w:p>
        </w:tc>
        <w:tc>
          <w:tcPr>
            <w:tcW w:w="4562" w:type="dxa"/>
            <w:vAlign w:val="top"/>
          </w:tcPr>
          <w:p w14:paraId="6684490C">
            <w:pPr>
              <w:pStyle w:val="6"/>
              <w:spacing w:before="141" w:line="250" w:lineRule="auto"/>
              <w:ind w:left="115" w:right="148" w:hanging="5"/>
            </w:pPr>
            <w:r>
              <w:rPr>
                <w:spacing w:val="7"/>
              </w:rPr>
              <w:t>F＝70-（投标人评标价-评标基准价）</w:t>
            </w:r>
            <w:r>
              <w:rPr>
                <w:spacing w:val="-60"/>
              </w:rPr>
              <w:t xml:space="preserve"> </w:t>
            </w:r>
            <w:r>
              <w:rPr>
                <w:spacing w:val="6"/>
              </w:rPr>
              <w:t>÷评标基</w:t>
            </w:r>
            <w:r>
              <w:rPr>
                <w:spacing w:val="7"/>
              </w:rPr>
              <w:t>准价×100×3   （评标价＞基准价时）</w:t>
            </w:r>
          </w:p>
          <w:p w14:paraId="359342F2">
            <w:pPr>
              <w:pStyle w:val="6"/>
              <w:spacing w:before="1" w:line="252" w:lineRule="auto"/>
              <w:ind w:left="115" w:right="148" w:hanging="5"/>
            </w:pPr>
            <w:r>
              <w:rPr>
                <w:spacing w:val="6"/>
              </w:rPr>
              <w:t>F＝70-（评标基准价-投标人评标价）</w:t>
            </w:r>
            <w:r>
              <w:rPr>
                <w:spacing w:val="-41"/>
              </w:rPr>
              <w:t xml:space="preserve"> </w:t>
            </w:r>
            <w:r>
              <w:rPr>
                <w:spacing w:val="6"/>
              </w:rPr>
              <w:t>÷评标基</w:t>
            </w:r>
            <w:r>
              <w:rPr>
                <w:spacing w:val="7"/>
              </w:rPr>
              <w:t>准价×100×2   （评标价≤基准价时）</w:t>
            </w:r>
          </w:p>
          <w:p w14:paraId="7E2DA5B3">
            <w:pPr>
              <w:pStyle w:val="6"/>
              <w:spacing w:line="228" w:lineRule="auto"/>
              <w:ind w:left="114"/>
            </w:pPr>
            <w:r>
              <w:rPr>
                <w:spacing w:val="5"/>
              </w:rPr>
              <w:t>其中：</w:t>
            </w:r>
            <w:r>
              <w:rPr>
                <w:rFonts w:ascii="Times New Roman" w:hAnsi="Times New Roman" w:eastAsia="Times New Roman" w:cs="Times New Roman"/>
                <w:spacing w:val="5"/>
              </w:rPr>
              <w:t>F</w:t>
            </w:r>
            <w:r>
              <w:rPr>
                <w:spacing w:val="5"/>
              </w:rPr>
              <w:t>≥</w:t>
            </w:r>
            <w:r>
              <w:rPr>
                <w:rFonts w:ascii="Times New Roman" w:hAnsi="Times New Roman" w:eastAsia="Times New Roman" w:cs="Times New Roman"/>
                <w:spacing w:val="5"/>
              </w:rPr>
              <w:t>0</w:t>
            </w:r>
            <w:r>
              <w:rPr>
                <w:spacing w:val="5"/>
              </w:rPr>
              <w:t>。</w:t>
            </w:r>
          </w:p>
        </w:tc>
      </w:tr>
      <w:tr w14:paraId="4B224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4" w:hRule="atLeast"/>
        </w:trPr>
        <w:tc>
          <w:tcPr>
            <w:tcW w:w="745" w:type="dxa"/>
            <w:vMerge w:val="continue"/>
            <w:tcBorders>
              <w:top w:val="nil"/>
              <w:bottom w:val="nil"/>
            </w:tcBorders>
            <w:vAlign w:val="top"/>
          </w:tcPr>
          <w:p w14:paraId="29797A7D">
            <w:pPr>
              <w:rPr>
                <w:rFonts w:ascii="Arial"/>
                <w:sz w:val="21"/>
              </w:rPr>
            </w:pPr>
          </w:p>
        </w:tc>
        <w:tc>
          <w:tcPr>
            <w:tcW w:w="1058" w:type="dxa"/>
            <w:vMerge w:val="continue"/>
            <w:tcBorders>
              <w:top w:val="nil"/>
              <w:bottom w:val="nil"/>
            </w:tcBorders>
            <w:vAlign w:val="top"/>
          </w:tcPr>
          <w:p w14:paraId="0DC81D9A">
            <w:pPr>
              <w:rPr>
                <w:rFonts w:ascii="Arial"/>
                <w:sz w:val="21"/>
              </w:rPr>
            </w:pPr>
          </w:p>
        </w:tc>
        <w:tc>
          <w:tcPr>
            <w:tcW w:w="2084" w:type="dxa"/>
            <w:vAlign w:val="top"/>
          </w:tcPr>
          <w:p w14:paraId="6AD6F269">
            <w:pPr>
              <w:spacing w:line="249" w:lineRule="auto"/>
              <w:rPr>
                <w:rFonts w:ascii="Arial"/>
                <w:sz w:val="21"/>
              </w:rPr>
            </w:pPr>
          </w:p>
          <w:p w14:paraId="0D2CB3A1">
            <w:pPr>
              <w:spacing w:line="250" w:lineRule="auto"/>
              <w:rPr>
                <w:rFonts w:ascii="Arial"/>
                <w:sz w:val="21"/>
              </w:rPr>
            </w:pPr>
          </w:p>
          <w:p w14:paraId="3E9AAC0F">
            <w:pPr>
              <w:spacing w:line="250" w:lineRule="auto"/>
              <w:rPr>
                <w:rFonts w:ascii="Arial"/>
                <w:sz w:val="21"/>
              </w:rPr>
            </w:pPr>
          </w:p>
          <w:p w14:paraId="3E9E2C6E">
            <w:pPr>
              <w:spacing w:line="250" w:lineRule="auto"/>
              <w:rPr>
                <w:rFonts w:ascii="Arial"/>
                <w:sz w:val="21"/>
              </w:rPr>
            </w:pPr>
          </w:p>
          <w:p w14:paraId="5889F63F">
            <w:pPr>
              <w:spacing w:line="250" w:lineRule="auto"/>
              <w:rPr>
                <w:rFonts w:ascii="Arial"/>
                <w:sz w:val="21"/>
              </w:rPr>
            </w:pPr>
          </w:p>
          <w:p w14:paraId="06B3D99D">
            <w:pPr>
              <w:spacing w:line="250" w:lineRule="auto"/>
              <w:rPr>
                <w:rFonts w:ascii="Arial"/>
                <w:sz w:val="21"/>
              </w:rPr>
            </w:pPr>
          </w:p>
          <w:p w14:paraId="458C52DF">
            <w:pPr>
              <w:spacing w:line="250" w:lineRule="auto"/>
              <w:rPr>
                <w:rFonts w:ascii="Arial"/>
                <w:sz w:val="21"/>
              </w:rPr>
            </w:pPr>
          </w:p>
          <w:p w14:paraId="73EF4A2E">
            <w:pPr>
              <w:pStyle w:val="6"/>
              <w:spacing w:before="65" w:line="226" w:lineRule="auto"/>
              <w:ind w:left="115"/>
            </w:pPr>
            <w:r>
              <w:rPr>
                <w:spacing w:val="8"/>
              </w:rPr>
              <w:t>不平衡报价扣分</w:t>
            </w:r>
          </w:p>
        </w:tc>
        <w:tc>
          <w:tcPr>
            <w:tcW w:w="735" w:type="dxa"/>
            <w:vAlign w:val="top"/>
          </w:tcPr>
          <w:p w14:paraId="56C39CAE">
            <w:pPr>
              <w:rPr>
                <w:rFonts w:ascii="Arial"/>
                <w:sz w:val="21"/>
              </w:rPr>
            </w:pPr>
          </w:p>
        </w:tc>
        <w:tc>
          <w:tcPr>
            <w:tcW w:w="4562" w:type="dxa"/>
            <w:vAlign w:val="top"/>
          </w:tcPr>
          <w:p w14:paraId="4295590B">
            <w:pPr>
              <w:pStyle w:val="6"/>
              <w:spacing w:before="194" w:line="251" w:lineRule="auto"/>
              <w:ind w:left="112" w:right="107" w:firstLine="28"/>
              <w:jc w:val="both"/>
            </w:pPr>
            <w:r>
              <w:rPr>
                <w:spacing w:val="7"/>
              </w:rPr>
              <w:t>〔单位工程投标报价-（暂列金额+税金）-（专</w:t>
            </w:r>
            <w:r>
              <w:rPr>
                <w:spacing w:val="-1"/>
              </w:rPr>
              <w:t>业工程暂估价+税金）〕低于（不含）〔单位工程</w:t>
            </w:r>
            <w:r>
              <w:rPr>
                <w:spacing w:val="9"/>
              </w:rPr>
              <w:t>招标控制价-（暂列金额+税金）-（专业</w:t>
            </w:r>
            <w:r>
              <w:rPr>
                <w:spacing w:val="8"/>
              </w:rPr>
              <w:t>工程暂</w:t>
            </w:r>
            <w:r>
              <w:rPr>
                <w:spacing w:val="-1"/>
              </w:rPr>
              <w:t>估价+税金）〕</w:t>
            </w:r>
            <w:r>
              <w:rPr>
                <w:spacing w:val="-1"/>
                <w:u w:val="single" w:color="auto"/>
              </w:rPr>
              <w:t xml:space="preserve">   H%</w:t>
            </w:r>
            <w:r>
              <w:rPr>
                <w:spacing w:val="8"/>
                <w:u w:val="single" w:color="auto"/>
              </w:rPr>
              <w:t xml:space="preserve">    </w:t>
            </w:r>
            <w:r>
              <w:rPr>
                <w:spacing w:val="-74"/>
              </w:rPr>
              <w:t xml:space="preserve"> </w:t>
            </w:r>
            <w:r>
              <w:rPr>
                <w:spacing w:val="-1"/>
              </w:rPr>
              <w:t>的,视为不平衡报价，每</w:t>
            </w:r>
            <w:r>
              <w:rPr>
                <w:spacing w:val="7"/>
              </w:rPr>
              <w:t>发现一项，扣</w:t>
            </w:r>
            <w:r>
              <w:rPr>
                <w:spacing w:val="-32"/>
              </w:rPr>
              <w:t xml:space="preserve"> </w:t>
            </w:r>
            <w:r>
              <w:rPr>
                <w:spacing w:val="7"/>
              </w:rPr>
              <w:t>5</w:t>
            </w:r>
            <w:r>
              <w:rPr>
                <w:spacing w:val="-36"/>
              </w:rPr>
              <w:t xml:space="preserve"> </w:t>
            </w:r>
            <w:r>
              <w:rPr>
                <w:spacing w:val="7"/>
              </w:rPr>
              <w:t>分，该项计分公式为：</w:t>
            </w:r>
          </w:p>
          <w:p w14:paraId="534CAA31">
            <w:pPr>
              <w:pStyle w:val="6"/>
              <w:spacing w:line="242" w:lineRule="auto"/>
              <w:ind w:left="424"/>
              <w:rPr>
                <w:sz w:val="10"/>
                <w:szCs w:val="10"/>
              </w:rPr>
            </w:pPr>
            <w:r>
              <w:rPr>
                <w:spacing w:val="-2"/>
              </w:rPr>
              <w:t>K</w:t>
            </w:r>
            <w:r>
              <w:rPr>
                <w:spacing w:val="19"/>
              </w:rPr>
              <w:t xml:space="preserve"> </w:t>
            </w:r>
            <w:r>
              <w:rPr>
                <w:spacing w:val="-2"/>
              </w:rPr>
              <w:t>=k</w:t>
            </w:r>
            <w:r>
              <w:rPr>
                <w:spacing w:val="-2"/>
                <w:position w:val="-2"/>
                <w:sz w:val="10"/>
                <w:szCs w:val="10"/>
              </w:rPr>
              <w:t>1</w:t>
            </w:r>
            <w:r>
              <w:rPr>
                <w:spacing w:val="7"/>
                <w:position w:val="-2"/>
                <w:sz w:val="10"/>
                <w:szCs w:val="10"/>
              </w:rPr>
              <w:t xml:space="preserve">  </w:t>
            </w:r>
            <w:r>
              <w:rPr>
                <w:spacing w:val="-2"/>
              </w:rPr>
              <w:t>+</w:t>
            </w:r>
            <w:r>
              <w:rPr>
                <w:spacing w:val="11"/>
              </w:rPr>
              <w:t xml:space="preserve"> </w:t>
            </w:r>
            <w:r>
              <w:rPr>
                <w:spacing w:val="-2"/>
              </w:rPr>
              <w:t>k</w:t>
            </w:r>
            <w:r>
              <w:rPr>
                <w:spacing w:val="-2"/>
                <w:position w:val="-2"/>
                <w:sz w:val="10"/>
                <w:szCs w:val="10"/>
              </w:rPr>
              <w:t>2</w:t>
            </w:r>
            <w:r>
              <w:rPr>
                <w:spacing w:val="12"/>
                <w:position w:val="-2"/>
                <w:sz w:val="10"/>
                <w:szCs w:val="10"/>
              </w:rPr>
              <w:t xml:space="preserve"> </w:t>
            </w:r>
            <w:r>
              <w:rPr>
                <w:spacing w:val="-2"/>
              </w:rPr>
              <w:t>+</w:t>
            </w:r>
            <w:r>
              <w:rPr>
                <w:spacing w:val="26"/>
              </w:rPr>
              <w:t xml:space="preserve"> </w:t>
            </w:r>
            <w:r>
              <w:rPr>
                <w:spacing w:val="-2"/>
              </w:rPr>
              <w:t>…</w:t>
            </w:r>
            <w:r>
              <w:rPr>
                <w:spacing w:val="16"/>
              </w:rPr>
              <w:t xml:space="preserve"> </w:t>
            </w:r>
            <w:r>
              <w:rPr>
                <w:spacing w:val="-2"/>
              </w:rPr>
              <w:t>+</w:t>
            </w:r>
            <w:r>
              <w:rPr>
                <w:spacing w:val="11"/>
              </w:rPr>
              <w:t xml:space="preserve"> </w:t>
            </w:r>
            <w:r>
              <w:rPr>
                <w:spacing w:val="-2"/>
              </w:rPr>
              <w:t>k</w:t>
            </w:r>
            <w:r>
              <w:rPr>
                <w:spacing w:val="-2"/>
                <w:position w:val="-2"/>
                <w:sz w:val="10"/>
                <w:szCs w:val="10"/>
              </w:rPr>
              <w:t>n</w:t>
            </w:r>
          </w:p>
          <w:p w14:paraId="25152A6F">
            <w:pPr>
              <w:pStyle w:val="6"/>
              <w:spacing w:before="8" w:line="228" w:lineRule="auto"/>
              <w:ind w:left="428"/>
            </w:pPr>
            <w:r>
              <w:rPr>
                <w:spacing w:val="5"/>
              </w:rPr>
              <w:t>其中:K</w:t>
            </w:r>
            <w:r>
              <w:rPr>
                <w:spacing w:val="-28"/>
              </w:rPr>
              <w:t xml:space="preserve"> </w:t>
            </w:r>
            <w:r>
              <w:rPr>
                <w:spacing w:val="5"/>
              </w:rPr>
              <w:t>为扣分合计；</w:t>
            </w:r>
          </w:p>
          <w:p w14:paraId="7AB43DD4">
            <w:pPr>
              <w:pStyle w:val="6"/>
              <w:spacing w:before="25" w:line="228" w:lineRule="auto"/>
              <w:ind w:left="951"/>
            </w:pPr>
            <w:r>
              <w:rPr>
                <w:spacing w:val="6"/>
              </w:rPr>
              <w:t>k</w:t>
            </w:r>
            <w:r>
              <w:rPr>
                <w:spacing w:val="-35"/>
              </w:rPr>
              <w:t xml:space="preserve"> </w:t>
            </w:r>
            <w:r>
              <w:rPr>
                <w:spacing w:val="6"/>
              </w:rPr>
              <w:t>为单次扣分分值；</w:t>
            </w:r>
          </w:p>
          <w:p w14:paraId="5C1AB8F5">
            <w:pPr>
              <w:pStyle w:val="6"/>
              <w:spacing w:before="25" w:line="228" w:lineRule="auto"/>
              <w:ind w:left="951"/>
            </w:pPr>
            <w:r>
              <w:rPr>
                <w:spacing w:val="5"/>
              </w:rPr>
              <w:t>n</w:t>
            </w:r>
            <w:r>
              <w:rPr>
                <w:spacing w:val="-36"/>
              </w:rPr>
              <w:t xml:space="preserve"> </w:t>
            </w:r>
            <w:r>
              <w:rPr>
                <w:spacing w:val="5"/>
              </w:rPr>
              <w:t>为扣分次数；</w:t>
            </w:r>
          </w:p>
          <w:p w14:paraId="6E180144">
            <w:pPr>
              <w:pStyle w:val="6"/>
              <w:spacing w:before="27" w:line="250" w:lineRule="auto"/>
              <w:ind w:left="120" w:right="148" w:firstLine="827"/>
            </w:pPr>
            <w:r>
              <w:rPr>
                <w:spacing w:val="6"/>
              </w:rPr>
              <w:t>H</w:t>
            </w:r>
            <w:r>
              <w:rPr>
                <w:spacing w:val="-23"/>
              </w:rPr>
              <w:t xml:space="preserve"> </w:t>
            </w:r>
            <w:r>
              <w:rPr>
                <w:spacing w:val="6"/>
              </w:rPr>
              <w:t>为不平衡报价系数。H</w:t>
            </w:r>
            <w:r>
              <w:rPr>
                <w:spacing w:val="-20"/>
              </w:rPr>
              <w:t xml:space="preserve"> </w:t>
            </w:r>
            <w:r>
              <w:rPr>
                <w:spacing w:val="6"/>
              </w:rPr>
              <w:t>的取值见第二</w:t>
            </w:r>
            <w:r>
              <w:rPr>
                <w:spacing w:val="4"/>
              </w:rPr>
              <w:t>章投标人须知前附表第</w:t>
            </w:r>
            <w:r>
              <w:rPr>
                <w:spacing w:val="-14"/>
              </w:rPr>
              <w:t xml:space="preserve"> </w:t>
            </w:r>
            <w:r>
              <w:rPr>
                <w:rFonts w:ascii="Times New Roman" w:hAnsi="Times New Roman" w:eastAsia="Times New Roman" w:cs="Times New Roman"/>
                <w:spacing w:val="4"/>
              </w:rPr>
              <w:t>10.2.2</w:t>
            </w:r>
            <w:r>
              <w:rPr>
                <w:rFonts w:ascii="Times New Roman" w:hAnsi="Times New Roman" w:eastAsia="Times New Roman" w:cs="Times New Roman"/>
                <w:spacing w:val="15"/>
                <w:w w:val="101"/>
              </w:rPr>
              <w:t xml:space="preserve"> </w:t>
            </w:r>
            <w:r>
              <w:rPr>
                <w:spacing w:val="4"/>
              </w:rPr>
              <w:t>项。</w:t>
            </w:r>
          </w:p>
          <w:p w14:paraId="2044F2D3">
            <w:pPr>
              <w:pStyle w:val="6"/>
              <w:spacing w:before="1" w:line="253" w:lineRule="auto"/>
              <w:ind w:left="130" w:right="109" w:hanging="15"/>
            </w:pPr>
            <w:r>
              <w:rPr>
                <w:spacing w:val="6"/>
              </w:rPr>
              <w:t>单位工程投标报价如有算术错误修正，以修正后的单位工程投标报价计算。</w:t>
            </w:r>
          </w:p>
        </w:tc>
      </w:tr>
      <w:tr w14:paraId="608C06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745" w:type="dxa"/>
            <w:vMerge w:val="continue"/>
            <w:tcBorders>
              <w:top w:val="nil"/>
              <w:bottom w:val="nil"/>
            </w:tcBorders>
            <w:vAlign w:val="top"/>
          </w:tcPr>
          <w:p w14:paraId="32B377F1">
            <w:pPr>
              <w:rPr>
                <w:rFonts w:ascii="Arial"/>
                <w:sz w:val="21"/>
              </w:rPr>
            </w:pPr>
          </w:p>
        </w:tc>
        <w:tc>
          <w:tcPr>
            <w:tcW w:w="1058" w:type="dxa"/>
            <w:vMerge w:val="continue"/>
            <w:tcBorders>
              <w:top w:val="nil"/>
              <w:bottom w:val="nil"/>
            </w:tcBorders>
            <w:vAlign w:val="top"/>
          </w:tcPr>
          <w:p w14:paraId="216B297D">
            <w:pPr>
              <w:rPr>
                <w:rFonts w:ascii="Arial"/>
                <w:sz w:val="21"/>
              </w:rPr>
            </w:pPr>
          </w:p>
        </w:tc>
        <w:tc>
          <w:tcPr>
            <w:tcW w:w="2084" w:type="dxa"/>
            <w:vAlign w:val="top"/>
          </w:tcPr>
          <w:p w14:paraId="5BEFBCBC">
            <w:pPr>
              <w:pStyle w:val="6"/>
              <w:spacing w:before="207" w:line="226" w:lineRule="auto"/>
              <w:ind w:left="115"/>
            </w:pPr>
            <w:r>
              <w:rPr>
                <w:spacing w:val="7"/>
              </w:rPr>
              <w:t>投标报价得分</w:t>
            </w:r>
          </w:p>
        </w:tc>
        <w:tc>
          <w:tcPr>
            <w:tcW w:w="735" w:type="dxa"/>
            <w:vAlign w:val="top"/>
          </w:tcPr>
          <w:p w14:paraId="4C81263A">
            <w:pPr>
              <w:rPr>
                <w:rFonts w:ascii="Arial"/>
                <w:sz w:val="21"/>
              </w:rPr>
            </w:pPr>
          </w:p>
        </w:tc>
        <w:tc>
          <w:tcPr>
            <w:tcW w:w="4562" w:type="dxa"/>
            <w:vAlign w:val="top"/>
          </w:tcPr>
          <w:p w14:paraId="47A76C78">
            <w:pPr>
              <w:pStyle w:val="6"/>
              <w:spacing w:before="170" w:line="281" w:lineRule="exact"/>
              <w:ind w:left="108"/>
            </w:pPr>
            <w:r>
              <w:rPr>
                <w:rFonts w:ascii="Times New Roman" w:hAnsi="Times New Roman" w:eastAsia="Times New Roman" w:cs="Times New Roman"/>
                <w:spacing w:val="5"/>
                <w:position w:val="1"/>
              </w:rPr>
              <w:t>M = F – K</w:t>
            </w:r>
            <w:r>
              <w:rPr>
                <w:rFonts w:ascii="Times New Roman" w:hAnsi="Times New Roman" w:eastAsia="Times New Roman" w:cs="Times New Roman"/>
                <w:spacing w:val="3"/>
                <w:position w:val="1"/>
              </w:rPr>
              <w:t xml:space="preserve">            </w:t>
            </w:r>
            <w:r>
              <w:rPr>
                <w:spacing w:val="5"/>
                <w:position w:val="1"/>
              </w:rPr>
              <w:t>其中：</w:t>
            </w:r>
            <w:r>
              <w:rPr>
                <w:rFonts w:ascii="Times New Roman" w:hAnsi="Times New Roman" w:eastAsia="Times New Roman" w:cs="Times New Roman"/>
                <w:spacing w:val="5"/>
                <w:position w:val="1"/>
              </w:rPr>
              <w:t>M</w:t>
            </w:r>
            <w:r>
              <w:rPr>
                <w:spacing w:val="5"/>
                <w:position w:val="1"/>
              </w:rPr>
              <w:t>≥</w:t>
            </w:r>
            <w:r>
              <w:rPr>
                <w:rFonts w:ascii="Times New Roman" w:hAnsi="Times New Roman" w:eastAsia="Times New Roman" w:cs="Times New Roman"/>
                <w:spacing w:val="5"/>
                <w:position w:val="1"/>
              </w:rPr>
              <w:t>0</w:t>
            </w:r>
            <w:r>
              <w:rPr>
                <w:spacing w:val="5"/>
                <w:position w:val="1"/>
              </w:rPr>
              <w:t>。</w:t>
            </w:r>
          </w:p>
        </w:tc>
      </w:tr>
      <w:tr w14:paraId="0066C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9" w:hRule="atLeast"/>
        </w:trPr>
        <w:tc>
          <w:tcPr>
            <w:tcW w:w="745" w:type="dxa"/>
            <w:vMerge w:val="continue"/>
            <w:tcBorders>
              <w:top w:val="nil"/>
            </w:tcBorders>
            <w:vAlign w:val="top"/>
          </w:tcPr>
          <w:p w14:paraId="440D158C">
            <w:pPr>
              <w:rPr>
                <w:rFonts w:ascii="Arial"/>
                <w:sz w:val="21"/>
              </w:rPr>
            </w:pPr>
          </w:p>
        </w:tc>
        <w:tc>
          <w:tcPr>
            <w:tcW w:w="1058" w:type="dxa"/>
            <w:vMerge w:val="continue"/>
            <w:tcBorders>
              <w:top w:val="nil"/>
            </w:tcBorders>
            <w:vAlign w:val="top"/>
          </w:tcPr>
          <w:p w14:paraId="4B58C2CA">
            <w:pPr>
              <w:rPr>
                <w:rFonts w:ascii="Arial"/>
                <w:sz w:val="21"/>
              </w:rPr>
            </w:pPr>
          </w:p>
        </w:tc>
        <w:tc>
          <w:tcPr>
            <w:tcW w:w="2084" w:type="dxa"/>
            <w:vAlign w:val="top"/>
          </w:tcPr>
          <w:p w14:paraId="412736BE">
            <w:pPr>
              <w:rPr>
                <w:rFonts w:ascii="Arial"/>
                <w:sz w:val="21"/>
              </w:rPr>
            </w:pPr>
          </w:p>
          <w:p w14:paraId="23726549">
            <w:pPr>
              <w:rPr>
                <w:rFonts w:ascii="Arial"/>
                <w:sz w:val="21"/>
              </w:rPr>
            </w:pPr>
          </w:p>
          <w:p w14:paraId="69EE1CC5">
            <w:pPr>
              <w:rPr>
                <w:rFonts w:ascii="Arial"/>
                <w:sz w:val="21"/>
              </w:rPr>
            </w:pPr>
          </w:p>
          <w:p w14:paraId="6BE80B47">
            <w:pPr>
              <w:rPr>
                <w:rFonts w:ascii="Arial"/>
                <w:sz w:val="21"/>
              </w:rPr>
            </w:pPr>
          </w:p>
          <w:p w14:paraId="2734C6FD">
            <w:pPr>
              <w:rPr>
                <w:rFonts w:ascii="Arial"/>
                <w:sz w:val="21"/>
              </w:rPr>
            </w:pPr>
          </w:p>
          <w:p w14:paraId="7EB89410">
            <w:pPr>
              <w:spacing w:line="241" w:lineRule="auto"/>
              <w:rPr>
                <w:rFonts w:ascii="Arial"/>
                <w:sz w:val="21"/>
              </w:rPr>
            </w:pPr>
          </w:p>
          <w:p w14:paraId="48325805">
            <w:pPr>
              <w:spacing w:line="241" w:lineRule="auto"/>
              <w:rPr>
                <w:rFonts w:ascii="Arial"/>
                <w:sz w:val="21"/>
              </w:rPr>
            </w:pPr>
          </w:p>
          <w:p w14:paraId="2811CF4D">
            <w:pPr>
              <w:spacing w:line="241" w:lineRule="auto"/>
              <w:rPr>
                <w:rFonts w:ascii="Arial"/>
                <w:sz w:val="21"/>
              </w:rPr>
            </w:pPr>
          </w:p>
          <w:p w14:paraId="2F07032B">
            <w:pPr>
              <w:spacing w:line="241" w:lineRule="auto"/>
              <w:rPr>
                <w:rFonts w:ascii="Arial"/>
                <w:sz w:val="21"/>
              </w:rPr>
            </w:pPr>
          </w:p>
          <w:p w14:paraId="7858B336">
            <w:pPr>
              <w:spacing w:line="241" w:lineRule="auto"/>
              <w:rPr>
                <w:rFonts w:ascii="Arial"/>
                <w:sz w:val="21"/>
              </w:rPr>
            </w:pPr>
          </w:p>
          <w:p w14:paraId="3900D106">
            <w:pPr>
              <w:pStyle w:val="6"/>
              <w:spacing w:before="65" w:line="251" w:lineRule="auto"/>
              <w:ind w:left="112" w:right="716" w:hanging="1"/>
            </w:pPr>
            <w:r>
              <w:rPr>
                <w:spacing w:val="8"/>
              </w:rPr>
              <w:t>政府采购工程价格评审优惠</w:t>
            </w:r>
          </w:p>
        </w:tc>
        <w:tc>
          <w:tcPr>
            <w:tcW w:w="735" w:type="dxa"/>
            <w:vAlign w:val="top"/>
          </w:tcPr>
          <w:p w14:paraId="07ED322E">
            <w:pPr>
              <w:rPr>
                <w:rFonts w:ascii="Arial"/>
                <w:sz w:val="21"/>
              </w:rPr>
            </w:pPr>
          </w:p>
        </w:tc>
        <w:tc>
          <w:tcPr>
            <w:tcW w:w="4562" w:type="dxa"/>
            <w:vAlign w:val="top"/>
          </w:tcPr>
          <w:p w14:paraId="4C3DB418">
            <w:pPr>
              <w:pStyle w:val="6"/>
              <w:spacing w:before="34" w:line="227" w:lineRule="auto"/>
              <w:ind w:left="112"/>
            </w:pPr>
            <w:r>
              <w:rPr>
                <w:spacing w:val="9"/>
              </w:rPr>
              <w:t>对项目未预留份额专门面向中小企业采购的</w:t>
            </w:r>
          </w:p>
          <w:p w14:paraId="26CF6981">
            <w:pPr>
              <w:pStyle w:val="6"/>
              <w:spacing w:before="24" w:line="252"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p w14:paraId="04E7FE75">
            <w:pPr>
              <w:pStyle w:val="6"/>
              <w:spacing w:line="228" w:lineRule="auto"/>
              <w:ind w:left="549"/>
            </w:pPr>
            <w:r>
              <w:rPr>
                <w:spacing w:val="3"/>
              </w:rPr>
              <w:t>即</w:t>
            </w:r>
            <w:r>
              <w:rPr>
                <w:spacing w:val="-38"/>
              </w:rPr>
              <w:t xml:space="preserve"> </w:t>
            </w:r>
            <w:r>
              <w:rPr>
                <w:spacing w:val="3"/>
              </w:rPr>
              <w:t>S= M×（1+P%）</w:t>
            </w:r>
          </w:p>
          <w:p w14:paraId="68D6992D">
            <w:pPr>
              <w:pStyle w:val="6"/>
              <w:spacing w:before="24" w:line="251"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5A704C77">
            <w:pPr>
              <w:pStyle w:val="6"/>
              <w:spacing w:before="2" w:line="253" w:lineRule="auto"/>
              <w:ind w:left="116" w:right="107" w:firstLine="420"/>
            </w:pPr>
            <w:r>
              <w:rPr>
                <w:spacing w:val="5"/>
              </w:rPr>
              <w:t>如招标人接受联合体，联合体各方均为小微</w:t>
            </w:r>
            <w:r>
              <w:rPr>
                <w:spacing w:val="8"/>
              </w:rPr>
              <w:t>企业的，联合体视同小微企业。</w:t>
            </w:r>
          </w:p>
          <w:p w14:paraId="10BD4AA8">
            <w:pPr>
              <w:pStyle w:val="6"/>
              <w:spacing w:before="267"/>
              <w:ind w:left="114" w:right="107" w:firstLine="1"/>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p>
        </w:tc>
      </w:tr>
    </w:tbl>
    <w:p w14:paraId="36ED63B3">
      <w:pPr>
        <w:rPr>
          <w:rFonts w:ascii="Arial"/>
          <w:sz w:val="21"/>
        </w:rPr>
      </w:pPr>
    </w:p>
    <w:p w14:paraId="590E380A">
      <w:pPr>
        <w:rPr>
          <w:rFonts w:ascii="Arial" w:hAnsi="Arial" w:eastAsia="Arial" w:cs="Arial"/>
          <w:sz w:val="21"/>
          <w:szCs w:val="21"/>
        </w:rPr>
        <w:sectPr>
          <w:footerReference r:id="rId82" w:type="default"/>
          <w:pgSz w:w="11907" w:h="16840"/>
          <w:pgMar w:top="400" w:right="1248" w:bottom="1035" w:left="1469" w:header="0" w:footer="785" w:gutter="0"/>
          <w:cols w:space="720" w:num="1"/>
        </w:sectPr>
      </w:pPr>
    </w:p>
    <w:p w14:paraId="09668090">
      <w:pPr>
        <w:spacing w:before="19"/>
      </w:pPr>
    </w:p>
    <w:p w14:paraId="087780EE">
      <w:pPr>
        <w:spacing w:before="19"/>
      </w:pPr>
    </w:p>
    <w:p w14:paraId="7BDF74A4">
      <w:pPr>
        <w:spacing w:before="19"/>
      </w:pPr>
    </w:p>
    <w:p w14:paraId="494FD162">
      <w:pPr>
        <w:spacing w:before="18"/>
      </w:pPr>
    </w:p>
    <w:p w14:paraId="1E6EF0D8">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12B21D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6" w:hRule="atLeast"/>
        </w:trPr>
        <w:tc>
          <w:tcPr>
            <w:tcW w:w="745" w:type="dxa"/>
            <w:vMerge w:val="restart"/>
            <w:tcBorders>
              <w:bottom w:val="nil"/>
            </w:tcBorders>
            <w:vAlign w:val="top"/>
          </w:tcPr>
          <w:p w14:paraId="3BAB9480">
            <w:pPr>
              <w:rPr>
                <w:rFonts w:ascii="Arial"/>
                <w:sz w:val="21"/>
              </w:rPr>
            </w:pPr>
          </w:p>
        </w:tc>
        <w:tc>
          <w:tcPr>
            <w:tcW w:w="1058" w:type="dxa"/>
            <w:vMerge w:val="restart"/>
            <w:tcBorders>
              <w:bottom w:val="nil"/>
            </w:tcBorders>
            <w:vAlign w:val="top"/>
          </w:tcPr>
          <w:p w14:paraId="64FED01E">
            <w:pPr>
              <w:rPr>
                <w:rFonts w:ascii="Arial"/>
                <w:sz w:val="21"/>
              </w:rPr>
            </w:pPr>
          </w:p>
        </w:tc>
        <w:tc>
          <w:tcPr>
            <w:tcW w:w="2084" w:type="dxa"/>
            <w:vAlign w:val="top"/>
          </w:tcPr>
          <w:p w14:paraId="16A9F0F5">
            <w:pPr>
              <w:rPr>
                <w:rFonts w:ascii="Arial"/>
                <w:sz w:val="21"/>
              </w:rPr>
            </w:pPr>
          </w:p>
        </w:tc>
        <w:tc>
          <w:tcPr>
            <w:tcW w:w="735" w:type="dxa"/>
            <w:vAlign w:val="top"/>
          </w:tcPr>
          <w:p w14:paraId="25751B8C">
            <w:pPr>
              <w:rPr>
                <w:rFonts w:ascii="Arial"/>
                <w:sz w:val="21"/>
              </w:rPr>
            </w:pPr>
          </w:p>
        </w:tc>
        <w:tc>
          <w:tcPr>
            <w:tcW w:w="4562" w:type="dxa"/>
            <w:vAlign w:val="top"/>
          </w:tcPr>
          <w:p w14:paraId="06B841E7">
            <w:pPr>
              <w:pStyle w:val="6"/>
              <w:spacing w:before="36"/>
              <w:ind w:left="113" w:right="109" w:firstLine="21"/>
              <w:jc w:val="both"/>
            </w:pPr>
            <w:r>
              <w:rPr>
                <w:spacing w:val="15"/>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1EA1CF21">
            <w:pPr>
              <w:pStyle w:val="6"/>
              <w:spacing w:line="281" w:lineRule="exact"/>
              <w:ind w:left="549"/>
            </w:pPr>
            <w:r>
              <w:rPr>
                <w:spacing w:val="3"/>
                <w:position w:val="2"/>
              </w:rPr>
              <w:t>即</w:t>
            </w:r>
            <w:r>
              <w:rPr>
                <w:spacing w:val="-36"/>
                <w:position w:val="2"/>
              </w:rPr>
              <w:t xml:space="preserve"> </w:t>
            </w:r>
            <w:r>
              <w:rPr>
                <w:spacing w:val="3"/>
                <w:position w:val="2"/>
              </w:rPr>
              <w:t>S</w:t>
            </w:r>
            <w:r>
              <w:rPr>
                <w:rFonts w:ascii="Times New Roman" w:hAnsi="Times New Roman" w:eastAsia="Times New Roman" w:cs="Times New Roman"/>
                <w:spacing w:val="3"/>
                <w:position w:val="2"/>
              </w:rPr>
              <w:t>= M</w:t>
            </w:r>
            <w:r>
              <w:rPr>
                <w:spacing w:val="3"/>
                <w:position w:val="2"/>
              </w:rPr>
              <w:t>×（1+Q%）</w:t>
            </w:r>
          </w:p>
          <w:p w14:paraId="21C01D36">
            <w:pPr>
              <w:pStyle w:val="6"/>
              <w:spacing w:before="26" w:line="253"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4B62E436">
            <w:pPr>
              <w:pStyle w:val="6"/>
              <w:spacing w:before="269" w:line="239" w:lineRule="auto"/>
              <w:ind w:left="113" w:right="107" w:firstLine="4"/>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r w14:paraId="05D251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745" w:type="dxa"/>
            <w:vMerge w:val="continue"/>
            <w:tcBorders>
              <w:top w:val="nil"/>
            </w:tcBorders>
            <w:vAlign w:val="top"/>
          </w:tcPr>
          <w:p w14:paraId="4B04F392">
            <w:pPr>
              <w:rPr>
                <w:rFonts w:ascii="Arial"/>
                <w:sz w:val="21"/>
              </w:rPr>
            </w:pPr>
          </w:p>
        </w:tc>
        <w:tc>
          <w:tcPr>
            <w:tcW w:w="1058" w:type="dxa"/>
            <w:vMerge w:val="continue"/>
            <w:tcBorders>
              <w:top w:val="nil"/>
            </w:tcBorders>
            <w:vAlign w:val="top"/>
          </w:tcPr>
          <w:p w14:paraId="2406B30A">
            <w:pPr>
              <w:rPr>
                <w:rFonts w:ascii="Arial"/>
                <w:sz w:val="21"/>
              </w:rPr>
            </w:pPr>
          </w:p>
        </w:tc>
        <w:tc>
          <w:tcPr>
            <w:tcW w:w="2084" w:type="dxa"/>
            <w:vAlign w:val="top"/>
          </w:tcPr>
          <w:p w14:paraId="04AB6D91">
            <w:pPr>
              <w:pStyle w:val="6"/>
              <w:spacing w:before="205" w:line="226" w:lineRule="auto"/>
              <w:ind w:left="115"/>
            </w:pPr>
            <w:r>
              <w:rPr>
                <w:spacing w:val="8"/>
              </w:rPr>
              <w:t>投标报价最终得分</w:t>
            </w:r>
          </w:p>
        </w:tc>
        <w:tc>
          <w:tcPr>
            <w:tcW w:w="735" w:type="dxa"/>
            <w:vAlign w:val="top"/>
          </w:tcPr>
          <w:p w14:paraId="01CAA2B5">
            <w:pPr>
              <w:rPr>
                <w:rFonts w:ascii="Arial"/>
                <w:sz w:val="21"/>
              </w:rPr>
            </w:pPr>
          </w:p>
        </w:tc>
        <w:tc>
          <w:tcPr>
            <w:tcW w:w="4562" w:type="dxa"/>
            <w:vAlign w:val="top"/>
          </w:tcPr>
          <w:p w14:paraId="5BE8B35B">
            <w:pPr>
              <w:pStyle w:val="6"/>
              <w:spacing w:before="168" w:line="281" w:lineRule="exact"/>
              <w:ind w:left="114"/>
            </w:pPr>
            <w:r>
              <w:rPr>
                <w:spacing w:val="5"/>
                <w:position w:val="1"/>
              </w:rPr>
              <w:t>S</w:t>
            </w:r>
            <w:r>
              <w:rPr>
                <w:rFonts w:ascii="Times New Roman" w:hAnsi="Times New Roman" w:eastAsia="Times New Roman" w:cs="Times New Roman"/>
                <w:spacing w:val="5"/>
                <w:position w:val="1"/>
              </w:rPr>
              <w:t>= M</w:t>
            </w:r>
            <w:r>
              <w:rPr>
                <w:spacing w:val="5"/>
                <w:position w:val="1"/>
              </w:rPr>
              <w:t>×（1+P%） 或</w:t>
            </w:r>
            <w:r>
              <w:rPr>
                <w:spacing w:val="-29"/>
                <w:position w:val="1"/>
              </w:rPr>
              <w:t xml:space="preserve"> </w:t>
            </w:r>
            <w:r>
              <w:rPr>
                <w:spacing w:val="5"/>
                <w:position w:val="1"/>
              </w:rPr>
              <w:t>S</w:t>
            </w:r>
            <w:r>
              <w:rPr>
                <w:rFonts w:ascii="Times New Roman" w:hAnsi="Times New Roman" w:eastAsia="Times New Roman" w:cs="Times New Roman"/>
                <w:spacing w:val="5"/>
                <w:position w:val="1"/>
              </w:rPr>
              <w:t>=</w:t>
            </w:r>
            <w:r>
              <w:rPr>
                <w:rFonts w:ascii="Times New Roman" w:hAnsi="Times New Roman" w:eastAsia="Times New Roman" w:cs="Times New Roman"/>
                <w:spacing w:val="6"/>
                <w:position w:val="1"/>
              </w:rPr>
              <w:t xml:space="preserve"> </w:t>
            </w:r>
            <w:r>
              <w:rPr>
                <w:rFonts w:ascii="Times New Roman" w:hAnsi="Times New Roman" w:eastAsia="Times New Roman" w:cs="Times New Roman"/>
                <w:spacing w:val="5"/>
                <w:position w:val="1"/>
              </w:rPr>
              <w:t>M</w:t>
            </w:r>
            <w:r>
              <w:rPr>
                <w:spacing w:val="5"/>
                <w:position w:val="1"/>
              </w:rPr>
              <w:t>×（1+Q%）</w:t>
            </w:r>
          </w:p>
        </w:tc>
      </w:tr>
      <w:tr w14:paraId="499FB8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trPr>
        <w:tc>
          <w:tcPr>
            <w:tcW w:w="745" w:type="dxa"/>
            <w:vAlign w:val="top"/>
          </w:tcPr>
          <w:p w14:paraId="03BE09E2">
            <w:pPr>
              <w:rPr>
                <w:rFonts w:ascii="Arial"/>
                <w:sz w:val="21"/>
              </w:rPr>
            </w:pPr>
          </w:p>
        </w:tc>
        <w:tc>
          <w:tcPr>
            <w:tcW w:w="8439" w:type="dxa"/>
            <w:gridSpan w:val="4"/>
            <w:vAlign w:val="top"/>
          </w:tcPr>
          <w:p w14:paraId="76A2ADEB">
            <w:pPr>
              <w:pStyle w:val="6"/>
              <w:spacing w:before="139" w:line="252"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r w14:paraId="19B76B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45" w:type="dxa"/>
            <w:vMerge w:val="restart"/>
            <w:tcBorders>
              <w:bottom w:val="nil"/>
            </w:tcBorders>
            <w:vAlign w:val="top"/>
          </w:tcPr>
          <w:p w14:paraId="61EAA114">
            <w:pPr>
              <w:spacing w:line="246" w:lineRule="auto"/>
              <w:rPr>
                <w:rFonts w:ascii="Arial"/>
                <w:sz w:val="21"/>
              </w:rPr>
            </w:pPr>
          </w:p>
          <w:p w14:paraId="51BF7167">
            <w:pPr>
              <w:spacing w:line="246" w:lineRule="auto"/>
              <w:rPr>
                <w:rFonts w:ascii="Arial"/>
                <w:sz w:val="21"/>
              </w:rPr>
            </w:pPr>
          </w:p>
          <w:p w14:paraId="3666507C">
            <w:pPr>
              <w:spacing w:line="246" w:lineRule="auto"/>
              <w:rPr>
                <w:rFonts w:ascii="Arial"/>
                <w:sz w:val="21"/>
              </w:rPr>
            </w:pPr>
          </w:p>
          <w:p w14:paraId="5FF7F9FA">
            <w:pPr>
              <w:spacing w:line="246" w:lineRule="auto"/>
              <w:rPr>
                <w:rFonts w:ascii="Arial"/>
                <w:sz w:val="21"/>
              </w:rPr>
            </w:pPr>
          </w:p>
          <w:p w14:paraId="46EC7934">
            <w:pPr>
              <w:spacing w:line="246" w:lineRule="auto"/>
              <w:rPr>
                <w:rFonts w:ascii="Arial"/>
                <w:sz w:val="21"/>
              </w:rPr>
            </w:pPr>
          </w:p>
          <w:p w14:paraId="084026F4">
            <w:pPr>
              <w:spacing w:line="246" w:lineRule="auto"/>
              <w:rPr>
                <w:rFonts w:ascii="Arial"/>
                <w:sz w:val="21"/>
              </w:rPr>
            </w:pPr>
          </w:p>
          <w:p w14:paraId="6D5FEEB3">
            <w:pPr>
              <w:spacing w:line="246" w:lineRule="auto"/>
              <w:rPr>
                <w:rFonts w:ascii="Arial"/>
                <w:sz w:val="21"/>
              </w:rPr>
            </w:pPr>
          </w:p>
          <w:p w14:paraId="3F055AA1">
            <w:pPr>
              <w:spacing w:line="246" w:lineRule="auto"/>
              <w:rPr>
                <w:rFonts w:ascii="Arial"/>
                <w:sz w:val="21"/>
              </w:rPr>
            </w:pPr>
          </w:p>
          <w:p w14:paraId="2D28F07C">
            <w:pPr>
              <w:spacing w:line="246" w:lineRule="auto"/>
              <w:rPr>
                <w:rFonts w:ascii="Arial"/>
                <w:sz w:val="21"/>
              </w:rPr>
            </w:pPr>
          </w:p>
          <w:p w14:paraId="0BD0ECFD">
            <w:pPr>
              <w:spacing w:line="246" w:lineRule="auto"/>
              <w:rPr>
                <w:rFonts w:ascii="Arial"/>
                <w:sz w:val="21"/>
              </w:rPr>
            </w:pPr>
          </w:p>
          <w:p w14:paraId="416C297E">
            <w:pPr>
              <w:spacing w:line="246" w:lineRule="auto"/>
              <w:rPr>
                <w:rFonts w:ascii="Arial"/>
                <w:sz w:val="21"/>
              </w:rPr>
            </w:pPr>
          </w:p>
          <w:p w14:paraId="5F6A9FC6">
            <w:pPr>
              <w:spacing w:line="246" w:lineRule="auto"/>
              <w:rPr>
                <w:rFonts w:ascii="Arial"/>
                <w:sz w:val="21"/>
              </w:rPr>
            </w:pPr>
          </w:p>
          <w:p w14:paraId="5602AFA8">
            <w:pPr>
              <w:spacing w:line="246" w:lineRule="auto"/>
              <w:rPr>
                <w:rFonts w:ascii="Arial"/>
                <w:sz w:val="21"/>
              </w:rPr>
            </w:pPr>
          </w:p>
          <w:p w14:paraId="429C1ECE">
            <w:pPr>
              <w:spacing w:line="247" w:lineRule="auto"/>
              <w:rPr>
                <w:rFonts w:ascii="Arial"/>
                <w:sz w:val="21"/>
              </w:rPr>
            </w:pPr>
          </w:p>
          <w:p w14:paraId="3D9D45EA">
            <w:pPr>
              <w:spacing w:line="247" w:lineRule="auto"/>
              <w:rPr>
                <w:rFonts w:ascii="Arial"/>
                <w:sz w:val="21"/>
              </w:rPr>
            </w:pPr>
          </w:p>
          <w:p w14:paraId="50BF55AD">
            <w:pPr>
              <w:spacing w:line="247" w:lineRule="auto"/>
              <w:rPr>
                <w:rFonts w:ascii="Arial"/>
                <w:sz w:val="21"/>
              </w:rPr>
            </w:pPr>
          </w:p>
          <w:p w14:paraId="568BAD68">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3555B948">
            <w:pPr>
              <w:pStyle w:val="6"/>
              <w:spacing w:before="218"/>
              <w:ind w:left="125"/>
            </w:pPr>
            <w:r>
              <w:rPr>
                <w:spacing w:val="-1"/>
              </w:rPr>
              <w:t>（</w:t>
            </w:r>
            <w:r>
              <w:rPr>
                <w:rFonts w:ascii="Times New Roman" w:hAnsi="Times New Roman" w:eastAsia="Times New Roman" w:cs="Times New Roman"/>
                <w:spacing w:val="-1"/>
              </w:rPr>
              <w:t>2</w:t>
            </w:r>
            <w:r>
              <w:rPr>
                <w:spacing w:val="-1"/>
              </w:rPr>
              <w:t>）</w:t>
            </w:r>
          </w:p>
        </w:tc>
        <w:tc>
          <w:tcPr>
            <w:tcW w:w="1058" w:type="dxa"/>
            <w:vMerge w:val="restart"/>
            <w:tcBorders>
              <w:bottom w:val="nil"/>
            </w:tcBorders>
            <w:vAlign w:val="top"/>
          </w:tcPr>
          <w:p w14:paraId="0035D479">
            <w:pPr>
              <w:spacing w:line="243" w:lineRule="auto"/>
              <w:rPr>
                <w:rFonts w:ascii="Arial"/>
                <w:sz w:val="21"/>
              </w:rPr>
            </w:pPr>
          </w:p>
          <w:p w14:paraId="4BF358CD">
            <w:pPr>
              <w:spacing w:line="243" w:lineRule="auto"/>
              <w:rPr>
                <w:rFonts w:ascii="Arial"/>
                <w:sz w:val="21"/>
              </w:rPr>
            </w:pPr>
          </w:p>
          <w:p w14:paraId="3FA6C43A">
            <w:pPr>
              <w:spacing w:line="243" w:lineRule="auto"/>
              <w:rPr>
                <w:rFonts w:ascii="Arial"/>
                <w:sz w:val="21"/>
              </w:rPr>
            </w:pPr>
          </w:p>
          <w:p w14:paraId="7D9DC021">
            <w:pPr>
              <w:spacing w:line="243" w:lineRule="auto"/>
              <w:rPr>
                <w:rFonts w:ascii="Arial"/>
                <w:sz w:val="21"/>
              </w:rPr>
            </w:pPr>
          </w:p>
          <w:p w14:paraId="4C43FCBE">
            <w:pPr>
              <w:spacing w:line="243" w:lineRule="auto"/>
              <w:rPr>
                <w:rFonts w:ascii="Arial"/>
                <w:sz w:val="21"/>
              </w:rPr>
            </w:pPr>
          </w:p>
          <w:p w14:paraId="7B69ACE2">
            <w:pPr>
              <w:spacing w:line="243" w:lineRule="auto"/>
              <w:rPr>
                <w:rFonts w:ascii="Arial"/>
                <w:sz w:val="21"/>
              </w:rPr>
            </w:pPr>
          </w:p>
          <w:p w14:paraId="3E32E0F0">
            <w:pPr>
              <w:spacing w:line="243" w:lineRule="auto"/>
              <w:rPr>
                <w:rFonts w:ascii="Arial"/>
                <w:sz w:val="21"/>
              </w:rPr>
            </w:pPr>
          </w:p>
          <w:p w14:paraId="1AB2E616">
            <w:pPr>
              <w:spacing w:line="243" w:lineRule="auto"/>
              <w:rPr>
                <w:rFonts w:ascii="Arial"/>
                <w:sz w:val="21"/>
              </w:rPr>
            </w:pPr>
          </w:p>
          <w:p w14:paraId="6B9DEF77">
            <w:pPr>
              <w:spacing w:line="243" w:lineRule="auto"/>
              <w:rPr>
                <w:rFonts w:ascii="Arial"/>
                <w:sz w:val="21"/>
              </w:rPr>
            </w:pPr>
          </w:p>
          <w:p w14:paraId="4A1FC374">
            <w:pPr>
              <w:spacing w:line="244" w:lineRule="auto"/>
              <w:rPr>
                <w:rFonts w:ascii="Arial"/>
                <w:sz w:val="21"/>
              </w:rPr>
            </w:pPr>
          </w:p>
          <w:p w14:paraId="35879635">
            <w:pPr>
              <w:spacing w:line="244" w:lineRule="auto"/>
              <w:rPr>
                <w:rFonts w:ascii="Arial"/>
                <w:sz w:val="21"/>
              </w:rPr>
            </w:pPr>
          </w:p>
          <w:p w14:paraId="4E215285">
            <w:pPr>
              <w:spacing w:line="244" w:lineRule="auto"/>
              <w:rPr>
                <w:rFonts w:ascii="Arial"/>
                <w:sz w:val="21"/>
              </w:rPr>
            </w:pPr>
          </w:p>
          <w:p w14:paraId="31601DAD">
            <w:pPr>
              <w:spacing w:line="244" w:lineRule="auto"/>
              <w:rPr>
                <w:rFonts w:ascii="Arial"/>
                <w:sz w:val="21"/>
              </w:rPr>
            </w:pPr>
          </w:p>
          <w:p w14:paraId="5B887065">
            <w:pPr>
              <w:spacing w:line="244" w:lineRule="auto"/>
              <w:rPr>
                <w:rFonts w:ascii="Arial"/>
                <w:sz w:val="21"/>
              </w:rPr>
            </w:pPr>
          </w:p>
          <w:p w14:paraId="4569FE39">
            <w:pPr>
              <w:spacing w:line="244" w:lineRule="auto"/>
              <w:rPr>
                <w:rFonts w:ascii="Arial"/>
                <w:sz w:val="21"/>
              </w:rPr>
            </w:pPr>
          </w:p>
          <w:p w14:paraId="3FDBC780">
            <w:pPr>
              <w:pStyle w:val="6"/>
              <w:spacing w:before="65" w:line="253" w:lineRule="auto"/>
              <w:ind w:left="115" w:right="111" w:hanging="4"/>
              <w:jc w:val="both"/>
            </w:pPr>
            <w:r>
              <w:rPr>
                <w:spacing w:val="7"/>
              </w:rPr>
              <w:t>施工组织</w:t>
            </w:r>
            <w:r>
              <w:rPr>
                <w:spacing w:val="6"/>
              </w:rPr>
              <w:t>设计评分</w:t>
            </w:r>
            <w:r>
              <w:rPr>
                <w:spacing w:val="25"/>
              </w:rPr>
              <w:t>标</w:t>
            </w:r>
            <w:r>
              <w:rPr>
                <w:spacing w:val="8"/>
              </w:rPr>
              <w:t xml:space="preserve">   </w:t>
            </w:r>
            <w:r>
              <w:rPr>
                <w:spacing w:val="25"/>
              </w:rPr>
              <w:t>准</w:t>
            </w:r>
          </w:p>
        </w:tc>
        <w:tc>
          <w:tcPr>
            <w:tcW w:w="2084" w:type="dxa"/>
            <w:vMerge w:val="restart"/>
            <w:tcBorders>
              <w:bottom w:val="nil"/>
            </w:tcBorders>
            <w:vAlign w:val="top"/>
          </w:tcPr>
          <w:p w14:paraId="675AE924">
            <w:pPr>
              <w:spacing w:line="379" w:lineRule="auto"/>
              <w:rPr>
                <w:rFonts w:ascii="Arial"/>
                <w:sz w:val="21"/>
              </w:rPr>
            </w:pPr>
          </w:p>
          <w:p w14:paraId="7FABE37B">
            <w:pPr>
              <w:pStyle w:val="6"/>
              <w:spacing w:before="65" w:line="228" w:lineRule="auto"/>
              <w:ind w:left="115"/>
            </w:pPr>
            <w:r>
              <w:rPr>
                <w:spacing w:val="6"/>
              </w:rPr>
              <w:t>工程概况</w:t>
            </w:r>
          </w:p>
        </w:tc>
        <w:tc>
          <w:tcPr>
            <w:tcW w:w="735" w:type="dxa"/>
            <w:vMerge w:val="restart"/>
            <w:tcBorders>
              <w:bottom w:val="nil"/>
            </w:tcBorders>
            <w:vAlign w:val="top"/>
          </w:tcPr>
          <w:p w14:paraId="5151B732">
            <w:pPr>
              <w:spacing w:line="380" w:lineRule="auto"/>
              <w:rPr>
                <w:rFonts w:ascii="Arial"/>
                <w:sz w:val="21"/>
              </w:rPr>
            </w:pPr>
          </w:p>
          <w:p w14:paraId="098E6C08">
            <w:pPr>
              <w:pStyle w:val="6"/>
              <w:spacing w:before="65" w:line="228" w:lineRule="auto"/>
              <w:ind w:left="129"/>
            </w:pPr>
            <w:r>
              <w:rPr>
                <w:spacing w:val="-10"/>
              </w:rPr>
              <w:t>1</w:t>
            </w:r>
            <w:r>
              <w:rPr>
                <w:spacing w:val="-38"/>
              </w:rPr>
              <w:t xml:space="preserve"> </w:t>
            </w:r>
            <w:r>
              <w:rPr>
                <w:spacing w:val="-10"/>
              </w:rPr>
              <w:t>分</w:t>
            </w:r>
          </w:p>
        </w:tc>
        <w:tc>
          <w:tcPr>
            <w:tcW w:w="4562" w:type="dxa"/>
            <w:vAlign w:val="top"/>
          </w:tcPr>
          <w:p w14:paraId="3E0BF24B">
            <w:pPr>
              <w:pStyle w:val="6"/>
              <w:spacing w:before="78" w:line="228" w:lineRule="auto"/>
              <w:ind w:left="115"/>
            </w:pPr>
            <w:r>
              <w:rPr>
                <w:spacing w:val="4"/>
              </w:rPr>
              <w:t>描述准确、清晰</w:t>
            </w:r>
            <w:r>
              <w:rPr>
                <w:spacing w:val="1"/>
              </w:rPr>
              <w:t xml:space="preserve">                       </w:t>
            </w:r>
            <w:r>
              <w:rPr>
                <w:spacing w:val="4"/>
              </w:rPr>
              <w:t>1</w:t>
            </w:r>
            <w:r>
              <w:rPr>
                <w:spacing w:val="-21"/>
              </w:rPr>
              <w:t xml:space="preserve"> </w:t>
            </w:r>
            <w:r>
              <w:rPr>
                <w:spacing w:val="4"/>
              </w:rPr>
              <w:t>分</w:t>
            </w:r>
          </w:p>
        </w:tc>
      </w:tr>
      <w:tr w14:paraId="630DB2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071A3F0">
            <w:pPr>
              <w:rPr>
                <w:rFonts w:ascii="Arial"/>
                <w:sz w:val="21"/>
              </w:rPr>
            </w:pPr>
          </w:p>
        </w:tc>
        <w:tc>
          <w:tcPr>
            <w:tcW w:w="1058" w:type="dxa"/>
            <w:vMerge w:val="continue"/>
            <w:tcBorders>
              <w:top w:val="nil"/>
              <w:bottom w:val="nil"/>
            </w:tcBorders>
            <w:vAlign w:val="top"/>
          </w:tcPr>
          <w:p w14:paraId="576693C4">
            <w:pPr>
              <w:rPr>
                <w:rFonts w:ascii="Arial"/>
                <w:sz w:val="21"/>
              </w:rPr>
            </w:pPr>
          </w:p>
        </w:tc>
        <w:tc>
          <w:tcPr>
            <w:tcW w:w="2084" w:type="dxa"/>
            <w:vMerge w:val="continue"/>
            <w:tcBorders>
              <w:top w:val="nil"/>
              <w:bottom w:val="nil"/>
            </w:tcBorders>
            <w:vAlign w:val="top"/>
          </w:tcPr>
          <w:p w14:paraId="4C724C06">
            <w:pPr>
              <w:rPr>
                <w:rFonts w:ascii="Arial"/>
                <w:sz w:val="21"/>
              </w:rPr>
            </w:pPr>
          </w:p>
        </w:tc>
        <w:tc>
          <w:tcPr>
            <w:tcW w:w="735" w:type="dxa"/>
            <w:vMerge w:val="continue"/>
            <w:tcBorders>
              <w:top w:val="nil"/>
              <w:bottom w:val="nil"/>
            </w:tcBorders>
            <w:vAlign w:val="top"/>
          </w:tcPr>
          <w:p w14:paraId="7D9C3A5A">
            <w:pPr>
              <w:rPr>
                <w:rFonts w:ascii="Arial"/>
                <w:sz w:val="21"/>
              </w:rPr>
            </w:pPr>
          </w:p>
        </w:tc>
        <w:tc>
          <w:tcPr>
            <w:tcW w:w="4562" w:type="dxa"/>
            <w:vAlign w:val="top"/>
          </w:tcPr>
          <w:p w14:paraId="44BEF020">
            <w:pPr>
              <w:pStyle w:val="6"/>
              <w:spacing w:before="78" w:line="227" w:lineRule="auto"/>
              <w:ind w:left="115"/>
            </w:pPr>
            <w:r>
              <w:rPr>
                <w:spacing w:val="5"/>
              </w:rPr>
              <w:t>描述基本准确</w:t>
            </w:r>
            <w:r>
              <w:t xml:space="preserve">                   </w:t>
            </w:r>
            <w:r>
              <w:rPr>
                <w:spacing w:val="5"/>
              </w:rPr>
              <w:t>0.9-0.8</w:t>
            </w:r>
            <w:r>
              <w:rPr>
                <w:spacing w:val="-32"/>
              </w:rPr>
              <w:t xml:space="preserve"> </w:t>
            </w:r>
            <w:r>
              <w:rPr>
                <w:spacing w:val="5"/>
              </w:rPr>
              <w:t>分</w:t>
            </w:r>
          </w:p>
        </w:tc>
      </w:tr>
      <w:tr w14:paraId="4C979F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F9A8F3E">
            <w:pPr>
              <w:rPr>
                <w:rFonts w:ascii="Arial"/>
                <w:sz w:val="21"/>
              </w:rPr>
            </w:pPr>
          </w:p>
        </w:tc>
        <w:tc>
          <w:tcPr>
            <w:tcW w:w="1058" w:type="dxa"/>
            <w:vMerge w:val="continue"/>
            <w:tcBorders>
              <w:top w:val="nil"/>
              <w:bottom w:val="nil"/>
            </w:tcBorders>
            <w:vAlign w:val="top"/>
          </w:tcPr>
          <w:p w14:paraId="39677E7F">
            <w:pPr>
              <w:rPr>
                <w:rFonts w:ascii="Arial"/>
                <w:sz w:val="21"/>
              </w:rPr>
            </w:pPr>
          </w:p>
        </w:tc>
        <w:tc>
          <w:tcPr>
            <w:tcW w:w="2084" w:type="dxa"/>
            <w:vMerge w:val="continue"/>
            <w:tcBorders>
              <w:top w:val="nil"/>
            </w:tcBorders>
            <w:vAlign w:val="top"/>
          </w:tcPr>
          <w:p w14:paraId="409034EC">
            <w:pPr>
              <w:rPr>
                <w:rFonts w:ascii="Arial"/>
                <w:sz w:val="21"/>
              </w:rPr>
            </w:pPr>
          </w:p>
        </w:tc>
        <w:tc>
          <w:tcPr>
            <w:tcW w:w="735" w:type="dxa"/>
            <w:vMerge w:val="continue"/>
            <w:tcBorders>
              <w:top w:val="nil"/>
            </w:tcBorders>
            <w:vAlign w:val="top"/>
          </w:tcPr>
          <w:p w14:paraId="5B331AF2">
            <w:pPr>
              <w:rPr>
                <w:rFonts w:ascii="Arial"/>
                <w:sz w:val="21"/>
              </w:rPr>
            </w:pPr>
          </w:p>
        </w:tc>
        <w:tc>
          <w:tcPr>
            <w:tcW w:w="4562" w:type="dxa"/>
            <w:vAlign w:val="top"/>
          </w:tcPr>
          <w:p w14:paraId="1C1ECF1A">
            <w:pPr>
              <w:pStyle w:val="6"/>
              <w:spacing w:before="78" w:line="228" w:lineRule="auto"/>
              <w:ind w:left="115"/>
            </w:pPr>
            <w:r>
              <w:rPr>
                <w:spacing w:val="4"/>
              </w:rPr>
              <w:t>描述不准确</w:t>
            </w:r>
            <w:r>
              <w:rPr>
                <w:spacing w:val="1"/>
              </w:rPr>
              <w:t xml:space="preserve">                           </w:t>
            </w:r>
            <w:r>
              <w:rPr>
                <w:spacing w:val="4"/>
              </w:rPr>
              <w:t>0</w:t>
            </w:r>
            <w:r>
              <w:rPr>
                <w:spacing w:val="-17"/>
              </w:rPr>
              <w:t xml:space="preserve"> </w:t>
            </w:r>
            <w:r>
              <w:rPr>
                <w:spacing w:val="4"/>
              </w:rPr>
              <w:t>分</w:t>
            </w:r>
          </w:p>
        </w:tc>
      </w:tr>
      <w:tr w14:paraId="1AE27D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05665D53">
            <w:pPr>
              <w:rPr>
                <w:rFonts w:ascii="Arial"/>
                <w:sz w:val="21"/>
              </w:rPr>
            </w:pPr>
          </w:p>
        </w:tc>
        <w:tc>
          <w:tcPr>
            <w:tcW w:w="1058" w:type="dxa"/>
            <w:vMerge w:val="continue"/>
            <w:tcBorders>
              <w:top w:val="nil"/>
              <w:bottom w:val="nil"/>
            </w:tcBorders>
            <w:vAlign w:val="top"/>
          </w:tcPr>
          <w:p w14:paraId="613F5475">
            <w:pPr>
              <w:rPr>
                <w:rFonts w:ascii="Arial"/>
                <w:sz w:val="21"/>
              </w:rPr>
            </w:pPr>
          </w:p>
        </w:tc>
        <w:tc>
          <w:tcPr>
            <w:tcW w:w="2084" w:type="dxa"/>
            <w:vMerge w:val="restart"/>
            <w:tcBorders>
              <w:bottom w:val="nil"/>
            </w:tcBorders>
            <w:vAlign w:val="top"/>
          </w:tcPr>
          <w:p w14:paraId="5CCE82FD">
            <w:pPr>
              <w:spacing w:line="382" w:lineRule="auto"/>
              <w:rPr>
                <w:rFonts w:ascii="Arial"/>
                <w:sz w:val="21"/>
              </w:rPr>
            </w:pPr>
          </w:p>
          <w:p w14:paraId="44819B89">
            <w:pPr>
              <w:pStyle w:val="6"/>
              <w:spacing w:before="65" w:line="228" w:lineRule="auto"/>
              <w:ind w:left="111"/>
            </w:pPr>
            <w:r>
              <w:rPr>
                <w:spacing w:val="7"/>
              </w:rPr>
              <w:t>施工部署</w:t>
            </w:r>
          </w:p>
        </w:tc>
        <w:tc>
          <w:tcPr>
            <w:tcW w:w="735" w:type="dxa"/>
            <w:vMerge w:val="restart"/>
            <w:tcBorders>
              <w:bottom w:val="nil"/>
            </w:tcBorders>
            <w:vAlign w:val="top"/>
          </w:tcPr>
          <w:p w14:paraId="4E8FD4D5">
            <w:pPr>
              <w:spacing w:line="382" w:lineRule="auto"/>
              <w:rPr>
                <w:rFonts w:ascii="Arial"/>
                <w:sz w:val="21"/>
              </w:rPr>
            </w:pPr>
          </w:p>
          <w:p w14:paraId="3DEA0D90">
            <w:pPr>
              <w:pStyle w:val="6"/>
              <w:spacing w:before="65" w:line="228" w:lineRule="auto"/>
              <w:ind w:left="129"/>
            </w:pPr>
            <w:r>
              <w:rPr>
                <w:spacing w:val="-10"/>
              </w:rPr>
              <w:t>1</w:t>
            </w:r>
            <w:r>
              <w:rPr>
                <w:spacing w:val="-38"/>
              </w:rPr>
              <w:t xml:space="preserve"> </w:t>
            </w:r>
            <w:r>
              <w:rPr>
                <w:spacing w:val="-10"/>
              </w:rPr>
              <w:t>分</w:t>
            </w:r>
          </w:p>
        </w:tc>
        <w:tc>
          <w:tcPr>
            <w:tcW w:w="4562" w:type="dxa"/>
            <w:vAlign w:val="top"/>
          </w:tcPr>
          <w:p w14:paraId="3139E850">
            <w:pPr>
              <w:pStyle w:val="6"/>
              <w:spacing w:before="80" w:line="227" w:lineRule="auto"/>
              <w:ind w:left="113"/>
            </w:pPr>
            <w:r>
              <w:rPr>
                <w:spacing w:val="6"/>
              </w:rPr>
              <w:t>科学、合理、针对性强</w:t>
            </w:r>
            <w:r>
              <w:t xml:space="preserve">                 </w:t>
            </w:r>
            <w:r>
              <w:rPr>
                <w:spacing w:val="6"/>
              </w:rPr>
              <w:t>1</w:t>
            </w:r>
            <w:r>
              <w:rPr>
                <w:spacing w:val="-33"/>
              </w:rPr>
              <w:t xml:space="preserve"> </w:t>
            </w:r>
            <w:r>
              <w:rPr>
                <w:spacing w:val="6"/>
              </w:rPr>
              <w:t>分</w:t>
            </w:r>
          </w:p>
        </w:tc>
      </w:tr>
      <w:tr w14:paraId="46024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02E3ACF">
            <w:pPr>
              <w:rPr>
                <w:rFonts w:ascii="Arial"/>
                <w:sz w:val="21"/>
              </w:rPr>
            </w:pPr>
          </w:p>
        </w:tc>
        <w:tc>
          <w:tcPr>
            <w:tcW w:w="1058" w:type="dxa"/>
            <w:vMerge w:val="continue"/>
            <w:tcBorders>
              <w:top w:val="nil"/>
              <w:bottom w:val="nil"/>
            </w:tcBorders>
            <w:vAlign w:val="top"/>
          </w:tcPr>
          <w:p w14:paraId="35C933B9">
            <w:pPr>
              <w:rPr>
                <w:rFonts w:ascii="Arial"/>
                <w:sz w:val="21"/>
              </w:rPr>
            </w:pPr>
          </w:p>
        </w:tc>
        <w:tc>
          <w:tcPr>
            <w:tcW w:w="2084" w:type="dxa"/>
            <w:vMerge w:val="continue"/>
            <w:tcBorders>
              <w:top w:val="nil"/>
              <w:bottom w:val="nil"/>
            </w:tcBorders>
            <w:vAlign w:val="top"/>
          </w:tcPr>
          <w:p w14:paraId="2CBBAA9E">
            <w:pPr>
              <w:rPr>
                <w:rFonts w:ascii="Arial"/>
                <w:sz w:val="21"/>
              </w:rPr>
            </w:pPr>
          </w:p>
        </w:tc>
        <w:tc>
          <w:tcPr>
            <w:tcW w:w="735" w:type="dxa"/>
            <w:vMerge w:val="continue"/>
            <w:tcBorders>
              <w:top w:val="nil"/>
              <w:bottom w:val="nil"/>
            </w:tcBorders>
            <w:vAlign w:val="top"/>
          </w:tcPr>
          <w:p w14:paraId="62B16A7F">
            <w:pPr>
              <w:rPr>
                <w:rFonts w:ascii="Arial"/>
                <w:sz w:val="21"/>
              </w:rPr>
            </w:pPr>
          </w:p>
        </w:tc>
        <w:tc>
          <w:tcPr>
            <w:tcW w:w="4562" w:type="dxa"/>
            <w:vAlign w:val="top"/>
          </w:tcPr>
          <w:p w14:paraId="40E2F6F0">
            <w:pPr>
              <w:pStyle w:val="6"/>
              <w:spacing w:before="80" w:line="228" w:lineRule="auto"/>
              <w:ind w:left="114"/>
            </w:pPr>
            <w:r>
              <w:rPr>
                <w:spacing w:val="5"/>
              </w:rPr>
              <w:t>合理、可行</w:t>
            </w:r>
            <w:r>
              <w:t xml:space="preserve">                     </w:t>
            </w:r>
            <w:r>
              <w:rPr>
                <w:spacing w:val="5"/>
              </w:rPr>
              <w:t>0.9-0.8</w:t>
            </w:r>
            <w:r>
              <w:rPr>
                <w:spacing w:val="-26"/>
              </w:rPr>
              <w:t xml:space="preserve"> </w:t>
            </w:r>
            <w:r>
              <w:rPr>
                <w:spacing w:val="5"/>
              </w:rPr>
              <w:t>分</w:t>
            </w:r>
          </w:p>
        </w:tc>
      </w:tr>
      <w:tr w14:paraId="5648AE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02D7CA9">
            <w:pPr>
              <w:rPr>
                <w:rFonts w:ascii="Arial"/>
                <w:sz w:val="21"/>
              </w:rPr>
            </w:pPr>
          </w:p>
        </w:tc>
        <w:tc>
          <w:tcPr>
            <w:tcW w:w="1058" w:type="dxa"/>
            <w:vMerge w:val="continue"/>
            <w:tcBorders>
              <w:top w:val="nil"/>
              <w:bottom w:val="nil"/>
            </w:tcBorders>
            <w:vAlign w:val="top"/>
          </w:tcPr>
          <w:p w14:paraId="2838813A">
            <w:pPr>
              <w:rPr>
                <w:rFonts w:ascii="Arial"/>
                <w:sz w:val="21"/>
              </w:rPr>
            </w:pPr>
          </w:p>
        </w:tc>
        <w:tc>
          <w:tcPr>
            <w:tcW w:w="2084" w:type="dxa"/>
            <w:vMerge w:val="continue"/>
            <w:tcBorders>
              <w:top w:val="nil"/>
            </w:tcBorders>
            <w:vAlign w:val="top"/>
          </w:tcPr>
          <w:p w14:paraId="757F7AD2">
            <w:pPr>
              <w:rPr>
                <w:rFonts w:ascii="Arial"/>
                <w:sz w:val="21"/>
              </w:rPr>
            </w:pPr>
          </w:p>
        </w:tc>
        <w:tc>
          <w:tcPr>
            <w:tcW w:w="735" w:type="dxa"/>
            <w:vMerge w:val="continue"/>
            <w:tcBorders>
              <w:top w:val="nil"/>
            </w:tcBorders>
            <w:vAlign w:val="top"/>
          </w:tcPr>
          <w:p w14:paraId="10EE245D">
            <w:pPr>
              <w:rPr>
                <w:rFonts w:ascii="Arial"/>
                <w:sz w:val="21"/>
              </w:rPr>
            </w:pPr>
          </w:p>
        </w:tc>
        <w:tc>
          <w:tcPr>
            <w:tcW w:w="4562" w:type="dxa"/>
            <w:vAlign w:val="top"/>
          </w:tcPr>
          <w:p w14:paraId="512BDAB5">
            <w:pPr>
              <w:pStyle w:val="6"/>
              <w:spacing w:before="79" w:line="228" w:lineRule="auto"/>
              <w:ind w:left="116"/>
            </w:pPr>
            <w:r>
              <w:rPr>
                <w:spacing w:val="6"/>
              </w:rPr>
              <w:t>不可行，不能满足工程需要            0</w:t>
            </w:r>
            <w:r>
              <w:rPr>
                <w:spacing w:val="-20"/>
              </w:rPr>
              <w:t xml:space="preserve"> </w:t>
            </w:r>
            <w:r>
              <w:rPr>
                <w:spacing w:val="6"/>
              </w:rPr>
              <w:t>分</w:t>
            </w:r>
          </w:p>
        </w:tc>
      </w:tr>
      <w:tr w14:paraId="45EEF3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0A78F50D">
            <w:pPr>
              <w:rPr>
                <w:rFonts w:ascii="Arial"/>
                <w:sz w:val="21"/>
              </w:rPr>
            </w:pPr>
          </w:p>
        </w:tc>
        <w:tc>
          <w:tcPr>
            <w:tcW w:w="1058" w:type="dxa"/>
            <w:vMerge w:val="continue"/>
            <w:tcBorders>
              <w:top w:val="nil"/>
              <w:bottom w:val="nil"/>
            </w:tcBorders>
            <w:vAlign w:val="top"/>
          </w:tcPr>
          <w:p w14:paraId="0707557C">
            <w:pPr>
              <w:rPr>
                <w:rFonts w:ascii="Arial"/>
                <w:sz w:val="21"/>
              </w:rPr>
            </w:pPr>
          </w:p>
        </w:tc>
        <w:tc>
          <w:tcPr>
            <w:tcW w:w="2084" w:type="dxa"/>
            <w:vMerge w:val="restart"/>
            <w:tcBorders>
              <w:bottom w:val="nil"/>
            </w:tcBorders>
            <w:vAlign w:val="top"/>
          </w:tcPr>
          <w:p w14:paraId="46391E83">
            <w:pPr>
              <w:spacing w:line="282" w:lineRule="auto"/>
              <w:rPr>
                <w:rFonts w:ascii="Arial"/>
                <w:sz w:val="21"/>
              </w:rPr>
            </w:pPr>
          </w:p>
          <w:p w14:paraId="6E76EECE">
            <w:pPr>
              <w:spacing w:line="283" w:lineRule="auto"/>
              <w:rPr>
                <w:rFonts w:ascii="Arial"/>
                <w:sz w:val="21"/>
              </w:rPr>
            </w:pPr>
          </w:p>
          <w:p w14:paraId="52B47DBB">
            <w:pPr>
              <w:pStyle w:val="6"/>
              <w:spacing w:before="65" w:line="228" w:lineRule="auto"/>
              <w:ind w:left="111"/>
            </w:pPr>
            <w:r>
              <w:rPr>
                <w:spacing w:val="8"/>
              </w:rPr>
              <w:t>施工进度计划</w:t>
            </w:r>
          </w:p>
        </w:tc>
        <w:tc>
          <w:tcPr>
            <w:tcW w:w="735" w:type="dxa"/>
            <w:vMerge w:val="restart"/>
            <w:tcBorders>
              <w:bottom w:val="nil"/>
            </w:tcBorders>
            <w:vAlign w:val="top"/>
          </w:tcPr>
          <w:p w14:paraId="75BFB0C8">
            <w:pPr>
              <w:spacing w:line="282" w:lineRule="auto"/>
              <w:rPr>
                <w:rFonts w:ascii="Arial"/>
                <w:sz w:val="21"/>
              </w:rPr>
            </w:pPr>
          </w:p>
          <w:p w14:paraId="210A6A43">
            <w:pPr>
              <w:spacing w:line="283" w:lineRule="auto"/>
              <w:rPr>
                <w:rFonts w:ascii="Arial"/>
                <w:sz w:val="21"/>
              </w:rPr>
            </w:pPr>
          </w:p>
          <w:p w14:paraId="54C35723">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63D0FA98">
            <w:pPr>
              <w:pStyle w:val="6"/>
              <w:spacing w:before="78" w:line="227" w:lineRule="auto"/>
              <w:ind w:left="113"/>
            </w:pPr>
            <w:r>
              <w:rPr>
                <w:spacing w:val="6"/>
              </w:rPr>
              <w:t>科学、合理、针对性强            2-1.9</w:t>
            </w:r>
            <w:r>
              <w:rPr>
                <w:spacing w:val="-29"/>
              </w:rPr>
              <w:t xml:space="preserve"> </w:t>
            </w:r>
            <w:r>
              <w:rPr>
                <w:spacing w:val="6"/>
              </w:rPr>
              <w:t>分</w:t>
            </w:r>
          </w:p>
        </w:tc>
      </w:tr>
      <w:tr w14:paraId="604A1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2B1DF10">
            <w:pPr>
              <w:rPr>
                <w:rFonts w:ascii="Arial"/>
                <w:sz w:val="21"/>
              </w:rPr>
            </w:pPr>
          </w:p>
        </w:tc>
        <w:tc>
          <w:tcPr>
            <w:tcW w:w="1058" w:type="dxa"/>
            <w:vMerge w:val="continue"/>
            <w:tcBorders>
              <w:top w:val="nil"/>
              <w:bottom w:val="nil"/>
            </w:tcBorders>
            <w:vAlign w:val="top"/>
          </w:tcPr>
          <w:p w14:paraId="15DED715">
            <w:pPr>
              <w:rPr>
                <w:rFonts w:ascii="Arial"/>
                <w:sz w:val="21"/>
              </w:rPr>
            </w:pPr>
          </w:p>
        </w:tc>
        <w:tc>
          <w:tcPr>
            <w:tcW w:w="2084" w:type="dxa"/>
            <w:vMerge w:val="continue"/>
            <w:tcBorders>
              <w:top w:val="nil"/>
              <w:bottom w:val="nil"/>
            </w:tcBorders>
            <w:vAlign w:val="top"/>
          </w:tcPr>
          <w:p w14:paraId="6195D8F3">
            <w:pPr>
              <w:rPr>
                <w:rFonts w:ascii="Arial"/>
                <w:sz w:val="21"/>
              </w:rPr>
            </w:pPr>
          </w:p>
        </w:tc>
        <w:tc>
          <w:tcPr>
            <w:tcW w:w="735" w:type="dxa"/>
            <w:vMerge w:val="continue"/>
            <w:tcBorders>
              <w:top w:val="nil"/>
              <w:bottom w:val="nil"/>
            </w:tcBorders>
            <w:vAlign w:val="top"/>
          </w:tcPr>
          <w:p w14:paraId="49CFC8B3">
            <w:pPr>
              <w:rPr>
                <w:rFonts w:ascii="Arial"/>
                <w:sz w:val="21"/>
              </w:rPr>
            </w:pPr>
          </w:p>
        </w:tc>
        <w:tc>
          <w:tcPr>
            <w:tcW w:w="4562" w:type="dxa"/>
            <w:vAlign w:val="top"/>
          </w:tcPr>
          <w:p w14:paraId="325FCF3A">
            <w:pPr>
              <w:pStyle w:val="6"/>
              <w:spacing w:before="79" w:line="228" w:lineRule="auto"/>
              <w:ind w:left="114"/>
            </w:pPr>
            <w:r>
              <w:rPr>
                <w:spacing w:val="3"/>
              </w:rPr>
              <w:t>合理、可行、</w:t>
            </w:r>
            <w:r>
              <w:rPr>
                <w:spacing w:val="1"/>
              </w:rPr>
              <w:t xml:space="preserve">                   </w:t>
            </w:r>
            <w:r>
              <w:rPr>
                <w:spacing w:val="3"/>
              </w:rPr>
              <w:t>1.8-1.6</w:t>
            </w:r>
            <w:r>
              <w:rPr>
                <w:spacing w:val="-22"/>
              </w:rPr>
              <w:t xml:space="preserve"> </w:t>
            </w:r>
            <w:r>
              <w:rPr>
                <w:spacing w:val="3"/>
              </w:rPr>
              <w:t>分</w:t>
            </w:r>
          </w:p>
        </w:tc>
      </w:tr>
      <w:tr w14:paraId="358C3F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A02D17F">
            <w:pPr>
              <w:rPr>
                <w:rFonts w:ascii="Arial"/>
                <w:sz w:val="21"/>
              </w:rPr>
            </w:pPr>
          </w:p>
        </w:tc>
        <w:tc>
          <w:tcPr>
            <w:tcW w:w="1058" w:type="dxa"/>
            <w:vMerge w:val="continue"/>
            <w:tcBorders>
              <w:top w:val="nil"/>
              <w:bottom w:val="nil"/>
            </w:tcBorders>
            <w:vAlign w:val="top"/>
          </w:tcPr>
          <w:p w14:paraId="0345AE9A">
            <w:pPr>
              <w:rPr>
                <w:rFonts w:ascii="Arial"/>
                <w:sz w:val="21"/>
              </w:rPr>
            </w:pPr>
          </w:p>
        </w:tc>
        <w:tc>
          <w:tcPr>
            <w:tcW w:w="2084" w:type="dxa"/>
            <w:vMerge w:val="continue"/>
            <w:tcBorders>
              <w:top w:val="nil"/>
              <w:bottom w:val="nil"/>
            </w:tcBorders>
            <w:vAlign w:val="top"/>
          </w:tcPr>
          <w:p w14:paraId="7707CAA4">
            <w:pPr>
              <w:rPr>
                <w:rFonts w:ascii="Arial"/>
                <w:sz w:val="21"/>
              </w:rPr>
            </w:pPr>
          </w:p>
        </w:tc>
        <w:tc>
          <w:tcPr>
            <w:tcW w:w="735" w:type="dxa"/>
            <w:vMerge w:val="continue"/>
            <w:tcBorders>
              <w:top w:val="nil"/>
              <w:bottom w:val="nil"/>
            </w:tcBorders>
            <w:vAlign w:val="top"/>
          </w:tcPr>
          <w:p w14:paraId="1F0851D4">
            <w:pPr>
              <w:rPr>
                <w:rFonts w:ascii="Arial"/>
                <w:sz w:val="21"/>
              </w:rPr>
            </w:pPr>
          </w:p>
        </w:tc>
        <w:tc>
          <w:tcPr>
            <w:tcW w:w="4562" w:type="dxa"/>
            <w:vAlign w:val="top"/>
          </w:tcPr>
          <w:p w14:paraId="09C90C40">
            <w:pPr>
              <w:pStyle w:val="6"/>
              <w:spacing w:before="78" w:line="227" w:lineRule="auto"/>
              <w:ind w:left="114"/>
            </w:pPr>
            <w:r>
              <w:rPr>
                <w:spacing w:val="5"/>
              </w:rPr>
              <w:t>欠合理，基本可行</w:t>
            </w:r>
            <w:r>
              <w:rPr>
                <w:spacing w:val="6"/>
              </w:rPr>
              <w:t xml:space="preserve">              </w:t>
            </w:r>
            <w:r>
              <w:rPr>
                <w:spacing w:val="5"/>
              </w:rPr>
              <w:t>1.5-1.4</w:t>
            </w:r>
            <w:r>
              <w:rPr>
                <w:spacing w:val="-25"/>
              </w:rPr>
              <w:t xml:space="preserve"> </w:t>
            </w:r>
            <w:r>
              <w:rPr>
                <w:spacing w:val="5"/>
              </w:rPr>
              <w:t>分</w:t>
            </w:r>
          </w:p>
        </w:tc>
      </w:tr>
      <w:tr w14:paraId="0BD4E2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03A178C8">
            <w:pPr>
              <w:rPr>
                <w:rFonts w:ascii="Arial"/>
                <w:sz w:val="21"/>
              </w:rPr>
            </w:pPr>
          </w:p>
        </w:tc>
        <w:tc>
          <w:tcPr>
            <w:tcW w:w="1058" w:type="dxa"/>
            <w:vMerge w:val="continue"/>
            <w:tcBorders>
              <w:top w:val="nil"/>
              <w:bottom w:val="nil"/>
            </w:tcBorders>
            <w:vAlign w:val="top"/>
          </w:tcPr>
          <w:p w14:paraId="428A2B58">
            <w:pPr>
              <w:rPr>
                <w:rFonts w:ascii="Arial"/>
                <w:sz w:val="21"/>
              </w:rPr>
            </w:pPr>
          </w:p>
        </w:tc>
        <w:tc>
          <w:tcPr>
            <w:tcW w:w="2084" w:type="dxa"/>
            <w:vMerge w:val="continue"/>
            <w:tcBorders>
              <w:top w:val="nil"/>
            </w:tcBorders>
            <w:vAlign w:val="top"/>
          </w:tcPr>
          <w:p w14:paraId="5A41B304">
            <w:pPr>
              <w:rPr>
                <w:rFonts w:ascii="Arial"/>
                <w:sz w:val="21"/>
              </w:rPr>
            </w:pPr>
          </w:p>
        </w:tc>
        <w:tc>
          <w:tcPr>
            <w:tcW w:w="735" w:type="dxa"/>
            <w:vMerge w:val="continue"/>
            <w:tcBorders>
              <w:top w:val="nil"/>
            </w:tcBorders>
            <w:vAlign w:val="top"/>
          </w:tcPr>
          <w:p w14:paraId="11C0C60A">
            <w:pPr>
              <w:rPr>
                <w:rFonts w:ascii="Arial"/>
                <w:sz w:val="21"/>
              </w:rPr>
            </w:pPr>
          </w:p>
        </w:tc>
        <w:tc>
          <w:tcPr>
            <w:tcW w:w="4562" w:type="dxa"/>
            <w:vAlign w:val="top"/>
          </w:tcPr>
          <w:p w14:paraId="443FA5AC">
            <w:pPr>
              <w:pStyle w:val="6"/>
              <w:spacing w:before="79" w:line="228" w:lineRule="auto"/>
              <w:ind w:left="116"/>
            </w:pPr>
            <w:r>
              <w:rPr>
                <w:spacing w:val="7"/>
              </w:rPr>
              <w:t>不可行，不能满足招标文件要求        0</w:t>
            </w:r>
            <w:r>
              <w:rPr>
                <w:spacing w:val="-32"/>
              </w:rPr>
              <w:t xml:space="preserve"> </w:t>
            </w:r>
            <w:r>
              <w:rPr>
                <w:spacing w:val="7"/>
              </w:rPr>
              <w:t>分</w:t>
            </w:r>
          </w:p>
        </w:tc>
      </w:tr>
      <w:tr w14:paraId="5325DD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E77A26B">
            <w:pPr>
              <w:rPr>
                <w:rFonts w:ascii="Arial"/>
                <w:sz w:val="21"/>
              </w:rPr>
            </w:pPr>
          </w:p>
        </w:tc>
        <w:tc>
          <w:tcPr>
            <w:tcW w:w="1058" w:type="dxa"/>
            <w:vMerge w:val="continue"/>
            <w:tcBorders>
              <w:top w:val="nil"/>
              <w:bottom w:val="nil"/>
            </w:tcBorders>
            <w:vAlign w:val="top"/>
          </w:tcPr>
          <w:p w14:paraId="684B5A8E">
            <w:pPr>
              <w:rPr>
                <w:rFonts w:ascii="Arial"/>
                <w:sz w:val="21"/>
              </w:rPr>
            </w:pPr>
          </w:p>
        </w:tc>
        <w:tc>
          <w:tcPr>
            <w:tcW w:w="2084" w:type="dxa"/>
            <w:vMerge w:val="restart"/>
            <w:tcBorders>
              <w:bottom w:val="nil"/>
            </w:tcBorders>
            <w:vAlign w:val="top"/>
          </w:tcPr>
          <w:p w14:paraId="0C22A283">
            <w:pPr>
              <w:spacing w:line="429" w:lineRule="auto"/>
              <w:rPr>
                <w:rFonts w:ascii="Arial"/>
                <w:sz w:val="21"/>
              </w:rPr>
            </w:pPr>
          </w:p>
          <w:p w14:paraId="61666499">
            <w:pPr>
              <w:pStyle w:val="6"/>
              <w:spacing w:before="65" w:line="229" w:lineRule="auto"/>
              <w:ind w:left="111"/>
            </w:pPr>
            <w:r>
              <w:rPr>
                <w:spacing w:val="8"/>
              </w:rPr>
              <w:t>施工准备与</w:t>
            </w:r>
          </w:p>
          <w:p w14:paraId="529F82FC">
            <w:pPr>
              <w:pStyle w:val="6"/>
              <w:spacing w:before="25" w:line="229" w:lineRule="auto"/>
              <w:ind w:left="121"/>
            </w:pPr>
            <w:r>
              <w:rPr>
                <w:spacing w:val="6"/>
              </w:rPr>
              <w:t>资源配置计划</w:t>
            </w:r>
          </w:p>
        </w:tc>
        <w:tc>
          <w:tcPr>
            <w:tcW w:w="735" w:type="dxa"/>
            <w:vMerge w:val="restart"/>
            <w:tcBorders>
              <w:bottom w:val="nil"/>
            </w:tcBorders>
            <w:vAlign w:val="top"/>
          </w:tcPr>
          <w:p w14:paraId="4CDBA5B2">
            <w:pPr>
              <w:spacing w:line="283" w:lineRule="auto"/>
              <w:rPr>
                <w:rFonts w:ascii="Arial"/>
                <w:sz w:val="21"/>
              </w:rPr>
            </w:pPr>
          </w:p>
          <w:p w14:paraId="1E9F02C8">
            <w:pPr>
              <w:spacing w:line="283" w:lineRule="auto"/>
              <w:rPr>
                <w:rFonts w:ascii="Arial"/>
                <w:sz w:val="21"/>
              </w:rPr>
            </w:pPr>
          </w:p>
          <w:p w14:paraId="15115863">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3B65143D">
            <w:pPr>
              <w:pStyle w:val="6"/>
              <w:spacing w:before="79" w:line="228" w:lineRule="auto"/>
              <w:ind w:left="138"/>
            </w:pPr>
            <w:r>
              <w:rPr>
                <w:spacing w:val="6"/>
              </w:rPr>
              <w:t xml:space="preserve">内容完备，合理、针对性强        </w:t>
            </w:r>
            <w:r>
              <w:rPr>
                <w:spacing w:val="5"/>
              </w:rPr>
              <w:t>2-1.9</w:t>
            </w:r>
            <w:r>
              <w:rPr>
                <w:spacing w:val="-36"/>
              </w:rPr>
              <w:t xml:space="preserve"> </w:t>
            </w:r>
            <w:r>
              <w:rPr>
                <w:spacing w:val="5"/>
              </w:rPr>
              <w:t>分</w:t>
            </w:r>
          </w:p>
        </w:tc>
      </w:tr>
      <w:tr w14:paraId="09D1AC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0C96676D">
            <w:pPr>
              <w:rPr>
                <w:rFonts w:ascii="Arial"/>
                <w:sz w:val="21"/>
              </w:rPr>
            </w:pPr>
          </w:p>
        </w:tc>
        <w:tc>
          <w:tcPr>
            <w:tcW w:w="1058" w:type="dxa"/>
            <w:vMerge w:val="continue"/>
            <w:tcBorders>
              <w:top w:val="nil"/>
              <w:bottom w:val="nil"/>
            </w:tcBorders>
            <w:vAlign w:val="top"/>
          </w:tcPr>
          <w:p w14:paraId="0DDFB01E">
            <w:pPr>
              <w:rPr>
                <w:rFonts w:ascii="Arial"/>
                <w:sz w:val="21"/>
              </w:rPr>
            </w:pPr>
          </w:p>
        </w:tc>
        <w:tc>
          <w:tcPr>
            <w:tcW w:w="2084" w:type="dxa"/>
            <w:vMerge w:val="continue"/>
            <w:tcBorders>
              <w:top w:val="nil"/>
              <w:bottom w:val="nil"/>
            </w:tcBorders>
            <w:vAlign w:val="top"/>
          </w:tcPr>
          <w:p w14:paraId="02B20418">
            <w:pPr>
              <w:rPr>
                <w:rFonts w:ascii="Arial"/>
                <w:sz w:val="21"/>
              </w:rPr>
            </w:pPr>
          </w:p>
        </w:tc>
        <w:tc>
          <w:tcPr>
            <w:tcW w:w="735" w:type="dxa"/>
            <w:vMerge w:val="continue"/>
            <w:tcBorders>
              <w:top w:val="nil"/>
              <w:bottom w:val="nil"/>
            </w:tcBorders>
            <w:vAlign w:val="top"/>
          </w:tcPr>
          <w:p w14:paraId="6C729DD3">
            <w:pPr>
              <w:rPr>
                <w:rFonts w:ascii="Arial"/>
                <w:sz w:val="21"/>
              </w:rPr>
            </w:pPr>
          </w:p>
        </w:tc>
        <w:tc>
          <w:tcPr>
            <w:tcW w:w="4562" w:type="dxa"/>
            <w:vAlign w:val="top"/>
          </w:tcPr>
          <w:p w14:paraId="73CBE3DB">
            <w:pPr>
              <w:pStyle w:val="6"/>
              <w:spacing w:before="79" w:line="228" w:lineRule="auto"/>
              <w:ind w:left="138"/>
            </w:pPr>
            <w:r>
              <w:rPr>
                <w:spacing w:val="3"/>
              </w:rPr>
              <w:t>内容完备，可行</w:t>
            </w:r>
            <w:r>
              <w:t xml:space="preserve">                 </w:t>
            </w:r>
            <w:r>
              <w:rPr>
                <w:spacing w:val="3"/>
              </w:rPr>
              <w:t>1.8-1.6</w:t>
            </w:r>
            <w:r>
              <w:rPr>
                <w:spacing w:val="-31"/>
              </w:rPr>
              <w:t xml:space="preserve"> </w:t>
            </w:r>
            <w:r>
              <w:rPr>
                <w:spacing w:val="3"/>
              </w:rPr>
              <w:t>分</w:t>
            </w:r>
          </w:p>
        </w:tc>
      </w:tr>
      <w:tr w14:paraId="1ADAC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9627E17">
            <w:pPr>
              <w:rPr>
                <w:rFonts w:ascii="Arial"/>
                <w:sz w:val="21"/>
              </w:rPr>
            </w:pPr>
          </w:p>
        </w:tc>
        <w:tc>
          <w:tcPr>
            <w:tcW w:w="1058" w:type="dxa"/>
            <w:vMerge w:val="continue"/>
            <w:tcBorders>
              <w:top w:val="nil"/>
              <w:bottom w:val="nil"/>
            </w:tcBorders>
            <w:vAlign w:val="top"/>
          </w:tcPr>
          <w:p w14:paraId="13678D71">
            <w:pPr>
              <w:rPr>
                <w:rFonts w:ascii="Arial"/>
                <w:sz w:val="21"/>
              </w:rPr>
            </w:pPr>
          </w:p>
        </w:tc>
        <w:tc>
          <w:tcPr>
            <w:tcW w:w="2084" w:type="dxa"/>
            <w:vMerge w:val="continue"/>
            <w:tcBorders>
              <w:top w:val="nil"/>
              <w:bottom w:val="nil"/>
            </w:tcBorders>
            <w:vAlign w:val="top"/>
          </w:tcPr>
          <w:p w14:paraId="54B43CF2">
            <w:pPr>
              <w:rPr>
                <w:rFonts w:ascii="Arial"/>
                <w:sz w:val="21"/>
              </w:rPr>
            </w:pPr>
          </w:p>
        </w:tc>
        <w:tc>
          <w:tcPr>
            <w:tcW w:w="735" w:type="dxa"/>
            <w:vMerge w:val="continue"/>
            <w:tcBorders>
              <w:top w:val="nil"/>
              <w:bottom w:val="nil"/>
            </w:tcBorders>
            <w:vAlign w:val="top"/>
          </w:tcPr>
          <w:p w14:paraId="773C4AAE">
            <w:pPr>
              <w:rPr>
                <w:rFonts w:ascii="Arial"/>
                <w:sz w:val="21"/>
              </w:rPr>
            </w:pPr>
          </w:p>
        </w:tc>
        <w:tc>
          <w:tcPr>
            <w:tcW w:w="4562" w:type="dxa"/>
            <w:vAlign w:val="top"/>
          </w:tcPr>
          <w:p w14:paraId="5247A895">
            <w:pPr>
              <w:pStyle w:val="6"/>
              <w:spacing w:before="78" w:line="227" w:lineRule="auto"/>
              <w:ind w:left="138"/>
            </w:pPr>
            <w:r>
              <w:rPr>
                <w:spacing w:val="4"/>
              </w:rPr>
              <w:t>内容欠完备，基本可行</w:t>
            </w:r>
            <w:r>
              <w:rPr>
                <w:spacing w:val="8"/>
              </w:rPr>
              <w:t xml:space="preserve">          </w:t>
            </w:r>
            <w:r>
              <w:rPr>
                <w:spacing w:val="4"/>
              </w:rPr>
              <w:t>1.5-1.4</w:t>
            </w:r>
            <w:r>
              <w:rPr>
                <w:spacing w:val="-38"/>
              </w:rPr>
              <w:t xml:space="preserve"> </w:t>
            </w:r>
            <w:r>
              <w:rPr>
                <w:spacing w:val="4"/>
              </w:rPr>
              <w:t>分</w:t>
            </w:r>
          </w:p>
        </w:tc>
      </w:tr>
      <w:tr w14:paraId="6D98F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7CD4BD3">
            <w:pPr>
              <w:rPr>
                <w:rFonts w:ascii="Arial"/>
                <w:sz w:val="21"/>
              </w:rPr>
            </w:pPr>
          </w:p>
        </w:tc>
        <w:tc>
          <w:tcPr>
            <w:tcW w:w="1058" w:type="dxa"/>
            <w:vMerge w:val="continue"/>
            <w:tcBorders>
              <w:top w:val="nil"/>
              <w:bottom w:val="nil"/>
            </w:tcBorders>
            <w:vAlign w:val="top"/>
          </w:tcPr>
          <w:p w14:paraId="15412CD0">
            <w:pPr>
              <w:rPr>
                <w:rFonts w:ascii="Arial"/>
                <w:sz w:val="21"/>
              </w:rPr>
            </w:pPr>
          </w:p>
        </w:tc>
        <w:tc>
          <w:tcPr>
            <w:tcW w:w="2084" w:type="dxa"/>
            <w:vMerge w:val="continue"/>
            <w:tcBorders>
              <w:top w:val="nil"/>
            </w:tcBorders>
            <w:vAlign w:val="top"/>
          </w:tcPr>
          <w:p w14:paraId="62FF4617">
            <w:pPr>
              <w:rPr>
                <w:rFonts w:ascii="Arial"/>
                <w:sz w:val="21"/>
              </w:rPr>
            </w:pPr>
          </w:p>
        </w:tc>
        <w:tc>
          <w:tcPr>
            <w:tcW w:w="735" w:type="dxa"/>
            <w:vMerge w:val="continue"/>
            <w:tcBorders>
              <w:top w:val="nil"/>
            </w:tcBorders>
            <w:vAlign w:val="top"/>
          </w:tcPr>
          <w:p w14:paraId="05BDB27C">
            <w:pPr>
              <w:rPr>
                <w:rFonts w:ascii="Arial"/>
                <w:sz w:val="21"/>
              </w:rPr>
            </w:pPr>
          </w:p>
        </w:tc>
        <w:tc>
          <w:tcPr>
            <w:tcW w:w="4562" w:type="dxa"/>
            <w:vAlign w:val="top"/>
          </w:tcPr>
          <w:p w14:paraId="77977CAB">
            <w:pPr>
              <w:pStyle w:val="6"/>
              <w:spacing w:before="79" w:line="228" w:lineRule="auto"/>
              <w:ind w:left="116"/>
            </w:pPr>
            <w:r>
              <w:rPr>
                <w:spacing w:val="2"/>
              </w:rPr>
              <w:t>不可行                               0</w:t>
            </w:r>
            <w:r>
              <w:rPr>
                <w:spacing w:val="-36"/>
              </w:rPr>
              <w:t xml:space="preserve"> </w:t>
            </w:r>
            <w:r>
              <w:rPr>
                <w:spacing w:val="2"/>
              </w:rPr>
              <w:t>分</w:t>
            </w:r>
          </w:p>
        </w:tc>
      </w:tr>
      <w:tr w14:paraId="4C1E1A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4617AAA">
            <w:pPr>
              <w:rPr>
                <w:rFonts w:ascii="Arial"/>
                <w:sz w:val="21"/>
              </w:rPr>
            </w:pPr>
          </w:p>
        </w:tc>
        <w:tc>
          <w:tcPr>
            <w:tcW w:w="1058" w:type="dxa"/>
            <w:vMerge w:val="continue"/>
            <w:tcBorders>
              <w:top w:val="nil"/>
              <w:bottom w:val="nil"/>
            </w:tcBorders>
            <w:vAlign w:val="top"/>
          </w:tcPr>
          <w:p w14:paraId="72178B3E">
            <w:pPr>
              <w:rPr>
                <w:rFonts w:ascii="Arial"/>
                <w:sz w:val="21"/>
              </w:rPr>
            </w:pPr>
          </w:p>
        </w:tc>
        <w:tc>
          <w:tcPr>
            <w:tcW w:w="2084" w:type="dxa"/>
            <w:vMerge w:val="restart"/>
            <w:tcBorders>
              <w:bottom w:val="nil"/>
            </w:tcBorders>
            <w:vAlign w:val="top"/>
          </w:tcPr>
          <w:p w14:paraId="441ACBC5">
            <w:pPr>
              <w:spacing w:line="283" w:lineRule="auto"/>
              <w:rPr>
                <w:rFonts w:ascii="Arial"/>
                <w:sz w:val="21"/>
              </w:rPr>
            </w:pPr>
          </w:p>
          <w:p w14:paraId="4DB6BDC5">
            <w:pPr>
              <w:spacing w:line="283" w:lineRule="auto"/>
              <w:rPr>
                <w:rFonts w:ascii="Arial"/>
                <w:sz w:val="21"/>
              </w:rPr>
            </w:pPr>
          </w:p>
          <w:p w14:paraId="048613EB">
            <w:pPr>
              <w:pStyle w:val="6"/>
              <w:spacing w:before="65" w:line="228" w:lineRule="auto"/>
              <w:ind w:left="114"/>
            </w:pPr>
            <w:r>
              <w:rPr>
                <w:spacing w:val="7"/>
              </w:rPr>
              <w:t>主要施工方案</w:t>
            </w:r>
          </w:p>
        </w:tc>
        <w:tc>
          <w:tcPr>
            <w:tcW w:w="735" w:type="dxa"/>
            <w:vMerge w:val="restart"/>
            <w:tcBorders>
              <w:bottom w:val="nil"/>
            </w:tcBorders>
            <w:vAlign w:val="top"/>
          </w:tcPr>
          <w:p w14:paraId="6E95CF09">
            <w:pPr>
              <w:spacing w:line="283" w:lineRule="auto"/>
              <w:rPr>
                <w:rFonts w:ascii="Arial"/>
                <w:sz w:val="21"/>
              </w:rPr>
            </w:pPr>
          </w:p>
          <w:p w14:paraId="32D74E19">
            <w:pPr>
              <w:spacing w:line="283" w:lineRule="auto"/>
              <w:rPr>
                <w:rFonts w:ascii="Arial"/>
                <w:sz w:val="21"/>
              </w:rPr>
            </w:pPr>
          </w:p>
          <w:p w14:paraId="050601B7">
            <w:pPr>
              <w:pStyle w:val="6"/>
              <w:spacing w:before="65" w:line="228" w:lineRule="auto"/>
              <w:ind w:left="118"/>
            </w:pPr>
            <w:r>
              <w:rPr>
                <w:spacing w:val="-4"/>
              </w:rPr>
              <w:t>5</w:t>
            </w:r>
            <w:r>
              <w:rPr>
                <w:spacing w:val="-38"/>
              </w:rPr>
              <w:t xml:space="preserve"> </w:t>
            </w:r>
            <w:r>
              <w:rPr>
                <w:spacing w:val="-4"/>
              </w:rPr>
              <w:t>分</w:t>
            </w:r>
          </w:p>
        </w:tc>
        <w:tc>
          <w:tcPr>
            <w:tcW w:w="4562" w:type="dxa"/>
            <w:vAlign w:val="top"/>
          </w:tcPr>
          <w:p w14:paraId="0AFAB880">
            <w:pPr>
              <w:pStyle w:val="6"/>
              <w:spacing w:before="78" w:line="227" w:lineRule="auto"/>
              <w:ind w:left="113"/>
            </w:pPr>
            <w:r>
              <w:rPr>
                <w:spacing w:val="6"/>
              </w:rPr>
              <w:t>科学、合理、针对性强            5-4.6</w:t>
            </w:r>
            <w:r>
              <w:rPr>
                <w:spacing w:val="-29"/>
              </w:rPr>
              <w:t xml:space="preserve"> </w:t>
            </w:r>
            <w:r>
              <w:rPr>
                <w:spacing w:val="6"/>
              </w:rPr>
              <w:t>分</w:t>
            </w:r>
          </w:p>
        </w:tc>
      </w:tr>
      <w:tr w14:paraId="449A2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794A570">
            <w:pPr>
              <w:rPr>
                <w:rFonts w:ascii="Arial"/>
                <w:sz w:val="21"/>
              </w:rPr>
            </w:pPr>
          </w:p>
        </w:tc>
        <w:tc>
          <w:tcPr>
            <w:tcW w:w="1058" w:type="dxa"/>
            <w:vMerge w:val="continue"/>
            <w:tcBorders>
              <w:top w:val="nil"/>
              <w:bottom w:val="nil"/>
            </w:tcBorders>
            <w:vAlign w:val="top"/>
          </w:tcPr>
          <w:p w14:paraId="62619F87">
            <w:pPr>
              <w:rPr>
                <w:rFonts w:ascii="Arial"/>
                <w:sz w:val="21"/>
              </w:rPr>
            </w:pPr>
          </w:p>
        </w:tc>
        <w:tc>
          <w:tcPr>
            <w:tcW w:w="2084" w:type="dxa"/>
            <w:vMerge w:val="continue"/>
            <w:tcBorders>
              <w:top w:val="nil"/>
              <w:bottom w:val="nil"/>
            </w:tcBorders>
            <w:vAlign w:val="top"/>
          </w:tcPr>
          <w:p w14:paraId="79942A66">
            <w:pPr>
              <w:rPr>
                <w:rFonts w:ascii="Arial"/>
                <w:sz w:val="21"/>
              </w:rPr>
            </w:pPr>
          </w:p>
        </w:tc>
        <w:tc>
          <w:tcPr>
            <w:tcW w:w="735" w:type="dxa"/>
            <w:vMerge w:val="continue"/>
            <w:tcBorders>
              <w:top w:val="nil"/>
              <w:bottom w:val="nil"/>
            </w:tcBorders>
            <w:vAlign w:val="top"/>
          </w:tcPr>
          <w:p w14:paraId="73E91AB8">
            <w:pPr>
              <w:rPr>
                <w:rFonts w:ascii="Arial"/>
                <w:sz w:val="21"/>
              </w:rPr>
            </w:pPr>
          </w:p>
        </w:tc>
        <w:tc>
          <w:tcPr>
            <w:tcW w:w="4562" w:type="dxa"/>
            <w:vAlign w:val="top"/>
          </w:tcPr>
          <w:p w14:paraId="312BAAE5">
            <w:pPr>
              <w:pStyle w:val="6"/>
              <w:spacing w:before="80" w:line="228" w:lineRule="auto"/>
              <w:ind w:left="114"/>
            </w:pPr>
            <w:r>
              <w:rPr>
                <w:spacing w:val="5"/>
              </w:rPr>
              <w:t>合理、可行</w:t>
            </w:r>
            <w:r>
              <w:t xml:space="preserve">                       </w:t>
            </w:r>
            <w:r>
              <w:rPr>
                <w:spacing w:val="5"/>
              </w:rPr>
              <w:t>4.5-4</w:t>
            </w:r>
            <w:r>
              <w:rPr>
                <w:spacing w:val="-16"/>
              </w:rPr>
              <w:t xml:space="preserve"> </w:t>
            </w:r>
            <w:r>
              <w:rPr>
                <w:spacing w:val="5"/>
              </w:rPr>
              <w:t>分</w:t>
            </w:r>
          </w:p>
        </w:tc>
      </w:tr>
      <w:tr w14:paraId="2F13F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3F5F526">
            <w:pPr>
              <w:rPr>
                <w:rFonts w:ascii="Arial"/>
                <w:sz w:val="21"/>
              </w:rPr>
            </w:pPr>
          </w:p>
        </w:tc>
        <w:tc>
          <w:tcPr>
            <w:tcW w:w="1058" w:type="dxa"/>
            <w:vMerge w:val="continue"/>
            <w:tcBorders>
              <w:top w:val="nil"/>
              <w:bottom w:val="nil"/>
            </w:tcBorders>
            <w:vAlign w:val="top"/>
          </w:tcPr>
          <w:p w14:paraId="50A51859">
            <w:pPr>
              <w:rPr>
                <w:rFonts w:ascii="Arial"/>
                <w:sz w:val="21"/>
              </w:rPr>
            </w:pPr>
          </w:p>
        </w:tc>
        <w:tc>
          <w:tcPr>
            <w:tcW w:w="2084" w:type="dxa"/>
            <w:vMerge w:val="continue"/>
            <w:tcBorders>
              <w:top w:val="nil"/>
              <w:bottom w:val="nil"/>
            </w:tcBorders>
            <w:vAlign w:val="top"/>
          </w:tcPr>
          <w:p w14:paraId="39D5B7F9">
            <w:pPr>
              <w:rPr>
                <w:rFonts w:ascii="Arial"/>
                <w:sz w:val="21"/>
              </w:rPr>
            </w:pPr>
          </w:p>
        </w:tc>
        <w:tc>
          <w:tcPr>
            <w:tcW w:w="735" w:type="dxa"/>
            <w:vMerge w:val="continue"/>
            <w:tcBorders>
              <w:top w:val="nil"/>
              <w:bottom w:val="nil"/>
            </w:tcBorders>
            <w:vAlign w:val="top"/>
          </w:tcPr>
          <w:p w14:paraId="28069AFD">
            <w:pPr>
              <w:rPr>
                <w:rFonts w:ascii="Arial"/>
                <w:sz w:val="21"/>
              </w:rPr>
            </w:pPr>
          </w:p>
        </w:tc>
        <w:tc>
          <w:tcPr>
            <w:tcW w:w="4562" w:type="dxa"/>
            <w:vAlign w:val="top"/>
          </w:tcPr>
          <w:p w14:paraId="7D428BFB">
            <w:pPr>
              <w:pStyle w:val="6"/>
              <w:spacing w:before="79" w:line="227" w:lineRule="auto"/>
              <w:ind w:left="114"/>
            </w:pPr>
            <w:r>
              <w:rPr>
                <w:spacing w:val="6"/>
              </w:rPr>
              <w:t>欠合理，基本可行              3.9-</w:t>
            </w:r>
            <w:r>
              <w:rPr>
                <w:spacing w:val="5"/>
              </w:rPr>
              <w:t>3.5</w:t>
            </w:r>
            <w:r>
              <w:rPr>
                <w:spacing w:val="-37"/>
              </w:rPr>
              <w:t xml:space="preserve"> </w:t>
            </w:r>
            <w:r>
              <w:rPr>
                <w:spacing w:val="5"/>
              </w:rPr>
              <w:t>分</w:t>
            </w:r>
          </w:p>
        </w:tc>
      </w:tr>
      <w:tr w14:paraId="293729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861F89D">
            <w:pPr>
              <w:rPr>
                <w:rFonts w:ascii="Arial"/>
                <w:sz w:val="21"/>
              </w:rPr>
            </w:pPr>
          </w:p>
        </w:tc>
        <w:tc>
          <w:tcPr>
            <w:tcW w:w="1058" w:type="dxa"/>
            <w:vMerge w:val="continue"/>
            <w:tcBorders>
              <w:top w:val="nil"/>
              <w:bottom w:val="nil"/>
            </w:tcBorders>
            <w:vAlign w:val="top"/>
          </w:tcPr>
          <w:p w14:paraId="2FC8935C">
            <w:pPr>
              <w:rPr>
                <w:rFonts w:ascii="Arial"/>
                <w:sz w:val="21"/>
              </w:rPr>
            </w:pPr>
          </w:p>
        </w:tc>
        <w:tc>
          <w:tcPr>
            <w:tcW w:w="2084" w:type="dxa"/>
            <w:vMerge w:val="continue"/>
            <w:tcBorders>
              <w:top w:val="nil"/>
            </w:tcBorders>
            <w:vAlign w:val="top"/>
          </w:tcPr>
          <w:p w14:paraId="618BA416">
            <w:pPr>
              <w:rPr>
                <w:rFonts w:ascii="Arial"/>
                <w:sz w:val="21"/>
              </w:rPr>
            </w:pPr>
          </w:p>
        </w:tc>
        <w:tc>
          <w:tcPr>
            <w:tcW w:w="735" w:type="dxa"/>
            <w:vMerge w:val="continue"/>
            <w:tcBorders>
              <w:top w:val="nil"/>
            </w:tcBorders>
            <w:vAlign w:val="top"/>
          </w:tcPr>
          <w:p w14:paraId="2220C0EB">
            <w:pPr>
              <w:rPr>
                <w:rFonts w:ascii="Arial"/>
                <w:sz w:val="21"/>
              </w:rPr>
            </w:pPr>
          </w:p>
        </w:tc>
        <w:tc>
          <w:tcPr>
            <w:tcW w:w="4562" w:type="dxa"/>
            <w:vAlign w:val="top"/>
          </w:tcPr>
          <w:p w14:paraId="1A22DD48">
            <w:pPr>
              <w:pStyle w:val="6"/>
              <w:spacing w:before="79" w:line="228" w:lineRule="auto"/>
              <w:ind w:left="116"/>
            </w:pPr>
            <w:r>
              <w:rPr>
                <w:spacing w:val="6"/>
              </w:rPr>
              <w:t>不可行，不能满足工程需要            0</w:t>
            </w:r>
            <w:r>
              <w:rPr>
                <w:spacing w:val="-20"/>
              </w:rPr>
              <w:t xml:space="preserve"> </w:t>
            </w:r>
            <w:r>
              <w:rPr>
                <w:spacing w:val="6"/>
              </w:rPr>
              <w:t>分</w:t>
            </w:r>
          </w:p>
        </w:tc>
      </w:tr>
      <w:tr w14:paraId="56F497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DA52CFE">
            <w:pPr>
              <w:rPr>
                <w:rFonts w:ascii="Arial"/>
                <w:sz w:val="21"/>
              </w:rPr>
            </w:pPr>
          </w:p>
        </w:tc>
        <w:tc>
          <w:tcPr>
            <w:tcW w:w="1058" w:type="dxa"/>
            <w:vMerge w:val="continue"/>
            <w:tcBorders>
              <w:top w:val="nil"/>
              <w:bottom w:val="nil"/>
            </w:tcBorders>
            <w:vAlign w:val="top"/>
          </w:tcPr>
          <w:p w14:paraId="5747EE5F">
            <w:pPr>
              <w:rPr>
                <w:rFonts w:ascii="Arial"/>
                <w:sz w:val="21"/>
              </w:rPr>
            </w:pPr>
          </w:p>
        </w:tc>
        <w:tc>
          <w:tcPr>
            <w:tcW w:w="2084" w:type="dxa"/>
            <w:vMerge w:val="restart"/>
            <w:tcBorders>
              <w:bottom w:val="nil"/>
            </w:tcBorders>
            <w:vAlign w:val="top"/>
          </w:tcPr>
          <w:p w14:paraId="6EC6AA7E">
            <w:pPr>
              <w:spacing w:line="282" w:lineRule="auto"/>
              <w:rPr>
                <w:rFonts w:ascii="Arial"/>
                <w:sz w:val="21"/>
              </w:rPr>
            </w:pPr>
          </w:p>
          <w:p w14:paraId="11FE27B8">
            <w:pPr>
              <w:spacing w:line="282" w:lineRule="auto"/>
              <w:rPr>
                <w:rFonts w:ascii="Arial"/>
                <w:sz w:val="21"/>
              </w:rPr>
            </w:pPr>
          </w:p>
          <w:p w14:paraId="67C03214">
            <w:pPr>
              <w:pStyle w:val="6"/>
              <w:spacing w:before="65" w:line="227" w:lineRule="auto"/>
              <w:ind w:left="111"/>
            </w:pPr>
            <w:r>
              <w:rPr>
                <w:spacing w:val="8"/>
              </w:rPr>
              <w:t>施工现场平面布置</w:t>
            </w:r>
          </w:p>
        </w:tc>
        <w:tc>
          <w:tcPr>
            <w:tcW w:w="735" w:type="dxa"/>
            <w:vMerge w:val="restart"/>
            <w:tcBorders>
              <w:bottom w:val="nil"/>
            </w:tcBorders>
            <w:vAlign w:val="top"/>
          </w:tcPr>
          <w:p w14:paraId="66F2DEFA">
            <w:pPr>
              <w:spacing w:line="282" w:lineRule="auto"/>
              <w:rPr>
                <w:rFonts w:ascii="Arial"/>
                <w:sz w:val="21"/>
              </w:rPr>
            </w:pPr>
          </w:p>
          <w:p w14:paraId="731E1E2C">
            <w:pPr>
              <w:spacing w:line="283" w:lineRule="auto"/>
              <w:rPr>
                <w:rFonts w:ascii="Arial"/>
                <w:sz w:val="21"/>
              </w:rPr>
            </w:pPr>
          </w:p>
          <w:p w14:paraId="4854626E">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4541474F">
            <w:pPr>
              <w:pStyle w:val="6"/>
              <w:spacing w:before="78" w:line="227" w:lineRule="auto"/>
              <w:ind w:left="115"/>
            </w:pPr>
            <w:r>
              <w:rPr>
                <w:spacing w:val="5"/>
              </w:rPr>
              <w:t>现场布置合理</w:t>
            </w:r>
            <w:r>
              <w:t xml:space="preserve">                     </w:t>
            </w:r>
            <w:r>
              <w:rPr>
                <w:spacing w:val="5"/>
              </w:rPr>
              <w:t>2-1.9</w:t>
            </w:r>
            <w:r>
              <w:rPr>
                <w:spacing w:val="-22"/>
              </w:rPr>
              <w:t xml:space="preserve"> </w:t>
            </w:r>
            <w:r>
              <w:rPr>
                <w:spacing w:val="5"/>
              </w:rPr>
              <w:t>分</w:t>
            </w:r>
          </w:p>
        </w:tc>
      </w:tr>
      <w:tr w14:paraId="310126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6782F48">
            <w:pPr>
              <w:rPr>
                <w:rFonts w:ascii="Arial"/>
                <w:sz w:val="21"/>
              </w:rPr>
            </w:pPr>
          </w:p>
        </w:tc>
        <w:tc>
          <w:tcPr>
            <w:tcW w:w="1058" w:type="dxa"/>
            <w:vMerge w:val="continue"/>
            <w:tcBorders>
              <w:top w:val="nil"/>
              <w:bottom w:val="nil"/>
            </w:tcBorders>
            <w:vAlign w:val="top"/>
          </w:tcPr>
          <w:p w14:paraId="41771CEF">
            <w:pPr>
              <w:rPr>
                <w:rFonts w:ascii="Arial"/>
                <w:sz w:val="21"/>
              </w:rPr>
            </w:pPr>
          </w:p>
        </w:tc>
        <w:tc>
          <w:tcPr>
            <w:tcW w:w="2084" w:type="dxa"/>
            <w:vMerge w:val="continue"/>
            <w:tcBorders>
              <w:top w:val="nil"/>
              <w:bottom w:val="nil"/>
            </w:tcBorders>
            <w:vAlign w:val="top"/>
          </w:tcPr>
          <w:p w14:paraId="225040A6">
            <w:pPr>
              <w:rPr>
                <w:rFonts w:ascii="Arial"/>
                <w:sz w:val="21"/>
              </w:rPr>
            </w:pPr>
          </w:p>
        </w:tc>
        <w:tc>
          <w:tcPr>
            <w:tcW w:w="735" w:type="dxa"/>
            <w:vMerge w:val="continue"/>
            <w:tcBorders>
              <w:top w:val="nil"/>
              <w:bottom w:val="nil"/>
            </w:tcBorders>
            <w:vAlign w:val="top"/>
          </w:tcPr>
          <w:p w14:paraId="00704E80">
            <w:pPr>
              <w:rPr>
                <w:rFonts w:ascii="Arial"/>
                <w:sz w:val="21"/>
              </w:rPr>
            </w:pPr>
          </w:p>
        </w:tc>
        <w:tc>
          <w:tcPr>
            <w:tcW w:w="4562" w:type="dxa"/>
            <w:vAlign w:val="top"/>
          </w:tcPr>
          <w:p w14:paraId="645E0D17">
            <w:pPr>
              <w:pStyle w:val="6"/>
              <w:spacing w:before="78" w:line="227" w:lineRule="auto"/>
              <w:ind w:left="115"/>
            </w:pPr>
            <w:r>
              <w:rPr>
                <w:spacing w:val="4"/>
              </w:rPr>
              <w:t>现场布置可行</w:t>
            </w:r>
            <w:r>
              <w:rPr>
                <w:spacing w:val="1"/>
              </w:rPr>
              <w:t xml:space="preserve">                   </w:t>
            </w:r>
            <w:r>
              <w:rPr>
                <w:spacing w:val="4"/>
              </w:rPr>
              <w:t>1.8-1.6</w:t>
            </w:r>
            <w:r>
              <w:rPr>
                <w:spacing w:val="-37"/>
              </w:rPr>
              <w:t xml:space="preserve"> </w:t>
            </w:r>
            <w:r>
              <w:rPr>
                <w:spacing w:val="4"/>
              </w:rPr>
              <w:t>分</w:t>
            </w:r>
          </w:p>
        </w:tc>
      </w:tr>
      <w:tr w14:paraId="6787B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985424C">
            <w:pPr>
              <w:rPr>
                <w:rFonts w:ascii="Arial"/>
                <w:sz w:val="21"/>
              </w:rPr>
            </w:pPr>
          </w:p>
        </w:tc>
        <w:tc>
          <w:tcPr>
            <w:tcW w:w="1058" w:type="dxa"/>
            <w:vMerge w:val="continue"/>
            <w:tcBorders>
              <w:top w:val="nil"/>
              <w:bottom w:val="nil"/>
            </w:tcBorders>
            <w:vAlign w:val="top"/>
          </w:tcPr>
          <w:p w14:paraId="564913B0">
            <w:pPr>
              <w:rPr>
                <w:rFonts w:ascii="Arial"/>
                <w:sz w:val="21"/>
              </w:rPr>
            </w:pPr>
          </w:p>
        </w:tc>
        <w:tc>
          <w:tcPr>
            <w:tcW w:w="2084" w:type="dxa"/>
            <w:vMerge w:val="continue"/>
            <w:tcBorders>
              <w:top w:val="nil"/>
              <w:bottom w:val="nil"/>
            </w:tcBorders>
            <w:vAlign w:val="top"/>
          </w:tcPr>
          <w:p w14:paraId="4BFA52BF">
            <w:pPr>
              <w:rPr>
                <w:rFonts w:ascii="Arial"/>
                <w:sz w:val="21"/>
              </w:rPr>
            </w:pPr>
          </w:p>
        </w:tc>
        <w:tc>
          <w:tcPr>
            <w:tcW w:w="735" w:type="dxa"/>
            <w:vMerge w:val="continue"/>
            <w:tcBorders>
              <w:top w:val="nil"/>
              <w:bottom w:val="nil"/>
            </w:tcBorders>
            <w:vAlign w:val="top"/>
          </w:tcPr>
          <w:p w14:paraId="0BD67CAD">
            <w:pPr>
              <w:rPr>
                <w:rFonts w:ascii="Arial"/>
                <w:sz w:val="21"/>
              </w:rPr>
            </w:pPr>
          </w:p>
        </w:tc>
        <w:tc>
          <w:tcPr>
            <w:tcW w:w="4562" w:type="dxa"/>
            <w:vAlign w:val="top"/>
          </w:tcPr>
          <w:p w14:paraId="23035E7A">
            <w:pPr>
              <w:pStyle w:val="6"/>
              <w:spacing w:before="78" w:line="227" w:lineRule="auto"/>
              <w:ind w:left="115"/>
            </w:pPr>
            <w:r>
              <w:rPr>
                <w:spacing w:val="4"/>
              </w:rPr>
              <w:t>现场布置基本可行</w:t>
            </w:r>
            <w:r>
              <w:rPr>
                <w:spacing w:val="8"/>
              </w:rPr>
              <w:t xml:space="preserve">              </w:t>
            </w:r>
            <w:r>
              <w:rPr>
                <w:spacing w:val="4"/>
              </w:rPr>
              <w:t>1.5-1.4</w:t>
            </w:r>
            <w:r>
              <w:rPr>
                <w:spacing w:val="-38"/>
              </w:rPr>
              <w:t xml:space="preserve"> </w:t>
            </w:r>
            <w:r>
              <w:rPr>
                <w:spacing w:val="4"/>
              </w:rPr>
              <w:t>分</w:t>
            </w:r>
          </w:p>
        </w:tc>
      </w:tr>
      <w:tr w14:paraId="237CF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E8B5039">
            <w:pPr>
              <w:rPr>
                <w:rFonts w:ascii="Arial"/>
                <w:sz w:val="21"/>
              </w:rPr>
            </w:pPr>
          </w:p>
        </w:tc>
        <w:tc>
          <w:tcPr>
            <w:tcW w:w="1058" w:type="dxa"/>
            <w:vMerge w:val="continue"/>
            <w:tcBorders>
              <w:top w:val="nil"/>
              <w:bottom w:val="nil"/>
            </w:tcBorders>
            <w:vAlign w:val="top"/>
          </w:tcPr>
          <w:p w14:paraId="4D9D2808">
            <w:pPr>
              <w:rPr>
                <w:rFonts w:ascii="Arial"/>
                <w:sz w:val="21"/>
              </w:rPr>
            </w:pPr>
          </w:p>
        </w:tc>
        <w:tc>
          <w:tcPr>
            <w:tcW w:w="2084" w:type="dxa"/>
            <w:vMerge w:val="continue"/>
            <w:tcBorders>
              <w:top w:val="nil"/>
            </w:tcBorders>
            <w:vAlign w:val="top"/>
          </w:tcPr>
          <w:p w14:paraId="74779A51">
            <w:pPr>
              <w:rPr>
                <w:rFonts w:ascii="Arial"/>
                <w:sz w:val="21"/>
              </w:rPr>
            </w:pPr>
          </w:p>
        </w:tc>
        <w:tc>
          <w:tcPr>
            <w:tcW w:w="735" w:type="dxa"/>
            <w:vMerge w:val="continue"/>
            <w:tcBorders>
              <w:top w:val="nil"/>
            </w:tcBorders>
            <w:vAlign w:val="top"/>
          </w:tcPr>
          <w:p w14:paraId="3B56EE13">
            <w:pPr>
              <w:rPr>
                <w:rFonts w:ascii="Arial"/>
                <w:sz w:val="21"/>
              </w:rPr>
            </w:pPr>
          </w:p>
        </w:tc>
        <w:tc>
          <w:tcPr>
            <w:tcW w:w="4562" w:type="dxa"/>
            <w:vAlign w:val="top"/>
          </w:tcPr>
          <w:p w14:paraId="25039EB3">
            <w:pPr>
              <w:pStyle w:val="6"/>
              <w:spacing w:before="80" w:line="227" w:lineRule="auto"/>
              <w:ind w:left="115"/>
            </w:pPr>
            <w:r>
              <w:rPr>
                <w:spacing w:val="5"/>
              </w:rPr>
              <w:t>现场布置不可行</w:t>
            </w:r>
            <w:r>
              <w:rPr>
                <w:spacing w:val="1"/>
              </w:rPr>
              <w:t xml:space="preserve">                       </w:t>
            </w:r>
            <w:r>
              <w:rPr>
                <w:spacing w:val="5"/>
              </w:rPr>
              <w:t>0</w:t>
            </w:r>
            <w:r>
              <w:rPr>
                <w:spacing w:val="-30"/>
              </w:rPr>
              <w:t xml:space="preserve"> </w:t>
            </w:r>
            <w:r>
              <w:rPr>
                <w:spacing w:val="5"/>
              </w:rPr>
              <w:t>分</w:t>
            </w:r>
          </w:p>
        </w:tc>
      </w:tr>
      <w:tr w14:paraId="0D1F29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45" w:type="dxa"/>
            <w:vMerge w:val="continue"/>
            <w:tcBorders>
              <w:top w:val="nil"/>
            </w:tcBorders>
            <w:vAlign w:val="top"/>
          </w:tcPr>
          <w:p w14:paraId="1903F5D9">
            <w:pPr>
              <w:rPr>
                <w:rFonts w:ascii="Arial"/>
                <w:sz w:val="21"/>
              </w:rPr>
            </w:pPr>
          </w:p>
        </w:tc>
        <w:tc>
          <w:tcPr>
            <w:tcW w:w="1058" w:type="dxa"/>
            <w:vMerge w:val="continue"/>
            <w:tcBorders>
              <w:top w:val="nil"/>
            </w:tcBorders>
            <w:vAlign w:val="top"/>
          </w:tcPr>
          <w:p w14:paraId="18B6F319">
            <w:pPr>
              <w:rPr>
                <w:rFonts w:ascii="Arial"/>
                <w:sz w:val="21"/>
              </w:rPr>
            </w:pPr>
          </w:p>
        </w:tc>
        <w:tc>
          <w:tcPr>
            <w:tcW w:w="2084" w:type="dxa"/>
            <w:vAlign w:val="top"/>
          </w:tcPr>
          <w:p w14:paraId="50044784">
            <w:pPr>
              <w:pStyle w:val="6"/>
              <w:spacing w:before="79" w:line="228" w:lineRule="auto"/>
              <w:ind w:left="114"/>
            </w:pPr>
            <w:r>
              <w:rPr>
                <w:spacing w:val="8"/>
              </w:rPr>
              <w:t>主要施工管理计划</w:t>
            </w:r>
          </w:p>
        </w:tc>
        <w:tc>
          <w:tcPr>
            <w:tcW w:w="735" w:type="dxa"/>
            <w:vAlign w:val="top"/>
          </w:tcPr>
          <w:p w14:paraId="0ADE51DC">
            <w:pPr>
              <w:pStyle w:val="6"/>
              <w:spacing w:before="80" w:line="228" w:lineRule="auto"/>
              <w:ind w:left="118"/>
            </w:pPr>
            <w:r>
              <w:rPr>
                <w:spacing w:val="-4"/>
              </w:rPr>
              <w:t>3</w:t>
            </w:r>
            <w:r>
              <w:rPr>
                <w:spacing w:val="-38"/>
              </w:rPr>
              <w:t xml:space="preserve"> </w:t>
            </w:r>
            <w:r>
              <w:rPr>
                <w:spacing w:val="-4"/>
              </w:rPr>
              <w:t>分</w:t>
            </w:r>
          </w:p>
        </w:tc>
        <w:tc>
          <w:tcPr>
            <w:tcW w:w="4562" w:type="dxa"/>
            <w:vAlign w:val="top"/>
          </w:tcPr>
          <w:p w14:paraId="350B37C4">
            <w:pPr>
              <w:pStyle w:val="6"/>
              <w:spacing w:before="79" w:line="228" w:lineRule="auto"/>
              <w:ind w:left="138"/>
            </w:pPr>
            <w:r>
              <w:rPr>
                <w:spacing w:val="6"/>
              </w:rPr>
              <w:t xml:space="preserve">内容完备，合理、针对性强        </w:t>
            </w:r>
            <w:r>
              <w:rPr>
                <w:spacing w:val="5"/>
              </w:rPr>
              <w:t>3-2.8</w:t>
            </w:r>
            <w:r>
              <w:rPr>
                <w:spacing w:val="-36"/>
              </w:rPr>
              <w:t xml:space="preserve"> </w:t>
            </w:r>
            <w:r>
              <w:rPr>
                <w:spacing w:val="5"/>
              </w:rPr>
              <w:t>分</w:t>
            </w:r>
          </w:p>
        </w:tc>
      </w:tr>
    </w:tbl>
    <w:p w14:paraId="6B6E13B0">
      <w:pPr>
        <w:rPr>
          <w:rFonts w:ascii="Arial"/>
          <w:sz w:val="21"/>
        </w:rPr>
      </w:pPr>
    </w:p>
    <w:p w14:paraId="04C082E0">
      <w:pPr>
        <w:rPr>
          <w:rFonts w:ascii="Arial" w:hAnsi="Arial" w:eastAsia="Arial" w:cs="Arial"/>
          <w:sz w:val="21"/>
          <w:szCs w:val="21"/>
        </w:rPr>
        <w:sectPr>
          <w:footerReference r:id="rId83" w:type="default"/>
          <w:pgSz w:w="11907" w:h="16840"/>
          <w:pgMar w:top="400" w:right="1248" w:bottom="1035" w:left="1469" w:header="0" w:footer="785" w:gutter="0"/>
          <w:cols w:space="720" w:num="1"/>
        </w:sectPr>
      </w:pPr>
    </w:p>
    <w:p w14:paraId="2147E7DE">
      <w:pPr>
        <w:spacing w:before="19"/>
      </w:pPr>
    </w:p>
    <w:p w14:paraId="6C9CBAA1">
      <w:pPr>
        <w:spacing w:before="19"/>
      </w:pPr>
    </w:p>
    <w:p w14:paraId="0D7AEB6B">
      <w:pPr>
        <w:spacing w:before="19"/>
      </w:pPr>
    </w:p>
    <w:p w14:paraId="72C4A46C">
      <w:pPr>
        <w:spacing w:before="18"/>
      </w:pPr>
    </w:p>
    <w:p w14:paraId="28C84F39">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439"/>
        <w:gridCol w:w="645"/>
        <w:gridCol w:w="735"/>
        <w:gridCol w:w="4562"/>
      </w:tblGrid>
      <w:tr w14:paraId="12C2EF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745" w:type="dxa"/>
            <w:vMerge w:val="restart"/>
            <w:tcBorders>
              <w:bottom w:val="nil"/>
            </w:tcBorders>
            <w:vAlign w:val="top"/>
          </w:tcPr>
          <w:p w14:paraId="774974BC">
            <w:pPr>
              <w:rPr>
                <w:rFonts w:ascii="Arial"/>
                <w:sz w:val="21"/>
              </w:rPr>
            </w:pPr>
          </w:p>
        </w:tc>
        <w:tc>
          <w:tcPr>
            <w:tcW w:w="1058" w:type="dxa"/>
            <w:vMerge w:val="restart"/>
            <w:tcBorders>
              <w:bottom w:val="nil"/>
            </w:tcBorders>
            <w:vAlign w:val="top"/>
          </w:tcPr>
          <w:p w14:paraId="67747D36">
            <w:pPr>
              <w:rPr>
                <w:rFonts w:ascii="Arial"/>
                <w:sz w:val="21"/>
              </w:rPr>
            </w:pPr>
          </w:p>
        </w:tc>
        <w:tc>
          <w:tcPr>
            <w:tcW w:w="2084" w:type="dxa"/>
            <w:gridSpan w:val="2"/>
            <w:vMerge w:val="restart"/>
            <w:tcBorders>
              <w:bottom w:val="nil"/>
            </w:tcBorders>
            <w:vAlign w:val="top"/>
          </w:tcPr>
          <w:p w14:paraId="034C9DA2">
            <w:pPr>
              <w:rPr>
                <w:rFonts w:ascii="Arial"/>
                <w:sz w:val="21"/>
              </w:rPr>
            </w:pPr>
          </w:p>
        </w:tc>
        <w:tc>
          <w:tcPr>
            <w:tcW w:w="735" w:type="dxa"/>
            <w:vMerge w:val="restart"/>
            <w:tcBorders>
              <w:bottom w:val="nil"/>
            </w:tcBorders>
            <w:vAlign w:val="top"/>
          </w:tcPr>
          <w:p w14:paraId="2EF0E279">
            <w:pPr>
              <w:rPr>
                <w:rFonts w:ascii="Arial"/>
                <w:sz w:val="21"/>
              </w:rPr>
            </w:pPr>
          </w:p>
        </w:tc>
        <w:tc>
          <w:tcPr>
            <w:tcW w:w="4562" w:type="dxa"/>
            <w:vAlign w:val="top"/>
          </w:tcPr>
          <w:p w14:paraId="5DDAE950">
            <w:pPr>
              <w:pStyle w:val="6"/>
              <w:spacing w:before="78" w:line="228" w:lineRule="auto"/>
              <w:ind w:left="138"/>
            </w:pPr>
            <w:r>
              <w:rPr>
                <w:spacing w:val="4"/>
              </w:rPr>
              <w:t>内容完备，可行</w:t>
            </w:r>
            <w:r>
              <w:rPr>
                <w:spacing w:val="5"/>
              </w:rPr>
              <w:t xml:space="preserve">                </w:t>
            </w:r>
            <w:r>
              <w:rPr>
                <w:spacing w:val="4"/>
              </w:rPr>
              <w:t>2.7-2.4</w:t>
            </w:r>
            <w:r>
              <w:rPr>
                <w:spacing w:val="-26"/>
              </w:rPr>
              <w:t xml:space="preserve"> </w:t>
            </w:r>
            <w:r>
              <w:rPr>
                <w:spacing w:val="4"/>
              </w:rPr>
              <w:t>分</w:t>
            </w:r>
          </w:p>
        </w:tc>
      </w:tr>
      <w:tr w14:paraId="62037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FDAD148">
            <w:pPr>
              <w:rPr>
                <w:rFonts w:ascii="Arial"/>
                <w:sz w:val="21"/>
              </w:rPr>
            </w:pPr>
          </w:p>
        </w:tc>
        <w:tc>
          <w:tcPr>
            <w:tcW w:w="1058" w:type="dxa"/>
            <w:vMerge w:val="continue"/>
            <w:tcBorders>
              <w:top w:val="nil"/>
              <w:bottom w:val="nil"/>
            </w:tcBorders>
            <w:vAlign w:val="top"/>
          </w:tcPr>
          <w:p w14:paraId="05786DAE">
            <w:pPr>
              <w:rPr>
                <w:rFonts w:ascii="Arial"/>
                <w:sz w:val="21"/>
              </w:rPr>
            </w:pPr>
          </w:p>
        </w:tc>
        <w:tc>
          <w:tcPr>
            <w:tcW w:w="2084" w:type="dxa"/>
            <w:gridSpan w:val="2"/>
            <w:vMerge w:val="continue"/>
            <w:tcBorders>
              <w:top w:val="nil"/>
              <w:bottom w:val="nil"/>
            </w:tcBorders>
            <w:vAlign w:val="top"/>
          </w:tcPr>
          <w:p w14:paraId="2E2B1145">
            <w:pPr>
              <w:rPr>
                <w:rFonts w:ascii="Arial"/>
                <w:sz w:val="21"/>
              </w:rPr>
            </w:pPr>
          </w:p>
        </w:tc>
        <w:tc>
          <w:tcPr>
            <w:tcW w:w="735" w:type="dxa"/>
            <w:vMerge w:val="continue"/>
            <w:tcBorders>
              <w:top w:val="nil"/>
              <w:bottom w:val="nil"/>
            </w:tcBorders>
            <w:vAlign w:val="top"/>
          </w:tcPr>
          <w:p w14:paraId="3B7EC783">
            <w:pPr>
              <w:rPr>
                <w:rFonts w:ascii="Arial"/>
                <w:sz w:val="21"/>
              </w:rPr>
            </w:pPr>
          </w:p>
        </w:tc>
        <w:tc>
          <w:tcPr>
            <w:tcW w:w="4562" w:type="dxa"/>
            <w:vAlign w:val="top"/>
          </w:tcPr>
          <w:p w14:paraId="4A1F26E5">
            <w:pPr>
              <w:pStyle w:val="6"/>
              <w:spacing w:before="73" w:line="227" w:lineRule="auto"/>
              <w:ind w:left="138"/>
            </w:pPr>
            <w:r>
              <w:rPr>
                <w:spacing w:val="5"/>
              </w:rPr>
              <w:t>内容欠完备，基本可行          2.3-2.1</w:t>
            </w:r>
            <w:r>
              <w:rPr>
                <w:spacing w:val="-26"/>
              </w:rPr>
              <w:t xml:space="preserve"> </w:t>
            </w:r>
            <w:r>
              <w:rPr>
                <w:spacing w:val="5"/>
              </w:rPr>
              <w:t>分</w:t>
            </w:r>
          </w:p>
        </w:tc>
      </w:tr>
      <w:tr w14:paraId="296322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tcBorders>
            <w:vAlign w:val="top"/>
          </w:tcPr>
          <w:p w14:paraId="466B3A79">
            <w:pPr>
              <w:rPr>
                <w:rFonts w:ascii="Arial"/>
                <w:sz w:val="21"/>
              </w:rPr>
            </w:pPr>
          </w:p>
        </w:tc>
        <w:tc>
          <w:tcPr>
            <w:tcW w:w="1058" w:type="dxa"/>
            <w:vMerge w:val="continue"/>
            <w:tcBorders>
              <w:top w:val="nil"/>
            </w:tcBorders>
            <w:vAlign w:val="top"/>
          </w:tcPr>
          <w:p w14:paraId="7D223C27">
            <w:pPr>
              <w:rPr>
                <w:rFonts w:ascii="Arial"/>
                <w:sz w:val="21"/>
              </w:rPr>
            </w:pPr>
          </w:p>
        </w:tc>
        <w:tc>
          <w:tcPr>
            <w:tcW w:w="2084" w:type="dxa"/>
            <w:gridSpan w:val="2"/>
            <w:vMerge w:val="continue"/>
            <w:tcBorders>
              <w:top w:val="nil"/>
            </w:tcBorders>
            <w:vAlign w:val="top"/>
          </w:tcPr>
          <w:p w14:paraId="08C318C4">
            <w:pPr>
              <w:rPr>
                <w:rFonts w:ascii="Arial"/>
                <w:sz w:val="21"/>
              </w:rPr>
            </w:pPr>
          </w:p>
        </w:tc>
        <w:tc>
          <w:tcPr>
            <w:tcW w:w="735" w:type="dxa"/>
            <w:vMerge w:val="continue"/>
            <w:tcBorders>
              <w:top w:val="nil"/>
            </w:tcBorders>
            <w:vAlign w:val="top"/>
          </w:tcPr>
          <w:p w14:paraId="085DA4E1">
            <w:pPr>
              <w:rPr>
                <w:rFonts w:ascii="Arial"/>
                <w:sz w:val="21"/>
              </w:rPr>
            </w:pPr>
          </w:p>
        </w:tc>
        <w:tc>
          <w:tcPr>
            <w:tcW w:w="4562" w:type="dxa"/>
            <w:vAlign w:val="top"/>
          </w:tcPr>
          <w:p w14:paraId="12186B3F">
            <w:pPr>
              <w:pStyle w:val="6"/>
              <w:spacing w:before="75" w:line="228" w:lineRule="auto"/>
              <w:ind w:left="116"/>
            </w:pPr>
            <w:r>
              <w:rPr>
                <w:spacing w:val="2"/>
              </w:rPr>
              <w:t>不可行                               0</w:t>
            </w:r>
            <w:r>
              <w:rPr>
                <w:spacing w:val="-36"/>
              </w:rPr>
              <w:t xml:space="preserve"> </w:t>
            </w:r>
            <w:r>
              <w:rPr>
                <w:spacing w:val="2"/>
              </w:rPr>
              <w:t>分</w:t>
            </w:r>
          </w:p>
        </w:tc>
      </w:tr>
      <w:tr w14:paraId="23CF5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restart"/>
            <w:tcBorders>
              <w:bottom w:val="nil"/>
            </w:tcBorders>
            <w:vAlign w:val="top"/>
          </w:tcPr>
          <w:p w14:paraId="25936CA2">
            <w:pPr>
              <w:spacing w:line="270" w:lineRule="auto"/>
              <w:rPr>
                <w:rFonts w:ascii="Arial"/>
                <w:sz w:val="21"/>
              </w:rPr>
            </w:pPr>
          </w:p>
          <w:p w14:paraId="3D8F40E2">
            <w:pPr>
              <w:spacing w:line="271" w:lineRule="auto"/>
              <w:rPr>
                <w:rFonts w:ascii="Arial"/>
                <w:sz w:val="21"/>
              </w:rPr>
            </w:pPr>
          </w:p>
          <w:p w14:paraId="1677471F">
            <w:pPr>
              <w:spacing w:line="271" w:lineRule="auto"/>
              <w:rPr>
                <w:rFonts w:ascii="Arial"/>
                <w:sz w:val="21"/>
              </w:rPr>
            </w:pPr>
          </w:p>
          <w:p w14:paraId="7251CBAE">
            <w:pPr>
              <w:spacing w:line="271" w:lineRule="auto"/>
              <w:rPr>
                <w:rFonts w:ascii="Arial"/>
                <w:sz w:val="21"/>
              </w:rPr>
            </w:pPr>
          </w:p>
          <w:p w14:paraId="19AC50BB">
            <w:pPr>
              <w:spacing w:line="271" w:lineRule="auto"/>
              <w:rPr>
                <w:rFonts w:ascii="Arial"/>
                <w:sz w:val="21"/>
              </w:rPr>
            </w:pPr>
          </w:p>
          <w:p w14:paraId="326CDD69">
            <w:pPr>
              <w:spacing w:line="271" w:lineRule="auto"/>
              <w:rPr>
                <w:rFonts w:ascii="Arial"/>
                <w:sz w:val="21"/>
              </w:rPr>
            </w:pPr>
          </w:p>
          <w:p w14:paraId="2D4C05C8">
            <w:pPr>
              <w:spacing w:line="271" w:lineRule="auto"/>
              <w:rPr>
                <w:rFonts w:ascii="Arial"/>
                <w:sz w:val="21"/>
              </w:rPr>
            </w:pPr>
          </w:p>
          <w:p w14:paraId="79EBA0F1">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64D645F9">
            <w:pPr>
              <w:pStyle w:val="6"/>
              <w:spacing w:before="216"/>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58356AA9">
            <w:pPr>
              <w:spacing w:line="248" w:lineRule="auto"/>
              <w:rPr>
                <w:rFonts w:ascii="Arial"/>
                <w:sz w:val="21"/>
              </w:rPr>
            </w:pPr>
          </w:p>
          <w:p w14:paraId="4A49DED5">
            <w:pPr>
              <w:spacing w:line="249" w:lineRule="auto"/>
              <w:rPr>
                <w:rFonts w:ascii="Arial"/>
                <w:sz w:val="21"/>
              </w:rPr>
            </w:pPr>
          </w:p>
          <w:p w14:paraId="7933757F">
            <w:pPr>
              <w:spacing w:line="249" w:lineRule="auto"/>
              <w:rPr>
                <w:rFonts w:ascii="Arial"/>
                <w:sz w:val="21"/>
              </w:rPr>
            </w:pPr>
          </w:p>
          <w:p w14:paraId="4A3DDCC8">
            <w:pPr>
              <w:spacing w:line="249" w:lineRule="auto"/>
              <w:rPr>
                <w:rFonts w:ascii="Arial"/>
                <w:sz w:val="21"/>
              </w:rPr>
            </w:pPr>
          </w:p>
          <w:p w14:paraId="770A7817">
            <w:pPr>
              <w:spacing w:line="249" w:lineRule="auto"/>
              <w:rPr>
                <w:rFonts w:ascii="Arial"/>
                <w:sz w:val="21"/>
              </w:rPr>
            </w:pPr>
          </w:p>
          <w:p w14:paraId="6C89E162">
            <w:pPr>
              <w:spacing w:line="249" w:lineRule="auto"/>
              <w:rPr>
                <w:rFonts w:ascii="Arial"/>
                <w:sz w:val="21"/>
              </w:rPr>
            </w:pPr>
          </w:p>
          <w:p w14:paraId="0A4CD446">
            <w:pPr>
              <w:spacing w:line="249" w:lineRule="auto"/>
              <w:rPr>
                <w:rFonts w:ascii="Arial"/>
                <w:sz w:val="21"/>
              </w:rPr>
            </w:pPr>
          </w:p>
          <w:p w14:paraId="72A8026B">
            <w:pPr>
              <w:pStyle w:val="6"/>
              <w:spacing w:before="65" w:line="253" w:lineRule="auto"/>
              <w:ind w:left="111" w:right="111" w:firstLine="4"/>
              <w:jc w:val="both"/>
            </w:pPr>
            <w:r>
              <w:rPr>
                <w:spacing w:val="6"/>
              </w:rPr>
              <w:t>项目管理</w:t>
            </w:r>
            <w:r>
              <w:rPr>
                <w:spacing w:val="7"/>
              </w:rPr>
              <w:t>机构评分</w:t>
            </w:r>
            <w:r>
              <w:rPr>
                <w:spacing w:val="27"/>
              </w:rPr>
              <w:t>标</w:t>
            </w:r>
            <w:r>
              <w:rPr>
                <w:spacing w:val="8"/>
              </w:rPr>
              <w:t xml:space="preserve">   </w:t>
            </w:r>
            <w:r>
              <w:rPr>
                <w:spacing w:val="27"/>
              </w:rPr>
              <w:t>准</w:t>
            </w:r>
          </w:p>
        </w:tc>
        <w:tc>
          <w:tcPr>
            <w:tcW w:w="1439" w:type="dxa"/>
            <w:vMerge w:val="restart"/>
            <w:tcBorders>
              <w:bottom w:val="nil"/>
            </w:tcBorders>
            <w:vAlign w:val="top"/>
          </w:tcPr>
          <w:p w14:paraId="36416428">
            <w:pPr>
              <w:spacing w:line="256" w:lineRule="auto"/>
              <w:rPr>
                <w:rFonts w:ascii="Arial"/>
                <w:sz w:val="21"/>
              </w:rPr>
            </w:pPr>
          </w:p>
          <w:p w14:paraId="26EF79AE">
            <w:pPr>
              <w:spacing w:line="257" w:lineRule="auto"/>
              <w:rPr>
                <w:rFonts w:ascii="Arial"/>
                <w:sz w:val="21"/>
              </w:rPr>
            </w:pPr>
          </w:p>
          <w:p w14:paraId="7930EFF9">
            <w:pPr>
              <w:pStyle w:val="6"/>
              <w:spacing w:before="65" w:line="228" w:lineRule="auto"/>
              <w:ind w:left="115"/>
            </w:pPr>
            <w:r>
              <w:rPr>
                <w:spacing w:val="6"/>
              </w:rPr>
              <w:t>项目经理</w:t>
            </w:r>
          </w:p>
          <w:p w14:paraId="6D3FA400">
            <w:pPr>
              <w:pStyle w:val="6"/>
              <w:spacing w:before="23" w:line="228" w:lineRule="auto"/>
              <w:ind w:left="121"/>
            </w:pPr>
            <w:r>
              <w:rPr>
                <w:spacing w:val="6"/>
              </w:rPr>
              <w:t>资格与业绩</w:t>
            </w:r>
          </w:p>
        </w:tc>
        <w:tc>
          <w:tcPr>
            <w:tcW w:w="645" w:type="dxa"/>
            <w:vAlign w:val="top"/>
          </w:tcPr>
          <w:p w14:paraId="6EECB854">
            <w:pPr>
              <w:pStyle w:val="6"/>
              <w:spacing w:before="302" w:line="230" w:lineRule="auto"/>
              <w:ind w:left="114"/>
            </w:pPr>
            <w:r>
              <w:rPr>
                <w:spacing w:val="4"/>
              </w:rPr>
              <w:t>职称</w:t>
            </w:r>
          </w:p>
        </w:tc>
        <w:tc>
          <w:tcPr>
            <w:tcW w:w="735" w:type="dxa"/>
            <w:vAlign w:val="top"/>
          </w:tcPr>
          <w:p w14:paraId="0A83D713">
            <w:pPr>
              <w:pStyle w:val="6"/>
              <w:spacing w:before="303" w:line="228" w:lineRule="auto"/>
              <w:ind w:left="204"/>
            </w:pPr>
            <w:r>
              <w:rPr>
                <w:spacing w:val="-10"/>
              </w:rPr>
              <w:t>1</w:t>
            </w:r>
            <w:r>
              <w:rPr>
                <w:spacing w:val="-36"/>
              </w:rPr>
              <w:t xml:space="preserve"> </w:t>
            </w:r>
            <w:r>
              <w:rPr>
                <w:spacing w:val="-10"/>
              </w:rPr>
              <w:t>分</w:t>
            </w:r>
          </w:p>
        </w:tc>
        <w:tc>
          <w:tcPr>
            <w:tcW w:w="4562" w:type="dxa"/>
            <w:vAlign w:val="top"/>
          </w:tcPr>
          <w:p w14:paraId="2D2796C9">
            <w:pPr>
              <w:pStyle w:val="6"/>
              <w:spacing w:before="31"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3F24EDF3">
            <w:pPr>
              <w:pStyle w:val="6"/>
              <w:spacing w:before="23" w:line="235"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4CFDEB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continue"/>
            <w:tcBorders>
              <w:top w:val="nil"/>
              <w:bottom w:val="nil"/>
            </w:tcBorders>
            <w:vAlign w:val="top"/>
          </w:tcPr>
          <w:p w14:paraId="09E939F7">
            <w:pPr>
              <w:rPr>
                <w:rFonts w:ascii="Arial"/>
                <w:sz w:val="21"/>
              </w:rPr>
            </w:pPr>
          </w:p>
        </w:tc>
        <w:tc>
          <w:tcPr>
            <w:tcW w:w="1058" w:type="dxa"/>
            <w:vMerge w:val="continue"/>
            <w:tcBorders>
              <w:top w:val="nil"/>
              <w:bottom w:val="nil"/>
            </w:tcBorders>
            <w:vAlign w:val="top"/>
          </w:tcPr>
          <w:p w14:paraId="35DF1EC4">
            <w:pPr>
              <w:rPr>
                <w:rFonts w:ascii="Arial"/>
                <w:sz w:val="21"/>
              </w:rPr>
            </w:pPr>
          </w:p>
        </w:tc>
        <w:tc>
          <w:tcPr>
            <w:tcW w:w="1439" w:type="dxa"/>
            <w:vMerge w:val="continue"/>
            <w:tcBorders>
              <w:top w:val="nil"/>
            </w:tcBorders>
            <w:vAlign w:val="top"/>
          </w:tcPr>
          <w:p w14:paraId="26D93BF2">
            <w:pPr>
              <w:rPr>
                <w:rFonts w:ascii="Arial"/>
                <w:sz w:val="21"/>
              </w:rPr>
            </w:pPr>
          </w:p>
        </w:tc>
        <w:tc>
          <w:tcPr>
            <w:tcW w:w="645" w:type="dxa"/>
            <w:vAlign w:val="top"/>
          </w:tcPr>
          <w:p w14:paraId="58ED1F99">
            <w:pPr>
              <w:pStyle w:val="6"/>
              <w:spacing w:before="30" w:line="228" w:lineRule="auto"/>
              <w:ind w:left="113"/>
            </w:pPr>
            <w:r>
              <w:rPr>
                <w:spacing w:val="9"/>
              </w:rPr>
              <w:t>类似</w:t>
            </w:r>
          </w:p>
          <w:p w14:paraId="71C18EEA">
            <w:pPr>
              <w:pStyle w:val="6"/>
              <w:spacing w:before="27" w:line="228" w:lineRule="auto"/>
              <w:ind w:left="116"/>
            </w:pPr>
            <w:r>
              <w:rPr>
                <w:spacing w:val="7"/>
              </w:rPr>
              <w:t>项目</w:t>
            </w:r>
          </w:p>
          <w:p w14:paraId="7FD1AC19">
            <w:pPr>
              <w:pStyle w:val="6"/>
              <w:spacing w:before="23" w:line="217" w:lineRule="auto"/>
              <w:ind w:left="112"/>
            </w:pPr>
            <w:r>
              <w:rPr>
                <w:spacing w:val="5"/>
              </w:rPr>
              <w:t>业绩</w:t>
            </w:r>
          </w:p>
        </w:tc>
        <w:tc>
          <w:tcPr>
            <w:tcW w:w="735" w:type="dxa"/>
            <w:vAlign w:val="top"/>
          </w:tcPr>
          <w:p w14:paraId="4D39DC2E">
            <w:pPr>
              <w:pStyle w:val="6"/>
              <w:spacing w:before="305" w:line="228" w:lineRule="auto"/>
              <w:ind w:left="204"/>
            </w:pPr>
            <w:r>
              <w:rPr>
                <w:spacing w:val="-10"/>
              </w:rPr>
              <w:t>1</w:t>
            </w:r>
            <w:r>
              <w:rPr>
                <w:spacing w:val="-36"/>
              </w:rPr>
              <w:t xml:space="preserve"> </w:t>
            </w:r>
            <w:r>
              <w:rPr>
                <w:spacing w:val="-10"/>
              </w:rPr>
              <w:t>分</w:t>
            </w:r>
          </w:p>
        </w:tc>
        <w:tc>
          <w:tcPr>
            <w:tcW w:w="4562" w:type="dxa"/>
            <w:vAlign w:val="top"/>
          </w:tcPr>
          <w:p w14:paraId="5843A822">
            <w:pPr>
              <w:pStyle w:val="6"/>
              <w:spacing w:before="304" w:line="228" w:lineRule="auto"/>
              <w:ind w:left="137"/>
            </w:pPr>
            <w:r>
              <w:rPr>
                <w:spacing w:val="3"/>
              </w:rPr>
              <w:t>以项目经理身份主持过</w:t>
            </w:r>
            <w:r>
              <w:rPr>
                <w:spacing w:val="-8"/>
              </w:rPr>
              <w:t xml:space="preserve"> </w:t>
            </w:r>
            <w:r>
              <w:rPr>
                <w:spacing w:val="3"/>
              </w:rPr>
              <w:t>1</w:t>
            </w:r>
            <w:r>
              <w:rPr>
                <w:spacing w:val="-38"/>
              </w:rPr>
              <w:t xml:space="preserve"> </w:t>
            </w:r>
            <w:r>
              <w:rPr>
                <w:spacing w:val="3"/>
              </w:rPr>
              <w:t>个类似项目</w:t>
            </w:r>
            <w:r>
              <w:rPr>
                <w:spacing w:val="10"/>
              </w:rPr>
              <w:t xml:space="preserve">    </w:t>
            </w:r>
            <w:r>
              <w:rPr>
                <w:spacing w:val="3"/>
              </w:rPr>
              <w:t>1</w:t>
            </w:r>
            <w:r>
              <w:rPr>
                <w:spacing w:val="-32"/>
              </w:rPr>
              <w:t xml:space="preserve"> </w:t>
            </w:r>
            <w:r>
              <w:rPr>
                <w:spacing w:val="3"/>
              </w:rPr>
              <w:t>分</w:t>
            </w:r>
          </w:p>
        </w:tc>
      </w:tr>
      <w:tr w14:paraId="367F0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58AE0E5A">
            <w:pPr>
              <w:rPr>
                <w:rFonts w:ascii="Arial"/>
                <w:sz w:val="21"/>
              </w:rPr>
            </w:pPr>
          </w:p>
        </w:tc>
        <w:tc>
          <w:tcPr>
            <w:tcW w:w="1058" w:type="dxa"/>
            <w:vMerge w:val="continue"/>
            <w:tcBorders>
              <w:top w:val="nil"/>
              <w:bottom w:val="nil"/>
            </w:tcBorders>
            <w:vAlign w:val="top"/>
          </w:tcPr>
          <w:p w14:paraId="4A4252F8">
            <w:pPr>
              <w:rPr>
                <w:rFonts w:ascii="Arial"/>
                <w:sz w:val="21"/>
              </w:rPr>
            </w:pPr>
          </w:p>
        </w:tc>
        <w:tc>
          <w:tcPr>
            <w:tcW w:w="1439" w:type="dxa"/>
            <w:vMerge w:val="restart"/>
            <w:tcBorders>
              <w:bottom w:val="nil"/>
            </w:tcBorders>
            <w:vAlign w:val="top"/>
          </w:tcPr>
          <w:p w14:paraId="33386CF8">
            <w:pPr>
              <w:spacing w:line="324" w:lineRule="auto"/>
              <w:rPr>
                <w:rFonts w:ascii="Arial"/>
                <w:sz w:val="21"/>
              </w:rPr>
            </w:pPr>
          </w:p>
          <w:p w14:paraId="1F2C8532">
            <w:pPr>
              <w:spacing w:line="324" w:lineRule="auto"/>
              <w:rPr>
                <w:rFonts w:ascii="Arial"/>
                <w:sz w:val="21"/>
              </w:rPr>
            </w:pPr>
          </w:p>
          <w:p w14:paraId="34FCE31C">
            <w:pPr>
              <w:pStyle w:val="6"/>
              <w:spacing w:before="65" w:line="254" w:lineRule="auto"/>
              <w:ind w:left="121" w:right="280" w:hanging="8"/>
            </w:pPr>
            <w:r>
              <w:rPr>
                <w:spacing w:val="7"/>
              </w:rPr>
              <w:t>技术负责人</w:t>
            </w:r>
            <w:r>
              <w:rPr>
                <w:spacing w:val="6"/>
              </w:rPr>
              <w:t>资格与业绩</w:t>
            </w:r>
          </w:p>
        </w:tc>
        <w:tc>
          <w:tcPr>
            <w:tcW w:w="645" w:type="dxa"/>
            <w:vAlign w:val="top"/>
          </w:tcPr>
          <w:p w14:paraId="36892D68">
            <w:pPr>
              <w:pStyle w:val="6"/>
              <w:spacing w:before="304" w:line="230" w:lineRule="auto"/>
              <w:ind w:left="114"/>
            </w:pPr>
            <w:r>
              <w:rPr>
                <w:spacing w:val="4"/>
              </w:rPr>
              <w:t>职称</w:t>
            </w:r>
          </w:p>
        </w:tc>
        <w:tc>
          <w:tcPr>
            <w:tcW w:w="735" w:type="dxa"/>
            <w:vAlign w:val="top"/>
          </w:tcPr>
          <w:p w14:paraId="45F24C07">
            <w:pPr>
              <w:pStyle w:val="6"/>
              <w:spacing w:before="304" w:line="228" w:lineRule="auto"/>
              <w:ind w:left="204"/>
            </w:pPr>
            <w:r>
              <w:rPr>
                <w:spacing w:val="-10"/>
              </w:rPr>
              <w:t>1</w:t>
            </w:r>
            <w:r>
              <w:rPr>
                <w:spacing w:val="-36"/>
              </w:rPr>
              <w:t xml:space="preserve"> </w:t>
            </w:r>
            <w:r>
              <w:rPr>
                <w:spacing w:val="-10"/>
              </w:rPr>
              <w:t>分</w:t>
            </w:r>
          </w:p>
        </w:tc>
        <w:tc>
          <w:tcPr>
            <w:tcW w:w="4562" w:type="dxa"/>
            <w:vAlign w:val="top"/>
          </w:tcPr>
          <w:p w14:paraId="6FE99136">
            <w:pPr>
              <w:pStyle w:val="6"/>
              <w:spacing w:before="32"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52CA730F">
            <w:pPr>
              <w:pStyle w:val="6"/>
              <w:spacing w:before="25" w:line="234"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0DE359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7CEC4A59">
            <w:pPr>
              <w:rPr>
                <w:rFonts w:ascii="Arial"/>
                <w:sz w:val="21"/>
              </w:rPr>
            </w:pPr>
          </w:p>
        </w:tc>
        <w:tc>
          <w:tcPr>
            <w:tcW w:w="1058" w:type="dxa"/>
            <w:vMerge w:val="continue"/>
            <w:tcBorders>
              <w:top w:val="nil"/>
              <w:bottom w:val="nil"/>
            </w:tcBorders>
            <w:vAlign w:val="top"/>
          </w:tcPr>
          <w:p w14:paraId="66584A88">
            <w:pPr>
              <w:rPr>
                <w:rFonts w:ascii="Arial"/>
                <w:sz w:val="21"/>
              </w:rPr>
            </w:pPr>
          </w:p>
        </w:tc>
        <w:tc>
          <w:tcPr>
            <w:tcW w:w="1439" w:type="dxa"/>
            <w:vMerge w:val="continue"/>
            <w:tcBorders>
              <w:top w:val="nil"/>
            </w:tcBorders>
            <w:vAlign w:val="top"/>
          </w:tcPr>
          <w:p w14:paraId="5F10C90A">
            <w:pPr>
              <w:rPr>
                <w:rFonts w:ascii="Arial"/>
                <w:sz w:val="21"/>
              </w:rPr>
            </w:pPr>
          </w:p>
        </w:tc>
        <w:tc>
          <w:tcPr>
            <w:tcW w:w="645" w:type="dxa"/>
            <w:vAlign w:val="top"/>
          </w:tcPr>
          <w:p w14:paraId="6BC11EE9">
            <w:pPr>
              <w:pStyle w:val="6"/>
              <w:spacing w:before="34" w:line="228" w:lineRule="auto"/>
              <w:ind w:left="116"/>
            </w:pPr>
            <w:r>
              <w:rPr>
                <w:spacing w:val="8"/>
              </w:rPr>
              <w:t>从事</w:t>
            </w:r>
          </w:p>
          <w:p w14:paraId="151A9151">
            <w:pPr>
              <w:pStyle w:val="6"/>
              <w:spacing w:before="24" w:line="228" w:lineRule="auto"/>
              <w:ind w:left="114"/>
            </w:pPr>
            <w:r>
              <w:rPr>
                <w:spacing w:val="9"/>
              </w:rPr>
              <w:t>专业</w:t>
            </w:r>
          </w:p>
          <w:p w14:paraId="1BC5BE87">
            <w:pPr>
              <w:pStyle w:val="6"/>
              <w:spacing w:before="24" w:line="228" w:lineRule="auto"/>
              <w:ind w:left="116"/>
            </w:pPr>
            <w:r>
              <w:rPr>
                <w:spacing w:val="8"/>
              </w:rPr>
              <w:t>工作</w:t>
            </w:r>
          </w:p>
          <w:p w14:paraId="36598E3B">
            <w:pPr>
              <w:pStyle w:val="6"/>
              <w:spacing w:before="26" w:line="215" w:lineRule="auto"/>
              <w:ind w:left="114"/>
            </w:pPr>
            <w:r>
              <w:rPr>
                <w:spacing w:val="4"/>
              </w:rPr>
              <w:t>年限</w:t>
            </w:r>
          </w:p>
        </w:tc>
        <w:tc>
          <w:tcPr>
            <w:tcW w:w="735" w:type="dxa"/>
            <w:vAlign w:val="top"/>
          </w:tcPr>
          <w:p w14:paraId="347AC224">
            <w:pPr>
              <w:spacing w:line="375" w:lineRule="auto"/>
              <w:rPr>
                <w:rFonts w:ascii="Arial"/>
                <w:sz w:val="21"/>
              </w:rPr>
            </w:pPr>
          </w:p>
          <w:p w14:paraId="33C5DD1D">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6A141D0A">
            <w:pPr>
              <w:pStyle w:val="6"/>
              <w:spacing w:before="33"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5845D4EF">
            <w:pPr>
              <w:pStyle w:val="6"/>
              <w:spacing w:before="24"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1CD53DC3">
            <w:pPr>
              <w:pStyle w:val="6"/>
              <w:spacing w:before="24"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43242435">
            <w:pPr>
              <w:pStyle w:val="6"/>
              <w:spacing w:before="26" w:line="215"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002615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tcBorders>
            <w:vAlign w:val="top"/>
          </w:tcPr>
          <w:p w14:paraId="684A60A9">
            <w:pPr>
              <w:rPr>
                <w:rFonts w:ascii="Arial"/>
                <w:sz w:val="21"/>
              </w:rPr>
            </w:pPr>
          </w:p>
        </w:tc>
        <w:tc>
          <w:tcPr>
            <w:tcW w:w="1058" w:type="dxa"/>
            <w:vMerge w:val="continue"/>
            <w:tcBorders>
              <w:top w:val="nil"/>
            </w:tcBorders>
            <w:vAlign w:val="top"/>
          </w:tcPr>
          <w:p w14:paraId="6B466725">
            <w:pPr>
              <w:rPr>
                <w:rFonts w:ascii="Arial"/>
                <w:sz w:val="21"/>
              </w:rPr>
            </w:pPr>
          </w:p>
        </w:tc>
        <w:tc>
          <w:tcPr>
            <w:tcW w:w="2084" w:type="dxa"/>
            <w:gridSpan w:val="2"/>
            <w:vAlign w:val="top"/>
          </w:tcPr>
          <w:p w14:paraId="7E48E79F">
            <w:pPr>
              <w:rPr>
                <w:rFonts w:ascii="Arial"/>
                <w:sz w:val="21"/>
              </w:rPr>
            </w:pPr>
          </w:p>
          <w:p w14:paraId="13385E73">
            <w:pPr>
              <w:pStyle w:val="6"/>
              <w:spacing w:before="65" w:line="228" w:lineRule="auto"/>
              <w:ind w:left="113"/>
            </w:pPr>
            <w:r>
              <w:rPr>
                <w:spacing w:val="8"/>
              </w:rPr>
              <w:t>其他主要人员</w:t>
            </w:r>
          </w:p>
        </w:tc>
        <w:tc>
          <w:tcPr>
            <w:tcW w:w="735" w:type="dxa"/>
            <w:vAlign w:val="top"/>
          </w:tcPr>
          <w:p w14:paraId="440A0541">
            <w:pPr>
              <w:rPr>
                <w:rFonts w:ascii="Arial"/>
                <w:sz w:val="21"/>
              </w:rPr>
            </w:pPr>
          </w:p>
          <w:p w14:paraId="1D90A81E">
            <w:pPr>
              <w:pStyle w:val="6"/>
              <w:spacing w:before="65" w:line="228" w:lineRule="auto"/>
              <w:ind w:left="191"/>
            </w:pPr>
            <w:r>
              <w:rPr>
                <w:spacing w:val="-4"/>
              </w:rPr>
              <w:t>2</w:t>
            </w:r>
            <w:r>
              <w:rPr>
                <w:spacing w:val="-35"/>
              </w:rPr>
              <w:t xml:space="preserve"> </w:t>
            </w:r>
            <w:r>
              <w:rPr>
                <w:spacing w:val="-4"/>
              </w:rPr>
              <w:t>分</w:t>
            </w:r>
          </w:p>
        </w:tc>
        <w:tc>
          <w:tcPr>
            <w:tcW w:w="4562" w:type="dxa"/>
            <w:vAlign w:val="top"/>
          </w:tcPr>
          <w:p w14:paraId="6639CC5B">
            <w:pPr>
              <w:pStyle w:val="6"/>
              <w:spacing w:before="35" w:line="228" w:lineRule="auto"/>
              <w:ind w:left="115"/>
            </w:pPr>
            <w:r>
              <w:rPr>
                <w:spacing w:val="6"/>
              </w:rPr>
              <w:t>人员配备合理，满足需要              2</w:t>
            </w:r>
            <w:r>
              <w:rPr>
                <w:spacing w:val="-24"/>
              </w:rPr>
              <w:t xml:space="preserve"> </w:t>
            </w:r>
            <w:r>
              <w:rPr>
                <w:spacing w:val="6"/>
              </w:rPr>
              <w:t>分</w:t>
            </w:r>
          </w:p>
          <w:p w14:paraId="65A0F7B6">
            <w:pPr>
              <w:pStyle w:val="6"/>
              <w:spacing w:before="25" w:line="233" w:lineRule="auto"/>
              <w:ind w:left="115" w:right="304"/>
            </w:pPr>
            <w:r>
              <w:rPr>
                <w:spacing w:val="7"/>
              </w:rPr>
              <w:t>人员配备基本合理,基本满足需要     1.6</w:t>
            </w:r>
            <w:r>
              <w:rPr>
                <w:spacing w:val="-32"/>
              </w:rPr>
              <w:t xml:space="preserve"> </w:t>
            </w:r>
            <w:r>
              <w:rPr>
                <w:spacing w:val="7"/>
              </w:rPr>
              <w:t>分</w:t>
            </w:r>
            <w:r>
              <w:rPr>
                <w:spacing w:val="5"/>
              </w:rPr>
              <w:t>人员配备不合理</w:t>
            </w:r>
            <w:r>
              <w:rPr>
                <w:spacing w:val="1"/>
              </w:rPr>
              <w:t xml:space="preserve">                       </w:t>
            </w:r>
            <w:r>
              <w:rPr>
                <w:spacing w:val="5"/>
              </w:rPr>
              <w:t>0</w:t>
            </w:r>
            <w:r>
              <w:rPr>
                <w:spacing w:val="-32"/>
              </w:rPr>
              <w:t xml:space="preserve"> </w:t>
            </w:r>
            <w:r>
              <w:rPr>
                <w:spacing w:val="5"/>
              </w:rPr>
              <w:t>分</w:t>
            </w:r>
          </w:p>
        </w:tc>
      </w:tr>
      <w:tr w14:paraId="35081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7" w:hRule="atLeast"/>
        </w:trPr>
        <w:tc>
          <w:tcPr>
            <w:tcW w:w="745" w:type="dxa"/>
            <w:vMerge w:val="restart"/>
            <w:tcBorders>
              <w:bottom w:val="nil"/>
            </w:tcBorders>
            <w:vAlign w:val="top"/>
          </w:tcPr>
          <w:p w14:paraId="485B47EA">
            <w:pPr>
              <w:spacing w:line="287" w:lineRule="auto"/>
              <w:rPr>
                <w:rFonts w:ascii="Arial"/>
                <w:sz w:val="21"/>
              </w:rPr>
            </w:pPr>
          </w:p>
          <w:p w14:paraId="56021DF4">
            <w:pPr>
              <w:spacing w:line="287" w:lineRule="auto"/>
              <w:rPr>
                <w:rFonts w:ascii="Arial"/>
                <w:sz w:val="21"/>
              </w:rPr>
            </w:pPr>
          </w:p>
          <w:p w14:paraId="04EC5BA4">
            <w:pPr>
              <w:spacing w:line="288" w:lineRule="auto"/>
              <w:rPr>
                <w:rFonts w:ascii="Arial"/>
                <w:sz w:val="21"/>
              </w:rPr>
            </w:pPr>
          </w:p>
          <w:p w14:paraId="1B6F3E14">
            <w:pPr>
              <w:spacing w:line="288" w:lineRule="auto"/>
              <w:rPr>
                <w:rFonts w:ascii="Arial"/>
                <w:sz w:val="21"/>
              </w:rPr>
            </w:pPr>
          </w:p>
          <w:p w14:paraId="627B0C57">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26181E04">
            <w:pPr>
              <w:pStyle w:val="6"/>
              <w:spacing w:before="218"/>
              <w:ind w:left="125"/>
            </w:pPr>
            <w:r>
              <w:rPr>
                <w:spacing w:val="-1"/>
              </w:rPr>
              <w:t>（</w:t>
            </w:r>
            <w:r>
              <w:rPr>
                <w:rFonts w:ascii="Times New Roman" w:hAnsi="Times New Roman" w:eastAsia="Times New Roman" w:cs="Times New Roman"/>
                <w:spacing w:val="-1"/>
              </w:rPr>
              <w:t>4</w:t>
            </w:r>
            <w:r>
              <w:rPr>
                <w:spacing w:val="-1"/>
              </w:rPr>
              <w:t>）</w:t>
            </w:r>
          </w:p>
        </w:tc>
        <w:tc>
          <w:tcPr>
            <w:tcW w:w="1058" w:type="dxa"/>
            <w:vMerge w:val="restart"/>
            <w:tcBorders>
              <w:bottom w:val="nil"/>
            </w:tcBorders>
            <w:vAlign w:val="top"/>
          </w:tcPr>
          <w:p w14:paraId="45635E10">
            <w:pPr>
              <w:spacing w:line="283" w:lineRule="auto"/>
              <w:rPr>
                <w:rFonts w:ascii="Arial"/>
                <w:sz w:val="21"/>
              </w:rPr>
            </w:pPr>
          </w:p>
          <w:p w14:paraId="65ADD1EF">
            <w:pPr>
              <w:spacing w:line="283" w:lineRule="auto"/>
              <w:rPr>
                <w:rFonts w:ascii="Arial"/>
                <w:sz w:val="21"/>
              </w:rPr>
            </w:pPr>
          </w:p>
          <w:p w14:paraId="32C4731E">
            <w:pPr>
              <w:spacing w:line="283" w:lineRule="auto"/>
              <w:rPr>
                <w:rFonts w:ascii="Arial"/>
                <w:sz w:val="21"/>
              </w:rPr>
            </w:pPr>
          </w:p>
          <w:p w14:paraId="631CCFDB">
            <w:pPr>
              <w:spacing w:line="284" w:lineRule="auto"/>
              <w:rPr>
                <w:rFonts w:ascii="Arial"/>
                <w:sz w:val="21"/>
              </w:rPr>
            </w:pPr>
          </w:p>
          <w:p w14:paraId="624016CE">
            <w:pPr>
              <w:pStyle w:val="6"/>
              <w:spacing w:before="65" w:line="254" w:lineRule="auto"/>
              <w:ind w:left="111" w:right="111" w:firstLine="1"/>
            </w:pPr>
            <w:r>
              <w:rPr>
                <w:spacing w:val="7"/>
              </w:rPr>
              <w:t>其他因素评分标准</w:t>
            </w:r>
          </w:p>
        </w:tc>
        <w:tc>
          <w:tcPr>
            <w:tcW w:w="2084" w:type="dxa"/>
            <w:gridSpan w:val="2"/>
            <w:vAlign w:val="top"/>
          </w:tcPr>
          <w:p w14:paraId="34CC0AB9">
            <w:pPr>
              <w:spacing w:line="317" w:lineRule="auto"/>
              <w:rPr>
                <w:rFonts w:ascii="Arial"/>
                <w:sz w:val="21"/>
              </w:rPr>
            </w:pPr>
          </w:p>
          <w:p w14:paraId="0C113E31">
            <w:pPr>
              <w:pStyle w:val="6"/>
              <w:spacing w:before="65" w:line="228" w:lineRule="auto"/>
              <w:ind w:left="112"/>
            </w:pPr>
            <w:r>
              <w:rPr>
                <w:spacing w:val="8"/>
              </w:rPr>
              <w:t>类似项目业绩</w:t>
            </w:r>
          </w:p>
        </w:tc>
        <w:tc>
          <w:tcPr>
            <w:tcW w:w="735" w:type="dxa"/>
            <w:vAlign w:val="top"/>
          </w:tcPr>
          <w:p w14:paraId="6A0CB871">
            <w:pPr>
              <w:spacing w:line="317" w:lineRule="auto"/>
              <w:rPr>
                <w:rFonts w:ascii="Arial"/>
                <w:sz w:val="21"/>
              </w:rPr>
            </w:pPr>
          </w:p>
          <w:p w14:paraId="1E1B5D89">
            <w:pPr>
              <w:pStyle w:val="6"/>
              <w:spacing w:before="65" w:line="228" w:lineRule="auto"/>
              <w:ind w:left="192"/>
            </w:pPr>
            <w:r>
              <w:rPr>
                <w:spacing w:val="-4"/>
              </w:rPr>
              <w:t>5</w:t>
            </w:r>
            <w:r>
              <w:rPr>
                <w:spacing w:val="-36"/>
              </w:rPr>
              <w:t xml:space="preserve"> </w:t>
            </w:r>
            <w:r>
              <w:rPr>
                <w:spacing w:val="-4"/>
              </w:rPr>
              <w:t>分</w:t>
            </w:r>
          </w:p>
        </w:tc>
        <w:tc>
          <w:tcPr>
            <w:tcW w:w="4562" w:type="dxa"/>
            <w:vAlign w:val="top"/>
          </w:tcPr>
          <w:p w14:paraId="3F911DAF">
            <w:pPr>
              <w:pStyle w:val="6"/>
              <w:spacing w:before="110" w:line="228" w:lineRule="auto"/>
              <w:ind w:left="112"/>
            </w:pPr>
            <w:r>
              <w:rPr>
                <w:spacing w:val="2"/>
              </w:rPr>
              <w:t>近</w:t>
            </w:r>
            <w:r>
              <w:rPr>
                <w:spacing w:val="-24"/>
              </w:rPr>
              <w:t xml:space="preserve"> </w:t>
            </w:r>
            <w:r>
              <w:rPr>
                <w:spacing w:val="2"/>
              </w:rPr>
              <w:t>5</w:t>
            </w:r>
            <w:r>
              <w:rPr>
                <w:spacing w:val="-37"/>
              </w:rPr>
              <w:t xml:space="preserve"> </w:t>
            </w:r>
            <w:r>
              <w:rPr>
                <w:spacing w:val="2"/>
              </w:rPr>
              <w:t>年有</w:t>
            </w:r>
            <w:r>
              <w:rPr>
                <w:spacing w:val="-24"/>
              </w:rPr>
              <w:t xml:space="preserve"> </w:t>
            </w:r>
            <w:r>
              <w:rPr>
                <w:spacing w:val="2"/>
              </w:rPr>
              <w:t>1</w:t>
            </w:r>
            <w:r>
              <w:rPr>
                <w:spacing w:val="-38"/>
              </w:rPr>
              <w:t xml:space="preserve"> </w:t>
            </w:r>
            <w:r>
              <w:rPr>
                <w:spacing w:val="2"/>
              </w:rPr>
              <w:t>个类似项目业绩</w:t>
            </w:r>
            <w:r>
              <w:rPr>
                <w:spacing w:val="5"/>
              </w:rPr>
              <w:t xml:space="preserve">            </w:t>
            </w:r>
            <w:r>
              <w:rPr>
                <w:spacing w:val="2"/>
              </w:rPr>
              <w:t>2</w:t>
            </w:r>
            <w:r>
              <w:rPr>
                <w:spacing w:val="-25"/>
              </w:rPr>
              <w:t xml:space="preserve"> </w:t>
            </w:r>
            <w:r>
              <w:rPr>
                <w:spacing w:val="2"/>
              </w:rPr>
              <w:t>分</w:t>
            </w:r>
          </w:p>
          <w:p w14:paraId="501FEA91">
            <w:pPr>
              <w:pStyle w:val="6"/>
              <w:spacing w:before="26" w:line="228" w:lineRule="auto"/>
              <w:ind w:left="112"/>
            </w:pPr>
            <w:r>
              <w:rPr>
                <w:spacing w:val="3"/>
              </w:rPr>
              <w:t>近</w:t>
            </w:r>
            <w:r>
              <w:rPr>
                <w:spacing w:val="-22"/>
              </w:rPr>
              <w:t xml:space="preserve"> </w:t>
            </w:r>
            <w:r>
              <w:rPr>
                <w:spacing w:val="3"/>
              </w:rPr>
              <w:t>5</w:t>
            </w:r>
            <w:r>
              <w:rPr>
                <w:spacing w:val="-37"/>
              </w:rPr>
              <w:t xml:space="preserve"> </w:t>
            </w:r>
            <w:r>
              <w:rPr>
                <w:spacing w:val="3"/>
              </w:rPr>
              <w:t>年有</w:t>
            </w:r>
            <w:r>
              <w:rPr>
                <w:spacing w:val="-36"/>
              </w:rPr>
              <w:t xml:space="preserve"> </w:t>
            </w:r>
            <w:r>
              <w:rPr>
                <w:spacing w:val="3"/>
              </w:rPr>
              <w:t>2</w:t>
            </w:r>
            <w:r>
              <w:rPr>
                <w:spacing w:val="-38"/>
              </w:rPr>
              <w:t xml:space="preserve"> </w:t>
            </w:r>
            <w:r>
              <w:rPr>
                <w:spacing w:val="3"/>
              </w:rPr>
              <w:t>个类似项目业绩</w:t>
            </w:r>
            <w:r>
              <w:rPr>
                <w:spacing w:val="6"/>
              </w:rPr>
              <w:t xml:space="preserve">          </w:t>
            </w:r>
            <w:r>
              <w:rPr>
                <w:spacing w:val="3"/>
              </w:rPr>
              <w:t>3.5</w:t>
            </w:r>
            <w:r>
              <w:rPr>
                <w:spacing w:val="-35"/>
              </w:rPr>
              <w:t xml:space="preserve"> </w:t>
            </w:r>
            <w:r>
              <w:rPr>
                <w:spacing w:val="3"/>
              </w:rPr>
              <w:t>分</w:t>
            </w:r>
          </w:p>
          <w:p w14:paraId="5DBC06FC">
            <w:pPr>
              <w:pStyle w:val="6"/>
              <w:spacing w:before="24" w:line="228" w:lineRule="auto"/>
              <w:ind w:left="112"/>
            </w:pPr>
            <w:r>
              <w:rPr>
                <w:spacing w:val="3"/>
              </w:rPr>
              <w:t>近</w:t>
            </w:r>
            <w:r>
              <w:rPr>
                <w:spacing w:val="-28"/>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6"/>
              </w:rPr>
              <w:t xml:space="preserve">            </w:t>
            </w:r>
            <w:r>
              <w:rPr>
                <w:spacing w:val="3"/>
              </w:rPr>
              <w:t>5</w:t>
            </w:r>
            <w:r>
              <w:rPr>
                <w:spacing w:val="-36"/>
              </w:rPr>
              <w:t xml:space="preserve"> </w:t>
            </w:r>
            <w:r>
              <w:rPr>
                <w:spacing w:val="3"/>
              </w:rPr>
              <w:t>分</w:t>
            </w:r>
          </w:p>
        </w:tc>
      </w:tr>
      <w:tr w14:paraId="75C41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5" w:hRule="atLeast"/>
        </w:trPr>
        <w:tc>
          <w:tcPr>
            <w:tcW w:w="745" w:type="dxa"/>
            <w:vMerge w:val="continue"/>
            <w:tcBorders>
              <w:top w:val="nil"/>
            </w:tcBorders>
            <w:vAlign w:val="top"/>
          </w:tcPr>
          <w:p w14:paraId="06480753">
            <w:pPr>
              <w:rPr>
                <w:rFonts w:ascii="Arial"/>
                <w:sz w:val="21"/>
              </w:rPr>
            </w:pPr>
          </w:p>
        </w:tc>
        <w:tc>
          <w:tcPr>
            <w:tcW w:w="1058" w:type="dxa"/>
            <w:vMerge w:val="continue"/>
            <w:tcBorders>
              <w:top w:val="nil"/>
            </w:tcBorders>
            <w:vAlign w:val="top"/>
          </w:tcPr>
          <w:p w14:paraId="1E352C8A">
            <w:pPr>
              <w:rPr>
                <w:rFonts w:ascii="Arial"/>
                <w:sz w:val="21"/>
              </w:rPr>
            </w:pPr>
          </w:p>
        </w:tc>
        <w:tc>
          <w:tcPr>
            <w:tcW w:w="2084" w:type="dxa"/>
            <w:gridSpan w:val="2"/>
            <w:vAlign w:val="top"/>
          </w:tcPr>
          <w:p w14:paraId="0C84C8C8">
            <w:pPr>
              <w:spacing w:line="358" w:lineRule="auto"/>
              <w:rPr>
                <w:rFonts w:ascii="Arial"/>
                <w:sz w:val="21"/>
              </w:rPr>
            </w:pPr>
          </w:p>
          <w:p w14:paraId="6A88DB21">
            <w:pPr>
              <w:spacing w:line="359" w:lineRule="auto"/>
              <w:rPr>
                <w:rFonts w:ascii="Arial"/>
                <w:sz w:val="21"/>
              </w:rPr>
            </w:pPr>
          </w:p>
          <w:p w14:paraId="129FF4E0">
            <w:pPr>
              <w:pStyle w:val="6"/>
              <w:spacing w:before="65" w:line="229" w:lineRule="auto"/>
              <w:ind w:left="112"/>
            </w:pPr>
            <w:r>
              <w:rPr>
                <w:spacing w:val="7"/>
              </w:rPr>
              <w:t>认证体系</w:t>
            </w:r>
          </w:p>
        </w:tc>
        <w:tc>
          <w:tcPr>
            <w:tcW w:w="735" w:type="dxa"/>
            <w:vAlign w:val="top"/>
          </w:tcPr>
          <w:p w14:paraId="4A85E153">
            <w:pPr>
              <w:spacing w:line="260" w:lineRule="auto"/>
              <w:rPr>
                <w:rFonts w:ascii="Arial"/>
                <w:sz w:val="21"/>
              </w:rPr>
            </w:pPr>
          </w:p>
          <w:p w14:paraId="58DA1CB3">
            <w:pPr>
              <w:spacing w:line="261" w:lineRule="auto"/>
              <w:rPr>
                <w:rFonts w:ascii="Arial"/>
                <w:sz w:val="21"/>
              </w:rPr>
            </w:pPr>
          </w:p>
          <w:p w14:paraId="5147781F">
            <w:pPr>
              <w:spacing w:line="261" w:lineRule="auto"/>
              <w:rPr>
                <w:rFonts w:ascii="Arial"/>
                <w:sz w:val="21"/>
              </w:rPr>
            </w:pPr>
          </w:p>
          <w:p w14:paraId="10BCDBDC">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26C7A7D0">
            <w:pPr>
              <w:pStyle w:val="6"/>
              <w:spacing w:before="36" w:line="250" w:lineRule="auto"/>
              <w:ind w:left="117" w:right="107"/>
            </w:pPr>
            <w:r>
              <w:rPr>
                <w:spacing w:val="8"/>
              </w:rPr>
              <w:t>具有有效的</w:t>
            </w:r>
            <w:r>
              <w:rPr>
                <w:spacing w:val="-31"/>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w:t>
            </w:r>
            <w:r>
              <w:rPr>
                <w:spacing w:val="5"/>
              </w:rPr>
              <w:t>系认证证书，1</w:t>
            </w:r>
            <w:r>
              <w:rPr>
                <w:spacing w:val="-31"/>
              </w:rPr>
              <w:t xml:space="preserve"> </w:t>
            </w:r>
            <w:r>
              <w:rPr>
                <w:spacing w:val="5"/>
              </w:rPr>
              <w:t>分；</w:t>
            </w:r>
          </w:p>
          <w:p w14:paraId="681E8149">
            <w:pPr>
              <w:pStyle w:val="6"/>
              <w:spacing w:line="251" w:lineRule="auto"/>
              <w:ind w:left="113" w:right="109" w:firstLine="4"/>
            </w:pPr>
            <w:r>
              <w:rPr>
                <w:spacing w:val="7"/>
              </w:rPr>
              <w:t>具有有效的</w:t>
            </w:r>
            <w:r>
              <w:rPr>
                <w:spacing w:val="-43"/>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5"/>
              </w:rPr>
              <w:t xml:space="preserve"> </w:t>
            </w:r>
            <w:r>
              <w:rPr>
                <w:spacing w:val="7"/>
              </w:rPr>
              <w:t>环境管理</w:t>
            </w:r>
            <w:r>
              <w:rPr>
                <w:spacing w:val="6"/>
              </w:rPr>
              <w:t>体系认证证书，1</w:t>
            </w:r>
            <w:r>
              <w:rPr>
                <w:spacing w:val="-33"/>
              </w:rPr>
              <w:t xml:space="preserve"> </w:t>
            </w:r>
            <w:r>
              <w:rPr>
                <w:spacing w:val="6"/>
              </w:rPr>
              <w:t>分；</w:t>
            </w:r>
          </w:p>
          <w:p w14:paraId="367EEBAE">
            <w:pPr>
              <w:pStyle w:val="6"/>
              <w:spacing w:before="1"/>
              <w:ind w:left="117" w:right="107"/>
            </w:pPr>
            <w:r>
              <w:rPr>
                <w:spacing w:val="4"/>
              </w:rPr>
              <w:t>具 有 有 效</w:t>
            </w:r>
            <w:r>
              <w:rPr>
                <w:spacing w:val="41"/>
              </w:rPr>
              <w:t xml:space="preserve"> </w:t>
            </w:r>
            <w:r>
              <w:rPr>
                <w:spacing w:val="4"/>
              </w:rPr>
              <w:t>的</w:t>
            </w:r>
            <w:r>
              <w:rPr>
                <w:spacing w:val="59"/>
              </w:rPr>
              <w:t xml:space="preserve"> </w:t>
            </w:r>
            <w:r>
              <w:rPr>
                <w:rFonts w:ascii="Times New Roman" w:hAnsi="Times New Roman" w:eastAsia="Times New Roman" w:cs="Times New Roman"/>
              </w:rPr>
              <w:t>ISO</w:t>
            </w:r>
            <w:r>
              <w:rPr>
                <w:rFonts w:ascii="Times New Roman" w:hAnsi="Times New Roman" w:eastAsia="Times New Roman" w:cs="Times New Roman"/>
                <w:spacing w:val="4"/>
              </w:rPr>
              <w:t xml:space="preserve">45001   </w:t>
            </w:r>
            <w:r>
              <w:rPr>
                <w:spacing w:val="4"/>
              </w:rPr>
              <w:t xml:space="preserve">或   </w:t>
            </w:r>
            <w:r>
              <w:rPr>
                <w:rFonts w:ascii="Times New Roman" w:hAnsi="Times New Roman" w:eastAsia="Times New Roman" w:cs="Times New Roman"/>
              </w:rPr>
              <w:t>OHSAS</w:t>
            </w:r>
            <w:r>
              <w:rPr>
                <w:rFonts w:ascii="Times New Roman" w:hAnsi="Times New Roman" w:eastAsia="Times New Roman" w:cs="Times New Roman"/>
                <w:spacing w:val="4"/>
              </w:rPr>
              <w:t>18001</w:t>
            </w:r>
            <w:r>
              <w:rPr>
                <w:rFonts w:ascii="Times New Roman" w:hAnsi="Times New Roman" w:eastAsia="Times New Roman" w:cs="Times New Roman"/>
                <w:spacing w:val="1"/>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/T28001</w:t>
            </w:r>
            <w:r>
              <w:rPr>
                <w:spacing w:val="10"/>
              </w:rPr>
              <w:t>）</w:t>
            </w:r>
            <w:r>
              <w:rPr>
                <w:spacing w:val="55"/>
              </w:rPr>
              <w:t xml:space="preserve"> </w:t>
            </w:r>
            <w:r>
              <w:rPr>
                <w:spacing w:val="10"/>
              </w:rPr>
              <w:t>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bl>
    <w:p w14:paraId="58E12344">
      <w:pPr>
        <w:spacing w:line="446" w:lineRule="auto"/>
        <w:rPr>
          <w:rFonts w:ascii="Arial"/>
          <w:sz w:val="21"/>
        </w:rPr>
      </w:pPr>
    </w:p>
    <w:p w14:paraId="76AA7E31">
      <w:pPr>
        <w:spacing w:before="65" w:line="252" w:lineRule="auto"/>
        <w:ind w:left="643" w:right="190" w:hanging="628"/>
        <w:rPr>
          <w:rFonts w:ascii="宋体" w:hAnsi="宋体" w:eastAsia="宋体" w:cs="宋体"/>
          <w:sz w:val="20"/>
          <w:szCs w:val="20"/>
        </w:rPr>
      </w:pPr>
      <w:r>
        <w:rPr>
          <w:rFonts w:ascii="宋体" w:hAnsi="宋体" w:eastAsia="宋体" w:cs="宋体"/>
          <w:spacing w:val="1"/>
          <w:sz w:val="20"/>
          <w:szCs w:val="20"/>
        </w:rPr>
        <w:t>备注：</w:t>
      </w:r>
      <w:r>
        <w:rPr>
          <w:rFonts w:ascii="宋体" w:hAnsi="宋体" w:eastAsia="宋体" w:cs="宋体"/>
          <w:spacing w:val="-29"/>
          <w:sz w:val="20"/>
          <w:szCs w:val="20"/>
        </w:rPr>
        <w:t xml:space="preserve"> </w:t>
      </w:r>
      <w:r>
        <w:rPr>
          <w:rFonts w:ascii="宋体" w:hAnsi="宋体" w:eastAsia="宋体" w:cs="宋体"/>
          <w:spacing w:val="1"/>
          <w:sz w:val="20"/>
          <w:szCs w:val="20"/>
        </w:rPr>
        <w:t>根据《关于建立部分专业技术类职业资格与职称对应关系的通知（鄂人社发〔</w:t>
      </w:r>
      <w:r>
        <w:rPr>
          <w:rFonts w:ascii="Times New Roman" w:hAnsi="Times New Roman" w:eastAsia="Times New Roman" w:cs="Times New Roman"/>
          <w:spacing w:val="1"/>
          <w:sz w:val="20"/>
          <w:szCs w:val="20"/>
        </w:rPr>
        <w:t>2018</w:t>
      </w:r>
      <w:r>
        <w:rPr>
          <w:rFonts w:ascii="宋体" w:hAnsi="宋体" w:eastAsia="宋体" w:cs="宋体"/>
          <w:spacing w:val="1"/>
          <w:sz w:val="20"/>
          <w:szCs w:val="20"/>
        </w:rPr>
        <w:t>〕</w:t>
      </w:r>
      <w:r>
        <w:rPr>
          <w:rFonts w:ascii="Times New Roman" w:hAnsi="Times New Roman" w:eastAsia="Times New Roman" w:cs="Times New Roman"/>
          <w:spacing w:val="1"/>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1"/>
          <w:sz w:val="20"/>
          <w:szCs w:val="20"/>
        </w:rPr>
        <w:t>号）》</w:t>
      </w:r>
      <w:r>
        <w:rPr>
          <w:rFonts w:ascii="宋体" w:hAnsi="宋体" w:eastAsia="宋体" w:cs="宋体"/>
          <w:sz w:val="20"/>
          <w:szCs w:val="20"/>
        </w:rPr>
        <w:t xml:space="preserve"> </w:t>
      </w:r>
      <w:r>
        <w:rPr>
          <w:rFonts w:ascii="宋体" w:hAnsi="宋体" w:eastAsia="宋体" w:cs="宋体"/>
          <w:spacing w:val="9"/>
          <w:sz w:val="20"/>
          <w:szCs w:val="20"/>
        </w:rPr>
        <w:t>《住房城乡建设部 交通运输部 水利部 人力资源社会保障部关于</w:t>
      </w:r>
      <w:r>
        <w:rPr>
          <w:rFonts w:ascii="宋体" w:hAnsi="宋体" w:eastAsia="宋体" w:cs="宋体"/>
          <w:spacing w:val="8"/>
          <w:sz w:val="20"/>
          <w:szCs w:val="20"/>
        </w:rPr>
        <w:t>印发〈造价工程师职业资</w:t>
      </w:r>
      <w:r>
        <w:rPr>
          <w:rFonts w:ascii="宋体" w:hAnsi="宋体" w:eastAsia="宋体" w:cs="宋体"/>
          <w:spacing w:val="2"/>
          <w:sz w:val="20"/>
          <w:szCs w:val="20"/>
        </w:rPr>
        <w:t>格制度规定〉〈造价工程师职业资格考试实施办法〉的通知（建人〔</w:t>
      </w:r>
      <w:r>
        <w:rPr>
          <w:rFonts w:ascii="Times New Roman" w:hAnsi="Times New Roman" w:eastAsia="Times New Roman" w:cs="Times New Roman"/>
          <w:spacing w:val="2"/>
          <w:sz w:val="20"/>
          <w:szCs w:val="20"/>
        </w:rPr>
        <w:t>2018</w:t>
      </w:r>
      <w:r>
        <w:rPr>
          <w:rFonts w:ascii="宋体" w:hAnsi="宋体" w:eastAsia="宋体" w:cs="宋体"/>
          <w:spacing w:val="2"/>
          <w:sz w:val="20"/>
          <w:szCs w:val="20"/>
        </w:rPr>
        <w:t>〕</w:t>
      </w:r>
      <w:r>
        <w:rPr>
          <w:rFonts w:ascii="Times New Roman" w:hAnsi="Times New Roman" w:eastAsia="Times New Roman" w:cs="Times New Roman"/>
          <w:spacing w:val="2"/>
          <w:sz w:val="20"/>
          <w:szCs w:val="20"/>
        </w:rPr>
        <w:t>67</w:t>
      </w:r>
      <w:r>
        <w:rPr>
          <w:rFonts w:ascii="Times New Roman" w:hAnsi="Times New Roman" w:eastAsia="Times New Roman" w:cs="Times New Roman"/>
          <w:spacing w:val="16"/>
          <w:sz w:val="20"/>
          <w:szCs w:val="20"/>
        </w:rPr>
        <w:t xml:space="preserve"> </w:t>
      </w:r>
      <w:r>
        <w:rPr>
          <w:rFonts w:ascii="宋体" w:hAnsi="宋体" w:eastAsia="宋体" w:cs="宋体"/>
          <w:spacing w:val="2"/>
          <w:sz w:val="20"/>
          <w:szCs w:val="20"/>
        </w:rPr>
        <w:t>号）》等文件，</w:t>
      </w:r>
      <w:r>
        <w:rPr>
          <w:rFonts w:ascii="宋体" w:hAnsi="宋体" w:eastAsia="宋体" w:cs="宋体"/>
          <w:spacing w:val="12"/>
          <w:sz w:val="20"/>
          <w:szCs w:val="20"/>
        </w:rPr>
        <w:t>一级造价工程师、一级注册建筑师、一级建造师、一级注册结构工</w:t>
      </w:r>
      <w:r>
        <w:rPr>
          <w:rFonts w:ascii="宋体" w:hAnsi="宋体" w:eastAsia="宋体" w:cs="宋体"/>
          <w:spacing w:val="11"/>
          <w:sz w:val="20"/>
          <w:szCs w:val="20"/>
        </w:rPr>
        <w:t>程师、其他勘察设计注</w:t>
      </w:r>
      <w:r>
        <w:rPr>
          <w:rFonts w:ascii="宋体" w:hAnsi="宋体" w:eastAsia="宋体" w:cs="宋体"/>
          <w:spacing w:val="12"/>
          <w:sz w:val="20"/>
          <w:szCs w:val="20"/>
        </w:rPr>
        <w:t>册工程师等，其职业资格直接对应相应系列的中级职称。二级造价工程师</w:t>
      </w:r>
      <w:r>
        <w:rPr>
          <w:rFonts w:ascii="宋体" w:hAnsi="宋体" w:eastAsia="宋体" w:cs="宋体"/>
          <w:spacing w:val="11"/>
          <w:sz w:val="20"/>
          <w:szCs w:val="20"/>
        </w:rPr>
        <w:t>、二级注册建筑</w:t>
      </w:r>
      <w:r>
        <w:rPr>
          <w:rFonts w:ascii="宋体" w:hAnsi="宋体" w:eastAsia="宋体" w:cs="宋体"/>
          <w:spacing w:val="9"/>
          <w:sz w:val="20"/>
          <w:szCs w:val="20"/>
        </w:rPr>
        <w:t>师、二级建造师、二级注册结构工程师等，其职业资格直接对应相应系列的初级职称。</w:t>
      </w:r>
    </w:p>
    <w:p w14:paraId="0DE17F4B">
      <w:pPr>
        <w:spacing w:line="252" w:lineRule="auto"/>
        <w:rPr>
          <w:rFonts w:ascii="宋体" w:hAnsi="宋体" w:eastAsia="宋体" w:cs="宋体"/>
          <w:sz w:val="20"/>
          <w:szCs w:val="20"/>
        </w:rPr>
        <w:sectPr>
          <w:footerReference r:id="rId84" w:type="default"/>
          <w:pgSz w:w="11907" w:h="16840"/>
          <w:pgMar w:top="400" w:right="1248" w:bottom="1035" w:left="1469" w:header="0" w:footer="785" w:gutter="0"/>
          <w:cols w:space="720" w:num="1"/>
        </w:sectPr>
      </w:pPr>
    </w:p>
    <w:p w14:paraId="48EAF315">
      <w:pPr>
        <w:spacing w:line="276" w:lineRule="auto"/>
        <w:rPr>
          <w:rFonts w:ascii="Arial"/>
          <w:sz w:val="21"/>
        </w:rPr>
      </w:pPr>
    </w:p>
    <w:p w14:paraId="1215FA0A">
      <w:pPr>
        <w:spacing w:line="276" w:lineRule="auto"/>
        <w:rPr>
          <w:rFonts w:ascii="Arial"/>
          <w:sz w:val="21"/>
        </w:rPr>
      </w:pPr>
    </w:p>
    <w:p w14:paraId="2293C578">
      <w:pPr>
        <w:spacing w:line="276" w:lineRule="auto"/>
        <w:rPr>
          <w:rFonts w:ascii="Arial"/>
          <w:sz w:val="21"/>
        </w:rPr>
      </w:pPr>
    </w:p>
    <w:p w14:paraId="63F00D80">
      <w:pPr>
        <w:spacing w:line="276" w:lineRule="auto"/>
        <w:rPr>
          <w:rFonts w:ascii="Arial"/>
          <w:sz w:val="21"/>
        </w:rPr>
      </w:pPr>
    </w:p>
    <w:p w14:paraId="69508069">
      <w:pPr>
        <w:spacing w:line="276" w:lineRule="auto"/>
        <w:rPr>
          <w:rFonts w:ascii="Arial"/>
          <w:sz w:val="21"/>
        </w:rPr>
      </w:pPr>
    </w:p>
    <w:p w14:paraId="6E058FBD">
      <w:pPr>
        <w:pStyle w:val="2"/>
        <w:spacing w:before="91" w:line="222" w:lineRule="auto"/>
        <w:ind w:left="14"/>
        <w:outlineLvl w:val="1"/>
        <w:rPr>
          <w:sz w:val="28"/>
          <w:szCs w:val="28"/>
        </w:rPr>
      </w:pPr>
      <w:bookmarkStart w:id="102" w:name="bookmark93"/>
      <w:bookmarkEnd w:id="102"/>
      <w:r>
        <w:rPr>
          <w:spacing w:val="1"/>
          <w:sz w:val="28"/>
          <w:szCs w:val="28"/>
        </w:rPr>
        <w:t>评标办法前附表（办法五</w:t>
      </w:r>
      <w:r>
        <w:rPr>
          <w:spacing w:val="-55"/>
          <w:w w:val="89"/>
          <w:sz w:val="28"/>
          <w:szCs w:val="28"/>
        </w:rPr>
        <w:t>）（</w:t>
      </w:r>
      <w:r>
        <w:rPr>
          <w:spacing w:val="1"/>
          <w:sz w:val="28"/>
          <w:szCs w:val="28"/>
        </w:rPr>
        <w:t>综合评估法）</w:t>
      </w:r>
    </w:p>
    <w:p w14:paraId="2D11E31A">
      <w:pPr>
        <w:spacing w:before="105"/>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17940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03" w:type="dxa"/>
            <w:gridSpan w:val="2"/>
            <w:vAlign w:val="top"/>
          </w:tcPr>
          <w:p w14:paraId="48A37ADC">
            <w:pPr>
              <w:pStyle w:val="6"/>
              <w:spacing w:before="124" w:line="228" w:lineRule="auto"/>
              <w:ind w:left="592"/>
            </w:pPr>
            <w:r>
              <w:rPr>
                <w:b/>
                <w:bCs/>
                <w:spacing w:val="5"/>
              </w:rPr>
              <w:t>条款号</w:t>
            </w:r>
          </w:p>
        </w:tc>
        <w:tc>
          <w:tcPr>
            <w:tcW w:w="2339" w:type="dxa"/>
            <w:vAlign w:val="top"/>
          </w:tcPr>
          <w:p w14:paraId="4A5965B2">
            <w:pPr>
              <w:pStyle w:val="6"/>
              <w:spacing w:before="124" w:line="228" w:lineRule="auto"/>
              <w:ind w:left="752"/>
            </w:pPr>
            <w:r>
              <w:rPr>
                <w:b/>
                <w:bCs/>
                <w:spacing w:val="6"/>
              </w:rPr>
              <w:t>评审因素</w:t>
            </w:r>
          </w:p>
        </w:tc>
        <w:tc>
          <w:tcPr>
            <w:tcW w:w="5042" w:type="dxa"/>
            <w:vAlign w:val="top"/>
          </w:tcPr>
          <w:p w14:paraId="644A2724">
            <w:pPr>
              <w:pStyle w:val="6"/>
              <w:spacing w:before="125" w:line="228" w:lineRule="auto"/>
              <w:ind w:left="2102"/>
            </w:pPr>
            <w:r>
              <w:rPr>
                <w:b/>
                <w:bCs/>
                <w:spacing w:val="6"/>
              </w:rPr>
              <w:t>评审标准</w:t>
            </w:r>
          </w:p>
        </w:tc>
      </w:tr>
      <w:tr w14:paraId="60CF85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5EDB1DC5">
            <w:pPr>
              <w:spacing w:line="258" w:lineRule="auto"/>
              <w:rPr>
                <w:rFonts w:ascii="Arial"/>
                <w:sz w:val="21"/>
              </w:rPr>
            </w:pPr>
          </w:p>
          <w:p w14:paraId="416B7DA3">
            <w:pPr>
              <w:spacing w:line="259" w:lineRule="auto"/>
              <w:rPr>
                <w:rFonts w:ascii="Arial"/>
                <w:sz w:val="21"/>
              </w:rPr>
            </w:pPr>
          </w:p>
          <w:p w14:paraId="6D16063F">
            <w:pPr>
              <w:spacing w:line="259" w:lineRule="auto"/>
              <w:rPr>
                <w:rFonts w:ascii="Arial"/>
                <w:sz w:val="21"/>
              </w:rPr>
            </w:pPr>
          </w:p>
          <w:p w14:paraId="4B9DD2CD">
            <w:pPr>
              <w:spacing w:line="259" w:lineRule="auto"/>
              <w:rPr>
                <w:rFonts w:ascii="Arial"/>
                <w:sz w:val="21"/>
              </w:rPr>
            </w:pPr>
          </w:p>
          <w:p w14:paraId="413D304E">
            <w:pPr>
              <w:spacing w:line="259" w:lineRule="auto"/>
              <w:rPr>
                <w:rFonts w:ascii="Arial"/>
                <w:sz w:val="21"/>
              </w:rPr>
            </w:pPr>
          </w:p>
          <w:p w14:paraId="267916C8">
            <w:pPr>
              <w:spacing w:line="259" w:lineRule="auto"/>
              <w:rPr>
                <w:rFonts w:ascii="Arial"/>
                <w:sz w:val="21"/>
              </w:rPr>
            </w:pPr>
          </w:p>
          <w:p w14:paraId="657F2AD5">
            <w:pPr>
              <w:spacing w:line="259" w:lineRule="auto"/>
              <w:rPr>
                <w:rFonts w:ascii="Arial"/>
                <w:sz w:val="21"/>
              </w:rPr>
            </w:pPr>
          </w:p>
          <w:p w14:paraId="13A85666">
            <w:pPr>
              <w:spacing w:line="259" w:lineRule="auto"/>
              <w:rPr>
                <w:rFonts w:ascii="Arial"/>
                <w:sz w:val="21"/>
              </w:rPr>
            </w:pPr>
          </w:p>
          <w:p w14:paraId="2E7A4030">
            <w:pPr>
              <w:spacing w:line="259" w:lineRule="auto"/>
              <w:rPr>
                <w:rFonts w:ascii="Arial"/>
                <w:sz w:val="21"/>
              </w:rPr>
            </w:pPr>
          </w:p>
          <w:p w14:paraId="7935C49B">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7EB2CD58">
            <w:pPr>
              <w:spacing w:line="244" w:lineRule="auto"/>
              <w:rPr>
                <w:rFonts w:ascii="Arial"/>
                <w:sz w:val="21"/>
              </w:rPr>
            </w:pPr>
          </w:p>
          <w:p w14:paraId="62EBA48D">
            <w:pPr>
              <w:spacing w:line="245" w:lineRule="auto"/>
              <w:rPr>
                <w:rFonts w:ascii="Arial"/>
                <w:sz w:val="21"/>
              </w:rPr>
            </w:pPr>
          </w:p>
          <w:p w14:paraId="3E46B569">
            <w:pPr>
              <w:spacing w:line="245" w:lineRule="auto"/>
              <w:rPr>
                <w:rFonts w:ascii="Arial"/>
                <w:sz w:val="21"/>
              </w:rPr>
            </w:pPr>
          </w:p>
          <w:p w14:paraId="2F39CC43">
            <w:pPr>
              <w:spacing w:line="245" w:lineRule="auto"/>
              <w:rPr>
                <w:rFonts w:ascii="Arial"/>
                <w:sz w:val="21"/>
              </w:rPr>
            </w:pPr>
          </w:p>
          <w:p w14:paraId="0BC77A27">
            <w:pPr>
              <w:spacing w:line="245" w:lineRule="auto"/>
              <w:rPr>
                <w:rFonts w:ascii="Arial"/>
                <w:sz w:val="21"/>
              </w:rPr>
            </w:pPr>
          </w:p>
          <w:p w14:paraId="4A6A1BA9">
            <w:pPr>
              <w:spacing w:line="245" w:lineRule="auto"/>
              <w:rPr>
                <w:rFonts w:ascii="Arial"/>
                <w:sz w:val="21"/>
              </w:rPr>
            </w:pPr>
          </w:p>
          <w:p w14:paraId="719040A5">
            <w:pPr>
              <w:spacing w:line="245" w:lineRule="auto"/>
              <w:rPr>
                <w:rFonts w:ascii="Arial"/>
                <w:sz w:val="21"/>
              </w:rPr>
            </w:pPr>
          </w:p>
          <w:p w14:paraId="52F47AE5">
            <w:pPr>
              <w:spacing w:line="245" w:lineRule="auto"/>
              <w:rPr>
                <w:rFonts w:ascii="Arial"/>
                <w:sz w:val="21"/>
              </w:rPr>
            </w:pPr>
          </w:p>
          <w:p w14:paraId="51A8ABF8">
            <w:pPr>
              <w:pStyle w:val="6"/>
              <w:spacing w:before="65" w:line="252" w:lineRule="auto"/>
              <w:ind w:left="322" w:right="320" w:firstLine="3"/>
              <w:jc w:val="both"/>
            </w:pPr>
            <w:r>
              <w:rPr>
                <w:spacing w:val="3"/>
              </w:rPr>
              <w:t>形式</w:t>
            </w:r>
            <w:r>
              <w:rPr>
                <w:spacing w:val="5"/>
              </w:rPr>
              <w:t>评审标准</w:t>
            </w:r>
          </w:p>
        </w:tc>
        <w:tc>
          <w:tcPr>
            <w:tcW w:w="2339" w:type="dxa"/>
            <w:vAlign w:val="top"/>
          </w:tcPr>
          <w:p w14:paraId="532DE889">
            <w:pPr>
              <w:pStyle w:val="6"/>
              <w:spacing w:before="122" w:line="228" w:lineRule="auto"/>
              <w:ind w:left="115"/>
            </w:pPr>
            <w:r>
              <w:rPr>
                <w:spacing w:val="6"/>
              </w:rPr>
              <w:t>投标文件</w:t>
            </w:r>
          </w:p>
        </w:tc>
        <w:tc>
          <w:tcPr>
            <w:tcW w:w="5042" w:type="dxa"/>
            <w:vAlign w:val="top"/>
          </w:tcPr>
          <w:p w14:paraId="15386FBD">
            <w:pPr>
              <w:pStyle w:val="6"/>
              <w:spacing w:before="122" w:line="228" w:lineRule="auto"/>
              <w:ind w:left="116"/>
            </w:pPr>
            <w:r>
              <w:rPr>
                <w:spacing w:val="8"/>
              </w:rPr>
              <w:t>投标文件能正常打开</w:t>
            </w:r>
          </w:p>
        </w:tc>
      </w:tr>
      <w:tr w14:paraId="66EA53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DE1DAC6">
            <w:pPr>
              <w:rPr>
                <w:rFonts w:ascii="Arial"/>
                <w:sz w:val="21"/>
              </w:rPr>
            </w:pPr>
          </w:p>
        </w:tc>
        <w:tc>
          <w:tcPr>
            <w:tcW w:w="1058" w:type="dxa"/>
            <w:vMerge w:val="continue"/>
            <w:tcBorders>
              <w:top w:val="nil"/>
              <w:bottom w:val="nil"/>
            </w:tcBorders>
            <w:vAlign w:val="top"/>
          </w:tcPr>
          <w:p w14:paraId="5EE621F5">
            <w:pPr>
              <w:rPr>
                <w:rFonts w:ascii="Arial"/>
                <w:sz w:val="21"/>
              </w:rPr>
            </w:pPr>
          </w:p>
        </w:tc>
        <w:tc>
          <w:tcPr>
            <w:tcW w:w="2339" w:type="dxa"/>
            <w:vAlign w:val="top"/>
          </w:tcPr>
          <w:p w14:paraId="21DFD224">
            <w:pPr>
              <w:pStyle w:val="6"/>
              <w:spacing w:before="122" w:line="228" w:lineRule="auto"/>
              <w:ind w:left="115"/>
            </w:pPr>
            <w:r>
              <w:rPr>
                <w:spacing w:val="7"/>
              </w:rPr>
              <w:t>投标人名称</w:t>
            </w:r>
          </w:p>
        </w:tc>
        <w:tc>
          <w:tcPr>
            <w:tcW w:w="5042" w:type="dxa"/>
            <w:vAlign w:val="top"/>
          </w:tcPr>
          <w:p w14:paraId="799DDB3B">
            <w:pPr>
              <w:pStyle w:val="6"/>
              <w:spacing w:before="121" w:line="227" w:lineRule="auto"/>
              <w:ind w:left="117"/>
            </w:pPr>
            <w:r>
              <w:rPr>
                <w:spacing w:val="9"/>
              </w:rPr>
              <w:t>与营业执照、资质证书、安全生产许可证一致</w:t>
            </w:r>
          </w:p>
        </w:tc>
      </w:tr>
      <w:tr w14:paraId="0F67E9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45" w:type="dxa"/>
            <w:vMerge w:val="continue"/>
            <w:tcBorders>
              <w:top w:val="nil"/>
              <w:bottom w:val="nil"/>
            </w:tcBorders>
            <w:vAlign w:val="top"/>
          </w:tcPr>
          <w:p w14:paraId="7FD3E85C">
            <w:pPr>
              <w:rPr>
                <w:rFonts w:ascii="Arial"/>
                <w:sz w:val="21"/>
              </w:rPr>
            </w:pPr>
          </w:p>
        </w:tc>
        <w:tc>
          <w:tcPr>
            <w:tcW w:w="1058" w:type="dxa"/>
            <w:vMerge w:val="continue"/>
            <w:tcBorders>
              <w:top w:val="nil"/>
              <w:bottom w:val="nil"/>
            </w:tcBorders>
            <w:vAlign w:val="top"/>
          </w:tcPr>
          <w:p w14:paraId="017DE2DD">
            <w:pPr>
              <w:rPr>
                <w:rFonts w:ascii="Arial"/>
                <w:sz w:val="21"/>
              </w:rPr>
            </w:pPr>
          </w:p>
        </w:tc>
        <w:tc>
          <w:tcPr>
            <w:tcW w:w="2339" w:type="dxa"/>
            <w:vAlign w:val="top"/>
          </w:tcPr>
          <w:p w14:paraId="53261CEC">
            <w:pPr>
              <w:pStyle w:val="6"/>
              <w:spacing w:before="130" w:line="227" w:lineRule="auto"/>
              <w:ind w:left="115"/>
            </w:pPr>
            <w:r>
              <w:rPr>
                <w:spacing w:val="8"/>
              </w:rPr>
              <w:t>投标文件签字盖章</w:t>
            </w:r>
          </w:p>
        </w:tc>
        <w:tc>
          <w:tcPr>
            <w:tcW w:w="5042" w:type="dxa"/>
            <w:vAlign w:val="top"/>
          </w:tcPr>
          <w:p w14:paraId="6F5592B6">
            <w:pPr>
              <w:pStyle w:val="6"/>
              <w:spacing w:before="130"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23F26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2509DE0B">
            <w:pPr>
              <w:rPr>
                <w:rFonts w:ascii="Arial"/>
                <w:sz w:val="21"/>
              </w:rPr>
            </w:pPr>
          </w:p>
        </w:tc>
        <w:tc>
          <w:tcPr>
            <w:tcW w:w="1058" w:type="dxa"/>
            <w:vMerge w:val="continue"/>
            <w:tcBorders>
              <w:top w:val="nil"/>
              <w:bottom w:val="nil"/>
            </w:tcBorders>
            <w:vAlign w:val="top"/>
          </w:tcPr>
          <w:p w14:paraId="530D2DE3">
            <w:pPr>
              <w:rPr>
                <w:rFonts w:ascii="Arial"/>
                <w:sz w:val="21"/>
              </w:rPr>
            </w:pPr>
          </w:p>
        </w:tc>
        <w:tc>
          <w:tcPr>
            <w:tcW w:w="2339" w:type="dxa"/>
            <w:vAlign w:val="top"/>
          </w:tcPr>
          <w:p w14:paraId="0AE1EC6F">
            <w:pPr>
              <w:pStyle w:val="6"/>
              <w:spacing w:before="167" w:line="228" w:lineRule="auto"/>
              <w:ind w:left="115"/>
            </w:pPr>
            <w:r>
              <w:rPr>
                <w:spacing w:val="8"/>
              </w:rPr>
              <w:t>投标文件格式、内容</w:t>
            </w:r>
          </w:p>
        </w:tc>
        <w:tc>
          <w:tcPr>
            <w:tcW w:w="5042" w:type="dxa"/>
            <w:vAlign w:val="top"/>
          </w:tcPr>
          <w:p w14:paraId="088B3788">
            <w:pPr>
              <w:pStyle w:val="6"/>
              <w:spacing w:before="30" w:line="235"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7A0054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0AB0E13">
            <w:pPr>
              <w:rPr>
                <w:rFonts w:ascii="Arial"/>
                <w:sz w:val="21"/>
              </w:rPr>
            </w:pPr>
          </w:p>
        </w:tc>
        <w:tc>
          <w:tcPr>
            <w:tcW w:w="1058" w:type="dxa"/>
            <w:vMerge w:val="continue"/>
            <w:tcBorders>
              <w:top w:val="nil"/>
              <w:bottom w:val="nil"/>
            </w:tcBorders>
            <w:vAlign w:val="top"/>
          </w:tcPr>
          <w:p w14:paraId="3C64B220">
            <w:pPr>
              <w:rPr>
                <w:rFonts w:ascii="Arial"/>
                <w:sz w:val="21"/>
              </w:rPr>
            </w:pPr>
          </w:p>
        </w:tc>
        <w:tc>
          <w:tcPr>
            <w:tcW w:w="2339" w:type="dxa"/>
            <w:vAlign w:val="top"/>
          </w:tcPr>
          <w:p w14:paraId="136007E5">
            <w:pPr>
              <w:pStyle w:val="6"/>
              <w:spacing w:before="122" w:line="228" w:lineRule="auto"/>
              <w:ind w:left="113"/>
            </w:pPr>
            <w:r>
              <w:rPr>
                <w:spacing w:val="7"/>
              </w:rPr>
              <w:t>联合体投标人（如有）</w:t>
            </w:r>
          </w:p>
        </w:tc>
        <w:tc>
          <w:tcPr>
            <w:tcW w:w="5042" w:type="dxa"/>
            <w:vAlign w:val="top"/>
          </w:tcPr>
          <w:p w14:paraId="4FE70500">
            <w:pPr>
              <w:pStyle w:val="6"/>
              <w:spacing w:before="121" w:line="227" w:lineRule="auto"/>
              <w:ind w:left="114"/>
            </w:pPr>
            <w:r>
              <w:rPr>
                <w:spacing w:val="9"/>
              </w:rPr>
              <w:t>提交联合体协议书，并明确联合体牵头人</w:t>
            </w:r>
          </w:p>
        </w:tc>
      </w:tr>
      <w:tr w14:paraId="4D5D2F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142162AE">
            <w:pPr>
              <w:rPr>
                <w:rFonts w:ascii="Arial"/>
                <w:sz w:val="21"/>
              </w:rPr>
            </w:pPr>
          </w:p>
        </w:tc>
        <w:tc>
          <w:tcPr>
            <w:tcW w:w="1058" w:type="dxa"/>
            <w:vMerge w:val="continue"/>
            <w:tcBorders>
              <w:top w:val="nil"/>
              <w:bottom w:val="nil"/>
            </w:tcBorders>
            <w:vAlign w:val="top"/>
          </w:tcPr>
          <w:p w14:paraId="5E09372F">
            <w:pPr>
              <w:rPr>
                <w:rFonts w:ascii="Arial"/>
                <w:sz w:val="21"/>
              </w:rPr>
            </w:pPr>
          </w:p>
        </w:tc>
        <w:tc>
          <w:tcPr>
            <w:tcW w:w="2339" w:type="dxa"/>
            <w:vAlign w:val="top"/>
          </w:tcPr>
          <w:p w14:paraId="439D9B86">
            <w:pPr>
              <w:pStyle w:val="6"/>
              <w:spacing w:before="167" w:line="226" w:lineRule="auto"/>
              <w:ind w:left="110"/>
            </w:pPr>
            <w:r>
              <w:rPr>
                <w:spacing w:val="8"/>
              </w:rPr>
              <w:t>报价唯一</w:t>
            </w:r>
          </w:p>
        </w:tc>
        <w:tc>
          <w:tcPr>
            <w:tcW w:w="5042" w:type="dxa"/>
            <w:vAlign w:val="top"/>
          </w:tcPr>
          <w:p w14:paraId="5A2F17E0">
            <w:pPr>
              <w:pStyle w:val="6"/>
              <w:spacing w:before="32" w:line="234" w:lineRule="auto"/>
              <w:ind w:left="114" w:right="109" w:firstLine="11"/>
            </w:pPr>
            <w:r>
              <w:rPr>
                <w:spacing w:val="18"/>
              </w:rPr>
              <w:t>只能有一个有效报价（指投标函中的大写投标总报</w:t>
            </w:r>
            <w:r>
              <w:t>价）</w:t>
            </w:r>
          </w:p>
        </w:tc>
      </w:tr>
      <w:tr w14:paraId="0A4D2F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5135CB5">
            <w:pPr>
              <w:rPr>
                <w:rFonts w:ascii="Arial"/>
                <w:sz w:val="21"/>
              </w:rPr>
            </w:pPr>
          </w:p>
        </w:tc>
        <w:tc>
          <w:tcPr>
            <w:tcW w:w="1058" w:type="dxa"/>
            <w:vMerge w:val="continue"/>
            <w:tcBorders>
              <w:top w:val="nil"/>
              <w:bottom w:val="nil"/>
            </w:tcBorders>
            <w:vAlign w:val="top"/>
          </w:tcPr>
          <w:p w14:paraId="1BB6D58D">
            <w:pPr>
              <w:rPr>
                <w:rFonts w:ascii="Arial"/>
                <w:sz w:val="21"/>
              </w:rPr>
            </w:pPr>
          </w:p>
        </w:tc>
        <w:tc>
          <w:tcPr>
            <w:tcW w:w="2339" w:type="dxa"/>
            <w:vAlign w:val="top"/>
          </w:tcPr>
          <w:p w14:paraId="440D66E8">
            <w:pPr>
              <w:pStyle w:val="6"/>
              <w:spacing w:before="178" w:line="228" w:lineRule="auto"/>
              <w:ind w:left="122"/>
            </w:pPr>
            <w:r>
              <w:rPr>
                <w:spacing w:val="6"/>
              </w:rPr>
              <w:t>多标段投标</w:t>
            </w:r>
          </w:p>
        </w:tc>
        <w:tc>
          <w:tcPr>
            <w:tcW w:w="5042" w:type="dxa"/>
            <w:vAlign w:val="top"/>
          </w:tcPr>
          <w:p w14:paraId="7D51773C">
            <w:pPr>
              <w:pStyle w:val="6"/>
              <w:spacing w:before="178"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3B094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6242CF0">
            <w:pPr>
              <w:rPr>
                <w:rFonts w:ascii="Arial"/>
                <w:sz w:val="21"/>
              </w:rPr>
            </w:pPr>
          </w:p>
        </w:tc>
        <w:tc>
          <w:tcPr>
            <w:tcW w:w="1058" w:type="dxa"/>
            <w:vMerge w:val="continue"/>
            <w:tcBorders>
              <w:top w:val="nil"/>
              <w:bottom w:val="nil"/>
            </w:tcBorders>
            <w:vAlign w:val="top"/>
          </w:tcPr>
          <w:p w14:paraId="2082AA54">
            <w:pPr>
              <w:rPr>
                <w:rFonts w:ascii="Arial"/>
                <w:sz w:val="21"/>
              </w:rPr>
            </w:pPr>
          </w:p>
        </w:tc>
        <w:tc>
          <w:tcPr>
            <w:tcW w:w="2339" w:type="dxa"/>
            <w:vAlign w:val="top"/>
          </w:tcPr>
          <w:p w14:paraId="57BD56F5">
            <w:pPr>
              <w:pStyle w:val="6"/>
              <w:spacing w:before="121" w:line="228" w:lineRule="auto"/>
              <w:ind w:left="102"/>
            </w:pPr>
            <w:r>
              <w:rPr>
                <w:spacing w:val="22"/>
              </w:rPr>
              <w:t>“技术暗标</w:t>
            </w:r>
            <w:r>
              <w:rPr>
                <w:spacing w:val="-70"/>
              </w:rPr>
              <w:t xml:space="preserve"> </w:t>
            </w:r>
            <w:r>
              <w:rPr>
                <w:spacing w:val="22"/>
              </w:rPr>
              <w:t>”</w:t>
            </w:r>
          </w:p>
        </w:tc>
        <w:tc>
          <w:tcPr>
            <w:tcW w:w="5042" w:type="dxa"/>
            <w:vAlign w:val="top"/>
          </w:tcPr>
          <w:p w14:paraId="087C20FF">
            <w:pPr>
              <w:pStyle w:val="6"/>
              <w:spacing w:before="122"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4439CF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EF183A8">
            <w:pPr>
              <w:rPr>
                <w:rFonts w:ascii="Arial"/>
                <w:sz w:val="21"/>
              </w:rPr>
            </w:pPr>
          </w:p>
        </w:tc>
        <w:tc>
          <w:tcPr>
            <w:tcW w:w="1058" w:type="dxa"/>
            <w:vMerge w:val="continue"/>
            <w:tcBorders>
              <w:top w:val="nil"/>
              <w:bottom w:val="nil"/>
            </w:tcBorders>
            <w:vAlign w:val="top"/>
          </w:tcPr>
          <w:p w14:paraId="34235DEF">
            <w:pPr>
              <w:rPr>
                <w:rFonts w:ascii="Arial"/>
                <w:sz w:val="21"/>
              </w:rPr>
            </w:pPr>
          </w:p>
        </w:tc>
        <w:tc>
          <w:tcPr>
            <w:tcW w:w="2339" w:type="dxa"/>
            <w:vAlign w:val="top"/>
          </w:tcPr>
          <w:p w14:paraId="61597E8B">
            <w:pPr>
              <w:pStyle w:val="6"/>
              <w:spacing w:before="121" w:line="228" w:lineRule="auto"/>
              <w:ind w:left="115"/>
            </w:pPr>
            <w:r>
              <w:rPr>
                <w:spacing w:val="6"/>
              </w:rPr>
              <w:t>项目经理</w:t>
            </w:r>
          </w:p>
        </w:tc>
        <w:tc>
          <w:tcPr>
            <w:tcW w:w="5042" w:type="dxa"/>
            <w:vAlign w:val="top"/>
          </w:tcPr>
          <w:p w14:paraId="1A7CA264">
            <w:pPr>
              <w:pStyle w:val="6"/>
              <w:spacing w:before="121" w:line="228" w:lineRule="auto"/>
              <w:ind w:left="116"/>
            </w:pPr>
            <w:r>
              <w:rPr>
                <w:spacing w:val="9"/>
              </w:rPr>
              <w:t>未更换通过资格预审的项目经理</w:t>
            </w:r>
          </w:p>
        </w:tc>
      </w:tr>
      <w:tr w14:paraId="3CE9B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334001BC">
            <w:pPr>
              <w:rPr>
                <w:rFonts w:ascii="Arial"/>
                <w:sz w:val="21"/>
              </w:rPr>
            </w:pPr>
          </w:p>
        </w:tc>
        <w:tc>
          <w:tcPr>
            <w:tcW w:w="1058" w:type="dxa"/>
            <w:vMerge w:val="continue"/>
            <w:tcBorders>
              <w:top w:val="nil"/>
            </w:tcBorders>
            <w:vAlign w:val="top"/>
          </w:tcPr>
          <w:p w14:paraId="6784A6BE">
            <w:pPr>
              <w:rPr>
                <w:rFonts w:ascii="Arial"/>
                <w:sz w:val="21"/>
              </w:rPr>
            </w:pPr>
          </w:p>
        </w:tc>
        <w:tc>
          <w:tcPr>
            <w:tcW w:w="2339" w:type="dxa"/>
            <w:vAlign w:val="top"/>
          </w:tcPr>
          <w:p w14:paraId="3E089B26">
            <w:pPr>
              <w:pStyle w:val="6"/>
              <w:spacing w:before="120" w:line="228" w:lineRule="auto"/>
              <w:ind w:left="121"/>
            </w:pPr>
            <w:r>
              <w:rPr>
                <w:spacing w:val="6"/>
              </w:rPr>
              <w:t>资格条件变化</w:t>
            </w:r>
          </w:p>
        </w:tc>
        <w:tc>
          <w:tcPr>
            <w:tcW w:w="5042" w:type="dxa"/>
            <w:vAlign w:val="top"/>
          </w:tcPr>
          <w:p w14:paraId="5B733FAA">
            <w:pPr>
              <w:pStyle w:val="6"/>
              <w:spacing w:before="120" w:line="228" w:lineRule="auto"/>
              <w:ind w:left="116"/>
            </w:pPr>
            <w:r>
              <w:rPr>
                <w:spacing w:val="9"/>
              </w:rPr>
              <w:t>投标函中有资格条件是否变化的声明</w:t>
            </w:r>
          </w:p>
        </w:tc>
      </w:tr>
      <w:tr w14:paraId="2A815B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0" w:hRule="atLeast"/>
        </w:trPr>
        <w:tc>
          <w:tcPr>
            <w:tcW w:w="745" w:type="dxa"/>
            <w:vAlign w:val="top"/>
          </w:tcPr>
          <w:p w14:paraId="4842CF5E">
            <w:pPr>
              <w:spacing w:line="257" w:lineRule="auto"/>
              <w:rPr>
                <w:rFonts w:ascii="Arial"/>
                <w:sz w:val="21"/>
              </w:rPr>
            </w:pPr>
          </w:p>
          <w:p w14:paraId="0939440E">
            <w:pPr>
              <w:spacing w:line="258" w:lineRule="auto"/>
              <w:rPr>
                <w:rFonts w:ascii="Arial"/>
                <w:sz w:val="21"/>
              </w:rPr>
            </w:pPr>
          </w:p>
          <w:p w14:paraId="358F9698">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02C5F77A">
            <w:pPr>
              <w:pStyle w:val="6"/>
              <w:spacing w:before="73" w:line="228" w:lineRule="auto"/>
              <w:ind w:left="332"/>
            </w:pPr>
            <w:r>
              <w:t>资格</w:t>
            </w:r>
          </w:p>
          <w:p w14:paraId="323C2803">
            <w:pPr>
              <w:pStyle w:val="6"/>
              <w:spacing w:before="24" w:line="228" w:lineRule="auto"/>
              <w:ind w:left="322"/>
            </w:pPr>
            <w:r>
              <w:rPr>
                <w:spacing w:val="5"/>
              </w:rPr>
              <w:t>评审</w:t>
            </w:r>
          </w:p>
          <w:p w14:paraId="21126DA1">
            <w:pPr>
              <w:pStyle w:val="6"/>
              <w:spacing w:before="26" w:line="252" w:lineRule="auto"/>
              <w:ind w:left="122" w:right="129" w:firstLine="201"/>
            </w:pPr>
            <w:r>
              <w:rPr>
                <w:spacing w:val="4"/>
              </w:rPr>
              <w:t>标准</w:t>
            </w:r>
            <w:r>
              <w:t>（预审）</w:t>
            </w:r>
          </w:p>
        </w:tc>
        <w:tc>
          <w:tcPr>
            <w:tcW w:w="2339" w:type="dxa"/>
            <w:vAlign w:val="top"/>
          </w:tcPr>
          <w:p w14:paraId="41ADAB72">
            <w:pPr>
              <w:spacing w:line="471" w:lineRule="auto"/>
              <w:rPr>
                <w:rFonts w:ascii="Arial"/>
                <w:sz w:val="21"/>
              </w:rPr>
            </w:pPr>
          </w:p>
          <w:p w14:paraId="1875BAA1">
            <w:pPr>
              <w:pStyle w:val="6"/>
              <w:spacing w:before="65" w:line="227" w:lineRule="auto"/>
              <w:ind w:left="115"/>
            </w:pPr>
            <w:r>
              <w:rPr>
                <w:spacing w:val="8"/>
              </w:rPr>
              <w:t>见本标段资格预审文件</w:t>
            </w:r>
          </w:p>
        </w:tc>
        <w:tc>
          <w:tcPr>
            <w:tcW w:w="5042" w:type="dxa"/>
            <w:vAlign w:val="top"/>
          </w:tcPr>
          <w:p w14:paraId="1EA34FEA">
            <w:pPr>
              <w:spacing w:line="277" w:lineRule="auto"/>
              <w:rPr>
                <w:rFonts w:ascii="Arial"/>
                <w:sz w:val="21"/>
              </w:rPr>
            </w:pPr>
          </w:p>
          <w:p w14:paraId="593CECE6">
            <w:pPr>
              <w:pStyle w:val="6"/>
              <w:spacing w:before="65" w:line="254" w:lineRule="auto"/>
              <w:ind w:left="123" w:right="107" w:hanging="8"/>
            </w:pPr>
            <w:r>
              <w:rPr>
                <w:spacing w:val="8"/>
              </w:rPr>
              <w:t>符合本标段资格预审文件第三章“资格审查办法</w:t>
            </w:r>
            <w:r>
              <w:rPr>
                <w:spacing w:val="-70"/>
              </w:rPr>
              <w:t xml:space="preserve"> </w:t>
            </w:r>
            <w:r>
              <w:rPr>
                <w:spacing w:val="8"/>
              </w:rPr>
              <w:t>”的审查标准并且不影响本次招标的公正性。</w:t>
            </w:r>
          </w:p>
        </w:tc>
      </w:tr>
      <w:tr w14:paraId="2465D2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4066EFAC">
            <w:pPr>
              <w:spacing w:line="257" w:lineRule="auto"/>
              <w:rPr>
                <w:rFonts w:ascii="Arial"/>
                <w:sz w:val="21"/>
              </w:rPr>
            </w:pPr>
          </w:p>
          <w:p w14:paraId="2D3F8008">
            <w:pPr>
              <w:spacing w:line="257" w:lineRule="auto"/>
              <w:rPr>
                <w:rFonts w:ascii="Arial"/>
                <w:sz w:val="21"/>
              </w:rPr>
            </w:pPr>
          </w:p>
          <w:p w14:paraId="1C7B25BD">
            <w:pPr>
              <w:spacing w:line="258" w:lineRule="auto"/>
              <w:rPr>
                <w:rFonts w:ascii="Arial"/>
                <w:sz w:val="21"/>
              </w:rPr>
            </w:pPr>
          </w:p>
          <w:p w14:paraId="5AF40DDC">
            <w:pPr>
              <w:spacing w:line="258" w:lineRule="auto"/>
              <w:rPr>
                <w:rFonts w:ascii="Arial"/>
                <w:sz w:val="21"/>
              </w:rPr>
            </w:pPr>
          </w:p>
          <w:p w14:paraId="6AF19FB8">
            <w:pPr>
              <w:spacing w:line="258" w:lineRule="auto"/>
              <w:rPr>
                <w:rFonts w:ascii="Arial"/>
                <w:sz w:val="21"/>
              </w:rPr>
            </w:pPr>
          </w:p>
          <w:p w14:paraId="0365B3C8">
            <w:pPr>
              <w:spacing w:line="258" w:lineRule="auto"/>
              <w:rPr>
                <w:rFonts w:ascii="Arial"/>
                <w:sz w:val="21"/>
              </w:rPr>
            </w:pPr>
          </w:p>
          <w:p w14:paraId="165D1272">
            <w:pPr>
              <w:spacing w:line="258" w:lineRule="auto"/>
              <w:rPr>
                <w:rFonts w:ascii="Arial"/>
                <w:sz w:val="21"/>
              </w:rPr>
            </w:pPr>
          </w:p>
          <w:p w14:paraId="131C6B0D">
            <w:pPr>
              <w:spacing w:line="258" w:lineRule="auto"/>
              <w:rPr>
                <w:rFonts w:ascii="Arial"/>
                <w:sz w:val="21"/>
              </w:rPr>
            </w:pPr>
          </w:p>
          <w:p w14:paraId="0F6984F6">
            <w:pPr>
              <w:spacing w:line="258" w:lineRule="auto"/>
              <w:rPr>
                <w:rFonts w:ascii="Arial"/>
                <w:sz w:val="21"/>
              </w:rPr>
            </w:pPr>
          </w:p>
          <w:p w14:paraId="11C9A6B1">
            <w:pPr>
              <w:spacing w:line="258" w:lineRule="auto"/>
              <w:rPr>
                <w:rFonts w:ascii="Arial"/>
                <w:sz w:val="21"/>
              </w:rPr>
            </w:pPr>
          </w:p>
          <w:p w14:paraId="381D8FAA">
            <w:pPr>
              <w:spacing w:line="258" w:lineRule="auto"/>
              <w:rPr>
                <w:rFonts w:ascii="Arial"/>
                <w:sz w:val="21"/>
              </w:rPr>
            </w:pPr>
          </w:p>
          <w:p w14:paraId="2FDD0D1C">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56423815">
            <w:pPr>
              <w:spacing w:line="260" w:lineRule="auto"/>
              <w:rPr>
                <w:rFonts w:ascii="Arial"/>
                <w:sz w:val="21"/>
              </w:rPr>
            </w:pPr>
          </w:p>
          <w:p w14:paraId="3D2636CF">
            <w:pPr>
              <w:spacing w:line="260" w:lineRule="auto"/>
              <w:rPr>
                <w:rFonts w:ascii="Arial"/>
                <w:sz w:val="21"/>
              </w:rPr>
            </w:pPr>
          </w:p>
          <w:p w14:paraId="22B28DE2">
            <w:pPr>
              <w:spacing w:line="260" w:lineRule="auto"/>
              <w:rPr>
                <w:rFonts w:ascii="Arial"/>
                <w:sz w:val="21"/>
              </w:rPr>
            </w:pPr>
          </w:p>
          <w:p w14:paraId="12EAD6C7">
            <w:pPr>
              <w:spacing w:line="260" w:lineRule="auto"/>
              <w:rPr>
                <w:rFonts w:ascii="Arial"/>
                <w:sz w:val="21"/>
              </w:rPr>
            </w:pPr>
          </w:p>
          <w:p w14:paraId="3D13C291">
            <w:pPr>
              <w:spacing w:line="260" w:lineRule="auto"/>
              <w:rPr>
                <w:rFonts w:ascii="Arial"/>
                <w:sz w:val="21"/>
              </w:rPr>
            </w:pPr>
          </w:p>
          <w:p w14:paraId="7BAA956B">
            <w:pPr>
              <w:spacing w:line="260" w:lineRule="auto"/>
              <w:rPr>
                <w:rFonts w:ascii="Arial"/>
                <w:sz w:val="21"/>
              </w:rPr>
            </w:pPr>
          </w:p>
          <w:p w14:paraId="77CE708B">
            <w:pPr>
              <w:spacing w:line="260" w:lineRule="auto"/>
              <w:rPr>
                <w:rFonts w:ascii="Arial"/>
                <w:sz w:val="21"/>
              </w:rPr>
            </w:pPr>
          </w:p>
          <w:p w14:paraId="0BAE367B">
            <w:pPr>
              <w:spacing w:line="260" w:lineRule="auto"/>
              <w:rPr>
                <w:rFonts w:ascii="Arial"/>
                <w:sz w:val="21"/>
              </w:rPr>
            </w:pPr>
          </w:p>
          <w:p w14:paraId="41CAE1C8">
            <w:pPr>
              <w:spacing w:line="261" w:lineRule="auto"/>
              <w:rPr>
                <w:rFonts w:ascii="Arial"/>
                <w:sz w:val="21"/>
              </w:rPr>
            </w:pPr>
          </w:p>
          <w:p w14:paraId="2BE496F1">
            <w:pPr>
              <w:spacing w:line="261" w:lineRule="auto"/>
              <w:rPr>
                <w:rFonts w:ascii="Arial"/>
                <w:sz w:val="21"/>
              </w:rPr>
            </w:pPr>
          </w:p>
          <w:p w14:paraId="1961BB36">
            <w:pPr>
              <w:pStyle w:val="6"/>
              <w:spacing w:before="65" w:line="252"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2A74EA73">
            <w:pPr>
              <w:pStyle w:val="6"/>
              <w:spacing w:before="122" w:line="228" w:lineRule="auto"/>
              <w:ind w:left="115"/>
            </w:pPr>
            <w:r>
              <w:rPr>
                <w:spacing w:val="6"/>
              </w:rPr>
              <w:t>投标内容</w:t>
            </w:r>
          </w:p>
        </w:tc>
        <w:tc>
          <w:tcPr>
            <w:tcW w:w="5042" w:type="dxa"/>
            <w:vAlign w:val="top"/>
          </w:tcPr>
          <w:p w14:paraId="3067B876">
            <w:pPr>
              <w:pStyle w:val="6"/>
              <w:spacing w:before="122"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61F77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32C3CAB">
            <w:pPr>
              <w:rPr>
                <w:rFonts w:ascii="Arial"/>
                <w:sz w:val="21"/>
              </w:rPr>
            </w:pPr>
          </w:p>
        </w:tc>
        <w:tc>
          <w:tcPr>
            <w:tcW w:w="1058" w:type="dxa"/>
            <w:vMerge w:val="continue"/>
            <w:tcBorders>
              <w:top w:val="nil"/>
              <w:bottom w:val="nil"/>
            </w:tcBorders>
            <w:vAlign w:val="top"/>
          </w:tcPr>
          <w:p w14:paraId="2CFA64DC">
            <w:pPr>
              <w:rPr>
                <w:rFonts w:ascii="Arial"/>
                <w:sz w:val="21"/>
              </w:rPr>
            </w:pPr>
          </w:p>
        </w:tc>
        <w:tc>
          <w:tcPr>
            <w:tcW w:w="2339" w:type="dxa"/>
            <w:vAlign w:val="top"/>
          </w:tcPr>
          <w:p w14:paraId="4DD1CFBF">
            <w:pPr>
              <w:pStyle w:val="6"/>
              <w:spacing w:before="122" w:line="228" w:lineRule="auto"/>
              <w:ind w:left="115"/>
            </w:pPr>
            <w:r>
              <w:rPr>
                <w:spacing w:val="3"/>
              </w:rPr>
              <w:t>工期</w:t>
            </w:r>
          </w:p>
        </w:tc>
        <w:tc>
          <w:tcPr>
            <w:tcW w:w="5042" w:type="dxa"/>
            <w:vAlign w:val="top"/>
          </w:tcPr>
          <w:p w14:paraId="03927348">
            <w:pPr>
              <w:pStyle w:val="6"/>
              <w:spacing w:before="121"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2B80FA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6E43675F">
            <w:pPr>
              <w:rPr>
                <w:rFonts w:ascii="Arial"/>
                <w:sz w:val="21"/>
              </w:rPr>
            </w:pPr>
          </w:p>
        </w:tc>
        <w:tc>
          <w:tcPr>
            <w:tcW w:w="1058" w:type="dxa"/>
            <w:vMerge w:val="continue"/>
            <w:tcBorders>
              <w:top w:val="nil"/>
              <w:bottom w:val="nil"/>
            </w:tcBorders>
            <w:vAlign w:val="top"/>
          </w:tcPr>
          <w:p w14:paraId="0E2D11CC">
            <w:pPr>
              <w:rPr>
                <w:rFonts w:ascii="Arial"/>
                <w:sz w:val="21"/>
              </w:rPr>
            </w:pPr>
          </w:p>
        </w:tc>
        <w:tc>
          <w:tcPr>
            <w:tcW w:w="2339" w:type="dxa"/>
            <w:vAlign w:val="top"/>
          </w:tcPr>
          <w:p w14:paraId="7DEDED1F">
            <w:pPr>
              <w:spacing w:line="373" w:lineRule="auto"/>
              <w:rPr>
                <w:rFonts w:ascii="Arial"/>
                <w:sz w:val="21"/>
              </w:rPr>
            </w:pPr>
          </w:p>
          <w:p w14:paraId="23392023">
            <w:pPr>
              <w:pStyle w:val="6"/>
              <w:spacing w:before="65" w:line="228" w:lineRule="auto"/>
              <w:ind w:left="115"/>
            </w:pPr>
            <w:r>
              <w:rPr>
                <w:spacing w:val="6"/>
              </w:rPr>
              <w:t>工程质量</w:t>
            </w:r>
          </w:p>
        </w:tc>
        <w:tc>
          <w:tcPr>
            <w:tcW w:w="5042" w:type="dxa"/>
            <w:vAlign w:val="top"/>
          </w:tcPr>
          <w:p w14:paraId="1DB6C7B6">
            <w:pPr>
              <w:pStyle w:val="6"/>
              <w:spacing w:before="3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58082BA3">
            <w:pPr>
              <w:pStyle w:val="6"/>
              <w:spacing w:before="24"/>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197DCA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6B1B401">
            <w:pPr>
              <w:rPr>
                <w:rFonts w:ascii="Arial"/>
                <w:sz w:val="21"/>
              </w:rPr>
            </w:pPr>
          </w:p>
        </w:tc>
        <w:tc>
          <w:tcPr>
            <w:tcW w:w="1058" w:type="dxa"/>
            <w:vMerge w:val="continue"/>
            <w:tcBorders>
              <w:top w:val="nil"/>
              <w:bottom w:val="nil"/>
            </w:tcBorders>
            <w:vAlign w:val="top"/>
          </w:tcPr>
          <w:p w14:paraId="162395D0">
            <w:pPr>
              <w:rPr>
                <w:rFonts w:ascii="Arial"/>
                <w:sz w:val="21"/>
              </w:rPr>
            </w:pPr>
          </w:p>
        </w:tc>
        <w:tc>
          <w:tcPr>
            <w:tcW w:w="2339" w:type="dxa"/>
            <w:vAlign w:val="top"/>
          </w:tcPr>
          <w:p w14:paraId="62155DC1">
            <w:pPr>
              <w:pStyle w:val="6"/>
              <w:spacing w:before="122" w:line="228" w:lineRule="auto"/>
              <w:ind w:left="115"/>
            </w:pPr>
            <w:r>
              <w:rPr>
                <w:spacing w:val="7"/>
              </w:rPr>
              <w:t>投标有效期</w:t>
            </w:r>
          </w:p>
        </w:tc>
        <w:tc>
          <w:tcPr>
            <w:tcW w:w="5042" w:type="dxa"/>
            <w:vAlign w:val="top"/>
          </w:tcPr>
          <w:p w14:paraId="7D7C2949">
            <w:pPr>
              <w:pStyle w:val="6"/>
              <w:spacing w:before="122"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0B495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6B63895E">
            <w:pPr>
              <w:rPr>
                <w:rFonts w:ascii="Arial"/>
                <w:sz w:val="21"/>
              </w:rPr>
            </w:pPr>
          </w:p>
        </w:tc>
        <w:tc>
          <w:tcPr>
            <w:tcW w:w="1058" w:type="dxa"/>
            <w:vMerge w:val="continue"/>
            <w:tcBorders>
              <w:top w:val="nil"/>
              <w:bottom w:val="nil"/>
            </w:tcBorders>
            <w:vAlign w:val="top"/>
          </w:tcPr>
          <w:p w14:paraId="2525C639">
            <w:pPr>
              <w:rPr>
                <w:rFonts w:ascii="Arial"/>
                <w:sz w:val="21"/>
              </w:rPr>
            </w:pPr>
          </w:p>
        </w:tc>
        <w:tc>
          <w:tcPr>
            <w:tcW w:w="2339" w:type="dxa"/>
            <w:vAlign w:val="top"/>
          </w:tcPr>
          <w:p w14:paraId="4D7408CE">
            <w:pPr>
              <w:spacing w:line="322" w:lineRule="auto"/>
              <w:rPr>
                <w:rFonts w:ascii="Arial"/>
                <w:sz w:val="21"/>
              </w:rPr>
            </w:pPr>
          </w:p>
          <w:p w14:paraId="552FCE7B">
            <w:pPr>
              <w:spacing w:line="323" w:lineRule="auto"/>
              <w:rPr>
                <w:rFonts w:ascii="Arial"/>
                <w:sz w:val="21"/>
              </w:rPr>
            </w:pPr>
          </w:p>
          <w:p w14:paraId="27AB9200">
            <w:pPr>
              <w:pStyle w:val="6"/>
              <w:spacing w:before="65" w:line="228" w:lineRule="auto"/>
              <w:ind w:left="115"/>
            </w:pPr>
            <w:r>
              <w:rPr>
                <w:spacing w:val="7"/>
              </w:rPr>
              <w:t>投标保证金</w:t>
            </w:r>
          </w:p>
        </w:tc>
        <w:tc>
          <w:tcPr>
            <w:tcW w:w="5042" w:type="dxa"/>
            <w:vAlign w:val="top"/>
          </w:tcPr>
          <w:p w14:paraId="72C59D44">
            <w:pPr>
              <w:pStyle w:val="6"/>
              <w:spacing w:before="32"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05432497">
            <w:pPr>
              <w:pStyle w:val="6"/>
              <w:spacing w:before="27" w:line="228" w:lineRule="auto"/>
              <w:ind w:left="123"/>
            </w:pPr>
            <w:r>
              <w:rPr>
                <w:spacing w:val="9"/>
              </w:rPr>
              <w:t>（投标保证金符合要求是指投标保证金的形式、金</w:t>
            </w:r>
          </w:p>
          <w:p w14:paraId="33CD73F7">
            <w:pPr>
              <w:pStyle w:val="6"/>
              <w:spacing w:before="24" w:line="251"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79CBC0B9">
            <w:pPr>
              <w:pStyle w:val="6"/>
              <w:spacing w:line="216" w:lineRule="auto"/>
              <w:ind w:left="130"/>
            </w:pPr>
            <w:r>
              <w:rPr>
                <w:spacing w:val="4"/>
              </w:rPr>
              <w:t>的账户号一致）</w:t>
            </w:r>
          </w:p>
        </w:tc>
      </w:tr>
      <w:tr w14:paraId="07E5C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745" w:type="dxa"/>
            <w:vMerge w:val="continue"/>
            <w:tcBorders>
              <w:top w:val="nil"/>
              <w:bottom w:val="nil"/>
            </w:tcBorders>
            <w:vAlign w:val="top"/>
          </w:tcPr>
          <w:p w14:paraId="2A7F7AEF">
            <w:pPr>
              <w:rPr>
                <w:rFonts w:ascii="Arial"/>
                <w:sz w:val="21"/>
              </w:rPr>
            </w:pPr>
          </w:p>
        </w:tc>
        <w:tc>
          <w:tcPr>
            <w:tcW w:w="1058" w:type="dxa"/>
            <w:vMerge w:val="continue"/>
            <w:tcBorders>
              <w:top w:val="nil"/>
              <w:bottom w:val="nil"/>
            </w:tcBorders>
            <w:vAlign w:val="top"/>
          </w:tcPr>
          <w:p w14:paraId="350036F5">
            <w:pPr>
              <w:rPr>
                <w:rFonts w:ascii="Arial"/>
                <w:sz w:val="21"/>
              </w:rPr>
            </w:pPr>
          </w:p>
        </w:tc>
        <w:tc>
          <w:tcPr>
            <w:tcW w:w="2339" w:type="dxa"/>
            <w:vAlign w:val="top"/>
          </w:tcPr>
          <w:p w14:paraId="6F6BD881">
            <w:pPr>
              <w:pStyle w:val="6"/>
              <w:spacing w:before="242" w:line="228" w:lineRule="auto"/>
              <w:ind w:left="111"/>
            </w:pPr>
            <w:r>
              <w:rPr>
                <w:spacing w:val="7"/>
              </w:rPr>
              <w:t>权利义务</w:t>
            </w:r>
          </w:p>
        </w:tc>
        <w:tc>
          <w:tcPr>
            <w:tcW w:w="5042" w:type="dxa"/>
            <w:vAlign w:val="top"/>
          </w:tcPr>
          <w:p w14:paraId="01713C79">
            <w:pPr>
              <w:pStyle w:val="6"/>
              <w:spacing w:before="107" w:line="252"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7C6BE3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3C0C98BC">
            <w:pPr>
              <w:rPr>
                <w:rFonts w:ascii="Arial"/>
                <w:sz w:val="21"/>
              </w:rPr>
            </w:pPr>
          </w:p>
        </w:tc>
        <w:tc>
          <w:tcPr>
            <w:tcW w:w="1058" w:type="dxa"/>
            <w:vMerge w:val="continue"/>
            <w:tcBorders>
              <w:top w:val="nil"/>
              <w:bottom w:val="nil"/>
            </w:tcBorders>
            <w:vAlign w:val="top"/>
          </w:tcPr>
          <w:p w14:paraId="0E5DB37C">
            <w:pPr>
              <w:rPr>
                <w:rFonts w:ascii="Arial"/>
                <w:sz w:val="21"/>
              </w:rPr>
            </w:pPr>
          </w:p>
        </w:tc>
        <w:tc>
          <w:tcPr>
            <w:tcW w:w="2339" w:type="dxa"/>
            <w:vAlign w:val="top"/>
          </w:tcPr>
          <w:p w14:paraId="4C4B679E">
            <w:pPr>
              <w:pStyle w:val="6"/>
              <w:spacing w:before="148" w:line="228" w:lineRule="auto"/>
              <w:ind w:left="113"/>
            </w:pPr>
            <w:r>
              <w:rPr>
                <w:spacing w:val="8"/>
              </w:rPr>
              <w:t>技术标准和要求</w:t>
            </w:r>
          </w:p>
        </w:tc>
        <w:tc>
          <w:tcPr>
            <w:tcW w:w="5042" w:type="dxa"/>
            <w:vAlign w:val="top"/>
          </w:tcPr>
          <w:p w14:paraId="7750D91C">
            <w:pPr>
              <w:pStyle w:val="6"/>
              <w:spacing w:before="148" w:line="227" w:lineRule="auto"/>
              <w:ind w:left="115"/>
            </w:pPr>
            <w:r>
              <w:rPr>
                <w:spacing w:val="7"/>
              </w:rPr>
              <w:t>符合第七章“技术标准和要求</w:t>
            </w:r>
            <w:r>
              <w:rPr>
                <w:spacing w:val="-66"/>
              </w:rPr>
              <w:t xml:space="preserve"> </w:t>
            </w:r>
            <w:r>
              <w:rPr>
                <w:spacing w:val="7"/>
              </w:rPr>
              <w:t>”规定</w:t>
            </w:r>
          </w:p>
        </w:tc>
      </w:tr>
      <w:tr w14:paraId="0D1F0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745" w:type="dxa"/>
            <w:vMerge w:val="continue"/>
            <w:tcBorders>
              <w:top w:val="nil"/>
            </w:tcBorders>
            <w:vAlign w:val="top"/>
          </w:tcPr>
          <w:p w14:paraId="25F7B48D">
            <w:pPr>
              <w:rPr>
                <w:rFonts w:ascii="Arial"/>
                <w:sz w:val="21"/>
              </w:rPr>
            </w:pPr>
          </w:p>
        </w:tc>
        <w:tc>
          <w:tcPr>
            <w:tcW w:w="1058" w:type="dxa"/>
            <w:vMerge w:val="continue"/>
            <w:tcBorders>
              <w:top w:val="nil"/>
            </w:tcBorders>
            <w:vAlign w:val="top"/>
          </w:tcPr>
          <w:p w14:paraId="31B7AE3C">
            <w:pPr>
              <w:rPr>
                <w:rFonts w:ascii="Arial"/>
                <w:sz w:val="21"/>
              </w:rPr>
            </w:pPr>
          </w:p>
        </w:tc>
        <w:tc>
          <w:tcPr>
            <w:tcW w:w="2339" w:type="dxa"/>
            <w:vAlign w:val="top"/>
          </w:tcPr>
          <w:p w14:paraId="5E80FB3A">
            <w:pPr>
              <w:pStyle w:val="6"/>
              <w:spacing w:before="148" w:line="228" w:lineRule="auto"/>
              <w:ind w:left="115"/>
            </w:pPr>
            <w:r>
              <w:rPr>
                <w:spacing w:val="6"/>
              </w:rPr>
              <w:t>分包计划</w:t>
            </w:r>
          </w:p>
        </w:tc>
        <w:tc>
          <w:tcPr>
            <w:tcW w:w="5042" w:type="dxa"/>
            <w:vAlign w:val="top"/>
          </w:tcPr>
          <w:p w14:paraId="3933C4AC">
            <w:pPr>
              <w:pStyle w:val="6"/>
              <w:spacing w:before="147"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bl>
    <w:p w14:paraId="696B6ACB">
      <w:pPr>
        <w:rPr>
          <w:rFonts w:ascii="Arial"/>
          <w:sz w:val="21"/>
        </w:rPr>
      </w:pPr>
    </w:p>
    <w:p w14:paraId="4904E193">
      <w:pPr>
        <w:rPr>
          <w:rFonts w:ascii="Arial" w:hAnsi="Arial" w:eastAsia="Arial" w:cs="Arial"/>
          <w:sz w:val="21"/>
          <w:szCs w:val="21"/>
        </w:rPr>
        <w:sectPr>
          <w:footerReference r:id="rId85" w:type="default"/>
          <w:pgSz w:w="11907" w:h="16840"/>
          <w:pgMar w:top="400" w:right="1248" w:bottom="1035" w:left="1469" w:header="0" w:footer="785" w:gutter="0"/>
          <w:cols w:space="720" w:num="1"/>
        </w:sectPr>
      </w:pPr>
    </w:p>
    <w:p w14:paraId="6AEDE192">
      <w:pPr>
        <w:spacing w:before="19"/>
      </w:pPr>
    </w:p>
    <w:p w14:paraId="2E82DF83">
      <w:pPr>
        <w:spacing w:before="19"/>
      </w:pPr>
    </w:p>
    <w:p w14:paraId="4E0F088B">
      <w:pPr>
        <w:spacing w:before="19"/>
      </w:pPr>
    </w:p>
    <w:p w14:paraId="6C5EC661">
      <w:pPr>
        <w:spacing w:before="18"/>
      </w:pPr>
    </w:p>
    <w:p w14:paraId="724F736C">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049A9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45" w:type="dxa"/>
            <w:vMerge w:val="restart"/>
            <w:tcBorders>
              <w:bottom w:val="nil"/>
            </w:tcBorders>
            <w:vAlign w:val="top"/>
          </w:tcPr>
          <w:p w14:paraId="1B949158">
            <w:pPr>
              <w:rPr>
                <w:rFonts w:ascii="Arial"/>
                <w:sz w:val="21"/>
              </w:rPr>
            </w:pPr>
          </w:p>
        </w:tc>
        <w:tc>
          <w:tcPr>
            <w:tcW w:w="1058" w:type="dxa"/>
            <w:vMerge w:val="restart"/>
            <w:tcBorders>
              <w:bottom w:val="nil"/>
            </w:tcBorders>
            <w:vAlign w:val="top"/>
          </w:tcPr>
          <w:p w14:paraId="7E0F991B">
            <w:pPr>
              <w:rPr>
                <w:rFonts w:ascii="Arial"/>
                <w:sz w:val="21"/>
              </w:rPr>
            </w:pPr>
          </w:p>
        </w:tc>
        <w:tc>
          <w:tcPr>
            <w:tcW w:w="2339" w:type="dxa"/>
            <w:vAlign w:val="top"/>
          </w:tcPr>
          <w:p w14:paraId="7754CF34">
            <w:pPr>
              <w:spacing w:line="242" w:lineRule="auto"/>
              <w:rPr>
                <w:rFonts w:ascii="Arial"/>
                <w:sz w:val="21"/>
              </w:rPr>
            </w:pPr>
          </w:p>
          <w:p w14:paraId="19CE215D">
            <w:pPr>
              <w:pStyle w:val="6"/>
              <w:spacing w:before="65" w:line="228" w:lineRule="auto"/>
              <w:ind w:left="114"/>
            </w:pPr>
            <w:r>
              <w:rPr>
                <w:spacing w:val="7"/>
              </w:rPr>
              <w:t>算术错误修正</w:t>
            </w:r>
          </w:p>
        </w:tc>
        <w:tc>
          <w:tcPr>
            <w:tcW w:w="5042" w:type="dxa"/>
            <w:vAlign w:val="top"/>
          </w:tcPr>
          <w:p w14:paraId="3F59FEFE">
            <w:pPr>
              <w:pStyle w:val="6"/>
              <w:spacing w:before="35" w:line="226" w:lineRule="auto"/>
              <w:ind w:left="129"/>
            </w:pPr>
            <w:r>
              <w:rPr>
                <w:spacing w:val="7"/>
              </w:rPr>
              <w:t>1） 投标人接受算术错误修正后的报价；</w:t>
            </w:r>
          </w:p>
          <w:p w14:paraId="57D389B5">
            <w:pPr>
              <w:pStyle w:val="6"/>
              <w:spacing w:before="28" w:line="234" w:lineRule="auto"/>
              <w:ind w:left="115" w:right="109"/>
            </w:pPr>
            <w:r>
              <w:rPr>
                <w:spacing w:val="8"/>
              </w:rPr>
              <w:t>2） 算术错误修正后的投标总价与投标总价相比偏差</w:t>
            </w:r>
            <w:r>
              <w:rPr>
                <w:spacing w:val="6"/>
              </w:rPr>
              <w:t>率不超过±1%。</w:t>
            </w:r>
          </w:p>
        </w:tc>
      </w:tr>
      <w:tr w14:paraId="297065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3" w:hRule="atLeast"/>
        </w:trPr>
        <w:tc>
          <w:tcPr>
            <w:tcW w:w="745" w:type="dxa"/>
            <w:vMerge w:val="continue"/>
            <w:tcBorders>
              <w:top w:val="nil"/>
              <w:bottom w:val="nil"/>
            </w:tcBorders>
            <w:vAlign w:val="top"/>
          </w:tcPr>
          <w:p w14:paraId="704325A1">
            <w:pPr>
              <w:rPr>
                <w:rFonts w:ascii="Arial"/>
                <w:sz w:val="21"/>
              </w:rPr>
            </w:pPr>
          </w:p>
        </w:tc>
        <w:tc>
          <w:tcPr>
            <w:tcW w:w="1058" w:type="dxa"/>
            <w:vMerge w:val="continue"/>
            <w:tcBorders>
              <w:top w:val="nil"/>
              <w:bottom w:val="nil"/>
            </w:tcBorders>
            <w:vAlign w:val="top"/>
          </w:tcPr>
          <w:p w14:paraId="2BAFC1BD">
            <w:pPr>
              <w:rPr>
                <w:rFonts w:ascii="Arial"/>
                <w:sz w:val="21"/>
              </w:rPr>
            </w:pPr>
          </w:p>
        </w:tc>
        <w:tc>
          <w:tcPr>
            <w:tcW w:w="2339" w:type="dxa"/>
            <w:vAlign w:val="top"/>
          </w:tcPr>
          <w:p w14:paraId="6F98E38F">
            <w:pPr>
              <w:spacing w:line="304" w:lineRule="auto"/>
              <w:rPr>
                <w:rFonts w:ascii="Arial"/>
                <w:sz w:val="21"/>
              </w:rPr>
            </w:pPr>
          </w:p>
          <w:p w14:paraId="000FF399">
            <w:pPr>
              <w:spacing w:line="305" w:lineRule="auto"/>
              <w:rPr>
                <w:rFonts w:ascii="Arial"/>
                <w:sz w:val="21"/>
              </w:rPr>
            </w:pPr>
          </w:p>
          <w:p w14:paraId="5EEB745E">
            <w:pPr>
              <w:spacing w:line="305" w:lineRule="auto"/>
              <w:rPr>
                <w:rFonts w:ascii="Arial"/>
                <w:sz w:val="21"/>
              </w:rPr>
            </w:pPr>
          </w:p>
          <w:p w14:paraId="588172C0">
            <w:pPr>
              <w:pStyle w:val="6"/>
              <w:spacing w:before="65" w:line="226" w:lineRule="auto"/>
              <w:ind w:left="115"/>
            </w:pPr>
            <w:r>
              <w:rPr>
                <w:spacing w:val="6"/>
              </w:rPr>
              <w:t>投标价格</w:t>
            </w:r>
          </w:p>
        </w:tc>
        <w:tc>
          <w:tcPr>
            <w:tcW w:w="5042" w:type="dxa"/>
            <w:vAlign w:val="top"/>
          </w:tcPr>
          <w:p w14:paraId="3E23D6F7">
            <w:pPr>
              <w:pStyle w:val="6"/>
              <w:spacing w:before="32" w:line="251" w:lineRule="auto"/>
              <w:ind w:left="133" w:right="107" w:hanging="4"/>
            </w:pPr>
            <w:r>
              <w:rPr>
                <w:spacing w:val="13"/>
              </w:rPr>
              <w:t>1）投标函中的大写投标总报价与已标价工程量清单</w:t>
            </w:r>
            <w:r>
              <w:rPr>
                <w:spacing w:val="5"/>
              </w:rPr>
              <w:t>中的投标总价一致；</w:t>
            </w:r>
          </w:p>
          <w:p w14:paraId="1D7A97D3">
            <w:pPr>
              <w:pStyle w:val="6"/>
              <w:spacing w:before="1" w:line="251" w:lineRule="auto"/>
              <w:ind w:left="114" w:right="107" w:firstLine="1"/>
            </w:pPr>
            <w:r>
              <w:rPr>
                <w:spacing w:val="13"/>
              </w:rPr>
              <w:t>2）投标函中的大写投标总报价不大于本标段招标控</w:t>
            </w:r>
            <w:r>
              <w:rPr>
                <w:spacing w:val="5"/>
              </w:rPr>
              <w:t>制价总价；</w:t>
            </w:r>
          </w:p>
          <w:p w14:paraId="79E24304">
            <w:pPr>
              <w:pStyle w:val="6"/>
              <w:spacing w:line="251" w:lineRule="auto"/>
              <w:ind w:left="114" w:right="107" w:firstLine="3"/>
            </w:pPr>
            <w:r>
              <w:rPr>
                <w:spacing w:val="13"/>
              </w:rPr>
              <w:t>3）算术错误修正后的投标总价不大于本标段招标控</w:t>
            </w:r>
            <w:r>
              <w:rPr>
                <w:spacing w:val="5"/>
              </w:rPr>
              <w:t>制价总价；</w:t>
            </w:r>
          </w:p>
          <w:p w14:paraId="744AD745">
            <w:pPr>
              <w:pStyle w:val="6"/>
              <w:spacing w:line="234" w:lineRule="auto"/>
              <w:ind w:left="115" w:right="107" w:hanging="3"/>
            </w:pPr>
            <w:r>
              <w:rPr>
                <w:spacing w:val="13"/>
              </w:rPr>
              <w:t>4）投标函中的大写投标总报价（算术错误修正后的</w:t>
            </w:r>
            <w:r>
              <w:rPr>
                <w:spacing w:val="8"/>
              </w:rPr>
              <w:t>投标总价，如有）不低于其成本。</w:t>
            </w:r>
          </w:p>
        </w:tc>
      </w:tr>
      <w:tr w14:paraId="617EED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5" w:hRule="atLeast"/>
        </w:trPr>
        <w:tc>
          <w:tcPr>
            <w:tcW w:w="745" w:type="dxa"/>
            <w:vMerge w:val="continue"/>
            <w:tcBorders>
              <w:top w:val="nil"/>
            </w:tcBorders>
            <w:vAlign w:val="top"/>
          </w:tcPr>
          <w:p w14:paraId="53505C4A">
            <w:pPr>
              <w:rPr>
                <w:rFonts w:ascii="Arial"/>
                <w:sz w:val="21"/>
              </w:rPr>
            </w:pPr>
          </w:p>
        </w:tc>
        <w:tc>
          <w:tcPr>
            <w:tcW w:w="1058" w:type="dxa"/>
            <w:vMerge w:val="continue"/>
            <w:tcBorders>
              <w:top w:val="nil"/>
            </w:tcBorders>
            <w:vAlign w:val="top"/>
          </w:tcPr>
          <w:p w14:paraId="0995A1C5">
            <w:pPr>
              <w:rPr>
                <w:rFonts w:ascii="Arial"/>
                <w:sz w:val="21"/>
              </w:rPr>
            </w:pPr>
          </w:p>
        </w:tc>
        <w:tc>
          <w:tcPr>
            <w:tcW w:w="2339" w:type="dxa"/>
            <w:vAlign w:val="top"/>
          </w:tcPr>
          <w:p w14:paraId="27E2E0FB">
            <w:pPr>
              <w:spacing w:line="252" w:lineRule="auto"/>
              <w:rPr>
                <w:rFonts w:ascii="Arial"/>
                <w:sz w:val="21"/>
              </w:rPr>
            </w:pPr>
          </w:p>
          <w:p w14:paraId="244C6F33">
            <w:pPr>
              <w:spacing w:line="252" w:lineRule="auto"/>
              <w:rPr>
                <w:rFonts w:ascii="Arial"/>
                <w:sz w:val="21"/>
              </w:rPr>
            </w:pPr>
          </w:p>
          <w:p w14:paraId="40F50CE3">
            <w:pPr>
              <w:spacing w:line="252" w:lineRule="auto"/>
              <w:rPr>
                <w:rFonts w:ascii="Arial"/>
                <w:sz w:val="21"/>
              </w:rPr>
            </w:pPr>
          </w:p>
          <w:p w14:paraId="4818FBA0">
            <w:pPr>
              <w:spacing w:line="252" w:lineRule="auto"/>
              <w:rPr>
                <w:rFonts w:ascii="Arial"/>
                <w:sz w:val="21"/>
              </w:rPr>
            </w:pPr>
          </w:p>
          <w:p w14:paraId="3C074021">
            <w:pPr>
              <w:spacing w:line="252" w:lineRule="auto"/>
              <w:rPr>
                <w:rFonts w:ascii="Arial"/>
                <w:sz w:val="21"/>
              </w:rPr>
            </w:pPr>
          </w:p>
          <w:p w14:paraId="539986E4">
            <w:pPr>
              <w:spacing w:line="252" w:lineRule="auto"/>
              <w:rPr>
                <w:rFonts w:ascii="Arial"/>
                <w:sz w:val="21"/>
              </w:rPr>
            </w:pPr>
          </w:p>
          <w:p w14:paraId="5DE2EB1B">
            <w:pPr>
              <w:spacing w:line="252" w:lineRule="auto"/>
              <w:rPr>
                <w:rFonts w:ascii="Arial"/>
                <w:sz w:val="21"/>
              </w:rPr>
            </w:pPr>
          </w:p>
          <w:p w14:paraId="72DE4343">
            <w:pPr>
              <w:spacing w:line="252" w:lineRule="auto"/>
              <w:rPr>
                <w:rFonts w:ascii="Arial"/>
                <w:sz w:val="21"/>
              </w:rPr>
            </w:pPr>
          </w:p>
          <w:p w14:paraId="6998295B">
            <w:pPr>
              <w:spacing w:line="252" w:lineRule="auto"/>
              <w:rPr>
                <w:rFonts w:ascii="Arial"/>
                <w:sz w:val="21"/>
              </w:rPr>
            </w:pPr>
          </w:p>
          <w:p w14:paraId="6B536FF3">
            <w:pPr>
              <w:pStyle w:val="6"/>
              <w:spacing w:before="65" w:line="226" w:lineRule="auto"/>
              <w:ind w:left="135"/>
            </w:pPr>
            <w:r>
              <w:rPr>
                <w:spacing w:val="5"/>
              </w:rPr>
              <w:t>已标价工程量清单</w:t>
            </w:r>
          </w:p>
        </w:tc>
        <w:tc>
          <w:tcPr>
            <w:tcW w:w="5042" w:type="dxa"/>
            <w:vAlign w:val="top"/>
          </w:tcPr>
          <w:p w14:paraId="73F737A9">
            <w:pPr>
              <w:pStyle w:val="6"/>
              <w:spacing w:before="33" w:line="250"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19210AF1">
            <w:pPr>
              <w:pStyle w:val="6"/>
              <w:spacing w:before="2" w:line="251" w:lineRule="auto"/>
              <w:ind w:left="112" w:right="107" w:firstLine="3"/>
            </w:pPr>
            <w:r>
              <w:rPr>
                <w:spacing w:val="10"/>
              </w:rPr>
              <w:t>2）</w:t>
            </w:r>
            <w:r>
              <w:rPr>
                <w:spacing w:val="-50"/>
              </w:rPr>
              <w:t xml:space="preserve"> </w:t>
            </w:r>
            <w:r>
              <w:rPr>
                <w:spacing w:val="10"/>
              </w:rPr>
              <w:t>已标价工程量清单符合第五章“工程量清</w:t>
            </w:r>
            <w:r>
              <w:rPr>
                <w:spacing w:val="9"/>
              </w:rPr>
              <w:t>单</w:t>
            </w:r>
            <w:r>
              <w:rPr>
                <w:spacing w:val="-65"/>
              </w:rPr>
              <w:t xml:space="preserve"> </w:t>
            </w:r>
            <w:r>
              <w:rPr>
                <w:spacing w:val="9"/>
              </w:rPr>
              <w:t>”给出的项目编码、项目名称、项目特征、计量单位和工</w:t>
            </w:r>
            <w:r>
              <w:rPr>
                <w:spacing w:val="3"/>
              </w:rPr>
              <w:t>程量；</w:t>
            </w:r>
          </w:p>
          <w:p w14:paraId="7CAEBF5C">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4A063F34">
            <w:pPr>
              <w:pStyle w:val="6"/>
              <w:spacing w:before="26" w:line="251" w:lineRule="auto"/>
              <w:ind w:left="129" w:right="109" w:hanging="17"/>
            </w:pPr>
            <w:r>
              <w:rPr>
                <w:spacing w:val="12"/>
              </w:rPr>
              <w:t>4）专业工程暂估价符合第五章“工程量清单</w:t>
            </w:r>
            <w:r>
              <w:rPr>
                <w:spacing w:val="-63"/>
              </w:rPr>
              <w:t xml:space="preserve"> </w:t>
            </w:r>
            <w:r>
              <w:rPr>
                <w:spacing w:val="12"/>
              </w:rPr>
              <w:t>”列出</w:t>
            </w:r>
            <w:r>
              <w:t>的金额；</w:t>
            </w:r>
          </w:p>
          <w:p w14:paraId="035E1C5B">
            <w:pPr>
              <w:pStyle w:val="6"/>
              <w:spacing w:before="1" w:line="251" w:lineRule="auto"/>
              <w:ind w:left="115" w:right="109" w:firstLine="2"/>
            </w:pPr>
            <w:r>
              <w:rPr>
                <w:spacing w:val="13"/>
              </w:rPr>
              <w:t>5）材料（工程设备）暂估价符合第五章“工程量清</w:t>
            </w:r>
            <w:r>
              <w:rPr>
                <w:spacing w:val="6"/>
              </w:rPr>
              <w:t>单</w:t>
            </w:r>
            <w:r>
              <w:rPr>
                <w:spacing w:val="-64"/>
              </w:rPr>
              <w:t xml:space="preserve"> </w:t>
            </w:r>
            <w:r>
              <w:rPr>
                <w:spacing w:val="6"/>
              </w:rPr>
              <w:t>”列出的单价并计入综合单价；</w:t>
            </w:r>
          </w:p>
          <w:p w14:paraId="76D742E7">
            <w:pPr>
              <w:pStyle w:val="6"/>
              <w:spacing w:before="1" w:line="251" w:lineRule="auto"/>
              <w:ind w:left="115" w:right="158"/>
            </w:pPr>
            <w:r>
              <w:rPr>
                <w:spacing w:val="11"/>
              </w:rPr>
              <w:t>6）安全文明施工费、规费和税金等不可竞争费用，</w:t>
            </w:r>
            <w:r>
              <w:rPr>
                <w:spacing w:val="7"/>
              </w:rPr>
              <w:t>按照规定的标准计取；</w:t>
            </w:r>
          </w:p>
          <w:p w14:paraId="09566748">
            <w:pPr>
              <w:pStyle w:val="6"/>
              <w:spacing w:before="1" w:line="227" w:lineRule="auto"/>
              <w:ind w:left="118"/>
            </w:pPr>
            <w:r>
              <w:rPr>
                <w:spacing w:val="8"/>
              </w:rPr>
              <w:t>7）计税方法符合招标文件的约定；</w:t>
            </w:r>
          </w:p>
          <w:p w14:paraId="06F0CFD3">
            <w:pPr>
              <w:pStyle w:val="6"/>
              <w:spacing w:before="27" w:line="244" w:lineRule="auto"/>
              <w:ind w:left="113" w:right="55"/>
            </w:pPr>
            <w:r>
              <w:rPr>
                <w:spacing w:val="7"/>
              </w:rPr>
              <w:t>8）已标价工程量清单项目未填报的项目不超过三</w:t>
            </w:r>
            <w:r>
              <w:rPr>
                <w:spacing w:val="6"/>
              </w:rPr>
              <w:t>项，</w:t>
            </w:r>
            <w:r>
              <w:rPr>
                <w:spacing w:val="9"/>
              </w:rPr>
              <w:t>且不超过三项未填报的项目的费用合计（按招标控制价相应项目的费用合计计算）不超过其投标函中的大</w:t>
            </w:r>
            <w:r>
              <w:rPr>
                <w:spacing w:val="8"/>
              </w:rPr>
              <w:t>写投标总报价（算术错误修正后的投标总价，如有）</w:t>
            </w:r>
            <w:r>
              <w:rPr>
                <w:spacing w:val="4"/>
              </w:rPr>
              <w:t>的±1%。</w:t>
            </w:r>
          </w:p>
        </w:tc>
      </w:tr>
      <w:tr w14:paraId="530419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745" w:type="dxa"/>
            <w:vMerge w:val="restart"/>
            <w:tcBorders>
              <w:bottom w:val="nil"/>
            </w:tcBorders>
            <w:vAlign w:val="top"/>
          </w:tcPr>
          <w:p w14:paraId="0C655299">
            <w:pPr>
              <w:spacing w:line="249" w:lineRule="auto"/>
              <w:rPr>
                <w:rFonts w:ascii="Arial"/>
                <w:sz w:val="21"/>
              </w:rPr>
            </w:pPr>
          </w:p>
          <w:p w14:paraId="7FA0D52D">
            <w:pPr>
              <w:spacing w:line="249" w:lineRule="auto"/>
              <w:rPr>
                <w:rFonts w:ascii="Arial"/>
                <w:sz w:val="21"/>
              </w:rPr>
            </w:pPr>
          </w:p>
          <w:p w14:paraId="6FF4AFC3">
            <w:pPr>
              <w:spacing w:line="249" w:lineRule="auto"/>
              <w:rPr>
                <w:rFonts w:ascii="Arial"/>
                <w:sz w:val="21"/>
              </w:rPr>
            </w:pPr>
          </w:p>
          <w:p w14:paraId="0FCA408F">
            <w:pPr>
              <w:spacing w:line="249" w:lineRule="auto"/>
              <w:rPr>
                <w:rFonts w:ascii="Arial"/>
                <w:sz w:val="21"/>
              </w:rPr>
            </w:pPr>
          </w:p>
          <w:p w14:paraId="48D3B3F1">
            <w:pPr>
              <w:spacing w:line="249" w:lineRule="auto"/>
              <w:rPr>
                <w:rFonts w:ascii="Arial"/>
                <w:sz w:val="21"/>
              </w:rPr>
            </w:pPr>
          </w:p>
          <w:p w14:paraId="49A4002F">
            <w:pPr>
              <w:spacing w:line="249" w:lineRule="auto"/>
              <w:rPr>
                <w:rFonts w:ascii="Arial"/>
                <w:sz w:val="21"/>
              </w:rPr>
            </w:pPr>
          </w:p>
          <w:p w14:paraId="4672AD4E">
            <w:pPr>
              <w:spacing w:line="249" w:lineRule="auto"/>
              <w:rPr>
                <w:rFonts w:ascii="Arial"/>
                <w:sz w:val="21"/>
              </w:rPr>
            </w:pPr>
          </w:p>
          <w:p w14:paraId="16D190B8">
            <w:pPr>
              <w:spacing w:line="250" w:lineRule="auto"/>
              <w:rPr>
                <w:rFonts w:ascii="Arial"/>
                <w:sz w:val="21"/>
              </w:rPr>
            </w:pPr>
          </w:p>
          <w:p w14:paraId="5E69DA43">
            <w:pPr>
              <w:spacing w:line="250" w:lineRule="auto"/>
              <w:rPr>
                <w:rFonts w:ascii="Arial"/>
                <w:sz w:val="21"/>
              </w:rPr>
            </w:pPr>
          </w:p>
          <w:p w14:paraId="7976BD56">
            <w:pPr>
              <w:spacing w:line="250" w:lineRule="auto"/>
              <w:rPr>
                <w:rFonts w:ascii="Arial"/>
                <w:sz w:val="21"/>
              </w:rPr>
            </w:pPr>
          </w:p>
          <w:p w14:paraId="0EF81120">
            <w:pPr>
              <w:spacing w:line="250" w:lineRule="auto"/>
              <w:rPr>
                <w:rFonts w:ascii="Arial"/>
                <w:sz w:val="21"/>
              </w:rPr>
            </w:pPr>
          </w:p>
          <w:p w14:paraId="7B429DA2">
            <w:pPr>
              <w:spacing w:line="250" w:lineRule="auto"/>
              <w:rPr>
                <w:rFonts w:ascii="Arial"/>
                <w:sz w:val="21"/>
              </w:rPr>
            </w:pPr>
          </w:p>
          <w:p w14:paraId="6B395532">
            <w:pPr>
              <w:spacing w:line="250" w:lineRule="auto"/>
              <w:rPr>
                <w:rFonts w:ascii="Arial"/>
                <w:sz w:val="21"/>
              </w:rPr>
            </w:pPr>
          </w:p>
          <w:p w14:paraId="5D21A66C">
            <w:pPr>
              <w:spacing w:line="250" w:lineRule="auto"/>
              <w:rPr>
                <w:rFonts w:ascii="Arial"/>
                <w:sz w:val="21"/>
              </w:rPr>
            </w:pPr>
          </w:p>
          <w:p w14:paraId="006722A3">
            <w:pPr>
              <w:spacing w:line="250" w:lineRule="auto"/>
              <w:rPr>
                <w:rFonts w:ascii="Arial"/>
                <w:sz w:val="21"/>
              </w:rPr>
            </w:pPr>
          </w:p>
          <w:p w14:paraId="727F2F99">
            <w:pPr>
              <w:spacing w:line="250" w:lineRule="auto"/>
              <w:rPr>
                <w:rFonts w:ascii="Arial"/>
                <w:sz w:val="21"/>
              </w:rPr>
            </w:pPr>
          </w:p>
          <w:p w14:paraId="0BAFFF95">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1.4</w:t>
            </w:r>
          </w:p>
        </w:tc>
        <w:tc>
          <w:tcPr>
            <w:tcW w:w="1058" w:type="dxa"/>
            <w:vMerge w:val="restart"/>
            <w:tcBorders>
              <w:bottom w:val="nil"/>
            </w:tcBorders>
            <w:vAlign w:val="top"/>
          </w:tcPr>
          <w:p w14:paraId="0B98EEB1">
            <w:pPr>
              <w:spacing w:line="244" w:lineRule="auto"/>
              <w:rPr>
                <w:rFonts w:ascii="Arial"/>
                <w:sz w:val="21"/>
              </w:rPr>
            </w:pPr>
          </w:p>
          <w:p w14:paraId="732F947F">
            <w:pPr>
              <w:spacing w:line="244" w:lineRule="auto"/>
              <w:rPr>
                <w:rFonts w:ascii="Arial"/>
                <w:sz w:val="21"/>
              </w:rPr>
            </w:pPr>
          </w:p>
          <w:p w14:paraId="30F94F0C">
            <w:pPr>
              <w:spacing w:line="244" w:lineRule="auto"/>
              <w:rPr>
                <w:rFonts w:ascii="Arial"/>
                <w:sz w:val="21"/>
              </w:rPr>
            </w:pPr>
          </w:p>
          <w:p w14:paraId="46AB699F">
            <w:pPr>
              <w:spacing w:line="244" w:lineRule="auto"/>
              <w:rPr>
                <w:rFonts w:ascii="Arial"/>
                <w:sz w:val="21"/>
              </w:rPr>
            </w:pPr>
          </w:p>
          <w:p w14:paraId="05F03ACE">
            <w:pPr>
              <w:spacing w:line="244" w:lineRule="auto"/>
              <w:rPr>
                <w:rFonts w:ascii="Arial"/>
                <w:sz w:val="21"/>
              </w:rPr>
            </w:pPr>
          </w:p>
          <w:p w14:paraId="4C6FB768">
            <w:pPr>
              <w:spacing w:line="244" w:lineRule="auto"/>
              <w:rPr>
                <w:rFonts w:ascii="Arial"/>
                <w:sz w:val="21"/>
              </w:rPr>
            </w:pPr>
          </w:p>
          <w:p w14:paraId="64AE1974">
            <w:pPr>
              <w:spacing w:line="244" w:lineRule="auto"/>
              <w:rPr>
                <w:rFonts w:ascii="Arial"/>
                <w:sz w:val="21"/>
              </w:rPr>
            </w:pPr>
          </w:p>
          <w:p w14:paraId="368B3A68">
            <w:pPr>
              <w:spacing w:line="244" w:lineRule="auto"/>
              <w:rPr>
                <w:rFonts w:ascii="Arial"/>
                <w:sz w:val="21"/>
              </w:rPr>
            </w:pPr>
          </w:p>
          <w:p w14:paraId="257A8533">
            <w:pPr>
              <w:spacing w:line="244" w:lineRule="auto"/>
              <w:rPr>
                <w:rFonts w:ascii="Arial"/>
                <w:sz w:val="21"/>
              </w:rPr>
            </w:pPr>
          </w:p>
          <w:p w14:paraId="50F6233D">
            <w:pPr>
              <w:spacing w:line="244" w:lineRule="auto"/>
              <w:rPr>
                <w:rFonts w:ascii="Arial"/>
                <w:sz w:val="21"/>
              </w:rPr>
            </w:pPr>
          </w:p>
          <w:p w14:paraId="2D0ED689">
            <w:pPr>
              <w:spacing w:line="244" w:lineRule="auto"/>
              <w:rPr>
                <w:rFonts w:ascii="Arial"/>
                <w:sz w:val="21"/>
              </w:rPr>
            </w:pPr>
          </w:p>
          <w:p w14:paraId="2D6CB15D">
            <w:pPr>
              <w:spacing w:line="245" w:lineRule="auto"/>
              <w:rPr>
                <w:rFonts w:ascii="Arial"/>
                <w:sz w:val="21"/>
              </w:rPr>
            </w:pPr>
          </w:p>
          <w:p w14:paraId="166826D8">
            <w:pPr>
              <w:spacing w:line="245" w:lineRule="auto"/>
              <w:rPr>
                <w:rFonts w:ascii="Arial"/>
                <w:sz w:val="21"/>
              </w:rPr>
            </w:pPr>
          </w:p>
          <w:p w14:paraId="5A962895">
            <w:pPr>
              <w:spacing w:line="245" w:lineRule="auto"/>
              <w:rPr>
                <w:rFonts w:ascii="Arial"/>
                <w:sz w:val="21"/>
              </w:rPr>
            </w:pPr>
          </w:p>
          <w:p w14:paraId="427D685E">
            <w:pPr>
              <w:spacing w:line="245" w:lineRule="auto"/>
              <w:rPr>
                <w:rFonts w:ascii="Arial"/>
                <w:sz w:val="21"/>
              </w:rPr>
            </w:pPr>
          </w:p>
          <w:p w14:paraId="35E633CB">
            <w:pPr>
              <w:pStyle w:val="6"/>
              <w:spacing w:before="65" w:line="251" w:lineRule="auto"/>
              <w:ind w:left="326" w:right="111" w:hanging="215"/>
            </w:pPr>
            <w:r>
              <w:rPr>
                <w:spacing w:val="7"/>
              </w:rPr>
              <w:t>施工组织</w:t>
            </w:r>
            <w:r>
              <w:rPr>
                <w:spacing w:val="3"/>
              </w:rPr>
              <w:t>设计</w:t>
            </w:r>
          </w:p>
          <w:p w14:paraId="3ED1E253">
            <w:pPr>
              <w:pStyle w:val="6"/>
              <w:spacing w:line="228" w:lineRule="auto"/>
              <w:ind w:left="111"/>
            </w:pPr>
            <w:r>
              <w:rPr>
                <w:spacing w:val="7"/>
              </w:rPr>
              <w:t>评审标准</w:t>
            </w:r>
          </w:p>
        </w:tc>
        <w:tc>
          <w:tcPr>
            <w:tcW w:w="2339" w:type="dxa"/>
            <w:vAlign w:val="top"/>
          </w:tcPr>
          <w:p w14:paraId="48E4054C">
            <w:pPr>
              <w:pStyle w:val="6"/>
              <w:spacing w:before="206" w:line="228" w:lineRule="auto"/>
              <w:ind w:left="115"/>
            </w:pPr>
            <w:r>
              <w:rPr>
                <w:spacing w:val="6"/>
              </w:rPr>
              <w:t>工程概况</w:t>
            </w:r>
          </w:p>
        </w:tc>
        <w:tc>
          <w:tcPr>
            <w:tcW w:w="5042" w:type="dxa"/>
            <w:vAlign w:val="top"/>
          </w:tcPr>
          <w:p w14:paraId="41610729">
            <w:pPr>
              <w:pStyle w:val="6"/>
              <w:spacing w:before="70" w:line="250" w:lineRule="auto"/>
              <w:ind w:left="113" w:right="109" w:firstLine="2"/>
            </w:pPr>
            <w:r>
              <w:rPr>
                <w:spacing w:val="9"/>
              </w:rPr>
              <w:t>工程主要情况、各专业设计简介、工程施工条件描述</w:t>
            </w:r>
            <w:r>
              <w:rPr>
                <w:spacing w:val="5"/>
              </w:rPr>
              <w:t>基本准确。</w:t>
            </w:r>
          </w:p>
        </w:tc>
      </w:tr>
      <w:tr w14:paraId="358941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5" w:hRule="atLeast"/>
        </w:trPr>
        <w:tc>
          <w:tcPr>
            <w:tcW w:w="745" w:type="dxa"/>
            <w:vMerge w:val="continue"/>
            <w:tcBorders>
              <w:top w:val="nil"/>
              <w:bottom w:val="nil"/>
            </w:tcBorders>
            <w:vAlign w:val="top"/>
          </w:tcPr>
          <w:p w14:paraId="4B639B92">
            <w:pPr>
              <w:rPr>
                <w:rFonts w:ascii="Arial"/>
                <w:sz w:val="21"/>
              </w:rPr>
            </w:pPr>
          </w:p>
        </w:tc>
        <w:tc>
          <w:tcPr>
            <w:tcW w:w="1058" w:type="dxa"/>
            <w:vMerge w:val="continue"/>
            <w:tcBorders>
              <w:top w:val="nil"/>
              <w:bottom w:val="nil"/>
            </w:tcBorders>
            <w:vAlign w:val="top"/>
          </w:tcPr>
          <w:p w14:paraId="27865836">
            <w:pPr>
              <w:rPr>
                <w:rFonts w:ascii="Arial"/>
                <w:sz w:val="21"/>
              </w:rPr>
            </w:pPr>
          </w:p>
        </w:tc>
        <w:tc>
          <w:tcPr>
            <w:tcW w:w="2339" w:type="dxa"/>
            <w:vAlign w:val="top"/>
          </w:tcPr>
          <w:p w14:paraId="125F7830">
            <w:pPr>
              <w:spacing w:line="254" w:lineRule="auto"/>
              <w:rPr>
                <w:rFonts w:ascii="Arial"/>
                <w:sz w:val="21"/>
              </w:rPr>
            </w:pPr>
          </w:p>
          <w:p w14:paraId="32D9965F">
            <w:pPr>
              <w:spacing w:line="254" w:lineRule="auto"/>
              <w:rPr>
                <w:rFonts w:ascii="Arial"/>
                <w:sz w:val="21"/>
              </w:rPr>
            </w:pPr>
          </w:p>
          <w:p w14:paraId="79FC09C8">
            <w:pPr>
              <w:spacing w:line="254" w:lineRule="auto"/>
              <w:rPr>
                <w:rFonts w:ascii="Arial"/>
                <w:sz w:val="21"/>
              </w:rPr>
            </w:pPr>
          </w:p>
          <w:p w14:paraId="06C15C18">
            <w:pPr>
              <w:pStyle w:val="6"/>
              <w:spacing w:before="65" w:line="228" w:lineRule="auto"/>
              <w:ind w:left="111"/>
            </w:pPr>
            <w:r>
              <w:rPr>
                <w:spacing w:val="7"/>
              </w:rPr>
              <w:t>施工部署</w:t>
            </w:r>
          </w:p>
        </w:tc>
        <w:tc>
          <w:tcPr>
            <w:tcW w:w="5042" w:type="dxa"/>
            <w:vAlign w:val="top"/>
          </w:tcPr>
          <w:p w14:paraId="506EA650">
            <w:pPr>
              <w:pStyle w:val="6"/>
              <w:spacing w:before="151" w:line="252" w:lineRule="auto"/>
              <w:ind w:left="112" w:right="107" w:firstLine="3"/>
              <w:jc w:val="both"/>
            </w:pPr>
            <w:r>
              <w:rPr>
                <w:spacing w:val="9"/>
              </w:rPr>
              <w:t>工程施工目标、主要施工内容、施工流水段划分、施工的重点和难点分析、工程管理的组织机构形式、项目经理部的工作岗位设置及其职责划分、新技术、新工艺部署及其技术和管理要求（如有）、主要分包工程施工单位的选择要求及管理方式（如有）等各项安</w:t>
            </w:r>
            <w:r>
              <w:rPr>
                <w:spacing w:val="7"/>
              </w:rPr>
              <w:t>排合理、可行。</w:t>
            </w:r>
          </w:p>
        </w:tc>
      </w:tr>
      <w:tr w14:paraId="47E03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745" w:type="dxa"/>
            <w:vMerge w:val="continue"/>
            <w:tcBorders>
              <w:top w:val="nil"/>
              <w:bottom w:val="nil"/>
            </w:tcBorders>
            <w:vAlign w:val="top"/>
          </w:tcPr>
          <w:p w14:paraId="79FBD345">
            <w:pPr>
              <w:rPr>
                <w:rFonts w:ascii="Arial"/>
                <w:sz w:val="21"/>
              </w:rPr>
            </w:pPr>
          </w:p>
        </w:tc>
        <w:tc>
          <w:tcPr>
            <w:tcW w:w="1058" w:type="dxa"/>
            <w:vMerge w:val="continue"/>
            <w:tcBorders>
              <w:top w:val="nil"/>
              <w:bottom w:val="nil"/>
            </w:tcBorders>
            <w:vAlign w:val="top"/>
          </w:tcPr>
          <w:p w14:paraId="2955A1C6">
            <w:pPr>
              <w:rPr>
                <w:rFonts w:ascii="Arial"/>
                <w:sz w:val="21"/>
              </w:rPr>
            </w:pPr>
          </w:p>
        </w:tc>
        <w:tc>
          <w:tcPr>
            <w:tcW w:w="2339" w:type="dxa"/>
            <w:vAlign w:val="top"/>
          </w:tcPr>
          <w:p w14:paraId="64447F4F">
            <w:pPr>
              <w:pStyle w:val="6"/>
              <w:spacing w:before="205" w:line="228" w:lineRule="auto"/>
              <w:ind w:left="111"/>
            </w:pPr>
            <w:r>
              <w:rPr>
                <w:spacing w:val="8"/>
              </w:rPr>
              <w:t>施工进度计划</w:t>
            </w:r>
          </w:p>
        </w:tc>
        <w:tc>
          <w:tcPr>
            <w:tcW w:w="5042" w:type="dxa"/>
            <w:vAlign w:val="top"/>
          </w:tcPr>
          <w:p w14:paraId="7E0EF8A9">
            <w:pPr>
              <w:pStyle w:val="6"/>
              <w:spacing w:before="204" w:line="228" w:lineRule="auto"/>
              <w:ind w:left="129"/>
            </w:pPr>
            <w:r>
              <w:rPr>
                <w:spacing w:val="8"/>
              </w:rPr>
              <w:t>网络图或横道图安排的进度计划合理、可行。</w:t>
            </w:r>
          </w:p>
        </w:tc>
      </w:tr>
      <w:tr w14:paraId="36217C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1" w:hRule="atLeast"/>
        </w:trPr>
        <w:tc>
          <w:tcPr>
            <w:tcW w:w="745" w:type="dxa"/>
            <w:vMerge w:val="continue"/>
            <w:tcBorders>
              <w:top w:val="nil"/>
              <w:bottom w:val="nil"/>
            </w:tcBorders>
            <w:vAlign w:val="top"/>
          </w:tcPr>
          <w:p w14:paraId="4DA20274">
            <w:pPr>
              <w:rPr>
                <w:rFonts w:ascii="Arial"/>
                <w:sz w:val="21"/>
              </w:rPr>
            </w:pPr>
          </w:p>
        </w:tc>
        <w:tc>
          <w:tcPr>
            <w:tcW w:w="1058" w:type="dxa"/>
            <w:vMerge w:val="continue"/>
            <w:tcBorders>
              <w:top w:val="nil"/>
              <w:bottom w:val="nil"/>
            </w:tcBorders>
            <w:vAlign w:val="top"/>
          </w:tcPr>
          <w:p w14:paraId="3F1853F7">
            <w:pPr>
              <w:rPr>
                <w:rFonts w:ascii="Arial"/>
                <w:sz w:val="21"/>
              </w:rPr>
            </w:pPr>
          </w:p>
        </w:tc>
        <w:tc>
          <w:tcPr>
            <w:tcW w:w="2339" w:type="dxa"/>
            <w:vAlign w:val="top"/>
          </w:tcPr>
          <w:p w14:paraId="20D083F4">
            <w:pPr>
              <w:pStyle w:val="6"/>
              <w:spacing w:before="225" w:line="229" w:lineRule="auto"/>
              <w:ind w:left="111"/>
            </w:pPr>
            <w:r>
              <w:rPr>
                <w:spacing w:val="8"/>
              </w:rPr>
              <w:t>施工准备与</w:t>
            </w:r>
          </w:p>
          <w:p w14:paraId="0F8EAAE0">
            <w:pPr>
              <w:pStyle w:val="6"/>
              <w:spacing w:before="23" w:line="229" w:lineRule="auto"/>
              <w:ind w:left="121"/>
            </w:pPr>
            <w:r>
              <w:rPr>
                <w:spacing w:val="6"/>
              </w:rPr>
              <w:t>资源配置计划</w:t>
            </w:r>
          </w:p>
        </w:tc>
        <w:tc>
          <w:tcPr>
            <w:tcW w:w="5042" w:type="dxa"/>
            <w:vAlign w:val="top"/>
          </w:tcPr>
          <w:p w14:paraId="1A818FE4">
            <w:pPr>
              <w:pStyle w:val="6"/>
              <w:spacing w:before="88" w:line="252" w:lineRule="auto"/>
              <w:ind w:left="114" w:right="107"/>
              <w:jc w:val="both"/>
            </w:pPr>
            <w:r>
              <w:rPr>
                <w:spacing w:val="9"/>
              </w:rPr>
              <w:t>技术准备、现场准备和资金准备；资源配置计划包括劳动力配置计划、主要工程材料和设备配置计划、主要周转材料和施工机具配置计划等内容完备，可行。</w:t>
            </w:r>
          </w:p>
        </w:tc>
      </w:tr>
      <w:tr w14:paraId="4F1E80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0" w:hRule="atLeast"/>
        </w:trPr>
        <w:tc>
          <w:tcPr>
            <w:tcW w:w="745" w:type="dxa"/>
            <w:vMerge w:val="continue"/>
            <w:tcBorders>
              <w:top w:val="nil"/>
            </w:tcBorders>
            <w:vAlign w:val="top"/>
          </w:tcPr>
          <w:p w14:paraId="488108F6">
            <w:pPr>
              <w:rPr>
                <w:rFonts w:ascii="Arial"/>
                <w:sz w:val="21"/>
              </w:rPr>
            </w:pPr>
          </w:p>
        </w:tc>
        <w:tc>
          <w:tcPr>
            <w:tcW w:w="1058" w:type="dxa"/>
            <w:vMerge w:val="continue"/>
            <w:tcBorders>
              <w:top w:val="nil"/>
            </w:tcBorders>
            <w:vAlign w:val="top"/>
          </w:tcPr>
          <w:p w14:paraId="1C93B0A8">
            <w:pPr>
              <w:rPr>
                <w:rFonts w:ascii="Arial"/>
                <w:sz w:val="21"/>
              </w:rPr>
            </w:pPr>
          </w:p>
        </w:tc>
        <w:tc>
          <w:tcPr>
            <w:tcW w:w="2339" w:type="dxa"/>
            <w:vAlign w:val="top"/>
          </w:tcPr>
          <w:p w14:paraId="0E7D9F25">
            <w:pPr>
              <w:spacing w:line="281" w:lineRule="auto"/>
              <w:rPr>
                <w:rFonts w:ascii="Arial"/>
                <w:sz w:val="21"/>
              </w:rPr>
            </w:pPr>
          </w:p>
          <w:p w14:paraId="75346BBB">
            <w:pPr>
              <w:spacing w:line="281" w:lineRule="auto"/>
              <w:rPr>
                <w:rFonts w:ascii="Arial"/>
                <w:sz w:val="21"/>
              </w:rPr>
            </w:pPr>
          </w:p>
          <w:p w14:paraId="4B5E92BF">
            <w:pPr>
              <w:pStyle w:val="6"/>
              <w:spacing w:before="65" w:line="228" w:lineRule="auto"/>
              <w:ind w:left="114"/>
            </w:pPr>
            <w:r>
              <w:rPr>
                <w:spacing w:val="7"/>
              </w:rPr>
              <w:t>主要施工方案</w:t>
            </w:r>
          </w:p>
        </w:tc>
        <w:tc>
          <w:tcPr>
            <w:tcW w:w="5042" w:type="dxa"/>
            <w:vAlign w:val="top"/>
          </w:tcPr>
          <w:p w14:paraId="06372BE3">
            <w:pPr>
              <w:pStyle w:val="6"/>
              <w:spacing w:before="88" w:line="251" w:lineRule="auto"/>
              <w:ind w:left="112" w:right="57" w:firstLine="2"/>
            </w:pPr>
            <w:r>
              <w:rPr>
                <w:spacing w:val="9"/>
              </w:rPr>
              <w:t>主要分部、分项工程施工方案合理、可行；脚手架工程、起重吊装工程、临时用水用电工程、季节性施工</w:t>
            </w:r>
            <w:r>
              <w:rPr>
                <w:spacing w:val="2"/>
              </w:rPr>
              <w:t>等专项工程的施工方案（如有）有必要的验算和说明；</w:t>
            </w:r>
            <w:r>
              <w:rPr>
                <w:spacing w:val="10"/>
              </w:rPr>
              <w:t>对易发生质量通病、易出现安全问题、施工难度大、</w:t>
            </w:r>
            <w:r>
              <w:rPr>
                <w:spacing w:val="9"/>
              </w:rPr>
              <w:t>技术含量高的分项工程（工序）等有重点说明。</w:t>
            </w:r>
          </w:p>
        </w:tc>
      </w:tr>
    </w:tbl>
    <w:p w14:paraId="33E9D495">
      <w:pPr>
        <w:rPr>
          <w:rFonts w:ascii="Arial"/>
          <w:sz w:val="21"/>
        </w:rPr>
      </w:pPr>
    </w:p>
    <w:p w14:paraId="52A5CFD1">
      <w:pPr>
        <w:rPr>
          <w:rFonts w:ascii="Arial" w:hAnsi="Arial" w:eastAsia="Arial" w:cs="Arial"/>
          <w:sz w:val="21"/>
          <w:szCs w:val="21"/>
        </w:rPr>
        <w:sectPr>
          <w:footerReference r:id="rId86" w:type="default"/>
          <w:pgSz w:w="11907" w:h="16840"/>
          <w:pgMar w:top="400" w:right="1248" w:bottom="1035" w:left="1469" w:header="0" w:footer="785" w:gutter="0"/>
          <w:cols w:space="720" w:num="1"/>
        </w:sectPr>
      </w:pPr>
    </w:p>
    <w:p w14:paraId="700FC4B9">
      <w:pPr>
        <w:spacing w:before="19"/>
      </w:pPr>
    </w:p>
    <w:p w14:paraId="4CC5CD38">
      <w:pPr>
        <w:spacing w:before="19"/>
      </w:pPr>
    </w:p>
    <w:p w14:paraId="55747D22">
      <w:pPr>
        <w:spacing w:before="19"/>
      </w:pPr>
    </w:p>
    <w:p w14:paraId="517BDAF6">
      <w:pPr>
        <w:spacing w:before="18"/>
      </w:pPr>
    </w:p>
    <w:p w14:paraId="118D6BC5">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255"/>
        <w:gridCol w:w="480"/>
        <w:gridCol w:w="4562"/>
      </w:tblGrid>
      <w:tr w14:paraId="0E02F2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1" w:hRule="atLeast"/>
        </w:trPr>
        <w:tc>
          <w:tcPr>
            <w:tcW w:w="745" w:type="dxa"/>
            <w:vMerge w:val="restart"/>
            <w:tcBorders>
              <w:bottom w:val="nil"/>
            </w:tcBorders>
            <w:vAlign w:val="top"/>
          </w:tcPr>
          <w:p w14:paraId="64A492D0">
            <w:pPr>
              <w:rPr>
                <w:rFonts w:ascii="Arial"/>
                <w:sz w:val="21"/>
              </w:rPr>
            </w:pPr>
          </w:p>
        </w:tc>
        <w:tc>
          <w:tcPr>
            <w:tcW w:w="1058" w:type="dxa"/>
            <w:vMerge w:val="restart"/>
            <w:tcBorders>
              <w:bottom w:val="nil"/>
            </w:tcBorders>
            <w:vAlign w:val="top"/>
          </w:tcPr>
          <w:p w14:paraId="7FBC5890">
            <w:pPr>
              <w:rPr>
                <w:rFonts w:ascii="Arial"/>
                <w:sz w:val="21"/>
              </w:rPr>
            </w:pPr>
          </w:p>
        </w:tc>
        <w:tc>
          <w:tcPr>
            <w:tcW w:w="2339" w:type="dxa"/>
            <w:gridSpan w:val="2"/>
            <w:vAlign w:val="top"/>
          </w:tcPr>
          <w:p w14:paraId="67632BA1">
            <w:pPr>
              <w:spacing w:line="245" w:lineRule="auto"/>
              <w:rPr>
                <w:rFonts w:ascii="Arial"/>
                <w:sz w:val="21"/>
              </w:rPr>
            </w:pPr>
          </w:p>
          <w:p w14:paraId="020EA00D">
            <w:pPr>
              <w:spacing w:line="245" w:lineRule="auto"/>
              <w:rPr>
                <w:rFonts w:ascii="Arial"/>
                <w:sz w:val="21"/>
              </w:rPr>
            </w:pPr>
          </w:p>
          <w:p w14:paraId="4350F342">
            <w:pPr>
              <w:spacing w:line="246" w:lineRule="auto"/>
              <w:rPr>
                <w:rFonts w:ascii="Arial"/>
                <w:sz w:val="21"/>
              </w:rPr>
            </w:pPr>
          </w:p>
          <w:p w14:paraId="4B1D4C68">
            <w:pPr>
              <w:pStyle w:val="6"/>
              <w:spacing w:before="65" w:line="227" w:lineRule="auto"/>
              <w:ind w:left="111"/>
            </w:pPr>
            <w:r>
              <w:rPr>
                <w:spacing w:val="8"/>
              </w:rPr>
              <w:t>施工现场平面布置</w:t>
            </w:r>
          </w:p>
        </w:tc>
        <w:tc>
          <w:tcPr>
            <w:tcW w:w="5042" w:type="dxa"/>
            <w:gridSpan w:val="2"/>
            <w:vAlign w:val="top"/>
          </w:tcPr>
          <w:p w14:paraId="2743CBBD">
            <w:pPr>
              <w:pStyle w:val="6"/>
              <w:spacing w:before="121" w:line="252" w:lineRule="auto"/>
              <w:ind w:left="112" w:right="107"/>
              <w:jc w:val="both"/>
            </w:pPr>
            <w:r>
              <w:rPr>
                <w:spacing w:val="9"/>
              </w:rPr>
              <w:t>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要素齐全，现场平面布置合理可行。</w:t>
            </w:r>
          </w:p>
        </w:tc>
      </w:tr>
      <w:tr w14:paraId="450753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9" w:hRule="atLeast"/>
        </w:trPr>
        <w:tc>
          <w:tcPr>
            <w:tcW w:w="745" w:type="dxa"/>
            <w:vMerge w:val="continue"/>
            <w:tcBorders>
              <w:top w:val="nil"/>
              <w:bottom w:val="nil"/>
            </w:tcBorders>
            <w:vAlign w:val="top"/>
          </w:tcPr>
          <w:p w14:paraId="0D982A90">
            <w:pPr>
              <w:rPr>
                <w:rFonts w:ascii="Arial"/>
                <w:sz w:val="21"/>
              </w:rPr>
            </w:pPr>
          </w:p>
        </w:tc>
        <w:tc>
          <w:tcPr>
            <w:tcW w:w="1058" w:type="dxa"/>
            <w:vMerge w:val="continue"/>
            <w:tcBorders>
              <w:top w:val="nil"/>
              <w:bottom w:val="nil"/>
            </w:tcBorders>
            <w:vAlign w:val="top"/>
          </w:tcPr>
          <w:p w14:paraId="7E9ECA82">
            <w:pPr>
              <w:rPr>
                <w:rFonts w:ascii="Arial"/>
                <w:sz w:val="21"/>
              </w:rPr>
            </w:pPr>
          </w:p>
        </w:tc>
        <w:tc>
          <w:tcPr>
            <w:tcW w:w="2339" w:type="dxa"/>
            <w:gridSpan w:val="2"/>
            <w:vAlign w:val="top"/>
          </w:tcPr>
          <w:p w14:paraId="7DB13F67">
            <w:pPr>
              <w:spacing w:line="302" w:lineRule="auto"/>
              <w:rPr>
                <w:rFonts w:ascii="Arial"/>
                <w:sz w:val="21"/>
              </w:rPr>
            </w:pPr>
          </w:p>
          <w:p w14:paraId="2D2F2987">
            <w:pPr>
              <w:spacing w:line="303" w:lineRule="auto"/>
              <w:rPr>
                <w:rFonts w:ascii="Arial"/>
                <w:sz w:val="21"/>
              </w:rPr>
            </w:pPr>
          </w:p>
          <w:p w14:paraId="26619D91">
            <w:pPr>
              <w:pStyle w:val="6"/>
              <w:spacing w:before="65" w:line="228" w:lineRule="auto"/>
              <w:ind w:left="114"/>
            </w:pPr>
            <w:r>
              <w:rPr>
                <w:spacing w:val="8"/>
              </w:rPr>
              <w:t>主要施工管理计划</w:t>
            </w:r>
          </w:p>
        </w:tc>
        <w:tc>
          <w:tcPr>
            <w:tcW w:w="5042" w:type="dxa"/>
            <w:gridSpan w:val="2"/>
            <w:vAlign w:val="top"/>
          </w:tcPr>
          <w:p w14:paraId="7AC16EE5">
            <w:pPr>
              <w:pStyle w:val="6"/>
              <w:spacing w:before="131" w:line="251" w:lineRule="auto"/>
              <w:ind w:left="113" w:right="109" w:hanging="2"/>
            </w:pPr>
            <w:r>
              <w:rPr>
                <w:spacing w:val="9"/>
              </w:rPr>
              <w:t>进度管理计划、质量管理计划、安全管理计划、环境管理计划、成本管理计划、治安保卫管理计划、合同管理计划，组织协调管理计划、成品保护管理计划、质量保修管理计划、人力资源、施工机具、材料设备</w:t>
            </w:r>
            <w:r>
              <w:rPr>
                <w:spacing w:val="8"/>
              </w:rPr>
              <w:t>等管理计划内容基本完备，可行。</w:t>
            </w:r>
          </w:p>
        </w:tc>
      </w:tr>
      <w:tr w14:paraId="3C3E9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745" w:type="dxa"/>
            <w:vMerge w:val="continue"/>
            <w:tcBorders>
              <w:top w:val="nil"/>
            </w:tcBorders>
            <w:vAlign w:val="top"/>
          </w:tcPr>
          <w:p w14:paraId="07AD0939">
            <w:pPr>
              <w:rPr>
                <w:rFonts w:ascii="Arial"/>
                <w:sz w:val="21"/>
              </w:rPr>
            </w:pPr>
          </w:p>
        </w:tc>
        <w:tc>
          <w:tcPr>
            <w:tcW w:w="1058" w:type="dxa"/>
            <w:vMerge w:val="continue"/>
            <w:tcBorders>
              <w:top w:val="nil"/>
            </w:tcBorders>
            <w:vAlign w:val="top"/>
          </w:tcPr>
          <w:p w14:paraId="3784BEA0">
            <w:pPr>
              <w:rPr>
                <w:rFonts w:ascii="Arial"/>
                <w:sz w:val="21"/>
              </w:rPr>
            </w:pPr>
          </w:p>
        </w:tc>
        <w:tc>
          <w:tcPr>
            <w:tcW w:w="7381" w:type="dxa"/>
            <w:gridSpan w:val="4"/>
            <w:vAlign w:val="top"/>
          </w:tcPr>
          <w:p w14:paraId="0FF02BA4">
            <w:pPr>
              <w:pStyle w:val="6"/>
              <w:spacing w:before="187" w:line="252" w:lineRule="auto"/>
              <w:ind w:left="111" w:right="160"/>
            </w:pPr>
            <w:r>
              <w:rPr>
                <w:spacing w:val="7"/>
              </w:rPr>
              <w:t>施工组织设计各项内容只作定性评审，即只作“合格</w:t>
            </w:r>
            <w:r>
              <w:rPr>
                <w:spacing w:val="-64"/>
              </w:rPr>
              <w:t xml:space="preserve"> </w:t>
            </w:r>
            <w:r>
              <w:rPr>
                <w:spacing w:val="7"/>
              </w:rPr>
              <w:t>”与“不合格</w:t>
            </w:r>
            <w:r>
              <w:rPr>
                <w:spacing w:val="-72"/>
              </w:rPr>
              <w:t xml:space="preserve"> </w:t>
            </w:r>
            <w:r>
              <w:rPr>
                <w:spacing w:val="7"/>
              </w:rPr>
              <w:t>”的评审，</w:t>
            </w:r>
            <w:r>
              <w:rPr>
                <w:spacing w:val="8"/>
              </w:rPr>
              <w:t>七项内容中有不少于四项合格即视为施工组织设计“合格</w:t>
            </w:r>
            <w:r>
              <w:rPr>
                <w:spacing w:val="-65"/>
              </w:rPr>
              <w:t xml:space="preserve"> </w:t>
            </w:r>
            <w:r>
              <w:rPr>
                <w:spacing w:val="8"/>
              </w:rPr>
              <w:t>”。</w:t>
            </w:r>
          </w:p>
        </w:tc>
      </w:tr>
      <w:tr w14:paraId="0BB16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trPr>
        <w:tc>
          <w:tcPr>
            <w:tcW w:w="1803" w:type="dxa"/>
            <w:gridSpan w:val="2"/>
            <w:vAlign w:val="top"/>
          </w:tcPr>
          <w:p w14:paraId="188EB4A4">
            <w:pPr>
              <w:spacing w:line="348" w:lineRule="auto"/>
              <w:rPr>
                <w:rFonts w:ascii="Arial"/>
                <w:sz w:val="21"/>
              </w:rPr>
            </w:pPr>
          </w:p>
          <w:p w14:paraId="410915EF">
            <w:pPr>
              <w:spacing w:line="349" w:lineRule="auto"/>
              <w:rPr>
                <w:rFonts w:ascii="Arial"/>
                <w:sz w:val="21"/>
              </w:rPr>
            </w:pPr>
          </w:p>
          <w:p w14:paraId="7B98C557">
            <w:pPr>
              <w:spacing w:before="57"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4"/>
            <w:vAlign w:val="top"/>
          </w:tcPr>
          <w:p w14:paraId="2780EFC3">
            <w:pPr>
              <w:pStyle w:val="6"/>
              <w:spacing w:before="302" w:line="227" w:lineRule="auto"/>
              <w:ind w:left="111"/>
            </w:pPr>
            <w:r>
              <w:rPr>
                <w:spacing w:val="9"/>
              </w:rPr>
              <w:t>在本标段招标投标活动中，投标人不得存在的其他情形：</w:t>
            </w:r>
          </w:p>
          <w:p w14:paraId="451A1B32">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5B3BE281">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0D7E78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03" w:type="dxa"/>
            <w:gridSpan w:val="2"/>
            <w:vAlign w:val="top"/>
          </w:tcPr>
          <w:p w14:paraId="11459B0C">
            <w:pPr>
              <w:pStyle w:val="6"/>
              <w:spacing w:before="122" w:line="228" w:lineRule="auto"/>
              <w:ind w:left="592"/>
            </w:pPr>
            <w:r>
              <w:rPr>
                <w:b/>
                <w:bCs/>
                <w:spacing w:val="5"/>
              </w:rPr>
              <w:t>条款号</w:t>
            </w:r>
          </w:p>
        </w:tc>
        <w:tc>
          <w:tcPr>
            <w:tcW w:w="2084" w:type="dxa"/>
            <w:vAlign w:val="top"/>
          </w:tcPr>
          <w:p w14:paraId="75338907">
            <w:pPr>
              <w:pStyle w:val="6"/>
              <w:spacing w:before="122" w:line="228" w:lineRule="auto"/>
              <w:ind w:left="627"/>
            </w:pPr>
            <w:r>
              <w:rPr>
                <w:b/>
                <w:bCs/>
                <w:spacing w:val="6"/>
              </w:rPr>
              <w:t>条款内容</w:t>
            </w:r>
          </w:p>
        </w:tc>
        <w:tc>
          <w:tcPr>
            <w:tcW w:w="5297" w:type="dxa"/>
            <w:gridSpan w:val="3"/>
            <w:vAlign w:val="top"/>
          </w:tcPr>
          <w:p w14:paraId="6604E2EF">
            <w:pPr>
              <w:pStyle w:val="6"/>
              <w:spacing w:before="122" w:line="228" w:lineRule="auto"/>
              <w:ind w:left="2232"/>
            </w:pPr>
            <w:r>
              <w:rPr>
                <w:b/>
                <w:bCs/>
                <w:spacing w:val="6"/>
              </w:rPr>
              <w:t>编列内容</w:t>
            </w:r>
          </w:p>
        </w:tc>
      </w:tr>
      <w:tr w14:paraId="2E2D52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4" w:hRule="atLeast"/>
        </w:trPr>
        <w:tc>
          <w:tcPr>
            <w:tcW w:w="1803" w:type="dxa"/>
            <w:gridSpan w:val="2"/>
            <w:vAlign w:val="top"/>
          </w:tcPr>
          <w:p w14:paraId="01D58BDE">
            <w:pPr>
              <w:spacing w:line="443" w:lineRule="auto"/>
              <w:rPr>
                <w:rFonts w:ascii="Arial"/>
                <w:sz w:val="21"/>
              </w:rPr>
            </w:pPr>
          </w:p>
          <w:p w14:paraId="2BEF887C">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2CAB5157">
            <w:pPr>
              <w:pStyle w:val="6"/>
              <w:spacing w:before="143" w:line="228" w:lineRule="auto"/>
              <w:ind w:left="115"/>
            </w:pPr>
            <w:r>
              <w:rPr>
                <w:spacing w:val="6"/>
              </w:rPr>
              <w:t>分值构成</w:t>
            </w:r>
          </w:p>
          <w:p w14:paraId="27B74EE3">
            <w:pPr>
              <w:pStyle w:val="6"/>
              <w:spacing w:before="27" w:line="252" w:lineRule="auto"/>
              <w:ind w:left="115" w:right="106" w:firstLine="7"/>
            </w:pPr>
            <w:r>
              <w:rPr>
                <w:spacing w:val="5"/>
              </w:rPr>
              <w:t>（总分 100</w:t>
            </w:r>
            <w:r>
              <w:rPr>
                <w:spacing w:val="-16"/>
              </w:rPr>
              <w:t xml:space="preserve"> </w:t>
            </w:r>
            <w:r>
              <w:rPr>
                <w:spacing w:val="5"/>
              </w:rPr>
              <w:t>分+4.25</w:t>
            </w:r>
            <w:r>
              <w:rPr>
                <w:spacing w:val="-1"/>
              </w:rPr>
              <w:t>分）</w:t>
            </w:r>
          </w:p>
        </w:tc>
        <w:tc>
          <w:tcPr>
            <w:tcW w:w="5297" w:type="dxa"/>
            <w:gridSpan w:val="3"/>
            <w:vAlign w:val="top"/>
          </w:tcPr>
          <w:p w14:paraId="731AF270">
            <w:pPr>
              <w:pStyle w:val="6"/>
              <w:spacing w:before="143" w:line="226" w:lineRule="auto"/>
              <w:ind w:left="116"/>
            </w:pPr>
            <w:r>
              <w:rPr>
                <w:spacing w:val="3"/>
              </w:rPr>
              <w:t>投标报价：</w:t>
            </w:r>
            <w:r>
              <w:rPr>
                <w:spacing w:val="12"/>
              </w:rPr>
              <w:t xml:space="preserve">    </w:t>
            </w:r>
            <w:r>
              <w:rPr>
                <w:spacing w:val="3"/>
              </w:rPr>
              <w:t>85</w:t>
            </w:r>
            <w:r>
              <w:rPr>
                <w:spacing w:val="-33"/>
              </w:rPr>
              <w:t xml:space="preserve"> </w:t>
            </w:r>
            <w:r>
              <w:rPr>
                <w:spacing w:val="3"/>
              </w:rPr>
              <w:t>分（+4.25</w:t>
            </w:r>
            <w:r>
              <w:rPr>
                <w:spacing w:val="-37"/>
              </w:rPr>
              <w:t xml:space="preserve"> </w:t>
            </w:r>
            <w:r>
              <w:rPr>
                <w:spacing w:val="3"/>
              </w:rPr>
              <w:t>分）</w:t>
            </w:r>
          </w:p>
          <w:p w14:paraId="6272C1E3">
            <w:pPr>
              <w:pStyle w:val="6"/>
              <w:spacing w:before="28" w:line="227" w:lineRule="auto"/>
              <w:ind w:left="117"/>
            </w:pPr>
            <w:r>
              <w:rPr>
                <w:spacing w:val="5"/>
              </w:rPr>
              <w:t>项目管理机构：</w:t>
            </w:r>
            <w:r>
              <w:rPr>
                <w:spacing w:val="10"/>
              </w:rPr>
              <w:t xml:space="preserve">     </w:t>
            </w:r>
            <w:r>
              <w:rPr>
                <w:spacing w:val="5"/>
              </w:rPr>
              <w:t>5 分</w:t>
            </w:r>
          </w:p>
          <w:p w14:paraId="7612B7E2">
            <w:pPr>
              <w:pStyle w:val="6"/>
              <w:spacing w:before="24" w:line="228" w:lineRule="auto"/>
              <w:ind w:left="114"/>
            </w:pPr>
            <w:r>
              <w:rPr>
                <w:spacing w:val="4"/>
              </w:rPr>
              <w:t>其他评分因素：</w:t>
            </w:r>
            <w:r>
              <w:rPr>
                <w:spacing w:val="15"/>
              </w:rPr>
              <w:t xml:space="preserve">    </w:t>
            </w:r>
            <w:r>
              <w:rPr>
                <w:spacing w:val="4"/>
              </w:rPr>
              <w:t>10 分</w:t>
            </w:r>
          </w:p>
        </w:tc>
      </w:tr>
      <w:tr w14:paraId="7B6F11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2" w:hRule="atLeast"/>
        </w:trPr>
        <w:tc>
          <w:tcPr>
            <w:tcW w:w="1803" w:type="dxa"/>
            <w:gridSpan w:val="2"/>
            <w:vAlign w:val="top"/>
          </w:tcPr>
          <w:p w14:paraId="46638B61">
            <w:pPr>
              <w:spacing w:line="335" w:lineRule="auto"/>
              <w:rPr>
                <w:rFonts w:ascii="Arial"/>
                <w:sz w:val="21"/>
              </w:rPr>
            </w:pPr>
          </w:p>
          <w:p w14:paraId="43306A3D">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1E9FFA07">
            <w:pPr>
              <w:pStyle w:val="6"/>
              <w:spacing w:before="197"/>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1DD60E44">
            <w:pPr>
              <w:spacing w:line="447" w:lineRule="auto"/>
              <w:rPr>
                <w:rFonts w:ascii="Arial"/>
                <w:sz w:val="21"/>
              </w:rPr>
            </w:pPr>
          </w:p>
          <w:p w14:paraId="52B29B31">
            <w:pPr>
              <w:pStyle w:val="6"/>
              <w:spacing w:before="65" w:line="226" w:lineRule="auto"/>
              <w:ind w:left="111"/>
            </w:pPr>
            <w:r>
              <w:rPr>
                <w:spacing w:val="8"/>
              </w:rPr>
              <w:t>评标价确定方法</w:t>
            </w:r>
          </w:p>
        </w:tc>
        <w:tc>
          <w:tcPr>
            <w:tcW w:w="5297" w:type="dxa"/>
            <w:gridSpan w:val="3"/>
            <w:vAlign w:val="top"/>
          </w:tcPr>
          <w:p w14:paraId="04AFB10B">
            <w:pPr>
              <w:pStyle w:val="6"/>
              <w:spacing w:before="243" w:line="252" w:lineRule="auto"/>
              <w:ind w:left="112" w:right="135"/>
              <w:jc w:val="both"/>
            </w:pPr>
            <w:r>
              <w:rPr>
                <w:spacing w:val="6"/>
              </w:rPr>
              <w:t>评标价＝投标函中的大写投标总报价（或经投标人书面</w:t>
            </w:r>
            <w:r>
              <w:rPr>
                <w:spacing w:val="1"/>
              </w:rPr>
              <w:t>确认的算术错误修正后的投标总价）-（暂列金额+税金）</w:t>
            </w:r>
            <w:r>
              <w:rPr>
                <w:spacing w:val="17"/>
              </w:rPr>
              <w:t xml:space="preserve"> </w:t>
            </w:r>
            <w:r>
              <w:rPr>
                <w:spacing w:val="7"/>
              </w:rPr>
              <w:t>-（专业工程暂估价+税金）</w:t>
            </w:r>
          </w:p>
        </w:tc>
      </w:tr>
      <w:tr w14:paraId="65A410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1803" w:type="dxa"/>
            <w:gridSpan w:val="2"/>
            <w:vAlign w:val="top"/>
          </w:tcPr>
          <w:p w14:paraId="4640784F">
            <w:pPr>
              <w:spacing w:line="334" w:lineRule="auto"/>
              <w:rPr>
                <w:rFonts w:ascii="Arial"/>
                <w:sz w:val="21"/>
              </w:rPr>
            </w:pPr>
          </w:p>
          <w:p w14:paraId="7C9C998D">
            <w:pPr>
              <w:spacing w:line="334" w:lineRule="auto"/>
              <w:rPr>
                <w:rFonts w:ascii="Arial"/>
                <w:sz w:val="21"/>
              </w:rPr>
            </w:pPr>
          </w:p>
          <w:p w14:paraId="12424EA9">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0E794AD4">
            <w:pPr>
              <w:pStyle w:val="6"/>
              <w:spacing w:before="197"/>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6DD35BA3">
            <w:pPr>
              <w:spacing w:line="322" w:lineRule="auto"/>
              <w:rPr>
                <w:rFonts w:ascii="Arial"/>
                <w:sz w:val="21"/>
              </w:rPr>
            </w:pPr>
          </w:p>
          <w:p w14:paraId="4C210FE2">
            <w:pPr>
              <w:spacing w:line="323" w:lineRule="auto"/>
              <w:rPr>
                <w:rFonts w:ascii="Arial"/>
                <w:sz w:val="21"/>
              </w:rPr>
            </w:pPr>
          </w:p>
          <w:p w14:paraId="6550402E">
            <w:pPr>
              <w:pStyle w:val="6"/>
              <w:spacing w:before="65" w:line="255" w:lineRule="auto"/>
              <w:ind w:left="112" w:right="107" w:hanging="1"/>
            </w:pPr>
            <w:r>
              <w:rPr>
                <w:spacing w:val="32"/>
              </w:rPr>
              <w:t>评标基准价计算方</w:t>
            </w:r>
            <w:r>
              <w:t>法</w:t>
            </w:r>
          </w:p>
        </w:tc>
        <w:tc>
          <w:tcPr>
            <w:tcW w:w="5297" w:type="dxa"/>
            <w:gridSpan w:val="3"/>
            <w:vAlign w:val="top"/>
          </w:tcPr>
          <w:p w14:paraId="5A4702C1">
            <w:pPr>
              <w:pStyle w:val="6"/>
              <w:spacing w:before="35"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7A277B02">
            <w:pPr>
              <w:pStyle w:val="6"/>
              <w:spacing w:before="2" w:line="238"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4D27F1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803" w:type="dxa"/>
            <w:gridSpan w:val="2"/>
            <w:vAlign w:val="top"/>
          </w:tcPr>
          <w:p w14:paraId="0B63D72A">
            <w:pPr>
              <w:spacing w:line="329" w:lineRule="auto"/>
              <w:rPr>
                <w:rFonts w:ascii="Arial"/>
                <w:sz w:val="21"/>
              </w:rPr>
            </w:pPr>
          </w:p>
          <w:p w14:paraId="412D2EA7">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1F4B0FF9">
            <w:pPr>
              <w:pStyle w:val="6"/>
              <w:spacing w:before="165" w:line="252" w:lineRule="auto"/>
              <w:ind w:left="112" w:right="296" w:firstLine="2"/>
            </w:pPr>
            <w:r>
              <w:rPr>
                <w:spacing w:val="8"/>
              </w:rPr>
              <w:t>投标报价的偏差率</w:t>
            </w:r>
            <w:r>
              <w:rPr>
                <w:spacing w:val="7"/>
              </w:rPr>
              <w:t>计算公式</w:t>
            </w:r>
          </w:p>
        </w:tc>
        <w:tc>
          <w:tcPr>
            <w:tcW w:w="5297" w:type="dxa"/>
            <w:gridSpan w:val="3"/>
            <w:vAlign w:val="top"/>
          </w:tcPr>
          <w:p w14:paraId="1204C4C2">
            <w:pPr>
              <w:pStyle w:val="6"/>
              <w:spacing w:before="166" w:line="251" w:lineRule="auto"/>
              <w:ind w:left="115" w:right="107" w:hanging="1"/>
            </w:pPr>
            <w:r>
              <w:rPr>
                <w:spacing w:val="6"/>
              </w:rPr>
              <w:t>偏差率=100%×（投标人评标价－评标基准价）÷评标基</w:t>
            </w:r>
            <w:r>
              <w:rPr>
                <w:spacing w:val="3"/>
              </w:rPr>
              <w:t>准价</w:t>
            </w:r>
          </w:p>
        </w:tc>
      </w:tr>
      <w:tr w14:paraId="461789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7D139DC5">
            <w:pPr>
              <w:pStyle w:val="6"/>
              <w:spacing w:before="170" w:line="228" w:lineRule="auto"/>
              <w:ind w:left="592"/>
            </w:pPr>
            <w:r>
              <w:rPr>
                <w:b/>
                <w:bCs/>
                <w:spacing w:val="5"/>
              </w:rPr>
              <w:t>条款号</w:t>
            </w:r>
          </w:p>
        </w:tc>
        <w:tc>
          <w:tcPr>
            <w:tcW w:w="2084" w:type="dxa"/>
            <w:vAlign w:val="top"/>
          </w:tcPr>
          <w:p w14:paraId="7094427F">
            <w:pPr>
              <w:pStyle w:val="6"/>
              <w:spacing w:before="170" w:line="228" w:lineRule="auto"/>
              <w:ind w:left="625"/>
            </w:pPr>
            <w:r>
              <w:rPr>
                <w:b/>
                <w:bCs/>
                <w:spacing w:val="6"/>
              </w:rPr>
              <w:t>评分因素</w:t>
            </w:r>
          </w:p>
        </w:tc>
        <w:tc>
          <w:tcPr>
            <w:tcW w:w="735" w:type="dxa"/>
            <w:gridSpan w:val="2"/>
            <w:vAlign w:val="top"/>
          </w:tcPr>
          <w:p w14:paraId="348F1D3B">
            <w:pPr>
              <w:pStyle w:val="6"/>
              <w:spacing w:before="37" w:line="232" w:lineRule="auto"/>
              <w:ind w:left="269" w:right="155" w:hanging="107"/>
            </w:pPr>
            <w:r>
              <w:rPr>
                <w:b/>
                <w:bCs/>
                <w:spacing w:val="3"/>
              </w:rPr>
              <w:t>标准</w:t>
            </w:r>
            <w:r>
              <w:rPr>
                <w:b/>
                <w:bCs/>
                <w:spacing w:val="-3"/>
              </w:rPr>
              <w:t>分</w:t>
            </w:r>
          </w:p>
        </w:tc>
        <w:tc>
          <w:tcPr>
            <w:tcW w:w="4562" w:type="dxa"/>
            <w:vAlign w:val="top"/>
          </w:tcPr>
          <w:p w14:paraId="63B1FDF8">
            <w:pPr>
              <w:pStyle w:val="6"/>
              <w:spacing w:before="171" w:line="228" w:lineRule="auto"/>
              <w:ind w:left="1862"/>
            </w:pPr>
            <w:r>
              <w:rPr>
                <w:b/>
                <w:bCs/>
                <w:spacing w:val="6"/>
              </w:rPr>
              <w:t>评分标准</w:t>
            </w:r>
          </w:p>
        </w:tc>
      </w:tr>
      <w:tr w14:paraId="72F091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5" w:hRule="atLeast"/>
        </w:trPr>
        <w:tc>
          <w:tcPr>
            <w:tcW w:w="745" w:type="dxa"/>
            <w:vAlign w:val="top"/>
          </w:tcPr>
          <w:p w14:paraId="4D48BA5D">
            <w:pPr>
              <w:rPr>
                <w:rFonts w:ascii="Arial"/>
                <w:sz w:val="21"/>
              </w:rPr>
            </w:pPr>
          </w:p>
        </w:tc>
        <w:tc>
          <w:tcPr>
            <w:tcW w:w="1058" w:type="dxa"/>
            <w:vAlign w:val="top"/>
          </w:tcPr>
          <w:p w14:paraId="0EBE71F1">
            <w:pPr>
              <w:rPr>
                <w:rFonts w:ascii="Arial"/>
                <w:sz w:val="21"/>
              </w:rPr>
            </w:pPr>
          </w:p>
        </w:tc>
        <w:tc>
          <w:tcPr>
            <w:tcW w:w="2084" w:type="dxa"/>
            <w:vAlign w:val="top"/>
          </w:tcPr>
          <w:p w14:paraId="602FE8A9">
            <w:pPr>
              <w:spacing w:line="312" w:lineRule="auto"/>
              <w:rPr>
                <w:rFonts w:ascii="Arial"/>
                <w:sz w:val="21"/>
              </w:rPr>
            </w:pPr>
          </w:p>
          <w:p w14:paraId="67D29CFB">
            <w:pPr>
              <w:spacing w:line="313" w:lineRule="auto"/>
              <w:rPr>
                <w:rFonts w:ascii="Arial"/>
                <w:sz w:val="21"/>
              </w:rPr>
            </w:pPr>
          </w:p>
          <w:p w14:paraId="716BDF65">
            <w:pPr>
              <w:pStyle w:val="6"/>
              <w:spacing w:before="65" w:line="226" w:lineRule="auto"/>
              <w:ind w:left="112"/>
            </w:pPr>
            <w:r>
              <w:rPr>
                <w:spacing w:val="8"/>
              </w:rPr>
              <w:t>计算投标报价得分</w:t>
            </w:r>
          </w:p>
        </w:tc>
        <w:tc>
          <w:tcPr>
            <w:tcW w:w="735" w:type="dxa"/>
            <w:gridSpan w:val="2"/>
            <w:vAlign w:val="top"/>
          </w:tcPr>
          <w:p w14:paraId="38BDF6EE">
            <w:pPr>
              <w:spacing w:line="312" w:lineRule="auto"/>
              <w:rPr>
                <w:rFonts w:ascii="Arial"/>
                <w:sz w:val="21"/>
              </w:rPr>
            </w:pPr>
          </w:p>
          <w:p w14:paraId="6753DF7B">
            <w:pPr>
              <w:spacing w:line="313" w:lineRule="auto"/>
              <w:rPr>
                <w:rFonts w:ascii="Arial"/>
                <w:sz w:val="21"/>
              </w:rPr>
            </w:pPr>
          </w:p>
          <w:p w14:paraId="090B62C8">
            <w:pPr>
              <w:pStyle w:val="6"/>
              <w:spacing w:before="65" w:line="228" w:lineRule="auto"/>
              <w:ind w:left="136"/>
            </w:pPr>
            <w:r>
              <w:t>85</w:t>
            </w:r>
            <w:r>
              <w:rPr>
                <w:spacing w:val="-36"/>
              </w:rPr>
              <w:t xml:space="preserve"> </w:t>
            </w:r>
            <w:r>
              <w:t>分</w:t>
            </w:r>
          </w:p>
        </w:tc>
        <w:tc>
          <w:tcPr>
            <w:tcW w:w="4562" w:type="dxa"/>
            <w:vAlign w:val="top"/>
          </w:tcPr>
          <w:p w14:paraId="49DE55E2">
            <w:pPr>
              <w:pStyle w:val="6"/>
              <w:spacing w:before="149" w:line="251" w:lineRule="auto"/>
              <w:ind w:left="115" w:right="148" w:hanging="5"/>
            </w:pPr>
            <w:r>
              <w:rPr>
                <w:spacing w:val="7"/>
              </w:rPr>
              <w:t>F＝85-（投标人评标价-评标基准价）</w:t>
            </w:r>
            <w:r>
              <w:rPr>
                <w:spacing w:val="-60"/>
              </w:rPr>
              <w:t xml:space="preserve"> </w:t>
            </w:r>
            <w:r>
              <w:rPr>
                <w:spacing w:val="6"/>
              </w:rPr>
              <w:t>÷评标基</w:t>
            </w:r>
            <w:r>
              <w:rPr>
                <w:spacing w:val="7"/>
              </w:rPr>
              <w:t>准价×100×3   （评标价＞基准价时）</w:t>
            </w:r>
          </w:p>
          <w:p w14:paraId="0648F231">
            <w:pPr>
              <w:pStyle w:val="6"/>
              <w:spacing w:line="251" w:lineRule="auto"/>
              <w:ind w:left="115" w:right="148" w:hanging="5"/>
            </w:pPr>
            <w:r>
              <w:rPr>
                <w:spacing w:val="6"/>
              </w:rPr>
              <w:t>F＝85-（评标基准价-投标人评标价）</w:t>
            </w:r>
            <w:r>
              <w:rPr>
                <w:spacing w:val="-41"/>
              </w:rPr>
              <w:t xml:space="preserve"> </w:t>
            </w:r>
            <w:r>
              <w:rPr>
                <w:spacing w:val="6"/>
              </w:rPr>
              <w:t>÷评标基</w:t>
            </w:r>
            <w:r>
              <w:rPr>
                <w:spacing w:val="7"/>
              </w:rPr>
              <w:t>准价×100×2   （评标价≤基准价时）</w:t>
            </w:r>
          </w:p>
          <w:p w14:paraId="1F58410F">
            <w:pPr>
              <w:pStyle w:val="6"/>
              <w:spacing w:line="228" w:lineRule="auto"/>
              <w:ind w:left="114"/>
            </w:pPr>
            <w:r>
              <w:rPr>
                <w:spacing w:val="5"/>
              </w:rPr>
              <w:t>其中：</w:t>
            </w:r>
            <w:r>
              <w:rPr>
                <w:rFonts w:ascii="Times New Roman" w:hAnsi="Times New Roman" w:eastAsia="Times New Roman" w:cs="Times New Roman"/>
                <w:spacing w:val="5"/>
              </w:rPr>
              <w:t>F</w:t>
            </w:r>
            <w:r>
              <w:rPr>
                <w:spacing w:val="5"/>
              </w:rPr>
              <w:t>≥</w:t>
            </w:r>
            <w:r>
              <w:rPr>
                <w:rFonts w:ascii="Times New Roman" w:hAnsi="Times New Roman" w:eastAsia="Times New Roman" w:cs="Times New Roman"/>
                <w:spacing w:val="5"/>
              </w:rPr>
              <w:t>0</w:t>
            </w:r>
            <w:r>
              <w:rPr>
                <w:spacing w:val="5"/>
              </w:rPr>
              <w:t>。</w:t>
            </w:r>
          </w:p>
        </w:tc>
      </w:tr>
    </w:tbl>
    <w:p w14:paraId="61CB0A5D">
      <w:pPr>
        <w:rPr>
          <w:rFonts w:ascii="Arial"/>
          <w:sz w:val="21"/>
        </w:rPr>
      </w:pPr>
    </w:p>
    <w:p w14:paraId="6F65D55C">
      <w:pPr>
        <w:rPr>
          <w:rFonts w:ascii="Arial" w:hAnsi="Arial" w:eastAsia="Arial" w:cs="Arial"/>
          <w:sz w:val="21"/>
          <w:szCs w:val="21"/>
        </w:rPr>
        <w:sectPr>
          <w:footerReference r:id="rId87" w:type="default"/>
          <w:pgSz w:w="11907" w:h="16840"/>
          <w:pgMar w:top="400" w:right="1248" w:bottom="1035" w:left="1469" w:header="0" w:footer="785" w:gutter="0"/>
          <w:cols w:space="720" w:num="1"/>
        </w:sectPr>
      </w:pPr>
    </w:p>
    <w:p w14:paraId="25F4DAB7">
      <w:pPr>
        <w:spacing w:before="19"/>
      </w:pPr>
    </w:p>
    <w:p w14:paraId="490A4CFB">
      <w:pPr>
        <w:spacing w:before="19"/>
      </w:pPr>
    </w:p>
    <w:p w14:paraId="59D27673">
      <w:pPr>
        <w:spacing w:before="19"/>
      </w:pPr>
    </w:p>
    <w:p w14:paraId="19F85726">
      <w:pPr>
        <w:spacing w:before="18"/>
      </w:pPr>
    </w:p>
    <w:p w14:paraId="46FA1792">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318"/>
        <w:gridCol w:w="766"/>
        <w:gridCol w:w="735"/>
        <w:gridCol w:w="4562"/>
      </w:tblGrid>
      <w:tr w14:paraId="67D74F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8" w:hRule="atLeast"/>
        </w:trPr>
        <w:tc>
          <w:tcPr>
            <w:tcW w:w="745" w:type="dxa"/>
            <w:vMerge w:val="restart"/>
            <w:tcBorders>
              <w:bottom w:val="nil"/>
            </w:tcBorders>
            <w:vAlign w:val="top"/>
          </w:tcPr>
          <w:p w14:paraId="53EAE2C1">
            <w:pPr>
              <w:spacing w:line="277" w:lineRule="auto"/>
              <w:rPr>
                <w:rFonts w:ascii="Arial"/>
                <w:sz w:val="21"/>
              </w:rPr>
            </w:pPr>
          </w:p>
          <w:p w14:paraId="02D84FBC">
            <w:pPr>
              <w:spacing w:line="278" w:lineRule="auto"/>
              <w:rPr>
                <w:rFonts w:ascii="Arial"/>
                <w:sz w:val="21"/>
              </w:rPr>
            </w:pPr>
          </w:p>
          <w:p w14:paraId="1111D820">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6535D56B">
            <w:pPr>
              <w:pStyle w:val="6"/>
              <w:spacing w:before="197"/>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5363EE73">
            <w:pPr>
              <w:spacing w:line="256" w:lineRule="auto"/>
              <w:rPr>
                <w:rFonts w:ascii="Arial"/>
                <w:sz w:val="21"/>
              </w:rPr>
            </w:pPr>
          </w:p>
          <w:p w14:paraId="79C7655B">
            <w:pPr>
              <w:spacing w:line="256" w:lineRule="auto"/>
              <w:rPr>
                <w:rFonts w:ascii="Arial"/>
                <w:sz w:val="21"/>
              </w:rPr>
            </w:pPr>
          </w:p>
          <w:p w14:paraId="6A3AFD2B">
            <w:pPr>
              <w:pStyle w:val="6"/>
              <w:spacing w:before="65" w:line="254" w:lineRule="auto"/>
              <w:ind w:left="111" w:right="111" w:firstLine="3"/>
            </w:pPr>
            <w:r>
              <w:rPr>
                <w:spacing w:val="6"/>
              </w:rPr>
              <w:t>投标报价</w:t>
            </w:r>
            <w:r>
              <w:rPr>
                <w:spacing w:val="7"/>
              </w:rPr>
              <w:t>评分标准</w:t>
            </w:r>
          </w:p>
        </w:tc>
        <w:tc>
          <w:tcPr>
            <w:tcW w:w="2084" w:type="dxa"/>
            <w:gridSpan w:val="2"/>
            <w:vAlign w:val="top"/>
          </w:tcPr>
          <w:p w14:paraId="05DDC3CA">
            <w:pPr>
              <w:spacing w:line="265" w:lineRule="auto"/>
              <w:rPr>
                <w:rFonts w:ascii="Arial"/>
                <w:sz w:val="21"/>
              </w:rPr>
            </w:pPr>
          </w:p>
          <w:p w14:paraId="7F15164B">
            <w:pPr>
              <w:spacing w:line="266" w:lineRule="auto"/>
              <w:rPr>
                <w:rFonts w:ascii="Arial"/>
                <w:sz w:val="21"/>
              </w:rPr>
            </w:pPr>
          </w:p>
          <w:p w14:paraId="302D272E">
            <w:pPr>
              <w:spacing w:line="266" w:lineRule="auto"/>
              <w:rPr>
                <w:rFonts w:ascii="Arial"/>
                <w:sz w:val="21"/>
              </w:rPr>
            </w:pPr>
          </w:p>
          <w:p w14:paraId="7F53C13D">
            <w:pPr>
              <w:spacing w:line="266" w:lineRule="auto"/>
              <w:rPr>
                <w:rFonts w:ascii="Arial"/>
                <w:sz w:val="21"/>
              </w:rPr>
            </w:pPr>
          </w:p>
          <w:p w14:paraId="7D78BC4C">
            <w:pPr>
              <w:spacing w:line="266" w:lineRule="auto"/>
              <w:rPr>
                <w:rFonts w:ascii="Arial"/>
                <w:sz w:val="21"/>
              </w:rPr>
            </w:pPr>
          </w:p>
          <w:p w14:paraId="7522D5DE">
            <w:pPr>
              <w:spacing w:line="266" w:lineRule="auto"/>
              <w:rPr>
                <w:rFonts w:ascii="Arial"/>
                <w:sz w:val="21"/>
              </w:rPr>
            </w:pPr>
          </w:p>
          <w:p w14:paraId="6267AE2B">
            <w:pPr>
              <w:pStyle w:val="6"/>
              <w:spacing w:before="65" w:line="226" w:lineRule="auto"/>
              <w:ind w:left="115"/>
            </w:pPr>
            <w:r>
              <w:rPr>
                <w:spacing w:val="8"/>
              </w:rPr>
              <w:t>不平衡报价扣分</w:t>
            </w:r>
          </w:p>
        </w:tc>
        <w:tc>
          <w:tcPr>
            <w:tcW w:w="735" w:type="dxa"/>
            <w:vAlign w:val="top"/>
          </w:tcPr>
          <w:p w14:paraId="65745D5A">
            <w:pPr>
              <w:rPr>
                <w:rFonts w:ascii="Arial"/>
                <w:sz w:val="21"/>
              </w:rPr>
            </w:pPr>
          </w:p>
        </w:tc>
        <w:tc>
          <w:tcPr>
            <w:tcW w:w="4562" w:type="dxa"/>
            <w:vAlign w:val="top"/>
          </w:tcPr>
          <w:p w14:paraId="219B142D">
            <w:pPr>
              <w:pStyle w:val="6"/>
              <w:spacing w:before="36" w:line="251" w:lineRule="auto"/>
              <w:ind w:left="112" w:right="107" w:firstLine="28"/>
              <w:jc w:val="both"/>
            </w:pPr>
            <w:r>
              <w:rPr>
                <w:spacing w:val="7"/>
              </w:rPr>
              <w:t>〔单位工程投标报价-（暂列金额+税金）-（专</w:t>
            </w:r>
            <w:r>
              <w:rPr>
                <w:spacing w:val="-1"/>
              </w:rPr>
              <w:t>业工程暂估价+税金）〕低于（不含）〔单位工程</w:t>
            </w:r>
            <w:r>
              <w:rPr>
                <w:spacing w:val="9"/>
              </w:rPr>
              <w:t>招标控制价-（暂列金额+税金）-（专业</w:t>
            </w:r>
            <w:r>
              <w:rPr>
                <w:spacing w:val="8"/>
              </w:rPr>
              <w:t>工程暂</w:t>
            </w:r>
            <w:r>
              <w:rPr>
                <w:spacing w:val="-1"/>
              </w:rPr>
              <w:t>估价+税金）〕</w:t>
            </w:r>
            <w:r>
              <w:rPr>
                <w:spacing w:val="-1"/>
                <w:u w:val="single" w:color="auto"/>
              </w:rPr>
              <w:t xml:space="preserve">   H%</w:t>
            </w:r>
            <w:r>
              <w:rPr>
                <w:spacing w:val="8"/>
                <w:u w:val="single" w:color="auto"/>
              </w:rPr>
              <w:t xml:space="preserve">    </w:t>
            </w:r>
            <w:r>
              <w:rPr>
                <w:spacing w:val="-74"/>
              </w:rPr>
              <w:t xml:space="preserve"> </w:t>
            </w:r>
            <w:r>
              <w:rPr>
                <w:spacing w:val="-1"/>
              </w:rPr>
              <w:t>的,视为不平衡报价，每</w:t>
            </w:r>
            <w:r>
              <w:rPr>
                <w:spacing w:val="7"/>
              </w:rPr>
              <w:t>发现一项，扣</w:t>
            </w:r>
            <w:r>
              <w:rPr>
                <w:spacing w:val="-32"/>
              </w:rPr>
              <w:t xml:space="preserve"> </w:t>
            </w:r>
            <w:r>
              <w:rPr>
                <w:spacing w:val="7"/>
              </w:rPr>
              <w:t>5</w:t>
            </w:r>
            <w:r>
              <w:rPr>
                <w:spacing w:val="-36"/>
              </w:rPr>
              <w:t xml:space="preserve"> </w:t>
            </w:r>
            <w:r>
              <w:rPr>
                <w:spacing w:val="7"/>
              </w:rPr>
              <w:t>分，该项计分公式为：</w:t>
            </w:r>
          </w:p>
          <w:p w14:paraId="2A51FC8F">
            <w:pPr>
              <w:pStyle w:val="6"/>
              <w:spacing w:line="265" w:lineRule="exact"/>
              <w:ind w:left="424"/>
              <w:rPr>
                <w:sz w:val="10"/>
                <w:szCs w:val="10"/>
              </w:rPr>
            </w:pPr>
            <w:r>
              <w:rPr>
                <w:spacing w:val="-2"/>
                <w:position w:val="2"/>
              </w:rPr>
              <w:t>K</w:t>
            </w:r>
            <w:r>
              <w:rPr>
                <w:spacing w:val="19"/>
                <w:position w:val="2"/>
              </w:rPr>
              <w:t xml:space="preserve"> </w:t>
            </w:r>
            <w:r>
              <w:rPr>
                <w:spacing w:val="-2"/>
                <w:position w:val="2"/>
              </w:rPr>
              <w:t>=k</w:t>
            </w:r>
            <w:r>
              <w:rPr>
                <w:spacing w:val="-2"/>
                <w:sz w:val="10"/>
                <w:szCs w:val="10"/>
              </w:rPr>
              <w:t>1</w:t>
            </w:r>
            <w:r>
              <w:rPr>
                <w:spacing w:val="7"/>
                <w:sz w:val="10"/>
                <w:szCs w:val="10"/>
              </w:rPr>
              <w:t xml:space="preserve">  </w:t>
            </w:r>
            <w:r>
              <w:rPr>
                <w:spacing w:val="-2"/>
                <w:position w:val="2"/>
              </w:rPr>
              <w:t>+</w:t>
            </w:r>
            <w:r>
              <w:rPr>
                <w:spacing w:val="11"/>
                <w:position w:val="2"/>
              </w:rPr>
              <w:t xml:space="preserve"> </w:t>
            </w:r>
            <w:r>
              <w:rPr>
                <w:spacing w:val="-2"/>
                <w:position w:val="2"/>
              </w:rPr>
              <w:t>k</w:t>
            </w:r>
            <w:r>
              <w:rPr>
                <w:spacing w:val="-2"/>
                <w:sz w:val="10"/>
                <w:szCs w:val="10"/>
              </w:rPr>
              <w:t>2</w:t>
            </w:r>
            <w:r>
              <w:rPr>
                <w:spacing w:val="12"/>
                <w:sz w:val="10"/>
                <w:szCs w:val="10"/>
              </w:rPr>
              <w:t xml:space="preserve"> </w:t>
            </w:r>
            <w:r>
              <w:rPr>
                <w:spacing w:val="-2"/>
                <w:position w:val="2"/>
              </w:rPr>
              <w:t>+</w:t>
            </w:r>
            <w:r>
              <w:rPr>
                <w:spacing w:val="26"/>
                <w:position w:val="2"/>
              </w:rPr>
              <w:t xml:space="preserve"> </w:t>
            </w:r>
            <w:r>
              <w:rPr>
                <w:spacing w:val="-2"/>
                <w:position w:val="2"/>
              </w:rPr>
              <w:t>…</w:t>
            </w:r>
            <w:r>
              <w:rPr>
                <w:spacing w:val="16"/>
                <w:position w:val="2"/>
              </w:rPr>
              <w:t xml:space="preserve"> </w:t>
            </w:r>
            <w:r>
              <w:rPr>
                <w:spacing w:val="-2"/>
                <w:position w:val="2"/>
              </w:rPr>
              <w:t>+</w:t>
            </w:r>
            <w:r>
              <w:rPr>
                <w:spacing w:val="11"/>
                <w:position w:val="2"/>
              </w:rPr>
              <w:t xml:space="preserve"> </w:t>
            </w:r>
            <w:r>
              <w:rPr>
                <w:spacing w:val="-2"/>
                <w:position w:val="2"/>
              </w:rPr>
              <w:t>k</w:t>
            </w:r>
            <w:r>
              <w:rPr>
                <w:spacing w:val="-2"/>
                <w:sz w:val="10"/>
                <w:szCs w:val="10"/>
              </w:rPr>
              <w:t>n</w:t>
            </w:r>
          </w:p>
          <w:p w14:paraId="21CBF1DB">
            <w:pPr>
              <w:pStyle w:val="6"/>
              <w:spacing w:before="8" w:line="228" w:lineRule="auto"/>
              <w:ind w:left="428"/>
            </w:pPr>
            <w:r>
              <w:rPr>
                <w:spacing w:val="5"/>
              </w:rPr>
              <w:t>其中:K</w:t>
            </w:r>
            <w:r>
              <w:rPr>
                <w:spacing w:val="-28"/>
              </w:rPr>
              <w:t xml:space="preserve"> </w:t>
            </w:r>
            <w:r>
              <w:rPr>
                <w:spacing w:val="5"/>
              </w:rPr>
              <w:t>为扣分合计；</w:t>
            </w:r>
          </w:p>
          <w:p w14:paraId="07C56F5C">
            <w:pPr>
              <w:pStyle w:val="6"/>
              <w:spacing w:before="25" w:line="228" w:lineRule="auto"/>
              <w:ind w:left="951"/>
            </w:pPr>
            <w:r>
              <w:rPr>
                <w:spacing w:val="6"/>
              </w:rPr>
              <w:t>k</w:t>
            </w:r>
            <w:r>
              <w:rPr>
                <w:spacing w:val="-35"/>
              </w:rPr>
              <w:t xml:space="preserve"> </w:t>
            </w:r>
            <w:r>
              <w:rPr>
                <w:spacing w:val="6"/>
              </w:rPr>
              <w:t>为单次扣分分值；</w:t>
            </w:r>
          </w:p>
          <w:p w14:paraId="44B730AB">
            <w:pPr>
              <w:pStyle w:val="6"/>
              <w:spacing w:before="24" w:line="228" w:lineRule="auto"/>
              <w:ind w:left="951"/>
            </w:pPr>
            <w:r>
              <w:rPr>
                <w:spacing w:val="5"/>
              </w:rPr>
              <w:t>n</w:t>
            </w:r>
            <w:r>
              <w:rPr>
                <w:spacing w:val="-36"/>
              </w:rPr>
              <w:t xml:space="preserve"> </w:t>
            </w:r>
            <w:r>
              <w:rPr>
                <w:spacing w:val="5"/>
              </w:rPr>
              <w:t>为扣分次数；</w:t>
            </w:r>
          </w:p>
          <w:p w14:paraId="623C01B6">
            <w:pPr>
              <w:pStyle w:val="6"/>
              <w:spacing w:before="28" w:line="250" w:lineRule="auto"/>
              <w:ind w:left="120" w:right="148" w:firstLine="827"/>
            </w:pPr>
            <w:r>
              <w:rPr>
                <w:spacing w:val="6"/>
              </w:rPr>
              <w:t>H</w:t>
            </w:r>
            <w:r>
              <w:rPr>
                <w:spacing w:val="-23"/>
              </w:rPr>
              <w:t xml:space="preserve"> </w:t>
            </w:r>
            <w:r>
              <w:rPr>
                <w:spacing w:val="6"/>
              </w:rPr>
              <w:t>为不平衡报价系数。H</w:t>
            </w:r>
            <w:r>
              <w:rPr>
                <w:spacing w:val="-20"/>
              </w:rPr>
              <w:t xml:space="preserve"> </w:t>
            </w:r>
            <w:r>
              <w:rPr>
                <w:spacing w:val="6"/>
              </w:rPr>
              <w:t>的取值见第二</w:t>
            </w:r>
            <w:r>
              <w:rPr>
                <w:spacing w:val="4"/>
              </w:rPr>
              <w:t>章投标人须知前附表第</w:t>
            </w:r>
            <w:r>
              <w:rPr>
                <w:spacing w:val="-14"/>
              </w:rPr>
              <w:t xml:space="preserve"> </w:t>
            </w:r>
            <w:r>
              <w:rPr>
                <w:rFonts w:ascii="Times New Roman" w:hAnsi="Times New Roman" w:eastAsia="Times New Roman" w:cs="Times New Roman"/>
                <w:spacing w:val="4"/>
              </w:rPr>
              <w:t>10.2.2</w:t>
            </w:r>
            <w:r>
              <w:rPr>
                <w:rFonts w:ascii="Times New Roman" w:hAnsi="Times New Roman" w:eastAsia="Times New Roman" w:cs="Times New Roman"/>
                <w:spacing w:val="15"/>
                <w:w w:val="101"/>
              </w:rPr>
              <w:t xml:space="preserve"> </w:t>
            </w:r>
            <w:r>
              <w:rPr>
                <w:spacing w:val="4"/>
              </w:rPr>
              <w:t>项。</w:t>
            </w:r>
          </w:p>
          <w:p w14:paraId="50465A27">
            <w:pPr>
              <w:pStyle w:val="6"/>
              <w:spacing w:line="234" w:lineRule="auto"/>
              <w:ind w:left="130" w:right="109" w:hanging="15"/>
            </w:pPr>
            <w:r>
              <w:rPr>
                <w:spacing w:val="6"/>
              </w:rPr>
              <w:t>单位工程投标报价如有算术错误修正，以修正后的单位工程投标报价计算。</w:t>
            </w:r>
          </w:p>
        </w:tc>
      </w:tr>
      <w:tr w14:paraId="06280E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45" w:type="dxa"/>
            <w:vMerge w:val="continue"/>
            <w:tcBorders>
              <w:top w:val="nil"/>
              <w:bottom w:val="nil"/>
            </w:tcBorders>
            <w:vAlign w:val="top"/>
          </w:tcPr>
          <w:p w14:paraId="62C8DA50">
            <w:pPr>
              <w:rPr>
                <w:rFonts w:ascii="Arial"/>
                <w:sz w:val="21"/>
              </w:rPr>
            </w:pPr>
          </w:p>
        </w:tc>
        <w:tc>
          <w:tcPr>
            <w:tcW w:w="1058" w:type="dxa"/>
            <w:vMerge w:val="continue"/>
            <w:tcBorders>
              <w:top w:val="nil"/>
              <w:bottom w:val="nil"/>
            </w:tcBorders>
            <w:vAlign w:val="top"/>
          </w:tcPr>
          <w:p w14:paraId="688D90A2">
            <w:pPr>
              <w:rPr>
                <w:rFonts w:ascii="Arial"/>
                <w:sz w:val="21"/>
              </w:rPr>
            </w:pPr>
          </w:p>
        </w:tc>
        <w:tc>
          <w:tcPr>
            <w:tcW w:w="2084" w:type="dxa"/>
            <w:gridSpan w:val="2"/>
            <w:vAlign w:val="top"/>
          </w:tcPr>
          <w:p w14:paraId="01BC6DD9">
            <w:pPr>
              <w:pStyle w:val="6"/>
              <w:spacing w:before="135" w:line="226" w:lineRule="auto"/>
              <w:ind w:left="115"/>
            </w:pPr>
            <w:r>
              <w:rPr>
                <w:spacing w:val="7"/>
              </w:rPr>
              <w:t>投标报价得分</w:t>
            </w:r>
          </w:p>
        </w:tc>
        <w:tc>
          <w:tcPr>
            <w:tcW w:w="735" w:type="dxa"/>
            <w:vAlign w:val="top"/>
          </w:tcPr>
          <w:p w14:paraId="28984361">
            <w:pPr>
              <w:rPr>
                <w:rFonts w:ascii="Arial"/>
                <w:sz w:val="21"/>
              </w:rPr>
            </w:pPr>
          </w:p>
        </w:tc>
        <w:tc>
          <w:tcPr>
            <w:tcW w:w="4562" w:type="dxa"/>
            <w:vAlign w:val="top"/>
          </w:tcPr>
          <w:p w14:paraId="19A1A19A">
            <w:pPr>
              <w:pStyle w:val="6"/>
              <w:spacing w:before="97" w:line="281" w:lineRule="exact"/>
              <w:ind w:left="108"/>
            </w:pPr>
            <w:r>
              <w:rPr>
                <w:rFonts w:ascii="Times New Roman" w:hAnsi="Times New Roman" w:eastAsia="Times New Roman" w:cs="Times New Roman"/>
                <w:spacing w:val="5"/>
                <w:position w:val="1"/>
              </w:rPr>
              <w:t>M = F – K</w:t>
            </w:r>
            <w:r>
              <w:rPr>
                <w:rFonts w:ascii="Times New Roman" w:hAnsi="Times New Roman" w:eastAsia="Times New Roman" w:cs="Times New Roman"/>
                <w:spacing w:val="3"/>
                <w:position w:val="1"/>
              </w:rPr>
              <w:t xml:space="preserve">            </w:t>
            </w:r>
            <w:r>
              <w:rPr>
                <w:spacing w:val="5"/>
                <w:position w:val="1"/>
              </w:rPr>
              <w:t>其中：</w:t>
            </w:r>
            <w:r>
              <w:rPr>
                <w:rFonts w:ascii="Times New Roman" w:hAnsi="Times New Roman" w:eastAsia="Times New Roman" w:cs="Times New Roman"/>
                <w:spacing w:val="5"/>
                <w:position w:val="1"/>
              </w:rPr>
              <w:t>M</w:t>
            </w:r>
            <w:r>
              <w:rPr>
                <w:spacing w:val="5"/>
                <w:position w:val="1"/>
              </w:rPr>
              <w:t>≥</w:t>
            </w:r>
            <w:r>
              <w:rPr>
                <w:rFonts w:ascii="Times New Roman" w:hAnsi="Times New Roman" w:eastAsia="Times New Roman" w:cs="Times New Roman"/>
                <w:spacing w:val="5"/>
                <w:position w:val="1"/>
              </w:rPr>
              <w:t>0</w:t>
            </w:r>
            <w:r>
              <w:rPr>
                <w:spacing w:val="5"/>
                <w:position w:val="1"/>
              </w:rPr>
              <w:t>。</w:t>
            </w:r>
          </w:p>
        </w:tc>
      </w:tr>
      <w:tr w14:paraId="43CD2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3" w:hRule="atLeast"/>
        </w:trPr>
        <w:tc>
          <w:tcPr>
            <w:tcW w:w="745" w:type="dxa"/>
            <w:vMerge w:val="continue"/>
            <w:tcBorders>
              <w:top w:val="nil"/>
              <w:bottom w:val="nil"/>
            </w:tcBorders>
            <w:vAlign w:val="top"/>
          </w:tcPr>
          <w:p w14:paraId="020596F6">
            <w:pPr>
              <w:rPr>
                <w:rFonts w:ascii="Arial"/>
                <w:sz w:val="21"/>
              </w:rPr>
            </w:pPr>
          </w:p>
        </w:tc>
        <w:tc>
          <w:tcPr>
            <w:tcW w:w="1058" w:type="dxa"/>
            <w:vMerge w:val="continue"/>
            <w:tcBorders>
              <w:top w:val="nil"/>
              <w:bottom w:val="nil"/>
            </w:tcBorders>
            <w:vAlign w:val="top"/>
          </w:tcPr>
          <w:p w14:paraId="6E0C0941">
            <w:pPr>
              <w:rPr>
                <w:rFonts w:ascii="Arial"/>
                <w:sz w:val="21"/>
              </w:rPr>
            </w:pPr>
          </w:p>
        </w:tc>
        <w:tc>
          <w:tcPr>
            <w:tcW w:w="2084" w:type="dxa"/>
            <w:gridSpan w:val="2"/>
            <w:vAlign w:val="top"/>
          </w:tcPr>
          <w:p w14:paraId="751D013B">
            <w:pPr>
              <w:spacing w:line="251" w:lineRule="auto"/>
              <w:rPr>
                <w:rFonts w:ascii="Arial"/>
                <w:sz w:val="21"/>
              </w:rPr>
            </w:pPr>
          </w:p>
          <w:p w14:paraId="51C73BB3">
            <w:pPr>
              <w:spacing w:line="251" w:lineRule="auto"/>
              <w:rPr>
                <w:rFonts w:ascii="Arial"/>
                <w:sz w:val="21"/>
              </w:rPr>
            </w:pPr>
          </w:p>
          <w:p w14:paraId="3BD306F3">
            <w:pPr>
              <w:spacing w:line="251" w:lineRule="auto"/>
              <w:rPr>
                <w:rFonts w:ascii="Arial"/>
                <w:sz w:val="21"/>
              </w:rPr>
            </w:pPr>
          </w:p>
          <w:p w14:paraId="7456ED5A">
            <w:pPr>
              <w:spacing w:line="251" w:lineRule="auto"/>
              <w:rPr>
                <w:rFonts w:ascii="Arial"/>
                <w:sz w:val="21"/>
              </w:rPr>
            </w:pPr>
          </w:p>
          <w:p w14:paraId="612C9D1B">
            <w:pPr>
              <w:spacing w:line="251" w:lineRule="auto"/>
              <w:rPr>
                <w:rFonts w:ascii="Arial"/>
                <w:sz w:val="21"/>
              </w:rPr>
            </w:pPr>
          </w:p>
          <w:p w14:paraId="156B100C">
            <w:pPr>
              <w:spacing w:line="252" w:lineRule="auto"/>
              <w:rPr>
                <w:rFonts w:ascii="Arial"/>
                <w:sz w:val="21"/>
              </w:rPr>
            </w:pPr>
          </w:p>
          <w:p w14:paraId="7C20525A">
            <w:pPr>
              <w:spacing w:line="252" w:lineRule="auto"/>
              <w:rPr>
                <w:rFonts w:ascii="Arial"/>
                <w:sz w:val="21"/>
              </w:rPr>
            </w:pPr>
          </w:p>
          <w:p w14:paraId="5DF480A7">
            <w:pPr>
              <w:spacing w:line="252" w:lineRule="auto"/>
              <w:rPr>
                <w:rFonts w:ascii="Arial"/>
                <w:sz w:val="21"/>
              </w:rPr>
            </w:pPr>
          </w:p>
          <w:p w14:paraId="6EE922C1">
            <w:pPr>
              <w:spacing w:line="252" w:lineRule="auto"/>
              <w:rPr>
                <w:rFonts w:ascii="Arial"/>
                <w:sz w:val="21"/>
              </w:rPr>
            </w:pPr>
          </w:p>
          <w:p w14:paraId="2954F929">
            <w:pPr>
              <w:spacing w:line="252" w:lineRule="auto"/>
              <w:rPr>
                <w:rFonts w:ascii="Arial"/>
                <w:sz w:val="21"/>
              </w:rPr>
            </w:pPr>
          </w:p>
          <w:p w14:paraId="2B56FC45">
            <w:pPr>
              <w:spacing w:line="252" w:lineRule="auto"/>
              <w:rPr>
                <w:rFonts w:ascii="Arial"/>
                <w:sz w:val="21"/>
              </w:rPr>
            </w:pPr>
          </w:p>
          <w:p w14:paraId="666F1B37">
            <w:pPr>
              <w:spacing w:line="252" w:lineRule="auto"/>
              <w:rPr>
                <w:rFonts w:ascii="Arial"/>
                <w:sz w:val="21"/>
              </w:rPr>
            </w:pPr>
          </w:p>
          <w:p w14:paraId="6A33C5CA">
            <w:pPr>
              <w:spacing w:line="252" w:lineRule="auto"/>
              <w:rPr>
                <w:rFonts w:ascii="Arial"/>
                <w:sz w:val="21"/>
              </w:rPr>
            </w:pPr>
          </w:p>
          <w:p w14:paraId="7A7130DC">
            <w:pPr>
              <w:spacing w:line="252" w:lineRule="auto"/>
              <w:rPr>
                <w:rFonts w:ascii="Arial"/>
                <w:sz w:val="21"/>
              </w:rPr>
            </w:pPr>
          </w:p>
          <w:p w14:paraId="3284FB3E">
            <w:pPr>
              <w:spacing w:line="252" w:lineRule="auto"/>
              <w:rPr>
                <w:rFonts w:ascii="Arial"/>
                <w:sz w:val="21"/>
              </w:rPr>
            </w:pPr>
          </w:p>
          <w:p w14:paraId="194EB6D9">
            <w:pPr>
              <w:spacing w:line="252" w:lineRule="auto"/>
              <w:rPr>
                <w:rFonts w:ascii="Arial"/>
                <w:sz w:val="21"/>
              </w:rPr>
            </w:pPr>
          </w:p>
          <w:p w14:paraId="56DB265C">
            <w:pPr>
              <w:pStyle w:val="6"/>
              <w:spacing w:before="65" w:line="251" w:lineRule="auto"/>
              <w:ind w:left="112" w:right="716" w:hanging="1"/>
            </w:pPr>
            <w:r>
              <w:rPr>
                <w:spacing w:val="8"/>
              </w:rPr>
              <w:t>政府采购工程价格评审优惠</w:t>
            </w:r>
          </w:p>
        </w:tc>
        <w:tc>
          <w:tcPr>
            <w:tcW w:w="735" w:type="dxa"/>
            <w:vAlign w:val="top"/>
          </w:tcPr>
          <w:p w14:paraId="03DB6481">
            <w:pPr>
              <w:rPr>
                <w:rFonts w:ascii="Arial"/>
                <w:sz w:val="21"/>
              </w:rPr>
            </w:pPr>
          </w:p>
        </w:tc>
        <w:tc>
          <w:tcPr>
            <w:tcW w:w="4562" w:type="dxa"/>
            <w:vAlign w:val="top"/>
          </w:tcPr>
          <w:p w14:paraId="10DC0DB7">
            <w:pPr>
              <w:pStyle w:val="6"/>
              <w:spacing w:before="32" w:line="227" w:lineRule="auto"/>
              <w:ind w:left="112"/>
            </w:pPr>
            <w:r>
              <w:rPr>
                <w:spacing w:val="9"/>
              </w:rPr>
              <w:t>对项目未预留份额专门面向中小企业采购的</w:t>
            </w:r>
          </w:p>
          <w:p w14:paraId="1518CBF5">
            <w:pPr>
              <w:pStyle w:val="6"/>
              <w:spacing w:before="28" w:line="251"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p w14:paraId="08D35030">
            <w:pPr>
              <w:pStyle w:val="6"/>
              <w:spacing w:line="228" w:lineRule="auto"/>
              <w:ind w:left="549"/>
            </w:pPr>
            <w:r>
              <w:rPr>
                <w:spacing w:val="3"/>
              </w:rPr>
              <w:t>即</w:t>
            </w:r>
            <w:r>
              <w:rPr>
                <w:spacing w:val="-38"/>
              </w:rPr>
              <w:t xml:space="preserve"> </w:t>
            </w:r>
            <w:r>
              <w:rPr>
                <w:spacing w:val="3"/>
              </w:rPr>
              <w:t>S= M×（1+P%）</w:t>
            </w:r>
          </w:p>
          <w:p w14:paraId="6EA87BA8">
            <w:pPr>
              <w:pStyle w:val="6"/>
              <w:spacing w:before="23" w:line="252"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1D9AB833">
            <w:pPr>
              <w:pStyle w:val="6"/>
              <w:spacing w:before="2" w:line="253" w:lineRule="auto"/>
              <w:ind w:left="116" w:right="107" w:firstLine="420"/>
            </w:pPr>
            <w:r>
              <w:rPr>
                <w:spacing w:val="5"/>
              </w:rPr>
              <w:t>如招标人接受联合体，联合体各方均为小微</w:t>
            </w:r>
            <w:r>
              <w:rPr>
                <w:spacing w:val="8"/>
              </w:rPr>
              <w:t>企业的，联合体视同小微企业。</w:t>
            </w:r>
          </w:p>
          <w:p w14:paraId="2DFC1C10">
            <w:pPr>
              <w:pStyle w:val="6"/>
              <w:spacing w:before="263" w:line="246" w:lineRule="auto"/>
              <w:ind w:left="113" w:right="107" w:firstLine="2"/>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1381318B">
            <w:pPr>
              <w:pStyle w:val="6"/>
              <w:spacing w:line="281" w:lineRule="exact"/>
              <w:ind w:left="549"/>
            </w:pPr>
            <w:r>
              <w:rPr>
                <w:spacing w:val="3"/>
                <w:position w:val="2"/>
              </w:rPr>
              <w:t>即</w:t>
            </w:r>
            <w:r>
              <w:rPr>
                <w:spacing w:val="-36"/>
                <w:position w:val="2"/>
              </w:rPr>
              <w:t xml:space="preserve"> </w:t>
            </w:r>
            <w:r>
              <w:rPr>
                <w:spacing w:val="3"/>
                <w:position w:val="2"/>
              </w:rPr>
              <w:t>S</w:t>
            </w:r>
            <w:r>
              <w:rPr>
                <w:rFonts w:ascii="Times New Roman" w:hAnsi="Times New Roman" w:eastAsia="Times New Roman" w:cs="Times New Roman"/>
                <w:spacing w:val="3"/>
                <w:position w:val="2"/>
              </w:rPr>
              <w:t>= M</w:t>
            </w:r>
            <w:r>
              <w:rPr>
                <w:spacing w:val="3"/>
                <w:position w:val="2"/>
              </w:rPr>
              <w:t>×（1+Q%）</w:t>
            </w:r>
          </w:p>
          <w:p w14:paraId="4508EE33">
            <w:pPr>
              <w:pStyle w:val="6"/>
              <w:spacing w:before="29" w:line="252"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51EE883B">
            <w:pPr>
              <w:pStyle w:val="6"/>
              <w:spacing w:before="269" w:line="239" w:lineRule="auto"/>
              <w:ind w:left="113" w:right="107" w:firstLine="4"/>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r w14:paraId="6FB210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45" w:type="dxa"/>
            <w:vMerge w:val="continue"/>
            <w:tcBorders>
              <w:top w:val="nil"/>
            </w:tcBorders>
            <w:vAlign w:val="top"/>
          </w:tcPr>
          <w:p w14:paraId="624CD91B">
            <w:pPr>
              <w:rPr>
                <w:rFonts w:ascii="Arial"/>
                <w:sz w:val="21"/>
              </w:rPr>
            </w:pPr>
          </w:p>
        </w:tc>
        <w:tc>
          <w:tcPr>
            <w:tcW w:w="1058" w:type="dxa"/>
            <w:vMerge w:val="continue"/>
            <w:tcBorders>
              <w:top w:val="nil"/>
            </w:tcBorders>
            <w:vAlign w:val="top"/>
          </w:tcPr>
          <w:p w14:paraId="0F663C35">
            <w:pPr>
              <w:rPr>
                <w:rFonts w:ascii="Arial"/>
                <w:sz w:val="21"/>
              </w:rPr>
            </w:pPr>
          </w:p>
        </w:tc>
        <w:tc>
          <w:tcPr>
            <w:tcW w:w="2084" w:type="dxa"/>
            <w:gridSpan w:val="2"/>
            <w:vAlign w:val="top"/>
          </w:tcPr>
          <w:p w14:paraId="2C77B6A8">
            <w:pPr>
              <w:pStyle w:val="6"/>
              <w:spacing w:before="140" w:line="226" w:lineRule="auto"/>
              <w:ind w:left="115"/>
            </w:pPr>
            <w:r>
              <w:rPr>
                <w:spacing w:val="8"/>
              </w:rPr>
              <w:t>投标报价最终得分</w:t>
            </w:r>
          </w:p>
        </w:tc>
        <w:tc>
          <w:tcPr>
            <w:tcW w:w="735" w:type="dxa"/>
            <w:vAlign w:val="top"/>
          </w:tcPr>
          <w:p w14:paraId="03B9E3D3">
            <w:pPr>
              <w:rPr>
                <w:rFonts w:ascii="Arial"/>
                <w:sz w:val="21"/>
              </w:rPr>
            </w:pPr>
          </w:p>
        </w:tc>
        <w:tc>
          <w:tcPr>
            <w:tcW w:w="4562" w:type="dxa"/>
            <w:vAlign w:val="top"/>
          </w:tcPr>
          <w:p w14:paraId="51219EB6">
            <w:pPr>
              <w:pStyle w:val="6"/>
              <w:spacing w:before="102" w:line="281" w:lineRule="exact"/>
              <w:ind w:left="114"/>
            </w:pPr>
            <w:r>
              <w:rPr>
                <w:spacing w:val="5"/>
                <w:position w:val="1"/>
              </w:rPr>
              <w:t>S</w:t>
            </w:r>
            <w:r>
              <w:rPr>
                <w:rFonts w:ascii="Times New Roman" w:hAnsi="Times New Roman" w:eastAsia="Times New Roman" w:cs="Times New Roman"/>
                <w:spacing w:val="5"/>
                <w:position w:val="1"/>
              </w:rPr>
              <w:t>= M</w:t>
            </w:r>
            <w:r>
              <w:rPr>
                <w:spacing w:val="5"/>
                <w:position w:val="1"/>
              </w:rPr>
              <w:t>×（1+P%） 或</w:t>
            </w:r>
            <w:r>
              <w:rPr>
                <w:spacing w:val="-29"/>
                <w:position w:val="1"/>
              </w:rPr>
              <w:t xml:space="preserve"> </w:t>
            </w:r>
            <w:r>
              <w:rPr>
                <w:spacing w:val="5"/>
                <w:position w:val="1"/>
              </w:rPr>
              <w:t>S</w:t>
            </w:r>
            <w:r>
              <w:rPr>
                <w:rFonts w:ascii="Times New Roman" w:hAnsi="Times New Roman" w:eastAsia="Times New Roman" w:cs="Times New Roman"/>
                <w:spacing w:val="5"/>
                <w:position w:val="1"/>
              </w:rPr>
              <w:t>=</w:t>
            </w:r>
            <w:r>
              <w:rPr>
                <w:rFonts w:ascii="Times New Roman" w:hAnsi="Times New Roman" w:eastAsia="Times New Roman" w:cs="Times New Roman"/>
                <w:spacing w:val="6"/>
                <w:position w:val="1"/>
              </w:rPr>
              <w:t xml:space="preserve"> </w:t>
            </w:r>
            <w:r>
              <w:rPr>
                <w:rFonts w:ascii="Times New Roman" w:hAnsi="Times New Roman" w:eastAsia="Times New Roman" w:cs="Times New Roman"/>
                <w:spacing w:val="5"/>
                <w:position w:val="1"/>
              </w:rPr>
              <w:t>M</w:t>
            </w:r>
            <w:r>
              <w:rPr>
                <w:spacing w:val="5"/>
                <w:position w:val="1"/>
              </w:rPr>
              <w:t>×（1+Q%）</w:t>
            </w:r>
          </w:p>
        </w:tc>
      </w:tr>
      <w:tr w14:paraId="6DF26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6" w:hRule="atLeast"/>
        </w:trPr>
        <w:tc>
          <w:tcPr>
            <w:tcW w:w="745" w:type="dxa"/>
            <w:vAlign w:val="top"/>
          </w:tcPr>
          <w:p w14:paraId="1FAC49C8">
            <w:pPr>
              <w:rPr>
                <w:rFonts w:ascii="Arial"/>
                <w:sz w:val="21"/>
              </w:rPr>
            </w:pPr>
          </w:p>
        </w:tc>
        <w:tc>
          <w:tcPr>
            <w:tcW w:w="8439" w:type="dxa"/>
            <w:gridSpan w:val="5"/>
            <w:vAlign w:val="top"/>
          </w:tcPr>
          <w:p w14:paraId="780897BF">
            <w:pPr>
              <w:pStyle w:val="6"/>
              <w:spacing w:before="145" w:line="252"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r w14:paraId="0B4C5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45" w:type="dxa"/>
            <w:vAlign w:val="top"/>
          </w:tcPr>
          <w:p w14:paraId="0F1E13B3">
            <w:pPr>
              <w:spacing w:line="334" w:lineRule="auto"/>
              <w:rPr>
                <w:rFonts w:ascii="Arial"/>
                <w:sz w:val="21"/>
              </w:rPr>
            </w:pPr>
          </w:p>
          <w:p w14:paraId="0127C829">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tc>
        <w:tc>
          <w:tcPr>
            <w:tcW w:w="1058" w:type="dxa"/>
            <w:vAlign w:val="top"/>
          </w:tcPr>
          <w:p w14:paraId="02966288">
            <w:pPr>
              <w:pStyle w:val="6"/>
              <w:spacing w:before="36" w:line="228" w:lineRule="auto"/>
              <w:ind w:left="115"/>
            </w:pPr>
            <w:r>
              <w:rPr>
                <w:spacing w:val="6"/>
              </w:rPr>
              <w:t>项目管理</w:t>
            </w:r>
          </w:p>
          <w:p w14:paraId="42C5736E">
            <w:pPr>
              <w:pStyle w:val="6"/>
              <w:spacing w:before="23" w:line="234" w:lineRule="auto"/>
              <w:ind w:left="165" w:right="111" w:hanging="54"/>
            </w:pPr>
            <w:r>
              <w:rPr>
                <w:spacing w:val="7"/>
              </w:rPr>
              <w:t>机构评分</w:t>
            </w:r>
            <w:r>
              <w:t>标</w:t>
            </w:r>
            <w:r>
              <w:rPr>
                <w:spacing w:val="8"/>
              </w:rPr>
              <w:t xml:space="preserve">   </w:t>
            </w:r>
            <w:r>
              <w:t>准</w:t>
            </w:r>
          </w:p>
        </w:tc>
        <w:tc>
          <w:tcPr>
            <w:tcW w:w="1318" w:type="dxa"/>
            <w:vAlign w:val="top"/>
          </w:tcPr>
          <w:p w14:paraId="4666111B">
            <w:pPr>
              <w:pStyle w:val="6"/>
              <w:spacing w:before="173" w:line="228" w:lineRule="auto"/>
              <w:ind w:left="115"/>
            </w:pPr>
            <w:r>
              <w:rPr>
                <w:spacing w:val="6"/>
              </w:rPr>
              <w:t>项目经理</w:t>
            </w:r>
          </w:p>
          <w:p w14:paraId="0245AA08">
            <w:pPr>
              <w:pStyle w:val="6"/>
              <w:spacing w:before="23" w:line="228" w:lineRule="auto"/>
              <w:ind w:left="121"/>
            </w:pPr>
            <w:r>
              <w:rPr>
                <w:spacing w:val="6"/>
              </w:rPr>
              <w:t>资格与业绩</w:t>
            </w:r>
          </w:p>
        </w:tc>
        <w:tc>
          <w:tcPr>
            <w:tcW w:w="766" w:type="dxa"/>
            <w:vAlign w:val="top"/>
          </w:tcPr>
          <w:p w14:paraId="3C0F1EA2">
            <w:pPr>
              <w:spacing w:line="241" w:lineRule="auto"/>
              <w:rPr>
                <w:rFonts w:ascii="Arial"/>
                <w:sz w:val="21"/>
              </w:rPr>
            </w:pPr>
          </w:p>
          <w:p w14:paraId="3E3411C4">
            <w:pPr>
              <w:pStyle w:val="6"/>
              <w:spacing w:before="65" w:line="230" w:lineRule="auto"/>
              <w:ind w:left="115"/>
            </w:pPr>
            <w:r>
              <w:rPr>
                <w:spacing w:val="4"/>
              </w:rPr>
              <w:t>职称</w:t>
            </w:r>
          </w:p>
        </w:tc>
        <w:tc>
          <w:tcPr>
            <w:tcW w:w="735" w:type="dxa"/>
            <w:vAlign w:val="top"/>
          </w:tcPr>
          <w:p w14:paraId="234F34B5">
            <w:pPr>
              <w:spacing w:line="241" w:lineRule="auto"/>
              <w:rPr>
                <w:rFonts w:ascii="Arial"/>
                <w:sz w:val="21"/>
              </w:rPr>
            </w:pPr>
          </w:p>
          <w:p w14:paraId="7BD08A7A">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509A7067">
            <w:pPr>
              <w:pStyle w:val="6"/>
              <w:spacing w:before="36"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68018527">
            <w:pPr>
              <w:pStyle w:val="6"/>
              <w:spacing w:before="23" w:line="234"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bl>
    <w:p w14:paraId="1840AC60">
      <w:pPr>
        <w:rPr>
          <w:rFonts w:ascii="Arial"/>
          <w:sz w:val="21"/>
        </w:rPr>
      </w:pPr>
    </w:p>
    <w:p w14:paraId="046A172A">
      <w:pPr>
        <w:rPr>
          <w:rFonts w:ascii="Arial" w:hAnsi="Arial" w:eastAsia="Arial" w:cs="Arial"/>
          <w:sz w:val="21"/>
          <w:szCs w:val="21"/>
        </w:rPr>
        <w:sectPr>
          <w:footerReference r:id="rId88" w:type="default"/>
          <w:pgSz w:w="11907" w:h="16840"/>
          <w:pgMar w:top="400" w:right="1248" w:bottom="1035" w:left="1469" w:header="0" w:footer="785" w:gutter="0"/>
          <w:cols w:space="720" w:num="1"/>
        </w:sectPr>
      </w:pPr>
    </w:p>
    <w:p w14:paraId="004C398B">
      <w:pPr>
        <w:spacing w:before="19"/>
      </w:pPr>
    </w:p>
    <w:p w14:paraId="6F79B787">
      <w:pPr>
        <w:spacing w:before="19"/>
      </w:pPr>
    </w:p>
    <w:p w14:paraId="0352090D">
      <w:pPr>
        <w:spacing w:before="19"/>
      </w:pPr>
    </w:p>
    <w:p w14:paraId="58ED77FD">
      <w:pPr>
        <w:spacing w:before="18"/>
      </w:pPr>
    </w:p>
    <w:p w14:paraId="7424C7BE">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318"/>
        <w:gridCol w:w="766"/>
        <w:gridCol w:w="735"/>
        <w:gridCol w:w="4562"/>
      </w:tblGrid>
      <w:tr w14:paraId="4A41B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45" w:type="dxa"/>
            <w:vMerge w:val="restart"/>
            <w:tcBorders>
              <w:bottom w:val="nil"/>
            </w:tcBorders>
            <w:vAlign w:val="top"/>
          </w:tcPr>
          <w:p w14:paraId="65498BB0">
            <w:pPr>
              <w:pStyle w:val="6"/>
              <w:spacing w:before="160"/>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2E88D156">
            <w:pPr>
              <w:rPr>
                <w:rFonts w:ascii="Arial"/>
                <w:sz w:val="21"/>
              </w:rPr>
            </w:pPr>
          </w:p>
        </w:tc>
        <w:tc>
          <w:tcPr>
            <w:tcW w:w="1318" w:type="dxa"/>
            <w:vAlign w:val="top"/>
          </w:tcPr>
          <w:p w14:paraId="6A34321D">
            <w:pPr>
              <w:rPr>
                <w:rFonts w:ascii="Arial"/>
                <w:sz w:val="21"/>
              </w:rPr>
            </w:pPr>
          </w:p>
        </w:tc>
        <w:tc>
          <w:tcPr>
            <w:tcW w:w="766" w:type="dxa"/>
            <w:vAlign w:val="top"/>
          </w:tcPr>
          <w:p w14:paraId="7A12F172">
            <w:pPr>
              <w:pStyle w:val="6"/>
              <w:spacing w:before="35" w:line="228" w:lineRule="auto"/>
              <w:ind w:left="114"/>
            </w:pPr>
            <w:r>
              <w:rPr>
                <w:spacing w:val="4"/>
              </w:rPr>
              <w:t>类似</w:t>
            </w:r>
          </w:p>
          <w:p w14:paraId="0E227F72">
            <w:pPr>
              <w:pStyle w:val="6"/>
              <w:spacing w:before="27" w:line="228" w:lineRule="auto"/>
              <w:ind w:left="117"/>
            </w:pPr>
            <w:r>
              <w:rPr>
                <w:spacing w:val="3"/>
              </w:rPr>
              <w:t>项目</w:t>
            </w:r>
          </w:p>
          <w:p w14:paraId="1DE5464D">
            <w:pPr>
              <w:pStyle w:val="6"/>
              <w:spacing w:before="23" w:line="218" w:lineRule="auto"/>
              <w:ind w:left="113"/>
            </w:pPr>
            <w:r>
              <w:rPr>
                <w:spacing w:val="5"/>
              </w:rPr>
              <w:t>业绩</w:t>
            </w:r>
          </w:p>
        </w:tc>
        <w:tc>
          <w:tcPr>
            <w:tcW w:w="735" w:type="dxa"/>
            <w:vAlign w:val="top"/>
          </w:tcPr>
          <w:p w14:paraId="2D5F68FF">
            <w:pPr>
              <w:spacing w:line="242" w:lineRule="auto"/>
              <w:rPr>
                <w:rFonts w:ascii="Arial"/>
                <w:sz w:val="21"/>
              </w:rPr>
            </w:pPr>
          </w:p>
          <w:p w14:paraId="19402BCC">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79C3E30D">
            <w:pPr>
              <w:spacing w:line="242" w:lineRule="auto"/>
              <w:rPr>
                <w:rFonts w:ascii="Arial"/>
                <w:sz w:val="21"/>
              </w:rPr>
            </w:pPr>
          </w:p>
          <w:p w14:paraId="7B026346">
            <w:pPr>
              <w:pStyle w:val="6"/>
              <w:spacing w:before="65" w:line="228" w:lineRule="auto"/>
              <w:ind w:left="137"/>
            </w:pPr>
            <w:r>
              <w:rPr>
                <w:spacing w:val="3"/>
              </w:rPr>
              <w:t>以项目经理身份主持过</w:t>
            </w:r>
            <w:r>
              <w:rPr>
                <w:spacing w:val="-8"/>
              </w:rPr>
              <w:t xml:space="preserve"> </w:t>
            </w:r>
            <w:r>
              <w:rPr>
                <w:spacing w:val="3"/>
              </w:rPr>
              <w:t>1</w:t>
            </w:r>
            <w:r>
              <w:rPr>
                <w:spacing w:val="-38"/>
              </w:rPr>
              <w:t xml:space="preserve"> </w:t>
            </w:r>
            <w:r>
              <w:rPr>
                <w:spacing w:val="3"/>
              </w:rPr>
              <w:t>个类似项目</w:t>
            </w:r>
            <w:r>
              <w:rPr>
                <w:spacing w:val="10"/>
              </w:rPr>
              <w:t xml:space="preserve">    </w:t>
            </w:r>
            <w:r>
              <w:rPr>
                <w:spacing w:val="3"/>
              </w:rPr>
              <w:t>1</w:t>
            </w:r>
            <w:r>
              <w:rPr>
                <w:spacing w:val="-32"/>
              </w:rPr>
              <w:t xml:space="preserve"> </w:t>
            </w:r>
            <w:r>
              <w:rPr>
                <w:spacing w:val="3"/>
              </w:rPr>
              <w:t>分</w:t>
            </w:r>
          </w:p>
        </w:tc>
      </w:tr>
      <w:tr w14:paraId="76D8EB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1652BE6B">
            <w:pPr>
              <w:rPr>
                <w:rFonts w:ascii="Arial"/>
                <w:sz w:val="21"/>
              </w:rPr>
            </w:pPr>
          </w:p>
        </w:tc>
        <w:tc>
          <w:tcPr>
            <w:tcW w:w="1058" w:type="dxa"/>
            <w:vMerge w:val="continue"/>
            <w:tcBorders>
              <w:top w:val="nil"/>
              <w:bottom w:val="nil"/>
            </w:tcBorders>
            <w:vAlign w:val="top"/>
          </w:tcPr>
          <w:p w14:paraId="5BEE29BD">
            <w:pPr>
              <w:rPr>
                <w:rFonts w:ascii="Arial"/>
                <w:sz w:val="21"/>
              </w:rPr>
            </w:pPr>
          </w:p>
        </w:tc>
        <w:tc>
          <w:tcPr>
            <w:tcW w:w="1318" w:type="dxa"/>
            <w:vMerge w:val="restart"/>
            <w:tcBorders>
              <w:bottom w:val="nil"/>
            </w:tcBorders>
            <w:vAlign w:val="top"/>
          </w:tcPr>
          <w:p w14:paraId="0A069587">
            <w:pPr>
              <w:spacing w:line="243" w:lineRule="auto"/>
              <w:rPr>
                <w:rFonts w:ascii="Arial"/>
                <w:sz w:val="21"/>
              </w:rPr>
            </w:pPr>
          </w:p>
          <w:p w14:paraId="08899448">
            <w:pPr>
              <w:spacing w:line="243" w:lineRule="auto"/>
              <w:rPr>
                <w:rFonts w:ascii="Arial"/>
                <w:sz w:val="21"/>
              </w:rPr>
            </w:pPr>
          </w:p>
          <w:p w14:paraId="1E05EE06">
            <w:pPr>
              <w:spacing w:line="244" w:lineRule="auto"/>
              <w:rPr>
                <w:rFonts w:ascii="Arial"/>
                <w:sz w:val="21"/>
              </w:rPr>
            </w:pPr>
          </w:p>
          <w:p w14:paraId="33D802FF">
            <w:pPr>
              <w:pStyle w:val="6"/>
              <w:spacing w:before="65" w:line="254" w:lineRule="auto"/>
              <w:ind w:left="121" w:right="159" w:hanging="8"/>
            </w:pPr>
            <w:r>
              <w:rPr>
                <w:spacing w:val="7"/>
              </w:rPr>
              <w:t>技术负责人</w:t>
            </w:r>
            <w:r>
              <w:rPr>
                <w:spacing w:val="6"/>
              </w:rPr>
              <w:t>资格与业绩</w:t>
            </w:r>
          </w:p>
        </w:tc>
        <w:tc>
          <w:tcPr>
            <w:tcW w:w="766" w:type="dxa"/>
            <w:vAlign w:val="top"/>
          </w:tcPr>
          <w:p w14:paraId="0AA78989">
            <w:pPr>
              <w:pStyle w:val="6"/>
              <w:spacing w:before="303" w:line="230" w:lineRule="auto"/>
              <w:ind w:left="115"/>
            </w:pPr>
            <w:r>
              <w:rPr>
                <w:spacing w:val="4"/>
              </w:rPr>
              <w:t>职称</w:t>
            </w:r>
          </w:p>
        </w:tc>
        <w:tc>
          <w:tcPr>
            <w:tcW w:w="735" w:type="dxa"/>
            <w:vAlign w:val="top"/>
          </w:tcPr>
          <w:p w14:paraId="2A54B863">
            <w:pPr>
              <w:pStyle w:val="6"/>
              <w:spacing w:before="304" w:line="228" w:lineRule="auto"/>
              <w:ind w:left="204"/>
            </w:pPr>
            <w:r>
              <w:rPr>
                <w:spacing w:val="-10"/>
              </w:rPr>
              <w:t>1</w:t>
            </w:r>
            <w:r>
              <w:rPr>
                <w:spacing w:val="-36"/>
              </w:rPr>
              <w:t xml:space="preserve"> </w:t>
            </w:r>
            <w:r>
              <w:rPr>
                <w:spacing w:val="-10"/>
              </w:rPr>
              <w:t>分</w:t>
            </w:r>
          </w:p>
        </w:tc>
        <w:tc>
          <w:tcPr>
            <w:tcW w:w="4562" w:type="dxa"/>
            <w:vAlign w:val="top"/>
          </w:tcPr>
          <w:p w14:paraId="3610EB74">
            <w:pPr>
              <w:pStyle w:val="6"/>
              <w:spacing w:before="32"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4E5768AE">
            <w:pPr>
              <w:pStyle w:val="6"/>
              <w:spacing w:before="23" w:line="235"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77C30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0" w:hRule="atLeast"/>
        </w:trPr>
        <w:tc>
          <w:tcPr>
            <w:tcW w:w="745" w:type="dxa"/>
            <w:vMerge w:val="continue"/>
            <w:tcBorders>
              <w:top w:val="nil"/>
              <w:bottom w:val="nil"/>
            </w:tcBorders>
            <w:vAlign w:val="top"/>
          </w:tcPr>
          <w:p w14:paraId="4B5CDC38">
            <w:pPr>
              <w:rPr>
                <w:rFonts w:ascii="Arial"/>
                <w:sz w:val="21"/>
              </w:rPr>
            </w:pPr>
          </w:p>
        </w:tc>
        <w:tc>
          <w:tcPr>
            <w:tcW w:w="1058" w:type="dxa"/>
            <w:vMerge w:val="continue"/>
            <w:tcBorders>
              <w:top w:val="nil"/>
              <w:bottom w:val="nil"/>
            </w:tcBorders>
            <w:vAlign w:val="top"/>
          </w:tcPr>
          <w:p w14:paraId="58D93692">
            <w:pPr>
              <w:rPr>
                <w:rFonts w:ascii="Arial"/>
                <w:sz w:val="21"/>
              </w:rPr>
            </w:pPr>
          </w:p>
        </w:tc>
        <w:tc>
          <w:tcPr>
            <w:tcW w:w="1318" w:type="dxa"/>
            <w:vMerge w:val="continue"/>
            <w:tcBorders>
              <w:top w:val="nil"/>
            </w:tcBorders>
            <w:vAlign w:val="top"/>
          </w:tcPr>
          <w:p w14:paraId="02237661">
            <w:pPr>
              <w:rPr>
                <w:rFonts w:ascii="Arial"/>
                <w:sz w:val="21"/>
              </w:rPr>
            </w:pPr>
          </w:p>
        </w:tc>
        <w:tc>
          <w:tcPr>
            <w:tcW w:w="766" w:type="dxa"/>
            <w:vAlign w:val="top"/>
          </w:tcPr>
          <w:p w14:paraId="0614226F">
            <w:pPr>
              <w:pStyle w:val="6"/>
              <w:spacing w:before="115" w:line="228" w:lineRule="auto"/>
              <w:ind w:left="117"/>
            </w:pPr>
            <w:r>
              <w:rPr>
                <w:spacing w:val="3"/>
              </w:rPr>
              <w:t>从事</w:t>
            </w:r>
          </w:p>
          <w:p w14:paraId="635A5A71">
            <w:pPr>
              <w:pStyle w:val="6"/>
              <w:spacing w:before="24" w:line="228" w:lineRule="auto"/>
              <w:ind w:left="115"/>
            </w:pPr>
            <w:r>
              <w:rPr>
                <w:spacing w:val="4"/>
              </w:rPr>
              <w:t>专业</w:t>
            </w:r>
          </w:p>
          <w:p w14:paraId="6813FAC0">
            <w:pPr>
              <w:pStyle w:val="6"/>
              <w:spacing w:before="26" w:line="228" w:lineRule="auto"/>
              <w:ind w:left="117"/>
            </w:pPr>
            <w:r>
              <w:rPr>
                <w:spacing w:val="3"/>
              </w:rPr>
              <w:t>工作</w:t>
            </w:r>
          </w:p>
          <w:p w14:paraId="45587DB0">
            <w:pPr>
              <w:pStyle w:val="6"/>
              <w:spacing w:before="25" w:line="228" w:lineRule="auto"/>
              <w:ind w:left="115"/>
            </w:pPr>
            <w:r>
              <w:rPr>
                <w:spacing w:val="4"/>
              </w:rPr>
              <w:t>年限</w:t>
            </w:r>
          </w:p>
        </w:tc>
        <w:tc>
          <w:tcPr>
            <w:tcW w:w="735" w:type="dxa"/>
            <w:vAlign w:val="top"/>
          </w:tcPr>
          <w:p w14:paraId="28D72169">
            <w:pPr>
              <w:spacing w:line="455" w:lineRule="auto"/>
              <w:rPr>
                <w:rFonts w:ascii="Arial"/>
                <w:sz w:val="21"/>
              </w:rPr>
            </w:pPr>
          </w:p>
          <w:p w14:paraId="3784622A">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01014636">
            <w:pPr>
              <w:pStyle w:val="6"/>
              <w:spacing w:before="114"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70806E7D">
            <w:pPr>
              <w:pStyle w:val="6"/>
              <w:spacing w:before="24"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3B3B36BA">
            <w:pPr>
              <w:pStyle w:val="6"/>
              <w:spacing w:before="26"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2B7A06D4">
            <w:pPr>
              <w:pStyle w:val="6"/>
              <w:spacing w:before="26" w:line="228"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398E2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745" w:type="dxa"/>
            <w:vMerge w:val="continue"/>
            <w:tcBorders>
              <w:top w:val="nil"/>
            </w:tcBorders>
            <w:vAlign w:val="top"/>
          </w:tcPr>
          <w:p w14:paraId="5E04CB39">
            <w:pPr>
              <w:rPr>
                <w:rFonts w:ascii="Arial"/>
                <w:sz w:val="21"/>
              </w:rPr>
            </w:pPr>
          </w:p>
        </w:tc>
        <w:tc>
          <w:tcPr>
            <w:tcW w:w="1058" w:type="dxa"/>
            <w:vMerge w:val="continue"/>
            <w:tcBorders>
              <w:top w:val="nil"/>
            </w:tcBorders>
            <w:vAlign w:val="top"/>
          </w:tcPr>
          <w:p w14:paraId="358819F5">
            <w:pPr>
              <w:rPr>
                <w:rFonts w:ascii="Arial"/>
                <w:sz w:val="21"/>
              </w:rPr>
            </w:pPr>
          </w:p>
        </w:tc>
        <w:tc>
          <w:tcPr>
            <w:tcW w:w="2084" w:type="dxa"/>
            <w:gridSpan w:val="2"/>
            <w:vAlign w:val="top"/>
          </w:tcPr>
          <w:p w14:paraId="6247C8A1">
            <w:pPr>
              <w:pStyle w:val="6"/>
              <w:spacing w:before="199" w:line="228" w:lineRule="auto"/>
              <w:ind w:left="113"/>
            </w:pPr>
            <w:r>
              <w:rPr>
                <w:spacing w:val="8"/>
              </w:rPr>
              <w:t>其他主要人员</w:t>
            </w:r>
          </w:p>
        </w:tc>
        <w:tc>
          <w:tcPr>
            <w:tcW w:w="735" w:type="dxa"/>
            <w:vAlign w:val="top"/>
          </w:tcPr>
          <w:p w14:paraId="564185DF">
            <w:pPr>
              <w:pStyle w:val="6"/>
              <w:spacing w:before="199" w:line="228" w:lineRule="auto"/>
              <w:ind w:left="204"/>
            </w:pPr>
            <w:r>
              <w:rPr>
                <w:spacing w:val="-10"/>
              </w:rPr>
              <w:t>1</w:t>
            </w:r>
            <w:r>
              <w:rPr>
                <w:spacing w:val="-36"/>
              </w:rPr>
              <w:t xml:space="preserve"> </w:t>
            </w:r>
            <w:r>
              <w:rPr>
                <w:spacing w:val="-10"/>
              </w:rPr>
              <w:t>分</w:t>
            </w:r>
          </w:p>
        </w:tc>
        <w:tc>
          <w:tcPr>
            <w:tcW w:w="4562" w:type="dxa"/>
            <w:vAlign w:val="top"/>
          </w:tcPr>
          <w:p w14:paraId="1AC58304">
            <w:pPr>
              <w:pStyle w:val="6"/>
              <w:spacing w:before="64" w:line="228" w:lineRule="auto"/>
              <w:ind w:left="115"/>
            </w:pPr>
            <w:r>
              <w:rPr>
                <w:spacing w:val="6"/>
              </w:rPr>
              <w:t>人员配备合理，满足需要              1</w:t>
            </w:r>
            <w:r>
              <w:rPr>
                <w:spacing w:val="-24"/>
              </w:rPr>
              <w:t xml:space="preserve"> </w:t>
            </w:r>
            <w:r>
              <w:rPr>
                <w:spacing w:val="6"/>
              </w:rPr>
              <w:t>分</w:t>
            </w:r>
          </w:p>
          <w:p w14:paraId="21CF52DA">
            <w:pPr>
              <w:pStyle w:val="6"/>
              <w:spacing w:before="24" w:line="228" w:lineRule="auto"/>
              <w:ind w:left="115"/>
            </w:pPr>
            <w:r>
              <w:rPr>
                <w:spacing w:val="5"/>
              </w:rPr>
              <w:t>人员配备不合理</w:t>
            </w:r>
            <w:r>
              <w:rPr>
                <w:spacing w:val="1"/>
              </w:rPr>
              <w:t xml:space="preserve">                       </w:t>
            </w:r>
            <w:r>
              <w:rPr>
                <w:spacing w:val="5"/>
              </w:rPr>
              <w:t>0</w:t>
            </w:r>
            <w:r>
              <w:rPr>
                <w:spacing w:val="-30"/>
              </w:rPr>
              <w:t xml:space="preserve"> </w:t>
            </w:r>
            <w:r>
              <w:rPr>
                <w:spacing w:val="5"/>
              </w:rPr>
              <w:t>分</w:t>
            </w:r>
          </w:p>
        </w:tc>
      </w:tr>
      <w:tr w14:paraId="4B423C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trPr>
        <w:tc>
          <w:tcPr>
            <w:tcW w:w="745" w:type="dxa"/>
            <w:vMerge w:val="restart"/>
            <w:tcBorders>
              <w:bottom w:val="nil"/>
            </w:tcBorders>
            <w:vAlign w:val="top"/>
          </w:tcPr>
          <w:p w14:paraId="4DD6B3C1">
            <w:pPr>
              <w:spacing w:line="246" w:lineRule="auto"/>
              <w:rPr>
                <w:rFonts w:ascii="Arial"/>
                <w:sz w:val="21"/>
              </w:rPr>
            </w:pPr>
          </w:p>
          <w:p w14:paraId="761381FF">
            <w:pPr>
              <w:spacing w:line="246" w:lineRule="auto"/>
              <w:rPr>
                <w:rFonts w:ascii="Arial"/>
                <w:sz w:val="21"/>
              </w:rPr>
            </w:pPr>
          </w:p>
          <w:p w14:paraId="5F9EDE1B">
            <w:pPr>
              <w:spacing w:line="246" w:lineRule="auto"/>
              <w:rPr>
                <w:rFonts w:ascii="Arial"/>
                <w:sz w:val="21"/>
              </w:rPr>
            </w:pPr>
          </w:p>
          <w:p w14:paraId="675F7B08">
            <w:pPr>
              <w:spacing w:line="246" w:lineRule="auto"/>
              <w:rPr>
                <w:rFonts w:ascii="Arial"/>
                <w:sz w:val="21"/>
              </w:rPr>
            </w:pPr>
          </w:p>
          <w:p w14:paraId="1C571028">
            <w:pPr>
              <w:spacing w:line="246" w:lineRule="auto"/>
              <w:rPr>
                <w:rFonts w:ascii="Arial"/>
                <w:sz w:val="21"/>
              </w:rPr>
            </w:pPr>
          </w:p>
          <w:p w14:paraId="31469D0F">
            <w:pPr>
              <w:spacing w:line="246" w:lineRule="auto"/>
              <w:rPr>
                <w:rFonts w:ascii="Arial"/>
                <w:sz w:val="21"/>
              </w:rPr>
            </w:pPr>
          </w:p>
          <w:p w14:paraId="277D08B6">
            <w:pPr>
              <w:spacing w:line="246" w:lineRule="auto"/>
              <w:rPr>
                <w:rFonts w:ascii="Arial"/>
                <w:sz w:val="21"/>
              </w:rPr>
            </w:pPr>
          </w:p>
          <w:p w14:paraId="7446A342">
            <w:pPr>
              <w:spacing w:line="246" w:lineRule="auto"/>
              <w:rPr>
                <w:rFonts w:ascii="Arial"/>
                <w:sz w:val="21"/>
              </w:rPr>
            </w:pPr>
          </w:p>
          <w:p w14:paraId="324C9DB2">
            <w:pPr>
              <w:spacing w:line="247" w:lineRule="auto"/>
              <w:rPr>
                <w:rFonts w:ascii="Arial"/>
                <w:sz w:val="21"/>
              </w:rPr>
            </w:pPr>
          </w:p>
          <w:p w14:paraId="5D10B32F">
            <w:pPr>
              <w:spacing w:line="247" w:lineRule="auto"/>
              <w:rPr>
                <w:rFonts w:ascii="Arial"/>
                <w:sz w:val="21"/>
              </w:rPr>
            </w:pPr>
          </w:p>
          <w:p w14:paraId="2B9AD15B">
            <w:pPr>
              <w:spacing w:line="247" w:lineRule="auto"/>
              <w:rPr>
                <w:rFonts w:ascii="Arial"/>
                <w:sz w:val="21"/>
              </w:rPr>
            </w:pPr>
          </w:p>
          <w:p w14:paraId="354562AF">
            <w:pPr>
              <w:spacing w:line="247" w:lineRule="auto"/>
              <w:rPr>
                <w:rFonts w:ascii="Arial"/>
                <w:sz w:val="21"/>
              </w:rPr>
            </w:pPr>
          </w:p>
          <w:p w14:paraId="430C4BE0">
            <w:pPr>
              <w:spacing w:line="247" w:lineRule="auto"/>
              <w:rPr>
                <w:rFonts w:ascii="Arial"/>
                <w:sz w:val="21"/>
              </w:rPr>
            </w:pPr>
          </w:p>
          <w:p w14:paraId="234E8222">
            <w:pPr>
              <w:spacing w:line="247" w:lineRule="auto"/>
              <w:rPr>
                <w:rFonts w:ascii="Arial"/>
                <w:sz w:val="21"/>
              </w:rPr>
            </w:pPr>
          </w:p>
          <w:p w14:paraId="545A84C4">
            <w:pPr>
              <w:spacing w:line="247" w:lineRule="auto"/>
              <w:rPr>
                <w:rFonts w:ascii="Arial"/>
                <w:sz w:val="21"/>
              </w:rPr>
            </w:pPr>
          </w:p>
          <w:p w14:paraId="7C8DBCA7">
            <w:pPr>
              <w:spacing w:line="247" w:lineRule="auto"/>
              <w:rPr>
                <w:rFonts w:ascii="Arial"/>
                <w:sz w:val="21"/>
              </w:rPr>
            </w:pPr>
          </w:p>
          <w:p w14:paraId="4D4A66E6">
            <w:pPr>
              <w:spacing w:line="247" w:lineRule="auto"/>
              <w:rPr>
                <w:rFonts w:ascii="Arial"/>
                <w:sz w:val="21"/>
              </w:rPr>
            </w:pPr>
          </w:p>
          <w:p w14:paraId="450EDE11">
            <w:pPr>
              <w:spacing w:line="247" w:lineRule="auto"/>
              <w:rPr>
                <w:rFonts w:ascii="Arial"/>
                <w:sz w:val="21"/>
              </w:rPr>
            </w:pPr>
          </w:p>
          <w:p w14:paraId="4353ECE3">
            <w:pPr>
              <w:spacing w:line="247" w:lineRule="auto"/>
              <w:rPr>
                <w:rFonts w:ascii="Arial"/>
                <w:sz w:val="21"/>
              </w:rPr>
            </w:pPr>
          </w:p>
          <w:p w14:paraId="24A7F3C5">
            <w:pPr>
              <w:spacing w:line="247" w:lineRule="auto"/>
              <w:rPr>
                <w:rFonts w:ascii="Arial"/>
                <w:sz w:val="21"/>
              </w:rPr>
            </w:pPr>
          </w:p>
          <w:p w14:paraId="0506636A">
            <w:pPr>
              <w:spacing w:line="247" w:lineRule="auto"/>
              <w:rPr>
                <w:rFonts w:ascii="Arial"/>
                <w:sz w:val="21"/>
              </w:rPr>
            </w:pPr>
          </w:p>
          <w:p w14:paraId="46BAEE04">
            <w:pPr>
              <w:spacing w:line="247" w:lineRule="auto"/>
              <w:rPr>
                <w:rFonts w:ascii="Arial"/>
                <w:sz w:val="21"/>
              </w:rPr>
            </w:pPr>
          </w:p>
          <w:p w14:paraId="49337BAA">
            <w:pPr>
              <w:spacing w:line="247" w:lineRule="auto"/>
              <w:rPr>
                <w:rFonts w:ascii="Arial"/>
                <w:sz w:val="21"/>
              </w:rPr>
            </w:pPr>
          </w:p>
          <w:p w14:paraId="25499F1D">
            <w:pPr>
              <w:spacing w:line="247" w:lineRule="auto"/>
              <w:rPr>
                <w:rFonts w:ascii="Arial"/>
                <w:sz w:val="21"/>
              </w:rPr>
            </w:pPr>
          </w:p>
          <w:p w14:paraId="2E19063E">
            <w:pPr>
              <w:spacing w:line="247" w:lineRule="auto"/>
              <w:rPr>
                <w:rFonts w:ascii="Arial"/>
                <w:sz w:val="21"/>
              </w:rPr>
            </w:pPr>
          </w:p>
          <w:p w14:paraId="6FAFCECA">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59211390">
            <w:pPr>
              <w:pStyle w:val="6"/>
              <w:spacing w:before="197"/>
              <w:ind w:left="125"/>
            </w:pPr>
            <w:r>
              <w:rPr>
                <w:spacing w:val="-1"/>
              </w:rPr>
              <w:t>（</w:t>
            </w:r>
            <w:r>
              <w:rPr>
                <w:rFonts w:ascii="Times New Roman" w:hAnsi="Times New Roman" w:eastAsia="Times New Roman" w:cs="Times New Roman"/>
                <w:spacing w:val="-1"/>
              </w:rPr>
              <w:t>4</w:t>
            </w:r>
            <w:r>
              <w:rPr>
                <w:spacing w:val="-1"/>
              </w:rPr>
              <w:t>）</w:t>
            </w:r>
          </w:p>
        </w:tc>
        <w:tc>
          <w:tcPr>
            <w:tcW w:w="1058" w:type="dxa"/>
            <w:vMerge w:val="restart"/>
            <w:tcBorders>
              <w:bottom w:val="nil"/>
            </w:tcBorders>
            <w:vAlign w:val="top"/>
          </w:tcPr>
          <w:p w14:paraId="1635FC7A">
            <w:pPr>
              <w:spacing w:line="241" w:lineRule="auto"/>
              <w:rPr>
                <w:rFonts w:ascii="Arial"/>
                <w:sz w:val="21"/>
              </w:rPr>
            </w:pPr>
          </w:p>
          <w:p w14:paraId="4D79ABD6">
            <w:pPr>
              <w:spacing w:line="241" w:lineRule="auto"/>
              <w:rPr>
                <w:rFonts w:ascii="Arial"/>
                <w:sz w:val="21"/>
              </w:rPr>
            </w:pPr>
          </w:p>
          <w:p w14:paraId="4DB6C49C">
            <w:pPr>
              <w:spacing w:line="241" w:lineRule="auto"/>
              <w:rPr>
                <w:rFonts w:ascii="Arial"/>
                <w:sz w:val="21"/>
              </w:rPr>
            </w:pPr>
          </w:p>
          <w:p w14:paraId="796AC8F8">
            <w:pPr>
              <w:spacing w:line="241" w:lineRule="auto"/>
              <w:rPr>
                <w:rFonts w:ascii="Arial"/>
                <w:sz w:val="21"/>
              </w:rPr>
            </w:pPr>
          </w:p>
          <w:p w14:paraId="29BD3E5C">
            <w:pPr>
              <w:spacing w:line="241" w:lineRule="auto"/>
              <w:rPr>
                <w:rFonts w:ascii="Arial"/>
                <w:sz w:val="21"/>
              </w:rPr>
            </w:pPr>
          </w:p>
          <w:p w14:paraId="00A42EB8">
            <w:pPr>
              <w:spacing w:line="241" w:lineRule="auto"/>
              <w:rPr>
                <w:rFonts w:ascii="Arial"/>
                <w:sz w:val="21"/>
              </w:rPr>
            </w:pPr>
          </w:p>
          <w:p w14:paraId="505A168D">
            <w:pPr>
              <w:spacing w:line="241" w:lineRule="auto"/>
              <w:rPr>
                <w:rFonts w:ascii="Arial"/>
                <w:sz w:val="21"/>
              </w:rPr>
            </w:pPr>
          </w:p>
          <w:p w14:paraId="3CC32FCE">
            <w:pPr>
              <w:spacing w:line="241" w:lineRule="auto"/>
              <w:rPr>
                <w:rFonts w:ascii="Arial"/>
                <w:sz w:val="21"/>
              </w:rPr>
            </w:pPr>
          </w:p>
          <w:p w14:paraId="27E6BF1A">
            <w:pPr>
              <w:spacing w:line="242" w:lineRule="auto"/>
              <w:rPr>
                <w:rFonts w:ascii="Arial"/>
                <w:sz w:val="21"/>
              </w:rPr>
            </w:pPr>
          </w:p>
          <w:p w14:paraId="703C838A">
            <w:pPr>
              <w:spacing w:line="242" w:lineRule="auto"/>
              <w:rPr>
                <w:rFonts w:ascii="Arial"/>
                <w:sz w:val="21"/>
              </w:rPr>
            </w:pPr>
          </w:p>
          <w:p w14:paraId="5395A7BE">
            <w:pPr>
              <w:spacing w:line="242" w:lineRule="auto"/>
              <w:rPr>
                <w:rFonts w:ascii="Arial"/>
                <w:sz w:val="21"/>
              </w:rPr>
            </w:pPr>
          </w:p>
          <w:p w14:paraId="09FC0865">
            <w:pPr>
              <w:spacing w:line="242" w:lineRule="auto"/>
              <w:rPr>
                <w:rFonts w:ascii="Arial"/>
                <w:sz w:val="21"/>
              </w:rPr>
            </w:pPr>
          </w:p>
          <w:p w14:paraId="6DB12540">
            <w:pPr>
              <w:spacing w:line="242" w:lineRule="auto"/>
              <w:rPr>
                <w:rFonts w:ascii="Arial"/>
                <w:sz w:val="21"/>
              </w:rPr>
            </w:pPr>
          </w:p>
          <w:p w14:paraId="298DB76A">
            <w:pPr>
              <w:spacing w:line="242" w:lineRule="auto"/>
              <w:rPr>
                <w:rFonts w:ascii="Arial"/>
                <w:sz w:val="21"/>
              </w:rPr>
            </w:pPr>
          </w:p>
          <w:p w14:paraId="0EF327E5">
            <w:pPr>
              <w:spacing w:line="242" w:lineRule="auto"/>
              <w:rPr>
                <w:rFonts w:ascii="Arial"/>
                <w:sz w:val="21"/>
              </w:rPr>
            </w:pPr>
          </w:p>
          <w:p w14:paraId="0651E664">
            <w:pPr>
              <w:spacing w:line="242" w:lineRule="auto"/>
              <w:rPr>
                <w:rFonts w:ascii="Arial"/>
                <w:sz w:val="21"/>
              </w:rPr>
            </w:pPr>
          </w:p>
          <w:p w14:paraId="7E0D013D">
            <w:pPr>
              <w:spacing w:line="242" w:lineRule="auto"/>
              <w:rPr>
                <w:rFonts w:ascii="Arial"/>
                <w:sz w:val="21"/>
              </w:rPr>
            </w:pPr>
          </w:p>
          <w:p w14:paraId="6A123D91">
            <w:pPr>
              <w:spacing w:line="242" w:lineRule="auto"/>
              <w:rPr>
                <w:rFonts w:ascii="Arial"/>
                <w:sz w:val="21"/>
              </w:rPr>
            </w:pPr>
          </w:p>
          <w:p w14:paraId="5AC66A38">
            <w:pPr>
              <w:spacing w:line="242" w:lineRule="auto"/>
              <w:rPr>
                <w:rFonts w:ascii="Arial"/>
                <w:sz w:val="21"/>
              </w:rPr>
            </w:pPr>
          </w:p>
          <w:p w14:paraId="7D036D0A">
            <w:pPr>
              <w:spacing w:line="242" w:lineRule="auto"/>
              <w:rPr>
                <w:rFonts w:ascii="Arial"/>
                <w:sz w:val="21"/>
              </w:rPr>
            </w:pPr>
          </w:p>
          <w:p w14:paraId="66054AC6">
            <w:pPr>
              <w:spacing w:line="242" w:lineRule="auto"/>
              <w:rPr>
                <w:rFonts w:ascii="Arial"/>
                <w:sz w:val="21"/>
              </w:rPr>
            </w:pPr>
          </w:p>
          <w:p w14:paraId="155699AB">
            <w:pPr>
              <w:spacing w:line="242" w:lineRule="auto"/>
              <w:rPr>
                <w:rFonts w:ascii="Arial"/>
                <w:sz w:val="21"/>
              </w:rPr>
            </w:pPr>
          </w:p>
          <w:p w14:paraId="40B2F53F">
            <w:pPr>
              <w:spacing w:line="242" w:lineRule="auto"/>
              <w:rPr>
                <w:rFonts w:ascii="Arial"/>
                <w:sz w:val="21"/>
              </w:rPr>
            </w:pPr>
          </w:p>
          <w:p w14:paraId="72B88CF6">
            <w:pPr>
              <w:spacing w:line="242" w:lineRule="auto"/>
              <w:rPr>
                <w:rFonts w:ascii="Arial"/>
                <w:sz w:val="21"/>
              </w:rPr>
            </w:pPr>
          </w:p>
          <w:p w14:paraId="078B82EA">
            <w:pPr>
              <w:spacing w:line="242" w:lineRule="auto"/>
              <w:rPr>
                <w:rFonts w:ascii="Arial"/>
                <w:sz w:val="21"/>
              </w:rPr>
            </w:pPr>
          </w:p>
          <w:p w14:paraId="31B2E4BB">
            <w:pPr>
              <w:spacing w:line="242" w:lineRule="auto"/>
              <w:rPr>
                <w:rFonts w:ascii="Arial"/>
                <w:sz w:val="21"/>
              </w:rPr>
            </w:pPr>
          </w:p>
          <w:p w14:paraId="6FD187FB">
            <w:pPr>
              <w:pStyle w:val="6"/>
              <w:spacing w:before="65" w:line="252" w:lineRule="auto"/>
              <w:ind w:left="111" w:right="111" w:firstLine="1"/>
            </w:pPr>
            <w:r>
              <w:rPr>
                <w:spacing w:val="7"/>
              </w:rPr>
              <w:t>其他因素评分标准</w:t>
            </w:r>
          </w:p>
        </w:tc>
        <w:tc>
          <w:tcPr>
            <w:tcW w:w="2084" w:type="dxa"/>
            <w:gridSpan w:val="2"/>
            <w:vAlign w:val="top"/>
          </w:tcPr>
          <w:p w14:paraId="63382F00">
            <w:pPr>
              <w:spacing w:line="318" w:lineRule="auto"/>
              <w:rPr>
                <w:rFonts w:ascii="Arial"/>
                <w:sz w:val="21"/>
              </w:rPr>
            </w:pPr>
          </w:p>
          <w:p w14:paraId="779CDB46">
            <w:pPr>
              <w:pStyle w:val="6"/>
              <w:spacing w:before="65" w:line="228" w:lineRule="auto"/>
              <w:ind w:left="112"/>
            </w:pPr>
            <w:r>
              <w:rPr>
                <w:spacing w:val="8"/>
              </w:rPr>
              <w:t>类似项目业绩</w:t>
            </w:r>
          </w:p>
        </w:tc>
        <w:tc>
          <w:tcPr>
            <w:tcW w:w="735" w:type="dxa"/>
            <w:vAlign w:val="top"/>
          </w:tcPr>
          <w:p w14:paraId="01B70B70">
            <w:pPr>
              <w:spacing w:line="318" w:lineRule="auto"/>
              <w:rPr>
                <w:rFonts w:ascii="Arial"/>
                <w:sz w:val="21"/>
              </w:rPr>
            </w:pPr>
          </w:p>
          <w:p w14:paraId="4159454D">
            <w:pPr>
              <w:pStyle w:val="6"/>
              <w:spacing w:before="65" w:line="228" w:lineRule="auto"/>
              <w:ind w:left="187"/>
            </w:pPr>
            <w:r>
              <w:rPr>
                <w:spacing w:val="-2"/>
              </w:rPr>
              <w:t>4</w:t>
            </w:r>
            <w:r>
              <w:rPr>
                <w:spacing w:val="-36"/>
              </w:rPr>
              <w:t xml:space="preserve"> </w:t>
            </w:r>
            <w:r>
              <w:rPr>
                <w:spacing w:val="-2"/>
              </w:rPr>
              <w:t>分</w:t>
            </w:r>
          </w:p>
        </w:tc>
        <w:tc>
          <w:tcPr>
            <w:tcW w:w="4562" w:type="dxa"/>
            <w:vAlign w:val="top"/>
          </w:tcPr>
          <w:p w14:paraId="696F6EFB">
            <w:pPr>
              <w:pStyle w:val="6"/>
              <w:spacing w:before="113" w:line="228" w:lineRule="auto"/>
              <w:ind w:left="112"/>
            </w:pPr>
            <w:r>
              <w:rPr>
                <w:spacing w:val="2"/>
              </w:rPr>
              <w:t>近</w:t>
            </w:r>
            <w:r>
              <w:rPr>
                <w:spacing w:val="-24"/>
              </w:rPr>
              <w:t xml:space="preserve"> </w:t>
            </w:r>
            <w:r>
              <w:rPr>
                <w:spacing w:val="2"/>
              </w:rPr>
              <w:t>5</w:t>
            </w:r>
            <w:r>
              <w:rPr>
                <w:spacing w:val="-37"/>
              </w:rPr>
              <w:t xml:space="preserve"> </w:t>
            </w:r>
            <w:r>
              <w:rPr>
                <w:spacing w:val="2"/>
              </w:rPr>
              <w:t>年有</w:t>
            </w:r>
            <w:r>
              <w:rPr>
                <w:spacing w:val="-24"/>
              </w:rPr>
              <w:t xml:space="preserve"> </w:t>
            </w:r>
            <w:r>
              <w:rPr>
                <w:spacing w:val="2"/>
              </w:rPr>
              <w:t>1</w:t>
            </w:r>
            <w:r>
              <w:rPr>
                <w:spacing w:val="-38"/>
              </w:rPr>
              <w:t xml:space="preserve"> </w:t>
            </w:r>
            <w:r>
              <w:rPr>
                <w:spacing w:val="2"/>
              </w:rPr>
              <w:t>个类似项目业绩</w:t>
            </w:r>
            <w:r>
              <w:rPr>
                <w:spacing w:val="5"/>
              </w:rPr>
              <w:t xml:space="preserve">            </w:t>
            </w:r>
            <w:r>
              <w:rPr>
                <w:spacing w:val="2"/>
              </w:rPr>
              <w:t>2</w:t>
            </w:r>
            <w:r>
              <w:rPr>
                <w:spacing w:val="-25"/>
              </w:rPr>
              <w:t xml:space="preserve"> </w:t>
            </w:r>
            <w:r>
              <w:rPr>
                <w:spacing w:val="2"/>
              </w:rPr>
              <w:t>分</w:t>
            </w:r>
          </w:p>
          <w:p w14:paraId="63058A8E">
            <w:pPr>
              <w:pStyle w:val="6"/>
              <w:spacing w:before="24" w:line="228" w:lineRule="auto"/>
              <w:ind w:left="112"/>
            </w:pPr>
            <w:r>
              <w:rPr>
                <w:spacing w:val="3"/>
              </w:rPr>
              <w:t>近</w:t>
            </w:r>
            <w:r>
              <w:rPr>
                <w:spacing w:val="-27"/>
              </w:rPr>
              <w:t xml:space="preserve"> </w:t>
            </w:r>
            <w:r>
              <w:rPr>
                <w:spacing w:val="3"/>
              </w:rPr>
              <w:t>5</w:t>
            </w:r>
            <w:r>
              <w:rPr>
                <w:spacing w:val="-37"/>
              </w:rPr>
              <w:t xml:space="preserve"> </w:t>
            </w:r>
            <w:r>
              <w:rPr>
                <w:spacing w:val="3"/>
              </w:rPr>
              <w:t>年有</w:t>
            </w:r>
            <w:r>
              <w:rPr>
                <w:spacing w:val="-37"/>
              </w:rPr>
              <w:t xml:space="preserve"> </w:t>
            </w:r>
            <w:r>
              <w:rPr>
                <w:spacing w:val="3"/>
              </w:rPr>
              <w:t>2</w:t>
            </w:r>
            <w:r>
              <w:rPr>
                <w:spacing w:val="-37"/>
              </w:rPr>
              <w:t xml:space="preserve"> </w:t>
            </w:r>
            <w:r>
              <w:rPr>
                <w:spacing w:val="3"/>
              </w:rPr>
              <w:t>个类似项目业绩</w:t>
            </w:r>
            <w:r>
              <w:rPr>
                <w:spacing w:val="6"/>
              </w:rPr>
              <w:t xml:space="preserve">            </w:t>
            </w:r>
            <w:r>
              <w:rPr>
                <w:spacing w:val="3"/>
              </w:rPr>
              <w:t>3</w:t>
            </w:r>
            <w:r>
              <w:rPr>
                <w:spacing w:val="-36"/>
              </w:rPr>
              <w:t xml:space="preserve"> </w:t>
            </w:r>
            <w:r>
              <w:rPr>
                <w:spacing w:val="3"/>
              </w:rPr>
              <w:t>分</w:t>
            </w:r>
          </w:p>
          <w:p w14:paraId="277745E7">
            <w:pPr>
              <w:pStyle w:val="6"/>
              <w:spacing w:before="24" w:line="228" w:lineRule="auto"/>
              <w:ind w:left="112"/>
            </w:pPr>
            <w:r>
              <w:rPr>
                <w:spacing w:val="3"/>
              </w:rPr>
              <w:t>近</w:t>
            </w:r>
            <w:r>
              <w:rPr>
                <w:spacing w:val="-23"/>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5"/>
              </w:rPr>
              <w:t xml:space="preserve">            </w:t>
            </w:r>
            <w:r>
              <w:rPr>
                <w:spacing w:val="3"/>
              </w:rPr>
              <w:t>4</w:t>
            </w:r>
            <w:r>
              <w:rPr>
                <w:spacing w:val="-29"/>
              </w:rPr>
              <w:t xml:space="preserve"> </w:t>
            </w:r>
            <w:r>
              <w:rPr>
                <w:spacing w:val="3"/>
              </w:rPr>
              <w:t>分</w:t>
            </w:r>
          </w:p>
        </w:tc>
      </w:tr>
      <w:tr w14:paraId="1ADC1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745" w:type="dxa"/>
            <w:vMerge w:val="continue"/>
            <w:tcBorders>
              <w:top w:val="nil"/>
              <w:bottom w:val="nil"/>
            </w:tcBorders>
            <w:vAlign w:val="top"/>
          </w:tcPr>
          <w:p w14:paraId="4DB1830D">
            <w:pPr>
              <w:rPr>
                <w:rFonts w:ascii="Arial"/>
                <w:sz w:val="21"/>
              </w:rPr>
            </w:pPr>
          </w:p>
        </w:tc>
        <w:tc>
          <w:tcPr>
            <w:tcW w:w="1058" w:type="dxa"/>
            <w:vMerge w:val="continue"/>
            <w:tcBorders>
              <w:top w:val="nil"/>
              <w:bottom w:val="nil"/>
            </w:tcBorders>
            <w:vAlign w:val="top"/>
          </w:tcPr>
          <w:p w14:paraId="11F9A82A">
            <w:pPr>
              <w:rPr>
                <w:rFonts w:ascii="Arial"/>
                <w:sz w:val="21"/>
              </w:rPr>
            </w:pPr>
          </w:p>
        </w:tc>
        <w:tc>
          <w:tcPr>
            <w:tcW w:w="2084" w:type="dxa"/>
            <w:gridSpan w:val="2"/>
            <w:vAlign w:val="top"/>
          </w:tcPr>
          <w:p w14:paraId="253265C1">
            <w:pPr>
              <w:spacing w:line="358" w:lineRule="auto"/>
              <w:rPr>
                <w:rFonts w:ascii="Arial"/>
                <w:sz w:val="21"/>
              </w:rPr>
            </w:pPr>
          </w:p>
          <w:p w14:paraId="003D9FB2">
            <w:pPr>
              <w:spacing w:line="359" w:lineRule="auto"/>
              <w:rPr>
                <w:rFonts w:ascii="Arial"/>
                <w:sz w:val="21"/>
              </w:rPr>
            </w:pPr>
          </w:p>
          <w:p w14:paraId="62047CB6">
            <w:pPr>
              <w:pStyle w:val="6"/>
              <w:spacing w:before="65" w:line="229" w:lineRule="auto"/>
              <w:ind w:left="112"/>
            </w:pPr>
            <w:r>
              <w:rPr>
                <w:spacing w:val="7"/>
              </w:rPr>
              <w:t>认证体系</w:t>
            </w:r>
          </w:p>
        </w:tc>
        <w:tc>
          <w:tcPr>
            <w:tcW w:w="735" w:type="dxa"/>
            <w:vAlign w:val="top"/>
          </w:tcPr>
          <w:p w14:paraId="7FEDEAEE">
            <w:pPr>
              <w:spacing w:line="260" w:lineRule="auto"/>
              <w:rPr>
                <w:rFonts w:ascii="Arial"/>
                <w:sz w:val="21"/>
              </w:rPr>
            </w:pPr>
          </w:p>
          <w:p w14:paraId="30484207">
            <w:pPr>
              <w:spacing w:line="260" w:lineRule="auto"/>
              <w:rPr>
                <w:rFonts w:ascii="Arial"/>
                <w:sz w:val="21"/>
              </w:rPr>
            </w:pPr>
          </w:p>
          <w:p w14:paraId="0119361F">
            <w:pPr>
              <w:spacing w:line="260" w:lineRule="auto"/>
              <w:rPr>
                <w:rFonts w:ascii="Arial"/>
                <w:sz w:val="21"/>
              </w:rPr>
            </w:pPr>
          </w:p>
          <w:p w14:paraId="5649F758">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14F0C4EF">
            <w:pPr>
              <w:pStyle w:val="6"/>
              <w:spacing w:before="34" w:line="251" w:lineRule="auto"/>
              <w:ind w:left="117" w:right="107"/>
            </w:pPr>
            <w:r>
              <w:rPr>
                <w:spacing w:val="8"/>
              </w:rPr>
              <w:t>具有有效的</w:t>
            </w:r>
            <w:r>
              <w:rPr>
                <w:spacing w:val="-31"/>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w:t>
            </w:r>
            <w:r>
              <w:rPr>
                <w:spacing w:val="5"/>
              </w:rPr>
              <w:t>系认证证书，1</w:t>
            </w:r>
            <w:r>
              <w:rPr>
                <w:spacing w:val="-31"/>
              </w:rPr>
              <w:t xml:space="preserve"> </w:t>
            </w:r>
            <w:r>
              <w:rPr>
                <w:spacing w:val="5"/>
              </w:rPr>
              <w:t>分；</w:t>
            </w:r>
          </w:p>
          <w:p w14:paraId="4C9AF0C6">
            <w:pPr>
              <w:pStyle w:val="6"/>
              <w:spacing w:before="1" w:line="251" w:lineRule="auto"/>
              <w:ind w:left="113" w:right="109" w:firstLine="4"/>
            </w:pPr>
            <w:r>
              <w:rPr>
                <w:spacing w:val="7"/>
              </w:rPr>
              <w:t>具有有效的</w:t>
            </w:r>
            <w:r>
              <w:rPr>
                <w:spacing w:val="-43"/>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5"/>
              </w:rPr>
              <w:t xml:space="preserve"> </w:t>
            </w:r>
            <w:r>
              <w:rPr>
                <w:spacing w:val="7"/>
              </w:rPr>
              <w:t>环境管理</w:t>
            </w:r>
            <w:r>
              <w:rPr>
                <w:spacing w:val="6"/>
              </w:rPr>
              <w:t>体系认证证书，1</w:t>
            </w:r>
            <w:r>
              <w:rPr>
                <w:spacing w:val="-33"/>
              </w:rPr>
              <w:t xml:space="preserve"> </w:t>
            </w:r>
            <w:r>
              <w:rPr>
                <w:spacing w:val="6"/>
              </w:rPr>
              <w:t>分；</w:t>
            </w:r>
          </w:p>
          <w:p w14:paraId="2F851C32">
            <w:pPr>
              <w:pStyle w:val="6"/>
              <w:spacing w:line="239" w:lineRule="auto"/>
              <w:ind w:left="117" w:right="107"/>
            </w:pPr>
            <w:r>
              <w:rPr>
                <w:spacing w:val="4"/>
              </w:rPr>
              <w:t>具 有 有 效</w:t>
            </w:r>
            <w:r>
              <w:rPr>
                <w:spacing w:val="41"/>
              </w:rPr>
              <w:t xml:space="preserve"> </w:t>
            </w:r>
            <w:r>
              <w:rPr>
                <w:spacing w:val="4"/>
              </w:rPr>
              <w:t>的</w:t>
            </w:r>
            <w:r>
              <w:rPr>
                <w:spacing w:val="59"/>
              </w:rPr>
              <w:t xml:space="preserve"> </w:t>
            </w:r>
            <w:r>
              <w:rPr>
                <w:rFonts w:ascii="Times New Roman" w:hAnsi="Times New Roman" w:eastAsia="Times New Roman" w:cs="Times New Roman"/>
              </w:rPr>
              <w:t>ISO</w:t>
            </w:r>
            <w:r>
              <w:rPr>
                <w:rFonts w:ascii="Times New Roman" w:hAnsi="Times New Roman" w:eastAsia="Times New Roman" w:cs="Times New Roman"/>
                <w:spacing w:val="4"/>
              </w:rPr>
              <w:t xml:space="preserve">45001   </w:t>
            </w:r>
            <w:r>
              <w:rPr>
                <w:spacing w:val="4"/>
              </w:rPr>
              <w:t xml:space="preserve">或   </w:t>
            </w:r>
            <w:r>
              <w:rPr>
                <w:rFonts w:ascii="Times New Roman" w:hAnsi="Times New Roman" w:eastAsia="Times New Roman" w:cs="Times New Roman"/>
              </w:rPr>
              <w:t>OHSAS</w:t>
            </w:r>
            <w:r>
              <w:rPr>
                <w:rFonts w:ascii="Times New Roman" w:hAnsi="Times New Roman" w:eastAsia="Times New Roman" w:cs="Times New Roman"/>
                <w:spacing w:val="4"/>
              </w:rPr>
              <w:t>18001</w:t>
            </w:r>
            <w:r>
              <w:rPr>
                <w:rFonts w:ascii="Times New Roman" w:hAnsi="Times New Roman" w:eastAsia="Times New Roman" w:cs="Times New Roman"/>
                <w:spacing w:val="1"/>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/T28001</w:t>
            </w:r>
            <w:r>
              <w:rPr>
                <w:spacing w:val="10"/>
              </w:rPr>
              <w:t>）</w:t>
            </w:r>
            <w:r>
              <w:rPr>
                <w:spacing w:val="55"/>
              </w:rPr>
              <w:t xml:space="preserve"> </w:t>
            </w:r>
            <w:r>
              <w:rPr>
                <w:spacing w:val="10"/>
              </w:rPr>
              <w:t>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r w14:paraId="1D932C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6" w:hRule="atLeast"/>
        </w:trPr>
        <w:tc>
          <w:tcPr>
            <w:tcW w:w="745" w:type="dxa"/>
            <w:vMerge w:val="continue"/>
            <w:tcBorders>
              <w:top w:val="nil"/>
            </w:tcBorders>
            <w:vAlign w:val="top"/>
          </w:tcPr>
          <w:p w14:paraId="1057E4B8">
            <w:pPr>
              <w:rPr>
                <w:rFonts w:ascii="Arial"/>
                <w:sz w:val="21"/>
              </w:rPr>
            </w:pPr>
          </w:p>
        </w:tc>
        <w:tc>
          <w:tcPr>
            <w:tcW w:w="1058" w:type="dxa"/>
            <w:vMerge w:val="continue"/>
            <w:tcBorders>
              <w:top w:val="nil"/>
            </w:tcBorders>
            <w:vAlign w:val="top"/>
          </w:tcPr>
          <w:p w14:paraId="3194A174">
            <w:pPr>
              <w:rPr>
                <w:rFonts w:ascii="Arial"/>
                <w:sz w:val="21"/>
              </w:rPr>
            </w:pPr>
          </w:p>
        </w:tc>
        <w:tc>
          <w:tcPr>
            <w:tcW w:w="2084" w:type="dxa"/>
            <w:gridSpan w:val="2"/>
            <w:vAlign w:val="top"/>
          </w:tcPr>
          <w:p w14:paraId="459E3064">
            <w:pPr>
              <w:spacing w:line="255" w:lineRule="auto"/>
              <w:rPr>
                <w:rFonts w:ascii="Arial"/>
                <w:sz w:val="21"/>
              </w:rPr>
            </w:pPr>
          </w:p>
          <w:p w14:paraId="26CB0BB6">
            <w:pPr>
              <w:spacing w:line="255" w:lineRule="auto"/>
              <w:rPr>
                <w:rFonts w:ascii="Arial"/>
                <w:sz w:val="21"/>
              </w:rPr>
            </w:pPr>
          </w:p>
          <w:p w14:paraId="45D6E1C3">
            <w:pPr>
              <w:spacing w:line="255" w:lineRule="auto"/>
              <w:rPr>
                <w:rFonts w:ascii="Arial"/>
                <w:sz w:val="21"/>
              </w:rPr>
            </w:pPr>
          </w:p>
          <w:p w14:paraId="195A365C">
            <w:pPr>
              <w:spacing w:line="255" w:lineRule="auto"/>
              <w:rPr>
                <w:rFonts w:ascii="Arial"/>
                <w:sz w:val="21"/>
              </w:rPr>
            </w:pPr>
          </w:p>
          <w:p w14:paraId="11A6306D">
            <w:pPr>
              <w:spacing w:line="256" w:lineRule="auto"/>
              <w:rPr>
                <w:rFonts w:ascii="Arial"/>
                <w:sz w:val="21"/>
              </w:rPr>
            </w:pPr>
          </w:p>
          <w:p w14:paraId="2FC24FB2">
            <w:pPr>
              <w:spacing w:line="256" w:lineRule="auto"/>
              <w:rPr>
                <w:rFonts w:ascii="Arial"/>
                <w:sz w:val="21"/>
              </w:rPr>
            </w:pPr>
          </w:p>
          <w:p w14:paraId="038F7B38">
            <w:pPr>
              <w:spacing w:line="256" w:lineRule="auto"/>
              <w:rPr>
                <w:rFonts w:ascii="Arial"/>
                <w:sz w:val="21"/>
              </w:rPr>
            </w:pPr>
          </w:p>
          <w:p w14:paraId="3B8E5536">
            <w:pPr>
              <w:spacing w:line="256" w:lineRule="auto"/>
              <w:rPr>
                <w:rFonts w:ascii="Arial"/>
                <w:sz w:val="21"/>
              </w:rPr>
            </w:pPr>
          </w:p>
          <w:p w14:paraId="615032FE">
            <w:pPr>
              <w:spacing w:line="256" w:lineRule="auto"/>
              <w:rPr>
                <w:rFonts w:ascii="Arial"/>
                <w:sz w:val="21"/>
              </w:rPr>
            </w:pPr>
          </w:p>
          <w:p w14:paraId="38D5C50D">
            <w:pPr>
              <w:spacing w:line="256" w:lineRule="auto"/>
              <w:rPr>
                <w:rFonts w:ascii="Arial"/>
                <w:sz w:val="21"/>
              </w:rPr>
            </w:pPr>
          </w:p>
          <w:p w14:paraId="130AD864">
            <w:pPr>
              <w:spacing w:line="256" w:lineRule="auto"/>
              <w:rPr>
                <w:rFonts w:ascii="Arial"/>
                <w:sz w:val="21"/>
              </w:rPr>
            </w:pPr>
          </w:p>
          <w:p w14:paraId="13C3D934">
            <w:pPr>
              <w:pStyle w:val="6"/>
              <w:spacing w:before="65" w:line="251" w:lineRule="auto"/>
              <w:ind w:left="111" w:right="296"/>
            </w:pPr>
            <w:r>
              <w:rPr>
                <w:spacing w:val="6"/>
              </w:rPr>
              <w:t>近</w:t>
            </w:r>
            <w:r>
              <w:rPr>
                <w:spacing w:val="-35"/>
              </w:rPr>
              <w:t xml:space="preserve"> </w:t>
            </w:r>
            <w:r>
              <w:rPr>
                <w:rFonts w:ascii="Times New Roman" w:hAnsi="Times New Roman" w:eastAsia="Times New Roman" w:cs="Times New Roman"/>
                <w:spacing w:val="6"/>
              </w:rPr>
              <w:t xml:space="preserve">5 </w:t>
            </w:r>
            <w:r>
              <w:rPr>
                <w:spacing w:val="6"/>
              </w:rPr>
              <w:t>年工程奖项、</w:t>
            </w:r>
            <w:r>
              <w:rPr>
                <w:spacing w:val="8"/>
              </w:rPr>
              <w:t>项目经理工程奖项</w:t>
            </w:r>
            <w:r>
              <w:rPr>
                <w:spacing w:val="7"/>
              </w:rPr>
              <w:t>及表彰</w:t>
            </w:r>
          </w:p>
          <w:p w14:paraId="12927A3D">
            <w:pPr>
              <w:pStyle w:val="6"/>
              <w:spacing w:line="227" w:lineRule="auto"/>
              <w:ind w:left="122"/>
            </w:pPr>
            <w:r>
              <w:rPr>
                <w:spacing w:val="7"/>
              </w:rPr>
              <w:t>（适用于施工总承</w:t>
            </w:r>
          </w:p>
          <w:p w14:paraId="49CA5FB8">
            <w:pPr>
              <w:pStyle w:val="6"/>
              <w:spacing w:before="24" w:line="228" w:lineRule="auto"/>
              <w:ind w:left="112"/>
            </w:pPr>
            <w:r>
              <w:rPr>
                <w:spacing w:val="5"/>
              </w:rPr>
              <w:t>包招标）</w:t>
            </w:r>
          </w:p>
        </w:tc>
        <w:tc>
          <w:tcPr>
            <w:tcW w:w="735" w:type="dxa"/>
            <w:vAlign w:val="top"/>
          </w:tcPr>
          <w:p w14:paraId="1E707BFE">
            <w:pPr>
              <w:spacing w:line="257" w:lineRule="auto"/>
              <w:rPr>
                <w:rFonts w:ascii="Arial"/>
                <w:sz w:val="21"/>
              </w:rPr>
            </w:pPr>
          </w:p>
          <w:p w14:paraId="71AF91B6">
            <w:pPr>
              <w:spacing w:line="257" w:lineRule="auto"/>
              <w:rPr>
                <w:rFonts w:ascii="Arial"/>
                <w:sz w:val="21"/>
              </w:rPr>
            </w:pPr>
          </w:p>
          <w:p w14:paraId="4672E18D">
            <w:pPr>
              <w:spacing w:line="257" w:lineRule="auto"/>
              <w:rPr>
                <w:rFonts w:ascii="Arial"/>
                <w:sz w:val="21"/>
              </w:rPr>
            </w:pPr>
          </w:p>
          <w:p w14:paraId="7B833F3C">
            <w:pPr>
              <w:spacing w:line="258" w:lineRule="auto"/>
              <w:rPr>
                <w:rFonts w:ascii="Arial"/>
                <w:sz w:val="21"/>
              </w:rPr>
            </w:pPr>
          </w:p>
          <w:p w14:paraId="52D4FB71">
            <w:pPr>
              <w:spacing w:line="258" w:lineRule="auto"/>
              <w:rPr>
                <w:rFonts w:ascii="Arial"/>
                <w:sz w:val="21"/>
              </w:rPr>
            </w:pPr>
          </w:p>
          <w:p w14:paraId="64DBF8BA">
            <w:pPr>
              <w:spacing w:line="258" w:lineRule="auto"/>
              <w:rPr>
                <w:rFonts w:ascii="Arial"/>
                <w:sz w:val="21"/>
              </w:rPr>
            </w:pPr>
          </w:p>
          <w:p w14:paraId="235022F2">
            <w:pPr>
              <w:spacing w:line="258" w:lineRule="auto"/>
              <w:rPr>
                <w:rFonts w:ascii="Arial"/>
                <w:sz w:val="21"/>
              </w:rPr>
            </w:pPr>
          </w:p>
          <w:p w14:paraId="261E0B60">
            <w:pPr>
              <w:spacing w:line="258" w:lineRule="auto"/>
              <w:rPr>
                <w:rFonts w:ascii="Arial"/>
                <w:sz w:val="21"/>
              </w:rPr>
            </w:pPr>
          </w:p>
          <w:p w14:paraId="55BAF0A3">
            <w:pPr>
              <w:spacing w:line="258" w:lineRule="auto"/>
              <w:rPr>
                <w:rFonts w:ascii="Arial"/>
                <w:sz w:val="21"/>
              </w:rPr>
            </w:pPr>
          </w:p>
          <w:p w14:paraId="558DC643">
            <w:pPr>
              <w:spacing w:line="258" w:lineRule="auto"/>
              <w:rPr>
                <w:rFonts w:ascii="Arial"/>
                <w:sz w:val="21"/>
              </w:rPr>
            </w:pPr>
          </w:p>
          <w:p w14:paraId="053E875D">
            <w:pPr>
              <w:spacing w:line="258" w:lineRule="auto"/>
              <w:rPr>
                <w:rFonts w:ascii="Arial"/>
                <w:sz w:val="21"/>
              </w:rPr>
            </w:pPr>
          </w:p>
          <w:p w14:paraId="39A81371">
            <w:pPr>
              <w:spacing w:line="258" w:lineRule="auto"/>
              <w:rPr>
                <w:rFonts w:ascii="Arial"/>
                <w:sz w:val="21"/>
              </w:rPr>
            </w:pPr>
          </w:p>
          <w:p w14:paraId="07A1EE30">
            <w:pPr>
              <w:spacing w:line="258" w:lineRule="auto"/>
              <w:rPr>
                <w:rFonts w:ascii="Arial"/>
                <w:sz w:val="21"/>
              </w:rPr>
            </w:pPr>
          </w:p>
          <w:p w14:paraId="5830A36D">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7CEC1855">
            <w:pPr>
              <w:pStyle w:val="6"/>
              <w:spacing w:before="37" w:line="251" w:lineRule="auto"/>
              <w:ind w:left="112" w:right="107" w:firstLine="17"/>
            </w:pPr>
            <w:r>
              <w:rPr>
                <w:rFonts w:ascii="Times New Roman" w:hAnsi="Times New Roman" w:eastAsia="Times New Roman" w:cs="Times New Roman"/>
                <w:spacing w:val="9"/>
              </w:rPr>
              <w:t>1</w:t>
            </w:r>
            <w:r>
              <w:rPr>
                <w:rFonts w:ascii="Times New Roman" w:hAnsi="Times New Roman" w:eastAsia="Times New Roman" w:cs="Times New Roman"/>
                <w:spacing w:val="-21"/>
              </w:rPr>
              <w:t xml:space="preserve"> </w:t>
            </w:r>
            <w:r>
              <w:rPr>
                <w:spacing w:val="9"/>
              </w:rPr>
              <w:t>．投标人完成的与招标项目同类别工程（</w:t>
            </w:r>
            <w:r>
              <w:rPr>
                <w:spacing w:val="8"/>
              </w:rPr>
              <w:t>即房</w:t>
            </w:r>
            <w:r>
              <w:rPr>
                <w:spacing w:val="7"/>
              </w:rPr>
              <w:t>屋建筑或市政工程，下同</w:t>
            </w:r>
            <w:r>
              <w:rPr>
                <w:spacing w:val="-30"/>
              </w:rPr>
              <w:t>），</w:t>
            </w:r>
            <w:r>
              <w:rPr>
                <w:spacing w:val="7"/>
              </w:rPr>
              <w:t>近</w:t>
            </w:r>
            <w:r>
              <w:rPr>
                <w:spacing w:val="-35"/>
              </w:rPr>
              <w:t xml:space="preserve"> </w:t>
            </w:r>
            <w:r>
              <w:rPr>
                <w:rFonts w:ascii="Times New Roman" w:hAnsi="Times New Roman" w:eastAsia="Times New Roman" w:cs="Times New Roman"/>
                <w:spacing w:val="7"/>
              </w:rPr>
              <w:t>5</w:t>
            </w:r>
            <w:r>
              <w:rPr>
                <w:rFonts w:ascii="Times New Roman" w:hAnsi="Times New Roman" w:eastAsia="Times New Roman" w:cs="Times New Roman"/>
                <w:spacing w:val="15"/>
              </w:rPr>
              <w:t xml:space="preserve"> </w:t>
            </w:r>
            <w:r>
              <w:rPr>
                <w:spacing w:val="7"/>
              </w:rPr>
              <w:t>年获得“</w:t>
            </w:r>
            <w:r>
              <w:rPr>
                <w:spacing w:val="-70"/>
              </w:rPr>
              <w:t xml:space="preserve"> </w:t>
            </w:r>
            <w:r>
              <w:rPr>
                <w:spacing w:val="7"/>
              </w:rPr>
              <w:t>中国</w:t>
            </w:r>
            <w:r>
              <w:rPr>
                <w:spacing w:val="-3"/>
              </w:rPr>
              <w:t>建设工程鲁班奖（国家优质工程）”“中国土木工</w:t>
            </w:r>
            <w:r>
              <w:rPr>
                <w:spacing w:val="-6"/>
              </w:rPr>
              <w:t>程詹天佑奖</w:t>
            </w:r>
            <w:r>
              <w:rPr>
                <w:spacing w:val="-63"/>
              </w:rPr>
              <w:t xml:space="preserve"> </w:t>
            </w:r>
            <w:r>
              <w:rPr>
                <w:spacing w:val="-6"/>
              </w:rPr>
              <w:t>”“市政工程最高质量水平评价</w:t>
            </w:r>
            <w:r>
              <w:rPr>
                <w:spacing w:val="-70"/>
              </w:rPr>
              <w:t xml:space="preserve"> </w:t>
            </w:r>
            <w:r>
              <w:rPr>
                <w:spacing w:val="-6"/>
              </w:rPr>
              <w:t>”“全</w:t>
            </w:r>
            <w:r>
              <w:t>国市政金杯示范工程</w:t>
            </w:r>
            <w:r>
              <w:rPr>
                <w:spacing w:val="-67"/>
              </w:rPr>
              <w:t xml:space="preserve"> </w:t>
            </w:r>
            <w:r>
              <w:t>”“</w:t>
            </w:r>
            <w:r>
              <w:rPr>
                <w:rFonts w:ascii="Times New Roman" w:hAnsi="Times New Roman" w:eastAsia="Times New Roman" w:cs="Times New Roman"/>
              </w:rPr>
              <w:t>AAA</w:t>
            </w:r>
            <w:r>
              <w:rPr>
                <w:rFonts w:ascii="Times New Roman" w:hAnsi="Times New Roman" w:eastAsia="Times New Roman" w:cs="Times New Roman"/>
                <w:spacing w:val="17"/>
              </w:rPr>
              <w:t xml:space="preserve"> </w:t>
            </w:r>
            <w:r>
              <w:t>级安全文明标准化</w:t>
            </w:r>
            <w:r>
              <w:rPr>
                <w:spacing w:val="5"/>
              </w:rPr>
              <w:t>工地</w:t>
            </w:r>
            <w:r>
              <w:rPr>
                <w:spacing w:val="-70"/>
              </w:rPr>
              <w:t xml:space="preserve"> </w:t>
            </w:r>
            <w:r>
              <w:rPr>
                <w:spacing w:val="5"/>
              </w:rPr>
              <w:t>”“建设工程项目施工工地安全生产标</w:t>
            </w:r>
            <w:r>
              <w:rPr>
                <w:spacing w:val="4"/>
              </w:rPr>
              <w:t>准化学习交流项目</w:t>
            </w:r>
            <w:r>
              <w:rPr>
                <w:spacing w:val="-66"/>
              </w:rPr>
              <w:t xml:space="preserve"> </w:t>
            </w:r>
            <w:r>
              <w:rPr>
                <w:spacing w:val="4"/>
              </w:rPr>
              <w:t>”的每项得</w:t>
            </w:r>
            <w:r>
              <w:rPr>
                <w:spacing w:val="-37"/>
              </w:rPr>
              <w:t xml:space="preserve"> </w:t>
            </w:r>
            <w:r>
              <w:rPr>
                <w:rFonts w:ascii="Times New Roman" w:hAnsi="Times New Roman" w:eastAsia="Times New Roman" w:cs="Times New Roman"/>
                <w:spacing w:val="4"/>
              </w:rPr>
              <w:t xml:space="preserve">3 </w:t>
            </w:r>
            <w:r>
              <w:rPr>
                <w:spacing w:val="4"/>
              </w:rPr>
              <w:t>分；获得省级优质工</w:t>
            </w:r>
            <w:r>
              <w:rPr>
                <w:spacing w:val="6"/>
              </w:rPr>
              <w:t>程奖（如楚天杯）或安全文明施工现场奖的每项</w:t>
            </w:r>
            <w:r>
              <w:rPr>
                <w:spacing w:val="5"/>
              </w:rPr>
              <w:t>得</w:t>
            </w:r>
            <w:r>
              <w:rPr>
                <w:spacing w:val="-34"/>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14"/>
                <w:w w:val="101"/>
              </w:rPr>
              <w:t xml:space="preserve"> </w:t>
            </w:r>
            <w:r>
              <w:rPr>
                <w:spacing w:val="5"/>
              </w:rPr>
              <w:t>分；获得地市级优质工程奖或安全文明施工现场奖的每项得</w:t>
            </w:r>
            <w:r>
              <w:rPr>
                <w:spacing w:val="-34"/>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14"/>
                <w:w w:val="101"/>
              </w:rPr>
              <w:t xml:space="preserve"> </w:t>
            </w:r>
            <w:r>
              <w:rPr>
                <w:spacing w:val="5"/>
              </w:rPr>
              <w:t>分。（同一工程获得不同级别</w:t>
            </w:r>
            <w:r>
              <w:rPr>
                <w:spacing w:val="9"/>
              </w:rPr>
              <w:t>奖项的，按级别高的奖项加分且不重复计分）</w:t>
            </w:r>
          </w:p>
          <w:p w14:paraId="2A05DFFD">
            <w:pPr>
              <w:pStyle w:val="6"/>
              <w:spacing w:before="5" w:line="251" w:lineRule="auto"/>
              <w:ind w:left="103" w:right="107" w:firstLine="6"/>
            </w:pPr>
            <w:r>
              <w:rPr>
                <w:rFonts w:ascii="Times New Roman" w:hAnsi="Times New Roman" w:eastAsia="Times New Roman" w:cs="Times New Roman"/>
                <w:spacing w:val="8"/>
              </w:rPr>
              <w:t>2</w:t>
            </w:r>
            <w:r>
              <w:rPr>
                <w:rFonts w:ascii="Times New Roman" w:hAnsi="Times New Roman" w:eastAsia="Times New Roman" w:cs="Times New Roman"/>
                <w:spacing w:val="-21"/>
              </w:rPr>
              <w:t xml:space="preserve"> </w:t>
            </w:r>
            <w:r>
              <w:rPr>
                <w:spacing w:val="8"/>
              </w:rPr>
              <w:t>．</w:t>
            </w:r>
            <w:r>
              <w:rPr>
                <w:spacing w:val="-59"/>
              </w:rPr>
              <w:t xml:space="preserve"> </w:t>
            </w:r>
            <w:r>
              <w:rPr>
                <w:spacing w:val="8"/>
              </w:rPr>
              <w:t>以项目经理身份完成的与招标项目同类</w:t>
            </w:r>
            <w:r>
              <w:rPr>
                <w:spacing w:val="7"/>
              </w:rPr>
              <w:t>别工</w:t>
            </w:r>
            <w:r>
              <w:rPr>
                <w:spacing w:val="6"/>
              </w:rPr>
              <w:t>程（即房屋建筑或市政工程，下同）近</w:t>
            </w:r>
            <w:r>
              <w:rPr>
                <w:spacing w:val="-38"/>
              </w:rPr>
              <w:t xml:space="preserve"> </w:t>
            </w:r>
            <w:r>
              <w:rPr>
                <w:rFonts w:ascii="Times New Roman" w:hAnsi="Times New Roman" w:eastAsia="Times New Roman" w:cs="Times New Roman"/>
                <w:spacing w:val="6"/>
              </w:rPr>
              <w:t xml:space="preserve">5 </w:t>
            </w:r>
            <w:r>
              <w:rPr>
                <w:spacing w:val="6"/>
              </w:rPr>
              <w:t>年</w:t>
            </w:r>
            <w:r>
              <w:rPr>
                <w:spacing w:val="5"/>
              </w:rPr>
              <w:t>获得</w:t>
            </w:r>
            <w:r>
              <w:rPr>
                <w:spacing w:val="-4"/>
              </w:rPr>
              <w:t>“</w:t>
            </w:r>
            <w:r>
              <w:rPr>
                <w:spacing w:val="-70"/>
              </w:rPr>
              <w:t xml:space="preserve"> </w:t>
            </w:r>
            <w:r>
              <w:rPr>
                <w:spacing w:val="-4"/>
              </w:rPr>
              <w:t>中国建设工程鲁班奖（国家优质工程）”“中国</w:t>
            </w:r>
            <w:r>
              <w:rPr>
                <w:spacing w:val="5"/>
              </w:rPr>
              <w:t>土木工程詹天佑奖</w:t>
            </w:r>
            <w:r>
              <w:rPr>
                <w:spacing w:val="-63"/>
              </w:rPr>
              <w:t xml:space="preserve"> </w:t>
            </w:r>
            <w:r>
              <w:rPr>
                <w:spacing w:val="5"/>
              </w:rPr>
              <w:t>”“市政工程最高质量水平评</w:t>
            </w:r>
            <w:r>
              <w:rPr>
                <w:spacing w:val="-1"/>
              </w:rPr>
              <w:t>价</w:t>
            </w:r>
            <w:r>
              <w:rPr>
                <w:spacing w:val="-66"/>
              </w:rPr>
              <w:t xml:space="preserve"> </w:t>
            </w:r>
            <w:r>
              <w:rPr>
                <w:spacing w:val="-1"/>
              </w:rPr>
              <w:t>”“全国市政金杯示范工程</w:t>
            </w:r>
            <w:r>
              <w:rPr>
                <w:spacing w:val="-70"/>
              </w:rPr>
              <w:t xml:space="preserve"> </w:t>
            </w:r>
            <w:r>
              <w:rPr>
                <w:spacing w:val="-1"/>
              </w:rPr>
              <w:t>”“</w:t>
            </w:r>
            <w:r>
              <w:rPr>
                <w:rFonts w:ascii="Times New Roman" w:hAnsi="Times New Roman" w:eastAsia="Times New Roman" w:cs="Times New Roman"/>
                <w:spacing w:val="-1"/>
              </w:rPr>
              <w:t>AAA</w:t>
            </w:r>
            <w:r>
              <w:rPr>
                <w:rFonts w:ascii="Times New Roman" w:hAnsi="Times New Roman" w:eastAsia="Times New Roman" w:cs="Times New Roman"/>
                <w:spacing w:val="17"/>
              </w:rPr>
              <w:t xml:space="preserve"> </w:t>
            </w:r>
            <w:r>
              <w:rPr>
                <w:spacing w:val="-1"/>
              </w:rPr>
              <w:t>级安全文</w:t>
            </w:r>
            <w:r>
              <w:rPr>
                <w:spacing w:val="5"/>
              </w:rPr>
              <w:t>明标准化工地</w:t>
            </w:r>
            <w:r>
              <w:rPr>
                <w:spacing w:val="-60"/>
              </w:rPr>
              <w:t xml:space="preserve"> </w:t>
            </w:r>
            <w:r>
              <w:rPr>
                <w:spacing w:val="5"/>
              </w:rPr>
              <w:t>”“建设工程项目施工工地安全生</w:t>
            </w:r>
            <w:r>
              <w:rPr>
                <w:spacing w:val="4"/>
              </w:rPr>
              <w:t>产标准化学习交流项目</w:t>
            </w:r>
            <w:r>
              <w:rPr>
                <w:spacing w:val="-57"/>
              </w:rPr>
              <w:t xml:space="preserve"> </w:t>
            </w:r>
            <w:r>
              <w:rPr>
                <w:spacing w:val="4"/>
              </w:rPr>
              <w:t>”的每项得</w:t>
            </w:r>
            <w:r>
              <w:rPr>
                <w:spacing w:val="-36"/>
              </w:rPr>
              <w:t xml:space="preserve"> </w:t>
            </w:r>
            <w:r>
              <w:rPr>
                <w:rFonts w:ascii="Times New Roman" w:hAnsi="Times New Roman" w:eastAsia="Times New Roman" w:cs="Times New Roman"/>
                <w:spacing w:val="4"/>
              </w:rPr>
              <w:t xml:space="preserve">3 </w:t>
            </w:r>
            <w:r>
              <w:rPr>
                <w:spacing w:val="4"/>
              </w:rPr>
              <w:t>分；获得省</w:t>
            </w:r>
            <w:r>
              <w:rPr>
                <w:spacing w:val="7"/>
              </w:rPr>
              <w:t>级优质工程奖（如楚天杯）或安全文明施工</w:t>
            </w:r>
            <w:r>
              <w:rPr>
                <w:spacing w:val="6"/>
              </w:rPr>
              <w:t>现场奖的每项得</w:t>
            </w:r>
            <w:r>
              <w:rPr>
                <w:spacing w:val="-37"/>
              </w:rPr>
              <w:t xml:space="preserve"> </w:t>
            </w:r>
            <w:r>
              <w:rPr>
                <w:rFonts w:ascii="Times New Roman" w:hAnsi="Times New Roman" w:eastAsia="Times New Roman" w:cs="Times New Roman"/>
                <w:spacing w:val="6"/>
              </w:rPr>
              <w:t xml:space="preserve">2 </w:t>
            </w:r>
            <w:r>
              <w:rPr>
                <w:spacing w:val="6"/>
              </w:rPr>
              <w:t>分；获得地市级优质工程奖或安全</w:t>
            </w:r>
            <w:r>
              <w:rPr>
                <w:spacing w:val="5"/>
              </w:rPr>
              <w:t>文明施工现场奖的每项得</w:t>
            </w:r>
            <w:r>
              <w:rPr>
                <w:spacing w:val="-27"/>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17"/>
              </w:rPr>
              <w:t xml:space="preserve"> </w:t>
            </w:r>
            <w:r>
              <w:rPr>
                <w:spacing w:val="5"/>
              </w:rPr>
              <w:t>分。（同一工程获得</w:t>
            </w:r>
            <w:r>
              <w:rPr>
                <w:spacing w:val="7"/>
              </w:rPr>
              <w:t>不同级别奖项的，按级别高的奖项加分且不</w:t>
            </w:r>
            <w:r>
              <w:rPr>
                <w:spacing w:val="6"/>
              </w:rPr>
              <w:t>重复计分）</w:t>
            </w:r>
          </w:p>
          <w:p w14:paraId="207FBCB4">
            <w:pPr>
              <w:pStyle w:val="6"/>
              <w:spacing w:before="1" w:line="239" w:lineRule="auto"/>
              <w:ind w:left="112" w:right="55" w:firstLine="1"/>
            </w:pPr>
            <w:r>
              <w:rPr>
                <w:rFonts w:ascii="Times New Roman" w:hAnsi="Times New Roman" w:eastAsia="Times New Roman" w:cs="Times New Roman"/>
                <w:spacing w:val="8"/>
              </w:rPr>
              <w:t>3</w:t>
            </w:r>
            <w:r>
              <w:rPr>
                <w:rFonts w:ascii="Times New Roman" w:hAnsi="Times New Roman" w:eastAsia="Times New Roman" w:cs="Times New Roman"/>
                <w:spacing w:val="-9"/>
              </w:rPr>
              <w:t xml:space="preserve"> </w:t>
            </w:r>
            <w:r>
              <w:rPr>
                <w:spacing w:val="8"/>
              </w:rPr>
              <w:t>．项目经理近</w:t>
            </w:r>
            <w:r>
              <w:rPr>
                <w:spacing w:val="-35"/>
              </w:rPr>
              <w:t xml:space="preserve"> </w:t>
            </w:r>
            <w:r>
              <w:rPr>
                <w:rFonts w:ascii="Times New Roman" w:hAnsi="Times New Roman" w:eastAsia="Times New Roman" w:cs="Times New Roman"/>
                <w:spacing w:val="8"/>
              </w:rPr>
              <w:t xml:space="preserve">5 </w:t>
            </w:r>
            <w:r>
              <w:rPr>
                <w:spacing w:val="8"/>
              </w:rPr>
              <w:t>年获得省级优秀项目经理（或诚信项目经理，或优秀建造师）表彰的每项得</w:t>
            </w:r>
            <w:r>
              <w:rPr>
                <w:spacing w:val="-34"/>
              </w:rPr>
              <w:t xml:space="preserve"> </w:t>
            </w:r>
            <w:r>
              <w:rPr>
                <w:rFonts w:ascii="Times New Roman" w:hAnsi="Times New Roman" w:eastAsia="Times New Roman" w:cs="Times New Roman"/>
                <w:spacing w:val="8"/>
              </w:rPr>
              <w:t>2</w:t>
            </w:r>
            <w:r>
              <w:rPr>
                <w:spacing w:val="-1"/>
              </w:rPr>
              <w:t>分，获得地市级优秀项目经理（或诚信项目经理，</w:t>
            </w:r>
          </w:p>
        </w:tc>
      </w:tr>
    </w:tbl>
    <w:p w14:paraId="0DCBF67A">
      <w:pPr>
        <w:rPr>
          <w:rFonts w:ascii="Arial"/>
          <w:sz w:val="21"/>
        </w:rPr>
      </w:pPr>
    </w:p>
    <w:p w14:paraId="21EEA837">
      <w:pPr>
        <w:rPr>
          <w:rFonts w:ascii="Arial" w:hAnsi="Arial" w:eastAsia="Arial" w:cs="Arial"/>
          <w:sz w:val="21"/>
          <w:szCs w:val="21"/>
        </w:rPr>
        <w:sectPr>
          <w:footerReference r:id="rId89" w:type="default"/>
          <w:pgSz w:w="11907" w:h="16840"/>
          <w:pgMar w:top="400" w:right="1248" w:bottom="1035" w:left="1469" w:header="0" w:footer="785" w:gutter="0"/>
          <w:cols w:space="720" w:num="1"/>
        </w:sectPr>
      </w:pPr>
    </w:p>
    <w:p w14:paraId="77E2A8F1">
      <w:pPr>
        <w:spacing w:before="19"/>
      </w:pPr>
    </w:p>
    <w:p w14:paraId="2D425D16">
      <w:pPr>
        <w:spacing w:before="19"/>
      </w:pPr>
    </w:p>
    <w:p w14:paraId="2FF5F20D">
      <w:pPr>
        <w:spacing w:before="19"/>
      </w:pPr>
    </w:p>
    <w:p w14:paraId="59BD1A7B">
      <w:pPr>
        <w:spacing w:before="18"/>
      </w:pPr>
    </w:p>
    <w:p w14:paraId="399B097B">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6F264A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7" w:hRule="atLeast"/>
        </w:trPr>
        <w:tc>
          <w:tcPr>
            <w:tcW w:w="745" w:type="dxa"/>
            <w:vMerge w:val="restart"/>
            <w:tcBorders>
              <w:bottom w:val="nil"/>
            </w:tcBorders>
            <w:vAlign w:val="top"/>
          </w:tcPr>
          <w:p w14:paraId="2D543D12">
            <w:pPr>
              <w:rPr>
                <w:rFonts w:ascii="Arial"/>
                <w:sz w:val="21"/>
              </w:rPr>
            </w:pPr>
          </w:p>
        </w:tc>
        <w:tc>
          <w:tcPr>
            <w:tcW w:w="1058" w:type="dxa"/>
            <w:vMerge w:val="restart"/>
            <w:tcBorders>
              <w:bottom w:val="nil"/>
            </w:tcBorders>
            <w:vAlign w:val="top"/>
          </w:tcPr>
          <w:p w14:paraId="65FEAA9B">
            <w:pPr>
              <w:rPr>
                <w:rFonts w:ascii="Arial"/>
                <w:sz w:val="21"/>
              </w:rPr>
            </w:pPr>
          </w:p>
        </w:tc>
        <w:tc>
          <w:tcPr>
            <w:tcW w:w="2084" w:type="dxa"/>
            <w:vAlign w:val="top"/>
          </w:tcPr>
          <w:p w14:paraId="50A23AC5">
            <w:pPr>
              <w:rPr>
                <w:rFonts w:ascii="Arial"/>
                <w:sz w:val="21"/>
              </w:rPr>
            </w:pPr>
          </w:p>
        </w:tc>
        <w:tc>
          <w:tcPr>
            <w:tcW w:w="735" w:type="dxa"/>
            <w:vAlign w:val="top"/>
          </w:tcPr>
          <w:p w14:paraId="75F2CFDA">
            <w:pPr>
              <w:rPr>
                <w:rFonts w:ascii="Arial"/>
                <w:sz w:val="21"/>
              </w:rPr>
            </w:pPr>
          </w:p>
        </w:tc>
        <w:tc>
          <w:tcPr>
            <w:tcW w:w="4562" w:type="dxa"/>
            <w:vAlign w:val="top"/>
          </w:tcPr>
          <w:p w14:paraId="4E9169E2">
            <w:pPr>
              <w:pStyle w:val="6"/>
              <w:spacing w:before="34" w:line="253" w:lineRule="auto"/>
              <w:ind w:left="116" w:right="109"/>
              <w:jc w:val="both"/>
            </w:pPr>
            <w:r>
              <w:rPr>
                <w:spacing w:val="5"/>
              </w:rPr>
              <w:t>或优秀建造师）表彰的每项得</w:t>
            </w:r>
            <w:r>
              <w:rPr>
                <w:spacing w:val="-40"/>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15"/>
              </w:rPr>
              <w:t xml:space="preserve"> </w:t>
            </w:r>
            <w:r>
              <w:rPr>
                <w:spacing w:val="5"/>
              </w:rPr>
              <w:t>分。（获得不同</w:t>
            </w:r>
            <w:r>
              <w:rPr>
                <w:spacing w:val="16"/>
              </w:rPr>
              <w:t>级别表彰的，按级别高的奖励加分且不重复计</w:t>
            </w:r>
            <w:r>
              <w:rPr>
                <w:spacing w:val="-1"/>
              </w:rPr>
              <w:t>分）</w:t>
            </w:r>
          </w:p>
        </w:tc>
      </w:tr>
      <w:tr w14:paraId="57F67F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8" w:hRule="atLeast"/>
        </w:trPr>
        <w:tc>
          <w:tcPr>
            <w:tcW w:w="745" w:type="dxa"/>
            <w:vMerge w:val="continue"/>
            <w:tcBorders>
              <w:top w:val="nil"/>
            </w:tcBorders>
            <w:vAlign w:val="top"/>
          </w:tcPr>
          <w:p w14:paraId="78DA1A0D">
            <w:pPr>
              <w:rPr>
                <w:rFonts w:ascii="Arial"/>
                <w:sz w:val="21"/>
              </w:rPr>
            </w:pPr>
          </w:p>
        </w:tc>
        <w:tc>
          <w:tcPr>
            <w:tcW w:w="1058" w:type="dxa"/>
            <w:vMerge w:val="continue"/>
            <w:tcBorders>
              <w:top w:val="nil"/>
            </w:tcBorders>
            <w:vAlign w:val="top"/>
          </w:tcPr>
          <w:p w14:paraId="302AF5BE">
            <w:pPr>
              <w:rPr>
                <w:rFonts w:ascii="Arial"/>
                <w:sz w:val="21"/>
              </w:rPr>
            </w:pPr>
          </w:p>
        </w:tc>
        <w:tc>
          <w:tcPr>
            <w:tcW w:w="2084" w:type="dxa"/>
            <w:vAlign w:val="top"/>
          </w:tcPr>
          <w:p w14:paraId="034B4263">
            <w:pPr>
              <w:spacing w:line="246" w:lineRule="auto"/>
              <w:rPr>
                <w:rFonts w:ascii="Arial"/>
                <w:sz w:val="21"/>
              </w:rPr>
            </w:pPr>
          </w:p>
          <w:p w14:paraId="468CFC1F">
            <w:pPr>
              <w:spacing w:line="247" w:lineRule="auto"/>
              <w:rPr>
                <w:rFonts w:ascii="Arial"/>
                <w:sz w:val="21"/>
              </w:rPr>
            </w:pPr>
          </w:p>
          <w:p w14:paraId="3623A77C">
            <w:pPr>
              <w:spacing w:line="247" w:lineRule="auto"/>
              <w:rPr>
                <w:rFonts w:ascii="Arial"/>
                <w:sz w:val="21"/>
              </w:rPr>
            </w:pPr>
          </w:p>
          <w:p w14:paraId="603E5AD0">
            <w:pPr>
              <w:spacing w:line="247" w:lineRule="auto"/>
              <w:rPr>
                <w:rFonts w:ascii="Arial"/>
                <w:sz w:val="21"/>
              </w:rPr>
            </w:pPr>
          </w:p>
          <w:p w14:paraId="60CAFEB5">
            <w:pPr>
              <w:spacing w:line="247" w:lineRule="auto"/>
              <w:rPr>
                <w:rFonts w:ascii="Arial"/>
                <w:sz w:val="21"/>
              </w:rPr>
            </w:pPr>
          </w:p>
          <w:p w14:paraId="132AD1F8">
            <w:pPr>
              <w:spacing w:line="247" w:lineRule="auto"/>
              <w:rPr>
                <w:rFonts w:ascii="Arial"/>
                <w:sz w:val="21"/>
              </w:rPr>
            </w:pPr>
          </w:p>
          <w:p w14:paraId="141D801F">
            <w:pPr>
              <w:spacing w:line="247" w:lineRule="auto"/>
              <w:rPr>
                <w:rFonts w:ascii="Arial"/>
                <w:sz w:val="21"/>
              </w:rPr>
            </w:pPr>
          </w:p>
          <w:p w14:paraId="26F8857C">
            <w:pPr>
              <w:pStyle w:val="6"/>
              <w:spacing w:before="65" w:line="251" w:lineRule="auto"/>
              <w:ind w:left="111" w:right="296"/>
            </w:pPr>
            <w:r>
              <w:rPr>
                <w:spacing w:val="6"/>
              </w:rPr>
              <w:t>近</w:t>
            </w:r>
            <w:r>
              <w:rPr>
                <w:spacing w:val="-35"/>
              </w:rPr>
              <w:t xml:space="preserve"> </w:t>
            </w:r>
            <w:r>
              <w:rPr>
                <w:rFonts w:ascii="Times New Roman" w:hAnsi="Times New Roman" w:eastAsia="Times New Roman" w:cs="Times New Roman"/>
                <w:spacing w:val="6"/>
              </w:rPr>
              <w:t xml:space="preserve">5 </w:t>
            </w:r>
            <w:r>
              <w:rPr>
                <w:spacing w:val="6"/>
              </w:rPr>
              <w:t>年工程奖项、</w:t>
            </w:r>
            <w:r>
              <w:rPr>
                <w:spacing w:val="8"/>
              </w:rPr>
              <w:t>项目经理工程奖项</w:t>
            </w:r>
            <w:r>
              <w:rPr>
                <w:spacing w:val="7"/>
              </w:rPr>
              <w:t>及表彰</w:t>
            </w:r>
          </w:p>
          <w:p w14:paraId="371D44C1">
            <w:pPr>
              <w:pStyle w:val="6"/>
              <w:spacing w:line="251" w:lineRule="auto"/>
              <w:ind w:left="115" w:right="296" w:firstLine="7"/>
            </w:pPr>
            <w:r>
              <w:rPr>
                <w:spacing w:val="7"/>
              </w:rPr>
              <w:t>（适用于建筑装饰或幕墙专业招标）</w:t>
            </w:r>
          </w:p>
        </w:tc>
        <w:tc>
          <w:tcPr>
            <w:tcW w:w="735" w:type="dxa"/>
            <w:vAlign w:val="top"/>
          </w:tcPr>
          <w:p w14:paraId="063DB0EB">
            <w:pPr>
              <w:spacing w:line="252" w:lineRule="auto"/>
              <w:rPr>
                <w:rFonts w:ascii="Arial"/>
                <w:sz w:val="21"/>
              </w:rPr>
            </w:pPr>
          </w:p>
          <w:p w14:paraId="54F8F9CF">
            <w:pPr>
              <w:spacing w:line="252" w:lineRule="auto"/>
              <w:rPr>
                <w:rFonts w:ascii="Arial"/>
                <w:sz w:val="21"/>
              </w:rPr>
            </w:pPr>
          </w:p>
          <w:p w14:paraId="4D0F31AB">
            <w:pPr>
              <w:spacing w:line="252" w:lineRule="auto"/>
              <w:rPr>
                <w:rFonts w:ascii="Arial"/>
                <w:sz w:val="21"/>
              </w:rPr>
            </w:pPr>
          </w:p>
          <w:p w14:paraId="6B208158">
            <w:pPr>
              <w:spacing w:line="252" w:lineRule="auto"/>
              <w:rPr>
                <w:rFonts w:ascii="Arial"/>
                <w:sz w:val="21"/>
              </w:rPr>
            </w:pPr>
          </w:p>
          <w:p w14:paraId="16C5CE1A">
            <w:pPr>
              <w:spacing w:line="252" w:lineRule="auto"/>
              <w:rPr>
                <w:rFonts w:ascii="Arial"/>
                <w:sz w:val="21"/>
              </w:rPr>
            </w:pPr>
          </w:p>
          <w:p w14:paraId="08C48B43">
            <w:pPr>
              <w:spacing w:line="252" w:lineRule="auto"/>
              <w:rPr>
                <w:rFonts w:ascii="Arial"/>
                <w:sz w:val="21"/>
              </w:rPr>
            </w:pPr>
          </w:p>
          <w:p w14:paraId="3E397576">
            <w:pPr>
              <w:spacing w:line="252" w:lineRule="auto"/>
              <w:rPr>
                <w:rFonts w:ascii="Arial"/>
                <w:sz w:val="21"/>
              </w:rPr>
            </w:pPr>
          </w:p>
          <w:p w14:paraId="38F284EF">
            <w:pPr>
              <w:spacing w:line="252" w:lineRule="auto"/>
              <w:rPr>
                <w:rFonts w:ascii="Arial"/>
                <w:sz w:val="21"/>
              </w:rPr>
            </w:pPr>
          </w:p>
          <w:p w14:paraId="7FF13BDA">
            <w:pPr>
              <w:spacing w:line="252" w:lineRule="auto"/>
              <w:rPr>
                <w:rFonts w:ascii="Arial"/>
                <w:sz w:val="21"/>
              </w:rPr>
            </w:pPr>
          </w:p>
          <w:p w14:paraId="2E0598E3">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6C0AE4EF">
            <w:pPr>
              <w:pStyle w:val="6"/>
              <w:spacing w:before="36" w:line="251" w:lineRule="auto"/>
              <w:ind w:left="112" w:right="107" w:firstLine="17"/>
            </w:pPr>
            <w:r>
              <w:rPr>
                <w:rFonts w:ascii="Times New Roman" w:hAnsi="Times New Roman" w:eastAsia="Times New Roman" w:cs="Times New Roman"/>
                <w:spacing w:val="11"/>
              </w:rPr>
              <w:t xml:space="preserve">1.  </w:t>
            </w:r>
            <w:r>
              <w:rPr>
                <w:spacing w:val="11"/>
              </w:rPr>
              <w:t>投标人完成的与招标项目同类别工程（即公</w:t>
            </w:r>
            <w:r>
              <w:rPr>
                <w:spacing w:val="9"/>
              </w:rPr>
              <w:t>共建筑装饰或建筑幕墙工程</w:t>
            </w:r>
            <w:r>
              <w:rPr>
                <w:spacing w:val="-33"/>
              </w:rPr>
              <w:t>），</w:t>
            </w:r>
            <w:r>
              <w:rPr>
                <w:spacing w:val="9"/>
              </w:rPr>
              <w:t>近</w:t>
            </w:r>
            <w:r>
              <w:rPr>
                <w:spacing w:val="-31"/>
              </w:rPr>
              <w:t xml:space="preserve"> </w:t>
            </w:r>
            <w:r>
              <w:rPr>
                <w:rFonts w:ascii="Times New Roman" w:hAnsi="Times New Roman" w:eastAsia="Times New Roman" w:cs="Times New Roman"/>
                <w:spacing w:val="9"/>
              </w:rPr>
              <w:t xml:space="preserve">5 </w:t>
            </w:r>
            <w:r>
              <w:rPr>
                <w:spacing w:val="9"/>
              </w:rPr>
              <w:t>年获得中国</w:t>
            </w:r>
            <w:r>
              <w:rPr>
                <w:spacing w:val="5"/>
              </w:rPr>
              <w:t>建筑装饰协会颁发的“</w:t>
            </w:r>
            <w:r>
              <w:rPr>
                <w:spacing w:val="-70"/>
              </w:rPr>
              <w:t xml:space="preserve"> </w:t>
            </w:r>
            <w:r>
              <w:rPr>
                <w:spacing w:val="5"/>
              </w:rPr>
              <w:t>中国建筑工程装饰奖（公</w:t>
            </w:r>
            <w:r>
              <w:rPr>
                <w:spacing w:val="-4"/>
              </w:rPr>
              <w:t>共建筑装饰类、建筑幕墙类）”, 每项得</w:t>
            </w:r>
            <w:r>
              <w:rPr>
                <w:spacing w:val="-37"/>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4"/>
                <w:w w:val="101"/>
              </w:rPr>
              <w:t xml:space="preserve"> </w:t>
            </w:r>
            <w:r>
              <w:rPr>
                <w:spacing w:val="-4"/>
              </w:rPr>
              <w:t>分；获</w:t>
            </w:r>
            <w:r>
              <w:rPr>
                <w:spacing w:val="6"/>
              </w:rPr>
              <w:t>得省级建筑装饰协会颁发的“省优质（优秀、优良）建筑装饰工程（公共建筑装饰工程、建筑幕</w:t>
            </w:r>
            <w:r>
              <w:rPr>
                <w:spacing w:val="-10"/>
              </w:rPr>
              <w:t>墙工程）”（如装饰楚天杯</w:t>
            </w:r>
            <w:r>
              <w:rPr>
                <w:spacing w:val="-42"/>
              </w:rPr>
              <w:t>），</w:t>
            </w:r>
            <w:r>
              <w:rPr>
                <w:spacing w:val="-10"/>
              </w:rPr>
              <w:t>每项得</w:t>
            </w:r>
            <w:r>
              <w:rPr>
                <w:spacing w:val="-38"/>
              </w:rPr>
              <w:t xml:space="preserve"> </w:t>
            </w:r>
            <w:r>
              <w:rPr>
                <w:rFonts w:ascii="Times New Roman" w:hAnsi="Times New Roman" w:eastAsia="Times New Roman" w:cs="Times New Roman"/>
                <w:spacing w:val="-10"/>
              </w:rPr>
              <w:t>3</w:t>
            </w:r>
            <w:r>
              <w:rPr>
                <w:rFonts w:ascii="Times New Roman" w:hAnsi="Times New Roman" w:eastAsia="Times New Roman" w:cs="Times New Roman"/>
                <w:spacing w:val="15"/>
              </w:rPr>
              <w:t xml:space="preserve"> </w:t>
            </w:r>
            <w:r>
              <w:rPr>
                <w:spacing w:val="-10"/>
              </w:rPr>
              <w:t>分。（同一</w:t>
            </w:r>
            <w:r>
              <w:rPr>
                <w:spacing w:val="6"/>
              </w:rPr>
              <w:t>工程获得不同级别奖项的，按级别高的奖项加分</w:t>
            </w:r>
            <w:r>
              <w:rPr>
                <w:spacing w:val="7"/>
              </w:rPr>
              <w:t>且不重复计分）</w:t>
            </w:r>
          </w:p>
          <w:p w14:paraId="6001A795">
            <w:pPr>
              <w:pStyle w:val="6"/>
              <w:spacing w:before="6" w:line="247" w:lineRule="auto"/>
              <w:ind w:left="111" w:right="22" w:hanging="2"/>
            </w:pPr>
            <w:r>
              <w:rPr>
                <w:rFonts w:ascii="Times New Roman" w:hAnsi="Times New Roman" w:eastAsia="Times New Roman" w:cs="Times New Roman"/>
                <w:spacing w:val="11"/>
              </w:rPr>
              <w:t>2.</w:t>
            </w:r>
            <w:r>
              <w:rPr>
                <w:rFonts w:ascii="Times New Roman" w:hAnsi="Times New Roman" w:eastAsia="Times New Roman" w:cs="Times New Roman"/>
                <w:spacing w:val="27"/>
                <w:w w:val="101"/>
              </w:rPr>
              <w:t xml:space="preserve">  </w:t>
            </w:r>
            <w:r>
              <w:rPr>
                <w:spacing w:val="11"/>
              </w:rPr>
              <w:t>以项目经理身份完成的同类别工程（即公共</w:t>
            </w:r>
            <w:r>
              <w:rPr>
                <w:spacing w:val="9"/>
              </w:rPr>
              <w:t>建筑装饰或建筑幕墙工程</w:t>
            </w:r>
            <w:r>
              <w:rPr>
                <w:spacing w:val="-30"/>
              </w:rPr>
              <w:t>），</w:t>
            </w:r>
            <w:r>
              <w:rPr>
                <w:spacing w:val="9"/>
              </w:rPr>
              <w:t>近</w:t>
            </w:r>
            <w:r>
              <w:rPr>
                <w:spacing w:val="-35"/>
              </w:rPr>
              <w:t xml:space="preserve"> </w:t>
            </w:r>
            <w:r>
              <w:rPr>
                <w:rFonts w:ascii="Times New Roman" w:hAnsi="Times New Roman" w:eastAsia="Times New Roman" w:cs="Times New Roman"/>
                <w:spacing w:val="9"/>
              </w:rPr>
              <w:t xml:space="preserve">5 </w:t>
            </w:r>
            <w:r>
              <w:rPr>
                <w:spacing w:val="9"/>
              </w:rPr>
              <w:t>年获得中国建</w:t>
            </w:r>
            <w:r>
              <w:rPr>
                <w:spacing w:val="5"/>
              </w:rPr>
              <w:t>筑装饰协会颁发的“</w:t>
            </w:r>
            <w:r>
              <w:rPr>
                <w:spacing w:val="-70"/>
              </w:rPr>
              <w:t xml:space="preserve"> </w:t>
            </w:r>
            <w:r>
              <w:rPr>
                <w:spacing w:val="5"/>
              </w:rPr>
              <w:t>中国建筑工程装饰奖（</w:t>
            </w:r>
            <w:r>
              <w:rPr>
                <w:spacing w:val="4"/>
              </w:rPr>
              <w:t>公共</w:t>
            </w:r>
            <w:r>
              <w:rPr>
                <w:spacing w:val="-4"/>
              </w:rPr>
              <w:t>建筑装饰类、建筑幕墙类）”, 每项得</w:t>
            </w:r>
            <w:r>
              <w:rPr>
                <w:spacing w:val="-39"/>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4"/>
                <w:w w:val="101"/>
              </w:rPr>
              <w:t xml:space="preserve"> </w:t>
            </w:r>
            <w:r>
              <w:rPr>
                <w:spacing w:val="-4"/>
              </w:rPr>
              <w:t>分；获得</w:t>
            </w:r>
            <w:r>
              <w:rPr>
                <w:spacing w:val="1"/>
              </w:rPr>
              <w:t>省级建筑装饰协会颁发的“省优质（优秀、优</w:t>
            </w:r>
            <w:r>
              <w:t>良）</w:t>
            </w:r>
            <w:r>
              <w:rPr>
                <w:spacing w:val="6"/>
              </w:rPr>
              <w:t>建筑装饰工程（公共建筑装饰工程、建筑幕墙工</w:t>
            </w:r>
            <w:r>
              <w:rPr>
                <w:spacing w:val="-10"/>
              </w:rPr>
              <w:t>程）”（如装饰楚天杯</w:t>
            </w:r>
            <w:r>
              <w:rPr>
                <w:spacing w:val="-42"/>
              </w:rPr>
              <w:t>），</w:t>
            </w:r>
            <w:r>
              <w:rPr>
                <w:spacing w:val="-10"/>
              </w:rPr>
              <w:t>每项得</w:t>
            </w:r>
            <w:r>
              <w:rPr>
                <w:spacing w:val="-38"/>
              </w:rPr>
              <w:t xml:space="preserve"> </w:t>
            </w:r>
            <w:r>
              <w:rPr>
                <w:rFonts w:ascii="Times New Roman" w:hAnsi="Times New Roman" w:eastAsia="Times New Roman" w:cs="Times New Roman"/>
                <w:spacing w:val="-10"/>
              </w:rPr>
              <w:t>3</w:t>
            </w:r>
            <w:r>
              <w:rPr>
                <w:rFonts w:ascii="Times New Roman" w:hAnsi="Times New Roman" w:eastAsia="Times New Roman" w:cs="Times New Roman"/>
                <w:spacing w:val="15"/>
              </w:rPr>
              <w:t xml:space="preserve"> </w:t>
            </w:r>
            <w:r>
              <w:rPr>
                <w:spacing w:val="-10"/>
              </w:rPr>
              <w:t>分。（同一工程</w:t>
            </w:r>
            <w:r>
              <w:rPr>
                <w:spacing w:val="6"/>
              </w:rPr>
              <w:t>获得不同级别奖项的，按级别高的奖项加分且不重复计分）</w:t>
            </w:r>
          </w:p>
        </w:tc>
      </w:tr>
    </w:tbl>
    <w:p w14:paraId="51860751">
      <w:pPr>
        <w:spacing w:line="252" w:lineRule="auto"/>
        <w:rPr>
          <w:rFonts w:ascii="Arial"/>
          <w:sz w:val="21"/>
        </w:rPr>
      </w:pPr>
    </w:p>
    <w:p w14:paraId="4281FEBC">
      <w:pPr>
        <w:spacing w:line="252" w:lineRule="auto"/>
        <w:rPr>
          <w:rFonts w:ascii="Arial"/>
          <w:sz w:val="21"/>
        </w:rPr>
      </w:pPr>
    </w:p>
    <w:p w14:paraId="07279638">
      <w:pPr>
        <w:spacing w:before="65" w:line="252" w:lineRule="auto"/>
        <w:ind w:left="643" w:right="190" w:hanging="628"/>
        <w:rPr>
          <w:rFonts w:ascii="宋体" w:hAnsi="宋体" w:eastAsia="宋体" w:cs="宋体"/>
          <w:sz w:val="20"/>
          <w:szCs w:val="20"/>
        </w:rPr>
      </w:pPr>
      <w:r>
        <w:rPr>
          <w:rFonts w:ascii="宋体" w:hAnsi="宋体" w:eastAsia="宋体" w:cs="宋体"/>
          <w:spacing w:val="3"/>
          <w:sz w:val="20"/>
          <w:szCs w:val="20"/>
        </w:rPr>
        <w:t>备注：根据《关于建立部分专业技术类职业资格与职称</w:t>
      </w:r>
      <w:r>
        <w:rPr>
          <w:rFonts w:ascii="宋体" w:hAnsi="宋体" w:eastAsia="宋体" w:cs="宋体"/>
          <w:spacing w:val="2"/>
          <w:sz w:val="20"/>
          <w:szCs w:val="20"/>
        </w:rPr>
        <w:t>对应关系的通知（鄂人社发〔</w:t>
      </w:r>
      <w:r>
        <w:rPr>
          <w:rFonts w:ascii="Times New Roman" w:hAnsi="Times New Roman" w:eastAsia="Times New Roman" w:cs="Times New Roman"/>
          <w:spacing w:val="2"/>
          <w:sz w:val="20"/>
          <w:szCs w:val="20"/>
        </w:rPr>
        <w:t>2018</w:t>
      </w:r>
      <w:r>
        <w:rPr>
          <w:rFonts w:ascii="宋体" w:hAnsi="宋体" w:eastAsia="宋体" w:cs="宋体"/>
          <w:spacing w:val="2"/>
          <w:sz w:val="20"/>
          <w:szCs w:val="20"/>
        </w:rPr>
        <w:t>〕</w:t>
      </w:r>
      <w:r>
        <w:rPr>
          <w:rFonts w:ascii="Times New Roman" w:hAnsi="Times New Roman" w:eastAsia="Times New Roman" w:cs="Times New Roman"/>
          <w:spacing w:val="2"/>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2"/>
          <w:sz w:val="20"/>
          <w:szCs w:val="20"/>
        </w:rPr>
        <w:t>号）》</w:t>
      </w:r>
      <w:r>
        <w:rPr>
          <w:rFonts w:ascii="宋体" w:hAnsi="宋体" w:eastAsia="宋体" w:cs="宋体"/>
          <w:sz w:val="20"/>
          <w:szCs w:val="20"/>
        </w:rPr>
        <w:t xml:space="preserve"> </w:t>
      </w:r>
      <w:r>
        <w:rPr>
          <w:rFonts w:ascii="宋体" w:hAnsi="宋体" w:eastAsia="宋体" w:cs="宋体"/>
          <w:spacing w:val="9"/>
          <w:sz w:val="20"/>
          <w:szCs w:val="20"/>
        </w:rPr>
        <w:t>《住房城乡建设部 交通运输部 水利部 人力资源社会保障部关于</w:t>
      </w:r>
      <w:r>
        <w:rPr>
          <w:rFonts w:ascii="宋体" w:hAnsi="宋体" w:eastAsia="宋体" w:cs="宋体"/>
          <w:spacing w:val="8"/>
          <w:sz w:val="20"/>
          <w:szCs w:val="20"/>
        </w:rPr>
        <w:t>印发〈造价工程师职业资</w:t>
      </w:r>
      <w:r>
        <w:rPr>
          <w:rFonts w:ascii="宋体" w:hAnsi="宋体" w:eastAsia="宋体" w:cs="宋体"/>
          <w:spacing w:val="2"/>
          <w:sz w:val="20"/>
          <w:szCs w:val="20"/>
        </w:rPr>
        <w:t>格制度规定〉〈造价工程师职业资格考试实施办法〉的通知（建人〔</w:t>
      </w:r>
      <w:r>
        <w:rPr>
          <w:rFonts w:ascii="Times New Roman" w:hAnsi="Times New Roman" w:eastAsia="Times New Roman" w:cs="Times New Roman"/>
          <w:spacing w:val="2"/>
          <w:sz w:val="20"/>
          <w:szCs w:val="20"/>
        </w:rPr>
        <w:t>2018</w:t>
      </w:r>
      <w:r>
        <w:rPr>
          <w:rFonts w:ascii="宋体" w:hAnsi="宋体" w:eastAsia="宋体" w:cs="宋体"/>
          <w:spacing w:val="2"/>
          <w:sz w:val="20"/>
          <w:szCs w:val="20"/>
        </w:rPr>
        <w:t>〕</w:t>
      </w:r>
      <w:r>
        <w:rPr>
          <w:rFonts w:ascii="Times New Roman" w:hAnsi="Times New Roman" w:eastAsia="Times New Roman" w:cs="Times New Roman"/>
          <w:spacing w:val="2"/>
          <w:sz w:val="20"/>
          <w:szCs w:val="20"/>
        </w:rPr>
        <w:t>67</w:t>
      </w:r>
      <w:r>
        <w:rPr>
          <w:rFonts w:ascii="Times New Roman" w:hAnsi="Times New Roman" w:eastAsia="Times New Roman" w:cs="Times New Roman"/>
          <w:spacing w:val="16"/>
          <w:sz w:val="20"/>
          <w:szCs w:val="20"/>
        </w:rPr>
        <w:t xml:space="preserve"> </w:t>
      </w:r>
      <w:r>
        <w:rPr>
          <w:rFonts w:ascii="宋体" w:hAnsi="宋体" w:eastAsia="宋体" w:cs="宋体"/>
          <w:spacing w:val="2"/>
          <w:sz w:val="20"/>
          <w:szCs w:val="20"/>
        </w:rPr>
        <w:t>号）》等文件，</w:t>
      </w:r>
      <w:r>
        <w:rPr>
          <w:rFonts w:ascii="宋体" w:hAnsi="宋体" w:eastAsia="宋体" w:cs="宋体"/>
          <w:spacing w:val="12"/>
          <w:sz w:val="20"/>
          <w:szCs w:val="20"/>
        </w:rPr>
        <w:t>一级造价工程师、一级注册建筑师、一级建造师、一级注册结构工</w:t>
      </w:r>
      <w:r>
        <w:rPr>
          <w:rFonts w:ascii="宋体" w:hAnsi="宋体" w:eastAsia="宋体" w:cs="宋体"/>
          <w:spacing w:val="11"/>
          <w:sz w:val="20"/>
          <w:szCs w:val="20"/>
        </w:rPr>
        <w:t>程师、其他勘察设计注册工程师等，其职业资格直接对应相应系列的中级职称。二级造价师、二级注册建筑师、</w:t>
      </w:r>
    </w:p>
    <w:p w14:paraId="3D8D3094">
      <w:pPr>
        <w:spacing w:line="227" w:lineRule="auto"/>
        <w:ind w:left="647"/>
        <w:outlineLvl w:val="1"/>
        <w:rPr>
          <w:rFonts w:ascii="宋体" w:hAnsi="宋体" w:eastAsia="宋体" w:cs="宋体"/>
          <w:sz w:val="20"/>
          <w:szCs w:val="20"/>
        </w:rPr>
      </w:pPr>
      <w:r>
        <w:rPr>
          <w:rFonts w:ascii="宋体" w:hAnsi="宋体" w:eastAsia="宋体" w:cs="宋体"/>
          <w:spacing w:val="9"/>
          <w:sz w:val="20"/>
          <w:szCs w:val="20"/>
        </w:rPr>
        <w:t>二级建造师、二级注册结构工程师等，其职业资格直接对应相应系列的初级职称。</w:t>
      </w:r>
    </w:p>
    <w:p w14:paraId="763B13D0">
      <w:pPr>
        <w:spacing w:line="227" w:lineRule="auto"/>
        <w:rPr>
          <w:rFonts w:ascii="宋体" w:hAnsi="宋体" w:eastAsia="宋体" w:cs="宋体"/>
          <w:sz w:val="20"/>
          <w:szCs w:val="20"/>
        </w:rPr>
        <w:sectPr>
          <w:footerReference r:id="rId90" w:type="default"/>
          <w:pgSz w:w="11907" w:h="16840"/>
          <w:pgMar w:top="400" w:right="1248" w:bottom="1035" w:left="1469" w:header="0" w:footer="785" w:gutter="0"/>
          <w:cols w:space="720" w:num="1"/>
        </w:sectPr>
      </w:pPr>
    </w:p>
    <w:p w14:paraId="665D5B05">
      <w:pPr>
        <w:spacing w:line="276" w:lineRule="auto"/>
        <w:rPr>
          <w:rFonts w:ascii="Arial"/>
          <w:sz w:val="21"/>
        </w:rPr>
      </w:pPr>
    </w:p>
    <w:p w14:paraId="09C531DD">
      <w:pPr>
        <w:spacing w:line="276" w:lineRule="auto"/>
        <w:rPr>
          <w:rFonts w:ascii="Arial"/>
          <w:sz w:val="21"/>
        </w:rPr>
      </w:pPr>
    </w:p>
    <w:p w14:paraId="163CF70A">
      <w:pPr>
        <w:spacing w:line="276" w:lineRule="auto"/>
        <w:rPr>
          <w:rFonts w:ascii="Arial"/>
          <w:sz w:val="21"/>
        </w:rPr>
      </w:pPr>
    </w:p>
    <w:p w14:paraId="30A5F3D0">
      <w:pPr>
        <w:spacing w:line="276" w:lineRule="auto"/>
        <w:rPr>
          <w:rFonts w:ascii="Arial"/>
          <w:sz w:val="21"/>
        </w:rPr>
      </w:pPr>
    </w:p>
    <w:p w14:paraId="566CA0AE">
      <w:pPr>
        <w:spacing w:line="276" w:lineRule="auto"/>
        <w:rPr>
          <w:rFonts w:ascii="Arial"/>
          <w:sz w:val="21"/>
        </w:rPr>
      </w:pPr>
    </w:p>
    <w:p w14:paraId="3DEE101E">
      <w:pPr>
        <w:pStyle w:val="2"/>
        <w:spacing w:before="91" w:line="222" w:lineRule="auto"/>
        <w:ind w:left="14"/>
        <w:outlineLvl w:val="1"/>
        <w:rPr>
          <w:sz w:val="28"/>
          <w:szCs w:val="28"/>
        </w:rPr>
      </w:pPr>
      <w:bookmarkStart w:id="103" w:name="bookmark94"/>
      <w:bookmarkEnd w:id="103"/>
      <w:r>
        <w:rPr>
          <w:spacing w:val="1"/>
          <w:sz w:val="28"/>
          <w:szCs w:val="28"/>
        </w:rPr>
        <w:t>评标办法前附表（办法六</w:t>
      </w:r>
      <w:r>
        <w:rPr>
          <w:spacing w:val="-55"/>
          <w:w w:val="89"/>
          <w:sz w:val="28"/>
          <w:szCs w:val="28"/>
        </w:rPr>
        <w:t>）（</w:t>
      </w:r>
      <w:r>
        <w:rPr>
          <w:spacing w:val="1"/>
          <w:sz w:val="28"/>
          <w:szCs w:val="28"/>
        </w:rPr>
        <w:t>综合评估法）</w:t>
      </w:r>
    </w:p>
    <w:p w14:paraId="6D7C6B7C">
      <w:pPr>
        <w:spacing w:before="105"/>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4AFC5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03" w:type="dxa"/>
            <w:gridSpan w:val="2"/>
            <w:vAlign w:val="top"/>
          </w:tcPr>
          <w:p w14:paraId="42B70546">
            <w:pPr>
              <w:pStyle w:val="6"/>
              <w:spacing w:before="124" w:line="228" w:lineRule="auto"/>
              <w:ind w:left="592"/>
            </w:pPr>
            <w:r>
              <w:rPr>
                <w:b/>
                <w:bCs/>
                <w:spacing w:val="5"/>
              </w:rPr>
              <w:t>条款号</w:t>
            </w:r>
          </w:p>
        </w:tc>
        <w:tc>
          <w:tcPr>
            <w:tcW w:w="2339" w:type="dxa"/>
            <w:vAlign w:val="top"/>
          </w:tcPr>
          <w:p w14:paraId="5F5BC66C">
            <w:pPr>
              <w:pStyle w:val="6"/>
              <w:spacing w:before="124" w:line="228" w:lineRule="auto"/>
              <w:ind w:left="752"/>
            </w:pPr>
            <w:r>
              <w:rPr>
                <w:b/>
                <w:bCs/>
                <w:spacing w:val="6"/>
              </w:rPr>
              <w:t>评审因素</w:t>
            </w:r>
          </w:p>
        </w:tc>
        <w:tc>
          <w:tcPr>
            <w:tcW w:w="5042" w:type="dxa"/>
            <w:vAlign w:val="top"/>
          </w:tcPr>
          <w:p w14:paraId="40D17B53">
            <w:pPr>
              <w:pStyle w:val="6"/>
              <w:spacing w:before="125" w:line="228" w:lineRule="auto"/>
              <w:ind w:left="2102"/>
            </w:pPr>
            <w:r>
              <w:rPr>
                <w:b/>
                <w:bCs/>
                <w:spacing w:val="6"/>
              </w:rPr>
              <w:t>评审标准</w:t>
            </w:r>
          </w:p>
        </w:tc>
      </w:tr>
      <w:tr w14:paraId="56655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58C2BB21">
            <w:pPr>
              <w:spacing w:line="258" w:lineRule="auto"/>
              <w:rPr>
                <w:rFonts w:ascii="Arial"/>
                <w:sz w:val="21"/>
              </w:rPr>
            </w:pPr>
          </w:p>
          <w:p w14:paraId="17DFD3E6">
            <w:pPr>
              <w:spacing w:line="259" w:lineRule="auto"/>
              <w:rPr>
                <w:rFonts w:ascii="Arial"/>
                <w:sz w:val="21"/>
              </w:rPr>
            </w:pPr>
          </w:p>
          <w:p w14:paraId="0E63DEFF">
            <w:pPr>
              <w:spacing w:line="259" w:lineRule="auto"/>
              <w:rPr>
                <w:rFonts w:ascii="Arial"/>
                <w:sz w:val="21"/>
              </w:rPr>
            </w:pPr>
          </w:p>
          <w:p w14:paraId="391DEF72">
            <w:pPr>
              <w:spacing w:line="259" w:lineRule="auto"/>
              <w:rPr>
                <w:rFonts w:ascii="Arial"/>
                <w:sz w:val="21"/>
              </w:rPr>
            </w:pPr>
          </w:p>
          <w:p w14:paraId="27BCE642">
            <w:pPr>
              <w:spacing w:line="259" w:lineRule="auto"/>
              <w:rPr>
                <w:rFonts w:ascii="Arial"/>
                <w:sz w:val="21"/>
              </w:rPr>
            </w:pPr>
          </w:p>
          <w:p w14:paraId="2F26D01D">
            <w:pPr>
              <w:spacing w:line="259" w:lineRule="auto"/>
              <w:rPr>
                <w:rFonts w:ascii="Arial"/>
                <w:sz w:val="21"/>
              </w:rPr>
            </w:pPr>
          </w:p>
          <w:p w14:paraId="005B683F">
            <w:pPr>
              <w:spacing w:line="259" w:lineRule="auto"/>
              <w:rPr>
                <w:rFonts w:ascii="Arial"/>
                <w:sz w:val="21"/>
              </w:rPr>
            </w:pPr>
          </w:p>
          <w:p w14:paraId="4A88BA02">
            <w:pPr>
              <w:spacing w:line="259" w:lineRule="auto"/>
              <w:rPr>
                <w:rFonts w:ascii="Arial"/>
                <w:sz w:val="21"/>
              </w:rPr>
            </w:pPr>
          </w:p>
          <w:p w14:paraId="7460E2AA">
            <w:pPr>
              <w:spacing w:line="259" w:lineRule="auto"/>
              <w:rPr>
                <w:rFonts w:ascii="Arial"/>
                <w:sz w:val="21"/>
              </w:rPr>
            </w:pPr>
          </w:p>
          <w:p w14:paraId="43911611">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289B160C">
            <w:pPr>
              <w:spacing w:line="244" w:lineRule="auto"/>
              <w:rPr>
                <w:rFonts w:ascii="Arial"/>
                <w:sz w:val="21"/>
              </w:rPr>
            </w:pPr>
          </w:p>
          <w:p w14:paraId="7DDAE711">
            <w:pPr>
              <w:spacing w:line="245" w:lineRule="auto"/>
              <w:rPr>
                <w:rFonts w:ascii="Arial"/>
                <w:sz w:val="21"/>
              </w:rPr>
            </w:pPr>
          </w:p>
          <w:p w14:paraId="2B59B179">
            <w:pPr>
              <w:spacing w:line="245" w:lineRule="auto"/>
              <w:rPr>
                <w:rFonts w:ascii="Arial"/>
                <w:sz w:val="21"/>
              </w:rPr>
            </w:pPr>
          </w:p>
          <w:p w14:paraId="4C8FD9D8">
            <w:pPr>
              <w:spacing w:line="245" w:lineRule="auto"/>
              <w:rPr>
                <w:rFonts w:ascii="Arial"/>
                <w:sz w:val="21"/>
              </w:rPr>
            </w:pPr>
          </w:p>
          <w:p w14:paraId="43952B9F">
            <w:pPr>
              <w:spacing w:line="245" w:lineRule="auto"/>
              <w:rPr>
                <w:rFonts w:ascii="Arial"/>
                <w:sz w:val="21"/>
              </w:rPr>
            </w:pPr>
          </w:p>
          <w:p w14:paraId="37B55E10">
            <w:pPr>
              <w:spacing w:line="245" w:lineRule="auto"/>
              <w:rPr>
                <w:rFonts w:ascii="Arial"/>
                <w:sz w:val="21"/>
              </w:rPr>
            </w:pPr>
          </w:p>
          <w:p w14:paraId="1776B845">
            <w:pPr>
              <w:spacing w:line="245" w:lineRule="auto"/>
              <w:rPr>
                <w:rFonts w:ascii="Arial"/>
                <w:sz w:val="21"/>
              </w:rPr>
            </w:pPr>
          </w:p>
          <w:p w14:paraId="7CAF2FF0">
            <w:pPr>
              <w:spacing w:line="245" w:lineRule="auto"/>
              <w:rPr>
                <w:rFonts w:ascii="Arial"/>
                <w:sz w:val="21"/>
              </w:rPr>
            </w:pPr>
          </w:p>
          <w:p w14:paraId="5DE29A67">
            <w:pPr>
              <w:pStyle w:val="6"/>
              <w:spacing w:before="65" w:line="252" w:lineRule="auto"/>
              <w:ind w:left="322" w:right="320" w:firstLine="3"/>
              <w:jc w:val="both"/>
            </w:pPr>
            <w:r>
              <w:rPr>
                <w:spacing w:val="3"/>
              </w:rPr>
              <w:t>形式</w:t>
            </w:r>
            <w:r>
              <w:rPr>
                <w:spacing w:val="5"/>
              </w:rPr>
              <w:t>评审标准</w:t>
            </w:r>
          </w:p>
        </w:tc>
        <w:tc>
          <w:tcPr>
            <w:tcW w:w="2339" w:type="dxa"/>
            <w:vAlign w:val="top"/>
          </w:tcPr>
          <w:p w14:paraId="4D2E587D">
            <w:pPr>
              <w:pStyle w:val="6"/>
              <w:spacing w:before="122" w:line="228" w:lineRule="auto"/>
              <w:ind w:left="115"/>
            </w:pPr>
            <w:r>
              <w:rPr>
                <w:spacing w:val="6"/>
              </w:rPr>
              <w:t>投标文件</w:t>
            </w:r>
          </w:p>
        </w:tc>
        <w:tc>
          <w:tcPr>
            <w:tcW w:w="5042" w:type="dxa"/>
            <w:vAlign w:val="top"/>
          </w:tcPr>
          <w:p w14:paraId="520C07B0">
            <w:pPr>
              <w:pStyle w:val="6"/>
              <w:spacing w:before="122" w:line="228" w:lineRule="auto"/>
              <w:ind w:left="116"/>
            </w:pPr>
            <w:r>
              <w:rPr>
                <w:spacing w:val="8"/>
              </w:rPr>
              <w:t>投标文件能正常打开</w:t>
            </w:r>
          </w:p>
        </w:tc>
      </w:tr>
      <w:tr w14:paraId="0DAE9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7FC8D12">
            <w:pPr>
              <w:rPr>
                <w:rFonts w:ascii="Arial"/>
                <w:sz w:val="21"/>
              </w:rPr>
            </w:pPr>
          </w:p>
        </w:tc>
        <w:tc>
          <w:tcPr>
            <w:tcW w:w="1058" w:type="dxa"/>
            <w:vMerge w:val="continue"/>
            <w:tcBorders>
              <w:top w:val="nil"/>
              <w:bottom w:val="nil"/>
            </w:tcBorders>
            <w:vAlign w:val="top"/>
          </w:tcPr>
          <w:p w14:paraId="171EA437">
            <w:pPr>
              <w:rPr>
                <w:rFonts w:ascii="Arial"/>
                <w:sz w:val="21"/>
              </w:rPr>
            </w:pPr>
          </w:p>
        </w:tc>
        <w:tc>
          <w:tcPr>
            <w:tcW w:w="2339" w:type="dxa"/>
            <w:vAlign w:val="top"/>
          </w:tcPr>
          <w:p w14:paraId="1EF9568C">
            <w:pPr>
              <w:pStyle w:val="6"/>
              <w:spacing w:before="122" w:line="228" w:lineRule="auto"/>
              <w:ind w:left="115"/>
            </w:pPr>
            <w:r>
              <w:rPr>
                <w:spacing w:val="7"/>
              </w:rPr>
              <w:t>投标人名称</w:t>
            </w:r>
          </w:p>
        </w:tc>
        <w:tc>
          <w:tcPr>
            <w:tcW w:w="5042" w:type="dxa"/>
            <w:vAlign w:val="top"/>
          </w:tcPr>
          <w:p w14:paraId="1FA18FE1">
            <w:pPr>
              <w:pStyle w:val="6"/>
              <w:spacing w:before="121" w:line="227" w:lineRule="auto"/>
              <w:ind w:left="117"/>
            </w:pPr>
            <w:r>
              <w:rPr>
                <w:spacing w:val="9"/>
              </w:rPr>
              <w:t>与营业执照、资质证书、安全生产许可证一致</w:t>
            </w:r>
          </w:p>
        </w:tc>
      </w:tr>
      <w:tr w14:paraId="2EEFA8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45" w:type="dxa"/>
            <w:vMerge w:val="continue"/>
            <w:tcBorders>
              <w:top w:val="nil"/>
              <w:bottom w:val="nil"/>
            </w:tcBorders>
            <w:vAlign w:val="top"/>
          </w:tcPr>
          <w:p w14:paraId="0A85BEBC">
            <w:pPr>
              <w:rPr>
                <w:rFonts w:ascii="Arial"/>
                <w:sz w:val="21"/>
              </w:rPr>
            </w:pPr>
          </w:p>
        </w:tc>
        <w:tc>
          <w:tcPr>
            <w:tcW w:w="1058" w:type="dxa"/>
            <w:vMerge w:val="continue"/>
            <w:tcBorders>
              <w:top w:val="nil"/>
              <w:bottom w:val="nil"/>
            </w:tcBorders>
            <w:vAlign w:val="top"/>
          </w:tcPr>
          <w:p w14:paraId="2566DCF6">
            <w:pPr>
              <w:rPr>
                <w:rFonts w:ascii="Arial"/>
                <w:sz w:val="21"/>
              </w:rPr>
            </w:pPr>
          </w:p>
        </w:tc>
        <w:tc>
          <w:tcPr>
            <w:tcW w:w="2339" w:type="dxa"/>
            <w:vAlign w:val="top"/>
          </w:tcPr>
          <w:p w14:paraId="48F7EC8F">
            <w:pPr>
              <w:pStyle w:val="6"/>
              <w:spacing w:before="130" w:line="227" w:lineRule="auto"/>
              <w:ind w:left="115"/>
            </w:pPr>
            <w:r>
              <w:rPr>
                <w:spacing w:val="8"/>
              </w:rPr>
              <w:t>投标文件签字盖章</w:t>
            </w:r>
          </w:p>
        </w:tc>
        <w:tc>
          <w:tcPr>
            <w:tcW w:w="5042" w:type="dxa"/>
            <w:vAlign w:val="top"/>
          </w:tcPr>
          <w:p w14:paraId="28A681B6">
            <w:pPr>
              <w:pStyle w:val="6"/>
              <w:spacing w:before="130"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2C6741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5568DB34">
            <w:pPr>
              <w:rPr>
                <w:rFonts w:ascii="Arial"/>
                <w:sz w:val="21"/>
              </w:rPr>
            </w:pPr>
          </w:p>
        </w:tc>
        <w:tc>
          <w:tcPr>
            <w:tcW w:w="1058" w:type="dxa"/>
            <w:vMerge w:val="continue"/>
            <w:tcBorders>
              <w:top w:val="nil"/>
              <w:bottom w:val="nil"/>
            </w:tcBorders>
            <w:vAlign w:val="top"/>
          </w:tcPr>
          <w:p w14:paraId="11382348">
            <w:pPr>
              <w:rPr>
                <w:rFonts w:ascii="Arial"/>
                <w:sz w:val="21"/>
              </w:rPr>
            </w:pPr>
          </w:p>
        </w:tc>
        <w:tc>
          <w:tcPr>
            <w:tcW w:w="2339" w:type="dxa"/>
            <w:vAlign w:val="top"/>
          </w:tcPr>
          <w:p w14:paraId="78484D7E">
            <w:pPr>
              <w:pStyle w:val="6"/>
              <w:spacing w:before="167" w:line="228" w:lineRule="auto"/>
              <w:ind w:left="115"/>
            </w:pPr>
            <w:r>
              <w:rPr>
                <w:spacing w:val="8"/>
              </w:rPr>
              <w:t>投标文件格式、内容</w:t>
            </w:r>
          </w:p>
        </w:tc>
        <w:tc>
          <w:tcPr>
            <w:tcW w:w="5042" w:type="dxa"/>
            <w:vAlign w:val="top"/>
          </w:tcPr>
          <w:p w14:paraId="59539CE6">
            <w:pPr>
              <w:pStyle w:val="6"/>
              <w:spacing w:before="32" w:line="234"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22AB42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8542240">
            <w:pPr>
              <w:rPr>
                <w:rFonts w:ascii="Arial"/>
                <w:sz w:val="21"/>
              </w:rPr>
            </w:pPr>
          </w:p>
        </w:tc>
        <w:tc>
          <w:tcPr>
            <w:tcW w:w="1058" w:type="dxa"/>
            <w:vMerge w:val="continue"/>
            <w:tcBorders>
              <w:top w:val="nil"/>
              <w:bottom w:val="nil"/>
            </w:tcBorders>
            <w:vAlign w:val="top"/>
          </w:tcPr>
          <w:p w14:paraId="62284B3C">
            <w:pPr>
              <w:rPr>
                <w:rFonts w:ascii="Arial"/>
                <w:sz w:val="21"/>
              </w:rPr>
            </w:pPr>
          </w:p>
        </w:tc>
        <w:tc>
          <w:tcPr>
            <w:tcW w:w="2339" w:type="dxa"/>
            <w:vAlign w:val="top"/>
          </w:tcPr>
          <w:p w14:paraId="10593934">
            <w:pPr>
              <w:pStyle w:val="6"/>
              <w:spacing w:before="123" w:line="228" w:lineRule="auto"/>
              <w:ind w:left="113"/>
            </w:pPr>
            <w:r>
              <w:rPr>
                <w:spacing w:val="7"/>
              </w:rPr>
              <w:t>联合体投标人（如有）</w:t>
            </w:r>
          </w:p>
        </w:tc>
        <w:tc>
          <w:tcPr>
            <w:tcW w:w="5042" w:type="dxa"/>
            <w:vAlign w:val="top"/>
          </w:tcPr>
          <w:p w14:paraId="619DA890">
            <w:pPr>
              <w:pStyle w:val="6"/>
              <w:spacing w:before="122" w:line="227" w:lineRule="auto"/>
              <w:ind w:left="114"/>
            </w:pPr>
            <w:r>
              <w:rPr>
                <w:spacing w:val="9"/>
              </w:rPr>
              <w:t>提交联合体协议书，并明确联合体牵头人</w:t>
            </w:r>
          </w:p>
        </w:tc>
      </w:tr>
      <w:tr w14:paraId="1399B1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42993CA9">
            <w:pPr>
              <w:rPr>
                <w:rFonts w:ascii="Arial"/>
                <w:sz w:val="21"/>
              </w:rPr>
            </w:pPr>
          </w:p>
        </w:tc>
        <w:tc>
          <w:tcPr>
            <w:tcW w:w="1058" w:type="dxa"/>
            <w:vMerge w:val="continue"/>
            <w:tcBorders>
              <w:top w:val="nil"/>
              <w:bottom w:val="nil"/>
            </w:tcBorders>
            <w:vAlign w:val="top"/>
          </w:tcPr>
          <w:p w14:paraId="455F9032">
            <w:pPr>
              <w:rPr>
                <w:rFonts w:ascii="Arial"/>
                <w:sz w:val="21"/>
              </w:rPr>
            </w:pPr>
          </w:p>
        </w:tc>
        <w:tc>
          <w:tcPr>
            <w:tcW w:w="2339" w:type="dxa"/>
            <w:vAlign w:val="top"/>
          </w:tcPr>
          <w:p w14:paraId="6A94AB0D">
            <w:pPr>
              <w:pStyle w:val="6"/>
              <w:spacing w:before="168" w:line="226" w:lineRule="auto"/>
              <w:ind w:left="110"/>
            </w:pPr>
            <w:r>
              <w:rPr>
                <w:spacing w:val="8"/>
              </w:rPr>
              <w:t>报价唯一</w:t>
            </w:r>
          </w:p>
        </w:tc>
        <w:tc>
          <w:tcPr>
            <w:tcW w:w="5042" w:type="dxa"/>
            <w:vAlign w:val="top"/>
          </w:tcPr>
          <w:p w14:paraId="57F6EE90">
            <w:pPr>
              <w:pStyle w:val="6"/>
              <w:spacing w:before="32" w:line="234" w:lineRule="auto"/>
              <w:ind w:left="114" w:right="109" w:firstLine="11"/>
            </w:pPr>
            <w:r>
              <w:rPr>
                <w:spacing w:val="18"/>
              </w:rPr>
              <w:t>只能有一个有效报价（指投标函中的大写投标总报</w:t>
            </w:r>
            <w:r>
              <w:t>价）</w:t>
            </w:r>
          </w:p>
        </w:tc>
      </w:tr>
      <w:tr w14:paraId="2E55FF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3B2DE09">
            <w:pPr>
              <w:rPr>
                <w:rFonts w:ascii="Arial"/>
                <w:sz w:val="21"/>
              </w:rPr>
            </w:pPr>
          </w:p>
        </w:tc>
        <w:tc>
          <w:tcPr>
            <w:tcW w:w="1058" w:type="dxa"/>
            <w:vMerge w:val="continue"/>
            <w:tcBorders>
              <w:top w:val="nil"/>
              <w:bottom w:val="nil"/>
            </w:tcBorders>
            <w:vAlign w:val="top"/>
          </w:tcPr>
          <w:p w14:paraId="6FC3FF85">
            <w:pPr>
              <w:rPr>
                <w:rFonts w:ascii="Arial"/>
                <w:sz w:val="21"/>
              </w:rPr>
            </w:pPr>
          </w:p>
        </w:tc>
        <w:tc>
          <w:tcPr>
            <w:tcW w:w="2339" w:type="dxa"/>
            <w:vAlign w:val="top"/>
          </w:tcPr>
          <w:p w14:paraId="6A61BAE3">
            <w:pPr>
              <w:pStyle w:val="6"/>
              <w:spacing w:before="179" w:line="228" w:lineRule="auto"/>
              <w:ind w:left="122"/>
            </w:pPr>
            <w:r>
              <w:rPr>
                <w:spacing w:val="6"/>
              </w:rPr>
              <w:t>多标段投标</w:t>
            </w:r>
          </w:p>
        </w:tc>
        <w:tc>
          <w:tcPr>
            <w:tcW w:w="5042" w:type="dxa"/>
            <w:vAlign w:val="top"/>
          </w:tcPr>
          <w:p w14:paraId="4E8A1899">
            <w:pPr>
              <w:pStyle w:val="6"/>
              <w:spacing w:before="179"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520D1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A100E77">
            <w:pPr>
              <w:rPr>
                <w:rFonts w:ascii="Arial"/>
                <w:sz w:val="21"/>
              </w:rPr>
            </w:pPr>
          </w:p>
        </w:tc>
        <w:tc>
          <w:tcPr>
            <w:tcW w:w="1058" w:type="dxa"/>
            <w:vMerge w:val="continue"/>
            <w:tcBorders>
              <w:top w:val="nil"/>
              <w:bottom w:val="nil"/>
            </w:tcBorders>
            <w:vAlign w:val="top"/>
          </w:tcPr>
          <w:p w14:paraId="0CA0EAAF">
            <w:pPr>
              <w:rPr>
                <w:rFonts w:ascii="Arial"/>
                <w:sz w:val="21"/>
              </w:rPr>
            </w:pPr>
          </w:p>
        </w:tc>
        <w:tc>
          <w:tcPr>
            <w:tcW w:w="2339" w:type="dxa"/>
            <w:vAlign w:val="top"/>
          </w:tcPr>
          <w:p w14:paraId="516666B2">
            <w:pPr>
              <w:pStyle w:val="6"/>
              <w:spacing w:before="122" w:line="228" w:lineRule="auto"/>
              <w:ind w:left="102"/>
            </w:pPr>
            <w:r>
              <w:rPr>
                <w:spacing w:val="22"/>
              </w:rPr>
              <w:t>“技术暗标</w:t>
            </w:r>
            <w:r>
              <w:rPr>
                <w:spacing w:val="-70"/>
              </w:rPr>
              <w:t xml:space="preserve"> </w:t>
            </w:r>
            <w:r>
              <w:rPr>
                <w:spacing w:val="22"/>
              </w:rPr>
              <w:t>”</w:t>
            </w:r>
          </w:p>
        </w:tc>
        <w:tc>
          <w:tcPr>
            <w:tcW w:w="5042" w:type="dxa"/>
            <w:vAlign w:val="top"/>
          </w:tcPr>
          <w:p w14:paraId="455F777A">
            <w:pPr>
              <w:pStyle w:val="6"/>
              <w:spacing w:before="123"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66B211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E260C3E">
            <w:pPr>
              <w:rPr>
                <w:rFonts w:ascii="Arial"/>
                <w:sz w:val="21"/>
              </w:rPr>
            </w:pPr>
          </w:p>
        </w:tc>
        <w:tc>
          <w:tcPr>
            <w:tcW w:w="1058" w:type="dxa"/>
            <w:vMerge w:val="continue"/>
            <w:tcBorders>
              <w:top w:val="nil"/>
              <w:bottom w:val="nil"/>
            </w:tcBorders>
            <w:vAlign w:val="top"/>
          </w:tcPr>
          <w:p w14:paraId="03742440">
            <w:pPr>
              <w:rPr>
                <w:rFonts w:ascii="Arial"/>
                <w:sz w:val="21"/>
              </w:rPr>
            </w:pPr>
          </w:p>
        </w:tc>
        <w:tc>
          <w:tcPr>
            <w:tcW w:w="2339" w:type="dxa"/>
            <w:vAlign w:val="top"/>
          </w:tcPr>
          <w:p w14:paraId="440A8F39">
            <w:pPr>
              <w:pStyle w:val="6"/>
              <w:spacing w:before="122" w:line="228" w:lineRule="auto"/>
              <w:ind w:left="115"/>
            </w:pPr>
            <w:r>
              <w:rPr>
                <w:spacing w:val="6"/>
              </w:rPr>
              <w:t>项目经理</w:t>
            </w:r>
          </w:p>
        </w:tc>
        <w:tc>
          <w:tcPr>
            <w:tcW w:w="5042" w:type="dxa"/>
            <w:vAlign w:val="top"/>
          </w:tcPr>
          <w:p w14:paraId="56AAC6A3">
            <w:pPr>
              <w:pStyle w:val="6"/>
              <w:spacing w:before="122" w:line="228" w:lineRule="auto"/>
              <w:ind w:left="116"/>
            </w:pPr>
            <w:r>
              <w:rPr>
                <w:spacing w:val="9"/>
              </w:rPr>
              <w:t>未更换通过资格预审的项目经理</w:t>
            </w:r>
          </w:p>
        </w:tc>
      </w:tr>
      <w:tr w14:paraId="3989D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01080E05">
            <w:pPr>
              <w:rPr>
                <w:rFonts w:ascii="Arial"/>
                <w:sz w:val="21"/>
              </w:rPr>
            </w:pPr>
          </w:p>
        </w:tc>
        <w:tc>
          <w:tcPr>
            <w:tcW w:w="1058" w:type="dxa"/>
            <w:vMerge w:val="continue"/>
            <w:tcBorders>
              <w:top w:val="nil"/>
            </w:tcBorders>
            <w:vAlign w:val="top"/>
          </w:tcPr>
          <w:p w14:paraId="5240C657">
            <w:pPr>
              <w:rPr>
                <w:rFonts w:ascii="Arial"/>
                <w:sz w:val="21"/>
              </w:rPr>
            </w:pPr>
          </w:p>
        </w:tc>
        <w:tc>
          <w:tcPr>
            <w:tcW w:w="2339" w:type="dxa"/>
            <w:vAlign w:val="top"/>
          </w:tcPr>
          <w:p w14:paraId="009B9AEB">
            <w:pPr>
              <w:pStyle w:val="6"/>
              <w:spacing w:before="121" w:line="228" w:lineRule="auto"/>
              <w:ind w:left="121"/>
            </w:pPr>
            <w:r>
              <w:rPr>
                <w:spacing w:val="6"/>
              </w:rPr>
              <w:t>资格条件变化</w:t>
            </w:r>
          </w:p>
        </w:tc>
        <w:tc>
          <w:tcPr>
            <w:tcW w:w="5042" w:type="dxa"/>
            <w:vAlign w:val="top"/>
          </w:tcPr>
          <w:p w14:paraId="61DC29FC">
            <w:pPr>
              <w:pStyle w:val="6"/>
              <w:spacing w:before="121" w:line="228" w:lineRule="auto"/>
              <w:ind w:left="116"/>
            </w:pPr>
            <w:r>
              <w:rPr>
                <w:spacing w:val="9"/>
              </w:rPr>
              <w:t>投标函中有资格条件是否变化的声明</w:t>
            </w:r>
          </w:p>
        </w:tc>
      </w:tr>
      <w:tr w14:paraId="664962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0" w:hRule="atLeast"/>
        </w:trPr>
        <w:tc>
          <w:tcPr>
            <w:tcW w:w="745" w:type="dxa"/>
            <w:vAlign w:val="top"/>
          </w:tcPr>
          <w:p w14:paraId="072AB519">
            <w:pPr>
              <w:spacing w:line="258" w:lineRule="auto"/>
              <w:rPr>
                <w:rFonts w:ascii="Arial"/>
                <w:sz w:val="21"/>
              </w:rPr>
            </w:pPr>
          </w:p>
          <w:p w14:paraId="31A24B62">
            <w:pPr>
              <w:spacing w:line="258" w:lineRule="auto"/>
              <w:rPr>
                <w:rFonts w:ascii="Arial"/>
                <w:sz w:val="21"/>
              </w:rPr>
            </w:pPr>
          </w:p>
          <w:p w14:paraId="48044D44">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487D268D">
            <w:pPr>
              <w:pStyle w:val="6"/>
              <w:spacing w:before="74" w:line="228" w:lineRule="auto"/>
              <w:ind w:left="332"/>
            </w:pPr>
            <w:r>
              <w:t>资格</w:t>
            </w:r>
          </w:p>
          <w:p w14:paraId="5FC485A7">
            <w:pPr>
              <w:pStyle w:val="6"/>
              <w:spacing w:before="24" w:line="228" w:lineRule="auto"/>
              <w:ind w:left="322"/>
            </w:pPr>
            <w:r>
              <w:rPr>
                <w:spacing w:val="5"/>
              </w:rPr>
              <w:t>评审</w:t>
            </w:r>
          </w:p>
          <w:p w14:paraId="3FF8D4D5">
            <w:pPr>
              <w:pStyle w:val="6"/>
              <w:spacing w:before="26" w:line="252" w:lineRule="auto"/>
              <w:ind w:left="122" w:right="129" w:firstLine="201"/>
            </w:pPr>
            <w:r>
              <w:rPr>
                <w:spacing w:val="4"/>
              </w:rPr>
              <w:t>标准</w:t>
            </w:r>
            <w:r>
              <w:t>（预审）</w:t>
            </w:r>
          </w:p>
        </w:tc>
        <w:tc>
          <w:tcPr>
            <w:tcW w:w="2339" w:type="dxa"/>
            <w:vAlign w:val="top"/>
          </w:tcPr>
          <w:p w14:paraId="1504CBD0">
            <w:pPr>
              <w:spacing w:line="472" w:lineRule="auto"/>
              <w:rPr>
                <w:rFonts w:ascii="Arial"/>
                <w:sz w:val="21"/>
              </w:rPr>
            </w:pPr>
          </w:p>
          <w:p w14:paraId="4856A73E">
            <w:pPr>
              <w:pStyle w:val="6"/>
              <w:spacing w:before="65" w:line="227" w:lineRule="auto"/>
              <w:ind w:left="115"/>
            </w:pPr>
            <w:r>
              <w:rPr>
                <w:spacing w:val="8"/>
              </w:rPr>
              <w:t>见本标段资格预审文件</w:t>
            </w:r>
          </w:p>
        </w:tc>
        <w:tc>
          <w:tcPr>
            <w:tcW w:w="5042" w:type="dxa"/>
            <w:vAlign w:val="top"/>
          </w:tcPr>
          <w:p w14:paraId="39E54219">
            <w:pPr>
              <w:spacing w:line="278" w:lineRule="auto"/>
              <w:rPr>
                <w:rFonts w:ascii="Arial"/>
                <w:sz w:val="21"/>
              </w:rPr>
            </w:pPr>
          </w:p>
          <w:p w14:paraId="0E4D7687">
            <w:pPr>
              <w:pStyle w:val="6"/>
              <w:spacing w:before="65" w:line="254" w:lineRule="auto"/>
              <w:ind w:left="123" w:right="107" w:hanging="8"/>
            </w:pPr>
            <w:r>
              <w:rPr>
                <w:spacing w:val="8"/>
              </w:rPr>
              <w:t>符合本标段资格预审文件第三章“资格审查办法</w:t>
            </w:r>
            <w:r>
              <w:rPr>
                <w:spacing w:val="-70"/>
              </w:rPr>
              <w:t xml:space="preserve"> </w:t>
            </w:r>
            <w:r>
              <w:rPr>
                <w:spacing w:val="8"/>
              </w:rPr>
              <w:t>”的审查标准并且不影响本次招标的公正性。</w:t>
            </w:r>
          </w:p>
        </w:tc>
      </w:tr>
      <w:tr w14:paraId="51124E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603F5EEC">
            <w:pPr>
              <w:spacing w:line="246" w:lineRule="auto"/>
              <w:rPr>
                <w:rFonts w:ascii="Arial"/>
                <w:sz w:val="21"/>
              </w:rPr>
            </w:pPr>
          </w:p>
          <w:p w14:paraId="68CBDBDF">
            <w:pPr>
              <w:spacing w:line="246" w:lineRule="auto"/>
              <w:rPr>
                <w:rFonts w:ascii="Arial"/>
                <w:sz w:val="21"/>
              </w:rPr>
            </w:pPr>
          </w:p>
          <w:p w14:paraId="6EDE541D">
            <w:pPr>
              <w:spacing w:line="246" w:lineRule="auto"/>
              <w:rPr>
                <w:rFonts w:ascii="Arial"/>
                <w:sz w:val="21"/>
              </w:rPr>
            </w:pPr>
          </w:p>
          <w:p w14:paraId="43B4C957">
            <w:pPr>
              <w:spacing w:line="246" w:lineRule="auto"/>
              <w:rPr>
                <w:rFonts w:ascii="Arial"/>
                <w:sz w:val="21"/>
              </w:rPr>
            </w:pPr>
          </w:p>
          <w:p w14:paraId="5F99E5D5">
            <w:pPr>
              <w:spacing w:line="247" w:lineRule="auto"/>
              <w:rPr>
                <w:rFonts w:ascii="Arial"/>
                <w:sz w:val="21"/>
              </w:rPr>
            </w:pPr>
          </w:p>
          <w:p w14:paraId="35148237">
            <w:pPr>
              <w:spacing w:line="247" w:lineRule="auto"/>
              <w:rPr>
                <w:rFonts w:ascii="Arial"/>
                <w:sz w:val="21"/>
              </w:rPr>
            </w:pPr>
          </w:p>
          <w:p w14:paraId="0448D4CB">
            <w:pPr>
              <w:spacing w:line="247" w:lineRule="auto"/>
              <w:rPr>
                <w:rFonts w:ascii="Arial"/>
                <w:sz w:val="21"/>
              </w:rPr>
            </w:pPr>
          </w:p>
          <w:p w14:paraId="7F9FD6DF">
            <w:pPr>
              <w:spacing w:line="247" w:lineRule="auto"/>
              <w:rPr>
                <w:rFonts w:ascii="Arial"/>
                <w:sz w:val="21"/>
              </w:rPr>
            </w:pPr>
          </w:p>
          <w:p w14:paraId="74528588">
            <w:pPr>
              <w:spacing w:line="247" w:lineRule="auto"/>
              <w:rPr>
                <w:rFonts w:ascii="Arial"/>
                <w:sz w:val="21"/>
              </w:rPr>
            </w:pPr>
          </w:p>
          <w:p w14:paraId="34C91DB7">
            <w:pPr>
              <w:spacing w:line="247" w:lineRule="auto"/>
              <w:rPr>
                <w:rFonts w:ascii="Arial"/>
                <w:sz w:val="21"/>
              </w:rPr>
            </w:pPr>
          </w:p>
          <w:p w14:paraId="64E444D3">
            <w:pPr>
              <w:spacing w:line="247" w:lineRule="auto"/>
              <w:rPr>
                <w:rFonts w:ascii="Arial"/>
                <w:sz w:val="21"/>
              </w:rPr>
            </w:pPr>
          </w:p>
          <w:p w14:paraId="7041B2F3">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13710908">
            <w:pPr>
              <w:spacing w:line="247" w:lineRule="auto"/>
              <w:rPr>
                <w:rFonts w:ascii="Arial"/>
                <w:sz w:val="21"/>
              </w:rPr>
            </w:pPr>
          </w:p>
          <w:p w14:paraId="5AA6B90F">
            <w:pPr>
              <w:spacing w:line="247" w:lineRule="auto"/>
              <w:rPr>
                <w:rFonts w:ascii="Arial"/>
                <w:sz w:val="21"/>
              </w:rPr>
            </w:pPr>
          </w:p>
          <w:p w14:paraId="15A4FD4E">
            <w:pPr>
              <w:spacing w:line="247" w:lineRule="auto"/>
              <w:rPr>
                <w:rFonts w:ascii="Arial"/>
                <w:sz w:val="21"/>
              </w:rPr>
            </w:pPr>
          </w:p>
          <w:p w14:paraId="33A34693">
            <w:pPr>
              <w:spacing w:line="248" w:lineRule="auto"/>
              <w:rPr>
                <w:rFonts w:ascii="Arial"/>
                <w:sz w:val="21"/>
              </w:rPr>
            </w:pPr>
          </w:p>
          <w:p w14:paraId="513967D2">
            <w:pPr>
              <w:spacing w:line="248" w:lineRule="auto"/>
              <w:rPr>
                <w:rFonts w:ascii="Arial"/>
                <w:sz w:val="21"/>
              </w:rPr>
            </w:pPr>
          </w:p>
          <w:p w14:paraId="6D3E4FB8">
            <w:pPr>
              <w:spacing w:line="248" w:lineRule="auto"/>
              <w:rPr>
                <w:rFonts w:ascii="Arial"/>
                <w:sz w:val="21"/>
              </w:rPr>
            </w:pPr>
          </w:p>
          <w:p w14:paraId="00AE220A">
            <w:pPr>
              <w:spacing w:line="248" w:lineRule="auto"/>
              <w:rPr>
                <w:rFonts w:ascii="Arial"/>
                <w:sz w:val="21"/>
              </w:rPr>
            </w:pPr>
          </w:p>
          <w:p w14:paraId="5A9C500A">
            <w:pPr>
              <w:spacing w:line="248" w:lineRule="auto"/>
              <w:rPr>
                <w:rFonts w:ascii="Arial"/>
                <w:sz w:val="21"/>
              </w:rPr>
            </w:pPr>
          </w:p>
          <w:p w14:paraId="4B40F418">
            <w:pPr>
              <w:spacing w:line="248" w:lineRule="auto"/>
              <w:rPr>
                <w:rFonts w:ascii="Arial"/>
                <w:sz w:val="21"/>
              </w:rPr>
            </w:pPr>
          </w:p>
          <w:p w14:paraId="19F0349E">
            <w:pPr>
              <w:spacing w:line="248" w:lineRule="auto"/>
              <w:rPr>
                <w:rFonts w:ascii="Arial"/>
                <w:sz w:val="21"/>
              </w:rPr>
            </w:pPr>
          </w:p>
          <w:p w14:paraId="503FE3D8">
            <w:pPr>
              <w:pStyle w:val="6"/>
              <w:spacing w:before="65" w:line="254"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2FA8BBBC">
            <w:pPr>
              <w:pStyle w:val="6"/>
              <w:spacing w:before="123" w:line="228" w:lineRule="auto"/>
              <w:ind w:left="115"/>
            </w:pPr>
            <w:r>
              <w:rPr>
                <w:spacing w:val="6"/>
              </w:rPr>
              <w:t>投标内容</w:t>
            </w:r>
          </w:p>
        </w:tc>
        <w:tc>
          <w:tcPr>
            <w:tcW w:w="5042" w:type="dxa"/>
            <w:vAlign w:val="top"/>
          </w:tcPr>
          <w:p w14:paraId="5B2D13A8">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234A15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37120FD">
            <w:pPr>
              <w:rPr>
                <w:rFonts w:ascii="Arial"/>
                <w:sz w:val="21"/>
              </w:rPr>
            </w:pPr>
          </w:p>
        </w:tc>
        <w:tc>
          <w:tcPr>
            <w:tcW w:w="1058" w:type="dxa"/>
            <w:vMerge w:val="continue"/>
            <w:tcBorders>
              <w:top w:val="nil"/>
              <w:bottom w:val="nil"/>
            </w:tcBorders>
            <w:vAlign w:val="top"/>
          </w:tcPr>
          <w:p w14:paraId="1293DB0B">
            <w:pPr>
              <w:rPr>
                <w:rFonts w:ascii="Arial"/>
                <w:sz w:val="21"/>
              </w:rPr>
            </w:pPr>
          </w:p>
        </w:tc>
        <w:tc>
          <w:tcPr>
            <w:tcW w:w="2339" w:type="dxa"/>
            <w:vAlign w:val="top"/>
          </w:tcPr>
          <w:p w14:paraId="18A2B8BD">
            <w:pPr>
              <w:pStyle w:val="6"/>
              <w:spacing w:before="123" w:line="228" w:lineRule="auto"/>
              <w:ind w:left="115"/>
            </w:pPr>
            <w:r>
              <w:rPr>
                <w:spacing w:val="3"/>
              </w:rPr>
              <w:t>工期</w:t>
            </w:r>
          </w:p>
        </w:tc>
        <w:tc>
          <w:tcPr>
            <w:tcW w:w="5042" w:type="dxa"/>
            <w:vAlign w:val="top"/>
          </w:tcPr>
          <w:p w14:paraId="107F8D44">
            <w:pPr>
              <w:pStyle w:val="6"/>
              <w:spacing w:before="12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7AE0DD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3729BB24">
            <w:pPr>
              <w:rPr>
                <w:rFonts w:ascii="Arial"/>
                <w:sz w:val="21"/>
              </w:rPr>
            </w:pPr>
          </w:p>
        </w:tc>
        <w:tc>
          <w:tcPr>
            <w:tcW w:w="1058" w:type="dxa"/>
            <w:vMerge w:val="continue"/>
            <w:tcBorders>
              <w:top w:val="nil"/>
              <w:bottom w:val="nil"/>
            </w:tcBorders>
            <w:vAlign w:val="top"/>
          </w:tcPr>
          <w:p w14:paraId="19406DAB">
            <w:pPr>
              <w:rPr>
                <w:rFonts w:ascii="Arial"/>
                <w:sz w:val="21"/>
              </w:rPr>
            </w:pPr>
          </w:p>
        </w:tc>
        <w:tc>
          <w:tcPr>
            <w:tcW w:w="2339" w:type="dxa"/>
            <w:vAlign w:val="top"/>
          </w:tcPr>
          <w:p w14:paraId="4B4D2DBE">
            <w:pPr>
              <w:spacing w:line="374" w:lineRule="auto"/>
              <w:rPr>
                <w:rFonts w:ascii="Arial"/>
                <w:sz w:val="21"/>
              </w:rPr>
            </w:pPr>
          </w:p>
          <w:p w14:paraId="7A256FE3">
            <w:pPr>
              <w:pStyle w:val="6"/>
              <w:spacing w:before="65" w:line="228" w:lineRule="auto"/>
              <w:ind w:left="115"/>
            </w:pPr>
            <w:r>
              <w:rPr>
                <w:spacing w:val="6"/>
              </w:rPr>
              <w:t>工程质量</w:t>
            </w:r>
          </w:p>
        </w:tc>
        <w:tc>
          <w:tcPr>
            <w:tcW w:w="5042" w:type="dxa"/>
            <w:vAlign w:val="top"/>
          </w:tcPr>
          <w:p w14:paraId="5F92F8B9">
            <w:pPr>
              <w:pStyle w:val="6"/>
              <w:spacing w:before="33"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4E9C8835">
            <w:pPr>
              <w:pStyle w:val="6"/>
              <w:spacing w:before="26" w:line="239" w:lineRule="auto"/>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7E38B6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8EAE168">
            <w:pPr>
              <w:rPr>
                <w:rFonts w:ascii="Arial"/>
                <w:sz w:val="21"/>
              </w:rPr>
            </w:pPr>
          </w:p>
        </w:tc>
        <w:tc>
          <w:tcPr>
            <w:tcW w:w="1058" w:type="dxa"/>
            <w:vMerge w:val="continue"/>
            <w:tcBorders>
              <w:top w:val="nil"/>
              <w:bottom w:val="nil"/>
            </w:tcBorders>
            <w:vAlign w:val="top"/>
          </w:tcPr>
          <w:p w14:paraId="563EB420">
            <w:pPr>
              <w:rPr>
                <w:rFonts w:ascii="Arial"/>
                <w:sz w:val="21"/>
              </w:rPr>
            </w:pPr>
          </w:p>
        </w:tc>
        <w:tc>
          <w:tcPr>
            <w:tcW w:w="2339" w:type="dxa"/>
            <w:vAlign w:val="top"/>
          </w:tcPr>
          <w:p w14:paraId="312F395B">
            <w:pPr>
              <w:pStyle w:val="6"/>
              <w:spacing w:before="123" w:line="228" w:lineRule="auto"/>
              <w:ind w:left="115"/>
            </w:pPr>
            <w:r>
              <w:rPr>
                <w:spacing w:val="7"/>
              </w:rPr>
              <w:t>投标有效期</w:t>
            </w:r>
          </w:p>
        </w:tc>
        <w:tc>
          <w:tcPr>
            <w:tcW w:w="5042" w:type="dxa"/>
            <w:vAlign w:val="top"/>
          </w:tcPr>
          <w:p w14:paraId="411F70D8">
            <w:pPr>
              <w:pStyle w:val="6"/>
              <w:spacing w:before="123"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3BBF7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4B7AE155">
            <w:pPr>
              <w:rPr>
                <w:rFonts w:ascii="Arial"/>
                <w:sz w:val="21"/>
              </w:rPr>
            </w:pPr>
          </w:p>
        </w:tc>
        <w:tc>
          <w:tcPr>
            <w:tcW w:w="1058" w:type="dxa"/>
            <w:vMerge w:val="continue"/>
            <w:tcBorders>
              <w:top w:val="nil"/>
              <w:bottom w:val="nil"/>
            </w:tcBorders>
            <w:vAlign w:val="top"/>
          </w:tcPr>
          <w:p w14:paraId="5907F0BA">
            <w:pPr>
              <w:rPr>
                <w:rFonts w:ascii="Arial"/>
                <w:sz w:val="21"/>
              </w:rPr>
            </w:pPr>
          </w:p>
        </w:tc>
        <w:tc>
          <w:tcPr>
            <w:tcW w:w="2339" w:type="dxa"/>
            <w:vAlign w:val="top"/>
          </w:tcPr>
          <w:p w14:paraId="0E4A6951">
            <w:pPr>
              <w:spacing w:line="323" w:lineRule="auto"/>
              <w:rPr>
                <w:rFonts w:ascii="Arial"/>
                <w:sz w:val="21"/>
              </w:rPr>
            </w:pPr>
          </w:p>
          <w:p w14:paraId="7C77D26E">
            <w:pPr>
              <w:spacing w:line="323" w:lineRule="auto"/>
              <w:rPr>
                <w:rFonts w:ascii="Arial"/>
                <w:sz w:val="21"/>
              </w:rPr>
            </w:pPr>
          </w:p>
          <w:p w14:paraId="088E6197">
            <w:pPr>
              <w:pStyle w:val="6"/>
              <w:spacing w:before="65" w:line="228" w:lineRule="auto"/>
              <w:ind w:left="115"/>
            </w:pPr>
            <w:r>
              <w:rPr>
                <w:spacing w:val="7"/>
              </w:rPr>
              <w:t>投标保证金</w:t>
            </w:r>
          </w:p>
        </w:tc>
        <w:tc>
          <w:tcPr>
            <w:tcW w:w="5042" w:type="dxa"/>
            <w:vAlign w:val="top"/>
          </w:tcPr>
          <w:p w14:paraId="2C6822A0">
            <w:pPr>
              <w:pStyle w:val="6"/>
              <w:spacing w:before="33"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53398538">
            <w:pPr>
              <w:pStyle w:val="6"/>
              <w:spacing w:before="27" w:line="228" w:lineRule="auto"/>
              <w:ind w:left="123"/>
            </w:pPr>
            <w:r>
              <w:rPr>
                <w:spacing w:val="9"/>
              </w:rPr>
              <w:t>（投标保证金符合要求是指投标保证金的形式、金</w:t>
            </w:r>
          </w:p>
          <w:p w14:paraId="3F77C4B7">
            <w:pPr>
              <w:pStyle w:val="6"/>
              <w:spacing w:before="24" w:line="251"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3B78E51B">
            <w:pPr>
              <w:pStyle w:val="6"/>
              <w:spacing w:line="215" w:lineRule="auto"/>
              <w:ind w:left="130"/>
            </w:pPr>
            <w:r>
              <w:rPr>
                <w:spacing w:val="4"/>
              </w:rPr>
              <w:t>的账户号一致）</w:t>
            </w:r>
          </w:p>
        </w:tc>
      </w:tr>
      <w:tr w14:paraId="1AE34E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74615DE2">
            <w:pPr>
              <w:rPr>
                <w:rFonts w:ascii="Arial"/>
                <w:sz w:val="21"/>
              </w:rPr>
            </w:pPr>
          </w:p>
        </w:tc>
        <w:tc>
          <w:tcPr>
            <w:tcW w:w="1058" w:type="dxa"/>
            <w:vMerge w:val="continue"/>
            <w:tcBorders>
              <w:top w:val="nil"/>
              <w:bottom w:val="nil"/>
            </w:tcBorders>
            <w:vAlign w:val="top"/>
          </w:tcPr>
          <w:p w14:paraId="37E9C496">
            <w:pPr>
              <w:rPr>
                <w:rFonts w:ascii="Arial"/>
                <w:sz w:val="21"/>
              </w:rPr>
            </w:pPr>
          </w:p>
        </w:tc>
        <w:tc>
          <w:tcPr>
            <w:tcW w:w="2339" w:type="dxa"/>
            <w:vAlign w:val="top"/>
          </w:tcPr>
          <w:p w14:paraId="0C08F813">
            <w:pPr>
              <w:pStyle w:val="6"/>
              <w:spacing w:before="168" w:line="228" w:lineRule="auto"/>
              <w:ind w:left="111"/>
            </w:pPr>
            <w:r>
              <w:rPr>
                <w:spacing w:val="7"/>
              </w:rPr>
              <w:t>权利义务</w:t>
            </w:r>
          </w:p>
        </w:tc>
        <w:tc>
          <w:tcPr>
            <w:tcW w:w="5042" w:type="dxa"/>
            <w:vAlign w:val="top"/>
          </w:tcPr>
          <w:p w14:paraId="296B5EA5">
            <w:pPr>
              <w:pStyle w:val="6"/>
              <w:spacing w:before="35" w:line="233"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69E63E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607D9F12">
            <w:pPr>
              <w:rPr>
                <w:rFonts w:ascii="Arial"/>
                <w:sz w:val="21"/>
              </w:rPr>
            </w:pPr>
          </w:p>
        </w:tc>
        <w:tc>
          <w:tcPr>
            <w:tcW w:w="1058" w:type="dxa"/>
            <w:vMerge w:val="continue"/>
            <w:tcBorders>
              <w:top w:val="nil"/>
              <w:bottom w:val="nil"/>
            </w:tcBorders>
            <w:vAlign w:val="top"/>
          </w:tcPr>
          <w:p w14:paraId="5F1F4A32">
            <w:pPr>
              <w:rPr>
                <w:rFonts w:ascii="Arial"/>
                <w:sz w:val="21"/>
              </w:rPr>
            </w:pPr>
          </w:p>
        </w:tc>
        <w:tc>
          <w:tcPr>
            <w:tcW w:w="2339" w:type="dxa"/>
            <w:vAlign w:val="top"/>
          </w:tcPr>
          <w:p w14:paraId="49B465ED">
            <w:pPr>
              <w:pStyle w:val="6"/>
              <w:spacing w:before="149" w:line="228" w:lineRule="auto"/>
              <w:ind w:left="113"/>
            </w:pPr>
            <w:r>
              <w:rPr>
                <w:spacing w:val="8"/>
              </w:rPr>
              <w:t>技术标准和要求</w:t>
            </w:r>
          </w:p>
        </w:tc>
        <w:tc>
          <w:tcPr>
            <w:tcW w:w="5042" w:type="dxa"/>
            <w:vAlign w:val="top"/>
          </w:tcPr>
          <w:p w14:paraId="00C3D9AB">
            <w:pPr>
              <w:pStyle w:val="6"/>
              <w:spacing w:before="149" w:line="227" w:lineRule="auto"/>
              <w:ind w:left="115"/>
            </w:pPr>
            <w:r>
              <w:rPr>
                <w:spacing w:val="7"/>
              </w:rPr>
              <w:t>符合第七章“技术标准和要求</w:t>
            </w:r>
            <w:r>
              <w:rPr>
                <w:spacing w:val="-66"/>
              </w:rPr>
              <w:t xml:space="preserve"> </w:t>
            </w:r>
            <w:r>
              <w:rPr>
                <w:spacing w:val="7"/>
              </w:rPr>
              <w:t>”规定</w:t>
            </w:r>
          </w:p>
        </w:tc>
      </w:tr>
      <w:tr w14:paraId="7D435F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45" w:type="dxa"/>
            <w:vMerge w:val="continue"/>
            <w:tcBorders>
              <w:top w:val="nil"/>
            </w:tcBorders>
            <w:vAlign w:val="top"/>
          </w:tcPr>
          <w:p w14:paraId="2C118F5A">
            <w:pPr>
              <w:rPr>
                <w:rFonts w:ascii="Arial"/>
                <w:sz w:val="21"/>
              </w:rPr>
            </w:pPr>
          </w:p>
        </w:tc>
        <w:tc>
          <w:tcPr>
            <w:tcW w:w="1058" w:type="dxa"/>
            <w:vMerge w:val="continue"/>
            <w:tcBorders>
              <w:top w:val="nil"/>
            </w:tcBorders>
            <w:vAlign w:val="top"/>
          </w:tcPr>
          <w:p w14:paraId="6CAB7A85">
            <w:pPr>
              <w:rPr>
                <w:rFonts w:ascii="Arial"/>
                <w:sz w:val="21"/>
              </w:rPr>
            </w:pPr>
          </w:p>
        </w:tc>
        <w:tc>
          <w:tcPr>
            <w:tcW w:w="2339" w:type="dxa"/>
            <w:vAlign w:val="top"/>
          </w:tcPr>
          <w:p w14:paraId="6D76B2D6">
            <w:pPr>
              <w:pStyle w:val="6"/>
              <w:spacing w:before="95" w:line="228" w:lineRule="auto"/>
              <w:ind w:left="115"/>
            </w:pPr>
            <w:r>
              <w:rPr>
                <w:spacing w:val="6"/>
              </w:rPr>
              <w:t>分包计划</w:t>
            </w:r>
          </w:p>
        </w:tc>
        <w:tc>
          <w:tcPr>
            <w:tcW w:w="5042" w:type="dxa"/>
            <w:vAlign w:val="top"/>
          </w:tcPr>
          <w:p w14:paraId="0583B7B4">
            <w:pPr>
              <w:pStyle w:val="6"/>
              <w:spacing w:before="95"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bl>
    <w:p w14:paraId="5E8D2FDD">
      <w:pPr>
        <w:rPr>
          <w:rFonts w:ascii="Arial"/>
          <w:sz w:val="21"/>
        </w:rPr>
      </w:pPr>
    </w:p>
    <w:p w14:paraId="1DE786D8">
      <w:pPr>
        <w:rPr>
          <w:rFonts w:ascii="Arial" w:hAnsi="Arial" w:eastAsia="Arial" w:cs="Arial"/>
          <w:sz w:val="21"/>
          <w:szCs w:val="21"/>
        </w:rPr>
        <w:sectPr>
          <w:footerReference r:id="rId91" w:type="default"/>
          <w:pgSz w:w="11907" w:h="16840"/>
          <w:pgMar w:top="400" w:right="1248" w:bottom="1035" w:left="1469" w:header="0" w:footer="785" w:gutter="0"/>
          <w:cols w:space="720" w:num="1"/>
        </w:sectPr>
      </w:pPr>
    </w:p>
    <w:p w14:paraId="769CB339">
      <w:pPr>
        <w:spacing w:before="19"/>
      </w:pPr>
    </w:p>
    <w:p w14:paraId="31B578B8">
      <w:pPr>
        <w:spacing w:before="19"/>
      </w:pPr>
    </w:p>
    <w:p w14:paraId="7DEA31A2">
      <w:pPr>
        <w:spacing w:before="19"/>
      </w:pPr>
    </w:p>
    <w:p w14:paraId="1D352567">
      <w:pPr>
        <w:spacing w:before="18"/>
      </w:pPr>
    </w:p>
    <w:p w14:paraId="15DE8E03">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64C1F1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45" w:type="dxa"/>
            <w:vMerge w:val="restart"/>
            <w:tcBorders>
              <w:bottom w:val="nil"/>
            </w:tcBorders>
            <w:vAlign w:val="top"/>
          </w:tcPr>
          <w:p w14:paraId="7B9A3BC2">
            <w:pPr>
              <w:rPr>
                <w:rFonts w:ascii="Arial"/>
                <w:sz w:val="21"/>
              </w:rPr>
            </w:pPr>
          </w:p>
        </w:tc>
        <w:tc>
          <w:tcPr>
            <w:tcW w:w="1058" w:type="dxa"/>
            <w:vMerge w:val="restart"/>
            <w:tcBorders>
              <w:bottom w:val="nil"/>
            </w:tcBorders>
            <w:vAlign w:val="top"/>
          </w:tcPr>
          <w:p w14:paraId="62F80113">
            <w:pPr>
              <w:rPr>
                <w:rFonts w:ascii="Arial"/>
                <w:sz w:val="21"/>
              </w:rPr>
            </w:pPr>
          </w:p>
        </w:tc>
        <w:tc>
          <w:tcPr>
            <w:tcW w:w="2339" w:type="dxa"/>
            <w:vAlign w:val="top"/>
          </w:tcPr>
          <w:p w14:paraId="731E7E65">
            <w:pPr>
              <w:spacing w:line="242" w:lineRule="auto"/>
              <w:rPr>
                <w:rFonts w:ascii="Arial"/>
                <w:sz w:val="21"/>
              </w:rPr>
            </w:pPr>
          </w:p>
          <w:p w14:paraId="12C04BA4">
            <w:pPr>
              <w:pStyle w:val="6"/>
              <w:spacing w:before="65" w:line="228" w:lineRule="auto"/>
              <w:ind w:left="114"/>
            </w:pPr>
            <w:r>
              <w:rPr>
                <w:spacing w:val="7"/>
              </w:rPr>
              <w:t>算术错误修正</w:t>
            </w:r>
          </w:p>
        </w:tc>
        <w:tc>
          <w:tcPr>
            <w:tcW w:w="5042" w:type="dxa"/>
            <w:vAlign w:val="top"/>
          </w:tcPr>
          <w:p w14:paraId="0D0BD275">
            <w:pPr>
              <w:pStyle w:val="6"/>
              <w:spacing w:before="35" w:line="226" w:lineRule="auto"/>
              <w:ind w:left="129"/>
            </w:pPr>
            <w:r>
              <w:rPr>
                <w:spacing w:val="7"/>
              </w:rPr>
              <w:t>1） 投标人接受算术错误修正后的报价；</w:t>
            </w:r>
          </w:p>
          <w:p w14:paraId="77076670">
            <w:pPr>
              <w:pStyle w:val="6"/>
              <w:spacing w:before="28" w:line="234" w:lineRule="auto"/>
              <w:ind w:left="115" w:right="109"/>
            </w:pPr>
            <w:r>
              <w:rPr>
                <w:spacing w:val="8"/>
              </w:rPr>
              <w:t>2） 算术错误修正后的投标总价与投标总价相比偏差</w:t>
            </w:r>
            <w:r>
              <w:rPr>
                <w:spacing w:val="6"/>
              </w:rPr>
              <w:t>率不超过±1%。</w:t>
            </w:r>
          </w:p>
        </w:tc>
      </w:tr>
      <w:tr w14:paraId="147896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6" w:hRule="atLeast"/>
        </w:trPr>
        <w:tc>
          <w:tcPr>
            <w:tcW w:w="745" w:type="dxa"/>
            <w:vMerge w:val="continue"/>
            <w:tcBorders>
              <w:top w:val="nil"/>
              <w:bottom w:val="nil"/>
            </w:tcBorders>
            <w:vAlign w:val="top"/>
          </w:tcPr>
          <w:p w14:paraId="66F05A5E">
            <w:pPr>
              <w:rPr>
                <w:rFonts w:ascii="Arial"/>
                <w:sz w:val="21"/>
              </w:rPr>
            </w:pPr>
          </w:p>
        </w:tc>
        <w:tc>
          <w:tcPr>
            <w:tcW w:w="1058" w:type="dxa"/>
            <w:vMerge w:val="continue"/>
            <w:tcBorders>
              <w:top w:val="nil"/>
              <w:bottom w:val="nil"/>
            </w:tcBorders>
            <w:vAlign w:val="top"/>
          </w:tcPr>
          <w:p w14:paraId="3C2AC36A">
            <w:pPr>
              <w:rPr>
                <w:rFonts w:ascii="Arial"/>
                <w:sz w:val="21"/>
              </w:rPr>
            </w:pPr>
          </w:p>
        </w:tc>
        <w:tc>
          <w:tcPr>
            <w:tcW w:w="2339" w:type="dxa"/>
            <w:vAlign w:val="top"/>
          </w:tcPr>
          <w:p w14:paraId="64FB60A4">
            <w:pPr>
              <w:spacing w:line="316" w:lineRule="auto"/>
              <w:rPr>
                <w:rFonts w:ascii="Arial"/>
                <w:sz w:val="21"/>
              </w:rPr>
            </w:pPr>
          </w:p>
          <w:p w14:paraId="62C97A08">
            <w:pPr>
              <w:spacing w:line="317" w:lineRule="auto"/>
              <w:rPr>
                <w:rFonts w:ascii="Arial"/>
                <w:sz w:val="21"/>
              </w:rPr>
            </w:pPr>
          </w:p>
          <w:p w14:paraId="6D153D15">
            <w:pPr>
              <w:spacing w:line="317" w:lineRule="auto"/>
              <w:rPr>
                <w:rFonts w:ascii="Arial"/>
                <w:sz w:val="21"/>
              </w:rPr>
            </w:pPr>
          </w:p>
          <w:p w14:paraId="44FC0B23">
            <w:pPr>
              <w:pStyle w:val="6"/>
              <w:spacing w:before="65" w:line="226" w:lineRule="auto"/>
              <w:ind w:left="115"/>
            </w:pPr>
            <w:r>
              <w:rPr>
                <w:spacing w:val="6"/>
              </w:rPr>
              <w:t>投标价格</w:t>
            </w:r>
          </w:p>
        </w:tc>
        <w:tc>
          <w:tcPr>
            <w:tcW w:w="5042" w:type="dxa"/>
            <w:vAlign w:val="top"/>
          </w:tcPr>
          <w:p w14:paraId="5281F634">
            <w:pPr>
              <w:pStyle w:val="6"/>
              <w:spacing w:before="68" w:line="251" w:lineRule="auto"/>
              <w:ind w:left="133" w:right="107" w:hanging="4"/>
            </w:pPr>
            <w:r>
              <w:rPr>
                <w:spacing w:val="13"/>
              </w:rPr>
              <w:t>1）投标函中的大写投标总报价与已标价工程量清单</w:t>
            </w:r>
            <w:r>
              <w:rPr>
                <w:spacing w:val="5"/>
              </w:rPr>
              <w:t>中的投标总价一致；</w:t>
            </w:r>
          </w:p>
          <w:p w14:paraId="495F2759">
            <w:pPr>
              <w:pStyle w:val="6"/>
              <w:spacing w:before="1" w:line="251" w:lineRule="auto"/>
              <w:ind w:left="114" w:right="107" w:firstLine="1"/>
            </w:pPr>
            <w:r>
              <w:rPr>
                <w:spacing w:val="13"/>
              </w:rPr>
              <w:t>2）投标函中的大写投标总报价不大于本标段招标控</w:t>
            </w:r>
            <w:r>
              <w:rPr>
                <w:spacing w:val="5"/>
              </w:rPr>
              <w:t>制价总价；</w:t>
            </w:r>
          </w:p>
          <w:p w14:paraId="6E46A43B">
            <w:pPr>
              <w:pStyle w:val="6"/>
              <w:spacing w:line="251" w:lineRule="auto"/>
              <w:ind w:left="114" w:right="107" w:firstLine="3"/>
            </w:pPr>
            <w:r>
              <w:rPr>
                <w:spacing w:val="13"/>
              </w:rPr>
              <w:t>3）算术错误修正后的投标总价不大于本标段招标控</w:t>
            </w:r>
            <w:r>
              <w:rPr>
                <w:spacing w:val="5"/>
              </w:rPr>
              <w:t>制价总价；</w:t>
            </w:r>
          </w:p>
          <w:p w14:paraId="329D1EDF">
            <w:pPr>
              <w:pStyle w:val="6"/>
              <w:spacing w:line="251" w:lineRule="auto"/>
              <w:ind w:left="115" w:right="107" w:hanging="3"/>
            </w:pPr>
            <w:r>
              <w:rPr>
                <w:spacing w:val="13"/>
              </w:rPr>
              <w:t>4）投标函中的大写投标总报价（算术错误修正后的</w:t>
            </w:r>
            <w:r>
              <w:rPr>
                <w:spacing w:val="8"/>
              </w:rPr>
              <w:t>投标总价，如有）不低于其成本。</w:t>
            </w:r>
          </w:p>
        </w:tc>
      </w:tr>
      <w:tr w14:paraId="7DB522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5" w:hRule="atLeast"/>
        </w:trPr>
        <w:tc>
          <w:tcPr>
            <w:tcW w:w="745" w:type="dxa"/>
            <w:vMerge w:val="continue"/>
            <w:tcBorders>
              <w:top w:val="nil"/>
            </w:tcBorders>
            <w:vAlign w:val="top"/>
          </w:tcPr>
          <w:p w14:paraId="71E2CD28">
            <w:pPr>
              <w:rPr>
                <w:rFonts w:ascii="Arial"/>
                <w:sz w:val="21"/>
              </w:rPr>
            </w:pPr>
          </w:p>
        </w:tc>
        <w:tc>
          <w:tcPr>
            <w:tcW w:w="1058" w:type="dxa"/>
            <w:vMerge w:val="continue"/>
            <w:tcBorders>
              <w:top w:val="nil"/>
            </w:tcBorders>
            <w:vAlign w:val="top"/>
          </w:tcPr>
          <w:p w14:paraId="7C1A2C4E">
            <w:pPr>
              <w:rPr>
                <w:rFonts w:ascii="Arial"/>
                <w:sz w:val="21"/>
              </w:rPr>
            </w:pPr>
          </w:p>
        </w:tc>
        <w:tc>
          <w:tcPr>
            <w:tcW w:w="2339" w:type="dxa"/>
            <w:vAlign w:val="top"/>
          </w:tcPr>
          <w:p w14:paraId="371E1660">
            <w:pPr>
              <w:spacing w:line="252" w:lineRule="auto"/>
              <w:rPr>
                <w:rFonts w:ascii="Arial"/>
                <w:sz w:val="21"/>
              </w:rPr>
            </w:pPr>
          </w:p>
          <w:p w14:paraId="70EFAC25">
            <w:pPr>
              <w:spacing w:line="252" w:lineRule="auto"/>
              <w:rPr>
                <w:rFonts w:ascii="Arial"/>
                <w:sz w:val="21"/>
              </w:rPr>
            </w:pPr>
          </w:p>
          <w:p w14:paraId="08D00BFB">
            <w:pPr>
              <w:spacing w:line="252" w:lineRule="auto"/>
              <w:rPr>
                <w:rFonts w:ascii="Arial"/>
                <w:sz w:val="21"/>
              </w:rPr>
            </w:pPr>
          </w:p>
          <w:p w14:paraId="72E245A2">
            <w:pPr>
              <w:spacing w:line="253" w:lineRule="auto"/>
              <w:rPr>
                <w:rFonts w:ascii="Arial"/>
                <w:sz w:val="21"/>
              </w:rPr>
            </w:pPr>
          </w:p>
          <w:p w14:paraId="57B4A618">
            <w:pPr>
              <w:spacing w:line="253" w:lineRule="auto"/>
              <w:rPr>
                <w:rFonts w:ascii="Arial"/>
                <w:sz w:val="21"/>
              </w:rPr>
            </w:pPr>
          </w:p>
          <w:p w14:paraId="2F8B9DDD">
            <w:pPr>
              <w:spacing w:line="253" w:lineRule="auto"/>
              <w:rPr>
                <w:rFonts w:ascii="Arial"/>
                <w:sz w:val="21"/>
              </w:rPr>
            </w:pPr>
          </w:p>
          <w:p w14:paraId="57144B00">
            <w:pPr>
              <w:spacing w:line="253" w:lineRule="auto"/>
              <w:rPr>
                <w:rFonts w:ascii="Arial"/>
                <w:sz w:val="21"/>
              </w:rPr>
            </w:pPr>
          </w:p>
          <w:p w14:paraId="308D9FD8">
            <w:pPr>
              <w:spacing w:line="253" w:lineRule="auto"/>
              <w:rPr>
                <w:rFonts w:ascii="Arial"/>
                <w:sz w:val="21"/>
              </w:rPr>
            </w:pPr>
          </w:p>
          <w:p w14:paraId="31D03A02">
            <w:pPr>
              <w:spacing w:line="253" w:lineRule="auto"/>
              <w:rPr>
                <w:rFonts w:ascii="Arial"/>
                <w:sz w:val="21"/>
              </w:rPr>
            </w:pPr>
          </w:p>
          <w:p w14:paraId="1390AAEC">
            <w:pPr>
              <w:pStyle w:val="6"/>
              <w:spacing w:before="65" w:line="226" w:lineRule="auto"/>
              <w:ind w:left="135"/>
            </w:pPr>
            <w:r>
              <w:rPr>
                <w:spacing w:val="5"/>
              </w:rPr>
              <w:t>已标价工程量清单</w:t>
            </w:r>
          </w:p>
        </w:tc>
        <w:tc>
          <w:tcPr>
            <w:tcW w:w="5042" w:type="dxa"/>
            <w:vAlign w:val="top"/>
          </w:tcPr>
          <w:p w14:paraId="3CD62A19">
            <w:pPr>
              <w:pStyle w:val="6"/>
              <w:spacing w:before="38" w:line="251"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24A5F376">
            <w:pPr>
              <w:pStyle w:val="6"/>
              <w:spacing w:line="251" w:lineRule="auto"/>
              <w:ind w:left="112" w:right="107" w:firstLine="3"/>
            </w:pPr>
            <w:r>
              <w:rPr>
                <w:spacing w:val="10"/>
              </w:rPr>
              <w:t>2）</w:t>
            </w:r>
            <w:r>
              <w:rPr>
                <w:spacing w:val="-50"/>
              </w:rPr>
              <w:t xml:space="preserve"> </w:t>
            </w:r>
            <w:r>
              <w:rPr>
                <w:spacing w:val="10"/>
              </w:rPr>
              <w:t>已标价工程量清单符合第五章“工程量清</w:t>
            </w:r>
            <w:r>
              <w:rPr>
                <w:spacing w:val="9"/>
              </w:rPr>
              <w:t>单</w:t>
            </w:r>
            <w:r>
              <w:rPr>
                <w:spacing w:val="-65"/>
              </w:rPr>
              <w:t xml:space="preserve"> </w:t>
            </w:r>
            <w:r>
              <w:rPr>
                <w:spacing w:val="9"/>
              </w:rPr>
              <w:t>”给出的项目编码、项目名称、项目特征、计量单位和工</w:t>
            </w:r>
            <w:r>
              <w:rPr>
                <w:spacing w:val="3"/>
              </w:rPr>
              <w:t>程量；</w:t>
            </w:r>
          </w:p>
          <w:p w14:paraId="3E213EB1">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4D800F30">
            <w:pPr>
              <w:pStyle w:val="6"/>
              <w:spacing w:before="28" w:line="251" w:lineRule="auto"/>
              <w:ind w:left="129" w:right="109" w:hanging="17"/>
            </w:pPr>
            <w:r>
              <w:rPr>
                <w:spacing w:val="12"/>
              </w:rPr>
              <w:t>4）专业工程暂估价符合第五章“工程量清单</w:t>
            </w:r>
            <w:r>
              <w:rPr>
                <w:spacing w:val="-63"/>
              </w:rPr>
              <w:t xml:space="preserve"> </w:t>
            </w:r>
            <w:r>
              <w:rPr>
                <w:spacing w:val="12"/>
              </w:rPr>
              <w:t>”列出</w:t>
            </w:r>
            <w:r>
              <w:t>的金额；</w:t>
            </w:r>
          </w:p>
          <w:p w14:paraId="2776BD57">
            <w:pPr>
              <w:pStyle w:val="6"/>
              <w:spacing w:line="251" w:lineRule="auto"/>
              <w:ind w:left="115" w:right="109" w:firstLine="2"/>
            </w:pPr>
            <w:r>
              <w:rPr>
                <w:spacing w:val="13"/>
              </w:rPr>
              <w:t>5）材料（工程设备）暂估价符合第五章“工程量清</w:t>
            </w:r>
            <w:r>
              <w:rPr>
                <w:spacing w:val="6"/>
              </w:rPr>
              <w:t>单</w:t>
            </w:r>
            <w:r>
              <w:rPr>
                <w:spacing w:val="-64"/>
              </w:rPr>
              <w:t xml:space="preserve"> </w:t>
            </w:r>
            <w:r>
              <w:rPr>
                <w:spacing w:val="6"/>
              </w:rPr>
              <w:t>”列出的单价并计入综合单价；</w:t>
            </w:r>
          </w:p>
          <w:p w14:paraId="72D323D6">
            <w:pPr>
              <w:pStyle w:val="6"/>
              <w:spacing w:before="1" w:line="251" w:lineRule="auto"/>
              <w:ind w:left="115" w:right="158"/>
            </w:pPr>
            <w:r>
              <w:rPr>
                <w:spacing w:val="11"/>
              </w:rPr>
              <w:t>6）安全文明施工费、规费和税金等不可竞争费用，</w:t>
            </w:r>
            <w:r>
              <w:rPr>
                <w:spacing w:val="7"/>
              </w:rPr>
              <w:t>按照规定的标准计取；</w:t>
            </w:r>
          </w:p>
          <w:p w14:paraId="6EA03EE2">
            <w:pPr>
              <w:pStyle w:val="6"/>
              <w:spacing w:before="1" w:line="227" w:lineRule="auto"/>
              <w:ind w:left="118"/>
            </w:pPr>
            <w:r>
              <w:rPr>
                <w:spacing w:val="8"/>
              </w:rPr>
              <w:t>7）计税方法符合招标文件的约定；</w:t>
            </w:r>
          </w:p>
          <w:p w14:paraId="692BEB9D">
            <w:pPr>
              <w:pStyle w:val="6"/>
              <w:spacing w:before="26" w:line="245" w:lineRule="auto"/>
              <w:ind w:left="113" w:right="55"/>
            </w:pPr>
            <w:r>
              <w:rPr>
                <w:spacing w:val="7"/>
              </w:rPr>
              <w:t>8）已标价工程量清单项目未填报的项目不超过三</w:t>
            </w:r>
            <w:r>
              <w:rPr>
                <w:spacing w:val="6"/>
              </w:rPr>
              <w:t>项，</w:t>
            </w:r>
            <w:r>
              <w:rPr>
                <w:spacing w:val="9"/>
              </w:rPr>
              <w:t>且不超过三项未填报的项目的费用合计（按招标控制价相应项目的费用合计计算）不超过其投标函中的大</w:t>
            </w:r>
            <w:r>
              <w:rPr>
                <w:spacing w:val="8"/>
              </w:rPr>
              <w:t>写投标总报价（算术错误修正后的投标总价，如有）</w:t>
            </w:r>
            <w:r>
              <w:rPr>
                <w:spacing w:val="4"/>
              </w:rPr>
              <w:t>的±1%。</w:t>
            </w:r>
          </w:p>
        </w:tc>
      </w:tr>
      <w:tr w14:paraId="093DA6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745" w:type="dxa"/>
            <w:vMerge w:val="restart"/>
            <w:tcBorders>
              <w:bottom w:val="nil"/>
            </w:tcBorders>
            <w:vAlign w:val="top"/>
          </w:tcPr>
          <w:p w14:paraId="7782BE8B">
            <w:pPr>
              <w:spacing w:line="252" w:lineRule="auto"/>
              <w:rPr>
                <w:rFonts w:ascii="Arial"/>
                <w:sz w:val="21"/>
              </w:rPr>
            </w:pPr>
          </w:p>
          <w:p w14:paraId="4D3587FC">
            <w:pPr>
              <w:spacing w:line="252" w:lineRule="auto"/>
              <w:rPr>
                <w:rFonts w:ascii="Arial"/>
                <w:sz w:val="21"/>
              </w:rPr>
            </w:pPr>
          </w:p>
          <w:p w14:paraId="1056505F">
            <w:pPr>
              <w:spacing w:line="252" w:lineRule="auto"/>
              <w:rPr>
                <w:rFonts w:ascii="Arial"/>
                <w:sz w:val="21"/>
              </w:rPr>
            </w:pPr>
          </w:p>
          <w:p w14:paraId="5D0303EB">
            <w:pPr>
              <w:spacing w:line="252" w:lineRule="auto"/>
              <w:rPr>
                <w:rFonts w:ascii="Arial"/>
                <w:sz w:val="21"/>
              </w:rPr>
            </w:pPr>
          </w:p>
          <w:p w14:paraId="37FDE925">
            <w:pPr>
              <w:spacing w:line="253" w:lineRule="auto"/>
              <w:rPr>
                <w:rFonts w:ascii="Arial"/>
                <w:sz w:val="21"/>
              </w:rPr>
            </w:pPr>
          </w:p>
          <w:p w14:paraId="7F49F216">
            <w:pPr>
              <w:spacing w:line="253" w:lineRule="auto"/>
              <w:rPr>
                <w:rFonts w:ascii="Arial"/>
                <w:sz w:val="21"/>
              </w:rPr>
            </w:pPr>
          </w:p>
          <w:p w14:paraId="61C1AFA3">
            <w:pPr>
              <w:spacing w:line="253" w:lineRule="auto"/>
              <w:rPr>
                <w:rFonts w:ascii="Arial"/>
                <w:sz w:val="21"/>
              </w:rPr>
            </w:pPr>
          </w:p>
          <w:p w14:paraId="4CE15656">
            <w:pPr>
              <w:spacing w:line="253" w:lineRule="auto"/>
              <w:rPr>
                <w:rFonts w:ascii="Arial"/>
                <w:sz w:val="21"/>
              </w:rPr>
            </w:pPr>
          </w:p>
          <w:p w14:paraId="052B441F">
            <w:pPr>
              <w:spacing w:line="253" w:lineRule="auto"/>
              <w:rPr>
                <w:rFonts w:ascii="Arial"/>
                <w:sz w:val="21"/>
              </w:rPr>
            </w:pPr>
          </w:p>
          <w:p w14:paraId="658F0D29">
            <w:pPr>
              <w:spacing w:line="253" w:lineRule="auto"/>
              <w:rPr>
                <w:rFonts w:ascii="Arial"/>
                <w:sz w:val="21"/>
              </w:rPr>
            </w:pPr>
          </w:p>
          <w:p w14:paraId="53B9BE86">
            <w:pPr>
              <w:spacing w:line="253" w:lineRule="auto"/>
              <w:rPr>
                <w:rFonts w:ascii="Arial"/>
                <w:sz w:val="21"/>
              </w:rPr>
            </w:pPr>
          </w:p>
          <w:p w14:paraId="31392BF2">
            <w:pPr>
              <w:spacing w:line="253" w:lineRule="auto"/>
              <w:rPr>
                <w:rFonts w:ascii="Arial"/>
                <w:sz w:val="21"/>
              </w:rPr>
            </w:pPr>
          </w:p>
          <w:p w14:paraId="3E66C450">
            <w:pPr>
              <w:spacing w:line="253" w:lineRule="auto"/>
              <w:rPr>
                <w:rFonts w:ascii="Arial"/>
                <w:sz w:val="21"/>
              </w:rPr>
            </w:pPr>
          </w:p>
          <w:p w14:paraId="34D0FD8A">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1.4</w:t>
            </w:r>
          </w:p>
        </w:tc>
        <w:tc>
          <w:tcPr>
            <w:tcW w:w="1058" w:type="dxa"/>
            <w:vMerge w:val="restart"/>
            <w:tcBorders>
              <w:bottom w:val="nil"/>
            </w:tcBorders>
            <w:vAlign w:val="top"/>
          </w:tcPr>
          <w:p w14:paraId="3EAE07CC">
            <w:pPr>
              <w:spacing w:line="243" w:lineRule="auto"/>
              <w:rPr>
                <w:rFonts w:ascii="Arial"/>
                <w:sz w:val="21"/>
              </w:rPr>
            </w:pPr>
          </w:p>
          <w:p w14:paraId="79CE6A54">
            <w:pPr>
              <w:spacing w:line="243" w:lineRule="auto"/>
              <w:rPr>
                <w:rFonts w:ascii="Arial"/>
                <w:sz w:val="21"/>
              </w:rPr>
            </w:pPr>
          </w:p>
          <w:p w14:paraId="32F6FF3A">
            <w:pPr>
              <w:spacing w:line="243" w:lineRule="auto"/>
              <w:rPr>
                <w:rFonts w:ascii="Arial"/>
                <w:sz w:val="21"/>
              </w:rPr>
            </w:pPr>
          </w:p>
          <w:p w14:paraId="79ADD215">
            <w:pPr>
              <w:spacing w:line="243" w:lineRule="auto"/>
              <w:rPr>
                <w:rFonts w:ascii="Arial"/>
                <w:sz w:val="21"/>
              </w:rPr>
            </w:pPr>
          </w:p>
          <w:p w14:paraId="43EFD0AA">
            <w:pPr>
              <w:spacing w:line="243" w:lineRule="auto"/>
              <w:rPr>
                <w:rFonts w:ascii="Arial"/>
                <w:sz w:val="21"/>
              </w:rPr>
            </w:pPr>
          </w:p>
          <w:p w14:paraId="4E0AF776">
            <w:pPr>
              <w:spacing w:line="243" w:lineRule="auto"/>
              <w:rPr>
                <w:rFonts w:ascii="Arial"/>
                <w:sz w:val="21"/>
              </w:rPr>
            </w:pPr>
          </w:p>
          <w:p w14:paraId="07FF1C12">
            <w:pPr>
              <w:spacing w:line="243" w:lineRule="auto"/>
              <w:rPr>
                <w:rFonts w:ascii="Arial"/>
                <w:sz w:val="21"/>
              </w:rPr>
            </w:pPr>
          </w:p>
          <w:p w14:paraId="60AF2BF7">
            <w:pPr>
              <w:spacing w:line="243" w:lineRule="auto"/>
              <w:rPr>
                <w:rFonts w:ascii="Arial"/>
                <w:sz w:val="21"/>
              </w:rPr>
            </w:pPr>
          </w:p>
          <w:p w14:paraId="51B51CE2">
            <w:pPr>
              <w:spacing w:line="243" w:lineRule="auto"/>
              <w:rPr>
                <w:rFonts w:ascii="Arial"/>
                <w:sz w:val="21"/>
              </w:rPr>
            </w:pPr>
          </w:p>
          <w:p w14:paraId="2C93377E">
            <w:pPr>
              <w:spacing w:line="243" w:lineRule="auto"/>
              <w:rPr>
                <w:rFonts w:ascii="Arial"/>
                <w:sz w:val="21"/>
              </w:rPr>
            </w:pPr>
          </w:p>
          <w:p w14:paraId="23D98943">
            <w:pPr>
              <w:spacing w:line="243" w:lineRule="auto"/>
              <w:rPr>
                <w:rFonts w:ascii="Arial"/>
                <w:sz w:val="21"/>
              </w:rPr>
            </w:pPr>
          </w:p>
          <w:p w14:paraId="0783D4C2">
            <w:pPr>
              <w:spacing w:line="243" w:lineRule="auto"/>
              <w:rPr>
                <w:rFonts w:ascii="Arial"/>
                <w:sz w:val="21"/>
              </w:rPr>
            </w:pPr>
          </w:p>
          <w:p w14:paraId="72F89A88">
            <w:pPr>
              <w:pStyle w:val="6"/>
              <w:spacing w:before="65" w:line="251" w:lineRule="auto"/>
              <w:ind w:left="326" w:right="111" w:hanging="215"/>
            </w:pPr>
            <w:r>
              <w:rPr>
                <w:spacing w:val="7"/>
              </w:rPr>
              <w:t>施工组织</w:t>
            </w:r>
            <w:r>
              <w:rPr>
                <w:spacing w:val="3"/>
              </w:rPr>
              <w:t>设计</w:t>
            </w:r>
          </w:p>
          <w:p w14:paraId="289A7326">
            <w:pPr>
              <w:pStyle w:val="6"/>
              <w:spacing w:line="228" w:lineRule="auto"/>
              <w:ind w:left="111"/>
            </w:pPr>
            <w:r>
              <w:rPr>
                <w:spacing w:val="7"/>
              </w:rPr>
              <w:t>评审标准</w:t>
            </w:r>
          </w:p>
        </w:tc>
        <w:tc>
          <w:tcPr>
            <w:tcW w:w="2339" w:type="dxa"/>
            <w:vAlign w:val="top"/>
          </w:tcPr>
          <w:p w14:paraId="6F70ABCE">
            <w:pPr>
              <w:pStyle w:val="6"/>
              <w:spacing w:before="233" w:line="228" w:lineRule="auto"/>
              <w:ind w:left="115"/>
            </w:pPr>
            <w:r>
              <w:rPr>
                <w:spacing w:val="6"/>
              </w:rPr>
              <w:t>工程概况</w:t>
            </w:r>
          </w:p>
        </w:tc>
        <w:tc>
          <w:tcPr>
            <w:tcW w:w="5042" w:type="dxa"/>
            <w:vAlign w:val="top"/>
          </w:tcPr>
          <w:p w14:paraId="2B0C88F2">
            <w:pPr>
              <w:pStyle w:val="6"/>
              <w:spacing w:before="97" w:line="251" w:lineRule="auto"/>
              <w:ind w:left="113" w:right="109" w:firstLine="2"/>
            </w:pPr>
            <w:r>
              <w:rPr>
                <w:spacing w:val="9"/>
              </w:rPr>
              <w:t>工程主要情况、各专业设计简介、工程施工条件描述</w:t>
            </w:r>
            <w:r>
              <w:rPr>
                <w:spacing w:val="5"/>
              </w:rPr>
              <w:t>基本准确。</w:t>
            </w:r>
          </w:p>
        </w:tc>
      </w:tr>
      <w:tr w14:paraId="1388B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84" w:hRule="atLeast"/>
        </w:trPr>
        <w:tc>
          <w:tcPr>
            <w:tcW w:w="745" w:type="dxa"/>
            <w:vMerge w:val="continue"/>
            <w:tcBorders>
              <w:top w:val="nil"/>
              <w:bottom w:val="nil"/>
            </w:tcBorders>
            <w:vAlign w:val="top"/>
          </w:tcPr>
          <w:p w14:paraId="4649BE56">
            <w:pPr>
              <w:rPr>
                <w:rFonts w:ascii="Arial"/>
                <w:sz w:val="21"/>
              </w:rPr>
            </w:pPr>
          </w:p>
        </w:tc>
        <w:tc>
          <w:tcPr>
            <w:tcW w:w="1058" w:type="dxa"/>
            <w:vMerge w:val="continue"/>
            <w:tcBorders>
              <w:top w:val="nil"/>
              <w:bottom w:val="nil"/>
            </w:tcBorders>
            <w:vAlign w:val="top"/>
          </w:tcPr>
          <w:p w14:paraId="375774B3">
            <w:pPr>
              <w:rPr>
                <w:rFonts w:ascii="Arial"/>
                <w:sz w:val="21"/>
              </w:rPr>
            </w:pPr>
          </w:p>
        </w:tc>
        <w:tc>
          <w:tcPr>
            <w:tcW w:w="2339" w:type="dxa"/>
            <w:vAlign w:val="top"/>
          </w:tcPr>
          <w:p w14:paraId="2F587B70">
            <w:pPr>
              <w:spacing w:line="359" w:lineRule="auto"/>
              <w:rPr>
                <w:rFonts w:ascii="Arial"/>
                <w:sz w:val="21"/>
              </w:rPr>
            </w:pPr>
          </w:p>
          <w:p w14:paraId="25AF2A38">
            <w:pPr>
              <w:spacing w:line="359" w:lineRule="auto"/>
              <w:rPr>
                <w:rFonts w:ascii="Arial"/>
                <w:sz w:val="21"/>
              </w:rPr>
            </w:pPr>
          </w:p>
          <w:p w14:paraId="53B11A3D">
            <w:pPr>
              <w:pStyle w:val="6"/>
              <w:spacing w:before="65" w:line="228" w:lineRule="auto"/>
              <w:ind w:left="111"/>
            </w:pPr>
            <w:r>
              <w:rPr>
                <w:spacing w:val="7"/>
              </w:rPr>
              <w:t>施工部署</w:t>
            </w:r>
          </w:p>
        </w:tc>
        <w:tc>
          <w:tcPr>
            <w:tcW w:w="5042" w:type="dxa"/>
            <w:vAlign w:val="top"/>
          </w:tcPr>
          <w:p w14:paraId="77D57F7A">
            <w:pPr>
              <w:pStyle w:val="6"/>
              <w:spacing w:before="105" w:line="252" w:lineRule="auto"/>
              <w:ind w:left="112" w:right="107" w:firstLine="3"/>
              <w:jc w:val="both"/>
            </w:pPr>
            <w:r>
              <w:rPr>
                <w:spacing w:val="9"/>
              </w:rPr>
              <w:t>工程施工目标、主要施工内容、施工流水段划分、施工的重点和难点分析、工程管理的组织机构形式、项目经理部的工作岗位设置及其职责划分、新技术、新工艺部署及其技术和管理要求（如有）、主要分包工程施工单位的选择要求及管理方式（如有）等各项安</w:t>
            </w:r>
            <w:r>
              <w:rPr>
                <w:spacing w:val="7"/>
              </w:rPr>
              <w:t>排合理、可行。</w:t>
            </w:r>
          </w:p>
        </w:tc>
      </w:tr>
      <w:tr w14:paraId="674F55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745" w:type="dxa"/>
            <w:vMerge w:val="continue"/>
            <w:tcBorders>
              <w:top w:val="nil"/>
              <w:bottom w:val="nil"/>
            </w:tcBorders>
            <w:vAlign w:val="top"/>
          </w:tcPr>
          <w:p w14:paraId="6106BB8C">
            <w:pPr>
              <w:rPr>
                <w:rFonts w:ascii="Arial"/>
                <w:sz w:val="21"/>
              </w:rPr>
            </w:pPr>
          </w:p>
        </w:tc>
        <w:tc>
          <w:tcPr>
            <w:tcW w:w="1058" w:type="dxa"/>
            <w:vMerge w:val="continue"/>
            <w:tcBorders>
              <w:top w:val="nil"/>
              <w:bottom w:val="nil"/>
            </w:tcBorders>
            <w:vAlign w:val="top"/>
          </w:tcPr>
          <w:p w14:paraId="6074509A">
            <w:pPr>
              <w:rPr>
                <w:rFonts w:ascii="Arial"/>
                <w:sz w:val="21"/>
              </w:rPr>
            </w:pPr>
          </w:p>
        </w:tc>
        <w:tc>
          <w:tcPr>
            <w:tcW w:w="2339" w:type="dxa"/>
            <w:vAlign w:val="top"/>
          </w:tcPr>
          <w:p w14:paraId="2BE7ABCD">
            <w:pPr>
              <w:pStyle w:val="6"/>
              <w:spacing w:before="180" w:line="228" w:lineRule="auto"/>
              <w:ind w:left="111"/>
            </w:pPr>
            <w:r>
              <w:rPr>
                <w:spacing w:val="8"/>
              </w:rPr>
              <w:t>施工进度计划</w:t>
            </w:r>
          </w:p>
        </w:tc>
        <w:tc>
          <w:tcPr>
            <w:tcW w:w="5042" w:type="dxa"/>
            <w:vAlign w:val="top"/>
          </w:tcPr>
          <w:p w14:paraId="5F81DC00">
            <w:pPr>
              <w:pStyle w:val="6"/>
              <w:spacing w:before="179" w:line="228" w:lineRule="auto"/>
              <w:ind w:left="129"/>
            </w:pPr>
            <w:r>
              <w:rPr>
                <w:spacing w:val="8"/>
              </w:rPr>
              <w:t>网络图或横道图安排的进度计划合理、可行。</w:t>
            </w:r>
          </w:p>
        </w:tc>
      </w:tr>
      <w:tr w14:paraId="55CE36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0" w:hRule="atLeast"/>
        </w:trPr>
        <w:tc>
          <w:tcPr>
            <w:tcW w:w="745" w:type="dxa"/>
            <w:vMerge w:val="continue"/>
            <w:tcBorders>
              <w:top w:val="nil"/>
            </w:tcBorders>
            <w:vAlign w:val="top"/>
          </w:tcPr>
          <w:p w14:paraId="12C5CA9F">
            <w:pPr>
              <w:rPr>
                <w:rFonts w:ascii="Arial"/>
                <w:sz w:val="21"/>
              </w:rPr>
            </w:pPr>
          </w:p>
        </w:tc>
        <w:tc>
          <w:tcPr>
            <w:tcW w:w="1058" w:type="dxa"/>
            <w:vMerge w:val="continue"/>
            <w:tcBorders>
              <w:top w:val="nil"/>
            </w:tcBorders>
            <w:vAlign w:val="top"/>
          </w:tcPr>
          <w:p w14:paraId="744714EC">
            <w:pPr>
              <w:rPr>
                <w:rFonts w:ascii="Arial"/>
                <w:sz w:val="21"/>
              </w:rPr>
            </w:pPr>
          </w:p>
        </w:tc>
        <w:tc>
          <w:tcPr>
            <w:tcW w:w="2339" w:type="dxa"/>
            <w:vAlign w:val="top"/>
          </w:tcPr>
          <w:p w14:paraId="263A65A5">
            <w:pPr>
              <w:pStyle w:val="6"/>
              <w:spacing w:before="254" w:line="229" w:lineRule="auto"/>
              <w:ind w:left="111"/>
            </w:pPr>
            <w:r>
              <w:rPr>
                <w:spacing w:val="8"/>
              </w:rPr>
              <w:t>施工准备与</w:t>
            </w:r>
          </w:p>
          <w:p w14:paraId="7F08E02B">
            <w:pPr>
              <w:pStyle w:val="6"/>
              <w:spacing w:before="25" w:line="229" w:lineRule="auto"/>
              <w:ind w:left="121"/>
            </w:pPr>
            <w:r>
              <w:rPr>
                <w:spacing w:val="6"/>
              </w:rPr>
              <w:t>资源配置计划</w:t>
            </w:r>
          </w:p>
        </w:tc>
        <w:tc>
          <w:tcPr>
            <w:tcW w:w="5042" w:type="dxa"/>
            <w:vAlign w:val="top"/>
          </w:tcPr>
          <w:p w14:paraId="15878B1A">
            <w:pPr>
              <w:pStyle w:val="6"/>
              <w:spacing w:before="118" w:line="252" w:lineRule="auto"/>
              <w:ind w:left="114" w:right="107"/>
              <w:jc w:val="both"/>
            </w:pPr>
            <w:r>
              <w:rPr>
                <w:spacing w:val="9"/>
              </w:rPr>
              <w:t>技术准备、现场准备和资金准备；资源配置计划包括劳动力配置计划、主要工程材料和设备配置计划、主要周转材料和施工机具配置计划等内容完备，可行。</w:t>
            </w:r>
          </w:p>
        </w:tc>
      </w:tr>
    </w:tbl>
    <w:p w14:paraId="079AA706">
      <w:pPr>
        <w:rPr>
          <w:rFonts w:ascii="Arial"/>
          <w:sz w:val="21"/>
        </w:rPr>
      </w:pPr>
    </w:p>
    <w:p w14:paraId="386B3A0E">
      <w:pPr>
        <w:rPr>
          <w:rFonts w:ascii="Arial" w:hAnsi="Arial" w:eastAsia="Arial" w:cs="Arial"/>
          <w:sz w:val="21"/>
          <w:szCs w:val="21"/>
        </w:rPr>
        <w:sectPr>
          <w:footerReference r:id="rId92" w:type="default"/>
          <w:pgSz w:w="11907" w:h="16840"/>
          <w:pgMar w:top="400" w:right="1248" w:bottom="1035" w:left="1469" w:header="0" w:footer="785" w:gutter="0"/>
          <w:cols w:space="720" w:num="1"/>
        </w:sectPr>
      </w:pPr>
    </w:p>
    <w:p w14:paraId="42033969">
      <w:pPr>
        <w:spacing w:before="19"/>
      </w:pPr>
    </w:p>
    <w:p w14:paraId="56726EDC">
      <w:pPr>
        <w:spacing w:before="19"/>
      </w:pPr>
    </w:p>
    <w:p w14:paraId="5277530E">
      <w:pPr>
        <w:spacing w:before="19"/>
      </w:pPr>
    </w:p>
    <w:p w14:paraId="7CE083A7">
      <w:pPr>
        <w:spacing w:before="18"/>
      </w:pPr>
    </w:p>
    <w:p w14:paraId="69F7FB41">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255"/>
        <w:gridCol w:w="5042"/>
      </w:tblGrid>
      <w:tr w14:paraId="087F6C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9" w:hRule="atLeast"/>
        </w:trPr>
        <w:tc>
          <w:tcPr>
            <w:tcW w:w="745" w:type="dxa"/>
            <w:vMerge w:val="restart"/>
            <w:tcBorders>
              <w:bottom w:val="nil"/>
            </w:tcBorders>
            <w:vAlign w:val="top"/>
          </w:tcPr>
          <w:p w14:paraId="740A9D97">
            <w:pPr>
              <w:rPr>
                <w:rFonts w:ascii="Arial"/>
                <w:sz w:val="21"/>
              </w:rPr>
            </w:pPr>
          </w:p>
        </w:tc>
        <w:tc>
          <w:tcPr>
            <w:tcW w:w="1058" w:type="dxa"/>
            <w:vMerge w:val="restart"/>
            <w:tcBorders>
              <w:bottom w:val="nil"/>
            </w:tcBorders>
            <w:vAlign w:val="top"/>
          </w:tcPr>
          <w:p w14:paraId="43715C4B">
            <w:pPr>
              <w:rPr>
                <w:rFonts w:ascii="Arial"/>
                <w:sz w:val="21"/>
              </w:rPr>
            </w:pPr>
          </w:p>
        </w:tc>
        <w:tc>
          <w:tcPr>
            <w:tcW w:w="2339" w:type="dxa"/>
            <w:gridSpan w:val="2"/>
            <w:vAlign w:val="top"/>
          </w:tcPr>
          <w:p w14:paraId="508858A3">
            <w:pPr>
              <w:spacing w:line="302" w:lineRule="auto"/>
              <w:rPr>
                <w:rFonts w:ascii="Arial"/>
                <w:sz w:val="21"/>
              </w:rPr>
            </w:pPr>
          </w:p>
          <w:p w14:paraId="35D7D9B6">
            <w:pPr>
              <w:spacing w:line="303" w:lineRule="auto"/>
              <w:rPr>
                <w:rFonts w:ascii="Arial"/>
                <w:sz w:val="21"/>
              </w:rPr>
            </w:pPr>
          </w:p>
          <w:p w14:paraId="7522737D">
            <w:pPr>
              <w:pStyle w:val="6"/>
              <w:spacing w:before="65" w:line="228" w:lineRule="auto"/>
              <w:ind w:left="114"/>
            </w:pPr>
            <w:r>
              <w:rPr>
                <w:spacing w:val="7"/>
              </w:rPr>
              <w:t>主要施工方案</w:t>
            </w:r>
          </w:p>
        </w:tc>
        <w:tc>
          <w:tcPr>
            <w:tcW w:w="5042" w:type="dxa"/>
            <w:vAlign w:val="top"/>
          </w:tcPr>
          <w:p w14:paraId="745C27A8">
            <w:pPr>
              <w:pStyle w:val="6"/>
              <w:spacing w:before="133" w:line="251" w:lineRule="auto"/>
              <w:ind w:left="112" w:right="57" w:firstLine="2"/>
            </w:pPr>
            <w:r>
              <w:rPr>
                <w:spacing w:val="9"/>
              </w:rPr>
              <w:t>主要分部、分项工程施工方案合理、可行；脚手架工程、起重吊装工程、临时用水用电工程、季节性施工</w:t>
            </w:r>
            <w:r>
              <w:rPr>
                <w:spacing w:val="2"/>
              </w:rPr>
              <w:t>等专项工程的施工方案（如有）有必要的验算和说明；</w:t>
            </w:r>
            <w:r>
              <w:rPr>
                <w:spacing w:val="10"/>
              </w:rPr>
              <w:t>对易发生质量通病、易出现安全问题、施工难度大、</w:t>
            </w:r>
            <w:r>
              <w:rPr>
                <w:spacing w:val="9"/>
              </w:rPr>
              <w:t>技术含量高的分项工程（工序）等有重点说明。</w:t>
            </w:r>
          </w:p>
        </w:tc>
      </w:tr>
      <w:tr w14:paraId="6BCB8A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0" w:hRule="atLeast"/>
        </w:trPr>
        <w:tc>
          <w:tcPr>
            <w:tcW w:w="745" w:type="dxa"/>
            <w:vMerge w:val="continue"/>
            <w:tcBorders>
              <w:top w:val="nil"/>
              <w:bottom w:val="nil"/>
            </w:tcBorders>
            <w:vAlign w:val="top"/>
          </w:tcPr>
          <w:p w14:paraId="02A83346">
            <w:pPr>
              <w:rPr>
                <w:rFonts w:ascii="Arial"/>
                <w:sz w:val="21"/>
              </w:rPr>
            </w:pPr>
          </w:p>
        </w:tc>
        <w:tc>
          <w:tcPr>
            <w:tcW w:w="1058" w:type="dxa"/>
            <w:vMerge w:val="continue"/>
            <w:tcBorders>
              <w:top w:val="nil"/>
              <w:bottom w:val="nil"/>
            </w:tcBorders>
            <w:vAlign w:val="top"/>
          </w:tcPr>
          <w:p w14:paraId="71D35E8B">
            <w:pPr>
              <w:rPr>
                <w:rFonts w:ascii="Arial"/>
                <w:sz w:val="21"/>
              </w:rPr>
            </w:pPr>
          </w:p>
        </w:tc>
        <w:tc>
          <w:tcPr>
            <w:tcW w:w="2339" w:type="dxa"/>
            <w:gridSpan w:val="2"/>
            <w:vAlign w:val="top"/>
          </w:tcPr>
          <w:p w14:paraId="18EBF9A4">
            <w:pPr>
              <w:spacing w:line="246" w:lineRule="auto"/>
              <w:rPr>
                <w:rFonts w:ascii="Arial"/>
                <w:sz w:val="21"/>
              </w:rPr>
            </w:pPr>
          </w:p>
          <w:p w14:paraId="7F3A34DF">
            <w:pPr>
              <w:spacing w:line="246" w:lineRule="auto"/>
              <w:rPr>
                <w:rFonts w:ascii="Arial"/>
                <w:sz w:val="21"/>
              </w:rPr>
            </w:pPr>
          </w:p>
          <w:p w14:paraId="5D4F8789">
            <w:pPr>
              <w:spacing w:line="247" w:lineRule="auto"/>
              <w:rPr>
                <w:rFonts w:ascii="Arial"/>
                <w:sz w:val="21"/>
              </w:rPr>
            </w:pPr>
          </w:p>
          <w:p w14:paraId="343CE75A">
            <w:pPr>
              <w:pStyle w:val="6"/>
              <w:spacing w:before="65" w:line="227" w:lineRule="auto"/>
              <w:ind w:left="111"/>
            </w:pPr>
            <w:r>
              <w:rPr>
                <w:spacing w:val="8"/>
              </w:rPr>
              <w:t>施工现场平面布置</w:t>
            </w:r>
          </w:p>
        </w:tc>
        <w:tc>
          <w:tcPr>
            <w:tcW w:w="5042" w:type="dxa"/>
            <w:vAlign w:val="top"/>
          </w:tcPr>
          <w:p w14:paraId="55A163A8">
            <w:pPr>
              <w:pStyle w:val="6"/>
              <w:spacing w:before="124" w:line="252" w:lineRule="auto"/>
              <w:ind w:left="112" w:right="107"/>
              <w:jc w:val="both"/>
            </w:pPr>
            <w:r>
              <w:rPr>
                <w:spacing w:val="9"/>
              </w:rPr>
              <w:t>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要素齐全，现场平面布置合理可行。</w:t>
            </w:r>
          </w:p>
        </w:tc>
      </w:tr>
      <w:tr w14:paraId="0C1ACD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6" w:hRule="atLeast"/>
        </w:trPr>
        <w:tc>
          <w:tcPr>
            <w:tcW w:w="745" w:type="dxa"/>
            <w:vMerge w:val="continue"/>
            <w:tcBorders>
              <w:top w:val="nil"/>
              <w:bottom w:val="nil"/>
            </w:tcBorders>
            <w:vAlign w:val="top"/>
          </w:tcPr>
          <w:p w14:paraId="20A318DC">
            <w:pPr>
              <w:rPr>
                <w:rFonts w:ascii="Arial"/>
                <w:sz w:val="21"/>
              </w:rPr>
            </w:pPr>
          </w:p>
        </w:tc>
        <w:tc>
          <w:tcPr>
            <w:tcW w:w="1058" w:type="dxa"/>
            <w:vMerge w:val="continue"/>
            <w:tcBorders>
              <w:top w:val="nil"/>
              <w:bottom w:val="nil"/>
            </w:tcBorders>
            <w:vAlign w:val="top"/>
          </w:tcPr>
          <w:p w14:paraId="2C1B4A8F">
            <w:pPr>
              <w:rPr>
                <w:rFonts w:ascii="Arial"/>
                <w:sz w:val="21"/>
              </w:rPr>
            </w:pPr>
          </w:p>
        </w:tc>
        <w:tc>
          <w:tcPr>
            <w:tcW w:w="2339" w:type="dxa"/>
            <w:gridSpan w:val="2"/>
            <w:vAlign w:val="top"/>
          </w:tcPr>
          <w:p w14:paraId="78F7D839">
            <w:pPr>
              <w:spacing w:line="299" w:lineRule="auto"/>
              <w:rPr>
                <w:rFonts w:ascii="Arial"/>
                <w:sz w:val="21"/>
              </w:rPr>
            </w:pPr>
          </w:p>
          <w:p w14:paraId="7C43298C">
            <w:pPr>
              <w:spacing w:line="300" w:lineRule="auto"/>
              <w:rPr>
                <w:rFonts w:ascii="Arial"/>
                <w:sz w:val="21"/>
              </w:rPr>
            </w:pPr>
          </w:p>
          <w:p w14:paraId="52D4FABD">
            <w:pPr>
              <w:pStyle w:val="6"/>
              <w:spacing w:before="65" w:line="228" w:lineRule="auto"/>
              <w:ind w:left="114"/>
            </w:pPr>
            <w:r>
              <w:rPr>
                <w:spacing w:val="8"/>
              </w:rPr>
              <w:t>主要施工管理计划</w:t>
            </w:r>
          </w:p>
        </w:tc>
        <w:tc>
          <w:tcPr>
            <w:tcW w:w="5042" w:type="dxa"/>
            <w:vAlign w:val="top"/>
          </w:tcPr>
          <w:p w14:paraId="34882604">
            <w:pPr>
              <w:pStyle w:val="6"/>
              <w:spacing w:before="122" w:line="252" w:lineRule="auto"/>
              <w:ind w:left="113" w:right="109" w:hanging="2"/>
            </w:pPr>
            <w:r>
              <w:rPr>
                <w:spacing w:val="9"/>
              </w:rPr>
              <w:t>进度管理计划、质量管理计划、安全管理计划、环境管理计划、成本管理计划、治安保卫管理计划、合同管理计划，组织协调管理计划、成品保护管理计划、质量保修管理计划、人力资源、施工机具、材料设备</w:t>
            </w:r>
            <w:r>
              <w:rPr>
                <w:spacing w:val="8"/>
              </w:rPr>
              <w:t>等管理计划内容基本完备，可行。</w:t>
            </w:r>
          </w:p>
        </w:tc>
      </w:tr>
      <w:tr w14:paraId="01AA25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745" w:type="dxa"/>
            <w:vMerge w:val="continue"/>
            <w:tcBorders>
              <w:top w:val="nil"/>
            </w:tcBorders>
            <w:vAlign w:val="top"/>
          </w:tcPr>
          <w:p w14:paraId="59307E67">
            <w:pPr>
              <w:rPr>
                <w:rFonts w:ascii="Arial"/>
                <w:sz w:val="21"/>
              </w:rPr>
            </w:pPr>
          </w:p>
        </w:tc>
        <w:tc>
          <w:tcPr>
            <w:tcW w:w="1058" w:type="dxa"/>
            <w:vMerge w:val="continue"/>
            <w:tcBorders>
              <w:top w:val="nil"/>
            </w:tcBorders>
            <w:vAlign w:val="top"/>
          </w:tcPr>
          <w:p w14:paraId="3A61B5D4">
            <w:pPr>
              <w:rPr>
                <w:rFonts w:ascii="Arial"/>
                <w:sz w:val="21"/>
              </w:rPr>
            </w:pPr>
          </w:p>
        </w:tc>
        <w:tc>
          <w:tcPr>
            <w:tcW w:w="7381" w:type="dxa"/>
            <w:gridSpan w:val="3"/>
            <w:vAlign w:val="top"/>
          </w:tcPr>
          <w:p w14:paraId="123F7B53">
            <w:pPr>
              <w:pStyle w:val="6"/>
              <w:spacing w:before="68" w:line="249" w:lineRule="auto"/>
              <w:ind w:left="111" w:right="160"/>
            </w:pPr>
            <w:r>
              <w:rPr>
                <w:spacing w:val="7"/>
              </w:rPr>
              <w:t>施工组织设计各项内容只作定性评审，即只作“合格</w:t>
            </w:r>
            <w:r>
              <w:rPr>
                <w:spacing w:val="-64"/>
              </w:rPr>
              <w:t xml:space="preserve"> </w:t>
            </w:r>
            <w:r>
              <w:rPr>
                <w:spacing w:val="7"/>
              </w:rPr>
              <w:t>”与“不合格</w:t>
            </w:r>
            <w:r>
              <w:rPr>
                <w:spacing w:val="-72"/>
              </w:rPr>
              <w:t xml:space="preserve"> </w:t>
            </w:r>
            <w:r>
              <w:rPr>
                <w:spacing w:val="7"/>
              </w:rPr>
              <w:t>”的评审，</w:t>
            </w:r>
            <w:r>
              <w:rPr>
                <w:spacing w:val="8"/>
              </w:rPr>
              <w:t>七项内容中有不少于四项合格即视为施工组织设计“合格</w:t>
            </w:r>
            <w:r>
              <w:rPr>
                <w:spacing w:val="-65"/>
              </w:rPr>
              <w:t xml:space="preserve"> </w:t>
            </w:r>
            <w:r>
              <w:rPr>
                <w:spacing w:val="8"/>
              </w:rPr>
              <w:t>”。</w:t>
            </w:r>
          </w:p>
        </w:tc>
      </w:tr>
      <w:tr w14:paraId="1D8EAA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trPr>
        <w:tc>
          <w:tcPr>
            <w:tcW w:w="1803" w:type="dxa"/>
            <w:gridSpan w:val="2"/>
            <w:vAlign w:val="top"/>
          </w:tcPr>
          <w:p w14:paraId="1CAFC527">
            <w:pPr>
              <w:spacing w:line="349" w:lineRule="auto"/>
              <w:rPr>
                <w:rFonts w:ascii="Arial"/>
                <w:sz w:val="21"/>
              </w:rPr>
            </w:pPr>
          </w:p>
          <w:p w14:paraId="4137DA7A">
            <w:pPr>
              <w:spacing w:line="349" w:lineRule="auto"/>
              <w:rPr>
                <w:rFonts w:ascii="Arial"/>
                <w:sz w:val="21"/>
              </w:rPr>
            </w:pPr>
          </w:p>
          <w:p w14:paraId="3491C473">
            <w:pPr>
              <w:spacing w:before="57"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3"/>
            <w:vAlign w:val="top"/>
          </w:tcPr>
          <w:p w14:paraId="30653BD5">
            <w:pPr>
              <w:pStyle w:val="6"/>
              <w:spacing w:before="303" w:line="227" w:lineRule="auto"/>
              <w:ind w:left="111"/>
            </w:pPr>
            <w:r>
              <w:rPr>
                <w:spacing w:val="9"/>
              </w:rPr>
              <w:t>在本标段招标投标活动中，投标人不得存在的其他情形：</w:t>
            </w:r>
          </w:p>
          <w:p w14:paraId="4933DF85">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3CF4F59D">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106580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03" w:type="dxa"/>
            <w:gridSpan w:val="2"/>
            <w:vAlign w:val="top"/>
          </w:tcPr>
          <w:p w14:paraId="4E92CE49">
            <w:pPr>
              <w:pStyle w:val="6"/>
              <w:spacing w:before="123" w:line="228" w:lineRule="auto"/>
              <w:ind w:left="592"/>
            </w:pPr>
            <w:r>
              <w:rPr>
                <w:b/>
                <w:bCs/>
                <w:spacing w:val="5"/>
              </w:rPr>
              <w:t>条款号</w:t>
            </w:r>
          </w:p>
        </w:tc>
        <w:tc>
          <w:tcPr>
            <w:tcW w:w="2084" w:type="dxa"/>
            <w:vAlign w:val="top"/>
          </w:tcPr>
          <w:p w14:paraId="23A4DB20">
            <w:pPr>
              <w:pStyle w:val="6"/>
              <w:spacing w:before="123" w:line="228" w:lineRule="auto"/>
              <w:ind w:left="627"/>
            </w:pPr>
            <w:r>
              <w:rPr>
                <w:b/>
                <w:bCs/>
                <w:spacing w:val="6"/>
              </w:rPr>
              <w:t>条款内容</w:t>
            </w:r>
          </w:p>
        </w:tc>
        <w:tc>
          <w:tcPr>
            <w:tcW w:w="5297" w:type="dxa"/>
            <w:gridSpan w:val="2"/>
            <w:vAlign w:val="top"/>
          </w:tcPr>
          <w:p w14:paraId="3A64668C">
            <w:pPr>
              <w:pStyle w:val="6"/>
              <w:spacing w:before="123" w:line="228" w:lineRule="auto"/>
              <w:ind w:left="2232"/>
            </w:pPr>
            <w:r>
              <w:rPr>
                <w:b/>
                <w:bCs/>
                <w:spacing w:val="6"/>
              </w:rPr>
              <w:t>编列内容</w:t>
            </w:r>
          </w:p>
        </w:tc>
      </w:tr>
      <w:tr w14:paraId="5497D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5" w:hRule="atLeast"/>
        </w:trPr>
        <w:tc>
          <w:tcPr>
            <w:tcW w:w="1803" w:type="dxa"/>
            <w:gridSpan w:val="2"/>
            <w:vAlign w:val="top"/>
          </w:tcPr>
          <w:p w14:paraId="1AEDBCD3">
            <w:pPr>
              <w:spacing w:line="246" w:lineRule="auto"/>
              <w:rPr>
                <w:rFonts w:ascii="Arial"/>
                <w:sz w:val="21"/>
              </w:rPr>
            </w:pPr>
          </w:p>
          <w:p w14:paraId="10A506D7">
            <w:pPr>
              <w:spacing w:line="246" w:lineRule="auto"/>
              <w:rPr>
                <w:rFonts w:ascii="Arial"/>
                <w:sz w:val="21"/>
              </w:rPr>
            </w:pPr>
          </w:p>
          <w:p w14:paraId="0B47B36C">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69385AB7">
            <w:pPr>
              <w:pStyle w:val="6"/>
              <w:spacing w:before="185" w:line="228" w:lineRule="auto"/>
              <w:ind w:left="115"/>
            </w:pPr>
            <w:r>
              <w:rPr>
                <w:spacing w:val="6"/>
              </w:rPr>
              <w:t>分值构成</w:t>
            </w:r>
          </w:p>
          <w:p w14:paraId="07B5F599">
            <w:pPr>
              <w:pStyle w:val="6"/>
              <w:spacing w:before="27" w:line="252" w:lineRule="auto"/>
              <w:ind w:left="115" w:right="106" w:firstLine="7"/>
            </w:pPr>
            <w:r>
              <w:rPr>
                <w:spacing w:val="5"/>
              </w:rPr>
              <w:t>（总分 100</w:t>
            </w:r>
            <w:r>
              <w:rPr>
                <w:spacing w:val="-16"/>
              </w:rPr>
              <w:t xml:space="preserve"> </w:t>
            </w:r>
            <w:r>
              <w:rPr>
                <w:spacing w:val="5"/>
              </w:rPr>
              <w:t>分+4.25</w:t>
            </w:r>
            <w:r>
              <w:rPr>
                <w:spacing w:val="-1"/>
              </w:rPr>
              <w:t>分）</w:t>
            </w:r>
          </w:p>
        </w:tc>
        <w:tc>
          <w:tcPr>
            <w:tcW w:w="5297" w:type="dxa"/>
            <w:gridSpan w:val="2"/>
            <w:vAlign w:val="top"/>
          </w:tcPr>
          <w:p w14:paraId="10F65C6A">
            <w:pPr>
              <w:pStyle w:val="6"/>
              <w:spacing w:before="185" w:line="226" w:lineRule="auto"/>
              <w:ind w:left="116"/>
            </w:pPr>
            <w:r>
              <w:rPr>
                <w:spacing w:val="3"/>
              </w:rPr>
              <w:t>投标报价：</w:t>
            </w:r>
            <w:r>
              <w:rPr>
                <w:spacing w:val="12"/>
              </w:rPr>
              <w:t xml:space="preserve">    </w:t>
            </w:r>
            <w:r>
              <w:rPr>
                <w:spacing w:val="3"/>
              </w:rPr>
              <w:t>85</w:t>
            </w:r>
            <w:r>
              <w:rPr>
                <w:spacing w:val="-33"/>
              </w:rPr>
              <w:t xml:space="preserve"> </w:t>
            </w:r>
            <w:r>
              <w:rPr>
                <w:spacing w:val="3"/>
              </w:rPr>
              <w:t>分（+4.25</w:t>
            </w:r>
            <w:r>
              <w:rPr>
                <w:spacing w:val="-37"/>
              </w:rPr>
              <w:t xml:space="preserve"> </w:t>
            </w:r>
            <w:r>
              <w:rPr>
                <w:spacing w:val="3"/>
              </w:rPr>
              <w:t>分）</w:t>
            </w:r>
          </w:p>
          <w:p w14:paraId="13DB5DC6">
            <w:pPr>
              <w:pStyle w:val="6"/>
              <w:spacing w:before="28" w:line="227" w:lineRule="auto"/>
              <w:ind w:left="117"/>
            </w:pPr>
            <w:r>
              <w:rPr>
                <w:spacing w:val="5"/>
              </w:rPr>
              <w:t>项目管理机构：</w:t>
            </w:r>
            <w:r>
              <w:rPr>
                <w:spacing w:val="12"/>
              </w:rPr>
              <w:t xml:space="preserve">    </w:t>
            </w:r>
            <w:r>
              <w:rPr>
                <w:spacing w:val="5"/>
              </w:rPr>
              <w:t>7 分</w:t>
            </w:r>
          </w:p>
          <w:p w14:paraId="1F1C8130">
            <w:pPr>
              <w:pStyle w:val="6"/>
              <w:spacing w:before="24" w:line="228" w:lineRule="auto"/>
              <w:ind w:left="114"/>
            </w:pPr>
            <w:r>
              <w:rPr>
                <w:spacing w:val="6"/>
              </w:rPr>
              <w:t>其他评分因素：</w:t>
            </w:r>
            <w:r>
              <w:rPr>
                <w:spacing w:val="10"/>
              </w:rPr>
              <w:t xml:space="preserve">    </w:t>
            </w:r>
            <w:r>
              <w:rPr>
                <w:spacing w:val="6"/>
              </w:rPr>
              <w:t>8 分</w:t>
            </w:r>
          </w:p>
        </w:tc>
      </w:tr>
      <w:tr w14:paraId="672582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3" w:hRule="atLeast"/>
        </w:trPr>
        <w:tc>
          <w:tcPr>
            <w:tcW w:w="1803" w:type="dxa"/>
            <w:gridSpan w:val="2"/>
            <w:vAlign w:val="top"/>
          </w:tcPr>
          <w:p w14:paraId="0F1DD790">
            <w:pPr>
              <w:spacing w:line="332" w:lineRule="auto"/>
              <w:rPr>
                <w:rFonts w:ascii="Arial"/>
                <w:sz w:val="21"/>
              </w:rPr>
            </w:pPr>
          </w:p>
          <w:p w14:paraId="4B7CD707">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251C4B74">
            <w:pPr>
              <w:pStyle w:val="6"/>
              <w:spacing w:before="216"/>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23AF1F90">
            <w:pPr>
              <w:spacing w:line="449" w:lineRule="auto"/>
              <w:rPr>
                <w:rFonts w:ascii="Arial"/>
                <w:sz w:val="21"/>
              </w:rPr>
            </w:pPr>
          </w:p>
          <w:p w14:paraId="5729F673">
            <w:pPr>
              <w:pStyle w:val="6"/>
              <w:spacing w:before="65" w:line="226" w:lineRule="auto"/>
              <w:ind w:left="111"/>
            </w:pPr>
            <w:r>
              <w:rPr>
                <w:spacing w:val="8"/>
              </w:rPr>
              <w:t>评标价确定方法</w:t>
            </w:r>
          </w:p>
        </w:tc>
        <w:tc>
          <w:tcPr>
            <w:tcW w:w="5297" w:type="dxa"/>
            <w:gridSpan w:val="2"/>
            <w:vAlign w:val="top"/>
          </w:tcPr>
          <w:p w14:paraId="77C8F70D">
            <w:pPr>
              <w:pStyle w:val="6"/>
              <w:spacing w:before="245" w:line="251" w:lineRule="auto"/>
              <w:ind w:left="112" w:right="135"/>
              <w:jc w:val="both"/>
            </w:pPr>
            <w:r>
              <w:rPr>
                <w:spacing w:val="6"/>
              </w:rPr>
              <w:t>评标价＝投标函中的大写投标总报价（或经投标人书面</w:t>
            </w:r>
            <w:r>
              <w:rPr>
                <w:spacing w:val="1"/>
              </w:rPr>
              <w:t>确认的算术错误修正后的投标总价）-（暂列金额+税金）</w:t>
            </w:r>
            <w:r>
              <w:rPr>
                <w:spacing w:val="17"/>
              </w:rPr>
              <w:t xml:space="preserve"> </w:t>
            </w:r>
            <w:r>
              <w:rPr>
                <w:spacing w:val="7"/>
              </w:rPr>
              <w:t>-（专业工程暂估价+税金）</w:t>
            </w:r>
          </w:p>
        </w:tc>
      </w:tr>
      <w:tr w14:paraId="7D5C84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88" w:hRule="atLeast"/>
        </w:trPr>
        <w:tc>
          <w:tcPr>
            <w:tcW w:w="1803" w:type="dxa"/>
            <w:gridSpan w:val="2"/>
            <w:vAlign w:val="top"/>
          </w:tcPr>
          <w:p w14:paraId="7AA68E62">
            <w:pPr>
              <w:spacing w:line="250" w:lineRule="auto"/>
              <w:rPr>
                <w:rFonts w:ascii="Arial"/>
                <w:sz w:val="21"/>
              </w:rPr>
            </w:pPr>
          </w:p>
          <w:p w14:paraId="22DEB004">
            <w:pPr>
              <w:spacing w:line="251" w:lineRule="auto"/>
              <w:rPr>
                <w:rFonts w:ascii="Arial"/>
                <w:sz w:val="21"/>
              </w:rPr>
            </w:pPr>
          </w:p>
          <w:p w14:paraId="4C0AE630">
            <w:pPr>
              <w:spacing w:line="251" w:lineRule="auto"/>
              <w:rPr>
                <w:rFonts w:ascii="Arial"/>
                <w:sz w:val="21"/>
              </w:rPr>
            </w:pPr>
          </w:p>
          <w:p w14:paraId="433359F2">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31466921">
            <w:pPr>
              <w:pStyle w:val="6"/>
              <w:spacing w:before="216"/>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431A527E">
            <w:pPr>
              <w:spacing w:line="244" w:lineRule="auto"/>
              <w:rPr>
                <w:rFonts w:ascii="Arial"/>
                <w:sz w:val="21"/>
              </w:rPr>
            </w:pPr>
          </w:p>
          <w:p w14:paraId="0756F36A">
            <w:pPr>
              <w:spacing w:line="245" w:lineRule="auto"/>
              <w:rPr>
                <w:rFonts w:ascii="Arial"/>
                <w:sz w:val="21"/>
              </w:rPr>
            </w:pPr>
          </w:p>
          <w:p w14:paraId="0F54CDD3">
            <w:pPr>
              <w:spacing w:line="245" w:lineRule="auto"/>
              <w:rPr>
                <w:rFonts w:ascii="Arial"/>
                <w:sz w:val="21"/>
              </w:rPr>
            </w:pPr>
          </w:p>
          <w:p w14:paraId="223C88DE">
            <w:pPr>
              <w:pStyle w:val="6"/>
              <w:spacing w:before="65" w:line="255" w:lineRule="auto"/>
              <w:ind w:left="112" w:right="107" w:hanging="1"/>
            </w:pPr>
            <w:r>
              <w:rPr>
                <w:spacing w:val="32"/>
              </w:rPr>
              <w:t>评标基准价计算方</w:t>
            </w:r>
            <w:r>
              <w:t>法</w:t>
            </w:r>
          </w:p>
        </w:tc>
        <w:tc>
          <w:tcPr>
            <w:tcW w:w="5297" w:type="dxa"/>
            <w:gridSpan w:val="2"/>
            <w:vAlign w:val="top"/>
          </w:tcPr>
          <w:p w14:paraId="5D679E75">
            <w:pPr>
              <w:pStyle w:val="6"/>
              <w:spacing w:before="125"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7572C863">
            <w:pPr>
              <w:pStyle w:val="6"/>
              <w:spacing w:before="2" w:line="252"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2F42B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7" w:hRule="atLeast"/>
        </w:trPr>
        <w:tc>
          <w:tcPr>
            <w:tcW w:w="1803" w:type="dxa"/>
            <w:gridSpan w:val="2"/>
            <w:vAlign w:val="top"/>
          </w:tcPr>
          <w:p w14:paraId="78CDDFDF">
            <w:pPr>
              <w:spacing w:line="454" w:lineRule="auto"/>
              <w:rPr>
                <w:rFonts w:ascii="Arial"/>
                <w:sz w:val="21"/>
              </w:rPr>
            </w:pPr>
          </w:p>
          <w:p w14:paraId="2E95DC1B">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3E686D00">
            <w:pPr>
              <w:pStyle w:val="6"/>
              <w:spacing w:before="283" w:line="252" w:lineRule="auto"/>
              <w:ind w:left="112" w:right="296" w:firstLine="2"/>
            </w:pPr>
            <w:r>
              <w:rPr>
                <w:spacing w:val="8"/>
              </w:rPr>
              <w:t>投标报价的偏差率</w:t>
            </w:r>
            <w:r>
              <w:rPr>
                <w:spacing w:val="7"/>
              </w:rPr>
              <w:t>计算公式</w:t>
            </w:r>
          </w:p>
        </w:tc>
        <w:tc>
          <w:tcPr>
            <w:tcW w:w="5297" w:type="dxa"/>
            <w:gridSpan w:val="2"/>
            <w:vAlign w:val="top"/>
          </w:tcPr>
          <w:p w14:paraId="1E753BC8">
            <w:pPr>
              <w:pStyle w:val="6"/>
              <w:spacing w:before="284" w:line="251" w:lineRule="auto"/>
              <w:ind w:left="115" w:right="107" w:hanging="1"/>
            </w:pPr>
            <w:r>
              <w:rPr>
                <w:spacing w:val="6"/>
              </w:rPr>
              <w:t>偏差率=100%×（投标人评标价－评标基准价）÷评标基</w:t>
            </w:r>
            <w:r>
              <w:rPr>
                <w:spacing w:val="3"/>
              </w:rPr>
              <w:t>准价</w:t>
            </w:r>
          </w:p>
        </w:tc>
      </w:tr>
    </w:tbl>
    <w:p w14:paraId="0551388E">
      <w:pPr>
        <w:rPr>
          <w:rFonts w:ascii="Arial"/>
          <w:sz w:val="21"/>
        </w:rPr>
      </w:pPr>
    </w:p>
    <w:p w14:paraId="5B5885A2">
      <w:pPr>
        <w:rPr>
          <w:rFonts w:ascii="Arial" w:hAnsi="Arial" w:eastAsia="Arial" w:cs="Arial"/>
          <w:sz w:val="21"/>
          <w:szCs w:val="21"/>
        </w:rPr>
        <w:sectPr>
          <w:footerReference r:id="rId93" w:type="default"/>
          <w:pgSz w:w="11907" w:h="16840"/>
          <w:pgMar w:top="400" w:right="1248" w:bottom="1035" w:left="1469" w:header="0" w:footer="785" w:gutter="0"/>
          <w:cols w:space="720" w:num="1"/>
        </w:sectPr>
      </w:pPr>
    </w:p>
    <w:p w14:paraId="1323ABF6">
      <w:pPr>
        <w:spacing w:before="19"/>
      </w:pPr>
    </w:p>
    <w:p w14:paraId="02E82B06">
      <w:pPr>
        <w:spacing w:before="19"/>
      </w:pPr>
    </w:p>
    <w:p w14:paraId="4B86AA10">
      <w:pPr>
        <w:spacing w:before="19"/>
      </w:pPr>
    </w:p>
    <w:p w14:paraId="29FDB5D3">
      <w:pPr>
        <w:spacing w:before="18"/>
      </w:pPr>
    </w:p>
    <w:p w14:paraId="68F849E5">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50DB2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803" w:type="dxa"/>
            <w:gridSpan w:val="2"/>
            <w:vAlign w:val="top"/>
          </w:tcPr>
          <w:p w14:paraId="2B89DD8A">
            <w:pPr>
              <w:pStyle w:val="6"/>
              <w:spacing w:before="171" w:line="228" w:lineRule="auto"/>
              <w:ind w:left="592"/>
            </w:pPr>
            <w:r>
              <w:rPr>
                <w:b/>
                <w:bCs/>
                <w:spacing w:val="5"/>
              </w:rPr>
              <w:t>条款号</w:t>
            </w:r>
          </w:p>
        </w:tc>
        <w:tc>
          <w:tcPr>
            <w:tcW w:w="2084" w:type="dxa"/>
            <w:vAlign w:val="top"/>
          </w:tcPr>
          <w:p w14:paraId="6FFDF321">
            <w:pPr>
              <w:pStyle w:val="6"/>
              <w:spacing w:before="171" w:line="228" w:lineRule="auto"/>
              <w:ind w:left="625"/>
            </w:pPr>
            <w:r>
              <w:rPr>
                <w:b/>
                <w:bCs/>
                <w:spacing w:val="6"/>
              </w:rPr>
              <w:t>评分因素</w:t>
            </w:r>
          </w:p>
        </w:tc>
        <w:tc>
          <w:tcPr>
            <w:tcW w:w="735" w:type="dxa"/>
            <w:vAlign w:val="top"/>
          </w:tcPr>
          <w:p w14:paraId="65F624B3">
            <w:pPr>
              <w:pStyle w:val="6"/>
              <w:spacing w:before="34" w:line="235" w:lineRule="auto"/>
              <w:ind w:left="269" w:right="155" w:hanging="107"/>
            </w:pPr>
            <w:r>
              <w:rPr>
                <w:b/>
                <w:bCs/>
                <w:spacing w:val="3"/>
              </w:rPr>
              <w:t>标准</w:t>
            </w:r>
            <w:r>
              <w:rPr>
                <w:b/>
                <w:bCs/>
                <w:spacing w:val="-3"/>
              </w:rPr>
              <w:t>分</w:t>
            </w:r>
          </w:p>
        </w:tc>
        <w:tc>
          <w:tcPr>
            <w:tcW w:w="4562" w:type="dxa"/>
            <w:vAlign w:val="top"/>
          </w:tcPr>
          <w:p w14:paraId="29CB8C32">
            <w:pPr>
              <w:pStyle w:val="6"/>
              <w:spacing w:before="172" w:line="228" w:lineRule="auto"/>
              <w:ind w:left="1862"/>
            </w:pPr>
            <w:r>
              <w:rPr>
                <w:b/>
                <w:bCs/>
                <w:spacing w:val="6"/>
              </w:rPr>
              <w:t>评分标准</w:t>
            </w:r>
          </w:p>
        </w:tc>
      </w:tr>
      <w:tr w14:paraId="562CF0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8" w:hRule="atLeast"/>
        </w:trPr>
        <w:tc>
          <w:tcPr>
            <w:tcW w:w="745" w:type="dxa"/>
            <w:vMerge w:val="restart"/>
            <w:tcBorders>
              <w:bottom w:val="nil"/>
            </w:tcBorders>
            <w:vAlign w:val="top"/>
          </w:tcPr>
          <w:p w14:paraId="457889E8">
            <w:pPr>
              <w:spacing w:line="241" w:lineRule="auto"/>
              <w:rPr>
                <w:rFonts w:ascii="Arial"/>
                <w:sz w:val="21"/>
              </w:rPr>
            </w:pPr>
          </w:p>
          <w:p w14:paraId="5FD46DB2">
            <w:pPr>
              <w:spacing w:line="241" w:lineRule="auto"/>
              <w:rPr>
                <w:rFonts w:ascii="Arial"/>
                <w:sz w:val="21"/>
              </w:rPr>
            </w:pPr>
          </w:p>
          <w:p w14:paraId="0ADE1CA0">
            <w:pPr>
              <w:spacing w:line="241" w:lineRule="auto"/>
              <w:rPr>
                <w:rFonts w:ascii="Arial"/>
                <w:sz w:val="21"/>
              </w:rPr>
            </w:pPr>
          </w:p>
          <w:p w14:paraId="60EC0707">
            <w:pPr>
              <w:spacing w:line="241" w:lineRule="auto"/>
              <w:rPr>
                <w:rFonts w:ascii="Arial"/>
                <w:sz w:val="21"/>
              </w:rPr>
            </w:pPr>
          </w:p>
          <w:p w14:paraId="2C238A32">
            <w:pPr>
              <w:spacing w:line="241" w:lineRule="auto"/>
              <w:rPr>
                <w:rFonts w:ascii="Arial"/>
                <w:sz w:val="21"/>
              </w:rPr>
            </w:pPr>
          </w:p>
          <w:p w14:paraId="0AF67AF0">
            <w:pPr>
              <w:spacing w:line="241" w:lineRule="auto"/>
              <w:rPr>
                <w:rFonts w:ascii="Arial"/>
                <w:sz w:val="21"/>
              </w:rPr>
            </w:pPr>
          </w:p>
          <w:p w14:paraId="033EBE20">
            <w:pPr>
              <w:spacing w:line="241" w:lineRule="auto"/>
              <w:rPr>
                <w:rFonts w:ascii="Arial"/>
                <w:sz w:val="21"/>
              </w:rPr>
            </w:pPr>
          </w:p>
          <w:p w14:paraId="1D0B51E7">
            <w:pPr>
              <w:spacing w:line="241" w:lineRule="auto"/>
              <w:rPr>
                <w:rFonts w:ascii="Arial"/>
                <w:sz w:val="21"/>
              </w:rPr>
            </w:pPr>
          </w:p>
          <w:p w14:paraId="7B470855">
            <w:pPr>
              <w:spacing w:line="241" w:lineRule="auto"/>
              <w:rPr>
                <w:rFonts w:ascii="Arial"/>
                <w:sz w:val="21"/>
              </w:rPr>
            </w:pPr>
          </w:p>
          <w:p w14:paraId="2EC02B44">
            <w:pPr>
              <w:spacing w:line="241" w:lineRule="auto"/>
              <w:rPr>
                <w:rFonts w:ascii="Arial"/>
                <w:sz w:val="21"/>
              </w:rPr>
            </w:pPr>
          </w:p>
          <w:p w14:paraId="21F91630">
            <w:pPr>
              <w:spacing w:line="241" w:lineRule="auto"/>
              <w:rPr>
                <w:rFonts w:ascii="Arial"/>
                <w:sz w:val="21"/>
              </w:rPr>
            </w:pPr>
          </w:p>
          <w:p w14:paraId="04423704">
            <w:pPr>
              <w:spacing w:line="241" w:lineRule="auto"/>
              <w:rPr>
                <w:rFonts w:ascii="Arial"/>
                <w:sz w:val="21"/>
              </w:rPr>
            </w:pPr>
          </w:p>
          <w:p w14:paraId="02DB0522">
            <w:pPr>
              <w:spacing w:line="241" w:lineRule="auto"/>
              <w:rPr>
                <w:rFonts w:ascii="Arial"/>
                <w:sz w:val="21"/>
              </w:rPr>
            </w:pPr>
          </w:p>
          <w:p w14:paraId="7BD13C73">
            <w:pPr>
              <w:spacing w:line="241" w:lineRule="auto"/>
              <w:rPr>
                <w:rFonts w:ascii="Arial"/>
                <w:sz w:val="21"/>
              </w:rPr>
            </w:pPr>
          </w:p>
          <w:p w14:paraId="7789AF85">
            <w:pPr>
              <w:spacing w:line="242" w:lineRule="auto"/>
              <w:rPr>
                <w:rFonts w:ascii="Arial"/>
                <w:sz w:val="21"/>
              </w:rPr>
            </w:pPr>
          </w:p>
          <w:p w14:paraId="3071C136">
            <w:pPr>
              <w:spacing w:line="242" w:lineRule="auto"/>
              <w:rPr>
                <w:rFonts w:ascii="Arial"/>
                <w:sz w:val="21"/>
              </w:rPr>
            </w:pPr>
          </w:p>
          <w:p w14:paraId="439EF8BB">
            <w:pPr>
              <w:spacing w:line="242" w:lineRule="auto"/>
              <w:rPr>
                <w:rFonts w:ascii="Arial"/>
                <w:sz w:val="21"/>
              </w:rPr>
            </w:pPr>
          </w:p>
          <w:p w14:paraId="63E0BBF0">
            <w:pPr>
              <w:spacing w:line="242" w:lineRule="auto"/>
              <w:rPr>
                <w:rFonts w:ascii="Arial"/>
                <w:sz w:val="21"/>
              </w:rPr>
            </w:pPr>
          </w:p>
          <w:p w14:paraId="4D0BD761">
            <w:pPr>
              <w:spacing w:line="242" w:lineRule="auto"/>
              <w:rPr>
                <w:rFonts w:ascii="Arial"/>
                <w:sz w:val="21"/>
              </w:rPr>
            </w:pPr>
          </w:p>
          <w:p w14:paraId="76E21EBC">
            <w:pPr>
              <w:spacing w:line="242" w:lineRule="auto"/>
              <w:rPr>
                <w:rFonts w:ascii="Arial"/>
                <w:sz w:val="21"/>
              </w:rPr>
            </w:pPr>
          </w:p>
          <w:p w14:paraId="525B5891">
            <w:pPr>
              <w:spacing w:line="242" w:lineRule="auto"/>
              <w:rPr>
                <w:rFonts w:ascii="Arial"/>
                <w:sz w:val="21"/>
              </w:rPr>
            </w:pPr>
          </w:p>
          <w:p w14:paraId="4BF4D7CD">
            <w:pPr>
              <w:spacing w:line="242" w:lineRule="auto"/>
              <w:rPr>
                <w:rFonts w:ascii="Arial"/>
                <w:sz w:val="21"/>
              </w:rPr>
            </w:pPr>
          </w:p>
          <w:p w14:paraId="3502E934">
            <w:pPr>
              <w:spacing w:line="242" w:lineRule="auto"/>
              <w:rPr>
                <w:rFonts w:ascii="Arial"/>
                <w:sz w:val="21"/>
              </w:rPr>
            </w:pPr>
          </w:p>
          <w:p w14:paraId="447BF45C">
            <w:pPr>
              <w:spacing w:line="242" w:lineRule="auto"/>
              <w:rPr>
                <w:rFonts w:ascii="Arial"/>
                <w:sz w:val="21"/>
              </w:rPr>
            </w:pPr>
          </w:p>
          <w:p w14:paraId="71381854">
            <w:pPr>
              <w:spacing w:line="242" w:lineRule="auto"/>
              <w:rPr>
                <w:rFonts w:ascii="Arial"/>
                <w:sz w:val="21"/>
              </w:rPr>
            </w:pPr>
          </w:p>
          <w:p w14:paraId="0042A398">
            <w:pPr>
              <w:spacing w:line="242" w:lineRule="auto"/>
              <w:rPr>
                <w:rFonts w:ascii="Arial"/>
                <w:sz w:val="21"/>
              </w:rPr>
            </w:pPr>
          </w:p>
          <w:p w14:paraId="6104845F">
            <w:pPr>
              <w:spacing w:line="242" w:lineRule="auto"/>
              <w:rPr>
                <w:rFonts w:ascii="Arial"/>
                <w:sz w:val="21"/>
              </w:rPr>
            </w:pPr>
          </w:p>
          <w:p w14:paraId="50061322">
            <w:pPr>
              <w:spacing w:line="242" w:lineRule="auto"/>
              <w:rPr>
                <w:rFonts w:ascii="Arial"/>
                <w:sz w:val="21"/>
              </w:rPr>
            </w:pPr>
          </w:p>
          <w:p w14:paraId="1EC0213E">
            <w:pPr>
              <w:spacing w:line="242" w:lineRule="auto"/>
              <w:rPr>
                <w:rFonts w:ascii="Arial"/>
                <w:sz w:val="21"/>
              </w:rPr>
            </w:pPr>
          </w:p>
          <w:p w14:paraId="3B6741E8">
            <w:pPr>
              <w:spacing w:line="242" w:lineRule="auto"/>
              <w:rPr>
                <w:rFonts w:ascii="Arial"/>
                <w:sz w:val="21"/>
              </w:rPr>
            </w:pPr>
          </w:p>
          <w:p w14:paraId="34CA1703">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366CA336">
            <w:pPr>
              <w:pStyle w:val="6"/>
              <w:spacing w:before="218"/>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205E22E1">
            <w:pPr>
              <w:spacing w:line="245" w:lineRule="auto"/>
              <w:rPr>
                <w:rFonts w:ascii="Arial"/>
                <w:sz w:val="21"/>
              </w:rPr>
            </w:pPr>
          </w:p>
          <w:p w14:paraId="58026AB4">
            <w:pPr>
              <w:spacing w:line="245" w:lineRule="auto"/>
              <w:rPr>
                <w:rFonts w:ascii="Arial"/>
                <w:sz w:val="21"/>
              </w:rPr>
            </w:pPr>
          </w:p>
          <w:p w14:paraId="4EF03B8B">
            <w:pPr>
              <w:spacing w:line="245" w:lineRule="auto"/>
              <w:rPr>
                <w:rFonts w:ascii="Arial"/>
                <w:sz w:val="21"/>
              </w:rPr>
            </w:pPr>
          </w:p>
          <w:p w14:paraId="232416F3">
            <w:pPr>
              <w:spacing w:line="245" w:lineRule="auto"/>
              <w:rPr>
                <w:rFonts w:ascii="Arial"/>
                <w:sz w:val="21"/>
              </w:rPr>
            </w:pPr>
          </w:p>
          <w:p w14:paraId="57040C6E">
            <w:pPr>
              <w:spacing w:line="245" w:lineRule="auto"/>
              <w:rPr>
                <w:rFonts w:ascii="Arial"/>
                <w:sz w:val="21"/>
              </w:rPr>
            </w:pPr>
          </w:p>
          <w:p w14:paraId="0FB61E05">
            <w:pPr>
              <w:spacing w:line="245" w:lineRule="auto"/>
              <w:rPr>
                <w:rFonts w:ascii="Arial"/>
                <w:sz w:val="21"/>
              </w:rPr>
            </w:pPr>
          </w:p>
          <w:p w14:paraId="48186CA1">
            <w:pPr>
              <w:spacing w:line="245" w:lineRule="auto"/>
              <w:rPr>
                <w:rFonts w:ascii="Arial"/>
                <w:sz w:val="21"/>
              </w:rPr>
            </w:pPr>
          </w:p>
          <w:p w14:paraId="4093810B">
            <w:pPr>
              <w:spacing w:line="245" w:lineRule="auto"/>
              <w:rPr>
                <w:rFonts w:ascii="Arial"/>
                <w:sz w:val="21"/>
              </w:rPr>
            </w:pPr>
          </w:p>
          <w:p w14:paraId="2C5EF16D">
            <w:pPr>
              <w:spacing w:line="245" w:lineRule="auto"/>
              <w:rPr>
                <w:rFonts w:ascii="Arial"/>
                <w:sz w:val="21"/>
              </w:rPr>
            </w:pPr>
          </w:p>
          <w:p w14:paraId="129E1348">
            <w:pPr>
              <w:spacing w:line="245" w:lineRule="auto"/>
              <w:rPr>
                <w:rFonts w:ascii="Arial"/>
                <w:sz w:val="21"/>
              </w:rPr>
            </w:pPr>
          </w:p>
          <w:p w14:paraId="3C5E3D18">
            <w:pPr>
              <w:spacing w:line="245" w:lineRule="auto"/>
              <w:rPr>
                <w:rFonts w:ascii="Arial"/>
                <w:sz w:val="21"/>
              </w:rPr>
            </w:pPr>
          </w:p>
          <w:p w14:paraId="0A0CF51A">
            <w:pPr>
              <w:spacing w:line="245" w:lineRule="auto"/>
              <w:rPr>
                <w:rFonts w:ascii="Arial"/>
                <w:sz w:val="21"/>
              </w:rPr>
            </w:pPr>
          </w:p>
          <w:p w14:paraId="4FD7CC50">
            <w:pPr>
              <w:spacing w:line="245" w:lineRule="auto"/>
              <w:rPr>
                <w:rFonts w:ascii="Arial"/>
                <w:sz w:val="21"/>
              </w:rPr>
            </w:pPr>
          </w:p>
          <w:p w14:paraId="71402EFB">
            <w:pPr>
              <w:spacing w:line="245" w:lineRule="auto"/>
              <w:rPr>
                <w:rFonts w:ascii="Arial"/>
                <w:sz w:val="21"/>
              </w:rPr>
            </w:pPr>
          </w:p>
          <w:p w14:paraId="2C7DF4CE">
            <w:pPr>
              <w:spacing w:line="245" w:lineRule="auto"/>
              <w:rPr>
                <w:rFonts w:ascii="Arial"/>
                <w:sz w:val="21"/>
              </w:rPr>
            </w:pPr>
          </w:p>
          <w:p w14:paraId="701293ED">
            <w:pPr>
              <w:spacing w:line="245" w:lineRule="auto"/>
              <w:rPr>
                <w:rFonts w:ascii="Arial"/>
                <w:sz w:val="21"/>
              </w:rPr>
            </w:pPr>
          </w:p>
          <w:p w14:paraId="615412FF">
            <w:pPr>
              <w:spacing w:line="245" w:lineRule="auto"/>
              <w:rPr>
                <w:rFonts w:ascii="Arial"/>
                <w:sz w:val="21"/>
              </w:rPr>
            </w:pPr>
          </w:p>
          <w:p w14:paraId="2BB7CA03">
            <w:pPr>
              <w:spacing w:line="245" w:lineRule="auto"/>
              <w:rPr>
                <w:rFonts w:ascii="Arial"/>
                <w:sz w:val="21"/>
              </w:rPr>
            </w:pPr>
          </w:p>
          <w:p w14:paraId="03B83CC8">
            <w:pPr>
              <w:spacing w:line="245" w:lineRule="auto"/>
              <w:rPr>
                <w:rFonts w:ascii="Arial"/>
                <w:sz w:val="21"/>
              </w:rPr>
            </w:pPr>
          </w:p>
          <w:p w14:paraId="3D4F0559">
            <w:pPr>
              <w:spacing w:line="245" w:lineRule="auto"/>
              <w:rPr>
                <w:rFonts w:ascii="Arial"/>
                <w:sz w:val="21"/>
              </w:rPr>
            </w:pPr>
          </w:p>
          <w:p w14:paraId="3BDE4260">
            <w:pPr>
              <w:spacing w:line="245" w:lineRule="auto"/>
              <w:rPr>
                <w:rFonts w:ascii="Arial"/>
                <w:sz w:val="21"/>
              </w:rPr>
            </w:pPr>
          </w:p>
          <w:p w14:paraId="5B20EE0E">
            <w:pPr>
              <w:spacing w:line="245" w:lineRule="auto"/>
              <w:rPr>
                <w:rFonts w:ascii="Arial"/>
                <w:sz w:val="21"/>
              </w:rPr>
            </w:pPr>
          </w:p>
          <w:p w14:paraId="429F0E0D">
            <w:pPr>
              <w:spacing w:line="245" w:lineRule="auto"/>
              <w:rPr>
                <w:rFonts w:ascii="Arial"/>
                <w:sz w:val="21"/>
              </w:rPr>
            </w:pPr>
          </w:p>
          <w:p w14:paraId="7C32EC31">
            <w:pPr>
              <w:spacing w:line="245" w:lineRule="auto"/>
              <w:rPr>
                <w:rFonts w:ascii="Arial"/>
                <w:sz w:val="21"/>
              </w:rPr>
            </w:pPr>
          </w:p>
          <w:p w14:paraId="0DD9E948">
            <w:pPr>
              <w:spacing w:line="245" w:lineRule="auto"/>
              <w:rPr>
                <w:rFonts w:ascii="Arial"/>
                <w:sz w:val="21"/>
              </w:rPr>
            </w:pPr>
          </w:p>
          <w:p w14:paraId="4AFB0B38">
            <w:pPr>
              <w:spacing w:line="246" w:lineRule="auto"/>
              <w:rPr>
                <w:rFonts w:ascii="Arial"/>
                <w:sz w:val="21"/>
              </w:rPr>
            </w:pPr>
          </w:p>
          <w:p w14:paraId="2264FA94">
            <w:pPr>
              <w:spacing w:line="246" w:lineRule="auto"/>
              <w:rPr>
                <w:rFonts w:ascii="Arial"/>
                <w:sz w:val="21"/>
              </w:rPr>
            </w:pPr>
          </w:p>
          <w:p w14:paraId="3A4A0D21">
            <w:pPr>
              <w:spacing w:line="246" w:lineRule="auto"/>
              <w:rPr>
                <w:rFonts w:ascii="Arial"/>
                <w:sz w:val="21"/>
              </w:rPr>
            </w:pPr>
          </w:p>
          <w:p w14:paraId="76B6D415">
            <w:pPr>
              <w:spacing w:line="246" w:lineRule="auto"/>
              <w:rPr>
                <w:rFonts w:ascii="Arial"/>
                <w:sz w:val="21"/>
              </w:rPr>
            </w:pPr>
          </w:p>
          <w:p w14:paraId="7064CFE7">
            <w:pPr>
              <w:spacing w:line="246" w:lineRule="auto"/>
              <w:rPr>
                <w:rFonts w:ascii="Arial"/>
                <w:sz w:val="21"/>
              </w:rPr>
            </w:pPr>
          </w:p>
          <w:p w14:paraId="5AE74A7B">
            <w:pPr>
              <w:pStyle w:val="6"/>
              <w:spacing w:before="65" w:line="252" w:lineRule="auto"/>
              <w:ind w:left="111" w:right="111" w:firstLine="3"/>
            </w:pPr>
            <w:r>
              <w:rPr>
                <w:spacing w:val="6"/>
              </w:rPr>
              <w:t>投标报价</w:t>
            </w:r>
            <w:r>
              <w:rPr>
                <w:spacing w:val="7"/>
              </w:rPr>
              <w:t>评分标准</w:t>
            </w:r>
          </w:p>
        </w:tc>
        <w:tc>
          <w:tcPr>
            <w:tcW w:w="2084" w:type="dxa"/>
            <w:vAlign w:val="top"/>
          </w:tcPr>
          <w:p w14:paraId="29B59B88">
            <w:pPr>
              <w:spacing w:line="308" w:lineRule="auto"/>
              <w:rPr>
                <w:rFonts w:ascii="Arial"/>
                <w:sz w:val="21"/>
              </w:rPr>
            </w:pPr>
          </w:p>
          <w:p w14:paraId="48B73A6D">
            <w:pPr>
              <w:spacing w:line="309" w:lineRule="auto"/>
              <w:rPr>
                <w:rFonts w:ascii="Arial"/>
                <w:sz w:val="21"/>
              </w:rPr>
            </w:pPr>
          </w:p>
          <w:p w14:paraId="7981EFDE">
            <w:pPr>
              <w:pStyle w:val="6"/>
              <w:spacing w:before="65" w:line="226" w:lineRule="auto"/>
              <w:ind w:left="112"/>
            </w:pPr>
            <w:r>
              <w:rPr>
                <w:spacing w:val="8"/>
              </w:rPr>
              <w:t>计算投标报价得分</w:t>
            </w:r>
          </w:p>
        </w:tc>
        <w:tc>
          <w:tcPr>
            <w:tcW w:w="735" w:type="dxa"/>
            <w:vAlign w:val="top"/>
          </w:tcPr>
          <w:p w14:paraId="1502E7FB">
            <w:pPr>
              <w:spacing w:line="308" w:lineRule="auto"/>
              <w:rPr>
                <w:rFonts w:ascii="Arial"/>
                <w:sz w:val="21"/>
              </w:rPr>
            </w:pPr>
          </w:p>
          <w:p w14:paraId="448C36F0">
            <w:pPr>
              <w:spacing w:line="309" w:lineRule="auto"/>
              <w:rPr>
                <w:rFonts w:ascii="Arial"/>
                <w:sz w:val="21"/>
              </w:rPr>
            </w:pPr>
          </w:p>
          <w:p w14:paraId="120349C0">
            <w:pPr>
              <w:pStyle w:val="6"/>
              <w:spacing w:before="65" w:line="228" w:lineRule="auto"/>
              <w:ind w:left="136"/>
            </w:pPr>
            <w:r>
              <w:t>85</w:t>
            </w:r>
            <w:r>
              <w:rPr>
                <w:spacing w:val="-36"/>
              </w:rPr>
              <w:t xml:space="preserve"> </w:t>
            </w:r>
            <w:r>
              <w:t>分</w:t>
            </w:r>
          </w:p>
        </w:tc>
        <w:tc>
          <w:tcPr>
            <w:tcW w:w="4562" w:type="dxa"/>
            <w:vAlign w:val="top"/>
          </w:tcPr>
          <w:p w14:paraId="33BEC379">
            <w:pPr>
              <w:pStyle w:val="6"/>
              <w:spacing w:before="142" w:line="251" w:lineRule="auto"/>
              <w:ind w:left="115" w:right="148" w:hanging="5"/>
            </w:pPr>
            <w:r>
              <w:rPr>
                <w:spacing w:val="7"/>
              </w:rPr>
              <w:t>F＝85-（投标人评标价-评标基准价）</w:t>
            </w:r>
            <w:r>
              <w:rPr>
                <w:spacing w:val="-60"/>
              </w:rPr>
              <w:t xml:space="preserve"> </w:t>
            </w:r>
            <w:r>
              <w:rPr>
                <w:spacing w:val="6"/>
              </w:rPr>
              <w:t>÷评标基</w:t>
            </w:r>
            <w:r>
              <w:rPr>
                <w:spacing w:val="7"/>
              </w:rPr>
              <w:t>准价×100×3   （评标价＞基准价时）</w:t>
            </w:r>
          </w:p>
          <w:p w14:paraId="7285350E">
            <w:pPr>
              <w:pStyle w:val="6"/>
              <w:spacing w:line="251" w:lineRule="auto"/>
              <w:ind w:left="115" w:right="148" w:hanging="5"/>
            </w:pPr>
            <w:r>
              <w:rPr>
                <w:spacing w:val="6"/>
              </w:rPr>
              <w:t>F＝85-（评标基准价-投标人评标价）</w:t>
            </w:r>
            <w:r>
              <w:rPr>
                <w:spacing w:val="-41"/>
              </w:rPr>
              <w:t xml:space="preserve"> </w:t>
            </w:r>
            <w:r>
              <w:rPr>
                <w:spacing w:val="6"/>
              </w:rPr>
              <w:t>÷评标基</w:t>
            </w:r>
            <w:r>
              <w:rPr>
                <w:spacing w:val="7"/>
              </w:rPr>
              <w:t>准价×100×2   （评标价≤基准价时）</w:t>
            </w:r>
          </w:p>
          <w:p w14:paraId="444A8E4D">
            <w:pPr>
              <w:pStyle w:val="6"/>
              <w:spacing w:line="228" w:lineRule="auto"/>
              <w:ind w:left="114"/>
            </w:pPr>
            <w:r>
              <w:rPr>
                <w:spacing w:val="5"/>
              </w:rPr>
              <w:t>其中：</w:t>
            </w:r>
            <w:r>
              <w:rPr>
                <w:rFonts w:ascii="Times New Roman" w:hAnsi="Times New Roman" w:eastAsia="Times New Roman" w:cs="Times New Roman"/>
                <w:spacing w:val="5"/>
              </w:rPr>
              <w:t>F</w:t>
            </w:r>
            <w:r>
              <w:rPr>
                <w:spacing w:val="5"/>
              </w:rPr>
              <w:t>≥</w:t>
            </w:r>
            <w:r>
              <w:rPr>
                <w:rFonts w:ascii="Times New Roman" w:hAnsi="Times New Roman" w:eastAsia="Times New Roman" w:cs="Times New Roman"/>
                <w:spacing w:val="5"/>
              </w:rPr>
              <w:t>0</w:t>
            </w:r>
            <w:r>
              <w:rPr>
                <w:spacing w:val="5"/>
              </w:rPr>
              <w:t>。</w:t>
            </w:r>
          </w:p>
        </w:tc>
      </w:tr>
      <w:tr w14:paraId="1DD0C0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3" w:hRule="atLeast"/>
        </w:trPr>
        <w:tc>
          <w:tcPr>
            <w:tcW w:w="745" w:type="dxa"/>
            <w:vMerge w:val="continue"/>
            <w:tcBorders>
              <w:top w:val="nil"/>
              <w:bottom w:val="nil"/>
            </w:tcBorders>
            <w:vAlign w:val="top"/>
          </w:tcPr>
          <w:p w14:paraId="5B3AA966">
            <w:pPr>
              <w:rPr>
                <w:rFonts w:ascii="Arial"/>
                <w:sz w:val="21"/>
              </w:rPr>
            </w:pPr>
          </w:p>
        </w:tc>
        <w:tc>
          <w:tcPr>
            <w:tcW w:w="1058" w:type="dxa"/>
            <w:vMerge w:val="continue"/>
            <w:tcBorders>
              <w:top w:val="nil"/>
              <w:bottom w:val="nil"/>
            </w:tcBorders>
            <w:vAlign w:val="top"/>
          </w:tcPr>
          <w:p w14:paraId="62FD23AE">
            <w:pPr>
              <w:rPr>
                <w:rFonts w:ascii="Arial"/>
                <w:sz w:val="21"/>
              </w:rPr>
            </w:pPr>
          </w:p>
        </w:tc>
        <w:tc>
          <w:tcPr>
            <w:tcW w:w="2084" w:type="dxa"/>
            <w:vAlign w:val="top"/>
          </w:tcPr>
          <w:p w14:paraId="7394F4A1">
            <w:pPr>
              <w:spacing w:line="279" w:lineRule="auto"/>
              <w:rPr>
                <w:rFonts w:ascii="Arial"/>
                <w:sz w:val="21"/>
              </w:rPr>
            </w:pPr>
          </w:p>
          <w:p w14:paraId="7346BA7E">
            <w:pPr>
              <w:spacing w:line="280" w:lineRule="auto"/>
              <w:rPr>
                <w:rFonts w:ascii="Arial"/>
                <w:sz w:val="21"/>
              </w:rPr>
            </w:pPr>
          </w:p>
          <w:p w14:paraId="6C748082">
            <w:pPr>
              <w:spacing w:line="280" w:lineRule="auto"/>
              <w:rPr>
                <w:rFonts w:ascii="Arial"/>
                <w:sz w:val="21"/>
              </w:rPr>
            </w:pPr>
          </w:p>
          <w:p w14:paraId="3FE51FFE">
            <w:pPr>
              <w:spacing w:line="280" w:lineRule="auto"/>
              <w:rPr>
                <w:rFonts w:ascii="Arial"/>
                <w:sz w:val="21"/>
              </w:rPr>
            </w:pPr>
          </w:p>
          <w:p w14:paraId="4DD1317D">
            <w:pPr>
              <w:spacing w:line="280" w:lineRule="auto"/>
              <w:rPr>
                <w:rFonts w:ascii="Arial"/>
                <w:sz w:val="21"/>
              </w:rPr>
            </w:pPr>
          </w:p>
          <w:p w14:paraId="1A9A9953">
            <w:pPr>
              <w:spacing w:line="280" w:lineRule="auto"/>
              <w:rPr>
                <w:rFonts w:ascii="Arial"/>
                <w:sz w:val="21"/>
              </w:rPr>
            </w:pPr>
          </w:p>
          <w:p w14:paraId="1444DA6F">
            <w:pPr>
              <w:pStyle w:val="6"/>
              <w:spacing w:before="65" w:line="226" w:lineRule="auto"/>
              <w:ind w:left="115"/>
            </w:pPr>
            <w:r>
              <w:rPr>
                <w:spacing w:val="8"/>
              </w:rPr>
              <w:t>不平衡报价扣分</w:t>
            </w:r>
          </w:p>
        </w:tc>
        <w:tc>
          <w:tcPr>
            <w:tcW w:w="735" w:type="dxa"/>
            <w:vAlign w:val="top"/>
          </w:tcPr>
          <w:p w14:paraId="79B97317">
            <w:pPr>
              <w:rPr>
                <w:rFonts w:ascii="Arial"/>
                <w:sz w:val="21"/>
              </w:rPr>
            </w:pPr>
          </w:p>
        </w:tc>
        <w:tc>
          <w:tcPr>
            <w:tcW w:w="4562" w:type="dxa"/>
            <w:vAlign w:val="top"/>
          </w:tcPr>
          <w:p w14:paraId="77868B4C">
            <w:pPr>
              <w:pStyle w:val="6"/>
              <w:spacing w:before="118" w:line="252" w:lineRule="auto"/>
              <w:ind w:left="112" w:right="107" w:firstLine="28"/>
              <w:jc w:val="both"/>
            </w:pPr>
            <w:r>
              <w:rPr>
                <w:spacing w:val="7"/>
              </w:rPr>
              <w:t>〔单位工程投标报价-（暂列金额+税金）-（专</w:t>
            </w:r>
            <w:r>
              <w:rPr>
                <w:spacing w:val="-1"/>
              </w:rPr>
              <w:t>业工程暂估价+税金）〕低于（不含）〔单位工程</w:t>
            </w:r>
            <w:r>
              <w:rPr>
                <w:spacing w:val="9"/>
              </w:rPr>
              <w:t>招标控制价-（暂列金额+税金）-（专业</w:t>
            </w:r>
            <w:r>
              <w:rPr>
                <w:spacing w:val="8"/>
              </w:rPr>
              <w:t>工程暂</w:t>
            </w:r>
            <w:r>
              <w:rPr>
                <w:spacing w:val="-1"/>
              </w:rPr>
              <w:t>估价+税金）〕</w:t>
            </w:r>
            <w:r>
              <w:rPr>
                <w:spacing w:val="-1"/>
                <w:u w:val="single" w:color="auto"/>
              </w:rPr>
              <w:t xml:space="preserve">   H%</w:t>
            </w:r>
            <w:r>
              <w:rPr>
                <w:spacing w:val="8"/>
                <w:u w:val="single" w:color="auto"/>
              </w:rPr>
              <w:t xml:space="preserve">    </w:t>
            </w:r>
            <w:r>
              <w:rPr>
                <w:spacing w:val="-74"/>
              </w:rPr>
              <w:t xml:space="preserve"> </w:t>
            </w:r>
            <w:r>
              <w:rPr>
                <w:spacing w:val="-1"/>
              </w:rPr>
              <w:t>的,视为不平衡报价，每</w:t>
            </w:r>
            <w:r>
              <w:rPr>
                <w:spacing w:val="7"/>
              </w:rPr>
              <w:t>发现一项，扣</w:t>
            </w:r>
            <w:r>
              <w:rPr>
                <w:spacing w:val="-32"/>
              </w:rPr>
              <w:t xml:space="preserve"> </w:t>
            </w:r>
            <w:r>
              <w:rPr>
                <w:spacing w:val="7"/>
              </w:rPr>
              <w:t>5</w:t>
            </w:r>
            <w:r>
              <w:rPr>
                <w:spacing w:val="-36"/>
              </w:rPr>
              <w:t xml:space="preserve"> </w:t>
            </w:r>
            <w:r>
              <w:rPr>
                <w:spacing w:val="7"/>
              </w:rPr>
              <w:t>分，该项计分公式为：</w:t>
            </w:r>
          </w:p>
          <w:p w14:paraId="654DD8FD">
            <w:pPr>
              <w:pStyle w:val="6"/>
              <w:spacing w:line="242" w:lineRule="auto"/>
              <w:ind w:left="424"/>
              <w:rPr>
                <w:sz w:val="10"/>
                <w:szCs w:val="10"/>
              </w:rPr>
            </w:pPr>
            <w:r>
              <w:rPr>
                <w:spacing w:val="-2"/>
              </w:rPr>
              <w:t>K</w:t>
            </w:r>
            <w:r>
              <w:rPr>
                <w:spacing w:val="19"/>
              </w:rPr>
              <w:t xml:space="preserve"> </w:t>
            </w:r>
            <w:r>
              <w:rPr>
                <w:spacing w:val="-2"/>
              </w:rPr>
              <w:t>=k</w:t>
            </w:r>
            <w:r>
              <w:rPr>
                <w:spacing w:val="-2"/>
                <w:position w:val="-2"/>
                <w:sz w:val="10"/>
                <w:szCs w:val="10"/>
              </w:rPr>
              <w:t>1</w:t>
            </w:r>
            <w:r>
              <w:rPr>
                <w:spacing w:val="7"/>
                <w:position w:val="-2"/>
                <w:sz w:val="10"/>
                <w:szCs w:val="10"/>
              </w:rPr>
              <w:t xml:space="preserve">  </w:t>
            </w:r>
            <w:r>
              <w:rPr>
                <w:spacing w:val="-2"/>
              </w:rPr>
              <w:t>+</w:t>
            </w:r>
            <w:r>
              <w:rPr>
                <w:spacing w:val="11"/>
              </w:rPr>
              <w:t xml:space="preserve"> </w:t>
            </w:r>
            <w:r>
              <w:rPr>
                <w:spacing w:val="-2"/>
              </w:rPr>
              <w:t>k</w:t>
            </w:r>
            <w:r>
              <w:rPr>
                <w:spacing w:val="-2"/>
                <w:position w:val="-2"/>
                <w:sz w:val="10"/>
                <w:szCs w:val="10"/>
              </w:rPr>
              <w:t>2</w:t>
            </w:r>
            <w:r>
              <w:rPr>
                <w:spacing w:val="12"/>
                <w:position w:val="-2"/>
                <w:sz w:val="10"/>
                <w:szCs w:val="10"/>
              </w:rPr>
              <w:t xml:space="preserve"> </w:t>
            </w:r>
            <w:r>
              <w:rPr>
                <w:spacing w:val="-2"/>
              </w:rPr>
              <w:t>+</w:t>
            </w:r>
            <w:r>
              <w:rPr>
                <w:spacing w:val="26"/>
              </w:rPr>
              <w:t xml:space="preserve"> </w:t>
            </w:r>
            <w:r>
              <w:rPr>
                <w:spacing w:val="-2"/>
              </w:rPr>
              <w:t>…</w:t>
            </w:r>
            <w:r>
              <w:rPr>
                <w:spacing w:val="16"/>
              </w:rPr>
              <w:t xml:space="preserve"> </w:t>
            </w:r>
            <w:r>
              <w:rPr>
                <w:spacing w:val="-2"/>
              </w:rPr>
              <w:t>+</w:t>
            </w:r>
            <w:r>
              <w:rPr>
                <w:spacing w:val="11"/>
              </w:rPr>
              <w:t xml:space="preserve"> </w:t>
            </w:r>
            <w:r>
              <w:rPr>
                <w:spacing w:val="-2"/>
              </w:rPr>
              <w:t>k</w:t>
            </w:r>
            <w:r>
              <w:rPr>
                <w:spacing w:val="-2"/>
                <w:position w:val="-2"/>
                <w:sz w:val="10"/>
                <w:szCs w:val="10"/>
              </w:rPr>
              <w:t>n</w:t>
            </w:r>
          </w:p>
          <w:p w14:paraId="30275EB1">
            <w:pPr>
              <w:pStyle w:val="6"/>
              <w:spacing w:before="8" w:line="228" w:lineRule="auto"/>
              <w:ind w:left="428"/>
            </w:pPr>
            <w:r>
              <w:rPr>
                <w:spacing w:val="5"/>
              </w:rPr>
              <w:t>其中:K</w:t>
            </w:r>
            <w:r>
              <w:rPr>
                <w:spacing w:val="-28"/>
              </w:rPr>
              <w:t xml:space="preserve"> </w:t>
            </w:r>
            <w:r>
              <w:rPr>
                <w:spacing w:val="5"/>
              </w:rPr>
              <w:t>为扣分合计；</w:t>
            </w:r>
          </w:p>
          <w:p w14:paraId="4C1A66E2">
            <w:pPr>
              <w:pStyle w:val="6"/>
              <w:spacing w:before="25" w:line="228" w:lineRule="auto"/>
              <w:ind w:left="951"/>
            </w:pPr>
            <w:r>
              <w:rPr>
                <w:spacing w:val="6"/>
              </w:rPr>
              <w:t>k</w:t>
            </w:r>
            <w:r>
              <w:rPr>
                <w:spacing w:val="-35"/>
              </w:rPr>
              <w:t xml:space="preserve"> </w:t>
            </w:r>
            <w:r>
              <w:rPr>
                <w:spacing w:val="6"/>
              </w:rPr>
              <w:t>为单次扣分分值；</w:t>
            </w:r>
          </w:p>
          <w:p w14:paraId="33FFA151">
            <w:pPr>
              <w:pStyle w:val="6"/>
              <w:spacing w:before="24" w:line="228" w:lineRule="auto"/>
              <w:ind w:left="951"/>
            </w:pPr>
            <w:r>
              <w:rPr>
                <w:spacing w:val="5"/>
              </w:rPr>
              <w:t>n</w:t>
            </w:r>
            <w:r>
              <w:rPr>
                <w:spacing w:val="-36"/>
              </w:rPr>
              <w:t xml:space="preserve"> </w:t>
            </w:r>
            <w:r>
              <w:rPr>
                <w:spacing w:val="5"/>
              </w:rPr>
              <w:t>为扣分次数；</w:t>
            </w:r>
          </w:p>
          <w:p w14:paraId="33E53393">
            <w:pPr>
              <w:pStyle w:val="6"/>
              <w:spacing w:before="28" w:line="250" w:lineRule="auto"/>
              <w:ind w:left="120" w:right="148" w:firstLine="827"/>
            </w:pPr>
            <w:r>
              <w:rPr>
                <w:spacing w:val="6"/>
              </w:rPr>
              <w:t>H</w:t>
            </w:r>
            <w:r>
              <w:rPr>
                <w:spacing w:val="-23"/>
              </w:rPr>
              <w:t xml:space="preserve"> </w:t>
            </w:r>
            <w:r>
              <w:rPr>
                <w:spacing w:val="6"/>
              </w:rPr>
              <w:t>为不平衡报价系数。H</w:t>
            </w:r>
            <w:r>
              <w:rPr>
                <w:spacing w:val="-20"/>
              </w:rPr>
              <w:t xml:space="preserve"> </w:t>
            </w:r>
            <w:r>
              <w:rPr>
                <w:spacing w:val="6"/>
              </w:rPr>
              <w:t>的取值见第二</w:t>
            </w:r>
            <w:r>
              <w:rPr>
                <w:spacing w:val="4"/>
              </w:rPr>
              <w:t>章投标人须知前附表第</w:t>
            </w:r>
            <w:r>
              <w:rPr>
                <w:spacing w:val="-14"/>
              </w:rPr>
              <w:t xml:space="preserve"> </w:t>
            </w:r>
            <w:r>
              <w:rPr>
                <w:rFonts w:ascii="Times New Roman" w:hAnsi="Times New Roman" w:eastAsia="Times New Roman" w:cs="Times New Roman"/>
                <w:spacing w:val="4"/>
              </w:rPr>
              <w:t>10.2.2</w:t>
            </w:r>
            <w:r>
              <w:rPr>
                <w:rFonts w:ascii="Times New Roman" w:hAnsi="Times New Roman" w:eastAsia="Times New Roman" w:cs="Times New Roman"/>
                <w:spacing w:val="15"/>
                <w:w w:val="101"/>
              </w:rPr>
              <w:t xml:space="preserve"> </w:t>
            </w:r>
            <w:r>
              <w:rPr>
                <w:spacing w:val="4"/>
              </w:rPr>
              <w:t>项。</w:t>
            </w:r>
          </w:p>
          <w:p w14:paraId="43562A61">
            <w:pPr>
              <w:pStyle w:val="6"/>
              <w:spacing w:before="1" w:line="253" w:lineRule="auto"/>
              <w:ind w:left="130" w:right="109" w:hanging="15"/>
            </w:pPr>
            <w:r>
              <w:rPr>
                <w:spacing w:val="6"/>
              </w:rPr>
              <w:t>单位工程投标报价如有算术错误修正，以修正后的单位工程投标报价计算。</w:t>
            </w:r>
          </w:p>
        </w:tc>
      </w:tr>
      <w:tr w14:paraId="6BEB0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45" w:type="dxa"/>
            <w:vMerge w:val="continue"/>
            <w:tcBorders>
              <w:top w:val="nil"/>
              <w:bottom w:val="nil"/>
            </w:tcBorders>
            <w:vAlign w:val="top"/>
          </w:tcPr>
          <w:p w14:paraId="34A6DDE6">
            <w:pPr>
              <w:rPr>
                <w:rFonts w:ascii="Arial"/>
                <w:sz w:val="21"/>
              </w:rPr>
            </w:pPr>
          </w:p>
        </w:tc>
        <w:tc>
          <w:tcPr>
            <w:tcW w:w="1058" w:type="dxa"/>
            <w:vMerge w:val="continue"/>
            <w:tcBorders>
              <w:top w:val="nil"/>
              <w:bottom w:val="nil"/>
            </w:tcBorders>
            <w:vAlign w:val="top"/>
          </w:tcPr>
          <w:p w14:paraId="1E459B29">
            <w:pPr>
              <w:rPr>
                <w:rFonts w:ascii="Arial"/>
                <w:sz w:val="21"/>
              </w:rPr>
            </w:pPr>
          </w:p>
        </w:tc>
        <w:tc>
          <w:tcPr>
            <w:tcW w:w="2084" w:type="dxa"/>
            <w:vAlign w:val="top"/>
          </w:tcPr>
          <w:p w14:paraId="4DEB1729">
            <w:pPr>
              <w:pStyle w:val="6"/>
              <w:spacing w:before="172" w:line="226" w:lineRule="auto"/>
              <w:ind w:left="115"/>
            </w:pPr>
            <w:r>
              <w:rPr>
                <w:spacing w:val="7"/>
              </w:rPr>
              <w:t>投标报价得分</w:t>
            </w:r>
          </w:p>
        </w:tc>
        <w:tc>
          <w:tcPr>
            <w:tcW w:w="735" w:type="dxa"/>
            <w:vAlign w:val="top"/>
          </w:tcPr>
          <w:p w14:paraId="05484097">
            <w:pPr>
              <w:rPr>
                <w:rFonts w:ascii="Arial"/>
                <w:sz w:val="21"/>
              </w:rPr>
            </w:pPr>
          </w:p>
        </w:tc>
        <w:tc>
          <w:tcPr>
            <w:tcW w:w="4562" w:type="dxa"/>
            <w:vAlign w:val="top"/>
          </w:tcPr>
          <w:p w14:paraId="2C2C6CAA">
            <w:pPr>
              <w:pStyle w:val="6"/>
              <w:spacing w:before="134" w:line="281" w:lineRule="exact"/>
              <w:ind w:left="108"/>
            </w:pPr>
            <w:r>
              <w:rPr>
                <w:rFonts w:ascii="Times New Roman" w:hAnsi="Times New Roman" w:eastAsia="Times New Roman" w:cs="Times New Roman"/>
                <w:spacing w:val="5"/>
                <w:position w:val="1"/>
              </w:rPr>
              <w:t>M = F – K</w:t>
            </w:r>
            <w:r>
              <w:rPr>
                <w:rFonts w:ascii="Times New Roman" w:hAnsi="Times New Roman" w:eastAsia="Times New Roman" w:cs="Times New Roman"/>
                <w:spacing w:val="3"/>
                <w:position w:val="1"/>
              </w:rPr>
              <w:t xml:space="preserve">            </w:t>
            </w:r>
            <w:r>
              <w:rPr>
                <w:spacing w:val="5"/>
                <w:position w:val="1"/>
              </w:rPr>
              <w:t>其中：</w:t>
            </w:r>
            <w:r>
              <w:rPr>
                <w:rFonts w:ascii="Times New Roman" w:hAnsi="Times New Roman" w:eastAsia="Times New Roman" w:cs="Times New Roman"/>
                <w:spacing w:val="5"/>
                <w:position w:val="1"/>
              </w:rPr>
              <w:t>M</w:t>
            </w:r>
            <w:r>
              <w:rPr>
                <w:spacing w:val="5"/>
                <w:position w:val="1"/>
              </w:rPr>
              <w:t>≥</w:t>
            </w:r>
            <w:r>
              <w:rPr>
                <w:rFonts w:ascii="Times New Roman" w:hAnsi="Times New Roman" w:eastAsia="Times New Roman" w:cs="Times New Roman"/>
                <w:spacing w:val="5"/>
                <w:position w:val="1"/>
              </w:rPr>
              <w:t>0</w:t>
            </w:r>
            <w:r>
              <w:rPr>
                <w:spacing w:val="5"/>
                <w:position w:val="1"/>
              </w:rPr>
              <w:t>。</w:t>
            </w:r>
          </w:p>
        </w:tc>
      </w:tr>
      <w:tr w14:paraId="2C9C6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6" w:hRule="atLeast"/>
        </w:trPr>
        <w:tc>
          <w:tcPr>
            <w:tcW w:w="745" w:type="dxa"/>
            <w:vMerge w:val="continue"/>
            <w:tcBorders>
              <w:top w:val="nil"/>
            </w:tcBorders>
            <w:vAlign w:val="top"/>
          </w:tcPr>
          <w:p w14:paraId="4B9C6463">
            <w:pPr>
              <w:rPr>
                <w:rFonts w:ascii="Arial"/>
                <w:sz w:val="21"/>
              </w:rPr>
            </w:pPr>
          </w:p>
        </w:tc>
        <w:tc>
          <w:tcPr>
            <w:tcW w:w="1058" w:type="dxa"/>
            <w:vMerge w:val="continue"/>
            <w:tcBorders>
              <w:top w:val="nil"/>
            </w:tcBorders>
            <w:vAlign w:val="top"/>
          </w:tcPr>
          <w:p w14:paraId="6F687F32">
            <w:pPr>
              <w:rPr>
                <w:rFonts w:ascii="Arial"/>
                <w:sz w:val="21"/>
              </w:rPr>
            </w:pPr>
          </w:p>
        </w:tc>
        <w:tc>
          <w:tcPr>
            <w:tcW w:w="2084" w:type="dxa"/>
            <w:vAlign w:val="top"/>
          </w:tcPr>
          <w:p w14:paraId="078385D6">
            <w:pPr>
              <w:spacing w:line="251" w:lineRule="auto"/>
              <w:rPr>
                <w:rFonts w:ascii="Arial"/>
                <w:sz w:val="21"/>
              </w:rPr>
            </w:pPr>
          </w:p>
          <w:p w14:paraId="37A5BB6B">
            <w:pPr>
              <w:spacing w:line="251" w:lineRule="auto"/>
              <w:rPr>
                <w:rFonts w:ascii="Arial"/>
                <w:sz w:val="21"/>
              </w:rPr>
            </w:pPr>
          </w:p>
          <w:p w14:paraId="5D124002">
            <w:pPr>
              <w:spacing w:line="251" w:lineRule="auto"/>
              <w:rPr>
                <w:rFonts w:ascii="Arial"/>
                <w:sz w:val="21"/>
              </w:rPr>
            </w:pPr>
          </w:p>
          <w:p w14:paraId="081448D2">
            <w:pPr>
              <w:spacing w:line="251" w:lineRule="auto"/>
              <w:rPr>
                <w:rFonts w:ascii="Arial"/>
                <w:sz w:val="21"/>
              </w:rPr>
            </w:pPr>
          </w:p>
          <w:p w14:paraId="35497278">
            <w:pPr>
              <w:spacing w:line="252" w:lineRule="auto"/>
              <w:rPr>
                <w:rFonts w:ascii="Arial"/>
                <w:sz w:val="21"/>
              </w:rPr>
            </w:pPr>
          </w:p>
          <w:p w14:paraId="560F5B0F">
            <w:pPr>
              <w:spacing w:line="252" w:lineRule="auto"/>
              <w:rPr>
                <w:rFonts w:ascii="Arial"/>
                <w:sz w:val="21"/>
              </w:rPr>
            </w:pPr>
          </w:p>
          <w:p w14:paraId="38BEADEF">
            <w:pPr>
              <w:spacing w:line="252" w:lineRule="auto"/>
              <w:rPr>
                <w:rFonts w:ascii="Arial"/>
                <w:sz w:val="21"/>
              </w:rPr>
            </w:pPr>
          </w:p>
          <w:p w14:paraId="4578D7D0">
            <w:pPr>
              <w:spacing w:line="252" w:lineRule="auto"/>
              <w:rPr>
                <w:rFonts w:ascii="Arial"/>
                <w:sz w:val="21"/>
              </w:rPr>
            </w:pPr>
          </w:p>
          <w:p w14:paraId="75F30B31">
            <w:pPr>
              <w:spacing w:line="252" w:lineRule="auto"/>
              <w:rPr>
                <w:rFonts w:ascii="Arial"/>
                <w:sz w:val="21"/>
              </w:rPr>
            </w:pPr>
          </w:p>
          <w:p w14:paraId="2DAFC4B7">
            <w:pPr>
              <w:spacing w:line="252" w:lineRule="auto"/>
              <w:rPr>
                <w:rFonts w:ascii="Arial"/>
                <w:sz w:val="21"/>
              </w:rPr>
            </w:pPr>
          </w:p>
          <w:p w14:paraId="272EAA61">
            <w:pPr>
              <w:spacing w:line="252" w:lineRule="auto"/>
              <w:rPr>
                <w:rFonts w:ascii="Arial"/>
                <w:sz w:val="21"/>
              </w:rPr>
            </w:pPr>
          </w:p>
          <w:p w14:paraId="14A1053B">
            <w:pPr>
              <w:spacing w:line="252" w:lineRule="auto"/>
              <w:rPr>
                <w:rFonts w:ascii="Arial"/>
                <w:sz w:val="21"/>
              </w:rPr>
            </w:pPr>
          </w:p>
          <w:p w14:paraId="50626466">
            <w:pPr>
              <w:spacing w:line="252" w:lineRule="auto"/>
              <w:rPr>
                <w:rFonts w:ascii="Arial"/>
                <w:sz w:val="21"/>
              </w:rPr>
            </w:pPr>
          </w:p>
          <w:p w14:paraId="21B29FCD">
            <w:pPr>
              <w:spacing w:line="252" w:lineRule="auto"/>
              <w:rPr>
                <w:rFonts w:ascii="Arial"/>
                <w:sz w:val="21"/>
              </w:rPr>
            </w:pPr>
          </w:p>
          <w:p w14:paraId="615C029C">
            <w:pPr>
              <w:spacing w:line="252" w:lineRule="auto"/>
              <w:rPr>
                <w:rFonts w:ascii="Arial"/>
                <w:sz w:val="21"/>
              </w:rPr>
            </w:pPr>
          </w:p>
          <w:p w14:paraId="6160957E">
            <w:pPr>
              <w:spacing w:line="252" w:lineRule="auto"/>
              <w:rPr>
                <w:rFonts w:ascii="Arial"/>
                <w:sz w:val="21"/>
              </w:rPr>
            </w:pPr>
          </w:p>
          <w:p w14:paraId="6E9E5F9D">
            <w:pPr>
              <w:pStyle w:val="6"/>
              <w:spacing w:before="65" w:line="251" w:lineRule="auto"/>
              <w:ind w:left="112" w:right="716" w:hanging="1"/>
            </w:pPr>
            <w:r>
              <w:rPr>
                <w:spacing w:val="8"/>
              </w:rPr>
              <w:t>政府采购工程价格评审优惠</w:t>
            </w:r>
          </w:p>
        </w:tc>
        <w:tc>
          <w:tcPr>
            <w:tcW w:w="735" w:type="dxa"/>
            <w:vAlign w:val="top"/>
          </w:tcPr>
          <w:p w14:paraId="2C183C9D">
            <w:pPr>
              <w:rPr>
                <w:rFonts w:ascii="Arial"/>
                <w:sz w:val="21"/>
              </w:rPr>
            </w:pPr>
          </w:p>
        </w:tc>
        <w:tc>
          <w:tcPr>
            <w:tcW w:w="4562" w:type="dxa"/>
            <w:vAlign w:val="top"/>
          </w:tcPr>
          <w:p w14:paraId="08246783">
            <w:pPr>
              <w:pStyle w:val="6"/>
              <w:spacing w:before="33" w:line="227" w:lineRule="auto"/>
              <w:ind w:left="112"/>
            </w:pPr>
            <w:r>
              <w:rPr>
                <w:spacing w:val="9"/>
              </w:rPr>
              <w:t>对项目未预留份额专门面向中小企业采购的</w:t>
            </w:r>
          </w:p>
          <w:p w14:paraId="13F8A8BA">
            <w:pPr>
              <w:pStyle w:val="6"/>
              <w:spacing w:before="24" w:line="252"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p w14:paraId="5DCB37F2">
            <w:pPr>
              <w:pStyle w:val="6"/>
              <w:spacing w:line="228" w:lineRule="auto"/>
              <w:ind w:left="549"/>
            </w:pPr>
            <w:r>
              <w:rPr>
                <w:spacing w:val="3"/>
              </w:rPr>
              <w:t>即</w:t>
            </w:r>
            <w:r>
              <w:rPr>
                <w:spacing w:val="-38"/>
              </w:rPr>
              <w:t xml:space="preserve"> </w:t>
            </w:r>
            <w:r>
              <w:rPr>
                <w:spacing w:val="3"/>
              </w:rPr>
              <w:t>S= M×（1+P%）</w:t>
            </w:r>
          </w:p>
          <w:p w14:paraId="0635A904">
            <w:pPr>
              <w:pStyle w:val="6"/>
              <w:spacing w:before="23" w:line="252"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5192A948">
            <w:pPr>
              <w:pStyle w:val="6"/>
              <w:spacing w:before="1" w:line="251" w:lineRule="auto"/>
              <w:ind w:left="116" w:right="107" w:firstLine="420"/>
            </w:pPr>
            <w:r>
              <w:rPr>
                <w:spacing w:val="5"/>
              </w:rPr>
              <w:t>如招标人接受联合体，联合体各方均为小微</w:t>
            </w:r>
            <w:r>
              <w:rPr>
                <w:spacing w:val="8"/>
              </w:rPr>
              <w:t>企业的，联合体视同小微企业。</w:t>
            </w:r>
          </w:p>
          <w:p w14:paraId="35799E04">
            <w:pPr>
              <w:pStyle w:val="6"/>
              <w:spacing w:before="268" w:line="246" w:lineRule="auto"/>
              <w:ind w:left="113" w:right="107" w:firstLine="2"/>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66029A3F">
            <w:pPr>
              <w:pStyle w:val="6"/>
              <w:spacing w:line="281" w:lineRule="exact"/>
              <w:ind w:left="549"/>
            </w:pPr>
            <w:r>
              <w:rPr>
                <w:spacing w:val="3"/>
                <w:position w:val="2"/>
              </w:rPr>
              <w:t>即</w:t>
            </w:r>
            <w:r>
              <w:rPr>
                <w:spacing w:val="-36"/>
                <w:position w:val="2"/>
              </w:rPr>
              <w:t xml:space="preserve"> </w:t>
            </w:r>
            <w:r>
              <w:rPr>
                <w:spacing w:val="3"/>
                <w:position w:val="2"/>
              </w:rPr>
              <w:t>S</w:t>
            </w:r>
            <w:r>
              <w:rPr>
                <w:rFonts w:ascii="Times New Roman" w:hAnsi="Times New Roman" w:eastAsia="Times New Roman" w:cs="Times New Roman"/>
                <w:spacing w:val="3"/>
                <w:position w:val="2"/>
              </w:rPr>
              <w:t>= M</w:t>
            </w:r>
            <w:r>
              <w:rPr>
                <w:spacing w:val="3"/>
                <w:position w:val="2"/>
              </w:rPr>
              <w:t>×（1+Q%）</w:t>
            </w:r>
          </w:p>
          <w:p w14:paraId="3206081C">
            <w:pPr>
              <w:pStyle w:val="6"/>
              <w:spacing w:before="30" w:line="252"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5CA6483B">
            <w:pPr>
              <w:pStyle w:val="6"/>
              <w:spacing w:before="268"/>
              <w:ind w:left="113" w:right="107" w:firstLine="4"/>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bl>
    <w:p w14:paraId="56E5DA6E">
      <w:pPr>
        <w:rPr>
          <w:rFonts w:ascii="Arial"/>
          <w:sz w:val="21"/>
        </w:rPr>
      </w:pPr>
    </w:p>
    <w:p w14:paraId="5D2258BB">
      <w:pPr>
        <w:rPr>
          <w:rFonts w:ascii="Arial" w:hAnsi="Arial" w:eastAsia="Arial" w:cs="Arial"/>
          <w:sz w:val="21"/>
          <w:szCs w:val="21"/>
        </w:rPr>
        <w:sectPr>
          <w:footerReference r:id="rId94" w:type="default"/>
          <w:pgSz w:w="11907" w:h="16840"/>
          <w:pgMar w:top="400" w:right="1248" w:bottom="1035" w:left="1469" w:header="0" w:footer="785" w:gutter="0"/>
          <w:cols w:space="720" w:num="1"/>
        </w:sectPr>
      </w:pPr>
    </w:p>
    <w:p w14:paraId="47C5096C">
      <w:pPr>
        <w:spacing w:before="19"/>
      </w:pPr>
    </w:p>
    <w:p w14:paraId="15DADE01">
      <w:pPr>
        <w:spacing w:before="19"/>
      </w:pPr>
    </w:p>
    <w:p w14:paraId="27A75C04">
      <w:pPr>
        <w:spacing w:before="19"/>
      </w:pPr>
    </w:p>
    <w:p w14:paraId="26FF10E7">
      <w:pPr>
        <w:spacing w:before="18"/>
      </w:pPr>
    </w:p>
    <w:p w14:paraId="154C7E6A">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318"/>
        <w:gridCol w:w="766"/>
        <w:gridCol w:w="735"/>
        <w:gridCol w:w="4562"/>
      </w:tblGrid>
      <w:tr w14:paraId="615C94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745" w:type="dxa"/>
            <w:vAlign w:val="top"/>
          </w:tcPr>
          <w:p w14:paraId="10FE3042">
            <w:pPr>
              <w:rPr>
                <w:rFonts w:ascii="Arial"/>
                <w:sz w:val="21"/>
              </w:rPr>
            </w:pPr>
          </w:p>
        </w:tc>
        <w:tc>
          <w:tcPr>
            <w:tcW w:w="1058" w:type="dxa"/>
            <w:vAlign w:val="top"/>
          </w:tcPr>
          <w:p w14:paraId="6F882850">
            <w:pPr>
              <w:rPr>
                <w:rFonts w:ascii="Arial"/>
                <w:sz w:val="21"/>
              </w:rPr>
            </w:pPr>
          </w:p>
        </w:tc>
        <w:tc>
          <w:tcPr>
            <w:tcW w:w="2084" w:type="dxa"/>
            <w:gridSpan w:val="2"/>
            <w:vAlign w:val="top"/>
          </w:tcPr>
          <w:p w14:paraId="78F92FE3">
            <w:pPr>
              <w:pStyle w:val="6"/>
              <w:spacing w:before="174" w:line="226" w:lineRule="auto"/>
              <w:ind w:left="115"/>
            </w:pPr>
            <w:r>
              <w:rPr>
                <w:spacing w:val="8"/>
              </w:rPr>
              <w:t>投标报价最终得分</w:t>
            </w:r>
          </w:p>
        </w:tc>
        <w:tc>
          <w:tcPr>
            <w:tcW w:w="735" w:type="dxa"/>
            <w:vAlign w:val="top"/>
          </w:tcPr>
          <w:p w14:paraId="29A79711">
            <w:pPr>
              <w:rPr>
                <w:rFonts w:ascii="Arial"/>
                <w:sz w:val="21"/>
              </w:rPr>
            </w:pPr>
          </w:p>
        </w:tc>
        <w:tc>
          <w:tcPr>
            <w:tcW w:w="4562" w:type="dxa"/>
            <w:vAlign w:val="top"/>
          </w:tcPr>
          <w:p w14:paraId="2BDBE9C8">
            <w:pPr>
              <w:pStyle w:val="6"/>
              <w:spacing w:before="137" w:line="281" w:lineRule="exact"/>
              <w:ind w:left="114"/>
            </w:pPr>
            <w:r>
              <w:rPr>
                <w:spacing w:val="5"/>
                <w:position w:val="1"/>
              </w:rPr>
              <w:t>S</w:t>
            </w:r>
            <w:r>
              <w:rPr>
                <w:rFonts w:ascii="Times New Roman" w:hAnsi="Times New Roman" w:eastAsia="Times New Roman" w:cs="Times New Roman"/>
                <w:spacing w:val="5"/>
                <w:position w:val="1"/>
              </w:rPr>
              <w:t>= M</w:t>
            </w:r>
            <w:r>
              <w:rPr>
                <w:spacing w:val="5"/>
                <w:position w:val="1"/>
              </w:rPr>
              <w:t>×（1+P%） 或</w:t>
            </w:r>
            <w:r>
              <w:rPr>
                <w:spacing w:val="-29"/>
                <w:position w:val="1"/>
              </w:rPr>
              <w:t xml:space="preserve"> </w:t>
            </w:r>
            <w:r>
              <w:rPr>
                <w:spacing w:val="5"/>
                <w:position w:val="1"/>
              </w:rPr>
              <w:t>S</w:t>
            </w:r>
            <w:r>
              <w:rPr>
                <w:rFonts w:ascii="Times New Roman" w:hAnsi="Times New Roman" w:eastAsia="Times New Roman" w:cs="Times New Roman"/>
                <w:spacing w:val="5"/>
                <w:position w:val="1"/>
              </w:rPr>
              <w:t>=</w:t>
            </w:r>
            <w:r>
              <w:rPr>
                <w:rFonts w:ascii="Times New Roman" w:hAnsi="Times New Roman" w:eastAsia="Times New Roman" w:cs="Times New Roman"/>
                <w:spacing w:val="6"/>
                <w:position w:val="1"/>
              </w:rPr>
              <w:t xml:space="preserve"> </w:t>
            </w:r>
            <w:r>
              <w:rPr>
                <w:rFonts w:ascii="Times New Roman" w:hAnsi="Times New Roman" w:eastAsia="Times New Roman" w:cs="Times New Roman"/>
                <w:spacing w:val="5"/>
                <w:position w:val="1"/>
              </w:rPr>
              <w:t>M</w:t>
            </w:r>
            <w:r>
              <w:rPr>
                <w:spacing w:val="5"/>
                <w:position w:val="1"/>
              </w:rPr>
              <w:t>×（1+Q%）</w:t>
            </w:r>
          </w:p>
        </w:tc>
      </w:tr>
      <w:tr w14:paraId="4500A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745" w:type="dxa"/>
            <w:vAlign w:val="top"/>
          </w:tcPr>
          <w:p w14:paraId="0902620F">
            <w:pPr>
              <w:rPr>
                <w:rFonts w:ascii="Arial"/>
                <w:sz w:val="21"/>
              </w:rPr>
            </w:pPr>
          </w:p>
        </w:tc>
        <w:tc>
          <w:tcPr>
            <w:tcW w:w="8439" w:type="dxa"/>
            <w:gridSpan w:val="5"/>
            <w:vAlign w:val="top"/>
          </w:tcPr>
          <w:p w14:paraId="631F365A">
            <w:pPr>
              <w:pStyle w:val="6"/>
              <w:spacing w:before="97" w:line="254"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r w14:paraId="0DBC77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restart"/>
            <w:tcBorders>
              <w:bottom w:val="nil"/>
            </w:tcBorders>
            <w:vAlign w:val="top"/>
          </w:tcPr>
          <w:p w14:paraId="40E03EB0">
            <w:pPr>
              <w:spacing w:line="257" w:lineRule="auto"/>
              <w:rPr>
                <w:rFonts w:ascii="Arial"/>
                <w:sz w:val="21"/>
              </w:rPr>
            </w:pPr>
          </w:p>
          <w:p w14:paraId="181C3C63">
            <w:pPr>
              <w:spacing w:line="257" w:lineRule="auto"/>
              <w:rPr>
                <w:rFonts w:ascii="Arial"/>
                <w:sz w:val="21"/>
              </w:rPr>
            </w:pPr>
          </w:p>
          <w:p w14:paraId="79FA34A2">
            <w:pPr>
              <w:spacing w:line="258" w:lineRule="auto"/>
              <w:rPr>
                <w:rFonts w:ascii="Arial"/>
                <w:sz w:val="21"/>
              </w:rPr>
            </w:pPr>
          </w:p>
          <w:p w14:paraId="1A91157A">
            <w:pPr>
              <w:spacing w:line="258" w:lineRule="auto"/>
              <w:rPr>
                <w:rFonts w:ascii="Arial"/>
                <w:sz w:val="21"/>
              </w:rPr>
            </w:pPr>
          </w:p>
          <w:p w14:paraId="43CB9DF6">
            <w:pPr>
              <w:spacing w:line="258" w:lineRule="auto"/>
              <w:rPr>
                <w:rFonts w:ascii="Arial"/>
                <w:sz w:val="21"/>
              </w:rPr>
            </w:pPr>
          </w:p>
          <w:p w14:paraId="0FC3B414">
            <w:pPr>
              <w:spacing w:line="258" w:lineRule="auto"/>
              <w:rPr>
                <w:rFonts w:ascii="Arial"/>
                <w:sz w:val="21"/>
              </w:rPr>
            </w:pPr>
          </w:p>
          <w:p w14:paraId="72F04FB6">
            <w:pPr>
              <w:spacing w:line="258" w:lineRule="auto"/>
              <w:rPr>
                <w:rFonts w:ascii="Arial"/>
                <w:sz w:val="21"/>
              </w:rPr>
            </w:pPr>
          </w:p>
          <w:p w14:paraId="728FCBEF">
            <w:pPr>
              <w:spacing w:line="258" w:lineRule="auto"/>
              <w:rPr>
                <w:rFonts w:ascii="Arial"/>
                <w:sz w:val="21"/>
              </w:rPr>
            </w:pPr>
          </w:p>
          <w:p w14:paraId="3784014D">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473F6FEF">
            <w:pPr>
              <w:pStyle w:val="6"/>
              <w:spacing w:before="216"/>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5C9A495F">
            <w:pPr>
              <w:spacing w:line="247" w:lineRule="auto"/>
              <w:rPr>
                <w:rFonts w:ascii="Arial"/>
                <w:sz w:val="21"/>
              </w:rPr>
            </w:pPr>
          </w:p>
          <w:p w14:paraId="7C24F237">
            <w:pPr>
              <w:spacing w:line="247" w:lineRule="auto"/>
              <w:rPr>
                <w:rFonts w:ascii="Arial"/>
                <w:sz w:val="21"/>
              </w:rPr>
            </w:pPr>
          </w:p>
          <w:p w14:paraId="170D719D">
            <w:pPr>
              <w:spacing w:line="248" w:lineRule="auto"/>
              <w:rPr>
                <w:rFonts w:ascii="Arial"/>
                <w:sz w:val="21"/>
              </w:rPr>
            </w:pPr>
          </w:p>
          <w:p w14:paraId="48685702">
            <w:pPr>
              <w:spacing w:line="248" w:lineRule="auto"/>
              <w:rPr>
                <w:rFonts w:ascii="Arial"/>
                <w:sz w:val="21"/>
              </w:rPr>
            </w:pPr>
          </w:p>
          <w:p w14:paraId="0E12C5EC">
            <w:pPr>
              <w:spacing w:line="248" w:lineRule="auto"/>
              <w:rPr>
                <w:rFonts w:ascii="Arial"/>
                <w:sz w:val="21"/>
              </w:rPr>
            </w:pPr>
          </w:p>
          <w:p w14:paraId="1AE76406">
            <w:pPr>
              <w:spacing w:line="248" w:lineRule="auto"/>
              <w:rPr>
                <w:rFonts w:ascii="Arial"/>
                <w:sz w:val="21"/>
              </w:rPr>
            </w:pPr>
          </w:p>
          <w:p w14:paraId="2892A357">
            <w:pPr>
              <w:spacing w:line="248" w:lineRule="auto"/>
              <w:rPr>
                <w:rFonts w:ascii="Arial"/>
                <w:sz w:val="21"/>
              </w:rPr>
            </w:pPr>
          </w:p>
          <w:p w14:paraId="6F28A669">
            <w:pPr>
              <w:spacing w:line="248" w:lineRule="auto"/>
              <w:rPr>
                <w:rFonts w:ascii="Arial"/>
                <w:sz w:val="21"/>
              </w:rPr>
            </w:pPr>
          </w:p>
          <w:p w14:paraId="47CD3721">
            <w:pPr>
              <w:spacing w:line="248" w:lineRule="auto"/>
              <w:rPr>
                <w:rFonts w:ascii="Arial"/>
                <w:sz w:val="21"/>
              </w:rPr>
            </w:pPr>
          </w:p>
          <w:p w14:paraId="52F88351">
            <w:pPr>
              <w:pStyle w:val="6"/>
              <w:spacing w:before="65" w:line="253" w:lineRule="auto"/>
              <w:ind w:left="111" w:right="111" w:firstLine="4"/>
              <w:jc w:val="both"/>
            </w:pPr>
            <w:r>
              <w:rPr>
                <w:spacing w:val="6"/>
              </w:rPr>
              <w:t>项目管理</w:t>
            </w:r>
            <w:r>
              <w:rPr>
                <w:spacing w:val="7"/>
              </w:rPr>
              <w:t>机构评分</w:t>
            </w:r>
            <w:r>
              <w:rPr>
                <w:spacing w:val="27"/>
              </w:rPr>
              <w:t>标</w:t>
            </w:r>
            <w:r>
              <w:rPr>
                <w:spacing w:val="8"/>
              </w:rPr>
              <w:t xml:space="preserve">   </w:t>
            </w:r>
            <w:r>
              <w:rPr>
                <w:spacing w:val="27"/>
              </w:rPr>
              <w:t>准</w:t>
            </w:r>
          </w:p>
        </w:tc>
        <w:tc>
          <w:tcPr>
            <w:tcW w:w="1318" w:type="dxa"/>
            <w:vMerge w:val="restart"/>
            <w:tcBorders>
              <w:bottom w:val="nil"/>
            </w:tcBorders>
            <w:vAlign w:val="top"/>
          </w:tcPr>
          <w:p w14:paraId="5C33256B">
            <w:pPr>
              <w:spacing w:line="256" w:lineRule="auto"/>
              <w:rPr>
                <w:rFonts w:ascii="Arial"/>
                <w:sz w:val="21"/>
              </w:rPr>
            </w:pPr>
          </w:p>
          <w:p w14:paraId="0CA174DB">
            <w:pPr>
              <w:spacing w:line="256" w:lineRule="auto"/>
              <w:rPr>
                <w:rFonts w:ascii="Arial"/>
                <w:sz w:val="21"/>
              </w:rPr>
            </w:pPr>
          </w:p>
          <w:p w14:paraId="2E7D59A0">
            <w:pPr>
              <w:pStyle w:val="6"/>
              <w:spacing w:before="65" w:line="228" w:lineRule="auto"/>
              <w:ind w:left="115"/>
            </w:pPr>
            <w:r>
              <w:rPr>
                <w:spacing w:val="6"/>
              </w:rPr>
              <w:t>项目经理</w:t>
            </w:r>
          </w:p>
          <w:p w14:paraId="6B0DC9A6">
            <w:pPr>
              <w:pStyle w:val="6"/>
              <w:spacing w:before="25" w:line="228" w:lineRule="auto"/>
              <w:ind w:left="121"/>
            </w:pPr>
            <w:r>
              <w:rPr>
                <w:spacing w:val="6"/>
              </w:rPr>
              <w:t>资格与业绩</w:t>
            </w:r>
          </w:p>
        </w:tc>
        <w:tc>
          <w:tcPr>
            <w:tcW w:w="766" w:type="dxa"/>
            <w:vAlign w:val="top"/>
          </w:tcPr>
          <w:p w14:paraId="378BD104">
            <w:pPr>
              <w:pStyle w:val="6"/>
              <w:spacing w:before="304" w:line="230" w:lineRule="auto"/>
              <w:ind w:left="115"/>
            </w:pPr>
            <w:r>
              <w:rPr>
                <w:spacing w:val="4"/>
              </w:rPr>
              <w:t>职称</w:t>
            </w:r>
          </w:p>
        </w:tc>
        <w:tc>
          <w:tcPr>
            <w:tcW w:w="735" w:type="dxa"/>
            <w:vAlign w:val="top"/>
          </w:tcPr>
          <w:p w14:paraId="15722C8C">
            <w:pPr>
              <w:pStyle w:val="6"/>
              <w:spacing w:before="304" w:line="228" w:lineRule="auto"/>
              <w:ind w:left="204"/>
            </w:pPr>
            <w:r>
              <w:rPr>
                <w:spacing w:val="-10"/>
              </w:rPr>
              <w:t>1</w:t>
            </w:r>
            <w:r>
              <w:rPr>
                <w:spacing w:val="-36"/>
              </w:rPr>
              <w:t xml:space="preserve"> </w:t>
            </w:r>
            <w:r>
              <w:rPr>
                <w:spacing w:val="-10"/>
              </w:rPr>
              <w:t>分</w:t>
            </w:r>
          </w:p>
        </w:tc>
        <w:tc>
          <w:tcPr>
            <w:tcW w:w="4562" w:type="dxa"/>
            <w:vAlign w:val="top"/>
          </w:tcPr>
          <w:p w14:paraId="611B4C6E">
            <w:pPr>
              <w:pStyle w:val="6"/>
              <w:spacing w:before="32"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56DFEFA9">
            <w:pPr>
              <w:pStyle w:val="6"/>
              <w:spacing w:before="24" w:line="234"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1FF452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continue"/>
            <w:tcBorders>
              <w:top w:val="nil"/>
              <w:bottom w:val="nil"/>
            </w:tcBorders>
            <w:vAlign w:val="top"/>
          </w:tcPr>
          <w:p w14:paraId="09BA18D6">
            <w:pPr>
              <w:rPr>
                <w:rFonts w:ascii="Arial"/>
                <w:sz w:val="21"/>
              </w:rPr>
            </w:pPr>
          </w:p>
        </w:tc>
        <w:tc>
          <w:tcPr>
            <w:tcW w:w="1058" w:type="dxa"/>
            <w:vMerge w:val="continue"/>
            <w:tcBorders>
              <w:top w:val="nil"/>
              <w:bottom w:val="nil"/>
            </w:tcBorders>
            <w:vAlign w:val="top"/>
          </w:tcPr>
          <w:p w14:paraId="4318FF30">
            <w:pPr>
              <w:rPr>
                <w:rFonts w:ascii="Arial"/>
                <w:sz w:val="21"/>
              </w:rPr>
            </w:pPr>
          </w:p>
        </w:tc>
        <w:tc>
          <w:tcPr>
            <w:tcW w:w="1318" w:type="dxa"/>
            <w:vMerge w:val="continue"/>
            <w:tcBorders>
              <w:top w:val="nil"/>
            </w:tcBorders>
            <w:vAlign w:val="top"/>
          </w:tcPr>
          <w:p w14:paraId="7342A8B0">
            <w:pPr>
              <w:rPr>
                <w:rFonts w:ascii="Arial"/>
                <w:sz w:val="21"/>
              </w:rPr>
            </w:pPr>
          </w:p>
        </w:tc>
        <w:tc>
          <w:tcPr>
            <w:tcW w:w="766" w:type="dxa"/>
            <w:vAlign w:val="top"/>
          </w:tcPr>
          <w:p w14:paraId="40537BCC">
            <w:pPr>
              <w:pStyle w:val="6"/>
              <w:spacing w:before="32" w:line="228" w:lineRule="auto"/>
              <w:ind w:left="114"/>
            </w:pPr>
            <w:r>
              <w:rPr>
                <w:spacing w:val="4"/>
              </w:rPr>
              <w:t>类似</w:t>
            </w:r>
          </w:p>
          <w:p w14:paraId="2B9D6064">
            <w:pPr>
              <w:pStyle w:val="6"/>
              <w:spacing w:before="27" w:line="228" w:lineRule="auto"/>
              <w:ind w:left="117"/>
            </w:pPr>
            <w:r>
              <w:rPr>
                <w:spacing w:val="3"/>
              </w:rPr>
              <w:t>项目</w:t>
            </w:r>
          </w:p>
          <w:p w14:paraId="201072DA">
            <w:pPr>
              <w:pStyle w:val="6"/>
              <w:spacing w:before="23" w:line="216" w:lineRule="auto"/>
              <w:ind w:left="113"/>
            </w:pPr>
            <w:r>
              <w:rPr>
                <w:spacing w:val="5"/>
              </w:rPr>
              <w:t>业绩</w:t>
            </w:r>
          </w:p>
        </w:tc>
        <w:tc>
          <w:tcPr>
            <w:tcW w:w="735" w:type="dxa"/>
            <w:vAlign w:val="top"/>
          </w:tcPr>
          <w:p w14:paraId="1E6F657B">
            <w:pPr>
              <w:rPr>
                <w:rFonts w:ascii="Arial"/>
                <w:sz w:val="21"/>
              </w:rPr>
            </w:pPr>
          </w:p>
          <w:p w14:paraId="4EAA6ACC">
            <w:pPr>
              <w:pStyle w:val="6"/>
              <w:spacing w:before="65" w:line="228" w:lineRule="auto"/>
              <w:ind w:left="191"/>
            </w:pPr>
            <w:r>
              <w:rPr>
                <w:spacing w:val="-4"/>
              </w:rPr>
              <w:t>2</w:t>
            </w:r>
            <w:r>
              <w:rPr>
                <w:spacing w:val="-35"/>
              </w:rPr>
              <w:t xml:space="preserve"> </w:t>
            </w:r>
            <w:r>
              <w:rPr>
                <w:spacing w:val="-4"/>
              </w:rPr>
              <w:t>分</w:t>
            </w:r>
          </w:p>
        </w:tc>
        <w:tc>
          <w:tcPr>
            <w:tcW w:w="4562" w:type="dxa"/>
            <w:vAlign w:val="top"/>
          </w:tcPr>
          <w:p w14:paraId="3D2C9292">
            <w:pPr>
              <w:pStyle w:val="6"/>
              <w:spacing w:before="305" w:line="228" w:lineRule="auto"/>
              <w:ind w:left="137"/>
            </w:pPr>
            <w:r>
              <w:rPr>
                <w:spacing w:val="5"/>
              </w:rPr>
              <w:t>以项目经理身份主持过</w:t>
            </w:r>
            <w:r>
              <w:rPr>
                <w:spacing w:val="-21"/>
              </w:rPr>
              <w:t xml:space="preserve"> </w:t>
            </w:r>
            <w:r>
              <w:rPr>
                <w:spacing w:val="5"/>
              </w:rPr>
              <w:t>1</w:t>
            </w:r>
            <w:r>
              <w:rPr>
                <w:spacing w:val="-38"/>
              </w:rPr>
              <w:t xml:space="preserve"> </w:t>
            </w:r>
            <w:r>
              <w:rPr>
                <w:spacing w:val="5"/>
              </w:rPr>
              <w:t>个类似项目    2</w:t>
            </w:r>
            <w:r>
              <w:rPr>
                <w:spacing w:val="-35"/>
              </w:rPr>
              <w:t xml:space="preserve"> </w:t>
            </w:r>
            <w:r>
              <w:rPr>
                <w:spacing w:val="5"/>
              </w:rPr>
              <w:t>分</w:t>
            </w:r>
          </w:p>
        </w:tc>
      </w:tr>
      <w:tr w14:paraId="0FC50E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640DC5DF">
            <w:pPr>
              <w:rPr>
                <w:rFonts w:ascii="Arial"/>
                <w:sz w:val="21"/>
              </w:rPr>
            </w:pPr>
          </w:p>
        </w:tc>
        <w:tc>
          <w:tcPr>
            <w:tcW w:w="1058" w:type="dxa"/>
            <w:vMerge w:val="continue"/>
            <w:tcBorders>
              <w:top w:val="nil"/>
              <w:bottom w:val="nil"/>
            </w:tcBorders>
            <w:vAlign w:val="top"/>
          </w:tcPr>
          <w:p w14:paraId="779C0361">
            <w:pPr>
              <w:rPr>
                <w:rFonts w:ascii="Arial"/>
                <w:sz w:val="21"/>
              </w:rPr>
            </w:pPr>
          </w:p>
        </w:tc>
        <w:tc>
          <w:tcPr>
            <w:tcW w:w="1318" w:type="dxa"/>
            <w:vMerge w:val="restart"/>
            <w:tcBorders>
              <w:bottom w:val="nil"/>
            </w:tcBorders>
            <w:vAlign w:val="top"/>
          </w:tcPr>
          <w:p w14:paraId="26294593">
            <w:pPr>
              <w:spacing w:line="324" w:lineRule="auto"/>
              <w:rPr>
                <w:rFonts w:ascii="Arial"/>
                <w:sz w:val="21"/>
              </w:rPr>
            </w:pPr>
          </w:p>
          <w:p w14:paraId="12D79DD4">
            <w:pPr>
              <w:spacing w:line="325" w:lineRule="auto"/>
              <w:rPr>
                <w:rFonts w:ascii="Arial"/>
                <w:sz w:val="21"/>
              </w:rPr>
            </w:pPr>
          </w:p>
          <w:p w14:paraId="350075B4">
            <w:pPr>
              <w:pStyle w:val="6"/>
              <w:spacing w:before="65" w:line="254" w:lineRule="auto"/>
              <w:ind w:left="121" w:right="159" w:hanging="8"/>
            </w:pPr>
            <w:r>
              <w:rPr>
                <w:spacing w:val="7"/>
              </w:rPr>
              <w:t>技术负责人</w:t>
            </w:r>
            <w:r>
              <w:rPr>
                <w:spacing w:val="6"/>
              </w:rPr>
              <w:t>资格与业绩</w:t>
            </w:r>
          </w:p>
        </w:tc>
        <w:tc>
          <w:tcPr>
            <w:tcW w:w="766" w:type="dxa"/>
            <w:vAlign w:val="top"/>
          </w:tcPr>
          <w:p w14:paraId="341C1798">
            <w:pPr>
              <w:pStyle w:val="6"/>
              <w:spacing w:before="305" w:line="230" w:lineRule="auto"/>
              <w:ind w:left="115"/>
            </w:pPr>
            <w:r>
              <w:rPr>
                <w:spacing w:val="4"/>
              </w:rPr>
              <w:t>职称</w:t>
            </w:r>
          </w:p>
        </w:tc>
        <w:tc>
          <w:tcPr>
            <w:tcW w:w="735" w:type="dxa"/>
            <w:vAlign w:val="top"/>
          </w:tcPr>
          <w:p w14:paraId="22AB4C6B">
            <w:pPr>
              <w:pStyle w:val="6"/>
              <w:spacing w:before="306" w:line="228" w:lineRule="auto"/>
              <w:ind w:left="204"/>
            </w:pPr>
            <w:r>
              <w:rPr>
                <w:spacing w:val="-10"/>
              </w:rPr>
              <w:t>1</w:t>
            </w:r>
            <w:r>
              <w:rPr>
                <w:spacing w:val="-36"/>
              </w:rPr>
              <w:t xml:space="preserve"> </w:t>
            </w:r>
            <w:r>
              <w:rPr>
                <w:spacing w:val="-10"/>
              </w:rPr>
              <w:t>分</w:t>
            </w:r>
          </w:p>
        </w:tc>
        <w:tc>
          <w:tcPr>
            <w:tcW w:w="4562" w:type="dxa"/>
            <w:vAlign w:val="top"/>
          </w:tcPr>
          <w:p w14:paraId="4A00EA26">
            <w:pPr>
              <w:pStyle w:val="6"/>
              <w:spacing w:before="34"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33964B2E">
            <w:pPr>
              <w:pStyle w:val="6"/>
              <w:spacing w:before="23" w:line="234"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291FA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6BC56308">
            <w:pPr>
              <w:rPr>
                <w:rFonts w:ascii="Arial"/>
                <w:sz w:val="21"/>
              </w:rPr>
            </w:pPr>
          </w:p>
        </w:tc>
        <w:tc>
          <w:tcPr>
            <w:tcW w:w="1058" w:type="dxa"/>
            <w:vMerge w:val="continue"/>
            <w:tcBorders>
              <w:top w:val="nil"/>
              <w:bottom w:val="nil"/>
            </w:tcBorders>
            <w:vAlign w:val="top"/>
          </w:tcPr>
          <w:p w14:paraId="20D0A7C0">
            <w:pPr>
              <w:rPr>
                <w:rFonts w:ascii="Arial"/>
                <w:sz w:val="21"/>
              </w:rPr>
            </w:pPr>
          </w:p>
        </w:tc>
        <w:tc>
          <w:tcPr>
            <w:tcW w:w="1318" w:type="dxa"/>
            <w:vMerge w:val="continue"/>
            <w:tcBorders>
              <w:top w:val="nil"/>
            </w:tcBorders>
            <w:vAlign w:val="top"/>
          </w:tcPr>
          <w:p w14:paraId="3F3072D2">
            <w:pPr>
              <w:rPr>
                <w:rFonts w:ascii="Arial"/>
                <w:sz w:val="21"/>
              </w:rPr>
            </w:pPr>
          </w:p>
        </w:tc>
        <w:tc>
          <w:tcPr>
            <w:tcW w:w="766" w:type="dxa"/>
            <w:vAlign w:val="top"/>
          </w:tcPr>
          <w:p w14:paraId="16F59A3A">
            <w:pPr>
              <w:pStyle w:val="6"/>
              <w:spacing w:before="33" w:line="228" w:lineRule="auto"/>
              <w:ind w:left="117"/>
            </w:pPr>
            <w:r>
              <w:rPr>
                <w:spacing w:val="3"/>
              </w:rPr>
              <w:t>从事</w:t>
            </w:r>
          </w:p>
          <w:p w14:paraId="6950E034">
            <w:pPr>
              <w:pStyle w:val="6"/>
              <w:spacing w:before="26" w:line="228" w:lineRule="auto"/>
              <w:ind w:left="115"/>
            </w:pPr>
            <w:r>
              <w:rPr>
                <w:spacing w:val="4"/>
              </w:rPr>
              <w:t>专业</w:t>
            </w:r>
          </w:p>
          <w:p w14:paraId="0E4B8E4C">
            <w:pPr>
              <w:pStyle w:val="6"/>
              <w:spacing w:before="24" w:line="228" w:lineRule="auto"/>
              <w:ind w:left="117"/>
            </w:pPr>
            <w:r>
              <w:rPr>
                <w:spacing w:val="3"/>
              </w:rPr>
              <w:t>工作</w:t>
            </w:r>
          </w:p>
          <w:p w14:paraId="0465EE8E">
            <w:pPr>
              <w:pStyle w:val="6"/>
              <w:spacing w:before="25" w:line="214" w:lineRule="auto"/>
              <w:ind w:left="115"/>
            </w:pPr>
            <w:r>
              <w:rPr>
                <w:spacing w:val="4"/>
              </w:rPr>
              <w:t>年限</w:t>
            </w:r>
          </w:p>
        </w:tc>
        <w:tc>
          <w:tcPr>
            <w:tcW w:w="735" w:type="dxa"/>
            <w:vAlign w:val="top"/>
          </w:tcPr>
          <w:p w14:paraId="35914062">
            <w:pPr>
              <w:spacing w:line="374" w:lineRule="auto"/>
              <w:rPr>
                <w:rFonts w:ascii="Arial"/>
                <w:sz w:val="21"/>
              </w:rPr>
            </w:pPr>
          </w:p>
          <w:p w14:paraId="50FBD6E5">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0C894B53">
            <w:pPr>
              <w:pStyle w:val="6"/>
              <w:spacing w:before="32"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06F5567E">
            <w:pPr>
              <w:pStyle w:val="6"/>
              <w:spacing w:before="26"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7803B808">
            <w:pPr>
              <w:pStyle w:val="6"/>
              <w:spacing w:before="24"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0720EC01">
            <w:pPr>
              <w:pStyle w:val="6"/>
              <w:spacing w:before="26" w:line="214"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7A427B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3" w:hRule="atLeast"/>
        </w:trPr>
        <w:tc>
          <w:tcPr>
            <w:tcW w:w="745" w:type="dxa"/>
            <w:vMerge w:val="continue"/>
            <w:tcBorders>
              <w:top w:val="nil"/>
            </w:tcBorders>
            <w:vAlign w:val="top"/>
          </w:tcPr>
          <w:p w14:paraId="6EEE0B99">
            <w:pPr>
              <w:rPr>
                <w:rFonts w:ascii="Arial"/>
                <w:sz w:val="21"/>
              </w:rPr>
            </w:pPr>
          </w:p>
        </w:tc>
        <w:tc>
          <w:tcPr>
            <w:tcW w:w="1058" w:type="dxa"/>
            <w:vMerge w:val="continue"/>
            <w:tcBorders>
              <w:top w:val="nil"/>
            </w:tcBorders>
            <w:vAlign w:val="top"/>
          </w:tcPr>
          <w:p w14:paraId="7ED021A7">
            <w:pPr>
              <w:rPr>
                <w:rFonts w:ascii="Arial"/>
                <w:sz w:val="21"/>
              </w:rPr>
            </w:pPr>
          </w:p>
        </w:tc>
        <w:tc>
          <w:tcPr>
            <w:tcW w:w="2084" w:type="dxa"/>
            <w:gridSpan w:val="2"/>
            <w:vAlign w:val="top"/>
          </w:tcPr>
          <w:p w14:paraId="0DD64F0A">
            <w:pPr>
              <w:pStyle w:val="6"/>
              <w:spacing w:before="253" w:line="228" w:lineRule="auto"/>
              <w:ind w:left="113"/>
            </w:pPr>
            <w:r>
              <w:rPr>
                <w:spacing w:val="8"/>
              </w:rPr>
              <w:t>其他主要人员</w:t>
            </w:r>
          </w:p>
        </w:tc>
        <w:tc>
          <w:tcPr>
            <w:tcW w:w="735" w:type="dxa"/>
            <w:vAlign w:val="top"/>
          </w:tcPr>
          <w:p w14:paraId="76C2EBBF">
            <w:pPr>
              <w:pStyle w:val="6"/>
              <w:spacing w:before="253" w:line="228" w:lineRule="auto"/>
              <w:ind w:left="191"/>
            </w:pPr>
            <w:r>
              <w:rPr>
                <w:spacing w:val="-4"/>
              </w:rPr>
              <w:t>2</w:t>
            </w:r>
            <w:r>
              <w:rPr>
                <w:spacing w:val="-35"/>
              </w:rPr>
              <w:t xml:space="preserve"> </w:t>
            </w:r>
            <w:r>
              <w:rPr>
                <w:spacing w:val="-4"/>
              </w:rPr>
              <w:t>分</w:t>
            </w:r>
          </w:p>
        </w:tc>
        <w:tc>
          <w:tcPr>
            <w:tcW w:w="4562" w:type="dxa"/>
            <w:vAlign w:val="top"/>
          </w:tcPr>
          <w:p w14:paraId="2C75B7EE">
            <w:pPr>
              <w:pStyle w:val="6"/>
              <w:spacing w:before="115" w:line="228" w:lineRule="auto"/>
              <w:ind w:left="115"/>
            </w:pPr>
            <w:r>
              <w:rPr>
                <w:spacing w:val="6"/>
              </w:rPr>
              <w:t>人员配备合理，满足需要              2</w:t>
            </w:r>
            <w:r>
              <w:rPr>
                <w:spacing w:val="-24"/>
              </w:rPr>
              <w:t xml:space="preserve"> </w:t>
            </w:r>
            <w:r>
              <w:rPr>
                <w:spacing w:val="6"/>
              </w:rPr>
              <w:t>分</w:t>
            </w:r>
          </w:p>
          <w:p w14:paraId="517C1296">
            <w:pPr>
              <w:pStyle w:val="6"/>
              <w:spacing w:before="24" w:line="228" w:lineRule="auto"/>
              <w:ind w:left="115"/>
            </w:pPr>
            <w:r>
              <w:rPr>
                <w:spacing w:val="5"/>
              </w:rPr>
              <w:t>人员配备不合理</w:t>
            </w:r>
            <w:r>
              <w:rPr>
                <w:spacing w:val="1"/>
              </w:rPr>
              <w:t xml:space="preserve">                       </w:t>
            </w:r>
            <w:r>
              <w:rPr>
                <w:spacing w:val="5"/>
              </w:rPr>
              <w:t>0</w:t>
            </w:r>
            <w:r>
              <w:rPr>
                <w:spacing w:val="-30"/>
              </w:rPr>
              <w:t xml:space="preserve"> </w:t>
            </w:r>
            <w:r>
              <w:rPr>
                <w:spacing w:val="5"/>
              </w:rPr>
              <w:t>分</w:t>
            </w:r>
          </w:p>
        </w:tc>
      </w:tr>
      <w:tr w14:paraId="00946D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restart"/>
            <w:tcBorders>
              <w:bottom w:val="nil"/>
            </w:tcBorders>
            <w:vAlign w:val="top"/>
          </w:tcPr>
          <w:p w14:paraId="1E133398">
            <w:pPr>
              <w:spacing w:line="268" w:lineRule="auto"/>
              <w:rPr>
                <w:rFonts w:ascii="Arial"/>
                <w:sz w:val="21"/>
              </w:rPr>
            </w:pPr>
          </w:p>
          <w:p w14:paraId="7A3D5593">
            <w:pPr>
              <w:spacing w:line="268" w:lineRule="auto"/>
              <w:rPr>
                <w:rFonts w:ascii="Arial"/>
                <w:sz w:val="21"/>
              </w:rPr>
            </w:pPr>
          </w:p>
          <w:p w14:paraId="689C91AC">
            <w:pPr>
              <w:spacing w:line="268" w:lineRule="auto"/>
              <w:rPr>
                <w:rFonts w:ascii="Arial"/>
                <w:sz w:val="21"/>
              </w:rPr>
            </w:pPr>
          </w:p>
          <w:p w14:paraId="43830ABE">
            <w:pPr>
              <w:spacing w:line="269" w:lineRule="auto"/>
              <w:rPr>
                <w:rFonts w:ascii="Arial"/>
                <w:sz w:val="21"/>
              </w:rPr>
            </w:pPr>
          </w:p>
          <w:p w14:paraId="61D4B3EE">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3B786E57">
            <w:pPr>
              <w:pStyle w:val="6"/>
              <w:spacing w:before="216"/>
              <w:ind w:left="125"/>
            </w:pPr>
            <w:r>
              <w:rPr>
                <w:spacing w:val="-1"/>
              </w:rPr>
              <w:t>（</w:t>
            </w:r>
            <w:r>
              <w:rPr>
                <w:rFonts w:ascii="Times New Roman" w:hAnsi="Times New Roman" w:eastAsia="Times New Roman" w:cs="Times New Roman"/>
                <w:spacing w:val="-1"/>
              </w:rPr>
              <w:t>4</w:t>
            </w:r>
            <w:r>
              <w:rPr>
                <w:spacing w:val="-1"/>
              </w:rPr>
              <w:t>）</w:t>
            </w:r>
          </w:p>
        </w:tc>
        <w:tc>
          <w:tcPr>
            <w:tcW w:w="1058" w:type="dxa"/>
            <w:vMerge w:val="restart"/>
            <w:tcBorders>
              <w:bottom w:val="nil"/>
            </w:tcBorders>
            <w:vAlign w:val="top"/>
          </w:tcPr>
          <w:p w14:paraId="20819BF9">
            <w:pPr>
              <w:spacing w:line="264" w:lineRule="auto"/>
              <w:rPr>
                <w:rFonts w:ascii="Arial"/>
                <w:sz w:val="21"/>
              </w:rPr>
            </w:pPr>
          </w:p>
          <w:p w14:paraId="60AFCB36">
            <w:pPr>
              <w:spacing w:line="264" w:lineRule="auto"/>
              <w:rPr>
                <w:rFonts w:ascii="Arial"/>
                <w:sz w:val="21"/>
              </w:rPr>
            </w:pPr>
          </w:p>
          <w:p w14:paraId="1278B985">
            <w:pPr>
              <w:spacing w:line="264" w:lineRule="auto"/>
              <w:rPr>
                <w:rFonts w:ascii="Arial"/>
                <w:sz w:val="21"/>
              </w:rPr>
            </w:pPr>
          </w:p>
          <w:p w14:paraId="794E4A3B">
            <w:pPr>
              <w:spacing w:line="265" w:lineRule="auto"/>
              <w:rPr>
                <w:rFonts w:ascii="Arial"/>
                <w:sz w:val="21"/>
              </w:rPr>
            </w:pPr>
          </w:p>
          <w:p w14:paraId="412F1BFA">
            <w:pPr>
              <w:pStyle w:val="6"/>
              <w:spacing w:before="65" w:line="254" w:lineRule="auto"/>
              <w:ind w:left="111" w:right="111" w:firstLine="1"/>
            </w:pPr>
            <w:r>
              <w:rPr>
                <w:spacing w:val="7"/>
              </w:rPr>
              <w:t>其他因素评分标准</w:t>
            </w:r>
          </w:p>
        </w:tc>
        <w:tc>
          <w:tcPr>
            <w:tcW w:w="2084" w:type="dxa"/>
            <w:gridSpan w:val="2"/>
            <w:vAlign w:val="top"/>
          </w:tcPr>
          <w:p w14:paraId="11D3C29A">
            <w:pPr>
              <w:rPr>
                <w:rFonts w:ascii="Arial"/>
                <w:sz w:val="21"/>
              </w:rPr>
            </w:pPr>
          </w:p>
          <w:p w14:paraId="3E71BF8E">
            <w:pPr>
              <w:pStyle w:val="6"/>
              <w:spacing w:before="65" w:line="228" w:lineRule="auto"/>
              <w:ind w:left="112"/>
            </w:pPr>
            <w:r>
              <w:rPr>
                <w:spacing w:val="8"/>
              </w:rPr>
              <w:t>类似项目业绩</w:t>
            </w:r>
          </w:p>
        </w:tc>
        <w:tc>
          <w:tcPr>
            <w:tcW w:w="735" w:type="dxa"/>
            <w:vAlign w:val="top"/>
          </w:tcPr>
          <w:p w14:paraId="61066DC8">
            <w:pPr>
              <w:spacing w:line="241" w:lineRule="auto"/>
              <w:rPr>
                <w:rFonts w:ascii="Arial"/>
                <w:sz w:val="21"/>
              </w:rPr>
            </w:pPr>
          </w:p>
          <w:p w14:paraId="4F51F310">
            <w:pPr>
              <w:pStyle w:val="6"/>
              <w:spacing w:before="65" w:line="228" w:lineRule="auto"/>
              <w:ind w:left="187"/>
            </w:pPr>
            <w:r>
              <w:rPr>
                <w:spacing w:val="-2"/>
              </w:rPr>
              <w:t>4</w:t>
            </w:r>
            <w:r>
              <w:rPr>
                <w:spacing w:val="-36"/>
              </w:rPr>
              <w:t xml:space="preserve"> </w:t>
            </w:r>
            <w:r>
              <w:rPr>
                <w:spacing w:val="-2"/>
              </w:rPr>
              <w:t>分</w:t>
            </w:r>
          </w:p>
        </w:tc>
        <w:tc>
          <w:tcPr>
            <w:tcW w:w="4562" w:type="dxa"/>
            <w:vAlign w:val="top"/>
          </w:tcPr>
          <w:p w14:paraId="1F857893">
            <w:pPr>
              <w:pStyle w:val="6"/>
              <w:spacing w:before="36" w:line="228" w:lineRule="auto"/>
              <w:ind w:left="112"/>
            </w:pPr>
            <w:r>
              <w:rPr>
                <w:spacing w:val="2"/>
              </w:rPr>
              <w:t>近</w:t>
            </w:r>
            <w:r>
              <w:rPr>
                <w:spacing w:val="-24"/>
              </w:rPr>
              <w:t xml:space="preserve"> </w:t>
            </w:r>
            <w:r>
              <w:rPr>
                <w:spacing w:val="2"/>
              </w:rPr>
              <w:t>5</w:t>
            </w:r>
            <w:r>
              <w:rPr>
                <w:spacing w:val="-37"/>
              </w:rPr>
              <w:t xml:space="preserve"> </w:t>
            </w:r>
            <w:r>
              <w:rPr>
                <w:spacing w:val="2"/>
              </w:rPr>
              <w:t>年有</w:t>
            </w:r>
            <w:r>
              <w:rPr>
                <w:spacing w:val="-24"/>
              </w:rPr>
              <w:t xml:space="preserve"> </w:t>
            </w:r>
            <w:r>
              <w:rPr>
                <w:spacing w:val="2"/>
              </w:rPr>
              <w:t>1</w:t>
            </w:r>
            <w:r>
              <w:rPr>
                <w:spacing w:val="-38"/>
              </w:rPr>
              <w:t xml:space="preserve"> </w:t>
            </w:r>
            <w:r>
              <w:rPr>
                <w:spacing w:val="2"/>
              </w:rPr>
              <w:t>个类似项目业绩</w:t>
            </w:r>
            <w:r>
              <w:rPr>
                <w:spacing w:val="5"/>
              </w:rPr>
              <w:t xml:space="preserve">            </w:t>
            </w:r>
            <w:r>
              <w:rPr>
                <w:spacing w:val="2"/>
              </w:rPr>
              <w:t>2</w:t>
            </w:r>
            <w:r>
              <w:rPr>
                <w:spacing w:val="-25"/>
              </w:rPr>
              <w:t xml:space="preserve"> </w:t>
            </w:r>
            <w:r>
              <w:rPr>
                <w:spacing w:val="2"/>
              </w:rPr>
              <w:t>分</w:t>
            </w:r>
          </w:p>
          <w:p w14:paraId="686D8258">
            <w:pPr>
              <w:pStyle w:val="6"/>
              <w:spacing w:before="24" w:line="228" w:lineRule="auto"/>
              <w:ind w:left="112"/>
            </w:pPr>
            <w:r>
              <w:rPr>
                <w:spacing w:val="3"/>
              </w:rPr>
              <w:t>近</w:t>
            </w:r>
            <w:r>
              <w:rPr>
                <w:spacing w:val="-27"/>
              </w:rPr>
              <w:t xml:space="preserve"> </w:t>
            </w:r>
            <w:r>
              <w:rPr>
                <w:spacing w:val="3"/>
              </w:rPr>
              <w:t>5</w:t>
            </w:r>
            <w:r>
              <w:rPr>
                <w:spacing w:val="-37"/>
              </w:rPr>
              <w:t xml:space="preserve"> </w:t>
            </w:r>
            <w:r>
              <w:rPr>
                <w:spacing w:val="3"/>
              </w:rPr>
              <w:t>年有</w:t>
            </w:r>
            <w:r>
              <w:rPr>
                <w:spacing w:val="-37"/>
              </w:rPr>
              <w:t xml:space="preserve"> </w:t>
            </w:r>
            <w:r>
              <w:rPr>
                <w:spacing w:val="3"/>
              </w:rPr>
              <w:t>2</w:t>
            </w:r>
            <w:r>
              <w:rPr>
                <w:spacing w:val="-37"/>
              </w:rPr>
              <w:t xml:space="preserve"> </w:t>
            </w:r>
            <w:r>
              <w:rPr>
                <w:spacing w:val="3"/>
              </w:rPr>
              <w:t>个类似项目业绩</w:t>
            </w:r>
            <w:r>
              <w:rPr>
                <w:spacing w:val="6"/>
              </w:rPr>
              <w:t xml:space="preserve">            </w:t>
            </w:r>
            <w:r>
              <w:rPr>
                <w:spacing w:val="3"/>
              </w:rPr>
              <w:t>3</w:t>
            </w:r>
            <w:r>
              <w:rPr>
                <w:spacing w:val="-36"/>
              </w:rPr>
              <w:t xml:space="preserve"> </w:t>
            </w:r>
            <w:r>
              <w:rPr>
                <w:spacing w:val="3"/>
              </w:rPr>
              <w:t>分</w:t>
            </w:r>
          </w:p>
          <w:p w14:paraId="44505C38">
            <w:pPr>
              <w:pStyle w:val="6"/>
              <w:spacing w:before="24" w:line="215" w:lineRule="auto"/>
              <w:ind w:left="112"/>
            </w:pPr>
            <w:r>
              <w:rPr>
                <w:spacing w:val="3"/>
              </w:rPr>
              <w:t>近</w:t>
            </w:r>
            <w:r>
              <w:rPr>
                <w:spacing w:val="-23"/>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5"/>
              </w:rPr>
              <w:t xml:space="preserve">            </w:t>
            </w:r>
            <w:r>
              <w:rPr>
                <w:spacing w:val="3"/>
              </w:rPr>
              <w:t>4</w:t>
            </w:r>
            <w:r>
              <w:rPr>
                <w:spacing w:val="-29"/>
              </w:rPr>
              <w:t xml:space="preserve"> </w:t>
            </w:r>
            <w:r>
              <w:rPr>
                <w:spacing w:val="3"/>
              </w:rPr>
              <w:t>分</w:t>
            </w:r>
          </w:p>
        </w:tc>
      </w:tr>
      <w:tr w14:paraId="5180A9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5" w:hRule="atLeast"/>
        </w:trPr>
        <w:tc>
          <w:tcPr>
            <w:tcW w:w="745" w:type="dxa"/>
            <w:vMerge w:val="continue"/>
            <w:tcBorders>
              <w:top w:val="nil"/>
            </w:tcBorders>
            <w:vAlign w:val="top"/>
          </w:tcPr>
          <w:p w14:paraId="36EA1347">
            <w:pPr>
              <w:rPr>
                <w:rFonts w:ascii="Arial"/>
                <w:sz w:val="21"/>
              </w:rPr>
            </w:pPr>
          </w:p>
        </w:tc>
        <w:tc>
          <w:tcPr>
            <w:tcW w:w="1058" w:type="dxa"/>
            <w:vMerge w:val="continue"/>
            <w:tcBorders>
              <w:top w:val="nil"/>
            </w:tcBorders>
            <w:vAlign w:val="top"/>
          </w:tcPr>
          <w:p w14:paraId="05A4D605">
            <w:pPr>
              <w:rPr>
                <w:rFonts w:ascii="Arial"/>
                <w:sz w:val="21"/>
              </w:rPr>
            </w:pPr>
          </w:p>
        </w:tc>
        <w:tc>
          <w:tcPr>
            <w:tcW w:w="2084" w:type="dxa"/>
            <w:gridSpan w:val="2"/>
            <w:vAlign w:val="top"/>
          </w:tcPr>
          <w:p w14:paraId="5C3D6905">
            <w:pPr>
              <w:spacing w:line="359" w:lineRule="auto"/>
              <w:rPr>
                <w:rFonts w:ascii="Arial"/>
                <w:sz w:val="21"/>
              </w:rPr>
            </w:pPr>
          </w:p>
          <w:p w14:paraId="43C9538D">
            <w:pPr>
              <w:spacing w:line="360" w:lineRule="auto"/>
              <w:rPr>
                <w:rFonts w:ascii="Arial"/>
                <w:sz w:val="21"/>
              </w:rPr>
            </w:pPr>
          </w:p>
          <w:p w14:paraId="31569855">
            <w:pPr>
              <w:pStyle w:val="6"/>
              <w:spacing w:before="65" w:line="229" w:lineRule="auto"/>
              <w:ind w:left="112"/>
            </w:pPr>
            <w:r>
              <w:rPr>
                <w:spacing w:val="7"/>
              </w:rPr>
              <w:t>认证体系</w:t>
            </w:r>
          </w:p>
        </w:tc>
        <w:tc>
          <w:tcPr>
            <w:tcW w:w="735" w:type="dxa"/>
            <w:vAlign w:val="top"/>
          </w:tcPr>
          <w:p w14:paraId="64FCA256">
            <w:pPr>
              <w:spacing w:line="260" w:lineRule="auto"/>
              <w:rPr>
                <w:rFonts w:ascii="Arial"/>
                <w:sz w:val="21"/>
              </w:rPr>
            </w:pPr>
          </w:p>
          <w:p w14:paraId="7672D148">
            <w:pPr>
              <w:spacing w:line="260" w:lineRule="auto"/>
              <w:rPr>
                <w:rFonts w:ascii="Arial"/>
                <w:sz w:val="21"/>
              </w:rPr>
            </w:pPr>
          </w:p>
          <w:p w14:paraId="030AF441">
            <w:pPr>
              <w:spacing w:line="261" w:lineRule="auto"/>
              <w:rPr>
                <w:rFonts w:ascii="Arial"/>
                <w:sz w:val="21"/>
              </w:rPr>
            </w:pPr>
          </w:p>
          <w:p w14:paraId="7605E76B">
            <w:pPr>
              <w:pStyle w:val="6"/>
              <w:spacing w:before="65" w:line="228" w:lineRule="auto"/>
              <w:ind w:left="187"/>
            </w:pPr>
            <w:r>
              <w:rPr>
                <w:spacing w:val="-2"/>
              </w:rPr>
              <w:t>4</w:t>
            </w:r>
            <w:r>
              <w:rPr>
                <w:spacing w:val="-36"/>
              </w:rPr>
              <w:t xml:space="preserve"> </w:t>
            </w:r>
            <w:r>
              <w:rPr>
                <w:spacing w:val="-2"/>
              </w:rPr>
              <w:t>分</w:t>
            </w:r>
          </w:p>
        </w:tc>
        <w:tc>
          <w:tcPr>
            <w:tcW w:w="4562" w:type="dxa"/>
            <w:vAlign w:val="top"/>
          </w:tcPr>
          <w:p w14:paraId="33C03FBD">
            <w:pPr>
              <w:pStyle w:val="6"/>
              <w:spacing w:before="35" w:line="251" w:lineRule="auto"/>
              <w:ind w:left="117" w:right="107"/>
            </w:pPr>
            <w:r>
              <w:rPr>
                <w:spacing w:val="8"/>
              </w:rPr>
              <w:t>具有有效的</w:t>
            </w:r>
            <w:r>
              <w:rPr>
                <w:spacing w:val="-31"/>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w:t>
            </w:r>
            <w:r>
              <w:rPr>
                <w:spacing w:val="5"/>
              </w:rPr>
              <w:t>系认证证书，2</w:t>
            </w:r>
            <w:r>
              <w:rPr>
                <w:spacing w:val="-31"/>
              </w:rPr>
              <w:t xml:space="preserve"> </w:t>
            </w:r>
            <w:r>
              <w:rPr>
                <w:spacing w:val="5"/>
              </w:rPr>
              <w:t>分；</w:t>
            </w:r>
          </w:p>
          <w:p w14:paraId="391D42C0">
            <w:pPr>
              <w:pStyle w:val="6"/>
              <w:spacing w:before="1" w:line="251" w:lineRule="auto"/>
              <w:ind w:left="113" w:right="109" w:firstLine="4"/>
            </w:pPr>
            <w:r>
              <w:rPr>
                <w:spacing w:val="7"/>
              </w:rPr>
              <w:t>具有有效的</w:t>
            </w:r>
            <w:r>
              <w:rPr>
                <w:spacing w:val="-43"/>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5"/>
              </w:rPr>
              <w:t xml:space="preserve"> </w:t>
            </w:r>
            <w:r>
              <w:rPr>
                <w:spacing w:val="7"/>
              </w:rPr>
              <w:t>环境管理</w:t>
            </w:r>
            <w:r>
              <w:rPr>
                <w:spacing w:val="6"/>
              </w:rPr>
              <w:t>体系认证证书，1</w:t>
            </w:r>
            <w:r>
              <w:rPr>
                <w:spacing w:val="-33"/>
              </w:rPr>
              <w:t xml:space="preserve"> </w:t>
            </w:r>
            <w:r>
              <w:rPr>
                <w:spacing w:val="6"/>
              </w:rPr>
              <w:t>分；</w:t>
            </w:r>
          </w:p>
          <w:p w14:paraId="5A3AE03F">
            <w:pPr>
              <w:pStyle w:val="6"/>
              <w:ind w:left="117" w:right="107"/>
            </w:pPr>
            <w:r>
              <w:rPr>
                <w:spacing w:val="4"/>
              </w:rPr>
              <w:t>具 有 有 效</w:t>
            </w:r>
            <w:r>
              <w:rPr>
                <w:spacing w:val="41"/>
              </w:rPr>
              <w:t xml:space="preserve"> </w:t>
            </w:r>
            <w:r>
              <w:rPr>
                <w:spacing w:val="4"/>
              </w:rPr>
              <w:t>的</w:t>
            </w:r>
            <w:r>
              <w:rPr>
                <w:spacing w:val="59"/>
              </w:rPr>
              <w:t xml:space="preserve"> </w:t>
            </w:r>
            <w:r>
              <w:rPr>
                <w:rFonts w:ascii="Times New Roman" w:hAnsi="Times New Roman" w:eastAsia="Times New Roman" w:cs="Times New Roman"/>
              </w:rPr>
              <w:t>ISO</w:t>
            </w:r>
            <w:r>
              <w:rPr>
                <w:rFonts w:ascii="Times New Roman" w:hAnsi="Times New Roman" w:eastAsia="Times New Roman" w:cs="Times New Roman"/>
                <w:spacing w:val="4"/>
              </w:rPr>
              <w:t xml:space="preserve">45001   </w:t>
            </w:r>
            <w:r>
              <w:rPr>
                <w:spacing w:val="4"/>
              </w:rPr>
              <w:t xml:space="preserve">或   </w:t>
            </w:r>
            <w:r>
              <w:rPr>
                <w:rFonts w:ascii="Times New Roman" w:hAnsi="Times New Roman" w:eastAsia="Times New Roman" w:cs="Times New Roman"/>
              </w:rPr>
              <w:t>OHSAS</w:t>
            </w:r>
            <w:r>
              <w:rPr>
                <w:rFonts w:ascii="Times New Roman" w:hAnsi="Times New Roman" w:eastAsia="Times New Roman" w:cs="Times New Roman"/>
                <w:spacing w:val="4"/>
              </w:rPr>
              <w:t>18001</w:t>
            </w:r>
            <w:r>
              <w:rPr>
                <w:rFonts w:ascii="Times New Roman" w:hAnsi="Times New Roman" w:eastAsia="Times New Roman" w:cs="Times New Roman"/>
                <w:spacing w:val="1"/>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/T28001</w:t>
            </w:r>
            <w:r>
              <w:rPr>
                <w:spacing w:val="10"/>
              </w:rPr>
              <w:t>）</w:t>
            </w:r>
            <w:r>
              <w:rPr>
                <w:spacing w:val="55"/>
              </w:rPr>
              <w:t xml:space="preserve"> </w:t>
            </w:r>
            <w:r>
              <w:rPr>
                <w:spacing w:val="10"/>
              </w:rPr>
              <w:t>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bl>
    <w:p w14:paraId="719CE908">
      <w:pPr>
        <w:spacing w:before="301" w:line="252" w:lineRule="auto"/>
        <w:ind w:left="643" w:right="190" w:hanging="628"/>
        <w:rPr>
          <w:rFonts w:ascii="宋体" w:hAnsi="宋体" w:eastAsia="宋体" w:cs="宋体"/>
          <w:sz w:val="20"/>
          <w:szCs w:val="20"/>
        </w:rPr>
      </w:pPr>
      <w:r>
        <w:rPr>
          <w:rFonts w:ascii="宋体" w:hAnsi="宋体" w:eastAsia="宋体" w:cs="宋体"/>
          <w:spacing w:val="1"/>
          <w:sz w:val="20"/>
          <w:szCs w:val="20"/>
        </w:rPr>
        <w:t>备注：</w:t>
      </w:r>
      <w:r>
        <w:rPr>
          <w:rFonts w:ascii="宋体" w:hAnsi="宋体" w:eastAsia="宋体" w:cs="宋体"/>
          <w:spacing w:val="-29"/>
          <w:sz w:val="20"/>
          <w:szCs w:val="20"/>
        </w:rPr>
        <w:t xml:space="preserve"> </w:t>
      </w:r>
      <w:r>
        <w:rPr>
          <w:rFonts w:ascii="宋体" w:hAnsi="宋体" w:eastAsia="宋体" w:cs="宋体"/>
          <w:spacing w:val="1"/>
          <w:sz w:val="20"/>
          <w:szCs w:val="20"/>
        </w:rPr>
        <w:t>根据《关于建立部分专业技术类职业资格与职称对应关系的通知（鄂人社发〔</w:t>
      </w:r>
      <w:r>
        <w:rPr>
          <w:rFonts w:ascii="Times New Roman" w:hAnsi="Times New Roman" w:eastAsia="Times New Roman" w:cs="Times New Roman"/>
          <w:spacing w:val="1"/>
          <w:sz w:val="20"/>
          <w:szCs w:val="20"/>
        </w:rPr>
        <w:t>2018</w:t>
      </w:r>
      <w:r>
        <w:rPr>
          <w:rFonts w:ascii="宋体" w:hAnsi="宋体" w:eastAsia="宋体" w:cs="宋体"/>
          <w:spacing w:val="1"/>
          <w:sz w:val="20"/>
          <w:szCs w:val="20"/>
        </w:rPr>
        <w:t>〕</w:t>
      </w:r>
      <w:r>
        <w:rPr>
          <w:rFonts w:ascii="Times New Roman" w:hAnsi="Times New Roman" w:eastAsia="Times New Roman" w:cs="Times New Roman"/>
          <w:spacing w:val="1"/>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1"/>
          <w:sz w:val="20"/>
          <w:szCs w:val="20"/>
        </w:rPr>
        <w:t>号）》</w:t>
      </w:r>
      <w:r>
        <w:rPr>
          <w:rFonts w:ascii="宋体" w:hAnsi="宋体" w:eastAsia="宋体" w:cs="宋体"/>
          <w:sz w:val="20"/>
          <w:szCs w:val="20"/>
        </w:rPr>
        <w:t xml:space="preserve"> </w:t>
      </w:r>
      <w:r>
        <w:rPr>
          <w:rFonts w:ascii="宋体" w:hAnsi="宋体" w:eastAsia="宋体" w:cs="宋体"/>
          <w:spacing w:val="9"/>
          <w:sz w:val="20"/>
          <w:szCs w:val="20"/>
        </w:rPr>
        <w:t>《住房城乡建设部 交通运输部 水利部 人力资源社会保障部关于</w:t>
      </w:r>
      <w:r>
        <w:rPr>
          <w:rFonts w:ascii="宋体" w:hAnsi="宋体" w:eastAsia="宋体" w:cs="宋体"/>
          <w:spacing w:val="8"/>
          <w:sz w:val="20"/>
          <w:szCs w:val="20"/>
        </w:rPr>
        <w:t>印发〈造价工程师职业资</w:t>
      </w:r>
      <w:r>
        <w:rPr>
          <w:rFonts w:ascii="宋体" w:hAnsi="宋体" w:eastAsia="宋体" w:cs="宋体"/>
          <w:spacing w:val="2"/>
          <w:sz w:val="20"/>
          <w:szCs w:val="20"/>
        </w:rPr>
        <w:t>格制度规定〉〈造价工程师职业资格考试实施办法〉的通知（建人〔</w:t>
      </w:r>
      <w:r>
        <w:rPr>
          <w:rFonts w:ascii="Times New Roman" w:hAnsi="Times New Roman" w:eastAsia="Times New Roman" w:cs="Times New Roman"/>
          <w:spacing w:val="2"/>
          <w:sz w:val="20"/>
          <w:szCs w:val="20"/>
        </w:rPr>
        <w:t>2018</w:t>
      </w:r>
      <w:r>
        <w:rPr>
          <w:rFonts w:ascii="宋体" w:hAnsi="宋体" w:eastAsia="宋体" w:cs="宋体"/>
          <w:spacing w:val="2"/>
          <w:sz w:val="20"/>
          <w:szCs w:val="20"/>
        </w:rPr>
        <w:t>〕</w:t>
      </w:r>
      <w:r>
        <w:rPr>
          <w:rFonts w:ascii="Times New Roman" w:hAnsi="Times New Roman" w:eastAsia="Times New Roman" w:cs="Times New Roman"/>
          <w:spacing w:val="2"/>
          <w:sz w:val="20"/>
          <w:szCs w:val="20"/>
        </w:rPr>
        <w:t>67</w:t>
      </w:r>
      <w:r>
        <w:rPr>
          <w:rFonts w:ascii="Times New Roman" w:hAnsi="Times New Roman" w:eastAsia="Times New Roman" w:cs="Times New Roman"/>
          <w:spacing w:val="16"/>
          <w:sz w:val="20"/>
          <w:szCs w:val="20"/>
        </w:rPr>
        <w:t xml:space="preserve"> </w:t>
      </w:r>
      <w:r>
        <w:rPr>
          <w:rFonts w:ascii="宋体" w:hAnsi="宋体" w:eastAsia="宋体" w:cs="宋体"/>
          <w:spacing w:val="2"/>
          <w:sz w:val="20"/>
          <w:szCs w:val="20"/>
        </w:rPr>
        <w:t>号）》等文件，</w:t>
      </w:r>
      <w:r>
        <w:rPr>
          <w:rFonts w:ascii="宋体" w:hAnsi="宋体" w:eastAsia="宋体" w:cs="宋体"/>
          <w:spacing w:val="12"/>
          <w:sz w:val="20"/>
          <w:szCs w:val="20"/>
        </w:rPr>
        <w:t>一级造价工程师、一级注册建筑师、一级建造师、一级注册结构工</w:t>
      </w:r>
      <w:r>
        <w:rPr>
          <w:rFonts w:ascii="宋体" w:hAnsi="宋体" w:eastAsia="宋体" w:cs="宋体"/>
          <w:spacing w:val="11"/>
          <w:sz w:val="20"/>
          <w:szCs w:val="20"/>
        </w:rPr>
        <w:t>程师、其他勘察设计注</w:t>
      </w:r>
      <w:r>
        <w:rPr>
          <w:rFonts w:ascii="宋体" w:hAnsi="宋体" w:eastAsia="宋体" w:cs="宋体"/>
          <w:spacing w:val="12"/>
          <w:sz w:val="20"/>
          <w:szCs w:val="20"/>
        </w:rPr>
        <w:t>册工程师等，其职业资格直接对应相应系列的中级职称。二级造价师、二级注册建筑师、</w:t>
      </w:r>
      <w:r>
        <w:rPr>
          <w:rFonts w:ascii="宋体" w:hAnsi="宋体" w:eastAsia="宋体" w:cs="宋体"/>
          <w:spacing w:val="9"/>
          <w:sz w:val="20"/>
          <w:szCs w:val="20"/>
        </w:rPr>
        <w:t>二级建造师、二级注册结构工程师等，其职业资格直接对应相应系列的初级职称。</w:t>
      </w:r>
    </w:p>
    <w:p w14:paraId="24A380A1">
      <w:pPr>
        <w:spacing w:line="252" w:lineRule="auto"/>
        <w:rPr>
          <w:rFonts w:ascii="宋体" w:hAnsi="宋体" w:eastAsia="宋体" w:cs="宋体"/>
          <w:sz w:val="20"/>
          <w:szCs w:val="20"/>
        </w:rPr>
        <w:sectPr>
          <w:footerReference r:id="rId95" w:type="default"/>
          <w:pgSz w:w="11907" w:h="16840"/>
          <w:pgMar w:top="400" w:right="1248" w:bottom="1035" w:left="1469" w:header="0" w:footer="785" w:gutter="0"/>
          <w:cols w:space="720" w:num="1"/>
        </w:sectPr>
      </w:pPr>
    </w:p>
    <w:p w14:paraId="14334CE3">
      <w:pPr>
        <w:spacing w:line="276" w:lineRule="auto"/>
        <w:rPr>
          <w:rFonts w:ascii="Arial"/>
          <w:sz w:val="21"/>
        </w:rPr>
      </w:pPr>
    </w:p>
    <w:p w14:paraId="1A43A539">
      <w:pPr>
        <w:spacing w:line="276" w:lineRule="auto"/>
        <w:rPr>
          <w:rFonts w:ascii="Arial"/>
          <w:sz w:val="21"/>
        </w:rPr>
      </w:pPr>
    </w:p>
    <w:p w14:paraId="109501B0">
      <w:pPr>
        <w:spacing w:line="276" w:lineRule="auto"/>
        <w:rPr>
          <w:rFonts w:ascii="Arial"/>
          <w:sz w:val="21"/>
        </w:rPr>
      </w:pPr>
    </w:p>
    <w:p w14:paraId="18661125">
      <w:pPr>
        <w:spacing w:line="276" w:lineRule="auto"/>
        <w:rPr>
          <w:rFonts w:ascii="Arial"/>
          <w:sz w:val="21"/>
        </w:rPr>
      </w:pPr>
    </w:p>
    <w:p w14:paraId="2CEB702C">
      <w:pPr>
        <w:spacing w:line="276" w:lineRule="auto"/>
        <w:rPr>
          <w:rFonts w:ascii="Arial"/>
          <w:sz w:val="21"/>
        </w:rPr>
      </w:pPr>
    </w:p>
    <w:p w14:paraId="4C7917B8">
      <w:pPr>
        <w:pStyle w:val="2"/>
        <w:spacing w:before="91" w:line="222" w:lineRule="auto"/>
        <w:ind w:left="14"/>
        <w:outlineLvl w:val="1"/>
        <w:rPr>
          <w:sz w:val="28"/>
          <w:szCs w:val="28"/>
        </w:rPr>
      </w:pPr>
      <w:bookmarkStart w:id="104" w:name="bookmark95"/>
      <w:bookmarkEnd w:id="104"/>
      <w:r>
        <w:rPr>
          <w:spacing w:val="1"/>
          <w:sz w:val="28"/>
          <w:szCs w:val="28"/>
        </w:rPr>
        <w:t>评标办法前附表（办法七</w:t>
      </w:r>
      <w:r>
        <w:rPr>
          <w:spacing w:val="-55"/>
          <w:w w:val="89"/>
          <w:sz w:val="28"/>
          <w:szCs w:val="28"/>
        </w:rPr>
        <w:t>）（</w:t>
      </w:r>
      <w:r>
        <w:rPr>
          <w:spacing w:val="1"/>
          <w:sz w:val="28"/>
          <w:szCs w:val="28"/>
        </w:rPr>
        <w:t>合理低价法）</w:t>
      </w:r>
    </w:p>
    <w:p w14:paraId="0251F4ED">
      <w:pPr>
        <w:spacing w:before="105"/>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6BEE6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03" w:type="dxa"/>
            <w:gridSpan w:val="2"/>
            <w:vAlign w:val="top"/>
          </w:tcPr>
          <w:p w14:paraId="4225BCBD">
            <w:pPr>
              <w:pStyle w:val="6"/>
              <w:spacing w:before="124" w:line="228" w:lineRule="auto"/>
              <w:ind w:left="592"/>
            </w:pPr>
            <w:r>
              <w:rPr>
                <w:b/>
                <w:bCs/>
                <w:spacing w:val="5"/>
              </w:rPr>
              <w:t>条款号</w:t>
            </w:r>
          </w:p>
        </w:tc>
        <w:tc>
          <w:tcPr>
            <w:tcW w:w="2339" w:type="dxa"/>
            <w:vAlign w:val="top"/>
          </w:tcPr>
          <w:p w14:paraId="36FED143">
            <w:pPr>
              <w:pStyle w:val="6"/>
              <w:spacing w:before="124" w:line="228" w:lineRule="auto"/>
              <w:ind w:left="752"/>
            </w:pPr>
            <w:r>
              <w:rPr>
                <w:b/>
                <w:bCs/>
                <w:spacing w:val="6"/>
              </w:rPr>
              <w:t>评审因素</w:t>
            </w:r>
          </w:p>
        </w:tc>
        <w:tc>
          <w:tcPr>
            <w:tcW w:w="5042" w:type="dxa"/>
            <w:vAlign w:val="top"/>
          </w:tcPr>
          <w:p w14:paraId="2EBC0D13">
            <w:pPr>
              <w:pStyle w:val="6"/>
              <w:spacing w:before="125" w:line="228" w:lineRule="auto"/>
              <w:ind w:left="2102"/>
            </w:pPr>
            <w:r>
              <w:rPr>
                <w:b/>
                <w:bCs/>
                <w:spacing w:val="6"/>
              </w:rPr>
              <w:t>评审标准</w:t>
            </w:r>
          </w:p>
        </w:tc>
      </w:tr>
      <w:tr w14:paraId="5FED46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2F4E0F19">
            <w:pPr>
              <w:spacing w:line="258" w:lineRule="auto"/>
              <w:rPr>
                <w:rFonts w:ascii="Arial"/>
                <w:sz w:val="21"/>
              </w:rPr>
            </w:pPr>
          </w:p>
          <w:p w14:paraId="2AF699D2">
            <w:pPr>
              <w:spacing w:line="259" w:lineRule="auto"/>
              <w:rPr>
                <w:rFonts w:ascii="Arial"/>
                <w:sz w:val="21"/>
              </w:rPr>
            </w:pPr>
          </w:p>
          <w:p w14:paraId="52CAEB07">
            <w:pPr>
              <w:spacing w:line="259" w:lineRule="auto"/>
              <w:rPr>
                <w:rFonts w:ascii="Arial"/>
                <w:sz w:val="21"/>
              </w:rPr>
            </w:pPr>
          </w:p>
          <w:p w14:paraId="7E580B8B">
            <w:pPr>
              <w:spacing w:line="259" w:lineRule="auto"/>
              <w:rPr>
                <w:rFonts w:ascii="Arial"/>
                <w:sz w:val="21"/>
              </w:rPr>
            </w:pPr>
          </w:p>
          <w:p w14:paraId="7F0CC169">
            <w:pPr>
              <w:spacing w:line="259" w:lineRule="auto"/>
              <w:rPr>
                <w:rFonts w:ascii="Arial"/>
                <w:sz w:val="21"/>
              </w:rPr>
            </w:pPr>
          </w:p>
          <w:p w14:paraId="0916DB37">
            <w:pPr>
              <w:spacing w:line="259" w:lineRule="auto"/>
              <w:rPr>
                <w:rFonts w:ascii="Arial"/>
                <w:sz w:val="21"/>
              </w:rPr>
            </w:pPr>
          </w:p>
          <w:p w14:paraId="0739E0E8">
            <w:pPr>
              <w:spacing w:line="259" w:lineRule="auto"/>
              <w:rPr>
                <w:rFonts w:ascii="Arial"/>
                <w:sz w:val="21"/>
              </w:rPr>
            </w:pPr>
          </w:p>
          <w:p w14:paraId="0DE41421">
            <w:pPr>
              <w:spacing w:line="259" w:lineRule="auto"/>
              <w:rPr>
                <w:rFonts w:ascii="Arial"/>
                <w:sz w:val="21"/>
              </w:rPr>
            </w:pPr>
          </w:p>
          <w:p w14:paraId="19062760">
            <w:pPr>
              <w:spacing w:line="259" w:lineRule="auto"/>
              <w:rPr>
                <w:rFonts w:ascii="Arial"/>
                <w:sz w:val="21"/>
              </w:rPr>
            </w:pPr>
          </w:p>
          <w:p w14:paraId="359E277D">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2DF397FD">
            <w:pPr>
              <w:spacing w:line="244" w:lineRule="auto"/>
              <w:rPr>
                <w:rFonts w:ascii="Arial"/>
                <w:sz w:val="21"/>
              </w:rPr>
            </w:pPr>
          </w:p>
          <w:p w14:paraId="36B218E8">
            <w:pPr>
              <w:spacing w:line="245" w:lineRule="auto"/>
              <w:rPr>
                <w:rFonts w:ascii="Arial"/>
                <w:sz w:val="21"/>
              </w:rPr>
            </w:pPr>
          </w:p>
          <w:p w14:paraId="4B658CD0">
            <w:pPr>
              <w:spacing w:line="245" w:lineRule="auto"/>
              <w:rPr>
                <w:rFonts w:ascii="Arial"/>
                <w:sz w:val="21"/>
              </w:rPr>
            </w:pPr>
          </w:p>
          <w:p w14:paraId="6D846B3C">
            <w:pPr>
              <w:spacing w:line="245" w:lineRule="auto"/>
              <w:rPr>
                <w:rFonts w:ascii="Arial"/>
                <w:sz w:val="21"/>
              </w:rPr>
            </w:pPr>
          </w:p>
          <w:p w14:paraId="0E4619F7">
            <w:pPr>
              <w:spacing w:line="245" w:lineRule="auto"/>
              <w:rPr>
                <w:rFonts w:ascii="Arial"/>
                <w:sz w:val="21"/>
              </w:rPr>
            </w:pPr>
          </w:p>
          <w:p w14:paraId="30FA0375">
            <w:pPr>
              <w:spacing w:line="245" w:lineRule="auto"/>
              <w:rPr>
                <w:rFonts w:ascii="Arial"/>
                <w:sz w:val="21"/>
              </w:rPr>
            </w:pPr>
          </w:p>
          <w:p w14:paraId="565BE9DA">
            <w:pPr>
              <w:spacing w:line="245" w:lineRule="auto"/>
              <w:rPr>
                <w:rFonts w:ascii="Arial"/>
                <w:sz w:val="21"/>
              </w:rPr>
            </w:pPr>
          </w:p>
          <w:p w14:paraId="7FDA54FD">
            <w:pPr>
              <w:spacing w:line="245" w:lineRule="auto"/>
              <w:rPr>
                <w:rFonts w:ascii="Arial"/>
                <w:sz w:val="21"/>
              </w:rPr>
            </w:pPr>
          </w:p>
          <w:p w14:paraId="210DF2FA">
            <w:pPr>
              <w:pStyle w:val="6"/>
              <w:spacing w:before="65" w:line="252" w:lineRule="auto"/>
              <w:ind w:left="322" w:right="320" w:firstLine="3"/>
              <w:jc w:val="both"/>
            </w:pPr>
            <w:r>
              <w:rPr>
                <w:spacing w:val="3"/>
              </w:rPr>
              <w:t>形式</w:t>
            </w:r>
            <w:r>
              <w:rPr>
                <w:spacing w:val="5"/>
              </w:rPr>
              <w:t>评审标准</w:t>
            </w:r>
          </w:p>
        </w:tc>
        <w:tc>
          <w:tcPr>
            <w:tcW w:w="2339" w:type="dxa"/>
            <w:vAlign w:val="top"/>
          </w:tcPr>
          <w:p w14:paraId="7D3EBF23">
            <w:pPr>
              <w:pStyle w:val="6"/>
              <w:spacing w:before="122" w:line="228" w:lineRule="auto"/>
              <w:ind w:left="115"/>
            </w:pPr>
            <w:r>
              <w:rPr>
                <w:spacing w:val="6"/>
              </w:rPr>
              <w:t>投标文件</w:t>
            </w:r>
          </w:p>
        </w:tc>
        <w:tc>
          <w:tcPr>
            <w:tcW w:w="5042" w:type="dxa"/>
            <w:vAlign w:val="top"/>
          </w:tcPr>
          <w:p w14:paraId="55609E55">
            <w:pPr>
              <w:pStyle w:val="6"/>
              <w:spacing w:before="122" w:line="228" w:lineRule="auto"/>
              <w:ind w:left="116"/>
            </w:pPr>
            <w:r>
              <w:rPr>
                <w:spacing w:val="8"/>
              </w:rPr>
              <w:t>投标文件能正常打开</w:t>
            </w:r>
          </w:p>
        </w:tc>
      </w:tr>
      <w:tr w14:paraId="563FF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C29A93D">
            <w:pPr>
              <w:rPr>
                <w:rFonts w:ascii="Arial"/>
                <w:sz w:val="21"/>
              </w:rPr>
            </w:pPr>
          </w:p>
        </w:tc>
        <w:tc>
          <w:tcPr>
            <w:tcW w:w="1058" w:type="dxa"/>
            <w:vMerge w:val="continue"/>
            <w:tcBorders>
              <w:top w:val="nil"/>
              <w:bottom w:val="nil"/>
            </w:tcBorders>
            <w:vAlign w:val="top"/>
          </w:tcPr>
          <w:p w14:paraId="643B0066">
            <w:pPr>
              <w:rPr>
                <w:rFonts w:ascii="Arial"/>
                <w:sz w:val="21"/>
              </w:rPr>
            </w:pPr>
          </w:p>
        </w:tc>
        <w:tc>
          <w:tcPr>
            <w:tcW w:w="2339" w:type="dxa"/>
            <w:vAlign w:val="top"/>
          </w:tcPr>
          <w:p w14:paraId="4A3F9248">
            <w:pPr>
              <w:pStyle w:val="6"/>
              <w:spacing w:before="122" w:line="228" w:lineRule="auto"/>
              <w:ind w:left="115"/>
            </w:pPr>
            <w:r>
              <w:rPr>
                <w:spacing w:val="7"/>
              </w:rPr>
              <w:t>投标人名称</w:t>
            </w:r>
          </w:p>
        </w:tc>
        <w:tc>
          <w:tcPr>
            <w:tcW w:w="5042" w:type="dxa"/>
            <w:vAlign w:val="top"/>
          </w:tcPr>
          <w:p w14:paraId="0F9B30DC">
            <w:pPr>
              <w:pStyle w:val="6"/>
              <w:spacing w:before="121" w:line="227" w:lineRule="auto"/>
              <w:ind w:left="117"/>
            </w:pPr>
            <w:r>
              <w:rPr>
                <w:spacing w:val="9"/>
              </w:rPr>
              <w:t>与营业执照、资质证书、安全生产许可证一致</w:t>
            </w:r>
          </w:p>
        </w:tc>
      </w:tr>
      <w:tr w14:paraId="004B3E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45" w:type="dxa"/>
            <w:vMerge w:val="continue"/>
            <w:tcBorders>
              <w:top w:val="nil"/>
              <w:bottom w:val="nil"/>
            </w:tcBorders>
            <w:vAlign w:val="top"/>
          </w:tcPr>
          <w:p w14:paraId="536BBD18">
            <w:pPr>
              <w:rPr>
                <w:rFonts w:ascii="Arial"/>
                <w:sz w:val="21"/>
              </w:rPr>
            </w:pPr>
          </w:p>
        </w:tc>
        <w:tc>
          <w:tcPr>
            <w:tcW w:w="1058" w:type="dxa"/>
            <w:vMerge w:val="continue"/>
            <w:tcBorders>
              <w:top w:val="nil"/>
              <w:bottom w:val="nil"/>
            </w:tcBorders>
            <w:vAlign w:val="top"/>
          </w:tcPr>
          <w:p w14:paraId="647FDD88">
            <w:pPr>
              <w:rPr>
                <w:rFonts w:ascii="Arial"/>
                <w:sz w:val="21"/>
              </w:rPr>
            </w:pPr>
          </w:p>
        </w:tc>
        <w:tc>
          <w:tcPr>
            <w:tcW w:w="2339" w:type="dxa"/>
            <w:vAlign w:val="top"/>
          </w:tcPr>
          <w:p w14:paraId="02DB7FFF">
            <w:pPr>
              <w:pStyle w:val="6"/>
              <w:spacing w:before="130" w:line="227" w:lineRule="auto"/>
              <w:ind w:left="115"/>
            </w:pPr>
            <w:r>
              <w:rPr>
                <w:spacing w:val="8"/>
              </w:rPr>
              <w:t>投标文件签字盖章</w:t>
            </w:r>
          </w:p>
        </w:tc>
        <w:tc>
          <w:tcPr>
            <w:tcW w:w="5042" w:type="dxa"/>
            <w:vAlign w:val="top"/>
          </w:tcPr>
          <w:p w14:paraId="553B6552">
            <w:pPr>
              <w:pStyle w:val="6"/>
              <w:spacing w:before="130"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06BE63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74FAE42F">
            <w:pPr>
              <w:rPr>
                <w:rFonts w:ascii="Arial"/>
                <w:sz w:val="21"/>
              </w:rPr>
            </w:pPr>
          </w:p>
        </w:tc>
        <w:tc>
          <w:tcPr>
            <w:tcW w:w="1058" w:type="dxa"/>
            <w:vMerge w:val="continue"/>
            <w:tcBorders>
              <w:top w:val="nil"/>
              <w:bottom w:val="nil"/>
            </w:tcBorders>
            <w:vAlign w:val="top"/>
          </w:tcPr>
          <w:p w14:paraId="573BD709">
            <w:pPr>
              <w:rPr>
                <w:rFonts w:ascii="Arial"/>
                <w:sz w:val="21"/>
              </w:rPr>
            </w:pPr>
          </w:p>
        </w:tc>
        <w:tc>
          <w:tcPr>
            <w:tcW w:w="2339" w:type="dxa"/>
            <w:vAlign w:val="top"/>
          </w:tcPr>
          <w:p w14:paraId="775C9242">
            <w:pPr>
              <w:pStyle w:val="6"/>
              <w:spacing w:before="167" w:line="228" w:lineRule="auto"/>
              <w:ind w:left="115"/>
            </w:pPr>
            <w:r>
              <w:rPr>
                <w:spacing w:val="8"/>
              </w:rPr>
              <w:t>投标文件格式、内容</w:t>
            </w:r>
          </w:p>
        </w:tc>
        <w:tc>
          <w:tcPr>
            <w:tcW w:w="5042" w:type="dxa"/>
            <w:vAlign w:val="top"/>
          </w:tcPr>
          <w:p w14:paraId="26BA2555">
            <w:pPr>
              <w:pStyle w:val="6"/>
              <w:spacing w:before="30" w:line="235"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45471A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66A915C">
            <w:pPr>
              <w:rPr>
                <w:rFonts w:ascii="Arial"/>
                <w:sz w:val="21"/>
              </w:rPr>
            </w:pPr>
          </w:p>
        </w:tc>
        <w:tc>
          <w:tcPr>
            <w:tcW w:w="1058" w:type="dxa"/>
            <w:vMerge w:val="continue"/>
            <w:tcBorders>
              <w:top w:val="nil"/>
              <w:bottom w:val="nil"/>
            </w:tcBorders>
            <w:vAlign w:val="top"/>
          </w:tcPr>
          <w:p w14:paraId="2AB6F6EA">
            <w:pPr>
              <w:rPr>
                <w:rFonts w:ascii="Arial"/>
                <w:sz w:val="21"/>
              </w:rPr>
            </w:pPr>
          </w:p>
        </w:tc>
        <w:tc>
          <w:tcPr>
            <w:tcW w:w="2339" w:type="dxa"/>
            <w:vAlign w:val="top"/>
          </w:tcPr>
          <w:p w14:paraId="3A2A6C3B">
            <w:pPr>
              <w:pStyle w:val="6"/>
              <w:spacing w:before="122" w:line="228" w:lineRule="auto"/>
              <w:ind w:left="113"/>
            </w:pPr>
            <w:r>
              <w:rPr>
                <w:spacing w:val="7"/>
              </w:rPr>
              <w:t>联合体投标人（如有）</w:t>
            </w:r>
          </w:p>
        </w:tc>
        <w:tc>
          <w:tcPr>
            <w:tcW w:w="5042" w:type="dxa"/>
            <w:vAlign w:val="top"/>
          </w:tcPr>
          <w:p w14:paraId="1C4BA565">
            <w:pPr>
              <w:pStyle w:val="6"/>
              <w:spacing w:before="121" w:line="227" w:lineRule="auto"/>
              <w:ind w:left="114"/>
            </w:pPr>
            <w:r>
              <w:rPr>
                <w:spacing w:val="9"/>
              </w:rPr>
              <w:t>提交联合体协议书，并明确联合体牵头人</w:t>
            </w:r>
          </w:p>
        </w:tc>
      </w:tr>
      <w:tr w14:paraId="1F0ED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69B757AC">
            <w:pPr>
              <w:rPr>
                <w:rFonts w:ascii="Arial"/>
                <w:sz w:val="21"/>
              </w:rPr>
            </w:pPr>
          </w:p>
        </w:tc>
        <w:tc>
          <w:tcPr>
            <w:tcW w:w="1058" w:type="dxa"/>
            <w:vMerge w:val="continue"/>
            <w:tcBorders>
              <w:top w:val="nil"/>
              <w:bottom w:val="nil"/>
            </w:tcBorders>
            <w:vAlign w:val="top"/>
          </w:tcPr>
          <w:p w14:paraId="54753294">
            <w:pPr>
              <w:rPr>
                <w:rFonts w:ascii="Arial"/>
                <w:sz w:val="21"/>
              </w:rPr>
            </w:pPr>
          </w:p>
        </w:tc>
        <w:tc>
          <w:tcPr>
            <w:tcW w:w="2339" w:type="dxa"/>
            <w:vAlign w:val="top"/>
          </w:tcPr>
          <w:p w14:paraId="0ECDA234">
            <w:pPr>
              <w:pStyle w:val="6"/>
              <w:spacing w:before="167" w:line="226" w:lineRule="auto"/>
              <w:ind w:left="110"/>
            </w:pPr>
            <w:r>
              <w:rPr>
                <w:spacing w:val="8"/>
              </w:rPr>
              <w:t>报价唯一</w:t>
            </w:r>
          </w:p>
        </w:tc>
        <w:tc>
          <w:tcPr>
            <w:tcW w:w="5042" w:type="dxa"/>
            <w:vAlign w:val="top"/>
          </w:tcPr>
          <w:p w14:paraId="073DFF08">
            <w:pPr>
              <w:pStyle w:val="6"/>
              <w:spacing w:before="32" w:line="234" w:lineRule="auto"/>
              <w:ind w:left="114" w:right="109" w:firstLine="11"/>
            </w:pPr>
            <w:r>
              <w:rPr>
                <w:spacing w:val="18"/>
              </w:rPr>
              <w:t>只能有一个有效报价（指投标函中的大写投标总报</w:t>
            </w:r>
            <w:r>
              <w:t>价）</w:t>
            </w:r>
          </w:p>
        </w:tc>
      </w:tr>
      <w:tr w14:paraId="02FCBE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E94B7E8">
            <w:pPr>
              <w:rPr>
                <w:rFonts w:ascii="Arial"/>
                <w:sz w:val="21"/>
              </w:rPr>
            </w:pPr>
          </w:p>
        </w:tc>
        <w:tc>
          <w:tcPr>
            <w:tcW w:w="1058" w:type="dxa"/>
            <w:vMerge w:val="continue"/>
            <w:tcBorders>
              <w:top w:val="nil"/>
              <w:bottom w:val="nil"/>
            </w:tcBorders>
            <w:vAlign w:val="top"/>
          </w:tcPr>
          <w:p w14:paraId="2952F80D">
            <w:pPr>
              <w:rPr>
                <w:rFonts w:ascii="Arial"/>
                <w:sz w:val="21"/>
              </w:rPr>
            </w:pPr>
          </w:p>
        </w:tc>
        <w:tc>
          <w:tcPr>
            <w:tcW w:w="2339" w:type="dxa"/>
            <w:vAlign w:val="top"/>
          </w:tcPr>
          <w:p w14:paraId="12091568">
            <w:pPr>
              <w:pStyle w:val="6"/>
              <w:spacing w:before="178" w:line="228" w:lineRule="auto"/>
              <w:ind w:left="122"/>
            </w:pPr>
            <w:r>
              <w:rPr>
                <w:spacing w:val="6"/>
              </w:rPr>
              <w:t>多标段投标</w:t>
            </w:r>
          </w:p>
        </w:tc>
        <w:tc>
          <w:tcPr>
            <w:tcW w:w="5042" w:type="dxa"/>
            <w:vAlign w:val="top"/>
          </w:tcPr>
          <w:p w14:paraId="4A3BA84E">
            <w:pPr>
              <w:pStyle w:val="6"/>
              <w:spacing w:before="178"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1AC760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A432979">
            <w:pPr>
              <w:rPr>
                <w:rFonts w:ascii="Arial"/>
                <w:sz w:val="21"/>
              </w:rPr>
            </w:pPr>
          </w:p>
        </w:tc>
        <w:tc>
          <w:tcPr>
            <w:tcW w:w="1058" w:type="dxa"/>
            <w:vMerge w:val="continue"/>
            <w:tcBorders>
              <w:top w:val="nil"/>
              <w:bottom w:val="nil"/>
            </w:tcBorders>
            <w:vAlign w:val="top"/>
          </w:tcPr>
          <w:p w14:paraId="7244F610">
            <w:pPr>
              <w:rPr>
                <w:rFonts w:ascii="Arial"/>
                <w:sz w:val="21"/>
              </w:rPr>
            </w:pPr>
          </w:p>
        </w:tc>
        <w:tc>
          <w:tcPr>
            <w:tcW w:w="2339" w:type="dxa"/>
            <w:vAlign w:val="top"/>
          </w:tcPr>
          <w:p w14:paraId="64E8D06E">
            <w:pPr>
              <w:pStyle w:val="6"/>
              <w:spacing w:before="121" w:line="228" w:lineRule="auto"/>
              <w:ind w:left="102"/>
            </w:pPr>
            <w:r>
              <w:rPr>
                <w:spacing w:val="22"/>
              </w:rPr>
              <w:t>“技术暗标</w:t>
            </w:r>
            <w:r>
              <w:rPr>
                <w:spacing w:val="-70"/>
              </w:rPr>
              <w:t xml:space="preserve"> </w:t>
            </w:r>
            <w:r>
              <w:rPr>
                <w:spacing w:val="22"/>
              </w:rPr>
              <w:t>”</w:t>
            </w:r>
          </w:p>
        </w:tc>
        <w:tc>
          <w:tcPr>
            <w:tcW w:w="5042" w:type="dxa"/>
            <w:vAlign w:val="top"/>
          </w:tcPr>
          <w:p w14:paraId="58BD0DAC">
            <w:pPr>
              <w:pStyle w:val="6"/>
              <w:spacing w:before="122"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4022D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A0991D6">
            <w:pPr>
              <w:rPr>
                <w:rFonts w:ascii="Arial"/>
                <w:sz w:val="21"/>
              </w:rPr>
            </w:pPr>
          </w:p>
        </w:tc>
        <w:tc>
          <w:tcPr>
            <w:tcW w:w="1058" w:type="dxa"/>
            <w:vMerge w:val="continue"/>
            <w:tcBorders>
              <w:top w:val="nil"/>
              <w:bottom w:val="nil"/>
            </w:tcBorders>
            <w:vAlign w:val="top"/>
          </w:tcPr>
          <w:p w14:paraId="4B63A8AB">
            <w:pPr>
              <w:rPr>
                <w:rFonts w:ascii="Arial"/>
                <w:sz w:val="21"/>
              </w:rPr>
            </w:pPr>
          </w:p>
        </w:tc>
        <w:tc>
          <w:tcPr>
            <w:tcW w:w="2339" w:type="dxa"/>
            <w:vAlign w:val="top"/>
          </w:tcPr>
          <w:p w14:paraId="425F0C78">
            <w:pPr>
              <w:pStyle w:val="6"/>
              <w:spacing w:before="121" w:line="228" w:lineRule="auto"/>
              <w:ind w:left="115"/>
            </w:pPr>
            <w:r>
              <w:rPr>
                <w:spacing w:val="6"/>
              </w:rPr>
              <w:t>项目经理</w:t>
            </w:r>
          </w:p>
        </w:tc>
        <w:tc>
          <w:tcPr>
            <w:tcW w:w="5042" w:type="dxa"/>
            <w:vAlign w:val="top"/>
          </w:tcPr>
          <w:p w14:paraId="6132959D">
            <w:pPr>
              <w:pStyle w:val="6"/>
              <w:spacing w:before="121" w:line="228" w:lineRule="auto"/>
              <w:ind w:left="116"/>
            </w:pPr>
            <w:r>
              <w:rPr>
                <w:spacing w:val="9"/>
              </w:rPr>
              <w:t>未更换通过资格预审的项目经理</w:t>
            </w:r>
          </w:p>
        </w:tc>
      </w:tr>
      <w:tr w14:paraId="68CDBE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34DDD80C">
            <w:pPr>
              <w:rPr>
                <w:rFonts w:ascii="Arial"/>
                <w:sz w:val="21"/>
              </w:rPr>
            </w:pPr>
          </w:p>
        </w:tc>
        <w:tc>
          <w:tcPr>
            <w:tcW w:w="1058" w:type="dxa"/>
            <w:vMerge w:val="continue"/>
            <w:tcBorders>
              <w:top w:val="nil"/>
            </w:tcBorders>
            <w:vAlign w:val="top"/>
          </w:tcPr>
          <w:p w14:paraId="471DC572">
            <w:pPr>
              <w:rPr>
                <w:rFonts w:ascii="Arial"/>
                <w:sz w:val="21"/>
              </w:rPr>
            </w:pPr>
          </w:p>
        </w:tc>
        <w:tc>
          <w:tcPr>
            <w:tcW w:w="2339" w:type="dxa"/>
            <w:vAlign w:val="top"/>
          </w:tcPr>
          <w:p w14:paraId="00C0C187">
            <w:pPr>
              <w:pStyle w:val="6"/>
              <w:spacing w:before="120" w:line="228" w:lineRule="auto"/>
              <w:ind w:left="121"/>
            </w:pPr>
            <w:r>
              <w:rPr>
                <w:spacing w:val="6"/>
              </w:rPr>
              <w:t>资格条件变化</w:t>
            </w:r>
          </w:p>
        </w:tc>
        <w:tc>
          <w:tcPr>
            <w:tcW w:w="5042" w:type="dxa"/>
            <w:vAlign w:val="top"/>
          </w:tcPr>
          <w:p w14:paraId="15DB533E">
            <w:pPr>
              <w:pStyle w:val="6"/>
              <w:spacing w:before="120" w:line="228" w:lineRule="auto"/>
              <w:ind w:left="116"/>
            </w:pPr>
            <w:r>
              <w:rPr>
                <w:spacing w:val="9"/>
              </w:rPr>
              <w:t>投标函中有资格条件是否变化的声明</w:t>
            </w:r>
          </w:p>
        </w:tc>
      </w:tr>
      <w:tr w14:paraId="4D5E26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6" w:hRule="atLeast"/>
        </w:trPr>
        <w:tc>
          <w:tcPr>
            <w:tcW w:w="745" w:type="dxa"/>
            <w:vAlign w:val="top"/>
          </w:tcPr>
          <w:p w14:paraId="66B5703E">
            <w:pPr>
              <w:spacing w:line="296" w:lineRule="auto"/>
              <w:rPr>
                <w:rFonts w:ascii="Arial"/>
                <w:sz w:val="21"/>
              </w:rPr>
            </w:pPr>
          </w:p>
          <w:p w14:paraId="0CF6CE92">
            <w:pPr>
              <w:spacing w:line="297" w:lineRule="auto"/>
              <w:rPr>
                <w:rFonts w:ascii="Arial"/>
                <w:sz w:val="21"/>
              </w:rPr>
            </w:pPr>
          </w:p>
          <w:p w14:paraId="16C5B135">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4ACC3473">
            <w:pPr>
              <w:pStyle w:val="6"/>
              <w:spacing w:before="153" w:line="228" w:lineRule="auto"/>
              <w:ind w:left="332"/>
            </w:pPr>
            <w:r>
              <w:t>资格</w:t>
            </w:r>
          </w:p>
          <w:p w14:paraId="7779700E">
            <w:pPr>
              <w:pStyle w:val="6"/>
              <w:spacing w:before="24" w:line="228" w:lineRule="auto"/>
              <w:ind w:left="322"/>
            </w:pPr>
            <w:r>
              <w:rPr>
                <w:spacing w:val="5"/>
              </w:rPr>
              <w:t>评审</w:t>
            </w:r>
          </w:p>
          <w:p w14:paraId="5E494BC5">
            <w:pPr>
              <w:pStyle w:val="6"/>
              <w:spacing w:before="24" w:line="254" w:lineRule="auto"/>
              <w:ind w:left="122" w:right="129" w:firstLine="201"/>
            </w:pPr>
            <w:r>
              <w:rPr>
                <w:spacing w:val="4"/>
              </w:rPr>
              <w:t>标准</w:t>
            </w:r>
            <w:r>
              <w:t>（预审）</w:t>
            </w:r>
          </w:p>
        </w:tc>
        <w:tc>
          <w:tcPr>
            <w:tcW w:w="2339" w:type="dxa"/>
            <w:vAlign w:val="top"/>
          </w:tcPr>
          <w:p w14:paraId="540B0C5C">
            <w:pPr>
              <w:spacing w:line="275" w:lineRule="auto"/>
              <w:rPr>
                <w:rFonts w:ascii="Arial"/>
                <w:sz w:val="21"/>
              </w:rPr>
            </w:pPr>
          </w:p>
          <w:p w14:paraId="7ADC33A5">
            <w:pPr>
              <w:spacing w:line="275" w:lineRule="auto"/>
              <w:rPr>
                <w:rFonts w:ascii="Arial"/>
                <w:sz w:val="21"/>
              </w:rPr>
            </w:pPr>
          </w:p>
          <w:p w14:paraId="23C8F94F">
            <w:pPr>
              <w:pStyle w:val="6"/>
              <w:spacing w:before="65" w:line="227" w:lineRule="auto"/>
              <w:ind w:left="115"/>
            </w:pPr>
            <w:r>
              <w:rPr>
                <w:spacing w:val="8"/>
              </w:rPr>
              <w:t>见本标段资格预审文件</w:t>
            </w:r>
          </w:p>
        </w:tc>
        <w:tc>
          <w:tcPr>
            <w:tcW w:w="5042" w:type="dxa"/>
            <w:vAlign w:val="top"/>
          </w:tcPr>
          <w:p w14:paraId="47CBC1A5">
            <w:pPr>
              <w:spacing w:line="358" w:lineRule="auto"/>
              <w:rPr>
                <w:rFonts w:ascii="Arial"/>
                <w:sz w:val="21"/>
              </w:rPr>
            </w:pPr>
          </w:p>
          <w:p w14:paraId="649AD703">
            <w:pPr>
              <w:pStyle w:val="6"/>
              <w:spacing w:before="65" w:line="251" w:lineRule="auto"/>
              <w:ind w:left="123" w:right="107" w:hanging="8"/>
            </w:pPr>
            <w:r>
              <w:rPr>
                <w:spacing w:val="8"/>
              </w:rPr>
              <w:t>符合本标段资格预审文件第三章“资格审查办法</w:t>
            </w:r>
            <w:r>
              <w:rPr>
                <w:spacing w:val="-70"/>
              </w:rPr>
              <w:t xml:space="preserve"> </w:t>
            </w:r>
            <w:r>
              <w:rPr>
                <w:spacing w:val="8"/>
              </w:rPr>
              <w:t>”的审查标准并且不影响本次招标的公正性。</w:t>
            </w:r>
          </w:p>
        </w:tc>
      </w:tr>
      <w:tr w14:paraId="6F23DB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1647D46F">
            <w:pPr>
              <w:spacing w:line="243" w:lineRule="auto"/>
              <w:rPr>
                <w:rFonts w:ascii="Arial"/>
                <w:sz w:val="21"/>
              </w:rPr>
            </w:pPr>
          </w:p>
          <w:p w14:paraId="45609988">
            <w:pPr>
              <w:spacing w:line="243" w:lineRule="auto"/>
              <w:rPr>
                <w:rFonts w:ascii="Arial"/>
                <w:sz w:val="21"/>
              </w:rPr>
            </w:pPr>
          </w:p>
          <w:p w14:paraId="59AB3478">
            <w:pPr>
              <w:spacing w:line="243" w:lineRule="auto"/>
              <w:rPr>
                <w:rFonts w:ascii="Arial"/>
                <w:sz w:val="21"/>
              </w:rPr>
            </w:pPr>
          </w:p>
          <w:p w14:paraId="4AE67D59">
            <w:pPr>
              <w:spacing w:line="244" w:lineRule="auto"/>
              <w:rPr>
                <w:rFonts w:ascii="Arial"/>
                <w:sz w:val="21"/>
              </w:rPr>
            </w:pPr>
          </w:p>
          <w:p w14:paraId="5621622F">
            <w:pPr>
              <w:spacing w:line="244" w:lineRule="auto"/>
              <w:rPr>
                <w:rFonts w:ascii="Arial"/>
                <w:sz w:val="21"/>
              </w:rPr>
            </w:pPr>
          </w:p>
          <w:p w14:paraId="62B5111B">
            <w:pPr>
              <w:spacing w:line="244" w:lineRule="auto"/>
              <w:rPr>
                <w:rFonts w:ascii="Arial"/>
                <w:sz w:val="21"/>
              </w:rPr>
            </w:pPr>
          </w:p>
          <w:p w14:paraId="41678726">
            <w:pPr>
              <w:spacing w:line="244" w:lineRule="auto"/>
              <w:rPr>
                <w:rFonts w:ascii="Arial"/>
                <w:sz w:val="21"/>
              </w:rPr>
            </w:pPr>
          </w:p>
          <w:p w14:paraId="65A91C42">
            <w:pPr>
              <w:spacing w:line="244" w:lineRule="auto"/>
              <w:rPr>
                <w:rFonts w:ascii="Arial"/>
                <w:sz w:val="21"/>
              </w:rPr>
            </w:pPr>
          </w:p>
          <w:p w14:paraId="01377C28">
            <w:pPr>
              <w:spacing w:line="244" w:lineRule="auto"/>
              <w:rPr>
                <w:rFonts w:ascii="Arial"/>
                <w:sz w:val="21"/>
              </w:rPr>
            </w:pPr>
          </w:p>
          <w:p w14:paraId="6E83375D">
            <w:pPr>
              <w:spacing w:line="244" w:lineRule="auto"/>
              <w:rPr>
                <w:rFonts w:ascii="Arial"/>
                <w:sz w:val="21"/>
              </w:rPr>
            </w:pPr>
          </w:p>
          <w:p w14:paraId="6028EE9C">
            <w:pPr>
              <w:spacing w:line="244" w:lineRule="auto"/>
              <w:rPr>
                <w:rFonts w:ascii="Arial"/>
                <w:sz w:val="21"/>
              </w:rPr>
            </w:pPr>
          </w:p>
          <w:p w14:paraId="4FA87165">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293C909B">
            <w:pPr>
              <w:spacing w:line="244" w:lineRule="auto"/>
              <w:rPr>
                <w:rFonts w:ascii="Arial"/>
                <w:sz w:val="21"/>
              </w:rPr>
            </w:pPr>
          </w:p>
          <w:p w14:paraId="6B24BF38">
            <w:pPr>
              <w:spacing w:line="244" w:lineRule="auto"/>
              <w:rPr>
                <w:rFonts w:ascii="Arial"/>
                <w:sz w:val="21"/>
              </w:rPr>
            </w:pPr>
          </w:p>
          <w:p w14:paraId="24E3F4F1">
            <w:pPr>
              <w:spacing w:line="244" w:lineRule="auto"/>
              <w:rPr>
                <w:rFonts w:ascii="Arial"/>
                <w:sz w:val="21"/>
              </w:rPr>
            </w:pPr>
          </w:p>
          <w:p w14:paraId="34D3314E">
            <w:pPr>
              <w:spacing w:line="244" w:lineRule="auto"/>
              <w:rPr>
                <w:rFonts w:ascii="Arial"/>
                <w:sz w:val="21"/>
              </w:rPr>
            </w:pPr>
          </w:p>
          <w:p w14:paraId="696500B1">
            <w:pPr>
              <w:spacing w:line="244" w:lineRule="auto"/>
              <w:rPr>
                <w:rFonts w:ascii="Arial"/>
                <w:sz w:val="21"/>
              </w:rPr>
            </w:pPr>
          </w:p>
          <w:p w14:paraId="2AEBEF5A">
            <w:pPr>
              <w:spacing w:line="245" w:lineRule="auto"/>
              <w:rPr>
                <w:rFonts w:ascii="Arial"/>
                <w:sz w:val="21"/>
              </w:rPr>
            </w:pPr>
          </w:p>
          <w:p w14:paraId="1539E09A">
            <w:pPr>
              <w:spacing w:line="245" w:lineRule="auto"/>
              <w:rPr>
                <w:rFonts w:ascii="Arial"/>
                <w:sz w:val="21"/>
              </w:rPr>
            </w:pPr>
          </w:p>
          <w:p w14:paraId="7632457C">
            <w:pPr>
              <w:spacing w:line="245" w:lineRule="auto"/>
              <w:rPr>
                <w:rFonts w:ascii="Arial"/>
                <w:sz w:val="21"/>
              </w:rPr>
            </w:pPr>
          </w:p>
          <w:p w14:paraId="3EEDCAA4">
            <w:pPr>
              <w:spacing w:line="245" w:lineRule="auto"/>
              <w:rPr>
                <w:rFonts w:ascii="Arial"/>
                <w:sz w:val="21"/>
              </w:rPr>
            </w:pPr>
          </w:p>
          <w:p w14:paraId="3415080E">
            <w:pPr>
              <w:spacing w:line="245" w:lineRule="auto"/>
              <w:rPr>
                <w:rFonts w:ascii="Arial"/>
                <w:sz w:val="21"/>
              </w:rPr>
            </w:pPr>
          </w:p>
          <w:p w14:paraId="0CA3F4E6">
            <w:pPr>
              <w:pStyle w:val="6"/>
              <w:spacing w:before="65" w:line="254"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7BF3F43E">
            <w:pPr>
              <w:pStyle w:val="6"/>
              <w:spacing w:before="122" w:line="228" w:lineRule="auto"/>
              <w:ind w:left="115"/>
            </w:pPr>
            <w:r>
              <w:rPr>
                <w:spacing w:val="6"/>
              </w:rPr>
              <w:t>投标内容</w:t>
            </w:r>
          </w:p>
        </w:tc>
        <w:tc>
          <w:tcPr>
            <w:tcW w:w="5042" w:type="dxa"/>
            <w:vAlign w:val="top"/>
          </w:tcPr>
          <w:p w14:paraId="2F04A6DB">
            <w:pPr>
              <w:pStyle w:val="6"/>
              <w:spacing w:before="122"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58C45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BB8C6DA">
            <w:pPr>
              <w:rPr>
                <w:rFonts w:ascii="Arial"/>
                <w:sz w:val="21"/>
              </w:rPr>
            </w:pPr>
          </w:p>
        </w:tc>
        <w:tc>
          <w:tcPr>
            <w:tcW w:w="1058" w:type="dxa"/>
            <w:vMerge w:val="continue"/>
            <w:tcBorders>
              <w:top w:val="nil"/>
              <w:bottom w:val="nil"/>
            </w:tcBorders>
            <w:vAlign w:val="top"/>
          </w:tcPr>
          <w:p w14:paraId="59F7A9B2">
            <w:pPr>
              <w:rPr>
                <w:rFonts w:ascii="Arial"/>
                <w:sz w:val="21"/>
              </w:rPr>
            </w:pPr>
          </w:p>
        </w:tc>
        <w:tc>
          <w:tcPr>
            <w:tcW w:w="2339" w:type="dxa"/>
            <w:vAlign w:val="top"/>
          </w:tcPr>
          <w:p w14:paraId="44BB680D">
            <w:pPr>
              <w:pStyle w:val="6"/>
              <w:spacing w:before="122" w:line="228" w:lineRule="auto"/>
              <w:ind w:left="115"/>
            </w:pPr>
            <w:r>
              <w:rPr>
                <w:spacing w:val="3"/>
              </w:rPr>
              <w:t>工期</w:t>
            </w:r>
          </w:p>
        </w:tc>
        <w:tc>
          <w:tcPr>
            <w:tcW w:w="5042" w:type="dxa"/>
            <w:vAlign w:val="top"/>
          </w:tcPr>
          <w:p w14:paraId="14373671">
            <w:pPr>
              <w:pStyle w:val="6"/>
              <w:spacing w:before="121"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00B8B0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3F815CD4">
            <w:pPr>
              <w:rPr>
                <w:rFonts w:ascii="Arial"/>
                <w:sz w:val="21"/>
              </w:rPr>
            </w:pPr>
          </w:p>
        </w:tc>
        <w:tc>
          <w:tcPr>
            <w:tcW w:w="1058" w:type="dxa"/>
            <w:vMerge w:val="continue"/>
            <w:tcBorders>
              <w:top w:val="nil"/>
              <w:bottom w:val="nil"/>
            </w:tcBorders>
            <w:vAlign w:val="top"/>
          </w:tcPr>
          <w:p w14:paraId="71D3FEAA">
            <w:pPr>
              <w:rPr>
                <w:rFonts w:ascii="Arial"/>
                <w:sz w:val="21"/>
              </w:rPr>
            </w:pPr>
          </w:p>
        </w:tc>
        <w:tc>
          <w:tcPr>
            <w:tcW w:w="2339" w:type="dxa"/>
            <w:vAlign w:val="top"/>
          </w:tcPr>
          <w:p w14:paraId="1DC4868B">
            <w:pPr>
              <w:spacing w:line="373" w:lineRule="auto"/>
              <w:rPr>
                <w:rFonts w:ascii="Arial"/>
                <w:sz w:val="21"/>
              </w:rPr>
            </w:pPr>
          </w:p>
          <w:p w14:paraId="4137F806">
            <w:pPr>
              <w:pStyle w:val="6"/>
              <w:spacing w:before="65" w:line="228" w:lineRule="auto"/>
              <w:ind w:left="115"/>
            </w:pPr>
            <w:r>
              <w:rPr>
                <w:spacing w:val="6"/>
              </w:rPr>
              <w:t>工程质量</w:t>
            </w:r>
          </w:p>
        </w:tc>
        <w:tc>
          <w:tcPr>
            <w:tcW w:w="5042" w:type="dxa"/>
            <w:vAlign w:val="top"/>
          </w:tcPr>
          <w:p w14:paraId="5E40DB12">
            <w:pPr>
              <w:pStyle w:val="6"/>
              <w:spacing w:before="3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51B8CE8C">
            <w:pPr>
              <w:pStyle w:val="6"/>
              <w:spacing w:before="24"/>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5D3CC8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2CAED8A">
            <w:pPr>
              <w:rPr>
                <w:rFonts w:ascii="Arial"/>
                <w:sz w:val="21"/>
              </w:rPr>
            </w:pPr>
          </w:p>
        </w:tc>
        <w:tc>
          <w:tcPr>
            <w:tcW w:w="1058" w:type="dxa"/>
            <w:vMerge w:val="continue"/>
            <w:tcBorders>
              <w:top w:val="nil"/>
              <w:bottom w:val="nil"/>
            </w:tcBorders>
            <w:vAlign w:val="top"/>
          </w:tcPr>
          <w:p w14:paraId="23CA12C7">
            <w:pPr>
              <w:rPr>
                <w:rFonts w:ascii="Arial"/>
                <w:sz w:val="21"/>
              </w:rPr>
            </w:pPr>
          </w:p>
        </w:tc>
        <w:tc>
          <w:tcPr>
            <w:tcW w:w="2339" w:type="dxa"/>
            <w:vAlign w:val="top"/>
          </w:tcPr>
          <w:p w14:paraId="087BCAAE">
            <w:pPr>
              <w:pStyle w:val="6"/>
              <w:spacing w:before="122" w:line="228" w:lineRule="auto"/>
              <w:ind w:left="115"/>
            </w:pPr>
            <w:r>
              <w:rPr>
                <w:spacing w:val="7"/>
              </w:rPr>
              <w:t>投标有效期</w:t>
            </w:r>
          </w:p>
        </w:tc>
        <w:tc>
          <w:tcPr>
            <w:tcW w:w="5042" w:type="dxa"/>
            <w:vAlign w:val="top"/>
          </w:tcPr>
          <w:p w14:paraId="4497DB42">
            <w:pPr>
              <w:pStyle w:val="6"/>
              <w:spacing w:before="122"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A6AEE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0FC93D86">
            <w:pPr>
              <w:rPr>
                <w:rFonts w:ascii="Arial"/>
                <w:sz w:val="21"/>
              </w:rPr>
            </w:pPr>
          </w:p>
        </w:tc>
        <w:tc>
          <w:tcPr>
            <w:tcW w:w="1058" w:type="dxa"/>
            <w:vMerge w:val="continue"/>
            <w:tcBorders>
              <w:top w:val="nil"/>
              <w:bottom w:val="nil"/>
            </w:tcBorders>
            <w:vAlign w:val="top"/>
          </w:tcPr>
          <w:p w14:paraId="2384069F">
            <w:pPr>
              <w:rPr>
                <w:rFonts w:ascii="Arial"/>
                <w:sz w:val="21"/>
              </w:rPr>
            </w:pPr>
          </w:p>
        </w:tc>
        <w:tc>
          <w:tcPr>
            <w:tcW w:w="2339" w:type="dxa"/>
            <w:vAlign w:val="top"/>
          </w:tcPr>
          <w:p w14:paraId="622EBD32">
            <w:pPr>
              <w:spacing w:line="322" w:lineRule="auto"/>
              <w:rPr>
                <w:rFonts w:ascii="Arial"/>
                <w:sz w:val="21"/>
              </w:rPr>
            </w:pPr>
          </w:p>
          <w:p w14:paraId="614B847A">
            <w:pPr>
              <w:spacing w:line="323" w:lineRule="auto"/>
              <w:rPr>
                <w:rFonts w:ascii="Arial"/>
                <w:sz w:val="21"/>
              </w:rPr>
            </w:pPr>
          </w:p>
          <w:p w14:paraId="7599A225">
            <w:pPr>
              <w:pStyle w:val="6"/>
              <w:spacing w:before="65" w:line="228" w:lineRule="auto"/>
              <w:ind w:left="115"/>
            </w:pPr>
            <w:r>
              <w:rPr>
                <w:spacing w:val="7"/>
              </w:rPr>
              <w:t>投标保证金</w:t>
            </w:r>
          </w:p>
        </w:tc>
        <w:tc>
          <w:tcPr>
            <w:tcW w:w="5042" w:type="dxa"/>
            <w:vAlign w:val="top"/>
          </w:tcPr>
          <w:p w14:paraId="538390B0">
            <w:pPr>
              <w:pStyle w:val="6"/>
              <w:spacing w:before="32"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0AE4A3B7">
            <w:pPr>
              <w:pStyle w:val="6"/>
              <w:spacing w:before="27" w:line="228" w:lineRule="auto"/>
              <w:ind w:left="123"/>
            </w:pPr>
            <w:r>
              <w:rPr>
                <w:spacing w:val="9"/>
              </w:rPr>
              <w:t>（投标保证金符合要求是指投标保证金的形式、金</w:t>
            </w:r>
          </w:p>
          <w:p w14:paraId="64E1F6AA">
            <w:pPr>
              <w:pStyle w:val="6"/>
              <w:spacing w:before="24" w:line="251"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4D18F1D4">
            <w:pPr>
              <w:pStyle w:val="6"/>
              <w:spacing w:line="216" w:lineRule="auto"/>
              <w:ind w:left="130"/>
            </w:pPr>
            <w:r>
              <w:rPr>
                <w:spacing w:val="4"/>
              </w:rPr>
              <w:t>的账户号一致）</w:t>
            </w:r>
          </w:p>
        </w:tc>
      </w:tr>
      <w:tr w14:paraId="5EB775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3" w:hRule="atLeast"/>
        </w:trPr>
        <w:tc>
          <w:tcPr>
            <w:tcW w:w="745" w:type="dxa"/>
            <w:vMerge w:val="continue"/>
            <w:tcBorders>
              <w:top w:val="nil"/>
              <w:bottom w:val="nil"/>
            </w:tcBorders>
            <w:vAlign w:val="top"/>
          </w:tcPr>
          <w:p w14:paraId="789080D6">
            <w:pPr>
              <w:rPr>
                <w:rFonts w:ascii="Arial"/>
                <w:sz w:val="21"/>
              </w:rPr>
            </w:pPr>
          </w:p>
        </w:tc>
        <w:tc>
          <w:tcPr>
            <w:tcW w:w="1058" w:type="dxa"/>
            <w:vMerge w:val="continue"/>
            <w:tcBorders>
              <w:top w:val="nil"/>
              <w:bottom w:val="nil"/>
            </w:tcBorders>
            <w:vAlign w:val="top"/>
          </w:tcPr>
          <w:p w14:paraId="09211CDB">
            <w:pPr>
              <w:rPr>
                <w:rFonts w:ascii="Arial"/>
                <w:sz w:val="21"/>
              </w:rPr>
            </w:pPr>
          </w:p>
        </w:tc>
        <w:tc>
          <w:tcPr>
            <w:tcW w:w="2339" w:type="dxa"/>
            <w:vAlign w:val="top"/>
          </w:tcPr>
          <w:p w14:paraId="6B5D88E6">
            <w:pPr>
              <w:spacing w:line="276" w:lineRule="auto"/>
              <w:rPr>
                <w:rFonts w:ascii="Arial"/>
                <w:sz w:val="21"/>
              </w:rPr>
            </w:pPr>
          </w:p>
          <w:p w14:paraId="213377E4">
            <w:pPr>
              <w:pStyle w:val="6"/>
              <w:spacing w:before="65" w:line="228" w:lineRule="auto"/>
              <w:ind w:left="111"/>
            </w:pPr>
            <w:r>
              <w:rPr>
                <w:spacing w:val="7"/>
              </w:rPr>
              <w:t>权利义务</w:t>
            </w:r>
          </w:p>
        </w:tc>
        <w:tc>
          <w:tcPr>
            <w:tcW w:w="5042" w:type="dxa"/>
            <w:vAlign w:val="top"/>
          </w:tcPr>
          <w:p w14:paraId="6FFAE21F">
            <w:pPr>
              <w:pStyle w:val="6"/>
              <w:spacing w:before="206" w:line="252"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1B1B19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745" w:type="dxa"/>
            <w:vMerge w:val="continue"/>
            <w:tcBorders>
              <w:top w:val="nil"/>
            </w:tcBorders>
            <w:vAlign w:val="top"/>
          </w:tcPr>
          <w:p w14:paraId="07FD809F">
            <w:pPr>
              <w:rPr>
                <w:rFonts w:ascii="Arial"/>
                <w:sz w:val="21"/>
              </w:rPr>
            </w:pPr>
          </w:p>
        </w:tc>
        <w:tc>
          <w:tcPr>
            <w:tcW w:w="1058" w:type="dxa"/>
            <w:vMerge w:val="continue"/>
            <w:tcBorders>
              <w:top w:val="nil"/>
            </w:tcBorders>
            <w:vAlign w:val="top"/>
          </w:tcPr>
          <w:p w14:paraId="1537125B">
            <w:pPr>
              <w:rPr>
                <w:rFonts w:ascii="Arial"/>
                <w:sz w:val="21"/>
              </w:rPr>
            </w:pPr>
          </w:p>
        </w:tc>
        <w:tc>
          <w:tcPr>
            <w:tcW w:w="2339" w:type="dxa"/>
            <w:vAlign w:val="top"/>
          </w:tcPr>
          <w:p w14:paraId="4FAA8027">
            <w:pPr>
              <w:pStyle w:val="6"/>
              <w:spacing w:before="148" w:line="228" w:lineRule="auto"/>
              <w:ind w:left="113"/>
            </w:pPr>
            <w:r>
              <w:rPr>
                <w:spacing w:val="8"/>
              </w:rPr>
              <w:t>技术标准和要求</w:t>
            </w:r>
          </w:p>
        </w:tc>
        <w:tc>
          <w:tcPr>
            <w:tcW w:w="5042" w:type="dxa"/>
            <w:vAlign w:val="top"/>
          </w:tcPr>
          <w:p w14:paraId="61C614D4">
            <w:pPr>
              <w:pStyle w:val="6"/>
              <w:spacing w:before="148" w:line="227" w:lineRule="auto"/>
              <w:ind w:left="115"/>
            </w:pPr>
            <w:r>
              <w:rPr>
                <w:spacing w:val="7"/>
              </w:rPr>
              <w:t>符合第七章“技术标准和要求</w:t>
            </w:r>
            <w:r>
              <w:rPr>
                <w:spacing w:val="-66"/>
              </w:rPr>
              <w:t xml:space="preserve"> </w:t>
            </w:r>
            <w:r>
              <w:rPr>
                <w:spacing w:val="7"/>
              </w:rPr>
              <w:t>”规定</w:t>
            </w:r>
          </w:p>
        </w:tc>
      </w:tr>
    </w:tbl>
    <w:p w14:paraId="3380BE64">
      <w:pPr>
        <w:rPr>
          <w:rFonts w:ascii="Arial"/>
          <w:sz w:val="21"/>
        </w:rPr>
      </w:pPr>
    </w:p>
    <w:p w14:paraId="0DE50D59">
      <w:pPr>
        <w:rPr>
          <w:rFonts w:ascii="Arial" w:hAnsi="Arial" w:eastAsia="Arial" w:cs="Arial"/>
          <w:sz w:val="21"/>
          <w:szCs w:val="21"/>
        </w:rPr>
        <w:sectPr>
          <w:footerReference r:id="rId96" w:type="default"/>
          <w:pgSz w:w="11907" w:h="16840"/>
          <w:pgMar w:top="400" w:right="1248" w:bottom="1035" w:left="1469" w:header="0" w:footer="785" w:gutter="0"/>
          <w:cols w:space="720" w:num="1"/>
        </w:sectPr>
      </w:pPr>
    </w:p>
    <w:p w14:paraId="4B6AE78D">
      <w:pPr>
        <w:spacing w:before="19"/>
      </w:pPr>
    </w:p>
    <w:p w14:paraId="1A746738">
      <w:pPr>
        <w:spacing w:before="19"/>
      </w:pPr>
    </w:p>
    <w:p w14:paraId="50A2F872">
      <w:pPr>
        <w:spacing w:before="19"/>
      </w:pPr>
    </w:p>
    <w:p w14:paraId="26140A88">
      <w:pPr>
        <w:spacing w:before="18"/>
      </w:pPr>
    </w:p>
    <w:p w14:paraId="439F1325">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3372CA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745" w:type="dxa"/>
            <w:vMerge w:val="restart"/>
            <w:tcBorders>
              <w:bottom w:val="nil"/>
            </w:tcBorders>
            <w:vAlign w:val="top"/>
          </w:tcPr>
          <w:p w14:paraId="1BD99D37">
            <w:pPr>
              <w:rPr>
                <w:rFonts w:ascii="Arial"/>
                <w:sz w:val="21"/>
              </w:rPr>
            </w:pPr>
          </w:p>
        </w:tc>
        <w:tc>
          <w:tcPr>
            <w:tcW w:w="1058" w:type="dxa"/>
            <w:vMerge w:val="restart"/>
            <w:tcBorders>
              <w:bottom w:val="nil"/>
            </w:tcBorders>
            <w:vAlign w:val="top"/>
          </w:tcPr>
          <w:p w14:paraId="0E6C2D4B">
            <w:pPr>
              <w:rPr>
                <w:rFonts w:ascii="Arial"/>
                <w:sz w:val="21"/>
              </w:rPr>
            </w:pPr>
          </w:p>
        </w:tc>
        <w:tc>
          <w:tcPr>
            <w:tcW w:w="2339" w:type="dxa"/>
            <w:vAlign w:val="top"/>
          </w:tcPr>
          <w:p w14:paraId="0E9249AA">
            <w:pPr>
              <w:pStyle w:val="6"/>
              <w:spacing w:before="148" w:line="228" w:lineRule="auto"/>
              <w:ind w:left="115"/>
            </w:pPr>
            <w:r>
              <w:rPr>
                <w:spacing w:val="6"/>
              </w:rPr>
              <w:t>分包计划</w:t>
            </w:r>
          </w:p>
        </w:tc>
        <w:tc>
          <w:tcPr>
            <w:tcW w:w="5042" w:type="dxa"/>
            <w:vAlign w:val="top"/>
          </w:tcPr>
          <w:p w14:paraId="2A20C921">
            <w:pPr>
              <w:pStyle w:val="6"/>
              <w:spacing w:before="148"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r w14:paraId="3228A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8" w:hRule="atLeast"/>
        </w:trPr>
        <w:tc>
          <w:tcPr>
            <w:tcW w:w="745" w:type="dxa"/>
            <w:vMerge w:val="continue"/>
            <w:tcBorders>
              <w:top w:val="nil"/>
              <w:bottom w:val="nil"/>
            </w:tcBorders>
            <w:vAlign w:val="top"/>
          </w:tcPr>
          <w:p w14:paraId="43823DBC">
            <w:pPr>
              <w:rPr>
                <w:rFonts w:ascii="Arial"/>
                <w:sz w:val="21"/>
              </w:rPr>
            </w:pPr>
          </w:p>
        </w:tc>
        <w:tc>
          <w:tcPr>
            <w:tcW w:w="1058" w:type="dxa"/>
            <w:vMerge w:val="continue"/>
            <w:tcBorders>
              <w:top w:val="nil"/>
              <w:bottom w:val="nil"/>
            </w:tcBorders>
            <w:vAlign w:val="top"/>
          </w:tcPr>
          <w:p w14:paraId="09FBB325">
            <w:pPr>
              <w:rPr>
                <w:rFonts w:ascii="Arial"/>
                <w:sz w:val="21"/>
              </w:rPr>
            </w:pPr>
          </w:p>
        </w:tc>
        <w:tc>
          <w:tcPr>
            <w:tcW w:w="2339" w:type="dxa"/>
            <w:vAlign w:val="top"/>
          </w:tcPr>
          <w:p w14:paraId="4509FD30">
            <w:pPr>
              <w:spacing w:line="306" w:lineRule="auto"/>
              <w:rPr>
                <w:rFonts w:ascii="Arial"/>
                <w:sz w:val="21"/>
              </w:rPr>
            </w:pPr>
          </w:p>
          <w:p w14:paraId="00988836">
            <w:pPr>
              <w:pStyle w:val="6"/>
              <w:spacing w:before="65" w:line="228" w:lineRule="auto"/>
              <w:ind w:left="114"/>
            </w:pPr>
            <w:r>
              <w:rPr>
                <w:spacing w:val="7"/>
              </w:rPr>
              <w:t>算术错误修正</w:t>
            </w:r>
          </w:p>
        </w:tc>
        <w:tc>
          <w:tcPr>
            <w:tcW w:w="5042" w:type="dxa"/>
            <w:vAlign w:val="top"/>
          </w:tcPr>
          <w:p w14:paraId="1E6E2FC6">
            <w:pPr>
              <w:pStyle w:val="6"/>
              <w:spacing w:before="32" w:line="226" w:lineRule="auto"/>
              <w:ind w:left="129"/>
            </w:pPr>
            <w:r>
              <w:rPr>
                <w:spacing w:val="7"/>
              </w:rPr>
              <w:t>1） 投标人接受算术错误修正后的报价；</w:t>
            </w:r>
          </w:p>
          <w:p w14:paraId="129ACB1A">
            <w:pPr>
              <w:pStyle w:val="6"/>
              <w:spacing w:before="163" w:line="234" w:lineRule="auto"/>
              <w:ind w:left="115" w:right="109"/>
            </w:pPr>
            <w:r>
              <w:rPr>
                <w:spacing w:val="8"/>
              </w:rPr>
              <w:t>2） 算术错误修正后的投标总价与投标总价相比偏差</w:t>
            </w:r>
            <w:r>
              <w:rPr>
                <w:spacing w:val="6"/>
              </w:rPr>
              <w:t>率不超过±1%。</w:t>
            </w:r>
          </w:p>
        </w:tc>
      </w:tr>
      <w:tr w14:paraId="601C5D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6" w:hRule="atLeast"/>
        </w:trPr>
        <w:tc>
          <w:tcPr>
            <w:tcW w:w="745" w:type="dxa"/>
            <w:vMerge w:val="continue"/>
            <w:tcBorders>
              <w:top w:val="nil"/>
              <w:bottom w:val="nil"/>
            </w:tcBorders>
            <w:vAlign w:val="top"/>
          </w:tcPr>
          <w:p w14:paraId="0225D7D9">
            <w:pPr>
              <w:rPr>
                <w:rFonts w:ascii="Arial"/>
                <w:sz w:val="21"/>
              </w:rPr>
            </w:pPr>
          </w:p>
        </w:tc>
        <w:tc>
          <w:tcPr>
            <w:tcW w:w="1058" w:type="dxa"/>
            <w:vMerge w:val="continue"/>
            <w:tcBorders>
              <w:top w:val="nil"/>
              <w:bottom w:val="nil"/>
            </w:tcBorders>
            <w:vAlign w:val="top"/>
          </w:tcPr>
          <w:p w14:paraId="087E685F">
            <w:pPr>
              <w:rPr>
                <w:rFonts w:ascii="Arial"/>
                <w:sz w:val="21"/>
              </w:rPr>
            </w:pPr>
          </w:p>
        </w:tc>
        <w:tc>
          <w:tcPr>
            <w:tcW w:w="2339" w:type="dxa"/>
            <w:vAlign w:val="top"/>
          </w:tcPr>
          <w:p w14:paraId="04E10A56">
            <w:pPr>
              <w:spacing w:line="316" w:lineRule="auto"/>
              <w:rPr>
                <w:rFonts w:ascii="Arial"/>
                <w:sz w:val="21"/>
              </w:rPr>
            </w:pPr>
          </w:p>
          <w:p w14:paraId="6A0E6CC0">
            <w:pPr>
              <w:spacing w:line="317" w:lineRule="auto"/>
              <w:rPr>
                <w:rFonts w:ascii="Arial"/>
                <w:sz w:val="21"/>
              </w:rPr>
            </w:pPr>
          </w:p>
          <w:p w14:paraId="5A89014D">
            <w:pPr>
              <w:spacing w:line="317" w:lineRule="auto"/>
              <w:rPr>
                <w:rFonts w:ascii="Arial"/>
                <w:sz w:val="21"/>
              </w:rPr>
            </w:pPr>
          </w:p>
          <w:p w14:paraId="7B57971C">
            <w:pPr>
              <w:pStyle w:val="6"/>
              <w:spacing w:before="65" w:line="226" w:lineRule="auto"/>
              <w:ind w:left="115"/>
            </w:pPr>
            <w:r>
              <w:rPr>
                <w:spacing w:val="6"/>
              </w:rPr>
              <w:t>投标价格</w:t>
            </w:r>
          </w:p>
        </w:tc>
        <w:tc>
          <w:tcPr>
            <w:tcW w:w="5042" w:type="dxa"/>
            <w:vAlign w:val="top"/>
          </w:tcPr>
          <w:p w14:paraId="10182A1B">
            <w:pPr>
              <w:pStyle w:val="6"/>
              <w:spacing w:before="68" w:line="251" w:lineRule="auto"/>
              <w:ind w:left="133" w:right="107" w:hanging="4"/>
            </w:pPr>
            <w:r>
              <w:rPr>
                <w:spacing w:val="13"/>
              </w:rPr>
              <w:t>1）投标函中的大写投标总报价与已标价工程量清单</w:t>
            </w:r>
            <w:r>
              <w:rPr>
                <w:spacing w:val="5"/>
              </w:rPr>
              <w:t>中的投标总价一致；</w:t>
            </w:r>
          </w:p>
          <w:p w14:paraId="4634B987">
            <w:pPr>
              <w:pStyle w:val="6"/>
              <w:spacing w:before="1" w:line="251" w:lineRule="auto"/>
              <w:ind w:left="114" w:right="107" w:firstLine="1"/>
            </w:pPr>
            <w:r>
              <w:rPr>
                <w:spacing w:val="13"/>
              </w:rPr>
              <w:t>2）投标函中的大写投标总报价不大于本标段招标控</w:t>
            </w:r>
            <w:r>
              <w:rPr>
                <w:spacing w:val="5"/>
              </w:rPr>
              <w:t>制价总价；</w:t>
            </w:r>
          </w:p>
          <w:p w14:paraId="36B281DA">
            <w:pPr>
              <w:pStyle w:val="6"/>
              <w:spacing w:line="251" w:lineRule="auto"/>
              <w:ind w:left="114" w:right="107" w:firstLine="3"/>
            </w:pPr>
            <w:r>
              <w:rPr>
                <w:spacing w:val="13"/>
              </w:rPr>
              <w:t>3）算术错误修正后的投标总价不大于本标段招标控</w:t>
            </w:r>
            <w:r>
              <w:rPr>
                <w:spacing w:val="5"/>
              </w:rPr>
              <w:t>制价总价；</w:t>
            </w:r>
          </w:p>
          <w:p w14:paraId="30442C8C">
            <w:pPr>
              <w:pStyle w:val="6"/>
              <w:spacing w:line="251" w:lineRule="auto"/>
              <w:ind w:left="115" w:right="107" w:hanging="3"/>
            </w:pPr>
            <w:r>
              <w:rPr>
                <w:spacing w:val="13"/>
              </w:rPr>
              <w:t>4）投标函中的大写投标总报价（算术错误修正后的</w:t>
            </w:r>
            <w:r>
              <w:rPr>
                <w:spacing w:val="8"/>
              </w:rPr>
              <w:t>投标总价，如有）不低于其成本。</w:t>
            </w:r>
          </w:p>
        </w:tc>
      </w:tr>
      <w:tr w14:paraId="7C4338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0" w:hRule="atLeast"/>
        </w:trPr>
        <w:tc>
          <w:tcPr>
            <w:tcW w:w="745" w:type="dxa"/>
            <w:vMerge w:val="continue"/>
            <w:tcBorders>
              <w:top w:val="nil"/>
            </w:tcBorders>
            <w:vAlign w:val="top"/>
          </w:tcPr>
          <w:p w14:paraId="3EE9F044">
            <w:pPr>
              <w:rPr>
                <w:rFonts w:ascii="Arial"/>
                <w:sz w:val="21"/>
              </w:rPr>
            </w:pPr>
          </w:p>
        </w:tc>
        <w:tc>
          <w:tcPr>
            <w:tcW w:w="1058" w:type="dxa"/>
            <w:vMerge w:val="continue"/>
            <w:tcBorders>
              <w:top w:val="nil"/>
            </w:tcBorders>
            <w:vAlign w:val="top"/>
          </w:tcPr>
          <w:p w14:paraId="5CC44062">
            <w:pPr>
              <w:rPr>
                <w:rFonts w:ascii="Arial"/>
                <w:sz w:val="21"/>
              </w:rPr>
            </w:pPr>
          </w:p>
        </w:tc>
        <w:tc>
          <w:tcPr>
            <w:tcW w:w="2339" w:type="dxa"/>
            <w:vAlign w:val="top"/>
          </w:tcPr>
          <w:p w14:paraId="071CC6A2">
            <w:pPr>
              <w:spacing w:line="254" w:lineRule="auto"/>
              <w:rPr>
                <w:rFonts w:ascii="Arial"/>
                <w:sz w:val="21"/>
              </w:rPr>
            </w:pPr>
          </w:p>
          <w:p w14:paraId="226A63C0">
            <w:pPr>
              <w:spacing w:line="254" w:lineRule="auto"/>
              <w:rPr>
                <w:rFonts w:ascii="Arial"/>
                <w:sz w:val="21"/>
              </w:rPr>
            </w:pPr>
          </w:p>
          <w:p w14:paraId="5A86A0E6">
            <w:pPr>
              <w:spacing w:line="254" w:lineRule="auto"/>
              <w:rPr>
                <w:rFonts w:ascii="Arial"/>
                <w:sz w:val="21"/>
              </w:rPr>
            </w:pPr>
          </w:p>
          <w:p w14:paraId="7AEB9EA8">
            <w:pPr>
              <w:spacing w:line="254" w:lineRule="auto"/>
              <w:rPr>
                <w:rFonts w:ascii="Arial"/>
                <w:sz w:val="21"/>
              </w:rPr>
            </w:pPr>
          </w:p>
          <w:p w14:paraId="21BAF63C">
            <w:pPr>
              <w:spacing w:line="254" w:lineRule="auto"/>
              <w:rPr>
                <w:rFonts w:ascii="Arial"/>
                <w:sz w:val="21"/>
              </w:rPr>
            </w:pPr>
          </w:p>
          <w:p w14:paraId="615B9298">
            <w:pPr>
              <w:spacing w:line="255" w:lineRule="auto"/>
              <w:rPr>
                <w:rFonts w:ascii="Arial"/>
                <w:sz w:val="21"/>
              </w:rPr>
            </w:pPr>
          </w:p>
          <w:p w14:paraId="54EF84FF">
            <w:pPr>
              <w:spacing w:line="255" w:lineRule="auto"/>
              <w:rPr>
                <w:rFonts w:ascii="Arial"/>
                <w:sz w:val="21"/>
              </w:rPr>
            </w:pPr>
          </w:p>
          <w:p w14:paraId="266D521C">
            <w:pPr>
              <w:spacing w:line="255" w:lineRule="auto"/>
              <w:rPr>
                <w:rFonts w:ascii="Arial"/>
                <w:sz w:val="21"/>
              </w:rPr>
            </w:pPr>
          </w:p>
          <w:p w14:paraId="781F0498">
            <w:pPr>
              <w:spacing w:line="255" w:lineRule="auto"/>
              <w:rPr>
                <w:rFonts w:ascii="Arial"/>
                <w:sz w:val="21"/>
              </w:rPr>
            </w:pPr>
          </w:p>
          <w:p w14:paraId="3BF13627">
            <w:pPr>
              <w:pStyle w:val="6"/>
              <w:spacing w:before="65" w:line="226" w:lineRule="auto"/>
              <w:ind w:left="135"/>
            </w:pPr>
            <w:r>
              <w:rPr>
                <w:spacing w:val="5"/>
              </w:rPr>
              <w:t>已标价工程量清单</w:t>
            </w:r>
          </w:p>
        </w:tc>
        <w:tc>
          <w:tcPr>
            <w:tcW w:w="5042" w:type="dxa"/>
            <w:vAlign w:val="top"/>
          </w:tcPr>
          <w:p w14:paraId="068C45EF">
            <w:pPr>
              <w:pStyle w:val="6"/>
              <w:spacing w:before="56" w:line="250"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4C8040D0">
            <w:pPr>
              <w:pStyle w:val="6"/>
              <w:spacing w:before="2" w:line="251" w:lineRule="auto"/>
              <w:ind w:left="112" w:right="107" w:firstLine="3"/>
            </w:pPr>
            <w:r>
              <w:rPr>
                <w:spacing w:val="10"/>
              </w:rPr>
              <w:t>2）</w:t>
            </w:r>
            <w:r>
              <w:rPr>
                <w:spacing w:val="-50"/>
              </w:rPr>
              <w:t xml:space="preserve"> </w:t>
            </w:r>
            <w:r>
              <w:rPr>
                <w:spacing w:val="10"/>
              </w:rPr>
              <w:t>已标价工程量清单符合第五章“工程量清</w:t>
            </w:r>
            <w:r>
              <w:rPr>
                <w:spacing w:val="9"/>
              </w:rPr>
              <w:t>单</w:t>
            </w:r>
            <w:r>
              <w:rPr>
                <w:spacing w:val="-65"/>
              </w:rPr>
              <w:t xml:space="preserve"> </w:t>
            </w:r>
            <w:r>
              <w:rPr>
                <w:spacing w:val="9"/>
              </w:rPr>
              <w:t>”给出的项目编码、项目名称、项目特征、计量单位和工</w:t>
            </w:r>
            <w:r>
              <w:rPr>
                <w:spacing w:val="3"/>
              </w:rPr>
              <w:t>程量；</w:t>
            </w:r>
          </w:p>
          <w:p w14:paraId="0B864A48">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0B0B74E3">
            <w:pPr>
              <w:pStyle w:val="6"/>
              <w:spacing w:before="28" w:line="250" w:lineRule="auto"/>
              <w:ind w:left="129" w:right="109" w:hanging="17"/>
            </w:pPr>
            <w:r>
              <w:rPr>
                <w:spacing w:val="12"/>
              </w:rPr>
              <w:t>4）专业工程暂估价符合第五章“工程量清单</w:t>
            </w:r>
            <w:r>
              <w:rPr>
                <w:spacing w:val="-63"/>
              </w:rPr>
              <w:t xml:space="preserve"> </w:t>
            </w:r>
            <w:r>
              <w:rPr>
                <w:spacing w:val="12"/>
              </w:rPr>
              <w:t>”列出</w:t>
            </w:r>
            <w:r>
              <w:t>的金额；</w:t>
            </w:r>
          </w:p>
          <w:p w14:paraId="6DDED30D">
            <w:pPr>
              <w:pStyle w:val="6"/>
              <w:spacing w:before="1" w:line="251" w:lineRule="auto"/>
              <w:ind w:left="115" w:right="109" w:firstLine="2"/>
            </w:pPr>
            <w:r>
              <w:rPr>
                <w:spacing w:val="13"/>
              </w:rPr>
              <w:t>5）材料（工程设备）暂估价符合第五章“工程量清</w:t>
            </w:r>
            <w:r>
              <w:rPr>
                <w:spacing w:val="6"/>
              </w:rPr>
              <w:t>单</w:t>
            </w:r>
            <w:r>
              <w:rPr>
                <w:spacing w:val="-64"/>
              </w:rPr>
              <w:t xml:space="preserve"> </w:t>
            </w:r>
            <w:r>
              <w:rPr>
                <w:spacing w:val="6"/>
              </w:rPr>
              <w:t>”列出的单价并计入综合单价；</w:t>
            </w:r>
          </w:p>
          <w:p w14:paraId="37597E68">
            <w:pPr>
              <w:pStyle w:val="6"/>
              <w:spacing w:before="1" w:line="251" w:lineRule="auto"/>
              <w:ind w:left="115" w:right="158"/>
            </w:pPr>
            <w:r>
              <w:rPr>
                <w:spacing w:val="11"/>
              </w:rPr>
              <w:t>6）安全文明施工费、规费和税金等不可竞争费用，</w:t>
            </w:r>
            <w:r>
              <w:rPr>
                <w:spacing w:val="7"/>
              </w:rPr>
              <w:t>按照规定的标准计取；</w:t>
            </w:r>
          </w:p>
          <w:p w14:paraId="58B98145">
            <w:pPr>
              <w:pStyle w:val="6"/>
              <w:spacing w:before="1" w:line="227" w:lineRule="auto"/>
              <w:ind w:left="118"/>
            </w:pPr>
            <w:r>
              <w:rPr>
                <w:spacing w:val="8"/>
              </w:rPr>
              <w:t>7）计税方法符合招标文件的约定；</w:t>
            </w:r>
          </w:p>
          <w:p w14:paraId="3D2668F1">
            <w:pPr>
              <w:pStyle w:val="6"/>
              <w:spacing w:before="28" w:line="248" w:lineRule="auto"/>
              <w:ind w:left="113" w:right="55"/>
            </w:pPr>
            <w:r>
              <w:rPr>
                <w:spacing w:val="7"/>
              </w:rPr>
              <w:t>8）已标价工程量清单项目未填报的项目不超过三</w:t>
            </w:r>
            <w:r>
              <w:rPr>
                <w:spacing w:val="6"/>
              </w:rPr>
              <w:t>项，</w:t>
            </w:r>
            <w:r>
              <w:rPr>
                <w:spacing w:val="9"/>
              </w:rPr>
              <w:t>且不超过三项未填报的项目的费用合计（按招标控制价相应项目的费用合计计算）不超过其投标函中的大</w:t>
            </w:r>
            <w:r>
              <w:rPr>
                <w:spacing w:val="8"/>
              </w:rPr>
              <w:t>写投标总报价（算术错误修正后的投标总价，如有）</w:t>
            </w:r>
            <w:r>
              <w:rPr>
                <w:spacing w:val="4"/>
              </w:rPr>
              <w:t>的±1%。</w:t>
            </w:r>
          </w:p>
        </w:tc>
      </w:tr>
      <w:tr w14:paraId="2066E0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45" w:type="dxa"/>
            <w:vMerge w:val="restart"/>
            <w:tcBorders>
              <w:bottom w:val="nil"/>
            </w:tcBorders>
            <w:vAlign w:val="top"/>
          </w:tcPr>
          <w:p w14:paraId="1559C9FB">
            <w:pPr>
              <w:spacing w:line="256" w:lineRule="auto"/>
              <w:rPr>
                <w:rFonts w:ascii="Arial"/>
                <w:sz w:val="21"/>
              </w:rPr>
            </w:pPr>
          </w:p>
          <w:p w14:paraId="080A98DB">
            <w:pPr>
              <w:spacing w:line="256" w:lineRule="auto"/>
              <w:rPr>
                <w:rFonts w:ascii="Arial"/>
                <w:sz w:val="21"/>
              </w:rPr>
            </w:pPr>
          </w:p>
          <w:p w14:paraId="15BB9BFE">
            <w:pPr>
              <w:spacing w:line="256" w:lineRule="auto"/>
              <w:rPr>
                <w:rFonts w:ascii="Arial"/>
                <w:sz w:val="21"/>
              </w:rPr>
            </w:pPr>
          </w:p>
          <w:p w14:paraId="3997EF2E">
            <w:pPr>
              <w:spacing w:line="257" w:lineRule="auto"/>
              <w:rPr>
                <w:rFonts w:ascii="Arial"/>
                <w:sz w:val="21"/>
              </w:rPr>
            </w:pPr>
          </w:p>
          <w:p w14:paraId="1BC62750">
            <w:pPr>
              <w:spacing w:line="257" w:lineRule="auto"/>
              <w:rPr>
                <w:rFonts w:ascii="Arial"/>
                <w:sz w:val="21"/>
              </w:rPr>
            </w:pPr>
          </w:p>
          <w:p w14:paraId="1C2F6921">
            <w:pPr>
              <w:spacing w:line="257" w:lineRule="auto"/>
              <w:rPr>
                <w:rFonts w:ascii="Arial"/>
                <w:sz w:val="21"/>
              </w:rPr>
            </w:pPr>
          </w:p>
          <w:p w14:paraId="32AB1D8B">
            <w:pPr>
              <w:spacing w:line="257" w:lineRule="auto"/>
              <w:rPr>
                <w:rFonts w:ascii="Arial"/>
                <w:sz w:val="21"/>
              </w:rPr>
            </w:pPr>
          </w:p>
          <w:p w14:paraId="331FBEBC">
            <w:pPr>
              <w:spacing w:line="257" w:lineRule="auto"/>
              <w:rPr>
                <w:rFonts w:ascii="Arial"/>
                <w:sz w:val="21"/>
              </w:rPr>
            </w:pPr>
          </w:p>
          <w:p w14:paraId="6D618283">
            <w:pPr>
              <w:spacing w:line="257" w:lineRule="auto"/>
              <w:rPr>
                <w:rFonts w:ascii="Arial"/>
                <w:sz w:val="21"/>
              </w:rPr>
            </w:pPr>
          </w:p>
          <w:p w14:paraId="3AAA53F2">
            <w:pPr>
              <w:spacing w:line="257" w:lineRule="auto"/>
              <w:rPr>
                <w:rFonts w:ascii="Arial"/>
                <w:sz w:val="21"/>
              </w:rPr>
            </w:pPr>
          </w:p>
          <w:p w14:paraId="5AA3AF23">
            <w:pPr>
              <w:spacing w:line="257" w:lineRule="auto"/>
              <w:rPr>
                <w:rFonts w:ascii="Arial"/>
                <w:sz w:val="21"/>
              </w:rPr>
            </w:pPr>
          </w:p>
          <w:p w14:paraId="3C190F88">
            <w:pPr>
              <w:spacing w:line="257" w:lineRule="auto"/>
              <w:rPr>
                <w:rFonts w:ascii="Arial"/>
                <w:sz w:val="21"/>
              </w:rPr>
            </w:pPr>
          </w:p>
          <w:p w14:paraId="5279A936">
            <w:pPr>
              <w:spacing w:line="257" w:lineRule="auto"/>
              <w:rPr>
                <w:rFonts w:ascii="Arial"/>
                <w:sz w:val="21"/>
              </w:rPr>
            </w:pPr>
          </w:p>
          <w:p w14:paraId="284F6F52">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1.4</w:t>
            </w:r>
          </w:p>
        </w:tc>
        <w:tc>
          <w:tcPr>
            <w:tcW w:w="1058" w:type="dxa"/>
            <w:vMerge w:val="restart"/>
            <w:tcBorders>
              <w:bottom w:val="nil"/>
            </w:tcBorders>
            <w:vAlign w:val="top"/>
          </w:tcPr>
          <w:p w14:paraId="6945DBE6">
            <w:pPr>
              <w:spacing w:line="250" w:lineRule="auto"/>
              <w:rPr>
                <w:rFonts w:ascii="Arial"/>
                <w:sz w:val="21"/>
              </w:rPr>
            </w:pPr>
          </w:p>
          <w:p w14:paraId="46EA3F89">
            <w:pPr>
              <w:spacing w:line="250" w:lineRule="auto"/>
              <w:rPr>
                <w:rFonts w:ascii="Arial"/>
                <w:sz w:val="21"/>
              </w:rPr>
            </w:pPr>
          </w:p>
          <w:p w14:paraId="043BC504">
            <w:pPr>
              <w:spacing w:line="251" w:lineRule="auto"/>
              <w:rPr>
                <w:rFonts w:ascii="Arial"/>
                <w:sz w:val="21"/>
              </w:rPr>
            </w:pPr>
          </w:p>
          <w:p w14:paraId="5DF9A16D">
            <w:pPr>
              <w:spacing w:line="251" w:lineRule="auto"/>
              <w:rPr>
                <w:rFonts w:ascii="Arial"/>
                <w:sz w:val="21"/>
              </w:rPr>
            </w:pPr>
          </w:p>
          <w:p w14:paraId="367719BB">
            <w:pPr>
              <w:spacing w:line="251" w:lineRule="auto"/>
              <w:rPr>
                <w:rFonts w:ascii="Arial"/>
                <w:sz w:val="21"/>
              </w:rPr>
            </w:pPr>
          </w:p>
          <w:p w14:paraId="3D25B5D5">
            <w:pPr>
              <w:spacing w:line="251" w:lineRule="auto"/>
              <w:rPr>
                <w:rFonts w:ascii="Arial"/>
                <w:sz w:val="21"/>
              </w:rPr>
            </w:pPr>
          </w:p>
          <w:p w14:paraId="63A20943">
            <w:pPr>
              <w:spacing w:line="251" w:lineRule="auto"/>
              <w:rPr>
                <w:rFonts w:ascii="Arial"/>
                <w:sz w:val="21"/>
              </w:rPr>
            </w:pPr>
          </w:p>
          <w:p w14:paraId="398CF9AB">
            <w:pPr>
              <w:spacing w:line="251" w:lineRule="auto"/>
              <w:rPr>
                <w:rFonts w:ascii="Arial"/>
                <w:sz w:val="21"/>
              </w:rPr>
            </w:pPr>
          </w:p>
          <w:p w14:paraId="57A8891B">
            <w:pPr>
              <w:spacing w:line="251" w:lineRule="auto"/>
              <w:rPr>
                <w:rFonts w:ascii="Arial"/>
                <w:sz w:val="21"/>
              </w:rPr>
            </w:pPr>
          </w:p>
          <w:p w14:paraId="08B44BBF">
            <w:pPr>
              <w:spacing w:line="251" w:lineRule="auto"/>
              <w:rPr>
                <w:rFonts w:ascii="Arial"/>
                <w:sz w:val="21"/>
              </w:rPr>
            </w:pPr>
          </w:p>
          <w:p w14:paraId="3A310349">
            <w:pPr>
              <w:spacing w:line="251" w:lineRule="auto"/>
              <w:rPr>
                <w:rFonts w:ascii="Arial"/>
                <w:sz w:val="21"/>
              </w:rPr>
            </w:pPr>
          </w:p>
          <w:p w14:paraId="5C2E8A74">
            <w:pPr>
              <w:spacing w:line="251" w:lineRule="auto"/>
              <w:rPr>
                <w:rFonts w:ascii="Arial"/>
                <w:sz w:val="21"/>
              </w:rPr>
            </w:pPr>
          </w:p>
          <w:p w14:paraId="09F2ACCC">
            <w:pPr>
              <w:pStyle w:val="6"/>
              <w:spacing w:before="65" w:line="251" w:lineRule="auto"/>
              <w:ind w:left="326" w:right="111" w:hanging="215"/>
            </w:pPr>
            <w:r>
              <w:rPr>
                <w:spacing w:val="7"/>
              </w:rPr>
              <w:t>施工组织</w:t>
            </w:r>
            <w:r>
              <w:rPr>
                <w:spacing w:val="3"/>
              </w:rPr>
              <w:t>设计</w:t>
            </w:r>
          </w:p>
          <w:p w14:paraId="6C99AD40">
            <w:pPr>
              <w:pStyle w:val="6"/>
              <w:spacing w:line="228" w:lineRule="auto"/>
              <w:ind w:left="111"/>
            </w:pPr>
            <w:r>
              <w:rPr>
                <w:spacing w:val="7"/>
              </w:rPr>
              <w:t>评审标准</w:t>
            </w:r>
          </w:p>
        </w:tc>
        <w:tc>
          <w:tcPr>
            <w:tcW w:w="2339" w:type="dxa"/>
            <w:vAlign w:val="top"/>
          </w:tcPr>
          <w:p w14:paraId="7ED99004">
            <w:pPr>
              <w:pStyle w:val="6"/>
              <w:spacing w:before="248" w:line="228" w:lineRule="auto"/>
              <w:ind w:left="115"/>
            </w:pPr>
            <w:r>
              <w:rPr>
                <w:spacing w:val="6"/>
              </w:rPr>
              <w:t>工程概况</w:t>
            </w:r>
          </w:p>
        </w:tc>
        <w:tc>
          <w:tcPr>
            <w:tcW w:w="5042" w:type="dxa"/>
            <w:vAlign w:val="top"/>
          </w:tcPr>
          <w:p w14:paraId="015A5E9E">
            <w:pPr>
              <w:pStyle w:val="6"/>
              <w:spacing w:before="112" w:line="251" w:lineRule="auto"/>
              <w:ind w:left="113" w:right="109" w:firstLine="2"/>
            </w:pPr>
            <w:r>
              <w:rPr>
                <w:spacing w:val="9"/>
              </w:rPr>
              <w:t>工程主要情况、各专业设计简介、工程施工条件描述</w:t>
            </w:r>
            <w:r>
              <w:rPr>
                <w:spacing w:val="5"/>
              </w:rPr>
              <w:t>基本准确。</w:t>
            </w:r>
          </w:p>
        </w:tc>
      </w:tr>
      <w:tr w14:paraId="7BB570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9" w:hRule="atLeast"/>
        </w:trPr>
        <w:tc>
          <w:tcPr>
            <w:tcW w:w="745" w:type="dxa"/>
            <w:vMerge w:val="continue"/>
            <w:tcBorders>
              <w:top w:val="nil"/>
              <w:bottom w:val="nil"/>
            </w:tcBorders>
            <w:vAlign w:val="top"/>
          </w:tcPr>
          <w:p w14:paraId="568841B9">
            <w:pPr>
              <w:rPr>
                <w:rFonts w:ascii="Arial"/>
                <w:sz w:val="21"/>
              </w:rPr>
            </w:pPr>
          </w:p>
        </w:tc>
        <w:tc>
          <w:tcPr>
            <w:tcW w:w="1058" w:type="dxa"/>
            <w:vMerge w:val="continue"/>
            <w:tcBorders>
              <w:top w:val="nil"/>
              <w:bottom w:val="nil"/>
            </w:tcBorders>
            <w:vAlign w:val="top"/>
          </w:tcPr>
          <w:p w14:paraId="55A64963">
            <w:pPr>
              <w:rPr>
                <w:rFonts w:ascii="Arial"/>
                <w:sz w:val="21"/>
              </w:rPr>
            </w:pPr>
          </w:p>
        </w:tc>
        <w:tc>
          <w:tcPr>
            <w:tcW w:w="2339" w:type="dxa"/>
            <w:vAlign w:val="top"/>
          </w:tcPr>
          <w:p w14:paraId="12F76791">
            <w:pPr>
              <w:spacing w:line="244" w:lineRule="auto"/>
              <w:rPr>
                <w:rFonts w:ascii="Arial"/>
                <w:sz w:val="21"/>
              </w:rPr>
            </w:pPr>
          </w:p>
          <w:p w14:paraId="6F367EF3">
            <w:pPr>
              <w:spacing w:line="244" w:lineRule="auto"/>
              <w:rPr>
                <w:rFonts w:ascii="Arial"/>
                <w:sz w:val="21"/>
              </w:rPr>
            </w:pPr>
          </w:p>
          <w:p w14:paraId="5BFE3F63">
            <w:pPr>
              <w:spacing w:line="244" w:lineRule="auto"/>
              <w:rPr>
                <w:rFonts w:ascii="Arial"/>
                <w:sz w:val="21"/>
              </w:rPr>
            </w:pPr>
          </w:p>
          <w:p w14:paraId="05A53030">
            <w:pPr>
              <w:pStyle w:val="6"/>
              <w:spacing w:before="65" w:line="228" w:lineRule="auto"/>
              <w:ind w:left="111"/>
            </w:pPr>
            <w:r>
              <w:rPr>
                <w:spacing w:val="7"/>
              </w:rPr>
              <w:t>施工部署</w:t>
            </w:r>
          </w:p>
        </w:tc>
        <w:tc>
          <w:tcPr>
            <w:tcW w:w="5042" w:type="dxa"/>
            <w:vAlign w:val="top"/>
          </w:tcPr>
          <w:p w14:paraId="2D4BE9BE">
            <w:pPr>
              <w:pStyle w:val="6"/>
              <w:spacing w:before="119" w:line="252" w:lineRule="auto"/>
              <w:ind w:left="112" w:right="107" w:firstLine="3"/>
              <w:jc w:val="both"/>
            </w:pPr>
            <w:r>
              <w:rPr>
                <w:spacing w:val="9"/>
              </w:rPr>
              <w:t>工程施工目标、主要施工内容、施工流水段划分、施工的重点和难点分析、工程管理的组织机构形式、项目经理部的工作岗位设置及其职责划分、新技术、新工艺部署及其技术和管理要求（如有）、主要分包工程施工单位的选择要求及管理方式（如有）等各项安</w:t>
            </w:r>
            <w:r>
              <w:rPr>
                <w:spacing w:val="7"/>
              </w:rPr>
              <w:t>排合理、可行。</w:t>
            </w:r>
          </w:p>
        </w:tc>
      </w:tr>
      <w:tr w14:paraId="769B2B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745" w:type="dxa"/>
            <w:vMerge w:val="continue"/>
            <w:tcBorders>
              <w:top w:val="nil"/>
              <w:bottom w:val="nil"/>
            </w:tcBorders>
            <w:vAlign w:val="top"/>
          </w:tcPr>
          <w:p w14:paraId="56679E0E">
            <w:pPr>
              <w:rPr>
                <w:rFonts w:ascii="Arial"/>
                <w:sz w:val="21"/>
              </w:rPr>
            </w:pPr>
          </w:p>
        </w:tc>
        <w:tc>
          <w:tcPr>
            <w:tcW w:w="1058" w:type="dxa"/>
            <w:vMerge w:val="continue"/>
            <w:tcBorders>
              <w:top w:val="nil"/>
              <w:bottom w:val="nil"/>
            </w:tcBorders>
            <w:vAlign w:val="top"/>
          </w:tcPr>
          <w:p w14:paraId="300A2869">
            <w:pPr>
              <w:rPr>
                <w:rFonts w:ascii="Arial"/>
                <w:sz w:val="21"/>
              </w:rPr>
            </w:pPr>
          </w:p>
        </w:tc>
        <w:tc>
          <w:tcPr>
            <w:tcW w:w="2339" w:type="dxa"/>
            <w:vAlign w:val="top"/>
          </w:tcPr>
          <w:p w14:paraId="5B2F1C0F">
            <w:pPr>
              <w:pStyle w:val="6"/>
              <w:spacing w:before="207" w:line="228" w:lineRule="auto"/>
              <w:ind w:left="111"/>
            </w:pPr>
            <w:r>
              <w:rPr>
                <w:spacing w:val="8"/>
              </w:rPr>
              <w:t>施工进度计划</w:t>
            </w:r>
          </w:p>
        </w:tc>
        <w:tc>
          <w:tcPr>
            <w:tcW w:w="5042" w:type="dxa"/>
            <w:vAlign w:val="top"/>
          </w:tcPr>
          <w:p w14:paraId="718FD021">
            <w:pPr>
              <w:pStyle w:val="6"/>
              <w:spacing w:before="207" w:line="228" w:lineRule="auto"/>
              <w:ind w:left="129"/>
            </w:pPr>
            <w:r>
              <w:rPr>
                <w:spacing w:val="8"/>
              </w:rPr>
              <w:t>网络图或横道图安排的进度计划合理、可行。</w:t>
            </w:r>
          </w:p>
        </w:tc>
      </w:tr>
      <w:tr w14:paraId="032704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9" w:hRule="atLeast"/>
        </w:trPr>
        <w:tc>
          <w:tcPr>
            <w:tcW w:w="745" w:type="dxa"/>
            <w:vMerge w:val="continue"/>
            <w:tcBorders>
              <w:top w:val="nil"/>
            </w:tcBorders>
            <w:vAlign w:val="top"/>
          </w:tcPr>
          <w:p w14:paraId="776CBD44">
            <w:pPr>
              <w:rPr>
                <w:rFonts w:ascii="Arial"/>
                <w:sz w:val="21"/>
              </w:rPr>
            </w:pPr>
          </w:p>
        </w:tc>
        <w:tc>
          <w:tcPr>
            <w:tcW w:w="1058" w:type="dxa"/>
            <w:vMerge w:val="continue"/>
            <w:tcBorders>
              <w:top w:val="nil"/>
            </w:tcBorders>
            <w:vAlign w:val="top"/>
          </w:tcPr>
          <w:p w14:paraId="29B36BC7">
            <w:pPr>
              <w:rPr>
                <w:rFonts w:ascii="Arial"/>
                <w:sz w:val="21"/>
              </w:rPr>
            </w:pPr>
          </w:p>
        </w:tc>
        <w:tc>
          <w:tcPr>
            <w:tcW w:w="2339" w:type="dxa"/>
            <w:vAlign w:val="top"/>
          </w:tcPr>
          <w:p w14:paraId="3EE1952A">
            <w:pPr>
              <w:pStyle w:val="6"/>
              <w:spacing w:before="294" w:line="229" w:lineRule="auto"/>
              <w:ind w:left="111"/>
            </w:pPr>
            <w:r>
              <w:rPr>
                <w:spacing w:val="8"/>
              </w:rPr>
              <w:t>施工准备与</w:t>
            </w:r>
          </w:p>
          <w:p w14:paraId="4D4FBA26">
            <w:pPr>
              <w:pStyle w:val="6"/>
              <w:spacing w:before="23" w:line="229" w:lineRule="auto"/>
              <w:ind w:left="121"/>
            </w:pPr>
            <w:r>
              <w:rPr>
                <w:spacing w:val="6"/>
              </w:rPr>
              <w:t>资源配置计划</w:t>
            </w:r>
          </w:p>
        </w:tc>
        <w:tc>
          <w:tcPr>
            <w:tcW w:w="5042" w:type="dxa"/>
            <w:vAlign w:val="top"/>
          </w:tcPr>
          <w:p w14:paraId="0805C146">
            <w:pPr>
              <w:pStyle w:val="6"/>
              <w:spacing w:before="158" w:line="252" w:lineRule="auto"/>
              <w:ind w:left="114" w:right="107"/>
              <w:jc w:val="both"/>
            </w:pPr>
            <w:r>
              <w:rPr>
                <w:spacing w:val="9"/>
              </w:rPr>
              <w:t>技术准备、现场准备和资金准备；资源配置计划包括劳动力配置计划、主要工程材料和设备配置计划、主要周转材料和施工机具配置计划等内容完备，可行。</w:t>
            </w:r>
          </w:p>
        </w:tc>
      </w:tr>
    </w:tbl>
    <w:p w14:paraId="1D6C8A35">
      <w:pPr>
        <w:rPr>
          <w:rFonts w:ascii="Arial"/>
          <w:sz w:val="21"/>
        </w:rPr>
      </w:pPr>
    </w:p>
    <w:p w14:paraId="5E030EC8">
      <w:pPr>
        <w:rPr>
          <w:rFonts w:ascii="Arial" w:hAnsi="Arial" w:eastAsia="Arial" w:cs="Arial"/>
          <w:sz w:val="21"/>
          <w:szCs w:val="21"/>
        </w:rPr>
        <w:sectPr>
          <w:footerReference r:id="rId97" w:type="default"/>
          <w:pgSz w:w="11907" w:h="16840"/>
          <w:pgMar w:top="400" w:right="1248" w:bottom="1035" w:left="1469" w:header="0" w:footer="785" w:gutter="0"/>
          <w:cols w:space="720" w:num="1"/>
        </w:sectPr>
      </w:pPr>
    </w:p>
    <w:p w14:paraId="29418D62">
      <w:pPr>
        <w:spacing w:before="19"/>
      </w:pPr>
    </w:p>
    <w:p w14:paraId="5F5F2761">
      <w:pPr>
        <w:spacing w:before="19"/>
      </w:pPr>
    </w:p>
    <w:p w14:paraId="51A96EBA">
      <w:pPr>
        <w:spacing w:before="19"/>
      </w:pPr>
    </w:p>
    <w:p w14:paraId="53D77018">
      <w:pPr>
        <w:spacing w:before="18"/>
      </w:pPr>
    </w:p>
    <w:p w14:paraId="05D0A3E5">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255"/>
        <w:gridCol w:w="5042"/>
      </w:tblGrid>
      <w:tr w14:paraId="642AB7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6" w:hRule="atLeast"/>
        </w:trPr>
        <w:tc>
          <w:tcPr>
            <w:tcW w:w="745" w:type="dxa"/>
            <w:vMerge w:val="restart"/>
            <w:tcBorders>
              <w:bottom w:val="nil"/>
            </w:tcBorders>
            <w:vAlign w:val="top"/>
          </w:tcPr>
          <w:p w14:paraId="5C502F5A">
            <w:pPr>
              <w:rPr>
                <w:rFonts w:ascii="Arial"/>
                <w:sz w:val="21"/>
              </w:rPr>
            </w:pPr>
          </w:p>
        </w:tc>
        <w:tc>
          <w:tcPr>
            <w:tcW w:w="1058" w:type="dxa"/>
            <w:vMerge w:val="restart"/>
            <w:tcBorders>
              <w:bottom w:val="nil"/>
            </w:tcBorders>
            <w:vAlign w:val="top"/>
          </w:tcPr>
          <w:p w14:paraId="7743ACED">
            <w:pPr>
              <w:rPr>
                <w:rFonts w:ascii="Arial"/>
                <w:sz w:val="21"/>
              </w:rPr>
            </w:pPr>
          </w:p>
        </w:tc>
        <w:tc>
          <w:tcPr>
            <w:tcW w:w="2339" w:type="dxa"/>
            <w:gridSpan w:val="2"/>
            <w:vAlign w:val="top"/>
          </w:tcPr>
          <w:p w14:paraId="338E3B9E">
            <w:pPr>
              <w:spacing w:line="305" w:lineRule="auto"/>
              <w:rPr>
                <w:rFonts w:ascii="Arial"/>
                <w:sz w:val="21"/>
              </w:rPr>
            </w:pPr>
          </w:p>
          <w:p w14:paraId="51B61554">
            <w:pPr>
              <w:spacing w:line="305" w:lineRule="auto"/>
              <w:rPr>
                <w:rFonts w:ascii="Arial"/>
                <w:sz w:val="21"/>
              </w:rPr>
            </w:pPr>
          </w:p>
          <w:p w14:paraId="125C3EC8">
            <w:pPr>
              <w:pStyle w:val="6"/>
              <w:spacing w:before="65" w:line="228" w:lineRule="auto"/>
              <w:ind w:left="114"/>
            </w:pPr>
            <w:r>
              <w:rPr>
                <w:spacing w:val="7"/>
              </w:rPr>
              <w:t>主要施工方案</w:t>
            </w:r>
          </w:p>
        </w:tc>
        <w:tc>
          <w:tcPr>
            <w:tcW w:w="5042" w:type="dxa"/>
            <w:vAlign w:val="top"/>
          </w:tcPr>
          <w:p w14:paraId="7FDD55B5">
            <w:pPr>
              <w:pStyle w:val="6"/>
              <w:spacing w:before="133" w:line="252" w:lineRule="auto"/>
              <w:ind w:left="112" w:right="57" w:firstLine="2"/>
            </w:pPr>
            <w:r>
              <w:rPr>
                <w:spacing w:val="9"/>
              </w:rPr>
              <w:t>主要分部、分项工程施工方案合理、可行；脚手架工程、起重吊装工程、临时用水用电工程、季节性施工</w:t>
            </w:r>
            <w:r>
              <w:rPr>
                <w:spacing w:val="2"/>
              </w:rPr>
              <w:t>等专项工程的施工方案（如有）有必要的验算和说明；</w:t>
            </w:r>
            <w:r>
              <w:rPr>
                <w:spacing w:val="10"/>
              </w:rPr>
              <w:t>对易发生质量通病、易出现安全问题、施工难度大、</w:t>
            </w:r>
            <w:r>
              <w:rPr>
                <w:spacing w:val="9"/>
              </w:rPr>
              <w:t>技术含量高的分项工程（工序）等有重点说明。</w:t>
            </w:r>
          </w:p>
        </w:tc>
      </w:tr>
      <w:tr w14:paraId="31E9C4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5" w:hRule="atLeast"/>
        </w:trPr>
        <w:tc>
          <w:tcPr>
            <w:tcW w:w="745" w:type="dxa"/>
            <w:vMerge w:val="continue"/>
            <w:tcBorders>
              <w:top w:val="nil"/>
              <w:bottom w:val="nil"/>
            </w:tcBorders>
            <w:vAlign w:val="top"/>
          </w:tcPr>
          <w:p w14:paraId="1865DB75">
            <w:pPr>
              <w:rPr>
                <w:rFonts w:ascii="Arial"/>
                <w:sz w:val="21"/>
              </w:rPr>
            </w:pPr>
          </w:p>
        </w:tc>
        <w:tc>
          <w:tcPr>
            <w:tcW w:w="1058" w:type="dxa"/>
            <w:vMerge w:val="continue"/>
            <w:tcBorders>
              <w:top w:val="nil"/>
              <w:bottom w:val="nil"/>
            </w:tcBorders>
            <w:vAlign w:val="top"/>
          </w:tcPr>
          <w:p w14:paraId="2A955C4C">
            <w:pPr>
              <w:rPr>
                <w:rFonts w:ascii="Arial"/>
                <w:sz w:val="21"/>
              </w:rPr>
            </w:pPr>
          </w:p>
        </w:tc>
        <w:tc>
          <w:tcPr>
            <w:tcW w:w="2339" w:type="dxa"/>
            <w:gridSpan w:val="2"/>
            <w:vAlign w:val="top"/>
          </w:tcPr>
          <w:p w14:paraId="6E28CACC">
            <w:pPr>
              <w:spacing w:line="245" w:lineRule="auto"/>
              <w:rPr>
                <w:rFonts w:ascii="Arial"/>
                <w:sz w:val="21"/>
              </w:rPr>
            </w:pPr>
          </w:p>
          <w:p w14:paraId="007DBF4B">
            <w:pPr>
              <w:spacing w:line="246" w:lineRule="auto"/>
              <w:rPr>
                <w:rFonts w:ascii="Arial"/>
                <w:sz w:val="21"/>
              </w:rPr>
            </w:pPr>
          </w:p>
          <w:p w14:paraId="12EF9233">
            <w:pPr>
              <w:spacing w:line="246" w:lineRule="auto"/>
              <w:rPr>
                <w:rFonts w:ascii="Arial"/>
                <w:sz w:val="21"/>
              </w:rPr>
            </w:pPr>
          </w:p>
          <w:p w14:paraId="1AF4131D">
            <w:pPr>
              <w:pStyle w:val="6"/>
              <w:spacing w:before="65" w:line="227" w:lineRule="auto"/>
              <w:ind w:left="111"/>
            </w:pPr>
            <w:r>
              <w:rPr>
                <w:spacing w:val="8"/>
              </w:rPr>
              <w:t>施工现场平面布置</w:t>
            </w:r>
          </w:p>
        </w:tc>
        <w:tc>
          <w:tcPr>
            <w:tcW w:w="5042" w:type="dxa"/>
            <w:vAlign w:val="top"/>
          </w:tcPr>
          <w:p w14:paraId="1422ACCE">
            <w:pPr>
              <w:pStyle w:val="6"/>
              <w:spacing w:before="122" w:line="252" w:lineRule="auto"/>
              <w:ind w:left="112" w:right="107"/>
              <w:jc w:val="both"/>
            </w:pPr>
            <w:r>
              <w:rPr>
                <w:spacing w:val="9"/>
              </w:rPr>
              <w:t>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要素齐全，现场平面布置合理可行。</w:t>
            </w:r>
          </w:p>
        </w:tc>
      </w:tr>
      <w:tr w14:paraId="790FCD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trPr>
        <w:tc>
          <w:tcPr>
            <w:tcW w:w="745" w:type="dxa"/>
            <w:vMerge w:val="continue"/>
            <w:tcBorders>
              <w:top w:val="nil"/>
              <w:bottom w:val="nil"/>
            </w:tcBorders>
            <w:vAlign w:val="top"/>
          </w:tcPr>
          <w:p w14:paraId="6602DFFA">
            <w:pPr>
              <w:rPr>
                <w:rFonts w:ascii="Arial"/>
                <w:sz w:val="21"/>
              </w:rPr>
            </w:pPr>
          </w:p>
        </w:tc>
        <w:tc>
          <w:tcPr>
            <w:tcW w:w="1058" w:type="dxa"/>
            <w:vMerge w:val="continue"/>
            <w:tcBorders>
              <w:top w:val="nil"/>
              <w:bottom w:val="nil"/>
            </w:tcBorders>
            <w:vAlign w:val="top"/>
          </w:tcPr>
          <w:p w14:paraId="0F457A06">
            <w:pPr>
              <w:rPr>
                <w:rFonts w:ascii="Arial"/>
                <w:sz w:val="21"/>
              </w:rPr>
            </w:pPr>
          </w:p>
        </w:tc>
        <w:tc>
          <w:tcPr>
            <w:tcW w:w="2339" w:type="dxa"/>
            <w:gridSpan w:val="2"/>
            <w:vAlign w:val="top"/>
          </w:tcPr>
          <w:p w14:paraId="43470D3D">
            <w:pPr>
              <w:spacing w:line="301" w:lineRule="auto"/>
              <w:rPr>
                <w:rFonts w:ascii="Arial"/>
                <w:sz w:val="21"/>
              </w:rPr>
            </w:pPr>
          </w:p>
          <w:p w14:paraId="21D7BD50">
            <w:pPr>
              <w:spacing w:line="301" w:lineRule="auto"/>
              <w:rPr>
                <w:rFonts w:ascii="Arial"/>
                <w:sz w:val="21"/>
              </w:rPr>
            </w:pPr>
          </w:p>
          <w:p w14:paraId="1F71E9CB">
            <w:pPr>
              <w:pStyle w:val="6"/>
              <w:spacing w:before="65" w:line="228" w:lineRule="auto"/>
              <w:ind w:left="114"/>
            </w:pPr>
            <w:r>
              <w:rPr>
                <w:spacing w:val="8"/>
              </w:rPr>
              <w:t>主要施工管理计划</w:t>
            </w:r>
          </w:p>
        </w:tc>
        <w:tc>
          <w:tcPr>
            <w:tcW w:w="5042" w:type="dxa"/>
            <w:vAlign w:val="top"/>
          </w:tcPr>
          <w:p w14:paraId="43D192AD">
            <w:pPr>
              <w:pStyle w:val="6"/>
              <w:spacing w:before="125" w:line="252" w:lineRule="auto"/>
              <w:ind w:left="113" w:right="109" w:hanging="2"/>
            </w:pPr>
            <w:r>
              <w:rPr>
                <w:spacing w:val="9"/>
              </w:rPr>
              <w:t>进度管理计划、质量管理计划、安全管理计划、环境管理计划、成本管理计划、治安保卫管理计划、合同管理计划，组织协调管理计划、成品保护管理计划、质量保修管理计划、人力资源、施工机具、材料设备</w:t>
            </w:r>
            <w:r>
              <w:rPr>
                <w:spacing w:val="8"/>
              </w:rPr>
              <w:t>等管理计划内容基本完备，可行。</w:t>
            </w:r>
          </w:p>
        </w:tc>
      </w:tr>
      <w:tr w14:paraId="46467D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 w:hRule="atLeast"/>
        </w:trPr>
        <w:tc>
          <w:tcPr>
            <w:tcW w:w="745" w:type="dxa"/>
            <w:vMerge w:val="continue"/>
            <w:tcBorders>
              <w:top w:val="nil"/>
            </w:tcBorders>
            <w:vAlign w:val="top"/>
          </w:tcPr>
          <w:p w14:paraId="37738F05">
            <w:pPr>
              <w:rPr>
                <w:rFonts w:ascii="Arial"/>
                <w:sz w:val="21"/>
              </w:rPr>
            </w:pPr>
          </w:p>
        </w:tc>
        <w:tc>
          <w:tcPr>
            <w:tcW w:w="1058" w:type="dxa"/>
            <w:vMerge w:val="continue"/>
            <w:tcBorders>
              <w:top w:val="nil"/>
            </w:tcBorders>
            <w:vAlign w:val="top"/>
          </w:tcPr>
          <w:p w14:paraId="5E166BF5">
            <w:pPr>
              <w:rPr>
                <w:rFonts w:ascii="Arial"/>
                <w:sz w:val="21"/>
              </w:rPr>
            </w:pPr>
          </w:p>
        </w:tc>
        <w:tc>
          <w:tcPr>
            <w:tcW w:w="7381" w:type="dxa"/>
            <w:gridSpan w:val="3"/>
            <w:vAlign w:val="top"/>
          </w:tcPr>
          <w:p w14:paraId="390A5E7C">
            <w:pPr>
              <w:pStyle w:val="6"/>
              <w:spacing w:before="113" w:line="252" w:lineRule="auto"/>
              <w:ind w:left="111" w:right="160"/>
            </w:pPr>
            <w:r>
              <w:rPr>
                <w:spacing w:val="7"/>
              </w:rPr>
              <w:t>施工组织设计各项内容只作定性评审，即只作“合格</w:t>
            </w:r>
            <w:r>
              <w:rPr>
                <w:spacing w:val="-64"/>
              </w:rPr>
              <w:t xml:space="preserve"> </w:t>
            </w:r>
            <w:r>
              <w:rPr>
                <w:spacing w:val="7"/>
              </w:rPr>
              <w:t>”与“不合格</w:t>
            </w:r>
            <w:r>
              <w:rPr>
                <w:spacing w:val="-72"/>
              </w:rPr>
              <w:t xml:space="preserve"> </w:t>
            </w:r>
            <w:r>
              <w:rPr>
                <w:spacing w:val="7"/>
              </w:rPr>
              <w:t>”的评审，</w:t>
            </w:r>
            <w:r>
              <w:rPr>
                <w:spacing w:val="8"/>
              </w:rPr>
              <w:t>七项内容中有不少于四项合格即视为施工组织设计“合格</w:t>
            </w:r>
            <w:r>
              <w:rPr>
                <w:spacing w:val="-65"/>
              </w:rPr>
              <w:t xml:space="preserve"> </w:t>
            </w:r>
            <w:r>
              <w:rPr>
                <w:spacing w:val="8"/>
              </w:rPr>
              <w:t>”。</w:t>
            </w:r>
          </w:p>
        </w:tc>
      </w:tr>
      <w:tr w14:paraId="4E0B3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trPr>
        <w:tc>
          <w:tcPr>
            <w:tcW w:w="1803" w:type="dxa"/>
            <w:gridSpan w:val="2"/>
            <w:vAlign w:val="top"/>
          </w:tcPr>
          <w:p w14:paraId="36C96588">
            <w:pPr>
              <w:spacing w:line="348" w:lineRule="auto"/>
              <w:rPr>
                <w:rFonts w:ascii="Arial"/>
                <w:sz w:val="21"/>
              </w:rPr>
            </w:pPr>
          </w:p>
          <w:p w14:paraId="6DE921E0">
            <w:pPr>
              <w:spacing w:line="348" w:lineRule="auto"/>
              <w:rPr>
                <w:rFonts w:ascii="Arial"/>
                <w:sz w:val="21"/>
              </w:rPr>
            </w:pPr>
          </w:p>
          <w:p w14:paraId="4902AEEA">
            <w:pPr>
              <w:spacing w:before="58"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3"/>
            <w:vAlign w:val="top"/>
          </w:tcPr>
          <w:p w14:paraId="5D9020BD">
            <w:pPr>
              <w:pStyle w:val="6"/>
              <w:spacing w:before="302" w:line="227" w:lineRule="auto"/>
              <w:ind w:left="111"/>
            </w:pPr>
            <w:r>
              <w:rPr>
                <w:spacing w:val="9"/>
              </w:rPr>
              <w:t>在本标段招标投标活动中，投标人不得存在的其他情形：</w:t>
            </w:r>
          </w:p>
          <w:p w14:paraId="11DABB34">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3B2AE6F2">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662C92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03" w:type="dxa"/>
            <w:gridSpan w:val="2"/>
            <w:vAlign w:val="top"/>
          </w:tcPr>
          <w:p w14:paraId="46D28A06">
            <w:pPr>
              <w:pStyle w:val="6"/>
              <w:spacing w:before="122" w:line="228" w:lineRule="auto"/>
              <w:ind w:left="592"/>
            </w:pPr>
            <w:r>
              <w:rPr>
                <w:b/>
                <w:bCs/>
                <w:spacing w:val="5"/>
              </w:rPr>
              <w:t>条款号</w:t>
            </w:r>
          </w:p>
        </w:tc>
        <w:tc>
          <w:tcPr>
            <w:tcW w:w="2084" w:type="dxa"/>
            <w:vAlign w:val="top"/>
          </w:tcPr>
          <w:p w14:paraId="6C02CEDE">
            <w:pPr>
              <w:pStyle w:val="6"/>
              <w:spacing w:before="122" w:line="228" w:lineRule="auto"/>
              <w:ind w:left="627"/>
            </w:pPr>
            <w:r>
              <w:rPr>
                <w:b/>
                <w:bCs/>
                <w:spacing w:val="6"/>
              </w:rPr>
              <w:t>条款内容</w:t>
            </w:r>
          </w:p>
        </w:tc>
        <w:tc>
          <w:tcPr>
            <w:tcW w:w="5297" w:type="dxa"/>
            <w:gridSpan w:val="2"/>
            <w:vAlign w:val="top"/>
          </w:tcPr>
          <w:p w14:paraId="3FD0DD5D">
            <w:pPr>
              <w:pStyle w:val="6"/>
              <w:spacing w:before="122" w:line="228" w:lineRule="auto"/>
              <w:ind w:left="2232"/>
            </w:pPr>
            <w:r>
              <w:rPr>
                <w:b/>
                <w:bCs/>
                <w:spacing w:val="6"/>
              </w:rPr>
              <w:t>编列内容</w:t>
            </w:r>
          </w:p>
        </w:tc>
      </w:tr>
      <w:tr w14:paraId="40C8FD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trPr>
        <w:tc>
          <w:tcPr>
            <w:tcW w:w="1803" w:type="dxa"/>
            <w:gridSpan w:val="2"/>
            <w:vAlign w:val="top"/>
          </w:tcPr>
          <w:p w14:paraId="5BC47ECB">
            <w:pPr>
              <w:spacing w:line="274" w:lineRule="auto"/>
              <w:rPr>
                <w:rFonts w:ascii="Arial"/>
                <w:sz w:val="21"/>
              </w:rPr>
            </w:pPr>
          </w:p>
          <w:p w14:paraId="1261C18D">
            <w:pPr>
              <w:spacing w:line="274" w:lineRule="auto"/>
              <w:rPr>
                <w:rFonts w:ascii="Arial"/>
                <w:sz w:val="21"/>
              </w:rPr>
            </w:pPr>
          </w:p>
          <w:p w14:paraId="0798A464">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66C1F5F9">
            <w:pPr>
              <w:spacing w:line="318" w:lineRule="auto"/>
              <w:rPr>
                <w:rFonts w:ascii="Arial"/>
                <w:sz w:val="21"/>
              </w:rPr>
            </w:pPr>
          </w:p>
          <w:p w14:paraId="373CD338">
            <w:pPr>
              <w:pStyle w:val="6"/>
              <w:spacing w:before="65" w:line="228" w:lineRule="auto"/>
              <w:ind w:left="115"/>
            </w:pPr>
            <w:r>
              <w:rPr>
                <w:spacing w:val="6"/>
              </w:rPr>
              <w:t>分值构成</w:t>
            </w:r>
          </w:p>
          <w:p w14:paraId="22F06F70">
            <w:pPr>
              <w:pStyle w:val="6"/>
              <w:spacing w:before="25" w:line="228" w:lineRule="auto"/>
              <w:ind w:left="122"/>
            </w:pPr>
            <w:r>
              <w:t>（总分</w:t>
            </w:r>
            <w:r>
              <w:rPr>
                <w:spacing w:val="-16"/>
              </w:rPr>
              <w:t xml:space="preserve"> </w:t>
            </w:r>
            <w:r>
              <w:t>100</w:t>
            </w:r>
            <w:r>
              <w:rPr>
                <w:spacing w:val="-35"/>
              </w:rPr>
              <w:t xml:space="preserve"> </w:t>
            </w:r>
            <w:r>
              <w:t>分+5</w:t>
            </w:r>
            <w:r>
              <w:rPr>
                <w:spacing w:val="-38"/>
              </w:rPr>
              <w:t xml:space="preserve"> </w:t>
            </w:r>
            <w:r>
              <w:t>分）</w:t>
            </w:r>
          </w:p>
        </w:tc>
        <w:tc>
          <w:tcPr>
            <w:tcW w:w="5297" w:type="dxa"/>
            <w:gridSpan w:val="2"/>
            <w:vAlign w:val="top"/>
          </w:tcPr>
          <w:p w14:paraId="7DF1EE64">
            <w:pPr>
              <w:pStyle w:val="6"/>
              <w:spacing w:before="249" w:line="226" w:lineRule="auto"/>
              <w:ind w:left="116"/>
            </w:pPr>
            <w:r>
              <w:rPr>
                <w:spacing w:val="3"/>
              </w:rPr>
              <w:t>投标报价：</w:t>
            </w:r>
            <w:r>
              <w:rPr>
                <w:spacing w:val="19"/>
              </w:rPr>
              <w:t xml:space="preserve">   </w:t>
            </w:r>
            <w:r>
              <w:rPr>
                <w:spacing w:val="3"/>
              </w:rPr>
              <w:t>100 分（+5</w:t>
            </w:r>
            <w:r>
              <w:rPr>
                <w:spacing w:val="-38"/>
              </w:rPr>
              <w:t xml:space="preserve"> </w:t>
            </w:r>
            <w:r>
              <w:rPr>
                <w:spacing w:val="3"/>
              </w:rPr>
              <w:t>分）</w:t>
            </w:r>
          </w:p>
          <w:p w14:paraId="6742AFA6">
            <w:pPr>
              <w:pStyle w:val="6"/>
              <w:spacing w:before="26" w:line="227" w:lineRule="auto"/>
              <w:ind w:left="117"/>
            </w:pPr>
            <w:r>
              <w:rPr>
                <w:spacing w:val="5"/>
              </w:rPr>
              <w:t>项目管理机构：</w:t>
            </w:r>
            <w:r>
              <w:rPr>
                <w:spacing w:val="33"/>
              </w:rPr>
              <w:t xml:space="preserve"> </w:t>
            </w:r>
            <w:r>
              <w:rPr>
                <w:spacing w:val="5"/>
              </w:rPr>
              <w:t>0 分</w:t>
            </w:r>
          </w:p>
          <w:p w14:paraId="490E9D2F">
            <w:pPr>
              <w:pStyle w:val="6"/>
              <w:spacing w:before="27" w:line="228" w:lineRule="auto"/>
              <w:ind w:left="114"/>
            </w:pPr>
            <w:r>
              <w:rPr>
                <w:spacing w:val="6"/>
              </w:rPr>
              <w:t>其他评分因素：</w:t>
            </w:r>
            <w:r>
              <w:rPr>
                <w:spacing w:val="26"/>
              </w:rPr>
              <w:t xml:space="preserve"> </w:t>
            </w:r>
            <w:r>
              <w:rPr>
                <w:spacing w:val="6"/>
              </w:rPr>
              <w:t>0 分</w:t>
            </w:r>
          </w:p>
        </w:tc>
      </w:tr>
      <w:tr w14:paraId="7560D5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3" w:hRule="atLeast"/>
        </w:trPr>
        <w:tc>
          <w:tcPr>
            <w:tcW w:w="1803" w:type="dxa"/>
            <w:gridSpan w:val="2"/>
            <w:vAlign w:val="top"/>
          </w:tcPr>
          <w:p w14:paraId="33FFD5BF">
            <w:pPr>
              <w:spacing w:line="335" w:lineRule="auto"/>
              <w:rPr>
                <w:rFonts w:ascii="Arial"/>
                <w:sz w:val="21"/>
              </w:rPr>
            </w:pPr>
          </w:p>
          <w:p w14:paraId="7C1AABF0">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3B52CCAE">
            <w:pPr>
              <w:pStyle w:val="6"/>
              <w:spacing w:before="197"/>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4AA11E4D">
            <w:pPr>
              <w:spacing w:line="449" w:lineRule="auto"/>
              <w:rPr>
                <w:rFonts w:ascii="Arial"/>
                <w:sz w:val="21"/>
              </w:rPr>
            </w:pPr>
          </w:p>
          <w:p w14:paraId="71E942BF">
            <w:pPr>
              <w:pStyle w:val="6"/>
              <w:spacing w:before="65" w:line="226" w:lineRule="auto"/>
              <w:ind w:left="111"/>
            </w:pPr>
            <w:r>
              <w:rPr>
                <w:spacing w:val="8"/>
              </w:rPr>
              <w:t>评标价确定方法</w:t>
            </w:r>
          </w:p>
        </w:tc>
        <w:tc>
          <w:tcPr>
            <w:tcW w:w="5297" w:type="dxa"/>
            <w:gridSpan w:val="2"/>
            <w:vAlign w:val="top"/>
          </w:tcPr>
          <w:p w14:paraId="4A5F1531">
            <w:pPr>
              <w:pStyle w:val="6"/>
              <w:spacing w:before="245" w:line="251" w:lineRule="auto"/>
              <w:ind w:left="112" w:right="135"/>
              <w:jc w:val="both"/>
            </w:pPr>
            <w:r>
              <w:rPr>
                <w:spacing w:val="6"/>
              </w:rPr>
              <w:t>评标价＝投标函中的大写投标总报价（或经投标人书面</w:t>
            </w:r>
            <w:r>
              <w:rPr>
                <w:spacing w:val="1"/>
              </w:rPr>
              <w:t>确认的算术错误修正后的投标总价）-（暂列金额+税金）</w:t>
            </w:r>
            <w:r>
              <w:rPr>
                <w:spacing w:val="17"/>
              </w:rPr>
              <w:t xml:space="preserve"> </w:t>
            </w:r>
            <w:r>
              <w:rPr>
                <w:spacing w:val="7"/>
              </w:rPr>
              <w:t>-（专业工程暂估价+税金）</w:t>
            </w:r>
          </w:p>
        </w:tc>
      </w:tr>
      <w:tr w14:paraId="36FCD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2" w:hRule="atLeast"/>
        </w:trPr>
        <w:tc>
          <w:tcPr>
            <w:tcW w:w="1803" w:type="dxa"/>
            <w:gridSpan w:val="2"/>
            <w:vAlign w:val="top"/>
          </w:tcPr>
          <w:p w14:paraId="316E06DB">
            <w:pPr>
              <w:spacing w:line="256" w:lineRule="auto"/>
              <w:rPr>
                <w:rFonts w:ascii="Arial"/>
                <w:sz w:val="21"/>
              </w:rPr>
            </w:pPr>
          </w:p>
          <w:p w14:paraId="550BA0B4">
            <w:pPr>
              <w:spacing w:line="256" w:lineRule="auto"/>
              <w:rPr>
                <w:rFonts w:ascii="Arial"/>
                <w:sz w:val="21"/>
              </w:rPr>
            </w:pPr>
          </w:p>
          <w:p w14:paraId="1B3105FD">
            <w:pPr>
              <w:spacing w:line="257" w:lineRule="auto"/>
              <w:rPr>
                <w:rFonts w:ascii="Arial"/>
                <w:sz w:val="21"/>
              </w:rPr>
            </w:pPr>
          </w:p>
          <w:p w14:paraId="3B34BEFA">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7679E972">
            <w:pPr>
              <w:pStyle w:val="6"/>
              <w:spacing w:before="197"/>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664BAF4D">
            <w:pPr>
              <w:spacing w:line="248" w:lineRule="auto"/>
              <w:rPr>
                <w:rFonts w:ascii="Arial"/>
                <w:sz w:val="21"/>
              </w:rPr>
            </w:pPr>
          </w:p>
          <w:p w14:paraId="282FC441">
            <w:pPr>
              <w:spacing w:line="249" w:lineRule="auto"/>
              <w:rPr>
                <w:rFonts w:ascii="Arial"/>
                <w:sz w:val="21"/>
              </w:rPr>
            </w:pPr>
          </w:p>
          <w:p w14:paraId="4B21D365">
            <w:pPr>
              <w:spacing w:line="249" w:lineRule="auto"/>
              <w:rPr>
                <w:rFonts w:ascii="Arial"/>
                <w:sz w:val="21"/>
              </w:rPr>
            </w:pPr>
          </w:p>
          <w:p w14:paraId="3DC2CA8B">
            <w:pPr>
              <w:pStyle w:val="6"/>
              <w:spacing w:before="65" w:line="255" w:lineRule="auto"/>
              <w:ind w:left="112" w:right="107" w:hanging="1"/>
            </w:pPr>
            <w:r>
              <w:rPr>
                <w:spacing w:val="32"/>
              </w:rPr>
              <w:t>评标基准价计算方</w:t>
            </w:r>
            <w:r>
              <w:t>法</w:t>
            </w:r>
          </w:p>
        </w:tc>
        <w:tc>
          <w:tcPr>
            <w:tcW w:w="5297" w:type="dxa"/>
            <w:gridSpan w:val="2"/>
            <w:vAlign w:val="top"/>
          </w:tcPr>
          <w:p w14:paraId="0C98A138">
            <w:pPr>
              <w:pStyle w:val="6"/>
              <w:spacing w:before="137"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32EFFA79">
            <w:pPr>
              <w:pStyle w:val="6"/>
              <w:spacing w:before="2" w:line="252"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18E52C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trPr>
        <w:tc>
          <w:tcPr>
            <w:tcW w:w="1803" w:type="dxa"/>
            <w:gridSpan w:val="2"/>
            <w:vAlign w:val="top"/>
          </w:tcPr>
          <w:p w14:paraId="7E1C85A3">
            <w:pPr>
              <w:spacing w:line="330" w:lineRule="auto"/>
              <w:rPr>
                <w:rFonts w:ascii="Arial"/>
                <w:sz w:val="21"/>
              </w:rPr>
            </w:pPr>
          </w:p>
          <w:p w14:paraId="125ED033">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43CD34E4">
            <w:pPr>
              <w:pStyle w:val="6"/>
              <w:spacing w:before="165" w:line="252" w:lineRule="auto"/>
              <w:ind w:left="112" w:right="296" w:firstLine="2"/>
            </w:pPr>
            <w:r>
              <w:rPr>
                <w:spacing w:val="8"/>
              </w:rPr>
              <w:t>投标报价的偏差率</w:t>
            </w:r>
            <w:r>
              <w:rPr>
                <w:spacing w:val="7"/>
              </w:rPr>
              <w:t>计算公式</w:t>
            </w:r>
          </w:p>
        </w:tc>
        <w:tc>
          <w:tcPr>
            <w:tcW w:w="5297" w:type="dxa"/>
            <w:gridSpan w:val="2"/>
            <w:vAlign w:val="top"/>
          </w:tcPr>
          <w:p w14:paraId="4AB891AE">
            <w:pPr>
              <w:pStyle w:val="6"/>
              <w:spacing w:before="166" w:line="251" w:lineRule="auto"/>
              <w:ind w:left="115" w:right="107" w:hanging="1"/>
            </w:pPr>
            <w:r>
              <w:rPr>
                <w:spacing w:val="6"/>
              </w:rPr>
              <w:t>偏差率=100%×（投标人评标价－评标基准价）÷评标基</w:t>
            </w:r>
            <w:r>
              <w:rPr>
                <w:spacing w:val="3"/>
              </w:rPr>
              <w:t>准价</w:t>
            </w:r>
          </w:p>
        </w:tc>
      </w:tr>
    </w:tbl>
    <w:p w14:paraId="7AEBC6C7">
      <w:pPr>
        <w:rPr>
          <w:rFonts w:ascii="Arial"/>
          <w:sz w:val="21"/>
        </w:rPr>
      </w:pPr>
    </w:p>
    <w:p w14:paraId="76275DBC">
      <w:pPr>
        <w:rPr>
          <w:rFonts w:ascii="Arial" w:hAnsi="Arial" w:eastAsia="Arial" w:cs="Arial"/>
          <w:sz w:val="21"/>
          <w:szCs w:val="21"/>
        </w:rPr>
        <w:sectPr>
          <w:footerReference r:id="rId98" w:type="default"/>
          <w:pgSz w:w="11907" w:h="16840"/>
          <w:pgMar w:top="400" w:right="1248" w:bottom="1035" w:left="1469" w:header="0" w:footer="785" w:gutter="0"/>
          <w:cols w:space="720" w:num="1"/>
        </w:sectPr>
      </w:pPr>
    </w:p>
    <w:p w14:paraId="262E88B0">
      <w:pPr>
        <w:spacing w:before="19"/>
      </w:pPr>
    </w:p>
    <w:p w14:paraId="7D77811E">
      <w:pPr>
        <w:spacing w:before="19"/>
      </w:pPr>
    </w:p>
    <w:p w14:paraId="17A22C29">
      <w:pPr>
        <w:spacing w:before="19"/>
      </w:pPr>
    </w:p>
    <w:p w14:paraId="5A519A80">
      <w:pPr>
        <w:spacing w:before="18"/>
      </w:pPr>
    </w:p>
    <w:p w14:paraId="243055EA">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33507A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803" w:type="dxa"/>
            <w:gridSpan w:val="2"/>
            <w:vAlign w:val="top"/>
          </w:tcPr>
          <w:p w14:paraId="563E1BB6">
            <w:pPr>
              <w:pStyle w:val="6"/>
              <w:spacing w:before="171" w:line="228" w:lineRule="auto"/>
              <w:ind w:left="592"/>
            </w:pPr>
            <w:r>
              <w:rPr>
                <w:b/>
                <w:bCs/>
                <w:spacing w:val="5"/>
              </w:rPr>
              <w:t>条款号</w:t>
            </w:r>
          </w:p>
        </w:tc>
        <w:tc>
          <w:tcPr>
            <w:tcW w:w="2084" w:type="dxa"/>
            <w:vAlign w:val="top"/>
          </w:tcPr>
          <w:p w14:paraId="4CA22703">
            <w:pPr>
              <w:pStyle w:val="6"/>
              <w:spacing w:before="171" w:line="228" w:lineRule="auto"/>
              <w:ind w:left="625"/>
            </w:pPr>
            <w:r>
              <w:rPr>
                <w:b/>
                <w:bCs/>
                <w:spacing w:val="6"/>
              </w:rPr>
              <w:t>评分因素</w:t>
            </w:r>
          </w:p>
        </w:tc>
        <w:tc>
          <w:tcPr>
            <w:tcW w:w="735" w:type="dxa"/>
            <w:vAlign w:val="top"/>
          </w:tcPr>
          <w:p w14:paraId="237BCDD8">
            <w:pPr>
              <w:pStyle w:val="6"/>
              <w:spacing w:before="34" w:line="235" w:lineRule="auto"/>
              <w:ind w:left="269" w:right="155" w:hanging="107"/>
            </w:pPr>
            <w:r>
              <w:rPr>
                <w:b/>
                <w:bCs/>
                <w:spacing w:val="3"/>
              </w:rPr>
              <w:t>标准</w:t>
            </w:r>
            <w:r>
              <w:rPr>
                <w:b/>
                <w:bCs/>
                <w:spacing w:val="-3"/>
              </w:rPr>
              <w:t>分</w:t>
            </w:r>
          </w:p>
        </w:tc>
        <w:tc>
          <w:tcPr>
            <w:tcW w:w="4562" w:type="dxa"/>
            <w:vAlign w:val="top"/>
          </w:tcPr>
          <w:p w14:paraId="4A381357">
            <w:pPr>
              <w:pStyle w:val="6"/>
              <w:spacing w:before="172" w:line="228" w:lineRule="auto"/>
              <w:ind w:left="1862"/>
            </w:pPr>
            <w:r>
              <w:rPr>
                <w:b/>
                <w:bCs/>
                <w:spacing w:val="6"/>
              </w:rPr>
              <w:t>评分标准</w:t>
            </w:r>
          </w:p>
        </w:tc>
      </w:tr>
      <w:tr w14:paraId="113A3F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4" w:hRule="atLeast"/>
        </w:trPr>
        <w:tc>
          <w:tcPr>
            <w:tcW w:w="745" w:type="dxa"/>
            <w:vMerge w:val="restart"/>
            <w:tcBorders>
              <w:bottom w:val="nil"/>
            </w:tcBorders>
            <w:vAlign w:val="top"/>
          </w:tcPr>
          <w:p w14:paraId="42753BC4">
            <w:pPr>
              <w:spacing w:line="243" w:lineRule="auto"/>
              <w:rPr>
                <w:rFonts w:ascii="Arial"/>
                <w:sz w:val="21"/>
              </w:rPr>
            </w:pPr>
          </w:p>
          <w:p w14:paraId="2BE94BBE">
            <w:pPr>
              <w:spacing w:line="243" w:lineRule="auto"/>
              <w:rPr>
                <w:rFonts w:ascii="Arial"/>
                <w:sz w:val="21"/>
              </w:rPr>
            </w:pPr>
          </w:p>
          <w:p w14:paraId="24BE33B4">
            <w:pPr>
              <w:spacing w:line="243" w:lineRule="auto"/>
              <w:rPr>
                <w:rFonts w:ascii="Arial"/>
                <w:sz w:val="21"/>
              </w:rPr>
            </w:pPr>
          </w:p>
          <w:p w14:paraId="201D74ED">
            <w:pPr>
              <w:spacing w:line="243" w:lineRule="auto"/>
              <w:rPr>
                <w:rFonts w:ascii="Arial"/>
                <w:sz w:val="21"/>
              </w:rPr>
            </w:pPr>
          </w:p>
          <w:p w14:paraId="5942CF0C">
            <w:pPr>
              <w:spacing w:line="243" w:lineRule="auto"/>
              <w:rPr>
                <w:rFonts w:ascii="Arial"/>
                <w:sz w:val="21"/>
              </w:rPr>
            </w:pPr>
          </w:p>
          <w:p w14:paraId="16C226F8">
            <w:pPr>
              <w:spacing w:line="243" w:lineRule="auto"/>
              <w:rPr>
                <w:rFonts w:ascii="Arial"/>
                <w:sz w:val="21"/>
              </w:rPr>
            </w:pPr>
          </w:p>
          <w:p w14:paraId="243C1E00">
            <w:pPr>
              <w:spacing w:line="243" w:lineRule="auto"/>
              <w:rPr>
                <w:rFonts w:ascii="Arial"/>
                <w:sz w:val="21"/>
              </w:rPr>
            </w:pPr>
          </w:p>
          <w:p w14:paraId="12819997">
            <w:pPr>
              <w:spacing w:line="243" w:lineRule="auto"/>
              <w:rPr>
                <w:rFonts w:ascii="Arial"/>
                <w:sz w:val="21"/>
              </w:rPr>
            </w:pPr>
          </w:p>
          <w:p w14:paraId="40E68342">
            <w:pPr>
              <w:spacing w:line="243" w:lineRule="auto"/>
              <w:rPr>
                <w:rFonts w:ascii="Arial"/>
                <w:sz w:val="21"/>
              </w:rPr>
            </w:pPr>
          </w:p>
          <w:p w14:paraId="7F2D76EF">
            <w:pPr>
              <w:spacing w:line="243" w:lineRule="auto"/>
              <w:rPr>
                <w:rFonts w:ascii="Arial"/>
                <w:sz w:val="21"/>
              </w:rPr>
            </w:pPr>
          </w:p>
          <w:p w14:paraId="0BCB3918">
            <w:pPr>
              <w:spacing w:line="243" w:lineRule="auto"/>
              <w:rPr>
                <w:rFonts w:ascii="Arial"/>
                <w:sz w:val="21"/>
              </w:rPr>
            </w:pPr>
          </w:p>
          <w:p w14:paraId="1377066C">
            <w:pPr>
              <w:spacing w:line="243" w:lineRule="auto"/>
              <w:rPr>
                <w:rFonts w:ascii="Arial"/>
                <w:sz w:val="21"/>
              </w:rPr>
            </w:pPr>
          </w:p>
          <w:p w14:paraId="45D1C4B5">
            <w:pPr>
              <w:spacing w:line="243" w:lineRule="auto"/>
              <w:rPr>
                <w:rFonts w:ascii="Arial"/>
                <w:sz w:val="21"/>
              </w:rPr>
            </w:pPr>
          </w:p>
          <w:p w14:paraId="45BBF11D">
            <w:pPr>
              <w:spacing w:line="243" w:lineRule="auto"/>
              <w:rPr>
                <w:rFonts w:ascii="Arial"/>
                <w:sz w:val="21"/>
              </w:rPr>
            </w:pPr>
          </w:p>
          <w:p w14:paraId="221C508C">
            <w:pPr>
              <w:spacing w:line="244" w:lineRule="auto"/>
              <w:rPr>
                <w:rFonts w:ascii="Arial"/>
                <w:sz w:val="21"/>
              </w:rPr>
            </w:pPr>
          </w:p>
          <w:p w14:paraId="3440C8D5">
            <w:pPr>
              <w:spacing w:line="244" w:lineRule="auto"/>
              <w:rPr>
                <w:rFonts w:ascii="Arial"/>
                <w:sz w:val="21"/>
              </w:rPr>
            </w:pPr>
          </w:p>
          <w:p w14:paraId="661E9498">
            <w:pPr>
              <w:spacing w:line="244" w:lineRule="auto"/>
              <w:rPr>
                <w:rFonts w:ascii="Arial"/>
                <w:sz w:val="21"/>
              </w:rPr>
            </w:pPr>
          </w:p>
          <w:p w14:paraId="0E34280C">
            <w:pPr>
              <w:spacing w:line="244" w:lineRule="auto"/>
              <w:rPr>
                <w:rFonts w:ascii="Arial"/>
                <w:sz w:val="21"/>
              </w:rPr>
            </w:pPr>
          </w:p>
          <w:p w14:paraId="33AE7456">
            <w:pPr>
              <w:spacing w:line="244" w:lineRule="auto"/>
              <w:rPr>
                <w:rFonts w:ascii="Arial"/>
                <w:sz w:val="21"/>
              </w:rPr>
            </w:pPr>
          </w:p>
          <w:p w14:paraId="639C39EC">
            <w:pPr>
              <w:spacing w:line="244" w:lineRule="auto"/>
              <w:rPr>
                <w:rFonts w:ascii="Arial"/>
                <w:sz w:val="21"/>
              </w:rPr>
            </w:pPr>
          </w:p>
          <w:p w14:paraId="76926E85">
            <w:pPr>
              <w:spacing w:line="244" w:lineRule="auto"/>
              <w:rPr>
                <w:rFonts w:ascii="Arial"/>
                <w:sz w:val="21"/>
              </w:rPr>
            </w:pPr>
          </w:p>
          <w:p w14:paraId="33B6A585">
            <w:pPr>
              <w:spacing w:line="244" w:lineRule="auto"/>
              <w:rPr>
                <w:rFonts w:ascii="Arial"/>
                <w:sz w:val="21"/>
              </w:rPr>
            </w:pPr>
          </w:p>
          <w:p w14:paraId="2E74228F">
            <w:pPr>
              <w:spacing w:line="244" w:lineRule="auto"/>
              <w:rPr>
                <w:rFonts w:ascii="Arial"/>
                <w:sz w:val="21"/>
              </w:rPr>
            </w:pPr>
          </w:p>
          <w:p w14:paraId="48B11FF3">
            <w:pPr>
              <w:spacing w:line="244" w:lineRule="auto"/>
              <w:rPr>
                <w:rFonts w:ascii="Arial"/>
                <w:sz w:val="21"/>
              </w:rPr>
            </w:pPr>
          </w:p>
          <w:p w14:paraId="637B4E42">
            <w:pPr>
              <w:spacing w:line="244" w:lineRule="auto"/>
              <w:rPr>
                <w:rFonts w:ascii="Arial"/>
                <w:sz w:val="21"/>
              </w:rPr>
            </w:pPr>
          </w:p>
          <w:p w14:paraId="229CB67F">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2F025EEB">
            <w:pPr>
              <w:pStyle w:val="6"/>
              <w:spacing w:before="197"/>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5EBA2F52">
            <w:pPr>
              <w:spacing w:line="242" w:lineRule="auto"/>
              <w:rPr>
                <w:rFonts w:ascii="Arial"/>
                <w:sz w:val="21"/>
              </w:rPr>
            </w:pPr>
          </w:p>
          <w:p w14:paraId="649231E5">
            <w:pPr>
              <w:spacing w:line="242" w:lineRule="auto"/>
              <w:rPr>
                <w:rFonts w:ascii="Arial"/>
                <w:sz w:val="21"/>
              </w:rPr>
            </w:pPr>
          </w:p>
          <w:p w14:paraId="613C45F3">
            <w:pPr>
              <w:spacing w:line="242" w:lineRule="auto"/>
              <w:rPr>
                <w:rFonts w:ascii="Arial"/>
                <w:sz w:val="21"/>
              </w:rPr>
            </w:pPr>
          </w:p>
          <w:p w14:paraId="30ACB1EC">
            <w:pPr>
              <w:spacing w:line="242" w:lineRule="auto"/>
              <w:rPr>
                <w:rFonts w:ascii="Arial"/>
                <w:sz w:val="21"/>
              </w:rPr>
            </w:pPr>
          </w:p>
          <w:p w14:paraId="47A9548E">
            <w:pPr>
              <w:spacing w:line="242" w:lineRule="auto"/>
              <w:rPr>
                <w:rFonts w:ascii="Arial"/>
                <w:sz w:val="21"/>
              </w:rPr>
            </w:pPr>
          </w:p>
          <w:p w14:paraId="68DCABD5">
            <w:pPr>
              <w:spacing w:line="242" w:lineRule="auto"/>
              <w:rPr>
                <w:rFonts w:ascii="Arial"/>
                <w:sz w:val="21"/>
              </w:rPr>
            </w:pPr>
          </w:p>
          <w:p w14:paraId="3B7D643B">
            <w:pPr>
              <w:spacing w:line="242" w:lineRule="auto"/>
              <w:rPr>
                <w:rFonts w:ascii="Arial"/>
                <w:sz w:val="21"/>
              </w:rPr>
            </w:pPr>
          </w:p>
          <w:p w14:paraId="199678F0">
            <w:pPr>
              <w:spacing w:line="242" w:lineRule="auto"/>
              <w:rPr>
                <w:rFonts w:ascii="Arial"/>
                <w:sz w:val="21"/>
              </w:rPr>
            </w:pPr>
          </w:p>
          <w:p w14:paraId="7AD0300A">
            <w:pPr>
              <w:spacing w:line="242" w:lineRule="auto"/>
              <w:rPr>
                <w:rFonts w:ascii="Arial"/>
                <w:sz w:val="21"/>
              </w:rPr>
            </w:pPr>
          </w:p>
          <w:p w14:paraId="2E494F71">
            <w:pPr>
              <w:spacing w:line="242" w:lineRule="auto"/>
              <w:rPr>
                <w:rFonts w:ascii="Arial"/>
                <w:sz w:val="21"/>
              </w:rPr>
            </w:pPr>
          </w:p>
          <w:p w14:paraId="3FC3AE42">
            <w:pPr>
              <w:spacing w:line="243" w:lineRule="auto"/>
              <w:rPr>
                <w:rFonts w:ascii="Arial"/>
                <w:sz w:val="21"/>
              </w:rPr>
            </w:pPr>
          </w:p>
          <w:p w14:paraId="1AB9A2DD">
            <w:pPr>
              <w:spacing w:line="243" w:lineRule="auto"/>
              <w:rPr>
                <w:rFonts w:ascii="Arial"/>
                <w:sz w:val="21"/>
              </w:rPr>
            </w:pPr>
          </w:p>
          <w:p w14:paraId="76540BAD">
            <w:pPr>
              <w:spacing w:line="243" w:lineRule="auto"/>
              <w:rPr>
                <w:rFonts w:ascii="Arial"/>
                <w:sz w:val="21"/>
              </w:rPr>
            </w:pPr>
          </w:p>
          <w:p w14:paraId="314C7B4D">
            <w:pPr>
              <w:spacing w:line="243" w:lineRule="auto"/>
              <w:rPr>
                <w:rFonts w:ascii="Arial"/>
                <w:sz w:val="21"/>
              </w:rPr>
            </w:pPr>
          </w:p>
          <w:p w14:paraId="2E6A1EED">
            <w:pPr>
              <w:spacing w:line="243" w:lineRule="auto"/>
              <w:rPr>
                <w:rFonts w:ascii="Arial"/>
                <w:sz w:val="21"/>
              </w:rPr>
            </w:pPr>
          </w:p>
          <w:p w14:paraId="51AA41F0">
            <w:pPr>
              <w:spacing w:line="243" w:lineRule="auto"/>
              <w:rPr>
                <w:rFonts w:ascii="Arial"/>
                <w:sz w:val="21"/>
              </w:rPr>
            </w:pPr>
          </w:p>
          <w:p w14:paraId="09401763">
            <w:pPr>
              <w:spacing w:line="243" w:lineRule="auto"/>
              <w:rPr>
                <w:rFonts w:ascii="Arial"/>
                <w:sz w:val="21"/>
              </w:rPr>
            </w:pPr>
          </w:p>
          <w:p w14:paraId="50A41E62">
            <w:pPr>
              <w:spacing w:line="243" w:lineRule="auto"/>
              <w:rPr>
                <w:rFonts w:ascii="Arial"/>
                <w:sz w:val="21"/>
              </w:rPr>
            </w:pPr>
          </w:p>
          <w:p w14:paraId="777A0FD7">
            <w:pPr>
              <w:spacing w:line="243" w:lineRule="auto"/>
              <w:rPr>
                <w:rFonts w:ascii="Arial"/>
                <w:sz w:val="21"/>
              </w:rPr>
            </w:pPr>
          </w:p>
          <w:p w14:paraId="32C83DC7">
            <w:pPr>
              <w:spacing w:line="243" w:lineRule="auto"/>
              <w:rPr>
                <w:rFonts w:ascii="Arial"/>
                <w:sz w:val="21"/>
              </w:rPr>
            </w:pPr>
          </w:p>
          <w:p w14:paraId="674AF153">
            <w:pPr>
              <w:spacing w:line="243" w:lineRule="auto"/>
              <w:rPr>
                <w:rFonts w:ascii="Arial"/>
                <w:sz w:val="21"/>
              </w:rPr>
            </w:pPr>
          </w:p>
          <w:p w14:paraId="2D2050A8">
            <w:pPr>
              <w:spacing w:line="243" w:lineRule="auto"/>
              <w:rPr>
                <w:rFonts w:ascii="Arial"/>
                <w:sz w:val="21"/>
              </w:rPr>
            </w:pPr>
          </w:p>
          <w:p w14:paraId="3AA0BEE1">
            <w:pPr>
              <w:spacing w:line="243" w:lineRule="auto"/>
              <w:rPr>
                <w:rFonts w:ascii="Arial"/>
                <w:sz w:val="21"/>
              </w:rPr>
            </w:pPr>
          </w:p>
          <w:p w14:paraId="5D09F72D">
            <w:pPr>
              <w:spacing w:line="243" w:lineRule="auto"/>
              <w:rPr>
                <w:rFonts w:ascii="Arial"/>
                <w:sz w:val="21"/>
              </w:rPr>
            </w:pPr>
          </w:p>
          <w:p w14:paraId="164A207E">
            <w:pPr>
              <w:spacing w:line="243" w:lineRule="auto"/>
              <w:rPr>
                <w:rFonts w:ascii="Arial"/>
                <w:sz w:val="21"/>
              </w:rPr>
            </w:pPr>
          </w:p>
          <w:p w14:paraId="07F6DE13">
            <w:pPr>
              <w:pStyle w:val="6"/>
              <w:spacing w:before="65" w:line="252" w:lineRule="auto"/>
              <w:ind w:left="111" w:right="111" w:firstLine="3"/>
            </w:pPr>
            <w:r>
              <w:rPr>
                <w:spacing w:val="6"/>
              </w:rPr>
              <w:t>投标报价</w:t>
            </w:r>
            <w:r>
              <w:rPr>
                <w:spacing w:val="7"/>
              </w:rPr>
              <w:t>评分标准</w:t>
            </w:r>
          </w:p>
        </w:tc>
        <w:tc>
          <w:tcPr>
            <w:tcW w:w="2084" w:type="dxa"/>
            <w:vAlign w:val="top"/>
          </w:tcPr>
          <w:p w14:paraId="6C5D8B4E">
            <w:pPr>
              <w:spacing w:line="348" w:lineRule="auto"/>
              <w:rPr>
                <w:rFonts w:ascii="Arial"/>
                <w:sz w:val="21"/>
              </w:rPr>
            </w:pPr>
          </w:p>
          <w:p w14:paraId="11DC429E">
            <w:pPr>
              <w:spacing w:line="348" w:lineRule="auto"/>
              <w:rPr>
                <w:rFonts w:ascii="Arial"/>
                <w:sz w:val="21"/>
              </w:rPr>
            </w:pPr>
          </w:p>
          <w:p w14:paraId="7443C815">
            <w:pPr>
              <w:pStyle w:val="6"/>
              <w:spacing w:before="65" w:line="226" w:lineRule="auto"/>
              <w:ind w:left="112"/>
            </w:pPr>
            <w:r>
              <w:rPr>
                <w:spacing w:val="8"/>
              </w:rPr>
              <w:t>计算投标报价得分</w:t>
            </w:r>
          </w:p>
        </w:tc>
        <w:tc>
          <w:tcPr>
            <w:tcW w:w="735" w:type="dxa"/>
            <w:vAlign w:val="top"/>
          </w:tcPr>
          <w:p w14:paraId="661DC401">
            <w:pPr>
              <w:spacing w:line="280" w:lineRule="auto"/>
              <w:rPr>
                <w:rFonts w:ascii="Arial"/>
                <w:sz w:val="21"/>
              </w:rPr>
            </w:pPr>
          </w:p>
          <w:p w14:paraId="2CB092AD">
            <w:pPr>
              <w:spacing w:line="280" w:lineRule="auto"/>
              <w:rPr>
                <w:rFonts w:ascii="Arial"/>
                <w:sz w:val="21"/>
              </w:rPr>
            </w:pPr>
          </w:p>
          <w:p w14:paraId="50E5E264">
            <w:pPr>
              <w:pStyle w:val="6"/>
              <w:spacing w:before="65" w:line="252" w:lineRule="auto"/>
              <w:ind w:left="269" w:right="207" w:hanging="39"/>
            </w:pPr>
            <w:r>
              <w:rPr>
                <w:spacing w:val="-3"/>
              </w:rPr>
              <w:t>100</w:t>
            </w:r>
            <w:r>
              <w:t>分</w:t>
            </w:r>
          </w:p>
        </w:tc>
        <w:tc>
          <w:tcPr>
            <w:tcW w:w="4562" w:type="dxa"/>
            <w:vAlign w:val="top"/>
          </w:tcPr>
          <w:p w14:paraId="5C21673C">
            <w:pPr>
              <w:pStyle w:val="6"/>
              <w:spacing w:before="220" w:line="251" w:lineRule="auto"/>
              <w:ind w:left="115" w:right="107" w:hanging="5"/>
            </w:pPr>
            <w:r>
              <w:rPr>
                <w:spacing w:val="5"/>
              </w:rPr>
              <w:t>F＝100-（投标人评标价-评标基准价）÷评标基</w:t>
            </w:r>
            <w:r>
              <w:rPr>
                <w:spacing w:val="7"/>
              </w:rPr>
              <w:t>准价×100×3   （评标价＞基准价时）</w:t>
            </w:r>
          </w:p>
          <w:p w14:paraId="468E3E80">
            <w:pPr>
              <w:pStyle w:val="6"/>
              <w:spacing w:before="1" w:line="251" w:lineRule="auto"/>
              <w:ind w:left="115" w:right="107" w:hanging="5"/>
            </w:pPr>
            <w:r>
              <w:rPr>
                <w:spacing w:val="5"/>
              </w:rPr>
              <w:t>F＝100-（评标基准价-投标人评标价）÷评标基</w:t>
            </w:r>
            <w:r>
              <w:rPr>
                <w:spacing w:val="7"/>
              </w:rPr>
              <w:t>准价×100×2   （评标价≤基准价时）</w:t>
            </w:r>
          </w:p>
          <w:p w14:paraId="6AD1CD20">
            <w:pPr>
              <w:pStyle w:val="6"/>
              <w:spacing w:before="1" w:line="228" w:lineRule="auto"/>
              <w:ind w:left="114"/>
            </w:pPr>
            <w:r>
              <w:rPr>
                <w:spacing w:val="5"/>
              </w:rPr>
              <w:t>其中：</w:t>
            </w:r>
            <w:r>
              <w:rPr>
                <w:rFonts w:ascii="Times New Roman" w:hAnsi="Times New Roman" w:eastAsia="Times New Roman" w:cs="Times New Roman"/>
                <w:spacing w:val="5"/>
              </w:rPr>
              <w:t>F</w:t>
            </w:r>
            <w:r>
              <w:rPr>
                <w:spacing w:val="5"/>
              </w:rPr>
              <w:t>≥</w:t>
            </w:r>
            <w:r>
              <w:rPr>
                <w:rFonts w:ascii="Times New Roman" w:hAnsi="Times New Roman" w:eastAsia="Times New Roman" w:cs="Times New Roman"/>
                <w:spacing w:val="5"/>
              </w:rPr>
              <w:t>0</w:t>
            </w:r>
            <w:r>
              <w:rPr>
                <w:spacing w:val="5"/>
              </w:rPr>
              <w:t>。</w:t>
            </w:r>
          </w:p>
        </w:tc>
      </w:tr>
      <w:tr w14:paraId="610F8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9" w:hRule="atLeast"/>
        </w:trPr>
        <w:tc>
          <w:tcPr>
            <w:tcW w:w="745" w:type="dxa"/>
            <w:vMerge w:val="continue"/>
            <w:tcBorders>
              <w:top w:val="nil"/>
              <w:bottom w:val="nil"/>
            </w:tcBorders>
            <w:vAlign w:val="top"/>
          </w:tcPr>
          <w:p w14:paraId="26BEA921">
            <w:pPr>
              <w:rPr>
                <w:rFonts w:ascii="Arial"/>
                <w:sz w:val="21"/>
              </w:rPr>
            </w:pPr>
          </w:p>
        </w:tc>
        <w:tc>
          <w:tcPr>
            <w:tcW w:w="1058" w:type="dxa"/>
            <w:vMerge w:val="continue"/>
            <w:tcBorders>
              <w:top w:val="nil"/>
              <w:bottom w:val="nil"/>
            </w:tcBorders>
            <w:vAlign w:val="top"/>
          </w:tcPr>
          <w:p w14:paraId="3D6281EB">
            <w:pPr>
              <w:rPr>
                <w:rFonts w:ascii="Arial"/>
                <w:sz w:val="21"/>
              </w:rPr>
            </w:pPr>
          </w:p>
        </w:tc>
        <w:tc>
          <w:tcPr>
            <w:tcW w:w="2084" w:type="dxa"/>
            <w:vAlign w:val="top"/>
          </w:tcPr>
          <w:p w14:paraId="1339E8B2">
            <w:pPr>
              <w:spacing w:line="279" w:lineRule="auto"/>
              <w:rPr>
                <w:rFonts w:ascii="Arial"/>
                <w:sz w:val="21"/>
              </w:rPr>
            </w:pPr>
          </w:p>
          <w:p w14:paraId="16FE9E56">
            <w:pPr>
              <w:spacing w:line="279" w:lineRule="auto"/>
              <w:rPr>
                <w:rFonts w:ascii="Arial"/>
                <w:sz w:val="21"/>
              </w:rPr>
            </w:pPr>
          </w:p>
          <w:p w14:paraId="0B402C5B">
            <w:pPr>
              <w:spacing w:line="279" w:lineRule="auto"/>
              <w:rPr>
                <w:rFonts w:ascii="Arial"/>
                <w:sz w:val="21"/>
              </w:rPr>
            </w:pPr>
          </w:p>
          <w:p w14:paraId="1996A4B1">
            <w:pPr>
              <w:spacing w:line="280" w:lineRule="auto"/>
              <w:rPr>
                <w:rFonts w:ascii="Arial"/>
                <w:sz w:val="21"/>
              </w:rPr>
            </w:pPr>
          </w:p>
          <w:p w14:paraId="544A2247">
            <w:pPr>
              <w:spacing w:line="280" w:lineRule="auto"/>
              <w:rPr>
                <w:rFonts w:ascii="Arial"/>
                <w:sz w:val="21"/>
              </w:rPr>
            </w:pPr>
          </w:p>
          <w:p w14:paraId="49E805F6">
            <w:pPr>
              <w:spacing w:line="280" w:lineRule="auto"/>
              <w:rPr>
                <w:rFonts w:ascii="Arial"/>
                <w:sz w:val="21"/>
              </w:rPr>
            </w:pPr>
          </w:p>
          <w:p w14:paraId="16F906F4">
            <w:pPr>
              <w:pStyle w:val="6"/>
              <w:spacing w:before="65" w:line="226" w:lineRule="auto"/>
              <w:ind w:left="115"/>
            </w:pPr>
            <w:r>
              <w:rPr>
                <w:spacing w:val="8"/>
              </w:rPr>
              <w:t>不平衡报价扣分</w:t>
            </w:r>
          </w:p>
        </w:tc>
        <w:tc>
          <w:tcPr>
            <w:tcW w:w="735" w:type="dxa"/>
            <w:vAlign w:val="top"/>
          </w:tcPr>
          <w:p w14:paraId="1DC73037">
            <w:pPr>
              <w:rPr>
                <w:rFonts w:ascii="Arial"/>
                <w:sz w:val="21"/>
              </w:rPr>
            </w:pPr>
          </w:p>
        </w:tc>
        <w:tc>
          <w:tcPr>
            <w:tcW w:w="4562" w:type="dxa"/>
            <w:vAlign w:val="top"/>
          </w:tcPr>
          <w:p w14:paraId="2A3F9462">
            <w:pPr>
              <w:pStyle w:val="6"/>
              <w:spacing w:before="121" w:line="251" w:lineRule="auto"/>
              <w:ind w:left="112" w:right="107" w:firstLine="28"/>
              <w:jc w:val="both"/>
            </w:pPr>
            <w:r>
              <w:rPr>
                <w:spacing w:val="7"/>
              </w:rPr>
              <w:t>〔单位工程投标报价-（暂列金额+税金）-（专</w:t>
            </w:r>
            <w:r>
              <w:rPr>
                <w:spacing w:val="-1"/>
              </w:rPr>
              <w:t>业工程暂估价+税金）〕低于（不含）〔单位工程</w:t>
            </w:r>
            <w:r>
              <w:rPr>
                <w:spacing w:val="9"/>
              </w:rPr>
              <w:t>招标控制价-（暂列金额+税金）-（专业</w:t>
            </w:r>
            <w:r>
              <w:rPr>
                <w:spacing w:val="8"/>
              </w:rPr>
              <w:t>工程暂</w:t>
            </w:r>
            <w:r>
              <w:rPr>
                <w:spacing w:val="-1"/>
              </w:rPr>
              <w:t>估价+税金）〕</w:t>
            </w:r>
            <w:r>
              <w:rPr>
                <w:spacing w:val="-1"/>
                <w:u w:val="single" w:color="auto"/>
              </w:rPr>
              <w:t xml:space="preserve">   H%</w:t>
            </w:r>
            <w:r>
              <w:rPr>
                <w:spacing w:val="8"/>
                <w:u w:val="single" w:color="auto"/>
              </w:rPr>
              <w:t xml:space="preserve">    </w:t>
            </w:r>
            <w:r>
              <w:rPr>
                <w:spacing w:val="-74"/>
              </w:rPr>
              <w:t xml:space="preserve"> </w:t>
            </w:r>
            <w:r>
              <w:rPr>
                <w:spacing w:val="-1"/>
              </w:rPr>
              <w:t>的,视为不平衡报价，每</w:t>
            </w:r>
            <w:r>
              <w:rPr>
                <w:spacing w:val="7"/>
              </w:rPr>
              <w:t>发现一项，扣</w:t>
            </w:r>
            <w:r>
              <w:rPr>
                <w:spacing w:val="-32"/>
              </w:rPr>
              <w:t xml:space="preserve"> </w:t>
            </w:r>
            <w:r>
              <w:rPr>
                <w:spacing w:val="7"/>
              </w:rPr>
              <w:t>5</w:t>
            </w:r>
            <w:r>
              <w:rPr>
                <w:spacing w:val="-36"/>
              </w:rPr>
              <w:t xml:space="preserve"> </w:t>
            </w:r>
            <w:r>
              <w:rPr>
                <w:spacing w:val="7"/>
              </w:rPr>
              <w:t>分，该项计分公式为：</w:t>
            </w:r>
          </w:p>
          <w:p w14:paraId="6942EA17">
            <w:pPr>
              <w:pStyle w:val="6"/>
              <w:spacing w:line="242" w:lineRule="auto"/>
              <w:ind w:left="424"/>
              <w:rPr>
                <w:sz w:val="10"/>
                <w:szCs w:val="10"/>
              </w:rPr>
            </w:pPr>
            <w:r>
              <w:rPr>
                <w:spacing w:val="-2"/>
              </w:rPr>
              <w:t>K</w:t>
            </w:r>
            <w:r>
              <w:rPr>
                <w:spacing w:val="19"/>
              </w:rPr>
              <w:t xml:space="preserve"> </w:t>
            </w:r>
            <w:r>
              <w:rPr>
                <w:spacing w:val="-2"/>
              </w:rPr>
              <w:t>=k</w:t>
            </w:r>
            <w:r>
              <w:rPr>
                <w:spacing w:val="-2"/>
                <w:position w:val="-2"/>
                <w:sz w:val="10"/>
                <w:szCs w:val="10"/>
              </w:rPr>
              <w:t>1</w:t>
            </w:r>
            <w:r>
              <w:rPr>
                <w:spacing w:val="7"/>
                <w:position w:val="-2"/>
                <w:sz w:val="10"/>
                <w:szCs w:val="10"/>
              </w:rPr>
              <w:t xml:space="preserve">  </w:t>
            </w:r>
            <w:r>
              <w:rPr>
                <w:spacing w:val="-2"/>
              </w:rPr>
              <w:t>+</w:t>
            </w:r>
            <w:r>
              <w:rPr>
                <w:spacing w:val="11"/>
              </w:rPr>
              <w:t xml:space="preserve"> </w:t>
            </w:r>
            <w:r>
              <w:rPr>
                <w:spacing w:val="-2"/>
              </w:rPr>
              <w:t>k</w:t>
            </w:r>
            <w:r>
              <w:rPr>
                <w:spacing w:val="-2"/>
                <w:position w:val="-2"/>
                <w:sz w:val="10"/>
                <w:szCs w:val="10"/>
              </w:rPr>
              <w:t>2</w:t>
            </w:r>
            <w:r>
              <w:rPr>
                <w:spacing w:val="12"/>
                <w:position w:val="-2"/>
                <w:sz w:val="10"/>
                <w:szCs w:val="10"/>
              </w:rPr>
              <w:t xml:space="preserve"> </w:t>
            </w:r>
            <w:r>
              <w:rPr>
                <w:spacing w:val="-2"/>
              </w:rPr>
              <w:t>+</w:t>
            </w:r>
            <w:r>
              <w:rPr>
                <w:spacing w:val="26"/>
              </w:rPr>
              <w:t xml:space="preserve"> </w:t>
            </w:r>
            <w:r>
              <w:rPr>
                <w:spacing w:val="-2"/>
              </w:rPr>
              <w:t>…</w:t>
            </w:r>
            <w:r>
              <w:rPr>
                <w:spacing w:val="16"/>
              </w:rPr>
              <w:t xml:space="preserve"> </w:t>
            </w:r>
            <w:r>
              <w:rPr>
                <w:spacing w:val="-2"/>
              </w:rPr>
              <w:t>+</w:t>
            </w:r>
            <w:r>
              <w:rPr>
                <w:spacing w:val="11"/>
              </w:rPr>
              <w:t xml:space="preserve"> </w:t>
            </w:r>
            <w:r>
              <w:rPr>
                <w:spacing w:val="-2"/>
              </w:rPr>
              <w:t>k</w:t>
            </w:r>
            <w:r>
              <w:rPr>
                <w:spacing w:val="-2"/>
                <w:position w:val="-2"/>
                <w:sz w:val="10"/>
                <w:szCs w:val="10"/>
              </w:rPr>
              <w:t>n</w:t>
            </w:r>
          </w:p>
          <w:p w14:paraId="05474639">
            <w:pPr>
              <w:pStyle w:val="6"/>
              <w:spacing w:before="8" w:line="228" w:lineRule="auto"/>
              <w:ind w:left="428"/>
            </w:pPr>
            <w:r>
              <w:rPr>
                <w:spacing w:val="5"/>
              </w:rPr>
              <w:t>其中:K</w:t>
            </w:r>
            <w:r>
              <w:rPr>
                <w:spacing w:val="-28"/>
              </w:rPr>
              <w:t xml:space="preserve"> </w:t>
            </w:r>
            <w:r>
              <w:rPr>
                <w:spacing w:val="5"/>
              </w:rPr>
              <w:t>为扣分合计；</w:t>
            </w:r>
          </w:p>
          <w:p w14:paraId="0047678E">
            <w:pPr>
              <w:pStyle w:val="6"/>
              <w:spacing w:before="25" w:line="228" w:lineRule="auto"/>
              <w:ind w:left="951"/>
            </w:pPr>
            <w:r>
              <w:rPr>
                <w:spacing w:val="6"/>
              </w:rPr>
              <w:t>k</w:t>
            </w:r>
            <w:r>
              <w:rPr>
                <w:spacing w:val="-35"/>
              </w:rPr>
              <w:t xml:space="preserve"> </w:t>
            </w:r>
            <w:r>
              <w:rPr>
                <w:spacing w:val="6"/>
              </w:rPr>
              <w:t>为单次扣分分值；</w:t>
            </w:r>
          </w:p>
          <w:p w14:paraId="23F6BEC0">
            <w:pPr>
              <w:pStyle w:val="6"/>
              <w:spacing w:before="24" w:line="228" w:lineRule="auto"/>
              <w:ind w:left="951"/>
            </w:pPr>
            <w:r>
              <w:rPr>
                <w:spacing w:val="5"/>
              </w:rPr>
              <w:t>n</w:t>
            </w:r>
            <w:r>
              <w:rPr>
                <w:spacing w:val="-36"/>
              </w:rPr>
              <w:t xml:space="preserve"> </w:t>
            </w:r>
            <w:r>
              <w:rPr>
                <w:spacing w:val="5"/>
              </w:rPr>
              <w:t>为扣分次数；</w:t>
            </w:r>
          </w:p>
          <w:p w14:paraId="053B990E">
            <w:pPr>
              <w:pStyle w:val="6"/>
              <w:spacing w:before="28" w:line="251" w:lineRule="auto"/>
              <w:ind w:left="120" w:right="148" w:firstLine="827"/>
            </w:pPr>
            <w:r>
              <w:rPr>
                <w:spacing w:val="6"/>
              </w:rPr>
              <w:t>H</w:t>
            </w:r>
            <w:r>
              <w:rPr>
                <w:spacing w:val="-23"/>
              </w:rPr>
              <w:t xml:space="preserve"> </w:t>
            </w:r>
            <w:r>
              <w:rPr>
                <w:spacing w:val="6"/>
              </w:rPr>
              <w:t>为不平衡报价系数。H</w:t>
            </w:r>
            <w:r>
              <w:rPr>
                <w:spacing w:val="-20"/>
              </w:rPr>
              <w:t xml:space="preserve"> </w:t>
            </w:r>
            <w:r>
              <w:rPr>
                <w:spacing w:val="6"/>
              </w:rPr>
              <w:t>的取值见第二</w:t>
            </w:r>
            <w:r>
              <w:rPr>
                <w:spacing w:val="4"/>
              </w:rPr>
              <w:t>章投标人须知前附表第</w:t>
            </w:r>
            <w:r>
              <w:rPr>
                <w:spacing w:val="-14"/>
              </w:rPr>
              <w:t xml:space="preserve"> </w:t>
            </w:r>
            <w:r>
              <w:rPr>
                <w:rFonts w:ascii="Times New Roman" w:hAnsi="Times New Roman" w:eastAsia="Times New Roman" w:cs="Times New Roman"/>
                <w:spacing w:val="4"/>
              </w:rPr>
              <w:t>10.2.2</w:t>
            </w:r>
            <w:r>
              <w:rPr>
                <w:rFonts w:ascii="Times New Roman" w:hAnsi="Times New Roman" w:eastAsia="Times New Roman" w:cs="Times New Roman"/>
                <w:spacing w:val="15"/>
                <w:w w:val="101"/>
              </w:rPr>
              <w:t xml:space="preserve"> </w:t>
            </w:r>
            <w:r>
              <w:rPr>
                <w:spacing w:val="4"/>
              </w:rPr>
              <w:t>项。</w:t>
            </w:r>
          </w:p>
          <w:p w14:paraId="52262E1B">
            <w:pPr>
              <w:pStyle w:val="6"/>
              <w:spacing w:line="251" w:lineRule="auto"/>
              <w:ind w:left="130" w:right="109" w:hanging="15"/>
            </w:pPr>
            <w:r>
              <w:rPr>
                <w:spacing w:val="6"/>
              </w:rPr>
              <w:t>单位工程投标报价如有算术错误修正，以修正后的单位工程投标报价计算。</w:t>
            </w:r>
          </w:p>
        </w:tc>
      </w:tr>
      <w:tr w14:paraId="3BF70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745" w:type="dxa"/>
            <w:vMerge w:val="continue"/>
            <w:tcBorders>
              <w:top w:val="nil"/>
              <w:bottom w:val="nil"/>
            </w:tcBorders>
            <w:vAlign w:val="top"/>
          </w:tcPr>
          <w:p w14:paraId="53797860">
            <w:pPr>
              <w:rPr>
                <w:rFonts w:ascii="Arial"/>
                <w:sz w:val="21"/>
              </w:rPr>
            </w:pPr>
          </w:p>
        </w:tc>
        <w:tc>
          <w:tcPr>
            <w:tcW w:w="1058" w:type="dxa"/>
            <w:vMerge w:val="continue"/>
            <w:tcBorders>
              <w:top w:val="nil"/>
              <w:bottom w:val="nil"/>
            </w:tcBorders>
            <w:vAlign w:val="top"/>
          </w:tcPr>
          <w:p w14:paraId="4D432B53">
            <w:pPr>
              <w:rPr>
                <w:rFonts w:ascii="Arial"/>
                <w:sz w:val="21"/>
              </w:rPr>
            </w:pPr>
          </w:p>
        </w:tc>
        <w:tc>
          <w:tcPr>
            <w:tcW w:w="2084" w:type="dxa"/>
            <w:vAlign w:val="top"/>
          </w:tcPr>
          <w:p w14:paraId="6614EBDB">
            <w:pPr>
              <w:pStyle w:val="6"/>
              <w:spacing w:before="159" w:line="226" w:lineRule="auto"/>
              <w:ind w:left="115"/>
            </w:pPr>
            <w:r>
              <w:rPr>
                <w:spacing w:val="8"/>
              </w:rPr>
              <w:t>投标报价最终得分</w:t>
            </w:r>
          </w:p>
        </w:tc>
        <w:tc>
          <w:tcPr>
            <w:tcW w:w="735" w:type="dxa"/>
            <w:vAlign w:val="top"/>
          </w:tcPr>
          <w:p w14:paraId="78B6762A">
            <w:pPr>
              <w:rPr>
                <w:rFonts w:ascii="Arial"/>
                <w:sz w:val="21"/>
              </w:rPr>
            </w:pPr>
          </w:p>
        </w:tc>
        <w:tc>
          <w:tcPr>
            <w:tcW w:w="4562" w:type="dxa"/>
            <w:vAlign w:val="top"/>
          </w:tcPr>
          <w:p w14:paraId="584BCF78">
            <w:pPr>
              <w:pStyle w:val="6"/>
              <w:spacing w:before="121" w:line="281" w:lineRule="exact"/>
              <w:ind w:left="108"/>
            </w:pPr>
            <w:r>
              <w:rPr>
                <w:rFonts w:ascii="Times New Roman" w:hAnsi="Times New Roman" w:eastAsia="Times New Roman" w:cs="Times New Roman"/>
                <w:spacing w:val="5"/>
                <w:position w:val="1"/>
              </w:rPr>
              <w:t>M = F – K</w:t>
            </w:r>
            <w:r>
              <w:rPr>
                <w:rFonts w:ascii="Times New Roman" w:hAnsi="Times New Roman" w:eastAsia="Times New Roman" w:cs="Times New Roman"/>
                <w:spacing w:val="3"/>
                <w:position w:val="1"/>
              </w:rPr>
              <w:t xml:space="preserve">            </w:t>
            </w:r>
            <w:r>
              <w:rPr>
                <w:spacing w:val="5"/>
                <w:position w:val="1"/>
              </w:rPr>
              <w:t>其中：</w:t>
            </w:r>
            <w:r>
              <w:rPr>
                <w:rFonts w:ascii="Times New Roman" w:hAnsi="Times New Roman" w:eastAsia="Times New Roman" w:cs="Times New Roman"/>
                <w:spacing w:val="5"/>
                <w:position w:val="1"/>
              </w:rPr>
              <w:t>M</w:t>
            </w:r>
            <w:r>
              <w:rPr>
                <w:spacing w:val="5"/>
                <w:position w:val="1"/>
              </w:rPr>
              <w:t>≥</w:t>
            </w:r>
            <w:r>
              <w:rPr>
                <w:rFonts w:ascii="Times New Roman" w:hAnsi="Times New Roman" w:eastAsia="Times New Roman" w:cs="Times New Roman"/>
                <w:spacing w:val="5"/>
                <w:position w:val="1"/>
              </w:rPr>
              <w:t>0</w:t>
            </w:r>
            <w:r>
              <w:rPr>
                <w:spacing w:val="5"/>
                <w:position w:val="1"/>
              </w:rPr>
              <w:t>。</w:t>
            </w:r>
          </w:p>
        </w:tc>
      </w:tr>
      <w:tr w14:paraId="4173D3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3" w:hRule="atLeast"/>
        </w:trPr>
        <w:tc>
          <w:tcPr>
            <w:tcW w:w="745" w:type="dxa"/>
            <w:vMerge w:val="continue"/>
            <w:tcBorders>
              <w:top w:val="nil"/>
            </w:tcBorders>
            <w:vAlign w:val="top"/>
          </w:tcPr>
          <w:p w14:paraId="47ED522D">
            <w:pPr>
              <w:rPr>
                <w:rFonts w:ascii="Arial"/>
                <w:sz w:val="21"/>
              </w:rPr>
            </w:pPr>
          </w:p>
        </w:tc>
        <w:tc>
          <w:tcPr>
            <w:tcW w:w="1058" w:type="dxa"/>
            <w:vMerge w:val="continue"/>
            <w:tcBorders>
              <w:top w:val="nil"/>
            </w:tcBorders>
            <w:vAlign w:val="top"/>
          </w:tcPr>
          <w:p w14:paraId="751E811C">
            <w:pPr>
              <w:rPr>
                <w:rFonts w:ascii="Arial"/>
                <w:sz w:val="21"/>
              </w:rPr>
            </w:pPr>
          </w:p>
        </w:tc>
        <w:tc>
          <w:tcPr>
            <w:tcW w:w="2084" w:type="dxa"/>
            <w:vAlign w:val="top"/>
          </w:tcPr>
          <w:p w14:paraId="3B59421C">
            <w:pPr>
              <w:spacing w:line="243" w:lineRule="auto"/>
              <w:rPr>
                <w:rFonts w:ascii="Arial"/>
                <w:sz w:val="21"/>
              </w:rPr>
            </w:pPr>
          </w:p>
          <w:p w14:paraId="6BAACA0F">
            <w:pPr>
              <w:spacing w:line="243" w:lineRule="auto"/>
              <w:rPr>
                <w:rFonts w:ascii="Arial"/>
                <w:sz w:val="21"/>
              </w:rPr>
            </w:pPr>
          </w:p>
          <w:p w14:paraId="5CD8AE6C">
            <w:pPr>
              <w:spacing w:line="243" w:lineRule="auto"/>
              <w:rPr>
                <w:rFonts w:ascii="Arial"/>
                <w:sz w:val="21"/>
              </w:rPr>
            </w:pPr>
          </w:p>
          <w:p w14:paraId="42010DD1">
            <w:pPr>
              <w:spacing w:line="243" w:lineRule="auto"/>
              <w:rPr>
                <w:rFonts w:ascii="Arial"/>
                <w:sz w:val="21"/>
              </w:rPr>
            </w:pPr>
          </w:p>
          <w:p w14:paraId="59716EFE">
            <w:pPr>
              <w:spacing w:line="243" w:lineRule="auto"/>
              <w:rPr>
                <w:rFonts w:ascii="Arial"/>
                <w:sz w:val="21"/>
              </w:rPr>
            </w:pPr>
          </w:p>
          <w:p w14:paraId="20CA2CA9">
            <w:pPr>
              <w:spacing w:line="243" w:lineRule="auto"/>
              <w:rPr>
                <w:rFonts w:ascii="Arial"/>
                <w:sz w:val="21"/>
              </w:rPr>
            </w:pPr>
          </w:p>
          <w:p w14:paraId="10C7B77B">
            <w:pPr>
              <w:spacing w:line="243" w:lineRule="auto"/>
              <w:rPr>
                <w:rFonts w:ascii="Arial"/>
                <w:sz w:val="21"/>
              </w:rPr>
            </w:pPr>
          </w:p>
          <w:p w14:paraId="5F939985">
            <w:pPr>
              <w:spacing w:line="243" w:lineRule="auto"/>
              <w:rPr>
                <w:rFonts w:ascii="Arial"/>
                <w:sz w:val="21"/>
              </w:rPr>
            </w:pPr>
          </w:p>
          <w:p w14:paraId="734C272E">
            <w:pPr>
              <w:spacing w:line="243" w:lineRule="auto"/>
              <w:rPr>
                <w:rFonts w:ascii="Arial"/>
                <w:sz w:val="21"/>
              </w:rPr>
            </w:pPr>
          </w:p>
          <w:p w14:paraId="7411760E">
            <w:pPr>
              <w:spacing w:line="243" w:lineRule="auto"/>
              <w:rPr>
                <w:rFonts w:ascii="Arial"/>
                <w:sz w:val="21"/>
              </w:rPr>
            </w:pPr>
          </w:p>
          <w:p w14:paraId="79B47748">
            <w:pPr>
              <w:spacing w:line="243" w:lineRule="auto"/>
              <w:rPr>
                <w:rFonts w:ascii="Arial"/>
                <w:sz w:val="21"/>
              </w:rPr>
            </w:pPr>
          </w:p>
          <w:p w14:paraId="4C60C9F2">
            <w:pPr>
              <w:spacing w:line="243" w:lineRule="auto"/>
              <w:rPr>
                <w:rFonts w:ascii="Arial"/>
                <w:sz w:val="21"/>
              </w:rPr>
            </w:pPr>
          </w:p>
          <w:p w14:paraId="5FEDC850">
            <w:pPr>
              <w:spacing w:line="243" w:lineRule="auto"/>
              <w:rPr>
                <w:rFonts w:ascii="Arial"/>
                <w:sz w:val="21"/>
              </w:rPr>
            </w:pPr>
          </w:p>
          <w:p w14:paraId="556D13E3">
            <w:pPr>
              <w:spacing w:line="244" w:lineRule="auto"/>
              <w:rPr>
                <w:rFonts w:ascii="Arial"/>
                <w:sz w:val="21"/>
              </w:rPr>
            </w:pPr>
          </w:p>
          <w:p w14:paraId="4E3E98B1">
            <w:pPr>
              <w:spacing w:line="244" w:lineRule="auto"/>
              <w:rPr>
                <w:rFonts w:ascii="Arial"/>
                <w:sz w:val="21"/>
              </w:rPr>
            </w:pPr>
          </w:p>
          <w:p w14:paraId="7BF7F50C">
            <w:pPr>
              <w:spacing w:line="244" w:lineRule="auto"/>
              <w:rPr>
                <w:rFonts w:ascii="Arial"/>
                <w:sz w:val="21"/>
              </w:rPr>
            </w:pPr>
          </w:p>
          <w:p w14:paraId="5F779940">
            <w:pPr>
              <w:pStyle w:val="6"/>
              <w:spacing w:before="65" w:line="253" w:lineRule="auto"/>
              <w:ind w:left="112" w:right="716" w:hanging="1"/>
            </w:pPr>
            <w:r>
              <w:rPr>
                <w:spacing w:val="8"/>
              </w:rPr>
              <w:t>政府采购工程价格评审优惠</w:t>
            </w:r>
          </w:p>
        </w:tc>
        <w:tc>
          <w:tcPr>
            <w:tcW w:w="735" w:type="dxa"/>
            <w:vAlign w:val="top"/>
          </w:tcPr>
          <w:p w14:paraId="614D4301">
            <w:pPr>
              <w:rPr>
                <w:rFonts w:ascii="Arial"/>
                <w:sz w:val="21"/>
              </w:rPr>
            </w:pPr>
          </w:p>
        </w:tc>
        <w:tc>
          <w:tcPr>
            <w:tcW w:w="4562" w:type="dxa"/>
            <w:vAlign w:val="top"/>
          </w:tcPr>
          <w:p w14:paraId="6FB2940E">
            <w:pPr>
              <w:pStyle w:val="6"/>
              <w:spacing w:before="32" w:line="227" w:lineRule="auto"/>
              <w:ind w:left="112"/>
            </w:pPr>
            <w:r>
              <w:rPr>
                <w:spacing w:val="9"/>
              </w:rPr>
              <w:t>对项目未预留份额专门面向中小企业采购的</w:t>
            </w:r>
          </w:p>
          <w:p w14:paraId="4D3594E0">
            <w:pPr>
              <w:pStyle w:val="6"/>
              <w:spacing w:before="28" w:line="251"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p w14:paraId="74ED668B">
            <w:pPr>
              <w:pStyle w:val="6"/>
              <w:spacing w:line="228" w:lineRule="auto"/>
              <w:ind w:left="549"/>
            </w:pPr>
            <w:r>
              <w:rPr>
                <w:spacing w:val="3"/>
              </w:rPr>
              <w:t>即</w:t>
            </w:r>
            <w:r>
              <w:rPr>
                <w:spacing w:val="-38"/>
              </w:rPr>
              <w:t xml:space="preserve"> </w:t>
            </w:r>
            <w:r>
              <w:rPr>
                <w:spacing w:val="3"/>
              </w:rPr>
              <w:t>S= M×（1+P%）</w:t>
            </w:r>
          </w:p>
          <w:p w14:paraId="1B0352C7">
            <w:pPr>
              <w:pStyle w:val="6"/>
              <w:spacing w:before="23" w:line="252"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24E7C226">
            <w:pPr>
              <w:pStyle w:val="6"/>
              <w:spacing w:before="2" w:line="253" w:lineRule="auto"/>
              <w:ind w:left="116" w:right="107" w:firstLine="420"/>
            </w:pPr>
            <w:r>
              <w:rPr>
                <w:spacing w:val="5"/>
              </w:rPr>
              <w:t>如招标人接受联合体，联合体各方均为小微</w:t>
            </w:r>
            <w:r>
              <w:rPr>
                <w:spacing w:val="8"/>
              </w:rPr>
              <w:t>企业的，联合体视同小微企业。</w:t>
            </w:r>
          </w:p>
          <w:p w14:paraId="572F9382">
            <w:pPr>
              <w:pStyle w:val="6"/>
              <w:spacing w:before="263" w:line="246" w:lineRule="auto"/>
              <w:ind w:left="113" w:right="107" w:firstLine="2"/>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50DEC948">
            <w:pPr>
              <w:pStyle w:val="6"/>
              <w:spacing w:line="281" w:lineRule="exact"/>
              <w:ind w:left="549"/>
            </w:pPr>
            <w:r>
              <w:rPr>
                <w:spacing w:val="3"/>
                <w:position w:val="2"/>
              </w:rPr>
              <w:t>即</w:t>
            </w:r>
            <w:r>
              <w:rPr>
                <w:spacing w:val="-36"/>
                <w:position w:val="2"/>
              </w:rPr>
              <w:t xml:space="preserve"> </w:t>
            </w:r>
            <w:r>
              <w:rPr>
                <w:spacing w:val="3"/>
                <w:position w:val="2"/>
              </w:rPr>
              <w:t>S</w:t>
            </w:r>
            <w:r>
              <w:rPr>
                <w:rFonts w:ascii="Times New Roman" w:hAnsi="Times New Roman" w:eastAsia="Times New Roman" w:cs="Times New Roman"/>
                <w:spacing w:val="3"/>
                <w:position w:val="2"/>
              </w:rPr>
              <w:t>= M</w:t>
            </w:r>
            <w:r>
              <w:rPr>
                <w:spacing w:val="3"/>
                <w:position w:val="2"/>
              </w:rPr>
              <w:t>×（1+Q%）</w:t>
            </w:r>
          </w:p>
          <w:p w14:paraId="413C11D6">
            <w:pPr>
              <w:pStyle w:val="6"/>
              <w:spacing w:before="29" w:line="252"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668E1287">
            <w:pPr>
              <w:pStyle w:val="6"/>
              <w:spacing w:before="269" w:line="234" w:lineRule="auto"/>
              <w:ind w:left="113" w:right="107" w:firstLine="4"/>
            </w:pPr>
            <w:r>
              <w:rPr>
                <w:spacing w:val="15"/>
              </w:rPr>
              <w:t>3.组成联合体或者接受分包的小微企业与联合</w:t>
            </w:r>
            <w:r>
              <w:rPr>
                <w:spacing w:val="6"/>
              </w:rPr>
              <w:t>体内其他企业、分包企业之间存在直接控股、管</w:t>
            </w:r>
          </w:p>
        </w:tc>
      </w:tr>
    </w:tbl>
    <w:p w14:paraId="0BE69738">
      <w:pPr>
        <w:rPr>
          <w:rFonts w:ascii="Arial"/>
          <w:sz w:val="21"/>
        </w:rPr>
      </w:pPr>
    </w:p>
    <w:p w14:paraId="3CAE1EE9">
      <w:pPr>
        <w:rPr>
          <w:rFonts w:ascii="Arial" w:hAnsi="Arial" w:eastAsia="Arial" w:cs="Arial"/>
          <w:sz w:val="21"/>
          <w:szCs w:val="21"/>
        </w:rPr>
        <w:sectPr>
          <w:footerReference r:id="rId99" w:type="default"/>
          <w:pgSz w:w="11907" w:h="16840"/>
          <w:pgMar w:top="400" w:right="1248" w:bottom="1035" w:left="1469" w:header="0" w:footer="785" w:gutter="0"/>
          <w:cols w:space="720" w:num="1"/>
        </w:sectPr>
      </w:pPr>
    </w:p>
    <w:p w14:paraId="62062894">
      <w:pPr>
        <w:spacing w:before="19"/>
      </w:pPr>
    </w:p>
    <w:p w14:paraId="28AEB79C">
      <w:pPr>
        <w:spacing w:before="19"/>
      </w:pPr>
    </w:p>
    <w:p w14:paraId="00FBBCB5">
      <w:pPr>
        <w:spacing w:before="19"/>
      </w:pPr>
    </w:p>
    <w:p w14:paraId="7A120240">
      <w:pPr>
        <w:spacing w:before="18"/>
      </w:pPr>
    </w:p>
    <w:p w14:paraId="5CB1C8A1">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14DB87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745" w:type="dxa"/>
            <w:vMerge w:val="restart"/>
            <w:tcBorders>
              <w:bottom w:val="nil"/>
            </w:tcBorders>
            <w:vAlign w:val="top"/>
          </w:tcPr>
          <w:p w14:paraId="70DF2B85">
            <w:pPr>
              <w:rPr>
                <w:rFonts w:ascii="Arial"/>
                <w:sz w:val="21"/>
              </w:rPr>
            </w:pPr>
          </w:p>
        </w:tc>
        <w:tc>
          <w:tcPr>
            <w:tcW w:w="1058" w:type="dxa"/>
            <w:vMerge w:val="restart"/>
            <w:tcBorders>
              <w:bottom w:val="nil"/>
            </w:tcBorders>
            <w:vAlign w:val="top"/>
          </w:tcPr>
          <w:p w14:paraId="017A75E1">
            <w:pPr>
              <w:rPr>
                <w:rFonts w:ascii="Arial"/>
                <w:sz w:val="21"/>
              </w:rPr>
            </w:pPr>
          </w:p>
        </w:tc>
        <w:tc>
          <w:tcPr>
            <w:tcW w:w="2084" w:type="dxa"/>
            <w:vAlign w:val="top"/>
          </w:tcPr>
          <w:p w14:paraId="50E6F1C2">
            <w:pPr>
              <w:rPr>
                <w:rFonts w:ascii="Arial"/>
                <w:sz w:val="21"/>
              </w:rPr>
            </w:pPr>
          </w:p>
        </w:tc>
        <w:tc>
          <w:tcPr>
            <w:tcW w:w="735" w:type="dxa"/>
            <w:vAlign w:val="top"/>
          </w:tcPr>
          <w:p w14:paraId="28D36651">
            <w:pPr>
              <w:rPr>
                <w:rFonts w:ascii="Arial"/>
                <w:sz w:val="21"/>
              </w:rPr>
            </w:pPr>
          </w:p>
        </w:tc>
        <w:tc>
          <w:tcPr>
            <w:tcW w:w="4562" w:type="dxa"/>
            <w:vAlign w:val="top"/>
          </w:tcPr>
          <w:p w14:paraId="4202147B">
            <w:pPr>
              <w:pStyle w:val="6"/>
              <w:spacing w:before="35" w:line="226" w:lineRule="auto"/>
              <w:ind w:left="116"/>
            </w:pPr>
            <w:r>
              <w:rPr>
                <w:spacing w:val="8"/>
              </w:rPr>
              <w:t>理关系的，不享受价格评审优惠政策。</w:t>
            </w:r>
          </w:p>
        </w:tc>
      </w:tr>
      <w:tr w14:paraId="49951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745" w:type="dxa"/>
            <w:vMerge w:val="continue"/>
            <w:tcBorders>
              <w:top w:val="nil"/>
            </w:tcBorders>
            <w:vAlign w:val="top"/>
          </w:tcPr>
          <w:p w14:paraId="49383EDE">
            <w:pPr>
              <w:rPr>
                <w:rFonts w:ascii="Arial"/>
                <w:sz w:val="21"/>
              </w:rPr>
            </w:pPr>
          </w:p>
        </w:tc>
        <w:tc>
          <w:tcPr>
            <w:tcW w:w="1058" w:type="dxa"/>
            <w:vMerge w:val="continue"/>
            <w:tcBorders>
              <w:top w:val="nil"/>
            </w:tcBorders>
            <w:vAlign w:val="top"/>
          </w:tcPr>
          <w:p w14:paraId="674A6C07">
            <w:pPr>
              <w:rPr>
                <w:rFonts w:ascii="Arial"/>
                <w:sz w:val="21"/>
              </w:rPr>
            </w:pPr>
          </w:p>
        </w:tc>
        <w:tc>
          <w:tcPr>
            <w:tcW w:w="2084" w:type="dxa"/>
            <w:vAlign w:val="top"/>
          </w:tcPr>
          <w:p w14:paraId="0B4CD8C3">
            <w:pPr>
              <w:pStyle w:val="6"/>
              <w:spacing w:before="161" w:line="226" w:lineRule="auto"/>
              <w:ind w:left="115"/>
            </w:pPr>
            <w:r>
              <w:rPr>
                <w:spacing w:val="8"/>
              </w:rPr>
              <w:t>投标报价最终得分</w:t>
            </w:r>
          </w:p>
        </w:tc>
        <w:tc>
          <w:tcPr>
            <w:tcW w:w="735" w:type="dxa"/>
            <w:vAlign w:val="top"/>
          </w:tcPr>
          <w:p w14:paraId="48D616B5">
            <w:pPr>
              <w:rPr>
                <w:rFonts w:ascii="Arial"/>
                <w:sz w:val="21"/>
              </w:rPr>
            </w:pPr>
          </w:p>
        </w:tc>
        <w:tc>
          <w:tcPr>
            <w:tcW w:w="4562" w:type="dxa"/>
            <w:vAlign w:val="top"/>
          </w:tcPr>
          <w:p w14:paraId="463942C0">
            <w:pPr>
              <w:pStyle w:val="6"/>
              <w:spacing w:before="123" w:line="281" w:lineRule="exact"/>
              <w:ind w:left="114"/>
            </w:pPr>
            <w:r>
              <w:rPr>
                <w:spacing w:val="5"/>
                <w:position w:val="1"/>
              </w:rPr>
              <w:t>S</w:t>
            </w:r>
            <w:r>
              <w:rPr>
                <w:rFonts w:ascii="Times New Roman" w:hAnsi="Times New Roman" w:eastAsia="Times New Roman" w:cs="Times New Roman"/>
                <w:spacing w:val="5"/>
                <w:position w:val="1"/>
              </w:rPr>
              <w:t>= M</w:t>
            </w:r>
            <w:r>
              <w:rPr>
                <w:spacing w:val="5"/>
                <w:position w:val="1"/>
              </w:rPr>
              <w:t>×（1+P%） 或</w:t>
            </w:r>
            <w:r>
              <w:rPr>
                <w:spacing w:val="-29"/>
                <w:position w:val="1"/>
              </w:rPr>
              <w:t xml:space="preserve"> </w:t>
            </w:r>
            <w:r>
              <w:rPr>
                <w:spacing w:val="5"/>
                <w:position w:val="1"/>
              </w:rPr>
              <w:t>S</w:t>
            </w:r>
            <w:r>
              <w:rPr>
                <w:rFonts w:ascii="Times New Roman" w:hAnsi="Times New Roman" w:eastAsia="Times New Roman" w:cs="Times New Roman"/>
                <w:spacing w:val="5"/>
                <w:position w:val="1"/>
              </w:rPr>
              <w:t>=</w:t>
            </w:r>
            <w:r>
              <w:rPr>
                <w:rFonts w:ascii="Times New Roman" w:hAnsi="Times New Roman" w:eastAsia="Times New Roman" w:cs="Times New Roman"/>
                <w:spacing w:val="6"/>
                <w:position w:val="1"/>
              </w:rPr>
              <w:t xml:space="preserve"> </w:t>
            </w:r>
            <w:r>
              <w:rPr>
                <w:rFonts w:ascii="Times New Roman" w:hAnsi="Times New Roman" w:eastAsia="Times New Roman" w:cs="Times New Roman"/>
                <w:spacing w:val="5"/>
                <w:position w:val="1"/>
              </w:rPr>
              <w:t>M</w:t>
            </w:r>
            <w:r>
              <w:rPr>
                <w:spacing w:val="5"/>
                <w:position w:val="1"/>
              </w:rPr>
              <w:t>×（1+Q%）</w:t>
            </w:r>
          </w:p>
        </w:tc>
      </w:tr>
    </w:tbl>
    <w:p w14:paraId="7DBF3B0A">
      <w:pPr>
        <w:spacing w:line="478" w:lineRule="auto"/>
        <w:rPr>
          <w:rFonts w:ascii="Arial"/>
          <w:sz w:val="21"/>
        </w:rPr>
      </w:pPr>
    </w:p>
    <w:p w14:paraId="3BEEF75C">
      <w:pPr>
        <w:spacing w:before="65" w:line="251" w:lineRule="auto"/>
        <w:ind w:left="643" w:right="190" w:hanging="628"/>
        <w:rPr>
          <w:rFonts w:ascii="宋体" w:hAnsi="宋体" w:eastAsia="宋体" w:cs="宋体"/>
          <w:sz w:val="20"/>
          <w:szCs w:val="20"/>
        </w:rPr>
      </w:pPr>
      <w:r>
        <w:rPr>
          <w:rFonts w:ascii="宋体" w:hAnsi="宋体" w:eastAsia="宋体" w:cs="宋体"/>
          <w:spacing w:val="1"/>
          <w:sz w:val="20"/>
          <w:szCs w:val="20"/>
        </w:rPr>
        <w:t>备注：</w:t>
      </w:r>
      <w:r>
        <w:rPr>
          <w:rFonts w:ascii="宋体" w:hAnsi="宋体" w:eastAsia="宋体" w:cs="宋体"/>
          <w:spacing w:val="-29"/>
          <w:sz w:val="20"/>
          <w:szCs w:val="20"/>
        </w:rPr>
        <w:t xml:space="preserve"> </w:t>
      </w:r>
      <w:r>
        <w:rPr>
          <w:rFonts w:ascii="宋体" w:hAnsi="宋体" w:eastAsia="宋体" w:cs="宋体"/>
          <w:spacing w:val="1"/>
          <w:sz w:val="20"/>
          <w:szCs w:val="20"/>
        </w:rPr>
        <w:t>根据《关于建立部分专业技术类职业资格与职称对应关系的通知（鄂人社发〔</w:t>
      </w:r>
      <w:r>
        <w:rPr>
          <w:rFonts w:ascii="Times New Roman" w:hAnsi="Times New Roman" w:eastAsia="Times New Roman" w:cs="Times New Roman"/>
          <w:spacing w:val="1"/>
          <w:sz w:val="20"/>
          <w:szCs w:val="20"/>
        </w:rPr>
        <w:t>2018</w:t>
      </w:r>
      <w:r>
        <w:rPr>
          <w:rFonts w:ascii="宋体" w:hAnsi="宋体" w:eastAsia="宋体" w:cs="宋体"/>
          <w:spacing w:val="1"/>
          <w:sz w:val="20"/>
          <w:szCs w:val="20"/>
        </w:rPr>
        <w:t>〕</w:t>
      </w:r>
      <w:r>
        <w:rPr>
          <w:rFonts w:ascii="Times New Roman" w:hAnsi="Times New Roman" w:eastAsia="Times New Roman" w:cs="Times New Roman"/>
          <w:spacing w:val="1"/>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1"/>
          <w:sz w:val="20"/>
          <w:szCs w:val="20"/>
        </w:rPr>
        <w:t>号）》</w:t>
      </w:r>
      <w:r>
        <w:rPr>
          <w:rFonts w:ascii="宋体" w:hAnsi="宋体" w:eastAsia="宋体" w:cs="宋体"/>
          <w:sz w:val="20"/>
          <w:szCs w:val="20"/>
        </w:rPr>
        <w:t xml:space="preserve"> </w:t>
      </w:r>
      <w:r>
        <w:rPr>
          <w:rFonts w:ascii="宋体" w:hAnsi="宋体" w:eastAsia="宋体" w:cs="宋体"/>
          <w:spacing w:val="9"/>
          <w:sz w:val="20"/>
          <w:szCs w:val="20"/>
        </w:rPr>
        <w:t>《住房城乡建设部 交通运输部 水利部 人力资源社会保障部关于</w:t>
      </w:r>
      <w:r>
        <w:rPr>
          <w:rFonts w:ascii="宋体" w:hAnsi="宋体" w:eastAsia="宋体" w:cs="宋体"/>
          <w:spacing w:val="8"/>
          <w:sz w:val="20"/>
          <w:szCs w:val="20"/>
        </w:rPr>
        <w:t>印发〈造价工程师职业资</w:t>
      </w:r>
      <w:r>
        <w:rPr>
          <w:rFonts w:ascii="宋体" w:hAnsi="宋体" w:eastAsia="宋体" w:cs="宋体"/>
          <w:spacing w:val="2"/>
          <w:sz w:val="20"/>
          <w:szCs w:val="20"/>
        </w:rPr>
        <w:t>格制度规定〉〈造价工程师职业资格考试实施办法〉的通知（建人〔</w:t>
      </w:r>
      <w:r>
        <w:rPr>
          <w:rFonts w:ascii="Times New Roman" w:hAnsi="Times New Roman" w:eastAsia="Times New Roman" w:cs="Times New Roman"/>
          <w:spacing w:val="2"/>
          <w:sz w:val="20"/>
          <w:szCs w:val="20"/>
        </w:rPr>
        <w:t>2018</w:t>
      </w:r>
      <w:r>
        <w:rPr>
          <w:rFonts w:ascii="宋体" w:hAnsi="宋体" w:eastAsia="宋体" w:cs="宋体"/>
          <w:spacing w:val="2"/>
          <w:sz w:val="20"/>
          <w:szCs w:val="20"/>
        </w:rPr>
        <w:t>〕</w:t>
      </w:r>
      <w:r>
        <w:rPr>
          <w:rFonts w:ascii="Times New Roman" w:hAnsi="Times New Roman" w:eastAsia="Times New Roman" w:cs="Times New Roman"/>
          <w:spacing w:val="2"/>
          <w:sz w:val="20"/>
          <w:szCs w:val="20"/>
        </w:rPr>
        <w:t>67</w:t>
      </w:r>
      <w:r>
        <w:rPr>
          <w:rFonts w:ascii="Times New Roman" w:hAnsi="Times New Roman" w:eastAsia="Times New Roman" w:cs="Times New Roman"/>
          <w:spacing w:val="16"/>
          <w:sz w:val="20"/>
          <w:szCs w:val="20"/>
        </w:rPr>
        <w:t xml:space="preserve"> </w:t>
      </w:r>
      <w:r>
        <w:rPr>
          <w:rFonts w:ascii="宋体" w:hAnsi="宋体" w:eastAsia="宋体" w:cs="宋体"/>
          <w:spacing w:val="2"/>
          <w:sz w:val="20"/>
          <w:szCs w:val="20"/>
        </w:rPr>
        <w:t>号）》等文件，</w:t>
      </w:r>
      <w:r>
        <w:rPr>
          <w:rFonts w:ascii="宋体" w:hAnsi="宋体" w:eastAsia="宋体" w:cs="宋体"/>
          <w:spacing w:val="12"/>
          <w:sz w:val="20"/>
          <w:szCs w:val="20"/>
        </w:rPr>
        <w:t>一级造价工程师、一级注册建筑师、一级建造师、一级注册结构工</w:t>
      </w:r>
      <w:r>
        <w:rPr>
          <w:rFonts w:ascii="宋体" w:hAnsi="宋体" w:eastAsia="宋体" w:cs="宋体"/>
          <w:spacing w:val="11"/>
          <w:sz w:val="20"/>
          <w:szCs w:val="20"/>
        </w:rPr>
        <w:t>程师、其他勘察设计注册工程师等，其职业资格直接对应相应系列的中级职称。二级造价师、二级注册建筑师、</w:t>
      </w:r>
    </w:p>
    <w:p w14:paraId="2B4A5DD2">
      <w:pPr>
        <w:spacing w:line="227" w:lineRule="auto"/>
        <w:ind w:left="647"/>
        <w:outlineLvl w:val="1"/>
        <w:rPr>
          <w:rFonts w:ascii="宋体" w:hAnsi="宋体" w:eastAsia="宋体" w:cs="宋体"/>
          <w:sz w:val="20"/>
          <w:szCs w:val="20"/>
        </w:rPr>
      </w:pPr>
      <w:r>
        <w:rPr>
          <w:rFonts w:ascii="宋体" w:hAnsi="宋体" w:eastAsia="宋体" w:cs="宋体"/>
          <w:spacing w:val="9"/>
          <w:sz w:val="20"/>
          <w:szCs w:val="20"/>
        </w:rPr>
        <w:t>二级建造师、二级注册结构工程师等，其职业资格直接对应相应系列的初级职称。</w:t>
      </w:r>
    </w:p>
    <w:p w14:paraId="02B626E3">
      <w:pPr>
        <w:spacing w:line="227" w:lineRule="auto"/>
        <w:rPr>
          <w:rFonts w:ascii="宋体" w:hAnsi="宋体" w:eastAsia="宋体" w:cs="宋体"/>
          <w:sz w:val="20"/>
          <w:szCs w:val="20"/>
        </w:rPr>
        <w:sectPr>
          <w:footerReference r:id="rId100" w:type="default"/>
          <w:pgSz w:w="11907" w:h="16840"/>
          <w:pgMar w:top="400" w:right="1248" w:bottom="1035" w:left="1469" w:header="0" w:footer="785" w:gutter="0"/>
          <w:cols w:space="720" w:num="1"/>
        </w:sectPr>
      </w:pPr>
    </w:p>
    <w:p w14:paraId="6C70FA6C">
      <w:pPr>
        <w:spacing w:line="276" w:lineRule="auto"/>
        <w:rPr>
          <w:rFonts w:ascii="Arial"/>
          <w:sz w:val="21"/>
        </w:rPr>
      </w:pPr>
    </w:p>
    <w:p w14:paraId="18EBE05E">
      <w:pPr>
        <w:spacing w:line="276" w:lineRule="auto"/>
        <w:rPr>
          <w:rFonts w:ascii="Arial"/>
          <w:sz w:val="21"/>
        </w:rPr>
      </w:pPr>
    </w:p>
    <w:p w14:paraId="3B79EAB1">
      <w:pPr>
        <w:spacing w:line="276" w:lineRule="auto"/>
        <w:rPr>
          <w:rFonts w:ascii="Arial"/>
          <w:sz w:val="21"/>
        </w:rPr>
      </w:pPr>
    </w:p>
    <w:p w14:paraId="76068D39">
      <w:pPr>
        <w:spacing w:line="276" w:lineRule="auto"/>
        <w:rPr>
          <w:rFonts w:ascii="Arial"/>
          <w:sz w:val="21"/>
        </w:rPr>
      </w:pPr>
    </w:p>
    <w:p w14:paraId="56D635C3">
      <w:pPr>
        <w:spacing w:line="276" w:lineRule="auto"/>
        <w:rPr>
          <w:rFonts w:ascii="Arial"/>
          <w:sz w:val="21"/>
        </w:rPr>
      </w:pPr>
    </w:p>
    <w:p w14:paraId="4FD758D9">
      <w:pPr>
        <w:pStyle w:val="2"/>
        <w:spacing w:before="91" w:line="222" w:lineRule="auto"/>
        <w:ind w:left="14"/>
        <w:outlineLvl w:val="1"/>
        <w:rPr>
          <w:sz w:val="28"/>
          <w:szCs w:val="28"/>
        </w:rPr>
      </w:pPr>
      <w:bookmarkStart w:id="105" w:name="bookmark96"/>
      <w:bookmarkEnd w:id="105"/>
      <w:r>
        <w:rPr>
          <w:spacing w:val="1"/>
          <w:sz w:val="28"/>
          <w:szCs w:val="28"/>
        </w:rPr>
        <w:t>评标办法前附表（办法八</w:t>
      </w:r>
      <w:r>
        <w:rPr>
          <w:spacing w:val="-55"/>
          <w:w w:val="89"/>
          <w:sz w:val="28"/>
          <w:szCs w:val="28"/>
        </w:rPr>
        <w:t>）（</w:t>
      </w:r>
      <w:r>
        <w:rPr>
          <w:spacing w:val="1"/>
          <w:sz w:val="28"/>
          <w:szCs w:val="28"/>
        </w:rPr>
        <w:t>合理低价法）</w:t>
      </w:r>
    </w:p>
    <w:p w14:paraId="3ECE7301">
      <w:pPr>
        <w:spacing w:before="142"/>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897"/>
        <w:gridCol w:w="5484"/>
      </w:tblGrid>
      <w:tr w14:paraId="243599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803" w:type="dxa"/>
            <w:gridSpan w:val="2"/>
            <w:vAlign w:val="top"/>
          </w:tcPr>
          <w:p w14:paraId="5530E106">
            <w:pPr>
              <w:pStyle w:val="6"/>
              <w:spacing w:before="135" w:line="228" w:lineRule="auto"/>
              <w:ind w:left="592"/>
            </w:pPr>
            <w:r>
              <w:rPr>
                <w:b/>
                <w:bCs/>
                <w:spacing w:val="5"/>
              </w:rPr>
              <w:t>条款号</w:t>
            </w:r>
          </w:p>
        </w:tc>
        <w:tc>
          <w:tcPr>
            <w:tcW w:w="1897" w:type="dxa"/>
            <w:vAlign w:val="top"/>
          </w:tcPr>
          <w:p w14:paraId="7D955690">
            <w:pPr>
              <w:pStyle w:val="6"/>
              <w:spacing w:before="135" w:line="228" w:lineRule="auto"/>
              <w:ind w:left="531"/>
            </w:pPr>
            <w:r>
              <w:rPr>
                <w:b/>
                <w:bCs/>
                <w:spacing w:val="6"/>
              </w:rPr>
              <w:t>评审因素</w:t>
            </w:r>
          </w:p>
        </w:tc>
        <w:tc>
          <w:tcPr>
            <w:tcW w:w="5484" w:type="dxa"/>
            <w:vAlign w:val="top"/>
          </w:tcPr>
          <w:p w14:paraId="09171075">
            <w:pPr>
              <w:pStyle w:val="6"/>
              <w:spacing w:before="136" w:line="228" w:lineRule="auto"/>
              <w:ind w:left="2323"/>
            </w:pPr>
            <w:r>
              <w:rPr>
                <w:b/>
                <w:bCs/>
                <w:spacing w:val="6"/>
              </w:rPr>
              <w:t>评审标准</w:t>
            </w:r>
          </w:p>
        </w:tc>
      </w:tr>
      <w:tr w14:paraId="5CC49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380E621B">
            <w:pPr>
              <w:spacing w:line="257" w:lineRule="auto"/>
              <w:rPr>
                <w:rFonts w:ascii="Arial"/>
                <w:sz w:val="21"/>
              </w:rPr>
            </w:pPr>
          </w:p>
          <w:p w14:paraId="527607EF">
            <w:pPr>
              <w:spacing w:line="258" w:lineRule="auto"/>
              <w:rPr>
                <w:rFonts w:ascii="Arial"/>
                <w:sz w:val="21"/>
              </w:rPr>
            </w:pPr>
          </w:p>
          <w:p w14:paraId="1213F34C">
            <w:pPr>
              <w:spacing w:line="258" w:lineRule="auto"/>
              <w:rPr>
                <w:rFonts w:ascii="Arial"/>
                <w:sz w:val="21"/>
              </w:rPr>
            </w:pPr>
          </w:p>
          <w:p w14:paraId="20A86F5A">
            <w:pPr>
              <w:spacing w:line="258" w:lineRule="auto"/>
              <w:rPr>
                <w:rFonts w:ascii="Arial"/>
                <w:sz w:val="21"/>
              </w:rPr>
            </w:pPr>
          </w:p>
          <w:p w14:paraId="514363D8">
            <w:pPr>
              <w:spacing w:line="258" w:lineRule="auto"/>
              <w:rPr>
                <w:rFonts w:ascii="Arial"/>
                <w:sz w:val="21"/>
              </w:rPr>
            </w:pPr>
          </w:p>
          <w:p w14:paraId="36320B7B">
            <w:pPr>
              <w:spacing w:line="258" w:lineRule="auto"/>
              <w:rPr>
                <w:rFonts w:ascii="Arial"/>
                <w:sz w:val="21"/>
              </w:rPr>
            </w:pPr>
          </w:p>
          <w:p w14:paraId="52B86CC4">
            <w:pPr>
              <w:spacing w:line="258" w:lineRule="auto"/>
              <w:rPr>
                <w:rFonts w:ascii="Arial"/>
                <w:sz w:val="21"/>
              </w:rPr>
            </w:pPr>
          </w:p>
          <w:p w14:paraId="0C7CAC4F">
            <w:pPr>
              <w:spacing w:line="258" w:lineRule="auto"/>
              <w:rPr>
                <w:rFonts w:ascii="Arial"/>
                <w:sz w:val="21"/>
              </w:rPr>
            </w:pPr>
          </w:p>
          <w:p w14:paraId="6F47549B">
            <w:pPr>
              <w:spacing w:line="258" w:lineRule="auto"/>
              <w:rPr>
                <w:rFonts w:ascii="Arial"/>
                <w:sz w:val="21"/>
              </w:rPr>
            </w:pPr>
          </w:p>
          <w:p w14:paraId="57E103B7">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000DE9D4">
            <w:pPr>
              <w:spacing w:line="243" w:lineRule="auto"/>
              <w:rPr>
                <w:rFonts w:ascii="Arial"/>
                <w:sz w:val="21"/>
              </w:rPr>
            </w:pPr>
          </w:p>
          <w:p w14:paraId="4E4FF846">
            <w:pPr>
              <w:spacing w:line="243" w:lineRule="auto"/>
              <w:rPr>
                <w:rFonts w:ascii="Arial"/>
                <w:sz w:val="21"/>
              </w:rPr>
            </w:pPr>
          </w:p>
          <w:p w14:paraId="19FCE4EA">
            <w:pPr>
              <w:spacing w:line="244" w:lineRule="auto"/>
              <w:rPr>
                <w:rFonts w:ascii="Arial"/>
                <w:sz w:val="21"/>
              </w:rPr>
            </w:pPr>
          </w:p>
          <w:p w14:paraId="2B354A6A">
            <w:pPr>
              <w:spacing w:line="244" w:lineRule="auto"/>
              <w:rPr>
                <w:rFonts w:ascii="Arial"/>
                <w:sz w:val="21"/>
              </w:rPr>
            </w:pPr>
          </w:p>
          <w:p w14:paraId="67272154">
            <w:pPr>
              <w:spacing w:line="244" w:lineRule="auto"/>
              <w:rPr>
                <w:rFonts w:ascii="Arial"/>
                <w:sz w:val="21"/>
              </w:rPr>
            </w:pPr>
          </w:p>
          <w:p w14:paraId="1A43B951">
            <w:pPr>
              <w:spacing w:line="244" w:lineRule="auto"/>
              <w:rPr>
                <w:rFonts w:ascii="Arial"/>
                <w:sz w:val="21"/>
              </w:rPr>
            </w:pPr>
          </w:p>
          <w:p w14:paraId="3E0A8607">
            <w:pPr>
              <w:spacing w:line="244" w:lineRule="auto"/>
              <w:rPr>
                <w:rFonts w:ascii="Arial"/>
                <w:sz w:val="21"/>
              </w:rPr>
            </w:pPr>
          </w:p>
          <w:p w14:paraId="52978919">
            <w:pPr>
              <w:spacing w:line="244" w:lineRule="auto"/>
              <w:rPr>
                <w:rFonts w:ascii="Arial"/>
                <w:sz w:val="21"/>
              </w:rPr>
            </w:pPr>
          </w:p>
          <w:p w14:paraId="2A896D3C">
            <w:pPr>
              <w:pStyle w:val="6"/>
              <w:spacing w:before="65" w:line="252" w:lineRule="auto"/>
              <w:ind w:left="322" w:right="320" w:firstLine="3"/>
              <w:jc w:val="both"/>
            </w:pPr>
            <w:r>
              <w:rPr>
                <w:spacing w:val="3"/>
              </w:rPr>
              <w:t>形式</w:t>
            </w:r>
            <w:r>
              <w:rPr>
                <w:spacing w:val="5"/>
              </w:rPr>
              <w:t>评审标准</w:t>
            </w:r>
          </w:p>
        </w:tc>
        <w:tc>
          <w:tcPr>
            <w:tcW w:w="1897" w:type="dxa"/>
            <w:vAlign w:val="top"/>
          </w:tcPr>
          <w:p w14:paraId="77AE384A">
            <w:pPr>
              <w:pStyle w:val="6"/>
              <w:spacing w:before="123" w:line="228" w:lineRule="auto"/>
              <w:ind w:left="115"/>
            </w:pPr>
            <w:r>
              <w:rPr>
                <w:spacing w:val="6"/>
              </w:rPr>
              <w:t>投标文件</w:t>
            </w:r>
          </w:p>
        </w:tc>
        <w:tc>
          <w:tcPr>
            <w:tcW w:w="5484" w:type="dxa"/>
            <w:vAlign w:val="top"/>
          </w:tcPr>
          <w:p w14:paraId="1D6215FB">
            <w:pPr>
              <w:pStyle w:val="6"/>
              <w:spacing w:before="123" w:line="228" w:lineRule="auto"/>
              <w:ind w:left="116"/>
            </w:pPr>
            <w:r>
              <w:rPr>
                <w:spacing w:val="8"/>
              </w:rPr>
              <w:t>投标文件能正常打开</w:t>
            </w:r>
          </w:p>
        </w:tc>
      </w:tr>
      <w:tr w14:paraId="20F73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1FEC18C">
            <w:pPr>
              <w:rPr>
                <w:rFonts w:ascii="Arial"/>
                <w:sz w:val="21"/>
              </w:rPr>
            </w:pPr>
          </w:p>
        </w:tc>
        <w:tc>
          <w:tcPr>
            <w:tcW w:w="1058" w:type="dxa"/>
            <w:vMerge w:val="continue"/>
            <w:tcBorders>
              <w:top w:val="nil"/>
              <w:bottom w:val="nil"/>
            </w:tcBorders>
            <w:vAlign w:val="top"/>
          </w:tcPr>
          <w:p w14:paraId="0E665E6B">
            <w:pPr>
              <w:rPr>
                <w:rFonts w:ascii="Arial"/>
                <w:sz w:val="21"/>
              </w:rPr>
            </w:pPr>
          </w:p>
        </w:tc>
        <w:tc>
          <w:tcPr>
            <w:tcW w:w="1897" w:type="dxa"/>
            <w:vAlign w:val="top"/>
          </w:tcPr>
          <w:p w14:paraId="638F0188">
            <w:pPr>
              <w:pStyle w:val="6"/>
              <w:spacing w:before="123" w:line="228" w:lineRule="auto"/>
              <w:ind w:left="115"/>
            </w:pPr>
            <w:r>
              <w:rPr>
                <w:spacing w:val="7"/>
              </w:rPr>
              <w:t>投标人名称</w:t>
            </w:r>
          </w:p>
        </w:tc>
        <w:tc>
          <w:tcPr>
            <w:tcW w:w="5484" w:type="dxa"/>
            <w:vAlign w:val="top"/>
          </w:tcPr>
          <w:p w14:paraId="1D33BE5A">
            <w:pPr>
              <w:pStyle w:val="6"/>
              <w:spacing w:before="122" w:line="227" w:lineRule="auto"/>
              <w:ind w:left="118"/>
            </w:pPr>
            <w:r>
              <w:rPr>
                <w:spacing w:val="9"/>
              </w:rPr>
              <w:t>与营业执照、资质证书、安全生产许可证一致</w:t>
            </w:r>
          </w:p>
        </w:tc>
      </w:tr>
      <w:tr w14:paraId="6AF358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FB438AF">
            <w:pPr>
              <w:rPr>
                <w:rFonts w:ascii="Arial"/>
                <w:sz w:val="21"/>
              </w:rPr>
            </w:pPr>
          </w:p>
        </w:tc>
        <w:tc>
          <w:tcPr>
            <w:tcW w:w="1058" w:type="dxa"/>
            <w:vMerge w:val="continue"/>
            <w:tcBorders>
              <w:top w:val="nil"/>
              <w:bottom w:val="nil"/>
            </w:tcBorders>
            <w:vAlign w:val="top"/>
          </w:tcPr>
          <w:p w14:paraId="27E34738">
            <w:pPr>
              <w:rPr>
                <w:rFonts w:ascii="Arial"/>
                <w:sz w:val="21"/>
              </w:rPr>
            </w:pPr>
          </w:p>
        </w:tc>
        <w:tc>
          <w:tcPr>
            <w:tcW w:w="1897" w:type="dxa"/>
            <w:vAlign w:val="top"/>
          </w:tcPr>
          <w:p w14:paraId="3C952D21">
            <w:pPr>
              <w:pStyle w:val="6"/>
              <w:spacing w:before="121" w:line="227" w:lineRule="auto"/>
              <w:ind w:left="115"/>
            </w:pPr>
            <w:r>
              <w:rPr>
                <w:spacing w:val="8"/>
              </w:rPr>
              <w:t>投标文件签字盖章</w:t>
            </w:r>
          </w:p>
        </w:tc>
        <w:tc>
          <w:tcPr>
            <w:tcW w:w="5484" w:type="dxa"/>
            <w:vAlign w:val="top"/>
          </w:tcPr>
          <w:p w14:paraId="7D677862">
            <w:pPr>
              <w:pStyle w:val="6"/>
              <w:spacing w:before="121"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458506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64AE8ECD">
            <w:pPr>
              <w:rPr>
                <w:rFonts w:ascii="Arial"/>
                <w:sz w:val="21"/>
              </w:rPr>
            </w:pPr>
          </w:p>
        </w:tc>
        <w:tc>
          <w:tcPr>
            <w:tcW w:w="1058" w:type="dxa"/>
            <w:vMerge w:val="continue"/>
            <w:tcBorders>
              <w:top w:val="nil"/>
              <w:bottom w:val="nil"/>
            </w:tcBorders>
            <w:vAlign w:val="top"/>
          </w:tcPr>
          <w:p w14:paraId="06A7B2E7">
            <w:pPr>
              <w:rPr>
                <w:rFonts w:ascii="Arial"/>
                <w:sz w:val="21"/>
              </w:rPr>
            </w:pPr>
          </w:p>
        </w:tc>
        <w:tc>
          <w:tcPr>
            <w:tcW w:w="1897" w:type="dxa"/>
            <w:vAlign w:val="top"/>
          </w:tcPr>
          <w:p w14:paraId="649ECE34">
            <w:pPr>
              <w:pStyle w:val="6"/>
              <w:spacing w:before="32" w:line="234" w:lineRule="auto"/>
              <w:ind w:left="115" w:right="107"/>
            </w:pPr>
            <w:r>
              <w:rPr>
                <w:spacing w:val="8"/>
              </w:rPr>
              <w:t>投标文件格式、内</w:t>
            </w:r>
            <w:r>
              <w:t>容</w:t>
            </w:r>
          </w:p>
        </w:tc>
        <w:tc>
          <w:tcPr>
            <w:tcW w:w="5484" w:type="dxa"/>
            <w:vAlign w:val="top"/>
          </w:tcPr>
          <w:p w14:paraId="7A41F1FB">
            <w:pPr>
              <w:pStyle w:val="6"/>
              <w:spacing w:before="32" w:line="234" w:lineRule="auto"/>
              <w:ind w:left="116" w:right="144" w:hanging="1"/>
            </w:pPr>
            <w:r>
              <w:rPr>
                <w:spacing w:val="7"/>
              </w:rPr>
              <w:t>符合第八章“投标文件格式</w:t>
            </w:r>
            <w:r>
              <w:rPr>
                <w:spacing w:val="-58"/>
              </w:rPr>
              <w:t xml:space="preserve"> </w:t>
            </w:r>
            <w:r>
              <w:rPr>
                <w:spacing w:val="7"/>
              </w:rPr>
              <w:t>”的要求，实质性内容齐全、</w:t>
            </w:r>
            <w:r>
              <w:rPr>
                <w:spacing w:val="8"/>
              </w:rPr>
              <w:t>关键字迹清晰可辨</w:t>
            </w:r>
          </w:p>
        </w:tc>
      </w:tr>
      <w:tr w14:paraId="2DCE10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1588A232">
            <w:pPr>
              <w:rPr>
                <w:rFonts w:ascii="Arial"/>
                <w:sz w:val="21"/>
              </w:rPr>
            </w:pPr>
          </w:p>
        </w:tc>
        <w:tc>
          <w:tcPr>
            <w:tcW w:w="1058" w:type="dxa"/>
            <w:vMerge w:val="continue"/>
            <w:tcBorders>
              <w:top w:val="nil"/>
              <w:bottom w:val="nil"/>
            </w:tcBorders>
            <w:vAlign w:val="top"/>
          </w:tcPr>
          <w:p w14:paraId="7F2E7680">
            <w:pPr>
              <w:rPr>
                <w:rFonts w:ascii="Arial"/>
                <w:sz w:val="21"/>
              </w:rPr>
            </w:pPr>
          </w:p>
        </w:tc>
        <w:tc>
          <w:tcPr>
            <w:tcW w:w="1897" w:type="dxa"/>
            <w:vAlign w:val="top"/>
          </w:tcPr>
          <w:p w14:paraId="542CD4D4">
            <w:pPr>
              <w:pStyle w:val="6"/>
              <w:spacing w:before="32" w:line="234" w:lineRule="auto"/>
              <w:ind w:left="113" w:right="107"/>
            </w:pPr>
            <w:r>
              <w:rPr>
                <w:spacing w:val="8"/>
              </w:rPr>
              <w:t>联合体投标人（如</w:t>
            </w:r>
            <w:r>
              <w:t>有）</w:t>
            </w:r>
          </w:p>
        </w:tc>
        <w:tc>
          <w:tcPr>
            <w:tcW w:w="5484" w:type="dxa"/>
            <w:vAlign w:val="top"/>
          </w:tcPr>
          <w:p w14:paraId="2B97B3A1">
            <w:pPr>
              <w:pStyle w:val="6"/>
              <w:spacing w:before="165" w:line="227" w:lineRule="auto"/>
              <w:ind w:left="114"/>
            </w:pPr>
            <w:r>
              <w:rPr>
                <w:spacing w:val="9"/>
              </w:rPr>
              <w:t>提交联合体协议书，并明确联合体牵头人</w:t>
            </w:r>
          </w:p>
        </w:tc>
      </w:tr>
      <w:tr w14:paraId="6EF45D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80BF7B7">
            <w:pPr>
              <w:rPr>
                <w:rFonts w:ascii="Arial"/>
                <w:sz w:val="21"/>
              </w:rPr>
            </w:pPr>
          </w:p>
        </w:tc>
        <w:tc>
          <w:tcPr>
            <w:tcW w:w="1058" w:type="dxa"/>
            <w:vMerge w:val="continue"/>
            <w:tcBorders>
              <w:top w:val="nil"/>
              <w:bottom w:val="nil"/>
            </w:tcBorders>
            <w:vAlign w:val="top"/>
          </w:tcPr>
          <w:p w14:paraId="5F6944CA">
            <w:pPr>
              <w:rPr>
                <w:rFonts w:ascii="Arial"/>
                <w:sz w:val="21"/>
              </w:rPr>
            </w:pPr>
          </w:p>
        </w:tc>
        <w:tc>
          <w:tcPr>
            <w:tcW w:w="1897" w:type="dxa"/>
            <w:vAlign w:val="top"/>
          </w:tcPr>
          <w:p w14:paraId="69634ADC">
            <w:pPr>
              <w:pStyle w:val="6"/>
              <w:spacing w:before="123" w:line="226" w:lineRule="auto"/>
              <w:ind w:left="110"/>
            </w:pPr>
            <w:r>
              <w:rPr>
                <w:spacing w:val="8"/>
              </w:rPr>
              <w:t>报价唯一</w:t>
            </w:r>
          </w:p>
        </w:tc>
        <w:tc>
          <w:tcPr>
            <w:tcW w:w="5484" w:type="dxa"/>
            <w:vAlign w:val="top"/>
          </w:tcPr>
          <w:p w14:paraId="5B36D964">
            <w:pPr>
              <w:pStyle w:val="6"/>
              <w:spacing w:before="123" w:line="226" w:lineRule="auto"/>
              <w:ind w:left="126"/>
            </w:pPr>
            <w:r>
              <w:rPr>
                <w:spacing w:val="8"/>
              </w:rPr>
              <w:t>只能有一个有效报价（指投标函中的大写投标总报价）</w:t>
            </w:r>
          </w:p>
        </w:tc>
      </w:tr>
      <w:tr w14:paraId="3CF64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FE9765A">
            <w:pPr>
              <w:rPr>
                <w:rFonts w:ascii="Arial"/>
                <w:sz w:val="21"/>
              </w:rPr>
            </w:pPr>
          </w:p>
        </w:tc>
        <w:tc>
          <w:tcPr>
            <w:tcW w:w="1058" w:type="dxa"/>
            <w:vMerge w:val="continue"/>
            <w:tcBorders>
              <w:top w:val="nil"/>
              <w:bottom w:val="nil"/>
            </w:tcBorders>
            <w:vAlign w:val="top"/>
          </w:tcPr>
          <w:p w14:paraId="039A3BA8">
            <w:pPr>
              <w:rPr>
                <w:rFonts w:ascii="Arial"/>
                <w:sz w:val="21"/>
              </w:rPr>
            </w:pPr>
          </w:p>
        </w:tc>
        <w:tc>
          <w:tcPr>
            <w:tcW w:w="1897" w:type="dxa"/>
            <w:vAlign w:val="top"/>
          </w:tcPr>
          <w:p w14:paraId="59CA4573">
            <w:pPr>
              <w:pStyle w:val="6"/>
              <w:spacing w:before="180" w:line="228" w:lineRule="auto"/>
              <w:ind w:left="122"/>
            </w:pPr>
            <w:r>
              <w:rPr>
                <w:spacing w:val="6"/>
              </w:rPr>
              <w:t>多标段投标</w:t>
            </w:r>
          </w:p>
        </w:tc>
        <w:tc>
          <w:tcPr>
            <w:tcW w:w="5484" w:type="dxa"/>
            <w:vAlign w:val="top"/>
          </w:tcPr>
          <w:p w14:paraId="211F5687">
            <w:pPr>
              <w:pStyle w:val="6"/>
              <w:spacing w:before="179"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05861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33626CD">
            <w:pPr>
              <w:rPr>
                <w:rFonts w:ascii="Arial"/>
                <w:sz w:val="21"/>
              </w:rPr>
            </w:pPr>
          </w:p>
        </w:tc>
        <w:tc>
          <w:tcPr>
            <w:tcW w:w="1058" w:type="dxa"/>
            <w:vMerge w:val="continue"/>
            <w:tcBorders>
              <w:top w:val="nil"/>
              <w:bottom w:val="nil"/>
            </w:tcBorders>
            <w:vAlign w:val="top"/>
          </w:tcPr>
          <w:p w14:paraId="04A0B032">
            <w:pPr>
              <w:rPr>
                <w:rFonts w:ascii="Arial"/>
                <w:sz w:val="21"/>
              </w:rPr>
            </w:pPr>
          </w:p>
        </w:tc>
        <w:tc>
          <w:tcPr>
            <w:tcW w:w="1897" w:type="dxa"/>
            <w:vAlign w:val="top"/>
          </w:tcPr>
          <w:p w14:paraId="204C7422">
            <w:pPr>
              <w:pStyle w:val="6"/>
              <w:spacing w:before="121" w:line="228" w:lineRule="auto"/>
              <w:ind w:left="102"/>
            </w:pPr>
            <w:r>
              <w:rPr>
                <w:spacing w:val="22"/>
              </w:rPr>
              <w:t>“技术暗标</w:t>
            </w:r>
            <w:r>
              <w:rPr>
                <w:spacing w:val="-70"/>
              </w:rPr>
              <w:t xml:space="preserve"> </w:t>
            </w:r>
            <w:r>
              <w:rPr>
                <w:spacing w:val="22"/>
              </w:rPr>
              <w:t>”</w:t>
            </w:r>
          </w:p>
        </w:tc>
        <w:tc>
          <w:tcPr>
            <w:tcW w:w="5484" w:type="dxa"/>
            <w:vAlign w:val="top"/>
          </w:tcPr>
          <w:p w14:paraId="1E478083">
            <w:pPr>
              <w:pStyle w:val="6"/>
              <w:spacing w:before="121"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571E95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EAC49F3">
            <w:pPr>
              <w:rPr>
                <w:rFonts w:ascii="Arial"/>
                <w:sz w:val="21"/>
              </w:rPr>
            </w:pPr>
          </w:p>
        </w:tc>
        <w:tc>
          <w:tcPr>
            <w:tcW w:w="1058" w:type="dxa"/>
            <w:vMerge w:val="continue"/>
            <w:tcBorders>
              <w:top w:val="nil"/>
              <w:bottom w:val="nil"/>
            </w:tcBorders>
            <w:vAlign w:val="top"/>
          </w:tcPr>
          <w:p w14:paraId="4317D37A">
            <w:pPr>
              <w:rPr>
                <w:rFonts w:ascii="Arial"/>
                <w:sz w:val="21"/>
              </w:rPr>
            </w:pPr>
          </w:p>
        </w:tc>
        <w:tc>
          <w:tcPr>
            <w:tcW w:w="1897" w:type="dxa"/>
            <w:vAlign w:val="top"/>
          </w:tcPr>
          <w:p w14:paraId="2D11EA37">
            <w:pPr>
              <w:pStyle w:val="6"/>
              <w:spacing w:before="123" w:line="228" w:lineRule="auto"/>
              <w:ind w:left="115"/>
            </w:pPr>
            <w:r>
              <w:rPr>
                <w:spacing w:val="6"/>
              </w:rPr>
              <w:t>项目经理</w:t>
            </w:r>
          </w:p>
        </w:tc>
        <w:tc>
          <w:tcPr>
            <w:tcW w:w="5484" w:type="dxa"/>
            <w:vAlign w:val="top"/>
          </w:tcPr>
          <w:p w14:paraId="51933CA0">
            <w:pPr>
              <w:pStyle w:val="6"/>
              <w:spacing w:before="122" w:line="228" w:lineRule="auto"/>
              <w:ind w:left="117"/>
            </w:pPr>
            <w:r>
              <w:rPr>
                <w:spacing w:val="9"/>
              </w:rPr>
              <w:t>未更换通过资格预审的项目经理</w:t>
            </w:r>
          </w:p>
        </w:tc>
      </w:tr>
      <w:tr w14:paraId="089B9C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77FFE2FD">
            <w:pPr>
              <w:rPr>
                <w:rFonts w:ascii="Arial"/>
                <w:sz w:val="21"/>
              </w:rPr>
            </w:pPr>
          </w:p>
        </w:tc>
        <w:tc>
          <w:tcPr>
            <w:tcW w:w="1058" w:type="dxa"/>
            <w:vMerge w:val="continue"/>
            <w:tcBorders>
              <w:top w:val="nil"/>
            </w:tcBorders>
            <w:vAlign w:val="top"/>
          </w:tcPr>
          <w:p w14:paraId="58319AD5">
            <w:pPr>
              <w:rPr>
                <w:rFonts w:ascii="Arial"/>
                <w:sz w:val="21"/>
              </w:rPr>
            </w:pPr>
          </w:p>
        </w:tc>
        <w:tc>
          <w:tcPr>
            <w:tcW w:w="1897" w:type="dxa"/>
            <w:vAlign w:val="top"/>
          </w:tcPr>
          <w:p w14:paraId="186D939A">
            <w:pPr>
              <w:pStyle w:val="6"/>
              <w:spacing w:before="122" w:line="228" w:lineRule="auto"/>
              <w:ind w:left="121"/>
            </w:pPr>
            <w:r>
              <w:rPr>
                <w:spacing w:val="6"/>
              </w:rPr>
              <w:t>资格条件变化</w:t>
            </w:r>
          </w:p>
        </w:tc>
        <w:tc>
          <w:tcPr>
            <w:tcW w:w="5484" w:type="dxa"/>
            <w:vAlign w:val="top"/>
          </w:tcPr>
          <w:p w14:paraId="00819A15">
            <w:pPr>
              <w:pStyle w:val="6"/>
              <w:spacing w:before="122" w:line="228" w:lineRule="auto"/>
              <w:ind w:left="116"/>
            </w:pPr>
            <w:r>
              <w:rPr>
                <w:spacing w:val="9"/>
              </w:rPr>
              <w:t>投标函中有资格条件是否变化的声明</w:t>
            </w:r>
          </w:p>
        </w:tc>
      </w:tr>
      <w:tr w14:paraId="0FEA6A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4" w:hRule="atLeast"/>
        </w:trPr>
        <w:tc>
          <w:tcPr>
            <w:tcW w:w="745" w:type="dxa"/>
            <w:vAlign w:val="top"/>
          </w:tcPr>
          <w:p w14:paraId="6204F971">
            <w:pPr>
              <w:spacing w:line="287" w:lineRule="auto"/>
              <w:rPr>
                <w:rFonts w:ascii="Arial"/>
                <w:sz w:val="21"/>
              </w:rPr>
            </w:pPr>
          </w:p>
          <w:p w14:paraId="636924EF">
            <w:pPr>
              <w:spacing w:line="287" w:lineRule="auto"/>
              <w:rPr>
                <w:rFonts w:ascii="Arial"/>
                <w:sz w:val="21"/>
              </w:rPr>
            </w:pPr>
          </w:p>
          <w:p w14:paraId="0DD90254">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52FC3E4E">
            <w:pPr>
              <w:pStyle w:val="6"/>
              <w:spacing w:before="130" w:line="228" w:lineRule="auto"/>
              <w:ind w:left="332"/>
            </w:pPr>
            <w:r>
              <w:t>资格</w:t>
            </w:r>
          </w:p>
          <w:p w14:paraId="03F8B781">
            <w:pPr>
              <w:pStyle w:val="6"/>
              <w:spacing w:before="27" w:line="228" w:lineRule="auto"/>
              <w:ind w:left="322"/>
            </w:pPr>
            <w:r>
              <w:rPr>
                <w:spacing w:val="5"/>
              </w:rPr>
              <w:t>评审</w:t>
            </w:r>
          </w:p>
          <w:p w14:paraId="01866547">
            <w:pPr>
              <w:pStyle w:val="6"/>
              <w:spacing w:before="24" w:line="254" w:lineRule="auto"/>
              <w:ind w:left="122" w:right="129" w:firstLine="201"/>
            </w:pPr>
            <w:r>
              <w:rPr>
                <w:spacing w:val="4"/>
              </w:rPr>
              <w:t>标准</w:t>
            </w:r>
            <w:r>
              <w:t>（预审）</w:t>
            </w:r>
          </w:p>
        </w:tc>
        <w:tc>
          <w:tcPr>
            <w:tcW w:w="1897" w:type="dxa"/>
            <w:vAlign w:val="top"/>
          </w:tcPr>
          <w:p w14:paraId="6E6DAC68">
            <w:pPr>
              <w:spacing w:line="311" w:lineRule="auto"/>
              <w:rPr>
                <w:rFonts w:ascii="Arial"/>
                <w:sz w:val="21"/>
              </w:rPr>
            </w:pPr>
          </w:p>
          <w:p w14:paraId="2625092E">
            <w:pPr>
              <w:pStyle w:val="6"/>
              <w:spacing w:before="65" w:line="407" w:lineRule="auto"/>
              <w:ind w:left="114" w:right="107" w:firstLine="1"/>
            </w:pPr>
            <w:r>
              <w:rPr>
                <w:spacing w:val="8"/>
              </w:rPr>
              <w:t>见本标段资格预审</w:t>
            </w:r>
            <w:r>
              <w:rPr>
                <w:spacing w:val="3"/>
              </w:rPr>
              <w:t>文件</w:t>
            </w:r>
          </w:p>
        </w:tc>
        <w:tc>
          <w:tcPr>
            <w:tcW w:w="5484" w:type="dxa"/>
            <w:vAlign w:val="top"/>
          </w:tcPr>
          <w:p w14:paraId="5C179C51">
            <w:pPr>
              <w:spacing w:line="338" w:lineRule="auto"/>
              <w:rPr>
                <w:rFonts w:ascii="Arial"/>
                <w:sz w:val="21"/>
              </w:rPr>
            </w:pPr>
          </w:p>
          <w:p w14:paraId="393EAA14">
            <w:pPr>
              <w:pStyle w:val="6"/>
              <w:spacing w:before="65" w:line="251" w:lineRule="auto"/>
              <w:ind w:left="114" w:right="107"/>
            </w:pPr>
            <w:r>
              <w:rPr>
                <w:spacing w:val="9"/>
              </w:rPr>
              <w:t>符合本标段资格预审文件第三章“资格审查办法</w:t>
            </w:r>
            <w:r>
              <w:rPr>
                <w:spacing w:val="-70"/>
              </w:rPr>
              <w:t xml:space="preserve"> </w:t>
            </w:r>
            <w:r>
              <w:rPr>
                <w:spacing w:val="9"/>
              </w:rPr>
              <w:t>”的审查</w:t>
            </w:r>
            <w:r>
              <w:rPr>
                <w:spacing w:val="8"/>
              </w:rPr>
              <w:t>标准并且不影响本次招标的公正性。</w:t>
            </w:r>
          </w:p>
        </w:tc>
      </w:tr>
      <w:tr w14:paraId="3254DB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21432A56">
            <w:pPr>
              <w:spacing w:line="254" w:lineRule="auto"/>
              <w:rPr>
                <w:rFonts w:ascii="Arial"/>
                <w:sz w:val="21"/>
              </w:rPr>
            </w:pPr>
          </w:p>
          <w:p w14:paraId="494B8302">
            <w:pPr>
              <w:spacing w:line="254" w:lineRule="auto"/>
              <w:rPr>
                <w:rFonts w:ascii="Arial"/>
                <w:sz w:val="21"/>
              </w:rPr>
            </w:pPr>
          </w:p>
          <w:p w14:paraId="6221089D">
            <w:pPr>
              <w:spacing w:line="254" w:lineRule="auto"/>
              <w:rPr>
                <w:rFonts w:ascii="Arial"/>
                <w:sz w:val="21"/>
              </w:rPr>
            </w:pPr>
          </w:p>
          <w:p w14:paraId="2917F3F4">
            <w:pPr>
              <w:spacing w:line="254" w:lineRule="auto"/>
              <w:rPr>
                <w:rFonts w:ascii="Arial"/>
                <w:sz w:val="21"/>
              </w:rPr>
            </w:pPr>
          </w:p>
          <w:p w14:paraId="25611441">
            <w:pPr>
              <w:spacing w:line="255" w:lineRule="auto"/>
              <w:rPr>
                <w:rFonts w:ascii="Arial"/>
                <w:sz w:val="21"/>
              </w:rPr>
            </w:pPr>
          </w:p>
          <w:p w14:paraId="79567B09">
            <w:pPr>
              <w:spacing w:line="255" w:lineRule="auto"/>
              <w:rPr>
                <w:rFonts w:ascii="Arial"/>
                <w:sz w:val="21"/>
              </w:rPr>
            </w:pPr>
          </w:p>
          <w:p w14:paraId="0DD1FB0A">
            <w:pPr>
              <w:spacing w:line="255" w:lineRule="auto"/>
              <w:rPr>
                <w:rFonts w:ascii="Arial"/>
                <w:sz w:val="21"/>
              </w:rPr>
            </w:pPr>
          </w:p>
          <w:p w14:paraId="321025D8">
            <w:pPr>
              <w:spacing w:line="255" w:lineRule="auto"/>
              <w:rPr>
                <w:rFonts w:ascii="Arial"/>
                <w:sz w:val="21"/>
              </w:rPr>
            </w:pPr>
          </w:p>
          <w:p w14:paraId="188A56F7">
            <w:pPr>
              <w:spacing w:line="255" w:lineRule="auto"/>
              <w:rPr>
                <w:rFonts w:ascii="Arial"/>
                <w:sz w:val="21"/>
              </w:rPr>
            </w:pPr>
          </w:p>
          <w:p w14:paraId="485E3AF0">
            <w:pPr>
              <w:spacing w:line="255" w:lineRule="auto"/>
              <w:rPr>
                <w:rFonts w:ascii="Arial"/>
                <w:sz w:val="21"/>
              </w:rPr>
            </w:pPr>
          </w:p>
          <w:p w14:paraId="5F481D97">
            <w:pPr>
              <w:spacing w:line="255" w:lineRule="auto"/>
              <w:rPr>
                <w:rFonts w:ascii="Arial"/>
                <w:sz w:val="21"/>
              </w:rPr>
            </w:pPr>
          </w:p>
          <w:p w14:paraId="3E730F2C">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05CEB7DF">
            <w:pPr>
              <w:spacing w:line="256" w:lineRule="auto"/>
              <w:rPr>
                <w:rFonts w:ascii="Arial"/>
                <w:sz w:val="21"/>
              </w:rPr>
            </w:pPr>
          </w:p>
          <w:p w14:paraId="4BD54664">
            <w:pPr>
              <w:spacing w:line="256" w:lineRule="auto"/>
              <w:rPr>
                <w:rFonts w:ascii="Arial"/>
                <w:sz w:val="21"/>
              </w:rPr>
            </w:pPr>
          </w:p>
          <w:p w14:paraId="258BA159">
            <w:pPr>
              <w:spacing w:line="256" w:lineRule="auto"/>
              <w:rPr>
                <w:rFonts w:ascii="Arial"/>
                <w:sz w:val="21"/>
              </w:rPr>
            </w:pPr>
          </w:p>
          <w:p w14:paraId="64829AFD">
            <w:pPr>
              <w:spacing w:line="256" w:lineRule="auto"/>
              <w:rPr>
                <w:rFonts w:ascii="Arial"/>
                <w:sz w:val="21"/>
              </w:rPr>
            </w:pPr>
          </w:p>
          <w:p w14:paraId="70F1B5AF">
            <w:pPr>
              <w:spacing w:line="256" w:lineRule="auto"/>
              <w:rPr>
                <w:rFonts w:ascii="Arial"/>
                <w:sz w:val="21"/>
              </w:rPr>
            </w:pPr>
          </w:p>
          <w:p w14:paraId="0992CD04">
            <w:pPr>
              <w:spacing w:line="257" w:lineRule="auto"/>
              <w:rPr>
                <w:rFonts w:ascii="Arial"/>
                <w:sz w:val="21"/>
              </w:rPr>
            </w:pPr>
          </w:p>
          <w:p w14:paraId="17C12C15">
            <w:pPr>
              <w:spacing w:line="257" w:lineRule="auto"/>
              <w:rPr>
                <w:rFonts w:ascii="Arial"/>
                <w:sz w:val="21"/>
              </w:rPr>
            </w:pPr>
          </w:p>
          <w:p w14:paraId="5C5625ED">
            <w:pPr>
              <w:spacing w:line="257" w:lineRule="auto"/>
              <w:rPr>
                <w:rFonts w:ascii="Arial"/>
                <w:sz w:val="21"/>
              </w:rPr>
            </w:pPr>
          </w:p>
          <w:p w14:paraId="1479E60F">
            <w:pPr>
              <w:spacing w:line="257" w:lineRule="auto"/>
              <w:rPr>
                <w:rFonts w:ascii="Arial"/>
                <w:sz w:val="21"/>
              </w:rPr>
            </w:pPr>
          </w:p>
          <w:p w14:paraId="11CD0D4C">
            <w:pPr>
              <w:spacing w:line="257" w:lineRule="auto"/>
              <w:rPr>
                <w:rFonts w:ascii="Arial"/>
                <w:sz w:val="21"/>
              </w:rPr>
            </w:pPr>
          </w:p>
          <w:p w14:paraId="63B3A88C">
            <w:pPr>
              <w:pStyle w:val="6"/>
              <w:spacing w:before="65" w:line="254"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1897" w:type="dxa"/>
            <w:vAlign w:val="top"/>
          </w:tcPr>
          <w:p w14:paraId="22FC96C4">
            <w:pPr>
              <w:pStyle w:val="6"/>
              <w:spacing w:before="123" w:line="228" w:lineRule="auto"/>
              <w:ind w:left="115"/>
            </w:pPr>
            <w:r>
              <w:rPr>
                <w:spacing w:val="6"/>
              </w:rPr>
              <w:t>投标内容</w:t>
            </w:r>
          </w:p>
        </w:tc>
        <w:tc>
          <w:tcPr>
            <w:tcW w:w="5484" w:type="dxa"/>
            <w:vAlign w:val="top"/>
          </w:tcPr>
          <w:p w14:paraId="63E54E8F">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4F3C8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F195C48">
            <w:pPr>
              <w:rPr>
                <w:rFonts w:ascii="Arial"/>
                <w:sz w:val="21"/>
              </w:rPr>
            </w:pPr>
          </w:p>
        </w:tc>
        <w:tc>
          <w:tcPr>
            <w:tcW w:w="1058" w:type="dxa"/>
            <w:vMerge w:val="continue"/>
            <w:tcBorders>
              <w:top w:val="nil"/>
              <w:bottom w:val="nil"/>
            </w:tcBorders>
            <w:vAlign w:val="top"/>
          </w:tcPr>
          <w:p w14:paraId="22FA066D">
            <w:pPr>
              <w:rPr>
                <w:rFonts w:ascii="Arial"/>
                <w:sz w:val="21"/>
              </w:rPr>
            </w:pPr>
          </w:p>
        </w:tc>
        <w:tc>
          <w:tcPr>
            <w:tcW w:w="1897" w:type="dxa"/>
            <w:vAlign w:val="top"/>
          </w:tcPr>
          <w:p w14:paraId="74CCD13B">
            <w:pPr>
              <w:pStyle w:val="6"/>
              <w:spacing w:before="123" w:line="228" w:lineRule="auto"/>
              <w:ind w:left="115"/>
            </w:pPr>
            <w:r>
              <w:rPr>
                <w:spacing w:val="3"/>
              </w:rPr>
              <w:t>工期</w:t>
            </w:r>
          </w:p>
        </w:tc>
        <w:tc>
          <w:tcPr>
            <w:tcW w:w="5484" w:type="dxa"/>
            <w:vAlign w:val="top"/>
          </w:tcPr>
          <w:p w14:paraId="59072CE4">
            <w:pPr>
              <w:pStyle w:val="6"/>
              <w:spacing w:before="12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5678E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5FDC0C5E">
            <w:pPr>
              <w:rPr>
                <w:rFonts w:ascii="Arial"/>
                <w:sz w:val="21"/>
              </w:rPr>
            </w:pPr>
          </w:p>
        </w:tc>
        <w:tc>
          <w:tcPr>
            <w:tcW w:w="1058" w:type="dxa"/>
            <w:vMerge w:val="continue"/>
            <w:tcBorders>
              <w:top w:val="nil"/>
              <w:bottom w:val="nil"/>
            </w:tcBorders>
            <w:vAlign w:val="top"/>
          </w:tcPr>
          <w:p w14:paraId="397FF957">
            <w:pPr>
              <w:rPr>
                <w:rFonts w:ascii="Arial"/>
                <w:sz w:val="21"/>
              </w:rPr>
            </w:pPr>
          </w:p>
        </w:tc>
        <w:tc>
          <w:tcPr>
            <w:tcW w:w="1897" w:type="dxa"/>
            <w:vAlign w:val="top"/>
          </w:tcPr>
          <w:p w14:paraId="6E9B5258">
            <w:pPr>
              <w:spacing w:line="374" w:lineRule="auto"/>
              <w:rPr>
                <w:rFonts w:ascii="Arial"/>
                <w:sz w:val="21"/>
              </w:rPr>
            </w:pPr>
          </w:p>
          <w:p w14:paraId="1952D552">
            <w:pPr>
              <w:pStyle w:val="6"/>
              <w:spacing w:before="65" w:line="228" w:lineRule="auto"/>
              <w:ind w:left="115"/>
            </w:pPr>
            <w:r>
              <w:rPr>
                <w:spacing w:val="6"/>
              </w:rPr>
              <w:t>工程质量</w:t>
            </w:r>
          </w:p>
        </w:tc>
        <w:tc>
          <w:tcPr>
            <w:tcW w:w="5484" w:type="dxa"/>
            <w:vAlign w:val="top"/>
          </w:tcPr>
          <w:p w14:paraId="2598452C">
            <w:pPr>
              <w:pStyle w:val="6"/>
              <w:spacing w:before="3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3F1964D2">
            <w:pPr>
              <w:pStyle w:val="6"/>
              <w:spacing w:before="25"/>
              <w:ind w:left="113" w:right="107" w:firstLine="10"/>
            </w:pPr>
            <w:r>
              <w:rPr>
                <w:spacing w:val="10"/>
              </w:rPr>
              <w:t>（投标文件中载明的质量标准、质量奖项必须达</w:t>
            </w:r>
            <w:r>
              <w:rPr>
                <w:spacing w:val="9"/>
              </w:rPr>
              <w:t>到招标文</w:t>
            </w:r>
            <w:r>
              <w:rPr>
                <w:spacing w:val="10"/>
              </w:rPr>
              <w:t>件规定的质量标准、质量奖项，不能以质量奖项代替质量</w:t>
            </w:r>
            <w:r>
              <w:rPr>
                <w:spacing w:val="3"/>
              </w:rPr>
              <w:t>标准）</w:t>
            </w:r>
          </w:p>
        </w:tc>
      </w:tr>
      <w:tr w14:paraId="2B3786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B2CF708">
            <w:pPr>
              <w:rPr>
                <w:rFonts w:ascii="Arial"/>
                <w:sz w:val="21"/>
              </w:rPr>
            </w:pPr>
          </w:p>
        </w:tc>
        <w:tc>
          <w:tcPr>
            <w:tcW w:w="1058" w:type="dxa"/>
            <w:vMerge w:val="continue"/>
            <w:tcBorders>
              <w:top w:val="nil"/>
              <w:bottom w:val="nil"/>
            </w:tcBorders>
            <w:vAlign w:val="top"/>
          </w:tcPr>
          <w:p w14:paraId="27846E35">
            <w:pPr>
              <w:rPr>
                <w:rFonts w:ascii="Arial"/>
                <w:sz w:val="21"/>
              </w:rPr>
            </w:pPr>
          </w:p>
        </w:tc>
        <w:tc>
          <w:tcPr>
            <w:tcW w:w="1897" w:type="dxa"/>
            <w:vAlign w:val="top"/>
          </w:tcPr>
          <w:p w14:paraId="761B40DB">
            <w:pPr>
              <w:pStyle w:val="6"/>
              <w:spacing w:before="124" w:line="228" w:lineRule="auto"/>
              <w:ind w:left="115"/>
            </w:pPr>
            <w:r>
              <w:rPr>
                <w:spacing w:val="7"/>
              </w:rPr>
              <w:t>投标有效期</w:t>
            </w:r>
          </w:p>
        </w:tc>
        <w:tc>
          <w:tcPr>
            <w:tcW w:w="5484" w:type="dxa"/>
            <w:vAlign w:val="top"/>
          </w:tcPr>
          <w:p w14:paraId="3D5522C8">
            <w:pPr>
              <w:pStyle w:val="6"/>
              <w:spacing w:before="124" w:line="227" w:lineRule="auto"/>
              <w:ind w:left="115"/>
            </w:pPr>
            <w:r>
              <w:rPr>
                <w:spacing w:val="5"/>
              </w:rPr>
              <w:t>符合第二章“投标人须知</w:t>
            </w:r>
            <w:r>
              <w:rPr>
                <w:spacing w:val="-72"/>
              </w:rPr>
              <w:t xml:space="preserve"> </w:t>
            </w:r>
            <w:r>
              <w:rPr>
                <w:spacing w:val="5"/>
              </w:rPr>
              <w:t>”第</w:t>
            </w:r>
            <w:r>
              <w:rPr>
                <w:spacing w:val="-39"/>
              </w:rPr>
              <w:t xml:space="preserve"> </w:t>
            </w:r>
            <w:r>
              <w:rPr>
                <w:rFonts w:ascii="Times New Roman" w:hAnsi="Times New Roman" w:eastAsia="Times New Roman" w:cs="Times New Roman"/>
                <w:spacing w:val="5"/>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5"/>
              </w:rPr>
              <w:t xml:space="preserve">1 </w:t>
            </w:r>
            <w:r>
              <w:rPr>
                <w:spacing w:val="5"/>
              </w:rPr>
              <w:t>项</w:t>
            </w:r>
            <w:r>
              <w:rPr>
                <w:spacing w:val="4"/>
              </w:rPr>
              <w:t>规定</w:t>
            </w:r>
          </w:p>
        </w:tc>
      </w:tr>
      <w:tr w14:paraId="584C95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745" w:type="dxa"/>
            <w:vMerge w:val="continue"/>
            <w:tcBorders>
              <w:top w:val="nil"/>
              <w:bottom w:val="nil"/>
            </w:tcBorders>
            <w:vAlign w:val="top"/>
          </w:tcPr>
          <w:p w14:paraId="58519CA4">
            <w:pPr>
              <w:rPr>
                <w:rFonts w:ascii="Arial"/>
                <w:sz w:val="21"/>
              </w:rPr>
            </w:pPr>
          </w:p>
        </w:tc>
        <w:tc>
          <w:tcPr>
            <w:tcW w:w="1058" w:type="dxa"/>
            <w:vMerge w:val="continue"/>
            <w:tcBorders>
              <w:top w:val="nil"/>
              <w:bottom w:val="nil"/>
            </w:tcBorders>
            <w:vAlign w:val="top"/>
          </w:tcPr>
          <w:p w14:paraId="38DBB15E">
            <w:pPr>
              <w:rPr>
                <w:rFonts w:ascii="Arial"/>
                <w:sz w:val="21"/>
              </w:rPr>
            </w:pPr>
          </w:p>
        </w:tc>
        <w:tc>
          <w:tcPr>
            <w:tcW w:w="1897" w:type="dxa"/>
            <w:vAlign w:val="top"/>
          </w:tcPr>
          <w:p w14:paraId="00D65DFE">
            <w:pPr>
              <w:spacing w:line="254" w:lineRule="auto"/>
              <w:rPr>
                <w:rFonts w:ascii="Arial"/>
                <w:sz w:val="21"/>
              </w:rPr>
            </w:pPr>
          </w:p>
          <w:p w14:paraId="037E4063">
            <w:pPr>
              <w:spacing w:line="255" w:lineRule="auto"/>
              <w:rPr>
                <w:rFonts w:ascii="Arial"/>
                <w:sz w:val="21"/>
              </w:rPr>
            </w:pPr>
          </w:p>
          <w:p w14:paraId="131A1797">
            <w:pPr>
              <w:pStyle w:val="6"/>
              <w:spacing w:before="65" w:line="228" w:lineRule="auto"/>
              <w:ind w:left="115"/>
            </w:pPr>
            <w:r>
              <w:rPr>
                <w:spacing w:val="7"/>
              </w:rPr>
              <w:t>投标保证金</w:t>
            </w:r>
          </w:p>
        </w:tc>
        <w:tc>
          <w:tcPr>
            <w:tcW w:w="5484" w:type="dxa"/>
            <w:vAlign w:val="top"/>
          </w:tcPr>
          <w:p w14:paraId="3FF4EE43">
            <w:pPr>
              <w:pStyle w:val="6"/>
              <w:spacing w:before="32" w:line="227" w:lineRule="auto"/>
              <w:ind w:left="115"/>
            </w:pPr>
            <w:r>
              <w:rPr>
                <w:spacing w:val="5"/>
              </w:rPr>
              <w:t>符合第二章“投标人须知</w:t>
            </w:r>
            <w:r>
              <w:rPr>
                <w:spacing w:val="-72"/>
              </w:rPr>
              <w:t xml:space="preserve"> </w:t>
            </w:r>
            <w:r>
              <w:rPr>
                <w:spacing w:val="5"/>
              </w:rPr>
              <w:t>”第</w:t>
            </w:r>
            <w:r>
              <w:rPr>
                <w:spacing w:val="-39"/>
              </w:rPr>
              <w:t xml:space="preserve"> </w:t>
            </w:r>
            <w:r>
              <w:rPr>
                <w:rFonts w:ascii="Times New Roman" w:hAnsi="Times New Roman" w:eastAsia="Times New Roman" w:cs="Times New Roman"/>
                <w:spacing w:val="5"/>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5"/>
              </w:rPr>
              <w:t xml:space="preserve">1 </w:t>
            </w:r>
            <w:r>
              <w:rPr>
                <w:spacing w:val="5"/>
              </w:rPr>
              <w:t>项</w:t>
            </w:r>
            <w:r>
              <w:rPr>
                <w:spacing w:val="4"/>
              </w:rPr>
              <w:t>规定</w:t>
            </w:r>
          </w:p>
          <w:p w14:paraId="1F418261">
            <w:pPr>
              <w:pStyle w:val="6"/>
              <w:spacing w:before="28" w:line="242" w:lineRule="auto"/>
              <w:ind w:left="114" w:right="124" w:firstLine="9"/>
            </w:pPr>
            <w:r>
              <w:rPr>
                <w:spacing w:val="9"/>
              </w:rPr>
              <w:t>（投标保证金符合要求是指投标保证金的形式、金额、递</w:t>
            </w:r>
            <w:r>
              <w:rPr>
                <w:spacing w:val="8"/>
              </w:rPr>
              <w:t>交截止时间、递交方式符合招标文件规定；</w:t>
            </w:r>
            <w:r>
              <w:rPr>
                <w:spacing w:val="-58"/>
              </w:rPr>
              <w:t xml:space="preserve"> </w:t>
            </w:r>
            <w:r>
              <w:rPr>
                <w:spacing w:val="8"/>
              </w:rPr>
              <w:t>以现</w:t>
            </w:r>
            <w:r>
              <w:rPr>
                <w:spacing w:val="7"/>
              </w:rPr>
              <w:t>金、支票</w:t>
            </w:r>
            <w:r>
              <w:rPr>
                <w:spacing w:val="9"/>
              </w:rPr>
              <w:t>方式提交的应从投标人基本账户转出，即投标人汇款凭证的账户号与其基本账户开户许可证的账户号一致）</w:t>
            </w:r>
          </w:p>
        </w:tc>
      </w:tr>
      <w:tr w14:paraId="551CCF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3" w:hRule="atLeast"/>
        </w:trPr>
        <w:tc>
          <w:tcPr>
            <w:tcW w:w="745" w:type="dxa"/>
            <w:vMerge w:val="continue"/>
            <w:tcBorders>
              <w:top w:val="nil"/>
              <w:bottom w:val="nil"/>
            </w:tcBorders>
            <w:vAlign w:val="top"/>
          </w:tcPr>
          <w:p w14:paraId="43339EB8">
            <w:pPr>
              <w:rPr>
                <w:rFonts w:ascii="Arial"/>
                <w:sz w:val="21"/>
              </w:rPr>
            </w:pPr>
          </w:p>
        </w:tc>
        <w:tc>
          <w:tcPr>
            <w:tcW w:w="1058" w:type="dxa"/>
            <w:vMerge w:val="continue"/>
            <w:tcBorders>
              <w:top w:val="nil"/>
              <w:bottom w:val="nil"/>
            </w:tcBorders>
            <w:vAlign w:val="top"/>
          </w:tcPr>
          <w:p w14:paraId="6F478026">
            <w:pPr>
              <w:rPr>
                <w:rFonts w:ascii="Arial"/>
                <w:sz w:val="21"/>
              </w:rPr>
            </w:pPr>
          </w:p>
        </w:tc>
        <w:tc>
          <w:tcPr>
            <w:tcW w:w="1897" w:type="dxa"/>
            <w:vAlign w:val="top"/>
          </w:tcPr>
          <w:p w14:paraId="649B7D7B">
            <w:pPr>
              <w:spacing w:line="275" w:lineRule="auto"/>
              <w:rPr>
                <w:rFonts w:ascii="Arial"/>
                <w:sz w:val="21"/>
              </w:rPr>
            </w:pPr>
          </w:p>
          <w:p w14:paraId="76839881">
            <w:pPr>
              <w:pStyle w:val="6"/>
              <w:spacing w:before="65" w:line="228" w:lineRule="auto"/>
              <w:ind w:left="111"/>
            </w:pPr>
            <w:r>
              <w:rPr>
                <w:spacing w:val="7"/>
              </w:rPr>
              <w:t>权利义务</w:t>
            </w:r>
          </w:p>
        </w:tc>
        <w:tc>
          <w:tcPr>
            <w:tcW w:w="5484" w:type="dxa"/>
            <w:vAlign w:val="top"/>
          </w:tcPr>
          <w:p w14:paraId="621132C6">
            <w:pPr>
              <w:pStyle w:val="6"/>
              <w:spacing w:before="207" w:line="252" w:lineRule="auto"/>
              <w:ind w:left="113" w:right="109" w:firstLine="2"/>
            </w:pPr>
            <w:r>
              <w:rPr>
                <w:spacing w:val="10"/>
              </w:rPr>
              <w:t>投标函附录中的相关承诺符合或优于第四章“合同条款及</w:t>
            </w:r>
            <w:r>
              <w:rPr>
                <w:spacing w:val="4"/>
              </w:rPr>
              <w:t>格式</w:t>
            </w:r>
            <w:r>
              <w:rPr>
                <w:spacing w:val="-64"/>
              </w:rPr>
              <w:t xml:space="preserve"> </w:t>
            </w:r>
            <w:r>
              <w:rPr>
                <w:spacing w:val="4"/>
              </w:rPr>
              <w:t>”的相关规定</w:t>
            </w:r>
          </w:p>
        </w:tc>
      </w:tr>
      <w:tr w14:paraId="05D323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6B6F080C">
            <w:pPr>
              <w:rPr>
                <w:rFonts w:ascii="Arial"/>
                <w:sz w:val="21"/>
              </w:rPr>
            </w:pPr>
          </w:p>
        </w:tc>
        <w:tc>
          <w:tcPr>
            <w:tcW w:w="1058" w:type="dxa"/>
            <w:vMerge w:val="continue"/>
            <w:tcBorders>
              <w:top w:val="nil"/>
              <w:bottom w:val="nil"/>
            </w:tcBorders>
            <w:vAlign w:val="top"/>
          </w:tcPr>
          <w:p w14:paraId="256591C5">
            <w:pPr>
              <w:rPr>
                <w:rFonts w:ascii="Arial"/>
                <w:sz w:val="21"/>
              </w:rPr>
            </w:pPr>
          </w:p>
        </w:tc>
        <w:tc>
          <w:tcPr>
            <w:tcW w:w="1897" w:type="dxa"/>
            <w:vAlign w:val="top"/>
          </w:tcPr>
          <w:p w14:paraId="3575AF27">
            <w:pPr>
              <w:pStyle w:val="6"/>
              <w:spacing w:before="149" w:line="228" w:lineRule="auto"/>
              <w:ind w:left="113"/>
            </w:pPr>
            <w:r>
              <w:rPr>
                <w:spacing w:val="8"/>
              </w:rPr>
              <w:t>技术标准和要求</w:t>
            </w:r>
          </w:p>
        </w:tc>
        <w:tc>
          <w:tcPr>
            <w:tcW w:w="5484" w:type="dxa"/>
            <w:vAlign w:val="top"/>
          </w:tcPr>
          <w:p w14:paraId="22893318">
            <w:pPr>
              <w:pStyle w:val="6"/>
              <w:spacing w:before="149" w:line="227" w:lineRule="auto"/>
              <w:ind w:left="115"/>
            </w:pPr>
            <w:r>
              <w:rPr>
                <w:spacing w:val="7"/>
              </w:rPr>
              <w:t>符合第七章“技术标准和要求</w:t>
            </w:r>
            <w:r>
              <w:rPr>
                <w:spacing w:val="-66"/>
              </w:rPr>
              <w:t xml:space="preserve"> </w:t>
            </w:r>
            <w:r>
              <w:rPr>
                <w:spacing w:val="7"/>
              </w:rPr>
              <w:t>”规定</w:t>
            </w:r>
          </w:p>
        </w:tc>
      </w:tr>
      <w:tr w14:paraId="6352D3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745" w:type="dxa"/>
            <w:vMerge w:val="continue"/>
            <w:tcBorders>
              <w:top w:val="nil"/>
            </w:tcBorders>
            <w:vAlign w:val="top"/>
          </w:tcPr>
          <w:p w14:paraId="09D19CD5">
            <w:pPr>
              <w:rPr>
                <w:rFonts w:ascii="Arial"/>
                <w:sz w:val="21"/>
              </w:rPr>
            </w:pPr>
          </w:p>
        </w:tc>
        <w:tc>
          <w:tcPr>
            <w:tcW w:w="1058" w:type="dxa"/>
            <w:vMerge w:val="continue"/>
            <w:tcBorders>
              <w:top w:val="nil"/>
            </w:tcBorders>
            <w:vAlign w:val="top"/>
          </w:tcPr>
          <w:p w14:paraId="7F8D137A">
            <w:pPr>
              <w:rPr>
                <w:rFonts w:ascii="Arial"/>
                <w:sz w:val="21"/>
              </w:rPr>
            </w:pPr>
          </w:p>
        </w:tc>
        <w:tc>
          <w:tcPr>
            <w:tcW w:w="1897" w:type="dxa"/>
            <w:vAlign w:val="top"/>
          </w:tcPr>
          <w:p w14:paraId="565AFB37">
            <w:pPr>
              <w:pStyle w:val="6"/>
              <w:spacing w:before="149" w:line="228" w:lineRule="auto"/>
              <w:ind w:left="115"/>
            </w:pPr>
            <w:r>
              <w:rPr>
                <w:spacing w:val="6"/>
              </w:rPr>
              <w:t>分包计划</w:t>
            </w:r>
          </w:p>
        </w:tc>
        <w:tc>
          <w:tcPr>
            <w:tcW w:w="5484" w:type="dxa"/>
            <w:vAlign w:val="top"/>
          </w:tcPr>
          <w:p w14:paraId="4C70F397">
            <w:pPr>
              <w:pStyle w:val="6"/>
              <w:spacing w:before="148"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bl>
    <w:p w14:paraId="324C8855">
      <w:pPr>
        <w:rPr>
          <w:rFonts w:ascii="Arial"/>
          <w:sz w:val="21"/>
        </w:rPr>
      </w:pPr>
    </w:p>
    <w:p w14:paraId="5D14C642">
      <w:pPr>
        <w:rPr>
          <w:rFonts w:ascii="Arial" w:hAnsi="Arial" w:eastAsia="Arial" w:cs="Arial"/>
          <w:sz w:val="21"/>
          <w:szCs w:val="21"/>
        </w:rPr>
        <w:sectPr>
          <w:footerReference r:id="rId101" w:type="default"/>
          <w:pgSz w:w="11907" w:h="16840"/>
          <w:pgMar w:top="400" w:right="1248" w:bottom="1035" w:left="1469" w:header="0" w:footer="785" w:gutter="0"/>
          <w:cols w:space="720" w:num="1"/>
        </w:sectPr>
      </w:pPr>
    </w:p>
    <w:p w14:paraId="29CBE21D">
      <w:pPr>
        <w:spacing w:before="19"/>
      </w:pPr>
    </w:p>
    <w:p w14:paraId="50DA806A">
      <w:pPr>
        <w:spacing w:before="19"/>
      </w:pPr>
    </w:p>
    <w:p w14:paraId="1210AA4E">
      <w:pPr>
        <w:spacing w:before="19"/>
      </w:pPr>
    </w:p>
    <w:p w14:paraId="53B16B9B">
      <w:pPr>
        <w:spacing w:before="18"/>
      </w:pPr>
    </w:p>
    <w:p w14:paraId="1058DAB6">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897"/>
        <w:gridCol w:w="5484"/>
      </w:tblGrid>
      <w:tr w14:paraId="601A3B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2" w:hRule="atLeast"/>
        </w:trPr>
        <w:tc>
          <w:tcPr>
            <w:tcW w:w="745" w:type="dxa"/>
            <w:vMerge w:val="restart"/>
            <w:tcBorders>
              <w:bottom w:val="nil"/>
            </w:tcBorders>
            <w:vAlign w:val="top"/>
          </w:tcPr>
          <w:p w14:paraId="395D5A11">
            <w:pPr>
              <w:rPr>
                <w:rFonts w:ascii="Arial"/>
                <w:sz w:val="21"/>
              </w:rPr>
            </w:pPr>
          </w:p>
        </w:tc>
        <w:tc>
          <w:tcPr>
            <w:tcW w:w="1058" w:type="dxa"/>
            <w:vMerge w:val="restart"/>
            <w:tcBorders>
              <w:bottom w:val="nil"/>
            </w:tcBorders>
            <w:vAlign w:val="top"/>
          </w:tcPr>
          <w:p w14:paraId="7DFB0969">
            <w:pPr>
              <w:rPr>
                <w:rFonts w:ascii="Arial"/>
                <w:sz w:val="21"/>
              </w:rPr>
            </w:pPr>
          </w:p>
        </w:tc>
        <w:tc>
          <w:tcPr>
            <w:tcW w:w="1897" w:type="dxa"/>
            <w:vAlign w:val="top"/>
          </w:tcPr>
          <w:p w14:paraId="512B8A16">
            <w:pPr>
              <w:spacing w:line="308" w:lineRule="auto"/>
              <w:rPr>
                <w:rFonts w:ascii="Arial"/>
                <w:sz w:val="21"/>
              </w:rPr>
            </w:pPr>
          </w:p>
          <w:p w14:paraId="0B6A40F5">
            <w:pPr>
              <w:pStyle w:val="6"/>
              <w:spacing w:before="65" w:line="228" w:lineRule="auto"/>
              <w:ind w:left="114"/>
            </w:pPr>
            <w:r>
              <w:rPr>
                <w:spacing w:val="7"/>
              </w:rPr>
              <w:t>算术错误修正</w:t>
            </w:r>
          </w:p>
        </w:tc>
        <w:tc>
          <w:tcPr>
            <w:tcW w:w="5484" w:type="dxa"/>
            <w:vAlign w:val="top"/>
          </w:tcPr>
          <w:p w14:paraId="5A065A0A">
            <w:pPr>
              <w:pStyle w:val="6"/>
              <w:spacing w:before="35" w:line="226" w:lineRule="auto"/>
              <w:ind w:left="129"/>
            </w:pPr>
            <w:r>
              <w:rPr>
                <w:spacing w:val="7"/>
              </w:rPr>
              <w:t>1） 投标人接受算术错误修正后的报价；</w:t>
            </w:r>
          </w:p>
          <w:p w14:paraId="19574FEB">
            <w:pPr>
              <w:pStyle w:val="6"/>
              <w:spacing w:before="162" w:line="235" w:lineRule="auto"/>
              <w:ind w:left="113" w:right="109" w:firstLine="3"/>
            </w:pPr>
            <w:r>
              <w:rPr>
                <w:spacing w:val="9"/>
              </w:rPr>
              <w:t>2） 算术错误修正后的投标总价与投标总价相比偏差率不</w:t>
            </w:r>
            <w:r>
              <w:rPr>
                <w:spacing w:val="5"/>
              </w:rPr>
              <w:t>超过±1%。</w:t>
            </w:r>
          </w:p>
        </w:tc>
      </w:tr>
      <w:tr w14:paraId="2249E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6" w:hRule="atLeast"/>
        </w:trPr>
        <w:tc>
          <w:tcPr>
            <w:tcW w:w="745" w:type="dxa"/>
            <w:vMerge w:val="continue"/>
            <w:tcBorders>
              <w:top w:val="nil"/>
              <w:bottom w:val="nil"/>
            </w:tcBorders>
            <w:vAlign w:val="top"/>
          </w:tcPr>
          <w:p w14:paraId="61B8EFE9">
            <w:pPr>
              <w:rPr>
                <w:rFonts w:ascii="Arial"/>
                <w:sz w:val="21"/>
              </w:rPr>
            </w:pPr>
          </w:p>
        </w:tc>
        <w:tc>
          <w:tcPr>
            <w:tcW w:w="1058" w:type="dxa"/>
            <w:vMerge w:val="continue"/>
            <w:tcBorders>
              <w:top w:val="nil"/>
              <w:bottom w:val="nil"/>
            </w:tcBorders>
            <w:vAlign w:val="top"/>
          </w:tcPr>
          <w:p w14:paraId="358E9A2C">
            <w:pPr>
              <w:rPr>
                <w:rFonts w:ascii="Arial"/>
                <w:sz w:val="21"/>
              </w:rPr>
            </w:pPr>
          </w:p>
        </w:tc>
        <w:tc>
          <w:tcPr>
            <w:tcW w:w="1897" w:type="dxa"/>
            <w:vAlign w:val="top"/>
          </w:tcPr>
          <w:p w14:paraId="4004A68C">
            <w:pPr>
              <w:spacing w:line="317" w:lineRule="auto"/>
              <w:rPr>
                <w:rFonts w:ascii="Arial"/>
                <w:sz w:val="21"/>
              </w:rPr>
            </w:pPr>
          </w:p>
          <w:p w14:paraId="2A74CF66">
            <w:pPr>
              <w:spacing w:line="317" w:lineRule="auto"/>
              <w:rPr>
                <w:rFonts w:ascii="Arial"/>
                <w:sz w:val="21"/>
              </w:rPr>
            </w:pPr>
          </w:p>
          <w:p w14:paraId="47CF4EB1">
            <w:pPr>
              <w:spacing w:line="317" w:lineRule="auto"/>
              <w:rPr>
                <w:rFonts w:ascii="Arial"/>
                <w:sz w:val="21"/>
              </w:rPr>
            </w:pPr>
          </w:p>
          <w:p w14:paraId="6515B6D2">
            <w:pPr>
              <w:pStyle w:val="6"/>
              <w:spacing w:before="65" w:line="226" w:lineRule="auto"/>
              <w:ind w:left="115"/>
            </w:pPr>
            <w:r>
              <w:rPr>
                <w:spacing w:val="6"/>
              </w:rPr>
              <w:t>投标价格</w:t>
            </w:r>
          </w:p>
        </w:tc>
        <w:tc>
          <w:tcPr>
            <w:tcW w:w="5484" w:type="dxa"/>
            <w:vAlign w:val="top"/>
          </w:tcPr>
          <w:p w14:paraId="07A318EA">
            <w:pPr>
              <w:pStyle w:val="6"/>
              <w:spacing w:before="69" w:line="250" w:lineRule="auto"/>
              <w:ind w:left="114" w:right="109" w:firstLine="14"/>
            </w:pPr>
            <w:r>
              <w:rPr>
                <w:spacing w:val="5"/>
              </w:rPr>
              <w:t>1）投标函中的大写投标总报价与已标价工程量清单中的投</w:t>
            </w:r>
            <w:r>
              <w:rPr>
                <w:spacing w:val="6"/>
              </w:rPr>
              <w:t>标总价一致；</w:t>
            </w:r>
          </w:p>
          <w:p w14:paraId="58DF8FF5">
            <w:pPr>
              <w:pStyle w:val="6"/>
              <w:spacing w:line="251" w:lineRule="auto"/>
              <w:ind w:left="114" w:right="109" w:firstLine="1"/>
            </w:pPr>
            <w:r>
              <w:rPr>
                <w:spacing w:val="6"/>
              </w:rPr>
              <w:t>2）投标函中的大写投标总报价不大于本标段招</w:t>
            </w:r>
            <w:r>
              <w:rPr>
                <w:spacing w:val="5"/>
              </w:rPr>
              <w:t>标控制价总</w:t>
            </w:r>
            <w:r>
              <w:t>价；</w:t>
            </w:r>
          </w:p>
          <w:p w14:paraId="17426961">
            <w:pPr>
              <w:pStyle w:val="6"/>
              <w:spacing w:line="251" w:lineRule="auto"/>
              <w:ind w:left="114" w:right="109" w:firstLine="3"/>
            </w:pPr>
            <w:r>
              <w:rPr>
                <w:spacing w:val="6"/>
              </w:rPr>
              <w:t>3）算术错误修正后的投标总价不大于本标</w:t>
            </w:r>
            <w:r>
              <w:rPr>
                <w:spacing w:val="5"/>
              </w:rPr>
              <w:t>段招标控制价总</w:t>
            </w:r>
            <w:r>
              <w:t>价；</w:t>
            </w:r>
          </w:p>
          <w:p w14:paraId="73D738F4">
            <w:pPr>
              <w:pStyle w:val="6"/>
              <w:spacing w:before="1" w:line="251" w:lineRule="auto"/>
              <w:ind w:left="114" w:right="107" w:hanging="1"/>
            </w:pPr>
            <w:r>
              <w:rPr>
                <w:spacing w:val="6"/>
              </w:rPr>
              <w:t>4）投标函中的大写投标总报价（算术错误修正后的投标总</w:t>
            </w:r>
            <w:r>
              <w:rPr>
                <w:spacing w:val="8"/>
              </w:rPr>
              <w:t>价，如有）不低于其成本。</w:t>
            </w:r>
          </w:p>
        </w:tc>
      </w:tr>
      <w:tr w14:paraId="0A662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0" w:hRule="atLeast"/>
        </w:trPr>
        <w:tc>
          <w:tcPr>
            <w:tcW w:w="745" w:type="dxa"/>
            <w:vMerge w:val="continue"/>
            <w:tcBorders>
              <w:top w:val="nil"/>
            </w:tcBorders>
            <w:vAlign w:val="top"/>
          </w:tcPr>
          <w:p w14:paraId="2AFB5BF0">
            <w:pPr>
              <w:rPr>
                <w:rFonts w:ascii="Arial"/>
                <w:sz w:val="21"/>
              </w:rPr>
            </w:pPr>
          </w:p>
        </w:tc>
        <w:tc>
          <w:tcPr>
            <w:tcW w:w="1058" w:type="dxa"/>
            <w:vMerge w:val="continue"/>
            <w:tcBorders>
              <w:top w:val="nil"/>
            </w:tcBorders>
            <w:vAlign w:val="top"/>
          </w:tcPr>
          <w:p w14:paraId="7316D7A2">
            <w:pPr>
              <w:rPr>
                <w:rFonts w:ascii="Arial"/>
                <w:sz w:val="21"/>
              </w:rPr>
            </w:pPr>
          </w:p>
        </w:tc>
        <w:tc>
          <w:tcPr>
            <w:tcW w:w="1897" w:type="dxa"/>
            <w:vAlign w:val="top"/>
          </w:tcPr>
          <w:p w14:paraId="6407C834">
            <w:pPr>
              <w:spacing w:line="244" w:lineRule="auto"/>
              <w:rPr>
                <w:rFonts w:ascii="Arial"/>
                <w:sz w:val="21"/>
              </w:rPr>
            </w:pPr>
          </w:p>
          <w:p w14:paraId="1FF97A32">
            <w:pPr>
              <w:spacing w:line="244" w:lineRule="auto"/>
              <w:rPr>
                <w:rFonts w:ascii="Arial"/>
                <w:sz w:val="21"/>
              </w:rPr>
            </w:pPr>
          </w:p>
          <w:p w14:paraId="46F27E83">
            <w:pPr>
              <w:spacing w:line="244" w:lineRule="auto"/>
              <w:rPr>
                <w:rFonts w:ascii="Arial"/>
                <w:sz w:val="21"/>
              </w:rPr>
            </w:pPr>
          </w:p>
          <w:p w14:paraId="3CDA5621">
            <w:pPr>
              <w:spacing w:line="244" w:lineRule="auto"/>
              <w:rPr>
                <w:rFonts w:ascii="Arial"/>
                <w:sz w:val="21"/>
              </w:rPr>
            </w:pPr>
          </w:p>
          <w:p w14:paraId="55F467BA">
            <w:pPr>
              <w:spacing w:line="245" w:lineRule="auto"/>
              <w:rPr>
                <w:rFonts w:ascii="Arial"/>
                <w:sz w:val="21"/>
              </w:rPr>
            </w:pPr>
          </w:p>
          <w:p w14:paraId="19C350A1">
            <w:pPr>
              <w:spacing w:line="245" w:lineRule="auto"/>
              <w:rPr>
                <w:rFonts w:ascii="Arial"/>
                <w:sz w:val="21"/>
              </w:rPr>
            </w:pPr>
          </w:p>
          <w:p w14:paraId="3F077757">
            <w:pPr>
              <w:spacing w:line="245" w:lineRule="auto"/>
              <w:rPr>
                <w:rFonts w:ascii="Arial"/>
                <w:sz w:val="21"/>
              </w:rPr>
            </w:pPr>
          </w:p>
          <w:p w14:paraId="0C13A385">
            <w:pPr>
              <w:spacing w:line="245" w:lineRule="auto"/>
              <w:rPr>
                <w:rFonts w:ascii="Arial"/>
                <w:sz w:val="21"/>
              </w:rPr>
            </w:pPr>
          </w:p>
          <w:p w14:paraId="57E4C348">
            <w:pPr>
              <w:spacing w:line="245" w:lineRule="auto"/>
              <w:rPr>
                <w:rFonts w:ascii="Arial"/>
                <w:sz w:val="21"/>
              </w:rPr>
            </w:pPr>
          </w:p>
          <w:p w14:paraId="29004468">
            <w:pPr>
              <w:pStyle w:val="6"/>
              <w:spacing w:before="65" w:line="226" w:lineRule="auto"/>
              <w:ind w:left="135"/>
            </w:pPr>
            <w:r>
              <w:rPr>
                <w:spacing w:val="5"/>
              </w:rPr>
              <w:t>已标价工程量清单</w:t>
            </w:r>
          </w:p>
        </w:tc>
        <w:tc>
          <w:tcPr>
            <w:tcW w:w="5484" w:type="dxa"/>
            <w:vAlign w:val="top"/>
          </w:tcPr>
          <w:p w14:paraId="705718EA">
            <w:pPr>
              <w:spacing w:line="307" w:lineRule="auto"/>
              <w:rPr>
                <w:rFonts w:ascii="Arial"/>
                <w:sz w:val="21"/>
              </w:rPr>
            </w:pPr>
          </w:p>
          <w:p w14:paraId="712A6DD7">
            <w:pPr>
              <w:pStyle w:val="6"/>
              <w:spacing w:before="65" w:line="250" w:lineRule="auto"/>
              <w:ind w:left="114" w:firstLine="14"/>
            </w:pPr>
            <w:r>
              <w:rPr>
                <w:spacing w:val="1"/>
              </w:rPr>
              <w:t>1）已标价工程量清单项目编码顺序与第五章“</w:t>
            </w:r>
            <w:r>
              <w:t>工程量清单</w:t>
            </w:r>
            <w:r>
              <w:rPr>
                <w:spacing w:val="-73"/>
              </w:rPr>
              <w:t xml:space="preserve"> </w:t>
            </w:r>
            <w:r>
              <w:t>”</w:t>
            </w:r>
            <w:r>
              <w:rPr>
                <w:spacing w:val="4"/>
              </w:rPr>
              <w:t>给出的项目编码顺序一致；</w:t>
            </w:r>
          </w:p>
          <w:p w14:paraId="2143CA7C">
            <w:pPr>
              <w:pStyle w:val="6"/>
              <w:spacing w:before="1" w:line="252" w:lineRule="auto"/>
              <w:ind w:left="153" w:right="109" w:hanging="37"/>
            </w:pPr>
            <w:r>
              <w:rPr>
                <w:spacing w:val="4"/>
              </w:rPr>
              <w:t>2）已标价工程量清单符合第五章“工程量清单</w:t>
            </w:r>
            <w:r>
              <w:rPr>
                <w:spacing w:val="-53"/>
              </w:rPr>
              <w:t xml:space="preserve"> </w:t>
            </w:r>
            <w:r>
              <w:rPr>
                <w:spacing w:val="4"/>
              </w:rPr>
              <w:t>”给出的项</w:t>
            </w:r>
            <w:r>
              <w:rPr>
                <w:spacing w:val="7"/>
              </w:rPr>
              <w:t>目编码、项目名称、项目特征、计量单位和工程量；</w:t>
            </w:r>
          </w:p>
          <w:p w14:paraId="7B45E5A0">
            <w:pPr>
              <w:pStyle w:val="6"/>
              <w:spacing w:line="226" w:lineRule="auto"/>
              <w:ind w:left="118"/>
            </w:pPr>
            <w:r>
              <w:rPr>
                <w:spacing w:val="7"/>
              </w:rPr>
              <w:t>3）暂列金额符合第五章“工程量清单</w:t>
            </w:r>
            <w:r>
              <w:rPr>
                <w:spacing w:val="-58"/>
              </w:rPr>
              <w:t xml:space="preserve"> </w:t>
            </w:r>
            <w:r>
              <w:rPr>
                <w:spacing w:val="7"/>
              </w:rPr>
              <w:t>”列出的金额；</w:t>
            </w:r>
          </w:p>
          <w:p w14:paraId="44BFD49D">
            <w:pPr>
              <w:pStyle w:val="6"/>
              <w:spacing w:before="25" w:line="226" w:lineRule="auto"/>
              <w:ind w:right="13"/>
              <w:jc w:val="right"/>
            </w:pPr>
            <w:r>
              <w:rPr>
                <w:spacing w:val="1"/>
              </w:rPr>
              <w:t>4）专业工程暂估价符合第五章“工程量清单</w:t>
            </w:r>
            <w:r>
              <w:rPr>
                <w:spacing w:val="-73"/>
              </w:rPr>
              <w:t xml:space="preserve"> </w:t>
            </w:r>
            <w:r>
              <w:rPr>
                <w:spacing w:val="1"/>
              </w:rPr>
              <w:t>”列出的</w:t>
            </w:r>
            <w:r>
              <w:t>金额；</w:t>
            </w:r>
          </w:p>
          <w:p w14:paraId="13AC3882">
            <w:pPr>
              <w:pStyle w:val="6"/>
              <w:spacing w:before="29" w:line="250" w:lineRule="auto"/>
              <w:ind w:left="131" w:right="107" w:hanging="13"/>
            </w:pPr>
            <w:r>
              <w:rPr>
                <w:spacing w:val="5"/>
              </w:rPr>
              <w:t>5）材料（工程设备）暂估价符合第五章“工</w:t>
            </w:r>
            <w:r>
              <w:rPr>
                <w:spacing w:val="4"/>
              </w:rPr>
              <w:t>程量清单</w:t>
            </w:r>
            <w:r>
              <w:rPr>
                <w:spacing w:val="-72"/>
              </w:rPr>
              <w:t xml:space="preserve"> </w:t>
            </w:r>
            <w:r>
              <w:rPr>
                <w:spacing w:val="4"/>
              </w:rPr>
              <w:t>”列</w:t>
            </w:r>
            <w:r>
              <w:rPr>
                <w:spacing w:val="6"/>
              </w:rPr>
              <w:t>出的单价并计入综合单价；</w:t>
            </w:r>
          </w:p>
          <w:p w14:paraId="437DF5B3">
            <w:pPr>
              <w:pStyle w:val="6"/>
              <w:spacing w:before="1" w:line="251" w:lineRule="auto"/>
              <w:ind w:left="118" w:right="107" w:hanging="3"/>
            </w:pPr>
            <w:r>
              <w:rPr>
                <w:spacing w:val="6"/>
              </w:rPr>
              <w:t>6）安全文明施工费、规费和税金等不可竞争费用，按</w:t>
            </w:r>
            <w:r>
              <w:rPr>
                <w:spacing w:val="5"/>
              </w:rPr>
              <w:t>照规</w:t>
            </w:r>
            <w:r>
              <w:rPr>
                <w:spacing w:val="6"/>
              </w:rPr>
              <w:t>定的标准计取；</w:t>
            </w:r>
          </w:p>
          <w:p w14:paraId="21340CD0">
            <w:pPr>
              <w:pStyle w:val="6"/>
              <w:spacing w:before="1" w:line="227" w:lineRule="auto"/>
              <w:ind w:left="118"/>
            </w:pPr>
            <w:r>
              <w:rPr>
                <w:spacing w:val="8"/>
              </w:rPr>
              <w:t>7）计税方法符合招标文件的约定；</w:t>
            </w:r>
          </w:p>
          <w:p w14:paraId="5694F550">
            <w:pPr>
              <w:pStyle w:val="6"/>
              <w:spacing w:before="29" w:line="251" w:lineRule="auto"/>
              <w:ind w:left="113" w:right="107" w:firstLine="1"/>
            </w:pPr>
            <w:r>
              <w:rPr>
                <w:spacing w:val="6"/>
              </w:rPr>
              <w:t>8）已标价工程量清单项目未填报的项目不超过三项</w:t>
            </w:r>
            <w:r>
              <w:rPr>
                <w:spacing w:val="5"/>
              </w:rPr>
              <w:t>，且不</w:t>
            </w:r>
            <w:r>
              <w:rPr>
                <w:spacing w:val="10"/>
              </w:rPr>
              <w:t>超过三项未填报的项目的费用合计（按招标控制价相应项目的费用合计计算）不超过其投标函中的大写投标总报价</w:t>
            </w:r>
            <w:r>
              <w:rPr>
                <w:spacing w:val="8"/>
              </w:rPr>
              <w:t>（算术错误修正后的投标总价，如有）的±1%。</w:t>
            </w:r>
          </w:p>
        </w:tc>
      </w:tr>
      <w:tr w14:paraId="3CCD6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45" w:type="dxa"/>
            <w:vMerge w:val="restart"/>
            <w:tcBorders>
              <w:bottom w:val="nil"/>
            </w:tcBorders>
            <w:vAlign w:val="top"/>
          </w:tcPr>
          <w:p w14:paraId="531E587F">
            <w:pPr>
              <w:spacing w:line="243" w:lineRule="auto"/>
              <w:rPr>
                <w:rFonts w:ascii="Arial"/>
                <w:sz w:val="21"/>
              </w:rPr>
            </w:pPr>
          </w:p>
          <w:p w14:paraId="7DAED1C1">
            <w:pPr>
              <w:spacing w:line="243" w:lineRule="auto"/>
              <w:rPr>
                <w:rFonts w:ascii="Arial"/>
                <w:sz w:val="21"/>
              </w:rPr>
            </w:pPr>
          </w:p>
          <w:p w14:paraId="57A9BD02">
            <w:pPr>
              <w:spacing w:line="243" w:lineRule="auto"/>
              <w:rPr>
                <w:rFonts w:ascii="Arial"/>
                <w:sz w:val="21"/>
              </w:rPr>
            </w:pPr>
          </w:p>
          <w:p w14:paraId="77819D8C">
            <w:pPr>
              <w:spacing w:line="243" w:lineRule="auto"/>
              <w:rPr>
                <w:rFonts w:ascii="Arial"/>
                <w:sz w:val="21"/>
              </w:rPr>
            </w:pPr>
          </w:p>
          <w:p w14:paraId="3DB53F16">
            <w:pPr>
              <w:spacing w:line="243" w:lineRule="auto"/>
              <w:rPr>
                <w:rFonts w:ascii="Arial"/>
                <w:sz w:val="21"/>
              </w:rPr>
            </w:pPr>
          </w:p>
          <w:p w14:paraId="1612252A">
            <w:pPr>
              <w:spacing w:line="243" w:lineRule="auto"/>
              <w:rPr>
                <w:rFonts w:ascii="Arial"/>
                <w:sz w:val="21"/>
              </w:rPr>
            </w:pPr>
          </w:p>
          <w:p w14:paraId="16953C25">
            <w:pPr>
              <w:spacing w:line="243" w:lineRule="auto"/>
              <w:rPr>
                <w:rFonts w:ascii="Arial"/>
                <w:sz w:val="21"/>
              </w:rPr>
            </w:pPr>
          </w:p>
          <w:p w14:paraId="6B03010E">
            <w:pPr>
              <w:spacing w:line="243" w:lineRule="auto"/>
              <w:rPr>
                <w:rFonts w:ascii="Arial"/>
                <w:sz w:val="21"/>
              </w:rPr>
            </w:pPr>
          </w:p>
          <w:p w14:paraId="2FF79E8B">
            <w:pPr>
              <w:spacing w:line="243" w:lineRule="auto"/>
              <w:rPr>
                <w:rFonts w:ascii="Arial"/>
                <w:sz w:val="21"/>
              </w:rPr>
            </w:pPr>
          </w:p>
          <w:p w14:paraId="636122AC">
            <w:pPr>
              <w:spacing w:line="244" w:lineRule="auto"/>
              <w:rPr>
                <w:rFonts w:ascii="Arial"/>
                <w:sz w:val="21"/>
              </w:rPr>
            </w:pPr>
          </w:p>
          <w:p w14:paraId="72232BD5">
            <w:pPr>
              <w:spacing w:line="244" w:lineRule="auto"/>
              <w:rPr>
                <w:rFonts w:ascii="Arial"/>
                <w:sz w:val="21"/>
              </w:rPr>
            </w:pPr>
          </w:p>
          <w:p w14:paraId="06BD8322">
            <w:pPr>
              <w:spacing w:line="244" w:lineRule="auto"/>
              <w:rPr>
                <w:rFonts w:ascii="Arial"/>
                <w:sz w:val="21"/>
              </w:rPr>
            </w:pPr>
          </w:p>
          <w:p w14:paraId="2B5C6FFA">
            <w:pPr>
              <w:spacing w:line="244" w:lineRule="auto"/>
              <w:rPr>
                <w:rFonts w:ascii="Arial"/>
                <w:sz w:val="21"/>
              </w:rPr>
            </w:pPr>
          </w:p>
          <w:p w14:paraId="4CBF5245">
            <w:pPr>
              <w:spacing w:line="244" w:lineRule="auto"/>
              <w:rPr>
                <w:rFonts w:ascii="Arial"/>
                <w:sz w:val="21"/>
              </w:rPr>
            </w:pPr>
          </w:p>
          <w:p w14:paraId="2E748814">
            <w:pPr>
              <w:spacing w:line="244" w:lineRule="auto"/>
              <w:rPr>
                <w:rFonts w:ascii="Arial"/>
                <w:sz w:val="21"/>
              </w:rPr>
            </w:pPr>
          </w:p>
          <w:p w14:paraId="61E049AB">
            <w:pPr>
              <w:spacing w:line="244" w:lineRule="auto"/>
              <w:rPr>
                <w:rFonts w:ascii="Arial"/>
                <w:sz w:val="21"/>
              </w:rPr>
            </w:pPr>
          </w:p>
          <w:p w14:paraId="5AAE4E0A">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1.4</w:t>
            </w:r>
          </w:p>
        </w:tc>
        <w:tc>
          <w:tcPr>
            <w:tcW w:w="1058" w:type="dxa"/>
            <w:vMerge w:val="restart"/>
            <w:tcBorders>
              <w:bottom w:val="nil"/>
            </w:tcBorders>
            <w:vAlign w:val="top"/>
          </w:tcPr>
          <w:p w14:paraId="02BB6648">
            <w:pPr>
              <w:spacing w:line="254" w:lineRule="auto"/>
              <w:rPr>
                <w:rFonts w:ascii="Arial"/>
                <w:sz w:val="21"/>
              </w:rPr>
            </w:pPr>
          </w:p>
          <w:p w14:paraId="44D80937">
            <w:pPr>
              <w:spacing w:line="254" w:lineRule="auto"/>
              <w:rPr>
                <w:rFonts w:ascii="Arial"/>
                <w:sz w:val="21"/>
              </w:rPr>
            </w:pPr>
          </w:p>
          <w:p w14:paraId="4AD8E040">
            <w:pPr>
              <w:spacing w:line="254" w:lineRule="auto"/>
              <w:rPr>
                <w:rFonts w:ascii="Arial"/>
                <w:sz w:val="21"/>
              </w:rPr>
            </w:pPr>
          </w:p>
          <w:p w14:paraId="21426411">
            <w:pPr>
              <w:spacing w:line="255" w:lineRule="auto"/>
              <w:rPr>
                <w:rFonts w:ascii="Arial"/>
                <w:sz w:val="21"/>
              </w:rPr>
            </w:pPr>
          </w:p>
          <w:p w14:paraId="73F43CAE">
            <w:pPr>
              <w:spacing w:line="255" w:lineRule="auto"/>
              <w:rPr>
                <w:rFonts w:ascii="Arial"/>
                <w:sz w:val="21"/>
              </w:rPr>
            </w:pPr>
          </w:p>
          <w:p w14:paraId="1CDDB6A4">
            <w:pPr>
              <w:spacing w:line="255" w:lineRule="auto"/>
              <w:rPr>
                <w:rFonts w:ascii="Arial"/>
                <w:sz w:val="21"/>
              </w:rPr>
            </w:pPr>
          </w:p>
          <w:p w14:paraId="65F75D34">
            <w:pPr>
              <w:spacing w:line="255" w:lineRule="auto"/>
              <w:rPr>
                <w:rFonts w:ascii="Arial"/>
                <w:sz w:val="21"/>
              </w:rPr>
            </w:pPr>
          </w:p>
          <w:p w14:paraId="4F708A84">
            <w:pPr>
              <w:spacing w:line="255" w:lineRule="auto"/>
              <w:rPr>
                <w:rFonts w:ascii="Arial"/>
                <w:sz w:val="21"/>
              </w:rPr>
            </w:pPr>
          </w:p>
          <w:p w14:paraId="3F138623">
            <w:pPr>
              <w:spacing w:line="255" w:lineRule="auto"/>
              <w:rPr>
                <w:rFonts w:ascii="Arial"/>
                <w:sz w:val="21"/>
              </w:rPr>
            </w:pPr>
          </w:p>
          <w:p w14:paraId="0C96E299">
            <w:pPr>
              <w:spacing w:line="255" w:lineRule="auto"/>
              <w:rPr>
                <w:rFonts w:ascii="Arial"/>
                <w:sz w:val="21"/>
              </w:rPr>
            </w:pPr>
          </w:p>
          <w:p w14:paraId="6DAA1607">
            <w:pPr>
              <w:spacing w:line="255" w:lineRule="auto"/>
              <w:rPr>
                <w:rFonts w:ascii="Arial"/>
                <w:sz w:val="21"/>
              </w:rPr>
            </w:pPr>
          </w:p>
          <w:p w14:paraId="46699BDE">
            <w:pPr>
              <w:spacing w:line="255" w:lineRule="auto"/>
              <w:rPr>
                <w:rFonts w:ascii="Arial"/>
                <w:sz w:val="21"/>
              </w:rPr>
            </w:pPr>
          </w:p>
          <w:p w14:paraId="1CE300CB">
            <w:pPr>
              <w:spacing w:line="255" w:lineRule="auto"/>
              <w:rPr>
                <w:rFonts w:ascii="Arial"/>
                <w:sz w:val="21"/>
              </w:rPr>
            </w:pPr>
          </w:p>
          <w:p w14:paraId="12224461">
            <w:pPr>
              <w:spacing w:line="255" w:lineRule="auto"/>
              <w:rPr>
                <w:rFonts w:ascii="Arial"/>
                <w:sz w:val="21"/>
              </w:rPr>
            </w:pPr>
          </w:p>
          <w:p w14:paraId="7816AB78">
            <w:pPr>
              <w:pStyle w:val="6"/>
              <w:spacing w:before="65" w:line="251" w:lineRule="auto"/>
              <w:ind w:left="326" w:right="111" w:hanging="215"/>
            </w:pPr>
            <w:r>
              <w:rPr>
                <w:spacing w:val="7"/>
              </w:rPr>
              <w:t>施工组织</w:t>
            </w:r>
            <w:r>
              <w:rPr>
                <w:spacing w:val="3"/>
              </w:rPr>
              <w:t>设计</w:t>
            </w:r>
          </w:p>
          <w:p w14:paraId="5B4A9AC3">
            <w:pPr>
              <w:pStyle w:val="6"/>
              <w:spacing w:line="228" w:lineRule="auto"/>
              <w:ind w:left="111"/>
            </w:pPr>
            <w:r>
              <w:rPr>
                <w:spacing w:val="7"/>
              </w:rPr>
              <w:t>评审标准</w:t>
            </w:r>
          </w:p>
        </w:tc>
        <w:tc>
          <w:tcPr>
            <w:tcW w:w="1897" w:type="dxa"/>
            <w:vAlign w:val="top"/>
          </w:tcPr>
          <w:p w14:paraId="330252D8">
            <w:pPr>
              <w:pStyle w:val="6"/>
              <w:spacing w:before="247" w:line="228" w:lineRule="auto"/>
              <w:ind w:left="115"/>
            </w:pPr>
            <w:r>
              <w:rPr>
                <w:spacing w:val="6"/>
              </w:rPr>
              <w:t>工程概况</w:t>
            </w:r>
          </w:p>
        </w:tc>
        <w:tc>
          <w:tcPr>
            <w:tcW w:w="5484" w:type="dxa"/>
            <w:vAlign w:val="top"/>
          </w:tcPr>
          <w:p w14:paraId="1CE75665">
            <w:pPr>
              <w:pStyle w:val="6"/>
              <w:spacing w:before="113" w:line="252" w:lineRule="auto"/>
              <w:ind w:left="115" w:right="109"/>
            </w:pPr>
            <w:r>
              <w:rPr>
                <w:spacing w:val="10"/>
              </w:rPr>
              <w:t>工程主要情况、各专业设计简介、工程施工条件描述基本</w:t>
            </w:r>
            <w:r>
              <w:rPr>
                <w:spacing w:val="2"/>
              </w:rPr>
              <w:t>准确。</w:t>
            </w:r>
          </w:p>
        </w:tc>
      </w:tr>
      <w:tr w14:paraId="4A13B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745" w:type="dxa"/>
            <w:vMerge w:val="continue"/>
            <w:tcBorders>
              <w:top w:val="nil"/>
              <w:bottom w:val="nil"/>
            </w:tcBorders>
            <w:vAlign w:val="top"/>
          </w:tcPr>
          <w:p w14:paraId="34C1C8EA">
            <w:pPr>
              <w:rPr>
                <w:rFonts w:ascii="Arial"/>
                <w:sz w:val="21"/>
              </w:rPr>
            </w:pPr>
          </w:p>
        </w:tc>
        <w:tc>
          <w:tcPr>
            <w:tcW w:w="1058" w:type="dxa"/>
            <w:vMerge w:val="continue"/>
            <w:tcBorders>
              <w:top w:val="nil"/>
              <w:bottom w:val="nil"/>
            </w:tcBorders>
            <w:vAlign w:val="top"/>
          </w:tcPr>
          <w:p w14:paraId="6859BD1F">
            <w:pPr>
              <w:rPr>
                <w:rFonts w:ascii="Arial"/>
                <w:sz w:val="21"/>
              </w:rPr>
            </w:pPr>
          </w:p>
        </w:tc>
        <w:tc>
          <w:tcPr>
            <w:tcW w:w="1897" w:type="dxa"/>
            <w:vAlign w:val="top"/>
          </w:tcPr>
          <w:p w14:paraId="0F19AC5C">
            <w:pPr>
              <w:spacing w:line="255" w:lineRule="auto"/>
              <w:rPr>
                <w:rFonts w:ascii="Arial"/>
                <w:sz w:val="21"/>
              </w:rPr>
            </w:pPr>
          </w:p>
          <w:p w14:paraId="1221BE01">
            <w:pPr>
              <w:spacing w:line="256" w:lineRule="auto"/>
              <w:rPr>
                <w:rFonts w:ascii="Arial"/>
                <w:sz w:val="21"/>
              </w:rPr>
            </w:pPr>
          </w:p>
          <w:p w14:paraId="08047225">
            <w:pPr>
              <w:pStyle w:val="6"/>
              <w:spacing w:before="65" w:line="228" w:lineRule="auto"/>
              <w:ind w:left="111"/>
            </w:pPr>
            <w:r>
              <w:rPr>
                <w:spacing w:val="7"/>
              </w:rPr>
              <w:t>施工部署</w:t>
            </w:r>
          </w:p>
        </w:tc>
        <w:tc>
          <w:tcPr>
            <w:tcW w:w="5484" w:type="dxa"/>
            <w:vAlign w:val="top"/>
          </w:tcPr>
          <w:p w14:paraId="4349F578">
            <w:pPr>
              <w:pStyle w:val="6"/>
              <w:spacing w:before="34" w:line="244" w:lineRule="auto"/>
              <w:ind w:left="114" w:right="107" w:firstLine="1"/>
              <w:jc w:val="both"/>
            </w:pPr>
            <w:r>
              <w:rPr>
                <w:spacing w:val="10"/>
              </w:rPr>
              <w:t>工程施工目标、主要施工内容、施工流水段划分、施工的重点和难点分析、工程管理的组织机构形式、项目经理部的工作岗位设置及其职责划分、新技术、新工艺部署及其</w:t>
            </w:r>
            <w:r>
              <w:rPr>
                <w:spacing w:val="2"/>
              </w:rPr>
              <w:t>技术和管理要求（如有）、主要分包工程施工单位的选择要</w:t>
            </w:r>
            <w:r>
              <w:rPr>
                <w:spacing w:val="9"/>
              </w:rPr>
              <w:t>求及管理方式（如有）等各项安排合理、可</w:t>
            </w:r>
            <w:r>
              <w:rPr>
                <w:spacing w:val="8"/>
              </w:rPr>
              <w:t>行。</w:t>
            </w:r>
          </w:p>
        </w:tc>
      </w:tr>
      <w:tr w14:paraId="21865A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745" w:type="dxa"/>
            <w:vMerge w:val="continue"/>
            <w:tcBorders>
              <w:top w:val="nil"/>
              <w:bottom w:val="nil"/>
            </w:tcBorders>
            <w:vAlign w:val="top"/>
          </w:tcPr>
          <w:p w14:paraId="46EE784C">
            <w:pPr>
              <w:rPr>
                <w:rFonts w:ascii="Arial"/>
                <w:sz w:val="21"/>
              </w:rPr>
            </w:pPr>
          </w:p>
        </w:tc>
        <w:tc>
          <w:tcPr>
            <w:tcW w:w="1058" w:type="dxa"/>
            <w:vMerge w:val="continue"/>
            <w:tcBorders>
              <w:top w:val="nil"/>
              <w:bottom w:val="nil"/>
            </w:tcBorders>
            <w:vAlign w:val="top"/>
          </w:tcPr>
          <w:p w14:paraId="79E5172D">
            <w:pPr>
              <w:rPr>
                <w:rFonts w:ascii="Arial"/>
                <w:sz w:val="21"/>
              </w:rPr>
            </w:pPr>
          </w:p>
        </w:tc>
        <w:tc>
          <w:tcPr>
            <w:tcW w:w="1897" w:type="dxa"/>
            <w:vAlign w:val="top"/>
          </w:tcPr>
          <w:p w14:paraId="01699217">
            <w:pPr>
              <w:pStyle w:val="6"/>
              <w:spacing w:before="205" w:line="228" w:lineRule="auto"/>
              <w:ind w:left="111"/>
            </w:pPr>
            <w:r>
              <w:rPr>
                <w:spacing w:val="8"/>
              </w:rPr>
              <w:t>施工进度计划</w:t>
            </w:r>
          </w:p>
        </w:tc>
        <w:tc>
          <w:tcPr>
            <w:tcW w:w="5484" w:type="dxa"/>
            <w:vAlign w:val="top"/>
          </w:tcPr>
          <w:p w14:paraId="7494DF1A">
            <w:pPr>
              <w:pStyle w:val="6"/>
              <w:spacing w:before="204" w:line="228" w:lineRule="auto"/>
              <w:ind w:left="130"/>
            </w:pPr>
            <w:r>
              <w:rPr>
                <w:spacing w:val="8"/>
              </w:rPr>
              <w:t>网络图或横道图安排的进度计划合理、可行。</w:t>
            </w:r>
          </w:p>
        </w:tc>
      </w:tr>
      <w:tr w14:paraId="1AF52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7" w:hRule="atLeast"/>
        </w:trPr>
        <w:tc>
          <w:tcPr>
            <w:tcW w:w="745" w:type="dxa"/>
            <w:vMerge w:val="continue"/>
            <w:tcBorders>
              <w:top w:val="nil"/>
              <w:bottom w:val="nil"/>
            </w:tcBorders>
            <w:vAlign w:val="top"/>
          </w:tcPr>
          <w:p w14:paraId="1C10C6A3">
            <w:pPr>
              <w:rPr>
                <w:rFonts w:ascii="Arial"/>
                <w:sz w:val="21"/>
              </w:rPr>
            </w:pPr>
          </w:p>
        </w:tc>
        <w:tc>
          <w:tcPr>
            <w:tcW w:w="1058" w:type="dxa"/>
            <w:vMerge w:val="continue"/>
            <w:tcBorders>
              <w:top w:val="nil"/>
              <w:bottom w:val="nil"/>
            </w:tcBorders>
            <w:vAlign w:val="top"/>
          </w:tcPr>
          <w:p w14:paraId="69BA8832">
            <w:pPr>
              <w:rPr>
                <w:rFonts w:ascii="Arial"/>
                <w:sz w:val="21"/>
              </w:rPr>
            </w:pPr>
          </w:p>
        </w:tc>
        <w:tc>
          <w:tcPr>
            <w:tcW w:w="1897" w:type="dxa"/>
            <w:vAlign w:val="top"/>
          </w:tcPr>
          <w:p w14:paraId="1C0EB600">
            <w:pPr>
              <w:pStyle w:val="6"/>
              <w:spacing w:before="292" w:line="229" w:lineRule="auto"/>
              <w:ind w:left="111"/>
            </w:pPr>
            <w:r>
              <w:rPr>
                <w:spacing w:val="8"/>
              </w:rPr>
              <w:t>施工准备与</w:t>
            </w:r>
          </w:p>
          <w:p w14:paraId="3F850306">
            <w:pPr>
              <w:pStyle w:val="6"/>
              <w:spacing w:before="25" w:line="229" w:lineRule="auto"/>
              <w:ind w:left="121"/>
            </w:pPr>
            <w:r>
              <w:rPr>
                <w:spacing w:val="6"/>
              </w:rPr>
              <w:t>资源配置计划</w:t>
            </w:r>
          </w:p>
        </w:tc>
        <w:tc>
          <w:tcPr>
            <w:tcW w:w="5484" w:type="dxa"/>
            <w:vAlign w:val="top"/>
          </w:tcPr>
          <w:p w14:paraId="730FC1A0">
            <w:pPr>
              <w:pStyle w:val="6"/>
              <w:spacing w:before="158" w:line="251" w:lineRule="auto"/>
              <w:ind w:left="113" w:right="107"/>
              <w:jc w:val="both"/>
            </w:pPr>
            <w:r>
              <w:rPr>
                <w:spacing w:val="10"/>
              </w:rPr>
              <w:t>技术准备、现场准备和资金准备；资源配置计划包括劳动力配置计划、主要工程材料和设备配置计划、主要周转材</w:t>
            </w:r>
            <w:r>
              <w:rPr>
                <w:spacing w:val="8"/>
              </w:rPr>
              <w:t>料和施工机具配置计划等内容完备，可行。</w:t>
            </w:r>
          </w:p>
        </w:tc>
      </w:tr>
      <w:tr w14:paraId="72BF0E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745" w:type="dxa"/>
            <w:vMerge w:val="continue"/>
            <w:tcBorders>
              <w:top w:val="nil"/>
            </w:tcBorders>
            <w:vAlign w:val="top"/>
          </w:tcPr>
          <w:p w14:paraId="00A15263">
            <w:pPr>
              <w:rPr>
                <w:rFonts w:ascii="Arial"/>
                <w:sz w:val="21"/>
              </w:rPr>
            </w:pPr>
          </w:p>
        </w:tc>
        <w:tc>
          <w:tcPr>
            <w:tcW w:w="1058" w:type="dxa"/>
            <w:vMerge w:val="continue"/>
            <w:tcBorders>
              <w:top w:val="nil"/>
            </w:tcBorders>
            <w:vAlign w:val="top"/>
          </w:tcPr>
          <w:p w14:paraId="27D3B92C">
            <w:pPr>
              <w:rPr>
                <w:rFonts w:ascii="Arial"/>
                <w:sz w:val="21"/>
              </w:rPr>
            </w:pPr>
          </w:p>
        </w:tc>
        <w:tc>
          <w:tcPr>
            <w:tcW w:w="1897" w:type="dxa"/>
            <w:vAlign w:val="top"/>
          </w:tcPr>
          <w:p w14:paraId="387F82BA">
            <w:pPr>
              <w:spacing w:line="304" w:lineRule="auto"/>
              <w:rPr>
                <w:rFonts w:ascii="Arial"/>
                <w:sz w:val="21"/>
              </w:rPr>
            </w:pPr>
          </w:p>
          <w:p w14:paraId="2A796BE6">
            <w:pPr>
              <w:spacing w:line="305" w:lineRule="auto"/>
              <w:rPr>
                <w:rFonts w:ascii="Arial"/>
                <w:sz w:val="21"/>
              </w:rPr>
            </w:pPr>
          </w:p>
          <w:p w14:paraId="115FF1FD">
            <w:pPr>
              <w:pStyle w:val="6"/>
              <w:spacing w:before="65" w:line="228" w:lineRule="auto"/>
              <w:ind w:left="114"/>
            </w:pPr>
            <w:r>
              <w:rPr>
                <w:spacing w:val="7"/>
              </w:rPr>
              <w:t>主要施工方案</w:t>
            </w:r>
          </w:p>
        </w:tc>
        <w:tc>
          <w:tcPr>
            <w:tcW w:w="5484" w:type="dxa"/>
            <w:vAlign w:val="top"/>
          </w:tcPr>
          <w:p w14:paraId="7D4FA2C2">
            <w:pPr>
              <w:pStyle w:val="6"/>
              <w:spacing w:before="132" w:line="252" w:lineRule="auto"/>
              <w:ind w:left="113" w:right="107" w:firstLine="2"/>
            </w:pPr>
            <w:r>
              <w:rPr>
                <w:spacing w:val="10"/>
              </w:rPr>
              <w:t>主要分部、分项工程施工方案合理、可行；脚手架工程、起重吊装工程、临时用水用电工程、季节性施工等专项工程的施工方案（如有）有必要的验算和说明；对易发生质量通病、易出现安全问题、施工难度大、技术含量高的分</w:t>
            </w:r>
            <w:r>
              <w:rPr>
                <w:spacing w:val="8"/>
              </w:rPr>
              <w:t>项工程（工序）等有重点说明。</w:t>
            </w:r>
          </w:p>
        </w:tc>
      </w:tr>
    </w:tbl>
    <w:p w14:paraId="5F5859CB">
      <w:pPr>
        <w:rPr>
          <w:rFonts w:ascii="Arial"/>
          <w:sz w:val="21"/>
        </w:rPr>
      </w:pPr>
    </w:p>
    <w:p w14:paraId="3853CAEF">
      <w:pPr>
        <w:rPr>
          <w:rFonts w:ascii="Arial" w:hAnsi="Arial" w:eastAsia="Arial" w:cs="Arial"/>
          <w:sz w:val="21"/>
          <w:szCs w:val="21"/>
        </w:rPr>
        <w:sectPr>
          <w:footerReference r:id="rId102" w:type="default"/>
          <w:pgSz w:w="11907" w:h="16840"/>
          <w:pgMar w:top="400" w:right="1248" w:bottom="1035" w:left="1469" w:header="0" w:footer="785" w:gutter="0"/>
          <w:cols w:space="720" w:num="1"/>
        </w:sectPr>
      </w:pPr>
    </w:p>
    <w:p w14:paraId="0223760F">
      <w:pPr>
        <w:spacing w:before="19"/>
      </w:pPr>
    </w:p>
    <w:p w14:paraId="757383B3">
      <w:pPr>
        <w:spacing w:before="19"/>
      </w:pPr>
    </w:p>
    <w:p w14:paraId="0FFB001E">
      <w:pPr>
        <w:spacing w:before="19"/>
      </w:pPr>
    </w:p>
    <w:p w14:paraId="2D79E654">
      <w:pPr>
        <w:spacing w:before="18"/>
      </w:pPr>
    </w:p>
    <w:p w14:paraId="738B75BC">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837"/>
        <w:gridCol w:w="60"/>
        <w:gridCol w:w="5484"/>
      </w:tblGrid>
      <w:tr w14:paraId="7649FE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0" w:hRule="atLeast"/>
        </w:trPr>
        <w:tc>
          <w:tcPr>
            <w:tcW w:w="745" w:type="dxa"/>
            <w:vMerge w:val="restart"/>
            <w:tcBorders>
              <w:bottom w:val="nil"/>
            </w:tcBorders>
            <w:vAlign w:val="top"/>
          </w:tcPr>
          <w:p w14:paraId="596A255E">
            <w:pPr>
              <w:rPr>
                <w:rFonts w:ascii="Arial"/>
                <w:sz w:val="21"/>
              </w:rPr>
            </w:pPr>
          </w:p>
        </w:tc>
        <w:tc>
          <w:tcPr>
            <w:tcW w:w="1058" w:type="dxa"/>
            <w:vMerge w:val="restart"/>
            <w:tcBorders>
              <w:bottom w:val="nil"/>
            </w:tcBorders>
            <w:vAlign w:val="top"/>
          </w:tcPr>
          <w:p w14:paraId="194B5EF3">
            <w:pPr>
              <w:rPr>
                <w:rFonts w:ascii="Arial"/>
                <w:sz w:val="21"/>
              </w:rPr>
            </w:pPr>
          </w:p>
        </w:tc>
        <w:tc>
          <w:tcPr>
            <w:tcW w:w="1897" w:type="dxa"/>
            <w:gridSpan w:val="2"/>
            <w:vAlign w:val="top"/>
          </w:tcPr>
          <w:p w14:paraId="641A22A1">
            <w:pPr>
              <w:spacing w:line="246" w:lineRule="auto"/>
              <w:rPr>
                <w:rFonts w:ascii="Arial"/>
                <w:sz w:val="21"/>
              </w:rPr>
            </w:pPr>
          </w:p>
          <w:p w14:paraId="64F878B4">
            <w:pPr>
              <w:spacing w:line="247" w:lineRule="auto"/>
              <w:rPr>
                <w:rFonts w:ascii="Arial"/>
                <w:sz w:val="21"/>
              </w:rPr>
            </w:pPr>
          </w:p>
          <w:p w14:paraId="5FBF38EE">
            <w:pPr>
              <w:spacing w:line="247" w:lineRule="auto"/>
              <w:rPr>
                <w:rFonts w:ascii="Arial"/>
                <w:sz w:val="21"/>
              </w:rPr>
            </w:pPr>
          </w:p>
          <w:p w14:paraId="47CBF29D">
            <w:pPr>
              <w:pStyle w:val="6"/>
              <w:spacing w:before="65" w:line="227" w:lineRule="auto"/>
              <w:ind w:left="111"/>
            </w:pPr>
            <w:r>
              <w:rPr>
                <w:spacing w:val="8"/>
              </w:rPr>
              <w:t>施工现场平面布置</w:t>
            </w:r>
          </w:p>
        </w:tc>
        <w:tc>
          <w:tcPr>
            <w:tcW w:w="5484" w:type="dxa"/>
            <w:vAlign w:val="top"/>
          </w:tcPr>
          <w:p w14:paraId="6F6B0361">
            <w:pPr>
              <w:pStyle w:val="6"/>
              <w:spacing w:before="126" w:line="252" w:lineRule="auto"/>
              <w:ind w:left="113" w:right="107"/>
            </w:pPr>
            <w:r>
              <w:rPr>
                <w:spacing w:val="10"/>
              </w:rPr>
              <w:t>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要素齐全，</w:t>
            </w:r>
            <w:r>
              <w:rPr>
                <w:spacing w:val="8"/>
              </w:rPr>
              <w:t>现场平面布置合理可行。</w:t>
            </w:r>
          </w:p>
        </w:tc>
      </w:tr>
      <w:tr w14:paraId="4979F8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trPr>
        <w:tc>
          <w:tcPr>
            <w:tcW w:w="745" w:type="dxa"/>
            <w:vMerge w:val="continue"/>
            <w:tcBorders>
              <w:top w:val="nil"/>
              <w:bottom w:val="nil"/>
            </w:tcBorders>
            <w:vAlign w:val="top"/>
          </w:tcPr>
          <w:p w14:paraId="608EFD8C">
            <w:pPr>
              <w:rPr>
                <w:rFonts w:ascii="Arial"/>
                <w:sz w:val="21"/>
              </w:rPr>
            </w:pPr>
          </w:p>
        </w:tc>
        <w:tc>
          <w:tcPr>
            <w:tcW w:w="1058" w:type="dxa"/>
            <w:vMerge w:val="continue"/>
            <w:tcBorders>
              <w:top w:val="nil"/>
              <w:bottom w:val="nil"/>
            </w:tcBorders>
            <w:vAlign w:val="top"/>
          </w:tcPr>
          <w:p w14:paraId="103242DA">
            <w:pPr>
              <w:rPr>
                <w:rFonts w:ascii="Arial"/>
                <w:sz w:val="21"/>
              </w:rPr>
            </w:pPr>
          </w:p>
        </w:tc>
        <w:tc>
          <w:tcPr>
            <w:tcW w:w="1897" w:type="dxa"/>
            <w:gridSpan w:val="2"/>
            <w:vAlign w:val="top"/>
          </w:tcPr>
          <w:p w14:paraId="38D5A729">
            <w:pPr>
              <w:spacing w:line="300" w:lineRule="auto"/>
              <w:rPr>
                <w:rFonts w:ascii="Arial"/>
                <w:sz w:val="21"/>
              </w:rPr>
            </w:pPr>
          </w:p>
          <w:p w14:paraId="08CC662D">
            <w:pPr>
              <w:spacing w:line="300" w:lineRule="auto"/>
              <w:rPr>
                <w:rFonts w:ascii="Arial"/>
                <w:sz w:val="21"/>
              </w:rPr>
            </w:pPr>
          </w:p>
          <w:p w14:paraId="03A397A6">
            <w:pPr>
              <w:pStyle w:val="6"/>
              <w:spacing w:before="65" w:line="228" w:lineRule="auto"/>
              <w:ind w:left="114"/>
            </w:pPr>
            <w:r>
              <w:rPr>
                <w:spacing w:val="8"/>
              </w:rPr>
              <w:t>主要施工管理计划</w:t>
            </w:r>
          </w:p>
        </w:tc>
        <w:tc>
          <w:tcPr>
            <w:tcW w:w="5484" w:type="dxa"/>
            <w:vAlign w:val="top"/>
          </w:tcPr>
          <w:p w14:paraId="5FD23073">
            <w:pPr>
              <w:pStyle w:val="6"/>
              <w:spacing w:before="125" w:line="252" w:lineRule="auto"/>
              <w:ind w:left="112" w:right="55"/>
              <w:jc w:val="both"/>
            </w:pPr>
            <w:r>
              <w:rPr>
                <w:spacing w:val="10"/>
              </w:rPr>
              <w:t>进度管理计划、质量管理计划、安全管理计划、环境管理</w:t>
            </w:r>
            <w:r>
              <w:rPr>
                <w:spacing w:val="4"/>
              </w:rPr>
              <w:t>计划、成本管理计划、治安保卫管理计划、合同管理计划，</w:t>
            </w:r>
            <w:r>
              <w:rPr>
                <w:spacing w:val="10"/>
              </w:rPr>
              <w:t>组织协调管理计划、成品保护管理计划、质量保修管理计划、人力资源、施工机具、材料设备等管理计划内容基本</w:t>
            </w:r>
            <w:r>
              <w:rPr>
                <w:spacing w:val="6"/>
              </w:rPr>
              <w:t>完备，可行。</w:t>
            </w:r>
          </w:p>
        </w:tc>
      </w:tr>
      <w:tr w14:paraId="70B831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 w:hRule="atLeast"/>
        </w:trPr>
        <w:tc>
          <w:tcPr>
            <w:tcW w:w="745" w:type="dxa"/>
            <w:vMerge w:val="continue"/>
            <w:tcBorders>
              <w:top w:val="nil"/>
            </w:tcBorders>
            <w:vAlign w:val="top"/>
          </w:tcPr>
          <w:p w14:paraId="395829F8">
            <w:pPr>
              <w:rPr>
                <w:rFonts w:ascii="Arial"/>
                <w:sz w:val="21"/>
              </w:rPr>
            </w:pPr>
          </w:p>
        </w:tc>
        <w:tc>
          <w:tcPr>
            <w:tcW w:w="1058" w:type="dxa"/>
            <w:vMerge w:val="continue"/>
            <w:tcBorders>
              <w:top w:val="nil"/>
            </w:tcBorders>
            <w:vAlign w:val="top"/>
          </w:tcPr>
          <w:p w14:paraId="33686482">
            <w:pPr>
              <w:rPr>
                <w:rFonts w:ascii="Arial"/>
                <w:sz w:val="21"/>
              </w:rPr>
            </w:pPr>
          </w:p>
        </w:tc>
        <w:tc>
          <w:tcPr>
            <w:tcW w:w="7381" w:type="dxa"/>
            <w:gridSpan w:val="3"/>
            <w:vAlign w:val="top"/>
          </w:tcPr>
          <w:p w14:paraId="585B89D8">
            <w:pPr>
              <w:pStyle w:val="6"/>
              <w:spacing w:before="112" w:line="254" w:lineRule="auto"/>
              <w:ind w:left="111" w:right="160"/>
            </w:pPr>
            <w:r>
              <w:rPr>
                <w:spacing w:val="7"/>
              </w:rPr>
              <w:t>施工组织设计各项内容只作定性评审，即只作“合格</w:t>
            </w:r>
            <w:r>
              <w:rPr>
                <w:spacing w:val="-64"/>
              </w:rPr>
              <w:t xml:space="preserve"> </w:t>
            </w:r>
            <w:r>
              <w:rPr>
                <w:spacing w:val="7"/>
              </w:rPr>
              <w:t>”与“不合格</w:t>
            </w:r>
            <w:r>
              <w:rPr>
                <w:spacing w:val="-72"/>
              </w:rPr>
              <w:t xml:space="preserve"> </w:t>
            </w:r>
            <w:r>
              <w:rPr>
                <w:spacing w:val="7"/>
              </w:rPr>
              <w:t>”的评审，</w:t>
            </w:r>
            <w:r>
              <w:rPr>
                <w:spacing w:val="8"/>
              </w:rPr>
              <w:t>七项内容中有不少于四项合格即视为施工组织设计“合格</w:t>
            </w:r>
            <w:r>
              <w:rPr>
                <w:spacing w:val="-65"/>
              </w:rPr>
              <w:t xml:space="preserve"> </w:t>
            </w:r>
            <w:r>
              <w:rPr>
                <w:spacing w:val="8"/>
              </w:rPr>
              <w:t>”。</w:t>
            </w:r>
          </w:p>
        </w:tc>
      </w:tr>
      <w:tr w14:paraId="396C3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trPr>
        <w:tc>
          <w:tcPr>
            <w:tcW w:w="1803" w:type="dxa"/>
            <w:gridSpan w:val="2"/>
            <w:vAlign w:val="top"/>
          </w:tcPr>
          <w:p w14:paraId="39949F81">
            <w:pPr>
              <w:spacing w:line="347" w:lineRule="auto"/>
              <w:rPr>
                <w:rFonts w:ascii="Arial"/>
                <w:sz w:val="21"/>
              </w:rPr>
            </w:pPr>
          </w:p>
          <w:p w14:paraId="2A8BCDD6">
            <w:pPr>
              <w:spacing w:line="348" w:lineRule="auto"/>
              <w:rPr>
                <w:rFonts w:ascii="Arial"/>
                <w:sz w:val="21"/>
              </w:rPr>
            </w:pPr>
          </w:p>
          <w:p w14:paraId="1B4EA0C0">
            <w:pPr>
              <w:spacing w:before="58"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3"/>
            <w:vAlign w:val="top"/>
          </w:tcPr>
          <w:p w14:paraId="45170612">
            <w:pPr>
              <w:pStyle w:val="6"/>
              <w:spacing w:before="301" w:line="227" w:lineRule="auto"/>
              <w:ind w:left="111"/>
            </w:pPr>
            <w:r>
              <w:rPr>
                <w:spacing w:val="9"/>
              </w:rPr>
              <w:t>在本标段招标投标活动中，投标人不得存在的其他情形：</w:t>
            </w:r>
          </w:p>
          <w:p w14:paraId="010C8264">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36C5BB76">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578D6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03" w:type="dxa"/>
            <w:gridSpan w:val="2"/>
            <w:vAlign w:val="top"/>
          </w:tcPr>
          <w:p w14:paraId="5C16C62C">
            <w:pPr>
              <w:pStyle w:val="6"/>
              <w:spacing w:before="120" w:line="228" w:lineRule="auto"/>
              <w:ind w:left="592"/>
            </w:pPr>
            <w:r>
              <w:rPr>
                <w:b/>
                <w:bCs/>
                <w:spacing w:val="5"/>
              </w:rPr>
              <w:t>条款号</w:t>
            </w:r>
          </w:p>
        </w:tc>
        <w:tc>
          <w:tcPr>
            <w:tcW w:w="1837" w:type="dxa"/>
            <w:vAlign w:val="top"/>
          </w:tcPr>
          <w:p w14:paraId="45C4870E">
            <w:pPr>
              <w:pStyle w:val="6"/>
              <w:spacing w:before="120" w:line="228" w:lineRule="auto"/>
              <w:ind w:left="503"/>
            </w:pPr>
            <w:r>
              <w:rPr>
                <w:b/>
                <w:bCs/>
                <w:spacing w:val="6"/>
              </w:rPr>
              <w:t>条款内容</w:t>
            </w:r>
          </w:p>
        </w:tc>
        <w:tc>
          <w:tcPr>
            <w:tcW w:w="5544" w:type="dxa"/>
            <w:gridSpan w:val="2"/>
            <w:vAlign w:val="top"/>
          </w:tcPr>
          <w:p w14:paraId="30758B6E">
            <w:pPr>
              <w:pStyle w:val="6"/>
              <w:spacing w:before="120" w:line="228" w:lineRule="auto"/>
              <w:ind w:left="2357"/>
            </w:pPr>
            <w:r>
              <w:rPr>
                <w:b/>
                <w:bCs/>
                <w:spacing w:val="6"/>
              </w:rPr>
              <w:t>编列内容</w:t>
            </w:r>
          </w:p>
        </w:tc>
      </w:tr>
      <w:tr w14:paraId="591BAF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trPr>
        <w:tc>
          <w:tcPr>
            <w:tcW w:w="1803" w:type="dxa"/>
            <w:gridSpan w:val="2"/>
            <w:vAlign w:val="top"/>
          </w:tcPr>
          <w:p w14:paraId="332EE14A">
            <w:pPr>
              <w:spacing w:line="273" w:lineRule="auto"/>
              <w:rPr>
                <w:rFonts w:ascii="Arial"/>
                <w:sz w:val="21"/>
              </w:rPr>
            </w:pPr>
          </w:p>
          <w:p w14:paraId="74355175">
            <w:pPr>
              <w:spacing w:line="273" w:lineRule="auto"/>
              <w:rPr>
                <w:rFonts w:ascii="Arial"/>
                <w:sz w:val="21"/>
              </w:rPr>
            </w:pPr>
          </w:p>
          <w:p w14:paraId="0DE19392">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1837" w:type="dxa"/>
            <w:vAlign w:val="top"/>
          </w:tcPr>
          <w:p w14:paraId="10CB97D7">
            <w:pPr>
              <w:spacing w:line="317" w:lineRule="auto"/>
              <w:rPr>
                <w:rFonts w:ascii="Arial"/>
                <w:sz w:val="21"/>
              </w:rPr>
            </w:pPr>
          </w:p>
          <w:p w14:paraId="38A6251D">
            <w:pPr>
              <w:pStyle w:val="6"/>
              <w:spacing w:before="65" w:line="228" w:lineRule="auto"/>
              <w:ind w:left="115"/>
            </w:pPr>
            <w:r>
              <w:rPr>
                <w:spacing w:val="6"/>
              </w:rPr>
              <w:t>分值构成</w:t>
            </w:r>
          </w:p>
          <w:p w14:paraId="0A371138">
            <w:pPr>
              <w:pStyle w:val="6"/>
              <w:spacing w:before="25" w:line="228" w:lineRule="auto"/>
              <w:ind w:left="122"/>
            </w:pPr>
            <w:r>
              <w:t>（总分</w:t>
            </w:r>
            <w:r>
              <w:rPr>
                <w:spacing w:val="17"/>
              </w:rPr>
              <w:t xml:space="preserve"> </w:t>
            </w:r>
            <w:r>
              <w:t>0</w:t>
            </w:r>
            <w:r>
              <w:rPr>
                <w:spacing w:val="-35"/>
              </w:rPr>
              <w:t xml:space="preserve"> </w:t>
            </w:r>
            <w:r>
              <w:t>分）</w:t>
            </w:r>
          </w:p>
        </w:tc>
        <w:tc>
          <w:tcPr>
            <w:tcW w:w="5544" w:type="dxa"/>
            <w:gridSpan w:val="2"/>
            <w:vAlign w:val="top"/>
          </w:tcPr>
          <w:p w14:paraId="17516E75">
            <w:pPr>
              <w:pStyle w:val="6"/>
              <w:spacing w:before="248" w:line="226" w:lineRule="auto"/>
              <w:ind w:left="116"/>
            </w:pPr>
            <w:r>
              <w:rPr>
                <w:spacing w:val="3"/>
              </w:rPr>
              <w:t>投标报价：</w:t>
            </w:r>
            <w:r>
              <w:rPr>
                <w:spacing w:val="9"/>
              </w:rPr>
              <w:t xml:space="preserve">     </w:t>
            </w:r>
            <w:r>
              <w:rPr>
                <w:spacing w:val="3"/>
              </w:rPr>
              <w:t>0</w:t>
            </w:r>
            <w:r>
              <w:rPr>
                <w:spacing w:val="18"/>
              </w:rPr>
              <w:t xml:space="preserve"> </w:t>
            </w:r>
            <w:r>
              <w:rPr>
                <w:spacing w:val="3"/>
              </w:rPr>
              <w:t>分</w:t>
            </w:r>
          </w:p>
          <w:p w14:paraId="46E0314F">
            <w:pPr>
              <w:pStyle w:val="6"/>
              <w:spacing w:before="28" w:line="227" w:lineRule="auto"/>
              <w:ind w:left="117"/>
            </w:pPr>
            <w:r>
              <w:rPr>
                <w:spacing w:val="5"/>
              </w:rPr>
              <w:t>项目管理机构：</w:t>
            </w:r>
            <w:r>
              <w:rPr>
                <w:spacing w:val="33"/>
              </w:rPr>
              <w:t xml:space="preserve"> </w:t>
            </w:r>
            <w:r>
              <w:rPr>
                <w:spacing w:val="5"/>
              </w:rPr>
              <w:t>0 分</w:t>
            </w:r>
          </w:p>
          <w:p w14:paraId="7DE97FBC">
            <w:pPr>
              <w:pStyle w:val="6"/>
              <w:spacing w:before="24" w:line="228" w:lineRule="auto"/>
              <w:ind w:left="114"/>
            </w:pPr>
            <w:r>
              <w:rPr>
                <w:spacing w:val="6"/>
              </w:rPr>
              <w:t>其他评分因素：</w:t>
            </w:r>
            <w:r>
              <w:rPr>
                <w:spacing w:val="26"/>
              </w:rPr>
              <w:t xml:space="preserve"> </w:t>
            </w:r>
            <w:r>
              <w:rPr>
                <w:spacing w:val="6"/>
              </w:rPr>
              <w:t>0 分</w:t>
            </w:r>
          </w:p>
        </w:tc>
      </w:tr>
      <w:tr w14:paraId="704921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3" w:hRule="atLeast"/>
        </w:trPr>
        <w:tc>
          <w:tcPr>
            <w:tcW w:w="1803" w:type="dxa"/>
            <w:gridSpan w:val="2"/>
            <w:vAlign w:val="top"/>
          </w:tcPr>
          <w:p w14:paraId="50BB78DB">
            <w:pPr>
              <w:spacing w:line="333" w:lineRule="auto"/>
              <w:rPr>
                <w:rFonts w:ascii="Arial"/>
                <w:sz w:val="21"/>
              </w:rPr>
            </w:pPr>
          </w:p>
          <w:p w14:paraId="3AF22D99">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7980B090">
            <w:pPr>
              <w:pStyle w:val="6"/>
              <w:spacing w:before="197"/>
              <w:ind w:left="656"/>
            </w:pPr>
            <w:r>
              <w:rPr>
                <w:spacing w:val="-2"/>
              </w:rPr>
              <w:t>（</w:t>
            </w:r>
            <w:r>
              <w:rPr>
                <w:rFonts w:ascii="Times New Roman" w:hAnsi="Times New Roman" w:eastAsia="Times New Roman" w:cs="Times New Roman"/>
                <w:spacing w:val="-2"/>
              </w:rPr>
              <w:t>1</w:t>
            </w:r>
            <w:r>
              <w:rPr>
                <w:spacing w:val="-2"/>
              </w:rPr>
              <w:t>）</w:t>
            </w:r>
          </w:p>
        </w:tc>
        <w:tc>
          <w:tcPr>
            <w:tcW w:w="1837" w:type="dxa"/>
            <w:vAlign w:val="top"/>
          </w:tcPr>
          <w:p w14:paraId="65AAB14D">
            <w:pPr>
              <w:spacing w:line="448" w:lineRule="auto"/>
              <w:rPr>
                <w:rFonts w:ascii="Arial"/>
                <w:sz w:val="21"/>
              </w:rPr>
            </w:pPr>
          </w:p>
          <w:p w14:paraId="6939A826">
            <w:pPr>
              <w:pStyle w:val="6"/>
              <w:spacing w:before="65" w:line="226" w:lineRule="auto"/>
              <w:ind w:left="111"/>
            </w:pPr>
            <w:r>
              <w:rPr>
                <w:spacing w:val="8"/>
              </w:rPr>
              <w:t>评标价确定方法</w:t>
            </w:r>
          </w:p>
        </w:tc>
        <w:tc>
          <w:tcPr>
            <w:tcW w:w="5544" w:type="dxa"/>
            <w:gridSpan w:val="2"/>
            <w:vAlign w:val="top"/>
          </w:tcPr>
          <w:p w14:paraId="21AA79A4">
            <w:pPr>
              <w:pStyle w:val="6"/>
              <w:spacing w:before="244" w:line="252" w:lineRule="auto"/>
              <w:ind w:left="113" w:right="221"/>
              <w:jc w:val="both"/>
            </w:pPr>
            <w:r>
              <w:rPr>
                <w:spacing w:val="8"/>
              </w:rPr>
              <w:t>评标价＝投标函中的大写投标总报价（或经投标人书面确</w:t>
            </w:r>
            <w:r>
              <w:rPr>
                <w:spacing w:val="11"/>
              </w:rPr>
              <w:t>认的算术错误修正后的投标总价）-（暂列金额+税金）-</w:t>
            </w:r>
            <w:r>
              <w:rPr>
                <w:spacing w:val="16"/>
              </w:rPr>
              <w:t xml:space="preserve"> </w:t>
            </w:r>
            <w:r>
              <w:rPr>
                <w:spacing w:val="7"/>
              </w:rPr>
              <w:t>（专业工程暂估价+税金）</w:t>
            </w:r>
          </w:p>
        </w:tc>
      </w:tr>
      <w:tr w14:paraId="79CAC8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7" w:hRule="atLeast"/>
        </w:trPr>
        <w:tc>
          <w:tcPr>
            <w:tcW w:w="1803" w:type="dxa"/>
            <w:gridSpan w:val="2"/>
            <w:vAlign w:val="top"/>
          </w:tcPr>
          <w:p w14:paraId="2614753B">
            <w:pPr>
              <w:spacing w:line="254" w:lineRule="auto"/>
              <w:rPr>
                <w:rFonts w:ascii="Arial"/>
                <w:sz w:val="21"/>
              </w:rPr>
            </w:pPr>
          </w:p>
          <w:p w14:paraId="1B7BEFB7">
            <w:pPr>
              <w:spacing w:line="254" w:lineRule="auto"/>
              <w:rPr>
                <w:rFonts w:ascii="Arial"/>
                <w:sz w:val="21"/>
              </w:rPr>
            </w:pPr>
          </w:p>
          <w:p w14:paraId="33094337">
            <w:pPr>
              <w:spacing w:line="255" w:lineRule="auto"/>
              <w:rPr>
                <w:rFonts w:ascii="Arial"/>
                <w:sz w:val="21"/>
              </w:rPr>
            </w:pPr>
          </w:p>
          <w:p w14:paraId="2067B298">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23D91341">
            <w:pPr>
              <w:pStyle w:val="6"/>
              <w:spacing w:before="197"/>
              <w:ind w:left="656"/>
            </w:pPr>
            <w:r>
              <w:rPr>
                <w:spacing w:val="-2"/>
              </w:rPr>
              <w:t>（</w:t>
            </w:r>
            <w:r>
              <w:rPr>
                <w:rFonts w:ascii="Times New Roman" w:hAnsi="Times New Roman" w:eastAsia="Times New Roman" w:cs="Times New Roman"/>
                <w:spacing w:val="-2"/>
              </w:rPr>
              <w:t>2</w:t>
            </w:r>
            <w:r>
              <w:rPr>
                <w:spacing w:val="-2"/>
              </w:rPr>
              <w:t>）</w:t>
            </w:r>
          </w:p>
        </w:tc>
        <w:tc>
          <w:tcPr>
            <w:tcW w:w="1837" w:type="dxa"/>
            <w:vAlign w:val="top"/>
          </w:tcPr>
          <w:p w14:paraId="44056EFF">
            <w:pPr>
              <w:spacing w:line="248" w:lineRule="auto"/>
              <w:rPr>
                <w:rFonts w:ascii="Arial"/>
                <w:sz w:val="21"/>
              </w:rPr>
            </w:pPr>
          </w:p>
          <w:p w14:paraId="78F2023B">
            <w:pPr>
              <w:spacing w:line="248" w:lineRule="auto"/>
              <w:rPr>
                <w:rFonts w:ascii="Arial"/>
                <w:sz w:val="21"/>
              </w:rPr>
            </w:pPr>
          </w:p>
          <w:p w14:paraId="1CE31F68">
            <w:pPr>
              <w:spacing w:line="248" w:lineRule="auto"/>
              <w:rPr>
                <w:rFonts w:ascii="Arial"/>
                <w:sz w:val="21"/>
              </w:rPr>
            </w:pPr>
          </w:p>
          <w:p w14:paraId="4C18BD14">
            <w:pPr>
              <w:pStyle w:val="6"/>
              <w:spacing w:before="65" w:line="252" w:lineRule="auto"/>
              <w:ind w:left="112" w:right="107" w:hanging="1"/>
            </w:pPr>
            <w:r>
              <w:rPr>
                <w:spacing w:val="30"/>
              </w:rPr>
              <w:t>评标基准价计算</w:t>
            </w:r>
            <w:r>
              <w:rPr>
                <w:spacing w:val="4"/>
              </w:rPr>
              <w:t>方法</w:t>
            </w:r>
          </w:p>
        </w:tc>
        <w:tc>
          <w:tcPr>
            <w:tcW w:w="5544" w:type="dxa"/>
            <w:gridSpan w:val="2"/>
            <w:vAlign w:val="top"/>
          </w:tcPr>
          <w:p w14:paraId="5F8F12C1">
            <w:pPr>
              <w:spacing w:line="337" w:lineRule="auto"/>
              <w:rPr>
                <w:rFonts w:ascii="Arial"/>
                <w:sz w:val="21"/>
              </w:rPr>
            </w:pPr>
          </w:p>
          <w:p w14:paraId="140E9DCD">
            <w:pPr>
              <w:pStyle w:val="6"/>
              <w:spacing w:before="65" w:line="251" w:lineRule="auto"/>
              <w:ind w:left="113" w:right="220"/>
              <w:jc w:val="both"/>
            </w:pPr>
            <w:r>
              <w:rPr>
                <w:spacing w:val="8"/>
              </w:rPr>
              <w:t>所有有效投标的评标价去掉六分之一（不能整除的按小数前整数取整，不足六家报价则不去掉）的最低价和相同数</w:t>
            </w:r>
            <w:r>
              <w:rPr>
                <w:spacing w:val="11"/>
              </w:rPr>
              <w:t>量的最高价后的算术平均值下浮E%，作为评</w:t>
            </w:r>
            <w:r>
              <w:rPr>
                <w:spacing w:val="10"/>
              </w:rPr>
              <w:t>标基准价。</w:t>
            </w:r>
          </w:p>
          <w:p w14:paraId="70C00726">
            <w:pPr>
              <w:pStyle w:val="6"/>
              <w:spacing w:before="1" w:line="251" w:lineRule="auto"/>
              <w:ind w:left="113" w:right="222" w:hanging="2"/>
            </w:pPr>
            <w:r>
              <w:rPr>
                <w:spacing w:val="5"/>
              </w:rPr>
              <w:t>E:为评标基准价下浮系数，范围为</w:t>
            </w:r>
            <w:r>
              <w:rPr>
                <w:spacing w:val="-8"/>
              </w:rPr>
              <w:t xml:space="preserve"> </w:t>
            </w:r>
            <w:r>
              <w:rPr>
                <w:spacing w:val="5"/>
              </w:rPr>
              <w:t>1-3</w:t>
            </w:r>
            <w:r>
              <w:rPr>
                <w:spacing w:val="-24"/>
              </w:rPr>
              <w:t xml:space="preserve"> </w:t>
            </w:r>
            <w:r>
              <w:rPr>
                <w:spacing w:val="5"/>
              </w:rPr>
              <w:t>的整数，由招标人</w:t>
            </w:r>
            <w:r>
              <w:rPr>
                <w:spacing w:val="6"/>
              </w:rPr>
              <w:t>确定。E</w:t>
            </w:r>
            <w:r>
              <w:rPr>
                <w:spacing w:val="-21"/>
              </w:rPr>
              <w:t xml:space="preserve"> </w:t>
            </w:r>
            <w:r>
              <w:rPr>
                <w:spacing w:val="6"/>
              </w:rPr>
              <w:t>的取值见第二章投标人须知前附表第</w:t>
            </w:r>
            <w:r>
              <w:rPr>
                <w:spacing w:val="-21"/>
              </w:rPr>
              <w:t xml:space="preserve"> </w:t>
            </w:r>
            <w:r>
              <w:rPr>
                <w:rFonts w:ascii="Times New Roman" w:hAnsi="Times New Roman" w:eastAsia="Times New Roman" w:cs="Times New Roman"/>
                <w:spacing w:val="6"/>
              </w:rPr>
              <w:t>10</w:t>
            </w:r>
            <w:r>
              <w:rPr>
                <w:rFonts w:ascii="Times New Roman" w:hAnsi="Times New Roman" w:eastAsia="Times New Roman" w:cs="Times New Roman"/>
                <w:spacing w:val="5"/>
              </w:rPr>
              <w:t xml:space="preserve">.2.1 </w:t>
            </w:r>
            <w:r>
              <w:rPr>
                <w:spacing w:val="5"/>
              </w:rPr>
              <w:t>项。</w:t>
            </w:r>
          </w:p>
        </w:tc>
      </w:tr>
      <w:tr w14:paraId="50620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3" w:hRule="atLeast"/>
        </w:trPr>
        <w:tc>
          <w:tcPr>
            <w:tcW w:w="1803" w:type="dxa"/>
            <w:gridSpan w:val="2"/>
            <w:vAlign w:val="top"/>
          </w:tcPr>
          <w:p w14:paraId="58360B79">
            <w:pPr>
              <w:spacing w:line="321" w:lineRule="auto"/>
              <w:rPr>
                <w:rFonts w:ascii="Arial"/>
                <w:sz w:val="21"/>
              </w:rPr>
            </w:pPr>
          </w:p>
          <w:p w14:paraId="59307F34">
            <w:pPr>
              <w:spacing w:line="322" w:lineRule="auto"/>
              <w:rPr>
                <w:rFonts w:ascii="Arial"/>
                <w:sz w:val="21"/>
              </w:rPr>
            </w:pPr>
          </w:p>
          <w:p w14:paraId="2DBACEDE">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35137394">
            <w:pPr>
              <w:pStyle w:val="6"/>
              <w:spacing w:before="197"/>
              <w:ind w:left="656"/>
            </w:pPr>
            <w:r>
              <w:rPr>
                <w:spacing w:val="-2"/>
              </w:rPr>
              <w:t>（</w:t>
            </w:r>
            <w:r>
              <w:rPr>
                <w:rFonts w:ascii="Times New Roman" w:hAnsi="Times New Roman" w:eastAsia="Times New Roman" w:cs="Times New Roman"/>
                <w:spacing w:val="-2"/>
              </w:rPr>
              <w:t>3</w:t>
            </w:r>
            <w:r>
              <w:rPr>
                <w:spacing w:val="-2"/>
              </w:rPr>
              <w:t>）</w:t>
            </w:r>
          </w:p>
        </w:tc>
        <w:tc>
          <w:tcPr>
            <w:tcW w:w="1837" w:type="dxa"/>
            <w:vAlign w:val="top"/>
          </w:tcPr>
          <w:p w14:paraId="54273865">
            <w:pPr>
              <w:spacing w:line="312" w:lineRule="auto"/>
              <w:rPr>
                <w:rFonts w:ascii="Arial"/>
                <w:sz w:val="21"/>
              </w:rPr>
            </w:pPr>
          </w:p>
          <w:p w14:paraId="1B1519A2">
            <w:pPr>
              <w:spacing w:line="312" w:lineRule="auto"/>
              <w:rPr>
                <w:rFonts w:ascii="Arial"/>
                <w:sz w:val="21"/>
              </w:rPr>
            </w:pPr>
          </w:p>
          <w:p w14:paraId="26D12EDC">
            <w:pPr>
              <w:pStyle w:val="6"/>
              <w:spacing w:before="65" w:line="252" w:lineRule="auto"/>
              <w:ind w:left="117" w:right="107" w:hanging="2"/>
            </w:pPr>
            <w:r>
              <w:rPr>
                <w:spacing w:val="29"/>
              </w:rPr>
              <w:t>期望合理价的确</w:t>
            </w:r>
            <w:r>
              <w:t>定</w:t>
            </w:r>
          </w:p>
        </w:tc>
        <w:tc>
          <w:tcPr>
            <w:tcW w:w="5544" w:type="dxa"/>
            <w:gridSpan w:val="2"/>
            <w:vAlign w:val="top"/>
          </w:tcPr>
          <w:p w14:paraId="4C44AF2F">
            <w:pPr>
              <w:pStyle w:val="6"/>
              <w:spacing w:before="283" w:line="251" w:lineRule="auto"/>
              <w:ind w:left="113" w:right="107" w:firstLine="3"/>
            </w:pPr>
            <w:r>
              <w:rPr>
                <w:spacing w:val="10"/>
              </w:rPr>
              <w:t>期望合理价＝</w:t>
            </w:r>
            <w:r>
              <w:rPr>
                <w:spacing w:val="-56"/>
              </w:rPr>
              <w:t xml:space="preserve"> </w:t>
            </w:r>
            <w:r>
              <w:rPr>
                <w:spacing w:val="10"/>
              </w:rPr>
              <w:t>[招标控制价总价-（暂列金额+税金）-（专</w:t>
            </w:r>
            <w:r>
              <w:rPr>
                <w:spacing w:val="5"/>
              </w:rPr>
              <w:t>业工程暂估价+税金）]</w:t>
            </w:r>
            <w:r>
              <w:rPr>
                <w:spacing w:val="-58"/>
              </w:rPr>
              <w:t xml:space="preserve"> </w:t>
            </w:r>
            <w:r>
              <w:rPr>
                <w:spacing w:val="5"/>
              </w:rPr>
              <w:t>×（1-D%）</w:t>
            </w:r>
          </w:p>
          <w:p w14:paraId="5D6039EF">
            <w:pPr>
              <w:pStyle w:val="6"/>
              <w:spacing w:before="1" w:line="252" w:lineRule="auto"/>
              <w:ind w:left="112" w:right="221" w:hanging="3"/>
              <w:jc w:val="both"/>
            </w:pPr>
            <w:r>
              <w:rPr>
                <w:spacing w:val="8"/>
              </w:rPr>
              <w:t>D：为期望合理价系数，范围宜为</w:t>
            </w:r>
            <w:r>
              <w:rPr>
                <w:spacing w:val="-27"/>
              </w:rPr>
              <w:t xml:space="preserve"> </w:t>
            </w:r>
            <w:r>
              <w:rPr>
                <w:spacing w:val="8"/>
              </w:rPr>
              <w:t>6-8</w:t>
            </w:r>
            <w:r>
              <w:rPr>
                <w:spacing w:val="-21"/>
              </w:rPr>
              <w:t xml:space="preserve"> </w:t>
            </w:r>
            <w:r>
              <w:rPr>
                <w:spacing w:val="8"/>
              </w:rPr>
              <w:t>的整数，</w:t>
            </w:r>
            <w:r>
              <w:rPr>
                <w:spacing w:val="-55"/>
              </w:rPr>
              <w:t xml:space="preserve"> </w:t>
            </w:r>
            <w:r>
              <w:rPr>
                <w:spacing w:val="8"/>
              </w:rPr>
              <w:t>由招标人</w:t>
            </w:r>
            <w:r>
              <w:rPr>
                <w:spacing w:val="12"/>
              </w:rPr>
              <w:t>根据招标控制价编制机构的建议和项目具体情况确定。D</w:t>
            </w:r>
            <w:r>
              <w:rPr>
                <w:spacing w:val="6"/>
              </w:rPr>
              <w:t>的取值见第二章投标人须知前附表第</w:t>
            </w:r>
            <w:r>
              <w:rPr>
                <w:spacing w:val="-12"/>
              </w:rPr>
              <w:t xml:space="preserve"> </w:t>
            </w:r>
            <w:r>
              <w:rPr>
                <w:rFonts w:ascii="Times New Roman" w:hAnsi="Times New Roman" w:eastAsia="Times New Roman" w:cs="Times New Roman"/>
                <w:spacing w:val="6"/>
              </w:rPr>
              <w:t xml:space="preserve">10.2.3 </w:t>
            </w:r>
            <w:r>
              <w:rPr>
                <w:spacing w:val="6"/>
              </w:rPr>
              <w:t>项。</w:t>
            </w:r>
          </w:p>
        </w:tc>
      </w:tr>
      <w:tr w14:paraId="43EB47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1803" w:type="dxa"/>
            <w:gridSpan w:val="2"/>
            <w:vAlign w:val="top"/>
          </w:tcPr>
          <w:p w14:paraId="7672B267">
            <w:pPr>
              <w:spacing w:line="335" w:lineRule="auto"/>
              <w:rPr>
                <w:rFonts w:ascii="Arial"/>
                <w:sz w:val="21"/>
              </w:rPr>
            </w:pPr>
          </w:p>
          <w:p w14:paraId="7BDF9986">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1837" w:type="dxa"/>
            <w:vAlign w:val="top"/>
          </w:tcPr>
          <w:p w14:paraId="5EB18CF7">
            <w:pPr>
              <w:pStyle w:val="6"/>
              <w:spacing w:before="38" w:line="250" w:lineRule="auto"/>
              <w:ind w:left="114" w:right="107"/>
            </w:pPr>
            <w:r>
              <w:rPr>
                <w:spacing w:val="29"/>
              </w:rPr>
              <w:t>投标报价的偏差</w:t>
            </w:r>
            <w:r>
              <w:t>率</w:t>
            </w:r>
          </w:p>
          <w:p w14:paraId="5542C8AF">
            <w:pPr>
              <w:pStyle w:val="6"/>
              <w:spacing w:line="216" w:lineRule="auto"/>
              <w:ind w:left="112"/>
            </w:pPr>
            <w:r>
              <w:rPr>
                <w:spacing w:val="7"/>
              </w:rPr>
              <w:t>计算公式</w:t>
            </w:r>
          </w:p>
        </w:tc>
        <w:tc>
          <w:tcPr>
            <w:tcW w:w="5544" w:type="dxa"/>
            <w:gridSpan w:val="2"/>
            <w:vAlign w:val="top"/>
          </w:tcPr>
          <w:p w14:paraId="2F52CE7F">
            <w:pPr>
              <w:pStyle w:val="6"/>
              <w:spacing w:before="172" w:line="253" w:lineRule="auto"/>
              <w:ind w:left="113" w:right="109"/>
            </w:pPr>
            <w:r>
              <w:rPr>
                <w:spacing w:val="6"/>
              </w:rPr>
              <w:t>偏差率=100%×（投标人评标价－评标基准价）</w:t>
            </w:r>
            <w:r>
              <w:rPr>
                <w:spacing w:val="-54"/>
              </w:rPr>
              <w:t xml:space="preserve"> </w:t>
            </w:r>
            <w:r>
              <w:rPr>
                <w:spacing w:val="6"/>
              </w:rPr>
              <w:t>÷评标基准</w:t>
            </w:r>
            <w:r>
              <w:t>价</w:t>
            </w:r>
          </w:p>
        </w:tc>
      </w:tr>
    </w:tbl>
    <w:p w14:paraId="7688507A">
      <w:pPr>
        <w:rPr>
          <w:rFonts w:ascii="Arial"/>
          <w:sz w:val="21"/>
        </w:rPr>
      </w:pPr>
    </w:p>
    <w:p w14:paraId="1F478D32">
      <w:pPr>
        <w:rPr>
          <w:rFonts w:ascii="Arial" w:hAnsi="Arial" w:eastAsia="Arial" w:cs="Arial"/>
          <w:sz w:val="21"/>
          <w:szCs w:val="21"/>
        </w:rPr>
        <w:sectPr>
          <w:footerReference r:id="rId103" w:type="default"/>
          <w:pgSz w:w="11907" w:h="16840"/>
          <w:pgMar w:top="400" w:right="1248" w:bottom="1035" w:left="1469" w:header="0" w:footer="785" w:gutter="0"/>
          <w:cols w:space="720" w:num="1"/>
        </w:sectPr>
      </w:pPr>
    </w:p>
    <w:p w14:paraId="793F57A7">
      <w:pPr>
        <w:spacing w:before="19"/>
      </w:pPr>
    </w:p>
    <w:p w14:paraId="1E29A550">
      <w:pPr>
        <w:spacing w:before="19"/>
      </w:pPr>
    </w:p>
    <w:p w14:paraId="71E931EE">
      <w:pPr>
        <w:spacing w:before="19"/>
      </w:pPr>
    </w:p>
    <w:p w14:paraId="1D365A5D">
      <w:pPr>
        <w:spacing w:before="18"/>
      </w:pPr>
    </w:p>
    <w:p w14:paraId="3EFC9AE2">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837"/>
        <w:gridCol w:w="5544"/>
      </w:tblGrid>
      <w:tr w14:paraId="0CBFB1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1803" w:type="dxa"/>
            <w:gridSpan w:val="2"/>
            <w:vAlign w:val="top"/>
          </w:tcPr>
          <w:p w14:paraId="4911D7D6">
            <w:pPr>
              <w:pStyle w:val="6"/>
              <w:spacing w:before="126" w:line="228" w:lineRule="auto"/>
              <w:ind w:left="592"/>
            </w:pPr>
            <w:r>
              <w:rPr>
                <w:b/>
                <w:bCs/>
                <w:spacing w:val="5"/>
              </w:rPr>
              <w:t>条款号</w:t>
            </w:r>
          </w:p>
        </w:tc>
        <w:tc>
          <w:tcPr>
            <w:tcW w:w="1837" w:type="dxa"/>
            <w:vAlign w:val="top"/>
          </w:tcPr>
          <w:p w14:paraId="2157C54A">
            <w:pPr>
              <w:pStyle w:val="6"/>
              <w:spacing w:before="126" w:line="228" w:lineRule="auto"/>
              <w:ind w:left="500"/>
            </w:pPr>
            <w:r>
              <w:rPr>
                <w:b/>
                <w:bCs/>
                <w:spacing w:val="6"/>
              </w:rPr>
              <w:t>评分因素</w:t>
            </w:r>
          </w:p>
        </w:tc>
        <w:tc>
          <w:tcPr>
            <w:tcW w:w="5544" w:type="dxa"/>
            <w:vAlign w:val="top"/>
          </w:tcPr>
          <w:p w14:paraId="0AF949F1">
            <w:pPr>
              <w:pStyle w:val="6"/>
              <w:spacing w:before="127" w:line="228" w:lineRule="auto"/>
              <w:ind w:left="2354"/>
            </w:pPr>
            <w:r>
              <w:rPr>
                <w:b/>
                <w:bCs/>
                <w:spacing w:val="6"/>
              </w:rPr>
              <w:t>评审标准</w:t>
            </w:r>
          </w:p>
        </w:tc>
      </w:tr>
      <w:tr w14:paraId="60EDBF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trPr>
        <w:tc>
          <w:tcPr>
            <w:tcW w:w="745" w:type="dxa"/>
            <w:vMerge w:val="restart"/>
            <w:tcBorders>
              <w:bottom w:val="nil"/>
            </w:tcBorders>
            <w:vAlign w:val="top"/>
          </w:tcPr>
          <w:p w14:paraId="4A00CD08">
            <w:pPr>
              <w:spacing w:line="248" w:lineRule="auto"/>
              <w:rPr>
                <w:rFonts w:ascii="Arial"/>
                <w:sz w:val="21"/>
              </w:rPr>
            </w:pPr>
          </w:p>
          <w:p w14:paraId="35AF6FAD">
            <w:pPr>
              <w:spacing w:line="248" w:lineRule="auto"/>
              <w:rPr>
                <w:rFonts w:ascii="Arial"/>
                <w:sz w:val="21"/>
              </w:rPr>
            </w:pPr>
          </w:p>
          <w:p w14:paraId="057B2BF3">
            <w:pPr>
              <w:spacing w:line="248" w:lineRule="auto"/>
              <w:rPr>
                <w:rFonts w:ascii="Arial"/>
                <w:sz w:val="21"/>
              </w:rPr>
            </w:pPr>
          </w:p>
          <w:p w14:paraId="5BD80F5B">
            <w:pPr>
              <w:spacing w:line="248" w:lineRule="auto"/>
              <w:rPr>
                <w:rFonts w:ascii="Arial"/>
                <w:sz w:val="21"/>
              </w:rPr>
            </w:pPr>
          </w:p>
          <w:p w14:paraId="01A2D32F">
            <w:pPr>
              <w:spacing w:line="248" w:lineRule="auto"/>
              <w:rPr>
                <w:rFonts w:ascii="Arial"/>
                <w:sz w:val="21"/>
              </w:rPr>
            </w:pPr>
          </w:p>
          <w:p w14:paraId="48D7ECD7">
            <w:pPr>
              <w:spacing w:line="248" w:lineRule="auto"/>
              <w:rPr>
                <w:rFonts w:ascii="Arial"/>
                <w:sz w:val="21"/>
              </w:rPr>
            </w:pPr>
          </w:p>
          <w:p w14:paraId="32989F7F">
            <w:pPr>
              <w:spacing w:line="248" w:lineRule="auto"/>
              <w:rPr>
                <w:rFonts w:ascii="Arial"/>
                <w:sz w:val="21"/>
              </w:rPr>
            </w:pPr>
          </w:p>
          <w:p w14:paraId="11CD0009">
            <w:pPr>
              <w:spacing w:line="248" w:lineRule="auto"/>
              <w:rPr>
                <w:rFonts w:ascii="Arial"/>
                <w:sz w:val="21"/>
              </w:rPr>
            </w:pPr>
          </w:p>
          <w:p w14:paraId="5C75EE2C">
            <w:pPr>
              <w:spacing w:line="248" w:lineRule="auto"/>
              <w:rPr>
                <w:rFonts w:ascii="Arial"/>
                <w:sz w:val="21"/>
              </w:rPr>
            </w:pPr>
          </w:p>
          <w:p w14:paraId="3AB11DB7">
            <w:pPr>
              <w:spacing w:line="248" w:lineRule="auto"/>
              <w:rPr>
                <w:rFonts w:ascii="Arial"/>
                <w:sz w:val="21"/>
              </w:rPr>
            </w:pPr>
          </w:p>
          <w:p w14:paraId="22EFAC7C">
            <w:pPr>
              <w:spacing w:line="248" w:lineRule="auto"/>
              <w:rPr>
                <w:rFonts w:ascii="Arial"/>
                <w:sz w:val="21"/>
              </w:rPr>
            </w:pPr>
          </w:p>
          <w:p w14:paraId="0CD13285">
            <w:pPr>
              <w:spacing w:line="249" w:lineRule="auto"/>
              <w:rPr>
                <w:rFonts w:ascii="Arial"/>
                <w:sz w:val="21"/>
              </w:rPr>
            </w:pPr>
          </w:p>
          <w:p w14:paraId="2217C02F">
            <w:pPr>
              <w:spacing w:line="249" w:lineRule="auto"/>
              <w:rPr>
                <w:rFonts w:ascii="Arial"/>
                <w:sz w:val="21"/>
              </w:rPr>
            </w:pPr>
          </w:p>
          <w:p w14:paraId="534CA7CD">
            <w:pPr>
              <w:spacing w:line="249" w:lineRule="auto"/>
              <w:rPr>
                <w:rFonts w:ascii="Arial"/>
                <w:sz w:val="21"/>
              </w:rPr>
            </w:pPr>
          </w:p>
          <w:p w14:paraId="1DE1ECF7">
            <w:pPr>
              <w:spacing w:line="249" w:lineRule="auto"/>
              <w:rPr>
                <w:rFonts w:ascii="Arial"/>
                <w:sz w:val="21"/>
              </w:rPr>
            </w:pPr>
          </w:p>
          <w:p w14:paraId="48DC8E94">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3EBB4C35">
            <w:pPr>
              <w:pStyle w:val="6"/>
              <w:spacing w:before="197"/>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176BEAA3">
            <w:pPr>
              <w:spacing w:line="247" w:lineRule="auto"/>
              <w:rPr>
                <w:rFonts w:ascii="Arial"/>
                <w:sz w:val="21"/>
              </w:rPr>
            </w:pPr>
          </w:p>
          <w:p w14:paraId="06274214">
            <w:pPr>
              <w:spacing w:line="247" w:lineRule="auto"/>
              <w:rPr>
                <w:rFonts w:ascii="Arial"/>
                <w:sz w:val="21"/>
              </w:rPr>
            </w:pPr>
          </w:p>
          <w:p w14:paraId="73F6EE4B">
            <w:pPr>
              <w:spacing w:line="247" w:lineRule="auto"/>
              <w:rPr>
                <w:rFonts w:ascii="Arial"/>
                <w:sz w:val="21"/>
              </w:rPr>
            </w:pPr>
          </w:p>
          <w:p w14:paraId="293BBFC2">
            <w:pPr>
              <w:spacing w:line="247" w:lineRule="auto"/>
              <w:rPr>
                <w:rFonts w:ascii="Arial"/>
                <w:sz w:val="21"/>
              </w:rPr>
            </w:pPr>
          </w:p>
          <w:p w14:paraId="20A4E0ED">
            <w:pPr>
              <w:spacing w:line="247" w:lineRule="auto"/>
              <w:rPr>
                <w:rFonts w:ascii="Arial"/>
                <w:sz w:val="21"/>
              </w:rPr>
            </w:pPr>
          </w:p>
          <w:p w14:paraId="170A46F2">
            <w:pPr>
              <w:spacing w:line="247" w:lineRule="auto"/>
              <w:rPr>
                <w:rFonts w:ascii="Arial"/>
                <w:sz w:val="21"/>
              </w:rPr>
            </w:pPr>
          </w:p>
          <w:p w14:paraId="5A156CD6">
            <w:pPr>
              <w:spacing w:line="247" w:lineRule="auto"/>
              <w:rPr>
                <w:rFonts w:ascii="Arial"/>
                <w:sz w:val="21"/>
              </w:rPr>
            </w:pPr>
          </w:p>
          <w:p w14:paraId="35DCEF57">
            <w:pPr>
              <w:spacing w:line="247" w:lineRule="auto"/>
              <w:rPr>
                <w:rFonts w:ascii="Arial"/>
                <w:sz w:val="21"/>
              </w:rPr>
            </w:pPr>
          </w:p>
          <w:p w14:paraId="490FE85F">
            <w:pPr>
              <w:spacing w:line="247" w:lineRule="auto"/>
              <w:rPr>
                <w:rFonts w:ascii="Arial"/>
                <w:sz w:val="21"/>
              </w:rPr>
            </w:pPr>
          </w:p>
          <w:p w14:paraId="3079406B">
            <w:pPr>
              <w:spacing w:line="247" w:lineRule="auto"/>
              <w:rPr>
                <w:rFonts w:ascii="Arial"/>
                <w:sz w:val="21"/>
              </w:rPr>
            </w:pPr>
          </w:p>
          <w:p w14:paraId="4CAB4775">
            <w:pPr>
              <w:spacing w:line="247" w:lineRule="auto"/>
              <w:rPr>
                <w:rFonts w:ascii="Arial"/>
                <w:sz w:val="21"/>
              </w:rPr>
            </w:pPr>
          </w:p>
          <w:p w14:paraId="4094D3DF">
            <w:pPr>
              <w:spacing w:line="247" w:lineRule="auto"/>
              <w:rPr>
                <w:rFonts w:ascii="Arial"/>
                <w:sz w:val="21"/>
              </w:rPr>
            </w:pPr>
          </w:p>
          <w:p w14:paraId="0A970440">
            <w:pPr>
              <w:spacing w:line="247" w:lineRule="auto"/>
              <w:rPr>
                <w:rFonts w:ascii="Arial"/>
                <w:sz w:val="21"/>
              </w:rPr>
            </w:pPr>
          </w:p>
          <w:p w14:paraId="49E94B95">
            <w:pPr>
              <w:spacing w:line="247" w:lineRule="auto"/>
              <w:rPr>
                <w:rFonts w:ascii="Arial"/>
                <w:sz w:val="21"/>
              </w:rPr>
            </w:pPr>
          </w:p>
          <w:p w14:paraId="54CD35C5">
            <w:pPr>
              <w:spacing w:line="247" w:lineRule="auto"/>
              <w:rPr>
                <w:rFonts w:ascii="Arial"/>
                <w:sz w:val="21"/>
              </w:rPr>
            </w:pPr>
          </w:p>
          <w:p w14:paraId="79BC0EC5">
            <w:pPr>
              <w:pStyle w:val="6"/>
              <w:spacing w:before="65" w:line="252" w:lineRule="auto"/>
              <w:ind w:left="111" w:right="111" w:firstLine="3"/>
            </w:pPr>
            <w:r>
              <w:rPr>
                <w:spacing w:val="6"/>
              </w:rPr>
              <w:t>投标报价</w:t>
            </w:r>
            <w:r>
              <w:rPr>
                <w:spacing w:val="7"/>
              </w:rPr>
              <w:t>评审标准</w:t>
            </w:r>
          </w:p>
        </w:tc>
        <w:tc>
          <w:tcPr>
            <w:tcW w:w="1837" w:type="dxa"/>
            <w:vAlign w:val="top"/>
          </w:tcPr>
          <w:p w14:paraId="4A092DAA">
            <w:pPr>
              <w:pStyle w:val="6"/>
              <w:spacing w:before="241" w:line="254" w:lineRule="auto"/>
              <w:ind w:left="117" w:right="107" w:hanging="4"/>
            </w:pPr>
            <w:r>
              <w:rPr>
                <w:spacing w:val="30"/>
              </w:rPr>
              <w:t>有效评标价的确</w:t>
            </w:r>
            <w:r>
              <w:t>定</w:t>
            </w:r>
          </w:p>
        </w:tc>
        <w:tc>
          <w:tcPr>
            <w:tcW w:w="5544" w:type="dxa"/>
            <w:vAlign w:val="top"/>
          </w:tcPr>
          <w:p w14:paraId="0523AE79">
            <w:pPr>
              <w:pStyle w:val="6"/>
              <w:spacing w:before="106" w:line="251" w:lineRule="auto"/>
              <w:ind w:left="114" w:right="107" w:firstLine="12"/>
              <w:jc w:val="both"/>
            </w:pPr>
            <w:r>
              <w:rPr>
                <w:spacing w:val="12"/>
              </w:rPr>
              <w:t>当投标人的评标价低于期望合理价，且同时低于评标基准价时，则其评标价视为无效评标价，其余评标价为有效评</w:t>
            </w:r>
            <w:r>
              <w:rPr>
                <w:spacing w:val="2"/>
              </w:rPr>
              <w:t>标价。</w:t>
            </w:r>
          </w:p>
        </w:tc>
      </w:tr>
      <w:tr w14:paraId="2A0515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5" w:hRule="atLeast"/>
        </w:trPr>
        <w:tc>
          <w:tcPr>
            <w:tcW w:w="745" w:type="dxa"/>
            <w:vMerge w:val="continue"/>
            <w:tcBorders>
              <w:top w:val="nil"/>
              <w:bottom w:val="nil"/>
            </w:tcBorders>
            <w:vAlign w:val="top"/>
          </w:tcPr>
          <w:p w14:paraId="16661237">
            <w:pPr>
              <w:rPr>
                <w:rFonts w:ascii="Arial"/>
                <w:sz w:val="21"/>
              </w:rPr>
            </w:pPr>
          </w:p>
        </w:tc>
        <w:tc>
          <w:tcPr>
            <w:tcW w:w="1058" w:type="dxa"/>
            <w:vMerge w:val="continue"/>
            <w:tcBorders>
              <w:top w:val="nil"/>
              <w:bottom w:val="nil"/>
            </w:tcBorders>
            <w:vAlign w:val="top"/>
          </w:tcPr>
          <w:p w14:paraId="666BE789">
            <w:pPr>
              <w:rPr>
                <w:rFonts w:ascii="Arial"/>
                <w:sz w:val="21"/>
              </w:rPr>
            </w:pPr>
          </w:p>
        </w:tc>
        <w:tc>
          <w:tcPr>
            <w:tcW w:w="1837" w:type="dxa"/>
            <w:vAlign w:val="top"/>
          </w:tcPr>
          <w:p w14:paraId="4E610D1E">
            <w:pPr>
              <w:spacing w:line="242" w:lineRule="auto"/>
              <w:rPr>
                <w:rFonts w:ascii="Arial"/>
                <w:sz w:val="21"/>
              </w:rPr>
            </w:pPr>
          </w:p>
          <w:p w14:paraId="1238AAD4">
            <w:pPr>
              <w:spacing w:line="243" w:lineRule="auto"/>
              <w:rPr>
                <w:rFonts w:ascii="Arial"/>
                <w:sz w:val="21"/>
              </w:rPr>
            </w:pPr>
          </w:p>
          <w:p w14:paraId="43BCC6FF">
            <w:pPr>
              <w:spacing w:line="243" w:lineRule="auto"/>
              <w:rPr>
                <w:rFonts w:ascii="Arial"/>
                <w:sz w:val="21"/>
              </w:rPr>
            </w:pPr>
          </w:p>
          <w:p w14:paraId="3B6839F8">
            <w:pPr>
              <w:spacing w:line="243" w:lineRule="auto"/>
              <w:rPr>
                <w:rFonts w:ascii="Arial"/>
                <w:sz w:val="21"/>
              </w:rPr>
            </w:pPr>
          </w:p>
          <w:p w14:paraId="25B9BD3C">
            <w:pPr>
              <w:spacing w:line="243" w:lineRule="auto"/>
              <w:rPr>
                <w:rFonts w:ascii="Arial"/>
                <w:sz w:val="21"/>
              </w:rPr>
            </w:pPr>
          </w:p>
          <w:p w14:paraId="6B7AE655">
            <w:pPr>
              <w:spacing w:line="243" w:lineRule="auto"/>
              <w:rPr>
                <w:rFonts w:ascii="Arial"/>
                <w:sz w:val="21"/>
              </w:rPr>
            </w:pPr>
          </w:p>
          <w:p w14:paraId="640B0437">
            <w:pPr>
              <w:spacing w:line="243" w:lineRule="auto"/>
              <w:rPr>
                <w:rFonts w:ascii="Arial"/>
                <w:sz w:val="21"/>
              </w:rPr>
            </w:pPr>
          </w:p>
          <w:p w14:paraId="15C64FCF">
            <w:pPr>
              <w:spacing w:line="243" w:lineRule="auto"/>
              <w:rPr>
                <w:rFonts w:ascii="Arial"/>
                <w:sz w:val="21"/>
              </w:rPr>
            </w:pPr>
          </w:p>
          <w:p w14:paraId="61AEFF45">
            <w:pPr>
              <w:spacing w:line="243" w:lineRule="auto"/>
              <w:rPr>
                <w:rFonts w:ascii="Arial"/>
                <w:sz w:val="21"/>
              </w:rPr>
            </w:pPr>
          </w:p>
          <w:p w14:paraId="743C0393">
            <w:pPr>
              <w:spacing w:line="243" w:lineRule="auto"/>
              <w:rPr>
                <w:rFonts w:ascii="Arial"/>
                <w:sz w:val="21"/>
              </w:rPr>
            </w:pPr>
          </w:p>
          <w:p w14:paraId="319C7BB3">
            <w:pPr>
              <w:spacing w:line="243" w:lineRule="auto"/>
              <w:rPr>
                <w:rFonts w:ascii="Arial"/>
                <w:sz w:val="21"/>
              </w:rPr>
            </w:pPr>
          </w:p>
          <w:p w14:paraId="5527EE48">
            <w:pPr>
              <w:pStyle w:val="6"/>
              <w:spacing w:before="65" w:line="253" w:lineRule="auto"/>
              <w:ind w:left="112" w:right="469" w:hanging="1"/>
            </w:pPr>
            <w:r>
              <w:rPr>
                <w:spacing w:val="8"/>
              </w:rPr>
              <w:t>政府采购工程价格评审优惠</w:t>
            </w:r>
          </w:p>
        </w:tc>
        <w:tc>
          <w:tcPr>
            <w:tcW w:w="5544" w:type="dxa"/>
            <w:vAlign w:val="top"/>
          </w:tcPr>
          <w:p w14:paraId="4186FCAB">
            <w:pPr>
              <w:pStyle w:val="6"/>
              <w:spacing w:before="32" w:line="227" w:lineRule="auto"/>
              <w:ind w:left="113"/>
            </w:pPr>
            <w:r>
              <w:rPr>
                <w:spacing w:val="9"/>
              </w:rPr>
              <w:t>对项目未预留份额专门面向中小企业采购的</w:t>
            </w:r>
          </w:p>
          <w:p w14:paraId="5F68FD74">
            <w:pPr>
              <w:pStyle w:val="6"/>
              <w:spacing w:before="26" w:line="251" w:lineRule="auto"/>
              <w:ind w:left="115" w:right="107" w:firstLine="13"/>
            </w:pPr>
            <w:r>
              <w:rPr>
                <w:spacing w:val="11"/>
              </w:rPr>
              <w:t>1.如投标人属于小微企业的，评标时在其有效评标价基础</w:t>
            </w:r>
            <w:r>
              <w:rPr>
                <w:spacing w:val="7"/>
              </w:rPr>
              <w:t>上给予</w:t>
            </w:r>
            <w:r>
              <w:rPr>
                <w:spacing w:val="7"/>
                <w:u w:val="single" w:color="auto"/>
              </w:rPr>
              <w:t xml:space="preserve">  P%  </w:t>
            </w:r>
            <w:r>
              <w:rPr>
                <w:spacing w:val="-70"/>
              </w:rPr>
              <w:t xml:space="preserve"> </w:t>
            </w:r>
            <w:r>
              <w:rPr>
                <w:spacing w:val="7"/>
              </w:rPr>
              <w:t>的扣除，用扣除后的有效评标价参加排序。</w:t>
            </w:r>
          </w:p>
          <w:p w14:paraId="63906603">
            <w:pPr>
              <w:pStyle w:val="6"/>
              <w:spacing w:line="226" w:lineRule="auto"/>
              <w:ind w:left="549"/>
            </w:pPr>
            <w:r>
              <w:rPr>
                <w:spacing w:val="7"/>
              </w:rPr>
              <w:t>即扣除后的有效评标价= 有效评标价×（1-P%）</w:t>
            </w:r>
          </w:p>
          <w:p w14:paraId="05BC0687">
            <w:pPr>
              <w:pStyle w:val="6"/>
              <w:spacing w:before="28" w:line="251" w:lineRule="auto"/>
              <w:ind w:left="114" w:right="107" w:firstLine="415"/>
              <w:jc w:val="both"/>
            </w:pPr>
            <w:r>
              <w:rPr>
                <w:spacing w:val="6"/>
              </w:rPr>
              <w:t>P：为小微企业报价扣除系数，范围为</w:t>
            </w:r>
            <w:r>
              <w:rPr>
                <w:spacing w:val="-27"/>
              </w:rPr>
              <w:t xml:space="preserve"> </w:t>
            </w:r>
            <w:r>
              <w:rPr>
                <w:spacing w:val="6"/>
              </w:rPr>
              <w:t>3-5</w:t>
            </w:r>
            <w:r>
              <w:rPr>
                <w:spacing w:val="-24"/>
              </w:rPr>
              <w:t xml:space="preserve"> </w:t>
            </w:r>
            <w:r>
              <w:rPr>
                <w:spacing w:val="6"/>
              </w:rPr>
              <w:t>的整数，由</w:t>
            </w:r>
            <w:r>
              <w:rPr>
                <w:spacing w:val="3"/>
              </w:rPr>
              <w:t>招标人确定。P</w:t>
            </w:r>
            <w:r>
              <w:rPr>
                <w:spacing w:val="-35"/>
              </w:rPr>
              <w:t xml:space="preserve"> </w:t>
            </w:r>
            <w:r>
              <w:rPr>
                <w:spacing w:val="3"/>
              </w:rPr>
              <w:t>的取值见第二章投标人须知前附表第</w:t>
            </w:r>
            <w:r>
              <w:rPr>
                <w:spacing w:val="-36"/>
              </w:rPr>
              <w:t xml:space="preserve"> </w:t>
            </w:r>
            <w:r>
              <w:rPr>
                <w:spacing w:val="3"/>
              </w:rPr>
              <w:t>10.2</w:t>
            </w:r>
            <w:r>
              <w:rPr>
                <w:spacing w:val="2"/>
              </w:rPr>
              <w:t>.4</w:t>
            </w:r>
            <w:r>
              <w:t>项。</w:t>
            </w:r>
          </w:p>
          <w:p w14:paraId="415615E3">
            <w:pPr>
              <w:pStyle w:val="6"/>
              <w:spacing w:before="2" w:line="253" w:lineRule="auto"/>
              <w:ind w:left="114" w:right="158" w:firstLine="422"/>
            </w:pPr>
            <w:r>
              <w:rPr>
                <w:spacing w:val="10"/>
              </w:rPr>
              <w:t>如招标人接受联合体，联合体各方均为小微企业的，</w:t>
            </w:r>
            <w:r>
              <w:rPr>
                <w:spacing w:val="7"/>
              </w:rPr>
              <w:t>联合体视同小微企业。</w:t>
            </w:r>
          </w:p>
          <w:p w14:paraId="169327E0">
            <w:pPr>
              <w:pStyle w:val="6"/>
              <w:spacing w:before="269" w:line="251" w:lineRule="auto"/>
              <w:ind w:left="113" w:right="107" w:firstLine="3"/>
              <w:jc w:val="both"/>
            </w:pPr>
            <w:r>
              <w:rPr>
                <w:spacing w:val="12"/>
              </w:rPr>
              <w:t>2.如招标人接受大中型企业与小微企业组成联合体或者允许大中型企业向一家或者多家小微企业分包的采购项目，对于联合协议或者分包意向协议约定小微企业的合同份额</w:t>
            </w:r>
            <w:r>
              <w:rPr>
                <w:spacing w:val="11"/>
              </w:rPr>
              <w:t>占到合同总金额 30%以上的，评标时在其有效评标价基础</w:t>
            </w:r>
            <w:r>
              <w:rPr>
                <w:spacing w:val="7"/>
              </w:rPr>
              <w:t>上给予</w:t>
            </w:r>
            <w:r>
              <w:rPr>
                <w:spacing w:val="7"/>
                <w:u w:val="single" w:color="auto"/>
              </w:rPr>
              <w:t xml:space="preserve">  Q%  </w:t>
            </w:r>
            <w:r>
              <w:rPr>
                <w:spacing w:val="-67"/>
              </w:rPr>
              <w:t xml:space="preserve"> </w:t>
            </w:r>
            <w:r>
              <w:rPr>
                <w:spacing w:val="7"/>
              </w:rPr>
              <w:t>的扣除，用扣除后的有效评标价参加排序。</w:t>
            </w:r>
          </w:p>
          <w:p w14:paraId="424ED1A8">
            <w:pPr>
              <w:pStyle w:val="6"/>
              <w:spacing w:line="226" w:lineRule="auto"/>
              <w:ind w:left="549"/>
            </w:pPr>
            <w:r>
              <w:rPr>
                <w:spacing w:val="7"/>
              </w:rPr>
              <w:t>即扣除后的有效评标价=有效评标价×（1-Q%）</w:t>
            </w:r>
          </w:p>
          <w:p w14:paraId="4A96A359">
            <w:pPr>
              <w:pStyle w:val="6"/>
              <w:spacing w:before="27" w:line="253" w:lineRule="auto"/>
              <w:ind w:left="115" w:right="107" w:firstLine="416"/>
            </w:pPr>
            <w:r>
              <w:rPr>
                <w:spacing w:val="8"/>
              </w:rPr>
              <w:t>Q：为满足条件的联合体或者分包企业报价扣除系数，</w:t>
            </w:r>
            <w:r>
              <w:rPr>
                <w:spacing w:val="3"/>
              </w:rPr>
              <w:t>范围为</w:t>
            </w:r>
            <w:r>
              <w:rPr>
                <w:spacing w:val="-23"/>
              </w:rPr>
              <w:t xml:space="preserve"> </w:t>
            </w:r>
            <w:r>
              <w:rPr>
                <w:spacing w:val="3"/>
              </w:rPr>
              <w:t>1-2</w:t>
            </w:r>
            <w:r>
              <w:rPr>
                <w:spacing w:val="-23"/>
              </w:rPr>
              <w:t xml:space="preserve"> </w:t>
            </w:r>
            <w:r>
              <w:rPr>
                <w:spacing w:val="3"/>
              </w:rPr>
              <w:t>的整数，由招标人确定。Q</w:t>
            </w:r>
            <w:r>
              <w:rPr>
                <w:spacing w:val="-21"/>
              </w:rPr>
              <w:t xml:space="preserve"> </w:t>
            </w:r>
            <w:r>
              <w:rPr>
                <w:spacing w:val="3"/>
              </w:rPr>
              <w:t>的取值见第二章投标</w:t>
            </w:r>
            <w:r>
              <w:rPr>
                <w:spacing w:val="4"/>
              </w:rPr>
              <w:t>人须知前附表第</w:t>
            </w:r>
            <w:r>
              <w:rPr>
                <w:spacing w:val="-22"/>
              </w:rPr>
              <w:t xml:space="preserve"> </w:t>
            </w:r>
            <w:r>
              <w:rPr>
                <w:spacing w:val="4"/>
              </w:rPr>
              <w:t>10.2.5</w:t>
            </w:r>
            <w:r>
              <w:rPr>
                <w:spacing w:val="-35"/>
              </w:rPr>
              <w:t xml:space="preserve"> </w:t>
            </w:r>
            <w:r>
              <w:rPr>
                <w:spacing w:val="4"/>
              </w:rPr>
              <w:t>项。</w:t>
            </w:r>
          </w:p>
          <w:p w14:paraId="5327DB32">
            <w:pPr>
              <w:pStyle w:val="6"/>
              <w:spacing w:before="267" w:line="239" w:lineRule="auto"/>
              <w:ind w:left="113" w:right="107" w:firstLine="5"/>
            </w:pPr>
            <w:r>
              <w:rPr>
                <w:spacing w:val="12"/>
              </w:rPr>
              <w:t>3.组成联合体或者接受分包的小微企业与联合体内其他企业、分包企业之间存在直接控股、管理关系的，不享受价</w:t>
            </w:r>
            <w:r>
              <w:rPr>
                <w:spacing w:val="6"/>
              </w:rPr>
              <w:t>格扣除政策。</w:t>
            </w:r>
          </w:p>
        </w:tc>
      </w:tr>
      <w:tr w14:paraId="564DD8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45" w:type="dxa"/>
            <w:vMerge w:val="continue"/>
            <w:tcBorders>
              <w:top w:val="nil"/>
            </w:tcBorders>
            <w:vAlign w:val="top"/>
          </w:tcPr>
          <w:p w14:paraId="299E1DF7">
            <w:pPr>
              <w:rPr>
                <w:rFonts w:ascii="Arial"/>
                <w:sz w:val="21"/>
              </w:rPr>
            </w:pPr>
          </w:p>
        </w:tc>
        <w:tc>
          <w:tcPr>
            <w:tcW w:w="1058" w:type="dxa"/>
            <w:vMerge w:val="continue"/>
            <w:tcBorders>
              <w:top w:val="nil"/>
            </w:tcBorders>
            <w:vAlign w:val="top"/>
          </w:tcPr>
          <w:p w14:paraId="3D018E01">
            <w:pPr>
              <w:rPr>
                <w:rFonts w:ascii="Arial"/>
                <w:sz w:val="21"/>
              </w:rPr>
            </w:pPr>
          </w:p>
        </w:tc>
        <w:tc>
          <w:tcPr>
            <w:tcW w:w="1837" w:type="dxa"/>
            <w:vAlign w:val="top"/>
          </w:tcPr>
          <w:p w14:paraId="491EA8AE">
            <w:pPr>
              <w:pStyle w:val="6"/>
              <w:spacing w:before="170" w:line="253" w:lineRule="auto"/>
              <w:ind w:left="111" w:right="107" w:firstLine="10"/>
            </w:pPr>
            <w:r>
              <w:t>（扣除后的）有效</w:t>
            </w:r>
            <w:r>
              <w:rPr>
                <w:spacing w:val="8"/>
              </w:rPr>
              <w:t>评标价的排序</w:t>
            </w:r>
          </w:p>
        </w:tc>
        <w:tc>
          <w:tcPr>
            <w:tcW w:w="5544" w:type="dxa"/>
            <w:vAlign w:val="top"/>
          </w:tcPr>
          <w:p w14:paraId="02490AE3">
            <w:pPr>
              <w:pStyle w:val="6"/>
              <w:spacing w:before="35"/>
              <w:ind w:left="115" w:right="96" w:hanging="1"/>
              <w:jc w:val="both"/>
            </w:pPr>
            <w:r>
              <w:rPr>
                <w:spacing w:val="5"/>
              </w:rPr>
              <w:t>有效评标价由低到高的顺序排序。（适用非政府采</w:t>
            </w:r>
            <w:r>
              <w:rPr>
                <w:spacing w:val="4"/>
              </w:rPr>
              <w:t>购工程）扣除后的有效评标价由低到高的顺序排序。（适用政府采购</w:t>
            </w:r>
            <w:r>
              <w:rPr>
                <w:spacing w:val="2"/>
              </w:rPr>
              <w:t>工程）</w:t>
            </w:r>
          </w:p>
        </w:tc>
      </w:tr>
    </w:tbl>
    <w:p w14:paraId="5466F6A2">
      <w:pPr>
        <w:spacing w:before="273" w:line="252" w:lineRule="auto"/>
        <w:ind w:left="643" w:right="190" w:hanging="628"/>
        <w:rPr>
          <w:rFonts w:ascii="宋体" w:hAnsi="宋体" w:eastAsia="宋体" w:cs="宋体"/>
          <w:sz w:val="20"/>
          <w:szCs w:val="20"/>
        </w:rPr>
      </w:pPr>
      <w:r>
        <w:rPr>
          <w:rFonts w:ascii="宋体" w:hAnsi="宋体" w:eastAsia="宋体" w:cs="宋体"/>
          <w:spacing w:val="3"/>
          <w:sz w:val="20"/>
          <w:szCs w:val="20"/>
        </w:rPr>
        <w:t>备注：根据《关于建立部分专业技术类职业资格与职称</w:t>
      </w:r>
      <w:r>
        <w:rPr>
          <w:rFonts w:ascii="宋体" w:hAnsi="宋体" w:eastAsia="宋体" w:cs="宋体"/>
          <w:spacing w:val="2"/>
          <w:sz w:val="20"/>
          <w:szCs w:val="20"/>
        </w:rPr>
        <w:t>对应关系的通知（鄂人社发〔</w:t>
      </w:r>
      <w:r>
        <w:rPr>
          <w:rFonts w:ascii="Times New Roman" w:hAnsi="Times New Roman" w:eastAsia="Times New Roman" w:cs="Times New Roman"/>
          <w:spacing w:val="2"/>
          <w:sz w:val="20"/>
          <w:szCs w:val="20"/>
        </w:rPr>
        <w:t>2018</w:t>
      </w:r>
      <w:r>
        <w:rPr>
          <w:rFonts w:ascii="宋体" w:hAnsi="宋体" w:eastAsia="宋体" w:cs="宋体"/>
          <w:spacing w:val="2"/>
          <w:sz w:val="20"/>
          <w:szCs w:val="20"/>
        </w:rPr>
        <w:t>〕</w:t>
      </w:r>
      <w:r>
        <w:rPr>
          <w:rFonts w:ascii="Times New Roman" w:hAnsi="Times New Roman" w:eastAsia="Times New Roman" w:cs="Times New Roman"/>
          <w:spacing w:val="2"/>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2"/>
          <w:sz w:val="20"/>
          <w:szCs w:val="20"/>
        </w:rPr>
        <w:t>号）》</w:t>
      </w:r>
      <w:r>
        <w:rPr>
          <w:rFonts w:ascii="宋体" w:hAnsi="宋体" w:eastAsia="宋体" w:cs="宋体"/>
          <w:sz w:val="20"/>
          <w:szCs w:val="20"/>
        </w:rPr>
        <w:t xml:space="preserve"> </w:t>
      </w:r>
      <w:r>
        <w:rPr>
          <w:rFonts w:ascii="宋体" w:hAnsi="宋体" w:eastAsia="宋体" w:cs="宋体"/>
          <w:spacing w:val="9"/>
          <w:sz w:val="20"/>
          <w:szCs w:val="20"/>
        </w:rPr>
        <w:t>《住房城乡建设部 交通运输部 水利部 人力资源社会保障部关于</w:t>
      </w:r>
      <w:r>
        <w:rPr>
          <w:rFonts w:ascii="宋体" w:hAnsi="宋体" w:eastAsia="宋体" w:cs="宋体"/>
          <w:spacing w:val="8"/>
          <w:sz w:val="20"/>
          <w:szCs w:val="20"/>
        </w:rPr>
        <w:t>印发〈造价工程师职业资</w:t>
      </w:r>
      <w:r>
        <w:rPr>
          <w:rFonts w:ascii="宋体" w:hAnsi="宋体" w:eastAsia="宋体" w:cs="宋体"/>
          <w:spacing w:val="2"/>
          <w:sz w:val="20"/>
          <w:szCs w:val="20"/>
        </w:rPr>
        <w:t>格制度规定〉〈造价工程师职业资格考试实施办法〉的通知（建人〔</w:t>
      </w:r>
      <w:r>
        <w:rPr>
          <w:rFonts w:ascii="Times New Roman" w:hAnsi="Times New Roman" w:eastAsia="Times New Roman" w:cs="Times New Roman"/>
          <w:spacing w:val="2"/>
          <w:sz w:val="20"/>
          <w:szCs w:val="20"/>
        </w:rPr>
        <w:t>2018</w:t>
      </w:r>
      <w:r>
        <w:rPr>
          <w:rFonts w:ascii="宋体" w:hAnsi="宋体" w:eastAsia="宋体" w:cs="宋体"/>
          <w:spacing w:val="2"/>
          <w:sz w:val="20"/>
          <w:szCs w:val="20"/>
        </w:rPr>
        <w:t>〕</w:t>
      </w:r>
      <w:r>
        <w:rPr>
          <w:rFonts w:ascii="Times New Roman" w:hAnsi="Times New Roman" w:eastAsia="Times New Roman" w:cs="Times New Roman"/>
          <w:spacing w:val="2"/>
          <w:sz w:val="20"/>
          <w:szCs w:val="20"/>
        </w:rPr>
        <w:t>67</w:t>
      </w:r>
      <w:r>
        <w:rPr>
          <w:rFonts w:ascii="Times New Roman" w:hAnsi="Times New Roman" w:eastAsia="Times New Roman" w:cs="Times New Roman"/>
          <w:spacing w:val="16"/>
          <w:sz w:val="20"/>
          <w:szCs w:val="20"/>
        </w:rPr>
        <w:t xml:space="preserve"> </w:t>
      </w:r>
      <w:r>
        <w:rPr>
          <w:rFonts w:ascii="宋体" w:hAnsi="宋体" w:eastAsia="宋体" w:cs="宋体"/>
          <w:spacing w:val="2"/>
          <w:sz w:val="20"/>
          <w:szCs w:val="20"/>
        </w:rPr>
        <w:t>号）》等文件，</w:t>
      </w:r>
      <w:r>
        <w:rPr>
          <w:rFonts w:ascii="宋体" w:hAnsi="宋体" w:eastAsia="宋体" w:cs="宋体"/>
          <w:spacing w:val="12"/>
          <w:sz w:val="20"/>
          <w:szCs w:val="20"/>
        </w:rPr>
        <w:t>一级造价工程师、一级注册建筑师、一级建造师、一级注册结构工</w:t>
      </w:r>
      <w:r>
        <w:rPr>
          <w:rFonts w:ascii="宋体" w:hAnsi="宋体" w:eastAsia="宋体" w:cs="宋体"/>
          <w:spacing w:val="11"/>
          <w:sz w:val="20"/>
          <w:szCs w:val="20"/>
        </w:rPr>
        <w:t>程师、其他勘察设计注</w:t>
      </w:r>
      <w:r>
        <w:rPr>
          <w:rFonts w:ascii="宋体" w:hAnsi="宋体" w:eastAsia="宋体" w:cs="宋体"/>
          <w:spacing w:val="12"/>
          <w:sz w:val="20"/>
          <w:szCs w:val="20"/>
        </w:rPr>
        <w:t>册工程师等，其职业资格直接对应相应系列的中级职称。二级造价师、二级注册建筑师、</w:t>
      </w:r>
      <w:r>
        <w:rPr>
          <w:rFonts w:ascii="宋体" w:hAnsi="宋体" w:eastAsia="宋体" w:cs="宋体"/>
          <w:spacing w:val="9"/>
          <w:sz w:val="20"/>
          <w:szCs w:val="20"/>
        </w:rPr>
        <w:t>二级建造师、二级注册结构工程师等，其职业资格直接对应相应系列的初级职称。</w:t>
      </w:r>
    </w:p>
    <w:p w14:paraId="54C4B519">
      <w:pPr>
        <w:spacing w:line="252" w:lineRule="auto"/>
        <w:rPr>
          <w:rFonts w:ascii="宋体" w:hAnsi="宋体" w:eastAsia="宋体" w:cs="宋体"/>
          <w:sz w:val="20"/>
          <w:szCs w:val="20"/>
        </w:rPr>
        <w:sectPr>
          <w:footerReference r:id="rId104" w:type="default"/>
          <w:pgSz w:w="11907" w:h="16840"/>
          <w:pgMar w:top="400" w:right="1248" w:bottom="1035" w:left="1469" w:header="0" w:footer="785" w:gutter="0"/>
          <w:cols w:space="720" w:num="1"/>
        </w:sectPr>
      </w:pPr>
    </w:p>
    <w:p w14:paraId="210460AF">
      <w:pPr>
        <w:spacing w:line="276" w:lineRule="auto"/>
        <w:rPr>
          <w:rFonts w:ascii="Arial"/>
          <w:sz w:val="21"/>
        </w:rPr>
      </w:pPr>
    </w:p>
    <w:p w14:paraId="444913B4">
      <w:pPr>
        <w:spacing w:line="276" w:lineRule="auto"/>
        <w:rPr>
          <w:rFonts w:ascii="Arial"/>
          <w:sz w:val="21"/>
        </w:rPr>
      </w:pPr>
    </w:p>
    <w:p w14:paraId="61A9948A">
      <w:pPr>
        <w:spacing w:line="276" w:lineRule="auto"/>
        <w:rPr>
          <w:rFonts w:ascii="Arial"/>
          <w:sz w:val="21"/>
        </w:rPr>
      </w:pPr>
    </w:p>
    <w:p w14:paraId="66E597A3">
      <w:pPr>
        <w:spacing w:line="276" w:lineRule="auto"/>
        <w:rPr>
          <w:rFonts w:ascii="Arial"/>
          <w:sz w:val="21"/>
        </w:rPr>
      </w:pPr>
    </w:p>
    <w:p w14:paraId="2E03B7A0">
      <w:pPr>
        <w:spacing w:line="276" w:lineRule="auto"/>
        <w:rPr>
          <w:rFonts w:ascii="Arial"/>
          <w:sz w:val="21"/>
        </w:rPr>
      </w:pPr>
    </w:p>
    <w:p w14:paraId="509EE454">
      <w:pPr>
        <w:pStyle w:val="2"/>
        <w:spacing w:before="91" w:line="222" w:lineRule="auto"/>
        <w:ind w:left="5"/>
        <w:outlineLvl w:val="1"/>
        <w:rPr>
          <w:sz w:val="28"/>
          <w:szCs w:val="28"/>
        </w:rPr>
      </w:pPr>
      <w:bookmarkStart w:id="106" w:name="bookmark97"/>
      <w:bookmarkEnd w:id="106"/>
      <w:bookmarkStart w:id="107" w:name="bookmark98"/>
      <w:bookmarkEnd w:id="107"/>
      <w:r>
        <w:rPr>
          <w:spacing w:val="-2"/>
          <w:sz w:val="28"/>
          <w:szCs w:val="28"/>
        </w:rPr>
        <w:t>评标办法正文部分</w:t>
      </w:r>
    </w:p>
    <w:p w14:paraId="4ECAAF24">
      <w:pPr>
        <w:pStyle w:val="2"/>
        <w:spacing w:before="162" w:line="222" w:lineRule="auto"/>
        <w:ind w:left="28"/>
        <w:outlineLvl w:val="2"/>
        <w:rPr>
          <w:sz w:val="28"/>
          <w:szCs w:val="28"/>
        </w:rPr>
      </w:pPr>
      <w:bookmarkStart w:id="108" w:name="bookmark456"/>
      <w:bookmarkEnd w:id="108"/>
      <w:r>
        <w:rPr>
          <w:rFonts w:ascii="Times New Roman" w:hAnsi="Times New Roman" w:eastAsia="Times New Roman" w:cs="Times New Roman"/>
          <w:spacing w:val="-4"/>
          <w:sz w:val="28"/>
          <w:szCs w:val="28"/>
        </w:rPr>
        <w:t xml:space="preserve">1.  </w:t>
      </w:r>
      <w:r>
        <w:rPr>
          <w:spacing w:val="-4"/>
          <w:sz w:val="28"/>
          <w:szCs w:val="28"/>
        </w:rPr>
        <w:t>评标方法</w:t>
      </w:r>
    </w:p>
    <w:p w14:paraId="35F1D2BE">
      <w:pPr>
        <w:spacing w:before="126" w:line="369" w:lineRule="auto"/>
        <w:ind w:left="5" w:firstLine="419"/>
        <w:jc w:val="both"/>
        <w:rPr>
          <w:rFonts w:ascii="宋体" w:hAnsi="宋体" w:eastAsia="宋体" w:cs="宋体"/>
          <w:sz w:val="20"/>
          <w:szCs w:val="20"/>
        </w:rPr>
      </w:pPr>
      <w:r>
        <w:rPr>
          <w:rFonts w:ascii="宋体" w:hAnsi="宋体" w:eastAsia="宋体" w:cs="宋体"/>
          <w:spacing w:val="3"/>
          <w:sz w:val="20"/>
          <w:szCs w:val="20"/>
        </w:rPr>
        <w:t>本次评标采用综合评估法（合理低价法）。评标委员会对满足招标文件实质性要求的投标文件，</w:t>
      </w:r>
      <w:r>
        <w:rPr>
          <w:rFonts w:ascii="宋体" w:hAnsi="宋体" w:eastAsia="宋体" w:cs="宋体"/>
          <w:spacing w:val="7"/>
          <w:sz w:val="20"/>
          <w:szCs w:val="20"/>
        </w:rPr>
        <w:t>按照本章第</w:t>
      </w:r>
      <w:r>
        <w:rPr>
          <w:rFonts w:ascii="宋体" w:hAnsi="宋体" w:eastAsia="宋体" w:cs="宋体"/>
          <w:spacing w:val="-25"/>
          <w:sz w:val="20"/>
          <w:szCs w:val="20"/>
        </w:rPr>
        <w:t xml:space="preserve"> </w:t>
      </w:r>
      <w:r>
        <w:rPr>
          <w:rFonts w:ascii="Times New Roman" w:hAnsi="Times New Roman" w:eastAsia="Times New Roman" w:cs="Times New Roman"/>
          <w:spacing w:val="7"/>
          <w:sz w:val="20"/>
          <w:szCs w:val="20"/>
        </w:rPr>
        <w:t xml:space="preserve">2.2 </w:t>
      </w:r>
      <w:r>
        <w:rPr>
          <w:rFonts w:ascii="宋体" w:hAnsi="宋体" w:eastAsia="宋体" w:cs="宋体"/>
          <w:spacing w:val="7"/>
          <w:sz w:val="20"/>
          <w:szCs w:val="20"/>
        </w:rPr>
        <w:t>款规定的评分标准进行打分，并按得分由高到低顺序推荐中标候选人，或根据招标</w:t>
      </w:r>
      <w:r>
        <w:rPr>
          <w:rFonts w:ascii="宋体" w:hAnsi="宋体" w:eastAsia="宋体" w:cs="宋体"/>
          <w:spacing w:val="8"/>
          <w:sz w:val="20"/>
          <w:szCs w:val="20"/>
        </w:rPr>
        <w:t>人授权直接确定中标人，但投标报价低于其成本的除外。综合评分相等时，以投标报价低的优先；</w:t>
      </w:r>
      <w:r>
        <w:rPr>
          <w:rFonts w:ascii="宋体" w:hAnsi="宋体" w:eastAsia="宋体" w:cs="宋体"/>
          <w:spacing w:val="7"/>
          <w:sz w:val="20"/>
          <w:szCs w:val="20"/>
        </w:rPr>
        <w:t>投标报价也相等的，由招标人自行确定。（适用于办法</w:t>
      </w:r>
      <w:r>
        <w:rPr>
          <w:rFonts w:ascii="宋体" w:hAnsi="宋体" w:eastAsia="宋体" w:cs="宋体"/>
          <w:spacing w:val="6"/>
          <w:sz w:val="20"/>
          <w:szCs w:val="20"/>
        </w:rPr>
        <w:t>一、二、三、四、五、六、七）</w:t>
      </w:r>
    </w:p>
    <w:p w14:paraId="4CFAD0FA">
      <w:pPr>
        <w:spacing w:line="226" w:lineRule="auto"/>
        <w:ind w:left="424"/>
        <w:rPr>
          <w:rFonts w:ascii="宋体" w:hAnsi="宋体" w:eastAsia="宋体" w:cs="宋体"/>
          <w:sz w:val="20"/>
          <w:szCs w:val="20"/>
        </w:rPr>
      </w:pPr>
      <w:r>
        <w:rPr>
          <w:rFonts w:ascii="宋体" w:hAnsi="宋体" w:eastAsia="宋体" w:cs="宋体"/>
          <w:spacing w:val="12"/>
          <w:sz w:val="20"/>
          <w:szCs w:val="20"/>
        </w:rPr>
        <w:t>本次评标采用合理低价法。评标委员会对满足招标文件实质性要求</w:t>
      </w:r>
      <w:r>
        <w:rPr>
          <w:rFonts w:ascii="宋体" w:hAnsi="宋体" w:eastAsia="宋体" w:cs="宋体"/>
          <w:spacing w:val="11"/>
          <w:sz w:val="20"/>
          <w:szCs w:val="20"/>
        </w:rPr>
        <w:t>的投标文件，按照本章第</w:t>
      </w:r>
    </w:p>
    <w:p w14:paraId="7221FE98">
      <w:pPr>
        <w:spacing w:before="155" w:line="370" w:lineRule="auto"/>
        <w:ind w:left="2" w:right="54" w:hanging="2"/>
        <w:jc w:val="both"/>
        <w:rPr>
          <w:rFonts w:ascii="宋体" w:hAnsi="宋体" w:eastAsia="宋体" w:cs="宋体"/>
          <w:sz w:val="20"/>
          <w:szCs w:val="20"/>
        </w:rPr>
      </w:pPr>
      <w:r>
        <w:rPr>
          <w:rFonts w:ascii="Times New Roman" w:hAnsi="Times New Roman" w:eastAsia="Times New Roman" w:cs="Times New Roman"/>
          <w:spacing w:val="9"/>
          <w:sz w:val="20"/>
          <w:szCs w:val="20"/>
        </w:rPr>
        <w:t xml:space="preserve">2.2 </w:t>
      </w:r>
      <w:r>
        <w:rPr>
          <w:rFonts w:ascii="宋体" w:hAnsi="宋体" w:eastAsia="宋体" w:cs="宋体"/>
          <w:spacing w:val="9"/>
          <w:sz w:val="20"/>
          <w:szCs w:val="20"/>
        </w:rPr>
        <w:t>款规定的评分标准进行评审，并按有效评标价由低到高的顺序推荐</w:t>
      </w:r>
      <w:r>
        <w:rPr>
          <w:rFonts w:ascii="宋体" w:hAnsi="宋体" w:eastAsia="宋体" w:cs="宋体"/>
          <w:spacing w:val="8"/>
          <w:sz w:val="20"/>
          <w:szCs w:val="20"/>
        </w:rPr>
        <w:t>中标候选人，或根据招标人</w:t>
      </w:r>
      <w:r>
        <w:rPr>
          <w:rFonts w:ascii="宋体" w:hAnsi="宋体" w:eastAsia="宋体" w:cs="宋体"/>
          <w:spacing w:val="2"/>
          <w:sz w:val="20"/>
          <w:szCs w:val="20"/>
        </w:rPr>
        <w:t>授权直接确定中标人，但投标报价低于其成本的除外。有效评标价相等时，由招标人自行确定。（适</w:t>
      </w:r>
      <w:r>
        <w:rPr>
          <w:rFonts w:ascii="宋体" w:hAnsi="宋体" w:eastAsia="宋体" w:cs="宋体"/>
          <w:spacing w:val="6"/>
          <w:sz w:val="20"/>
          <w:szCs w:val="20"/>
        </w:rPr>
        <w:t>用于办法八）</w:t>
      </w:r>
    </w:p>
    <w:p w14:paraId="7D8C0C70">
      <w:pPr>
        <w:pStyle w:val="2"/>
        <w:spacing w:before="37" w:line="222" w:lineRule="auto"/>
        <w:ind w:left="1"/>
        <w:outlineLvl w:val="2"/>
        <w:rPr>
          <w:sz w:val="28"/>
          <w:szCs w:val="28"/>
        </w:rPr>
      </w:pPr>
      <w:bookmarkStart w:id="109" w:name="bookmark99"/>
      <w:bookmarkEnd w:id="109"/>
      <w:bookmarkStart w:id="110" w:name="bookmark100"/>
      <w:bookmarkEnd w:id="110"/>
      <w:r>
        <w:rPr>
          <w:rFonts w:ascii="Times New Roman" w:hAnsi="Times New Roman" w:eastAsia="Times New Roman" w:cs="Times New Roman"/>
          <w:spacing w:val="-1"/>
          <w:sz w:val="28"/>
          <w:szCs w:val="28"/>
        </w:rPr>
        <w:t xml:space="preserve">2.  </w:t>
      </w:r>
      <w:r>
        <w:rPr>
          <w:spacing w:val="-1"/>
          <w:sz w:val="28"/>
          <w:szCs w:val="28"/>
        </w:rPr>
        <w:t>评审标准</w:t>
      </w:r>
    </w:p>
    <w:p w14:paraId="3C1A6D4E">
      <w:pPr>
        <w:pStyle w:val="2"/>
        <w:spacing w:before="96" w:line="222" w:lineRule="auto"/>
        <w:outlineLvl w:val="3"/>
        <w:rPr>
          <w:sz w:val="24"/>
          <w:szCs w:val="24"/>
        </w:rPr>
      </w:pPr>
      <w:bookmarkStart w:id="111" w:name="bookmark457"/>
      <w:bookmarkEnd w:id="111"/>
      <w:r>
        <w:rPr>
          <w:rFonts w:ascii="Times New Roman" w:hAnsi="Times New Roman" w:eastAsia="Times New Roman" w:cs="Times New Roman"/>
          <w:spacing w:val="-1"/>
          <w:sz w:val="24"/>
          <w:szCs w:val="24"/>
        </w:rPr>
        <w:t xml:space="preserve">2.1  </w:t>
      </w:r>
      <w:r>
        <w:rPr>
          <w:spacing w:val="-1"/>
          <w:sz w:val="24"/>
          <w:szCs w:val="24"/>
        </w:rPr>
        <w:t>初步评审标准</w:t>
      </w:r>
    </w:p>
    <w:p w14:paraId="73111D14">
      <w:pPr>
        <w:spacing w:before="139" w:line="227" w:lineRule="auto"/>
        <w:ind w:left="420"/>
        <w:rPr>
          <w:rFonts w:ascii="宋体" w:hAnsi="宋体" w:eastAsia="宋体" w:cs="宋体"/>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形式评审标准：见评标办法前附表。</w:t>
      </w:r>
    </w:p>
    <w:p w14:paraId="5171C238">
      <w:pPr>
        <w:spacing w:before="153" w:line="227" w:lineRule="auto"/>
        <w:ind w:left="420"/>
        <w:rPr>
          <w:rFonts w:ascii="宋体" w:hAnsi="宋体" w:eastAsia="宋体" w:cs="宋体"/>
          <w:sz w:val="20"/>
          <w:szCs w:val="20"/>
        </w:rPr>
      </w:pPr>
      <w:r>
        <w:rPr>
          <w:rFonts w:ascii="Times New Roman" w:hAnsi="Times New Roman" w:eastAsia="Times New Roman" w:cs="Times New Roman"/>
          <w:spacing w:val="7"/>
          <w:sz w:val="20"/>
          <w:szCs w:val="20"/>
        </w:rPr>
        <w:t>2.</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7"/>
          <w:sz w:val="20"/>
          <w:szCs w:val="20"/>
        </w:rPr>
        <w:t xml:space="preserve">1.2  </w:t>
      </w:r>
      <w:r>
        <w:rPr>
          <w:rFonts w:ascii="宋体" w:hAnsi="宋体" w:eastAsia="宋体" w:cs="宋体"/>
          <w:spacing w:val="7"/>
          <w:sz w:val="20"/>
          <w:szCs w:val="20"/>
        </w:rPr>
        <w:t>资格评审标准：见本标段资格预审文件第三章“资格审查办法</w:t>
      </w:r>
      <w:r>
        <w:rPr>
          <w:rFonts w:ascii="宋体" w:hAnsi="宋体" w:eastAsia="宋体" w:cs="宋体"/>
          <w:spacing w:val="-70"/>
          <w:sz w:val="20"/>
          <w:szCs w:val="20"/>
        </w:rPr>
        <w:t xml:space="preserve"> </w:t>
      </w:r>
      <w:r>
        <w:rPr>
          <w:rFonts w:ascii="宋体" w:hAnsi="宋体" w:eastAsia="宋体" w:cs="宋体"/>
          <w:spacing w:val="7"/>
          <w:sz w:val="20"/>
          <w:szCs w:val="20"/>
        </w:rPr>
        <w:t>”审查标准。</w:t>
      </w:r>
    </w:p>
    <w:p w14:paraId="610A53A5">
      <w:pPr>
        <w:spacing w:before="155" w:line="227" w:lineRule="auto"/>
        <w:ind w:left="420"/>
        <w:rPr>
          <w:rFonts w:ascii="宋体" w:hAnsi="宋体" w:eastAsia="宋体" w:cs="宋体"/>
          <w:sz w:val="20"/>
          <w:szCs w:val="20"/>
        </w:rPr>
      </w:pPr>
      <w:r>
        <w:rPr>
          <w:rFonts w:ascii="Times New Roman" w:hAnsi="Times New Roman" w:eastAsia="Times New Roman" w:cs="Times New Roman"/>
          <w:spacing w:val="6"/>
          <w:sz w:val="20"/>
          <w:szCs w:val="20"/>
        </w:rPr>
        <w:t>2.</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6"/>
          <w:sz w:val="20"/>
          <w:szCs w:val="20"/>
        </w:rPr>
        <w:t xml:space="preserve">1.3  </w:t>
      </w:r>
      <w:r>
        <w:rPr>
          <w:rFonts w:ascii="宋体" w:hAnsi="宋体" w:eastAsia="宋体" w:cs="宋体"/>
          <w:spacing w:val="6"/>
          <w:sz w:val="20"/>
          <w:szCs w:val="20"/>
        </w:rPr>
        <w:t>响应性评审标准：见评标办法前附表。</w:t>
      </w:r>
    </w:p>
    <w:p w14:paraId="1158FDB9">
      <w:pPr>
        <w:spacing w:before="154" w:line="227" w:lineRule="auto"/>
        <w:ind w:left="420"/>
        <w:rPr>
          <w:rFonts w:ascii="宋体" w:hAnsi="宋体" w:eastAsia="宋体" w:cs="宋体"/>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5"/>
          <w:sz w:val="20"/>
          <w:szCs w:val="20"/>
        </w:rPr>
        <w:t xml:space="preserve">1.4  </w:t>
      </w:r>
      <w:r>
        <w:rPr>
          <w:rFonts w:ascii="宋体" w:hAnsi="宋体" w:eastAsia="宋体" w:cs="宋体"/>
          <w:spacing w:val="5"/>
          <w:sz w:val="20"/>
          <w:szCs w:val="20"/>
        </w:rPr>
        <w:t>施工组织设计评审标准：见评标办法前附表。（适用于办法五、六、七、八）</w:t>
      </w:r>
    </w:p>
    <w:p w14:paraId="0B4F0397">
      <w:pPr>
        <w:pStyle w:val="2"/>
        <w:spacing w:before="128" w:line="222" w:lineRule="auto"/>
        <w:outlineLvl w:val="3"/>
        <w:rPr>
          <w:sz w:val="24"/>
          <w:szCs w:val="24"/>
        </w:rPr>
      </w:pPr>
      <w:bookmarkStart w:id="112" w:name="bookmark101"/>
      <w:bookmarkEnd w:id="112"/>
      <w:r>
        <w:rPr>
          <w:rFonts w:ascii="Times New Roman" w:hAnsi="Times New Roman" w:eastAsia="Times New Roman" w:cs="Times New Roman"/>
          <w:spacing w:val="-1"/>
          <w:sz w:val="24"/>
          <w:szCs w:val="24"/>
        </w:rPr>
        <w:t xml:space="preserve">2.2  </w:t>
      </w:r>
      <w:r>
        <w:rPr>
          <w:spacing w:val="-1"/>
          <w:sz w:val="24"/>
          <w:szCs w:val="24"/>
        </w:rPr>
        <w:t>分值构成与评分标准</w:t>
      </w:r>
    </w:p>
    <w:p w14:paraId="026111AC">
      <w:pPr>
        <w:pStyle w:val="2"/>
        <w:spacing w:before="137" w:line="231" w:lineRule="auto"/>
        <w:ind w:left="420"/>
        <w:rPr>
          <w:sz w:val="20"/>
          <w:szCs w:val="20"/>
        </w:rPr>
      </w:pPr>
      <w:r>
        <w:rPr>
          <w:rFonts w:ascii="Times New Roman" w:hAnsi="Times New Roman" w:eastAsia="Times New Roman" w:cs="Times New Roman"/>
          <w:spacing w:val="1"/>
          <w:sz w:val="20"/>
          <w:szCs w:val="20"/>
        </w:rPr>
        <w:t>2.2.</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8"/>
          <w:sz w:val="20"/>
          <w:szCs w:val="20"/>
        </w:rPr>
        <w:t xml:space="preserve">  </w:t>
      </w:r>
      <w:r>
        <w:rPr>
          <w:spacing w:val="1"/>
          <w:sz w:val="20"/>
          <w:szCs w:val="20"/>
        </w:rPr>
        <w:t>分值构成</w:t>
      </w:r>
    </w:p>
    <w:p w14:paraId="039E63D2">
      <w:pPr>
        <w:spacing w:before="151" w:line="226" w:lineRule="auto"/>
        <w:ind w:left="7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）投标报价：见评标办法前附表；</w:t>
      </w:r>
    </w:p>
    <w:p w14:paraId="4AD659AB">
      <w:pPr>
        <w:spacing w:before="153" w:line="227" w:lineRule="auto"/>
        <w:ind w:left="731"/>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）施工组织设计：见评标办法前附表</w:t>
      </w:r>
      <w:r>
        <w:rPr>
          <w:rFonts w:ascii="宋体" w:hAnsi="宋体" w:eastAsia="宋体" w:cs="宋体"/>
          <w:spacing w:val="-52"/>
          <w:w w:val="97"/>
          <w:sz w:val="20"/>
          <w:szCs w:val="20"/>
        </w:rPr>
        <w:t>；（</w:t>
      </w:r>
      <w:r>
        <w:rPr>
          <w:rFonts w:ascii="宋体" w:hAnsi="宋体" w:eastAsia="宋体" w:cs="宋体"/>
          <w:spacing w:val="10"/>
          <w:sz w:val="20"/>
          <w:szCs w:val="20"/>
        </w:rPr>
        <w:t>适用于办法一、二</w:t>
      </w:r>
      <w:r>
        <w:rPr>
          <w:rFonts w:ascii="宋体" w:hAnsi="宋体" w:eastAsia="宋体" w:cs="宋体"/>
          <w:spacing w:val="9"/>
          <w:sz w:val="20"/>
          <w:szCs w:val="20"/>
        </w:rPr>
        <w:t>、三、四）</w:t>
      </w:r>
    </w:p>
    <w:p w14:paraId="539DC14D">
      <w:pPr>
        <w:spacing w:before="155" w:line="369" w:lineRule="auto"/>
        <w:ind w:left="731" w:right="4387"/>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）项目管理机构：见评标办法前附表；</w:t>
      </w:r>
      <w:r>
        <w:rPr>
          <w:rFonts w:ascii="宋体" w:hAnsi="宋体" w:eastAsia="宋体" w:cs="宋体"/>
          <w:spacing w:val="17"/>
          <w:sz w:val="20"/>
          <w:szCs w:val="20"/>
        </w:rPr>
        <w:t xml:space="preserve"> </w:t>
      </w: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）其他评分因素：见评标办法前附表。</w:t>
      </w:r>
    </w:p>
    <w:p w14:paraId="326E45BF">
      <w:pPr>
        <w:pStyle w:val="2"/>
        <w:spacing w:before="1" w:line="229" w:lineRule="auto"/>
        <w:ind w:left="420"/>
        <w:rPr>
          <w:sz w:val="20"/>
          <w:szCs w:val="20"/>
        </w:rPr>
      </w:pPr>
      <w:r>
        <w:rPr>
          <w:rFonts w:ascii="Times New Roman" w:hAnsi="Times New Roman" w:eastAsia="Times New Roman" w:cs="Times New Roman"/>
          <w:spacing w:val="6"/>
          <w:sz w:val="20"/>
          <w:szCs w:val="20"/>
        </w:rPr>
        <w:t xml:space="preserve">2.2.2  </w:t>
      </w:r>
      <w:r>
        <w:rPr>
          <w:spacing w:val="6"/>
          <w:sz w:val="20"/>
          <w:szCs w:val="20"/>
        </w:rPr>
        <w:t>评标基准价计算</w:t>
      </w:r>
    </w:p>
    <w:p w14:paraId="7F50692F">
      <w:pPr>
        <w:spacing w:before="152" w:line="226" w:lineRule="auto"/>
        <w:ind w:left="853"/>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）评标价确定方法：见评标办法前附表；</w:t>
      </w:r>
    </w:p>
    <w:p w14:paraId="6814BC1B">
      <w:pPr>
        <w:spacing w:before="156" w:line="226" w:lineRule="auto"/>
        <w:ind w:left="853"/>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）评标基准价计算方法：见评标办法前附表。</w:t>
      </w:r>
    </w:p>
    <w:p w14:paraId="35B22D3A">
      <w:pPr>
        <w:spacing w:before="153" w:line="226" w:lineRule="auto"/>
        <w:ind w:left="853"/>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3</w:t>
      </w:r>
      <w:r>
        <w:rPr>
          <w:rFonts w:ascii="宋体" w:hAnsi="宋体" w:eastAsia="宋体" w:cs="宋体"/>
          <w:spacing w:val="5"/>
          <w:sz w:val="20"/>
          <w:szCs w:val="20"/>
        </w:rPr>
        <w:t>）期望合理价的确定：见评标办法前附表。（适用于办法八）</w:t>
      </w:r>
    </w:p>
    <w:p w14:paraId="59C80ECC">
      <w:pPr>
        <w:pStyle w:val="2"/>
        <w:spacing w:before="156" w:line="230" w:lineRule="auto"/>
        <w:ind w:left="420"/>
        <w:rPr>
          <w:sz w:val="20"/>
          <w:szCs w:val="20"/>
        </w:rPr>
      </w:pPr>
      <w:r>
        <w:rPr>
          <w:rFonts w:ascii="Times New Roman" w:hAnsi="Times New Roman" w:eastAsia="Times New Roman" w:cs="Times New Roman"/>
          <w:spacing w:val="6"/>
          <w:sz w:val="20"/>
          <w:szCs w:val="20"/>
        </w:rPr>
        <w:t xml:space="preserve">2.2.3  </w:t>
      </w:r>
      <w:r>
        <w:rPr>
          <w:spacing w:val="6"/>
          <w:sz w:val="20"/>
          <w:szCs w:val="20"/>
        </w:rPr>
        <w:t>投标报价的偏差率计算</w:t>
      </w:r>
    </w:p>
    <w:p w14:paraId="60E10B00">
      <w:pPr>
        <w:spacing w:before="152" w:line="226" w:lineRule="auto"/>
        <w:ind w:left="846"/>
        <w:rPr>
          <w:rFonts w:ascii="宋体" w:hAnsi="宋体" w:eastAsia="宋体" w:cs="宋体"/>
          <w:sz w:val="20"/>
          <w:szCs w:val="20"/>
        </w:rPr>
      </w:pPr>
      <w:r>
        <w:rPr>
          <w:rFonts w:ascii="宋体" w:hAnsi="宋体" w:eastAsia="宋体" w:cs="宋体"/>
          <w:spacing w:val="9"/>
          <w:sz w:val="20"/>
          <w:szCs w:val="20"/>
        </w:rPr>
        <w:t>投标报价的偏差率计算公式：见评标办法前附表。</w:t>
      </w:r>
    </w:p>
    <w:p w14:paraId="7FAE19FE">
      <w:pPr>
        <w:pStyle w:val="2"/>
        <w:spacing w:before="153" w:line="230" w:lineRule="auto"/>
        <w:ind w:left="420"/>
        <w:rPr>
          <w:sz w:val="20"/>
          <w:szCs w:val="20"/>
        </w:rPr>
      </w:pPr>
      <w:r>
        <w:rPr>
          <w:rFonts w:ascii="Times New Roman" w:hAnsi="Times New Roman" w:eastAsia="Times New Roman" w:cs="Times New Roman"/>
          <w:spacing w:val="5"/>
          <w:sz w:val="20"/>
          <w:szCs w:val="20"/>
        </w:rPr>
        <w:t xml:space="preserve">2.2.4  </w:t>
      </w:r>
      <w:r>
        <w:rPr>
          <w:spacing w:val="5"/>
          <w:sz w:val="20"/>
          <w:szCs w:val="20"/>
        </w:rPr>
        <w:t>评分标准</w:t>
      </w:r>
    </w:p>
    <w:p w14:paraId="5DF97745">
      <w:pPr>
        <w:spacing w:before="152" w:line="226" w:lineRule="auto"/>
        <w:ind w:left="7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）投标报价评分（审）标准：见评标办法前附表；</w:t>
      </w:r>
    </w:p>
    <w:p w14:paraId="2CBBC858">
      <w:pPr>
        <w:spacing w:before="156" w:line="227" w:lineRule="auto"/>
        <w:ind w:left="731"/>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）施工组织设计评分标准：见评标办法前附表</w:t>
      </w:r>
      <w:r>
        <w:rPr>
          <w:rFonts w:ascii="宋体" w:hAnsi="宋体" w:eastAsia="宋体" w:cs="宋体"/>
          <w:spacing w:val="-52"/>
          <w:w w:val="97"/>
          <w:sz w:val="20"/>
          <w:szCs w:val="20"/>
        </w:rPr>
        <w:t>；（</w:t>
      </w:r>
      <w:r>
        <w:rPr>
          <w:rFonts w:ascii="宋体" w:hAnsi="宋体" w:eastAsia="宋体" w:cs="宋体"/>
          <w:spacing w:val="10"/>
          <w:sz w:val="20"/>
          <w:szCs w:val="20"/>
        </w:rPr>
        <w:t>适用于办法一、二</w:t>
      </w:r>
      <w:r>
        <w:rPr>
          <w:rFonts w:ascii="宋体" w:hAnsi="宋体" w:eastAsia="宋体" w:cs="宋体"/>
          <w:spacing w:val="9"/>
          <w:sz w:val="20"/>
          <w:szCs w:val="20"/>
        </w:rPr>
        <w:t>、三、四）</w:t>
      </w:r>
    </w:p>
    <w:p w14:paraId="02FBF428">
      <w:pPr>
        <w:spacing w:before="152" w:line="371" w:lineRule="auto"/>
        <w:ind w:left="731" w:right="3566"/>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）项目管理机构评分标准：见评标办法前附表；</w:t>
      </w:r>
      <w:r>
        <w:rPr>
          <w:rFonts w:ascii="宋体" w:hAnsi="宋体" w:eastAsia="宋体" w:cs="宋体"/>
          <w:spacing w:val="14"/>
          <w:sz w:val="20"/>
          <w:szCs w:val="20"/>
        </w:rPr>
        <w:t xml:space="preserve"> </w:t>
      </w: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）其他因素评分标准：见评标办法前附表。</w:t>
      </w:r>
    </w:p>
    <w:p w14:paraId="0C8661F8">
      <w:pPr>
        <w:spacing w:line="371" w:lineRule="auto"/>
        <w:rPr>
          <w:rFonts w:ascii="宋体" w:hAnsi="宋体" w:eastAsia="宋体" w:cs="宋体"/>
          <w:sz w:val="20"/>
          <w:szCs w:val="20"/>
        </w:rPr>
        <w:sectPr>
          <w:footerReference r:id="rId105" w:type="default"/>
          <w:pgSz w:w="11907" w:h="16840"/>
          <w:pgMar w:top="400" w:right="1477" w:bottom="1035" w:left="1477" w:header="0" w:footer="785" w:gutter="0"/>
          <w:cols w:space="720" w:num="1"/>
        </w:sectPr>
      </w:pPr>
    </w:p>
    <w:p w14:paraId="198D9A30">
      <w:pPr>
        <w:spacing w:line="256" w:lineRule="auto"/>
        <w:rPr>
          <w:rFonts w:ascii="Arial"/>
          <w:sz w:val="21"/>
        </w:rPr>
      </w:pPr>
    </w:p>
    <w:p w14:paraId="4131472A">
      <w:pPr>
        <w:spacing w:line="256" w:lineRule="auto"/>
        <w:rPr>
          <w:rFonts w:ascii="Arial"/>
          <w:sz w:val="21"/>
        </w:rPr>
      </w:pPr>
    </w:p>
    <w:p w14:paraId="236283EE">
      <w:pPr>
        <w:spacing w:line="256" w:lineRule="auto"/>
        <w:rPr>
          <w:rFonts w:ascii="Arial"/>
          <w:sz w:val="21"/>
        </w:rPr>
      </w:pPr>
    </w:p>
    <w:p w14:paraId="7FB300E6">
      <w:pPr>
        <w:spacing w:line="256" w:lineRule="auto"/>
        <w:rPr>
          <w:rFonts w:ascii="Arial"/>
          <w:sz w:val="21"/>
        </w:rPr>
      </w:pPr>
    </w:p>
    <w:p w14:paraId="0A0D5568">
      <w:pPr>
        <w:spacing w:line="257" w:lineRule="auto"/>
        <w:rPr>
          <w:rFonts w:ascii="Arial"/>
          <w:sz w:val="21"/>
        </w:rPr>
      </w:pPr>
    </w:p>
    <w:p w14:paraId="395964E9">
      <w:pPr>
        <w:pStyle w:val="2"/>
        <w:spacing w:before="91" w:line="222" w:lineRule="auto"/>
        <w:ind w:left="3"/>
        <w:outlineLvl w:val="2"/>
        <w:rPr>
          <w:sz w:val="28"/>
          <w:szCs w:val="28"/>
        </w:rPr>
      </w:pPr>
      <w:bookmarkStart w:id="113" w:name="bookmark103"/>
      <w:bookmarkEnd w:id="113"/>
      <w:bookmarkStart w:id="114" w:name="bookmark102"/>
      <w:bookmarkEnd w:id="114"/>
      <w:r>
        <w:rPr>
          <w:rFonts w:ascii="Times New Roman" w:hAnsi="Times New Roman" w:eastAsia="Times New Roman" w:cs="Times New Roman"/>
          <w:spacing w:val="-2"/>
          <w:sz w:val="28"/>
          <w:szCs w:val="28"/>
        </w:rPr>
        <w:t xml:space="preserve">3.  </w:t>
      </w:r>
      <w:r>
        <w:rPr>
          <w:spacing w:val="-2"/>
          <w:sz w:val="28"/>
          <w:szCs w:val="28"/>
        </w:rPr>
        <w:t>评标程序</w:t>
      </w:r>
    </w:p>
    <w:p w14:paraId="09F3AED8">
      <w:pPr>
        <w:pStyle w:val="2"/>
        <w:spacing w:before="98" w:line="222" w:lineRule="auto"/>
        <w:ind w:left="1"/>
        <w:outlineLvl w:val="3"/>
        <w:rPr>
          <w:sz w:val="24"/>
          <w:szCs w:val="24"/>
        </w:rPr>
      </w:pPr>
      <w:bookmarkStart w:id="115" w:name="bookmark458"/>
      <w:bookmarkEnd w:id="115"/>
      <w:r>
        <w:rPr>
          <w:rFonts w:ascii="Times New Roman" w:hAnsi="Times New Roman" w:eastAsia="Times New Roman" w:cs="Times New Roman"/>
          <w:spacing w:val="-2"/>
          <w:sz w:val="24"/>
          <w:szCs w:val="24"/>
        </w:rPr>
        <w:t xml:space="preserve">3.1  </w:t>
      </w:r>
      <w:r>
        <w:rPr>
          <w:spacing w:val="-2"/>
          <w:sz w:val="24"/>
          <w:szCs w:val="24"/>
        </w:rPr>
        <w:t>初步评审</w:t>
      </w:r>
    </w:p>
    <w:p w14:paraId="6CBCEBBC">
      <w:pPr>
        <w:spacing w:before="137" w:line="369" w:lineRule="auto"/>
        <w:ind w:right="71" w:firstLine="419"/>
        <w:rPr>
          <w:rFonts w:ascii="宋体" w:hAnsi="宋体" w:eastAsia="宋体" w:cs="宋体"/>
          <w:sz w:val="20"/>
          <w:szCs w:val="20"/>
        </w:rPr>
      </w:pPr>
      <w:r>
        <w:rPr>
          <w:rFonts w:ascii="Times New Roman" w:hAnsi="Times New Roman" w:eastAsia="Times New Roman" w:cs="Times New Roman"/>
          <w:spacing w:val="4"/>
          <w:sz w:val="20"/>
          <w:szCs w:val="20"/>
        </w:rPr>
        <w:t>3.</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评标委员会依据本章第</w:t>
      </w:r>
      <w:r>
        <w:rPr>
          <w:rFonts w:ascii="宋体" w:hAnsi="宋体" w:eastAsia="宋体" w:cs="宋体"/>
          <w:spacing w:val="-40"/>
          <w:sz w:val="20"/>
          <w:szCs w:val="20"/>
        </w:rPr>
        <w:t xml:space="preserve"> </w:t>
      </w:r>
      <w:r>
        <w:rPr>
          <w:rFonts w:ascii="Times New Roman" w:hAnsi="Times New Roman" w:eastAsia="Times New Roman" w:cs="Times New Roman"/>
          <w:spacing w:val="4"/>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15"/>
          <w:w w:val="101"/>
          <w:sz w:val="20"/>
          <w:szCs w:val="20"/>
        </w:rPr>
        <w:t xml:space="preserve"> </w:t>
      </w:r>
      <w:r>
        <w:rPr>
          <w:rFonts w:ascii="宋体" w:hAnsi="宋体" w:eastAsia="宋体" w:cs="宋体"/>
          <w:spacing w:val="4"/>
          <w:sz w:val="20"/>
          <w:szCs w:val="20"/>
        </w:rPr>
        <w:t>项、第</w:t>
      </w:r>
      <w:r>
        <w:rPr>
          <w:rFonts w:ascii="宋体" w:hAnsi="宋体" w:eastAsia="宋体" w:cs="宋体"/>
          <w:spacing w:val="-43"/>
          <w:sz w:val="20"/>
          <w:szCs w:val="20"/>
        </w:rPr>
        <w:t xml:space="preserve"> </w:t>
      </w:r>
      <w:r>
        <w:rPr>
          <w:rFonts w:ascii="Times New Roman" w:hAnsi="Times New Roman" w:eastAsia="Times New Roman" w:cs="Times New Roman"/>
          <w:spacing w:val="4"/>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1.3 </w:t>
      </w:r>
      <w:r>
        <w:rPr>
          <w:rFonts w:ascii="宋体" w:hAnsi="宋体" w:eastAsia="宋体" w:cs="宋体"/>
          <w:spacing w:val="4"/>
          <w:sz w:val="20"/>
          <w:szCs w:val="20"/>
        </w:rPr>
        <w:t>项规定的评审标准对投标文件进行初步评审。</w:t>
      </w:r>
      <w:r>
        <w:rPr>
          <w:rFonts w:ascii="宋体" w:hAnsi="宋体" w:eastAsia="宋体" w:cs="宋体"/>
          <w:spacing w:val="12"/>
          <w:sz w:val="20"/>
          <w:szCs w:val="20"/>
        </w:rPr>
        <w:t>有一项不符合评审标准的，评标委员会应当否决其投标。当投标人</w:t>
      </w:r>
      <w:r>
        <w:rPr>
          <w:rFonts w:ascii="宋体" w:hAnsi="宋体" w:eastAsia="宋体" w:cs="宋体"/>
          <w:spacing w:val="11"/>
          <w:sz w:val="20"/>
          <w:szCs w:val="20"/>
        </w:rPr>
        <w:t>资格预审申请文件的内容发生</w:t>
      </w:r>
      <w:r>
        <w:rPr>
          <w:rFonts w:ascii="宋体" w:hAnsi="宋体" w:eastAsia="宋体" w:cs="宋体"/>
          <w:spacing w:val="8"/>
          <w:sz w:val="20"/>
          <w:szCs w:val="20"/>
        </w:rPr>
        <w:t>重大变化时，评标委员会依据本章第</w:t>
      </w:r>
      <w:r>
        <w:rPr>
          <w:rFonts w:ascii="宋体" w:hAnsi="宋体" w:eastAsia="宋体" w:cs="宋体"/>
          <w:spacing w:val="-40"/>
          <w:sz w:val="20"/>
          <w:szCs w:val="20"/>
        </w:rPr>
        <w:t xml:space="preserve"> </w:t>
      </w:r>
      <w:r>
        <w:rPr>
          <w:rFonts w:ascii="Times New Roman" w:hAnsi="Times New Roman" w:eastAsia="Times New Roman" w:cs="Times New Roman"/>
          <w:spacing w:val="8"/>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 </w:t>
      </w:r>
      <w:r>
        <w:rPr>
          <w:rFonts w:ascii="宋体" w:hAnsi="宋体" w:eastAsia="宋体" w:cs="宋体"/>
          <w:spacing w:val="8"/>
          <w:sz w:val="20"/>
          <w:szCs w:val="20"/>
        </w:rPr>
        <w:t>项规定</w:t>
      </w:r>
      <w:r>
        <w:rPr>
          <w:rFonts w:ascii="宋体" w:hAnsi="宋体" w:eastAsia="宋体" w:cs="宋体"/>
          <w:spacing w:val="7"/>
          <w:sz w:val="20"/>
          <w:szCs w:val="20"/>
        </w:rPr>
        <w:t>的标准对其更新资料进行评审。</w:t>
      </w:r>
    </w:p>
    <w:p w14:paraId="4418D2F8">
      <w:pPr>
        <w:spacing w:before="1" w:line="226" w:lineRule="auto"/>
        <w:ind w:left="420"/>
        <w:rPr>
          <w:rFonts w:ascii="宋体" w:hAnsi="宋体" w:eastAsia="宋体" w:cs="宋体"/>
          <w:sz w:val="20"/>
          <w:szCs w:val="20"/>
        </w:rPr>
      </w:pPr>
      <w:r>
        <w:rPr>
          <w:rFonts w:ascii="Times New Roman" w:hAnsi="Times New Roman" w:eastAsia="Times New Roman" w:cs="Times New Roman"/>
          <w:spacing w:val="8"/>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  </w:t>
      </w:r>
      <w:r>
        <w:rPr>
          <w:rFonts w:ascii="宋体" w:hAnsi="宋体" w:eastAsia="宋体" w:cs="宋体"/>
          <w:spacing w:val="8"/>
          <w:sz w:val="20"/>
          <w:szCs w:val="20"/>
        </w:rPr>
        <w:t>在本标段招标投标活动中，投标人有以下情形之一的，评标委员会应当否决</w:t>
      </w:r>
      <w:r>
        <w:rPr>
          <w:rFonts w:ascii="宋体" w:hAnsi="宋体" w:eastAsia="宋体" w:cs="宋体"/>
          <w:spacing w:val="7"/>
          <w:sz w:val="20"/>
          <w:szCs w:val="20"/>
        </w:rPr>
        <w:t>其投标：</w:t>
      </w:r>
    </w:p>
    <w:p w14:paraId="65EF0EF2">
      <w:pPr>
        <w:spacing w:before="154"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）不按评标委员会要求澄清、说明或补正；</w:t>
      </w:r>
    </w:p>
    <w:p w14:paraId="3AA2E904">
      <w:pPr>
        <w:spacing w:before="153"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）有串通投标、弄虚作假、行贿或有其他违法行为。</w:t>
      </w:r>
    </w:p>
    <w:p w14:paraId="0AB2E3C4">
      <w:pPr>
        <w:spacing w:before="155" w:line="228" w:lineRule="auto"/>
        <w:ind w:left="750"/>
        <w:rPr>
          <w:rFonts w:ascii="宋体" w:hAnsi="宋体" w:eastAsia="宋体" w:cs="宋体"/>
          <w:sz w:val="20"/>
          <w:szCs w:val="20"/>
        </w:rPr>
      </w:pPr>
      <w:r>
        <w:rPr>
          <w:rFonts w:ascii="Times New Roman" w:hAnsi="Times New Roman" w:eastAsia="Times New Roman" w:cs="Times New Roman"/>
          <w:spacing w:val="8"/>
          <w:sz w:val="20"/>
          <w:szCs w:val="20"/>
        </w:rPr>
        <w:t>1</w:t>
      </w:r>
      <w:r>
        <w:rPr>
          <w:rFonts w:ascii="宋体" w:hAnsi="宋体" w:eastAsia="宋体" w:cs="宋体"/>
          <w:spacing w:val="8"/>
          <w:sz w:val="20"/>
          <w:szCs w:val="20"/>
        </w:rPr>
        <w:t>）有下列情形之一的，视为投标人相互串通投标：</w:t>
      </w:r>
    </w:p>
    <w:p w14:paraId="6E445ABC">
      <w:pPr>
        <w:spacing w:before="154" w:line="225" w:lineRule="auto"/>
        <w:ind w:left="1002"/>
        <w:rPr>
          <w:rFonts w:ascii="宋体" w:hAnsi="宋体" w:eastAsia="宋体" w:cs="宋体"/>
          <w:sz w:val="20"/>
          <w:szCs w:val="20"/>
        </w:rPr>
      </w:pPr>
      <w:r>
        <w:rPr>
          <w:rFonts w:ascii="宋体" w:hAnsi="宋体" w:eastAsia="宋体" w:cs="宋体"/>
          <w:spacing w:val="9"/>
          <w:sz w:val="20"/>
          <w:szCs w:val="20"/>
        </w:rPr>
        <w:t>① 不同投标人的投标文件由同一单位或者个人编制；</w:t>
      </w:r>
    </w:p>
    <w:p w14:paraId="2CB6889E">
      <w:pPr>
        <w:spacing w:before="155" w:line="225" w:lineRule="auto"/>
        <w:ind w:left="1001"/>
        <w:rPr>
          <w:rFonts w:ascii="宋体" w:hAnsi="宋体" w:eastAsia="宋体" w:cs="宋体"/>
          <w:sz w:val="20"/>
          <w:szCs w:val="20"/>
        </w:rPr>
      </w:pPr>
      <w:r>
        <w:rPr>
          <w:rFonts w:ascii="宋体" w:hAnsi="宋体" w:eastAsia="宋体" w:cs="宋体"/>
          <w:spacing w:val="9"/>
          <w:sz w:val="20"/>
          <w:szCs w:val="20"/>
        </w:rPr>
        <w:t>② 不同投标人委托同一单位或者个人办理投标事宜；</w:t>
      </w:r>
    </w:p>
    <w:p w14:paraId="588BFBD4">
      <w:pPr>
        <w:spacing w:before="157" w:line="225" w:lineRule="auto"/>
        <w:ind w:left="1001"/>
        <w:rPr>
          <w:rFonts w:ascii="宋体" w:hAnsi="宋体" w:eastAsia="宋体" w:cs="宋体"/>
          <w:sz w:val="20"/>
          <w:szCs w:val="20"/>
        </w:rPr>
      </w:pPr>
      <w:r>
        <w:rPr>
          <w:rFonts w:ascii="宋体" w:hAnsi="宋体" w:eastAsia="宋体" w:cs="宋体"/>
          <w:spacing w:val="9"/>
          <w:sz w:val="20"/>
          <w:szCs w:val="20"/>
        </w:rPr>
        <w:t>③ 不同投标人的投标文件载明的项目管理成员为同一人；</w:t>
      </w:r>
    </w:p>
    <w:p w14:paraId="607243E4">
      <w:pPr>
        <w:spacing w:before="157" w:line="225" w:lineRule="auto"/>
        <w:ind w:left="1001"/>
        <w:rPr>
          <w:rFonts w:ascii="宋体" w:hAnsi="宋体" w:eastAsia="宋体" w:cs="宋体"/>
          <w:sz w:val="20"/>
          <w:szCs w:val="20"/>
        </w:rPr>
      </w:pPr>
      <w:r>
        <w:rPr>
          <w:rFonts w:ascii="宋体" w:hAnsi="宋体" w:eastAsia="宋体" w:cs="宋体"/>
          <w:spacing w:val="9"/>
          <w:sz w:val="20"/>
          <w:szCs w:val="20"/>
        </w:rPr>
        <w:t>④ 不同投标人的投标文件异常一致或者投标报价呈规律性差异；</w:t>
      </w:r>
    </w:p>
    <w:p w14:paraId="67CCE977">
      <w:pPr>
        <w:spacing w:before="155" w:line="225" w:lineRule="auto"/>
        <w:ind w:left="1001"/>
        <w:rPr>
          <w:rFonts w:ascii="宋体" w:hAnsi="宋体" w:eastAsia="宋体" w:cs="宋体"/>
          <w:sz w:val="20"/>
          <w:szCs w:val="20"/>
        </w:rPr>
      </w:pPr>
      <w:r>
        <w:rPr>
          <w:rFonts w:ascii="宋体" w:hAnsi="宋体" w:eastAsia="宋体" w:cs="宋体"/>
          <w:spacing w:val="8"/>
          <w:sz w:val="20"/>
          <w:szCs w:val="20"/>
        </w:rPr>
        <w:t>⑤ 不同投标人的投标文件相互混装；</w:t>
      </w:r>
    </w:p>
    <w:p w14:paraId="5549329B">
      <w:pPr>
        <w:spacing w:before="157" w:line="225" w:lineRule="auto"/>
        <w:ind w:left="1001"/>
        <w:rPr>
          <w:rFonts w:ascii="宋体" w:hAnsi="宋体" w:eastAsia="宋体" w:cs="宋体"/>
          <w:sz w:val="20"/>
          <w:szCs w:val="20"/>
        </w:rPr>
      </w:pPr>
      <w:r>
        <w:rPr>
          <w:rFonts w:ascii="宋体" w:hAnsi="宋体" w:eastAsia="宋体" w:cs="宋体"/>
          <w:spacing w:val="9"/>
          <w:sz w:val="20"/>
          <w:szCs w:val="20"/>
        </w:rPr>
        <w:t>⑥ 不同投标人的投标保证金从同一单位或者个人的账户转出；</w:t>
      </w:r>
    </w:p>
    <w:p w14:paraId="14E7AD43">
      <w:pPr>
        <w:spacing w:before="157" w:line="225" w:lineRule="auto"/>
        <w:ind w:left="1001"/>
        <w:rPr>
          <w:rFonts w:ascii="宋体" w:hAnsi="宋体" w:eastAsia="宋体" w:cs="宋体"/>
          <w:sz w:val="20"/>
          <w:szCs w:val="20"/>
        </w:rPr>
      </w:pPr>
      <w:r>
        <w:rPr>
          <w:rFonts w:ascii="宋体" w:hAnsi="宋体" w:eastAsia="宋体" w:cs="宋体"/>
          <w:spacing w:val="5"/>
          <w:sz w:val="20"/>
          <w:szCs w:val="20"/>
        </w:rPr>
        <w:t>⑦ 不同投标人的投标文件存在“文件创建标识码</w:t>
      </w:r>
      <w:r>
        <w:rPr>
          <w:rFonts w:ascii="宋体" w:hAnsi="宋体" w:eastAsia="宋体" w:cs="宋体"/>
          <w:spacing w:val="-65"/>
          <w:sz w:val="20"/>
          <w:szCs w:val="20"/>
        </w:rPr>
        <w:t xml:space="preserve"> </w:t>
      </w:r>
      <w:r>
        <w:rPr>
          <w:rFonts w:ascii="宋体" w:hAnsi="宋体" w:eastAsia="宋体" w:cs="宋体"/>
          <w:spacing w:val="5"/>
          <w:sz w:val="20"/>
          <w:szCs w:val="20"/>
        </w:rPr>
        <w:t>”“文件制作机器码</w:t>
      </w:r>
      <w:r>
        <w:rPr>
          <w:rFonts w:ascii="宋体" w:hAnsi="宋体" w:eastAsia="宋体" w:cs="宋体"/>
          <w:spacing w:val="-73"/>
          <w:sz w:val="20"/>
          <w:szCs w:val="20"/>
        </w:rPr>
        <w:t xml:space="preserve"> </w:t>
      </w:r>
      <w:r>
        <w:rPr>
          <w:rFonts w:ascii="宋体" w:hAnsi="宋体" w:eastAsia="宋体" w:cs="宋体"/>
          <w:spacing w:val="5"/>
          <w:sz w:val="20"/>
          <w:szCs w:val="20"/>
        </w:rPr>
        <w:t>”一致等情形。</w:t>
      </w:r>
    </w:p>
    <w:p w14:paraId="4B808A28">
      <w:pPr>
        <w:spacing w:before="154" w:line="227" w:lineRule="auto"/>
        <w:ind w:left="730"/>
        <w:rPr>
          <w:rFonts w:ascii="宋体" w:hAnsi="宋体" w:eastAsia="宋体" w:cs="宋体"/>
          <w:sz w:val="20"/>
          <w:szCs w:val="20"/>
        </w:rPr>
      </w:pPr>
      <w:r>
        <w:rPr>
          <w:rFonts w:ascii="Times New Roman" w:hAnsi="Times New Roman" w:eastAsia="Times New Roman" w:cs="Times New Roman"/>
          <w:spacing w:val="8"/>
          <w:sz w:val="20"/>
          <w:szCs w:val="20"/>
        </w:rPr>
        <w:t>2</w:t>
      </w:r>
      <w:r>
        <w:rPr>
          <w:rFonts w:ascii="宋体" w:hAnsi="宋体" w:eastAsia="宋体" w:cs="宋体"/>
          <w:spacing w:val="8"/>
          <w:sz w:val="20"/>
          <w:szCs w:val="20"/>
        </w:rPr>
        <w:t>）有下列情形之一的，属于弄虚作假行为：</w:t>
      </w:r>
    </w:p>
    <w:p w14:paraId="433E6723">
      <w:pPr>
        <w:spacing w:before="155" w:line="225" w:lineRule="auto"/>
        <w:jc w:val="right"/>
        <w:rPr>
          <w:rFonts w:ascii="宋体" w:hAnsi="宋体" w:eastAsia="宋体" w:cs="宋体"/>
          <w:sz w:val="20"/>
          <w:szCs w:val="20"/>
        </w:rPr>
      </w:pPr>
      <w:r>
        <w:rPr>
          <w:rFonts w:ascii="宋体" w:hAnsi="宋体" w:eastAsia="宋体" w:cs="宋体"/>
          <w:spacing w:val="7"/>
          <w:sz w:val="20"/>
          <w:szCs w:val="20"/>
        </w:rPr>
        <w:t>① 使用通过受让或者租借等方式获取的资格、资质证书投标</w:t>
      </w:r>
      <w:r>
        <w:rPr>
          <w:rFonts w:ascii="宋体" w:hAnsi="宋体" w:eastAsia="宋体" w:cs="宋体"/>
          <w:spacing w:val="6"/>
          <w:sz w:val="20"/>
          <w:szCs w:val="20"/>
        </w:rPr>
        <w:t>的，即以他人名义投标的。</w:t>
      </w:r>
    </w:p>
    <w:p w14:paraId="68CE2730">
      <w:pPr>
        <w:spacing w:before="157" w:line="225" w:lineRule="auto"/>
        <w:ind w:left="1001"/>
        <w:rPr>
          <w:rFonts w:ascii="宋体" w:hAnsi="宋体" w:eastAsia="宋体" w:cs="宋体"/>
          <w:sz w:val="20"/>
          <w:szCs w:val="20"/>
        </w:rPr>
      </w:pPr>
      <w:r>
        <w:rPr>
          <w:rFonts w:ascii="宋体" w:hAnsi="宋体" w:eastAsia="宋体" w:cs="宋体"/>
          <w:spacing w:val="8"/>
          <w:sz w:val="20"/>
          <w:szCs w:val="20"/>
        </w:rPr>
        <w:t>② 使用伪造、变造的许可证件；</w:t>
      </w:r>
    </w:p>
    <w:p w14:paraId="11713ADB">
      <w:pPr>
        <w:spacing w:before="155" w:line="225" w:lineRule="auto"/>
        <w:ind w:left="1001"/>
        <w:rPr>
          <w:rFonts w:ascii="宋体" w:hAnsi="宋体" w:eastAsia="宋体" w:cs="宋体"/>
          <w:sz w:val="20"/>
          <w:szCs w:val="20"/>
        </w:rPr>
      </w:pPr>
      <w:r>
        <w:rPr>
          <w:rFonts w:ascii="宋体" w:hAnsi="宋体" w:eastAsia="宋体" w:cs="宋体"/>
          <w:spacing w:val="8"/>
          <w:sz w:val="20"/>
          <w:szCs w:val="20"/>
        </w:rPr>
        <w:t>③ 提供虚假的财务状况或者业绩；</w:t>
      </w:r>
    </w:p>
    <w:p w14:paraId="3E4BD4E0">
      <w:pPr>
        <w:spacing w:before="157" w:line="225" w:lineRule="auto"/>
        <w:ind w:left="1001"/>
        <w:rPr>
          <w:rFonts w:ascii="宋体" w:hAnsi="宋体" w:eastAsia="宋体" w:cs="宋体"/>
          <w:sz w:val="20"/>
          <w:szCs w:val="20"/>
        </w:rPr>
      </w:pPr>
      <w:r>
        <w:rPr>
          <w:rFonts w:ascii="宋体" w:hAnsi="宋体" w:eastAsia="宋体" w:cs="宋体"/>
          <w:spacing w:val="9"/>
          <w:sz w:val="20"/>
          <w:szCs w:val="20"/>
        </w:rPr>
        <w:t>④ 提供虚假的项目负责人或者主要技术人员简历、劳动关系证明；</w:t>
      </w:r>
    </w:p>
    <w:p w14:paraId="72F54495">
      <w:pPr>
        <w:spacing w:before="157" w:line="225" w:lineRule="auto"/>
        <w:ind w:left="1001"/>
        <w:rPr>
          <w:rFonts w:ascii="宋体" w:hAnsi="宋体" w:eastAsia="宋体" w:cs="宋体"/>
          <w:sz w:val="20"/>
          <w:szCs w:val="20"/>
        </w:rPr>
      </w:pPr>
      <w:r>
        <w:rPr>
          <w:rFonts w:ascii="宋体" w:hAnsi="宋体" w:eastAsia="宋体" w:cs="宋体"/>
          <w:spacing w:val="8"/>
          <w:sz w:val="20"/>
          <w:szCs w:val="20"/>
        </w:rPr>
        <w:t>⑤ 提供虚假的信用状况；</w:t>
      </w:r>
    </w:p>
    <w:p w14:paraId="790C2D22">
      <w:pPr>
        <w:spacing w:before="155" w:line="225" w:lineRule="auto"/>
        <w:ind w:left="996"/>
        <w:rPr>
          <w:rFonts w:ascii="宋体" w:hAnsi="宋体" w:eastAsia="宋体" w:cs="宋体"/>
          <w:sz w:val="20"/>
          <w:szCs w:val="20"/>
        </w:rPr>
      </w:pPr>
      <w:r>
        <w:rPr>
          <w:rFonts w:ascii="宋体" w:hAnsi="宋体" w:eastAsia="宋体" w:cs="宋体"/>
          <w:spacing w:val="8"/>
          <w:sz w:val="20"/>
          <w:szCs w:val="20"/>
        </w:rPr>
        <w:t>⑥ 其他弄虚作假的行为。</w:t>
      </w:r>
    </w:p>
    <w:p w14:paraId="39F110F1">
      <w:pPr>
        <w:spacing w:before="158" w:line="369" w:lineRule="auto"/>
        <w:ind w:right="70" w:firstLine="420"/>
        <w:jc w:val="both"/>
        <w:rPr>
          <w:rFonts w:ascii="宋体" w:hAnsi="宋体" w:eastAsia="宋体" w:cs="宋体"/>
          <w:sz w:val="20"/>
          <w:szCs w:val="20"/>
        </w:rPr>
      </w:pPr>
      <w:r>
        <w:rPr>
          <w:rFonts w:ascii="Times New Roman" w:hAnsi="Times New Roman" w:eastAsia="Times New Roman" w:cs="Times New Roman"/>
          <w:spacing w:val="9"/>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1.3 </w:t>
      </w:r>
      <w:r>
        <w:rPr>
          <w:rFonts w:ascii="宋体" w:hAnsi="宋体" w:eastAsia="宋体" w:cs="宋体"/>
          <w:spacing w:val="9"/>
          <w:sz w:val="20"/>
          <w:szCs w:val="20"/>
        </w:rPr>
        <w:t>投标报价有算术错误的，评标委员会按以下原则对投标报价进行修正，修正的价格</w:t>
      </w:r>
      <w:r>
        <w:rPr>
          <w:rFonts w:ascii="宋体" w:hAnsi="宋体" w:eastAsia="宋体" w:cs="宋体"/>
          <w:spacing w:val="8"/>
          <w:sz w:val="20"/>
          <w:szCs w:val="20"/>
        </w:rPr>
        <w:t>经投</w:t>
      </w:r>
      <w:r>
        <w:rPr>
          <w:rFonts w:ascii="宋体" w:hAnsi="宋体" w:eastAsia="宋体" w:cs="宋体"/>
          <w:spacing w:val="12"/>
          <w:sz w:val="20"/>
          <w:szCs w:val="20"/>
        </w:rPr>
        <w:t>标人书面确认后具有约束力。投标人不接受修正价格的，或者修正后</w:t>
      </w:r>
      <w:r>
        <w:rPr>
          <w:rFonts w:ascii="宋体" w:hAnsi="宋体" w:eastAsia="宋体" w:cs="宋体"/>
          <w:spacing w:val="11"/>
          <w:sz w:val="20"/>
          <w:szCs w:val="20"/>
        </w:rPr>
        <w:t>的投标总价与投标总价相比</w:t>
      </w:r>
      <w:r>
        <w:rPr>
          <w:rFonts w:ascii="宋体" w:hAnsi="宋体" w:eastAsia="宋体" w:cs="宋体"/>
          <w:spacing w:val="6"/>
          <w:sz w:val="20"/>
          <w:szCs w:val="20"/>
        </w:rPr>
        <w:t>偏差率【（修正后的投标总价</w:t>
      </w:r>
      <w:r>
        <w:rPr>
          <w:rFonts w:ascii="Times New Roman" w:hAnsi="Times New Roman" w:eastAsia="Times New Roman" w:cs="Times New Roman"/>
          <w:spacing w:val="6"/>
          <w:sz w:val="20"/>
          <w:szCs w:val="20"/>
        </w:rPr>
        <w:t>-</w:t>
      </w:r>
      <w:r>
        <w:rPr>
          <w:rFonts w:ascii="宋体" w:hAnsi="宋体" w:eastAsia="宋体" w:cs="宋体"/>
          <w:spacing w:val="6"/>
          <w:sz w:val="20"/>
          <w:szCs w:val="20"/>
        </w:rPr>
        <w:t>投标总价）</w:t>
      </w:r>
      <w:r>
        <w:rPr>
          <w:rFonts w:ascii="宋体" w:hAnsi="宋体" w:eastAsia="宋体" w:cs="宋体"/>
          <w:spacing w:val="-65"/>
          <w:sz w:val="20"/>
          <w:szCs w:val="20"/>
        </w:rPr>
        <w:t xml:space="preserve"> </w:t>
      </w:r>
      <w:r>
        <w:rPr>
          <w:rFonts w:ascii="宋体" w:hAnsi="宋体" w:eastAsia="宋体" w:cs="宋体"/>
          <w:spacing w:val="6"/>
          <w:sz w:val="20"/>
          <w:szCs w:val="20"/>
        </w:rPr>
        <w:t>÷投标总价×</w:t>
      </w:r>
      <w:r>
        <w:rPr>
          <w:rFonts w:ascii="Times New Roman" w:hAnsi="Times New Roman" w:eastAsia="Times New Roman" w:cs="Times New Roman"/>
          <w:spacing w:val="6"/>
          <w:sz w:val="20"/>
          <w:szCs w:val="20"/>
        </w:rPr>
        <w:t>10</w:t>
      </w:r>
      <w:r>
        <w:rPr>
          <w:rFonts w:ascii="Times New Roman" w:hAnsi="Times New Roman" w:eastAsia="Times New Roman" w:cs="Times New Roman"/>
          <w:spacing w:val="5"/>
          <w:sz w:val="20"/>
          <w:szCs w:val="20"/>
        </w:rPr>
        <w:t>0%</w:t>
      </w:r>
      <w:r>
        <w:rPr>
          <w:rFonts w:ascii="宋体" w:hAnsi="宋体" w:eastAsia="宋体" w:cs="宋体"/>
          <w:spacing w:val="5"/>
          <w:sz w:val="20"/>
          <w:szCs w:val="20"/>
        </w:rPr>
        <w:t>】超过±</w:t>
      </w:r>
      <w:r>
        <w:rPr>
          <w:rFonts w:ascii="Times New Roman" w:hAnsi="Times New Roman" w:eastAsia="Times New Roman" w:cs="Times New Roman"/>
          <w:spacing w:val="5"/>
          <w:sz w:val="20"/>
          <w:szCs w:val="20"/>
        </w:rPr>
        <w:t>1%</w:t>
      </w:r>
      <w:r>
        <w:rPr>
          <w:rFonts w:ascii="宋体" w:hAnsi="宋体" w:eastAsia="宋体" w:cs="宋体"/>
          <w:spacing w:val="5"/>
          <w:sz w:val="20"/>
          <w:szCs w:val="20"/>
        </w:rPr>
        <w:t>的，或者修正后的投标总</w:t>
      </w:r>
      <w:r>
        <w:rPr>
          <w:rFonts w:ascii="宋体" w:hAnsi="宋体" w:eastAsia="宋体" w:cs="宋体"/>
          <w:spacing w:val="9"/>
          <w:sz w:val="20"/>
          <w:szCs w:val="20"/>
        </w:rPr>
        <w:t>价超过招标控制价的（如有</w:t>
      </w:r>
      <w:r>
        <w:rPr>
          <w:rFonts w:ascii="宋体" w:hAnsi="宋体" w:eastAsia="宋体" w:cs="宋体"/>
          <w:spacing w:val="-39"/>
          <w:sz w:val="20"/>
          <w:szCs w:val="20"/>
        </w:rPr>
        <w:t>），</w:t>
      </w:r>
      <w:r>
        <w:rPr>
          <w:rFonts w:ascii="宋体" w:hAnsi="宋体" w:eastAsia="宋体" w:cs="宋体"/>
          <w:spacing w:val="9"/>
          <w:sz w:val="20"/>
          <w:szCs w:val="20"/>
        </w:rPr>
        <w:t>评标委员会应当否决其投</w:t>
      </w:r>
      <w:r>
        <w:rPr>
          <w:rFonts w:ascii="宋体" w:hAnsi="宋体" w:eastAsia="宋体" w:cs="宋体"/>
          <w:spacing w:val="8"/>
          <w:sz w:val="20"/>
          <w:szCs w:val="20"/>
        </w:rPr>
        <w:t>标。</w:t>
      </w:r>
    </w:p>
    <w:p w14:paraId="367C03F0">
      <w:pPr>
        <w:spacing w:before="1" w:line="227" w:lineRule="auto"/>
        <w:ind w:left="727"/>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）投标文件中的大写金额与小写金额不一致的，以大写金</w:t>
      </w:r>
      <w:r>
        <w:rPr>
          <w:rFonts w:ascii="宋体" w:hAnsi="宋体" w:eastAsia="宋体" w:cs="宋体"/>
          <w:spacing w:val="8"/>
          <w:sz w:val="20"/>
          <w:szCs w:val="20"/>
        </w:rPr>
        <w:t>额为准；</w:t>
      </w:r>
    </w:p>
    <w:p w14:paraId="53D2458D">
      <w:pPr>
        <w:spacing w:before="151" w:line="370" w:lineRule="auto"/>
        <w:ind w:right="71" w:firstLine="727"/>
        <w:rPr>
          <w:rFonts w:ascii="宋体" w:hAnsi="宋体" w:eastAsia="宋体" w:cs="宋体"/>
          <w:sz w:val="20"/>
          <w:szCs w:val="20"/>
        </w:rPr>
      </w:pPr>
      <w:r>
        <w:rPr>
          <w:rFonts w:ascii="宋体" w:hAnsi="宋体" w:eastAsia="宋体" w:cs="宋体"/>
          <w:spacing w:val="11"/>
          <w:sz w:val="20"/>
          <w:szCs w:val="20"/>
        </w:rPr>
        <w:t>（</w:t>
      </w:r>
      <w:r>
        <w:rPr>
          <w:rFonts w:ascii="Times New Roman" w:hAnsi="Times New Roman" w:eastAsia="Times New Roman" w:cs="Times New Roman"/>
          <w:spacing w:val="11"/>
          <w:sz w:val="20"/>
          <w:szCs w:val="20"/>
        </w:rPr>
        <w:t>2</w:t>
      </w:r>
      <w:r>
        <w:rPr>
          <w:rFonts w:ascii="宋体" w:hAnsi="宋体" w:eastAsia="宋体" w:cs="宋体"/>
          <w:spacing w:val="11"/>
          <w:sz w:val="20"/>
          <w:szCs w:val="20"/>
        </w:rPr>
        <w:t>）总价金额与依据单价计算出的结果不一致的，</w:t>
      </w:r>
      <w:r>
        <w:rPr>
          <w:rFonts w:ascii="宋体" w:hAnsi="宋体" w:eastAsia="宋体" w:cs="宋体"/>
          <w:spacing w:val="-60"/>
          <w:sz w:val="20"/>
          <w:szCs w:val="20"/>
        </w:rPr>
        <w:t xml:space="preserve"> </w:t>
      </w:r>
      <w:r>
        <w:rPr>
          <w:rFonts w:ascii="宋体" w:hAnsi="宋体" w:eastAsia="宋体" w:cs="宋体"/>
          <w:spacing w:val="11"/>
          <w:sz w:val="20"/>
          <w:szCs w:val="20"/>
        </w:rPr>
        <w:t>以单价金额为准修正总价</w:t>
      </w:r>
      <w:r>
        <w:rPr>
          <w:rFonts w:ascii="宋体" w:hAnsi="宋体" w:eastAsia="宋体" w:cs="宋体"/>
          <w:spacing w:val="10"/>
          <w:sz w:val="20"/>
          <w:szCs w:val="20"/>
        </w:rPr>
        <w:t>，但单价金</w:t>
      </w:r>
      <w:r>
        <w:rPr>
          <w:rFonts w:ascii="宋体" w:hAnsi="宋体" w:eastAsia="宋体" w:cs="宋体"/>
          <w:spacing w:val="8"/>
          <w:sz w:val="20"/>
          <w:szCs w:val="20"/>
        </w:rPr>
        <w:t>额小数点有明显错误的除外。</w:t>
      </w:r>
    </w:p>
    <w:p w14:paraId="15935973">
      <w:pPr>
        <w:spacing w:before="2" w:line="369" w:lineRule="auto"/>
        <w:ind w:right="71" w:firstLine="420"/>
        <w:jc w:val="both"/>
        <w:rPr>
          <w:rFonts w:ascii="宋体" w:hAnsi="宋体" w:eastAsia="宋体" w:cs="宋体"/>
          <w:sz w:val="20"/>
          <w:szCs w:val="20"/>
        </w:rPr>
      </w:pPr>
      <w:r>
        <w:rPr>
          <w:rFonts w:ascii="Times New Roman" w:hAnsi="Times New Roman" w:eastAsia="Times New Roman" w:cs="Times New Roman"/>
          <w:spacing w:val="8"/>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评标委员会发现投标人的报价明显低于其他投标报</w:t>
      </w:r>
      <w:r>
        <w:rPr>
          <w:rFonts w:ascii="宋体" w:hAnsi="宋体" w:eastAsia="宋体" w:cs="宋体"/>
          <w:spacing w:val="7"/>
          <w:sz w:val="20"/>
          <w:szCs w:val="20"/>
        </w:rPr>
        <w:t>价，或者在设有招标控制价时明显低</w:t>
      </w:r>
      <w:r>
        <w:rPr>
          <w:rFonts w:ascii="宋体" w:hAnsi="宋体" w:eastAsia="宋体" w:cs="宋体"/>
          <w:spacing w:val="12"/>
          <w:sz w:val="20"/>
          <w:szCs w:val="20"/>
        </w:rPr>
        <w:t>于招标控制价，使得其投标报价可能低于其个别成本的，应当要求该</w:t>
      </w:r>
      <w:r>
        <w:rPr>
          <w:rFonts w:ascii="宋体" w:hAnsi="宋体" w:eastAsia="宋体" w:cs="宋体"/>
          <w:spacing w:val="11"/>
          <w:sz w:val="20"/>
          <w:szCs w:val="20"/>
        </w:rPr>
        <w:t>投标人作出书面说明并提供相应的证明材料。投标人不能合理说明或者不能提供相应证明材料的</w:t>
      </w:r>
      <w:r>
        <w:rPr>
          <w:rFonts w:ascii="宋体" w:hAnsi="宋体" w:eastAsia="宋体" w:cs="宋体"/>
          <w:spacing w:val="10"/>
          <w:sz w:val="20"/>
          <w:szCs w:val="20"/>
        </w:rPr>
        <w:t>，</w:t>
      </w:r>
      <w:r>
        <w:rPr>
          <w:rFonts w:ascii="宋体" w:hAnsi="宋体" w:eastAsia="宋体" w:cs="宋体"/>
          <w:spacing w:val="-58"/>
          <w:sz w:val="20"/>
          <w:szCs w:val="20"/>
        </w:rPr>
        <w:t xml:space="preserve"> </w:t>
      </w:r>
      <w:r>
        <w:rPr>
          <w:rFonts w:ascii="宋体" w:hAnsi="宋体" w:eastAsia="宋体" w:cs="宋体"/>
          <w:spacing w:val="10"/>
          <w:sz w:val="20"/>
          <w:szCs w:val="20"/>
        </w:rPr>
        <w:t>由评标委员会认定该投标</w:t>
      </w:r>
    </w:p>
    <w:p w14:paraId="1B534164">
      <w:pPr>
        <w:spacing w:line="369" w:lineRule="auto"/>
        <w:rPr>
          <w:rFonts w:ascii="宋体" w:hAnsi="宋体" w:eastAsia="宋体" w:cs="宋体"/>
          <w:sz w:val="20"/>
          <w:szCs w:val="20"/>
        </w:rPr>
        <w:sectPr>
          <w:footerReference r:id="rId106" w:type="default"/>
          <w:pgSz w:w="11907" w:h="16840"/>
          <w:pgMar w:top="400" w:right="1460" w:bottom="1035" w:left="1481" w:header="0" w:footer="785" w:gutter="0"/>
          <w:cols w:space="720" w:num="1"/>
        </w:sectPr>
      </w:pPr>
    </w:p>
    <w:p w14:paraId="6F43A760">
      <w:pPr>
        <w:spacing w:line="273" w:lineRule="auto"/>
        <w:rPr>
          <w:rFonts w:ascii="Arial"/>
          <w:sz w:val="21"/>
        </w:rPr>
      </w:pPr>
    </w:p>
    <w:p w14:paraId="538F863A">
      <w:pPr>
        <w:spacing w:line="274" w:lineRule="auto"/>
        <w:rPr>
          <w:rFonts w:ascii="Arial"/>
          <w:sz w:val="21"/>
        </w:rPr>
      </w:pPr>
    </w:p>
    <w:p w14:paraId="131F138E">
      <w:pPr>
        <w:spacing w:line="274" w:lineRule="auto"/>
        <w:rPr>
          <w:rFonts w:ascii="Arial"/>
          <w:sz w:val="21"/>
        </w:rPr>
      </w:pPr>
    </w:p>
    <w:p w14:paraId="3B7F8747">
      <w:pPr>
        <w:spacing w:line="274" w:lineRule="auto"/>
        <w:rPr>
          <w:rFonts w:ascii="Arial"/>
          <w:sz w:val="21"/>
        </w:rPr>
      </w:pPr>
    </w:p>
    <w:p w14:paraId="0DADDE5C">
      <w:pPr>
        <w:spacing w:line="274" w:lineRule="auto"/>
        <w:rPr>
          <w:rFonts w:ascii="Arial"/>
          <w:sz w:val="21"/>
        </w:rPr>
      </w:pPr>
    </w:p>
    <w:p w14:paraId="4C3469C5">
      <w:pPr>
        <w:spacing w:before="65" w:line="226" w:lineRule="auto"/>
        <w:ind w:left="11"/>
        <w:rPr>
          <w:rFonts w:ascii="宋体" w:hAnsi="宋体" w:eastAsia="宋体" w:cs="宋体"/>
          <w:sz w:val="20"/>
          <w:szCs w:val="20"/>
        </w:rPr>
      </w:pPr>
      <w:r>
        <w:rPr>
          <w:rFonts w:ascii="宋体" w:hAnsi="宋体" w:eastAsia="宋体" w:cs="宋体"/>
          <w:spacing w:val="8"/>
          <w:sz w:val="20"/>
          <w:szCs w:val="20"/>
        </w:rPr>
        <w:t>人以低于成本报价竞标，否决其投标。</w:t>
      </w:r>
    </w:p>
    <w:p w14:paraId="7FC0100F">
      <w:pPr>
        <w:spacing w:before="152" w:line="358" w:lineRule="auto"/>
        <w:ind w:left="18" w:firstLine="412"/>
        <w:rPr>
          <w:rFonts w:ascii="宋体" w:hAnsi="宋体" w:eastAsia="宋体" w:cs="宋体"/>
          <w:sz w:val="20"/>
          <w:szCs w:val="20"/>
        </w:rPr>
      </w:pPr>
      <w:r>
        <w:rPr>
          <w:rFonts w:ascii="Times New Roman" w:hAnsi="Times New Roman" w:eastAsia="Times New Roman" w:cs="Times New Roman"/>
          <w:spacing w:val="8"/>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1.5  </w:t>
      </w:r>
      <w:r>
        <w:rPr>
          <w:rFonts w:ascii="宋体" w:hAnsi="宋体" w:eastAsia="宋体" w:cs="宋体"/>
          <w:spacing w:val="8"/>
          <w:sz w:val="20"/>
          <w:szCs w:val="20"/>
        </w:rPr>
        <w:t>评标委员会否决不合格投标后，因有效投标不足三个使得</w:t>
      </w:r>
      <w:r>
        <w:rPr>
          <w:rFonts w:ascii="宋体" w:hAnsi="宋体" w:eastAsia="宋体" w:cs="宋体"/>
          <w:spacing w:val="7"/>
          <w:sz w:val="20"/>
          <w:szCs w:val="20"/>
        </w:rPr>
        <w:t>投标明显缺乏竞争的，评标委员会可以否决全部投标。</w:t>
      </w:r>
    </w:p>
    <w:p w14:paraId="6B603A76">
      <w:pPr>
        <w:pStyle w:val="2"/>
        <w:spacing w:line="221" w:lineRule="auto"/>
        <w:ind w:left="11"/>
        <w:outlineLvl w:val="3"/>
        <w:rPr>
          <w:sz w:val="24"/>
          <w:szCs w:val="24"/>
        </w:rPr>
      </w:pPr>
      <w:bookmarkStart w:id="116" w:name="bookmark104"/>
      <w:bookmarkEnd w:id="116"/>
      <w:r>
        <w:rPr>
          <w:rFonts w:ascii="Times New Roman" w:hAnsi="Times New Roman" w:eastAsia="Times New Roman" w:cs="Times New Roman"/>
          <w:spacing w:val="-2"/>
          <w:sz w:val="24"/>
          <w:szCs w:val="24"/>
        </w:rPr>
        <w:t xml:space="preserve">3.2  </w:t>
      </w:r>
      <w:r>
        <w:rPr>
          <w:spacing w:val="-2"/>
          <w:sz w:val="24"/>
          <w:szCs w:val="24"/>
        </w:rPr>
        <w:t>详细评审</w:t>
      </w:r>
    </w:p>
    <w:p w14:paraId="35C3BFC9">
      <w:pPr>
        <w:spacing w:before="136" w:line="227" w:lineRule="auto"/>
        <w:ind w:left="430"/>
        <w:rPr>
          <w:rFonts w:ascii="宋体" w:hAnsi="宋体" w:eastAsia="宋体" w:cs="宋体"/>
          <w:sz w:val="20"/>
          <w:szCs w:val="20"/>
        </w:rPr>
      </w:pPr>
      <w:r>
        <w:rPr>
          <w:rFonts w:ascii="Times New Roman" w:hAnsi="Times New Roman" w:eastAsia="Times New Roman" w:cs="Times New Roman"/>
          <w:spacing w:val="7"/>
          <w:sz w:val="20"/>
          <w:szCs w:val="20"/>
        </w:rPr>
        <w:t>3.2.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评标委员会对通过了初步评审的投标文件进行详细评审。</w:t>
      </w:r>
    </w:p>
    <w:p w14:paraId="3D72E3AF">
      <w:pPr>
        <w:spacing w:before="155" w:line="226" w:lineRule="auto"/>
        <w:ind w:left="430"/>
        <w:rPr>
          <w:rFonts w:ascii="宋体" w:hAnsi="宋体" w:eastAsia="宋体" w:cs="宋体"/>
          <w:sz w:val="20"/>
          <w:szCs w:val="20"/>
        </w:rPr>
      </w:pPr>
      <w:r>
        <w:rPr>
          <w:rFonts w:ascii="Times New Roman" w:hAnsi="Times New Roman" w:eastAsia="Times New Roman" w:cs="Times New Roman"/>
          <w:spacing w:val="8"/>
          <w:sz w:val="20"/>
          <w:szCs w:val="20"/>
        </w:rPr>
        <w:t xml:space="preserve">3.2.2  </w:t>
      </w:r>
      <w:r>
        <w:rPr>
          <w:rFonts w:ascii="宋体" w:hAnsi="宋体" w:eastAsia="宋体" w:cs="宋体"/>
          <w:spacing w:val="8"/>
          <w:sz w:val="20"/>
          <w:szCs w:val="20"/>
        </w:rPr>
        <w:t>评标委员会按本章第</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 xml:space="preserve">2.2 </w:t>
      </w:r>
      <w:r>
        <w:rPr>
          <w:rFonts w:ascii="宋体" w:hAnsi="宋体" w:eastAsia="宋体" w:cs="宋体"/>
          <w:spacing w:val="8"/>
          <w:sz w:val="20"/>
          <w:szCs w:val="20"/>
        </w:rPr>
        <w:t>款规定的量化因素和分值进行打分，并计算出综合评</w:t>
      </w:r>
      <w:r>
        <w:rPr>
          <w:rFonts w:ascii="宋体" w:hAnsi="宋体" w:eastAsia="宋体" w:cs="宋体"/>
          <w:spacing w:val="7"/>
          <w:sz w:val="20"/>
          <w:szCs w:val="20"/>
        </w:rPr>
        <w:t>估得分。</w:t>
      </w:r>
    </w:p>
    <w:p w14:paraId="25D9B4A5">
      <w:pPr>
        <w:spacing w:before="156" w:line="226" w:lineRule="auto"/>
        <w:ind w:left="73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）按本章第</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2.2.4</w:t>
      </w: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w:t>
      </w:r>
      <w:r>
        <w:rPr>
          <w:rFonts w:ascii="宋体" w:hAnsi="宋体" w:eastAsia="宋体" w:cs="宋体"/>
          <w:spacing w:val="-42"/>
          <w:sz w:val="20"/>
          <w:szCs w:val="20"/>
        </w:rPr>
        <w:t xml:space="preserve"> </w:t>
      </w:r>
      <w:r>
        <w:rPr>
          <w:rFonts w:ascii="宋体" w:hAnsi="宋体" w:eastAsia="宋体" w:cs="宋体"/>
          <w:spacing w:val="8"/>
          <w:sz w:val="20"/>
          <w:szCs w:val="20"/>
        </w:rPr>
        <w:t>目规定的评审因素和分值对投标报价</w:t>
      </w:r>
      <w:r>
        <w:rPr>
          <w:rFonts w:ascii="宋体" w:hAnsi="宋体" w:eastAsia="宋体" w:cs="宋体"/>
          <w:spacing w:val="7"/>
          <w:sz w:val="20"/>
          <w:szCs w:val="20"/>
        </w:rPr>
        <w:t>计算出得分</w:t>
      </w:r>
      <w:r>
        <w:rPr>
          <w:rFonts w:ascii="Times New Roman" w:hAnsi="Times New Roman" w:eastAsia="Times New Roman" w:cs="Times New Roman"/>
          <w:spacing w:val="7"/>
          <w:sz w:val="20"/>
          <w:szCs w:val="20"/>
        </w:rPr>
        <w:t>A</w:t>
      </w:r>
      <w:r>
        <w:rPr>
          <w:rFonts w:ascii="宋体" w:hAnsi="宋体" w:eastAsia="宋体" w:cs="宋体"/>
          <w:spacing w:val="7"/>
          <w:sz w:val="20"/>
          <w:szCs w:val="20"/>
        </w:rPr>
        <w:t>；</w:t>
      </w:r>
    </w:p>
    <w:p w14:paraId="7E720107">
      <w:pPr>
        <w:spacing w:before="153" w:line="227" w:lineRule="auto"/>
        <w:ind w:left="737"/>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）按本章第</w:t>
      </w:r>
      <w:r>
        <w:rPr>
          <w:rFonts w:ascii="宋体" w:hAnsi="宋体" w:eastAsia="宋体" w:cs="宋体"/>
          <w:spacing w:val="-25"/>
          <w:sz w:val="20"/>
          <w:szCs w:val="20"/>
        </w:rPr>
        <w:t xml:space="preserve"> </w:t>
      </w:r>
      <w:r>
        <w:rPr>
          <w:rFonts w:ascii="Times New Roman" w:hAnsi="Times New Roman" w:eastAsia="Times New Roman" w:cs="Times New Roman"/>
          <w:spacing w:val="6"/>
          <w:sz w:val="20"/>
          <w:szCs w:val="20"/>
        </w:rPr>
        <w:t>2.2.4</w:t>
      </w: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w:t>
      </w:r>
      <w:r>
        <w:rPr>
          <w:rFonts w:ascii="宋体" w:hAnsi="宋体" w:eastAsia="宋体" w:cs="宋体"/>
          <w:spacing w:val="-42"/>
          <w:sz w:val="20"/>
          <w:szCs w:val="20"/>
        </w:rPr>
        <w:t xml:space="preserve"> </w:t>
      </w:r>
      <w:r>
        <w:rPr>
          <w:rFonts w:ascii="宋体" w:hAnsi="宋体" w:eastAsia="宋体" w:cs="宋体"/>
          <w:spacing w:val="6"/>
          <w:sz w:val="20"/>
          <w:szCs w:val="20"/>
        </w:rPr>
        <w:t>目规定的评审因素和分值对施工组织设计计算出得分</w:t>
      </w:r>
      <w:r>
        <w:rPr>
          <w:rFonts w:ascii="宋体" w:hAnsi="宋体" w:eastAsia="宋体" w:cs="宋体"/>
          <w:spacing w:val="-41"/>
          <w:sz w:val="20"/>
          <w:szCs w:val="20"/>
        </w:rPr>
        <w:t xml:space="preserve"> </w:t>
      </w:r>
      <w:r>
        <w:rPr>
          <w:rFonts w:ascii="Times New Roman" w:hAnsi="Times New Roman" w:eastAsia="Times New Roman" w:cs="Times New Roman"/>
          <w:spacing w:val="6"/>
          <w:sz w:val="20"/>
          <w:szCs w:val="20"/>
        </w:rPr>
        <w:t>B</w:t>
      </w:r>
      <w:r>
        <w:rPr>
          <w:rFonts w:ascii="宋体" w:hAnsi="宋体" w:eastAsia="宋体" w:cs="宋体"/>
          <w:spacing w:val="6"/>
          <w:sz w:val="20"/>
          <w:szCs w:val="20"/>
        </w:rPr>
        <w:t>；</w:t>
      </w:r>
    </w:p>
    <w:p w14:paraId="468B0497">
      <w:pPr>
        <w:spacing w:before="155" w:line="227" w:lineRule="auto"/>
        <w:ind w:left="737"/>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）按本章第</w:t>
      </w:r>
      <w:r>
        <w:rPr>
          <w:rFonts w:ascii="宋体" w:hAnsi="宋体" w:eastAsia="宋体" w:cs="宋体"/>
          <w:spacing w:val="-29"/>
          <w:sz w:val="20"/>
          <w:szCs w:val="20"/>
        </w:rPr>
        <w:t xml:space="preserve"> </w:t>
      </w:r>
      <w:r>
        <w:rPr>
          <w:rFonts w:ascii="Times New Roman" w:hAnsi="Times New Roman" w:eastAsia="Times New Roman" w:cs="Times New Roman"/>
          <w:spacing w:val="6"/>
          <w:sz w:val="20"/>
          <w:szCs w:val="20"/>
        </w:rPr>
        <w:t>2.2.4</w:t>
      </w: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w:t>
      </w:r>
      <w:r>
        <w:rPr>
          <w:rFonts w:ascii="宋体" w:hAnsi="宋体" w:eastAsia="宋体" w:cs="宋体"/>
          <w:spacing w:val="-42"/>
          <w:sz w:val="20"/>
          <w:szCs w:val="20"/>
        </w:rPr>
        <w:t xml:space="preserve"> </w:t>
      </w:r>
      <w:r>
        <w:rPr>
          <w:rFonts w:ascii="宋体" w:hAnsi="宋体" w:eastAsia="宋体" w:cs="宋体"/>
          <w:spacing w:val="6"/>
          <w:sz w:val="20"/>
          <w:szCs w:val="20"/>
        </w:rPr>
        <w:t>目规定的评审因素和分值对项目管理机构计算出得分</w:t>
      </w:r>
      <w:r>
        <w:rPr>
          <w:rFonts w:ascii="宋体" w:hAnsi="宋体" w:eastAsia="宋体" w:cs="宋体"/>
          <w:spacing w:val="-37"/>
          <w:sz w:val="20"/>
          <w:szCs w:val="20"/>
        </w:rPr>
        <w:t xml:space="preserve"> </w:t>
      </w:r>
      <w:r>
        <w:rPr>
          <w:rFonts w:ascii="Times New Roman" w:hAnsi="Times New Roman" w:eastAsia="Times New Roman" w:cs="Times New Roman"/>
          <w:spacing w:val="6"/>
          <w:sz w:val="20"/>
          <w:szCs w:val="20"/>
        </w:rPr>
        <w:t>C</w:t>
      </w:r>
      <w:r>
        <w:rPr>
          <w:rFonts w:ascii="宋体" w:hAnsi="宋体" w:eastAsia="宋体" w:cs="宋体"/>
          <w:spacing w:val="6"/>
          <w:sz w:val="20"/>
          <w:szCs w:val="20"/>
        </w:rPr>
        <w:t>；</w:t>
      </w:r>
    </w:p>
    <w:p w14:paraId="6296337E">
      <w:pPr>
        <w:spacing w:before="155" w:line="227" w:lineRule="auto"/>
        <w:ind w:left="737"/>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）按本章第</w:t>
      </w:r>
      <w:r>
        <w:rPr>
          <w:rFonts w:ascii="宋体" w:hAnsi="宋体" w:eastAsia="宋体" w:cs="宋体"/>
          <w:spacing w:val="-32"/>
          <w:sz w:val="20"/>
          <w:szCs w:val="20"/>
        </w:rPr>
        <w:t xml:space="preserve"> </w:t>
      </w:r>
      <w:r>
        <w:rPr>
          <w:rFonts w:ascii="Times New Roman" w:hAnsi="Times New Roman" w:eastAsia="Times New Roman" w:cs="Times New Roman"/>
          <w:spacing w:val="6"/>
          <w:sz w:val="20"/>
          <w:szCs w:val="20"/>
        </w:rPr>
        <w:t>2.2.4</w:t>
      </w: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w:t>
      </w:r>
      <w:r>
        <w:rPr>
          <w:rFonts w:ascii="宋体" w:hAnsi="宋体" w:eastAsia="宋体" w:cs="宋体"/>
          <w:spacing w:val="-42"/>
          <w:sz w:val="20"/>
          <w:szCs w:val="20"/>
        </w:rPr>
        <w:t xml:space="preserve"> </w:t>
      </w:r>
      <w:r>
        <w:rPr>
          <w:rFonts w:ascii="宋体" w:hAnsi="宋体" w:eastAsia="宋体" w:cs="宋体"/>
          <w:spacing w:val="6"/>
          <w:sz w:val="20"/>
          <w:szCs w:val="20"/>
        </w:rPr>
        <w:t>目规定的评审因素和分值对其他部分计算出得分</w:t>
      </w:r>
      <w:r>
        <w:rPr>
          <w:rFonts w:ascii="宋体" w:hAnsi="宋体" w:eastAsia="宋体" w:cs="宋体"/>
          <w:spacing w:val="-42"/>
          <w:sz w:val="20"/>
          <w:szCs w:val="20"/>
        </w:rPr>
        <w:t xml:space="preserve"> </w:t>
      </w:r>
      <w:r>
        <w:rPr>
          <w:rFonts w:ascii="Times New Roman" w:hAnsi="Times New Roman" w:eastAsia="Times New Roman" w:cs="Times New Roman"/>
          <w:spacing w:val="6"/>
          <w:sz w:val="20"/>
          <w:szCs w:val="20"/>
        </w:rPr>
        <w:t>D</w:t>
      </w:r>
      <w:r>
        <w:rPr>
          <w:rFonts w:ascii="宋体" w:hAnsi="宋体" w:eastAsia="宋体" w:cs="宋体"/>
          <w:spacing w:val="6"/>
          <w:sz w:val="20"/>
          <w:szCs w:val="20"/>
        </w:rPr>
        <w:t>。</w:t>
      </w:r>
    </w:p>
    <w:p w14:paraId="05BC82D3">
      <w:pPr>
        <w:spacing w:before="153" w:line="370" w:lineRule="auto"/>
        <w:ind w:left="10" w:right="2" w:firstLine="419"/>
        <w:rPr>
          <w:rFonts w:ascii="宋体" w:hAnsi="宋体" w:eastAsia="宋体" w:cs="宋体"/>
          <w:sz w:val="20"/>
          <w:szCs w:val="20"/>
        </w:rPr>
      </w:pPr>
      <w:r>
        <w:rPr>
          <w:rFonts w:ascii="Times New Roman" w:hAnsi="Times New Roman" w:eastAsia="Times New Roman" w:cs="Times New Roman"/>
          <w:spacing w:val="9"/>
          <w:sz w:val="20"/>
          <w:szCs w:val="20"/>
        </w:rPr>
        <w:t xml:space="preserve">3.2.2  </w:t>
      </w:r>
      <w:r>
        <w:rPr>
          <w:rFonts w:ascii="宋体" w:hAnsi="宋体" w:eastAsia="宋体" w:cs="宋体"/>
          <w:spacing w:val="9"/>
          <w:sz w:val="20"/>
          <w:szCs w:val="20"/>
        </w:rPr>
        <w:t>评标委员会按本章第</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2.2 </w:t>
      </w:r>
      <w:r>
        <w:rPr>
          <w:rFonts w:ascii="宋体" w:hAnsi="宋体" w:eastAsia="宋体" w:cs="宋体"/>
          <w:spacing w:val="9"/>
          <w:sz w:val="20"/>
          <w:szCs w:val="20"/>
        </w:rPr>
        <w:t>款规定的量化因素和评审标准对投标</w:t>
      </w:r>
      <w:r>
        <w:rPr>
          <w:rFonts w:ascii="宋体" w:hAnsi="宋体" w:eastAsia="宋体" w:cs="宋体"/>
          <w:spacing w:val="8"/>
          <w:sz w:val="20"/>
          <w:szCs w:val="20"/>
        </w:rPr>
        <w:t>报价评审，确人有效评标</w:t>
      </w:r>
      <w:r>
        <w:rPr>
          <w:rFonts w:ascii="宋体" w:hAnsi="宋体" w:eastAsia="宋体" w:cs="宋体"/>
          <w:spacing w:val="-3"/>
          <w:sz w:val="20"/>
          <w:szCs w:val="20"/>
        </w:rPr>
        <w:t>价。（适用于办法八）</w:t>
      </w:r>
    </w:p>
    <w:p w14:paraId="31651FE0">
      <w:pPr>
        <w:spacing w:line="227" w:lineRule="auto"/>
        <w:ind w:left="430"/>
        <w:rPr>
          <w:rFonts w:ascii="宋体" w:hAnsi="宋体" w:eastAsia="宋体" w:cs="宋体"/>
          <w:sz w:val="20"/>
          <w:szCs w:val="20"/>
        </w:rPr>
      </w:pPr>
      <w:r>
        <w:rPr>
          <w:rFonts w:ascii="Times New Roman" w:hAnsi="Times New Roman" w:eastAsia="Times New Roman" w:cs="Times New Roman"/>
          <w:spacing w:val="7"/>
          <w:sz w:val="20"/>
          <w:szCs w:val="20"/>
        </w:rPr>
        <w:t xml:space="preserve">3.2.3  </w:t>
      </w:r>
      <w:r>
        <w:rPr>
          <w:rFonts w:ascii="宋体" w:hAnsi="宋体" w:eastAsia="宋体" w:cs="宋体"/>
          <w:spacing w:val="7"/>
          <w:sz w:val="20"/>
          <w:szCs w:val="20"/>
        </w:rPr>
        <w:t>评分分值计算保留小数点后两</w:t>
      </w:r>
      <w:r>
        <w:rPr>
          <w:rFonts w:ascii="宋体" w:hAnsi="宋体" w:eastAsia="宋体" w:cs="宋体"/>
          <w:spacing w:val="6"/>
          <w:sz w:val="20"/>
          <w:szCs w:val="20"/>
        </w:rPr>
        <w:t>位，小数点后第三位“</w:t>
      </w:r>
      <w:r>
        <w:rPr>
          <w:rFonts w:ascii="宋体" w:hAnsi="宋体" w:eastAsia="宋体" w:cs="宋体"/>
          <w:spacing w:val="-73"/>
          <w:sz w:val="20"/>
          <w:szCs w:val="20"/>
        </w:rPr>
        <w:t xml:space="preserve"> </w:t>
      </w:r>
      <w:r>
        <w:rPr>
          <w:rFonts w:ascii="宋体" w:hAnsi="宋体" w:eastAsia="宋体" w:cs="宋体"/>
          <w:spacing w:val="6"/>
          <w:sz w:val="20"/>
          <w:szCs w:val="20"/>
        </w:rPr>
        <w:t>四舍五入</w:t>
      </w:r>
      <w:r>
        <w:rPr>
          <w:rFonts w:ascii="宋体" w:hAnsi="宋体" w:eastAsia="宋体" w:cs="宋体"/>
          <w:spacing w:val="-70"/>
          <w:sz w:val="20"/>
          <w:szCs w:val="20"/>
        </w:rPr>
        <w:t xml:space="preserve"> </w:t>
      </w:r>
      <w:r>
        <w:rPr>
          <w:rFonts w:ascii="宋体" w:hAnsi="宋体" w:eastAsia="宋体" w:cs="宋体"/>
          <w:spacing w:val="6"/>
          <w:sz w:val="20"/>
          <w:szCs w:val="20"/>
        </w:rPr>
        <w:t>”。</w:t>
      </w:r>
    </w:p>
    <w:p w14:paraId="7B7FDA0D">
      <w:pPr>
        <w:spacing w:before="114" w:line="281" w:lineRule="exact"/>
        <w:ind w:left="430"/>
        <w:rPr>
          <w:rFonts w:ascii="宋体" w:hAnsi="宋体" w:eastAsia="宋体" w:cs="宋体"/>
          <w:sz w:val="20"/>
          <w:szCs w:val="20"/>
        </w:rPr>
      </w:pPr>
      <w:r>
        <w:rPr>
          <w:rFonts w:ascii="Times New Roman" w:hAnsi="Times New Roman" w:eastAsia="Times New Roman" w:cs="Times New Roman"/>
          <w:spacing w:val="5"/>
          <w:position w:val="1"/>
          <w:sz w:val="20"/>
          <w:szCs w:val="20"/>
        </w:rPr>
        <w:t xml:space="preserve">3.2.4  </w:t>
      </w:r>
      <w:r>
        <w:rPr>
          <w:rFonts w:ascii="宋体" w:hAnsi="宋体" w:eastAsia="宋体" w:cs="宋体"/>
          <w:spacing w:val="5"/>
          <w:position w:val="1"/>
          <w:sz w:val="20"/>
          <w:szCs w:val="20"/>
        </w:rPr>
        <w:t>投标人得分</w:t>
      </w:r>
      <w:r>
        <w:rPr>
          <w:rFonts w:ascii="Times New Roman" w:hAnsi="Times New Roman" w:eastAsia="Times New Roman" w:cs="Times New Roman"/>
          <w:spacing w:val="5"/>
          <w:position w:val="1"/>
          <w:sz w:val="20"/>
          <w:szCs w:val="20"/>
        </w:rPr>
        <w:t>=A+B+C+D</w:t>
      </w:r>
      <w:r>
        <w:rPr>
          <w:rFonts w:ascii="宋体" w:hAnsi="宋体" w:eastAsia="宋体" w:cs="宋体"/>
          <w:spacing w:val="5"/>
          <w:position w:val="1"/>
          <w:sz w:val="20"/>
          <w:szCs w:val="20"/>
        </w:rPr>
        <w:t>。</w:t>
      </w:r>
    </w:p>
    <w:p w14:paraId="717CBEDD">
      <w:pPr>
        <w:spacing w:before="157" w:line="358" w:lineRule="auto"/>
        <w:ind w:left="10" w:firstLine="420"/>
        <w:rPr>
          <w:rFonts w:ascii="宋体" w:hAnsi="宋体" w:eastAsia="宋体" w:cs="宋体"/>
          <w:sz w:val="20"/>
          <w:szCs w:val="20"/>
        </w:rPr>
      </w:pPr>
      <w:r>
        <w:rPr>
          <w:rFonts w:ascii="Times New Roman" w:hAnsi="Times New Roman" w:eastAsia="Times New Roman" w:cs="Times New Roman"/>
          <w:spacing w:val="8"/>
          <w:sz w:val="20"/>
          <w:szCs w:val="20"/>
        </w:rPr>
        <w:t xml:space="preserve">3.2.5  </w:t>
      </w:r>
      <w:r>
        <w:rPr>
          <w:rFonts w:ascii="宋体" w:hAnsi="宋体" w:eastAsia="宋体" w:cs="宋体"/>
          <w:spacing w:val="8"/>
          <w:sz w:val="20"/>
          <w:szCs w:val="20"/>
        </w:rPr>
        <w:t>各投标人最终得分的确定办法为：所有评标委员会成员的综合评分去掉一个最高分和一个最低分之后的算术平均值。</w:t>
      </w:r>
    </w:p>
    <w:p w14:paraId="0E0795F0">
      <w:pPr>
        <w:pStyle w:val="2"/>
        <w:spacing w:before="1" w:line="221" w:lineRule="auto"/>
        <w:ind w:left="11"/>
        <w:outlineLvl w:val="3"/>
        <w:rPr>
          <w:sz w:val="24"/>
          <w:szCs w:val="24"/>
        </w:rPr>
      </w:pPr>
      <w:bookmarkStart w:id="117" w:name="bookmark105"/>
      <w:bookmarkEnd w:id="117"/>
      <w:r>
        <w:rPr>
          <w:rFonts w:ascii="Times New Roman" w:hAnsi="Times New Roman" w:eastAsia="Times New Roman" w:cs="Times New Roman"/>
          <w:spacing w:val="-1"/>
          <w:sz w:val="24"/>
          <w:szCs w:val="24"/>
        </w:rPr>
        <w:t xml:space="preserve">3.3  </w:t>
      </w:r>
      <w:r>
        <w:rPr>
          <w:spacing w:val="-1"/>
          <w:sz w:val="24"/>
          <w:szCs w:val="24"/>
        </w:rPr>
        <w:t>投标文件的澄清和补正</w:t>
      </w:r>
    </w:p>
    <w:p w14:paraId="09B99BA2">
      <w:pPr>
        <w:spacing w:before="138" w:line="369" w:lineRule="auto"/>
        <w:ind w:left="14" w:firstLine="416"/>
        <w:rPr>
          <w:rFonts w:ascii="宋体" w:hAnsi="宋体" w:eastAsia="宋体" w:cs="宋体"/>
          <w:sz w:val="20"/>
          <w:szCs w:val="20"/>
        </w:rPr>
      </w:pPr>
      <w:r>
        <w:rPr>
          <w:rFonts w:ascii="Times New Roman" w:hAnsi="Times New Roman" w:eastAsia="Times New Roman" w:cs="Times New Roman"/>
          <w:spacing w:val="9"/>
          <w:sz w:val="20"/>
          <w:szCs w:val="20"/>
        </w:rPr>
        <w:t>3.3.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在评标过程中，评标委员会可以书面形式要求投标人对投标文件中含义不明确、对</w:t>
      </w:r>
      <w:r>
        <w:rPr>
          <w:rFonts w:ascii="宋体" w:hAnsi="宋体" w:eastAsia="宋体" w:cs="宋体"/>
          <w:spacing w:val="8"/>
          <w:sz w:val="20"/>
          <w:szCs w:val="20"/>
        </w:rPr>
        <w:t>同类</w:t>
      </w:r>
      <w:r>
        <w:rPr>
          <w:rFonts w:ascii="宋体" w:hAnsi="宋体" w:eastAsia="宋体" w:cs="宋体"/>
          <w:spacing w:val="12"/>
          <w:sz w:val="20"/>
          <w:szCs w:val="20"/>
        </w:rPr>
        <w:t>问题表述不一致或者有明显文字和计算错误的内容作必要的</w:t>
      </w:r>
      <w:r>
        <w:rPr>
          <w:rFonts w:ascii="宋体" w:hAnsi="宋体" w:eastAsia="宋体" w:cs="宋体"/>
          <w:spacing w:val="11"/>
          <w:sz w:val="20"/>
          <w:szCs w:val="20"/>
        </w:rPr>
        <w:t>澄清、说明或补正。澄清、说明或补</w:t>
      </w:r>
      <w:r>
        <w:rPr>
          <w:rFonts w:ascii="宋体" w:hAnsi="宋体" w:eastAsia="宋体" w:cs="宋体"/>
          <w:spacing w:val="9"/>
          <w:sz w:val="20"/>
          <w:szCs w:val="20"/>
        </w:rPr>
        <w:t>正应以书面方式进行。评标委员会不接受投标人主动提出的澄清、说明或补正。</w:t>
      </w:r>
    </w:p>
    <w:p w14:paraId="4DD4480A">
      <w:pPr>
        <w:spacing w:before="1" w:line="368" w:lineRule="auto"/>
        <w:ind w:left="12" w:firstLine="417"/>
        <w:rPr>
          <w:rFonts w:ascii="宋体" w:hAnsi="宋体" w:eastAsia="宋体" w:cs="宋体"/>
          <w:sz w:val="20"/>
          <w:szCs w:val="20"/>
        </w:rPr>
      </w:pPr>
      <w:r>
        <w:rPr>
          <w:rFonts w:ascii="Times New Roman" w:hAnsi="Times New Roman" w:eastAsia="Times New Roman" w:cs="Times New Roman"/>
          <w:spacing w:val="8"/>
          <w:sz w:val="20"/>
          <w:szCs w:val="20"/>
        </w:rPr>
        <w:t xml:space="preserve">3.3.2  </w:t>
      </w:r>
      <w:r>
        <w:rPr>
          <w:rFonts w:ascii="宋体" w:hAnsi="宋体" w:eastAsia="宋体" w:cs="宋体"/>
          <w:spacing w:val="8"/>
          <w:sz w:val="20"/>
          <w:szCs w:val="20"/>
        </w:rPr>
        <w:t>澄清、说明和补正不得超出投标文件的范围且不得改变投标文件的实质性内容（算术错</w:t>
      </w:r>
      <w:r>
        <w:rPr>
          <w:rFonts w:ascii="宋体" w:hAnsi="宋体" w:eastAsia="宋体" w:cs="宋体"/>
          <w:spacing w:val="6"/>
          <w:sz w:val="20"/>
          <w:szCs w:val="20"/>
        </w:rPr>
        <w:t>误修正的除外）。投标人的书面澄清、说明和补正属于投标文件的组成部分。</w:t>
      </w:r>
    </w:p>
    <w:p w14:paraId="5D417B46">
      <w:pPr>
        <w:spacing w:before="3" w:line="369" w:lineRule="auto"/>
        <w:ind w:left="12" w:right="13" w:firstLine="417"/>
        <w:rPr>
          <w:rFonts w:ascii="宋体" w:hAnsi="宋体" w:eastAsia="宋体" w:cs="宋体"/>
          <w:sz w:val="20"/>
          <w:szCs w:val="20"/>
        </w:rPr>
      </w:pPr>
      <w:r>
        <w:rPr>
          <w:rFonts w:ascii="Times New Roman" w:hAnsi="Times New Roman" w:eastAsia="Times New Roman" w:cs="Times New Roman"/>
          <w:spacing w:val="8"/>
          <w:sz w:val="20"/>
          <w:szCs w:val="20"/>
        </w:rPr>
        <w:t xml:space="preserve">3.3.3  </w:t>
      </w:r>
      <w:r>
        <w:rPr>
          <w:rFonts w:ascii="宋体" w:hAnsi="宋体" w:eastAsia="宋体" w:cs="宋体"/>
          <w:spacing w:val="8"/>
          <w:sz w:val="20"/>
          <w:szCs w:val="20"/>
        </w:rPr>
        <w:t>评标委员会对投标人提交的澄清、说明或补正有疑问的，可以要求投标人进一步澄清、说明或补正，直至满足评标委员会的要求。</w:t>
      </w:r>
    </w:p>
    <w:p w14:paraId="4B928D03">
      <w:pPr>
        <w:spacing w:before="1" w:line="356" w:lineRule="auto"/>
        <w:ind w:right="2" w:firstLine="430"/>
        <w:rPr>
          <w:rFonts w:ascii="宋体" w:hAnsi="宋体" w:eastAsia="宋体" w:cs="宋体"/>
          <w:sz w:val="20"/>
          <w:szCs w:val="20"/>
        </w:rPr>
      </w:pPr>
      <w:r>
        <w:rPr>
          <w:rFonts w:ascii="Times New Roman" w:hAnsi="Times New Roman" w:eastAsia="Times New Roman" w:cs="Times New Roman"/>
          <w:spacing w:val="9"/>
          <w:sz w:val="20"/>
          <w:szCs w:val="20"/>
        </w:rPr>
        <w:t xml:space="preserve">3.3.4 </w:t>
      </w:r>
      <w:r>
        <w:rPr>
          <w:rFonts w:ascii="宋体" w:hAnsi="宋体" w:eastAsia="宋体" w:cs="宋体"/>
          <w:spacing w:val="9"/>
          <w:sz w:val="20"/>
          <w:szCs w:val="20"/>
        </w:rPr>
        <w:t>评标委员会要求投标人对投标文件问题澄清的</w:t>
      </w:r>
      <w:r>
        <w:rPr>
          <w:rFonts w:ascii="宋体" w:hAnsi="宋体" w:eastAsia="宋体" w:cs="宋体"/>
          <w:spacing w:val="8"/>
          <w:sz w:val="20"/>
          <w:szCs w:val="20"/>
        </w:rPr>
        <w:t>通知，</w:t>
      </w:r>
      <w:r>
        <w:rPr>
          <w:rFonts w:ascii="宋体" w:hAnsi="宋体" w:eastAsia="宋体" w:cs="宋体"/>
          <w:spacing w:val="-59"/>
          <w:sz w:val="20"/>
          <w:szCs w:val="20"/>
        </w:rPr>
        <w:t xml:space="preserve"> </w:t>
      </w:r>
      <w:r>
        <w:rPr>
          <w:rFonts w:ascii="宋体" w:hAnsi="宋体" w:eastAsia="宋体" w:cs="宋体"/>
          <w:spacing w:val="8"/>
          <w:sz w:val="20"/>
          <w:szCs w:val="20"/>
        </w:rPr>
        <w:t>以及投标人对投标文件的澄清通过</w:t>
      </w:r>
      <w:r>
        <w:rPr>
          <w:rFonts w:ascii="宋体" w:hAnsi="宋体" w:eastAsia="宋体" w:cs="宋体"/>
          <w:spacing w:val="2"/>
          <w:sz w:val="20"/>
          <w:szCs w:val="20"/>
        </w:rPr>
        <w:t>“</w:t>
      </w:r>
      <w:r>
        <w:rPr>
          <w:rFonts w:ascii="宋体" w:hAnsi="宋体" w:eastAsia="宋体" w:cs="宋体"/>
          <w:spacing w:val="-65"/>
          <w:sz w:val="20"/>
          <w:szCs w:val="20"/>
        </w:rPr>
        <w:t xml:space="preserve"> </w:t>
      </w:r>
      <w:r>
        <w:rPr>
          <w:rFonts w:ascii="宋体" w:hAnsi="宋体" w:eastAsia="宋体" w:cs="宋体"/>
          <w:spacing w:val="2"/>
          <w:sz w:val="20"/>
          <w:szCs w:val="20"/>
        </w:rPr>
        <w:t>电子交易平台</w:t>
      </w:r>
      <w:r>
        <w:rPr>
          <w:rFonts w:ascii="宋体" w:hAnsi="宋体" w:eastAsia="宋体" w:cs="宋体"/>
          <w:spacing w:val="-70"/>
          <w:sz w:val="20"/>
          <w:szCs w:val="20"/>
        </w:rPr>
        <w:t xml:space="preserve"> </w:t>
      </w:r>
      <w:r>
        <w:rPr>
          <w:rFonts w:ascii="宋体" w:hAnsi="宋体" w:eastAsia="宋体" w:cs="宋体"/>
          <w:spacing w:val="2"/>
          <w:sz w:val="20"/>
          <w:szCs w:val="20"/>
        </w:rPr>
        <w:t>”“投标文件澄清</w:t>
      </w:r>
      <w:r>
        <w:rPr>
          <w:rFonts w:ascii="宋体" w:hAnsi="宋体" w:eastAsia="宋体" w:cs="宋体"/>
          <w:spacing w:val="-70"/>
          <w:sz w:val="20"/>
          <w:szCs w:val="20"/>
        </w:rPr>
        <w:t xml:space="preserve"> </w:t>
      </w:r>
      <w:r>
        <w:rPr>
          <w:rFonts w:ascii="宋体" w:hAnsi="宋体" w:eastAsia="宋体" w:cs="宋体"/>
          <w:spacing w:val="2"/>
          <w:sz w:val="20"/>
          <w:szCs w:val="20"/>
        </w:rPr>
        <w:t>”菜单以书面形式</w:t>
      </w:r>
      <w:r>
        <w:rPr>
          <w:rFonts w:ascii="宋体" w:hAnsi="宋体" w:eastAsia="宋体" w:cs="宋体"/>
          <w:spacing w:val="1"/>
          <w:sz w:val="20"/>
          <w:szCs w:val="20"/>
        </w:rPr>
        <w:t>进行。</w:t>
      </w:r>
    </w:p>
    <w:p w14:paraId="32D6E451">
      <w:pPr>
        <w:pStyle w:val="2"/>
        <w:spacing w:before="1" w:line="221" w:lineRule="auto"/>
        <w:ind w:left="11"/>
        <w:outlineLvl w:val="3"/>
        <w:rPr>
          <w:sz w:val="24"/>
          <w:szCs w:val="24"/>
        </w:rPr>
      </w:pPr>
      <w:bookmarkStart w:id="118" w:name="bookmark106"/>
      <w:bookmarkEnd w:id="118"/>
      <w:r>
        <w:rPr>
          <w:rFonts w:ascii="Times New Roman" w:hAnsi="Times New Roman" w:eastAsia="Times New Roman" w:cs="Times New Roman"/>
          <w:spacing w:val="-2"/>
          <w:sz w:val="24"/>
          <w:szCs w:val="24"/>
        </w:rPr>
        <w:t xml:space="preserve">3.4  </w:t>
      </w:r>
      <w:r>
        <w:rPr>
          <w:spacing w:val="-2"/>
          <w:sz w:val="24"/>
          <w:szCs w:val="24"/>
        </w:rPr>
        <w:t>评标结果</w:t>
      </w:r>
    </w:p>
    <w:p w14:paraId="4F1AD8C0">
      <w:pPr>
        <w:spacing w:before="140" w:line="369" w:lineRule="auto"/>
        <w:ind w:left="20" w:right="2" w:firstLine="410"/>
        <w:rPr>
          <w:rFonts w:ascii="宋体" w:hAnsi="宋体" w:eastAsia="宋体" w:cs="宋体"/>
          <w:sz w:val="20"/>
          <w:szCs w:val="20"/>
        </w:rPr>
      </w:pPr>
      <w:r>
        <w:rPr>
          <w:rFonts w:ascii="Times New Roman" w:hAnsi="Times New Roman" w:eastAsia="Times New Roman" w:cs="Times New Roman"/>
          <w:spacing w:val="8"/>
          <w:sz w:val="20"/>
          <w:szCs w:val="20"/>
        </w:rPr>
        <w:t>3.4.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4"/>
          <w:w w:val="101"/>
          <w:sz w:val="20"/>
          <w:szCs w:val="20"/>
        </w:rPr>
        <w:t xml:space="preserve"> </w:t>
      </w:r>
      <w:r>
        <w:rPr>
          <w:rFonts w:ascii="宋体" w:hAnsi="宋体" w:eastAsia="宋体" w:cs="宋体"/>
          <w:spacing w:val="8"/>
          <w:sz w:val="20"/>
          <w:szCs w:val="20"/>
        </w:rPr>
        <w:t>除第二章“投标人须知</w:t>
      </w:r>
      <w:r>
        <w:rPr>
          <w:rFonts w:ascii="宋体" w:hAnsi="宋体" w:eastAsia="宋体" w:cs="宋体"/>
          <w:spacing w:val="-70"/>
          <w:sz w:val="20"/>
          <w:szCs w:val="20"/>
        </w:rPr>
        <w:t xml:space="preserve"> </w:t>
      </w:r>
      <w:r>
        <w:rPr>
          <w:rFonts w:ascii="宋体" w:hAnsi="宋体" w:eastAsia="宋体" w:cs="宋体"/>
          <w:spacing w:val="8"/>
          <w:sz w:val="20"/>
          <w:szCs w:val="20"/>
        </w:rPr>
        <w:t>”前附表第</w:t>
      </w:r>
      <w:r>
        <w:rPr>
          <w:rFonts w:ascii="宋体" w:hAnsi="宋体" w:eastAsia="宋体" w:cs="宋体"/>
          <w:spacing w:val="-37"/>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款授权直接确定中标人外，评</w:t>
      </w:r>
      <w:r>
        <w:rPr>
          <w:rFonts w:ascii="宋体" w:hAnsi="宋体" w:eastAsia="宋体" w:cs="宋体"/>
          <w:spacing w:val="7"/>
          <w:sz w:val="20"/>
          <w:szCs w:val="20"/>
        </w:rPr>
        <w:t>标委员会按照得分</w:t>
      </w:r>
      <w:r>
        <w:rPr>
          <w:rFonts w:ascii="宋体" w:hAnsi="宋体" w:eastAsia="宋体" w:cs="宋体"/>
          <w:spacing w:val="11"/>
          <w:sz w:val="20"/>
          <w:szCs w:val="20"/>
        </w:rPr>
        <w:t>由高到低的顺序（适用于办法一、二、三、四、五、六、七）或按照有效评标价由低到高的顺序</w:t>
      </w:r>
      <w:r>
        <w:rPr>
          <w:rFonts w:ascii="宋体" w:hAnsi="宋体" w:eastAsia="宋体" w:cs="宋体"/>
          <w:spacing w:val="8"/>
          <w:sz w:val="20"/>
          <w:szCs w:val="20"/>
        </w:rPr>
        <w:t>（适用于办法八）推荐中标候选人。</w:t>
      </w:r>
    </w:p>
    <w:p w14:paraId="304169E3">
      <w:pPr>
        <w:spacing w:before="1" w:line="368" w:lineRule="auto"/>
        <w:ind w:left="13" w:firstLine="417"/>
        <w:rPr>
          <w:rFonts w:ascii="宋体" w:hAnsi="宋体" w:eastAsia="宋体" w:cs="宋体"/>
          <w:sz w:val="20"/>
          <w:szCs w:val="20"/>
        </w:rPr>
      </w:pPr>
      <w:r>
        <w:rPr>
          <w:rFonts w:ascii="Times New Roman" w:hAnsi="Times New Roman" w:eastAsia="Times New Roman" w:cs="Times New Roman"/>
          <w:spacing w:val="10"/>
          <w:sz w:val="20"/>
          <w:szCs w:val="20"/>
        </w:rPr>
        <w:t xml:space="preserve">3.4.2 </w:t>
      </w:r>
      <w:r>
        <w:rPr>
          <w:rFonts w:ascii="宋体" w:hAnsi="宋体" w:eastAsia="宋体" w:cs="宋体"/>
          <w:spacing w:val="10"/>
          <w:sz w:val="20"/>
          <w:szCs w:val="20"/>
        </w:rPr>
        <w:t>招标文件允许多标段投标、多标段中标的，各</w:t>
      </w:r>
      <w:r>
        <w:rPr>
          <w:rFonts w:ascii="宋体" w:hAnsi="宋体" w:eastAsia="宋体" w:cs="宋体"/>
          <w:spacing w:val="9"/>
          <w:sz w:val="20"/>
          <w:szCs w:val="20"/>
        </w:rPr>
        <w:t>标段中标候选人的推荐按第二章“投标人</w:t>
      </w:r>
      <w:r>
        <w:rPr>
          <w:rFonts w:ascii="宋体" w:hAnsi="宋体" w:eastAsia="宋体" w:cs="宋体"/>
          <w:spacing w:val="7"/>
          <w:sz w:val="20"/>
          <w:szCs w:val="20"/>
        </w:rPr>
        <w:t>须知</w:t>
      </w:r>
      <w:r>
        <w:rPr>
          <w:rFonts w:ascii="宋体" w:hAnsi="宋体" w:eastAsia="宋体" w:cs="宋体"/>
          <w:spacing w:val="-70"/>
          <w:sz w:val="20"/>
          <w:szCs w:val="20"/>
        </w:rPr>
        <w:t xml:space="preserve"> </w:t>
      </w:r>
      <w:r>
        <w:rPr>
          <w:rFonts w:ascii="宋体" w:hAnsi="宋体" w:eastAsia="宋体" w:cs="宋体"/>
          <w:spacing w:val="7"/>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款规定执行，对某些标段由此产生的空缺由排序在</w:t>
      </w:r>
      <w:r>
        <w:rPr>
          <w:rFonts w:ascii="宋体" w:hAnsi="宋体" w:eastAsia="宋体" w:cs="宋体"/>
          <w:spacing w:val="6"/>
          <w:sz w:val="20"/>
          <w:szCs w:val="20"/>
        </w:rPr>
        <w:t>后的投标人依次替补。</w:t>
      </w:r>
    </w:p>
    <w:p w14:paraId="592FF981">
      <w:pPr>
        <w:spacing w:before="1" w:line="226" w:lineRule="auto"/>
        <w:ind w:left="430"/>
        <w:rPr>
          <w:rFonts w:ascii="宋体" w:hAnsi="宋体" w:eastAsia="宋体" w:cs="宋体"/>
          <w:sz w:val="20"/>
          <w:szCs w:val="20"/>
        </w:rPr>
      </w:pPr>
      <w:r>
        <w:rPr>
          <w:rFonts w:ascii="Times New Roman" w:hAnsi="Times New Roman" w:eastAsia="Times New Roman" w:cs="Times New Roman"/>
          <w:spacing w:val="8"/>
          <w:sz w:val="20"/>
          <w:szCs w:val="20"/>
        </w:rPr>
        <w:t xml:space="preserve">3.4.3  </w:t>
      </w:r>
      <w:r>
        <w:rPr>
          <w:rFonts w:ascii="宋体" w:hAnsi="宋体" w:eastAsia="宋体" w:cs="宋体"/>
          <w:spacing w:val="8"/>
          <w:sz w:val="20"/>
          <w:szCs w:val="20"/>
        </w:rPr>
        <w:t>评标委员会完成评标后，应当向招标人提交书面评标报告。</w:t>
      </w:r>
    </w:p>
    <w:p w14:paraId="6165618E">
      <w:pPr>
        <w:spacing w:line="226" w:lineRule="auto"/>
        <w:rPr>
          <w:rFonts w:ascii="宋体" w:hAnsi="宋体" w:eastAsia="宋体" w:cs="宋体"/>
          <w:sz w:val="20"/>
          <w:szCs w:val="20"/>
        </w:rPr>
        <w:sectPr>
          <w:footerReference r:id="rId107" w:type="default"/>
          <w:pgSz w:w="11907" w:h="16840"/>
          <w:pgMar w:top="400" w:right="1531" w:bottom="1035" w:left="1471" w:header="0" w:footer="785" w:gutter="0"/>
          <w:cols w:space="720" w:num="1"/>
        </w:sectPr>
      </w:pPr>
    </w:p>
    <w:p w14:paraId="54BAD3B7">
      <w:pPr>
        <w:spacing w:line="251" w:lineRule="auto"/>
        <w:rPr>
          <w:rFonts w:ascii="Arial"/>
          <w:sz w:val="21"/>
        </w:rPr>
      </w:pPr>
    </w:p>
    <w:p w14:paraId="0682B60F">
      <w:pPr>
        <w:spacing w:line="251" w:lineRule="auto"/>
        <w:rPr>
          <w:rFonts w:ascii="Arial"/>
          <w:sz w:val="21"/>
        </w:rPr>
      </w:pPr>
    </w:p>
    <w:p w14:paraId="0496BFE4">
      <w:pPr>
        <w:spacing w:line="251" w:lineRule="auto"/>
        <w:rPr>
          <w:rFonts w:ascii="Arial"/>
          <w:sz w:val="21"/>
        </w:rPr>
      </w:pPr>
    </w:p>
    <w:p w14:paraId="4CF30AFE">
      <w:pPr>
        <w:spacing w:line="251" w:lineRule="auto"/>
        <w:rPr>
          <w:rFonts w:ascii="Arial"/>
          <w:sz w:val="21"/>
        </w:rPr>
      </w:pPr>
    </w:p>
    <w:p w14:paraId="22206C2B">
      <w:pPr>
        <w:spacing w:line="251" w:lineRule="auto"/>
        <w:rPr>
          <w:rFonts w:ascii="Arial"/>
          <w:sz w:val="21"/>
        </w:rPr>
      </w:pPr>
    </w:p>
    <w:p w14:paraId="36BA837C">
      <w:pPr>
        <w:spacing w:line="252" w:lineRule="auto"/>
        <w:rPr>
          <w:rFonts w:ascii="Arial"/>
          <w:sz w:val="21"/>
        </w:rPr>
      </w:pPr>
    </w:p>
    <w:p w14:paraId="62D80CA1">
      <w:pPr>
        <w:pStyle w:val="2"/>
        <w:spacing w:before="78" w:line="222" w:lineRule="auto"/>
        <w:ind w:left="20"/>
        <w:outlineLvl w:val="1"/>
        <w:rPr>
          <w:sz w:val="24"/>
          <w:szCs w:val="24"/>
        </w:rPr>
      </w:pPr>
      <w:r>
        <w:rPr>
          <w:spacing w:val="-3"/>
          <w:sz w:val="24"/>
          <w:szCs w:val="24"/>
        </w:rPr>
        <w:t>附件</w:t>
      </w:r>
      <w:r>
        <w:rPr>
          <w:spacing w:val="-55"/>
          <w:sz w:val="24"/>
          <w:szCs w:val="24"/>
        </w:rPr>
        <w:t xml:space="preserve"> </w:t>
      </w:r>
      <w:r>
        <w:rPr>
          <w:rFonts w:ascii="Arial" w:hAnsi="Arial" w:eastAsia="Arial" w:cs="Arial"/>
          <w:spacing w:val="-3"/>
          <w:sz w:val="24"/>
          <w:szCs w:val="24"/>
        </w:rPr>
        <w:t>A:</w:t>
      </w:r>
      <w:r>
        <w:rPr>
          <w:spacing w:val="-3"/>
          <w:sz w:val="24"/>
          <w:szCs w:val="24"/>
        </w:rPr>
        <w:t>评标详细程序</w:t>
      </w:r>
    </w:p>
    <w:p w14:paraId="365C18D0">
      <w:pPr>
        <w:spacing w:line="423" w:lineRule="auto"/>
        <w:rPr>
          <w:rFonts w:ascii="Arial"/>
          <w:sz w:val="21"/>
        </w:rPr>
      </w:pPr>
    </w:p>
    <w:p w14:paraId="37496DE7">
      <w:pPr>
        <w:pStyle w:val="2"/>
        <w:spacing w:before="91" w:line="222" w:lineRule="auto"/>
        <w:ind w:left="3615"/>
        <w:rPr>
          <w:sz w:val="28"/>
          <w:szCs w:val="28"/>
        </w:rPr>
      </w:pPr>
      <w:bookmarkStart w:id="119" w:name="bookmark107"/>
      <w:bookmarkEnd w:id="119"/>
      <w:bookmarkStart w:id="120" w:name="bookmark108"/>
      <w:bookmarkEnd w:id="120"/>
      <w:r>
        <w:rPr>
          <w:b/>
          <w:bCs/>
          <w:spacing w:val="-4"/>
          <w:sz w:val="28"/>
          <w:szCs w:val="28"/>
        </w:rPr>
        <w:t>评标详细程序</w:t>
      </w:r>
    </w:p>
    <w:p w14:paraId="5872F058">
      <w:pPr>
        <w:pStyle w:val="2"/>
        <w:spacing w:before="100" w:line="222" w:lineRule="auto"/>
        <w:outlineLvl w:val="2"/>
        <w:rPr>
          <w:sz w:val="24"/>
          <w:szCs w:val="24"/>
        </w:rPr>
      </w:pPr>
      <w:bookmarkStart w:id="121" w:name="bookmark459"/>
      <w:bookmarkEnd w:id="121"/>
      <w:r>
        <w:rPr>
          <w:rFonts w:ascii="Times New Roman" w:hAnsi="Times New Roman" w:eastAsia="Times New Roman" w:cs="Times New Roman"/>
          <w:sz w:val="24"/>
          <w:szCs w:val="24"/>
        </w:rPr>
        <w:t>A0.</w:t>
      </w:r>
      <w:r>
        <w:rPr>
          <w:sz w:val="24"/>
          <w:szCs w:val="24"/>
        </w:rPr>
        <w:t>总  则</w:t>
      </w:r>
    </w:p>
    <w:p w14:paraId="3F85EA09">
      <w:pPr>
        <w:spacing w:before="150" w:line="369" w:lineRule="auto"/>
        <w:ind w:left="5" w:right="51" w:firstLine="421"/>
        <w:rPr>
          <w:rFonts w:ascii="宋体" w:hAnsi="宋体" w:eastAsia="宋体" w:cs="宋体"/>
          <w:sz w:val="20"/>
          <w:szCs w:val="20"/>
        </w:rPr>
      </w:pPr>
      <w:r>
        <w:rPr>
          <w:rFonts w:ascii="宋体" w:hAnsi="宋体" w:eastAsia="宋体" w:cs="宋体"/>
          <w:spacing w:val="9"/>
          <w:sz w:val="20"/>
          <w:szCs w:val="20"/>
        </w:rPr>
        <w:t>本附件是本章“评标办法</w:t>
      </w:r>
      <w:r>
        <w:rPr>
          <w:rFonts w:ascii="宋体" w:hAnsi="宋体" w:eastAsia="宋体" w:cs="宋体"/>
          <w:spacing w:val="-67"/>
          <w:sz w:val="20"/>
          <w:szCs w:val="20"/>
        </w:rPr>
        <w:t xml:space="preserve"> </w:t>
      </w:r>
      <w:r>
        <w:rPr>
          <w:rFonts w:ascii="宋体" w:hAnsi="宋体" w:eastAsia="宋体" w:cs="宋体"/>
          <w:spacing w:val="9"/>
          <w:sz w:val="20"/>
          <w:szCs w:val="20"/>
        </w:rPr>
        <w:t>”的组成部分，是对本章第</w:t>
      </w:r>
      <w:r>
        <w:rPr>
          <w:rFonts w:ascii="宋体" w:hAnsi="宋体" w:eastAsia="宋体" w:cs="宋体"/>
          <w:spacing w:val="-35"/>
          <w:sz w:val="20"/>
          <w:szCs w:val="20"/>
        </w:rPr>
        <w:t xml:space="preserve"> </w:t>
      </w:r>
      <w:r>
        <w:rPr>
          <w:rFonts w:ascii="宋体" w:hAnsi="宋体" w:eastAsia="宋体" w:cs="宋体"/>
          <w:spacing w:val="9"/>
          <w:sz w:val="20"/>
          <w:szCs w:val="20"/>
        </w:rPr>
        <w:t>3</w:t>
      </w:r>
      <w:r>
        <w:rPr>
          <w:rFonts w:ascii="宋体" w:hAnsi="宋体" w:eastAsia="宋体" w:cs="宋体"/>
          <w:spacing w:val="-34"/>
          <w:sz w:val="20"/>
          <w:szCs w:val="20"/>
        </w:rPr>
        <w:t xml:space="preserve"> </w:t>
      </w:r>
      <w:r>
        <w:rPr>
          <w:rFonts w:ascii="宋体" w:hAnsi="宋体" w:eastAsia="宋体" w:cs="宋体"/>
          <w:spacing w:val="9"/>
          <w:sz w:val="20"/>
          <w:szCs w:val="20"/>
        </w:rPr>
        <w:t>条所规定的评标程序的进一</w:t>
      </w:r>
      <w:r>
        <w:rPr>
          <w:rFonts w:ascii="宋体" w:hAnsi="宋体" w:eastAsia="宋体" w:cs="宋体"/>
          <w:spacing w:val="8"/>
          <w:sz w:val="20"/>
          <w:szCs w:val="20"/>
        </w:rPr>
        <w:t>些细化，</w:t>
      </w:r>
      <w:r>
        <w:rPr>
          <w:rFonts w:ascii="宋体" w:hAnsi="宋体" w:eastAsia="宋体" w:cs="宋体"/>
          <w:spacing w:val="9"/>
          <w:sz w:val="20"/>
          <w:szCs w:val="20"/>
        </w:rPr>
        <w:t>评标委员会应当按照本附件所规定的详细程序开展并完成评标工作。</w:t>
      </w:r>
    </w:p>
    <w:p w14:paraId="7AA2C861">
      <w:pPr>
        <w:pStyle w:val="2"/>
        <w:spacing w:before="1" w:line="221" w:lineRule="auto"/>
        <w:outlineLvl w:val="2"/>
        <w:rPr>
          <w:sz w:val="24"/>
          <w:szCs w:val="24"/>
        </w:rPr>
      </w:pPr>
      <w:bookmarkStart w:id="122" w:name="bookmark109"/>
      <w:bookmarkEnd w:id="122"/>
      <w:r>
        <w:rPr>
          <w:rFonts w:ascii="Times New Roman" w:hAnsi="Times New Roman" w:eastAsia="Times New Roman" w:cs="Times New Roman"/>
          <w:spacing w:val="-1"/>
          <w:sz w:val="24"/>
          <w:szCs w:val="24"/>
        </w:rPr>
        <w:t>A1.</w:t>
      </w:r>
      <w:r>
        <w:rPr>
          <w:spacing w:val="-1"/>
          <w:sz w:val="24"/>
          <w:szCs w:val="24"/>
        </w:rPr>
        <w:t>基本程序</w:t>
      </w:r>
    </w:p>
    <w:p w14:paraId="049AE5D6">
      <w:pPr>
        <w:spacing w:before="154" w:line="228" w:lineRule="auto"/>
        <w:ind w:left="425"/>
        <w:rPr>
          <w:rFonts w:ascii="宋体" w:hAnsi="宋体" w:eastAsia="宋体" w:cs="宋体"/>
          <w:sz w:val="20"/>
          <w:szCs w:val="20"/>
        </w:rPr>
      </w:pPr>
      <w:r>
        <w:rPr>
          <w:rFonts w:ascii="宋体" w:hAnsi="宋体" w:eastAsia="宋体" w:cs="宋体"/>
          <w:spacing w:val="8"/>
          <w:sz w:val="20"/>
          <w:szCs w:val="20"/>
        </w:rPr>
        <w:t>评标活动将按以下五个步骤进行：</w:t>
      </w:r>
    </w:p>
    <w:p w14:paraId="3314E99B">
      <w:pPr>
        <w:spacing w:before="245" w:line="228" w:lineRule="auto"/>
        <w:ind w:left="436"/>
        <w:rPr>
          <w:rFonts w:ascii="宋体" w:hAnsi="宋体" w:eastAsia="宋体" w:cs="宋体"/>
          <w:sz w:val="20"/>
          <w:szCs w:val="20"/>
        </w:rPr>
      </w:pPr>
      <w:r>
        <w:rPr>
          <w:rFonts w:ascii="宋体" w:hAnsi="宋体" w:eastAsia="宋体" w:cs="宋体"/>
          <w:spacing w:val="5"/>
          <w:sz w:val="20"/>
          <w:szCs w:val="20"/>
        </w:rPr>
        <w:t>（1）评标准备；</w:t>
      </w:r>
    </w:p>
    <w:p w14:paraId="61249154">
      <w:pPr>
        <w:spacing w:before="245" w:line="228" w:lineRule="auto"/>
        <w:ind w:left="436"/>
        <w:rPr>
          <w:rFonts w:ascii="宋体" w:hAnsi="宋体" w:eastAsia="宋体" w:cs="宋体"/>
          <w:sz w:val="20"/>
          <w:szCs w:val="20"/>
        </w:rPr>
      </w:pPr>
      <w:r>
        <w:rPr>
          <w:rFonts w:ascii="宋体" w:hAnsi="宋体" w:eastAsia="宋体" w:cs="宋体"/>
          <w:spacing w:val="5"/>
          <w:sz w:val="20"/>
          <w:szCs w:val="20"/>
        </w:rPr>
        <w:t>（2）初步评审；</w:t>
      </w:r>
    </w:p>
    <w:p w14:paraId="5CC889FE">
      <w:pPr>
        <w:spacing w:before="245" w:line="228" w:lineRule="auto"/>
        <w:ind w:left="436"/>
        <w:rPr>
          <w:rFonts w:ascii="宋体" w:hAnsi="宋体" w:eastAsia="宋体" w:cs="宋体"/>
          <w:sz w:val="20"/>
          <w:szCs w:val="20"/>
        </w:rPr>
      </w:pPr>
      <w:r>
        <w:rPr>
          <w:rFonts w:ascii="宋体" w:hAnsi="宋体" w:eastAsia="宋体" w:cs="宋体"/>
          <w:spacing w:val="5"/>
          <w:sz w:val="20"/>
          <w:szCs w:val="20"/>
        </w:rPr>
        <w:t>（3）详细评审；</w:t>
      </w:r>
    </w:p>
    <w:p w14:paraId="3CCA19A1">
      <w:pPr>
        <w:spacing w:before="245" w:line="228" w:lineRule="auto"/>
        <w:ind w:left="436"/>
        <w:rPr>
          <w:rFonts w:ascii="宋体" w:hAnsi="宋体" w:eastAsia="宋体" w:cs="宋体"/>
          <w:sz w:val="20"/>
          <w:szCs w:val="20"/>
        </w:rPr>
      </w:pPr>
      <w:r>
        <w:rPr>
          <w:rFonts w:ascii="宋体" w:hAnsi="宋体" w:eastAsia="宋体" w:cs="宋体"/>
          <w:spacing w:val="7"/>
          <w:sz w:val="20"/>
          <w:szCs w:val="20"/>
        </w:rPr>
        <w:t>（4）澄清、说明或补正；</w:t>
      </w:r>
    </w:p>
    <w:p w14:paraId="511CFE5E">
      <w:pPr>
        <w:spacing w:before="245" w:line="226" w:lineRule="auto"/>
        <w:ind w:left="436"/>
        <w:rPr>
          <w:rFonts w:ascii="宋体" w:hAnsi="宋体" w:eastAsia="宋体" w:cs="宋体"/>
          <w:sz w:val="20"/>
          <w:szCs w:val="20"/>
        </w:rPr>
      </w:pPr>
      <w:r>
        <w:rPr>
          <w:rFonts w:ascii="宋体" w:hAnsi="宋体" w:eastAsia="宋体" w:cs="宋体"/>
          <w:spacing w:val="8"/>
          <w:sz w:val="20"/>
          <w:szCs w:val="20"/>
        </w:rPr>
        <w:t>（5）推荐中标候选人或者直接确定中标人及提交评标报告。</w:t>
      </w:r>
    </w:p>
    <w:p w14:paraId="55E5F3CB">
      <w:pPr>
        <w:pStyle w:val="2"/>
        <w:spacing w:before="206" w:line="222" w:lineRule="auto"/>
        <w:outlineLvl w:val="2"/>
        <w:rPr>
          <w:sz w:val="24"/>
          <w:szCs w:val="24"/>
        </w:rPr>
      </w:pPr>
      <w:bookmarkStart w:id="123" w:name="bookmark460"/>
      <w:bookmarkEnd w:id="123"/>
      <w:r>
        <w:rPr>
          <w:rFonts w:ascii="Times New Roman" w:hAnsi="Times New Roman" w:eastAsia="Times New Roman" w:cs="Times New Roman"/>
          <w:spacing w:val="-1"/>
          <w:sz w:val="24"/>
          <w:szCs w:val="24"/>
        </w:rPr>
        <w:t>A2.</w:t>
      </w:r>
      <w:r>
        <w:rPr>
          <w:spacing w:val="-1"/>
          <w:sz w:val="24"/>
          <w:szCs w:val="24"/>
        </w:rPr>
        <w:t>评标准备</w:t>
      </w:r>
    </w:p>
    <w:p w14:paraId="04B0C40F">
      <w:pPr>
        <w:pStyle w:val="2"/>
        <w:spacing w:before="137" w:line="229" w:lineRule="auto"/>
        <w:outlineLvl w:val="3"/>
        <w:rPr>
          <w:sz w:val="20"/>
          <w:szCs w:val="20"/>
        </w:rPr>
      </w:pPr>
      <w:bookmarkStart w:id="124" w:name="bookmark110"/>
      <w:bookmarkEnd w:id="124"/>
      <w:bookmarkStart w:id="125" w:name="bookmark111"/>
      <w:bookmarkEnd w:id="125"/>
      <w:r>
        <w:rPr>
          <w:rFonts w:ascii="Times New Roman" w:hAnsi="Times New Roman" w:eastAsia="Times New Roman" w:cs="Times New Roman"/>
          <w:b/>
          <w:bCs/>
          <w:spacing w:val="6"/>
          <w:sz w:val="20"/>
          <w:szCs w:val="20"/>
        </w:rPr>
        <w:t xml:space="preserve">A2.1 </w:t>
      </w:r>
      <w:r>
        <w:rPr>
          <w:b/>
          <w:bCs/>
          <w:spacing w:val="6"/>
          <w:sz w:val="20"/>
          <w:szCs w:val="20"/>
        </w:rPr>
        <w:t>评标委员会成员签到</w:t>
      </w:r>
    </w:p>
    <w:p w14:paraId="7A6C1168">
      <w:pPr>
        <w:spacing w:before="166" w:line="388" w:lineRule="auto"/>
        <w:ind w:right="2" w:firstLine="425"/>
        <w:rPr>
          <w:rFonts w:ascii="宋体" w:hAnsi="宋体" w:eastAsia="宋体" w:cs="宋体"/>
          <w:sz w:val="20"/>
          <w:szCs w:val="20"/>
        </w:rPr>
      </w:pPr>
      <w:r>
        <w:rPr>
          <w:rFonts w:ascii="宋体" w:hAnsi="宋体" w:eastAsia="宋体" w:cs="宋体"/>
          <w:spacing w:val="12"/>
          <w:sz w:val="20"/>
          <w:szCs w:val="20"/>
        </w:rPr>
        <w:t>评标委员会成员到达评标现场时应在签到表上签到以证明其</w:t>
      </w:r>
      <w:r>
        <w:rPr>
          <w:rFonts w:ascii="宋体" w:hAnsi="宋体" w:eastAsia="宋体" w:cs="宋体"/>
          <w:spacing w:val="11"/>
          <w:sz w:val="20"/>
          <w:szCs w:val="20"/>
        </w:rPr>
        <w:t>出席。评标委员会签到表见</w:t>
      </w:r>
      <w:r>
        <w:rPr>
          <w:rFonts w:ascii="宋体" w:hAnsi="宋体" w:eastAsia="宋体" w:cs="宋体"/>
          <w:b/>
          <w:bCs/>
          <w:spacing w:val="11"/>
          <w:sz w:val="20"/>
          <w:szCs w:val="20"/>
        </w:rPr>
        <w:t>附表</w:t>
      </w:r>
      <w:r>
        <w:rPr>
          <w:rFonts w:ascii="宋体" w:hAnsi="宋体" w:eastAsia="宋体" w:cs="宋体"/>
          <w:b/>
          <w:bCs/>
          <w:spacing w:val="2"/>
          <w:sz w:val="20"/>
          <w:szCs w:val="20"/>
        </w:rPr>
        <w:t>A-1</w:t>
      </w:r>
      <w:r>
        <w:rPr>
          <w:rFonts w:ascii="宋体" w:hAnsi="宋体" w:eastAsia="宋体" w:cs="宋体"/>
          <w:spacing w:val="2"/>
          <w:sz w:val="20"/>
          <w:szCs w:val="20"/>
        </w:rPr>
        <w:t>。</w:t>
      </w:r>
    </w:p>
    <w:p w14:paraId="371A40C8">
      <w:pPr>
        <w:spacing w:before="1" w:line="383" w:lineRule="auto"/>
        <w:ind w:left="7" w:firstLine="418"/>
        <w:jc w:val="both"/>
        <w:rPr>
          <w:rFonts w:ascii="宋体" w:hAnsi="宋体" w:eastAsia="宋体" w:cs="宋体"/>
          <w:sz w:val="20"/>
          <w:szCs w:val="20"/>
        </w:rPr>
      </w:pPr>
      <w:r>
        <w:rPr>
          <w:rFonts w:ascii="宋体" w:hAnsi="宋体" w:eastAsia="宋体" w:cs="宋体"/>
          <w:spacing w:val="11"/>
          <w:sz w:val="20"/>
          <w:szCs w:val="20"/>
        </w:rPr>
        <w:t>评标委员会成员在评标前，应当使用</w:t>
      </w:r>
      <w:r>
        <w:rPr>
          <w:rFonts w:ascii="宋体" w:hAnsi="宋体" w:eastAsia="宋体" w:cs="宋体"/>
          <w:b/>
          <w:bCs/>
          <w:spacing w:val="11"/>
          <w:sz w:val="20"/>
          <w:szCs w:val="20"/>
        </w:rPr>
        <w:t>附表</w:t>
      </w:r>
      <w:r>
        <w:rPr>
          <w:rFonts w:ascii="宋体" w:hAnsi="宋体" w:eastAsia="宋体" w:cs="宋体"/>
          <w:spacing w:val="-41"/>
          <w:sz w:val="20"/>
          <w:szCs w:val="20"/>
        </w:rPr>
        <w:t xml:space="preserve"> </w:t>
      </w:r>
      <w:r>
        <w:rPr>
          <w:rFonts w:ascii="宋体" w:hAnsi="宋体" w:eastAsia="宋体" w:cs="宋体"/>
          <w:b/>
          <w:bCs/>
          <w:spacing w:val="11"/>
          <w:sz w:val="20"/>
          <w:szCs w:val="20"/>
        </w:rPr>
        <w:t>A-2</w:t>
      </w:r>
      <w:r>
        <w:rPr>
          <w:rFonts w:ascii="宋体" w:hAnsi="宋体" w:eastAsia="宋体" w:cs="宋体"/>
          <w:spacing w:val="-38"/>
          <w:sz w:val="20"/>
          <w:szCs w:val="20"/>
        </w:rPr>
        <w:t xml:space="preserve"> </w:t>
      </w:r>
      <w:r>
        <w:rPr>
          <w:rFonts w:ascii="宋体" w:hAnsi="宋体" w:eastAsia="宋体" w:cs="宋体"/>
          <w:spacing w:val="11"/>
          <w:sz w:val="20"/>
          <w:szCs w:val="20"/>
        </w:rPr>
        <w:t>签署评标专家声明书。</w:t>
      </w:r>
      <w:r>
        <w:rPr>
          <w:rFonts w:ascii="宋体" w:hAnsi="宋体" w:eastAsia="宋体" w:cs="宋体"/>
          <w:spacing w:val="10"/>
          <w:sz w:val="20"/>
          <w:szCs w:val="20"/>
        </w:rPr>
        <w:t>声明本人不存在法律法</w:t>
      </w:r>
      <w:r>
        <w:rPr>
          <w:rFonts w:ascii="宋体" w:hAnsi="宋体" w:eastAsia="宋体" w:cs="宋体"/>
          <w:spacing w:val="12"/>
          <w:sz w:val="20"/>
          <w:szCs w:val="20"/>
        </w:rPr>
        <w:t>规定的应当回避情形，保证遵守有关评标管理规定以及评标纪律，</w:t>
      </w:r>
      <w:r>
        <w:rPr>
          <w:rFonts w:ascii="宋体" w:hAnsi="宋体" w:eastAsia="宋体" w:cs="宋体"/>
          <w:spacing w:val="11"/>
          <w:sz w:val="20"/>
          <w:szCs w:val="20"/>
        </w:rPr>
        <w:t>客观、公正地进行评标，并接</w:t>
      </w:r>
      <w:r>
        <w:rPr>
          <w:rFonts w:ascii="宋体" w:hAnsi="宋体" w:eastAsia="宋体" w:cs="宋体"/>
          <w:spacing w:val="8"/>
          <w:sz w:val="20"/>
          <w:szCs w:val="20"/>
        </w:rPr>
        <w:t>受招投标监管部门的监督。</w:t>
      </w:r>
    </w:p>
    <w:p w14:paraId="12D0FDB9">
      <w:pPr>
        <w:pStyle w:val="2"/>
        <w:spacing w:line="229" w:lineRule="auto"/>
        <w:outlineLvl w:val="3"/>
        <w:rPr>
          <w:sz w:val="20"/>
          <w:szCs w:val="20"/>
        </w:rPr>
      </w:pPr>
      <w:bookmarkStart w:id="126" w:name="bookmark112"/>
      <w:bookmarkEnd w:id="126"/>
      <w:r>
        <w:rPr>
          <w:rFonts w:ascii="Times New Roman" w:hAnsi="Times New Roman" w:eastAsia="Times New Roman" w:cs="Times New Roman"/>
          <w:b/>
          <w:bCs/>
          <w:spacing w:val="6"/>
          <w:sz w:val="20"/>
          <w:szCs w:val="20"/>
        </w:rPr>
        <w:t xml:space="preserve">A2.2 </w:t>
      </w:r>
      <w:r>
        <w:rPr>
          <w:b/>
          <w:bCs/>
          <w:spacing w:val="6"/>
          <w:sz w:val="20"/>
          <w:szCs w:val="20"/>
        </w:rPr>
        <w:t>评标委员会的分工</w:t>
      </w:r>
    </w:p>
    <w:p w14:paraId="5F095696">
      <w:pPr>
        <w:spacing w:before="165" w:line="389" w:lineRule="auto"/>
        <w:ind w:left="7" w:firstLine="412"/>
        <w:rPr>
          <w:rFonts w:ascii="宋体" w:hAnsi="宋体" w:eastAsia="宋体" w:cs="宋体"/>
          <w:sz w:val="20"/>
          <w:szCs w:val="20"/>
        </w:rPr>
      </w:pPr>
      <w:r>
        <w:rPr>
          <w:rFonts w:ascii="宋体" w:hAnsi="宋体" w:eastAsia="宋体" w:cs="宋体"/>
          <w:spacing w:val="10"/>
          <w:sz w:val="20"/>
          <w:szCs w:val="20"/>
        </w:rPr>
        <w:t>A2.2.1</w:t>
      </w:r>
      <w:r>
        <w:rPr>
          <w:rFonts w:ascii="宋体" w:hAnsi="宋体" w:eastAsia="宋体" w:cs="宋体"/>
          <w:spacing w:val="-39"/>
          <w:sz w:val="20"/>
          <w:szCs w:val="20"/>
        </w:rPr>
        <w:t xml:space="preserve"> </w:t>
      </w:r>
      <w:r>
        <w:rPr>
          <w:rFonts w:ascii="宋体" w:hAnsi="宋体" w:eastAsia="宋体" w:cs="宋体"/>
          <w:spacing w:val="10"/>
          <w:sz w:val="20"/>
          <w:szCs w:val="20"/>
        </w:rPr>
        <w:t>评标委员会首先推选一名评标委员会主任。招标人也可</w:t>
      </w:r>
      <w:r>
        <w:rPr>
          <w:rFonts w:ascii="宋体" w:hAnsi="宋体" w:eastAsia="宋体" w:cs="宋体"/>
          <w:spacing w:val="9"/>
          <w:sz w:val="20"/>
          <w:szCs w:val="20"/>
        </w:rPr>
        <w:t>以直接指定评标委员会主任。</w:t>
      </w:r>
      <w:r>
        <w:rPr>
          <w:rFonts w:ascii="宋体" w:hAnsi="宋体" w:eastAsia="宋体" w:cs="宋体"/>
          <w:spacing w:val="12"/>
          <w:sz w:val="20"/>
          <w:szCs w:val="20"/>
        </w:rPr>
        <w:t>如招标人指定的评标委员会主任是招标人的代表，则该成员应当具</w:t>
      </w:r>
      <w:r>
        <w:rPr>
          <w:rFonts w:ascii="宋体" w:hAnsi="宋体" w:eastAsia="宋体" w:cs="宋体"/>
          <w:spacing w:val="11"/>
          <w:sz w:val="20"/>
          <w:szCs w:val="20"/>
        </w:rPr>
        <w:t>备招标工程相关专业中级以上</w:t>
      </w:r>
      <w:r>
        <w:rPr>
          <w:rFonts w:ascii="宋体" w:hAnsi="宋体" w:eastAsia="宋体" w:cs="宋体"/>
          <w:spacing w:val="12"/>
          <w:sz w:val="20"/>
          <w:szCs w:val="20"/>
        </w:rPr>
        <w:t>技术职称，熟悉有关招标投标的法律法规，并熟悉招标项目的情况</w:t>
      </w:r>
      <w:r>
        <w:rPr>
          <w:rFonts w:ascii="宋体" w:hAnsi="宋体" w:eastAsia="宋体" w:cs="宋体"/>
          <w:spacing w:val="11"/>
          <w:sz w:val="20"/>
          <w:szCs w:val="20"/>
        </w:rPr>
        <w:t>。评标委员会主任负责评标活</w:t>
      </w:r>
      <w:r>
        <w:rPr>
          <w:rFonts w:ascii="宋体" w:hAnsi="宋体" w:eastAsia="宋体" w:cs="宋体"/>
          <w:spacing w:val="6"/>
          <w:sz w:val="20"/>
          <w:szCs w:val="20"/>
        </w:rPr>
        <w:t>动的组织工作。</w:t>
      </w:r>
    </w:p>
    <w:p w14:paraId="740A197C">
      <w:pPr>
        <w:spacing w:before="3" w:line="398" w:lineRule="auto"/>
        <w:ind w:left="7" w:firstLine="412"/>
        <w:rPr>
          <w:rFonts w:ascii="宋体" w:hAnsi="宋体" w:eastAsia="宋体" w:cs="宋体"/>
          <w:sz w:val="20"/>
          <w:szCs w:val="20"/>
        </w:rPr>
      </w:pPr>
      <w:r>
        <w:rPr>
          <w:rFonts w:ascii="宋体" w:hAnsi="宋体" w:eastAsia="宋体" w:cs="宋体"/>
          <w:spacing w:val="10"/>
          <w:sz w:val="20"/>
          <w:szCs w:val="20"/>
        </w:rPr>
        <w:t>A2.2.2</w:t>
      </w:r>
      <w:r>
        <w:rPr>
          <w:rFonts w:ascii="宋体" w:hAnsi="宋体" w:eastAsia="宋体" w:cs="宋体"/>
          <w:spacing w:val="-39"/>
          <w:sz w:val="20"/>
          <w:szCs w:val="20"/>
        </w:rPr>
        <w:t xml:space="preserve"> </w:t>
      </w:r>
      <w:r>
        <w:rPr>
          <w:rFonts w:ascii="宋体" w:hAnsi="宋体" w:eastAsia="宋体" w:cs="宋体"/>
          <w:spacing w:val="10"/>
          <w:sz w:val="20"/>
          <w:szCs w:val="20"/>
        </w:rPr>
        <w:t>评标委员会主任除履行自己作为评标委员会成员独立评</w:t>
      </w:r>
      <w:r>
        <w:rPr>
          <w:rFonts w:ascii="宋体" w:hAnsi="宋体" w:eastAsia="宋体" w:cs="宋体"/>
          <w:spacing w:val="9"/>
          <w:sz w:val="20"/>
          <w:szCs w:val="20"/>
        </w:rPr>
        <w:t>标的职责外，主要负责以下工</w:t>
      </w:r>
      <w:r>
        <w:rPr>
          <w:rFonts w:ascii="宋体" w:hAnsi="宋体" w:eastAsia="宋体" w:cs="宋体"/>
          <w:sz w:val="20"/>
          <w:szCs w:val="20"/>
        </w:rPr>
        <w:t>作：</w:t>
      </w:r>
    </w:p>
    <w:p w14:paraId="793956FD">
      <w:pPr>
        <w:spacing w:before="1" w:line="226" w:lineRule="auto"/>
        <w:ind w:left="436"/>
        <w:rPr>
          <w:rFonts w:ascii="宋体" w:hAnsi="宋体" w:eastAsia="宋体" w:cs="宋体"/>
          <w:sz w:val="20"/>
          <w:szCs w:val="20"/>
        </w:rPr>
      </w:pPr>
      <w:r>
        <w:rPr>
          <w:rFonts w:ascii="宋体" w:hAnsi="宋体" w:eastAsia="宋体" w:cs="宋体"/>
          <w:spacing w:val="9"/>
          <w:sz w:val="20"/>
          <w:szCs w:val="20"/>
        </w:rPr>
        <w:t>（1） 组织评标委员会成员学习招标文件中载</w:t>
      </w:r>
      <w:r>
        <w:rPr>
          <w:rFonts w:ascii="宋体" w:hAnsi="宋体" w:eastAsia="宋体" w:cs="宋体"/>
          <w:spacing w:val="8"/>
          <w:sz w:val="20"/>
          <w:szCs w:val="20"/>
        </w:rPr>
        <w:t>明的评标标准和方法；</w:t>
      </w:r>
    </w:p>
    <w:p w14:paraId="22126658">
      <w:pPr>
        <w:spacing w:before="183" w:line="227" w:lineRule="auto"/>
        <w:ind w:left="436"/>
        <w:rPr>
          <w:rFonts w:ascii="宋体" w:hAnsi="宋体" w:eastAsia="宋体" w:cs="宋体"/>
          <w:sz w:val="20"/>
          <w:szCs w:val="20"/>
        </w:rPr>
      </w:pPr>
      <w:r>
        <w:rPr>
          <w:rFonts w:ascii="宋体" w:hAnsi="宋体" w:eastAsia="宋体" w:cs="宋体"/>
          <w:spacing w:val="9"/>
          <w:sz w:val="20"/>
          <w:szCs w:val="20"/>
        </w:rPr>
        <w:t>（2） 提醒招标人做好评标准备工作，包括提供所需</w:t>
      </w:r>
      <w:r>
        <w:rPr>
          <w:rFonts w:ascii="宋体" w:hAnsi="宋体" w:eastAsia="宋体" w:cs="宋体"/>
          <w:spacing w:val="8"/>
          <w:sz w:val="20"/>
          <w:szCs w:val="20"/>
        </w:rPr>
        <w:t>的评标基础资料，</w:t>
      </w:r>
    </w:p>
    <w:p w14:paraId="308AE2D6">
      <w:pPr>
        <w:spacing w:before="184" w:line="227" w:lineRule="auto"/>
        <w:jc w:val="right"/>
        <w:rPr>
          <w:rFonts w:ascii="宋体" w:hAnsi="宋体" w:eastAsia="宋体" w:cs="宋体"/>
          <w:sz w:val="20"/>
          <w:szCs w:val="20"/>
        </w:rPr>
      </w:pPr>
      <w:r>
        <w:rPr>
          <w:rFonts w:ascii="宋体" w:hAnsi="宋体" w:eastAsia="宋体" w:cs="宋体"/>
          <w:spacing w:val="11"/>
          <w:sz w:val="20"/>
          <w:szCs w:val="20"/>
        </w:rPr>
        <w:t>（3） 汇总各评标委员会成员认为需要投标人澄清、说明或者补正的问题，组织评标委员会</w:t>
      </w:r>
    </w:p>
    <w:p w14:paraId="60F553A6">
      <w:pPr>
        <w:spacing w:line="227" w:lineRule="auto"/>
        <w:rPr>
          <w:rFonts w:ascii="宋体" w:hAnsi="宋体" w:eastAsia="宋体" w:cs="宋体"/>
          <w:sz w:val="20"/>
          <w:szCs w:val="20"/>
        </w:rPr>
        <w:sectPr>
          <w:footerReference r:id="rId108" w:type="default"/>
          <w:pgSz w:w="11907" w:h="16840"/>
          <w:pgMar w:top="400" w:right="1531" w:bottom="1035" w:left="1475" w:header="0" w:footer="785" w:gutter="0"/>
          <w:cols w:space="720" w:num="1"/>
        </w:sectPr>
      </w:pPr>
    </w:p>
    <w:p w14:paraId="6C19D52E">
      <w:pPr>
        <w:spacing w:line="278" w:lineRule="auto"/>
        <w:rPr>
          <w:rFonts w:ascii="Arial"/>
          <w:sz w:val="21"/>
        </w:rPr>
      </w:pPr>
    </w:p>
    <w:p w14:paraId="45C65633">
      <w:pPr>
        <w:spacing w:line="278" w:lineRule="auto"/>
        <w:rPr>
          <w:rFonts w:ascii="Arial"/>
          <w:sz w:val="21"/>
        </w:rPr>
      </w:pPr>
    </w:p>
    <w:p w14:paraId="356E84EA">
      <w:pPr>
        <w:spacing w:line="278" w:lineRule="auto"/>
        <w:rPr>
          <w:rFonts w:ascii="Arial"/>
          <w:sz w:val="21"/>
        </w:rPr>
      </w:pPr>
    </w:p>
    <w:p w14:paraId="1DC88ACA">
      <w:pPr>
        <w:spacing w:line="279" w:lineRule="auto"/>
        <w:rPr>
          <w:rFonts w:ascii="Arial"/>
          <w:sz w:val="21"/>
        </w:rPr>
      </w:pPr>
    </w:p>
    <w:p w14:paraId="2C076F5F">
      <w:pPr>
        <w:spacing w:line="279" w:lineRule="auto"/>
        <w:rPr>
          <w:rFonts w:ascii="Arial"/>
          <w:sz w:val="21"/>
        </w:rPr>
      </w:pPr>
    </w:p>
    <w:p w14:paraId="4C01F7DB">
      <w:pPr>
        <w:spacing w:before="65" w:line="228" w:lineRule="auto"/>
        <w:ind w:left="5"/>
        <w:rPr>
          <w:rFonts w:ascii="宋体" w:hAnsi="宋体" w:eastAsia="宋体" w:cs="宋体"/>
          <w:sz w:val="20"/>
          <w:szCs w:val="20"/>
        </w:rPr>
      </w:pPr>
      <w:r>
        <w:rPr>
          <w:rFonts w:ascii="宋体" w:hAnsi="宋体" w:eastAsia="宋体" w:cs="宋体"/>
          <w:spacing w:val="8"/>
          <w:sz w:val="20"/>
          <w:szCs w:val="20"/>
        </w:rPr>
        <w:t>对投标人质询并对投标人的答复进行评审；</w:t>
      </w:r>
    </w:p>
    <w:p w14:paraId="087719D2">
      <w:pPr>
        <w:spacing w:before="182" w:line="227" w:lineRule="auto"/>
        <w:ind w:left="436"/>
        <w:rPr>
          <w:rFonts w:ascii="宋体" w:hAnsi="宋体" w:eastAsia="宋体" w:cs="宋体"/>
          <w:sz w:val="20"/>
          <w:szCs w:val="20"/>
        </w:rPr>
      </w:pPr>
      <w:r>
        <w:rPr>
          <w:rFonts w:ascii="宋体" w:hAnsi="宋体" w:eastAsia="宋体" w:cs="宋体"/>
          <w:spacing w:val="8"/>
          <w:sz w:val="20"/>
          <w:szCs w:val="20"/>
        </w:rPr>
        <w:t>（4） 对出现较大争议的事项进行书面记录；</w:t>
      </w:r>
    </w:p>
    <w:p w14:paraId="7CBB6FE3">
      <w:pPr>
        <w:spacing w:before="183" w:line="228" w:lineRule="auto"/>
        <w:ind w:left="436"/>
        <w:rPr>
          <w:rFonts w:ascii="宋体" w:hAnsi="宋体" w:eastAsia="宋体" w:cs="宋体"/>
          <w:sz w:val="20"/>
          <w:szCs w:val="20"/>
        </w:rPr>
      </w:pPr>
      <w:r>
        <w:rPr>
          <w:rFonts w:ascii="宋体" w:hAnsi="宋体" w:eastAsia="宋体" w:cs="宋体"/>
          <w:spacing w:val="8"/>
          <w:sz w:val="20"/>
          <w:szCs w:val="20"/>
        </w:rPr>
        <w:t>（5） 查验评标用表格和评标记录的完整性及有效性；</w:t>
      </w:r>
    </w:p>
    <w:p w14:paraId="536DCBA7">
      <w:pPr>
        <w:spacing w:before="183" w:line="228" w:lineRule="auto"/>
        <w:ind w:left="436"/>
        <w:rPr>
          <w:rFonts w:ascii="宋体" w:hAnsi="宋体" w:eastAsia="宋体" w:cs="宋体"/>
          <w:sz w:val="20"/>
          <w:szCs w:val="20"/>
        </w:rPr>
      </w:pPr>
      <w:r>
        <w:rPr>
          <w:rFonts w:ascii="宋体" w:hAnsi="宋体" w:eastAsia="宋体" w:cs="宋体"/>
          <w:spacing w:val="7"/>
          <w:sz w:val="20"/>
          <w:szCs w:val="20"/>
        </w:rPr>
        <w:t>（6） 组织对评标结论进行复核确认；</w:t>
      </w:r>
    </w:p>
    <w:p w14:paraId="435C2843">
      <w:pPr>
        <w:spacing w:before="175" w:line="226" w:lineRule="auto"/>
        <w:ind w:left="436"/>
        <w:rPr>
          <w:rFonts w:ascii="宋体" w:hAnsi="宋体" w:eastAsia="宋体" w:cs="宋体"/>
          <w:sz w:val="20"/>
          <w:szCs w:val="20"/>
        </w:rPr>
      </w:pPr>
      <w:r>
        <w:rPr>
          <w:rFonts w:ascii="宋体" w:hAnsi="宋体" w:eastAsia="宋体" w:cs="宋体"/>
          <w:spacing w:val="8"/>
          <w:sz w:val="20"/>
          <w:szCs w:val="20"/>
        </w:rPr>
        <w:t>（7） 组织编写评标报告，推荐中标候选人。</w:t>
      </w:r>
    </w:p>
    <w:p w14:paraId="5577A6B1">
      <w:pPr>
        <w:spacing w:before="174" w:line="380" w:lineRule="auto"/>
        <w:ind w:left="8" w:right="71" w:firstLine="411"/>
        <w:rPr>
          <w:rFonts w:ascii="宋体" w:hAnsi="宋体" w:eastAsia="宋体" w:cs="宋体"/>
          <w:sz w:val="20"/>
          <w:szCs w:val="20"/>
        </w:rPr>
      </w:pPr>
      <w:r>
        <w:rPr>
          <w:rFonts w:ascii="宋体" w:hAnsi="宋体" w:eastAsia="宋体" w:cs="宋体"/>
          <w:spacing w:val="10"/>
          <w:sz w:val="20"/>
          <w:szCs w:val="20"/>
        </w:rPr>
        <w:t>A2.2.3</w:t>
      </w:r>
      <w:r>
        <w:rPr>
          <w:rFonts w:ascii="宋体" w:hAnsi="宋体" w:eastAsia="宋体" w:cs="宋体"/>
          <w:spacing w:val="-39"/>
          <w:sz w:val="20"/>
          <w:szCs w:val="20"/>
        </w:rPr>
        <w:t xml:space="preserve"> </w:t>
      </w:r>
      <w:r>
        <w:rPr>
          <w:rFonts w:ascii="宋体" w:hAnsi="宋体" w:eastAsia="宋体" w:cs="宋体"/>
          <w:spacing w:val="10"/>
          <w:sz w:val="20"/>
          <w:szCs w:val="20"/>
        </w:rPr>
        <w:t>评标委员会主任在与其他评标委员会成员商议的基础上</w:t>
      </w:r>
      <w:r>
        <w:rPr>
          <w:rFonts w:ascii="宋体" w:hAnsi="宋体" w:eastAsia="宋体" w:cs="宋体"/>
          <w:spacing w:val="9"/>
          <w:sz w:val="20"/>
          <w:szCs w:val="20"/>
        </w:rPr>
        <w:t>可以将评标委员会划分为技术</w:t>
      </w:r>
      <w:r>
        <w:rPr>
          <w:rFonts w:ascii="宋体" w:hAnsi="宋体" w:eastAsia="宋体" w:cs="宋体"/>
          <w:spacing w:val="6"/>
          <w:sz w:val="20"/>
          <w:szCs w:val="20"/>
        </w:rPr>
        <w:t>组和商务组。</w:t>
      </w:r>
    </w:p>
    <w:p w14:paraId="13D078A4">
      <w:pPr>
        <w:pStyle w:val="2"/>
        <w:spacing w:before="1" w:line="229" w:lineRule="auto"/>
        <w:outlineLvl w:val="3"/>
        <w:rPr>
          <w:sz w:val="20"/>
          <w:szCs w:val="20"/>
        </w:rPr>
      </w:pPr>
      <w:bookmarkStart w:id="127" w:name="bookmark113"/>
      <w:bookmarkEnd w:id="127"/>
      <w:r>
        <w:rPr>
          <w:rFonts w:ascii="Times New Roman" w:hAnsi="Times New Roman" w:eastAsia="Times New Roman" w:cs="Times New Roman"/>
          <w:b/>
          <w:bCs/>
          <w:spacing w:val="6"/>
          <w:sz w:val="20"/>
          <w:szCs w:val="20"/>
        </w:rPr>
        <w:t xml:space="preserve">A2.3 </w:t>
      </w:r>
      <w:r>
        <w:rPr>
          <w:b/>
          <w:bCs/>
          <w:spacing w:val="6"/>
          <w:sz w:val="20"/>
          <w:szCs w:val="20"/>
        </w:rPr>
        <w:t>熟悉文件资料</w:t>
      </w:r>
    </w:p>
    <w:p w14:paraId="47B1BFC8">
      <w:pPr>
        <w:spacing w:before="170" w:line="388" w:lineRule="auto"/>
        <w:ind w:left="5" w:right="71" w:firstLine="414"/>
        <w:jc w:val="both"/>
        <w:rPr>
          <w:rFonts w:ascii="宋体" w:hAnsi="宋体" w:eastAsia="宋体" w:cs="宋体"/>
          <w:sz w:val="20"/>
          <w:szCs w:val="20"/>
        </w:rPr>
      </w:pPr>
      <w:r>
        <w:rPr>
          <w:rFonts w:ascii="宋体" w:hAnsi="宋体" w:eastAsia="宋体" w:cs="宋体"/>
          <w:spacing w:val="10"/>
          <w:sz w:val="20"/>
          <w:szCs w:val="20"/>
        </w:rPr>
        <w:t>A2.3.1</w:t>
      </w:r>
      <w:r>
        <w:rPr>
          <w:rFonts w:ascii="宋体" w:hAnsi="宋体" w:eastAsia="宋体" w:cs="宋体"/>
          <w:spacing w:val="-39"/>
          <w:sz w:val="20"/>
          <w:szCs w:val="20"/>
        </w:rPr>
        <w:t xml:space="preserve"> </w:t>
      </w:r>
      <w:r>
        <w:rPr>
          <w:rFonts w:ascii="宋体" w:hAnsi="宋体" w:eastAsia="宋体" w:cs="宋体"/>
          <w:spacing w:val="10"/>
          <w:sz w:val="20"/>
          <w:szCs w:val="20"/>
        </w:rPr>
        <w:t>评标委员会主任应组织评标委员会成员认真研究招标文</w:t>
      </w:r>
      <w:r>
        <w:rPr>
          <w:rFonts w:ascii="宋体" w:hAnsi="宋体" w:eastAsia="宋体" w:cs="宋体"/>
          <w:spacing w:val="9"/>
          <w:sz w:val="20"/>
          <w:szCs w:val="20"/>
        </w:rPr>
        <w:t>件，了解和熟悉招标目的、招</w:t>
      </w:r>
      <w:r>
        <w:rPr>
          <w:rFonts w:ascii="宋体" w:hAnsi="宋体" w:eastAsia="宋体" w:cs="宋体"/>
          <w:spacing w:val="12"/>
          <w:sz w:val="20"/>
          <w:szCs w:val="20"/>
        </w:rPr>
        <w:t>标范围、主要合同条件、技术标准和要求、质量标准和工期要求，掌握</w:t>
      </w:r>
      <w:r>
        <w:rPr>
          <w:rFonts w:ascii="宋体" w:hAnsi="宋体" w:eastAsia="宋体" w:cs="宋体"/>
          <w:spacing w:val="11"/>
          <w:sz w:val="20"/>
          <w:szCs w:val="20"/>
        </w:rPr>
        <w:t>评标标准和方法，熟悉本</w:t>
      </w:r>
      <w:r>
        <w:rPr>
          <w:rFonts w:ascii="宋体" w:hAnsi="宋体" w:eastAsia="宋体" w:cs="宋体"/>
          <w:spacing w:val="12"/>
          <w:sz w:val="20"/>
          <w:szCs w:val="20"/>
        </w:rPr>
        <w:t>章及附件中包括的评标表格的使用，如果本章及附件所附的表格不能满</w:t>
      </w:r>
      <w:r>
        <w:rPr>
          <w:rFonts w:ascii="宋体" w:hAnsi="宋体" w:eastAsia="宋体" w:cs="宋体"/>
          <w:spacing w:val="11"/>
          <w:sz w:val="20"/>
          <w:szCs w:val="20"/>
        </w:rPr>
        <w:t>足评标所需时，评标委员</w:t>
      </w:r>
      <w:r>
        <w:rPr>
          <w:rFonts w:ascii="宋体" w:hAnsi="宋体" w:eastAsia="宋体" w:cs="宋体"/>
          <w:spacing w:val="12"/>
          <w:sz w:val="20"/>
          <w:szCs w:val="20"/>
        </w:rPr>
        <w:t>会应补充编制评标所需的表格，尤其是用于详细分析计算的表格。未在</w:t>
      </w:r>
      <w:r>
        <w:rPr>
          <w:rFonts w:ascii="宋体" w:hAnsi="宋体" w:eastAsia="宋体" w:cs="宋体"/>
          <w:spacing w:val="11"/>
          <w:sz w:val="20"/>
          <w:szCs w:val="20"/>
        </w:rPr>
        <w:t>招标文件中规定的标准和</w:t>
      </w:r>
      <w:r>
        <w:rPr>
          <w:rFonts w:ascii="宋体" w:hAnsi="宋体" w:eastAsia="宋体" w:cs="宋体"/>
          <w:spacing w:val="8"/>
          <w:sz w:val="20"/>
          <w:szCs w:val="20"/>
        </w:rPr>
        <w:t>方法不得作为评标的依据。</w:t>
      </w:r>
    </w:p>
    <w:p w14:paraId="7DD83A84">
      <w:pPr>
        <w:spacing w:before="4" w:line="227" w:lineRule="auto"/>
        <w:ind w:left="420"/>
        <w:rPr>
          <w:rFonts w:ascii="宋体" w:hAnsi="宋体" w:eastAsia="宋体" w:cs="宋体"/>
          <w:sz w:val="20"/>
          <w:szCs w:val="20"/>
        </w:rPr>
      </w:pPr>
      <w:r>
        <w:rPr>
          <w:rFonts w:ascii="宋体" w:hAnsi="宋体" w:eastAsia="宋体" w:cs="宋体"/>
          <w:spacing w:val="9"/>
          <w:sz w:val="20"/>
          <w:szCs w:val="20"/>
        </w:rPr>
        <w:t>A2.3.2</w:t>
      </w:r>
      <w:r>
        <w:rPr>
          <w:rFonts w:ascii="宋体" w:hAnsi="宋体" w:eastAsia="宋体" w:cs="宋体"/>
          <w:spacing w:val="-39"/>
          <w:sz w:val="20"/>
          <w:szCs w:val="20"/>
        </w:rPr>
        <w:t xml:space="preserve"> </w:t>
      </w:r>
      <w:r>
        <w:rPr>
          <w:rFonts w:ascii="宋体" w:hAnsi="宋体" w:eastAsia="宋体" w:cs="宋体"/>
          <w:spacing w:val="9"/>
          <w:sz w:val="20"/>
          <w:szCs w:val="20"/>
        </w:rPr>
        <w:t>招标人或招标代理机构应向评标委员会</w:t>
      </w:r>
      <w:r>
        <w:rPr>
          <w:rFonts w:ascii="宋体" w:hAnsi="宋体" w:eastAsia="宋体" w:cs="宋体"/>
          <w:spacing w:val="8"/>
          <w:sz w:val="20"/>
          <w:szCs w:val="20"/>
        </w:rPr>
        <w:t>提供评标所需的信息和数据，包括：</w:t>
      </w:r>
    </w:p>
    <w:p w14:paraId="56969684">
      <w:pPr>
        <w:spacing w:before="184" w:line="228" w:lineRule="auto"/>
        <w:ind w:left="436"/>
        <w:rPr>
          <w:rFonts w:ascii="宋体" w:hAnsi="宋体" w:eastAsia="宋体" w:cs="宋体"/>
          <w:sz w:val="20"/>
          <w:szCs w:val="20"/>
        </w:rPr>
      </w:pPr>
      <w:r>
        <w:rPr>
          <w:rFonts w:ascii="宋体" w:hAnsi="宋体" w:eastAsia="宋体" w:cs="宋体"/>
          <w:spacing w:val="9"/>
          <w:sz w:val="20"/>
          <w:szCs w:val="20"/>
        </w:rPr>
        <w:t>（1）经招投标监管部门备案的招标文件及</w:t>
      </w:r>
      <w:r>
        <w:rPr>
          <w:rFonts w:ascii="宋体" w:hAnsi="宋体" w:eastAsia="宋体" w:cs="宋体"/>
          <w:spacing w:val="8"/>
          <w:sz w:val="20"/>
          <w:szCs w:val="20"/>
        </w:rPr>
        <w:t>其澄清、修改文件；</w:t>
      </w:r>
    </w:p>
    <w:p w14:paraId="734B6C60">
      <w:pPr>
        <w:spacing w:before="183" w:line="227" w:lineRule="auto"/>
        <w:ind w:left="436"/>
        <w:rPr>
          <w:rFonts w:ascii="宋体" w:hAnsi="宋体" w:eastAsia="宋体" w:cs="宋体"/>
          <w:sz w:val="20"/>
          <w:szCs w:val="20"/>
        </w:rPr>
      </w:pPr>
      <w:r>
        <w:rPr>
          <w:rFonts w:ascii="宋体" w:hAnsi="宋体" w:eastAsia="宋体" w:cs="宋体"/>
          <w:spacing w:val="8"/>
          <w:sz w:val="20"/>
          <w:szCs w:val="20"/>
        </w:rPr>
        <w:t>（2）未在开标会上当场拒绝的各投标文件；</w:t>
      </w:r>
    </w:p>
    <w:p w14:paraId="320A892C">
      <w:pPr>
        <w:spacing w:before="184" w:line="228" w:lineRule="auto"/>
        <w:ind w:left="436"/>
        <w:rPr>
          <w:rFonts w:ascii="宋体" w:hAnsi="宋体" w:eastAsia="宋体" w:cs="宋体"/>
          <w:sz w:val="20"/>
          <w:szCs w:val="20"/>
        </w:rPr>
      </w:pPr>
      <w:r>
        <w:rPr>
          <w:rFonts w:ascii="宋体" w:hAnsi="宋体" w:eastAsia="宋体" w:cs="宋体"/>
          <w:spacing w:val="5"/>
          <w:sz w:val="20"/>
          <w:szCs w:val="20"/>
        </w:rPr>
        <w:t>（3）开标记录表；</w:t>
      </w:r>
    </w:p>
    <w:p w14:paraId="345F6BC8">
      <w:pPr>
        <w:spacing w:before="184" w:line="397" w:lineRule="auto"/>
        <w:ind w:left="5" w:right="73" w:firstLine="430"/>
        <w:rPr>
          <w:rFonts w:ascii="宋体" w:hAnsi="宋体" w:eastAsia="宋体" w:cs="宋体"/>
          <w:sz w:val="20"/>
          <w:szCs w:val="20"/>
        </w:rPr>
      </w:pPr>
      <w:r>
        <w:rPr>
          <w:rFonts w:ascii="宋体" w:hAnsi="宋体" w:eastAsia="宋体" w:cs="宋体"/>
          <w:spacing w:val="9"/>
          <w:sz w:val="20"/>
          <w:szCs w:val="20"/>
        </w:rPr>
        <w:t>（4）招标控制价、工程所在地工程造价管理部门颁布的工程造价信息、</w:t>
      </w:r>
      <w:r>
        <w:rPr>
          <w:rFonts w:ascii="宋体" w:hAnsi="宋体" w:eastAsia="宋体" w:cs="宋体"/>
          <w:spacing w:val="8"/>
          <w:sz w:val="20"/>
          <w:szCs w:val="20"/>
        </w:rPr>
        <w:t>定额（如作为计价依</w:t>
      </w:r>
      <w:r>
        <w:rPr>
          <w:rFonts w:ascii="宋体" w:hAnsi="宋体" w:eastAsia="宋体" w:cs="宋体"/>
          <w:spacing w:val="5"/>
          <w:sz w:val="20"/>
          <w:szCs w:val="20"/>
        </w:rPr>
        <w:t>据时</w:t>
      </w:r>
      <w:r>
        <w:rPr>
          <w:rFonts w:ascii="宋体" w:hAnsi="宋体" w:eastAsia="宋体" w:cs="宋体"/>
          <w:spacing w:val="-54"/>
          <w:sz w:val="20"/>
          <w:szCs w:val="20"/>
        </w:rPr>
        <w:t>）；</w:t>
      </w:r>
    </w:p>
    <w:p w14:paraId="4C5E2F5F">
      <w:pPr>
        <w:spacing w:line="227" w:lineRule="auto"/>
        <w:ind w:left="436"/>
        <w:rPr>
          <w:rFonts w:ascii="宋体" w:hAnsi="宋体" w:eastAsia="宋体" w:cs="宋体"/>
          <w:sz w:val="20"/>
          <w:szCs w:val="20"/>
        </w:rPr>
      </w:pPr>
      <w:r>
        <w:rPr>
          <w:rFonts w:ascii="宋体" w:hAnsi="宋体" w:eastAsia="宋体" w:cs="宋体"/>
          <w:spacing w:val="5"/>
          <w:sz w:val="20"/>
          <w:szCs w:val="20"/>
        </w:rPr>
        <w:t>（5）评标表格；</w:t>
      </w:r>
    </w:p>
    <w:p w14:paraId="3A511B89">
      <w:pPr>
        <w:spacing w:before="182" w:line="397" w:lineRule="auto"/>
        <w:ind w:left="4" w:right="73" w:firstLine="431"/>
        <w:rPr>
          <w:rFonts w:ascii="宋体" w:hAnsi="宋体" w:eastAsia="宋体" w:cs="宋体"/>
          <w:sz w:val="20"/>
          <w:szCs w:val="20"/>
        </w:rPr>
      </w:pPr>
      <w:r>
        <w:rPr>
          <w:rFonts w:ascii="宋体" w:hAnsi="宋体" w:eastAsia="宋体" w:cs="宋体"/>
          <w:spacing w:val="9"/>
          <w:sz w:val="20"/>
          <w:szCs w:val="20"/>
        </w:rPr>
        <w:t>（6）经招投标监管部门备案的资格预审文件及其澄清、修改文件，资格</w:t>
      </w:r>
      <w:r>
        <w:rPr>
          <w:rFonts w:ascii="宋体" w:hAnsi="宋体" w:eastAsia="宋体" w:cs="宋体"/>
          <w:spacing w:val="8"/>
          <w:sz w:val="20"/>
          <w:szCs w:val="20"/>
        </w:rPr>
        <w:t>审查报告（适用于已进行资格预审的</w:t>
      </w:r>
      <w:r>
        <w:rPr>
          <w:rFonts w:ascii="宋体" w:hAnsi="宋体" w:eastAsia="宋体" w:cs="宋体"/>
          <w:spacing w:val="-51"/>
          <w:sz w:val="20"/>
          <w:szCs w:val="20"/>
        </w:rPr>
        <w:t>）；</w:t>
      </w:r>
    </w:p>
    <w:p w14:paraId="6A216204">
      <w:pPr>
        <w:spacing w:before="1" w:line="227" w:lineRule="auto"/>
        <w:ind w:left="436"/>
        <w:rPr>
          <w:rFonts w:ascii="宋体" w:hAnsi="宋体" w:eastAsia="宋体" w:cs="宋体"/>
          <w:sz w:val="20"/>
          <w:szCs w:val="20"/>
        </w:rPr>
      </w:pPr>
      <w:r>
        <w:rPr>
          <w:rFonts w:ascii="宋体" w:hAnsi="宋体" w:eastAsia="宋体" w:cs="宋体"/>
          <w:spacing w:val="9"/>
          <w:sz w:val="20"/>
          <w:szCs w:val="20"/>
        </w:rPr>
        <w:t>（7）各投标人在资格预审阶段递交的资格预审申请文件（适用于已进行资格预审的</w:t>
      </w:r>
      <w:r>
        <w:rPr>
          <w:rFonts w:ascii="宋体" w:hAnsi="宋体" w:eastAsia="宋体" w:cs="宋体"/>
          <w:spacing w:val="-49"/>
          <w:sz w:val="20"/>
          <w:szCs w:val="20"/>
        </w:rPr>
        <w:t>）；</w:t>
      </w:r>
    </w:p>
    <w:p w14:paraId="1F331C00">
      <w:pPr>
        <w:spacing w:before="186" w:line="385" w:lineRule="auto"/>
        <w:ind w:left="5" w:right="73" w:firstLine="430"/>
        <w:rPr>
          <w:rFonts w:ascii="宋体" w:hAnsi="宋体" w:eastAsia="宋体" w:cs="宋体"/>
          <w:sz w:val="20"/>
          <w:szCs w:val="20"/>
        </w:rPr>
      </w:pPr>
      <w:r>
        <w:rPr>
          <w:rFonts w:ascii="宋体" w:hAnsi="宋体" w:eastAsia="宋体" w:cs="宋体"/>
          <w:spacing w:val="9"/>
          <w:sz w:val="20"/>
          <w:szCs w:val="20"/>
        </w:rPr>
        <w:t>（8）有关的法律、法规、规章、国家标准以及招标人或评标委员会认</w:t>
      </w:r>
      <w:r>
        <w:rPr>
          <w:rFonts w:ascii="宋体" w:hAnsi="宋体" w:eastAsia="宋体" w:cs="宋体"/>
          <w:spacing w:val="8"/>
          <w:sz w:val="20"/>
          <w:szCs w:val="20"/>
        </w:rPr>
        <w:t>为必要的其他信息和数</w:t>
      </w:r>
      <w:r>
        <w:rPr>
          <w:rFonts w:ascii="宋体" w:hAnsi="宋体" w:eastAsia="宋体" w:cs="宋体"/>
          <w:sz w:val="20"/>
          <w:szCs w:val="20"/>
        </w:rPr>
        <w:t>据。</w:t>
      </w:r>
    </w:p>
    <w:p w14:paraId="508A8E14">
      <w:pPr>
        <w:pStyle w:val="2"/>
        <w:spacing w:before="1" w:line="229" w:lineRule="auto"/>
        <w:outlineLvl w:val="3"/>
        <w:rPr>
          <w:sz w:val="20"/>
          <w:szCs w:val="20"/>
        </w:rPr>
      </w:pPr>
      <w:bookmarkStart w:id="128" w:name="bookmark114"/>
      <w:bookmarkEnd w:id="128"/>
      <w:r>
        <w:rPr>
          <w:rFonts w:ascii="Times New Roman" w:hAnsi="Times New Roman" w:eastAsia="Times New Roman" w:cs="Times New Roman"/>
          <w:b/>
          <w:bCs/>
          <w:spacing w:val="7"/>
          <w:sz w:val="20"/>
          <w:szCs w:val="20"/>
        </w:rPr>
        <w:t>A2.4</w:t>
      </w:r>
      <w:r>
        <w:rPr>
          <w:rFonts w:ascii="Times New Roman" w:hAnsi="Times New Roman" w:eastAsia="Times New Roman" w:cs="Times New Roman"/>
          <w:b/>
          <w:bCs/>
          <w:spacing w:val="16"/>
          <w:sz w:val="20"/>
          <w:szCs w:val="20"/>
        </w:rPr>
        <w:t xml:space="preserve"> </w:t>
      </w:r>
      <w:r>
        <w:rPr>
          <w:b/>
          <w:bCs/>
          <w:spacing w:val="7"/>
          <w:sz w:val="20"/>
          <w:szCs w:val="20"/>
        </w:rPr>
        <w:t>暗标编号（适用于对施工组织设计进行暗标评审的）</w:t>
      </w:r>
    </w:p>
    <w:p w14:paraId="436BB72E">
      <w:pPr>
        <w:spacing w:before="174" w:line="371" w:lineRule="auto"/>
        <w:ind w:left="6" w:firstLine="420"/>
        <w:jc w:val="both"/>
        <w:rPr>
          <w:rFonts w:ascii="宋体" w:hAnsi="宋体" w:eastAsia="宋体" w:cs="宋体"/>
          <w:sz w:val="20"/>
          <w:szCs w:val="20"/>
        </w:rPr>
      </w:pPr>
      <w:r>
        <w:rPr>
          <w:rFonts w:ascii="宋体" w:hAnsi="宋体" w:eastAsia="宋体" w:cs="宋体"/>
          <w:spacing w:val="9"/>
          <w:sz w:val="20"/>
          <w:szCs w:val="20"/>
        </w:rPr>
        <w:t>第二章“投标人须知</w:t>
      </w:r>
      <w:r>
        <w:rPr>
          <w:rFonts w:ascii="宋体" w:hAnsi="宋体" w:eastAsia="宋体" w:cs="宋体"/>
          <w:spacing w:val="-70"/>
          <w:sz w:val="20"/>
          <w:szCs w:val="20"/>
        </w:rPr>
        <w:t xml:space="preserve"> </w:t>
      </w:r>
      <w:r>
        <w:rPr>
          <w:rFonts w:ascii="宋体" w:hAnsi="宋体" w:eastAsia="宋体" w:cs="宋体"/>
          <w:spacing w:val="9"/>
          <w:sz w:val="20"/>
          <w:szCs w:val="20"/>
        </w:rPr>
        <w:t>”前附表第</w:t>
      </w:r>
      <w:r>
        <w:rPr>
          <w:rFonts w:ascii="宋体" w:hAnsi="宋体" w:eastAsia="宋体" w:cs="宋体"/>
          <w:spacing w:val="-22"/>
          <w:sz w:val="20"/>
          <w:szCs w:val="20"/>
        </w:rPr>
        <w:t xml:space="preserve"> </w:t>
      </w:r>
      <w:r>
        <w:rPr>
          <w:rFonts w:ascii="宋体" w:hAnsi="宋体" w:eastAsia="宋体" w:cs="宋体"/>
          <w:spacing w:val="9"/>
          <w:sz w:val="20"/>
          <w:szCs w:val="20"/>
        </w:rPr>
        <w:t>10．3</w:t>
      </w:r>
      <w:r>
        <w:rPr>
          <w:rFonts w:ascii="宋体" w:hAnsi="宋体" w:eastAsia="宋体" w:cs="宋体"/>
          <w:spacing w:val="-37"/>
          <w:sz w:val="20"/>
          <w:szCs w:val="20"/>
        </w:rPr>
        <w:t xml:space="preserve"> </w:t>
      </w:r>
      <w:r>
        <w:rPr>
          <w:rFonts w:ascii="宋体" w:hAnsi="宋体" w:eastAsia="宋体" w:cs="宋体"/>
          <w:spacing w:val="9"/>
          <w:sz w:val="20"/>
          <w:szCs w:val="20"/>
        </w:rPr>
        <w:t>款要求对施工组织设计采用“暗标</w:t>
      </w:r>
      <w:r>
        <w:rPr>
          <w:rFonts w:ascii="宋体" w:hAnsi="宋体" w:eastAsia="宋体" w:cs="宋体"/>
          <w:spacing w:val="-67"/>
          <w:sz w:val="20"/>
          <w:szCs w:val="20"/>
        </w:rPr>
        <w:t xml:space="preserve"> </w:t>
      </w:r>
      <w:r>
        <w:rPr>
          <w:rFonts w:ascii="宋体" w:hAnsi="宋体" w:eastAsia="宋体" w:cs="宋体"/>
          <w:spacing w:val="9"/>
          <w:sz w:val="20"/>
          <w:szCs w:val="20"/>
        </w:rPr>
        <w:t>”评审方式</w:t>
      </w:r>
      <w:r>
        <w:rPr>
          <w:rFonts w:ascii="宋体" w:hAnsi="宋体" w:eastAsia="宋体" w:cs="宋体"/>
          <w:spacing w:val="8"/>
          <w:sz w:val="20"/>
          <w:szCs w:val="20"/>
        </w:rPr>
        <w:t>且第八</w:t>
      </w:r>
      <w:r>
        <w:rPr>
          <w:rFonts w:ascii="宋体" w:hAnsi="宋体" w:eastAsia="宋体" w:cs="宋体"/>
          <w:spacing w:val="11"/>
          <w:sz w:val="20"/>
          <w:szCs w:val="20"/>
        </w:rPr>
        <w:t>章“投标文件格式</w:t>
      </w:r>
      <w:r>
        <w:rPr>
          <w:rFonts w:ascii="宋体" w:hAnsi="宋体" w:eastAsia="宋体" w:cs="宋体"/>
          <w:spacing w:val="-70"/>
          <w:sz w:val="20"/>
          <w:szCs w:val="20"/>
        </w:rPr>
        <w:t xml:space="preserve"> </w:t>
      </w:r>
      <w:r>
        <w:rPr>
          <w:rFonts w:ascii="宋体" w:hAnsi="宋体" w:eastAsia="宋体" w:cs="宋体"/>
          <w:spacing w:val="11"/>
          <w:sz w:val="20"/>
          <w:szCs w:val="20"/>
        </w:rPr>
        <w:t>”中对施工组织设计的编制有暗标要求，则在评标工作开始前，招标人将指定</w:t>
      </w:r>
      <w:r>
        <w:rPr>
          <w:rFonts w:ascii="宋体" w:hAnsi="宋体" w:eastAsia="宋体" w:cs="宋体"/>
          <w:spacing w:val="7"/>
          <w:sz w:val="20"/>
          <w:szCs w:val="20"/>
        </w:rPr>
        <w:t>专人负责编制投标文件暗标编码，并就暗标编</w:t>
      </w:r>
      <w:r>
        <w:rPr>
          <w:rFonts w:ascii="宋体" w:hAnsi="宋体" w:eastAsia="宋体" w:cs="宋体"/>
          <w:spacing w:val="6"/>
          <w:sz w:val="20"/>
          <w:szCs w:val="20"/>
        </w:rPr>
        <w:t>码与投标人的对应关系使用</w:t>
      </w:r>
      <w:r>
        <w:rPr>
          <w:rFonts w:ascii="宋体" w:hAnsi="宋体" w:eastAsia="宋体" w:cs="宋体"/>
          <w:b/>
          <w:bCs/>
          <w:spacing w:val="6"/>
          <w:sz w:val="20"/>
          <w:szCs w:val="20"/>
        </w:rPr>
        <w:t>附表</w:t>
      </w:r>
      <w:r>
        <w:rPr>
          <w:rFonts w:ascii="宋体" w:hAnsi="宋体" w:eastAsia="宋体" w:cs="宋体"/>
          <w:spacing w:val="6"/>
          <w:sz w:val="20"/>
          <w:szCs w:val="20"/>
        </w:rPr>
        <w:t xml:space="preserve"> </w:t>
      </w:r>
      <w:r>
        <w:rPr>
          <w:rFonts w:ascii="宋体" w:hAnsi="宋体" w:eastAsia="宋体" w:cs="宋体"/>
          <w:b/>
          <w:bCs/>
          <w:spacing w:val="6"/>
          <w:sz w:val="20"/>
          <w:szCs w:val="20"/>
        </w:rPr>
        <w:t>A-3</w:t>
      </w:r>
      <w:r>
        <w:rPr>
          <w:rFonts w:ascii="宋体" w:hAnsi="宋体" w:eastAsia="宋体" w:cs="宋体"/>
          <w:spacing w:val="-38"/>
          <w:sz w:val="20"/>
          <w:szCs w:val="20"/>
        </w:rPr>
        <w:t xml:space="preserve"> </w:t>
      </w:r>
      <w:r>
        <w:rPr>
          <w:rFonts w:ascii="宋体" w:hAnsi="宋体" w:eastAsia="宋体" w:cs="宋体"/>
          <w:spacing w:val="6"/>
          <w:sz w:val="20"/>
          <w:szCs w:val="20"/>
        </w:rPr>
        <w:t>做好暗标记录。</w:t>
      </w:r>
      <w:r>
        <w:rPr>
          <w:rFonts w:ascii="宋体" w:hAnsi="宋体" w:eastAsia="宋体" w:cs="宋体"/>
          <w:spacing w:val="12"/>
          <w:sz w:val="20"/>
          <w:szCs w:val="20"/>
        </w:rPr>
        <w:t>暗标编码按随机方式编制。在评标委员会全体成员均完成暗标部分评</w:t>
      </w:r>
      <w:r>
        <w:rPr>
          <w:rFonts w:ascii="宋体" w:hAnsi="宋体" w:eastAsia="宋体" w:cs="宋体"/>
          <w:spacing w:val="11"/>
          <w:sz w:val="20"/>
          <w:szCs w:val="20"/>
        </w:rPr>
        <w:t>审并对评审结果进行汇总和</w:t>
      </w:r>
      <w:r>
        <w:rPr>
          <w:rFonts w:ascii="宋体" w:hAnsi="宋体" w:eastAsia="宋体" w:cs="宋体"/>
          <w:spacing w:val="9"/>
          <w:sz w:val="20"/>
          <w:szCs w:val="20"/>
        </w:rPr>
        <w:t>签字确认后，招标人方可向评标委员会公布</w:t>
      </w:r>
      <w:r>
        <w:rPr>
          <w:rFonts w:ascii="宋体" w:hAnsi="宋体" w:eastAsia="宋体" w:cs="宋体"/>
          <w:spacing w:val="8"/>
          <w:sz w:val="20"/>
          <w:szCs w:val="20"/>
        </w:rPr>
        <w:t>暗标记录。暗标记录公布前必须妥善保管并予以保密。</w:t>
      </w:r>
    </w:p>
    <w:p w14:paraId="3BDEFF42">
      <w:pPr>
        <w:spacing w:line="371" w:lineRule="auto"/>
        <w:rPr>
          <w:rFonts w:ascii="宋体" w:hAnsi="宋体" w:eastAsia="宋体" w:cs="宋体"/>
          <w:sz w:val="20"/>
          <w:szCs w:val="20"/>
        </w:rPr>
        <w:sectPr>
          <w:footerReference r:id="rId109" w:type="default"/>
          <w:pgSz w:w="11907" w:h="16840"/>
          <w:pgMar w:top="400" w:right="1460" w:bottom="1035" w:left="1475" w:header="0" w:footer="785" w:gutter="0"/>
          <w:cols w:space="720" w:num="1"/>
        </w:sectPr>
      </w:pPr>
    </w:p>
    <w:p w14:paraId="6E4E1EDF">
      <w:pPr>
        <w:spacing w:line="273" w:lineRule="auto"/>
        <w:rPr>
          <w:rFonts w:ascii="Arial"/>
          <w:sz w:val="21"/>
        </w:rPr>
      </w:pPr>
    </w:p>
    <w:p w14:paraId="3A95F27B">
      <w:pPr>
        <w:spacing w:line="274" w:lineRule="auto"/>
        <w:rPr>
          <w:rFonts w:ascii="Arial"/>
          <w:sz w:val="21"/>
        </w:rPr>
      </w:pPr>
    </w:p>
    <w:p w14:paraId="619EFB76">
      <w:pPr>
        <w:spacing w:line="274" w:lineRule="auto"/>
        <w:rPr>
          <w:rFonts w:ascii="Arial"/>
          <w:sz w:val="21"/>
        </w:rPr>
      </w:pPr>
    </w:p>
    <w:p w14:paraId="4F7BB2B8">
      <w:pPr>
        <w:spacing w:line="274" w:lineRule="auto"/>
        <w:rPr>
          <w:rFonts w:ascii="Arial"/>
          <w:sz w:val="21"/>
        </w:rPr>
      </w:pPr>
    </w:p>
    <w:p w14:paraId="203BB754">
      <w:pPr>
        <w:spacing w:line="274" w:lineRule="auto"/>
        <w:rPr>
          <w:rFonts w:ascii="Arial"/>
          <w:sz w:val="21"/>
        </w:rPr>
      </w:pPr>
    </w:p>
    <w:p w14:paraId="4D7978C3">
      <w:pPr>
        <w:pStyle w:val="2"/>
        <w:spacing w:before="65" w:line="229" w:lineRule="auto"/>
        <w:outlineLvl w:val="3"/>
        <w:rPr>
          <w:sz w:val="20"/>
          <w:szCs w:val="20"/>
        </w:rPr>
      </w:pPr>
      <w:bookmarkStart w:id="129" w:name="bookmark115"/>
      <w:bookmarkEnd w:id="129"/>
      <w:r>
        <w:rPr>
          <w:rFonts w:ascii="Times New Roman" w:hAnsi="Times New Roman" w:eastAsia="Times New Roman" w:cs="Times New Roman"/>
          <w:b/>
          <w:bCs/>
          <w:spacing w:val="7"/>
          <w:sz w:val="20"/>
          <w:szCs w:val="20"/>
        </w:rPr>
        <w:t xml:space="preserve">A2.5 </w:t>
      </w:r>
      <w:r>
        <w:rPr>
          <w:b/>
          <w:bCs/>
          <w:spacing w:val="7"/>
          <w:sz w:val="20"/>
          <w:szCs w:val="20"/>
        </w:rPr>
        <w:t>对投标文件进行基础性数据分析和整理工作（清标）</w:t>
      </w:r>
    </w:p>
    <w:p w14:paraId="2B096063">
      <w:pPr>
        <w:spacing w:before="157" w:line="379" w:lineRule="auto"/>
        <w:ind w:left="5" w:firstLine="414"/>
        <w:jc w:val="both"/>
        <w:rPr>
          <w:rFonts w:ascii="宋体" w:hAnsi="宋体" w:eastAsia="宋体" w:cs="宋体"/>
          <w:sz w:val="20"/>
          <w:szCs w:val="20"/>
        </w:rPr>
      </w:pPr>
      <w:r>
        <w:rPr>
          <w:rFonts w:ascii="宋体" w:hAnsi="宋体" w:eastAsia="宋体" w:cs="宋体"/>
          <w:spacing w:val="10"/>
          <w:sz w:val="20"/>
          <w:szCs w:val="20"/>
        </w:rPr>
        <w:t>A2.5.1</w:t>
      </w:r>
      <w:r>
        <w:rPr>
          <w:rFonts w:ascii="宋体" w:hAnsi="宋体" w:eastAsia="宋体" w:cs="宋体"/>
          <w:spacing w:val="-39"/>
          <w:sz w:val="20"/>
          <w:szCs w:val="20"/>
        </w:rPr>
        <w:t xml:space="preserve"> </w:t>
      </w:r>
      <w:r>
        <w:rPr>
          <w:rFonts w:ascii="宋体" w:hAnsi="宋体" w:eastAsia="宋体" w:cs="宋体"/>
          <w:spacing w:val="10"/>
          <w:sz w:val="20"/>
          <w:szCs w:val="20"/>
        </w:rPr>
        <w:t>在不改变投标人投标文件实质性内容的前提下，评</w:t>
      </w:r>
      <w:r>
        <w:rPr>
          <w:rFonts w:ascii="宋体" w:hAnsi="宋体" w:eastAsia="宋体" w:cs="宋体"/>
          <w:spacing w:val="9"/>
          <w:sz w:val="20"/>
          <w:szCs w:val="20"/>
        </w:rPr>
        <w:t>标委员会应当借助计算机辅助评标</w:t>
      </w:r>
      <w:r>
        <w:rPr>
          <w:rFonts w:ascii="宋体" w:hAnsi="宋体" w:eastAsia="宋体" w:cs="宋体"/>
          <w:spacing w:val="11"/>
          <w:sz w:val="20"/>
          <w:szCs w:val="20"/>
        </w:rPr>
        <w:t>系统对投标文件进行基础性数据分析和整理（本章中简称为“清标”</w:t>
      </w:r>
      <w:r>
        <w:rPr>
          <w:rFonts w:ascii="宋体" w:hAnsi="宋体" w:eastAsia="宋体" w:cs="宋体"/>
          <w:spacing w:val="-43"/>
          <w:w w:val="81"/>
          <w:sz w:val="20"/>
          <w:szCs w:val="20"/>
        </w:rPr>
        <w:t>），</w:t>
      </w:r>
      <w:r>
        <w:rPr>
          <w:rFonts w:ascii="宋体" w:hAnsi="宋体" w:eastAsia="宋体" w:cs="宋体"/>
          <w:spacing w:val="11"/>
          <w:sz w:val="20"/>
          <w:szCs w:val="20"/>
        </w:rPr>
        <w:t>从而发现并提取其中可能</w:t>
      </w:r>
      <w:r>
        <w:rPr>
          <w:rFonts w:ascii="宋体" w:hAnsi="宋体" w:eastAsia="宋体" w:cs="宋体"/>
          <w:spacing w:val="12"/>
          <w:sz w:val="20"/>
          <w:szCs w:val="20"/>
        </w:rPr>
        <w:t>存在的对招标范围理解的偏差、投标报价的算术错误、错漏项、投标报</w:t>
      </w:r>
      <w:r>
        <w:rPr>
          <w:rFonts w:ascii="宋体" w:hAnsi="宋体" w:eastAsia="宋体" w:cs="宋体"/>
          <w:spacing w:val="11"/>
          <w:sz w:val="20"/>
          <w:szCs w:val="20"/>
        </w:rPr>
        <w:t>价构成不合理、不平衡报</w:t>
      </w:r>
      <w:r>
        <w:rPr>
          <w:rFonts w:ascii="宋体" w:hAnsi="宋体" w:eastAsia="宋体" w:cs="宋体"/>
          <w:spacing w:val="12"/>
          <w:sz w:val="20"/>
          <w:szCs w:val="20"/>
        </w:rPr>
        <w:t>价等存在明显异常的问题，并就这些问题整理形成清标报告。评标委员</w:t>
      </w:r>
      <w:r>
        <w:rPr>
          <w:rFonts w:ascii="宋体" w:hAnsi="宋体" w:eastAsia="宋体" w:cs="宋体"/>
          <w:spacing w:val="11"/>
          <w:sz w:val="20"/>
          <w:szCs w:val="20"/>
        </w:rPr>
        <w:t>会对清标成果审议后，决</w:t>
      </w:r>
      <w:r>
        <w:rPr>
          <w:rFonts w:ascii="宋体" w:hAnsi="宋体" w:eastAsia="宋体" w:cs="宋体"/>
          <w:spacing w:val="10"/>
          <w:sz w:val="20"/>
          <w:szCs w:val="20"/>
        </w:rPr>
        <w:t>定需要投标人进行书面澄清、说明或补正的，通过“</w:t>
      </w:r>
      <w:r>
        <w:rPr>
          <w:rFonts w:ascii="宋体" w:hAnsi="宋体" w:eastAsia="宋体" w:cs="宋体"/>
          <w:spacing w:val="-59"/>
          <w:sz w:val="20"/>
          <w:szCs w:val="20"/>
        </w:rPr>
        <w:t xml:space="preserve"> </w:t>
      </w:r>
      <w:r>
        <w:rPr>
          <w:rFonts w:ascii="宋体" w:hAnsi="宋体" w:eastAsia="宋体" w:cs="宋体"/>
          <w:spacing w:val="10"/>
          <w:sz w:val="20"/>
          <w:szCs w:val="20"/>
        </w:rPr>
        <w:t>电子交易平台</w:t>
      </w:r>
      <w:r>
        <w:rPr>
          <w:rFonts w:ascii="宋体" w:hAnsi="宋体" w:eastAsia="宋体" w:cs="宋体"/>
          <w:spacing w:val="-70"/>
          <w:sz w:val="20"/>
          <w:szCs w:val="20"/>
        </w:rPr>
        <w:t xml:space="preserve"> </w:t>
      </w:r>
      <w:r>
        <w:rPr>
          <w:rFonts w:ascii="宋体" w:hAnsi="宋体" w:eastAsia="宋体" w:cs="宋体"/>
          <w:spacing w:val="10"/>
          <w:sz w:val="20"/>
          <w:szCs w:val="20"/>
        </w:rPr>
        <w:t>”向投标人发出投标文件澄清</w:t>
      </w:r>
      <w:r>
        <w:rPr>
          <w:rFonts w:ascii="宋体" w:hAnsi="宋体" w:eastAsia="宋体" w:cs="宋体"/>
          <w:spacing w:val="6"/>
          <w:sz w:val="20"/>
          <w:szCs w:val="20"/>
        </w:rPr>
        <w:t>通知。《投标文件澄清通知》采用投标人须知附表六所</w:t>
      </w:r>
      <w:r>
        <w:rPr>
          <w:rFonts w:ascii="宋体" w:hAnsi="宋体" w:eastAsia="宋体" w:cs="宋体"/>
          <w:spacing w:val="5"/>
          <w:sz w:val="20"/>
          <w:szCs w:val="20"/>
        </w:rPr>
        <w:t>提供的格式。</w:t>
      </w:r>
    </w:p>
    <w:p w14:paraId="1D3D6C70">
      <w:pPr>
        <w:spacing w:before="8" w:line="357" w:lineRule="auto"/>
        <w:ind w:left="7" w:firstLine="412"/>
        <w:jc w:val="both"/>
        <w:rPr>
          <w:rFonts w:ascii="宋体" w:hAnsi="宋体" w:eastAsia="宋体" w:cs="宋体"/>
          <w:sz w:val="20"/>
          <w:szCs w:val="20"/>
        </w:rPr>
      </w:pPr>
      <w:r>
        <w:rPr>
          <w:rFonts w:ascii="宋体" w:hAnsi="宋体" w:eastAsia="宋体" w:cs="宋体"/>
          <w:spacing w:val="10"/>
          <w:sz w:val="20"/>
          <w:szCs w:val="20"/>
        </w:rPr>
        <w:t>A2.5.2</w:t>
      </w:r>
      <w:r>
        <w:rPr>
          <w:rFonts w:ascii="宋体" w:hAnsi="宋体" w:eastAsia="宋体" w:cs="宋体"/>
          <w:spacing w:val="-36"/>
          <w:sz w:val="20"/>
          <w:szCs w:val="20"/>
        </w:rPr>
        <w:t xml:space="preserve"> </w:t>
      </w:r>
      <w:r>
        <w:rPr>
          <w:rFonts w:ascii="宋体" w:hAnsi="宋体" w:eastAsia="宋体" w:cs="宋体"/>
          <w:spacing w:val="10"/>
          <w:sz w:val="20"/>
          <w:szCs w:val="20"/>
        </w:rPr>
        <w:t>投标人接到评标委员会发出的投标文件澄清通知</w:t>
      </w:r>
      <w:r>
        <w:rPr>
          <w:rFonts w:ascii="宋体" w:hAnsi="宋体" w:eastAsia="宋体" w:cs="宋体"/>
          <w:spacing w:val="9"/>
          <w:sz w:val="20"/>
          <w:szCs w:val="20"/>
        </w:rPr>
        <w:t>后，应按评标委员会的要求在规定的</w:t>
      </w:r>
      <w:r>
        <w:rPr>
          <w:rFonts w:ascii="宋体" w:hAnsi="宋体" w:eastAsia="宋体" w:cs="宋体"/>
          <w:spacing w:val="-4"/>
          <w:sz w:val="20"/>
          <w:szCs w:val="20"/>
        </w:rPr>
        <w:t>时间内，通过“</w:t>
      </w:r>
      <w:r>
        <w:rPr>
          <w:rFonts w:ascii="宋体" w:hAnsi="宋体" w:eastAsia="宋体" w:cs="宋体"/>
          <w:spacing w:val="-67"/>
          <w:sz w:val="20"/>
          <w:szCs w:val="20"/>
        </w:rPr>
        <w:t xml:space="preserve"> </w:t>
      </w:r>
      <w:r>
        <w:rPr>
          <w:rFonts w:ascii="宋体" w:hAnsi="宋体" w:eastAsia="宋体" w:cs="宋体"/>
          <w:spacing w:val="-4"/>
          <w:sz w:val="20"/>
          <w:szCs w:val="20"/>
        </w:rPr>
        <w:t>电子交易平台</w:t>
      </w:r>
      <w:r>
        <w:rPr>
          <w:rFonts w:ascii="宋体" w:hAnsi="宋体" w:eastAsia="宋体" w:cs="宋体"/>
          <w:spacing w:val="-70"/>
          <w:sz w:val="20"/>
          <w:szCs w:val="20"/>
        </w:rPr>
        <w:t xml:space="preserve"> </w:t>
      </w:r>
      <w:r>
        <w:rPr>
          <w:rFonts w:ascii="宋体" w:hAnsi="宋体" w:eastAsia="宋体" w:cs="宋体"/>
          <w:spacing w:val="-4"/>
          <w:sz w:val="20"/>
          <w:szCs w:val="20"/>
        </w:rPr>
        <w:t>”“投标文件澄清</w:t>
      </w:r>
      <w:r>
        <w:rPr>
          <w:rFonts w:ascii="宋体" w:hAnsi="宋体" w:eastAsia="宋体" w:cs="宋体"/>
          <w:spacing w:val="-70"/>
          <w:sz w:val="20"/>
          <w:szCs w:val="20"/>
        </w:rPr>
        <w:t xml:space="preserve"> </w:t>
      </w:r>
      <w:r>
        <w:rPr>
          <w:rFonts w:ascii="宋体" w:hAnsi="宋体" w:eastAsia="宋体" w:cs="宋体"/>
          <w:spacing w:val="-5"/>
          <w:sz w:val="20"/>
          <w:szCs w:val="20"/>
        </w:rPr>
        <w:t>”菜单提交投标文件的澄清和相关资料（如有）。《投</w:t>
      </w:r>
      <w:r>
        <w:rPr>
          <w:rFonts w:ascii="宋体" w:hAnsi="宋体" w:eastAsia="宋体" w:cs="宋体"/>
          <w:spacing w:val="9"/>
          <w:sz w:val="20"/>
          <w:szCs w:val="20"/>
        </w:rPr>
        <w:t>标文件的澄清》采用投标人须知附表七所提供的格式。</w:t>
      </w:r>
    </w:p>
    <w:p w14:paraId="7BCB83BD">
      <w:pPr>
        <w:pStyle w:val="2"/>
        <w:spacing w:line="221" w:lineRule="auto"/>
        <w:outlineLvl w:val="2"/>
        <w:rPr>
          <w:sz w:val="24"/>
          <w:szCs w:val="24"/>
        </w:rPr>
      </w:pPr>
      <w:bookmarkStart w:id="130" w:name="bookmark461"/>
      <w:bookmarkEnd w:id="130"/>
      <w:r>
        <w:rPr>
          <w:rFonts w:ascii="Times New Roman" w:hAnsi="Times New Roman" w:eastAsia="Times New Roman" w:cs="Times New Roman"/>
          <w:spacing w:val="-1"/>
          <w:sz w:val="24"/>
          <w:szCs w:val="24"/>
        </w:rPr>
        <w:t>A3.</w:t>
      </w:r>
      <w:r>
        <w:rPr>
          <w:spacing w:val="-1"/>
          <w:sz w:val="24"/>
          <w:szCs w:val="24"/>
        </w:rPr>
        <w:t>初步评审</w:t>
      </w:r>
    </w:p>
    <w:p w14:paraId="5BDA643E">
      <w:pPr>
        <w:pStyle w:val="2"/>
        <w:spacing w:before="137" w:line="230" w:lineRule="auto"/>
        <w:outlineLvl w:val="3"/>
        <w:rPr>
          <w:sz w:val="20"/>
          <w:szCs w:val="20"/>
        </w:rPr>
      </w:pPr>
      <w:bookmarkStart w:id="131" w:name="bookmark117"/>
      <w:bookmarkEnd w:id="131"/>
      <w:bookmarkStart w:id="132" w:name="bookmark116"/>
      <w:bookmarkEnd w:id="132"/>
      <w:r>
        <w:rPr>
          <w:rFonts w:ascii="Times New Roman" w:hAnsi="Times New Roman" w:eastAsia="Times New Roman" w:cs="Times New Roman"/>
          <w:b/>
          <w:bCs/>
          <w:spacing w:val="5"/>
          <w:sz w:val="20"/>
          <w:szCs w:val="20"/>
        </w:rPr>
        <w:t xml:space="preserve">A3.1 </w:t>
      </w:r>
      <w:r>
        <w:rPr>
          <w:b/>
          <w:bCs/>
          <w:spacing w:val="5"/>
          <w:sz w:val="20"/>
          <w:szCs w:val="20"/>
        </w:rPr>
        <w:t>形式评审</w:t>
      </w:r>
    </w:p>
    <w:p w14:paraId="7F68FDDA">
      <w:pPr>
        <w:spacing w:before="174" w:line="361" w:lineRule="auto"/>
        <w:ind w:left="10" w:firstLine="414"/>
        <w:rPr>
          <w:rFonts w:ascii="宋体" w:hAnsi="宋体" w:eastAsia="宋体" w:cs="宋体"/>
          <w:sz w:val="20"/>
          <w:szCs w:val="20"/>
        </w:rPr>
      </w:pPr>
      <w:r>
        <w:rPr>
          <w:rFonts w:ascii="宋体" w:hAnsi="宋体" w:eastAsia="宋体" w:cs="宋体"/>
          <w:spacing w:val="12"/>
          <w:sz w:val="20"/>
          <w:szCs w:val="20"/>
        </w:rPr>
        <w:t>评标委员会根据评标办法前附表中规定的评审因素和评审标准，对投标人的</w:t>
      </w:r>
      <w:r>
        <w:rPr>
          <w:rFonts w:ascii="宋体" w:hAnsi="宋体" w:eastAsia="宋体" w:cs="宋体"/>
          <w:spacing w:val="11"/>
          <w:sz w:val="20"/>
          <w:szCs w:val="20"/>
        </w:rPr>
        <w:t>投标文件进行形</w:t>
      </w:r>
      <w:r>
        <w:rPr>
          <w:rFonts w:ascii="宋体" w:hAnsi="宋体" w:eastAsia="宋体" w:cs="宋体"/>
          <w:spacing w:val="7"/>
          <w:sz w:val="20"/>
          <w:szCs w:val="20"/>
        </w:rPr>
        <w:t>式评审，并使用</w:t>
      </w:r>
      <w:r>
        <w:rPr>
          <w:rFonts w:ascii="宋体" w:hAnsi="宋体" w:eastAsia="宋体" w:cs="宋体"/>
          <w:b/>
          <w:bCs/>
          <w:spacing w:val="7"/>
          <w:sz w:val="20"/>
          <w:szCs w:val="20"/>
        </w:rPr>
        <w:t>附表</w:t>
      </w:r>
      <w:r>
        <w:rPr>
          <w:rFonts w:ascii="宋体" w:hAnsi="宋体" w:eastAsia="宋体" w:cs="宋体"/>
          <w:spacing w:val="-45"/>
          <w:sz w:val="20"/>
          <w:szCs w:val="20"/>
        </w:rPr>
        <w:t xml:space="preserve"> </w:t>
      </w:r>
      <w:r>
        <w:rPr>
          <w:rFonts w:ascii="宋体" w:hAnsi="宋体" w:eastAsia="宋体" w:cs="宋体"/>
          <w:b/>
          <w:bCs/>
          <w:spacing w:val="7"/>
          <w:sz w:val="20"/>
          <w:szCs w:val="20"/>
        </w:rPr>
        <w:t>A-4</w:t>
      </w:r>
      <w:r>
        <w:rPr>
          <w:rFonts w:ascii="宋体" w:hAnsi="宋体" w:eastAsia="宋体" w:cs="宋体"/>
          <w:spacing w:val="-41"/>
          <w:sz w:val="20"/>
          <w:szCs w:val="20"/>
        </w:rPr>
        <w:t xml:space="preserve"> </w:t>
      </w:r>
      <w:r>
        <w:rPr>
          <w:rFonts w:ascii="宋体" w:hAnsi="宋体" w:eastAsia="宋体" w:cs="宋体"/>
          <w:spacing w:val="7"/>
          <w:sz w:val="20"/>
          <w:szCs w:val="20"/>
        </w:rPr>
        <w:t>记录评审结果。</w:t>
      </w:r>
    </w:p>
    <w:p w14:paraId="20F37EB2">
      <w:pPr>
        <w:pStyle w:val="2"/>
        <w:spacing w:before="1" w:line="229" w:lineRule="auto"/>
        <w:outlineLvl w:val="3"/>
        <w:rPr>
          <w:sz w:val="20"/>
          <w:szCs w:val="20"/>
        </w:rPr>
      </w:pPr>
      <w:bookmarkStart w:id="133" w:name="bookmark118"/>
      <w:bookmarkEnd w:id="133"/>
      <w:r>
        <w:rPr>
          <w:rFonts w:ascii="Times New Roman" w:hAnsi="Times New Roman" w:eastAsia="Times New Roman" w:cs="Times New Roman"/>
          <w:b/>
          <w:bCs/>
          <w:spacing w:val="4"/>
          <w:sz w:val="20"/>
          <w:szCs w:val="20"/>
        </w:rPr>
        <w:t>A3.2</w:t>
      </w:r>
      <w:r>
        <w:rPr>
          <w:rFonts w:ascii="Times New Roman" w:hAnsi="Times New Roman" w:eastAsia="Times New Roman" w:cs="Times New Roman"/>
          <w:b/>
          <w:bCs/>
          <w:spacing w:val="20"/>
          <w:w w:val="101"/>
          <w:sz w:val="20"/>
          <w:szCs w:val="20"/>
        </w:rPr>
        <w:t xml:space="preserve"> </w:t>
      </w:r>
      <w:r>
        <w:rPr>
          <w:b/>
          <w:bCs/>
          <w:spacing w:val="4"/>
          <w:sz w:val="20"/>
          <w:szCs w:val="20"/>
        </w:rPr>
        <w:t>资格评审</w:t>
      </w:r>
    </w:p>
    <w:p w14:paraId="19A7738E">
      <w:pPr>
        <w:spacing w:before="177" w:line="397" w:lineRule="auto"/>
        <w:ind w:left="7" w:firstLine="432"/>
        <w:jc w:val="both"/>
        <w:rPr>
          <w:rFonts w:ascii="宋体" w:hAnsi="宋体" w:eastAsia="宋体" w:cs="宋体"/>
          <w:sz w:val="20"/>
          <w:szCs w:val="20"/>
        </w:rPr>
      </w:pPr>
      <w:r>
        <w:rPr>
          <w:rFonts w:ascii="宋体" w:hAnsi="宋体" w:eastAsia="宋体" w:cs="宋体"/>
          <w:spacing w:val="12"/>
          <w:sz w:val="20"/>
          <w:szCs w:val="20"/>
        </w:rPr>
        <w:t>当投标人资格预审申请文件的内容发生重大</w:t>
      </w:r>
      <w:r>
        <w:rPr>
          <w:rFonts w:ascii="宋体" w:hAnsi="宋体" w:eastAsia="宋体" w:cs="宋体"/>
          <w:spacing w:val="11"/>
          <w:sz w:val="20"/>
          <w:szCs w:val="20"/>
        </w:rPr>
        <w:t>变化时，评标委员会依据资格预审文件中规定的</w:t>
      </w:r>
      <w:r>
        <w:rPr>
          <w:rFonts w:ascii="宋体" w:hAnsi="宋体" w:eastAsia="宋体" w:cs="宋体"/>
          <w:spacing w:val="12"/>
          <w:sz w:val="20"/>
          <w:szCs w:val="20"/>
        </w:rPr>
        <w:t>标准和方法，对照投标人在资格预审阶段递交的资格预审文件中的</w:t>
      </w:r>
      <w:r>
        <w:rPr>
          <w:rFonts w:ascii="宋体" w:hAnsi="宋体" w:eastAsia="宋体" w:cs="宋体"/>
          <w:spacing w:val="11"/>
          <w:sz w:val="20"/>
          <w:szCs w:val="20"/>
        </w:rPr>
        <w:t>资料以及在投标文件中更新的</w:t>
      </w:r>
      <w:r>
        <w:rPr>
          <w:rFonts w:ascii="宋体" w:hAnsi="宋体" w:eastAsia="宋体" w:cs="宋体"/>
          <w:spacing w:val="6"/>
          <w:sz w:val="20"/>
          <w:szCs w:val="20"/>
        </w:rPr>
        <w:t>资料，对其更新的资料进行评审，并使用</w:t>
      </w:r>
      <w:r>
        <w:rPr>
          <w:rFonts w:ascii="宋体" w:hAnsi="宋体" w:eastAsia="宋体" w:cs="宋体"/>
          <w:b/>
          <w:bCs/>
          <w:spacing w:val="6"/>
          <w:sz w:val="20"/>
          <w:szCs w:val="20"/>
        </w:rPr>
        <w:t>附表</w:t>
      </w:r>
      <w:r>
        <w:rPr>
          <w:rFonts w:ascii="宋体" w:hAnsi="宋体" w:eastAsia="宋体" w:cs="宋体"/>
          <w:spacing w:val="-42"/>
          <w:sz w:val="20"/>
          <w:szCs w:val="20"/>
        </w:rPr>
        <w:t xml:space="preserve"> </w:t>
      </w:r>
      <w:r>
        <w:rPr>
          <w:rFonts w:ascii="宋体" w:hAnsi="宋体" w:eastAsia="宋体" w:cs="宋体"/>
          <w:b/>
          <w:bCs/>
          <w:spacing w:val="6"/>
          <w:sz w:val="20"/>
          <w:szCs w:val="20"/>
        </w:rPr>
        <w:t>A-5</w:t>
      </w:r>
      <w:r>
        <w:rPr>
          <w:rFonts w:ascii="宋体" w:hAnsi="宋体" w:eastAsia="宋体" w:cs="宋体"/>
          <w:spacing w:val="-41"/>
          <w:sz w:val="20"/>
          <w:szCs w:val="20"/>
        </w:rPr>
        <w:t xml:space="preserve"> </w:t>
      </w:r>
      <w:r>
        <w:rPr>
          <w:rFonts w:ascii="宋体" w:hAnsi="宋体" w:eastAsia="宋体" w:cs="宋体"/>
          <w:spacing w:val="6"/>
          <w:sz w:val="20"/>
          <w:szCs w:val="20"/>
        </w:rPr>
        <w:t>记录评审结果。（适用于已进行资格预审的）其</w:t>
      </w:r>
      <w:r>
        <w:rPr>
          <w:rFonts w:ascii="宋体" w:hAnsi="宋体" w:eastAsia="宋体" w:cs="宋体"/>
          <w:sz w:val="20"/>
          <w:szCs w:val="20"/>
        </w:rPr>
        <w:t>中：</w:t>
      </w:r>
    </w:p>
    <w:p w14:paraId="48FAE08A">
      <w:pPr>
        <w:spacing w:before="68" w:line="400" w:lineRule="auto"/>
        <w:ind w:left="8" w:firstLine="427"/>
        <w:rPr>
          <w:rFonts w:ascii="宋体" w:hAnsi="宋体" w:eastAsia="宋体" w:cs="宋体"/>
          <w:sz w:val="20"/>
          <w:szCs w:val="20"/>
        </w:rPr>
      </w:pPr>
      <w:r>
        <w:rPr>
          <w:rFonts w:ascii="宋体" w:hAnsi="宋体" w:eastAsia="宋体" w:cs="宋体"/>
          <w:spacing w:val="8"/>
          <w:sz w:val="20"/>
          <w:szCs w:val="20"/>
        </w:rPr>
        <w:t>（1）资格预审采用“合格制</w:t>
      </w:r>
      <w:r>
        <w:rPr>
          <w:rFonts w:ascii="宋体" w:hAnsi="宋体" w:eastAsia="宋体" w:cs="宋体"/>
          <w:spacing w:val="-66"/>
          <w:sz w:val="20"/>
          <w:szCs w:val="20"/>
        </w:rPr>
        <w:t xml:space="preserve"> </w:t>
      </w:r>
      <w:r>
        <w:rPr>
          <w:rFonts w:ascii="宋体" w:hAnsi="宋体" w:eastAsia="宋体" w:cs="宋体"/>
          <w:spacing w:val="8"/>
          <w:sz w:val="20"/>
          <w:szCs w:val="20"/>
        </w:rPr>
        <w:t>”的，投标文件中更新的资料应当符合资格预审文件中规定的审查标准，否则评标委员会应当否决其投标；</w:t>
      </w:r>
    </w:p>
    <w:p w14:paraId="2A6ED2E7">
      <w:pPr>
        <w:spacing w:before="67" w:line="391" w:lineRule="auto"/>
        <w:ind w:left="6" w:firstLine="430"/>
        <w:rPr>
          <w:rFonts w:ascii="宋体" w:hAnsi="宋体" w:eastAsia="宋体" w:cs="宋体"/>
          <w:sz w:val="20"/>
          <w:szCs w:val="20"/>
        </w:rPr>
      </w:pPr>
      <w:r>
        <w:rPr>
          <w:rFonts w:ascii="宋体" w:hAnsi="宋体" w:eastAsia="宋体" w:cs="宋体"/>
          <w:spacing w:val="8"/>
          <w:sz w:val="20"/>
          <w:szCs w:val="20"/>
        </w:rPr>
        <w:t>（2）资格预审采用“有限数量制</w:t>
      </w:r>
      <w:r>
        <w:rPr>
          <w:rFonts w:ascii="宋体" w:hAnsi="宋体" w:eastAsia="宋体" w:cs="宋体"/>
          <w:spacing w:val="-66"/>
          <w:sz w:val="20"/>
          <w:szCs w:val="20"/>
        </w:rPr>
        <w:t xml:space="preserve"> </w:t>
      </w:r>
      <w:r>
        <w:rPr>
          <w:rFonts w:ascii="宋体" w:hAnsi="宋体" w:eastAsia="宋体" w:cs="宋体"/>
          <w:spacing w:val="8"/>
          <w:sz w:val="20"/>
          <w:szCs w:val="20"/>
        </w:rPr>
        <w:t>”的，投标文件中更新的资料应当符合资格预审文件中规定</w:t>
      </w:r>
      <w:r>
        <w:rPr>
          <w:rFonts w:ascii="宋体" w:hAnsi="宋体" w:eastAsia="宋体" w:cs="宋体"/>
          <w:spacing w:val="12"/>
          <w:sz w:val="20"/>
          <w:szCs w:val="20"/>
        </w:rPr>
        <w:t>的审查标准，其中以评分方式进行审查的，其更新的资料按照资格预</w:t>
      </w:r>
      <w:r>
        <w:rPr>
          <w:rFonts w:ascii="宋体" w:hAnsi="宋体" w:eastAsia="宋体" w:cs="宋体"/>
          <w:spacing w:val="11"/>
          <w:sz w:val="20"/>
          <w:szCs w:val="20"/>
        </w:rPr>
        <w:t>审文件中规定的评分标准评</w:t>
      </w:r>
      <w:r>
        <w:rPr>
          <w:rFonts w:ascii="宋体" w:hAnsi="宋体" w:eastAsia="宋体" w:cs="宋体"/>
          <w:spacing w:val="12"/>
          <w:sz w:val="20"/>
          <w:szCs w:val="20"/>
        </w:rPr>
        <w:t>分后，其得分应当保证即便在资格预审阶段仍然能够获得投标资格且</w:t>
      </w:r>
      <w:r>
        <w:rPr>
          <w:rFonts w:ascii="宋体" w:hAnsi="宋体" w:eastAsia="宋体" w:cs="宋体"/>
          <w:spacing w:val="11"/>
          <w:sz w:val="20"/>
          <w:szCs w:val="20"/>
        </w:rPr>
        <w:t>没有对未通过资格预审的其</w:t>
      </w:r>
      <w:r>
        <w:rPr>
          <w:rFonts w:ascii="宋体" w:hAnsi="宋体" w:eastAsia="宋体" w:cs="宋体"/>
          <w:spacing w:val="9"/>
          <w:sz w:val="20"/>
          <w:szCs w:val="20"/>
        </w:rPr>
        <w:t>他资格预审申请人构成不公平，否则评标委员会应当否决其投标。</w:t>
      </w:r>
    </w:p>
    <w:p w14:paraId="217415FC">
      <w:pPr>
        <w:pStyle w:val="2"/>
        <w:spacing w:before="2" w:line="229" w:lineRule="auto"/>
        <w:outlineLvl w:val="3"/>
        <w:rPr>
          <w:sz w:val="20"/>
          <w:szCs w:val="20"/>
        </w:rPr>
      </w:pPr>
      <w:bookmarkStart w:id="134" w:name="bookmark119"/>
      <w:bookmarkEnd w:id="134"/>
      <w:r>
        <w:rPr>
          <w:rFonts w:ascii="Times New Roman" w:hAnsi="Times New Roman" w:eastAsia="Times New Roman" w:cs="Times New Roman"/>
          <w:b/>
          <w:bCs/>
          <w:spacing w:val="4"/>
          <w:sz w:val="20"/>
          <w:szCs w:val="20"/>
        </w:rPr>
        <w:t>A3.3</w:t>
      </w:r>
      <w:r>
        <w:rPr>
          <w:rFonts w:ascii="Times New Roman" w:hAnsi="Times New Roman" w:eastAsia="Times New Roman" w:cs="Times New Roman"/>
          <w:b/>
          <w:bCs/>
          <w:spacing w:val="23"/>
          <w:sz w:val="20"/>
          <w:szCs w:val="20"/>
        </w:rPr>
        <w:t xml:space="preserve"> </w:t>
      </w:r>
      <w:r>
        <w:rPr>
          <w:b/>
          <w:bCs/>
          <w:spacing w:val="4"/>
          <w:sz w:val="20"/>
          <w:szCs w:val="20"/>
        </w:rPr>
        <w:t>响应性评审</w:t>
      </w:r>
    </w:p>
    <w:p w14:paraId="7E66C14F">
      <w:pPr>
        <w:spacing w:before="174" w:line="397" w:lineRule="auto"/>
        <w:ind w:left="4" w:firstLine="415"/>
        <w:rPr>
          <w:rFonts w:ascii="宋体" w:hAnsi="宋体" w:eastAsia="宋体" w:cs="宋体"/>
          <w:sz w:val="20"/>
          <w:szCs w:val="20"/>
        </w:rPr>
      </w:pPr>
      <w:r>
        <w:rPr>
          <w:rFonts w:ascii="宋体" w:hAnsi="宋体" w:eastAsia="宋体" w:cs="宋体"/>
          <w:spacing w:val="10"/>
          <w:sz w:val="20"/>
          <w:szCs w:val="20"/>
        </w:rPr>
        <w:t>A3.3.1</w:t>
      </w:r>
      <w:r>
        <w:rPr>
          <w:rFonts w:ascii="宋体" w:hAnsi="宋体" w:eastAsia="宋体" w:cs="宋体"/>
          <w:spacing w:val="-39"/>
          <w:sz w:val="20"/>
          <w:szCs w:val="20"/>
        </w:rPr>
        <w:t xml:space="preserve"> </w:t>
      </w:r>
      <w:r>
        <w:rPr>
          <w:rFonts w:ascii="宋体" w:hAnsi="宋体" w:eastAsia="宋体" w:cs="宋体"/>
          <w:spacing w:val="10"/>
          <w:sz w:val="20"/>
          <w:szCs w:val="20"/>
        </w:rPr>
        <w:t>评标委员会根据评标办法前附表中规定的评审因素和评</w:t>
      </w:r>
      <w:r>
        <w:rPr>
          <w:rFonts w:ascii="宋体" w:hAnsi="宋体" w:eastAsia="宋体" w:cs="宋体"/>
          <w:spacing w:val="9"/>
          <w:sz w:val="20"/>
          <w:szCs w:val="20"/>
        </w:rPr>
        <w:t>审标准，对投标人的投标文件</w:t>
      </w:r>
      <w:r>
        <w:rPr>
          <w:rFonts w:ascii="宋体" w:hAnsi="宋体" w:eastAsia="宋体" w:cs="宋体"/>
          <w:spacing w:val="8"/>
          <w:sz w:val="20"/>
          <w:szCs w:val="20"/>
        </w:rPr>
        <w:t>进行响应性评审，并使用</w:t>
      </w:r>
      <w:r>
        <w:rPr>
          <w:rFonts w:ascii="宋体" w:hAnsi="宋体" w:eastAsia="宋体" w:cs="宋体"/>
          <w:b/>
          <w:bCs/>
          <w:spacing w:val="8"/>
          <w:sz w:val="20"/>
          <w:szCs w:val="20"/>
        </w:rPr>
        <w:t>附表</w:t>
      </w:r>
      <w:r>
        <w:rPr>
          <w:rFonts w:ascii="宋体" w:hAnsi="宋体" w:eastAsia="宋体" w:cs="宋体"/>
          <w:spacing w:val="-46"/>
          <w:sz w:val="20"/>
          <w:szCs w:val="20"/>
        </w:rPr>
        <w:t xml:space="preserve"> </w:t>
      </w:r>
      <w:r>
        <w:rPr>
          <w:rFonts w:ascii="宋体" w:hAnsi="宋体" w:eastAsia="宋体" w:cs="宋体"/>
          <w:b/>
          <w:bCs/>
          <w:spacing w:val="8"/>
          <w:sz w:val="20"/>
          <w:szCs w:val="20"/>
        </w:rPr>
        <w:t>A-6</w:t>
      </w:r>
      <w:r>
        <w:rPr>
          <w:rFonts w:ascii="宋体" w:hAnsi="宋体" w:eastAsia="宋体" w:cs="宋体"/>
          <w:spacing w:val="-41"/>
          <w:sz w:val="20"/>
          <w:szCs w:val="20"/>
        </w:rPr>
        <w:t xml:space="preserve"> </w:t>
      </w:r>
      <w:r>
        <w:rPr>
          <w:rFonts w:ascii="宋体" w:hAnsi="宋体" w:eastAsia="宋体" w:cs="宋体"/>
          <w:spacing w:val="8"/>
          <w:sz w:val="20"/>
          <w:szCs w:val="20"/>
        </w:rPr>
        <w:t>记录评</w:t>
      </w:r>
      <w:r>
        <w:rPr>
          <w:rFonts w:ascii="宋体" w:hAnsi="宋体" w:eastAsia="宋体" w:cs="宋体"/>
          <w:spacing w:val="7"/>
          <w:sz w:val="20"/>
          <w:szCs w:val="20"/>
        </w:rPr>
        <w:t>审结果。</w:t>
      </w:r>
    </w:p>
    <w:p w14:paraId="5E6FCAFC">
      <w:pPr>
        <w:spacing w:before="1" w:line="398" w:lineRule="auto"/>
        <w:ind w:left="5" w:firstLine="414"/>
        <w:jc w:val="both"/>
        <w:rPr>
          <w:rFonts w:ascii="宋体" w:hAnsi="宋体" w:eastAsia="宋体" w:cs="宋体"/>
          <w:sz w:val="20"/>
          <w:szCs w:val="20"/>
        </w:rPr>
      </w:pPr>
      <w:r>
        <w:rPr>
          <w:rFonts w:ascii="宋体" w:hAnsi="宋体" w:eastAsia="宋体" w:cs="宋体"/>
          <w:spacing w:val="9"/>
          <w:sz w:val="20"/>
          <w:szCs w:val="20"/>
        </w:rPr>
        <w:t>A3.3.2</w:t>
      </w:r>
      <w:r>
        <w:rPr>
          <w:rFonts w:ascii="宋体" w:hAnsi="宋体" w:eastAsia="宋体" w:cs="宋体"/>
          <w:spacing w:val="-35"/>
          <w:sz w:val="20"/>
          <w:szCs w:val="20"/>
        </w:rPr>
        <w:t xml:space="preserve"> </w:t>
      </w:r>
      <w:r>
        <w:rPr>
          <w:rFonts w:ascii="宋体" w:hAnsi="宋体" w:eastAsia="宋体" w:cs="宋体"/>
          <w:spacing w:val="9"/>
          <w:sz w:val="20"/>
          <w:szCs w:val="20"/>
        </w:rPr>
        <w:t>投标人投标价格不得超出（不含等于）按照第二章“投标人须知</w:t>
      </w:r>
      <w:r>
        <w:rPr>
          <w:rFonts w:ascii="宋体" w:hAnsi="宋体" w:eastAsia="宋体" w:cs="宋体"/>
          <w:spacing w:val="-70"/>
          <w:sz w:val="20"/>
          <w:szCs w:val="20"/>
        </w:rPr>
        <w:t xml:space="preserve"> </w:t>
      </w:r>
      <w:r>
        <w:rPr>
          <w:rFonts w:ascii="宋体" w:hAnsi="宋体" w:eastAsia="宋体" w:cs="宋体"/>
          <w:spacing w:val="9"/>
          <w:sz w:val="20"/>
          <w:szCs w:val="20"/>
        </w:rPr>
        <w:t>”前附表载明</w:t>
      </w:r>
      <w:r>
        <w:rPr>
          <w:rFonts w:ascii="宋体" w:hAnsi="宋体" w:eastAsia="宋体" w:cs="宋体"/>
          <w:spacing w:val="8"/>
          <w:sz w:val="20"/>
          <w:szCs w:val="20"/>
        </w:rPr>
        <w:t>的招标</w:t>
      </w:r>
      <w:r>
        <w:rPr>
          <w:rFonts w:ascii="宋体" w:hAnsi="宋体" w:eastAsia="宋体" w:cs="宋体"/>
          <w:spacing w:val="12"/>
          <w:sz w:val="20"/>
          <w:szCs w:val="20"/>
        </w:rPr>
        <w:t>控制价总价（是指投标函中的大写投标总报价或经投标人确认的算</w:t>
      </w:r>
      <w:r>
        <w:rPr>
          <w:rFonts w:ascii="宋体" w:hAnsi="宋体" w:eastAsia="宋体" w:cs="宋体"/>
          <w:spacing w:val="11"/>
          <w:sz w:val="20"/>
          <w:szCs w:val="20"/>
        </w:rPr>
        <w:t>术错误修正后的投标总价不超</w:t>
      </w:r>
      <w:r>
        <w:rPr>
          <w:rFonts w:ascii="宋体" w:hAnsi="宋体" w:eastAsia="宋体" w:cs="宋体"/>
          <w:spacing w:val="9"/>
          <w:sz w:val="20"/>
          <w:szCs w:val="20"/>
        </w:rPr>
        <w:t>过本项目招标控制价总价</w:t>
      </w:r>
      <w:r>
        <w:rPr>
          <w:rFonts w:ascii="宋体" w:hAnsi="宋体" w:eastAsia="宋体" w:cs="宋体"/>
          <w:spacing w:val="-39"/>
          <w:sz w:val="20"/>
          <w:szCs w:val="20"/>
        </w:rPr>
        <w:t>），</w:t>
      </w:r>
      <w:r>
        <w:rPr>
          <w:rFonts w:ascii="宋体" w:hAnsi="宋体" w:eastAsia="宋体" w:cs="宋体"/>
          <w:spacing w:val="9"/>
          <w:sz w:val="20"/>
          <w:szCs w:val="20"/>
        </w:rPr>
        <w:t>凡投标人的投标价格超出招标控制价总价的，该投标人的投标文件不</w:t>
      </w:r>
      <w:r>
        <w:rPr>
          <w:rFonts w:ascii="宋体" w:hAnsi="宋体" w:eastAsia="宋体" w:cs="宋体"/>
          <w:spacing w:val="7"/>
          <w:sz w:val="20"/>
          <w:szCs w:val="20"/>
        </w:rPr>
        <w:t>能通过响应性评审。</w:t>
      </w:r>
    </w:p>
    <w:p w14:paraId="472B242A">
      <w:pPr>
        <w:spacing w:line="398" w:lineRule="auto"/>
        <w:rPr>
          <w:rFonts w:ascii="宋体" w:hAnsi="宋体" w:eastAsia="宋体" w:cs="宋体"/>
          <w:sz w:val="20"/>
          <w:szCs w:val="20"/>
        </w:rPr>
        <w:sectPr>
          <w:footerReference r:id="rId110" w:type="default"/>
          <w:pgSz w:w="11907" w:h="16840"/>
          <w:pgMar w:top="400" w:right="1531" w:bottom="1035" w:left="1475" w:header="0" w:footer="785" w:gutter="0"/>
          <w:cols w:space="720" w:num="1"/>
        </w:sectPr>
      </w:pPr>
    </w:p>
    <w:p w14:paraId="1D421879">
      <w:pPr>
        <w:spacing w:line="273" w:lineRule="auto"/>
        <w:rPr>
          <w:rFonts w:ascii="Arial"/>
          <w:sz w:val="21"/>
        </w:rPr>
      </w:pPr>
    </w:p>
    <w:p w14:paraId="678820AA">
      <w:pPr>
        <w:spacing w:line="273" w:lineRule="auto"/>
        <w:rPr>
          <w:rFonts w:ascii="Arial"/>
          <w:sz w:val="21"/>
        </w:rPr>
      </w:pPr>
    </w:p>
    <w:p w14:paraId="6DC6B00C">
      <w:pPr>
        <w:spacing w:line="274" w:lineRule="auto"/>
        <w:rPr>
          <w:rFonts w:ascii="Arial"/>
          <w:sz w:val="21"/>
        </w:rPr>
      </w:pPr>
    </w:p>
    <w:p w14:paraId="61B0A6A4">
      <w:pPr>
        <w:spacing w:line="274" w:lineRule="auto"/>
        <w:rPr>
          <w:rFonts w:ascii="Arial"/>
          <w:sz w:val="21"/>
        </w:rPr>
      </w:pPr>
    </w:p>
    <w:p w14:paraId="106C20C3">
      <w:pPr>
        <w:spacing w:line="274" w:lineRule="auto"/>
        <w:rPr>
          <w:rFonts w:ascii="Arial"/>
          <w:sz w:val="21"/>
        </w:rPr>
      </w:pPr>
    </w:p>
    <w:p w14:paraId="4C66376C">
      <w:pPr>
        <w:pStyle w:val="2"/>
        <w:spacing w:before="65" w:line="230" w:lineRule="auto"/>
        <w:outlineLvl w:val="3"/>
        <w:rPr>
          <w:sz w:val="20"/>
          <w:szCs w:val="20"/>
        </w:rPr>
      </w:pPr>
      <w:bookmarkStart w:id="135" w:name="bookmark120"/>
      <w:bookmarkEnd w:id="135"/>
      <w:r>
        <w:rPr>
          <w:rFonts w:ascii="Times New Roman" w:hAnsi="Times New Roman" w:eastAsia="Times New Roman" w:cs="Times New Roman"/>
          <w:b/>
          <w:bCs/>
          <w:spacing w:val="6"/>
          <w:sz w:val="20"/>
          <w:szCs w:val="20"/>
        </w:rPr>
        <w:t xml:space="preserve">A3.4 </w:t>
      </w:r>
      <w:r>
        <w:rPr>
          <w:b/>
          <w:bCs/>
          <w:spacing w:val="6"/>
          <w:sz w:val="20"/>
          <w:szCs w:val="20"/>
        </w:rPr>
        <w:t>施工组织设计评审</w:t>
      </w:r>
    </w:p>
    <w:p w14:paraId="65BD24A8">
      <w:pPr>
        <w:spacing w:before="172" w:line="387" w:lineRule="auto"/>
        <w:ind w:left="8" w:right="68" w:firstLine="416"/>
        <w:rPr>
          <w:rFonts w:ascii="宋体" w:hAnsi="宋体" w:eastAsia="宋体" w:cs="宋体"/>
          <w:sz w:val="20"/>
          <w:szCs w:val="20"/>
        </w:rPr>
      </w:pPr>
      <w:r>
        <w:rPr>
          <w:rFonts w:ascii="宋体" w:hAnsi="宋体" w:eastAsia="宋体" w:cs="宋体"/>
          <w:spacing w:val="12"/>
          <w:sz w:val="20"/>
          <w:szCs w:val="20"/>
        </w:rPr>
        <w:t>评标委员会根据评标办法前附表中规定的评审因素和评审标准，对投标人的</w:t>
      </w:r>
      <w:r>
        <w:rPr>
          <w:rFonts w:ascii="宋体" w:hAnsi="宋体" w:eastAsia="宋体" w:cs="宋体"/>
          <w:spacing w:val="11"/>
          <w:sz w:val="20"/>
          <w:szCs w:val="20"/>
        </w:rPr>
        <w:t>投标文件的施工</w:t>
      </w:r>
      <w:r>
        <w:rPr>
          <w:rFonts w:ascii="宋体" w:hAnsi="宋体" w:eastAsia="宋体" w:cs="宋体"/>
          <w:spacing w:val="6"/>
          <w:sz w:val="20"/>
          <w:szCs w:val="20"/>
        </w:rPr>
        <w:t>组织设计进行合格性评审，并使用</w:t>
      </w:r>
      <w:r>
        <w:rPr>
          <w:rFonts w:ascii="宋体" w:hAnsi="宋体" w:eastAsia="宋体" w:cs="宋体"/>
          <w:b/>
          <w:bCs/>
          <w:spacing w:val="6"/>
          <w:sz w:val="20"/>
          <w:szCs w:val="20"/>
        </w:rPr>
        <w:t>附表</w:t>
      </w:r>
      <w:r>
        <w:rPr>
          <w:rFonts w:ascii="宋体" w:hAnsi="宋体" w:eastAsia="宋体" w:cs="宋体"/>
          <w:spacing w:val="-39"/>
          <w:sz w:val="20"/>
          <w:szCs w:val="20"/>
        </w:rPr>
        <w:t xml:space="preserve"> </w:t>
      </w:r>
      <w:r>
        <w:rPr>
          <w:rFonts w:ascii="宋体" w:hAnsi="宋体" w:eastAsia="宋体" w:cs="宋体"/>
          <w:b/>
          <w:bCs/>
          <w:spacing w:val="6"/>
          <w:sz w:val="20"/>
          <w:szCs w:val="20"/>
        </w:rPr>
        <w:t>A-7</w:t>
      </w:r>
      <w:r>
        <w:rPr>
          <w:rFonts w:ascii="宋体" w:hAnsi="宋体" w:eastAsia="宋体" w:cs="宋体"/>
          <w:spacing w:val="-42"/>
          <w:sz w:val="20"/>
          <w:szCs w:val="20"/>
        </w:rPr>
        <w:t xml:space="preserve"> </w:t>
      </w:r>
      <w:r>
        <w:rPr>
          <w:rFonts w:ascii="宋体" w:hAnsi="宋体" w:eastAsia="宋体" w:cs="宋体"/>
          <w:spacing w:val="6"/>
          <w:sz w:val="20"/>
          <w:szCs w:val="20"/>
        </w:rPr>
        <w:t>记录评审结果。（适用于办法五、六、七、八）</w:t>
      </w:r>
    </w:p>
    <w:p w14:paraId="623D6018">
      <w:pPr>
        <w:pStyle w:val="2"/>
        <w:spacing w:before="1" w:line="229" w:lineRule="auto"/>
        <w:outlineLvl w:val="3"/>
        <w:rPr>
          <w:sz w:val="20"/>
          <w:szCs w:val="20"/>
        </w:rPr>
      </w:pPr>
      <w:bookmarkStart w:id="136" w:name="bookmark121"/>
      <w:bookmarkEnd w:id="136"/>
      <w:r>
        <w:rPr>
          <w:rFonts w:ascii="Times New Roman" w:hAnsi="Times New Roman" w:eastAsia="Times New Roman" w:cs="Times New Roman"/>
          <w:b/>
          <w:bCs/>
          <w:spacing w:val="6"/>
          <w:sz w:val="20"/>
          <w:szCs w:val="20"/>
        </w:rPr>
        <w:t xml:space="preserve">A3.5 </w:t>
      </w:r>
      <w:r>
        <w:rPr>
          <w:b/>
          <w:bCs/>
          <w:spacing w:val="6"/>
          <w:sz w:val="20"/>
          <w:szCs w:val="20"/>
        </w:rPr>
        <w:t>算术错误修正</w:t>
      </w:r>
    </w:p>
    <w:p w14:paraId="6AE4121E">
      <w:pPr>
        <w:spacing w:before="174" w:line="397" w:lineRule="auto"/>
        <w:ind w:left="6" w:firstLine="419"/>
        <w:jc w:val="both"/>
        <w:rPr>
          <w:rFonts w:ascii="宋体" w:hAnsi="宋体" w:eastAsia="宋体" w:cs="宋体"/>
          <w:sz w:val="20"/>
          <w:szCs w:val="20"/>
        </w:rPr>
      </w:pPr>
      <w:r>
        <w:rPr>
          <w:rFonts w:ascii="宋体" w:hAnsi="宋体" w:eastAsia="宋体" w:cs="宋体"/>
          <w:spacing w:val="12"/>
          <w:sz w:val="20"/>
          <w:szCs w:val="20"/>
        </w:rPr>
        <w:t>评标委员会依据本章中规定的相关原则对投标报价中存在的算术错误进行修</w:t>
      </w:r>
      <w:r>
        <w:rPr>
          <w:rFonts w:ascii="宋体" w:hAnsi="宋体" w:eastAsia="宋体" w:cs="宋体"/>
          <w:spacing w:val="11"/>
          <w:sz w:val="20"/>
          <w:szCs w:val="20"/>
        </w:rPr>
        <w:t>正，修正的价格</w:t>
      </w:r>
      <w:r>
        <w:rPr>
          <w:rFonts w:ascii="宋体" w:hAnsi="宋体" w:eastAsia="宋体" w:cs="宋体"/>
          <w:spacing w:val="12"/>
          <w:sz w:val="20"/>
          <w:szCs w:val="20"/>
        </w:rPr>
        <w:t>经投标人书面确认后具有约束力。投标人不接受修正价格的，或</w:t>
      </w:r>
      <w:r>
        <w:rPr>
          <w:rFonts w:ascii="宋体" w:hAnsi="宋体" w:eastAsia="宋体" w:cs="宋体"/>
          <w:spacing w:val="11"/>
          <w:sz w:val="20"/>
          <w:szCs w:val="20"/>
        </w:rPr>
        <w:t>者修正后的投标总价与投标总价</w:t>
      </w:r>
      <w:r>
        <w:rPr>
          <w:rFonts w:ascii="宋体" w:hAnsi="宋体" w:eastAsia="宋体" w:cs="宋体"/>
          <w:spacing w:val="7"/>
          <w:sz w:val="20"/>
          <w:szCs w:val="20"/>
        </w:rPr>
        <w:t>相比偏差超过±1%的，或者修正后的投标总</w:t>
      </w:r>
      <w:r>
        <w:rPr>
          <w:rFonts w:ascii="宋体" w:hAnsi="宋体" w:eastAsia="宋体" w:cs="宋体"/>
          <w:spacing w:val="6"/>
          <w:sz w:val="20"/>
          <w:szCs w:val="20"/>
        </w:rPr>
        <w:t>价超过招标控制价总价的（如有</w:t>
      </w:r>
      <w:r>
        <w:rPr>
          <w:rFonts w:ascii="宋体" w:hAnsi="宋体" w:eastAsia="宋体" w:cs="宋体"/>
          <w:spacing w:val="-50"/>
          <w:w w:val="95"/>
          <w:sz w:val="20"/>
          <w:szCs w:val="20"/>
        </w:rPr>
        <w:t>），</w:t>
      </w:r>
      <w:r>
        <w:rPr>
          <w:rFonts w:ascii="宋体" w:hAnsi="宋体" w:eastAsia="宋体" w:cs="宋体"/>
          <w:spacing w:val="6"/>
          <w:sz w:val="20"/>
          <w:szCs w:val="20"/>
        </w:rPr>
        <w:t>其投标应当被否决。</w:t>
      </w:r>
    </w:p>
    <w:p w14:paraId="55042597">
      <w:pPr>
        <w:spacing w:line="226" w:lineRule="auto"/>
        <w:ind w:left="428"/>
        <w:rPr>
          <w:rFonts w:ascii="宋体" w:hAnsi="宋体" w:eastAsia="宋体" w:cs="宋体"/>
          <w:sz w:val="20"/>
          <w:szCs w:val="20"/>
        </w:rPr>
      </w:pPr>
      <w:r>
        <w:rPr>
          <w:rFonts w:ascii="宋体" w:hAnsi="宋体" w:eastAsia="宋体" w:cs="宋体"/>
          <w:spacing w:val="9"/>
          <w:sz w:val="20"/>
          <w:szCs w:val="20"/>
        </w:rPr>
        <w:t>算术错误修正用清标报告</w:t>
      </w:r>
      <w:r>
        <w:rPr>
          <w:rFonts w:ascii="宋体" w:hAnsi="宋体" w:eastAsia="宋体" w:cs="宋体"/>
          <w:b/>
          <w:bCs/>
          <w:spacing w:val="9"/>
          <w:sz w:val="20"/>
          <w:szCs w:val="20"/>
        </w:rPr>
        <w:t>附表C-8、附表</w:t>
      </w:r>
      <w:r>
        <w:rPr>
          <w:rFonts w:ascii="宋体" w:hAnsi="宋体" w:eastAsia="宋体" w:cs="宋体"/>
          <w:spacing w:val="-38"/>
          <w:sz w:val="20"/>
          <w:szCs w:val="20"/>
        </w:rPr>
        <w:t xml:space="preserve"> </w:t>
      </w:r>
      <w:r>
        <w:rPr>
          <w:rFonts w:ascii="宋体" w:hAnsi="宋体" w:eastAsia="宋体" w:cs="宋体"/>
          <w:b/>
          <w:bCs/>
          <w:spacing w:val="9"/>
          <w:sz w:val="20"/>
          <w:szCs w:val="20"/>
        </w:rPr>
        <w:t>C-9</w:t>
      </w:r>
      <w:r>
        <w:rPr>
          <w:rFonts w:ascii="宋体" w:hAnsi="宋体" w:eastAsia="宋体" w:cs="宋体"/>
          <w:spacing w:val="-39"/>
          <w:sz w:val="20"/>
          <w:szCs w:val="20"/>
        </w:rPr>
        <w:t xml:space="preserve"> </w:t>
      </w:r>
      <w:r>
        <w:rPr>
          <w:rFonts w:ascii="宋体" w:hAnsi="宋体" w:eastAsia="宋体" w:cs="宋体"/>
          <w:spacing w:val="9"/>
          <w:sz w:val="20"/>
          <w:szCs w:val="20"/>
        </w:rPr>
        <w:t>记录评</w:t>
      </w:r>
      <w:r>
        <w:rPr>
          <w:rFonts w:ascii="宋体" w:hAnsi="宋体" w:eastAsia="宋体" w:cs="宋体"/>
          <w:spacing w:val="8"/>
          <w:sz w:val="20"/>
          <w:szCs w:val="20"/>
        </w:rPr>
        <w:t>审结果。</w:t>
      </w:r>
    </w:p>
    <w:p w14:paraId="007DC892">
      <w:pPr>
        <w:pStyle w:val="2"/>
        <w:spacing w:before="160" w:line="230" w:lineRule="auto"/>
        <w:outlineLvl w:val="3"/>
        <w:rPr>
          <w:sz w:val="20"/>
          <w:szCs w:val="20"/>
        </w:rPr>
      </w:pPr>
      <w:bookmarkStart w:id="137" w:name="bookmark122"/>
      <w:bookmarkEnd w:id="137"/>
      <w:r>
        <w:rPr>
          <w:rFonts w:ascii="Times New Roman" w:hAnsi="Times New Roman" w:eastAsia="Times New Roman" w:cs="Times New Roman"/>
          <w:b/>
          <w:bCs/>
          <w:spacing w:val="7"/>
          <w:sz w:val="20"/>
          <w:szCs w:val="20"/>
        </w:rPr>
        <w:t xml:space="preserve">A3.6 </w:t>
      </w:r>
      <w:r>
        <w:rPr>
          <w:b/>
          <w:bCs/>
          <w:spacing w:val="7"/>
          <w:sz w:val="20"/>
          <w:szCs w:val="20"/>
        </w:rPr>
        <w:t>判断投标报价是否低于成本</w:t>
      </w:r>
    </w:p>
    <w:p w14:paraId="31509664">
      <w:pPr>
        <w:spacing w:before="181" w:line="397" w:lineRule="auto"/>
        <w:ind w:left="8" w:right="68" w:firstLine="418"/>
        <w:jc w:val="both"/>
        <w:rPr>
          <w:rFonts w:ascii="宋体" w:hAnsi="宋体" w:eastAsia="宋体" w:cs="宋体"/>
          <w:sz w:val="20"/>
          <w:szCs w:val="20"/>
        </w:rPr>
      </w:pPr>
      <w:r>
        <w:rPr>
          <w:rFonts w:ascii="宋体" w:hAnsi="宋体" w:eastAsia="宋体" w:cs="宋体"/>
          <w:spacing w:val="9"/>
          <w:sz w:val="20"/>
          <w:szCs w:val="20"/>
        </w:rPr>
        <w:t>根据本章第</w:t>
      </w:r>
      <w:r>
        <w:rPr>
          <w:rFonts w:ascii="宋体" w:hAnsi="宋体" w:eastAsia="宋体" w:cs="宋体"/>
          <w:spacing w:val="-17"/>
          <w:sz w:val="20"/>
          <w:szCs w:val="20"/>
        </w:rPr>
        <w:t xml:space="preserve"> </w:t>
      </w:r>
      <w:r>
        <w:rPr>
          <w:rFonts w:ascii="宋体" w:hAnsi="宋体" w:eastAsia="宋体" w:cs="宋体"/>
          <w:spacing w:val="9"/>
          <w:sz w:val="20"/>
          <w:szCs w:val="20"/>
        </w:rPr>
        <w:t>3.1.4</w:t>
      </w:r>
      <w:r>
        <w:rPr>
          <w:rFonts w:ascii="宋体" w:hAnsi="宋体" w:eastAsia="宋体" w:cs="宋体"/>
          <w:spacing w:val="-32"/>
          <w:sz w:val="20"/>
          <w:szCs w:val="20"/>
        </w:rPr>
        <w:t xml:space="preserve"> </w:t>
      </w:r>
      <w:r>
        <w:rPr>
          <w:rFonts w:ascii="宋体" w:hAnsi="宋体" w:eastAsia="宋体" w:cs="宋体"/>
          <w:spacing w:val="9"/>
          <w:sz w:val="20"/>
          <w:szCs w:val="20"/>
        </w:rPr>
        <w:t>项的规定，评标委员会根据本章附件</w:t>
      </w:r>
      <w:r>
        <w:rPr>
          <w:rFonts w:ascii="宋体" w:hAnsi="宋体" w:eastAsia="宋体" w:cs="宋体"/>
          <w:spacing w:val="-41"/>
          <w:sz w:val="20"/>
          <w:szCs w:val="20"/>
        </w:rPr>
        <w:t xml:space="preserve"> </w:t>
      </w:r>
      <w:r>
        <w:rPr>
          <w:rFonts w:ascii="宋体" w:hAnsi="宋体" w:eastAsia="宋体" w:cs="宋体"/>
          <w:spacing w:val="9"/>
          <w:sz w:val="20"/>
          <w:szCs w:val="20"/>
        </w:rPr>
        <w:t>D</w:t>
      </w:r>
      <w:r>
        <w:rPr>
          <w:rFonts w:ascii="宋体" w:hAnsi="宋体" w:eastAsia="宋体" w:cs="宋体"/>
          <w:spacing w:val="-18"/>
          <w:sz w:val="20"/>
          <w:szCs w:val="20"/>
        </w:rPr>
        <w:t xml:space="preserve"> </w:t>
      </w:r>
      <w:r>
        <w:rPr>
          <w:rFonts w:ascii="宋体" w:hAnsi="宋体" w:eastAsia="宋体" w:cs="宋体"/>
          <w:spacing w:val="9"/>
          <w:sz w:val="20"/>
          <w:szCs w:val="20"/>
        </w:rPr>
        <w:t>中规定的程序、标准和方法，判断</w:t>
      </w:r>
      <w:r>
        <w:rPr>
          <w:rFonts w:ascii="宋体" w:hAnsi="宋体" w:eastAsia="宋体" w:cs="宋体"/>
          <w:spacing w:val="12"/>
          <w:sz w:val="20"/>
          <w:szCs w:val="20"/>
        </w:rPr>
        <w:t>投标报价是否低于其成本。评标委员会认定投标人以低于成本竞</w:t>
      </w:r>
      <w:r>
        <w:rPr>
          <w:rFonts w:ascii="宋体" w:hAnsi="宋体" w:eastAsia="宋体" w:cs="宋体"/>
          <w:spacing w:val="11"/>
          <w:sz w:val="20"/>
          <w:szCs w:val="20"/>
        </w:rPr>
        <w:t>标的，其投标应当被否决。并使</w:t>
      </w:r>
      <w:r>
        <w:rPr>
          <w:rFonts w:ascii="宋体" w:hAnsi="宋体" w:eastAsia="宋体" w:cs="宋体"/>
          <w:spacing w:val="14"/>
          <w:sz w:val="20"/>
          <w:szCs w:val="20"/>
        </w:rPr>
        <w:t>用</w:t>
      </w:r>
      <w:r>
        <w:rPr>
          <w:rFonts w:ascii="宋体" w:hAnsi="宋体" w:eastAsia="宋体" w:cs="宋体"/>
          <w:b/>
          <w:bCs/>
          <w:spacing w:val="14"/>
          <w:sz w:val="20"/>
          <w:szCs w:val="20"/>
        </w:rPr>
        <w:t>附表D-1</w:t>
      </w:r>
      <w:r>
        <w:rPr>
          <w:rFonts w:ascii="宋体" w:hAnsi="宋体" w:eastAsia="宋体" w:cs="宋体"/>
          <w:spacing w:val="14"/>
          <w:sz w:val="20"/>
          <w:szCs w:val="20"/>
        </w:rPr>
        <w:t>记录评审结果。</w:t>
      </w:r>
    </w:p>
    <w:p w14:paraId="5E7CB4FC">
      <w:pPr>
        <w:pStyle w:val="2"/>
        <w:spacing w:before="1" w:line="230" w:lineRule="auto"/>
        <w:outlineLvl w:val="3"/>
        <w:rPr>
          <w:sz w:val="20"/>
          <w:szCs w:val="20"/>
        </w:rPr>
      </w:pPr>
      <w:bookmarkStart w:id="138" w:name="bookmark123"/>
      <w:bookmarkEnd w:id="138"/>
      <w:r>
        <w:rPr>
          <w:rFonts w:ascii="Times New Roman" w:hAnsi="Times New Roman" w:eastAsia="Times New Roman" w:cs="Times New Roman"/>
          <w:b/>
          <w:bCs/>
          <w:spacing w:val="7"/>
          <w:sz w:val="20"/>
          <w:szCs w:val="20"/>
        </w:rPr>
        <w:t xml:space="preserve">A3.7 </w:t>
      </w:r>
      <w:r>
        <w:rPr>
          <w:b/>
          <w:bCs/>
          <w:spacing w:val="7"/>
          <w:sz w:val="20"/>
          <w:szCs w:val="20"/>
        </w:rPr>
        <w:t>判断投标是否为应当被否决</w:t>
      </w:r>
    </w:p>
    <w:p w14:paraId="1358DFB4">
      <w:pPr>
        <w:spacing w:before="171" w:line="398" w:lineRule="auto"/>
        <w:ind w:left="7" w:right="70" w:firstLine="412"/>
        <w:rPr>
          <w:rFonts w:ascii="宋体" w:hAnsi="宋体" w:eastAsia="宋体" w:cs="宋体"/>
          <w:sz w:val="20"/>
          <w:szCs w:val="20"/>
        </w:rPr>
      </w:pPr>
      <w:r>
        <w:rPr>
          <w:rFonts w:ascii="宋体" w:hAnsi="宋体" w:eastAsia="宋体" w:cs="宋体"/>
          <w:spacing w:val="7"/>
          <w:sz w:val="20"/>
          <w:szCs w:val="20"/>
        </w:rPr>
        <w:t>A3.7.1 判断投标人的投标是否应当被否决的全部条件</w:t>
      </w:r>
      <w:r>
        <w:rPr>
          <w:rFonts w:ascii="宋体" w:hAnsi="宋体" w:eastAsia="宋体" w:cs="宋体"/>
          <w:spacing w:val="6"/>
          <w:sz w:val="20"/>
          <w:szCs w:val="20"/>
        </w:rPr>
        <w:t>（包括本章第</w:t>
      </w:r>
      <w:r>
        <w:rPr>
          <w:rFonts w:ascii="宋体" w:hAnsi="宋体" w:eastAsia="宋体" w:cs="宋体"/>
          <w:spacing w:val="-35"/>
          <w:sz w:val="20"/>
          <w:szCs w:val="20"/>
        </w:rPr>
        <w:t xml:space="preserve"> </w:t>
      </w:r>
      <w:r>
        <w:rPr>
          <w:rFonts w:ascii="宋体" w:hAnsi="宋体" w:eastAsia="宋体" w:cs="宋体"/>
          <w:spacing w:val="6"/>
          <w:sz w:val="20"/>
          <w:szCs w:val="20"/>
        </w:rPr>
        <w:t>3.1.2</w:t>
      </w:r>
      <w:r>
        <w:rPr>
          <w:rFonts w:ascii="宋体" w:hAnsi="宋体" w:eastAsia="宋体" w:cs="宋体"/>
          <w:spacing w:val="-34"/>
          <w:sz w:val="20"/>
          <w:szCs w:val="20"/>
        </w:rPr>
        <w:t xml:space="preserve"> </w:t>
      </w:r>
      <w:r>
        <w:rPr>
          <w:rFonts w:ascii="宋体" w:hAnsi="宋体" w:eastAsia="宋体" w:cs="宋体"/>
          <w:spacing w:val="6"/>
          <w:sz w:val="20"/>
          <w:szCs w:val="20"/>
        </w:rPr>
        <w:t>项、第</w:t>
      </w:r>
      <w:r>
        <w:rPr>
          <w:rFonts w:ascii="宋体" w:hAnsi="宋体" w:eastAsia="宋体" w:cs="宋体"/>
          <w:spacing w:val="-35"/>
          <w:sz w:val="20"/>
          <w:szCs w:val="20"/>
        </w:rPr>
        <w:t xml:space="preserve"> </w:t>
      </w:r>
      <w:r>
        <w:rPr>
          <w:rFonts w:ascii="宋体" w:hAnsi="宋体" w:eastAsia="宋体" w:cs="宋体"/>
          <w:spacing w:val="6"/>
          <w:sz w:val="20"/>
          <w:szCs w:val="20"/>
        </w:rPr>
        <w:t>3.1.3</w:t>
      </w:r>
      <w:r>
        <w:rPr>
          <w:rFonts w:ascii="宋体" w:hAnsi="宋体" w:eastAsia="宋体" w:cs="宋体"/>
          <w:spacing w:val="-35"/>
          <w:sz w:val="20"/>
          <w:szCs w:val="20"/>
        </w:rPr>
        <w:t xml:space="preserve"> </w:t>
      </w:r>
      <w:r>
        <w:rPr>
          <w:rFonts w:ascii="宋体" w:hAnsi="宋体" w:eastAsia="宋体" w:cs="宋体"/>
          <w:spacing w:val="6"/>
          <w:sz w:val="20"/>
          <w:szCs w:val="20"/>
        </w:rPr>
        <w:t>项中</w:t>
      </w:r>
      <w:r>
        <w:rPr>
          <w:rFonts w:ascii="宋体" w:hAnsi="宋体" w:eastAsia="宋体" w:cs="宋体"/>
          <w:spacing w:val="8"/>
          <w:sz w:val="20"/>
          <w:szCs w:val="20"/>
        </w:rPr>
        <w:t>规定的条件</w:t>
      </w:r>
      <w:r>
        <w:rPr>
          <w:rFonts w:ascii="宋体" w:hAnsi="宋体" w:eastAsia="宋体" w:cs="宋体"/>
          <w:spacing w:val="-39"/>
          <w:sz w:val="20"/>
          <w:szCs w:val="20"/>
        </w:rPr>
        <w:t>），</w:t>
      </w:r>
      <w:r>
        <w:rPr>
          <w:rFonts w:ascii="宋体" w:hAnsi="宋体" w:eastAsia="宋体" w:cs="宋体"/>
          <w:spacing w:val="8"/>
          <w:sz w:val="20"/>
          <w:szCs w:val="20"/>
        </w:rPr>
        <w:t>在本章前附表中集中列示。并使用</w:t>
      </w:r>
      <w:r>
        <w:rPr>
          <w:rFonts w:ascii="宋体" w:hAnsi="宋体" w:eastAsia="宋体" w:cs="宋体"/>
          <w:b/>
          <w:bCs/>
          <w:spacing w:val="8"/>
          <w:sz w:val="20"/>
          <w:szCs w:val="20"/>
        </w:rPr>
        <w:t>附表</w:t>
      </w:r>
      <w:r>
        <w:rPr>
          <w:rFonts w:ascii="宋体" w:hAnsi="宋体" w:eastAsia="宋体" w:cs="宋体"/>
          <w:spacing w:val="-43"/>
          <w:sz w:val="20"/>
          <w:szCs w:val="20"/>
        </w:rPr>
        <w:t xml:space="preserve"> </w:t>
      </w:r>
      <w:r>
        <w:rPr>
          <w:rFonts w:ascii="宋体" w:hAnsi="宋体" w:eastAsia="宋体" w:cs="宋体"/>
          <w:b/>
          <w:bCs/>
          <w:spacing w:val="8"/>
          <w:sz w:val="20"/>
          <w:szCs w:val="20"/>
        </w:rPr>
        <w:t>A-14</w:t>
      </w:r>
      <w:r>
        <w:rPr>
          <w:rFonts w:ascii="宋体" w:hAnsi="宋体" w:eastAsia="宋体" w:cs="宋体"/>
          <w:spacing w:val="-42"/>
          <w:sz w:val="20"/>
          <w:szCs w:val="20"/>
        </w:rPr>
        <w:t xml:space="preserve"> </w:t>
      </w:r>
      <w:r>
        <w:rPr>
          <w:rFonts w:ascii="宋体" w:hAnsi="宋体" w:eastAsia="宋体" w:cs="宋体"/>
          <w:spacing w:val="8"/>
          <w:sz w:val="20"/>
          <w:szCs w:val="20"/>
        </w:rPr>
        <w:t>记录评审结</w:t>
      </w:r>
      <w:r>
        <w:rPr>
          <w:rFonts w:ascii="宋体" w:hAnsi="宋体" w:eastAsia="宋体" w:cs="宋体"/>
          <w:spacing w:val="7"/>
          <w:sz w:val="20"/>
          <w:szCs w:val="20"/>
        </w:rPr>
        <w:t>果。</w:t>
      </w:r>
    </w:p>
    <w:p w14:paraId="6FACF149">
      <w:pPr>
        <w:spacing w:before="2" w:line="396" w:lineRule="auto"/>
        <w:ind w:left="10" w:right="68" w:firstLine="409"/>
        <w:jc w:val="both"/>
        <w:rPr>
          <w:rFonts w:ascii="宋体" w:hAnsi="宋体" w:eastAsia="宋体" w:cs="宋体"/>
          <w:sz w:val="20"/>
          <w:szCs w:val="20"/>
        </w:rPr>
      </w:pPr>
      <w:r>
        <w:rPr>
          <w:rFonts w:ascii="宋体" w:hAnsi="宋体" w:eastAsia="宋体" w:cs="宋体"/>
          <w:spacing w:val="8"/>
          <w:sz w:val="20"/>
          <w:szCs w:val="20"/>
        </w:rPr>
        <w:t>A3.7.2</w:t>
      </w:r>
      <w:r>
        <w:rPr>
          <w:rFonts w:ascii="宋体" w:hAnsi="宋体" w:eastAsia="宋体" w:cs="宋体"/>
          <w:spacing w:val="-25"/>
          <w:sz w:val="20"/>
          <w:szCs w:val="20"/>
        </w:rPr>
        <w:t xml:space="preserve"> </w:t>
      </w:r>
      <w:r>
        <w:rPr>
          <w:rFonts w:ascii="宋体" w:hAnsi="宋体" w:eastAsia="宋体" w:cs="宋体"/>
          <w:spacing w:val="8"/>
          <w:sz w:val="20"/>
          <w:szCs w:val="20"/>
        </w:rPr>
        <w:t>本章</w:t>
      </w:r>
      <w:r>
        <w:rPr>
          <w:rFonts w:ascii="宋体" w:hAnsi="宋体" w:eastAsia="宋体" w:cs="宋体"/>
          <w:b/>
          <w:bCs/>
          <w:spacing w:val="8"/>
          <w:sz w:val="20"/>
          <w:szCs w:val="20"/>
        </w:rPr>
        <w:t>附件</w:t>
      </w:r>
      <w:r>
        <w:rPr>
          <w:rFonts w:ascii="宋体" w:hAnsi="宋体" w:eastAsia="宋体" w:cs="宋体"/>
          <w:spacing w:val="-41"/>
          <w:sz w:val="20"/>
          <w:szCs w:val="20"/>
        </w:rPr>
        <w:t xml:space="preserve"> </w:t>
      </w:r>
      <w:r>
        <w:rPr>
          <w:rFonts w:ascii="宋体" w:hAnsi="宋体" w:eastAsia="宋体" w:cs="宋体"/>
          <w:b/>
          <w:bCs/>
          <w:spacing w:val="8"/>
          <w:sz w:val="20"/>
          <w:szCs w:val="20"/>
        </w:rPr>
        <w:t>B</w:t>
      </w:r>
      <w:r>
        <w:rPr>
          <w:rFonts w:ascii="宋体" w:hAnsi="宋体" w:eastAsia="宋体" w:cs="宋体"/>
          <w:spacing w:val="-36"/>
          <w:sz w:val="20"/>
          <w:szCs w:val="20"/>
        </w:rPr>
        <w:t xml:space="preserve"> </w:t>
      </w:r>
      <w:r>
        <w:rPr>
          <w:rFonts w:ascii="宋体" w:hAnsi="宋体" w:eastAsia="宋体" w:cs="宋体"/>
          <w:spacing w:val="8"/>
          <w:sz w:val="20"/>
          <w:szCs w:val="20"/>
        </w:rPr>
        <w:t>集中列示的否决投标的条件不应与第二章“投标人须知</w:t>
      </w:r>
      <w:r>
        <w:rPr>
          <w:rFonts w:ascii="宋体" w:hAnsi="宋体" w:eastAsia="宋体" w:cs="宋体"/>
          <w:spacing w:val="-70"/>
          <w:sz w:val="20"/>
          <w:szCs w:val="20"/>
        </w:rPr>
        <w:t xml:space="preserve"> </w:t>
      </w:r>
      <w:r>
        <w:rPr>
          <w:rFonts w:ascii="宋体" w:hAnsi="宋体" w:eastAsia="宋体" w:cs="宋体"/>
          <w:spacing w:val="8"/>
          <w:sz w:val="20"/>
          <w:szCs w:val="20"/>
        </w:rPr>
        <w:t>”和本章前附表和</w:t>
      </w:r>
      <w:r>
        <w:rPr>
          <w:rFonts w:ascii="宋体" w:hAnsi="宋体" w:eastAsia="宋体" w:cs="宋体"/>
          <w:spacing w:val="11"/>
          <w:sz w:val="20"/>
          <w:szCs w:val="20"/>
        </w:rPr>
        <w:t>正文部分包括的否决投标的条件抵触，如果出现相互矛盾</w:t>
      </w:r>
      <w:r>
        <w:rPr>
          <w:rFonts w:ascii="宋体" w:hAnsi="宋体" w:eastAsia="宋体" w:cs="宋体"/>
          <w:spacing w:val="10"/>
          <w:sz w:val="20"/>
          <w:szCs w:val="20"/>
        </w:rPr>
        <w:t>的情况，</w:t>
      </w:r>
      <w:r>
        <w:rPr>
          <w:rFonts w:ascii="宋体" w:hAnsi="宋体" w:eastAsia="宋体" w:cs="宋体"/>
          <w:spacing w:val="-57"/>
          <w:sz w:val="20"/>
          <w:szCs w:val="20"/>
        </w:rPr>
        <w:t xml:space="preserve"> </w:t>
      </w:r>
      <w:r>
        <w:rPr>
          <w:rFonts w:ascii="宋体" w:hAnsi="宋体" w:eastAsia="宋体" w:cs="宋体"/>
          <w:spacing w:val="10"/>
          <w:sz w:val="20"/>
          <w:szCs w:val="20"/>
        </w:rPr>
        <w:t>以本章前附表和正文部分的规</w:t>
      </w:r>
      <w:r>
        <w:rPr>
          <w:rFonts w:ascii="宋体" w:hAnsi="宋体" w:eastAsia="宋体" w:cs="宋体"/>
          <w:spacing w:val="4"/>
          <w:sz w:val="20"/>
          <w:szCs w:val="20"/>
        </w:rPr>
        <w:t>定为准。</w:t>
      </w:r>
    </w:p>
    <w:p w14:paraId="72D72D16">
      <w:pPr>
        <w:spacing w:before="1" w:line="385" w:lineRule="auto"/>
        <w:ind w:left="26" w:right="70" w:firstLine="393"/>
        <w:rPr>
          <w:rFonts w:ascii="宋体" w:hAnsi="宋体" w:eastAsia="宋体" w:cs="宋体"/>
          <w:sz w:val="20"/>
          <w:szCs w:val="20"/>
        </w:rPr>
      </w:pPr>
      <w:r>
        <w:rPr>
          <w:rFonts w:ascii="宋体" w:hAnsi="宋体" w:eastAsia="宋体" w:cs="宋体"/>
          <w:spacing w:val="10"/>
          <w:sz w:val="20"/>
          <w:szCs w:val="20"/>
        </w:rPr>
        <w:t>A3.7.3</w:t>
      </w:r>
      <w:r>
        <w:rPr>
          <w:rFonts w:ascii="宋体" w:hAnsi="宋体" w:eastAsia="宋体" w:cs="宋体"/>
          <w:spacing w:val="-39"/>
          <w:sz w:val="20"/>
          <w:szCs w:val="20"/>
        </w:rPr>
        <w:t xml:space="preserve"> </w:t>
      </w:r>
      <w:r>
        <w:rPr>
          <w:rFonts w:ascii="宋体" w:hAnsi="宋体" w:eastAsia="宋体" w:cs="宋体"/>
          <w:spacing w:val="10"/>
          <w:sz w:val="20"/>
          <w:szCs w:val="20"/>
        </w:rPr>
        <w:t>评标委员会在评标（包括初步评审和详细评审）过</w:t>
      </w:r>
      <w:r>
        <w:rPr>
          <w:rFonts w:ascii="宋体" w:hAnsi="宋体" w:eastAsia="宋体" w:cs="宋体"/>
          <w:spacing w:val="9"/>
          <w:sz w:val="20"/>
          <w:szCs w:val="20"/>
        </w:rPr>
        <w:t>程中，依据本章前附表和正文部分</w:t>
      </w:r>
      <w:r>
        <w:rPr>
          <w:rFonts w:ascii="宋体" w:hAnsi="宋体" w:eastAsia="宋体" w:cs="宋体"/>
          <w:spacing w:val="8"/>
          <w:sz w:val="20"/>
          <w:szCs w:val="20"/>
        </w:rPr>
        <w:t>中规定的否决投标的条件判断投标人的投标是否为应当被否决。</w:t>
      </w:r>
    </w:p>
    <w:p w14:paraId="73E96BF7">
      <w:pPr>
        <w:pStyle w:val="2"/>
        <w:spacing w:before="1" w:line="229" w:lineRule="auto"/>
        <w:outlineLvl w:val="3"/>
        <w:rPr>
          <w:sz w:val="20"/>
          <w:szCs w:val="20"/>
        </w:rPr>
      </w:pPr>
      <w:bookmarkStart w:id="139" w:name="bookmark124"/>
      <w:bookmarkEnd w:id="139"/>
      <w:r>
        <w:rPr>
          <w:rFonts w:ascii="Times New Roman" w:hAnsi="Times New Roman" w:eastAsia="Times New Roman" w:cs="Times New Roman"/>
          <w:b/>
          <w:bCs/>
          <w:spacing w:val="6"/>
          <w:sz w:val="20"/>
          <w:szCs w:val="20"/>
        </w:rPr>
        <w:t xml:space="preserve">A3.8 </w:t>
      </w:r>
      <w:r>
        <w:rPr>
          <w:b/>
          <w:bCs/>
          <w:spacing w:val="6"/>
          <w:sz w:val="20"/>
          <w:szCs w:val="20"/>
        </w:rPr>
        <w:t>澄清、说明或补正</w:t>
      </w:r>
    </w:p>
    <w:p w14:paraId="649C75A9">
      <w:pPr>
        <w:spacing w:before="174" w:line="388" w:lineRule="auto"/>
        <w:ind w:left="6" w:right="68" w:firstLine="419"/>
        <w:jc w:val="both"/>
        <w:rPr>
          <w:rFonts w:ascii="宋体" w:hAnsi="宋体" w:eastAsia="宋体" w:cs="宋体"/>
          <w:sz w:val="20"/>
          <w:szCs w:val="20"/>
        </w:rPr>
      </w:pPr>
      <w:r>
        <w:rPr>
          <w:rFonts w:ascii="宋体" w:hAnsi="宋体" w:eastAsia="宋体" w:cs="宋体"/>
          <w:spacing w:val="12"/>
          <w:sz w:val="20"/>
          <w:szCs w:val="20"/>
        </w:rPr>
        <w:t>在初步评审过程中，评标委员会应当就投标文件中含义不明确、对同</w:t>
      </w:r>
      <w:r>
        <w:rPr>
          <w:rFonts w:ascii="宋体" w:hAnsi="宋体" w:eastAsia="宋体" w:cs="宋体"/>
          <w:spacing w:val="11"/>
          <w:sz w:val="20"/>
          <w:szCs w:val="20"/>
        </w:rPr>
        <w:t>类问题表述不一致或者</w:t>
      </w:r>
      <w:r>
        <w:rPr>
          <w:rFonts w:ascii="宋体" w:hAnsi="宋体" w:eastAsia="宋体" w:cs="宋体"/>
          <w:spacing w:val="12"/>
          <w:sz w:val="20"/>
          <w:szCs w:val="20"/>
        </w:rPr>
        <w:t>有明显文字和计算错误的内容要求投标人进行澄清、说明或者</w:t>
      </w:r>
      <w:r>
        <w:rPr>
          <w:rFonts w:ascii="宋体" w:hAnsi="宋体" w:eastAsia="宋体" w:cs="宋体"/>
          <w:spacing w:val="11"/>
          <w:sz w:val="20"/>
          <w:szCs w:val="20"/>
        </w:rPr>
        <w:t>补正。投标人对此以书面形式予以</w:t>
      </w:r>
      <w:r>
        <w:rPr>
          <w:rFonts w:ascii="宋体" w:hAnsi="宋体" w:eastAsia="宋体" w:cs="宋体"/>
          <w:spacing w:val="6"/>
          <w:sz w:val="20"/>
          <w:szCs w:val="20"/>
        </w:rPr>
        <w:t>澄清、说明或者补正。澄清、说明或补正根据本章第</w:t>
      </w:r>
      <w:r>
        <w:rPr>
          <w:rFonts w:ascii="宋体" w:hAnsi="宋体" w:eastAsia="宋体" w:cs="宋体"/>
          <w:spacing w:val="-35"/>
          <w:sz w:val="20"/>
          <w:szCs w:val="20"/>
        </w:rPr>
        <w:t xml:space="preserve"> </w:t>
      </w:r>
      <w:r>
        <w:rPr>
          <w:rFonts w:ascii="宋体" w:hAnsi="宋体" w:eastAsia="宋体" w:cs="宋体"/>
          <w:spacing w:val="6"/>
          <w:sz w:val="20"/>
          <w:szCs w:val="20"/>
        </w:rPr>
        <w:t>3.3</w:t>
      </w:r>
      <w:r>
        <w:rPr>
          <w:rFonts w:ascii="宋体" w:hAnsi="宋体" w:eastAsia="宋体" w:cs="宋体"/>
          <w:spacing w:val="-37"/>
          <w:sz w:val="20"/>
          <w:szCs w:val="20"/>
        </w:rPr>
        <w:t xml:space="preserve"> </w:t>
      </w:r>
      <w:r>
        <w:rPr>
          <w:rFonts w:ascii="宋体" w:hAnsi="宋体" w:eastAsia="宋体" w:cs="宋体"/>
          <w:spacing w:val="6"/>
          <w:sz w:val="20"/>
          <w:szCs w:val="20"/>
        </w:rPr>
        <w:t>款的规定执行。《投标文件澄清通知》及</w:t>
      </w:r>
      <w:r>
        <w:rPr>
          <w:rFonts w:ascii="宋体" w:hAnsi="宋体" w:eastAsia="宋体" w:cs="宋体"/>
          <w:spacing w:val="11"/>
          <w:sz w:val="20"/>
          <w:szCs w:val="20"/>
        </w:rPr>
        <w:t>《投标文件的澄清》采用投标人须知附表六与投标人须知附表七所提供的格式，并通</w:t>
      </w:r>
      <w:r>
        <w:rPr>
          <w:rFonts w:ascii="宋体" w:hAnsi="宋体" w:eastAsia="宋体" w:cs="宋体"/>
          <w:spacing w:val="10"/>
          <w:sz w:val="20"/>
          <w:szCs w:val="20"/>
        </w:rPr>
        <w:t>过“</w:t>
      </w:r>
      <w:r>
        <w:rPr>
          <w:rFonts w:ascii="宋体" w:hAnsi="宋体" w:eastAsia="宋体" w:cs="宋体"/>
          <w:spacing w:val="-65"/>
          <w:sz w:val="20"/>
          <w:szCs w:val="20"/>
        </w:rPr>
        <w:t xml:space="preserve"> </w:t>
      </w:r>
      <w:r>
        <w:rPr>
          <w:rFonts w:ascii="宋体" w:hAnsi="宋体" w:eastAsia="宋体" w:cs="宋体"/>
          <w:spacing w:val="10"/>
          <w:sz w:val="20"/>
          <w:szCs w:val="20"/>
        </w:rPr>
        <w:t>电子交</w:t>
      </w:r>
      <w:r>
        <w:rPr>
          <w:rFonts w:ascii="宋体" w:hAnsi="宋体" w:eastAsia="宋体" w:cs="宋体"/>
          <w:spacing w:val="1"/>
          <w:sz w:val="20"/>
          <w:szCs w:val="20"/>
        </w:rPr>
        <w:t>易平台</w:t>
      </w:r>
      <w:r>
        <w:rPr>
          <w:rFonts w:ascii="宋体" w:hAnsi="宋体" w:eastAsia="宋体" w:cs="宋体"/>
          <w:spacing w:val="-58"/>
          <w:sz w:val="20"/>
          <w:szCs w:val="20"/>
        </w:rPr>
        <w:t xml:space="preserve"> </w:t>
      </w:r>
      <w:r>
        <w:rPr>
          <w:rFonts w:ascii="宋体" w:hAnsi="宋体" w:eastAsia="宋体" w:cs="宋体"/>
          <w:spacing w:val="1"/>
          <w:sz w:val="20"/>
          <w:szCs w:val="20"/>
        </w:rPr>
        <w:t>”“投标文件澄清</w:t>
      </w:r>
      <w:r>
        <w:rPr>
          <w:rFonts w:ascii="宋体" w:hAnsi="宋体" w:eastAsia="宋体" w:cs="宋体"/>
          <w:spacing w:val="-70"/>
          <w:sz w:val="20"/>
          <w:szCs w:val="20"/>
        </w:rPr>
        <w:t xml:space="preserve"> </w:t>
      </w:r>
      <w:r>
        <w:rPr>
          <w:rFonts w:ascii="宋体" w:hAnsi="宋体" w:eastAsia="宋体" w:cs="宋体"/>
          <w:spacing w:val="1"/>
          <w:sz w:val="20"/>
          <w:szCs w:val="20"/>
        </w:rPr>
        <w:t>”菜单以书面形式进行。</w:t>
      </w:r>
    </w:p>
    <w:p w14:paraId="07F1E331">
      <w:pPr>
        <w:pStyle w:val="2"/>
        <w:spacing w:before="1" w:line="221" w:lineRule="auto"/>
        <w:outlineLvl w:val="2"/>
        <w:rPr>
          <w:sz w:val="24"/>
          <w:szCs w:val="24"/>
        </w:rPr>
      </w:pPr>
      <w:bookmarkStart w:id="140" w:name="bookmark125"/>
      <w:bookmarkEnd w:id="140"/>
      <w:r>
        <w:rPr>
          <w:rFonts w:ascii="Times New Roman" w:hAnsi="Times New Roman" w:eastAsia="Times New Roman" w:cs="Times New Roman"/>
          <w:spacing w:val="-1"/>
          <w:sz w:val="24"/>
          <w:szCs w:val="24"/>
        </w:rPr>
        <w:t>A4.</w:t>
      </w:r>
      <w:r>
        <w:rPr>
          <w:spacing w:val="-1"/>
          <w:sz w:val="24"/>
          <w:szCs w:val="24"/>
        </w:rPr>
        <w:t>详细评审</w:t>
      </w:r>
    </w:p>
    <w:p w14:paraId="37138E4E">
      <w:pPr>
        <w:spacing w:before="163" w:line="228" w:lineRule="auto"/>
        <w:ind w:left="438"/>
        <w:rPr>
          <w:rFonts w:ascii="宋体" w:hAnsi="宋体" w:eastAsia="宋体" w:cs="宋体"/>
          <w:sz w:val="20"/>
          <w:szCs w:val="20"/>
        </w:rPr>
      </w:pPr>
      <w:r>
        <w:rPr>
          <w:rFonts w:ascii="宋体" w:hAnsi="宋体" w:eastAsia="宋体" w:cs="宋体"/>
          <w:spacing w:val="9"/>
          <w:sz w:val="20"/>
          <w:szCs w:val="20"/>
        </w:rPr>
        <w:t>只有通过了初步评审、被判定为合格的投标方可进入</w:t>
      </w:r>
      <w:r>
        <w:rPr>
          <w:rFonts w:ascii="宋体" w:hAnsi="宋体" w:eastAsia="宋体" w:cs="宋体"/>
          <w:spacing w:val="8"/>
          <w:sz w:val="20"/>
          <w:szCs w:val="20"/>
        </w:rPr>
        <w:t>详细评审。</w:t>
      </w:r>
    </w:p>
    <w:p w14:paraId="603DA0DE">
      <w:pPr>
        <w:pStyle w:val="2"/>
        <w:spacing w:before="159" w:line="230" w:lineRule="auto"/>
        <w:outlineLvl w:val="3"/>
        <w:rPr>
          <w:sz w:val="20"/>
          <w:szCs w:val="20"/>
        </w:rPr>
      </w:pPr>
      <w:bookmarkStart w:id="141" w:name="bookmark126"/>
      <w:bookmarkEnd w:id="141"/>
      <w:r>
        <w:rPr>
          <w:rFonts w:ascii="Times New Roman" w:hAnsi="Times New Roman" w:eastAsia="Times New Roman" w:cs="Times New Roman"/>
          <w:b/>
          <w:bCs/>
          <w:spacing w:val="6"/>
          <w:sz w:val="20"/>
          <w:szCs w:val="20"/>
        </w:rPr>
        <w:t xml:space="preserve">A4.1 </w:t>
      </w:r>
      <w:r>
        <w:rPr>
          <w:b/>
          <w:bCs/>
          <w:spacing w:val="6"/>
          <w:sz w:val="20"/>
          <w:szCs w:val="20"/>
        </w:rPr>
        <w:t>详细评审的程序</w:t>
      </w:r>
    </w:p>
    <w:p w14:paraId="231E203E">
      <w:pPr>
        <w:spacing w:before="173" w:line="227" w:lineRule="auto"/>
        <w:ind w:left="425"/>
        <w:rPr>
          <w:rFonts w:ascii="宋体" w:hAnsi="宋体" w:eastAsia="宋体" w:cs="宋体"/>
          <w:sz w:val="20"/>
          <w:szCs w:val="20"/>
        </w:rPr>
      </w:pPr>
      <w:r>
        <w:rPr>
          <w:rFonts w:ascii="宋体" w:hAnsi="宋体" w:eastAsia="宋体" w:cs="宋体"/>
          <w:spacing w:val="8"/>
          <w:sz w:val="20"/>
          <w:szCs w:val="20"/>
        </w:rPr>
        <w:t>评标委员会按照本章第</w:t>
      </w:r>
      <w:r>
        <w:rPr>
          <w:rFonts w:ascii="宋体" w:hAnsi="宋体" w:eastAsia="宋体" w:cs="宋体"/>
          <w:spacing w:val="-33"/>
          <w:sz w:val="20"/>
          <w:szCs w:val="20"/>
        </w:rPr>
        <w:t xml:space="preserve"> </w:t>
      </w:r>
      <w:r>
        <w:rPr>
          <w:rFonts w:ascii="宋体" w:hAnsi="宋体" w:eastAsia="宋体" w:cs="宋体"/>
          <w:spacing w:val="8"/>
          <w:sz w:val="20"/>
          <w:szCs w:val="20"/>
        </w:rPr>
        <w:t>3．2</w:t>
      </w:r>
      <w:r>
        <w:rPr>
          <w:rFonts w:ascii="宋体" w:hAnsi="宋体" w:eastAsia="宋体" w:cs="宋体"/>
          <w:spacing w:val="-37"/>
          <w:sz w:val="20"/>
          <w:szCs w:val="20"/>
        </w:rPr>
        <w:t xml:space="preserve"> </w:t>
      </w:r>
      <w:r>
        <w:rPr>
          <w:rFonts w:ascii="宋体" w:hAnsi="宋体" w:eastAsia="宋体" w:cs="宋体"/>
          <w:spacing w:val="8"/>
          <w:sz w:val="20"/>
          <w:szCs w:val="20"/>
        </w:rPr>
        <w:t>款中规定的程序进行详细评审：</w:t>
      </w:r>
    </w:p>
    <w:p w14:paraId="420C758D">
      <w:pPr>
        <w:spacing w:before="186" w:line="226" w:lineRule="auto"/>
        <w:ind w:left="871"/>
        <w:rPr>
          <w:rFonts w:ascii="宋体" w:hAnsi="宋体" w:eastAsia="宋体" w:cs="宋体"/>
          <w:sz w:val="20"/>
          <w:szCs w:val="20"/>
        </w:rPr>
      </w:pPr>
      <w:r>
        <w:rPr>
          <w:rFonts w:ascii="宋体" w:hAnsi="宋体" w:eastAsia="宋体" w:cs="宋体"/>
          <w:spacing w:val="7"/>
          <w:sz w:val="20"/>
          <w:szCs w:val="20"/>
        </w:rPr>
        <w:t>（1） 投标报价评审和评分；</w:t>
      </w:r>
    </w:p>
    <w:p w14:paraId="64A4EF8F">
      <w:pPr>
        <w:spacing w:line="226" w:lineRule="auto"/>
        <w:rPr>
          <w:rFonts w:ascii="宋体" w:hAnsi="宋体" w:eastAsia="宋体" w:cs="宋体"/>
          <w:sz w:val="20"/>
          <w:szCs w:val="20"/>
        </w:rPr>
        <w:sectPr>
          <w:footerReference r:id="rId111" w:type="default"/>
          <w:pgSz w:w="11907" w:h="16840"/>
          <w:pgMar w:top="400" w:right="1463" w:bottom="1035" w:left="1475" w:header="0" w:footer="785" w:gutter="0"/>
          <w:cols w:space="720" w:num="1"/>
        </w:sectPr>
      </w:pPr>
    </w:p>
    <w:p w14:paraId="3218603A">
      <w:pPr>
        <w:spacing w:line="278" w:lineRule="auto"/>
        <w:rPr>
          <w:rFonts w:ascii="Arial"/>
          <w:sz w:val="21"/>
        </w:rPr>
      </w:pPr>
    </w:p>
    <w:p w14:paraId="0AE68EEF">
      <w:pPr>
        <w:spacing w:line="278" w:lineRule="auto"/>
        <w:rPr>
          <w:rFonts w:ascii="Arial"/>
          <w:sz w:val="21"/>
        </w:rPr>
      </w:pPr>
    </w:p>
    <w:p w14:paraId="3FFF1FBA">
      <w:pPr>
        <w:spacing w:line="279" w:lineRule="auto"/>
        <w:rPr>
          <w:rFonts w:ascii="Arial"/>
          <w:sz w:val="21"/>
        </w:rPr>
      </w:pPr>
    </w:p>
    <w:p w14:paraId="1184F41A">
      <w:pPr>
        <w:spacing w:line="279" w:lineRule="auto"/>
        <w:rPr>
          <w:rFonts w:ascii="Arial"/>
          <w:sz w:val="21"/>
        </w:rPr>
      </w:pPr>
    </w:p>
    <w:p w14:paraId="654B0A6C">
      <w:pPr>
        <w:spacing w:line="279" w:lineRule="auto"/>
        <w:rPr>
          <w:rFonts w:ascii="Arial"/>
          <w:sz w:val="21"/>
        </w:rPr>
      </w:pPr>
    </w:p>
    <w:p w14:paraId="2170CA16">
      <w:pPr>
        <w:spacing w:before="65" w:line="228" w:lineRule="auto"/>
        <w:ind w:left="871"/>
        <w:rPr>
          <w:rFonts w:ascii="宋体" w:hAnsi="宋体" w:eastAsia="宋体" w:cs="宋体"/>
          <w:sz w:val="20"/>
          <w:szCs w:val="20"/>
        </w:rPr>
      </w:pPr>
      <w:r>
        <w:rPr>
          <w:rFonts w:ascii="宋体" w:hAnsi="宋体" w:eastAsia="宋体" w:cs="宋体"/>
          <w:spacing w:val="7"/>
          <w:sz w:val="20"/>
          <w:szCs w:val="20"/>
        </w:rPr>
        <w:t>（2） 施工组织设计评审和评分；</w:t>
      </w:r>
    </w:p>
    <w:p w14:paraId="770005BA">
      <w:pPr>
        <w:spacing w:before="182" w:line="227" w:lineRule="auto"/>
        <w:ind w:left="871"/>
        <w:rPr>
          <w:rFonts w:ascii="宋体" w:hAnsi="宋体" w:eastAsia="宋体" w:cs="宋体"/>
          <w:sz w:val="20"/>
          <w:szCs w:val="20"/>
        </w:rPr>
      </w:pPr>
      <w:r>
        <w:rPr>
          <w:rFonts w:ascii="宋体" w:hAnsi="宋体" w:eastAsia="宋体" w:cs="宋体"/>
          <w:spacing w:val="7"/>
          <w:sz w:val="20"/>
          <w:szCs w:val="20"/>
        </w:rPr>
        <w:t>（3） 项目管理机构评审和评分；</w:t>
      </w:r>
    </w:p>
    <w:p w14:paraId="2946A633">
      <w:pPr>
        <w:spacing w:before="183" w:line="228" w:lineRule="auto"/>
        <w:ind w:left="899"/>
        <w:rPr>
          <w:rFonts w:ascii="宋体" w:hAnsi="宋体" w:eastAsia="宋体" w:cs="宋体"/>
          <w:sz w:val="20"/>
          <w:szCs w:val="20"/>
        </w:rPr>
      </w:pPr>
      <w:r>
        <w:rPr>
          <w:rFonts w:ascii="宋体" w:hAnsi="宋体" w:eastAsia="宋体" w:cs="宋体"/>
          <w:spacing w:val="7"/>
          <w:sz w:val="20"/>
          <w:szCs w:val="20"/>
        </w:rPr>
        <w:t>（4） 其他因素评审和评分；</w:t>
      </w:r>
    </w:p>
    <w:p w14:paraId="2116EA64">
      <w:pPr>
        <w:spacing w:before="183" w:line="228" w:lineRule="auto"/>
        <w:ind w:left="899"/>
        <w:rPr>
          <w:rFonts w:ascii="宋体" w:hAnsi="宋体" w:eastAsia="宋体" w:cs="宋体"/>
          <w:sz w:val="20"/>
          <w:szCs w:val="20"/>
        </w:rPr>
      </w:pPr>
      <w:r>
        <w:rPr>
          <w:rFonts w:ascii="宋体" w:hAnsi="宋体" w:eastAsia="宋体" w:cs="宋体"/>
          <w:spacing w:val="4"/>
          <w:sz w:val="20"/>
          <w:szCs w:val="20"/>
        </w:rPr>
        <w:t>（5）</w:t>
      </w:r>
      <w:r>
        <w:rPr>
          <w:rFonts w:ascii="宋体" w:hAnsi="宋体" w:eastAsia="宋体" w:cs="宋体"/>
          <w:spacing w:val="27"/>
          <w:sz w:val="20"/>
          <w:szCs w:val="20"/>
        </w:rPr>
        <w:t xml:space="preserve"> </w:t>
      </w:r>
      <w:r>
        <w:rPr>
          <w:rFonts w:ascii="宋体" w:hAnsi="宋体" w:eastAsia="宋体" w:cs="宋体"/>
          <w:spacing w:val="4"/>
          <w:sz w:val="20"/>
          <w:szCs w:val="20"/>
        </w:rPr>
        <w:t>汇总评分结果。</w:t>
      </w:r>
    </w:p>
    <w:p w14:paraId="7A04BB9A">
      <w:pPr>
        <w:pStyle w:val="2"/>
        <w:spacing w:before="158" w:line="230" w:lineRule="auto"/>
        <w:outlineLvl w:val="3"/>
        <w:rPr>
          <w:sz w:val="20"/>
          <w:szCs w:val="20"/>
        </w:rPr>
      </w:pPr>
      <w:bookmarkStart w:id="142" w:name="bookmark127"/>
      <w:bookmarkEnd w:id="142"/>
      <w:r>
        <w:rPr>
          <w:rFonts w:ascii="Times New Roman" w:hAnsi="Times New Roman" w:eastAsia="Times New Roman" w:cs="Times New Roman"/>
          <w:b/>
          <w:bCs/>
          <w:spacing w:val="6"/>
          <w:sz w:val="20"/>
          <w:szCs w:val="20"/>
        </w:rPr>
        <w:t xml:space="preserve">A4.2 </w:t>
      </w:r>
      <w:r>
        <w:rPr>
          <w:b/>
          <w:bCs/>
          <w:spacing w:val="6"/>
          <w:sz w:val="20"/>
          <w:szCs w:val="20"/>
        </w:rPr>
        <w:t>投标报价评审和评分</w:t>
      </w:r>
    </w:p>
    <w:p w14:paraId="4ABB5650">
      <w:pPr>
        <w:spacing w:before="175" w:line="226" w:lineRule="auto"/>
        <w:ind w:left="420"/>
        <w:rPr>
          <w:rFonts w:ascii="宋体" w:hAnsi="宋体" w:eastAsia="宋体" w:cs="宋体"/>
          <w:sz w:val="20"/>
          <w:szCs w:val="20"/>
        </w:rPr>
      </w:pPr>
      <w:r>
        <w:rPr>
          <w:rFonts w:ascii="宋体" w:hAnsi="宋体" w:eastAsia="宋体" w:cs="宋体"/>
          <w:spacing w:val="8"/>
          <w:sz w:val="20"/>
          <w:szCs w:val="20"/>
        </w:rPr>
        <w:t>A4.2.1</w:t>
      </w:r>
      <w:r>
        <w:rPr>
          <w:rFonts w:ascii="宋体" w:hAnsi="宋体" w:eastAsia="宋体" w:cs="宋体"/>
          <w:spacing w:val="-39"/>
          <w:sz w:val="20"/>
          <w:szCs w:val="20"/>
        </w:rPr>
        <w:t xml:space="preserve"> </w:t>
      </w:r>
      <w:r>
        <w:rPr>
          <w:rFonts w:ascii="宋体" w:hAnsi="宋体" w:eastAsia="宋体" w:cs="宋体"/>
          <w:spacing w:val="8"/>
          <w:sz w:val="20"/>
          <w:szCs w:val="20"/>
        </w:rPr>
        <w:t>按照评标办法前附表中规定的</w:t>
      </w:r>
      <w:r>
        <w:rPr>
          <w:rFonts w:ascii="宋体" w:hAnsi="宋体" w:eastAsia="宋体" w:cs="宋体"/>
          <w:spacing w:val="7"/>
          <w:sz w:val="20"/>
          <w:szCs w:val="20"/>
        </w:rPr>
        <w:t>方法计算各投标人的 “评标价</w:t>
      </w:r>
      <w:r>
        <w:rPr>
          <w:rFonts w:ascii="宋体" w:hAnsi="宋体" w:eastAsia="宋体" w:cs="宋体"/>
          <w:spacing w:val="-72"/>
          <w:sz w:val="20"/>
          <w:szCs w:val="20"/>
        </w:rPr>
        <w:t xml:space="preserve"> </w:t>
      </w:r>
      <w:r>
        <w:rPr>
          <w:rFonts w:ascii="宋体" w:hAnsi="宋体" w:eastAsia="宋体" w:cs="宋体"/>
          <w:spacing w:val="7"/>
          <w:sz w:val="20"/>
          <w:szCs w:val="20"/>
        </w:rPr>
        <w:t>”。</w:t>
      </w:r>
    </w:p>
    <w:p w14:paraId="3D9D89A8">
      <w:pPr>
        <w:spacing w:before="184" w:line="226" w:lineRule="auto"/>
        <w:ind w:left="420"/>
        <w:rPr>
          <w:rFonts w:ascii="宋体" w:hAnsi="宋体" w:eastAsia="宋体" w:cs="宋体"/>
          <w:sz w:val="20"/>
          <w:szCs w:val="20"/>
        </w:rPr>
      </w:pPr>
      <w:r>
        <w:rPr>
          <w:rFonts w:ascii="宋体" w:hAnsi="宋体" w:eastAsia="宋体" w:cs="宋体"/>
          <w:spacing w:val="7"/>
          <w:sz w:val="20"/>
          <w:szCs w:val="20"/>
        </w:rPr>
        <w:t>A4.2.2</w:t>
      </w:r>
      <w:r>
        <w:rPr>
          <w:rFonts w:ascii="宋体" w:hAnsi="宋体" w:eastAsia="宋体" w:cs="宋体"/>
          <w:spacing w:val="-28"/>
          <w:sz w:val="20"/>
          <w:szCs w:val="20"/>
        </w:rPr>
        <w:t xml:space="preserve"> </w:t>
      </w:r>
      <w:r>
        <w:rPr>
          <w:rFonts w:ascii="宋体" w:hAnsi="宋体" w:eastAsia="宋体" w:cs="宋体"/>
          <w:spacing w:val="7"/>
          <w:sz w:val="20"/>
          <w:szCs w:val="20"/>
        </w:rPr>
        <w:t>按照评标办法前附表中规定的方法计算“评标基准价</w:t>
      </w:r>
      <w:r>
        <w:rPr>
          <w:rFonts w:ascii="宋体" w:hAnsi="宋体" w:eastAsia="宋体" w:cs="宋体"/>
          <w:spacing w:val="-70"/>
          <w:sz w:val="20"/>
          <w:szCs w:val="20"/>
        </w:rPr>
        <w:t xml:space="preserve"> </w:t>
      </w:r>
      <w:r>
        <w:rPr>
          <w:rFonts w:ascii="宋体" w:hAnsi="宋体" w:eastAsia="宋体" w:cs="宋体"/>
          <w:spacing w:val="7"/>
          <w:sz w:val="20"/>
          <w:szCs w:val="20"/>
        </w:rPr>
        <w:t>”。</w:t>
      </w:r>
    </w:p>
    <w:p w14:paraId="75956D1D">
      <w:pPr>
        <w:spacing w:before="185" w:line="226" w:lineRule="auto"/>
        <w:ind w:left="420"/>
        <w:rPr>
          <w:rFonts w:ascii="宋体" w:hAnsi="宋体" w:eastAsia="宋体" w:cs="宋体"/>
          <w:sz w:val="20"/>
          <w:szCs w:val="20"/>
        </w:rPr>
      </w:pPr>
      <w:r>
        <w:rPr>
          <w:rFonts w:ascii="宋体" w:hAnsi="宋体" w:eastAsia="宋体" w:cs="宋体"/>
          <w:spacing w:val="6"/>
          <w:sz w:val="20"/>
          <w:szCs w:val="20"/>
        </w:rPr>
        <w:t>A4.2.3</w:t>
      </w:r>
      <w:r>
        <w:rPr>
          <w:rFonts w:ascii="宋体" w:hAnsi="宋体" w:eastAsia="宋体" w:cs="宋体"/>
          <w:spacing w:val="-38"/>
          <w:sz w:val="20"/>
          <w:szCs w:val="20"/>
        </w:rPr>
        <w:t xml:space="preserve"> </w:t>
      </w:r>
      <w:r>
        <w:rPr>
          <w:rFonts w:ascii="宋体" w:hAnsi="宋体" w:eastAsia="宋体" w:cs="宋体"/>
          <w:spacing w:val="6"/>
          <w:sz w:val="20"/>
          <w:szCs w:val="20"/>
        </w:rPr>
        <w:t>按照评标办法前附表中规定的方法，计算期望合理价。</w:t>
      </w:r>
      <w:r>
        <w:rPr>
          <w:rFonts w:ascii="宋体" w:hAnsi="宋体" w:eastAsia="宋体" w:cs="宋体"/>
          <w:spacing w:val="5"/>
          <w:sz w:val="20"/>
          <w:szCs w:val="20"/>
        </w:rPr>
        <w:t>（适用于办法八）</w:t>
      </w:r>
    </w:p>
    <w:p w14:paraId="2EE310CF">
      <w:pPr>
        <w:spacing w:before="233" w:line="400" w:lineRule="auto"/>
        <w:ind w:left="8" w:right="73" w:firstLine="411"/>
        <w:rPr>
          <w:rFonts w:ascii="宋体" w:hAnsi="宋体" w:eastAsia="宋体" w:cs="宋体"/>
          <w:sz w:val="20"/>
          <w:szCs w:val="20"/>
        </w:rPr>
      </w:pPr>
      <w:r>
        <w:rPr>
          <w:rFonts w:ascii="宋体" w:hAnsi="宋体" w:eastAsia="宋体" w:cs="宋体"/>
          <w:spacing w:val="10"/>
          <w:sz w:val="20"/>
          <w:szCs w:val="20"/>
        </w:rPr>
        <w:t>A4.2.4</w:t>
      </w:r>
      <w:r>
        <w:rPr>
          <w:rFonts w:ascii="宋体" w:hAnsi="宋体" w:eastAsia="宋体" w:cs="宋体"/>
          <w:spacing w:val="-36"/>
          <w:sz w:val="20"/>
          <w:szCs w:val="20"/>
        </w:rPr>
        <w:t xml:space="preserve"> </w:t>
      </w:r>
      <w:r>
        <w:rPr>
          <w:rFonts w:ascii="宋体" w:hAnsi="宋体" w:eastAsia="宋体" w:cs="宋体"/>
          <w:spacing w:val="10"/>
          <w:sz w:val="20"/>
          <w:szCs w:val="20"/>
        </w:rPr>
        <w:t>按照评标办法前附表中规定的方法，计算各</w:t>
      </w:r>
      <w:r>
        <w:rPr>
          <w:rFonts w:ascii="宋体" w:hAnsi="宋体" w:eastAsia="宋体" w:cs="宋体"/>
          <w:spacing w:val="9"/>
          <w:sz w:val="20"/>
          <w:szCs w:val="20"/>
        </w:rPr>
        <w:t>个已通过了初步评审的投标报价的“偏差</w:t>
      </w:r>
      <w:r>
        <w:rPr>
          <w:rFonts w:ascii="宋体" w:hAnsi="宋体" w:eastAsia="宋体" w:cs="宋体"/>
          <w:spacing w:val="-7"/>
          <w:sz w:val="20"/>
          <w:szCs w:val="20"/>
        </w:rPr>
        <w:t>率</w:t>
      </w:r>
      <w:r>
        <w:rPr>
          <w:rFonts w:ascii="宋体" w:hAnsi="宋体" w:eastAsia="宋体" w:cs="宋体"/>
          <w:spacing w:val="-70"/>
          <w:sz w:val="20"/>
          <w:szCs w:val="20"/>
        </w:rPr>
        <w:t xml:space="preserve"> </w:t>
      </w:r>
      <w:r>
        <w:rPr>
          <w:rFonts w:ascii="宋体" w:hAnsi="宋体" w:eastAsia="宋体" w:cs="宋体"/>
          <w:spacing w:val="-7"/>
          <w:sz w:val="20"/>
          <w:szCs w:val="20"/>
        </w:rPr>
        <w:t>”。</w:t>
      </w:r>
    </w:p>
    <w:p w14:paraId="403B3A18">
      <w:pPr>
        <w:spacing w:before="43" w:line="397" w:lineRule="auto"/>
        <w:ind w:left="7" w:right="71" w:firstLine="412"/>
        <w:rPr>
          <w:rFonts w:ascii="宋体" w:hAnsi="宋体" w:eastAsia="宋体" w:cs="宋体"/>
          <w:sz w:val="20"/>
          <w:szCs w:val="20"/>
        </w:rPr>
      </w:pPr>
      <w:r>
        <w:rPr>
          <w:rFonts w:ascii="宋体" w:hAnsi="宋体" w:eastAsia="宋体" w:cs="宋体"/>
          <w:spacing w:val="10"/>
          <w:sz w:val="20"/>
          <w:szCs w:val="20"/>
        </w:rPr>
        <w:t>A4.2.5</w:t>
      </w:r>
      <w:r>
        <w:rPr>
          <w:rFonts w:ascii="宋体" w:hAnsi="宋体" w:eastAsia="宋体" w:cs="宋体"/>
          <w:spacing w:val="-36"/>
          <w:sz w:val="20"/>
          <w:szCs w:val="20"/>
        </w:rPr>
        <w:t xml:space="preserve"> </w:t>
      </w:r>
      <w:r>
        <w:rPr>
          <w:rFonts w:ascii="宋体" w:hAnsi="宋体" w:eastAsia="宋体" w:cs="宋体"/>
          <w:spacing w:val="10"/>
          <w:sz w:val="20"/>
          <w:szCs w:val="20"/>
        </w:rPr>
        <w:t>按照评标办法前附表中规定的评分标准，对照投</w:t>
      </w:r>
      <w:r>
        <w:rPr>
          <w:rFonts w:ascii="宋体" w:hAnsi="宋体" w:eastAsia="宋体" w:cs="宋体"/>
          <w:spacing w:val="9"/>
          <w:sz w:val="20"/>
          <w:szCs w:val="20"/>
        </w:rPr>
        <w:t>标报价的偏差率，分别对各个投标报</w:t>
      </w:r>
      <w:r>
        <w:rPr>
          <w:rFonts w:ascii="宋体" w:hAnsi="宋体" w:eastAsia="宋体" w:cs="宋体"/>
          <w:spacing w:val="8"/>
          <w:sz w:val="20"/>
          <w:szCs w:val="20"/>
        </w:rPr>
        <w:t>价进行评分，使用</w:t>
      </w:r>
      <w:r>
        <w:rPr>
          <w:rFonts w:ascii="宋体" w:hAnsi="宋体" w:eastAsia="宋体" w:cs="宋体"/>
          <w:b/>
          <w:bCs/>
          <w:spacing w:val="8"/>
          <w:sz w:val="20"/>
          <w:szCs w:val="20"/>
        </w:rPr>
        <w:t>附表</w:t>
      </w:r>
      <w:r>
        <w:rPr>
          <w:rFonts w:ascii="宋体" w:hAnsi="宋体" w:eastAsia="宋体" w:cs="宋体"/>
          <w:spacing w:val="-32"/>
          <w:sz w:val="20"/>
          <w:szCs w:val="20"/>
        </w:rPr>
        <w:t xml:space="preserve"> </w:t>
      </w:r>
      <w:r>
        <w:rPr>
          <w:rFonts w:ascii="宋体" w:hAnsi="宋体" w:eastAsia="宋体" w:cs="宋体"/>
          <w:b/>
          <w:bCs/>
          <w:spacing w:val="8"/>
          <w:sz w:val="20"/>
          <w:szCs w:val="20"/>
        </w:rPr>
        <w:t>A-8</w:t>
      </w:r>
      <w:r>
        <w:rPr>
          <w:rFonts w:ascii="宋体" w:hAnsi="宋体" w:eastAsia="宋体" w:cs="宋体"/>
          <w:spacing w:val="-39"/>
          <w:sz w:val="20"/>
          <w:szCs w:val="20"/>
        </w:rPr>
        <w:t xml:space="preserve"> </w:t>
      </w:r>
      <w:r>
        <w:rPr>
          <w:rFonts w:ascii="宋体" w:hAnsi="宋体" w:eastAsia="宋体" w:cs="宋体"/>
          <w:spacing w:val="8"/>
          <w:sz w:val="20"/>
          <w:szCs w:val="20"/>
        </w:rPr>
        <w:t>记录对投标报价的评分结果，投标报价的得分记录为</w:t>
      </w:r>
      <w:r>
        <w:rPr>
          <w:rFonts w:ascii="宋体" w:hAnsi="宋体" w:eastAsia="宋体" w:cs="宋体"/>
          <w:spacing w:val="-45"/>
          <w:sz w:val="20"/>
          <w:szCs w:val="20"/>
        </w:rPr>
        <w:t xml:space="preserve"> </w:t>
      </w:r>
      <w:r>
        <w:rPr>
          <w:rFonts w:ascii="宋体" w:hAnsi="宋体" w:eastAsia="宋体" w:cs="宋体"/>
          <w:b/>
          <w:bCs/>
          <w:spacing w:val="8"/>
          <w:sz w:val="20"/>
          <w:szCs w:val="20"/>
        </w:rPr>
        <w:t>A</w:t>
      </w:r>
      <w:r>
        <w:rPr>
          <w:rFonts w:ascii="宋体" w:hAnsi="宋体" w:eastAsia="宋体" w:cs="宋体"/>
          <w:spacing w:val="8"/>
          <w:sz w:val="20"/>
          <w:szCs w:val="20"/>
        </w:rPr>
        <w:t>。</w:t>
      </w:r>
    </w:p>
    <w:p w14:paraId="4B984561">
      <w:pPr>
        <w:spacing w:before="48" w:line="385" w:lineRule="auto"/>
        <w:ind w:left="16" w:firstLine="403"/>
        <w:rPr>
          <w:rFonts w:ascii="宋体" w:hAnsi="宋体" w:eastAsia="宋体" w:cs="宋体"/>
          <w:sz w:val="20"/>
          <w:szCs w:val="20"/>
        </w:rPr>
      </w:pPr>
      <w:r>
        <w:rPr>
          <w:rFonts w:ascii="宋体" w:hAnsi="宋体" w:eastAsia="宋体" w:cs="宋体"/>
          <w:spacing w:val="8"/>
          <w:sz w:val="20"/>
          <w:szCs w:val="20"/>
        </w:rPr>
        <w:t>A4.2.5</w:t>
      </w:r>
      <w:r>
        <w:rPr>
          <w:rFonts w:ascii="宋体" w:hAnsi="宋体" w:eastAsia="宋体" w:cs="宋体"/>
          <w:spacing w:val="-37"/>
          <w:sz w:val="20"/>
          <w:szCs w:val="20"/>
        </w:rPr>
        <w:t xml:space="preserve"> </w:t>
      </w:r>
      <w:r>
        <w:rPr>
          <w:rFonts w:ascii="宋体" w:hAnsi="宋体" w:eastAsia="宋体" w:cs="宋体"/>
          <w:spacing w:val="8"/>
          <w:sz w:val="20"/>
          <w:szCs w:val="20"/>
        </w:rPr>
        <w:t>按照评标办法前附表中规定的评审标准，使用</w:t>
      </w:r>
      <w:r>
        <w:rPr>
          <w:rFonts w:ascii="宋体" w:hAnsi="宋体" w:eastAsia="宋体" w:cs="宋体"/>
          <w:b/>
          <w:bCs/>
          <w:spacing w:val="8"/>
          <w:sz w:val="20"/>
          <w:szCs w:val="20"/>
        </w:rPr>
        <w:t>附表</w:t>
      </w:r>
      <w:r>
        <w:rPr>
          <w:rFonts w:ascii="宋体" w:hAnsi="宋体" w:eastAsia="宋体" w:cs="宋体"/>
          <w:spacing w:val="-45"/>
          <w:sz w:val="20"/>
          <w:szCs w:val="20"/>
        </w:rPr>
        <w:t xml:space="preserve"> </w:t>
      </w:r>
      <w:r>
        <w:rPr>
          <w:rFonts w:ascii="宋体" w:hAnsi="宋体" w:eastAsia="宋体" w:cs="宋体"/>
          <w:b/>
          <w:bCs/>
          <w:spacing w:val="8"/>
          <w:sz w:val="20"/>
          <w:szCs w:val="20"/>
        </w:rPr>
        <w:t>A-13</w:t>
      </w:r>
      <w:r>
        <w:rPr>
          <w:rFonts w:ascii="宋体" w:hAnsi="宋体" w:eastAsia="宋体" w:cs="宋体"/>
          <w:spacing w:val="-39"/>
          <w:sz w:val="20"/>
          <w:szCs w:val="20"/>
        </w:rPr>
        <w:t xml:space="preserve"> </w:t>
      </w:r>
      <w:r>
        <w:rPr>
          <w:rFonts w:ascii="宋体" w:hAnsi="宋体" w:eastAsia="宋体" w:cs="宋体"/>
          <w:spacing w:val="8"/>
          <w:sz w:val="20"/>
          <w:szCs w:val="20"/>
        </w:rPr>
        <w:t>记录对投标报价的评审结</w:t>
      </w:r>
      <w:r>
        <w:rPr>
          <w:rFonts w:ascii="宋体" w:hAnsi="宋体" w:eastAsia="宋体" w:cs="宋体"/>
          <w:spacing w:val="7"/>
          <w:sz w:val="20"/>
          <w:szCs w:val="20"/>
        </w:rPr>
        <w:t>果。</w:t>
      </w:r>
      <w:r>
        <w:rPr>
          <w:rFonts w:ascii="宋体" w:hAnsi="宋体" w:eastAsia="宋体" w:cs="宋体"/>
          <w:sz w:val="20"/>
          <w:szCs w:val="20"/>
        </w:rPr>
        <w:t xml:space="preserve"> </w:t>
      </w:r>
      <w:r>
        <w:rPr>
          <w:rFonts w:ascii="宋体" w:hAnsi="宋体" w:eastAsia="宋体" w:cs="宋体"/>
          <w:spacing w:val="6"/>
          <w:sz w:val="20"/>
          <w:szCs w:val="20"/>
        </w:rPr>
        <w:t>（适用于办法八）</w:t>
      </w:r>
    </w:p>
    <w:p w14:paraId="1D4E49DB">
      <w:pPr>
        <w:pStyle w:val="2"/>
        <w:spacing w:before="1" w:line="229" w:lineRule="auto"/>
        <w:outlineLvl w:val="3"/>
        <w:rPr>
          <w:sz w:val="20"/>
          <w:szCs w:val="20"/>
        </w:rPr>
      </w:pPr>
      <w:bookmarkStart w:id="143" w:name="bookmark128"/>
      <w:bookmarkEnd w:id="143"/>
      <w:r>
        <w:rPr>
          <w:rFonts w:ascii="Times New Roman" w:hAnsi="Times New Roman" w:eastAsia="Times New Roman" w:cs="Times New Roman"/>
          <w:b/>
          <w:bCs/>
          <w:spacing w:val="7"/>
          <w:sz w:val="20"/>
          <w:szCs w:val="20"/>
        </w:rPr>
        <w:t xml:space="preserve">A4.3 </w:t>
      </w:r>
      <w:r>
        <w:rPr>
          <w:b/>
          <w:bCs/>
          <w:spacing w:val="7"/>
          <w:sz w:val="20"/>
          <w:szCs w:val="20"/>
        </w:rPr>
        <w:t>施工组织设计评审和评分</w:t>
      </w:r>
    </w:p>
    <w:p w14:paraId="7B580611">
      <w:pPr>
        <w:spacing w:before="175" w:line="390" w:lineRule="auto"/>
        <w:ind w:left="8" w:right="70" w:firstLine="420"/>
        <w:jc w:val="both"/>
        <w:rPr>
          <w:rFonts w:ascii="宋体" w:hAnsi="宋体" w:eastAsia="宋体" w:cs="宋体"/>
          <w:sz w:val="20"/>
          <w:szCs w:val="20"/>
        </w:rPr>
      </w:pPr>
      <w:r>
        <w:rPr>
          <w:rFonts w:ascii="宋体" w:hAnsi="宋体" w:eastAsia="宋体" w:cs="宋体"/>
          <w:spacing w:val="12"/>
          <w:sz w:val="20"/>
          <w:szCs w:val="20"/>
        </w:rPr>
        <w:t>按照评标办法前附表中规定的分值设定、各项评分因素、评分标准，</w:t>
      </w:r>
      <w:r>
        <w:rPr>
          <w:rFonts w:ascii="宋体" w:hAnsi="宋体" w:eastAsia="宋体" w:cs="宋体"/>
          <w:spacing w:val="11"/>
          <w:sz w:val="20"/>
          <w:szCs w:val="20"/>
        </w:rPr>
        <w:t>对施工组织设计进行评</w:t>
      </w:r>
      <w:r>
        <w:rPr>
          <w:rFonts w:ascii="宋体" w:hAnsi="宋体" w:eastAsia="宋体" w:cs="宋体"/>
          <w:spacing w:val="7"/>
          <w:sz w:val="20"/>
          <w:szCs w:val="20"/>
        </w:rPr>
        <w:t>审和评分，并使用</w:t>
      </w:r>
      <w:r>
        <w:rPr>
          <w:rFonts w:ascii="宋体" w:hAnsi="宋体" w:eastAsia="宋体" w:cs="宋体"/>
          <w:b/>
          <w:bCs/>
          <w:spacing w:val="7"/>
          <w:sz w:val="20"/>
          <w:szCs w:val="20"/>
        </w:rPr>
        <w:t>附表</w:t>
      </w:r>
      <w:r>
        <w:rPr>
          <w:rFonts w:ascii="宋体" w:hAnsi="宋体" w:eastAsia="宋体" w:cs="宋体"/>
          <w:spacing w:val="-44"/>
          <w:sz w:val="20"/>
          <w:szCs w:val="20"/>
        </w:rPr>
        <w:t xml:space="preserve"> </w:t>
      </w:r>
      <w:r>
        <w:rPr>
          <w:rFonts w:ascii="宋体" w:hAnsi="宋体" w:eastAsia="宋体" w:cs="宋体"/>
          <w:b/>
          <w:bCs/>
          <w:spacing w:val="7"/>
          <w:sz w:val="20"/>
          <w:szCs w:val="20"/>
        </w:rPr>
        <w:t>A-9</w:t>
      </w:r>
      <w:r>
        <w:rPr>
          <w:rFonts w:ascii="宋体" w:hAnsi="宋体" w:eastAsia="宋体" w:cs="宋体"/>
          <w:spacing w:val="-41"/>
          <w:sz w:val="20"/>
          <w:szCs w:val="20"/>
        </w:rPr>
        <w:t xml:space="preserve"> </w:t>
      </w:r>
      <w:r>
        <w:rPr>
          <w:rFonts w:ascii="宋体" w:hAnsi="宋体" w:eastAsia="宋体" w:cs="宋体"/>
          <w:spacing w:val="7"/>
          <w:sz w:val="20"/>
          <w:szCs w:val="20"/>
        </w:rPr>
        <w:t>记录对施工组织设计的评分结果，施工组织设计的得分记录为</w:t>
      </w:r>
      <w:r>
        <w:rPr>
          <w:rFonts w:ascii="宋体" w:hAnsi="宋体" w:eastAsia="宋体" w:cs="宋体"/>
          <w:spacing w:val="-41"/>
          <w:sz w:val="20"/>
          <w:szCs w:val="20"/>
        </w:rPr>
        <w:t xml:space="preserve"> </w:t>
      </w:r>
      <w:r>
        <w:rPr>
          <w:rFonts w:ascii="宋体" w:hAnsi="宋体" w:eastAsia="宋体" w:cs="宋体"/>
          <w:b/>
          <w:bCs/>
          <w:spacing w:val="6"/>
          <w:sz w:val="20"/>
          <w:szCs w:val="20"/>
        </w:rPr>
        <w:t>B</w:t>
      </w:r>
      <w:r>
        <w:rPr>
          <w:rFonts w:ascii="宋体" w:hAnsi="宋体" w:eastAsia="宋体" w:cs="宋体"/>
          <w:spacing w:val="6"/>
          <w:sz w:val="20"/>
          <w:szCs w:val="20"/>
        </w:rPr>
        <w:t>。（适</w:t>
      </w:r>
      <w:r>
        <w:rPr>
          <w:rFonts w:ascii="宋体" w:hAnsi="宋体" w:eastAsia="宋体" w:cs="宋体"/>
          <w:spacing w:val="8"/>
          <w:sz w:val="20"/>
          <w:szCs w:val="20"/>
        </w:rPr>
        <w:t>用于办法一、二、三、四）</w:t>
      </w:r>
    </w:p>
    <w:p w14:paraId="0268B8CB">
      <w:pPr>
        <w:pStyle w:val="2"/>
        <w:spacing w:before="1" w:line="229" w:lineRule="auto"/>
        <w:outlineLvl w:val="3"/>
        <w:rPr>
          <w:sz w:val="20"/>
          <w:szCs w:val="20"/>
        </w:rPr>
      </w:pPr>
      <w:bookmarkStart w:id="144" w:name="bookmark129"/>
      <w:bookmarkEnd w:id="144"/>
      <w:r>
        <w:rPr>
          <w:rFonts w:ascii="Times New Roman" w:hAnsi="Times New Roman" w:eastAsia="Times New Roman" w:cs="Times New Roman"/>
          <w:b/>
          <w:bCs/>
          <w:spacing w:val="7"/>
          <w:sz w:val="20"/>
          <w:szCs w:val="20"/>
        </w:rPr>
        <w:t xml:space="preserve">A4.4 </w:t>
      </w:r>
      <w:r>
        <w:rPr>
          <w:b/>
          <w:bCs/>
          <w:spacing w:val="7"/>
          <w:sz w:val="20"/>
          <w:szCs w:val="20"/>
        </w:rPr>
        <w:t>项目管理机构评审和评分</w:t>
      </w:r>
    </w:p>
    <w:p w14:paraId="7C80DE77">
      <w:pPr>
        <w:spacing w:before="172" w:line="387" w:lineRule="auto"/>
        <w:ind w:left="17" w:right="71" w:firstLine="411"/>
        <w:rPr>
          <w:rFonts w:ascii="宋体" w:hAnsi="宋体" w:eastAsia="宋体" w:cs="宋体"/>
          <w:sz w:val="20"/>
          <w:szCs w:val="20"/>
        </w:rPr>
      </w:pPr>
      <w:r>
        <w:rPr>
          <w:rFonts w:ascii="宋体" w:hAnsi="宋体" w:eastAsia="宋体" w:cs="宋体"/>
          <w:spacing w:val="12"/>
          <w:sz w:val="20"/>
          <w:szCs w:val="20"/>
        </w:rPr>
        <w:t>按照评标办法前附表中规定的分值设定、各项评分因素、评分标准，</w:t>
      </w:r>
      <w:r>
        <w:rPr>
          <w:rFonts w:ascii="宋体" w:hAnsi="宋体" w:eastAsia="宋体" w:cs="宋体"/>
          <w:spacing w:val="11"/>
          <w:sz w:val="20"/>
          <w:szCs w:val="20"/>
        </w:rPr>
        <w:t>对项目管理机构进行评</w:t>
      </w:r>
      <w:r>
        <w:rPr>
          <w:rFonts w:ascii="宋体" w:hAnsi="宋体" w:eastAsia="宋体" w:cs="宋体"/>
          <w:spacing w:val="8"/>
          <w:sz w:val="20"/>
          <w:szCs w:val="20"/>
        </w:rPr>
        <w:t>审和评分，并使用</w:t>
      </w:r>
      <w:r>
        <w:rPr>
          <w:rFonts w:ascii="宋体" w:hAnsi="宋体" w:eastAsia="宋体" w:cs="宋体"/>
          <w:b/>
          <w:bCs/>
          <w:spacing w:val="8"/>
          <w:sz w:val="20"/>
          <w:szCs w:val="20"/>
        </w:rPr>
        <w:t>附表</w:t>
      </w:r>
      <w:r>
        <w:rPr>
          <w:rFonts w:ascii="宋体" w:hAnsi="宋体" w:eastAsia="宋体" w:cs="宋体"/>
          <w:spacing w:val="-43"/>
          <w:sz w:val="20"/>
          <w:szCs w:val="20"/>
        </w:rPr>
        <w:t xml:space="preserve"> </w:t>
      </w:r>
      <w:r>
        <w:rPr>
          <w:rFonts w:ascii="宋体" w:hAnsi="宋体" w:eastAsia="宋体" w:cs="宋体"/>
          <w:b/>
          <w:bCs/>
          <w:spacing w:val="8"/>
          <w:sz w:val="20"/>
          <w:szCs w:val="20"/>
        </w:rPr>
        <w:t>A-10</w:t>
      </w:r>
      <w:r>
        <w:rPr>
          <w:rFonts w:ascii="宋体" w:hAnsi="宋体" w:eastAsia="宋体" w:cs="宋体"/>
          <w:spacing w:val="-39"/>
          <w:sz w:val="20"/>
          <w:szCs w:val="20"/>
        </w:rPr>
        <w:t xml:space="preserve"> </w:t>
      </w:r>
      <w:r>
        <w:rPr>
          <w:rFonts w:ascii="宋体" w:hAnsi="宋体" w:eastAsia="宋体" w:cs="宋体"/>
          <w:spacing w:val="8"/>
          <w:sz w:val="20"/>
          <w:szCs w:val="20"/>
        </w:rPr>
        <w:t>记录对项目管理机构的评分结果，项目管理机构的得分记录为</w:t>
      </w:r>
      <w:r>
        <w:rPr>
          <w:rFonts w:ascii="宋体" w:hAnsi="宋体" w:eastAsia="宋体" w:cs="宋体"/>
          <w:spacing w:val="-41"/>
          <w:sz w:val="20"/>
          <w:szCs w:val="20"/>
        </w:rPr>
        <w:t xml:space="preserve"> </w:t>
      </w:r>
      <w:r>
        <w:rPr>
          <w:rFonts w:ascii="宋体" w:hAnsi="宋体" w:eastAsia="宋体" w:cs="宋体"/>
          <w:b/>
          <w:bCs/>
          <w:spacing w:val="8"/>
          <w:sz w:val="20"/>
          <w:szCs w:val="20"/>
        </w:rPr>
        <w:t>C</w:t>
      </w:r>
      <w:r>
        <w:rPr>
          <w:rFonts w:ascii="宋体" w:hAnsi="宋体" w:eastAsia="宋体" w:cs="宋体"/>
          <w:spacing w:val="8"/>
          <w:sz w:val="20"/>
          <w:szCs w:val="20"/>
        </w:rPr>
        <w:t>。</w:t>
      </w:r>
    </w:p>
    <w:p w14:paraId="3B89749E">
      <w:pPr>
        <w:pStyle w:val="2"/>
        <w:spacing w:before="2" w:line="229" w:lineRule="auto"/>
        <w:outlineLvl w:val="3"/>
        <w:rPr>
          <w:sz w:val="20"/>
          <w:szCs w:val="20"/>
        </w:rPr>
      </w:pPr>
      <w:bookmarkStart w:id="145" w:name="bookmark130"/>
      <w:bookmarkEnd w:id="145"/>
      <w:r>
        <w:rPr>
          <w:rFonts w:ascii="Times New Roman" w:hAnsi="Times New Roman" w:eastAsia="Times New Roman" w:cs="Times New Roman"/>
          <w:b/>
          <w:bCs/>
          <w:spacing w:val="7"/>
          <w:sz w:val="20"/>
          <w:szCs w:val="20"/>
        </w:rPr>
        <w:t xml:space="preserve">A4.5 </w:t>
      </w:r>
      <w:r>
        <w:rPr>
          <w:b/>
          <w:bCs/>
          <w:spacing w:val="7"/>
          <w:sz w:val="20"/>
          <w:szCs w:val="20"/>
        </w:rPr>
        <w:t>其他因素的评审和评分</w:t>
      </w:r>
    </w:p>
    <w:p w14:paraId="0A4DAD2A">
      <w:pPr>
        <w:spacing w:before="182" w:line="391" w:lineRule="auto"/>
        <w:ind w:left="10" w:firstLine="415"/>
        <w:rPr>
          <w:rFonts w:ascii="宋体" w:hAnsi="宋体" w:eastAsia="宋体" w:cs="宋体"/>
          <w:sz w:val="20"/>
          <w:szCs w:val="20"/>
        </w:rPr>
      </w:pPr>
      <w:r>
        <w:rPr>
          <w:rFonts w:ascii="宋体" w:hAnsi="宋体" w:eastAsia="宋体" w:cs="宋体"/>
          <w:spacing w:val="12"/>
          <w:sz w:val="20"/>
          <w:szCs w:val="20"/>
        </w:rPr>
        <w:t>根据评标办法前附表中规定的分值设定、各项评分因素和相应的评分</w:t>
      </w:r>
      <w:r>
        <w:rPr>
          <w:rFonts w:ascii="宋体" w:hAnsi="宋体" w:eastAsia="宋体" w:cs="宋体"/>
          <w:spacing w:val="11"/>
          <w:sz w:val="20"/>
          <w:szCs w:val="20"/>
        </w:rPr>
        <w:t>标准，对其他因素（如</w:t>
      </w:r>
      <w:r>
        <w:rPr>
          <w:rFonts w:ascii="宋体" w:hAnsi="宋体" w:eastAsia="宋体" w:cs="宋体"/>
          <w:spacing w:val="9"/>
          <w:sz w:val="20"/>
          <w:szCs w:val="20"/>
        </w:rPr>
        <w:t>果有）进行评审和评分，并使用</w:t>
      </w:r>
      <w:r>
        <w:rPr>
          <w:rFonts w:ascii="宋体" w:hAnsi="宋体" w:eastAsia="宋体" w:cs="宋体"/>
          <w:b/>
          <w:bCs/>
          <w:spacing w:val="9"/>
          <w:sz w:val="20"/>
          <w:szCs w:val="20"/>
        </w:rPr>
        <w:t>附表A-11</w:t>
      </w:r>
      <w:r>
        <w:rPr>
          <w:rFonts w:ascii="宋体" w:hAnsi="宋体" w:eastAsia="宋体" w:cs="宋体"/>
          <w:spacing w:val="9"/>
          <w:sz w:val="20"/>
          <w:szCs w:val="20"/>
        </w:rPr>
        <w:t>记录对其他</w:t>
      </w:r>
      <w:r>
        <w:rPr>
          <w:rFonts w:ascii="宋体" w:hAnsi="宋体" w:eastAsia="宋体" w:cs="宋体"/>
          <w:spacing w:val="8"/>
          <w:sz w:val="20"/>
          <w:szCs w:val="20"/>
        </w:rPr>
        <w:t>因素的评分结果，其他因素的得分记录为</w:t>
      </w:r>
      <w:r>
        <w:rPr>
          <w:rFonts w:ascii="宋体" w:hAnsi="宋体" w:eastAsia="宋体" w:cs="宋体"/>
          <w:spacing w:val="-41"/>
          <w:sz w:val="20"/>
          <w:szCs w:val="20"/>
        </w:rPr>
        <w:t xml:space="preserve"> </w:t>
      </w:r>
      <w:r>
        <w:rPr>
          <w:rFonts w:ascii="宋体" w:hAnsi="宋体" w:eastAsia="宋体" w:cs="宋体"/>
          <w:b/>
          <w:bCs/>
          <w:spacing w:val="8"/>
          <w:sz w:val="20"/>
          <w:szCs w:val="20"/>
        </w:rPr>
        <w:t>D</w:t>
      </w:r>
      <w:r>
        <w:rPr>
          <w:rFonts w:ascii="宋体" w:hAnsi="宋体" w:eastAsia="宋体" w:cs="宋体"/>
          <w:spacing w:val="8"/>
          <w:sz w:val="20"/>
          <w:szCs w:val="20"/>
        </w:rPr>
        <w:t>。</w:t>
      </w:r>
    </w:p>
    <w:p w14:paraId="5F60485D">
      <w:pPr>
        <w:pStyle w:val="2"/>
        <w:spacing w:before="1" w:line="229" w:lineRule="auto"/>
        <w:outlineLvl w:val="3"/>
        <w:rPr>
          <w:sz w:val="20"/>
          <w:szCs w:val="20"/>
        </w:rPr>
      </w:pPr>
      <w:bookmarkStart w:id="146" w:name="bookmark131"/>
      <w:bookmarkEnd w:id="146"/>
      <w:r>
        <w:rPr>
          <w:rFonts w:ascii="Times New Roman" w:hAnsi="Times New Roman" w:eastAsia="Times New Roman" w:cs="Times New Roman"/>
          <w:b/>
          <w:bCs/>
          <w:spacing w:val="6"/>
          <w:sz w:val="20"/>
          <w:szCs w:val="20"/>
        </w:rPr>
        <w:t xml:space="preserve">A4.6 </w:t>
      </w:r>
      <w:r>
        <w:rPr>
          <w:b/>
          <w:bCs/>
          <w:spacing w:val="6"/>
          <w:sz w:val="20"/>
          <w:szCs w:val="20"/>
        </w:rPr>
        <w:t>澄清、说明或补正</w:t>
      </w:r>
    </w:p>
    <w:p w14:paraId="425A42CD">
      <w:pPr>
        <w:spacing w:before="158" w:line="379" w:lineRule="auto"/>
        <w:ind w:left="6" w:right="70" w:firstLine="419"/>
        <w:jc w:val="both"/>
        <w:rPr>
          <w:rFonts w:ascii="宋体" w:hAnsi="宋体" w:eastAsia="宋体" w:cs="宋体"/>
          <w:sz w:val="20"/>
          <w:szCs w:val="20"/>
        </w:rPr>
      </w:pPr>
      <w:r>
        <w:rPr>
          <w:rFonts w:ascii="宋体" w:hAnsi="宋体" w:eastAsia="宋体" w:cs="宋体"/>
          <w:spacing w:val="12"/>
          <w:sz w:val="20"/>
          <w:szCs w:val="20"/>
        </w:rPr>
        <w:t>在详细评审过程中，评标委员会应当就投标文件中含义不明确、对同</w:t>
      </w:r>
      <w:r>
        <w:rPr>
          <w:rFonts w:ascii="宋体" w:hAnsi="宋体" w:eastAsia="宋体" w:cs="宋体"/>
          <w:spacing w:val="11"/>
          <w:sz w:val="20"/>
          <w:szCs w:val="20"/>
        </w:rPr>
        <w:t>类问题表述不一致或者</w:t>
      </w:r>
      <w:r>
        <w:rPr>
          <w:rFonts w:ascii="宋体" w:hAnsi="宋体" w:eastAsia="宋体" w:cs="宋体"/>
          <w:spacing w:val="12"/>
          <w:sz w:val="20"/>
          <w:szCs w:val="20"/>
        </w:rPr>
        <w:t>有明显文字和计算错误的内容要求投标人进行澄清、说明或者</w:t>
      </w:r>
      <w:r>
        <w:rPr>
          <w:rFonts w:ascii="宋体" w:hAnsi="宋体" w:eastAsia="宋体" w:cs="宋体"/>
          <w:spacing w:val="11"/>
          <w:sz w:val="20"/>
          <w:szCs w:val="20"/>
        </w:rPr>
        <w:t>补正。投标人对此以书面形式予以</w:t>
      </w:r>
      <w:r>
        <w:rPr>
          <w:rFonts w:ascii="宋体" w:hAnsi="宋体" w:eastAsia="宋体" w:cs="宋体"/>
          <w:spacing w:val="6"/>
          <w:sz w:val="20"/>
          <w:szCs w:val="20"/>
        </w:rPr>
        <w:t>澄清、说明或者补正。澄清、说明或补正根据本章第</w:t>
      </w:r>
      <w:r>
        <w:rPr>
          <w:rFonts w:ascii="宋体" w:hAnsi="宋体" w:eastAsia="宋体" w:cs="宋体"/>
          <w:spacing w:val="-35"/>
          <w:sz w:val="20"/>
          <w:szCs w:val="20"/>
        </w:rPr>
        <w:t xml:space="preserve"> </w:t>
      </w:r>
      <w:r>
        <w:rPr>
          <w:rFonts w:ascii="宋体" w:hAnsi="宋体" w:eastAsia="宋体" w:cs="宋体"/>
          <w:spacing w:val="6"/>
          <w:sz w:val="20"/>
          <w:szCs w:val="20"/>
        </w:rPr>
        <w:t>3.3</w:t>
      </w:r>
      <w:r>
        <w:rPr>
          <w:rFonts w:ascii="宋体" w:hAnsi="宋体" w:eastAsia="宋体" w:cs="宋体"/>
          <w:spacing w:val="-37"/>
          <w:sz w:val="20"/>
          <w:szCs w:val="20"/>
        </w:rPr>
        <w:t xml:space="preserve"> </w:t>
      </w:r>
      <w:r>
        <w:rPr>
          <w:rFonts w:ascii="宋体" w:hAnsi="宋体" w:eastAsia="宋体" w:cs="宋体"/>
          <w:spacing w:val="6"/>
          <w:sz w:val="20"/>
          <w:szCs w:val="20"/>
        </w:rPr>
        <w:t>款的规定执行。《投标文件澄清通知》及</w:t>
      </w:r>
      <w:r>
        <w:rPr>
          <w:rFonts w:ascii="宋体" w:hAnsi="宋体" w:eastAsia="宋体" w:cs="宋体"/>
          <w:spacing w:val="11"/>
          <w:sz w:val="20"/>
          <w:szCs w:val="20"/>
        </w:rPr>
        <w:t>《投标文件的澄清》采用投标人须知附表七与投标人须知附表八所提供的格式，并通</w:t>
      </w:r>
      <w:r>
        <w:rPr>
          <w:rFonts w:ascii="宋体" w:hAnsi="宋体" w:eastAsia="宋体" w:cs="宋体"/>
          <w:spacing w:val="10"/>
          <w:sz w:val="20"/>
          <w:szCs w:val="20"/>
        </w:rPr>
        <w:t>过“</w:t>
      </w:r>
      <w:r>
        <w:rPr>
          <w:rFonts w:ascii="宋体" w:hAnsi="宋体" w:eastAsia="宋体" w:cs="宋体"/>
          <w:spacing w:val="-65"/>
          <w:sz w:val="20"/>
          <w:szCs w:val="20"/>
        </w:rPr>
        <w:t xml:space="preserve"> </w:t>
      </w:r>
      <w:r>
        <w:rPr>
          <w:rFonts w:ascii="宋体" w:hAnsi="宋体" w:eastAsia="宋体" w:cs="宋体"/>
          <w:spacing w:val="10"/>
          <w:sz w:val="20"/>
          <w:szCs w:val="20"/>
        </w:rPr>
        <w:t>电子交</w:t>
      </w:r>
      <w:r>
        <w:rPr>
          <w:rFonts w:ascii="宋体" w:hAnsi="宋体" w:eastAsia="宋体" w:cs="宋体"/>
          <w:spacing w:val="1"/>
          <w:sz w:val="20"/>
          <w:szCs w:val="20"/>
        </w:rPr>
        <w:t>易平台</w:t>
      </w:r>
      <w:r>
        <w:rPr>
          <w:rFonts w:ascii="宋体" w:hAnsi="宋体" w:eastAsia="宋体" w:cs="宋体"/>
          <w:spacing w:val="-58"/>
          <w:sz w:val="20"/>
          <w:szCs w:val="20"/>
        </w:rPr>
        <w:t xml:space="preserve"> </w:t>
      </w:r>
      <w:r>
        <w:rPr>
          <w:rFonts w:ascii="宋体" w:hAnsi="宋体" w:eastAsia="宋体" w:cs="宋体"/>
          <w:spacing w:val="1"/>
          <w:sz w:val="20"/>
          <w:szCs w:val="20"/>
        </w:rPr>
        <w:t>”“投标文件澄清</w:t>
      </w:r>
      <w:r>
        <w:rPr>
          <w:rFonts w:ascii="宋体" w:hAnsi="宋体" w:eastAsia="宋体" w:cs="宋体"/>
          <w:spacing w:val="-70"/>
          <w:sz w:val="20"/>
          <w:szCs w:val="20"/>
        </w:rPr>
        <w:t xml:space="preserve"> </w:t>
      </w:r>
      <w:r>
        <w:rPr>
          <w:rFonts w:ascii="宋体" w:hAnsi="宋体" w:eastAsia="宋体" w:cs="宋体"/>
          <w:spacing w:val="1"/>
          <w:sz w:val="20"/>
          <w:szCs w:val="20"/>
        </w:rPr>
        <w:t>”菜单以书面形式进行。</w:t>
      </w:r>
    </w:p>
    <w:p w14:paraId="46AC6C42">
      <w:pPr>
        <w:spacing w:line="379" w:lineRule="auto"/>
        <w:rPr>
          <w:rFonts w:ascii="宋体" w:hAnsi="宋体" w:eastAsia="宋体" w:cs="宋体"/>
          <w:sz w:val="20"/>
          <w:szCs w:val="20"/>
        </w:rPr>
        <w:sectPr>
          <w:footerReference r:id="rId112" w:type="default"/>
          <w:pgSz w:w="11907" w:h="16840"/>
          <w:pgMar w:top="400" w:right="1460" w:bottom="1035" w:left="1475" w:header="0" w:footer="785" w:gutter="0"/>
          <w:cols w:space="720" w:num="1"/>
        </w:sectPr>
      </w:pPr>
    </w:p>
    <w:p w14:paraId="5CFA00C9">
      <w:pPr>
        <w:spacing w:line="273" w:lineRule="auto"/>
        <w:rPr>
          <w:rFonts w:ascii="Arial"/>
          <w:sz w:val="21"/>
        </w:rPr>
      </w:pPr>
    </w:p>
    <w:p w14:paraId="489E681E">
      <w:pPr>
        <w:spacing w:line="273" w:lineRule="auto"/>
        <w:rPr>
          <w:rFonts w:ascii="Arial"/>
          <w:sz w:val="21"/>
        </w:rPr>
      </w:pPr>
    </w:p>
    <w:p w14:paraId="31688D30">
      <w:pPr>
        <w:spacing w:line="274" w:lineRule="auto"/>
        <w:rPr>
          <w:rFonts w:ascii="Arial"/>
          <w:sz w:val="21"/>
        </w:rPr>
      </w:pPr>
    </w:p>
    <w:p w14:paraId="2E10849E">
      <w:pPr>
        <w:spacing w:line="274" w:lineRule="auto"/>
        <w:rPr>
          <w:rFonts w:ascii="Arial"/>
          <w:sz w:val="21"/>
        </w:rPr>
      </w:pPr>
    </w:p>
    <w:p w14:paraId="41B99E96">
      <w:pPr>
        <w:spacing w:line="274" w:lineRule="auto"/>
        <w:rPr>
          <w:rFonts w:ascii="Arial"/>
          <w:sz w:val="21"/>
        </w:rPr>
      </w:pPr>
    </w:p>
    <w:p w14:paraId="761A86D2">
      <w:pPr>
        <w:pStyle w:val="2"/>
        <w:spacing w:before="65" w:line="230" w:lineRule="auto"/>
        <w:outlineLvl w:val="3"/>
        <w:rPr>
          <w:sz w:val="20"/>
          <w:szCs w:val="20"/>
        </w:rPr>
      </w:pPr>
      <w:bookmarkStart w:id="147" w:name="bookmark132"/>
      <w:bookmarkEnd w:id="147"/>
      <w:r>
        <w:rPr>
          <w:rFonts w:ascii="Times New Roman" w:hAnsi="Times New Roman" w:eastAsia="Times New Roman" w:cs="Times New Roman"/>
          <w:b/>
          <w:bCs/>
          <w:spacing w:val="7"/>
          <w:sz w:val="20"/>
          <w:szCs w:val="20"/>
        </w:rPr>
        <w:t xml:space="preserve">A4.7 </w:t>
      </w:r>
      <w:r>
        <w:rPr>
          <w:b/>
          <w:bCs/>
          <w:spacing w:val="7"/>
          <w:sz w:val="20"/>
          <w:szCs w:val="20"/>
        </w:rPr>
        <w:t>汇总评分（评审）结果</w:t>
      </w:r>
    </w:p>
    <w:p w14:paraId="03C60E58">
      <w:pPr>
        <w:spacing w:before="183" w:line="406" w:lineRule="auto"/>
        <w:ind w:left="4" w:right="71" w:firstLine="420"/>
        <w:jc w:val="both"/>
        <w:rPr>
          <w:rFonts w:ascii="宋体" w:hAnsi="宋体" w:eastAsia="宋体" w:cs="宋体"/>
          <w:sz w:val="20"/>
          <w:szCs w:val="20"/>
        </w:rPr>
      </w:pPr>
      <w:r>
        <w:rPr>
          <w:rFonts w:ascii="宋体" w:hAnsi="宋体" w:eastAsia="宋体" w:cs="宋体"/>
          <w:spacing w:val="11"/>
          <w:sz w:val="20"/>
          <w:szCs w:val="20"/>
        </w:rPr>
        <w:t>评标委员会成员应按照</w:t>
      </w:r>
      <w:r>
        <w:rPr>
          <w:rFonts w:ascii="宋体" w:hAnsi="宋体" w:eastAsia="宋体" w:cs="宋体"/>
          <w:b/>
          <w:bCs/>
          <w:spacing w:val="11"/>
          <w:sz w:val="20"/>
          <w:szCs w:val="20"/>
        </w:rPr>
        <w:t>附表A-12</w:t>
      </w:r>
      <w:r>
        <w:rPr>
          <w:rFonts w:ascii="宋体" w:hAnsi="宋体" w:eastAsia="宋体" w:cs="宋体"/>
          <w:spacing w:val="-7"/>
          <w:sz w:val="20"/>
          <w:szCs w:val="20"/>
        </w:rPr>
        <w:t xml:space="preserve"> </w:t>
      </w:r>
      <w:r>
        <w:rPr>
          <w:rFonts w:ascii="宋体" w:hAnsi="宋体" w:eastAsia="宋体" w:cs="宋体"/>
          <w:spacing w:val="11"/>
          <w:sz w:val="20"/>
          <w:szCs w:val="20"/>
        </w:rPr>
        <w:t>的格式填写详细评审评分汇总表。按照</w:t>
      </w:r>
      <w:r>
        <w:rPr>
          <w:rFonts w:ascii="宋体" w:hAnsi="宋体" w:eastAsia="宋体" w:cs="宋体"/>
          <w:b/>
          <w:bCs/>
          <w:spacing w:val="11"/>
          <w:sz w:val="20"/>
          <w:szCs w:val="20"/>
        </w:rPr>
        <w:t>附表A-13</w:t>
      </w:r>
      <w:r>
        <w:rPr>
          <w:rFonts w:ascii="宋体" w:hAnsi="宋体" w:eastAsia="宋体" w:cs="宋体"/>
          <w:spacing w:val="-21"/>
          <w:sz w:val="20"/>
          <w:szCs w:val="20"/>
        </w:rPr>
        <w:t xml:space="preserve"> </w:t>
      </w:r>
      <w:r>
        <w:rPr>
          <w:rFonts w:ascii="宋体" w:hAnsi="宋体" w:eastAsia="宋体" w:cs="宋体"/>
          <w:spacing w:val="11"/>
          <w:sz w:val="20"/>
          <w:szCs w:val="20"/>
        </w:rPr>
        <w:t>的格式汇</w:t>
      </w:r>
      <w:r>
        <w:rPr>
          <w:rFonts w:ascii="宋体" w:hAnsi="宋体" w:eastAsia="宋体" w:cs="宋体"/>
          <w:spacing w:val="12"/>
          <w:sz w:val="20"/>
          <w:szCs w:val="20"/>
        </w:rPr>
        <w:t>总各个评标委员会成员的详细评审评分结果，并按照详细评审最终得分</w:t>
      </w:r>
      <w:r>
        <w:rPr>
          <w:rFonts w:ascii="宋体" w:hAnsi="宋体" w:eastAsia="宋体" w:cs="宋体"/>
          <w:spacing w:val="11"/>
          <w:sz w:val="20"/>
          <w:szCs w:val="20"/>
        </w:rPr>
        <w:t>由高至低的次序对投标人</w:t>
      </w:r>
      <w:r>
        <w:rPr>
          <w:rFonts w:ascii="宋体" w:hAnsi="宋体" w:eastAsia="宋体" w:cs="宋体"/>
          <w:spacing w:val="5"/>
          <w:sz w:val="20"/>
          <w:szCs w:val="20"/>
        </w:rPr>
        <w:t>进行排序。（适用于办法一、二、三、四、五、六、七）</w:t>
      </w:r>
    </w:p>
    <w:p w14:paraId="0FD1E15C">
      <w:pPr>
        <w:spacing w:before="1" w:line="378" w:lineRule="auto"/>
        <w:ind w:left="7" w:right="73" w:firstLine="418"/>
        <w:rPr>
          <w:rFonts w:ascii="宋体" w:hAnsi="宋体" w:eastAsia="宋体" w:cs="宋体"/>
          <w:sz w:val="20"/>
          <w:szCs w:val="20"/>
        </w:rPr>
      </w:pPr>
      <w:r>
        <w:rPr>
          <w:rFonts w:ascii="宋体" w:hAnsi="宋体" w:eastAsia="宋体" w:cs="宋体"/>
          <w:spacing w:val="9"/>
          <w:sz w:val="20"/>
          <w:szCs w:val="20"/>
        </w:rPr>
        <w:t>评标委员会应按照</w:t>
      </w:r>
      <w:r>
        <w:rPr>
          <w:rFonts w:ascii="宋体" w:hAnsi="宋体" w:eastAsia="宋体" w:cs="宋体"/>
          <w:b/>
          <w:bCs/>
          <w:spacing w:val="9"/>
          <w:sz w:val="20"/>
          <w:szCs w:val="20"/>
        </w:rPr>
        <w:t>附表A-13</w:t>
      </w:r>
      <w:r>
        <w:rPr>
          <w:rFonts w:ascii="宋体" w:hAnsi="宋体" w:eastAsia="宋体" w:cs="宋体"/>
          <w:spacing w:val="-20"/>
          <w:sz w:val="20"/>
          <w:szCs w:val="20"/>
        </w:rPr>
        <w:t xml:space="preserve"> </w:t>
      </w:r>
      <w:r>
        <w:rPr>
          <w:rFonts w:ascii="宋体" w:hAnsi="宋体" w:eastAsia="宋体" w:cs="宋体"/>
          <w:spacing w:val="9"/>
          <w:sz w:val="20"/>
          <w:szCs w:val="20"/>
        </w:rPr>
        <w:t>的格式记录对投标报价的评审结果，并按有效评标价由低到高的</w:t>
      </w:r>
      <w:r>
        <w:rPr>
          <w:rFonts w:ascii="宋体" w:hAnsi="宋体" w:eastAsia="宋体" w:cs="宋体"/>
          <w:spacing w:val="3"/>
          <w:sz w:val="20"/>
          <w:szCs w:val="20"/>
        </w:rPr>
        <w:t>顺序对投标人进行排序。（适用于办法八）</w:t>
      </w:r>
    </w:p>
    <w:p w14:paraId="2143DD5F">
      <w:pPr>
        <w:pStyle w:val="2"/>
        <w:spacing w:line="221" w:lineRule="auto"/>
        <w:outlineLvl w:val="2"/>
        <w:rPr>
          <w:sz w:val="24"/>
          <w:szCs w:val="24"/>
        </w:rPr>
      </w:pPr>
      <w:bookmarkStart w:id="148" w:name="bookmark462"/>
      <w:bookmarkEnd w:id="148"/>
      <w:r>
        <w:rPr>
          <w:rFonts w:ascii="Times New Roman" w:hAnsi="Times New Roman" w:eastAsia="Times New Roman" w:cs="Times New Roman"/>
          <w:spacing w:val="-1"/>
          <w:sz w:val="24"/>
          <w:szCs w:val="24"/>
        </w:rPr>
        <w:t>A5.</w:t>
      </w:r>
      <w:r>
        <w:rPr>
          <w:spacing w:val="-1"/>
          <w:sz w:val="24"/>
          <w:szCs w:val="24"/>
        </w:rPr>
        <w:t>推荐中标候选人或者直接确定中标人</w:t>
      </w:r>
    </w:p>
    <w:p w14:paraId="2AA896F0">
      <w:pPr>
        <w:pStyle w:val="2"/>
        <w:spacing w:before="139" w:line="231" w:lineRule="auto"/>
        <w:outlineLvl w:val="3"/>
        <w:rPr>
          <w:sz w:val="20"/>
          <w:szCs w:val="20"/>
        </w:rPr>
      </w:pPr>
      <w:bookmarkStart w:id="149" w:name="bookmark133"/>
      <w:bookmarkEnd w:id="149"/>
      <w:bookmarkStart w:id="150" w:name="bookmark134"/>
      <w:bookmarkEnd w:id="150"/>
      <w:r>
        <w:rPr>
          <w:rFonts w:ascii="Times New Roman" w:hAnsi="Times New Roman" w:eastAsia="Times New Roman" w:cs="Times New Roman"/>
          <w:b/>
          <w:bCs/>
          <w:spacing w:val="6"/>
          <w:sz w:val="20"/>
          <w:szCs w:val="20"/>
        </w:rPr>
        <w:t xml:space="preserve">A5.1 </w:t>
      </w:r>
      <w:r>
        <w:rPr>
          <w:b/>
          <w:bCs/>
          <w:spacing w:val="6"/>
          <w:sz w:val="20"/>
          <w:szCs w:val="20"/>
        </w:rPr>
        <w:t>推荐中标候选人</w:t>
      </w:r>
    </w:p>
    <w:p w14:paraId="501C8EED">
      <w:pPr>
        <w:spacing w:before="183" w:line="405" w:lineRule="auto"/>
        <w:ind w:left="7" w:right="70" w:firstLine="412"/>
        <w:rPr>
          <w:rFonts w:ascii="宋体" w:hAnsi="宋体" w:eastAsia="宋体" w:cs="宋体"/>
          <w:sz w:val="20"/>
          <w:szCs w:val="20"/>
        </w:rPr>
      </w:pPr>
      <w:r>
        <w:rPr>
          <w:rFonts w:ascii="宋体" w:hAnsi="宋体" w:eastAsia="宋体" w:cs="宋体"/>
          <w:spacing w:val="10"/>
          <w:sz w:val="20"/>
          <w:szCs w:val="20"/>
        </w:rPr>
        <w:t>A5.1.1 除第二章“投标人须知</w:t>
      </w:r>
      <w:r>
        <w:rPr>
          <w:rFonts w:ascii="宋体" w:hAnsi="宋体" w:eastAsia="宋体" w:cs="宋体"/>
          <w:spacing w:val="-70"/>
          <w:sz w:val="20"/>
          <w:szCs w:val="20"/>
        </w:rPr>
        <w:t xml:space="preserve"> </w:t>
      </w:r>
      <w:r>
        <w:rPr>
          <w:rFonts w:ascii="宋体" w:hAnsi="宋体" w:eastAsia="宋体" w:cs="宋体"/>
          <w:spacing w:val="10"/>
          <w:sz w:val="20"/>
          <w:szCs w:val="20"/>
        </w:rPr>
        <w:t>”前</w:t>
      </w:r>
      <w:r>
        <w:rPr>
          <w:rFonts w:ascii="宋体" w:hAnsi="宋体" w:eastAsia="宋体" w:cs="宋体"/>
          <w:spacing w:val="9"/>
          <w:sz w:val="20"/>
          <w:szCs w:val="20"/>
        </w:rPr>
        <w:t>附表第</w:t>
      </w:r>
      <w:r>
        <w:rPr>
          <w:rFonts w:ascii="宋体" w:hAnsi="宋体" w:eastAsia="宋体" w:cs="宋体"/>
          <w:spacing w:val="-32"/>
          <w:sz w:val="20"/>
          <w:szCs w:val="20"/>
        </w:rPr>
        <w:t xml:space="preserve"> </w:t>
      </w:r>
      <w:r>
        <w:rPr>
          <w:rFonts w:ascii="宋体" w:hAnsi="宋体" w:eastAsia="宋体" w:cs="宋体"/>
          <w:spacing w:val="9"/>
          <w:sz w:val="20"/>
          <w:szCs w:val="20"/>
        </w:rPr>
        <w:t>7．1</w:t>
      </w:r>
      <w:r>
        <w:rPr>
          <w:rFonts w:ascii="宋体" w:hAnsi="宋体" w:eastAsia="宋体" w:cs="宋体"/>
          <w:spacing w:val="-35"/>
          <w:sz w:val="20"/>
          <w:szCs w:val="20"/>
        </w:rPr>
        <w:t xml:space="preserve"> </w:t>
      </w:r>
      <w:r>
        <w:rPr>
          <w:rFonts w:ascii="宋体" w:hAnsi="宋体" w:eastAsia="宋体" w:cs="宋体"/>
          <w:spacing w:val="9"/>
          <w:sz w:val="20"/>
          <w:szCs w:val="20"/>
        </w:rPr>
        <w:t>款授权直接确定中标人外，评标委员会在推</w:t>
      </w:r>
      <w:r>
        <w:rPr>
          <w:rFonts w:ascii="宋体" w:hAnsi="宋体" w:eastAsia="宋体" w:cs="宋体"/>
          <w:spacing w:val="8"/>
          <w:sz w:val="20"/>
          <w:szCs w:val="20"/>
        </w:rPr>
        <w:t>荐中标候选人时，应遵照以下原则</w:t>
      </w:r>
      <w:r>
        <w:rPr>
          <w:rFonts w:ascii="宋体" w:hAnsi="宋体" w:eastAsia="宋体" w:cs="宋体"/>
          <w:spacing w:val="-48"/>
          <w:sz w:val="20"/>
          <w:szCs w:val="20"/>
        </w:rPr>
        <w:t xml:space="preserve"> </w:t>
      </w:r>
      <w:r>
        <w:rPr>
          <w:rFonts w:ascii="宋体" w:hAnsi="宋体" w:eastAsia="宋体" w:cs="宋体"/>
          <w:spacing w:val="8"/>
          <w:sz w:val="20"/>
          <w:szCs w:val="20"/>
        </w:rPr>
        <w:t>:</w:t>
      </w:r>
    </w:p>
    <w:p w14:paraId="7F2538B9">
      <w:pPr>
        <w:spacing w:before="1" w:line="407" w:lineRule="auto"/>
        <w:ind w:left="958" w:hanging="548"/>
        <w:rPr>
          <w:rFonts w:ascii="宋体" w:hAnsi="宋体" w:eastAsia="宋体" w:cs="宋体"/>
          <w:sz w:val="20"/>
          <w:szCs w:val="20"/>
        </w:rPr>
      </w:pPr>
      <w:r>
        <w:rPr>
          <w:rFonts w:ascii="宋体" w:hAnsi="宋体" w:eastAsia="宋体" w:cs="宋体"/>
          <w:spacing w:val="9"/>
          <w:sz w:val="20"/>
          <w:szCs w:val="20"/>
        </w:rPr>
        <w:t>（1） 评标委员会按照最终得分由高至低的次序排</w:t>
      </w:r>
      <w:r>
        <w:rPr>
          <w:rFonts w:ascii="宋体" w:hAnsi="宋体" w:eastAsia="宋体" w:cs="宋体"/>
          <w:spacing w:val="8"/>
          <w:sz w:val="20"/>
          <w:szCs w:val="20"/>
        </w:rPr>
        <w:t>列（适用于办法一、二、三、四、五、六、</w:t>
      </w:r>
      <w:r>
        <w:rPr>
          <w:rFonts w:ascii="宋体" w:hAnsi="宋体" w:eastAsia="宋体" w:cs="宋体"/>
          <w:spacing w:val="11"/>
          <w:sz w:val="20"/>
          <w:szCs w:val="20"/>
        </w:rPr>
        <w:t>七）或按有效评标价由低到高的次序排列（适用于办法八</w:t>
      </w:r>
      <w:r>
        <w:rPr>
          <w:rFonts w:ascii="宋体" w:hAnsi="宋体" w:eastAsia="宋体" w:cs="宋体"/>
          <w:spacing w:val="-29"/>
          <w:sz w:val="20"/>
          <w:szCs w:val="20"/>
        </w:rPr>
        <w:t>），</w:t>
      </w:r>
      <w:r>
        <w:rPr>
          <w:rFonts w:ascii="宋体" w:hAnsi="宋体" w:eastAsia="宋体" w:cs="宋体"/>
          <w:spacing w:val="11"/>
          <w:sz w:val="20"/>
          <w:szCs w:val="20"/>
        </w:rPr>
        <w:t>并根据第二章“投标人须</w:t>
      </w:r>
      <w:r>
        <w:rPr>
          <w:rFonts w:ascii="宋体" w:hAnsi="宋体" w:eastAsia="宋体" w:cs="宋体"/>
          <w:spacing w:val="9"/>
          <w:sz w:val="20"/>
          <w:szCs w:val="20"/>
        </w:rPr>
        <w:t>知</w:t>
      </w:r>
      <w:r>
        <w:rPr>
          <w:rFonts w:ascii="宋体" w:hAnsi="宋体" w:eastAsia="宋体" w:cs="宋体"/>
          <w:spacing w:val="-72"/>
          <w:sz w:val="20"/>
          <w:szCs w:val="20"/>
        </w:rPr>
        <w:t xml:space="preserve"> </w:t>
      </w:r>
      <w:r>
        <w:rPr>
          <w:rFonts w:ascii="宋体" w:hAnsi="宋体" w:eastAsia="宋体" w:cs="宋体"/>
          <w:spacing w:val="9"/>
          <w:sz w:val="20"/>
          <w:szCs w:val="20"/>
        </w:rPr>
        <w:t>”前附表第</w:t>
      </w:r>
      <w:r>
        <w:rPr>
          <w:rFonts w:ascii="宋体" w:hAnsi="宋体" w:eastAsia="宋体" w:cs="宋体"/>
          <w:spacing w:val="-34"/>
          <w:sz w:val="20"/>
          <w:szCs w:val="20"/>
        </w:rPr>
        <w:t xml:space="preserve"> </w:t>
      </w:r>
      <w:r>
        <w:rPr>
          <w:rFonts w:ascii="宋体" w:hAnsi="宋体" w:eastAsia="宋体" w:cs="宋体"/>
          <w:spacing w:val="9"/>
          <w:sz w:val="20"/>
          <w:szCs w:val="20"/>
        </w:rPr>
        <w:t>7.1</w:t>
      </w:r>
      <w:r>
        <w:rPr>
          <w:rFonts w:ascii="宋体" w:hAnsi="宋体" w:eastAsia="宋体" w:cs="宋体"/>
          <w:spacing w:val="-37"/>
          <w:sz w:val="20"/>
          <w:szCs w:val="20"/>
        </w:rPr>
        <w:t xml:space="preserve"> </w:t>
      </w:r>
      <w:r>
        <w:rPr>
          <w:rFonts w:ascii="宋体" w:hAnsi="宋体" w:eastAsia="宋体" w:cs="宋体"/>
          <w:spacing w:val="9"/>
          <w:sz w:val="20"/>
          <w:szCs w:val="20"/>
        </w:rPr>
        <w:t>款规定的中标候选人数量</w:t>
      </w:r>
      <w:r>
        <w:rPr>
          <w:rFonts w:ascii="宋体" w:hAnsi="宋体" w:eastAsia="宋体" w:cs="宋体"/>
          <w:spacing w:val="8"/>
          <w:sz w:val="20"/>
          <w:szCs w:val="20"/>
        </w:rPr>
        <w:t>，将排序在前的投标人推荐为中标候选人。</w:t>
      </w:r>
      <w:r>
        <w:rPr>
          <w:rFonts w:ascii="宋体" w:hAnsi="宋体" w:eastAsia="宋体" w:cs="宋体"/>
          <w:spacing w:val="9"/>
          <w:sz w:val="20"/>
          <w:szCs w:val="20"/>
        </w:rPr>
        <w:t>招标文件允许多标段投标、多标段中标的，各标段中标候选人的推荐按第二章“投</w:t>
      </w:r>
      <w:r>
        <w:rPr>
          <w:rFonts w:ascii="宋体" w:hAnsi="宋体" w:eastAsia="宋体" w:cs="宋体"/>
          <w:spacing w:val="8"/>
          <w:sz w:val="20"/>
          <w:szCs w:val="20"/>
        </w:rPr>
        <w:t>标人</w:t>
      </w:r>
      <w:r>
        <w:rPr>
          <w:rFonts w:ascii="宋体" w:hAnsi="宋体" w:eastAsia="宋体" w:cs="宋体"/>
          <w:spacing w:val="6"/>
          <w:sz w:val="20"/>
          <w:szCs w:val="20"/>
        </w:rPr>
        <w:t>须知</w:t>
      </w:r>
      <w:r>
        <w:rPr>
          <w:rFonts w:ascii="宋体" w:hAnsi="宋体" w:eastAsia="宋体" w:cs="宋体"/>
          <w:spacing w:val="-70"/>
          <w:sz w:val="20"/>
          <w:szCs w:val="20"/>
        </w:rPr>
        <w:t xml:space="preserve"> </w:t>
      </w:r>
      <w:r>
        <w:rPr>
          <w:rFonts w:ascii="宋体" w:hAnsi="宋体" w:eastAsia="宋体" w:cs="宋体"/>
          <w:spacing w:val="6"/>
          <w:sz w:val="20"/>
          <w:szCs w:val="20"/>
        </w:rPr>
        <w:t>”</w:t>
      </w:r>
      <w:r>
        <w:rPr>
          <w:rFonts w:ascii="宋体" w:hAnsi="宋体" w:eastAsia="宋体" w:cs="宋体"/>
          <w:spacing w:val="-46"/>
          <w:sz w:val="20"/>
          <w:szCs w:val="20"/>
        </w:rPr>
        <w:t xml:space="preserve"> </w:t>
      </w:r>
      <w:r>
        <w:rPr>
          <w:rFonts w:ascii="宋体" w:hAnsi="宋体" w:eastAsia="宋体" w:cs="宋体"/>
          <w:spacing w:val="6"/>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款规定执行，对某些标段</w:t>
      </w:r>
      <w:r>
        <w:rPr>
          <w:rFonts w:ascii="宋体" w:hAnsi="宋体" w:eastAsia="宋体" w:cs="宋体"/>
          <w:spacing w:val="5"/>
          <w:sz w:val="20"/>
          <w:szCs w:val="20"/>
        </w:rPr>
        <w:t>由此产生的空缺由排序在后的投标人依次替补。</w:t>
      </w:r>
    </w:p>
    <w:p w14:paraId="4651CCA4">
      <w:pPr>
        <w:spacing w:before="2" w:line="407" w:lineRule="auto"/>
        <w:ind w:left="934" w:right="70" w:hanging="498"/>
        <w:rPr>
          <w:rFonts w:ascii="宋体" w:hAnsi="宋体" w:eastAsia="宋体" w:cs="宋体"/>
          <w:sz w:val="20"/>
          <w:szCs w:val="20"/>
        </w:rPr>
      </w:pPr>
      <w:r>
        <w:rPr>
          <w:rFonts w:ascii="宋体" w:hAnsi="宋体" w:eastAsia="宋体" w:cs="宋体"/>
          <w:spacing w:val="11"/>
          <w:sz w:val="20"/>
          <w:szCs w:val="20"/>
        </w:rPr>
        <w:t>（2）</w:t>
      </w:r>
      <w:r>
        <w:rPr>
          <w:rFonts w:ascii="宋体" w:hAnsi="宋体" w:eastAsia="宋体" w:cs="宋体"/>
          <w:spacing w:val="35"/>
          <w:sz w:val="20"/>
          <w:szCs w:val="20"/>
        </w:rPr>
        <w:t xml:space="preserve"> </w:t>
      </w:r>
      <w:r>
        <w:rPr>
          <w:rFonts w:ascii="宋体" w:hAnsi="宋体" w:eastAsia="宋体" w:cs="宋体"/>
          <w:spacing w:val="11"/>
          <w:sz w:val="20"/>
          <w:szCs w:val="20"/>
        </w:rPr>
        <w:t>如果评标委员会根据本章的规定否决有关投标后，有效</w:t>
      </w:r>
      <w:r>
        <w:rPr>
          <w:rFonts w:ascii="宋体" w:hAnsi="宋体" w:eastAsia="宋体" w:cs="宋体"/>
          <w:spacing w:val="10"/>
          <w:sz w:val="20"/>
          <w:szCs w:val="20"/>
        </w:rPr>
        <w:t>投标不足三个，且少于第二章</w:t>
      </w:r>
      <w:r>
        <w:rPr>
          <w:rFonts w:ascii="宋体" w:hAnsi="宋体" w:eastAsia="宋体" w:cs="宋体"/>
          <w:spacing w:val="8"/>
          <w:sz w:val="20"/>
          <w:szCs w:val="20"/>
        </w:rPr>
        <w:t>“投标人须知</w:t>
      </w:r>
      <w:r>
        <w:rPr>
          <w:rFonts w:ascii="宋体" w:hAnsi="宋体" w:eastAsia="宋体" w:cs="宋体"/>
          <w:spacing w:val="-70"/>
          <w:sz w:val="20"/>
          <w:szCs w:val="20"/>
        </w:rPr>
        <w:t xml:space="preserve"> </w:t>
      </w:r>
      <w:r>
        <w:rPr>
          <w:rFonts w:ascii="宋体" w:hAnsi="宋体" w:eastAsia="宋体" w:cs="宋体"/>
          <w:spacing w:val="8"/>
          <w:sz w:val="20"/>
          <w:szCs w:val="20"/>
        </w:rPr>
        <w:t>”前附表第</w:t>
      </w:r>
      <w:r>
        <w:rPr>
          <w:rFonts w:ascii="宋体" w:hAnsi="宋体" w:eastAsia="宋体" w:cs="宋体"/>
          <w:spacing w:val="-32"/>
          <w:sz w:val="20"/>
          <w:szCs w:val="20"/>
        </w:rPr>
        <w:t xml:space="preserve"> </w:t>
      </w:r>
      <w:r>
        <w:rPr>
          <w:rFonts w:ascii="宋体" w:hAnsi="宋体" w:eastAsia="宋体" w:cs="宋体"/>
          <w:spacing w:val="8"/>
          <w:sz w:val="20"/>
          <w:szCs w:val="20"/>
        </w:rPr>
        <w:t>7.1</w:t>
      </w:r>
      <w:r>
        <w:rPr>
          <w:rFonts w:ascii="宋体" w:hAnsi="宋体" w:eastAsia="宋体" w:cs="宋体"/>
          <w:spacing w:val="-40"/>
          <w:sz w:val="20"/>
          <w:szCs w:val="20"/>
        </w:rPr>
        <w:t xml:space="preserve"> </w:t>
      </w:r>
      <w:r>
        <w:rPr>
          <w:rFonts w:ascii="宋体" w:hAnsi="宋体" w:eastAsia="宋体" w:cs="宋体"/>
          <w:spacing w:val="8"/>
          <w:sz w:val="20"/>
          <w:szCs w:val="20"/>
        </w:rPr>
        <w:t>款规定的中标候选人数量的，则评标</w:t>
      </w:r>
      <w:r>
        <w:rPr>
          <w:rFonts w:ascii="宋体" w:hAnsi="宋体" w:eastAsia="宋体" w:cs="宋体"/>
          <w:spacing w:val="7"/>
          <w:sz w:val="20"/>
          <w:szCs w:val="20"/>
        </w:rPr>
        <w:t>委员会可以将所有有</w:t>
      </w:r>
      <w:r>
        <w:rPr>
          <w:rFonts w:ascii="宋体" w:hAnsi="宋体" w:eastAsia="宋体" w:cs="宋体"/>
          <w:spacing w:val="10"/>
          <w:sz w:val="20"/>
          <w:szCs w:val="20"/>
        </w:rPr>
        <w:t>效投标按最终得分由高至低的次序（适用于办法一</w:t>
      </w:r>
      <w:r>
        <w:rPr>
          <w:rFonts w:ascii="宋体" w:hAnsi="宋体" w:eastAsia="宋体" w:cs="宋体"/>
          <w:spacing w:val="9"/>
          <w:sz w:val="20"/>
          <w:szCs w:val="20"/>
        </w:rPr>
        <w:t>、二、三、四、五、六、七）或按有</w:t>
      </w:r>
      <w:r>
        <w:rPr>
          <w:rFonts w:ascii="宋体" w:hAnsi="宋体" w:eastAsia="宋体" w:cs="宋体"/>
          <w:spacing w:val="10"/>
          <w:sz w:val="20"/>
          <w:szCs w:val="20"/>
        </w:rPr>
        <w:t>效评标价由低到高的次序（适用于办法八）作为中</w:t>
      </w:r>
      <w:r>
        <w:rPr>
          <w:rFonts w:ascii="宋体" w:hAnsi="宋体" w:eastAsia="宋体" w:cs="宋体"/>
          <w:spacing w:val="9"/>
          <w:sz w:val="20"/>
          <w:szCs w:val="20"/>
        </w:rPr>
        <w:t>标候选人向招标人推荐。如果因有效</w:t>
      </w:r>
      <w:r>
        <w:rPr>
          <w:rFonts w:ascii="宋体" w:hAnsi="宋体" w:eastAsia="宋体" w:cs="宋体"/>
          <w:spacing w:val="10"/>
          <w:sz w:val="20"/>
          <w:szCs w:val="20"/>
        </w:rPr>
        <w:t>投标不足三个使得投标明显缺乏竞争的，评</w:t>
      </w:r>
      <w:r>
        <w:rPr>
          <w:rFonts w:ascii="宋体" w:hAnsi="宋体" w:eastAsia="宋体" w:cs="宋体"/>
          <w:spacing w:val="9"/>
          <w:sz w:val="20"/>
          <w:szCs w:val="20"/>
        </w:rPr>
        <w:t>标委员会可以否决所有投标，并建议招标人</w:t>
      </w:r>
      <w:r>
        <w:rPr>
          <w:rFonts w:ascii="宋体" w:hAnsi="宋体" w:eastAsia="宋体" w:cs="宋体"/>
          <w:spacing w:val="7"/>
          <w:sz w:val="20"/>
          <w:szCs w:val="20"/>
        </w:rPr>
        <w:t>重新招标。</w:t>
      </w:r>
    </w:p>
    <w:p w14:paraId="6B257FB4">
      <w:pPr>
        <w:spacing w:before="1" w:line="226" w:lineRule="auto"/>
        <w:ind w:left="420"/>
        <w:rPr>
          <w:rFonts w:ascii="宋体" w:hAnsi="宋体" w:eastAsia="宋体" w:cs="宋体"/>
          <w:sz w:val="20"/>
          <w:szCs w:val="20"/>
        </w:rPr>
      </w:pPr>
      <w:r>
        <w:rPr>
          <w:rFonts w:ascii="宋体" w:hAnsi="宋体" w:eastAsia="宋体" w:cs="宋体"/>
          <w:spacing w:val="9"/>
          <w:sz w:val="20"/>
          <w:szCs w:val="20"/>
        </w:rPr>
        <w:t>A5.1.2 投标人数量少于三个或者所有投标被否决的，招</w:t>
      </w:r>
      <w:r>
        <w:rPr>
          <w:rFonts w:ascii="宋体" w:hAnsi="宋体" w:eastAsia="宋体" w:cs="宋体"/>
          <w:spacing w:val="8"/>
          <w:sz w:val="20"/>
          <w:szCs w:val="20"/>
        </w:rPr>
        <w:t>标人应当依法重新招标。</w:t>
      </w:r>
    </w:p>
    <w:p w14:paraId="3EE86605">
      <w:pPr>
        <w:pStyle w:val="2"/>
        <w:spacing w:before="162" w:line="230" w:lineRule="auto"/>
        <w:outlineLvl w:val="3"/>
        <w:rPr>
          <w:sz w:val="20"/>
          <w:szCs w:val="20"/>
        </w:rPr>
      </w:pPr>
      <w:bookmarkStart w:id="151" w:name="bookmark135"/>
      <w:bookmarkEnd w:id="151"/>
      <w:r>
        <w:rPr>
          <w:rFonts w:ascii="Times New Roman" w:hAnsi="Times New Roman" w:eastAsia="Times New Roman" w:cs="Times New Roman"/>
          <w:b/>
          <w:bCs/>
          <w:spacing w:val="6"/>
          <w:sz w:val="20"/>
          <w:szCs w:val="20"/>
        </w:rPr>
        <w:t xml:space="preserve">A5.2 </w:t>
      </w:r>
      <w:r>
        <w:rPr>
          <w:b/>
          <w:bCs/>
          <w:spacing w:val="6"/>
          <w:sz w:val="20"/>
          <w:szCs w:val="20"/>
        </w:rPr>
        <w:t>直接确定中标人</w:t>
      </w:r>
    </w:p>
    <w:p w14:paraId="693CE6ED">
      <w:pPr>
        <w:spacing w:before="184" w:line="397" w:lineRule="auto"/>
        <w:ind w:left="5" w:right="71" w:firstLine="420"/>
        <w:jc w:val="both"/>
        <w:rPr>
          <w:rFonts w:ascii="宋体" w:hAnsi="宋体" w:eastAsia="宋体" w:cs="宋体"/>
          <w:sz w:val="20"/>
          <w:szCs w:val="20"/>
        </w:rPr>
      </w:pPr>
      <w:r>
        <w:rPr>
          <w:rFonts w:ascii="宋体" w:hAnsi="宋体" w:eastAsia="宋体" w:cs="宋体"/>
          <w:spacing w:val="11"/>
          <w:sz w:val="20"/>
          <w:szCs w:val="20"/>
        </w:rPr>
        <w:t>第二章“投标人须知</w:t>
      </w:r>
      <w:r>
        <w:rPr>
          <w:rFonts w:ascii="宋体" w:hAnsi="宋体" w:eastAsia="宋体" w:cs="宋体"/>
          <w:spacing w:val="-68"/>
          <w:sz w:val="20"/>
          <w:szCs w:val="20"/>
        </w:rPr>
        <w:t xml:space="preserve"> </w:t>
      </w:r>
      <w:r>
        <w:rPr>
          <w:rFonts w:ascii="宋体" w:hAnsi="宋体" w:eastAsia="宋体" w:cs="宋体"/>
          <w:spacing w:val="11"/>
          <w:sz w:val="20"/>
          <w:szCs w:val="20"/>
        </w:rPr>
        <w:t>”前附表授权评标委员会直接确定中标人的，评标委员会按照最终得分</w:t>
      </w:r>
      <w:r>
        <w:rPr>
          <w:rFonts w:ascii="宋体" w:hAnsi="宋体" w:eastAsia="宋体" w:cs="宋体"/>
          <w:spacing w:val="12"/>
          <w:sz w:val="20"/>
          <w:szCs w:val="20"/>
        </w:rPr>
        <w:t>由高至低的次序排列（适用于办法一、二、三、四、五、六、七）或按</w:t>
      </w:r>
      <w:r>
        <w:rPr>
          <w:rFonts w:ascii="宋体" w:hAnsi="宋体" w:eastAsia="宋体" w:cs="宋体"/>
          <w:spacing w:val="11"/>
          <w:sz w:val="20"/>
          <w:szCs w:val="20"/>
        </w:rPr>
        <w:t>有效评标价由低到高的次</w:t>
      </w:r>
      <w:r>
        <w:rPr>
          <w:rFonts w:ascii="宋体" w:hAnsi="宋体" w:eastAsia="宋体" w:cs="宋体"/>
          <w:spacing w:val="8"/>
          <w:sz w:val="20"/>
          <w:szCs w:val="20"/>
        </w:rPr>
        <w:t>序排列（适用于办法八</w:t>
      </w:r>
      <w:r>
        <w:rPr>
          <w:rFonts w:ascii="宋体" w:hAnsi="宋体" w:eastAsia="宋体" w:cs="宋体"/>
          <w:spacing w:val="-33"/>
          <w:sz w:val="20"/>
          <w:szCs w:val="20"/>
        </w:rPr>
        <w:t>），</w:t>
      </w:r>
      <w:r>
        <w:rPr>
          <w:rFonts w:ascii="宋体" w:hAnsi="宋体" w:eastAsia="宋体" w:cs="宋体"/>
          <w:spacing w:val="8"/>
          <w:sz w:val="20"/>
          <w:szCs w:val="20"/>
        </w:rPr>
        <w:t>并依法确定中标人。</w:t>
      </w:r>
    </w:p>
    <w:p w14:paraId="6E3134B3">
      <w:pPr>
        <w:pStyle w:val="2"/>
        <w:spacing w:line="229" w:lineRule="auto"/>
        <w:outlineLvl w:val="3"/>
        <w:rPr>
          <w:sz w:val="20"/>
          <w:szCs w:val="20"/>
        </w:rPr>
      </w:pPr>
      <w:bookmarkStart w:id="152" w:name="bookmark136"/>
      <w:bookmarkEnd w:id="152"/>
      <w:r>
        <w:rPr>
          <w:rFonts w:ascii="Times New Roman" w:hAnsi="Times New Roman" w:eastAsia="Times New Roman" w:cs="Times New Roman"/>
          <w:b/>
          <w:bCs/>
          <w:spacing w:val="6"/>
          <w:sz w:val="20"/>
          <w:szCs w:val="20"/>
        </w:rPr>
        <w:t xml:space="preserve">A5.3 </w:t>
      </w:r>
      <w:r>
        <w:rPr>
          <w:b/>
          <w:bCs/>
          <w:spacing w:val="6"/>
          <w:sz w:val="20"/>
          <w:szCs w:val="20"/>
        </w:rPr>
        <w:t>编制评标报告</w:t>
      </w:r>
    </w:p>
    <w:p w14:paraId="54436C98">
      <w:pPr>
        <w:spacing w:before="184" w:line="408" w:lineRule="auto"/>
        <w:ind w:left="14" w:right="71" w:firstLine="411"/>
        <w:rPr>
          <w:rFonts w:ascii="宋体" w:hAnsi="宋体" w:eastAsia="宋体" w:cs="宋体"/>
          <w:sz w:val="20"/>
          <w:szCs w:val="20"/>
        </w:rPr>
      </w:pPr>
      <w:r>
        <w:rPr>
          <w:rFonts w:ascii="宋体" w:hAnsi="宋体" w:eastAsia="宋体" w:cs="宋体"/>
          <w:spacing w:val="10"/>
          <w:sz w:val="20"/>
          <w:szCs w:val="20"/>
        </w:rPr>
        <w:t>评标委员会根据本章第</w:t>
      </w:r>
      <w:r>
        <w:rPr>
          <w:rFonts w:ascii="宋体" w:hAnsi="宋体" w:eastAsia="宋体" w:cs="宋体"/>
          <w:spacing w:val="-15"/>
          <w:sz w:val="20"/>
          <w:szCs w:val="20"/>
        </w:rPr>
        <w:t xml:space="preserve"> </w:t>
      </w:r>
      <w:r>
        <w:rPr>
          <w:rFonts w:ascii="宋体" w:hAnsi="宋体" w:eastAsia="宋体" w:cs="宋体"/>
          <w:spacing w:val="10"/>
          <w:sz w:val="20"/>
          <w:szCs w:val="20"/>
        </w:rPr>
        <w:t>3.4.2</w:t>
      </w:r>
      <w:r>
        <w:rPr>
          <w:rFonts w:ascii="宋体" w:hAnsi="宋体" w:eastAsia="宋体" w:cs="宋体"/>
          <w:spacing w:val="-32"/>
          <w:sz w:val="20"/>
          <w:szCs w:val="20"/>
        </w:rPr>
        <w:t xml:space="preserve"> </w:t>
      </w:r>
      <w:r>
        <w:rPr>
          <w:rFonts w:ascii="宋体" w:hAnsi="宋体" w:eastAsia="宋体" w:cs="宋体"/>
          <w:spacing w:val="10"/>
          <w:sz w:val="20"/>
          <w:szCs w:val="20"/>
        </w:rPr>
        <w:t>项的规定向招标人提交评标报告。评标报告应当由全体评标委</w:t>
      </w:r>
      <w:r>
        <w:rPr>
          <w:rFonts w:ascii="宋体" w:hAnsi="宋体" w:eastAsia="宋体" w:cs="宋体"/>
          <w:spacing w:val="9"/>
          <w:sz w:val="20"/>
          <w:szCs w:val="20"/>
        </w:rPr>
        <w:t>员会成员签字，并于评标结束时抄送有关行政监督部门。评标报告应当包括以下内容：</w:t>
      </w:r>
    </w:p>
    <w:p w14:paraId="285BB48A">
      <w:pPr>
        <w:spacing w:before="68" w:line="227" w:lineRule="auto"/>
        <w:ind w:left="436"/>
        <w:rPr>
          <w:rFonts w:ascii="宋体" w:hAnsi="宋体" w:eastAsia="宋体" w:cs="宋体"/>
          <w:sz w:val="20"/>
          <w:szCs w:val="20"/>
        </w:rPr>
      </w:pPr>
      <w:r>
        <w:rPr>
          <w:rFonts w:ascii="宋体" w:hAnsi="宋体" w:eastAsia="宋体" w:cs="宋体"/>
          <w:spacing w:val="7"/>
          <w:sz w:val="20"/>
          <w:szCs w:val="20"/>
        </w:rPr>
        <w:t>（1）基本情况和数据表；</w:t>
      </w:r>
    </w:p>
    <w:p w14:paraId="1E04EA6F">
      <w:pPr>
        <w:spacing w:line="227" w:lineRule="auto"/>
        <w:rPr>
          <w:rFonts w:ascii="宋体" w:hAnsi="宋体" w:eastAsia="宋体" w:cs="宋体"/>
          <w:sz w:val="20"/>
          <w:szCs w:val="20"/>
        </w:rPr>
        <w:sectPr>
          <w:footerReference r:id="rId113" w:type="default"/>
          <w:pgSz w:w="11907" w:h="16840"/>
          <w:pgMar w:top="400" w:right="1460" w:bottom="1035" w:left="1475" w:header="0" w:footer="785" w:gutter="0"/>
          <w:cols w:space="720" w:num="1"/>
        </w:sectPr>
      </w:pPr>
    </w:p>
    <w:p w14:paraId="6D1193F4">
      <w:pPr>
        <w:spacing w:line="279" w:lineRule="auto"/>
        <w:rPr>
          <w:rFonts w:ascii="Arial"/>
          <w:sz w:val="21"/>
        </w:rPr>
      </w:pPr>
    </w:p>
    <w:p w14:paraId="728A1FC2">
      <w:pPr>
        <w:spacing w:line="280" w:lineRule="auto"/>
        <w:rPr>
          <w:rFonts w:ascii="Arial"/>
          <w:sz w:val="21"/>
        </w:rPr>
      </w:pPr>
    </w:p>
    <w:p w14:paraId="7A987577">
      <w:pPr>
        <w:spacing w:line="280" w:lineRule="auto"/>
        <w:rPr>
          <w:rFonts w:ascii="Arial"/>
          <w:sz w:val="21"/>
        </w:rPr>
      </w:pPr>
    </w:p>
    <w:p w14:paraId="7C801F71">
      <w:pPr>
        <w:spacing w:line="280" w:lineRule="auto"/>
        <w:rPr>
          <w:rFonts w:ascii="Arial"/>
          <w:sz w:val="21"/>
        </w:rPr>
      </w:pPr>
    </w:p>
    <w:p w14:paraId="7CD1E989">
      <w:pPr>
        <w:spacing w:line="280" w:lineRule="auto"/>
        <w:rPr>
          <w:rFonts w:ascii="Arial"/>
          <w:sz w:val="21"/>
        </w:rPr>
      </w:pPr>
    </w:p>
    <w:p w14:paraId="149D5E98">
      <w:pPr>
        <w:spacing w:before="65" w:line="227" w:lineRule="auto"/>
        <w:ind w:left="436"/>
        <w:rPr>
          <w:rFonts w:ascii="宋体" w:hAnsi="宋体" w:eastAsia="宋体" w:cs="宋体"/>
          <w:sz w:val="20"/>
          <w:szCs w:val="20"/>
        </w:rPr>
      </w:pPr>
      <w:r>
        <w:rPr>
          <w:rFonts w:ascii="宋体" w:hAnsi="宋体" w:eastAsia="宋体" w:cs="宋体"/>
          <w:spacing w:val="7"/>
          <w:sz w:val="20"/>
          <w:szCs w:val="20"/>
        </w:rPr>
        <w:t>（2）评标委员会成员名单；</w:t>
      </w:r>
    </w:p>
    <w:p w14:paraId="3E18A7A1">
      <w:pPr>
        <w:spacing w:before="268" w:line="228" w:lineRule="auto"/>
        <w:ind w:left="436"/>
        <w:rPr>
          <w:rFonts w:ascii="宋体" w:hAnsi="宋体" w:eastAsia="宋体" w:cs="宋体"/>
          <w:sz w:val="20"/>
          <w:szCs w:val="20"/>
        </w:rPr>
      </w:pPr>
      <w:r>
        <w:rPr>
          <w:rFonts w:ascii="宋体" w:hAnsi="宋体" w:eastAsia="宋体" w:cs="宋体"/>
          <w:spacing w:val="5"/>
          <w:sz w:val="20"/>
          <w:szCs w:val="20"/>
        </w:rPr>
        <w:t>（3）开标记录；</w:t>
      </w:r>
    </w:p>
    <w:p w14:paraId="18DA2F3C">
      <w:pPr>
        <w:spacing w:before="263" w:line="228" w:lineRule="auto"/>
        <w:ind w:left="436"/>
        <w:rPr>
          <w:rFonts w:ascii="宋体" w:hAnsi="宋体" w:eastAsia="宋体" w:cs="宋体"/>
          <w:sz w:val="20"/>
          <w:szCs w:val="20"/>
        </w:rPr>
      </w:pPr>
      <w:r>
        <w:rPr>
          <w:rFonts w:ascii="宋体" w:hAnsi="宋体" w:eastAsia="宋体" w:cs="宋体"/>
          <w:spacing w:val="7"/>
          <w:sz w:val="20"/>
          <w:szCs w:val="20"/>
        </w:rPr>
        <w:t>（4）符合要求的投标一览表；</w:t>
      </w:r>
    </w:p>
    <w:p w14:paraId="0983C773">
      <w:pPr>
        <w:spacing w:before="266" w:line="228" w:lineRule="auto"/>
        <w:ind w:left="436"/>
        <w:rPr>
          <w:rFonts w:ascii="宋体" w:hAnsi="宋体" w:eastAsia="宋体" w:cs="宋体"/>
          <w:sz w:val="20"/>
          <w:szCs w:val="20"/>
        </w:rPr>
      </w:pPr>
      <w:r>
        <w:rPr>
          <w:rFonts w:ascii="宋体" w:hAnsi="宋体" w:eastAsia="宋体" w:cs="宋体"/>
          <w:spacing w:val="7"/>
          <w:sz w:val="20"/>
          <w:szCs w:val="20"/>
        </w:rPr>
        <w:t>（5）被否决投标的情况说明；</w:t>
      </w:r>
    </w:p>
    <w:p w14:paraId="68CD4170">
      <w:pPr>
        <w:spacing w:before="266" w:line="228" w:lineRule="auto"/>
        <w:ind w:left="436"/>
        <w:rPr>
          <w:rFonts w:ascii="宋体" w:hAnsi="宋体" w:eastAsia="宋体" w:cs="宋体"/>
          <w:sz w:val="20"/>
          <w:szCs w:val="20"/>
        </w:rPr>
      </w:pPr>
      <w:r>
        <w:rPr>
          <w:rFonts w:ascii="宋体" w:hAnsi="宋体" w:eastAsia="宋体" w:cs="宋体"/>
          <w:spacing w:val="8"/>
          <w:sz w:val="20"/>
          <w:szCs w:val="20"/>
        </w:rPr>
        <w:t>（6）评标标准、评标方法或者评标因素一览表；</w:t>
      </w:r>
    </w:p>
    <w:p w14:paraId="5DF567FA">
      <w:pPr>
        <w:spacing w:before="267" w:line="407" w:lineRule="auto"/>
        <w:ind w:left="23" w:right="2" w:firstLine="413"/>
        <w:rPr>
          <w:rFonts w:ascii="宋体" w:hAnsi="宋体" w:eastAsia="宋体" w:cs="宋体"/>
          <w:sz w:val="20"/>
          <w:szCs w:val="20"/>
        </w:rPr>
      </w:pPr>
      <w:r>
        <w:rPr>
          <w:rFonts w:ascii="宋体" w:hAnsi="宋体" w:eastAsia="宋体" w:cs="宋体"/>
          <w:spacing w:val="9"/>
          <w:sz w:val="20"/>
          <w:szCs w:val="20"/>
        </w:rPr>
        <w:t>（7）经评审的价格一览表（包括评标委员会在评标过程中所形成的所有</w:t>
      </w:r>
      <w:r>
        <w:rPr>
          <w:rFonts w:ascii="宋体" w:hAnsi="宋体" w:eastAsia="宋体" w:cs="宋体"/>
          <w:spacing w:val="8"/>
          <w:sz w:val="20"/>
          <w:szCs w:val="20"/>
        </w:rPr>
        <w:t>记载评标结果、结论</w:t>
      </w:r>
      <w:r>
        <w:rPr>
          <w:rFonts w:ascii="宋体" w:hAnsi="宋体" w:eastAsia="宋体" w:cs="宋体"/>
          <w:spacing w:val="7"/>
          <w:sz w:val="20"/>
          <w:szCs w:val="20"/>
        </w:rPr>
        <w:t>的表格、说明、记录等文件</w:t>
      </w:r>
      <w:r>
        <w:rPr>
          <w:rFonts w:ascii="宋体" w:hAnsi="宋体" w:eastAsia="宋体" w:cs="宋体"/>
          <w:spacing w:val="-50"/>
          <w:sz w:val="20"/>
          <w:szCs w:val="20"/>
        </w:rPr>
        <w:t>）；</w:t>
      </w:r>
    </w:p>
    <w:p w14:paraId="0B20127E">
      <w:pPr>
        <w:spacing w:before="71" w:line="228" w:lineRule="auto"/>
        <w:ind w:left="436"/>
        <w:rPr>
          <w:rFonts w:ascii="宋体" w:hAnsi="宋体" w:eastAsia="宋体" w:cs="宋体"/>
          <w:sz w:val="20"/>
          <w:szCs w:val="20"/>
        </w:rPr>
      </w:pPr>
      <w:r>
        <w:rPr>
          <w:rFonts w:ascii="宋体" w:hAnsi="宋体" w:eastAsia="宋体" w:cs="宋体"/>
          <w:spacing w:val="7"/>
          <w:sz w:val="20"/>
          <w:szCs w:val="20"/>
        </w:rPr>
        <w:t>（8）经评审的投标人排序；</w:t>
      </w:r>
    </w:p>
    <w:p w14:paraId="0E1A0422">
      <w:pPr>
        <w:spacing w:before="267" w:line="409" w:lineRule="auto"/>
        <w:ind w:left="7" w:firstLine="429"/>
        <w:rPr>
          <w:rFonts w:ascii="宋体" w:hAnsi="宋体" w:eastAsia="宋体" w:cs="宋体"/>
          <w:sz w:val="20"/>
          <w:szCs w:val="20"/>
        </w:rPr>
      </w:pPr>
      <w:r>
        <w:rPr>
          <w:rFonts w:ascii="宋体" w:hAnsi="宋体" w:eastAsia="宋体" w:cs="宋体"/>
          <w:spacing w:val="8"/>
          <w:sz w:val="20"/>
          <w:szCs w:val="20"/>
        </w:rPr>
        <w:t>（9）推荐的中标候选人名单（如果第二章“投标人须知</w:t>
      </w:r>
      <w:r>
        <w:rPr>
          <w:rFonts w:ascii="宋体" w:hAnsi="宋体" w:eastAsia="宋体" w:cs="宋体"/>
          <w:spacing w:val="-66"/>
          <w:sz w:val="20"/>
          <w:szCs w:val="20"/>
        </w:rPr>
        <w:t xml:space="preserve"> </w:t>
      </w:r>
      <w:r>
        <w:rPr>
          <w:rFonts w:ascii="宋体" w:hAnsi="宋体" w:eastAsia="宋体" w:cs="宋体"/>
          <w:spacing w:val="8"/>
          <w:sz w:val="20"/>
          <w:szCs w:val="20"/>
        </w:rPr>
        <w:t>”前附表授权评标委员会直接确定中</w:t>
      </w:r>
      <w:r>
        <w:rPr>
          <w:rFonts w:ascii="宋体" w:hAnsi="宋体" w:eastAsia="宋体" w:cs="宋体"/>
          <w:spacing w:val="5"/>
          <w:sz w:val="20"/>
          <w:szCs w:val="20"/>
        </w:rPr>
        <w:t>标人，则为“确定的中标人”）与签订合同前要处理的事宜；</w:t>
      </w:r>
    </w:p>
    <w:p w14:paraId="5FBC0F7D">
      <w:pPr>
        <w:spacing w:before="66" w:line="228" w:lineRule="auto"/>
        <w:ind w:left="436"/>
        <w:rPr>
          <w:rFonts w:ascii="宋体" w:hAnsi="宋体" w:eastAsia="宋体" w:cs="宋体"/>
          <w:sz w:val="20"/>
          <w:szCs w:val="20"/>
        </w:rPr>
      </w:pPr>
      <w:r>
        <w:rPr>
          <w:rFonts w:ascii="宋体" w:hAnsi="宋体" w:eastAsia="宋体" w:cs="宋体"/>
          <w:spacing w:val="7"/>
          <w:sz w:val="20"/>
          <w:szCs w:val="20"/>
        </w:rPr>
        <w:t>（10）澄清、说明、补正事项纪要。</w:t>
      </w:r>
    </w:p>
    <w:p w14:paraId="6908090C">
      <w:pPr>
        <w:pStyle w:val="2"/>
        <w:spacing w:before="136" w:line="222" w:lineRule="auto"/>
        <w:outlineLvl w:val="2"/>
        <w:rPr>
          <w:sz w:val="24"/>
          <w:szCs w:val="24"/>
        </w:rPr>
      </w:pPr>
      <w:bookmarkStart w:id="153" w:name="bookmark137"/>
      <w:bookmarkEnd w:id="153"/>
      <w:r>
        <w:rPr>
          <w:rFonts w:ascii="Times New Roman" w:hAnsi="Times New Roman" w:eastAsia="Times New Roman" w:cs="Times New Roman"/>
          <w:spacing w:val="-1"/>
          <w:sz w:val="24"/>
          <w:szCs w:val="24"/>
        </w:rPr>
        <w:t>A6.</w:t>
      </w:r>
      <w:r>
        <w:rPr>
          <w:spacing w:val="-1"/>
          <w:sz w:val="24"/>
          <w:szCs w:val="24"/>
        </w:rPr>
        <w:t>特殊情况的处置程序</w:t>
      </w:r>
    </w:p>
    <w:p w14:paraId="6E90286B">
      <w:pPr>
        <w:pStyle w:val="2"/>
        <w:spacing w:before="140" w:line="230" w:lineRule="auto"/>
        <w:outlineLvl w:val="2"/>
        <w:rPr>
          <w:sz w:val="20"/>
          <w:szCs w:val="20"/>
        </w:rPr>
      </w:pPr>
      <w:bookmarkStart w:id="154" w:name="bookmark138"/>
      <w:bookmarkEnd w:id="154"/>
      <w:bookmarkStart w:id="155" w:name="bookmark139"/>
      <w:bookmarkEnd w:id="155"/>
      <w:r>
        <w:rPr>
          <w:rFonts w:ascii="Times New Roman" w:hAnsi="Times New Roman" w:eastAsia="Times New Roman" w:cs="Times New Roman"/>
          <w:b/>
          <w:bCs/>
          <w:spacing w:val="7"/>
          <w:sz w:val="20"/>
          <w:szCs w:val="20"/>
        </w:rPr>
        <w:t>A6.1</w:t>
      </w:r>
      <w:r>
        <w:rPr>
          <w:rFonts w:ascii="Times New Roman" w:hAnsi="Times New Roman" w:eastAsia="Times New Roman" w:cs="Times New Roman"/>
          <w:b/>
          <w:bCs/>
          <w:spacing w:val="27"/>
          <w:w w:val="101"/>
          <w:sz w:val="20"/>
          <w:szCs w:val="20"/>
        </w:rPr>
        <w:t xml:space="preserve"> </w:t>
      </w:r>
      <w:r>
        <w:rPr>
          <w:b/>
          <w:bCs/>
          <w:spacing w:val="7"/>
          <w:sz w:val="20"/>
          <w:szCs w:val="20"/>
        </w:rPr>
        <w:t>暗标评审的评审程序规定（适用于对施工组织设计进行暗标评审的）</w:t>
      </w:r>
    </w:p>
    <w:p w14:paraId="6853BF7E">
      <w:pPr>
        <w:spacing w:before="183" w:line="407" w:lineRule="auto"/>
        <w:ind w:left="5" w:firstLine="424"/>
        <w:jc w:val="both"/>
        <w:rPr>
          <w:rFonts w:ascii="宋体" w:hAnsi="宋体" w:eastAsia="宋体" w:cs="宋体"/>
          <w:sz w:val="20"/>
          <w:szCs w:val="20"/>
        </w:rPr>
      </w:pPr>
      <w:r>
        <w:rPr>
          <w:rFonts w:ascii="宋体" w:hAnsi="宋体" w:eastAsia="宋体" w:cs="宋体"/>
          <w:spacing w:val="7"/>
          <w:sz w:val="20"/>
          <w:szCs w:val="20"/>
        </w:rPr>
        <w:t>如果第二章“投标人须知</w:t>
      </w:r>
      <w:r>
        <w:rPr>
          <w:rFonts w:ascii="宋体" w:hAnsi="宋体" w:eastAsia="宋体" w:cs="宋体"/>
          <w:spacing w:val="-70"/>
          <w:sz w:val="20"/>
          <w:szCs w:val="20"/>
        </w:rPr>
        <w:t xml:space="preserve"> </w:t>
      </w:r>
      <w:r>
        <w:rPr>
          <w:rFonts w:ascii="宋体" w:hAnsi="宋体" w:eastAsia="宋体" w:cs="宋体"/>
          <w:spacing w:val="7"/>
          <w:sz w:val="20"/>
          <w:szCs w:val="20"/>
        </w:rPr>
        <w:t>”前附表第</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 xml:space="preserve">3.7.4 </w:t>
      </w:r>
      <w:r>
        <w:rPr>
          <w:rFonts w:ascii="宋体" w:hAnsi="宋体" w:eastAsia="宋体" w:cs="宋体"/>
          <w:spacing w:val="7"/>
          <w:sz w:val="20"/>
          <w:szCs w:val="20"/>
        </w:rPr>
        <w:t>项要求对施工组织设</w:t>
      </w:r>
      <w:r>
        <w:rPr>
          <w:rFonts w:ascii="宋体" w:hAnsi="宋体" w:eastAsia="宋体" w:cs="宋体"/>
          <w:spacing w:val="6"/>
          <w:sz w:val="20"/>
          <w:szCs w:val="20"/>
        </w:rPr>
        <w:t>计采用“暗标</w:t>
      </w:r>
      <w:r>
        <w:rPr>
          <w:rFonts w:ascii="宋体" w:hAnsi="宋体" w:eastAsia="宋体" w:cs="宋体"/>
          <w:spacing w:val="-70"/>
          <w:sz w:val="20"/>
          <w:szCs w:val="20"/>
        </w:rPr>
        <w:t xml:space="preserve"> </w:t>
      </w:r>
      <w:r>
        <w:rPr>
          <w:rFonts w:ascii="宋体" w:hAnsi="宋体" w:eastAsia="宋体" w:cs="宋体"/>
          <w:spacing w:val="6"/>
          <w:sz w:val="20"/>
          <w:szCs w:val="20"/>
        </w:rPr>
        <w:t>”方式，则评标</w:t>
      </w:r>
      <w:r>
        <w:rPr>
          <w:rFonts w:ascii="宋体" w:hAnsi="宋体" w:eastAsia="宋体" w:cs="宋体"/>
          <w:spacing w:val="11"/>
          <w:sz w:val="20"/>
          <w:szCs w:val="20"/>
        </w:rPr>
        <w:t>委员会需将施工组织设计（暗标）</w:t>
      </w:r>
      <w:r>
        <w:rPr>
          <w:rFonts w:ascii="宋体" w:hAnsi="宋体" w:eastAsia="宋体" w:cs="宋体"/>
          <w:spacing w:val="-59"/>
          <w:sz w:val="20"/>
          <w:szCs w:val="20"/>
        </w:rPr>
        <w:t xml:space="preserve"> </w:t>
      </w:r>
      <w:r>
        <w:rPr>
          <w:rFonts w:ascii="宋体" w:hAnsi="宋体" w:eastAsia="宋体" w:cs="宋体"/>
          <w:spacing w:val="11"/>
          <w:sz w:val="20"/>
          <w:szCs w:val="20"/>
        </w:rPr>
        <w:t>的形式评审在初步评审阶段完成；如果</w:t>
      </w:r>
      <w:r>
        <w:rPr>
          <w:rFonts w:ascii="宋体" w:hAnsi="宋体" w:eastAsia="宋体" w:cs="宋体"/>
          <w:spacing w:val="10"/>
          <w:sz w:val="20"/>
          <w:szCs w:val="20"/>
        </w:rPr>
        <w:t>施工组织设计只进行合</w:t>
      </w:r>
      <w:r>
        <w:rPr>
          <w:rFonts w:ascii="宋体" w:hAnsi="宋体" w:eastAsia="宋体" w:cs="宋体"/>
          <w:spacing w:val="12"/>
          <w:sz w:val="20"/>
          <w:szCs w:val="20"/>
        </w:rPr>
        <w:t>格性审查的，也应在初步评审阶段完成。所有被否决的投标，在上述评</w:t>
      </w:r>
      <w:r>
        <w:rPr>
          <w:rFonts w:ascii="宋体" w:hAnsi="宋体" w:eastAsia="宋体" w:cs="宋体"/>
          <w:spacing w:val="11"/>
          <w:sz w:val="20"/>
          <w:szCs w:val="20"/>
        </w:rPr>
        <w:t>审完成后再公开其暗标编</w:t>
      </w:r>
      <w:r>
        <w:rPr>
          <w:rFonts w:ascii="宋体" w:hAnsi="宋体" w:eastAsia="宋体" w:cs="宋体"/>
          <w:spacing w:val="9"/>
          <w:sz w:val="20"/>
          <w:szCs w:val="20"/>
        </w:rPr>
        <w:t>码与投标人名称之间的对应关系。被否决的投标不再进入详细评审阶段。</w:t>
      </w:r>
    </w:p>
    <w:p w14:paraId="5A697B70">
      <w:pPr>
        <w:spacing w:before="2" w:line="396" w:lineRule="auto"/>
        <w:ind w:left="5" w:firstLine="424"/>
        <w:jc w:val="both"/>
        <w:rPr>
          <w:rFonts w:ascii="宋体" w:hAnsi="宋体" w:eastAsia="宋体" w:cs="宋体"/>
          <w:sz w:val="20"/>
          <w:szCs w:val="20"/>
        </w:rPr>
      </w:pPr>
      <w:r>
        <w:rPr>
          <w:rFonts w:ascii="宋体" w:hAnsi="宋体" w:eastAsia="宋体" w:cs="宋体"/>
          <w:spacing w:val="11"/>
          <w:sz w:val="20"/>
          <w:szCs w:val="20"/>
        </w:rPr>
        <w:t>如果施工组织设计是详细评审阶段的评审内容，</w:t>
      </w:r>
      <w:r>
        <w:rPr>
          <w:rFonts w:ascii="宋体" w:hAnsi="宋体" w:eastAsia="宋体" w:cs="宋体"/>
          <w:spacing w:val="-59"/>
          <w:sz w:val="20"/>
          <w:szCs w:val="20"/>
        </w:rPr>
        <w:t xml:space="preserve"> </w:t>
      </w:r>
      <w:r>
        <w:rPr>
          <w:rFonts w:ascii="宋体" w:hAnsi="宋体" w:eastAsia="宋体" w:cs="宋体"/>
          <w:spacing w:val="11"/>
          <w:sz w:val="20"/>
          <w:szCs w:val="20"/>
        </w:rPr>
        <w:t>电子交易平台</w:t>
      </w:r>
      <w:r>
        <w:rPr>
          <w:rFonts w:ascii="宋体" w:hAnsi="宋体" w:eastAsia="宋体" w:cs="宋体"/>
          <w:spacing w:val="10"/>
          <w:sz w:val="20"/>
          <w:szCs w:val="20"/>
        </w:rPr>
        <w:t>应采取措施，在投标报价、施</w:t>
      </w:r>
      <w:r>
        <w:rPr>
          <w:rFonts w:ascii="宋体" w:hAnsi="宋体" w:eastAsia="宋体" w:cs="宋体"/>
          <w:spacing w:val="12"/>
          <w:sz w:val="20"/>
          <w:szCs w:val="20"/>
        </w:rPr>
        <w:t>工组织设计、项目管理机构、其他因素的评审完成后，再公开相应暗标</w:t>
      </w:r>
      <w:r>
        <w:rPr>
          <w:rFonts w:ascii="宋体" w:hAnsi="宋体" w:eastAsia="宋体" w:cs="宋体"/>
          <w:spacing w:val="11"/>
          <w:sz w:val="20"/>
          <w:szCs w:val="20"/>
        </w:rPr>
        <w:t>编码与投标人名称之间的</w:t>
      </w:r>
      <w:r>
        <w:rPr>
          <w:rFonts w:ascii="宋体" w:hAnsi="宋体" w:eastAsia="宋体" w:cs="宋体"/>
          <w:spacing w:val="6"/>
          <w:sz w:val="20"/>
          <w:szCs w:val="20"/>
        </w:rPr>
        <w:t>对应关系。</w:t>
      </w:r>
    </w:p>
    <w:p w14:paraId="0F1EB415">
      <w:pPr>
        <w:pStyle w:val="2"/>
        <w:spacing w:before="1" w:line="229" w:lineRule="auto"/>
        <w:outlineLvl w:val="3"/>
        <w:rPr>
          <w:sz w:val="20"/>
          <w:szCs w:val="20"/>
        </w:rPr>
      </w:pPr>
      <w:bookmarkStart w:id="156" w:name="bookmark140"/>
      <w:bookmarkEnd w:id="156"/>
      <w:r>
        <w:rPr>
          <w:rFonts w:ascii="Times New Roman" w:hAnsi="Times New Roman" w:eastAsia="Times New Roman" w:cs="Times New Roman"/>
          <w:b/>
          <w:bCs/>
          <w:spacing w:val="5"/>
          <w:sz w:val="20"/>
          <w:szCs w:val="20"/>
        </w:rPr>
        <w:t>A6.2</w:t>
      </w:r>
      <w:r>
        <w:rPr>
          <w:rFonts w:ascii="Times New Roman" w:hAnsi="Times New Roman" w:eastAsia="Times New Roman" w:cs="Times New Roman"/>
          <w:b/>
          <w:bCs/>
          <w:spacing w:val="26"/>
          <w:w w:val="101"/>
          <w:sz w:val="20"/>
          <w:szCs w:val="20"/>
        </w:rPr>
        <w:t xml:space="preserve"> </w:t>
      </w:r>
      <w:r>
        <w:rPr>
          <w:b/>
          <w:bCs/>
          <w:spacing w:val="5"/>
          <w:sz w:val="20"/>
          <w:szCs w:val="20"/>
        </w:rPr>
        <w:t>关于评标活动暂停</w:t>
      </w:r>
    </w:p>
    <w:p w14:paraId="23A7AF7C">
      <w:pPr>
        <w:spacing w:before="183" w:line="409" w:lineRule="auto"/>
        <w:ind w:left="8" w:firstLine="411"/>
        <w:rPr>
          <w:rFonts w:ascii="宋体" w:hAnsi="宋体" w:eastAsia="宋体" w:cs="宋体"/>
          <w:sz w:val="20"/>
          <w:szCs w:val="20"/>
        </w:rPr>
      </w:pPr>
      <w:r>
        <w:rPr>
          <w:rFonts w:ascii="宋体" w:hAnsi="宋体" w:eastAsia="宋体" w:cs="宋体"/>
          <w:spacing w:val="9"/>
          <w:sz w:val="20"/>
          <w:szCs w:val="20"/>
        </w:rPr>
        <w:t>A6.2.1</w:t>
      </w:r>
      <w:r>
        <w:rPr>
          <w:rFonts w:ascii="宋体" w:hAnsi="宋体" w:eastAsia="宋体" w:cs="宋体"/>
          <w:spacing w:val="-38"/>
          <w:sz w:val="20"/>
          <w:szCs w:val="20"/>
        </w:rPr>
        <w:t xml:space="preserve"> </w:t>
      </w:r>
      <w:r>
        <w:rPr>
          <w:rFonts w:ascii="宋体" w:hAnsi="宋体" w:eastAsia="宋体" w:cs="宋体"/>
          <w:spacing w:val="9"/>
          <w:sz w:val="20"/>
          <w:szCs w:val="20"/>
        </w:rPr>
        <w:t>评标委员会应当执行连续评标的原则，按评标办法中规定</w:t>
      </w:r>
      <w:r>
        <w:rPr>
          <w:rFonts w:ascii="宋体" w:hAnsi="宋体" w:eastAsia="宋体" w:cs="宋体"/>
          <w:spacing w:val="8"/>
          <w:sz w:val="20"/>
          <w:szCs w:val="20"/>
        </w:rPr>
        <w:t>的程序、</w:t>
      </w:r>
      <w:r>
        <w:rPr>
          <w:rFonts w:ascii="宋体" w:hAnsi="宋体" w:eastAsia="宋体" w:cs="宋体"/>
          <w:spacing w:val="-59"/>
          <w:sz w:val="20"/>
          <w:szCs w:val="20"/>
        </w:rPr>
        <w:t xml:space="preserve"> </w:t>
      </w:r>
      <w:r>
        <w:rPr>
          <w:rFonts w:ascii="宋体" w:hAnsi="宋体" w:eastAsia="宋体" w:cs="宋体"/>
          <w:spacing w:val="8"/>
          <w:sz w:val="20"/>
          <w:szCs w:val="20"/>
        </w:rPr>
        <w:t>内容、方法、标准</w:t>
      </w:r>
      <w:r>
        <w:rPr>
          <w:rFonts w:ascii="宋体" w:hAnsi="宋体" w:eastAsia="宋体" w:cs="宋体"/>
          <w:spacing w:val="9"/>
          <w:sz w:val="20"/>
          <w:szCs w:val="20"/>
        </w:rPr>
        <w:t>完成全部评标工作。只有发生不可抗力导致评标工作无法继续时，评标活动方可暂停。</w:t>
      </w:r>
    </w:p>
    <w:p w14:paraId="05192689">
      <w:pPr>
        <w:spacing w:before="42" w:line="391" w:lineRule="auto"/>
        <w:ind w:left="6" w:firstLine="413"/>
        <w:rPr>
          <w:rFonts w:ascii="宋体" w:hAnsi="宋体" w:eastAsia="宋体" w:cs="宋体"/>
          <w:sz w:val="20"/>
          <w:szCs w:val="20"/>
        </w:rPr>
      </w:pPr>
      <w:r>
        <w:rPr>
          <w:rFonts w:ascii="宋体" w:hAnsi="宋体" w:eastAsia="宋体" w:cs="宋体"/>
          <w:spacing w:val="10"/>
          <w:sz w:val="20"/>
          <w:szCs w:val="20"/>
        </w:rPr>
        <w:t>A6.2.2</w:t>
      </w:r>
      <w:r>
        <w:rPr>
          <w:rFonts w:ascii="宋体" w:hAnsi="宋体" w:eastAsia="宋体" w:cs="宋体"/>
          <w:spacing w:val="-35"/>
          <w:sz w:val="20"/>
          <w:szCs w:val="20"/>
        </w:rPr>
        <w:t xml:space="preserve"> </w:t>
      </w:r>
      <w:r>
        <w:rPr>
          <w:rFonts w:ascii="宋体" w:hAnsi="宋体" w:eastAsia="宋体" w:cs="宋体"/>
          <w:spacing w:val="10"/>
          <w:sz w:val="20"/>
          <w:szCs w:val="20"/>
        </w:rPr>
        <w:t>发生评标暂停情况时，评标委员会应当封存全</w:t>
      </w:r>
      <w:r>
        <w:rPr>
          <w:rFonts w:ascii="宋体" w:hAnsi="宋体" w:eastAsia="宋体" w:cs="宋体"/>
          <w:spacing w:val="9"/>
          <w:sz w:val="20"/>
          <w:szCs w:val="20"/>
        </w:rPr>
        <w:t>部投标文件和评标记录，待不可抗力的</w:t>
      </w:r>
      <w:r>
        <w:rPr>
          <w:rFonts w:ascii="宋体" w:hAnsi="宋体" w:eastAsia="宋体" w:cs="宋体"/>
          <w:spacing w:val="8"/>
          <w:sz w:val="20"/>
          <w:szCs w:val="20"/>
        </w:rPr>
        <w:t>影响结束且具备继续评标的条件时，</w:t>
      </w:r>
      <w:r>
        <w:rPr>
          <w:rFonts w:ascii="宋体" w:hAnsi="宋体" w:eastAsia="宋体" w:cs="宋体"/>
          <w:spacing w:val="-58"/>
          <w:sz w:val="20"/>
          <w:szCs w:val="20"/>
        </w:rPr>
        <w:t xml:space="preserve"> </w:t>
      </w:r>
      <w:r>
        <w:rPr>
          <w:rFonts w:ascii="宋体" w:hAnsi="宋体" w:eastAsia="宋体" w:cs="宋体"/>
          <w:spacing w:val="8"/>
          <w:sz w:val="20"/>
          <w:szCs w:val="20"/>
        </w:rPr>
        <w:t>由原评标委</w:t>
      </w:r>
      <w:r>
        <w:rPr>
          <w:rFonts w:ascii="宋体" w:hAnsi="宋体" w:eastAsia="宋体" w:cs="宋体"/>
          <w:spacing w:val="7"/>
          <w:sz w:val="20"/>
          <w:szCs w:val="20"/>
        </w:rPr>
        <w:t>员会继续评标。</w:t>
      </w:r>
    </w:p>
    <w:p w14:paraId="729ABB6A">
      <w:pPr>
        <w:pStyle w:val="2"/>
        <w:spacing w:before="1" w:line="229" w:lineRule="auto"/>
        <w:outlineLvl w:val="3"/>
        <w:rPr>
          <w:sz w:val="20"/>
          <w:szCs w:val="20"/>
        </w:rPr>
      </w:pPr>
      <w:bookmarkStart w:id="157" w:name="bookmark141"/>
      <w:bookmarkEnd w:id="157"/>
      <w:r>
        <w:rPr>
          <w:rFonts w:ascii="Times New Roman" w:hAnsi="Times New Roman" w:eastAsia="Times New Roman" w:cs="Times New Roman"/>
          <w:b/>
          <w:bCs/>
          <w:spacing w:val="6"/>
          <w:sz w:val="20"/>
          <w:szCs w:val="20"/>
        </w:rPr>
        <w:t>A6.3</w:t>
      </w:r>
      <w:r>
        <w:rPr>
          <w:rFonts w:ascii="Times New Roman" w:hAnsi="Times New Roman" w:eastAsia="Times New Roman" w:cs="Times New Roman"/>
          <w:b/>
          <w:bCs/>
          <w:spacing w:val="33"/>
          <w:w w:val="101"/>
          <w:sz w:val="20"/>
          <w:szCs w:val="20"/>
        </w:rPr>
        <w:t xml:space="preserve"> </w:t>
      </w:r>
      <w:r>
        <w:rPr>
          <w:b/>
          <w:bCs/>
          <w:spacing w:val="6"/>
          <w:sz w:val="20"/>
          <w:szCs w:val="20"/>
        </w:rPr>
        <w:t>关于评标中途更换评标委员会成员</w:t>
      </w:r>
    </w:p>
    <w:p w14:paraId="4602D103">
      <w:pPr>
        <w:spacing w:before="183" w:line="227" w:lineRule="auto"/>
        <w:ind w:left="420"/>
        <w:rPr>
          <w:rFonts w:ascii="宋体" w:hAnsi="宋体" w:eastAsia="宋体" w:cs="宋体"/>
          <w:sz w:val="20"/>
          <w:szCs w:val="20"/>
        </w:rPr>
      </w:pPr>
      <w:r>
        <w:rPr>
          <w:rFonts w:ascii="宋体" w:hAnsi="宋体" w:eastAsia="宋体" w:cs="宋体"/>
          <w:spacing w:val="8"/>
          <w:sz w:val="20"/>
          <w:szCs w:val="20"/>
        </w:rPr>
        <w:t>A6.3.1  除非发生下列情况之一，评标委员会成员不得在评标中途更换：</w:t>
      </w:r>
    </w:p>
    <w:p w14:paraId="58B5F975">
      <w:pPr>
        <w:spacing w:before="196" w:line="228" w:lineRule="auto"/>
        <w:ind w:left="436"/>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40"/>
          <w:sz w:val="20"/>
          <w:szCs w:val="20"/>
        </w:rPr>
        <w:t xml:space="preserve"> </w:t>
      </w:r>
      <w:r>
        <w:rPr>
          <w:rFonts w:ascii="宋体" w:hAnsi="宋体" w:eastAsia="宋体" w:cs="宋体"/>
          <w:spacing w:val="8"/>
          <w:sz w:val="20"/>
          <w:szCs w:val="20"/>
        </w:rPr>
        <w:t>因不可抗拒的客观原因，不能到场或需在评标中途</w:t>
      </w:r>
      <w:r>
        <w:rPr>
          <w:rFonts w:ascii="宋体" w:hAnsi="宋体" w:eastAsia="宋体" w:cs="宋体"/>
          <w:spacing w:val="7"/>
          <w:sz w:val="20"/>
          <w:szCs w:val="20"/>
        </w:rPr>
        <w:t>退出评标活动。</w:t>
      </w:r>
    </w:p>
    <w:p w14:paraId="0D93EF06">
      <w:pPr>
        <w:spacing w:before="192" w:line="227" w:lineRule="auto"/>
        <w:ind w:left="436"/>
        <w:rPr>
          <w:rFonts w:ascii="宋体" w:hAnsi="宋体" w:eastAsia="宋体" w:cs="宋体"/>
          <w:sz w:val="20"/>
          <w:szCs w:val="20"/>
        </w:rPr>
      </w:pPr>
      <w:r>
        <w:rPr>
          <w:rFonts w:ascii="宋体" w:hAnsi="宋体" w:eastAsia="宋体" w:cs="宋体"/>
          <w:spacing w:val="9"/>
          <w:sz w:val="20"/>
          <w:szCs w:val="20"/>
        </w:rPr>
        <w:t>（2） 根据法律法规规定，某个或某几个评标</w:t>
      </w:r>
      <w:r>
        <w:rPr>
          <w:rFonts w:ascii="宋体" w:hAnsi="宋体" w:eastAsia="宋体" w:cs="宋体"/>
          <w:spacing w:val="8"/>
          <w:sz w:val="20"/>
          <w:szCs w:val="20"/>
        </w:rPr>
        <w:t>委员会成员需要回避。</w:t>
      </w:r>
    </w:p>
    <w:p w14:paraId="3EA371C9">
      <w:pPr>
        <w:spacing w:line="227" w:lineRule="auto"/>
        <w:rPr>
          <w:rFonts w:ascii="宋体" w:hAnsi="宋体" w:eastAsia="宋体" w:cs="宋体"/>
          <w:sz w:val="20"/>
          <w:szCs w:val="20"/>
        </w:rPr>
        <w:sectPr>
          <w:footerReference r:id="rId114" w:type="default"/>
          <w:pgSz w:w="11907" w:h="16840"/>
          <w:pgMar w:top="400" w:right="1531" w:bottom="1035" w:left="1475" w:header="0" w:footer="785" w:gutter="0"/>
          <w:cols w:space="720" w:num="1"/>
        </w:sectPr>
      </w:pPr>
    </w:p>
    <w:p w14:paraId="637A18DB">
      <w:pPr>
        <w:spacing w:line="279" w:lineRule="auto"/>
        <w:rPr>
          <w:rFonts w:ascii="Arial"/>
          <w:sz w:val="21"/>
        </w:rPr>
      </w:pPr>
    </w:p>
    <w:p w14:paraId="5A5F11FB">
      <w:pPr>
        <w:spacing w:line="280" w:lineRule="auto"/>
        <w:rPr>
          <w:rFonts w:ascii="Arial"/>
          <w:sz w:val="21"/>
        </w:rPr>
      </w:pPr>
    </w:p>
    <w:p w14:paraId="6327B1BC">
      <w:pPr>
        <w:spacing w:line="280" w:lineRule="auto"/>
        <w:rPr>
          <w:rFonts w:ascii="Arial"/>
          <w:sz w:val="21"/>
        </w:rPr>
      </w:pPr>
    </w:p>
    <w:p w14:paraId="4766FE89">
      <w:pPr>
        <w:spacing w:line="280" w:lineRule="auto"/>
        <w:rPr>
          <w:rFonts w:ascii="Arial"/>
          <w:sz w:val="21"/>
        </w:rPr>
      </w:pPr>
    </w:p>
    <w:p w14:paraId="228FF3AA">
      <w:pPr>
        <w:spacing w:line="280" w:lineRule="auto"/>
        <w:rPr>
          <w:rFonts w:ascii="Arial"/>
          <w:sz w:val="21"/>
        </w:rPr>
      </w:pPr>
    </w:p>
    <w:p w14:paraId="1D46A538">
      <w:pPr>
        <w:spacing w:before="65" w:line="391" w:lineRule="auto"/>
        <w:ind w:left="11" w:firstLine="408"/>
        <w:rPr>
          <w:rFonts w:ascii="宋体" w:hAnsi="宋体" w:eastAsia="宋体" w:cs="宋体"/>
          <w:sz w:val="20"/>
          <w:szCs w:val="20"/>
        </w:rPr>
      </w:pPr>
      <w:r>
        <w:rPr>
          <w:rFonts w:ascii="宋体" w:hAnsi="宋体" w:eastAsia="宋体" w:cs="宋体"/>
          <w:spacing w:val="9"/>
          <w:sz w:val="20"/>
          <w:szCs w:val="20"/>
        </w:rPr>
        <w:t>A6.3.2</w:t>
      </w:r>
      <w:r>
        <w:rPr>
          <w:rFonts w:ascii="宋体" w:hAnsi="宋体" w:eastAsia="宋体" w:cs="宋体"/>
          <w:spacing w:val="-37"/>
          <w:sz w:val="20"/>
          <w:szCs w:val="20"/>
        </w:rPr>
        <w:t xml:space="preserve"> </w:t>
      </w:r>
      <w:r>
        <w:rPr>
          <w:rFonts w:ascii="宋体" w:hAnsi="宋体" w:eastAsia="宋体" w:cs="宋体"/>
          <w:spacing w:val="9"/>
          <w:sz w:val="20"/>
          <w:szCs w:val="20"/>
        </w:rPr>
        <w:t>退出评标的评标委员会成员，其已完成的评标行为无效</w:t>
      </w:r>
      <w:r>
        <w:rPr>
          <w:rFonts w:ascii="宋体" w:hAnsi="宋体" w:eastAsia="宋体" w:cs="宋体"/>
          <w:spacing w:val="8"/>
          <w:sz w:val="20"/>
          <w:szCs w:val="20"/>
        </w:rPr>
        <w:t>。</w:t>
      </w:r>
      <w:r>
        <w:rPr>
          <w:rFonts w:ascii="宋体" w:hAnsi="宋体" w:eastAsia="宋体" w:cs="宋体"/>
          <w:spacing w:val="-59"/>
          <w:sz w:val="20"/>
          <w:szCs w:val="20"/>
        </w:rPr>
        <w:t xml:space="preserve"> </w:t>
      </w:r>
      <w:r>
        <w:rPr>
          <w:rFonts w:ascii="宋体" w:hAnsi="宋体" w:eastAsia="宋体" w:cs="宋体"/>
          <w:spacing w:val="8"/>
          <w:sz w:val="20"/>
          <w:szCs w:val="20"/>
        </w:rPr>
        <w:t>由招标人根据本招标文件规</w:t>
      </w:r>
      <w:r>
        <w:rPr>
          <w:rFonts w:ascii="宋体" w:hAnsi="宋体" w:eastAsia="宋体" w:cs="宋体"/>
          <w:spacing w:val="9"/>
          <w:sz w:val="20"/>
          <w:szCs w:val="20"/>
        </w:rPr>
        <w:t>定的评标委员会成员生产方式另行确定替代者进行评</w:t>
      </w:r>
      <w:r>
        <w:rPr>
          <w:rFonts w:ascii="宋体" w:hAnsi="宋体" w:eastAsia="宋体" w:cs="宋体"/>
          <w:spacing w:val="8"/>
          <w:sz w:val="20"/>
          <w:szCs w:val="20"/>
        </w:rPr>
        <w:t>标。</w:t>
      </w:r>
    </w:p>
    <w:p w14:paraId="7AE0EEA5">
      <w:pPr>
        <w:pStyle w:val="2"/>
        <w:spacing w:before="1" w:line="229" w:lineRule="auto"/>
        <w:outlineLvl w:val="3"/>
        <w:rPr>
          <w:sz w:val="20"/>
          <w:szCs w:val="20"/>
        </w:rPr>
      </w:pPr>
      <w:bookmarkStart w:id="158" w:name="bookmark142"/>
      <w:bookmarkEnd w:id="158"/>
      <w:r>
        <w:rPr>
          <w:rFonts w:ascii="Times New Roman" w:hAnsi="Times New Roman" w:eastAsia="Times New Roman" w:cs="Times New Roman"/>
          <w:b/>
          <w:bCs/>
          <w:spacing w:val="6"/>
          <w:sz w:val="20"/>
          <w:szCs w:val="20"/>
        </w:rPr>
        <w:t xml:space="preserve">A6.4 </w:t>
      </w:r>
      <w:r>
        <w:rPr>
          <w:b/>
          <w:bCs/>
          <w:spacing w:val="6"/>
          <w:sz w:val="20"/>
          <w:szCs w:val="20"/>
        </w:rPr>
        <w:t>评标争议处理</w:t>
      </w:r>
    </w:p>
    <w:p w14:paraId="5FBFDE4C">
      <w:pPr>
        <w:spacing w:before="175" w:line="227" w:lineRule="auto"/>
        <w:ind w:left="525"/>
        <w:rPr>
          <w:rFonts w:ascii="宋体" w:hAnsi="宋体" w:eastAsia="宋体" w:cs="宋体"/>
          <w:sz w:val="20"/>
          <w:szCs w:val="20"/>
        </w:rPr>
      </w:pPr>
      <w:r>
        <w:rPr>
          <w:rFonts w:ascii="宋体" w:hAnsi="宋体" w:eastAsia="宋体" w:cs="宋体"/>
          <w:spacing w:val="9"/>
          <w:sz w:val="20"/>
          <w:szCs w:val="20"/>
        </w:rPr>
        <w:t>A6.4.1 评标委员会全体成员应独立评审，对所提</w:t>
      </w:r>
      <w:r>
        <w:rPr>
          <w:rFonts w:ascii="宋体" w:hAnsi="宋体" w:eastAsia="宋体" w:cs="宋体"/>
          <w:spacing w:val="8"/>
          <w:sz w:val="20"/>
          <w:szCs w:val="20"/>
        </w:rPr>
        <w:t>出的评审意见承担个人责任。</w:t>
      </w:r>
    </w:p>
    <w:p w14:paraId="544A7E21">
      <w:pPr>
        <w:spacing w:before="185" w:line="397" w:lineRule="auto"/>
        <w:ind w:left="6" w:firstLine="519"/>
        <w:jc w:val="both"/>
        <w:rPr>
          <w:rFonts w:ascii="宋体" w:hAnsi="宋体" w:eastAsia="宋体" w:cs="宋体"/>
          <w:sz w:val="20"/>
          <w:szCs w:val="20"/>
        </w:rPr>
      </w:pPr>
      <w:r>
        <w:rPr>
          <w:rFonts w:ascii="宋体" w:hAnsi="宋体" w:eastAsia="宋体" w:cs="宋体"/>
          <w:spacing w:val="7"/>
          <w:sz w:val="20"/>
          <w:szCs w:val="20"/>
        </w:rPr>
        <w:t>A6.4.2</w:t>
      </w:r>
      <w:r>
        <w:rPr>
          <w:rFonts w:ascii="宋体" w:hAnsi="宋体" w:eastAsia="宋体" w:cs="宋体"/>
          <w:spacing w:val="-30"/>
          <w:sz w:val="20"/>
          <w:szCs w:val="20"/>
        </w:rPr>
        <w:t xml:space="preserve"> </w:t>
      </w:r>
      <w:r>
        <w:rPr>
          <w:rFonts w:ascii="宋体" w:hAnsi="宋体" w:eastAsia="宋体" w:cs="宋体"/>
          <w:spacing w:val="7"/>
          <w:sz w:val="20"/>
          <w:szCs w:val="20"/>
        </w:rPr>
        <w:t>在任何评标环节中，需评标委员会就某项定性的评审结论做出表决的，由评标委员会</w:t>
      </w:r>
      <w:r>
        <w:rPr>
          <w:rFonts w:ascii="宋体" w:hAnsi="宋体" w:eastAsia="宋体" w:cs="宋体"/>
          <w:spacing w:val="11"/>
          <w:sz w:val="20"/>
          <w:szCs w:val="20"/>
        </w:rPr>
        <w:t>全体成员按照少数服从多数的原则，</w:t>
      </w:r>
      <w:r>
        <w:rPr>
          <w:rFonts w:ascii="宋体" w:hAnsi="宋体" w:eastAsia="宋体" w:cs="宋体"/>
          <w:spacing w:val="-59"/>
          <w:sz w:val="20"/>
          <w:szCs w:val="20"/>
        </w:rPr>
        <w:t xml:space="preserve"> </w:t>
      </w:r>
      <w:r>
        <w:rPr>
          <w:rFonts w:ascii="宋体" w:hAnsi="宋体" w:eastAsia="宋体" w:cs="宋体"/>
          <w:spacing w:val="11"/>
          <w:sz w:val="20"/>
          <w:szCs w:val="20"/>
        </w:rPr>
        <w:t>以记名投票方式表决。表决不得违</w:t>
      </w:r>
      <w:r>
        <w:rPr>
          <w:rFonts w:ascii="宋体" w:hAnsi="宋体" w:eastAsia="宋体" w:cs="宋体"/>
          <w:spacing w:val="10"/>
          <w:sz w:val="20"/>
          <w:szCs w:val="20"/>
        </w:rPr>
        <w:t>背法律、法规、规章和招</w:t>
      </w:r>
      <w:r>
        <w:rPr>
          <w:rFonts w:ascii="宋体" w:hAnsi="宋体" w:eastAsia="宋体" w:cs="宋体"/>
          <w:spacing w:val="7"/>
          <w:sz w:val="20"/>
          <w:szCs w:val="20"/>
        </w:rPr>
        <w:t>标文件的规定。</w:t>
      </w:r>
    </w:p>
    <w:p w14:paraId="07A3FD65">
      <w:pPr>
        <w:spacing w:before="7" w:line="388" w:lineRule="auto"/>
        <w:ind w:left="7" w:firstLine="518"/>
        <w:jc w:val="both"/>
        <w:rPr>
          <w:rFonts w:ascii="宋体" w:hAnsi="宋体" w:eastAsia="宋体" w:cs="宋体"/>
          <w:sz w:val="20"/>
          <w:szCs w:val="20"/>
        </w:rPr>
      </w:pPr>
      <w:r>
        <w:rPr>
          <w:rFonts w:ascii="宋体" w:hAnsi="宋体" w:eastAsia="宋体" w:cs="宋体"/>
          <w:spacing w:val="11"/>
          <w:sz w:val="20"/>
          <w:szCs w:val="20"/>
        </w:rPr>
        <w:t>A6.4.3 评标委员会成员对书面决议或评审结论持有异议的，可以书面阐述其不同意见</w:t>
      </w:r>
      <w:r>
        <w:rPr>
          <w:rFonts w:ascii="宋体" w:hAnsi="宋体" w:eastAsia="宋体" w:cs="宋体"/>
          <w:spacing w:val="10"/>
          <w:sz w:val="20"/>
          <w:szCs w:val="20"/>
        </w:rPr>
        <w:t>和理</w:t>
      </w:r>
      <w:r>
        <w:rPr>
          <w:rFonts w:ascii="宋体" w:hAnsi="宋体" w:eastAsia="宋体" w:cs="宋体"/>
          <w:spacing w:val="12"/>
          <w:sz w:val="20"/>
          <w:szCs w:val="20"/>
        </w:rPr>
        <w:t>由。拒绝在书面决议或评标报告上签名，且不陈述其不同意见和理</w:t>
      </w:r>
      <w:r>
        <w:rPr>
          <w:rFonts w:ascii="宋体" w:hAnsi="宋体" w:eastAsia="宋体" w:cs="宋体"/>
          <w:spacing w:val="11"/>
          <w:sz w:val="20"/>
          <w:szCs w:val="20"/>
        </w:rPr>
        <w:t>由的，视为同意书面决议或评</w:t>
      </w:r>
      <w:r>
        <w:rPr>
          <w:rFonts w:ascii="宋体" w:hAnsi="宋体" w:eastAsia="宋体" w:cs="宋体"/>
          <w:spacing w:val="9"/>
          <w:sz w:val="20"/>
          <w:szCs w:val="20"/>
        </w:rPr>
        <w:t>标结论，评标委员会应当对此在评标报告中做出书面说明。</w:t>
      </w:r>
    </w:p>
    <w:p w14:paraId="56551E3C">
      <w:pPr>
        <w:pStyle w:val="2"/>
        <w:spacing w:line="222" w:lineRule="auto"/>
        <w:outlineLvl w:val="2"/>
        <w:rPr>
          <w:sz w:val="24"/>
          <w:szCs w:val="24"/>
        </w:rPr>
      </w:pPr>
      <w:bookmarkStart w:id="159" w:name="bookmark143"/>
      <w:bookmarkEnd w:id="159"/>
      <w:r>
        <w:rPr>
          <w:rFonts w:ascii="Times New Roman" w:hAnsi="Times New Roman" w:eastAsia="Times New Roman" w:cs="Times New Roman"/>
          <w:spacing w:val="-1"/>
          <w:sz w:val="24"/>
          <w:szCs w:val="24"/>
        </w:rPr>
        <w:t>A7.</w:t>
      </w:r>
      <w:r>
        <w:rPr>
          <w:spacing w:val="-1"/>
          <w:sz w:val="24"/>
          <w:szCs w:val="24"/>
        </w:rPr>
        <w:t>补充条款</w:t>
      </w:r>
    </w:p>
    <w:p w14:paraId="545D4884">
      <w:pPr>
        <w:spacing w:line="279" w:lineRule="auto"/>
        <w:rPr>
          <w:rFonts w:ascii="Arial"/>
          <w:sz w:val="21"/>
        </w:rPr>
      </w:pPr>
    </w:p>
    <w:p w14:paraId="5CC8E418">
      <w:pPr>
        <w:tabs>
          <w:tab w:val="left" w:pos="3672"/>
        </w:tabs>
        <w:spacing w:before="24" w:line="173" w:lineRule="auto"/>
        <w:ind w:left="418"/>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60611560">
      <w:pPr>
        <w:spacing w:line="173" w:lineRule="auto"/>
        <w:rPr>
          <w:rFonts w:ascii="宋体" w:hAnsi="宋体" w:eastAsia="宋体" w:cs="宋体"/>
          <w:sz w:val="7"/>
          <w:szCs w:val="7"/>
        </w:rPr>
        <w:sectPr>
          <w:footerReference r:id="rId115" w:type="default"/>
          <w:pgSz w:w="11907" w:h="16840"/>
          <w:pgMar w:top="400" w:right="1531" w:bottom="1035" w:left="1475" w:header="0" w:footer="785" w:gutter="0"/>
          <w:cols w:space="720" w:num="1"/>
        </w:sectPr>
      </w:pPr>
    </w:p>
    <w:p w14:paraId="40C17686">
      <w:pPr>
        <w:spacing w:line="279" w:lineRule="auto"/>
        <w:rPr>
          <w:rFonts w:ascii="Arial"/>
          <w:sz w:val="21"/>
        </w:rPr>
      </w:pPr>
    </w:p>
    <w:p w14:paraId="2A337D5C">
      <w:pPr>
        <w:spacing w:line="279" w:lineRule="auto"/>
        <w:rPr>
          <w:rFonts w:ascii="Arial"/>
          <w:sz w:val="21"/>
        </w:rPr>
      </w:pPr>
    </w:p>
    <w:p w14:paraId="1C0F7045">
      <w:pPr>
        <w:spacing w:line="279" w:lineRule="auto"/>
        <w:rPr>
          <w:rFonts w:ascii="Arial"/>
          <w:sz w:val="21"/>
        </w:rPr>
      </w:pPr>
    </w:p>
    <w:p w14:paraId="490F3999">
      <w:pPr>
        <w:spacing w:line="279" w:lineRule="auto"/>
        <w:rPr>
          <w:rFonts w:ascii="Arial"/>
          <w:sz w:val="21"/>
        </w:rPr>
      </w:pPr>
    </w:p>
    <w:p w14:paraId="65BC5BDA">
      <w:pPr>
        <w:spacing w:line="280" w:lineRule="auto"/>
        <w:rPr>
          <w:rFonts w:ascii="Arial"/>
          <w:sz w:val="21"/>
        </w:rPr>
      </w:pPr>
    </w:p>
    <w:p w14:paraId="435862DF">
      <w:pPr>
        <w:pStyle w:val="2"/>
        <w:spacing w:before="78" w:line="222" w:lineRule="auto"/>
        <w:ind w:left="18"/>
        <w:outlineLvl w:val="1"/>
        <w:rPr>
          <w:sz w:val="24"/>
          <w:szCs w:val="24"/>
        </w:rPr>
      </w:pPr>
      <w:r>
        <w:rPr>
          <w:spacing w:val="-4"/>
          <w:sz w:val="24"/>
          <w:szCs w:val="24"/>
        </w:rPr>
        <w:t>附件</w:t>
      </w:r>
      <w:r>
        <w:rPr>
          <w:spacing w:val="-41"/>
          <w:sz w:val="24"/>
          <w:szCs w:val="24"/>
        </w:rPr>
        <w:t xml:space="preserve"> </w:t>
      </w:r>
      <w:r>
        <w:rPr>
          <w:rFonts w:ascii="Arial" w:hAnsi="Arial" w:eastAsia="Arial" w:cs="Arial"/>
          <w:spacing w:val="-4"/>
          <w:sz w:val="24"/>
          <w:szCs w:val="24"/>
        </w:rPr>
        <w:t>B:</w:t>
      </w:r>
      <w:r>
        <w:rPr>
          <w:spacing w:val="-4"/>
          <w:sz w:val="24"/>
          <w:szCs w:val="24"/>
        </w:rPr>
        <w:t>否决投标的条件</w:t>
      </w:r>
    </w:p>
    <w:p w14:paraId="72E9477C">
      <w:pPr>
        <w:spacing w:line="422" w:lineRule="auto"/>
        <w:rPr>
          <w:rFonts w:ascii="Arial"/>
          <w:sz w:val="21"/>
        </w:rPr>
      </w:pPr>
    </w:p>
    <w:p w14:paraId="398DC86F">
      <w:pPr>
        <w:pStyle w:val="2"/>
        <w:spacing w:before="91" w:line="223" w:lineRule="auto"/>
        <w:ind w:left="3472"/>
        <w:rPr>
          <w:sz w:val="28"/>
          <w:szCs w:val="28"/>
        </w:rPr>
      </w:pPr>
      <w:bookmarkStart w:id="160" w:name="bookmark144"/>
      <w:bookmarkEnd w:id="160"/>
      <w:bookmarkStart w:id="161" w:name="bookmark145"/>
      <w:bookmarkEnd w:id="161"/>
      <w:r>
        <w:rPr>
          <w:b/>
          <w:bCs/>
          <w:spacing w:val="-4"/>
          <w:sz w:val="28"/>
          <w:szCs w:val="28"/>
        </w:rPr>
        <w:t>否决投标的条件</w:t>
      </w:r>
    </w:p>
    <w:p w14:paraId="70FD2ACA">
      <w:pPr>
        <w:pStyle w:val="2"/>
        <w:spacing w:before="97" w:line="222" w:lineRule="auto"/>
        <w:outlineLvl w:val="2"/>
        <w:rPr>
          <w:sz w:val="24"/>
          <w:szCs w:val="24"/>
        </w:rPr>
      </w:pPr>
      <w:bookmarkStart w:id="162" w:name="bookmark463"/>
      <w:bookmarkEnd w:id="162"/>
      <w:r>
        <w:rPr>
          <w:rFonts w:ascii="Times New Roman" w:hAnsi="Times New Roman" w:eastAsia="Times New Roman" w:cs="Times New Roman"/>
          <w:sz w:val="24"/>
          <w:szCs w:val="24"/>
        </w:rPr>
        <w:t>B0.</w:t>
      </w:r>
      <w:r>
        <w:rPr>
          <w:sz w:val="24"/>
          <w:szCs w:val="24"/>
        </w:rPr>
        <w:t>总  则</w:t>
      </w:r>
    </w:p>
    <w:p w14:paraId="74C26BF3">
      <w:pPr>
        <w:spacing w:before="162" w:line="382" w:lineRule="auto"/>
        <w:ind w:left="5" w:right="2" w:firstLine="419"/>
        <w:jc w:val="both"/>
        <w:rPr>
          <w:rFonts w:ascii="宋体" w:hAnsi="宋体" w:eastAsia="宋体" w:cs="宋体"/>
          <w:sz w:val="20"/>
          <w:szCs w:val="20"/>
        </w:rPr>
      </w:pPr>
      <w:r>
        <w:rPr>
          <w:rFonts w:ascii="宋体" w:hAnsi="宋体" w:eastAsia="宋体" w:cs="宋体"/>
          <w:spacing w:val="11"/>
          <w:sz w:val="20"/>
          <w:szCs w:val="20"/>
        </w:rPr>
        <w:t>本附件所集中列示的否决投标的条件，是本章“评标办法</w:t>
      </w:r>
      <w:r>
        <w:rPr>
          <w:rFonts w:ascii="宋体" w:hAnsi="宋体" w:eastAsia="宋体" w:cs="宋体"/>
          <w:spacing w:val="-70"/>
          <w:sz w:val="20"/>
          <w:szCs w:val="20"/>
        </w:rPr>
        <w:t xml:space="preserve"> </w:t>
      </w:r>
      <w:r>
        <w:rPr>
          <w:rFonts w:ascii="宋体" w:hAnsi="宋体" w:eastAsia="宋体" w:cs="宋体"/>
          <w:spacing w:val="11"/>
          <w:sz w:val="20"/>
          <w:szCs w:val="20"/>
        </w:rPr>
        <w:t>”的组成部分，是对第二章“投标</w:t>
      </w:r>
      <w:r>
        <w:rPr>
          <w:rFonts w:ascii="宋体" w:hAnsi="宋体" w:eastAsia="宋体" w:cs="宋体"/>
          <w:spacing w:val="10"/>
          <w:sz w:val="20"/>
          <w:szCs w:val="20"/>
        </w:rPr>
        <w:t>人须知</w:t>
      </w:r>
      <w:r>
        <w:rPr>
          <w:rFonts w:ascii="宋体" w:hAnsi="宋体" w:eastAsia="宋体" w:cs="宋体"/>
          <w:spacing w:val="-70"/>
          <w:sz w:val="20"/>
          <w:szCs w:val="20"/>
        </w:rPr>
        <w:t xml:space="preserve"> </w:t>
      </w:r>
      <w:r>
        <w:rPr>
          <w:rFonts w:ascii="宋体" w:hAnsi="宋体" w:eastAsia="宋体" w:cs="宋体"/>
          <w:spacing w:val="10"/>
          <w:sz w:val="20"/>
          <w:szCs w:val="20"/>
        </w:rPr>
        <w:t>”和本章正文部分所规定的否决投标的条件的总结和补充，如果出现不一致的情况</w:t>
      </w:r>
      <w:r>
        <w:rPr>
          <w:rFonts w:ascii="宋体" w:hAnsi="宋体" w:eastAsia="宋体" w:cs="宋体"/>
          <w:spacing w:val="9"/>
          <w:sz w:val="20"/>
          <w:szCs w:val="20"/>
        </w:rPr>
        <w:t>，</w:t>
      </w:r>
      <w:r>
        <w:rPr>
          <w:rFonts w:ascii="宋体" w:hAnsi="宋体" w:eastAsia="宋体" w:cs="宋体"/>
          <w:spacing w:val="-59"/>
          <w:sz w:val="20"/>
          <w:szCs w:val="20"/>
        </w:rPr>
        <w:t xml:space="preserve"> </w:t>
      </w:r>
      <w:r>
        <w:rPr>
          <w:rFonts w:ascii="宋体" w:hAnsi="宋体" w:eastAsia="宋体" w:cs="宋体"/>
          <w:spacing w:val="9"/>
          <w:sz w:val="20"/>
          <w:szCs w:val="20"/>
        </w:rPr>
        <w:t>以本</w:t>
      </w:r>
      <w:r>
        <w:rPr>
          <w:rFonts w:ascii="宋体" w:hAnsi="宋体" w:eastAsia="宋体" w:cs="宋体"/>
          <w:spacing w:val="8"/>
          <w:sz w:val="20"/>
          <w:szCs w:val="20"/>
        </w:rPr>
        <w:t>章前附表和正文部分的规定为准。</w:t>
      </w:r>
    </w:p>
    <w:p w14:paraId="6C51769C">
      <w:pPr>
        <w:pStyle w:val="2"/>
        <w:spacing w:line="222" w:lineRule="auto"/>
        <w:outlineLvl w:val="2"/>
        <w:rPr>
          <w:sz w:val="24"/>
          <w:szCs w:val="24"/>
        </w:rPr>
      </w:pPr>
      <w:bookmarkStart w:id="163" w:name="bookmark146"/>
      <w:bookmarkEnd w:id="163"/>
      <w:r>
        <w:rPr>
          <w:rFonts w:ascii="Times New Roman" w:hAnsi="Times New Roman" w:eastAsia="Times New Roman" w:cs="Times New Roman"/>
          <w:spacing w:val="-1"/>
          <w:sz w:val="24"/>
          <w:szCs w:val="24"/>
        </w:rPr>
        <w:t>B1.</w:t>
      </w:r>
      <w:r>
        <w:rPr>
          <w:spacing w:val="-1"/>
          <w:sz w:val="24"/>
          <w:szCs w:val="24"/>
        </w:rPr>
        <w:t>否决投标的条件</w:t>
      </w:r>
    </w:p>
    <w:p w14:paraId="665983A6">
      <w:pPr>
        <w:spacing w:before="159" w:line="397" w:lineRule="auto"/>
        <w:ind w:left="6" w:right="2" w:firstLine="416"/>
        <w:rPr>
          <w:rFonts w:ascii="宋体" w:hAnsi="宋体" w:eastAsia="宋体" w:cs="宋体"/>
          <w:sz w:val="20"/>
          <w:szCs w:val="20"/>
        </w:rPr>
      </w:pPr>
      <w:r>
        <w:rPr>
          <w:rFonts w:ascii="宋体" w:hAnsi="宋体" w:eastAsia="宋体" w:cs="宋体"/>
          <w:spacing w:val="12"/>
          <w:sz w:val="20"/>
          <w:szCs w:val="20"/>
        </w:rPr>
        <w:t>在本标段招标投标活动中，投标人或其投标文件有下列情形之一的，评</w:t>
      </w:r>
      <w:r>
        <w:rPr>
          <w:rFonts w:ascii="宋体" w:hAnsi="宋体" w:eastAsia="宋体" w:cs="宋体"/>
          <w:spacing w:val="11"/>
          <w:sz w:val="20"/>
          <w:szCs w:val="20"/>
        </w:rPr>
        <w:t>标委员会应当否决其</w:t>
      </w:r>
      <w:r>
        <w:rPr>
          <w:rFonts w:ascii="宋体" w:hAnsi="宋体" w:eastAsia="宋体" w:cs="宋体"/>
          <w:spacing w:val="2"/>
          <w:sz w:val="20"/>
          <w:szCs w:val="20"/>
        </w:rPr>
        <w:t>投标：</w:t>
      </w:r>
    </w:p>
    <w:p w14:paraId="3C85ACC2">
      <w:pPr>
        <w:spacing w:before="1" w:line="397" w:lineRule="auto"/>
        <w:ind w:left="3" w:right="2" w:firstLine="416"/>
        <w:rPr>
          <w:rFonts w:ascii="宋体" w:hAnsi="宋体" w:eastAsia="宋体" w:cs="宋体"/>
          <w:sz w:val="20"/>
          <w:szCs w:val="20"/>
        </w:rPr>
      </w:pPr>
      <w:r>
        <w:rPr>
          <w:rFonts w:ascii="宋体" w:hAnsi="宋体" w:eastAsia="宋体" w:cs="宋体"/>
          <w:spacing w:val="11"/>
          <w:sz w:val="20"/>
          <w:szCs w:val="20"/>
        </w:rPr>
        <w:t>B1.1  在形式评审、响应性评审中，评标委员会认定投标人的投标文件不符合评标办法前附</w:t>
      </w:r>
      <w:r>
        <w:rPr>
          <w:rFonts w:ascii="宋体" w:hAnsi="宋体" w:eastAsia="宋体" w:cs="宋体"/>
          <w:spacing w:val="8"/>
          <w:sz w:val="20"/>
          <w:szCs w:val="20"/>
        </w:rPr>
        <w:t>表中规定的任何一项评审标准的。</w:t>
      </w:r>
    </w:p>
    <w:p w14:paraId="504F7B95">
      <w:pPr>
        <w:spacing w:before="1" w:line="226" w:lineRule="auto"/>
        <w:ind w:left="419"/>
        <w:rPr>
          <w:rFonts w:ascii="宋体" w:hAnsi="宋体" w:eastAsia="宋体" w:cs="宋体"/>
          <w:sz w:val="20"/>
          <w:szCs w:val="20"/>
        </w:rPr>
      </w:pPr>
      <w:r>
        <w:rPr>
          <w:rFonts w:ascii="宋体" w:hAnsi="宋体" w:eastAsia="宋体" w:cs="宋体"/>
          <w:spacing w:val="8"/>
          <w:sz w:val="20"/>
          <w:szCs w:val="20"/>
        </w:rPr>
        <w:t>B1.2  不按评标委员会要求澄清、说明或补正的。</w:t>
      </w:r>
    </w:p>
    <w:p w14:paraId="6740875A">
      <w:pPr>
        <w:spacing w:before="184" w:line="227" w:lineRule="auto"/>
        <w:ind w:left="419"/>
        <w:rPr>
          <w:rFonts w:ascii="宋体" w:hAnsi="宋体" w:eastAsia="宋体" w:cs="宋体"/>
          <w:sz w:val="20"/>
          <w:szCs w:val="20"/>
        </w:rPr>
      </w:pPr>
      <w:r>
        <w:rPr>
          <w:rFonts w:ascii="宋体" w:hAnsi="宋体" w:eastAsia="宋体" w:cs="宋体"/>
          <w:spacing w:val="8"/>
          <w:sz w:val="20"/>
          <w:szCs w:val="20"/>
        </w:rPr>
        <w:t>B1.3  有串通投标、弄虚作假、行贿或有其他违法行为的。</w:t>
      </w:r>
    </w:p>
    <w:p w14:paraId="054575B4">
      <w:pPr>
        <w:spacing w:before="191" w:line="403" w:lineRule="auto"/>
        <w:ind w:left="5" w:firstLine="413"/>
        <w:rPr>
          <w:rFonts w:ascii="宋体" w:hAnsi="宋体" w:eastAsia="宋体" w:cs="宋体"/>
          <w:sz w:val="20"/>
          <w:szCs w:val="20"/>
        </w:rPr>
      </w:pPr>
      <w:r>
        <w:rPr>
          <w:rFonts w:ascii="宋体" w:hAnsi="宋体" w:eastAsia="宋体" w:cs="宋体"/>
          <w:spacing w:val="6"/>
          <w:sz w:val="20"/>
          <w:szCs w:val="20"/>
        </w:rPr>
        <w:t>B1.4  当投标人资格条件发生变化时，其在投标文件中更新的资料，未能通过资格评审的（适</w:t>
      </w:r>
      <w:r>
        <w:rPr>
          <w:rFonts w:ascii="宋体" w:hAnsi="宋体" w:eastAsia="宋体" w:cs="宋体"/>
          <w:spacing w:val="2"/>
          <w:sz w:val="20"/>
          <w:szCs w:val="20"/>
        </w:rPr>
        <w:t>用于已进行资格预审的）。</w:t>
      </w:r>
    </w:p>
    <w:p w14:paraId="1A5712EF">
      <w:pPr>
        <w:spacing w:line="328" w:lineRule="exact"/>
        <w:ind w:left="437"/>
        <w:outlineLvl w:val="1"/>
        <w:rPr>
          <w:rFonts w:ascii="仿宋" w:hAnsi="仿宋" w:eastAsia="仿宋" w:cs="仿宋"/>
          <w:sz w:val="20"/>
          <w:szCs w:val="20"/>
        </w:rPr>
      </w:pPr>
      <w:r>
        <w:rPr>
          <w:rFonts w:ascii="仿宋" w:hAnsi="仿宋" w:eastAsia="仿宋" w:cs="仿宋"/>
          <w:spacing w:val="-3"/>
          <w:position w:val="3"/>
          <w:sz w:val="20"/>
          <w:szCs w:val="20"/>
        </w:rPr>
        <w:t>……</w:t>
      </w:r>
    </w:p>
    <w:p w14:paraId="30112A39">
      <w:pPr>
        <w:spacing w:line="328" w:lineRule="exact"/>
        <w:rPr>
          <w:rFonts w:ascii="仿宋" w:hAnsi="仿宋" w:eastAsia="仿宋" w:cs="仿宋"/>
          <w:sz w:val="20"/>
          <w:szCs w:val="20"/>
        </w:rPr>
        <w:sectPr>
          <w:footerReference r:id="rId116" w:type="default"/>
          <w:pgSz w:w="11907" w:h="16840"/>
          <w:pgMar w:top="400" w:right="1473" w:bottom="1035" w:left="1535" w:header="0" w:footer="785" w:gutter="0"/>
          <w:cols w:space="720" w:num="1"/>
        </w:sectPr>
      </w:pPr>
    </w:p>
    <w:p w14:paraId="699FD136">
      <w:pPr>
        <w:spacing w:line="404" w:lineRule="auto"/>
        <w:rPr>
          <w:rFonts w:ascii="Arial"/>
          <w:sz w:val="21"/>
        </w:rPr>
      </w:pPr>
    </w:p>
    <w:p w14:paraId="5FEDE162">
      <w:pPr>
        <w:pStyle w:val="2"/>
        <w:spacing w:before="91" w:line="224" w:lineRule="auto"/>
        <w:ind w:left="3895"/>
        <w:outlineLvl w:val="1"/>
        <w:rPr>
          <w:sz w:val="28"/>
          <w:szCs w:val="28"/>
        </w:rPr>
      </w:pPr>
      <w:bookmarkStart w:id="164" w:name="bookmark148"/>
      <w:bookmarkEnd w:id="164"/>
      <w:bookmarkStart w:id="165" w:name="bookmark147"/>
      <w:bookmarkEnd w:id="165"/>
      <w:r>
        <w:rPr>
          <w:b/>
          <w:bCs/>
          <w:spacing w:val="-6"/>
          <w:sz w:val="28"/>
          <w:szCs w:val="28"/>
        </w:rPr>
        <w:t>清标报告</w:t>
      </w:r>
    </w:p>
    <w:p w14:paraId="06583E4F">
      <w:pPr>
        <w:spacing w:line="456" w:lineRule="auto"/>
        <w:rPr>
          <w:rFonts w:ascii="Arial"/>
          <w:sz w:val="21"/>
        </w:rPr>
      </w:pPr>
    </w:p>
    <w:p w14:paraId="31586983">
      <w:pPr>
        <w:pStyle w:val="2"/>
        <w:spacing w:before="79" w:line="222" w:lineRule="auto"/>
        <w:ind w:left="2"/>
        <w:outlineLvl w:val="1"/>
        <w:rPr>
          <w:sz w:val="24"/>
          <w:szCs w:val="24"/>
        </w:rPr>
      </w:pPr>
      <w:bookmarkStart w:id="166" w:name="bookmark464"/>
      <w:bookmarkEnd w:id="166"/>
      <w:r>
        <w:rPr>
          <w:rFonts w:ascii="Times New Roman" w:hAnsi="Times New Roman" w:eastAsia="Times New Roman" w:cs="Times New Roman"/>
          <w:spacing w:val="-2"/>
          <w:sz w:val="24"/>
          <w:szCs w:val="24"/>
        </w:rPr>
        <w:t>C0.</w:t>
      </w:r>
      <w:r>
        <w:rPr>
          <w:spacing w:val="-2"/>
          <w:sz w:val="24"/>
          <w:szCs w:val="24"/>
        </w:rPr>
        <w:t>总</w:t>
      </w:r>
      <w:r>
        <w:rPr>
          <w:spacing w:val="4"/>
          <w:sz w:val="24"/>
          <w:szCs w:val="24"/>
        </w:rPr>
        <w:t xml:space="preserve">  </w:t>
      </w:r>
      <w:r>
        <w:rPr>
          <w:spacing w:val="-2"/>
          <w:sz w:val="24"/>
          <w:szCs w:val="24"/>
        </w:rPr>
        <w:t>则</w:t>
      </w:r>
    </w:p>
    <w:p w14:paraId="10E23A61">
      <w:pPr>
        <w:spacing w:before="158" w:line="349" w:lineRule="auto"/>
        <w:ind w:right="71" w:firstLine="422"/>
        <w:rPr>
          <w:rFonts w:ascii="宋体" w:hAnsi="宋体" w:eastAsia="宋体" w:cs="宋体"/>
          <w:sz w:val="20"/>
          <w:szCs w:val="20"/>
        </w:rPr>
      </w:pPr>
      <w:r>
        <w:rPr>
          <w:rFonts w:ascii="宋体" w:hAnsi="宋体" w:eastAsia="宋体" w:cs="宋体"/>
          <w:spacing w:val="11"/>
          <w:sz w:val="20"/>
          <w:szCs w:val="20"/>
        </w:rPr>
        <w:t>本附件是本章“评标办法</w:t>
      </w:r>
      <w:r>
        <w:rPr>
          <w:rFonts w:ascii="宋体" w:hAnsi="宋体" w:eastAsia="宋体" w:cs="宋体"/>
          <w:spacing w:val="-67"/>
          <w:sz w:val="20"/>
          <w:szCs w:val="20"/>
        </w:rPr>
        <w:t xml:space="preserve"> </w:t>
      </w:r>
      <w:r>
        <w:rPr>
          <w:rFonts w:ascii="宋体" w:hAnsi="宋体" w:eastAsia="宋体" w:cs="宋体"/>
          <w:spacing w:val="11"/>
          <w:sz w:val="20"/>
          <w:szCs w:val="20"/>
        </w:rPr>
        <w:t>”的组成部分，评标委员会在评标准备和初步评审阶段对</w:t>
      </w:r>
      <w:r>
        <w:rPr>
          <w:rFonts w:ascii="宋体" w:hAnsi="宋体" w:eastAsia="宋体" w:cs="宋体"/>
          <w:spacing w:val="10"/>
          <w:sz w:val="20"/>
          <w:szCs w:val="20"/>
        </w:rPr>
        <w:t>投标文件</w:t>
      </w:r>
      <w:r>
        <w:rPr>
          <w:rFonts w:ascii="宋体" w:hAnsi="宋体" w:eastAsia="宋体" w:cs="宋体"/>
          <w:spacing w:val="9"/>
          <w:sz w:val="20"/>
          <w:szCs w:val="20"/>
        </w:rPr>
        <w:t>进行基础性数据分析和整理工作（清标）时，适用本附件所规定的办法。</w:t>
      </w:r>
    </w:p>
    <w:p w14:paraId="290BFE2B">
      <w:pPr>
        <w:pStyle w:val="2"/>
        <w:spacing w:line="221" w:lineRule="auto"/>
        <w:ind w:left="2"/>
        <w:outlineLvl w:val="1"/>
        <w:rPr>
          <w:sz w:val="24"/>
          <w:szCs w:val="24"/>
        </w:rPr>
      </w:pPr>
      <w:bookmarkStart w:id="167" w:name="bookmark149"/>
      <w:bookmarkEnd w:id="167"/>
      <w:r>
        <w:rPr>
          <w:rFonts w:ascii="Times New Roman" w:hAnsi="Times New Roman" w:eastAsia="Times New Roman" w:cs="Times New Roman"/>
          <w:spacing w:val="-2"/>
          <w:sz w:val="24"/>
          <w:szCs w:val="24"/>
        </w:rPr>
        <w:t>C1.</w:t>
      </w:r>
      <w:r>
        <w:rPr>
          <w:spacing w:val="-2"/>
          <w:sz w:val="24"/>
          <w:szCs w:val="24"/>
        </w:rPr>
        <w:t>清标程序</w:t>
      </w:r>
    </w:p>
    <w:p w14:paraId="0826307A">
      <w:pPr>
        <w:spacing w:before="170" w:line="401" w:lineRule="auto"/>
        <w:ind w:left="4" w:right="70" w:firstLine="420"/>
        <w:rPr>
          <w:rFonts w:ascii="宋体" w:hAnsi="宋体" w:eastAsia="宋体" w:cs="宋体"/>
          <w:sz w:val="20"/>
          <w:szCs w:val="20"/>
        </w:rPr>
      </w:pPr>
      <w:r>
        <w:rPr>
          <w:rFonts w:ascii="宋体" w:hAnsi="宋体" w:eastAsia="宋体" w:cs="宋体"/>
          <w:spacing w:val="10"/>
          <w:sz w:val="20"/>
          <w:szCs w:val="20"/>
        </w:rPr>
        <w:t>投标人的投标文件在本章“评标办法</w:t>
      </w:r>
      <w:r>
        <w:rPr>
          <w:rFonts w:ascii="宋体" w:hAnsi="宋体" w:eastAsia="宋体" w:cs="宋体"/>
          <w:spacing w:val="-63"/>
          <w:sz w:val="20"/>
          <w:szCs w:val="20"/>
        </w:rPr>
        <w:t xml:space="preserve"> </w:t>
      </w:r>
      <w:r>
        <w:rPr>
          <w:rFonts w:ascii="宋体" w:hAnsi="宋体" w:eastAsia="宋体" w:cs="宋体"/>
          <w:spacing w:val="10"/>
          <w:sz w:val="20"/>
          <w:szCs w:val="20"/>
        </w:rPr>
        <w:t>”规定的“初步评审</w:t>
      </w:r>
      <w:r>
        <w:rPr>
          <w:rFonts w:ascii="宋体" w:hAnsi="宋体" w:eastAsia="宋体" w:cs="宋体"/>
          <w:spacing w:val="-70"/>
          <w:sz w:val="20"/>
          <w:szCs w:val="20"/>
        </w:rPr>
        <w:t xml:space="preserve"> </w:t>
      </w:r>
      <w:r>
        <w:rPr>
          <w:rFonts w:ascii="宋体" w:hAnsi="宋体" w:eastAsia="宋体" w:cs="宋体"/>
          <w:spacing w:val="10"/>
          <w:sz w:val="20"/>
          <w:szCs w:val="20"/>
        </w:rPr>
        <w:t>”阶段，不存在应当否决的情形的</w:t>
      </w:r>
      <w:r>
        <w:rPr>
          <w:rFonts w:ascii="宋体" w:hAnsi="宋体" w:eastAsia="宋体" w:cs="宋体"/>
          <w:spacing w:val="8"/>
          <w:sz w:val="20"/>
          <w:szCs w:val="20"/>
        </w:rPr>
        <w:t>投标应当进入清标程序。清标程序包括：</w:t>
      </w:r>
    </w:p>
    <w:p w14:paraId="6DEF299C">
      <w:pPr>
        <w:spacing w:line="226" w:lineRule="auto"/>
        <w:ind w:left="420"/>
        <w:rPr>
          <w:rFonts w:ascii="宋体" w:hAnsi="宋体" w:eastAsia="宋体" w:cs="宋体"/>
          <w:sz w:val="20"/>
          <w:szCs w:val="20"/>
        </w:rPr>
      </w:pPr>
      <w:r>
        <w:rPr>
          <w:rFonts w:ascii="宋体" w:hAnsi="宋体" w:eastAsia="宋体" w:cs="宋体"/>
          <w:spacing w:val="6"/>
          <w:sz w:val="20"/>
          <w:szCs w:val="20"/>
        </w:rPr>
        <w:t>C1.1</w:t>
      </w:r>
      <w:r>
        <w:rPr>
          <w:rFonts w:ascii="宋体" w:hAnsi="宋体" w:eastAsia="宋体" w:cs="宋体"/>
          <w:spacing w:val="-8"/>
          <w:sz w:val="20"/>
          <w:szCs w:val="20"/>
        </w:rPr>
        <w:t xml:space="preserve"> </w:t>
      </w:r>
      <w:r>
        <w:rPr>
          <w:rFonts w:ascii="宋体" w:hAnsi="宋体" w:eastAsia="宋体" w:cs="宋体"/>
          <w:spacing w:val="6"/>
          <w:sz w:val="20"/>
          <w:szCs w:val="20"/>
        </w:rPr>
        <w:t>已标价工程量清单符合性检查</w:t>
      </w:r>
    </w:p>
    <w:p w14:paraId="725A05B0">
      <w:pPr>
        <w:spacing w:before="158" w:line="226" w:lineRule="auto"/>
        <w:ind w:left="420"/>
        <w:rPr>
          <w:rFonts w:ascii="宋体" w:hAnsi="宋体" w:eastAsia="宋体" w:cs="宋体"/>
          <w:sz w:val="20"/>
          <w:szCs w:val="20"/>
        </w:rPr>
      </w:pPr>
      <w:r>
        <w:rPr>
          <w:rFonts w:ascii="宋体" w:hAnsi="宋体" w:eastAsia="宋体" w:cs="宋体"/>
          <w:spacing w:val="6"/>
          <w:sz w:val="20"/>
          <w:szCs w:val="20"/>
        </w:rPr>
        <w:t>C1.2</w:t>
      </w:r>
      <w:r>
        <w:rPr>
          <w:rFonts w:ascii="宋体" w:hAnsi="宋体" w:eastAsia="宋体" w:cs="宋体"/>
          <w:spacing w:val="-5"/>
          <w:sz w:val="20"/>
          <w:szCs w:val="20"/>
        </w:rPr>
        <w:t xml:space="preserve"> </w:t>
      </w:r>
      <w:r>
        <w:rPr>
          <w:rFonts w:ascii="宋体" w:hAnsi="宋体" w:eastAsia="宋体" w:cs="宋体"/>
          <w:spacing w:val="6"/>
          <w:sz w:val="20"/>
          <w:szCs w:val="20"/>
        </w:rPr>
        <w:t>已标价工程量清单算术错误修正</w:t>
      </w:r>
    </w:p>
    <w:p w14:paraId="2B0396AC">
      <w:pPr>
        <w:spacing w:before="156" w:line="226" w:lineRule="auto"/>
        <w:ind w:left="420"/>
        <w:rPr>
          <w:rFonts w:ascii="宋体" w:hAnsi="宋体" w:eastAsia="宋体" w:cs="宋体"/>
          <w:sz w:val="20"/>
          <w:szCs w:val="20"/>
        </w:rPr>
      </w:pPr>
      <w:r>
        <w:rPr>
          <w:rFonts w:ascii="宋体" w:hAnsi="宋体" w:eastAsia="宋体" w:cs="宋体"/>
          <w:spacing w:val="6"/>
          <w:sz w:val="20"/>
          <w:szCs w:val="20"/>
        </w:rPr>
        <w:t>C1.3</w:t>
      </w:r>
      <w:r>
        <w:rPr>
          <w:rFonts w:ascii="宋体" w:hAnsi="宋体" w:eastAsia="宋体" w:cs="宋体"/>
          <w:spacing w:val="-8"/>
          <w:sz w:val="20"/>
          <w:szCs w:val="20"/>
        </w:rPr>
        <w:t xml:space="preserve"> </w:t>
      </w:r>
      <w:r>
        <w:rPr>
          <w:rFonts w:ascii="宋体" w:hAnsi="宋体" w:eastAsia="宋体" w:cs="宋体"/>
          <w:spacing w:val="6"/>
          <w:sz w:val="20"/>
          <w:szCs w:val="20"/>
        </w:rPr>
        <w:t>已标价工程量清单合理性分析</w:t>
      </w:r>
    </w:p>
    <w:p w14:paraId="1F9965D5">
      <w:pPr>
        <w:pStyle w:val="2"/>
        <w:spacing w:before="110" w:line="222" w:lineRule="auto"/>
        <w:ind w:left="2"/>
        <w:outlineLvl w:val="1"/>
        <w:rPr>
          <w:sz w:val="24"/>
          <w:szCs w:val="24"/>
        </w:rPr>
      </w:pPr>
      <w:bookmarkStart w:id="168" w:name="bookmark150"/>
      <w:bookmarkEnd w:id="168"/>
      <w:r>
        <w:rPr>
          <w:rFonts w:ascii="Times New Roman" w:hAnsi="Times New Roman" w:eastAsia="Times New Roman" w:cs="Times New Roman"/>
          <w:spacing w:val="-2"/>
          <w:sz w:val="24"/>
          <w:szCs w:val="24"/>
        </w:rPr>
        <w:t>C2.</w:t>
      </w:r>
      <w:r>
        <w:rPr>
          <w:spacing w:val="-2"/>
          <w:sz w:val="24"/>
          <w:szCs w:val="24"/>
        </w:rPr>
        <w:t>清标内容</w:t>
      </w:r>
    </w:p>
    <w:p w14:paraId="5CF2CCA3">
      <w:pPr>
        <w:spacing w:before="157" w:line="365" w:lineRule="auto"/>
        <w:ind w:left="5" w:right="68" w:firstLine="415"/>
        <w:jc w:val="both"/>
        <w:rPr>
          <w:rFonts w:ascii="宋体" w:hAnsi="宋体" w:eastAsia="宋体" w:cs="宋体"/>
          <w:sz w:val="20"/>
          <w:szCs w:val="20"/>
        </w:rPr>
      </w:pPr>
      <w:r>
        <w:rPr>
          <w:rFonts w:ascii="宋体" w:hAnsi="宋体" w:eastAsia="宋体" w:cs="宋体"/>
          <w:spacing w:val="12"/>
          <w:sz w:val="20"/>
          <w:szCs w:val="20"/>
        </w:rPr>
        <w:t>评标委员会在不改变投标人投标文件实质性内容的前提下，对投标文件</w:t>
      </w:r>
      <w:r>
        <w:rPr>
          <w:rFonts w:ascii="宋体" w:hAnsi="宋体" w:eastAsia="宋体" w:cs="宋体"/>
          <w:spacing w:val="11"/>
          <w:sz w:val="20"/>
          <w:szCs w:val="20"/>
        </w:rPr>
        <w:t>已标价工程量清单进</w:t>
      </w:r>
      <w:r>
        <w:rPr>
          <w:rFonts w:ascii="宋体" w:hAnsi="宋体" w:eastAsia="宋体" w:cs="宋体"/>
          <w:spacing w:val="12"/>
          <w:sz w:val="20"/>
          <w:szCs w:val="20"/>
        </w:rPr>
        <w:t>行符合性检查、算术错误修正，对其报价进行合理性分析，并</w:t>
      </w:r>
      <w:r>
        <w:rPr>
          <w:rFonts w:ascii="宋体" w:hAnsi="宋体" w:eastAsia="宋体" w:cs="宋体"/>
          <w:spacing w:val="11"/>
          <w:sz w:val="20"/>
          <w:szCs w:val="20"/>
        </w:rPr>
        <w:t>形成清标报告。清标报告应当包括</w:t>
      </w:r>
      <w:r>
        <w:rPr>
          <w:rFonts w:ascii="宋体" w:hAnsi="宋体" w:eastAsia="宋体" w:cs="宋体"/>
          <w:spacing w:val="5"/>
          <w:sz w:val="20"/>
          <w:szCs w:val="20"/>
        </w:rPr>
        <w:t>以下内容：</w:t>
      </w:r>
    </w:p>
    <w:p w14:paraId="710D07AD">
      <w:pPr>
        <w:pStyle w:val="2"/>
        <w:spacing w:before="1" w:line="229" w:lineRule="auto"/>
        <w:ind w:left="414"/>
        <w:outlineLvl w:val="2"/>
        <w:rPr>
          <w:sz w:val="20"/>
          <w:szCs w:val="20"/>
        </w:rPr>
      </w:pPr>
      <w:bookmarkStart w:id="169" w:name="bookmark151"/>
      <w:bookmarkEnd w:id="169"/>
      <w:r>
        <w:rPr>
          <w:rFonts w:ascii="Times New Roman" w:hAnsi="Times New Roman" w:eastAsia="Times New Roman" w:cs="Times New Roman"/>
          <w:b/>
          <w:bCs/>
          <w:spacing w:val="5"/>
          <w:sz w:val="20"/>
          <w:szCs w:val="20"/>
        </w:rPr>
        <w:t>C2.1</w:t>
      </w:r>
      <w:r>
        <w:rPr>
          <w:rFonts w:ascii="Times New Roman" w:hAnsi="Times New Roman" w:eastAsia="Times New Roman" w:cs="Times New Roman"/>
          <w:b/>
          <w:bCs/>
          <w:spacing w:val="37"/>
          <w:w w:val="101"/>
          <w:sz w:val="20"/>
          <w:szCs w:val="20"/>
        </w:rPr>
        <w:t xml:space="preserve"> </w:t>
      </w:r>
      <w:r>
        <w:rPr>
          <w:b/>
          <w:bCs/>
          <w:spacing w:val="5"/>
          <w:sz w:val="20"/>
          <w:szCs w:val="20"/>
        </w:rPr>
        <w:t>已标价工程量清单符合性检查</w:t>
      </w:r>
    </w:p>
    <w:p w14:paraId="5466284B">
      <w:pPr>
        <w:spacing w:before="171" w:line="371" w:lineRule="auto"/>
        <w:ind w:left="6" w:right="103" w:firstLine="437"/>
        <w:rPr>
          <w:rFonts w:ascii="宋体" w:hAnsi="宋体" w:eastAsia="宋体" w:cs="宋体"/>
          <w:sz w:val="20"/>
          <w:szCs w:val="20"/>
        </w:rPr>
      </w:pPr>
      <w:r>
        <w:rPr>
          <w:rFonts w:ascii="宋体" w:hAnsi="宋体" w:eastAsia="宋体" w:cs="宋体"/>
          <w:spacing w:val="10"/>
          <w:sz w:val="20"/>
          <w:szCs w:val="20"/>
        </w:rPr>
        <w:t>已标价工程量清单符合性检查主要是检查各投标人编制的已标价工程量清单编制的规范性。</w:t>
      </w:r>
      <w:r>
        <w:rPr>
          <w:rFonts w:ascii="宋体" w:hAnsi="宋体" w:eastAsia="宋体" w:cs="宋体"/>
          <w:spacing w:val="11"/>
          <w:sz w:val="20"/>
          <w:szCs w:val="20"/>
        </w:rPr>
        <w:t>并用使用附表C-1至附表</w:t>
      </w:r>
      <w:r>
        <w:rPr>
          <w:rFonts w:ascii="宋体" w:hAnsi="宋体" w:eastAsia="宋体" w:cs="宋体"/>
          <w:spacing w:val="-29"/>
          <w:sz w:val="20"/>
          <w:szCs w:val="20"/>
        </w:rPr>
        <w:t xml:space="preserve"> </w:t>
      </w:r>
      <w:r>
        <w:rPr>
          <w:rFonts w:ascii="宋体" w:hAnsi="宋体" w:eastAsia="宋体" w:cs="宋体"/>
          <w:spacing w:val="11"/>
          <w:sz w:val="20"/>
          <w:szCs w:val="20"/>
        </w:rPr>
        <w:t>C-6</w:t>
      </w:r>
      <w:r>
        <w:rPr>
          <w:rFonts w:ascii="宋体" w:hAnsi="宋体" w:eastAsia="宋体" w:cs="宋体"/>
          <w:spacing w:val="-41"/>
          <w:sz w:val="20"/>
          <w:szCs w:val="20"/>
        </w:rPr>
        <w:t xml:space="preserve"> </w:t>
      </w:r>
      <w:r>
        <w:rPr>
          <w:rFonts w:ascii="宋体" w:hAnsi="宋体" w:eastAsia="宋体" w:cs="宋体"/>
          <w:spacing w:val="11"/>
          <w:sz w:val="20"/>
          <w:szCs w:val="20"/>
        </w:rPr>
        <w:t>记录检查结果。</w:t>
      </w:r>
    </w:p>
    <w:p w14:paraId="5420C868">
      <w:pPr>
        <w:spacing w:before="1" w:line="226" w:lineRule="auto"/>
        <w:ind w:left="420"/>
        <w:rPr>
          <w:rFonts w:ascii="宋体" w:hAnsi="宋体" w:eastAsia="宋体" w:cs="宋体"/>
          <w:sz w:val="20"/>
          <w:szCs w:val="20"/>
        </w:rPr>
      </w:pPr>
      <w:r>
        <w:rPr>
          <w:rFonts w:ascii="宋体" w:hAnsi="宋体" w:eastAsia="宋体" w:cs="宋体"/>
          <w:spacing w:val="7"/>
          <w:sz w:val="20"/>
          <w:szCs w:val="20"/>
        </w:rPr>
        <w:t>C2.1.1</w:t>
      </w:r>
      <w:r>
        <w:rPr>
          <w:rFonts w:ascii="宋体" w:hAnsi="宋体" w:eastAsia="宋体" w:cs="宋体"/>
          <w:spacing w:val="-21"/>
          <w:sz w:val="20"/>
          <w:szCs w:val="20"/>
        </w:rPr>
        <w:t xml:space="preserve"> </w:t>
      </w:r>
      <w:r>
        <w:rPr>
          <w:rFonts w:ascii="宋体" w:hAnsi="宋体" w:eastAsia="宋体" w:cs="宋体"/>
          <w:spacing w:val="7"/>
          <w:sz w:val="20"/>
          <w:szCs w:val="20"/>
        </w:rPr>
        <w:t>分部分项工程和单价措施项目符合性检查：</w:t>
      </w:r>
    </w:p>
    <w:p w14:paraId="77F37B36">
      <w:pPr>
        <w:spacing w:before="158" w:line="371" w:lineRule="auto"/>
        <w:ind w:right="68" w:firstLine="436"/>
        <w:jc w:val="both"/>
        <w:rPr>
          <w:rFonts w:ascii="宋体" w:hAnsi="宋体" w:eastAsia="宋体" w:cs="宋体"/>
          <w:sz w:val="20"/>
          <w:szCs w:val="20"/>
        </w:rPr>
      </w:pPr>
      <w:r>
        <w:rPr>
          <w:rFonts w:ascii="宋体" w:hAnsi="宋体" w:eastAsia="宋体" w:cs="宋体"/>
          <w:spacing w:val="17"/>
          <w:sz w:val="20"/>
          <w:szCs w:val="20"/>
        </w:rPr>
        <w:t>即检查各投标人已标价的工程量清单中分部分项工程和单价措施项目是否存</w:t>
      </w:r>
      <w:r>
        <w:rPr>
          <w:rFonts w:ascii="宋体" w:hAnsi="宋体" w:eastAsia="宋体" w:cs="宋体"/>
          <w:spacing w:val="16"/>
          <w:sz w:val="20"/>
          <w:szCs w:val="20"/>
        </w:rPr>
        <w:t>在项目编码错</w:t>
      </w:r>
      <w:r>
        <w:rPr>
          <w:rFonts w:ascii="宋体" w:hAnsi="宋体" w:eastAsia="宋体" w:cs="宋体"/>
          <w:spacing w:val="12"/>
          <w:sz w:val="20"/>
          <w:szCs w:val="20"/>
        </w:rPr>
        <w:t>误、项目名称错误、项目特征描述错误、计量单位错误、工程量错</w:t>
      </w:r>
      <w:r>
        <w:rPr>
          <w:rFonts w:ascii="宋体" w:hAnsi="宋体" w:eastAsia="宋体" w:cs="宋体"/>
          <w:spacing w:val="11"/>
          <w:sz w:val="20"/>
          <w:szCs w:val="20"/>
        </w:rPr>
        <w:t>误，是否存在未填报、多填报</w:t>
      </w:r>
      <w:r>
        <w:rPr>
          <w:rFonts w:ascii="宋体" w:hAnsi="宋体" w:eastAsia="宋体" w:cs="宋体"/>
          <w:spacing w:val="12"/>
          <w:sz w:val="20"/>
          <w:szCs w:val="20"/>
        </w:rPr>
        <w:t>的项目，已标价清单中相应材料、设备材料设备与材料（工程设</w:t>
      </w:r>
      <w:r>
        <w:rPr>
          <w:rFonts w:ascii="宋体" w:hAnsi="宋体" w:eastAsia="宋体" w:cs="宋体"/>
          <w:spacing w:val="11"/>
          <w:sz w:val="20"/>
          <w:szCs w:val="20"/>
        </w:rPr>
        <w:t>备）暂估或发包人提供材料和工</w:t>
      </w:r>
      <w:r>
        <w:rPr>
          <w:rFonts w:ascii="宋体" w:hAnsi="宋体" w:eastAsia="宋体" w:cs="宋体"/>
          <w:spacing w:val="8"/>
          <w:sz w:val="20"/>
          <w:szCs w:val="20"/>
        </w:rPr>
        <w:t>程设备单价是否一致。</w:t>
      </w:r>
    </w:p>
    <w:p w14:paraId="4DBB7737">
      <w:pPr>
        <w:spacing w:line="226" w:lineRule="auto"/>
        <w:ind w:left="420"/>
        <w:rPr>
          <w:rFonts w:ascii="宋体" w:hAnsi="宋体" w:eastAsia="宋体" w:cs="宋体"/>
          <w:sz w:val="20"/>
          <w:szCs w:val="20"/>
        </w:rPr>
      </w:pPr>
      <w:r>
        <w:rPr>
          <w:rFonts w:ascii="宋体" w:hAnsi="宋体" w:eastAsia="宋体" w:cs="宋体"/>
          <w:spacing w:val="6"/>
          <w:sz w:val="20"/>
          <w:szCs w:val="20"/>
        </w:rPr>
        <w:t>C2.1.2</w:t>
      </w:r>
      <w:r>
        <w:rPr>
          <w:rFonts w:ascii="宋体" w:hAnsi="宋体" w:eastAsia="宋体" w:cs="宋体"/>
          <w:spacing w:val="-25"/>
          <w:sz w:val="20"/>
          <w:szCs w:val="20"/>
        </w:rPr>
        <w:t xml:space="preserve"> </w:t>
      </w:r>
      <w:r>
        <w:rPr>
          <w:rFonts w:ascii="宋体" w:hAnsi="宋体" w:eastAsia="宋体" w:cs="宋体"/>
          <w:spacing w:val="6"/>
          <w:sz w:val="20"/>
          <w:szCs w:val="20"/>
        </w:rPr>
        <w:t>总价措施项目符合性检查：</w:t>
      </w:r>
    </w:p>
    <w:p w14:paraId="6074FAF6">
      <w:pPr>
        <w:spacing w:before="156" w:line="371" w:lineRule="auto"/>
        <w:ind w:left="1" w:firstLine="435"/>
        <w:rPr>
          <w:rFonts w:ascii="宋体" w:hAnsi="宋体" w:eastAsia="宋体" w:cs="宋体"/>
          <w:sz w:val="20"/>
          <w:szCs w:val="20"/>
        </w:rPr>
      </w:pPr>
      <w:r>
        <w:rPr>
          <w:rFonts w:ascii="宋体" w:hAnsi="宋体" w:eastAsia="宋体" w:cs="宋体"/>
          <w:spacing w:val="8"/>
          <w:sz w:val="20"/>
          <w:szCs w:val="20"/>
        </w:rPr>
        <w:t>即检查各投标人已标价的工程量清单中总价措施项目是否存在项目编码错误、项目名称</w:t>
      </w:r>
      <w:r>
        <w:rPr>
          <w:rFonts w:ascii="宋体" w:hAnsi="宋体" w:eastAsia="宋体" w:cs="宋体"/>
          <w:spacing w:val="7"/>
          <w:sz w:val="20"/>
          <w:szCs w:val="20"/>
        </w:rPr>
        <w:t>错误、</w:t>
      </w:r>
      <w:r>
        <w:rPr>
          <w:rFonts w:ascii="宋体" w:hAnsi="宋体" w:eastAsia="宋体" w:cs="宋体"/>
          <w:spacing w:val="9"/>
          <w:sz w:val="20"/>
          <w:szCs w:val="20"/>
        </w:rPr>
        <w:t>计算基础错误、安全文明施工费的取费费率错误。</w:t>
      </w:r>
    </w:p>
    <w:p w14:paraId="394C2569">
      <w:pPr>
        <w:spacing w:before="1" w:line="227" w:lineRule="auto"/>
        <w:ind w:left="420"/>
        <w:rPr>
          <w:rFonts w:ascii="宋体" w:hAnsi="宋体" w:eastAsia="宋体" w:cs="宋体"/>
          <w:sz w:val="20"/>
          <w:szCs w:val="20"/>
        </w:rPr>
      </w:pPr>
      <w:r>
        <w:rPr>
          <w:rFonts w:ascii="宋体" w:hAnsi="宋体" w:eastAsia="宋体" w:cs="宋体"/>
          <w:spacing w:val="6"/>
          <w:sz w:val="20"/>
          <w:szCs w:val="20"/>
        </w:rPr>
        <w:t>C2.1.3</w:t>
      </w:r>
      <w:r>
        <w:rPr>
          <w:rFonts w:ascii="宋体" w:hAnsi="宋体" w:eastAsia="宋体" w:cs="宋体"/>
          <w:spacing w:val="-27"/>
          <w:sz w:val="20"/>
          <w:szCs w:val="20"/>
        </w:rPr>
        <w:t xml:space="preserve"> </w:t>
      </w:r>
      <w:r>
        <w:rPr>
          <w:rFonts w:ascii="宋体" w:hAnsi="宋体" w:eastAsia="宋体" w:cs="宋体"/>
          <w:spacing w:val="6"/>
          <w:sz w:val="20"/>
          <w:szCs w:val="20"/>
        </w:rPr>
        <w:t>其他项目符合性检查</w:t>
      </w:r>
    </w:p>
    <w:p w14:paraId="409AAC10">
      <w:pPr>
        <w:spacing w:before="157" w:line="226" w:lineRule="auto"/>
        <w:ind w:left="437"/>
        <w:rPr>
          <w:rFonts w:ascii="宋体" w:hAnsi="宋体" w:eastAsia="宋体" w:cs="宋体"/>
          <w:sz w:val="20"/>
          <w:szCs w:val="20"/>
        </w:rPr>
      </w:pPr>
      <w:r>
        <w:rPr>
          <w:rFonts w:ascii="宋体" w:hAnsi="宋体" w:eastAsia="宋体" w:cs="宋体"/>
          <w:spacing w:val="9"/>
          <w:sz w:val="20"/>
          <w:szCs w:val="20"/>
        </w:rPr>
        <w:t>即检查各投标人已标价的工程量清单中其他项目是否存在项目名称错误、金额错误。包括：</w:t>
      </w:r>
    </w:p>
    <w:p w14:paraId="6F1CFC1B">
      <w:pPr>
        <w:spacing w:before="154" w:line="374" w:lineRule="auto"/>
        <w:ind w:left="3" w:right="71" w:firstLine="418"/>
        <w:rPr>
          <w:rFonts w:ascii="宋体" w:hAnsi="宋体" w:eastAsia="宋体" w:cs="宋体"/>
          <w:sz w:val="20"/>
          <w:szCs w:val="20"/>
        </w:rPr>
      </w:pPr>
      <w:r>
        <w:rPr>
          <w:rFonts w:ascii="宋体" w:hAnsi="宋体" w:eastAsia="宋体" w:cs="宋体"/>
          <w:spacing w:val="12"/>
          <w:sz w:val="20"/>
          <w:szCs w:val="20"/>
        </w:rPr>
        <w:t>检查暂列金额是否存在项目名称错误、计量单位错误、暂定金额错</w:t>
      </w:r>
      <w:r>
        <w:rPr>
          <w:rFonts w:ascii="宋体" w:hAnsi="宋体" w:eastAsia="宋体" w:cs="宋体"/>
          <w:spacing w:val="11"/>
          <w:sz w:val="20"/>
          <w:szCs w:val="20"/>
        </w:rPr>
        <w:t>误、是否存在未填报、多</w:t>
      </w:r>
      <w:r>
        <w:rPr>
          <w:rFonts w:ascii="宋体" w:hAnsi="宋体" w:eastAsia="宋体" w:cs="宋体"/>
          <w:spacing w:val="6"/>
          <w:sz w:val="20"/>
          <w:szCs w:val="20"/>
        </w:rPr>
        <w:t>填报的项目。</w:t>
      </w:r>
    </w:p>
    <w:p w14:paraId="2F38C0A9">
      <w:pPr>
        <w:spacing w:line="374" w:lineRule="auto"/>
        <w:rPr>
          <w:rFonts w:ascii="宋体" w:hAnsi="宋体" w:eastAsia="宋体" w:cs="宋体"/>
          <w:sz w:val="20"/>
          <w:szCs w:val="20"/>
        </w:rPr>
        <w:sectPr>
          <w:headerReference r:id="rId117" w:type="default"/>
          <w:footerReference r:id="rId118" w:type="default"/>
          <w:pgSz w:w="11907" w:h="16840"/>
          <w:pgMar w:top="2189" w:right="1405" w:bottom="1035" w:left="1537" w:header="1820" w:footer="785" w:gutter="0"/>
          <w:cols w:space="720" w:num="1"/>
        </w:sectPr>
      </w:pPr>
    </w:p>
    <w:p w14:paraId="66F3779C">
      <w:pPr>
        <w:spacing w:line="255" w:lineRule="auto"/>
        <w:rPr>
          <w:rFonts w:ascii="Arial"/>
          <w:sz w:val="21"/>
        </w:rPr>
      </w:pPr>
    </w:p>
    <w:p w14:paraId="236CB130">
      <w:pPr>
        <w:spacing w:line="255" w:lineRule="auto"/>
        <w:rPr>
          <w:rFonts w:ascii="Arial"/>
          <w:sz w:val="21"/>
        </w:rPr>
      </w:pPr>
    </w:p>
    <w:p w14:paraId="3CFD7133">
      <w:pPr>
        <w:spacing w:line="255" w:lineRule="auto"/>
        <w:rPr>
          <w:rFonts w:ascii="Arial"/>
          <w:sz w:val="21"/>
        </w:rPr>
      </w:pPr>
    </w:p>
    <w:p w14:paraId="6DBE509F">
      <w:pPr>
        <w:spacing w:line="255" w:lineRule="auto"/>
        <w:rPr>
          <w:rFonts w:ascii="Arial"/>
          <w:sz w:val="21"/>
        </w:rPr>
      </w:pPr>
    </w:p>
    <w:p w14:paraId="232837E5">
      <w:pPr>
        <w:spacing w:line="255" w:lineRule="auto"/>
        <w:rPr>
          <w:rFonts w:ascii="Arial"/>
          <w:sz w:val="21"/>
        </w:rPr>
      </w:pPr>
    </w:p>
    <w:p w14:paraId="1FD18926">
      <w:pPr>
        <w:spacing w:before="65" w:line="371" w:lineRule="auto"/>
        <w:ind w:left="3" w:right="16" w:firstLine="418"/>
        <w:rPr>
          <w:rFonts w:ascii="宋体" w:hAnsi="宋体" w:eastAsia="宋体" w:cs="宋体"/>
          <w:sz w:val="20"/>
          <w:szCs w:val="20"/>
        </w:rPr>
      </w:pPr>
      <w:r>
        <w:rPr>
          <w:rFonts w:ascii="宋体" w:hAnsi="宋体" w:eastAsia="宋体" w:cs="宋体"/>
          <w:spacing w:val="8"/>
          <w:sz w:val="20"/>
          <w:szCs w:val="20"/>
        </w:rPr>
        <w:t>检查材料（工程设备）暂估价是否存在材料（设备）名称、规格、型号错误、计量单位错误、</w:t>
      </w:r>
      <w:r>
        <w:rPr>
          <w:rFonts w:ascii="宋体" w:hAnsi="宋体" w:eastAsia="宋体" w:cs="宋体"/>
          <w:spacing w:val="9"/>
          <w:sz w:val="20"/>
          <w:szCs w:val="20"/>
        </w:rPr>
        <w:t>数量错误、暂估单价错误，是否存在未填报、多填报的项目。</w:t>
      </w:r>
    </w:p>
    <w:p w14:paraId="45037860">
      <w:pPr>
        <w:spacing w:line="371" w:lineRule="auto"/>
        <w:ind w:right="87" w:firstLine="421"/>
        <w:rPr>
          <w:rFonts w:ascii="宋体" w:hAnsi="宋体" w:eastAsia="宋体" w:cs="宋体"/>
          <w:sz w:val="20"/>
          <w:szCs w:val="20"/>
        </w:rPr>
      </w:pPr>
      <w:r>
        <w:rPr>
          <w:rFonts w:ascii="宋体" w:hAnsi="宋体" w:eastAsia="宋体" w:cs="宋体"/>
          <w:spacing w:val="12"/>
          <w:sz w:val="20"/>
          <w:szCs w:val="20"/>
        </w:rPr>
        <w:t>检查专业工程暂估价是否存在工程名称错误、工程内容错误、暂估金</w:t>
      </w:r>
      <w:r>
        <w:rPr>
          <w:rFonts w:ascii="宋体" w:hAnsi="宋体" w:eastAsia="宋体" w:cs="宋体"/>
          <w:spacing w:val="11"/>
          <w:sz w:val="20"/>
          <w:szCs w:val="20"/>
        </w:rPr>
        <w:t>额错误，是否存在未填</w:t>
      </w:r>
      <w:r>
        <w:rPr>
          <w:rFonts w:ascii="宋体" w:hAnsi="宋体" w:eastAsia="宋体" w:cs="宋体"/>
          <w:spacing w:val="7"/>
          <w:sz w:val="20"/>
          <w:szCs w:val="20"/>
        </w:rPr>
        <w:t>报、多填报的项目。</w:t>
      </w:r>
    </w:p>
    <w:p w14:paraId="136DAE58">
      <w:pPr>
        <w:spacing w:line="227" w:lineRule="auto"/>
        <w:ind w:left="421"/>
        <w:rPr>
          <w:rFonts w:ascii="宋体" w:hAnsi="宋体" w:eastAsia="宋体" w:cs="宋体"/>
          <w:sz w:val="20"/>
          <w:szCs w:val="20"/>
        </w:rPr>
      </w:pPr>
      <w:r>
        <w:rPr>
          <w:rFonts w:ascii="宋体" w:hAnsi="宋体" w:eastAsia="宋体" w:cs="宋体"/>
          <w:spacing w:val="9"/>
          <w:sz w:val="20"/>
          <w:szCs w:val="20"/>
        </w:rPr>
        <w:t>检查计日工是否存在项目名称错误、暂定数量错误，是否存在未填报、多填报的项目。</w:t>
      </w:r>
    </w:p>
    <w:p w14:paraId="0CD3EC10">
      <w:pPr>
        <w:spacing w:before="156" w:line="371" w:lineRule="auto"/>
        <w:ind w:left="5" w:right="138" w:firstLine="416"/>
        <w:rPr>
          <w:rFonts w:ascii="宋体" w:hAnsi="宋体" w:eastAsia="宋体" w:cs="宋体"/>
          <w:sz w:val="20"/>
          <w:szCs w:val="20"/>
        </w:rPr>
      </w:pPr>
      <w:r>
        <w:rPr>
          <w:rFonts w:ascii="宋体" w:hAnsi="宋体" w:eastAsia="宋体" w:cs="宋体"/>
          <w:spacing w:val="11"/>
          <w:sz w:val="20"/>
          <w:szCs w:val="20"/>
        </w:rPr>
        <w:t>检查总承包服务费是否存在项目名称错误、</w:t>
      </w:r>
      <w:r>
        <w:rPr>
          <w:rFonts w:ascii="宋体" w:hAnsi="宋体" w:eastAsia="宋体" w:cs="宋体"/>
          <w:spacing w:val="10"/>
          <w:sz w:val="20"/>
          <w:szCs w:val="20"/>
        </w:rPr>
        <w:t>项目价值错误、服务内容错误、计算基础错误，</w:t>
      </w:r>
      <w:r>
        <w:rPr>
          <w:rFonts w:ascii="宋体" w:hAnsi="宋体" w:eastAsia="宋体" w:cs="宋体"/>
          <w:spacing w:val="8"/>
          <w:sz w:val="20"/>
          <w:szCs w:val="20"/>
        </w:rPr>
        <w:t>是否存在未填报、多填报的项目。</w:t>
      </w:r>
    </w:p>
    <w:p w14:paraId="3D1A5F02">
      <w:pPr>
        <w:spacing w:before="1" w:line="227" w:lineRule="auto"/>
        <w:ind w:left="420"/>
        <w:rPr>
          <w:rFonts w:ascii="宋体" w:hAnsi="宋体" w:eastAsia="宋体" w:cs="宋体"/>
          <w:sz w:val="20"/>
          <w:szCs w:val="20"/>
        </w:rPr>
      </w:pPr>
      <w:r>
        <w:rPr>
          <w:rFonts w:ascii="宋体" w:hAnsi="宋体" w:eastAsia="宋体" w:cs="宋体"/>
          <w:spacing w:val="7"/>
          <w:sz w:val="20"/>
          <w:szCs w:val="20"/>
        </w:rPr>
        <w:t>C2.1.4</w:t>
      </w:r>
      <w:r>
        <w:rPr>
          <w:rFonts w:ascii="宋体" w:hAnsi="宋体" w:eastAsia="宋体" w:cs="宋体"/>
          <w:spacing w:val="-35"/>
          <w:sz w:val="20"/>
          <w:szCs w:val="20"/>
        </w:rPr>
        <w:t xml:space="preserve"> </w:t>
      </w:r>
      <w:r>
        <w:rPr>
          <w:rFonts w:ascii="宋体" w:hAnsi="宋体" w:eastAsia="宋体" w:cs="宋体"/>
          <w:spacing w:val="7"/>
          <w:sz w:val="20"/>
          <w:szCs w:val="20"/>
        </w:rPr>
        <w:t>规费、税金项目符合性检查</w:t>
      </w:r>
    </w:p>
    <w:p w14:paraId="75C03AB6">
      <w:pPr>
        <w:spacing w:before="155" w:line="371" w:lineRule="auto"/>
        <w:ind w:left="4" w:right="32" w:firstLine="432"/>
        <w:rPr>
          <w:rFonts w:ascii="宋体" w:hAnsi="宋体" w:eastAsia="宋体" w:cs="宋体"/>
          <w:sz w:val="20"/>
          <w:szCs w:val="20"/>
        </w:rPr>
      </w:pPr>
      <w:r>
        <w:rPr>
          <w:rFonts w:ascii="宋体" w:hAnsi="宋体" w:eastAsia="宋体" w:cs="宋体"/>
          <w:spacing w:val="11"/>
          <w:sz w:val="20"/>
          <w:szCs w:val="20"/>
        </w:rPr>
        <w:t>即检查各投标人已标价的工程量清单中规费、税金项目是否存在项目名称错误、计税方法错</w:t>
      </w:r>
      <w:r>
        <w:rPr>
          <w:rFonts w:ascii="宋体" w:hAnsi="宋体" w:eastAsia="宋体" w:cs="宋体"/>
          <w:spacing w:val="5"/>
          <w:sz w:val="20"/>
          <w:szCs w:val="20"/>
        </w:rPr>
        <w:t>误、计算基础错误、计算基数错误、费率（%）错误。（税金</w:t>
      </w:r>
      <w:r>
        <w:rPr>
          <w:rFonts w:ascii="宋体" w:hAnsi="宋体" w:eastAsia="宋体" w:cs="宋体"/>
          <w:spacing w:val="4"/>
          <w:sz w:val="20"/>
          <w:szCs w:val="20"/>
        </w:rPr>
        <w:t>定义见第五章工程量清单第</w:t>
      </w:r>
      <w:r>
        <w:rPr>
          <w:rFonts w:ascii="宋体" w:hAnsi="宋体" w:eastAsia="宋体" w:cs="宋体"/>
          <w:spacing w:val="-32"/>
          <w:sz w:val="20"/>
          <w:szCs w:val="20"/>
        </w:rPr>
        <w:t xml:space="preserve"> </w:t>
      </w:r>
      <w:r>
        <w:rPr>
          <w:rFonts w:ascii="宋体" w:hAnsi="宋体" w:eastAsia="宋体" w:cs="宋体"/>
          <w:spacing w:val="4"/>
          <w:sz w:val="20"/>
          <w:szCs w:val="20"/>
        </w:rPr>
        <w:t>3.1.8</w:t>
      </w:r>
      <w:r>
        <w:rPr>
          <w:rFonts w:ascii="宋体" w:hAnsi="宋体" w:eastAsia="宋体" w:cs="宋体"/>
          <w:spacing w:val="-37"/>
          <w:sz w:val="20"/>
          <w:szCs w:val="20"/>
        </w:rPr>
        <w:t xml:space="preserve"> </w:t>
      </w:r>
      <w:r>
        <w:rPr>
          <w:rFonts w:ascii="宋体" w:hAnsi="宋体" w:eastAsia="宋体" w:cs="宋体"/>
          <w:spacing w:val="4"/>
          <w:sz w:val="20"/>
          <w:szCs w:val="20"/>
        </w:rPr>
        <w:t>项，</w:t>
      </w:r>
      <w:r>
        <w:rPr>
          <w:rFonts w:ascii="宋体" w:hAnsi="宋体" w:eastAsia="宋体" w:cs="宋体"/>
          <w:spacing w:val="2"/>
          <w:sz w:val="20"/>
          <w:szCs w:val="20"/>
        </w:rPr>
        <w:t>下同）</w:t>
      </w:r>
    </w:p>
    <w:p w14:paraId="641D0770">
      <w:pPr>
        <w:spacing w:before="1" w:line="226" w:lineRule="auto"/>
        <w:ind w:left="420"/>
        <w:rPr>
          <w:rFonts w:ascii="宋体" w:hAnsi="宋体" w:eastAsia="宋体" w:cs="宋体"/>
          <w:sz w:val="20"/>
          <w:szCs w:val="20"/>
        </w:rPr>
      </w:pPr>
      <w:r>
        <w:rPr>
          <w:rFonts w:ascii="宋体" w:hAnsi="宋体" w:eastAsia="宋体" w:cs="宋体"/>
          <w:spacing w:val="7"/>
          <w:sz w:val="20"/>
          <w:szCs w:val="20"/>
        </w:rPr>
        <w:t>C2.1.5</w:t>
      </w:r>
      <w:r>
        <w:rPr>
          <w:rFonts w:ascii="宋体" w:hAnsi="宋体" w:eastAsia="宋体" w:cs="宋体"/>
          <w:spacing w:val="-18"/>
          <w:sz w:val="20"/>
          <w:szCs w:val="20"/>
        </w:rPr>
        <w:t xml:space="preserve"> </w:t>
      </w:r>
      <w:r>
        <w:rPr>
          <w:rFonts w:ascii="宋体" w:hAnsi="宋体" w:eastAsia="宋体" w:cs="宋体"/>
          <w:spacing w:val="7"/>
          <w:sz w:val="20"/>
          <w:szCs w:val="20"/>
        </w:rPr>
        <w:t>发包人提供材料和工程设备符合性检查</w:t>
      </w:r>
    </w:p>
    <w:p w14:paraId="11A4F789">
      <w:pPr>
        <w:spacing w:before="156" w:line="371" w:lineRule="auto"/>
        <w:ind w:left="4" w:firstLine="432"/>
        <w:rPr>
          <w:rFonts w:ascii="宋体" w:hAnsi="宋体" w:eastAsia="宋体" w:cs="宋体"/>
          <w:sz w:val="20"/>
          <w:szCs w:val="20"/>
        </w:rPr>
      </w:pPr>
      <w:r>
        <w:rPr>
          <w:rFonts w:ascii="宋体" w:hAnsi="宋体" w:eastAsia="宋体" w:cs="宋体"/>
          <w:spacing w:val="8"/>
          <w:sz w:val="20"/>
          <w:szCs w:val="20"/>
        </w:rPr>
        <w:t>即检查各投标人已标价的工程量清单中发包人提供材料和工程设备是否存在材料（工程设备）</w:t>
      </w:r>
      <w:r>
        <w:rPr>
          <w:rFonts w:ascii="宋体" w:hAnsi="宋体" w:eastAsia="宋体" w:cs="宋体"/>
          <w:spacing w:val="9"/>
          <w:sz w:val="20"/>
          <w:szCs w:val="20"/>
        </w:rPr>
        <w:t>名称、规格、型号错误、单位错误、数量错误、单价错误。</w:t>
      </w:r>
    </w:p>
    <w:p w14:paraId="706B4163">
      <w:pPr>
        <w:spacing w:line="227" w:lineRule="auto"/>
        <w:ind w:left="420"/>
        <w:rPr>
          <w:rFonts w:ascii="宋体" w:hAnsi="宋体" w:eastAsia="宋体" w:cs="宋体"/>
          <w:sz w:val="20"/>
          <w:szCs w:val="20"/>
        </w:rPr>
      </w:pPr>
      <w:r>
        <w:rPr>
          <w:rFonts w:ascii="宋体" w:hAnsi="宋体" w:eastAsia="宋体" w:cs="宋体"/>
          <w:spacing w:val="5"/>
          <w:sz w:val="20"/>
          <w:szCs w:val="20"/>
        </w:rPr>
        <w:t>C2.1.6</w:t>
      </w:r>
      <w:r>
        <w:rPr>
          <w:rFonts w:ascii="宋体" w:hAnsi="宋体" w:eastAsia="宋体" w:cs="宋体"/>
          <w:spacing w:val="-29"/>
          <w:sz w:val="20"/>
          <w:szCs w:val="20"/>
        </w:rPr>
        <w:t xml:space="preserve"> </w:t>
      </w:r>
      <w:r>
        <w:rPr>
          <w:rFonts w:ascii="宋体" w:hAnsi="宋体" w:eastAsia="宋体" w:cs="宋体"/>
          <w:spacing w:val="5"/>
          <w:sz w:val="20"/>
          <w:szCs w:val="20"/>
        </w:rPr>
        <w:t>算术错误检查</w:t>
      </w:r>
    </w:p>
    <w:p w14:paraId="671D0579">
      <w:pPr>
        <w:spacing w:before="157" w:line="226" w:lineRule="auto"/>
        <w:ind w:left="542"/>
        <w:rPr>
          <w:rFonts w:ascii="宋体" w:hAnsi="宋体" w:eastAsia="宋体" w:cs="宋体"/>
          <w:sz w:val="20"/>
          <w:szCs w:val="20"/>
        </w:rPr>
      </w:pPr>
      <w:r>
        <w:rPr>
          <w:rFonts w:ascii="宋体" w:hAnsi="宋体" w:eastAsia="宋体" w:cs="宋体"/>
          <w:spacing w:val="9"/>
          <w:sz w:val="20"/>
          <w:szCs w:val="20"/>
        </w:rPr>
        <w:t>即检查各投标人已标价的工程量清单相应表格中是否存在算术错误，并标示错误类型。</w:t>
      </w:r>
    </w:p>
    <w:p w14:paraId="21D28F38">
      <w:pPr>
        <w:pStyle w:val="2"/>
        <w:spacing w:before="137" w:line="230" w:lineRule="auto"/>
        <w:ind w:left="414"/>
        <w:outlineLvl w:val="2"/>
        <w:rPr>
          <w:sz w:val="20"/>
          <w:szCs w:val="20"/>
        </w:rPr>
      </w:pPr>
      <w:bookmarkStart w:id="170" w:name="bookmark152"/>
      <w:bookmarkEnd w:id="170"/>
      <w:r>
        <w:rPr>
          <w:rFonts w:ascii="Times New Roman" w:hAnsi="Times New Roman" w:eastAsia="Times New Roman" w:cs="Times New Roman"/>
          <w:b/>
          <w:bCs/>
          <w:spacing w:val="6"/>
          <w:sz w:val="20"/>
          <w:szCs w:val="20"/>
        </w:rPr>
        <w:t>C2.2</w:t>
      </w:r>
      <w:r>
        <w:rPr>
          <w:rFonts w:ascii="Times New Roman" w:hAnsi="Times New Roman" w:eastAsia="Times New Roman" w:cs="Times New Roman"/>
          <w:b/>
          <w:bCs/>
          <w:spacing w:val="24"/>
          <w:sz w:val="20"/>
          <w:szCs w:val="20"/>
        </w:rPr>
        <w:t xml:space="preserve"> </w:t>
      </w:r>
      <w:r>
        <w:rPr>
          <w:b/>
          <w:bCs/>
          <w:spacing w:val="6"/>
          <w:sz w:val="20"/>
          <w:szCs w:val="20"/>
        </w:rPr>
        <w:t>已标价工程量清单算术错误修正</w:t>
      </w:r>
    </w:p>
    <w:p w14:paraId="605E394B">
      <w:pPr>
        <w:spacing w:before="169" w:line="371" w:lineRule="auto"/>
        <w:ind w:left="5" w:right="16" w:firstLine="415"/>
        <w:jc w:val="both"/>
        <w:rPr>
          <w:rFonts w:ascii="宋体" w:hAnsi="宋体" w:eastAsia="宋体" w:cs="宋体"/>
          <w:sz w:val="20"/>
          <w:szCs w:val="20"/>
        </w:rPr>
      </w:pPr>
      <w:r>
        <w:rPr>
          <w:rFonts w:ascii="宋体" w:hAnsi="宋体" w:eastAsia="宋体" w:cs="宋体"/>
          <w:spacing w:val="7"/>
          <w:sz w:val="20"/>
          <w:szCs w:val="20"/>
        </w:rPr>
        <w:t>评标委员会对已标价工程量清单中存在算术错误和错误类型进行逐项分析，根据本章第</w:t>
      </w:r>
      <w:r>
        <w:rPr>
          <w:rFonts w:ascii="宋体" w:hAnsi="宋体" w:eastAsia="宋体" w:cs="宋体"/>
          <w:spacing w:val="-29"/>
          <w:sz w:val="20"/>
          <w:szCs w:val="20"/>
        </w:rPr>
        <w:t xml:space="preserve"> </w:t>
      </w:r>
      <w:r>
        <w:rPr>
          <w:rFonts w:ascii="宋体" w:hAnsi="宋体" w:eastAsia="宋体" w:cs="宋体"/>
          <w:spacing w:val="7"/>
          <w:sz w:val="20"/>
          <w:szCs w:val="20"/>
        </w:rPr>
        <w:t>3.1.3</w:t>
      </w:r>
      <w:r>
        <w:rPr>
          <w:rFonts w:ascii="宋体" w:hAnsi="宋体" w:eastAsia="宋体" w:cs="宋体"/>
          <w:spacing w:val="6"/>
          <w:sz w:val="20"/>
          <w:szCs w:val="20"/>
        </w:rPr>
        <w:t>项规定的原则，对投标报价中的算术错误进行修正，按附表C-7、C-8</w:t>
      </w:r>
      <w:r>
        <w:rPr>
          <w:rFonts w:ascii="宋体" w:hAnsi="宋体" w:eastAsia="宋体" w:cs="宋体"/>
          <w:spacing w:val="-19"/>
          <w:sz w:val="20"/>
          <w:szCs w:val="20"/>
        </w:rPr>
        <w:t xml:space="preserve"> </w:t>
      </w:r>
      <w:r>
        <w:rPr>
          <w:rFonts w:ascii="宋体" w:hAnsi="宋体" w:eastAsia="宋体" w:cs="宋体"/>
          <w:spacing w:val="6"/>
          <w:sz w:val="20"/>
          <w:szCs w:val="20"/>
        </w:rPr>
        <w:t>的格式记录分析和修正结果。</w:t>
      </w:r>
      <w:r>
        <w:rPr>
          <w:rFonts w:ascii="宋体" w:hAnsi="宋体" w:eastAsia="宋体" w:cs="宋体"/>
          <w:spacing w:val="9"/>
          <w:sz w:val="20"/>
          <w:szCs w:val="20"/>
        </w:rPr>
        <w:t>并按修正后的价格修正投标人已标价工程量清单相应表格，并计算其修正后的投标报价。</w:t>
      </w:r>
    </w:p>
    <w:p w14:paraId="0603474A">
      <w:pPr>
        <w:spacing w:before="1" w:line="226" w:lineRule="auto"/>
        <w:ind w:left="421"/>
        <w:rPr>
          <w:rFonts w:ascii="宋体" w:hAnsi="宋体" w:eastAsia="宋体" w:cs="宋体"/>
          <w:sz w:val="20"/>
          <w:szCs w:val="20"/>
        </w:rPr>
      </w:pPr>
      <w:r>
        <w:rPr>
          <w:rFonts w:ascii="宋体" w:hAnsi="宋体" w:eastAsia="宋体" w:cs="宋体"/>
          <w:spacing w:val="11"/>
          <w:sz w:val="20"/>
          <w:szCs w:val="20"/>
        </w:rPr>
        <w:t>修正后的投标报价应按本章第A2.5</w:t>
      </w:r>
      <w:r>
        <w:rPr>
          <w:rFonts w:ascii="宋体" w:hAnsi="宋体" w:eastAsia="宋体" w:cs="宋体"/>
          <w:spacing w:val="-39"/>
          <w:sz w:val="20"/>
          <w:szCs w:val="20"/>
        </w:rPr>
        <w:t xml:space="preserve"> </w:t>
      </w:r>
      <w:r>
        <w:rPr>
          <w:rFonts w:ascii="宋体" w:hAnsi="宋体" w:eastAsia="宋体" w:cs="宋体"/>
          <w:spacing w:val="11"/>
          <w:sz w:val="20"/>
          <w:szCs w:val="20"/>
        </w:rPr>
        <w:t>款的澄清程序和第A3.</w:t>
      </w:r>
      <w:r>
        <w:rPr>
          <w:rFonts w:ascii="宋体" w:hAnsi="宋体" w:eastAsia="宋体" w:cs="宋体"/>
          <w:spacing w:val="10"/>
          <w:sz w:val="20"/>
          <w:szCs w:val="20"/>
        </w:rPr>
        <w:t>5</w:t>
      </w:r>
      <w:r>
        <w:rPr>
          <w:rFonts w:ascii="宋体" w:hAnsi="宋体" w:eastAsia="宋体" w:cs="宋体"/>
          <w:spacing w:val="-40"/>
          <w:sz w:val="20"/>
          <w:szCs w:val="20"/>
        </w:rPr>
        <w:t xml:space="preserve"> </w:t>
      </w:r>
      <w:r>
        <w:rPr>
          <w:rFonts w:ascii="宋体" w:hAnsi="宋体" w:eastAsia="宋体" w:cs="宋体"/>
          <w:spacing w:val="10"/>
          <w:sz w:val="20"/>
          <w:szCs w:val="20"/>
        </w:rPr>
        <w:t>款的要求通知投标人书面确认。</w:t>
      </w:r>
    </w:p>
    <w:p w14:paraId="7F92035D">
      <w:pPr>
        <w:pStyle w:val="2"/>
        <w:spacing w:before="136" w:line="230" w:lineRule="auto"/>
        <w:ind w:left="414"/>
        <w:outlineLvl w:val="2"/>
        <w:rPr>
          <w:sz w:val="20"/>
          <w:szCs w:val="20"/>
        </w:rPr>
      </w:pPr>
      <w:bookmarkStart w:id="171" w:name="bookmark153"/>
      <w:bookmarkEnd w:id="171"/>
      <w:r>
        <w:rPr>
          <w:rFonts w:ascii="Times New Roman" w:hAnsi="Times New Roman" w:eastAsia="Times New Roman" w:cs="Times New Roman"/>
          <w:b/>
          <w:bCs/>
          <w:spacing w:val="5"/>
          <w:sz w:val="20"/>
          <w:szCs w:val="20"/>
        </w:rPr>
        <w:t>C2.3</w:t>
      </w:r>
      <w:r>
        <w:rPr>
          <w:rFonts w:ascii="Times New Roman" w:hAnsi="Times New Roman" w:eastAsia="Times New Roman" w:cs="Times New Roman"/>
          <w:b/>
          <w:bCs/>
          <w:spacing w:val="33"/>
          <w:w w:val="101"/>
          <w:sz w:val="20"/>
          <w:szCs w:val="20"/>
        </w:rPr>
        <w:t xml:space="preserve"> </w:t>
      </w:r>
      <w:r>
        <w:rPr>
          <w:b/>
          <w:bCs/>
          <w:spacing w:val="5"/>
          <w:sz w:val="20"/>
          <w:szCs w:val="20"/>
        </w:rPr>
        <w:t>已标价工程量清单偏差分析</w:t>
      </w:r>
    </w:p>
    <w:p w14:paraId="62126EC9">
      <w:pPr>
        <w:spacing w:before="173" w:line="371" w:lineRule="auto"/>
        <w:ind w:left="2" w:right="86" w:firstLine="419"/>
        <w:jc w:val="both"/>
        <w:rPr>
          <w:rFonts w:ascii="宋体" w:hAnsi="宋体" w:eastAsia="宋体" w:cs="宋体"/>
          <w:sz w:val="20"/>
          <w:szCs w:val="20"/>
        </w:rPr>
      </w:pPr>
      <w:r>
        <w:rPr>
          <w:rFonts w:ascii="宋体" w:hAnsi="宋体" w:eastAsia="宋体" w:cs="宋体"/>
          <w:spacing w:val="10"/>
          <w:sz w:val="20"/>
          <w:szCs w:val="20"/>
        </w:rPr>
        <w:t>根据本章第A3.5</w:t>
      </w:r>
      <w:r>
        <w:rPr>
          <w:rFonts w:ascii="宋体" w:hAnsi="宋体" w:eastAsia="宋体" w:cs="宋体"/>
          <w:spacing w:val="-39"/>
          <w:sz w:val="20"/>
          <w:szCs w:val="20"/>
        </w:rPr>
        <w:t xml:space="preserve"> </w:t>
      </w:r>
      <w:r>
        <w:rPr>
          <w:rFonts w:ascii="宋体" w:hAnsi="宋体" w:eastAsia="宋体" w:cs="宋体"/>
          <w:spacing w:val="10"/>
          <w:sz w:val="20"/>
          <w:szCs w:val="20"/>
        </w:rPr>
        <w:t>款完成各投标人已标价工程量清单算术错误修正后</w:t>
      </w:r>
      <w:r>
        <w:rPr>
          <w:rFonts w:ascii="宋体" w:hAnsi="宋体" w:eastAsia="宋体" w:cs="宋体"/>
          <w:spacing w:val="9"/>
          <w:sz w:val="20"/>
          <w:szCs w:val="20"/>
        </w:rPr>
        <w:t>，以算术错误修正后的已标价工程量清单为基础，对各投标人已标价工程量清单综合单价进行偏差分析。并用使</w:t>
      </w:r>
      <w:r>
        <w:rPr>
          <w:rFonts w:ascii="宋体" w:hAnsi="宋体" w:eastAsia="宋体" w:cs="宋体"/>
          <w:spacing w:val="8"/>
          <w:sz w:val="20"/>
          <w:szCs w:val="20"/>
        </w:rPr>
        <w:t>用附表C-9</w:t>
      </w:r>
      <w:r>
        <w:rPr>
          <w:rFonts w:ascii="宋体" w:hAnsi="宋体" w:eastAsia="宋体" w:cs="宋体"/>
          <w:spacing w:val="5"/>
          <w:sz w:val="20"/>
          <w:szCs w:val="20"/>
        </w:rPr>
        <w:t>至附表</w:t>
      </w:r>
      <w:r>
        <w:rPr>
          <w:rFonts w:ascii="宋体" w:hAnsi="宋体" w:eastAsia="宋体" w:cs="宋体"/>
          <w:spacing w:val="-37"/>
          <w:sz w:val="20"/>
          <w:szCs w:val="20"/>
        </w:rPr>
        <w:t xml:space="preserve"> </w:t>
      </w:r>
      <w:r>
        <w:rPr>
          <w:rFonts w:ascii="宋体" w:hAnsi="宋体" w:eastAsia="宋体" w:cs="宋体"/>
          <w:spacing w:val="5"/>
          <w:sz w:val="20"/>
          <w:szCs w:val="20"/>
        </w:rPr>
        <w:t>C-13</w:t>
      </w:r>
      <w:r>
        <w:rPr>
          <w:rFonts w:ascii="宋体" w:hAnsi="宋体" w:eastAsia="宋体" w:cs="宋体"/>
          <w:spacing w:val="-41"/>
          <w:sz w:val="20"/>
          <w:szCs w:val="20"/>
        </w:rPr>
        <w:t xml:space="preserve"> </w:t>
      </w:r>
      <w:r>
        <w:rPr>
          <w:rFonts w:ascii="宋体" w:hAnsi="宋体" w:eastAsia="宋体" w:cs="宋体"/>
          <w:spacing w:val="5"/>
          <w:sz w:val="20"/>
          <w:szCs w:val="20"/>
        </w:rPr>
        <w:t>记录结果。</w:t>
      </w:r>
    </w:p>
    <w:p w14:paraId="132B175D">
      <w:pPr>
        <w:spacing w:line="226" w:lineRule="auto"/>
        <w:ind w:left="437"/>
        <w:rPr>
          <w:rFonts w:ascii="宋体" w:hAnsi="宋体" w:eastAsia="宋体" w:cs="宋体"/>
          <w:sz w:val="20"/>
          <w:szCs w:val="20"/>
        </w:rPr>
      </w:pPr>
      <w:r>
        <w:rPr>
          <w:rFonts w:ascii="宋体" w:hAnsi="宋体" w:eastAsia="宋体" w:cs="宋体"/>
          <w:spacing w:val="8"/>
          <w:sz w:val="20"/>
          <w:szCs w:val="20"/>
        </w:rPr>
        <w:t>1）分部分项工程和单价措施项目清单价格分析记录表</w:t>
      </w:r>
    </w:p>
    <w:p w14:paraId="2A678049">
      <w:pPr>
        <w:spacing w:before="155" w:line="372" w:lineRule="auto"/>
        <w:ind w:right="84" w:firstLine="423"/>
        <w:rPr>
          <w:rFonts w:ascii="宋体" w:hAnsi="宋体" w:eastAsia="宋体" w:cs="宋体"/>
          <w:sz w:val="20"/>
          <w:szCs w:val="20"/>
        </w:rPr>
      </w:pPr>
      <w:r>
        <w:rPr>
          <w:rFonts w:ascii="宋体" w:hAnsi="宋体" w:eastAsia="宋体" w:cs="宋体"/>
          <w:spacing w:val="12"/>
          <w:sz w:val="20"/>
          <w:szCs w:val="20"/>
        </w:rPr>
        <w:t>投标人已标价工程量清单的分部分项工程和单价措施项目与招标控</w:t>
      </w:r>
      <w:r>
        <w:rPr>
          <w:rFonts w:ascii="宋体" w:hAnsi="宋体" w:eastAsia="宋体" w:cs="宋体"/>
          <w:spacing w:val="11"/>
          <w:sz w:val="20"/>
          <w:szCs w:val="20"/>
        </w:rPr>
        <w:t>制价相应项目对比，综合</w:t>
      </w:r>
      <w:r>
        <w:rPr>
          <w:rFonts w:ascii="宋体" w:hAnsi="宋体" w:eastAsia="宋体" w:cs="宋体"/>
          <w:spacing w:val="7"/>
          <w:sz w:val="20"/>
          <w:szCs w:val="20"/>
        </w:rPr>
        <w:t>单价高于招标控制价相应项目</w:t>
      </w:r>
      <w:r>
        <w:rPr>
          <w:rFonts w:ascii="宋体" w:hAnsi="宋体" w:eastAsia="宋体" w:cs="宋体"/>
          <w:spacing w:val="-15"/>
          <w:sz w:val="20"/>
          <w:szCs w:val="20"/>
        </w:rPr>
        <w:t xml:space="preserve"> </w:t>
      </w:r>
      <w:r>
        <w:rPr>
          <w:rFonts w:ascii="宋体" w:hAnsi="宋体" w:eastAsia="宋体" w:cs="宋体"/>
          <w:spacing w:val="7"/>
          <w:sz w:val="20"/>
          <w:szCs w:val="20"/>
        </w:rPr>
        <w:t>10%以上或低于招标控制价相应项目（房建、安装、仿古、桥梁、隧</w:t>
      </w:r>
      <w:r>
        <w:rPr>
          <w:rFonts w:ascii="宋体" w:hAnsi="宋体" w:eastAsia="宋体" w:cs="宋体"/>
          <w:spacing w:val="8"/>
          <w:sz w:val="20"/>
          <w:szCs w:val="20"/>
        </w:rPr>
        <w:t>道</w:t>
      </w:r>
      <w:r>
        <w:rPr>
          <w:rFonts w:ascii="宋体" w:hAnsi="宋体" w:eastAsia="宋体" w:cs="宋体"/>
          <w:spacing w:val="-35"/>
          <w:sz w:val="20"/>
          <w:szCs w:val="20"/>
        </w:rPr>
        <w:t xml:space="preserve"> </w:t>
      </w:r>
      <w:r>
        <w:rPr>
          <w:rFonts w:ascii="宋体" w:hAnsi="宋体" w:eastAsia="宋体" w:cs="宋体"/>
          <w:spacing w:val="8"/>
          <w:sz w:val="20"/>
          <w:szCs w:val="20"/>
        </w:rPr>
        <w:t>20%；装饰、园林</w:t>
      </w:r>
      <w:r>
        <w:rPr>
          <w:rFonts w:ascii="宋体" w:hAnsi="宋体" w:eastAsia="宋体" w:cs="宋体"/>
          <w:spacing w:val="-35"/>
          <w:sz w:val="20"/>
          <w:szCs w:val="20"/>
        </w:rPr>
        <w:t xml:space="preserve"> </w:t>
      </w:r>
      <w:r>
        <w:rPr>
          <w:rFonts w:ascii="宋体" w:hAnsi="宋体" w:eastAsia="宋体" w:cs="宋体"/>
          <w:spacing w:val="8"/>
          <w:sz w:val="20"/>
          <w:szCs w:val="20"/>
        </w:rPr>
        <w:t>25%以上；市政（不含桥梁、隧道）、单独土石方、绿化低于招标控制价相应</w:t>
      </w:r>
      <w:r>
        <w:rPr>
          <w:rFonts w:ascii="宋体" w:hAnsi="宋体" w:eastAsia="宋体" w:cs="宋体"/>
          <w:spacing w:val="10"/>
          <w:sz w:val="20"/>
          <w:szCs w:val="20"/>
        </w:rPr>
        <w:t>项目</w:t>
      </w:r>
      <w:r>
        <w:rPr>
          <w:rFonts w:ascii="宋体" w:hAnsi="宋体" w:eastAsia="宋体" w:cs="宋体"/>
          <w:spacing w:val="-32"/>
          <w:sz w:val="20"/>
          <w:szCs w:val="20"/>
        </w:rPr>
        <w:t xml:space="preserve"> </w:t>
      </w:r>
      <w:r>
        <w:rPr>
          <w:rFonts w:ascii="宋体" w:hAnsi="宋体" w:eastAsia="宋体" w:cs="宋体"/>
          <w:spacing w:val="10"/>
          <w:sz w:val="20"/>
          <w:szCs w:val="20"/>
        </w:rPr>
        <w:t>35%以上</w:t>
      </w:r>
      <w:r>
        <w:rPr>
          <w:rFonts w:ascii="宋体" w:hAnsi="宋体" w:eastAsia="宋体" w:cs="宋体"/>
          <w:spacing w:val="-33"/>
          <w:sz w:val="20"/>
          <w:szCs w:val="20"/>
        </w:rPr>
        <w:t>）；</w:t>
      </w:r>
      <w:r>
        <w:rPr>
          <w:rFonts w:ascii="宋体" w:hAnsi="宋体" w:eastAsia="宋体" w:cs="宋体"/>
          <w:spacing w:val="10"/>
          <w:sz w:val="20"/>
          <w:szCs w:val="20"/>
        </w:rPr>
        <w:t>或者主要材料单价高于招标控制价相</w:t>
      </w:r>
      <w:r>
        <w:rPr>
          <w:rFonts w:ascii="宋体" w:hAnsi="宋体" w:eastAsia="宋体" w:cs="宋体"/>
          <w:spacing w:val="9"/>
          <w:sz w:val="20"/>
          <w:szCs w:val="20"/>
        </w:rPr>
        <w:t>应材料单价</w:t>
      </w:r>
      <w:r>
        <w:rPr>
          <w:rFonts w:ascii="宋体" w:hAnsi="宋体" w:eastAsia="宋体" w:cs="宋体"/>
          <w:spacing w:val="-22"/>
          <w:sz w:val="20"/>
          <w:szCs w:val="20"/>
        </w:rPr>
        <w:t xml:space="preserve"> </w:t>
      </w:r>
      <w:r>
        <w:rPr>
          <w:rFonts w:ascii="宋体" w:hAnsi="宋体" w:eastAsia="宋体" w:cs="宋体"/>
          <w:spacing w:val="9"/>
          <w:sz w:val="20"/>
          <w:szCs w:val="20"/>
        </w:rPr>
        <w:t>10%以上或低于招标控制价相应</w:t>
      </w:r>
      <w:r>
        <w:rPr>
          <w:rFonts w:ascii="宋体" w:hAnsi="宋体" w:eastAsia="宋体" w:cs="宋体"/>
          <w:spacing w:val="8"/>
          <w:sz w:val="20"/>
          <w:szCs w:val="20"/>
        </w:rPr>
        <w:t>材料单价</w:t>
      </w:r>
      <w:r>
        <w:rPr>
          <w:rFonts w:ascii="宋体" w:hAnsi="宋体" w:eastAsia="宋体" w:cs="宋体"/>
          <w:spacing w:val="-34"/>
          <w:sz w:val="20"/>
          <w:szCs w:val="20"/>
        </w:rPr>
        <w:t xml:space="preserve"> </w:t>
      </w:r>
      <w:r>
        <w:rPr>
          <w:rFonts w:ascii="宋体" w:hAnsi="宋体" w:eastAsia="宋体" w:cs="宋体"/>
          <w:spacing w:val="8"/>
          <w:sz w:val="20"/>
          <w:szCs w:val="20"/>
        </w:rPr>
        <w:t>25%以上，其中钢材、沥青、砼或水泥材料单价低于招标控制价</w:t>
      </w:r>
      <w:r>
        <w:rPr>
          <w:rFonts w:ascii="宋体" w:hAnsi="宋体" w:eastAsia="宋体" w:cs="宋体"/>
          <w:spacing w:val="7"/>
          <w:sz w:val="20"/>
          <w:szCs w:val="20"/>
        </w:rPr>
        <w:t>相应材料单价</w:t>
      </w:r>
      <w:r>
        <w:rPr>
          <w:rFonts w:ascii="宋体" w:hAnsi="宋体" w:eastAsia="宋体" w:cs="宋体"/>
          <w:spacing w:val="-21"/>
          <w:sz w:val="20"/>
          <w:szCs w:val="20"/>
        </w:rPr>
        <w:t xml:space="preserve"> </w:t>
      </w:r>
      <w:r>
        <w:rPr>
          <w:rFonts w:ascii="宋体" w:hAnsi="宋体" w:eastAsia="宋体" w:cs="宋体"/>
          <w:spacing w:val="7"/>
          <w:sz w:val="20"/>
          <w:szCs w:val="20"/>
        </w:rPr>
        <w:t>10%以上，</w:t>
      </w:r>
      <w:r>
        <w:rPr>
          <w:rFonts w:ascii="宋体" w:hAnsi="宋体" w:eastAsia="宋体" w:cs="宋体"/>
          <w:spacing w:val="9"/>
          <w:sz w:val="20"/>
          <w:szCs w:val="20"/>
        </w:rPr>
        <w:t>予以记录。综合单价的企业管理费和利润小于等于0；或者所报的主要材料消耗量低于工程量清单</w:t>
      </w:r>
      <w:r>
        <w:rPr>
          <w:rFonts w:ascii="宋体" w:hAnsi="宋体" w:eastAsia="宋体" w:cs="宋体"/>
          <w:spacing w:val="8"/>
          <w:sz w:val="20"/>
          <w:szCs w:val="20"/>
        </w:rPr>
        <w:t>实体量的，予以记录。</w:t>
      </w:r>
    </w:p>
    <w:p w14:paraId="762E94F9">
      <w:pPr>
        <w:spacing w:line="372" w:lineRule="auto"/>
        <w:rPr>
          <w:rFonts w:ascii="宋体" w:hAnsi="宋体" w:eastAsia="宋体" w:cs="宋体"/>
          <w:sz w:val="20"/>
          <w:szCs w:val="20"/>
        </w:rPr>
        <w:sectPr>
          <w:headerReference r:id="rId119" w:type="default"/>
          <w:footerReference r:id="rId120" w:type="default"/>
          <w:pgSz w:w="11907" w:h="16840"/>
          <w:pgMar w:top="400" w:right="1389" w:bottom="1035" w:left="1537" w:header="0" w:footer="785" w:gutter="0"/>
          <w:cols w:space="720" w:num="1"/>
        </w:sectPr>
      </w:pPr>
    </w:p>
    <w:p w14:paraId="3FE6F4D3">
      <w:pPr>
        <w:spacing w:line="255" w:lineRule="auto"/>
        <w:rPr>
          <w:rFonts w:ascii="Arial"/>
          <w:sz w:val="21"/>
        </w:rPr>
      </w:pPr>
    </w:p>
    <w:p w14:paraId="51BB7EA3">
      <w:pPr>
        <w:spacing w:line="255" w:lineRule="auto"/>
        <w:rPr>
          <w:rFonts w:ascii="Arial"/>
          <w:sz w:val="21"/>
        </w:rPr>
      </w:pPr>
    </w:p>
    <w:p w14:paraId="71AD4BCA">
      <w:pPr>
        <w:spacing w:line="255" w:lineRule="auto"/>
        <w:rPr>
          <w:rFonts w:ascii="Arial"/>
          <w:sz w:val="21"/>
        </w:rPr>
      </w:pPr>
    </w:p>
    <w:p w14:paraId="7E037C97">
      <w:pPr>
        <w:spacing w:line="255" w:lineRule="auto"/>
        <w:rPr>
          <w:rFonts w:ascii="Arial"/>
          <w:sz w:val="21"/>
        </w:rPr>
      </w:pPr>
    </w:p>
    <w:p w14:paraId="74D9742D">
      <w:pPr>
        <w:spacing w:line="255" w:lineRule="auto"/>
        <w:rPr>
          <w:rFonts w:ascii="Arial"/>
          <w:sz w:val="21"/>
        </w:rPr>
      </w:pPr>
    </w:p>
    <w:p w14:paraId="2EA51160">
      <w:pPr>
        <w:spacing w:before="65" w:line="226" w:lineRule="auto"/>
        <w:ind w:left="423"/>
        <w:rPr>
          <w:rFonts w:ascii="宋体" w:hAnsi="宋体" w:eastAsia="宋体" w:cs="宋体"/>
          <w:sz w:val="20"/>
          <w:szCs w:val="20"/>
        </w:rPr>
      </w:pPr>
      <w:r>
        <w:rPr>
          <w:rFonts w:ascii="宋体" w:hAnsi="宋体" w:eastAsia="宋体" w:cs="宋体"/>
          <w:spacing w:val="8"/>
          <w:sz w:val="20"/>
          <w:szCs w:val="20"/>
        </w:rPr>
        <w:t>2）总价措施项目清单价格分析记录表</w:t>
      </w:r>
    </w:p>
    <w:p w14:paraId="0A9F9BDD">
      <w:pPr>
        <w:spacing w:before="157" w:line="371" w:lineRule="auto"/>
        <w:ind w:right="23" w:firstLine="423"/>
        <w:rPr>
          <w:rFonts w:ascii="宋体" w:hAnsi="宋体" w:eastAsia="宋体" w:cs="宋体"/>
          <w:sz w:val="20"/>
          <w:szCs w:val="20"/>
        </w:rPr>
      </w:pPr>
      <w:r>
        <w:rPr>
          <w:rFonts w:ascii="宋体" w:hAnsi="宋体" w:eastAsia="宋体" w:cs="宋体"/>
          <w:spacing w:val="12"/>
          <w:sz w:val="20"/>
          <w:szCs w:val="20"/>
        </w:rPr>
        <w:t>投标人已标价工程量清单的单位工程的总价措施项目费与招标控制</w:t>
      </w:r>
      <w:r>
        <w:rPr>
          <w:rFonts w:ascii="宋体" w:hAnsi="宋体" w:eastAsia="宋体" w:cs="宋体"/>
          <w:spacing w:val="11"/>
          <w:sz w:val="20"/>
          <w:szCs w:val="20"/>
        </w:rPr>
        <w:t>价相应单位工程的总价措</w:t>
      </w:r>
      <w:r>
        <w:rPr>
          <w:rFonts w:ascii="宋体" w:hAnsi="宋体" w:eastAsia="宋体" w:cs="宋体"/>
          <w:spacing w:val="8"/>
          <w:sz w:val="20"/>
          <w:szCs w:val="20"/>
        </w:rPr>
        <w:t>施项目费对比，其总价措施项目费高于招标控制价</w:t>
      </w:r>
      <w:r>
        <w:rPr>
          <w:rFonts w:ascii="宋体" w:hAnsi="宋体" w:eastAsia="宋体" w:cs="宋体"/>
          <w:spacing w:val="7"/>
          <w:sz w:val="20"/>
          <w:szCs w:val="20"/>
        </w:rPr>
        <w:t>的总价措施项目费</w:t>
      </w:r>
      <w:r>
        <w:rPr>
          <w:rFonts w:ascii="宋体" w:hAnsi="宋体" w:eastAsia="宋体" w:cs="宋体"/>
          <w:spacing w:val="-37"/>
          <w:sz w:val="20"/>
          <w:szCs w:val="20"/>
        </w:rPr>
        <w:t xml:space="preserve"> </w:t>
      </w:r>
      <w:r>
        <w:rPr>
          <w:rFonts w:ascii="宋体" w:hAnsi="宋体" w:eastAsia="宋体" w:cs="宋体"/>
          <w:spacing w:val="7"/>
          <w:sz w:val="20"/>
          <w:szCs w:val="20"/>
        </w:rPr>
        <w:t>20%以上或低于招标控制价的总价措施项目费</w:t>
      </w:r>
      <w:r>
        <w:rPr>
          <w:rFonts w:ascii="宋体" w:hAnsi="宋体" w:eastAsia="宋体" w:cs="宋体"/>
          <w:spacing w:val="-30"/>
          <w:sz w:val="20"/>
          <w:szCs w:val="20"/>
        </w:rPr>
        <w:t xml:space="preserve"> </w:t>
      </w:r>
      <w:r>
        <w:rPr>
          <w:rFonts w:ascii="宋体" w:hAnsi="宋体" w:eastAsia="宋体" w:cs="宋体"/>
          <w:spacing w:val="7"/>
          <w:sz w:val="20"/>
          <w:szCs w:val="20"/>
        </w:rPr>
        <w:t>40%以上，予以记录。</w:t>
      </w:r>
    </w:p>
    <w:p w14:paraId="645B0CDD">
      <w:pPr>
        <w:spacing w:line="226" w:lineRule="auto"/>
        <w:ind w:left="425"/>
        <w:rPr>
          <w:rFonts w:ascii="宋体" w:hAnsi="宋体" w:eastAsia="宋体" w:cs="宋体"/>
          <w:sz w:val="20"/>
          <w:szCs w:val="20"/>
        </w:rPr>
      </w:pPr>
      <w:r>
        <w:rPr>
          <w:rFonts w:ascii="宋体" w:hAnsi="宋体" w:eastAsia="宋体" w:cs="宋体"/>
          <w:spacing w:val="8"/>
          <w:sz w:val="20"/>
          <w:szCs w:val="20"/>
        </w:rPr>
        <w:t>3）其他项目清单价格分析记录表</w:t>
      </w:r>
    </w:p>
    <w:p w14:paraId="75917A46">
      <w:pPr>
        <w:spacing w:before="158" w:line="371" w:lineRule="auto"/>
        <w:ind w:left="7" w:firstLine="416"/>
        <w:rPr>
          <w:rFonts w:ascii="宋体" w:hAnsi="宋体" w:eastAsia="宋体" w:cs="宋体"/>
          <w:sz w:val="20"/>
          <w:szCs w:val="20"/>
        </w:rPr>
      </w:pPr>
      <w:r>
        <w:rPr>
          <w:rFonts w:ascii="宋体" w:hAnsi="宋体" w:eastAsia="宋体" w:cs="宋体"/>
          <w:spacing w:val="8"/>
          <w:sz w:val="20"/>
          <w:szCs w:val="20"/>
        </w:rPr>
        <w:t>投标人已标价工程量清单的单位工程其他项目清单中计日工的企业管理费和利润小于等于</w:t>
      </w:r>
      <w:r>
        <w:rPr>
          <w:rFonts w:ascii="宋体" w:hAnsi="宋体" w:eastAsia="宋体" w:cs="宋体"/>
          <w:spacing w:val="-35"/>
          <w:sz w:val="20"/>
          <w:szCs w:val="20"/>
        </w:rPr>
        <w:t xml:space="preserve"> </w:t>
      </w:r>
      <w:r>
        <w:rPr>
          <w:rFonts w:ascii="宋体" w:hAnsi="宋体" w:eastAsia="宋体" w:cs="宋体"/>
          <w:spacing w:val="8"/>
          <w:sz w:val="20"/>
          <w:szCs w:val="20"/>
        </w:rPr>
        <w:t>0，</w:t>
      </w:r>
      <w:r>
        <w:rPr>
          <w:rFonts w:ascii="宋体" w:hAnsi="宋体" w:eastAsia="宋体" w:cs="宋体"/>
          <w:spacing w:val="4"/>
          <w:sz w:val="20"/>
          <w:szCs w:val="20"/>
        </w:rPr>
        <w:t>予以记录。</w:t>
      </w:r>
    </w:p>
    <w:p w14:paraId="0218EEEC">
      <w:pPr>
        <w:spacing w:line="228" w:lineRule="auto"/>
        <w:ind w:left="420"/>
        <w:rPr>
          <w:rFonts w:ascii="宋体" w:hAnsi="宋体" w:eastAsia="宋体" w:cs="宋体"/>
          <w:sz w:val="20"/>
          <w:szCs w:val="20"/>
        </w:rPr>
      </w:pPr>
      <w:r>
        <w:rPr>
          <w:rFonts w:ascii="宋体" w:hAnsi="宋体" w:eastAsia="宋体" w:cs="宋体"/>
          <w:spacing w:val="9"/>
          <w:sz w:val="20"/>
          <w:szCs w:val="20"/>
        </w:rPr>
        <w:t>4）建设项目总人工费分析记录表</w:t>
      </w:r>
    </w:p>
    <w:p w14:paraId="4B190783">
      <w:pPr>
        <w:spacing w:before="153" w:line="371" w:lineRule="auto"/>
        <w:ind w:left="6" w:right="23" w:firstLine="416"/>
        <w:rPr>
          <w:rFonts w:ascii="宋体" w:hAnsi="宋体" w:eastAsia="宋体" w:cs="宋体"/>
          <w:sz w:val="20"/>
          <w:szCs w:val="20"/>
        </w:rPr>
      </w:pPr>
      <w:r>
        <w:rPr>
          <w:rFonts w:ascii="宋体" w:hAnsi="宋体" w:eastAsia="宋体" w:cs="宋体"/>
          <w:spacing w:val="12"/>
          <w:sz w:val="20"/>
          <w:szCs w:val="20"/>
        </w:rPr>
        <w:t>投标人已标价工程量清单的建设项目的总人工费与招标控制价的总</w:t>
      </w:r>
      <w:r>
        <w:rPr>
          <w:rFonts w:ascii="宋体" w:hAnsi="宋体" w:eastAsia="宋体" w:cs="宋体"/>
          <w:spacing w:val="11"/>
          <w:sz w:val="20"/>
          <w:szCs w:val="20"/>
        </w:rPr>
        <w:t>人工费对比，其总人工费</w:t>
      </w:r>
      <w:r>
        <w:rPr>
          <w:rFonts w:ascii="宋体" w:hAnsi="宋体" w:eastAsia="宋体" w:cs="宋体"/>
          <w:spacing w:val="8"/>
          <w:sz w:val="20"/>
          <w:szCs w:val="20"/>
        </w:rPr>
        <w:t>高于招标控制价总人工费</w:t>
      </w:r>
      <w:r>
        <w:rPr>
          <w:rFonts w:ascii="宋体" w:hAnsi="宋体" w:eastAsia="宋体" w:cs="宋体"/>
          <w:spacing w:val="-23"/>
          <w:sz w:val="20"/>
          <w:szCs w:val="20"/>
        </w:rPr>
        <w:t xml:space="preserve"> </w:t>
      </w:r>
      <w:r>
        <w:rPr>
          <w:rFonts w:ascii="宋体" w:hAnsi="宋体" w:eastAsia="宋体" w:cs="宋体"/>
          <w:spacing w:val="8"/>
          <w:sz w:val="20"/>
          <w:szCs w:val="20"/>
        </w:rPr>
        <w:t>15%以上或低于招标控制价</w:t>
      </w:r>
      <w:r>
        <w:rPr>
          <w:rFonts w:ascii="宋体" w:hAnsi="宋体" w:eastAsia="宋体" w:cs="宋体"/>
          <w:spacing w:val="7"/>
          <w:sz w:val="20"/>
          <w:szCs w:val="20"/>
        </w:rPr>
        <w:t>的总人工费</w:t>
      </w:r>
      <w:r>
        <w:rPr>
          <w:rFonts w:ascii="宋体" w:hAnsi="宋体" w:eastAsia="宋体" w:cs="宋体"/>
          <w:spacing w:val="-33"/>
          <w:sz w:val="20"/>
          <w:szCs w:val="20"/>
        </w:rPr>
        <w:t xml:space="preserve"> </w:t>
      </w:r>
      <w:r>
        <w:rPr>
          <w:rFonts w:ascii="宋体" w:hAnsi="宋体" w:eastAsia="宋体" w:cs="宋体"/>
          <w:spacing w:val="7"/>
          <w:sz w:val="20"/>
          <w:szCs w:val="20"/>
        </w:rPr>
        <w:t>30%以上，予以记录。</w:t>
      </w:r>
    </w:p>
    <w:p w14:paraId="640ED651">
      <w:pPr>
        <w:spacing w:line="226" w:lineRule="auto"/>
        <w:ind w:left="425"/>
        <w:rPr>
          <w:rFonts w:ascii="宋体" w:hAnsi="宋体" w:eastAsia="宋体" w:cs="宋体"/>
          <w:sz w:val="20"/>
          <w:szCs w:val="20"/>
        </w:rPr>
      </w:pPr>
      <w:r>
        <w:rPr>
          <w:rFonts w:ascii="宋体" w:hAnsi="宋体" w:eastAsia="宋体" w:cs="宋体"/>
          <w:spacing w:val="8"/>
          <w:sz w:val="20"/>
          <w:szCs w:val="20"/>
        </w:rPr>
        <w:t>5）单位工程投标报价分析记录表</w:t>
      </w:r>
    </w:p>
    <w:p w14:paraId="2CE85CE6">
      <w:pPr>
        <w:spacing w:before="158" w:line="349" w:lineRule="auto"/>
        <w:ind w:left="23" w:right="23" w:firstLine="399"/>
        <w:rPr>
          <w:rFonts w:ascii="宋体" w:hAnsi="宋体" w:eastAsia="宋体" w:cs="宋体"/>
          <w:sz w:val="20"/>
          <w:szCs w:val="20"/>
        </w:rPr>
      </w:pPr>
      <w:r>
        <w:rPr>
          <w:rFonts w:ascii="宋体" w:hAnsi="宋体" w:eastAsia="宋体" w:cs="宋体"/>
          <w:spacing w:val="17"/>
          <w:sz w:val="20"/>
          <w:szCs w:val="20"/>
        </w:rPr>
        <w:t>投标人已标价工程量清单的单位工程的投标报价合价与招标控制价相应单位工程的合价对</w:t>
      </w:r>
      <w:r>
        <w:rPr>
          <w:rFonts w:ascii="宋体" w:hAnsi="宋体" w:eastAsia="宋体" w:cs="宋体"/>
          <w:spacing w:val="9"/>
          <w:sz w:val="20"/>
          <w:szCs w:val="20"/>
        </w:rPr>
        <w:t>比，其单位工程的投标报价合价高于招标控制价相应单位工程的合</w:t>
      </w:r>
      <w:r>
        <w:rPr>
          <w:rFonts w:ascii="宋体" w:hAnsi="宋体" w:eastAsia="宋体" w:cs="宋体"/>
          <w:spacing w:val="8"/>
          <w:sz w:val="20"/>
          <w:szCs w:val="20"/>
        </w:rPr>
        <w:t>价的，予以记录。</w:t>
      </w:r>
    </w:p>
    <w:p w14:paraId="2C0E43E7">
      <w:pPr>
        <w:pStyle w:val="2"/>
        <w:spacing w:line="223" w:lineRule="auto"/>
        <w:ind w:left="1"/>
        <w:outlineLvl w:val="1"/>
        <w:rPr>
          <w:sz w:val="24"/>
          <w:szCs w:val="24"/>
        </w:rPr>
      </w:pPr>
      <w:bookmarkStart w:id="172" w:name="bookmark154"/>
      <w:bookmarkEnd w:id="172"/>
      <w:r>
        <w:rPr>
          <w:rFonts w:ascii="Times New Roman" w:hAnsi="Times New Roman" w:eastAsia="Times New Roman" w:cs="Times New Roman"/>
          <w:spacing w:val="-2"/>
          <w:sz w:val="24"/>
          <w:szCs w:val="24"/>
        </w:rPr>
        <w:t>C3.</w:t>
      </w:r>
      <w:r>
        <w:rPr>
          <w:spacing w:val="-2"/>
          <w:sz w:val="24"/>
          <w:szCs w:val="24"/>
        </w:rPr>
        <w:t>清标报告</w:t>
      </w:r>
    </w:p>
    <w:p w14:paraId="567AC165">
      <w:pPr>
        <w:spacing w:before="169" w:line="406" w:lineRule="auto"/>
        <w:ind w:right="25" w:firstLine="420"/>
        <w:jc w:val="both"/>
        <w:rPr>
          <w:rFonts w:ascii="宋体" w:hAnsi="宋体" w:eastAsia="宋体" w:cs="宋体"/>
          <w:sz w:val="20"/>
          <w:szCs w:val="20"/>
        </w:rPr>
      </w:pPr>
      <w:r>
        <w:rPr>
          <w:rFonts w:ascii="宋体" w:hAnsi="宋体" w:eastAsia="宋体" w:cs="宋体"/>
          <w:spacing w:val="9"/>
          <w:sz w:val="20"/>
          <w:szCs w:val="20"/>
        </w:rPr>
        <w:t>评标委员会按本附件第</w:t>
      </w:r>
      <w:r>
        <w:rPr>
          <w:rFonts w:ascii="宋体" w:hAnsi="宋体" w:eastAsia="宋体" w:cs="宋体"/>
          <w:spacing w:val="-50"/>
          <w:sz w:val="20"/>
          <w:szCs w:val="20"/>
        </w:rPr>
        <w:t xml:space="preserve"> </w:t>
      </w:r>
      <w:r>
        <w:rPr>
          <w:rFonts w:ascii="宋体" w:hAnsi="宋体" w:eastAsia="宋体" w:cs="宋体"/>
          <w:spacing w:val="9"/>
          <w:sz w:val="20"/>
          <w:szCs w:val="20"/>
        </w:rPr>
        <w:t>C2.2</w:t>
      </w:r>
      <w:r>
        <w:rPr>
          <w:rFonts w:ascii="宋体" w:hAnsi="宋体" w:eastAsia="宋体" w:cs="宋体"/>
          <w:spacing w:val="-50"/>
          <w:sz w:val="20"/>
          <w:szCs w:val="20"/>
        </w:rPr>
        <w:t xml:space="preserve"> </w:t>
      </w:r>
      <w:r>
        <w:rPr>
          <w:rFonts w:ascii="宋体" w:hAnsi="宋体" w:eastAsia="宋体" w:cs="宋体"/>
          <w:spacing w:val="9"/>
          <w:sz w:val="20"/>
          <w:szCs w:val="20"/>
        </w:rPr>
        <w:t>款对投标文件进行基础性数据分析和整理工作</w:t>
      </w:r>
      <w:r>
        <w:rPr>
          <w:rFonts w:ascii="宋体" w:hAnsi="宋体" w:eastAsia="宋体" w:cs="宋体"/>
          <w:spacing w:val="8"/>
          <w:sz w:val="20"/>
          <w:szCs w:val="20"/>
        </w:rPr>
        <w:t>形成的清标成果文</w:t>
      </w:r>
      <w:r>
        <w:rPr>
          <w:rFonts w:ascii="宋体" w:hAnsi="宋体" w:eastAsia="宋体" w:cs="宋体"/>
          <w:spacing w:val="11"/>
          <w:sz w:val="20"/>
          <w:szCs w:val="20"/>
        </w:rPr>
        <w:t>件为清标报告的内容。评标委员会根据本章附件</w:t>
      </w:r>
      <w:r>
        <w:rPr>
          <w:rFonts w:ascii="宋体" w:hAnsi="宋体" w:eastAsia="宋体" w:cs="宋体"/>
          <w:spacing w:val="-33"/>
          <w:sz w:val="20"/>
          <w:szCs w:val="20"/>
        </w:rPr>
        <w:t xml:space="preserve"> </w:t>
      </w:r>
      <w:r>
        <w:rPr>
          <w:rFonts w:ascii="宋体" w:hAnsi="宋体" w:eastAsia="宋体" w:cs="宋体"/>
          <w:spacing w:val="11"/>
          <w:sz w:val="20"/>
          <w:szCs w:val="20"/>
        </w:rPr>
        <w:t>A</w:t>
      </w:r>
      <w:r>
        <w:rPr>
          <w:rFonts w:ascii="宋体" w:hAnsi="宋体" w:eastAsia="宋体" w:cs="宋体"/>
          <w:spacing w:val="-39"/>
          <w:sz w:val="20"/>
          <w:szCs w:val="20"/>
        </w:rPr>
        <w:t xml:space="preserve"> </w:t>
      </w:r>
      <w:r>
        <w:rPr>
          <w:rFonts w:ascii="宋体" w:hAnsi="宋体" w:eastAsia="宋体" w:cs="宋体"/>
          <w:spacing w:val="11"/>
          <w:sz w:val="20"/>
          <w:szCs w:val="20"/>
        </w:rPr>
        <w:t>评标详细程序和本章评标办法的规定，结合清</w:t>
      </w:r>
      <w:r>
        <w:rPr>
          <w:rFonts w:ascii="宋体" w:hAnsi="宋体" w:eastAsia="宋体" w:cs="宋体"/>
          <w:spacing w:val="9"/>
          <w:sz w:val="20"/>
          <w:szCs w:val="20"/>
        </w:rPr>
        <w:t>标成果完成初步评审、详细评审、推荐中标候选人或者直接确定中标人。</w:t>
      </w:r>
    </w:p>
    <w:p w14:paraId="351F4850">
      <w:pPr>
        <w:spacing w:before="1" w:line="226" w:lineRule="auto"/>
        <w:ind w:left="420"/>
        <w:outlineLvl w:val="1"/>
        <w:rPr>
          <w:rFonts w:ascii="宋体" w:hAnsi="宋体" w:eastAsia="宋体" w:cs="宋体"/>
          <w:sz w:val="20"/>
          <w:szCs w:val="20"/>
        </w:rPr>
      </w:pPr>
      <w:r>
        <w:rPr>
          <w:rFonts w:ascii="宋体" w:hAnsi="宋体" w:eastAsia="宋体" w:cs="宋体"/>
          <w:spacing w:val="8"/>
          <w:sz w:val="20"/>
          <w:szCs w:val="20"/>
        </w:rPr>
        <w:t>清标报告是评标报告的组成部分。</w:t>
      </w:r>
    </w:p>
    <w:p w14:paraId="1233EAC0">
      <w:pPr>
        <w:spacing w:line="226" w:lineRule="auto"/>
        <w:rPr>
          <w:rFonts w:ascii="宋体" w:hAnsi="宋体" w:eastAsia="宋体" w:cs="宋体"/>
          <w:sz w:val="20"/>
          <w:szCs w:val="20"/>
        </w:rPr>
        <w:sectPr>
          <w:footerReference r:id="rId121" w:type="default"/>
          <w:pgSz w:w="11907" w:h="16840"/>
          <w:pgMar w:top="400" w:right="1450" w:bottom="1035" w:left="1538" w:header="0" w:footer="785" w:gutter="0"/>
          <w:cols w:space="720" w:num="1"/>
        </w:sectPr>
      </w:pPr>
    </w:p>
    <w:p w14:paraId="3FC7C887">
      <w:pPr>
        <w:spacing w:line="279" w:lineRule="auto"/>
        <w:rPr>
          <w:rFonts w:ascii="Arial"/>
          <w:sz w:val="21"/>
        </w:rPr>
      </w:pPr>
    </w:p>
    <w:p w14:paraId="4926F29E">
      <w:pPr>
        <w:spacing w:line="279" w:lineRule="auto"/>
        <w:rPr>
          <w:rFonts w:ascii="Arial"/>
          <w:sz w:val="21"/>
        </w:rPr>
      </w:pPr>
    </w:p>
    <w:p w14:paraId="2082F75E">
      <w:pPr>
        <w:spacing w:line="279" w:lineRule="auto"/>
        <w:rPr>
          <w:rFonts w:ascii="Arial"/>
          <w:sz w:val="21"/>
        </w:rPr>
      </w:pPr>
    </w:p>
    <w:p w14:paraId="016FC559">
      <w:pPr>
        <w:spacing w:line="279" w:lineRule="auto"/>
        <w:rPr>
          <w:rFonts w:ascii="Arial"/>
          <w:sz w:val="21"/>
        </w:rPr>
      </w:pPr>
    </w:p>
    <w:p w14:paraId="0806F180">
      <w:pPr>
        <w:spacing w:line="280" w:lineRule="auto"/>
        <w:rPr>
          <w:rFonts w:ascii="Arial"/>
          <w:sz w:val="21"/>
        </w:rPr>
      </w:pPr>
    </w:p>
    <w:p w14:paraId="0342365E">
      <w:pPr>
        <w:pStyle w:val="2"/>
        <w:spacing w:before="78" w:line="221" w:lineRule="auto"/>
        <w:ind w:left="19"/>
        <w:rPr>
          <w:sz w:val="24"/>
          <w:szCs w:val="24"/>
        </w:rPr>
      </w:pPr>
      <w:r>
        <w:rPr>
          <w:spacing w:val="-4"/>
          <w:sz w:val="24"/>
          <w:szCs w:val="24"/>
        </w:rPr>
        <w:t>附件</w:t>
      </w:r>
      <w:r>
        <w:rPr>
          <w:spacing w:val="-32"/>
          <w:sz w:val="24"/>
          <w:szCs w:val="24"/>
        </w:rPr>
        <w:t xml:space="preserve"> </w:t>
      </w:r>
      <w:r>
        <w:rPr>
          <w:rFonts w:ascii="Arial" w:hAnsi="Arial" w:eastAsia="Arial" w:cs="Arial"/>
          <w:spacing w:val="-4"/>
          <w:sz w:val="24"/>
          <w:szCs w:val="24"/>
        </w:rPr>
        <w:t>D:</w:t>
      </w:r>
      <w:r>
        <w:rPr>
          <w:spacing w:val="-4"/>
          <w:sz w:val="24"/>
          <w:szCs w:val="24"/>
        </w:rPr>
        <w:t>投标人成本评审办法</w:t>
      </w:r>
    </w:p>
    <w:p w14:paraId="0DD51C5A">
      <w:pPr>
        <w:spacing w:line="423" w:lineRule="auto"/>
        <w:rPr>
          <w:rFonts w:ascii="Arial"/>
          <w:sz w:val="21"/>
        </w:rPr>
      </w:pPr>
    </w:p>
    <w:p w14:paraId="426AF29B">
      <w:pPr>
        <w:pStyle w:val="2"/>
        <w:spacing w:before="91" w:line="222" w:lineRule="auto"/>
        <w:ind w:left="3190"/>
        <w:rPr>
          <w:sz w:val="28"/>
          <w:szCs w:val="28"/>
        </w:rPr>
      </w:pPr>
      <w:bookmarkStart w:id="173" w:name="bookmark155"/>
      <w:bookmarkEnd w:id="173"/>
      <w:bookmarkStart w:id="174" w:name="bookmark156"/>
      <w:bookmarkEnd w:id="174"/>
      <w:r>
        <w:rPr>
          <w:b/>
          <w:bCs/>
          <w:spacing w:val="-3"/>
          <w:sz w:val="28"/>
          <w:szCs w:val="28"/>
        </w:rPr>
        <w:t>投标人成本评审办法</w:t>
      </w:r>
    </w:p>
    <w:p w14:paraId="0527C8E5">
      <w:pPr>
        <w:spacing w:line="312" w:lineRule="auto"/>
        <w:rPr>
          <w:rFonts w:ascii="Arial"/>
          <w:sz w:val="21"/>
        </w:rPr>
      </w:pPr>
    </w:p>
    <w:p w14:paraId="25E875D6">
      <w:pPr>
        <w:spacing w:line="312" w:lineRule="auto"/>
        <w:rPr>
          <w:rFonts w:ascii="Arial"/>
          <w:sz w:val="21"/>
        </w:rPr>
      </w:pPr>
    </w:p>
    <w:p w14:paraId="14CC3064">
      <w:pPr>
        <w:spacing w:line="313" w:lineRule="auto"/>
        <w:rPr>
          <w:rFonts w:ascii="Arial"/>
          <w:sz w:val="21"/>
        </w:rPr>
      </w:pPr>
    </w:p>
    <w:p w14:paraId="19E1CBC6">
      <w:pPr>
        <w:pStyle w:val="2"/>
        <w:spacing w:before="78" w:line="222" w:lineRule="auto"/>
        <w:ind w:left="1"/>
        <w:outlineLvl w:val="1"/>
        <w:rPr>
          <w:sz w:val="24"/>
          <w:szCs w:val="24"/>
        </w:rPr>
      </w:pPr>
      <w:bookmarkStart w:id="175" w:name="bookmark465"/>
      <w:bookmarkEnd w:id="175"/>
      <w:r>
        <w:rPr>
          <w:rFonts w:ascii="Times New Roman" w:hAnsi="Times New Roman" w:eastAsia="Times New Roman" w:cs="Times New Roman"/>
          <w:spacing w:val="-1"/>
          <w:sz w:val="24"/>
          <w:szCs w:val="24"/>
        </w:rPr>
        <w:t>D0.</w:t>
      </w:r>
      <w:r>
        <w:rPr>
          <w:spacing w:val="-1"/>
          <w:sz w:val="24"/>
          <w:szCs w:val="24"/>
        </w:rPr>
        <w:t>总</w:t>
      </w:r>
      <w:r>
        <w:rPr>
          <w:spacing w:val="4"/>
          <w:sz w:val="24"/>
          <w:szCs w:val="24"/>
        </w:rPr>
        <w:t xml:space="preserve">  </w:t>
      </w:r>
      <w:r>
        <w:rPr>
          <w:spacing w:val="-1"/>
          <w:sz w:val="24"/>
          <w:szCs w:val="24"/>
        </w:rPr>
        <w:t>则</w:t>
      </w:r>
    </w:p>
    <w:p w14:paraId="12E4BB44">
      <w:pPr>
        <w:spacing w:before="167" w:line="380" w:lineRule="auto"/>
        <w:ind w:left="6" w:right="84" w:firstLine="420"/>
        <w:rPr>
          <w:rFonts w:ascii="宋体" w:hAnsi="宋体" w:eastAsia="宋体" w:cs="宋体"/>
          <w:sz w:val="20"/>
          <w:szCs w:val="20"/>
        </w:rPr>
      </w:pPr>
      <w:r>
        <w:rPr>
          <w:rFonts w:ascii="宋体" w:hAnsi="宋体" w:eastAsia="宋体" w:cs="宋体"/>
          <w:spacing w:val="7"/>
          <w:sz w:val="20"/>
          <w:szCs w:val="20"/>
        </w:rPr>
        <w:t>本附件是本章“评标办法</w:t>
      </w:r>
      <w:r>
        <w:rPr>
          <w:rFonts w:ascii="宋体" w:hAnsi="宋体" w:eastAsia="宋体" w:cs="宋体"/>
          <w:spacing w:val="-70"/>
          <w:sz w:val="20"/>
          <w:szCs w:val="20"/>
        </w:rPr>
        <w:t xml:space="preserve"> </w:t>
      </w:r>
      <w:r>
        <w:rPr>
          <w:rFonts w:ascii="宋体" w:hAnsi="宋体" w:eastAsia="宋体" w:cs="宋体"/>
          <w:spacing w:val="7"/>
          <w:sz w:val="20"/>
          <w:szCs w:val="20"/>
        </w:rPr>
        <w:t>”的组成部分，评标委员会按照本章第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 </w:t>
      </w:r>
      <w:r>
        <w:rPr>
          <w:rFonts w:ascii="宋体" w:hAnsi="宋体" w:eastAsia="宋体" w:cs="宋体"/>
          <w:spacing w:val="7"/>
          <w:sz w:val="20"/>
          <w:szCs w:val="20"/>
        </w:rPr>
        <w:t>项的规定，</w:t>
      </w:r>
      <w:r>
        <w:rPr>
          <w:rFonts w:ascii="宋体" w:hAnsi="宋体" w:eastAsia="宋体" w:cs="宋体"/>
          <w:spacing w:val="6"/>
          <w:sz w:val="20"/>
          <w:szCs w:val="20"/>
        </w:rPr>
        <w:t>对投标人投</w:t>
      </w:r>
      <w:r>
        <w:rPr>
          <w:rFonts w:ascii="宋体" w:hAnsi="宋体" w:eastAsia="宋体" w:cs="宋体"/>
          <w:spacing w:val="9"/>
          <w:sz w:val="20"/>
          <w:szCs w:val="20"/>
        </w:rPr>
        <w:t>标报价是否低于其成本进行评审和判断时，适用本附件所规定的办法。</w:t>
      </w:r>
    </w:p>
    <w:p w14:paraId="24517543">
      <w:pPr>
        <w:pStyle w:val="2"/>
        <w:spacing w:line="221" w:lineRule="auto"/>
        <w:ind w:left="1"/>
        <w:outlineLvl w:val="1"/>
        <w:rPr>
          <w:sz w:val="24"/>
          <w:szCs w:val="24"/>
        </w:rPr>
      </w:pPr>
      <w:bookmarkStart w:id="176" w:name="bookmark157"/>
      <w:bookmarkEnd w:id="176"/>
      <w:r>
        <w:rPr>
          <w:rFonts w:ascii="Times New Roman" w:hAnsi="Times New Roman" w:eastAsia="Times New Roman" w:cs="Times New Roman"/>
          <w:spacing w:val="-1"/>
          <w:sz w:val="24"/>
          <w:szCs w:val="24"/>
        </w:rPr>
        <w:t>D1.</w:t>
      </w:r>
      <w:r>
        <w:rPr>
          <w:spacing w:val="-1"/>
          <w:sz w:val="24"/>
          <w:szCs w:val="24"/>
        </w:rPr>
        <w:t>启动成本评审工作的前提条件</w:t>
      </w:r>
    </w:p>
    <w:p w14:paraId="06C80BAA">
      <w:pPr>
        <w:spacing w:before="171" w:line="405" w:lineRule="auto"/>
        <w:ind w:left="6" w:right="85" w:firstLine="418"/>
        <w:rPr>
          <w:rFonts w:ascii="宋体" w:hAnsi="宋体" w:eastAsia="宋体" w:cs="宋体"/>
          <w:sz w:val="20"/>
          <w:szCs w:val="20"/>
        </w:rPr>
      </w:pPr>
      <w:r>
        <w:rPr>
          <w:rFonts w:ascii="宋体" w:hAnsi="宋体" w:eastAsia="宋体" w:cs="宋体"/>
          <w:spacing w:val="11"/>
          <w:sz w:val="20"/>
          <w:szCs w:val="20"/>
        </w:rPr>
        <w:t>在满足下列两项条件的前提下，评标委员会应当启动并进行本办法所</w:t>
      </w:r>
      <w:r>
        <w:rPr>
          <w:rFonts w:ascii="宋体" w:hAnsi="宋体" w:eastAsia="宋体" w:cs="宋体"/>
          <w:spacing w:val="10"/>
          <w:sz w:val="20"/>
          <w:szCs w:val="20"/>
        </w:rPr>
        <w:t>规定的评审，</w:t>
      </w:r>
      <w:r>
        <w:rPr>
          <w:rFonts w:ascii="宋体" w:hAnsi="宋体" w:eastAsia="宋体" w:cs="宋体"/>
          <w:spacing w:val="-57"/>
          <w:sz w:val="20"/>
          <w:szCs w:val="20"/>
        </w:rPr>
        <w:t xml:space="preserve"> </w:t>
      </w:r>
      <w:r>
        <w:rPr>
          <w:rFonts w:ascii="宋体" w:hAnsi="宋体" w:eastAsia="宋体" w:cs="宋体"/>
          <w:spacing w:val="10"/>
          <w:sz w:val="20"/>
          <w:szCs w:val="20"/>
        </w:rPr>
        <w:t>以判别投</w:t>
      </w:r>
      <w:r>
        <w:rPr>
          <w:rFonts w:ascii="宋体" w:hAnsi="宋体" w:eastAsia="宋体" w:cs="宋体"/>
          <w:spacing w:val="8"/>
          <w:sz w:val="20"/>
          <w:szCs w:val="20"/>
        </w:rPr>
        <w:t>标人的投标报价是否低于其成本：</w:t>
      </w:r>
    </w:p>
    <w:p w14:paraId="067F5DF4">
      <w:pPr>
        <w:spacing w:before="1" w:line="406" w:lineRule="auto"/>
        <w:ind w:left="7" w:right="87" w:firstLine="413"/>
        <w:rPr>
          <w:rFonts w:ascii="宋体" w:hAnsi="宋体" w:eastAsia="宋体" w:cs="宋体"/>
          <w:sz w:val="20"/>
          <w:szCs w:val="20"/>
        </w:rPr>
      </w:pPr>
      <w:r>
        <w:rPr>
          <w:rFonts w:ascii="宋体" w:hAnsi="宋体" w:eastAsia="宋体" w:cs="宋体"/>
          <w:spacing w:val="8"/>
          <w:sz w:val="20"/>
          <w:szCs w:val="20"/>
        </w:rPr>
        <w:t>D1.1</w:t>
      </w:r>
      <w:r>
        <w:rPr>
          <w:rFonts w:ascii="宋体" w:hAnsi="宋体" w:eastAsia="宋体" w:cs="宋体"/>
          <w:spacing w:val="-22"/>
          <w:sz w:val="20"/>
          <w:szCs w:val="20"/>
        </w:rPr>
        <w:t xml:space="preserve"> </w:t>
      </w:r>
      <w:r>
        <w:rPr>
          <w:rFonts w:ascii="宋体" w:hAnsi="宋体" w:eastAsia="宋体" w:cs="宋体"/>
          <w:spacing w:val="8"/>
          <w:sz w:val="20"/>
          <w:szCs w:val="20"/>
        </w:rPr>
        <w:t>投标人的投标文件在本章“评标办法</w:t>
      </w:r>
      <w:r>
        <w:rPr>
          <w:rFonts w:ascii="宋体" w:hAnsi="宋体" w:eastAsia="宋体" w:cs="宋体"/>
          <w:spacing w:val="-70"/>
          <w:sz w:val="20"/>
          <w:szCs w:val="20"/>
        </w:rPr>
        <w:t xml:space="preserve"> </w:t>
      </w:r>
      <w:r>
        <w:rPr>
          <w:rFonts w:ascii="宋体" w:hAnsi="宋体" w:eastAsia="宋体" w:cs="宋体"/>
          <w:spacing w:val="8"/>
          <w:sz w:val="20"/>
          <w:szCs w:val="20"/>
        </w:rPr>
        <w:t>”规定的“初步评审</w:t>
      </w:r>
      <w:r>
        <w:rPr>
          <w:rFonts w:ascii="宋体" w:hAnsi="宋体" w:eastAsia="宋体" w:cs="宋体"/>
          <w:spacing w:val="-70"/>
          <w:sz w:val="20"/>
          <w:szCs w:val="20"/>
        </w:rPr>
        <w:t xml:space="preserve"> </w:t>
      </w:r>
      <w:r>
        <w:rPr>
          <w:rFonts w:ascii="宋体" w:hAnsi="宋体" w:eastAsia="宋体" w:cs="宋体"/>
          <w:spacing w:val="8"/>
          <w:sz w:val="20"/>
          <w:szCs w:val="20"/>
        </w:rPr>
        <w:t>”阶段，不存在应当否决的情</w:t>
      </w:r>
      <w:r>
        <w:rPr>
          <w:rFonts w:ascii="宋体" w:hAnsi="宋体" w:eastAsia="宋体" w:cs="宋体"/>
          <w:spacing w:val="-1"/>
          <w:sz w:val="20"/>
          <w:szCs w:val="20"/>
        </w:rPr>
        <w:t>形；</w:t>
      </w:r>
    </w:p>
    <w:p w14:paraId="14B48230">
      <w:pPr>
        <w:spacing w:before="1" w:line="406" w:lineRule="auto"/>
        <w:ind w:firstLine="421"/>
        <w:rPr>
          <w:rFonts w:ascii="宋体" w:hAnsi="宋体" w:eastAsia="宋体" w:cs="宋体"/>
          <w:sz w:val="20"/>
          <w:szCs w:val="20"/>
        </w:rPr>
      </w:pPr>
      <w:r>
        <w:rPr>
          <w:rFonts w:ascii="宋体" w:hAnsi="宋体" w:eastAsia="宋体" w:cs="宋体"/>
          <w:spacing w:val="8"/>
          <w:sz w:val="20"/>
          <w:szCs w:val="20"/>
        </w:rPr>
        <w:t>D1.2</w:t>
      </w:r>
      <w:r>
        <w:rPr>
          <w:rFonts w:ascii="宋体" w:hAnsi="宋体" w:eastAsia="宋体" w:cs="宋体"/>
          <w:spacing w:val="-35"/>
          <w:sz w:val="20"/>
          <w:szCs w:val="20"/>
        </w:rPr>
        <w:t xml:space="preserve"> </w:t>
      </w:r>
      <w:r>
        <w:rPr>
          <w:rFonts w:ascii="宋体" w:hAnsi="宋体" w:eastAsia="宋体" w:cs="宋体"/>
          <w:spacing w:val="8"/>
          <w:sz w:val="20"/>
          <w:szCs w:val="20"/>
        </w:rPr>
        <w:t>投标人的【投标总报价</w:t>
      </w:r>
      <w:r>
        <w:rPr>
          <w:rFonts w:ascii="宋体" w:hAnsi="宋体" w:eastAsia="宋体" w:cs="宋体"/>
          <w:spacing w:val="-2"/>
          <w:sz w:val="20"/>
          <w:szCs w:val="20"/>
        </w:rPr>
        <w:t>－（</w:t>
      </w:r>
      <w:r>
        <w:rPr>
          <w:rFonts w:ascii="宋体" w:hAnsi="宋体" w:eastAsia="宋体" w:cs="宋体"/>
          <w:spacing w:val="8"/>
          <w:sz w:val="20"/>
          <w:szCs w:val="20"/>
        </w:rPr>
        <w:t>暂列金额+税金</w:t>
      </w:r>
      <w:r>
        <w:rPr>
          <w:rFonts w:ascii="宋体" w:hAnsi="宋体" w:eastAsia="宋体" w:cs="宋体"/>
          <w:spacing w:val="-2"/>
          <w:sz w:val="20"/>
          <w:szCs w:val="20"/>
        </w:rPr>
        <w:t>）－（</w:t>
      </w:r>
      <w:r>
        <w:rPr>
          <w:rFonts w:ascii="宋体" w:hAnsi="宋体" w:eastAsia="宋体" w:cs="宋体"/>
          <w:spacing w:val="8"/>
          <w:sz w:val="20"/>
          <w:szCs w:val="20"/>
        </w:rPr>
        <w:t>专业工程暂估价+税金）】</w:t>
      </w:r>
      <w:r>
        <w:rPr>
          <w:rFonts w:ascii="宋体" w:hAnsi="宋体" w:eastAsia="宋体" w:cs="宋体"/>
          <w:spacing w:val="7"/>
          <w:sz w:val="20"/>
          <w:szCs w:val="20"/>
        </w:rPr>
        <w:t>低于（不含）</w:t>
      </w:r>
      <w:r>
        <w:rPr>
          <w:rFonts w:ascii="宋体" w:hAnsi="宋体" w:eastAsia="宋体" w:cs="宋体"/>
          <w:sz w:val="20"/>
          <w:szCs w:val="20"/>
        </w:rPr>
        <w:t xml:space="preserve"> </w:t>
      </w:r>
      <w:r>
        <w:rPr>
          <w:rFonts w:ascii="宋体" w:hAnsi="宋体" w:eastAsia="宋体" w:cs="宋体"/>
          <w:spacing w:val="6"/>
          <w:sz w:val="20"/>
          <w:szCs w:val="20"/>
        </w:rPr>
        <w:t>【招标控制价总价</w:t>
      </w:r>
      <w:r>
        <w:rPr>
          <w:rFonts w:ascii="宋体" w:hAnsi="宋体" w:eastAsia="宋体" w:cs="宋体"/>
          <w:spacing w:val="-2"/>
          <w:sz w:val="20"/>
          <w:szCs w:val="20"/>
        </w:rPr>
        <w:t>－（</w:t>
      </w:r>
      <w:r>
        <w:rPr>
          <w:rFonts w:ascii="宋体" w:hAnsi="宋体" w:eastAsia="宋体" w:cs="宋体"/>
          <w:spacing w:val="6"/>
          <w:sz w:val="20"/>
          <w:szCs w:val="20"/>
        </w:rPr>
        <w:t>暂列金额+税金</w:t>
      </w:r>
      <w:r>
        <w:rPr>
          <w:rFonts w:ascii="宋体" w:hAnsi="宋体" w:eastAsia="宋体" w:cs="宋体"/>
          <w:spacing w:val="-2"/>
          <w:sz w:val="20"/>
          <w:szCs w:val="20"/>
        </w:rPr>
        <w:t>）－（</w:t>
      </w:r>
      <w:r>
        <w:rPr>
          <w:rFonts w:ascii="宋体" w:hAnsi="宋体" w:eastAsia="宋体" w:cs="宋体"/>
          <w:spacing w:val="6"/>
          <w:sz w:val="20"/>
          <w:szCs w:val="20"/>
        </w:rPr>
        <w:t>专业工程暂估价</w:t>
      </w:r>
      <w:r>
        <w:rPr>
          <w:rFonts w:ascii="宋体" w:hAnsi="宋体" w:eastAsia="宋体" w:cs="宋体"/>
          <w:spacing w:val="5"/>
          <w:sz w:val="20"/>
          <w:szCs w:val="20"/>
        </w:rPr>
        <w:t>+税金）】</w:t>
      </w:r>
      <w:r>
        <w:rPr>
          <w:rFonts w:ascii="宋体" w:hAnsi="宋体" w:eastAsia="宋体" w:cs="宋体"/>
          <w:spacing w:val="-74"/>
          <w:sz w:val="20"/>
          <w:szCs w:val="20"/>
        </w:rPr>
        <w:t xml:space="preserve"> </w:t>
      </w:r>
      <w:r>
        <w:rPr>
          <w:rFonts w:ascii="宋体" w:hAnsi="宋体" w:eastAsia="宋体" w:cs="宋体"/>
          <w:spacing w:val="5"/>
          <w:sz w:val="20"/>
          <w:szCs w:val="20"/>
          <w:u w:val="single" w:color="auto"/>
        </w:rPr>
        <w:t xml:space="preserve">   H%    </w:t>
      </w:r>
      <w:r>
        <w:rPr>
          <w:rFonts w:ascii="宋体" w:hAnsi="宋体" w:eastAsia="宋体" w:cs="宋体"/>
          <w:spacing w:val="-75"/>
          <w:sz w:val="20"/>
          <w:szCs w:val="20"/>
        </w:rPr>
        <w:t xml:space="preserve"> </w:t>
      </w:r>
      <w:r>
        <w:rPr>
          <w:rFonts w:ascii="宋体" w:hAnsi="宋体" w:eastAsia="宋体" w:cs="宋体"/>
          <w:spacing w:val="5"/>
          <w:sz w:val="20"/>
          <w:szCs w:val="20"/>
        </w:rPr>
        <w:t>的。</w:t>
      </w:r>
    </w:p>
    <w:p w14:paraId="66D9131C">
      <w:pPr>
        <w:spacing w:line="379" w:lineRule="auto"/>
        <w:ind w:left="6" w:right="87" w:firstLine="420"/>
        <w:rPr>
          <w:rFonts w:ascii="宋体" w:hAnsi="宋体" w:eastAsia="宋体" w:cs="宋体"/>
          <w:sz w:val="20"/>
          <w:szCs w:val="20"/>
        </w:rPr>
      </w:pPr>
      <w:r>
        <w:rPr>
          <w:rFonts w:ascii="宋体" w:hAnsi="宋体" w:eastAsia="宋体" w:cs="宋体"/>
          <w:spacing w:val="5"/>
          <w:sz w:val="20"/>
          <w:szCs w:val="20"/>
        </w:rPr>
        <w:t>招标人根据招标项目具体情况宜选择</w:t>
      </w:r>
      <w:r>
        <w:rPr>
          <w:rFonts w:ascii="宋体" w:hAnsi="宋体" w:eastAsia="宋体" w:cs="宋体"/>
          <w:spacing w:val="-32"/>
          <w:sz w:val="20"/>
          <w:szCs w:val="20"/>
        </w:rPr>
        <w:t xml:space="preserve"> </w:t>
      </w:r>
      <w:r>
        <w:rPr>
          <w:rFonts w:ascii="宋体" w:hAnsi="宋体" w:eastAsia="宋体" w:cs="宋体"/>
          <w:spacing w:val="5"/>
          <w:sz w:val="20"/>
          <w:szCs w:val="20"/>
        </w:rPr>
        <w:t>75-80</w:t>
      </w:r>
      <w:r>
        <w:rPr>
          <w:rFonts w:ascii="宋体" w:hAnsi="宋体" w:eastAsia="宋体" w:cs="宋体"/>
          <w:spacing w:val="-21"/>
          <w:sz w:val="20"/>
          <w:szCs w:val="20"/>
        </w:rPr>
        <w:t xml:space="preserve"> </w:t>
      </w:r>
      <w:r>
        <w:rPr>
          <w:rFonts w:ascii="宋体" w:hAnsi="宋体" w:eastAsia="宋体" w:cs="宋体"/>
          <w:spacing w:val="5"/>
          <w:sz w:val="20"/>
          <w:szCs w:val="20"/>
        </w:rPr>
        <w:t>中的具体数值作为</w:t>
      </w:r>
      <w:r>
        <w:rPr>
          <w:rFonts w:ascii="宋体" w:hAnsi="宋体" w:eastAsia="宋体" w:cs="宋体"/>
          <w:spacing w:val="-41"/>
          <w:sz w:val="20"/>
          <w:szCs w:val="20"/>
        </w:rPr>
        <w:t xml:space="preserve"> </w:t>
      </w:r>
      <w:r>
        <w:rPr>
          <w:rFonts w:ascii="宋体" w:hAnsi="宋体" w:eastAsia="宋体" w:cs="宋体"/>
          <w:spacing w:val="5"/>
          <w:sz w:val="20"/>
          <w:szCs w:val="20"/>
        </w:rPr>
        <w:t>H</w:t>
      </w:r>
      <w:r>
        <w:rPr>
          <w:rFonts w:ascii="宋体" w:hAnsi="宋体" w:eastAsia="宋体" w:cs="宋体"/>
          <w:spacing w:val="-21"/>
          <w:sz w:val="20"/>
          <w:szCs w:val="20"/>
        </w:rPr>
        <w:t xml:space="preserve"> </w:t>
      </w:r>
      <w:r>
        <w:rPr>
          <w:rFonts w:ascii="宋体" w:hAnsi="宋体" w:eastAsia="宋体" w:cs="宋体"/>
          <w:spacing w:val="5"/>
          <w:sz w:val="20"/>
          <w:szCs w:val="20"/>
        </w:rPr>
        <w:t>的取值</w:t>
      </w:r>
      <w:r>
        <w:rPr>
          <w:rFonts w:ascii="宋体" w:hAnsi="宋体" w:eastAsia="宋体" w:cs="宋体"/>
          <w:spacing w:val="4"/>
          <w:sz w:val="20"/>
          <w:szCs w:val="20"/>
        </w:rPr>
        <w:t>，H</w:t>
      </w:r>
      <w:r>
        <w:rPr>
          <w:rFonts w:ascii="宋体" w:hAnsi="宋体" w:eastAsia="宋体" w:cs="宋体"/>
          <w:spacing w:val="-21"/>
          <w:sz w:val="20"/>
          <w:szCs w:val="20"/>
        </w:rPr>
        <w:t xml:space="preserve"> </w:t>
      </w:r>
      <w:r>
        <w:rPr>
          <w:rFonts w:ascii="宋体" w:hAnsi="宋体" w:eastAsia="宋体" w:cs="宋体"/>
          <w:spacing w:val="4"/>
          <w:sz w:val="20"/>
          <w:szCs w:val="20"/>
        </w:rPr>
        <w:t>的取值见第二章投标人须知前附表第</w:t>
      </w:r>
      <w:r>
        <w:rPr>
          <w:rFonts w:ascii="宋体" w:hAnsi="宋体" w:eastAsia="宋体" w:cs="宋体"/>
          <w:spacing w:val="-14"/>
          <w:sz w:val="20"/>
          <w:szCs w:val="20"/>
        </w:rPr>
        <w:t xml:space="preserve"> </w:t>
      </w:r>
      <w:r>
        <w:rPr>
          <w:rFonts w:ascii="宋体" w:hAnsi="宋体" w:eastAsia="宋体" w:cs="宋体"/>
          <w:spacing w:val="4"/>
          <w:sz w:val="20"/>
          <w:szCs w:val="20"/>
        </w:rPr>
        <w:t>10.2.2</w:t>
      </w:r>
      <w:r>
        <w:rPr>
          <w:rFonts w:ascii="宋体" w:hAnsi="宋体" w:eastAsia="宋体" w:cs="宋体"/>
          <w:spacing w:val="-37"/>
          <w:sz w:val="20"/>
          <w:szCs w:val="20"/>
        </w:rPr>
        <w:t xml:space="preserve"> </w:t>
      </w:r>
      <w:r>
        <w:rPr>
          <w:rFonts w:ascii="宋体" w:hAnsi="宋体" w:eastAsia="宋体" w:cs="宋体"/>
          <w:spacing w:val="4"/>
          <w:sz w:val="20"/>
          <w:szCs w:val="20"/>
        </w:rPr>
        <w:t>项。</w:t>
      </w:r>
    </w:p>
    <w:p w14:paraId="0E8481A3">
      <w:pPr>
        <w:pStyle w:val="2"/>
        <w:spacing w:before="1" w:line="221" w:lineRule="auto"/>
        <w:ind w:left="1"/>
        <w:outlineLvl w:val="1"/>
        <w:rPr>
          <w:sz w:val="24"/>
          <w:szCs w:val="24"/>
        </w:rPr>
      </w:pPr>
      <w:bookmarkStart w:id="177" w:name="bookmark158"/>
      <w:bookmarkEnd w:id="177"/>
      <w:r>
        <w:rPr>
          <w:rFonts w:ascii="Times New Roman" w:hAnsi="Times New Roman" w:eastAsia="Times New Roman" w:cs="Times New Roman"/>
          <w:spacing w:val="-1"/>
          <w:sz w:val="24"/>
          <w:szCs w:val="24"/>
        </w:rPr>
        <w:t>D2.</w:t>
      </w:r>
      <w:r>
        <w:rPr>
          <w:spacing w:val="-1"/>
          <w:sz w:val="24"/>
          <w:szCs w:val="24"/>
        </w:rPr>
        <w:t>评审的依据</w:t>
      </w:r>
    </w:p>
    <w:p w14:paraId="2BD4150E">
      <w:pPr>
        <w:spacing w:before="170" w:line="226" w:lineRule="auto"/>
        <w:ind w:left="424"/>
        <w:rPr>
          <w:rFonts w:ascii="宋体" w:hAnsi="宋体" w:eastAsia="宋体" w:cs="宋体"/>
          <w:sz w:val="20"/>
          <w:szCs w:val="20"/>
        </w:rPr>
      </w:pPr>
      <w:r>
        <w:rPr>
          <w:rFonts w:ascii="宋体" w:hAnsi="宋体" w:eastAsia="宋体" w:cs="宋体"/>
          <w:spacing w:val="9"/>
          <w:sz w:val="20"/>
          <w:szCs w:val="20"/>
        </w:rPr>
        <w:t>评标委员会判断投标人的投标报价是否低于其成本，所参考的评审依据包括：</w:t>
      </w:r>
    </w:p>
    <w:p w14:paraId="16DA2D50">
      <w:pPr>
        <w:spacing w:before="194" w:line="228" w:lineRule="auto"/>
        <w:ind w:left="435"/>
        <w:rPr>
          <w:rFonts w:ascii="宋体" w:hAnsi="宋体" w:eastAsia="宋体" w:cs="宋体"/>
          <w:sz w:val="20"/>
          <w:szCs w:val="20"/>
        </w:rPr>
      </w:pPr>
      <w:r>
        <w:rPr>
          <w:rFonts w:ascii="宋体" w:hAnsi="宋体" w:eastAsia="宋体" w:cs="宋体"/>
          <w:spacing w:val="7"/>
          <w:sz w:val="20"/>
          <w:szCs w:val="20"/>
        </w:rPr>
        <w:t>（1）  招标文件及招标工程量清单；</w:t>
      </w:r>
    </w:p>
    <w:p w14:paraId="06D92972">
      <w:pPr>
        <w:spacing w:before="195" w:line="226" w:lineRule="auto"/>
        <w:ind w:left="435"/>
        <w:rPr>
          <w:rFonts w:ascii="宋体" w:hAnsi="宋体" w:eastAsia="宋体" w:cs="宋体"/>
          <w:sz w:val="20"/>
          <w:szCs w:val="20"/>
        </w:rPr>
      </w:pPr>
      <w:r>
        <w:rPr>
          <w:rFonts w:ascii="宋体" w:hAnsi="宋体" w:eastAsia="宋体" w:cs="宋体"/>
          <w:spacing w:val="3"/>
          <w:sz w:val="20"/>
          <w:szCs w:val="20"/>
        </w:rPr>
        <w:t>（2）</w:t>
      </w:r>
      <w:r>
        <w:rPr>
          <w:rFonts w:ascii="宋体" w:hAnsi="宋体" w:eastAsia="宋体" w:cs="宋体"/>
          <w:spacing w:val="18"/>
          <w:sz w:val="20"/>
          <w:szCs w:val="20"/>
        </w:rPr>
        <w:t xml:space="preserve">  </w:t>
      </w:r>
      <w:r>
        <w:rPr>
          <w:rFonts w:ascii="宋体" w:hAnsi="宋体" w:eastAsia="宋体" w:cs="宋体"/>
          <w:spacing w:val="3"/>
          <w:sz w:val="20"/>
          <w:szCs w:val="20"/>
        </w:rPr>
        <w:t>招标控制价；</w:t>
      </w:r>
    </w:p>
    <w:p w14:paraId="3F926A02">
      <w:pPr>
        <w:spacing w:before="195" w:line="229" w:lineRule="auto"/>
        <w:ind w:left="435"/>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16"/>
          <w:sz w:val="20"/>
          <w:szCs w:val="20"/>
        </w:rPr>
        <w:t xml:space="preserve">  </w:t>
      </w:r>
      <w:r>
        <w:rPr>
          <w:rFonts w:ascii="宋体" w:hAnsi="宋体" w:eastAsia="宋体" w:cs="宋体"/>
          <w:spacing w:val="4"/>
          <w:sz w:val="20"/>
          <w:szCs w:val="20"/>
        </w:rPr>
        <w:t>施工组织设计；</w:t>
      </w:r>
    </w:p>
    <w:p w14:paraId="36DAA556">
      <w:pPr>
        <w:spacing w:before="191" w:line="226" w:lineRule="auto"/>
        <w:ind w:left="435"/>
        <w:rPr>
          <w:rFonts w:ascii="宋体" w:hAnsi="宋体" w:eastAsia="宋体" w:cs="宋体"/>
          <w:sz w:val="20"/>
          <w:szCs w:val="20"/>
        </w:rPr>
      </w:pPr>
      <w:r>
        <w:rPr>
          <w:rFonts w:ascii="宋体" w:hAnsi="宋体" w:eastAsia="宋体" w:cs="宋体"/>
          <w:spacing w:val="9"/>
          <w:sz w:val="20"/>
          <w:szCs w:val="20"/>
        </w:rPr>
        <w:t>（4）  投标人已标价的工程量清单或经算术错误修正后的已标价的工程量清单（如果有</w:t>
      </w:r>
      <w:r>
        <w:rPr>
          <w:rFonts w:ascii="宋体" w:hAnsi="宋体" w:eastAsia="宋体" w:cs="宋体"/>
          <w:spacing w:val="-52"/>
          <w:sz w:val="20"/>
          <w:szCs w:val="20"/>
        </w:rPr>
        <w:t>）；</w:t>
      </w:r>
    </w:p>
    <w:p w14:paraId="2C9B3456">
      <w:pPr>
        <w:spacing w:before="197" w:line="226" w:lineRule="auto"/>
        <w:ind w:left="435"/>
        <w:rPr>
          <w:rFonts w:ascii="宋体" w:hAnsi="宋体" w:eastAsia="宋体" w:cs="宋体"/>
          <w:sz w:val="20"/>
          <w:szCs w:val="20"/>
        </w:rPr>
      </w:pPr>
      <w:r>
        <w:rPr>
          <w:rFonts w:ascii="宋体" w:hAnsi="宋体" w:eastAsia="宋体" w:cs="宋体"/>
          <w:spacing w:val="9"/>
          <w:sz w:val="20"/>
          <w:szCs w:val="20"/>
        </w:rPr>
        <w:t>（5）  工程所在地工程造价管理部门颁布的工程造</w:t>
      </w:r>
      <w:r>
        <w:rPr>
          <w:rFonts w:ascii="宋体" w:hAnsi="宋体" w:eastAsia="宋体" w:cs="宋体"/>
          <w:spacing w:val="8"/>
          <w:sz w:val="20"/>
          <w:szCs w:val="20"/>
        </w:rPr>
        <w:t>价信息（如果有</w:t>
      </w:r>
      <w:r>
        <w:rPr>
          <w:rFonts w:ascii="宋体" w:hAnsi="宋体" w:eastAsia="宋体" w:cs="宋体"/>
          <w:spacing w:val="-54"/>
          <w:sz w:val="20"/>
          <w:szCs w:val="20"/>
        </w:rPr>
        <w:t>）；</w:t>
      </w:r>
    </w:p>
    <w:p w14:paraId="37FD18F7">
      <w:pPr>
        <w:spacing w:before="194" w:line="226" w:lineRule="auto"/>
        <w:ind w:left="435"/>
        <w:rPr>
          <w:rFonts w:ascii="宋体" w:hAnsi="宋体" w:eastAsia="宋体" w:cs="宋体"/>
          <w:sz w:val="20"/>
          <w:szCs w:val="20"/>
        </w:rPr>
      </w:pPr>
      <w:r>
        <w:rPr>
          <w:rFonts w:ascii="宋体" w:hAnsi="宋体" w:eastAsia="宋体" w:cs="宋体"/>
          <w:spacing w:val="7"/>
          <w:sz w:val="20"/>
          <w:szCs w:val="20"/>
        </w:rPr>
        <w:t>（6）  工程所在地市场价格水平；</w:t>
      </w:r>
    </w:p>
    <w:p w14:paraId="3A46E4C2">
      <w:pPr>
        <w:spacing w:before="194" w:line="226" w:lineRule="auto"/>
        <w:ind w:left="435"/>
        <w:rPr>
          <w:rFonts w:ascii="宋体" w:hAnsi="宋体" w:eastAsia="宋体" w:cs="宋体"/>
          <w:sz w:val="20"/>
          <w:szCs w:val="20"/>
        </w:rPr>
      </w:pPr>
      <w:r>
        <w:rPr>
          <w:rFonts w:ascii="宋体" w:hAnsi="宋体" w:eastAsia="宋体" w:cs="宋体"/>
          <w:spacing w:val="8"/>
          <w:sz w:val="20"/>
          <w:szCs w:val="20"/>
        </w:rPr>
        <w:t>（7）  工程所在地工程造价管理部门颁布的定额或投标人企业定额；</w:t>
      </w:r>
    </w:p>
    <w:p w14:paraId="5A4C1EA1">
      <w:pPr>
        <w:spacing w:before="197" w:line="228" w:lineRule="auto"/>
        <w:ind w:left="435"/>
        <w:rPr>
          <w:rFonts w:ascii="宋体" w:hAnsi="宋体" w:eastAsia="宋体" w:cs="宋体"/>
          <w:sz w:val="20"/>
          <w:szCs w:val="20"/>
        </w:rPr>
      </w:pPr>
      <w:r>
        <w:rPr>
          <w:rFonts w:ascii="宋体" w:hAnsi="宋体" w:eastAsia="宋体" w:cs="宋体"/>
          <w:spacing w:val="7"/>
          <w:sz w:val="20"/>
          <w:szCs w:val="20"/>
        </w:rPr>
        <w:t>（8）  经审计的企业近三年财务报表；</w:t>
      </w:r>
    </w:p>
    <w:p w14:paraId="572394A8">
      <w:pPr>
        <w:spacing w:before="192" w:line="227" w:lineRule="auto"/>
        <w:ind w:left="435"/>
        <w:rPr>
          <w:rFonts w:ascii="宋体" w:hAnsi="宋体" w:eastAsia="宋体" w:cs="宋体"/>
          <w:sz w:val="20"/>
          <w:szCs w:val="20"/>
        </w:rPr>
      </w:pPr>
      <w:r>
        <w:rPr>
          <w:rFonts w:ascii="宋体" w:hAnsi="宋体" w:eastAsia="宋体" w:cs="宋体"/>
          <w:spacing w:val="7"/>
          <w:sz w:val="20"/>
          <w:szCs w:val="20"/>
        </w:rPr>
        <w:t>（9）  投标人所附其他证明资料；</w:t>
      </w:r>
    </w:p>
    <w:p w14:paraId="492F75AA">
      <w:pPr>
        <w:spacing w:before="193" w:line="227" w:lineRule="auto"/>
        <w:ind w:left="435"/>
        <w:rPr>
          <w:rFonts w:ascii="宋体" w:hAnsi="宋体" w:eastAsia="宋体" w:cs="宋体"/>
          <w:sz w:val="20"/>
          <w:szCs w:val="20"/>
        </w:rPr>
      </w:pPr>
      <w:r>
        <w:rPr>
          <w:rFonts w:ascii="宋体" w:hAnsi="宋体" w:eastAsia="宋体" w:cs="宋体"/>
          <w:spacing w:val="8"/>
          <w:sz w:val="20"/>
          <w:szCs w:val="20"/>
        </w:rPr>
        <w:t>（10） 法律法规允许的和招标文件规定的参考依据等。</w:t>
      </w:r>
    </w:p>
    <w:p w14:paraId="530FC9A5">
      <w:pPr>
        <w:spacing w:line="227" w:lineRule="auto"/>
        <w:rPr>
          <w:rFonts w:ascii="宋体" w:hAnsi="宋体" w:eastAsia="宋体" w:cs="宋体"/>
          <w:sz w:val="20"/>
          <w:szCs w:val="20"/>
        </w:rPr>
        <w:sectPr>
          <w:footerReference r:id="rId122" w:type="default"/>
          <w:pgSz w:w="11907" w:h="16840"/>
          <w:pgMar w:top="400" w:right="1389" w:bottom="1035" w:left="1534" w:header="0" w:footer="785" w:gutter="0"/>
          <w:cols w:space="720" w:num="1"/>
        </w:sectPr>
      </w:pPr>
    </w:p>
    <w:p w14:paraId="3D1E250C">
      <w:pPr>
        <w:spacing w:line="243" w:lineRule="auto"/>
        <w:rPr>
          <w:rFonts w:ascii="Arial"/>
          <w:sz w:val="21"/>
        </w:rPr>
      </w:pPr>
    </w:p>
    <w:p w14:paraId="5AFFE4C3">
      <w:pPr>
        <w:spacing w:line="243" w:lineRule="auto"/>
        <w:rPr>
          <w:rFonts w:ascii="Arial"/>
          <w:sz w:val="21"/>
        </w:rPr>
      </w:pPr>
    </w:p>
    <w:p w14:paraId="52CD654E">
      <w:pPr>
        <w:spacing w:line="243" w:lineRule="auto"/>
        <w:rPr>
          <w:rFonts w:ascii="Arial"/>
          <w:sz w:val="21"/>
        </w:rPr>
      </w:pPr>
    </w:p>
    <w:p w14:paraId="58216A55">
      <w:pPr>
        <w:spacing w:line="243" w:lineRule="auto"/>
        <w:rPr>
          <w:rFonts w:ascii="Arial"/>
          <w:sz w:val="21"/>
        </w:rPr>
      </w:pPr>
    </w:p>
    <w:p w14:paraId="3CF39F1A">
      <w:pPr>
        <w:spacing w:line="244" w:lineRule="auto"/>
        <w:rPr>
          <w:rFonts w:ascii="Arial"/>
          <w:sz w:val="21"/>
        </w:rPr>
      </w:pPr>
    </w:p>
    <w:p w14:paraId="09970F55">
      <w:pPr>
        <w:pStyle w:val="2"/>
        <w:spacing w:before="78" w:line="222" w:lineRule="auto"/>
        <w:outlineLvl w:val="1"/>
        <w:rPr>
          <w:sz w:val="24"/>
          <w:szCs w:val="24"/>
        </w:rPr>
      </w:pPr>
      <w:bookmarkStart w:id="178" w:name="bookmark159"/>
      <w:bookmarkEnd w:id="178"/>
      <w:r>
        <w:rPr>
          <w:rFonts w:ascii="Times New Roman" w:hAnsi="Times New Roman" w:eastAsia="Times New Roman" w:cs="Times New Roman"/>
          <w:spacing w:val="-1"/>
          <w:sz w:val="24"/>
          <w:szCs w:val="24"/>
        </w:rPr>
        <w:t>D3.</w:t>
      </w:r>
      <w:r>
        <w:rPr>
          <w:spacing w:val="-1"/>
          <w:sz w:val="24"/>
          <w:szCs w:val="24"/>
        </w:rPr>
        <w:t>对投标价格的合理性进行评审</w:t>
      </w:r>
    </w:p>
    <w:p w14:paraId="1C99290C">
      <w:pPr>
        <w:spacing w:before="172" w:line="402" w:lineRule="auto"/>
        <w:ind w:left="4" w:firstLine="419"/>
        <w:jc w:val="both"/>
        <w:rPr>
          <w:rFonts w:ascii="宋体" w:hAnsi="宋体" w:eastAsia="宋体" w:cs="宋体"/>
          <w:sz w:val="20"/>
          <w:szCs w:val="20"/>
        </w:rPr>
      </w:pPr>
      <w:r>
        <w:rPr>
          <w:rFonts w:ascii="宋体" w:hAnsi="宋体" w:eastAsia="宋体" w:cs="宋体"/>
          <w:spacing w:val="8"/>
          <w:sz w:val="20"/>
          <w:szCs w:val="20"/>
        </w:rPr>
        <w:t>评标委员会结合清标成果，对各个投标价格和影响投标价格合理性的以下因素逐一进</w:t>
      </w:r>
      <w:r>
        <w:rPr>
          <w:rFonts w:ascii="宋体" w:hAnsi="宋体" w:eastAsia="宋体" w:cs="宋体"/>
          <w:spacing w:val="7"/>
          <w:sz w:val="20"/>
          <w:szCs w:val="20"/>
        </w:rPr>
        <w:t>行分析：</w:t>
      </w:r>
      <w:r>
        <w:rPr>
          <w:rFonts w:ascii="宋体" w:hAnsi="宋体" w:eastAsia="宋体" w:cs="宋体"/>
          <w:spacing w:val="10"/>
          <w:sz w:val="20"/>
          <w:szCs w:val="20"/>
        </w:rPr>
        <w:t>当出现下列情况时，应当按本章A3.7</w:t>
      </w:r>
      <w:r>
        <w:rPr>
          <w:rFonts w:ascii="宋体" w:hAnsi="宋体" w:eastAsia="宋体" w:cs="宋体"/>
          <w:spacing w:val="-40"/>
          <w:sz w:val="20"/>
          <w:szCs w:val="20"/>
        </w:rPr>
        <w:t xml:space="preserve"> </w:t>
      </w:r>
      <w:r>
        <w:rPr>
          <w:rFonts w:ascii="宋体" w:hAnsi="宋体" w:eastAsia="宋体" w:cs="宋体"/>
          <w:spacing w:val="10"/>
          <w:sz w:val="20"/>
          <w:szCs w:val="20"/>
        </w:rPr>
        <w:t>款的程序，要求该投标人作出书面说明并</w:t>
      </w:r>
      <w:r>
        <w:rPr>
          <w:rFonts w:ascii="宋体" w:hAnsi="宋体" w:eastAsia="宋体" w:cs="宋体"/>
          <w:spacing w:val="9"/>
          <w:sz w:val="20"/>
          <w:szCs w:val="20"/>
        </w:rPr>
        <w:t>提供相应的证明材</w:t>
      </w:r>
      <w:r>
        <w:rPr>
          <w:rFonts w:ascii="宋体" w:hAnsi="宋体" w:eastAsia="宋体" w:cs="宋体"/>
          <w:sz w:val="20"/>
          <w:szCs w:val="20"/>
        </w:rPr>
        <w:t>料。</w:t>
      </w:r>
    </w:p>
    <w:p w14:paraId="65830298">
      <w:pPr>
        <w:spacing w:line="226" w:lineRule="auto"/>
        <w:ind w:left="439"/>
        <w:rPr>
          <w:rFonts w:ascii="宋体" w:hAnsi="宋体" w:eastAsia="宋体" w:cs="宋体"/>
          <w:sz w:val="20"/>
          <w:szCs w:val="20"/>
        </w:rPr>
      </w:pPr>
      <w:r>
        <w:rPr>
          <w:rFonts w:ascii="宋体" w:hAnsi="宋体" w:eastAsia="宋体" w:cs="宋体"/>
          <w:spacing w:val="8"/>
          <w:sz w:val="20"/>
          <w:szCs w:val="20"/>
        </w:rPr>
        <w:t>1）分部分项工程和单价措施项目清单价格</w:t>
      </w:r>
    </w:p>
    <w:p w14:paraId="4D007AF7">
      <w:pPr>
        <w:spacing w:before="169" w:line="404" w:lineRule="auto"/>
        <w:ind w:left="4" w:right="50" w:firstLine="422"/>
        <w:rPr>
          <w:rFonts w:ascii="宋体" w:hAnsi="宋体" w:eastAsia="宋体" w:cs="宋体"/>
          <w:sz w:val="20"/>
          <w:szCs w:val="20"/>
        </w:rPr>
      </w:pPr>
      <w:r>
        <w:rPr>
          <w:rFonts w:ascii="宋体" w:hAnsi="宋体" w:eastAsia="宋体" w:cs="宋体"/>
          <w:spacing w:val="12"/>
          <w:sz w:val="20"/>
          <w:szCs w:val="20"/>
        </w:rPr>
        <w:t>投标人已标价工程量清单的分部分项工程和单价措施</w:t>
      </w:r>
      <w:r>
        <w:rPr>
          <w:rFonts w:ascii="宋体" w:hAnsi="宋体" w:eastAsia="宋体" w:cs="宋体"/>
          <w:spacing w:val="11"/>
          <w:sz w:val="20"/>
          <w:szCs w:val="20"/>
        </w:rPr>
        <w:t>项目与招标控制价相应项目对比，</w:t>
      </w:r>
      <w:r>
        <w:rPr>
          <w:rFonts w:ascii="宋体" w:hAnsi="宋体" w:eastAsia="宋体" w:cs="宋体"/>
          <w:b/>
          <w:bCs/>
          <w:spacing w:val="11"/>
          <w:sz w:val="20"/>
          <w:szCs w:val="20"/>
        </w:rPr>
        <w:t>综合</w:t>
      </w:r>
      <w:r>
        <w:rPr>
          <w:rFonts w:ascii="宋体" w:hAnsi="宋体" w:eastAsia="宋体" w:cs="宋体"/>
          <w:b/>
          <w:bCs/>
          <w:spacing w:val="8"/>
          <w:sz w:val="20"/>
          <w:szCs w:val="20"/>
        </w:rPr>
        <w:t>单价</w:t>
      </w:r>
      <w:r>
        <w:rPr>
          <w:rFonts w:ascii="宋体" w:hAnsi="宋体" w:eastAsia="宋体" w:cs="宋体"/>
          <w:spacing w:val="8"/>
          <w:sz w:val="20"/>
          <w:szCs w:val="20"/>
        </w:rPr>
        <w:t>低于招标控制价相应项目（房建、安装、仿古、桥梁、隧道</w:t>
      </w:r>
      <w:r>
        <w:rPr>
          <w:rFonts w:ascii="宋体" w:hAnsi="宋体" w:eastAsia="宋体" w:cs="宋体"/>
          <w:spacing w:val="-34"/>
          <w:sz w:val="20"/>
          <w:szCs w:val="20"/>
        </w:rPr>
        <w:t xml:space="preserve"> </w:t>
      </w:r>
      <w:r>
        <w:rPr>
          <w:rFonts w:ascii="宋体" w:hAnsi="宋体" w:eastAsia="宋体" w:cs="宋体"/>
          <w:spacing w:val="8"/>
          <w:sz w:val="20"/>
          <w:szCs w:val="20"/>
        </w:rPr>
        <w:t>20%；装饰、园林</w:t>
      </w:r>
      <w:r>
        <w:rPr>
          <w:rFonts w:ascii="宋体" w:hAnsi="宋体" w:eastAsia="宋体" w:cs="宋体"/>
          <w:spacing w:val="-32"/>
          <w:sz w:val="20"/>
          <w:szCs w:val="20"/>
        </w:rPr>
        <w:t xml:space="preserve"> </w:t>
      </w:r>
      <w:r>
        <w:rPr>
          <w:rFonts w:ascii="宋体" w:hAnsi="宋体" w:eastAsia="宋体" w:cs="宋体"/>
          <w:spacing w:val="7"/>
          <w:sz w:val="20"/>
          <w:szCs w:val="20"/>
        </w:rPr>
        <w:t>25%以上；市政</w:t>
      </w:r>
      <w:r>
        <w:rPr>
          <w:rFonts w:ascii="宋体" w:hAnsi="宋体" w:eastAsia="宋体" w:cs="宋体"/>
          <w:spacing w:val="5"/>
          <w:sz w:val="20"/>
          <w:szCs w:val="20"/>
        </w:rPr>
        <w:t>（不含桥梁、隧道）、单独土石方、绿化低于招标控制价相应项目</w:t>
      </w:r>
      <w:r>
        <w:rPr>
          <w:rFonts w:ascii="宋体" w:hAnsi="宋体" w:eastAsia="宋体" w:cs="宋体"/>
          <w:spacing w:val="-35"/>
          <w:sz w:val="20"/>
          <w:szCs w:val="20"/>
        </w:rPr>
        <w:t xml:space="preserve"> </w:t>
      </w:r>
      <w:r>
        <w:rPr>
          <w:rFonts w:ascii="宋体" w:hAnsi="宋体" w:eastAsia="宋体" w:cs="宋体"/>
          <w:spacing w:val="5"/>
          <w:sz w:val="20"/>
          <w:szCs w:val="20"/>
        </w:rPr>
        <w:t>35%以上</w:t>
      </w:r>
      <w:r>
        <w:rPr>
          <w:rFonts w:ascii="宋体" w:hAnsi="宋体" w:eastAsia="宋体" w:cs="宋体"/>
          <w:spacing w:val="-47"/>
          <w:sz w:val="20"/>
          <w:szCs w:val="20"/>
        </w:rPr>
        <w:t>）；</w:t>
      </w:r>
      <w:r>
        <w:rPr>
          <w:rFonts w:ascii="宋体" w:hAnsi="宋体" w:eastAsia="宋体" w:cs="宋体"/>
          <w:spacing w:val="5"/>
          <w:sz w:val="20"/>
          <w:szCs w:val="20"/>
        </w:rPr>
        <w:t>或者</w:t>
      </w:r>
      <w:r>
        <w:rPr>
          <w:rFonts w:ascii="宋体" w:hAnsi="宋体" w:eastAsia="宋体" w:cs="宋体"/>
          <w:b/>
          <w:bCs/>
          <w:spacing w:val="5"/>
          <w:sz w:val="20"/>
          <w:szCs w:val="20"/>
        </w:rPr>
        <w:t>主</w:t>
      </w:r>
      <w:r>
        <w:rPr>
          <w:rFonts w:ascii="宋体" w:hAnsi="宋体" w:eastAsia="宋体" w:cs="宋体"/>
          <w:b/>
          <w:bCs/>
          <w:spacing w:val="4"/>
          <w:sz w:val="20"/>
          <w:szCs w:val="20"/>
        </w:rPr>
        <w:t>要材料单价</w:t>
      </w:r>
      <w:r>
        <w:rPr>
          <w:rFonts w:ascii="宋体" w:hAnsi="宋体" w:eastAsia="宋体" w:cs="宋体"/>
          <w:spacing w:val="4"/>
          <w:sz w:val="20"/>
          <w:szCs w:val="20"/>
        </w:rPr>
        <w:t>低</w:t>
      </w:r>
      <w:r>
        <w:rPr>
          <w:rFonts w:ascii="宋体" w:hAnsi="宋体" w:eastAsia="宋体" w:cs="宋体"/>
          <w:spacing w:val="7"/>
          <w:sz w:val="20"/>
          <w:szCs w:val="20"/>
        </w:rPr>
        <w:t>于招标控制价相应材料单价</w:t>
      </w:r>
      <w:r>
        <w:rPr>
          <w:rFonts w:ascii="宋体" w:hAnsi="宋体" w:eastAsia="宋体" w:cs="宋体"/>
          <w:spacing w:val="-18"/>
          <w:sz w:val="20"/>
          <w:szCs w:val="20"/>
        </w:rPr>
        <w:t xml:space="preserve"> </w:t>
      </w:r>
      <w:r>
        <w:rPr>
          <w:rFonts w:ascii="宋体" w:hAnsi="宋体" w:eastAsia="宋体" w:cs="宋体"/>
          <w:spacing w:val="7"/>
          <w:sz w:val="20"/>
          <w:szCs w:val="20"/>
        </w:rPr>
        <w:t>25%以上，其中钢材、沥青、砼或水泥材料单价低于招标控制价相应材</w:t>
      </w:r>
      <w:r>
        <w:rPr>
          <w:rFonts w:ascii="宋体" w:hAnsi="宋体" w:eastAsia="宋体" w:cs="宋体"/>
          <w:spacing w:val="9"/>
          <w:sz w:val="20"/>
          <w:szCs w:val="20"/>
        </w:rPr>
        <w:t>料单价</w:t>
      </w:r>
      <w:r>
        <w:rPr>
          <w:rFonts w:ascii="宋体" w:hAnsi="宋体" w:eastAsia="宋体" w:cs="宋体"/>
          <w:spacing w:val="-6"/>
          <w:sz w:val="20"/>
          <w:szCs w:val="20"/>
        </w:rPr>
        <w:t xml:space="preserve"> </w:t>
      </w:r>
      <w:r>
        <w:rPr>
          <w:rFonts w:ascii="宋体" w:hAnsi="宋体" w:eastAsia="宋体" w:cs="宋体"/>
          <w:spacing w:val="9"/>
          <w:sz w:val="20"/>
          <w:szCs w:val="20"/>
        </w:rPr>
        <w:t>10%以上。综合单价的企业管理费和利润小于等于0；或者所报的主要材料消耗量低于工程</w:t>
      </w:r>
      <w:r>
        <w:rPr>
          <w:rFonts w:ascii="宋体" w:hAnsi="宋体" w:eastAsia="宋体" w:cs="宋体"/>
          <w:spacing w:val="7"/>
          <w:sz w:val="20"/>
          <w:szCs w:val="20"/>
        </w:rPr>
        <w:t>量清单实体量。</w:t>
      </w:r>
    </w:p>
    <w:p w14:paraId="646B01DB">
      <w:pPr>
        <w:spacing w:line="226" w:lineRule="auto"/>
        <w:ind w:left="426"/>
        <w:rPr>
          <w:rFonts w:ascii="宋体" w:hAnsi="宋体" w:eastAsia="宋体" w:cs="宋体"/>
          <w:sz w:val="20"/>
          <w:szCs w:val="20"/>
        </w:rPr>
      </w:pPr>
      <w:r>
        <w:rPr>
          <w:rFonts w:ascii="宋体" w:hAnsi="宋体" w:eastAsia="宋体" w:cs="宋体"/>
          <w:spacing w:val="8"/>
          <w:sz w:val="20"/>
          <w:szCs w:val="20"/>
        </w:rPr>
        <w:t>2）总价措施项目清单价格</w:t>
      </w:r>
    </w:p>
    <w:p w14:paraId="6523D3DF">
      <w:pPr>
        <w:spacing w:before="170" w:line="401" w:lineRule="auto"/>
        <w:ind w:left="3" w:right="51" w:firstLine="423"/>
        <w:rPr>
          <w:rFonts w:ascii="宋体" w:hAnsi="宋体" w:eastAsia="宋体" w:cs="宋体"/>
          <w:sz w:val="20"/>
          <w:szCs w:val="20"/>
        </w:rPr>
      </w:pPr>
      <w:r>
        <w:rPr>
          <w:rFonts w:ascii="宋体" w:hAnsi="宋体" w:eastAsia="宋体" w:cs="宋体"/>
          <w:spacing w:val="12"/>
          <w:sz w:val="20"/>
          <w:szCs w:val="20"/>
        </w:rPr>
        <w:t>投标人已标价工程量清单的单位工程的总价措施项目费与招标控制</w:t>
      </w:r>
      <w:r>
        <w:rPr>
          <w:rFonts w:ascii="宋体" w:hAnsi="宋体" w:eastAsia="宋体" w:cs="宋体"/>
          <w:spacing w:val="11"/>
          <w:sz w:val="20"/>
          <w:szCs w:val="20"/>
        </w:rPr>
        <w:t>价相应单位工程的总价措</w:t>
      </w:r>
      <w:r>
        <w:rPr>
          <w:rFonts w:ascii="宋体" w:hAnsi="宋体" w:eastAsia="宋体" w:cs="宋体"/>
          <w:spacing w:val="10"/>
          <w:sz w:val="20"/>
          <w:szCs w:val="20"/>
        </w:rPr>
        <w:t>施项目费对比，其总价措施项目费低于招标控制价的总价措施项目费40%以上。</w:t>
      </w:r>
    </w:p>
    <w:p w14:paraId="303DDEFD">
      <w:pPr>
        <w:spacing w:line="226" w:lineRule="auto"/>
        <w:ind w:left="428"/>
        <w:rPr>
          <w:rFonts w:ascii="宋体" w:hAnsi="宋体" w:eastAsia="宋体" w:cs="宋体"/>
          <w:sz w:val="20"/>
          <w:szCs w:val="20"/>
        </w:rPr>
      </w:pPr>
      <w:r>
        <w:rPr>
          <w:rFonts w:ascii="宋体" w:hAnsi="宋体" w:eastAsia="宋体" w:cs="宋体"/>
          <w:spacing w:val="8"/>
          <w:sz w:val="20"/>
          <w:szCs w:val="20"/>
        </w:rPr>
        <w:t>3）其他项目清单价格</w:t>
      </w:r>
    </w:p>
    <w:p w14:paraId="0863A9F0">
      <w:pPr>
        <w:spacing w:before="168" w:line="226" w:lineRule="auto"/>
        <w:jc w:val="right"/>
        <w:rPr>
          <w:rFonts w:ascii="宋体" w:hAnsi="宋体" w:eastAsia="宋体" w:cs="宋体"/>
          <w:sz w:val="20"/>
          <w:szCs w:val="20"/>
        </w:rPr>
      </w:pPr>
      <w:r>
        <w:rPr>
          <w:rFonts w:ascii="宋体" w:hAnsi="宋体" w:eastAsia="宋体" w:cs="宋体"/>
          <w:spacing w:val="9"/>
          <w:sz w:val="20"/>
          <w:szCs w:val="20"/>
        </w:rPr>
        <w:t>投标人已标价工程量清单的单位工程其他项</w:t>
      </w:r>
      <w:r>
        <w:rPr>
          <w:rFonts w:ascii="宋体" w:hAnsi="宋体" w:eastAsia="宋体" w:cs="宋体"/>
          <w:spacing w:val="8"/>
          <w:sz w:val="20"/>
          <w:szCs w:val="20"/>
        </w:rPr>
        <w:t>目清单中计日工的企业管理费和利润小于等于</w:t>
      </w:r>
      <w:r>
        <w:rPr>
          <w:rFonts w:ascii="宋体" w:hAnsi="宋体" w:eastAsia="宋体" w:cs="宋体"/>
          <w:spacing w:val="-38"/>
          <w:sz w:val="20"/>
          <w:szCs w:val="20"/>
        </w:rPr>
        <w:t xml:space="preserve"> </w:t>
      </w:r>
      <w:r>
        <w:rPr>
          <w:rFonts w:ascii="宋体" w:hAnsi="宋体" w:eastAsia="宋体" w:cs="宋体"/>
          <w:spacing w:val="8"/>
          <w:sz w:val="20"/>
          <w:szCs w:val="20"/>
        </w:rPr>
        <w:t>0。</w:t>
      </w:r>
    </w:p>
    <w:p w14:paraId="054BEDE0">
      <w:pPr>
        <w:spacing w:before="182" w:line="228" w:lineRule="auto"/>
        <w:ind w:left="423"/>
        <w:rPr>
          <w:rFonts w:ascii="宋体" w:hAnsi="宋体" w:eastAsia="宋体" w:cs="宋体"/>
          <w:sz w:val="20"/>
          <w:szCs w:val="20"/>
        </w:rPr>
      </w:pPr>
      <w:r>
        <w:rPr>
          <w:rFonts w:ascii="宋体" w:hAnsi="宋体" w:eastAsia="宋体" w:cs="宋体"/>
          <w:spacing w:val="8"/>
          <w:sz w:val="20"/>
          <w:szCs w:val="20"/>
        </w:rPr>
        <w:t>4）建设项目总人工费</w:t>
      </w:r>
    </w:p>
    <w:p w14:paraId="6AEFAB18">
      <w:pPr>
        <w:spacing w:before="169" w:line="405" w:lineRule="auto"/>
        <w:ind w:left="3" w:right="51" w:firstLine="423"/>
        <w:rPr>
          <w:rFonts w:ascii="宋体" w:hAnsi="宋体" w:eastAsia="宋体" w:cs="宋体"/>
          <w:sz w:val="20"/>
          <w:szCs w:val="20"/>
        </w:rPr>
      </w:pPr>
      <w:r>
        <w:rPr>
          <w:rFonts w:ascii="宋体" w:hAnsi="宋体" w:eastAsia="宋体" w:cs="宋体"/>
          <w:spacing w:val="12"/>
          <w:sz w:val="20"/>
          <w:szCs w:val="20"/>
        </w:rPr>
        <w:t>投标人已标价工程量清单的建设项目的总人工费与招标控制价的总</w:t>
      </w:r>
      <w:r>
        <w:rPr>
          <w:rFonts w:ascii="宋体" w:hAnsi="宋体" w:eastAsia="宋体" w:cs="宋体"/>
          <w:spacing w:val="11"/>
          <w:sz w:val="20"/>
          <w:szCs w:val="20"/>
        </w:rPr>
        <w:t>人工费对比，其总人工费</w:t>
      </w:r>
      <w:r>
        <w:rPr>
          <w:rFonts w:ascii="宋体" w:hAnsi="宋体" w:eastAsia="宋体" w:cs="宋体"/>
          <w:spacing w:val="7"/>
          <w:sz w:val="20"/>
          <w:szCs w:val="20"/>
        </w:rPr>
        <w:t>低于招标控制价总人工费的</w:t>
      </w:r>
      <w:r>
        <w:rPr>
          <w:rFonts w:ascii="宋体" w:hAnsi="宋体" w:eastAsia="宋体" w:cs="宋体"/>
          <w:spacing w:val="-30"/>
          <w:sz w:val="20"/>
          <w:szCs w:val="20"/>
        </w:rPr>
        <w:t xml:space="preserve"> </w:t>
      </w:r>
      <w:r>
        <w:rPr>
          <w:rFonts w:ascii="宋体" w:hAnsi="宋体" w:eastAsia="宋体" w:cs="宋体"/>
          <w:spacing w:val="7"/>
          <w:sz w:val="20"/>
          <w:szCs w:val="20"/>
        </w:rPr>
        <w:t>30%以上。</w:t>
      </w:r>
    </w:p>
    <w:p w14:paraId="5E210B2F">
      <w:pPr>
        <w:spacing w:before="1" w:line="227" w:lineRule="auto"/>
        <w:ind w:left="428"/>
        <w:rPr>
          <w:rFonts w:ascii="宋体" w:hAnsi="宋体" w:eastAsia="宋体" w:cs="宋体"/>
          <w:sz w:val="20"/>
          <w:szCs w:val="20"/>
        </w:rPr>
      </w:pPr>
      <w:r>
        <w:rPr>
          <w:rFonts w:ascii="宋体" w:hAnsi="宋体" w:eastAsia="宋体" w:cs="宋体"/>
          <w:spacing w:val="8"/>
          <w:sz w:val="20"/>
          <w:szCs w:val="20"/>
        </w:rPr>
        <w:t>5）未填报的项目费用</w:t>
      </w:r>
    </w:p>
    <w:p w14:paraId="59695E5A">
      <w:pPr>
        <w:pStyle w:val="2"/>
        <w:spacing w:before="137" w:line="221" w:lineRule="auto"/>
        <w:outlineLvl w:val="1"/>
        <w:rPr>
          <w:sz w:val="24"/>
          <w:szCs w:val="24"/>
        </w:rPr>
      </w:pPr>
      <w:bookmarkStart w:id="179" w:name="bookmark160"/>
      <w:bookmarkEnd w:id="179"/>
      <w:r>
        <w:rPr>
          <w:rFonts w:ascii="Times New Roman" w:hAnsi="Times New Roman" w:eastAsia="Times New Roman" w:cs="Times New Roman"/>
          <w:spacing w:val="-1"/>
          <w:sz w:val="24"/>
          <w:szCs w:val="24"/>
        </w:rPr>
        <w:t>D4.</w:t>
      </w:r>
      <w:r>
        <w:rPr>
          <w:spacing w:val="-1"/>
          <w:sz w:val="24"/>
          <w:szCs w:val="24"/>
        </w:rPr>
        <w:t>澄清、说明或补正</w:t>
      </w:r>
    </w:p>
    <w:p w14:paraId="3CB3EB54">
      <w:pPr>
        <w:spacing w:before="169" w:line="380" w:lineRule="auto"/>
        <w:ind w:left="6" w:right="53" w:firstLine="416"/>
        <w:rPr>
          <w:rFonts w:ascii="宋体" w:hAnsi="宋体" w:eastAsia="宋体" w:cs="宋体"/>
          <w:sz w:val="20"/>
          <w:szCs w:val="20"/>
        </w:rPr>
      </w:pPr>
      <w:r>
        <w:rPr>
          <w:rFonts w:ascii="宋体" w:hAnsi="宋体" w:eastAsia="宋体" w:cs="宋体"/>
          <w:spacing w:val="8"/>
          <w:sz w:val="20"/>
          <w:szCs w:val="20"/>
        </w:rPr>
        <w:t>评标委员会汇总对投标报价的疑问，按</w:t>
      </w:r>
      <w:r>
        <w:rPr>
          <w:rFonts w:ascii="宋体" w:hAnsi="宋体" w:eastAsia="宋体" w:cs="宋体"/>
          <w:spacing w:val="-46"/>
          <w:sz w:val="20"/>
          <w:szCs w:val="20"/>
        </w:rPr>
        <w:t xml:space="preserve"> </w:t>
      </w:r>
      <w:r>
        <w:rPr>
          <w:rFonts w:ascii="宋体" w:hAnsi="宋体" w:eastAsia="宋体" w:cs="宋体"/>
          <w:spacing w:val="8"/>
          <w:sz w:val="20"/>
          <w:szCs w:val="20"/>
        </w:rPr>
        <w:t>A3.7</w:t>
      </w:r>
      <w:r>
        <w:rPr>
          <w:rFonts w:ascii="宋体" w:hAnsi="宋体" w:eastAsia="宋体" w:cs="宋体"/>
          <w:spacing w:val="-39"/>
          <w:sz w:val="20"/>
          <w:szCs w:val="20"/>
        </w:rPr>
        <w:t xml:space="preserve"> </w:t>
      </w:r>
      <w:r>
        <w:rPr>
          <w:rFonts w:ascii="宋体" w:hAnsi="宋体" w:eastAsia="宋体" w:cs="宋体"/>
          <w:spacing w:val="8"/>
          <w:sz w:val="20"/>
          <w:szCs w:val="20"/>
        </w:rPr>
        <w:t>款的程序启动“澄清、说</w:t>
      </w:r>
      <w:r>
        <w:rPr>
          <w:rFonts w:ascii="宋体" w:hAnsi="宋体" w:eastAsia="宋体" w:cs="宋体"/>
          <w:spacing w:val="7"/>
          <w:sz w:val="20"/>
          <w:szCs w:val="20"/>
        </w:rPr>
        <w:t>明或补正</w:t>
      </w:r>
      <w:r>
        <w:rPr>
          <w:rFonts w:ascii="宋体" w:hAnsi="宋体" w:eastAsia="宋体" w:cs="宋体"/>
          <w:spacing w:val="-70"/>
          <w:sz w:val="20"/>
          <w:szCs w:val="20"/>
        </w:rPr>
        <w:t xml:space="preserve"> </w:t>
      </w:r>
      <w:r>
        <w:rPr>
          <w:rFonts w:ascii="宋体" w:hAnsi="宋体" w:eastAsia="宋体" w:cs="宋体"/>
          <w:spacing w:val="7"/>
          <w:sz w:val="20"/>
          <w:szCs w:val="20"/>
        </w:rPr>
        <w:t>”程序，发出</w:t>
      </w:r>
      <w:r>
        <w:rPr>
          <w:rFonts w:ascii="宋体" w:hAnsi="宋体" w:eastAsia="宋体" w:cs="宋体"/>
          <w:spacing w:val="9"/>
          <w:sz w:val="20"/>
          <w:szCs w:val="20"/>
        </w:rPr>
        <w:t>投标文件澄清通知，要求投标人进行澄清和说明并提交有关证明材料。</w:t>
      </w:r>
    </w:p>
    <w:p w14:paraId="67CEBBBE">
      <w:pPr>
        <w:pStyle w:val="2"/>
        <w:spacing w:line="221" w:lineRule="auto"/>
        <w:outlineLvl w:val="1"/>
        <w:rPr>
          <w:sz w:val="24"/>
          <w:szCs w:val="24"/>
        </w:rPr>
      </w:pPr>
      <w:bookmarkStart w:id="180" w:name="bookmark161"/>
      <w:bookmarkEnd w:id="180"/>
      <w:r>
        <w:rPr>
          <w:rFonts w:ascii="Times New Roman" w:hAnsi="Times New Roman" w:eastAsia="Times New Roman" w:cs="Times New Roman"/>
          <w:spacing w:val="-1"/>
          <w:sz w:val="24"/>
          <w:szCs w:val="24"/>
        </w:rPr>
        <w:t>D5.</w:t>
      </w:r>
      <w:r>
        <w:rPr>
          <w:spacing w:val="-1"/>
          <w:sz w:val="24"/>
          <w:szCs w:val="24"/>
        </w:rPr>
        <w:t>判断投标报价是否低于其成本</w:t>
      </w:r>
    </w:p>
    <w:p w14:paraId="1E76A484">
      <w:pPr>
        <w:spacing w:before="171" w:line="402" w:lineRule="auto"/>
        <w:ind w:left="4" w:right="51" w:firstLine="418"/>
        <w:rPr>
          <w:rFonts w:ascii="宋体" w:hAnsi="宋体" w:eastAsia="宋体" w:cs="宋体"/>
          <w:sz w:val="20"/>
          <w:szCs w:val="20"/>
        </w:rPr>
      </w:pPr>
      <w:r>
        <w:rPr>
          <w:rFonts w:ascii="宋体" w:hAnsi="宋体" w:eastAsia="宋体" w:cs="宋体"/>
          <w:spacing w:val="12"/>
          <w:sz w:val="20"/>
          <w:szCs w:val="20"/>
        </w:rPr>
        <w:t>评标委员会根据投标人澄清和说明并提交的有关证明材料，判断投标人的投</w:t>
      </w:r>
      <w:r>
        <w:rPr>
          <w:rFonts w:ascii="宋体" w:hAnsi="宋体" w:eastAsia="宋体" w:cs="宋体"/>
          <w:spacing w:val="11"/>
          <w:sz w:val="20"/>
          <w:szCs w:val="20"/>
        </w:rPr>
        <w:t>标报价是否低于</w:t>
      </w:r>
      <w:r>
        <w:rPr>
          <w:rFonts w:ascii="宋体" w:hAnsi="宋体" w:eastAsia="宋体" w:cs="宋体"/>
          <w:spacing w:val="13"/>
          <w:sz w:val="20"/>
          <w:szCs w:val="20"/>
        </w:rPr>
        <w:t>其成本。使用</w:t>
      </w:r>
      <w:r>
        <w:rPr>
          <w:rFonts w:ascii="宋体" w:hAnsi="宋体" w:eastAsia="宋体" w:cs="宋体"/>
          <w:b/>
          <w:bCs/>
          <w:spacing w:val="13"/>
          <w:sz w:val="20"/>
          <w:szCs w:val="20"/>
        </w:rPr>
        <w:t>附表D-1</w:t>
      </w:r>
      <w:r>
        <w:rPr>
          <w:rFonts w:ascii="宋体" w:hAnsi="宋体" w:eastAsia="宋体" w:cs="宋体"/>
          <w:spacing w:val="13"/>
          <w:sz w:val="20"/>
          <w:szCs w:val="20"/>
        </w:rPr>
        <w:t>记录记录评审结果。</w:t>
      </w:r>
    </w:p>
    <w:p w14:paraId="05DEDEBE">
      <w:pPr>
        <w:spacing w:before="1" w:line="396" w:lineRule="auto"/>
        <w:ind w:left="5" w:right="51" w:firstLine="421"/>
        <w:rPr>
          <w:rFonts w:ascii="宋体" w:hAnsi="宋体" w:eastAsia="宋体" w:cs="宋体"/>
          <w:sz w:val="20"/>
          <w:szCs w:val="20"/>
        </w:rPr>
      </w:pPr>
      <w:r>
        <w:rPr>
          <w:rFonts w:ascii="宋体" w:hAnsi="宋体" w:eastAsia="宋体" w:cs="宋体"/>
          <w:spacing w:val="12"/>
          <w:sz w:val="20"/>
          <w:szCs w:val="20"/>
        </w:rPr>
        <w:t>如投标人能合理说明或者提供相应证明材料，充分说明低于上述</w:t>
      </w:r>
      <w:r>
        <w:rPr>
          <w:rFonts w:ascii="宋体" w:hAnsi="宋体" w:eastAsia="宋体" w:cs="宋体"/>
          <w:spacing w:val="11"/>
          <w:sz w:val="20"/>
          <w:szCs w:val="20"/>
        </w:rPr>
        <w:t>各项定量指标为合理的，并</w:t>
      </w:r>
      <w:r>
        <w:rPr>
          <w:rFonts w:ascii="宋体" w:hAnsi="宋体" w:eastAsia="宋体" w:cs="宋体"/>
          <w:spacing w:val="8"/>
          <w:sz w:val="20"/>
          <w:szCs w:val="20"/>
        </w:rPr>
        <w:t>经过评标委员会确认，可视为未低于成本报价。</w:t>
      </w:r>
    </w:p>
    <w:p w14:paraId="211BE0FA">
      <w:pPr>
        <w:spacing w:before="1" w:line="398" w:lineRule="auto"/>
        <w:ind w:left="3" w:right="50" w:firstLine="430"/>
        <w:jc w:val="both"/>
        <w:rPr>
          <w:rFonts w:ascii="宋体" w:hAnsi="宋体" w:eastAsia="宋体" w:cs="宋体"/>
          <w:sz w:val="20"/>
          <w:szCs w:val="20"/>
        </w:rPr>
      </w:pPr>
      <w:r>
        <w:rPr>
          <w:rFonts w:ascii="宋体" w:hAnsi="宋体" w:eastAsia="宋体" w:cs="宋体"/>
          <w:spacing w:val="9"/>
          <w:sz w:val="20"/>
          <w:szCs w:val="20"/>
        </w:rPr>
        <w:t>（1）提供该投标人在近三年中已完成一个类似工程（结构特征和规模相似）</w:t>
      </w:r>
      <w:r>
        <w:rPr>
          <w:rFonts w:ascii="宋体" w:hAnsi="宋体" w:eastAsia="宋体" w:cs="宋体"/>
          <w:spacing w:val="8"/>
          <w:sz w:val="20"/>
          <w:szCs w:val="20"/>
        </w:rPr>
        <w:t>的投标报价、分</w:t>
      </w:r>
      <w:r>
        <w:rPr>
          <w:rFonts w:ascii="宋体" w:hAnsi="宋体" w:eastAsia="宋体" w:cs="宋体"/>
          <w:spacing w:val="12"/>
          <w:sz w:val="20"/>
          <w:szCs w:val="20"/>
        </w:rPr>
        <w:t>部分项工程项目报价，考虑价格变化因素后，与本次投标报价情况近似</w:t>
      </w:r>
      <w:r>
        <w:rPr>
          <w:rFonts w:ascii="宋体" w:hAnsi="宋体" w:eastAsia="宋体" w:cs="宋体"/>
          <w:spacing w:val="11"/>
          <w:sz w:val="20"/>
          <w:szCs w:val="20"/>
        </w:rPr>
        <w:t>，同时应由有资质的工程</w:t>
      </w:r>
      <w:r>
        <w:rPr>
          <w:rFonts w:ascii="宋体" w:hAnsi="宋体" w:eastAsia="宋体" w:cs="宋体"/>
          <w:spacing w:val="12"/>
          <w:sz w:val="20"/>
          <w:szCs w:val="20"/>
        </w:rPr>
        <w:t>造价咨询单位对该工程结算价出具审价报告，表明该投标人已按投标报</w:t>
      </w:r>
      <w:r>
        <w:rPr>
          <w:rFonts w:ascii="宋体" w:hAnsi="宋体" w:eastAsia="宋体" w:cs="宋体"/>
          <w:spacing w:val="11"/>
          <w:sz w:val="20"/>
          <w:szCs w:val="20"/>
        </w:rPr>
        <w:t>价及合同约定圆满完成了</w:t>
      </w:r>
    </w:p>
    <w:p w14:paraId="683F2F86">
      <w:pPr>
        <w:spacing w:line="398" w:lineRule="auto"/>
        <w:rPr>
          <w:rFonts w:ascii="宋体" w:hAnsi="宋体" w:eastAsia="宋体" w:cs="宋体"/>
          <w:sz w:val="20"/>
          <w:szCs w:val="20"/>
        </w:rPr>
        <w:sectPr>
          <w:footerReference r:id="rId123" w:type="default"/>
          <w:pgSz w:w="11907" w:h="16840"/>
          <w:pgMar w:top="400" w:right="1423" w:bottom="1035" w:left="1535" w:header="0" w:footer="785" w:gutter="0"/>
          <w:cols w:space="720" w:num="1"/>
        </w:sectPr>
      </w:pPr>
    </w:p>
    <w:p w14:paraId="73AFE6B1">
      <w:pPr>
        <w:spacing w:line="256" w:lineRule="auto"/>
        <w:rPr>
          <w:rFonts w:ascii="Arial"/>
          <w:sz w:val="21"/>
        </w:rPr>
      </w:pPr>
    </w:p>
    <w:p w14:paraId="72952EE0">
      <w:pPr>
        <w:spacing w:line="256" w:lineRule="auto"/>
        <w:rPr>
          <w:rFonts w:ascii="Arial"/>
          <w:sz w:val="21"/>
        </w:rPr>
      </w:pPr>
    </w:p>
    <w:p w14:paraId="380F1909">
      <w:pPr>
        <w:spacing w:line="256" w:lineRule="auto"/>
        <w:rPr>
          <w:rFonts w:ascii="Arial"/>
          <w:sz w:val="21"/>
        </w:rPr>
      </w:pPr>
    </w:p>
    <w:p w14:paraId="7B253371">
      <w:pPr>
        <w:spacing w:line="256" w:lineRule="auto"/>
        <w:rPr>
          <w:rFonts w:ascii="Arial"/>
          <w:sz w:val="21"/>
        </w:rPr>
      </w:pPr>
    </w:p>
    <w:p w14:paraId="12E4BAFA">
      <w:pPr>
        <w:spacing w:line="256" w:lineRule="auto"/>
        <w:rPr>
          <w:rFonts w:ascii="Arial"/>
          <w:sz w:val="21"/>
        </w:rPr>
      </w:pPr>
    </w:p>
    <w:p w14:paraId="2AC097A1">
      <w:pPr>
        <w:spacing w:before="65" w:line="228" w:lineRule="auto"/>
        <w:ind w:left="3"/>
        <w:rPr>
          <w:rFonts w:ascii="宋体" w:hAnsi="宋体" w:eastAsia="宋体" w:cs="宋体"/>
          <w:sz w:val="20"/>
          <w:szCs w:val="20"/>
        </w:rPr>
      </w:pPr>
      <w:r>
        <w:rPr>
          <w:rFonts w:ascii="宋体" w:hAnsi="宋体" w:eastAsia="宋体" w:cs="宋体"/>
          <w:spacing w:val="8"/>
          <w:sz w:val="20"/>
          <w:szCs w:val="20"/>
        </w:rPr>
        <w:t>工程施工，并未发生投标人原因而增加的费用。</w:t>
      </w:r>
    </w:p>
    <w:p w14:paraId="5719E57B">
      <w:pPr>
        <w:spacing w:before="182" w:line="397" w:lineRule="auto"/>
        <w:ind w:left="5" w:right="54" w:firstLine="425"/>
        <w:rPr>
          <w:rFonts w:ascii="宋体" w:hAnsi="宋体" w:eastAsia="宋体" w:cs="宋体"/>
          <w:sz w:val="20"/>
          <w:szCs w:val="20"/>
        </w:rPr>
      </w:pPr>
      <w:r>
        <w:rPr>
          <w:rFonts w:ascii="宋体" w:hAnsi="宋体" w:eastAsia="宋体" w:cs="宋体"/>
          <w:spacing w:val="9"/>
          <w:sz w:val="20"/>
          <w:szCs w:val="20"/>
        </w:rPr>
        <w:t>（2）能提供该投标人由于使用经省级及以上行业管理部门确认的新技术</w:t>
      </w:r>
      <w:r>
        <w:rPr>
          <w:rFonts w:ascii="宋体" w:hAnsi="宋体" w:eastAsia="宋体" w:cs="宋体"/>
          <w:spacing w:val="8"/>
          <w:sz w:val="20"/>
          <w:szCs w:val="20"/>
        </w:rPr>
        <w:t>、新工艺或先进管理办法，从而降低工程成本的相关材料。</w:t>
      </w:r>
    </w:p>
    <w:p w14:paraId="5DDF28B0">
      <w:pPr>
        <w:spacing w:before="1" w:line="396" w:lineRule="auto"/>
        <w:ind w:left="17" w:right="54" w:firstLine="413"/>
        <w:rPr>
          <w:rFonts w:ascii="宋体" w:hAnsi="宋体" w:eastAsia="宋体" w:cs="宋体"/>
          <w:sz w:val="20"/>
          <w:szCs w:val="20"/>
        </w:rPr>
      </w:pPr>
      <w:r>
        <w:rPr>
          <w:rFonts w:ascii="宋体" w:hAnsi="宋体" w:eastAsia="宋体" w:cs="宋体"/>
          <w:spacing w:val="9"/>
          <w:sz w:val="20"/>
          <w:szCs w:val="20"/>
        </w:rPr>
        <w:t>（3）能提供货物采购合同、发票等可信的证据，以证明其采购到的材料</w:t>
      </w:r>
      <w:r>
        <w:rPr>
          <w:rFonts w:ascii="宋体" w:hAnsi="宋体" w:eastAsia="宋体" w:cs="宋体"/>
          <w:spacing w:val="8"/>
          <w:sz w:val="20"/>
          <w:szCs w:val="20"/>
        </w:rPr>
        <w:t>、设备单价低于规定</w:t>
      </w:r>
      <w:r>
        <w:rPr>
          <w:rFonts w:ascii="宋体" w:hAnsi="宋体" w:eastAsia="宋体" w:cs="宋体"/>
          <w:spacing w:val="-9"/>
          <w:sz w:val="20"/>
          <w:szCs w:val="20"/>
        </w:rPr>
        <w:t>的。</w:t>
      </w:r>
    </w:p>
    <w:p w14:paraId="152866D5">
      <w:pPr>
        <w:spacing w:line="226" w:lineRule="auto"/>
        <w:ind w:left="430"/>
        <w:rPr>
          <w:rFonts w:ascii="宋体" w:hAnsi="宋体" w:eastAsia="宋体" w:cs="宋体"/>
          <w:sz w:val="20"/>
          <w:szCs w:val="20"/>
        </w:rPr>
      </w:pPr>
      <w:r>
        <w:rPr>
          <w:rFonts w:ascii="宋体" w:hAnsi="宋体" w:eastAsia="宋体" w:cs="宋体"/>
          <w:spacing w:val="9"/>
          <w:sz w:val="20"/>
          <w:szCs w:val="20"/>
        </w:rPr>
        <w:t>（4）能提供其他有关降低该投标人工程成本的分析报</w:t>
      </w:r>
      <w:r>
        <w:rPr>
          <w:rFonts w:ascii="宋体" w:hAnsi="宋体" w:eastAsia="宋体" w:cs="宋体"/>
          <w:spacing w:val="8"/>
          <w:sz w:val="20"/>
          <w:szCs w:val="20"/>
        </w:rPr>
        <w:t>告和证据材料。</w:t>
      </w:r>
    </w:p>
    <w:p w14:paraId="5A215F2B">
      <w:pPr>
        <w:spacing w:before="195" w:line="406" w:lineRule="auto"/>
        <w:ind w:firstLine="430"/>
        <w:rPr>
          <w:rFonts w:ascii="宋体" w:hAnsi="宋体" w:eastAsia="宋体" w:cs="宋体"/>
          <w:sz w:val="20"/>
          <w:szCs w:val="20"/>
        </w:rPr>
      </w:pPr>
      <w:r>
        <w:rPr>
          <w:rFonts w:ascii="宋体" w:hAnsi="宋体" w:eastAsia="宋体" w:cs="宋体"/>
          <w:spacing w:val="9"/>
          <w:sz w:val="20"/>
          <w:szCs w:val="20"/>
        </w:rPr>
        <w:t>（5）在本章评标办法前附表允许未填报项目的项数范围内，对未填报的</w:t>
      </w:r>
      <w:r>
        <w:rPr>
          <w:rFonts w:ascii="宋体" w:hAnsi="宋体" w:eastAsia="宋体" w:cs="宋体"/>
          <w:spacing w:val="8"/>
          <w:sz w:val="20"/>
          <w:szCs w:val="20"/>
        </w:rPr>
        <w:t>项目，以招标控制价</w:t>
      </w:r>
      <w:r>
        <w:rPr>
          <w:rFonts w:ascii="宋体" w:hAnsi="宋体" w:eastAsia="宋体" w:cs="宋体"/>
          <w:spacing w:val="12"/>
          <w:sz w:val="20"/>
          <w:szCs w:val="20"/>
        </w:rPr>
        <w:t>相应项目价格代替未填报的项目计算其未填报的费用合计。如未填报的</w:t>
      </w:r>
      <w:r>
        <w:rPr>
          <w:rFonts w:ascii="宋体" w:hAnsi="宋体" w:eastAsia="宋体" w:cs="宋体"/>
          <w:spacing w:val="11"/>
          <w:sz w:val="20"/>
          <w:szCs w:val="20"/>
        </w:rPr>
        <w:t>费用合计不超过其投标函</w:t>
      </w:r>
      <w:r>
        <w:rPr>
          <w:rFonts w:ascii="宋体" w:hAnsi="宋体" w:eastAsia="宋体" w:cs="宋体"/>
          <w:spacing w:val="10"/>
          <w:sz w:val="20"/>
          <w:szCs w:val="20"/>
        </w:rPr>
        <w:t>中的大写投标总报价（算术错误修正后的投标总价，</w:t>
      </w:r>
      <w:r>
        <w:rPr>
          <w:rFonts w:ascii="宋体" w:hAnsi="宋体" w:eastAsia="宋体" w:cs="宋体"/>
          <w:spacing w:val="9"/>
          <w:sz w:val="20"/>
          <w:szCs w:val="20"/>
        </w:rPr>
        <w:t>如有）</w:t>
      </w:r>
      <w:r>
        <w:rPr>
          <w:rFonts w:ascii="宋体" w:hAnsi="宋体" w:eastAsia="宋体" w:cs="宋体"/>
          <w:spacing w:val="-59"/>
          <w:sz w:val="20"/>
          <w:szCs w:val="20"/>
        </w:rPr>
        <w:t xml:space="preserve"> </w:t>
      </w:r>
      <w:r>
        <w:rPr>
          <w:rFonts w:ascii="宋体" w:hAnsi="宋体" w:eastAsia="宋体" w:cs="宋体"/>
          <w:spacing w:val="9"/>
          <w:sz w:val="20"/>
          <w:szCs w:val="20"/>
        </w:rPr>
        <w:t>的±1%，</w:t>
      </w:r>
      <w:r>
        <w:rPr>
          <w:rFonts w:ascii="宋体" w:hAnsi="宋体" w:eastAsia="宋体" w:cs="宋体"/>
          <w:spacing w:val="-58"/>
          <w:sz w:val="20"/>
          <w:szCs w:val="20"/>
        </w:rPr>
        <w:t xml:space="preserve"> </w:t>
      </w:r>
      <w:r>
        <w:rPr>
          <w:rFonts w:ascii="宋体" w:hAnsi="宋体" w:eastAsia="宋体" w:cs="宋体"/>
          <w:spacing w:val="9"/>
          <w:sz w:val="20"/>
          <w:szCs w:val="20"/>
        </w:rPr>
        <w:t>由投标人澄清未填报的项目</w:t>
      </w:r>
      <w:r>
        <w:rPr>
          <w:rFonts w:ascii="宋体" w:hAnsi="宋体" w:eastAsia="宋体" w:cs="宋体"/>
          <w:spacing w:val="12"/>
          <w:sz w:val="20"/>
          <w:szCs w:val="20"/>
        </w:rPr>
        <w:t>包括在其已标价工程量清单的哪个项目中，或承诺如中标后将无条件实</w:t>
      </w:r>
      <w:r>
        <w:rPr>
          <w:rFonts w:ascii="宋体" w:hAnsi="宋体" w:eastAsia="宋体" w:cs="宋体"/>
          <w:spacing w:val="11"/>
          <w:sz w:val="20"/>
          <w:szCs w:val="20"/>
        </w:rPr>
        <w:t>施该未填报的项目。如未</w:t>
      </w:r>
      <w:r>
        <w:rPr>
          <w:rFonts w:ascii="宋体" w:hAnsi="宋体" w:eastAsia="宋体" w:cs="宋体"/>
          <w:spacing w:val="8"/>
          <w:sz w:val="20"/>
          <w:szCs w:val="20"/>
        </w:rPr>
        <w:t>填报的费用合计超过其投标函中的大写投标总报价（算术错误修正后的投标总价，如</w:t>
      </w:r>
      <w:r>
        <w:rPr>
          <w:rFonts w:ascii="宋体" w:hAnsi="宋体" w:eastAsia="宋体" w:cs="宋体"/>
          <w:spacing w:val="7"/>
          <w:sz w:val="20"/>
          <w:szCs w:val="20"/>
        </w:rPr>
        <w:t>有）的±1%，</w:t>
      </w:r>
      <w:r>
        <w:rPr>
          <w:rFonts w:ascii="宋体" w:hAnsi="宋体" w:eastAsia="宋体" w:cs="宋体"/>
          <w:spacing w:val="8"/>
          <w:sz w:val="20"/>
          <w:szCs w:val="20"/>
        </w:rPr>
        <w:t>评标委员会否决其投标。</w:t>
      </w:r>
    </w:p>
    <w:p w14:paraId="54E99486">
      <w:pPr>
        <w:spacing w:line="406" w:lineRule="auto"/>
        <w:ind w:left="3" w:right="52" w:firstLine="416"/>
        <w:rPr>
          <w:rFonts w:ascii="宋体" w:hAnsi="宋体" w:eastAsia="宋体" w:cs="宋体"/>
          <w:sz w:val="20"/>
          <w:szCs w:val="20"/>
        </w:rPr>
      </w:pPr>
      <w:r>
        <w:rPr>
          <w:rFonts w:ascii="宋体" w:hAnsi="宋体" w:eastAsia="宋体" w:cs="宋体"/>
          <w:spacing w:val="11"/>
          <w:sz w:val="20"/>
          <w:szCs w:val="20"/>
        </w:rPr>
        <w:t>评标委员会不接受投标人以自有机械闲置、</w:t>
      </w:r>
      <w:r>
        <w:rPr>
          <w:rFonts w:ascii="宋体" w:hAnsi="宋体" w:eastAsia="宋体" w:cs="宋体"/>
          <w:spacing w:val="-49"/>
          <w:sz w:val="20"/>
          <w:szCs w:val="20"/>
        </w:rPr>
        <w:t xml:space="preserve"> </w:t>
      </w:r>
      <w:r>
        <w:rPr>
          <w:rFonts w:ascii="宋体" w:hAnsi="宋体" w:eastAsia="宋体" w:cs="宋体"/>
          <w:spacing w:val="11"/>
          <w:sz w:val="20"/>
          <w:szCs w:val="20"/>
        </w:rPr>
        <w:t>自有材</w:t>
      </w:r>
      <w:r>
        <w:rPr>
          <w:rFonts w:ascii="宋体" w:hAnsi="宋体" w:eastAsia="宋体" w:cs="宋体"/>
          <w:spacing w:val="10"/>
          <w:sz w:val="20"/>
          <w:szCs w:val="20"/>
        </w:rPr>
        <w:t>料等不计成本为由进行投标报价的澄清和</w:t>
      </w:r>
      <w:r>
        <w:rPr>
          <w:rFonts w:ascii="宋体" w:hAnsi="宋体" w:eastAsia="宋体" w:cs="宋体"/>
          <w:spacing w:val="12"/>
          <w:sz w:val="20"/>
          <w:szCs w:val="20"/>
        </w:rPr>
        <w:t>说明。投标人不能合理说明或者不能提供相应证明材料的，只要</w:t>
      </w:r>
      <w:r>
        <w:rPr>
          <w:rFonts w:ascii="宋体" w:hAnsi="宋体" w:eastAsia="宋体" w:cs="宋体"/>
          <w:spacing w:val="11"/>
          <w:sz w:val="20"/>
          <w:szCs w:val="20"/>
        </w:rPr>
        <w:t>任意一个需投标人澄清、说明的</w:t>
      </w:r>
    </w:p>
    <w:p w14:paraId="27125146">
      <w:pPr>
        <w:spacing w:line="226" w:lineRule="auto"/>
        <w:ind w:left="3"/>
        <w:outlineLvl w:val="1"/>
        <w:rPr>
          <w:rFonts w:ascii="宋体" w:hAnsi="宋体" w:eastAsia="宋体" w:cs="宋体"/>
          <w:sz w:val="20"/>
          <w:szCs w:val="20"/>
        </w:rPr>
      </w:pPr>
      <w:r>
        <w:rPr>
          <w:rFonts w:ascii="宋体" w:hAnsi="宋体" w:eastAsia="宋体" w:cs="宋体"/>
          <w:spacing w:val="9"/>
          <w:sz w:val="20"/>
          <w:szCs w:val="20"/>
        </w:rPr>
        <w:t>疑问不能令评标委员会认可，由评标委员会认定该投标人以低于成本报价竞标，否决其投标。</w:t>
      </w:r>
    </w:p>
    <w:p w14:paraId="5E0C82FB">
      <w:pPr>
        <w:spacing w:line="226" w:lineRule="auto"/>
        <w:rPr>
          <w:rFonts w:ascii="宋体" w:hAnsi="宋体" w:eastAsia="宋体" w:cs="宋体"/>
          <w:sz w:val="20"/>
          <w:szCs w:val="20"/>
        </w:rPr>
        <w:sectPr>
          <w:footerReference r:id="rId124" w:type="default"/>
          <w:pgSz w:w="11907" w:h="16840"/>
          <w:pgMar w:top="400" w:right="1421" w:bottom="1035" w:left="1538" w:header="0" w:footer="785" w:gutter="0"/>
          <w:cols w:space="720" w:num="1"/>
        </w:sectPr>
      </w:pPr>
    </w:p>
    <w:p w14:paraId="0D658869">
      <w:pPr>
        <w:spacing w:line="243" w:lineRule="auto"/>
        <w:rPr>
          <w:rFonts w:ascii="Arial"/>
          <w:sz w:val="21"/>
        </w:rPr>
      </w:pPr>
    </w:p>
    <w:p w14:paraId="42B9CCB0">
      <w:pPr>
        <w:spacing w:line="243" w:lineRule="auto"/>
        <w:rPr>
          <w:rFonts w:ascii="Arial"/>
          <w:sz w:val="21"/>
        </w:rPr>
      </w:pPr>
    </w:p>
    <w:p w14:paraId="7B47A217">
      <w:pPr>
        <w:spacing w:line="243" w:lineRule="auto"/>
        <w:rPr>
          <w:rFonts w:ascii="Arial"/>
          <w:sz w:val="21"/>
        </w:rPr>
      </w:pPr>
    </w:p>
    <w:p w14:paraId="6B566894">
      <w:pPr>
        <w:spacing w:line="244" w:lineRule="auto"/>
        <w:rPr>
          <w:rFonts w:ascii="Arial"/>
          <w:sz w:val="21"/>
        </w:rPr>
      </w:pPr>
    </w:p>
    <w:p w14:paraId="616BCA99">
      <w:pPr>
        <w:spacing w:line="244" w:lineRule="auto"/>
        <w:rPr>
          <w:rFonts w:ascii="Arial"/>
          <w:sz w:val="21"/>
        </w:rPr>
      </w:pPr>
    </w:p>
    <w:p w14:paraId="7C7FE26C">
      <w:pPr>
        <w:pStyle w:val="2"/>
        <w:spacing w:before="78" w:line="221" w:lineRule="auto"/>
        <w:ind w:left="135"/>
        <w:rPr>
          <w:sz w:val="24"/>
          <w:szCs w:val="24"/>
        </w:rPr>
      </w:pPr>
      <w:bookmarkStart w:id="181" w:name="bookmark162"/>
      <w:bookmarkEnd w:id="181"/>
      <w:r>
        <w:rPr>
          <w:spacing w:val="-4"/>
          <w:sz w:val="24"/>
          <w:szCs w:val="24"/>
        </w:rPr>
        <w:t>附表</w:t>
      </w:r>
      <w:r>
        <w:rPr>
          <w:spacing w:val="-57"/>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w:t>
      </w:r>
      <w:r>
        <w:rPr>
          <w:spacing w:val="-4"/>
          <w:sz w:val="24"/>
          <w:szCs w:val="24"/>
        </w:rPr>
        <w:t>：评标委员会签到表</w:t>
      </w:r>
    </w:p>
    <w:p w14:paraId="050264C4">
      <w:pPr>
        <w:spacing w:line="256" w:lineRule="auto"/>
        <w:rPr>
          <w:rFonts w:ascii="Arial"/>
          <w:sz w:val="21"/>
        </w:rPr>
      </w:pPr>
    </w:p>
    <w:p w14:paraId="78530B70">
      <w:pPr>
        <w:pStyle w:val="2"/>
        <w:spacing w:before="91" w:line="222" w:lineRule="auto"/>
        <w:ind w:left="3454"/>
        <w:rPr>
          <w:sz w:val="28"/>
          <w:szCs w:val="28"/>
        </w:rPr>
      </w:pPr>
      <w:r>
        <w:rPr>
          <w:spacing w:val="-2"/>
          <w:sz w:val="28"/>
          <w:szCs w:val="28"/>
        </w:rPr>
        <w:t>评标委员会签到表</w:t>
      </w:r>
    </w:p>
    <w:p w14:paraId="6A72E087">
      <w:pPr>
        <w:spacing w:line="438" w:lineRule="auto"/>
        <w:rPr>
          <w:rFonts w:ascii="Arial"/>
          <w:sz w:val="21"/>
        </w:rPr>
      </w:pPr>
    </w:p>
    <w:p w14:paraId="4F78CA4A">
      <w:pPr>
        <w:spacing w:before="65" w:line="228" w:lineRule="auto"/>
        <w:ind w:left="123"/>
        <w:rPr>
          <w:rFonts w:ascii="宋体" w:hAnsi="宋体" w:eastAsia="宋体" w:cs="宋体"/>
          <w:sz w:val="20"/>
          <w:szCs w:val="20"/>
        </w:rPr>
      </w:pP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65D9FE3F">
      <w:pPr>
        <w:spacing w:before="160" w:line="228" w:lineRule="auto"/>
        <w:ind w:left="120"/>
        <w:rPr>
          <w:rFonts w:ascii="宋体" w:hAnsi="宋体" w:eastAsia="宋体" w:cs="宋体"/>
          <w:sz w:val="20"/>
          <w:szCs w:val="20"/>
        </w:rPr>
      </w:pPr>
      <w:r>
        <w:rPr>
          <w:rFonts w:ascii="宋体" w:hAnsi="宋体" w:eastAsia="宋体" w:cs="宋体"/>
          <w:spacing w:val="3"/>
          <w:sz w:val="20"/>
          <w:szCs w:val="20"/>
        </w:rPr>
        <w:t>评标时间：</w:t>
      </w:r>
      <w:r>
        <w:rPr>
          <w:rFonts w:ascii="宋体" w:hAnsi="宋体" w:eastAsia="宋体" w:cs="宋体"/>
          <w:spacing w:val="7"/>
          <w:sz w:val="20"/>
          <w:szCs w:val="20"/>
        </w:rPr>
        <w:t xml:space="preserve">         </w:t>
      </w:r>
      <w:r>
        <w:rPr>
          <w:rFonts w:ascii="宋体" w:hAnsi="宋体" w:eastAsia="宋体" w:cs="宋体"/>
          <w:spacing w:val="3"/>
          <w:sz w:val="20"/>
          <w:szCs w:val="20"/>
        </w:rPr>
        <w:t>年</w:t>
      </w:r>
      <w:r>
        <w:rPr>
          <w:rFonts w:ascii="宋体" w:hAnsi="宋体" w:eastAsia="宋体" w:cs="宋体"/>
          <w:spacing w:val="9"/>
          <w:sz w:val="20"/>
          <w:szCs w:val="20"/>
        </w:rPr>
        <w:t xml:space="preserve">    </w:t>
      </w:r>
      <w:r>
        <w:rPr>
          <w:rFonts w:ascii="宋体" w:hAnsi="宋体" w:eastAsia="宋体" w:cs="宋体"/>
          <w:spacing w:val="3"/>
          <w:sz w:val="20"/>
          <w:szCs w:val="20"/>
        </w:rPr>
        <w:t>月</w:t>
      </w:r>
      <w:r>
        <w:rPr>
          <w:rFonts w:ascii="宋体" w:hAnsi="宋体" w:eastAsia="宋体" w:cs="宋体"/>
          <w:spacing w:val="16"/>
          <w:sz w:val="20"/>
          <w:szCs w:val="20"/>
        </w:rPr>
        <w:t xml:space="preserve">    </w:t>
      </w:r>
      <w:r>
        <w:rPr>
          <w:rFonts w:ascii="宋体" w:hAnsi="宋体" w:eastAsia="宋体" w:cs="宋体"/>
          <w:spacing w:val="3"/>
          <w:sz w:val="20"/>
          <w:szCs w:val="20"/>
        </w:rPr>
        <w:t>日</w:t>
      </w:r>
    </w:p>
    <w:p w14:paraId="52DC9A58">
      <w:pPr>
        <w:spacing w:before="129"/>
      </w:pPr>
    </w:p>
    <w:tbl>
      <w:tblPr>
        <w:tblStyle w:val="5"/>
        <w:tblW w:w="838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5"/>
        <w:gridCol w:w="1516"/>
        <w:gridCol w:w="1516"/>
        <w:gridCol w:w="1516"/>
        <w:gridCol w:w="1516"/>
        <w:gridCol w:w="1522"/>
      </w:tblGrid>
      <w:tr w14:paraId="533EC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795" w:type="dxa"/>
            <w:vAlign w:val="top"/>
          </w:tcPr>
          <w:p w14:paraId="5A47E074">
            <w:pPr>
              <w:pStyle w:val="6"/>
              <w:spacing w:before="193" w:line="229" w:lineRule="auto"/>
              <w:ind w:left="192"/>
            </w:pPr>
            <w:r>
              <w:rPr>
                <w:spacing w:val="5"/>
              </w:rPr>
              <w:t>序号</w:t>
            </w:r>
          </w:p>
        </w:tc>
        <w:tc>
          <w:tcPr>
            <w:tcW w:w="1516" w:type="dxa"/>
            <w:vAlign w:val="top"/>
          </w:tcPr>
          <w:p w14:paraId="2E49E53C">
            <w:pPr>
              <w:pStyle w:val="6"/>
              <w:spacing w:before="193" w:line="228" w:lineRule="auto"/>
              <w:ind w:left="552"/>
            </w:pPr>
            <w:r>
              <w:rPr>
                <w:spacing w:val="4"/>
              </w:rPr>
              <w:t>姓名</w:t>
            </w:r>
          </w:p>
        </w:tc>
        <w:tc>
          <w:tcPr>
            <w:tcW w:w="1516" w:type="dxa"/>
            <w:vAlign w:val="top"/>
          </w:tcPr>
          <w:p w14:paraId="524218EA">
            <w:pPr>
              <w:pStyle w:val="6"/>
              <w:spacing w:before="193" w:line="230" w:lineRule="auto"/>
              <w:ind w:left="553"/>
            </w:pPr>
            <w:r>
              <w:rPr>
                <w:spacing w:val="4"/>
              </w:rPr>
              <w:t>职称</w:t>
            </w:r>
          </w:p>
        </w:tc>
        <w:tc>
          <w:tcPr>
            <w:tcW w:w="1516" w:type="dxa"/>
            <w:vAlign w:val="top"/>
          </w:tcPr>
          <w:p w14:paraId="57E6B1BE">
            <w:pPr>
              <w:pStyle w:val="6"/>
              <w:spacing w:before="193" w:line="228" w:lineRule="auto"/>
              <w:ind w:left="345"/>
            </w:pPr>
            <w:r>
              <w:rPr>
                <w:spacing w:val="6"/>
              </w:rPr>
              <w:t>工作单位</w:t>
            </w:r>
          </w:p>
        </w:tc>
        <w:tc>
          <w:tcPr>
            <w:tcW w:w="1516" w:type="dxa"/>
            <w:vAlign w:val="top"/>
          </w:tcPr>
          <w:p w14:paraId="2D328996">
            <w:pPr>
              <w:pStyle w:val="6"/>
              <w:spacing w:before="56" w:line="246" w:lineRule="auto"/>
              <w:ind w:left="664" w:right="126" w:hanging="529"/>
            </w:pPr>
            <w:r>
              <w:rPr>
                <w:spacing w:val="8"/>
              </w:rPr>
              <w:t>专家身份证证</w:t>
            </w:r>
            <w:r>
              <w:t>号</w:t>
            </w:r>
          </w:p>
        </w:tc>
        <w:tc>
          <w:tcPr>
            <w:tcW w:w="1522" w:type="dxa"/>
            <w:vAlign w:val="top"/>
          </w:tcPr>
          <w:p w14:paraId="7EF0051F">
            <w:pPr>
              <w:pStyle w:val="6"/>
              <w:spacing w:before="193" w:line="228" w:lineRule="auto"/>
              <w:ind w:left="346"/>
            </w:pPr>
            <w:r>
              <w:rPr>
                <w:spacing w:val="7"/>
              </w:rPr>
              <w:t>签到时间</w:t>
            </w:r>
          </w:p>
        </w:tc>
      </w:tr>
      <w:tr w14:paraId="4BFDA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795" w:type="dxa"/>
            <w:vAlign w:val="top"/>
          </w:tcPr>
          <w:p w14:paraId="37122872">
            <w:pPr>
              <w:spacing w:before="189" w:line="275" w:lineRule="exact"/>
              <w:ind w:left="362"/>
              <w:rPr>
                <w:rFonts w:ascii="黑体" w:hAnsi="黑体" w:eastAsia="黑体" w:cs="黑体"/>
                <w:sz w:val="20"/>
                <w:szCs w:val="20"/>
              </w:rPr>
            </w:pPr>
            <w:r>
              <w:rPr>
                <w:rFonts w:ascii="黑体" w:hAnsi="黑体" w:eastAsia="黑体" w:cs="黑体"/>
                <w:position w:val="1"/>
                <w:sz w:val="20"/>
                <w:szCs w:val="20"/>
              </w:rPr>
              <w:t>1</w:t>
            </w:r>
          </w:p>
        </w:tc>
        <w:tc>
          <w:tcPr>
            <w:tcW w:w="1516" w:type="dxa"/>
            <w:vAlign w:val="top"/>
          </w:tcPr>
          <w:p w14:paraId="11C1FF33">
            <w:pPr>
              <w:rPr>
                <w:rFonts w:ascii="Arial"/>
                <w:sz w:val="21"/>
              </w:rPr>
            </w:pPr>
          </w:p>
        </w:tc>
        <w:tc>
          <w:tcPr>
            <w:tcW w:w="1516" w:type="dxa"/>
            <w:vAlign w:val="top"/>
          </w:tcPr>
          <w:p w14:paraId="7937C78B">
            <w:pPr>
              <w:rPr>
                <w:rFonts w:ascii="Arial"/>
                <w:sz w:val="21"/>
              </w:rPr>
            </w:pPr>
          </w:p>
        </w:tc>
        <w:tc>
          <w:tcPr>
            <w:tcW w:w="1516" w:type="dxa"/>
            <w:vAlign w:val="top"/>
          </w:tcPr>
          <w:p w14:paraId="7F2F5A66">
            <w:pPr>
              <w:rPr>
                <w:rFonts w:ascii="Arial"/>
                <w:sz w:val="21"/>
              </w:rPr>
            </w:pPr>
          </w:p>
        </w:tc>
        <w:tc>
          <w:tcPr>
            <w:tcW w:w="1516" w:type="dxa"/>
            <w:vAlign w:val="top"/>
          </w:tcPr>
          <w:p w14:paraId="4D6FA0B9">
            <w:pPr>
              <w:rPr>
                <w:rFonts w:ascii="Arial"/>
                <w:sz w:val="21"/>
              </w:rPr>
            </w:pPr>
          </w:p>
        </w:tc>
        <w:tc>
          <w:tcPr>
            <w:tcW w:w="1522" w:type="dxa"/>
            <w:vAlign w:val="top"/>
          </w:tcPr>
          <w:p w14:paraId="550C6027">
            <w:pPr>
              <w:rPr>
                <w:rFonts w:ascii="Arial"/>
                <w:sz w:val="21"/>
              </w:rPr>
            </w:pPr>
          </w:p>
        </w:tc>
      </w:tr>
      <w:tr w14:paraId="6B6B8F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795" w:type="dxa"/>
            <w:vAlign w:val="top"/>
          </w:tcPr>
          <w:p w14:paraId="6F7E7287">
            <w:pPr>
              <w:spacing w:before="190" w:line="275" w:lineRule="exact"/>
              <w:ind w:left="349"/>
              <w:rPr>
                <w:rFonts w:ascii="黑体" w:hAnsi="黑体" w:eastAsia="黑体" w:cs="黑体"/>
                <w:sz w:val="20"/>
                <w:szCs w:val="20"/>
              </w:rPr>
            </w:pPr>
            <w:r>
              <w:rPr>
                <w:rFonts w:ascii="黑体" w:hAnsi="黑体" w:eastAsia="黑体" w:cs="黑体"/>
                <w:position w:val="1"/>
                <w:sz w:val="20"/>
                <w:szCs w:val="20"/>
              </w:rPr>
              <w:t>2</w:t>
            </w:r>
          </w:p>
        </w:tc>
        <w:tc>
          <w:tcPr>
            <w:tcW w:w="1516" w:type="dxa"/>
            <w:vAlign w:val="top"/>
          </w:tcPr>
          <w:p w14:paraId="7328E6DA">
            <w:pPr>
              <w:rPr>
                <w:rFonts w:ascii="Arial"/>
                <w:sz w:val="21"/>
              </w:rPr>
            </w:pPr>
          </w:p>
        </w:tc>
        <w:tc>
          <w:tcPr>
            <w:tcW w:w="1516" w:type="dxa"/>
            <w:vAlign w:val="top"/>
          </w:tcPr>
          <w:p w14:paraId="7DC5C2CA">
            <w:pPr>
              <w:rPr>
                <w:rFonts w:ascii="Arial"/>
                <w:sz w:val="21"/>
              </w:rPr>
            </w:pPr>
          </w:p>
        </w:tc>
        <w:tc>
          <w:tcPr>
            <w:tcW w:w="1516" w:type="dxa"/>
            <w:vAlign w:val="top"/>
          </w:tcPr>
          <w:p w14:paraId="318D1A48">
            <w:pPr>
              <w:rPr>
                <w:rFonts w:ascii="Arial"/>
                <w:sz w:val="21"/>
              </w:rPr>
            </w:pPr>
          </w:p>
        </w:tc>
        <w:tc>
          <w:tcPr>
            <w:tcW w:w="1516" w:type="dxa"/>
            <w:vAlign w:val="top"/>
          </w:tcPr>
          <w:p w14:paraId="314079AA">
            <w:pPr>
              <w:rPr>
                <w:rFonts w:ascii="Arial"/>
                <w:sz w:val="21"/>
              </w:rPr>
            </w:pPr>
          </w:p>
        </w:tc>
        <w:tc>
          <w:tcPr>
            <w:tcW w:w="1522" w:type="dxa"/>
            <w:vAlign w:val="top"/>
          </w:tcPr>
          <w:p w14:paraId="6F2C0328">
            <w:pPr>
              <w:rPr>
                <w:rFonts w:ascii="Arial"/>
                <w:sz w:val="21"/>
              </w:rPr>
            </w:pPr>
          </w:p>
        </w:tc>
      </w:tr>
      <w:tr w14:paraId="4BCDB3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95" w:type="dxa"/>
            <w:vAlign w:val="top"/>
          </w:tcPr>
          <w:p w14:paraId="2E9A27B2">
            <w:pPr>
              <w:spacing w:before="191" w:line="273" w:lineRule="exact"/>
              <w:ind w:left="351"/>
              <w:rPr>
                <w:rFonts w:ascii="黑体" w:hAnsi="黑体" w:eastAsia="黑体" w:cs="黑体"/>
                <w:sz w:val="20"/>
                <w:szCs w:val="20"/>
              </w:rPr>
            </w:pPr>
            <w:r>
              <w:rPr>
                <w:rFonts w:ascii="黑体" w:hAnsi="黑体" w:eastAsia="黑体" w:cs="黑体"/>
                <w:position w:val="1"/>
                <w:sz w:val="20"/>
                <w:szCs w:val="20"/>
              </w:rPr>
              <w:t>3</w:t>
            </w:r>
          </w:p>
        </w:tc>
        <w:tc>
          <w:tcPr>
            <w:tcW w:w="1516" w:type="dxa"/>
            <w:vAlign w:val="top"/>
          </w:tcPr>
          <w:p w14:paraId="0B1F9B13">
            <w:pPr>
              <w:rPr>
                <w:rFonts w:ascii="Arial"/>
                <w:sz w:val="21"/>
              </w:rPr>
            </w:pPr>
          </w:p>
        </w:tc>
        <w:tc>
          <w:tcPr>
            <w:tcW w:w="1516" w:type="dxa"/>
            <w:vAlign w:val="top"/>
          </w:tcPr>
          <w:p w14:paraId="36AF1894">
            <w:pPr>
              <w:rPr>
                <w:rFonts w:ascii="Arial"/>
                <w:sz w:val="21"/>
              </w:rPr>
            </w:pPr>
          </w:p>
        </w:tc>
        <w:tc>
          <w:tcPr>
            <w:tcW w:w="1516" w:type="dxa"/>
            <w:vAlign w:val="top"/>
          </w:tcPr>
          <w:p w14:paraId="18101D10">
            <w:pPr>
              <w:rPr>
                <w:rFonts w:ascii="Arial"/>
                <w:sz w:val="21"/>
              </w:rPr>
            </w:pPr>
          </w:p>
        </w:tc>
        <w:tc>
          <w:tcPr>
            <w:tcW w:w="1516" w:type="dxa"/>
            <w:vAlign w:val="top"/>
          </w:tcPr>
          <w:p w14:paraId="7BA94293">
            <w:pPr>
              <w:rPr>
                <w:rFonts w:ascii="Arial"/>
                <w:sz w:val="21"/>
              </w:rPr>
            </w:pPr>
          </w:p>
        </w:tc>
        <w:tc>
          <w:tcPr>
            <w:tcW w:w="1522" w:type="dxa"/>
            <w:vAlign w:val="top"/>
          </w:tcPr>
          <w:p w14:paraId="7B2782E0">
            <w:pPr>
              <w:rPr>
                <w:rFonts w:ascii="Arial"/>
                <w:sz w:val="21"/>
              </w:rPr>
            </w:pPr>
          </w:p>
        </w:tc>
      </w:tr>
      <w:tr w14:paraId="54117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795" w:type="dxa"/>
            <w:vAlign w:val="top"/>
          </w:tcPr>
          <w:p w14:paraId="1DECEBE4">
            <w:pPr>
              <w:spacing w:before="191" w:line="275" w:lineRule="exact"/>
              <w:ind w:left="345"/>
              <w:rPr>
                <w:rFonts w:ascii="黑体" w:hAnsi="黑体" w:eastAsia="黑体" w:cs="黑体"/>
                <w:sz w:val="20"/>
                <w:szCs w:val="20"/>
              </w:rPr>
            </w:pPr>
            <w:r>
              <w:rPr>
                <w:rFonts w:ascii="黑体" w:hAnsi="黑体" w:eastAsia="黑体" w:cs="黑体"/>
                <w:spacing w:val="1"/>
                <w:position w:val="1"/>
                <w:sz w:val="20"/>
                <w:szCs w:val="20"/>
              </w:rPr>
              <w:t>4</w:t>
            </w:r>
          </w:p>
        </w:tc>
        <w:tc>
          <w:tcPr>
            <w:tcW w:w="1516" w:type="dxa"/>
            <w:vAlign w:val="top"/>
          </w:tcPr>
          <w:p w14:paraId="7280E2B3">
            <w:pPr>
              <w:rPr>
                <w:rFonts w:ascii="Arial"/>
                <w:sz w:val="21"/>
              </w:rPr>
            </w:pPr>
          </w:p>
        </w:tc>
        <w:tc>
          <w:tcPr>
            <w:tcW w:w="1516" w:type="dxa"/>
            <w:vAlign w:val="top"/>
          </w:tcPr>
          <w:p w14:paraId="526C5E5F">
            <w:pPr>
              <w:rPr>
                <w:rFonts w:ascii="Arial"/>
                <w:sz w:val="21"/>
              </w:rPr>
            </w:pPr>
          </w:p>
        </w:tc>
        <w:tc>
          <w:tcPr>
            <w:tcW w:w="1516" w:type="dxa"/>
            <w:vAlign w:val="top"/>
          </w:tcPr>
          <w:p w14:paraId="6B7DD4E8">
            <w:pPr>
              <w:rPr>
                <w:rFonts w:ascii="Arial"/>
                <w:sz w:val="21"/>
              </w:rPr>
            </w:pPr>
          </w:p>
        </w:tc>
        <w:tc>
          <w:tcPr>
            <w:tcW w:w="1516" w:type="dxa"/>
            <w:vAlign w:val="top"/>
          </w:tcPr>
          <w:p w14:paraId="4C073BEC">
            <w:pPr>
              <w:rPr>
                <w:rFonts w:ascii="Arial"/>
                <w:sz w:val="21"/>
              </w:rPr>
            </w:pPr>
          </w:p>
        </w:tc>
        <w:tc>
          <w:tcPr>
            <w:tcW w:w="1522" w:type="dxa"/>
            <w:vAlign w:val="top"/>
          </w:tcPr>
          <w:p w14:paraId="02021179">
            <w:pPr>
              <w:rPr>
                <w:rFonts w:ascii="Arial"/>
                <w:sz w:val="21"/>
              </w:rPr>
            </w:pPr>
          </w:p>
        </w:tc>
      </w:tr>
      <w:tr w14:paraId="229E5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795" w:type="dxa"/>
            <w:vAlign w:val="top"/>
          </w:tcPr>
          <w:p w14:paraId="5E274F2B">
            <w:pPr>
              <w:spacing w:before="192" w:line="272" w:lineRule="exact"/>
              <w:ind w:left="346"/>
              <w:rPr>
                <w:rFonts w:ascii="黑体" w:hAnsi="黑体" w:eastAsia="黑体" w:cs="黑体"/>
                <w:sz w:val="20"/>
                <w:szCs w:val="20"/>
              </w:rPr>
            </w:pPr>
            <w:r>
              <w:rPr>
                <w:rFonts w:ascii="黑体" w:hAnsi="黑体" w:eastAsia="黑体" w:cs="黑体"/>
                <w:spacing w:val="1"/>
                <w:position w:val="1"/>
                <w:sz w:val="20"/>
                <w:szCs w:val="20"/>
              </w:rPr>
              <w:t>5</w:t>
            </w:r>
          </w:p>
        </w:tc>
        <w:tc>
          <w:tcPr>
            <w:tcW w:w="1516" w:type="dxa"/>
            <w:vAlign w:val="top"/>
          </w:tcPr>
          <w:p w14:paraId="007FB9FB">
            <w:pPr>
              <w:rPr>
                <w:rFonts w:ascii="Arial"/>
                <w:sz w:val="21"/>
              </w:rPr>
            </w:pPr>
          </w:p>
        </w:tc>
        <w:tc>
          <w:tcPr>
            <w:tcW w:w="1516" w:type="dxa"/>
            <w:vAlign w:val="top"/>
          </w:tcPr>
          <w:p w14:paraId="6F85E68C">
            <w:pPr>
              <w:rPr>
                <w:rFonts w:ascii="Arial"/>
                <w:sz w:val="21"/>
              </w:rPr>
            </w:pPr>
          </w:p>
        </w:tc>
        <w:tc>
          <w:tcPr>
            <w:tcW w:w="1516" w:type="dxa"/>
            <w:vAlign w:val="top"/>
          </w:tcPr>
          <w:p w14:paraId="2823D814">
            <w:pPr>
              <w:rPr>
                <w:rFonts w:ascii="Arial"/>
                <w:sz w:val="21"/>
              </w:rPr>
            </w:pPr>
          </w:p>
        </w:tc>
        <w:tc>
          <w:tcPr>
            <w:tcW w:w="1516" w:type="dxa"/>
            <w:vAlign w:val="top"/>
          </w:tcPr>
          <w:p w14:paraId="0FD05AA9">
            <w:pPr>
              <w:rPr>
                <w:rFonts w:ascii="Arial"/>
                <w:sz w:val="21"/>
              </w:rPr>
            </w:pPr>
          </w:p>
        </w:tc>
        <w:tc>
          <w:tcPr>
            <w:tcW w:w="1522" w:type="dxa"/>
            <w:vAlign w:val="top"/>
          </w:tcPr>
          <w:p w14:paraId="35D23C27">
            <w:pPr>
              <w:rPr>
                <w:rFonts w:ascii="Arial"/>
                <w:sz w:val="21"/>
              </w:rPr>
            </w:pPr>
          </w:p>
        </w:tc>
      </w:tr>
      <w:tr w14:paraId="43E693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95" w:type="dxa"/>
            <w:vAlign w:val="top"/>
          </w:tcPr>
          <w:p w14:paraId="03494761">
            <w:pPr>
              <w:spacing w:before="193" w:line="272" w:lineRule="exact"/>
              <w:ind w:left="350"/>
              <w:rPr>
                <w:rFonts w:ascii="黑体" w:hAnsi="黑体" w:eastAsia="黑体" w:cs="黑体"/>
                <w:sz w:val="20"/>
                <w:szCs w:val="20"/>
              </w:rPr>
            </w:pPr>
            <w:r>
              <w:rPr>
                <w:rFonts w:ascii="黑体" w:hAnsi="黑体" w:eastAsia="黑体" w:cs="黑体"/>
                <w:position w:val="1"/>
                <w:sz w:val="20"/>
                <w:szCs w:val="20"/>
              </w:rPr>
              <w:t>6</w:t>
            </w:r>
          </w:p>
        </w:tc>
        <w:tc>
          <w:tcPr>
            <w:tcW w:w="1516" w:type="dxa"/>
            <w:vAlign w:val="top"/>
          </w:tcPr>
          <w:p w14:paraId="4D157C66">
            <w:pPr>
              <w:rPr>
                <w:rFonts w:ascii="Arial"/>
                <w:sz w:val="21"/>
              </w:rPr>
            </w:pPr>
          </w:p>
        </w:tc>
        <w:tc>
          <w:tcPr>
            <w:tcW w:w="1516" w:type="dxa"/>
            <w:vAlign w:val="top"/>
          </w:tcPr>
          <w:p w14:paraId="4F7E44EF">
            <w:pPr>
              <w:rPr>
                <w:rFonts w:ascii="Arial"/>
                <w:sz w:val="21"/>
              </w:rPr>
            </w:pPr>
          </w:p>
        </w:tc>
        <w:tc>
          <w:tcPr>
            <w:tcW w:w="1516" w:type="dxa"/>
            <w:vAlign w:val="top"/>
          </w:tcPr>
          <w:p w14:paraId="69BDB280">
            <w:pPr>
              <w:rPr>
                <w:rFonts w:ascii="Arial"/>
                <w:sz w:val="21"/>
              </w:rPr>
            </w:pPr>
          </w:p>
        </w:tc>
        <w:tc>
          <w:tcPr>
            <w:tcW w:w="1516" w:type="dxa"/>
            <w:vAlign w:val="top"/>
          </w:tcPr>
          <w:p w14:paraId="29580DBA">
            <w:pPr>
              <w:rPr>
                <w:rFonts w:ascii="Arial"/>
                <w:sz w:val="21"/>
              </w:rPr>
            </w:pPr>
          </w:p>
        </w:tc>
        <w:tc>
          <w:tcPr>
            <w:tcW w:w="1522" w:type="dxa"/>
            <w:vAlign w:val="top"/>
          </w:tcPr>
          <w:p w14:paraId="4A17C01A">
            <w:pPr>
              <w:rPr>
                <w:rFonts w:ascii="Arial"/>
                <w:sz w:val="21"/>
              </w:rPr>
            </w:pPr>
          </w:p>
        </w:tc>
      </w:tr>
      <w:tr w14:paraId="67D5A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95" w:type="dxa"/>
            <w:vAlign w:val="top"/>
          </w:tcPr>
          <w:p w14:paraId="35EC4F7E">
            <w:pPr>
              <w:spacing w:before="193" w:line="275" w:lineRule="exact"/>
              <w:ind w:left="352"/>
              <w:rPr>
                <w:rFonts w:ascii="黑体" w:hAnsi="黑体" w:eastAsia="黑体" w:cs="黑体"/>
                <w:sz w:val="20"/>
                <w:szCs w:val="20"/>
              </w:rPr>
            </w:pPr>
            <w:r>
              <w:rPr>
                <w:rFonts w:ascii="黑体" w:hAnsi="黑体" w:eastAsia="黑体" w:cs="黑体"/>
                <w:position w:val="1"/>
                <w:sz w:val="20"/>
                <w:szCs w:val="20"/>
              </w:rPr>
              <w:t>7</w:t>
            </w:r>
          </w:p>
        </w:tc>
        <w:tc>
          <w:tcPr>
            <w:tcW w:w="1516" w:type="dxa"/>
            <w:vAlign w:val="top"/>
          </w:tcPr>
          <w:p w14:paraId="4A60DBA7">
            <w:pPr>
              <w:rPr>
                <w:rFonts w:ascii="Arial"/>
                <w:sz w:val="21"/>
              </w:rPr>
            </w:pPr>
          </w:p>
        </w:tc>
        <w:tc>
          <w:tcPr>
            <w:tcW w:w="1516" w:type="dxa"/>
            <w:vAlign w:val="top"/>
          </w:tcPr>
          <w:p w14:paraId="26DB2953">
            <w:pPr>
              <w:rPr>
                <w:rFonts w:ascii="Arial"/>
                <w:sz w:val="21"/>
              </w:rPr>
            </w:pPr>
          </w:p>
        </w:tc>
        <w:tc>
          <w:tcPr>
            <w:tcW w:w="1516" w:type="dxa"/>
            <w:vAlign w:val="top"/>
          </w:tcPr>
          <w:p w14:paraId="32543325">
            <w:pPr>
              <w:rPr>
                <w:rFonts w:ascii="Arial"/>
                <w:sz w:val="21"/>
              </w:rPr>
            </w:pPr>
          </w:p>
        </w:tc>
        <w:tc>
          <w:tcPr>
            <w:tcW w:w="1516" w:type="dxa"/>
            <w:vAlign w:val="top"/>
          </w:tcPr>
          <w:p w14:paraId="569F638C">
            <w:pPr>
              <w:rPr>
                <w:rFonts w:ascii="Arial"/>
                <w:sz w:val="21"/>
              </w:rPr>
            </w:pPr>
          </w:p>
        </w:tc>
        <w:tc>
          <w:tcPr>
            <w:tcW w:w="1522" w:type="dxa"/>
            <w:vAlign w:val="top"/>
          </w:tcPr>
          <w:p w14:paraId="4C60A429">
            <w:pPr>
              <w:rPr>
                <w:rFonts w:ascii="Arial"/>
                <w:sz w:val="21"/>
              </w:rPr>
            </w:pPr>
          </w:p>
        </w:tc>
      </w:tr>
      <w:tr w14:paraId="48E34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95" w:type="dxa"/>
            <w:vAlign w:val="top"/>
          </w:tcPr>
          <w:p w14:paraId="196E3861">
            <w:pPr>
              <w:spacing w:before="193" w:line="273" w:lineRule="exact"/>
              <w:ind w:left="348"/>
              <w:rPr>
                <w:rFonts w:ascii="黑体" w:hAnsi="黑体" w:eastAsia="黑体" w:cs="黑体"/>
                <w:sz w:val="20"/>
                <w:szCs w:val="20"/>
              </w:rPr>
            </w:pPr>
            <w:r>
              <w:rPr>
                <w:rFonts w:ascii="黑体" w:hAnsi="黑体" w:eastAsia="黑体" w:cs="黑体"/>
                <w:position w:val="1"/>
                <w:sz w:val="20"/>
                <w:szCs w:val="20"/>
              </w:rPr>
              <w:t>8</w:t>
            </w:r>
          </w:p>
        </w:tc>
        <w:tc>
          <w:tcPr>
            <w:tcW w:w="1516" w:type="dxa"/>
            <w:vAlign w:val="top"/>
          </w:tcPr>
          <w:p w14:paraId="3CBFB017">
            <w:pPr>
              <w:rPr>
                <w:rFonts w:ascii="Arial"/>
                <w:sz w:val="21"/>
              </w:rPr>
            </w:pPr>
          </w:p>
        </w:tc>
        <w:tc>
          <w:tcPr>
            <w:tcW w:w="1516" w:type="dxa"/>
            <w:vAlign w:val="top"/>
          </w:tcPr>
          <w:p w14:paraId="6F6B65F5">
            <w:pPr>
              <w:rPr>
                <w:rFonts w:ascii="Arial"/>
                <w:sz w:val="21"/>
              </w:rPr>
            </w:pPr>
          </w:p>
        </w:tc>
        <w:tc>
          <w:tcPr>
            <w:tcW w:w="1516" w:type="dxa"/>
            <w:vAlign w:val="top"/>
          </w:tcPr>
          <w:p w14:paraId="0FE34EA8">
            <w:pPr>
              <w:rPr>
                <w:rFonts w:ascii="Arial"/>
                <w:sz w:val="21"/>
              </w:rPr>
            </w:pPr>
          </w:p>
        </w:tc>
        <w:tc>
          <w:tcPr>
            <w:tcW w:w="1516" w:type="dxa"/>
            <w:vAlign w:val="top"/>
          </w:tcPr>
          <w:p w14:paraId="059880DA">
            <w:pPr>
              <w:rPr>
                <w:rFonts w:ascii="Arial"/>
                <w:sz w:val="21"/>
              </w:rPr>
            </w:pPr>
          </w:p>
        </w:tc>
        <w:tc>
          <w:tcPr>
            <w:tcW w:w="1522" w:type="dxa"/>
            <w:vAlign w:val="top"/>
          </w:tcPr>
          <w:p w14:paraId="707920E4">
            <w:pPr>
              <w:rPr>
                <w:rFonts w:ascii="Arial"/>
                <w:sz w:val="21"/>
              </w:rPr>
            </w:pPr>
          </w:p>
        </w:tc>
      </w:tr>
      <w:tr w14:paraId="16F06C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95" w:type="dxa"/>
            <w:vAlign w:val="top"/>
          </w:tcPr>
          <w:p w14:paraId="083C2484">
            <w:pPr>
              <w:spacing w:before="198" w:line="272" w:lineRule="exact"/>
              <w:ind w:left="345"/>
              <w:rPr>
                <w:rFonts w:ascii="黑体" w:hAnsi="黑体" w:eastAsia="黑体" w:cs="黑体"/>
                <w:sz w:val="20"/>
                <w:szCs w:val="20"/>
              </w:rPr>
            </w:pPr>
            <w:r>
              <w:rPr>
                <w:rFonts w:ascii="黑体" w:hAnsi="黑体" w:eastAsia="黑体" w:cs="黑体"/>
                <w:spacing w:val="1"/>
                <w:position w:val="1"/>
                <w:sz w:val="20"/>
                <w:szCs w:val="20"/>
              </w:rPr>
              <w:t>9</w:t>
            </w:r>
          </w:p>
        </w:tc>
        <w:tc>
          <w:tcPr>
            <w:tcW w:w="1516" w:type="dxa"/>
            <w:vAlign w:val="top"/>
          </w:tcPr>
          <w:p w14:paraId="2D532C74">
            <w:pPr>
              <w:rPr>
                <w:rFonts w:ascii="Arial"/>
                <w:sz w:val="21"/>
              </w:rPr>
            </w:pPr>
          </w:p>
        </w:tc>
        <w:tc>
          <w:tcPr>
            <w:tcW w:w="1516" w:type="dxa"/>
            <w:vAlign w:val="top"/>
          </w:tcPr>
          <w:p w14:paraId="79C6881C">
            <w:pPr>
              <w:rPr>
                <w:rFonts w:ascii="Arial"/>
                <w:sz w:val="21"/>
              </w:rPr>
            </w:pPr>
          </w:p>
        </w:tc>
        <w:tc>
          <w:tcPr>
            <w:tcW w:w="1516" w:type="dxa"/>
            <w:vAlign w:val="top"/>
          </w:tcPr>
          <w:p w14:paraId="740862D6">
            <w:pPr>
              <w:rPr>
                <w:rFonts w:ascii="Arial"/>
                <w:sz w:val="21"/>
              </w:rPr>
            </w:pPr>
          </w:p>
        </w:tc>
        <w:tc>
          <w:tcPr>
            <w:tcW w:w="1516" w:type="dxa"/>
            <w:vAlign w:val="top"/>
          </w:tcPr>
          <w:p w14:paraId="02D48901">
            <w:pPr>
              <w:rPr>
                <w:rFonts w:ascii="Arial"/>
                <w:sz w:val="21"/>
              </w:rPr>
            </w:pPr>
          </w:p>
        </w:tc>
        <w:tc>
          <w:tcPr>
            <w:tcW w:w="1522" w:type="dxa"/>
            <w:vAlign w:val="top"/>
          </w:tcPr>
          <w:p w14:paraId="5DE12ADA">
            <w:pPr>
              <w:rPr>
                <w:rFonts w:ascii="Arial"/>
                <w:sz w:val="21"/>
              </w:rPr>
            </w:pPr>
          </w:p>
        </w:tc>
      </w:tr>
    </w:tbl>
    <w:p w14:paraId="13475BBB">
      <w:pPr>
        <w:rPr>
          <w:rFonts w:ascii="Arial"/>
          <w:sz w:val="21"/>
        </w:rPr>
      </w:pPr>
    </w:p>
    <w:p w14:paraId="2210DDD1">
      <w:pPr>
        <w:rPr>
          <w:rFonts w:ascii="Arial" w:hAnsi="Arial" w:eastAsia="Arial" w:cs="Arial"/>
          <w:sz w:val="21"/>
          <w:szCs w:val="21"/>
        </w:rPr>
        <w:sectPr>
          <w:footerReference r:id="rId125" w:type="default"/>
          <w:pgSz w:w="11907" w:h="16840"/>
          <w:pgMar w:top="400" w:right="1786" w:bottom="1035" w:left="1418" w:header="0" w:footer="785" w:gutter="0"/>
          <w:cols w:space="720" w:num="1"/>
        </w:sectPr>
      </w:pPr>
    </w:p>
    <w:p w14:paraId="096A8845">
      <w:pPr>
        <w:spacing w:line="265" w:lineRule="auto"/>
        <w:rPr>
          <w:rFonts w:ascii="Arial"/>
          <w:sz w:val="21"/>
        </w:rPr>
      </w:pPr>
    </w:p>
    <w:p w14:paraId="27236AD0">
      <w:pPr>
        <w:spacing w:line="266" w:lineRule="auto"/>
        <w:rPr>
          <w:rFonts w:ascii="Arial"/>
          <w:sz w:val="21"/>
        </w:rPr>
      </w:pPr>
    </w:p>
    <w:p w14:paraId="65C77219">
      <w:pPr>
        <w:spacing w:line="266" w:lineRule="auto"/>
        <w:rPr>
          <w:rFonts w:ascii="Arial"/>
          <w:sz w:val="21"/>
        </w:rPr>
      </w:pPr>
    </w:p>
    <w:p w14:paraId="03533088">
      <w:pPr>
        <w:spacing w:line="266" w:lineRule="auto"/>
        <w:rPr>
          <w:rFonts w:ascii="Arial"/>
          <w:sz w:val="21"/>
        </w:rPr>
      </w:pPr>
    </w:p>
    <w:p w14:paraId="33D436C4">
      <w:pPr>
        <w:spacing w:line="266" w:lineRule="auto"/>
        <w:rPr>
          <w:rFonts w:ascii="Arial"/>
          <w:sz w:val="21"/>
        </w:rPr>
      </w:pPr>
    </w:p>
    <w:p w14:paraId="7051B611">
      <w:pPr>
        <w:pStyle w:val="2"/>
        <w:spacing w:before="78" w:line="221" w:lineRule="auto"/>
        <w:ind w:left="15"/>
        <w:outlineLvl w:val="1"/>
        <w:rPr>
          <w:sz w:val="24"/>
          <w:szCs w:val="24"/>
        </w:rPr>
      </w:pPr>
      <w:bookmarkStart w:id="182" w:name="bookmark163"/>
      <w:bookmarkEnd w:id="182"/>
      <w:r>
        <w:rPr>
          <w:spacing w:val="-2"/>
          <w:sz w:val="24"/>
          <w:szCs w:val="24"/>
        </w:rPr>
        <w:t>附表</w:t>
      </w:r>
      <w:r>
        <w:rPr>
          <w:spacing w:val="-57"/>
          <w:sz w:val="24"/>
          <w:szCs w:val="24"/>
        </w:rPr>
        <w:t xml:space="preserve"> </w:t>
      </w:r>
      <w:r>
        <w:rPr>
          <w:rFonts w:ascii="Times New Roman" w:hAnsi="Times New Roman" w:eastAsia="Times New Roman" w:cs="Times New Roman"/>
          <w:spacing w:val="-2"/>
          <w:sz w:val="24"/>
          <w:szCs w:val="24"/>
        </w:rPr>
        <w:t>A-2</w:t>
      </w:r>
      <w:r>
        <w:rPr>
          <w:spacing w:val="-2"/>
          <w:sz w:val="24"/>
          <w:szCs w:val="24"/>
        </w:rPr>
        <w:t>：评标专家声明书</w:t>
      </w:r>
    </w:p>
    <w:p w14:paraId="465040F6">
      <w:pPr>
        <w:spacing w:line="261" w:lineRule="auto"/>
        <w:rPr>
          <w:rFonts w:ascii="Arial"/>
          <w:sz w:val="21"/>
        </w:rPr>
      </w:pPr>
    </w:p>
    <w:p w14:paraId="68B39EBA">
      <w:pPr>
        <w:spacing w:line="261" w:lineRule="auto"/>
        <w:rPr>
          <w:rFonts w:ascii="Arial"/>
          <w:sz w:val="21"/>
        </w:rPr>
      </w:pPr>
    </w:p>
    <w:p w14:paraId="39F9D98F">
      <w:pPr>
        <w:spacing w:line="261" w:lineRule="auto"/>
        <w:rPr>
          <w:rFonts w:ascii="Arial"/>
          <w:sz w:val="21"/>
        </w:rPr>
      </w:pPr>
    </w:p>
    <w:p w14:paraId="3884E0FC">
      <w:pPr>
        <w:spacing w:line="261" w:lineRule="auto"/>
        <w:rPr>
          <w:rFonts w:ascii="Arial"/>
          <w:sz w:val="21"/>
        </w:rPr>
      </w:pPr>
    </w:p>
    <w:p w14:paraId="61E74375">
      <w:pPr>
        <w:spacing w:line="262" w:lineRule="auto"/>
        <w:rPr>
          <w:rFonts w:ascii="Arial"/>
          <w:sz w:val="21"/>
        </w:rPr>
      </w:pPr>
    </w:p>
    <w:p w14:paraId="705ACC14">
      <w:pPr>
        <w:spacing w:line="262" w:lineRule="auto"/>
        <w:rPr>
          <w:rFonts w:ascii="Arial"/>
          <w:sz w:val="21"/>
        </w:rPr>
      </w:pPr>
    </w:p>
    <w:p w14:paraId="08F6906D">
      <w:pPr>
        <w:pStyle w:val="2"/>
        <w:spacing w:before="91" w:line="222" w:lineRule="auto"/>
        <w:ind w:left="3472"/>
        <w:rPr>
          <w:sz w:val="28"/>
          <w:szCs w:val="28"/>
        </w:rPr>
      </w:pPr>
      <w:r>
        <w:rPr>
          <w:spacing w:val="-2"/>
          <w:sz w:val="28"/>
          <w:szCs w:val="28"/>
        </w:rPr>
        <w:t>评标专家声明书</w:t>
      </w:r>
    </w:p>
    <w:p w14:paraId="37F2DC97">
      <w:pPr>
        <w:spacing w:line="282" w:lineRule="auto"/>
        <w:rPr>
          <w:rFonts w:ascii="Arial"/>
          <w:sz w:val="21"/>
        </w:rPr>
      </w:pPr>
    </w:p>
    <w:p w14:paraId="6C23E988">
      <w:pPr>
        <w:spacing w:line="282" w:lineRule="auto"/>
        <w:rPr>
          <w:rFonts w:ascii="Arial"/>
          <w:sz w:val="21"/>
        </w:rPr>
      </w:pPr>
    </w:p>
    <w:p w14:paraId="10C82EC5">
      <w:pPr>
        <w:spacing w:line="282" w:lineRule="auto"/>
        <w:rPr>
          <w:rFonts w:ascii="Arial"/>
          <w:sz w:val="21"/>
        </w:rPr>
      </w:pPr>
    </w:p>
    <w:p w14:paraId="376F2569">
      <w:pPr>
        <w:spacing w:line="282" w:lineRule="auto"/>
        <w:rPr>
          <w:rFonts w:ascii="Arial"/>
          <w:sz w:val="21"/>
        </w:rPr>
      </w:pPr>
    </w:p>
    <w:p w14:paraId="692EFED8">
      <w:pPr>
        <w:spacing w:line="283" w:lineRule="auto"/>
        <w:rPr>
          <w:rFonts w:ascii="Arial"/>
          <w:sz w:val="21"/>
        </w:rPr>
      </w:pPr>
    </w:p>
    <w:p w14:paraId="73345069">
      <w:pPr>
        <w:spacing w:before="65" w:line="227" w:lineRule="auto"/>
        <w:jc w:val="right"/>
        <w:rPr>
          <w:rFonts w:ascii="宋体" w:hAnsi="宋体" w:eastAsia="宋体" w:cs="宋体"/>
          <w:sz w:val="20"/>
          <w:szCs w:val="20"/>
        </w:rPr>
      </w:pPr>
      <w:r>
        <w:rPr>
          <w:rFonts w:ascii="宋体" w:hAnsi="宋体" w:eastAsia="宋体" w:cs="宋体"/>
          <w:spacing w:val="8"/>
          <w:sz w:val="20"/>
          <w:szCs w:val="20"/>
        </w:rPr>
        <w:t xml:space="preserve">本人接受招标人邀请，担任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（项目名称</w:t>
      </w:r>
      <w:r>
        <w:rPr>
          <w:rFonts w:ascii="宋体" w:hAnsi="宋体" w:eastAsia="宋体" w:cs="宋体"/>
          <w:spacing w:val="-7"/>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w:t>
      </w:r>
      <w:r>
        <w:rPr>
          <w:rFonts w:ascii="宋体" w:hAnsi="宋体" w:eastAsia="宋体" w:cs="宋体"/>
          <w:spacing w:val="8"/>
          <w:sz w:val="20"/>
          <w:szCs w:val="20"/>
        </w:rPr>
        <w:t>标段名称）施工招标的评标专家。</w:t>
      </w:r>
    </w:p>
    <w:p w14:paraId="18A3B012">
      <w:pPr>
        <w:spacing w:before="183" w:line="397" w:lineRule="auto"/>
        <w:ind w:left="1" w:firstLine="420"/>
        <w:rPr>
          <w:rFonts w:ascii="宋体" w:hAnsi="宋体" w:eastAsia="宋体" w:cs="宋体"/>
          <w:sz w:val="20"/>
          <w:szCs w:val="20"/>
        </w:rPr>
      </w:pPr>
      <w:r>
        <w:rPr>
          <w:rFonts w:ascii="宋体" w:hAnsi="宋体" w:eastAsia="宋体" w:cs="宋体"/>
          <w:spacing w:val="12"/>
          <w:sz w:val="20"/>
          <w:szCs w:val="20"/>
        </w:rPr>
        <w:t>本人声明：本人在评标前未与招标人、招标代理机构以及任何投标</w:t>
      </w:r>
      <w:r>
        <w:rPr>
          <w:rFonts w:ascii="宋体" w:hAnsi="宋体" w:eastAsia="宋体" w:cs="宋体"/>
          <w:spacing w:val="11"/>
          <w:sz w:val="20"/>
          <w:szCs w:val="20"/>
        </w:rPr>
        <w:t>人或者与招标结果有利害</w:t>
      </w:r>
      <w:r>
        <w:rPr>
          <w:rFonts w:ascii="宋体" w:hAnsi="宋体" w:eastAsia="宋体" w:cs="宋体"/>
          <w:spacing w:val="12"/>
          <w:sz w:val="20"/>
          <w:szCs w:val="20"/>
        </w:rPr>
        <w:t>关系的人发生可能影响评标结果的接触；在中标结果确定之前，不向外透露对投标文件的评</w:t>
      </w:r>
      <w:r>
        <w:rPr>
          <w:rFonts w:ascii="宋体" w:hAnsi="宋体" w:eastAsia="宋体" w:cs="宋体"/>
          <w:spacing w:val="11"/>
          <w:sz w:val="20"/>
          <w:szCs w:val="20"/>
        </w:rPr>
        <w:t>审、</w:t>
      </w:r>
      <w:r>
        <w:rPr>
          <w:rFonts w:ascii="宋体" w:hAnsi="宋体" w:eastAsia="宋体" w:cs="宋体"/>
          <w:spacing w:val="8"/>
          <w:sz w:val="20"/>
          <w:szCs w:val="20"/>
        </w:rPr>
        <w:t>中标候选人的推荐情况以及与评标有关的其他情况；不收受招标人超出合理报酬以外的任何现金、有价证券和礼物；不收受有关利害关系人的任何财物和好处；不</w:t>
      </w:r>
      <w:r>
        <w:rPr>
          <w:rFonts w:ascii="宋体" w:hAnsi="宋体" w:eastAsia="宋体" w:cs="宋体"/>
          <w:spacing w:val="7"/>
          <w:sz w:val="20"/>
          <w:szCs w:val="20"/>
        </w:rPr>
        <w:t>存在按投标人须知第</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 </w:t>
      </w:r>
      <w:r>
        <w:rPr>
          <w:rFonts w:ascii="宋体" w:hAnsi="宋体" w:eastAsia="宋体" w:cs="宋体"/>
          <w:spacing w:val="7"/>
          <w:sz w:val="20"/>
          <w:szCs w:val="20"/>
        </w:rPr>
        <w:t>款规定需要回避的情形。</w:t>
      </w:r>
    </w:p>
    <w:p w14:paraId="6065C232">
      <w:pPr>
        <w:spacing w:line="397" w:lineRule="auto"/>
        <w:ind w:right="71" w:firstLine="421"/>
        <w:jc w:val="both"/>
        <w:rPr>
          <w:rFonts w:ascii="宋体" w:hAnsi="宋体" w:eastAsia="宋体" w:cs="宋体"/>
          <w:sz w:val="20"/>
          <w:szCs w:val="20"/>
        </w:rPr>
      </w:pPr>
      <w:r>
        <w:rPr>
          <w:rFonts w:ascii="宋体" w:hAnsi="宋体" w:eastAsia="宋体" w:cs="宋体"/>
          <w:spacing w:val="12"/>
          <w:sz w:val="20"/>
          <w:szCs w:val="20"/>
        </w:rPr>
        <w:t>本人保证：在评标过程中，遵守有评标纪律，不向招标人征询其确定中</w:t>
      </w:r>
      <w:r>
        <w:rPr>
          <w:rFonts w:ascii="宋体" w:hAnsi="宋体" w:eastAsia="宋体" w:cs="宋体"/>
          <w:spacing w:val="11"/>
          <w:sz w:val="20"/>
          <w:szCs w:val="20"/>
        </w:rPr>
        <w:t>标人的意向，不接受</w:t>
      </w:r>
      <w:r>
        <w:rPr>
          <w:rFonts w:ascii="宋体" w:hAnsi="宋体" w:eastAsia="宋体" w:cs="宋体"/>
          <w:spacing w:val="12"/>
          <w:sz w:val="20"/>
          <w:szCs w:val="20"/>
        </w:rPr>
        <w:t>任何单位或者个人明示或者暗示提出的倾向或者排斥特定投标人的要求</w:t>
      </w:r>
      <w:r>
        <w:rPr>
          <w:rFonts w:ascii="宋体" w:hAnsi="宋体" w:eastAsia="宋体" w:cs="宋体"/>
          <w:spacing w:val="11"/>
          <w:sz w:val="20"/>
          <w:szCs w:val="20"/>
        </w:rPr>
        <w:t>，不对依法应当否决的投</w:t>
      </w:r>
      <w:r>
        <w:rPr>
          <w:rFonts w:ascii="宋体" w:hAnsi="宋体" w:eastAsia="宋体" w:cs="宋体"/>
          <w:spacing w:val="12"/>
          <w:sz w:val="20"/>
          <w:szCs w:val="20"/>
        </w:rPr>
        <w:t>标不提出否决意见，不暗示或者诱导投标人作出澄清、说明或者接受投</w:t>
      </w:r>
      <w:r>
        <w:rPr>
          <w:rFonts w:ascii="宋体" w:hAnsi="宋体" w:eastAsia="宋体" w:cs="宋体"/>
          <w:spacing w:val="11"/>
          <w:sz w:val="20"/>
          <w:szCs w:val="20"/>
        </w:rPr>
        <w:t>标人主动提出的澄清、说</w:t>
      </w:r>
      <w:r>
        <w:rPr>
          <w:rFonts w:ascii="宋体" w:hAnsi="宋体" w:eastAsia="宋体" w:cs="宋体"/>
          <w:spacing w:val="9"/>
          <w:sz w:val="20"/>
          <w:szCs w:val="20"/>
        </w:rPr>
        <w:t>明；服从评标委员会的统一安排；独立、客观、公正地履行评标专家职责。</w:t>
      </w:r>
    </w:p>
    <w:p w14:paraId="1F0CBB70">
      <w:pPr>
        <w:spacing w:before="1" w:line="396" w:lineRule="auto"/>
        <w:ind w:left="2" w:right="71" w:firstLine="419"/>
        <w:rPr>
          <w:rFonts w:ascii="宋体" w:hAnsi="宋体" w:eastAsia="宋体" w:cs="宋体"/>
          <w:sz w:val="20"/>
          <w:szCs w:val="20"/>
        </w:rPr>
      </w:pPr>
      <w:r>
        <w:rPr>
          <w:rFonts w:ascii="宋体" w:hAnsi="宋体" w:eastAsia="宋体" w:cs="宋体"/>
          <w:spacing w:val="12"/>
          <w:sz w:val="20"/>
          <w:szCs w:val="20"/>
        </w:rPr>
        <w:t>本人接受有关行政监督部门依法实施监督。如违反上述承诺或者不能履</w:t>
      </w:r>
      <w:r>
        <w:rPr>
          <w:rFonts w:ascii="宋体" w:hAnsi="宋体" w:eastAsia="宋体" w:cs="宋体"/>
          <w:spacing w:val="11"/>
          <w:sz w:val="20"/>
          <w:szCs w:val="20"/>
        </w:rPr>
        <w:t>行评标专家职责，本</w:t>
      </w:r>
      <w:r>
        <w:rPr>
          <w:rFonts w:ascii="宋体" w:hAnsi="宋体" w:eastAsia="宋体" w:cs="宋体"/>
          <w:spacing w:val="8"/>
          <w:sz w:val="20"/>
          <w:szCs w:val="20"/>
        </w:rPr>
        <w:t>人愿意承担一切由此带来的法律责任。</w:t>
      </w:r>
    </w:p>
    <w:p w14:paraId="1A352393">
      <w:pPr>
        <w:spacing w:line="227" w:lineRule="auto"/>
        <w:ind w:left="420"/>
        <w:rPr>
          <w:rFonts w:ascii="宋体" w:hAnsi="宋体" w:eastAsia="宋体" w:cs="宋体"/>
          <w:sz w:val="20"/>
          <w:szCs w:val="20"/>
        </w:rPr>
      </w:pPr>
      <w:r>
        <w:rPr>
          <w:rFonts w:ascii="宋体" w:hAnsi="宋体" w:eastAsia="宋体" w:cs="宋体"/>
          <w:spacing w:val="5"/>
          <w:sz w:val="20"/>
          <w:szCs w:val="20"/>
        </w:rPr>
        <w:t>特此声明。</w:t>
      </w:r>
    </w:p>
    <w:p w14:paraId="6BA47944">
      <w:pPr>
        <w:spacing w:line="273" w:lineRule="auto"/>
        <w:rPr>
          <w:rFonts w:ascii="Arial"/>
          <w:sz w:val="21"/>
        </w:rPr>
      </w:pPr>
    </w:p>
    <w:p w14:paraId="3FDC99FC">
      <w:pPr>
        <w:spacing w:line="273" w:lineRule="auto"/>
        <w:rPr>
          <w:rFonts w:ascii="Arial"/>
          <w:sz w:val="21"/>
        </w:rPr>
      </w:pPr>
    </w:p>
    <w:p w14:paraId="39C03381">
      <w:pPr>
        <w:spacing w:before="66" w:line="227" w:lineRule="auto"/>
        <w:ind w:left="5145"/>
        <w:rPr>
          <w:rFonts w:ascii="宋体" w:hAnsi="宋体" w:eastAsia="宋体" w:cs="宋体"/>
          <w:sz w:val="20"/>
          <w:szCs w:val="20"/>
        </w:rPr>
      </w:pPr>
      <w:r>
        <w:rPr>
          <w:rFonts w:ascii="宋体" w:hAnsi="宋体" w:eastAsia="宋体" w:cs="宋体"/>
          <w:spacing w:val="8"/>
          <w:sz w:val="20"/>
          <w:szCs w:val="20"/>
        </w:rPr>
        <w:t>评标委员会成员签名：</w:t>
      </w:r>
    </w:p>
    <w:p w14:paraId="0988144A">
      <w:pPr>
        <w:spacing w:before="183" w:line="228" w:lineRule="auto"/>
        <w:ind w:left="5496"/>
        <w:rPr>
          <w:rFonts w:ascii="宋体" w:hAnsi="宋体" w:eastAsia="宋体" w:cs="宋体"/>
          <w:sz w:val="20"/>
          <w:szCs w:val="20"/>
        </w:rPr>
      </w:pPr>
      <w:r>
        <w:rPr>
          <w:rFonts w:ascii="宋体" w:hAnsi="宋体" w:eastAsia="宋体" w:cs="宋体"/>
          <w:spacing w:val="-6"/>
          <w:sz w:val="20"/>
          <w:szCs w:val="20"/>
        </w:rPr>
        <w:t>日期：</w:t>
      </w:r>
      <w:r>
        <w:rPr>
          <w:rFonts w:ascii="宋体" w:hAnsi="宋体" w:eastAsia="宋体" w:cs="宋体"/>
          <w:spacing w:val="9"/>
          <w:sz w:val="20"/>
          <w:szCs w:val="20"/>
        </w:rPr>
        <w:t xml:space="preserve">      </w:t>
      </w:r>
      <w:r>
        <w:rPr>
          <w:rFonts w:ascii="宋体" w:hAnsi="宋体" w:eastAsia="宋体" w:cs="宋体"/>
          <w:spacing w:val="-6"/>
          <w:sz w:val="20"/>
          <w:szCs w:val="20"/>
        </w:rPr>
        <w:t>年</w:t>
      </w:r>
      <w:r>
        <w:rPr>
          <w:rFonts w:ascii="宋体" w:hAnsi="宋体" w:eastAsia="宋体" w:cs="宋体"/>
          <w:spacing w:val="9"/>
          <w:sz w:val="20"/>
          <w:szCs w:val="20"/>
        </w:rPr>
        <w:t xml:space="preserve">    </w:t>
      </w:r>
      <w:r>
        <w:rPr>
          <w:rFonts w:ascii="宋体" w:hAnsi="宋体" w:eastAsia="宋体" w:cs="宋体"/>
          <w:spacing w:val="-6"/>
          <w:sz w:val="20"/>
          <w:szCs w:val="20"/>
        </w:rPr>
        <w:t>月</w:t>
      </w:r>
      <w:r>
        <w:rPr>
          <w:rFonts w:ascii="宋体" w:hAnsi="宋体" w:eastAsia="宋体" w:cs="宋体"/>
          <w:spacing w:val="16"/>
          <w:sz w:val="20"/>
          <w:szCs w:val="20"/>
        </w:rPr>
        <w:t xml:space="preserve">    </w:t>
      </w:r>
      <w:r>
        <w:rPr>
          <w:rFonts w:ascii="宋体" w:hAnsi="宋体" w:eastAsia="宋体" w:cs="宋体"/>
          <w:spacing w:val="-6"/>
          <w:sz w:val="20"/>
          <w:szCs w:val="20"/>
        </w:rPr>
        <w:t>日</w:t>
      </w:r>
    </w:p>
    <w:p w14:paraId="2B35265A">
      <w:pPr>
        <w:spacing w:line="228" w:lineRule="auto"/>
        <w:rPr>
          <w:rFonts w:ascii="宋体" w:hAnsi="宋体" w:eastAsia="宋体" w:cs="宋体"/>
          <w:sz w:val="20"/>
          <w:szCs w:val="20"/>
        </w:rPr>
        <w:sectPr>
          <w:footerReference r:id="rId126" w:type="default"/>
          <w:pgSz w:w="11907" w:h="16840"/>
          <w:pgMar w:top="400" w:right="1460" w:bottom="1035" w:left="1480" w:header="0" w:footer="785" w:gutter="0"/>
          <w:cols w:space="720" w:num="1"/>
        </w:sectPr>
      </w:pPr>
    </w:p>
    <w:p w14:paraId="464805B1">
      <w:pPr>
        <w:spacing w:line="265" w:lineRule="auto"/>
        <w:rPr>
          <w:rFonts w:ascii="Arial"/>
          <w:sz w:val="21"/>
        </w:rPr>
      </w:pPr>
    </w:p>
    <w:p w14:paraId="587CB274">
      <w:pPr>
        <w:spacing w:line="266" w:lineRule="auto"/>
        <w:rPr>
          <w:rFonts w:ascii="Arial"/>
          <w:sz w:val="21"/>
        </w:rPr>
      </w:pPr>
    </w:p>
    <w:p w14:paraId="5A62A2E9">
      <w:pPr>
        <w:spacing w:line="266" w:lineRule="auto"/>
        <w:rPr>
          <w:rFonts w:ascii="Arial"/>
          <w:sz w:val="21"/>
        </w:rPr>
      </w:pPr>
    </w:p>
    <w:p w14:paraId="2FBE4CBB">
      <w:pPr>
        <w:spacing w:line="266" w:lineRule="auto"/>
        <w:rPr>
          <w:rFonts w:ascii="Arial"/>
          <w:sz w:val="21"/>
        </w:rPr>
      </w:pPr>
    </w:p>
    <w:p w14:paraId="6F91375D">
      <w:pPr>
        <w:spacing w:line="266" w:lineRule="auto"/>
        <w:rPr>
          <w:rFonts w:ascii="Arial"/>
          <w:sz w:val="21"/>
        </w:rPr>
      </w:pPr>
    </w:p>
    <w:p w14:paraId="5768936B">
      <w:pPr>
        <w:pStyle w:val="2"/>
        <w:spacing w:before="78" w:line="221" w:lineRule="auto"/>
        <w:ind w:left="134"/>
        <w:outlineLvl w:val="1"/>
        <w:rPr>
          <w:sz w:val="24"/>
          <w:szCs w:val="24"/>
        </w:rPr>
      </w:pPr>
      <w:bookmarkStart w:id="183" w:name="bookmark164"/>
      <w:bookmarkEnd w:id="183"/>
      <w:r>
        <w:rPr>
          <w:spacing w:val="-3"/>
          <w:sz w:val="24"/>
          <w:szCs w:val="24"/>
        </w:rPr>
        <w:t>附表</w:t>
      </w:r>
      <w:r>
        <w:rPr>
          <w:spacing w:val="-46"/>
          <w:sz w:val="24"/>
          <w:szCs w:val="24"/>
        </w:rPr>
        <w:t xml:space="preserve"> </w:t>
      </w:r>
      <w:r>
        <w:rPr>
          <w:rFonts w:ascii="Times New Roman" w:hAnsi="Times New Roman" w:eastAsia="Times New Roman" w:cs="Times New Roman"/>
          <w:spacing w:val="-3"/>
          <w:sz w:val="24"/>
          <w:szCs w:val="24"/>
        </w:rPr>
        <w:t>A-3</w:t>
      </w:r>
      <w:r>
        <w:rPr>
          <w:rFonts w:ascii="Times New Roman" w:hAnsi="Times New Roman" w:eastAsia="Times New Roman" w:cs="Times New Roman"/>
          <w:spacing w:val="-13"/>
          <w:sz w:val="24"/>
          <w:szCs w:val="24"/>
        </w:rPr>
        <w:t xml:space="preserve"> </w:t>
      </w:r>
      <w:r>
        <w:rPr>
          <w:spacing w:val="-3"/>
          <w:sz w:val="24"/>
          <w:szCs w:val="24"/>
        </w:rPr>
        <w:t>：技术暗标编号确认表（适用于非计算机辅助评标）</w:t>
      </w:r>
    </w:p>
    <w:p w14:paraId="42CABEB3">
      <w:pPr>
        <w:rPr>
          <w:rFonts w:ascii="Arial"/>
          <w:sz w:val="21"/>
        </w:rPr>
      </w:pPr>
    </w:p>
    <w:p w14:paraId="48E395B2">
      <w:pPr>
        <w:rPr>
          <w:rFonts w:ascii="Arial"/>
          <w:sz w:val="21"/>
        </w:rPr>
      </w:pPr>
    </w:p>
    <w:p w14:paraId="67919E8D">
      <w:pPr>
        <w:spacing w:line="241" w:lineRule="auto"/>
        <w:rPr>
          <w:rFonts w:ascii="Arial"/>
          <w:sz w:val="21"/>
        </w:rPr>
      </w:pPr>
    </w:p>
    <w:p w14:paraId="00C9C852">
      <w:pPr>
        <w:spacing w:line="241" w:lineRule="auto"/>
        <w:rPr>
          <w:rFonts w:ascii="Arial"/>
          <w:sz w:val="21"/>
        </w:rPr>
      </w:pPr>
    </w:p>
    <w:p w14:paraId="68B51EEC">
      <w:pPr>
        <w:spacing w:line="241" w:lineRule="auto"/>
        <w:rPr>
          <w:rFonts w:ascii="Arial"/>
          <w:sz w:val="21"/>
        </w:rPr>
      </w:pPr>
    </w:p>
    <w:p w14:paraId="4562C13C">
      <w:pPr>
        <w:pStyle w:val="2"/>
        <w:spacing w:before="91" w:line="222" w:lineRule="auto"/>
        <w:ind w:left="3315"/>
        <w:rPr>
          <w:sz w:val="28"/>
          <w:szCs w:val="28"/>
        </w:rPr>
      </w:pPr>
      <w:r>
        <w:rPr>
          <w:spacing w:val="-2"/>
          <w:sz w:val="28"/>
          <w:szCs w:val="28"/>
        </w:rPr>
        <w:t>技术暗标编号确认表</w:t>
      </w:r>
    </w:p>
    <w:p w14:paraId="020323A1">
      <w:pPr>
        <w:spacing w:line="290" w:lineRule="auto"/>
        <w:rPr>
          <w:rFonts w:ascii="Arial"/>
          <w:sz w:val="21"/>
        </w:rPr>
      </w:pPr>
    </w:p>
    <w:p w14:paraId="2F8A2B64">
      <w:pPr>
        <w:spacing w:line="291" w:lineRule="auto"/>
        <w:rPr>
          <w:rFonts w:ascii="Arial"/>
          <w:sz w:val="21"/>
        </w:rPr>
      </w:pPr>
    </w:p>
    <w:p w14:paraId="69ADEF8B">
      <w:pPr>
        <w:spacing w:line="291" w:lineRule="auto"/>
        <w:rPr>
          <w:rFonts w:ascii="Arial"/>
          <w:sz w:val="21"/>
        </w:rPr>
      </w:pPr>
    </w:p>
    <w:p w14:paraId="4DB01958">
      <w:pPr>
        <w:spacing w:before="65" w:line="228" w:lineRule="auto"/>
        <w:ind w:left="123"/>
        <w:rPr>
          <w:rFonts w:ascii="宋体" w:hAnsi="宋体" w:eastAsia="宋体" w:cs="宋体"/>
          <w:sz w:val="20"/>
          <w:szCs w:val="20"/>
        </w:rPr>
      </w:pPr>
      <w:r>
        <w:rPr>
          <w:rFonts w:ascii="宋体" w:hAnsi="宋体" w:eastAsia="宋体" w:cs="宋体"/>
          <w:spacing w:val="12"/>
          <w:sz w:val="20"/>
          <w:szCs w:val="20"/>
        </w:rPr>
        <w:t>工程名称</w:t>
      </w:r>
      <w:r>
        <w:rPr>
          <w:rFonts w:ascii="宋体" w:hAnsi="宋体" w:eastAsia="宋体" w:cs="宋体"/>
          <w:spacing w:val="-2"/>
          <w:sz w:val="20"/>
          <w:szCs w:val="20"/>
        </w:rPr>
        <w:t>：</w:t>
      </w:r>
      <w:r>
        <w:rPr>
          <w:rFonts w:ascii="宋体" w:hAnsi="宋体" w:eastAsia="宋体" w:cs="宋体"/>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2"/>
          <w:sz w:val="20"/>
          <w:szCs w:val="20"/>
        </w:rPr>
        <w:t>项目名称</w:t>
      </w:r>
      <w:r>
        <w:rPr>
          <w:rFonts w:ascii="宋体" w:hAnsi="宋体" w:eastAsia="宋体" w:cs="宋体"/>
          <w:spacing w:val="-2"/>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2"/>
          <w:sz w:val="20"/>
          <w:szCs w:val="20"/>
        </w:rPr>
        <w:t>标段名称）</w:t>
      </w:r>
    </w:p>
    <w:p w14:paraId="73F437EB">
      <w:pPr>
        <w:spacing w:line="234" w:lineRule="exact"/>
      </w:pPr>
    </w:p>
    <w:tbl>
      <w:tblPr>
        <w:tblStyle w:val="5"/>
        <w:tblW w:w="82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2698"/>
        <w:gridCol w:w="4894"/>
      </w:tblGrid>
      <w:tr w14:paraId="688183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652" w:type="dxa"/>
            <w:vAlign w:val="top"/>
          </w:tcPr>
          <w:p w14:paraId="018AFF85">
            <w:pPr>
              <w:pStyle w:val="6"/>
              <w:spacing w:before="168" w:line="229" w:lineRule="auto"/>
              <w:ind w:left="114"/>
            </w:pPr>
            <w:r>
              <w:rPr>
                <w:spacing w:val="5"/>
              </w:rPr>
              <w:t>序号</w:t>
            </w:r>
          </w:p>
        </w:tc>
        <w:tc>
          <w:tcPr>
            <w:tcW w:w="2698" w:type="dxa"/>
            <w:vAlign w:val="top"/>
          </w:tcPr>
          <w:p w14:paraId="5E5AEC07">
            <w:pPr>
              <w:pStyle w:val="6"/>
              <w:spacing w:before="167" w:line="228" w:lineRule="auto"/>
              <w:ind w:left="943"/>
            </w:pPr>
            <w:r>
              <w:rPr>
                <w:spacing w:val="5"/>
              </w:rPr>
              <w:t>暗标编号</w:t>
            </w:r>
          </w:p>
        </w:tc>
        <w:tc>
          <w:tcPr>
            <w:tcW w:w="4894" w:type="dxa"/>
            <w:vAlign w:val="top"/>
          </w:tcPr>
          <w:p w14:paraId="00AD274C">
            <w:pPr>
              <w:pStyle w:val="6"/>
              <w:spacing w:before="168" w:line="228" w:lineRule="auto"/>
              <w:ind w:left="1507"/>
            </w:pPr>
            <w:r>
              <w:rPr>
                <w:spacing w:val="8"/>
              </w:rPr>
              <w:t>确认的投标单位名称</w:t>
            </w:r>
          </w:p>
        </w:tc>
      </w:tr>
      <w:tr w14:paraId="39C29C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52" w:type="dxa"/>
            <w:vAlign w:val="top"/>
          </w:tcPr>
          <w:p w14:paraId="0D4B1686">
            <w:pPr>
              <w:rPr>
                <w:rFonts w:ascii="Arial"/>
                <w:sz w:val="21"/>
              </w:rPr>
            </w:pPr>
          </w:p>
        </w:tc>
        <w:tc>
          <w:tcPr>
            <w:tcW w:w="2698" w:type="dxa"/>
            <w:vAlign w:val="top"/>
          </w:tcPr>
          <w:p w14:paraId="7BF7E57A">
            <w:pPr>
              <w:rPr>
                <w:rFonts w:ascii="Arial"/>
                <w:sz w:val="21"/>
              </w:rPr>
            </w:pPr>
          </w:p>
        </w:tc>
        <w:tc>
          <w:tcPr>
            <w:tcW w:w="4894" w:type="dxa"/>
            <w:vAlign w:val="top"/>
          </w:tcPr>
          <w:p w14:paraId="371B72B3">
            <w:pPr>
              <w:rPr>
                <w:rFonts w:ascii="Arial"/>
                <w:sz w:val="21"/>
              </w:rPr>
            </w:pPr>
          </w:p>
        </w:tc>
      </w:tr>
      <w:tr w14:paraId="70687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52" w:type="dxa"/>
            <w:vAlign w:val="top"/>
          </w:tcPr>
          <w:p w14:paraId="7A3ADCED">
            <w:pPr>
              <w:rPr>
                <w:rFonts w:ascii="Arial"/>
                <w:sz w:val="21"/>
              </w:rPr>
            </w:pPr>
          </w:p>
        </w:tc>
        <w:tc>
          <w:tcPr>
            <w:tcW w:w="2698" w:type="dxa"/>
            <w:vAlign w:val="top"/>
          </w:tcPr>
          <w:p w14:paraId="73F45DBE">
            <w:pPr>
              <w:rPr>
                <w:rFonts w:ascii="Arial"/>
                <w:sz w:val="21"/>
              </w:rPr>
            </w:pPr>
          </w:p>
        </w:tc>
        <w:tc>
          <w:tcPr>
            <w:tcW w:w="4894" w:type="dxa"/>
            <w:vAlign w:val="top"/>
          </w:tcPr>
          <w:p w14:paraId="6EA2007E">
            <w:pPr>
              <w:rPr>
                <w:rFonts w:ascii="Arial"/>
                <w:sz w:val="21"/>
              </w:rPr>
            </w:pPr>
          </w:p>
        </w:tc>
      </w:tr>
      <w:tr w14:paraId="645F86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52" w:type="dxa"/>
            <w:vAlign w:val="top"/>
          </w:tcPr>
          <w:p w14:paraId="56C48ED9">
            <w:pPr>
              <w:rPr>
                <w:rFonts w:ascii="Arial"/>
                <w:sz w:val="21"/>
              </w:rPr>
            </w:pPr>
          </w:p>
        </w:tc>
        <w:tc>
          <w:tcPr>
            <w:tcW w:w="2698" w:type="dxa"/>
            <w:vAlign w:val="top"/>
          </w:tcPr>
          <w:p w14:paraId="18DFD470">
            <w:pPr>
              <w:rPr>
                <w:rFonts w:ascii="Arial"/>
                <w:sz w:val="21"/>
              </w:rPr>
            </w:pPr>
          </w:p>
        </w:tc>
        <w:tc>
          <w:tcPr>
            <w:tcW w:w="4894" w:type="dxa"/>
            <w:vAlign w:val="top"/>
          </w:tcPr>
          <w:p w14:paraId="715E5DB6">
            <w:pPr>
              <w:rPr>
                <w:rFonts w:ascii="Arial"/>
                <w:sz w:val="21"/>
              </w:rPr>
            </w:pPr>
          </w:p>
        </w:tc>
      </w:tr>
      <w:tr w14:paraId="4580B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52" w:type="dxa"/>
            <w:vAlign w:val="top"/>
          </w:tcPr>
          <w:p w14:paraId="4D4920AF">
            <w:pPr>
              <w:rPr>
                <w:rFonts w:ascii="Arial"/>
                <w:sz w:val="21"/>
              </w:rPr>
            </w:pPr>
          </w:p>
        </w:tc>
        <w:tc>
          <w:tcPr>
            <w:tcW w:w="2698" w:type="dxa"/>
            <w:vAlign w:val="top"/>
          </w:tcPr>
          <w:p w14:paraId="7C0277E0">
            <w:pPr>
              <w:rPr>
                <w:rFonts w:ascii="Arial"/>
                <w:sz w:val="21"/>
              </w:rPr>
            </w:pPr>
          </w:p>
        </w:tc>
        <w:tc>
          <w:tcPr>
            <w:tcW w:w="4894" w:type="dxa"/>
            <w:vAlign w:val="top"/>
          </w:tcPr>
          <w:p w14:paraId="63B6B844">
            <w:pPr>
              <w:rPr>
                <w:rFonts w:ascii="Arial"/>
                <w:sz w:val="21"/>
              </w:rPr>
            </w:pPr>
          </w:p>
        </w:tc>
      </w:tr>
      <w:tr w14:paraId="33B62A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652" w:type="dxa"/>
            <w:vAlign w:val="top"/>
          </w:tcPr>
          <w:p w14:paraId="1D478E6F">
            <w:pPr>
              <w:rPr>
                <w:rFonts w:ascii="Arial"/>
                <w:sz w:val="21"/>
              </w:rPr>
            </w:pPr>
          </w:p>
        </w:tc>
        <w:tc>
          <w:tcPr>
            <w:tcW w:w="2698" w:type="dxa"/>
            <w:vAlign w:val="top"/>
          </w:tcPr>
          <w:p w14:paraId="538EDFEF">
            <w:pPr>
              <w:rPr>
                <w:rFonts w:ascii="Arial"/>
                <w:sz w:val="21"/>
              </w:rPr>
            </w:pPr>
          </w:p>
        </w:tc>
        <w:tc>
          <w:tcPr>
            <w:tcW w:w="4894" w:type="dxa"/>
            <w:vAlign w:val="top"/>
          </w:tcPr>
          <w:p w14:paraId="24CDDB6B">
            <w:pPr>
              <w:rPr>
                <w:rFonts w:ascii="Arial"/>
                <w:sz w:val="21"/>
              </w:rPr>
            </w:pPr>
          </w:p>
        </w:tc>
      </w:tr>
      <w:tr w14:paraId="7FBA27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652" w:type="dxa"/>
            <w:vAlign w:val="top"/>
          </w:tcPr>
          <w:p w14:paraId="1CE3FD09">
            <w:pPr>
              <w:rPr>
                <w:rFonts w:ascii="Arial"/>
                <w:sz w:val="21"/>
              </w:rPr>
            </w:pPr>
          </w:p>
        </w:tc>
        <w:tc>
          <w:tcPr>
            <w:tcW w:w="2698" w:type="dxa"/>
            <w:vAlign w:val="top"/>
          </w:tcPr>
          <w:p w14:paraId="4E039891">
            <w:pPr>
              <w:rPr>
                <w:rFonts w:ascii="Arial"/>
                <w:sz w:val="21"/>
              </w:rPr>
            </w:pPr>
          </w:p>
        </w:tc>
        <w:tc>
          <w:tcPr>
            <w:tcW w:w="4894" w:type="dxa"/>
            <w:vAlign w:val="top"/>
          </w:tcPr>
          <w:p w14:paraId="4B8FBB89">
            <w:pPr>
              <w:rPr>
                <w:rFonts w:ascii="Arial"/>
                <w:sz w:val="21"/>
              </w:rPr>
            </w:pPr>
          </w:p>
        </w:tc>
      </w:tr>
      <w:tr w14:paraId="457C9A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652" w:type="dxa"/>
            <w:vAlign w:val="top"/>
          </w:tcPr>
          <w:p w14:paraId="3FC51E1B">
            <w:pPr>
              <w:rPr>
                <w:rFonts w:ascii="Arial"/>
                <w:sz w:val="21"/>
              </w:rPr>
            </w:pPr>
          </w:p>
        </w:tc>
        <w:tc>
          <w:tcPr>
            <w:tcW w:w="2698" w:type="dxa"/>
            <w:vAlign w:val="top"/>
          </w:tcPr>
          <w:p w14:paraId="44340B04">
            <w:pPr>
              <w:rPr>
                <w:rFonts w:ascii="Arial"/>
                <w:sz w:val="21"/>
              </w:rPr>
            </w:pPr>
          </w:p>
        </w:tc>
        <w:tc>
          <w:tcPr>
            <w:tcW w:w="4894" w:type="dxa"/>
            <w:vAlign w:val="top"/>
          </w:tcPr>
          <w:p w14:paraId="7E53A2D2">
            <w:pPr>
              <w:rPr>
                <w:rFonts w:ascii="Arial"/>
                <w:sz w:val="21"/>
              </w:rPr>
            </w:pPr>
          </w:p>
        </w:tc>
      </w:tr>
      <w:tr w14:paraId="71F58B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652" w:type="dxa"/>
            <w:vAlign w:val="top"/>
          </w:tcPr>
          <w:p w14:paraId="5A475507">
            <w:pPr>
              <w:rPr>
                <w:rFonts w:ascii="Arial"/>
                <w:sz w:val="21"/>
              </w:rPr>
            </w:pPr>
          </w:p>
        </w:tc>
        <w:tc>
          <w:tcPr>
            <w:tcW w:w="2698" w:type="dxa"/>
            <w:vAlign w:val="top"/>
          </w:tcPr>
          <w:p w14:paraId="182FDBCA">
            <w:pPr>
              <w:rPr>
                <w:rFonts w:ascii="Arial"/>
                <w:sz w:val="21"/>
              </w:rPr>
            </w:pPr>
          </w:p>
        </w:tc>
        <w:tc>
          <w:tcPr>
            <w:tcW w:w="4894" w:type="dxa"/>
            <w:vAlign w:val="top"/>
          </w:tcPr>
          <w:p w14:paraId="34931DBB">
            <w:pPr>
              <w:rPr>
                <w:rFonts w:ascii="Arial"/>
                <w:sz w:val="21"/>
              </w:rPr>
            </w:pPr>
          </w:p>
        </w:tc>
      </w:tr>
      <w:tr w14:paraId="72EBD4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652" w:type="dxa"/>
            <w:vAlign w:val="top"/>
          </w:tcPr>
          <w:p w14:paraId="3093017B">
            <w:pPr>
              <w:rPr>
                <w:rFonts w:ascii="Arial"/>
                <w:sz w:val="21"/>
              </w:rPr>
            </w:pPr>
          </w:p>
        </w:tc>
        <w:tc>
          <w:tcPr>
            <w:tcW w:w="2698" w:type="dxa"/>
            <w:vAlign w:val="top"/>
          </w:tcPr>
          <w:p w14:paraId="729F1056">
            <w:pPr>
              <w:rPr>
                <w:rFonts w:ascii="Arial"/>
                <w:sz w:val="21"/>
              </w:rPr>
            </w:pPr>
          </w:p>
        </w:tc>
        <w:tc>
          <w:tcPr>
            <w:tcW w:w="4894" w:type="dxa"/>
            <w:vAlign w:val="top"/>
          </w:tcPr>
          <w:p w14:paraId="32F587AA">
            <w:pPr>
              <w:rPr>
                <w:rFonts w:ascii="Arial"/>
                <w:sz w:val="21"/>
              </w:rPr>
            </w:pPr>
          </w:p>
        </w:tc>
      </w:tr>
      <w:tr w14:paraId="71AF0E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652" w:type="dxa"/>
            <w:vAlign w:val="top"/>
          </w:tcPr>
          <w:p w14:paraId="6FDBFAAC">
            <w:pPr>
              <w:rPr>
                <w:rFonts w:ascii="Arial"/>
                <w:sz w:val="21"/>
              </w:rPr>
            </w:pPr>
          </w:p>
        </w:tc>
        <w:tc>
          <w:tcPr>
            <w:tcW w:w="2698" w:type="dxa"/>
            <w:vAlign w:val="top"/>
          </w:tcPr>
          <w:p w14:paraId="771CFB71">
            <w:pPr>
              <w:rPr>
                <w:rFonts w:ascii="Arial"/>
                <w:sz w:val="21"/>
              </w:rPr>
            </w:pPr>
          </w:p>
        </w:tc>
        <w:tc>
          <w:tcPr>
            <w:tcW w:w="4894" w:type="dxa"/>
            <w:vAlign w:val="top"/>
          </w:tcPr>
          <w:p w14:paraId="290A24B1">
            <w:pPr>
              <w:rPr>
                <w:rFonts w:ascii="Arial"/>
                <w:sz w:val="21"/>
              </w:rPr>
            </w:pPr>
          </w:p>
        </w:tc>
      </w:tr>
    </w:tbl>
    <w:p w14:paraId="757681A5">
      <w:pPr>
        <w:spacing w:line="262" w:lineRule="auto"/>
        <w:rPr>
          <w:rFonts w:ascii="Arial"/>
          <w:sz w:val="21"/>
        </w:rPr>
      </w:pPr>
    </w:p>
    <w:p w14:paraId="060B1F82">
      <w:pPr>
        <w:spacing w:line="263" w:lineRule="auto"/>
        <w:rPr>
          <w:rFonts w:ascii="Arial"/>
          <w:sz w:val="21"/>
        </w:rPr>
      </w:pPr>
    </w:p>
    <w:p w14:paraId="6479C9F9">
      <w:pPr>
        <w:spacing w:before="65" w:line="227" w:lineRule="auto"/>
        <w:ind w:right="3"/>
        <w:jc w:val="right"/>
        <w:rPr>
          <w:rFonts w:ascii="宋体" w:hAnsi="宋体" w:eastAsia="宋体" w:cs="宋体"/>
          <w:sz w:val="20"/>
          <w:szCs w:val="20"/>
        </w:rPr>
      </w:pPr>
      <w:r>
        <w:rPr>
          <w:rFonts w:ascii="宋体" w:hAnsi="宋体" w:eastAsia="宋体" w:cs="宋体"/>
          <w:spacing w:val="3"/>
          <w:sz w:val="20"/>
          <w:szCs w:val="20"/>
        </w:rPr>
        <w:t xml:space="preserve">评标委员会全体成员签名：                                </w:t>
      </w:r>
      <w:r>
        <w:rPr>
          <w:rFonts w:ascii="宋体" w:hAnsi="宋体" w:eastAsia="宋体" w:cs="宋体"/>
          <w:spacing w:val="2"/>
          <w:sz w:val="20"/>
          <w:szCs w:val="20"/>
        </w:rPr>
        <w:t xml:space="preserve">   日期：</w:t>
      </w:r>
      <w:r>
        <w:rPr>
          <w:rFonts w:ascii="宋体" w:hAnsi="宋体" w:eastAsia="宋体" w:cs="宋体"/>
          <w:spacing w:val="10"/>
          <w:sz w:val="20"/>
          <w:szCs w:val="20"/>
        </w:rPr>
        <w:t xml:space="preserve">    </w:t>
      </w:r>
      <w:r>
        <w:rPr>
          <w:rFonts w:ascii="宋体" w:hAnsi="宋体" w:eastAsia="宋体" w:cs="宋体"/>
          <w:spacing w:val="2"/>
          <w:sz w:val="20"/>
          <w:szCs w:val="20"/>
        </w:rPr>
        <w:t>年</w:t>
      </w:r>
      <w:r>
        <w:rPr>
          <w:rFonts w:ascii="宋体" w:hAnsi="宋体" w:eastAsia="宋体" w:cs="宋体"/>
          <w:spacing w:val="8"/>
          <w:sz w:val="20"/>
          <w:szCs w:val="20"/>
        </w:rPr>
        <w:t xml:space="preserve">    </w:t>
      </w:r>
      <w:r>
        <w:rPr>
          <w:rFonts w:ascii="宋体" w:hAnsi="宋体" w:eastAsia="宋体" w:cs="宋体"/>
          <w:spacing w:val="2"/>
          <w:sz w:val="20"/>
          <w:szCs w:val="20"/>
        </w:rPr>
        <w:t>月     日</w:t>
      </w:r>
    </w:p>
    <w:p w14:paraId="3F62A595">
      <w:pPr>
        <w:spacing w:line="227" w:lineRule="auto"/>
        <w:rPr>
          <w:rFonts w:ascii="宋体" w:hAnsi="宋体" w:eastAsia="宋体" w:cs="宋体"/>
          <w:sz w:val="20"/>
          <w:szCs w:val="20"/>
        </w:rPr>
        <w:sectPr>
          <w:footerReference r:id="rId127" w:type="default"/>
          <w:pgSz w:w="11907" w:h="16840"/>
          <w:pgMar w:top="400" w:right="1786" w:bottom="1035" w:left="1361" w:header="0" w:footer="785" w:gutter="0"/>
          <w:cols w:space="720" w:num="1"/>
        </w:sectPr>
      </w:pPr>
    </w:p>
    <w:p w14:paraId="0A5AFAD5">
      <w:pPr>
        <w:spacing w:line="289" w:lineRule="auto"/>
        <w:rPr>
          <w:rFonts w:ascii="Arial"/>
          <w:sz w:val="21"/>
        </w:rPr>
      </w:pPr>
    </w:p>
    <w:p w14:paraId="24338276">
      <w:pPr>
        <w:spacing w:line="290" w:lineRule="auto"/>
        <w:rPr>
          <w:rFonts w:ascii="Arial"/>
          <w:sz w:val="21"/>
        </w:rPr>
      </w:pPr>
    </w:p>
    <w:p w14:paraId="0DFDBFCB">
      <w:pPr>
        <w:spacing w:line="290" w:lineRule="auto"/>
        <w:rPr>
          <w:rFonts w:ascii="Arial"/>
          <w:sz w:val="21"/>
        </w:rPr>
      </w:pPr>
    </w:p>
    <w:p w14:paraId="68EA36A5">
      <w:pPr>
        <w:spacing w:line="290" w:lineRule="auto"/>
        <w:rPr>
          <w:rFonts w:ascii="Arial"/>
          <w:sz w:val="21"/>
        </w:rPr>
      </w:pPr>
    </w:p>
    <w:p w14:paraId="08458285">
      <w:pPr>
        <w:pStyle w:val="2"/>
        <w:spacing w:before="78" w:line="221" w:lineRule="auto"/>
        <w:ind w:left="135"/>
        <w:outlineLvl w:val="1"/>
        <w:rPr>
          <w:sz w:val="24"/>
          <w:szCs w:val="24"/>
        </w:rPr>
      </w:pPr>
      <w:bookmarkStart w:id="184" w:name="bookmark165"/>
      <w:bookmarkEnd w:id="184"/>
      <w:r>
        <w:rPr>
          <w:spacing w:val="-3"/>
          <w:sz w:val="24"/>
          <w:szCs w:val="24"/>
        </w:rPr>
        <w:t>附表</w:t>
      </w:r>
      <w:r>
        <w:rPr>
          <w:spacing w:val="-49"/>
          <w:sz w:val="24"/>
          <w:szCs w:val="24"/>
        </w:rPr>
        <w:t xml:space="preserve"> </w:t>
      </w:r>
      <w:r>
        <w:rPr>
          <w:rFonts w:ascii="Times New Roman" w:hAnsi="Times New Roman" w:eastAsia="Times New Roman" w:cs="Times New Roman"/>
          <w:spacing w:val="-3"/>
          <w:sz w:val="24"/>
          <w:szCs w:val="24"/>
        </w:rPr>
        <w:t>A-3</w:t>
      </w:r>
      <w:r>
        <w:rPr>
          <w:rFonts w:ascii="Times New Roman" w:hAnsi="Times New Roman" w:eastAsia="Times New Roman" w:cs="Times New Roman"/>
          <w:spacing w:val="-15"/>
          <w:sz w:val="24"/>
          <w:szCs w:val="24"/>
        </w:rPr>
        <w:t xml:space="preserve"> </w:t>
      </w:r>
      <w:r>
        <w:rPr>
          <w:spacing w:val="-3"/>
          <w:sz w:val="24"/>
          <w:szCs w:val="24"/>
        </w:rPr>
        <w:t>：技术暗标编号确认表（适用于计算机辅助评标）</w:t>
      </w:r>
    </w:p>
    <w:p w14:paraId="7414E947">
      <w:pPr>
        <w:spacing w:line="257" w:lineRule="auto"/>
        <w:rPr>
          <w:rFonts w:ascii="Arial"/>
          <w:sz w:val="21"/>
        </w:rPr>
      </w:pPr>
    </w:p>
    <w:p w14:paraId="2D9D4FB7">
      <w:pPr>
        <w:pStyle w:val="2"/>
        <w:spacing w:before="91" w:line="409" w:lineRule="auto"/>
        <w:ind w:left="124" w:right="5857" w:firstLine="5515"/>
        <w:rPr>
          <w:rFonts w:ascii="宋体" w:hAnsi="宋体" w:eastAsia="宋体" w:cs="宋体"/>
          <w:sz w:val="20"/>
          <w:szCs w:val="20"/>
        </w:rPr>
      </w:pPr>
      <w:r>
        <w:rPr>
          <w:spacing w:val="-2"/>
          <w:sz w:val="28"/>
          <w:szCs w:val="28"/>
        </w:rPr>
        <w:t>技术暗标编号确认表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6202EE0E">
      <w:pPr>
        <w:spacing w:line="16" w:lineRule="exact"/>
      </w:pPr>
    </w:p>
    <w:tbl>
      <w:tblPr>
        <w:tblStyle w:val="5"/>
        <w:tblW w:w="140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9"/>
        <w:gridCol w:w="2730"/>
        <w:gridCol w:w="1177"/>
        <w:gridCol w:w="1178"/>
        <w:gridCol w:w="1177"/>
        <w:gridCol w:w="1178"/>
        <w:gridCol w:w="1178"/>
        <w:gridCol w:w="1177"/>
        <w:gridCol w:w="1178"/>
        <w:gridCol w:w="1177"/>
        <w:gridCol w:w="1182"/>
      </w:tblGrid>
      <w:tr w14:paraId="765FD0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669" w:type="dxa"/>
            <w:vAlign w:val="top"/>
          </w:tcPr>
          <w:p w14:paraId="72B38BC0">
            <w:pPr>
              <w:pStyle w:val="6"/>
              <w:spacing w:before="149" w:line="229" w:lineRule="auto"/>
              <w:ind w:left="130"/>
            </w:pPr>
            <w:r>
              <w:rPr>
                <w:spacing w:val="5"/>
              </w:rPr>
              <w:t>序号</w:t>
            </w:r>
          </w:p>
        </w:tc>
        <w:tc>
          <w:tcPr>
            <w:tcW w:w="2730" w:type="dxa"/>
            <w:vAlign w:val="top"/>
          </w:tcPr>
          <w:p w14:paraId="5F96F191">
            <w:pPr>
              <w:pStyle w:val="6"/>
              <w:spacing w:before="149" w:line="228" w:lineRule="auto"/>
              <w:ind w:left="317"/>
            </w:pPr>
            <w:r>
              <w:rPr>
                <w:spacing w:val="9"/>
              </w:rPr>
              <w:t>施工组织设计模块名称</w:t>
            </w:r>
          </w:p>
        </w:tc>
        <w:tc>
          <w:tcPr>
            <w:tcW w:w="10602" w:type="dxa"/>
            <w:gridSpan w:val="9"/>
            <w:vAlign w:val="top"/>
          </w:tcPr>
          <w:p w14:paraId="22AE995F">
            <w:pPr>
              <w:pStyle w:val="6"/>
              <w:spacing w:before="149" w:line="228" w:lineRule="auto"/>
              <w:ind w:left="4047"/>
            </w:pPr>
            <w:r>
              <w:rPr>
                <w:spacing w:val="8"/>
              </w:rPr>
              <w:t>投标人名称及模块暗标编号</w:t>
            </w:r>
          </w:p>
        </w:tc>
      </w:tr>
      <w:tr w14:paraId="4068B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69" w:type="dxa"/>
            <w:vAlign w:val="top"/>
          </w:tcPr>
          <w:p w14:paraId="1BB60E26">
            <w:pPr>
              <w:rPr>
                <w:rFonts w:ascii="Arial"/>
                <w:sz w:val="21"/>
              </w:rPr>
            </w:pPr>
          </w:p>
        </w:tc>
        <w:tc>
          <w:tcPr>
            <w:tcW w:w="2730" w:type="dxa"/>
            <w:vAlign w:val="top"/>
          </w:tcPr>
          <w:p w14:paraId="732E5156">
            <w:pPr>
              <w:rPr>
                <w:rFonts w:ascii="Arial"/>
                <w:sz w:val="21"/>
              </w:rPr>
            </w:pPr>
          </w:p>
        </w:tc>
        <w:tc>
          <w:tcPr>
            <w:tcW w:w="1177" w:type="dxa"/>
            <w:vAlign w:val="top"/>
          </w:tcPr>
          <w:p w14:paraId="21B798B0">
            <w:pPr>
              <w:rPr>
                <w:rFonts w:ascii="Arial"/>
                <w:sz w:val="21"/>
              </w:rPr>
            </w:pPr>
          </w:p>
        </w:tc>
        <w:tc>
          <w:tcPr>
            <w:tcW w:w="1178" w:type="dxa"/>
            <w:vAlign w:val="top"/>
          </w:tcPr>
          <w:p w14:paraId="40FED399">
            <w:pPr>
              <w:rPr>
                <w:rFonts w:ascii="Arial"/>
                <w:sz w:val="21"/>
              </w:rPr>
            </w:pPr>
          </w:p>
        </w:tc>
        <w:tc>
          <w:tcPr>
            <w:tcW w:w="1177" w:type="dxa"/>
            <w:vAlign w:val="top"/>
          </w:tcPr>
          <w:p w14:paraId="79BB582B">
            <w:pPr>
              <w:rPr>
                <w:rFonts w:ascii="Arial"/>
                <w:sz w:val="21"/>
              </w:rPr>
            </w:pPr>
          </w:p>
        </w:tc>
        <w:tc>
          <w:tcPr>
            <w:tcW w:w="1178" w:type="dxa"/>
            <w:vAlign w:val="top"/>
          </w:tcPr>
          <w:p w14:paraId="34A924D1">
            <w:pPr>
              <w:rPr>
                <w:rFonts w:ascii="Arial"/>
                <w:sz w:val="21"/>
              </w:rPr>
            </w:pPr>
          </w:p>
        </w:tc>
        <w:tc>
          <w:tcPr>
            <w:tcW w:w="1178" w:type="dxa"/>
            <w:vAlign w:val="top"/>
          </w:tcPr>
          <w:p w14:paraId="0FD5D5C3">
            <w:pPr>
              <w:rPr>
                <w:rFonts w:ascii="Arial"/>
                <w:sz w:val="21"/>
              </w:rPr>
            </w:pPr>
          </w:p>
        </w:tc>
        <w:tc>
          <w:tcPr>
            <w:tcW w:w="1177" w:type="dxa"/>
            <w:vAlign w:val="top"/>
          </w:tcPr>
          <w:p w14:paraId="5FACA64A">
            <w:pPr>
              <w:rPr>
                <w:rFonts w:ascii="Arial"/>
                <w:sz w:val="21"/>
              </w:rPr>
            </w:pPr>
          </w:p>
        </w:tc>
        <w:tc>
          <w:tcPr>
            <w:tcW w:w="1178" w:type="dxa"/>
            <w:vAlign w:val="top"/>
          </w:tcPr>
          <w:p w14:paraId="6114DC54">
            <w:pPr>
              <w:rPr>
                <w:rFonts w:ascii="Arial"/>
                <w:sz w:val="21"/>
              </w:rPr>
            </w:pPr>
          </w:p>
        </w:tc>
        <w:tc>
          <w:tcPr>
            <w:tcW w:w="1177" w:type="dxa"/>
            <w:vAlign w:val="top"/>
          </w:tcPr>
          <w:p w14:paraId="2795466F">
            <w:pPr>
              <w:rPr>
                <w:rFonts w:ascii="Arial"/>
                <w:sz w:val="21"/>
              </w:rPr>
            </w:pPr>
          </w:p>
        </w:tc>
        <w:tc>
          <w:tcPr>
            <w:tcW w:w="1182" w:type="dxa"/>
            <w:vAlign w:val="top"/>
          </w:tcPr>
          <w:p w14:paraId="554B1E6C">
            <w:pPr>
              <w:rPr>
                <w:rFonts w:ascii="Arial"/>
                <w:sz w:val="21"/>
              </w:rPr>
            </w:pPr>
          </w:p>
        </w:tc>
      </w:tr>
      <w:tr w14:paraId="64E62E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669" w:type="dxa"/>
            <w:vAlign w:val="top"/>
          </w:tcPr>
          <w:p w14:paraId="2D1BC776">
            <w:pPr>
              <w:rPr>
                <w:rFonts w:ascii="Arial"/>
                <w:sz w:val="21"/>
              </w:rPr>
            </w:pPr>
          </w:p>
        </w:tc>
        <w:tc>
          <w:tcPr>
            <w:tcW w:w="2730" w:type="dxa"/>
            <w:vAlign w:val="top"/>
          </w:tcPr>
          <w:p w14:paraId="1DB114F1">
            <w:pPr>
              <w:rPr>
                <w:rFonts w:ascii="Arial"/>
                <w:sz w:val="21"/>
              </w:rPr>
            </w:pPr>
          </w:p>
        </w:tc>
        <w:tc>
          <w:tcPr>
            <w:tcW w:w="1177" w:type="dxa"/>
            <w:vAlign w:val="top"/>
          </w:tcPr>
          <w:p w14:paraId="6350B190">
            <w:pPr>
              <w:rPr>
                <w:rFonts w:ascii="Arial"/>
                <w:sz w:val="21"/>
              </w:rPr>
            </w:pPr>
          </w:p>
        </w:tc>
        <w:tc>
          <w:tcPr>
            <w:tcW w:w="1178" w:type="dxa"/>
            <w:vAlign w:val="top"/>
          </w:tcPr>
          <w:p w14:paraId="2263B292">
            <w:pPr>
              <w:rPr>
                <w:rFonts w:ascii="Arial"/>
                <w:sz w:val="21"/>
              </w:rPr>
            </w:pPr>
          </w:p>
        </w:tc>
        <w:tc>
          <w:tcPr>
            <w:tcW w:w="1177" w:type="dxa"/>
            <w:vAlign w:val="top"/>
          </w:tcPr>
          <w:p w14:paraId="6E734531">
            <w:pPr>
              <w:rPr>
                <w:rFonts w:ascii="Arial"/>
                <w:sz w:val="21"/>
              </w:rPr>
            </w:pPr>
          </w:p>
        </w:tc>
        <w:tc>
          <w:tcPr>
            <w:tcW w:w="1178" w:type="dxa"/>
            <w:vAlign w:val="top"/>
          </w:tcPr>
          <w:p w14:paraId="0256D42F">
            <w:pPr>
              <w:rPr>
                <w:rFonts w:ascii="Arial"/>
                <w:sz w:val="21"/>
              </w:rPr>
            </w:pPr>
          </w:p>
        </w:tc>
        <w:tc>
          <w:tcPr>
            <w:tcW w:w="1178" w:type="dxa"/>
            <w:vAlign w:val="top"/>
          </w:tcPr>
          <w:p w14:paraId="3699EC09">
            <w:pPr>
              <w:rPr>
                <w:rFonts w:ascii="Arial"/>
                <w:sz w:val="21"/>
              </w:rPr>
            </w:pPr>
          </w:p>
        </w:tc>
        <w:tc>
          <w:tcPr>
            <w:tcW w:w="1177" w:type="dxa"/>
            <w:vAlign w:val="top"/>
          </w:tcPr>
          <w:p w14:paraId="1E85A75D">
            <w:pPr>
              <w:rPr>
                <w:rFonts w:ascii="Arial"/>
                <w:sz w:val="21"/>
              </w:rPr>
            </w:pPr>
          </w:p>
        </w:tc>
        <w:tc>
          <w:tcPr>
            <w:tcW w:w="1178" w:type="dxa"/>
            <w:vAlign w:val="top"/>
          </w:tcPr>
          <w:p w14:paraId="58082A49">
            <w:pPr>
              <w:rPr>
                <w:rFonts w:ascii="Arial"/>
                <w:sz w:val="21"/>
              </w:rPr>
            </w:pPr>
          </w:p>
        </w:tc>
        <w:tc>
          <w:tcPr>
            <w:tcW w:w="1177" w:type="dxa"/>
            <w:vAlign w:val="top"/>
          </w:tcPr>
          <w:p w14:paraId="47CCD1B4">
            <w:pPr>
              <w:rPr>
                <w:rFonts w:ascii="Arial"/>
                <w:sz w:val="21"/>
              </w:rPr>
            </w:pPr>
          </w:p>
        </w:tc>
        <w:tc>
          <w:tcPr>
            <w:tcW w:w="1182" w:type="dxa"/>
            <w:vAlign w:val="top"/>
          </w:tcPr>
          <w:p w14:paraId="5D6A776D">
            <w:pPr>
              <w:rPr>
                <w:rFonts w:ascii="Arial"/>
                <w:sz w:val="21"/>
              </w:rPr>
            </w:pPr>
          </w:p>
        </w:tc>
      </w:tr>
      <w:tr w14:paraId="746CB8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669" w:type="dxa"/>
            <w:vAlign w:val="top"/>
          </w:tcPr>
          <w:p w14:paraId="463769A7">
            <w:pPr>
              <w:rPr>
                <w:rFonts w:ascii="Arial"/>
                <w:sz w:val="21"/>
              </w:rPr>
            </w:pPr>
          </w:p>
        </w:tc>
        <w:tc>
          <w:tcPr>
            <w:tcW w:w="2730" w:type="dxa"/>
            <w:vAlign w:val="top"/>
          </w:tcPr>
          <w:p w14:paraId="16B938C3">
            <w:pPr>
              <w:rPr>
                <w:rFonts w:ascii="Arial"/>
                <w:sz w:val="21"/>
              </w:rPr>
            </w:pPr>
          </w:p>
        </w:tc>
        <w:tc>
          <w:tcPr>
            <w:tcW w:w="1177" w:type="dxa"/>
            <w:vAlign w:val="top"/>
          </w:tcPr>
          <w:p w14:paraId="004B6DF0">
            <w:pPr>
              <w:rPr>
                <w:rFonts w:ascii="Arial"/>
                <w:sz w:val="21"/>
              </w:rPr>
            </w:pPr>
          </w:p>
        </w:tc>
        <w:tc>
          <w:tcPr>
            <w:tcW w:w="1178" w:type="dxa"/>
            <w:vAlign w:val="top"/>
          </w:tcPr>
          <w:p w14:paraId="70583DF4">
            <w:pPr>
              <w:rPr>
                <w:rFonts w:ascii="Arial"/>
                <w:sz w:val="21"/>
              </w:rPr>
            </w:pPr>
          </w:p>
        </w:tc>
        <w:tc>
          <w:tcPr>
            <w:tcW w:w="1177" w:type="dxa"/>
            <w:vAlign w:val="top"/>
          </w:tcPr>
          <w:p w14:paraId="56DC595A">
            <w:pPr>
              <w:rPr>
                <w:rFonts w:ascii="Arial"/>
                <w:sz w:val="21"/>
              </w:rPr>
            </w:pPr>
          </w:p>
        </w:tc>
        <w:tc>
          <w:tcPr>
            <w:tcW w:w="1178" w:type="dxa"/>
            <w:vAlign w:val="top"/>
          </w:tcPr>
          <w:p w14:paraId="7DA21E44">
            <w:pPr>
              <w:rPr>
                <w:rFonts w:ascii="Arial"/>
                <w:sz w:val="21"/>
              </w:rPr>
            </w:pPr>
          </w:p>
        </w:tc>
        <w:tc>
          <w:tcPr>
            <w:tcW w:w="1178" w:type="dxa"/>
            <w:vAlign w:val="top"/>
          </w:tcPr>
          <w:p w14:paraId="55217C7F">
            <w:pPr>
              <w:rPr>
                <w:rFonts w:ascii="Arial"/>
                <w:sz w:val="21"/>
              </w:rPr>
            </w:pPr>
          </w:p>
        </w:tc>
        <w:tc>
          <w:tcPr>
            <w:tcW w:w="1177" w:type="dxa"/>
            <w:vAlign w:val="top"/>
          </w:tcPr>
          <w:p w14:paraId="79EAF79A">
            <w:pPr>
              <w:rPr>
                <w:rFonts w:ascii="Arial"/>
                <w:sz w:val="21"/>
              </w:rPr>
            </w:pPr>
          </w:p>
        </w:tc>
        <w:tc>
          <w:tcPr>
            <w:tcW w:w="1178" w:type="dxa"/>
            <w:vAlign w:val="top"/>
          </w:tcPr>
          <w:p w14:paraId="0ED937CA">
            <w:pPr>
              <w:rPr>
                <w:rFonts w:ascii="Arial"/>
                <w:sz w:val="21"/>
              </w:rPr>
            </w:pPr>
          </w:p>
        </w:tc>
        <w:tc>
          <w:tcPr>
            <w:tcW w:w="1177" w:type="dxa"/>
            <w:vAlign w:val="top"/>
          </w:tcPr>
          <w:p w14:paraId="6ED491F2">
            <w:pPr>
              <w:rPr>
                <w:rFonts w:ascii="Arial"/>
                <w:sz w:val="21"/>
              </w:rPr>
            </w:pPr>
          </w:p>
        </w:tc>
        <w:tc>
          <w:tcPr>
            <w:tcW w:w="1182" w:type="dxa"/>
            <w:vAlign w:val="top"/>
          </w:tcPr>
          <w:p w14:paraId="0FC37109">
            <w:pPr>
              <w:rPr>
                <w:rFonts w:ascii="Arial"/>
                <w:sz w:val="21"/>
              </w:rPr>
            </w:pPr>
          </w:p>
        </w:tc>
      </w:tr>
      <w:tr w14:paraId="5D3E9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669" w:type="dxa"/>
            <w:vAlign w:val="top"/>
          </w:tcPr>
          <w:p w14:paraId="2FD021A0">
            <w:pPr>
              <w:rPr>
                <w:rFonts w:ascii="Arial"/>
                <w:sz w:val="21"/>
              </w:rPr>
            </w:pPr>
          </w:p>
        </w:tc>
        <w:tc>
          <w:tcPr>
            <w:tcW w:w="2730" w:type="dxa"/>
            <w:vAlign w:val="top"/>
          </w:tcPr>
          <w:p w14:paraId="04549E69">
            <w:pPr>
              <w:rPr>
                <w:rFonts w:ascii="Arial"/>
                <w:sz w:val="21"/>
              </w:rPr>
            </w:pPr>
          </w:p>
        </w:tc>
        <w:tc>
          <w:tcPr>
            <w:tcW w:w="1177" w:type="dxa"/>
            <w:vAlign w:val="top"/>
          </w:tcPr>
          <w:p w14:paraId="383CF0E2">
            <w:pPr>
              <w:rPr>
                <w:rFonts w:ascii="Arial"/>
                <w:sz w:val="21"/>
              </w:rPr>
            </w:pPr>
          </w:p>
        </w:tc>
        <w:tc>
          <w:tcPr>
            <w:tcW w:w="1178" w:type="dxa"/>
            <w:vAlign w:val="top"/>
          </w:tcPr>
          <w:p w14:paraId="7C87D288">
            <w:pPr>
              <w:rPr>
                <w:rFonts w:ascii="Arial"/>
                <w:sz w:val="21"/>
              </w:rPr>
            </w:pPr>
          </w:p>
        </w:tc>
        <w:tc>
          <w:tcPr>
            <w:tcW w:w="1177" w:type="dxa"/>
            <w:vAlign w:val="top"/>
          </w:tcPr>
          <w:p w14:paraId="49004E61">
            <w:pPr>
              <w:rPr>
                <w:rFonts w:ascii="Arial"/>
                <w:sz w:val="21"/>
              </w:rPr>
            </w:pPr>
          </w:p>
        </w:tc>
        <w:tc>
          <w:tcPr>
            <w:tcW w:w="1178" w:type="dxa"/>
            <w:vAlign w:val="top"/>
          </w:tcPr>
          <w:p w14:paraId="5A6D35D6">
            <w:pPr>
              <w:rPr>
                <w:rFonts w:ascii="Arial"/>
                <w:sz w:val="21"/>
              </w:rPr>
            </w:pPr>
          </w:p>
        </w:tc>
        <w:tc>
          <w:tcPr>
            <w:tcW w:w="1178" w:type="dxa"/>
            <w:vAlign w:val="top"/>
          </w:tcPr>
          <w:p w14:paraId="0E792ADE">
            <w:pPr>
              <w:rPr>
                <w:rFonts w:ascii="Arial"/>
                <w:sz w:val="21"/>
              </w:rPr>
            </w:pPr>
          </w:p>
        </w:tc>
        <w:tc>
          <w:tcPr>
            <w:tcW w:w="1177" w:type="dxa"/>
            <w:vAlign w:val="top"/>
          </w:tcPr>
          <w:p w14:paraId="6A1EC6E3">
            <w:pPr>
              <w:rPr>
                <w:rFonts w:ascii="Arial"/>
                <w:sz w:val="21"/>
              </w:rPr>
            </w:pPr>
          </w:p>
        </w:tc>
        <w:tc>
          <w:tcPr>
            <w:tcW w:w="1178" w:type="dxa"/>
            <w:vAlign w:val="top"/>
          </w:tcPr>
          <w:p w14:paraId="5A7963CC">
            <w:pPr>
              <w:rPr>
                <w:rFonts w:ascii="Arial"/>
                <w:sz w:val="21"/>
              </w:rPr>
            </w:pPr>
          </w:p>
        </w:tc>
        <w:tc>
          <w:tcPr>
            <w:tcW w:w="1177" w:type="dxa"/>
            <w:vAlign w:val="top"/>
          </w:tcPr>
          <w:p w14:paraId="2504FCAD">
            <w:pPr>
              <w:rPr>
                <w:rFonts w:ascii="Arial"/>
                <w:sz w:val="21"/>
              </w:rPr>
            </w:pPr>
          </w:p>
        </w:tc>
        <w:tc>
          <w:tcPr>
            <w:tcW w:w="1182" w:type="dxa"/>
            <w:vAlign w:val="top"/>
          </w:tcPr>
          <w:p w14:paraId="12C71012">
            <w:pPr>
              <w:rPr>
                <w:rFonts w:ascii="Arial"/>
                <w:sz w:val="21"/>
              </w:rPr>
            </w:pPr>
          </w:p>
        </w:tc>
      </w:tr>
      <w:tr w14:paraId="3F477C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669" w:type="dxa"/>
            <w:vAlign w:val="top"/>
          </w:tcPr>
          <w:p w14:paraId="7B5B8C96">
            <w:pPr>
              <w:rPr>
                <w:rFonts w:ascii="Arial"/>
                <w:sz w:val="21"/>
              </w:rPr>
            </w:pPr>
          </w:p>
        </w:tc>
        <w:tc>
          <w:tcPr>
            <w:tcW w:w="2730" w:type="dxa"/>
            <w:vAlign w:val="top"/>
          </w:tcPr>
          <w:p w14:paraId="3FDF144D">
            <w:pPr>
              <w:rPr>
                <w:rFonts w:ascii="Arial"/>
                <w:sz w:val="21"/>
              </w:rPr>
            </w:pPr>
          </w:p>
        </w:tc>
        <w:tc>
          <w:tcPr>
            <w:tcW w:w="1177" w:type="dxa"/>
            <w:vAlign w:val="top"/>
          </w:tcPr>
          <w:p w14:paraId="76FEB450">
            <w:pPr>
              <w:rPr>
                <w:rFonts w:ascii="Arial"/>
                <w:sz w:val="21"/>
              </w:rPr>
            </w:pPr>
          </w:p>
        </w:tc>
        <w:tc>
          <w:tcPr>
            <w:tcW w:w="1178" w:type="dxa"/>
            <w:vAlign w:val="top"/>
          </w:tcPr>
          <w:p w14:paraId="62C5DD3E">
            <w:pPr>
              <w:rPr>
                <w:rFonts w:ascii="Arial"/>
                <w:sz w:val="21"/>
              </w:rPr>
            </w:pPr>
          </w:p>
        </w:tc>
        <w:tc>
          <w:tcPr>
            <w:tcW w:w="1177" w:type="dxa"/>
            <w:vAlign w:val="top"/>
          </w:tcPr>
          <w:p w14:paraId="7EB7F397">
            <w:pPr>
              <w:rPr>
                <w:rFonts w:ascii="Arial"/>
                <w:sz w:val="21"/>
              </w:rPr>
            </w:pPr>
          </w:p>
        </w:tc>
        <w:tc>
          <w:tcPr>
            <w:tcW w:w="1178" w:type="dxa"/>
            <w:vAlign w:val="top"/>
          </w:tcPr>
          <w:p w14:paraId="662C31D1">
            <w:pPr>
              <w:rPr>
                <w:rFonts w:ascii="Arial"/>
                <w:sz w:val="21"/>
              </w:rPr>
            </w:pPr>
          </w:p>
        </w:tc>
        <w:tc>
          <w:tcPr>
            <w:tcW w:w="1178" w:type="dxa"/>
            <w:vAlign w:val="top"/>
          </w:tcPr>
          <w:p w14:paraId="056EAF71">
            <w:pPr>
              <w:rPr>
                <w:rFonts w:ascii="Arial"/>
                <w:sz w:val="21"/>
              </w:rPr>
            </w:pPr>
          </w:p>
        </w:tc>
        <w:tc>
          <w:tcPr>
            <w:tcW w:w="1177" w:type="dxa"/>
            <w:vAlign w:val="top"/>
          </w:tcPr>
          <w:p w14:paraId="265AC0F7">
            <w:pPr>
              <w:rPr>
                <w:rFonts w:ascii="Arial"/>
                <w:sz w:val="21"/>
              </w:rPr>
            </w:pPr>
          </w:p>
        </w:tc>
        <w:tc>
          <w:tcPr>
            <w:tcW w:w="1178" w:type="dxa"/>
            <w:vAlign w:val="top"/>
          </w:tcPr>
          <w:p w14:paraId="3070E293">
            <w:pPr>
              <w:rPr>
                <w:rFonts w:ascii="Arial"/>
                <w:sz w:val="21"/>
              </w:rPr>
            </w:pPr>
          </w:p>
        </w:tc>
        <w:tc>
          <w:tcPr>
            <w:tcW w:w="1177" w:type="dxa"/>
            <w:vAlign w:val="top"/>
          </w:tcPr>
          <w:p w14:paraId="265B10D1">
            <w:pPr>
              <w:rPr>
                <w:rFonts w:ascii="Arial"/>
                <w:sz w:val="21"/>
              </w:rPr>
            </w:pPr>
          </w:p>
        </w:tc>
        <w:tc>
          <w:tcPr>
            <w:tcW w:w="1182" w:type="dxa"/>
            <w:vAlign w:val="top"/>
          </w:tcPr>
          <w:p w14:paraId="387FEA5C">
            <w:pPr>
              <w:rPr>
                <w:rFonts w:ascii="Arial"/>
                <w:sz w:val="21"/>
              </w:rPr>
            </w:pPr>
          </w:p>
        </w:tc>
      </w:tr>
      <w:tr w14:paraId="06EABF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669" w:type="dxa"/>
            <w:vAlign w:val="top"/>
          </w:tcPr>
          <w:p w14:paraId="6C55DA9A">
            <w:pPr>
              <w:rPr>
                <w:rFonts w:ascii="Arial"/>
                <w:sz w:val="21"/>
              </w:rPr>
            </w:pPr>
          </w:p>
        </w:tc>
        <w:tc>
          <w:tcPr>
            <w:tcW w:w="2730" w:type="dxa"/>
            <w:vAlign w:val="top"/>
          </w:tcPr>
          <w:p w14:paraId="15123DB2">
            <w:pPr>
              <w:rPr>
                <w:rFonts w:ascii="Arial"/>
                <w:sz w:val="21"/>
              </w:rPr>
            </w:pPr>
          </w:p>
        </w:tc>
        <w:tc>
          <w:tcPr>
            <w:tcW w:w="1177" w:type="dxa"/>
            <w:vAlign w:val="top"/>
          </w:tcPr>
          <w:p w14:paraId="2A56B158">
            <w:pPr>
              <w:rPr>
                <w:rFonts w:ascii="Arial"/>
                <w:sz w:val="21"/>
              </w:rPr>
            </w:pPr>
          </w:p>
        </w:tc>
        <w:tc>
          <w:tcPr>
            <w:tcW w:w="1178" w:type="dxa"/>
            <w:vAlign w:val="top"/>
          </w:tcPr>
          <w:p w14:paraId="72F2652D">
            <w:pPr>
              <w:rPr>
                <w:rFonts w:ascii="Arial"/>
                <w:sz w:val="21"/>
              </w:rPr>
            </w:pPr>
          </w:p>
        </w:tc>
        <w:tc>
          <w:tcPr>
            <w:tcW w:w="1177" w:type="dxa"/>
            <w:vAlign w:val="top"/>
          </w:tcPr>
          <w:p w14:paraId="5166CA6C">
            <w:pPr>
              <w:rPr>
                <w:rFonts w:ascii="Arial"/>
                <w:sz w:val="21"/>
              </w:rPr>
            </w:pPr>
          </w:p>
        </w:tc>
        <w:tc>
          <w:tcPr>
            <w:tcW w:w="1178" w:type="dxa"/>
            <w:vAlign w:val="top"/>
          </w:tcPr>
          <w:p w14:paraId="66EA1FFE">
            <w:pPr>
              <w:rPr>
                <w:rFonts w:ascii="Arial"/>
                <w:sz w:val="21"/>
              </w:rPr>
            </w:pPr>
          </w:p>
        </w:tc>
        <w:tc>
          <w:tcPr>
            <w:tcW w:w="1178" w:type="dxa"/>
            <w:vAlign w:val="top"/>
          </w:tcPr>
          <w:p w14:paraId="3F471369">
            <w:pPr>
              <w:rPr>
                <w:rFonts w:ascii="Arial"/>
                <w:sz w:val="21"/>
              </w:rPr>
            </w:pPr>
          </w:p>
        </w:tc>
        <w:tc>
          <w:tcPr>
            <w:tcW w:w="1177" w:type="dxa"/>
            <w:vAlign w:val="top"/>
          </w:tcPr>
          <w:p w14:paraId="2B758BB5">
            <w:pPr>
              <w:rPr>
                <w:rFonts w:ascii="Arial"/>
                <w:sz w:val="21"/>
              </w:rPr>
            </w:pPr>
          </w:p>
        </w:tc>
        <w:tc>
          <w:tcPr>
            <w:tcW w:w="1178" w:type="dxa"/>
            <w:vAlign w:val="top"/>
          </w:tcPr>
          <w:p w14:paraId="2ED8D45F">
            <w:pPr>
              <w:rPr>
                <w:rFonts w:ascii="Arial"/>
                <w:sz w:val="21"/>
              </w:rPr>
            </w:pPr>
          </w:p>
        </w:tc>
        <w:tc>
          <w:tcPr>
            <w:tcW w:w="1177" w:type="dxa"/>
            <w:vAlign w:val="top"/>
          </w:tcPr>
          <w:p w14:paraId="5EB4D1A1">
            <w:pPr>
              <w:rPr>
                <w:rFonts w:ascii="Arial"/>
                <w:sz w:val="21"/>
              </w:rPr>
            </w:pPr>
          </w:p>
        </w:tc>
        <w:tc>
          <w:tcPr>
            <w:tcW w:w="1182" w:type="dxa"/>
            <w:vAlign w:val="top"/>
          </w:tcPr>
          <w:p w14:paraId="257F6FA6">
            <w:pPr>
              <w:rPr>
                <w:rFonts w:ascii="Arial"/>
                <w:sz w:val="21"/>
              </w:rPr>
            </w:pPr>
          </w:p>
        </w:tc>
      </w:tr>
      <w:tr w14:paraId="5EB8E9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669" w:type="dxa"/>
            <w:vAlign w:val="top"/>
          </w:tcPr>
          <w:p w14:paraId="4463D85F">
            <w:pPr>
              <w:rPr>
                <w:rFonts w:ascii="Arial"/>
                <w:sz w:val="21"/>
              </w:rPr>
            </w:pPr>
          </w:p>
        </w:tc>
        <w:tc>
          <w:tcPr>
            <w:tcW w:w="2730" w:type="dxa"/>
            <w:vAlign w:val="top"/>
          </w:tcPr>
          <w:p w14:paraId="215844E9">
            <w:pPr>
              <w:rPr>
                <w:rFonts w:ascii="Arial"/>
                <w:sz w:val="21"/>
              </w:rPr>
            </w:pPr>
          </w:p>
        </w:tc>
        <w:tc>
          <w:tcPr>
            <w:tcW w:w="1177" w:type="dxa"/>
            <w:vAlign w:val="top"/>
          </w:tcPr>
          <w:p w14:paraId="55F7530D">
            <w:pPr>
              <w:rPr>
                <w:rFonts w:ascii="Arial"/>
                <w:sz w:val="21"/>
              </w:rPr>
            </w:pPr>
          </w:p>
        </w:tc>
        <w:tc>
          <w:tcPr>
            <w:tcW w:w="1178" w:type="dxa"/>
            <w:vAlign w:val="top"/>
          </w:tcPr>
          <w:p w14:paraId="64999873">
            <w:pPr>
              <w:rPr>
                <w:rFonts w:ascii="Arial"/>
                <w:sz w:val="21"/>
              </w:rPr>
            </w:pPr>
          </w:p>
        </w:tc>
        <w:tc>
          <w:tcPr>
            <w:tcW w:w="1177" w:type="dxa"/>
            <w:vAlign w:val="top"/>
          </w:tcPr>
          <w:p w14:paraId="439446BB">
            <w:pPr>
              <w:rPr>
                <w:rFonts w:ascii="Arial"/>
                <w:sz w:val="21"/>
              </w:rPr>
            </w:pPr>
          </w:p>
        </w:tc>
        <w:tc>
          <w:tcPr>
            <w:tcW w:w="1178" w:type="dxa"/>
            <w:vAlign w:val="top"/>
          </w:tcPr>
          <w:p w14:paraId="3A0FF77F">
            <w:pPr>
              <w:rPr>
                <w:rFonts w:ascii="Arial"/>
                <w:sz w:val="21"/>
              </w:rPr>
            </w:pPr>
          </w:p>
        </w:tc>
        <w:tc>
          <w:tcPr>
            <w:tcW w:w="1178" w:type="dxa"/>
            <w:vAlign w:val="top"/>
          </w:tcPr>
          <w:p w14:paraId="669F97E7">
            <w:pPr>
              <w:rPr>
                <w:rFonts w:ascii="Arial"/>
                <w:sz w:val="21"/>
              </w:rPr>
            </w:pPr>
          </w:p>
        </w:tc>
        <w:tc>
          <w:tcPr>
            <w:tcW w:w="1177" w:type="dxa"/>
            <w:vAlign w:val="top"/>
          </w:tcPr>
          <w:p w14:paraId="374776C0">
            <w:pPr>
              <w:rPr>
                <w:rFonts w:ascii="Arial"/>
                <w:sz w:val="21"/>
              </w:rPr>
            </w:pPr>
          </w:p>
        </w:tc>
        <w:tc>
          <w:tcPr>
            <w:tcW w:w="1178" w:type="dxa"/>
            <w:vAlign w:val="top"/>
          </w:tcPr>
          <w:p w14:paraId="0EF037A6">
            <w:pPr>
              <w:rPr>
                <w:rFonts w:ascii="Arial"/>
                <w:sz w:val="21"/>
              </w:rPr>
            </w:pPr>
          </w:p>
        </w:tc>
        <w:tc>
          <w:tcPr>
            <w:tcW w:w="1177" w:type="dxa"/>
            <w:vAlign w:val="top"/>
          </w:tcPr>
          <w:p w14:paraId="7AE70AC8">
            <w:pPr>
              <w:rPr>
                <w:rFonts w:ascii="Arial"/>
                <w:sz w:val="21"/>
              </w:rPr>
            </w:pPr>
          </w:p>
        </w:tc>
        <w:tc>
          <w:tcPr>
            <w:tcW w:w="1182" w:type="dxa"/>
            <w:vAlign w:val="top"/>
          </w:tcPr>
          <w:p w14:paraId="455B9867">
            <w:pPr>
              <w:rPr>
                <w:rFonts w:ascii="Arial"/>
                <w:sz w:val="21"/>
              </w:rPr>
            </w:pPr>
          </w:p>
        </w:tc>
      </w:tr>
      <w:tr w14:paraId="7AB16C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669" w:type="dxa"/>
            <w:vAlign w:val="top"/>
          </w:tcPr>
          <w:p w14:paraId="7532F70C">
            <w:pPr>
              <w:rPr>
                <w:rFonts w:ascii="Arial"/>
                <w:sz w:val="21"/>
              </w:rPr>
            </w:pPr>
          </w:p>
        </w:tc>
        <w:tc>
          <w:tcPr>
            <w:tcW w:w="2730" w:type="dxa"/>
            <w:vAlign w:val="top"/>
          </w:tcPr>
          <w:p w14:paraId="52D9A92D">
            <w:pPr>
              <w:rPr>
                <w:rFonts w:ascii="Arial"/>
                <w:sz w:val="21"/>
              </w:rPr>
            </w:pPr>
          </w:p>
        </w:tc>
        <w:tc>
          <w:tcPr>
            <w:tcW w:w="1177" w:type="dxa"/>
            <w:vAlign w:val="top"/>
          </w:tcPr>
          <w:p w14:paraId="3123A7F1">
            <w:pPr>
              <w:rPr>
                <w:rFonts w:ascii="Arial"/>
                <w:sz w:val="21"/>
              </w:rPr>
            </w:pPr>
          </w:p>
        </w:tc>
        <w:tc>
          <w:tcPr>
            <w:tcW w:w="1178" w:type="dxa"/>
            <w:vAlign w:val="top"/>
          </w:tcPr>
          <w:p w14:paraId="365E2139">
            <w:pPr>
              <w:rPr>
                <w:rFonts w:ascii="Arial"/>
                <w:sz w:val="21"/>
              </w:rPr>
            </w:pPr>
          </w:p>
        </w:tc>
        <w:tc>
          <w:tcPr>
            <w:tcW w:w="1177" w:type="dxa"/>
            <w:vAlign w:val="top"/>
          </w:tcPr>
          <w:p w14:paraId="2E69A0BA">
            <w:pPr>
              <w:rPr>
                <w:rFonts w:ascii="Arial"/>
                <w:sz w:val="21"/>
              </w:rPr>
            </w:pPr>
          </w:p>
        </w:tc>
        <w:tc>
          <w:tcPr>
            <w:tcW w:w="1178" w:type="dxa"/>
            <w:vAlign w:val="top"/>
          </w:tcPr>
          <w:p w14:paraId="47010631">
            <w:pPr>
              <w:rPr>
                <w:rFonts w:ascii="Arial"/>
                <w:sz w:val="21"/>
              </w:rPr>
            </w:pPr>
          </w:p>
        </w:tc>
        <w:tc>
          <w:tcPr>
            <w:tcW w:w="1178" w:type="dxa"/>
            <w:vAlign w:val="top"/>
          </w:tcPr>
          <w:p w14:paraId="2EC0D843">
            <w:pPr>
              <w:rPr>
                <w:rFonts w:ascii="Arial"/>
                <w:sz w:val="21"/>
              </w:rPr>
            </w:pPr>
          </w:p>
        </w:tc>
        <w:tc>
          <w:tcPr>
            <w:tcW w:w="1177" w:type="dxa"/>
            <w:vAlign w:val="top"/>
          </w:tcPr>
          <w:p w14:paraId="5886C24D">
            <w:pPr>
              <w:rPr>
                <w:rFonts w:ascii="Arial"/>
                <w:sz w:val="21"/>
              </w:rPr>
            </w:pPr>
          </w:p>
        </w:tc>
        <w:tc>
          <w:tcPr>
            <w:tcW w:w="1178" w:type="dxa"/>
            <w:vAlign w:val="top"/>
          </w:tcPr>
          <w:p w14:paraId="3F799C16">
            <w:pPr>
              <w:rPr>
                <w:rFonts w:ascii="Arial"/>
                <w:sz w:val="21"/>
              </w:rPr>
            </w:pPr>
          </w:p>
        </w:tc>
        <w:tc>
          <w:tcPr>
            <w:tcW w:w="1177" w:type="dxa"/>
            <w:vAlign w:val="top"/>
          </w:tcPr>
          <w:p w14:paraId="51C3CC9E">
            <w:pPr>
              <w:rPr>
                <w:rFonts w:ascii="Arial"/>
                <w:sz w:val="21"/>
              </w:rPr>
            </w:pPr>
          </w:p>
        </w:tc>
        <w:tc>
          <w:tcPr>
            <w:tcW w:w="1182" w:type="dxa"/>
            <w:vAlign w:val="top"/>
          </w:tcPr>
          <w:p w14:paraId="1FEFC5A5">
            <w:pPr>
              <w:rPr>
                <w:rFonts w:ascii="Arial"/>
                <w:sz w:val="21"/>
              </w:rPr>
            </w:pPr>
          </w:p>
        </w:tc>
      </w:tr>
      <w:tr w14:paraId="58689A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669" w:type="dxa"/>
            <w:vAlign w:val="top"/>
          </w:tcPr>
          <w:p w14:paraId="562A4CBB">
            <w:pPr>
              <w:rPr>
                <w:rFonts w:ascii="Arial"/>
                <w:sz w:val="21"/>
              </w:rPr>
            </w:pPr>
          </w:p>
        </w:tc>
        <w:tc>
          <w:tcPr>
            <w:tcW w:w="2730" w:type="dxa"/>
            <w:vAlign w:val="top"/>
          </w:tcPr>
          <w:p w14:paraId="268F8B68">
            <w:pPr>
              <w:rPr>
                <w:rFonts w:ascii="Arial"/>
                <w:sz w:val="21"/>
              </w:rPr>
            </w:pPr>
          </w:p>
        </w:tc>
        <w:tc>
          <w:tcPr>
            <w:tcW w:w="1177" w:type="dxa"/>
            <w:vAlign w:val="top"/>
          </w:tcPr>
          <w:p w14:paraId="3012D65D">
            <w:pPr>
              <w:rPr>
                <w:rFonts w:ascii="Arial"/>
                <w:sz w:val="21"/>
              </w:rPr>
            </w:pPr>
          </w:p>
        </w:tc>
        <w:tc>
          <w:tcPr>
            <w:tcW w:w="1178" w:type="dxa"/>
            <w:vAlign w:val="top"/>
          </w:tcPr>
          <w:p w14:paraId="201F5EBD">
            <w:pPr>
              <w:rPr>
                <w:rFonts w:ascii="Arial"/>
                <w:sz w:val="21"/>
              </w:rPr>
            </w:pPr>
          </w:p>
        </w:tc>
        <w:tc>
          <w:tcPr>
            <w:tcW w:w="1177" w:type="dxa"/>
            <w:vAlign w:val="top"/>
          </w:tcPr>
          <w:p w14:paraId="1B0F2204">
            <w:pPr>
              <w:rPr>
                <w:rFonts w:ascii="Arial"/>
                <w:sz w:val="21"/>
              </w:rPr>
            </w:pPr>
          </w:p>
        </w:tc>
        <w:tc>
          <w:tcPr>
            <w:tcW w:w="1178" w:type="dxa"/>
            <w:vAlign w:val="top"/>
          </w:tcPr>
          <w:p w14:paraId="20C72F43">
            <w:pPr>
              <w:rPr>
                <w:rFonts w:ascii="Arial"/>
                <w:sz w:val="21"/>
              </w:rPr>
            </w:pPr>
          </w:p>
        </w:tc>
        <w:tc>
          <w:tcPr>
            <w:tcW w:w="1178" w:type="dxa"/>
            <w:vAlign w:val="top"/>
          </w:tcPr>
          <w:p w14:paraId="4FBB10FB">
            <w:pPr>
              <w:rPr>
                <w:rFonts w:ascii="Arial"/>
                <w:sz w:val="21"/>
              </w:rPr>
            </w:pPr>
          </w:p>
        </w:tc>
        <w:tc>
          <w:tcPr>
            <w:tcW w:w="1177" w:type="dxa"/>
            <w:vAlign w:val="top"/>
          </w:tcPr>
          <w:p w14:paraId="08C96EB6">
            <w:pPr>
              <w:rPr>
                <w:rFonts w:ascii="Arial"/>
                <w:sz w:val="21"/>
              </w:rPr>
            </w:pPr>
          </w:p>
        </w:tc>
        <w:tc>
          <w:tcPr>
            <w:tcW w:w="1178" w:type="dxa"/>
            <w:vAlign w:val="top"/>
          </w:tcPr>
          <w:p w14:paraId="4DB458F0">
            <w:pPr>
              <w:rPr>
                <w:rFonts w:ascii="Arial"/>
                <w:sz w:val="21"/>
              </w:rPr>
            </w:pPr>
          </w:p>
        </w:tc>
        <w:tc>
          <w:tcPr>
            <w:tcW w:w="1177" w:type="dxa"/>
            <w:vAlign w:val="top"/>
          </w:tcPr>
          <w:p w14:paraId="611D3AC0">
            <w:pPr>
              <w:rPr>
                <w:rFonts w:ascii="Arial"/>
                <w:sz w:val="21"/>
              </w:rPr>
            </w:pPr>
          </w:p>
        </w:tc>
        <w:tc>
          <w:tcPr>
            <w:tcW w:w="1182" w:type="dxa"/>
            <w:vAlign w:val="top"/>
          </w:tcPr>
          <w:p w14:paraId="5DAB9911">
            <w:pPr>
              <w:rPr>
                <w:rFonts w:ascii="Arial"/>
                <w:sz w:val="21"/>
              </w:rPr>
            </w:pPr>
          </w:p>
        </w:tc>
      </w:tr>
    </w:tbl>
    <w:p w14:paraId="4B50B292">
      <w:pPr>
        <w:spacing w:before="305" w:line="227" w:lineRule="auto"/>
        <w:ind w:left="120"/>
        <w:rPr>
          <w:rFonts w:ascii="宋体" w:hAnsi="宋体" w:eastAsia="宋体" w:cs="宋体"/>
          <w:sz w:val="20"/>
          <w:szCs w:val="20"/>
        </w:rPr>
      </w:pPr>
      <w:r>
        <w:rPr>
          <w:rFonts w:ascii="宋体" w:hAnsi="宋体" w:eastAsia="宋体" w:cs="宋体"/>
          <w:spacing w:val="3"/>
          <w:sz w:val="20"/>
          <w:szCs w:val="20"/>
        </w:rPr>
        <w:t xml:space="preserve">评标委员会全体成员签名：                        </w:t>
      </w:r>
      <w:r>
        <w:rPr>
          <w:rFonts w:ascii="宋体" w:hAnsi="宋体" w:eastAsia="宋体" w:cs="宋体"/>
          <w:spacing w:val="2"/>
          <w:sz w:val="20"/>
          <w:szCs w:val="20"/>
        </w:rPr>
        <w:t xml:space="preserve">                                                          日期：     年    月     日</w:t>
      </w:r>
    </w:p>
    <w:p w14:paraId="040F19C4">
      <w:pPr>
        <w:spacing w:line="227" w:lineRule="auto"/>
        <w:rPr>
          <w:rFonts w:ascii="宋体" w:hAnsi="宋体" w:eastAsia="宋体" w:cs="宋体"/>
          <w:sz w:val="20"/>
          <w:szCs w:val="20"/>
        </w:rPr>
        <w:sectPr>
          <w:footerReference r:id="rId128" w:type="default"/>
          <w:pgSz w:w="16840" w:h="11907"/>
          <w:pgMar w:top="400" w:right="1245" w:bottom="1036" w:left="1588" w:header="0" w:footer="787" w:gutter="0"/>
          <w:cols w:space="720" w:num="1"/>
        </w:sectPr>
      </w:pPr>
    </w:p>
    <w:p w14:paraId="14BEAB9E">
      <w:pPr>
        <w:spacing w:line="289" w:lineRule="auto"/>
        <w:rPr>
          <w:rFonts w:ascii="Arial"/>
          <w:sz w:val="21"/>
        </w:rPr>
      </w:pPr>
    </w:p>
    <w:p w14:paraId="0AE93E7D">
      <w:pPr>
        <w:spacing w:line="290" w:lineRule="auto"/>
        <w:rPr>
          <w:rFonts w:ascii="Arial"/>
          <w:sz w:val="21"/>
        </w:rPr>
      </w:pPr>
    </w:p>
    <w:p w14:paraId="37B0A583">
      <w:pPr>
        <w:spacing w:line="290" w:lineRule="auto"/>
        <w:rPr>
          <w:rFonts w:ascii="Arial"/>
          <w:sz w:val="21"/>
        </w:rPr>
      </w:pPr>
    </w:p>
    <w:p w14:paraId="24F2D699">
      <w:pPr>
        <w:spacing w:line="290" w:lineRule="auto"/>
        <w:rPr>
          <w:rFonts w:ascii="Arial"/>
          <w:sz w:val="21"/>
        </w:rPr>
      </w:pPr>
    </w:p>
    <w:p w14:paraId="446DEE9C">
      <w:pPr>
        <w:pStyle w:val="2"/>
        <w:spacing w:before="78" w:line="222" w:lineRule="auto"/>
        <w:ind w:left="135"/>
        <w:outlineLvl w:val="1"/>
        <w:rPr>
          <w:sz w:val="24"/>
          <w:szCs w:val="24"/>
        </w:rPr>
      </w:pPr>
      <w:bookmarkStart w:id="185" w:name="bookmark166"/>
      <w:bookmarkEnd w:id="185"/>
      <w:r>
        <w:rPr>
          <w:spacing w:val="-6"/>
          <w:sz w:val="24"/>
          <w:szCs w:val="24"/>
        </w:rPr>
        <w:t>附表</w:t>
      </w:r>
      <w:r>
        <w:rPr>
          <w:spacing w:val="-52"/>
          <w:sz w:val="24"/>
          <w:szCs w:val="24"/>
        </w:rPr>
        <w:t xml:space="preserve"> </w:t>
      </w:r>
      <w:r>
        <w:rPr>
          <w:rFonts w:ascii="Times New Roman" w:hAnsi="Times New Roman" w:eastAsia="Times New Roman" w:cs="Times New Roman"/>
          <w:spacing w:val="-6"/>
          <w:sz w:val="24"/>
          <w:szCs w:val="24"/>
        </w:rPr>
        <w:t>A-4</w:t>
      </w:r>
      <w:r>
        <w:rPr>
          <w:rFonts w:ascii="Times New Roman" w:hAnsi="Times New Roman" w:eastAsia="Times New Roman" w:cs="Times New Roman"/>
          <w:spacing w:val="-15"/>
          <w:sz w:val="24"/>
          <w:szCs w:val="24"/>
        </w:rPr>
        <w:t xml:space="preserve"> </w:t>
      </w:r>
      <w:r>
        <w:rPr>
          <w:spacing w:val="-6"/>
          <w:sz w:val="24"/>
          <w:szCs w:val="24"/>
        </w:rPr>
        <w:t>：形式评审记录表</w:t>
      </w:r>
    </w:p>
    <w:p w14:paraId="71BE9297">
      <w:pPr>
        <w:pStyle w:val="2"/>
        <w:spacing w:before="40" w:line="404" w:lineRule="auto"/>
        <w:ind w:left="124" w:right="5908" w:firstLine="5796"/>
        <w:rPr>
          <w:rFonts w:ascii="宋体" w:hAnsi="宋体" w:eastAsia="宋体" w:cs="宋体"/>
          <w:sz w:val="20"/>
          <w:szCs w:val="20"/>
        </w:rPr>
      </w:pPr>
      <w:r>
        <w:rPr>
          <w:spacing w:val="-2"/>
          <w:sz w:val="28"/>
          <w:szCs w:val="28"/>
        </w:rPr>
        <w:t>形式评审记录表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62721705">
      <w:pPr>
        <w:spacing w:before="26"/>
      </w:pPr>
    </w:p>
    <w:p w14:paraId="179F0FFE">
      <w:pPr>
        <w:spacing w:before="25"/>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1799"/>
        <w:gridCol w:w="2699"/>
        <w:gridCol w:w="797"/>
        <w:gridCol w:w="978"/>
        <w:gridCol w:w="978"/>
        <w:gridCol w:w="977"/>
        <w:gridCol w:w="978"/>
        <w:gridCol w:w="977"/>
        <w:gridCol w:w="977"/>
        <w:gridCol w:w="977"/>
        <w:gridCol w:w="982"/>
      </w:tblGrid>
      <w:tr w14:paraId="53A4AE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52" w:type="dxa"/>
            <w:vMerge w:val="restart"/>
            <w:tcBorders>
              <w:bottom w:val="nil"/>
            </w:tcBorders>
            <w:vAlign w:val="top"/>
          </w:tcPr>
          <w:p w14:paraId="3896C178">
            <w:pPr>
              <w:spacing w:line="256" w:lineRule="auto"/>
              <w:rPr>
                <w:rFonts w:ascii="Arial"/>
                <w:sz w:val="21"/>
              </w:rPr>
            </w:pPr>
          </w:p>
          <w:p w14:paraId="1B2E00DE">
            <w:pPr>
              <w:pStyle w:val="6"/>
              <w:spacing w:before="65" w:line="229" w:lineRule="auto"/>
              <w:ind w:left="120"/>
            </w:pPr>
            <w:r>
              <w:rPr>
                <w:spacing w:val="5"/>
              </w:rPr>
              <w:t>序号</w:t>
            </w:r>
          </w:p>
        </w:tc>
        <w:tc>
          <w:tcPr>
            <w:tcW w:w="1799" w:type="dxa"/>
            <w:vMerge w:val="restart"/>
            <w:tcBorders>
              <w:bottom w:val="nil"/>
            </w:tcBorders>
            <w:vAlign w:val="top"/>
          </w:tcPr>
          <w:p w14:paraId="59ED266A">
            <w:pPr>
              <w:spacing w:line="256" w:lineRule="auto"/>
              <w:rPr>
                <w:rFonts w:ascii="Arial"/>
                <w:sz w:val="21"/>
              </w:rPr>
            </w:pPr>
          </w:p>
          <w:p w14:paraId="0C9F6EB3">
            <w:pPr>
              <w:pStyle w:val="6"/>
              <w:spacing w:before="65" w:line="228" w:lineRule="auto"/>
              <w:ind w:left="483"/>
            </w:pPr>
            <w:r>
              <w:rPr>
                <w:spacing w:val="7"/>
              </w:rPr>
              <w:t>评审因素</w:t>
            </w:r>
          </w:p>
        </w:tc>
        <w:tc>
          <w:tcPr>
            <w:tcW w:w="2699" w:type="dxa"/>
            <w:vMerge w:val="restart"/>
            <w:tcBorders>
              <w:bottom w:val="nil"/>
            </w:tcBorders>
            <w:vAlign w:val="top"/>
          </w:tcPr>
          <w:p w14:paraId="3380DEE4">
            <w:pPr>
              <w:spacing w:line="256" w:lineRule="auto"/>
              <w:rPr>
                <w:rFonts w:ascii="Arial"/>
                <w:sz w:val="21"/>
              </w:rPr>
            </w:pPr>
          </w:p>
          <w:p w14:paraId="7D55012B">
            <w:pPr>
              <w:pStyle w:val="6"/>
              <w:spacing w:before="65" w:line="228" w:lineRule="auto"/>
              <w:ind w:left="933"/>
            </w:pPr>
            <w:r>
              <w:rPr>
                <w:spacing w:val="7"/>
              </w:rPr>
              <w:t>评审标准</w:t>
            </w:r>
          </w:p>
        </w:tc>
        <w:tc>
          <w:tcPr>
            <w:tcW w:w="8621" w:type="dxa"/>
            <w:gridSpan w:val="9"/>
            <w:vAlign w:val="top"/>
          </w:tcPr>
          <w:p w14:paraId="1B89D99F">
            <w:pPr>
              <w:pStyle w:val="6"/>
              <w:spacing w:before="109" w:line="228" w:lineRule="auto"/>
              <w:ind w:left="3268"/>
            </w:pPr>
            <w:r>
              <w:rPr>
                <w:spacing w:val="8"/>
              </w:rPr>
              <w:t>投标人名称及评审意见</w:t>
            </w:r>
          </w:p>
        </w:tc>
      </w:tr>
      <w:tr w14:paraId="77890F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652" w:type="dxa"/>
            <w:vMerge w:val="continue"/>
            <w:tcBorders>
              <w:top w:val="nil"/>
            </w:tcBorders>
            <w:vAlign w:val="top"/>
          </w:tcPr>
          <w:p w14:paraId="570777D8">
            <w:pPr>
              <w:rPr>
                <w:rFonts w:ascii="Arial"/>
                <w:sz w:val="21"/>
              </w:rPr>
            </w:pPr>
          </w:p>
        </w:tc>
        <w:tc>
          <w:tcPr>
            <w:tcW w:w="1799" w:type="dxa"/>
            <w:vMerge w:val="continue"/>
            <w:tcBorders>
              <w:top w:val="nil"/>
            </w:tcBorders>
            <w:vAlign w:val="top"/>
          </w:tcPr>
          <w:p w14:paraId="7C001102">
            <w:pPr>
              <w:rPr>
                <w:rFonts w:ascii="Arial"/>
                <w:sz w:val="21"/>
              </w:rPr>
            </w:pPr>
          </w:p>
        </w:tc>
        <w:tc>
          <w:tcPr>
            <w:tcW w:w="2699" w:type="dxa"/>
            <w:vMerge w:val="continue"/>
            <w:tcBorders>
              <w:top w:val="nil"/>
            </w:tcBorders>
            <w:vAlign w:val="top"/>
          </w:tcPr>
          <w:p w14:paraId="0B292558">
            <w:pPr>
              <w:rPr>
                <w:rFonts w:ascii="Arial"/>
                <w:sz w:val="21"/>
              </w:rPr>
            </w:pPr>
          </w:p>
        </w:tc>
        <w:tc>
          <w:tcPr>
            <w:tcW w:w="797" w:type="dxa"/>
            <w:vAlign w:val="top"/>
          </w:tcPr>
          <w:p w14:paraId="5105AA8F">
            <w:pPr>
              <w:rPr>
                <w:rFonts w:ascii="Arial"/>
                <w:sz w:val="21"/>
              </w:rPr>
            </w:pPr>
          </w:p>
        </w:tc>
        <w:tc>
          <w:tcPr>
            <w:tcW w:w="978" w:type="dxa"/>
            <w:vAlign w:val="top"/>
          </w:tcPr>
          <w:p w14:paraId="29C8DEFB">
            <w:pPr>
              <w:rPr>
                <w:rFonts w:ascii="Arial"/>
                <w:sz w:val="21"/>
              </w:rPr>
            </w:pPr>
          </w:p>
        </w:tc>
        <w:tc>
          <w:tcPr>
            <w:tcW w:w="978" w:type="dxa"/>
            <w:vAlign w:val="top"/>
          </w:tcPr>
          <w:p w14:paraId="5F34CE43">
            <w:pPr>
              <w:rPr>
                <w:rFonts w:ascii="Arial"/>
                <w:sz w:val="21"/>
              </w:rPr>
            </w:pPr>
          </w:p>
        </w:tc>
        <w:tc>
          <w:tcPr>
            <w:tcW w:w="977" w:type="dxa"/>
            <w:vAlign w:val="top"/>
          </w:tcPr>
          <w:p w14:paraId="7A1E80FF">
            <w:pPr>
              <w:rPr>
                <w:rFonts w:ascii="Arial"/>
                <w:sz w:val="21"/>
              </w:rPr>
            </w:pPr>
          </w:p>
        </w:tc>
        <w:tc>
          <w:tcPr>
            <w:tcW w:w="978" w:type="dxa"/>
            <w:vAlign w:val="top"/>
          </w:tcPr>
          <w:p w14:paraId="4E6B845A">
            <w:pPr>
              <w:rPr>
                <w:rFonts w:ascii="Arial"/>
                <w:sz w:val="21"/>
              </w:rPr>
            </w:pPr>
          </w:p>
        </w:tc>
        <w:tc>
          <w:tcPr>
            <w:tcW w:w="977" w:type="dxa"/>
            <w:vAlign w:val="top"/>
          </w:tcPr>
          <w:p w14:paraId="56E56F62">
            <w:pPr>
              <w:rPr>
                <w:rFonts w:ascii="Arial"/>
                <w:sz w:val="21"/>
              </w:rPr>
            </w:pPr>
          </w:p>
        </w:tc>
        <w:tc>
          <w:tcPr>
            <w:tcW w:w="977" w:type="dxa"/>
            <w:vAlign w:val="top"/>
          </w:tcPr>
          <w:p w14:paraId="1D9EC0C9">
            <w:pPr>
              <w:rPr>
                <w:rFonts w:ascii="Arial"/>
                <w:sz w:val="21"/>
              </w:rPr>
            </w:pPr>
          </w:p>
        </w:tc>
        <w:tc>
          <w:tcPr>
            <w:tcW w:w="977" w:type="dxa"/>
            <w:vAlign w:val="top"/>
          </w:tcPr>
          <w:p w14:paraId="11694361">
            <w:pPr>
              <w:rPr>
                <w:rFonts w:ascii="Arial"/>
                <w:sz w:val="21"/>
              </w:rPr>
            </w:pPr>
          </w:p>
        </w:tc>
        <w:tc>
          <w:tcPr>
            <w:tcW w:w="982" w:type="dxa"/>
            <w:vAlign w:val="top"/>
          </w:tcPr>
          <w:p w14:paraId="240263EE">
            <w:pPr>
              <w:rPr>
                <w:rFonts w:ascii="Arial"/>
                <w:sz w:val="21"/>
              </w:rPr>
            </w:pPr>
          </w:p>
        </w:tc>
      </w:tr>
      <w:tr w14:paraId="5BBA47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249477C7">
            <w:pPr>
              <w:spacing w:before="179" w:line="275" w:lineRule="exact"/>
              <w:ind w:left="290"/>
              <w:rPr>
                <w:rFonts w:ascii="黑体" w:hAnsi="黑体" w:eastAsia="黑体" w:cs="黑体"/>
                <w:sz w:val="20"/>
                <w:szCs w:val="20"/>
              </w:rPr>
            </w:pPr>
            <w:r>
              <w:rPr>
                <w:rFonts w:ascii="黑体" w:hAnsi="黑体" w:eastAsia="黑体" w:cs="黑体"/>
                <w:position w:val="1"/>
                <w:sz w:val="20"/>
                <w:szCs w:val="20"/>
              </w:rPr>
              <w:t>1</w:t>
            </w:r>
          </w:p>
        </w:tc>
        <w:tc>
          <w:tcPr>
            <w:tcW w:w="1799" w:type="dxa"/>
            <w:vAlign w:val="top"/>
          </w:tcPr>
          <w:p w14:paraId="07BCF575">
            <w:pPr>
              <w:pStyle w:val="6"/>
              <w:spacing w:before="178" w:line="228" w:lineRule="auto"/>
              <w:ind w:left="487"/>
            </w:pPr>
            <w:r>
              <w:rPr>
                <w:spacing w:val="6"/>
              </w:rPr>
              <w:t>投标文件</w:t>
            </w:r>
          </w:p>
        </w:tc>
        <w:tc>
          <w:tcPr>
            <w:tcW w:w="2699" w:type="dxa"/>
            <w:vAlign w:val="top"/>
          </w:tcPr>
          <w:p w14:paraId="1124170D">
            <w:pPr>
              <w:pStyle w:val="6"/>
              <w:spacing w:before="178" w:line="228" w:lineRule="auto"/>
              <w:ind w:left="116"/>
            </w:pPr>
            <w:r>
              <w:rPr>
                <w:spacing w:val="8"/>
              </w:rPr>
              <w:t>投标文件能正常打开</w:t>
            </w:r>
          </w:p>
        </w:tc>
        <w:tc>
          <w:tcPr>
            <w:tcW w:w="797" w:type="dxa"/>
            <w:vAlign w:val="top"/>
          </w:tcPr>
          <w:p w14:paraId="2D2B53FC">
            <w:pPr>
              <w:rPr>
                <w:rFonts w:ascii="Arial"/>
                <w:sz w:val="21"/>
              </w:rPr>
            </w:pPr>
          </w:p>
        </w:tc>
        <w:tc>
          <w:tcPr>
            <w:tcW w:w="978" w:type="dxa"/>
            <w:vAlign w:val="top"/>
          </w:tcPr>
          <w:p w14:paraId="326B2840">
            <w:pPr>
              <w:rPr>
                <w:rFonts w:ascii="Arial"/>
                <w:sz w:val="21"/>
              </w:rPr>
            </w:pPr>
          </w:p>
        </w:tc>
        <w:tc>
          <w:tcPr>
            <w:tcW w:w="978" w:type="dxa"/>
            <w:vAlign w:val="top"/>
          </w:tcPr>
          <w:p w14:paraId="4A101992">
            <w:pPr>
              <w:rPr>
                <w:rFonts w:ascii="Arial"/>
                <w:sz w:val="21"/>
              </w:rPr>
            </w:pPr>
          </w:p>
        </w:tc>
        <w:tc>
          <w:tcPr>
            <w:tcW w:w="977" w:type="dxa"/>
            <w:vAlign w:val="top"/>
          </w:tcPr>
          <w:p w14:paraId="6AC10FFC">
            <w:pPr>
              <w:rPr>
                <w:rFonts w:ascii="Arial"/>
                <w:sz w:val="21"/>
              </w:rPr>
            </w:pPr>
          </w:p>
        </w:tc>
        <w:tc>
          <w:tcPr>
            <w:tcW w:w="978" w:type="dxa"/>
            <w:vAlign w:val="top"/>
          </w:tcPr>
          <w:p w14:paraId="1A57A5CF">
            <w:pPr>
              <w:rPr>
                <w:rFonts w:ascii="Arial"/>
                <w:sz w:val="21"/>
              </w:rPr>
            </w:pPr>
          </w:p>
        </w:tc>
        <w:tc>
          <w:tcPr>
            <w:tcW w:w="977" w:type="dxa"/>
            <w:vAlign w:val="top"/>
          </w:tcPr>
          <w:p w14:paraId="179F2B6E">
            <w:pPr>
              <w:rPr>
                <w:rFonts w:ascii="Arial"/>
                <w:sz w:val="21"/>
              </w:rPr>
            </w:pPr>
          </w:p>
        </w:tc>
        <w:tc>
          <w:tcPr>
            <w:tcW w:w="977" w:type="dxa"/>
            <w:vAlign w:val="top"/>
          </w:tcPr>
          <w:p w14:paraId="392DD6FE">
            <w:pPr>
              <w:rPr>
                <w:rFonts w:ascii="Arial"/>
                <w:sz w:val="21"/>
              </w:rPr>
            </w:pPr>
          </w:p>
        </w:tc>
        <w:tc>
          <w:tcPr>
            <w:tcW w:w="977" w:type="dxa"/>
            <w:vAlign w:val="top"/>
          </w:tcPr>
          <w:p w14:paraId="232193EC">
            <w:pPr>
              <w:rPr>
                <w:rFonts w:ascii="Arial"/>
                <w:sz w:val="21"/>
              </w:rPr>
            </w:pPr>
          </w:p>
        </w:tc>
        <w:tc>
          <w:tcPr>
            <w:tcW w:w="982" w:type="dxa"/>
            <w:vAlign w:val="top"/>
          </w:tcPr>
          <w:p w14:paraId="318C42F8">
            <w:pPr>
              <w:rPr>
                <w:rFonts w:ascii="Arial"/>
                <w:sz w:val="21"/>
              </w:rPr>
            </w:pPr>
          </w:p>
        </w:tc>
      </w:tr>
      <w:tr w14:paraId="6D2FFD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35A36694">
            <w:pPr>
              <w:spacing w:before="179" w:line="275" w:lineRule="exact"/>
              <w:ind w:left="278"/>
              <w:rPr>
                <w:rFonts w:ascii="黑体" w:hAnsi="黑体" w:eastAsia="黑体" w:cs="黑体"/>
                <w:sz w:val="20"/>
                <w:szCs w:val="20"/>
              </w:rPr>
            </w:pPr>
            <w:r>
              <w:rPr>
                <w:rFonts w:ascii="黑体" w:hAnsi="黑体" w:eastAsia="黑体" w:cs="黑体"/>
                <w:position w:val="1"/>
                <w:sz w:val="20"/>
                <w:szCs w:val="20"/>
              </w:rPr>
              <w:t>2</w:t>
            </w:r>
          </w:p>
        </w:tc>
        <w:tc>
          <w:tcPr>
            <w:tcW w:w="1799" w:type="dxa"/>
            <w:vAlign w:val="top"/>
          </w:tcPr>
          <w:p w14:paraId="1346A313">
            <w:pPr>
              <w:pStyle w:val="6"/>
              <w:spacing w:before="179" w:line="228" w:lineRule="auto"/>
              <w:ind w:left="381"/>
            </w:pPr>
            <w:r>
              <w:rPr>
                <w:spacing w:val="7"/>
              </w:rPr>
              <w:t>投标人名称</w:t>
            </w:r>
          </w:p>
        </w:tc>
        <w:tc>
          <w:tcPr>
            <w:tcW w:w="2699" w:type="dxa"/>
            <w:vAlign w:val="top"/>
          </w:tcPr>
          <w:p w14:paraId="6CA66A73">
            <w:pPr>
              <w:pStyle w:val="6"/>
              <w:spacing w:before="43" w:line="239" w:lineRule="auto"/>
              <w:ind w:left="113" w:right="106" w:firstLine="4"/>
            </w:pPr>
            <w:r>
              <w:rPr>
                <w:spacing w:val="5"/>
              </w:rPr>
              <w:t>与营业执照、资质证书、安</w:t>
            </w:r>
            <w:r>
              <w:rPr>
                <w:spacing w:val="8"/>
              </w:rPr>
              <w:t>全生产许可证一致</w:t>
            </w:r>
          </w:p>
        </w:tc>
        <w:tc>
          <w:tcPr>
            <w:tcW w:w="797" w:type="dxa"/>
            <w:vAlign w:val="top"/>
          </w:tcPr>
          <w:p w14:paraId="56E3854B">
            <w:pPr>
              <w:rPr>
                <w:rFonts w:ascii="Arial"/>
                <w:sz w:val="21"/>
              </w:rPr>
            </w:pPr>
          </w:p>
        </w:tc>
        <w:tc>
          <w:tcPr>
            <w:tcW w:w="978" w:type="dxa"/>
            <w:vAlign w:val="top"/>
          </w:tcPr>
          <w:p w14:paraId="7BD17D3F">
            <w:pPr>
              <w:rPr>
                <w:rFonts w:ascii="Arial"/>
                <w:sz w:val="21"/>
              </w:rPr>
            </w:pPr>
          </w:p>
        </w:tc>
        <w:tc>
          <w:tcPr>
            <w:tcW w:w="978" w:type="dxa"/>
            <w:vAlign w:val="top"/>
          </w:tcPr>
          <w:p w14:paraId="25B55C8D">
            <w:pPr>
              <w:rPr>
                <w:rFonts w:ascii="Arial"/>
                <w:sz w:val="21"/>
              </w:rPr>
            </w:pPr>
          </w:p>
        </w:tc>
        <w:tc>
          <w:tcPr>
            <w:tcW w:w="977" w:type="dxa"/>
            <w:vAlign w:val="top"/>
          </w:tcPr>
          <w:p w14:paraId="2DB64C46">
            <w:pPr>
              <w:rPr>
                <w:rFonts w:ascii="Arial"/>
                <w:sz w:val="21"/>
              </w:rPr>
            </w:pPr>
          </w:p>
        </w:tc>
        <w:tc>
          <w:tcPr>
            <w:tcW w:w="978" w:type="dxa"/>
            <w:vAlign w:val="top"/>
          </w:tcPr>
          <w:p w14:paraId="14C3A09D">
            <w:pPr>
              <w:rPr>
                <w:rFonts w:ascii="Arial"/>
                <w:sz w:val="21"/>
              </w:rPr>
            </w:pPr>
          </w:p>
        </w:tc>
        <w:tc>
          <w:tcPr>
            <w:tcW w:w="977" w:type="dxa"/>
            <w:vAlign w:val="top"/>
          </w:tcPr>
          <w:p w14:paraId="29E094C6">
            <w:pPr>
              <w:rPr>
                <w:rFonts w:ascii="Arial"/>
                <w:sz w:val="21"/>
              </w:rPr>
            </w:pPr>
          </w:p>
        </w:tc>
        <w:tc>
          <w:tcPr>
            <w:tcW w:w="977" w:type="dxa"/>
            <w:vAlign w:val="top"/>
          </w:tcPr>
          <w:p w14:paraId="228C4A07">
            <w:pPr>
              <w:rPr>
                <w:rFonts w:ascii="Arial"/>
                <w:sz w:val="21"/>
              </w:rPr>
            </w:pPr>
          </w:p>
        </w:tc>
        <w:tc>
          <w:tcPr>
            <w:tcW w:w="977" w:type="dxa"/>
            <w:vAlign w:val="top"/>
          </w:tcPr>
          <w:p w14:paraId="337C11C9">
            <w:pPr>
              <w:rPr>
                <w:rFonts w:ascii="Arial"/>
                <w:sz w:val="21"/>
              </w:rPr>
            </w:pPr>
          </w:p>
        </w:tc>
        <w:tc>
          <w:tcPr>
            <w:tcW w:w="982" w:type="dxa"/>
            <w:vAlign w:val="top"/>
          </w:tcPr>
          <w:p w14:paraId="44D7EA75">
            <w:pPr>
              <w:rPr>
                <w:rFonts w:ascii="Arial"/>
                <w:sz w:val="21"/>
              </w:rPr>
            </w:pPr>
          </w:p>
        </w:tc>
      </w:tr>
      <w:tr w14:paraId="1D438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652" w:type="dxa"/>
            <w:vAlign w:val="top"/>
          </w:tcPr>
          <w:p w14:paraId="0262CC86">
            <w:pPr>
              <w:spacing w:before="181" w:line="273" w:lineRule="exact"/>
              <w:ind w:left="279"/>
              <w:rPr>
                <w:rFonts w:ascii="黑体" w:hAnsi="黑体" w:eastAsia="黑体" w:cs="黑体"/>
                <w:sz w:val="20"/>
                <w:szCs w:val="20"/>
              </w:rPr>
            </w:pPr>
            <w:r>
              <w:rPr>
                <w:rFonts w:ascii="黑体" w:hAnsi="黑体" w:eastAsia="黑体" w:cs="黑体"/>
                <w:position w:val="1"/>
                <w:sz w:val="20"/>
                <w:szCs w:val="20"/>
              </w:rPr>
              <w:t>3</w:t>
            </w:r>
          </w:p>
        </w:tc>
        <w:tc>
          <w:tcPr>
            <w:tcW w:w="1799" w:type="dxa"/>
            <w:vAlign w:val="top"/>
          </w:tcPr>
          <w:p w14:paraId="2B2FD4FA">
            <w:pPr>
              <w:pStyle w:val="6"/>
              <w:spacing w:before="44" w:line="228" w:lineRule="auto"/>
              <w:ind w:left="487"/>
            </w:pPr>
            <w:r>
              <w:rPr>
                <w:spacing w:val="6"/>
              </w:rPr>
              <w:t>投标文件</w:t>
            </w:r>
          </w:p>
          <w:p w14:paraId="27A18390">
            <w:pPr>
              <w:pStyle w:val="6"/>
              <w:spacing w:before="24" w:line="227" w:lineRule="auto"/>
              <w:ind w:left="484"/>
            </w:pPr>
            <w:r>
              <w:rPr>
                <w:spacing w:val="7"/>
              </w:rPr>
              <w:t>签字盖章</w:t>
            </w:r>
          </w:p>
        </w:tc>
        <w:tc>
          <w:tcPr>
            <w:tcW w:w="2699" w:type="dxa"/>
            <w:vAlign w:val="top"/>
          </w:tcPr>
          <w:p w14:paraId="5B714B9B">
            <w:pPr>
              <w:pStyle w:val="6"/>
              <w:spacing w:before="44" w:line="239" w:lineRule="auto"/>
              <w:ind w:left="113" w:firstLine="1"/>
            </w:pPr>
            <w:r>
              <w:rPr>
                <w:spacing w:val="12"/>
              </w:rPr>
              <w:t>符合第二章“投标人须知</w:t>
            </w:r>
            <w:r>
              <w:rPr>
                <w:spacing w:val="-67"/>
              </w:rPr>
              <w:t xml:space="preserve"> </w:t>
            </w:r>
            <w:r>
              <w:rPr>
                <w:spacing w:val="12"/>
              </w:rPr>
              <w:t>”</w:t>
            </w:r>
            <w:r>
              <w:rPr>
                <w:spacing w:val="-1"/>
              </w:rPr>
              <w:t>第</w:t>
            </w:r>
            <w:r>
              <w:rPr>
                <w:spacing w:val="-35"/>
              </w:rPr>
              <w:t xml:space="preserve"> </w:t>
            </w:r>
            <w:r>
              <w:rPr>
                <w:spacing w:val="-1"/>
              </w:rPr>
              <w:t>3.7.3（5）</w:t>
            </w:r>
            <w:r>
              <w:rPr>
                <w:spacing w:val="-45"/>
              </w:rPr>
              <w:t xml:space="preserve"> </w:t>
            </w:r>
            <w:r>
              <w:rPr>
                <w:spacing w:val="-1"/>
              </w:rPr>
              <w:t>目规定</w:t>
            </w:r>
          </w:p>
        </w:tc>
        <w:tc>
          <w:tcPr>
            <w:tcW w:w="797" w:type="dxa"/>
            <w:vAlign w:val="top"/>
          </w:tcPr>
          <w:p w14:paraId="44976580">
            <w:pPr>
              <w:rPr>
                <w:rFonts w:ascii="Arial"/>
                <w:sz w:val="21"/>
              </w:rPr>
            </w:pPr>
          </w:p>
        </w:tc>
        <w:tc>
          <w:tcPr>
            <w:tcW w:w="978" w:type="dxa"/>
            <w:vAlign w:val="top"/>
          </w:tcPr>
          <w:p w14:paraId="171E1AD3">
            <w:pPr>
              <w:rPr>
                <w:rFonts w:ascii="Arial"/>
                <w:sz w:val="21"/>
              </w:rPr>
            </w:pPr>
          </w:p>
        </w:tc>
        <w:tc>
          <w:tcPr>
            <w:tcW w:w="978" w:type="dxa"/>
            <w:vAlign w:val="top"/>
          </w:tcPr>
          <w:p w14:paraId="4F81A794">
            <w:pPr>
              <w:rPr>
                <w:rFonts w:ascii="Arial"/>
                <w:sz w:val="21"/>
              </w:rPr>
            </w:pPr>
          </w:p>
        </w:tc>
        <w:tc>
          <w:tcPr>
            <w:tcW w:w="977" w:type="dxa"/>
            <w:vAlign w:val="top"/>
          </w:tcPr>
          <w:p w14:paraId="23211A34">
            <w:pPr>
              <w:rPr>
                <w:rFonts w:ascii="Arial"/>
                <w:sz w:val="21"/>
              </w:rPr>
            </w:pPr>
          </w:p>
        </w:tc>
        <w:tc>
          <w:tcPr>
            <w:tcW w:w="978" w:type="dxa"/>
            <w:vAlign w:val="top"/>
          </w:tcPr>
          <w:p w14:paraId="2002309A">
            <w:pPr>
              <w:rPr>
                <w:rFonts w:ascii="Arial"/>
                <w:sz w:val="21"/>
              </w:rPr>
            </w:pPr>
          </w:p>
        </w:tc>
        <w:tc>
          <w:tcPr>
            <w:tcW w:w="977" w:type="dxa"/>
            <w:vAlign w:val="top"/>
          </w:tcPr>
          <w:p w14:paraId="70E05BD7">
            <w:pPr>
              <w:rPr>
                <w:rFonts w:ascii="Arial"/>
                <w:sz w:val="21"/>
              </w:rPr>
            </w:pPr>
          </w:p>
        </w:tc>
        <w:tc>
          <w:tcPr>
            <w:tcW w:w="977" w:type="dxa"/>
            <w:vAlign w:val="top"/>
          </w:tcPr>
          <w:p w14:paraId="28029379">
            <w:pPr>
              <w:rPr>
                <w:rFonts w:ascii="Arial"/>
                <w:sz w:val="21"/>
              </w:rPr>
            </w:pPr>
          </w:p>
        </w:tc>
        <w:tc>
          <w:tcPr>
            <w:tcW w:w="977" w:type="dxa"/>
            <w:vAlign w:val="top"/>
          </w:tcPr>
          <w:p w14:paraId="2FAE4BFF">
            <w:pPr>
              <w:rPr>
                <w:rFonts w:ascii="Arial"/>
                <w:sz w:val="21"/>
              </w:rPr>
            </w:pPr>
          </w:p>
        </w:tc>
        <w:tc>
          <w:tcPr>
            <w:tcW w:w="982" w:type="dxa"/>
            <w:vAlign w:val="top"/>
          </w:tcPr>
          <w:p w14:paraId="73EEC0B0">
            <w:pPr>
              <w:rPr>
                <w:rFonts w:ascii="Arial"/>
                <w:sz w:val="21"/>
              </w:rPr>
            </w:pPr>
          </w:p>
        </w:tc>
      </w:tr>
      <w:tr w14:paraId="6D2646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652" w:type="dxa"/>
            <w:vAlign w:val="top"/>
          </w:tcPr>
          <w:p w14:paraId="3F3B9993">
            <w:pPr>
              <w:spacing w:before="305" w:line="275" w:lineRule="exact"/>
              <w:ind w:left="274"/>
              <w:rPr>
                <w:rFonts w:ascii="黑体" w:hAnsi="黑体" w:eastAsia="黑体" w:cs="黑体"/>
                <w:sz w:val="20"/>
                <w:szCs w:val="20"/>
              </w:rPr>
            </w:pPr>
            <w:r>
              <w:rPr>
                <w:rFonts w:ascii="黑体" w:hAnsi="黑体" w:eastAsia="黑体" w:cs="黑体"/>
                <w:spacing w:val="1"/>
                <w:position w:val="1"/>
                <w:sz w:val="20"/>
                <w:szCs w:val="20"/>
              </w:rPr>
              <w:t>4</w:t>
            </w:r>
          </w:p>
        </w:tc>
        <w:tc>
          <w:tcPr>
            <w:tcW w:w="1799" w:type="dxa"/>
            <w:vAlign w:val="top"/>
          </w:tcPr>
          <w:p w14:paraId="4B4E10B3">
            <w:pPr>
              <w:pStyle w:val="6"/>
              <w:spacing w:before="168" w:line="254" w:lineRule="auto"/>
              <w:ind w:left="718" w:right="200" w:hanging="548"/>
            </w:pPr>
            <w:r>
              <w:rPr>
                <w:spacing w:val="3"/>
              </w:rPr>
              <w:t>投标文件格式、</w:t>
            </w:r>
            <w:r>
              <w:rPr>
                <w:spacing w:val="-8"/>
              </w:rPr>
              <w:t>内容</w:t>
            </w:r>
          </w:p>
        </w:tc>
        <w:tc>
          <w:tcPr>
            <w:tcW w:w="2699" w:type="dxa"/>
            <w:vAlign w:val="top"/>
          </w:tcPr>
          <w:p w14:paraId="1CBADA7F">
            <w:pPr>
              <w:pStyle w:val="6"/>
              <w:spacing w:before="34" w:line="239" w:lineRule="auto"/>
              <w:ind w:left="113" w:right="106" w:firstLine="1"/>
              <w:jc w:val="both"/>
            </w:pPr>
            <w:r>
              <w:rPr>
                <w:spacing w:val="27"/>
              </w:rPr>
              <w:t>符合第八章</w:t>
            </w:r>
            <w:r>
              <w:rPr>
                <w:spacing w:val="-56"/>
              </w:rPr>
              <w:t xml:space="preserve"> </w:t>
            </w:r>
            <w:r>
              <w:rPr>
                <w:rFonts w:ascii="Times New Roman" w:hAnsi="Times New Roman" w:eastAsia="Times New Roman" w:cs="Times New Roman"/>
                <w:spacing w:val="27"/>
              </w:rPr>
              <w:t>“</w:t>
            </w:r>
            <w:r>
              <w:rPr>
                <w:rFonts w:ascii="Times New Roman" w:hAnsi="Times New Roman" w:eastAsia="Times New Roman" w:cs="Times New Roman"/>
                <w:spacing w:val="-12"/>
              </w:rPr>
              <w:t xml:space="preserve"> </w:t>
            </w:r>
            <w:r>
              <w:rPr>
                <w:spacing w:val="27"/>
              </w:rPr>
              <w:t>投标文件格</w:t>
            </w:r>
            <w:r>
              <w:rPr>
                <w:spacing w:val="12"/>
              </w:rPr>
              <w:t>式</w:t>
            </w:r>
            <w:r>
              <w:rPr>
                <w:rFonts w:ascii="Times New Roman" w:hAnsi="Times New Roman" w:eastAsia="Times New Roman" w:cs="Times New Roman"/>
                <w:spacing w:val="12"/>
              </w:rPr>
              <w:t>”</w:t>
            </w:r>
            <w:r>
              <w:rPr>
                <w:rFonts w:ascii="Times New Roman" w:hAnsi="Times New Roman" w:eastAsia="Times New Roman" w:cs="Times New Roman"/>
                <w:spacing w:val="-11"/>
              </w:rPr>
              <w:t xml:space="preserve"> </w:t>
            </w:r>
            <w:r>
              <w:rPr>
                <w:spacing w:val="12"/>
              </w:rPr>
              <w:t>的要求，实质性内容齐</w:t>
            </w:r>
            <w:r>
              <w:rPr>
                <w:spacing w:val="8"/>
              </w:rPr>
              <w:t>全、关键字迹清晰可辨</w:t>
            </w:r>
          </w:p>
        </w:tc>
        <w:tc>
          <w:tcPr>
            <w:tcW w:w="797" w:type="dxa"/>
            <w:vAlign w:val="top"/>
          </w:tcPr>
          <w:p w14:paraId="74CB5143">
            <w:pPr>
              <w:rPr>
                <w:rFonts w:ascii="Arial"/>
                <w:sz w:val="21"/>
              </w:rPr>
            </w:pPr>
          </w:p>
        </w:tc>
        <w:tc>
          <w:tcPr>
            <w:tcW w:w="978" w:type="dxa"/>
            <w:vAlign w:val="top"/>
          </w:tcPr>
          <w:p w14:paraId="2BD97248">
            <w:pPr>
              <w:rPr>
                <w:rFonts w:ascii="Arial"/>
                <w:sz w:val="21"/>
              </w:rPr>
            </w:pPr>
          </w:p>
        </w:tc>
        <w:tc>
          <w:tcPr>
            <w:tcW w:w="978" w:type="dxa"/>
            <w:vAlign w:val="top"/>
          </w:tcPr>
          <w:p w14:paraId="63C13169">
            <w:pPr>
              <w:rPr>
                <w:rFonts w:ascii="Arial"/>
                <w:sz w:val="21"/>
              </w:rPr>
            </w:pPr>
          </w:p>
        </w:tc>
        <w:tc>
          <w:tcPr>
            <w:tcW w:w="977" w:type="dxa"/>
            <w:vAlign w:val="top"/>
          </w:tcPr>
          <w:p w14:paraId="136A988B">
            <w:pPr>
              <w:rPr>
                <w:rFonts w:ascii="Arial"/>
                <w:sz w:val="21"/>
              </w:rPr>
            </w:pPr>
          </w:p>
        </w:tc>
        <w:tc>
          <w:tcPr>
            <w:tcW w:w="978" w:type="dxa"/>
            <w:vAlign w:val="top"/>
          </w:tcPr>
          <w:p w14:paraId="5D060DFE">
            <w:pPr>
              <w:rPr>
                <w:rFonts w:ascii="Arial"/>
                <w:sz w:val="21"/>
              </w:rPr>
            </w:pPr>
          </w:p>
        </w:tc>
        <w:tc>
          <w:tcPr>
            <w:tcW w:w="977" w:type="dxa"/>
            <w:vAlign w:val="top"/>
          </w:tcPr>
          <w:p w14:paraId="57E436AC">
            <w:pPr>
              <w:rPr>
                <w:rFonts w:ascii="Arial"/>
                <w:sz w:val="21"/>
              </w:rPr>
            </w:pPr>
          </w:p>
        </w:tc>
        <w:tc>
          <w:tcPr>
            <w:tcW w:w="977" w:type="dxa"/>
            <w:vAlign w:val="top"/>
          </w:tcPr>
          <w:p w14:paraId="475F9345">
            <w:pPr>
              <w:rPr>
                <w:rFonts w:ascii="Arial"/>
                <w:sz w:val="21"/>
              </w:rPr>
            </w:pPr>
          </w:p>
        </w:tc>
        <w:tc>
          <w:tcPr>
            <w:tcW w:w="977" w:type="dxa"/>
            <w:vAlign w:val="top"/>
          </w:tcPr>
          <w:p w14:paraId="2A310EC2">
            <w:pPr>
              <w:rPr>
                <w:rFonts w:ascii="Arial"/>
                <w:sz w:val="21"/>
              </w:rPr>
            </w:pPr>
          </w:p>
        </w:tc>
        <w:tc>
          <w:tcPr>
            <w:tcW w:w="982" w:type="dxa"/>
            <w:vAlign w:val="top"/>
          </w:tcPr>
          <w:p w14:paraId="11622DA8">
            <w:pPr>
              <w:rPr>
                <w:rFonts w:ascii="Arial"/>
                <w:sz w:val="21"/>
              </w:rPr>
            </w:pPr>
          </w:p>
        </w:tc>
      </w:tr>
      <w:tr w14:paraId="3473D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1F98EE68">
            <w:pPr>
              <w:spacing w:before="182" w:line="272" w:lineRule="exact"/>
              <w:ind w:left="274"/>
              <w:rPr>
                <w:rFonts w:ascii="黑体" w:hAnsi="黑体" w:eastAsia="黑体" w:cs="黑体"/>
                <w:sz w:val="20"/>
                <w:szCs w:val="20"/>
              </w:rPr>
            </w:pPr>
            <w:r>
              <w:rPr>
                <w:rFonts w:ascii="黑体" w:hAnsi="黑体" w:eastAsia="黑体" w:cs="黑体"/>
                <w:spacing w:val="1"/>
                <w:position w:val="1"/>
                <w:sz w:val="20"/>
                <w:szCs w:val="20"/>
              </w:rPr>
              <w:t>5</w:t>
            </w:r>
          </w:p>
        </w:tc>
        <w:tc>
          <w:tcPr>
            <w:tcW w:w="1799" w:type="dxa"/>
            <w:vAlign w:val="top"/>
          </w:tcPr>
          <w:p w14:paraId="2827D88E">
            <w:pPr>
              <w:pStyle w:val="6"/>
              <w:spacing w:before="46" w:line="228" w:lineRule="auto"/>
              <w:ind w:left="274"/>
            </w:pPr>
            <w:r>
              <w:rPr>
                <w:spacing w:val="8"/>
              </w:rPr>
              <w:t>联合体投标人</w:t>
            </w:r>
          </w:p>
          <w:p w14:paraId="28874BBC">
            <w:pPr>
              <w:pStyle w:val="6"/>
              <w:spacing w:before="24" w:line="225" w:lineRule="auto"/>
              <w:ind w:left="494"/>
            </w:pPr>
            <w:r>
              <w:rPr>
                <w:spacing w:val="2"/>
              </w:rPr>
              <w:t>（如有）</w:t>
            </w:r>
          </w:p>
        </w:tc>
        <w:tc>
          <w:tcPr>
            <w:tcW w:w="2699" w:type="dxa"/>
            <w:vAlign w:val="top"/>
          </w:tcPr>
          <w:p w14:paraId="7119AF3A">
            <w:pPr>
              <w:pStyle w:val="6"/>
              <w:spacing w:before="45" w:line="238" w:lineRule="auto"/>
              <w:ind w:left="114" w:right="106"/>
            </w:pPr>
            <w:r>
              <w:rPr>
                <w:spacing w:val="6"/>
              </w:rPr>
              <w:t>提交联合体协议书，并明确</w:t>
            </w:r>
            <w:r>
              <w:rPr>
                <w:spacing w:val="8"/>
              </w:rPr>
              <w:t>联合体牵头人</w:t>
            </w:r>
          </w:p>
        </w:tc>
        <w:tc>
          <w:tcPr>
            <w:tcW w:w="797" w:type="dxa"/>
            <w:vAlign w:val="top"/>
          </w:tcPr>
          <w:p w14:paraId="4DBC44FB">
            <w:pPr>
              <w:rPr>
                <w:rFonts w:ascii="Arial"/>
                <w:sz w:val="21"/>
              </w:rPr>
            </w:pPr>
          </w:p>
        </w:tc>
        <w:tc>
          <w:tcPr>
            <w:tcW w:w="978" w:type="dxa"/>
            <w:vAlign w:val="top"/>
          </w:tcPr>
          <w:p w14:paraId="6E4A761D">
            <w:pPr>
              <w:rPr>
                <w:rFonts w:ascii="Arial"/>
                <w:sz w:val="21"/>
              </w:rPr>
            </w:pPr>
          </w:p>
        </w:tc>
        <w:tc>
          <w:tcPr>
            <w:tcW w:w="978" w:type="dxa"/>
            <w:vAlign w:val="top"/>
          </w:tcPr>
          <w:p w14:paraId="2AB924A9">
            <w:pPr>
              <w:rPr>
                <w:rFonts w:ascii="Arial"/>
                <w:sz w:val="21"/>
              </w:rPr>
            </w:pPr>
          </w:p>
        </w:tc>
        <w:tc>
          <w:tcPr>
            <w:tcW w:w="977" w:type="dxa"/>
            <w:vAlign w:val="top"/>
          </w:tcPr>
          <w:p w14:paraId="4AB1C0BE">
            <w:pPr>
              <w:rPr>
                <w:rFonts w:ascii="Arial"/>
                <w:sz w:val="21"/>
              </w:rPr>
            </w:pPr>
          </w:p>
        </w:tc>
        <w:tc>
          <w:tcPr>
            <w:tcW w:w="978" w:type="dxa"/>
            <w:vAlign w:val="top"/>
          </w:tcPr>
          <w:p w14:paraId="7F55EADA">
            <w:pPr>
              <w:rPr>
                <w:rFonts w:ascii="Arial"/>
                <w:sz w:val="21"/>
              </w:rPr>
            </w:pPr>
          </w:p>
        </w:tc>
        <w:tc>
          <w:tcPr>
            <w:tcW w:w="977" w:type="dxa"/>
            <w:vAlign w:val="top"/>
          </w:tcPr>
          <w:p w14:paraId="19144C3A">
            <w:pPr>
              <w:rPr>
                <w:rFonts w:ascii="Arial"/>
                <w:sz w:val="21"/>
              </w:rPr>
            </w:pPr>
          </w:p>
        </w:tc>
        <w:tc>
          <w:tcPr>
            <w:tcW w:w="977" w:type="dxa"/>
            <w:vAlign w:val="top"/>
          </w:tcPr>
          <w:p w14:paraId="2D2844E7">
            <w:pPr>
              <w:rPr>
                <w:rFonts w:ascii="Arial"/>
                <w:sz w:val="21"/>
              </w:rPr>
            </w:pPr>
          </w:p>
        </w:tc>
        <w:tc>
          <w:tcPr>
            <w:tcW w:w="977" w:type="dxa"/>
            <w:vAlign w:val="top"/>
          </w:tcPr>
          <w:p w14:paraId="61B69E57">
            <w:pPr>
              <w:rPr>
                <w:rFonts w:ascii="Arial"/>
                <w:sz w:val="21"/>
              </w:rPr>
            </w:pPr>
          </w:p>
        </w:tc>
        <w:tc>
          <w:tcPr>
            <w:tcW w:w="982" w:type="dxa"/>
            <w:vAlign w:val="top"/>
          </w:tcPr>
          <w:p w14:paraId="31CC4577">
            <w:pPr>
              <w:rPr>
                <w:rFonts w:ascii="Arial"/>
                <w:sz w:val="21"/>
              </w:rPr>
            </w:pPr>
          </w:p>
        </w:tc>
      </w:tr>
      <w:tr w14:paraId="42A41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52" w:type="dxa"/>
            <w:vAlign w:val="top"/>
          </w:tcPr>
          <w:p w14:paraId="5BF3BB15">
            <w:pPr>
              <w:spacing w:before="182" w:line="272" w:lineRule="exact"/>
              <w:ind w:left="278"/>
              <w:rPr>
                <w:rFonts w:ascii="黑体" w:hAnsi="黑体" w:eastAsia="黑体" w:cs="黑体"/>
                <w:sz w:val="20"/>
                <w:szCs w:val="20"/>
              </w:rPr>
            </w:pPr>
            <w:r>
              <w:rPr>
                <w:rFonts w:ascii="黑体" w:hAnsi="黑体" w:eastAsia="黑体" w:cs="黑体"/>
                <w:position w:val="1"/>
                <w:sz w:val="20"/>
                <w:szCs w:val="20"/>
              </w:rPr>
              <w:t>6</w:t>
            </w:r>
          </w:p>
        </w:tc>
        <w:tc>
          <w:tcPr>
            <w:tcW w:w="1799" w:type="dxa"/>
            <w:vAlign w:val="top"/>
          </w:tcPr>
          <w:p w14:paraId="15AFE167">
            <w:pPr>
              <w:pStyle w:val="6"/>
              <w:spacing w:before="182" w:line="226" w:lineRule="auto"/>
              <w:ind w:left="482"/>
            </w:pPr>
            <w:r>
              <w:rPr>
                <w:spacing w:val="8"/>
              </w:rPr>
              <w:t>报价唯一</w:t>
            </w:r>
          </w:p>
        </w:tc>
        <w:tc>
          <w:tcPr>
            <w:tcW w:w="2699" w:type="dxa"/>
            <w:vAlign w:val="top"/>
          </w:tcPr>
          <w:p w14:paraId="7B025C85">
            <w:pPr>
              <w:pStyle w:val="6"/>
              <w:spacing w:before="46"/>
              <w:ind w:left="114" w:right="89" w:firstLine="11"/>
            </w:pPr>
            <w:r>
              <w:rPr>
                <w:spacing w:val="5"/>
              </w:rPr>
              <w:t>只能有一个有效报价（指投</w:t>
            </w:r>
            <w:r>
              <w:rPr>
                <w:spacing w:val="7"/>
              </w:rPr>
              <w:t>标函中的大写投标总报价）</w:t>
            </w:r>
          </w:p>
        </w:tc>
        <w:tc>
          <w:tcPr>
            <w:tcW w:w="797" w:type="dxa"/>
            <w:vAlign w:val="top"/>
          </w:tcPr>
          <w:p w14:paraId="1C89F102">
            <w:pPr>
              <w:rPr>
                <w:rFonts w:ascii="Arial"/>
                <w:sz w:val="21"/>
              </w:rPr>
            </w:pPr>
          </w:p>
        </w:tc>
        <w:tc>
          <w:tcPr>
            <w:tcW w:w="978" w:type="dxa"/>
            <w:vAlign w:val="top"/>
          </w:tcPr>
          <w:p w14:paraId="27BFA6C5">
            <w:pPr>
              <w:rPr>
                <w:rFonts w:ascii="Arial"/>
                <w:sz w:val="21"/>
              </w:rPr>
            </w:pPr>
          </w:p>
        </w:tc>
        <w:tc>
          <w:tcPr>
            <w:tcW w:w="978" w:type="dxa"/>
            <w:vAlign w:val="top"/>
          </w:tcPr>
          <w:p w14:paraId="13D3C85A">
            <w:pPr>
              <w:rPr>
                <w:rFonts w:ascii="Arial"/>
                <w:sz w:val="21"/>
              </w:rPr>
            </w:pPr>
          </w:p>
        </w:tc>
        <w:tc>
          <w:tcPr>
            <w:tcW w:w="977" w:type="dxa"/>
            <w:vAlign w:val="top"/>
          </w:tcPr>
          <w:p w14:paraId="066E9C83">
            <w:pPr>
              <w:rPr>
                <w:rFonts w:ascii="Arial"/>
                <w:sz w:val="21"/>
              </w:rPr>
            </w:pPr>
          </w:p>
        </w:tc>
        <w:tc>
          <w:tcPr>
            <w:tcW w:w="978" w:type="dxa"/>
            <w:vAlign w:val="top"/>
          </w:tcPr>
          <w:p w14:paraId="3CC4AA81">
            <w:pPr>
              <w:rPr>
                <w:rFonts w:ascii="Arial"/>
                <w:sz w:val="21"/>
              </w:rPr>
            </w:pPr>
          </w:p>
        </w:tc>
        <w:tc>
          <w:tcPr>
            <w:tcW w:w="977" w:type="dxa"/>
            <w:vAlign w:val="top"/>
          </w:tcPr>
          <w:p w14:paraId="634BD103">
            <w:pPr>
              <w:rPr>
                <w:rFonts w:ascii="Arial"/>
                <w:sz w:val="21"/>
              </w:rPr>
            </w:pPr>
          </w:p>
        </w:tc>
        <w:tc>
          <w:tcPr>
            <w:tcW w:w="977" w:type="dxa"/>
            <w:vAlign w:val="top"/>
          </w:tcPr>
          <w:p w14:paraId="22C48A11">
            <w:pPr>
              <w:rPr>
                <w:rFonts w:ascii="Arial"/>
                <w:sz w:val="21"/>
              </w:rPr>
            </w:pPr>
          </w:p>
        </w:tc>
        <w:tc>
          <w:tcPr>
            <w:tcW w:w="977" w:type="dxa"/>
            <w:vAlign w:val="top"/>
          </w:tcPr>
          <w:p w14:paraId="319B6D2C">
            <w:pPr>
              <w:rPr>
                <w:rFonts w:ascii="Arial"/>
                <w:sz w:val="21"/>
              </w:rPr>
            </w:pPr>
          </w:p>
        </w:tc>
        <w:tc>
          <w:tcPr>
            <w:tcW w:w="982" w:type="dxa"/>
            <w:vAlign w:val="top"/>
          </w:tcPr>
          <w:p w14:paraId="5A8D9B89">
            <w:pPr>
              <w:rPr>
                <w:rFonts w:ascii="Arial"/>
                <w:sz w:val="21"/>
              </w:rPr>
            </w:pPr>
          </w:p>
        </w:tc>
      </w:tr>
    </w:tbl>
    <w:p w14:paraId="54CA08CA">
      <w:pPr>
        <w:rPr>
          <w:rFonts w:ascii="Arial"/>
          <w:sz w:val="21"/>
        </w:rPr>
      </w:pPr>
    </w:p>
    <w:p w14:paraId="1A446FA7">
      <w:pPr>
        <w:rPr>
          <w:rFonts w:ascii="Arial" w:hAnsi="Arial" w:eastAsia="Arial" w:cs="Arial"/>
          <w:sz w:val="21"/>
          <w:szCs w:val="21"/>
        </w:rPr>
        <w:sectPr>
          <w:footerReference r:id="rId129" w:type="default"/>
          <w:pgSz w:w="16840" w:h="11907"/>
          <w:pgMar w:top="400" w:right="1475" w:bottom="1036" w:left="1588" w:header="0" w:footer="787" w:gutter="0"/>
          <w:cols w:space="720" w:num="1"/>
        </w:sectPr>
      </w:pPr>
    </w:p>
    <w:p w14:paraId="7FB8BE7A">
      <w:pPr>
        <w:spacing w:before="39"/>
      </w:pPr>
    </w:p>
    <w:p w14:paraId="0F63BCFA">
      <w:pPr>
        <w:spacing w:before="39"/>
      </w:pPr>
    </w:p>
    <w:p w14:paraId="5014E305">
      <w:pPr>
        <w:spacing w:before="39"/>
      </w:pPr>
    </w:p>
    <w:p w14:paraId="2928A65F">
      <w:pPr>
        <w:spacing w:before="39"/>
      </w:pPr>
    </w:p>
    <w:p w14:paraId="72719602">
      <w:pPr>
        <w:spacing w:before="39"/>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1799"/>
        <w:gridCol w:w="2699"/>
        <w:gridCol w:w="797"/>
        <w:gridCol w:w="978"/>
        <w:gridCol w:w="978"/>
        <w:gridCol w:w="977"/>
        <w:gridCol w:w="978"/>
        <w:gridCol w:w="977"/>
        <w:gridCol w:w="977"/>
        <w:gridCol w:w="977"/>
        <w:gridCol w:w="982"/>
      </w:tblGrid>
      <w:tr w14:paraId="0F0EAA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52" w:type="dxa"/>
            <w:vMerge w:val="restart"/>
            <w:tcBorders>
              <w:bottom w:val="nil"/>
            </w:tcBorders>
            <w:vAlign w:val="top"/>
          </w:tcPr>
          <w:p w14:paraId="76BC19E2">
            <w:pPr>
              <w:spacing w:line="258" w:lineRule="auto"/>
              <w:rPr>
                <w:rFonts w:ascii="Arial"/>
                <w:sz w:val="21"/>
              </w:rPr>
            </w:pPr>
          </w:p>
          <w:p w14:paraId="334ADFAE">
            <w:pPr>
              <w:pStyle w:val="6"/>
              <w:spacing w:before="65" w:line="229" w:lineRule="auto"/>
              <w:ind w:left="120"/>
            </w:pPr>
            <w:r>
              <w:rPr>
                <w:spacing w:val="5"/>
              </w:rPr>
              <w:t>序号</w:t>
            </w:r>
          </w:p>
        </w:tc>
        <w:tc>
          <w:tcPr>
            <w:tcW w:w="1799" w:type="dxa"/>
            <w:vMerge w:val="restart"/>
            <w:tcBorders>
              <w:bottom w:val="nil"/>
            </w:tcBorders>
            <w:vAlign w:val="top"/>
          </w:tcPr>
          <w:p w14:paraId="1CC08CDE">
            <w:pPr>
              <w:spacing w:line="257" w:lineRule="auto"/>
              <w:rPr>
                <w:rFonts w:ascii="Arial"/>
                <w:sz w:val="21"/>
              </w:rPr>
            </w:pPr>
          </w:p>
          <w:p w14:paraId="233C1CF9">
            <w:pPr>
              <w:pStyle w:val="6"/>
              <w:spacing w:before="65" w:line="228" w:lineRule="auto"/>
              <w:ind w:left="483"/>
            </w:pPr>
            <w:r>
              <w:rPr>
                <w:spacing w:val="7"/>
              </w:rPr>
              <w:t>评审因素</w:t>
            </w:r>
          </w:p>
        </w:tc>
        <w:tc>
          <w:tcPr>
            <w:tcW w:w="2699" w:type="dxa"/>
            <w:vMerge w:val="restart"/>
            <w:tcBorders>
              <w:bottom w:val="nil"/>
            </w:tcBorders>
            <w:vAlign w:val="top"/>
          </w:tcPr>
          <w:p w14:paraId="59D138AF">
            <w:pPr>
              <w:spacing w:line="258" w:lineRule="auto"/>
              <w:rPr>
                <w:rFonts w:ascii="Arial"/>
                <w:sz w:val="21"/>
              </w:rPr>
            </w:pPr>
          </w:p>
          <w:p w14:paraId="78B8F1E6">
            <w:pPr>
              <w:pStyle w:val="6"/>
              <w:spacing w:before="65" w:line="228" w:lineRule="auto"/>
              <w:ind w:left="933"/>
            </w:pPr>
            <w:r>
              <w:rPr>
                <w:spacing w:val="7"/>
              </w:rPr>
              <w:t>评审标准</w:t>
            </w:r>
          </w:p>
        </w:tc>
        <w:tc>
          <w:tcPr>
            <w:tcW w:w="8621" w:type="dxa"/>
            <w:gridSpan w:val="9"/>
            <w:vAlign w:val="top"/>
          </w:tcPr>
          <w:p w14:paraId="6C182B2C">
            <w:pPr>
              <w:pStyle w:val="6"/>
              <w:spacing w:before="108" w:line="228" w:lineRule="auto"/>
              <w:ind w:left="3268"/>
            </w:pPr>
            <w:r>
              <w:rPr>
                <w:spacing w:val="8"/>
              </w:rPr>
              <w:t>投标人名称及评审意见</w:t>
            </w:r>
          </w:p>
        </w:tc>
      </w:tr>
      <w:tr w14:paraId="52FD88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652" w:type="dxa"/>
            <w:vMerge w:val="continue"/>
            <w:tcBorders>
              <w:top w:val="nil"/>
            </w:tcBorders>
            <w:vAlign w:val="top"/>
          </w:tcPr>
          <w:p w14:paraId="729411AF">
            <w:pPr>
              <w:rPr>
                <w:rFonts w:ascii="Arial"/>
                <w:sz w:val="21"/>
              </w:rPr>
            </w:pPr>
          </w:p>
        </w:tc>
        <w:tc>
          <w:tcPr>
            <w:tcW w:w="1799" w:type="dxa"/>
            <w:vMerge w:val="continue"/>
            <w:tcBorders>
              <w:top w:val="nil"/>
            </w:tcBorders>
            <w:vAlign w:val="top"/>
          </w:tcPr>
          <w:p w14:paraId="17D2578F">
            <w:pPr>
              <w:rPr>
                <w:rFonts w:ascii="Arial"/>
                <w:sz w:val="21"/>
              </w:rPr>
            </w:pPr>
          </w:p>
        </w:tc>
        <w:tc>
          <w:tcPr>
            <w:tcW w:w="2699" w:type="dxa"/>
            <w:vMerge w:val="continue"/>
            <w:tcBorders>
              <w:top w:val="nil"/>
            </w:tcBorders>
            <w:vAlign w:val="top"/>
          </w:tcPr>
          <w:p w14:paraId="09241358">
            <w:pPr>
              <w:rPr>
                <w:rFonts w:ascii="Arial"/>
                <w:sz w:val="21"/>
              </w:rPr>
            </w:pPr>
          </w:p>
        </w:tc>
        <w:tc>
          <w:tcPr>
            <w:tcW w:w="797" w:type="dxa"/>
            <w:vAlign w:val="top"/>
          </w:tcPr>
          <w:p w14:paraId="305E93CF">
            <w:pPr>
              <w:rPr>
                <w:rFonts w:ascii="Arial"/>
                <w:sz w:val="21"/>
              </w:rPr>
            </w:pPr>
          </w:p>
        </w:tc>
        <w:tc>
          <w:tcPr>
            <w:tcW w:w="978" w:type="dxa"/>
            <w:vAlign w:val="top"/>
          </w:tcPr>
          <w:p w14:paraId="0048BAA3">
            <w:pPr>
              <w:rPr>
                <w:rFonts w:ascii="Arial"/>
                <w:sz w:val="21"/>
              </w:rPr>
            </w:pPr>
          </w:p>
        </w:tc>
        <w:tc>
          <w:tcPr>
            <w:tcW w:w="978" w:type="dxa"/>
            <w:vAlign w:val="top"/>
          </w:tcPr>
          <w:p w14:paraId="1F113BAF">
            <w:pPr>
              <w:rPr>
                <w:rFonts w:ascii="Arial"/>
                <w:sz w:val="21"/>
              </w:rPr>
            </w:pPr>
          </w:p>
        </w:tc>
        <w:tc>
          <w:tcPr>
            <w:tcW w:w="977" w:type="dxa"/>
            <w:vAlign w:val="top"/>
          </w:tcPr>
          <w:p w14:paraId="07A8185A">
            <w:pPr>
              <w:rPr>
                <w:rFonts w:ascii="Arial"/>
                <w:sz w:val="21"/>
              </w:rPr>
            </w:pPr>
          </w:p>
        </w:tc>
        <w:tc>
          <w:tcPr>
            <w:tcW w:w="978" w:type="dxa"/>
            <w:vAlign w:val="top"/>
          </w:tcPr>
          <w:p w14:paraId="6E167F4A">
            <w:pPr>
              <w:rPr>
                <w:rFonts w:ascii="Arial"/>
                <w:sz w:val="21"/>
              </w:rPr>
            </w:pPr>
          </w:p>
        </w:tc>
        <w:tc>
          <w:tcPr>
            <w:tcW w:w="977" w:type="dxa"/>
            <w:vAlign w:val="top"/>
          </w:tcPr>
          <w:p w14:paraId="354A1D73">
            <w:pPr>
              <w:rPr>
                <w:rFonts w:ascii="Arial"/>
                <w:sz w:val="21"/>
              </w:rPr>
            </w:pPr>
          </w:p>
        </w:tc>
        <w:tc>
          <w:tcPr>
            <w:tcW w:w="977" w:type="dxa"/>
            <w:vAlign w:val="top"/>
          </w:tcPr>
          <w:p w14:paraId="66567EC3">
            <w:pPr>
              <w:rPr>
                <w:rFonts w:ascii="Arial"/>
                <w:sz w:val="21"/>
              </w:rPr>
            </w:pPr>
          </w:p>
        </w:tc>
        <w:tc>
          <w:tcPr>
            <w:tcW w:w="977" w:type="dxa"/>
            <w:vAlign w:val="top"/>
          </w:tcPr>
          <w:p w14:paraId="5444D965">
            <w:pPr>
              <w:rPr>
                <w:rFonts w:ascii="Arial"/>
                <w:sz w:val="21"/>
              </w:rPr>
            </w:pPr>
          </w:p>
        </w:tc>
        <w:tc>
          <w:tcPr>
            <w:tcW w:w="982" w:type="dxa"/>
            <w:vAlign w:val="top"/>
          </w:tcPr>
          <w:p w14:paraId="482BC02D">
            <w:pPr>
              <w:rPr>
                <w:rFonts w:ascii="Arial"/>
                <w:sz w:val="21"/>
              </w:rPr>
            </w:pPr>
          </w:p>
        </w:tc>
      </w:tr>
      <w:tr w14:paraId="3CF84D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70DCD6CD">
            <w:pPr>
              <w:spacing w:before="178" w:line="275" w:lineRule="exact"/>
              <w:ind w:left="280"/>
              <w:rPr>
                <w:rFonts w:ascii="黑体" w:hAnsi="黑体" w:eastAsia="黑体" w:cs="黑体"/>
                <w:sz w:val="20"/>
                <w:szCs w:val="20"/>
              </w:rPr>
            </w:pPr>
            <w:r>
              <w:rPr>
                <w:rFonts w:ascii="黑体" w:hAnsi="黑体" w:eastAsia="黑体" w:cs="黑体"/>
                <w:position w:val="1"/>
                <w:sz w:val="20"/>
                <w:szCs w:val="20"/>
              </w:rPr>
              <w:t>7</w:t>
            </w:r>
          </w:p>
        </w:tc>
        <w:tc>
          <w:tcPr>
            <w:tcW w:w="1799" w:type="dxa"/>
            <w:vAlign w:val="top"/>
          </w:tcPr>
          <w:p w14:paraId="67A48C61">
            <w:pPr>
              <w:pStyle w:val="6"/>
              <w:spacing w:before="178" w:line="228" w:lineRule="auto"/>
              <w:ind w:left="122"/>
            </w:pPr>
            <w:r>
              <w:rPr>
                <w:spacing w:val="6"/>
              </w:rPr>
              <w:t>多标段投标</w:t>
            </w:r>
          </w:p>
        </w:tc>
        <w:tc>
          <w:tcPr>
            <w:tcW w:w="2699" w:type="dxa"/>
            <w:vAlign w:val="top"/>
          </w:tcPr>
          <w:p w14:paraId="5E5AF612">
            <w:pPr>
              <w:pStyle w:val="6"/>
              <w:spacing w:before="43" w:line="239" w:lineRule="auto"/>
              <w:ind w:left="113" w:firstLine="1"/>
            </w:pPr>
            <w:r>
              <w:rPr>
                <w:spacing w:val="12"/>
              </w:rPr>
              <w:t>符合第二章“投标人须知</w:t>
            </w:r>
            <w:r>
              <w:rPr>
                <w:spacing w:val="-67"/>
              </w:rPr>
              <w:t xml:space="preserve"> </w:t>
            </w:r>
            <w:r>
              <w:rPr>
                <w:spacing w:val="12"/>
              </w:rPr>
              <w:t>”</w:t>
            </w:r>
            <w:r>
              <w:rPr>
                <w:spacing w:val="-3"/>
              </w:rPr>
              <w:t>第</w:t>
            </w:r>
            <w:r>
              <w:rPr>
                <w:spacing w:val="-24"/>
              </w:rPr>
              <w:t xml:space="preserve"> </w:t>
            </w:r>
            <w:r>
              <w:rPr>
                <w:rFonts w:ascii="Times New Roman" w:hAnsi="Times New Roman" w:eastAsia="Times New Roman" w:cs="Times New Roman"/>
                <w:spacing w:val="-3"/>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9"/>
              </w:rPr>
              <w:t xml:space="preserve"> </w:t>
            </w:r>
            <w:r>
              <w:rPr>
                <w:spacing w:val="-3"/>
              </w:rPr>
              <w:t>款规定</w:t>
            </w:r>
          </w:p>
        </w:tc>
        <w:tc>
          <w:tcPr>
            <w:tcW w:w="797" w:type="dxa"/>
            <w:vAlign w:val="top"/>
          </w:tcPr>
          <w:p w14:paraId="2EB348DB">
            <w:pPr>
              <w:rPr>
                <w:rFonts w:ascii="Arial"/>
                <w:sz w:val="21"/>
              </w:rPr>
            </w:pPr>
          </w:p>
        </w:tc>
        <w:tc>
          <w:tcPr>
            <w:tcW w:w="978" w:type="dxa"/>
            <w:vAlign w:val="top"/>
          </w:tcPr>
          <w:p w14:paraId="3F62F1D8">
            <w:pPr>
              <w:rPr>
                <w:rFonts w:ascii="Arial"/>
                <w:sz w:val="21"/>
              </w:rPr>
            </w:pPr>
          </w:p>
        </w:tc>
        <w:tc>
          <w:tcPr>
            <w:tcW w:w="978" w:type="dxa"/>
            <w:vAlign w:val="top"/>
          </w:tcPr>
          <w:p w14:paraId="2E442178">
            <w:pPr>
              <w:rPr>
                <w:rFonts w:ascii="Arial"/>
                <w:sz w:val="21"/>
              </w:rPr>
            </w:pPr>
          </w:p>
        </w:tc>
        <w:tc>
          <w:tcPr>
            <w:tcW w:w="977" w:type="dxa"/>
            <w:vAlign w:val="top"/>
          </w:tcPr>
          <w:p w14:paraId="128D3AC4">
            <w:pPr>
              <w:rPr>
                <w:rFonts w:ascii="Arial"/>
                <w:sz w:val="21"/>
              </w:rPr>
            </w:pPr>
          </w:p>
        </w:tc>
        <w:tc>
          <w:tcPr>
            <w:tcW w:w="978" w:type="dxa"/>
            <w:vAlign w:val="top"/>
          </w:tcPr>
          <w:p w14:paraId="7E2D02BA">
            <w:pPr>
              <w:rPr>
                <w:rFonts w:ascii="Arial"/>
                <w:sz w:val="21"/>
              </w:rPr>
            </w:pPr>
          </w:p>
        </w:tc>
        <w:tc>
          <w:tcPr>
            <w:tcW w:w="977" w:type="dxa"/>
            <w:vAlign w:val="top"/>
          </w:tcPr>
          <w:p w14:paraId="64EDDD26">
            <w:pPr>
              <w:rPr>
                <w:rFonts w:ascii="Arial"/>
                <w:sz w:val="21"/>
              </w:rPr>
            </w:pPr>
          </w:p>
        </w:tc>
        <w:tc>
          <w:tcPr>
            <w:tcW w:w="977" w:type="dxa"/>
            <w:vAlign w:val="top"/>
          </w:tcPr>
          <w:p w14:paraId="6A69829F">
            <w:pPr>
              <w:rPr>
                <w:rFonts w:ascii="Arial"/>
                <w:sz w:val="21"/>
              </w:rPr>
            </w:pPr>
          </w:p>
        </w:tc>
        <w:tc>
          <w:tcPr>
            <w:tcW w:w="977" w:type="dxa"/>
            <w:vAlign w:val="top"/>
          </w:tcPr>
          <w:p w14:paraId="0CC1EA3F">
            <w:pPr>
              <w:rPr>
                <w:rFonts w:ascii="Arial"/>
                <w:sz w:val="21"/>
              </w:rPr>
            </w:pPr>
          </w:p>
        </w:tc>
        <w:tc>
          <w:tcPr>
            <w:tcW w:w="982" w:type="dxa"/>
            <w:vAlign w:val="top"/>
          </w:tcPr>
          <w:p w14:paraId="50B4C1F6">
            <w:pPr>
              <w:rPr>
                <w:rFonts w:ascii="Arial"/>
                <w:sz w:val="21"/>
              </w:rPr>
            </w:pPr>
          </w:p>
        </w:tc>
      </w:tr>
      <w:tr w14:paraId="16FE6B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43DF48D4">
            <w:pPr>
              <w:spacing w:before="180" w:line="273" w:lineRule="exact"/>
              <w:ind w:left="277"/>
              <w:rPr>
                <w:rFonts w:ascii="黑体" w:hAnsi="黑体" w:eastAsia="黑体" w:cs="黑体"/>
                <w:sz w:val="20"/>
                <w:szCs w:val="20"/>
              </w:rPr>
            </w:pPr>
            <w:r>
              <w:rPr>
                <w:rFonts w:ascii="黑体" w:hAnsi="黑体" w:eastAsia="黑体" w:cs="黑体"/>
                <w:position w:val="1"/>
                <w:sz w:val="20"/>
                <w:szCs w:val="20"/>
              </w:rPr>
              <w:t>8</w:t>
            </w:r>
          </w:p>
        </w:tc>
        <w:tc>
          <w:tcPr>
            <w:tcW w:w="1799" w:type="dxa"/>
            <w:vAlign w:val="top"/>
          </w:tcPr>
          <w:p w14:paraId="23C8CD5C">
            <w:pPr>
              <w:pStyle w:val="6"/>
              <w:spacing w:before="237" w:line="228" w:lineRule="auto"/>
              <w:ind w:left="102"/>
            </w:pPr>
            <w:r>
              <w:rPr>
                <w:spacing w:val="21"/>
              </w:rPr>
              <w:t>“技术暗标</w:t>
            </w:r>
            <w:r>
              <w:rPr>
                <w:spacing w:val="-68"/>
              </w:rPr>
              <w:t xml:space="preserve"> </w:t>
            </w:r>
            <w:r>
              <w:rPr>
                <w:spacing w:val="21"/>
              </w:rPr>
              <w:t>”</w:t>
            </w:r>
          </w:p>
        </w:tc>
        <w:tc>
          <w:tcPr>
            <w:tcW w:w="2699" w:type="dxa"/>
            <w:vAlign w:val="top"/>
          </w:tcPr>
          <w:p w14:paraId="2E465CB2">
            <w:pPr>
              <w:pStyle w:val="6"/>
              <w:spacing w:before="43" w:line="239" w:lineRule="auto"/>
              <w:ind w:left="113" w:firstLine="1"/>
            </w:pPr>
            <w:r>
              <w:rPr>
                <w:spacing w:val="12"/>
              </w:rPr>
              <w:t>符合第二章“投标人须知</w:t>
            </w:r>
            <w:r>
              <w:rPr>
                <w:spacing w:val="-67"/>
              </w:rPr>
              <w:t xml:space="preserve"> </w:t>
            </w:r>
            <w:r>
              <w:rPr>
                <w:spacing w:val="12"/>
              </w:rPr>
              <w:t>”</w:t>
            </w:r>
            <w:r>
              <w:rPr>
                <w:spacing w:val="-2"/>
              </w:rPr>
              <w:t>第</w:t>
            </w:r>
            <w:r>
              <w:rPr>
                <w:spacing w:val="-30"/>
              </w:rPr>
              <w:t xml:space="preserve"> </w:t>
            </w:r>
            <w:r>
              <w:rPr>
                <w:rFonts w:ascii="Times New Roman" w:hAnsi="Times New Roman" w:eastAsia="Times New Roman" w:cs="Times New Roman"/>
                <w:spacing w:val="-2"/>
              </w:rPr>
              <w:t>3.7.4</w:t>
            </w:r>
            <w:r>
              <w:rPr>
                <w:spacing w:val="-2"/>
              </w:rPr>
              <w:t>（</w:t>
            </w:r>
            <w:r>
              <w:rPr>
                <w:rFonts w:ascii="Times New Roman" w:hAnsi="Times New Roman" w:eastAsia="Times New Roman" w:cs="Times New Roman"/>
                <w:spacing w:val="-2"/>
              </w:rPr>
              <w:t>5</w:t>
            </w:r>
            <w:r>
              <w:rPr>
                <w:spacing w:val="-2"/>
              </w:rPr>
              <w:t>）</w:t>
            </w:r>
            <w:r>
              <w:rPr>
                <w:spacing w:val="-42"/>
              </w:rPr>
              <w:t xml:space="preserve"> </w:t>
            </w:r>
            <w:r>
              <w:rPr>
                <w:spacing w:val="-2"/>
              </w:rPr>
              <w:t>目规定</w:t>
            </w:r>
          </w:p>
        </w:tc>
        <w:tc>
          <w:tcPr>
            <w:tcW w:w="797" w:type="dxa"/>
            <w:vAlign w:val="top"/>
          </w:tcPr>
          <w:p w14:paraId="463A8510">
            <w:pPr>
              <w:rPr>
                <w:rFonts w:ascii="Arial"/>
                <w:sz w:val="21"/>
              </w:rPr>
            </w:pPr>
          </w:p>
        </w:tc>
        <w:tc>
          <w:tcPr>
            <w:tcW w:w="978" w:type="dxa"/>
            <w:vAlign w:val="top"/>
          </w:tcPr>
          <w:p w14:paraId="359F4223">
            <w:pPr>
              <w:rPr>
                <w:rFonts w:ascii="Arial"/>
                <w:sz w:val="21"/>
              </w:rPr>
            </w:pPr>
          </w:p>
        </w:tc>
        <w:tc>
          <w:tcPr>
            <w:tcW w:w="978" w:type="dxa"/>
            <w:vAlign w:val="top"/>
          </w:tcPr>
          <w:p w14:paraId="200C8FDC">
            <w:pPr>
              <w:rPr>
                <w:rFonts w:ascii="Arial"/>
                <w:sz w:val="21"/>
              </w:rPr>
            </w:pPr>
          </w:p>
        </w:tc>
        <w:tc>
          <w:tcPr>
            <w:tcW w:w="977" w:type="dxa"/>
            <w:vAlign w:val="top"/>
          </w:tcPr>
          <w:p w14:paraId="2B27CF29">
            <w:pPr>
              <w:rPr>
                <w:rFonts w:ascii="Arial"/>
                <w:sz w:val="21"/>
              </w:rPr>
            </w:pPr>
          </w:p>
        </w:tc>
        <w:tc>
          <w:tcPr>
            <w:tcW w:w="978" w:type="dxa"/>
            <w:vAlign w:val="top"/>
          </w:tcPr>
          <w:p w14:paraId="477FEE5F">
            <w:pPr>
              <w:rPr>
                <w:rFonts w:ascii="Arial"/>
                <w:sz w:val="21"/>
              </w:rPr>
            </w:pPr>
          </w:p>
        </w:tc>
        <w:tc>
          <w:tcPr>
            <w:tcW w:w="977" w:type="dxa"/>
            <w:vAlign w:val="top"/>
          </w:tcPr>
          <w:p w14:paraId="035E1518">
            <w:pPr>
              <w:rPr>
                <w:rFonts w:ascii="Arial"/>
                <w:sz w:val="21"/>
              </w:rPr>
            </w:pPr>
          </w:p>
        </w:tc>
        <w:tc>
          <w:tcPr>
            <w:tcW w:w="977" w:type="dxa"/>
            <w:vAlign w:val="top"/>
          </w:tcPr>
          <w:p w14:paraId="1A3A76DC">
            <w:pPr>
              <w:rPr>
                <w:rFonts w:ascii="Arial"/>
                <w:sz w:val="21"/>
              </w:rPr>
            </w:pPr>
          </w:p>
        </w:tc>
        <w:tc>
          <w:tcPr>
            <w:tcW w:w="977" w:type="dxa"/>
            <w:vAlign w:val="top"/>
          </w:tcPr>
          <w:p w14:paraId="138A82B6">
            <w:pPr>
              <w:rPr>
                <w:rFonts w:ascii="Arial"/>
                <w:sz w:val="21"/>
              </w:rPr>
            </w:pPr>
          </w:p>
        </w:tc>
        <w:tc>
          <w:tcPr>
            <w:tcW w:w="982" w:type="dxa"/>
            <w:vAlign w:val="top"/>
          </w:tcPr>
          <w:p w14:paraId="53DD2B77">
            <w:pPr>
              <w:rPr>
                <w:rFonts w:ascii="Arial"/>
                <w:sz w:val="21"/>
              </w:rPr>
            </w:pPr>
          </w:p>
        </w:tc>
      </w:tr>
      <w:tr w14:paraId="6B1CB7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1288C57D">
            <w:pPr>
              <w:spacing w:before="180" w:line="273" w:lineRule="exact"/>
              <w:ind w:left="274"/>
              <w:rPr>
                <w:rFonts w:ascii="黑体" w:hAnsi="黑体" w:eastAsia="黑体" w:cs="黑体"/>
                <w:sz w:val="20"/>
                <w:szCs w:val="20"/>
              </w:rPr>
            </w:pPr>
            <w:r>
              <w:rPr>
                <w:rFonts w:ascii="黑体" w:hAnsi="黑体" w:eastAsia="黑体" w:cs="黑体"/>
                <w:spacing w:val="1"/>
                <w:position w:val="1"/>
                <w:sz w:val="20"/>
                <w:szCs w:val="20"/>
              </w:rPr>
              <w:t>9</w:t>
            </w:r>
          </w:p>
        </w:tc>
        <w:tc>
          <w:tcPr>
            <w:tcW w:w="1799" w:type="dxa"/>
            <w:vAlign w:val="top"/>
          </w:tcPr>
          <w:p w14:paraId="4E7D84D0">
            <w:pPr>
              <w:pStyle w:val="6"/>
              <w:spacing w:before="181" w:line="228" w:lineRule="auto"/>
              <w:ind w:left="115"/>
            </w:pPr>
            <w:r>
              <w:rPr>
                <w:spacing w:val="6"/>
              </w:rPr>
              <w:t>项目经理</w:t>
            </w:r>
          </w:p>
        </w:tc>
        <w:tc>
          <w:tcPr>
            <w:tcW w:w="2699" w:type="dxa"/>
            <w:vAlign w:val="top"/>
          </w:tcPr>
          <w:p w14:paraId="45CC75D0">
            <w:pPr>
              <w:pStyle w:val="6"/>
              <w:spacing w:before="45" w:line="238" w:lineRule="auto"/>
              <w:ind w:left="152" w:right="106" w:hanging="36"/>
            </w:pPr>
            <w:r>
              <w:rPr>
                <w:spacing w:val="24"/>
              </w:rPr>
              <w:t>未更换通过资格预审的项</w:t>
            </w:r>
            <w:r>
              <w:rPr>
                <w:spacing w:val="-7"/>
              </w:rPr>
              <w:t>目经理</w:t>
            </w:r>
          </w:p>
        </w:tc>
        <w:tc>
          <w:tcPr>
            <w:tcW w:w="797" w:type="dxa"/>
            <w:vAlign w:val="top"/>
          </w:tcPr>
          <w:p w14:paraId="7DA6C92F">
            <w:pPr>
              <w:rPr>
                <w:rFonts w:ascii="Arial"/>
                <w:sz w:val="21"/>
              </w:rPr>
            </w:pPr>
          </w:p>
        </w:tc>
        <w:tc>
          <w:tcPr>
            <w:tcW w:w="978" w:type="dxa"/>
            <w:vAlign w:val="top"/>
          </w:tcPr>
          <w:p w14:paraId="0E665251">
            <w:pPr>
              <w:rPr>
                <w:rFonts w:ascii="Arial"/>
                <w:sz w:val="21"/>
              </w:rPr>
            </w:pPr>
          </w:p>
        </w:tc>
        <w:tc>
          <w:tcPr>
            <w:tcW w:w="978" w:type="dxa"/>
            <w:vAlign w:val="top"/>
          </w:tcPr>
          <w:p w14:paraId="47D943CE">
            <w:pPr>
              <w:rPr>
                <w:rFonts w:ascii="Arial"/>
                <w:sz w:val="21"/>
              </w:rPr>
            </w:pPr>
          </w:p>
        </w:tc>
        <w:tc>
          <w:tcPr>
            <w:tcW w:w="977" w:type="dxa"/>
            <w:vAlign w:val="top"/>
          </w:tcPr>
          <w:p w14:paraId="2358D939">
            <w:pPr>
              <w:rPr>
                <w:rFonts w:ascii="Arial"/>
                <w:sz w:val="21"/>
              </w:rPr>
            </w:pPr>
          </w:p>
        </w:tc>
        <w:tc>
          <w:tcPr>
            <w:tcW w:w="978" w:type="dxa"/>
            <w:vAlign w:val="top"/>
          </w:tcPr>
          <w:p w14:paraId="2ECA1DEC">
            <w:pPr>
              <w:rPr>
                <w:rFonts w:ascii="Arial"/>
                <w:sz w:val="21"/>
              </w:rPr>
            </w:pPr>
          </w:p>
        </w:tc>
        <w:tc>
          <w:tcPr>
            <w:tcW w:w="977" w:type="dxa"/>
            <w:vAlign w:val="top"/>
          </w:tcPr>
          <w:p w14:paraId="2EA91486">
            <w:pPr>
              <w:rPr>
                <w:rFonts w:ascii="Arial"/>
                <w:sz w:val="21"/>
              </w:rPr>
            </w:pPr>
          </w:p>
        </w:tc>
        <w:tc>
          <w:tcPr>
            <w:tcW w:w="977" w:type="dxa"/>
            <w:vAlign w:val="top"/>
          </w:tcPr>
          <w:p w14:paraId="6E67C9B0">
            <w:pPr>
              <w:rPr>
                <w:rFonts w:ascii="Arial"/>
                <w:sz w:val="21"/>
              </w:rPr>
            </w:pPr>
          </w:p>
        </w:tc>
        <w:tc>
          <w:tcPr>
            <w:tcW w:w="977" w:type="dxa"/>
            <w:vAlign w:val="top"/>
          </w:tcPr>
          <w:p w14:paraId="4FAC04E8">
            <w:pPr>
              <w:rPr>
                <w:rFonts w:ascii="Arial"/>
                <w:sz w:val="21"/>
              </w:rPr>
            </w:pPr>
          </w:p>
        </w:tc>
        <w:tc>
          <w:tcPr>
            <w:tcW w:w="982" w:type="dxa"/>
            <w:vAlign w:val="top"/>
          </w:tcPr>
          <w:p w14:paraId="5B357ADE">
            <w:pPr>
              <w:rPr>
                <w:rFonts w:ascii="Arial"/>
                <w:sz w:val="21"/>
              </w:rPr>
            </w:pPr>
          </w:p>
        </w:tc>
      </w:tr>
      <w:tr w14:paraId="126954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2B09212F">
            <w:pPr>
              <w:spacing w:before="183" w:line="269" w:lineRule="exact"/>
              <w:ind w:left="237"/>
              <w:rPr>
                <w:rFonts w:ascii="黑体" w:hAnsi="黑体" w:eastAsia="黑体" w:cs="黑体"/>
                <w:sz w:val="20"/>
                <w:szCs w:val="20"/>
              </w:rPr>
            </w:pPr>
            <w:r>
              <w:rPr>
                <w:rFonts w:ascii="黑体" w:hAnsi="黑体" w:eastAsia="黑体" w:cs="黑体"/>
                <w:spacing w:val="-5"/>
                <w:position w:val="1"/>
                <w:sz w:val="20"/>
                <w:szCs w:val="20"/>
              </w:rPr>
              <w:t>10</w:t>
            </w:r>
          </w:p>
        </w:tc>
        <w:tc>
          <w:tcPr>
            <w:tcW w:w="1799" w:type="dxa"/>
            <w:vAlign w:val="top"/>
          </w:tcPr>
          <w:p w14:paraId="61341230">
            <w:pPr>
              <w:pStyle w:val="6"/>
              <w:spacing w:before="182" w:line="228" w:lineRule="auto"/>
              <w:ind w:left="121"/>
            </w:pPr>
            <w:r>
              <w:rPr>
                <w:spacing w:val="6"/>
              </w:rPr>
              <w:t>资格条件变化</w:t>
            </w:r>
          </w:p>
        </w:tc>
        <w:tc>
          <w:tcPr>
            <w:tcW w:w="2699" w:type="dxa"/>
            <w:vAlign w:val="top"/>
          </w:tcPr>
          <w:p w14:paraId="759C7BD5">
            <w:pPr>
              <w:pStyle w:val="6"/>
              <w:spacing w:before="45" w:line="238" w:lineRule="auto"/>
              <w:ind w:left="113" w:right="106" w:firstLine="2"/>
            </w:pPr>
            <w:r>
              <w:rPr>
                <w:spacing w:val="24"/>
              </w:rPr>
              <w:t>投标函中有资格条件是否</w:t>
            </w:r>
            <w:r>
              <w:rPr>
                <w:spacing w:val="8"/>
              </w:rPr>
              <w:t>变化的声明</w:t>
            </w:r>
          </w:p>
        </w:tc>
        <w:tc>
          <w:tcPr>
            <w:tcW w:w="797" w:type="dxa"/>
            <w:vAlign w:val="top"/>
          </w:tcPr>
          <w:p w14:paraId="045F8940">
            <w:pPr>
              <w:rPr>
                <w:rFonts w:ascii="Arial"/>
                <w:sz w:val="21"/>
              </w:rPr>
            </w:pPr>
          </w:p>
        </w:tc>
        <w:tc>
          <w:tcPr>
            <w:tcW w:w="978" w:type="dxa"/>
            <w:vAlign w:val="top"/>
          </w:tcPr>
          <w:p w14:paraId="711D6114">
            <w:pPr>
              <w:rPr>
                <w:rFonts w:ascii="Arial"/>
                <w:sz w:val="21"/>
              </w:rPr>
            </w:pPr>
          </w:p>
        </w:tc>
        <w:tc>
          <w:tcPr>
            <w:tcW w:w="978" w:type="dxa"/>
            <w:vAlign w:val="top"/>
          </w:tcPr>
          <w:p w14:paraId="1AC9A334">
            <w:pPr>
              <w:rPr>
                <w:rFonts w:ascii="Arial"/>
                <w:sz w:val="21"/>
              </w:rPr>
            </w:pPr>
          </w:p>
        </w:tc>
        <w:tc>
          <w:tcPr>
            <w:tcW w:w="977" w:type="dxa"/>
            <w:vAlign w:val="top"/>
          </w:tcPr>
          <w:p w14:paraId="2FB7E2C7">
            <w:pPr>
              <w:rPr>
                <w:rFonts w:ascii="Arial"/>
                <w:sz w:val="21"/>
              </w:rPr>
            </w:pPr>
          </w:p>
        </w:tc>
        <w:tc>
          <w:tcPr>
            <w:tcW w:w="978" w:type="dxa"/>
            <w:vAlign w:val="top"/>
          </w:tcPr>
          <w:p w14:paraId="7B1ABC1B">
            <w:pPr>
              <w:rPr>
                <w:rFonts w:ascii="Arial"/>
                <w:sz w:val="21"/>
              </w:rPr>
            </w:pPr>
          </w:p>
        </w:tc>
        <w:tc>
          <w:tcPr>
            <w:tcW w:w="977" w:type="dxa"/>
            <w:vAlign w:val="top"/>
          </w:tcPr>
          <w:p w14:paraId="04DC2603">
            <w:pPr>
              <w:rPr>
                <w:rFonts w:ascii="Arial"/>
                <w:sz w:val="21"/>
              </w:rPr>
            </w:pPr>
          </w:p>
        </w:tc>
        <w:tc>
          <w:tcPr>
            <w:tcW w:w="977" w:type="dxa"/>
            <w:vAlign w:val="top"/>
          </w:tcPr>
          <w:p w14:paraId="0859828F">
            <w:pPr>
              <w:rPr>
                <w:rFonts w:ascii="Arial"/>
                <w:sz w:val="21"/>
              </w:rPr>
            </w:pPr>
          </w:p>
        </w:tc>
        <w:tc>
          <w:tcPr>
            <w:tcW w:w="977" w:type="dxa"/>
            <w:vAlign w:val="top"/>
          </w:tcPr>
          <w:p w14:paraId="55463F05">
            <w:pPr>
              <w:rPr>
                <w:rFonts w:ascii="Arial"/>
                <w:sz w:val="21"/>
              </w:rPr>
            </w:pPr>
          </w:p>
        </w:tc>
        <w:tc>
          <w:tcPr>
            <w:tcW w:w="982" w:type="dxa"/>
            <w:vAlign w:val="top"/>
          </w:tcPr>
          <w:p w14:paraId="24B29CD5">
            <w:pPr>
              <w:rPr>
                <w:rFonts w:ascii="Arial"/>
                <w:sz w:val="21"/>
              </w:rPr>
            </w:pPr>
          </w:p>
        </w:tc>
      </w:tr>
      <w:tr w14:paraId="2B1C85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5150" w:type="dxa"/>
            <w:gridSpan w:val="3"/>
            <w:vAlign w:val="top"/>
          </w:tcPr>
          <w:p w14:paraId="18B8B8F7">
            <w:pPr>
              <w:pStyle w:val="6"/>
              <w:spacing w:before="45"/>
              <w:ind w:left="115" w:right="106" w:firstLine="3"/>
            </w:pPr>
            <w:r>
              <w:rPr>
                <w:spacing w:val="9"/>
              </w:rPr>
              <w:t>形式评审结论：通过形式评审标注为</w:t>
            </w:r>
            <w:r>
              <w:rPr>
                <w:spacing w:val="-20"/>
              </w:rPr>
              <w:t xml:space="preserve"> </w:t>
            </w:r>
            <w:r>
              <w:rPr>
                <w:spacing w:val="9"/>
              </w:rPr>
              <w:t>√</w:t>
            </w:r>
            <w:r>
              <w:rPr>
                <w:spacing w:val="-69"/>
              </w:rPr>
              <w:t xml:space="preserve"> </w:t>
            </w:r>
            <w:r>
              <w:rPr>
                <w:spacing w:val="9"/>
              </w:rPr>
              <w:t>；未通过形式</w:t>
            </w:r>
            <w:r>
              <w:rPr>
                <w:spacing w:val="8"/>
              </w:rPr>
              <w:t>评审标注为×</w:t>
            </w:r>
          </w:p>
        </w:tc>
        <w:tc>
          <w:tcPr>
            <w:tcW w:w="797" w:type="dxa"/>
            <w:vAlign w:val="top"/>
          </w:tcPr>
          <w:p w14:paraId="5C6C6572">
            <w:pPr>
              <w:rPr>
                <w:rFonts w:ascii="Arial"/>
                <w:sz w:val="21"/>
              </w:rPr>
            </w:pPr>
          </w:p>
        </w:tc>
        <w:tc>
          <w:tcPr>
            <w:tcW w:w="978" w:type="dxa"/>
            <w:vAlign w:val="top"/>
          </w:tcPr>
          <w:p w14:paraId="09E4346A">
            <w:pPr>
              <w:rPr>
                <w:rFonts w:ascii="Arial"/>
                <w:sz w:val="21"/>
              </w:rPr>
            </w:pPr>
          </w:p>
        </w:tc>
        <w:tc>
          <w:tcPr>
            <w:tcW w:w="978" w:type="dxa"/>
            <w:vAlign w:val="top"/>
          </w:tcPr>
          <w:p w14:paraId="055AE56C">
            <w:pPr>
              <w:rPr>
                <w:rFonts w:ascii="Arial"/>
                <w:sz w:val="21"/>
              </w:rPr>
            </w:pPr>
          </w:p>
        </w:tc>
        <w:tc>
          <w:tcPr>
            <w:tcW w:w="977" w:type="dxa"/>
            <w:vAlign w:val="top"/>
          </w:tcPr>
          <w:p w14:paraId="7B9D922A">
            <w:pPr>
              <w:rPr>
                <w:rFonts w:ascii="Arial"/>
                <w:sz w:val="21"/>
              </w:rPr>
            </w:pPr>
          </w:p>
        </w:tc>
        <w:tc>
          <w:tcPr>
            <w:tcW w:w="978" w:type="dxa"/>
            <w:vAlign w:val="top"/>
          </w:tcPr>
          <w:p w14:paraId="7C251A5A">
            <w:pPr>
              <w:rPr>
                <w:rFonts w:ascii="Arial"/>
                <w:sz w:val="21"/>
              </w:rPr>
            </w:pPr>
          </w:p>
        </w:tc>
        <w:tc>
          <w:tcPr>
            <w:tcW w:w="977" w:type="dxa"/>
            <w:vAlign w:val="top"/>
          </w:tcPr>
          <w:p w14:paraId="0EA9B813">
            <w:pPr>
              <w:rPr>
                <w:rFonts w:ascii="Arial"/>
                <w:sz w:val="21"/>
              </w:rPr>
            </w:pPr>
          </w:p>
        </w:tc>
        <w:tc>
          <w:tcPr>
            <w:tcW w:w="977" w:type="dxa"/>
            <w:vAlign w:val="top"/>
          </w:tcPr>
          <w:p w14:paraId="0F821F43">
            <w:pPr>
              <w:rPr>
                <w:rFonts w:ascii="Arial"/>
                <w:sz w:val="21"/>
              </w:rPr>
            </w:pPr>
          </w:p>
        </w:tc>
        <w:tc>
          <w:tcPr>
            <w:tcW w:w="977" w:type="dxa"/>
            <w:vAlign w:val="top"/>
          </w:tcPr>
          <w:p w14:paraId="5880F378">
            <w:pPr>
              <w:rPr>
                <w:rFonts w:ascii="Arial"/>
                <w:sz w:val="21"/>
              </w:rPr>
            </w:pPr>
          </w:p>
        </w:tc>
        <w:tc>
          <w:tcPr>
            <w:tcW w:w="982" w:type="dxa"/>
            <w:vAlign w:val="top"/>
          </w:tcPr>
          <w:p w14:paraId="0200A403">
            <w:pPr>
              <w:rPr>
                <w:rFonts w:ascii="Arial"/>
                <w:sz w:val="21"/>
              </w:rPr>
            </w:pPr>
          </w:p>
        </w:tc>
      </w:tr>
    </w:tbl>
    <w:p w14:paraId="2A37A327">
      <w:pPr>
        <w:spacing w:before="304" w:line="227" w:lineRule="auto"/>
        <w:ind w:left="120"/>
        <w:outlineLvl w:val="1"/>
        <w:rPr>
          <w:rFonts w:ascii="宋体" w:hAnsi="宋体" w:eastAsia="宋体" w:cs="宋体"/>
          <w:sz w:val="20"/>
          <w:szCs w:val="20"/>
        </w:rPr>
      </w:pPr>
      <w:r>
        <w:rPr>
          <w:rFonts w:ascii="宋体" w:hAnsi="宋体" w:eastAsia="宋体" w:cs="宋体"/>
          <w:spacing w:val="3"/>
          <w:sz w:val="20"/>
          <w:szCs w:val="20"/>
        </w:rPr>
        <w:t xml:space="preserve">评标委员会全体成员签名：                        </w:t>
      </w:r>
      <w:r>
        <w:rPr>
          <w:rFonts w:ascii="宋体" w:hAnsi="宋体" w:eastAsia="宋体" w:cs="宋体"/>
          <w:spacing w:val="2"/>
          <w:sz w:val="20"/>
          <w:szCs w:val="20"/>
        </w:rPr>
        <w:t xml:space="preserve">                                                          日期：     年    月     日</w:t>
      </w:r>
    </w:p>
    <w:p w14:paraId="5389A66F">
      <w:pPr>
        <w:spacing w:line="227" w:lineRule="auto"/>
        <w:rPr>
          <w:rFonts w:ascii="宋体" w:hAnsi="宋体" w:eastAsia="宋体" w:cs="宋体"/>
          <w:sz w:val="20"/>
          <w:szCs w:val="20"/>
        </w:rPr>
        <w:sectPr>
          <w:footerReference r:id="rId130" w:type="default"/>
          <w:pgSz w:w="16840" w:h="11907"/>
          <w:pgMar w:top="400" w:right="1475" w:bottom="1036" w:left="1588" w:header="0" w:footer="787" w:gutter="0"/>
          <w:cols w:space="720" w:num="1"/>
        </w:sectPr>
      </w:pPr>
    </w:p>
    <w:p w14:paraId="0C0009B9">
      <w:pPr>
        <w:spacing w:line="289" w:lineRule="auto"/>
        <w:rPr>
          <w:rFonts w:ascii="Arial"/>
          <w:sz w:val="21"/>
        </w:rPr>
      </w:pPr>
    </w:p>
    <w:p w14:paraId="354DCF89">
      <w:pPr>
        <w:spacing w:line="290" w:lineRule="auto"/>
        <w:rPr>
          <w:rFonts w:ascii="Arial"/>
          <w:sz w:val="21"/>
        </w:rPr>
      </w:pPr>
    </w:p>
    <w:p w14:paraId="250218FC">
      <w:pPr>
        <w:spacing w:line="290" w:lineRule="auto"/>
        <w:rPr>
          <w:rFonts w:ascii="Arial"/>
          <w:sz w:val="21"/>
        </w:rPr>
      </w:pPr>
    </w:p>
    <w:p w14:paraId="79088A24">
      <w:pPr>
        <w:spacing w:line="290" w:lineRule="auto"/>
        <w:rPr>
          <w:rFonts w:ascii="Arial"/>
          <w:sz w:val="21"/>
        </w:rPr>
      </w:pPr>
    </w:p>
    <w:p w14:paraId="4C4598D6">
      <w:pPr>
        <w:pStyle w:val="2"/>
        <w:spacing w:before="78" w:line="221" w:lineRule="auto"/>
        <w:ind w:left="135"/>
        <w:rPr>
          <w:sz w:val="24"/>
          <w:szCs w:val="24"/>
        </w:rPr>
      </w:pPr>
      <w:bookmarkStart w:id="186" w:name="bookmark167"/>
      <w:bookmarkEnd w:id="186"/>
      <w:r>
        <w:rPr>
          <w:spacing w:val="-4"/>
          <w:sz w:val="24"/>
          <w:szCs w:val="24"/>
        </w:rPr>
        <w:t>附表</w:t>
      </w:r>
      <w:r>
        <w:rPr>
          <w:spacing w:val="-54"/>
          <w:sz w:val="24"/>
          <w:szCs w:val="24"/>
        </w:rPr>
        <w:t xml:space="preserve"> </w:t>
      </w:r>
      <w:r>
        <w:rPr>
          <w:rFonts w:ascii="Times New Roman" w:hAnsi="Times New Roman" w:eastAsia="Times New Roman" w:cs="Times New Roman"/>
          <w:spacing w:val="-4"/>
          <w:sz w:val="24"/>
          <w:szCs w:val="24"/>
        </w:rPr>
        <w:t>A-5</w:t>
      </w:r>
      <w:r>
        <w:rPr>
          <w:rFonts w:ascii="Times New Roman" w:hAnsi="Times New Roman" w:eastAsia="Times New Roman" w:cs="Times New Roman"/>
          <w:spacing w:val="-15"/>
          <w:sz w:val="24"/>
          <w:szCs w:val="24"/>
        </w:rPr>
        <w:t xml:space="preserve"> </w:t>
      </w:r>
      <w:r>
        <w:rPr>
          <w:spacing w:val="-4"/>
          <w:sz w:val="24"/>
          <w:szCs w:val="24"/>
        </w:rPr>
        <w:t>：资格审查更新资料评审记录表</w:t>
      </w:r>
    </w:p>
    <w:p w14:paraId="02FEB06B">
      <w:pPr>
        <w:pStyle w:val="2"/>
        <w:spacing w:before="41" w:line="404" w:lineRule="auto"/>
        <w:ind w:left="124" w:right="5908" w:firstLine="5803"/>
        <w:rPr>
          <w:rFonts w:ascii="宋体" w:hAnsi="宋体" w:eastAsia="宋体" w:cs="宋体"/>
          <w:sz w:val="20"/>
          <w:szCs w:val="20"/>
        </w:rPr>
      </w:pPr>
      <w:r>
        <w:rPr>
          <w:spacing w:val="-3"/>
          <w:sz w:val="28"/>
          <w:szCs w:val="28"/>
        </w:rPr>
        <w:t>资格评审记录表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49C5AC7C">
      <w:pPr>
        <w:spacing w:line="21"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1"/>
        <w:gridCol w:w="1854"/>
        <w:gridCol w:w="2416"/>
        <w:gridCol w:w="983"/>
        <w:gridCol w:w="985"/>
        <w:gridCol w:w="985"/>
        <w:gridCol w:w="986"/>
        <w:gridCol w:w="983"/>
        <w:gridCol w:w="986"/>
        <w:gridCol w:w="986"/>
        <w:gridCol w:w="986"/>
        <w:gridCol w:w="990"/>
      </w:tblGrid>
      <w:tr w14:paraId="5BE99B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631" w:type="dxa"/>
            <w:vMerge w:val="restart"/>
            <w:tcBorders>
              <w:bottom w:val="nil"/>
            </w:tcBorders>
            <w:textDirection w:val="tbRlV"/>
            <w:vAlign w:val="top"/>
          </w:tcPr>
          <w:p w14:paraId="3D06DA8C">
            <w:pPr>
              <w:pStyle w:val="6"/>
              <w:spacing w:before="209" w:line="218" w:lineRule="auto"/>
              <w:ind w:left="322"/>
            </w:pPr>
            <w:r>
              <w:rPr>
                <w:spacing w:val="8"/>
              </w:rPr>
              <w:t>序</w:t>
            </w:r>
            <w:r>
              <w:rPr>
                <w:spacing w:val="-38"/>
              </w:rPr>
              <w:t xml:space="preserve"> </w:t>
            </w:r>
            <w:r>
              <w:rPr>
                <w:spacing w:val="8"/>
              </w:rPr>
              <w:t>号</w:t>
            </w:r>
          </w:p>
        </w:tc>
        <w:tc>
          <w:tcPr>
            <w:tcW w:w="1854" w:type="dxa"/>
            <w:vMerge w:val="restart"/>
            <w:tcBorders>
              <w:bottom w:val="nil"/>
            </w:tcBorders>
            <w:vAlign w:val="top"/>
          </w:tcPr>
          <w:p w14:paraId="795A42A3">
            <w:pPr>
              <w:spacing w:line="256" w:lineRule="auto"/>
              <w:rPr>
                <w:rFonts w:ascii="Arial"/>
                <w:sz w:val="21"/>
              </w:rPr>
            </w:pPr>
          </w:p>
          <w:p w14:paraId="71AA1262">
            <w:pPr>
              <w:pStyle w:val="6"/>
              <w:spacing w:before="65" w:line="252" w:lineRule="auto"/>
              <w:ind w:left="512" w:right="509" w:firstLine="6"/>
            </w:pPr>
            <w:r>
              <w:rPr>
                <w:spacing w:val="5"/>
              </w:rPr>
              <w:t>资格审查</w:t>
            </w:r>
            <w:r>
              <w:rPr>
                <w:spacing w:val="6"/>
              </w:rPr>
              <w:t>更新资料</w:t>
            </w:r>
          </w:p>
        </w:tc>
        <w:tc>
          <w:tcPr>
            <w:tcW w:w="2416" w:type="dxa"/>
            <w:vMerge w:val="restart"/>
            <w:tcBorders>
              <w:bottom w:val="nil"/>
            </w:tcBorders>
            <w:vAlign w:val="top"/>
          </w:tcPr>
          <w:p w14:paraId="7AA6E6C9">
            <w:pPr>
              <w:pStyle w:val="6"/>
              <w:spacing w:before="185" w:line="228" w:lineRule="auto"/>
              <w:ind w:left="582"/>
            </w:pPr>
            <w:r>
              <w:rPr>
                <w:spacing w:val="8"/>
              </w:rPr>
              <w:t>评审合格标准</w:t>
            </w:r>
          </w:p>
          <w:p w14:paraId="285EC4B8">
            <w:pPr>
              <w:pStyle w:val="6"/>
              <w:spacing w:before="24" w:line="228" w:lineRule="auto"/>
              <w:ind w:left="173"/>
            </w:pPr>
            <w:r>
              <w:rPr>
                <w:spacing w:val="7"/>
              </w:rPr>
              <w:t>（或原评审内容评分标</w:t>
            </w:r>
          </w:p>
          <w:p w14:paraId="5317649E">
            <w:pPr>
              <w:pStyle w:val="6"/>
              <w:spacing w:before="26" w:line="228" w:lineRule="auto"/>
              <w:ind w:left="688"/>
            </w:pPr>
            <w:r>
              <w:rPr>
                <w:spacing w:val="5"/>
              </w:rPr>
              <w:t>准及得分）</w:t>
            </w:r>
          </w:p>
        </w:tc>
        <w:tc>
          <w:tcPr>
            <w:tcW w:w="8870" w:type="dxa"/>
            <w:gridSpan w:val="9"/>
            <w:vAlign w:val="top"/>
          </w:tcPr>
          <w:p w14:paraId="6DCD5421">
            <w:pPr>
              <w:pStyle w:val="6"/>
              <w:spacing w:before="175" w:line="228" w:lineRule="auto"/>
              <w:ind w:left="3392"/>
            </w:pPr>
            <w:r>
              <w:rPr>
                <w:spacing w:val="8"/>
              </w:rPr>
              <w:t>投标人名称及评审意见</w:t>
            </w:r>
          </w:p>
        </w:tc>
      </w:tr>
      <w:tr w14:paraId="20DDA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631" w:type="dxa"/>
            <w:vMerge w:val="continue"/>
            <w:tcBorders>
              <w:top w:val="nil"/>
            </w:tcBorders>
            <w:textDirection w:val="tbRlV"/>
            <w:vAlign w:val="top"/>
          </w:tcPr>
          <w:p w14:paraId="1BC17BD2">
            <w:pPr>
              <w:rPr>
                <w:rFonts w:ascii="Arial"/>
                <w:sz w:val="21"/>
              </w:rPr>
            </w:pPr>
          </w:p>
        </w:tc>
        <w:tc>
          <w:tcPr>
            <w:tcW w:w="1854" w:type="dxa"/>
            <w:vMerge w:val="continue"/>
            <w:tcBorders>
              <w:top w:val="nil"/>
            </w:tcBorders>
            <w:vAlign w:val="top"/>
          </w:tcPr>
          <w:p w14:paraId="312A652B">
            <w:pPr>
              <w:rPr>
                <w:rFonts w:ascii="Arial"/>
                <w:sz w:val="21"/>
              </w:rPr>
            </w:pPr>
          </w:p>
        </w:tc>
        <w:tc>
          <w:tcPr>
            <w:tcW w:w="2416" w:type="dxa"/>
            <w:vMerge w:val="continue"/>
            <w:tcBorders>
              <w:top w:val="nil"/>
            </w:tcBorders>
            <w:vAlign w:val="top"/>
          </w:tcPr>
          <w:p w14:paraId="50C9123A">
            <w:pPr>
              <w:rPr>
                <w:rFonts w:ascii="Arial"/>
                <w:sz w:val="21"/>
              </w:rPr>
            </w:pPr>
          </w:p>
        </w:tc>
        <w:tc>
          <w:tcPr>
            <w:tcW w:w="983" w:type="dxa"/>
            <w:vAlign w:val="top"/>
          </w:tcPr>
          <w:p w14:paraId="509B114F">
            <w:pPr>
              <w:rPr>
                <w:rFonts w:ascii="Arial"/>
                <w:sz w:val="21"/>
              </w:rPr>
            </w:pPr>
          </w:p>
        </w:tc>
        <w:tc>
          <w:tcPr>
            <w:tcW w:w="985" w:type="dxa"/>
            <w:vAlign w:val="top"/>
          </w:tcPr>
          <w:p w14:paraId="537C581F">
            <w:pPr>
              <w:rPr>
                <w:rFonts w:ascii="Arial"/>
                <w:sz w:val="21"/>
              </w:rPr>
            </w:pPr>
          </w:p>
        </w:tc>
        <w:tc>
          <w:tcPr>
            <w:tcW w:w="985" w:type="dxa"/>
            <w:vAlign w:val="top"/>
          </w:tcPr>
          <w:p w14:paraId="6FCCAF07">
            <w:pPr>
              <w:rPr>
                <w:rFonts w:ascii="Arial"/>
                <w:sz w:val="21"/>
              </w:rPr>
            </w:pPr>
          </w:p>
        </w:tc>
        <w:tc>
          <w:tcPr>
            <w:tcW w:w="986" w:type="dxa"/>
            <w:vAlign w:val="top"/>
          </w:tcPr>
          <w:p w14:paraId="37FBDB11">
            <w:pPr>
              <w:rPr>
                <w:rFonts w:ascii="Arial"/>
                <w:sz w:val="21"/>
              </w:rPr>
            </w:pPr>
          </w:p>
        </w:tc>
        <w:tc>
          <w:tcPr>
            <w:tcW w:w="983" w:type="dxa"/>
            <w:vAlign w:val="top"/>
          </w:tcPr>
          <w:p w14:paraId="0BD15409">
            <w:pPr>
              <w:rPr>
                <w:rFonts w:ascii="Arial"/>
                <w:sz w:val="21"/>
              </w:rPr>
            </w:pPr>
          </w:p>
        </w:tc>
        <w:tc>
          <w:tcPr>
            <w:tcW w:w="986" w:type="dxa"/>
            <w:vAlign w:val="top"/>
          </w:tcPr>
          <w:p w14:paraId="56B625EF">
            <w:pPr>
              <w:rPr>
                <w:rFonts w:ascii="Arial"/>
                <w:sz w:val="21"/>
              </w:rPr>
            </w:pPr>
          </w:p>
        </w:tc>
        <w:tc>
          <w:tcPr>
            <w:tcW w:w="986" w:type="dxa"/>
            <w:vAlign w:val="top"/>
          </w:tcPr>
          <w:p w14:paraId="6C6F119E">
            <w:pPr>
              <w:rPr>
                <w:rFonts w:ascii="Arial"/>
                <w:sz w:val="21"/>
              </w:rPr>
            </w:pPr>
          </w:p>
        </w:tc>
        <w:tc>
          <w:tcPr>
            <w:tcW w:w="986" w:type="dxa"/>
            <w:vAlign w:val="top"/>
          </w:tcPr>
          <w:p w14:paraId="38326B6A">
            <w:pPr>
              <w:rPr>
                <w:rFonts w:ascii="Arial"/>
                <w:sz w:val="21"/>
              </w:rPr>
            </w:pPr>
          </w:p>
        </w:tc>
        <w:tc>
          <w:tcPr>
            <w:tcW w:w="990" w:type="dxa"/>
            <w:vAlign w:val="top"/>
          </w:tcPr>
          <w:p w14:paraId="5FD3A90F">
            <w:pPr>
              <w:rPr>
                <w:rFonts w:ascii="Arial"/>
                <w:sz w:val="21"/>
              </w:rPr>
            </w:pPr>
          </w:p>
        </w:tc>
      </w:tr>
      <w:tr w14:paraId="31693F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631" w:type="dxa"/>
            <w:vAlign w:val="top"/>
          </w:tcPr>
          <w:p w14:paraId="62B09355">
            <w:pPr>
              <w:spacing w:before="218" w:line="275" w:lineRule="exact"/>
              <w:ind w:left="278"/>
              <w:rPr>
                <w:rFonts w:ascii="黑体" w:hAnsi="黑体" w:eastAsia="黑体" w:cs="黑体"/>
                <w:sz w:val="20"/>
                <w:szCs w:val="20"/>
              </w:rPr>
            </w:pPr>
            <w:r>
              <w:rPr>
                <w:rFonts w:ascii="黑体" w:hAnsi="黑体" w:eastAsia="黑体" w:cs="黑体"/>
                <w:position w:val="1"/>
                <w:sz w:val="20"/>
                <w:szCs w:val="20"/>
              </w:rPr>
              <w:t>1</w:t>
            </w:r>
          </w:p>
        </w:tc>
        <w:tc>
          <w:tcPr>
            <w:tcW w:w="1854" w:type="dxa"/>
            <w:vAlign w:val="top"/>
          </w:tcPr>
          <w:p w14:paraId="385EC789">
            <w:pPr>
              <w:rPr>
                <w:rFonts w:ascii="Arial"/>
                <w:sz w:val="21"/>
              </w:rPr>
            </w:pPr>
          </w:p>
        </w:tc>
        <w:tc>
          <w:tcPr>
            <w:tcW w:w="2416" w:type="dxa"/>
            <w:vAlign w:val="top"/>
          </w:tcPr>
          <w:p w14:paraId="0CB56E16">
            <w:pPr>
              <w:rPr>
                <w:rFonts w:ascii="Arial"/>
                <w:sz w:val="21"/>
              </w:rPr>
            </w:pPr>
          </w:p>
        </w:tc>
        <w:tc>
          <w:tcPr>
            <w:tcW w:w="983" w:type="dxa"/>
            <w:vAlign w:val="top"/>
          </w:tcPr>
          <w:p w14:paraId="540B410A">
            <w:pPr>
              <w:rPr>
                <w:rFonts w:ascii="Arial"/>
                <w:sz w:val="21"/>
              </w:rPr>
            </w:pPr>
          </w:p>
        </w:tc>
        <w:tc>
          <w:tcPr>
            <w:tcW w:w="985" w:type="dxa"/>
            <w:vAlign w:val="top"/>
          </w:tcPr>
          <w:p w14:paraId="4C4750F2">
            <w:pPr>
              <w:rPr>
                <w:rFonts w:ascii="Arial"/>
                <w:sz w:val="21"/>
              </w:rPr>
            </w:pPr>
          </w:p>
        </w:tc>
        <w:tc>
          <w:tcPr>
            <w:tcW w:w="985" w:type="dxa"/>
            <w:vAlign w:val="top"/>
          </w:tcPr>
          <w:p w14:paraId="6F8109CE">
            <w:pPr>
              <w:rPr>
                <w:rFonts w:ascii="Arial"/>
                <w:sz w:val="21"/>
              </w:rPr>
            </w:pPr>
          </w:p>
        </w:tc>
        <w:tc>
          <w:tcPr>
            <w:tcW w:w="986" w:type="dxa"/>
            <w:vAlign w:val="top"/>
          </w:tcPr>
          <w:p w14:paraId="25B66A34">
            <w:pPr>
              <w:rPr>
                <w:rFonts w:ascii="Arial"/>
                <w:sz w:val="21"/>
              </w:rPr>
            </w:pPr>
          </w:p>
        </w:tc>
        <w:tc>
          <w:tcPr>
            <w:tcW w:w="983" w:type="dxa"/>
            <w:vAlign w:val="top"/>
          </w:tcPr>
          <w:p w14:paraId="71CC4B98">
            <w:pPr>
              <w:rPr>
                <w:rFonts w:ascii="Arial"/>
                <w:sz w:val="21"/>
              </w:rPr>
            </w:pPr>
          </w:p>
        </w:tc>
        <w:tc>
          <w:tcPr>
            <w:tcW w:w="986" w:type="dxa"/>
            <w:vAlign w:val="top"/>
          </w:tcPr>
          <w:p w14:paraId="51DCC52F">
            <w:pPr>
              <w:rPr>
                <w:rFonts w:ascii="Arial"/>
                <w:sz w:val="21"/>
              </w:rPr>
            </w:pPr>
          </w:p>
        </w:tc>
        <w:tc>
          <w:tcPr>
            <w:tcW w:w="986" w:type="dxa"/>
            <w:vAlign w:val="top"/>
          </w:tcPr>
          <w:p w14:paraId="7D4A6D7F">
            <w:pPr>
              <w:rPr>
                <w:rFonts w:ascii="Arial"/>
                <w:sz w:val="21"/>
              </w:rPr>
            </w:pPr>
          </w:p>
        </w:tc>
        <w:tc>
          <w:tcPr>
            <w:tcW w:w="986" w:type="dxa"/>
            <w:vAlign w:val="top"/>
          </w:tcPr>
          <w:p w14:paraId="2AD661BF">
            <w:pPr>
              <w:rPr>
                <w:rFonts w:ascii="Arial"/>
                <w:sz w:val="21"/>
              </w:rPr>
            </w:pPr>
          </w:p>
        </w:tc>
        <w:tc>
          <w:tcPr>
            <w:tcW w:w="990" w:type="dxa"/>
            <w:vAlign w:val="top"/>
          </w:tcPr>
          <w:p w14:paraId="7E7F1F57">
            <w:pPr>
              <w:rPr>
                <w:rFonts w:ascii="Arial"/>
                <w:sz w:val="21"/>
              </w:rPr>
            </w:pPr>
          </w:p>
        </w:tc>
      </w:tr>
      <w:tr w14:paraId="2CDAE2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631" w:type="dxa"/>
            <w:vAlign w:val="top"/>
          </w:tcPr>
          <w:p w14:paraId="22068CE1">
            <w:pPr>
              <w:spacing w:before="219" w:line="275" w:lineRule="exact"/>
              <w:ind w:left="266"/>
              <w:rPr>
                <w:rFonts w:ascii="黑体" w:hAnsi="黑体" w:eastAsia="黑体" w:cs="黑体"/>
                <w:sz w:val="20"/>
                <w:szCs w:val="20"/>
              </w:rPr>
            </w:pPr>
            <w:r>
              <w:rPr>
                <w:rFonts w:ascii="黑体" w:hAnsi="黑体" w:eastAsia="黑体" w:cs="黑体"/>
                <w:position w:val="1"/>
                <w:sz w:val="20"/>
                <w:szCs w:val="20"/>
              </w:rPr>
              <w:t>2</w:t>
            </w:r>
          </w:p>
        </w:tc>
        <w:tc>
          <w:tcPr>
            <w:tcW w:w="1854" w:type="dxa"/>
            <w:vAlign w:val="top"/>
          </w:tcPr>
          <w:p w14:paraId="57B5C97A">
            <w:pPr>
              <w:rPr>
                <w:rFonts w:ascii="Arial"/>
                <w:sz w:val="21"/>
              </w:rPr>
            </w:pPr>
          </w:p>
        </w:tc>
        <w:tc>
          <w:tcPr>
            <w:tcW w:w="2416" w:type="dxa"/>
            <w:vAlign w:val="top"/>
          </w:tcPr>
          <w:p w14:paraId="2014E611">
            <w:pPr>
              <w:rPr>
                <w:rFonts w:ascii="Arial"/>
                <w:sz w:val="21"/>
              </w:rPr>
            </w:pPr>
          </w:p>
        </w:tc>
        <w:tc>
          <w:tcPr>
            <w:tcW w:w="983" w:type="dxa"/>
            <w:vAlign w:val="top"/>
          </w:tcPr>
          <w:p w14:paraId="49CFC6DE">
            <w:pPr>
              <w:rPr>
                <w:rFonts w:ascii="Arial"/>
                <w:sz w:val="21"/>
              </w:rPr>
            </w:pPr>
          </w:p>
        </w:tc>
        <w:tc>
          <w:tcPr>
            <w:tcW w:w="985" w:type="dxa"/>
            <w:vAlign w:val="top"/>
          </w:tcPr>
          <w:p w14:paraId="5D5690E6">
            <w:pPr>
              <w:rPr>
                <w:rFonts w:ascii="Arial"/>
                <w:sz w:val="21"/>
              </w:rPr>
            </w:pPr>
          </w:p>
        </w:tc>
        <w:tc>
          <w:tcPr>
            <w:tcW w:w="985" w:type="dxa"/>
            <w:vAlign w:val="top"/>
          </w:tcPr>
          <w:p w14:paraId="5502B750">
            <w:pPr>
              <w:rPr>
                <w:rFonts w:ascii="Arial"/>
                <w:sz w:val="21"/>
              </w:rPr>
            </w:pPr>
          </w:p>
        </w:tc>
        <w:tc>
          <w:tcPr>
            <w:tcW w:w="986" w:type="dxa"/>
            <w:vAlign w:val="top"/>
          </w:tcPr>
          <w:p w14:paraId="08FE08F3">
            <w:pPr>
              <w:rPr>
                <w:rFonts w:ascii="Arial"/>
                <w:sz w:val="21"/>
              </w:rPr>
            </w:pPr>
          </w:p>
        </w:tc>
        <w:tc>
          <w:tcPr>
            <w:tcW w:w="983" w:type="dxa"/>
            <w:vAlign w:val="top"/>
          </w:tcPr>
          <w:p w14:paraId="6143C6DB">
            <w:pPr>
              <w:rPr>
                <w:rFonts w:ascii="Arial"/>
                <w:sz w:val="21"/>
              </w:rPr>
            </w:pPr>
          </w:p>
        </w:tc>
        <w:tc>
          <w:tcPr>
            <w:tcW w:w="986" w:type="dxa"/>
            <w:vAlign w:val="top"/>
          </w:tcPr>
          <w:p w14:paraId="353C7499">
            <w:pPr>
              <w:rPr>
                <w:rFonts w:ascii="Arial"/>
                <w:sz w:val="21"/>
              </w:rPr>
            </w:pPr>
          </w:p>
        </w:tc>
        <w:tc>
          <w:tcPr>
            <w:tcW w:w="986" w:type="dxa"/>
            <w:vAlign w:val="top"/>
          </w:tcPr>
          <w:p w14:paraId="53B377A4">
            <w:pPr>
              <w:rPr>
                <w:rFonts w:ascii="Arial"/>
                <w:sz w:val="21"/>
              </w:rPr>
            </w:pPr>
          </w:p>
        </w:tc>
        <w:tc>
          <w:tcPr>
            <w:tcW w:w="986" w:type="dxa"/>
            <w:vAlign w:val="top"/>
          </w:tcPr>
          <w:p w14:paraId="18C423D6">
            <w:pPr>
              <w:rPr>
                <w:rFonts w:ascii="Arial"/>
                <w:sz w:val="21"/>
              </w:rPr>
            </w:pPr>
          </w:p>
        </w:tc>
        <w:tc>
          <w:tcPr>
            <w:tcW w:w="990" w:type="dxa"/>
            <w:vAlign w:val="top"/>
          </w:tcPr>
          <w:p w14:paraId="41805C42">
            <w:pPr>
              <w:rPr>
                <w:rFonts w:ascii="Arial"/>
                <w:sz w:val="21"/>
              </w:rPr>
            </w:pPr>
          </w:p>
        </w:tc>
      </w:tr>
      <w:tr w14:paraId="6F16A1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631" w:type="dxa"/>
            <w:vAlign w:val="top"/>
          </w:tcPr>
          <w:p w14:paraId="7E07E0EA">
            <w:pPr>
              <w:spacing w:before="221" w:line="272" w:lineRule="exact"/>
              <w:ind w:left="267"/>
              <w:rPr>
                <w:rFonts w:ascii="黑体" w:hAnsi="黑体" w:eastAsia="黑体" w:cs="黑体"/>
                <w:sz w:val="20"/>
                <w:szCs w:val="20"/>
              </w:rPr>
            </w:pPr>
            <w:r>
              <w:rPr>
                <w:rFonts w:ascii="黑体" w:hAnsi="黑体" w:eastAsia="黑体" w:cs="黑体"/>
                <w:position w:val="1"/>
                <w:sz w:val="20"/>
                <w:szCs w:val="20"/>
              </w:rPr>
              <w:t>3</w:t>
            </w:r>
          </w:p>
        </w:tc>
        <w:tc>
          <w:tcPr>
            <w:tcW w:w="1854" w:type="dxa"/>
            <w:vAlign w:val="top"/>
          </w:tcPr>
          <w:p w14:paraId="5E9A2257">
            <w:pPr>
              <w:rPr>
                <w:rFonts w:ascii="Arial"/>
                <w:sz w:val="21"/>
              </w:rPr>
            </w:pPr>
          </w:p>
        </w:tc>
        <w:tc>
          <w:tcPr>
            <w:tcW w:w="2416" w:type="dxa"/>
            <w:vAlign w:val="top"/>
          </w:tcPr>
          <w:p w14:paraId="01DC8D54">
            <w:pPr>
              <w:rPr>
                <w:rFonts w:ascii="Arial"/>
                <w:sz w:val="21"/>
              </w:rPr>
            </w:pPr>
          </w:p>
        </w:tc>
        <w:tc>
          <w:tcPr>
            <w:tcW w:w="983" w:type="dxa"/>
            <w:vAlign w:val="top"/>
          </w:tcPr>
          <w:p w14:paraId="337BB416">
            <w:pPr>
              <w:rPr>
                <w:rFonts w:ascii="Arial"/>
                <w:sz w:val="21"/>
              </w:rPr>
            </w:pPr>
          </w:p>
        </w:tc>
        <w:tc>
          <w:tcPr>
            <w:tcW w:w="985" w:type="dxa"/>
            <w:vAlign w:val="top"/>
          </w:tcPr>
          <w:p w14:paraId="7487AD73">
            <w:pPr>
              <w:rPr>
                <w:rFonts w:ascii="Arial"/>
                <w:sz w:val="21"/>
              </w:rPr>
            </w:pPr>
          </w:p>
        </w:tc>
        <w:tc>
          <w:tcPr>
            <w:tcW w:w="985" w:type="dxa"/>
            <w:vAlign w:val="top"/>
          </w:tcPr>
          <w:p w14:paraId="5700767B">
            <w:pPr>
              <w:rPr>
                <w:rFonts w:ascii="Arial"/>
                <w:sz w:val="21"/>
              </w:rPr>
            </w:pPr>
          </w:p>
        </w:tc>
        <w:tc>
          <w:tcPr>
            <w:tcW w:w="986" w:type="dxa"/>
            <w:vAlign w:val="top"/>
          </w:tcPr>
          <w:p w14:paraId="24FE3127">
            <w:pPr>
              <w:rPr>
                <w:rFonts w:ascii="Arial"/>
                <w:sz w:val="21"/>
              </w:rPr>
            </w:pPr>
          </w:p>
        </w:tc>
        <w:tc>
          <w:tcPr>
            <w:tcW w:w="983" w:type="dxa"/>
            <w:vAlign w:val="top"/>
          </w:tcPr>
          <w:p w14:paraId="51575280">
            <w:pPr>
              <w:rPr>
                <w:rFonts w:ascii="Arial"/>
                <w:sz w:val="21"/>
              </w:rPr>
            </w:pPr>
          </w:p>
        </w:tc>
        <w:tc>
          <w:tcPr>
            <w:tcW w:w="986" w:type="dxa"/>
            <w:vAlign w:val="top"/>
          </w:tcPr>
          <w:p w14:paraId="2ADF9E7F">
            <w:pPr>
              <w:rPr>
                <w:rFonts w:ascii="Arial"/>
                <w:sz w:val="21"/>
              </w:rPr>
            </w:pPr>
          </w:p>
        </w:tc>
        <w:tc>
          <w:tcPr>
            <w:tcW w:w="986" w:type="dxa"/>
            <w:vAlign w:val="top"/>
          </w:tcPr>
          <w:p w14:paraId="151E22FE">
            <w:pPr>
              <w:rPr>
                <w:rFonts w:ascii="Arial"/>
                <w:sz w:val="21"/>
              </w:rPr>
            </w:pPr>
          </w:p>
        </w:tc>
        <w:tc>
          <w:tcPr>
            <w:tcW w:w="986" w:type="dxa"/>
            <w:vAlign w:val="top"/>
          </w:tcPr>
          <w:p w14:paraId="6DCDFA5F">
            <w:pPr>
              <w:rPr>
                <w:rFonts w:ascii="Arial"/>
                <w:sz w:val="21"/>
              </w:rPr>
            </w:pPr>
          </w:p>
        </w:tc>
        <w:tc>
          <w:tcPr>
            <w:tcW w:w="990" w:type="dxa"/>
            <w:vAlign w:val="top"/>
          </w:tcPr>
          <w:p w14:paraId="51C9BA92">
            <w:pPr>
              <w:rPr>
                <w:rFonts w:ascii="Arial"/>
                <w:sz w:val="21"/>
              </w:rPr>
            </w:pPr>
          </w:p>
        </w:tc>
      </w:tr>
      <w:tr w14:paraId="191186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631" w:type="dxa"/>
            <w:vAlign w:val="top"/>
          </w:tcPr>
          <w:p w14:paraId="462984E1">
            <w:pPr>
              <w:spacing w:before="222" w:line="275" w:lineRule="exact"/>
              <w:ind w:left="262"/>
              <w:rPr>
                <w:rFonts w:ascii="黑体" w:hAnsi="黑体" w:eastAsia="黑体" w:cs="黑体"/>
                <w:sz w:val="20"/>
                <w:szCs w:val="20"/>
              </w:rPr>
            </w:pPr>
            <w:r>
              <w:rPr>
                <w:rFonts w:ascii="黑体" w:hAnsi="黑体" w:eastAsia="黑体" w:cs="黑体"/>
                <w:spacing w:val="1"/>
                <w:position w:val="1"/>
                <w:sz w:val="20"/>
                <w:szCs w:val="20"/>
              </w:rPr>
              <w:t>4</w:t>
            </w:r>
          </w:p>
        </w:tc>
        <w:tc>
          <w:tcPr>
            <w:tcW w:w="1854" w:type="dxa"/>
            <w:vAlign w:val="top"/>
          </w:tcPr>
          <w:p w14:paraId="002547DF">
            <w:pPr>
              <w:rPr>
                <w:rFonts w:ascii="Arial"/>
                <w:sz w:val="21"/>
              </w:rPr>
            </w:pPr>
          </w:p>
        </w:tc>
        <w:tc>
          <w:tcPr>
            <w:tcW w:w="2416" w:type="dxa"/>
            <w:vAlign w:val="top"/>
          </w:tcPr>
          <w:p w14:paraId="4462F2B8">
            <w:pPr>
              <w:rPr>
                <w:rFonts w:ascii="Arial"/>
                <w:sz w:val="21"/>
              </w:rPr>
            </w:pPr>
          </w:p>
        </w:tc>
        <w:tc>
          <w:tcPr>
            <w:tcW w:w="983" w:type="dxa"/>
            <w:vAlign w:val="top"/>
          </w:tcPr>
          <w:p w14:paraId="3AE9D352">
            <w:pPr>
              <w:rPr>
                <w:rFonts w:ascii="Arial"/>
                <w:sz w:val="21"/>
              </w:rPr>
            </w:pPr>
          </w:p>
        </w:tc>
        <w:tc>
          <w:tcPr>
            <w:tcW w:w="985" w:type="dxa"/>
            <w:vAlign w:val="top"/>
          </w:tcPr>
          <w:p w14:paraId="6651F13A">
            <w:pPr>
              <w:rPr>
                <w:rFonts w:ascii="Arial"/>
                <w:sz w:val="21"/>
              </w:rPr>
            </w:pPr>
          </w:p>
        </w:tc>
        <w:tc>
          <w:tcPr>
            <w:tcW w:w="985" w:type="dxa"/>
            <w:vAlign w:val="top"/>
          </w:tcPr>
          <w:p w14:paraId="789915B9">
            <w:pPr>
              <w:rPr>
                <w:rFonts w:ascii="Arial"/>
                <w:sz w:val="21"/>
              </w:rPr>
            </w:pPr>
          </w:p>
        </w:tc>
        <w:tc>
          <w:tcPr>
            <w:tcW w:w="986" w:type="dxa"/>
            <w:vAlign w:val="top"/>
          </w:tcPr>
          <w:p w14:paraId="347B9035">
            <w:pPr>
              <w:rPr>
                <w:rFonts w:ascii="Arial"/>
                <w:sz w:val="21"/>
              </w:rPr>
            </w:pPr>
          </w:p>
        </w:tc>
        <w:tc>
          <w:tcPr>
            <w:tcW w:w="983" w:type="dxa"/>
            <w:vAlign w:val="top"/>
          </w:tcPr>
          <w:p w14:paraId="7DEEFE7F">
            <w:pPr>
              <w:rPr>
                <w:rFonts w:ascii="Arial"/>
                <w:sz w:val="21"/>
              </w:rPr>
            </w:pPr>
          </w:p>
        </w:tc>
        <w:tc>
          <w:tcPr>
            <w:tcW w:w="986" w:type="dxa"/>
            <w:vAlign w:val="top"/>
          </w:tcPr>
          <w:p w14:paraId="6E83121A">
            <w:pPr>
              <w:rPr>
                <w:rFonts w:ascii="Arial"/>
                <w:sz w:val="21"/>
              </w:rPr>
            </w:pPr>
          </w:p>
        </w:tc>
        <w:tc>
          <w:tcPr>
            <w:tcW w:w="986" w:type="dxa"/>
            <w:vAlign w:val="top"/>
          </w:tcPr>
          <w:p w14:paraId="3D5239B5">
            <w:pPr>
              <w:rPr>
                <w:rFonts w:ascii="Arial"/>
                <w:sz w:val="21"/>
              </w:rPr>
            </w:pPr>
          </w:p>
        </w:tc>
        <w:tc>
          <w:tcPr>
            <w:tcW w:w="986" w:type="dxa"/>
            <w:vAlign w:val="top"/>
          </w:tcPr>
          <w:p w14:paraId="37ADE245">
            <w:pPr>
              <w:rPr>
                <w:rFonts w:ascii="Arial"/>
                <w:sz w:val="21"/>
              </w:rPr>
            </w:pPr>
          </w:p>
        </w:tc>
        <w:tc>
          <w:tcPr>
            <w:tcW w:w="990" w:type="dxa"/>
            <w:vAlign w:val="top"/>
          </w:tcPr>
          <w:p w14:paraId="719F17BB">
            <w:pPr>
              <w:rPr>
                <w:rFonts w:ascii="Arial"/>
                <w:sz w:val="21"/>
              </w:rPr>
            </w:pPr>
          </w:p>
        </w:tc>
      </w:tr>
      <w:tr w14:paraId="47164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631" w:type="dxa"/>
            <w:vAlign w:val="top"/>
          </w:tcPr>
          <w:p w14:paraId="2087062C">
            <w:pPr>
              <w:spacing w:before="223" w:line="272" w:lineRule="exact"/>
              <w:ind w:left="262"/>
              <w:rPr>
                <w:rFonts w:ascii="黑体" w:hAnsi="黑体" w:eastAsia="黑体" w:cs="黑体"/>
                <w:sz w:val="20"/>
                <w:szCs w:val="20"/>
              </w:rPr>
            </w:pPr>
            <w:r>
              <w:rPr>
                <w:rFonts w:ascii="黑体" w:hAnsi="黑体" w:eastAsia="黑体" w:cs="黑体"/>
                <w:spacing w:val="1"/>
                <w:position w:val="1"/>
                <w:sz w:val="20"/>
                <w:szCs w:val="20"/>
              </w:rPr>
              <w:t>5</w:t>
            </w:r>
          </w:p>
        </w:tc>
        <w:tc>
          <w:tcPr>
            <w:tcW w:w="1854" w:type="dxa"/>
            <w:vAlign w:val="top"/>
          </w:tcPr>
          <w:p w14:paraId="411D86D5">
            <w:pPr>
              <w:rPr>
                <w:rFonts w:ascii="Arial"/>
                <w:sz w:val="21"/>
              </w:rPr>
            </w:pPr>
          </w:p>
        </w:tc>
        <w:tc>
          <w:tcPr>
            <w:tcW w:w="2416" w:type="dxa"/>
            <w:vAlign w:val="top"/>
          </w:tcPr>
          <w:p w14:paraId="1AA23469">
            <w:pPr>
              <w:rPr>
                <w:rFonts w:ascii="Arial"/>
                <w:sz w:val="21"/>
              </w:rPr>
            </w:pPr>
          </w:p>
        </w:tc>
        <w:tc>
          <w:tcPr>
            <w:tcW w:w="983" w:type="dxa"/>
            <w:vAlign w:val="top"/>
          </w:tcPr>
          <w:p w14:paraId="04076C0A">
            <w:pPr>
              <w:rPr>
                <w:rFonts w:ascii="Arial"/>
                <w:sz w:val="21"/>
              </w:rPr>
            </w:pPr>
          </w:p>
        </w:tc>
        <w:tc>
          <w:tcPr>
            <w:tcW w:w="985" w:type="dxa"/>
            <w:vAlign w:val="top"/>
          </w:tcPr>
          <w:p w14:paraId="46E27338">
            <w:pPr>
              <w:rPr>
                <w:rFonts w:ascii="Arial"/>
                <w:sz w:val="21"/>
              </w:rPr>
            </w:pPr>
          </w:p>
        </w:tc>
        <w:tc>
          <w:tcPr>
            <w:tcW w:w="985" w:type="dxa"/>
            <w:vAlign w:val="top"/>
          </w:tcPr>
          <w:p w14:paraId="520B6B78">
            <w:pPr>
              <w:rPr>
                <w:rFonts w:ascii="Arial"/>
                <w:sz w:val="21"/>
              </w:rPr>
            </w:pPr>
          </w:p>
        </w:tc>
        <w:tc>
          <w:tcPr>
            <w:tcW w:w="986" w:type="dxa"/>
            <w:vAlign w:val="top"/>
          </w:tcPr>
          <w:p w14:paraId="0E5A24E8">
            <w:pPr>
              <w:rPr>
                <w:rFonts w:ascii="Arial"/>
                <w:sz w:val="21"/>
              </w:rPr>
            </w:pPr>
          </w:p>
        </w:tc>
        <w:tc>
          <w:tcPr>
            <w:tcW w:w="983" w:type="dxa"/>
            <w:vAlign w:val="top"/>
          </w:tcPr>
          <w:p w14:paraId="34CA55D6">
            <w:pPr>
              <w:rPr>
                <w:rFonts w:ascii="Arial"/>
                <w:sz w:val="21"/>
              </w:rPr>
            </w:pPr>
          </w:p>
        </w:tc>
        <w:tc>
          <w:tcPr>
            <w:tcW w:w="986" w:type="dxa"/>
            <w:vAlign w:val="top"/>
          </w:tcPr>
          <w:p w14:paraId="1275D91A">
            <w:pPr>
              <w:rPr>
                <w:rFonts w:ascii="Arial"/>
                <w:sz w:val="21"/>
              </w:rPr>
            </w:pPr>
          </w:p>
        </w:tc>
        <w:tc>
          <w:tcPr>
            <w:tcW w:w="986" w:type="dxa"/>
            <w:vAlign w:val="top"/>
          </w:tcPr>
          <w:p w14:paraId="487FBA7D">
            <w:pPr>
              <w:rPr>
                <w:rFonts w:ascii="Arial"/>
                <w:sz w:val="21"/>
              </w:rPr>
            </w:pPr>
          </w:p>
        </w:tc>
        <w:tc>
          <w:tcPr>
            <w:tcW w:w="986" w:type="dxa"/>
            <w:vAlign w:val="top"/>
          </w:tcPr>
          <w:p w14:paraId="6A0CB0FA">
            <w:pPr>
              <w:rPr>
                <w:rFonts w:ascii="Arial"/>
                <w:sz w:val="21"/>
              </w:rPr>
            </w:pPr>
          </w:p>
        </w:tc>
        <w:tc>
          <w:tcPr>
            <w:tcW w:w="990" w:type="dxa"/>
            <w:vAlign w:val="top"/>
          </w:tcPr>
          <w:p w14:paraId="3CD4FEA0">
            <w:pPr>
              <w:rPr>
                <w:rFonts w:ascii="Arial"/>
                <w:sz w:val="21"/>
              </w:rPr>
            </w:pPr>
          </w:p>
        </w:tc>
      </w:tr>
      <w:tr w14:paraId="20C48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4901" w:type="dxa"/>
            <w:gridSpan w:val="3"/>
            <w:vAlign w:val="top"/>
          </w:tcPr>
          <w:p w14:paraId="0B9D4E1E">
            <w:pPr>
              <w:pStyle w:val="6"/>
              <w:spacing w:before="220" w:line="228" w:lineRule="auto"/>
              <w:ind w:left="125"/>
            </w:pPr>
            <w:r>
              <w:rPr>
                <w:spacing w:val="8"/>
              </w:rPr>
              <w:t>资格审查更新资料评审结论</w:t>
            </w:r>
          </w:p>
        </w:tc>
        <w:tc>
          <w:tcPr>
            <w:tcW w:w="983" w:type="dxa"/>
            <w:vAlign w:val="top"/>
          </w:tcPr>
          <w:p w14:paraId="12A48C64">
            <w:pPr>
              <w:rPr>
                <w:rFonts w:ascii="Arial"/>
                <w:sz w:val="21"/>
              </w:rPr>
            </w:pPr>
          </w:p>
        </w:tc>
        <w:tc>
          <w:tcPr>
            <w:tcW w:w="985" w:type="dxa"/>
            <w:vAlign w:val="top"/>
          </w:tcPr>
          <w:p w14:paraId="606B8098">
            <w:pPr>
              <w:rPr>
                <w:rFonts w:ascii="Arial"/>
                <w:sz w:val="21"/>
              </w:rPr>
            </w:pPr>
          </w:p>
        </w:tc>
        <w:tc>
          <w:tcPr>
            <w:tcW w:w="985" w:type="dxa"/>
            <w:vAlign w:val="top"/>
          </w:tcPr>
          <w:p w14:paraId="7815D043">
            <w:pPr>
              <w:rPr>
                <w:rFonts w:ascii="Arial"/>
                <w:sz w:val="21"/>
              </w:rPr>
            </w:pPr>
          </w:p>
        </w:tc>
        <w:tc>
          <w:tcPr>
            <w:tcW w:w="986" w:type="dxa"/>
            <w:vAlign w:val="top"/>
          </w:tcPr>
          <w:p w14:paraId="1557807A">
            <w:pPr>
              <w:rPr>
                <w:rFonts w:ascii="Arial"/>
                <w:sz w:val="21"/>
              </w:rPr>
            </w:pPr>
          </w:p>
        </w:tc>
        <w:tc>
          <w:tcPr>
            <w:tcW w:w="983" w:type="dxa"/>
            <w:vAlign w:val="top"/>
          </w:tcPr>
          <w:p w14:paraId="069F228F">
            <w:pPr>
              <w:rPr>
                <w:rFonts w:ascii="Arial"/>
                <w:sz w:val="21"/>
              </w:rPr>
            </w:pPr>
          </w:p>
        </w:tc>
        <w:tc>
          <w:tcPr>
            <w:tcW w:w="986" w:type="dxa"/>
            <w:vAlign w:val="top"/>
          </w:tcPr>
          <w:p w14:paraId="32074B10">
            <w:pPr>
              <w:rPr>
                <w:rFonts w:ascii="Arial"/>
                <w:sz w:val="21"/>
              </w:rPr>
            </w:pPr>
          </w:p>
        </w:tc>
        <w:tc>
          <w:tcPr>
            <w:tcW w:w="986" w:type="dxa"/>
            <w:vAlign w:val="top"/>
          </w:tcPr>
          <w:p w14:paraId="593BFBA9">
            <w:pPr>
              <w:rPr>
                <w:rFonts w:ascii="Arial"/>
                <w:sz w:val="21"/>
              </w:rPr>
            </w:pPr>
          </w:p>
        </w:tc>
        <w:tc>
          <w:tcPr>
            <w:tcW w:w="986" w:type="dxa"/>
            <w:vAlign w:val="top"/>
          </w:tcPr>
          <w:p w14:paraId="4AF07C45">
            <w:pPr>
              <w:rPr>
                <w:rFonts w:ascii="Arial"/>
                <w:sz w:val="21"/>
              </w:rPr>
            </w:pPr>
          </w:p>
        </w:tc>
        <w:tc>
          <w:tcPr>
            <w:tcW w:w="990" w:type="dxa"/>
            <w:vAlign w:val="top"/>
          </w:tcPr>
          <w:p w14:paraId="64319AF2">
            <w:pPr>
              <w:rPr>
                <w:rFonts w:ascii="Arial"/>
                <w:sz w:val="21"/>
              </w:rPr>
            </w:pPr>
          </w:p>
        </w:tc>
      </w:tr>
    </w:tbl>
    <w:p w14:paraId="3AA4526F">
      <w:pPr>
        <w:spacing w:before="303" w:line="227" w:lineRule="auto"/>
        <w:ind w:left="120"/>
        <w:rPr>
          <w:rFonts w:ascii="宋体" w:hAnsi="宋体" w:eastAsia="宋体" w:cs="宋体"/>
          <w:sz w:val="20"/>
          <w:szCs w:val="20"/>
        </w:rPr>
      </w:pPr>
      <w:r>
        <w:rPr>
          <w:rFonts w:ascii="宋体" w:hAnsi="宋体" w:eastAsia="宋体" w:cs="宋体"/>
          <w:spacing w:val="3"/>
          <w:sz w:val="20"/>
          <w:szCs w:val="20"/>
        </w:rPr>
        <w:t xml:space="preserve">评标委员会全体成员签名：                                </w:t>
      </w:r>
      <w:r>
        <w:rPr>
          <w:rFonts w:ascii="宋体" w:hAnsi="宋体" w:eastAsia="宋体" w:cs="宋体"/>
          <w:spacing w:val="2"/>
          <w:sz w:val="20"/>
          <w:szCs w:val="20"/>
        </w:rPr>
        <w:t xml:space="preserve">                                                  日期：      年    月     日</w:t>
      </w:r>
    </w:p>
    <w:p w14:paraId="5E3DE221">
      <w:pPr>
        <w:spacing w:line="251" w:lineRule="auto"/>
        <w:rPr>
          <w:rFonts w:ascii="Arial"/>
          <w:sz w:val="21"/>
        </w:rPr>
      </w:pPr>
    </w:p>
    <w:p w14:paraId="33AAF2C2">
      <w:pPr>
        <w:spacing w:line="252" w:lineRule="auto"/>
        <w:rPr>
          <w:rFonts w:ascii="Arial"/>
          <w:sz w:val="21"/>
        </w:rPr>
      </w:pPr>
    </w:p>
    <w:p w14:paraId="5EF14340">
      <w:pPr>
        <w:spacing w:before="66" w:line="252" w:lineRule="auto"/>
        <w:ind w:left="760" w:right="115" w:hanging="636"/>
        <w:rPr>
          <w:rFonts w:ascii="宋体" w:hAnsi="宋体" w:eastAsia="宋体" w:cs="宋体"/>
          <w:sz w:val="20"/>
          <w:szCs w:val="20"/>
        </w:rPr>
      </w:pPr>
      <w:r>
        <w:rPr>
          <w:rFonts w:ascii="宋体" w:hAnsi="宋体" w:eastAsia="宋体" w:cs="宋体"/>
          <w:spacing w:val="8"/>
          <w:sz w:val="20"/>
          <w:szCs w:val="20"/>
        </w:rPr>
        <w:t>说明：评审委员会对投标人提交的资格审查文件更新文件进行评审，并在对应的评审意见一栏记录评审意见：通过资格评审标</w:t>
      </w:r>
      <w:r>
        <w:rPr>
          <w:rFonts w:ascii="宋体" w:hAnsi="宋体" w:eastAsia="宋体" w:cs="宋体"/>
          <w:spacing w:val="7"/>
          <w:sz w:val="20"/>
          <w:szCs w:val="20"/>
        </w:rPr>
        <w:t>注为√</w:t>
      </w:r>
      <w:r>
        <w:rPr>
          <w:rFonts w:ascii="宋体" w:hAnsi="宋体" w:eastAsia="宋体" w:cs="宋体"/>
          <w:spacing w:val="-74"/>
          <w:sz w:val="20"/>
          <w:szCs w:val="20"/>
        </w:rPr>
        <w:t xml:space="preserve"> </w:t>
      </w:r>
      <w:r>
        <w:rPr>
          <w:rFonts w:ascii="宋体" w:hAnsi="宋体" w:eastAsia="宋体" w:cs="宋体"/>
          <w:spacing w:val="7"/>
          <w:sz w:val="20"/>
          <w:szCs w:val="20"/>
        </w:rPr>
        <w:t>；未通过资格评</w:t>
      </w:r>
      <w:r>
        <w:rPr>
          <w:rFonts w:ascii="宋体" w:hAnsi="宋体" w:eastAsia="宋体" w:cs="宋体"/>
          <w:spacing w:val="8"/>
          <w:sz w:val="20"/>
          <w:szCs w:val="20"/>
        </w:rPr>
        <w:t>审标注为×</w:t>
      </w:r>
      <w:r>
        <w:rPr>
          <w:rFonts w:ascii="宋体" w:hAnsi="宋体" w:eastAsia="宋体" w:cs="宋体"/>
          <w:spacing w:val="-52"/>
          <w:sz w:val="20"/>
          <w:szCs w:val="20"/>
        </w:rPr>
        <w:t xml:space="preserve"> </w:t>
      </w:r>
      <w:r>
        <w:rPr>
          <w:rFonts w:ascii="宋体" w:hAnsi="宋体" w:eastAsia="宋体" w:cs="宋体"/>
          <w:spacing w:val="8"/>
          <w:sz w:val="20"/>
          <w:szCs w:val="20"/>
        </w:rPr>
        <w:t>。当资格预审评审时以评分方式进行审查时，同时填写对更新资料的评审分数。</w:t>
      </w:r>
    </w:p>
    <w:p w14:paraId="7D8D978C">
      <w:pPr>
        <w:spacing w:line="252" w:lineRule="auto"/>
        <w:rPr>
          <w:rFonts w:ascii="宋体" w:hAnsi="宋体" w:eastAsia="宋体" w:cs="宋体"/>
          <w:sz w:val="20"/>
          <w:szCs w:val="20"/>
        </w:rPr>
        <w:sectPr>
          <w:footerReference r:id="rId131" w:type="default"/>
          <w:pgSz w:w="16840" w:h="11907"/>
          <w:pgMar w:top="400" w:right="1475" w:bottom="1036" w:left="1588" w:header="0" w:footer="787" w:gutter="0"/>
          <w:cols w:space="720" w:num="1"/>
        </w:sectPr>
      </w:pPr>
    </w:p>
    <w:p w14:paraId="1B85039A">
      <w:pPr>
        <w:spacing w:line="289" w:lineRule="auto"/>
        <w:rPr>
          <w:rFonts w:ascii="Arial"/>
          <w:sz w:val="21"/>
        </w:rPr>
      </w:pPr>
    </w:p>
    <w:p w14:paraId="151AD6EE">
      <w:pPr>
        <w:spacing w:line="290" w:lineRule="auto"/>
        <w:rPr>
          <w:rFonts w:ascii="Arial"/>
          <w:sz w:val="21"/>
        </w:rPr>
      </w:pPr>
    </w:p>
    <w:p w14:paraId="5C11423C">
      <w:pPr>
        <w:spacing w:line="290" w:lineRule="auto"/>
        <w:rPr>
          <w:rFonts w:ascii="Arial"/>
          <w:sz w:val="21"/>
        </w:rPr>
      </w:pPr>
    </w:p>
    <w:p w14:paraId="0AEF0814">
      <w:pPr>
        <w:spacing w:line="290" w:lineRule="auto"/>
        <w:rPr>
          <w:rFonts w:ascii="Arial"/>
          <w:sz w:val="21"/>
        </w:rPr>
      </w:pPr>
    </w:p>
    <w:p w14:paraId="78E8A857">
      <w:pPr>
        <w:pStyle w:val="2"/>
        <w:spacing w:before="78" w:line="222" w:lineRule="auto"/>
        <w:ind w:left="135"/>
        <w:outlineLvl w:val="1"/>
        <w:rPr>
          <w:sz w:val="24"/>
          <w:szCs w:val="24"/>
        </w:rPr>
      </w:pPr>
      <w:bookmarkStart w:id="187" w:name="bookmark168"/>
      <w:bookmarkEnd w:id="187"/>
      <w:r>
        <w:rPr>
          <w:spacing w:val="-6"/>
          <w:sz w:val="24"/>
          <w:szCs w:val="24"/>
        </w:rPr>
        <w:t>附表</w:t>
      </w:r>
      <w:r>
        <w:rPr>
          <w:spacing w:val="-46"/>
          <w:sz w:val="24"/>
          <w:szCs w:val="24"/>
        </w:rPr>
        <w:t xml:space="preserve"> </w:t>
      </w:r>
      <w:r>
        <w:rPr>
          <w:rFonts w:ascii="Times New Roman" w:hAnsi="Times New Roman" w:eastAsia="Times New Roman" w:cs="Times New Roman"/>
          <w:spacing w:val="-6"/>
          <w:sz w:val="24"/>
          <w:szCs w:val="24"/>
        </w:rPr>
        <w:t>A-6</w:t>
      </w:r>
      <w:r>
        <w:rPr>
          <w:rFonts w:ascii="Times New Roman" w:hAnsi="Times New Roman" w:eastAsia="Times New Roman" w:cs="Times New Roman"/>
          <w:spacing w:val="-15"/>
          <w:sz w:val="24"/>
          <w:szCs w:val="24"/>
        </w:rPr>
        <w:t xml:space="preserve"> </w:t>
      </w:r>
      <w:r>
        <w:rPr>
          <w:spacing w:val="-6"/>
          <w:sz w:val="24"/>
          <w:szCs w:val="24"/>
        </w:rPr>
        <w:t>：响应性评审记录表</w:t>
      </w:r>
    </w:p>
    <w:p w14:paraId="1FC0FB2D">
      <w:pPr>
        <w:pStyle w:val="2"/>
        <w:spacing w:before="40" w:line="404" w:lineRule="auto"/>
        <w:ind w:left="124" w:right="5767" w:firstLine="5665"/>
        <w:rPr>
          <w:rFonts w:ascii="宋体" w:hAnsi="宋体" w:eastAsia="宋体" w:cs="宋体"/>
          <w:sz w:val="20"/>
          <w:szCs w:val="20"/>
        </w:rPr>
      </w:pPr>
      <w:r>
        <w:rPr>
          <w:spacing w:val="-3"/>
          <w:sz w:val="28"/>
          <w:szCs w:val="28"/>
        </w:rPr>
        <w:t>响应性评审记录表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63E83CFF">
      <w:pPr>
        <w:spacing w:line="21"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7"/>
        <w:gridCol w:w="1801"/>
        <w:gridCol w:w="3132"/>
        <w:gridCol w:w="897"/>
        <w:gridCol w:w="898"/>
        <w:gridCol w:w="898"/>
        <w:gridCol w:w="897"/>
        <w:gridCol w:w="898"/>
        <w:gridCol w:w="897"/>
        <w:gridCol w:w="897"/>
        <w:gridCol w:w="897"/>
        <w:gridCol w:w="902"/>
      </w:tblGrid>
      <w:tr w14:paraId="4F4B4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757" w:type="dxa"/>
            <w:vMerge w:val="restart"/>
            <w:tcBorders>
              <w:bottom w:val="nil"/>
            </w:tcBorders>
            <w:vAlign w:val="top"/>
          </w:tcPr>
          <w:p w14:paraId="255157AE">
            <w:pPr>
              <w:spacing w:line="394" w:lineRule="auto"/>
              <w:rPr>
                <w:rFonts w:ascii="Arial"/>
                <w:sz w:val="21"/>
              </w:rPr>
            </w:pPr>
          </w:p>
          <w:p w14:paraId="1B49512A">
            <w:pPr>
              <w:pStyle w:val="6"/>
              <w:spacing w:before="65" w:line="229" w:lineRule="auto"/>
              <w:ind w:left="173"/>
            </w:pPr>
            <w:r>
              <w:rPr>
                <w:spacing w:val="5"/>
              </w:rPr>
              <w:t>序号</w:t>
            </w:r>
          </w:p>
        </w:tc>
        <w:tc>
          <w:tcPr>
            <w:tcW w:w="1801" w:type="dxa"/>
            <w:vMerge w:val="restart"/>
            <w:tcBorders>
              <w:bottom w:val="nil"/>
            </w:tcBorders>
            <w:vAlign w:val="top"/>
          </w:tcPr>
          <w:p w14:paraId="423D3FC1">
            <w:pPr>
              <w:spacing w:line="393" w:lineRule="auto"/>
              <w:rPr>
                <w:rFonts w:ascii="Arial"/>
                <w:sz w:val="21"/>
              </w:rPr>
            </w:pPr>
          </w:p>
          <w:p w14:paraId="7A55E4F2">
            <w:pPr>
              <w:pStyle w:val="6"/>
              <w:spacing w:before="65" w:line="228" w:lineRule="auto"/>
              <w:ind w:left="484"/>
            </w:pPr>
            <w:r>
              <w:rPr>
                <w:spacing w:val="7"/>
              </w:rPr>
              <w:t>评审因素</w:t>
            </w:r>
          </w:p>
        </w:tc>
        <w:tc>
          <w:tcPr>
            <w:tcW w:w="3132" w:type="dxa"/>
            <w:vMerge w:val="restart"/>
            <w:tcBorders>
              <w:bottom w:val="nil"/>
            </w:tcBorders>
            <w:vAlign w:val="top"/>
          </w:tcPr>
          <w:p w14:paraId="1042E6DE">
            <w:pPr>
              <w:spacing w:line="394" w:lineRule="auto"/>
              <w:rPr>
                <w:rFonts w:ascii="Arial"/>
                <w:sz w:val="21"/>
              </w:rPr>
            </w:pPr>
          </w:p>
          <w:p w14:paraId="43DA9749">
            <w:pPr>
              <w:pStyle w:val="6"/>
              <w:spacing w:before="65" w:line="228" w:lineRule="auto"/>
              <w:ind w:left="1150"/>
            </w:pPr>
            <w:r>
              <w:rPr>
                <w:spacing w:val="7"/>
              </w:rPr>
              <w:t>评审标准</w:t>
            </w:r>
          </w:p>
        </w:tc>
        <w:tc>
          <w:tcPr>
            <w:tcW w:w="8081" w:type="dxa"/>
            <w:gridSpan w:val="9"/>
            <w:vAlign w:val="top"/>
          </w:tcPr>
          <w:p w14:paraId="0BF4C61A">
            <w:pPr>
              <w:pStyle w:val="6"/>
              <w:spacing w:before="178" w:line="228" w:lineRule="auto"/>
              <w:ind w:left="2997"/>
            </w:pPr>
            <w:r>
              <w:rPr>
                <w:spacing w:val="8"/>
              </w:rPr>
              <w:t>投标人名称及评审意见</w:t>
            </w:r>
          </w:p>
        </w:tc>
      </w:tr>
      <w:tr w14:paraId="04AEE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57" w:type="dxa"/>
            <w:vMerge w:val="continue"/>
            <w:tcBorders>
              <w:top w:val="nil"/>
            </w:tcBorders>
            <w:vAlign w:val="top"/>
          </w:tcPr>
          <w:p w14:paraId="1C1F662A">
            <w:pPr>
              <w:rPr>
                <w:rFonts w:ascii="Arial"/>
                <w:sz w:val="21"/>
              </w:rPr>
            </w:pPr>
          </w:p>
        </w:tc>
        <w:tc>
          <w:tcPr>
            <w:tcW w:w="1801" w:type="dxa"/>
            <w:vMerge w:val="continue"/>
            <w:tcBorders>
              <w:top w:val="nil"/>
            </w:tcBorders>
            <w:vAlign w:val="top"/>
          </w:tcPr>
          <w:p w14:paraId="4F1EA131">
            <w:pPr>
              <w:rPr>
                <w:rFonts w:ascii="Arial"/>
                <w:sz w:val="21"/>
              </w:rPr>
            </w:pPr>
          </w:p>
        </w:tc>
        <w:tc>
          <w:tcPr>
            <w:tcW w:w="3132" w:type="dxa"/>
            <w:vMerge w:val="continue"/>
            <w:tcBorders>
              <w:top w:val="nil"/>
            </w:tcBorders>
            <w:vAlign w:val="top"/>
          </w:tcPr>
          <w:p w14:paraId="1CF794B7">
            <w:pPr>
              <w:rPr>
                <w:rFonts w:ascii="Arial"/>
                <w:sz w:val="21"/>
              </w:rPr>
            </w:pPr>
          </w:p>
        </w:tc>
        <w:tc>
          <w:tcPr>
            <w:tcW w:w="897" w:type="dxa"/>
            <w:vAlign w:val="top"/>
          </w:tcPr>
          <w:p w14:paraId="71FB4383">
            <w:pPr>
              <w:rPr>
                <w:rFonts w:ascii="Arial"/>
                <w:sz w:val="21"/>
              </w:rPr>
            </w:pPr>
          </w:p>
        </w:tc>
        <w:tc>
          <w:tcPr>
            <w:tcW w:w="898" w:type="dxa"/>
            <w:vAlign w:val="top"/>
          </w:tcPr>
          <w:p w14:paraId="1CE3AD0E">
            <w:pPr>
              <w:rPr>
                <w:rFonts w:ascii="Arial"/>
                <w:sz w:val="21"/>
              </w:rPr>
            </w:pPr>
          </w:p>
        </w:tc>
        <w:tc>
          <w:tcPr>
            <w:tcW w:w="898" w:type="dxa"/>
            <w:vAlign w:val="top"/>
          </w:tcPr>
          <w:p w14:paraId="5987CB44">
            <w:pPr>
              <w:rPr>
                <w:rFonts w:ascii="Arial"/>
                <w:sz w:val="21"/>
              </w:rPr>
            </w:pPr>
          </w:p>
        </w:tc>
        <w:tc>
          <w:tcPr>
            <w:tcW w:w="897" w:type="dxa"/>
            <w:vAlign w:val="top"/>
          </w:tcPr>
          <w:p w14:paraId="5909C4D4">
            <w:pPr>
              <w:rPr>
                <w:rFonts w:ascii="Arial"/>
                <w:sz w:val="21"/>
              </w:rPr>
            </w:pPr>
          </w:p>
        </w:tc>
        <w:tc>
          <w:tcPr>
            <w:tcW w:w="898" w:type="dxa"/>
            <w:vAlign w:val="top"/>
          </w:tcPr>
          <w:p w14:paraId="347FA7FF">
            <w:pPr>
              <w:rPr>
                <w:rFonts w:ascii="Arial"/>
                <w:sz w:val="21"/>
              </w:rPr>
            </w:pPr>
          </w:p>
        </w:tc>
        <w:tc>
          <w:tcPr>
            <w:tcW w:w="897" w:type="dxa"/>
            <w:vAlign w:val="top"/>
          </w:tcPr>
          <w:p w14:paraId="03A7CC77">
            <w:pPr>
              <w:rPr>
                <w:rFonts w:ascii="Arial"/>
                <w:sz w:val="21"/>
              </w:rPr>
            </w:pPr>
          </w:p>
        </w:tc>
        <w:tc>
          <w:tcPr>
            <w:tcW w:w="897" w:type="dxa"/>
            <w:vAlign w:val="top"/>
          </w:tcPr>
          <w:p w14:paraId="332DDE1D">
            <w:pPr>
              <w:rPr>
                <w:rFonts w:ascii="Arial"/>
                <w:sz w:val="21"/>
              </w:rPr>
            </w:pPr>
          </w:p>
        </w:tc>
        <w:tc>
          <w:tcPr>
            <w:tcW w:w="897" w:type="dxa"/>
            <w:vAlign w:val="top"/>
          </w:tcPr>
          <w:p w14:paraId="6EEB69BB">
            <w:pPr>
              <w:rPr>
                <w:rFonts w:ascii="Arial"/>
                <w:sz w:val="21"/>
              </w:rPr>
            </w:pPr>
          </w:p>
        </w:tc>
        <w:tc>
          <w:tcPr>
            <w:tcW w:w="902" w:type="dxa"/>
            <w:vAlign w:val="top"/>
          </w:tcPr>
          <w:p w14:paraId="1B65E886">
            <w:pPr>
              <w:rPr>
                <w:rFonts w:ascii="Arial"/>
                <w:sz w:val="21"/>
              </w:rPr>
            </w:pPr>
          </w:p>
        </w:tc>
      </w:tr>
      <w:tr w14:paraId="43B476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7" w:type="dxa"/>
            <w:vAlign w:val="top"/>
          </w:tcPr>
          <w:p w14:paraId="347BD06A">
            <w:pPr>
              <w:pStyle w:val="6"/>
              <w:spacing w:before="169" w:line="270" w:lineRule="exact"/>
              <w:ind w:left="348"/>
            </w:pPr>
            <w:r>
              <w:rPr>
                <w:position w:val="1"/>
              </w:rPr>
              <w:t>1</w:t>
            </w:r>
          </w:p>
        </w:tc>
        <w:tc>
          <w:tcPr>
            <w:tcW w:w="1801" w:type="dxa"/>
            <w:vAlign w:val="top"/>
          </w:tcPr>
          <w:p w14:paraId="3D71D3BE">
            <w:pPr>
              <w:pStyle w:val="6"/>
              <w:spacing w:before="169" w:line="228" w:lineRule="auto"/>
              <w:ind w:left="487"/>
            </w:pPr>
            <w:r>
              <w:rPr>
                <w:spacing w:val="6"/>
              </w:rPr>
              <w:t>投标内容</w:t>
            </w:r>
          </w:p>
        </w:tc>
        <w:tc>
          <w:tcPr>
            <w:tcW w:w="3132" w:type="dxa"/>
            <w:vAlign w:val="top"/>
          </w:tcPr>
          <w:p w14:paraId="5D675776">
            <w:pPr>
              <w:pStyle w:val="6"/>
              <w:spacing w:before="32" w:line="234" w:lineRule="auto"/>
              <w:ind w:left="126" w:right="106" w:hanging="13"/>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2"/>
              </w:rPr>
              <w:t>1.3.1</w:t>
            </w:r>
            <w:r>
              <w:rPr>
                <w:spacing w:val="-34"/>
              </w:rPr>
              <w:t xml:space="preserve"> </w:t>
            </w:r>
            <w:r>
              <w:rPr>
                <w:spacing w:val="2"/>
              </w:rPr>
              <w:t>项规定</w:t>
            </w:r>
          </w:p>
        </w:tc>
        <w:tc>
          <w:tcPr>
            <w:tcW w:w="897" w:type="dxa"/>
            <w:vAlign w:val="top"/>
          </w:tcPr>
          <w:p w14:paraId="11FE8123">
            <w:pPr>
              <w:rPr>
                <w:rFonts w:ascii="Arial"/>
                <w:sz w:val="21"/>
              </w:rPr>
            </w:pPr>
          </w:p>
        </w:tc>
        <w:tc>
          <w:tcPr>
            <w:tcW w:w="898" w:type="dxa"/>
            <w:vAlign w:val="top"/>
          </w:tcPr>
          <w:p w14:paraId="6AD1222E">
            <w:pPr>
              <w:rPr>
                <w:rFonts w:ascii="Arial"/>
                <w:sz w:val="21"/>
              </w:rPr>
            </w:pPr>
          </w:p>
        </w:tc>
        <w:tc>
          <w:tcPr>
            <w:tcW w:w="898" w:type="dxa"/>
            <w:vAlign w:val="top"/>
          </w:tcPr>
          <w:p w14:paraId="3F2F3A3E">
            <w:pPr>
              <w:rPr>
                <w:rFonts w:ascii="Arial"/>
                <w:sz w:val="21"/>
              </w:rPr>
            </w:pPr>
          </w:p>
        </w:tc>
        <w:tc>
          <w:tcPr>
            <w:tcW w:w="897" w:type="dxa"/>
            <w:vAlign w:val="top"/>
          </w:tcPr>
          <w:p w14:paraId="14974F86">
            <w:pPr>
              <w:rPr>
                <w:rFonts w:ascii="Arial"/>
                <w:sz w:val="21"/>
              </w:rPr>
            </w:pPr>
          </w:p>
        </w:tc>
        <w:tc>
          <w:tcPr>
            <w:tcW w:w="898" w:type="dxa"/>
            <w:vAlign w:val="top"/>
          </w:tcPr>
          <w:p w14:paraId="14621960">
            <w:pPr>
              <w:rPr>
                <w:rFonts w:ascii="Arial"/>
                <w:sz w:val="21"/>
              </w:rPr>
            </w:pPr>
          </w:p>
        </w:tc>
        <w:tc>
          <w:tcPr>
            <w:tcW w:w="897" w:type="dxa"/>
            <w:vAlign w:val="top"/>
          </w:tcPr>
          <w:p w14:paraId="53CE3EF3">
            <w:pPr>
              <w:rPr>
                <w:rFonts w:ascii="Arial"/>
                <w:sz w:val="21"/>
              </w:rPr>
            </w:pPr>
          </w:p>
        </w:tc>
        <w:tc>
          <w:tcPr>
            <w:tcW w:w="897" w:type="dxa"/>
            <w:vAlign w:val="top"/>
          </w:tcPr>
          <w:p w14:paraId="15AF70C3">
            <w:pPr>
              <w:rPr>
                <w:rFonts w:ascii="Arial"/>
                <w:sz w:val="21"/>
              </w:rPr>
            </w:pPr>
          </w:p>
        </w:tc>
        <w:tc>
          <w:tcPr>
            <w:tcW w:w="897" w:type="dxa"/>
            <w:vAlign w:val="top"/>
          </w:tcPr>
          <w:p w14:paraId="32EE7CF0">
            <w:pPr>
              <w:rPr>
                <w:rFonts w:ascii="Arial"/>
                <w:sz w:val="21"/>
              </w:rPr>
            </w:pPr>
          </w:p>
        </w:tc>
        <w:tc>
          <w:tcPr>
            <w:tcW w:w="902" w:type="dxa"/>
            <w:vAlign w:val="top"/>
          </w:tcPr>
          <w:p w14:paraId="694DEC8F">
            <w:pPr>
              <w:rPr>
                <w:rFonts w:ascii="Arial"/>
                <w:sz w:val="21"/>
              </w:rPr>
            </w:pPr>
          </w:p>
        </w:tc>
      </w:tr>
      <w:tr w14:paraId="2C072D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Align w:val="top"/>
          </w:tcPr>
          <w:p w14:paraId="6D61CF41">
            <w:pPr>
              <w:spacing w:before="169" w:line="275" w:lineRule="exact"/>
              <w:ind w:left="330"/>
              <w:rPr>
                <w:rFonts w:ascii="黑体" w:hAnsi="黑体" w:eastAsia="黑体" w:cs="黑体"/>
                <w:sz w:val="20"/>
                <w:szCs w:val="20"/>
              </w:rPr>
            </w:pPr>
            <w:r>
              <w:rPr>
                <w:rFonts w:ascii="黑体" w:hAnsi="黑体" w:eastAsia="黑体" w:cs="黑体"/>
                <w:position w:val="1"/>
                <w:sz w:val="20"/>
                <w:szCs w:val="20"/>
              </w:rPr>
              <w:t>2</w:t>
            </w:r>
          </w:p>
        </w:tc>
        <w:tc>
          <w:tcPr>
            <w:tcW w:w="1801" w:type="dxa"/>
            <w:vAlign w:val="top"/>
          </w:tcPr>
          <w:p w14:paraId="669D0995">
            <w:pPr>
              <w:pStyle w:val="6"/>
              <w:spacing w:before="170" w:line="228" w:lineRule="auto"/>
              <w:ind w:left="696"/>
            </w:pPr>
            <w:r>
              <w:rPr>
                <w:spacing w:val="3"/>
              </w:rPr>
              <w:t>工期</w:t>
            </w:r>
          </w:p>
        </w:tc>
        <w:tc>
          <w:tcPr>
            <w:tcW w:w="3132" w:type="dxa"/>
            <w:vAlign w:val="top"/>
          </w:tcPr>
          <w:p w14:paraId="21456860">
            <w:pPr>
              <w:pStyle w:val="6"/>
              <w:spacing w:before="35" w:line="233" w:lineRule="auto"/>
              <w:ind w:left="126" w:right="106" w:hanging="13"/>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2"/>
              </w:rPr>
              <w:t>1.3.2</w:t>
            </w:r>
            <w:r>
              <w:rPr>
                <w:spacing w:val="-34"/>
              </w:rPr>
              <w:t xml:space="preserve"> </w:t>
            </w:r>
            <w:r>
              <w:rPr>
                <w:spacing w:val="2"/>
              </w:rPr>
              <w:t>项规定</w:t>
            </w:r>
          </w:p>
        </w:tc>
        <w:tc>
          <w:tcPr>
            <w:tcW w:w="897" w:type="dxa"/>
            <w:vAlign w:val="top"/>
          </w:tcPr>
          <w:p w14:paraId="4BC34E61">
            <w:pPr>
              <w:rPr>
                <w:rFonts w:ascii="Arial"/>
                <w:sz w:val="21"/>
              </w:rPr>
            </w:pPr>
          </w:p>
        </w:tc>
        <w:tc>
          <w:tcPr>
            <w:tcW w:w="898" w:type="dxa"/>
            <w:vAlign w:val="top"/>
          </w:tcPr>
          <w:p w14:paraId="4E0C97FB">
            <w:pPr>
              <w:rPr>
                <w:rFonts w:ascii="Arial"/>
                <w:sz w:val="21"/>
              </w:rPr>
            </w:pPr>
          </w:p>
        </w:tc>
        <w:tc>
          <w:tcPr>
            <w:tcW w:w="898" w:type="dxa"/>
            <w:vAlign w:val="top"/>
          </w:tcPr>
          <w:p w14:paraId="2A236402">
            <w:pPr>
              <w:rPr>
                <w:rFonts w:ascii="Arial"/>
                <w:sz w:val="21"/>
              </w:rPr>
            </w:pPr>
          </w:p>
        </w:tc>
        <w:tc>
          <w:tcPr>
            <w:tcW w:w="897" w:type="dxa"/>
            <w:vAlign w:val="top"/>
          </w:tcPr>
          <w:p w14:paraId="0D635774">
            <w:pPr>
              <w:rPr>
                <w:rFonts w:ascii="Arial"/>
                <w:sz w:val="21"/>
              </w:rPr>
            </w:pPr>
          </w:p>
        </w:tc>
        <w:tc>
          <w:tcPr>
            <w:tcW w:w="898" w:type="dxa"/>
            <w:vAlign w:val="top"/>
          </w:tcPr>
          <w:p w14:paraId="028DC207">
            <w:pPr>
              <w:rPr>
                <w:rFonts w:ascii="Arial"/>
                <w:sz w:val="21"/>
              </w:rPr>
            </w:pPr>
          </w:p>
        </w:tc>
        <w:tc>
          <w:tcPr>
            <w:tcW w:w="897" w:type="dxa"/>
            <w:vAlign w:val="top"/>
          </w:tcPr>
          <w:p w14:paraId="58CE0FB0">
            <w:pPr>
              <w:rPr>
                <w:rFonts w:ascii="Arial"/>
                <w:sz w:val="21"/>
              </w:rPr>
            </w:pPr>
          </w:p>
        </w:tc>
        <w:tc>
          <w:tcPr>
            <w:tcW w:w="897" w:type="dxa"/>
            <w:vAlign w:val="top"/>
          </w:tcPr>
          <w:p w14:paraId="6DBBDFB8">
            <w:pPr>
              <w:rPr>
                <w:rFonts w:ascii="Arial"/>
                <w:sz w:val="21"/>
              </w:rPr>
            </w:pPr>
          </w:p>
        </w:tc>
        <w:tc>
          <w:tcPr>
            <w:tcW w:w="897" w:type="dxa"/>
            <w:vAlign w:val="top"/>
          </w:tcPr>
          <w:p w14:paraId="1993B4FD">
            <w:pPr>
              <w:rPr>
                <w:rFonts w:ascii="Arial"/>
                <w:sz w:val="21"/>
              </w:rPr>
            </w:pPr>
          </w:p>
        </w:tc>
        <w:tc>
          <w:tcPr>
            <w:tcW w:w="902" w:type="dxa"/>
            <w:vAlign w:val="top"/>
          </w:tcPr>
          <w:p w14:paraId="62A9FF38">
            <w:pPr>
              <w:rPr>
                <w:rFonts w:ascii="Arial"/>
                <w:sz w:val="21"/>
              </w:rPr>
            </w:pPr>
          </w:p>
        </w:tc>
      </w:tr>
      <w:tr w14:paraId="5725C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757" w:type="dxa"/>
            <w:vAlign w:val="top"/>
          </w:tcPr>
          <w:p w14:paraId="56AA3219">
            <w:pPr>
              <w:spacing w:line="259" w:lineRule="auto"/>
              <w:rPr>
                <w:rFonts w:ascii="Arial"/>
                <w:sz w:val="21"/>
              </w:rPr>
            </w:pPr>
          </w:p>
          <w:p w14:paraId="2428AD4D">
            <w:pPr>
              <w:spacing w:line="259" w:lineRule="auto"/>
              <w:rPr>
                <w:rFonts w:ascii="Arial"/>
                <w:sz w:val="21"/>
              </w:rPr>
            </w:pPr>
          </w:p>
          <w:p w14:paraId="46C9BE5D">
            <w:pPr>
              <w:spacing w:line="260" w:lineRule="auto"/>
              <w:rPr>
                <w:rFonts w:ascii="Arial"/>
                <w:sz w:val="21"/>
              </w:rPr>
            </w:pPr>
          </w:p>
          <w:p w14:paraId="65B2E9B6">
            <w:pPr>
              <w:spacing w:before="65" w:line="273" w:lineRule="exact"/>
              <w:ind w:left="332"/>
              <w:rPr>
                <w:rFonts w:ascii="黑体" w:hAnsi="黑体" w:eastAsia="黑体" w:cs="黑体"/>
                <w:sz w:val="20"/>
                <w:szCs w:val="20"/>
              </w:rPr>
            </w:pPr>
            <w:r>
              <w:rPr>
                <w:rFonts w:ascii="黑体" w:hAnsi="黑体" w:eastAsia="黑体" w:cs="黑体"/>
                <w:position w:val="1"/>
                <w:sz w:val="20"/>
                <w:szCs w:val="20"/>
              </w:rPr>
              <w:t>3</w:t>
            </w:r>
          </w:p>
        </w:tc>
        <w:tc>
          <w:tcPr>
            <w:tcW w:w="1801" w:type="dxa"/>
            <w:vAlign w:val="top"/>
          </w:tcPr>
          <w:p w14:paraId="2A9428E2">
            <w:pPr>
              <w:spacing w:line="259" w:lineRule="auto"/>
              <w:rPr>
                <w:rFonts w:ascii="Arial"/>
                <w:sz w:val="21"/>
              </w:rPr>
            </w:pPr>
          </w:p>
          <w:p w14:paraId="332BBAC9">
            <w:pPr>
              <w:spacing w:line="260" w:lineRule="auto"/>
              <w:rPr>
                <w:rFonts w:ascii="Arial"/>
                <w:sz w:val="21"/>
              </w:rPr>
            </w:pPr>
          </w:p>
          <w:p w14:paraId="0EB88644">
            <w:pPr>
              <w:spacing w:line="260" w:lineRule="auto"/>
              <w:rPr>
                <w:rFonts w:ascii="Arial"/>
                <w:sz w:val="21"/>
              </w:rPr>
            </w:pPr>
          </w:p>
          <w:p w14:paraId="5CF464CE">
            <w:pPr>
              <w:pStyle w:val="6"/>
              <w:spacing w:before="65" w:line="228" w:lineRule="auto"/>
              <w:ind w:left="487"/>
            </w:pPr>
            <w:r>
              <w:rPr>
                <w:spacing w:val="6"/>
              </w:rPr>
              <w:t>工程质量</w:t>
            </w:r>
          </w:p>
        </w:tc>
        <w:tc>
          <w:tcPr>
            <w:tcW w:w="3132" w:type="dxa"/>
            <w:vAlign w:val="top"/>
          </w:tcPr>
          <w:p w14:paraId="3BC6C54C">
            <w:pPr>
              <w:pStyle w:val="6"/>
              <w:spacing w:before="33" w:line="251" w:lineRule="auto"/>
              <w:ind w:left="126" w:right="106" w:hanging="13"/>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2"/>
              </w:rPr>
              <w:t>1.3.3</w:t>
            </w:r>
            <w:r>
              <w:rPr>
                <w:spacing w:val="-34"/>
              </w:rPr>
              <w:t xml:space="preserve"> </w:t>
            </w:r>
            <w:r>
              <w:rPr>
                <w:spacing w:val="2"/>
              </w:rPr>
              <w:t>项规定</w:t>
            </w:r>
          </w:p>
          <w:p w14:paraId="6FE7299D">
            <w:pPr>
              <w:pStyle w:val="6"/>
              <w:spacing w:before="1" w:line="244" w:lineRule="auto"/>
              <w:ind w:left="112" w:right="106" w:firstLine="9"/>
            </w:pPr>
            <w:r>
              <w:rPr>
                <w:spacing w:val="6"/>
              </w:rPr>
              <w:t>（投标文件中载明的质量标准、</w:t>
            </w:r>
            <w:r>
              <w:rPr>
                <w:spacing w:val="23"/>
              </w:rPr>
              <w:t>质量奖项必须达到招标文件规定的质量标准、质量奖项（如</w:t>
            </w:r>
            <w:r>
              <w:rPr>
                <w:spacing w:val="13"/>
              </w:rPr>
              <w:t>有</w:t>
            </w:r>
            <w:r>
              <w:rPr>
                <w:spacing w:val="-25"/>
              </w:rPr>
              <w:t>），</w:t>
            </w:r>
            <w:r>
              <w:rPr>
                <w:spacing w:val="13"/>
              </w:rPr>
              <w:t>不能以质量奖项代替质量</w:t>
            </w:r>
            <w:r>
              <w:rPr>
                <w:spacing w:val="2"/>
              </w:rPr>
              <w:t>标准）</w:t>
            </w:r>
          </w:p>
        </w:tc>
        <w:tc>
          <w:tcPr>
            <w:tcW w:w="897" w:type="dxa"/>
            <w:vAlign w:val="top"/>
          </w:tcPr>
          <w:p w14:paraId="554C8EAC">
            <w:pPr>
              <w:rPr>
                <w:rFonts w:ascii="Arial"/>
                <w:sz w:val="21"/>
              </w:rPr>
            </w:pPr>
          </w:p>
        </w:tc>
        <w:tc>
          <w:tcPr>
            <w:tcW w:w="898" w:type="dxa"/>
            <w:vAlign w:val="top"/>
          </w:tcPr>
          <w:p w14:paraId="1DC503AA">
            <w:pPr>
              <w:rPr>
                <w:rFonts w:ascii="Arial"/>
                <w:sz w:val="21"/>
              </w:rPr>
            </w:pPr>
          </w:p>
        </w:tc>
        <w:tc>
          <w:tcPr>
            <w:tcW w:w="898" w:type="dxa"/>
            <w:vAlign w:val="top"/>
          </w:tcPr>
          <w:p w14:paraId="537E4B21">
            <w:pPr>
              <w:rPr>
                <w:rFonts w:ascii="Arial"/>
                <w:sz w:val="21"/>
              </w:rPr>
            </w:pPr>
          </w:p>
        </w:tc>
        <w:tc>
          <w:tcPr>
            <w:tcW w:w="897" w:type="dxa"/>
            <w:vAlign w:val="top"/>
          </w:tcPr>
          <w:p w14:paraId="21F18703">
            <w:pPr>
              <w:rPr>
                <w:rFonts w:ascii="Arial"/>
                <w:sz w:val="21"/>
              </w:rPr>
            </w:pPr>
          </w:p>
        </w:tc>
        <w:tc>
          <w:tcPr>
            <w:tcW w:w="898" w:type="dxa"/>
            <w:vAlign w:val="top"/>
          </w:tcPr>
          <w:p w14:paraId="1D972FFD">
            <w:pPr>
              <w:rPr>
                <w:rFonts w:ascii="Arial"/>
                <w:sz w:val="21"/>
              </w:rPr>
            </w:pPr>
          </w:p>
        </w:tc>
        <w:tc>
          <w:tcPr>
            <w:tcW w:w="897" w:type="dxa"/>
            <w:vAlign w:val="top"/>
          </w:tcPr>
          <w:p w14:paraId="2980DBEC">
            <w:pPr>
              <w:rPr>
                <w:rFonts w:ascii="Arial"/>
                <w:sz w:val="21"/>
              </w:rPr>
            </w:pPr>
          </w:p>
        </w:tc>
        <w:tc>
          <w:tcPr>
            <w:tcW w:w="897" w:type="dxa"/>
            <w:vAlign w:val="top"/>
          </w:tcPr>
          <w:p w14:paraId="0FBC4FB8">
            <w:pPr>
              <w:rPr>
                <w:rFonts w:ascii="Arial"/>
                <w:sz w:val="21"/>
              </w:rPr>
            </w:pPr>
          </w:p>
        </w:tc>
        <w:tc>
          <w:tcPr>
            <w:tcW w:w="897" w:type="dxa"/>
            <w:vAlign w:val="top"/>
          </w:tcPr>
          <w:p w14:paraId="68E0AA8B">
            <w:pPr>
              <w:rPr>
                <w:rFonts w:ascii="Arial"/>
                <w:sz w:val="21"/>
              </w:rPr>
            </w:pPr>
          </w:p>
        </w:tc>
        <w:tc>
          <w:tcPr>
            <w:tcW w:w="902" w:type="dxa"/>
            <w:vAlign w:val="top"/>
          </w:tcPr>
          <w:p w14:paraId="66CFC505">
            <w:pPr>
              <w:rPr>
                <w:rFonts w:ascii="Arial"/>
                <w:sz w:val="21"/>
              </w:rPr>
            </w:pPr>
          </w:p>
        </w:tc>
      </w:tr>
      <w:tr w14:paraId="0D0CF8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Align w:val="top"/>
          </w:tcPr>
          <w:p w14:paraId="77D52110">
            <w:pPr>
              <w:spacing w:before="169" w:line="275" w:lineRule="exact"/>
              <w:ind w:left="326"/>
              <w:rPr>
                <w:rFonts w:ascii="黑体" w:hAnsi="黑体" w:eastAsia="黑体" w:cs="黑体"/>
                <w:sz w:val="20"/>
                <w:szCs w:val="20"/>
              </w:rPr>
            </w:pPr>
            <w:r>
              <w:rPr>
                <w:rFonts w:ascii="黑体" w:hAnsi="黑体" w:eastAsia="黑体" w:cs="黑体"/>
                <w:spacing w:val="1"/>
                <w:position w:val="1"/>
                <w:sz w:val="20"/>
                <w:szCs w:val="20"/>
              </w:rPr>
              <w:t>4</w:t>
            </w:r>
          </w:p>
        </w:tc>
        <w:tc>
          <w:tcPr>
            <w:tcW w:w="1801" w:type="dxa"/>
            <w:vAlign w:val="top"/>
          </w:tcPr>
          <w:p w14:paraId="664F1F17">
            <w:pPr>
              <w:pStyle w:val="6"/>
              <w:spacing w:before="169" w:line="228" w:lineRule="auto"/>
              <w:ind w:left="382"/>
            </w:pPr>
            <w:r>
              <w:rPr>
                <w:spacing w:val="7"/>
              </w:rPr>
              <w:t>投标有效期</w:t>
            </w:r>
          </w:p>
        </w:tc>
        <w:tc>
          <w:tcPr>
            <w:tcW w:w="3132" w:type="dxa"/>
            <w:vAlign w:val="top"/>
          </w:tcPr>
          <w:p w14:paraId="3C5C6FA4">
            <w:pPr>
              <w:pStyle w:val="6"/>
              <w:spacing w:before="35" w:line="233" w:lineRule="auto"/>
              <w:ind w:left="115" w:right="106" w:hanging="2"/>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3"/>
              </w:rPr>
              <w:t>3.3.1</w:t>
            </w:r>
            <w:r>
              <w:rPr>
                <w:spacing w:val="-30"/>
              </w:rPr>
              <w:t xml:space="preserve"> </w:t>
            </w:r>
            <w:r>
              <w:rPr>
                <w:spacing w:val="3"/>
              </w:rPr>
              <w:t>项规定</w:t>
            </w:r>
          </w:p>
        </w:tc>
        <w:tc>
          <w:tcPr>
            <w:tcW w:w="897" w:type="dxa"/>
            <w:vAlign w:val="top"/>
          </w:tcPr>
          <w:p w14:paraId="515A1C6E">
            <w:pPr>
              <w:rPr>
                <w:rFonts w:ascii="Arial"/>
                <w:sz w:val="21"/>
              </w:rPr>
            </w:pPr>
          </w:p>
        </w:tc>
        <w:tc>
          <w:tcPr>
            <w:tcW w:w="898" w:type="dxa"/>
            <w:vAlign w:val="top"/>
          </w:tcPr>
          <w:p w14:paraId="034B3389">
            <w:pPr>
              <w:rPr>
                <w:rFonts w:ascii="Arial"/>
                <w:sz w:val="21"/>
              </w:rPr>
            </w:pPr>
          </w:p>
        </w:tc>
        <w:tc>
          <w:tcPr>
            <w:tcW w:w="898" w:type="dxa"/>
            <w:vAlign w:val="top"/>
          </w:tcPr>
          <w:p w14:paraId="7639C279">
            <w:pPr>
              <w:rPr>
                <w:rFonts w:ascii="Arial"/>
                <w:sz w:val="21"/>
              </w:rPr>
            </w:pPr>
          </w:p>
        </w:tc>
        <w:tc>
          <w:tcPr>
            <w:tcW w:w="897" w:type="dxa"/>
            <w:vAlign w:val="top"/>
          </w:tcPr>
          <w:p w14:paraId="2F1348BA">
            <w:pPr>
              <w:rPr>
                <w:rFonts w:ascii="Arial"/>
                <w:sz w:val="21"/>
              </w:rPr>
            </w:pPr>
          </w:p>
        </w:tc>
        <w:tc>
          <w:tcPr>
            <w:tcW w:w="898" w:type="dxa"/>
            <w:vAlign w:val="top"/>
          </w:tcPr>
          <w:p w14:paraId="1DFB2CCC">
            <w:pPr>
              <w:rPr>
                <w:rFonts w:ascii="Arial"/>
                <w:sz w:val="21"/>
              </w:rPr>
            </w:pPr>
          </w:p>
        </w:tc>
        <w:tc>
          <w:tcPr>
            <w:tcW w:w="897" w:type="dxa"/>
            <w:vAlign w:val="top"/>
          </w:tcPr>
          <w:p w14:paraId="070331CC">
            <w:pPr>
              <w:rPr>
                <w:rFonts w:ascii="Arial"/>
                <w:sz w:val="21"/>
              </w:rPr>
            </w:pPr>
          </w:p>
        </w:tc>
        <w:tc>
          <w:tcPr>
            <w:tcW w:w="897" w:type="dxa"/>
            <w:vAlign w:val="top"/>
          </w:tcPr>
          <w:p w14:paraId="6412EC57">
            <w:pPr>
              <w:rPr>
                <w:rFonts w:ascii="Arial"/>
                <w:sz w:val="21"/>
              </w:rPr>
            </w:pPr>
          </w:p>
        </w:tc>
        <w:tc>
          <w:tcPr>
            <w:tcW w:w="897" w:type="dxa"/>
            <w:vAlign w:val="top"/>
          </w:tcPr>
          <w:p w14:paraId="617EC957">
            <w:pPr>
              <w:rPr>
                <w:rFonts w:ascii="Arial"/>
                <w:sz w:val="21"/>
              </w:rPr>
            </w:pPr>
          </w:p>
        </w:tc>
        <w:tc>
          <w:tcPr>
            <w:tcW w:w="902" w:type="dxa"/>
            <w:vAlign w:val="top"/>
          </w:tcPr>
          <w:p w14:paraId="2B3EE2A3">
            <w:pPr>
              <w:rPr>
                <w:rFonts w:ascii="Arial"/>
                <w:sz w:val="21"/>
              </w:rPr>
            </w:pPr>
          </w:p>
        </w:tc>
      </w:tr>
      <w:tr w14:paraId="27215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7" w:hRule="atLeast"/>
        </w:trPr>
        <w:tc>
          <w:tcPr>
            <w:tcW w:w="757" w:type="dxa"/>
            <w:vAlign w:val="top"/>
          </w:tcPr>
          <w:p w14:paraId="32240908">
            <w:pPr>
              <w:spacing w:line="263" w:lineRule="auto"/>
              <w:rPr>
                <w:rFonts w:ascii="Arial"/>
                <w:sz w:val="21"/>
              </w:rPr>
            </w:pPr>
          </w:p>
          <w:p w14:paraId="3D565FB1">
            <w:pPr>
              <w:spacing w:line="263" w:lineRule="auto"/>
              <w:rPr>
                <w:rFonts w:ascii="Arial"/>
                <w:sz w:val="21"/>
              </w:rPr>
            </w:pPr>
          </w:p>
          <w:p w14:paraId="4CC7E1B8">
            <w:pPr>
              <w:spacing w:line="263" w:lineRule="auto"/>
              <w:rPr>
                <w:rFonts w:ascii="Arial"/>
                <w:sz w:val="21"/>
              </w:rPr>
            </w:pPr>
          </w:p>
          <w:p w14:paraId="0CE6CEA2">
            <w:pPr>
              <w:spacing w:line="263" w:lineRule="auto"/>
              <w:rPr>
                <w:rFonts w:ascii="Arial"/>
                <w:sz w:val="21"/>
              </w:rPr>
            </w:pPr>
          </w:p>
          <w:p w14:paraId="0D9A41D4">
            <w:pPr>
              <w:spacing w:before="65" w:line="272" w:lineRule="exact"/>
              <w:ind w:left="327"/>
              <w:rPr>
                <w:rFonts w:ascii="黑体" w:hAnsi="黑体" w:eastAsia="黑体" w:cs="黑体"/>
                <w:sz w:val="20"/>
                <w:szCs w:val="20"/>
              </w:rPr>
            </w:pPr>
            <w:r>
              <w:rPr>
                <w:rFonts w:ascii="黑体" w:hAnsi="黑体" w:eastAsia="黑体" w:cs="黑体"/>
                <w:spacing w:val="1"/>
                <w:position w:val="1"/>
                <w:sz w:val="20"/>
                <w:szCs w:val="20"/>
              </w:rPr>
              <w:t>5</w:t>
            </w:r>
          </w:p>
        </w:tc>
        <w:tc>
          <w:tcPr>
            <w:tcW w:w="1801" w:type="dxa"/>
            <w:vAlign w:val="top"/>
          </w:tcPr>
          <w:p w14:paraId="2F33C63E">
            <w:pPr>
              <w:spacing w:line="263" w:lineRule="auto"/>
              <w:rPr>
                <w:rFonts w:ascii="Arial"/>
                <w:sz w:val="21"/>
              </w:rPr>
            </w:pPr>
          </w:p>
          <w:p w14:paraId="1582D3B0">
            <w:pPr>
              <w:spacing w:line="263" w:lineRule="auto"/>
              <w:rPr>
                <w:rFonts w:ascii="Arial"/>
                <w:sz w:val="21"/>
              </w:rPr>
            </w:pPr>
          </w:p>
          <w:p w14:paraId="42E1A387">
            <w:pPr>
              <w:spacing w:line="263" w:lineRule="auto"/>
              <w:rPr>
                <w:rFonts w:ascii="Arial"/>
                <w:sz w:val="21"/>
              </w:rPr>
            </w:pPr>
          </w:p>
          <w:p w14:paraId="096DC211">
            <w:pPr>
              <w:spacing w:line="263" w:lineRule="auto"/>
              <w:rPr>
                <w:rFonts w:ascii="Arial"/>
                <w:sz w:val="21"/>
              </w:rPr>
            </w:pPr>
          </w:p>
          <w:p w14:paraId="32350DFD">
            <w:pPr>
              <w:pStyle w:val="6"/>
              <w:spacing w:before="65" w:line="228" w:lineRule="auto"/>
              <w:ind w:left="382"/>
            </w:pPr>
            <w:r>
              <w:rPr>
                <w:spacing w:val="7"/>
              </w:rPr>
              <w:t>投标保证金</w:t>
            </w:r>
          </w:p>
        </w:tc>
        <w:tc>
          <w:tcPr>
            <w:tcW w:w="3132" w:type="dxa"/>
            <w:vAlign w:val="top"/>
          </w:tcPr>
          <w:p w14:paraId="27C5BC3E">
            <w:pPr>
              <w:pStyle w:val="6"/>
              <w:spacing w:before="38" w:line="247" w:lineRule="auto"/>
              <w:ind w:left="112" w:right="106" w:firstLine="1"/>
              <w:jc w:val="both"/>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8"/>
              </w:rPr>
              <w:t>3.4.1</w:t>
            </w:r>
            <w:r>
              <w:rPr>
                <w:spacing w:val="-21"/>
              </w:rPr>
              <w:t xml:space="preserve"> </w:t>
            </w:r>
            <w:r>
              <w:rPr>
                <w:spacing w:val="8"/>
              </w:rPr>
              <w:t>项规定（投标保证金符合</w:t>
            </w:r>
            <w:r>
              <w:rPr>
                <w:spacing w:val="7"/>
              </w:rPr>
              <w:t>要求是指投标保证金的形式、金额、递交截止时间、递交方式符合招标文件规定；以现金、支票</w:t>
            </w:r>
            <w:r>
              <w:rPr>
                <w:spacing w:val="23"/>
              </w:rPr>
              <w:t>方式提交的应从投标人基本账</w:t>
            </w:r>
            <w:r>
              <w:rPr>
                <w:spacing w:val="7"/>
              </w:rPr>
              <w:t>户转出，即投标人汇款凭证的账</w:t>
            </w:r>
            <w:r>
              <w:rPr>
                <w:spacing w:val="23"/>
              </w:rPr>
              <w:t>户号与其基本账户开户许可证</w:t>
            </w:r>
            <w:r>
              <w:rPr>
                <w:spacing w:val="7"/>
              </w:rPr>
              <w:t>的账户号一致）</w:t>
            </w:r>
          </w:p>
        </w:tc>
        <w:tc>
          <w:tcPr>
            <w:tcW w:w="897" w:type="dxa"/>
            <w:vAlign w:val="top"/>
          </w:tcPr>
          <w:p w14:paraId="629929E8">
            <w:pPr>
              <w:rPr>
                <w:rFonts w:ascii="Arial"/>
                <w:sz w:val="21"/>
              </w:rPr>
            </w:pPr>
          </w:p>
        </w:tc>
        <w:tc>
          <w:tcPr>
            <w:tcW w:w="898" w:type="dxa"/>
            <w:vAlign w:val="top"/>
          </w:tcPr>
          <w:p w14:paraId="48CE8AFD">
            <w:pPr>
              <w:rPr>
                <w:rFonts w:ascii="Arial"/>
                <w:sz w:val="21"/>
              </w:rPr>
            </w:pPr>
          </w:p>
        </w:tc>
        <w:tc>
          <w:tcPr>
            <w:tcW w:w="898" w:type="dxa"/>
            <w:vAlign w:val="top"/>
          </w:tcPr>
          <w:p w14:paraId="4100F9A9">
            <w:pPr>
              <w:rPr>
                <w:rFonts w:ascii="Arial"/>
                <w:sz w:val="21"/>
              </w:rPr>
            </w:pPr>
          </w:p>
        </w:tc>
        <w:tc>
          <w:tcPr>
            <w:tcW w:w="897" w:type="dxa"/>
            <w:vAlign w:val="top"/>
          </w:tcPr>
          <w:p w14:paraId="4959D4E7">
            <w:pPr>
              <w:rPr>
                <w:rFonts w:ascii="Arial"/>
                <w:sz w:val="21"/>
              </w:rPr>
            </w:pPr>
          </w:p>
        </w:tc>
        <w:tc>
          <w:tcPr>
            <w:tcW w:w="898" w:type="dxa"/>
            <w:vAlign w:val="top"/>
          </w:tcPr>
          <w:p w14:paraId="5E59974E">
            <w:pPr>
              <w:rPr>
                <w:rFonts w:ascii="Arial"/>
                <w:sz w:val="21"/>
              </w:rPr>
            </w:pPr>
          </w:p>
        </w:tc>
        <w:tc>
          <w:tcPr>
            <w:tcW w:w="897" w:type="dxa"/>
            <w:vAlign w:val="top"/>
          </w:tcPr>
          <w:p w14:paraId="508F268C">
            <w:pPr>
              <w:rPr>
                <w:rFonts w:ascii="Arial"/>
                <w:sz w:val="21"/>
              </w:rPr>
            </w:pPr>
          </w:p>
        </w:tc>
        <w:tc>
          <w:tcPr>
            <w:tcW w:w="897" w:type="dxa"/>
            <w:vAlign w:val="top"/>
          </w:tcPr>
          <w:p w14:paraId="17784035">
            <w:pPr>
              <w:rPr>
                <w:rFonts w:ascii="Arial"/>
                <w:sz w:val="21"/>
              </w:rPr>
            </w:pPr>
          </w:p>
        </w:tc>
        <w:tc>
          <w:tcPr>
            <w:tcW w:w="897" w:type="dxa"/>
            <w:vAlign w:val="top"/>
          </w:tcPr>
          <w:p w14:paraId="074A67A3">
            <w:pPr>
              <w:rPr>
                <w:rFonts w:ascii="Arial"/>
                <w:sz w:val="21"/>
              </w:rPr>
            </w:pPr>
          </w:p>
        </w:tc>
        <w:tc>
          <w:tcPr>
            <w:tcW w:w="902" w:type="dxa"/>
            <w:vAlign w:val="top"/>
          </w:tcPr>
          <w:p w14:paraId="6AFF4923">
            <w:pPr>
              <w:rPr>
                <w:rFonts w:ascii="Arial"/>
                <w:sz w:val="21"/>
              </w:rPr>
            </w:pPr>
          </w:p>
        </w:tc>
      </w:tr>
    </w:tbl>
    <w:p w14:paraId="0AFD02E0">
      <w:pPr>
        <w:rPr>
          <w:rFonts w:ascii="Arial"/>
          <w:sz w:val="21"/>
        </w:rPr>
      </w:pPr>
    </w:p>
    <w:p w14:paraId="17E710A9">
      <w:pPr>
        <w:rPr>
          <w:rFonts w:ascii="Arial" w:hAnsi="Arial" w:eastAsia="Arial" w:cs="Arial"/>
          <w:sz w:val="21"/>
          <w:szCs w:val="21"/>
        </w:rPr>
        <w:sectPr>
          <w:footerReference r:id="rId132" w:type="default"/>
          <w:pgSz w:w="16840" w:h="11907"/>
          <w:pgMar w:top="400" w:right="1475" w:bottom="1036" w:left="1588" w:header="0" w:footer="787" w:gutter="0"/>
          <w:cols w:space="720" w:num="1"/>
        </w:sectPr>
      </w:pPr>
    </w:p>
    <w:p w14:paraId="5752AD64">
      <w:pPr>
        <w:spacing w:before="42"/>
      </w:pPr>
    </w:p>
    <w:p w14:paraId="4A166D83">
      <w:pPr>
        <w:spacing w:before="41"/>
      </w:pPr>
    </w:p>
    <w:p w14:paraId="2E40B45B">
      <w:pPr>
        <w:spacing w:before="41"/>
      </w:pPr>
    </w:p>
    <w:p w14:paraId="7382DBFF">
      <w:pPr>
        <w:spacing w:before="41"/>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7"/>
        <w:gridCol w:w="1801"/>
        <w:gridCol w:w="3132"/>
        <w:gridCol w:w="897"/>
        <w:gridCol w:w="898"/>
        <w:gridCol w:w="898"/>
        <w:gridCol w:w="897"/>
        <w:gridCol w:w="898"/>
        <w:gridCol w:w="897"/>
        <w:gridCol w:w="897"/>
        <w:gridCol w:w="897"/>
        <w:gridCol w:w="902"/>
      </w:tblGrid>
      <w:tr w14:paraId="0FE6E9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57" w:type="dxa"/>
            <w:vMerge w:val="restart"/>
            <w:tcBorders>
              <w:bottom w:val="nil"/>
            </w:tcBorders>
            <w:vAlign w:val="top"/>
          </w:tcPr>
          <w:p w14:paraId="58F8E71A">
            <w:pPr>
              <w:pStyle w:val="6"/>
              <w:spacing w:before="301" w:line="229" w:lineRule="auto"/>
              <w:ind w:left="173"/>
            </w:pPr>
            <w:r>
              <w:rPr>
                <w:spacing w:val="5"/>
              </w:rPr>
              <w:t>序号</w:t>
            </w:r>
          </w:p>
        </w:tc>
        <w:tc>
          <w:tcPr>
            <w:tcW w:w="1801" w:type="dxa"/>
            <w:vMerge w:val="restart"/>
            <w:tcBorders>
              <w:bottom w:val="nil"/>
            </w:tcBorders>
            <w:vAlign w:val="top"/>
          </w:tcPr>
          <w:p w14:paraId="002C0DA6">
            <w:pPr>
              <w:pStyle w:val="6"/>
              <w:spacing w:before="301" w:line="228" w:lineRule="auto"/>
              <w:ind w:left="484"/>
            </w:pPr>
            <w:r>
              <w:rPr>
                <w:spacing w:val="7"/>
              </w:rPr>
              <w:t>评审因素</w:t>
            </w:r>
          </w:p>
        </w:tc>
        <w:tc>
          <w:tcPr>
            <w:tcW w:w="3132" w:type="dxa"/>
            <w:vMerge w:val="restart"/>
            <w:tcBorders>
              <w:bottom w:val="nil"/>
            </w:tcBorders>
            <w:vAlign w:val="top"/>
          </w:tcPr>
          <w:p w14:paraId="2BF581A6">
            <w:pPr>
              <w:pStyle w:val="6"/>
              <w:spacing w:before="301" w:line="228" w:lineRule="auto"/>
              <w:ind w:left="1150"/>
            </w:pPr>
            <w:r>
              <w:rPr>
                <w:spacing w:val="7"/>
              </w:rPr>
              <w:t>评审标准</w:t>
            </w:r>
          </w:p>
        </w:tc>
        <w:tc>
          <w:tcPr>
            <w:tcW w:w="8081" w:type="dxa"/>
            <w:gridSpan w:val="9"/>
            <w:vAlign w:val="top"/>
          </w:tcPr>
          <w:p w14:paraId="58DFC221">
            <w:pPr>
              <w:pStyle w:val="6"/>
              <w:spacing w:before="97" w:line="228" w:lineRule="auto"/>
              <w:ind w:left="2997"/>
            </w:pPr>
            <w:r>
              <w:rPr>
                <w:spacing w:val="8"/>
              </w:rPr>
              <w:t>投标人名称及评审意见</w:t>
            </w:r>
          </w:p>
        </w:tc>
      </w:tr>
      <w:tr w14:paraId="10B901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57" w:type="dxa"/>
            <w:vMerge w:val="continue"/>
            <w:tcBorders>
              <w:top w:val="nil"/>
            </w:tcBorders>
            <w:vAlign w:val="top"/>
          </w:tcPr>
          <w:p w14:paraId="6AEEA392">
            <w:pPr>
              <w:rPr>
                <w:rFonts w:ascii="Arial"/>
                <w:sz w:val="21"/>
              </w:rPr>
            </w:pPr>
          </w:p>
        </w:tc>
        <w:tc>
          <w:tcPr>
            <w:tcW w:w="1801" w:type="dxa"/>
            <w:vMerge w:val="continue"/>
            <w:tcBorders>
              <w:top w:val="nil"/>
            </w:tcBorders>
            <w:vAlign w:val="top"/>
          </w:tcPr>
          <w:p w14:paraId="7E5FE71F">
            <w:pPr>
              <w:rPr>
                <w:rFonts w:ascii="Arial"/>
                <w:sz w:val="21"/>
              </w:rPr>
            </w:pPr>
          </w:p>
        </w:tc>
        <w:tc>
          <w:tcPr>
            <w:tcW w:w="3132" w:type="dxa"/>
            <w:vMerge w:val="continue"/>
            <w:tcBorders>
              <w:top w:val="nil"/>
            </w:tcBorders>
            <w:vAlign w:val="top"/>
          </w:tcPr>
          <w:p w14:paraId="785A4B3C">
            <w:pPr>
              <w:rPr>
                <w:rFonts w:ascii="Arial"/>
                <w:sz w:val="21"/>
              </w:rPr>
            </w:pPr>
          </w:p>
        </w:tc>
        <w:tc>
          <w:tcPr>
            <w:tcW w:w="897" w:type="dxa"/>
            <w:vAlign w:val="top"/>
          </w:tcPr>
          <w:p w14:paraId="5AAF4C90">
            <w:pPr>
              <w:rPr>
                <w:rFonts w:ascii="Arial"/>
                <w:sz w:val="21"/>
              </w:rPr>
            </w:pPr>
          </w:p>
        </w:tc>
        <w:tc>
          <w:tcPr>
            <w:tcW w:w="898" w:type="dxa"/>
            <w:vAlign w:val="top"/>
          </w:tcPr>
          <w:p w14:paraId="32B1C35B">
            <w:pPr>
              <w:rPr>
                <w:rFonts w:ascii="Arial"/>
                <w:sz w:val="21"/>
              </w:rPr>
            </w:pPr>
          </w:p>
        </w:tc>
        <w:tc>
          <w:tcPr>
            <w:tcW w:w="898" w:type="dxa"/>
            <w:vAlign w:val="top"/>
          </w:tcPr>
          <w:p w14:paraId="1D2BFE12">
            <w:pPr>
              <w:rPr>
                <w:rFonts w:ascii="Arial"/>
                <w:sz w:val="21"/>
              </w:rPr>
            </w:pPr>
          </w:p>
        </w:tc>
        <w:tc>
          <w:tcPr>
            <w:tcW w:w="897" w:type="dxa"/>
            <w:vAlign w:val="top"/>
          </w:tcPr>
          <w:p w14:paraId="5CE24E89">
            <w:pPr>
              <w:rPr>
                <w:rFonts w:ascii="Arial"/>
                <w:sz w:val="21"/>
              </w:rPr>
            </w:pPr>
          </w:p>
        </w:tc>
        <w:tc>
          <w:tcPr>
            <w:tcW w:w="898" w:type="dxa"/>
            <w:vAlign w:val="top"/>
          </w:tcPr>
          <w:p w14:paraId="60BD0A8D">
            <w:pPr>
              <w:rPr>
                <w:rFonts w:ascii="Arial"/>
                <w:sz w:val="21"/>
              </w:rPr>
            </w:pPr>
          </w:p>
        </w:tc>
        <w:tc>
          <w:tcPr>
            <w:tcW w:w="897" w:type="dxa"/>
            <w:vAlign w:val="top"/>
          </w:tcPr>
          <w:p w14:paraId="11D5C961">
            <w:pPr>
              <w:rPr>
                <w:rFonts w:ascii="Arial"/>
                <w:sz w:val="21"/>
              </w:rPr>
            </w:pPr>
          </w:p>
        </w:tc>
        <w:tc>
          <w:tcPr>
            <w:tcW w:w="897" w:type="dxa"/>
            <w:vAlign w:val="top"/>
          </w:tcPr>
          <w:p w14:paraId="18B60F90">
            <w:pPr>
              <w:rPr>
                <w:rFonts w:ascii="Arial"/>
                <w:sz w:val="21"/>
              </w:rPr>
            </w:pPr>
          </w:p>
        </w:tc>
        <w:tc>
          <w:tcPr>
            <w:tcW w:w="897" w:type="dxa"/>
            <w:vAlign w:val="top"/>
          </w:tcPr>
          <w:p w14:paraId="52A11CF3">
            <w:pPr>
              <w:rPr>
                <w:rFonts w:ascii="Arial"/>
                <w:sz w:val="21"/>
              </w:rPr>
            </w:pPr>
          </w:p>
        </w:tc>
        <w:tc>
          <w:tcPr>
            <w:tcW w:w="902" w:type="dxa"/>
            <w:vAlign w:val="top"/>
          </w:tcPr>
          <w:p w14:paraId="03E9324F">
            <w:pPr>
              <w:rPr>
                <w:rFonts w:ascii="Arial"/>
                <w:sz w:val="21"/>
              </w:rPr>
            </w:pPr>
          </w:p>
        </w:tc>
      </w:tr>
      <w:tr w14:paraId="654A15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57" w:type="dxa"/>
            <w:vAlign w:val="top"/>
          </w:tcPr>
          <w:p w14:paraId="28BD74BB">
            <w:pPr>
              <w:spacing w:before="303" w:line="272" w:lineRule="exact"/>
              <w:ind w:left="331"/>
              <w:rPr>
                <w:rFonts w:ascii="黑体" w:hAnsi="黑体" w:eastAsia="黑体" w:cs="黑体"/>
                <w:sz w:val="20"/>
                <w:szCs w:val="20"/>
              </w:rPr>
            </w:pPr>
            <w:r>
              <w:rPr>
                <w:rFonts w:ascii="黑体" w:hAnsi="黑体" w:eastAsia="黑体" w:cs="黑体"/>
                <w:position w:val="1"/>
                <w:sz w:val="20"/>
                <w:szCs w:val="20"/>
              </w:rPr>
              <w:t>6</w:t>
            </w:r>
          </w:p>
        </w:tc>
        <w:tc>
          <w:tcPr>
            <w:tcW w:w="1801" w:type="dxa"/>
            <w:vAlign w:val="top"/>
          </w:tcPr>
          <w:p w14:paraId="0E9CF779">
            <w:pPr>
              <w:pStyle w:val="6"/>
              <w:spacing w:before="302" w:line="228" w:lineRule="auto"/>
              <w:ind w:left="484"/>
            </w:pPr>
            <w:r>
              <w:rPr>
                <w:spacing w:val="7"/>
              </w:rPr>
              <w:t>权利义务</w:t>
            </w:r>
          </w:p>
        </w:tc>
        <w:tc>
          <w:tcPr>
            <w:tcW w:w="3132" w:type="dxa"/>
            <w:vAlign w:val="top"/>
          </w:tcPr>
          <w:p w14:paraId="3B235B71">
            <w:pPr>
              <w:pStyle w:val="6"/>
              <w:spacing w:before="30"/>
              <w:ind w:left="114" w:right="106"/>
              <w:jc w:val="both"/>
            </w:pPr>
            <w:r>
              <w:rPr>
                <w:spacing w:val="23"/>
              </w:rPr>
              <w:t>投标函附录中的相关承诺符合</w:t>
            </w:r>
            <w:r>
              <w:rPr>
                <w:spacing w:val="19"/>
              </w:rPr>
              <w:t>或优于第四章</w:t>
            </w:r>
            <w:r>
              <w:rPr>
                <w:spacing w:val="-69"/>
              </w:rPr>
              <w:t xml:space="preserve"> </w:t>
            </w:r>
            <w:r>
              <w:rPr>
                <w:spacing w:val="19"/>
              </w:rPr>
              <w:t>“</w:t>
            </w:r>
            <w:r>
              <w:rPr>
                <w:spacing w:val="-74"/>
              </w:rPr>
              <w:t xml:space="preserve"> </w:t>
            </w:r>
            <w:r>
              <w:rPr>
                <w:spacing w:val="19"/>
              </w:rPr>
              <w:t>合同条款及格</w:t>
            </w:r>
            <w:r>
              <w:rPr>
                <w:spacing w:val="-1"/>
              </w:rPr>
              <w:t>式</w:t>
            </w:r>
            <w:r>
              <w:rPr>
                <w:spacing w:val="-70"/>
              </w:rPr>
              <w:t xml:space="preserve"> </w:t>
            </w:r>
            <w:r>
              <w:rPr>
                <w:spacing w:val="-1"/>
              </w:rPr>
              <w:t>”规定</w:t>
            </w:r>
          </w:p>
        </w:tc>
        <w:tc>
          <w:tcPr>
            <w:tcW w:w="897" w:type="dxa"/>
            <w:vAlign w:val="top"/>
          </w:tcPr>
          <w:p w14:paraId="3D547970">
            <w:pPr>
              <w:rPr>
                <w:rFonts w:ascii="Arial"/>
                <w:sz w:val="21"/>
              </w:rPr>
            </w:pPr>
          </w:p>
        </w:tc>
        <w:tc>
          <w:tcPr>
            <w:tcW w:w="898" w:type="dxa"/>
            <w:vAlign w:val="top"/>
          </w:tcPr>
          <w:p w14:paraId="0A9A1E1A">
            <w:pPr>
              <w:rPr>
                <w:rFonts w:ascii="Arial"/>
                <w:sz w:val="21"/>
              </w:rPr>
            </w:pPr>
          </w:p>
        </w:tc>
        <w:tc>
          <w:tcPr>
            <w:tcW w:w="898" w:type="dxa"/>
            <w:vAlign w:val="top"/>
          </w:tcPr>
          <w:p w14:paraId="2FEC3605">
            <w:pPr>
              <w:rPr>
                <w:rFonts w:ascii="Arial"/>
                <w:sz w:val="21"/>
              </w:rPr>
            </w:pPr>
          </w:p>
        </w:tc>
        <w:tc>
          <w:tcPr>
            <w:tcW w:w="897" w:type="dxa"/>
            <w:vAlign w:val="top"/>
          </w:tcPr>
          <w:p w14:paraId="438B5192">
            <w:pPr>
              <w:rPr>
                <w:rFonts w:ascii="Arial"/>
                <w:sz w:val="21"/>
              </w:rPr>
            </w:pPr>
          </w:p>
        </w:tc>
        <w:tc>
          <w:tcPr>
            <w:tcW w:w="898" w:type="dxa"/>
            <w:vAlign w:val="top"/>
          </w:tcPr>
          <w:p w14:paraId="7C6D93BF">
            <w:pPr>
              <w:rPr>
                <w:rFonts w:ascii="Arial"/>
                <w:sz w:val="21"/>
              </w:rPr>
            </w:pPr>
          </w:p>
        </w:tc>
        <w:tc>
          <w:tcPr>
            <w:tcW w:w="897" w:type="dxa"/>
            <w:vAlign w:val="top"/>
          </w:tcPr>
          <w:p w14:paraId="3485DCA4">
            <w:pPr>
              <w:rPr>
                <w:rFonts w:ascii="Arial"/>
                <w:sz w:val="21"/>
              </w:rPr>
            </w:pPr>
          </w:p>
        </w:tc>
        <w:tc>
          <w:tcPr>
            <w:tcW w:w="897" w:type="dxa"/>
            <w:vAlign w:val="top"/>
          </w:tcPr>
          <w:p w14:paraId="01689D1C">
            <w:pPr>
              <w:rPr>
                <w:rFonts w:ascii="Arial"/>
                <w:sz w:val="21"/>
              </w:rPr>
            </w:pPr>
          </w:p>
        </w:tc>
        <w:tc>
          <w:tcPr>
            <w:tcW w:w="897" w:type="dxa"/>
            <w:vAlign w:val="top"/>
          </w:tcPr>
          <w:p w14:paraId="2A803D4D">
            <w:pPr>
              <w:rPr>
                <w:rFonts w:ascii="Arial"/>
                <w:sz w:val="21"/>
              </w:rPr>
            </w:pPr>
          </w:p>
        </w:tc>
        <w:tc>
          <w:tcPr>
            <w:tcW w:w="902" w:type="dxa"/>
            <w:vAlign w:val="top"/>
          </w:tcPr>
          <w:p w14:paraId="3E2A4D49">
            <w:pPr>
              <w:rPr>
                <w:rFonts w:ascii="Arial"/>
                <w:sz w:val="21"/>
              </w:rPr>
            </w:pPr>
          </w:p>
        </w:tc>
      </w:tr>
      <w:tr w14:paraId="6AEB33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Align w:val="top"/>
          </w:tcPr>
          <w:p w14:paraId="5D3E6DF1">
            <w:pPr>
              <w:spacing w:before="168" w:line="275" w:lineRule="exact"/>
              <w:ind w:left="333"/>
              <w:rPr>
                <w:rFonts w:ascii="黑体" w:hAnsi="黑体" w:eastAsia="黑体" w:cs="黑体"/>
                <w:sz w:val="20"/>
                <w:szCs w:val="20"/>
              </w:rPr>
            </w:pPr>
            <w:r>
              <w:rPr>
                <w:rFonts w:ascii="黑体" w:hAnsi="黑体" w:eastAsia="黑体" w:cs="黑体"/>
                <w:position w:val="1"/>
                <w:sz w:val="20"/>
                <w:szCs w:val="20"/>
              </w:rPr>
              <w:t>7</w:t>
            </w:r>
          </w:p>
        </w:tc>
        <w:tc>
          <w:tcPr>
            <w:tcW w:w="1801" w:type="dxa"/>
            <w:vAlign w:val="top"/>
          </w:tcPr>
          <w:p w14:paraId="5C58E1D6">
            <w:pPr>
              <w:pStyle w:val="6"/>
              <w:spacing w:before="168" w:line="228" w:lineRule="auto"/>
              <w:ind w:left="171"/>
            </w:pPr>
            <w:r>
              <w:rPr>
                <w:spacing w:val="8"/>
              </w:rPr>
              <w:t>技术标准和要求</w:t>
            </w:r>
          </w:p>
        </w:tc>
        <w:tc>
          <w:tcPr>
            <w:tcW w:w="3132" w:type="dxa"/>
            <w:vAlign w:val="top"/>
          </w:tcPr>
          <w:p w14:paraId="1A23C4AE">
            <w:pPr>
              <w:pStyle w:val="6"/>
              <w:spacing w:before="30" w:line="235" w:lineRule="auto"/>
              <w:ind w:left="112"/>
            </w:pPr>
            <w:r>
              <w:rPr>
                <w:spacing w:val="13"/>
              </w:rPr>
              <w:t>符合第七章“技术标准和要求</w:t>
            </w:r>
            <w:r>
              <w:rPr>
                <w:spacing w:val="-70"/>
              </w:rPr>
              <w:t xml:space="preserve"> </w:t>
            </w:r>
            <w:r>
              <w:rPr>
                <w:spacing w:val="13"/>
              </w:rPr>
              <w:t>”</w:t>
            </w:r>
            <w:r>
              <w:rPr>
                <w:spacing w:val="3"/>
              </w:rPr>
              <w:t>规定</w:t>
            </w:r>
          </w:p>
        </w:tc>
        <w:tc>
          <w:tcPr>
            <w:tcW w:w="897" w:type="dxa"/>
            <w:vAlign w:val="top"/>
          </w:tcPr>
          <w:p w14:paraId="1A15F166">
            <w:pPr>
              <w:rPr>
                <w:rFonts w:ascii="Arial"/>
                <w:sz w:val="21"/>
              </w:rPr>
            </w:pPr>
          </w:p>
        </w:tc>
        <w:tc>
          <w:tcPr>
            <w:tcW w:w="898" w:type="dxa"/>
            <w:vAlign w:val="top"/>
          </w:tcPr>
          <w:p w14:paraId="005E1FD7">
            <w:pPr>
              <w:rPr>
                <w:rFonts w:ascii="Arial"/>
                <w:sz w:val="21"/>
              </w:rPr>
            </w:pPr>
          </w:p>
        </w:tc>
        <w:tc>
          <w:tcPr>
            <w:tcW w:w="898" w:type="dxa"/>
            <w:vAlign w:val="top"/>
          </w:tcPr>
          <w:p w14:paraId="1E20BDDB">
            <w:pPr>
              <w:rPr>
                <w:rFonts w:ascii="Arial"/>
                <w:sz w:val="21"/>
              </w:rPr>
            </w:pPr>
          </w:p>
        </w:tc>
        <w:tc>
          <w:tcPr>
            <w:tcW w:w="897" w:type="dxa"/>
            <w:vAlign w:val="top"/>
          </w:tcPr>
          <w:p w14:paraId="78880D84">
            <w:pPr>
              <w:rPr>
                <w:rFonts w:ascii="Arial"/>
                <w:sz w:val="21"/>
              </w:rPr>
            </w:pPr>
          </w:p>
        </w:tc>
        <w:tc>
          <w:tcPr>
            <w:tcW w:w="898" w:type="dxa"/>
            <w:vAlign w:val="top"/>
          </w:tcPr>
          <w:p w14:paraId="52927DB3">
            <w:pPr>
              <w:rPr>
                <w:rFonts w:ascii="Arial"/>
                <w:sz w:val="21"/>
              </w:rPr>
            </w:pPr>
          </w:p>
        </w:tc>
        <w:tc>
          <w:tcPr>
            <w:tcW w:w="897" w:type="dxa"/>
            <w:vAlign w:val="top"/>
          </w:tcPr>
          <w:p w14:paraId="5DACD705">
            <w:pPr>
              <w:rPr>
                <w:rFonts w:ascii="Arial"/>
                <w:sz w:val="21"/>
              </w:rPr>
            </w:pPr>
          </w:p>
        </w:tc>
        <w:tc>
          <w:tcPr>
            <w:tcW w:w="897" w:type="dxa"/>
            <w:vAlign w:val="top"/>
          </w:tcPr>
          <w:p w14:paraId="1408E70A">
            <w:pPr>
              <w:rPr>
                <w:rFonts w:ascii="Arial"/>
                <w:sz w:val="21"/>
              </w:rPr>
            </w:pPr>
          </w:p>
        </w:tc>
        <w:tc>
          <w:tcPr>
            <w:tcW w:w="897" w:type="dxa"/>
            <w:vAlign w:val="top"/>
          </w:tcPr>
          <w:p w14:paraId="4DA3C461">
            <w:pPr>
              <w:rPr>
                <w:rFonts w:ascii="Arial"/>
                <w:sz w:val="21"/>
              </w:rPr>
            </w:pPr>
          </w:p>
        </w:tc>
        <w:tc>
          <w:tcPr>
            <w:tcW w:w="902" w:type="dxa"/>
            <w:vAlign w:val="top"/>
          </w:tcPr>
          <w:p w14:paraId="39D257BC">
            <w:pPr>
              <w:rPr>
                <w:rFonts w:ascii="Arial"/>
                <w:sz w:val="21"/>
              </w:rPr>
            </w:pPr>
          </w:p>
        </w:tc>
      </w:tr>
      <w:tr w14:paraId="07D58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7" w:type="dxa"/>
            <w:vAlign w:val="top"/>
          </w:tcPr>
          <w:p w14:paraId="7170F7A0">
            <w:pPr>
              <w:spacing w:before="165" w:line="273" w:lineRule="exact"/>
              <w:ind w:left="330"/>
              <w:rPr>
                <w:rFonts w:ascii="黑体" w:hAnsi="黑体" w:eastAsia="黑体" w:cs="黑体"/>
                <w:sz w:val="20"/>
                <w:szCs w:val="20"/>
              </w:rPr>
            </w:pPr>
            <w:r>
              <w:rPr>
                <w:rFonts w:ascii="黑体" w:hAnsi="黑体" w:eastAsia="黑体" w:cs="黑体"/>
                <w:position w:val="1"/>
                <w:sz w:val="20"/>
                <w:szCs w:val="20"/>
              </w:rPr>
              <w:t>8</w:t>
            </w:r>
          </w:p>
        </w:tc>
        <w:tc>
          <w:tcPr>
            <w:tcW w:w="1801" w:type="dxa"/>
            <w:vAlign w:val="top"/>
          </w:tcPr>
          <w:p w14:paraId="23E26092">
            <w:pPr>
              <w:pStyle w:val="6"/>
              <w:spacing w:before="165" w:line="228" w:lineRule="auto"/>
              <w:ind w:left="487"/>
            </w:pPr>
            <w:r>
              <w:rPr>
                <w:spacing w:val="6"/>
              </w:rPr>
              <w:t>分包计划</w:t>
            </w:r>
          </w:p>
        </w:tc>
        <w:tc>
          <w:tcPr>
            <w:tcW w:w="3132" w:type="dxa"/>
            <w:vAlign w:val="top"/>
          </w:tcPr>
          <w:p w14:paraId="734995BF">
            <w:pPr>
              <w:pStyle w:val="6"/>
              <w:spacing w:before="32" w:line="234" w:lineRule="auto"/>
              <w:ind w:left="126" w:right="106" w:hanging="13"/>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2"/>
              </w:rPr>
              <w:t>1.11</w:t>
            </w:r>
            <w:r>
              <w:rPr>
                <w:spacing w:val="-37"/>
              </w:rPr>
              <w:t xml:space="preserve"> </w:t>
            </w:r>
            <w:r>
              <w:rPr>
                <w:spacing w:val="2"/>
              </w:rPr>
              <w:t>款规定</w:t>
            </w:r>
          </w:p>
        </w:tc>
        <w:tc>
          <w:tcPr>
            <w:tcW w:w="897" w:type="dxa"/>
            <w:vAlign w:val="top"/>
          </w:tcPr>
          <w:p w14:paraId="36454E53">
            <w:pPr>
              <w:rPr>
                <w:rFonts w:ascii="Arial"/>
                <w:sz w:val="21"/>
              </w:rPr>
            </w:pPr>
          </w:p>
        </w:tc>
        <w:tc>
          <w:tcPr>
            <w:tcW w:w="898" w:type="dxa"/>
            <w:vAlign w:val="top"/>
          </w:tcPr>
          <w:p w14:paraId="30DC83FC">
            <w:pPr>
              <w:rPr>
                <w:rFonts w:ascii="Arial"/>
                <w:sz w:val="21"/>
              </w:rPr>
            </w:pPr>
          </w:p>
        </w:tc>
        <w:tc>
          <w:tcPr>
            <w:tcW w:w="898" w:type="dxa"/>
            <w:vAlign w:val="top"/>
          </w:tcPr>
          <w:p w14:paraId="6DD579D0">
            <w:pPr>
              <w:rPr>
                <w:rFonts w:ascii="Arial"/>
                <w:sz w:val="21"/>
              </w:rPr>
            </w:pPr>
          </w:p>
        </w:tc>
        <w:tc>
          <w:tcPr>
            <w:tcW w:w="897" w:type="dxa"/>
            <w:vAlign w:val="top"/>
          </w:tcPr>
          <w:p w14:paraId="46672FD9">
            <w:pPr>
              <w:rPr>
                <w:rFonts w:ascii="Arial"/>
                <w:sz w:val="21"/>
              </w:rPr>
            </w:pPr>
          </w:p>
        </w:tc>
        <w:tc>
          <w:tcPr>
            <w:tcW w:w="898" w:type="dxa"/>
            <w:vAlign w:val="top"/>
          </w:tcPr>
          <w:p w14:paraId="2829D812">
            <w:pPr>
              <w:rPr>
                <w:rFonts w:ascii="Arial"/>
                <w:sz w:val="21"/>
              </w:rPr>
            </w:pPr>
          </w:p>
        </w:tc>
        <w:tc>
          <w:tcPr>
            <w:tcW w:w="897" w:type="dxa"/>
            <w:vAlign w:val="top"/>
          </w:tcPr>
          <w:p w14:paraId="03DB9B42">
            <w:pPr>
              <w:rPr>
                <w:rFonts w:ascii="Arial"/>
                <w:sz w:val="21"/>
              </w:rPr>
            </w:pPr>
          </w:p>
        </w:tc>
        <w:tc>
          <w:tcPr>
            <w:tcW w:w="897" w:type="dxa"/>
            <w:vAlign w:val="top"/>
          </w:tcPr>
          <w:p w14:paraId="68273977">
            <w:pPr>
              <w:rPr>
                <w:rFonts w:ascii="Arial"/>
                <w:sz w:val="21"/>
              </w:rPr>
            </w:pPr>
          </w:p>
        </w:tc>
        <w:tc>
          <w:tcPr>
            <w:tcW w:w="897" w:type="dxa"/>
            <w:vAlign w:val="top"/>
          </w:tcPr>
          <w:p w14:paraId="47E93684">
            <w:pPr>
              <w:rPr>
                <w:rFonts w:ascii="Arial"/>
                <w:sz w:val="21"/>
              </w:rPr>
            </w:pPr>
          </w:p>
        </w:tc>
        <w:tc>
          <w:tcPr>
            <w:tcW w:w="902" w:type="dxa"/>
            <w:vAlign w:val="top"/>
          </w:tcPr>
          <w:p w14:paraId="17188345">
            <w:pPr>
              <w:rPr>
                <w:rFonts w:ascii="Arial"/>
                <w:sz w:val="21"/>
              </w:rPr>
            </w:pPr>
          </w:p>
        </w:tc>
      </w:tr>
      <w:tr w14:paraId="3AF92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Merge w:val="restart"/>
            <w:tcBorders>
              <w:bottom w:val="nil"/>
            </w:tcBorders>
            <w:vAlign w:val="top"/>
          </w:tcPr>
          <w:p w14:paraId="0C0041F3">
            <w:pPr>
              <w:spacing w:line="256" w:lineRule="auto"/>
              <w:rPr>
                <w:rFonts w:ascii="Arial"/>
                <w:sz w:val="21"/>
              </w:rPr>
            </w:pPr>
          </w:p>
          <w:p w14:paraId="330EBA4D">
            <w:pPr>
              <w:spacing w:line="256" w:lineRule="auto"/>
              <w:rPr>
                <w:rFonts w:ascii="Arial"/>
                <w:sz w:val="21"/>
              </w:rPr>
            </w:pPr>
          </w:p>
          <w:p w14:paraId="0AC745E6">
            <w:pPr>
              <w:spacing w:before="65" w:line="273" w:lineRule="exact"/>
              <w:ind w:left="326"/>
              <w:rPr>
                <w:rFonts w:ascii="黑体" w:hAnsi="黑体" w:eastAsia="黑体" w:cs="黑体"/>
                <w:sz w:val="20"/>
                <w:szCs w:val="20"/>
              </w:rPr>
            </w:pPr>
            <w:r>
              <w:rPr>
                <w:rFonts w:ascii="黑体" w:hAnsi="黑体" w:eastAsia="黑体" w:cs="黑体"/>
                <w:spacing w:val="1"/>
                <w:position w:val="1"/>
                <w:sz w:val="20"/>
                <w:szCs w:val="20"/>
              </w:rPr>
              <w:t>9</w:t>
            </w:r>
          </w:p>
        </w:tc>
        <w:tc>
          <w:tcPr>
            <w:tcW w:w="1801" w:type="dxa"/>
            <w:vMerge w:val="restart"/>
            <w:tcBorders>
              <w:bottom w:val="nil"/>
            </w:tcBorders>
            <w:vAlign w:val="top"/>
          </w:tcPr>
          <w:p w14:paraId="7FB474EF">
            <w:pPr>
              <w:spacing w:line="377" w:lineRule="auto"/>
              <w:rPr>
                <w:rFonts w:ascii="Arial"/>
                <w:sz w:val="21"/>
              </w:rPr>
            </w:pPr>
          </w:p>
          <w:p w14:paraId="6432B7D3">
            <w:pPr>
              <w:pStyle w:val="6"/>
              <w:spacing w:before="65" w:line="226" w:lineRule="auto"/>
              <w:ind w:left="487"/>
            </w:pPr>
            <w:r>
              <w:rPr>
                <w:spacing w:val="6"/>
              </w:rPr>
              <w:t>投标报价</w:t>
            </w:r>
          </w:p>
          <w:p w14:paraId="0AC92508">
            <w:pPr>
              <w:pStyle w:val="6"/>
              <w:spacing w:before="28" w:line="228" w:lineRule="auto"/>
              <w:ind w:left="275"/>
            </w:pPr>
            <w:r>
              <w:rPr>
                <w:spacing w:val="7"/>
              </w:rPr>
              <w:t>算术错误修正</w:t>
            </w:r>
          </w:p>
        </w:tc>
        <w:tc>
          <w:tcPr>
            <w:tcW w:w="3132" w:type="dxa"/>
            <w:vAlign w:val="top"/>
          </w:tcPr>
          <w:p w14:paraId="4D6719BF">
            <w:pPr>
              <w:pStyle w:val="6"/>
              <w:spacing w:before="30" w:line="235" w:lineRule="auto"/>
              <w:ind w:left="110" w:right="106" w:firstLine="4"/>
            </w:pPr>
            <w:r>
              <w:rPr>
                <w:spacing w:val="23"/>
              </w:rPr>
              <w:t>投标人接受算术错误修正后的</w:t>
            </w:r>
            <w:r>
              <w:rPr>
                <w:spacing w:val="5"/>
              </w:rPr>
              <w:t>报价</w:t>
            </w:r>
          </w:p>
        </w:tc>
        <w:tc>
          <w:tcPr>
            <w:tcW w:w="897" w:type="dxa"/>
            <w:vAlign w:val="top"/>
          </w:tcPr>
          <w:p w14:paraId="74D0DA7F">
            <w:pPr>
              <w:rPr>
                <w:rFonts w:ascii="Arial"/>
                <w:sz w:val="21"/>
              </w:rPr>
            </w:pPr>
          </w:p>
        </w:tc>
        <w:tc>
          <w:tcPr>
            <w:tcW w:w="898" w:type="dxa"/>
            <w:vAlign w:val="top"/>
          </w:tcPr>
          <w:p w14:paraId="071E51D5">
            <w:pPr>
              <w:rPr>
                <w:rFonts w:ascii="Arial"/>
                <w:sz w:val="21"/>
              </w:rPr>
            </w:pPr>
          </w:p>
        </w:tc>
        <w:tc>
          <w:tcPr>
            <w:tcW w:w="898" w:type="dxa"/>
            <w:vAlign w:val="top"/>
          </w:tcPr>
          <w:p w14:paraId="7A8AD581">
            <w:pPr>
              <w:rPr>
                <w:rFonts w:ascii="Arial"/>
                <w:sz w:val="21"/>
              </w:rPr>
            </w:pPr>
          </w:p>
        </w:tc>
        <w:tc>
          <w:tcPr>
            <w:tcW w:w="897" w:type="dxa"/>
            <w:vAlign w:val="top"/>
          </w:tcPr>
          <w:p w14:paraId="7CE70741">
            <w:pPr>
              <w:rPr>
                <w:rFonts w:ascii="Arial"/>
                <w:sz w:val="21"/>
              </w:rPr>
            </w:pPr>
          </w:p>
        </w:tc>
        <w:tc>
          <w:tcPr>
            <w:tcW w:w="898" w:type="dxa"/>
            <w:vAlign w:val="top"/>
          </w:tcPr>
          <w:p w14:paraId="0E5AB327">
            <w:pPr>
              <w:rPr>
                <w:rFonts w:ascii="Arial"/>
                <w:sz w:val="21"/>
              </w:rPr>
            </w:pPr>
          </w:p>
        </w:tc>
        <w:tc>
          <w:tcPr>
            <w:tcW w:w="897" w:type="dxa"/>
            <w:vAlign w:val="top"/>
          </w:tcPr>
          <w:p w14:paraId="7200F2E4">
            <w:pPr>
              <w:rPr>
                <w:rFonts w:ascii="Arial"/>
                <w:sz w:val="21"/>
              </w:rPr>
            </w:pPr>
          </w:p>
        </w:tc>
        <w:tc>
          <w:tcPr>
            <w:tcW w:w="897" w:type="dxa"/>
            <w:vAlign w:val="top"/>
          </w:tcPr>
          <w:p w14:paraId="0A9513D3">
            <w:pPr>
              <w:rPr>
                <w:rFonts w:ascii="Arial"/>
                <w:sz w:val="21"/>
              </w:rPr>
            </w:pPr>
          </w:p>
        </w:tc>
        <w:tc>
          <w:tcPr>
            <w:tcW w:w="897" w:type="dxa"/>
            <w:vAlign w:val="top"/>
          </w:tcPr>
          <w:p w14:paraId="23796F46">
            <w:pPr>
              <w:rPr>
                <w:rFonts w:ascii="Arial"/>
                <w:sz w:val="21"/>
              </w:rPr>
            </w:pPr>
          </w:p>
        </w:tc>
        <w:tc>
          <w:tcPr>
            <w:tcW w:w="902" w:type="dxa"/>
            <w:vAlign w:val="top"/>
          </w:tcPr>
          <w:p w14:paraId="688DCC0D">
            <w:pPr>
              <w:rPr>
                <w:rFonts w:ascii="Arial"/>
                <w:sz w:val="21"/>
              </w:rPr>
            </w:pPr>
          </w:p>
        </w:tc>
      </w:tr>
      <w:tr w14:paraId="171E3C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57" w:type="dxa"/>
            <w:vMerge w:val="continue"/>
            <w:tcBorders>
              <w:top w:val="nil"/>
            </w:tcBorders>
            <w:vAlign w:val="top"/>
          </w:tcPr>
          <w:p w14:paraId="00F2B91D">
            <w:pPr>
              <w:rPr>
                <w:rFonts w:ascii="Arial"/>
                <w:sz w:val="21"/>
              </w:rPr>
            </w:pPr>
          </w:p>
        </w:tc>
        <w:tc>
          <w:tcPr>
            <w:tcW w:w="1801" w:type="dxa"/>
            <w:vMerge w:val="continue"/>
            <w:tcBorders>
              <w:top w:val="nil"/>
            </w:tcBorders>
            <w:vAlign w:val="top"/>
          </w:tcPr>
          <w:p w14:paraId="3550C434">
            <w:pPr>
              <w:rPr>
                <w:rFonts w:ascii="Arial"/>
                <w:sz w:val="21"/>
              </w:rPr>
            </w:pPr>
          </w:p>
        </w:tc>
        <w:tc>
          <w:tcPr>
            <w:tcW w:w="3132" w:type="dxa"/>
            <w:vAlign w:val="top"/>
          </w:tcPr>
          <w:p w14:paraId="3418A558">
            <w:pPr>
              <w:pStyle w:val="6"/>
              <w:spacing w:before="34" w:line="239" w:lineRule="auto"/>
              <w:ind w:left="113" w:right="106"/>
              <w:jc w:val="both"/>
            </w:pPr>
            <w:r>
              <w:rPr>
                <w:spacing w:val="23"/>
              </w:rPr>
              <w:t>算术错误修正后的投标总价与投标总价相比偏差率不超过±</w:t>
            </w:r>
            <w:r>
              <w:rPr>
                <w:spacing w:val="5"/>
              </w:rPr>
              <w:t xml:space="preserve"> </w:t>
            </w:r>
            <w:r>
              <w:rPr>
                <w:spacing w:val="-1"/>
              </w:rPr>
              <w:t>1%</w:t>
            </w:r>
          </w:p>
        </w:tc>
        <w:tc>
          <w:tcPr>
            <w:tcW w:w="897" w:type="dxa"/>
            <w:vAlign w:val="top"/>
          </w:tcPr>
          <w:p w14:paraId="21346D00">
            <w:pPr>
              <w:rPr>
                <w:rFonts w:ascii="Arial"/>
                <w:sz w:val="21"/>
              </w:rPr>
            </w:pPr>
          </w:p>
        </w:tc>
        <w:tc>
          <w:tcPr>
            <w:tcW w:w="898" w:type="dxa"/>
            <w:vAlign w:val="top"/>
          </w:tcPr>
          <w:p w14:paraId="3130AD2B">
            <w:pPr>
              <w:rPr>
                <w:rFonts w:ascii="Arial"/>
                <w:sz w:val="21"/>
              </w:rPr>
            </w:pPr>
          </w:p>
        </w:tc>
        <w:tc>
          <w:tcPr>
            <w:tcW w:w="898" w:type="dxa"/>
            <w:vAlign w:val="top"/>
          </w:tcPr>
          <w:p w14:paraId="36A8D4A3">
            <w:pPr>
              <w:rPr>
                <w:rFonts w:ascii="Arial"/>
                <w:sz w:val="21"/>
              </w:rPr>
            </w:pPr>
          </w:p>
        </w:tc>
        <w:tc>
          <w:tcPr>
            <w:tcW w:w="897" w:type="dxa"/>
            <w:vAlign w:val="top"/>
          </w:tcPr>
          <w:p w14:paraId="3EA58623">
            <w:pPr>
              <w:rPr>
                <w:rFonts w:ascii="Arial"/>
                <w:sz w:val="21"/>
              </w:rPr>
            </w:pPr>
          </w:p>
        </w:tc>
        <w:tc>
          <w:tcPr>
            <w:tcW w:w="898" w:type="dxa"/>
            <w:vAlign w:val="top"/>
          </w:tcPr>
          <w:p w14:paraId="6941B086">
            <w:pPr>
              <w:rPr>
                <w:rFonts w:ascii="Arial"/>
                <w:sz w:val="21"/>
              </w:rPr>
            </w:pPr>
          </w:p>
        </w:tc>
        <w:tc>
          <w:tcPr>
            <w:tcW w:w="897" w:type="dxa"/>
            <w:vAlign w:val="top"/>
          </w:tcPr>
          <w:p w14:paraId="1B18B909">
            <w:pPr>
              <w:rPr>
                <w:rFonts w:ascii="Arial"/>
                <w:sz w:val="21"/>
              </w:rPr>
            </w:pPr>
          </w:p>
        </w:tc>
        <w:tc>
          <w:tcPr>
            <w:tcW w:w="897" w:type="dxa"/>
            <w:vAlign w:val="top"/>
          </w:tcPr>
          <w:p w14:paraId="1AF76CB5">
            <w:pPr>
              <w:rPr>
                <w:rFonts w:ascii="Arial"/>
                <w:sz w:val="21"/>
              </w:rPr>
            </w:pPr>
          </w:p>
        </w:tc>
        <w:tc>
          <w:tcPr>
            <w:tcW w:w="897" w:type="dxa"/>
            <w:vAlign w:val="top"/>
          </w:tcPr>
          <w:p w14:paraId="2A9E47C8">
            <w:pPr>
              <w:rPr>
                <w:rFonts w:ascii="Arial"/>
                <w:sz w:val="21"/>
              </w:rPr>
            </w:pPr>
          </w:p>
        </w:tc>
        <w:tc>
          <w:tcPr>
            <w:tcW w:w="902" w:type="dxa"/>
            <w:vAlign w:val="top"/>
          </w:tcPr>
          <w:p w14:paraId="52FF0F4B">
            <w:pPr>
              <w:rPr>
                <w:rFonts w:ascii="Arial"/>
                <w:sz w:val="21"/>
              </w:rPr>
            </w:pPr>
          </w:p>
        </w:tc>
      </w:tr>
      <w:tr w14:paraId="5BBAD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57" w:type="dxa"/>
            <w:vMerge w:val="restart"/>
            <w:tcBorders>
              <w:bottom w:val="nil"/>
            </w:tcBorders>
            <w:vAlign w:val="top"/>
          </w:tcPr>
          <w:p w14:paraId="67CFA162">
            <w:pPr>
              <w:rPr>
                <w:rFonts w:ascii="Arial"/>
                <w:sz w:val="21"/>
              </w:rPr>
            </w:pPr>
          </w:p>
          <w:p w14:paraId="6C1CFB2B">
            <w:pPr>
              <w:rPr>
                <w:rFonts w:ascii="Arial"/>
                <w:sz w:val="21"/>
              </w:rPr>
            </w:pPr>
          </w:p>
          <w:p w14:paraId="39A3651C">
            <w:pPr>
              <w:rPr>
                <w:rFonts w:ascii="Arial"/>
                <w:sz w:val="21"/>
              </w:rPr>
            </w:pPr>
          </w:p>
          <w:p w14:paraId="197001CF">
            <w:pPr>
              <w:rPr>
                <w:rFonts w:ascii="Arial"/>
                <w:sz w:val="21"/>
              </w:rPr>
            </w:pPr>
          </w:p>
          <w:p w14:paraId="45A18654">
            <w:pPr>
              <w:spacing w:line="241" w:lineRule="auto"/>
              <w:rPr>
                <w:rFonts w:ascii="Arial"/>
                <w:sz w:val="21"/>
              </w:rPr>
            </w:pPr>
          </w:p>
          <w:p w14:paraId="417827F6">
            <w:pPr>
              <w:spacing w:before="65" w:line="269" w:lineRule="exact"/>
              <w:ind w:left="290"/>
              <w:rPr>
                <w:rFonts w:ascii="黑体" w:hAnsi="黑体" w:eastAsia="黑体" w:cs="黑体"/>
                <w:sz w:val="20"/>
                <w:szCs w:val="20"/>
              </w:rPr>
            </w:pPr>
            <w:r>
              <w:rPr>
                <w:rFonts w:ascii="黑体" w:hAnsi="黑体" w:eastAsia="黑体" w:cs="黑体"/>
                <w:spacing w:val="-5"/>
                <w:position w:val="1"/>
                <w:sz w:val="20"/>
                <w:szCs w:val="20"/>
              </w:rPr>
              <w:t>10</w:t>
            </w:r>
          </w:p>
        </w:tc>
        <w:tc>
          <w:tcPr>
            <w:tcW w:w="1801" w:type="dxa"/>
            <w:vMerge w:val="restart"/>
            <w:tcBorders>
              <w:bottom w:val="nil"/>
            </w:tcBorders>
            <w:vAlign w:val="top"/>
          </w:tcPr>
          <w:p w14:paraId="20764AC6">
            <w:pPr>
              <w:rPr>
                <w:rFonts w:ascii="Arial"/>
                <w:sz w:val="21"/>
              </w:rPr>
            </w:pPr>
          </w:p>
          <w:p w14:paraId="40D5F21D">
            <w:pPr>
              <w:rPr>
                <w:rFonts w:ascii="Arial"/>
                <w:sz w:val="21"/>
              </w:rPr>
            </w:pPr>
          </w:p>
          <w:p w14:paraId="5FA02025">
            <w:pPr>
              <w:rPr>
                <w:rFonts w:ascii="Arial"/>
                <w:sz w:val="21"/>
              </w:rPr>
            </w:pPr>
          </w:p>
          <w:p w14:paraId="77C1A0E1">
            <w:pPr>
              <w:rPr>
                <w:rFonts w:ascii="Arial"/>
                <w:sz w:val="21"/>
              </w:rPr>
            </w:pPr>
          </w:p>
          <w:p w14:paraId="7490D7B0">
            <w:pPr>
              <w:spacing w:line="241" w:lineRule="auto"/>
              <w:rPr>
                <w:rFonts w:ascii="Arial"/>
                <w:sz w:val="21"/>
              </w:rPr>
            </w:pPr>
          </w:p>
          <w:p w14:paraId="409F2D51">
            <w:pPr>
              <w:pStyle w:val="6"/>
              <w:spacing w:before="65" w:line="226" w:lineRule="auto"/>
              <w:ind w:left="487"/>
            </w:pPr>
            <w:r>
              <w:rPr>
                <w:spacing w:val="6"/>
              </w:rPr>
              <w:t>投标价格</w:t>
            </w:r>
          </w:p>
        </w:tc>
        <w:tc>
          <w:tcPr>
            <w:tcW w:w="3132" w:type="dxa"/>
            <w:vAlign w:val="top"/>
          </w:tcPr>
          <w:p w14:paraId="0E00C5F2">
            <w:pPr>
              <w:pStyle w:val="6"/>
              <w:spacing w:before="34" w:line="239" w:lineRule="auto"/>
              <w:ind w:left="112" w:right="106" w:firstLine="1"/>
              <w:jc w:val="both"/>
            </w:pPr>
            <w:r>
              <w:rPr>
                <w:spacing w:val="23"/>
              </w:rPr>
              <w:t>投标函中的大写投标总报价与已标价工程量清单中的投标总</w:t>
            </w:r>
            <w:r>
              <w:rPr>
                <w:spacing w:val="6"/>
              </w:rPr>
              <w:t>价一致</w:t>
            </w:r>
          </w:p>
        </w:tc>
        <w:tc>
          <w:tcPr>
            <w:tcW w:w="897" w:type="dxa"/>
            <w:vAlign w:val="top"/>
          </w:tcPr>
          <w:p w14:paraId="7358B8DC">
            <w:pPr>
              <w:rPr>
                <w:rFonts w:ascii="Arial"/>
                <w:sz w:val="21"/>
              </w:rPr>
            </w:pPr>
          </w:p>
        </w:tc>
        <w:tc>
          <w:tcPr>
            <w:tcW w:w="898" w:type="dxa"/>
            <w:vAlign w:val="top"/>
          </w:tcPr>
          <w:p w14:paraId="3EF8CC4A">
            <w:pPr>
              <w:rPr>
                <w:rFonts w:ascii="Arial"/>
                <w:sz w:val="21"/>
              </w:rPr>
            </w:pPr>
          </w:p>
        </w:tc>
        <w:tc>
          <w:tcPr>
            <w:tcW w:w="898" w:type="dxa"/>
            <w:vAlign w:val="top"/>
          </w:tcPr>
          <w:p w14:paraId="4330EE35">
            <w:pPr>
              <w:rPr>
                <w:rFonts w:ascii="Arial"/>
                <w:sz w:val="21"/>
              </w:rPr>
            </w:pPr>
          </w:p>
        </w:tc>
        <w:tc>
          <w:tcPr>
            <w:tcW w:w="897" w:type="dxa"/>
            <w:vAlign w:val="top"/>
          </w:tcPr>
          <w:p w14:paraId="525A410C">
            <w:pPr>
              <w:rPr>
                <w:rFonts w:ascii="Arial"/>
                <w:sz w:val="21"/>
              </w:rPr>
            </w:pPr>
          </w:p>
        </w:tc>
        <w:tc>
          <w:tcPr>
            <w:tcW w:w="898" w:type="dxa"/>
            <w:vAlign w:val="top"/>
          </w:tcPr>
          <w:p w14:paraId="1C63418D">
            <w:pPr>
              <w:rPr>
                <w:rFonts w:ascii="Arial"/>
                <w:sz w:val="21"/>
              </w:rPr>
            </w:pPr>
          </w:p>
        </w:tc>
        <w:tc>
          <w:tcPr>
            <w:tcW w:w="897" w:type="dxa"/>
            <w:vAlign w:val="top"/>
          </w:tcPr>
          <w:p w14:paraId="49330853">
            <w:pPr>
              <w:rPr>
                <w:rFonts w:ascii="Arial"/>
                <w:sz w:val="21"/>
              </w:rPr>
            </w:pPr>
          </w:p>
        </w:tc>
        <w:tc>
          <w:tcPr>
            <w:tcW w:w="897" w:type="dxa"/>
            <w:vAlign w:val="top"/>
          </w:tcPr>
          <w:p w14:paraId="7A00C810">
            <w:pPr>
              <w:rPr>
                <w:rFonts w:ascii="Arial"/>
                <w:sz w:val="21"/>
              </w:rPr>
            </w:pPr>
          </w:p>
        </w:tc>
        <w:tc>
          <w:tcPr>
            <w:tcW w:w="897" w:type="dxa"/>
            <w:vAlign w:val="top"/>
          </w:tcPr>
          <w:p w14:paraId="3D86BA42">
            <w:pPr>
              <w:rPr>
                <w:rFonts w:ascii="Arial"/>
                <w:sz w:val="21"/>
              </w:rPr>
            </w:pPr>
          </w:p>
        </w:tc>
        <w:tc>
          <w:tcPr>
            <w:tcW w:w="902" w:type="dxa"/>
            <w:vAlign w:val="top"/>
          </w:tcPr>
          <w:p w14:paraId="02F750DE">
            <w:pPr>
              <w:rPr>
                <w:rFonts w:ascii="Arial"/>
                <w:sz w:val="21"/>
              </w:rPr>
            </w:pPr>
          </w:p>
        </w:tc>
      </w:tr>
      <w:tr w14:paraId="502BFF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Merge w:val="continue"/>
            <w:tcBorders>
              <w:top w:val="nil"/>
              <w:bottom w:val="nil"/>
            </w:tcBorders>
            <w:vAlign w:val="top"/>
          </w:tcPr>
          <w:p w14:paraId="2BC343EC">
            <w:pPr>
              <w:rPr>
                <w:rFonts w:ascii="Arial"/>
                <w:sz w:val="21"/>
              </w:rPr>
            </w:pPr>
          </w:p>
        </w:tc>
        <w:tc>
          <w:tcPr>
            <w:tcW w:w="1801" w:type="dxa"/>
            <w:vMerge w:val="continue"/>
            <w:tcBorders>
              <w:top w:val="nil"/>
              <w:bottom w:val="nil"/>
            </w:tcBorders>
            <w:vAlign w:val="top"/>
          </w:tcPr>
          <w:p w14:paraId="18609936">
            <w:pPr>
              <w:rPr>
                <w:rFonts w:ascii="Arial"/>
                <w:sz w:val="21"/>
              </w:rPr>
            </w:pPr>
          </w:p>
        </w:tc>
        <w:tc>
          <w:tcPr>
            <w:tcW w:w="3132" w:type="dxa"/>
            <w:vAlign w:val="top"/>
          </w:tcPr>
          <w:p w14:paraId="625D325A">
            <w:pPr>
              <w:pStyle w:val="6"/>
              <w:spacing w:before="35" w:line="233" w:lineRule="auto"/>
              <w:ind w:left="114" w:right="106"/>
            </w:pPr>
            <w:r>
              <w:rPr>
                <w:spacing w:val="23"/>
              </w:rPr>
              <w:t>投标函中的大写投标总报价不</w:t>
            </w:r>
            <w:r>
              <w:rPr>
                <w:spacing w:val="8"/>
              </w:rPr>
              <w:t>大于本项目招标控制价总价</w:t>
            </w:r>
          </w:p>
        </w:tc>
        <w:tc>
          <w:tcPr>
            <w:tcW w:w="897" w:type="dxa"/>
            <w:vAlign w:val="top"/>
          </w:tcPr>
          <w:p w14:paraId="67104C9C">
            <w:pPr>
              <w:rPr>
                <w:rFonts w:ascii="Arial"/>
                <w:sz w:val="21"/>
              </w:rPr>
            </w:pPr>
          </w:p>
        </w:tc>
        <w:tc>
          <w:tcPr>
            <w:tcW w:w="898" w:type="dxa"/>
            <w:vAlign w:val="top"/>
          </w:tcPr>
          <w:p w14:paraId="789DF5FD">
            <w:pPr>
              <w:rPr>
                <w:rFonts w:ascii="Arial"/>
                <w:sz w:val="21"/>
              </w:rPr>
            </w:pPr>
          </w:p>
        </w:tc>
        <w:tc>
          <w:tcPr>
            <w:tcW w:w="898" w:type="dxa"/>
            <w:vAlign w:val="top"/>
          </w:tcPr>
          <w:p w14:paraId="7C112427">
            <w:pPr>
              <w:rPr>
                <w:rFonts w:ascii="Arial"/>
                <w:sz w:val="21"/>
              </w:rPr>
            </w:pPr>
          </w:p>
        </w:tc>
        <w:tc>
          <w:tcPr>
            <w:tcW w:w="897" w:type="dxa"/>
            <w:vAlign w:val="top"/>
          </w:tcPr>
          <w:p w14:paraId="5DAF2DEA">
            <w:pPr>
              <w:rPr>
                <w:rFonts w:ascii="Arial"/>
                <w:sz w:val="21"/>
              </w:rPr>
            </w:pPr>
          </w:p>
        </w:tc>
        <w:tc>
          <w:tcPr>
            <w:tcW w:w="898" w:type="dxa"/>
            <w:vAlign w:val="top"/>
          </w:tcPr>
          <w:p w14:paraId="460CDFDC">
            <w:pPr>
              <w:rPr>
                <w:rFonts w:ascii="Arial"/>
                <w:sz w:val="21"/>
              </w:rPr>
            </w:pPr>
          </w:p>
        </w:tc>
        <w:tc>
          <w:tcPr>
            <w:tcW w:w="897" w:type="dxa"/>
            <w:vAlign w:val="top"/>
          </w:tcPr>
          <w:p w14:paraId="01039451">
            <w:pPr>
              <w:rPr>
                <w:rFonts w:ascii="Arial"/>
                <w:sz w:val="21"/>
              </w:rPr>
            </w:pPr>
          </w:p>
        </w:tc>
        <w:tc>
          <w:tcPr>
            <w:tcW w:w="897" w:type="dxa"/>
            <w:vAlign w:val="top"/>
          </w:tcPr>
          <w:p w14:paraId="08976235">
            <w:pPr>
              <w:rPr>
                <w:rFonts w:ascii="Arial"/>
                <w:sz w:val="21"/>
              </w:rPr>
            </w:pPr>
          </w:p>
        </w:tc>
        <w:tc>
          <w:tcPr>
            <w:tcW w:w="897" w:type="dxa"/>
            <w:vAlign w:val="top"/>
          </w:tcPr>
          <w:p w14:paraId="7A0333F3">
            <w:pPr>
              <w:rPr>
                <w:rFonts w:ascii="Arial"/>
                <w:sz w:val="21"/>
              </w:rPr>
            </w:pPr>
          </w:p>
        </w:tc>
        <w:tc>
          <w:tcPr>
            <w:tcW w:w="902" w:type="dxa"/>
            <w:vAlign w:val="top"/>
          </w:tcPr>
          <w:p w14:paraId="07B05A61">
            <w:pPr>
              <w:rPr>
                <w:rFonts w:ascii="Arial"/>
                <w:sz w:val="21"/>
              </w:rPr>
            </w:pPr>
          </w:p>
        </w:tc>
      </w:tr>
      <w:tr w14:paraId="1C383F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Merge w:val="continue"/>
            <w:tcBorders>
              <w:top w:val="nil"/>
              <w:bottom w:val="nil"/>
            </w:tcBorders>
            <w:vAlign w:val="top"/>
          </w:tcPr>
          <w:p w14:paraId="17531233">
            <w:pPr>
              <w:rPr>
                <w:rFonts w:ascii="Arial"/>
                <w:sz w:val="21"/>
              </w:rPr>
            </w:pPr>
          </w:p>
        </w:tc>
        <w:tc>
          <w:tcPr>
            <w:tcW w:w="1801" w:type="dxa"/>
            <w:vMerge w:val="continue"/>
            <w:tcBorders>
              <w:top w:val="nil"/>
              <w:bottom w:val="nil"/>
            </w:tcBorders>
            <w:vAlign w:val="top"/>
          </w:tcPr>
          <w:p w14:paraId="1C380AE0">
            <w:pPr>
              <w:rPr>
                <w:rFonts w:ascii="Arial"/>
                <w:sz w:val="21"/>
              </w:rPr>
            </w:pPr>
          </w:p>
        </w:tc>
        <w:tc>
          <w:tcPr>
            <w:tcW w:w="3132" w:type="dxa"/>
            <w:vAlign w:val="top"/>
          </w:tcPr>
          <w:p w14:paraId="44EA65EE">
            <w:pPr>
              <w:pStyle w:val="6"/>
              <w:spacing w:before="35" w:line="233" w:lineRule="auto"/>
              <w:ind w:left="113" w:right="106"/>
            </w:pPr>
            <w:r>
              <w:rPr>
                <w:spacing w:val="23"/>
              </w:rPr>
              <w:t>算术错误修正后的投标总价不</w:t>
            </w:r>
            <w:r>
              <w:rPr>
                <w:spacing w:val="8"/>
              </w:rPr>
              <w:t>大于本标段招标控制价总价</w:t>
            </w:r>
          </w:p>
        </w:tc>
        <w:tc>
          <w:tcPr>
            <w:tcW w:w="897" w:type="dxa"/>
            <w:vAlign w:val="top"/>
          </w:tcPr>
          <w:p w14:paraId="351D79C4">
            <w:pPr>
              <w:rPr>
                <w:rFonts w:ascii="Arial"/>
                <w:sz w:val="21"/>
              </w:rPr>
            </w:pPr>
          </w:p>
        </w:tc>
        <w:tc>
          <w:tcPr>
            <w:tcW w:w="898" w:type="dxa"/>
            <w:vAlign w:val="top"/>
          </w:tcPr>
          <w:p w14:paraId="71C13972">
            <w:pPr>
              <w:rPr>
                <w:rFonts w:ascii="Arial"/>
                <w:sz w:val="21"/>
              </w:rPr>
            </w:pPr>
          </w:p>
        </w:tc>
        <w:tc>
          <w:tcPr>
            <w:tcW w:w="898" w:type="dxa"/>
            <w:vAlign w:val="top"/>
          </w:tcPr>
          <w:p w14:paraId="1B027452">
            <w:pPr>
              <w:rPr>
                <w:rFonts w:ascii="Arial"/>
                <w:sz w:val="21"/>
              </w:rPr>
            </w:pPr>
          </w:p>
        </w:tc>
        <w:tc>
          <w:tcPr>
            <w:tcW w:w="897" w:type="dxa"/>
            <w:vAlign w:val="top"/>
          </w:tcPr>
          <w:p w14:paraId="30E7DBFD">
            <w:pPr>
              <w:rPr>
                <w:rFonts w:ascii="Arial"/>
                <w:sz w:val="21"/>
              </w:rPr>
            </w:pPr>
          </w:p>
        </w:tc>
        <w:tc>
          <w:tcPr>
            <w:tcW w:w="898" w:type="dxa"/>
            <w:vAlign w:val="top"/>
          </w:tcPr>
          <w:p w14:paraId="7324E38D">
            <w:pPr>
              <w:rPr>
                <w:rFonts w:ascii="Arial"/>
                <w:sz w:val="21"/>
              </w:rPr>
            </w:pPr>
          </w:p>
        </w:tc>
        <w:tc>
          <w:tcPr>
            <w:tcW w:w="897" w:type="dxa"/>
            <w:vAlign w:val="top"/>
          </w:tcPr>
          <w:p w14:paraId="2B66FF94">
            <w:pPr>
              <w:rPr>
                <w:rFonts w:ascii="Arial"/>
                <w:sz w:val="21"/>
              </w:rPr>
            </w:pPr>
          </w:p>
        </w:tc>
        <w:tc>
          <w:tcPr>
            <w:tcW w:w="897" w:type="dxa"/>
            <w:vAlign w:val="top"/>
          </w:tcPr>
          <w:p w14:paraId="16FF90C4">
            <w:pPr>
              <w:rPr>
                <w:rFonts w:ascii="Arial"/>
                <w:sz w:val="21"/>
              </w:rPr>
            </w:pPr>
          </w:p>
        </w:tc>
        <w:tc>
          <w:tcPr>
            <w:tcW w:w="897" w:type="dxa"/>
            <w:vAlign w:val="top"/>
          </w:tcPr>
          <w:p w14:paraId="190B2A37">
            <w:pPr>
              <w:rPr>
                <w:rFonts w:ascii="Arial"/>
                <w:sz w:val="21"/>
              </w:rPr>
            </w:pPr>
          </w:p>
        </w:tc>
        <w:tc>
          <w:tcPr>
            <w:tcW w:w="902" w:type="dxa"/>
            <w:vAlign w:val="top"/>
          </w:tcPr>
          <w:p w14:paraId="61139D48">
            <w:pPr>
              <w:rPr>
                <w:rFonts w:ascii="Arial"/>
                <w:sz w:val="21"/>
              </w:rPr>
            </w:pPr>
          </w:p>
        </w:tc>
      </w:tr>
      <w:tr w14:paraId="4CB2E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21" w:hRule="atLeast"/>
        </w:trPr>
        <w:tc>
          <w:tcPr>
            <w:tcW w:w="757" w:type="dxa"/>
            <w:vMerge w:val="continue"/>
            <w:tcBorders>
              <w:top w:val="nil"/>
            </w:tcBorders>
            <w:vAlign w:val="top"/>
          </w:tcPr>
          <w:p w14:paraId="0B01CE81">
            <w:pPr>
              <w:rPr>
                <w:rFonts w:ascii="Arial"/>
                <w:sz w:val="21"/>
              </w:rPr>
            </w:pPr>
          </w:p>
        </w:tc>
        <w:tc>
          <w:tcPr>
            <w:tcW w:w="1801" w:type="dxa"/>
            <w:vMerge w:val="continue"/>
            <w:tcBorders>
              <w:top w:val="nil"/>
            </w:tcBorders>
            <w:vAlign w:val="top"/>
          </w:tcPr>
          <w:p w14:paraId="524670B1">
            <w:pPr>
              <w:rPr>
                <w:rFonts w:ascii="Arial"/>
                <w:sz w:val="21"/>
              </w:rPr>
            </w:pPr>
          </w:p>
        </w:tc>
        <w:tc>
          <w:tcPr>
            <w:tcW w:w="3132" w:type="dxa"/>
            <w:vAlign w:val="top"/>
          </w:tcPr>
          <w:p w14:paraId="06C141D2">
            <w:pPr>
              <w:pStyle w:val="6"/>
              <w:spacing w:before="34" w:line="239" w:lineRule="auto"/>
              <w:ind w:left="112" w:right="106" w:firstLine="1"/>
              <w:jc w:val="both"/>
            </w:pPr>
            <w:r>
              <w:rPr>
                <w:spacing w:val="7"/>
              </w:rPr>
              <w:t>投标函中的大写投标总报价（算</w:t>
            </w:r>
            <w:r>
              <w:rPr>
                <w:spacing w:val="20"/>
              </w:rPr>
              <w:t>术错误修正后的投标总价</w:t>
            </w:r>
            <w:r>
              <w:rPr>
                <w:spacing w:val="-54"/>
              </w:rPr>
              <w:t xml:space="preserve"> </w:t>
            </w:r>
            <w:r>
              <w:rPr>
                <w:spacing w:val="20"/>
              </w:rPr>
              <w:t>，如</w:t>
            </w:r>
            <w:r>
              <w:rPr>
                <w:spacing w:val="8"/>
              </w:rPr>
              <w:t>有）不低于其成本</w:t>
            </w:r>
          </w:p>
        </w:tc>
        <w:tc>
          <w:tcPr>
            <w:tcW w:w="897" w:type="dxa"/>
            <w:vAlign w:val="top"/>
          </w:tcPr>
          <w:p w14:paraId="055449C3">
            <w:pPr>
              <w:rPr>
                <w:rFonts w:ascii="Arial"/>
                <w:sz w:val="21"/>
              </w:rPr>
            </w:pPr>
          </w:p>
        </w:tc>
        <w:tc>
          <w:tcPr>
            <w:tcW w:w="898" w:type="dxa"/>
            <w:vAlign w:val="top"/>
          </w:tcPr>
          <w:p w14:paraId="315B197E">
            <w:pPr>
              <w:rPr>
                <w:rFonts w:ascii="Arial"/>
                <w:sz w:val="21"/>
              </w:rPr>
            </w:pPr>
          </w:p>
        </w:tc>
        <w:tc>
          <w:tcPr>
            <w:tcW w:w="898" w:type="dxa"/>
            <w:vAlign w:val="top"/>
          </w:tcPr>
          <w:p w14:paraId="59055D73">
            <w:pPr>
              <w:rPr>
                <w:rFonts w:ascii="Arial"/>
                <w:sz w:val="21"/>
              </w:rPr>
            </w:pPr>
          </w:p>
        </w:tc>
        <w:tc>
          <w:tcPr>
            <w:tcW w:w="897" w:type="dxa"/>
            <w:vAlign w:val="top"/>
          </w:tcPr>
          <w:p w14:paraId="33B1B091">
            <w:pPr>
              <w:rPr>
                <w:rFonts w:ascii="Arial"/>
                <w:sz w:val="21"/>
              </w:rPr>
            </w:pPr>
          </w:p>
        </w:tc>
        <w:tc>
          <w:tcPr>
            <w:tcW w:w="898" w:type="dxa"/>
            <w:vAlign w:val="top"/>
          </w:tcPr>
          <w:p w14:paraId="616DC07F">
            <w:pPr>
              <w:rPr>
                <w:rFonts w:ascii="Arial"/>
                <w:sz w:val="21"/>
              </w:rPr>
            </w:pPr>
          </w:p>
        </w:tc>
        <w:tc>
          <w:tcPr>
            <w:tcW w:w="897" w:type="dxa"/>
            <w:vAlign w:val="top"/>
          </w:tcPr>
          <w:p w14:paraId="0969A0A3">
            <w:pPr>
              <w:rPr>
                <w:rFonts w:ascii="Arial"/>
                <w:sz w:val="21"/>
              </w:rPr>
            </w:pPr>
          </w:p>
        </w:tc>
        <w:tc>
          <w:tcPr>
            <w:tcW w:w="897" w:type="dxa"/>
            <w:vAlign w:val="top"/>
          </w:tcPr>
          <w:p w14:paraId="143495AE">
            <w:pPr>
              <w:rPr>
                <w:rFonts w:ascii="Arial"/>
                <w:sz w:val="21"/>
              </w:rPr>
            </w:pPr>
          </w:p>
        </w:tc>
        <w:tc>
          <w:tcPr>
            <w:tcW w:w="897" w:type="dxa"/>
            <w:vAlign w:val="top"/>
          </w:tcPr>
          <w:p w14:paraId="0C81F490">
            <w:pPr>
              <w:rPr>
                <w:rFonts w:ascii="Arial"/>
                <w:sz w:val="21"/>
              </w:rPr>
            </w:pPr>
          </w:p>
        </w:tc>
        <w:tc>
          <w:tcPr>
            <w:tcW w:w="902" w:type="dxa"/>
            <w:vAlign w:val="top"/>
          </w:tcPr>
          <w:p w14:paraId="70481C73">
            <w:pPr>
              <w:rPr>
                <w:rFonts w:ascii="Arial"/>
                <w:sz w:val="21"/>
              </w:rPr>
            </w:pPr>
          </w:p>
        </w:tc>
      </w:tr>
      <w:tr w14:paraId="281E83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57" w:type="dxa"/>
            <w:vMerge w:val="restart"/>
            <w:tcBorders>
              <w:bottom w:val="nil"/>
            </w:tcBorders>
            <w:vAlign w:val="top"/>
          </w:tcPr>
          <w:p w14:paraId="7EA87FAE">
            <w:pPr>
              <w:spacing w:line="262" w:lineRule="auto"/>
              <w:rPr>
                <w:rFonts w:ascii="Arial"/>
                <w:sz w:val="21"/>
              </w:rPr>
            </w:pPr>
          </w:p>
          <w:p w14:paraId="124A49B2">
            <w:pPr>
              <w:spacing w:line="262" w:lineRule="auto"/>
              <w:rPr>
                <w:rFonts w:ascii="Arial"/>
                <w:sz w:val="21"/>
              </w:rPr>
            </w:pPr>
          </w:p>
          <w:p w14:paraId="59412EDB">
            <w:pPr>
              <w:spacing w:line="262" w:lineRule="auto"/>
              <w:rPr>
                <w:rFonts w:ascii="Arial"/>
                <w:sz w:val="21"/>
              </w:rPr>
            </w:pPr>
          </w:p>
          <w:p w14:paraId="53363848">
            <w:pPr>
              <w:spacing w:before="65" w:line="275" w:lineRule="exact"/>
              <w:ind w:left="290"/>
              <w:rPr>
                <w:rFonts w:ascii="黑体" w:hAnsi="黑体" w:eastAsia="黑体" w:cs="黑体"/>
                <w:sz w:val="20"/>
                <w:szCs w:val="20"/>
              </w:rPr>
            </w:pPr>
            <w:r>
              <w:rPr>
                <w:rFonts w:ascii="黑体" w:hAnsi="黑体" w:eastAsia="黑体" w:cs="黑体"/>
                <w:spacing w:val="-5"/>
                <w:position w:val="1"/>
                <w:sz w:val="20"/>
                <w:szCs w:val="20"/>
              </w:rPr>
              <w:t>11</w:t>
            </w:r>
          </w:p>
        </w:tc>
        <w:tc>
          <w:tcPr>
            <w:tcW w:w="1801" w:type="dxa"/>
            <w:vMerge w:val="restart"/>
            <w:tcBorders>
              <w:bottom w:val="nil"/>
            </w:tcBorders>
            <w:vAlign w:val="top"/>
          </w:tcPr>
          <w:p w14:paraId="036BF4CF">
            <w:pPr>
              <w:spacing w:line="325" w:lineRule="auto"/>
              <w:rPr>
                <w:rFonts w:ascii="Arial"/>
                <w:sz w:val="21"/>
              </w:rPr>
            </w:pPr>
          </w:p>
          <w:p w14:paraId="6961B03F">
            <w:pPr>
              <w:spacing w:line="325" w:lineRule="auto"/>
              <w:rPr>
                <w:rFonts w:ascii="Arial"/>
                <w:sz w:val="21"/>
              </w:rPr>
            </w:pPr>
          </w:p>
          <w:p w14:paraId="14CA0F4F">
            <w:pPr>
              <w:pStyle w:val="6"/>
              <w:spacing w:before="65" w:line="226" w:lineRule="auto"/>
              <w:ind w:left="613"/>
            </w:pPr>
            <w:r>
              <w:rPr>
                <w:spacing w:val="-1"/>
              </w:rPr>
              <w:t>已标价</w:t>
            </w:r>
          </w:p>
          <w:p w14:paraId="3FEAADF6">
            <w:pPr>
              <w:pStyle w:val="6"/>
              <w:spacing w:before="26" w:line="228" w:lineRule="auto"/>
              <w:ind w:left="382"/>
            </w:pPr>
            <w:r>
              <w:rPr>
                <w:spacing w:val="7"/>
              </w:rPr>
              <w:t>工程量清单</w:t>
            </w:r>
          </w:p>
        </w:tc>
        <w:tc>
          <w:tcPr>
            <w:tcW w:w="3132" w:type="dxa"/>
            <w:vAlign w:val="top"/>
          </w:tcPr>
          <w:p w14:paraId="13816EEB">
            <w:pPr>
              <w:pStyle w:val="6"/>
              <w:spacing w:before="34" w:line="239" w:lineRule="auto"/>
              <w:ind w:left="111" w:right="106" w:firstLine="23"/>
              <w:jc w:val="both"/>
            </w:pPr>
            <w:r>
              <w:rPr>
                <w:spacing w:val="16"/>
              </w:rPr>
              <w:t>已标价工程量清单项</w:t>
            </w:r>
            <w:r>
              <w:rPr>
                <w:spacing w:val="-24"/>
              </w:rPr>
              <w:t xml:space="preserve"> </w:t>
            </w:r>
            <w:r>
              <w:rPr>
                <w:spacing w:val="16"/>
              </w:rPr>
              <w:t>目编码顺</w:t>
            </w:r>
            <w:r>
              <w:rPr>
                <w:spacing w:val="5"/>
              </w:rPr>
              <w:t>序与第五章“工程量清单</w:t>
            </w:r>
            <w:r>
              <w:rPr>
                <w:spacing w:val="-63"/>
              </w:rPr>
              <w:t xml:space="preserve"> </w:t>
            </w:r>
            <w:r>
              <w:rPr>
                <w:spacing w:val="5"/>
              </w:rPr>
              <w:t>”给出</w:t>
            </w:r>
            <w:r>
              <w:rPr>
                <w:spacing w:val="9"/>
              </w:rPr>
              <w:t>的项目编码顺序一致</w:t>
            </w:r>
          </w:p>
        </w:tc>
        <w:tc>
          <w:tcPr>
            <w:tcW w:w="897" w:type="dxa"/>
            <w:vAlign w:val="top"/>
          </w:tcPr>
          <w:p w14:paraId="2A1D029E">
            <w:pPr>
              <w:rPr>
                <w:rFonts w:ascii="Arial"/>
                <w:sz w:val="21"/>
              </w:rPr>
            </w:pPr>
          </w:p>
        </w:tc>
        <w:tc>
          <w:tcPr>
            <w:tcW w:w="898" w:type="dxa"/>
            <w:vAlign w:val="top"/>
          </w:tcPr>
          <w:p w14:paraId="3D45DB57">
            <w:pPr>
              <w:rPr>
                <w:rFonts w:ascii="Arial"/>
                <w:sz w:val="21"/>
              </w:rPr>
            </w:pPr>
          </w:p>
        </w:tc>
        <w:tc>
          <w:tcPr>
            <w:tcW w:w="898" w:type="dxa"/>
            <w:vAlign w:val="top"/>
          </w:tcPr>
          <w:p w14:paraId="56A0B87E">
            <w:pPr>
              <w:rPr>
                <w:rFonts w:ascii="Arial"/>
                <w:sz w:val="21"/>
              </w:rPr>
            </w:pPr>
          </w:p>
        </w:tc>
        <w:tc>
          <w:tcPr>
            <w:tcW w:w="897" w:type="dxa"/>
            <w:vAlign w:val="top"/>
          </w:tcPr>
          <w:p w14:paraId="2A0547F9">
            <w:pPr>
              <w:rPr>
                <w:rFonts w:ascii="Arial"/>
                <w:sz w:val="21"/>
              </w:rPr>
            </w:pPr>
          </w:p>
        </w:tc>
        <w:tc>
          <w:tcPr>
            <w:tcW w:w="898" w:type="dxa"/>
            <w:vAlign w:val="top"/>
          </w:tcPr>
          <w:p w14:paraId="10031BDF">
            <w:pPr>
              <w:rPr>
                <w:rFonts w:ascii="Arial"/>
                <w:sz w:val="21"/>
              </w:rPr>
            </w:pPr>
          </w:p>
        </w:tc>
        <w:tc>
          <w:tcPr>
            <w:tcW w:w="897" w:type="dxa"/>
            <w:vAlign w:val="top"/>
          </w:tcPr>
          <w:p w14:paraId="657CFAAF">
            <w:pPr>
              <w:rPr>
                <w:rFonts w:ascii="Arial"/>
                <w:sz w:val="21"/>
              </w:rPr>
            </w:pPr>
          </w:p>
        </w:tc>
        <w:tc>
          <w:tcPr>
            <w:tcW w:w="897" w:type="dxa"/>
            <w:vAlign w:val="top"/>
          </w:tcPr>
          <w:p w14:paraId="4F07F366">
            <w:pPr>
              <w:rPr>
                <w:rFonts w:ascii="Arial"/>
                <w:sz w:val="21"/>
              </w:rPr>
            </w:pPr>
          </w:p>
        </w:tc>
        <w:tc>
          <w:tcPr>
            <w:tcW w:w="897" w:type="dxa"/>
            <w:vAlign w:val="top"/>
          </w:tcPr>
          <w:p w14:paraId="20BA17AD">
            <w:pPr>
              <w:rPr>
                <w:rFonts w:ascii="Arial"/>
                <w:sz w:val="21"/>
              </w:rPr>
            </w:pPr>
          </w:p>
        </w:tc>
        <w:tc>
          <w:tcPr>
            <w:tcW w:w="902" w:type="dxa"/>
            <w:vAlign w:val="top"/>
          </w:tcPr>
          <w:p w14:paraId="61568EF9">
            <w:pPr>
              <w:rPr>
                <w:rFonts w:ascii="Arial"/>
                <w:sz w:val="21"/>
              </w:rPr>
            </w:pPr>
          </w:p>
        </w:tc>
      </w:tr>
      <w:tr w14:paraId="36783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757" w:type="dxa"/>
            <w:vMerge w:val="continue"/>
            <w:tcBorders>
              <w:top w:val="nil"/>
            </w:tcBorders>
            <w:vAlign w:val="top"/>
          </w:tcPr>
          <w:p w14:paraId="7BB4D3C5">
            <w:pPr>
              <w:rPr>
                <w:rFonts w:ascii="Arial"/>
                <w:sz w:val="21"/>
              </w:rPr>
            </w:pPr>
          </w:p>
        </w:tc>
        <w:tc>
          <w:tcPr>
            <w:tcW w:w="1801" w:type="dxa"/>
            <w:vMerge w:val="continue"/>
            <w:tcBorders>
              <w:top w:val="nil"/>
            </w:tcBorders>
            <w:vAlign w:val="top"/>
          </w:tcPr>
          <w:p w14:paraId="640F17E6">
            <w:pPr>
              <w:rPr>
                <w:rFonts w:ascii="Arial"/>
                <w:sz w:val="21"/>
              </w:rPr>
            </w:pPr>
          </w:p>
        </w:tc>
        <w:tc>
          <w:tcPr>
            <w:tcW w:w="3132" w:type="dxa"/>
            <w:vAlign w:val="top"/>
          </w:tcPr>
          <w:p w14:paraId="321FA4BD">
            <w:pPr>
              <w:pStyle w:val="6"/>
              <w:spacing w:before="35" w:line="251" w:lineRule="auto"/>
              <w:ind w:left="102" w:right="106" w:firstLine="32"/>
              <w:jc w:val="both"/>
            </w:pPr>
            <w:r>
              <w:rPr>
                <w:spacing w:val="21"/>
              </w:rPr>
              <w:t>已标价工程量清单符合第五章</w:t>
            </w:r>
            <w:r>
              <w:rPr>
                <w:spacing w:val="13"/>
              </w:rPr>
              <w:t>“</w:t>
            </w:r>
            <w:r>
              <w:rPr>
                <w:spacing w:val="-61"/>
              </w:rPr>
              <w:t xml:space="preserve"> </w:t>
            </w:r>
            <w:r>
              <w:rPr>
                <w:spacing w:val="13"/>
              </w:rPr>
              <w:t>工程量清单</w:t>
            </w:r>
            <w:r>
              <w:rPr>
                <w:spacing w:val="-56"/>
              </w:rPr>
              <w:t xml:space="preserve"> </w:t>
            </w:r>
            <w:r>
              <w:rPr>
                <w:spacing w:val="13"/>
              </w:rPr>
              <w:t>”给出的项</w:t>
            </w:r>
            <w:r>
              <w:rPr>
                <w:spacing w:val="-35"/>
              </w:rPr>
              <w:t xml:space="preserve"> </w:t>
            </w:r>
            <w:r>
              <w:rPr>
                <w:spacing w:val="13"/>
              </w:rPr>
              <w:t>目编</w:t>
            </w:r>
            <w:r>
              <w:rPr>
                <w:spacing w:val="8"/>
              </w:rPr>
              <w:t>码、项目名称、项目特征、计量</w:t>
            </w:r>
          </w:p>
          <w:p w14:paraId="05466E44">
            <w:pPr>
              <w:pStyle w:val="6"/>
              <w:spacing w:line="216" w:lineRule="auto"/>
              <w:ind w:left="113"/>
            </w:pPr>
            <w:r>
              <w:rPr>
                <w:spacing w:val="7"/>
              </w:rPr>
              <w:t>单位和工程量</w:t>
            </w:r>
          </w:p>
        </w:tc>
        <w:tc>
          <w:tcPr>
            <w:tcW w:w="897" w:type="dxa"/>
            <w:vAlign w:val="top"/>
          </w:tcPr>
          <w:p w14:paraId="1E0EA728">
            <w:pPr>
              <w:rPr>
                <w:rFonts w:ascii="Arial"/>
                <w:sz w:val="21"/>
              </w:rPr>
            </w:pPr>
          </w:p>
        </w:tc>
        <w:tc>
          <w:tcPr>
            <w:tcW w:w="898" w:type="dxa"/>
            <w:vAlign w:val="top"/>
          </w:tcPr>
          <w:p w14:paraId="1FD7EA34">
            <w:pPr>
              <w:rPr>
                <w:rFonts w:ascii="Arial"/>
                <w:sz w:val="21"/>
              </w:rPr>
            </w:pPr>
          </w:p>
        </w:tc>
        <w:tc>
          <w:tcPr>
            <w:tcW w:w="898" w:type="dxa"/>
            <w:vAlign w:val="top"/>
          </w:tcPr>
          <w:p w14:paraId="2B9948CC">
            <w:pPr>
              <w:rPr>
                <w:rFonts w:ascii="Arial"/>
                <w:sz w:val="21"/>
              </w:rPr>
            </w:pPr>
          </w:p>
        </w:tc>
        <w:tc>
          <w:tcPr>
            <w:tcW w:w="897" w:type="dxa"/>
            <w:vAlign w:val="top"/>
          </w:tcPr>
          <w:p w14:paraId="5963C052">
            <w:pPr>
              <w:rPr>
                <w:rFonts w:ascii="Arial"/>
                <w:sz w:val="21"/>
              </w:rPr>
            </w:pPr>
          </w:p>
        </w:tc>
        <w:tc>
          <w:tcPr>
            <w:tcW w:w="898" w:type="dxa"/>
            <w:vAlign w:val="top"/>
          </w:tcPr>
          <w:p w14:paraId="5FE84BC6">
            <w:pPr>
              <w:rPr>
                <w:rFonts w:ascii="Arial"/>
                <w:sz w:val="21"/>
              </w:rPr>
            </w:pPr>
          </w:p>
        </w:tc>
        <w:tc>
          <w:tcPr>
            <w:tcW w:w="897" w:type="dxa"/>
            <w:vAlign w:val="top"/>
          </w:tcPr>
          <w:p w14:paraId="2DAC5DF6">
            <w:pPr>
              <w:rPr>
                <w:rFonts w:ascii="Arial"/>
                <w:sz w:val="21"/>
              </w:rPr>
            </w:pPr>
          </w:p>
        </w:tc>
        <w:tc>
          <w:tcPr>
            <w:tcW w:w="897" w:type="dxa"/>
            <w:vAlign w:val="top"/>
          </w:tcPr>
          <w:p w14:paraId="52B79D1F">
            <w:pPr>
              <w:rPr>
                <w:rFonts w:ascii="Arial"/>
                <w:sz w:val="21"/>
              </w:rPr>
            </w:pPr>
          </w:p>
        </w:tc>
        <w:tc>
          <w:tcPr>
            <w:tcW w:w="897" w:type="dxa"/>
            <w:vAlign w:val="top"/>
          </w:tcPr>
          <w:p w14:paraId="00DD9527">
            <w:pPr>
              <w:rPr>
                <w:rFonts w:ascii="Arial"/>
                <w:sz w:val="21"/>
              </w:rPr>
            </w:pPr>
          </w:p>
        </w:tc>
        <w:tc>
          <w:tcPr>
            <w:tcW w:w="902" w:type="dxa"/>
            <w:vAlign w:val="top"/>
          </w:tcPr>
          <w:p w14:paraId="62D0AD27">
            <w:pPr>
              <w:rPr>
                <w:rFonts w:ascii="Arial"/>
                <w:sz w:val="21"/>
              </w:rPr>
            </w:pPr>
          </w:p>
        </w:tc>
      </w:tr>
    </w:tbl>
    <w:p w14:paraId="3781241E">
      <w:pPr>
        <w:rPr>
          <w:rFonts w:ascii="Arial"/>
          <w:sz w:val="21"/>
        </w:rPr>
      </w:pPr>
    </w:p>
    <w:p w14:paraId="56917658">
      <w:pPr>
        <w:rPr>
          <w:rFonts w:ascii="Arial" w:hAnsi="Arial" w:eastAsia="Arial" w:cs="Arial"/>
          <w:sz w:val="21"/>
          <w:szCs w:val="21"/>
        </w:rPr>
        <w:sectPr>
          <w:footerReference r:id="rId133" w:type="default"/>
          <w:pgSz w:w="16840" w:h="11907"/>
          <w:pgMar w:top="400" w:right="1475" w:bottom="1036" w:left="1588" w:header="0" w:footer="787" w:gutter="0"/>
          <w:cols w:space="720" w:num="1"/>
        </w:sectPr>
      </w:pPr>
    </w:p>
    <w:p w14:paraId="46B9C322">
      <w:pPr>
        <w:spacing w:before="42"/>
      </w:pPr>
    </w:p>
    <w:p w14:paraId="5DB12E1D">
      <w:pPr>
        <w:spacing w:before="41"/>
      </w:pPr>
    </w:p>
    <w:p w14:paraId="335D15B8">
      <w:pPr>
        <w:spacing w:before="41"/>
      </w:pPr>
    </w:p>
    <w:p w14:paraId="02DFEF5D">
      <w:pPr>
        <w:spacing w:before="41"/>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7"/>
        <w:gridCol w:w="1801"/>
        <w:gridCol w:w="3792"/>
        <w:gridCol w:w="824"/>
        <w:gridCol w:w="824"/>
        <w:gridCol w:w="824"/>
        <w:gridCol w:w="824"/>
        <w:gridCol w:w="824"/>
        <w:gridCol w:w="824"/>
        <w:gridCol w:w="824"/>
        <w:gridCol w:w="824"/>
        <w:gridCol w:w="829"/>
      </w:tblGrid>
      <w:tr w14:paraId="2A4B4D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57" w:type="dxa"/>
            <w:vMerge w:val="restart"/>
            <w:tcBorders>
              <w:bottom w:val="nil"/>
            </w:tcBorders>
            <w:vAlign w:val="top"/>
          </w:tcPr>
          <w:p w14:paraId="46414B8C">
            <w:pPr>
              <w:pStyle w:val="6"/>
              <w:spacing w:before="301" w:line="229" w:lineRule="auto"/>
              <w:ind w:left="173"/>
            </w:pPr>
            <w:r>
              <w:rPr>
                <w:spacing w:val="5"/>
              </w:rPr>
              <w:t>序号</w:t>
            </w:r>
          </w:p>
        </w:tc>
        <w:tc>
          <w:tcPr>
            <w:tcW w:w="1801" w:type="dxa"/>
            <w:vMerge w:val="restart"/>
            <w:tcBorders>
              <w:bottom w:val="nil"/>
            </w:tcBorders>
            <w:vAlign w:val="top"/>
          </w:tcPr>
          <w:p w14:paraId="29DDE785">
            <w:pPr>
              <w:pStyle w:val="6"/>
              <w:spacing w:before="301" w:line="228" w:lineRule="auto"/>
              <w:ind w:left="484"/>
            </w:pPr>
            <w:r>
              <w:rPr>
                <w:spacing w:val="7"/>
              </w:rPr>
              <w:t>评审因素</w:t>
            </w:r>
          </w:p>
        </w:tc>
        <w:tc>
          <w:tcPr>
            <w:tcW w:w="3792" w:type="dxa"/>
            <w:vMerge w:val="restart"/>
            <w:tcBorders>
              <w:bottom w:val="nil"/>
            </w:tcBorders>
            <w:vAlign w:val="top"/>
          </w:tcPr>
          <w:p w14:paraId="31A39EF2">
            <w:pPr>
              <w:pStyle w:val="6"/>
              <w:spacing w:before="301" w:line="228" w:lineRule="auto"/>
              <w:ind w:left="1481"/>
            </w:pPr>
            <w:r>
              <w:rPr>
                <w:spacing w:val="7"/>
              </w:rPr>
              <w:t>评审标准</w:t>
            </w:r>
          </w:p>
        </w:tc>
        <w:tc>
          <w:tcPr>
            <w:tcW w:w="7421" w:type="dxa"/>
            <w:gridSpan w:val="9"/>
            <w:vAlign w:val="top"/>
          </w:tcPr>
          <w:p w14:paraId="265EE9CB">
            <w:pPr>
              <w:pStyle w:val="6"/>
              <w:spacing w:before="97" w:line="228" w:lineRule="auto"/>
              <w:ind w:left="2668"/>
            </w:pPr>
            <w:r>
              <w:rPr>
                <w:spacing w:val="8"/>
              </w:rPr>
              <w:t>投标人名称及评审意见</w:t>
            </w:r>
          </w:p>
        </w:tc>
      </w:tr>
      <w:tr w14:paraId="12EE1C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57" w:type="dxa"/>
            <w:vMerge w:val="continue"/>
            <w:tcBorders>
              <w:top w:val="nil"/>
            </w:tcBorders>
            <w:vAlign w:val="top"/>
          </w:tcPr>
          <w:p w14:paraId="37AF6EA3">
            <w:pPr>
              <w:rPr>
                <w:rFonts w:ascii="Arial"/>
                <w:sz w:val="21"/>
              </w:rPr>
            </w:pPr>
          </w:p>
        </w:tc>
        <w:tc>
          <w:tcPr>
            <w:tcW w:w="1801" w:type="dxa"/>
            <w:vMerge w:val="continue"/>
            <w:tcBorders>
              <w:top w:val="nil"/>
            </w:tcBorders>
            <w:vAlign w:val="top"/>
          </w:tcPr>
          <w:p w14:paraId="679E27FF">
            <w:pPr>
              <w:rPr>
                <w:rFonts w:ascii="Arial"/>
                <w:sz w:val="21"/>
              </w:rPr>
            </w:pPr>
          </w:p>
        </w:tc>
        <w:tc>
          <w:tcPr>
            <w:tcW w:w="3792" w:type="dxa"/>
            <w:vMerge w:val="continue"/>
            <w:tcBorders>
              <w:top w:val="nil"/>
            </w:tcBorders>
            <w:vAlign w:val="top"/>
          </w:tcPr>
          <w:p w14:paraId="2E0393DE">
            <w:pPr>
              <w:rPr>
                <w:rFonts w:ascii="Arial"/>
                <w:sz w:val="21"/>
              </w:rPr>
            </w:pPr>
          </w:p>
        </w:tc>
        <w:tc>
          <w:tcPr>
            <w:tcW w:w="824" w:type="dxa"/>
            <w:vAlign w:val="top"/>
          </w:tcPr>
          <w:p w14:paraId="1469D316">
            <w:pPr>
              <w:rPr>
                <w:rFonts w:ascii="Arial"/>
                <w:sz w:val="21"/>
              </w:rPr>
            </w:pPr>
          </w:p>
        </w:tc>
        <w:tc>
          <w:tcPr>
            <w:tcW w:w="824" w:type="dxa"/>
            <w:vAlign w:val="top"/>
          </w:tcPr>
          <w:p w14:paraId="348D6594">
            <w:pPr>
              <w:rPr>
                <w:rFonts w:ascii="Arial"/>
                <w:sz w:val="21"/>
              </w:rPr>
            </w:pPr>
          </w:p>
        </w:tc>
        <w:tc>
          <w:tcPr>
            <w:tcW w:w="824" w:type="dxa"/>
            <w:vAlign w:val="top"/>
          </w:tcPr>
          <w:p w14:paraId="2B8B7ADC">
            <w:pPr>
              <w:rPr>
                <w:rFonts w:ascii="Arial"/>
                <w:sz w:val="21"/>
              </w:rPr>
            </w:pPr>
          </w:p>
        </w:tc>
        <w:tc>
          <w:tcPr>
            <w:tcW w:w="824" w:type="dxa"/>
            <w:vAlign w:val="top"/>
          </w:tcPr>
          <w:p w14:paraId="01543377">
            <w:pPr>
              <w:rPr>
                <w:rFonts w:ascii="Arial"/>
                <w:sz w:val="21"/>
              </w:rPr>
            </w:pPr>
          </w:p>
        </w:tc>
        <w:tc>
          <w:tcPr>
            <w:tcW w:w="824" w:type="dxa"/>
            <w:vAlign w:val="top"/>
          </w:tcPr>
          <w:p w14:paraId="19933656">
            <w:pPr>
              <w:rPr>
                <w:rFonts w:ascii="Arial"/>
                <w:sz w:val="21"/>
              </w:rPr>
            </w:pPr>
          </w:p>
        </w:tc>
        <w:tc>
          <w:tcPr>
            <w:tcW w:w="824" w:type="dxa"/>
            <w:vAlign w:val="top"/>
          </w:tcPr>
          <w:p w14:paraId="5B36B82E">
            <w:pPr>
              <w:rPr>
                <w:rFonts w:ascii="Arial"/>
                <w:sz w:val="21"/>
              </w:rPr>
            </w:pPr>
          </w:p>
        </w:tc>
        <w:tc>
          <w:tcPr>
            <w:tcW w:w="824" w:type="dxa"/>
            <w:vAlign w:val="top"/>
          </w:tcPr>
          <w:p w14:paraId="12ECAA36">
            <w:pPr>
              <w:rPr>
                <w:rFonts w:ascii="Arial"/>
                <w:sz w:val="21"/>
              </w:rPr>
            </w:pPr>
          </w:p>
        </w:tc>
        <w:tc>
          <w:tcPr>
            <w:tcW w:w="824" w:type="dxa"/>
            <w:vAlign w:val="top"/>
          </w:tcPr>
          <w:p w14:paraId="5106DE5E">
            <w:pPr>
              <w:rPr>
                <w:rFonts w:ascii="Arial"/>
                <w:sz w:val="21"/>
              </w:rPr>
            </w:pPr>
          </w:p>
        </w:tc>
        <w:tc>
          <w:tcPr>
            <w:tcW w:w="829" w:type="dxa"/>
            <w:vAlign w:val="top"/>
          </w:tcPr>
          <w:p w14:paraId="40E21A0D">
            <w:pPr>
              <w:rPr>
                <w:rFonts w:ascii="Arial"/>
                <w:sz w:val="21"/>
              </w:rPr>
            </w:pPr>
          </w:p>
        </w:tc>
      </w:tr>
      <w:tr w14:paraId="2B7BC2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757" w:type="dxa"/>
            <w:vMerge w:val="restart"/>
            <w:tcBorders>
              <w:bottom w:val="nil"/>
            </w:tcBorders>
            <w:vAlign w:val="top"/>
          </w:tcPr>
          <w:p w14:paraId="0F8843B8">
            <w:pPr>
              <w:spacing w:line="243" w:lineRule="auto"/>
              <w:rPr>
                <w:rFonts w:ascii="Arial"/>
                <w:sz w:val="21"/>
              </w:rPr>
            </w:pPr>
          </w:p>
          <w:p w14:paraId="1180CB53">
            <w:pPr>
              <w:spacing w:line="243" w:lineRule="auto"/>
              <w:rPr>
                <w:rFonts w:ascii="Arial"/>
                <w:sz w:val="21"/>
              </w:rPr>
            </w:pPr>
          </w:p>
          <w:p w14:paraId="535C2371">
            <w:pPr>
              <w:spacing w:line="243" w:lineRule="auto"/>
              <w:rPr>
                <w:rFonts w:ascii="Arial"/>
                <w:sz w:val="21"/>
              </w:rPr>
            </w:pPr>
          </w:p>
          <w:p w14:paraId="4C542A6A">
            <w:pPr>
              <w:spacing w:line="243" w:lineRule="auto"/>
              <w:rPr>
                <w:rFonts w:ascii="Arial"/>
                <w:sz w:val="21"/>
              </w:rPr>
            </w:pPr>
          </w:p>
          <w:p w14:paraId="4F13A51B">
            <w:pPr>
              <w:spacing w:line="243" w:lineRule="auto"/>
              <w:rPr>
                <w:rFonts w:ascii="Arial"/>
                <w:sz w:val="21"/>
              </w:rPr>
            </w:pPr>
          </w:p>
          <w:p w14:paraId="76690C44">
            <w:pPr>
              <w:spacing w:line="243" w:lineRule="auto"/>
              <w:rPr>
                <w:rFonts w:ascii="Arial"/>
                <w:sz w:val="21"/>
              </w:rPr>
            </w:pPr>
          </w:p>
          <w:p w14:paraId="1CBEF40A">
            <w:pPr>
              <w:spacing w:line="243" w:lineRule="auto"/>
              <w:rPr>
                <w:rFonts w:ascii="Arial"/>
                <w:sz w:val="21"/>
              </w:rPr>
            </w:pPr>
          </w:p>
          <w:p w14:paraId="3DC16FB4">
            <w:pPr>
              <w:spacing w:line="243" w:lineRule="auto"/>
              <w:rPr>
                <w:rFonts w:ascii="Arial"/>
                <w:sz w:val="21"/>
              </w:rPr>
            </w:pPr>
          </w:p>
          <w:p w14:paraId="2F356507">
            <w:pPr>
              <w:spacing w:line="244" w:lineRule="auto"/>
              <w:rPr>
                <w:rFonts w:ascii="Arial"/>
                <w:sz w:val="21"/>
              </w:rPr>
            </w:pPr>
          </w:p>
          <w:p w14:paraId="31170287">
            <w:pPr>
              <w:spacing w:line="244" w:lineRule="auto"/>
              <w:rPr>
                <w:rFonts w:ascii="Arial"/>
                <w:sz w:val="21"/>
              </w:rPr>
            </w:pPr>
          </w:p>
          <w:p w14:paraId="47BB3EA2">
            <w:pPr>
              <w:spacing w:before="65" w:line="275" w:lineRule="exact"/>
              <w:ind w:left="290"/>
              <w:rPr>
                <w:rFonts w:ascii="黑体" w:hAnsi="黑体" w:eastAsia="黑体" w:cs="黑体"/>
                <w:sz w:val="20"/>
                <w:szCs w:val="20"/>
              </w:rPr>
            </w:pPr>
            <w:r>
              <w:rPr>
                <w:rFonts w:ascii="黑体" w:hAnsi="黑体" w:eastAsia="黑体" w:cs="黑体"/>
                <w:spacing w:val="-5"/>
                <w:position w:val="1"/>
                <w:sz w:val="20"/>
                <w:szCs w:val="20"/>
              </w:rPr>
              <w:t>11</w:t>
            </w:r>
          </w:p>
        </w:tc>
        <w:tc>
          <w:tcPr>
            <w:tcW w:w="1801" w:type="dxa"/>
            <w:vMerge w:val="restart"/>
            <w:tcBorders>
              <w:bottom w:val="nil"/>
            </w:tcBorders>
            <w:vAlign w:val="top"/>
          </w:tcPr>
          <w:p w14:paraId="5472BFC8">
            <w:pPr>
              <w:spacing w:line="255" w:lineRule="auto"/>
              <w:rPr>
                <w:rFonts w:ascii="Arial"/>
                <w:sz w:val="21"/>
              </w:rPr>
            </w:pPr>
          </w:p>
          <w:p w14:paraId="679D53B1">
            <w:pPr>
              <w:spacing w:line="255" w:lineRule="auto"/>
              <w:rPr>
                <w:rFonts w:ascii="Arial"/>
                <w:sz w:val="21"/>
              </w:rPr>
            </w:pPr>
          </w:p>
          <w:p w14:paraId="189EAC07">
            <w:pPr>
              <w:spacing w:line="255" w:lineRule="auto"/>
              <w:rPr>
                <w:rFonts w:ascii="Arial"/>
                <w:sz w:val="21"/>
              </w:rPr>
            </w:pPr>
          </w:p>
          <w:p w14:paraId="6667B6B8">
            <w:pPr>
              <w:spacing w:line="255" w:lineRule="auto"/>
              <w:rPr>
                <w:rFonts w:ascii="Arial"/>
                <w:sz w:val="21"/>
              </w:rPr>
            </w:pPr>
          </w:p>
          <w:p w14:paraId="48922F77">
            <w:pPr>
              <w:spacing w:line="255" w:lineRule="auto"/>
              <w:rPr>
                <w:rFonts w:ascii="Arial"/>
                <w:sz w:val="21"/>
              </w:rPr>
            </w:pPr>
          </w:p>
          <w:p w14:paraId="4AED6E7B">
            <w:pPr>
              <w:spacing w:line="255" w:lineRule="auto"/>
              <w:rPr>
                <w:rFonts w:ascii="Arial"/>
                <w:sz w:val="21"/>
              </w:rPr>
            </w:pPr>
          </w:p>
          <w:p w14:paraId="3D512F20">
            <w:pPr>
              <w:spacing w:line="255" w:lineRule="auto"/>
              <w:rPr>
                <w:rFonts w:ascii="Arial"/>
                <w:sz w:val="21"/>
              </w:rPr>
            </w:pPr>
          </w:p>
          <w:p w14:paraId="742229C4">
            <w:pPr>
              <w:spacing w:line="255" w:lineRule="auto"/>
              <w:rPr>
                <w:rFonts w:ascii="Arial"/>
                <w:sz w:val="21"/>
              </w:rPr>
            </w:pPr>
          </w:p>
          <w:p w14:paraId="40C0AE25">
            <w:pPr>
              <w:spacing w:line="256" w:lineRule="auto"/>
              <w:rPr>
                <w:rFonts w:ascii="Arial"/>
                <w:sz w:val="21"/>
              </w:rPr>
            </w:pPr>
          </w:p>
          <w:p w14:paraId="4CC87B29">
            <w:pPr>
              <w:pStyle w:val="6"/>
              <w:spacing w:before="65" w:line="226" w:lineRule="auto"/>
              <w:ind w:left="613"/>
            </w:pPr>
            <w:r>
              <w:rPr>
                <w:spacing w:val="-1"/>
              </w:rPr>
              <w:t>已标价</w:t>
            </w:r>
          </w:p>
          <w:p w14:paraId="557F36B6">
            <w:pPr>
              <w:pStyle w:val="6"/>
              <w:spacing w:before="26" w:line="228" w:lineRule="auto"/>
              <w:ind w:left="382"/>
            </w:pPr>
            <w:r>
              <w:rPr>
                <w:spacing w:val="7"/>
              </w:rPr>
              <w:t>工程量清单</w:t>
            </w:r>
          </w:p>
        </w:tc>
        <w:tc>
          <w:tcPr>
            <w:tcW w:w="3792" w:type="dxa"/>
            <w:vAlign w:val="top"/>
          </w:tcPr>
          <w:p w14:paraId="19319824">
            <w:pPr>
              <w:pStyle w:val="6"/>
              <w:spacing w:before="76" w:line="254" w:lineRule="auto"/>
              <w:ind w:left="129" w:right="104" w:hanging="11"/>
            </w:pPr>
            <w:r>
              <w:rPr>
                <w:spacing w:val="7"/>
              </w:rPr>
              <w:t>暂列金额符合第五章“工程量清单</w:t>
            </w:r>
            <w:r>
              <w:rPr>
                <w:spacing w:val="-57"/>
              </w:rPr>
              <w:t xml:space="preserve"> </w:t>
            </w:r>
            <w:r>
              <w:rPr>
                <w:spacing w:val="7"/>
              </w:rPr>
              <w:t>”列</w:t>
            </w:r>
            <w:r>
              <w:rPr>
                <w:spacing w:val="2"/>
              </w:rPr>
              <w:t>出的金额</w:t>
            </w:r>
          </w:p>
        </w:tc>
        <w:tc>
          <w:tcPr>
            <w:tcW w:w="824" w:type="dxa"/>
            <w:vAlign w:val="top"/>
          </w:tcPr>
          <w:p w14:paraId="4CCAA2A2">
            <w:pPr>
              <w:rPr>
                <w:rFonts w:ascii="Arial"/>
                <w:sz w:val="21"/>
              </w:rPr>
            </w:pPr>
          </w:p>
        </w:tc>
        <w:tc>
          <w:tcPr>
            <w:tcW w:w="824" w:type="dxa"/>
            <w:vAlign w:val="top"/>
          </w:tcPr>
          <w:p w14:paraId="3963C735">
            <w:pPr>
              <w:rPr>
                <w:rFonts w:ascii="Arial"/>
                <w:sz w:val="21"/>
              </w:rPr>
            </w:pPr>
          </w:p>
        </w:tc>
        <w:tc>
          <w:tcPr>
            <w:tcW w:w="824" w:type="dxa"/>
            <w:vAlign w:val="top"/>
          </w:tcPr>
          <w:p w14:paraId="4E63B88E">
            <w:pPr>
              <w:rPr>
                <w:rFonts w:ascii="Arial"/>
                <w:sz w:val="21"/>
              </w:rPr>
            </w:pPr>
          </w:p>
        </w:tc>
        <w:tc>
          <w:tcPr>
            <w:tcW w:w="824" w:type="dxa"/>
            <w:vAlign w:val="top"/>
          </w:tcPr>
          <w:p w14:paraId="27E20D0C">
            <w:pPr>
              <w:rPr>
                <w:rFonts w:ascii="Arial"/>
                <w:sz w:val="21"/>
              </w:rPr>
            </w:pPr>
          </w:p>
        </w:tc>
        <w:tc>
          <w:tcPr>
            <w:tcW w:w="824" w:type="dxa"/>
            <w:vAlign w:val="top"/>
          </w:tcPr>
          <w:p w14:paraId="67980C69">
            <w:pPr>
              <w:rPr>
                <w:rFonts w:ascii="Arial"/>
                <w:sz w:val="21"/>
              </w:rPr>
            </w:pPr>
          </w:p>
        </w:tc>
        <w:tc>
          <w:tcPr>
            <w:tcW w:w="824" w:type="dxa"/>
            <w:vAlign w:val="top"/>
          </w:tcPr>
          <w:p w14:paraId="7848F1D4">
            <w:pPr>
              <w:rPr>
                <w:rFonts w:ascii="Arial"/>
                <w:sz w:val="21"/>
              </w:rPr>
            </w:pPr>
          </w:p>
        </w:tc>
        <w:tc>
          <w:tcPr>
            <w:tcW w:w="824" w:type="dxa"/>
            <w:vAlign w:val="top"/>
          </w:tcPr>
          <w:p w14:paraId="6CC31EB7">
            <w:pPr>
              <w:rPr>
                <w:rFonts w:ascii="Arial"/>
                <w:sz w:val="21"/>
              </w:rPr>
            </w:pPr>
          </w:p>
        </w:tc>
        <w:tc>
          <w:tcPr>
            <w:tcW w:w="824" w:type="dxa"/>
            <w:vAlign w:val="top"/>
          </w:tcPr>
          <w:p w14:paraId="3B781DEE">
            <w:pPr>
              <w:rPr>
                <w:rFonts w:ascii="Arial"/>
                <w:sz w:val="21"/>
              </w:rPr>
            </w:pPr>
          </w:p>
        </w:tc>
        <w:tc>
          <w:tcPr>
            <w:tcW w:w="829" w:type="dxa"/>
            <w:vAlign w:val="top"/>
          </w:tcPr>
          <w:p w14:paraId="098ADB43">
            <w:pPr>
              <w:rPr>
                <w:rFonts w:ascii="Arial"/>
                <w:sz w:val="21"/>
              </w:rPr>
            </w:pPr>
          </w:p>
        </w:tc>
      </w:tr>
      <w:tr w14:paraId="53D63D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7" w:hRule="atLeast"/>
        </w:trPr>
        <w:tc>
          <w:tcPr>
            <w:tcW w:w="757" w:type="dxa"/>
            <w:vMerge w:val="continue"/>
            <w:tcBorders>
              <w:top w:val="nil"/>
              <w:bottom w:val="nil"/>
            </w:tcBorders>
            <w:vAlign w:val="top"/>
          </w:tcPr>
          <w:p w14:paraId="46E2C3D0">
            <w:pPr>
              <w:rPr>
                <w:rFonts w:ascii="Arial"/>
                <w:sz w:val="21"/>
              </w:rPr>
            </w:pPr>
          </w:p>
        </w:tc>
        <w:tc>
          <w:tcPr>
            <w:tcW w:w="1801" w:type="dxa"/>
            <w:vMerge w:val="continue"/>
            <w:tcBorders>
              <w:top w:val="nil"/>
              <w:bottom w:val="nil"/>
            </w:tcBorders>
            <w:vAlign w:val="top"/>
          </w:tcPr>
          <w:p w14:paraId="769EF654">
            <w:pPr>
              <w:rPr>
                <w:rFonts w:ascii="Arial"/>
                <w:sz w:val="21"/>
              </w:rPr>
            </w:pPr>
          </w:p>
        </w:tc>
        <w:tc>
          <w:tcPr>
            <w:tcW w:w="3792" w:type="dxa"/>
            <w:vAlign w:val="top"/>
          </w:tcPr>
          <w:p w14:paraId="3411C8EF">
            <w:pPr>
              <w:pStyle w:val="6"/>
              <w:spacing w:before="145" w:line="252" w:lineRule="auto"/>
              <w:ind w:left="112" w:right="106"/>
            </w:pPr>
            <w:r>
              <w:rPr>
                <w:spacing w:val="9"/>
              </w:rPr>
              <w:t>专业工程暂估价符合第五章“工程量清</w:t>
            </w:r>
            <w:r>
              <w:rPr>
                <w:spacing w:val="4"/>
              </w:rPr>
              <w:t>单</w:t>
            </w:r>
            <w:r>
              <w:rPr>
                <w:spacing w:val="-70"/>
              </w:rPr>
              <w:t xml:space="preserve"> </w:t>
            </w:r>
            <w:r>
              <w:rPr>
                <w:spacing w:val="4"/>
              </w:rPr>
              <w:t>”列出的金额</w:t>
            </w:r>
          </w:p>
        </w:tc>
        <w:tc>
          <w:tcPr>
            <w:tcW w:w="824" w:type="dxa"/>
            <w:vAlign w:val="top"/>
          </w:tcPr>
          <w:p w14:paraId="724748D7">
            <w:pPr>
              <w:rPr>
                <w:rFonts w:ascii="Arial"/>
                <w:sz w:val="21"/>
              </w:rPr>
            </w:pPr>
          </w:p>
        </w:tc>
        <w:tc>
          <w:tcPr>
            <w:tcW w:w="824" w:type="dxa"/>
            <w:vAlign w:val="top"/>
          </w:tcPr>
          <w:p w14:paraId="19CBEB89">
            <w:pPr>
              <w:rPr>
                <w:rFonts w:ascii="Arial"/>
                <w:sz w:val="21"/>
              </w:rPr>
            </w:pPr>
          </w:p>
        </w:tc>
        <w:tc>
          <w:tcPr>
            <w:tcW w:w="824" w:type="dxa"/>
            <w:vAlign w:val="top"/>
          </w:tcPr>
          <w:p w14:paraId="7CBFDEAF">
            <w:pPr>
              <w:rPr>
                <w:rFonts w:ascii="Arial"/>
                <w:sz w:val="21"/>
              </w:rPr>
            </w:pPr>
          </w:p>
        </w:tc>
        <w:tc>
          <w:tcPr>
            <w:tcW w:w="824" w:type="dxa"/>
            <w:vAlign w:val="top"/>
          </w:tcPr>
          <w:p w14:paraId="3ABF71A4">
            <w:pPr>
              <w:rPr>
                <w:rFonts w:ascii="Arial"/>
                <w:sz w:val="21"/>
              </w:rPr>
            </w:pPr>
          </w:p>
        </w:tc>
        <w:tc>
          <w:tcPr>
            <w:tcW w:w="824" w:type="dxa"/>
            <w:vAlign w:val="top"/>
          </w:tcPr>
          <w:p w14:paraId="01DE152C">
            <w:pPr>
              <w:rPr>
                <w:rFonts w:ascii="Arial"/>
                <w:sz w:val="21"/>
              </w:rPr>
            </w:pPr>
          </w:p>
        </w:tc>
        <w:tc>
          <w:tcPr>
            <w:tcW w:w="824" w:type="dxa"/>
            <w:vAlign w:val="top"/>
          </w:tcPr>
          <w:p w14:paraId="6EE1C0FE">
            <w:pPr>
              <w:rPr>
                <w:rFonts w:ascii="Arial"/>
                <w:sz w:val="21"/>
              </w:rPr>
            </w:pPr>
          </w:p>
        </w:tc>
        <w:tc>
          <w:tcPr>
            <w:tcW w:w="824" w:type="dxa"/>
            <w:vAlign w:val="top"/>
          </w:tcPr>
          <w:p w14:paraId="5C3F146E">
            <w:pPr>
              <w:rPr>
                <w:rFonts w:ascii="Arial"/>
                <w:sz w:val="21"/>
              </w:rPr>
            </w:pPr>
          </w:p>
        </w:tc>
        <w:tc>
          <w:tcPr>
            <w:tcW w:w="824" w:type="dxa"/>
            <w:vAlign w:val="top"/>
          </w:tcPr>
          <w:p w14:paraId="2BFA7D4C">
            <w:pPr>
              <w:rPr>
                <w:rFonts w:ascii="Arial"/>
                <w:sz w:val="21"/>
              </w:rPr>
            </w:pPr>
          </w:p>
        </w:tc>
        <w:tc>
          <w:tcPr>
            <w:tcW w:w="829" w:type="dxa"/>
            <w:vAlign w:val="top"/>
          </w:tcPr>
          <w:p w14:paraId="2BD94B0C">
            <w:pPr>
              <w:rPr>
                <w:rFonts w:ascii="Arial"/>
                <w:sz w:val="21"/>
              </w:rPr>
            </w:pPr>
          </w:p>
        </w:tc>
      </w:tr>
      <w:tr w14:paraId="67F2CD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3" w:hRule="atLeast"/>
        </w:trPr>
        <w:tc>
          <w:tcPr>
            <w:tcW w:w="757" w:type="dxa"/>
            <w:vMerge w:val="continue"/>
            <w:tcBorders>
              <w:top w:val="nil"/>
              <w:bottom w:val="nil"/>
            </w:tcBorders>
            <w:vAlign w:val="top"/>
          </w:tcPr>
          <w:p w14:paraId="56A631A9">
            <w:pPr>
              <w:rPr>
                <w:rFonts w:ascii="Arial"/>
                <w:sz w:val="21"/>
              </w:rPr>
            </w:pPr>
          </w:p>
        </w:tc>
        <w:tc>
          <w:tcPr>
            <w:tcW w:w="1801" w:type="dxa"/>
            <w:vMerge w:val="continue"/>
            <w:tcBorders>
              <w:top w:val="nil"/>
              <w:bottom w:val="nil"/>
            </w:tcBorders>
            <w:vAlign w:val="top"/>
          </w:tcPr>
          <w:p w14:paraId="0BC3E441">
            <w:pPr>
              <w:rPr>
                <w:rFonts w:ascii="Arial"/>
                <w:sz w:val="21"/>
              </w:rPr>
            </w:pPr>
          </w:p>
        </w:tc>
        <w:tc>
          <w:tcPr>
            <w:tcW w:w="3792" w:type="dxa"/>
            <w:vAlign w:val="top"/>
          </w:tcPr>
          <w:p w14:paraId="774B7FB8">
            <w:pPr>
              <w:pStyle w:val="6"/>
              <w:spacing w:before="144" w:line="253" w:lineRule="auto"/>
              <w:ind w:left="111" w:right="106"/>
            </w:pPr>
            <w:r>
              <w:rPr>
                <w:spacing w:val="-2"/>
              </w:rPr>
              <w:t>材料（工程设备）暂估价符合第五章“工</w:t>
            </w:r>
            <w:r>
              <w:rPr>
                <w:spacing w:val="7"/>
              </w:rPr>
              <w:t>程量清单</w:t>
            </w:r>
            <w:r>
              <w:rPr>
                <w:spacing w:val="-59"/>
              </w:rPr>
              <w:t xml:space="preserve"> </w:t>
            </w:r>
            <w:r>
              <w:rPr>
                <w:spacing w:val="7"/>
              </w:rPr>
              <w:t>”列出的单价并计入综合单价</w:t>
            </w:r>
          </w:p>
        </w:tc>
        <w:tc>
          <w:tcPr>
            <w:tcW w:w="824" w:type="dxa"/>
            <w:vAlign w:val="top"/>
          </w:tcPr>
          <w:p w14:paraId="2A6E1C45">
            <w:pPr>
              <w:rPr>
                <w:rFonts w:ascii="Arial"/>
                <w:sz w:val="21"/>
              </w:rPr>
            </w:pPr>
          </w:p>
        </w:tc>
        <w:tc>
          <w:tcPr>
            <w:tcW w:w="824" w:type="dxa"/>
            <w:vAlign w:val="top"/>
          </w:tcPr>
          <w:p w14:paraId="050A18EB">
            <w:pPr>
              <w:rPr>
                <w:rFonts w:ascii="Arial"/>
                <w:sz w:val="21"/>
              </w:rPr>
            </w:pPr>
          </w:p>
        </w:tc>
        <w:tc>
          <w:tcPr>
            <w:tcW w:w="824" w:type="dxa"/>
            <w:vAlign w:val="top"/>
          </w:tcPr>
          <w:p w14:paraId="3EBCDF0A">
            <w:pPr>
              <w:rPr>
                <w:rFonts w:ascii="Arial"/>
                <w:sz w:val="21"/>
              </w:rPr>
            </w:pPr>
          </w:p>
        </w:tc>
        <w:tc>
          <w:tcPr>
            <w:tcW w:w="824" w:type="dxa"/>
            <w:vAlign w:val="top"/>
          </w:tcPr>
          <w:p w14:paraId="1D42CC07">
            <w:pPr>
              <w:rPr>
                <w:rFonts w:ascii="Arial"/>
                <w:sz w:val="21"/>
              </w:rPr>
            </w:pPr>
          </w:p>
        </w:tc>
        <w:tc>
          <w:tcPr>
            <w:tcW w:w="824" w:type="dxa"/>
            <w:vAlign w:val="top"/>
          </w:tcPr>
          <w:p w14:paraId="1F71196B">
            <w:pPr>
              <w:rPr>
                <w:rFonts w:ascii="Arial"/>
                <w:sz w:val="21"/>
              </w:rPr>
            </w:pPr>
          </w:p>
        </w:tc>
        <w:tc>
          <w:tcPr>
            <w:tcW w:w="824" w:type="dxa"/>
            <w:vAlign w:val="top"/>
          </w:tcPr>
          <w:p w14:paraId="12FC3870">
            <w:pPr>
              <w:rPr>
                <w:rFonts w:ascii="Arial"/>
                <w:sz w:val="21"/>
              </w:rPr>
            </w:pPr>
          </w:p>
        </w:tc>
        <w:tc>
          <w:tcPr>
            <w:tcW w:w="824" w:type="dxa"/>
            <w:vAlign w:val="top"/>
          </w:tcPr>
          <w:p w14:paraId="58C822E3">
            <w:pPr>
              <w:rPr>
                <w:rFonts w:ascii="Arial"/>
                <w:sz w:val="21"/>
              </w:rPr>
            </w:pPr>
          </w:p>
        </w:tc>
        <w:tc>
          <w:tcPr>
            <w:tcW w:w="824" w:type="dxa"/>
            <w:vAlign w:val="top"/>
          </w:tcPr>
          <w:p w14:paraId="28C63486">
            <w:pPr>
              <w:rPr>
                <w:rFonts w:ascii="Arial"/>
                <w:sz w:val="21"/>
              </w:rPr>
            </w:pPr>
          </w:p>
        </w:tc>
        <w:tc>
          <w:tcPr>
            <w:tcW w:w="829" w:type="dxa"/>
            <w:vAlign w:val="top"/>
          </w:tcPr>
          <w:p w14:paraId="60D9E6FE">
            <w:pPr>
              <w:rPr>
                <w:rFonts w:ascii="Arial"/>
                <w:sz w:val="21"/>
              </w:rPr>
            </w:pPr>
          </w:p>
        </w:tc>
      </w:tr>
      <w:tr w14:paraId="3E3875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757" w:type="dxa"/>
            <w:vMerge w:val="continue"/>
            <w:tcBorders>
              <w:top w:val="nil"/>
              <w:bottom w:val="nil"/>
            </w:tcBorders>
            <w:vAlign w:val="top"/>
          </w:tcPr>
          <w:p w14:paraId="08317DAF">
            <w:pPr>
              <w:rPr>
                <w:rFonts w:ascii="Arial"/>
                <w:sz w:val="21"/>
              </w:rPr>
            </w:pPr>
          </w:p>
        </w:tc>
        <w:tc>
          <w:tcPr>
            <w:tcW w:w="1801" w:type="dxa"/>
            <w:vMerge w:val="continue"/>
            <w:tcBorders>
              <w:top w:val="nil"/>
              <w:bottom w:val="nil"/>
            </w:tcBorders>
            <w:vAlign w:val="top"/>
          </w:tcPr>
          <w:p w14:paraId="2214528A">
            <w:pPr>
              <w:rPr>
                <w:rFonts w:ascii="Arial"/>
                <w:sz w:val="21"/>
              </w:rPr>
            </w:pPr>
          </w:p>
        </w:tc>
        <w:tc>
          <w:tcPr>
            <w:tcW w:w="3792" w:type="dxa"/>
            <w:vAlign w:val="top"/>
          </w:tcPr>
          <w:p w14:paraId="5BEC6C79">
            <w:pPr>
              <w:pStyle w:val="6"/>
              <w:spacing w:before="143" w:line="252" w:lineRule="auto"/>
              <w:ind w:left="116" w:right="106"/>
            </w:pPr>
            <w:r>
              <w:rPr>
                <w:spacing w:val="9"/>
              </w:rPr>
              <w:t>安全文明施工费、规费和税金等不可竞</w:t>
            </w:r>
            <w:r>
              <w:rPr>
                <w:spacing w:val="8"/>
              </w:rPr>
              <w:t>争费用，按照规定的标准计取</w:t>
            </w:r>
          </w:p>
        </w:tc>
        <w:tc>
          <w:tcPr>
            <w:tcW w:w="824" w:type="dxa"/>
            <w:vAlign w:val="top"/>
          </w:tcPr>
          <w:p w14:paraId="4A99803B">
            <w:pPr>
              <w:rPr>
                <w:rFonts w:ascii="Arial"/>
                <w:sz w:val="21"/>
              </w:rPr>
            </w:pPr>
          </w:p>
        </w:tc>
        <w:tc>
          <w:tcPr>
            <w:tcW w:w="824" w:type="dxa"/>
            <w:vAlign w:val="top"/>
          </w:tcPr>
          <w:p w14:paraId="6665F32C">
            <w:pPr>
              <w:rPr>
                <w:rFonts w:ascii="Arial"/>
                <w:sz w:val="21"/>
              </w:rPr>
            </w:pPr>
          </w:p>
        </w:tc>
        <w:tc>
          <w:tcPr>
            <w:tcW w:w="824" w:type="dxa"/>
            <w:vAlign w:val="top"/>
          </w:tcPr>
          <w:p w14:paraId="1C794DF6">
            <w:pPr>
              <w:rPr>
                <w:rFonts w:ascii="Arial"/>
                <w:sz w:val="21"/>
              </w:rPr>
            </w:pPr>
          </w:p>
        </w:tc>
        <w:tc>
          <w:tcPr>
            <w:tcW w:w="824" w:type="dxa"/>
            <w:vAlign w:val="top"/>
          </w:tcPr>
          <w:p w14:paraId="4CFB19FE">
            <w:pPr>
              <w:rPr>
                <w:rFonts w:ascii="Arial"/>
                <w:sz w:val="21"/>
              </w:rPr>
            </w:pPr>
          </w:p>
        </w:tc>
        <w:tc>
          <w:tcPr>
            <w:tcW w:w="824" w:type="dxa"/>
            <w:vAlign w:val="top"/>
          </w:tcPr>
          <w:p w14:paraId="3127F937">
            <w:pPr>
              <w:rPr>
                <w:rFonts w:ascii="Arial"/>
                <w:sz w:val="21"/>
              </w:rPr>
            </w:pPr>
          </w:p>
        </w:tc>
        <w:tc>
          <w:tcPr>
            <w:tcW w:w="824" w:type="dxa"/>
            <w:vAlign w:val="top"/>
          </w:tcPr>
          <w:p w14:paraId="52A5D574">
            <w:pPr>
              <w:rPr>
                <w:rFonts w:ascii="Arial"/>
                <w:sz w:val="21"/>
              </w:rPr>
            </w:pPr>
          </w:p>
        </w:tc>
        <w:tc>
          <w:tcPr>
            <w:tcW w:w="824" w:type="dxa"/>
            <w:vAlign w:val="top"/>
          </w:tcPr>
          <w:p w14:paraId="2D130C3D">
            <w:pPr>
              <w:rPr>
                <w:rFonts w:ascii="Arial"/>
                <w:sz w:val="21"/>
              </w:rPr>
            </w:pPr>
          </w:p>
        </w:tc>
        <w:tc>
          <w:tcPr>
            <w:tcW w:w="824" w:type="dxa"/>
            <w:vAlign w:val="top"/>
          </w:tcPr>
          <w:p w14:paraId="1246C13F">
            <w:pPr>
              <w:rPr>
                <w:rFonts w:ascii="Arial"/>
                <w:sz w:val="21"/>
              </w:rPr>
            </w:pPr>
          </w:p>
        </w:tc>
        <w:tc>
          <w:tcPr>
            <w:tcW w:w="829" w:type="dxa"/>
            <w:vAlign w:val="top"/>
          </w:tcPr>
          <w:p w14:paraId="51795776">
            <w:pPr>
              <w:rPr>
                <w:rFonts w:ascii="Arial"/>
                <w:sz w:val="21"/>
              </w:rPr>
            </w:pPr>
          </w:p>
        </w:tc>
      </w:tr>
      <w:tr w14:paraId="1B677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757" w:type="dxa"/>
            <w:vMerge w:val="continue"/>
            <w:tcBorders>
              <w:top w:val="nil"/>
              <w:bottom w:val="nil"/>
            </w:tcBorders>
            <w:vAlign w:val="top"/>
          </w:tcPr>
          <w:p w14:paraId="40541989">
            <w:pPr>
              <w:rPr>
                <w:rFonts w:ascii="Arial"/>
                <w:sz w:val="21"/>
              </w:rPr>
            </w:pPr>
          </w:p>
        </w:tc>
        <w:tc>
          <w:tcPr>
            <w:tcW w:w="1801" w:type="dxa"/>
            <w:vMerge w:val="continue"/>
            <w:tcBorders>
              <w:top w:val="nil"/>
              <w:bottom w:val="nil"/>
            </w:tcBorders>
            <w:vAlign w:val="top"/>
          </w:tcPr>
          <w:p w14:paraId="4E55D938">
            <w:pPr>
              <w:rPr>
                <w:rFonts w:ascii="Arial"/>
                <w:sz w:val="21"/>
              </w:rPr>
            </w:pPr>
          </w:p>
        </w:tc>
        <w:tc>
          <w:tcPr>
            <w:tcW w:w="3792" w:type="dxa"/>
            <w:vAlign w:val="top"/>
          </w:tcPr>
          <w:p w14:paraId="37F7B587">
            <w:pPr>
              <w:pStyle w:val="6"/>
              <w:spacing w:before="200" w:line="228" w:lineRule="auto"/>
              <w:ind w:left="112"/>
            </w:pPr>
            <w:r>
              <w:rPr>
                <w:spacing w:val="9"/>
              </w:rPr>
              <w:t>计税方法符合招标文件的约定</w:t>
            </w:r>
          </w:p>
        </w:tc>
        <w:tc>
          <w:tcPr>
            <w:tcW w:w="824" w:type="dxa"/>
            <w:vAlign w:val="top"/>
          </w:tcPr>
          <w:p w14:paraId="3E9237E3">
            <w:pPr>
              <w:rPr>
                <w:rFonts w:ascii="Arial"/>
                <w:sz w:val="21"/>
              </w:rPr>
            </w:pPr>
          </w:p>
        </w:tc>
        <w:tc>
          <w:tcPr>
            <w:tcW w:w="824" w:type="dxa"/>
            <w:vAlign w:val="top"/>
          </w:tcPr>
          <w:p w14:paraId="1DF34508">
            <w:pPr>
              <w:rPr>
                <w:rFonts w:ascii="Arial"/>
                <w:sz w:val="21"/>
              </w:rPr>
            </w:pPr>
          </w:p>
        </w:tc>
        <w:tc>
          <w:tcPr>
            <w:tcW w:w="824" w:type="dxa"/>
            <w:vAlign w:val="top"/>
          </w:tcPr>
          <w:p w14:paraId="59EC9AD9">
            <w:pPr>
              <w:rPr>
                <w:rFonts w:ascii="Arial"/>
                <w:sz w:val="21"/>
              </w:rPr>
            </w:pPr>
          </w:p>
        </w:tc>
        <w:tc>
          <w:tcPr>
            <w:tcW w:w="824" w:type="dxa"/>
            <w:vAlign w:val="top"/>
          </w:tcPr>
          <w:p w14:paraId="420EF5DD">
            <w:pPr>
              <w:rPr>
                <w:rFonts w:ascii="Arial"/>
                <w:sz w:val="21"/>
              </w:rPr>
            </w:pPr>
          </w:p>
        </w:tc>
        <w:tc>
          <w:tcPr>
            <w:tcW w:w="824" w:type="dxa"/>
            <w:vAlign w:val="top"/>
          </w:tcPr>
          <w:p w14:paraId="5D8501CE">
            <w:pPr>
              <w:rPr>
                <w:rFonts w:ascii="Arial"/>
                <w:sz w:val="21"/>
              </w:rPr>
            </w:pPr>
          </w:p>
        </w:tc>
        <w:tc>
          <w:tcPr>
            <w:tcW w:w="824" w:type="dxa"/>
            <w:vAlign w:val="top"/>
          </w:tcPr>
          <w:p w14:paraId="254709D2">
            <w:pPr>
              <w:rPr>
                <w:rFonts w:ascii="Arial"/>
                <w:sz w:val="21"/>
              </w:rPr>
            </w:pPr>
          </w:p>
        </w:tc>
        <w:tc>
          <w:tcPr>
            <w:tcW w:w="824" w:type="dxa"/>
            <w:vAlign w:val="top"/>
          </w:tcPr>
          <w:p w14:paraId="7FFBB769">
            <w:pPr>
              <w:rPr>
                <w:rFonts w:ascii="Arial"/>
                <w:sz w:val="21"/>
              </w:rPr>
            </w:pPr>
          </w:p>
        </w:tc>
        <w:tc>
          <w:tcPr>
            <w:tcW w:w="824" w:type="dxa"/>
            <w:vAlign w:val="top"/>
          </w:tcPr>
          <w:p w14:paraId="4DDB9283">
            <w:pPr>
              <w:rPr>
                <w:rFonts w:ascii="Arial"/>
                <w:sz w:val="21"/>
              </w:rPr>
            </w:pPr>
          </w:p>
        </w:tc>
        <w:tc>
          <w:tcPr>
            <w:tcW w:w="829" w:type="dxa"/>
            <w:vAlign w:val="top"/>
          </w:tcPr>
          <w:p w14:paraId="1AB61C45">
            <w:pPr>
              <w:rPr>
                <w:rFonts w:ascii="Arial"/>
                <w:sz w:val="21"/>
              </w:rPr>
            </w:pPr>
          </w:p>
        </w:tc>
      </w:tr>
      <w:tr w14:paraId="0B7502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57" w:type="dxa"/>
            <w:vMerge w:val="continue"/>
            <w:tcBorders>
              <w:top w:val="nil"/>
            </w:tcBorders>
            <w:vAlign w:val="top"/>
          </w:tcPr>
          <w:p w14:paraId="567FD09E">
            <w:pPr>
              <w:rPr>
                <w:rFonts w:ascii="Arial"/>
                <w:sz w:val="21"/>
              </w:rPr>
            </w:pPr>
          </w:p>
        </w:tc>
        <w:tc>
          <w:tcPr>
            <w:tcW w:w="1801" w:type="dxa"/>
            <w:vMerge w:val="continue"/>
            <w:tcBorders>
              <w:top w:val="nil"/>
            </w:tcBorders>
            <w:vAlign w:val="top"/>
          </w:tcPr>
          <w:p w14:paraId="078F766D">
            <w:pPr>
              <w:rPr>
                <w:rFonts w:ascii="Arial"/>
                <w:sz w:val="21"/>
              </w:rPr>
            </w:pPr>
          </w:p>
        </w:tc>
        <w:tc>
          <w:tcPr>
            <w:tcW w:w="3792" w:type="dxa"/>
            <w:vAlign w:val="top"/>
          </w:tcPr>
          <w:p w14:paraId="50F661E7">
            <w:pPr>
              <w:pStyle w:val="6"/>
              <w:spacing w:before="35" w:line="245" w:lineRule="auto"/>
              <w:ind w:left="111" w:right="104" w:firstLine="23"/>
              <w:jc w:val="both"/>
            </w:pPr>
            <w:r>
              <w:rPr>
                <w:spacing w:val="8"/>
              </w:rPr>
              <w:t>已标价工程量清单项目未填报的项目不</w:t>
            </w:r>
            <w:r>
              <w:rPr>
                <w:spacing w:val="10"/>
              </w:rPr>
              <w:t>超过三项，且不超过三项未填报的项目</w:t>
            </w:r>
            <w:r>
              <w:rPr>
                <w:spacing w:val="9"/>
              </w:rPr>
              <w:t>的费用合计（按招标控制价相应项目的费用合计计算）不超过其投标函中的大写投标总报价（算术错误修正后的投标</w:t>
            </w:r>
            <w:r>
              <w:rPr>
                <w:spacing w:val="8"/>
              </w:rPr>
              <w:t>总价，如有）的±1%</w:t>
            </w:r>
          </w:p>
        </w:tc>
        <w:tc>
          <w:tcPr>
            <w:tcW w:w="824" w:type="dxa"/>
            <w:vAlign w:val="top"/>
          </w:tcPr>
          <w:p w14:paraId="4BBC0ADE">
            <w:pPr>
              <w:rPr>
                <w:rFonts w:ascii="Arial"/>
                <w:sz w:val="21"/>
              </w:rPr>
            </w:pPr>
          </w:p>
        </w:tc>
        <w:tc>
          <w:tcPr>
            <w:tcW w:w="824" w:type="dxa"/>
            <w:vAlign w:val="top"/>
          </w:tcPr>
          <w:p w14:paraId="34B2B066">
            <w:pPr>
              <w:rPr>
                <w:rFonts w:ascii="Arial"/>
                <w:sz w:val="21"/>
              </w:rPr>
            </w:pPr>
          </w:p>
        </w:tc>
        <w:tc>
          <w:tcPr>
            <w:tcW w:w="824" w:type="dxa"/>
            <w:vAlign w:val="top"/>
          </w:tcPr>
          <w:p w14:paraId="3F134D39">
            <w:pPr>
              <w:rPr>
                <w:rFonts w:ascii="Arial"/>
                <w:sz w:val="21"/>
              </w:rPr>
            </w:pPr>
          </w:p>
        </w:tc>
        <w:tc>
          <w:tcPr>
            <w:tcW w:w="824" w:type="dxa"/>
            <w:vAlign w:val="top"/>
          </w:tcPr>
          <w:p w14:paraId="063AB40F">
            <w:pPr>
              <w:rPr>
                <w:rFonts w:ascii="Arial"/>
                <w:sz w:val="21"/>
              </w:rPr>
            </w:pPr>
          </w:p>
        </w:tc>
        <w:tc>
          <w:tcPr>
            <w:tcW w:w="824" w:type="dxa"/>
            <w:vAlign w:val="top"/>
          </w:tcPr>
          <w:p w14:paraId="25D05DC6">
            <w:pPr>
              <w:rPr>
                <w:rFonts w:ascii="Arial"/>
                <w:sz w:val="21"/>
              </w:rPr>
            </w:pPr>
          </w:p>
        </w:tc>
        <w:tc>
          <w:tcPr>
            <w:tcW w:w="824" w:type="dxa"/>
            <w:vAlign w:val="top"/>
          </w:tcPr>
          <w:p w14:paraId="1CB841D5">
            <w:pPr>
              <w:rPr>
                <w:rFonts w:ascii="Arial"/>
                <w:sz w:val="21"/>
              </w:rPr>
            </w:pPr>
          </w:p>
        </w:tc>
        <w:tc>
          <w:tcPr>
            <w:tcW w:w="824" w:type="dxa"/>
            <w:vAlign w:val="top"/>
          </w:tcPr>
          <w:p w14:paraId="39CC5953">
            <w:pPr>
              <w:rPr>
                <w:rFonts w:ascii="Arial"/>
                <w:sz w:val="21"/>
              </w:rPr>
            </w:pPr>
          </w:p>
        </w:tc>
        <w:tc>
          <w:tcPr>
            <w:tcW w:w="824" w:type="dxa"/>
            <w:vAlign w:val="top"/>
          </w:tcPr>
          <w:p w14:paraId="23B0911D">
            <w:pPr>
              <w:rPr>
                <w:rFonts w:ascii="Arial"/>
                <w:sz w:val="21"/>
              </w:rPr>
            </w:pPr>
          </w:p>
        </w:tc>
        <w:tc>
          <w:tcPr>
            <w:tcW w:w="829" w:type="dxa"/>
            <w:vAlign w:val="top"/>
          </w:tcPr>
          <w:p w14:paraId="5230E063">
            <w:pPr>
              <w:rPr>
                <w:rFonts w:ascii="Arial"/>
                <w:sz w:val="21"/>
              </w:rPr>
            </w:pPr>
          </w:p>
        </w:tc>
      </w:tr>
      <w:tr w14:paraId="5A88CF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757" w:type="dxa"/>
            <w:vAlign w:val="top"/>
          </w:tcPr>
          <w:p w14:paraId="7A45A69A">
            <w:pPr>
              <w:spacing w:before="236" w:line="275" w:lineRule="exact"/>
              <w:ind w:left="290"/>
              <w:rPr>
                <w:rFonts w:ascii="黑体" w:hAnsi="黑体" w:eastAsia="黑体" w:cs="黑体"/>
                <w:sz w:val="20"/>
                <w:szCs w:val="20"/>
              </w:rPr>
            </w:pPr>
            <w:r>
              <w:rPr>
                <w:rFonts w:ascii="黑体" w:hAnsi="黑体" w:eastAsia="黑体" w:cs="黑体"/>
                <w:spacing w:val="-5"/>
                <w:position w:val="1"/>
                <w:sz w:val="20"/>
                <w:szCs w:val="20"/>
              </w:rPr>
              <w:t>12</w:t>
            </w:r>
          </w:p>
        </w:tc>
        <w:tc>
          <w:tcPr>
            <w:tcW w:w="1801" w:type="dxa"/>
            <w:vAlign w:val="top"/>
          </w:tcPr>
          <w:p w14:paraId="573AAE12">
            <w:pPr>
              <w:pStyle w:val="6"/>
              <w:spacing w:before="236" w:line="228" w:lineRule="auto"/>
              <w:ind w:left="170"/>
            </w:pPr>
            <w:r>
              <w:rPr>
                <w:spacing w:val="8"/>
              </w:rPr>
              <w:t>澄清和说明情况</w:t>
            </w:r>
          </w:p>
        </w:tc>
        <w:tc>
          <w:tcPr>
            <w:tcW w:w="3792" w:type="dxa"/>
            <w:vAlign w:val="top"/>
          </w:tcPr>
          <w:p w14:paraId="560087F7">
            <w:pPr>
              <w:pStyle w:val="6"/>
              <w:spacing w:before="100" w:line="258" w:lineRule="auto"/>
              <w:ind w:left="115" w:right="106" w:hanging="2"/>
            </w:pPr>
            <w:r>
              <w:rPr>
                <w:spacing w:val="9"/>
              </w:rPr>
              <w:t>按照评标委员会要求澄清、说明或者补</w:t>
            </w:r>
            <w:r>
              <w:t>正</w:t>
            </w:r>
          </w:p>
        </w:tc>
        <w:tc>
          <w:tcPr>
            <w:tcW w:w="824" w:type="dxa"/>
            <w:vAlign w:val="top"/>
          </w:tcPr>
          <w:p w14:paraId="209058FA">
            <w:pPr>
              <w:rPr>
                <w:rFonts w:ascii="Arial"/>
                <w:sz w:val="21"/>
              </w:rPr>
            </w:pPr>
          </w:p>
        </w:tc>
        <w:tc>
          <w:tcPr>
            <w:tcW w:w="824" w:type="dxa"/>
            <w:vAlign w:val="top"/>
          </w:tcPr>
          <w:p w14:paraId="62EB5422">
            <w:pPr>
              <w:rPr>
                <w:rFonts w:ascii="Arial"/>
                <w:sz w:val="21"/>
              </w:rPr>
            </w:pPr>
          </w:p>
        </w:tc>
        <w:tc>
          <w:tcPr>
            <w:tcW w:w="824" w:type="dxa"/>
            <w:vAlign w:val="top"/>
          </w:tcPr>
          <w:p w14:paraId="22A5DC85">
            <w:pPr>
              <w:rPr>
                <w:rFonts w:ascii="Arial"/>
                <w:sz w:val="21"/>
              </w:rPr>
            </w:pPr>
          </w:p>
        </w:tc>
        <w:tc>
          <w:tcPr>
            <w:tcW w:w="824" w:type="dxa"/>
            <w:vAlign w:val="top"/>
          </w:tcPr>
          <w:p w14:paraId="6B65A1BA">
            <w:pPr>
              <w:rPr>
                <w:rFonts w:ascii="Arial"/>
                <w:sz w:val="21"/>
              </w:rPr>
            </w:pPr>
          </w:p>
        </w:tc>
        <w:tc>
          <w:tcPr>
            <w:tcW w:w="824" w:type="dxa"/>
            <w:vAlign w:val="top"/>
          </w:tcPr>
          <w:p w14:paraId="42B29909">
            <w:pPr>
              <w:rPr>
                <w:rFonts w:ascii="Arial"/>
                <w:sz w:val="21"/>
              </w:rPr>
            </w:pPr>
          </w:p>
        </w:tc>
        <w:tc>
          <w:tcPr>
            <w:tcW w:w="824" w:type="dxa"/>
            <w:vAlign w:val="top"/>
          </w:tcPr>
          <w:p w14:paraId="03D678A7">
            <w:pPr>
              <w:rPr>
                <w:rFonts w:ascii="Arial"/>
                <w:sz w:val="21"/>
              </w:rPr>
            </w:pPr>
          </w:p>
        </w:tc>
        <w:tc>
          <w:tcPr>
            <w:tcW w:w="824" w:type="dxa"/>
            <w:vAlign w:val="top"/>
          </w:tcPr>
          <w:p w14:paraId="7C2575C6">
            <w:pPr>
              <w:rPr>
                <w:rFonts w:ascii="Arial"/>
                <w:sz w:val="21"/>
              </w:rPr>
            </w:pPr>
          </w:p>
        </w:tc>
        <w:tc>
          <w:tcPr>
            <w:tcW w:w="824" w:type="dxa"/>
            <w:vAlign w:val="top"/>
          </w:tcPr>
          <w:p w14:paraId="3C3C1DAF">
            <w:pPr>
              <w:rPr>
                <w:rFonts w:ascii="Arial"/>
                <w:sz w:val="21"/>
              </w:rPr>
            </w:pPr>
          </w:p>
        </w:tc>
        <w:tc>
          <w:tcPr>
            <w:tcW w:w="829" w:type="dxa"/>
            <w:vAlign w:val="top"/>
          </w:tcPr>
          <w:p w14:paraId="0472B7BA">
            <w:pPr>
              <w:rPr>
                <w:rFonts w:ascii="Arial"/>
                <w:sz w:val="21"/>
              </w:rPr>
            </w:pPr>
          </w:p>
        </w:tc>
      </w:tr>
      <w:tr w14:paraId="3DD904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757" w:type="dxa"/>
            <w:vAlign w:val="top"/>
          </w:tcPr>
          <w:p w14:paraId="4F20FFF2">
            <w:pPr>
              <w:spacing w:before="240" w:line="272" w:lineRule="exact"/>
              <w:ind w:left="290"/>
              <w:rPr>
                <w:rFonts w:ascii="黑体" w:hAnsi="黑体" w:eastAsia="黑体" w:cs="黑体"/>
                <w:sz w:val="20"/>
                <w:szCs w:val="20"/>
              </w:rPr>
            </w:pPr>
            <w:r>
              <w:rPr>
                <w:rFonts w:ascii="黑体" w:hAnsi="黑体" w:eastAsia="黑体" w:cs="黑体"/>
                <w:spacing w:val="-5"/>
                <w:position w:val="1"/>
                <w:sz w:val="20"/>
                <w:szCs w:val="20"/>
              </w:rPr>
              <w:t>13</w:t>
            </w:r>
          </w:p>
        </w:tc>
        <w:tc>
          <w:tcPr>
            <w:tcW w:w="1801" w:type="dxa"/>
            <w:vAlign w:val="top"/>
          </w:tcPr>
          <w:p w14:paraId="30654FE4">
            <w:pPr>
              <w:pStyle w:val="6"/>
              <w:spacing w:before="240" w:line="228" w:lineRule="auto"/>
              <w:ind w:left="173"/>
            </w:pPr>
            <w:r>
              <w:rPr>
                <w:spacing w:val="8"/>
              </w:rPr>
              <w:t>投标人遵规守法</w:t>
            </w:r>
          </w:p>
        </w:tc>
        <w:tc>
          <w:tcPr>
            <w:tcW w:w="3792" w:type="dxa"/>
            <w:vAlign w:val="top"/>
          </w:tcPr>
          <w:p w14:paraId="1F05931A">
            <w:pPr>
              <w:pStyle w:val="6"/>
              <w:spacing w:before="106" w:line="252" w:lineRule="auto"/>
              <w:ind w:left="112" w:right="106" w:firstLine="3"/>
            </w:pPr>
            <w:r>
              <w:rPr>
                <w:spacing w:val="9"/>
              </w:rPr>
              <w:t>没有串通投标、弄虚作假、行贿或其他</w:t>
            </w:r>
            <w:r>
              <w:rPr>
                <w:spacing w:val="8"/>
              </w:rPr>
              <w:t>违法违规行为</w:t>
            </w:r>
          </w:p>
        </w:tc>
        <w:tc>
          <w:tcPr>
            <w:tcW w:w="824" w:type="dxa"/>
            <w:vAlign w:val="top"/>
          </w:tcPr>
          <w:p w14:paraId="5B7A64E7">
            <w:pPr>
              <w:rPr>
                <w:rFonts w:ascii="Arial"/>
                <w:sz w:val="21"/>
              </w:rPr>
            </w:pPr>
          </w:p>
        </w:tc>
        <w:tc>
          <w:tcPr>
            <w:tcW w:w="824" w:type="dxa"/>
            <w:vAlign w:val="top"/>
          </w:tcPr>
          <w:p w14:paraId="708F72F7">
            <w:pPr>
              <w:rPr>
                <w:rFonts w:ascii="Arial"/>
                <w:sz w:val="21"/>
              </w:rPr>
            </w:pPr>
          </w:p>
        </w:tc>
        <w:tc>
          <w:tcPr>
            <w:tcW w:w="824" w:type="dxa"/>
            <w:vAlign w:val="top"/>
          </w:tcPr>
          <w:p w14:paraId="79AD8101">
            <w:pPr>
              <w:rPr>
                <w:rFonts w:ascii="Arial"/>
                <w:sz w:val="21"/>
              </w:rPr>
            </w:pPr>
          </w:p>
        </w:tc>
        <w:tc>
          <w:tcPr>
            <w:tcW w:w="824" w:type="dxa"/>
            <w:vAlign w:val="top"/>
          </w:tcPr>
          <w:p w14:paraId="4DAFDACB">
            <w:pPr>
              <w:rPr>
                <w:rFonts w:ascii="Arial"/>
                <w:sz w:val="21"/>
              </w:rPr>
            </w:pPr>
          </w:p>
        </w:tc>
        <w:tc>
          <w:tcPr>
            <w:tcW w:w="824" w:type="dxa"/>
            <w:vAlign w:val="top"/>
          </w:tcPr>
          <w:p w14:paraId="6BE399F9">
            <w:pPr>
              <w:rPr>
                <w:rFonts w:ascii="Arial"/>
                <w:sz w:val="21"/>
              </w:rPr>
            </w:pPr>
          </w:p>
        </w:tc>
        <w:tc>
          <w:tcPr>
            <w:tcW w:w="824" w:type="dxa"/>
            <w:vAlign w:val="top"/>
          </w:tcPr>
          <w:p w14:paraId="6DE7D958">
            <w:pPr>
              <w:rPr>
                <w:rFonts w:ascii="Arial"/>
                <w:sz w:val="21"/>
              </w:rPr>
            </w:pPr>
          </w:p>
        </w:tc>
        <w:tc>
          <w:tcPr>
            <w:tcW w:w="824" w:type="dxa"/>
            <w:vAlign w:val="top"/>
          </w:tcPr>
          <w:p w14:paraId="14599FE3">
            <w:pPr>
              <w:rPr>
                <w:rFonts w:ascii="Arial"/>
                <w:sz w:val="21"/>
              </w:rPr>
            </w:pPr>
          </w:p>
        </w:tc>
        <w:tc>
          <w:tcPr>
            <w:tcW w:w="824" w:type="dxa"/>
            <w:vAlign w:val="top"/>
          </w:tcPr>
          <w:p w14:paraId="1F949F2A">
            <w:pPr>
              <w:rPr>
                <w:rFonts w:ascii="Arial"/>
                <w:sz w:val="21"/>
              </w:rPr>
            </w:pPr>
          </w:p>
        </w:tc>
        <w:tc>
          <w:tcPr>
            <w:tcW w:w="829" w:type="dxa"/>
            <w:vAlign w:val="top"/>
          </w:tcPr>
          <w:p w14:paraId="5E2B5E2C">
            <w:pPr>
              <w:rPr>
                <w:rFonts w:ascii="Arial"/>
                <w:sz w:val="21"/>
              </w:rPr>
            </w:pPr>
          </w:p>
        </w:tc>
      </w:tr>
      <w:tr w14:paraId="343F24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6350" w:type="dxa"/>
            <w:gridSpan w:val="3"/>
            <w:vAlign w:val="top"/>
          </w:tcPr>
          <w:p w14:paraId="1B518371">
            <w:pPr>
              <w:pStyle w:val="6"/>
              <w:spacing w:before="83" w:line="252" w:lineRule="auto"/>
              <w:ind w:left="116" w:right="106" w:firstLine="10"/>
            </w:pPr>
            <w:r>
              <w:rPr>
                <w:spacing w:val="10"/>
              </w:rPr>
              <w:t>响应性评审结论：通过响应性评审标注为√</w:t>
            </w:r>
            <w:r>
              <w:rPr>
                <w:spacing w:val="-72"/>
              </w:rPr>
              <w:t xml:space="preserve"> </w:t>
            </w:r>
            <w:r>
              <w:rPr>
                <w:spacing w:val="10"/>
              </w:rPr>
              <w:t>；</w:t>
            </w:r>
            <w:r>
              <w:rPr>
                <w:spacing w:val="9"/>
              </w:rPr>
              <w:t>未通过响应性评审标</w:t>
            </w:r>
            <w:r>
              <w:rPr>
                <w:spacing w:val="6"/>
              </w:rPr>
              <w:t>注为×</w:t>
            </w:r>
          </w:p>
        </w:tc>
        <w:tc>
          <w:tcPr>
            <w:tcW w:w="824" w:type="dxa"/>
            <w:vAlign w:val="top"/>
          </w:tcPr>
          <w:p w14:paraId="2CB2A5B4">
            <w:pPr>
              <w:rPr>
                <w:rFonts w:ascii="Arial"/>
                <w:sz w:val="21"/>
              </w:rPr>
            </w:pPr>
          </w:p>
        </w:tc>
        <w:tc>
          <w:tcPr>
            <w:tcW w:w="824" w:type="dxa"/>
            <w:vAlign w:val="top"/>
          </w:tcPr>
          <w:p w14:paraId="05FC583A">
            <w:pPr>
              <w:rPr>
                <w:rFonts w:ascii="Arial"/>
                <w:sz w:val="21"/>
              </w:rPr>
            </w:pPr>
          </w:p>
        </w:tc>
        <w:tc>
          <w:tcPr>
            <w:tcW w:w="824" w:type="dxa"/>
            <w:vAlign w:val="top"/>
          </w:tcPr>
          <w:p w14:paraId="64B7AFCC">
            <w:pPr>
              <w:rPr>
                <w:rFonts w:ascii="Arial"/>
                <w:sz w:val="21"/>
              </w:rPr>
            </w:pPr>
          </w:p>
        </w:tc>
        <w:tc>
          <w:tcPr>
            <w:tcW w:w="824" w:type="dxa"/>
            <w:vAlign w:val="top"/>
          </w:tcPr>
          <w:p w14:paraId="21841BF0">
            <w:pPr>
              <w:rPr>
                <w:rFonts w:ascii="Arial"/>
                <w:sz w:val="21"/>
              </w:rPr>
            </w:pPr>
          </w:p>
        </w:tc>
        <w:tc>
          <w:tcPr>
            <w:tcW w:w="824" w:type="dxa"/>
            <w:vAlign w:val="top"/>
          </w:tcPr>
          <w:p w14:paraId="263AB36F">
            <w:pPr>
              <w:rPr>
                <w:rFonts w:ascii="Arial"/>
                <w:sz w:val="21"/>
              </w:rPr>
            </w:pPr>
          </w:p>
        </w:tc>
        <w:tc>
          <w:tcPr>
            <w:tcW w:w="824" w:type="dxa"/>
            <w:vAlign w:val="top"/>
          </w:tcPr>
          <w:p w14:paraId="45175634">
            <w:pPr>
              <w:rPr>
                <w:rFonts w:ascii="Arial"/>
                <w:sz w:val="21"/>
              </w:rPr>
            </w:pPr>
          </w:p>
        </w:tc>
        <w:tc>
          <w:tcPr>
            <w:tcW w:w="824" w:type="dxa"/>
            <w:vAlign w:val="top"/>
          </w:tcPr>
          <w:p w14:paraId="004D8899">
            <w:pPr>
              <w:rPr>
                <w:rFonts w:ascii="Arial"/>
                <w:sz w:val="21"/>
              </w:rPr>
            </w:pPr>
          </w:p>
        </w:tc>
        <w:tc>
          <w:tcPr>
            <w:tcW w:w="824" w:type="dxa"/>
            <w:vAlign w:val="top"/>
          </w:tcPr>
          <w:p w14:paraId="20CAF9DC">
            <w:pPr>
              <w:rPr>
                <w:rFonts w:ascii="Arial"/>
                <w:sz w:val="21"/>
              </w:rPr>
            </w:pPr>
          </w:p>
        </w:tc>
        <w:tc>
          <w:tcPr>
            <w:tcW w:w="829" w:type="dxa"/>
            <w:vAlign w:val="top"/>
          </w:tcPr>
          <w:p w14:paraId="3B06727A">
            <w:pPr>
              <w:rPr>
                <w:rFonts w:ascii="Arial"/>
                <w:sz w:val="21"/>
              </w:rPr>
            </w:pPr>
          </w:p>
        </w:tc>
      </w:tr>
    </w:tbl>
    <w:p w14:paraId="5FFA1CC4">
      <w:pPr>
        <w:spacing w:before="32" w:line="227" w:lineRule="auto"/>
        <w:ind w:left="120"/>
        <w:rPr>
          <w:rFonts w:ascii="宋体" w:hAnsi="宋体" w:eastAsia="宋体" w:cs="宋体"/>
          <w:sz w:val="20"/>
          <w:szCs w:val="20"/>
        </w:rPr>
      </w:pPr>
      <w:r>
        <w:rPr>
          <w:rFonts w:ascii="宋体" w:hAnsi="宋体" w:eastAsia="宋体" w:cs="宋体"/>
          <w:spacing w:val="3"/>
          <w:sz w:val="20"/>
          <w:szCs w:val="20"/>
        </w:rPr>
        <w:t xml:space="preserve">评标委员会全体成员签名：                    </w:t>
      </w:r>
      <w:r>
        <w:rPr>
          <w:rFonts w:ascii="宋体" w:hAnsi="宋体" w:eastAsia="宋体" w:cs="宋体"/>
          <w:spacing w:val="2"/>
          <w:sz w:val="20"/>
          <w:szCs w:val="20"/>
        </w:rPr>
        <w:t xml:space="preserve">                                                           日期：       年    月     日</w:t>
      </w:r>
    </w:p>
    <w:p w14:paraId="7202C7CF">
      <w:pPr>
        <w:spacing w:line="227" w:lineRule="auto"/>
        <w:rPr>
          <w:rFonts w:ascii="宋体" w:hAnsi="宋体" w:eastAsia="宋体" w:cs="宋体"/>
          <w:sz w:val="20"/>
          <w:szCs w:val="20"/>
        </w:rPr>
        <w:sectPr>
          <w:footerReference r:id="rId134" w:type="default"/>
          <w:pgSz w:w="16840" w:h="11907"/>
          <w:pgMar w:top="400" w:right="1475" w:bottom="1036" w:left="1588" w:header="0" w:footer="787" w:gutter="0"/>
          <w:cols w:space="720" w:num="1"/>
        </w:sectPr>
      </w:pPr>
    </w:p>
    <w:p w14:paraId="6BDC2F2B">
      <w:pPr>
        <w:spacing w:line="286" w:lineRule="auto"/>
        <w:rPr>
          <w:rFonts w:ascii="Arial"/>
          <w:sz w:val="21"/>
        </w:rPr>
      </w:pPr>
    </w:p>
    <w:p w14:paraId="0AB49F4C">
      <w:pPr>
        <w:spacing w:line="286" w:lineRule="auto"/>
        <w:rPr>
          <w:rFonts w:ascii="Arial"/>
          <w:sz w:val="21"/>
        </w:rPr>
      </w:pPr>
    </w:p>
    <w:p w14:paraId="4BDEF9B9">
      <w:pPr>
        <w:spacing w:line="286" w:lineRule="auto"/>
        <w:rPr>
          <w:rFonts w:ascii="Arial"/>
          <w:sz w:val="21"/>
        </w:rPr>
      </w:pPr>
    </w:p>
    <w:p w14:paraId="6B608D18">
      <w:pPr>
        <w:spacing w:line="286" w:lineRule="auto"/>
        <w:rPr>
          <w:rFonts w:ascii="Arial"/>
          <w:sz w:val="21"/>
        </w:rPr>
      </w:pPr>
    </w:p>
    <w:p w14:paraId="74766E22">
      <w:pPr>
        <w:spacing w:line="287" w:lineRule="auto"/>
        <w:rPr>
          <w:rFonts w:ascii="Arial"/>
          <w:sz w:val="21"/>
        </w:rPr>
      </w:pPr>
    </w:p>
    <w:p w14:paraId="6B60ADC0">
      <w:pPr>
        <w:pStyle w:val="2"/>
        <w:spacing w:before="78" w:line="222" w:lineRule="auto"/>
        <w:ind w:left="135"/>
        <w:outlineLvl w:val="1"/>
        <w:rPr>
          <w:sz w:val="24"/>
          <w:szCs w:val="24"/>
        </w:rPr>
      </w:pPr>
      <w:r>
        <w:rPr>
          <w:spacing w:val="-2"/>
          <w:sz w:val="24"/>
          <w:szCs w:val="24"/>
        </w:rPr>
        <w:t>附表</w:t>
      </w:r>
      <w:r>
        <w:rPr>
          <w:spacing w:val="-41"/>
          <w:sz w:val="24"/>
          <w:szCs w:val="24"/>
        </w:rPr>
        <w:t xml:space="preserve"> </w:t>
      </w:r>
      <w:r>
        <w:rPr>
          <w:rFonts w:ascii="Times New Roman" w:hAnsi="Times New Roman" w:eastAsia="Times New Roman" w:cs="Times New Roman"/>
          <w:spacing w:val="-2"/>
          <w:sz w:val="24"/>
          <w:szCs w:val="24"/>
        </w:rPr>
        <w:t>A-7</w:t>
      </w:r>
      <w:r>
        <w:rPr>
          <w:spacing w:val="-2"/>
          <w:sz w:val="24"/>
          <w:szCs w:val="24"/>
        </w:rPr>
        <w:t>：施工组织设计评审记录表（合格性）</w:t>
      </w:r>
    </w:p>
    <w:p w14:paraId="23DBA548">
      <w:pPr>
        <w:pStyle w:val="2"/>
        <w:spacing w:before="48" w:line="377" w:lineRule="auto"/>
        <w:ind w:left="124" w:right="4908" w:firstLine="4795"/>
        <w:rPr>
          <w:rFonts w:ascii="宋体" w:hAnsi="宋体" w:eastAsia="宋体" w:cs="宋体"/>
          <w:sz w:val="20"/>
          <w:szCs w:val="20"/>
        </w:rPr>
      </w:pPr>
      <w:bookmarkStart w:id="188" w:name="bookmark169"/>
      <w:bookmarkEnd w:id="188"/>
      <w:r>
        <w:rPr>
          <w:spacing w:val="8"/>
          <w:sz w:val="35"/>
          <w:szCs w:val="35"/>
        </w:rPr>
        <w:t>施工组织设计评审记录表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5C6829C6">
      <w:pPr>
        <w:spacing w:line="44"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3"/>
        <w:gridCol w:w="1528"/>
        <w:gridCol w:w="3598"/>
        <w:gridCol w:w="720"/>
        <w:gridCol w:w="797"/>
        <w:gridCol w:w="798"/>
        <w:gridCol w:w="798"/>
        <w:gridCol w:w="797"/>
        <w:gridCol w:w="798"/>
        <w:gridCol w:w="797"/>
        <w:gridCol w:w="797"/>
        <w:gridCol w:w="798"/>
        <w:gridCol w:w="802"/>
      </w:tblGrid>
      <w:tr w14:paraId="22DC0D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43" w:type="dxa"/>
            <w:vMerge w:val="restart"/>
            <w:tcBorders>
              <w:bottom w:val="nil"/>
            </w:tcBorders>
            <w:vAlign w:val="top"/>
          </w:tcPr>
          <w:p w14:paraId="5214879D">
            <w:pPr>
              <w:spacing w:line="291" w:lineRule="auto"/>
              <w:rPr>
                <w:rFonts w:ascii="Arial"/>
                <w:sz w:val="21"/>
              </w:rPr>
            </w:pPr>
          </w:p>
          <w:p w14:paraId="5026A77A">
            <w:pPr>
              <w:pStyle w:val="6"/>
              <w:spacing w:before="65" w:line="229" w:lineRule="auto"/>
              <w:ind w:left="166"/>
            </w:pPr>
            <w:r>
              <w:rPr>
                <w:spacing w:val="5"/>
              </w:rPr>
              <w:t>序号</w:t>
            </w:r>
          </w:p>
        </w:tc>
        <w:tc>
          <w:tcPr>
            <w:tcW w:w="1528" w:type="dxa"/>
            <w:vMerge w:val="restart"/>
            <w:tcBorders>
              <w:bottom w:val="nil"/>
            </w:tcBorders>
            <w:vAlign w:val="top"/>
          </w:tcPr>
          <w:p w14:paraId="6C93289C">
            <w:pPr>
              <w:spacing w:line="291" w:lineRule="auto"/>
              <w:rPr>
                <w:rFonts w:ascii="Arial"/>
                <w:sz w:val="21"/>
              </w:rPr>
            </w:pPr>
          </w:p>
          <w:p w14:paraId="46E32A85">
            <w:pPr>
              <w:pStyle w:val="6"/>
              <w:spacing w:before="65" w:line="228" w:lineRule="auto"/>
              <w:ind w:left="347"/>
            </w:pPr>
            <w:r>
              <w:rPr>
                <w:spacing w:val="7"/>
              </w:rPr>
              <w:t>评审项目</w:t>
            </w:r>
          </w:p>
        </w:tc>
        <w:tc>
          <w:tcPr>
            <w:tcW w:w="3598" w:type="dxa"/>
            <w:vMerge w:val="restart"/>
            <w:tcBorders>
              <w:bottom w:val="nil"/>
            </w:tcBorders>
            <w:vAlign w:val="top"/>
          </w:tcPr>
          <w:p w14:paraId="43AF89E1">
            <w:pPr>
              <w:spacing w:line="291" w:lineRule="auto"/>
              <w:rPr>
                <w:rFonts w:ascii="Arial"/>
                <w:sz w:val="21"/>
              </w:rPr>
            </w:pPr>
          </w:p>
          <w:p w14:paraId="52E02800">
            <w:pPr>
              <w:pStyle w:val="6"/>
              <w:spacing w:before="65" w:line="228" w:lineRule="auto"/>
              <w:ind w:left="1384"/>
            </w:pPr>
            <w:r>
              <w:rPr>
                <w:spacing w:val="7"/>
              </w:rPr>
              <w:t>评审标准</w:t>
            </w:r>
          </w:p>
        </w:tc>
        <w:tc>
          <w:tcPr>
            <w:tcW w:w="720" w:type="dxa"/>
            <w:vMerge w:val="restart"/>
            <w:tcBorders>
              <w:bottom w:val="nil"/>
            </w:tcBorders>
            <w:vAlign w:val="top"/>
          </w:tcPr>
          <w:p w14:paraId="6E621451">
            <w:pPr>
              <w:spacing w:line="291" w:lineRule="auto"/>
              <w:rPr>
                <w:rFonts w:ascii="Arial"/>
                <w:sz w:val="21"/>
              </w:rPr>
            </w:pPr>
          </w:p>
          <w:p w14:paraId="3A2924CE">
            <w:pPr>
              <w:pStyle w:val="6"/>
              <w:spacing w:before="65" w:line="228" w:lineRule="auto"/>
              <w:ind w:left="161"/>
            </w:pPr>
            <w:r>
              <w:rPr>
                <w:spacing w:val="2"/>
              </w:rPr>
              <w:t>结果</w:t>
            </w:r>
          </w:p>
        </w:tc>
        <w:tc>
          <w:tcPr>
            <w:tcW w:w="7182" w:type="dxa"/>
            <w:gridSpan w:val="9"/>
            <w:vAlign w:val="top"/>
          </w:tcPr>
          <w:p w14:paraId="7F0F4514">
            <w:pPr>
              <w:pStyle w:val="6"/>
              <w:spacing w:before="125" w:line="228" w:lineRule="auto"/>
              <w:ind w:left="2023"/>
            </w:pPr>
            <w:r>
              <w:rPr>
                <w:spacing w:val="9"/>
              </w:rPr>
              <w:t>投标人名称或暗标编号及评审得分</w:t>
            </w:r>
          </w:p>
        </w:tc>
      </w:tr>
      <w:tr w14:paraId="247E4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3" w:type="dxa"/>
            <w:vMerge w:val="continue"/>
            <w:tcBorders>
              <w:top w:val="nil"/>
            </w:tcBorders>
            <w:vAlign w:val="top"/>
          </w:tcPr>
          <w:p w14:paraId="62278744">
            <w:pPr>
              <w:rPr>
                <w:rFonts w:ascii="Arial"/>
                <w:sz w:val="21"/>
              </w:rPr>
            </w:pPr>
          </w:p>
        </w:tc>
        <w:tc>
          <w:tcPr>
            <w:tcW w:w="1528" w:type="dxa"/>
            <w:vMerge w:val="continue"/>
            <w:tcBorders>
              <w:top w:val="nil"/>
            </w:tcBorders>
            <w:vAlign w:val="top"/>
          </w:tcPr>
          <w:p w14:paraId="0BED12D0">
            <w:pPr>
              <w:rPr>
                <w:rFonts w:ascii="Arial"/>
                <w:sz w:val="21"/>
              </w:rPr>
            </w:pPr>
          </w:p>
        </w:tc>
        <w:tc>
          <w:tcPr>
            <w:tcW w:w="3598" w:type="dxa"/>
            <w:vMerge w:val="continue"/>
            <w:tcBorders>
              <w:top w:val="nil"/>
            </w:tcBorders>
            <w:vAlign w:val="top"/>
          </w:tcPr>
          <w:p w14:paraId="57090A37">
            <w:pPr>
              <w:rPr>
                <w:rFonts w:ascii="Arial"/>
                <w:sz w:val="21"/>
              </w:rPr>
            </w:pPr>
          </w:p>
        </w:tc>
        <w:tc>
          <w:tcPr>
            <w:tcW w:w="720" w:type="dxa"/>
            <w:vMerge w:val="continue"/>
            <w:tcBorders>
              <w:top w:val="nil"/>
            </w:tcBorders>
            <w:vAlign w:val="top"/>
          </w:tcPr>
          <w:p w14:paraId="17E6F891">
            <w:pPr>
              <w:rPr>
                <w:rFonts w:ascii="Arial"/>
                <w:sz w:val="21"/>
              </w:rPr>
            </w:pPr>
          </w:p>
        </w:tc>
        <w:tc>
          <w:tcPr>
            <w:tcW w:w="797" w:type="dxa"/>
            <w:vAlign w:val="top"/>
          </w:tcPr>
          <w:p w14:paraId="0D518984">
            <w:pPr>
              <w:rPr>
                <w:rFonts w:ascii="Arial"/>
                <w:sz w:val="21"/>
              </w:rPr>
            </w:pPr>
          </w:p>
        </w:tc>
        <w:tc>
          <w:tcPr>
            <w:tcW w:w="798" w:type="dxa"/>
            <w:vAlign w:val="top"/>
          </w:tcPr>
          <w:p w14:paraId="3CD3C2F7">
            <w:pPr>
              <w:rPr>
                <w:rFonts w:ascii="Arial"/>
                <w:sz w:val="21"/>
              </w:rPr>
            </w:pPr>
          </w:p>
        </w:tc>
        <w:tc>
          <w:tcPr>
            <w:tcW w:w="798" w:type="dxa"/>
            <w:vAlign w:val="top"/>
          </w:tcPr>
          <w:p w14:paraId="5253607C">
            <w:pPr>
              <w:rPr>
                <w:rFonts w:ascii="Arial"/>
                <w:sz w:val="21"/>
              </w:rPr>
            </w:pPr>
          </w:p>
        </w:tc>
        <w:tc>
          <w:tcPr>
            <w:tcW w:w="797" w:type="dxa"/>
            <w:vAlign w:val="top"/>
          </w:tcPr>
          <w:p w14:paraId="5D780032">
            <w:pPr>
              <w:rPr>
                <w:rFonts w:ascii="Arial"/>
                <w:sz w:val="21"/>
              </w:rPr>
            </w:pPr>
          </w:p>
        </w:tc>
        <w:tc>
          <w:tcPr>
            <w:tcW w:w="798" w:type="dxa"/>
            <w:vAlign w:val="top"/>
          </w:tcPr>
          <w:p w14:paraId="0AC19463">
            <w:pPr>
              <w:rPr>
                <w:rFonts w:ascii="Arial"/>
                <w:sz w:val="21"/>
              </w:rPr>
            </w:pPr>
          </w:p>
        </w:tc>
        <w:tc>
          <w:tcPr>
            <w:tcW w:w="797" w:type="dxa"/>
            <w:vAlign w:val="top"/>
          </w:tcPr>
          <w:p w14:paraId="040EF818">
            <w:pPr>
              <w:rPr>
                <w:rFonts w:ascii="Arial"/>
                <w:sz w:val="21"/>
              </w:rPr>
            </w:pPr>
          </w:p>
        </w:tc>
        <w:tc>
          <w:tcPr>
            <w:tcW w:w="797" w:type="dxa"/>
            <w:vAlign w:val="top"/>
          </w:tcPr>
          <w:p w14:paraId="3672228B">
            <w:pPr>
              <w:rPr>
                <w:rFonts w:ascii="Arial"/>
                <w:sz w:val="21"/>
              </w:rPr>
            </w:pPr>
          </w:p>
        </w:tc>
        <w:tc>
          <w:tcPr>
            <w:tcW w:w="798" w:type="dxa"/>
            <w:vAlign w:val="top"/>
          </w:tcPr>
          <w:p w14:paraId="4C3EAECF">
            <w:pPr>
              <w:rPr>
                <w:rFonts w:ascii="Arial"/>
                <w:sz w:val="21"/>
              </w:rPr>
            </w:pPr>
          </w:p>
        </w:tc>
        <w:tc>
          <w:tcPr>
            <w:tcW w:w="802" w:type="dxa"/>
            <w:vAlign w:val="top"/>
          </w:tcPr>
          <w:p w14:paraId="0771445E">
            <w:pPr>
              <w:rPr>
                <w:rFonts w:ascii="Arial"/>
                <w:sz w:val="21"/>
              </w:rPr>
            </w:pPr>
          </w:p>
        </w:tc>
      </w:tr>
      <w:tr w14:paraId="14C023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743" w:type="dxa"/>
            <w:vAlign w:val="top"/>
          </w:tcPr>
          <w:p w14:paraId="70F0BDC9">
            <w:pPr>
              <w:spacing w:line="247" w:lineRule="auto"/>
              <w:rPr>
                <w:rFonts w:ascii="Arial"/>
                <w:sz w:val="21"/>
              </w:rPr>
            </w:pPr>
          </w:p>
          <w:p w14:paraId="5BBE4D4F">
            <w:pPr>
              <w:spacing w:before="65" w:line="275" w:lineRule="exact"/>
              <w:ind w:left="336"/>
              <w:rPr>
                <w:rFonts w:ascii="黑体" w:hAnsi="黑体" w:eastAsia="黑体" w:cs="黑体"/>
                <w:sz w:val="20"/>
                <w:szCs w:val="20"/>
              </w:rPr>
            </w:pPr>
            <w:r>
              <w:rPr>
                <w:rFonts w:ascii="黑体" w:hAnsi="黑体" w:eastAsia="黑体" w:cs="黑体"/>
                <w:position w:val="1"/>
                <w:sz w:val="20"/>
                <w:szCs w:val="20"/>
              </w:rPr>
              <w:t>1</w:t>
            </w:r>
          </w:p>
        </w:tc>
        <w:tc>
          <w:tcPr>
            <w:tcW w:w="1528" w:type="dxa"/>
            <w:vAlign w:val="top"/>
          </w:tcPr>
          <w:p w14:paraId="61795CB8">
            <w:pPr>
              <w:spacing w:line="247" w:lineRule="auto"/>
              <w:rPr>
                <w:rFonts w:ascii="Arial"/>
                <w:sz w:val="21"/>
              </w:rPr>
            </w:pPr>
          </w:p>
          <w:p w14:paraId="30D4160B">
            <w:pPr>
              <w:pStyle w:val="6"/>
              <w:spacing w:before="65" w:line="228" w:lineRule="auto"/>
              <w:ind w:left="350"/>
            </w:pPr>
            <w:r>
              <w:rPr>
                <w:spacing w:val="6"/>
              </w:rPr>
              <w:t>工程概况</w:t>
            </w:r>
          </w:p>
        </w:tc>
        <w:tc>
          <w:tcPr>
            <w:tcW w:w="3598" w:type="dxa"/>
            <w:vAlign w:val="top"/>
          </w:tcPr>
          <w:p w14:paraId="2137F6FF">
            <w:pPr>
              <w:pStyle w:val="6"/>
              <w:spacing w:before="180" w:line="251" w:lineRule="auto"/>
              <w:ind w:left="112" w:right="105" w:firstLine="3"/>
            </w:pPr>
            <w:r>
              <w:rPr>
                <w:spacing w:val="10"/>
              </w:rPr>
              <w:t>工程主要情况、各专业设计简介、工</w:t>
            </w:r>
            <w:r>
              <w:rPr>
                <w:spacing w:val="9"/>
              </w:rPr>
              <w:t>程施工条件描述基本准确</w:t>
            </w:r>
          </w:p>
        </w:tc>
        <w:tc>
          <w:tcPr>
            <w:tcW w:w="720" w:type="dxa"/>
            <w:vAlign w:val="top"/>
          </w:tcPr>
          <w:p w14:paraId="58530B32">
            <w:pPr>
              <w:spacing w:line="247" w:lineRule="auto"/>
              <w:rPr>
                <w:rFonts w:ascii="Arial"/>
                <w:sz w:val="21"/>
              </w:rPr>
            </w:pPr>
          </w:p>
          <w:p w14:paraId="5625B9C1">
            <w:pPr>
              <w:pStyle w:val="6"/>
              <w:spacing w:before="65" w:line="228" w:lineRule="auto"/>
              <w:ind w:left="157"/>
            </w:pPr>
            <w:r>
              <w:rPr>
                <w:spacing w:val="4"/>
              </w:rPr>
              <w:t>合格</w:t>
            </w:r>
          </w:p>
        </w:tc>
        <w:tc>
          <w:tcPr>
            <w:tcW w:w="797" w:type="dxa"/>
            <w:vAlign w:val="top"/>
          </w:tcPr>
          <w:p w14:paraId="5F582937">
            <w:pPr>
              <w:rPr>
                <w:rFonts w:ascii="Arial"/>
                <w:sz w:val="21"/>
              </w:rPr>
            </w:pPr>
          </w:p>
        </w:tc>
        <w:tc>
          <w:tcPr>
            <w:tcW w:w="798" w:type="dxa"/>
            <w:vAlign w:val="top"/>
          </w:tcPr>
          <w:p w14:paraId="61256C16">
            <w:pPr>
              <w:rPr>
                <w:rFonts w:ascii="Arial"/>
                <w:sz w:val="21"/>
              </w:rPr>
            </w:pPr>
          </w:p>
        </w:tc>
        <w:tc>
          <w:tcPr>
            <w:tcW w:w="798" w:type="dxa"/>
            <w:vAlign w:val="top"/>
          </w:tcPr>
          <w:p w14:paraId="50BC3EC5">
            <w:pPr>
              <w:rPr>
                <w:rFonts w:ascii="Arial"/>
                <w:sz w:val="21"/>
              </w:rPr>
            </w:pPr>
          </w:p>
        </w:tc>
        <w:tc>
          <w:tcPr>
            <w:tcW w:w="797" w:type="dxa"/>
            <w:vAlign w:val="top"/>
          </w:tcPr>
          <w:p w14:paraId="63FCD7C6">
            <w:pPr>
              <w:rPr>
                <w:rFonts w:ascii="Arial"/>
                <w:sz w:val="21"/>
              </w:rPr>
            </w:pPr>
          </w:p>
        </w:tc>
        <w:tc>
          <w:tcPr>
            <w:tcW w:w="798" w:type="dxa"/>
            <w:vAlign w:val="top"/>
          </w:tcPr>
          <w:p w14:paraId="0B240AE4">
            <w:pPr>
              <w:rPr>
                <w:rFonts w:ascii="Arial"/>
                <w:sz w:val="21"/>
              </w:rPr>
            </w:pPr>
          </w:p>
        </w:tc>
        <w:tc>
          <w:tcPr>
            <w:tcW w:w="797" w:type="dxa"/>
            <w:vAlign w:val="top"/>
          </w:tcPr>
          <w:p w14:paraId="0CCCEC12">
            <w:pPr>
              <w:rPr>
                <w:rFonts w:ascii="Arial"/>
                <w:sz w:val="21"/>
              </w:rPr>
            </w:pPr>
          </w:p>
        </w:tc>
        <w:tc>
          <w:tcPr>
            <w:tcW w:w="797" w:type="dxa"/>
            <w:vAlign w:val="top"/>
          </w:tcPr>
          <w:p w14:paraId="11F2FFA2">
            <w:pPr>
              <w:rPr>
                <w:rFonts w:ascii="Arial"/>
                <w:sz w:val="21"/>
              </w:rPr>
            </w:pPr>
          </w:p>
        </w:tc>
        <w:tc>
          <w:tcPr>
            <w:tcW w:w="798" w:type="dxa"/>
            <w:vAlign w:val="top"/>
          </w:tcPr>
          <w:p w14:paraId="134A5993">
            <w:pPr>
              <w:rPr>
                <w:rFonts w:ascii="Arial"/>
                <w:sz w:val="21"/>
              </w:rPr>
            </w:pPr>
          </w:p>
        </w:tc>
        <w:tc>
          <w:tcPr>
            <w:tcW w:w="802" w:type="dxa"/>
            <w:vAlign w:val="top"/>
          </w:tcPr>
          <w:p w14:paraId="3BD8121A">
            <w:pPr>
              <w:rPr>
                <w:rFonts w:ascii="Arial"/>
                <w:sz w:val="21"/>
              </w:rPr>
            </w:pPr>
          </w:p>
        </w:tc>
      </w:tr>
      <w:tr w14:paraId="413EEB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9" w:hRule="atLeast"/>
        </w:trPr>
        <w:tc>
          <w:tcPr>
            <w:tcW w:w="743" w:type="dxa"/>
            <w:vAlign w:val="top"/>
          </w:tcPr>
          <w:p w14:paraId="048C68B7">
            <w:pPr>
              <w:spacing w:line="317" w:lineRule="auto"/>
              <w:rPr>
                <w:rFonts w:ascii="Arial"/>
                <w:sz w:val="21"/>
              </w:rPr>
            </w:pPr>
          </w:p>
          <w:p w14:paraId="130ED3FF">
            <w:pPr>
              <w:spacing w:line="318" w:lineRule="auto"/>
              <w:rPr>
                <w:rFonts w:ascii="Arial"/>
                <w:sz w:val="21"/>
              </w:rPr>
            </w:pPr>
          </w:p>
          <w:p w14:paraId="0CFC1F6D">
            <w:pPr>
              <w:spacing w:line="318" w:lineRule="auto"/>
              <w:rPr>
                <w:rFonts w:ascii="Arial"/>
                <w:sz w:val="21"/>
              </w:rPr>
            </w:pPr>
          </w:p>
          <w:p w14:paraId="43F7CF30">
            <w:pPr>
              <w:spacing w:before="65" w:line="275" w:lineRule="exact"/>
              <w:ind w:left="323"/>
              <w:rPr>
                <w:rFonts w:ascii="黑体" w:hAnsi="黑体" w:eastAsia="黑体" w:cs="黑体"/>
                <w:sz w:val="20"/>
                <w:szCs w:val="20"/>
              </w:rPr>
            </w:pPr>
            <w:r>
              <w:rPr>
                <w:rFonts w:ascii="黑体" w:hAnsi="黑体" w:eastAsia="黑体" w:cs="黑体"/>
                <w:position w:val="1"/>
                <w:sz w:val="20"/>
                <w:szCs w:val="20"/>
              </w:rPr>
              <w:t>2</w:t>
            </w:r>
          </w:p>
        </w:tc>
        <w:tc>
          <w:tcPr>
            <w:tcW w:w="1528" w:type="dxa"/>
            <w:vAlign w:val="top"/>
          </w:tcPr>
          <w:p w14:paraId="3AE1D567">
            <w:pPr>
              <w:spacing w:line="317" w:lineRule="auto"/>
              <w:rPr>
                <w:rFonts w:ascii="Arial"/>
                <w:sz w:val="21"/>
              </w:rPr>
            </w:pPr>
          </w:p>
          <w:p w14:paraId="19376D13">
            <w:pPr>
              <w:spacing w:line="317" w:lineRule="auto"/>
              <w:rPr>
                <w:rFonts w:ascii="Arial"/>
                <w:sz w:val="21"/>
              </w:rPr>
            </w:pPr>
          </w:p>
          <w:p w14:paraId="3E59AEF6">
            <w:pPr>
              <w:spacing w:line="318" w:lineRule="auto"/>
              <w:rPr>
                <w:rFonts w:ascii="Arial"/>
                <w:sz w:val="21"/>
              </w:rPr>
            </w:pPr>
          </w:p>
          <w:p w14:paraId="086E407B">
            <w:pPr>
              <w:pStyle w:val="6"/>
              <w:spacing w:before="66" w:line="228" w:lineRule="auto"/>
              <w:ind w:left="347"/>
            </w:pPr>
            <w:r>
              <w:rPr>
                <w:spacing w:val="7"/>
              </w:rPr>
              <w:t>施工部署</w:t>
            </w:r>
          </w:p>
        </w:tc>
        <w:tc>
          <w:tcPr>
            <w:tcW w:w="3598" w:type="dxa"/>
            <w:vAlign w:val="top"/>
          </w:tcPr>
          <w:p w14:paraId="7165F1C8">
            <w:pPr>
              <w:pStyle w:val="6"/>
              <w:spacing w:before="73" w:line="251" w:lineRule="auto"/>
              <w:ind w:left="112" w:right="35" w:firstLine="3"/>
              <w:jc w:val="both"/>
            </w:pPr>
            <w:r>
              <w:rPr>
                <w:spacing w:val="10"/>
              </w:rPr>
              <w:t>工程施工目标、主要施工内容、施工</w:t>
            </w:r>
            <w:r>
              <w:rPr>
                <w:spacing w:val="2"/>
              </w:rPr>
              <w:t>流水段划分、施工的重点和难点分析、</w:t>
            </w:r>
            <w:r>
              <w:rPr>
                <w:spacing w:val="10"/>
              </w:rPr>
              <w:t>工程管理的组织机构形式、项目经理部的工作岗位设置及其职责划分、新技术、新工艺部署及其技术和管理要</w:t>
            </w:r>
            <w:r>
              <w:rPr>
                <w:spacing w:val="-2"/>
              </w:rPr>
              <w:t>求（如有）、主要分包工程施工单位的</w:t>
            </w:r>
            <w:r>
              <w:rPr>
                <w:spacing w:val="10"/>
              </w:rPr>
              <w:t>选择要求及管理方式（如有）等各项</w:t>
            </w:r>
            <w:r>
              <w:rPr>
                <w:spacing w:val="8"/>
              </w:rPr>
              <w:t>安排合理、可行</w:t>
            </w:r>
          </w:p>
        </w:tc>
        <w:tc>
          <w:tcPr>
            <w:tcW w:w="720" w:type="dxa"/>
            <w:vAlign w:val="top"/>
          </w:tcPr>
          <w:p w14:paraId="000DBFAD">
            <w:pPr>
              <w:spacing w:line="317" w:lineRule="auto"/>
              <w:rPr>
                <w:rFonts w:ascii="Arial"/>
                <w:sz w:val="21"/>
              </w:rPr>
            </w:pPr>
          </w:p>
          <w:p w14:paraId="245C4C01">
            <w:pPr>
              <w:spacing w:line="317" w:lineRule="auto"/>
              <w:rPr>
                <w:rFonts w:ascii="Arial"/>
                <w:sz w:val="21"/>
              </w:rPr>
            </w:pPr>
          </w:p>
          <w:p w14:paraId="3F9B89D2">
            <w:pPr>
              <w:spacing w:line="318" w:lineRule="auto"/>
              <w:rPr>
                <w:rFonts w:ascii="Arial"/>
                <w:sz w:val="21"/>
              </w:rPr>
            </w:pPr>
          </w:p>
          <w:p w14:paraId="6B44E13A">
            <w:pPr>
              <w:pStyle w:val="6"/>
              <w:spacing w:before="66" w:line="228" w:lineRule="auto"/>
              <w:ind w:left="157"/>
            </w:pPr>
            <w:r>
              <w:rPr>
                <w:spacing w:val="4"/>
              </w:rPr>
              <w:t>合格</w:t>
            </w:r>
          </w:p>
        </w:tc>
        <w:tc>
          <w:tcPr>
            <w:tcW w:w="797" w:type="dxa"/>
            <w:vAlign w:val="top"/>
          </w:tcPr>
          <w:p w14:paraId="4AEB5E14">
            <w:pPr>
              <w:rPr>
                <w:rFonts w:ascii="Arial"/>
                <w:sz w:val="21"/>
              </w:rPr>
            </w:pPr>
          </w:p>
        </w:tc>
        <w:tc>
          <w:tcPr>
            <w:tcW w:w="798" w:type="dxa"/>
            <w:vAlign w:val="top"/>
          </w:tcPr>
          <w:p w14:paraId="3661B497">
            <w:pPr>
              <w:rPr>
                <w:rFonts w:ascii="Arial"/>
                <w:sz w:val="21"/>
              </w:rPr>
            </w:pPr>
          </w:p>
        </w:tc>
        <w:tc>
          <w:tcPr>
            <w:tcW w:w="798" w:type="dxa"/>
            <w:vAlign w:val="top"/>
          </w:tcPr>
          <w:p w14:paraId="47156321">
            <w:pPr>
              <w:rPr>
                <w:rFonts w:ascii="Arial"/>
                <w:sz w:val="21"/>
              </w:rPr>
            </w:pPr>
          </w:p>
        </w:tc>
        <w:tc>
          <w:tcPr>
            <w:tcW w:w="797" w:type="dxa"/>
            <w:vAlign w:val="top"/>
          </w:tcPr>
          <w:p w14:paraId="174F346B">
            <w:pPr>
              <w:rPr>
                <w:rFonts w:ascii="Arial"/>
                <w:sz w:val="21"/>
              </w:rPr>
            </w:pPr>
          </w:p>
        </w:tc>
        <w:tc>
          <w:tcPr>
            <w:tcW w:w="798" w:type="dxa"/>
            <w:vAlign w:val="top"/>
          </w:tcPr>
          <w:p w14:paraId="5121957E">
            <w:pPr>
              <w:rPr>
                <w:rFonts w:ascii="Arial"/>
                <w:sz w:val="21"/>
              </w:rPr>
            </w:pPr>
          </w:p>
        </w:tc>
        <w:tc>
          <w:tcPr>
            <w:tcW w:w="797" w:type="dxa"/>
            <w:vAlign w:val="top"/>
          </w:tcPr>
          <w:p w14:paraId="1C50A841">
            <w:pPr>
              <w:rPr>
                <w:rFonts w:ascii="Arial"/>
                <w:sz w:val="21"/>
              </w:rPr>
            </w:pPr>
          </w:p>
        </w:tc>
        <w:tc>
          <w:tcPr>
            <w:tcW w:w="797" w:type="dxa"/>
            <w:vAlign w:val="top"/>
          </w:tcPr>
          <w:p w14:paraId="68D89E5C">
            <w:pPr>
              <w:rPr>
                <w:rFonts w:ascii="Arial"/>
                <w:sz w:val="21"/>
              </w:rPr>
            </w:pPr>
          </w:p>
        </w:tc>
        <w:tc>
          <w:tcPr>
            <w:tcW w:w="798" w:type="dxa"/>
            <w:vAlign w:val="top"/>
          </w:tcPr>
          <w:p w14:paraId="31B1300C">
            <w:pPr>
              <w:rPr>
                <w:rFonts w:ascii="Arial"/>
                <w:sz w:val="21"/>
              </w:rPr>
            </w:pPr>
          </w:p>
        </w:tc>
        <w:tc>
          <w:tcPr>
            <w:tcW w:w="802" w:type="dxa"/>
            <w:vAlign w:val="top"/>
          </w:tcPr>
          <w:p w14:paraId="70C41116">
            <w:pPr>
              <w:rPr>
                <w:rFonts w:ascii="Arial"/>
                <w:sz w:val="21"/>
              </w:rPr>
            </w:pPr>
          </w:p>
        </w:tc>
      </w:tr>
      <w:tr w14:paraId="7D6D1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9" w:hRule="atLeast"/>
        </w:trPr>
        <w:tc>
          <w:tcPr>
            <w:tcW w:w="743" w:type="dxa"/>
            <w:vAlign w:val="top"/>
          </w:tcPr>
          <w:p w14:paraId="6E203A89">
            <w:pPr>
              <w:spacing w:before="269" w:line="273" w:lineRule="exact"/>
              <w:ind w:left="325"/>
              <w:rPr>
                <w:rFonts w:ascii="黑体" w:hAnsi="黑体" w:eastAsia="黑体" w:cs="黑体"/>
                <w:sz w:val="20"/>
                <w:szCs w:val="20"/>
              </w:rPr>
            </w:pPr>
            <w:r>
              <w:rPr>
                <w:rFonts w:ascii="黑体" w:hAnsi="黑体" w:eastAsia="黑体" w:cs="黑体"/>
                <w:position w:val="1"/>
                <w:sz w:val="20"/>
                <w:szCs w:val="20"/>
              </w:rPr>
              <w:t>3</w:t>
            </w:r>
          </w:p>
        </w:tc>
        <w:tc>
          <w:tcPr>
            <w:tcW w:w="1528" w:type="dxa"/>
            <w:vAlign w:val="top"/>
          </w:tcPr>
          <w:p w14:paraId="013EAA98">
            <w:pPr>
              <w:pStyle w:val="6"/>
              <w:spacing w:before="270" w:line="228" w:lineRule="auto"/>
              <w:ind w:left="135"/>
            </w:pPr>
            <w:r>
              <w:rPr>
                <w:spacing w:val="8"/>
              </w:rPr>
              <w:t>施工进度计划</w:t>
            </w:r>
          </w:p>
        </w:tc>
        <w:tc>
          <w:tcPr>
            <w:tcW w:w="3598" w:type="dxa"/>
            <w:vAlign w:val="top"/>
          </w:tcPr>
          <w:p w14:paraId="0888549E">
            <w:pPr>
              <w:pStyle w:val="6"/>
              <w:spacing w:before="135" w:line="252" w:lineRule="auto"/>
              <w:ind w:left="116" w:right="105" w:firstLine="13"/>
            </w:pPr>
            <w:r>
              <w:rPr>
                <w:spacing w:val="23"/>
              </w:rPr>
              <w:t>网络图或横道图安排的进度计划合</w:t>
            </w:r>
            <w:r>
              <w:rPr>
                <w:spacing w:val="6"/>
              </w:rPr>
              <w:t>理、可行</w:t>
            </w:r>
          </w:p>
        </w:tc>
        <w:tc>
          <w:tcPr>
            <w:tcW w:w="720" w:type="dxa"/>
            <w:vAlign w:val="top"/>
          </w:tcPr>
          <w:p w14:paraId="299301BA">
            <w:pPr>
              <w:pStyle w:val="6"/>
              <w:spacing w:before="269" w:line="228" w:lineRule="auto"/>
              <w:ind w:left="157"/>
            </w:pPr>
            <w:r>
              <w:rPr>
                <w:spacing w:val="4"/>
              </w:rPr>
              <w:t>合格</w:t>
            </w:r>
          </w:p>
        </w:tc>
        <w:tc>
          <w:tcPr>
            <w:tcW w:w="797" w:type="dxa"/>
            <w:vAlign w:val="top"/>
          </w:tcPr>
          <w:p w14:paraId="1846D9AC">
            <w:pPr>
              <w:rPr>
                <w:rFonts w:ascii="Arial"/>
                <w:sz w:val="21"/>
              </w:rPr>
            </w:pPr>
          </w:p>
        </w:tc>
        <w:tc>
          <w:tcPr>
            <w:tcW w:w="798" w:type="dxa"/>
            <w:vAlign w:val="top"/>
          </w:tcPr>
          <w:p w14:paraId="7F195343">
            <w:pPr>
              <w:rPr>
                <w:rFonts w:ascii="Arial"/>
                <w:sz w:val="21"/>
              </w:rPr>
            </w:pPr>
          </w:p>
        </w:tc>
        <w:tc>
          <w:tcPr>
            <w:tcW w:w="798" w:type="dxa"/>
            <w:vAlign w:val="top"/>
          </w:tcPr>
          <w:p w14:paraId="53210A53">
            <w:pPr>
              <w:rPr>
                <w:rFonts w:ascii="Arial"/>
                <w:sz w:val="21"/>
              </w:rPr>
            </w:pPr>
          </w:p>
        </w:tc>
        <w:tc>
          <w:tcPr>
            <w:tcW w:w="797" w:type="dxa"/>
            <w:vAlign w:val="top"/>
          </w:tcPr>
          <w:p w14:paraId="1BAC6DC0">
            <w:pPr>
              <w:rPr>
                <w:rFonts w:ascii="Arial"/>
                <w:sz w:val="21"/>
              </w:rPr>
            </w:pPr>
          </w:p>
        </w:tc>
        <w:tc>
          <w:tcPr>
            <w:tcW w:w="798" w:type="dxa"/>
            <w:vAlign w:val="top"/>
          </w:tcPr>
          <w:p w14:paraId="690C88FC">
            <w:pPr>
              <w:rPr>
                <w:rFonts w:ascii="Arial"/>
                <w:sz w:val="21"/>
              </w:rPr>
            </w:pPr>
          </w:p>
        </w:tc>
        <w:tc>
          <w:tcPr>
            <w:tcW w:w="797" w:type="dxa"/>
            <w:vAlign w:val="top"/>
          </w:tcPr>
          <w:p w14:paraId="32C9870D">
            <w:pPr>
              <w:rPr>
                <w:rFonts w:ascii="Arial"/>
                <w:sz w:val="21"/>
              </w:rPr>
            </w:pPr>
          </w:p>
        </w:tc>
        <w:tc>
          <w:tcPr>
            <w:tcW w:w="797" w:type="dxa"/>
            <w:vAlign w:val="top"/>
          </w:tcPr>
          <w:p w14:paraId="6714AD5A">
            <w:pPr>
              <w:rPr>
                <w:rFonts w:ascii="Arial"/>
                <w:sz w:val="21"/>
              </w:rPr>
            </w:pPr>
          </w:p>
        </w:tc>
        <w:tc>
          <w:tcPr>
            <w:tcW w:w="798" w:type="dxa"/>
            <w:vAlign w:val="top"/>
          </w:tcPr>
          <w:p w14:paraId="020A6764">
            <w:pPr>
              <w:rPr>
                <w:rFonts w:ascii="Arial"/>
                <w:sz w:val="21"/>
              </w:rPr>
            </w:pPr>
          </w:p>
        </w:tc>
        <w:tc>
          <w:tcPr>
            <w:tcW w:w="802" w:type="dxa"/>
            <w:vAlign w:val="top"/>
          </w:tcPr>
          <w:p w14:paraId="3EAA6C3C">
            <w:pPr>
              <w:rPr>
                <w:rFonts w:ascii="Arial"/>
                <w:sz w:val="21"/>
              </w:rPr>
            </w:pPr>
          </w:p>
        </w:tc>
      </w:tr>
      <w:tr w14:paraId="1CF719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15" w:hRule="atLeast"/>
        </w:trPr>
        <w:tc>
          <w:tcPr>
            <w:tcW w:w="743" w:type="dxa"/>
            <w:vAlign w:val="top"/>
          </w:tcPr>
          <w:p w14:paraId="60B0CB56">
            <w:pPr>
              <w:spacing w:line="291" w:lineRule="auto"/>
              <w:rPr>
                <w:rFonts w:ascii="Arial"/>
                <w:sz w:val="21"/>
              </w:rPr>
            </w:pPr>
          </w:p>
          <w:p w14:paraId="367B5EAC">
            <w:pPr>
              <w:spacing w:line="291" w:lineRule="auto"/>
              <w:rPr>
                <w:rFonts w:ascii="Arial"/>
                <w:sz w:val="21"/>
              </w:rPr>
            </w:pPr>
          </w:p>
          <w:p w14:paraId="4F0A5514">
            <w:pPr>
              <w:spacing w:before="65" w:line="275" w:lineRule="exact"/>
              <w:ind w:left="319"/>
              <w:rPr>
                <w:rFonts w:ascii="黑体" w:hAnsi="黑体" w:eastAsia="黑体" w:cs="黑体"/>
                <w:sz w:val="20"/>
                <w:szCs w:val="20"/>
              </w:rPr>
            </w:pPr>
            <w:r>
              <w:rPr>
                <w:rFonts w:ascii="黑体" w:hAnsi="黑体" w:eastAsia="黑体" w:cs="黑体"/>
                <w:spacing w:val="1"/>
                <w:position w:val="1"/>
                <w:sz w:val="20"/>
                <w:szCs w:val="20"/>
              </w:rPr>
              <w:t>4</w:t>
            </w:r>
          </w:p>
        </w:tc>
        <w:tc>
          <w:tcPr>
            <w:tcW w:w="1528" w:type="dxa"/>
            <w:vAlign w:val="top"/>
          </w:tcPr>
          <w:p w14:paraId="641C4750">
            <w:pPr>
              <w:spacing w:line="445" w:lineRule="auto"/>
              <w:rPr>
                <w:rFonts w:ascii="Arial"/>
                <w:sz w:val="21"/>
              </w:rPr>
            </w:pPr>
          </w:p>
          <w:p w14:paraId="0A7B44CA">
            <w:pPr>
              <w:pStyle w:val="6"/>
              <w:spacing w:before="65" w:line="255" w:lineRule="auto"/>
              <w:ind w:left="240" w:right="136" w:hanging="105"/>
            </w:pPr>
            <w:r>
              <w:rPr>
                <w:spacing w:val="8"/>
              </w:rPr>
              <w:t>施工准备与资源配置计划</w:t>
            </w:r>
          </w:p>
        </w:tc>
        <w:tc>
          <w:tcPr>
            <w:tcW w:w="3598" w:type="dxa"/>
            <w:vAlign w:val="top"/>
          </w:tcPr>
          <w:p w14:paraId="3E347367">
            <w:pPr>
              <w:pStyle w:val="6"/>
              <w:spacing w:before="107" w:line="252" w:lineRule="auto"/>
              <w:ind w:left="112" w:right="105" w:firstLine="1"/>
              <w:jc w:val="both"/>
            </w:pPr>
            <w:r>
              <w:rPr>
                <w:spacing w:val="10"/>
              </w:rPr>
              <w:t>技术准备、现场准备和资金准备；资源配置计划包括劳动力配置计划、主要工程材料和设备配置计划、主要周转材料和施工机具配置计划等内容完</w:t>
            </w:r>
            <w:r>
              <w:rPr>
                <w:spacing w:val="7"/>
              </w:rPr>
              <w:t>备，可行</w:t>
            </w:r>
          </w:p>
        </w:tc>
        <w:tc>
          <w:tcPr>
            <w:tcW w:w="720" w:type="dxa"/>
            <w:vAlign w:val="top"/>
          </w:tcPr>
          <w:p w14:paraId="6942618A">
            <w:pPr>
              <w:spacing w:line="291" w:lineRule="auto"/>
              <w:rPr>
                <w:rFonts w:ascii="Arial"/>
                <w:sz w:val="21"/>
              </w:rPr>
            </w:pPr>
          </w:p>
          <w:p w14:paraId="60E18AB2">
            <w:pPr>
              <w:spacing w:line="291" w:lineRule="auto"/>
              <w:rPr>
                <w:rFonts w:ascii="Arial"/>
                <w:sz w:val="21"/>
              </w:rPr>
            </w:pPr>
          </w:p>
          <w:p w14:paraId="69BDD04E">
            <w:pPr>
              <w:pStyle w:val="6"/>
              <w:spacing w:before="65" w:line="228" w:lineRule="auto"/>
              <w:ind w:left="157"/>
            </w:pPr>
            <w:r>
              <w:rPr>
                <w:spacing w:val="4"/>
              </w:rPr>
              <w:t>合格</w:t>
            </w:r>
          </w:p>
        </w:tc>
        <w:tc>
          <w:tcPr>
            <w:tcW w:w="797" w:type="dxa"/>
            <w:vAlign w:val="top"/>
          </w:tcPr>
          <w:p w14:paraId="4C9044C0">
            <w:pPr>
              <w:rPr>
                <w:rFonts w:ascii="Arial"/>
                <w:sz w:val="21"/>
              </w:rPr>
            </w:pPr>
          </w:p>
        </w:tc>
        <w:tc>
          <w:tcPr>
            <w:tcW w:w="798" w:type="dxa"/>
            <w:vAlign w:val="top"/>
          </w:tcPr>
          <w:p w14:paraId="46590928">
            <w:pPr>
              <w:rPr>
                <w:rFonts w:ascii="Arial"/>
                <w:sz w:val="21"/>
              </w:rPr>
            </w:pPr>
          </w:p>
        </w:tc>
        <w:tc>
          <w:tcPr>
            <w:tcW w:w="798" w:type="dxa"/>
            <w:vAlign w:val="top"/>
          </w:tcPr>
          <w:p w14:paraId="5EB8760B">
            <w:pPr>
              <w:rPr>
                <w:rFonts w:ascii="Arial"/>
                <w:sz w:val="21"/>
              </w:rPr>
            </w:pPr>
          </w:p>
        </w:tc>
        <w:tc>
          <w:tcPr>
            <w:tcW w:w="797" w:type="dxa"/>
            <w:vAlign w:val="top"/>
          </w:tcPr>
          <w:p w14:paraId="20AF429B">
            <w:pPr>
              <w:rPr>
                <w:rFonts w:ascii="Arial"/>
                <w:sz w:val="21"/>
              </w:rPr>
            </w:pPr>
          </w:p>
        </w:tc>
        <w:tc>
          <w:tcPr>
            <w:tcW w:w="798" w:type="dxa"/>
            <w:vAlign w:val="top"/>
          </w:tcPr>
          <w:p w14:paraId="48156414">
            <w:pPr>
              <w:rPr>
                <w:rFonts w:ascii="Arial"/>
                <w:sz w:val="21"/>
              </w:rPr>
            </w:pPr>
          </w:p>
        </w:tc>
        <w:tc>
          <w:tcPr>
            <w:tcW w:w="797" w:type="dxa"/>
            <w:vAlign w:val="top"/>
          </w:tcPr>
          <w:p w14:paraId="0EBC1C0C">
            <w:pPr>
              <w:rPr>
                <w:rFonts w:ascii="Arial"/>
                <w:sz w:val="21"/>
              </w:rPr>
            </w:pPr>
          </w:p>
        </w:tc>
        <w:tc>
          <w:tcPr>
            <w:tcW w:w="797" w:type="dxa"/>
            <w:vAlign w:val="top"/>
          </w:tcPr>
          <w:p w14:paraId="66B4A857">
            <w:pPr>
              <w:rPr>
                <w:rFonts w:ascii="Arial"/>
                <w:sz w:val="21"/>
              </w:rPr>
            </w:pPr>
          </w:p>
        </w:tc>
        <w:tc>
          <w:tcPr>
            <w:tcW w:w="798" w:type="dxa"/>
            <w:vAlign w:val="top"/>
          </w:tcPr>
          <w:p w14:paraId="52834589">
            <w:pPr>
              <w:rPr>
                <w:rFonts w:ascii="Arial"/>
                <w:sz w:val="21"/>
              </w:rPr>
            </w:pPr>
          </w:p>
        </w:tc>
        <w:tc>
          <w:tcPr>
            <w:tcW w:w="802" w:type="dxa"/>
            <w:vAlign w:val="top"/>
          </w:tcPr>
          <w:p w14:paraId="63E0C884">
            <w:pPr>
              <w:rPr>
                <w:rFonts w:ascii="Arial"/>
                <w:sz w:val="21"/>
              </w:rPr>
            </w:pPr>
          </w:p>
        </w:tc>
      </w:tr>
    </w:tbl>
    <w:p w14:paraId="4D63977B">
      <w:pPr>
        <w:rPr>
          <w:rFonts w:ascii="Arial"/>
          <w:sz w:val="21"/>
        </w:rPr>
      </w:pPr>
    </w:p>
    <w:p w14:paraId="34A3B108">
      <w:pPr>
        <w:rPr>
          <w:rFonts w:ascii="Arial" w:hAnsi="Arial" w:eastAsia="Arial" w:cs="Arial"/>
          <w:sz w:val="21"/>
          <w:szCs w:val="21"/>
        </w:rPr>
        <w:sectPr>
          <w:footerReference r:id="rId135" w:type="default"/>
          <w:pgSz w:w="16840" w:h="11907"/>
          <w:pgMar w:top="400" w:right="1475" w:bottom="1036" w:left="1588" w:header="0" w:footer="787" w:gutter="0"/>
          <w:cols w:space="720" w:num="1"/>
        </w:sectPr>
      </w:pPr>
    </w:p>
    <w:p w14:paraId="0CCF4EEF">
      <w:pPr>
        <w:spacing w:before="33"/>
      </w:pPr>
    </w:p>
    <w:p w14:paraId="6E325374">
      <w:pPr>
        <w:spacing w:before="33"/>
      </w:pPr>
    </w:p>
    <w:p w14:paraId="152F0954">
      <w:pPr>
        <w:spacing w:before="33"/>
      </w:pPr>
    </w:p>
    <w:p w14:paraId="2951FAEA">
      <w:pPr>
        <w:spacing w:before="33"/>
      </w:pPr>
    </w:p>
    <w:p w14:paraId="0BC84BA0">
      <w:pPr>
        <w:spacing w:before="32"/>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0"/>
        <w:gridCol w:w="846"/>
        <w:gridCol w:w="4610"/>
        <w:gridCol w:w="698"/>
        <w:gridCol w:w="798"/>
        <w:gridCol w:w="798"/>
        <w:gridCol w:w="798"/>
        <w:gridCol w:w="798"/>
        <w:gridCol w:w="797"/>
        <w:gridCol w:w="798"/>
        <w:gridCol w:w="798"/>
        <w:gridCol w:w="798"/>
        <w:gridCol w:w="804"/>
      </w:tblGrid>
      <w:tr w14:paraId="7C995E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430" w:type="dxa"/>
            <w:vMerge w:val="restart"/>
            <w:tcBorders>
              <w:bottom w:val="nil"/>
            </w:tcBorders>
            <w:textDirection w:val="tbRlV"/>
            <w:vAlign w:val="top"/>
          </w:tcPr>
          <w:p w14:paraId="19021FEF">
            <w:pPr>
              <w:pStyle w:val="6"/>
              <w:spacing w:before="107" w:line="218" w:lineRule="auto"/>
              <w:ind w:left="221"/>
            </w:pPr>
            <w:r>
              <w:rPr>
                <w:spacing w:val="8"/>
              </w:rPr>
              <w:t>序</w:t>
            </w:r>
            <w:r>
              <w:rPr>
                <w:spacing w:val="-35"/>
              </w:rPr>
              <w:t xml:space="preserve"> </w:t>
            </w:r>
            <w:r>
              <w:rPr>
                <w:spacing w:val="8"/>
              </w:rPr>
              <w:t>号</w:t>
            </w:r>
          </w:p>
        </w:tc>
        <w:tc>
          <w:tcPr>
            <w:tcW w:w="846" w:type="dxa"/>
            <w:vMerge w:val="restart"/>
            <w:tcBorders>
              <w:bottom w:val="nil"/>
            </w:tcBorders>
            <w:vAlign w:val="top"/>
          </w:tcPr>
          <w:p w14:paraId="041C1385">
            <w:pPr>
              <w:pStyle w:val="6"/>
              <w:spacing w:before="222" w:line="255" w:lineRule="auto"/>
              <w:ind w:left="361" w:right="108" w:hanging="251"/>
            </w:pPr>
            <w:r>
              <w:rPr>
                <w:spacing w:val="7"/>
              </w:rPr>
              <w:t>评审项</w:t>
            </w:r>
            <w:r>
              <w:t>目</w:t>
            </w:r>
          </w:p>
        </w:tc>
        <w:tc>
          <w:tcPr>
            <w:tcW w:w="4610" w:type="dxa"/>
            <w:vMerge w:val="restart"/>
            <w:tcBorders>
              <w:bottom w:val="nil"/>
            </w:tcBorders>
            <w:vAlign w:val="top"/>
          </w:tcPr>
          <w:p w14:paraId="44F0C07C">
            <w:pPr>
              <w:spacing w:line="291" w:lineRule="auto"/>
              <w:rPr>
                <w:rFonts w:ascii="Arial"/>
                <w:sz w:val="21"/>
              </w:rPr>
            </w:pPr>
          </w:p>
          <w:p w14:paraId="1913F4E7">
            <w:pPr>
              <w:pStyle w:val="6"/>
              <w:spacing w:before="65" w:line="228" w:lineRule="auto"/>
              <w:ind w:left="1890"/>
            </w:pPr>
            <w:r>
              <w:rPr>
                <w:spacing w:val="7"/>
              </w:rPr>
              <w:t>评审标准</w:t>
            </w:r>
          </w:p>
        </w:tc>
        <w:tc>
          <w:tcPr>
            <w:tcW w:w="698" w:type="dxa"/>
            <w:vMerge w:val="restart"/>
            <w:tcBorders>
              <w:bottom w:val="nil"/>
            </w:tcBorders>
            <w:vAlign w:val="top"/>
          </w:tcPr>
          <w:p w14:paraId="6077C6DD">
            <w:pPr>
              <w:spacing w:line="291" w:lineRule="auto"/>
              <w:rPr>
                <w:rFonts w:ascii="Arial"/>
                <w:sz w:val="21"/>
              </w:rPr>
            </w:pPr>
          </w:p>
          <w:p w14:paraId="22C075EF">
            <w:pPr>
              <w:pStyle w:val="6"/>
              <w:spacing w:before="65" w:line="228" w:lineRule="auto"/>
              <w:ind w:left="151"/>
            </w:pPr>
            <w:r>
              <w:rPr>
                <w:spacing w:val="2"/>
              </w:rPr>
              <w:t>结果</w:t>
            </w:r>
          </w:p>
        </w:tc>
        <w:tc>
          <w:tcPr>
            <w:tcW w:w="7187" w:type="dxa"/>
            <w:gridSpan w:val="9"/>
            <w:vAlign w:val="top"/>
          </w:tcPr>
          <w:p w14:paraId="6005B29E">
            <w:pPr>
              <w:pStyle w:val="6"/>
              <w:spacing w:before="124" w:line="228" w:lineRule="auto"/>
              <w:ind w:left="2026"/>
            </w:pPr>
            <w:r>
              <w:rPr>
                <w:spacing w:val="9"/>
              </w:rPr>
              <w:t>投标人名称或暗标编号及评审得分</w:t>
            </w:r>
          </w:p>
        </w:tc>
      </w:tr>
      <w:tr w14:paraId="4AAED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30" w:type="dxa"/>
            <w:vMerge w:val="continue"/>
            <w:tcBorders>
              <w:top w:val="nil"/>
            </w:tcBorders>
            <w:textDirection w:val="tbRlV"/>
            <w:vAlign w:val="top"/>
          </w:tcPr>
          <w:p w14:paraId="39330781">
            <w:pPr>
              <w:rPr>
                <w:rFonts w:ascii="Arial"/>
                <w:sz w:val="21"/>
              </w:rPr>
            </w:pPr>
          </w:p>
        </w:tc>
        <w:tc>
          <w:tcPr>
            <w:tcW w:w="846" w:type="dxa"/>
            <w:vMerge w:val="continue"/>
            <w:tcBorders>
              <w:top w:val="nil"/>
            </w:tcBorders>
            <w:vAlign w:val="top"/>
          </w:tcPr>
          <w:p w14:paraId="250D2DDC">
            <w:pPr>
              <w:rPr>
                <w:rFonts w:ascii="Arial"/>
                <w:sz w:val="21"/>
              </w:rPr>
            </w:pPr>
          </w:p>
        </w:tc>
        <w:tc>
          <w:tcPr>
            <w:tcW w:w="4610" w:type="dxa"/>
            <w:vMerge w:val="continue"/>
            <w:tcBorders>
              <w:top w:val="nil"/>
            </w:tcBorders>
            <w:vAlign w:val="top"/>
          </w:tcPr>
          <w:p w14:paraId="3C7C6F70">
            <w:pPr>
              <w:rPr>
                <w:rFonts w:ascii="Arial"/>
                <w:sz w:val="21"/>
              </w:rPr>
            </w:pPr>
          </w:p>
        </w:tc>
        <w:tc>
          <w:tcPr>
            <w:tcW w:w="698" w:type="dxa"/>
            <w:vMerge w:val="continue"/>
            <w:tcBorders>
              <w:top w:val="nil"/>
            </w:tcBorders>
            <w:vAlign w:val="top"/>
          </w:tcPr>
          <w:p w14:paraId="75F2043C">
            <w:pPr>
              <w:rPr>
                <w:rFonts w:ascii="Arial"/>
                <w:sz w:val="21"/>
              </w:rPr>
            </w:pPr>
          </w:p>
        </w:tc>
        <w:tc>
          <w:tcPr>
            <w:tcW w:w="798" w:type="dxa"/>
            <w:vAlign w:val="top"/>
          </w:tcPr>
          <w:p w14:paraId="1F46C219">
            <w:pPr>
              <w:rPr>
                <w:rFonts w:ascii="Arial"/>
                <w:sz w:val="21"/>
              </w:rPr>
            </w:pPr>
          </w:p>
        </w:tc>
        <w:tc>
          <w:tcPr>
            <w:tcW w:w="798" w:type="dxa"/>
            <w:vAlign w:val="top"/>
          </w:tcPr>
          <w:p w14:paraId="2A9ABC1D">
            <w:pPr>
              <w:rPr>
                <w:rFonts w:ascii="Arial"/>
                <w:sz w:val="21"/>
              </w:rPr>
            </w:pPr>
          </w:p>
        </w:tc>
        <w:tc>
          <w:tcPr>
            <w:tcW w:w="798" w:type="dxa"/>
            <w:vAlign w:val="top"/>
          </w:tcPr>
          <w:p w14:paraId="67F665CE">
            <w:pPr>
              <w:rPr>
                <w:rFonts w:ascii="Arial"/>
                <w:sz w:val="21"/>
              </w:rPr>
            </w:pPr>
          </w:p>
        </w:tc>
        <w:tc>
          <w:tcPr>
            <w:tcW w:w="798" w:type="dxa"/>
            <w:vAlign w:val="top"/>
          </w:tcPr>
          <w:p w14:paraId="1BCE4A7E">
            <w:pPr>
              <w:rPr>
                <w:rFonts w:ascii="Arial"/>
                <w:sz w:val="21"/>
              </w:rPr>
            </w:pPr>
          </w:p>
        </w:tc>
        <w:tc>
          <w:tcPr>
            <w:tcW w:w="797" w:type="dxa"/>
            <w:vAlign w:val="top"/>
          </w:tcPr>
          <w:p w14:paraId="1005AA3C">
            <w:pPr>
              <w:rPr>
                <w:rFonts w:ascii="Arial"/>
                <w:sz w:val="21"/>
              </w:rPr>
            </w:pPr>
          </w:p>
        </w:tc>
        <w:tc>
          <w:tcPr>
            <w:tcW w:w="798" w:type="dxa"/>
            <w:vAlign w:val="top"/>
          </w:tcPr>
          <w:p w14:paraId="7949E10A">
            <w:pPr>
              <w:rPr>
                <w:rFonts w:ascii="Arial"/>
                <w:sz w:val="21"/>
              </w:rPr>
            </w:pPr>
          </w:p>
        </w:tc>
        <w:tc>
          <w:tcPr>
            <w:tcW w:w="798" w:type="dxa"/>
            <w:vAlign w:val="top"/>
          </w:tcPr>
          <w:p w14:paraId="7010C534">
            <w:pPr>
              <w:rPr>
                <w:rFonts w:ascii="Arial"/>
                <w:sz w:val="21"/>
              </w:rPr>
            </w:pPr>
          </w:p>
        </w:tc>
        <w:tc>
          <w:tcPr>
            <w:tcW w:w="798" w:type="dxa"/>
            <w:vAlign w:val="top"/>
          </w:tcPr>
          <w:p w14:paraId="54F885FE">
            <w:pPr>
              <w:rPr>
                <w:rFonts w:ascii="Arial"/>
                <w:sz w:val="21"/>
              </w:rPr>
            </w:pPr>
          </w:p>
        </w:tc>
        <w:tc>
          <w:tcPr>
            <w:tcW w:w="804" w:type="dxa"/>
            <w:vAlign w:val="top"/>
          </w:tcPr>
          <w:p w14:paraId="386B2A59">
            <w:pPr>
              <w:rPr>
                <w:rFonts w:ascii="Arial"/>
                <w:sz w:val="21"/>
              </w:rPr>
            </w:pPr>
          </w:p>
        </w:tc>
      </w:tr>
      <w:tr w14:paraId="0A9CD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9" w:hRule="atLeast"/>
        </w:trPr>
        <w:tc>
          <w:tcPr>
            <w:tcW w:w="430" w:type="dxa"/>
            <w:vAlign w:val="top"/>
          </w:tcPr>
          <w:p w14:paraId="05865EC9">
            <w:pPr>
              <w:spacing w:line="321" w:lineRule="auto"/>
              <w:rPr>
                <w:rFonts w:ascii="Arial"/>
                <w:sz w:val="21"/>
              </w:rPr>
            </w:pPr>
          </w:p>
          <w:p w14:paraId="719FC920">
            <w:pPr>
              <w:spacing w:line="322" w:lineRule="auto"/>
              <w:rPr>
                <w:rFonts w:ascii="Arial"/>
                <w:sz w:val="21"/>
              </w:rPr>
            </w:pPr>
          </w:p>
          <w:p w14:paraId="4509325F">
            <w:pPr>
              <w:spacing w:before="65" w:line="272" w:lineRule="exact"/>
              <w:ind w:left="162"/>
              <w:rPr>
                <w:rFonts w:ascii="黑体" w:hAnsi="黑体" w:eastAsia="黑体" w:cs="黑体"/>
                <w:sz w:val="20"/>
                <w:szCs w:val="20"/>
              </w:rPr>
            </w:pPr>
            <w:r>
              <w:rPr>
                <w:rFonts w:ascii="黑体" w:hAnsi="黑体" w:eastAsia="黑体" w:cs="黑体"/>
                <w:spacing w:val="1"/>
                <w:position w:val="1"/>
                <w:sz w:val="20"/>
                <w:szCs w:val="20"/>
              </w:rPr>
              <w:t>5</w:t>
            </w:r>
          </w:p>
        </w:tc>
        <w:tc>
          <w:tcPr>
            <w:tcW w:w="846" w:type="dxa"/>
            <w:vAlign w:val="top"/>
          </w:tcPr>
          <w:p w14:paraId="31052377">
            <w:pPr>
              <w:spacing w:line="254" w:lineRule="auto"/>
              <w:rPr>
                <w:rFonts w:ascii="Arial"/>
                <w:sz w:val="21"/>
              </w:rPr>
            </w:pPr>
          </w:p>
          <w:p w14:paraId="3A31B4B1">
            <w:pPr>
              <w:spacing w:line="254" w:lineRule="auto"/>
              <w:rPr>
                <w:rFonts w:ascii="Arial"/>
                <w:sz w:val="21"/>
              </w:rPr>
            </w:pPr>
          </w:p>
          <w:p w14:paraId="3FC4BB56">
            <w:pPr>
              <w:pStyle w:val="6"/>
              <w:spacing w:before="65" w:line="254" w:lineRule="auto"/>
              <w:ind w:left="113" w:right="108"/>
            </w:pPr>
            <w:r>
              <w:rPr>
                <w:spacing w:val="6"/>
              </w:rPr>
              <w:t>主要施工方案</w:t>
            </w:r>
          </w:p>
        </w:tc>
        <w:tc>
          <w:tcPr>
            <w:tcW w:w="4610" w:type="dxa"/>
            <w:vAlign w:val="top"/>
          </w:tcPr>
          <w:p w14:paraId="69062FD9">
            <w:pPr>
              <w:pStyle w:val="6"/>
              <w:spacing w:before="36" w:line="245" w:lineRule="auto"/>
              <w:ind w:left="111" w:right="106" w:firstLine="2"/>
              <w:jc w:val="both"/>
            </w:pPr>
            <w:r>
              <w:rPr>
                <w:spacing w:val="8"/>
              </w:rPr>
              <w:t>主要分部、分项工程施工方案合理、可行；脚手架工程、起重吊装工程、临时用水用电工程、季节性施工等专项工程的施工方案（如有）有必要的验算和说明；对易发生质量通病、易出现安全问题、施工难度大、技术含量高的分项工程（工序）等有重点说明</w:t>
            </w:r>
          </w:p>
        </w:tc>
        <w:tc>
          <w:tcPr>
            <w:tcW w:w="698" w:type="dxa"/>
            <w:vAlign w:val="top"/>
          </w:tcPr>
          <w:p w14:paraId="4D9F07D1">
            <w:pPr>
              <w:spacing w:line="321" w:lineRule="auto"/>
              <w:rPr>
                <w:rFonts w:ascii="Arial"/>
                <w:sz w:val="21"/>
              </w:rPr>
            </w:pPr>
          </w:p>
          <w:p w14:paraId="7D2FE2EC">
            <w:pPr>
              <w:spacing w:line="322" w:lineRule="auto"/>
              <w:rPr>
                <w:rFonts w:ascii="Arial"/>
                <w:sz w:val="21"/>
              </w:rPr>
            </w:pPr>
          </w:p>
          <w:p w14:paraId="1E40CA84">
            <w:pPr>
              <w:pStyle w:val="6"/>
              <w:spacing w:before="65" w:line="228" w:lineRule="auto"/>
              <w:ind w:left="147"/>
            </w:pPr>
            <w:r>
              <w:rPr>
                <w:spacing w:val="4"/>
              </w:rPr>
              <w:t>合格</w:t>
            </w:r>
          </w:p>
        </w:tc>
        <w:tc>
          <w:tcPr>
            <w:tcW w:w="798" w:type="dxa"/>
            <w:vAlign w:val="top"/>
          </w:tcPr>
          <w:p w14:paraId="13F5A2C5">
            <w:pPr>
              <w:rPr>
                <w:rFonts w:ascii="Arial"/>
                <w:sz w:val="21"/>
              </w:rPr>
            </w:pPr>
          </w:p>
        </w:tc>
        <w:tc>
          <w:tcPr>
            <w:tcW w:w="798" w:type="dxa"/>
            <w:vAlign w:val="top"/>
          </w:tcPr>
          <w:p w14:paraId="5477FA25">
            <w:pPr>
              <w:rPr>
                <w:rFonts w:ascii="Arial"/>
                <w:sz w:val="21"/>
              </w:rPr>
            </w:pPr>
          </w:p>
        </w:tc>
        <w:tc>
          <w:tcPr>
            <w:tcW w:w="798" w:type="dxa"/>
            <w:vAlign w:val="top"/>
          </w:tcPr>
          <w:p w14:paraId="1C221065">
            <w:pPr>
              <w:rPr>
                <w:rFonts w:ascii="Arial"/>
                <w:sz w:val="21"/>
              </w:rPr>
            </w:pPr>
          </w:p>
        </w:tc>
        <w:tc>
          <w:tcPr>
            <w:tcW w:w="798" w:type="dxa"/>
            <w:vAlign w:val="top"/>
          </w:tcPr>
          <w:p w14:paraId="6A32B4E2">
            <w:pPr>
              <w:rPr>
                <w:rFonts w:ascii="Arial"/>
                <w:sz w:val="21"/>
              </w:rPr>
            </w:pPr>
          </w:p>
        </w:tc>
        <w:tc>
          <w:tcPr>
            <w:tcW w:w="797" w:type="dxa"/>
            <w:vAlign w:val="top"/>
          </w:tcPr>
          <w:p w14:paraId="1030B148">
            <w:pPr>
              <w:rPr>
                <w:rFonts w:ascii="Arial"/>
                <w:sz w:val="21"/>
              </w:rPr>
            </w:pPr>
          </w:p>
        </w:tc>
        <w:tc>
          <w:tcPr>
            <w:tcW w:w="798" w:type="dxa"/>
            <w:vAlign w:val="top"/>
          </w:tcPr>
          <w:p w14:paraId="1A721813">
            <w:pPr>
              <w:rPr>
                <w:rFonts w:ascii="Arial"/>
                <w:sz w:val="21"/>
              </w:rPr>
            </w:pPr>
          </w:p>
        </w:tc>
        <w:tc>
          <w:tcPr>
            <w:tcW w:w="798" w:type="dxa"/>
            <w:vAlign w:val="top"/>
          </w:tcPr>
          <w:p w14:paraId="746D3FA1">
            <w:pPr>
              <w:rPr>
                <w:rFonts w:ascii="Arial"/>
                <w:sz w:val="21"/>
              </w:rPr>
            </w:pPr>
          </w:p>
        </w:tc>
        <w:tc>
          <w:tcPr>
            <w:tcW w:w="798" w:type="dxa"/>
            <w:vAlign w:val="top"/>
          </w:tcPr>
          <w:p w14:paraId="1310D3F7">
            <w:pPr>
              <w:rPr>
                <w:rFonts w:ascii="Arial"/>
                <w:sz w:val="21"/>
              </w:rPr>
            </w:pPr>
          </w:p>
        </w:tc>
        <w:tc>
          <w:tcPr>
            <w:tcW w:w="804" w:type="dxa"/>
            <w:vAlign w:val="top"/>
          </w:tcPr>
          <w:p w14:paraId="78AEDD27">
            <w:pPr>
              <w:rPr>
                <w:rFonts w:ascii="Arial"/>
                <w:sz w:val="21"/>
              </w:rPr>
            </w:pPr>
          </w:p>
        </w:tc>
      </w:tr>
      <w:tr w14:paraId="66544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9" w:hRule="atLeast"/>
        </w:trPr>
        <w:tc>
          <w:tcPr>
            <w:tcW w:w="430" w:type="dxa"/>
            <w:vAlign w:val="top"/>
          </w:tcPr>
          <w:p w14:paraId="62CECB93">
            <w:pPr>
              <w:spacing w:line="259" w:lineRule="auto"/>
              <w:rPr>
                <w:rFonts w:ascii="Arial"/>
                <w:sz w:val="21"/>
              </w:rPr>
            </w:pPr>
          </w:p>
          <w:p w14:paraId="15624AC2">
            <w:pPr>
              <w:spacing w:line="260" w:lineRule="auto"/>
              <w:rPr>
                <w:rFonts w:ascii="Arial"/>
                <w:sz w:val="21"/>
              </w:rPr>
            </w:pPr>
          </w:p>
          <w:p w14:paraId="06821D13">
            <w:pPr>
              <w:spacing w:line="260" w:lineRule="auto"/>
              <w:rPr>
                <w:rFonts w:ascii="Arial"/>
                <w:sz w:val="21"/>
              </w:rPr>
            </w:pPr>
          </w:p>
          <w:p w14:paraId="0E9E1122">
            <w:pPr>
              <w:spacing w:before="65" w:line="272" w:lineRule="exact"/>
              <w:ind w:left="166"/>
              <w:rPr>
                <w:rFonts w:ascii="黑体" w:hAnsi="黑体" w:eastAsia="黑体" w:cs="黑体"/>
                <w:sz w:val="20"/>
                <w:szCs w:val="20"/>
              </w:rPr>
            </w:pPr>
            <w:r>
              <w:rPr>
                <w:rFonts w:ascii="黑体" w:hAnsi="黑体" w:eastAsia="黑体" w:cs="黑体"/>
                <w:position w:val="1"/>
                <w:sz w:val="20"/>
                <w:szCs w:val="20"/>
              </w:rPr>
              <w:t>6</w:t>
            </w:r>
          </w:p>
        </w:tc>
        <w:tc>
          <w:tcPr>
            <w:tcW w:w="846" w:type="dxa"/>
            <w:vAlign w:val="top"/>
          </w:tcPr>
          <w:p w14:paraId="09C24631">
            <w:pPr>
              <w:spacing w:line="253" w:lineRule="auto"/>
              <w:rPr>
                <w:rFonts w:ascii="Arial"/>
                <w:sz w:val="21"/>
              </w:rPr>
            </w:pPr>
          </w:p>
          <w:p w14:paraId="705BAC8F">
            <w:pPr>
              <w:spacing w:line="254" w:lineRule="auto"/>
              <w:rPr>
                <w:rFonts w:ascii="Arial"/>
                <w:sz w:val="21"/>
              </w:rPr>
            </w:pPr>
          </w:p>
          <w:p w14:paraId="4675B2BA">
            <w:pPr>
              <w:pStyle w:val="6"/>
              <w:spacing w:before="65" w:line="252" w:lineRule="auto"/>
              <w:ind w:left="110" w:right="108"/>
              <w:jc w:val="both"/>
            </w:pPr>
            <w:r>
              <w:rPr>
                <w:spacing w:val="7"/>
              </w:rPr>
              <w:t>施工现场平面</w:t>
            </w:r>
            <w:r>
              <w:rPr>
                <w:spacing w:val="14"/>
                <w:w w:val="122"/>
              </w:rPr>
              <w:t>布置</w:t>
            </w:r>
          </w:p>
        </w:tc>
        <w:tc>
          <w:tcPr>
            <w:tcW w:w="4610" w:type="dxa"/>
            <w:vAlign w:val="top"/>
          </w:tcPr>
          <w:p w14:paraId="085D98D7">
            <w:pPr>
              <w:pStyle w:val="6"/>
              <w:spacing w:before="33" w:line="246" w:lineRule="auto"/>
              <w:ind w:left="111" w:right="106"/>
              <w:jc w:val="both"/>
            </w:pPr>
            <w:r>
              <w:rPr>
                <w:spacing w:val="8"/>
              </w:rPr>
              <w:t>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要素齐全，现</w:t>
            </w:r>
            <w:r>
              <w:rPr>
                <w:spacing w:val="9"/>
              </w:rPr>
              <w:t>场平面布置合理可行</w:t>
            </w:r>
          </w:p>
        </w:tc>
        <w:tc>
          <w:tcPr>
            <w:tcW w:w="698" w:type="dxa"/>
            <w:vAlign w:val="top"/>
          </w:tcPr>
          <w:p w14:paraId="7493B69C">
            <w:pPr>
              <w:spacing w:line="259" w:lineRule="auto"/>
              <w:rPr>
                <w:rFonts w:ascii="Arial"/>
                <w:sz w:val="21"/>
              </w:rPr>
            </w:pPr>
          </w:p>
          <w:p w14:paraId="17043BCB">
            <w:pPr>
              <w:spacing w:line="260" w:lineRule="auto"/>
              <w:rPr>
                <w:rFonts w:ascii="Arial"/>
                <w:sz w:val="21"/>
              </w:rPr>
            </w:pPr>
          </w:p>
          <w:p w14:paraId="7DE64029">
            <w:pPr>
              <w:spacing w:line="260" w:lineRule="auto"/>
              <w:rPr>
                <w:rFonts w:ascii="Arial"/>
                <w:sz w:val="21"/>
              </w:rPr>
            </w:pPr>
          </w:p>
          <w:p w14:paraId="5FEAADA5">
            <w:pPr>
              <w:pStyle w:val="6"/>
              <w:spacing w:before="65" w:line="228" w:lineRule="auto"/>
              <w:ind w:left="147"/>
            </w:pPr>
            <w:r>
              <w:rPr>
                <w:spacing w:val="4"/>
              </w:rPr>
              <w:t>合格</w:t>
            </w:r>
          </w:p>
        </w:tc>
        <w:tc>
          <w:tcPr>
            <w:tcW w:w="798" w:type="dxa"/>
            <w:vAlign w:val="top"/>
          </w:tcPr>
          <w:p w14:paraId="22BD322E">
            <w:pPr>
              <w:rPr>
                <w:rFonts w:ascii="Arial"/>
                <w:sz w:val="21"/>
              </w:rPr>
            </w:pPr>
          </w:p>
        </w:tc>
        <w:tc>
          <w:tcPr>
            <w:tcW w:w="798" w:type="dxa"/>
            <w:vAlign w:val="top"/>
          </w:tcPr>
          <w:p w14:paraId="4BC3BBED">
            <w:pPr>
              <w:rPr>
                <w:rFonts w:ascii="Arial"/>
                <w:sz w:val="21"/>
              </w:rPr>
            </w:pPr>
          </w:p>
        </w:tc>
        <w:tc>
          <w:tcPr>
            <w:tcW w:w="798" w:type="dxa"/>
            <w:vAlign w:val="top"/>
          </w:tcPr>
          <w:p w14:paraId="1D144713">
            <w:pPr>
              <w:rPr>
                <w:rFonts w:ascii="Arial"/>
                <w:sz w:val="21"/>
              </w:rPr>
            </w:pPr>
          </w:p>
        </w:tc>
        <w:tc>
          <w:tcPr>
            <w:tcW w:w="798" w:type="dxa"/>
            <w:vAlign w:val="top"/>
          </w:tcPr>
          <w:p w14:paraId="4FB11E29">
            <w:pPr>
              <w:rPr>
                <w:rFonts w:ascii="Arial"/>
                <w:sz w:val="21"/>
              </w:rPr>
            </w:pPr>
          </w:p>
        </w:tc>
        <w:tc>
          <w:tcPr>
            <w:tcW w:w="797" w:type="dxa"/>
            <w:vAlign w:val="top"/>
          </w:tcPr>
          <w:p w14:paraId="242E4DC9">
            <w:pPr>
              <w:rPr>
                <w:rFonts w:ascii="Arial"/>
                <w:sz w:val="21"/>
              </w:rPr>
            </w:pPr>
          </w:p>
        </w:tc>
        <w:tc>
          <w:tcPr>
            <w:tcW w:w="798" w:type="dxa"/>
            <w:vAlign w:val="top"/>
          </w:tcPr>
          <w:p w14:paraId="3A7AA28A">
            <w:pPr>
              <w:rPr>
                <w:rFonts w:ascii="Arial"/>
                <w:sz w:val="21"/>
              </w:rPr>
            </w:pPr>
          </w:p>
        </w:tc>
        <w:tc>
          <w:tcPr>
            <w:tcW w:w="798" w:type="dxa"/>
            <w:vAlign w:val="top"/>
          </w:tcPr>
          <w:p w14:paraId="42AC099C">
            <w:pPr>
              <w:rPr>
                <w:rFonts w:ascii="Arial"/>
                <w:sz w:val="21"/>
              </w:rPr>
            </w:pPr>
          </w:p>
        </w:tc>
        <w:tc>
          <w:tcPr>
            <w:tcW w:w="798" w:type="dxa"/>
            <w:vAlign w:val="top"/>
          </w:tcPr>
          <w:p w14:paraId="73183039">
            <w:pPr>
              <w:rPr>
                <w:rFonts w:ascii="Arial"/>
                <w:sz w:val="21"/>
              </w:rPr>
            </w:pPr>
          </w:p>
        </w:tc>
        <w:tc>
          <w:tcPr>
            <w:tcW w:w="804" w:type="dxa"/>
            <w:vAlign w:val="top"/>
          </w:tcPr>
          <w:p w14:paraId="0C9D3A23">
            <w:pPr>
              <w:rPr>
                <w:rFonts w:ascii="Arial"/>
                <w:sz w:val="21"/>
              </w:rPr>
            </w:pPr>
          </w:p>
        </w:tc>
      </w:tr>
      <w:tr w14:paraId="04BA6A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430" w:type="dxa"/>
            <w:vAlign w:val="top"/>
          </w:tcPr>
          <w:p w14:paraId="2AD30731">
            <w:pPr>
              <w:spacing w:line="322" w:lineRule="auto"/>
              <w:rPr>
                <w:rFonts w:ascii="Arial"/>
                <w:sz w:val="21"/>
              </w:rPr>
            </w:pPr>
          </w:p>
          <w:p w14:paraId="23BD012B">
            <w:pPr>
              <w:spacing w:line="322" w:lineRule="auto"/>
              <w:rPr>
                <w:rFonts w:ascii="Arial"/>
                <w:sz w:val="21"/>
              </w:rPr>
            </w:pPr>
          </w:p>
          <w:p w14:paraId="551E9640">
            <w:pPr>
              <w:spacing w:before="65" w:line="275" w:lineRule="exact"/>
              <w:ind w:left="167"/>
              <w:rPr>
                <w:rFonts w:ascii="黑体" w:hAnsi="黑体" w:eastAsia="黑体" w:cs="黑体"/>
                <w:sz w:val="20"/>
                <w:szCs w:val="20"/>
              </w:rPr>
            </w:pPr>
            <w:r>
              <w:rPr>
                <w:rFonts w:ascii="黑体" w:hAnsi="黑体" w:eastAsia="黑体" w:cs="黑体"/>
                <w:position w:val="1"/>
                <w:sz w:val="20"/>
                <w:szCs w:val="20"/>
              </w:rPr>
              <w:t>7</w:t>
            </w:r>
          </w:p>
        </w:tc>
        <w:tc>
          <w:tcPr>
            <w:tcW w:w="846" w:type="dxa"/>
            <w:vAlign w:val="top"/>
          </w:tcPr>
          <w:p w14:paraId="22365DC1">
            <w:pPr>
              <w:spacing w:line="374" w:lineRule="auto"/>
              <w:rPr>
                <w:rFonts w:ascii="Arial"/>
                <w:sz w:val="21"/>
              </w:rPr>
            </w:pPr>
          </w:p>
          <w:p w14:paraId="59C3F097">
            <w:pPr>
              <w:pStyle w:val="6"/>
              <w:spacing w:before="65" w:line="253" w:lineRule="auto"/>
              <w:ind w:left="113" w:right="108"/>
              <w:jc w:val="both"/>
            </w:pPr>
            <w:r>
              <w:rPr>
                <w:spacing w:val="6"/>
              </w:rPr>
              <w:t>主要施工管理</w:t>
            </w:r>
            <w:r>
              <w:rPr>
                <w:spacing w:val="16"/>
                <w:w w:val="120"/>
              </w:rPr>
              <w:t>计划</w:t>
            </w:r>
          </w:p>
        </w:tc>
        <w:tc>
          <w:tcPr>
            <w:tcW w:w="4610" w:type="dxa"/>
            <w:vAlign w:val="top"/>
          </w:tcPr>
          <w:p w14:paraId="502CDB57">
            <w:pPr>
              <w:pStyle w:val="6"/>
              <w:spacing w:before="35" w:line="245" w:lineRule="auto"/>
              <w:ind w:left="110" w:right="106"/>
            </w:pPr>
            <w:r>
              <w:rPr>
                <w:spacing w:val="9"/>
              </w:rPr>
              <w:t>进度管理计划、质量管理计划、安全管理计</w:t>
            </w:r>
            <w:r>
              <w:rPr>
                <w:spacing w:val="8"/>
              </w:rPr>
              <w:t>划、环境管理计划、成本管理计划、治安保卫管理计划、合同管理计划，组织协调管理计划、成品保护管理计划、质量保修管理计划、人力资源、施工机具、材料设备等管理计划内容基本完备，可</w:t>
            </w:r>
            <w:r>
              <w:rPr>
                <w:spacing w:val="1"/>
              </w:rPr>
              <w:t>行</w:t>
            </w:r>
          </w:p>
        </w:tc>
        <w:tc>
          <w:tcPr>
            <w:tcW w:w="698" w:type="dxa"/>
            <w:vAlign w:val="top"/>
          </w:tcPr>
          <w:p w14:paraId="2E90E9C2">
            <w:pPr>
              <w:spacing w:line="322" w:lineRule="auto"/>
              <w:rPr>
                <w:rFonts w:ascii="Arial"/>
                <w:sz w:val="21"/>
              </w:rPr>
            </w:pPr>
          </w:p>
          <w:p w14:paraId="5FB839AA">
            <w:pPr>
              <w:spacing w:line="322" w:lineRule="auto"/>
              <w:rPr>
                <w:rFonts w:ascii="Arial"/>
                <w:sz w:val="21"/>
              </w:rPr>
            </w:pPr>
          </w:p>
          <w:p w14:paraId="158B9DF7">
            <w:pPr>
              <w:pStyle w:val="6"/>
              <w:spacing w:before="65" w:line="228" w:lineRule="auto"/>
              <w:ind w:left="147"/>
            </w:pPr>
            <w:r>
              <w:rPr>
                <w:spacing w:val="4"/>
              </w:rPr>
              <w:t>合格</w:t>
            </w:r>
          </w:p>
        </w:tc>
        <w:tc>
          <w:tcPr>
            <w:tcW w:w="798" w:type="dxa"/>
            <w:vAlign w:val="top"/>
          </w:tcPr>
          <w:p w14:paraId="5944DD02">
            <w:pPr>
              <w:rPr>
                <w:rFonts w:ascii="Arial"/>
                <w:sz w:val="21"/>
              </w:rPr>
            </w:pPr>
          </w:p>
        </w:tc>
        <w:tc>
          <w:tcPr>
            <w:tcW w:w="798" w:type="dxa"/>
            <w:vAlign w:val="top"/>
          </w:tcPr>
          <w:p w14:paraId="3FAEDCC2">
            <w:pPr>
              <w:rPr>
                <w:rFonts w:ascii="Arial"/>
                <w:sz w:val="21"/>
              </w:rPr>
            </w:pPr>
          </w:p>
        </w:tc>
        <w:tc>
          <w:tcPr>
            <w:tcW w:w="798" w:type="dxa"/>
            <w:vAlign w:val="top"/>
          </w:tcPr>
          <w:p w14:paraId="32CC1744">
            <w:pPr>
              <w:rPr>
                <w:rFonts w:ascii="Arial"/>
                <w:sz w:val="21"/>
              </w:rPr>
            </w:pPr>
          </w:p>
        </w:tc>
        <w:tc>
          <w:tcPr>
            <w:tcW w:w="798" w:type="dxa"/>
            <w:vAlign w:val="top"/>
          </w:tcPr>
          <w:p w14:paraId="6CF03084">
            <w:pPr>
              <w:rPr>
                <w:rFonts w:ascii="Arial"/>
                <w:sz w:val="21"/>
              </w:rPr>
            </w:pPr>
          </w:p>
        </w:tc>
        <w:tc>
          <w:tcPr>
            <w:tcW w:w="797" w:type="dxa"/>
            <w:vAlign w:val="top"/>
          </w:tcPr>
          <w:p w14:paraId="6301EEC6">
            <w:pPr>
              <w:rPr>
                <w:rFonts w:ascii="Arial"/>
                <w:sz w:val="21"/>
              </w:rPr>
            </w:pPr>
          </w:p>
        </w:tc>
        <w:tc>
          <w:tcPr>
            <w:tcW w:w="798" w:type="dxa"/>
            <w:vAlign w:val="top"/>
          </w:tcPr>
          <w:p w14:paraId="541B9665">
            <w:pPr>
              <w:rPr>
                <w:rFonts w:ascii="Arial"/>
                <w:sz w:val="21"/>
              </w:rPr>
            </w:pPr>
          </w:p>
        </w:tc>
        <w:tc>
          <w:tcPr>
            <w:tcW w:w="798" w:type="dxa"/>
            <w:vAlign w:val="top"/>
          </w:tcPr>
          <w:p w14:paraId="0B80742B">
            <w:pPr>
              <w:rPr>
                <w:rFonts w:ascii="Arial"/>
                <w:sz w:val="21"/>
              </w:rPr>
            </w:pPr>
          </w:p>
        </w:tc>
        <w:tc>
          <w:tcPr>
            <w:tcW w:w="798" w:type="dxa"/>
            <w:vAlign w:val="top"/>
          </w:tcPr>
          <w:p w14:paraId="339F9DC8">
            <w:pPr>
              <w:rPr>
                <w:rFonts w:ascii="Arial"/>
                <w:sz w:val="21"/>
              </w:rPr>
            </w:pPr>
          </w:p>
        </w:tc>
        <w:tc>
          <w:tcPr>
            <w:tcW w:w="804" w:type="dxa"/>
            <w:vAlign w:val="top"/>
          </w:tcPr>
          <w:p w14:paraId="2C1771EB">
            <w:pPr>
              <w:rPr>
                <w:rFonts w:ascii="Arial"/>
                <w:sz w:val="21"/>
              </w:rPr>
            </w:pPr>
          </w:p>
        </w:tc>
      </w:tr>
      <w:tr w14:paraId="38C03E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6584" w:type="dxa"/>
            <w:gridSpan w:val="4"/>
            <w:vAlign w:val="top"/>
          </w:tcPr>
          <w:p w14:paraId="7711CCBD">
            <w:pPr>
              <w:pStyle w:val="6"/>
              <w:spacing w:before="255" w:line="228" w:lineRule="auto"/>
              <w:ind w:left="2143"/>
            </w:pPr>
            <w:r>
              <w:rPr>
                <w:spacing w:val="9"/>
              </w:rPr>
              <w:t>施工组织设计合格性汇总</w:t>
            </w:r>
          </w:p>
        </w:tc>
        <w:tc>
          <w:tcPr>
            <w:tcW w:w="798" w:type="dxa"/>
            <w:vAlign w:val="top"/>
          </w:tcPr>
          <w:p w14:paraId="52F9689B">
            <w:pPr>
              <w:rPr>
                <w:rFonts w:ascii="Arial"/>
                <w:sz w:val="21"/>
              </w:rPr>
            </w:pPr>
          </w:p>
        </w:tc>
        <w:tc>
          <w:tcPr>
            <w:tcW w:w="798" w:type="dxa"/>
            <w:vAlign w:val="top"/>
          </w:tcPr>
          <w:p w14:paraId="708DFF83">
            <w:pPr>
              <w:rPr>
                <w:rFonts w:ascii="Arial"/>
                <w:sz w:val="21"/>
              </w:rPr>
            </w:pPr>
          </w:p>
        </w:tc>
        <w:tc>
          <w:tcPr>
            <w:tcW w:w="798" w:type="dxa"/>
            <w:vAlign w:val="top"/>
          </w:tcPr>
          <w:p w14:paraId="0E58DBBA">
            <w:pPr>
              <w:rPr>
                <w:rFonts w:ascii="Arial"/>
                <w:sz w:val="21"/>
              </w:rPr>
            </w:pPr>
          </w:p>
        </w:tc>
        <w:tc>
          <w:tcPr>
            <w:tcW w:w="798" w:type="dxa"/>
            <w:vAlign w:val="top"/>
          </w:tcPr>
          <w:p w14:paraId="332A18C3">
            <w:pPr>
              <w:rPr>
                <w:rFonts w:ascii="Arial"/>
                <w:sz w:val="21"/>
              </w:rPr>
            </w:pPr>
          </w:p>
        </w:tc>
        <w:tc>
          <w:tcPr>
            <w:tcW w:w="797" w:type="dxa"/>
            <w:vAlign w:val="top"/>
          </w:tcPr>
          <w:p w14:paraId="5A0EBCBD">
            <w:pPr>
              <w:rPr>
                <w:rFonts w:ascii="Arial"/>
                <w:sz w:val="21"/>
              </w:rPr>
            </w:pPr>
          </w:p>
        </w:tc>
        <w:tc>
          <w:tcPr>
            <w:tcW w:w="798" w:type="dxa"/>
            <w:vAlign w:val="top"/>
          </w:tcPr>
          <w:p w14:paraId="13C5B336">
            <w:pPr>
              <w:rPr>
                <w:rFonts w:ascii="Arial"/>
                <w:sz w:val="21"/>
              </w:rPr>
            </w:pPr>
          </w:p>
        </w:tc>
        <w:tc>
          <w:tcPr>
            <w:tcW w:w="798" w:type="dxa"/>
            <w:vAlign w:val="top"/>
          </w:tcPr>
          <w:p w14:paraId="07DD5D7B">
            <w:pPr>
              <w:rPr>
                <w:rFonts w:ascii="Arial"/>
                <w:sz w:val="21"/>
              </w:rPr>
            </w:pPr>
          </w:p>
        </w:tc>
        <w:tc>
          <w:tcPr>
            <w:tcW w:w="798" w:type="dxa"/>
            <w:vAlign w:val="top"/>
          </w:tcPr>
          <w:p w14:paraId="1529002D">
            <w:pPr>
              <w:rPr>
                <w:rFonts w:ascii="Arial"/>
                <w:sz w:val="21"/>
              </w:rPr>
            </w:pPr>
          </w:p>
        </w:tc>
        <w:tc>
          <w:tcPr>
            <w:tcW w:w="804" w:type="dxa"/>
            <w:vAlign w:val="top"/>
          </w:tcPr>
          <w:p w14:paraId="362213F9">
            <w:pPr>
              <w:rPr>
                <w:rFonts w:ascii="Arial"/>
                <w:sz w:val="21"/>
              </w:rPr>
            </w:pPr>
          </w:p>
        </w:tc>
      </w:tr>
    </w:tbl>
    <w:p w14:paraId="16DFFD3A">
      <w:pPr>
        <w:spacing w:line="343" w:lineRule="auto"/>
        <w:rPr>
          <w:rFonts w:ascii="Arial"/>
          <w:sz w:val="21"/>
        </w:rPr>
      </w:pPr>
    </w:p>
    <w:p w14:paraId="034DF137">
      <w:pPr>
        <w:spacing w:line="343" w:lineRule="auto"/>
        <w:rPr>
          <w:rFonts w:ascii="Arial"/>
          <w:sz w:val="21"/>
        </w:rPr>
      </w:pPr>
    </w:p>
    <w:p w14:paraId="0DDBA770">
      <w:pPr>
        <w:spacing w:before="65" w:line="227" w:lineRule="auto"/>
        <w:ind w:left="120"/>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     月    日</w:t>
      </w:r>
    </w:p>
    <w:p w14:paraId="2222647E">
      <w:pPr>
        <w:spacing w:line="227" w:lineRule="auto"/>
        <w:rPr>
          <w:rFonts w:ascii="宋体" w:hAnsi="宋体" w:eastAsia="宋体" w:cs="宋体"/>
          <w:sz w:val="20"/>
          <w:szCs w:val="20"/>
        </w:rPr>
        <w:sectPr>
          <w:footerReference r:id="rId136" w:type="default"/>
          <w:pgSz w:w="16840" w:h="11907"/>
          <w:pgMar w:top="400" w:right="1475" w:bottom="1036" w:left="1588" w:header="0" w:footer="787" w:gutter="0"/>
          <w:cols w:space="720" w:num="1"/>
        </w:sectPr>
      </w:pPr>
    </w:p>
    <w:p w14:paraId="1BF21C8F">
      <w:pPr>
        <w:spacing w:line="289" w:lineRule="auto"/>
        <w:rPr>
          <w:rFonts w:ascii="Arial"/>
          <w:sz w:val="21"/>
        </w:rPr>
      </w:pPr>
    </w:p>
    <w:p w14:paraId="78752109">
      <w:pPr>
        <w:spacing w:line="290" w:lineRule="auto"/>
        <w:rPr>
          <w:rFonts w:ascii="Arial"/>
          <w:sz w:val="21"/>
        </w:rPr>
      </w:pPr>
    </w:p>
    <w:p w14:paraId="34F7CE92">
      <w:pPr>
        <w:spacing w:line="290" w:lineRule="auto"/>
        <w:rPr>
          <w:rFonts w:ascii="Arial"/>
          <w:sz w:val="21"/>
        </w:rPr>
      </w:pPr>
    </w:p>
    <w:p w14:paraId="55277812">
      <w:pPr>
        <w:spacing w:line="290" w:lineRule="auto"/>
        <w:rPr>
          <w:rFonts w:ascii="Arial"/>
          <w:sz w:val="21"/>
        </w:rPr>
      </w:pPr>
    </w:p>
    <w:p w14:paraId="151C8852">
      <w:pPr>
        <w:pStyle w:val="2"/>
        <w:spacing w:before="78" w:line="222" w:lineRule="auto"/>
        <w:ind w:left="135"/>
        <w:outlineLvl w:val="1"/>
        <w:rPr>
          <w:sz w:val="24"/>
          <w:szCs w:val="24"/>
        </w:rPr>
      </w:pPr>
      <w:bookmarkStart w:id="189" w:name="bookmark170"/>
      <w:bookmarkEnd w:id="189"/>
      <w:r>
        <w:rPr>
          <w:spacing w:val="-2"/>
          <w:sz w:val="24"/>
          <w:szCs w:val="24"/>
        </w:rPr>
        <w:t>附表</w:t>
      </w:r>
      <w:r>
        <w:rPr>
          <w:spacing w:val="-55"/>
          <w:sz w:val="24"/>
          <w:szCs w:val="24"/>
        </w:rPr>
        <w:t xml:space="preserve"> </w:t>
      </w:r>
      <w:r>
        <w:rPr>
          <w:rFonts w:ascii="Times New Roman" w:hAnsi="Times New Roman" w:eastAsia="Times New Roman" w:cs="Times New Roman"/>
          <w:spacing w:val="-2"/>
          <w:sz w:val="24"/>
          <w:szCs w:val="24"/>
        </w:rPr>
        <w:t>A-8</w:t>
      </w:r>
      <w:r>
        <w:rPr>
          <w:spacing w:val="-2"/>
          <w:sz w:val="24"/>
          <w:szCs w:val="24"/>
        </w:rPr>
        <w:t>：投标报价评分记录表</w:t>
      </w:r>
    </w:p>
    <w:p w14:paraId="276A66F6">
      <w:pPr>
        <w:pStyle w:val="2"/>
        <w:spacing w:before="39" w:line="222" w:lineRule="auto"/>
        <w:ind w:left="5637"/>
        <w:rPr>
          <w:sz w:val="28"/>
          <w:szCs w:val="28"/>
        </w:rPr>
      </w:pPr>
      <w:r>
        <w:rPr>
          <w:spacing w:val="-1"/>
          <w:sz w:val="28"/>
          <w:szCs w:val="28"/>
        </w:rPr>
        <w:t>投标报价评分记录表</w:t>
      </w:r>
    </w:p>
    <w:p w14:paraId="5F44B4DB">
      <w:pPr>
        <w:spacing w:before="255" w:line="227" w:lineRule="auto"/>
        <w:ind w:left="124"/>
        <w:rPr>
          <w:rFonts w:ascii="宋体" w:hAnsi="宋体" w:eastAsia="宋体" w:cs="宋体"/>
          <w:sz w:val="20"/>
          <w:szCs w:val="20"/>
        </w:rPr>
      </w:pPr>
      <w:r>
        <w:rPr>
          <w:rFonts w:ascii="宋体" w:hAnsi="宋体" w:eastAsia="宋体" w:cs="宋体"/>
          <w:spacing w:val="11"/>
          <w:sz w:val="20"/>
          <w:szCs w:val="20"/>
        </w:rPr>
        <w:t>工程名称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项目名称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标段名称）</w:t>
      </w:r>
      <w:r>
        <w:rPr>
          <w:rFonts w:ascii="宋体" w:hAnsi="宋体" w:eastAsia="宋体" w:cs="宋体"/>
          <w:spacing w:val="1"/>
          <w:sz w:val="20"/>
          <w:szCs w:val="20"/>
        </w:rPr>
        <w:t xml:space="preserve">                                                   </w:t>
      </w:r>
      <w:r>
        <w:rPr>
          <w:rFonts w:ascii="宋体" w:hAnsi="宋体" w:eastAsia="宋体" w:cs="宋体"/>
          <w:spacing w:val="11"/>
          <w:sz w:val="20"/>
          <w:szCs w:val="20"/>
        </w:rPr>
        <w:t>单位：人民币元</w:t>
      </w:r>
    </w:p>
    <w:p w14:paraId="1E76B768">
      <w:pPr>
        <w:spacing w:line="235"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72"/>
        <w:gridCol w:w="1177"/>
        <w:gridCol w:w="1177"/>
        <w:gridCol w:w="1178"/>
        <w:gridCol w:w="1176"/>
        <w:gridCol w:w="1178"/>
        <w:gridCol w:w="1177"/>
        <w:gridCol w:w="1177"/>
        <w:gridCol w:w="1177"/>
        <w:gridCol w:w="1182"/>
      </w:tblGrid>
      <w:tr w14:paraId="58779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3172" w:type="dxa"/>
            <w:vMerge w:val="restart"/>
            <w:tcBorders>
              <w:bottom w:val="nil"/>
            </w:tcBorders>
            <w:vAlign w:val="top"/>
          </w:tcPr>
          <w:p w14:paraId="4191BE6B">
            <w:pPr>
              <w:spacing w:line="320" w:lineRule="auto"/>
              <w:rPr>
                <w:rFonts w:ascii="Arial"/>
                <w:sz w:val="21"/>
              </w:rPr>
            </w:pPr>
          </w:p>
          <w:p w14:paraId="7BF5190A">
            <w:pPr>
              <w:pStyle w:val="6"/>
              <w:spacing w:before="65" w:line="228" w:lineRule="auto"/>
              <w:ind w:left="1384"/>
            </w:pPr>
            <w:r>
              <w:rPr>
                <w:spacing w:val="3"/>
              </w:rPr>
              <w:t>项目</w:t>
            </w:r>
          </w:p>
        </w:tc>
        <w:tc>
          <w:tcPr>
            <w:tcW w:w="10599" w:type="dxa"/>
            <w:gridSpan w:val="9"/>
            <w:vAlign w:val="top"/>
          </w:tcPr>
          <w:p w14:paraId="18C29A39">
            <w:pPr>
              <w:pStyle w:val="6"/>
              <w:spacing w:before="150" w:line="228" w:lineRule="auto"/>
              <w:ind w:left="4780"/>
            </w:pPr>
            <w:r>
              <w:rPr>
                <w:spacing w:val="7"/>
              </w:rPr>
              <w:t>投标人名称</w:t>
            </w:r>
          </w:p>
        </w:tc>
      </w:tr>
      <w:tr w14:paraId="390DC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3172" w:type="dxa"/>
            <w:vMerge w:val="continue"/>
            <w:tcBorders>
              <w:top w:val="nil"/>
            </w:tcBorders>
            <w:vAlign w:val="top"/>
          </w:tcPr>
          <w:p w14:paraId="570CFE2B">
            <w:pPr>
              <w:rPr>
                <w:rFonts w:ascii="Arial"/>
                <w:sz w:val="21"/>
              </w:rPr>
            </w:pPr>
          </w:p>
        </w:tc>
        <w:tc>
          <w:tcPr>
            <w:tcW w:w="1177" w:type="dxa"/>
            <w:vAlign w:val="top"/>
          </w:tcPr>
          <w:p w14:paraId="28E0F104">
            <w:pPr>
              <w:rPr>
                <w:rFonts w:ascii="Arial"/>
                <w:sz w:val="21"/>
              </w:rPr>
            </w:pPr>
          </w:p>
        </w:tc>
        <w:tc>
          <w:tcPr>
            <w:tcW w:w="1177" w:type="dxa"/>
            <w:vAlign w:val="top"/>
          </w:tcPr>
          <w:p w14:paraId="51645E4E">
            <w:pPr>
              <w:rPr>
                <w:rFonts w:ascii="Arial"/>
                <w:sz w:val="21"/>
              </w:rPr>
            </w:pPr>
          </w:p>
        </w:tc>
        <w:tc>
          <w:tcPr>
            <w:tcW w:w="1178" w:type="dxa"/>
            <w:vAlign w:val="top"/>
          </w:tcPr>
          <w:p w14:paraId="45DF78E0">
            <w:pPr>
              <w:rPr>
                <w:rFonts w:ascii="Arial"/>
                <w:sz w:val="21"/>
              </w:rPr>
            </w:pPr>
          </w:p>
        </w:tc>
        <w:tc>
          <w:tcPr>
            <w:tcW w:w="1176" w:type="dxa"/>
            <w:vAlign w:val="top"/>
          </w:tcPr>
          <w:p w14:paraId="6E5790FA">
            <w:pPr>
              <w:rPr>
                <w:rFonts w:ascii="Arial"/>
                <w:sz w:val="21"/>
              </w:rPr>
            </w:pPr>
          </w:p>
        </w:tc>
        <w:tc>
          <w:tcPr>
            <w:tcW w:w="1178" w:type="dxa"/>
            <w:vAlign w:val="top"/>
          </w:tcPr>
          <w:p w14:paraId="22BFBB19">
            <w:pPr>
              <w:rPr>
                <w:rFonts w:ascii="Arial"/>
                <w:sz w:val="21"/>
              </w:rPr>
            </w:pPr>
          </w:p>
        </w:tc>
        <w:tc>
          <w:tcPr>
            <w:tcW w:w="1177" w:type="dxa"/>
            <w:vAlign w:val="top"/>
          </w:tcPr>
          <w:p w14:paraId="7C597303">
            <w:pPr>
              <w:rPr>
                <w:rFonts w:ascii="Arial"/>
                <w:sz w:val="21"/>
              </w:rPr>
            </w:pPr>
          </w:p>
        </w:tc>
        <w:tc>
          <w:tcPr>
            <w:tcW w:w="1177" w:type="dxa"/>
            <w:vAlign w:val="top"/>
          </w:tcPr>
          <w:p w14:paraId="3633BD9D">
            <w:pPr>
              <w:rPr>
                <w:rFonts w:ascii="Arial"/>
                <w:sz w:val="21"/>
              </w:rPr>
            </w:pPr>
          </w:p>
        </w:tc>
        <w:tc>
          <w:tcPr>
            <w:tcW w:w="1177" w:type="dxa"/>
            <w:vAlign w:val="top"/>
          </w:tcPr>
          <w:p w14:paraId="57DD62FD">
            <w:pPr>
              <w:rPr>
                <w:rFonts w:ascii="Arial"/>
                <w:sz w:val="21"/>
              </w:rPr>
            </w:pPr>
          </w:p>
        </w:tc>
        <w:tc>
          <w:tcPr>
            <w:tcW w:w="1182" w:type="dxa"/>
            <w:vAlign w:val="top"/>
          </w:tcPr>
          <w:p w14:paraId="37E2DAB6">
            <w:pPr>
              <w:rPr>
                <w:rFonts w:ascii="Arial"/>
                <w:sz w:val="21"/>
              </w:rPr>
            </w:pPr>
          </w:p>
        </w:tc>
      </w:tr>
      <w:tr w14:paraId="6940B5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3172" w:type="dxa"/>
            <w:vAlign w:val="top"/>
          </w:tcPr>
          <w:p w14:paraId="39B5766C">
            <w:pPr>
              <w:pStyle w:val="6"/>
              <w:spacing w:before="124" w:line="226" w:lineRule="auto"/>
              <w:ind w:left="1175"/>
            </w:pPr>
            <w:r>
              <w:rPr>
                <w:spacing w:val="6"/>
              </w:rPr>
              <w:t>投标报价</w:t>
            </w:r>
          </w:p>
        </w:tc>
        <w:tc>
          <w:tcPr>
            <w:tcW w:w="1177" w:type="dxa"/>
            <w:vAlign w:val="top"/>
          </w:tcPr>
          <w:p w14:paraId="74FCFCB3">
            <w:pPr>
              <w:rPr>
                <w:rFonts w:ascii="Arial"/>
                <w:sz w:val="21"/>
              </w:rPr>
            </w:pPr>
          </w:p>
        </w:tc>
        <w:tc>
          <w:tcPr>
            <w:tcW w:w="1177" w:type="dxa"/>
            <w:vAlign w:val="top"/>
          </w:tcPr>
          <w:p w14:paraId="0875A4C4">
            <w:pPr>
              <w:rPr>
                <w:rFonts w:ascii="Arial"/>
                <w:sz w:val="21"/>
              </w:rPr>
            </w:pPr>
          </w:p>
        </w:tc>
        <w:tc>
          <w:tcPr>
            <w:tcW w:w="1178" w:type="dxa"/>
            <w:vAlign w:val="top"/>
          </w:tcPr>
          <w:p w14:paraId="45E23BC6">
            <w:pPr>
              <w:rPr>
                <w:rFonts w:ascii="Arial"/>
                <w:sz w:val="21"/>
              </w:rPr>
            </w:pPr>
          </w:p>
        </w:tc>
        <w:tc>
          <w:tcPr>
            <w:tcW w:w="1176" w:type="dxa"/>
            <w:vAlign w:val="top"/>
          </w:tcPr>
          <w:p w14:paraId="69C80E90">
            <w:pPr>
              <w:rPr>
                <w:rFonts w:ascii="Arial"/>
                <w:sz w:val="21"/>
              </w:rPr>
            </w:pPr>
          </w:p>
        </w:tc>
        <w:tc>
          <w:tcPr>
            <w:tcW w:w="1178" w:type="dxa"/>
            <w:vAlign w:val="top"/>
          </w:tcPr>
          <w:p w14:paraId="48057181">
            <w:pPr>
              <w:rPr>
                <w:rFonts w:ascii="Arial"/>
                <w:sz w:val="21"/>
              </w:rPr>
            </w:pPr>
          </w:p>
        </w:tc>
        <w:tc>
          <w:tcPr>
            <w:tcW w:w="1177" w:type="dxa"/>
            <w:vAlign w:val="top"/>
          </w:tcPr>
          <w:p w14:paraId="31547BBD">
            <w:pPr>
              <w:rPr>
                <w:rFonts w:ascii="Arial"/>
                <w:sz w:val="21"/>
              </w:rPr>
            </w:pPr>
          </w:p>
        </w:tc>
        <w:tc>
          <w:tcPr>
            <w:tcW w:w="1177" w:type="dxa"/>
            <w:vAlign w:val="top"/>
          </w:tcPr>
          <w:p w14:paraId="6ECBD5E3">
            <w:pPr>
              <w:rPr>
                <w:rFonts w:ascii="Arial"/>
                <w:sz w:val="21"/>
              </w:rPr>
            </w:pPr>
          </w:p>
        </w:tc>
        <w:tc>
          <w:tcPr>
            <w:tcW w:w="1177" w:type="dxa"/>
            <w:vAlign w:val="top"/>
          </w:tcPr>
          <w:p w14:paraId="647CEE32">
            <w:pPr>
              <w:rPr>
                <w:rFonts w:ascii="Arial"/>
                <w:sz w:val="21"/>
              </w:rPr>
            </w:pPr>
          </w:p>
        </w:tc>
        <w:tc>
          <w:tcPr>
            <w:tcW w:w="1182" w:type="dxa"/>
            <w:vAlign w:val="top"/>
          </w:tcPr>
          <w:p w14:paraId="0D2B51F6">
            <w:pPr>
              <w:rPr>
                <w:rFonts w:ascii="Arial"/>
                <w:sz w:val="21"/>
              </w:rPr>
            </w:pPr>
          </w:p>
        </w:tc>
      </w:tr>
      <w:tr w14:paraId="48EE9C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3172" w:type="dxa"/>
            <w:vAlign w:val="top"/>
          </w:tcPr>
          <w:p w14:paraId="3518BB9F">
            <w:pPr>
              <w:pStyle w:val="6"/>
              <w:spacing w:before="60" w:line="226" w:lineRule="auto"/>
              <w:ind w:left="332"/>
            </w:pPr>
            <w:r>
              <w:rPr>
                <w:spacing w:val="8"/>
              </w:rPr>
              <w:t>修正后的投标总价（如有）</w:t>
            </w:r>
          </w:p>
        </w:tc>
        <w:tc>
          <w:tcPr>
            <w:tcW w:w="1177" w:type="dxa"/>
            <w:vAlign w:val="top"/>
          </w:tcPr>
          <w:p w14:paraId="365D5F7D">
            <w:pPr>
              <w:rPr>
                <w:rFonts w:ascii="Arial"/>
                <w:sz w:val="21"/>
              </w:rPr>
            </w:pPr>
          </w:p>
        </w:tc>
        <w:tc>
          <w:tcPr>
            <w:tcW w:w="1177" w:type="dxa"/>
            <w:vAlign w:val="top"/>
          </w:tcPr>
          <w:p w14:paraId="7EC193C1">
            <w:pPr>
              <w:rPr>
                <w:rFonts w:ascii="Arial"/>
                <w:sz w:val="21"/>
              </w:rPr>
            </w:pPr>
          </w:p>
        </w:tc>
        <w:tc>
          <w:tcPr>
            <w:tcW w:w="1178" w:type="dxa"/>
            <w:vAlign w:val="top"/>
          </w:tcPr>
          <w:p w14:paraId="4B026D06">
            <w:pPr>
              <w:rPr>
                <w:rFonts w:ascii="Arial"/>
                <w:sz w:val="21"/>
              </w:rPr>
            </w:pPr>
          </w:p>
        </w:tc>
        <w:tc>
          <w:tcPr>
            <w:tcW w:w="1176" w:type="dxa"/>
            <w:vAlign w:val="top"/>
          </w:tcPr>
          <w:p w14:paraId="30378C67">
            <w:pPr>
              <w:rPr>
                <w:rFonts w:ascii="Arial"/>
                <w:sz w:val="21"/>
              </w:rPr>
            </w:pPr>
          </w:p>
        </w:tc>
        <w:tc>
          <w:tcPr>
            <w:tcW w:w="1178" w:type="dxa"/>
            <w:vAlign w:val="top"/>
          </w:tcPr>
          <w:p w14:paraId="5A284AFA">
            <w:pPr>
              <w:rPr>
                <w:rFonts w:ascii="Arial"/>
                <w:sz w:val="21"/>
              </w:rPr>
            </w:pPr>
          </w:p>
        </w:tc>
        <w:tc>
          <w:tcPr>
            <w:tcW w:w="1177" w:type="dxa"/>
            <w:vAlign w:val="top"/>
          </w:tcPr>
          <w:p w14:paraId="1F1DAED6">
            <w:pPr>
              <w:rPr>
                <w:rFonts w:ascii="Arial"/>
                <w:sz w:val="21"/>
              </w:rPr>
            </w:pPr>
          </w:p>
        </w:tc>
        <w:tc>
          <w:tcPr>
            <w:tcW w:w="1177" w:type="dxa"/>
            <w:vAlign w:val="top"/>
          </w:tcPr>
          <w:p w14:paraId="3A078349">
            <w:pPr>
              <w:rPr>
                <w:rFonts w:ascii="Arial"/>
                <w:sz w:val="21"/>
              </w:rPr>
            </w:pPr>
          </w:p>
        </w:tc>
        <w:tc>
          <w:tcPr>
            <w:tcW w:w="1177" w:type="dxa"/>
            <w:vAlign w:val="top"/>
          </w:tcPr>
          <w:p w14:paraId="1C4AC3B8">
            <w:pPr>
              <w:rPr>
                <w:rFonts w:ascii="Arial"/>
                <w:sz w:val="21"/>
              </w:rPr>
            </w:pPr>
          </w:p>
        </w:tc>
        <w:tc>
          <w:tcPr>
            <w:tcW w:w="1182" w:type="dxa"/>
            <w:vAlign w:val="top"/>
          </w:tcPr>
          <w:p w14:paraId="7B125E33">
            <w:pPr>
              <w:rPr>
                <w:rFonts w:ascii="Arial"/>
                <w:sz w:val="21"/>
              </w:rPr>
            </w:pPr>
          </w:p>
        </w:tc>
      </w:tr>
      <w:tr w14:paraId="3F7FCE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172" w:type="dxa"/>
            <w:vAlign w:val="top"/>
          </w:tcPr>
          <w:p w14:paraId="72CA04C1">
            <w:pPr>
              <w:pStyle w:val="6"/>
              <w:spacing w:before="128" w:line="226" w:lineRule="auto"/>
              <w:ind w:left="1274"/>
            </w:pPr>
            <w:r>
              <w:rPr>
                <w:spacing w:val="7"/>
              </w:rPr>
              <w:t>评标价</w:t>
            </w:r>
          </w:p>
        </w:tc>
        <w:tc>
          <w:tcPr>
            <w:tcW w:w="1177" w:type="dxa"/>
            <w:vAlign w:val="top"/>
          </w:tcPr>
          <w:p w14:paraId="75B1D985">
            <w:pPr>
              <w:rPr>
                <w:rFonts w:ascii="Arial"/>
                <w:sz w:val="21"/>
              </w:rPr>
            </w:pPr>
          </w:p>
        </w:tc>
        <w:tc>
          <w:tcPr>
            <w:tcW w:w="1177" w:type="dxa"/>
            <w:vAlign w:val="top"/>
          </w:tcPr>
          <w:p w14:paraId="6609EDD3">
            <w:pPr>
              <w:rPr>
                <w:rFonts w:ascii="Arial"/>
                <w:sz w:val="21"/>
              </w:rPr>
            </w:pPr>
          </w:p>
        </w:tc>
        <w:tc>
          <w:tcPr>
            <w:tcW w:w="1178" w:type="dxa"/>
            <w:vAlign w:val="top"/>
          </w:tcPr>
          <w:p w14:paraId="0963558B">
            <w:pPr>
              <w:rPr>
                <w:rFonts w:ascii="Arial"/>
                <w:sz w:val="21"/>
              </w:rPr>
            </w:pPr>
          </w:p>
        </w:tc>
        <w:tc>
          <w:tcPr>
            <w:tcW w:w="1176" w:type="dxa"/>
            <w:vAlign w:val="top"/>
          </w:tcPr>
          <w:p w14:paraId="1FD26E10">
            <w:pPr>
              <w:rPr>
                <w:rFonts w:ascii="Arial"/>
                <w:sz w:val="21"/>
              </w:rPr>
            </w:pPr>
          </w:p>
        </w:tc>
        <w:tc>
          <w:tcPr>
            <w:tcW w:w="1178" w:type="dxa"/>
            <w:vAlign w:val="top"/>
          </w:tcPr>
          <w:p w14:paraId="07A30DAE">
            <w:pPr>
              <w:rPr>
                <w:rFonts w:ascii="Arial"/>
                <w:sz w:val="21"/>
              </w:rPr>
            </w:pPr>
          </w:p>
        </w:tc>
        <w:tc>
          <w:tcPr>
            <w:tcW w:w="1177" w:type="dxa"/>
            <w:vAlign w:val="top"/>
          </w:tcPr>
          <w:p w14:paraId="07E4DF93">
            <w:pPr>
              <w:rPr>
                <w:rFonts w:ascii="Arial"/>
                <w:sz w:val="21"/>
              </w:rPr>
            </w:pPr>
          </w:p>
        </w:tc>
        <w:tc>
          <w:tcPr>
            <w:tcW w:w="1177" w:type="dxa"/>
            <w:vAlign w:val="top"/>
          </w:tcPr>
          <w:p w14:paraId="7F8A71EC">
            <w:pPr>
              <w:rPr>
                <w:rFonts w:ascii="Arial"/>
                <w:sz w:val="21"/>
              </w:rPr>
            </w:pPr>
          </w:p>
        </w:tc>
        <w:tc>
          <w:tcPr>
            <w:tcW w:w="1177" w:type="dxa"/>
            <w:vAlign w:val="top"/>
          </w:tcPr>
          <w:p w14:paraId="7EBC8A01">
            <w:pPr>
              <w:rPr>
                <w:rFonts w:ascii="Arial"/>
                <w:sz w:val="21"/>
              </w:rPr>
            </w:pPr>
          </w:p>
        </w:tc>
        <w:tc>
          <w:tcPr>
            <w:tcW w:w="1182" w:type="dxa"/>
            <w:vAlign w:val="top"/>
          </w:tcPr>
          <w:p w14:paraId="21FF2441">
            <w:pPr>
              <w:rPr>
                <w:rFonts w:ascii="Arial"/>
                <w:sz w:val="21"/>
              </w:rPr>
            </w:pPr>
          </w:p>
        </w:tc>
      </w:tr>
      <w:tr w14:paraId="0A506B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172" w:type="dxa"/>
            <w:vAlign w:val="top"/>
          </w:tcPr>
          <w:p w14:paraId="5341F520">
            <w:pPr>
              <w:pStyle w:val="6"/>
              <w:spacing w:before="130" w:line="226" w:lineRule="auto"/>
              <w:ind w:left="1066"/>
            </w:pPr>
            <w:r>
              <w:rPr>
                <w:spacing w:val="8"/>
              </w:rPr>
              <w:t>评标基准价</w:t>
            </w:r>
          </w:p>
        </w:tc>
        <w:tc>
          <w:tcPr>
            <w:tcW w:w="10599" w:type="dxa"/>
            <w:gridSpan w:val="9"/>
            <w:vAlign w:val="top"/>
          </w:tcPr>
          <w:p w14:paraId="429B8045">
            <w:pPr>
              <w:rPr>
                <w:rFonts w:ascii="Arial"/>
                <w:sz w:val="21"/>
              </w:rPr>
            </w:pPr>
          </w:p>
        </w:tc>
      </w:tr>
      <w:tr w14:paraId="2DD73D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72" w:type="dxa"/>
            <w:vAlign w:val="top"/>
          </w:tcPr>
          <w:p w14:paraId="63424022">
            <w:pPr>
              <w:pStyle w:val="6"/>
              <w:spacing w:before="126" w:line="228" w:lineRule="auto"/>
              <w:ind w:left="1275"/>
            </w:pPr>
            <w:r>
              <w:rPr>
                <w:spacing w:val="6"/>
              </w:rPr>
              <w:t>偏差率</w:t>
            </w:r>
          </w:p>
        </w:tc>
        <w:tc>
          <w:tcPr>
            <w:tcW w:w="1177" w:type="dxa"/>
            <w:vAlign w:val="top"/>
          </w:tcPr>
          <w:p w14:paraId="6C3ED57C">
            <w:pPr>
              <w:rPr>
                <w:rFonts w:ascii="Arial"/>
                <w:sz w:val="21"/>
              </w:rPr>
            </w:pPr>
          </w:p>
        </w:tc>
        <w:tc>
          <w:tcPr>
            <w:tcW w:w="1177" w:type="dxa"/>
            <w:vAlign w:val="top"/>
          </w:tcPr>
          <w:p w14:paraId="4D54A4E4">
            <w:pPr>
              <w:rPr>
                <w:rFonts w:ascii="Arial"/>
                <w:sz w:val="21"/>
              </w:rPr>
            </w:pPr>
          </w:p>
        </w:tc>
        <w:tc>
          <w:tcPr>
            <w:tcW w:w="1178" w:type="dxa"/>
            <w:vAlign w:val="top"/>
          </w:tcPr>
          <w:p w14:paraId="29616B82">
            <w:pPr>
              <w:rPr>
                <w:rFonts w:ascii="Arial"/>
                <w:sz w:val="21"/>
              </w:rPr>
            </w:pPr>
          </w:p>
        </w:tc>
        <w:tc>
          <w:tcPr>
            <w:tcW w:w="1176" w:type="dxa"/>
            <w:vAlign w:val="top"/>
          </w:tcPr>
          <w:p w14:paraId="4E9A856F">
            <w:pPr>
              <w:rPr>
                <w:rFonts w:ascii="Arial"/>
                <w:sz w:val="21"/>
              </w:rPr>
            </w:pPr>
          </w:p>
        </w:tc>
        <w:tc>
          <w:tcPr>
            <w:tcW w:w="1178" w:type="dxa"/>
            <w:vAlign w:val="top"/>
          </w:tcPr>
          <w:p w14:paraId="3028DE92">
            <w:pPr>
              <w:rPr>
                <w:rFonts w:ascii="Arial"/>
                <w:sz w:val="21"/>
              </w:rPr>
            </w:pPr>
          </w:p>
        </w:tc>
        <w:tc>
          <w:tcPr>
            <w:tcW w:w="1177" w:type="dxa"/>
            <w:vAlign w:val="top"/>
          </w:tcPr>
          <w:p w14:paraId="36AE10A7">
            <w:pPr>
              <w:rPr>
                <w:rFonts w:ascii="Arial"/>
                <w:sz w:val="21"/>
              </w:rPr>
            </w:pPr>
          </w:p>
        </w:tc>
        <w:tc>
          <w:tcPr>
            <w:tcW w:w="1177" w:type="dxa"/>
            <w:vAlign w:val="top"/>
          </w:tcPr>
          <w:p w14:paraId="65B14BEA">
            <w:pPr>
              <w:rPr>
                <w:rFonts w:ascii="Arial"/>
                <w:sz w:val="21"/>
              </w:rPr>
            </w:pPr>
          </w:p>
        </w:tc>
        <w:tc>
          <w:tcPr>
            <w:tcW w:w="1177" w:type="dxa"/>
            <w:vAlign w:val="top"/>
          </w:tcPr>
          <w:p w14:paraId="6ED6D686">
            <w:pPr>
              <w:rPr>
                <w:rFonts w:ascii="Arial"/>
                <w:sz w:val="21"/>
              </w:rPr>
            </w:pPr>
          </w:p>
        </w:tc>
        <w:tc>
          <w:tcPr>
            <w:tcW w:w="1182" w:type="dxa"/>
            <w:vAlign w:val="top"/>
          </w:tcPr>
          <w:p w14:paraId="6DDB6309">
            <w:pPr>
              <w:rPr>
                <w:rFonts w:ascii="Arial"/>
                <w:sz w:val="21"/>
              </w:rPr>
            </w:pPr>
          </w:p>
        </w:tc>
      </w:tr>
      <w:tr w14:paraId="2472D4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72" w:type="dxa"/>
            <w:vAlign w:val="top"/>
          </w:tcPr>
          <w:p w14:paraId="2017126E">
            <w:pPr>
              <w:pStyle w:val="6"/>
              <w:spacing w:before="128" w:line="226" w:lineRule="auto"/>
              <w:ind w:left="1067"/>
            </w:pPr>
            <w:r>
              <w:rPr>
                <w:spacing w:val="7"/>
              </w:rPr>
              <w:t>招标控制价</w:t>
            </w:r>
          </w:p>
        </w:tc>
        <w:tc>
          <w:tcPr>
            <w:tcW w:w="10599" w:type="dxa"/>
            <w:gridSpan w:val="9"/>
            <w:vAlign w:val="top"/>
          </w:tcPr>
          <w:p w14:paraId="1C3E4834">
            <w:pPr>
              <w:rPr>
                <w:rFonts w:ascii="Arial"/>
                <w:sz w:val="21"/>
              </w:rPr>
            </w:pPr>
          </w:p>
        </w:tc>
      </w:tr>
      <w:tr w14:paraId="669A27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3172" w:type="dxa"/>
            <w:vAlign w:val="top"/>
          </w:tcPr>
          <w:p w14:paraId="30A6B615">
            <w:pPr>
              <w:pStyle w:val="6"/>
              <w:spacing w:before="132" w:line="226" w:lineRule="auto"/>
              <w:ind w:left="752"/>
            </w:pPr>
            <w:r>
              <w:rPr>
                <w:spacing w:val="8"/>
              </w:rPr>
              <w:t>计算投标报价得分</w:t>
            </w:r>
          </w:p>
        </w:tc>
        <w:tc>
          <w:tcPr>
            <w:tcW w:w="1177" w:type="dxa"/>
            <w:vAlign w:val="top"/>
          </w:tcPr>
          <w:p w14:paraId="64988086">
            <w:pPr>
              <w:rPr>
                <w:rFonts w:ascii="Arial"/>
                <w:sz w:val="21"/>
              </w:rPr>
            </w:pPr>
          </w:p>
        </w:tc>
        <w:tc>
          <w:tcPr>
            <w:tcW w:w="1177" w:type="dxa"/>
            <w:vAlign w:val="top"/>
          </w:tcPr>
          <w:p w14:paraId="3896D78C">
            <w:pPr>
              <w:rPr>
                <w:rFonts w:ascii="Arial"/>
                <w:sz w:val="21"/>
              </w:rPr>
            </w:pPr>
          </w:p>
        </w:tc>
        <w:tc>
          <w:tcPr>
            <w:tcW w:w="1178" w:type="dxa"/>
            <w:vAlign w:val="top"/>
          </w:tcPr>
          <w:p w14:paraId="52F5103C">
            <w:pPr>
              <w:rPr>
                <w:rFonts w:ascii="Arial"/>
                <w:sz w:val="21"/>
              </w:rPr>
            </w:pPr>
          </w:p>
        </w:tc>
        <w:tc>
          <w:tcPr>
            <w:tcW w:w="1176" w:type="dxa"/>
            <w:vAlign w:val="top"/>
          </w:tcPr>
          <w:p w14:paraId="1C32F518">
            <w:pPr>
              <w:rPr>
                <w:rFonts w:ascii="Arial"/>
                <w:sz w:val="21"/>
              </w:rPr>
            </w:pPr>
          </w:p>
        </w:tc>
        <w:tc>
          <w:tcPr>
            <w:tcW w:w="1178" w:type="dxa"/>
            <w:vAlign w:val="top"/>
          </w:tcPr>
          <w:p w14:paraId="66CFDE2D">
            <w:pPr>
              <w:rPr>
                <w:rFonts w:ascii="Arial"/>
                <w:sz w:val="21"/>
              </w:rPr>
            </w:pPr>
          </w:p>
        </w:tc>
        <w:tc>
          <w:tcPr>
            <w:tcW w:w="1177" w:type="dxa"/>
            <w:vAlign w:val="top"/>
          </w:tcPr>
          <w:p w14:paraId="572A1FD9">
            <w:pPr>
              <w:rPr>
                <w:rFonts w:ascii="Arial"/>
                <w:sz w:val="21"/>
              </w:rPr>
            </w:pPr>
          </w:p>
        </w:tc>
        <w:tc>
          <w:tcPr>
            <w:tcW w:w="1177" w:type="dxa"/>
            <w:vAlign w:val="top"/>
          </w:tcPr>
          <w:p w14:paraId="01965B38">
            <w:pPr>
              <w:rPr>
                <w:rFonts w:ascii="Arial"/>
                <w:sz w:val="21"/>
              </w:rPr>
            </w:pPr>
          </w:p>
        </w:tc>
        <w:tc>
          <w:tcPr>
            <w:tcW w:w="1177" w:type="dxa"/>
            <w:vAlign w:val="top"/>
          </w:tcPr>
          <w:p w14:paraId="2DA57C83">
            <w:pPr>
              <w:rPr>
                <w:rFonts w:ascii="Arial"/>
                <w:sz w:val="21"/>
              </w:rPr>
            </w:pPr>
          </w:p>
        </w:tc>
        <w:tc>
          <w:tcPr>
            <w:tcW w:w="1182" w:type="dxa"/>
            <w:vAlign w:val="top"/>
          </w:tcPr>
          <w:p w14:paraId="3546284B">
            <w:pPr>
              <w:rPr>
                <w:rFonts w:ascii="Arial"/>
                <w:sz w:val="21"/>
              </w:rPr>
            </w:pPr>
          </w:p>
        </w:tc>
      </w:tr>
      <w:tr w14:paraId="75727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3172" w:type="dxa"/>
            <w:vAlign w:val="top"/>
          </w:tcPr>
          <w:p w14:paraId="45458032">
            <w:pPr>
              <w:pStyle w:val="6"/>
              <w:spacing w:before="132" w:line="226" w:lineRule="auto"/>
              <w:ind w:left="859"/>
            </w:pPr>
            <w:r>
              <w:rPr>
                <w:spacing w:val="8"/>
              </w:rPr>
              <w:t>不平衡报价扣分</w:t>
            </w:r>
          </w:p>
        </w:tc>
        <w:tc>
          <w:tcPr>
            <w:tcW w:w="1177" w:type="dxa"/>
            <w:vAlign w:val="top"/>
          </w:tcPr>
          <w:p w14:paraId="3F48087E">
            <w:pPr>
              <w:rPr>
                <w:rFonts w:ascii="Arial"/>
                <w:sz w:val="21"/>
              </w:rPr>
            </w:pPr>
          </w:p>
        </w:tc>
        <w:tc>
          <w:tcPr>
            <w:tcW w:w="1177" w:type="dxa"/>
            <w:vAlign w:val="top"/>
          </w:tcPr>
          <w:p w14:paraId="22E7D3E5">
            <w:pPr>
              <w:rPr>
                <w:rFonts w:ascii="Arial"/>
                <w:sz w:val="21"/>
              </w:rPr>
            </w:pPr>
          </w:p>
        </w:tc>
        <w:tc>
          <w:tcPr>
            <w:tcW w:w="1178" w:type="dxa"/>
            <w:vAlign w:val="top"/>
          </w:tcPr>
          <w:p w14:paraId="2A40D5E5">
            <w:pPr>
              <w:rPr>
                <w:rFonts w:ascii="Arial"/>
                <w:sz w:val="21"/>
              </w:rPr>
            </w:pPr>
          </w:p>
        </w:tc>
        <w:tc>
          <w:tcPr>
            <w:tcW w:w="1176" w:type="dxa"/>
            <w:vAlign w:val="top"/>
          </w:tcPr>
          <w:p w14:paraId="01A24F6D">
            <w:pPr>
              <w:rPr>
                <w:rFonts w:ascii="Arial"/>
                <w:sz w:val="21"/>
              </w:rPr>
            </w:pPr>
          </w:p>
        </w:tc>
        <w:tc>
          <w:tcPr>
            <w:tcW w:w="1178" w:type="dxa"/>
            <w:vAlign w:val="top"/>
          </w:tcPr>
          <w:p w14:paraId="73D44580">
            <w:pPr>
              <w:rPr>
                <w:rFonts w:ascii="Arial"/>
                <w:sz w:val="21"/>
              </w:rPr>
            </w:pPr>
          </w:p>
        </w:tc>
        <w:tc>
          <w:tcPr>
            <w:tcW w:w="1177" w:type="dxa"/>
            <w:vAlign w:val="top"/>
          </w:tcPr>
          <w:p w14:paraId="54C41309">
            <w:pPr>
              <w:rPr>
                <w:rFonts w:ascii="Arial"/>
                <w:sz w:val="21"/>
              </w:rPr>
            </w:pPr>
          </w:p>
        </w:tc>
        <w:tc>
          <w:tcPr>
            <w:tcW w:w="1177" w:type="dxa"/>
            <w:vAlign w:val="top"/>
          </w:tcPr>
          <w:p w14:paraId="745009C2">
            <w:pPr>
              <w:rPr>
                <w:rFonts w:ascii="Arial"/>
                <w:sz w:val="21"/>
              </w:rPr>
            </w:pPr>
          </w:p>
        </w:tc>
        <w:tc>
          <w:tcPr>
            <w:tcW w:w="1177" w:type="dxa"/>
            <w:vAlign w:val="top"/>
          </w:tcPr>
          <w:p w14:paraId="6E7B78D6">
            <w:pPr>
              <w:rPr>
                <w:rFonts w:ascii="Arial"/>
                <w:sz w:val="21"/>
              </w:rPr>
            </w:pPr>
          </w:p>
        </w:tc>
        <w:tc>
          <w:tcPr>
            <w:tcW w:w="1182" w:type="dxa"/>
            <w:vAlign w:val="top"/>
          </w:tcPr>
          <w:p w14:paraId="0A7DEE23">
            <w:pPr>
              <w:rPr>
                <w:rFonts w:ascii="Arial"/>
                <w:sz w:val="21"/>
              </w:rPr>
            </w:pPr>
          </w:p>
        </w:tc>
      </w:tr>
      <w:tr w14:paraId="1EAF1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3172" w:type="dxa"/>
            <w:vAlign w:val="top"/>
          </w:tcPr>
          <w:p w14:paraId="47A15D3F">
            <w:pPr>
              <w:pStyle w:val="6"/>
              <w:spacing w:before="133" w:line="226" w:lineRule="auto"/>
              <w:ind w:right="14"/>
              <w:jc w:val="right"/>
            </w:pPr>
            <w:r>
              <w:rPr>
                <w:spacing w:val="4"/>
              </w:rPr>
              <w:t>投标报价最终得分</w:t>
            </w:r>
            <w:r>
              <w:rPr>
                <w:spacing w:val="-32"/>
              </w:rPr>
              <w:t xml:space="preserve"> </w:t>
            </w:r>
            <w:r>
              <w:rPr>
                <w:spacing w:val="4"/>
              </w:rPr>
              <w:t>A（满分  分）</w:t>
            </w:r>
          </w:p>
        </w:tc>
        <w:tc>
          <w:tcPr>
            <w:tcW w:w="1177" w:type="dxa"/>
            <w:vAlign w:val="top"/>
          </w:tcPr>
          <w:p w14:paraId="07DCEF79">
            <w:pPr>
              <w:rPr>
                <w:rFonts w:ascii="Arial"/>
                <w:sz w:val="21"/>
              </w:rPr>
            </w:pPr>
          </w:p>
        </w:tc>
        <w:tc>
          <w:tcPr>
            <w:tcW w:w="1177" w:type="dxa"/>
            <w:vAlign w:val="top"/>
          </w:tcPr>
          <w:p w14:paraId="648C4C3C">
            <w:pPr>
              <w:rPr>
                <w:rFonts w:ascii="Arial"/>
                <w:sz w:val="21"/>
              </w:rPr>
            </w:pPr>
          </w:p>
        </w:tc>
        <w:tc>
          <w:tcPr>
            <w:tcW w:w="1178" w:type="dxa"/>
            <w:vAlign w:val="top"/>
          </w:tcPr>
          <w:p w14:paraId="103A7377">
            <w:pPr>
              <w:rPr>
                <w:rFonts w:ascii="Arial"/>
                <w:sz w:val="21"/>
              </w:rPr>
            </w:pPr>
          </w:p>
        </w:tc>
        <w:tc>
          <w:tcPr>
            <w:tcW w:w="1176" w:type="dxa"/>
            <w:vAlign w:val="top"/>
          </w:tcPr>
          <w:p w14:paraId="0F66648D">
            <w:pPr>
              <w:rPr>
                <w:rFonts w:ascii="Arial"/>
                <w:sz w:val="21"/>
              </w:rPr>
            </w:pPr>
          </w:p>
        </w:tc>
        <w:tc>
          <w:tcPr>
            <w:tcW w:w="1178" w:type="dxa"/>
            <w:vAlign w:val="top"/>
          </w:tcPr>
          <w:p w14:paraId="5DEA8A51">
            <w:pPr>
              <w:rPr>
                <w:rFonts w:ascii="Arial"/>
                <w:sz w:val="21"/>
              </w:rPr>
            </w:pPr>
          </w:p>
        </w:tc>
        <w:tc>
          <w:tcPr>
            <w:tcW w:w="1177" w:type="dxa"/>
            <w:vAlign w:val="top"/>
          </w:tcPr>
          <w:p w14:paraId="63A308F2">
            <w:pPr>
              <w:rPr>
                <w:rFonts w:ascii="Arial"/>
                <w:sz w:val="21"/>
              </w:rPr>
            </w:pPr>
          </w:p>
        </w:tc>
        <w:tc>
          <w:tcPr>
            <w:tcW w:w="1177" w:type="dxa"/>
            <w:vAlign w:val="top"/>
          </w:tcPr>
          <w:p w14:paraId="58BABB1E">
            <w:pPr>
              <w:rPr>
                <w:rFonts w:ascii="Arial"/>
                <w:sz w:val="21"/>
              </w:rPr>
            </w:pPr>
          </w:p>
        </w:tc>
        <w:tc>
          <w:tcPr>
            <w:tcW w:w="1177" w:type="dxa"/>
            <w:vAlign w:val="top"/>
          </w:tcPr>
          <w:p w14:paraId="54EF1C47">
            <w:pPr>
              <w:rPr>
                <w:rFonts w:ascii="Arial"/>
                <w:sz w:val="21"/>
              </w:rPr>
            </w:pPr>
          </w:p>
        </w:tc>
        <w:tc>
          <w:tcPr>
            <w:tcW w:w="1182" w:type="dxa"/>
            <w:vAlign w:val="top"/>
          </w:tcPr>
          <w:p w14:paraId="02F69E1B">
            <w:pPr>
              <w:rPr>
                <w:rFonts w:ascii="Arial"/>
                <w:sz w:val="21"/>
              </w:rPr>
            </w:pPr>
          </w:p>
        </w:tc>
      </w:tr>
    </w:tbl>
    <w:p w14:paraId="13855E47">
      <w:pPr>
        <w:spacing w:before="272" w:line="227" w:lineRule="auto"/>
        <w:ind w:left="120"/>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  月   日</w:t>
      </w:r>
    </w:p>
    <w:p w14:paraId="6AFE3C29">
      <w:pPr>
        <w:spacing w:line="227" w:lineRule="auto"/>
        <w:rPr>
          <w:rFonts w:ascii="宋体" w:hAnsi="宋体" w:eastAsia="宋体" w:cs="宋体"/>
          <w:sz w:val="20"/>
          <w:szCs w:val="20"/>
        </w:rPr>
        <w:sectPr>
          <w:footerReference r:id="rId137" w:type="default"/>
          <w:pgSz w:w="16840" w:h="11907"/>
          <w:pgMar w:top="400" w:right="1475" w:bottom="1036" w:left="1588" w:header="0" w:footer="787" w:gutter="0"/>
          <w:cols w:space="720" w:num="1"/>
        </w:sectPr>
      </w:pPr>
    </w:p>
    <w:p w14:paraId="435C26A4">
      <w:pPr>
        <w:spacing w:line="289" w:lineRule="auto"/>
        <w:rPr>
          <w:rFonts w:ascii="Arial"/>
          <w:sz w:val="21"/>
        </w:rPr>
      </w:pPr>
    </w:p>
    <w:p w14:paraId="6EC29BCA">
      <w:pPr>
        <w:spacing w:line="290" w:lineRule="auto"/>
        <w:rPr>
          <w:rFonts w:ascii="Arial"/>
          <w:sz w:val="21"/>
        </w:rPr>
      </w:pPr>
    </w:p>
    <w:p w14:paraId="4ABF391E">
      <w:pPr>
        <w:spacing w:line="290" w:lineRule="auto"/>
        <w:rPr>
          <w:rFonts w:ascii="Arial"/>
          <w:sz w:val="21"/>
        </w:rPr>
      </w:pPr>
    </w:p>
    <w:p w14:paraId="678BFDF6">
      <w:pPr>
        <w:spacing w:line="290" w:lineRule="auto"/>
        <w:rPr>
          <w:rFonts w:ascii="Arial"/>
          <w:sz w:val="21"/>
        </w:rPr>
      </w:pPr>
    </w:p>
    <w:p w14:paraId="5CFEFE36">
      <w:pPr>
        <w:pStyle w:val="2"/>
        <w:spacing w:before="78" w:line="222" w:lineRule="auto"/>
        <w:ind w:left="135"/>
        <w:outlineLvl w:val="1"/>
        <w:rPr>
          <w:sz w:val="24"/>
          <w:szCs w:val="24"/>
        </w:rPr>
      </w:pPr>
      <w:r>
        <w:rPr>
          <w:spacing w:val="-2"/>
          <w:sz w:val="24"/>
          <w:szCs w:val="24"/>
        </w:rPr>
        <w:t>附表</w:t>
      </w:r>
      <w:r>
        <w:rPr>
          <w:spacing w:val="-43"/>
          <w:sz w:val="24"/>
          <w:szCs w:val="24"/>
        </w:rPr>
        <w:t xml:space="preserve"> </w:t>
      </w:r>
      <w:r>
        <w:rPr>
          <w:rFonts w:ascii="Times New Roman" w:hAnsi="Times New Roman" w:eastAsia="Times New Roman" w:cs="Times New Roman"/>
          <w:spacing w:val="-2"/>
          <w:sz w:val="24"/>
          <w:szCs w:val="24"/>
        </w:rPr>
        <w:t>A-9</w:t>
      </w:r>
      <w:r>
        <w:rPr>
          <w:spacing w:val="-2"/>
          <w:sz w:val="24"/>
          <w:szCs w:val="24"/>
        </w:rPr>
        <w:t>：施工组织设计评审记录表（评分）</w:t>
      </w:r>
    </w:p>
    <w:p w14:paraId="2383734A">
      <w:pPr>
        <w:pStyle w:val="2"/>
        <w:spacing w:before="50" w:line="376" w:lineRule="auto"/>
        <w:ind w:left="124" w:right="4908" w:firstLine="4795"/>
        <w:rPr>
          <w:rFonts w:ascii="宋体" w:hAnsi="宋体" w:eastAsia="宋体" w:cs="宋体"/>
          <w:sz w:val="20"/>
          <w:szCs w:val="20"/>
        </w:rPr>
      </w:pPr>
      <w:bookmarkStart w:id="190" w:name="bookmark171"/>
      <w:bookmarkEnd w:id="190"/>
      <w:r>
        <w:rPr>
          <w:spacing w:val="8"/>
          <w:sz w:val="35"/>
          <w:szCs w:val="35"/>
        </w:rPr>
        <w:t>施工组织设计评审记录表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3A5E64A5">
      <w:pPr>
        <w:spacing w:line="46"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3"/>
        <w:gridCol w:w="1528"/>
        <w:gridCol w:w="3598"/>
        <w:gridCol w:w="720"/>
        <w:gridCol w:w="797"/>
        <w:gridCol w:w="798"/>
        <w:gridCol w:w="798"/>
        <w:gridCol w:w="797"/>
        <w:gridCol w:w="798"/>
        <w:gridCol w:w="797"/>
        <w:gridCol w:w="797"/>
        <w:gridCol w:w="798"/>
        <w:gridCol w:w="802"/>
      </w:tblGrid>
      <w:tr w14:paraId="0B2830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43" w:type="dxa"/>
            <w:vMerge w:val="restart"/>
            <w:tcBorders>
              <w:bottom w:val="nil"/>
            </w:tcBorders>
            <w:vAlign w:val="top"/>
          </w:tcPr>
          <w:p w14:paraId="31F5464F">
            <w:pPr>
              <w:spacing w:line="290" w:lineRule="auto"/>
              <w:rPr>
                <w:rFonts w:ascii="Arial"/>
                <w:sz w:val="21"/>
              </w:rPr>
            </w:pPr>
          </w:p>
          <w:p w14:paraId="724D11D3">
            <w:pPr>
              <w:pStyle w:val="6"/>
              <w:spacing w:before="65" w:line="229" w:lineRule="auto"/>
              <w:ind w:left="166"/>
            </w:pPr>
            <w:r>
              <w:rPr>
                <w:spacing w:val="5"/>
              </w:rPr>
              <w:t>序号</w:t>
            </w:r>
          </w:p>
        </w:tc>
        <w:tc>
          <w:tcPr>
            <w:tcW w:w="1528" w:type="dxa"/>
            <w:vMerge w:val="restart"/>
            <w:tcBorders>
              <w:bottom w:val="nil"/>
            </w:tcBorders>
            <w:vAlign w:val="top"/>
          </w:tcPr>
          <w:p w14:paraId="47419E7A">
            <w:pPr>
              <w:spacing w:line="291" w:lineRule="auto"/>
              <w:rPr>
                <w:rFonts w:ascii="Arial"/>
                <w:sz w:val="21"/>
              </w:rPr>
            </w:pPr>
          </w:p>
          <w:p w14:paraId="0585B52A">
            <w:pPr>
              <w:pStyle w:val="6"/>
              <w:spacing w:before="65" w:line="228" w:lineRule="auto"/>
              <w:ind w:left="347"/>
            </w:pPr>
            <w:r>
              <w:rPr>
                <w:spacing w:val="7"/>
              </w:rPr>
              <w:t>评分项目</w:t>
            </w:r>
          </w:p>
        </w:tc>
        <w:tc>
          <w:tcPr>
            <w:tcW w:w="3598" w:type="dxa"/>
            <w:vMerge w:val="restart"/>
            <w:tcBorders>
              <w:bottom w:val="nil"/>
            </w:tcBorders>
            <w:vAlign w:val="top"/>
          </w:tcPr>
          <w:p w14:paraId="62815FCF">
            <w:pPr>
              <w:spacing w:line="291" w:lineRule="auto"/>
              <w:rPr>
                <w:rFonts w:ascii="Arial"/>
                <w:sz w:val="21"/>
              </w:rPr>
            </w:pPr>
          </w:p>
          <w:p w14:paraId="1F47118F">
            <w:pPr>
              <w:pStyle w:val="6"/>
              <w:spacing w:before="65" w:line="228" w:lineRule="auto"/>
              <w:ind w:left="1384"/>
            </w:pPr>
            <w:r>
              <w:rPr>
                <w:spacing w:val="7"/>
              </w:rPr>
              <w:t>评分标准</w:t>
            </w:r>
          </w:p>
        </w:tc>
        <w:tc>
          <w:tcPr>
            <w:tcW w:w="720" w:type="dxa"/>
            <w:vMerge w:val="restart"/>
            <w:tcBorders>
              <w:bottom w:val="nil"/>
            </w:tcBorders>
            <w:vAlign w:val="top"/>
          </w:tcPr>
          <w:p w14:paraId="023D0C1D">
            <w:pPr>
              <w:pStyle w:val="6"/>
              <w:spacing w:before="223" w:line="252" w:lineRule="auto"/>
              <w:ind w:left="264" w:right="149" w:hanging="107"/>
            </w:pPr>
            <w:r>
              <w:rPr>
                <w:spacing w:val="4"/>
              </w:rPr>
              <w:t>标准</w:t>
            </w:r>
            <w:r>
              <w:t>分</w:t>
            </w:r>
          </w:p>
        </w:tc>
        <w:tc>
          <w:tcPr>
            <w:tcW w:w="7182" w:type="dxa"/>
            <w:gridSpan w:val="9"/>
            <w:vAlign w:val="top"/>
          </w:tcPr>
          <w:p w14:paraId="00C70231">
            <w:pPr>
              <w:pStyle w:val="6"/>
              <w:spacing w:before="126" w:line="228" w:lineRule="auto"/>
              <w:ind w:left="2023"/>
            </w:pPr>
            <w:r>
              <w:rPr>
                <w:spacing w:val="9"/>
              </w:rPr>
              <w:t>投标人名称或暗标编号及评审得分</w:t>
            </w:r>
          </w:p>
        </w:tc>
      </w:tr>
      <w:tr w14:paraId="5E0EF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43" w:type="dxa"/>
            <w:vMerge w:val="continue"/>
            <w:tcBorders>
              <w:top w:val="nil"/>
            </w:tcBorders>
            <w:vAlign w:val="top"/>
          </w:tcPr>
          <w:p w14:paraId="090F8EAE">
            <w:pPr>
              <w:rPr>
                <w:rFonts w:ascii="Arial"/>
                <w:sz w:val="21"/>
              </w:rPr>
            </w:pPr>
          </w:p>
        </w:tc>
        <w:tc>
          <w:tcPr>
            <w:tcW w:w="1528" w:type="dxa"/>
            <w:vMerge w:val="continue"/>
            <w:tcBorders>
              <w:top w:val="nil"/>
            </w:tcBorders>
            <w:vAlign w:val="top"/>
          </w:tcPr>
          <w:p w14:paraId="6A0E8DDB">
            <w:pPr>
              <w:rPr>
                <w:rFonts w:ascii="Arial"/>
                <w:sz w:val="21"/>
              </w:rPr>
            </w:pPr>
          </w:p>
        </w:tc>
        <w:tc>
          <w:tcPr>
            <w:tcW w:w="3598" w:type="dxa"/>
            <w:vMerge w:val="continue"/>
            <w:tcBorders>
              <w:top w:val="nil"/>
            </w:tcBorders>
            <w:vAlign w:val="top"/>
          </w:tcPr>
          <w:p w14:paraId="485F0CEF">
            <w:pPr>
              <w:rPr>
                <w:rFonts w:ascii="Arial"/>
                <w:sz w:val="21"/>
              </w:rPr>
            </w:pPr>
          </w:p>
        </w:tc>
        <w:tc>
          <w:tcPr>
            <w:tcW w:w="720" w:type="dxa"/>
            <w:vMerge w:val="continue"/>
            <w:tcBorders>
              <w:top w:val="nil"/>
            </w:tcBorders>
            <w:vAlign w:val="top"/>
          </w:tcPr>
          <w:p w14:paraId="649E0247">
            <w:pPr>
              <w:rPr>
                <w:rFonts w:ascii="Arial"/>
                <w:sz w:val="21"/>
              </w:rPr>
            </w:pPr>
          </w:p>
        </w:tc>
        <w:tc>
          <w:tcPr>
            <w:tcW w:w="797" w:type="dxa"/>
            <w:vAlign w:val="top"/>
          </w:tcPr>
          <w:p w14:paraId="0E4FCDF6">
            <w:pPr>
              <w:rPr>
                <w:rFonts w:ascii="Arial"/>
                <w:sz w:val="21"/>
              </w:rPr>
            </w:pPr>
          </w:p>
        </w:tc>
        <w:tc>
          <w:tcPr>
            <w:tcW w:w="798" w:type="dxa"/>
            <w:vAlign w:val="top"/>
          </w:tcPr>
          <w:p w14:paraId="00B80F01">
            <w:pPr>
              <w:rPr>
                <w:rFonts w:ascii="Arial"/>
                <w:sz w:val="21"/>
              </w:rPr>
            </w:pPr>
          </w:p>
        </w:tc>
        <w:tc>
          <w:tcPr>
            <w:tcW w:w="798" w:type="dxa"/>
            <w:vAlign w:val="top"/>
          </w:tcPr>
          <w:p w14:paraId="35A2B9A4">
            <w:pPr>
              <w:rPr>
                <w:rFonts w:ascii="Arial"/>
                <w:sz w:val="21"/>
              </w:rPr>
            </w:pPr>
          </w:p>
        </w:tc>
        <w:tc>
          <w:tcPr>
            <w:tcW w:w="797" w:type="dxa"/>
            <w:vAlign w:val="top"/>
          </w:tcPr>
          <w:p w14:paraId="590FEF78">
            <w:pPr>
              <w:rPr>
                <w:rFonts w:ascii="Arial"/>
                <w:sz w:val="21"/>
              </w:rPr>
            </w:pPr>
          </w:p>
        </w:tc>
        <w:tc>
          <w:tcPr>
            <w:tcW w:w="798" w:type="dxa"/>
            <w:vAlign w:val="top"/>
          </w:tcPr>
          <w:p w14:paraId="1FC03EF7">
            <w:pPr>
              <w:rPr>
                <w:rFonts w:ascii="Arial"/>
                <w:sz w:val="21"/>
              </w:rPr>
            </w:pPr>
          </w:p>
        </w:tc>
        <w:tc>
          <w:tcPr>
            <w:tcW w:w="797" w:type="dxa"/>
            <w:vAlign w:val="top"/>
          </w:tcPr>
          <w:p w14:paraId="36014AC8">
            <w:pPr>
              <w:rPr>
                <w:rFonts w:ascii="Arial"/>
                <w:sz w:val="21"/>
              </w:rPr>
            </w:pPr>
          </w:p>
        </w:tc>
        <w:tc>
          <w:tcPr>
            <w:tcW w:w="797" w:type="dxa"/>
            <w:vAlign w:val="top"/>
          </w:tcPr>
          <w:p w14:paraId="22A3F781">
            <w:pPr>
              <w:rPr>
                <w:rFonts w:ascii="Arial"/>
                <w:sz w:val="21"/>
              </w:rPr>
            </w:pPr>
          </w:p>
        </w:tc>
        <w:tc>
          <w:tcPr>
            <w:tcW w:w="798" w:type="dxa"/>
            <w:vAlign w:val="top"/>
          </w:tcPr>
          <w:p w14:paraId="22F3E0B6">
            <w:pPr>
              <w:rPr>
                <w:rFonts w:ascii="Arial"/>
                <w:sz w:val="21"/>
              </w:rPr>
            </w:pPr>
          </w:p>
        </w:tc>
        <w:tc>
          <w:tcPr>
            <w:tcW w:w="802" w:type="dxa"/>
            <w:vAlign w:val="top"/>
          </w:tcPr>
          <w:p w14:paraId="2CDF8C19">
            <w:pPr>
              <w:rPr>
                <w:rFonts w:ascii="Arial"/>
                <w:sz w:val="21"/>
              </w:rPr>
            </w:pPr>
          </w:p>
        </w:tc>
      </w:tr>
      <w:tr w14:paraId="323531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743" w:type="dxa"/>
            <w:vMerge w:val="restart"/>
            <w:tcBorders>
              <w:bottom w:val="nil"/>
            </w:tcBorders>
            <w:vAlign w:val="top"/>
          </w:tcPr>
          <w:p w14:paraId="39D106B6">
            <w:pPr>
              <w:spacing w:line="334" w:lineRule="auto"/>
              <w:rPr>
                <w:rFonts w:ascii="Arial"/>
                <w:sz w:val="21"/>
              </w:rPr>
            </w:pPr>
          </w:p>
          <w:p w14:paraId="1B266540">
            <w:pPr>
              <w:spacing w:before="65" w:line="274" w:lineRule="exact"/>
              <w:ind w:left="336"/>
              <w:rPr>
                <w:rFonts w:ascii="黑体" w:hAnsi="黑体" w:eastAsia="黑体" w:cs="黑体"/>
                <w:sz w:val="20"/>
                <w:szCs w:val="20"/>
              </w:rPr>
            </w:pPr>
            <w:r>
              <w:rPr>
                <w:rFonts w:ascii="黑体" w:hAnsi="黑体" w:eastAsia="黑体" w:cs="黑体"/>
                <w:position w:val="1"/>
                <w:sz w:val="20"/>
                <w:szCs w:val="20"/>
              </w:rPr>
              <w:t>1</w:t>
            </w:r>
          </w:p>
        </w:tc>
        <w:tc>
          <w:tcPr>
            <w:tcW w:w="1528" w:type="dxa"/>
            <w:vMerge w:val="restart"/>
            <w:tcBorders>
              <w:bottom w:val="nil"/>
            </w:tcBorders>
            <w:vAlign w:val="top"/>
          </w:tcPr>
          <w:p w14:paraId="55471810">
            <w:pPr>
              <w:spacing w:line="333" w:lineRule="auto"/>
              <w:rPr>
                <w:rFonts w:ascii="Arial"/>
                <w:sz w:val="21"/>
              </w:rPr>
            </w:pPr>
          </w:p>
          <w:p w14:paraId="5A0DDB1B">
            <w:pPr>
              <w:pStyle w:val="6"/>
              <w:spacing w:before="65" w:line="228" w:lineRule="auto"/>
              <w:ind w:left="350"/>
            </w:pPr>
            <w:r>
              <w:rPr>
                <w:spacing w:val="6"/>
              </w:rPr>
              <w:t>工程概况</w:t>
            </w:r>
          </w:p>
        </w:tc>
        <w:tc>
          <w:tcPr>
            <w:tcW w:w="3598" w:type="dxa"/>
            <w:vAlign w:val="top"/>
          </w:tcPr>
          <w:p w14:paraId="299220E2">
            <w:pPr>
              <w:rPr>
                <w:rFonts w:ascii="Arial"/>
                <w:sz w:val="21"/>
              </w:rPr>
            </w:pPr>
          </w:p>
        </w:tc>
        <w:tc>
          <w:tcPr>
            <w:tcW w:w="720" w:type="dxa"/>
            <w:vMerge w:val="restart"/>
            <w:tcBorders>
              <w:bottom w:val="nil"/>
            </w:tcBorders>
            <w:vAlign w:val="top"/>
          </w:tcPr>
          <w:p w14:paraId="705594D8">
            <w:pPr>
              <w:spacing w:line="334" w:lineRule="auto"/>
              <w:rPr>
                <w:rFonts w:ascii="Arial"/>
                <w:sz w:val="21"/>
              </w:rPr>
            </w:pPr>
          </w:p>
          <w:p w14:paraId="04C3737E">
            <w:pPr>
              <w:pStyle w:val="6"/>
              <w:spacing w:before="65" w:line="228" w:lineRule="auto"/>
              <w:ind w:left="264"/>
            </w:pPr>
            <w:r>
              <w:t>分</w:t>
            </w:r>
          </w:p>
        </w:tc>
        <w:tc>
          <w:tcPr>
            <w:tcW w:w="797" w:type="dxa"/>
            <w:vMerge w:val="restart"/>
            <w:tcBorders>
              <w:bottom w:val="nil"/>
            </w:tcBorders>
            <w:vAlign w:val="top"/>
          </w:tcPr>
          <w:p w14:paraId="1751BA5A">
            <w:pPr>
              <w:rPr>
                <w:rFonts w:ascii="Arial"/>
                <w:sz w:val="21"/>
              </w:rPr>
            </w:pPr>
          </w:p>
        </w:tc>
        <w:tc>
          <w:tcPr>
            <w:tcW w:w="798" w:type="dxa"/>
            <w:vMerge w:val="restart"/>
            <w:tcBorders>
              <w:bottom w:val="nil"/>
            </w:tcBorders>
            <w:vAlign w:val="top"/>
          </w:tcPr>
          <w:p w14:paraId="7C9CE425">
            <w:pPr>
              <w:rPr>
                <w:rFonts w:ascii="Arial"/>
                <w:sz w:val="21"/>
              </w:rPr>
            </w:pPr>
          </w:p>
        </w:tc>
        <w:tc>
          <w:tcPr>
            <w:tcW w:w="798" w:type="dxa"/>
            <w:vMerge w:val="restart"/>
            <w:tcBorders>
              <w:bottom w:val="nil"/>
            </w:tcBorders>
            <w:vAlign w:val="top"/>
          </w:tcPr>
          <w:p w14:paraId="0E70EAD8">
            <w:pPr>
              <w:rPr>
                <w:rFonts w:ascii="Arial"/>
                <w:sz w:val="21"/>
              </w:rPr>
            </w:pPr>
          </w:p>
        </w:tc>
        <w:tc>
          <w:tcPr>
            <w:tcW w:w="797" w:type="dxa"/>
            <w:vMerge w:val="restart"/>
            <w:tcBorders>
              <w:bottom w:val="nil"/>
            </w:tcBorders>
            <w:vAlign w:val="top"/>
          </w:tcPr>
          <w:p w14:paraId="5046A568">
            <w:pPr>
              <w:rPr>
                <w:rFonts w:ascii="Arial"/>
                <w:sz w:val="21"/>
              </w:rPr>
            </w:pPr>
          </w:p>
        </w:tc>
        <w:tc>
          <w:tcPr>
            <w:tcW w:w="798" w:type="dxa"/>
            <w:vMerge w:val="restart"/>
            <w:tcBorders>
              <w:bottom w:val="nil"/>
            </w:tcBorders>
            <w:vAlign w:val="top"/>
          </w:tcPr>
          <w:p w14:paraId="6557B53B">
            <w:pPr>
              <w:rPr>
                <w:rFonts w:ascii="Arial"/>
                <w:sz w:val="21"/>
              </w:rPr>
            </w:pPr>
          </w:p>
        </w:tc>
        <w:tc>
          <w:tcPr>
            <w:tcW w:w="797" w:type="dxa"/>
            <w:vMerge w:val="restart"/>
            <w:tcBorders>
              <w:bottom w:val="nil"/>
            </w:tcBorders>
            <w:vAlign w:val="top"/>
          </w:tcPr>
          <w:p w14:paraId="3A0F243D">
            <w:pPr>
              <w:rPr>
                <w:rFonts w:ascii="Arial"/>
                <w:sz w:val="21"/>
              </w:rPr>
            </w:pPr>
          </w:p>
        </w:tc>
        <w:tc>
          <w:tcPr>
            <w:tcW w:w="797" w:type="dxa"/>
            <w:vMerge w:val="restart"/>
            <w:tcBorders>
              <w:bottom w:val="nil"/>
            </w:tcBorders>
            <w:vAlign w:val="top"/>
          </w:tcPr>
          <w:p w14:paraId="7C8A9643">
            <w:pPr>
              <w:rPr>
                <w:rFonts w:ascii="Arial"/>
                <w:sz w:val="21"/>
              </w:rPr>
            </w:pPr>
          </w:p>
        </w:tc>
        <w:tc>
          <w:tcPr>
            <w:tcW w:w="798" w:type="dxa"/>
            <w:vMerge w:val="restart"/>
            <w:tcBorders>
              <w:bottom w:val="nil"/>
            </w:tcBorders>
            <w:vAlign w:val="top"/>
          </w:tcPr>
          <w:p w14:paraId="2A04396B">
            <w:pPr>
              <w:rPr>
                <w:rFonts w:ascii="Arial"/>
                <w:sz w:val="21"/>
              </w:rPr>
            </w:pPr>
          </w:p>
        </w:tc>
        <w:tc>
          <w:tcPr>
            <w:tcW w:w="802" w:type="dxa"/>
            <w:vMerge w:val="restart"/>
            <w:tcBorders>
              <w:bottom w:val="nil"/>
            </w:tcBorders>
            <w:vAlign w:val="top"/>
          </w:tcPr>
          <w:p w14:paraId="597F1AE5">
            <w:pPr>
              <w:rPr>
                <w:rFonts w:ascii="Arial"/>
                <w:sz w:val="21"/>
              </w:rPr>
            </w:pPr>
          </w:p>
        </w:tc>
      </w:tr>
      <w:tr w14:paraId="12F91C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743" w:type="dxa"/>
            <w:vMerge w:val="continue"/>
            <w:tcBorders>
              <w:top w:val="nil"/>
              <w:bottom w:val="nil"/>
            </w:tcBorders>
            <w:vAlign w:val="top"/>
          </w:tcPr>
          <w:p w14:paraId="5F92CD18">
            <w:pPr>
              <w:rPr>
                <w:rFonts w:ascii="Arial"/>
                <w:sz w:val="21"/>
              </w:rPr>
            </w:pPr>
          </w:p>
        </w:tc>
        <w:tc>
          <w:tcPr>
            <w:tcW w:w="1528" w:type="dxa"/>
            <w:vMerge w:val="continue"/>
            <w:tcBorders>
              <w:top w:val="nil"/>
              <w:bottom w:val="nil"/>
            </w:tcBorders>
            <w:vAlign w:val="top"/>
          </w:tcPr>
          <w:p w14:paraId="04BE0CC2">
            <w:pPr>
              <w:rPr>
                <w:rFonts w:ascii="Arial"/>
                <w:sz w:val="21"/>
              </w:rPr>
            </w:pPr>
          </w:p>
        </w:tc>
        <w:tc>
          <w:tcPr>
            <w:tcW w:w="3598" w:type="dxa"/>
            <w:vAlign w:val="top"/>
          </w:tcPr>
          <w:p w14:paraId="412FC121">
            <w:pPr>
              <w:rPr>
                <w:rFonts w:ascii="Arial"/>
                <w:sz w:val="21"/>
              </w:rPr>
            </w:pPr>
          </w:p>
        </w:tc>
        <w:tc>
          <w:tcPr>
            <w:tcW w:w="720" w:type="dxa"/>
            <w:vMerge w:val="continue"/>
            <w:tcBorders>
              <w:top w:val="nil"/>
              <w:bottom w:val="nil"/>
            </w:tcBorders>
            <w:vAlign w:val="top"/>
          </w:tcPr>
          <w:p w14:paraId="6B1BE005">
            <w:pPr>
              <w:rPr>
                <w:rFonts w:ascii="Arial"/>
                <w:sz w:val="21"/>
              </w:rPr>
            </w:pPr>
          </w:p>
        </w:tc>
        <w:tc>
          <w:tcPr>
            <w:tcW w:w="797" w:type="dxa"/>
            <w:vMerge w:val="continue"/>
            <w:tcBorders>
              <w:top w:val="nil"/>
              <w:bottom w:val="nil"/>
            </w:tcBorders>
            <w:vAlign w:val="top"/>
          </w:tcPr>
          <w:p w14:paraId="78E51179">
            <w:pPr>
              <w:rPr>
                <w:rFonts w:ascii="Arial"/>
                <w:sz w:val="21"/>
              </w:rPr>
            </w:pPr>
          </w:p>
        </w:tc>
        <w:tc>
          <w:tcPr>
            <w:tcW w:w="798" w:type="dxa"/>
            <w:vMerge w:val="continue"/>
            <w:tcBorders>
              <w:top w:val="nil"/>
              <w:bottom w:val="nil"/>
            </w:tcBorders>
            <w:vAlign w:val="top"/>
          </w:tcPr>
          <w:p w14:paraId="74D774BA">
            <w:pPr>
              <w:rPr>
                <w:rFonts w:ascii="Arial"/>
                <w:sz w:val="21"/>
              </w:rPr>
            </w:pPr>
          </w:p>
        </w:tc>
        <w:tc>
          <w:tcPr>
            <w:tcW w:w="798" w:type="dxa"/>
            <w:vMerge w:val="continue"/>
            <w:tcBorders>
              <w:top w:val="nil"/>
              <w:bottom w:val="nil"/>
            </w:tcBorders>
            <w:vAlign w:val="top"/>
          </w:tcPr>
          <w:p w14:paraId="0211348F">
            <w:pPr>
              <w:rPr>
                <w:rFonts w:ascii="Arial"/>
                <w:sz w:val="21"/>
              </w:rPr>
            </w:pPr>
          </w:p>
        </w:tc>
        <w:tc>
          <w:tcPr>
            <w:tcW w:w="797" w:type="dxa"/>
            <w:vMerge w:val="continue"/>
            <w:tcBorders>
              <w:top w:val="nil"/>
              <w:bottom w:val="nil"/>
            </w:tcBorders>
            <w:vAlign w:val="top"/>
          </w:tcPr>
          <w:p w14:paraId="7D076112">
            <w:pPr>
              <w:rPr>
                <w:rFonts w:ascii="Arial"/>
                <w:sz w:val="21"/>
              </w:rPr>
            </w:pPr>
          </w:p>
        </w:tc>
        <w:tc>
          <w:tcPr>
            <w:tcW w:w="798" w:type="dxa"/>
            <w:vMerge w:val="continue"/>
            <w:tcBorders>
              <w:top w:val="nil"/>
              <w:bottom w:val="nil"/>
            </w:tcBorders>
            <w:vAlign w:val="top"/>
          </w:tcPr>
          <w:p w14:paraId="1F155EBC">
            <w:pPr>
              <w:rPr>
                <w:rFonts w:ascii="Arial"/>
                <w:sz w:val="21"/>
              </w:rPr>
            </w:pPr>
          </w:p>
        </w:tc>
        <w:tc>
          <w:tcPr>
            <w:tcW w:w="797" w:type="dxa"/>
            <w:vMerge w:val="continue"/>
            <w:tcBorders>
              <w:top w:val="nil"/>
              <w:bottom w:val="nil"/>
            </w:tcBorders>
            <w:vAlign w:val="top"/>
          </w:tcPr>
          <w:p w14:paraId="2B40B7C3">
            <w:pPr>
              <w:rPr>
                <w:rFonts w:ascii="Arial"/>
                <w:sz w:val="21"/>
              </w:rPr>
            </w:pPr>
          </w:p>
        </w:tc>
        <w:tc>
          <w:tcPr>
            <w:tcW w:w="797" w:type="dxa"/>
            <w:vMerge w:val="continue"/>
            <w:tcBorders>
              <w:top w:val="nil"/>
              <w:bottom w:val="nil"/>
            </w:tcBorders>
            <w:vAlign w:val="top"/>
          </w:tcPr>
          <w:p w14:paraId="6A58D41E">
            <w:pPr>
              <w:rPr>
                <w:rFonts w:ascii="Arial"/>
                <w:sz w:val="21"/>
              </w:rPr>
            </w:pPr>
          </w:p>
        </w:tc>
        <w:tc>
          <w:tcPr>
            <w:tcW w:w="798" w:type="dxa"/>
            <w:vMerge w:val="continue"/>
            <w:tcBorders>
              <w:top w:val="nil"/>
              <w:bottom w:val="nil"/>
            </w:tcBorders>
            <w:vAlign w:val="top"/>
          </w:tcPr>
          <w:p w14:paraId="4773AD3D">
            <w:pPr>
              <w:rPr>
                <w:rFonts w:ascii="Arial"/>
                <w:sz w:val="21"/>
              </w:rPr>
            </w:pPr>
          </w:p>
        </w:tc>
        <w:tc>
          <w:tcPr>
            <w:tcW w:w="802" w:type="dxa"/>
            <w:vMerge w:val="continue"/>
            <w:tcBorders>
              <w:top w:val="nil"/>
              <w:bottom w:val="nil"/>
            </w:tcBorders>
            <w:vAlign w:val="top"/>
          </w:tcPr>
          <w:p w14:paraId="1590CBBE">
            <w:pPr>
              <w:rPr>
                <w:rFonts w:ascii="Arial"/>
                <w:sz w:val="21"/>
              </w:rPr>
            </w:pPr>
          </w:p>
        </w:tc>
      </w:tr>
      <w:tr w14:paraId="72F2D0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743" w:type="dxa"/>
            <w:vMerge w:val="continue"/>
            <w:tcBorders>
              <w:top w:val="nil"/>
            </w:tcBorders>
            <w:vAlign w:val="top"/>
          </w:tcPr>
          <w:p w14:paraId="0376E2A5">
            <w:pPr>
              <w:rPr>
                <w:rFonts w:ascii="Arial"/>
                <w:sz w:val="21"/>
              </w:rPr>
            </w:pPr>
          </w:p>
        </w:tc>
        <w:tc>
          <w:tcPr>
            <w:tcW w:w="1528" w:type="dxa"/>
            <w:vMerge w:val="continue"/>
            <w:tcBorders>
              <w:top w:val="nil"/>
            </w:tcBorders>
            <w:vAlign w:val="top"/>
          </w:tcPr>
          <w:p w14:paraId="7F53BB96">
            <w:pPr>
              <w:rPr>
                <w:rFonts w:ascii="Arial"/>
                <w:sz w:val="21"/>
              </w:rPr>
            </w:pPr>
          </w:p>
        </w:tc>
        <w:tc>
          <w:tcPr>
            <w:tcW w:w="3598" w:type="dxa"/>
            <w:vAlign w:val="top"/>
          </w:tcPr>
          <w:p w14:paraId="5195C04B">
            <w:pPr>
              <w:rPr>
                <w:rFonts w:ascii="Arial"/>
                <w:sz w:val="21"/>
              </w:rPr>
            </w:pPr>
          </w:p>
        </w:tc>
        <w:tc>
          <w:tcPr>
            <w:tcW w:w="720" w:type="dxa"/>
            <w:vMerge w:val="continue"/>
            <w:tcBorders>
              <w:top w:val="nil"/>
            </w:tcBorders>
            <w:vAlign w:val="top"/>
          </w:tcPr>
          <w:p w14:paraId="01FEF5D0">
            <w:pPr>
              <w:rPr>
                <w:rFonts w:ascii="Arial"/>
                <w:sz w:val="21"/>
              </w:rPr>
            </w:pPr>
          </w:p>
        </w:tc>
        <w:tc>
          <w:tcPr>
            <w:tcW w:w="797" w:type="dxa"/>
            <w:vMerge w:val="continue"/>
            <w:tcBorders>
              <w:top w:val="nil"/>
            </w:tcBorders>
            <w:vAlign w:val="top"/>
          </w:tcPr>
          <w:p w14:paraId="2A3E57F7">
            <w:pPr>
              <w:rPr>
                <w:rFonts w:ascii="Arial"/>
                <w:sz w:val="21"/>
              </w:rPr>
            </w:pPr>
          </w:p>
        </w:tc>
        <w:tc>
          <w:tcPr>
            <w:tcW w:w="798" w:type="dxa"/>
            <w:vMerge w:val="continue"/>
            <w:tcBorders>
              <w:top w:val="nil"/>
            </w:tcBorders>
            <w:vAlign w:val="top"/>
          </w:tcPr>
          <w:p w14:paraId="0D896797">
            <w:pPr>
              <w:rPr>
                <w:rFonts w:ascii="Arial"/>
                <w:sz w:val="21"/>
              </w:rPr>
            </w:pPr>
          </w:p>
        </w:tc>
        <w:tc>
          <w:tcPr>
            <w:tcW w:w="798" w:type="dxa"/>
            <w:vMerge w:val="continue"/>
            <w:tcBorders>
              <w:top w:val="nil"/>
            </w:tcBorders>
            <w:vAlign w:val="top"/>
          </w:tcPr>
          <w:p w14:paraId="765111B7">
            <w:pPr>
              <w:rPr>
                <w:rFonts w:ascii="Arial"/>
                <w:sz w:val="21"/>
              </w:rPr>
            </w:pPr>
          </w:p>
        </w:tc>
        <w:tc>
          <w:tcPr>
            <w:tcW w:w="797" w:type="dxa"/>
            <w:vMerge w:val="continue"/>
            <w:tcBorders>
              <w:top w:val="nil"/>
            </w:tcBorders>
            <w:vAlign w:val="top"/>
          </w:tcPr>
          <w:p w14:paraId="4EAD275D">
            <w:pPr>
              <w:rPr>
                <w:rFonts w:ascii="Arial"/>
                <w:sz w:val="21"/>
              </w:rPr>
            </w:pPr>
          </w:p>
        </w:tc>
        <w:tc>
          <w:tcPr>
            <w:tcW w:w="798" w:type="dxa"/>
            <w:vMerge w:val="continue"/>
            <w:tcBorders>
              <w:top w:val="nil"/>
            </w:tcBorders>
            <w:vAlign w:val="top"/>
          </w:tcPr>
          <w:p w14:paraId="59A56F26">
            <w:pPr>
              <w:rPr>
                <w:rFonts w:ascii="Arial"/>
                <w:sz w:val="21"/>
              </w:rPr>
            </w:pPr>
          </w:p>
        </w:tc>
        <w:tc>
          <w:tcPr>
            <w:tcW w:w="797" w:type="dxa"/>
            <w:vMerge w:val="continue"/>
            <w:tcBorders>
              <w:top w:val="nil"/>
            </w:tcBorders>
            <w:vAlign w:val="top"/>
          </w:tcPr>
          <w:p w14:paraId="1BB25D45">
            <w:pPr>
              <w:rPr>
                <w:rFonts w:ascii="Arial"/>
                <w:sz w:val="21"/>
              </w:rPr>
            </w:pPr>
          </w:p>
        </w:tc>
        <w:tc>
          <w:tcPr>
            <w:tcW w:w="797" w:type="dxa"/>
            <w:vMerge w:val="continue"/>
            <w:tcBorders>
              <w:top w:val="nil"/>
            </w:tcBorders>
            <w:vAlign w:val="top"/>
          </w:tcPr>
          <w:p w14:paraId="44CFFC84">
            <w:pPr>
              <w:rPr>
                <w:rFonts w:ascii="Arial"/>
                <w:sz w:val="21"/>
              </w:rPr>
            </w:pPr>
          </w:p>
        </w:tc>
        <w:tc>
          <w:tcPr>
            <w:tcW w:w="798" w:type="dxa"/>
            <w:vMerge w:val="continue"/>
            <w:tcBorders>
              <w:top w:val="nil"/>
            </w:tcBorders>
            <w:vAlign w:val="top"/>
          </w:tcPr>
          <w:p w14:paraId="4C518247">
            <w:pPr>
              <w:rPr>
                <w:rFonts w:ascii="Arial"/>
                <w:sz w:val="21"/>
              </w:rPr>
            </w:pPr>
          </w:p>
        </w:tc>
        <w:tc>
          <w:tcPr>
            <w:tcW w:w="802" w:type="dxa"/>
            <w:vMerge w:val="continue"/>
            <w:tcBorders>
              <w:top w:val="nil"/>
            </w:tcBorders>
            <w:vAlign w:val="top"/>
          </w:tcPr>
          <w:p w14:paraId="45CBFF7C">
            <w:pPr>
              <w:rPr>
                <w:rFonts w:ascii="Arial"/>
                <w:sz w:val="21"/>
              </w:rPr>
            </w:pPr>
          </w:p>
        </w:tc>
      </w:tr>
      <w:tr w14:paraId="71978D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restart"/>
            <w:tcBorders>
              <w:bottom w:val="nil"/>
            </w:tcBorders>
            <w:vAlign w:val="top"/>
          </w:tcPr>
          <w:p w14:paraId="5EF024F8">
            <w:pPr>
              <w:spacing w:line="253" w:lineRule="auto"/>
              <w:rPr>
                <w:rFonts w:ascii="Arial"/>
                <w:sz w:val="21"/>
              </w:rPr>
            </w:pPr>
          </w:p>
          <w:p w14:paraId="5776914B">
            <w:pPr>
              <w:spacing w:line="253" w:lineRule="auto"/>
              <w:rPr>
                <w:rFonts w:ascii="Arial"/>
                <w:sz w:val="21"/>
              </w:rPr>
            </w:pPr>
          </w:p>
          <w:p w14:paraId="6B08E11C">
            <w:pPr>
              <w:spacing w:before="65" w:line="275" w:lineRule="exact"/>
              <w:ind w:left="323"/>
              <w:rPr>
                <w:rFonts w:ascii="黑体" w:hAnsi="黑体" w:eastAsia="黑体" w:cs="黑体"/>
                <w:sz w:val="20"/>
                <w:szCs w:val="20"/>
              </w:rPr>
            </w:pPr>
            <w:r>
              <w:rPr>
                <w:rFonts w:ascii="黑体" w:hAnsi="黑体" w:eastAsia="黑体" w:cs="黑体"/>
                <w:position w:val="1"/>
                <w:sz w:val="20"/>
                <w:szCs w:val="20"/>
              </w:rPr>
              <w:t>2</w:t>
            </w:r>
          </w:p>
        </w:tc>
        <w:tc>
          <w:tcPr>
            <w:tcW w:w="1528" w:type="dxa"/>
            <w:vMerge w:val="restart"/>
            <w:tcBorders>
              <w:bottom w:val="nil"/>
            </w:tcBorders>
            <w:vAlign w:val="top"/>
          </w:tcPr>
          <w:p w14:paraId="1922E543">
            <w:pPr>
              <w:spacing w:line="252" w:lineRule="auto"/>
              <w:rPr>
                <w:rFonts w:ascii="Arial"/>
                <w:sz w:val="21"/>
              </w:rPr>
            </w:pPr>
          </w:p>
          <w:p w14:paraId="08AEBC4B">
            <w:pPr>
              <w:spacing w:line="253" w:lineRule="auto"/>
              <w:rPr>
                <w:rFonts w:ascii="Arial"/>
                <w:sz w:val="21"/>
              </w:rPr>
            </w:pPr>
          </w:p>
          <w:p w14:paraId="3DA7C412">
            <w:pPr>
              <w:pStyle w:val="6"/>
              <w:spacing w:before="65" w:line="228" w:lineRule="auto"/>
              <w:ind w:left="347"/>
            </w:pPr>
            <w:r>
              <w:rPr>
                <w:spacing w:val="7"/>
              </w:rPr>
              <w:t>施工部署</w:t>
            </w:r>
          </w:p>
        </w:tc>
        <w:tc>
          <w:tcPr>
            <w:tcW w:w="3598" w:type="dxa"/>
            <w:vAlign w:val="top"/>
          </w:tcPr>
          <w:p w14:paraId="0FBA9F21">
            <w:pPr>
              <w:rPr>
                <w:rFonts w:ascii="Arial"/>
                <w:sz w:val="21"/>
              </w:rPr>
            </w:pPr>
          </w:p>
        </w:tc>
        <w:tc>
          <w:tcPr>
            <w:tcW w:w="720" w:type="dxa"/>
            <w:vMerge w:val="restart"/>
            <w:tcBorders>
              <w:bottom w:val="nil"/>
            </w:tcBorders>
            <w:vAlign w:val="top"/>
          </w:tcPr>
          <w:p w14:paraId="4071F331">
            <w:pPr>
              <w:spacing w:line="253" w:lineRule="auto"/>
              <w:rPr>
                <w:rFonts w:ascii="Arial"/>
                <w:sz w:val="21"/>
              </w:rPr>
            </w:pPr>
          </w:p>
          <w:p w14:paraId="2AC43AF6">
            <w:pPr>
              <w:spacing w:line="253" w:lineRule="auto"/>
              <w:rPr>
                <w:rFonts w:ascii="Arial"/>
                <w:sz w:val="21"/>
              </w:rPr>
            </w:pPr>
          </w:p>
          <w:p w14:paraId="4BCF76C4">
            <w:pPr>
              <w:pStyle w:val="6"/>
              <w:spacing w:before="65" w:line="228" w:lineRule="auto"/>
              <w:ind w:left="264"/>
            </w:pPr>
            <w:r>
              <w:t>分</w:t>
            </w:r>
          </w:p>
        </w:tc>
        <w:tc>
          <w:tcPr>
            <w:tcW w:w="797" w:type="dxa"/>
            <w:vMerge w:val="restart"/>
            <w:tcBorders>
              <w:bottom w:val="nil"/>
            </w:tcBorders>
            <w:vAlign w:val="top"/>
          </w:tcPr>
          <w:p w14:paraId="42BD76FB">
            <w:pPr>
              <w:rPr>
                <w:rFonts w:ascii="Arial"/>
                <w:sz w:val="21"/>
              </w:rPr>
            </w:pPr>
          </w:p>
        </w:tc>
        <w:tc>
          <w:tcPr>
            <w:tcW w:w="798" w:type="dxa"/>
            <w:vMerge w:val="restart"/>
            <w:tcBorders>
              <w:bottom w:val="nil"/>
            </w:tcBorders>
            <w:vAlign w:val="top"/>
          </w:tcPr>
          <w:p w14:paraId="2DE82DF9">
            <w:pPr>
              <w:rPr>
                <w:rFonts w:ascii="Arial"/>
                <w:sz w:val="21"/>
              </w:rPr>
            </w:pPr>
          </w:p>
        </w:tc>
        <w:tc>
          <w:tcPr>
            <w:tcW w:w="798" w:type="dxa"/>
            <w:vMerge w:val="restart"/>
            <w:tcBorders>
              <w:bottom w:val="nil"/>
            </w:tcBorders>
            <w:vAlign w:val="top"/>
          </w:tcPr>
          <w:p w14:paraId="0E1B8C68">
            <w:pPr>
              <w:rPr>
                <w:rFonts w:ascii="Arial"/>
                <w:sz w:val="21"/>
              </w:rPr>
            </w:pPr>
          </w:p>
        </w:tc>
        <w:tc>
          <w:tcPr>
            <w:tcW w:w="797" w:type="dxa"/>
            <w:vMerge w:val="restart"/>
            <w:tcBorders>
              <w:bottom w:val="nil"/>
            </w:tcBorders>
            <w:vAlign w:val="top"/>
          </w:tcPr>
          <w:p w14:paraId="16A3BF8E">
            <w:pPr>
              <w:rPr>
                <w:rFonts w:ascii="Arial"/>
                <w:sz w:val="21"/>
              </w:rPr>
            </w:pPr>
          </w:p>
        </w:tc>
        <w:tc>
          <w:tcPr>
            <w:tcW w:w="798" w:type="dxa"/>
            <w:vMerge w:val="restart"/>
            <w:tcBorders>
              <w:bottom w:val="nil"/>
            </w:tcBorders>
            <w:vAlign w:val="top"/>
          </w:tcPr>
          <w:p w14:paraId="1286B932">
            <w:pPr>
              <w:rPr>
                <w:rFonts w:ascii="Arial"/>
                <w:sz w:val="21"/>
              </w:rPr>
            </w:pPr>
          </w:p>
        </w:tc>
        <w:tc>
          <w:tcPr>
            <w:tcW w:w="797" w:type="dxa"/>
            <w:vMerge w:val="restart"/>
            <w:tcBorders>
              <w:bottom w:val="nil"/>
            </w:tcBorders>
            <w:vAlign w:val="top"/>
          </w:tcPr>
          <w:p w14:paraId="79FF8E25">
            <w:pPr>
              <w:rPr>
                <w:rFonts w:ascii="Arial"/>
                <w:sz w:val="21"/>
              </w:rPr>
            </w:pPr>
          </w:p>
        </w:tc>
        <w:tc>
          <w:tcPr>
            <w:tcW w:w="797" w:type="dxa"/>
            <w:vMerge w:val="restart"/>
            <w:tcBorders>
              <w:bottom w:val="nil"/>
            </w:tcBorders>
            <w:vAlign w:val="top"/>
          </w:tcPr>
          <w:p w14:paraId="60185C7A">
            <w:pPr>
              <w:rPr>
                <w:rFonts w:ascii="Arial"/>
                <w:sz w:val="21"/>
              </w:rPr>
            </w:pPr>
          </w:p>
        </w:tc>
        <w:tc>
          <w:tcPr>
            <w:tcW w:w="798" w:type="dxa"/>
            <w:vMerge w:val="restart"/>
            <w:tcBorders>
              <w:bottom w:val="nil"/>
            </w:tcBorders>
            <w:vAlign w:val="top"/>
          </w:tcPr>
          <w:p w14:paraId="305CBBDD">
            <w:pPr>
              <w:rPr>
                <w:rFonts w:ascii="Arial"/>
                <w:sz w:val="21"/>
              </w:rPr>
            </w:pPr>
          </w:p>
        </w:tc>
        <w:tc>
          <w:tcPr>
            <w:tcW w:w="802" w:type="dxa"/>
            <w:vMerge w:val="restart"/>
            <w:tcBorders>
              <w:bottom w:val="nil"/>
            </w:tcBorders>
            <w:vAlign w:val="top"/>
          </w:tcPr>
          <w:p w14:paraId="1BBFCA41">
            <w:pPr>
              <w:rPr>
                <w:rFonts w:ascii="Arial"/>
                <w:sz w:val="21"/>
              </w:rPr>
            </w:pPr>
          </w:p>
        </w:tc>
      </w:tr>
      <w:tr w14:paraId="2B42D7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5CAB60BE">
            <w:pPr>
              <w:rPr>
                <w:rFonts w:ascii="Arial"/>
                <w:sz w:val="21"/>
              </w:rPr>
            </w:pPr>
          </w:p>
        </w:tc>
        <w:tc>
          <w:tcPr>
            <w:tcW w:w="1528" w:type="dxa"/>
            <w:vMerge w:val="continue"/>
            <w:tcBorders>
              <w:top w:val="nil"/>
              <w:bottom w:val="nil"/>
            </w:tcBorders>
            <w:vAlign w:val="top"/>
          </w:tcPr>
          <w:p w14:paraId="299BF400">
            <w:pPr>
              <w:rPr>
                <w:rFonts w:ascii="Arial"/>
                <w:sz w:val="21"/>
              </w:rPr>
            </w:pPr>
          </w:p>
        </w:tc>
        <w:tc>
          <w:tcPr>
            <w:tcW w:w="3598" w:type="dxa"/>
            <w:vAlign w:val="top"/>
          </w:tcPr>
          <w:p w14:paraId="170DB394">
            <w:pPr>
              <w:rPr>
                <w:rFonts w:ascii="Arial"/>
                <w:sz w:val="21"/>
              </w:rPr>
            </w:pPr>
          </w:p>
        </w:tc>
        <w:tc>
          <w:tcPr>
            <w:tcW w:w="720" w:type="dxa"/>
            <w:vMerge w:val="continue"/>
            <w:tcBorders>
              <w:top w:val="nil"/>
              <w:bottom w:val="nil"/>
            </w:tcBorders>
            <w:vAlign w:val="top"/>
          </w:tcPr>
          <w:p w14:paraId="4248DEC7">
            <w:pPr>
              <w:rPr>
                <w:rFonts w:ascii="Arial"/>
                <w:sz w:val="21"/>
              </w:rPr>
            </w:pPr>
          </w:p>
        </w:tc>
        <w:tc>
          <w:tcPr>
            <w:tcW w:w="797" w:type="dxa"/>
            <w:vMerge w:val="continue"/>
            <w:tcBorders>
              <w:top w:val="nil"/>
              <w:bottom w:val="nil"/>
            </w:tcBorders>
            <w:vAlign w:val="top"/>
          </w:tcPr>
          <w:p w14:paraId="65A3A23B">
            <w:pPr>
              <w:rPr>
                <w:rFonts w:ascii="Arial"/>
                <w:sz w:val="21"/>
              </w:rPr>
            </w:pPr>
          </w:p>
        </w:tc>
        <w:tc>
          <w:tcPr>
            <w:tcW w:w="798" w:type="dxa"/>
            <w:vMerge w:val="continue"/>
            <w:tcBorders>
              <w:top w:val="nil"/>
              <w:bottom w:val="nil"/>
            </w:tcBorders>
            <w:vAlign w:val="top"/>
          </w:tcPr>
          <w:p w14:paraId="598ED64D">
            <w:pPr>
              <w:rPr>
                <w:rFonts w:ascii="Arial"/>
                <w:sz w:val="21"/>
              </w:rPr>
            </w:pPr>
          </w:p>
        </w:tc>
        <w:tc>
          <w:tcPr>
            <w:tcW w:w="798" w:type="dxa"/>
            <w:vMerge w:val="continue"/>
            <w:tcBorders>
              <w:top w:val="nil"/>
              <w:bottom w:val="nil"/>
            </w:tcBorders>
            <w:vAlign w:val="top"/>
          </w:tcPr>
          <w:p w14:paraId="1E39CB69">
            <w:pPr>
              <w:rPr>
                <w:rFonts w:ascii="Arial"/>
                <w:sz w:val="21"/>
              </w:rPr>
            </w:pPr>
          </w:p>
        </w:tc>
        <w:tc>
          <w:tcPr>
            <w:tcW w:w="797" w:type="dxa"/>
            <w:vMerge w:val="continue"/>
            <w:tcBorders>
              <w:top w:val="nil"/>
              <w:bottom w:val="nil"/>
            </w:tcBorders>
            <w:vAlign w:val="top"/>
          </w:tcPr>
          <w:p w14:paraId="3E9158B9">
            <w:pPr>
              <w:rPr>
                <w:rFonts w:ascii="Arial"/>
                <w:sz w:val="21"/>
              </w:rPr>
            </w:pPr>
          </w:p>
        </w:tc>
        <w:tc>
          <w:tcPr>
            <w:tcW w:w="798" w:type="dxa"/>
            <w:vMerge w:val="continue"/>
            <w:tcBorders>
              <w:top w:val="nil"/>
              <w:bottom w:val="nil"/>
            </w:tcBorders>
            <w:vAlign w:val="top"/>
          </w:tcPr>
          <w:p w14:paraId="08A82CD2">
            <w:pPr>
              <w:rPr>
                <w:rFonts w:ascii="Arial"/>
                <w:sz w:val="21"/>
              </w:rPr>
            </w:pPr>
          </w:p>
        </w:tc>
        <w:tc>
          <w:tcPr>
            <w:tcW w:w="797" w:type="dxa"/>
            <w:vMerge w:val="continue"/>
            <w:tcBorders>
              <w:top w:val="nil"/>
              <w:bottom w:val="nil"/>
            </w:tcBorders>
            <w:vAlign w:val="top"/>
          </w:tcPr>
          <w:p w14:paraId="17F8CA7B">
            <w:pPr>
              <w:rPr>
                <w:rFonts w:ascii="Arial"/>
                <w:sz w:val="21"/>
              </w:rPr>
            </w:pPr>
          </w:p>
        </w:tc>
        <w:tc>
          <w:tcPr>
            <w:tcW w:w="797" w:type="dxa"/>
            <w:vMerge w:val="continue"/>
            <w:tcBorders>
              <w:top w:val="nil"/>
              <w:bottom w:val="nil"/>
            </w:tcBorders>
            <w:vAlign w:val="top"/>
          </w:tcPr>
          <w:p w14:paraId="4DB542F3">
            <w:pPr>
              <w:rPr>
                <w:rFonts w:ascii="Arial"/>
                <w:sz w:val="21"/>
              </w:rPr>
            </w:pPr>
          </w:p>
        </w:tc>
        <w:tc>
          <w:tcPr>
            <w:tcW w:w="798" w:type="dxa"/>
            <w:vMerge w:val="continue"/>
            <w:tcBorders>
              <w:top w:val="nil"/>
              <w:bottom w:val="nil"/>
            </w:tcBorders>
            <w:vAlign w:val="top"/>
          </w:tcPr>
          <w:p w14:paraId="334131E3">
            <w:pPr>
              <w:rPr>
                <w:rFonts w:ascii="Arial"/>
                <w:sz w:val="21"/>
              </w:rPr>
            </w:pPr>
          </w:p>
        </w:tc>
        <w:tc>
          <w:tcPr>
            <w:tcW w:w="802" w:type="dxa"/>
            <w:vMerge w:val="continue"/>
            <w:tcBorders>
              <w:top w:val="nil"/>
              <w:bottom w:val="nil"/>
            </w:tcBorders>
            <w:vAlign w:val="top"/>
          </w:tcPr>
          <w:p w14:paraId="2E275F3F">
            <w:pPr>
              <w:rPr>
                <w:rFonts w:ascii="Arial"/>
                <w:sz w:val="21"/>
              </w:rPr>
            </w:pPr>
          </w:p>
        </w:tc>
      </w:tr>
      <w:tr w14:paraId="5D0F6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30758D0C">
            <w:pPr>
              <w:rPr>
                <w:rFonts w:ascii="Arial"/>
                <w:sz w:val="21"/>
              </w:rPr>
            </w:pPr>
          </w:p>
        </w:tc>
        <w:tc>
          <w:tcPr>
            <w:tcW w:w="1528" w:type="dxa"/>
            <w:vMerge w:val="continue"/>
            <w:tcBorders>
              <w:top w:val="nil"/>
              <w:bottom w:val="nil"/>
            </w:tcBorders>
            <w:vAlign w:val="top"/>
          </w:tcPr>
          <w:p w14:paraId="075DC855">
            <w:pPr>
              <w:rPr>
                <w:rFonts w:ascii="Arial"/>
                <w:sz w:val="21"/>
              </w:rPr>
            </w:pPr>
          </w:p>
        </w:tc>
        <w:tc>
          <w:tcPr>
            <w:tcW w:w="3598" w:type="dxa"/>
            <w:vAlign w:val="top"/>
          </w:tcPr>
          <w:p w14:paraId="2EB746CB">
            <w:pPr>
              <w:rPr>
                <w:rFonts w:ascii="Arial"/>
                <w:sz w:val="21"/>
              </w:rPr>
            </w:pPr>
          </w:p>
        </w:tc>
        <w:tc>
          <w:tcPr>
            <w:tcW w:w="720" w:type="dxa"/>
            <w:vMerge w:val="continue"/>
            <w:tcBorders>
              <w:top w:val="nil"/>
              <w:bottom w:val="nil"/>
            </w:tcBorders>
            <w:vAlign w:val="top"/>
          </w:tcPr>
          <w:p w14:paraId="10ED59E3">
            <w:pPr>
              <w:rPr>
                <w:rFonts w:ascii="Arial"/>
                <w:sz w:val="21"/>
              </w:rPr>
            </w:pPr>
          </w:p>
        </w:tc>
        <w:tc>
          <w:tcPr>
            <w:tcW w:w="797" w:type="dxa"/>
            <w:vMerge w:val="continue"/>
            <w:tcBorders>
              <w:top w:val="nil"/>
              <w:bottom w:val="nil"/>
            </w:tcBorders>
            <w:vAlign w:val="top"/>
          </w:tcPr>
          <w:p w14:paraId="3317FC65">
            <w:pPr>
              <w:rPr>
                <w:rFonts w:ascii="Arial"/>
                <w:sz w:val="21"/>
              </w:rPr>
            </w:pPr>
          </w:p>
        </w:tc>
        <w:tc>
          <w:tcPr>
            <w:tcW w:w="798" w:type="dxa"/>
            <w:vMerge w:val="continue"/>
            <w:tcBorders>
              <w:top w:val="nil"/>
              <w:bottom w:val="nil"/>
            </w:tcBorders>
            <w:vAlign w:val="top"/>
          </w:tcPr>
          <w:p w14:paraId="31AB2019">
            <w:pPr>
              <w:rPr>
                <w:rFonts w:ascii="Arial"/>
                <w:sz w:val="21"/>
              </w:rPr>
            </w:pPr>
          </w:p>
        </w:tc>
        <w:tc>
          <w:tcPr>
            <w:tcW w:w="798" w:type="dxa"/>
            <w:vMerge w:val="continue"/>
            <w:tcBorders>
              <w:top w:val="nil"/>
              <w:bottom w:val="nil"/>
            </w:tcBorders>
            <w:vAlign w:val="top"/>
          </w:tcPr>
          <w:p w14:paraId="42ECE006">
            <w:pPr>
              <w:rPr>
                <w:rFonts w:ascii="Arial"/>
                <w:sz w:val="21"/>
              </w:rPr>
            </w:pPr>
          </w:p>
        </w:tc>
        <w:tc>
          <w:tcPr>
            <w:tcW w:w="797" w:type="dxa"/>
            <w:vMerge w:val="continue"/>
            <w:tcBorders>
              <w:top w:val="nil"/>
              <w:bottom w:val="nil"/>
            </w:tcBorders>
            <w:vAlign w:val="top"/>
          </w:tcPr>
          <w:p w14:paraId="4FE6FD88">
            <w:pPr>
              <w:rPr>
                <w:rFonts w:ascii="Arial"/>
                <w:sz w:val="21"/>
              </w:rPr>
            </w:pPr>
          </w:p>
        </w:tc>
        <w:tc>
          <w:tcPr>
            <w:tcW w:w="798" w:type="dxa"/>
            <w:vMerge w:val="continue"/>
            <w:tcBorders>
              <w:top w:val="nil"/>
              <w:bottom w:val="nil"/>
            </w:tcBorders>
            <w:vAlign w:val="top"/>
          </w:tcPr>
          <w:p w14:paraId="6ACB7E35">
            <w:pPr>
              <w:rPr>
                <w:rFonts w:ascii="Arial"/>
                <w:sz w:val="21"/>
              </w:rPr>
            </w:pPr>
          </w:p>
        </w:tc>
        <w:tc>
          <w:tcPr>
            <w:tcW w:w="797" w:type="dxa"/>
            <w:vMerge w:val="continue"/>
            <w:tcBorders>
              <w:top w:val="nil"/>
              <w:bottom w:val="nil"/>
            </w:tcBorders>
            <w:vAlign w:val="top"/>
          </w:tcPr>
          <w:p w14:paraId="6F0C00E0">
            <w:pPr>
              <w:rPr>
                <w:rFonts w:ascii="Arial"/>
                <w:sz w:val="21"/>
              </w:rPr>
            </w:pPr>
          </w:p>
        </w:tc>
        <w:tc>
          <w:tcPr>
            <w:tcW w:w="797" w:type="dxa"/>
            <w:vMerge w:val="continue"/>
            <w:tcBorders>
              <w:top w:val="nil"/>
              <w:bottom w:val="nil"/>
            </w:tcBorders>
            <w:vAlign w:val="top"/>
          </w:tcPr>
          <w:p w14:paraId="2A11DD4D">
            <w:pPr>
              <w:rPr>
                <w:rFonts w:ascii="Arial"/>
                <w:sz w:val="21"/>
              </w:rPr>
            </w:pPr>
          </w:p>
        </w:tc>
        <w:tc>
          <w:tcPr>
            <w:tcW w:w="798" w:type="dxa"/>
            <w:vMerge w:val="continue"/>
            <w:tcBorders>
              <w:top w:val="nil"/>
              <w:bottom w:val="nil"/>
            </w:tcBorders>
            <w:vAlign w:val="top"/>
          </w:tcPr>
          <w:p w14:paraId="0AE7B4FB">
            <w:pPr>
              <w:rPr>
                <w:rFonts w:ascii="Arial"/>
                <w:sz w:val="21"/>
              </w:rPr>
            </w:pPr>
          </w:p>
        </w:tc>
        <w:tc>
          <w:tcPr>
            <w:tcW w:w="802" w:type="dxa"/>
            <w:vMerge w:val="continue"/>
            <w:tcBorders>
              <w:top w:val="nil"/>
              <w:bottom w:val="nil"/>
            </w:tcBorders>
            <w:vAlign w:val="top"/>
          </w:tcPr>
          <w:p w14:paraId="13C4A39D">
            <w:pPr>
              <w:rPr>
                <w:rFonts w:ascii="Arial"/>
                <w:sz w:val="21"/>
              </w:rPr>
            </w:pPr>
          </w:p>
        </w:tc>
      </w:tr>
      <w:tr w14:paraId="392D05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tcBorders>
            <w:vAlign w:val="top"/>
          </w:tcPr>
          <w:p w14:paraId="5F761FF1">
            <w:pPr>
              <w:rPr>
                <w:rFonts w:ascii="Arial"/>
                <w:sz w:val="21"/>
              </w:rPr>
            </w:pPr>
          </w:p>
        </w:tc>
        <w:tc>
          <w:tcPr>
            <w:tcW w:w="1528" w:type="dxa"/>
            <w:vMerge w:val="continue"/>
            <w:tcBorders>
              <w:top w:val="nil"/>
            </w:tcBorders>
            <w:vAlign w:val="top"/>
          </w:tcPr>
          <w:p w14:paraId="2B77B666">
            <w:pPr>
              <w:rPr>
                <w:rFonts w:ascii="Arial"/>
                <w:sz w:val="21"/>
              </w:rPr>
            </w:pPr>
          </w:p>
        </w:tc>
        <w:tc>
          <w:tcPr>
            <w:tcW w:w="3598" w:type="dxa"/>
            <w:vAlign w:val="top"/>
          </w:tcPr>
          <w:p w14:paraId="3DD0AF10">
            <w:pPr>
              <w:rPr>
                <w:rFonts w:ascii="Arial"/>
                <w:sz w:val="21"/>
              </w:rPr>
            </w:pPr>
          </w:p>
        </w:tc>
        <w:tc>
          <w:tcPr>
            <w:tcW w:w="720" w:type="dxa"/>
            <w:vMerge w:val="continue"/>
            <w:tcBorders>
              <w:top w:val="nil"/>
            </w:tcBorders>
            <w:vAlign w:val="top"/>
          </w:tcPr>
          <w:p w14:paraId="1F18CFDE">
            <w:pPr>
              <w:rPr>
                <w:rFonts w:ascii="Arial"/>
                <w:sz w:val="21"/>
              </w:rPr>
            </w:pPr>
          </w:p>
        </w:tc>
        <w:tc>
          <w:tcPr>
            <w:tcW w:w="797" w:type="dxa"/>
            <w:vMerge w:val="continue"/>
            <w:tcBorders>
              <w:top w:val="nil"/>
            </w:tcBorders>
            <w:vAlign w:val="top"/>
          </w:tcPr>
          <w:p w14:paraId="4D847DAA">
            <w:pPr>
              <w:rPr>
                <w:rFonts w:ascii="Arial"/>
                <w:sz w:val="21"/>
              </w:rPr>
            </w:pPr>
          </w:p>
        </w:tc>
        <w:tc>
          <w:tcPr>
            <w:tcW w:w="798" w:type="dxa"/>
            <w:vMerge w:val="continue"/>
            <w:tcBorders>
              <w:top w:val="nil"/>
            </w:tcBorders>
            <w:vAlign w:val="top"/>
          </w:tcPr>
          <w:p w14:paraId="1893587D">
            <w:pPr>
              <w:rPr>
                <w:rFonts w:ascii="Arial"/>
                <w:sz w:val="21"/>
              </w:rPr>
            </w:pPr>
          </w:p>
        </w:tc>
        <w:tc>
          <w:tcPr>
            <w:tcW w:w="798" w:type="dxa"/>
            <w:vMerge w:val="continue"/>
            <w:tcBorders>
              <w:top w:val="nil"/>
            </w:tcBorders>
            <w:vAlign w:val="top"/>
          </w:tcPr>
          <w:p w14:paraId="460159A3">
            <w:pPr>
              <w:rPr>
                <w:rFonts w:ascii="Arial"/>
                <w:sz w:val="21"/>
              </w:rPr>
            </w:pPr>
          </w:p>
        </w:tc>
        <w:tc>
          <w:tcPr>
            <w:tcW w:w="797" w:type="dxa"/>
            <w:vMerge w:val="continue"/>
            <w:tcBorders>
              <w:top w:val="nil"/>
            </w:tcBorders>
            <w:vAlign w:val="top"/>
          </w:tcPr>
          <w:p w14:paraId="3A759558">
            <w:pPr>
              <w:rPr>
                <w:rFonts w:ascii="Arial"/>
                <w:sz w:val="21"/>
              </w:rPr>
            </w:pPr>
          </w:p>
        </w:tc>
        <w:tc>
          <w:tcPr>
            <w:tcW w:w="798" w:type="dxa"/>
            <w:vMerge w:val="continue"/>
            <w:tcBorders>
              <w:top w:val="nil"/>
            </w:tcBorders>
            <w:vAlign w:val="top"/>
          </w:tcPr>
          <w:p w14:paraId="7B0DE8BD">
            <w:pPr>
              <w:rPr>
                <w:rFonts w:ascii="Arial"/>
                <w:sz w:val="21"/>
              </w:rPr>
            </w:pPr>
          </w:p>
        </w:tc>
        <w:tc>
          <w:tcPr>
            <w:tcW w:w="797" w:type="dxa"/>
            <w:vMerge w:val="continue"/>
            <w:tcBorders>
              <w:top w:val="nil"/>
            </w:tcBorders>
            <w:vAlign w:val="top"/>
          </w:tcPr>
          <w:p w14:paraId="62AB5161">
            <w:pPr>
              <w:rPr>
                <w:rFonts w:ascii="Arial"/>
                <w:sz w:val="21"/>
              </w:rPr>
            </w:pPr>
          </w:p>
        </w:tc>
        <w:tc>
          <w:tcPr>
            <w:tcW w:w="797" w:type="dxa"/>
            <w:vMerge w:val="continue"/>
            <w:tcBorders>
              <w:top w:val="nil"/>
            </w:tcBorders>
            <w:vAlign w:val="top"/>
          </w:tcPr>
          <w:p w14:paraId="1305BDD3">
            <w:pPr>
              <w:rPr>
                <w:rFonts w:ascii="Arial"/>
                <w:sz w:val="21"/>
              </w:rPr>
            </w:pPr>
          </w:p>
        </w:tc>
        <w:tc>
          <w:tcPr>
            <w:tcW w:w="798" w:type="dxa"/>
            <w:vMerge w:val="continue"/>
            <w:tcBorders>
              <w:top w:val="nil"/>
            </w:tcBorders>
            <w:vAlign w:val="top"/>
          </w:tcPr>
          <w:p w14:paraId="7D3810AF">
            <w:pPr>
              <w:rPr>
                <w:rFonts w:ascii="Arial"/>
                <w:sz w:val="21"/>
              </w:rPr>
            </w:pPr>
          </w:p>
        </w:tc>
        <w:tc>
          <w:tcPr>
            <w:tcW w:w="802" w:type="dxa"/>
            <w:vMerge w:val="continue"/>
            <w:tcBorders>
              <w:top w:val="nil"/>
            </w:tcBorders>
            <w:vAlign w:val="top"/>
          </w:tcPr>
          <w:p w14:paraId="41A21CF8">
            <w:pPr>
              <w:rPr>
                <w:rFonts w:ascii="Arial"/>
                <w:sz w:val="21"/>
              </w:rPr>
            </w:pPr>
          </w:p>
        </w:tc>
      </w:tr>
      <w:tr w14:paraId="2B5FAD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restart"/>
            <w:tcBorders>
              <w:bottom w:val="nil"/>
            </w:tcBorders>
            <w:vAlign w:val="top"/>
          </w:tcPr>
          <w:p w14:paraId="275ADBF4">
            <w:pPr>
              <w:spacing w:line="253" w:lineRule="auto"/>
              <w:rPr>
                <w:rFonts w:ascii="Arial"/>
                <w:sz w:val="21"/>
              </w:rPr>
            </w:pPr>
          </w:p>
          <w:p w14:paraId="4CDB2F4A">
            <w:pPr>
              <w:spacing w:line="254" w:lineRule="auto"/>
              <w:rPr>
                <w:rFonts w:ascii="Arial"/>
                <w:sz w:val="21"/>
              </w:rPr>
            </w:pPr>
          </w:p>
          <w:p w14:paraId="3F5ECBAC">
            <w:pPr>
              <w:spacing w:before="65" w:line="272" w:lineRule="exact"/>
              <w:ind w:left="325"/>
              <w:rPr>
                <w:rFonts w:ascii="黑体" w:hAnsi="黑体" w:eastAsia="黑体" w:cs="黑体"/>
                <w:sz w:val="20"/>
                <w:szCs w:val="20"/>
              </w:rPr>
            </w:pPr>
            <w:r>
              <w:rPr>
                <w:rFonts w:ascii="黑体" w:hAnsi="黑体" w:eastAsia="黑体" w:cs="黑体"/>
                <w:position w:val="1"/>
                <w:sz w:val="20"/>
                <w:szCs w:val="20"/>
              </w:rPr>
              <w:t>3</w:t>
            </w:r>
          </w:p>
        </w:tc>
        <w:tc>
          <w:tcPr>
            <w:tcW w:w="1528" w:type="dxa"/>
            <w:vMerge w:val="restart"/>
            <w:tcBorders>
              <w:bottom w:val="nil"/>
            </w:tcBorders>
            <w:vAlign w:val="top"/>
          </w:tcPr>
          <w:p w14:paraId="75BB4C6C">
            <w:pPr>
              <w:spacing w:line="253" w:lineRule="auto"/>
              <w:rPr>
                <w:rFonts w:ascii="Arial"/>
                <w:sz w:val="21"/>
              </w:rPr>
            </w:pPr>
          </w:p>
          <w:p w14:paraId="1F2ADB80">
            <w:pPr>
              <w:spacing w:line="254" w:lineRule="auto"/>
              <w:rPr>
                <w:rFonts w:ascii="Arial"/>
                <w:sz w:val="21"/>
              </w:rPr>
            </w:pPr>
          </w:p>
          <w:p w14:paraId="39D2F1F6">
            <w:pPr>
              <w:pStyle w:val="6"/>
              <w:spacing w:before="65" w:line="228" w:lineRule="auto"/>
              <w:ind w:left="135"/>
            </w:pPr>
            <w:r>
              <w:rPr>
                <w:spacing w:val="8"/>
              </w:rPr>
              <w:t>施工进度计划</w:t>
            </w:r>
          </w:p>
        </w:tc>
        <w:tc>
          <w:tcPr>
            <w:tcW w:w="3598" w:type="dxa"/>
            <w:vAlign w:val="top"/>
          </w:tcPr>
          <w:p w14:paraId="61261198">
            <w:pPr>
              <w:rPr>
                <w:rFonts w:ascii="Arial"/>
                <w:sz w:val="21"/>
              </w:rPr>
            </w:pPr>
          </w:p>
        </w:tc>
        <w:tc>
          <w:tcPr>
            <w:tcW w:w="720" w:type="dxa"/>
            <w:vMerge w:val="restart"/>
            <w:tcBorders>
              <w:bottom w:val="nil"/>
            </w:tcBorders>
            <w:vAlign w:val="top"/>
          </w:tcPr>
          <w:p w14:paraId="2A5929D6">
            <w:pPr>
              <w:spacing w:line="253" w:lineRule="auto"/>
              <w:rPr>
                <w:rFonts w:ascii="Arial"/>
                <w:sz w:val="21"/>
              </w:rPr>
            </w:pPr>
          </w:p>
          <w:p w14:paraId="1CD5C252">
            <w:pPr>
              <w:spacing w:line="254" w:lineRule="auto"/>
              <w:rPr>
                <w:rFonts w:ascii="Arial"/>
                <w:sz w:val="21"/>
              </w:rPr>
            </w:pPr>
          </w:p>
          <w:p w14:paraId="0EBE9670">
            <w:pPr>
              <w:pStyle w:val="6"/>
              <w:spacing w:before="65" w:line="228" w:lineRule="auto"/>
              <w:ind w:left="264"/>
            </w:pPr>
            <w:r>
              <w:t>分</w:t>
            </w:r>
          </w:p>
        </w:tc>
        <w:tc>
          <w:tcPr>
            <w:tcW w:w="797" w:type="dxa"/>
            <w:vMerge w:val="restart"/>
            <w:tcBorders>
              <w:bottom w:val="nil"/>
            </w:tcBorders>
            <w:vAlign w:val="top"/>
          </w:tcPr>
          <w:p w14:paraId="4D3D6CCC">
            <w:pPr>
              <w:rPr>
                <w:rFonts w:ascii="Arial"/>
                <w:sz w:val="21"/>
              </w:rPr>
            </w:pPr>
          </w:p>
        </w:tc>
        <w:tc>
          <w:tcPr>
            <w:tcW w:w="798" w:type="dxa"/>
            <w:vMerge w:val="restart"/>
            <w:tcBorders>
              <w:bottom w:val="nil"/>
            </w:tcBorders>
            <w:vAlign w:val="top"/>
          </w:tcPr>
          <w:p w14:paraId="5C25D92E">
            <w:pPr>
              <w:rPr>
                <w:rFonts w:ascii="Arial"/>
                <w:sz w:val="21"/>
              </w:rPr>
            </w:pPr>
          </w:p>
        </w:tc>
        <w:tc>
          <w:tcPr>
            <w:tcW w:w="798" w:type="dxa"/>
            <w:vMerge w:val="restart"/>
            <w:tcBorders>
              <w:bottom w:val="nil"/>
            </w:tcBorders>
            <w:vAlign w:val="top"/>
          </w:tcPr>
          <w:p w14:paraId="2984FC84">
            <w:pPr>
              <w:rPr>
                <w:rFonts w:ascii="Arial"/>
                <w:sz w:val="21"/>
              </w:rPr>
            </w:pPr>
          </w:p>
        </w:tc>
        <w:tc>
          <w:tcPr>
            <w:tcW w:w="797" w:type="dxa"/>
            <w:vMerge w:val="restart"/>
            <w:tcBorders>
              <w:bottom w:val="nil"/>
            </w:tcBorders>
            <w:vAlign w:val="top"/>
          </w:tcPr>
          <w:p w14:paraId="4AE8F5DF">
            <w:pPr>
              <w:rPr>
                <w:rFonts w:ascii="Arial"/>
                <w:sz w:val="21"/>
              </w:rPr>
            </w:pPr>
          </w:p>
        </w:tc>
        <w:tc>
          <w:tcPr>
            <w:tcW w:w="798" w:type="dxa"/>
            <w:vMerge w:val="restart"/>
            <w:tcBorders>
              <w:bottom w:val="nil"/>
            </w:tcBorders>
            <w:vAlign w:val="top"/>
          </w:tcPr>
          <w:p w14:paraId="1D25D90E">
            <w:pPr>
              <w:rPr>
                <w:rFonts w:ascii="Arial"/>
                <w:sz w:val="21"/>
              </w:rPr>
            </w:pPr>
          </w:p>
        </w:tc>
        <w:tc>
          <w:tcPr>
            <w:tcW w:w="797" w:type="dxa"/>
            <w:vMerge w:val="restart"/>
            <w:tcBorders>
              <w:bottom w:val="nil"/>
            </w:tcBorders>
            <w:vAlign w:val="top"/>
          </w:tcPr>
          <w:p w14:paraId="3AC529AD">
            <w:pPr>
              <w:rPr>
                <w:rFonts w:ascii="Arial"/>
                <w:sz w:val="21"/>
              </w:rPr>
            </w:pPr>
          </w:p>
        </w:tc>
        <w:tc>
          <w:tcPr>
            <w:tcW w:w="797" w:type="dxa"/>
            <w:vMerge w:val="restart"/>
            <w:tcBorders>
              <w:bottom w:val="nil"/>
            </w:tcBorders>
            <w:vAlign w:val="top"/>
          </w:tcPr>
          <w:p w14:paraId="007EFE6A">
            <w:pPr>
              <w:rPr>
                <w:rFonts w:ascii="Arial"/>
                <w:sz w:val="21"/>
              </w:rPr>
            </w:pPr>
          </w:p>
        </w:tc>
        <w:tc>
          <w:tcPr>
            <w:tcW w:w="798" w:type="dxa"/>
            <w:vMerge w:val="restart"/>
            <w:tcBorders>
              <w:bottom w:val="nil"/>
            </w:tcBorders>
            <w:vAlign w:val="top"/>
          </w:tcPr>
          <w:p w14:paraId="76610840">
            <w:pPr>
              <w:rPr>
                <w:rFonts w:ascii="Arial"/>
                <w:sz w:val="21"/>
              </w:rPr>
            </w:pPr>
          </w:p>
        </w:tc>
        <w:tc>
          <w:tcPr>
            <w:tcW w:w="802" w:type="dxa"/>
            <w:vMerge w:val="restart"/>
            <w:tcBorders>
              <w:bottom w:val="nil"/>
            </w:tcBorders>
            <w:vAlign w:val="top"/>
          </w:tcPr>
          <w:p w14:paraId="4B53BC98">
            <w:pPr>
              <w:rPr>
                <w:rFonts w:ascii="Arial"/>
                <w:sz w:val="21"/>
              </w:rPr>
            </w:pPr>
          </w:p>
        </w:tc>
      </w:tr>
      <w:tr w14:paraId="4BA1A1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11F441FC">
            <w:pPr>
              <w:rPr>
                <w:rFonts w:ascii="Arial"/>
                <w:sz w:val="21"/>
              </w:rPr>
            </w:pPr>
          </w:p>
        </w:tc>
        <w:tc>
          <w:tcPr>
            <w:tcW w:w="1528" w:type="dxa"/>
            <w:vMerge w:val="continue"/>
            <w:tcBorders>
              <w:top w:val="nil"/>
              <w:bottom w:val="nil"/>
            </w:tcBorders>
            <w:vAlign w:val="top"/>
          </w:tcPr>
          <w:p w14:paraId="0A6FDE67">
            <w:pPr>
              <w:rPr>
                <w:rFonts w:ascii="Arial"/>
                <w:sz w:val="21"/>
              </w:rPr>
            </w:pPr>
          </w:p>
        </w:tc>
        <w:tc>
          <w:tcPr>
            <w:tcW w:w="3598" w:type="dxa"/>
            <w:vAlign w:val="top"/>
          </w:tcPr>
          <w:p w14:paraId="5C82E295">
            <w:pPr>
              <w:rPr>
                <w:rFonts w:ascii="Arial"/>
                <w:sz w:val="21"/>
              </w:rPr>
            </w:pPr>
          </w:p>
        </w:tc>
        <w:tc>
          <w:tcPr>
            <w:tcW w:w="720" w:type="dxa"/>
            <w:vMerge w:val="continue"/>
            <w:tcBorders>
              <w:top w:val="nil"/>
              <w:bottom w:val="nil"/>
            </w:tcBorders>
            <w:vAlign w:val="top"/>
          </w:tcPr>
          <w:p w14:paraId="0499A59D">
            <w:pPr>
              <w:rPr>
                <w:rFonts w:ascii="Arial"/>
                <w:sz w:val="21"/>
              </w:rPr>
            </w:pPr>
          </w:p>
        </w:tc>
        <w:tc>
          <w:tcPr>
            <w:tcW w:w="797" w:type="dxa"/>
            <w:vMerge w:val="continue"/>
            <w:tcBorders>
              <w:top w:val="nil"/>
              <w:bottom w:val="nil"/>
            </w:tcBorders>
            <w:vAlign w:val="top"/>
          </w:tcPr>
          <w:p w14:paraId="394F7A34">
            <w:pPr>
              <w:rPr>
                <w:rFonts w:ascii="Arial"/>
                <w:sz w:val="21"/>
              </w:rPr>
            </w:pPr>
          </w:p>
        </w:tc>
        <w:tc>
          <w:tcPr>
            <w:tcW w:w="798" w:type="dxa"/>
            <w:vMerge w:val="continue"/>
            <w:tcBorders>
              <w:top w:val="nil"/>
              <w:bottom w:val="nil"/>
            </w:tcBorders>
            <w:vAlign w:val="top"/>
          </w:tcPr>
          <w:p w14:paraId="70611E47">
            <w:pPr>
              <w:rPr>
                <w:rFonts w:ascii="Arial"/>
                <w:sz w:val="21"/>
              </w:rPr>
            </w:pPr>
          </w:p>
        </w:tc>
        <w:tc>
          <w:tcPr>
            <w:tcW w:w="798" w:type="dxa"/>
            <w:vMerge w:val="continue"/>
            <w:tcBorders>
              <w:top w:val="nil"/>
              <w:bottom w:val="nil"/>
            </w:tcBorders>
            <w:vAlign w:val="top"/>
          </w:tcPr>
          <w:p w14:paraId="51859F0E">
            <w:pPr>
              <w:rPr>
                <w:rFonts w:ascii="Arial"/>
                <w:sz w:val="21"/>
              </w:rPr>
            </w:pPr>
          </w:p>
        </w:tc>
        <w:tc>
          <w:tcPr>
            <w:tcW w:w="797" w:type="dxa"/>
            <w:vMerge w:val="continue"/>
            <w:tcBorders>
              <w:top w:val="nil"/>
              <w:bottom w:val="nil"/>
            </w:tcBorders>
            <w:vAlign w:val="top"/>
          </w:tcPr>
          <w:p w14:paraId="68C6CC22">
            <w:pPr>
              <w:rPr>
                <w:rFonts w:ascii="Arial"/>
                <w:sz w:val="21"/>
              </w:rPr>
            </w:pPr>
          </w:p>
        </w:tc>
        <w:tc>
          <w:tcPr>
            <w:tcW w:w="798" w:type="dxa"/>
            <w:vMerge w:val="continue"/>
            <w:tcBorders>
              <w:top w:val="nil"/>
              <w:bottom w:val="nil"/>
            </w:tcBorders>
            <w:vAlign w:val="top"/>
          </w:tcPr>
          <w:p w14:paraId="654B0533">
            <w:pPr>
              <w:rPr>
                <w:rFonts w:ascii="Arial"/>
                <w:sz w:val="21"/>
              </w:rPr>
            </w:pPr>
          </w:p>
        </w:tc>
        <w:tc>
          <w:tcPr>
            <w:tcW w:w="797" w:type="dxa"/>
            <w:vMerge w:val="continue"/>
            <w:tcBorders>
              <w:top w:val="nil"/>
              <w:bottom w:val="nil"/>
            </w:tcBorders>
            <w:vAlign w:val="top"/>
          </w:tcPr>
          <w:p w14:paraId="15562F35">
            <w:pPr>
              <w:rPr>
                <w:rFonts w:ascii="Arial"/>
                <w:sz w:val="21"/>
              </w:rPr>
            </w:pPr>
          </w:p>
        </w:tc>
        <w:tc>
          <w:tcPr>
            <w:tcW w:w="797" w:type="dxa"/>
            <w:vMerge w:val="continue"/>
            <w:tcBorders>
              <w:top w:val="nil"/>
              <w:bottom w:val="nil"/>
            </w:tcBorders>
            <w:vAlign w:val="top"/>
          </w:tcPr>
          <w:p w14:paraId="0637C2FC">
            <w:pPr>
              <w:rPr>
                <w:rFonts w:ascii="Arial"/>
                <w:sz w:val="21"/>
              </w:rPr>
            </w:pPr>
          </w:p>
        </w:tc>
        <w:tc>
          <w:tcPr>
            <w:tcW w:w="798" w:type="dxa"/>
            <w:vMerge w:val="continue"/>
            <w:tcBorders>
              <w:top w:val="nil"/>
              <w:bottom w:val="nil"/>
            </w:tcBorders>
            <w:vAlign w:val="top"/>
          </w:tcPr>
          <w:p w14:paraId="10917916">
            <w:pPr>
              <w:rPr>
                <w:rFonts w:ascii="Arial"/>
                <w:sz w:val="21"/>
              </w:rPr>
            </w:pPr>
          </w:p>
        </w:tc>
        <w:tc>
          <w:tcPr>
            <w:tcW w:w="802" w:type="dxa"/>
            <w:vMerge w:val="continue"/>
            <w:tcBorders>
              <w:top w:val="nil"/>
              <w:bottom w:val="nil"/>
            </w:tcBorders>
            <w:vAlign w:val="top"/>
          </w:tcPr>
          <w:p w14:paraId="4023F344">
            <w:pPr>
              <w:rPr>
                <w:rFonts w:ascii="Arial"/>
                <w:sz w:val="21"/>
              </w:rPr>
            </w:pPr>
          </w:p>
        </w:tc>
      </w:tr>
      <w:tr w14:paraId="549F22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56F80A1C">
            <w:pPr>
              <w:rPr>
                <w:rFonts w:ascii="Arial"/>
                <w:sz w:val="21"/>
              </w:rPr>
            </w:pPr>
          </w:p>
        </w:tc>
        <w:tc>
          <w:tcPr>
            <w:tcW w:w="1528" w:type="dxa"/>
            <w:vMerge w:val="continue"/>
            <w:tcBorders>
              <w:top w:val="nil"/>
              <w:bottom w:val="nil"/>
            </w:tcBorders>
            <w:vAlign w:val="top"/>
          </w:tcPr>
          <w:p w14:paraId="15A7DFF8">
            <w:pPr>
              <w:rPr>
                <w:rFonts w:ascii="Arial"/>
                <w:sz w:val="21"/>
              </w:rPr>
            </w:pPr>
          </w:p>
        </w:tc>
        <w:tc>
          <w:tcPr>
            <w:tcW w:w="3598" w:type="dxa"/>
            <w:vAlign w:val="top"/>
          </w:tcPr>
          <w:p w14:paraId="38B2F5FA">
            <w:pPr>
              <w:rPr>
                <w:rFonts w:ascii="Arial"/>
                <w:sz w:val="21"/>
              </w:rPr>
            </w:pPr>
          </w:p>
        </w:tc>
        <w:tc>
          <w:tcPr>
            <w:tcW w:w="720" w:type="dxa"/>
            <w:vMerge w:val="continue"/>
            <w:tcBorders>
              <w:top w:val="nil"/>
              <w:bottom w:val="nil"/>
            </w:tcBorders>
            <w:vAlign w:val="top"/>
          </w:tcPr>
          <w:p w14:paraId="6840000A">
            <w:pPr>
              <w:rPr>
                <w:rFonts w:ascii="Arial"/>
                <w:sz w:val="21"/>
              </w:rPr>
            </w:pPr>
          </w:p>
        </w:tc>
        <w:tc>
          <w:tcPr>
            <w:tcW w:w="797" w:type="dxa"/>
            <w:vMerge w:val="continue"/>
            <w:tcBorders>
              <w:top w:val="nil"/>
              <w:bottom w:val="nil"/>
            </w:tcBorders>
            <w:vAlign w:val="top"/>
          </w:tcPr>
          <w:p w14:paraId="0BB87793">
            <w:pPr>
              <w:rPr>
                <w:rFonts w:ascii="Arial"/>
                <w:sz w:val="21"/>
              </w:rPr>
            </w:pPr>
          </w:p>
        </w:tc>
        <w:tc>
          <w:tcPr>
            <w:tcW w:w="798" w:type="dxa"/>
            <w:vMerge w:val="continue"/>
            <w:tcBorders>
              <w:top w:val="nil"/>
              <w:bottom w:val="nil"/>
            </w:tcBorders>
            <w:vAlign w:val="top"/>
          </w:tcPr>
          <w:p w14:paraId="48149364">
            <w:pPr>
              <w:rPr>
                <w:rFonts w:ascii="Arial"/>
                <w:sz w:val="21"/>
              </w:rPr>
            </w:pPr>
          </w:p>
        </w:tc>
        <w:tc>
          <w:tcPr>
            <w:tcW w:w="798" w:type="dxa"/>
            <w:vMerge w:val="continue"/>
            <w:tcBorders>
              <w:top w:val="nil"/>
              <w:bottom w:val="nil"/>
            </w:tcBorders>
            <w:vAlign w:val="top"/>
          </w:tcPr>
          <w:p w14:paraId="248FD3CA">
            <w:pPr>
              <w:rPr>
                <w:rFonts w:ascii="Arial"/>
                <w:sz w:val="21"/>
              </w:rPr>
            </w:pPr>
          </w:p>
        </w:tc>
        <w:tc>
          <w:tcPr>
            <w:tcW w:w="797" w:type="dxa"/>
            <w:vMerge w:val="continue"/>
            <w:tcBorders>
              <w:top w:val="nil"/>
              <w:bottom w:val="nil"/>
            </w:tcBorders>
            <w:vAlign w:val="top"/>
          </w:tcPr>
          <w:p w14:paraId="3D535B10">
            <w:pPr>
              <w:rPr>
                <w:rFonts w:ascii="Arial"/>
                <w:sz w:val="21"/>
              </w:rPr>
            </w:pPr>
          </w:p>
        </w:tc>
        <w:tc>
          <w:tcPr>
            <w:tcW w:w="798" w:type="dxa"/>
            <w:vMerge w:val="continue"/>
            <w:tcBorders>
              <w:top w:val="nil"/>
              <w:bottom w:val="nil"/>
            </w:tcBorders>
            <w:vAlign w:val="top"/>
          </w:tcPr>
          <w:p w14:paraId="36E031E2">
            <w:pPr>
              <w:rPr>
                <w:rFonts w:ascii="Arial"/>
                <w:sz w:val="21"/>
              </w:rPr>
            </w:pPr>
          </w:p>
        </w:tc>
        <w:tc>
          <w:tcPr>
            <w:tcW w:w="797" w:type="dxa"/>
            <w:vMerge w:val="continue"/>
            <w:tcBorders>
              <w:top w:val="nil"/>
              <w:bottom w:val="nil"/>
            </w:tcBorders>
            <w:vAlign w:val="top"/>
          </w:tcPr>
          <w:p w14:paraId="1677EA9D">
            <w:pPr>
              <w:rPr>
                <w:rFonts w:ascii="Arial"/>
                <w:sz w:val="21"/>
              </w:rPr>
            </w:pPr>
          </w:p>
        </w:tc>
        <w:tc>
          <w:tcPr>
            <w:tcW w:w="797" w:type="dxa"/>
            <w:vMerge w:val="continue"/>
            <w:tcBorders>
              <w:top w:val="nil"/>
              <w:bottom w:val="nil"/>
            </w:tcBorders>
            <w:vAlign w:val="top"/>
          </w:tcPr>
          <w:p w14:paraId="355C8F7C">
            <w:pPr>
              <w:rPr>
                <w:rFonts w:ascii="Arial"/>
                <w:sz w:val="21"/>
              </w:rPr>
            </w:pPr>
          </w:p>
        </w:tc>
        <w:tc>
          <w:tcPr>
            <w:tcW w:w="798" w:type="dxa"/>
            <w:vMerge w:val="continue"/>
            <w:tcBorders>
              <w:top w:val="nil"/>
              <w:bottom w:val="nil"/>
            </w:tcBorders>
            <w:vAlign w:val="top"/>
          </w:tcPr>
          <w:p w14:paraId="49575EB7">
            <w:pPr>
              <w:rPr>
                <w:rFonts w:ascii="Arial"/>
                <w:sz w:val="21"/>
              </w:rPr>
            </w:pPr>
          </w:p>
        </w:tc>
        <w:tc>
          <w:tcPr>
            <w:tcW w:w="802" w:type="dxa"/>
            <w:vMerge w:val="continue"/>
            <w:tcBorders>
              <w:top w:val="nil"/>
              <w:bottom w:val="nil"/>
            </w:tcBorders>
            <w:vAlign w:val="top"/>
          </w:tcPr>
          <w:p w14:paraId="5EBF2FC6">
            <w:pPr>
              <w:rPr>
                <w:rFonts w:ascii="Arial"/>
                <w:sz w:val="21"/>
              </w:rPr>
            </w:pPr>
          </w:p>
        </w:tc>
      </w:tr>
      <w:tr w14:paraId="7A4D72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tcBorders>
            <w:vAlign w:val="top"/>
          </w:tcPr>
          <w:p w14:paraId="269C3F43">
            <w:pPr>
              <w:rPr>
                <w:rFonts w:ascii="Arial"/>
                <w:sz w:val="21"/>
              </w:rPr>
            </w:pPr>
          </w:p>
        </w:tc>
        <w:tc>
          <w:tcPr>
            <w:tcW w:w="1528" w:type="dxa"/>
            <w:vMerge w:val="continue"/>
            <w:tcBorders>
              <w:top w:val="nil"/>
            </w:tcBorders>
            <w:vAlign w:val="top"/>
          </w:tcPr>
          <w:p w14:paraId="6786D82A">
            <w:pPr>
              <w:rPr>
                <w:rFonts w:ascii="Arial"/>
                <w:sz w:val="21"/>
              </w:rPr>
            </w:pPr>
          </w:p>
        </w:tc>
        <w:tc>
          <w:tcPr>
            <w:tcW w:w="3598" w:type="dxa"/>
            <w:vAlign w:val="top"/>
          </w:tcPr>
          <w:p w14:paraId="3426E1EC">
            <w:pPr>
              <w:rPr>
                <w:rFonts w:ascii="Arial"/>
                <w:sz w:val="21"/>
              </w:rPr>
            </w:pPr>
          </w:p>
        </w:tc>
        <w:tc>
          <w:tcPr>
            <w:tcW w:w="720" w:type="dxa"/>
            <w:vMerge w:val="continue"/>
            <w:tcBorders>
              <w:top w:val="nil"/>
            </w:tcBorders>
            <w:vAlign w:val="top"/>
          </w:tcPr>
          <w:p w14:paraId="56D28C8E">
            <w:pPr>
              <w:rPr>
                <w:rFonts w:ascii="Arial"/>
                <w:sz w:val="21"/>
              </w:rPr>
            </w:pPr>
          </w:p>
        </w:tc>
        <w:tc>
          <w:tcPr>
            <w:tcW w:w="797" w:type="dxa"/>
            <w:vMerge w:val="continue"/>
            <w:tcBorders>
              <w:top w:val="nil"/>
            </w:tcBorders>
            <w:vAlign w:val="top"/>
          </w:tcPr>
          <w:p w14:paraId="045FB01F">
            <w:pPr>
              <w:rPr>
                <w:rFonts w:ascii="Arial"/>
                <w:sz w:val="21"/>
              </w:rPr>
            </w:pPr>
          </w:p>
        </w:tc>
        <w:tc>
          <w:tcPr>
            <w:tcW w:w="798" w:type="dxa"/>
            <w:vMerge w:val="continue"/>
            <w:tcBorders>
              <w:top w:val="nil"/>
            </w:tcBorders>
            <w:vAlign w:val="top"/>
          </w:tcPr>
          <w:p w14:paraId="43E9223A">
            <w:pPr>
              <w:rPr>
                <w:rFonts w:ascii="Arial"/>
                <w:sz w:val="21"/>
              </w:rPr>
            </w:pPr>
          </w:p>
        </w:tc>
        <w:tc>
          <w:tcPr>
            <w:tcW w:w="798" w:type="dxa"/>
            <w:vMerge w:val="continue"/>
            <w:tcBorders>
              <w:top w:val="nil"/>
            </w:tcBorders>
            <w:vAlign w:val="top"/>
          </w:tcPr>
          <w:p w14:paraId="62398E6D">
            <w:pPr>
              <w:rPr>
                <w:rFonts w:ascii="Arial"/>
                <w:sz w:val="21"/>
              </w:rPr>
            </w:pPr>
          </w:p>
        </w:tc>
        <w:tc>
          <w:tcPr>
            <w:tcW w:w="797" w:type="dxa"/>
            <w:vMerge w:val="continue"/>
            <w:tcBorders>
              <w:top w:val="nil"/>
            </w:tcBorders>
            <w:vAlign w:val="top"/>
          </w:tcPr>
          <w:p w14:paraId="2AC1ED43">
            <w:pPr>
              <w:rPr>
                <w:rFonts w:ascii="Arial"/>
                <w:sz w:val="21"/>
              </w:rPr>
            </w:pPr>
          </w:p>
        </w:tc>
        <w:tc>
          <w:tcPr>
            <w:tcW w:w="798" w:type="dxa"/>
            <w:vMerge w:val="continue"/>
            <w:tcBorders>
              <w:top w:val="nil"/>
            </w:tcBorders>
            <w:vAlign w:val="top"/>
          </w:tcPr>
          <w:p w14:paraId="51CC8698">
            <w:pPr>
              <w:rPr>
                <w:rFonts w:ascii="Arial"/>
                <w:sz w:val="21"/>
              </w:rPr>
            </w:pPr>
          </w:p>
        </w:tc>
        <w:tc>
          <w:tcPr>
            <w:tcW w:w="797" w:type="dxa"/>
            <w:vMerge w:val="continue"/>
            <w:tcBorders>
              <w:top w:val="nil"/>
            </w:tcBorders>
            <w:vAlign w:val="top"/>
          </w:tcPr>
          <w:p w14:paraId="54F58AD1">
            <w:pPr>
              <w:rPr>
                <w:rFonts w:ascii="Arial"/>
                <w:sz w:val="21"/>
              </w:rPr>
            </w:pPr>
          </w:p>
        </w:tc>
        <w:tc>
          <w:tcPr>
            <w:tcW w:w="797" w:type="dxa"/>
            <w:vMerge w:val="continue"/>
            <w:tcBorders>
              <w:top w:val="nil"/>
            </w:tcBorders>
            <w:vAlign w:val="top"/>
          </w:tcPr>
          <w:p w14:paraId="172A556D">
            <w:pPr>
              <w:rPr>
                <w:rFonts w:ascii="Arial"/>
                <w:sz w:val="21"/>
              </w:rPr>
            </w:pPr>
          </w:p>
        </w:tc>
        <w:tc>
          <w:tcPr>
            <w:tcW w:w="798" w:type="dxa"/>
            <w:vMerge w:val="continue"/>
            <w:tcBorders>
              <w:top w:val="nil"/>
            </w:tcBorders>
            <w:vAlign w:val="top"/>
          </w:tcPr>
          <w:p w14:paraId="3189507F">
            <w:pPr>
              <w:rPr>
                <w:rFonts w:ascii="Arial"/>
                <w:sz w:val="21"/>
              </w:rPr>
            </w:pPr>
          </w:p>
        </w:tc>
        <w:tc>
          <w:tcPr>
            <w:tcW w:w="802" w:type="dxa"/>
            <w:vMerge w:val="continue"/>
            <w:tcBorders>
              <w:top w:val="nil"/>
            </w:tcBorders>
            <w:vAlign w:val="top"/>
          </w:tcPr>
          <w:p w14:paraId="1B7F7C96">
            <w:pPr>
              <w:rPr>
                <w:rFonts w:ascii="Arial"/>
                <w:sz w:val="21"/>
              </w:rPr>
            </w:pPr>
          </w:p>
        </w:tc>
      </w:tr>
      <w:tr w14:paraId="5C0B9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restart"/>
            <w:tcBorders>
              <w:bottom w:val="nil"/>
            </w:tcBorders>
            <w:vAlign w:val="top"/>
          </w:tcPr>
          <w:p w14:paraId="29CBBD82">
            <w:pPr>
              <w:spacing w:line="252" w:lineRule="auto"/>
              <w:rPr>
                <w:rFonts w:ascii="Arial"/>
                <w:sz w:val="21"/>
              </w:rPr>
            </w:pPr>
          </w:p>
          <w:p w14:paraId="31C83582">
            <w:pPr>
              <w:spacing w:line="253" w:lineRule="auto"/>
              <w:rPr>
                <w:rFonts w:ascii="Arial"/>
                <w:sz w:val="21"/>
              </w:rPr>
            </w:pPr>
          </w:p>
          <w:p w14:paraId="624AA37C">
            <w:pPr>
              <w:spacing w:before="65" w:line="275" w:lineRule="exact"/>
              <w:ind w:left="319"/>
              <w:rPr>
                <w:rFonts w:ascii="黑体" w:hAnsi="黑体" w:eastAsia="黑体" w:cs="黑体"/>
                <w:sz w:val="20"/>
                <w:szCs w:val="20"/>
              </w:rPr>
            </w:pPr>
            <w:r>
              <w:rPr>
                <w:rFonts w:ascii="黑体" w:hAnsi="黑体" w:eastAsia="黑体" w:cs="黑体"/>
                <w:spacing w:val="1"/>
                <w:position w:val="1"/>
                <w:sz w:val="20"/>
                <w:szCs w:val="20"/>
              </w:rPr>
              <w:t>4</w:t>
            </w:r>
          </w:p>
        </w:tc>
        <w:tc>
          <w:tcPr>
            <w:tcW w:w="1528" w:type="dxa"/>
            <w:vMerge w:val="restart"/>
            <w:tcBorders>
              <w:bottom w:val="nil"/>
            </w:tcBorders>
            <w:vAlign w:val="top"/>
          </w:tcPr>
          <w:p w14:paraId="28C7F3FE">
            <w:pPr>
              <w:spacing w:line="372" w:lineRule="auto"/>
              <w:rPr>
                <w:rFonts w:ascii="Arial"/>
                <w:sz w:val="21"/>
              </w:rPr>
            </w:pPr>
          </w:p>
          <w:p w14:paraId="009B23AB">
            <w:pPr>
              <w:pStyle w:val="6"/>
              <w:spacing w:before="65" w:line="252" w:lineRule="auto"/>
              <w:ind w:left="240" w:right="136" w:hanging="105"/>
            </w:pPr>
            <w:r>
              <w:rPr>
                <w:spacing w:val="8"/>
              </w:rPr>
              <w:t>施工准备与资源配置计划</w:t>
            </w:r>
          </w:p>
        </w:tc>
        <w:tc>
          <w:tcPr>
            <w:tcW w:w="3598" w:type="dxa"/>
            <w:vAlign w:val="top"/>
          </w:tcPr>
          <w:p w14:paraId="18E303FC">
            <w:pPr>
              <w:rPr>
                <w:rFonts w:ascii="Arial"/>
                <w:sz w:val="21"/>
              </w:rPr>
            </w:pPr>
          </w:p>
        </w:tc>
        <w:tc>
          <w:tcPr>
            <w:tcW w:w="720" w:type="dxa"/>
            <w:vMerge w:val="restart"/>
            <w:tcBorders>
              <w:bottom w:val="nil"/>
            </w:tcBorders>
            <w:vAlign w:val="top"/>
          </w:tcPr>
          <w:p w14:paraId="5A1A3FF2">
            <w:pPr>
              <w:spacing w:line="252" w:lineRule="auto"/>
              <w:rPr>
                <w:rFonts w:ascii="Arial"/>
                <w:sz w:val="21"/>
              </w:rPr>
            </w:pPr>
          </w:p>
          <w:p w14:paraId="457E87B5">
            <w:pPr>
              <w:spacing w:line="253" w:lineRule="auto"/>
              <w:rPr>
                <w:rFonts w:ascii="Arial"/>
                <w:sz w:val="21"/>
              </w:rPr>
            </w:pPr>
          </w:p>
          <w:p w14:paraId="2EE8C67F">
            <w:pPr>
              <w:pStyle w:val="6"/>
              <w:spacing w:before="65" w:line="228" w:lineRule="auto"/>
              <w:ind w:left="264"/>
            </w:pPr>
            <w:r>
              <w:t>分</w:t>
            </w:r>
          </w:p>
        </w:tc>
        <w:tc>
          <w:tcPr>
            <w:tcW w:w="797" w:type="dxa"/>
            <w:vMerge w:val="restart"/>
            <w:tcBorders>
              <w:bottom w:val="nil"/>
            </w:tcBorders>
            <w:vAlign w:val="top"/>
          </w:tcPr>
          <w:p w14:paraId="2409F25E">
            <w:pPr>
              <w:rPr>
                <w:rFonts w:ascii="Arial"/>
                <w:sz w:val="21"/>
              </w:rPr>
            </w:pPr>
          </w:p>
        </w:tc>
        <w:tc>
          <w:tcPr>
            <w:tcW w:w="798" w:type="dxa"/>
            <w:vMerge w:val="restart"/>
            <w:tcBorders>
              <w:bottom w:val="nil"/>
            </w:tcBorders>
            <w:vAlign w:val="top"/>
          </w:tcPr>
          <w:p w14:paraId="25FF73C3">
            <w:pPr>
              <w:rPr>
                <w:rFonts w:ascii="Arial"/>
                <w:sz w:val="21"/>
              </w:rPr>
            </w:pPr>
          </w:p>
        </w:tc>
        <w:tc>
          <w:tcPr>
            <w:tcW w:w="798" w:type="dxa"/>
            <w:vMerge w:val="restart"/>
            <w:tcBorders>
              <w:bottom w:val="nil"/>
            </w:tcBorders>
            <w:vAlign w:val="top"/>
          </w:tcPr>
          <w:p w14:paraId="5A354842">
            <w:pPr>
              <w:rPr>
                <w:rFonts w:ascii="Arial"/>
                <w:sz w:val="21"/>
              </w:rPr>
            </w:pPr>
          </w:p>
        </w:tc>
        <w:tc>
          <w:tcPr>
            <w:tcW w:w="797" w:type="dxa"/>
            <w:vMerge w:val="restart"/>
            <w:tcBorders>
              <w:bottom w:val="nil"/>
            </w:tcBorders>
            <w:vAlign w:val="top"/>
          </w:tcPr>
          <w:p w14:paraId="7C913FDD">
            <w:pPr>
              <w:rPr>
                <w:rFonts w:ascii="Arial"/>
                <w:sz w:val="21"/>
              </w:rPr>
            </w:pPr>
          </w:p>
        </w:tc>
        <w:tc>
          <w:tcPr>
            <w:tcW w:w="798" w:type="dxa"/>
            <w:vMerge w:val="restart"/>
            <w:tcBorders>
              <w:bottom w:val="nil"/>
            </w:tcBorders>
            <w:vAlign w:val="top"/>
          </w:tcPr>
          <w:p w14:paraId="1B869BFC">
            <w:pPr>
              <w:rPr>
                <w:rFonts w:ascii="Arial"/>
                <w:sz w:val="21"/>
              </w:rPr>
            </w:pPr>
          </w:p>
        </w:tc>
        <w:tc>
          <w:tcPr>
            <w:tcW w:w="797" w:type="dxa"/>
            <w:vMerge w:val="restart"/>
            <w:tcBorders>
              <w:bottom w:val="nil"/>
            </w:tcBorders>
            <w:vAlign w:val="top"/>
          </w:tcPr>
          <w:p w14:paraId="671CFAE7">
            <w:pPr>
              <w:rPr>
                <w:rFonts w:ascii="Arial"/>
                <w:sz w:val="21"/>
              </w:rPr>
            </w:pPr>
          </w:p>
        </w:tc>
        <w:tc>
          <w:tcPr>
            <w:tcW w:w="797" w:type="dxa"/>
            <w:vMerge w:val="restart"/>
            <w:tcBorders>
              <w:bottom w:val="nil"/>
            </w:tcBorders>
            <w:vAlign w:val="top"/>
          </w:tcPr>
          <w:p w14:paraId="7ED6F019">
            <w:pPr>
              <w:rPr>
                <w:rFonts w:ascii="Arial"/>
                <w:sz w:val="21"/>
              </w:rPr>
            </w:pPr>
          </w:p>
        </w:tc>
        <w:tc>
          <w:tcPr>
            <w:tcW w:w="798" w:type="dxa"/>
            <w:vMerge w:val="restart"/>
            <w:tcBorders>
              <w:bottom w:val="nil"/>
            </w:tcBorders>
            <w:vAlign w:val="top"/>
          </w:tcPr>
          <w:p w14:paraId="3ABFC9EC">
            <w:pPr>
              <w:rPr>
                <w:rFonts w:ascii="Arial"/>
                <w:sz w:val="21"/>
              </w:rPr>
            </w:pPr>
          </w:p>
        </w:tc>
        <w:tc>
          <w:tcPr>
            <w:tcW w:w="802" w:type="dxa"/>
            <w:vMerge w:val="restart"/>
            <w:tcBorders>
              <w:bottom w:val="nil"/>
            </w:tcBorders>
            <w:vAlign w:val="top"/>
          </w:tcPr>
          <w:p w14:paraId="4D8EBB4F">
            <w:pPr>
              <w:rPr>
                <w:rFonts w:ascii="Arial"/>
                <w:sz w:val="21"/>
              </w:rPr>
            </w:pPr>
          </w:p>
        </w:tc>
      </w:tr>
      <w:tr w14:paraId="30336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5F816EA9">
            <w:pPr>
              <w:rPr>
                <w:rFonts w:ascii="Arial"/>
                <w:sz w:val="21"/>
              </w:rPr>
            </w:pPr>
          </w:p>
        </w:tc>
        <w:tc>
          <w:tcPr>
            <w:tcW w:w="1528" w:type="dxa"/>
            <w:vMerge w:val="continue"/>
            <w:tcBorders>
              <w:top w:val="nil"/>
              <w:bottom w:val="nil"/>
            </w:tcBorders>
            <w:vAlign w:val="top"/>
          </w:tcPr>
          <w:p w14:paraId="7D17FDA6">
            <w:pPr>
              <w:rPr>
                <w:rFonts w:ascii="Arial"/>
                <w:sz w:val="21"/>
              </w:rPr>
            </w:pPr>
          </w:p>
        </w:tc>
        <w:tc>
          <w:tcPr>
            <w:tcW w:w="3598" w:type="dxa"/>
            <w:vAlign w:val="top"/>
          </w:tcPr>
          <w:p w14:paraId="5531964A">
            <w:pPr>
              <w:rPr>
                <w:rFonts w:ascii="Arial"/>
                <w:sz w:val="21"/>
              </w:rPr>
            </w:pPr>
          </w:p>
        </w:tc>
        <w:tc>
          <w:tcPr>
            <w:tcW w:w="720" w:type="dxa"/>
            <w:vMerge w:val="continue"/>
            <w:tcBorders>
              <w:top w:val="nil"/>
              <w:bottom w:val="nil"/>
            </w:tcBorders>
            <w:vAlign w:val="top"/>
          </w:tcPr>
          <w:p w14:paraId="6E85A2EA">
            <w:pPr>
              <w:rPr>
                <w:rFonts w:ascii="Arial"/>
                <w:sz w:val="21"/>
              </w:rPr>
            </w:pPr>
          </w:p>
        </w:tc>
        <w:tc>
          <w:tcPr>
            <w:tcW w:w="797" w:type="dxa"/>
            <w:vMerge w:val="continue"/>
            <w:tcBorders>
              <w:top w:val="nil"/>
              <w:bottom w:val="nil"/>
            </w:tcBorders>
            <w:vAlign w:val="top"/>
          </w:tcPr>
          <w:p w14:paraId="3C7FBCCB">
            <w:pPr>
              <w:rPr>
                <w:rFonts w:ascii="Arial"/>
                <w:sz w:val="21"/>
              </w:rPr>
            </w:pPr>
          </w:p>
        </w:tc>
        <w:tc>
          <w:tcPr>
            <w:tcW w:w="798" w:type="dxa"/>
            <w:vMerge w:val="continue"/>
            <w:tcBorders>
              <w:top w:val="nil"/>
              <w:bottom w:val="nil"/>
            </w:tcBorders>
            <w:vAlign w:val="top"/>
          </w:tcPr>
          <w:p w14:paraId="0FA44214">
            <w:pPr>
              <w:rPr>
                <w:rFonts w:ascii="Arial"/>
                <w:sz w:val="21"/>
              </w:rPr>
            </w:pPr>
          </w:p>
        </w:tc>
        <w:tc>
          <w:tcPr>
            <w:tcW w:w="798" w:type="dxa"/>
            <w:vMerge w:val="continue"/>
            <w:tcBorders>
              <w:top w:val="nil"/>
              <w:bottom w:val="nil"/>
            </w:tcBorders>
            <w:vAlign w:val="top"/>
          </w:tcPr>
          <w:p w14:paraId="371533BD">
            <w:pPr>
              <w:rPr>
                <w:rFonts w:ascii="Arial"/>
                <w:sz w:val="21"/>
              </w:rPr>
            </w:pPr>
          </w:p>
        </w:tc>
        <w:tc>
          <w:tcPr>
            <w:tcW w:w="797" w:type="dxa"/>
            <w:vMerge w:val="continue"/>
            <w:tcBorders>
              <w:top w:val="nil"/>
              <w:bottom w:val="nil"/>
            </w:tcBorders>
            <w:vAlign w:val="top"/>
          </w:tcPr>
          <w:p w14:paraId="026C1335">
            <w:pPr>
              <w:rPr>
                <w:rFonts w:ascii="Arial"/>
                <w:sz w:val="21"/>
              </w:rPr>
            </w:pPr>
          </w:p>
        </w:tc>
        <w:tc>
          <w:tcPr>
            <w:tcW w:w="798" w:type="dxa"/>
            <w:vMerge w:val="continue"/>
            <w:tcBorders>
              <w:top w:val="nil"/>
              <w:bottom w:val="nil"/>
            </w:tcBorders>
            <w:vAlign w:val="top"/>
          </w:tcPr>
          <w:p w14:paraId="4CED2E4F">
            <w:pPr>
              <w:rPr>
                <w:rFonts w:ascii="Arial"/>
                <w:sz w:val="21"/>
              </w:rPr>
            </w:pPr>
          </w:p>
        </w:tc>
        <w:tc>
          <w:tcPr>
            <w:tcW w:w="797" w:type="dxa"/>
            <w:vMerge w:val="continue"/>
            <w:tcBorders>
              <w:top w:val="nil"/>
              <w:bottom w:val="nil"/>
            </w:tcBorders>
            <w:vAlign w:val="top"/>
          </w:tcPr>
          <w:p w14:paraId="09EFA22B">
            <w:pPr>
              <w:rPr>
                <w:rFonts w:ascii="Arial"/>
                <w:sz w:val="21"/>
              </w:rPr>
            </w:pPr>
          </w:p>
        </w:tc>
        <w:tc>
          <w:tcPr>
            <w:tcW w:w="797" w:type="dxa"/>
            <w:vMerge w:val="continue"/>
            <w:tcBorders>
              <w:top w:val="nil"/>
              <w:bottom w:val="nil"/>
            </w:tcBorders>
            <w:vAlign w:val="top"/>
          </w:tcPr>
          <w:p w14:paraId="2A26BC2F">
            <w:pPr>
              <w:rPr>
                <w:rFonts w:ascii="Arial"/>
                <w:sz w:val="21"/>
              </w:rPr>
            </w:pPr>
          </w:p>
        </w:tc>
        <w:tc>
          <w:tcPr>
            <w:tcW w:w="798" w:type="dxa"/>
            <w:vMerge w:val="continue"/>
            <w:tcBorders>
              <w:top w:val="nil"/>
              <w:bottom w:val="nil"/>
            </w:tcBorders>
            <w:vAlign w:val="top"/>
          </w:tcPr>
          <w:p w14:paraId="64DFD993">
            <w:pPr>
              <w:rPr>
                <w:rFonts w:ascii="Arial"/>
                <w:sz w:val="21"/>
              </w:rPr>
            </w:pPr>
          </w:p>
        </w:tc>
        <w:tc>
          <w:tcPr>
            <w:tcW w:w="802" w:type="dxa"/>
            <w:vMerge w:val="continue"/>
            <w:tcBorders>
              <w:top w:val="nil"/>
              <w:bottom w:val="nil"/>
            </w:tcBorders>
            <w:vAlign w:val="top"/>
          </w:tcPr>
          <w:p w14:paraId="62ED3B7D">
            <w:pPr>
              <w:rPr>
                <w:rFonts w:ascii="Arial"/>
                <w:sz w:val="21"/>
              </w:rPr>
            </w:pPr>
          </w:p>
        </w:tc>
      </w:tr>
      <w:tr w14:paraId="21B45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4491D9B6">
            <w:pPr>
              <w:rPr>
                <w:rFonts w:ascii="Arial"/>
                <w:sz w:val="21"/>
              </w:rPr>
            </w:pPr>
          </w:p>
        </w:tc>
        <w:tc>
          <w:tcPr>
            <w:tcW w:w="1528" w:type="dxa"/>
            <w:vMerge w:val="continue"/>
            <w:tcBorders>
              <w:top w:val="nil"/>
              <w:bottom w:val="nil"/>
            </w:tcBorders>
            <w:vAlign w:val="top"/>
          </w:tcPr>
          <w:p w14:paraId="69F66C76">
            <w:pPr>
              <w:rPr>
                <w:rFonts w:ascii="Arial"/>
                <w:sz w:val="21"/>
              </w:rPr>
            </w:pPr>
          </w:p>
        </w:tc>
        <w:tc>
          <w:tcPr>
            <w:tcW w:w="3598" w:type="dxa"/>
            <w:vAlign w:val="top"/>
          </w:tcPr>
          <w:p w14:paraId="58DDC357">
            <w:pPr>
              <w:rPr>
                <w:rFonts w:ascii="Arial"/>
                <w:sz w:val="21"/>
              </w:rPr>
            </w:pPr>
          </w:p>
        </w:tc>
        <w:tc>
          <w:tcPr>
            <w:tcW w:w="720" w:type="dxa"/>
            <w:vMerge w:val="continue"/>
            <w:tcBorders>
              <w:top w:val="nil"/>
              <w:bottom w:val="nil"/>
            </w:tcBorders>
            <w:vAlign w:val="top"/>
          </w:tcPr>
          <w:p w14:paraId="5C02603D">
            <w:pPr>
              <w:rPr>
                <w:rFonts w:ascii="Arial"/>
                <w:sz w:val="21"/>
              </w:rPr>
            </w:pPr>
          </w:p>
        </w:tc>
        <w:tc>
          <w:tcPr>
            <w:tcW w:w="797" w:type="dxa"/>
            <w:vMerge w:val="continue"/>
            <w:tcBorders>
              <w:top w:val="nil"/>
              <w:bottom w:val="nil"/>
            </w:tcBorders>
            <w:vAlign w:val="top"/>
          </w:tcPr>
          <w:p w14:paraId="033C93BE">
            <w:pPr>
              <w:rPr>
                <w:rFonts w:ascii="Arial"/>
                <w:sz w:val="21"/>
              </w:rPr>
            </w:pPr>
          </w:p>
        </w:tc>
        <w:tc>
          <w:tcPr>
            <w:tcW w:w="798" w:type="dxa"/>
            <w:vMerge w:val="continue"/>
            <w:tcBorders>
              <w:top w:val="nil"/>
              <w:bottom w:val="nil"/>
            </w:tcBorders>
            <w:vAlign w:val="top"/>
          </w:tcPr>
          <w:p w14:paraId="076FA781">
            <w:pPr>
              <w:rPr>
                <w:rFonts w:ascii="Arial"/>
                <w:sz w:val="21"/>
              </w:rPr>
            </w:pPr>
          </w:p>
        </w:tc>
        <w:tc>
          <w:tcPr>
            <w:tcW w:w="798" w:type="dxa"/>
            <w:vMerge w:val="continue"/>
            <w:tcBorders>
              <w:top w:val="nil"/>
              <w:bottom w:val="nil"/>
            </w:tcBorders>
            <w:vAlign w:val="top"/>
          </w:tcPr>
          <w:p w14:paraId="18DB5581">
            <w:pPr>
              <w:rPr>
                <w:rFonts w:ascii="Arial"/>
                <w:sz w:val="21"/>
              </w:rPr>
            </w:pPr>
          </w:p>
        </w:tc>
        <w:tc>
          <w:tcPr>
            <w:tcW w:w="797" w:type="dxa"/>
            <w:vMerge w:val="continue"/>
            <w:tcBorders>
              <w:top w:val="nil"/>
              <w:bottom w:val="nil"/>
            </w:tcBorders>
            <w:vAlign w:val="top"/>
          </w:tcPr>
          <w:p w14:paraId="562C8542">
            <w:pPr>
              <w:rPr>
                <w:rFonts w:ascii="Arial"/>
                <w:sz w:val="21"/>
              </w:rPr>
            </w:pPr>
          </w:p>
        </w:tc>
        <w:tc>
          <w:tcPr>
            <w:tcW w:w="798" w:type="dxa"/>
            <w:vMerge w:val="continue"/>
            <w:tcBorders>
              <w:top w:val="nil"/>
              <w:bottom w:val="nil"/>
            </w:tcBorders>
            <w:vAlign w:val="top"/>
          </w:tcPr>
          <w:p w14:paraId="408201F7">
            <w:pPr>
              <w:rPr>
                <w:rFonts w:ascii="Arial"/>
                <w:sz w:val="21"/>
              </w:rPr>
            </w:pPr>
          </w:p>
        </w:tc>
        <w:tc>
          <w:tcPr>
            <w:tcW w:w="797" w:type="dxa"/>
            <w:vMerge w:val="continue"/>
            <w:tcBorders>
              <w:top w:val="nil"/>
              <w:bottom w:val="nil"/>
            </w:tcBorders>
            <w:vAlign w:val="top"/>
          </w:tcPr>
          <w:p w14:paraId="74017E97">
            <w:pPr>
              <w:rPr>
                <w:rFonts w:ascii="Arial"/>
                <w:sz w:val="21"/>
              </w:rPr>
            </w:pPr>
          </w:p>
        </w:tc>
        <w:tc>
          <w:tcPr>
            <w:tcW w:w="797" w:type="dxa"/>
            <w:vMerge w:val="continue"/>
            <w:tcBorders>
              <w:top w:val="nil"/>
              <w:bottom w:val="nil"/>
            </w:tcBorders>
            <w:vAlign w:val="top"/>
          </w:tcPr>
          <w:p w14:paraId="0A6294AE">
            <w:pPr>
              <w:rPr>
                <w:rFonts w:ascii="Arial"/>
                <w:sz w:val="21"/>
              </w:rPr>
            </w:pPr>
          </w:p>
        </w:tc>
        <w:tc>
          <w:tcPr>
            <w:tcW w:w="798" w:type="dxa"/>
            <w:vMerge w:val="continue"/>
            <w:tcBorders>
              <w:top w:val="nil"/>
              <w:bottom w:val="nil"/>
            </w:tcBorders>
            <w:vAlign w:val="top"/>
          </w:tcPr>
          <w:p w14:paraId="439C91E4">
            <w:pPr>
              <w:rPr>
                <w:rFonts w:ascii="Arial"/>
                <w:sz w:val="21"/>
              </w:rPr>
            </w:pPr>
          </w:p>
        </w:tc>
        <w:tc>
          <w:tcPr>
            <w:tcW w:w="802" w:type="dxa"/>
            <w:vMerge w:val="continue"/>
            <w:tcBorders>
              <w:top w:val="nil"/>
              <w:bottom w:val="nil"/>
            </w:tcBorders>
            <w:vAlign w:val="top"/>
          </w:tcPr>
          <w:p w14:paraId="642D28F9">
            <w:pPr>
              <w:rPr>
                <w:rFonts w:ascii="Arial"/>
                <w:sz w:val="21"/>
              </w:rPr>
            </w:pPr>
          </w:p>
        </w:tc>
      </w:tr>
      <w:tr w14:paraId="24D30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743" w:type="dxa"/>
            <w:vMerge w:val="continue"/>
            <w:tcBorders>
              <w:top w:val="nil"/>
            </w:tcBorders>
            <w:vAlign w:val="top"/>
          </w:tcPr>
          <w:p w14:paraId="150C82DC">
            <w:pPr>
              <w:rPr>
                <w:rFonts w:ascii="Arial"/>
                <w:sz w:val="21"/>
              </w:rPr>
            </w:pPr>
          </w:p>
        </w:tc>
        <w:tc>
          <w:tcPr>
            <w:tcW w:w="1528" w:type="dxa"/>
            <w:vMerge w:val="continue"/>
            <w:tcBorders>
              <w:top w:val="nil"/>
            </w:tcBorders>
            <w:vAlign w:val="top"/>
          </w:tcPr>
          <w:p w14:paraId="5B4FB9D1">
            <w:pPr>
              <w:rPr>
                <w:rFonts w:ascii="Arial"/>
                <w:sz w:val="21"/>
              </w:rPr>
            </w:pPr>
          </w:p>
        </w:tc>
        <w:tc>
          <w:tcPr>
            <w:tcW w:w="3598" w:type="dxa"/>
            <w:vAlign w:val="top"/>
          </w:tcPr>
          <w:p w14:paraId="03D41D2B">
            <w:pPr>
              <w:rPr>
                <w:rFonts w:ascii="Arial"/>
                <w:sz w:val="21"/>
              </w:rPr>
            </w:pPr>
          </w:p>
        </w:tc>
        <w:tc>
          <w:tcPr>
            <w:tcW w:w="720" w:type="dxa"/>
            <w:vMerge w:val="continue"/>
            <w:tcBorders>
              <w:top w:val="nil"/>
            </w:tcBorders>
            <w:vAlign w:val="top"/>
          </w:tcPr>
          <w:p w14:paraId="5279631A">
            <w:pPr>
              <w:rPr>
                <w:rFonts w:ascii="Arial"/>
                <w:sz w:val="21"/>
              </w:rPr>
            </w:pPr>
          </w:p>
        </w:tc>
        <w:tc>
          <w:tcPr>
            <w:tcW w:w="797" w:type="dxa"/>
            <w:vMerge w:val="continue"/>
            <w:tcBorders>
              <w:top w:val="nil"/>
            </w:tcBorders>
            <w:vAlign w:val="top"/>
          </w:tcPr>
          <w:p w14:paraId="368558DD">
            <w:pPr>
              <w:rPr>
                <w:rFonts w:ascii="Arial"/>
                <w:sz w:val="21"/>
              </w:rPr>
            </w:pPr>
          </w:p>
        </w:tc>
        <w:tc>
          <w:tcPr>
            <w:tcW w:w="798" w:type="dxa"/>
            <w:vMerge w:val="continue"/>
            <w:tcBorders>
              <w:top w:val="nil"/>
            </w:tcBorders>
            <w:vAlign w:val="top"/>
          </w:tcPr>
          <w:p w14:paraId="100B8EEC">
            <w:pPr>
              <w:rPr>
                <w:rFonts w:ascii="Arial"/>
                <w:sz w:val="21"/>
              </w:rPr>
            </w:pPr>
          </w:p>
        </w:tc>
        <w:tc>
          <w:tcPr>
            <w:tcW w:w="798" w:type="dxa"/>
            <w:vMerge w:val="continue"/>
            <w:tcBorders>
              <w:top w:val="nil"/>
            </w:tcBorders>
            <w:vAlign w:val="top"/>
          </w:tcPr>
          <w:p w14:paraId="168BDE8D">
            <w:pPr>
              <w:rPr>
                <w:rFonts w:ascii="Arial"/>
                <w:sz w:val="21"/>
              </w:rPr>
            </w:pPr>
          </w:p>
        </w:tc>
        <w:tc>
          <w:tcPr>
            <w:tcW w:w="797" w:type="dxa"/>
            <w:vMerge w:val="continue"/>
            <w:tcBorders>
              <w:top w:val="nil"/>
            </w:tcBorders>
            <w:vAlign w:val="top"/>
          </w:tcPr>
          <w:p w14:paraId="4061C20D">
            <w:pPr>
              <w:rPr>
                <w:rFonts w:ascii="Arial"/>
                <w:sz w:val="21"/>
              </w:rPr>
            </w:pPr>
          </w:p>
        </w:tc>
        <w:tc>
          <w:tcPr>
            <w:tcW w:w="798" w:type="dxa"/>
            <w:vMerge w:val="continue"/>
            <w:tcBorders>
              <w:top w:val="nil"/>
            </w:tcBorders>
            <w:vAlign w:val="top"/>
          </w:tcPr>
          <w:p w14:paraId="320F1ED3">
            <w:pPr>
              <w:rPr>
                <w:rFonts w:ascii="Arial"/>
                <w:sz w:val="21"/>
              </w:rPr>
            </w:pPr>
          </w:p>
        </w:tc>
        <w:tc>
          <w:tcPr>
            <w:tcW w:w="797" w:type="dxa"/>
            <w:vMerge w:val="continue"/>
            <w:tcBorders>
              <w:top w:val="nil"/>
            </w:tcBorders>
            <w:vAlign w:val="top"/>
          </w:tcPr>
          <w:p w14:paraId="6CD388ED">
            <w:pPr>
              <w:rPr>
                <w:rFonts w:ascii="Arial"/>
                <w:sz w:val="21"/>
              </w:rPr>
            </w:pPr>
          </w:p>
        </w:tc>
        <w:tc>
          <w:tcPr>
            <w:tcW w:w="797" w:type="dxa"/>
            <w:vMerge w:val="continue"/>
            <w:tcBorders>
              <w:top w:val="nil"/>
            </w:tcBorders>
            <w:vAlign w:val="top"/>
          </w:tcPr>
          <w:p w14:paraId="6A485560">
            <w:pPr>
              <w:rPr>
                <w:rFonts w:ascii="Arial"/>
                <w:sz w:val="21"/>
              </w:rPr>
            </w:pPr>
          </w:p>
        </w:tc>
        <w:tc>
          <w:tcPr>
            <w:tcW w:w="798" w:type="dxa"/>
            <w:vMerge w:val="continue"/>
            <w:tcBorders>
              <w:top w:val="nil"/>
            </w:tcBorders>
            <w:vAlign w:val="top"/>
          </w:tcPr>
          <w:p w14:paraId="489AD90F">
            <w:pPr>
              <w:rPr>
                <w:rFonts w:ascii="Arial"/>
                <w:sz w:val="21"/>
              </w:rPr>
            </w:pPr>
          </w:p>
        </w:tc>
        <w:tc>
          <w:tcPr>
            <w:tcW w:w="802" w:type="dxa"/>
            <w:vMerge w:val="continue"/>
            <w:tcBorders>
              <w:top w:val="nil"/>
            </w:tcBorders>
            <w:vAlign w:val="top"/>
          </w:tcPr>
          <w:p w14:paraId="03CC2178">
            <w:pPr>
              <w:rPr>
                <w:rFonts w:ascii="Arial"/>
                <w:sz w:val="21"/>
              </w:rPr>
            </w:pPr>
          </w:p>
        </w:tc>
      </w:tr>
    </w:tbl>
    <w:p w14:paraId="226B8A47">
      <w:pPr>
        <w:rPr>
          <w:rFonts w:ascii="Arial"/>
          <w:sz w:val="21"/>
        </w:rPr>
      </w:pPr>
    </w:p>
    <w:p w14:paraId="61A57235">
      <w:pPr>
        <w:rPr>
          <w:rFonts w:ascii="Arial" w:hAnsi="Arial" w:eastAsia="Arial" w:cs="Arial"/>
          <w:sz w:val="21"/>
          <w:szCs w:val="21"/>
        </w:rPr>
        <w:sectPr>
          <w:footerReference r:id="rId138" w:type="default"/>
          <w:pgSz w:w="16840" w:h="11907"/>
          <w:pgMar w:top="400" w:right="1475" w:bottom="1036" w:left="1588" w:header="0" w:footer="787" w:gutter="0"/>
          <w:cols w:space="720" w:num="1"/>
        </w:sectPr>
      </w:pPr>
    </w:p>
    <w:p w14:paraId="3FF391B9">
      <w:pPr>
        <w:spacing w:before="33"/>
      </w:pPr>
    </w:p>
    <w:p w14:paraId="28F56263">
      <w:pPr>
        <w:spacing w:before="33"/>
      </w:pPr>
    </w:p>
    <w:p w14:paraId="059FF177">
      <w:pPr>
        <w:spacing w:before="33"/>
      </w:pPr>
    </w:p>
    <w:p w14:paraId="4C636CBB">
      <w:pPr>
        <w:spacing w:before="33"/>
      </w:pPr>
    </w:p>
    <w:p w14:paraId="62CBF2AD">
      <w:pPr>
        <w:spacing w:before="32"/>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3"/>
        <w:gridCol w:w="1528"/>
        <w:gridCol w:w="3598"/>
        <w:gridCol w:w="720"/>
        <w:gridCol w:w="797"/>
        <w:gridCol w:w="798"/>
        <w:gridCol w:w="798"/>
        <w:gridCol w:w="797"/>
        <w:gridCol w:w="798"/>
        <w:gridCol w:w="797"/>
        <w:gridCol w:w="797"/>
        <w:gridCol w:w="798"/>
        <w:gridCol w:w="802"/>
      </w:tblGrid>
      <w:tr w14:paraId="50A661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43" w:type="dxa"/>
            <w:vMerge w:val="restart"/>
            <w:tcBorders>
              <w:bottom w:val="nil"/>
            </w:tcBorders>
            <w:vAlign w:val="top"/>
          </w:tcPr>
          <w:p w14:paraId="0404A8C0">
            <w:pPr>
              <w:spacing w:line="291" w:lineRule="auto"/>
              <w:rPr>
                <w:rFonts w:ascii="Arial"/>
                <w:sz w:val="21"/>
              </w:rPr>
            </w:pPr>
          </w:p>
          <w:p w14:paraId="191FFE47">
            <w:pPr>
              <w:pStyle w:val="6"/>
              <w:spacing w:before="65" w:line="229" w:lineRule="auto"/>
              <w:ind w:left="166"/>
            </w:pPr>
            <w:r>
              <w:rPr>
                <w:spacing w:val="5"/>
              </w:rPr>
              <w:t>序号</w:t>
            </w:r>
          </w:p>
        </w:tc>
        <w:tc>
          <w:tcPr>
            <w:tcW w:w="1528" w:type="dxa"/>
            <w:vMerge w:val="restart"/>
            <w:tcBorders>
              <w:bottom w:val="nil"/>
            </w:tcBorders>
            <w:vAlign w:val="top"/>
          </w:tcPr>
          <w:p w14:paraId="6AC6BE82">
            <w:pPr>
              <w:spacing w:line="291" w:lineRule="auto"/>
              <w:rPr>
                <w:rFonts w:ascii="Arial"/>
                <w:sz w:val="21"/>
              </w:rPr>
            </w:pPr>
          </w:p>
          <w:p w14:paraId="2A281979">
            <w:pPr>
              <w:pStyle w:val="6"/>
              <w:spacing w:before="65" w:line="228" w:lineRule="auto"/>
              <w:ind w:left="347"/>
            </w:pPr>
            <w:r>
              <w:rPr>
                <w:spacing w:val="7"/>
              </w:rPr>
              <w:t>评分项目</w:t>
            </w:r>
          </w:p>
        </w:tc>
        <w:tc>
          <w:tcPr>
            <w:tcW w:w="3598" w:type="dxa"/>
            <w:vMerge w:val="restart"/>
            <w:tcBorders>
              <w:bottom w:val="nil"/>
            </w:tcBorders>
            <w:vAlign w:val="top"/>
          </w:tcPr>
          <w:p w14:paraId="7A90B354">
            <w:pPr>
              <w:spacing w:line="291" w:lineRule="auto"/>
              <w:rPr>
                <w:rFonts w:ascii="Arial"/>
                <w:sz w:val="21"/>
              </w:rPr>
            </w:pPr>
          </w:p>
          <w:p w14:paraId="0F85969B">
            <w:pPr>
              <w:pStyle w:val="6"/>
              <w:spacing w:before="65" w:line="228" w:lineRule="auto"/>
              <w:ind w:left="1384"/>
            </w:pPr>
            <w:r>
              <w:rPr>
                <w:spacing w:val="7"/>
              </w:rPr>
              <w:t>评分标准</w:t>
            </w:r>
          </w:p>
        </w:tc>
        <w:tc>
          <w:tcPr>
            <w:tcW w:w="720" w:type="dxa"/>
            <w:vMerge w:val="restart"/>
            <w:tcBorders>
              <w:bottom w:val="nil"/>
            </w:tcBorders>
            <w:vAlign w:val="top"/>
          </w:tcPr>
          <w:p w14:paraId="36BB3162">
            <w:pPr>
              <w:pStyle w:val="6"/>
              <w:spacing w:before="221" w:line="254" w:lineRule="auto"/>
              <w:ind w:left="264" w:right="149" w:hanging="107"/>
            </w:pPr>
            <w:r>
              <w:rPr>
                <w:spacing w:val="4"/>
              </w:rPr>
              <w:t>标准</w:t>
            </w:r>
            <w:r>
              <w:t>分</w:t>
            </w:r>
          </w:p>
        </w:tc>
        <w:tc>
          <w:tcPr>
            <w:tcW w:w="7182" w:type="dxa"/>
            <w:gridSpan w:val="9"/>
            <w:vAlign w:val="top"/>
          </w:tcPr>
          <w:p w14:paraId="4B470EAD">
            <w:pPr>
              <w:pStyle w:val="6"/>
              <w:spacing w:before="124" w:line="228" w:lineRule="auto"/>
              <w:ind w:left="2023"/>
            </w:pPr>
            <w:r>
              <w:rPr>
                <w:spacing w:val="9"/>
              </w:rPr>
              <w:t>投标人名称或暗标编号及评审得分</w:t>
            </w:r>
          </w:p>
        </w:tc>
      </w:tr>
      <w:tr w14:paraId="1C7551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43" w:type="dxa"/>
            <w:vMerge w:val="continue"/>
            <w:tcBorders>
              <w:top w:val="nil"/>
            </w:tcBorders>
            <w:vAlign w:val="top"/>
          </w:tcPr>
          <w:p w14:paraId="05E5A352">
            <w:pPr>
              <w:rPr>
                <w:rFonts w:ascii="Arial"/>
                <w:sz w:val="21"/>
              </w:rPr>
            </w:pPr>
          </w:p>
        </w:tc>
        <w:tc>
          <w:tcPr>
            <w:tcW w:w="1528" w:type="dxa"/>
            <w:vMerge w:val="continue"/>
            <w:tcBorders>
              <w:top w:val="nil"/>
            </w:tcBorders>
            <w:vAlign w:val="top"/>
          </w:tcPr>
          <w:p w14:paraId="1C7D80BE">
            <w:pPr>
              <w:rPr>
                <w:rFonts w:ascii="Arial"/>
                <w:sz w:val="21"/>
              </w:rPr>
            </w:pPr>
          </w:p>
        </w:tc>
        <w:tc>
          <w:tcPr>
            <w:tcW w:w="3598" w:type="dxa"/>
            <w:vMerge w:val="continue"/>
            <w:tcBorders>
              <w:top w:val="nil"/>
            </w:tcBorders>
            <w:vAlign w:val="top"/>
          </w:tcPr>
          <w:p w14:paraId="6D97C267">
            <w:pPr>
              <w:rPr>
                <w:rFonts w:ascii="Arial"/>
                <w:sz w:val="21"/>
              </w:rPr>
            </w:pPr>
          </w:p>
        </w:tc>
        <w:tc>
          <w:tcPr>
            <w:tcW w:w="720" w:type="dxa"/>
            <w:vMerge w:val="continue"/>
            <w:tcBorders>
              <w:top w:val="nil"/>
            </w:tcBorders>
            <w:vAlign w:val="top"/>
          </w:tcPr>
          <w:p w14:paraId="602DAABE">
            <w:pPr>
              <w:rPr>
                <w:rFonts w:ascii="Arial"/>
                <w:sz w:val="21"/>
              </w:rPr>
            </w:pPr>
          </w:p>
        </w:tc>
        <w:tc>
          <w:tcPr>
            <w:tcW w:w="797" w:type="dxa"/>
            <w:vAlign w:val="top"/>
          </w:tcPr>
          <w:p w14:paraId="6D817F39">
            <w:pPr>
              <w:rPr>
                <w:rFonts w:ascii="Arial"/>
                <w:sz w:val="21"/>
              </w:rPr>
            </w:pPr>
          </w:p>
        </w:tc>
        <w:tc>
          <w:tcPr>
            <w:tcW w:w="798" w:type="dxa"/>
            <w:vAlign w:val="top"/>
          </w:tcPr>
          <w:p w14:paraId="67312F19">
            <w:pPr>
              <w:rPr>
                <w:rFonts w:ascii="Arial"/>
                <w:sz w:val="21"/>
              </w:rPr>
            </w:pPr>
          </w:p>
        </w:tc>
        <w:tc>
          <w:tcPr>
            <w:tcW w:w="798" w:type="dxa"/>
            <w:vAlign w:val="top"/>
          </w:tcPr>
          <w:p w14:paraId="7D1218FD">
            <w:pPr>
              <w:rPr>
                <w:rFonts w:ascii="Arial"/>
                <w:sz w:val="21"/>
              </w:rPr>
            </w:pPr>
          </w:p>
        </w:tc>
        <w:tc>
          <w:tcPr>
            <w:tcW w:w="797" w:type="dxa"/>
            <w:vAlign w:val="top"/>
          </w:tcPr>
          <w:p w14:paraId="3010C877">
            <w:pPr>
              <w:rPr>
                <w:rFonts w:ascii="Arial"/>
                <w:sz w:val="21"/>
              </w:rPr>
            </w:pPr>
          </w:p>
        </w:tc>
        <w:tc>
          <w:tcPr>
            <w:tcW w:w="798" w:type="dxa"/>
            <w:vAlign w:val="top"/>
          </w:tcPr>
          <w:p w14:paraId="3413833A">
            <w:pPr>
              <w:rPr>
                <w:rFonts w:ascii="Arial"/>
                <w:sz w:val="21"/>
              </w:rPr>
            </w:pPr>
          </w:p>
        </w:tc>
        <w:tc>
          <w:tcPr>
            <w:tcW w:w="797" w:type="dxa"/>
            <w:vAlign w:val="top"/>
          </w:tcPr>
          <w:p w14:paraId="6D6F5726">
            <w:pPr>
              <w:rPr>
                <w:rFonts w:ascii="Arial"/>
                <w:sz w:val="21"/>
              </w:rPr>
            </w:pPr>
          </w:p>
        </w:tc>
        <w:tc>
          <w:tcPr>
            <w:tcW w:w="797" w:type="dxa"/>
            <w:vAlign w:val="top"/>
          </w:tcPr>
          <w:p w14:paraId="6450993D">
            <w:pPr>
              <w:rPr>
                <w:rFonts w:ascii="Arial"/>
                <w:sz w:val="21"/>
              </w:rPr>
            </w:pPr>
          </w:p>
        </w:tc>
        <w:tc>
          <w:tcPr>
            <w:tcW w:w="798" w:type="dxa"/>
            <w:vAlign w:val="top"/>
          </w:tcPr>
          <w:p w14:paraId="47B558D3">
            <w:pPr>
              <w:rPr>
                <w:rFonts w:ascii="Arial"/>
                <w:sz w:val="21"/>
              </w:rPr>
            </w:pPr>
          </w:p>
        </w:tc>
        <w:tc>
          <w:tcPr>
            <w:tcW w:w="802" w:type="dxa"/>
            <w:vAlign w:val="top"/>
          </w:tcPr>
          <w:p w14:paraId="31BD8AB9">
            <w:pPr>
              <w:rPr>
                <w:rFonts w:ascii="Arial"/>
                <w:sz w:val="21"/>
              </w:rPr>
            </w:pPr>
          </w:p>
        </w:tc>
      </w:tr>
      <w:tr w14:paraId="2C9048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743" w:type="dxa"/>
            <w:vMerge w:val="restart"/>
            <w:tcBorders>
              <w:bottom w:val="nil"/>
            </w:tcBorders>
            <w:vAlign w:val="top"/>
          </w:tcPr>
          <w:p w14:paraId="72C40234">
            <w:pPr>
              <w:spacing w:line="266" w:lineRule="auto"/>
              <w:rPr>
                <w:rFonts w:ascii="Arial"/>
                <w:sz w:val="21"/>
              </w:rPr>
            </w:pPr>
          </w:p>
          <w:p w14:paraId="446C18F6">
            <w:pPr>
              <w:spacing w:line="266" w:lineRule="auto"/>
              <w:rPr>
                <w:rFonts w:ascii="Arial"/>
                <w:sz w:val="21"/>
              </w:rPr>
            </w:pPr>
          </w:p>
          <w:p w14:paraId="7979A290">
            <w:pPr>
              <w:spacing w:before="65" w:line="272" w:lineRule="exact"/>
              <w:ind w:left="320"/>
              <w:rPr>
                <w:rFonts w:ascii="黑体" w:hAnsi="黑体" w:eastAsia="黑体" w:cs="黑体"/>
                <w:sz w:val="20"/>
                <w:szCs w:val="20"/>
              </w:rPr>
            </w:pPr>
            <w:r>
              <w:rPr>
                <w:rFonts w:ascii="黑体" w:hAnsi="黑体" w:eastAsia="黑体" w:cs="黑体"/>
                <w:spacing w:val="1"/>
                <w:position w:val="1"/>
                <w:sz w:val="20"/>
                <w:szCs w:val="20"/>
              </w:rPr>
              <w:t>5</w:t>
            </w:r>
          </w:p>
        </w:tc>
        <w:tc>
          <w:tcPr>
            <w:tcW w:w="1528" w:type="dxa"/>
            <w:vMerge w:val="restart"/>
            <w:tcBorders>
              <w:bottom w:val="nil"/>
            </w:tcBorders>
            <w:vAlign w:val="top"/>
          </w:tcPr>
          <w:p w14:paraId="4B75A1DD">
            <w:pPr>
              <w:spacing w:line="266" w:lineRule="auto"/>
              <w:rPr>
                <w:rFonts w:ascii="Arial"/>
                <w:sz w:val="21"/>
              </w:rPr>
            </w:pPr>
          </w:p>
          <w:p w14:paraId="604F21B6">
            <w:pPr>
              <w:spacing w:line="266" w:lineRule="auto"/>
              <w:rPr>
                <w:rFonts w:ascii="Arial"/>
                <w:sz w:val="21"/>
              </w:rPr>
            </w:pPr>
          </w:p>
          <w:p w14:paraId="4C9C9B15">
            <w:pPr>
              <w:pStyle w:val="6"/>
              <w:spacing w:before="65" w:line="228" w:lineRule="auto"/>
              <w:ind w:left="138"/>
            </w:pPr>
            <w:r>
              <w:rPr>
                <w:spacing w:val="7"/>
              </w:rPr>
              <w:t>主要施工方案</w:t>
            </w:r>
          </w:p>
        </w:tc>
        <w:tc>
          <w:tcPr>
            <w:tcW w:w="3598" w:type="dxa"/>
            <w:vAlign w:val="top"/>
          </w:tcPr>
          <w:p w14:paraId="4B47B610">
            <w:pPr>
              <w:rPr>
                <w:rFonts w:ascii="Arial"/>
                <w:sz w:val="21"/>
              </w:rPr>
            </w:pPr>
          </w:p>
        </w:tc>
        <w:tc>
          <w:tcPr>
            <w:tcW w:w="720" w:type="dxa"/>
            <w:vMerge w:val="restart"/>
            <w:tcBorders>
              <w:bottom w:val="nil"/>
            </w:tcBorders>
            <w:vAlign w:val="top"/>
          </w:tcPr>
          <w:p w14:paraId="6E1D123F">
            <w:pPr>
              <w:spacing w:line="266" w:lineRule="auto"/>
              <w:rPr>
                <w:rFonts w:ascii="Arial"/>
                <w:sz w:val="21"/>
              </w:rPr>
            </w:pPr>
          </w:p>
          <w:p w14:paraId="35F560A3">
            <w:pPr>
              <w:spacing w:line="266" w:lineRule="auto"/>
              <w:rPr>
                <w:rFonts w:ascii="Arial"/>
                <w:sz w:val="21"/>
              </w:rPr>
            </w:pPr>
          </w:p>
          <w:p w14:paraId="745DF36C">
            <w:pPr>
              <w:pStyle w:val="6"/>
              <w:spacing w:before="65" w:line="228" w:lineRule="auto"/>
              <w:ind w:left="264"/>
            </w:pPr>
            <w:r>
              <w:t>分</w:t>
            </w:r>
          </w:p>
        </w:tc>
        <w:tc>
          <w:tcPr>
            <w:tcW w:w="797" w:type="dxa"/>
            <w:vMerge w:val="restart"/>
            <w:tcBorders>
              <w:bottom w:val="nil"/>
            </w:tcBorders>
            <w:vAlign w:val="top"/>
          </w:tcPr>
          <w:p w14:paraId="6AA92D92">
            <w:pPr>
              <w:rPr>
                <w:rFonts w:ascii="Arial"/>
                <w:sz w:val="21"/>
              </w:rPr>
            </w:pPr>
          </w:p>
        </w:tc>
        <w:tc>
          <w:tcPr>
            <w:tcW w:w="798" w:type="dxa"/>
            <w:vMerge w:val="restart"/>
            <w:tcBorders>
              <w:bottom w:val="nil"/>
            </w:tcBorders>
            <w:vAlign w:val="top"/>
          </w:tcPr>
          <w:p w14:paraId="604E8DE1">
            <w:pPr>
              <w:rPr>
                <w:rFonts w:ascii="Arial"/>
                <w:sz w:val="21"/>
              </w:rPr>
            </w:pPr>
          </w:p>
        </w:tc>
        <w:tc>
          <w:tcPr>
            <w:tcW w:w="798" w:type="dxa"/>
            <w:vMerge w:val="restart"/>
            <w:tcBorders>
              <w:bottom w:val="nil"/>
            </w:tcBorders>
            <w:vAlign w:val="top"/>
          </w:tcPr>
          <w:p w14:paraId="6C0A1795">
            <w:pPr>
              <w:rPr>
                <w:rFonts w:ascii="Arial"/>
                <w:sz w:val="21"/>
              </w:rPr>
            </w:pPr>
          </w:p>
        </w:tc>
        <w:tc>
          <w:tcPr>
            <w:tcW w:w="797" w:type="dxa"/>
            <w:vMerge w:val="restart"/>
            <w:tcBorders>
              <w:bottom w:val="nil"/>
            </w:tcBorders>
            <w:vAlign w:val="top"/>
          </w:tcPr>
          <w:p w14:paraId="1A5C64B2">
            <w:pPr>
              <w:rPr>
                <w:rFonts w:ascii="Arial"/>
                <w:sz w:val="21"/>
              </w:rPr>
            </w:pPr>
          </w:p>
        </w:tc>
        <w:tc>
          <w:tcPr>
            <w:tcW w:w="798" w:type="dxa"/>
            <w:vMerge w:val="restart"/>
            <w:tcBorders>
              <w:bottom w:val="nil"/>
            </w:tcBorders>
            <w:vAlign w:val="top"/>
          </w:tcPr>
          <w:p w14:paraId="40C1B86B">
            <w:pPr>
              <w:rPr>
                <w:rFonts w:ascii="Arial"/>
                <w:sz w:val="21"/>
              </w:rPr>
            </w:pPr>
          </w:p>
        </w:tc>
        <w:tc>
          <w:tcPr>
            <w:tcW w:w="797" w:type="dxa"/>
            <w:vMerge w:val="restart"/>
            <w:tcBorders>
              <w:bottom w:val="nil"/>
            </w:tcBorders>
            <w:vAlign w:val="top"/>
          </w:tcPr>
          <w:p w14:paraId="7053970C">
            <w:pPr>
              <w:rPr>
                <w:rFonts w:ascii="Arial"/>
                <w:sz w:val="21"/>
              </w:rPr>
            </w:pPr>
          </w:p>
        </w:tc>
        <w:tc>
          <w:tcPr>
            <w:tcW w:w="797" w:type="dxa"/>
            <w:vMerge w:val="restart"/>
            <w:tcBorders>
              <w:bottom w:val="nil"/>
            </w:tcBorders>
            <w:vAlign w:val="top"/>
          </w:tcPr>
          <w:p w14:paraId="5B0B7F5F">
            <w:pPr>
              <w:rPr>
                <w:rFonts w:ascii="Arial"/>
                <w:sz w:val="21"/>
              </w:rPr>
            </w:pPr>
          </w:p>
        </w:tc>
        <w:tc>
          <w:tcPr>
            <w:tcW w:w="798" w:type="dxa"/>
            <w:vMerge w:val="restart"/>
            <w:tcBorders>
              <w:bottom w:val="nil"/>
            </w:tcBorders>
            <w:vAlign w:val="top"/>
          </w:tcPr>
          <w:p w14:paraId="05CB98EB">
            <w:pPr>
              <w:rPr>
                <w:rFonts w:ascii="Arial"/>
                <w:sz w:val="21"/>
              </w:rPr>
            </w:pPr>
          </w:p>
        </w:tc>
        <w:tc>
          <w:tcPr>
            <w:tcW w:w="802" w:type="dxa"/>
            <w:vMerge w:val="restart"/>
            <w:tcBorders>
              <w:bottom w:val="nil"/>
            </w:tcBorders>
            <w:vAlign w:val="top"/>
          </w:tcPr>
          <w:p w14:paraId="161A3D4B">
            <w:pPr>
              <w:rPr>
                <w:rFonts w:ascii="Arial"/>
                <w:sz w:val="21"/>
              </w:rPr>
            </w:pPr>
          </w:p>
        </w:tc>
      </w:tr>
      <w:tr w14:paraId="3857E4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bottom w:val="nil"/>
            </w:tcBorders>
            <w:vAlign w:val="top"/>
          </w:tcPr>
          <w:p w14:paraId="056D6EE8">
            <w:pPr>
              <w:rPr>
                <w:rFonts w:ascii="Arial"/>
                <w:sz w:val="21"/>
              </w:rPr>
            </w:pPr>
          </w:p>
        </w:tc>
        <w:tc>
          <w:tcPr>
            <w:tcW w:w="1528" w:type="dxa"/>
            <w:vMerge w:val="continue"/>
            <w:tcBorders>
              <w:top w:val="nil"/>
              <w:bottom w:val="nil"/>
            </w:tcBorders>
            <w:vAlign w:val="top"/>
          </w:tcPr>
          <w:p w14:paraId="42A41FDE">
            <w:pPr>
              <w:rPr>
                <w:rFonts w:ascii="Arial"/>
                <w:sz w:val="21"/>
              </w:rPr>
            </w:pPr>
          </w:p>
        </w:tc>
        <w:tc>
          <w:tcPr>
            <w:tcW w:w="3598" w:type="dxa"/>
            <w:vAlign w:val="top"/>
          </w:tcPr>
          <w:p w14:paraId="6D9F8C70">
            <w:pPr>
              <w:rPr>
                <w:rFonts w:ascii="Arial"/>
                <w:sz w:val="21"/>
              </w:rPr>
            </w:pPr>
          </w:p>
        </w:tc>
        <w:tc>
          <w:tcPr>
            <w:tcW w:w="720" w:type="dxa"/>
            <w:vMerge w:val="continue"/>
            <w:tcBorders>
              <w:top w:val="nil"/>
              <w:bottom w:val="nil"/>
            </w:tcBorders>
            <w:vAlign w:val="top"/>
          </w:tcPr>
          <w:p w14:paraId="7E4D76D2">
            <w:pPr>
              <w:rPr>
                <w:rFonts w:ascii="Arial"/>
                <w:sz w:val="21"/>
              </w:rPr>
            </w:pPr>
          </w:p>
        </w:tc>
        <w:tc>
          <w:tcPr>
            <w:tcW w:w="797" w:type="dxa"/>
            <w:vMerge w:val="continue"/>
            <w:tcBorders>
              <w:top w:val="nil"/>
              <w:bottom w:val="nil"/>
            </w:tcBorders>
            <w:vAlign w:val="top"/>
          </w:tcPr>
          <w:p w14:paraId="5B3B03F7">
            <w:pPr>
              <w:rPr>
                <w:rFonts w:ascii="Arial"/>
                <w:sz w:val="21"/>
              </w:rPr>
            </w:pPr>
          </w:p>
        </w:tc>
        <w:tc>
          <w:tcPr>
            <w:tcW w:w="798" w:type="dxa"/>
            <w:vMerge w:val="continue"/>
            <w:tcBorders>
              <w:top w:val="nil"/>
              <w:bottom w:val="nil"/>
            </w:tcBorders>
            <w:vAlign w:val="top"/>
          </w:tcPr>
          <w:p w14:paraId="29DE9638">
            <w:pPr>
              <w:rPr>
                <w:rFonts w:ascii="Arial"/>
                <w:sz w:val="21"/>
              </w:rPr>
            </w:pPr>
          </w:p>
        </w:tc>
        <w:tc>
          <w:tcPr>
            <w:tcW w:w="798" w:type="dxa"/>
            <w:vMerge w:val="continue"/>
            <w:tcBorders>
              <w:top w:val="nil"/>
              <w:bottom w:val="nil"/>
            </w:tcBorders>
            <w:vAlign w:val="top"/>
          </w:tcPr>
          <w:p w14:paraId="2698CFDB">
            <w:pPr>
              <w:rPr>
                <w:rFonts w:ascii="Arial"/>
                <w:sz w:val="21"/>
              </w:rPr>
            </w:pPr>
          </w:p>
        </w:tc>
        <w:tc>
          <w:tcPr>
            <w:tcW w:w="797" w:type="dxa"/>
            <w:vMerge w:val="continue"/>
            <w:tcBorders>
              <w:top w:val="nil"/>
              <w:bottom w:val="nil"/>
            </w:tcBorders>
            <w:vAlign w:val="top"/>
          </w:tcPr>
          <w:p w14:paraId="70853885">
            <w:pPr>
              <w:rPr>
                <w:rFonts w:ascii="Arial"/>
                <w:sz w:val="21"/>
              </w:rPr>
            </w:pPr>
          </w:p>
        </w:tc>
        <w:tc>
          <w:tcPr>
            <w:tcW w:w="798" w:type="dxa"/>
            <w:vMerge w:val="continue"/>
            <w:tcBorders>
              <w:top w:val="nil"/>
              <w:bottom w:val="nil"/>
            </w:tcBorders>
            <w:vAlign w:val="top"/>
          </w:tcPr>
          <w:p w14:paraId="45D21642">
            <w:pPr>
              <w:rPr>
                <w:rFonts w:ascii="Arial"/>
                <w:sz w:val="21"/>
              </w:rPr>
            </w:pPr>
          </w:p>
        </w:tc>
        <w:tc>
          <w:tcPr>
            <w:tcW w:w="797" w:type="dxa"/>
            <w:vMerge w:val="continue"/>
            <w:tcBorders>
              <w:top w:val="nil"/>
              <w:bottom w:val="nil"/>
            </w:tcBorders>
            <w:vAlign w:val="top"/>
          </w:tcPr>
          <w:p w14:paraId="291D41C1">
            <w:pPr>
              <w:rPr>
                <w:rFonts w:ascii="Arial"/>
                <w:sz w:val="21"/>
              </w:rPr>
            </w:pPr>
          </w:p>
        </w:tc>
        <w:tc>
          <w:tcPr>
            <w:tcW w:w="797" w:type="dxa"/>
            <w:vMerge w:val="continue"/>
            <w:tcBorders>
              <w:top w:val="nil"/>
              <w:bottom w:val="nil"/>
            </w:tcBorders>
            <w:vAlign w:val="top"/>
          </w:tcPr>
          <w:p w14:paraId="096B8DCA">
            <w:pPr>
              <w:rPr>
                <w:rFonts w:ascii="Arial"/>
                <w:sz w:val="21"/>
              </w:rPr>
            </w:pPr>
          </w:p>
        </w:tc>
        <w:tc>
          <w:tcPr>
            <w:tcW w:w="798" w:type="dxa"/>
            <w:vMerge w:val="continue"/>
            <w:tcBorders>
              <w:top w:val="nil"/>
              <w:bottom w:val="nil"/>
            </w:tcBorders>
            <w:vAlign w:val="top"/>
          </w:tcPr>
          <w:p w14:paraId="4C215DF0">
            <w:pPr>
              <w:rPr>
                <w:rFonts w:ascii="Arial"/>
                <w:sz w:val="21"/>
              </w:rPr>
            </w:pPr>
          </w:p>
        </w:tc>
        <w:tc>
          <w:tcPr>
            <w:tcW w:w="802" w:type="dxa"/>
            <w:vMerge w:val="continue"/>
            <w:tcBorders>
              <w:top w:val="nil"/>
              <w:bottom w:val="nil"/>
            </w:tcBorders>
            <w:vAlign w:val="top"/>
          </w:tcPr>
          <w:p w14:paraId="75C7DB15">
            <w:pPr>
              <w:rPr>
                <w:rFonts w:ascii="Arial"/>
                <w:sz w:val="21"/>
              </w:rPr>
            </w:pPr>
          </w:p>
        </w:tc>
      </w:tr>
      <w:tr w14:paraId="3B2E3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bottom w:val="nil"/>
            </w:tcBorders>
            <w:vAlign w:val="top"/>
          </w:tcPr>
          <w:p w14:paraId="0FDF9770">
            <w:pPr>
              <w:rPr>
                <w:rFonts w:ascii="Arial"/>
                <w:sz w:val="21"/>
              </w:rPr>
            </w:pPr>
          </w:p>
        </w:tc>
        <w:tc>
          <w:tcPr>
            <w:tcW w:w="1528" w:type="dxa"/>
            <w:vMerge w:val="continue"/>
            <w:tcBorders>
              <w:top w:val="nil"/>
              <w:bottom w:val="nil"/>
            </w:tcBorders>
            <w:vAlign w:val="top"/>
          </w:tcPr>
          <w:p w14:paraId="5975FDE1">
            <w:pPr>
              <w:rPr>
                <w:rFonts w:ascii="Arial"/>
                <w:sz w:val="21"/>
              </w:rPr>
            </w:pPr>
          </w:p>
        </w:tc>
        <w:tc>
          <w:tcPr>
            <w:tcW w:w="3598" w:type="dxa"/>
            <w:vAlign w:val="top"/>
          </w:tcPr>
          <w:p w14:paraId="469169E2">
            <w:pPr>
              <w:rPr>
                <w:rFonts w:ascii="Arial"/>
                <w:sz w:val="21"/>
              </w:rPr>
            </w:pPr>
          </w:p>
        </w:tc>
        <w:tc>
          <w:tcPr>
            <w:tcW w:w="720" w:type="dxa"/>
            <w:vMerge w:val="continue"/>
            <w:tcBorders>
              <w:top w:val="nil"/>
              <w:bottom w:val="nil"/>
            </w:tcBorders>
            <w:vAlign w:val="top"/>
          </w:tcPr>
          <w:p w14:paraId="7D3EF6B3">
            <w:pPr>
              <w:rPr>
                <w:rFonts w:ascii="Arial"/>
                <w:sz w:val="21"/>
              </w:rPr>
            </w:pPr>
          </w:p>
        </w:tc>
        <w:tc>
          <w:tcPr>
            <w:tcW w:w="797" w:type="dxa"/>
            <w:vMerge w:val="continue"/>
            <w:tcBorders>
              <w:top w:val="nil"/>
              <w:bottom w:val="nil"/>
            </w:tcBorders>
            <w:vAlign w:val="top"/>
          </w:tcPr>
          <w:p w14:paraId="56DBD111">
            <w:pPr>
              <w:rPr>
                <w:rFonts w:ascii="Arial"/>
                <w:sz w:val="21"/>
              </w:rPr>
            </w:pPr>
          </w:p>
        </w:tc>
        <w:tc>
          <w:tcPr>
            <w:tcW w:w="798" w:type="dxa"/>
            <w:vMerge w:val="continue"/>
            <w:tcBorders>
              <w:top w:val="nil"/>
              <w:bottom w:val="nil"/>
            </w:tcBorders>
            <w:vAlign w:val="top"/>
          </w:tcPr>
          <w:p w14:paraId="7285B160">
            <w:pPr>
              <w:rPr>
                <w:rFonts w:ascii="Arial"/>
                <w:sz w:val="21"/>
              </w:rPr>
            </w:pPr>
          </w:p>
        </w:tc>
        <w:tc>
          <w:tcPr>
            <w:tcW w:w="798" w:type="dxa"/>
            <w:vMerge w:val="continue"/>
            <w:tcBorders>
              <w:top w:val="nil"/>
              <w:bottom w:val="nil"/>
            </w:tcBorders>
            <w:vAlign w:val="top"/>
          </w:tcPr>
          <w:p w14:paraId="5D49B0B8">
            <w:pPr>
              <w:rPr>
                <w:rFonts w:ascii="Arial"/>
                <w:sz w:val="21"/>
              </w:rPr>
            </w:pPr>
          </w:p>
        </w:tc>
        <w:tc>
          <w:tcPr>
            <w:tcW w:w="797" w:type="dxa"/>
            <w:vMerge w:val="continue"/>
            <w:tcBorders>
              <w:top w:val="nil"/>
              <w:bottom w:val="nil"/>
            </w:tcBorders>
            <w:vAlign w:val="top"/>
          </w:tcPr>
          <w:p w14:paraId="0E830BD5">
            <w:pPr>
              <w:rPr>
                <w:rFonts w:ascii="Arial"/>
                <w:sz w:val="21"/>
              </w:rPr>
            </w:pPr>
          </w:p>
        </w:tc>
        <w:tc>
          <w:tcPr>
            <w:tcW w:w="798" w:type="dxa"/>
            <w:vMerge w:val="continue"/>
            <w:tcBorders>
              <w:top w:val="nil"/>
              <w:bottom w:val="nil"/>
            </w:tcBorders>
            <w:vAlign w:val="top"/>
          </w:tcPr>
          <w:p w14:paraId="4AA9E7EE">
            <w:pPr>
              <w:rPr>
                <w:rFonts w:ascii="Arial"/>
                <w:sz w:val="21"/>
              </w:rPr>
            </w:pPr>
          </w:p>
        </w:tc>
        <w:tc>
          <w:tcPr>
            <w:tcW w:w="797" w:type="dxa"/>
            <w:vMerge w:val="continue"/>
            <w:tcBorders>
              <w:top w:val="nil"/>
              <w:bottom w:val="nil"/>
            </w:tcBorders>
            <w:vAlign w:val="top"/>
          </w:tcPr>
          <w:p w14:paraId="42F45BB2">
            <w:pPr>
              <w:rPr>
                <w:rFonts w:ascii="Arial"/>
                <w:sz w:val="21"/>
              </w:rPr>
            </w:pPr>
          </w:p>
        </w:tc>
        <w:tc>
          <w:tcPr>
            <w:tcW w:w="797" w:type="dxa"/>
            <w:vMerge w:val="continue"/>
            <w:tcBorders>
              <w:top w:val="nil"/>
              <w:bottom w:val="nil"/>
            </w:tcBorders>
            <w:vAlign w:val="top"/>
          </w:tcPr>
          <w:p w14:paraId="4D16270F">
            <w:pPr>
              <w:rPr>
                <w:rFonts w:ascii="Arial"/>
                <w:sz w:val="21"/>
              </w:rPr>
            </w:pPr>
          </w:p>
        </w:tc>
        <w:tc>
          <w:tcPr>
            <w:tcW w:w="798" w:type="dxa"/>
            <w:vMerge w:val="continue"/>
            <w:tcBorders>
              <w:top w:val="nil"/>
              <w:bottom w:val="nil"/>
            </w:tcBorders>
            <w:vAlign w:val="top"/>
          </w:tcPr>
          <w:p w14:paraId="01B7D9FB">
            <w:pPr>
              <w:rPr>
                <w:rFonts w:ascii="Arial"/>
                <w:sz w:val="21"/>
              </w:rPr>
            </w:pPr>
          </w:p>
        </w:tc>
        <w:tc>
          <w:tcPr>
            <w:tcW w:w="802" w:type="dxa"/>
            <w:vMerge w:val="continue"/>
            <w:tcBorders>
              <w:top w:val="nil"/>
              <w:bottom w:val="nil"/>
            </w:tcBorders>
            <w:vAlign w:val="top"/>
          </w:tcPr>
          <w:p w14:paraId="314028CC">
            <w:pPr>
              <w:rPr>
                <w:rFonts w:ascii="Arial"/>
                <w:sz w:val="21"/>
              </w:rPr>
            </w:pPr>
          </w:p>
        </w:tc>
      </w:tr>
      <w:tr w14:paraId="03708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tcBorders>
            <w:vAlign w:val="top"/>
          </w:tcPr>
          <w:p w14:paraId="152AFF41">
            <w:pPr>
              <w:rPr>
                <w:rFonts w:ascii="Arial"/>
                <w:sz w:val="21"/>
              </w:rPr>
            </w:pPr>
          </w:p>
        </w:tc>
        <w:tc>
          <w:tcPr>
            <w:tcW w:w="1528" w:type="dxa"/>
            <w:vMerge w:val="continue"/>
            <w:tcBorders>
              <w:top w:val="nil"/>
            </w:tcBorders>
            <w:vAlign w:val="top"/>
          </w:tcPr>
          <w:p w14:paraId="4B75EA49">
            <w:pPr>
              <w:rPr>
                <w:rFonts w:ascii="Arial"/>
                <w:sz w:val="21"/>
              </w:rPr>
            </w:pPr>
          </w:p>
        </w:tc>
        <w:tc>
          <w:tcPr>
            <w:tcW w:w="3598" w:type="dxa"/>
            <w:vAlign w:val="top"/>
          </w:tcPr>
          <w:p w14:paraId="2A43B6B9">
            <w:pPr>
              <w:rPr>
                <w:rFonts w:ascii="Arial"/>
                <w:sz w:val="21"/>
              </w:rPr>
            </w:pPr>
          </w:p>
        </w:tc>
        <w:tc>
          <w:tcPr>
            <w:tcW w:w="720" w:type="dxa"/>
            <w:vMerge w:val="continue"/>
            <w:tcBorders>
              <w:top w:val="nil"/>
            </w:tcBorders>
            <w:vAlign w:val="top"/>
          </w:tcPr>
          <w:p w14:paraId="68CE2582">
            <w:pPr>
              <w:rPr>
                <w:rFonts w:ascii="Arial"/>
                <w:sz w:val="21"/>
              </w:rPr>
            </w:pPr>
          </w:p>
        </w:tc>
        <w:tc>
          <w:tcPr>
            <w:tcW w:w="797" w:type="dxa"/>
            <w:vMerge w:val="continue"/>
            <w:tcBorders>
              <w:top w:val="nil"/>
            </w:tcBorders>
            <w:vAlign w:val="top"/>
          </w:tcPr>
          <w:p w14:paraId="4382A141">
            <w:pPr>
              <w:rPr>
                <w:rFonts w:ascii="Arial"/>
                <w:sz w:val="21"/>
              </w:rPr>
            </w:pPr>
          </w:p>
        </w:tc>
        <w:tc>
          <w:tcPr>
            <w:tcW w:w="798" w:type="dxa"/>
            <w:vMerge w:val="continue"/>
            <w:tcBorders>
              <w:top w:val="nil"/>
            </w:tcBorders>
            <w:vAlign w:val="top"/>
          </w:tcPr>
          <w:p w14:paraId="0C1A0DBB">
            <w:pPr>
              <w:rPr>
                <w:rFonts w:ascii="Arial"/>
                <w:sz w:val="21"/>
              </w:rPr>
            </w:pPr>
          </w:p>
        </w:tc>
        <w:tc>
          <w:tcPr>
            <w:tcW w:w="798" w:type="dxa"/>
            <w:vMerge w:val="continue"/>
            <w:tcBorders>
              <w:top w:val="nil"/>
            </w:tcBorders>
            <w:vAlign w:val="top"/>
          </w:tcPr>
          <w:p w14:paraId="0704AEC9">
            <w:pPr>
              <w:rPr>
                <w:rFonts w:ascii="Arial"/>
                <w:sz w:val="21"/>
              </w:rPr>
            </w:pPr>
          </w:p>
        </w:tc>
        <w:tc>
          <w:tcPr>
            <w:tcW w:w="797" w:type="dxa"/>
            <w:vMerge w:val="continue"/>
            <w:tcBorders>
              <w:top w:val="nil"/>
            </w:tcBorders>
            <w:vAlign w:val="top"/>
          </w:tcPr>
          <w:p w14:paraId="767EBE3E">
            <w:pPr>
              <w:rPr>
                <w:rFonts w:ascii="Arial"/>
                <w:sz w:val="21"/>
              </w:rPr>
            </w:pPr>
          </w:p>
        </w:tc>
        <w:tc>
          <w:tcPr>
            <w:tcW w:w="798" w:type="dxa"/>
            <w:vMerge w:val="continue"/>
            <w:tcBorders>
              <w:top w:val="nil"/>
            </w:tcBorders>
            <w:vAlign w:val="top"/>
          </w:tcPr>
          <w:p w14:paraId="06014F8A">
            <w:pPr>
              <w:rPr>
                <w:rFonts w:ascii="Arial"/>
                <w:sz w:val="21"/>
              </w:rPr>
            </w:pPr>
          </w:p>
        </w:tc>
        <w:tc>
          <w:tcPr>
            <w:tcW w:w="797" w:type="dxa"/>
            <w:vMerge w:val="continue"/>
            <w:tcBorders>
              <w:top w:val="nil"/>
            </w:tcBorders>
            <w:vAlign w:val="top"/>
          </w:tcPr>
          <w:p w14:paraId="6224D13E">
            <w:pPr>
              <w:rPr>
                <w:rFonts w:ascii="Arial"/>
                <w:sz w:val="21"/>
              </w:rPr>
            </w:pPr>
          </w:p>
        </w:tc>
        <w:tc>
          <w:tcPr>
            <w:tcW w:w="797" w:type="dxa"/>
            <w:vMerge w:val="continue"/>
            <w:tcBorders>
              <w:top w:val="nil"/>
            </w:tcBorders>
            <w:vAlign w:val="top"/>
          </w:tcPr>
          <w:p w14:paraId="07EBC9B9">
            <w:pPr>
              <w:rPr>
                <w:rFonts w:ascii="Arial"/>
                <w:sz w:val="21"/>
              </w:rPr>
            </w:pPr>
          </w:p>
        </w:tc>
        <w:tc>
          <w:tcPr>
            <w:tcW w:w="798" w:type="dxa"/>
            <w:vMerge w:val="continue"/>
            <w:tcBorders>
              <w:top w:val="nil"/>
            </w:tcBorders>
            <w:vAlign w:val="top"/>
          </w:tcPr>
          <w:p w14:paraId="2420B3DC">
            <w:pPr>
              <w:rPr>
                <w:rFonts w:ascii="Arial"/>
                <w:sz w:val="21"/>
              </w:rPr>
            </w:pPr>
          </w:p>
        </w:tc>
        <w:tc>
          <w:tcPr>
            <w:tcW w:w="802" w:type="dxa"/>
            <w:vMerge w:val="continue"/>
            <w:tcBorders>
              <w:top w:val="nil"/>
            </w:tcBorders>
            <w:vAlign w:val="top"/>
          </w:tcPr>
          <w:p w14:paraId="0C69024B">
            <w:pPr>
              <w:rPr>
                <w:rFonts w:ascii="Arial"/>
                <w:sz w:val="21"/>
              </w:rPr>
            </w:pPr>
          </w:p>
        </w:tc>
      </w:tr>
      <w:tr w14:paraId="66494D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restart"/>
            <w:tcBorders>
              <w:bottom w:val="nil"/>
            </w:tcBorders>
            <w:vAlign w:val="top"/>
          </w:tcPr>
          <w:p w14:paraId="50BA5DBD">
            <w:pPr>
              <w:spacing w:line="267" w:lineRule="auto"/>
              <w:rPr>
                <w:rFonts w:ascii="Arial"/>
                <w:sz w:val="21"/>
              </w:rPr>
            </w:pPr>
          </w:p>
          <w:p w14:paraId="61127586">
            <w:pPr>
              <w:spacing w:line="267" w:lineRule="auto"/>
              <w:rPr>
                <w:rFonts w:ascii="Arial"/>
                <w:sz w:val="21"/>
              </w:rPr>
            </w:pPr>
          </w:p>
          <w:p w14:paraId="2B35A27C">
            <w:pPr>
              <w:spacing w:before="65" w:line="271" w:lineRule="exact"/>
              <w:ind w:left="324"/>
              <w:rPr>
                <w:rFonts w:ascii="黑体" w:hAnsi="黑体" w:eastAsia="黑体" w:cs="黑体"/>
                <w:sz w:val="20"/>
                <w:szCs w:val="20"/>
              </w:rPr>
            </w:pPr>
            <w:r>
              <w:rPr>
                <w:rFonts w:ascii="黑体" w:hAnsi="黑体" w:eastAsia="黑体" w:cs="黑体"/>
                <w:position w:val="1"/>
                <w:sz w:val="20"/>
                <w:szCs w:val="20"/>
              </w:rPr>
              <w:t>6</w:t>
            </w:r>
          </w:p>
        </w:tc>
        <w:tc>
          <w:tcPr>
            <w:tcW w:w="1528" w:type="dxa"/>
            <w:vMerge w:val="restart"/>
            <w:tcBorders>
              <w:bottom w:val="nil"/>
            </w:tcBorders>
            <w:vAlign w:val="top"/>
          </w:tcPr>
          <w:p w14:paraId="34ABFF95">
            <w:pPr>
              <w:spacing w:line="397" w:lineRule="auto"/>
              <w:rPr>
                <w:rFonts w:ascii="Arial"/>
                <w:sz w:val="21"/>
              </w:rPr>
            </w:pPr>
          </w:p>
          <w:p w14:paraId="6B3C4C0A">
            <w:pPr>
              <w:pStyle w:val="6"/>
              <w:spacing w:before="65" w:line="254" w:lineRule="auto"/>
              <w:ind w:left="555" w:right="136" w:hanging="420"/>
            </w:pPr>
            <w:r>
              <w:rPr>
                <w:spacing w:val="8"/>
              </w:rPr>
              <w:t>施工现场平面</w:t>
            </w:r>
            <w:r>
              <w:rPr>
                <w:spacing w:val="4"/>
              </w:rPr>
              <w:t>布置</w:t>
            </w:r>
          </w:p>
        </w:tc>
        <w:tc>
          <w:tcPr>
            <w:tcW w:w="3598" w:type="dxa"/>
            <w:vAlign w:val="top"/>
          </w:tcPr>
          <w:p w14:paraId="270DDD21">
            <w:pPr>
              <w:rPr>
                <w:rFonts w:ascii="Arial"/>
                <w:sz w:val="21"/>
              </w:rPr>
            </w:pPr>
          </w:p>
        </w:tc>
        <w:tc>
          <w:tcPr>
            <w:tcW w:w="720" w:type="dxa"/>
            <w:vMerge w:val="restart"/>
            <w:tcBorders>
              <w:bottom w:val="nil"/>
            </w:tcBorders>
            <w:vAlign w:val="top"/>
          </w:tcPr>
          <w:p w14:paraId="25E2D975">
            <w:pPr>
              <w:spacing w:line="267" w:lineRule="auto"/>
              <w:rPr>
                <w:rFonts w:ascii="Arial"/>
                <w:sz w:val="21"/>
              </w:rPr>
            </w:pPr>
          </w:p>
          <w:p w14:paraId="64482182">
            <w:pPr>
              <w:spacing w:line="267" w:lineRule="auto"/>
              <w:rPr>
                <w:rFonts w:ascii="Arial"/>
                <w:sz w:val="21"/>
              </w:rPr>
            </w:pPr>
          </w:p>
          <w:p w14:paraId="1EE0023F">
            <w:pPr>
              <w:pStyle w:val="6"/>
              <w:spacing w:before="65" w:line="228" w:lineRule="auto"/>
              <w:ind w:left="264"/>
            </w:pPr>
            <w:r>
              <w:t>分</w:t>
            </w:r>
          </w:p>
        </w:tc>
        <w:tc>
          <w:tcPr>
            <w:tcW w:w="797" w:type="dxa"/>
            <w:vMerge w:val="restart"/>
            <w:tcBorders>
              <w:bottom w:val="nil"/>
            </w:tcBorders>
            <w:vAlign w:val="top"/>
          </w:tcPr>
          <w:p w14:paraId="7594B486">
            <w:pPr>
              <w:rPr>
                <w:rFonts w:ascii="Arial"/>
                <w:sz w:val="21"/>
              </w:rPr>
            </w:pPr>
          </w:p>
        </w:tc>
        <w:tc>
          <w:tcPr>
            <w:tcW w:w="798" w:type="dxa"/>
            <w:vMerge w:val="restart"/>
            <w:tcBorders>
              <w:bottom w:val="nil"/>
            </w:tcBorders>
            <w:vAlign w:val="top"/>
          </w:tcPr>
          <w:p w14:paraId="0279DE5D">
            <w:pPr>
              <w:rPr>
                <w:rFonts w:ascii="Arial"/>
                <w:sz w:val="21"/>
              </w:rPr>
            </w:pPr>
          </w:p>
        </w:tc>
        <w:tc>
          <w:tcPr>
            <w:tcW w:w="798" w:type="dxa"/>
            <w:vMerge w:val="restart"/>
            <w:tcBorders>
              <w:bottom w:val="nil"/>
            </w:tcBorders>
            <w:vAlign w:val="top"/>
          </w:tcPr>
          <w:p w14:paraId="1D5EC74C">
            <w:pPr>
              <w:rPr>
                <w:rFonts w:ascii="Arial"/>
                <w:sz w:val="21"/>
              </w:rPr>
            </w:pPr>
          </w:p>
        </w:tc>
        <w:tc>
          <w:tcPr>
            <w:tcW w:w="797" w:type="dxa"/>
            <w:vMerge w:val="restart"/>
            <w:tcBorders>
              <w:bottom w:val="nil"/>
            </w:tcBorders>
            <w:vAlign w:val="top"/>
          </w:tcPr>
          <w:p w14:paraId="6E624446">
            <w:pPr>
              <w:rPr>
                <w:rFonts w:ascii="Arial"/>
                <w:sz w:val="21"/>
              </w:rPr>
            </w:pPr>
          </w:p>
        </w:tc>
        <w:tc>
          <w:tcPr>
            <w:tcW w:w="798" w:type="dxa"/>
            <w:vMerge w:val="restart"/>
            <w:tcBorders>
              <w:bottom w:val="nil"/>
            </w:tcBorders>
            <w:vAlign w:val="top"/>
          </w:tcPr>
          <w:p w14:paraId="16A6B1AA">
            <w:pPr>
              <w:rPr>
                <w:rFonts w:ascii="Arial"/>
                <w:sz w:val="21"/>
              </w:rPr>
            </w:pPr>
          </w:p>
        </w:tc>
        <w:tc>
          <w:tcPr>
            <w:tcW w:w="797" w:type="dxa"/>
            <w:vMerge w:val="restart"/>
            <w:tcBorders>
              <w:bottom w:val="nil"/>
            </w:tcBorders>
            <w:vAlign w:val="top"/>
          </w:tcPr>
          <w:p w14:paraId="20F73066">
            <w:pPr>
              <w:rPr>
                <w:rFonts w:ascii="Arial"/>
                <w:sz w:val="21"/>
              </w:rPr>
            </w:pPr>
          </w:p>
        </w:tc>
        <w:tc>
          <w:tcPr>
            <w:tcW w:w="797" w:type="dxa"/>
            <w:vMerge w:val="restart"/>
            <w:tcBorders>
              <w:bottom w:val="nil"/>
            </w:tcBorders>
            <w:vAlign w:val="top"/>
          </w:tcPr>
          <w:p w14:paraId="0F5201D9">
            <w:pPr>
              <w:rPr>
                <w:rFonts w:ascii="Arial"/>
                <w:sz w:val="21"/>
              </w:rPr>
            </w:pPr>
          </w:p>
        </w:tc>
        <w:tc>
          <w:tcPr>
            <w:tcW w:w="798" w:type="dxa"/>
            <w:vMerge w:val="restart"/>
            <w:tcBorders>
              <w:bottom w:val="nil"/>
            </w:tcBorders>
            <w:vAlign w:val="top"/>
          </w:tcPr>
          <w:p w14:paraId="30786798">
            <w:pPr>
              <w:rPr>
                <w:rFonts w:ascii="Arial"/>
                <w:sz w:val="21"/>
              </w:rPr>
            </w:pPr>
          </w:p>
        </w:tc>
        <w:tc>
          <w:tcPr>
            <w:tcW w:w="802" w:type="dxa"/>
            <w:vMerge w:val="restart"/>
            <w:tcBorders>
              <w:bottom w:val="nil"/>
            </w:tcBorders>
            <w:vAlign w:val="top"/>
          </w:tcPr>
          <w:p w14:paraId="2BB19661">
            <w:pPr>
              <w:rPr>
                <w:rFonts w:ascii="Arial"/>
                <w:sz w:val="21"/>
              </w:rPr>
            </w:pPr>
          </w:p>
        </w:tc>
      </w:tr>
      <w:tr w14:paraId="71C14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bottom w:val="nil"/>
            </w:tcBorders>
            <w:vAlign w:val="top"/>
          </w:tcPr>
          <w:p w14:paraId="42AE7FA7">
            <w:pPr>
              <w:rPr>
                <w:rFonts w:ascii="Arial"/>
                <w:sz w:val="21"/>
              </w:rPr>
            </w:pPr>
          </w:p>
        </w:tc>
        <w:tc>
          <w:tcPr>
            <w:tcW w:w="1528" w:type="dxa"/>
            <w:vMerge w:val="continue"/>
            <w:tcBorders>
              <w:top w:val="nil"/>
              <w:bottom w:val="nil"/>
            </w:tcBorders>
            <w:vAlign w:val="top"/>
          </w:tcPr>
          <w:p w14:paraId="624C7AF2">
            <w:pPr>
              <w:rPr>
                <w:rFonts w:ascii="Arial"/>
                <w:sz w:val="21"/>
              </w:rPr>
            </w:pPr>
          </w:p>
        </w:tc>
        <w:tc>
          <w:tcPr>
            <w:tcW w:w="3598" w:type="dxa"/>
            <w:vAlign w:val="top"/>
          </w:tcPr>
          <w:p w14:paraId="3A9791B0">
            <w:pPr>
              <w:rPr>
                <w:rFonts w:ascii="Arial"/>
                <w:sz w:val="21"/>
              </w:rPr>
            </w:pPr>
          </w:p>
        </w:tc>
        <w:tc>
          <w:tcPr>
            <w:tcW w:w="720" w:type="dxa"/>
            <w:vMerge w:val="continue"/>
            <w:tcBorders>
              <w:top w:val="nil"/>
              <w:bottom w:val="nil"/>
            </w:tcBorders>
            <w:vAlign w:val="top"/>
          </w:tcPr>
          <w:p w14:paraId="7A7BDEDC">
            <w:pPr>
              <w:rPr>
                <w:rFonts w:ascii="Arial"/>
                <w:sz w:val="21"/>
              </w:rPr>
            </w:pPr>
          </w:p>
        </w:tc>
        <w:tc>
          <w:tcPr>
            <w:tcW w:w="797" w:type="dxa"/>
            <w:vMerge w:val="continue"/>
            <w:tcBorders>
              <w:top w:val="nil"/>
              <w:bottom w:val="nil"/>
            </w:tcBorders>
            <w:vAlign w:val="top"/>
          </w:tcPr>
          <w:p w14:paraId="7053825D">
            <w:pPr>
              <w:rPr>
                <w:rFonts w:ascii="Arial"/>
                <w:sz w:val="21"/>
              </w:rPr>
            </w:pPr>
          </w:p>
        </w:tc>
        <w:tc>
          <w:tcPr>
            <w:tcW w:w="798" w:type="dxa"/>
            <w:vMerge w:val="continue"/>
            <w:tcBorders>
              <w:top w:val="nil"/>
              <w:bottom w:val="nil"/>
            </w:tcBorders>
            <w:vAlign w:val="top"/>
          </w:tcPr>
          <w:p w14:paraId="3ACA22A7">
            <w:pPr>
              <w:rPr>
                <w:rFonts w:ascii="Arial"/>
                <w:sz w:val="21"/>
              </w:rPr>
            </w:pPr>
          </w:p>
        </w:tc>
        <w:tc>
          <w:tcPr>
            <w:tcW w:w="798" w:type="dxa"/>
            <w:vMerge w:val="continue"/>
            <w:tcBorders>
              <w:top w:val="nil"/>
              <w:bottom w:val="nil"/>
            </w:tcBorders>
            <w:vAlign w:val="top"/>
          </w:tcPr>
          <w:p w14:paraId="7D3A7F29">
            <w:pPr>
              <w:rPr>
                <w:rFonts w:ascii="Arial"/>
                <w:sz w:val="21"/>
              </w:rPr>
            </w:pPr>
          </w:p>
        </w:tc>
        <w:tc>
          <w:tcPr>
            <w:tcW w:w="797" w:type="dxa"/>
            <w:vMerge w:val="continue"/>
            <w:tcBorders>
              <w:top w:val="nil"/>
              <w:bottom w:val="nil"/>
            </w:tcBorders>
            <w:vAlign w:val="top"/>
          </w:tcPr>
          <w:p w14:paraId="0891D525">
            <w:pPr>
              <w:rPr>
                <w:rFonts w:ascii="Arial"/>
                <w:sz w:val="21"/>
              </w:rPr>
            </w:pPr>
          </w:p>
        </w:tc>
        <w:tc>
          <w:tcPr>
            <w:tcW w:w="798" w:type="dxa"/>
            <w:vMerge w:val="continue"/>
            <w:tcBorders>
              <w:top w:val="nil"/>
              <w:bottom w:val="nil"/>
            </w:tcBorders>
            <w:vAlign w:val="top"/>
          </w:tcPr>
          <w:p w14:paraId="6D7DA8D8">
            <w:pPr>
              <w:rPr>
                <w:rFonts w:ascii="Arial"/>
                <w:sz w:val="21"/>
              </w:rPr>
            </w:pPr>
          </w:p>
        </w:tc>
        <w:tc>
          <w:tcPr>
            <w:tcW w:w="797" w:type="dxa"/>
            <w:vMerge w:val="continue"/>
            <w:tcBorders>
              <w:top w:val="nil"/>
              <w:bottom w:val="nil"/>
            </w:tcBorders>
            <w:vAlign w:val="top"/>
          </w:tcPr>
          <w:p w14:paraId="1101FD88">
            <w:pPr>
              <w:rPr>
                <w:rFonts w:ascii="Arial"/>
                <w:sz w:val="21"/>
              </w:rPr>
            </w:pPr>
          </w:p>
        </w:tc>
        <w:tc>
          <w:tcPr>
            <w:tcW w:w="797" w:type="dxa"/>
            <w:vMerge w:val="continue"/>
            <w:tcBorders>
              <w:top w:val="nil"/>
              <w:bottom w:val="nil"/>
            </w:tcBorders>
            <w:vAlign w:val="top"/>
          </w:tcPr>
          <w:p w14:paraId="4B2D9101">
            <w:pPr>
              <w:rPr>
                <w:rFonts w:ascii="Arial"/>
                <w:sz w:val="21"/>
              </w:rPr>
            </w:pPr>
          </w:p>
        </w:tc>
        <w:tc>
          <w:tcPr>
            <w:tcW w:w="798" w:type="dxa"/>
            <w:vMerge w:val="continue"/>
            <w:tcBorders>
              <w:top w:val="nil"/>
              <w:bottom w:val="nil"/>
            </w:tcBorders>
            <w:vAlign w:val="top"/>
          </w:tcPr>
          <w:p w14:paraId="5AAAA254">
            <w:pPr>
              <w:rPr>
                <w:rFonts w:ascii="Arial"/>
                <w:sz w:val="21"/>
              </w:rPr>
            </w:pPr>
          </w:p>
        </w:tc>
        <w:tc>
          <w:tcPr>
            <w:tcW w:w="802" w:type="dxa"/>
            <w:vMerge w:val="continue"/>
            <w:tcBorders>
              <w:top w:val="nil"/>
              <w:bottom w:val="nil"/>
            </w:tcBorders>
            <w:vAlign w:val="top"/>
          </w:tcPr>
          <w:p w14:paraId="741076CF">
            <w:pPr>
              <w:rPr>
                <w:rFonts w:ascii="Arial"/>
                <w:sz w:val="21"/>
              </w:rPr>
            </w:pPr>
          </w:p>
        </w:tc>
      </w:tr>
      <w:tr w14:paraId="57492E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bottom w:val="nil"/>
            </w:tcBorders>
            <w:vAlign w:val="top"/>
          </w:tcPr>
          <w:p w14:paraId="399EE066">
            <w:pPr>
              <w:rPr>
                <w:rFonts w:ascii="Arial"/>
                <w:sz w:val="21"/>
              </w:rPr>
            </w:pPr>
          </w:p>
        </w:tc>
        <w:tc>
          <w:tcPr>
            <w:tcW w:w="1528" w:type="dxa"/>
            <w:vMerge w:val="continue"/>
            <w:tcBorders>
              <w:top w:val="nil"/>
              <w:bottom w:val="nil"/>
            </w:tcBorders>
            <w:vAlign w:val="top"/>
          </w:tcPr>
          <w:p w14:paraId="7D909C72">
            <w:pPr>
              <w:rPr>
                <w:rFonts w:ascii="Arial"/>
                <w:sz w:val="21"/>
              </w:rPr>
            </w:pPr>
          </w:p>
        </w:tc>
        <w:tc>
          <w:tcPr>
            <w:tcW w:w="3598" w:type="dxa"/>
            <w:vAlign w:val="top"/>
          </w:tcPr>
          <w:p w14:paraId="00434A1D">
            <w:pPr>
              <w:rPr>
                <w:rFonts w:ascii="Arial"/>
                <w:sz w:val="21"/>
              </w:rPr>
            </w:pPr>
          </w:p>
        </w:tc>
        <w:tc>
          <w:tcPr>
            <w:tcW w:w="720" w:type="dxa"/>
            <w:vMerge w:val="continue"/>
            <w:tcBorders>
              <w:top w:val="nil"/>
              <w:bottom w:val="nil"/>
            </w:tcBorders>
            <w:vAlign w:val="top"/>
          </w:tcPr>
          <w:p w14:paraId="270A0AAB">
            <w:pPr>
              <w:rPr>
                <w:rFonts w:ascii="Arial"/>
                <w:sz w:val="21"/>
              </w:rPr>
            </w:pPr>
          </w:p>
        </w:tc>
        <w:tc>
          <w:tcPr>
            <w:tcW w:w="797" w:type="dxa"/>
            <w:vMerge w:val="continue"/>
            <w:tcBorders>
              <w:top w:val="nil"/>
              <w:bottom w:val="nil"/>
            </w:tcBorders>
            <w:vAlign w:val="top"/>
          </w:tcPr>
          <w:p w14:paraId="03FA601B">
            <w:pPr>
              <w:rPr>
                <w:rFonts w:ascii="Arial"/>
                <w:sz w:val="21"/>
              </w:rPr>
            </w:pPr>
          </w:p>
        </w:tc>
        <w:tc>
          <w:tcPr>
            <w:tcW w:w="798" w:type="dxa"/>
            <w:vMerge w:val="continue"/>
            <w:tcBorders>
              <w:top w:val="nil"/>
              <w:bottom w:val="nil"/>
            </w:tcBorders>
            <w:vAlign w:val="top"/>
          </w:tcPr>
          <w:p w14:paraId="7C9F74AA">
            <w:pPr>
              <w:rPr>
                <w:rFonts w:ascii="Arial"/>
                <w:sz w:val="21"/>
              </w:rPr>
            </w:pPr>
          </w:p>
        </w:tc>
        <w:tc>
          <w:tcPr>
            <w:tcW w:w="798" w:type="dxa"/>
            <w:vMerge w:val="continue"/>
            <w:tcBorders>
              <w:top w:val="nil"/>
              <w:bottom w:val="nil"/>
            </w:tcBorders>
            <w:vAlign w:val="top"/>
          </w:tcPr>
          <w:p w14:paraId="73E8D876">
            <w:pPr>
              <w:rPr>
                <w:rFonts w:ascii="Arial"/>
                <w:sz w:val="21"/>
              </w:rPr>
            </w:pPr>
          </w:p>
        </w:tc>
        <w:tc>
          <w:tcPr>
            <w:tcW w:w="797" w:type="dxa"/>
            <w:vMerge w:val="continue"/>
            <w:tcBorders>
              <w:top w:val="nil"/>
              <w:bottom w:val="nil"/>
            </w:tcBorders>
            <w:vAlign w:val="top"/>
          </w:tcPr>
          <w:p w14:paraId="3EA0F374">
            <w:pPr>
              <w:rPr>
                <w:rFonts w:ascii="Arial"/>
                <w:sz w:val="21"/>
              </w:rPr>
            </w:pPr>
          </w:p>
        </w:tc>
        <w:tc>
          <w:tcPr>
            <w:tcW w:w="798" w:type="dxa"/>
            <w:vMerge w:val="continue"/>
            <w:tcBorders>
              <w:top w:val="nil"/>
              <w:bottom w:val="nil"/>
            </w:tcBorders>
            <w:vAlign w:val="top"/>
          </w:tcPr>
          <w:p w14:paraId="324EE3E6">
            <w:pPr>
              <w:rPr>
                <w:rFonts w:ascii="Arial"/>
                <w:sz w:val="21"/>
              </w:rPr>
            </w:pPr>
          </w:p>
        </w:tc>
        <w:tc>
          <w:tcPr>
            <w:tcW w:w="797" w:type="dxa"/>
            <w:vMerge w:val="continue"/>
            <w:tcBorders>
              <w:top w:val="nil"/>
              <w:bottom w:val="nil"/>
            </w:tcBorders>
            <w:vAlign w:val="top"/>
          </w:tcPr>
          <w:p w14:paraId="4CAF88F5">
            <w:pPr>
              <w:rPr>
                <w:rFonts w:ascii="Arial"/>
                <w:sz w:val="21"/>
              </w:rPr>
            </w:pPr>
          </w:p>
        </w:tc>
        <w:tc>
          <w:tcPr>
            <w:tcW w:w="797" w:type="dxa"/>
            <w:vMerge w:val="continue"/>
            <w:tcBorders>
              <w:top w:val="nil"/>
              <w:bottom w:val="nil"/>
            </w:tcBorders>
            <w:vAlign w:val="top"/>
          </w:tcPr>
          <w:p w14:paraId="03603DE2">
            <w:pPr>
              <w:rPr>
                <w:rFonts w:ascii="Arial"/>
                <w:sz w:val="21"/>
              </w:rPr>
            </w:pPr>
          </w:p>
        </w:tc>
        <w:tc>
          <w:tcPr>
            <w:tcW w:w="798" w:type="dxa"/>
            <w:vMerge w:val="continue"/>
            <w:tcBorders>
              <w:top w:val="nil"/>
              <w:bottom w:val="nil"/>
            </w:tcBorders>
            <w:vAlign w:val="top"/>
          </w:tcPr>
          <w:p w14:paraId="653ED3F9">
            <w:pPr>
              <w:rPr>
                <w:rFonts w:ascii="Arial"/>
                <w:sz w:val="21"/>
              </w:rPr>
            </w:pPr>
          </w:p>
        </w:tc>
        <w:tc>
          <w:tcPr>
            <w:tcW w:w="802" w:type="dxa"/>
            <w:vMerge w:val="continue"/>
            <w:tcBorders>
              <w:top w:val="nil"/>
              <w:bottom w:val="nil"/>
            </w:tcBorders>
            <w:vAlign w:val="top"/>
          </w:tcPr>
          <w:p w14:paraId="57CD1299">
            <w:pPr>
              <w:rPr>
                <w:rFonts w:ascii="Arial"/>
                <w:sz w:val="21"/>
              </w:rPr>
            </w:pPr>
          </w:p>
        </w:tc>
      </w:tr>
      <w:tr w14:paraId="43680F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tcBorders>
            <w:vAlign w:val="top"/>
          </w:tcPr>
          <w:p w14:paraId="2034FF3A">
            <w:pPr>
              <w:rPr>
                <w:rFonts w:ascii="Arial"/>
                <w:sz w:val="21"/>
              </w:rPr>
            </w:pPr>
          </w:p>
        </w:tc>
        <w:tc>
          <w:tcPr>
            <w:tcW w:w="1528" w:type="dxa"/>
            <w:vMerge w:val="continue"/>
            <w:tcBorders>
              <w:top w:val="nil"/>
            </w:tcBorders>
            <w:vAlign w:val="top"/>
          </w:tcPr>
          <w:p w14:paraId="11BEA248">
            <w:pPr>
              <w:rPr>
                <w:rFonts w:ascii="Arial"/>
                <w:sz w:val="21"/>
              </w:rPr>
            </w:pPr>
          </w:p>
        </w:tc>
        <w:tc>
          <w:tcPr>
            <w:tcW w:w="3598" w:type="dxa"/>
            <w:vAlign w:val="top"/>
          </w:tcPr>
          <w:p w14:paraId="6CFA3D6A">
            <w:pPr>
              <w:rPr>
                <w:rFonts w:ascii="Arial"/>
                <w:sz w:val="21"/>
              </w:rPr>
            </w:pPr>
          </w:p>
        </w:tc>
        <w:tc>
          <w:tcPr>
            <w:tcW w:w="720" w:type="dxa"/>
            <w:vMerge w:val="continue"/>
            <w:tcBorders>
              <w:top w:val="nil"/>
            </w:tcBorders>
            <w:vAlign w:val="top"/>
          </w:tcPr>
          <w:p w14:paraId="52D401E5">
            <w:pPr>
              <w:rPr>
                <w:rFonts w:ascii="Arial"/>
                <w:sz w:val="21"/>
              </w:rPr>
            </w:pPr>
          </w:p>
        </w:tc>
        <w:tc>
          <w:tcPr>
            <w:tcW w:w="797" w:type="dxa"/>
            <w:vMerge w:val="continue"/>
            <w:tcBorders>
              <w:top w:val="nil"/>
            </w:tcBorders>
            <w:vAlign w:val="top"/>
          </w:tcPr>
          <w:p w14:paraId="7DA62F1B">
            <w:pPr>
              <w:rPr>
                <w:rFonts w:ascii="Arial"/>
                <w:sz w:val="21"/>
              </w:rPr>
            </w:pPr>
          </w:p>
        </w:tc>
        <w:tc>
          <w:tcPr>
            <w:tcW w:w="798" w:type="dxa"/>
            <w:vMerge w:val="continue"/>
            <w:tcBorders>
              <w:top w:val="nil"/>
            </w:tcBorders>
            <w:vAlign w:val="top"/>
          </w:tcPr>
          <w:p w14:paraId="7E84B302">
            <w:pPr>
              <w:rPr>
                <w:rFonts w:ascii="Arial"/>
                <w:sz w:val="21"/>
              </w:rPr>
            </w:pPr>
          </w:p>
        </w:tc>
        <w:tc>
          <w:tcPr>
            <w:tcW w:w="798" w:type="dxa"/>
            <w:vMerge w:val="continue"/>
            <w:tcBorders>
              <w:top w:val="nil"/>
            </w:tcBorders>
            <w:vAlign w:val="top"/>
          </w:tcPr>
          <w:p w14:paraId="548142AB">
            <w:pPr>
              <w:rPr>
                <w:rFonts w:ascii="Arial"/>
                <w:sz w:val="21"/>
              </w:rPr>
            </w:pPr>
          </w:p>
        </w:tc>
        <w:tc>
          <w:tcPr>
            <w:tcW w:w="797" w:type="dxa"/>
            <w:vMerge w:val="continue"/>
            <w:tcBorders>
              <w:top w:val="nil"/>
            </w:tcBorders>
            <w:vAlign w:val="top"/>
          </w:tcPr>
          <w:p w14:paraId="71F80262">
            <w:pPr>
              <w:rPr>
                <w:rFonts w:ascii="Arial"/>
                <w:sz w:val="21"/>
              </w:rPr>
            </w:pPr>
          </w:p>
        </w:tc>
        <w:tc>
          <w:tcPr>
            <w:tcW w:w="798" w:type="dxa"/>
            <w:vMerge w:val="continue"/>
            <w:tcBorders>
              <w:top w:val="nil"/>
            </w:tcBorders>
            <w:vAlign w:val="top"/>
          </w:tcPr>
          <w:p w14:paraId="1914F7AC">
            <w:pPr>
              <w:rPr>
                <w:rFonts w:ascii="Arial"/>
                <w:sz w:val="21"/>
              </w:rPr>
            </w:pPr>
          </w:p>
        </w:tc>
        <w:tc>
          <w:tcPr>
            <w:tcW w:w="797" w:type="dxa"/>
            <w:vMerge w:val="continue"/>
            <w:tcBorders>
              <w:top w:val="nil"/>
            </w:tcBorders>
            <w:vAlign w:val="top"/>
          </w:tcPr>
          <w:p w14:paraId="520C866E">
            <w:pPr>
              <w:rPr>
                <w:rFonts w:ascii="Arial"/>
                <w:sz w:val="21"/>
              </w:rPr>
            </w:pPr>
          </w:p>
        </w:tc>
        <w:tc>
          <w:tcPr>
            <w:tcW w:w="797" w:type="dxa"/>
            <w:vMerge w:val="continue"/>
            <w:tcBorders>
              <w:top w:val="nil"/>
            </w:tcBorders>
            <w:vAlign w:val="top"/>
          </w:tcPr>
          <w:p w14:paraId="2779EA3D">
            <w:pPr>
              <w:rPr>
                <w:rFonts w:ascii="Arial"/>
                <w:sz w:val="21"/>
              </w:rPr>
            </w:pPr>
          </w:p>
        </w:tc>
        <w:tc>
          <w:tcPr>
            <w:tcW w:w="798" w:type="dxa"/>
            <w:vMerge w:val="continue"/>
            <w:tcBorders>
              <w:top w:val="nil"/>
            </w:tcBorders>
            <w:vAlign w:val="top"/>
          </w:tcPr>
          <w:p w14:paraId="3ED9BC97">
            <w:pPr>
              <w:rPr>
                <w:rFonts w:ascii="Arial"/>
                <w:sz w:val="21"/>
              </w:rPr>
            </w:pPr>
          </w:p>
        </w:tc>
        <w:tc>
          <w:tcPr>
            <w:tcW w:w="802" w:type="dxa"/>
            <w:vMerge w:val="continue"/>
            <w:tcBorders>
              <w:top w:val="nil"/>
            </w:tcBorders>
            <w:vAlign w:val="top"/>
          </w:tcPr>
          <w:p w14:paraId="5AB00036">
            <w:pPr>
              <w:rPr>
                <w:rFonts w:ascii="Arial"/>
                <w:sz w:val="21"/>
              </w:rPr>
            </w:pPr>
          </w:p>
        </w:tc>
      </w:tr>
      <w:tr w14:paraId="105D12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743" w:type="dxa"/>
            <w:vMerge w:val="restart"/>
            <w:tcBorders>
              <w:bottom w:val="nil"/>
            </w:tcBorders>
            <w:vAlign w:val="top"/>
          </w:tcPr>
          <w:p w14:paraId="58EBCA0B">
            <w:pPr>
              <w:spacing w:line="267" w:lineRule="auto"/>
              <w:rPr>
                <w:rFonts w:ascii="Arial"/>
                <w:sz w:val="21"/>
              </w:rPr>
            </w:pPr>
          </w:p>
          <w:p w14:paraId="290E57A5">
            <w:pPr>
              <w:spacing w:line="267" w:lineRule="auto"/>
              <w:rPr>
                <w:rFonts w:ascii="Arial"/>
                <w:sz w:val="21"/>
              </w:rPr>
            </w:pPr>
          </w:p>
          <w:p w14:paraId="4179F463">
            <w:pPr>
              <w:spacing w:before="65" w:line="275" w:lineRule="exact"/>
              <w:ind w:left="326"/>
              <w:rPr>
                <w:rFonts w:ascii="黑体" w:hAnsi="黑体" w:eastAsia="黑体" w:cs="黑体"/>
                <w:sz w:val="20"/>
                <w:szCs w:val="20"/>
              </w:rPr>
            </w:pPr>
            <w:r>
              <w:rPr>
                <w:rFonts w:ascii="黑体" w:hAnsi="黑体" w:eastAsia="黑体" w:cs="黑体"/>
                <w:position w:val="1"/>
                <w:sz w:val="20"/>
                <w:szCs w:val="20"/>
              </w:rPr>
              <w:t>7</w:t>
            </w:r>
          </w:p>
        </w:tc>
        <w:tc>
          <w:tcPr>
            <w:tcW w:w="1528" w:type="dxa"/>
            <w:vMerge w:val="restart"/>
            <w:tcBorders>
              <w:bottom w:val="nil"/>
            </w:tcBorders>
            <w:vAlign w:val="top"/>
          </w:tcPr>
          <w:p w14:paraId="4D5A43ED">
            <w:pPr>
              <w:spacing w:line="399" w:lineRule="auto"/>
              <w:rPr>
                <w:rFonts w:ascii="Arial"/>
                <w:sz w:val="21"/>
              </w:rPr>
            </w:pPr>
          </w:p>
          <w:p w14:paraId="35F899CC">
            <w:pPr>
              <w:pStyle w:val="6"/>
              <w:spacing w:before="65" w:line="252" w:lineRule="auto"/>
              <w:ind w:left="556" w:right="136" w:hanging="418"/>
            </w:pPr>
            <w:r>
              <w:rPr>
                <w:spacing w:val="7"/>
              </w:rPr>
              <w:t>主要施工管理</w:t>
            </w:r>
            <w:r>
              <w:rPr>
                <w:spacing w:val="4"/>
              </w:rPr>
              <w:t>计划</w:t>
            </w:r>
          </w:p>
        </w:tc>
        <w:tc>
          <w:tcPr>
            <w:tcW w:w="3598" w:type="dxa"/>
            <w:vAlign w:val="top"/>
          </w:tcPr>
          <w:p w14:paraId="3B180719">
            <w:pPr>
              <w:rPr>
                <w:rFonts w:ascii="Arial"/>
                <w:sz w:val="21"/>
              </w:rPr>
            </w:pPr>
          </w:p>
        </w:tc>
        <w:tc>
          <w:tcPr>
            <w:tcW w:w="720" w:type="dxa"/>
            <w:vMerge w:val="restart"/>
            <w:tcBorders>
              <w:bottom w:val="nil"/>
            </w:tcBorders>
            <w:vAlign w:val="top"/>
          </w:tcPr>
          <w:p w14:paraId="2ECAB229">
            <w:pPr>
              <w:spacing w:line="267" w:lineRule="auto"/>
              <w:rPr>
                <w:rFonts w:ascii="Arial"/>
                <w:sz w:val="21"/>
              </w:rPr>
            </w:pPr>
          </w:p>
          <w:p w14:paraId="6C7B507E">
            <w:pPr>
              <w:spacing w:line="268" w:lineRule="auto"/>
              <w:rPr>
                <w:rFonts w:ascii="Arial"/>
                <w:sz w:val="21"/>
              </w:rPr>
            </w:pPr>
          </w:p>
          <w:p w14:paraId="77ED0DD7">
            <w:pPr>
              <w:pStyle w:val="6"/>
              <w:spacing w:before="65" w:line="228" w:lineRule="auto"/>
              <w:ind w:left="264"/>
            </w:pPr>
            <w:r>
              <w:t>分</w:t>
            </w:r>
          </w:p>
        </w:tc>
        <w:tc>
          <w:tcPr>
            <w:tcW w:w="797" w:type="dxa"/>
            <w:vMerge w:val="restart"/>
            <w:tcBorders>
              <w:bottom w:val="nil"/>
            </w:tcBorders>
            <w:vAlign w:val="top"/>
          </w:tcPr>
          <w:p w14:paraId="34219CA2">
            <w:pPr>
              <w:rPr>
                <w:rFonts w:ascii="Arial"/>
                <w:sz w:val="21"/>
              </w:rPr>
            </w:pPr>
          </w:p>
        </w:tc>
        <w:tc>
          <w:tcPr>
            <w:tcW w:w="798" w:type="dxa"/>
            <w:vMerge w:val="restart"/>
            <w:tcBorders>
              <w:bottom w:val="nil"/>
            </w:tcBorders>
            <w:vAlign w:val="top"/>
          </w:tcPr>
          <w:p w14:paraId="4A3851B0">
            <w:pPr>
              <w:rPr>
                <w:rFonts w:ascii="Arial"/>
                <w:sz w:val="21"/>
              </w:rPr>
            </w:pPr>
          </w:p>
        </w:tc>
        <w:tc>
          <w:tcPr>
            <w:tcW w:w="798" w:type="dxa"/>
            <w:vMerge w:val="restart"/>
            <w:tcBorders>
              <w:bottom w:val="nil"/>
            </w:tcBorders>
            <w:vAlign w:val="top"/>
          </w:tcPr>
          <w:p w14:paraId="54C13FDE">
            <w:pPr>
              <w:rPr>
                <w:rFonts w:ascii="Arial"/>
                <w:sz w:val="21"/>
              </w:rPr>
            </w:pPr>
          </w:p>
        </w:tc>
        <w:tc>
          <w:tcPr>
            <w:tcW w:w="797" w:type="dxa"/>
            <w:vMerge w:val="restart"/>
            <w:tcBorders>
              <w:bottom w:val="nil"/>
            </w:tcBorders>
            <w:vAlign w:val="top"/>
          </w:tcPr>
          <w:p w14:paraId="63933486">
            <w:pPr>
              <w:rPr>
                <w:rFonts w:ascii="Arial"/>
                <w:sz w:val="21"/>
              </w:rPr>
            </w:pPr>
          </w:p>
        </w:tc>
        <w:tc>
          <w:tcPr>
            <w:tcW w:w="798" w:type="dxa"/>
            <w:vMerge w:val="restart"/>
            <w:tcBorders>
              <w:bottom w:val="nil"/>
            </w:tcBorders>
            <w:vAlign w:val="top"/>
          </w:tcPr>
          <w:p w14:paraId="0EA03DA5">
            <w:pPr>
              <w:rPr>
                <w:rFonts w:ascii="Arial"/>
                <w:sz w:val="21"/>
              </w:rPr>
            </w:pPr>
          </w:p>
        </w:tc>
        <w:tc>
          <w:tcPr>
            <w:tcW w:w="797" w:type="dxa"/>
            <w:vMerge w:val="restart"/>
            <w:tcBorders>
              <w:bottom w:val="nil"/>
            </w:tcBorders>
            <w:vAlign w:val="top"/>
          </w:tcPr>
          <w:p w14:paraId="5DC2DEFD">
            <w:pPr>
              <w:rPr>
                <w:rFonts w:ascii="Arial"/>
                <w:sz w:val="21"/>
              </w:rPr>
            </w:pPr>
          </w:p>
        </w:tc>
        <w:tc>
          <w:tcPr>
            <w:tcW w:w="797" w:type="dxa"/>
            <w:vMerge w:val="restart"/>
            <w:tcBorders>
              <w:bottom w:val="nil"/>
            </w:tcBorders>
            <w:vAlign w:val="top"/>
          </w:tcPr>
          <w:p w14:paraId="38E02580">
            <w:pPr>
              <w:rPr>
                <w:rFonts w:ascii="Arial"/>
                <w:sz w:val="21"/>
              </w:rPr>
            </w:pPr>
          </w:p>
        </w:tc>
        <w:tc>
          <w:tcPr>
            <w:tcW w:w="798" w:type="dxa"/>
            <w:vMerge w:val="restart"/>
            <w:tcBorders>
              <w:bottom w:val="nil"/>
            </w:tcBorders>
            <w:vAlign w:val="top"/>
          </w:tcPr>
          <w:p w14:paraId="7E74FD19">
            <w:pPr>
              <w:rPr>
                <w:rFonts w:ascii="Arial"/>
                <w:sz w:val="21"/>
              </w:rPr>
            </w:pPr>
          </w:p>
        </w:tc>
        <w:tc>
          <w:tcPr>
            <w:tcW w:w="802" w:type="dxa"/>
            <w:vMerge w:val="restart"/>
            <w:tcBorders>
              <w:bottom w:val="nil"/>
            </w:tcBorders>
            <w:vAlign w:val="top"/>
          </w:tcPr>
          <w:p w14:paraId="401D0C97">
            <w:pPr>
              <w:rPr>
                <w:rFonts w:ascii="Arial"/>
                <w:sz w:val="21"/>
              </w:rPr>
            </w:pPr>
          </w:p>
        </w:tc>
      </w:tr>
      <w:tr w14:paraId="311418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bottom w:val="nil"/>
            </w:tcBorders>
            <w:vAlign w:val="top"/>
          </w:tcPr>
          <w:p w14:paraId="0B5EBD94">
            <w:pPr>
              <w:rPr>
                <w:rFonts w:ascii="Arial"/>
                <w:sz w:val="21"/>
              </w:rPr>
            </w:pPr>
          </w:p>
        </w:tc>
        <w:tc>
          <w:tcPr>
            <w:tcW w:w="1528" w:type="dxa"/>
            <w:vMerge w:val="continue"/>
            <w:tcBorders>
              <w:top w:val="nil"/>
              <w:bottom w:val="nil"/>
            </w:tcBorders>
            <w:vAlign w:val="top"/>
          </w:tcPr>
          <w:p w14:paraId="4FEFBF87">
            <w:pPr>
              <w:rPr>
                <w:rFonts w:ascii="Arial"/>
                <w:sz w:val="21"/>
              </w:rPr>
            </w:pPr>
          </w:p>
        </w:tc>
        <w:tc>
          <w:tcPr>
            <w:tcW w:w="3598" w:type="dxa"/>
            <w:vAlign w:val="top"/>
          </w:tcPr>
          <w:p w14:paraId="4056EC13">
            <w:pPr>
              <w:rPr>
                <w:rFonts w:ascii="Arial"/>
                <w:sz w:val="21"/>
              </w:rPr>
            </w:pPr>
          </w:p>
        </w:tc>
        <w:tc>
          <w:tcPr>
            <w:tcW w:w="720" w:type="dxa"/>
            <w:vMerge w:val="continue"/>
            <w:tcBorders>
              <w:top w:val="nil"/>
              <w:bottom w:val="nil"/>
            </w:tcBorders>
            <w:vAlign w:val="top"/>
          </w:tcPr>
          <w:p w14:paraId="4F8FE4AE">
            <w:pPr>
              <w:rPr>
                <w:rFonts w:ascii="Arial"/>
                <w:sz w:val="21"/>
              </w:rPr>
            </w:pPr>
          </w:p>
        </w:tc>
        <w:tc>
          <w:tcPr>
            <w:tcW w:w="797" w:type="dxa"/>
            <w:vMerge w:val="continue"/>
            <w:tcBorders>
              <w:top w:val="nil"/>
              <w:bottom w:val="nil"/>
            </w:tcBorders>
            <w:vAlign w:val="top"/>
          </w:tcPr>
          <w:p w14:paraId="7EA2BF09">
            <w:pPr>
              <w:rPr>
                <w:rFonts w:ascii="Arial"/>
                <w:sz w:val="21"/>
              </w:rPr>
            </w:pPr>
          </w:p>
        </w:tc>
        <w:tc>
          <w:tcPr>
            <w:tcW w:w="798" w:type="dxa"/>
            <w:vMerge w:val="continue"/>
            <w:tcBorders>
              <w:top w:val="nil"/>
              <w:bottom w:val="nil"/>
            </w:tcBorders>
            <w:vAlign w:val="top"/>
          </w:tcPr>
          <w:p w14:paraId="7CC1919B">
            <w:pPr>
              <w:rPr>
                <w:rFonts w:ascii="Arial"/>
                <w:sz w:val="21"/>
              </w:rPr>
            </w:pPr>
          </w:p>
        </w:tc>
        <w:tc>
          <w:tcPr>
            <w:tcW w:w="798" w:type="dxa"/>
            <w:vMerge w:val="continue"/>
            <w:tcBorders>
              <w:top w:val="nil"/>
              <w:bottom w:val="nil"/>
            </w:tcBorders>
            <w:vAlign w:val="top"/>
          </w:tcPr>
          <w:p w14:paraId="72C01D89">
            <w:pPr>
              <w:rPr>
                <w:rFonts w:ascii="Arial"/>
                <w:sz w:val="21"/>
              </w:rPr>
            </w:pPr>
          </w:p>
        </w:tc>
        <w:tc>
          <w:tcPr>
            <w:tcW w:w="797" w:type="dxa"/>
            <w:vMerge w:val="continue"/>
            <w:tcBorders>
              <w:top w:val="nil"/>
              <w:bottom w:val="nil"/>
            </w:tcBorders>
            <w:vAlign w:val="top"/>
          </w:tcPr>
          <w:p w14:paraId="60485C68">
            <w:pPr>
              <w:rPr>
                <w:rFonts w:ascii="Arial"/>
                <w:sz w:val="21"/>
              </w:rPr>
            </w:pPr>
          </w:p>
        </w:tc>
        <w:tc>
          <w:tcPr>
            <w:tcW w:w="798" w:type="dxa"/>
            <w:vMerge w:val="continue"/>
            <w:tcBorders>
              <w:top w:val="nil"/>
              <w:bottom w:val="nil"/>
            </w:tcBorders>
            <w:vAlign w:val="top"/>
          </w:tcPr>
          <w:p w14:paraId="3DEB46F2">
            <w:pPr>
              <w:rPr>
                <w:rFonts w:ascii="Arial"/>
                <w:sz w:val="21"/>
              </w:rPr>
            </w:pPr>
          </w:p>
        </w:tc>
        <w:tc>
          <w:tcPr>
            <w:tcW w:w="797" w:type="dxa"/>
            <w:vMerge w:val="continue"/>
            <w:tcBorders>
              <w:top w:val="nil"/>
              <w:bottom w:val="nil"/>
            </w:tcBorders>
            <w:vAlign w:val="top"/>
          </w:tcPr>
          <w:p w14:paraId="7FC57B19">
            <w:pPr>
              <w:rPr>
                <w:rFonts w:ascii="Arial"/>
                <w:sz w:val="21"/>
              </w:rPr>
            </w:pPr>
          </w:p>
        </w:tc>
        <w:tc>
          <w:tcPr>
            <w:tcW w:w="797" w:type="dxa"/>
            <w:vMerge w:val="continue"/>
            <w:tcBorders>
              <w:top w:val="nil"/>
              <w:bottom w:val="nil"/>
            </w:tcBorders>
            <w:vAlign w:val="top"/>
          </w:tcPr>
          <w:p w14:paraId="498DB320">
            <w:pPr>
              <w:rPr>
                <w:rFonts w:ascii="Arial"/>
                <w:sz w:val="21"/>
              </w:rPr>
            </w:pPr>
          </w:p>
        </w:tc>
        <w:tc>
          <w:tcPr>
            <w:tcW w:w="798" w:type="dxa"/>
            <w:vMerge w:val="continue"/>
            <w:tcBorders>
              <w:top w:val="nil"/>
              <w:bottom w:val="nil"/>
            </w:tcBorders>
            <w:vAlign w:val="top"/>
          </w:tcPr>
          <w:p w14:paraId="52A9F59A">
            <w:pPr>
              <w:rPr>
                <w:rFonts w:ascii="Arial"/>
                <w:sz w:val="21"/>
              </w:rPr>
            </w:pPr>
          </w:p>
        </w:tc>
        <w:tc>
          <w:tcPr>
            <w:tcW w:w="802" w:type="dxa"/>
            <w:vMerge w:val="continue"/>
            <w:tcBorders>
              <w:top w:val="nil"/>
              <w:bottom w:val="nil"/>
            </w:tcBorders>
            <w:vAlign w:val="top"/>
          </w:tcPr>
          <w:p w14:paraId="685E4168">
            <w:pPr>
              <w:rPr>
                <w:rFonts w:ascii="Arial"/>
                <w:sz w:val="21"/>
              </w:rPr>
            </w:pPr>
          </w:p>
        </w:tc>
      </w:tr>
      <w:tr w14:paraId="7DE8C7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743" w:type="dxa"/>
            <w:vMerge w:val="continue"/>
            <w:tcBorders>
              <w:top w:val="nil"/>
              <w:bottom w:val="nil"/>
            </w:tcBorders>
            <w:vAlign w:val="top"/>
          </w:tcPr>
          <w:p w14:paraId="51B4A4BC">
            <w:pPr>
              <w:rPr>
                <w:rFonts w:ascii="Arial"/>
                <w:sz w:val="21"/>
              </w:rPr>
            </w:pPr>
          </w:p>
        </w:tc>
        <w:tc>
          <w:tcPr>
            <w:tcW w:w="1528" w:type="dxa"/>
            <w:vMerge w:val="continue"/>
            <w:tcBorders>
              <w:top w:val="nil"/>
              <w:bottom w:val="nil"/>
            </w:tcBorders>
            <w:vAlign w:val="top"/>
          </w:tcPr>
          <w:p w14:paraId="22CC9B61">
            <w:pPr>
              <w:rPr>
                <w:rFonts w:ascii="Arial"/>
                <w:sz w:val="21"/>
              </w:rPr>
            </w:pPr>
          </w:p>
        </w:tc>
        <w:tc>
          <w:tcPr>
            <w:tcW w:w="3598" w:type="dxa"/>
            <w:vAlign w:val="top"/>
          </w:tcPr>
          <w:p w14:paraId="799E3E66">
            <w:pPr>
              <w:rPr>
                <w:rFonts w:ascii="Arial"/>
                <w:sz w:val="21"/>
              </w:rPr>
            </w:pPr>
          </w:p>
        </w:tc>
        <w:tc>
          <w:tcPr>
            <w:tcW w:w="720" w:type="dxa"/>
            <w:vMerge w:val="continue"/>
            <w:tcBorders>
              <w:top w:val="nil"/>
              <w:bottom w:val="nil"/>
            </w:tcBorders>
            <w:vAlign w:val="top"/>
          </w:tcPr>
          <w:p w14:paraId="19892A35">
            <w:pPr>
              <w:rPr>
                <w:rFonts w:ascii="Arial"/>
                <w:sz w:val="21"/>
              </w:rPr>
            </w:pPr>
          </w:p>
        </w:tc>
        <w:tc>
          <w:tcPr>
            <w:tcW w:w="797" w:type="dxa"/>
            <w:vMerge w:val="continue"/>
            <w:tcBorders>
              <w:top w:val="nil"/>
              <w:bottom w:val="nil"/>
            </w:tcBorders>
            <w:vAlign w:val="top"/>
          </w:tcPr>
          <w:p w14:paraId="5C55D311">
            <w:pPr>
              <w:rPr>
                <w:rFonts w:ascii="Arial"/>
                <w:sz w:val="21"/>
              </w:rPr>
            </w:pPr>
          </w:p>
        </w:tc>
        <w:tc>
          <w:tcPr>
            <w:tcW w:w="798" w:type="dxa"/>
            <w:vMerge w:val="continue"/>
            <w:tcBorders>
              <w:top w:val="nil"/>
              <w:bottom w:val="nil"/>
            </w:tcBorders>
            <w:vAlign w:val="top"/>
          </w:tcPr>
          <w:p w14:paraId="3AF2A643">
            <w:pPr>
              <w:rPr>
                <w:rFonts w:ascii="Arial"/>
                <w:sz w:val="21"/>
              </w:rPr>
            </w:pPr>
          </w:p>
        </w:tc>
        <w:tc>
          <w:tcPr>
            <w:tcW w:w="798" w:type="dxa"/>
            <w:vMerge w:val="continue"/>
            <w:tcBorders>
              <w:top w:val="nil"/>
              <w:bottom w:val="nil"/>
            </w:tcBorders>
            <w:vAlign w:val="top"/>
          </w:tcPr>
          <w:p w14:paraId="48E1EA88">
            <w:pPr>
              <w:rPr>
                <w:rFonts w:ascii="Arial"/>
                <w:sz w:val="21"/>
              </w:rPr>
            </w:pPr>
          </w:p>
        </w:tc>
        <w:tc>
          <w:tcPr>
            <w:tcW w:w="797" w:type="dxa"/>
            <w:vMerge w:val="continue"/>
            <w:tcBorders>
              <w:top w:val="nil"/>
              <w:bottom w:val="nil"/>
            </w:tcBorders>
            <w:vAlign w:val="top"/>
          </w:tcPr>
          <w:p w14:paraId="12734B3B">
            <w:pPr>
              <w:rPr>
                <w:rFonts w:ascii="Arial"/>
                <w:sz w:val="21"/>
              </w:rPr>
            </w:pPr>
          </w:p>
        </w:tc>
        <w:tc>
          <w:tcPr>
            <w:tcW w:w="798" w:type="dxa"/>
            <w:vMerge w:val="continue"/>
            <w:tcBorders>
              <w:top w:val="nil"/>
              <w:bottom w:val="nil"/>
            </w:tcBorders>
            <w:vAlign w:val="top"/>
          </w:tcPr>
          <w:p w14:paraId="318DFA7A">
            <w:pPr>
              <w:rPr>
                <w:rFonts w:ascii="Arial"/>
                <w:sz w:val="21"/>
              </w:rPr>
            </w:pPr>
          </w:p>
        </w:tc>
        <w:tc>
          <w:tcPr>
            <w:tcW w:w="797" w:type="dxa"/>
            <w:vMerge w:val="continue"/>
            <w:tcBorders>
              <w:top w:val="nil"/>
              <w:bottom w:val="nil"/>
            </w:tcBorders>
            <w:vAlign w:val="top"/>
          </w:tcPr>
          <w:p w14:paraId="5C4793C0">
            <w:pPr>
              <w:rPr>
                <w:rFonts w:ascii="Arial"/>
                <w:sz w:val="21"/>
              </w:rPr>
            </w:pPr>
          </w:p>
        </w:tc>
        <w:tc>
          <w:tcPr>
            <w:tcW w:w="797" w:type="dxa"/>
            <w:vMerge w:val="continue"/>
            <w:tcBorders>
              <w:top w:val="nil"/>
              <w:bottom w:val="nil"/>
            </w:tcBorders>
            <w:vAlign w:val="top"/>
          </w:tcPr>
          <w:p w14:paraId="3B827831">
            <w:pPr>
              <w:rPr>
                <w:rFonts w:ascii="Arial"/>
                <w:sz w:val="21"/>
              </w:rPr>
            </w:pPr>
          </w:p>
        </w:tc>
        <w:tc>
          <w:tcPr>
            <w:tcW w:w="798" w:type="dxa"/>
            <w:vMerge w:val="continue"/>
            <w:tcBorders>
              <w:top w:val="nil"/>
              <w:bottom w:val="nil"/>
            </w:tcBorders>
            <w:vAlign w:val="top"/>
          </w:tcPr>
          <w:p w14:paraId="37CC845C">
            <w:pPr>
              <w:rPr>
                <w:rFonts w:ascii="Arial"/>
                <w:sz w:val="21"/>
              </w:rPr>
            </w:pPr>
          </w:p>
        </w:tc>
        <w:tc>
          <w:tcPr>
            <w:tcW w:w="802" w:type="dxa"/>
            <w:vMerge w:val="continue"/>
            <w:tcBorders>
              <w:top w:val="nil"/>
              <w:bottom w:val="nil"/>
            </w:tcBorders>
            <w:vAlign w:val="top"/>
          </w:tcPr>
          <w:p w14:paraId="180FAF2E">
            <w:pPr>
              <w:rPr>
                <w:rFonts w:ascii="Arial"/>
                <w:sz w:val="21"/>
              </w:rPr>
            </w:pPr>
          </w:p>
        </w:tc>
      </w:tr>
      <w:tr w14:paraId="645118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tcBorders>
            <w:vAlign w:val="top"/>
          </w:tcPr>
          <w:p w14:paraId="7D315F4E">
            <w:pPr>
              <w:rPr>
                <w:rFonts w:ascii="Arial"/>
                <w:sz w:val="21"/>
              </w:rPr>
            </w:pPr>
          </w:p>
        </w:tc>
        <w:tc>
          <w:tcPr>
            <w:tcW w:w="1528" w:type="dxa"/>
            <w:vMerge w:val="continue"/>
            <w:tcBorders>
              <w:top w:val="nil"/>
            </w:tcBorders>
            <w:vAlign w:val="top"/>
          </w:tcPr>
          <w:p w14:paraId="402BE8E6">
            <w:pPr>
              <w:rPr>
                <w:rFonts w:ascii="Arial"/>
                <w:sz w:val="21"/>
              </w:rPr>
            </w:pPr>
          </w:p>
        </w:tc>
        <w:tc>
          <w:tcPr>
            <w:tcW w:w="3598" w:type="dxa"/>
            <w:vAlign w:val="top"/>
          </w:tcPr>
          <w:p w14:paraId="0ADD9137">
            <w:pPr>
              <w:rPr>
                <w:rFonts w:ascii="Arial"/>
                <w:sz w:val="21"/>
              </w:rPr>
            </w:pPr>
          </w:p>
        </w:tc>
        <w:tc>
          <w:tcPr>
            <w:tcW w:w="720" w:type="dxa"/>
            <w:vMerge w:val="continue"/>
            <w:tcBorders>
              <w:top w:val="nil"/>
            </w:tcBorders>
            <w:vAlign w:val="top"/>
          </w:tcPr>
          <w:p w14:paraId="247B5903">
            <w:pPr>
              <w:rPr>
                <w:rFonts w:ascii="Arial"/>
                <w:sz w:val="21"/>
              </w:rPr>
            </w:pPr>
          </w:p>
        </w:tc>
        <w:tc>
          <w:tcPr>
            <w:tcW w:w="797" w:type="dxa"/>
            <w:vMerge w:val="continue"/>
            <w:tcBorders>
              <w:top w:val="nil"/>
            </w:tcBorders>
            <w:vAlign w:val="top"/>
          </w:tcPr>
          <w:p w14:paraId="7B9FDFA2">
            <w:pPr>
              <w:rPr>
                <w:rFonts w:ascii="Arial"/>
                <w:sz w:val="21"/>
              </w:rPr>
            </w:pPr>
          </w:p>
        </w:tc>
        <w:tc>
          <w:tcPr>
            <w:tcW w:w="798" w:type="dxa"/>
            <w:vMerge w:val="continue"/>
            <w:tcBorders>
              <w:top w:val="nil"/>
            </w:tcBorders>
            <w:vAlign w:val="top"/>
          </w:tcPr>
          <w:p w14:paraId="4E1B93B7">
            <w:pPr>
              <w:rPr>
                <w:rFonts w:ascii="Arial"/>
                <w:sz w:val="21"/>
              </w:rPr>
            </w:pPr>
          </w:p>
        </w:tc>
        <w:tc>
          <w:tcPr>
            <w:tcW w:w="798" w:type="dxa"/>
            <w:vMerge w:val="continue"/>
            <w:tcBorders>
              <w:top w:val="nil"/>
            </w:tcBorders>
            <w:vAlign w:val="top"/>
          </w:tcPr>
          <w:p w14:paraId="225A5880">
            <w:pPr>
              <w:rPr>
                <w:rFonts w:ascii="Arial"/>
                <w:sz w:val="21"/>
              </w:rPr>
            </w:pPr>
          </w:p>
        </w:tc>
        <w:tc>
          <w:tcPr>
            <w:tcW w:w="797" w:type="dxa"/>
            <w:vMerge w:val="continue"/>
            <w:tcBorders>
              <w:top w:val="nil"/>
            </w:tcBorders>
            <w:vAlign w:val="top"/>
          </w:tcPr>
          <w:p w14:paraId="2889D9FE">
            <w:pPr>
              <w:rPr>
                <w:rFonts w:ascii="Arial"/>
                <w:sz w:val="21"/>
              </w:rPr>
            </w:pPr>
          </w:p>
        </w:tc>
        <w:tc>
          <w:tcPr>
            <w:tcW w:w="798" w:type="dxa"/>
            <w:vMerge w:val="continue"/>
            <w:tcBorders>
              <w:top w:val="nil"/>
            </w:tcBorders>
            <w:vAlign w:val="top"/>
          </w:tcPr>
          <w:p w14:paraId="459971C8">
            <w:pPr>
              <w:rPr>
                <w:rFonts w:ascii="Arial"/>
                <w:sz w:val="21"/>
              </w:rPr>
            </w:pPr>
          </w:p>
        </w:tc>
        <w:tc>
          <w:tcPr>
            <w:tcW w:w="797" w:type="dxa"/>
            <w:vMerge w:val="continue"/>
            <w:tcBorders>
              <w:top w:val="nil"/>
            </w:tcBorders>
            <w:vAlign w:val="top"/>
          </w:tcPr>
          <w:p w14:paraId="4DCF17F9">
            <w:pPr>
              <w:rPr>
                <w:rFonts w:ascii="Arial"/>
                <w:sz w:val="21"/>
              </w:rPr>
            </w:pPr>
          </w:p>
        </w:tc>
        <w:tc>
          <w:tcPr>
            <w:tcW w:w="797" w:type="dxa"/>
            <w:vMerge w:val="continue"/>
            <w:tcBorders>
              <w:top w:val="nil"/>
            </w:tcBorders>
            <w:vAlign w:val="top"/>
          </w:tcPr>
          <w:p w14:paraId="092B3F32">
            <w:pPr>
              <w:rPr>
                <w:rFonts w:ascii="Arial"/>
                <w:sz w:val="21"/>
              </w:rPr>
            </w:pPr>
          </w:p>
        </w:tc>
        <w:tc>
          <w:tcPr>
            <w:tcW w:w="798" w:type="dxa"/>
            <w:vMerge w:val="continue"/>
            <w:tcBorders>
              <w:top w:val="nil"/>
            </w:tcBorders>
            <w:vAlign w:val="top"/>
          </w:tcPr>
          <w:p w14:paraId="54299583">
            <w:pPr>
              <w:rPr>
                <w:rFonts w:ascii="Arial"/>
                <w:sz w:val="21"/>
              </w:rPr>
            </w:pPr>
          </w:p>
        </w:tc>
        <w:tc>
          <w:tcPr>
            <w:tcW w:w="802" w:type="dxa"/>
            <w:vMerge w:val="continue"/>
            <w:tcBorders>
              <w:top w:val="nil"/>
            </w:tcBorders>
            <w:vAlign w:val="top"/>
          </w:tcPr>
          <w:p w14:paraId="0AC9DEA9">
            <w:pPr>
              <w:rPr>
                <w:rFonts w:ascii="Arial"/>
                <w:sz w:val="21"/>
              </w:rPr>
            </w:pPr>
          </w:p>
        </w:tc>
      </w:tr>
      <w:tr w14:paraId="7B307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6589" w:type="dxa"/>
            <w:gridSpan w:val="4"/>
            <w:vAlign w:val="top"/>
          </w:tcPr>
          <w:p w14:paraId="10EA45CB">
            <w:pPr>
              <w:pStyle w:val="6"/>
              <w:spacing w:before="257" w:line="228" w:lineRule="auto"/>
              <w:ind w:left="1488"/>
            </w:pPr>
            <w:r>
              <w:rPr>
                <w:spacing w:val="7"/>
              </w:rPr>
              <w:t>施工组织设计得分合计</w:t>
            </w:r>
            <w:r>
              <w:rPr>
                <w:spacing w:val="-31"/>
              </w:rPr>
              <w:t xml:space="preserve"> </w:t>
            </w:r>
            <w:r>
              <w:rPr>
                <w:spacing w:val="7"/>
              </w:rPr>
              <w:t>B（满分   分）</w:t>
            </w:r>
          </w:p>
        </w:tc>
        <w:tc>
          <w:tcPr>
            <w:tcW w:w="797" w:type="dxa"/>
            <w:vAlign w:val="top"/>
          </w:tcPr>
          <w:p w14:paraId="6E2ED542">
            <w:pPr>
              <w:rPr>
                <w:rFonts w:ascii="Arial"/>
                <w:sz w:val="21"/>
              </w:rPr>
            </w:pPr>
          </w:p>
        </w:tc>
        <w:tc>
          <w:tcPr>
            <w:tcW w:w="798" w:type="dxa"/>
            <w:vAlign w:val="top"/>
          </w:tcPr>
          <w:p w14:paraId="61A510C8">
            <w:pPr>
              <w:rPr>
                <w:rFonts w:ascii="Arial"/>
                <w:sz w:val="21"/>
              </w:rPr>
            </w:pPr>
          </w:p>
        </w:tc>
        <w:tc>
          <w:tcPr>
            <w:tcW w:w="798" w:type="dxa"/>
            <w:vAlign w:val="top"/>
          </w:tcPr>
          <w:p w14:paraId="68D877B4">
            <w:pPr>
              <w:rPr>
                <w:rFonts w:ascii="Arial"/>
                <w:sz w:val="21"/>
              </w:rPr>
            </w:pPr>
          </w:p>
        </w:tc>
        <w:tc>
          <w:tcPr>
            <w:tcW w:w="797" w:type="dxa"/>
            <w:vAlign w:val="top"/>
          </w:tcPr>
          <w:p w14:paraId="0B630359">
            <w:pPr>
              <w:rPr>
                <w:rFonts w:ascii="Arial"/>
                <w:sz w:val="21"/>
              </w:rPr>
            </w:pPr>
          </w:p>
        </w:tc>
        <w:tc>
          <w:tcPr>
            <w:tcW w:w="798" w:type="dxa"/>
            <w:vAlign w:val="top"/>
          </w:tcPr>
          <w:p w14:paraId="088E88F3">
            <w:pPr>
              <w:rPr>
                <w:rFonts w:ascii="Arial"/>
                <w:sz w:val="21"/>
              </w:rPr>
            </w:pPr>
          </w:p>
        </w:tc>
        <w:tc>
          <w:tcPr>
            <w:tcW w:w="797" w:type="dxa"/>
            <w:vAlign w:val="top"/>
          </w:tcPr>
          <w:p w14:paraId="1C73F88C">
            <w:pPr>
              <w:rPr>
                <w:rFonts w:ascii="Arial"/>
                <w:sz w:val="21"/>
              </w:rPr>
            </w:pPr>
          </w:p>
        </w:tc>
        <w:tc>
          <w:tcPr>
            <w:tcW w:w="797" w:type="dxa"/>
            <w:vAlign w:val="top"/>
          </w:tcPr>
          <w:p w14:paraId="4DE66DF1">
            <w:pPr>
              <w:rPr>
                <w:rFonts w:ascii="Arial"/>
                <w:sz w:val="21"/>
              </w:rPr>
            </w:pPr>
          </w:p>
        </w:tc>
        <w:tc>
          <w:tcPr>
            <w:tcW w:w="798" w:type="dxa"/>
            <w:vAlign w:val="top"/>
          </w:tcPr>
          <w:p w14:paraId="276EC646">
            <w:pPr>
              <w:rPr>
                <w:rFonts w:ascii="Arial"/>
                <w:sz w:val="21"/>
              </w:rPr>
            </w:pPr>
          </w:p>
        </w:tc>
        <w:tc>
          <w:tcPr>
            <w:tcW w:w="802" w:type="dxa"/>
            <w:vAlign w:val="top"/>
          </w:tcPr>
          <w:p w14:paraId="141DD35C">
            <w:pPr>
              <w:rPr>
                <w:rFonts w:ascii="Arial"/>
                <w:sz w:val="21"/>
              </w:rPr>
            </w:pPr>
          </w:p>
        </w:tc>
      </w:tr>
    </w:tbl>
    <w:p w14:paraId="15216685">
      <w:pPr>
        <w:spacing w:line="342" w:lineRule="auto"/>
        <w:rPr>
          <w:rFonts w:ascii="Arial"/>
          <w:sz w:val="21"/>
        </w:rPr>
      </w:pPr>
    </w:p>
    <w:p w14:paraId="2E5750D9">
      <w:pPr>
        <w:spacing w:line="343" w:lineRule="auto"/>
        <w:rPr>
          <w:rFonts w:ascii="Arial"/>
          <w:sz w:val="21"/>
        </w:rPr>
      </w:pPr>
    </w:p>
    <w:p w14:paraId="08E13E71">
      <w:pPr>
        <w:spacing w:before="65" w:line="227" w:lineRule="auto"/>
        <w:ind w:left="120"/>
        <w:outlineLvl w:val="1"/>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     月    日</w:t>
      </w:r>
    </w:p>
    <w:p w14:paraId="6A0063C4">
      <w:pPr>
        <w:spacing w:line="227" w:lineRule="auto"/>
        <w:rPr>
          <w:rFonts w:ascii="宋体" w:hAnsi="宋体" w:eastAsia="宋体" w:cs="宋体"/>
          <w:sz w:val="20"/>
          <w:szCs w:val="20"/>
        </w:rPr>
        <w:sectPr>
          <w:footerReference r:id="rId139" w:type="default"/>
          <w:pgSz w:w="16840" w:h="11907"/>
          <w:pgMar w:top="400" w:right="1475" w:bottom="1036" w:left="1588" w:header="0" w:footer="787" w:gutter="0"/>
          <w:cols w:space="720" w:num="1"/>
        </w:sectPr>
      </w:pPr>
    </w:p>
    <w:p w14:paraId="0219A8D4">
      <w:pPr>
        <w:spacing w:line="289" w:lineRule="auto"/>
        <w:rPr>
          <w:rFonts w:ascii="Arial"/>
          <w:sz w:val="21"/>
        </w:rPr>
      </w:pPr>
    </w:p>
    <w:p w14:paraId="3D7BC4DC">
      <w:pPr>
        <w:spacing w:line="290" w:lineRule="auto"/>
        <w:rPr>
          <w:rFonts w:ascii="Arial"/>
          <w:sz w:val="21"/>
        </w:rPr>
      </w:pPr>
    </w:p>
    <w:p w14:paraId="4C080106">
      <w:pPr>
        <w:spacing w:line="290" w:lineRule="auto"/>
        <w:rPr>
          <w:rFonts w:ascii="Arial"/>
          <w:sz w:val="21"/>
        </w:rPr>
      </w:pPr>
    </w:p>
    <w:p w14:paraId="7DC87367">
      <w:pPr>
        <w:spacing w:line="290" w:lineRule="auto"/>
        <w:rPr>
          <w:rFonts w:ascii="Arial"/>
          <w:sz w:val="21"/>
        </w:rPr>
      </w:pPr>
    </w:p>
    <w:p w14:paraId="2E69E4FF">
      <w:pPr>
        <w:pStyle w:val="2"/>
        <w:spacing w:before="78" w:line="222" w:lineRule="auto"/>
        <w:ind w:left="135"/>
        <w:rPr>
          <w:sz w:val="24"/>
          <w:szCs w:val="24"/>
        </w:rPr>
      </w:pPr>
      <w:bookmarkStart w:id="191" w:name="bookmark172"/>
      <w:bookmarkEnd w:id="191"/>
      <w:r>
        <w:rPr>
          <w:spacing w:val="-3"/>
          <w:sz w:val="24"/>
          <w:szCs w:val="24"/>
        </w:rPr>
        <w:t>附表</w:t>
      </w:r>
      <w:r>
        <w:rPr>
          <w:spacing w:val="-59"/>
          <w:sz w:val="24"/>
          <w:szCs w:val="24"/>
        </w:rPr>
        <w:t xml:space="preserve"> </w:t>
      </w:r>
      <w:r>
        <w:rPr>
          <w:rFonts w:ascii="Times New Roman" w:hAnsi="Times New Roman" w:eastAsia="Times New Roman" w:cs="Times New Roman"/>
          <w:spacing w:val="-3"/>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10</w:t>
      </w:r>
      <w:r>
        <w:rPr>
          <w:spacing w:val="-3"/>
          <w:sz w:val="24"/>
          <w:szCs w:val="24"/>
        </w:rPr>
        <w:t>：项目管理机构评审记录表</w:t>
      </w:r>
    </w:p>
    <w:p w14:paraId="495DAC6F">
      <w:pPr>
        <w:pStyle w:val="2"/>
        <w:spacing w:before="40" w:line="404" w:lineRule="auto"/>
        <w:ind w:left="124" w:right="5347" w:firstLine="5234"/>
        <w:rPr>
          <w:rFonts w:ascii="宋体" w:hAnsi="宋体" w:eastAsia="宋体" w:cs="宋体"/>
          <w:sz w:val="20"/>
          <w:szCs w:val="20"/>
        </w:rPr>
      </w:pPr>
      <w:r>
        <w:rPr>
          <w:spacing w:val="-1"/>
          <w:sz w:val="28"/>
          <w:szCs w:val="28"/>
        </w:rPr>
        <w:t>项目管理机构评审记录表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3A861C28">
      <w:pPr>
        <w:spacing w:line="21"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5"/>
        <w:gridCol w:w="1086"/>
        <w:gridCol w:w="899"/>
        <w:gridCol w:w="3419"/>
        <w:gridCol w:w="720"/>
        <w:gridCol w:w="757"/>
        <w:gridCol w:w="758"/>
        <w:gridCol w:w="758"/>
        <w:gridCol w:w="757"/>
        <w:gridCol w:w="758"/>
        <w:gridCol w:w="757"/>
        <w:gridCol w:w="757"/>
        <w:gridCol w:w="758"/>
        <w:gridCol w:w="762"/>
      </w:tblGrid>
      <w:tr w14:paraId="67A04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25" w:type="dxa"/>
            <w:vMerge w:val="restart"/>
            <w:tcBorders>
              <w:bottom w:val="nil"/>
            </w:tcBorders>
            <w:vAlign w:val="top"/>
          </w:tcPr>
          <w:p w14:paraId="280F4D86">
            <w:pPr>
              <w:spacing w:line="291" w:lineRule="auto"/>
              <w:rPr>
                <w:rFonts w:ascii="Arial"/>
                <w:sz w:val="21"/>
              </w:rPr>
            </w:pPr>
          </w:p>
          <w:p w14:paraId="005D64BD">
            <w:pPr>
              <w:pStyle w:val="6"/>
              <w:spacing w:before="65" w:line="229" w:lineRule="auto"/>
              <w:ind w:left="206"/>
            </w:pPr>
            <w:r>
              <w:rPr>
                <w:spacing w:val="5"/>
              </w:rPr>
              <w:t>序号</w:t>
            </w:r>
          </w:p>
        </w:tc>
        <w:tc>
          <w:tcPr>
            <w:tcW w:w="1985" w:type="dxa"/>
            <w:gridSpan w:val="2"/>
            <w:vMerge w:val="restart"/>
            <w:tcBorders>
              <w:bottom w:val="nil"/>
            </w:tcBorders>
            <w:vAlign w:val="top"/>
          </w:tcPr>
          <w:p w14:paraId="7C09713C">
            <w:pPr>
              <w:spacing w:line="292" w:lineRule="auto"/>
              <w:rPr>
                <w:rFonts w:ascii="Arial"/>
                <w:sz w:val="21"/>
              </w:rPr>
            </w:pPr>
          </w:p>
          <w:p w14:paraId="77055024">
            <w:pPr>
              <w:pStyle w:val="6"/>
              <w:spacing w:before="65" w:line="228" w:lineRule="auto"/>
              <w:ind w:left="577"/>
            </w:pPr>
            <w:r>
              <w:rPr>
                <w:spacing w:val="7"/>
              </w:rPr>
              <w:t>评分项目</w:t>
            </w:r>
          </w:p>
        </w:tc>
        <w:tc>
          <w:tcPr>
            <w:tcW w:w="3419" w:type="dxa"/>
            <w:vMerge w:val="restart"/>
            <w:tcBorders>
              <w:bottom w:val="nil"/>
            </w:tcBorders>
            <w:vAlign w:val="top"/>
          </w:tcPr>
          <w:p w14:paraId="67334E78">
            <w:pPr>
              <w:spacing w:line="292" w:lineRule="auto"/>
              <w:rPr>
                <w:rFonts w:ascii="Arial"/>
                <w:sz w:val="21"/>
              </w:rPr>
            </w:pPr>
          </w:p>
          <w:p w14:paraId="14E3CABB">
            <w:pPr>
              <w:pStyle w:val="6"/>
              <w:spacing w:before="65" w:line="228" w:lineRule="auto"/>
              <w:ind w:left="1294"/>
            </w:pPr>
            <w:r>
              <w:rPr>
                <w:spacing w:val="7"/>
              </w:rPr>
              <w:t>评分标准</w:t>
            </w:r>
          </w:p>
        </w:tc>
        <w:tc>
          <w:tcPr>
            <w:tcW w:w="720" w:type="dxa"/>
            <w:vMerge w:val="restart"/>
            <w:tcBorders>
              <w:bottom w:val="nil"/>
            </w:tcBorders>
            <w:vAlign w:val="top"/>
          </w:tcPr>
          <w:p w14:paraId="21707613">
            <w:pPr>
              <w:pStyle w:val="6"/>
              <w:spacing w:before="222" w:line="254" w:lineRule="auto"/>
              <w:ind w:left="264" w:right="149" w:hanging="107"/>
            </w:pPr>
            <w:r>
              <w:rPr>
                <w:spacing w:val="4"/>
              </w:rPr>
              <w:t>标准</w:t>
            </w:r>
            <w:r>
              <w:t>分</w:t>
            </w:r>
          </w:p>
        </w:tc>
        <w:tc>
          <w:tcPr>
            <w:tcW w:w="6822" w:type="dxa"/>
            <w:gridSpan w:val="9"/>
            <w:vAlign w:val="top"/>
          </w:tcPr>
          <w:p w14:paraId="0E95CA0C">
            <w:pPr>
              <w:pStyle w:val="6"/>
              <w:spacing w:before="125" w:line="228" w:lineRule="auto"/>
              <w:ind w:left="2578"/>
            </w:pPr>
            <w:r>
              <w:rPr>
                <w:spacing w:val="8"/>
              </w:rPr>
              <w:t>投标人名称及得分</w:t>
            </w:r>
          </w:p>
        </w:tc>
      </w:tr>
      <w:tr w14:paraId="2D9BD7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25" w:type="dxa"/>
            <w:vMerge w:val="continue"/>
            <w:tcBorders>
              <w:top w:val="nil"/>
            </w:tcBorders>
            <w:vAlign w:val="top"/>
          </w:tcPr>
          <w:p w14:paraId="24A29768">
            <w:pPr>
              <w:rPr>
                <w:rFonts w:ascii="Arial"/>
                <w:sz w:val="21"/>
              </w:rPr>
            </w:pPr>
          </w:p>
        </w:tc>
        <w:tc>
          <w:tcPr>
            <w:tcW w:w="1985" w:type="dxa"/>
            <w:gridSpan w:val="2"/>
            <w:vMerge w:val="continue"/>
            <w:tcBorders>
              <w:top w:val="nil"/>
            </w:tcBorders>
            <w:vAlign w:val="top"/>
          </w:tcPr>
          <w:p w14:paraId="11F4E539">
            <w:pPr>
              <w:rPr>
                <w:rFonts w:ascii="Arial"/>
                <w:sz w:val="21"/>
              </w:rPr>
            </w:pPr>
          </w:p>
        </w:tc>
        <w:tc>
          <w:tcPr>
            <w:tcW w:w="3419" w:type="dxa"/>
            <w:vMerge w:val="continue"/>
            <w:tcBorders>
              <w:top w:val="nil"/>
            </w:tcBorders>
            <w:vAlign w:val="top"/>
          </w:tcPr>
          <w:p w14:paraId="55E5CAD1">
            <w:pPr>
              <w:rPr>
                <w:rFonts w:ascii="Arial"/>
                <w:sz w:val="21"/>
              </w:rPr>
            </w:pPr>
          </w:p>
        </w:tc>
        <w:tc>
          <w:tcPr>
            <w:tcW w:w="720" w:type="dxa"/>
            <w:vMerge w:val="continue"/>
            <w:tcBorders>
              <w:top w:val="nil"/>
            </w:tcBorders>
            <w:vAlign w:val="top"/>
          </w:tcPr>
          <w:p w14:paraId="1870A81B">
            <w:pPr>
              <w:rPr>
                <w:rFonts w:ascii="Arial"/>
                <w:sz w:val="21"/>
              </w:rPr>
            </w:pPr>
          </w:p>
        </w:tc>
        <w:tc>
          <w:tcPr>
            <w:tcW w:w="757" w:type="dxa"/>
            <w:vAlign w:val="top"/>
          </w:tcPr>
          <w:p w14:paraId="2DE8F50F">
            <w:pPr>
              <w:rPr>
                <w:rFonts w:ascii="Arial"/>
                <w:sz w:val="21"/>
              </w:rPr>
            </w:pPr>
          </w:p>
        </w:tc>
        <w:tc>
          <w:tcPr>
            <w:tcW w:w="758" w:type="dxa"/>
            <w:vAlign w:val="top"/>
          </w:tcPr>
          <w:p w14:paraId="41AA99BA">
            <w:pPr>
              <w:rPr>
                <w:rFonts w:ascii="Arial"/>
                <w:sz w:val="21"/>
              </w:rPr>
            </w:pPr>
          </w:p>
        </w:tc>
        <w:tc>
          <w:tcPr>
            <w:tcW w:w="758" w:type="dxa"/>
            <w:vAlign w:val="top"/>
          </w:tcPr>
          <w:p w14:paraId="51319C0E">
            <w:pPr>
              <w:rPr>
                <w:rFonts w:ascii="Arial"/>
                <w:sz w:val="21"/>
              </w:rPr>
            </w:pPr>
          </w:p>
        </w:tc>
        <w:tc>
          <w:tcPr>
            <w:tcW w:w="757" w:type="dxa"/>
            <w:vAlign w:val="top"/>
          </w:tcPr>
          <w:p w14:paraId="0CD499BA">
            <w:pPr>
              <w:rPr>
                <w:rFonts w:ascii="Arial"/>
                <w:sz w:val="21"/>
              </w:rPr>
            </w:pPr>
          </w:p>
        </w:tc>
        <w:tc>
          <w:tcPr>
            <w:tcW w:w="758" w:type="dxa"/>
            <w:vAlign w:val="top"/>
          </w:tcPr>
          <w:p w14:paraId="1DFB4C8A">
            <w:pPr>
              <w:rPr>
                <w:rFonts w:ascii="Arial"/>
                <w:sz w:val="21"/>
              </w:rPr>
            </w:pPr>
          </w:p>
        </w:tc>
        <w:tc>
          <w:tcPr>
            <w:tcW w:w="757" w:type="dxa"/>
            <w:vAlign w:val="top"/>
          </w:tcPr>
          <w:p w14:paraId="21B41394">
            <w:pPr>
              <w:rPr>
                <w:rFonts w:ascii="Arial"/>
                <w:sz w:val="21"/>
              </w:rPr>
            </w:pPr>
          </w:p>
        </w:tc>
        <w:tc>
          <w:tcPr>
            <w:tcW w:w="757" w:type="dxa"/>
            <w:vAlign w:val="top"/>
          </w:tcPr>
          <w:p w14:paraId="72D1E9A5">
            <w:pPr>
              <w:rPr>
                <w:rFonts w:ascii="Arial"/>
                <w:sz w:val="21"/>
              </w:rPr>
            </w:pPr>
          </w:p>
        </w:tc>
        <w:tc>
          <w:tcPr>
            <w:tcW w:w="758" w:type="dxa"/>
            <w:vAlign w:val="top"/>
          </w:tcPr>
          <w:p w14:paraId="2ABED13C">
            <w:pPr>
              <w:rPr>
                <w:rFonts w:ascii="Arial"/>
                <w:sz w:val="21"/>
              </w:rPr>
            </w:pPr>
          </w:p>
        </w:tc>
        <w:tc>
          <w:tcPr>
            <w:tcW w:w="762" w:type="dxa"/>
            <w:vAlign w:val="top"/>
          </w:tcPr>
          <w:p w14:paraId="7D41154C">
            <w:pPr>
              <w:rPr>
                <w:rFonts w:ascii="Arial"/>
                <w:sz w:val="21"/>
              </w:rPr>
            </w:pPr>
          </w:p>
        </w:tc>
      </w:tr>
      <w:tr w14:paraId="15787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25" w:type="dxa"/>
            <w:vMerge w:val="restart"/>
            <w:tcBorders>
              <w:bottom w:val="nil"/>
            </w:tcBorders>
            <w:vAlign w:val="top"/>
          </w:tcPr>
          <w:p w14:paraId="3BFFE390">
            <w:pPr>
              <w:spacing w:line="343" w:lineRule="auto"/>
              <w:rPr>
                <w:rFonts w:ascii="Arial"/>
                <w:sz w:val="21"/>
              </w:rPr>
            </w:pPr>
          </w:p>
          <w:p w14:paraId="27A4238F">
            <w:pPr>
              <w:spacing w:line="343" w:lineRule="auto"/>
              <w:rPr>
                <w:rFonts w:ascii="Arial"/>
                <w:sz w:val="21"/>
              </w:rPr>
            </w:pPr>
          </w:p>
          <w:p w14:paraId="1B7D7C46">
            <w:pPr>
              <w:spacing w:before="65" w:line="275" w:lineRule="exact"/>
              <w:ind w:left="376"/>
              <w:rPr>
                <w:rFonts w:ascii="黑体" w:hAnsi="黑体" w:eastAsia="黑体" w:cs="黑体"/>
                <w:sz w:val="20"/>
                <w:szCs w:val="20"/>
              </w:rPr>
            </w:pPr>
            <w:r>
              <w:rPr>
                <w:rFonts w:ascii="黑体" w:hAnsi="黑体" w:eastAsia="黑体" w:cs="黑体"/>
                <w:position w:val="1"/>
                <w:sz w:val="20"/>
                <w:szCs w:val="20"/>
              </w:rPr>
              <w:t>1</w:t>
            </w:r>
          </w:p>
        </w:tc>
        <w:tc>
          <w:tcPr>
            <w:tcW w:w="1086" w:type="dxa"/>
            <w:vMerge w:val="restart"/>
            <w:tcBorders>
              <w:bottom w:val="nil"/>
            </w:tcBorders>
            <w:vAlign w:val="top"/>
          </w:tcPr>
          <w:p w14:paraId="6F2EB4C6">
            <w:pPr>
              <w:spacing w:line="415" w:lineRule="auto"/>
              <w:rPr>
                <w:rFonts w:ascii="Arial"/>
                <w:sz w:val="21"/>
              </w:rPr>
            </w:pPr>
          </w:p>
          <w:p w14:paraId="1DE3E5FD">
            <w:pPr>
              <w:pStyle w:val="6"/>
              <w:spacing w:before="65" w:line="228" w:lineRule="auto"/>
              <w:ind w:left="130"/>
            </w:pPr>
            <w:r>
              <w:rPr>
                <w:spacing w:val="6"/>
              </w:rPr>
              <w:t>项目经理</w:t>
            </w:r>
          </w:p>
          <w:p w14:paraId="5E656191">
            <w:pPr>
              <w:pStyle w:val="6"/>
              <w:spacing w:before="25" w:line="228" w:lineRule="auto"/>
              <w:ind w:left="135"/>
            </w:pPr>
            <w:r>
              <w:rPr>
                <w:spacing w:val="5"/>
              </w:rPr>
              <w:t>资格与业</w:t>
            </w:r>
          </w:p>
          <w:p w14:paraId="13CEF46C">
            <w:pPr>
              <w:pStyle w:val="6"/>
              <w:spacing w:before="24" w:line="228" w:lineRule="auto"/>
              <w:ind w:left="444"/>
            </w:pPr>
            <w:r>
              <w:t>绩</w:t>
            </w:r>
          </w:p>
        </w:tc>
        <w:tc>
          <w:tcPr>
            <w:tcW w:w="899" w:type="dxa"/>
            <w:vAlign w:val="top"/>
          </w:tcPr>
          <w:p w14:paraId="78E7B15C">
            <w:pPr>
              <w:pStyle w:val="6"/>
              <w:spacing w:before="179" w:line="230" w:lineRule="auto"/>
              <w:ind w:left="246"/>
            </w:pPr>
            <w:r>
              <w:rPr>
                <w:spacing w:val="4"/>
              </w:rPr>
              <w:t>职称</w:t>
            </w:r>
          </w:p>
        </w:tc>
        <w:tc>
          <w:tcPr>
            <w:tcW w:w="3419" w:type="dxa"/>
            <w:vAlign w:val="top"/>
          </w:tcPr>
          <w:p w14:paraId="2DA73E41">
            <w:pPr>
              <w:rPr>
                <w:rFonts w:ascii="Arial"/>
                <w:sz w:val="21"/>
              </w:rPr>
            </w:pPr>
          </w:p>
        </w:tc>
        <w:tc>
          <w:tcPr>
            <w:tcW w:w="720" w:type="dxa"/>
            <w:vAlign w:val="top"/>
          </w:tcPr>
          <w:p w14:paraId="2034B613">
            <w:pPr>
              <w:pStyle w:val="6"/>
              <w:spacing w:before="180" w:line="228" w:lineRule="auto"/>
              <w:ind w:left="264"/>
            </w:pPr>
            <w:r>
              <w:t>分</w:t>
            </w:r>
          </w:p>
        </w:tc>
        <w:tc>
          <w:tcPr>
            <w:tcW w:w="757" w:type="dxa"/>
            <w:vAlign w:val="top"/>
          </w:tcPr>
          <w:p w14:paraId="412D53CA">
            <w:pPr>
              <w:rPr>
                <w:rFonts w:ascii="Arial"/>
                <w:sz w:val="21"/>
              </w:rPr>
            </w:pPr>
          </w:p>
        </w:tc>
        <w:tc>
          <w:tcPr>
            <w:tcW w:w="758" w:type="dxa"/>
            <w:vAlign w:val="top"/>
          </w:tcPr>
          <w:p w14:paraId="7CF16F82">
            <w:pPr>
              <w:rPr>
                <w:rFonts w:ascii="Arial"/>
                <w:sz w:val="21"/>
              </w:rPr>
            </w:pPr>
          </w:p>
        </w:tc>
        <w:tc>
          <w:tcPr>
            <w:tcW w:w="758" w:type="dxa"/>
            <w:vAlign w:val="top"/>
          </w:tcPr>
          <w:p w14:paraId="02B0AF8F">
            <w:pPr>
              <w:rPr>
                <w:rFonts w:ascii="Arial"/>
                <w:sz w:val="21"/>
              </w:rPr>
            </w:pPr>
          </w:p>
        </w:tc>
        <w:tc>
          <w:tcPr>
            <w:tcW w:w="757" w:type="dxa"/>
            <w:vAlign w:val="top"/>
          </w:tcPr>
          <w:p w14:paraId="141DAF24">
            <w:pPr>
              <w:rPr>
                <w:rFonts w:ascii="Arial"/>
                <w:sz w:val="21"/>
              </w:rPr>
            </w:pPr>
          </w:p>
        </w:tc>
        <w:tc>
          <w:tcPr>
            <w:tcW w:w="758" w:type="dxa"/>
            <w:vAlign w:val="top"/>
          </w:tcPr>
          <w:p w14:paraId="7C496B6B">
            <w:pPr>
              <w:rPr>
                <w:rFonts w:ascii="Arial"/>
                <w:sz w:val="21"/>
              </w:rPr>
            </w:pPr>
          </w:p>
        </w:tc>
        <w:tc>
          <w:tcPr>
            <w:tcW w:w="757" w:type="dxa"/>
            <w:vAlign w:val="top"/>
          </w:tcPr>
          <w:p w14:paraId="7BB288A1">
            <w:pPr>
              <w:rPr>
                <w:rFonts w:ascii="Arial"/>
                <w:sz w:val="21"/>
              </w:rPr>
            </w:pPr>
          </w:p>
        </w:tc>
        <w:tc>
          <w:tcPr>
            <w:tcW w:w="757" w:type="dxa"/>
            <w:vAlign w:val="top"/>
          </w:tcPr>
          <w:p w14:paraId="721BD438">
            <w:pPr>
              <w:rPr>
                <w:rFonts w:ascii="Arial"/>
                <w:sz w:val="21"/>
              </w:rPr>
            </w:pPr>
          </w:p>
        </w:tc>
        <w:tc>
          <w:tcPr>
            <w:tcW w:w="758" w:type="dxa"/>
            <w:vAlign w:val="top"/>
          </w:tcPr>
          <w:p w14:paraId="473D0863">
            <w:pPr>
              <w:rPr>
                <w:rFonts w:ascii="Arial"/>
                <w:sz w:val="21"/>
              </w:rPr>
            </w:pPr>
          </w:p>
        </w:tc>
        <w:tc>
          <w:tcPr>
            <w:tcW w:w="762" w:type="dxa"/>
            <w:vAlign w:val="top"/>
          </w:tcPr>
          <w:p w14:paraId="053787BF">
            <w:pPr>
              <w:rPr>
                <w:rFonts w:ascii="Arial"/>
                <w:sz w:val="21"/>
              </w:rPr>
            </w:pPr>
          </w:p>
        </w:tc>
      </w:tr>
      <w:tr w14:paraId="671A2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25" w:type="dxa"/>
            <w:vMerge w:val="continue"/>
            <w:tcBorders>
              <w:top w:val="nil"/>
              <w:bottom w:val="nil"/>
            </w:tcBorders>
            <w:vAlign w:val="top"/>
          </w:tcPr>
          <w:p w14:paraId="693F3396">
            <w:pPr>
              <w:rPr>
                <w:rFonts w:ascii="Arial"/>
                <w:sz w:val="21"/>
              </w:rPr>
            </w:pPr>
          </w:p>
        </w:tc>
        <w:tc>
          <w:tcPr>
            <w:tcW w:w="1086" w:type="dxa"/>
            <w:vMerge w:val="continue"/>
            <w:tcBorders>
              <w:top w:val="nil"/>
              <w:bottom w:val="nil"/>
            </w:tcBorders>
            <w:vAlign w:val="top"/>
          </w:tcPr>
          <w:p w14:paraId="35682EC1">
            <w:pPr>
              <w:rPr>
                <w:rFonts w:ascii="Arial"/>
                <w:sz w:val="21"/>
              </w:rPr>
            </w:pPr>
          </w:p>
        </w:tc>
        <w:tc>
          <w:tcPr>
            <w:tcW w:w="899" w:type="dxa"/>
            <w:vAlign w:val="top"/>
          </w:tcPr>
          <w:p w14:paraId="5D984622">
            <w:pPr>
              <w:pStyle w:val="6"/>
              <w:spacing w:before="180" w:line="229" w:lineRule="auto"/>
              <w:ind w:left="249"/>
            </w:pPr>
            <w:r>
              <w:rPr>
                <w:spacing w:val="2"/>
              </w:rPr>
              <w:t>学历</w:t>
            </w:r>
          </w:p>
        </w:tc>
        <w:tc>
          <w:tcPr>
            <w:tcW w:w="3419" w:type="dxa"/>
            <w:vAlign w:val="top"/>
          </w:tcPr>
          <w:p w14:paraId="13747C72">
            <w:pPr>
              <w:rPr>
                <w:rFonts w:ascii="Arial"/>
                <w:sz w:val="21"/>
              </w:rPr>
            </w:pPr>
          </w:p>
        </w:tc>
        <w:tc>
          <w:tcPr>
            <w:tcW w:w="720" w:type="dxa"/>
            <w:vAlign w:val="top"/>
          </w:tcPr>
          <w:p w14:paraId="784879C0">
            <w:pPr>
              <w:pStyle w:val="6"/>
              <w:spacing w:before="180" w:line="228" w:lineRule="auto"/>
              <w:ind w:left="264"/>
            </w:pPr>
            <w:r>
              <w:t>分</w:t>
            </w:r>
          </w:p>
        </w:tc>
        <w:tc>
          <w:tcPr>
            <w:tcW w:w="757" w:type="dxa"/>
            <w:vAlign w:val="top"/>
          </w:tcPr>
          <w:p w14:paraId="048B151A">
            <w:pPr>
              <w:rPr>
                <w:rFonts w:ascii="Arial"/>
                <w:sz w:val="21"/>
              </w:rPr>
            </w:pPr>
          </w:p>
        </w:tc>
        <w:tc>
          <w:tcPr>
            <w:tcW w:w="758" w:type="dxa"/>
            <w:vAlign w:val="top"/>
          </w:tcPr>
          <w:p w14:paraId="40CB2BE0">
            <w:pPr>
              <w:rPr>
                <w:rFonts w:ascii="Arial"/>
                <w:sz w:val="21"/>
              </w:rPr>
            </w:pPr>
          </w:p>
        </w:tc>
        <w:tc>
          <w:tcPr>
            <w:tcW w:w="758" w:type="dxa"/>
            <w:vAlign w:val="top"/>
          </w:tcPr>
          <w:p w14:paraId="1767886B">
            <w:pPr>
              <w:rPr>
                <w:rFonts w:ascii="Arial"/>
                <w:sz w:val="21"/>
              </w:rPr>
            </w:pPr>
          </w:p>
        </w:tc>
        <w:tc>
          <w:tcPr>
            <w:tcW w:w="757" w:type="dxa"/>
            <w:vAlign w:val="top"/>
          </w:tcPr>
          <w:p w14:paraId="0AD618D0">
            <w:pPr>
              <w:rPr>
                <w:rFonts w:ascii="Arial"/>
                <w:sz w:val="21"/>
              </w:rPr>
            </w:pPr>
          </w:p>
        </w:tc>
        <w:tc>
          <w:tcPr>
            <w:tcW w:w="758" w:type="dxa"/>
            <w:vAlign w:val="top"/>
          </w:tcPr>
          <w:p w14:paraId="000AAEA3">
            <w:pPr>
              <w:rPr>
                <w:rFonts w:ascii="Arial"/>
                <w:sz w:val="21"/>
              </w:rPr>
            </w:pPr>
          </w:p>
        </w:tc>
        <w:tc>
          <w:tcPr>
            <w:tcW w:w="757" w:type="dxa"/>
            <w:vAlign w:val="top"/>
          </w:tcPr>
          <w:p w14:paraId="7F7B2623">
            <w:pPr>
              <w:rPr>
                <w:rFonts w:ascii="Arial"/>
                <w:sz w:val="21"/>
              </w:rPr>
            </w:pPr>
          </w:p>
        </w:tc>
        <w:tc>
          <w:tcPr>
            <w:tcW w:w="757" w:type="dxa"/>
            <w:vAlign w:val="top"/>
          </w:tcPr>
          <w:p w14:paraId="339BE02A">
            <w:pPr>
              <w:rPr>
                <w:rFonts w:ascii="Arial"/>
                <w:sz w:val="21"/>
              </w:rPr>
            </w:pPr>
          </w:p>
        </w:tc>
        <w:tc>
          <w:tcPr>
            <w:tcW w:w="758" w:type="dxa"/>
            <w:vAlign w:val="top"/>
          </w:tcPr>
          <w:p w14:paraId="707ACE36">
            <w:pPr>
              <w:rPr>
                <w:rFonts w:ascii="Arial"/>
                <w:sz w:val="21"/>
              </w:rPr>
            </w:pPr>
          </w:p>
        </w:tc>
        <w:tc>
          <w:tcPr>
            <w:tcW w:w="762" w:type="dxa"/>
            <w:vAlign w:val="top"/>
          </w:tcPr>
          <w:p w14:paraId="36B5940A">
            <w:pPr>
              <w:rPr>
                <w:rFonts w:ascii="Arial"/>
                <w:sz w:val="21"/>
              </w:rPr>
            </w:pPr>
          </w:p>
        </w:tc>
      </w:tr>
      <w:tr w14:paraId="0B924F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25" w:type="dxa"/>
            <w:vMerge w:val="continue"/>
            <w:tcBorders>
              <w:top w:val="nil"/>
            </w:tcBorders>
            <w:vAlign w:val="top"/>
          </w:tcPr>
          <w:p w14:paraId="303AC3FC">
            <w:pPr>
              <w:rPr>
                <w:rFonts w:ascii="Arial"/>
                <w:sz w:val="21"/>
              </w:rPr>
            </w:pPr>
          </w:p>
        </w:tc>
        <w:tc>
          <w:tcPr>
            <w:tcW w:w="1086" w:type="dxa"/>
            <w:vMerge w:val="continue"/>
            <w:tcBorders>
              <w:top w:val="nil"/>
            </w:tcBorders>
            <w:vAlign w:val="top"/>
          </w:tcPr>
          <w:p w14:paraId="67988060">
            <w:pPr>
              <w:rPr>
                <w:rFonts w:ascii="Arial"/>
                <w:sz w:val="21"/>
              </w:rPr>
            </w:pPr>
          </w:p>
        </w:tc>
        <w:tc>
          <w:tcPr>
            <w:tcW w:w="899" w:type="dxa"/>
            <w:vAlign w:val="top"/>
          </w:tcPr>
          <w:p w14:paraId="738F1AA7">
            <w:pPr>
              <w:pStyle w:val="6"/>
              <w:spacing w:before="44" w:line="228" w:lineRule="auto"/>
              <w:ind w:left="139"/>
            </w:pPr>
            <w:r>
              <w:rPr>
                <w:spacing w:val="6"/>
              </w:rPr>
              <w:t>类似项</w:t>
            </w:r>
          </w:p>
          <w:p w14:paraId="27D7FD09">
            <w:pPr>
              <w:pStyle w:val="6"/>
              <w:spacing w:before="24" w:line="227" w:lineRule="auto"/>
              <w:ind w:left="179"/>
            </w:pPr>
            <w:r>
              <w:rPr>
                <w:spacing w:val="-7"/>
              </w:rPr>
              <w:t>目业绩</w:t>
            </w:r>
          </w:p>
        </w:tc>
        <w:tc>
          <w:tcPr>
            <w:tcW w:w="3419" w:type="dxa"/>
            <w:vAlign w:val="top"/>
          </w:tcPr>
          <w:p w14:paraId="280F12F9">
            <w:pPr>
              <w:rPr>
                <w:rFonts w:ascii="Arial"/>
                <w:sz w:val="21"/>
              </w:rPr>
            </w:pPr>
          </w:p>
        </w:tc>
        <w:tc>
          <w:tcPr>
            <w:tcW w:w="720" w:type="dxa"/>
            <w:vAlign w:val="top"/>
          </w:tcPr>
          <w:p w14:paraId="1D61A394">
            <w:pPr>
              <w:pStyle w:val="6"/>
              <w:spacing w:before="181" w:line="228" w:lineRule="auto"/>
              <w:ind w:left="264"/>
            </w:pPr>
            <w:r>
              <w:t>分</w:t>
            </w:r>
          </w:p>
        </w:tc>
        <w:tc>
          <w:tcPr>
            <w:tcW w:w="757" w:type="dxa"/>
            <w:vAlign w:val="top"/>
          </w:tcPr>
          <w:p w14:paraId="0B4F35F7">
            <w:pPr>
              <w:rPr>
                <w:rFonts w:ascii="Arial"/>
                <w:sz w:val="21"/>
              </w:rPr>
            </w:pPr>
          </w:p>
        </w:tc>
        <w:tc>
          <w:tcPr>
            <w:tcW w:w="758" w:type="dxa"/>
            <w:vAlign w:val="top"/>
          </w:tcPr>
          <w:p w14:paraId="5CBA3596">
            <w:pPr>
              <w:rPr>
                <w:rFonts w:ascii="Arial"/>
                <w:sz w:val="21"/>
              </w:rPr>
            </w:pPr>
          </w:p>
        </w:tc>
        <w:tc>
          <w:tcPr>
            <w:tcW w:w="758" w:type="dxa"/>
            <w:vAlign w:val="top"/>
          </w:tcPr>
          <w:p w14:paraId="01C12DE8">
            <w:pPr>
              <w:rPr>
                <w:rFonts w:ascii="Arial"/>
                <w:sz w:val="21"/>
              </w:rPr>
            </w:pPr>
          </w:p>
        </w:tc>
        <w:tc>
          <w:tcPr>
            <w:tcW w:w="757" w:type="dxa"/>
            <w:vAlign w:val="top"/>
          </w:tcPr>
          <w:p w14:paraId="4686AD1C">
            <w:pPr>
              <w:rPr>
                <w:rFonts w:ascii="Arial"/>
                <w:sz w:val="21"/>
              </w:rPr>
            </w:pPr>
          </w:p>
        </w:tc>
        <w:tc>
          <w:tcPr>
            <w:tcW w:w="758" w:type="dxa"/>
            <w:vAlign w:val="top"/>
          </w:tcPr>
          <w:p w14:paraId="22543380">
            <w:pPr>
              <w:rPr>
                <w:rFonts w:ascii="Arial"/>
                <w:sz w:val="21"/>
              </w:rPr>
            </w:pPr>
          </w:p>
        </w:tc>
        <w:tc>
          <w:tcPr>
            <w:tcW w:w="757" w:type="dxa"/>
            <w:vAlign w:val="top"/>
          </w:tcPr>
          <w:p w14:paraId="251EAF92">
            <w:pPr>
              <w:rPr>
                <w:rFonts w:ascii="Arial"/>
                <w:sz w:val="21"/>
              </w:rPr>
            </w:pPr>
          </w:p>
        </w:tc>
        <w:tc>
          <w:tcPr>
            <w:tcW w:w="757" w:type="dxa"/>
            <w:vAlign w:val="top"/>
          </w:tcPr>
          <w:p w14:paraId="2AD7487B">
            <w:pPr>
              <w:rPr>
                <w:rFonts w:ascii="Arial"/>
                <w:sz w:val="21"/>
              </w:rPr>
            </w:pPr>
          </w:p>
        </w:tc>
        <w:tc>
          <w:tcPr>
            <w:tcW w:w="758" w:type="dxa"/>
            <w:vAlign w:val="top"/>
          </w:tcPr>
          <w:p w14:paraId="4BA394DB">
            <w:pPr>
              <w:rPr>
                <w:rFonts w:ascii="Arial"/>
                <w:sz w:val="21"/>
              </w:rPr>
            </w:pPr>
          </w:p>
        </w:tc>
        <w:tc>
          <w:tcPr>
            <w:tcW w:w="762" w:type="dxa"/>
            <w:vAlign w:val="top"/>
          </w:tcPr>
          <w:p w14:paraId="7A15A0DF">
            <w:pPr>
              <w:rPr>
                <w:rFonts w:ascii="Arial"/>
                <w:sz w:val="21"/>
              </w:rPr>
            </w:pPr>
          </w:p>
        </w:tc>
      </w:tr>
      <w:tr w14:paraId="57BA04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825" w:type="dxa"/>
            <w:vMerge w:val="restart"/>
            <w:tcBorders>
              <w:bottom w:val="nil"/>
            </w:tcBorders>
            <w:vAlign w:val="top"/>
          </w:tcPr>
          <w:p w14:paraId="0C0322FE">
            <w:pPr>
              <w:spacing w:line="318" w:lineRule="auto"/>
              <w:rPr>
                <w:rFonts w:ascii="Arial"/>
                <w:sz w:val="21"/>
              </w:rPr>
            </w:pPr>
          </w:p>
          <w:p w14:paraId="16A540BB">
            <w:pPr>
              <w:spacing w:line="318" w:lineRule="auto"/>
              <w:rPr>
                <w:rFonts w:ascii="Arial"/>
                <w:sz w:val="21"/>
              </w:rPr>
            </w:pPr>
          </w:p>
          <w:p w14:paraId="6AFE10C9">
            <w:pPr>
              <w:spacing w:line="318" w:lineRule="auto"/>
              <w:rPr>
                <w:rFonts w:ascii="Arial"/>
                <w:sz w:val="21"/>
              </w:rPr>
            </w:pPr>
          </w:p>
          <w:p w14:paraId="2973352B">
            <w:pPr>
              <w:spacing w:before="65" w:line="275" w:lineRule="exact"/>
              <w:ind w:left="364"/>
              <w:rPr>
                <w:rFonts w:ascii="黑体" w:hAnsi="黑体" w:eastAsia="黑体" w:cs="黑体"/>
                <w:sz w:val="20"/>
                <w:szCs w:val="20"/>
              </w:rPr>
            </w:pPr>
            <w:r>
              <w:rPr>
                <w:rFonts w:ascii="黑体" w:hAnsi="黑体" w:eastAsia="黑体" w:cs="黑体"/>
                <w:position w:val="1"/>
                <w:sz w:val="20"/>
                <w:szCs w:val="20"/>
              </w:rPr>
              <w:t>2</w:t>
            </w:r>
          </w:p>
        </w:tc>
        <w:tc>
          <w:tcPr>
            <w:tcW w:w="1086" w:type="dxa"/>
            <w:vMerge w:val="restart"/>
            <w:tcBorders>
              <w:bottom w:val="nil"/>
            </w:tcBorders>
            <w:vAlign w:val="top"/>
          </w:tcPr>
          <w:p w14:paraId="3C57C529">
            <w:pPr>
              <w:spacing w:line="341" w:lineRule="auto"/>
              <w:rPr>
                <w:rFonts w:ascii="Arial"/>
                <w:sz w:val="21"/>
              </w:rPr>
            </w:pPr>
          </w:p>
          <w:p w14:paraId="1154BDDC">
            <w:pPr>
              <w:spacing w:line="341" w:lineRule="auto"/>
              <w:rPr>
                <w:rFonts w:ascii="Arial"/>
                <w:sz w:val="21"/>
              </w:rPr>
            </w:pPr>
          </w:p>
          <w:p w14:paraId="7BDC00DA">
            <w:pPr>
              <w:pStyle w:val="6"/>
              <w:spacing w:before="65" w:line="228" w:lineRule="auto"/>
              <w:ind w:left="127"/>
            </w:pPr>
            <w:r>
              <w:rPr>
                <w:spacing w:val="7"/>
              </w:rPr>
              <w:t>技术负责</w:t>
            </w:r>
          </w:p>
          <w:p w14:paraId="4ECC13AE">
            <w:pPr>
              <w:pStyle w:val="6"/>
              <w:spacing w:before="26" w:line="228" w:lineRule="auto"/>
              <w:ind w:left="128"/>
            </w:pPr>
            <w:r>
              <w:rPr>
                <w:spacing w:val="6"/>
              </w:rPr>
              <w:t>人资格与</w:t>
            </w:r>
          </w:p>
          <w:p w14:paraId="28CD6E02">
            <w:pPr>
              <w:pStyle w:val="6"/>
              <w:spacing w:before="24" w:line="228" w:lineRule="auto"/>
              <w:ind w:left="337"/>
            </w:pPr>
            <w:r>
              <w:rPr>
                <w:spacing w:val="5"/>
              </w:rPr>
              <w:t>业绩</w:t>
            </w:r>
          </w:p>
        </w:tc>
        <w:tc>
          <w:tcPr>
            <w:tcW w:w="899" w:type="dxa"/>
            <w:vAlign w:val="top"/>
          </w:tcPr>
          <w:p w14:paraId="0DD9AD20">
            <w:pPr>
              <w:pStyle w:val="6"/>
              <w:spacing w:before="300" w:line="230" w:lineRule="auto"/>
              <w:ind w:left="246"/>
            </w:pPr>
            <w:r>
              <w:rPr>
                <w:spacing w:val="4"/>
              </w:rPr>
              <w:t>职称</w:t>
            </w:r>
          </w:p>
        </w:tc>
        <w:tc>
          <w:tcPr>
            <w:tcW w:w="3419" w:type="dxa"/>
            <w:vAlign w:val="top"/>
          </w:tcPr>
          <w:p w14:paraId="6E203CD2">
            <w:pPr>
              <w:rPr>
                <w:rFonts w:ascii="Arial"/>
                <w:sz w:val="21"/>
              </w:rPr>
            </w:pPr>
          </w:p>
        </w:tc>
        <w:tc>
          <w:tcPr>
            <w:tcW w:w="720" w:type="dxa"/>
            <w:vAlign w:val="top"/>
          </w:tcPr>
          <w:p w14:paraId="61C48B86">
            <w:pPr>
              <w:pStyle w:val="6"/>
              <w:spacing w:before="300" w:line="228" w:lineRule="auto"/>
              <w:ind w:left="264"/>
            </w:pPr>
            <w:r>
              <w:t>分</w:t>
            </w:r>
          </w:p>
        </w:tc>
        <w:tc>
          <w:tcPr>
            <w:tcW w:w="757" w:type="dxa"/>
            <w:vAlign w:val="top"/>
          </w:tcPr>
          <w:p w14:paraId="02BEB288">
            <w:pPr>
              <w:rPr>
                <w:rFonts w:ascii="Arial"/>
                <w:sz w:val="21"/>
              </w:rPr>
            </w:pPr>
          </w:p>
        </w:tc>
        <w:tc>
          <w:tcPr>
            <w:tcW w:w="758" w:type="dxa"/>
            <w:vAlign w:val="top"/>
          </w:tcPr>
          <w:p w14:paraId="1EEC6B57">
            <w:pPr>
              <w:rPr>
                <w:rFonts w:ascii="Arial"/>
                <w:sz w:val="21"/>
              </w:rPr>
            </w:pPr>
          </w:p>
        </w:tc>
        <w:tc>
          <w:tcPr>
            <w:tcW w:w="758" w:type="dxa"/>
            <w:vAlign w:val="top"/>
          </w:tcPr>
          <w:p w14:paraId="63563AFB">
            <w:pPr>
              <w:rPr>
                <w:rFonts w:ascii="Arial"/>
                <w:sz w:val="21"/>
              </w:rPr>
            </w:pPr>
          </w:p>
        </w:tc>
        <w:tc>
          <w:tcPr>
            <w:tcW w:w="757" w:type="dxa"/>
            <w:vAlign w:val="top"/>
          </w:tcPr>
          <w:p w14:paraId="1187CBB9">
            <w:pPr>
              <w:rPr>
                <w:rFonts w:ascii="Arial"/>
                <w:sz w:val="21"/>
              </w:rPr>
            </w:pPr>
          </w:p>
        </w:tc>
        <w:tc>
          <w:tcPr>
            <w:tcW w:w="758" w:type="dxa"/>
            <w:vAlign w:val="top"/>
          </w:tcPr>
          <w:p w14:paraId="21C99D45">
            <w:pPr>
              <w:rPr>
                <w:rFonts w:ascii="Arial"/>
                <w:sz w:val="21"/>
              </w:rPr>
            </w:pPr>
          </w:p>
        </w:tc>
        <w:tc>
          <w:tcPr>
            <w:tcW w:w="757" w:type="dxa"/>
            <w:vAlign w:val="top"/>
          </w:tcPr>
          <w:p w14:paraId="7A127440">
            <w:pPr>
              <w:rPr>
                <w:rFonts w:ascii="Arial"/>
                <w:sz w:val="21"/>
              </w:rPr>
            </w:pPr>
          </w:p>
        </w:tc>
        <w:tc>
          <w:tcPr>
            <w:tcW w:w="757" w:type="dxa"/>
            <w:vAlign w:val="top"/>
          </w:tcPr>
          <w:p w14:paraId="44C36374">
            <w:pPr>
              <w:rPr>
                <w:rFonts w:ascii="Arial"/>
                <w:sz w:val="21"/>
              </w:rPr>
            </w:pPr>
          </w:p>
        </w:tc>
        <w:tc>
          <w:tcPr>
            <w:tcW w:w="758" w:type="dxa"/>
            <w:vAlign w:val="top"/>
          </w:tcPr>
          <w:p w14:paraId="28F79577">
            <w:pPr>
              <w:rPr>
                <w:rFonts w:ascii="Arial"/>
                <w:sz w:val="21"/>
              </w:rPr>
            </w:pPr>
          </w:p>
        </w:tc>
        <w:tc>
          <w:tcPr>
            <w:tcW w:w="762" w:type="dxa"/>
            <w:vAlign w:val="top"/>
          </w:tcPr>
          <w:p w14:paraId="01E2E07B">
            <w:pPr>
              <w:rPr>
                <w:rFonts w:ascii="Arial"/>
                <w:sz w:val="21"/>
              </w:rPr>
            </w:pPr>
          </w:p>
        </w:tc>
      </w:tr>
      <w:tr w14:paraId="5BF12F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825" w:type="dxa"/>
            <w:vMerge w:val="continue"/>
            <w:tcBorders>
              <w:top w:val="nil"/>
              <w:bottom w:val="nil"/>
            </w:tcBorders>
            <w:vAlign w:val="top"/>
          </w:tcPr>
          <w:p w14:paraId="3F0CB2E0">
            <w:pPr>
              <w:rPr>
                <w:rFonts w:ascii="Arial"/>
                <w:sz w:val="21"/>
              </w:rPr>
            </w:pPr>
          </w:p>
        </w:tc>
        <w:tc>
          <w:tcPr>
            <w:tcW w:w="1086" w:type="dxa"/>
            <w:vMerge w:val="continue"/>
            <w:tcBorders>
              <w:top w:val="nil"/>
              <w:bottom w:val="nil"/>
            </w:tcBorders>
            <w:vAlign w:val="top"/>
          </w:tcPr>
          <w:p w14:paraId="6FE32082">
            <w:pPr>
              <w:rPr>
                <w:rFonts w:ascii="Arial"/>
                <w:sz w:val="21"/>
              </w:rPr>
            </w:pPr>
          </w:p>
        </w:tc>
        <w:tc>
          <w:tcPr>
            <w:tcW w:w="899" w:type="dxa"/>
            <w:vAlign w:val="top"/>
          </w:tcPr>
          <w:p w14:paraId="325A930B">
            <w:pPr>
              <w:pStyle w:val="6"/>
              <w:spacing w:before="204" w:line="229" w:lineRule="auto"/>
              <w:ind w:left="249"/>
            </w:pPr>
            <w:r>
              <w:rPr>
                <w:spacing w:val="2"/>
              </w:rPr>
              <w:t>学历</w:t>
            </w:r>
          </w:p>
        </w:tc>
        <w:tc>
          <w:tcPr>
            <w:tcW w:w="3419" w:type="dxa"/>
            <w:vAlign w:val="top"/>
          </w:tcPr>
          <w:p w14:paraId="49EF636A">
            <w:pPr>
              <w:rPr>
                <w:rFonts w:ascii="Arial"/>
                <w:sz w:val="21"/>
              </w:rPr>
            </w:pPr>
          </w:p>
        </w:tc>
        <w:tc>
          <w:tcPr>
            <w:tcW w:w="720" w:type="dxa"/>
            <w:vAlign w:val="top"/>
          </w:tcPr>
          <w:p w14:paraId="66C975E6">
            <w:pPr>
              <w:pStyle w:val="6"/>
              <w:spacing w:before="204" w:line="228" w:lineRule="auto"/>
              <w:ind w:left="264"/>
            </w:pPr>
            <w:r>
              <w:t>分</w:t>
            </w:r>
          </w:p>
        </w:tc>
        <w:tc>
          <w:tcPr>
            <w:tcW w:w="757" w:type="dxa"/>
            <w:vAlign w:val="top"/>
          </w:tcPr>
          <w:p w14:paraId="07E13DE1">
            <w:pPr>
              <w:rPr>
                <w:rFonts w:ascii="Arial"/>
                <w:sz w:val="21"/>
              </w:rPr>
            </w:pPr>
          </w:p>
        </w:tc>
        <w:tc>
          <w:tcPr>
            <w:tcW w:w="758" w:type="dxa"/>
            <w:vAlign w:val="top"/>
          </w:tcPr>
          <w:p w14:paraId="0E0FFC0E">
            <w:pPr>
              <w:rPr>
                <w:rFonts w:ascii="Arial"/>
                <w:sz w:val="21"/>
              </w:rPr>
            </w:pPr>
          </w:p>
        </w:tc>
        <w:tc>
          <w:tcPr>
            <w:tcW w:w="758" w:type="dxa"/>
            <w:vAlign w:val="top"/>
          </w:tcPr>
          <w:p w14:paraId="33C2E542">
            <w:pPr>
              <w:rPr>
                <w:rFonts w:ascii="Arial"/>
                <w:sz w:val="21"/>
              </w:rPr>
            </w:pPr>
          </w:p>
        </w:tc>
        <w:tc>
          <w:tcPr>
            <w:tcW w:w="757" w:type="dxa"/>
            <w:vAlign w:val="top"/>
          </w:tcPr>
          <w:p w14:paraId="016B8BA5">
            <w:pPr>
              <w:rPr>
                <w:rFonts w:ascii="Arial"/>
                <w:sz w:val="21"/>
              </w:rPr>
            </w:pPr>
          </w:p>
        </w:tc>
        <w:tc>
          <w:tcPr>
            <w:tcW w:w="758" w:type="dxa"/>
            <w:vAlign w:val="top"/>
          </w:tcPr>
          <w:p w14:paraId="787F33B0">
            <w:pPr>
              <w:rPr>
                <w:rFonts w:ascii="Arial"/>
                <w:sz w:val="21"/>
              </w:rPr>
            </w:pPr>
          </w:p>
        </w:tc>
        <w:tc>
          <w:tcPr>
            <w:tcW w:w="757" w:type="dxa"/>
            <w:vAlign w:val="top"/>
          </w:tcPr>
          <w:p w14:paraId="52B65617">
            <w:pPr>
              <w:rPr>
                <w:rFonts w:ascii="Arial"/>
                <w:sz w:val="21"/>
              </w:rPr>
            </w:pPr>
          </w:p>
        </w:tc>
        <w:tc>
          <w:tcPr>
            <w:tcW w:w="757" w:type="dxa"/>
            <w:vAlign w:val="top"/>
          </w:tcPr>
          <w:p w14:paraId="10E775C3">
            <w:pPr>
              <w:rPr>
                <w:rFonts w:ascii="Arial"/>
                <w:sz w:val="21"/>
              </w:rPr>
            </w:pPr>
          </w:p>
        </w:tc>
        <w:tc>
          <w:tcPr>
            <w:tcW w:w="758" w:type="dxa"/>
            <w:vAlign w:val="top"/>
          </w:tcPr>
          <w:p w14:paraId="3CC68EB5">
            <w:pPr>
              <w:rPr>
                <w:rFonts w:ascii="Arial"/>
                <w:sz w:val="21"/>
              </w:rPr>
            </w:pPr>
          </w:p>
        </w:tc>
        <w:tc>
          <w:tcPr>
            <w:tcW w:w="762" w:type="dxa"/>
            <w:vAlign w:val="top"/>
          </w:tcPr>
          <w:p w14:paraId="4440F132">
            <w:pPr>
              <w:rPr>
                <w:rFonts w:ascii="Arial"/>
                <w:sz w:val="21"/>
              </w:rPr>
            </w:pPr>
          </w:p>
        </w:tc>
      </w:tr>
      <w:tr w14:paraId="6BB21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825" w:type="dxa"/>
            <w:vMerge w:val="continue"/>
            <w:tcBorders>
              <w:top w:val="nil"/>
            </w:tcBorders>
            <w:vAlign w:val="top"/>
          </w:tcPr>
          <w:p w14:paraId="7D79BAB2">
            <w:pPr>
              <w:rPr>
                <w:rFonts w:ascii="Arial"/>
                <w:sz w:val="21"/>
              </w:rPr>
            </w:pPr>
          </w:p>
        </w:tc>
        <w:tc>
          <w:tcPr>
            <w:tcW w:w="1086" w:type="dxa"/>
            <w:vMerge w:val="continue"/>
            <w:tcBorders>
              <w:top w:val="nil"/>
            </w:tcBorders>
            <w:vAlign w:val="top"/>
          </w:tcPr>
          <w:p w14:paraId="5B9B38D5">
            <w:pPr>
              <w:rPr>
                <w:rFonts w:ascii="Arial"/>
                <w:sz w:val="21"/>
              </w:rPr>
            </w:pPr>
          </w:p>
        </w:tc>
        <w:tc>
          <w:tcPr>
            <w:tcW w:w="899" w:type="dxa"/>
            <w:vAlign w:val="top"/>
          </w:tcPr>
          <w:p w14:paraId="688AA194">
            <w:pPr>
              <w:pStyle w:val="6"/>
              <w:spacing w:before="35" w:line="228" w:lineRule="auto"/>
              <w:ind w:left="142"/>
            </w:pPr>
            <w:r>
              <w:rPr>
                <w:spacing w:val="6"/>
              </w:rPr>
              <w:t>从事专</w:t>
            </w:r>
          </w:p>
          <w:p w14:paraId="1766FD5A">
            <w:pPr>
              <w:pStyle w:val="6"/>
              <w:spacing w:before="27" w:line="232" w:lineRule="auto"/>
              <w:ind w:left="246" w:right="133" w:hanging="107"/>
            </w:pPr>
            <w:r>
              <w:rPr>
                <w:spacing w:val="7"/>
              </w:rPr>
              <w:t>业工作</w:t>
            </w:r>
            <w:r>
              <w:rPr>
                <w:spacing w:val="4"/>
              </w:rPr>
              <w:t>年限</w:t>
            </w:r>
          </w:p>
        </w:tc>
        <w:tc>
          <w:tcPr>
            <w:tcW w:w="3419" w:type="dxa"/>
            <w:vAlign w:val="top"/>
          </w:tcPr>
          <w:p w14:paraId="35FAC47A">
            <w:pPr>
              <w:rPr>
                <w:rFonts w:ascii="Arial"/>
                <w:sz w:val="21"/>
              </w:rPr>
            </w:pPr>
          </w:p>
        </w:tc>
        <w:tc>
          <w:tcPr>
            <w:tcW w:w="720" w:type="dxa"/>
            <w:vAlign w:val="top"/>
          </w:tcPr>
          <w:p w14:paraId="6C36FF00">
            <w:pPr>
              <w:spacing w:line="242" w:lineRule="auto"/>
              <w:rPr>
                <w:rFonts w:ascii="Arial"/>
                <w:sz w:val="21"/>
              </w:rPr>
            </w:pPr>
          </w:p>
          <w:p w14:paraId="5F71B165">
            <w:pPr>
              <w:pStyle w:val="6"/>
              <w:spacing w:before="65" w:line="228" w:lineRule="auto"/>
              <w:ind w:left="264"/>
            </w:pPr>
            <w:r>
              <w:t>分</w:t>
            </w:r>
          </w:p>
        </w:tc>
        <w:tc>
          <w:tcPr>
            <w:tcW w:w="757" w:type="dxa"/>
            <w:vAlign w:val="top"/>
          </w:tcPr>
          <w:p w14:paraId="56C49E29">
            <w:pPr>
              <w:rPr>
                <w:rFonts w:ascii="Arial"/>
                <w:sz w:val="21"/>
              </w:rPr>
            </w:pPr>
          </w:p>
        </w:tc>
        <w:tc>
          <w:tcPr>
            <w:tcW w:w="758" w:type="dxa"/>
            <w:vAlign w:val="top"/>
          </w:tcPr>
          <w:p w14:paraId="6C07749F">
            <w:pPr>
              <w:rPr>
                <w:rFonts w:ascii="Arial"/>
                <w:sz w:val="21"/>
              </w:rPr>
            </w:pPr>
          </w:p>
        </w:tc>
        <w:tc>
          <w:tcPr>
            <w:tcW w:w="758" w:type="dxa"/>
            <w:vAlign w:val="top"/>
          </w:tcPr>
          <w:p w14:paraId="0DD816B9">
            <w:pPr>
              <w:rPr>
                <w:rFonts w:ascii="Arial"/>
                <w:sz w:val="21"/>
              </w:rPr>
            </w:pPr>
          </w:p>
        </w:tc>
        <w:tc>
          <w:tcPr>
            <w:tcW w:w="757" w:type="dxa"/>
            <w:vAlign w:val="top"/>
          </w:tcPr>
          <w:p w14:paraId="01B720DD">
            <w:pPr>
              <w:rPr>
                <w:rFonts w:ascii="Arial"/>
                <w:sz w:val="21"/>
              </w:rPr>
            </w:pPr>
          </w:p>
        </w:tc>
        <w:tc>
          <w:tcPr>
            <w:tcW w:w="758" w:type="dxa"/>
            <w:vAlign w:val="top"/>
          </w:tcPr>
          <w:p w14:paraId="1107C36E">
            <w:pPr>
              <w:rPr>
                <w:rFonts w:ascii="Arial"/>
                <w:sz w:val="21"/>
              </w:rPr>
            </w:pPr>
          </w:p>
        </w:tc>
        <w:tc>
          <w:tcPr>
            <w:tcW w:w="757" w:type="dxa"/>
            <w:vAlign w:val="top"/>
          </w:tcPr>
          <w:p w14:paraId="58DE6C0A">
            <w:pPr>
              <w:rPr>
                <w:rFonts w:ascii="Arial"/>
                <w:sz w:val="21"/>
              </w:rPr>
            </w:pPr>
          </w:p>
        </w:tc>
        <w:tc>
          <w:tcPr>
            <w:tcW w:w="757" w:type="dxa"/>
            <w:vAlign w:val="top"/>
          </w:tcPr>
          <w:p w14:paraId="0EE74686">
            <w:pPr>
              <w:rPr>
                <w:rFonts w:ascii="Arial"/>
                <w:sz w:val="21"/>
              </w:rPr>
            </w:pPr>
          </w:p>
        </w:tc>
        <w:tc>
          <w:tcPr>
            <w:tcW w:w="758" w:type="dxa"/>
            <w:vAlign w:val="top"/>
          </w:tcPr>
          <w:p w14:paraId="1699A791">
            <w:pPr>
              <w:rPr>
                <w:rFonts w:ascii="Arial"/>
                <w:sz w:val="21"/>
              </w:rPr>
            </w:pPr>
          </w:p>
        </w:tc>
        <w:tc>
          <w:tcPr>
            <w:tcW w:w="762" w:type="dxa"/>
            <w:vAlign w:val="top"/>
          </w:tcPr>
          <w:p w14:paraId="197A024F">
            <w:pPr>
              <w:rPr>
                <w:rFonts w:ascii="Arial"/>
                <w:sz w:val="21"/>
              </w:rPr>
            </w:pPr>
          </w:p>
        </w:tc>
      </w:tr>
      <w:tr w14:paraId="6FA79A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25" w:type="dxa"/>
            <w:vAlign w:val="top"/>
          </w:tcPr>
          <w:p w14:paraId="1A9BCEB2">
            <w:pPr>
              <w:spacing w:before="182" w:line="272" w:lineRule="exact"/>
              <w:ind w:left="366"/>
              <w:rPr>
                <w:rFonts w:ascii="黑体" w:hAnsi="黑体" w:eastAsia="黑体" w:cs="黑体"/>
                <w:sz w:val="20"/>
                <w:szCs w:val="20"/>
              </w:rPr>
            </w:pPr>
            <w:r>
              <w:rPr>
                <w:rFonts w:ascii="黑体" w:hAnsi="黑体" w:eastAsia="黑体" w:cs="黑体"/>
                <w:position w:val="1"/>
                <w:sz w:val="20"/>
                <w:szCs w:val="20"/>
              </w:rPr>
              <w:t>3</w:t>
            </w:r>
          </w:p>
        </w:tc>
        <w:tc>
          <w:tcPr>
            <w:tcW w:w="1985" w:type="dxa"/>
            <w:gridSpan w:val="2"/>
            <w:vAlign w:val="top"/>
          </w:tcPr>
          <w:p w14:paraId="0BF6EA89">
            <w:pPr>
              <w:pStyle w:val="6"/>
              <w:spacing w:before="182" w:line="228" w:lineRule="auto"/>
              <w:ind w:left="367"/>
            </w:pPr>
            <w:r>
              <w:rPr>
                <w:spacing w:val="8"/>
              </w:rPr>
              <w:t>其他主要人员</w:t>
            </w:r>
          </w:p>
        </w:tc>
        <w:tc>
          <w:tcPr>
            <w:tcW w:w="3419" w:type="dxa"/>
            <w:vAlign w:val="top"/>
          </w:tcPr>
          <w:p w14:paraId="178F9996">
            <w:pPr>
              <w:rPr>
                <w:rFonts w:ascii="Arial"/>
                <w:sz w:val="21"/>
              </w:rPr>
            </w:pPr>
          </w:p>
        </w:tc>
        <w:tc>
          <w:tcPr>
            <w:tcW w:w="720" w:type="dxa"/>
            <w:vAlign w:val="top"/>
          </w:tcPr>
          <w:p w14:paraId="1257FA70">
            <w:pPr>
              <w:pStyle w:val="6"/>
              <w:spacing w:before="182" w:line="228" w:lineRule="auto"/>
              <w:ind w:left="264"/>
            </w:pPr>
            <w:r>
              <w:t>分</w:t>
            </w:r>
          </w:p>
        </w:tc>
        <w:tc>
          <w:tcPr>
            <w:tcW w:w="757" w:type="dxa"/>
            <w:vAlign w:val="top"/>
          </w:tcPr>
          <w:p w14:paraId="5D9DEE27">
            <w:pPr>
              <w:rPr>
                <w:rFonts w:ascii="Arial"/>
                <w:sz w:val="21"/>
              </w:rPr>
            </w:pPr>
          </w:p>
        </w:tc>
        <w:tc>
          <w:tcPr>
            <w:tcW w:w="758" w:type="dxa"/>
            <w:vAlign w:val="top"/>
          </w:tcPr>
          <w:p w14:paraId="799F70FF">
            <w:pPr>
              <w:rPr>
                <w:rFonts w:ascii="Arial"/>
                <w:sz w:val="21"/>
              </w:rPr>
            </w:pPr>
          </w:p>
        </w:tc>
        <w:tc>
          <w:tcPr>
            <w:tcW w:w="758" w:type="dxa"/>
            <w:vAlign w:val="top"/>
          </w:tcPr>
          <w:p w14:paraId="498C2D05">
            <w:pPr>
              <w:rPr>
                <w:rFonts w:ascii="Arial"/>
                <w:sz w:val="21"/>
              </w:rPr>
            </w:pPr>
          </w:p>
        </w:tc>
        <w:tc>
          <w:tcPr>
            <w:tcW w:w="757" w:type="dxa"/>
            <w:vAlign w:val="top"/>
          </w:tcPr>
          <w:p w14:paraId="45AC80CF">
            <w:pPr>
              <w:rPr>
                <w:rFonts w:ascii="Arial"/>
                <w:sz w:val="21"/>
              </w:rPr>
            </w:pPr>
          </w:p>
        </w:tc>
        <w:tc>
          <w:tcPr>
            <w:tcW w:w="758" w:type="dxa"/>
            <w:vAlign w:val="top"/>
          </w:tcPr>
          <w:p w14:paraId="71EA0361">
            <w:pPr>
              <w:rPr>
                <w:rFonts w:ascii="Arial"/>
                <w:sz w:val="21"/>
              </w:rPr>
            </w:pPr>
          </w:p>
        </w:tc>
        <w:tc>
          <w:tcPr>
            <w:tcW w:w="757" w:type="dxa"/>
            <w:vAlign w:val="top"/>
          </w:tcPr>
          <w:p w14:paraId="7EC2EE06">
            <w:pPr>
              <w:rPr>
                <w:rFonts w:ascii="Arial"/>
                <w:sz w:val="21"/>
              </w:rPr>
            </w:pPr>
          </w:p>
        </w:tc>
        <w:tc>
          <w:tcPr>
            <w:tcW w:w="757" w:type="dxa"/>
            <w:vAlign w:val="top"/>
          </w:tcPr>
          <w:p w14:paraId="36993595">
            <w:pPr>
              <w:rPr>
                <w:rFonts w:ascii="Arial"/>
                <w:sz w:val="21"/>
              </w:rPr>
            </w:pPr>
          </w:p>
        </w:tc>
        <w:tc>
          <w:tcPr>
            <w:tcW w:w="758" w:type="dxa"/>
            <w:vAlign w:val="top"/>
          </w:tcPr>
          <w:p w14:paraId="7EBE3CA5">
            <w:pPr>
              <w:rPr>
                <w:rFonts w:ascii="Arial"/>
                <w:sz w:val="21"/>
              </w:rPr>
            </w:pPr>
          </w:p>
        </w:tc>
        <w:tc>
          <w:tcPr>
            <w:tcW w:w="762" w:type="dxa"/>
            <w:vAlign w:val="top"/>
          </w:tcPr>
          <w:p w14:paraId="0662BC1D">
            <w:pPr>
              <w:rPr>
                <w:rFonts w:ascii="Arial"/>
                <w:sz w:val="21"/>
              </w:rPr>
            </w:pPr>
          </w:p>
        </w:tc>
      </w:tr>
      <w:tr w14:paraId="54F2D2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949" w:type="dxa"/>
            <w:gridSpan w:val="5"/>
            <w:vAlign w:val="top"/>
          </w:tcPr>
          <w:p w14:paraId="46CD7880">
            <w:pPr>
              <w:pStyle w:val="6"/>
              <w:spacing w:before="183" w:line="227" w:lineRule="auto"/>
              <w:ind w:left="1725"/>
            </w:pPr>
            <w:r>
              <w:rPr>
                <w:spacing w:val="7"/>
              </w:rPr>
              <w:t>项目管理机构得分合计</w:t>
            </w:r>
            <w:r>
              <w:rPr>
                <w:spacing w:val="-32"/>
              </w:rPr>
              <w:t xml:space="preserve"> </w:t>
            </w:r>
            <w:r>
              <w:rPr>
                <w:spacing w:val="7"/>
              </w:rPr>
              <w:t>C（满分  分）</w:t>
            </w:r>
          </w:p>
        </w:tc>
        <w:tc>
          <w:tcPr>
            <w:tcW w:w="757" w:type="dxa"/>
            <w:vAlign w:val="top"/>
          </w:tcPr>
          <w:p w14:paraId="4880A169">
            <w:pPr>
              <w:rPr>
                <w:rFonts w:ascii="Arial"/>
                <w:sz w:val="21"/>
              </w:rPr>
            </w:pPr>
          </w:p>
        </w:tc>
        <w:tc>
          <w:tcPr>
            <w:tcW w:w="758" w:type="dxa"/>
            <w:vAlign w:val="top"/>
          </w:tcPr>
          <w:p w14:paraId="5FED721C">
            <w:pPr>
              <w:rPr>
                <w:rFonts w:ascii="Arial"/>
                <w:sz w:val="21"/>
              </w:rPr>
            </w:pPr>
          </w:p>
        </w:tc>
        <w:tc>
          <w:tcPr>
            <w:tcW w:w="758" w:type="dxa"/>
            <w:vAlign w:val="top"/>
          </w:tcPr>
          <w:p w14:paraId="3B0714E9">
            <w:pPr>
              <w:rPr>
                <w:rFonts w:ascii="Arial"/>
                <w:sz w:val="21"/>
              </w:rPr>
            </w:pPr>
          </w:p>
        </w:tc>
        <w:tc>
          <w:tcPr>
            <w:tcW w:w="757" w:type="dxa"/>
            <w:vAlign w:val="top"/>
          </w:tcPr>
          <w:p w14:paraId="23D424BF">
            <w:pPr>
              <w:rPr>
                <w:rFonts w:ascii="Arial"/>
                <w:sz w:val="21"/>
              </w:rPr>
            </w:pPr>
          </w:p>
        </w:tc>
        <w:tc>
          <w:tcPr>
            <w:tcW w:w="758" w:type="dxa"/>
            <w:vAlign w:val="top"/>
          </w:tcPr>
          <w:p w14:paraId="18537D1C">
            <w:pPr>
              <w:rPr>
                <w:rFonts w:ascii="Arial"/>
                <w:sz w:val="21"/>
              </w:rPr>
            </w:pPr>
          </w:p>
        </w:tc>
        <w:tc>
          <w:tcPr>
            <w:tcW w:w="757" w:type="dxa"/>
            <w:vAlign w:val="top"/>
          </w:tcPr>
          <w:p w14:paraId="5D02E008">
            <w:pPr>
              <w:rPr>
                <w:rFonts w:ascii="Arial"/>
                <w:sz w:val="21"/>
              </w:rPr>
            </w:pPr>
          </w:p>
        </w:tc>
        <w:tc>
          <w:tcPr>
            <w:tcW w:w="757" w:type="dxa"/>
            <w:vAlign w:val="top"/>
          </w:tcPr>
          <w:p w14:paraId="0A037679">
            <w:pPr>
              <w:rPr>
                <w:rFonts w:ascii="Arial"/>
                <w:sz w:val="21"/>
              </w:rPr>
            </w:pPr>
          </w:p>
        </w:tc>
        <w:tc>
          <w:tcPr>
            <w:tcW w:w="758" w:type="dxa"/>
            <w:vAlign w:val="top"/>
          </w:tcPr>
          <w:p w14:paraId="7538F751">
            <w:pPr>
              <w:rPr>
                <w:rFonts w:ascii="Arial"/>
                <w:sz w:val="21"/>
              </w:rPr>
            </w:pPr>
          </w:p>
        </w:tc>
        <w:tc>
          <w:tcPr>
            <w:tcW w:w="762" w:type="dxa"/>
            <w:vAlign w:val="top"/>
          </w:tcPr>
          <w:p w14:paraId="2430A856">
            <w:pPr>
              <w:rPr>
                <w:rFonts w:ascii="Arial"/>
                <w:sz w:val="21"/>
              </w:rPr>
            </w:pPr>
          </w:p>
        </w:tc>
      </w:tr>
    </w:tbl>
    <w:p w14:paraId="2C126189">
      <w:pPr>
        <w:spacing w:before="302" w:line="227" w:lineRule="auto"/>
        <w:ind w:left="120"/>
        <w:rPr>
          <w:rFonts w:ascii="宋体" w:hAnsi="宋体" w:eastAsia="宋体" w:cs="宋体"/>
          <w:sz w:val="20"/>
          <w:szCs w:val="20"/>
        </w:rPr>
      </w:pPr>
      <w:r>
        <w:rPr>
          <w:rFonts w:ascii="宋体" w:hAnsi="宋体" w:eastAsia="宋体" w:cs="宋体"/>
          <w:spacing w:val="2"/>
          <w:sz w:val="20"/>
          <w:szCs w:val="20"/>
        </w:rPr>
        <w:t xml:space="preserve">评标委员会成员签名：                                                                                     </w:t>
      </w:r>
      <w:r>
        <w:rPr>
          <w:rFonts w:ascii="宋体" w:hAnsi="宋体" w:eastAsia="宋体" w:cs="宋体"/>
          <w:spacing w:val="1"/>
          <w:sz w:val="20"/>
          <w:szCs w:val="20"/>
        </w:rPr>
        <w:t xml:space="preserve">    日期：    年     月</w:t>
      </w:r>
      <w:r>
        <w:rPr>
          <w:rFonts w:ascii="宋体" w:hAnsi="宋体" w:eastAsia="宋体" w:cs="宋体"/>
          <w:spacing w:val="27"/>
          <w:sz w:val="20"/>
          <w:szCs w:val="20"/>
        </w:rPr>
        <w:t xml:space="preserve">  </w:t>
      </w:r>
      <w:r>
        <w:rPr>
          <w:rFonts w:ascii="宋体" w:hAnsi="宋体" w:eastAsia="宋体" w:cs="宋体"/>
          <w:spacing w:val="1"/>
          <w:sz w:val="20"/>
          <w:szCs w:val="20"/>
        </w:rPr>
        <w:t>日</w:t>
      </w:r>
    </w:p>
    <w:p w14:paraId="256D570C">
      <w:pPr>
        <w:spacing w:line="227" w:lineRule="auto"/>
        <w:rPr>
          <w:rFonts w:ascii="宋体" w:hAnsi="宋体" w:eastAsia="宋体" w:cs="宋体"/>
          <w:sz w:val="20"/>
          <w:szCs w:val="20"/>
        </w:rPr>
        <w:sectPr>
          <w:footerReference r:id="rId140" w:type="default"/>
          <w:pgSz w:w="16840" w:h="11907"/>
          <w:pgMar w:top="400" w:right="1475" w:bottom="1036" w:left="1588" w:header="0" w:footer="787" w:gutter="0"/>
          <w:cols w:space="720" w:num="1"/>
        </w:sectPr>
      </w:pPr>
    </w:p>
    <w:p w14:paraId="6ADE06F9">
      <w:pPr>
        <w:spacing w:line="273" w:lineRule="auto"/>
        <w:rPr>
          <w:rFonts w:ascii="Arial"/>
          <w:sz w:val="21"/>
        </w:rPr>
      </w:pPr>
    </w:p>
    <w:p w14:paraId="1E40AD78">
      <w:pPr>
        <w:spacing w:line="273" w:lineRule="auto"/>
        <w:rPr>
          <w:rFonts w:ascii="Arial"/>
          <w:sz w:val="21"/>
        </w:rPr>
      </w:pPr>
    </w:p>
    <w:p w14:paraId="67C46555">
      <w:pPr>
        <w:spacing w:line="273" w:lineRule="auto"/>
        <w:rPr>
          <w:rFonts w:ascii="Arial"/>
          <w:sz w:val="21"/>
        </w:rPr>
      </w:pPr>
    </w:p>
    <w:p w14:paraId="1A5D0D91">
      <w:pPr>
        <w:spacing w:line="273" w:lineRule="auto"/>
        <w:rPr>
          <w:rFonts w:ascii="Arial"/>
          <w:sz w:val="21"/>
        </w:rPr>
      </w:pPr>
    </w:p>
    <w:p w14:paraId="49E2A4A1">
      <w:pPr>
        <w:spacing w:line="273" w:lineRule="auto"/>
        <w:rPr>
          <w:rFonts w:ascii="Arial"/>
          <w:sz w:val="21"/>
        </w:rPr>
      </w:pPr>
    </w:p>
    <w:p w14:paraId="71AF5D07">
      <w:pPr>
        <w:spacing w:line="273" w:lineRule="auto"/>
        <w:rPr>
          <w:rFonts w:ascii="Arial"/>
          <w:sz w:val="21"/>
        </w:rPr>
      </w:pPr>
    </w:p>
    <w:p w14:paraId="328B513E">
      <w:pPr>
        <w:pStyle w:val="2"/>
        <w:spacing w:before="78" w:line="222" w:lineRule="auto"/>
        <w:ind w:left="135"/>
        <w:outlineLvl w:val="1"/>
        <w:rPr>
          <w:sz w:val="24"/>
          <w:szCs w:val="24"/>
        </w:rPr>
      </w:pPr>
      <w:r>
        <w:rPr>
          <w:spacing w:val="-4"/>
          <w:sz w:val="24"/>
          <w:szCs w:val="24"/>
        </w:rPr>
        <w:t>附表</w:t>
      </w:r>
      <w:r>
        <w:rPr>
          <w:spacing w:val="-58"/>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11</w:t>
      </w:r>
      <w:r>
        <w:rPr>
          <w:spacing w:val="-4"/>
          <w:sz w:val="24"/>
          <w:szCs w:val="24"/>
        </w:rPr>
        <w:t>：其他因素评审记录表</w:t>
      </w:r>
    </w:p>
    <w:p w14:paraId="738C20A3">
      <w:pPr>
        <w:pStyle w:val="2"/>
        <w:spacing w:before="48" w:line="377" w:lineRule="auto"/>
        <w:ind w:left="124" w:right="5267" w:firstLine="5162"/>
        <w:rPr>
          <w:rFonts w:ascii="宋体" w:hAnsi="宋体" w:eastAsia="宋体" w:cs="宋体"/>
          <w:sz w:val="20"/>
          <w:szCs w:val="20"/>
        </w:rPr>
      </w:pPr>
      <w:bookmarkStart w:id="192" w:name="bookmark173"/>
      <w:bookmarkEnd w:id="192"/>
      <w:r>
        <w:rPr>
          <w:spacing w:val="7"/>
          <w:sz w:val="35"/>
          <w:szCs w:val="35"/>
        </w:rPr>
        <w:t>其他因素评审记录表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6DCD3917">
      <w:pPr>
        <w:spacing w:line="44"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9"/>
        <w:gridCol w:w="1172"/>
        <w:gridCol w:w="3928"/>
        <w:gridCol w:w="756"/>
        <w:gridCol w:w="797"/>
        <w:gridCol w:w="796"/>
        <w:gridCol w:w="797"/>
        <w:gridCol w:w="797"/>
        <w:gridCol w:w="797"/>
        <w:gridCol w:w="797"/>
        <w:gridCol w:w="797"/>
        <w:gridCol w:w="797"/>
        <w:gridCol w:w="801"/>
      </w:tblGrid>
      <w:tr w14:paraId="7A302F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739" w:type="dxa"/>
            <w:vMerge w:val="restart"/>
            <w:tcBorders>
              <w:bottom w:val="nil"/>
            </w:tcBorders>
            <w:vAlign w:val="top"/>
          </w:tcPr>
          <w:p w14:paraId="197844F0">
            <w:pPr>
              <w:spacing w:line="403" w:lineRule="auto"/>
              <w:rPr>
                <w:rFonts w:ascii="Arial"/>
                <w:sz w:val="21"/>
              </w:rPr>
            </w:pPr>
          </w:p>
          <w:p w14:paraId="5058BAE3">
            <w:pPr>
              <w:pStyle w:val="6"/>
              <w:spacing w:before="65" w:line="229" w:lineRule="auto"/>
              <w:ind w:left="163"/>
            </w:pPr>
            <w:r>
              <w:rPr>
                <w:spacing w:val="5"/>
              </w:rPr>
              <w:t>序号</w:t>
            </w:r>
          </w:p>
        </w:tc>
        <w:tc>
          <w:tcPr>
            <w:tcW w:w="1172" w:type="dxa"/>
            <w:vMerge w:val="restart"/>
            <w:tcBorders>
              <w:bottom w:val="nil"/>
            </w:tcBorders>
            <w:vAlign w:val="top"/>
          </w:tcPr>
          <w:p w14:paraId="2A4257AE">
            <w:pPr>
              <w:spacing w:line="403" w:lineRule="auto"/>
              <w:rPr>
                <w:rFonts w:ascii="Arial"/>
                <w:sz w:val="21"/>
              </w:rPr>
            </w:pPr>
          </w:p>
          <w:p w14:paraId="57F7C7D1">
            <w:pPr>
              <w:pStyle w:val="6"/>
              <w:spacing w:before="65" w:line="228" w:lineRule="auto"/>
              <w:ind w:left="168"/>
            </w:pPr>
            <w:r>
              <w:rPr>
                <w:spacing w:val="7"/>
              </w:rPr>
              <w:t>评分项目</w:t>
            </w:r>
          </w:p>
        </w:tc>
        <w:tc>
          <w:tcPr>
            <w:tcW w:w="3928" w:type="dxa"/>
            <w:vMerge w:val="restart"/>
            <w:tcBorders>
              <w:bottom w:val="nil"/>
            </w:tcBorders>
            <w:vAlign w:val="top"/>
          </w:tcPr>
          <w:p w14:paraId="75FED5E1">
            <w:pPr>
              <w:spacing w:line="403" w:lineRule="auto"/>
              <w:rPr>
                <w:rFonts w:ascii="Arial"/>
                <w:sz w:val="21"/>
              </w:rPr>
            </w:pPr>
          </w:p>
          <w:p w14:paraId="02C04D65">
            <w:pPr>
              <w:pStyle w:val="6"/>
              <w:spacing w:before="65" w:line="228" w:lineRule="auto"/>
              <w:ind w:left="1547"/>
            </w:pPr>
            <w:r>
              <w:rPr>
                <w:spacing w:val="7"/>
              </w:rPr>
              <w:t>评分标准</w:t>
            </w:r>
          </w:p>
        </w:tc>
        <w:tc>
          <w:tcPr>
            <w:tcW w:w="756" w:type="dxa"/>
            <w:vMerge w:val="restart"/>
            <w:tcBorders>
              <w:bottom w:val="nil"/>
            </w:tcBorders>
            <w:vAlign w:val="top"/>
          </w:tcPr>
          <w:p w14:paraId="7B5F0766">
            <w:pPr>
              <w:spacing w:line="267" w:lineRule="auto"/>
              <w:rPr>
                <w:rFonts w:ascii="Arial"/>
                <w:sz w:val="21"/>
              </w:rPr>
            </w:pPr>
          </w:p>
          <w:p w14:paraId="02AE9968">
            <w:pPr>
              <w:pStyle w:val="6"/>
              <w:spacing w:before="65" w:line="252" w:lineRule="auto"/>
              <w:ind w:left="282" w:right="167" w:hanging="107"/>
            </w:pPr>
            <w:r>
              <w:rPr>
                <w:spacing w:val="4"/>
              </w:rPr>
              <w:t>标准</w:t>
            </w:r>
            <w:r>
              <w:t>分</w:t>
            </w:r>
          </w:p>
        </w:tc>
        <w:tc>
          <w:tcPr>
            <w:tcW w:w="7176" w:type="dxa"/>
            <w:gridSpan w:val="9"/>
            <w:vAlign w:val="top"/>
          </w:tcPr>
          <w:p w14:paraId="68299D15">
            <w:pPr>
              <w:pStyle w:val="6"/>
              <w:spacing w:before="182" w:line="228" w:lineRule="auto"/>
              <w:ind w:left="2754"/>
            </w:pPr>
            <w:r>
              <w:rPr>
                <w:spacing w:val="8"/>
              </w:rPr>
              <w:t>投标人名称及得分</w:t>
            </w:r>
          </w:p>
        </w:tc>
      </w:tr>
      <w:tr w14:paraId="55394B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39" w:type="dxa"/>
            <w:vMerge w:val="continue"/>
            <w:tcBorders>
              <w:top w:val="nil"/>
            </w:tcBorders>
            <w:vAlign w:val="top"/>
          </w:tcPr>
          <w:p w14:paraId="0DBFF735">
            <w:pPr>
              <w:rPr>
                <w:rFonts w:ascii="Arial"/>
                <w:sz w:val="21"/>
              </w:rPr>
            </w:pPr>
          </w:p>
        </w:tc>
        <w:tc>
          <w:tcPr>
            <w:tcW w:w="1172" w:type="dxa"/>
            <w:vMerge w:val="continue"/>
            <w:tcBorders>
              <w:top w:val="nil"/>
            </w:tcBorders>
            <w:vAlign w:val="top"/>
          </w:tcPr>
          <w:p w14:paraId="140543AE">
            <w:pPr>
              <w:rPr>
                <w:rFonts w:ascii="Arial"/>
                <w:sz w:val="21"/>
              </w:rPr>
            </w:pPr>
          </w:p>
        </w:tc>
        <w:tc>
          <w:tcPr>
            <w:tcW w:w="3928" w:type="dxa"/>
            <w:vMerge w:val="continue"/>
            <w:tcBorders>
              <w:top w:val="nil"/>
            </w:tcBorders>
            <w:vAlign w:val="top"/>
          </w:tcPr>
          <w:p w14:paraId="2A8C4E32">
            <w:pPr>
              <w:rPr>
                <w:rFonts w:ascii="Arial"/>
                <w:sz w:val="21"/>
              </w:rPr>
            </w:pPr>
          </w:p>
        </w:tc>
        <w:tc>
          <w:tcPr>
            <w:tcW w:w="756" w:type="dxa"/>
            <w:vMerge w:val="continue"/>
            <w:tcBorders>
              <w:top w:val="nil"/>
            </w:tcBorders>
            <w:vAlign w:val="top"/>
          </w:tcPr>
          <w:p w14:paraId="40128B86">
            <w:pPr>
              <w:rPr>
                <w:rFonts w:ascii="Arial"/>
                <w:sz w:val="21"/>
              </w:rPr>
            </w:pPr>
          </w:p>
        </w:tc>
        <w:tc>
          <w:tcPr>
            <w:tcW w:w="797" w:type="dxa"/>
            <w:vAlign w:val="top"/>
          </w:tcPr>
          <w:p w14:paraId="7FE69DE0">
            <w:pPr>
              <w:rPr>
                <w:rFonts w:ascii="Arial"/>
                <w:sz w:val="21"/>
              </w:rPr>
            </w:pPr>
          </w:p>
        </w:tc>
        <w:tc>
          <w:tcPr>
            <w:tcW w:w="796" w:type="dxa"/>
            <w:vAlign w:val="top"/>
          </w:tcPr>
          <w:p w14:paraId="1654FEA9">
            <w:pPr>
              <w:rPr>
                <w:rFonts w:ascii="Arial"/>
                <w:sz w:val="21"/>
              </w:rPr>
            </w:pPr>
          </w:p>
        </w:tc>
        <w:tc>
          <w:tcPr>
            <w:tcW w:w="797" w:type="dxa"/>
            <w:vAlign w:val="top"/>
          </w:tcPr>
          <w:p w14:paraId="075571D9">
            <w:pPr>
              <w:rPr>
                <w:rFonts w:ascii="Arial"/>
                <w:sz w:val="21"/>
              </w:rPr>
            </w:pPr>
          </w:p>
        </w:tc>
        <w:tc>
          <w:tcPr>
            <w:tcW w:w="797" w:type="dxa"/>
            <w:vAlign w:val="top"/>
          </w:tcPr>
          <w:p w14:paraId="46B25136">
            <w:pPr>
              <w:rPr>
                <w:rFonts w:ascii="Arial"/>
                <w:sz w:val="21"/>
              </w:rPr>
            </w:pPr>
          </w:p>
        </w:tc>
        <w:tc>
          <w:tcPr>
            <w:tcW w:w="797" w:type="dxa"/>
            <w:vAlign w:val="top"/>
          </w:tcPr>
          <w:p w14:paraId="02A12BD0">
            <w:pPr>
              <w:rPr>
                <w:rFonts w:ascii="Arial"/>
                <w:sz w:val="21"/>
              </w:rPr>
            </w:pPr>
          </w:p>
        </w:tc>
        <w:tc>
          <w:tcPr>
            <w:tcW w:w="797" w:type="dxa"/>
            <w:vAlign w:val="top"/>
          </w:tcPr>
          <w:p w14:paraId="38D1F489">
            <w:pPr>
              <w:rPr>
                <w:rFonts w:ascii="Arial"/>
                <w:sz w:val="21"/>
              </w:rPr>
            </w:pPr>
          </w:p>
        </w:tc>
        <w:tc>
          <w:tcPr>
            <w:tcW w:w="797" w:type="dxa"/>
            <w:vAlign w:val="top"/>
          </w:tcPr>
          <w:p w14:paraId="73AB2343">
            <w:pPr>
              <w:rPr>
                <w:rFonts w:ascii="Arial"/>
                <w:sz w:val="21"/>
              </w:rPr>
            </w:pPr>
          </w:p>
        </w:tc>
        <w:tc>
          <w:tcPr>
            <w:tcW w:w="797" w:type="dxa"/>
            <w:vAlign w:val="top"/>
          </w:tcPr>
          <w:p w14:paraId="6F5D62AA">
            <w:pPr>
              <w:rPr>
                <w:rFonts w:ascii="Arial"/>
                <w:sz w:val="21"/>
              </w:rPr>
            </w:pPr>
          </w:p>
        </w:tc>
        <w:tc>
          <w:tcPr>
            <w:tcW w:w="801" w:type="dxa"/>
            <w:vAlign w:val="top"/>
          </w:tcPr>
          <w:p w14:paraId="5F00F5E0">
            <w:pPr>
              <w:rPr>
                <w:rFonts w:ascii="Arial"/>
                <w:sz w:val="21"/>
              </w:rPr>
            </w:pPr>
          </w:p>
        </w:tc>
      </w:tr>
      <w:tr w14:paraId="00D3B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5" w:hRule="atLeast"/>
        </w:trPr>
        <w:tc>
          <w:tcPr>
            <w:tcW w:w="739" w:type="dxa"/>
            <w:vAlign w:val="top"/>
          </w:tcPr>
          <w:p w14:paraId="5BCC9B6E">
            <w:pPr>
              <w:spacing w:line="321" w:lineRule="auto"/>
              <w:rPr>
                <w:rFonts w:ascii="Arial"/>
                <w:sz w:val="21"/>
              </w:rPr>
            </w:pPr>
          </w:p>
          <w:p w14:paraId="2D744FA3">
            <w:pPr>
              <w:spacing w:before="57" w:line="195" w:lineRule="auto"/>
              <w:ind w:left="33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172" w:type="dxa"/>
            <w:vAlign w:val="top"/>
          </w:tcPr>
          <w:p w14:paraId="357D4F2E">
            <w:pPr>
              <w:pStyle w:val="6"/>
              <w:spacing w:before="210" w:line="252" w:lineRule="auto"/>
              <w:ind w:left="379" w:right="167" w:hanging="210"/>
            </w:pPr>
            <w:r>
              <w:rPr>
                <w:spacing w:val="7"/>
              </w:rPr>
              <w:t>类似项目</w:t>
            </w:r>
            <w:r>
              <w:rPr>
                <w:spacing w:val="5"/>
              </w:rPr>
              <w:t>业绩</w:t>
            </w:r>
          </w:p>
        </w:tc>
        <w:tc>
          <w:tcPr>
            <w:tcW w:w="3928" w:type="dxa"/>
            <w:vAlign w:val="top"/>
          </w:tcPr>
          <w:p w14:paraId="61C532B4">
            <w:pPr>
              <w:rPr>
                <w:rFonts w:ascii="Arial"/>
                <w:sz w:val="21"/>
              </w:rPr>
            </w:pPr>
          </w:p>
        </w:tc>
        <w:tc>
          <w:tcPr>
            <w:tcW w:w="756" w:type="dxa"/>
            <w:vAlign w:val="top"/>
          </w:tcPr>
          <w:p w14:paraId="5427E45D">
            <w:pPr>
              <w:spacing w:line="278" w:lineRule="auto"/>
              <w:rPr>
                <w:rFonts w:ascii="Arial"/>
                <w:sz w:val="21"/>
              </w:rPr>
            </w:pPr>
          </w:p>
          <w:p w14:paraId="6C95A69F">
            <w:pPr>
              <w:pStyle w:val="6"/>
              <w:spacing w:before="65" w:line="228" w:lineRule="auto"/>
              <w:ind w:left="282"/>
            </w:pPr>
            <w:r>
              <w:t>分</w:t>
            </w:r>
          </w:p>
        </w:tc>
        <w:tc>
          <w:tcPr>
            <w:tcW w:w="797" w:type="dxa"/>
            <w:vAlign w:val="top"/>
          </w:tcPr>
          <w:p w14:paraId="76655EBF">
            <w:pPr>
              <w:rPr>
                <w:rFonts w:ascii="Arial"/>
                <w:sz w:val="21"/>
              </w:rPr>
            </w:pPr>
          </w:p>
        </w:tc>
        <w:tc>
          <w:tcPr>
            <w:tcW w:w="796" w:type="dxa"/>
            <w:vAlign w:val="top"/>
          </w:tcPr>
          <w:p w14:paraId="63B95E01">
            <w:pPr>
              <w:rPr>
                <w:rFonts w:ascii="Arial"/>
                <w:sz w:val="21"/>
              </w:rPr>
            </w:pPr>
          </w:p>
        </w:tc>
        <w:tc>
          <w:tcPr>
            <w:tcW w:w="797" w:type="dxa"/>
            <w:vAlign w:val="top"/>
          </w:tcPr>
          <w:p w14:paraId="7C431CED">
            <w:pPr>
              <w:rPr>
                <w:rFonts w:ascii="Arial"/>
                <w:sz w:val="21"/>
              </w:rPr>
            </w:pPr>
          </w:p>
        </w:tc>
        <w:tc>
          <w:tcPr>
            <w:tcW w:w="797" w:type="dxa"/>
            <w:vAlign w:val="top"/>
          </w:tcPr>
          <w:p w14:paraId="5F24FEFB">
            <w:pPr>
              <w:rPr>
                <w:rFonts w:ascii="Arial"/>
                <w:sz w:val="21"/>
              </w:rPr>
            </w:pPr>
          </w:p>
        </w:tc>
        <w:tc>
          <w:tcPr>
            <w:tcW w:w="797" w:type="dxa"/>
            <w:vAlign w:val="top"/>
          </w:tcPr>
          <w:p w14:paraId="586EF1DE">
            <w:pPr>
              <w:rPr>
                <w:rFonts w:ascii="Arial"/>
                <w:sz w:val="21"/>
              </w:rPr>
            </w:pPr>
          </w:p>
        </w:tc>
        <w:tc>
          <w:tcPr>
            <w:tcW w:w="797" w:type="dxa"/>
            <w:vAlign w:val="top"/>
          </w:tcPr>
          <w:p w14:paraId="1909BB6E">
            <w:pPr>
              <w:rPr>
                <w:rFonts w:ascii="Arial"/>
                <w:sz w:val="21"/>
              </w:rPr>
            </w:pPr>
          </w:p>
        </w:tc>
        <w:tc>
          <w:tcPr>
            <w:tcW w:w="797" w:type="dxa"/>
            <w:vAlign w:val="top"/>
          </w:tcPr>
          <w:p w14:paraId="1F785FD4">
            <w:pPr>
              <w:rPr>
                <w:rFonts w:ascii="Arial"/>
                <w:sz w:val="21"/>
              </w:rPr>
            </w:pPr>
          </w:p>
        </w:tc>
        <w:tc>
          <w:tcPr>
            <w:tcW w:w="797" w:type="dxa"/>
            <w:vAlign w:val="top"/>
          </w:tcPr>
          <w:p w14:paraId="64C8764B">
            <w:pPr>
              <w:rPr>
                <w:rFonts w:ascii="Arial"/>
                <w:sz w:val="21"/>
              </w:rPr>
            </w:pPr>
          </w:p>
        </w:tc>
        <w:tc>
          <w:tcPr>
            <w:tcW w:w="801" w:type="dxa"/>
            <w:vAlign w:val="top"/>
          </w:tcPr>
          <w:p w14:paraId="71328EA7">
            <w:pPr>
              <w:rPr>
                <w:rFonts w:ascii="Arial"/>
                <w:sz w:val="21"/>
              </w:rPr>
            </w:pPr>
          </w:p>
        </w:tc>
      </w:tr>
      <w:tr w14:paraId="633B9A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8" w:hRule="atLeast"/>
        </w:trPr>
        <w:tc>
          <w:tcPr>
            <w:tcW w:w="739" w:type="dxa"/>
            <w:vAlign w:val="top"/>
          </w:tcPr>
          <w:p w14:paraId="4866D6A3">
            <w:pPr>
              <w:spacing w:line="363" w:lineRule="auto"/>
              <w:rPr>
                <w:rFonts w:ascii="Arial"/>
                <w:sz w:val="21"/>
              </w:rPr>
            </w:pPr>
          </w:p>
          <w:p w14:paraId="3DC47BEA">
            <w:pPr>
              <w:spacing w:before="58" w:line="195" w:lineRule="auto"/>
              <w:ind w:left="319"/>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72" w:type="dxa"/>
            <w:vAlign w:val="top"/>
          </w:tcPr>
          <w:p w14:paraId="710FFEDD">
            <w:pPr>
              <w:spacing w:line="378" w:lineRule="auto"/>
              <w:rPr>
                <w:rFonts w:ascii="Arial"/>
                <w:sz w:val="21"/>
              </w:rPr>
            </w:pPr>
          </w:p>
          <w:p w14:paraId="4D3D920E">
            <w:pPr>
              <w:pStyle w:val="6"/>
              <w:spacing w:before="65" w:line="229" w:lineRule="auto"/>
              <w:ind w:left="169"/>
            </w:pPr>
            <w:r>
              <w:rPr>
                <w:spacing w:val="7"/>
              </w:rPr>
              <w:t>认证体系</w:t>
            </w:r>
          </w:p>
        </w:tc>
        <w:tc>
          <w:tcPr>
            <w:tcW w:w="3928" w:type="dxa"/>
            <w:vAlign w:val="top"/>
          </w:tcPr>
          <w:p w14:paraId="49B49B40">
            <w:pPr>
              <w:rPr>
                <w:rFonts w:ascii="Arial"/>
                <w:sz w:val="21"/>
              </w:rPr>
            </w:pPr>
          </w:p>
        </w:tc>
        <w:tc>
          <w:tcPr>
            <w:tcW w:w="756" w:type="dxa"/>
            <w:vAlign w:val="top"/>
          </w:tcPr>
          <w:p w14:paraId="14AD7039">
            <w:pPr>
              <w:spacing w:line="321" w:lineRule="auto"/>
              <w:rPr>
                <w:rFonts w:ascii="Arial"/>
                <w:sz w:val="21"/>
              </w:rPr>
            </w:pPr>
          </w:p>
          <w:p w14:paraId="59654909">
            <w:pPr>
              <w:pStyle w:val="6"/>
              <w:spacing w:before="65" w:line="228" w:lineRule="auto"/>
              <w:ind w:left="282"/>
            </w:pPr>
            <w:r>
              <w:t>分</w:t>
            </w:r>
          </w:p>
        </w:tc>
        <w:tc>
          <w:tcPr>
            <w:tcW w:w="797" w:type="dxa"/>
            <w:vAlign w:val="top"/>
          </w:tcPr>
          <w:p w14:paraId="3A34CF70">
            <w:pPr>
              <w:rPr>
                <w:rFonts w:ascii="Arial"/>
                <w:sz w:val="21"/>
              </w:rPr>
            </w:pPr>
          </w:p>
        </w:tc>
        <w:tc>
          <w:tcPr>
            <w:tcW w:w="796" w:type="dxa"/>
            <w:vAlign w:val="top"/>
          </w:tcPr>
          <w:p w14:paraId="41E307AB">
            <w:pPr>
              <w:rPr>
                <w:rFonts w:ascii="Arial"/>
                <w:sz w:val="21"/>
              </w:rPr>
            </w:pPr>
          </w:p>
        </w:tc>
        <w:tc>
          <w:tcPr>
            <w:tcW w:w="797" w:type="dxa"/>
            <w:vAlign w:val="top"/>
          </w:tcPr>
          <w:p w14:paraId="6616A557">
            <w:pPr>
              <w:rPr>
                <w:rFonts w:ascii="Arial"/>
                <w:sz w:val="21"/>
              </w:rPr>
            </w:pPr>
          </w:p>
        </w:tc>
        <w:tc>
          <w:tcPr>
            <w:tcW w:w="797" w:type="dxa"/>
            <w:vAlign w:val="top"/>
          </w:tcPr>
          <w:p w14:paraId="79D209CA">
            <w:pPr>
              <w:rPr>
                <w:rFonts w:ascii="Arial"/>
                <w:sz w:val="21"/>
              </w:rPr>
            </w:pPr>
          </w:p>
        </w:tc>
        <w:tc>
          <w:tcPr>
            <w:tcW w:w="797" w:type="dxa"/>
            <w:vAlign w:val="top"/>
          </w:tcPr>
          <w:p w14:paraId="480CB851">
            <w:pPr>
              <w:rPr>
                <w:rFonts w:ascii="Arial"/>
                <w:sz w:val="21"/>
              </w:rPr>
            </w:pPr>
          </w:p>
        </w:tc>
        <w:tc>
          <w:tcPr>
            <w:tcW w:w="797" w:type="dxa"/>
            <w:vAlign w:val="top"/>
          </w:tcPr>
          <w:p w14:paraId="52AD333A">
            <w:pPr>
              <w:rPr>
                <w:rFonts w:ascii="Arial"/>
                <w:sz w:val="21"/>
              </w:rPr>
            </w:pPr>
          </w:p>
        </w:tc>
        <w:tc>
          <w:tcPr>
            <w:tcW w:w="797" w:type="dxa"/>
            <w:vAlign w:val="top"/>
          </w:tcPr>
          <w:p w14:paraId="54BCD2DD">
            <w:pPr>
              <w:rPr>
                <w:rFonts w:ascii="Arial"/>
                <w:sz w:val="21"/>
              </w:rPr>
            </w:pPr>
          </w:p>
        </w:tc>
        <w:tc>
          <w:tcPr>
            <w:tcW w:w="797" w:type="dxa"/>
            <w:vAlign w:val="top"/>
          </w:tcPr>
          <w:p w14:paraId="11737FBA">
            <w:pPr>
              <w:rPr>
                <w:rFonts w:ascii="Arial"/>
                <w:sz w:val="21"/>
              </w:rPr>
            </w:pPr>
          </w:p>
        </w:tc>
        <w:tc>
          <w:tcPr>
            <w:tcW w:w="801" w:type="dxa"/>
            <w:vAlign w:val="top"/>
          </w:tcPr>
          <w:p w14:paraId="7DB35FA4">
            <w:pPr>
              <w:rPr>
                <w:rFonts w:ascii="Arial"/>
                <w:sz w:val="21"/>
              </w:rPr>
            </w:pPr>
          </w:p>
        </w:tc>
      </w:tr>
      <w:tr w14:paraId="22ACAF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6" w:hRule="atLeast"/>
        </w:trPr>
        <w:tc>
          <w:tcPr>
            <w:tcW w:w="739" w:type="dxa"/>
            <w:vAlign w:val="top"/>
          </w:tcPr>
          <w:p w14:paraId="5CD6FE71">
            <w:pPr>
              <w:spacing w:line="358" w:lineRule="auto"/>
              <w:rPr>
                <w:rFonts w:ascii="Arial"/>
                <w:sz w:val="21"/>
              </w:rPr>
            </w:pPr>
          </w:p>
          <w:p w14:paraId="4831F346">
            <w:pPr>
              <w:spacing w:line="359" w:lineRule="auto"/>
              <w:rPr>
                <w:rFonts w:ascii="Arial"/>
                <w:sz w:val="21"/>
              </w:rPr>
            </w:pPr>
          </w:p>
          <w:p w14:paraId="5C5C85E1">
            <w:pPr>
              <w:spacing w:before="57" w:line="195" w:lineRule="auto"/>
              <w:ind w:left="323"/>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172" w:type="dxa"/>
            <w:vAlign w:val="top"/>
          </w:tcPr>
          <w:p w14:paraId="582B24A7">
            <w:pPr>
              <w:pStyle w:val="6"/>
              <w:spacing w:before="198" w:line="228" w:lineRule="auto"/>
              <w:ind w:left="168"/>
            </w:pPr>
            <w:r>
              <w:rPr>
                <w:spacing w:val="1"/>
              </w:rPr>
              <w:t>近</w:t>
            </w:r>
            <w:r>
              <w:rPr>
                <w:spacing w:val="-36"/>
              </w:rPr>
              <w:t xml:space="preserve"> </w:t>
            </w:r>
            <w:r>
              <w:rPr>
                <w:spacing w:val="1"/>
              </w:rPr>
              <w:t>5</w:t>
            </w:r>
            <w:r>
              <w:rPr>
                <w:spacing w:val="-37"/>
              </w:rPr>
              <w:t xml:space="preserve"> </w:t>
            </w:r>
            <w:r>
              <w:rPr>
                <w:spacing w:val="1"/>
              </w:rPr>
              <w:t>年工</w:t>
            </w:r>
          </w:p>
          <w:p w14:paraId="6B6E8D1B">
            <w:pPr>
              <w:pStyle w:val="6"/>
              <w:spacing w:before="25" w:line="228" w:lineRule="auto"/>
              <w:ind w:left="168"/>
            </w:pPr>
            <w:r>
              <w:rPr>
                <w:spacing w:val="5"/>
              </w:rPr>
              <w:t>程奖项、</w:t>
            </w:r>
          </w:p>
          <w:p w14:paraId="387AB4DC">
            <w:pPr>
              <w:pStyle w:val="6"/>
              <w:spacing w:before="26" w:line="228" w:lineRule="auto"/>
              <w:ind w:left="172"/>
            </w:pPr>
            <w:r>
              <w:rPr>
                <w:spacing w:val="6"/>
              </w:rPr>
              <w:t>项目经理</w:t>
            </w:r>
          </w:p>
          <w:p w14:paraId="2389A117">
            <w:pPr>
              <w:pStyle w:val="6"/>
              <w:spacing w:before="23" w:line="254" w:lineRule="auto"/>
              <w:ind w:left="274" w:right="167" w:hanging="102"/>
            </w:pPr>
            <w:r>
              <w:rPr>
                <w:spacing w:val="6"/>
              </w:rPr>
              <w:t>工程奖项</w:t>
            </w:r>
            <w:r>
              <w:rPr>
                <w:spacing w:val="7"/>
              </w:rPr>
              <w:t>及表彰</w:t>
            </w:r>
          </w:p>
        </w:tc>
        <w:tc>
          <w:tcPr>
            <w:tcW w:w="3928" w:type="dxa"/>
            <w:vAlign w:val="top"/>
          </w:tcPr>
          <w:p w14:paraId="23FF0318">
            <w:pPr>
              <w:rPr>
                <w:rFonts w:ascii="Arial"/>
                <w:sz w:val="21"/>
              </w:rPr>
            </w:pPr>
          </w:p>
        </w:tc>
        <w:tc>
          <w:tcPr>
            <w:tcW w:w="756" w:type="dxa"/>
            <w:vAlign w:val="top"/>
          </w:tcPr>
          <w:p w14:paraId="6913CA42">
            <w:pPr>
              <w:spacing w:line="337" w:lineRule="auto"/>
              <w:rPr>
                <w:rFonts w:ascii="Arial"/>
                <w:sz w:val="21"/>
              </w:rPr>
            </w:pPr>
          </w:p>
          <w:p w14:paraId="667830D8">
            <w:pPr>
              <w:spacing w:line="337" w:lineRule="auto"/>
              <w:rPr>
                <w:rFonts w:ascii="Arial"/>
                <w:sz w:val="21"/>
              </w:rPr>
            </w:pPr>
          </w:p>
          <w:p w14:paraId="6CAB3A94">
            <w:pPr>
              <w:pStyle w:val="6"/>
              <w:spacing w:before="65" w:line="228" w:lineRule="auto"/>
              <w:ind w:left="282"/>
            </w:pPr>
            <w:r>
              <w:t>分</w:t>
            </w:r>
          </w:p>
        </w:tc>
        <w:tc>
          <w:tcPr>
            <w:tcW w:w="797" w:type="dxa"/>
            <w:vAlign w:val="top"/>
          </w:tcPr>
          <w:p w14:paraId="1FAC57E4">
            <w:pPr>
              <w:rPr>
                <w:rFonts w:ascii="Arial"/>
                <w:sz w:val="21"/>
              </w:rPr>
            </w:pPr>
          </w:p>
        </w:tc>
        <w:tc>
          <w:tcPr>
            <w:tcW w:w="796" w:type="dxa"/>
            <w:vAlign w:val="top"/>
          </w:tcPr>
          <w:p w14:paraId="587265AC">
            <w:pPr>
              <w:rPr>
                <w:rFonts w:ascii="Arial"/>
                <w:sz w:val="21"/>
              </w:rPr>
            </w:pPr>
          </w:p>
        </w:tc>
        <w:tc>
          <w:tcPr>
            <w:tcW w:w="797" w:type="dxa"/>
            <w:vAlign w:val="top"/>
          </w:tcPr>
          <w:p w14:paraId="04B630D6">
            <w:pPr>
              <w:rPr>
                <w:rFonts w:ascii="Arial"/>
                <w:sz w:val="21"/>
              </w:rPr>
            </w:pPr>
          </w:p>
        </w:tc>
        <w:tc>
          <w:tcPr>
            <w:tcW w:w="797" w:type="dxa"/>
            <w:vAlign w:val="top"/>
          </w:tcPr>
          <w:p w14:paraId="573F5E1E">
            <w:pPr>
              <w:rPr>
                <w:rFonts w:ascii="Arial"/>
                <w:sz w:val="21"/>
              </w:rPr>
            </w:pPr>
          </w:p>
        </w:tc>
        <w:tc>
          <w:tcPr>
            <w:tcW w:w="797" w:type="dxa"/>
            <w:vAlign w:val="top"/>
          </w:tcPr>
          <w:p w14:paraId="16D362F8">
            <w:pPr>
              <w:rPr>
                <w:rFonts w:ascii="Arial"/>
                <w:sz w:val="21"/>
              </w:rPr>
            </w:pPr>
          </w:p>
        </w:tc>
        <w:tc>
          <w:tcPr>
            <w:tcW w:w="797" w:type="dxa"/>
            <w:vAlign w:val="top"/>
          </w:tcPr>
          <w:p w14:paraId="5F856613">
            <w:pPr>
              <w:rPr>
                <w:rFonts w:ascii="Arial"/>
                <w:sz w:val="21"/>
              </w:rPr>
            </w:pPr>
          </w:p>
        </w:tc>
        <w:tc>
          <w:tcPr>
            <w:tcW w:w="797" w:type="dxa"/>
            <w:vAlign w:val="top"/>
          </w:tcPr>
          <w:p w14:paraId="52BEF574">
            <w:pPr>
              <w:rPr>
                <w:rFonts w:ascii="Arial"/>
                <w:sz w:val="21"/>
              </w:rPr>
            </w:pPr>
          </w:p>
        </w:tc>
        <w:tc>
          <w:tcPr>
            <w:tcW w:w="797" w:type="dxa"/>
            <w:vAlign w:val="top"/>
          </w:tcPr>
          <w:p w14:paraId="46714ABB">
            <w:pPr>
              <w:rPr>
                <w:rFonts w:ascii="Arial"/>
                <w:sz w:val="21"/>
              </w:rPr>
            </w:pPr>
          </w:p>
        </w:tc>
        <w:tc>
          <w:tcPr>
            <w:tcW w:w="801" w:type="dxa"/>
            <w:vAlign w:val="top"/>
          </w:tcPr>
          <w:p w14:paraId="4DEA0D24">
            <w:pPr>
              <w:rPr>
                <w:rFonts w:ascii="Arial"/>
                <w:sz w:val="21"/>
              </w:rPr>
            </w:pPr>
          </w:p>
        </w:tc>
      </w:tr>
      <w:tr w14:paraId="5A163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595" w:type="dxa"/>
            <w:gridSpan w:val="4"/>
            <w:vAlign w:val="top"/>
          </w:tcPr>
          <w:p w14:paraId="0CFE93D8">
            <w:pPr>
              <w:pStyle w:val="6"/>
              <w:spacing w:before="182" w:line="228" w:lineRule="auto"/>
              <w:ind w:left="1785"/>
            </w:pPr>
            <w:r>
              <w:rPr>
                <w:spacing w:val="7"/>
              </w:rPr>
              <w:t>其他因素得分合计</w:t>
            </w:r>
            <w:r>
              <w:rPr>
                <w:spacing w:val="-33"/>
              </w:rPr>
              <w:t xml:space="preserve"> </w:t>
            </w:r>
            <w:r>
              <w:rPr>
                <w:rFonts w:ascii="Times New Roman" w:hAnsi="Times New Roman" w:eastAsia="Times New Roman" w:cs="Times New Roman"/>
                <w:spacing w:val="7"/>
              </w:rPr>
              <w:t>D</w:t>
            </w:r>
            <w:r>
              <w:rPr>
                <w:spacing w:val="7"/>
              </w:rPr>
              <w:t>（满分 分）</w:t>
            </w:r>
          </w:p>
        </w:tc>
        <w:tc>
          <w:tcPr>
            <w:tcW w:w="797" w:type="dxa"/>
            <w:vAlign w:val="top"/>
          </w:tcPr>
          <w:p w14:paraId="529FE792">
            <w:pPr>
              <w:rPr>
                <w:rFonts w:ascii="Arial"/>
                <w:sz w:val="21"/>
              </w:rPr>
            </w:pPr>
          </w:p>
        </w:tc>
        <w:tc>
          <w:tcPr>
            <w:tcW w:w="796" w:type="dxa"/>
            <w:vAlign w:val="top"/>
          </w:tcPr>
          <w:p w14:paraId="1E043A5D">
            <w:pPr>
              <w:rPr>
                <w:rFonts w:ascii="Arial"/>
                <w:sz w:val="21"/>
              </w:rPr>
            </w:pPr>
          </w:p>
        </w:tc>
        <w:tc>
          <w:tcPr>
            <w:tcW w:w="797" w:type="dxa"/>
            <w:vAlign w:val="top"/>
          </w:tcPr>
          <w:p w14:paraId="3D39C194">
            <w:pPr>
              <w:rPr>
                <w:rFonts w:ascii="Arial"/>
                <w:sz w:val="21"/>
              </w:rPr>
            </w:pPr>
          </w:p>
        </w:tc>
        <w:tc>
          <w:tcPr>
            <w:tcW w:w="797" w:type="dxa"/>
            <w:vAlign w:val="top"/>
          </w:tcPr>
          <w:p w14:paraId="457F31F4">
            <w:pPr>
              <w:rPr>
                <w:rFonts w:ascii="Arial"/>
                <w:sz w:val="21"/>
              </w:rPr>
            </w:pPr>
          </w:p>
        </w:tc>
        <w:tc>
          <w:tcPr>
            <w:tcW w:w="797" w:type="dxa"/>
            <w:vAlign w:val="top"/>
          </w:tcPr>
          <w:p w14:paraId="65FF40CD">
            <w:pPr>
              <w:rPr>
                <w:rFonts w:ascii="Arial"/>
                <w:sz w:val="21"/>
              </w:rPr>
            </w:pPr>
          </w:p>
        </w:tc>
        <w:tc>
          <w:tcPr>
            <w:tcW w:w="797" w:type="dxa"/>
            <w:vAlign w:val="top"/>
          </w:tcPr>
          <w:p w14:paraId="1E6C9639">
            <w:pPr>
              <w:rPr>
                <w:rFonts w:ascii="Arial"/>
                <w:sz w:val="21"/>
              </w:rPr>
            </w:pPr>
          </w:p>
        </w:tc>
        <w:tc>
          <w:tcPr>
            <w:tcW w:w="797" w:type="dxa"/>
            <w:vAlign w:val="top"/>
          </w:tcPr>
          <w:p w14:paraId="3730A575">
            <w:pPr>
              <w:rPr>
                <w:rFonts w:ascii="Arial"/>
                <w:sz w:val="21"/>
              </w:rPr>
            </w:pPr>
          </w:p>
        </w:tc>
        <w:tc>
          <w:tcPr>
            <w:tcW w:w="797" w:type="dxa"/>
            <w:vAlign w:val="top"/>
          </w:tcPr>
          <w:p w14:paraId="5B0E8AFE">
            <w:pPr>
              <w:rPr>
                <w:rFonts w:ascii="Arial"/>
                <w:sz w:val="21"/>
              </w:rPr>
            </w:pPr>
          </w:p>
        </w:tc>
        <w:tc>
          <w:tcPr>
            <w:tcW w:w="801" w:type="dxa"/>
            <w:vAlign w:val="top"/>
          </w:tcPr>
          <w:p w14:paraId="44D55B40">
            <w:pPr>
              <w:rPr>
                <w:rFonts w:ascii="Arial"/>
                <w:sz w:val="21"/>
              </w:rPr>
            </w:pPr>
          </w:p>
        </w:tc>
      </w:tr>
    </w:tbl>
    <w:p w14:paraId="5F4A2B1E">
      <w:pPr>
        <w:spacing w:before="272" w:line="227" w:lineRule="auto"/>
        <w:ind w:left="120"/>
        <w:rPr>
          <w:rFonts w:ascii="宋体" w:hAnsi="宋体" w:eastAsia="宋体" w:cs="宋体"/>
          <w:sz w:val="20"/>
          <w:szCs w:val="20"/>
        </w:rPr>
      </w:pPr>
      <w:r>
        <w:rPr>
          <w:rFonts w:ascii="宋体" w:hAnsi="宋体" w:eastAsia="宋体" w:cs="宋体"/>
          <w:spacing w:val="2"/>
          <w:sz w:val="20"/>
          <w:szCs w:val="20"/>
        </w:rPr>
        <w:t>评标委员会成员签名：                                                                                            日期：    年</w:t>
      </w:r>
      <w:r>
        <w:rPr>
          <w:rFonts w:ascii="宋体" w:hAnsi="宋体" w:eastAsia="宋体" w:cs="宋体"/>
          <w:spacing w:val="20"/>
          <w:sz w:val="20"/>
          <w:szCs w:val="20"/>
        </w:rPr>
        <w:t xml:space="preserve">  </w:t>
      </w:r>
      <w:r>
        <w:rPr>
          <w:rFonts w:ascii="宋体" w:hAnsi="宋体" w:eastAsia="宋体" w:cs="宋体"/>
          <w:spacing w:val="2"/>
          <w:sz w:val="20"/>
          <w:szCs w:val="20"/>
        </w:rPr>
        <w:t>月   日</w:t>
      </w:r>
    </w:p>
    <w:p w14:paraId="248B389F">
      <w:pPr>
        <w:spacing w:line="227" w:lineRule="auto"/>
        <w:rPr>
          <w:rFonts w:ascii="宋体" w:hAnsi="宋体" w:eastAsia="宋体" w:cs="宋体"/>
          <w:sz w:val="20"/>
          <w:szCs w:val="20"/>
        </w:rPr>
        <w:sectPr>
          <w:footerReference r:id="rId141" w:type="default"/>
          <w:pgSz w:w="16840" w:h="11907"/>
          <w:pgMar w:top="400" w:right="1475" w:bottom="1036" w:left="1588" w:header="0" w:footer="787" w:gutter="0"/>
          <w:cols w:space="720" w:num="1"/>
        </w:sectPr>
      </w:pPr>
    </w:p>
    <w:p w14:paraId="63B63425">
      <w:pPr>
        <w:spacing w:line="273" w:lineRule="auto"/>
        <w:rPr>
          <w:rFonts w:ascii="Arial"/>
          <w:sz w:val="21"/>
        </w:rPr>
      </w:pPr>
    </w:p>
    <w:p w14:paraId="3C69B0D5">
      <w:pPr>
        <w:spacing w:line="273" w:lineRule="auto"/>
        <w:rPr>
          <w:rFonts w:ascii="Arial"/>
          <w:sz w:val="21"/>
        </w:rPr>
      </w:pPr>
    </w:p>
    <w:p w14:paraId="02D0EB07">
      <w:pPr>
        <w:spacing w:line="273" w:lineRule="auto"/>
        <w:rPr>
          <w:rFonts w:ascii="Arial"/>
          <w:sz w:val="21"/>
        </w:rPr>
      </w:pPr>
    </w:p>
    <w:p w14:paraId="674EE3D1">
      <w:pPr>
        <w:spacing w:line="273" w:lineRule="auto"/>
        <w:rPr>
          <w:rFonts w:ascii="Arial"/>
          <w:sz w:val="21"/>
        </w:rPr>
      </w:pPr>
    </w:p>
    <w:p w14:paraId="7BA10679">
      <w:pPr>
        <w:spacing w:line="273" w:lineRule="auto"/>
        <w:rPr>
          <w:rFonts w:ascii="Arial"/>
          <w:sz w:val="21"/>
        </w:rPr>
      </w:pPr>
    </w:p>
    <w:p w14:paraId="5EF614BF">
      <w:pPr>
        <w:spacing w:line="273" w:lineRule="auto"/>
        <w:rPr>
          <w:rFonts w:ascii="Arial"/>
          <w:sz w:val="21"/>
        </w:rPr>
      </w:pPr>
    </w:p>
    <w:p w14:paraId="5195CD83">
      <w:pPr>
        <w:pStyle w:val="2"/>
        <w:spacing w:before="78" w:line="222" w:lineRule="auto"/>
        <w:ind w:left="276"/>
        <w:outlineLvl w:val="1"/>
        <w:rPr>
          <w:sz w:val="24"/>
          <w:szCs w:val="24"/>
        </w:rPr>
      </w:pPr>
      <w:r>
        <w:rPr>
          <w:spacing w:val="-4"/>
          <w:sz w:val="24"/>
          <w:szCs w:val="24"/>
        </w:rPr>
        <w:t>附表</w:t>
      </w:r>
      <w:r>
        <w:rPr>
          <w:spacing w:val="-49"/>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12</w:t>
      </w:r>
      <w:r>
        <w:rPr>
          <w:spacing w:val="-4"/>
          <w:sz w:val="24"/>
          <w:szCs w:val="24"/>
        </w:rPr>
        <w:t>：详细评审评分汇总表</w:t>
      </w:r>
    </w:p>
    <w:p w14:paraId="4D838644">
      <w:pPr>
        <w:pStyle w:val="2"/>
        <w:spacing w:before="50" w:line="376" w:lineRule="auto"/>
        <w:ind w:left="265" w:right="5407" w:firstLine="5157"/>
        <w:rPr>
          <w:rFonts w:ascii="宋体" w:hAnsi="宋体" w:eastAsia="宋体" w:cs="宋体"/>
          <w:sz w:val="20"/>
          <w:szCs w:val="20"/>
        </w:rPr>
      </w:pPr>
      <w:bookmarkStart w:id="193" w:name="bookmark174"/>
      <w:bookmarkEnd w:id="193"/>
      <w:r>
        <w:rPr>
          <w:spacing w:val="8"/>
          <w:sz w:val="35"/>
          <w:szCs w:val="35"/>
        </w:rPr>
        <w:t>详细评审评分汇总表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38EB9A3A">
      <w:pPr>
        <w:spacing w:line="47" w:lineRule="exact"/>
      </w:pPr>
    </w:p>
    <w:tbl>
      <w:tblPr>
        <w:tblStyle w:val="5"/>
        <w:tblW w:w="1405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4"/>
        <w:gridCol w:w="2071"/>
        <w:gridCol w:w="1151"/>
        <w:gridCol w:w="1404"/>
        <w:gridCol w:w="1404"/>
        <w:gridCol w:w="1404"/>
        <w:gridCol w:w="1405"/>
        <w:gridCol w:w="1405"/>
        <w:gridCol w:w="1405"/>
        <w:gridCol w:w="1409"/>
      </w:tblGrid>
      <w:tr w14:paraId="18428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994" w:type="dxa"/>
            <w:vMerge w:val="restart"/>
            <w:tcBorders>
              <w:bottom w:val="nil"/>
            </w:tcBorders>
            <w:vAlign w:val="top"/>
          </w:tcPr>
          <w:p w14:paraId="7F6E62AF">
            <w:pPr>
              <w:spacing w:line="292" w:lineRule="auto"/>
              <w:rPr>
                <w:rFonts w:ascii="Arial"/>
                <w:sz w:val="21"/>
              </w:rPr>
            </w:pPr>
          </w:p>
          <w:p w14:paraId="073F7755">
            <w:pPr>
              <w:pStyle w:val="6"/>
              <w:spacing w:before="65" w:line="229" w:lineRule="auto"/>
              <w:ind w:left="292"/>
            </w:pPr>
            <w:r>
              <w:rPr>
                <w:spacing w:val="5"/>
              </w:rPr>
              <w:t>序号</w:t>
            </w:r>
          </w:p>
        </w:tc>
        <w:tc>
          <w:tcPr>
            <w:tcW w:w="2071" w:type="dxa"/>
            <w:vMerge w:val="restart"/>
            <w:tcBorders>
              <w:bottom w:val="nil"/>
            </w:tcBorders>
            <w:vAlign w:val="top"/>
          </w:tcPr>
          <w:p w14:paraId="3FDBD53C">
            <w:pPr>
              <w:spacing w:line="293" w:lineRule="auto"/>
              <w:rPr>
                <w:rFonts w:ascii="Arial"/>
                <w:sz w:val="21"/>
              </w:rPr>
            </w:pPr>
          </w:p>
          <w:p w14:paraId="7D911CAB">
            <w:pPr>
              <w:pStyle w:val="6"/>
              <w:spacing w:before="65" w:line="228" w:lineRule="auto"/>
              <w:ind w:left="618"/>
            </w:pPr>
            <w:r>
              <w:rPr>
                <w:spacing w:val="7"/>
              </w:rPr>
              <w:t>评分项目</w:t>
            </w:r>
          </w:p>
        </w:tc>
        <w:tc>
          <w:tcPr>
            <w:tcW w:w="1151" w:type="dxa"/>
            <w:vMerge w:val="restart"/>
            <w:tcBorders>
              <w:bottom w:val="nil"/>
            </w:tcBorders>
            <w:vAlign w:val="top"/>
          </w:tcPr>
          <w:p w14:paraId="68C0E790">
            <w:pPr>
              <w:spacing w:line="292" w:lineRule="auto"/>
              <w:rPr>
                <w:rFonts w:ascii="Arial"/>
                <w:sz w:val="21"/>
              </w:rPr>
            </w:pPr>
          </w:p>
          <w:p w14:paraId="79301576">
            <w:pPr>
              <w:pStyle w:val="6"/>
              <w:spacing w:before="65" w:line="228" w:lineRule="auto"/>
              <w:ind w:left="161"/>
            </w:pPr>
            <w:r>
              <w:rPr>
                <w:spacing w:val="6"/>
              </w:rPr>
              <w:t>分值代码</w:t>
            </w:r>
          </w:p>
        </w:tc>
        <w:tc>
          <w:tcPr>
            <w:tcW w:w="9836" w:type="dxa"/>
            <w:gridSpan w:val="7"/>
            <w:vAlign w:val="top"/>
          </w:tcPr>
          <w:p w14:paraId="080C36FC">
            <w:pPr>
              <w:pStyle w:val="6"/>
              <w:spacing w:before="126" w:line="228" w:lineRule="auto"/>
              <w:ind w:left="4084"/>
            </w:pPr>
            <w:r>
              <w:rPr>
                <w:spacing w:val="8"/>
              </w:rPr>
              <w:t>投标人名称及得分</w:t>
            </w:r>
          </w:p>
        </w:tc>
      </w:tr>
      <w:tr w14:paraId="23A34B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94" w:type="dxa"/>
            <w:vMerge w:val="continue"/>
            <w:tcBorders>
              <w:top w:val="nil"/>
            </w:tcBorders>
            <w:vAlign w:val="top"/>
          </w:tcPr>
          <w:p w14:paraId="589D2A0E">
            <w:pPr>
              <w:rPr>
                <w:rFonts w:ascii="Arial"/>
                <w:sz w:val="21"/>
              </w:rPr>
            </w:pPr>
          </w:p>
        </w:tc>
        <w:tc>
          <w:tcPr>
            <w:tcW w:w="2071" w:type="dxa"/>
            <w:vMerge w:val="continue"/>
            <w:tcBorders>
              <w:top w:val="nil"/>
            </w:tcBorders>
            <w:vAlign w:val="top"/>
          </w:tcPr>
          <w:p w14:paraId="25B96D54">
            <w:pPr>
              <w:rPr>
                <w:rFonts w:ascii="Arial"/>
                <w:sz w:val="21"/>
              </w:rPr>
            </w:pPr>
          </w:p>
        </w:tc>
        <w:tc>
          <w:tcPr>
            <w:tcW w:w="1151" w:type="dxa"/>
            <w:vMerge w:val="continue"/>
            <w:tcBorders>
              <w:top w:val="nil"/>
            </w:tcBorders>
            <w:vAlign w:val="top"/>
          </w:tcPr>
          <w:p w14:paraId="3D653CAD">
            <w:pPr>
              <w:rPr>
                <w:rFonts w:ascii="Arial"/>
                <w:sz w:val="21"/>
              </w:rPr>
            </w:pPr>
          </w:p>
        </w:tc>
        <w:tc>
          <w:tcPr>
            <w:tcW w:w="1404" w:type="dxa"/>
            <w:vAlign w:val="top"/>
          </w:tcPr>
          <w:p w14:paraId="3BF329AD">
            <w:pPr>
              <w:rPr>
                <w:rFonts w:ascii="Arial"/>
                <w:sz w:val="21"/>
              </w:rPr>
            </w:pPr>
          </w:p>
        </w:tc>
        <w:tc>
          <w:tcPr>
            <w:tcW w:w="1404" w:type="dxa"/>
            <w:vAlign w:val="top"/>
          </w:tcPr>
          <w:p w14:paraId="38DE790F">
            <w:pPr>
              <w:rPr>
                <w:rFonts w:ascii="Arial"/>
                <w:sz w:val="21"/>
              </w:rPr>
            </w:pPr>
          </w:p>
        </w:tc>
        <w:tc>
          <w:tcPr>
            <w:tcW w:w="1404" w:type="dxa"/>
            <w:vAlign w:val="top"/>
          </w:tcPr>
          <w:p w14:paraId="39630979">
            <w:pPr>
              <w:rPr>
                <w:rFonts w:ascii="Arial"/>
                <w:sz w:val="21"/>
              </w:rPr>
            </w:pPr>
          </w:p>
        </w:tc>
        <w:tc>
          <w:tcPr>
            <w:tcW w:w="1405" w:type="dxa"/>
            <w:vAlign w:val="top"/>
          </w:tcPr>
          <w:p w14:paraId="630BC513">
            <w:pPr>
              <w:rPr>
                <w:rFonts w:ascii="Arial"/>
                <w:sz w:val="21"/>
              </w:rPr>
            </w:pPr>
          </w:p>
        </w:tc>
        <w:tc>
          <w:tcPr>
            <w:tcW w:w="1405" w:type="dxa"/>
            <w:vAlign w:val="top"/>
          </w:tcPr>
          <w:p w14:paraId="211A1EF5">
            <w:pPr>
              <w:rPr>
                <w:rFonts w:ascii="Arial"/>
                <w:sz w:val="21"/>
              </w:rPr>
            </w:pPr>
          </w:p>
        </w:tc>
        <w:tc>
          <w:tcPr>
            <w:tcW w:w="1405" w:type="dxa"/>
            <w:vAlign w:val="top"/>
          </w:tcPr>
          <w:p w14:paraId="43B041CE">
            <w:pPr>
              <w:rPr>
                <w:rFonts w:ascii="Arial"/>
                <w:sz w:val="21"/>
              </w:rPr>
            </w:pPr>
          </w:p>
        </w:tc>
        <w:tc>
          <w:tcPr>
            <w:tcW w:w="1409" w:type="dxa"/>
            <w:vAlign w:val="top"/>
          </w:tcPr>
          <w:p w14:paraId="70C6C330">
            <w:pPr>
              <w:rPr>
                <w:rFonts w:ascii="Arial"/>
                <w:sz w:val="21"/>
              </w:rPr>
            </w:pPr>
          </w:p>
        </w:tc>
      </w:tr>
      <w:tr w14:paraId="62CAE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94" w:type="dxa"/>
            <w:vAlign w:val="top"/>
          </w:tcPr>
          <w:p w14:paraId="4B760EA6">
            <w:pPr>
              <w:spacing w:before="160" w:line="195" w:lineRule="auto"/>
              <w:ind w:left="465"/>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2071" w:type="dxa"/>
            <w:vAlign w:val="top"/>
          </w:tcPr>
          <w:p w14:paraId="0FEAA3DA">
            <w:pPr>
              <w:pStyle w:val="6"/>
              <w:spacing w:before="124" w:line="226" w:lineRule="auto"/>
              <w:ind w:left="622"/>
            </w:pPr>
            <w:r>
              <w:rPr>
                <w:spacing w:val="6"/>
              </w:rPr>
              <w:t>投标报价</w:t>
            </w:r>
          </w:p>
        </w:tc>
        <w:tc>
          <w:tcPr>
            <w:tcW w:w="1151" w:type="dxa"/>
            <w:vAlign w:val="top"/>
          </w:tcPr>
          <w:p w14:paraId="2BC0934E">
            <w:pPr>
              <w:spacing w:before="160" w:line="195" w:lineRule="auto"/>
              <w:ind w:left="49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A</w:t>
            </w:r>
          </w:p>
        </w:tc>
        <w:tc>
          <w:tcPr>
            <w:tcW w:w="1404" w:type="dxa"/>
            <w:vAlign w:val="top"/>
          </w:tcPr>
          <w:p w14:paraId="2C37ECA8">
            <w:pPr>
              <w:rPr>
                <w:rFonts w:ascii="Arial"/>
                <w:sz w:val="21"/>
              </w:rPr>
            </w:pPr>
          </w:p>
        </w:tc>
        <w:tc>
          <w:tcPr>
            <w:tcW w:w="1404" w:type="dxa"/>
            <w:vAlign w:val="top"/>
          </w:tcPr>
          <w:p w14:paraId="2FF96DEF">
            <w:pPr>
              <w:rPr>
                <w:rFonts w:ascii="Arial"/>
                <w:sz w:val="21"/>
              </w:rPr>
            </w:pPr>
          </w:p>
        </w:tc>
        <w:tc>
          <w:tcPr>
            <w:tcW w:w="1404" w:type="dxa"/>
            <w:vAlign w:val="top"/>
          </w:tcPr>
          <w:p w14:paraId="095DE009">
            <w:pPr>
              <w:rPr>
                <w:rFonts w:ascii="Arial"/>
                <w:sz w:val="21"/>
              </w:rPr>
            </w:pPr>
          </w:p>
        </w:tc>
        <w:tc>
          <w:tcPr>
            <w:tcW w:w="1405" w:type="dxa"/>
            <w:vAlign w:val="top"/>
          </w:tcPr>
          <w:p w14:paraId="7EECC2A1">
            <w:pPr>
              <w:rPr>
                <w:rFonts w:ascii="Arial"/>
                <w:sz w:val="21"/>
              </w:rPr>
            </w:pPr>
          </w:p>
        </w:tc>
        <w:tc>
          <w:tcPr>
            <w:tcW w:w="1405" w:type="dxa"/>
            <w:vAlign w:val="top"/>
          </w:tcPr>
          <w:p w14:paraId="77B0A7C8">
            <w:pPr>
              <w:rPr>
                <w:rFonts w:ascii="Arial"/>
                <w:sz w:val="21"/>
              </w:rPr>
            </w:pPr>
          </w:p>
        </w:tc>
        <w:tc>
          <w:tcPr>
            <w:tcW w:w="1405" w:type="dxa"/>
            <w:vAlign w:val="top"/>
          </w:tcPr>
          <w:p w14:paraId="044A4E36">
            <w:pPr>
              <w:rPr>
                <w:rFonts w:ascii="Arial"/>
                <w:sz w:val="21"/>
              </w:rPr>
            </w:pPr>
          </w:p>
        </w:tc>
        <w:tc>
          <w:tcPr>
            <w:tcW w:w="1409" w:type="dxa"/>
            <w:vAlign w:val="top"/>
          </w:tcPr>
          <w:p w14:paraId="365658DF">
            <w:pPr>
              <w:rPr>
                <w:rFonts w:ascii="Arial"/>
                <w:sz w:val="21"/>
              </w:rPr>
            </w:pPr>
          </w:p>
        </w:tc>
      </w:tr>
      <w:tr w14:paraId="36803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94" w:type="dxa"/>
            <w:vAlign w:val="top"/>
          </w:tcPr>
          <w:p w14:paraId="40115D7B">
            <w:pPr>
              <w:spacing w:before="160" w:line="195" w:lineRule="auto"/>
              <w:ind w:left="445"/>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2071" w:type="dxa"/>
            <w:vAlign w:val="top"/>
          </w:tcPr>
          <w:p w14:paraId="5208374B">
            <w:pPr>
              <w:pStyle w:val="6"/>
              <w:spacing w:before="124" w:line="229" w:lineRule="auto"/>
              <w:ind w:left="409"/>
            </w:pPr>
            <w:r>
              <w:rPr>
                <w:spacing w:val="8"/>
              </w:rPr>
              <w:t>施工组织设计</w:t>
            </w:r>
          </w:p>
        </w:tc>
        <w:tc>
          <w:tcPr>
            <w:tcW w:w="1151" w:type="dxa"/>
            <w:vAlign w:val="top"/>
          </w:tcPr>
          <w:p w14:paraId="49B27FC3">
            <w:pPr>
              <w:spacing w:before="163" w:line="192" w:lineRule="auto"/>
              <w:ind w:left="50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B</w:t>
            </w:r>
          </w:p>
        </w:tc>
        <w:tc>
          <w:tcPr>
            <w:tcW w:w="1404" w:type="dxa"/>
            <w:vAlign w:val="top"/>
          </w:tcPr>
          <w:p w14:paraId="5B7A304F">
            <w:pPr>
              <w:rPr>
                <w:rFonts w:ascii="Arial"/>
                <w:sz w:val="21"/>
              </w:rPr>
            </w:pPr>
          </w:p>
        </w:tc>
        <w:tc>
          <w:tcPr>
            <w:tcW w:w="1404" w:type="dxa"/>
            <w:vAlign w:val="top"/>
          </w:tcPr>
          <w:p w14:paraId="733F7A18">
            <w:pPr>
              <w:rPr>
                <w:rFonts w:ascii="Arial"/>
                <w:sz w:val="21"/>
              </w:rPr>
            </w:pPr>
          </w:p>
        </w:tc>
        <w:tc>
          <w:tcPr>
            <w:tcW w:w="1404" w:type="dxa"/>
            <w:vAlign w:val="top"/>
          </w:tcPr>
          <w:p w14:paraId="3C51AEF5">
            <w:pPr>
              <w:rPr>
                <w:rFonts w:ascii="Arial"/>
                <w:sz w:val="21"/>
              </w:rPr>
            </w:pPr>
          </w:p>
        </w:tc>
        <w:tc>
          <w:tcPr>
            <w:tcW w:w="1405" w:type="dxa"/>
            <w:vAlign w:val="top"/>
          </w:tcPr>
          <w:p w14:paraId="48859BC9">
            <w:pPr>
              <w:rPr>
                <w:rFonts w:ascii="Arial"/>
                <w:sz w:val="21"/>
              </w:rPr>
            </w:pPr>
          </w:p>
        </w:tc>
        <w:tc>
          <w:tcPr>
            <w:tcW w:w="1405" w:type="dxa"/>
            <w:vAlign w:val="top"/>
          </w:tcPr>
          <w:p w14:paraId="66488E99">
            <w:pPr>
              <w:rPr>
                <w:rFonts w:ascii="Arial"/>
                <w:sz w:val="21"/>
              </w:rPr>
            </w:pPr>
          </w:p>
        </w:tc>
        <w:tc>
          <w:tcPr>
            <w:tcW w:w="1405" w:type="dxa"/>
            <w:vAlign w:val="top"/>
          </w:tcPr>
          <w:p w14:paraId="59215532">
            <w:pPr>
              <w:rPr>
                <w:rFonts w:ascii="Arial"/>
                <w:sz w:val="21"/>
              </w:rPr>
            </w:pPr>
          </w:p>
        </w:tc>
        <w:tc>
          <w:tcPr>
            <w:tcW w:w="1409" w:type="dxa"/>
            <w:vAlign w:val="top"/>
          </w:tcPr>
          <w:p w14:paraId="4FADE6EF">
            <w:pPr>
              <w:rPr>
                <w:rFonts w:ascii="Arial"/>
                <w:sz w:val="21"/>
              </w:rPr>
            </w:pPr>
          </w:p>
        </w:tc>
      </w:tr>
      <w:tr w14:paraId="3D27AB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94" w:type="dxa"/>
            <w:vAlign w:val="top"/>
          </w:tcPr>
          <w:p w14:paraId="4F7F7E8E">
            <w:pPr>
              <w:spacing w:before="163" w:line="195" w:lineRule="auto"/>
              <w:ind w:left="449"/>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2071" w:type="dxa"/>
            <w:vAlign w:val="top"/>
          </w:tcPr>
          <w:p w14:paraId="5BC01696">
            <w:pPr>
              <w:pStyle w:val="6"/>
              <w:spacing w:before="124" w:line="227" w:lineRule="auto"/>
              <w:ind w:left="414"/>
            </w:pPr>
            <w:r>
              <w:rPr>
                <w:spacing w:val="7"/>
              </w:rPr>
              <w:t>项目管理机构</w:t>
            </w:r>
          </w:p>
        </w:tc>
        <w:tc>
          <w:tcPr>
            <w:tcW w:w="1151" w:type="dxa"/>
            <w:vAlign w:val="top"/>
          </w:tcPr>
          <w:p w14:paraId="594E418E">
            <w:pPr>
              <w:spacing w:before="163" w:line="195" w:lineRule="auto"/>
              <w:ind w:left="508"/>
              <w:rPr>
                <w:rFonts w:ascii="Times New Roman" w:hAnsi="Times New Roman" w:eastAsia="Times New Roman" w:cs="Times New Roman"/>
                <w:sz w:val="20"/>
                <w:szCs w:val="20"/>
              </w:rPr>
            </w:pPr>
            <w:r>
              <w:rPr>
                <w:rFonts w:ascii="Times New Roman" w:hAnsi="Times New Roman" w:eastAsia="Times New Roman" w:cs="Times New Roman"/>
                <w:sz w:val="20"/>
                <w:szCs w:val="20"/>
              </w:rPr>
              <w:t>C</w:t>
            </w:r>
          </w:p>
        </w:tc>
        <w:tc>
          <w:tcPr>
            <w:tcW w:w="1404" w:type="dxa"/>
            <w:vAlign w:val="top"/>
          </w:tcPr>
          <w:p w14:paraId="266A50D5">
            <w:pPr>
              <w:rPr>
                <w:rFonts w:ascii="Arial"/>
                <w:sz w:val="21"/>
              </w:rPr>
            </w:pPr>
          </w:p>
        </w:tc>
        <w:tc>
          <w:tcPr>
            <w:tcW w:w="1404" w:type="dxa"/>
            <w:vAlign w:val="top"/>
          </w:tcPr>
          <w:p w14:paraId="6777C23A">
            <w:pPr>
              <w:rPr>
                <w:rFonts w:ascii="Arial"/>
                <w:sz w:val="21"/>
              </w:rPr>
            </w:pPr>
          </w:p>
        </w:tc>
        <w:tc>
          <w:tcPr>
            <w:tcW w:w="1404" w:type="dxa"/>
            <w:vAlign w:val="top"/>
          </w:tcPr>
          <w:p w14:paraId="4E39D957">
            <w:pPr>
              <w:rPr>
                <w:rFonts w:ascii="Arial"/>
                <w:sz w:val="21"/>
              </w:rPr>
            </w:pPr>
          </w:p>
        </w:tc>
        <w:tc>
          <w:tcPr>
            <w:tcW w:w="1405" w:type="dxa"/>
            <w:vAlign w:val="top"/>
          </w:tcPr>
          <w:p w14:paraId="3931B356">
            <w:pPr>
              <w:rPr>
                <w:rFonts w:ascii="Arial"/>
                <w:sz w:val="21"/>
              </w:rPr>
            </w:pPr>
          </w:p>
        </w:tc>
        <w:tc>
          <w:tcPr>
            <w:tcW w:w="1405" w:type="dxa"/>
            <w:vAlign w:val="top"/>
          </w:tcPr>
          <w:p w14:paraId="55165965">
            <w:pPr>
              <w:rPr>
                <w:rFonts w:ascii="Arial"/>
                <w:sz w:val="21"/>
              </w:rPr>
            </w:pPr>
          </w:p>
        </w:tc>
        <w:tc>
          <w:tcPr>
            <w:tcW w:w="1405" w:type="dxa"/>
            <w:vAlign w:val="top"/>
          </w:tcPr>
          <w:p w14:paraId="657F8475">
            <w:pPr>
              <w:rPr>
                <w:rFonts w:ascii="Arial"/>
                <w:sz w:val="21"/>
              </w:rPr>
            </w:pPr>
          </w:p>
        </w:tc>
        <w:tc>
          <w:tcPr>
            <w:tcW w:w="1409" w:type="dxa"/>
            <w:vAlign w:val="top"/>
          </w:tcPr>
          <w:p w14:paraId="716BF98D">
            <w:pPr>
              <w:rPr>
                <w:rFonts w:ascii="Arial"/>
                <w:sz w:val="21"/>
              </w:rPr>
            </w:pPr>
          </w:p>
        </w:tc>
      </w:tr>
      <w:tr w14:paraId="42A08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994" w:type="dxa"/>
            <w:vAlign w:val="top"/>
          </w:tcPr>
          <w:p w14:paraId="50DDA945">
            <w:pPr>
              <w:spacing w:before="163" w:line="195" w:lineRule="auto"/>
              <w:ind w:left="44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2071" w:type="dxa"/>
            <w:vAlign w:val="top"/>
          </w:tcPr>
          <w:p w14:paraId="4A9BC5FD">
            <w:pPr>
              <w:pStyle w:val="6"/>
              <w:spacing w:before="127" w:line="228" w:lineRule="auto"/>
              <w:ind w:left="620"/>
            </w:pPr>
            <w:r>
              <w:rPr>
                <w:spacing w:val="7"/>
              </w:rPr>
              <w:t>其他因素</w:t>
            </w:r>
          </w:p>
        </w:tc>
        <w:tc>
          <w:tcPr>
            <w:tcW w:w="1151" w:type="dxa"/>
            <w:vAlign w:val="top"/>
          </w:tcPr>
          <w:p w14:paraId="20462D4E">
            <w:pPr>
              <w:spacing w:before="166" w:line="192" w:lineRule="auto"/>
              <w:ind w:left="4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D</w:t>
            </w:r>
          </w:p>
        </w:tc>
        <w:tc>
          <w:tcPr>
            <w:tcW w:w="1404" w:type="dxa"/>
            <w:vAlign w:val="top"/>
          </w:tcPr>
          <w:p w14:paraId="65935FCC">
            <w:pPr>
              <w:rPr>
                <w:rFonts w:ascii="Arial"/>
                <w:sz w:val="21"/>
              </w:rPr>
            </w:pPr>
          </w:p>
        </w:tc>
        <w:tc>
          <w:tcPr>
            <w:tcW w:w="1404" w:type="dxa"/>
            <w:vAlign w:val="top"/>
          </w:tcPr>
          <w:p w14:paraId="65228BFD">
            <w:pPr>
              <w:rPr>
                <w:rFonts w:ascii="Arial"/>
                <w:sz w:val="21"/>
              </w:rPr>
            </w:pPr>
          </w:p>
        </w:tc>
        <w:tc>
          <w:tcPr>
            <w:tcW w:w="1404" w:type="dxa"/>
            <w:vAlign w:val="top"/>
          </w:tcPr>
          <w:p w14:paraId="31792C09">
            <w:pPr>
              <w:rPr>
                <w:rFonts w:ascii="Arial"/>
                <w:sz w:val="21"/>
              </w:rPr>
            </w:pPr>
          </w:p>
        </w:tc>
        <w:tc>
          <w:tcPr>
            <w:tcW w:w="1405" w:type="dxa"/>
            <w:vAlign w:val="top"/>
          </w:tcPr>
          <w:p w14:paraId="3C3570EA">
            <w:pPr>
              <w:rPr>
                <w:rFonts w:ascii="Arial"/>
                <w:sz w:val="21"/>
              </w:rPr>
            </w:pPr>
          </w:p>
        </w:tc>
        <w:tc>
          <w:tcPr>
            <w:tcW w:w="1405" w:type="dxa"/>
            <w:vAlign w:val="top"/>
          </w:tcPr>
          <w:p w14:paraId="7978DE84">
            <w:pPr>
              <w:rPr>
                <w:rFonts w:ascii="Arial"/>
                <w:sz w:val="21"/>
              </w:rPr>
            </w:pPr>
          </w:p>
        </w:tc>
        <w:tc>
          <w:tcPr>
            <w:tcW w:w="1405" w:type="dxa"/>
            <w:vAlign w:val="top"/>
          </w:tcPr>
          <w:p w14:paraId="472B1563">
            <w:pPr>
              <w:rPr>
                <w:rFonts w:ascii="Arial"/>
                <w:sz w:val="21"/>
              </w:rPr>
            </w:pPr>
          </w:p>
        </w:tc>
        <w:tc>
          <w:tcPr>
            <w:tcW w:w="1409" w:type="dxa"/>
            <w:vAlign w:val="top"/>
          </w:tcPr>
          <w:p w14:paraId="79E058D3">
            <w:pPr>
              <w:rPr>
                <w:rFonts w:ascii="Arial"/>
                <w:sz w:val="21"/>
              </w:rPr>
            </w:pPr>
          </w:p>
        </w:tc>
      </w:tr>
      <w:tr w14:paraId="6A3186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4216" w:type="dxa"/>
            <w:gridSpan w:val="3"/>
            <w:vAlign w:val="top"/>
          </w:tcPr>
          <w:p w14:paraId="35B3E46C">
            <w:pPr>
              <w:pStyle w:val="6"/>
              <w:spacing w:before="126" w:line="228" w:lineRule="auto"/>
              <w:ind w:left="1275"/>
            </w:pPr>
            <w:r>
              <w:rPr>
                <w:spacing w:val="8"/>
              </w:rPr>
              <w:t>详细评审得分合计</w:t>
            </w:r>
          </w:p>
        </w:tc>
        <w:tc>
          <w:tcPr>
            <w:tcW w:w="1404" w:type="dxa"/>
            <w:vAlign w:val="top"/>
          </w:tcPr>
          <w:p w14:paraId="52B0E955">
            <w:pPr>
              <w:rPr>
                <w:rFonts w:ascii="Arial"/>
                <w:sz w:val="21"/>
              </w:rPr>
            </w:pPr>
          </w:p>
        </w:tc>
        <w:tc>
          <w:tcPr>
            <w:tcW w:w="1404" w:type="dxa"/>
            <w:vAlign w:val="top"/>
          </w:tcPr>
          <w:p w14:paraId="17E8F8B0">
            <w:pPr>
              <w:rPr>
                <w:rFonts w:ascii="Arial"/>
                <w:sz w:val="21"/>
              </w:rPr>
            </w:pPr>
          </w:p>
        </w:tc>
        <w:tc>
          <w:tcPr>
            <w:tcW w:w="1404" w:type="dxa"/>
            <w:vAlign w:val="top"/>
          </w:tcPr>
          <w:p w14:paraId="4F01ED44">
            <w:pPr>
              <w:rPr>
                <w:rFonts w:ascii="Arial"/>
                <w:sz w:val="21"/>
              </w:rPr>
            </w:pPr>
          </w:p>
        </w:tc>
        <w:tc>
          <w:tcPr>
            <w:tcW w:w="1405" w:type="dxa"/>
            <w:vAlign w:val="top"/>
          </w:tcPr>
          <w:p w14:paraId="2DE082FE">
            <w:pPr>
              <w:rPr>
                <w:rFonts w:ascii="Arial"/>
                <w:sz w:val="21"/>
              </w:rPr>
            </w:pPr>
          </w:p>
        </w:tc>
        <w:tc>
          <w:tcPr>
            <w:tcW w:w="1405" w:type="dxa"/>
            <w:vAlign w:val="top"/>
          </w:tcPr>
          <w:p w14:paraId="52DF8BE2">
            <w:pPr>
              <w:rPr>
                <w:rFonts w:ascii="Arial"/>
                <w:sz w:val="21"/>
              </w:rPr>
            </w:pPr>
          </w:p>
        </w:tc>
        <w:tc>
          <w:tcPr>
            <w:tcW w:w="1405" w:type="dxa"/>
            <w:vAlign w:val="top"/>
          </w:tcPr>
          <w:p w14:paraId="5C48009A">
            <w:pPr>
              <w:rPr>
                <w:rFonts w:ascii="Arial"/>
                <w:sz w:val="21"/>
              </w:rPr>
            </w:pPr>
          </w:p>
        </w:tc>
        <w:tc>
          <w:tcPr>
            <w:tcW w:w="1409" w:type="dxa"/>
            <w:vAlign w:val="top"/>
          </w:tcPr>
          <w:p w14:paraId="50AF7644">
            <w:pPr>
              <w:rPr>
                <w:rFonts w:ascii="Arial"/>
                <w:sz w:val="21"/>
              </w:rPr>
            </w:pPr>
          </w:p>
        </w:tc>
      </w:tr>
    </w:tbl>
    <w:p w14:paraId="59765EF3">
      <w:pPr>
        <w:spacing w:before="272" w:line="227" w:lineRule="auto"/>
        <w:ind w:left="261"/>
        <w:outlineLvl w:val="1"/>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w:t>
      </w:r>
      <w:r>
        <w:rPr>
          <w:rFonts w:ascii="宋体" w:hAnsi="宋体" w:eastAsia="宋体" w:cs="宋体"/>
          <w:spacing w:val="9"/>
          <w:sz w:val="20"/>
          <w:szCs w:val="20"/>
        </w:rPr>
        <w:t xml:space="preserve">   </w:t>
      </w:r>
      <w:r>
        <w:rPr>
          <w:rFonts w:ascii="宋体" w:hAnsi="宋体" w:eastAsia="宋体" w:cs="宋体"/>
          <w:spacing w:val="2"/>
          <w:sz w:val="20"/>
          <w:szCs w:val="20"/>
        </w:rPr>
        <w:t>月   日</w:t>
      </w:r>
    </w:p>
    <w:p w14:paraId="418FE256">
      <w:pPr>
        <w:spacing w:line="227" w:lineRule="auto"/>
        <w:rPr>
          <w:rFonts w:ascii="宋体" w:hAnsi="宋体" w:eastAsia="宋体" w:cs="宋体"/>
          <w:sz w:val="20"/>
          <w:szCs w:val="20"/>
        </w:rPr>
        <w:sectPr>
          <w:footerReference r:id="rId142" w:type="default"/>
          <w:pgSz w:w="16840" w:h="11907"/>
          <w:pgMar w:top="400" w:right="1335" w:bottom="1036" w:left="1447" w:header="0" w:footer="787" w:gutter="0"/>
          <w:cols w:space="720" w:num="1"/>
        </w:sectPr>
      </w:pPr>
    </w:p>
    <w:p w14:paraId="00784D25">
      <w:pPr>
        <w:spacing w:line="289" w:lineRule="auto"/>
        <w:rPr>
          <w:rFonts w:ascii="Arial"/>
          <w:sz w:val="21"/>
        </w:rPr>
      </w:pPr>
    </w:p>
    <w:p w14:paraId="5938730A">
      <w:pPr>
        <w:spacing w:line="290" w:lineRule="auto"/>
        <w:rPr>
          <w:rFonts w:ascii="Arial"/>
          <w:sz w:val="21"/>
        </w:rPr>
      </w:pPr>
    </w:p>
    <w:p w14:paraId="1EE63ECA">
      <w:pPr>
        <w:spacing w:line="290" w:lineRule="auto"/>
        <w:rPr>
          <w:rFonts w:ascii="Arial"/>
          <w:sz w:val="21"/>
        </w:rPr>
      </w:pPr>
    </w:p>
    <w:p w14:paraId="53A0D9F7">
      <w:pPr>
        <w:spacing w:line="290" w:lineRule="auto"/>
        <w:rPr>
          <w:rFonts w:ascii="Arial"/>
          <w:sz w:val="21"/>
        </w:rPr>
      </w:pPr>
    </w:p>
    <w:p w14:paraId="1BB2C17B">
      <w:pPr>
        <w:pStyle w:val="2"/>
        <w:spacing w:before="78" w:line="222" w:lineRule="auto"/>
        <w:ind w:left="135"/>
        <w:rPr>
          <w:sz w:val="24"/>
          <w:szCs w:val="24"/>
        </w:rPr>
      </w:pPr>
      <w:r>
        <w:rPr>
          <w:spacing w:val="-4"/>
          <w:sz w:val="24"/>
          <w:szCs w:val="24"/>
        </w:rPr>
        <w:t>附表</w:t>
      </w:r>
      <w:r>
        <w:rPr>
          <w:spacing w:val="-57"/>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13</w:t>
      </w:r>
      <w:r>
        <w:rPr>
          <w:spacing w:val="-4"/>
          <w:sz w:val="24"/>
          <w:szCs w:val="24"/>
        </w:rPr>
        <w:t>：评标结果汇总表</w:t>
      </w:r>
    </w:p>
    <w:p w14:paraId="09A7DD72">
      <w:pPr>
        <w:pStyle w:val="2"/>
        <w:spacing w:before="50" w:line="376" w:lineRule="auto"/>
        <w:ind w:left="124" w:right="5627" w:firstLine="5517"/>
        <w:rPr>
          <w:rFonts w:ascii="宋体" w:hAnsi="宋体" w:eastAsia="宋体" w:cs="宋体"/>
          <w:sz w:val="20"/>
          <w:szCs w:val="20"/>
        </w:rPr>
      </w:pPr>
      <w:bookmarkStart w:id="194" w:name="bookmark175"/>
      <w:bookmarkEnd w:id="194"/>
      <w:r>
        <w:rPr>
          <w:spacing w:val="8"/>
          <w:sz w:val="35"/>
          <w:szCs w:val="35"/>
        </w:rPr>
        <w:t>评标结果汇总表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5BE09038">
      <w:pPr>
        <w:spacing w:line="46"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70"/>
        <w:gridCol w:w="1656"/>
        <w:gridCol w:w="1656"/>
        <w:gridCol w:w="1657"/>
        <w:gridCol w:w="1656"/>
        <w:gridCol w:w="1658"/>
        <w:gridCol w:w="1656"/>
        <w:gridCol w:w="1662"/>
      </w:tblGrid>
      <w:tr w14:paraId="46328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2170" w:type="dxa"/>
            <w:vMerge w:val="restart"/>
            <w:tcBorders>
              <w:bottom w:val="nil"/>
            </w:tcBorders>
            <w:vAlign w:val="top"/>
          </w:tcPr>
          <w:p w14:paraId="7DBB0A62">
            <w:pPr>
              <w:spacing w:line="290" w:lineRule="auto"/>
              <w:rPr>
                <w:rFonts w:ascii="Arial"/>
                <w:sz w:val="21"/>
              </w:rPr>
            </w:pPr>
          </w:p>
          <w:p w14:paraId="2B2CF1C1">
            <w:pPr>
              <w:pStyle w:val="6"/>
              <w:spacing w:before="65" w:line="228" w:lineRule="auto"/>
              <w:ind w:left="355"/>
            </w:pPr>
            <w:r>
              <w:rPr>
                <w:spacing w:val="8"/>
              </w:rPr>
              <w:t>评委序号和姓名</w:t>
            </w:r>
          </w:p>
        </w:tc>
        <w:tc>
          <w:tcPr>
            <w:tcW w:w="11601" w:type="dxa"/>
            <w:gridSpan w:val="7"/>
            <w:vAlign w:val="top"/>
          </w:tcPr>
          <w:p w14:paraId="6C2C0860">
            <w:pPr>
              <w:pStyle w:val="6"/>
              <w:spacing w:before="126" w:line="228" w:lineRule="auto"/>
              <w:ind w:left="4335"/>
            </w:pPr>
            <w:r>
              <w:rPr>
                <w:spacing w:val="9"/>
              </w:rPr>
              <w:t>投标人名称（或代码）及其得分</w:t>
            </w:r>
          </w:p>
        </w:tc>
      </w:tr>
      <w:tr w14:paraId="18B76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Merge w:val="continue"/>
            <w:tcBorders>
              <w:top w:val="nil"/>
            </w:tcBorders>
            <w:vAlign w:val="top"/>
          </w:tcPr>
          <w:p w14:paraId="396B0F79">
            <w:pPr>
              <w:rPr>
                <w:rFonts w:ascii="Arial"/>
                <w:sz w:val="21"/>
              </w:rPr>
            </w:pPr>
          </w:p>
        </w:tc>
        <w:tc>
          <w:tcPr>
            <w:tcW w:w="1656" w:type="dxa"/>
            <w:vAlign w:val="top"/>
          </w:tcPr>
          <w:p w14:paraId="1C5D4BC1">
            <w:pPr>
              <w:rPr>
                <w:rFonts w:ascii="Arial"/>
                <w:sz w:val="21"/>
              </w:rPr>
            </w:pPr>
          </w:p>
        </w:tc>
        <w:tc>
          <w:tcPr>
            <w:tcW w:w="1656" w:type="dxa"/>
            <w:vAlign w:val="top"/>
          </w:tcPr>
          <w:p w14:paraId="6E7D6443">
            <w:pPr>
              <w:rPr>
                <w:rFonts w:ascii="Arial"/>
                <w:sz w:val="21"/>
              </w:rPr>
            </w:pPr>
          </w:p>
        </w:tc>
        <w:tc>
          <w:tcPr>
            <w:tcW w:w="1657" w:type="dxa"/>
            <w:vAlign w:val="top"/>
          </w:tcPr>
          <w:p w14:paraId="5D642147">
            <w:pPr>
              <w:rPr>
                <w:rFonts w:ascii="Arial"/>
                <w:sz w:val="21"/>
              </w:rPr>
            </w:pPr>
          </w:p>
        </w:tc>
        <w:tc>
          <w:tcPr>
            <w:tcW w:w="1656" w:type="dxa"/>
            <w:vAlign w:val="top"/>
          </w:tcPr>
          <w:p w14:paraId="4DE4DC32">
            <w:pPr>
              <w:rPr>
                <w:rFonts w:ascii="Arial"/>
                <w:sz w:val="21"/>
              </w:rPr>
            </w:pPr>
          </w:p>
        </w:tc>
        <w:tc>
          <w:tcPr>
            <w:tcW w:w="1658" w:type="dxa"/>
            <w:vAlign w:val="top"/>
          </w:tcPr>
          <w:p w14:paraId="6C41B240">
            <w:pPr>
              <w:rPr>
                <w:rFonts w:ascii="Arial"/>
                <w:sz w:val="21"/>
              </w:rPr>
            </w:pPr>
          </w:p>
        </w:tc>
        <w:tc>
          <w:tcPr>
            <w:tcW w:w="1656" w:type="dxa"/>
            <w:vAlign w:val="top"/>
          </w:tcPr>
          <w:p w14:paraId="3FABB0F9">
            <w:pPr>
              <w:rPr>
                <w:rFonts w:ascii="Arial"/>
                <w:sz w:val="21"/>
              </w:rPr>
            </w:pPr>
          </w:p>
        </w:tc>
        <w:tc>
          <w:tcPr>
            <w:tcW w:w="1662" w:type="dxa"/>
            <w:vAlign w:val="top"/>
          </w:tcPr>
          <w:p w14:paraId="45C00C65">
            <w:pPr>
              <w:rPr>
                <w:rFonts w:ascii="Arial"/>
                <w:sz w:val="21"/>
              </w:rPr>
            </w:pPr>
          </w:p>
        </w:tc>
      </w:tr>
      <w:tr w14:paraId="0F65C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170" w:type="dxa"/>
            <w:vAlign w:val="top"/>
          </w:tcPr>
          <w:p w14:paraId="1CF6D63E">
            <w:pPr>
              <w:spacing w:before="159" w:line="195" w:lineRule="auto"/>
              <w:ind w:left="13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w:t>
            </w:r>
          </w:p>
        </w:tc>
        <w:tc>
          <w:tcPr>
            <w:tcW w:w="1656" w:type="dxa"/>
            <w:vAlign w:val="top"/>
          </w:tcPr>
          <w:p w14:paraId="55E59EC3">
            <w:pPr>
              <w:rPr>
                <w:rFonts w:ascii="Arial"/>
                <w:sz w:val="21"/>
              </w:rPr>
            </w:pPr>
          </w:p>
        </w:tc>
        <w:tc>
          <w:tcPr>
            <w:tcW w:w="1656" w:type="dxa"/>
            <w:vAlign w:val="top"/>
          </w:tcPr>
          <w:p w14:paraId="7F557E4F">
            <w:pPr>
              <w:rPr>
                <w:rFonts w:ascii="Arial"/>
                <w:sz w:val="21"/>
              </w:rPr>
            </w:pPr>
          </w:p>
        </w:tc>
        <w:tc>
          <w:tcPr>
            <w:tcW w:w="1657" w:type="dxa"/>
            <w:vAlign w:val="top"/>
          </w:tcPr>
          <w:p w14:paraId="6A0DCDC3">
            <w:pPr>
              <w:rPr>
                <w:rFonts w:ascii="Arial"/>
                <w:sz w:val="21"/>
              </w:rPr>
            </w:pPr>
          </w:p>
        </w:tc>
        <w:tc>
          <w:tcPr>
            <w:tcW w:w="1656" w:type="dxa"/>
            <w:vAlign w:val="top"/>
          </w:tcPr>
          <w:p w14:paraId="49124E5A">
            <w:pPr>
              <w:rPr>
                <w:rFonts w:ascii="Arial"/>
                <w:sz w:val="21"/>
              </w:rPr>
            </w:pPr>
          </w:p>
        </w:tc>
        <w:tc>
          <w:tcPr>
            <w:tcW w:w="1658" w:type="dxa"/>
            <w:vAlign w:val="top"/>
          </w:tcPr>
          <w:p w14:paraId="636CD66A">
            <w:pPr>
              <w:rPr>
                <w:rFonts w:ascii="Arial"/>
                <w:sz w:val="21"/>
              </w:rPr>
            </w:pPr>
          </w:p>
        </w:tc>
        <w:tc>
          <w:tcPr>
            <w:tcW w:w="1656" w:type="dxa"/>
            <w:vAlign w:val="top"/>
          </w:tcPr>
          <w:p w14:paraId="2A62CC7F">
            <w:pPr>
              <w:rPr>
                <w:rFonts w:ascii="Arial"/>
                <w:sz w:val="21"/>
              </w:rPr>
            </w:pPr>
          </w:p>
        </w:tc>
        <w:tc>
          <w:tcPr>
            <w:tcW w:w="1662" w:type="dxa"/>
            <w:vAlign w:val="top"/>
          </w:tcPr>
          <w:p w14:paraId="38BFA343">
            <w:pPr>
              <w:rPr>
                <w:rFonts w:ascii="Arial"/>
                <w:sz w:val="21"/>
              </w:rPr>
            </w:pPr>
          </w:p>
        </w:tc>
      </w:tr>
      <w:tr w14:paraId="5D928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170" w:type="dxa"/>
            <w:vAlign w:val="top"/>
          </w:tcPr>
          <w:p w14:paraId="2210342A">
            <w:pPr>
              <w:spacing w:before="160" w:line="195" w:lineRule="auto"/>
              <w:ind w:left="11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w:t>
            </w:r>
          </w:p>
        </w:tc>
        <w:tc>
          <w:tcPr>
            <w:tcW w:w="1656" w:type="dxa"/>
            <w:vAlign w:val="top"/>
          </w:tcPr>
          <w:p w14:paraId="350AFCAA">
            <w:pPr>
              <w:rPr>
                <w:rFonts w:ascii="Arial"/>
                <w:sz w:val="21"/>
              </w:rPr>
            </w:pPr>
          </w:p>
        </w:tc>
        <w:tc>
          <w:tcPr>
            <w:tcW w:w="1656" w:type="dxa"/>
            <w:vAlign w:val="top"/>
          </w:tcPr>
          <w:p w14:paraId="2A868557">
            <w:pPr>
              <w:rPr>
                <w:rFonts w:ascii="Arial"/>
                <w:sz w:val="21"/>
              </w:rPr>
            </w:pPr>
          </w:p>
        </w:tc>
        <w:tc>
          <w:tcPr>
            <w:tcW w:w="1657" w:type="dxa"/>
            <w:vAlign w:val="top"/>
          </w:tcPr>
          <w:p w14:paraId="7B020532">
            <w:pPr>
              <w:rPr>
                <w:rFonts w:ascii="Arial"/>
                <w:sz w:val="21"/>
              </w:rPr>
            </w:pPr>
          </w:p>
        </w:tc>
        <w:tc>
          <w:tcPr>
            <w:tcW w:w="1656" w:type="dxa"/>
            <w:vAlign w:val="top"/>
          </w:tcPr>
          <w:p w14:paraId="672EBC5A">
            <w:pPr>
              <w:rPr>
                <w:rFonts w:ascii="Arial"/>
                <w:sz w:val="21"/>
              </w:rPr>
            </w:pPr>
          </w:p>
        </w:tc>
        <w:tc>
          <w:tcPr>
            <w:tcW w:w="1658" w:type="dxa"/>
            <w:vAlign w:val="top"/>
          </w:tcPr>
          <w:p w14:paraId="7B79A4D6">
            <w:pPr>
              <w:rPr>
                <w:rFonts w:ascii="Arial"/>
                <w:sz w:val="21"/>
              </w:rPr>
            </w:pPr>
          </w:p>
        </w:tc>
        <w:tc>
          <w:tcPr>
            <w:tcW w:w="1656" w:type="dxa"/>
            <w:vAlign w:val="top"/>
          </w:tcPr>
          <w:p w14:paraId="31343C16">
            <w:pPr>
              <w:rPr>
                <w:rFonts w:ascii="Arial"/>
                <w:sz w:val="21"/>
              </w:rPr>
            </w:pPr>
          </w:p>
        </w:tc>
        <w:tc>
          <w:tcPr>
            <w:tcW w:w="1662" w:type="dxa"/>
            <w:vAlign w:val="top"/>
          </w:tcPr>
          <w:p w14:paraId="48CA6CB4">
            <w:pPr>
              <w:rPr>
                <w:rFonts w:ascii="Arial"/>
                <w:sz w:val="21"/>
              </w:rPr>
            </w:pPr>
          </w:p>
        </w:tc>
      </w:tr>
      <w:tr w14:paraId="15BC6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Align w:val="top"/>
          </w:tcPr>
          <w:p w14:paraId="33CC6C64">
            <w:pPr>
              <w:spacing w:before="160" w:line="195" w:lineRule="auto"/>
              <w:ind w:left="11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p>
        </w:tc>
        <w:tc>
          <w:tcPr>
            <w:tcW w:w="1656" w:type="dxa"/>
            <w:vAlign w:val="top"/>
          </w:tcPr>
          <w:p w14:paraId="400A6AC4">
            <w:pPr>
              <w:rPr>
                <w:rFonts w:ascii="Arial"/>
                <w:sz w:val="21"/>
              </w:rPr>
            </w:pPr>
          </w:p>
        </w:tc>
        <w:tc>
          <w:tcPr>
            <w:tcW w:w="1656" w:type="dxa"/>
            <w:vAlign w:val="top"/>
          </w:tcPr>
          <w:p w14:paraId="5C211DE6">
            <w:pPr>
              <w:rPr>
                <w:rFonts w:ascii="Arial"/>
                <w:sz w:val="21"/>
              </w:rPr>
            </w:pPr>
          </w:p>
        </w:tc>
        <w:tc>
          <w:tcPr>
            <w:tcW w:w="1657" w:type="dxa"/>
            <w:vAlign w:val="top"/>
          </w:tcPr>
          <w:p w14:paraId="3EEBF871">
            <w:pPr>
              <w:rPr>
                <w:rFonts w:ascii="Arial"/>
                <w:sz w:val="21"/>
              </w:rPr>
            </w:pPr>
          </w:p>
        </w:tc>
        <w:tc>
          <w:tcPr>
            <w:tcW w:w="1656" w:type="dxa"/>
            <w:vAlign w:val="top"/>
          </w:tcPr>
          <w:p w14:paraId="4BD6ACDE">
            <w:pPr>
              <w:rPr>
                <w:rFonts w:ascii="Arial"/>
                <w:sz w:val="21"/>
              </w:rPr>
            </w:pPr>
          </w:p>
        </w:tc>
        <w:tc>
          <w:tcPr>
            <w:tcW w:w="1658" w:type="dxa"/>
            <w:vAlign w:val="top"/>
          </w:tcPr>
          <w:p w14:paraId="2898BCD7">
            <w:pPr>
              <w:rPr>
                <w:rFonts w:ascii="Arial"/>
                <w:sz w:val="21"/>
              </w:rPr>
            </w:pPr>
          </w:p>
        </w:tc>
        <w:tc>
          <w:tcPr>
            <w:tcW w:w="1656" w:type="dxa"/>
            <w:vAlign w:val="top"/>
          </w:tcPr>
          <w:p w14:paraId="59F5F83E">
            <w:pPr>
              <w:rPr>
                <w:rFonts w:ascii="Arial"/>
                <w:sz w:val="21"/>
              </w:rPr>
            </w:pPr>
          </w:p>
        </w:tc>
        <w:tc>
          <w:tcPr>
            <w:tcW w:w="1662" w:type="dxa"/>
            <w:vAlign w:val="top"/>
          </w:tcPr>
          <w:p w14:paraId="2FBBCA84">
            <w:pPr>
              <w:rPr>
                <w:rFonts w:ascii="Arial"/>
                <w:sz w:val="21"/>
              </w:rPr>
            </w:pPr>
          </w:p>
        </w:tc>
      </w:tr>
      <w:tr w14:paraId="1DCA74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170" w:type="dxa"/>
            <w:vAlign w:val="top"/>
          </w:tcPr>
          <w:p w14:paraId="0B7AC8A8">
            <w:pPr>
              <w:spacing w:before="161" w:line="195" w:lineRule="auto"/>
              <w:ind w:left="11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4:</w:t>
            </w:r>
          </w:p>
        </w:tc>
        <w:tc>
          <w:tcPr>
            <w:tcW w:w="1656" w:type="dxa"/>
            <w:vAlign w:val="top"/>
          </w:tcPr>
          <w:p w14:paraId="6D3239E8">
            <w:pPr>
              <w:rPr>
                <w:rFonts w:ascii="Arial"/>
                <w:sz w:val="21"/>
              </w:rPr>
            </w:pPr>
          </w:p>
        </w:tc>
        <w:tc>
          <w:tcPr>
            <w:tcW w:w="1656" w:type="dxa"/>
            <w:vAlign w:val="top"/>
          </w:tcPr>
          <w:p w14:paraId="2B24D32F">
            <w:pPr>
              <w:rPr>
                <w:rFonts w:ascii="Arial"/>
                <w:sz w:val="21"/>
              </w:rPr>
            </w:pPr>
          </w:p>
        </w:tc>
        <w:tc>
          <w:tcPr>
            <w:tcW w:w="1657" w:type="dxa"/>
            <w:vAlign w:val="top"/>
          </w:tcPr>
          <w:p w14:paraId="2B77658C">
            <w:pPr>
              <w:rPr>
                <w:rFonts w:ascii="Arial"/>
                <w:sz w:val="21"/>
              </w:rPr>
            </w:pPr>
          </w:p>
        </w:tc>
        <w:tc>
          <w:tcPr>
            <w:tcW w:w="1656" w:type="dxa"/>
            <w:vAlign w:val="top"/>
          </w:tcPr>
          <w:p w14:paraId="631CB418">
            <w:pPr>
              <w:rPr>
                <w:rFonts w:ascii="Arial"/>
                <w:sz w:val="21"/>
              </w:rPr>
            </w:pPr>
          </w:p>
        </w:tc>
        <w:tc>
          <w:tcPr>
            <w:tcW w:w="1658" w:type="dxa"/>
            <w:vAlign w:val="top"/>
          </w:tcPr>
          <w:p w14:paraId="1FF1754B">
            <w:pPr>
              <w:rPr>
                <w:rFonts w:ascii="Arial"/>
                <w:sz w:val="21"/>
              </w:rPr>
            </w:pPr>
          </w:p>
        </w:tc>
        <w:tc>
          <w:tcPr>
            <w:tcW w:w="1656" w:type="dxa"/>
            <w:vAlign w:val="top"/>
          </w:tcPr>
          <w:p w14:paraId="0FF27E6D">
            <w:pPr>
              <w:rPr>
                <w:rFonts w:ascii="Arial"/>
                <w:sz w:val="21"/>
              </w:rPr>
            </w:pPr>
          </w:p>
        </w:tc>
        <w:tc>
          <w:tcPr>
            <w:tcW w:w="1662" w:type="dxa"/>
            <w:vAlign w:val="top"/>
          </w:tcPr>
          <w:p w14:paraId="0CD03CA4">
            <w:pPr>
              <w:rPr>
                <w:rFonts w:ascii="Arial"/>
                <w:sz w:val="21"/>
              </w:rPr>
            </w:pPr>
          </w:p>
        </w:tc>
      </w:tr>
      <w:tr w14:paraId="56679C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Align w:val="top"/>
          </w:tcPr>
          <w:p w14:paraId="152E23BC">
            <w:pPr>
              <w:spacing w:before="165" w:line="192" w:lineRule="auto"/>
              <w:ind w:left="11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w:t>
            </w:r>
          </w:p>
        </w:tc>
        <w:tc>
          <w:tcPr>
            <w:tcW w:w="1656" w:type="dxa"/>
            <w:vAlign w:val="top"/>
          </w:tcPr>
          <w:p w14:paraId="7B6824F5">
            <w:pPr>
              <w:rPr>
                <w:rFonts w:ascii="Arial"/>
                <w:sz w:val="21"/>
              </w:rPr>
            </w:pPr>
          </w:p>
        </w:tc>
        <w:tc>
          <w:tcPr>
            <w:tcW w:w="1656" w:type="dxa"/>
            <w:vAlign w:val="top"/>
          </w:tcPr>
          <w:p w14:paraId="451ECEE3">
            <w:pPr>
              <w:rPr>
                <w:rFonts w:ascii="Arial"/>
                <w:sz w:val="21"/>
              </w:rPr>
            </w:pPr>
          </w:p>
        </w:tc>
        <w:tc>
          <w:tcPr>
            <w:tcW w:w="1657" w:type="dxa"/>
            <w:vAlign w:val="top"/>
          </w:tcPr>
          <w:p w14:paraId="7D7FED84">
            <w:pPr>
              <w:rPr>
                <w:rFonts w:ascii="Arial"/>
                <w:sz w:val="21"/>
              </w:rPr>
            </w:pPr>
          </w:p>
        </w:tc>
        <w:tc>
          <w:tcPr>
            <w:tcW w:w="1656" w:type="dxa"/>
            <w:vAlign w:val="top"/>
          </w:tcPr>
          <w:p w14:paraId="16F199AB">
            <w:pPr>
              <w:rPr>
                <w:rFonts w:ascii="Arial"/>
                <w:sz w:val="21"/>
              </w:rPr>
            </w:pPr>
          </w:p>
        </w:tc>
        <w:tc>
          <w:tcPr>
            <w:tcW w:w="1658" w:type="dxa"/>
            <w:vAlign w:val="top"/>
          </w:tcPr>
          <w:p w14:paraId="234BC9DF">
            <w:pPr>
              <w:rPr>
                <w:rFonts w:ascii="Arial"/>
                <w:sz w:val="21"/>
              </w:rPr>
            </w:pPr>
          </w:p>
        </w:tc>
        <w:tc>
          <w:tcPr>
            <w:tcW w:w="1656" w:type="dxa"/>
            <w:vAlign w:val="top"/>
          </w:tcPr>
          <w:p w14:paraId="6DD63F7C">
            <w:pPr>
              <w:rPr>
                <w:rFonts w:ascii="Arial"/>
                <w:sz w:val="21"/>
              </w:rPr>
            </w:pPr>
          </w:p>
        </w:tc>
        <w:tc>
          <w:tcPr>
            <w:tcW w:w="1662" w:type="dxa"/>
            <w:vAlign w:val="top"/>
          </w:tcPr>
          <w:p w14:paraId="4E3D07DD">
            <w:pPr>
              <w:rPr>
                <w:rFonts w:ascii="Arial"/>
                <w:sz w:val="21"/>
              </w:rPr>
            </w:pPr>
          </w:p>
        </w:tc>
      </w:tr>
      <w:tr w14:paraId="08327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170" w:type="dxa"/>
            <w:vAlign w:val="top"/>
          </w:tcPr>
          <w:p w14:paraId="1D73C8BF">
            <w:pPr>
              <w:spacing w:before="161" w:line="195" w:lineRule="auto"/>
              <w:ind w:left="11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p>
        </w:tc>
        <w:tc>
          <w:tcPr>
            <w:tcW w:w="1656" w:type="dxa"/>
            <w:vAlign w:val="top"/>
          </w:tcPr>
          <w:p w14:paraId="214FF9CA">
            <w:pPr>
              <w:rPr>
                <w:rFonts w:ascii="Arial"/>
                <w:sz w:val="21"/>
              </w:rPr>
            </w:pPr>
          </w:p>
        </w:tc>
        <w:tc>
          <w:tcPr>
            <w:tcW w:w="1656" w:type="dxa"/>
            <w:vAlign w:val="top"/>
          </w:tcPr>
          <w:p w14:paraId="29EB96E2">
            <w:pPr>
              <w:rPr>
                <w:rFonts w:ascii="Arial"/>
                <w:sz w:val="21"/>
              </w:rPr>
            </w:pPr>
          </w:p>
        </w:tc>
        <w:tc>
          <w:tcPr>
            <w:tcW w:w="1657" w:type="dxa"/>
            <w:vAlign w:val="top"/>
          </w:tcPr>
          <w:p w14:paraId="0F6AB985">
            <w:pPr>
              <w:rPr>
                <w:rFonts w:ascii="Arial"/>
                <w:sz w:val="21"/>
              </w:rPr>
            </w:pPr>
          </w:p>
        </w:tc>
        <w:tc>
          <w:tcPr>
            <w:tcW w:w="1656" w:type="dxa"/>
            <w:vAlign w:val="top"/>
          </w:tcPr>
          <w:p w14:paraId="75F0B34C">
            <w:pPr>
              <w:rPr>
                <w:rFonts w:ascii="Arial"/>
                <w:sz w:val="21"/>
              </w:rPr>
            </w:pPr>
          </w:p>
        </w:tc>
        <w:tc>
          <w:tcPr>
            <w:tcW w:w="1658" w:type="dxa"/>
            <w:vAlign w:val="top"/>
          </w:tcPr>
          <w:p w14:paraId="3EAD18A4">
            <w:pPr>
              <w:rPr>
                <w:rFonts w:ascii="Arial"/>
                <w:sz w:val="21"/>
              </w:rPr>
            </w:pPr>
          </w:p>
        </w:tc>
        <w:tc>
          <w:tcPr>
            <w:tcW w:w="1656" w:type="dxa"/>
            <w:vAlign w:val="top"/>
          </w:tcPr>
          <w:p w14:paraId="54BD611A">
            <w:pPr>
              <w:rPr>
                <w:rFonts w:ascii="Arial"/>
                <w:sz w:val="21"/>
              </w:rPr>
            </w:pPr>
          </w:p>
        </w:tc>
        <w:tc>
          <w:tcPr>
            <w:tcW w:w="1662" w:type="dxa"/>
            <w:vAlign w:val="top"/>
          </w:tcPr>
          <w:p w14:paraId="2DF089FC">
            <w:pPr>
              <w:rPr>
                <w:rFonts w:ascii="Arial"/>
                <w:sz w:val="21"/>
              </w:rPr>
            </w:pPr>
          </w:p>
        </w:tc>
      </w:tr>
      <w:tr w14:paraId="1DDE44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Align w:val="top"/>
          </w:tcPr>
          <w:p w14:paraId="4F24171F">
            <w:pPr>
              <w:spacing w:before="166" w:line="192" w:lineRule="auto"/>
              <w:ind w:left="116"/>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656" w:type="dxa"/>
            <w:vAlign w:val="top"/>
          </w:tcPr>
          <w:p w14:paraId="3E7CE0D7">
            <w:pPr>
              <w:rPr>
                <w:rFonts w:ascii="Arial"/>
                <w:sz w:val="21"/>
              </w:rPr>
            </w:pPr>
          </w:p>
        </w:tc>
        <w:tc>
          <w:tcPr>
            <w:tcW w:w="1656" w:type="dxa"/>
            <w:vAlign w:val="top"/>
          </w:tcPr>
          <w:p w14:paraId="3C935B75">
            <w:pPr>
              <w:rPr>
                <w:rFonts w:ascii="Arial"/>
                <w:sz w:val="21"/>
              </w:rPr>
            </w:pPr>
          </w:p>
        </w:tc>
        <w:tc>
          <w:tcPr>
            <w:tcW w:w="1657" w:type="dxa"/>
            <w:vAlign w:val="top"/>
          </w:tcPr>
          <w:p w14:paraId="28C18B26">
            <w:pPr>
              <w:rPr>
                <w:rFonts w:ascii="Arial"/>
                <w:sz w:val="21"/>
              </w:rPr>
            </w:pPr>
          </w:p>
        </w:tc>
        <w:tc>
          <w:tcPr>
            <w:tcW w:w="1656" w:type="dxa"/>
            <w:vAlign w:val="top"/>
          </w:tcPr>
          <w:p w14:paraId="135B0E01">
            <w:pPr>
              <w:rPr>
                <w:rFonts w:ascii="Arial"/>
                <w:sz w:val="21"/>
              </w:rPr>
            </w:pPr>
          </w:p>
        </w:tc>
        <w:tc>
          <w:tcPr>
            <w:tcW w:w="1658" w:type="dxa"/>
            <w:vAlign w:val="top"/>
          </w:tcPr>
          <w:p w14:paraId="70ACD657">
            <w:pPr>
              <w:rPr>
                <w:rFonts w:ascii="Arial"/>
                <w:sz w:val="21"/>
              </w:rPr>
            </w:pPr>
          </w:p>
        </w:tc>
        <w:tc>
          <w:tcPr>
            <w:tcW w:w="1656" w:type="dxa"/>
            <w:vAlign w:val="top"/>
          </w:tcPr>
          <w:p w14:paraId="1B5CA872">
            <w:pPr>
              <w:rPr>
                <w:rFonts w:ascii="Arial"/>
                <w:sz w:val="21"/>
              </w:rPr>
            </w:pPr>
          </w:p>
        </w:tc>
        <w:tc>
          <w:tcPr>
            <w:tcW w:w="1662" w:type="dxa"/>
            <w:vAlign w:val="top"/>
          </w:tcPr>
          <w:p w14:paraId="7114A082">
            <w:pPr>
              <w:rPr>
                <w:rFonts w:ascii="Arial"/>
                <w:sz w:val="21"/>
              </w:rPr>
            </w:pPr>
          </w:p>
        </w:tc>
      </w:tr>
      <w:tr w14:paraId="133689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Align w:val="top"/>
          </w:tcPr>
          <w:p w14:paraId="3535E583">
            <w:pPr>
              <w:pStyle w:val="6"/>
              <w:spacing w:before="127" w:line="228" w:lineRule="auto"/>
              <w:ind w:left="359"/>
            </w:pPr>
            <w:r>
              <w:rPr>
                <w:spacing w:val="8"/>
              </w:rPr>
              <w:t>各评委评分合计</w:t>
            </w:r>
          </w:p>
        </w:tc>
        <w:tc>
          <w:tcPr>
            <w:tcW w:w="1656" w:type="dxa"/>
            <w:vAlign w:val="top"/>
          </w:tcPr>
          <w:p w14:paraId="23FBD29E">
            <w:pPr>
              <w:rPr>
                <w:rFonts w:ascii="Arial"/>
                <w:sz w:val="21"/>
              </w:rPr>
            </w:pPr>
          </w:p>
        </w:tc>
        <w:tc>
          <w:tcPr>
            <w:tcW w:w="1656" w:type="dxa"/>
            <w:vAlign w:val="top"/>
          </w:tcPr>
          <w:p w14:paraId="405DEA66">
            <w:pPr>
              <w:rPr>
                <w:rFonts w:ascii="Arial"/>
                <w:sz w:val="21"/>
              </w:rPr>
            </w:pPr>
          </w:p>
        </w:tc>
        <w:tc>
          <w:tcPr>
            <w:tcW w:w="1657" w:type="dxa"/>
            <w:vAlign w:val="top"/>
          </w:tcPr>
          <w:p w14:paraId="1E197647">
            <w:pPr>
              <w:rPr>
                <w:rFonts w:ascii="Arial"/>
                <w:sz w:val="21"/>
              </w:rPr>
            </w:pPr>
          </w:p>
        </w:tc>
        <w:tc>
          <w:tcPr>
            <w:tcW w:w="1656" w:type="dxa"/>
            <w:vAlign w:val="top"/>
          </w:tcPr>
          <w:p w14:paraId="396422E4">
            <w:pPr>
              <w:rPr>
                <w:rFonts w:ascii="Arial"/>
                <w:sz w:val="21"/>
              </w:rPr>
            </w:pPr>
          </w:p>
        </w:tc>
        <w:tc>
          <w:tcPr>
            <w:tcW w:w="1658" w:type="dxa"/>
            <w:vAlign w:val="top"/>
          </w:tcPr>
          <w:p w14:paraId="590F88DA">
            <w:pPr>
              <w:rPr>
                <w:rFonts w:ascii="Arial"/>
                <w:sz w:val="21"/>
              </w:rPr>
            </w:pPr>
          </w:p>
        </w:tc>
        <w:tc>
          <w:tcPr>
            <w:tcW w:w="1656" w:type="dxa"/>
            <w:vAlign w:val="top"/>
          </w:tcPr>
          <w:p w14:paraId="5303AFCC">
            <w:pPr>
              <w:rPr>
                <w:rFonts w:ascii="Arial"/>
                <w:sz w:val="21"/>
              </w:rPr>
            </w:pPr>
          </w:p>
        </w:tc>
        <w:tc>
          <w:tcPr>
            <w:tcW w:w="1662" w:type="dxa"/>
            <w:vAlign w:val="top"/>
          </w:tcPr>
          <w:p w14:paraId="62678713">
            <w:pPr>
              <w:rPr>
                <w:rFonts w:ascii="Arial"/>
                <w:sz w:val="21"/>
              </w:rPr>
            </w:pPr>
          </w:p>
        </w:tc>
      </w:tr>
      <w:tr w14:paraId="47E2B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Align w:val="top"/>
          </w:tcPr>
          <w:p w14:paraId="3A243A13">
            <w:pPr>
              <w:pStyle w:val="6"/>
              <w:spacing w:before="126" w:line="228" w:lineRule="auto"/>
              <w:ind w:left="253"/>
            </w:pPr>
            <w:r>
              <w:rPr>
                <w:spacing w:val="8"/>
              </w:rPr>
              <w:t>各评委评分平均值</w:t>
            </w:r>
          </w:p>
        </w:tc>
        <w:tc>
          <w:tcPr>
            <w:tcW w:w="1656" w:type="dxa"/>
            <w:vAlign w:val="top"/>
          </w:tcPr>
          <w:p w14:paraId="20A35996">
            <w:pPr>
              <w:rPr>
                <w:rFonts w:ascii="Arial"/>
                <w:sz w:val="21"/>
              </w:rPr>
            </w:pPr>
          </w:p>
        </w:tc>
        <w:tc>
          <w:tcPr>
            <w:tcW w:w="1656" w:type="dxa"/>
            <w:vAlign w:val="top"/>
          </w:tcPr>
          <w:p w14:paraId="79CEF0CA">
            <w:pPr>
              <w:rPr>
                <w:rFonts w:ascii="Arial"/>
                <w:sz w:val="21"/>
              </w:rPr>
            </w:pPr>
          </w:p>
        </w:tc>
        <w:tc>
          <w:tcPr>
            <w:tcW w:w="1657" w:type="dxa"/>
            <w:vAlign w:val="top"/>
          </w:tcPr>
          <w:p w14:paraId="60E9401E">
            <w:pPr>
              <w:rPr>
                <w:rFonts w:ascii="Arial"/>
                <w:sz w:val="21"/>
              </w:rPr>
            </w:pPr>
          </w:p>
        </w:tc>
        <w:tc>
          <w:tcPr>
            <w:tcW w:w="1656" w:type="dxa"/>
            <w:vAlign w:val="top"/>
          </w:tcPr>
          <w:p w14:paraId="089A17B7">
            <w:pPr>
              <w:rPr>
                <w:rFonts w:ascii="Arial"/>
                <w:sz w:val="21"/>
              </w:rPr>
            </w:pPr>
          </w:p>
        </w:tc>
        <w:tc>
          <w:tcPr>
            <w:tcW w:w="1658" w:type="dxa"/>
            <w:vAlign w:val="top"/>
          </w:tcPr>
          <w:p w14:paraId="54C5C2DA">
            <w:pPr>
              <w:rPr>
                <w:rFonts w:ascii="Arial"/>
                <w:sz w:val="21"/>
              </w:rPr>
            </w:pPr>
          </w:p>
        </w:tc>
        <w:tc>
          <w:tcPr>
            <w:tcW w:w="1656" w:type="dxa"/>
            <w:vAlign w:val="top"/>
          </w:tcPr>
          <w:p w14:paraId="41AE55FD">
            <w:pPr>
              <w:rPr>
                <w:rFonts w:ascii="Arial"/>
                <w:sz w:val="21"/>
              </w:rPr>
            </w:pPr>
          </w:p>
        </w:tc>
        <w:tc>
          <w:tcPr>
            <w:tcW w:w="1662" w:type="dxa"/>
            <w:vAlign w:val="top"/>
          </w:tcPr>
          <w:p w14:paraId="43910246">
            <w:pPr>
              <w:rPr>
                <w:rFonts w:ascii="Arial"/>
                <w:sz w:val="21"/>
              </w:rPr>
            </w:pPr>
          </w:p>
        </w:tc>
      </w:tr>
      <w:tr w14:paraId="75FE44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2170" w:type="dxa"/>
            <w:vAlign w:val="top"/>
          </w:tcPr>
          <w:p w14:paraId="073098CB">
            <w:pPr>
              <w:pStyle w:val="6"/>
              <w:spacing w:before="125" w:line="228" w:lineRule="auto"/>
              <w:ind w:left="147"/>
            </w:pPr>
            <w:r>
              <w:rPr>
                <w:spacing w:val="8"/>
              </w:rPr>
              <w:t>投标人最终排名次序</w:t>
            </w:r>
          </w:p>
        </w:tc>
        <w:tc>
          <w:tcPr>
            <w:tcW w:w="1656" w:type="dxa"/>
            <w:vAlign w:val="top"/>
          </w:tcPr>
          <w:p w14:paraId="16511CDB">
            <w:pPr>
              <w:rPr>
                <w:rFonts w:ascii="Arial"/>
                <w:sz w:val="21"/>
              </w:rPr>
            </w:pPr>
          </w:p>
        </w:tc>
        <w:tc>
          <w:tcPr>
            <w:tcW w:w="1656" w:type="dxa"/>
            <w:vAlign w:val="top"/>
          </w:tcPr>
          <w:p w14:paraId="454D5CB7">
            <w:pPr>
              <w:rPr>
                <w:rFonts w:ascii="Arial"/>
                <w:sz w:val="21"/>
              </w:rPr>
            </w:pPr>
          </w:p>
        </w:tc>
        <w:tc>
          <w:tcPr>
            <w:tcW w:w="1657" w:type="dxa"/>
            <w:vAlign w:val="top"/>
          </w:tcPr>
          <w:p w14:paraId="184A4481">
            <w:pPr>
              <w:rPr>
                <w:rFonts w:ascii="Arial"/>
                <w:sz w:val="21"/>
              </w:rPr>
            </w:pPr>
          </w:p>
        </w:tc>
        <w:tc>
          <w:tcPr>
            <w:tcW w:w="1656" w:type="dxa"/>
            <w:vAlign w:val="top"/>
          </w:tcPr>
          <w:p w14:paraId="6E497E6F">
            <w:pPr>
              <w:rPr>
                <w:rFonts w:ascii="Arial"/>
                <w:sz w:val="21"/>
              </w:rPr>
            </w:pPr>
          </w:p>
        </w:tc>
        <w:tc>
          <w:tcPr>
            <w:tcW w:w="1658" w:type="dxa"/>
            <w:vAlign w:val="top"/>
          </w:tcPr>
          <w:p w14:paraId="309D1D68">
            <w:pPr>
              <w:rPr>
                <w:rFonts w:ascii="Arial"/>
                <w:sz w:val="21"/>
              </w:rPr>
            </w:pPr>
          </w:p>
        </w:tc>
        <w:tc>
          <w:tcPr>
            <w:tcW w:w="1656" w:type="dxa"/>
            <w:vAlign w:val="top"/>
          </w:tcPr>
          <w:p w14:paraId="58648ED2">
            <w:pPr>
              <w:rPr>
                <w:rFonts w:ascii="Arial"/>
                <w:sz w:val="21"/>
              </w:rPr>
            </w:pPr>
          </w:p>
        </w:tc>
        <w:tc>
          <w:tcPr>
            <w:tcW w:w="1662" w:type="dxa"/>
            <w:vAlign w:val="top"/>
          </w:tcPr>
          <w:p w14:paraId="165308A2">
            <w:pPr>
              <w:rPr>
                <w:rFonts w:ascii="Arial"/>
                <w:sz w:val="21"/>
              </w:rPr>
            </w:pPr>
          </w:p>
        </w:tc>
      </w:tr>
    </w:tbl>
    <w:p w14:paraId="63201B94">
      <w:pPr>
        <w:spacing w:before="273" w:line="227" w:lineRule="auto"/>
        <w:ind w:left="120"/>
        <w:rPr>
          <w:rFonts w:ascii="宋体" w:hAnsi="宋体" w:eastAsia="宋体" w:cs="宋体"/>
          <w:sz w:val="20"/>
          <w:szCs w:val="20"/>
        </w:rPr>
      </w:pPr>
      <w:r>
        <w:rPr>
          <w:rFonts w:ascii="宋体" w:hAnsi="宋体" w:eastAsia="宋体" w:cs="宋体"/>
          <w:spacing w:val="5"/>
          <w:sz w:val="20"/>
          <w:szCs w:val="20"/>
        </w:rPr>
        <w:t>评标委员会全体成员签名：</w:t>
      </w:r>
      <w:r>
        <w:rPr>
          <w:rFonts w:ascii="宋体" w:hAnsi="宋体" w:eastAsia="宋体" w:cs="宋体"/>
          <w:spacing w:val="1"/>
          <w:sz w:val="20"/>
          <w:szCs w:val="20"/>
        </w:rPr>
        <w:t xml:space="preserve">                                                                    </w:t>
      </w:r>
      <w:r>
        <w:rPr>
          <w:rFonts w:ascii="宋体" w:hAnsi="宋体" w:eastAsia="宋体" w:cs="宋体"/>
          <w:sz w:val="20"/>
          <w:szCs w:val="20"/>
        </w:rPr>
        <w:t xml:space="preserve">                   </w:t>
      </w:r>
      <w:r>
        <w:rPr>
          <w:rFonts w:ascii="宋体" w:hAnsi="宋体" w:eastAsia="宋体" w:cs="宋体"/>
          <w:spacing w:val="5"/>
          <w:sz w:val="20"/>
          <w:szCs w:val="20"/>
        </w:rPr>
        <w:t>日期：    年</w:t>
      </w:r>
      <w:r>
        <w:rPr>
          <w:rFonts w:ascii="宋体" w:hAnsi="宋体" w:eastAsia="宋体" w:cs="宋体"/>
          <w:spacing w:val="10"/>
          <w:sz w:val="20"/>
          <w:szCs w:val="20"/>
        </w:rPr>
        <w:t xml:space="preserve">   </w:t>
      </w:r>
      <w:r>
        <w:rPr>
          <w:rFonts w:ascii="宋体" w:hAnsi="宋体" w:eastAsia="宋体" w:cs="宋体"/>
          <w:spacing w:val="5"/>
          <w:sz w:val="20"/>
          <w:szCs w:val="20"/>
        </w:rPr>
        <w:t>月</w:t>
      </w:r>
      <w:r>
        <w:rPr>
          <w:rFonts w:ascii="宋体" w:hAnsi="宋体" w:eastAsia="宋体" w:cs="宋体"/>
          <w:spacing w:val="20"/>
          <w:sz w:val="20"/>
          <w:szCs w:val="20"/>
        </w:rPr>
        <w:t xml:space="preserve">   </w:t>
      </w:r>
      <w:r>
        <w:rPr>
          <w:rFonts w:ascii="宋体" w:hAnsi="宋体" w:eastAsia="宋体" w:cs="宋体"/>
          <w:spacing w:val="5"/>
          <w:sz w:val="20"/>
          <w:szCs w:val="20"/>
        </w:rPr>
        <w:t>日</w:t>
      </w:r>
    </w:p>
    <w:p w14:paraId="596F53A5">
      <w:pPr>
        <w:spacing w:line="340" w:lineRule="auto"/>
        <w:rPr>
          <w:rFonts w:ascii="Arial"/>
          <w:sz w:val="21"/>
        </w:rPr>
      </w:pPr>
    </w:p>
    <w:p w14:paraId="41274A68">
      <w:pPr>
        <w:spacing w:line="340" w:lineRule="auto"/>
        <w:rPr>
          <w:rFonts w:ascii="Arial"/>
          <w:sz w:val="21"/>
        </w:rPr>
      </w:pPr>
    </w:p>
    <w:p w14:paraId="3251A6FF">
      <w:pPr>
        <w:spacing w:before="65" w:line="227" w:lineRule="auto"/>
        <w:ind w:left="124"/>
        <w:rPr>
          <w:rFonts w:ascii="宋体" w:hAnsi="宋体" w:eastAsia="宋体" w:cs="宋体"/>
          <w:sz w:val="20"/>
          <w:szCs w:val="20"/>
        </w:rPr>
      </w:pPr>
      <w:r>
        <w:rPr>
          <w:rFonts w:ascii="宋体" w:hAnsi="宋体" w:eastAsia="宋体" w:cs="宋体"/>
          <w:spacing w:val="9"/>
          <w:sz w:val="20"/>
          <w:szCs w:val="20"/>
        </w:rPr>
        <w:t>备注：本表适用于办法一、二、三、四、五、六、七。</w:t>
      </w:r>
    </w:p>
    <w:p w14:paraId="091DF6B1">
      <w:pPr>
        <w:spacing w:line="227" w:lineRule="auto"/>
        <w:rPr>
          <w:rFonts w:ascii="宋体" w:hAnsi="宋体" w:eastAsia="宋体" w:cs="宋体"/>
          <w:sz w:val="20"/>
          <w:szCs w:val="20"/>
        </w:rPr>
        <w:sectPr>
          <w:footerReference r:id="rId143" w:type="default"/>
          <w:pgSz w:w="16840" w:h="11907"/>
          <w:pgMar w:top="400" w:right="1475" w:bottom="1036" w:left="1588" w:header="0" w:footer="787" w:gutter="0"/>
          <w:cols w:space="720" w:num="1"/>
        </w:sectPr>
      </w:pPr>
    </w:p>
    <w:p w14:paraId="083CAA61">
      <w:pPr>
        <w:spacing w:line="289" w:lineRule="auto"/>
        <w:rPr>
          <w:rFonts w:ascii="Arial"/>
          <w:sz w:val="21"/>
        </w:rPr>
      </w:pPr>
    </w:p>
    <w:p w14:paraId="7CFFFE84">
      <w:pPr>
        <w:spacing w:line="290" w:lineRule="auto"/>
        <w:rPr>
          <w:rFonts w:ascii="Arial"/>
          <w:sz w:val="21"/>
        </w:rPr>
      </w:pPr>
    </w:p>
    <w:p w14:paraId="176A6FF8">
      <w:pPr>
        <w:spacing w:line="290" w:lineRule="auto"/>
        <w:rPr>
          <w:rFonts w:ascii="Arial"/>
          <w:sz w:val="21"/>
        </w:rPr>
      </w:pPr>
    </w:p>
    <w:p w14:paraId="13480916">
      <w:pPr>
        <w:spacing w:line="290" w:lineRule="auto"/>
        <w:rPr>
          <w:rFonts w:ascii="Arial"/>
          <w:sz w:val="21"/>
        </w:rPr>
      </w:pPr>
    </w:p>
    <w:p w14:paraId="1C841204">
      <w:pPr>
        <w:pStyle w:val="2"/>
        <w:spacing w:before="78" w:line="222" w:lineRule="auto"/>
        <w:ind w:left="135"/>
        <w:outlineLvl w:val="1"/>
        <w:rPr>
          <w:sz w:val="24"/>
          <w:szCs w:val="24"/>
        </w:rPr>
      </w:pPr>
      <w:r>
        <w:rPr>
          <w:spacing w:val="-4"/>
          <w:sz w:val="24"/>
          <w:szCs w:val="24"/>
        </w:rPr>
        <w:t>附表</w:t>
      </w:r>
      <w:r>
        <w:rPr>
          <w:spacing w:val="-57"/>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13</w:t>
      </w:r>
      <w:r>
        <w:rPr>
          <w:spacing w:val="-4"/>
          <w:sz w:val="24"/>
          <w:szCs w:val="24"/>
        </w:rPr>
        <w:t>：评标结果汇总表</w:t>
      </w:r>
    </w:p>
    <w:p w14:paraId="106911E6">
      <w:pPr>
        <w:pStyle w:val="2"/>
        <w:spacing w:before="50" w:line="227" w:lineRule="auto"/>
        <w:ind w:left="5641"/>
        <w:rPr>
          <w:sz w:val="35"/>
          <w:szCs w:val="35"/>
        </w:rPr>
      </w:pPr>
      <w:bookmarkStart w:id="195" w:name="bookmark176"/>
      <w:bookmarkEnd w:id="195"/>
      <w:r>
        <w:rPr>
          <w:spacing w:val="8"/>
          <w:sz w:val="35"/>
          <w:szCs w:val="35"/>
        </w:rPr>
        <w:t>评标结果汇总表</w:t>
      </w:r>
    </w:p>
    <w:p w14:paraId="2E333ED7">
      <w:pPr>
        <w:spacing w:before="253" w:line="227" w:lineRule="auto"/>
        <w:ind w:left="124"/>
        <w:rPr>
          <w:rFonts w:ascii="宋体" w:hAnsi="宋体" w:eastAsia="宋体" w:cs="宋体"/>
          <w:sz w:val="20"/>
          <w:szCs w:val="20"/>
        </w:rPr>
      </w:pPr>
      <w:r>
        <w:rPr>
          <w:rFonts w:ascii="宋体" w:hAnsi="宋体" w:eastAsia="宋体" w:cs="宋体"/>
          <w:spacing w:val="11"/>
          <w:sz w:val="20"/>
          <w:szCs w:val="20"/>
        </w:rPr>
        <w:t>工程名称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项目名称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标段名称）</w:t>
      </w:r>
      <w:r>
        <w:rPr>
          <w:rFonts w:ascii="宋体" w:hAnsi="宋体" w:eastAsia="宋体" w:cs="宋体"/>
          <w:spacing w:val="1"/>
          <w:sz w:val="20"/>
          <w:szCs w:val="20"/>
        </w:rPr>
        <w:t xml:space="preserve">                                                   </w:t>
      </w:r>
      <w:r>
        <w:rPr>
          <w:rFonts w:ascii="宋体" w:hAnsi="宋体" w:eastAsia="宋体" w:cs="宋体"/>
          <w:spacing w:val="11"/>
          <w:sz w:val="20"/>
          <w:szCs w:val="20"/>
        </w:rPr>
        <w:t>单位：人民币元</w:t>
      </w:r>
    </w:p>
    <w:p w14:paraId="77451C8D">
      <w:pPr>
        <w:spacing w:line="236"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72"/>
        <w:gridCol w:w="1177"/>
        <w:gridCol w:w="1177"/>
        <w:gridCol w:w="1178"/>
        <w:gridCol w:w="1176"/>
        <w:gridCol w:w="1178"/>
        <w:gridCol w:w="1177"/>
        <w:gridCol w:w="1177"/>
        <w:gridCol w:w="1177"/>
        <w:gridCol w:w="1182"/>
      </w:tblGrid>
      <w:tr w14:paraId="65FD2F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3172" w:type="dxa"/>
            <w:vMerge w:val="restart"/>
            <w:tcBorders>
              <w:bottom w:val="nil"/>
            </w:tcBorders>
            <w:vAlign w:val="top"/>
          </w:tcPr>
          <w:p w14:paraId="75F4EDE9">
            <w:pPr>
              <w:spacing w:line="319" w:lineRule="auto"/>
              <w:rPr>
                <w:rFonts w:ascii="Arial"/>
                <w:sz w:val="21"/>
              </w:rPr>
            </w:pPr>
          </w:p>
          <w:p w14:paraId="01332986">
            <w:pPr>
              <w:pStyle w:val="6"/>
              <w:spacing w:before="65" w:line="228" w:lineRule="auto"/>
              <w:ind w:left="1384"/>
            </w:pPr>
            <w:r>
              <w:rPr>
                <w:spacing w:val="3"/>
              </w:rPr>
              <w:t>项目</w:t>
            </w:r>
          </w:p>
        </w:tc>
        <w:tc>
          <w:tcPr>
            <w:tcW w:w="10599" w:type="dxa"/>
            <w:gridSpan w:val="9"/>
            <w:vAlign w:val="top"/>
          </w:tcPr>
          <w:p w14:paraId="78693629">
            <w:pPr>
              <w:pStyle w:val="6"/>
              <w:spacing w:before="149" w:line="228" w:lineRule="auto"/>
              <w:ind w:left="4780"/>
            </w:pPr>
            <w:r>
              <w:rPr>
                <w:spacing w:val="7"/>
              </w:rPr>
              <w:t>投标人名称</w:t>
            </w:r>
          </w:p>
        </w:tc>
      </w:tr>
      <w:tr w14:paraId="57A04B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3172" w:type="dxa"/>
            <w:vMerge w:val="continue"/>
            <w:tcBorders>
              <w:top w:val="nil"/>
            </w:tcBorders>
            <w:vAlign w:val="top"/>
          </w:tcPr>
          <w:p w14:paraId="7B0C76A7">
            <w:pPr>
              <w:rPr>
                <w:rFonts w:ascii="Arial"/>
                <w:sz w:val="21"/>
              </w:rPr>
            </w:pPr>
          </w:p>
        </w:tc>
        <w:tc>
          <w:tcPr>
            <w:tcW w:w="1177" w:type="dxa"/>
            <w:vAlign w:val="top"/>
          </w:tcPr>
          <w:p w14:paraId="13AC9017">
            <w:pPr>
              <w:rPr>
                <w:rFonts w:ascii="Arial"/>
                <w:sz w:val="21"/>
              </w:rPr>
            </w:pPr>
          </w:p>
        </w:tc>
        <w:tc>
          <w:tcPr>
            <w:tcW w:w="1177" w:type="dxa"/>
            <w:vAlign w:val="top"/>
          </w:tcPr>
          <w:p w14:paraId="75A8191A">
            <w:pPr>
              <w:rPr>
                <w:rFonts w:ascii="Arial"/>
                <w:sz w:val="21"/>
              </w:rPr>
            </w:pPr>
          </w:p>
        </w:tc>
        <w:tc>
          <w:tcPr>
            <w:tcW w:w="1178" w:type="dxa"/>
            <w:vAlign w:val="top"/>
          </w:tcPr>
          <w:p w14:paraId="09CE2F19">
            <w:pPr>
              <w:rPr>
                <w:rFonts w:ascii="Arial"/>
                <w:sz w:val="21"/>
              </w:rPr>
            </w:pPr>
          </w:p>
        </w:tc>
        <w:tc>
          <w:tcPr>
            <w:tcW w:w="1176" w:type="dxa"/>
            <w:vAlign w:val="top"/>
          </w:tcPr>
          <w:p w14:paraId="2AAF54CC">
            <w:pPr>
              <w:rPr>
                <w:rFonts w:ascii="Arial"/>
                <w:sz w:val="21"/>
              </w:rPr>
            </w:pPr>
          </w:p>
        </w:tc>
        <w:tc>
          <w:tcPr>
            <w:tcW w:w="1178" w:type="dxa"/>
            <w:vAlign w:val="top"/>
          </w:tcPr>
          <w:p w14:paraId="151BA749">
            <w:pPr>
              <w:rPr>
                <w:rFonts w:ascii="Arial"/>
                <w:sz w:val="21"/>
              </w:rPr>
            </w:pPr>
          </w:p>
        </w:tc>
        <w:tc>
          <w:tcPr>
            <w:tcW w:w="1177" w:type="dxa"/>
            <w:vAlign w:val="top"/>
          </w:tcPr>
          <w:p w14:paraId="562636C5">
            <w:pPr>
              <w:rPr>
                <w:rFonts w:ascii="Arial"/>
                <w:sz w:val="21"/>
              </w:rPr>
            </w:pPr>
          </w:p>
        </w:tc>
        <w:tc>
          <w:tcPr>
            <w:tcW w:w="1177" w:type="dxa"/>
            <w:vAlign w:val="top"/>
          </w:tcPr>
          <w:p w14:paraId="435A96D3">
            <w:pPr>
              <w:rPr>
                <w:rFonts w:ascii="Arial"/>
                <w:sz w:val="21"/>
              </w:rPr>
            </w:pPr>
          </w:p>
        </w:tc>
        <w:tc>
          <w:tcPr>
            <w:tcW w:w="1177" w:type="dxa"/>
            <w:vAlign w:val="top"/>
          </w:tcPr>
          <w:p w14:paraId="10EC7387">
            <w:pPr>
              <w:rPr>
                <w:rFonts w:ascii="Arial"/>
                <w:sz w:val="21"/>
              </w:rPr>
            </w:pPr>
          </w:p>
        </w:tc>
        <w:tc>
          <w:tcPr>
            <w:tcW w:w="1182" w:type="dxa"/>
            <w:vAlign w:val="top"/>
          </w:tcPr>
          <w:p w14:paraId="70CBA3AD">
            <w:pPr>
              <w:rPr>
                <w:rFonts w:ascii="Arial"/>
                <w:sz w:val="21"/>
              </w:rPr>
            </w:pPr>
          </w:p>
        </w:tc>
      </w:tr>
      <w:tr w14:paraId="585FA4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3172" w:type="dxa"/>
            <w:vAlign w:val="top"/>
          </w:tcPr>
          <w:p w14:paraId="6D929413">
            <w:pPr>
              <w:pStyle w:val="6"/>
              <w:spacing w:before="123" w:line="226" w:lineRule="auto"/>
              <w:ind w:left="1175"/>
            </w:pPr>
            <w:r>
              <w:rPr>
                <w:spacing w:val="6"/>
              </w:rPr>
              <w:t>投标报价</w:t>
            </w:r>
          </w:p>
        </w:tc>
        <w:tc>
          <w:tcPr>
            <w:tcW w:w="1177" w:type="dxa"/>
            <w:vAlign w:val="top"/>
          </w:tcPr>
          <w:p w14:paraId="5E96996F">
            <w:pPr>
              <w:rPr>
                <w:rFonts w:ascii="Arial"/>
                <w:sz w:val="21"/>
              </w:rPr>
            </w:pPr>
          </w:p>
        </w:tc>
        <w:tc>
          <w:tcPr>
            <w:tcW w:w="1177" w:type="dxa"/>
            <w:vAlign w:val="top"/>
          </w:tcPr>
          <w:p w14:paraId="3675CF7D">
            <w:pPr>
              <w:rPr>
                <w:rFonts w:ascii="Arial"/>
                <w:sz w:val="21"/>
              </w:rPr>
            </w:pPr>
          </w:p>
        </w:tc>
        <w:tc>
          <w:tcPr>
            <w:tcW w:w="1178" w:type="dxa"/>
            <w:vAlign w:val="top"/>
          </w:tcPr>
          <w:p w14:paraId="42E2573C">
            <w:pPr>
              <w:rPr>
                <w:rFonts w:ascii="Arial"/>
                <w:sz w:val="21"/>
              </w:rPr>
            </w:pPr>
          </w:p>
        </w:tc>
        <w:tc>
          <w:tcPr>
            <w:tcW w:w="1176" w:type="dxa"/>
            <w:vAlign w:val="top"/>
          </w:tcPr>
          <w:p w14:paraId="13A115F2">
            <w:pPr>
              <w:rPr>
                <w:rFonts w:ascii="Arial"/>
                <w:sz w:val="21"/>
              </w:rPr>
            </w:pPr>
          </w:p>
        </w:tc>
        <w:tc>
          <w:tcPr>
            <w:tcW w:w="1178" w:type="dxa"/>
            <w:vAlign w:val="top"/>
          </w:tcPr>
          <w:p w14:paraId="27EDC64E">
            <w:pPr>
              <w:rPr>
                <w:rFonts w:ascii="Arial"/>
                <w:sz w:val="21"/>
              </w:rPr>
            </w:pPr>
          </w:p>
        </w:tc>
        <w:tc>
          <w:tcPr>
            <w:tcW w:w="1177" w:type="dxa"/>
            <w:vAlign w:val="top"/>
          </w:tcPr>
          <w:p w14:paraId="74389BD5">
            <w:pPr>
              <w:rPr>
                <w:rFonts w:ascii="Arial"/>
                <w:sz w:val="21"/>
              </w:rPr>
            </w:pPr>
          </w:p>
        </w:tc>
        <w:tc>
          <w:tcPr>
            <w:tcW w:w="1177" w:type="dxa"/>
            <w:vAlign w:val="top"/>
          </w:tcPr>
          <w:p w14:paraId="41898309">
            <w:pPr>
              <w:rPr>
                <w:rFonts w:ascii="Arial"/>
                <w:sz w:val="21"/>
              </w:rPr>
            </w:pPr>
          </w:p>
        </w:tc>
        <w:tc>
          <w:tcPr>
            <w:tcW w:w="1177" w:type="dxa"/>
            <w:vAlign w:val="top"/>
          </w:tcPr>
          <w:p w14:paraId="74EEFA66">
            <w:pPr>
              <w:rPr>
                <w:rFonts w:ascii="Arial"/>
                <w:sz w:val="21"/>
              </w:rPr>
            </w:pPr>
          </w:p>
        </w:tc>
        <w:tc>
          <w:tcPr>
            <w:tcW w:w="1182" w:type="dxa"/>
            <w:vAlign w:val="top"/>
          </w:tcPr>
          <w:p w14:paraId="021F090B">
            <w:pPr>
              <w:rPr>
                <w:rFonts w:ascii="Arial"/>
                <w:sz w:val="21"/>
              </w:rPr>
            </w:pPr>
          </w:p>
        </w:tc>
      </w:tr>
      <w:tr w14:paraId="04F43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3172" w:type="dxa"/>
            <w:vAlign w:val="top"/>
          </w:tcPr>
          <w:p w14:paraId="17994A15">
            <w:pPr>
              <w:pStyle w:val="6"/>
              <w:spacing w:before="59" w:line="226" w:lineRule="auto"/>
              <w:ind w:left="332"/>
            </w:pPr>
            <w:r>
              <w:rPr>
                <w:spacing w:val="8"/>
              </w:rPr>
              <w:t>修正后的投标总价（如有）</w:t>
            </w:r>
          </w:p>
        </w:tc>
        <w:tc>
          <w:tcPr>
            <w:tcW w:w="1177" w:type="dxa"/>
            <w:vAlign w:val="top"/>
          </w:tcPr>
          <w:p w14:paraId="29B8C0CE">
            <w:pPr>
              <w:rPr>
                <w:rFonts w:ascii="Arial"/>
                <w:sz w:val="21"/>
              </w:rPr>
            </w:pPr>
          </w:p>
        </w:tc>
        <w:tc>
          <w:tcPr>
            <w:tcW w:w="1177" w:type="dxa"/>
            <w:vAlign w:val="top"/>
          </w:tcPr>
          <w:p w14:paraId="261C3812">
            <w:pPr>
              <w:rPr>
                <w:rFonts w:ascii="Arial"/>
                <w:sz w:val="21"/>
              </w:rPr>
            </w:pPr>
          </w:p>
        </w:tc>
        <w:tc>
          <w:tcPr>
            <w:tcW w:w="1178" w:type="dxa"/>
            <w:vAlign w:val="top"/>
          </w:tcPr>
          <w:p w14:paraId="507D6CDA">
            <w:pPr>
              <w:rPr>
                <w:rFonts w:ascii="Arial"/>
                <w:sz w:val="21"/>
              </w:rPr>
            </w:pPr>
          </w:p>
        </w:tc>
        <w:tc>
          <w:tcPr>
            <w:tcW w:w="1176" w:type="dxa"/>
            <w:vAlign w:val="top"/>
          </w:tcPr>
          <w:p w14:paraId="0822556E">
            <w:pPr>
              <w:rPr>
                <w:rFonts w:ascii="Arial"/>
                <w:sz w:val="21"/>
              </w:rPr>
            </w:pPr>
          </w:p>
        </w:tc>
        <w:tc>
          <w:tcPr>
            <w:tcW w:w="1178" w:type="dxa"/>
            <w:vAlign w:val="top"/>
          </w:tcPr>
          <w:p w14:paraId="385A97E5">
            <w:pPr>
              <w:rPr>
                <w:rFonts w:ascii="Arial"/>
                <w:sz w:val="21"/>
              </w:rPr>
            </w:pPr>
          </w:p>
        </w:tc>
        <w:tc>
          <w:tcPr>
            <w:tcW w:w="1177" w:type="dxa"/>
            <w:vAlign w:val="top"/>
          </w:tcPr>
          <w:p w14:paraId="21F675FD">
            <w:pPr>
              <w:rPr>
                <w:rFonts w:ascii="Arial"/>
                <w:sz w:val="21"/>
              </w:rPr>
            </w:pPr>
          </w:p>
        </w:tc>
        <w:tc>
          <w:tcPr>
            <w:tcW w:w="1177" w:type="dxa"/>
            <w:vAlign w:val="top"/>
          </w:tcPr>
          <w:p w14:paraId="7FFE12C2">
            <w:pPr>
              <w:rPr>
                <w:rFonts w:ascii="Arial"/>
                <w:sz w:val="21"/>
              </w:rPr>
            </w:pPr>
          </w:p>
        </w:tc>
        <w:tc>
          <w:tcPr>
            <w:tcW w:w="1177" w:type="dxa"/>
            <w:vAlign w:val="top"/>
          </w:tcPr>
          <w:p w14:paraId="1704994F">
            <w:pPr>
              <w:rPr>
                <w:rFonts w:ascii="Arial"/>
                <w:sz w:val="21"/>
              </w:rPr>
            </w:pPr>
          </w:p>
        </w:tc>
        <w:tc>
          <w:tcPr>
            <w:tcW w:w="1182" w:type="dxa"/>
            <w:vAlign w:val="top"/>
          </w:tcPr>
          <w:p w14:paraId="1AFDB971">
            <w:pPr>
              <w:rPr>
                <w:rFonts w:ascii="Arial"/>
                <w:sz w:val="21"/>
              </w:rPr>
            </w:pPr>
          </w:p>
        </w:tc>
      </w:tr>
      <w:tr w14:paraId="15D4A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172" w:type="dxa"/>
            <w:vAlign w:val="top"/>
          </w:tcPr>
          <w:p w14:paraId="7E9E0342">
            <w:pPr>
              <w:pStyle w:val="6"/>
              <w:spacing w:before="130" w:line="226" w:lineRule="auto"/>
              <w:ind w:left="1274"/>
            </w:pPr>
            <w:r>
              <w:rPr>
                <w:spacing w:val="7"/>
              </w:rPr>
              <w:t>评标价</w:t>
            </w:r>
          </w:p>
        </w:tc>
        <w:tc>
          <w:tcPr>
            <w:tcW w:w="1177" w:type="dxa"/>
            <w:vAlign w:val="top"/>
          </w:tcPr>
          <w:p w14:paraId="7905533C">
            <w:pPr>
              <w:rPr>
                <w:rFonts w:ascii="Arial"/>
                <w:sz w:val="21"/>
              </w:rPr>
            </w:pPr>
          </w:p>
        </w:tc>
        <w:tc>
          <w:tcPr>
            <w:tcW w:w="1177" w:type="dxa"/>
            <w:vAlign w:val="top"/>
          </w:tcPr>
          <w:p w14:paraId="0041176C">
            <w:pPr>
              <w:rPr>
                <w:rFonts w:ascii="Arial"/>
                <w:sz w:val="21"/>
              </w:rPr>
            </w:pPr>
          </w:p>
        </w:tc>
        <w:tc>
          <w:tcPr>
            <w:tcW w:w="1178" w:type="dxa"/>
            <w:vAlign w:val="top"/>
          </w:tcPr>
          <w:p w14:paraId="7A8EF8A6">
            <w:pPr>
              <w:rPr>
                <w:rFonts w:ascii="Arial"/>
                <w:sz w:val="21"/>
              </w:rPr>
            </w:pPr>
          </w:p>
        </w:tc>
        <w:tc>
          <w:tcPr>
            <w:tcW w:w="1176" w:type="dxa"/>
            <w:vAlign w:val="top"/>
          </w:tcPr>
          <w:p w14:paraId="71DE8B15">
            <w:pPr>
              <w:rPr>
                <w:rFonts w:ascii="Arial"/>
                <w:sz w:val="21"/>
              </w:rPr>
            </w:pPr>
          </w:p>
        </w:tc>
        <w:tc>
          <w:tcPr>
            <w:tcW w:w="1178" w:type="dxa"/>
            <w:vAlign w:val="top"/>
          </w:tcPr>
          <w:p w14:paraId="1448C681">
            <w:pPr>
              <w:rPr>
                <w:rFonts w:ascii="Arial"/>
                <w:sz w:val="21"/>
              </w:rPr>
            </w:pPr>
          </w:p>
        </w:tc>
        <w:tc>
          <w:tcPr>
            <w:tcW w:w="1177" w:type="dxa"/>
            <w:vAlign w:val="top"/>
          </w:tcPr>
          <w:p w14:paraId="63A869F1">
            <w:pPr>
              <w:rPr>
                <w:rFonts w:ascii="Arial"/>
                <w:sz w:val="21"/>
              </w:rPr>
            </w:pPr>
          </w:p>
        </w:tc>
        <w:tc>
          <w:tcPr>
            <w:tcW w:w="1177" w:type="dxa"/>
            <w:vAlign w:val="top"/>
          </w:tcPr>
          <w:p w14:paraId="64F0F437">
            <w:pPr>
              <w:rPr>
                <w:rFonts w:ascii="Arial"/>
                <w:sz w:val="21"/>
              </w:rPr>
            </w:pPr>
          </w:p>
        </w:tc>
        <w:tc>
          <w:tcPr>
            <w:tcW w:w="1177" w:type="dxa"/>
            <w:vAlign w:val="top"/>
          </w:tcPr>
          <w:p w14:paraId="1F51BDB4">
            <w:pPr>
              <w:rPr>
                <w:rFonts w:ascii="Arial"/>
                <w:sz w:val="21"/>
              </w:rPr>
            </w:pPr>
          </w:p>
        </w:tc>
        <w:tc>
          <w:tcPr>
            <w:tcW w:w="1182" w:type="dxa"/>
            <w:vAlign w:val="top"/>
          </w:tcPr>
          <w:p w14:paraId="629EEE9C">
            <w:pPr>
              <w:rPr>
                <w:rFonts w:ascii="Arial"/>
                <w:sz w:val="21"/>
              </w:rPr>
            </w:pPr>
          </w:p>
        </w:tc>
      </w:tr>
      <w:tr w14:paraId="54604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172" w:type="dxa"/>
            <w:vAlign w:val="top"/>
          </w:tcPr>
          <w:p w14:paraId="7C813336">
            <w:pPr>
              <w:pStyle w:val="6"/>
              <w:spacing w:before="129" w:line="226" w:lineRule="auto"/>
              <w:ind w:left="1066"/>
            </w:pPr>
            <w:r>
              <w:rPr>
                <w:spacing w:val="8"/>
              </w:rPr>
              <w:t>评标基准价</w:t>
            </w:r>
          </w:p>
        </w:tc>
        <w:tc>
          <w:tcPr>
            <w:tcW w:w="10599" w:type="dxa"/>
            <w:gridSpan w:val="9"/>
            <w:vAlign w:val="top"/>
          </w:tcPr>
          <w:p w14:paraId="54FC6FCC">
            <w:pPr>
              <w:rPr>
                <w:rFonts w:ascii="Arial"/>
                <w:sz w:val="21"/>
              </w:rPr>
            </w:pPr>
          </w:p>
        </w:tc>
      </w:tr>
      <w:tr w14:paraId="1B0897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72" w:type="dxa"/>
            <w:vAlign w:val="top"/>
          </w:tcPr>
          <w:p w14:paraId="74FD0414">
            <w:pPr>
              <w:pStyle w:val="6"/>
              <w:spacing w:before="128" w:line="228" w:lineRule="auto"/>
              <w:ind w:left="1275"/>
            </w:pPr>
            <w:r>
              <w:rPr>
                <w:spacing w:val="6"/>
              </w:rPr>
              <w:t>偏差率</w:t>
            </w:r>
          </w:p>
        </w:tc>
        <w:tc>
          <w:tcPr>
            <w:tcW w:w="1177" w:type="dxa"/>
            <w:vAlign w:val="top"/>
          </w:tcPr>
          <w:p w14:paraId="25D72D30">
            <w:pPr>
              <w:rPr>
                <w:rFonts w:ascii="Arial"/>
                <w:sz w:val="21"/>
              </w:rPr>
            </w:pPr>
          </w:p>
        </w:tc>
        <w:tc>
          <w:tcPr>
            <w:tcW w:w="1177" w:type="dxa"/>
            <w:vAlign w:val="top"/>
          </w:tcPr>
          <w:p w14:paraId="33E8CC2B">
            <w:pPr>
              <w:rPr>
                <w:rFonts w:ascii="Arial"/>
                <w:sz w:val="21"/>
              </w:rPr>
            </w:pPr>
          </w:p>
        </w:tc>
        <w:tc>
          <w:tcPr>
            <w:tcW w:w="1178" w:type="dxa"/>
            <w:vAlign w:val="top"/>
          </w:tcPr>
          <w:p w14:paraId="09EE382B">
            <w:pPr>
              <w:rPr>
                <w:rFonts w:ascii="Arial"/>
                <w:sz w:val="21"/>
              </w:rPr>
            </w:pPr>
          </w:p>
        </w:tc>
        <w:tc>
          <w:tcPr>
            <w:tcW w:w="1176" w:type="dxa"/>
            <w:vAlign w:val="top"/>
          </w:tcPr>
          <w:p w14:paraId="52E8AA10">
            <w:pPr>
              <w:rPr>
                <w:rFonts w:ascii="Arial"/>
                <w:sz w:val="21"/>
              </w:rPr>
            </w:pPr>
          </w:p>
        </w:tc>
        <w:tc>
          <w:tcPr>
            <w:tcW w:w="1178" w:type="dxa"/>
            <w:vAlign w:val="top"/>
          </w:tcPr>
          <w:p w14:paraId="5A913B8C">
            <w:pPr>
              <w:rPr>
                <w:rFonts w:ascii="Arial"/>
                <w:sz w:val="21"/>
              </w:rPr>
            </w:pPr>
          </w:p>
        </w:tc>
        <w:tc>
          <w:tcPr>
            <w:tcW w:w="1177" w:type="dxa"/>
            <w:vAlign w:val="top"/>
          </w:tcPr>
          <w:p w14:paraId="5252FE6C">
            <w:pPr>
              <w:rPr>
                <w:rFonts w:ascii="Arial"/>
                <w:sz w:val="21"/>
              </w:rPr>
            </w:pPr>
          </w:p>
        </w:tc>
        <w:tc>
          <w:tcPr>
            <w:tcW w:w="1177" w:type="dxa"/>
            <w:vAlign w:val="top"/>
          </w:tcPr>
          <w:p w14:paraId="2ADCF1BE">
            <w:pPr>
              <w:rPr>
                <w:rFonts w:ascii="Arial"/>
                <w:sz w:val="21"/>
              </w:rPr>
            </w:pPr>
          </w:p>
        </w:tc>
        <w:tc>
          <w:tcPr>
            <w:tcW w:w="1177" w:type="dxa"/>
            <w:vAlign w:val="top"/>
          </w:tcPr>
          <w:p w14:paraId="6BD92E89">
            <w:pPr>
              <w:rPr>
                <w:rFonts w:ascii="Arial"/>
                <w:sz w:val="21"/>
              </w:rPr>
            </w:pPr>
          </w:p>
        </w:tc>
        <w:tc>
          <w:tcPr>
            <w:tcW w:w="1182" w:type="dxa"/>
            <w:vAlign w:val="top"/>
          </w:tcPr>
          <w:p w14:paraId="604D753B">
            <w:pPr>
              <w:rPr>
                <w:rFonts w:ascii="Arial"/>
                <w:sz w:val="21"/>
              </w:rPr>
            </w:pPr>
          </w:p>
        </w:tc>
      </w:tr>
      <w:tr w14:paraId="64E74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72" w:type="dxa"/>
            <w:vAlign w:val="top"/>
          </w:tcPr>
          <w:p w14:paraId="0058158F">
            <w:pPr>
              <w:pStyle w:val="6"/>
              <w:spacing w:before="127" w:line="226" w:lineRule="auto"/>
              <w:ind w:left="1067"/>
            </w:pPr>
            <w:r>
              <w:rPr>
                <w:spacing w:val="7"/>
              </w:rPr>
              <w:t>招标控制价</w:t>
            </w:r>
          </w:p>
        </w:tc>
        <w:tc>
          <w:tcPr>
            <w:tcW w:w="10599" w:type="dxa"/>
            <w:gridSpan w:val="9"/>
            <w:vAlign w:val="top"/>
          </w:tcPr>
          <w:p w14:paraId="14028BAE">
            <w:pPr>
              <w:rPr>
                <w:rFonts w:ascii="Arial"/>
                <w:sz w:val="21"/>
              </w:rPr>
            </w:pPr>
          </w:p>
        </w:tc>
      </w:tr>
      <w:tr w14:paraId="240F0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3172" w:type="dxa"/>
            <w:vAlign w:val="top"/>
          </w:tcPr>
          <w:p w14:paraId="6D2D1AD0">
            <w:pPr>
              <w:pStyle w:val="6"/>
              <w:spacing w:before="131" w:line="226" w:lineRule="auto"/>
              <w:ind w:left="1013"/>
            </w:pPr>
            <w:r>
              <w:rPr>
                <w:spacing w:val="7"/>
              </w:rPr>
              <w:t>*期望合理价</w:t>
            </w:r>
          </w:p>
        </w:tc>
        <w:tc>
          <w:tcPr>
            <w:tcW w:w="10599" w:type="dxa"/>
            <w:gridSpan w:val="9"/>
            <w:vAlign w:val="top"/>
          </w:tcPr>
          <w:p w14:paraId="0E26DB8D">
            <w:pPr>
              <w:rPr>
                <w:rFonts w:ascii="Arial"/>
                <w:sz w:val="21"/>
              </w:rPr>
            </w:pPr>
          </w:p>
        </w:tc>
      </w:tr>
      <w:tr w14:paraId="61A58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3172" w:type="dxa"/>
            <w:vAlign w:val="top"/>
          </w:tcPr>
          <w:p w14:paraId="580D2567">
            <w:pPr>
              <w:pStyle w:val="6"/>
              <w:spacing w:before="131" w:line="226" w:lineRule="auto"/>
              <w:ind w:left="802"/>
            </w:pPr>
            <w:r>
              <w:rPr>
                <w:spacing w:val="8"/>
              </w:rPr>
              <w:t>*确定有效评标价</w:t>
            </w:r>
          </w:p>
        </w:tc>
        <w:tc>
          <w:tcPr>
            <w:tcW w:w="10599" w:type="dxa"/>
            <w:gridSpan w:val="9"/>
            <w:vAlign w:val="top"/>
          </w:tcPr>
          <w:p w14:paraId="66D7F58A">
            <w:pPr>
              <w:rPr>
                <w:rFonts w:ascii="Arial"/>
                <w:sz w:val="21"/>
              </w:rPr>
            </w:pPr>
          </w:p>
        </w:tc>
      </w:tr>
      <w:tr w14:paraId="3FF5EC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3172" w:type="dxa"/>
            <w:vAlign w:val="top"/>
          </w:tcPr>
          <w:p w14:paraId="01FE827A">
            <w:pPr>
              <w:pStyle w:val="6"/>
              <w:spacing w:before="134" w:line="226" w:lineRule="auto"/>
              <w:ind w:left="802"/>
            </w:pPr>
            <w:r>
              <w:rPr>
                <w:spacing w:val="8"/>
              </w:rPr>
              <w:t>*有效评标价排序</w:t>
            </w:r>
          </w:p>
        </w:tc>
        <w:tc>
          <w:tcPr>
            <w:tcW w:w="1177" w:type="dxa"/>
            <w:vAlign w:val="top"/>
          </w:tcPr>
          <w:p w14:paraId="40BE2A44">
            <w:pPr>
              <w:rPr>
                <w:rFonts w:ascii="Arial"/>
                <w:sz w:val="21"/>
              </w:rPr>
            </w:pPr>
          </w:p>
        </w:tc>
        <w:tc>
          <w:tcPr>
            <w:tcW w:w="1177" w:type="dxa"/>
            <w:vAlign w:val="top"/>
          </w:tcPr>
          <w:p w14:paraId="6743635E">
            <w:pPr>
              <w:rPr>
                <w:rFonts w:ascii="Arial"/>
                <w:sz w:val="21"/>
              </w:rPr>
            </w:pPr>
          </w:p>
        </w:tc>
        <w:tc>
          <w:tcPr>
            <w:tcW w:w="1178" w:type="dxa"/>
            <w:vAlign w:val="top"/>
          </w:tcPr>
          <w:p w14:paraId="51A87304">
            <w:pPr>
              <w:rPr>
                <w:rFonts w:ascii="Arial"/>
                <w:sz w:val="21"/>
              </w:rPr>
            </w:pPr>
          </w:p>
        </w:tc>
        <w:tc>
          <w:tcPr>
            <w:tcW w:w="1176" w:type="dxa"/>
            <w:vAlign w:val="top"/>
          </w:tcPr>
          <w:p w14:paraId="72C5C60E">
            <w:pPr>
              <w:rPr>
                <w:rFonts w:ascii="Arial"/>
                <w:sz w:val="21"/>
              </w:rPr>
            </w:pPr>
          </w:p>
        </w:tc>
        <w:tc>
          <w:tcPr>
            <w:tcW w:w="1178" w:type="dxa"/>
            <w:vAlign w:val="top"/>
          </w:tcPr>
          <w:p w14:paraId="3180A625">
            <w:pPr>
              <w:rPr>
                <w:rFonts w:ascii="Arial"/>
                <w:sz w:val="21"/>
              </w:rPr>
            </w:pPr>
          </w:p>
        </w:tc>
        <w:tc>
          <w:tcPr>
            <w:tcW w:w="1177" w:type="dxa"/>
            <w:vAlign w:val="top"/>
          </w:tcPr>
          <w:p w14:paraId="5BA30413">
            <w:pPr>
              <w:rPr>
                <w:rFonts w:ascii="Arial"/>
                <w:sz w:val="21"/>
              </w:rPr>
            </w:pPr>
          </w:p>
        </w:tc>
        <w:tc>
          <w:tcPr>
            <w:tcW w:w="1177" w:type="dxa"/>
            <w:vAlign w:val="top"/>
          </w:tcPr>
          <w:p w14:paraId="31C6D8C3">
            <w:pPr>
              <w:rPr>
                <w:rFonts w:ascii="Arial"/>
                <w:sz w:val="21"/>
              </w:rPr>
            </w:pPr>
          </w:p>
        </w:tc>
        <w:tc>
          <w:tcPr>
            <w:tcW w:w="1177" w:type="dxa"/>
            <w:vAlign w:val="top"/>
          </w:tcPr>
          <w:p w14:paraId="1D418DC6">
            <w:pPr>
              <w:rPr>
                <w:rFonts w:ascii="Arial"/>
                <w:sz w:val="21"/>
              </w:rPr>
            </w:pPr>
          </w:p>
        </w:tc>
        <w:tc>
          <w:tcPr>
            <w:tcW w:w="1182" w:type="dxa"/>
            <w:vAlign w:val="top"/>
          </w:tcPr>
          <w:p w14:paraId="5C7DD5D0">
            <w:pPr>
              <w:rPr>
                <w:rFonts w:ascii="Arial"/>
                <w:sz w:val="21"/>
              </w:rPr>
            </w:pPr>
          </w:p>
        </w:tc>
      </w:tr>
    </w:tbl>
    <w:p w14:paraId="4E6C81ED">
      <w:pPr>
        <w:spacing w:before="272" w:line="227" w:lineRule="auto"/>
        <w:ind w:left="120"/>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  月   日</w:t>
      </w:r>
    </w:p>
    <w:p w14:paraId="1BE02103">
      <w:pPr>
        <w:spacing w:line="442" w:lineRule="auto"/>
        <w:rPr>
          <w:rFonts w:ascii="Arial"/>
          <w:sz w:val="21"/>
        </w:rPr>
      </w:pPr>
    </w:p>
    <w:p w14:paraId="23FC6727">
      <w:pPr>
        <w:spacing w:before="66" w:line="227" w:lineRule="auto"/>
        <w:ind w:left="124"/>
        <w:rPr>
          <w:rFonts w:ascii="宋体" w:hAnsi="宋体" w:eastAsia="宋体" w:cs="宋体"/>
          <w:sz w:val="20"/>
          <w:szCs w:val="20"/>
        </w:rPr>
      </w:pPr>
      <w:r>
        <w:rPr>
          <w:rFonts w:ascii="宋体" w:hAnsi="宋体" w:eastAsia="宋体" w:cs="宋体"/>
          <w:spacing w:val="8"/>
          <w:sz w:val="20"/>
          <w:szCs w:val="20"/>
        </w:rPr>
        <w:t>备注：本表适用于办法八。</w:t>
      </w:r>
    </w:p>
    <w:p w14:paraId="73EB63A1">
      <w:pPr>
        <w:spacing w:line="227" w:lineRule="auto"/>
        <w:rPr>
          <w:rFonts w:ascii="宋体" w:hAnsi="宋体" w:eastAsia="宋体" w:cs="宋体"/>
          <w:sz w:val="20"/>
          <w:szCs w:val="20"/>
        </w:rPr>
        <w:sectPr>
          <w:footerReference r:id="rId144" w:type="default"/>
          <w:pgSz w:w="16840" w:h="11907"/>
          <w:pgMar w:top="400" w:right="1475" w:bottom="1036" w:left="1588" w:header="0" w:footer="787" w:gutter="0"/>
          <w:cols w:space="720" w:num="1"/>
        </w:sectPr>
      </w:pPr>
    </w:p>
    <w:p w14:paraId="197D4376">
      <w:pPr>
        <w:spacing w:line="289" w:lineRule="auto"/>
        <w:rPr>
          <w:rFonts w:ascii="Arial"/>
          <w:sz w:val="21"/>
        </w:rPr>
      </w:pPr>
    </w:p>
    <w:p w14:paraId="768BF5B9">
      <w:pPr>
        <w:spacing w:line="290" w:lineRule="auto"/>
        <w:rPr>
          <w:rFonts w:ascii="Arial"/>
          <w:sz w:val="21"/>
        </w:rPr>
      </w:pPr>
    </w:p>
    <w:p w14:paraId="77E4A33F">
      <w:pPr>
        <w:spacing w:line="290" w:lineRule="auto"/>
        <w:rPr>
          <w:rFonts w:ascii="Arial"/>
          <w:sz w:val="21"/>
        </w:rPr>
      </w:pPr>
    </w:p>
    <w:p w14:paraId="6420433F">
      <w:pPr>
        <w:spacing w:line="290" w:lineRule="auto"/>
        <w:rPr>
          <w:rFonts w:ascii="Arial"/>
          <w:sz w:val="21"/>
        </w:rPr>
      </w:pPr>
    </w:p>
    <w:p w14:paraId="701F3A90">
      <w:pPr>
        <w:pStyle w:val="2"/>
        <w:spacing w:before="78" w:line="221" w:lineRule="auto"/>
        <w:ind w:left="135"/>
        <w:outlineLvl w:val="1"/>
        <w:rPr>
          <w:sz w:val="24"/>
          <w:szCs w:val="24"/>
        </w:rPr>
      </w:pPr>
      <w:bookmarkStart w:id="196" w:name="bookmark177"/>
      <w:bookmarkEnd w:id="196"/>
      <w:r>
        <w:rPr>
          <w:spacing w:val="-4"/>
          <w:sz w:val="24"/>
          <w:szCs w:val="24"/>
        </w:rPr>
        <w:t>附表</w:t>
      </w:r>
      <w:r>
        <w:rPr>
          <w:spacing w:val="-45"/>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14</w:t>
      </w:r>
      <w:r>
        <w:rPr>
          <w:spacing w:val="-4"/>
          <w:sz w:val="24"/>
          <w:szCs w:val="24"/>
        </w:rPr>
        <w:t>：否决投标的情况说明表</w:t>
      </w:r>
    </w:p>
    <w:p w14:paraId="0FEF0E85">
      <w:pPr>
        <w:pStyle w:val="2"/>
        <w:spacing w:before="228" w:line="370" w:lineRule="auto"/>
        <w:ind w:left="124" w:right="5488" w:firstLine="5373"/>
        <w:rPr>
          <w:rFonts w:ascii="宋体" w:hAnsi="宋体" w:eastAsia="宋体" w:cs="宋体"/>
          <w:sz w:val="20"/>
          <w:szCs w:val="20"/>
        </w:rPr>
      </w:pPr>
      <w:r>
        <w:rPr>
          <w:spacing w:val="-2"/>
          <w:sz w:val="28"/>
          <w:szCs w:val="28"/>
        </w:rPr>
        <w:t>否决投标的情况说明表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2159"/>
        <w:gridCol w:w="2519"/>
        <w:gridCol w:w="8261"/>
      </w:tblGrid>
      <w:tr w14:paraId="252128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832" w:type="dxa"/>
            <w:vAlign w:val="top"/>
          </w:tcPr>
          <w:p w14:paraId="4C0C1D5C">
            <w:pPr>
              <w:pStyle w:val="6"/>
              <w:spacing w:before="139" w:line="229" w:lineRule="auto"/>
              <w:ind w:left="211"/>
            </w:pPr>
            <w:r>
              <w:rPr>
                <w:spacing w:val="5"/>
              </w:rPr>
              <w:t>序号</w:t>
            </w:r>
          </w:p>
        </w:tc>
        <w:tc>
          <w:tcPr>
            <w:tcW w:w="2159" w:type="dxa"/>
            <w:vAlign w:val="top"/>
          </w:tcPr>
          <w:p w14:paraId="138BA663">
            <w:pPr>
              <w:pStyle w:val="6"/>
              <w:spacing w:before="140" w:line="228" w:lineRule="auto"/>
              <w:ind w:left="561"/>
            </w:pPr>
            <w:r>
              <w:rPr>
                <w:spacing w:val="7"/>
              </w:rPr>
              <w:t>投标人名称</w:t>
            </w:r>
          </w:p>
        </w:tc>
        <w:tc>
          <w:tcPr>
            <w:tcW w:w="2519" w:type="dxa"/>
            <w:vAlign w:val="top"/>
          </w:tcPr>
          <w:p w14:paraId="27B79B40">
            <w:pPr>
              <w:pStyle w:val="6"/>
              <w:spacing w:before="139" w:line="227" w:lineRule="auto"/>
              <w:ind w:left="535"/>
            </w:pPr>
            <w:r>
              <w:rPr>
                <w:spacing w:val="7"/>
              </w:rPr>
              <w:t>否决投标的依据</w:t>
            </w:r>
          </w:p>
        </w:tc>
        <w:tc>
          <w:tcPr>
            <w:tcW w:w="8261" w:type="dxa"/>
            <w:vAlign w:val="top"/>
          </w:tcPr>
          <w:p w14:paraId="65730853">
            <w:pPr>
              <w:pStyle w:val="6"/>
              <w:spacing w:before="139" w:line="228" w:lineRule="auto"/>
              <w:ind w:left="2982"/>
            </w:pPr>
            <w:r>
              <w:rPr>
                <w:spacing w:val="8"/>
              </w:rPr>
              <w:t>投标文件存在的具体问题</w:t>
            </w:r>
          </w:p>
        </w:tc>
      </w:tr>
      <w:tr w14:paraId="6D3F09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832" w:type="dxa"/>
            <w:vAlign w:val="top"/>
          </w:tcPr>
          <w:p w14:paraId="2528EA2C">
            <w:pPr>
              <w:pStyle w:val="6"/>
              <w:spacing w:before="135" w:line="270" w:lineRule="exact"/>
              <w:ind w:left="384"/>
            </w:pPr>
            <w:r>
              <w:rPr>
                <w:position w:val="1"/>
              </w:rPr>
              <w:t>1</w:t>
            </w:r>
          </w:p>
        </w:tc>
        <w:tc>
          <w:tcPr>
            <w:tcW w:w="2159" w:type="dxa"/>
            <w:vAlign w:val="top"/>
          </w:tcPr>
          <w:p w14:paraId="45864169">
            <w:pPr>
              <w:rPr>
                <w:rFonts w:ascii="Arial"/>
                <w:sz w:val="21"/>
              </w:rPr>
            </w:pPr>
          </w:p>
        </w:tc>
        <w:tc>
          <w:tcPr>
            <w:tcW w:w="2519" w:type="dxa"/>
            <w:vAlign w:val="top"/>
          </w:tcPr>
          <w:p w14:paraId="336DE33E">
            <w:pPr>
              <w:rPr>
                <w:rFonts w:ascii="Arial"/>
                <w:sz w:val="21"/>
              </w:rPr>
            </w:pPr>
          </w:p>
        </w:tc>
        <w:tc>
          <w:tcPr>
            <w:tcW w:w="8261" w:type="dxa"/>
            <w:vAlign w:val="top"/>
          </w:tcPr>
          <w:p w14:paraId="68037D81">
            <w:pPr>
              <w:rPr>
                <w:rFonts w:ascii="Arial"/>
                <w:sz w:val="21"/>
              </w:rPr>
            </w:pPr>
          </w:p>
        </w:tc>
      </w:tr>
      <w:tr w14:paraId="3A447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832" w:type="dxa"/>
            <w:vAlign w:val="top"/>
          </w:tcPr>
          <w:p w14:paraId="047234ED">
            <w:pPr>
              <w:pStyle w:val="6"/>
              <w:spacing w:before="136" w:line="270" w:lineRule="exact"/>
              <w:ind w:left="371"/>
            </w:pPr>
            <w:r>
              <w:rPr>
                <w:position w:val="1"/>
              </w:rPr>
              <w:t>2</w:t>
            </w:r>
          </w:p>
        </w:tc>
        <w:tc>
          <w:tcPr>
            <w:tcW w:w="2159" w:type="dxa"/>
            <w:vAlign w:val="top"/>
          </w:tcPr>
          <w:p w14:paraId="7C349A72">
            <w:pPr>
              <w:rPr>
                <w:rFonts w:ascii="Arial"/>
                <w:sz w:val="21"/>
              </w:rPr>
            </w:pPr>
          </w:p>
        </w:tc>
        <w:tc>
          <w:tcPr>
            <w:tcW w:w="2519" w:type="dxa"/>
            <w:vAlign w:val="top"/>
          </w:tcPr>
          <w:p w14:paraId="51F548F2">
            <w:pPr>
              <w:rPr>
                <w:rFonts w:ascii="Arial"/>
                <w:sz w:val="21"/>
              </w:rPr>
            </w:pPr>
          </w:p>
        </w:tc>
        <w:tc>
          <w:tcPr>
            <w:tcW w:w="8261" w:type="dxa"/>
            <w:vAlign w:val="top"/>
          </w:tcPr>
          <w:p w14:paraId="4E0F662B">
            <w:pPr>
              <w:rPr>
                <w:rFonts w:ascii="Arial"/>
                <w:sz w:val="21"/>
              </w:rPr>
            </w:pPr>
          </w:p>
        </w:tc>
      </w:tr>
      <w:tr w14:paraId="426E38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832" w:type="dxa"/>
            <w:vAlign w:val="top"/>
          </w:tcPr>
          <w:p w14:paraId="28E498B9">
            <w:pPr>
              <w:pStyle w:val="6"/>
              <w:spacing w:before="136" w:line="269" w:lineRule="exact"/>
              <w:ind w:left="372"/>
            </w:pPr>
            <w:r>
              <w:rPr>
                <w:position w:val="1"/>
              </w:rPr>
              <w:t>3</w:t>
            </w:r>
          </w:p>
        </w:tc>
        <w:tc>
          <w:tcPr>
            <w:tcW w:w="2159" w:type="dxa"/>
            <w:vAlign w:val="top"/>
          </w:tcPr>
          <w:p w14:paraId="512D624B">
            <w:pPr>
              <w:rPr>
                <w:rFonts w:ascii="Arial"/>
                <w:sz w:val="21"/>
              </w:rPr>
            </w:pPr>
          </w:p>
        </w:tc>
        <w:tc>
          <w:tcPr>
            <w:tcW w:w="2519" w:type="dxa"/>
            <w:vAlign w:val="top"/>
          </w:tcPr>
          <w:p w14:paraId="62CBF091">
            <w:pPr>
              <w:rPr>
                <w:rFonts w:ascii="Arial"/>
                <w:sz w:val="21"/>
              </w:rPr>
            </w:pPr>
          </w:p>
        </w:tc>
        <w:tc>
          <w:tcPr>
            <w:tcW w:w="8261" w:type="dxa"/>
            <w:vAlign w:val="top"/>
          </w:tcPr>
          <w:p w14:paraId="74DB1D34">
            <w:pPr>
              <w:rPr>
                <w:rFonts w:ascii="Arial"/>
                <w:sz w:val="21"/>
              </w:rPr>
            </w:pPr>
          </w:p>
        </w:tc>
      </w:tr>
      <w:tr w14:paraId="694211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832" w:type="dxa"/>
            <w:vAlign w:val="top"/>
          </w:tcPr>
          <w:p w14:paraId="2EECC15C">
            <w:pPr>
              <w:pStyle w:val="6"/>
              <w:spacing w:before="137" w:line="270" w:lineRule="exact"/>
              <w:ind w:left="367"/>
            </w:pPr>
            <w:r>
              <w:rPr>
                <w:position w:val="1"/>
              </w:rPr>
              <w:t>4</w:t>
            </w:r>
          </w:p>
        </w:tc>
        <w:tc>
          <w:tcPr>
            <w:tcW w:w="2159" w:type="dxa"/>
            <w:vAlign w:val="top"/>
          </w:tcPr>
          <w:p w14:paraId="718F7DF6">
            <w:pPr>
              <w:rPr>
                <w:rFonts w:ascii="Arial"/>
                <w:sz w:val="21"/>
              </w:rPr>
            </w:pPr>
          </w:p>
        </w:tc>
        <w:tc>
          <w:tcPr>
            <w:tcW w:w="2519" w:type="dxa"/>
            <w:vAlign w:val="top"/>
          </w:tcPr>
          <w:p w14:paraId="7922D2BB">
            <w:pPr>
              <w:rPr>
                <w:rFonts w:ascii="Arial"/>
                <w:sz w:val="21"/>
              </w:rPr>
            </w:pPr>
          </w:p>
        </w:tc>
        <w:tc>
          <w:tcPr>
            <w:tcW w:w="8261" w:type="dxa"/>
            <w:vAlign w:val="top"/>
          </w:tcPr>
          <w:p w14:paraId="1555599C">
            <w:pPr>
              <w:rPr>
                <w:rFonts w:ascii="Arial"/>
                <w:sz w:val="21"/>
              </w:rPr>
            </w:pPr>
          </w:p>
        </w:tc>
      </w:tr>
      <w:tr w14:paraId="3C7AB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832" w:type="dxa"/>
            <w:vAlign w:val="top"/>
          </w:tcPr>
          <w:p w14:paraId="4E5736D2">
            <w:pPr>
              <w:pStyle w:val="6"/>
              <w:spacing w:before="140" w:line="268" w:lineRule="exact"/>
              <w:ind w:left="372"/>
            </w:pPr>
            <w:r>
              <w:rPr>
                <w:position w:val="1"/>
              </w:rPr>
              <w:t>5</w:t>
            </w:r>
          </w:p>
        </w:tc>
        <w:tc>
          <w:tcPr>
            <w:tcW w:w="2159" w:type="dxa"/>
            <w:vAlign w:val="top"/>
          </w:tcPr>
          <w:p w14:paraId="5D373502">
            <w:pPr>
              <w:rPr>
                <w:rFonts w:ascii="Arial"/>
                <w:sz w:val="21"/>
              </w:rPr>
            </w:pPr>
          </w:p>
        </w:tc>
        <w:tc>
          <w:tcPr>
            <w:tcW w:w="2519" w:type="dxa"/>
            <w:vAlign w:val="top"/>
          </w:tcPr>
          <w:p w14:paraId="363997B1">
            <w:pPr>
              <w:rPr>
                <w:rFonts w:ascii="Arial"/>
                <w:sz w:val="21"/>
              </w:rPr>
            </w:pPr>
          </w:p>
        </w:tc>
        <w:tc>
          <w:tcPr>
            <w:tcW w:w="8261" w:type="dxa"/>
            <w:vAlign w:val="top"/>
          </w:tcPr>
          <w:p w14:paraId="3976BCF4">
            <w:pPr>
              <w:rPr>
                <w:rFonts w:ascii="Arial"/>
                <w:sz w:val="21"/>
              </w:rPr>
            </w:pPr>
          </w:p>
        </w:tc>
      </w:tr>
      <w:tr w14:paraId="6B40EE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832" w:type="dxa"/>
            <w:vAlign w:val="top"/>
          </w:tcPr>
          <w:p w14:paraId="196A5236">
            <w:pPr>
              <w:pStyle w:val="6"/>
              <w:spacing w:before="139" w:line="269" w:lineRule="exact"/>
              <w:ind w:left="370"/>
            </w:pPr>
            <w:r>
              <w:rPr>
                <w:position w:val="1"/>
              </w:rPr>
              <w:t>6</w:t>
            </w:r>
          </w:p>
        </w:tc>
        <w:tc>
          <w:tcPr>
            <w:tcW w:w="2159" w:type="dxa"/>
            <w:vAlign w:val="top"/>
          </w:tcPr>
          <w:p w14:paraId="42301C6E">
            <w:pPr>
              <w:rPr>
                <w:rFonts w:ascii="Arial"/>
                <w:sz w:val="21"/>
              </w:rPr>
            </w:pPr>
          </w:p>
        </w:tc>
        <w:tc>
          <w:tcPr>
            <w:tcW w:w="2519" w:type="dxa"/>
            <w:vAlign w:val="top"/>
          </w:tcPr>
          <w:p w14:paraId="118D5C61">
            <w:pPr>
              <w:rPr>
                <w:rFonts w:ascii="Arial"/>
                <w:sz w:val="21"/>
              </w:rPr>
            </w:pPr>
          </w:p>
        </w:tc>
        <w:tc>
          <w:tcPr>
            <w:tcW w:w="8261" w:type="dxa"/>
            <w:vAlign w:val="top"/>
          </w:tcPr>
          <w:p w14:paraId="33341A7B">
            <w:pPr>
              <w:rPr>
                <w:rFonts w:ascii="Arial"/>
                <w:sz w:val="21"/>
              </w:rPr>
            </w:pPr>
          </w:p>
        </w:tc>
      </w:tr>
      <w:tr w14:paraId="165712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832" w:type="dxa"/>
            <w:vAlign w:val="top"/>
          </w:tcPr>
          <w:p w14:paraId="6D17D7BB">
            <w:pPr>
              <w:pStyle w:val="6"/>
              <w:spacing w:before="139" w:line="268" w:lineRule="exact"/>
              <w:ind w:left="373"/>
            </w:pPr>
            <w:r>
              <w:rPr>
                <w:position w:val="1"/>
              </w:rPr>
              <w:t>7</w:t>
            </w:r>
          </w:p>
        </w:tc>
        <w:tc>
          <w:tcPr>
            <w:tcW w:w="2159" w:type="dxa"/>
            <w:vAlign w:val="top"/>
          </w:tcPr>
          <w:p w14:paraId="0F7633C3">
            <w:pPr>
              <w:rPr>
                <w:rFonts w:ascii="Arial"/>
                <w:sz w:val="21"/>
              </w:rPr>
            </w:pPr>
          </w:p>
        </w:tc>
        <w:tc>
          <w:tcPr>
            <w:tcW w:w="2519" w:type="dxa"/>
            <w:vAlign w:val="top"/>
          </w:tcPr>
          <w:p w14:paraId="226227CB">
            <w:pPr>
              <w:rPr>
                <w:rFonts w:ascii="Arial"/>
                <w:sz w:val="21"/>
              </w:rPr>
            </w:pPr>
          </w:p>
        </w:tc>
        <w:tc>
          <w:tcPr>
            <w:tcW w:w="8261" w:type="dxa"/>
            <w:vAlign w:val="top"/>
          </w:tcPr>
          <w:p w14:paraId="26806BB5">
            <w:pPr>
              <w:rPr>
                <w:rFonts w:ascii="Arial"/>
                <w:sz w:val="21"/>
              </w:rPr>
            </w:pPr>
          </w:p>
        </w:tc>
      </w:tr>
      <w:tr w14:paraId="7ACB15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832" w:type="dxa"/>
            <w:vAlign w:val="top"/>
          </w:tcPr>
          <w:p w14:paraId="42DA4AF8">
            <w:pPr>
              <w:pStyle w:val="6"/>
              <w:spacing w:before="139" w:line="268" w:lineRule="exact"/>
              <w:ind w:left="369"/>
            </w:pPr>
            <w:r>
              <w:rPr>
                <w:position w:val="1"/>
              </w:rPr>
              <w:t>8</w:t>
            </w:r>
          </w:p>
        </w:tc>
        <w:tc>
          <w:tcPr>
            <w:tcW w:w="2159" w:type="dxa"/>
            <w:vAlign w:val="top"/>
          </w:tcPr>
          <w:p w14:paraId="377FF02B">
            <w:pPr>
              <w:rPr>
                <w:rFonts w:ascii="Arial"/>
                <w:sz w:val="21"/>
              </w:rPr>
            </w:pPr>
          </w:p>
        </w:tc>
        <w:tc>
          <w:tcPr>
            <w:tcW w:w="2519" w:type="dxa"/>
            <w:vAlign w:val="top"/>
          </w:tcPr>
          <w:p w14:paraId="52DCFA3D">
            <w:pPr>
              <w:rPr>
                <w:rFonts w:ascii="Arial"/>
                <w:sz w:val="21"/>
              </w:rPr>
            </w:pPr>
          </w:p>
        </w:tc>
        <w:tc>
          <w:tcPr>
            <w:tcW w:w="8261" w:type="dxa"/>
            <w:vAlign w:val="top"/>
          </w:tcPr>
          <w:p w14:paraId="3E5B2870">
            <w:pPr>
              <w:rPr>
                <w:rFonts w:ascii="Arial"/>
                <w:sz w:val="21"/>
              </w:rPr>
            </w:pPr>
          </w:p>
        </w:tc>
      </w:tr>
    </w:tbl>
    <w:p w14:paraId="3D4379AB">
      <w:pPr>
        <w:spacing w:line="271" w:lineRule="auto"/>
        <w:rPr>
          <w:rFonts w:ascii="Arial"/>
          <w:sz w:val="21"/>
        </w:rPr>
      </w:pPr>
    </w:p>
    <w:p w14:paraId="53AA2FD2">
      <w:pPr>
        <w:spacing w:line="272" w:lineRule="auto"/>
        <w:rPr>
          <w:rFonts w:ascii="Arial"/>
          <w:sz w:val="21"/>
        </w:rPr>
      </w:pPr>
    </w:p>
    <w:p w14:paraId="7E1FA834">
      <w:pPr>
        <w:spacing w:before="65" w:line="227" w:lineRule="auto"/>
        <w:ind w:left="120"/>
        <w:rPr>
          <w:rFonts w:ascii="宋体" w:hAnsi="宋体" w:eastAsia="宋体" w:cs="宋体"/>
          <w:sz w:val="20"/>
          <w:szCs w:val="20"/>
        </w:rPr>
      </w:pPr>
      <w:r>
        <w:rPr>
          <w:rFonts w:ascii="宋体" w:hAnsi="宋体" w:eastAsia="宋体" w:cs="宋体"/>
          <w:spacing w:val="4"/>
          <w:sz w:val="20"/>
          <w:szCs w:val="20"/>
        </w:rPr>
        <w:t xml:space="preserve">评标委员会全体成员签名：          </w:t>
      </w:r>
      <w:r>
        <w:rPr>
          <w:rFonts w:ascii="宋体" w:hAnsi="宋体" w:eastAsia="宋体" w:cs="宋体"/>
          <w:spacing w:val="3"/>
          <w:sz w:val="20"/>
          <w:szCs w:val="20"/>
        </w:rPr>
        <w:t xml:space="preserve">                                                                日期：         年     月     日</w:t>
      </w:r>
    </w:p>
    <w:p w14:paraId="3BC0002B">
      <w:pPr>
        <w:spacing w:line="247" w:lineRule="auto"/>
        <w:rPr>
          <w:rFonts w:ascii="Arial"/>
          <w:sz w:val="21"/>
        </w:rPr>
      </w:pPr>
    </w:p>
    <w:p w14:paraId="79FE8273">
      <w:pPr>
        <w:spacing w:line="247" w:lineRule="auto"/>
        <w:rPr>
          <w:rFonts w:ascii="Arial"/>
          <w:sz w:val="21"/>
        </w:rPr>
      </w:pPr>
    </w:p>
    <w:p w14:paraId="6C00C67A">
      <w:pPr>
        <w:spacing w:line="247" w:lineRule="auto"/>
        <w:rPr>
          <w:rFonts w:ascii="Arial"/>
          <w:sz w:val="21"/>
        </w:rPr>
      </w:pPr>
    </w:p>
    <w:p w14:paraId="40BAD68C">
      <w:pPr>
        <w:spacing w:line="247" w:lineRule="auto"/>
        <w:rPr>
          <w:rFonts w:ascii="Arial"/>
          <w:sz w:val="21"/>
        </w:rPr>
      </w:pPr>
    </w:p>
    <w:p w14:paraId="6935DF20">
      <w:pPr>
        <w:spacing w:before="65" w:line="389" w:lineRule="auto"/>
        <w:ind w:left="756" w:right="115" w:hanging="632"/>
        <w:rPr>
          <w:rFonts w:ascii="宋体" w:hAnsi="宋体" w:eastAsia="宋体" w:cs="宋体"/>
          <w:sz w:val="20"/>
          <w:szCs w:val="20"/>
        </w:rPr>
      </w:pPr>
      <w:r>
        <w:rPr>
          <w:rFonts w:ascii="宋体" w:hAnsi="宋体" w:eastAsia="宋体" w:cs="宋体"/>
          <w:spacing w:val="8"/>
          <w:sz w:val="20"/>
          <w:szCs w:val="20"/>
        </w:rPr>
        <w:t>备注：在本标段招标投标活动中，投标人存在串通投标、弄虚作假、行贿或有其他违法行为，或者不按评标委员会要求澄清、说明或补正导致投标被</w:t>
      </w:r>
      <w:r>
        <w:rPr>
          <w:rFonts w:ascii="宋体" w:hAnsi="宋体" w:eastAsia="宋体" w:cs="宋体"/>
          <w:spacing w:val="7"/>
          <w:sz w:val="20"/>
          <w:szCs w:val="20"/>
        </w:rPr>
        <w:t>否决的，应当在本表中记录。</w:t>
      </w:r>
    </w:p>
    <w:p w14:paraId="0DE5D1CD">
      <w:pPr>
        <w:spacing w:line="389" w:lineRule="auto"/>
        <w:rPr>
          <w:rFonts w:ascii="宋体" w:hAnsi="宋体" w:eastAsia="宋体" w:cs="宋体"/>
          <w:sz w:val="20"/>
          <w:szCs w:val="20"/>
        </w:rPr>
        <w:sectPr>
          <w:footerReference r:id="rId145" w:type="default"/>
          <w:pgSz w:w="16840" w:h="11907"/>
          <w:pgMar w:top="400" w:right="1475" w:bottom="1036" w:left="1588" w:header="0" w:footer="787" w:gutter="0"/>
          <w:cols w:space="720" w:num="1"/>
        </w:sectPr>
      </w:pPr>
    </w:p>
    <w:p w14:paraId="109D7F42">
      <w:pPr>
        <w:spacing w:line="265" w:lineRule="auto"/>
        <w:rPr>
          <w:rFonts w:ascii="Arial"/>
          <w:sz w:val="21"/>
        </w:rPr>
      </w:pPr>
    </w:p>
    <w:p w14:paraId="4018926E">
      <w:pPr>
        <w:spacing w:line="265" w:lineRule="auto"/>
        <w:rPr>
          <w:rFonts w:ascii="Arial"/>
          <w:sz w:val="21"/>
        </w:rPr>
      </w:pPr>
    </w:p>
    <w:p w14:paraId="3477DF8A">
      <w:pPr>
        <w:spacing w:line="266" w:lineRule="auto"/>
        <w:rPr>
          <w:rFonts w:ascii="Arial"/>
          <w:sz w:val="21"/>
        </w:rPr>
      </w:pPr>
    </w:p>
    <w:p w14:paraId="740C62CC">
      <w:pPr>
        <w:spacing w:line="266" w:lineRule="auto"/>
        <w:rPr>
          <w:rFonts w:ascii="Arial"/>
          <w:sz w:val="21"/>
        </w:rPr>
      </w:pPr>
    </w:p>
    <w:p w14:paraId="274848CF">
      <w:pPr>
        <w:spacing w:line="266" w:lineRule="auto"/>
        <w:rPr>
          <w:rFonts w:ascii="Arial"/>
          <w:sz w:val="21"/>
        </w:rPr>
      </w:pPr>
    </w:p>
    <w:p w14:paraId="63362DCB">
      <w:pPr>
        <w:pStyle w:val="2"/>
        <w:spacing w:before="78" w:line="222" w:lineRule="auto"/>
        <w:ind w:left="15"/>
        <w:outlineLvl w:val="1"/>
        <w:rPr>
          <w:sz w:val="24"/>
          <w:szCs w:val="24"/>
        </w:rPr>
      </w:pPr>
      <w:r>
        <w:rPr>
          <w:spacing w:val="-4"/>
          <w:sz w:val="24"/>
          <w:szCs w:val="24"/>
        </w:rPr>
        <w:t>附表</w:t>
      </w:r>
      <w:r>
        <w:rPr>
          <w:spacing w:val="-41"/>
          <w:sz w:val="24"/>
          <w:szCs w:val="24"/>
        </w:rPr>
        <w:t xml:space="preserve"> </w:t>
      </w:r>
      <w:r>
        <w:rPr>
          <w:rFonts w:ascii="Times New Roman" w:hAnsi="Times New Roman" w:eastAsia="Times New Roman" w:cs="Times New Roman"/>
          <w:spacing w:val="-4"/>
          <w:sz w:val="24"/>
          <w:szCs w:val="24"/>
        </w:rPr>
        <w:t>C-</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15"/>
          <w:sz w:val="24"/>
          <w:szCs w:val="24"/>
        </w:rPr>
        <w:t xml:space="preserve"> </w:t>
      </w:r>
      <w:r>
        <w:rPr>
          <w:spacing w:val="-4"/>
          <w:sz w:val="24"/>
          <w:szCs w:val="24"/>
        </w:rPr>
        <w:t>：清标报告</w:t>
      </w:r>
      <w:r>
        <w:rPr>
          <w:rFonts w:ascii="Times New Roman" w:hAnsi="Times New Roman" w:eastAsia="Times New Roman" w:cs="Times New Roman"/>
          <w:spacing w:val="-4"/>
          <w:sz w:val="24"/>
          <w:szCs w:val="24"/>
        </w:rPr>
        <w:t>-</w:t>
      </w:r>
      <w:r>
        <w:rPr>
          <w:spacing w:val="-4"/>
          <w:sz w:val="24"/>
          <w:szCs w:val="24"/>
        </w:rPr>
        <w:t>分部分项工程和单价措施项目符合性检查</w:t>
      </w:r>
    </w:p>
    <w:p w14:paraId="2B65133A">
      <w:pPr>
        <w:spacing w:line="278" w:lineRule="auto"/>
        <w:rPr>
          <w:rFonts w:ascii="Arial"/>
          <w:sz w:val="21"/>
        </w:rPr>
      </w:pPr>
    </w:p>
    <w:p w14:paraId="246EDA22">
      <w:pPr>
        <w:spacing w:line="278" w:lineRule="auto"/>
        <w:rPr>
          <w:rFonts w:ascii="Arial"/>
          <w:sz w:val="21"/>
        </w:rPr>
      </w:pPr>
    </w:p>
    <w:p w14:paraId="53BFBE67">
      <w:pPr>
        <w:spacing w:line="279" w:lineRule="auto"/>
        <w:rPr>
          <w:rFonts w:ascii="Arial"/>
          <w:sz w:val="21"/>
        </w:rPr>
      </w:pPr>
    </w:p>
    <w:p w14:paraId="3C12B4F0">
      <w:pPr>
        <w:pStyle w:val="2"/>
        <w:spacing w:before="101" w:line="393" w:lineRule="auto"/>
        <w:ind w:left="3" w:right="849" w:firstLine="857"/>
        <w:rPr>
          <w:rFonts w:ascii="宋体" w:hAnsi="宋体" w:eastAsia="宋体" w:cs="宋体"/>
          <w:sz w:val="20"/>
          <w:szCs w:val="20"/>
        </w:rPr>
      </w:pPr>
      <w:bookmarkStart w:id="197" w:name="bookmark178"/>
      <w:bookmarkEnd w:id="197"/>
      <w:r>
        <w:rPr>
          <w:spacing w:val="9"/>
          <w:sz w:val="31"/>
          <w:szCs w:val="31"/>
        </w:rPr>
        <w:t>清标报告-分部分项工程和单价措施项目符合性</w:t>
      </w:r>
      <w:r>
        <w:rPr>
          <w:spacing w:val="8"/>
          <w:sz w:val="31"/>
          <w:szCs w:val="31"/>
        </w:rPr>
        <w:t>检查</w:t>
      </w:r>
      <w:r>
        <w:rPr>
          <w:rFonts w:ascii="宋体" w:hAnsi="宋体" w:eastAsia="宋体" w:cs="宋体"/>
          <w:spacing w:val="6"/>
          <w:sz w:val="20"/>
          <w:szCs w:val="20"/>
        </w:rPr>
        <w:t>投标人名称：</w:t>
      </w:r>
    </w:p>
    <w:p w14:paraId="4AECDBC3">
      <w:pPr>
        <w:spacing w:line="212" w:lineRule="exact"/>
      </w:pPr>
    </w:p>
    <w:tbl>
      <w:tblPr>
        <w:tblStyle w:val="5"/>
        <w:tblW w:w="8844"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8"/>
        <w:gridCol w:w="981"/>
        <w:gridCol w:w="981"/>
        <w:gridCol w:w="982"/>
        <w:gridCol w:w="981"/>
        <w:gridCol w:w="981"/>
        <w:gridCol w:w="981"/>
        <w:gridCol w:w="981"/>
        <w:gridCol w:w="988"/>
      </w:tblGrid>
      <w:tr w14:paraId="065D10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2950" w:type="dxa"/>
            <w:gridSpan w:val="3"/>
            <w:tcBorders>
              <w:top w:val="single" w:color="000000" w:sz="4" w:space="0"/>
              <w:left w:val="single" w:color="000000" w:sz="4" w:space="0"/>
              <w:right w:val="single" w:color="000000" w:sz="4" w:space="0"/>
            </w:tcBorders>
            <w:vAlign w:val="top"/>
          </w:tcPr>
          <w:p w14:paraId="6D2D659E">
            <w:pPr>
              <w:pStyle w:val="6"/>
              <w:spacing w:before="161" w:line="229" w:lineRule="auto"/>
              <w:ind w:left="879"/>
              <w:rPr>
                <w:sz w:val="19"/>
                <w:szCs w:val="19"/>
              </w:rPr>
            </w:pPr>
            <w:r>
              <w:rPr>
                <w:spacing w:val="8"/>
                <w:sz w:val="19"/>
                <w:szCs w:val="19"/>
              </w:rPr>
              <w:t>单位工程名称</w:t>
            </w:r>
          </w:p>
        </w:tc>
        <w:tc>
          <w:tcPr>
            <w:tcW w:w="5894" w:type="dxa"/>
            <w:gridSpan w:val="6"/>
            <w:tcBorders>
              <w:top w:val="single" w:color="000000" w:sz="4" w:space="0"/>
              <w:left w:val="single" w:color="000000" w:sz="4" w:space="0"/>
              <w:right w:val="single" w:color="000000" w:sz="4" w:space="0"/>
            </w:tcBorders>
            <w:vAlign w:val="top"/>
          </w:tcPr>
          <w:p w14:paraId="245972C4">
            <w:pPr>
              <w:rPr>
                <w:rFonts w:ascii="Arial"/>
                <w:sz w:val="21"/>
              </w:rPr>
            </w:pPr>
          </w:p>
        </w:tc>
      </w:tr>
      <w:tr w14:paraId="6B8C4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8844" w:type="dxa"/>
            <w:gridSpan w:val="9"/>
            <w:tcBorders>
              <w:left w:val="single" w:color="000000" w:sz="4" w:space="0"/>
              <w:right w:val="single" w:color="000000" w:sz="4" w:space="0"/>
            </w:tcBorders>
            <w:vAlign w:val="top"/>
          </w:tcPr>
          <w:p w14:paraId="3187546B">
            <w:pPr>
              <w:pStyle w:val="6"/>
              <w:spacing w:before="157" w:line="227" w:lineRule="auto"/>
              <w:ind w:left="2419"/>
              <w:rPr>
                <w:sz w:val="19"/>
                <w:szCs w:val="19"/>
              </w:rPr>
            </w:pPr>
            <w:r>
              <w:rPr>
                <w:b/>
                <w:bCs/>
                <w:spacing w:val="8"/>
                <w:sz w:val="19"/>
                <w:szCs w:val="19"/>
              </w:rPr>
              <w:t>一、分部分项工程和单价措施项目符合性检查</w:t>
            </w:r>
          </w:p>
        </w:tc>
      </w:tr>
      <w:tr w14:paraId="4D7F93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988" w:type="dxa"/>
            <w:tcBorders>
              <w:left w:val="single" w:color="000000" w:sz="4" w:space="0"/>
            </w:tcBorders>
            <w:vAlign w:val="top"/>
          </w:tcPr>
          <w:p w14:paraId="4D2171FE">
            <w:pPr>
              <w:pStyle w:val="6"/>
              <w:spacing w:before="33" w:line="229" w:lineRule="auto"/>
              <w:ind w:left="199"/>
              <w:rPr>
                <w:sz w:val="19"/>
                <w:szCs w:val="19"/>
              </w:rPr>
            </w:pPr>
            <w:r>
              <w:rPr>
                <w:spacing w:val="6"/>
                <w:sz w:val="19"/>
                <w:szCs w:val="19"/>
              </w:rPr>
              <w:t>项目名</w:t>
            </w:r>
          </w:p>
          <w:p w14:paraId="53786582">
            <w:pPr>
              <w:pStyle w:val="6"/>
              <w:spacing w:before="23" w:line="233" w:lineRule="auto"/>
              <w:ind w:left="399" w:right="191" w:hanging="204"/>
              <w:rPr>
                <w:sz w:val="19"/>
                <w:szCs w:val="19"/>
              </w:rPr>
            </w:pPr>
            <w:r>
              <w:rPr>
                <w:spacing w:val="7"/>
                <w:sz w:val="19"/>
                <w:szCs w:val="19"/>
              </w:rPr>
              <w:t>称或编</w:t>
            </w:r>
            <w:r>
              <w:rPr>
                <w:sz w:val="19"/>
                <w:szCs w:val="19"/>
              </w:rPr>
              <w:t>号</w:t>
            </w:r>
          </w:p>
        </w:tc>
        <w:tc>
          <w:tcPr>
            <w:tcW w:w="981" w:type="dxa"/>
            <w:tcBorders>
              <w:right w:val="single" w:color="000000" w:sz="4" w:space="0"/>
            </w:tcBorders>
            <w:vAlign w:val="top"/>
          </w:tcPr>
          <w:p w14:paraId="15EEFD9C">
            <w:pPr>
              <w:pStyle w:val="6"/>
              <w:spacing w:before="160" w:line="254" w:lineRule="auto"/>
              <w:ind w:left="192" w:right="188" w:firstLine="3"/>
              <w:rPr>
                <w:sz w:val="19"/>
                <w:szCs w:val="19"/>
              </w:rPr>
            </w:pPr>
            <w:r>
              <w:rPr>
                <w:spacing w:val="6"/>
                <w:sz w:val="19"/>
                <w:szCs w:val="19"/>
              </w:rPr>
              <w:t>项目编</w:t>
            </w:r>
            <w:r>
              <w:rPr>
                <w:spacing w:val="7"/>
                <w:sz w:val="19"/>
                <w:szCs w:val="19"/>
              </w:rPr>
              <w:t>码错误</w:t>
            </w:r>
          </w:p>
        </w:tc>
        <w:tc>
          <w:tcPr>
            <w:tcW w:w="981" w:type="dxa"/>
            <w:tcBorders>
              <w:left w:val="single" w:color="000000" w:sz="4" w:space="0"/>
              <w:right w:val="single" w:color="000000" w:sz="4" w:space="0"/>
            </w:tcBorders>
            <w:vAlign w:val="top"/>
          </w:tcPr>
          <w:p w14:paraId="674C638A">
            <w:pPr>
              <w:pStyle w:val="6"/>
              <w:spacing w:before="160" w:line="254" w:lineRule="auto"/>
              <w:ind w:left="190" w:right="188" w:firstLine="3"/>
              <w:rPr>
                <w:sz w:val="19"/>
                <w:szCs w:val="19"/>
              </w:rPr>
            </w:pPr>
            <w:r>
              <w:rPr>
                <w:spacing w:val="6"/>
                <w:sz w:val="19"/>
                <w:szCs w:val="19"/>
              </w:rPr>
              <w:t>项目名</w:t>
            </w:r>
            <w:r>
              <w:rPr>
                <w:spacing w:val="7"/>
                <w:sz w:val="19"/>
                <w:szCs w:val="19"/>
              </w:rPr>
              <w:t>称错误</w:t>
            </w:r>
          </w:p>
        </w:tc>
        <w:tc>
          <w:tcPr>
            <w:tcW w:w="982" w:type="dxa"/>
            <w:tcBorders>
              <w:left w:val="single" w:color="000000" w:sz="4" w:space="0"/>
            </w:tcBorders>
            <w:vAlign w:val="top"/>
          </w:tcPr>
          <w:p w14:paraId="4935D250">
            <w:pPr>
              <w:pStyle w:val="6"/>
              <w:spacing w:before="33" w:line="228" w:lineRule="auto"/>
              <w:ind w:left="194"/>
              <w:rPr>
                <w:sz w:val="19"/>
                <w:szCs w:val="19"/>
              </w:rPr>
            </w:pPr>
            <w:r>
              <w:rPr>
                <w:spacing w:val="6"/>
                <w:sz w:val="19"/>
                <w:szCs w:val="19"/>
              </w:rPr>
              <w:t>项目特</w:t>
            </w:r>
          </w:p>
          <w:p w14:paraId="46E8F234">
            <w:pPr>
              <w:pStyle w:val="6"/>
              <w:spacing w:before="24" w:line="233" w:lineRule="auto"/>
              <w:ind w:left="291" w:right="190" w:hanging="98"/>
              <w:rPr>
                <w:sz w:val="19"/>
                <w:szCs w:val="19"/>
              </w:rPr>
            </w:pPr>
            <w:r>
              <w:rPr>
                <w:spacing w:val="6"/>
                <w:sz w:val="19"/>
                <w:szCs w:val="19"/>
              </w:rPr>
              <w:t>征描述</w:t>
            </w:r>
            <w:r>
              <w:rPr>
                <w:spacing w:val="5"/>
                <w:sz w:val="19"/>
                <w:szCs w:val="19"/>
              </w:rPr>
              <w:t>错误</w:t>
            </w:r>
          </w:p>
        </w:tc>
        <w:tc>
          <w:tcPr>
            <w:tcW w:w="981" w:type="dxa"/>
            <w:tcBorders>
              <w:right w:val="single" w:color="000000" w:sz="4" w:space="0"/>
            </w:tcBorders>
            <w:vAlign w:val="top"/>
          </w:tcPr>
          <w:p w14:paraId="40D1C5F5">
            <w:pPr>
              <w:pStyle w:val="6"/>
              <w:spacing w:before="160" w:line="254" w:lineRule="auto"/>
              <w:ind w:left="196" w:right="185"/>
              <w:rPr>
                <w:sz w:val="19"/>
                <w:szCs w:val="19"/>
              </w:rPr>
            </w:pPr>
            <w:r>
              <w:rPr>
                <w:spacing w:val="7"/>
                <w:sz w:val="19"/>
                <w:szCs w:val="19"/>
              </w:rPr>
              <w:t>计量单位错误</w:t>
            </w:r>
          </w:p>
        </w:tc>
        <w:tc>
          <w:tcPr>
            <w:tcW w:w="981" w:type="dxa"/>
            <w:tcBorders>
              <w:left w:val="single" w:color="000000" w:sz="4" w:space="0"/>
            </w:tcBorders>
            <w:vAlign w:val="top"/>
          </w:tcPr>
          <w:p w14:paraId="287C0001">
            <w:pPr>
              <w:pStyle w:val="6"/>
              <w:spacing w:before="160" w:line="254" w:lineRule="auto"/>
              <w:ind w:left="294" w:right="187" w:hanging="98"/>
              <w:rPr>
                <w:sz w:val="19"/>
                <w:szCs w:val="19"/>
              </w:rPr>
            </w:pPr>
            <w:r>
              <w:rPr>
                <w:spacing w:val="6"/>
                <w:sz w:val="19"/>
                <w:szCs w:val="19"/>
              </w:rPr>
              <w:t>工程量</w:t>
            </w:r>
            <w:r>
              <w:rPr>
                <w:spacing w:val="5"/>
                <w:sz w:val="19"/>
                <w:szCs w:val="19"/>
              </w:rPr>
              <w:t>错误</w:t>
            </w:r>
          </w:p>
        </w:tc>
        <w:tc>
          <w:tcPr>
            <w:tcW w:w="981" w:type="dxa"/>
            <w:tcBorders>
              <w:right w:val="single" w:color="000000" w:sz="4" w:space="0"/>
            </w:tcBorders>
            <w:vAlign w:val="top"/>
          </w:tcPr>
          <w:p w14:paraId="3DFFEFEF">
            <w:pPr>
              <w:pStyle w:val="6"/>
              <w:spacing w:before="292" w:line="228" w:lineRule="auto"/>
              <w:ind w:left="200"/>
              <w:rPr>
                <w:sz w:val="19"/>
                <w:szCs w:val="19"/>
              </w:rPr>
            </w:pPr>
            <w:r>
              <w:rPr>
                <w:spacing w:val="6"/>
                <w:sz w:val="19"/>
                <w:szCs w:val="19"/>
              </w:rPr>
              <w:t>未填报</w:t>
            </w:r>
          </w:p>
        </w:tc>
        <w:tc>
          <w:tcPr>
            <w:tcW w:w="981" w:type="dxa"/>
            <w:tcBorders>
              <w:left w:val="single" w:color="000000" w:sz="4" w:space="0"/>
              <w:right w:val="single" w:color="000000" w:sz="4" w:space="0"/>
            </w:tcBorders>
            <w:vAlign w:val="top"/>
          </w:tcPr>
          <w:p w14:paraId="6596A41E">
            <w:pPr>
              <w:pStyle w:val="6"/>
              <w:spacing w:before="292" w:line="229" w:lineRule="auto"/>
              <w:ind w:left="305"/>
              <w:rPr>
                <w:sz w:val="19"/>
                <w:szCs w:val="19"/>
              </w:rPr>
            </w:pPr>
            <w:r>
              <w:rPr>
                <w:sz w:val="19"/>
                <w:szCs w:val="19"/>
              </w:rPr>
              <w:t>多项</w:t>
            </w:r>
          </w:p>
        </w:tc>
        <w:tc>
          <w:tcPr>
            <w:tcW w:w="988" w:type="dxa"/>
            <w:tcBorders>
              <w:left w:val="single" w:color="000000" w:sz="4" w:space="0"/>
              <w:right w:val="single" w:color="000000" w:sz="4" w:space="0"/>
            </w:tcBorders>
            <w:vAlign w:val="top"/>
          </w:tcPr>
          <w:p w14:paraId="037D2266">
            <w:pPr>
              <w:pStyle w:val="6"/>
              <w:spacing w:before="159" w:line="254" w:lineRule="auto"/>
              <w:ind w:left="201" w:right="187" w:firstLine="96"/>
              <w:rPr>
                <w:sz w:val="19"/>
                <w:szCs w:val="19"/>
              </w:rPr>
            </w:pPr>
            <w:r>
              <w:rPr>
                <w:spacing w:val="4"/>
                <w:sz w:val="19"/>
                <w:szCs w:val="19"/>
              </w:rPr>
              <w:t>单价</w:t>
            </w:r>
            <w:r>
              <w:rPr>
                <w:spacing w:val="6"/>
                <w:sz w:val="19"/>
                <w:szCs w:val="19"/>
              </w:rPr>
              <w:t>一致性</w:t>
            </w:r>
          </w:p>
        </w:tc>
      </w:tr>
      <w:tr w14:paraId="1D0901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559A69E7">
            <w:pPr>
              <w:rPr>
                <w:rFonts w:ascii="Arial"/>
                <w:sz w:val="21"/>
              </w:rPr>
            </w:pPr>
          </w:p>
        </w:tc>
        <w:tc>
          <w:tcPr>
            <w:tcW w:w="981" w:type="dxa"/>
            <w:tcBorders>
              <w:right w:val="single" w:color="000000" w:sz="4" w:space="0"/>
            </w:tcBorders>
            <w:vAlign w:val="top"/>
          </w:tcPr>
          <w:p w14:paraId="7A81AC81">
            <w:pPr>
              <w:rPr>
                <w:rFonts w:ascii="Arial"/>
                <w:sz w:val="21"/>
              </w:rPr>
            </w:pPr>
          </w:p>
        </w:tc>
        <w:tc>
          <w:tcPr>
            <w:tcW w:w="981" w:type="dxa"/>
            <w:tcBorders>
              <w:left w:val="single" w:color="000000" w:sz="4" w:space="0"/>
              <w:right w:val="single" w:color="000000" w:sz="4" w:space="0"/>
            </w:tcBorders>
            <w:vAlign w:val="top"/>
          </w:tcPr>
          <w:p w14:paraId="2560320E">
            <w:pPr>
              <w:rPr>
                <w:rFonts w:ascii="Arial"/>
                <w:sz w:val="21"/>
              </w:rPr>
            </w:pPr>
          </w:p>
        </w:tc>
        <w:tc>
          <w:tcPr>
            <w:tcW w:w="982" w:type="dxa"/>
            <w:tcBorders>
              <w:left w:val="single" w:color="000000" w:sz="4" w:space="0"/>
            </w:tcBorders>
            <w:vAlign w:val="top"/>
          </w:tcPr>
          <w:p w14:paraId="6F8B9048">
            <w:pPr>
              <w:rPr>
                <w:rFonts w:ascii="Arial"/>
                <w:sz w:val="21"/>
              </w:rPr>
            </w:pPr>
          </w:p>
        </w:tc>
        <w:tc>
          <w:tcPr>
            <w:tcW w:w="981" w:type="dxa"/>
            <w:tcBorders>
              <w:right w:val="single" w:color="000000" w:sz="4" w:space="0"/>
            </w:tcBorders>
            <w:vAlign w:val="top"/>
          </w:tcPr>
          <w:p w14:paraId="233088D2">
            <w:pPr>
              <w:rPr>
                <w:rFonts w:ascii="Arial"/>
                <w:sz w:val="21"/>
              </w:rPr>
            </w:pPr>
          </w:p>
        </w:tc>
        <w:tc>
          <w:tcPr>
            <w:tcW w:w="981" w:type="dxa"/>
            <w:tcBorders>
              <w:left w:val="single" w:color="000000" w:sz="4" w:space="0"/>
            </w:tcBorders>
            <w:vAlign w:val="top"/>
          </w:tcPr>
          <w:p w14:paraId="17EC518F">
            <w:pPr>
              <w:rPr>
                <w:rFonts w:ascii="Arial"/>
                <w:sz w:val="21"/>
              </w:rPr>
            </w:pPr>
          </w:p>
        </w:tc>
        <w:tc>
          <w:tcPr>
            <w:tcW w:w="981" w:type="dxa"/>
            <w:tcBorders>
              <w:right w:val="single" w:color="000000" w:sz="4" w:space="0"/>
            </w:tcBorders>
            <w:vAlign w:val="top"/>
          </w:tcPr>
          <w:p w14:paraId="2EA4C345">
            <w:pPr>
              <w:rPr>
                <w:rFonts w:ascii="Arial"/>
                <w:sz w:val="21"/>
              </w:rPr>
            </w:pPr>
          </w:p>
        </w:tc>
        <w:tc>
          <w:tcPr>
            <w:tcW w:w="981" w:type="dxa"/>
            <w:tcBorders>
              <w:left w:val="single" w:color="000000" w:sz="4" w:space="0"/>
              <w:right w:val="single" w:color="000000" w:sz="4" w:space="0"/>
            </w:tcBorders>
            <w:vAlign w:val="top"/>
          </w:tcPr>
          <w:p w14:paraId="687200AF">
            <w:pPr>
              <w:rPr>
                <w:rFonts w:ascii="Arial"/>
                <w:sz w:val="21"/>
              </w:rPr>
            </w:pPr>
          </w:p>
        </w:tc>
        <w:tc>
          <w:tcPr>
            <w:tcW w:w="988" w:type="dxa"/>
            <w:tcBorders>
              <w:left w:val="single" w:color="000000" w:sz="4" w:space="0"/>
              <w:right w:val="single" w:color="000000" w:sz="4" w:space="0"/>
            </w:tcBorders>
            <w:vAlign w:val="top"/>
          </w:tcPr>
          <w:p w14:paraId="202C575A">
            <w:pPr>
              <w:rPr>
                <w:rFonts w:ascii="Arial"/>
                <w:sz w:val="21"/>
              </w:rPr>
            </w:pPr>
          </w:p>
        </w:tc>
      </w:tr>
      <w:tr w14:paraId="5B37E5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988" w:type="dxa"/>
            <w:tcBorders>
              <w:left w:val="single" w:color="000000" w:sz="4" w:space="0"/>
            </w:tcBorders>
            <w:vAlign w:val="top"/>
          </w:tcPr>
          <w:p w14:paraId="6FD138C6">
            <w:pPr>
              <w:rPr>
                <w:rFonts w:ascii="Arial"/>
                <w:sz w:val="21"/>
              </w:rPr>
            </w:pPr>
          </w:p>
        </w:tc>
        <w:tc>
          <w:tcPr>
            <w:tcW w:w="981" w:type="dxa"/>
            <w:tcBorders>
              <w:right w:val="single" w:color="000000" w:sz="4" w:space="0"/>
            </w:tcBorders>
            <w:vAlign w:val="top"/>
          </w:tcPr>
          <w:p w14:paraId="451C50C9">
            <w:pPr>
              <w:rPr>
                <w:rFonts w:ascii="Arial"/>
                <w:sz w:val="21"/>
              </w:rPr>
            </w:pPr>
          </w:p>
        </w:tc>
        <w:tc>
          <w:tcPr>
            <w:tcW w:w="981" w:type="dxa"/>
            <w:tcBorders>
              <w:left w:val="single" w:color="000000" w:sz="4" w:space="0"/>
              <w:right w:val="single" w:color="000000" w:sz="4" w:space="0"/>
            </w:tcBorders>
            <w:vAlign w:val="top"/>
          </w:tcPr>
          <w:p w14:paraId="3435FFE8">
            <w:pPr>
              <w:rPr>
                <w:rFonts w:ascii="Arial"/>
                <w:sz w:val="21"/>
              </w:rPr>
            </w:pPr>
          </w:p>
        </w:tc>
        <w:tc>
          <w:tcPr>
            <w:tcW w:w="982" w:type="dxa"/>
            <w:tcBorders>
              <w:left w:val="single" w:color="000000" w:sz="4" w:space="0"/>
            </w:tcBorders>
            <w:vAlign w:val="top"/>
          </w:tcPr>
          <w:p w14:paraId="5C8F4970">
            <w:pPr>
              <w:rPr>
                <w:rFonts w:ascii="Arial"/>
                <w:sz w:val="21"/>
              </w:rPr>
            </w:pPr>
          </w:p>
        </w:tc>
        <w:tc>
          <w:tcPr>
            <w:tcW w:w="981" w:type="dxa"/>
            <w:tcBorders>
              <w:right w:val="single" w:color="000000" w:sz="4" w:space="0"/>
            </w:tcBorders>
            <w:vAlign w:val="top"/>
          </w:tcPr>
          <w:p w14:paraId="39279985">
            <w:pPr>
              <w:rPr>
                <w:rFonts w:ascii="Arial"/>
                <w:sz w:val="21"/>
              </w:rPr>
            </w:pPr>
          </w:p>
        </w:tc>
        <w:tc>
          <w:tcPr>
            <w:tcW w:w="981" w:type="dxa"/>
            <w:tcBorders>
              <w:left w:val="single" w:color="000000" w:sz="4" w:space="0"/>
            </w:tcBorders>
            <w:vAlign w:val="top"/>
          </w:tcPr>
          <w:p w14:paraId="5B5E6C77">
            <w:pPr>
              <w:rPr>
                <w:rFonts w:ascii="Arial"/>
                <w:sz w:val="21"/>
              </w:rPr>
            </w:pPr>
          </w:p>
        </w:tc>
        <w:tc>
          <w:tcPr>
            <w:tcW w:w="981" w:type="dxa"/>
            <w:tcBorders>
              <w:right w:val="single" w:color="000000" w:sz="4" w:space="0"/>
            </w:tcBorders>
            <w:vAlign w:val="top"/>
          </w:tcPr>
          <w:p w14:paraId="6FE09747">
            <w:pPr>
              <w:rPr>
                <w:rFonts w:ascii="Arial"/>
                <w:sz w:val="21"/>
              </w:rPr>
            </w:pPr>
          </w:p>
        </w:tc>
        <w:tc>
          <w:tcPr>
            <w:tcW w:w="981" w:type="dxa"/>
            <w:tcBorders>
              <w:left w:val="single" w:color="000000" w:sz="4" w:space="0"/>
              <w:right w:val="single" w:color="000000" w:sz="4" w:space="0"/>
            </w:tcBorders>
            <w:vAlign w:val="top"/>
          </w:tcPr>
          <w:p w14:paraId="038728E5">
            <w:pPr>
              <w:rPr>
                <w:rFonts w:ascii="Arial"/>
                <w:sz w:val="21"/>
              </w:rPr>
            </w:pPr>
          </w:p>
        </w:tc>
        <w:tc>
          <w:tcPr>
            <w:tcW w:w="988" w:type="dxa"/>
            <w:tcBorders>
              <w:left w:val="single" w:color="000000" w:sz="4" w:space="0"/>
              <w:right w:val="single" w:color="000000" w:sz="4" w:space="0"/>
            </w:tcBorders>
            <w:vAlign w:val="top"/>
          </w:tcPr>
          <w:p w14:paraId="5935CD23">
            <w:pPr>
              <w:rPr>
                <w:rFonts w:ascii="Arial"/>
                <w:sz w:val="21"/>
              </w:rPr>
            </w:pPr>
          </w:p>
        </w:tc>
      </w:tr>
      <w:tr w14:paraId="241C8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3AC9C098">
            <w:pPr>
              <w:rPr>
                <w:rFonts w:ascii="Arial"/>
                <w:sz w:val="21"/>
              </w:rPr>
            </w:pPr>
          </w:p>
        </w:tc>
        <w:tc>
          <w:tcPr>
            <w:tcW w:w="981" w:type="dxa"/>
            <w:tcBorders>
              <w:right w:val="single" w:color="000000" w:sz="4" w:space="0"/>
            </w:tcBorders>
            <w:vAlign w:val="top"/>
          </w:tcPr>
          <w:p w14:paraId="2B306253">
            <w:pPr>
              <w:rPr>
                <w:rFonts w:ascii="Arial"/>
                <w:sz w:val="21"/>
              </w:rPr>
            </w:pPr>
          </w:p>
        </w:tc>
        <w:tc>
          <w:tcPr>
            <w:tcW w:w="981" w:type="dxa"/>
            <w:tcBorders>
              <w:left w:val="single" w:color="000000" w:sz="4" w:space="0"/>
              <w:right w:val="single" w:color="000000" w:sz="4" w:space="0"/>
            </w:tcBorders>
            <w:vAlign w:val="top"/>
          </w:tcPr>
          <w:p w14:paraId="46DA0F2F">
            <w:pPr>
              <w:rPr>
                <w:rFonts w:ascii="Arial"/>
                <w:sz w:val="21"/>
              </w:rPr>
            </w:pPr>
          </w:p>
        </w:tc>
        <w:tc>
          <w:tcPr>
            <w:tcW w:w="982" w:type="dxa"/>
            <w:tcBorders>
              <w:left w:val="single" w:color="000000" w:sz="4" w:space="0"/>
            </w:tcBorders>
            <w:vAlign w:val="top"/>
          </w:tcPr>
          <w:p w14:paraId="5912885B">
            <w:pPr>
              <w:rPr>
                <w:rFonts w:ascii="Arial"/>
                <w:sz w:val="21"/>
              </w:rPr>
            </w:pPr>
          </w:p>
        </w:tc>
        <w:tc>
          <w:tcPr>
            <w:tcW w:w="981" w:type="dxa"/>
            <w:tcBorders>
              <w:right w:val="single" w:color="000000" w:sz="4" w:space="0"/>
            </w:tcBorders>
            <w:vAlign w:val="top"/>
          </w:tcPr>
          <w:p w14:paraId="11FA6887">
            <w:pPr>
              <w:rPr>
                <w:rFonts w:ascii="Arial"/>
                <w:sz w:val="21"/>
              </w:rPr>
            </w:pPr>
          </w:p>
        </w:tc>
        <w:tc>
          <w:tcPr>
            <w:tcW w:w="981" w:type="dxa"/>
            <w:tcBorders>
              <w:left w:val="single" w:color="000000" w:sz="4" w:space="0"/>
            </w:tcBorders>
            <w:vAlign w:val="top"/>
          </w:tcPr>
          <w:p w14:paraId="32150E75">
            <w:pPr>
              <w:rPr>
                <w:rFonts w:ascii="Arial"/>
                <w:sz w:val="21"/>
              </w:rPr>
            </w:pPr>
          </w:p>
        </w:tc>
        <w:tc>
          <w:tcPr>
            <w:tcW w:w="981" w:type="dxa"/>
            <w:tcBorders>
              <w:right w:val="single" w:color="000000" w:sz="4" w:space="0"/>
            </w:tcBorders>
            <w:vAlign w:val="top"/>
          </w:tcPr>
          <w:p w14:paraId="3CBA34F5">
            <w:pPr>
              <w:rPr>
                <w:rFonts w:ascii="Arial"/>
                <w:sz w:val="21"/>
              </w:rPr>
            </w:pPr>
          </w:p>
        </w:tc>
        <w:tc>
          <w:tcPr>
            <w:tcW w:w="981" w:type="dxa"/>
            <w:tcBorders>
              <w:left w:val="single" w:color="000000" w:sz="4" w:space="0"/>
              <w:right w:val="single" w:color="000000" w:sz="4" w:space="0"/>
            </w:tcBorders>
            <w:vAlign w:val="top"/>
          </w:tcPr>
          <w:p w14:paraId="4E523B84">
            <w:pPr>
              <w:rPr>
                <w:rFonts w:ascii="Arial"/>
                <w:sz w:val="21"/>
              </w:rPr>
            </w:pPr>
          </w:p>
        </w:tc>
        <w:tc>
          <w:tcPr>
            <w:tcW w:w="988" w:type="dxa"/>
            <w:tcBorders>
              <w:left w:val="single" w:color="000000" w:sz="4" w:space="0"/>
              <w:right w:val="single" w:color="000000" w:sz="4" w:space="0"/>
            </w:tcBorders>
            <w:vAlign w:val="top"/>
          </w:tcPr>
          <w:p w14:paraId="461E5810">
            <w:pPr>
              <w:rPr>
                <w:rFonts w:ascii="Arial"/>
                <w:sz w:val="21"/>
              </w:rPr>
            </w:pPr>
          </w:p>
        </w:tc>
      </w:tr>
      <w:tr w14:paraId="04A35C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3E8F1D6A">
            <w:pPr>
              <w:rPr>
                <w:rFonts w:ascii="Arial"/>
                <w:sz w:val="21"/>
              </w:rPr>
            </w:pPr>
          </w:p>
        </w:tc>
        <w:tc>
          <w:tcPr>
            <w:tcW w:w="981" w:type="dxa"/>
            <w:tcBorders>
              <w:right w:val="single" w:color="000000" w:sz="4" w:space="0"/>
            </w:tcBorders>
            <w:vAlign w:val="top"/>
          </w:tcPr>
          <w:p w14:paraId="5701D6CA">
            <w:pPr>
              <w:rPr>
                <w:rFonts w:ascii="Arial"/>
                <w:sz w:val="21"/>
              </w:rPr>
            </w:pPr>
          </w:p>
        </w:tc>
        <w:tc>
          <w:tcPr>
            <w:tcW w:w="981" w:type="dxa"/>
            <w:tcBorders>
              <w:left w:val="single" w:color="000000" w:sz="4" w:space="0"/>
              <w:right w:val="single" w:color="000000" w:sz="4" w:space="0"/>
            </w:tcBorders>
            <w:vAlign w:val="top"/>
          </w:tcPr>
          <w:p w14:paraId="06361F86">
            <w:pPr>
              <w:rPr>
                <w:rFonts w:ascii="Arial"/>
                <w:sz w:val="21"/>
              </w:rPr>
            </w:pPr>
          </w:p>
        </w:tc>
        <w:tc>
          <w:tcPr>
            <w:tcW w:w="982" w:type="dxa"/>
            <w:tcBorders>
              <w:left w:val="single" w:color="000000" w:sz="4" w:space="0"/>
            </w:tcBorders>
            <w:vAlign w:val="top"/>
          </w:tcPr>
          <w:p w14:paraId="2B255EF7">
            <w:pPr>
              <w:rPr>
                <w:rFonts w:ascii="Arial"/>
                <w:sz w:val="21"/>
              </w:rPr>
            </w:pPr>
          </w:p>
        </w:tc>
        <w:tc>
          <w:tcPr>
            <w:tcW w:w="981" w:type="dxa"/>
            <w:tcBorders>
              <w:right w:val="single" w:color="000000" w:sz="4" w:space="0"/>
            </w:tcBorders>
            <w:vAlign w:val="top"/>
          </w:tcPr>
          <w:p w14:paraId="59646468">
            <w:pPr>
              <w:rPr>
                <w:rFonts w:ascii="Arial"/>
                <w:sz w:val="21"/>
              </w:rPr>
            </w:pPr>
          </w:p>
        </w:tc>
        <w:tc>
          <w:tcPr>
            <w:tcW w:w="981" w:type="dxa"/>
            <w:tcBorders>
              <w:left w:val="single" w:color="000000" w:sz="4" w:space="0"/>
            </w:tcBorders>
            <w:vAlign w:val="top"/>
          </w:tcPr>
          <w:p w14:paraId="4A635D63">
            <w:pPr>
              <w:rPr>
                <w:rFonts w:ascii="Arial"/>
                <w:sz w:val="21"/>
              </w:rPr>
            </w:pPr>
          </w:p>
        </w:tc>
        <w:tc>
          <w:tcPr>
            <w:tcW w:w="981" w:type="dxa"/>
            <w:tcBorders>
              <w:right w:val="single" w:color="000000" w:sz="4" w:space="0"/>
            </w:tcBorders>
            <w:vAlign w:val="top"/>
          </w:tcPr>
          <w:p w14:paraId="28981B7B">
            <w:pPr>
              <w:rPr>
                <w:rFonts w:ascii="Arial"/>
                <w:sz w:val="21"/>
              </w:rPr>
            </w:pPr>
          </w:p>
        </w:tc>
        <w:tc>
          <w:tcPr>
            <w:tcW w:w="981" w:type="dxa"/>
            <w:tcBorders>
              <w:left w:val="single" w:color="000000" w:sz="4" w:space="0"/>
              <w:right w:val="single" w:color="000000" w:sz="4" w:space="0"/>
            </w:tcBorders>
            <w:vAlign w:val="top"/>
          </w:tcPr>
          <w:p w14:paraId="2082CECB">
            <w:pPr>
              <w:rPr>
                <w:rFonts w:ascii="Arial"/>
                <w:sz w:val="21"/>
              </w:rPr>
            </w:pPr>
          </w:p>
        </w:tc>
        <w:tc>
          <w:tcPr>
            <w:tcW w:w="988" w:type="dxa"/>
            <w:tcBorders>
              <w:left w:val="single" w:color="000000" w:sz="4" w:space="0"/>
              <w:right w:val="single" w:color="000000" w:sz="4" w:space="0"/>
            </w:tcBorders>
            <w:vAlign w:val="top"/>
          </w:tcPr>
          <w:p w14:paraId="73043D62">
            <w:pPr>
              <w:rPr>
                <w:rFonts w:ascii="Arial"/>
                <w:sz w:val="21"/>
              </w:rPr>
            </w:pPr>
          </w:p>
        </w:tc>
      </w:tr>
      <w:tr w14:paraId="299EC6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6CC85CF6">
            <w:pPr>
              <w:rPr>
                <w:rFonts w:ascii="Arial"/>
                <w:sz w:val="21"/>
              </w:rPr>
            </w:pPr>
          </w:p>
        </w:tc>
        <w:tc>
          <w:tcPr>
            <w:tcW w:w="981" w:type="dxa"/>
            <w:tcBorders>
              <w:right w:val="single" w:color="000000" w:sz="4" w:space="0"/>
            </w:tcBorders>
            <w:vAlign w:val="top"/>
          </w:tcPr>
          <w:p w14:paraId="1880E3DF">
            <w:pPr>
              <w:rPr>
                <w:rFonts w:ascii="Arial"/>
                <w:sz w:val="21"/>
              </w:rPr>
            </w:pPr>
          </w:p>
        </w:tc>
        <w:tc>
          <w:tcPr>
            <w:tcW w:w="981" w:type="dxa"/>
            <w:tcBorders>
              <w:left w:val="single" w:color="000000" w:sz="4" w:space="0"/>
              <w:right w:val="single" w:color="000000" w:sz="4" w:space="0"/>
            </w:tcBorders>
            <w:vAlign w:val="top"/>
          </w:tcPr>
          <w:p w14:paraId="19E1C841">
            <w:pPr>
              <w:rPr>
                <w:rFonts w:ascii="Arial"/>
                <w:sz w:val="21"/>
              </w:rPr>
            </w:pPr>
          </w:p>
        </w:tc>
        <w:tc>
          <w:tcPr>
            <w:tcW w:w="982" w:type="dxa"/>
            <w:tcBorders>
              <w:left w:val="single" w:color="000000" w:sz="4" w:space="0"/>
            </w:tcBorders>
            <w:vAlign w:val="top"/>
          </w:tcPr>
          <w:p w14:paraId="39C7BC2E">
            <w:pPr>
              <w:rPr>
                <w:rFonts w:ascii="Arial"/>
                <w:sz w:val="21"/>
              </w:rPr>
            </w:pPr>
          </w:p>
        </w:tc>
        <w:tc>
          <w:tcPr>
            <w:tcW w:w="981" w:type="dxa"/>
            <w:tcBorders>
              <w:right w:val="single" w:color="000000" w:sz="4" w:space="0"/>
            </w:tcBorders>
            <w:vAlign w:val="top"/>
          </w:tcPr>
          <w:p w14:paraId="2AD2D447">
            <w:pPr>
              <w:rPr>
                <w:rFonts w:ascii="Arial"/>
                <w:sz w:val="21"/>
              </w:rPr>
            </w:pPr>
          </w:p>
        </w:tc>
        <w:tc>
          <w:tcPr>
            <w:tcW w:w="981" w:type="dxa"/>
            <w:tcBorders>
              <w:left w:val="single" w:color="000000" w:sz="4" w:space="0"/>
            </w:tcBorders>
            <w:vAlign w:val="top"/>
          </w:tcPr>
          <w:p w14:paraId="3C2F2E5A">
            <w:pPr>
              <w:rPr>
                <w:rFonts w:ascii="Arial"/>
                <w:sz w:val="21"/>
              </w:rPr>
            </w:pPr>
          </w:p>
        </w:tc>
        <w:tc>
          <w:tcPr>
            <w:tcW w:w="981" w:type="dxa"/>
            <w:tcBorders>
              <w:right w:val="single" w:color="000000" w:sz="4" w:space="0"/>
            </w:tcBorders>
            <w:vAlign w:val="top"/>
          </w:tcPr>
          <w:p w14:paraId="69DD61DF">
            <w:pPr>
              <w:rPr>
                <w:rFonts w:ascii="Arial"/>
                <w:sz w:val="21"/>
              </w:rPr>
            </w:pPr>
          </w:p>
        </w:tc>
        <w:tc>
          <w:tcPr>
            <w:tcW w:w="981" w:type="dxa"/>
            <w:tcBorders>
              <w:left w:val="single" w:color="000000" w:sz="4" w:space="0"/>
              <w:right w:val="single" w:color="000000" w:sz="4" w:space="0"/>
            </w:tcBorders>
            <w:vAlign w:val="top"/>
          </w:tcPr>
          <w:p w14:paraId="7FEF6578">
            <w:pPr>
              <w:rPr>
                <w:rFonts w:ascii="Arial"/>
                <w:sz w:val="21"/>
              </w:rPr>
            </w:pPr>
          </w:p>
        </w:tc>
        <w:tc>
          <w:tcPr>
            <w:tcW w:w="988" w:type="dxa"/>
            <w:tcBorders>
              <w:left w:val="single" w:color="000000" w:sz="4" w:space="0"/>
              <w:right w:val="single" w:color="000000" w:sz="4" w:space="0"/>
            </w:tcBorders>
            <w:vAlign w:val="top"/>
          </w:tcPr>
          <w:p w14:paraId="03151B35">
            <w:pPr>
              <w:rPr>
                <w:rFonts w:ascii="Arial"/>
                <w:sz w:val="21"/>
              </w:rPr>
            </w:pPr>
          </w:p>
        </w:tc>
      </w:tr>
      <w:tr w14:paraId="38E125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988" w:type="dxa"/>
            <w:tcBorders>
              <w:left w:val="single" w:color="000000" w:sz="4" w:space="0"/>
            </w:tcBorders>
            <w:vAlign w:val="top"/>
          </w:tcPr>
          <w:p w14:paraId="6E3D1D53">
            <w:pPr>
              <w:rPr>
                <w:rFonts w:ascii="Arial"/>
                <w:sz w:val="21"/>
              </w:rPr>
            </w:pPr>
          </w:p>
        </w:tc>
        <w:tc>
          <w:tcPr>
            <w:tcW w:w="981" w:type="dxa"/>
            <w:tcBorders>
              <w:right w:val="single" w:color="000000" w:sz="4" w:space="0"/>
            </w:tcBorders>
            <w:vAlign w:val="top"/>
          </w:tcPr>
          <w:p w14:paraId="44F1D096">
            <w:pPr>
              <w:rPr>
                <w:rFonts w:ascii="Arial"/>
                <w:sz w:val="21"/>
              </w:rPr>
            </w:pPr>
          </w:p>
        </w:tc>
        <w:tc>
          <w:tcPr>
            <w:tcW w:w="981" w:type="dxa"/>
            <w:tcBorders>
              <w:left w:val="single" w:color="000000" w:sz="4" w:space="0"/>
              <w:right w:val="single" w:color="000000" w:sz="4" w:space="0"/>
            </w:tcBorders>
            <w:vAlign w:val="top"/>
          </w:tcPr>
          <w:p w14:paraId="7C02CACE">
            <w:pPr>
              <w:rPr>
                <w:rFonts w:ascii="Arial"/>
                <w:sz w:val="21"/>
              </w:rPr>
            </w:pPr>
          </w:p>
        </w:tc>
        <w:tc>
          <w:tcPr>
            <w:tcW w:w="982" w:type="dxa"/>
            <w:tcBorders>
              <w:left w:val="single" w:color="000000" w:sz="4" w:space="0"/>
            </w:tcBorders>
            <w:vAlign w:val="top"/>
          </w:tcPr>
          <w:p w14:paraId="1C945596">
            <w:pPr>
              <w:rPr>
                <w:rFonts w:ascii="Arial"/>
                <w:sz w:val="21"/>
              </w:rPr>
            </w:pPr>
          </w:p>
        </w:tc>
        <w:tc>
          <w:tcPr>
            <w:tcW w:w="981" w:type="dxa"/>
            <w:tcBorders>
              <w:right w:val="single" w:color="000000" w:sz="4" w:space="0"/>
            </w:tcBorders>
            <w:vAlign w:val="top"/>
          </w:tcPr>
          <w:p w14:paraId="70817405">
            <w:pPr>
              <w:rPr>
                <w:rFonts w:ascii="Arial"/>
                <w:sz w:val="21"/>
              </w:rPr>
            </w:pPr>
          </w:p>
        </w:tc>
        <w:tc>
          <w:tcPr>
            <w:tcW w:w="981" w:type="dxa"/>
            <w:tcBorders>
              <w:left w:val="single" w:color="000000" w:sz="4" w:space="0"/>
            </w:tcBorders>
            <w:vAlign w:val="top"/>
          </w:tcPr>
          <w:p w14:paraId="262A2870">
            <w:pPr>
              <w:rPr>
                <w:rFonts w:ascii="Arial"/>
                <w:sz w:val="21"/>
              </w:rPr>
            </w:pPr>
          </w:p>
        </w:tc>
        <w:tc>
          <w:tcPr>
            <w:tcW w:w="981" w:type="dxa"/>
            <w:tcBorders>
              <w:right w:val="single" w:color="000000" w:sz="4" w:space="0"/>
            </w:tcBorders>
            <w:vAlign w:val="top"/>
          </w:tcPr>
          <w:p w14:paraId="583FB96C">
            <w:pPr>
              <w:rPr>
                <w:rFonts w:ascii="Arial"/>
                <w:sz w:val="21"/>
              </w:rPr>
            </w:pPr>
          </w:p>
        </w:tc>
        <w:tc>
          <w:tcPr>
            <w:tcW w:w="981" w:type="dxa"/>
            <w:tcBorders>
              <w:left w:val="single" w:color="000000" w:sz="4" w:space="0"/>
              <w:right w:val="single" w:color="000000" w:sz="4" w:space="0"/>
            </w:tcBorders>
            <w:vAlign w:val="top"/>
          </w:tcPr>
          <w:p w14:paraId="457DCE4E">
            <w:pPr>
              <w:rPr>
                <w:rFonts w:ascii="Arial"/>
                <w:sz w:val="21"/>
              </w:rPr>
            </w:pPr>
          </w:p>
        </w:tc>
        <w:tc>
          <w:tcPr>
            <w:tcW w:w="988" w:type="dxa"/>
            <w:tcBorders>
              <w:left w:val="single" w:color="000000" w:sz="4" w:space="0"/>
              <w:right w:val="single" w:color="000000" w:sz="4" w:space="0"/>
            </w:tcBorders>
            <w:vAlign w:val="top"/>
          </w:tcPr>
          <w:p w14:paraId="4920EC48">
            <w:pPr>
              <w:rPr>
                <w:rFonts w:ascii="Arial"/>
                <w:sz w:val="21"/>
              </w:rPr>
            </w:pPr>
          </w:p>
        </w:tc>
      </w:tr>
      <w:tr w14:paraId="089B8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1A902E09">
            <w:pPr>
              <w:rPr>
                <w:rFonts w:ascii="Arial"/>
                <w:sz w:val="21"/>
              </w:rPr>
            </w:pPr>
          </w:p>
        </w:tc>
        <w:tc>
          <w:tcPr>
            <w:tcW w:w="981" w:type="dxa"/>
            <w:tcBorders>
              <w:right w:val="single" w:color="000000" w:sz="4" w:space="0"/>
            </w:tcBorders>
            <w:vAlign w:val="top"/>
          </w:tcPr>
          <w:p w14:paraId="14978E0D">
            <w:pPr>
              <w:rPr>
                <w:rFonts w:ascii="Arial"/>
                <w:sz w:val="21"/>
              </w:rPr>
            </w:pPr>
          </w:p>
        </w:tc>
        <w:tc>
          <w:tcPr>
            <w:tcW w:w="981" w:type="dxa"/>
            <w:tcBorders>
              <w:left w:val="single" w:color="000000" w:sz="4" w:space="0"/>
              <w:right w:val="single" w:color="000000" w:sz="4" w:space="0"/>
            </w:tcBorders>
            <w:vAlign w:val="top"/>
          </w:tcPr>
          <w:p w14:paraId="58D8F3EF">
            <w:pPr>
              <w:rPr>
                <w:rFonts w:ascii="Arial"/>
                <w:sz w:val="21"/>
              </w:rPr>
            </w:pPr>
          </w:p>
        </w:tc>
        <w:tc>
          <w:tcPr>
            <w:tcW w:w="982" w:type="dxa"/>
            <w:tcBorders>
              <w:left w:val="single" w:color="000000" w:sz="4" w:space="0"/>
            </w:tcBorders>
            <w:vAlign w:val="top"/>
          </w:tcPr>
          <w:p w14:paraId="710DA42B">
            <w:pPr>
              <w:rPr>
                <w:rFonts w:ascii="Arial"/>
                <w:sz w:val="21"/>
              </w:rPr>
            </w:pPr>
          </w:p>
        </w:tc>
        <w:tc>
          <w:tcPr>
            <w:tcW w:w="981" w:type="dxa"/>
            <w:tcBorders>
              <w:right w:val="single" w:color="000000" w:sz="4" w:space="0"/>
            </w:tcBorders>
            <w:vAlign w:val="top"/>
          </w:tcPr>
          <w:p w14:paraId="2AB57E85">
            <w:pPr>
              <w:rPr>
                <w:rFonts w:ascii="Arial"/>
                <w:sz w:val="21"/>
              </w:rPr>
            </w:pPr>
          </w:p>
        </w:tc>
        <w:tc>
          <w:tcPr>
            <w:tcW w:w="981" w:type="dxa"/>
            <w:tcBorders>
              <w:left w:val="single" w:color="000000" w:sz="4" w:space="0"/>
            </w:tcBorders>
            <w:vAlign w:val="top"/>
          </w:tcPr>
          <w:p w14:paraId="11850664">
            <w:pPr>
              <w:rPr>
                <w:rFonts w:ascii="Arial"/>
                <w:sz w:val="21"/>
              </w:rPr>
            </w:pPr>
          </w:p>
        </w:tc>
        <w:tc>
          <w:tcPr>
            <w:tcW w:w="981" w:type="dxa"/>
            <w:tcBorders>
              <w:right w:val="single" w:color="000000" w:sz="4" w:space="0"/>
            </w:tcBorders>
            <w:vAlign w:val="top"/>
          </w:tcPr>
          <w:p w14:paraId="74EF3967">
            <w:pPr>
              <w:rPr>
                <w:rFonts w:ascii="Arial"/>
                <w:sz w:val="21"/>
              </w:rPr>
            </w:pPr>
          </w:p>
        </w:tc>
        <w:tc>
          <w:tcPr>
            <w:tcW w:w="981" w:type="dxa"/>
            <w:tcBorders>
              <w:left w:val="single" w:color="000000" w:sz="4" w:space="0"/>
              <w:right w:val="single" w:color="000000" w:sz="4" w:space="0"/>
            </w:tcBorders>
            <w:vAlign w:val="top"/>
          </w:tcPr>
          <w:p w14:paraId="224AD51E">
            <w:pPr>
              <w:rPr>
                <w:rFonts w:ascii="Arial"/>
                <w:sz w:val="21"/>
              </w:rPr>
            </w:pPr>
          </w:p>
        </w:tc>
        <w:tc>
          <w:tcPr>
            <w:tcW w:w="988" w:type="dxa"/>
            <w:tcBorders>
              <w:left w:val="single" w:color="000000" w:sz="4" w:space="0"/>
              <w:right w:val="single" w:color="000000" w:sz="4" w:space="0"/>
            </w:tcBorders>
            <w:vAlign w:val="top"/>
          </w:tcPr>
          <w:p w14:paraId="0A4BDBFF">
            <w:pPr>
              <w:rPr>
                <w:rFonts w:ascii="Arial"/>
                <w:sz w:val="21"/>
              </w:rPr>
            </w:pPr>
          </w:p>
        </w:tc>
      </w:tr>
      <w:tr w14:paraId="2EBAC4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6036A710">
            <w:pPr>
              <w:rPr>
                <w:rFonts w:ascii="Arial"/>
                <w:sz w:val="21"/>
              </w:rPr>
            </w:pPr>
          </w:p>
        </w:tc>
        <w:tc>
          <w:tcPr>
            <w:tcW w:w="981" w:type="dxa"/>
            <w:tcBorders>
              <w:right w:val="single" w:color="000000" w:sz="4" w:space="0"/>
            </w:tcBorders>
            <w:vAlign w:val="top"/>
          </w:tcPr>
          <w:p w14:paraId="49E33216">
            <w:pPr>
              <w:rPr>
                <w:rFonts w:ascii="Arial"/>
                <w:sz w:val="21"/>
              </w:rPr>
            </w:pPr>
          </w:p>
        </w:tc>
        <w:tc>
          <w:tcPr>
            <w:tcW w:w="981" w:type="dxa"/>
            <w:tcBorders>
              <w:left w:val="single" w:color="000000" w:sz="4" w:space="0"/>
              <w:right w:val="single" w:color="000000" w:sz="4" w:space="0"/>
            </w:tcBorders>
            <w:vAlign w:val="top"/>
          </w:tcPr>
          <w:p w14:paraId="5EA9A588">
            <w:pPr>
              <w:rPr>
                <w:rFonts w:ascii="Arial"/>
                <w:sz w:val="21"/>
              </w:rPr>
            </w:pPr>
          </w:p>
        </w:tc>
        <w:tc>
          <w:tcPr>
            <w:tcW w:w="982" w:type="dxa"/>
            <w:tcBorders>
              <w:left w:val="single" w:color="000000" w:sz="4" w:space="0"/>
            </w:tcBorders>
            <w:vAlign w:val="top"/>
          </w:tcPr>
          <w:p w14:paraId="7E66B13E">
            <w:pPr>
              <w:rPr>
                <w:rFonts w:ascii="Arial"/>
                <w:sz w:val="21"/>
              </w:rPr>
            </w:pPr>
          </w:p>
        </w:tc>
        <w:tc>
          <w:tcPr>
            <w:tcW w:w="981" w:type="dxa"/>
            <w:tcBorders>
              <w:right w:val="single" w:color="000000" w:sz="4" w:space="0"/>
            </w:tcBorders>
            <w:vAlign w:val="top"/>
          </w:tcPr>
          <w:p w14:paraId="5379D472">
            <w:pPr>
              <w:rPr>
                <w:rFonts w:ascii="Arial"/>
                <w:sz w:val="21"/>
              </w:rPr>
            </w:pPr>
          </w:p>
        </w:tc>
        <w:tc>
          <w:tcPr>
            <w:tcW w:w="981" w:type="dxa"/>
            <w:tcBorders>
              <w:left w:val="single" w:color="000000" w:sz="4" w:space="0"/>
            </w:tcBorders>
            <w:vAlign w:val="top"/>
          </w:tcPr>
          <w:p w14:paraId="6221C062">
            <w:pPr>
              <w:rPr>
                <w:rFonts w:ascii="Arial"/>
                <w:sz w:val="21"/>
              </w:rPr>
            </w:pPr>
          </w:p>
        </w:tc>
        <w:tc>
          <w:tcPr>
            <w:tcW w:w="981" w:type="dxa"/>
            <w:tcBorders>
              <w:right w:val="single" w:color="000000" w:sz="4" w:space="0"/>
            </w:tcBorders>
            <w:vAlign w:val="top"/>
          </w:tcPr>
          <w:p w14:paraId="6E4EA5B2">
            <w:pPr>
              <w:rPr>
                <w:rFonts w:ascii="Arial"/>
                <w:sz w:val="21"/>
              </w:rPr>
            </w:pPr>
          </w:p>
        </w:tc>
        <w:tc>
          <w:tcPr>
            <w:tcW w:w="981" w:type="dxa"/>
            <w:tcBorders>
              <w:left w:val="single" w:color="000000" w:sz="4" w:space="0"/>
              <w:right w:val="single" w:color="000000" w:sz="4" w:space="0"/>
            </w:tcBorders>
            <w:vAlign w:val="top"/>
          </w:tcPr>
          <w:p w14:paraId="37B5399E">
            <w:pPr>
              <w:rPr>
                <w:rFonts w:ascii="Arial"/>
                <w:sz w:val="21"/>
              </w:rPr>
            </w:pPr>
          </w:p>
        </w:tc>
        <w:tc>
          <w:tcPr>
            <w:tcW w:w="988" w:type="dxa"/>
            <w:tcBorders>
              <w:left w:val="single" w:color="000000" w:sz="4" w:space="0"/>
              <w:right w:val="single" w:color="000000" w:sz="4" w:space="0"/>
            </w:tcBorders>
            <w:vAlign w:val="top"/>
          </w:tcPr>
          <w:p w14:paraId="69C1BAC2">
            <w:pPr>
              <w:rPr>
                <w:rFonts w:ascii="Arial"/>
                <w:sz w:val="21"/>
              </w:rPr>
            </w:pPr>
          </w:p>
        </w:tc>
      </w:tr>
      <w:tr w14:paraId="7DD67E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988" w:type="dxa"/>
            <w:tcBorders>
              <w:left w:val="single" w:color="000000" w:sz="4" w:space="0"/>
            </w:tcBorders>
            <w:vAlign w:val="top"/>
          </w:tcPr>
          <w:p w14:paraId="1B15D97B">
            <w:pPr>
              <w:rPr>
                <w:rFonts w:ascii="Arial"/>
                <w:sz w:val="21"/>
              </w:rPr>
            </w:pPr>
          </w:p>
        </w:tc>
        <w:tc>
          <w:tcPr>
            <w:tcW w:w="981" w:type="dxa"/>
            <w:tcBorders>
              <w:right w:val="single" w:color="000000" w:sz="4" w:space="0"/>
            </w:tcBorders>
            <w:vAlign w:val="top"/>
          </w:tcPr>
          <w:p w14:paraId="011CB65E">
            <w:pPr>
              <w:rPr>
                <w:rFonts w:ascii="Arial"/>
                <w:sz w:val="21"/>
              </w:rPr>
            </w:pPr>
          </w:p>
        </w:tc>
        <w:tc>
          <w:tcPr>
            <w:tcW w:w="981" w:type="dxa"/>
            <w:tcBorders>
              <w:left w:val="single" w:color="000000" w:sz="4" w:space="0"/>
              <w:right w:val="single" w:color="000000" w:sz="4" w:space="0"/>
            </w:tcBorders>
            <w:vAlign w:val="top"/>
          </w:tcPr>
          <w:p w14:paraId="0529E425">
            <w:pPr>
              <w:rPr>
                <w:rFonts w:ascii="Arial"/>
                <w:sz w:val="21"/>
              </w:rPr>
            </w:pPr>
          </w:p>
        </w:tc>
        <w:tc>
          <w:tcPr>
            <w:tcW w:w="982" w:type="dxa"/>
            <w:tcBorders>
              <w:left w:val="single" w:color="000000" w:sz="4" w:space="0"/>
            </w:tcBorders>
            <w:vAlign w:val="top"/>
          </w:tcPr>
          <w:p w14:paraId="5A21ED8D">
            <w:pPr>
              <w:rPr>
                <w:rFonts w:ascii="Arial"/>
                <w:sz w:val="21"/>
              </w:rPr>
            </w:pPr>
          </w:p>
        </w:tc>
        <w:tc>
          <w:tcPr>
            <w:tcW w:w="981" w:type="dxa"/>
            <w:tcBorders>
              <w:right w:val="single" w:color="000000" w:sz="4" w:space="0"/>
            </w:tcBorders>
            <w:vAlign w:val="top"/>
          </w:tcPr>
          <w:p w14:paraId="1AA36BC3">
            <w:pPr>
              <w:rPr>
                <w:rFonts w:ascii="Arial"/>
                <w:sz w:val="21"/>
              </w:rPr>
            </w:pPr>
          </w:p>
        </w:tc>
        <w:tc>
          <w:tcPr>
            <w:tcW w:w="981" w:type="dxa"/>
            <w:tcBorders>
              <w:left w:val="single" w:color="000000" w:sz="4" w:space="0"/>
            </w:tcBorders>
            <w:vAlign w:val="top"/>
          </w:tcPr>
          <w:p w14:paraId="3AF69CF3">
            <w:pPr>
              <w:rPr>
                <w:rFonts w:ascii="Arial"/>
                <w:sz w:val="21"/>
              </w:rPr>
            </w:pPr>
          </w:p>
        </w:tc>
        <w:tc>
          <w:tcPr>
            <w:tcW w:w="981" w:type="dxa"/>
            <w:tcBorders>
              <w:right w:val="single" w:color="000000" w:sz="4" w:space="0"/>
            </w:tcBorders>
            <w:vAlign w:val="top"/>
          </w:tcPr>
          <w:p w14:paraId="10283C9C">
            <w:pPr>
              <w:rPr>
                <w:rFonts w:ascii="Arial"/>
                <w:sz w:val="21"/>
              </w:rPr>
            </w:pPr>
          </w:p>
        </w:tc>
        <w:tc>
          <w:tcPr>
            <w:tcW w:w="981" w:type="dxa"/>
            <w:tcBorders>
              <w:left w:val="single" w:color="000000" w:sz="4" w:space="0"/>
              <w:right w:val="single" w:color="000000" w:sz="4" w:space="0"/>
            </w:tcBorders>
            <w:vAlign w:val="top"/>
          </w:tcPr>
          <w:p w14:paraId="38BADE7F">
            <w:pPr>
              <w:rPr>
                <w:rFonts w:ascii="Arial"/>
                <w:sz w:val="21"/>
              </w:rPr>
            </w:pPr>
          </w:p>
        </w:tc>
        <w:tc>
          <w:tcPr>
            <w:tcW w:w="988" w:type="dxa"/>
            <w:tcBorders>
              <w:left w:val="single" w:color="000000" w:sz="4" w:space="0"/>
              <w:right w:val="single" w:color="000000" w:sz="4" w:space="0"/>
            </w:tcBorders>
            <w:vAlign w:val="top"/>
          </w:tcPr>
          <w:p w14:paraId="6D703FC2">
            <w:pPr>
              <w:rPr>
                <w:rFonts w:ascii="Arial"/>
                <w:sz w:val="21"/>
              </w:rPr>
            </w:pPr>
          </w:p>
        </w:tc>
      </w:tr>
      <w:tr w14:paraId="0AEF5C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3703B5DD">
            <w:pPr>
              <w:rPr>
                <w:rFonts w:ascii="Arial"/>
                <w:sz w:val="21"/>
              </w:rPr>
            </w:pPr>
          </w:p>
        </w:tc>
        <w:tc>
          <w:tcPr>
            <w:tcW w:w="981" w:type="dxa"/>
            <w:tcBorders>
              <w:right w:val="single" w:color="000000" w:sz="4" w:space="0"/>
            </w:tcBorders>
            <w:vAlign w:val="top"/>
          </w:tcPr>
          <w:p w14:paraId="4FA5E224">
            <w:pPr>
              <w:rPr>
                <w:rFonts w:ascii="Arial"/>
                <w:sz w:val="21"/>
              </w:rPr>
            </w:pPr>
          </w:p>
        </w:tc>
        <w:tc>
          <w:tcPr>
            <w:tcW w:w="981" w:type="dxa"/>
            <w:tcBorders>
              <w:left w:val="single" w:color="000000" w:sz="4" w:space="0"/>
              <w:right w:val="single" w:color="000000" w:sz="4" w:space="0"/>
            </w:tcBorders>
            <w:vAlign w:val="top"/>
          </w:tcPr>
          <w:p w14:paraId="53964868">
            <w:pPr>
              <w:rPr>
                <w:rFonts w:ascii="Arial"/>
                <w:sz w:val="21"/>
              </w:rPr>
            </w:pPr>
          </w:p>
        </w:tc>
        <w:tc>
          <w:tcPr>
            <w:tcW w:w="982" w:type="dxa"/>
            <w:tcBorders>
              <w:left w:val="single" w:color="000000" w:sz="4" w:space="0"/>
            </w:tcBorders>
            <w:vAlign w:val="top"/>
          </w:tcPr>
          <w:p w14:paraId="7B0432CA">
            <w:pPr>
              <w:rPr>
                <w:rFonts w:ascii="Arial"/>
                <w:sz w:val="21"/>
              </w:rPr>
            </w:pPr>
          </w:p>
        </w:tc>
        <w:tc>
          <w:tcPr>
            <w:tcW w:w="981" w:type="dxa"/>
            <w:tcBorders>
              <w:right w:val="single" w:color="000000" w:sz="4" w:space="0"/>
            </w:tcBorders>
            <w:vAlign w:val="top"/>
          </w:tcPr>
          <w:p w14:paraId="34CD5962">
            <w:pPr>
              <w:rPr>
                <w:rFonts w:ascii="Arial"/>
                <w:sz w:val="21"/>
              </w:rPr>
            </w:pPr>
          </w:p>
        </w:tc>
        <w:tc>
          <w:tcPr>
            <w:tcW w:w="981" w:type="dxa"/>
            <w:tcBorders>
              <w:left w:val="single" w:color="000000" w:sz="4" w:space="0"/>
            </w:tcBorders>
            <w:vAlign w:val="top"/>
          </w:tcPr>
          <w:p w14:paraId="0590B88F">
            <w:pPr>
              <w:rPr>
                <w:rFonts w:ascii="Arial"/>
                <w:sz w:val="21"/>
              </w:rPr>
            </w:pPr>
          </w:p>
        </w:tc>
        <w:tc>
          <w:tcPr>
            <w:tcW w:w="981" w:type="dxa"/>
            <w:tcBorders>
              <w:right w:val="single" w:color="000000" w:sz="4" w:space="0"/>
            </w:tcBorders>
            <w:vAlign w:val="top"/>
          </w:tcPr>
          <w:p w14:paraId="183A5664">
            <w:pPr>
              <w:rPr>
                <w:rFonts w:ascii="Arial"/>
                <w:sz w:val="21"/>
              </w:rPr>
            </w:pPr>
          </w:p>
        </w:tc>
        <w:tc>
          <w:tcPr>
            <w:tcW w:w="981" w:type="dxa"/>
            <w:tcBorders>
              <w:left w:val="single" w:color="000000" w:sz="4" w:space="0"/>
              <w:right w:val="single" w:color="000000" w:sz="4" w:space="0"/>
            </w:tcBorders>
            <w:vAlign w:val="top"/>
          </w:tcPr>
          <w:p w14:paraId="030E5DD8">
            <w:pPr>
              <w:rPr>
                <w:rFonts w:ascii="Arial"/>
                <w:sz w:val="21"/>
              </w:rPr>
            </w:pPr>
          </w:p>
        </w:tc>
        <w:tc>
          <w:tcPr>
            <w:tcW w:w="988" w:type="dxa"/>
            <w:tcBorders>
              <w:left w:val="single" w:color="000000" w:sz="4" w:space="0"/>
              <w:right w:val="single" w:color="000000" w:sz="4" w:space="0"/>
            </w:tcBorders>
            <w:vAlign w:val="top"/>
          </w:tcPr>
          <w:p w14:paraId="5188838A">
            <w:pPr>
              <w:rPr>
                <w:rFonts w:ascii="Arial"/>
                <w:sz w:val="21"/>
              </w:rPr>
            </w:pPr>
          </w:p>
        </w:tc>
      </w:tr>
      <w:tr w14:paraId="7508F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988" w:type="dxa"/>
            <w:tcBorders>
              <w:left w:val="single" w:color="000000" w:sz="4" w:space="0"/>
            </w:tcBorders>
            <w:vAlign w:val="top"/>
          </w:tcPr>
          <w:p w14:paraId="48939ACB">
            <w:pPr>
              <w:rPr>
                <w:rFonts w:ascii="Arial"/>
                <w:sz w:val="21"/>
              </w:rPr>
            </w:pPr>
          </w:p>
        </w:tc>
        <w:tc>
          <w:tcPr>
            <w:tcW w:w="981" w:type="dxa"/>
            <w:tcBorders>
              <w:right w:val="single" w:color="000000" w:sz="4" w:space="0"/>
            </w:tcBorders>
            <w:vAlign w:val="top"/>
          </w:tcPr>
          <w:p w14:paraId="59CDA09C">
            <w:pPr>
              <w:rPr>
                <w:rFonts w:ascii="Arial"/>
                <w:sz w:val="21"/>
              </w:rPr>
            </w:pPr>
          </w:p>
        </w:tc>
        <w:tc>
          <w:tcPr>
            <w:tcW w:w="981" w:type="dxa"/>
            <w:tcBorders>
              <w:left w:val="single" w:color="000000" w:sz="4" w:space="0"/>
              <w:right w:val="single" w:color="000000" w:sz="4" w:space="0"/>
            </w:tcBorders>
            <w:vAlign w:val="top"/>
          </w:tcPr>
          <w:p w14:paraId="6513D54D">
            <w:pPr>
              <w:rPr>
                <w:rFonts w:ascii="Arial"/>
                <w:sz w:val="21"/>
              </w:rPr>
            </w:pPr>
          </w:p>
        </w:tc>
        <w:tc>
          <w:tcPr>
            <w:tcW w:w="982" w:type="dxa"/>
            <w:tcBorders>
              <w:left w:val="single" w:color="000000" w:sz="4" w:space="0"/>
            </w:tcBorders>
            <w:vAlign w:val="top"/>
          </w:tcPr>
          <w:p w14:paraId="2F2A3BB5">
            <w:pPr>
              <w:rPr>
                <w:rFonts w:ascii="Arial"/>
                <w:sz w:val="21"/>
              </w:rPr>
            </w:pPr>
          </w:p>
        </w:tc>
        <w:tc>
          <w:tcPr>
            <w:tcW w:w="981" w:type="dxa"/>
            <w:tcBorders>
              <w:right w:val="single" w:color="000000" w:sz="4" w:space="0"/>
            </w:tcBorders>
            <w:vAlign w:val="top"/>
          </w:tcPr>
          <w:p w14:paraId="6A64FE0A">
            <w:pPr>
              <w:rPr>
                <w:rFonts w:ascii="Arial"/>
                <w:sz w:val="21"/>
              </w:rPr>
            </w:pPr>
          </w:p>
        </w:tc>
        <w:tc>
          <w:tcPr>
            <w:tcW w:w="981" w:type="dxa"/>
            <w:tcBorders>
              <w:left w:val="single" w:color="000000" w:sz="4" w:space="0"/>
            </w:tcBorders>
            <w:vAlign w:val="top"/>
          </w:tcPr>
          <w:p w14:paraId="369F99DA">
            <w:pPr>
              <w:rPr>
                <w:rFonts w:ascii="Arial"/>
                <w:sz w:val="21"/>
              </w:rPr>
            </w:pPr>
          </w:p>
        </w:tc>
        <w:tc>
          <w:tcPr>
            <w:tcW w:w="981" w:type="dxa"/>
            <w:tcBorders>
              <w:right w:val="single" w:color="000000" w:sz="4" w:space="0"/>
            </w:tcBorders>
            <w:vAlign w:val="top"/>
          </w:tcPr>
          <w:p w14:paraId="13C28F11">
            <w:pPr>
              <w:rPr>
                <w:rFonts w:ascii="Arial"/>
                <w:sz w:val="21"/>
              </w:rPr>
            </w:pPr>
          </w:p>
        </w:tc>
        <w:tc>
          <w:tcPr>
            <w:tcW w:w="981" w:type="dxa"/>
            <w:tcBorders>
              <w:left w:val="single" w:color="000000" w:sz="4" w:space="0"/>
              <w:right w:val="single" w:color="000000" w:sz="4" w:space="0"/>
            </w:tcBorders>
            <w:vAlign w:val="top"/>
          </w:tcPr>
          <w:p w14:paraId="6AEBEEE3">
            <w:pPr>
              <w:rPr>
                <w:rFonts w:ascii="Arial"/>
                <w:sz w:val="21"/>
              </w:rPr>
            </w:pPr>
          </w:p>
        </w:tc>
        <w:tc>
          <w:tcPr>
            <w:tcW w:w="988" w:type="dxa"/>
            <w:tcBorders>
              <w:left w:val="single" w:color="000000" w:sz="4" w:space="0"/>
              <w:right w:val="single" w:color="000000" w:sz="4" w:space="0"/>
            </w:tcBorders>
            <w:vAlign w:val="top"/>
          </w:tcPr>
          <w:p w14:paraId="560891C3">
            <w:pPr>
              <w:rPr>
                <w:rFonts w:ascii="Arial"/>
                <w:sz w:val="21"/>
              </w:rPr>
            </w:pPr>
          </w:p>
        </w:tc>
      </w:tr>
      <w:tr w14:paraId="4E6B5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988" w:type="dxa"/>
            <w:tcBorders>
              <w:left w:val="single" w:color="000000" w:sz="4" w:space="0"/>
            </w:tcBorders>
            <w:vAlign w:val="top"/>
          </w:tcPr>
          <w:p w14:paraId="29DEAE5E">
            <w:pPr>
              <w:rPr>
                <w:rFonts w:ascii="Arial"/>
                <w:sz w:val="21"/>
              </w:rPr>
            </w:pPr>
          </w:p>
        </w:tc>
        <w:tc>
          <w:tcPr>
            <w:tcW w:w="981" w:type="dxa"/>
            <w:tcBorders>
              <w:right w:val="single" w:color="000000" w:sz="4" w:space="0"/>
            </w:tcBorders>
            <w:vAlign w:val="top"/>
          </w:tcPr>
          <w:p w14:paraId="5DB69A01">
            <w:pPr>
              <w:rPr>
                <w:rFonts w:ascii="Arial"/>
                <w:sz w:val="21"/>
              </w:rPr>
            </w:pPr>
          </w:p>
        </w:tc>
        <w:tc>
          <w:tcPr>
            <w:tcW w:w="981" w:type="dxa"/>
            <w:tcBorders>
              <w:left w:val="single" w:color="000000" w:sz="4" w:space="0"/>
              <w:right w:val="single" w:color="000000" w:sz="4" w:space="0"/>
            </w:tcBorders>
            <w:vAlign w:val="top"/>
          </w:tcPr>
          <w:p w14:paraId="0DFBB423">
            <w:pPr>
              <w:rPr>
                <w:rFonts w:ascii="Arial"/>
                <w:sz w:val="21"/>
              </w:rPr>
            </w:pPr>
          </w:p>
        </w:tc>
        <w:tc>
          <w:tcPr>
            <w:tcW w:w="982" w:type="dxa"/>
            <w:tcBorders>
              <w:left w:val="single" w:color="000000" w:sz="4" w:space="0"/>
            </w:tcBorders>
            <w:vAlign w:val="top"/>
          </w:tcPr>
          <w:p w14:paraId="2C9D6ADD">
            <w:pPr>
              <w:rPr>
                <w:rFonts w:ascii="Arial"/>
                <w:sz w:val="21"/>
              </w:rPr>
            </w:pPr>
          </w:p>
        </w:tc>
        <w:tc>
          <w:tcPr>
            <w:tcW w:w="981" w:type="dxa"/>
            <w:tcBorders>
              <w:right w:val="single" w:color="000000" w:sz="4" w:space="0"/>
            </w:tcBorders>
            <w:vAlign w:val="top"/>
          </w:tcPr>
          <w:p w14:paraId="528FFEC0">
            <w:pPr>
              <w:rPr>
                <w:rFonts w:ascii="Arial"/>
                <w:sz w:val="21"/>
              </w:rPr>
            </w:pPr>
          </w:p>
        </w:tc>
        <w:tc>
          <w:tcPr>
            <w:tcW w:w="981" w:type="dxa"/>
            <w:tcBorders>
              <w:left w:val="single" w:color="000000" w:sz="4" w:space="0"/>
            </w:tcBorders>
            <w:vAlign w:val="top"/>
          </w:tcPr>
          <w:p w14:paraId="6C108B45">
            <w:pPr>
              <w:rPr>
                <w:rFonts w:ascii="Arial"/>
                <w:sz w:val="21"/>
              </w:rPr>
            </w:pPr>
          </w:p>
        </w:tc>
        <w:tc>
          <w:tcPr>
            <w:tcW w:w="981" w:type="dxa"/>
            <w:tcBorders>
              <w:right w:val="single" w:color="000000" w:sz="4" w:space="0"/>
            </w:tcBorders>
            <w:vAlign w:val="top"/>
          </w:tcPr>
          <w:p w14:paraId="1D44ADA0">
            <w:pPr>
              <w:rPr>
                <w:rFonts w:ascii="Arial"/>
                <w:sz w:val="21"/>
              </w:rPr>
            </w:pPr>
          </w:p>
        </w:tc>
        <w:tc>
          <w:tcPr>
            <w:tcW w:w="981" w:type="dxa"/>
            <w:tcBorders>
              <w:left w:val="single" w:color="000000" w:sz="4" w:space="0"/>
              <w:right w:val="single" w:color="000000" w:sz="4" w:space="0"/>
            </w:tcBorders>
            <w:vAlign w:val="top"/>
          </w:tcPr>
          <w:p w14:paraId="2474372A">
            <w:pPr>
              <w:rPr>
                <w:rFonts w:ascii="Arial"/>
                <w:sz w:val="21"/>
              </w:rPr>
            </w:pPr>
          </w:p>
        </w:tc>
        <w:tc>
          <w:tcPr>
            <w:tcW w:w="988" w:type="dxa"/>
            <w:tcBorders>
              <w:left w:val="single" w:color="000000" w:sz="4" w:space="0"/>
              <w:right w:val="single" w:color="000000" w:sz="4" w:space="0"/>
            </w:tcBorders>
            <w:vAlign w:val="top"/>
          </w:tcPr>
          <w:p w14:paraId="2203D5D2">
            <w:pPr>
              <w:rPr>
                <w:rFonts w:ascii="Arial"/>
                <w:sz w:val="21"/>
              </w:rPr>
            </w:pPr>
          </w:p>
        </w:tc>
      </w:tr>
      <w:tr w14:paraId="292499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88" w:type="dxa"/>
            <w:tcBorders>
              <w:left w:val="single" w:color="000000" w:sz="4" w:space="0"/>
              <w:bottom w:val="single" w:color="000000" w:sz="4" w:space="0"/>
            </w:tcBorders>
            <w:vAlign w:val="top"/>
          </w:tcPr>
          <w:p w14:paraId="7BC6D870">
            <w:pPr>
              <w:rPr>
                <w:rFonts w:ascii="Arial"/>
                <w:sz w:val="21"/>
              </w:rPr>
            </w:pPr>
          </w:p>
        </w:tc>
        <w:tc>
          <w:tcPr>
            <w:tcW w:w="981" w:type="dxa"/>
            <w:tcBorders>
              <w:bottom w:val="single" w:color="000000" w:sz="4" w:space="0"/>
              <w:right w:val="single" w:color="000000" w:sz="4" w:space="0"/>
            </w:tcBorders>
            <w:vAlign w:val="top"/>
          </w:tcPr>
          <w:p w14:paraId="4669B98F">
            <w:pPr>
              <w:rPr>
                <w:rFonts w:ascii="Arial"/>
                <w:sz w:val="21"/>
              </w:rPr>
            </w:pPr>
          </w:p>
        </w:tc>
        <w:tc>
          <w:tcPr>
            <w:tcW w:w="981" w:type="dxa"/>
            <w:tcBorders>
              <w:left w:val="single" w:color="000000" w:sz="4" w:space="0"/>
              <w:bottom w:val="single" w:color="000000" w:sz="4" w:space="0"/>
              <w:right w:val="single" w:color="000000" w:sz="4" w:space="0"/>
            </w:tcBorders>
            <w:vAlign w:val="top"/>
          </w:tcPr>
          <w:p w14:paraId="71845C9C">
            <w:pPr>
              <w:rPr>
                <w:rFonts w:ascii="Arial"/>
                <w:sz w:val="21"/>
              </w:rPr>
            </w:pPr>
          </w:p>
        </w:tc>
        <w:tc>
          <w:tcPr>
            <w:tcW w:w="982" w:type="dxa"/>
            <w:tcBorders>
              <w:left w:val="single" w:color="000000" w:sz="4" w:space="0"/>
              <w:bottom w:val="single" w:color="000000" w:sz="4" w:space="0"/>
            </w:tcBorders>
            <w:vAlign w:val="top"/>
          </w:tcPr>
          <w:p w14:paraId="25ADE96A">
            <w:pPr>
              <w:rPr>
                <w:rFonts w:ascii="Arial"/>
                <w:sz w:val="21"/>
              </w:rPr>
            </w:pPr>
          </w:p>
        </w:tc>
        <w:tc>
          <w:tcPr>
            <w:tcW w:w="981" w:type="dxa"/>
            <w:tcBorders>
              <w:bottom w:val="single" w:color="000000" w:sz="4" w:space="0"/>
              <w:right w:val="single" w:color="000000" w:sz="4" w:space="0"/>
            </w:tcBorders>
            <w:vAlign w:val="top"/>
          </w:tcPr>
          <w:p w14:paraId="1E379095">
            <w:pPr>
              <w:rPr>
                <w:rFonts w:ascii="Arial"/>
                <w:sz w:val="21"/>
              </w:rPr>
            </w:pPr>
          </w:p>
        </w:tc>
        <w:tc>
          <w:tcPr>
            <w:tcW w:w="981" w:type="dxa"/>
            <w:tcBorders>
              <w:left w:val="single" w:color="000000" w:sz="4" w:space="0"/>
              <w:bottom w:val="single" w:color="000000" w:sz="4" w:space="0"/>
            </w:tcBorders>
            <w:vAlign w:val="top"/>
          </w:tcPr>
          <w:p w14:paraId="29ECE908">
            <w:pPr>
              <w:rPr>
                <w:rFonts w:ascii="Arial"/>
                <w:sz w:val="21"/>
              </w:rPr>
            </w:pPr>
          </w:p>
        </w:tc>
        <w:tc>
          <w:tcPr>
            <w:tcW w:w="981" w:type="dxa"/>
            <w:tcBorders>
              <w:bottom w:val="single" w:color="000000" w:sz="4" w:space="0"/>
              <w:right w:val="single" w:color="000000" w:sz="4" w:space="0"/>
            </w:tcBorders>
            <w:vAlign w:val="top"/>
          </w:tcPr>
          <w:p w14:paraId="2088F865">
            <w:pPr>
              <w:rPr>
                <w:rFonts w:ascii="Arial"/>
                <w:sz w:val="21"/>
              </w:rPr>
            </w:pPr>
          </w:p>
        </w:tc>
        <w:tc>
          <w:tcPr>
            <w:tcW w:w="981" w:type="dxa"/>
            <w:tcBorders>
              <w:left w:val="single" w:color="000000" w:sz="4" w:space="0"/>
              <w:bottom w:val="single" w:color="000000" w:sz="4" w:space="0"/>
              <w:right w:val="single" w:color="000000" w:sz="4" w:space="0"/>
            </w:tcBorders>
            <w:vAlign w:val="top"/>
          </w:tcPr>
          <w:p w14:paraId="36F94A7F">
            <w:pPr>
              <w:rPr>
                <w:rFonts w:ascii="Arial"/>
                <w:sz w:val="21"/>
              </w:rPr>
            </w:pPr>
          </w:p>
        </w:tc>
        <w:tc>
          <w:tcPr>
            <w:tcW w:w="988" w:type="dxa"/>
            <w:tcBorders>
              <w:left w:val="single" w:color="000000" w:sz="4" w:space="0"/>
              <w:bottom w:val="single" w:color="000000" w:sz="4" w:space="0"/>
              <w:right w:val="single" w:color="000000" w:sz="4" w:space="0"/>
            </w:tcBorders>
            <w:vAlign w:val="top"/>
          </w:tcPr>
          <w:p w14:paraId="25004F80">
            <w:pPr>
              <w:rPr>
                <w:rFonts w:ascii="Arial"/>
                <w:sz w:val="21"/>
              </w:rPr>
            </w:pPr>
          </w:p>
        </w:tc>
      </w:tr>
    </w:tbl>
    <w:p w14:paraId="24103141">
      <w:pPr>
        <w:spacing w:line="254" w:lineRule="auto"/>
        <w:rPr>
          <w:rFonts w:ascii="Arial"/>
          <w:sz w:val="21"/>
        </w:rPr>
      </w:pPr>
    </w:p>
    <w:p w14:paraId="03FA705C">
      <w:pPr>
        <w:spacing w:line="254" w:lineRule="auto"/>
        <w:rPr>
          <w:rFonts w:ascii="Arial"/>
          <w:sz w:val="21"/>
        </w:rPr>
      </w:pPr>
    </w:p>
    <w:p w14:paraId="4BF0276E">
      <w:pPr>
        <w:spacing w:before="65" w:line="227" w:lineRule="auto"/>
        <w:rPr>
          <w:rFonts w:ascii="宋体" w:hAnsi="宋体" w:eastAsia="宋体" w:cs="宋体"/>
          <w:sz w:val="20"/>
          <w:szCs w:val="20"/>
        </w:rPr>
      </w:pPr>
      <w:r>
        <w:rPr>
          <w:rFonts w:ascii="宋体" w:hAnsi="宋体" w:eastAsia="宋体" w:cs="宋体"/>
          <w:spacing w:val="1"/>
          <w:sz w:val="20"/>
          <w:szCs w:val="20"/>
        </w:rPr>
        <w:t>评标委员会成员签名：                                       日期</w:t>
      </w:r>
      <w:r>
        <w:rPr>
          <w:rFonts w:ascii="宋体" w:hAnsi="宋体" w:eastAsia="宋体" w:cs="宋体"/>
          <w:spacing w:val="-58"/>
          <w:sz w:val="20"/>
          <w:szCs w:val="20"/>
        </w:rPr>
        <w:t xml:space="preserve"> </w:t>
      </w:r>
      <w:r>
        <w:rPr>
          <w:rFonts w:ascii="宋体" w:hAnsi="宋体" w:eastAsia="宋体" w:cs="宋体"/>
          <w:spacing w:val="1"/>
          <w:sz w:val="20"/>
          <w:szCs w:val="20"/>
        </w:rPr>
        <w:t>:     年</w:t>
      </w:r>
      <w:r>
        <w:rPr>
          <w:rFonts w:ascii="宋体" w:hAnsi="宋体" w:eastAsia="宋体" w:cs="宋体"/>
          <w:spacing w:val="8"/>
          <w:sz w:val="20"/>
          <w:szCs w:val="20"/>
        </w:rPr>
        <w:t xml:space="preserve">     </w:t>
      </w:r>
      <w:r>
        <w:rPr>
          <w:rFonts w:ascii="宋体" w:hAnsi="宋体" w:eastAsia="宋体" w:cs="宋体"/>
          <w:sz w:val="20"/>
          <w:szCs w:val="20"/>
        </w:rPr>
        <w:t>月      日</w:t>
      </w:r>
    </w:p>
    <w:p w14:paraId="5255EE5E">
      <w:pPr>
        <w:spacing w:line="352" w:lineRule="auto"/>
        <w:rPr>
          <w:rFonts w:ascii="Arial"/>
          <w:sz w:val="21"/>
        </w:rPr>
      </w:pPr>
    </w:p>
    <w:p w14:paraId="45BDFA93">
      <w:pPr>
        <w:spacing w:line="352" w:lineRule="auto"/>
        <w:rPr>
          <w:rFonts w:ascii="Arial"/>
          <w:sz w:val="21"/>
        </w:rPr>
      </w:pPr>
    </w:p>
    <w:p w14:paraId="32762AFD">
      <w:pPr>
        <w:spacing w:before="65" w:line="251" w:lineRule="auto"/>
        <w:ind w:left="420" w:hanging="420"/>
        <w:rPr>
          <w:rFonts w:ascii="宋体" w:hAnsi="宋体" w:eastAsia="宋体" w:cs="宋体"/>
          <w:sz w:val="20"/>
          <w:szCs w:val="20"/>
        </w:rPr>
      </w:pPr>
      <w:r>
        <w:rPr>
          <w:rFonts w:ascii="宋体" w:hAnsi="宋体" w:eastAsia="宋体" w:cs="宋体"/>
          <w:spacing w:val="6"/>
          <w:sz w:val="20"/>
          <w:szCs w:val="20"/>
        </w:rPr>
        <w:t>注：“单价一致性</w:t>
      </w:r>
      <w:r>
        <w:rPr>
          <w:rFonts w:ascii="宋体" w:hAnsi="宋体" w:eastAsia="宋体" w:cs="宋体"/>
          <w:spacing w:val="-68"/>
          <w:sz w:val="20"/>
          <w:szCs w:val="20"/>
        </w:rPr>
        <w:t xml:space="preserve"> </w:t>
      </w:r>
      <w:r>
        <w:rPr>
          <w:rFonts w:ascii="宋体" w:hAnsi="宋体" w:eastAsia="宋体" w:cs="宋体"/>
          <w:spacing w:val="6"/>
          <w:sz w:val="20"/>
          <w:szCs w:val="20"/>
        </w:rPr>
        <w:t>”是指已标价清单中相应材料设备与材料（工程设备）暂估价或发包人提供材料</w:t>
      </w:r>
      <w:r>
        <w:rPr>
          <w:rFonts w:ascii="宋体" w:hAnsi="宋体" w:eastAsia="宋体" w:cs="宋体"/>
          <w:spacing w:val="8"/>
          <w:sz w:val="20"/>
          <w:szCs w:val="20"/>
        </w:rPr>
        <w:t>和工程设备单价是否一致。</w:t>
      </w:r>
    </w:p>
    <w:p w14:paraId="7FB60D9D">
      <w:pPr>
        <w:spacing w:line="251" w:lineRule="auto"/>
        <w:rPr>
          <w:rFonts w:ascii="宋体" w:hAnsi="宋体" w:eastAsia="宋体" w:cs="宋体"/>
          <w:sz w:val="20"/>
          <w:szCs w:val="20"/>
        </w:rPr>
        <w:sectPr>
          <w:footerReference r:id="rId146" w:type="default"/>
          <w:pgSz w:w="11907" w:h="16840"/>
          <w:pgMar w:top="400" w:right="1534" w:bottom="1038" w:left="1480" w:header="0" w:footer="785" w:gutter="0"/>
          <w:cols w:space="720" w:num="1"/>
        </w:sectPr>
      </w:pPr>
    </w:p>
    <w:p w14:paraId="75C9588D">
      <w:pPr>
        <w:spacing w:line="265" w:lineRule="auto"/>
        <w:rPr>
          <w:rFonts w:ascii="Arial"/>
          <w:sz w:val="21"/>
        </w:rPr>
      </w:pPr>
    </w:p>
    <w:p w14:paraId="28A057F6">
      <w:pPr>
        <w:spacing w:line="265" w:lineRule="auto"/>
        <w:rPr>
          <w:rFonts w:ascii="Arial"/>
          <w:sz w:val="21"/>
        </w:rPr>
      </w:pPr>
    </w:p>
    <w:p w14:paraId="2A04B0B8">
      <w:pPr>
        <w:spacing w:line="266" w:lineRule="auto"/>
        <w:rPr>
          <w:rFonts w:ascii="Arial"/>
          <w:sz w:val="21"/>
        </w:rPr>
      </w:pPr>
    </w:p>
    <w:p w14:paraId="75B25118">
      <w:pPr>
        <w:spacing w:line="266" w:lineRule="auto"/>
        <w:rPr>
          <w:rFonts w:ascii="Arial"/>
          <w:sz w:val="21"/>
        </w:rPr>
      </w:pPr>
    </w:p>
    <w:p w14:paraId="0E5BB76B">
      <w:pPr>
        <w:spacing w:line="266" w:lineRule="auto"/>
        <w:rPr>
          <w:rFonts w:ascii="Arial"/>
          <w:sz w:val="21"/>
        </w:rPr>
      </w:pPr>
    </w:p>
    <w:p w14:paraId="087BAE92">
      <w:pPr>
        <w:pStyle w:val="2"/>
        <w:spacing w:before="78" w:line="222" w:lineRule="auto"/>
        <w:ind w:left="15"/>
        <w:outlineLvl w:val="1"/>
        <w:rPr>
          <w:sz w:val="24"/>
          <w:szCs w:val="24"/>
        </w:rPr>
      </w:pPr>
      <w:r>
        <w:rPr>
          <w:spacing w:val="-4"/>
          <w:sz w:val="24"/>
          <w:szCs w:val="24"/>
        </w:rPr>
        <w:t>附表</w:t>
      </w:r>
      <w:r>
        <w:rPr>
          <w:spacing w:val="-42"/>
          <w:sz w:val="24"/>
          <w:szCs w:val="24"/>
        </w:rPr>
        <w:t xml:space="preserve"> </w:t>
      </w:r>
      <w:r>
        <w:rPr>
          <w:rFonts w:ascii="Times New Roman" w:hAnsi="Times New Roman" w:eastAsia="Times New Roman" w:cs="Times New Roman"/>
          <w:spacing w:val="-4"/>
          <w:sz w:val="24"/>
          <w:szCs w:val="24"/>
        </w:rPr>
        <w:t>C-2</w:t>
      </w:r>
      <w:r>
        <w:rPr>
          <w:rFonts w:ascii="Times New Roman" w:hAnsi="Times New Roman" w:eastAsia="Times New Roman" w:cs="Times New Roman"/>
          <w:spacing w:val="-15"/>
          <w:sz w:val="24"/>
          <w:szCs w:val="24"/>
        </w:rPr>
        <w:t xml:space="preserve"> </w:t>
      </w:r>
      <w:r>
        <w:rPr>
          <w:spacing w:val="-4"/>
          <w:sz w:val="24"/>
          <w:szCs w:val="24"/>
        </w:rPr>
        <w:t>：清标报告</w:t>
      </w:r>
      <w:r>
        <w:rPr>
          <w:rFonts w:ascii="Times New Roman" w:hAnsi="Times New Roman" w:eastAsia="Times New Roman" w:cs="Times New Roman"/>
          <w:spacing w:val="-4"/>
          <w:sz w:val="24"/>
          <w:szCs w:val="24"/>
        </w:rPr>
        <w:t>-</w:t>
      </w:r>
      <w:r>
        <w:rPr>
          <w:spacing w:val="-4"/>
          <w:sz w:val="24"/>
          <w:szCs w:val="24"/>
        </w:rPr>
        <w:t>总价措施项目符合性检查</w:t>
      </w:r>
    </w:p>
    <w:p w14:paraId="6876E607">
      <w:pPr>
        <w:spacing w:line="282" w:lineRule="auto"/>
        <w:rPr>
          <w:rFonts w:ascii="Arial"/>
          <w:sz w:val="21"/>
        </w:rPr>
      </w:pPr>
    </w:p>
    <w:p w14:paraId="0D11B8F8">
      <w:pPr>
        <w:spacing w:line="283" w:lineRule="auto"/>
        <w:rPr>
          <w:rFonts w:ascii="Arial"/>
          <w:sz w:val="21"/>
        </w:rPr>
      </w:pPr>
    </w:p>
    <w:p w14:paraId="7521E823">
      <w:pPr>
        <w:spacing w:line="283" w:lineRule="auto"/>
        <w:rPr>
          <w:rFonts w:ascii="Arial"/>
          <w:sz w:val="21"/>
        </w:rPr>
      </w:pPr>
    </w:p>
    <w:p w14:paraId="476E444B">
      <w:pPr>
        <w:pStyle w:val="2"/>
        <w:spacing w:before="100" w:line="245" w:lineRule="auto"/>
        <w:ind w:left="3" w:right="1786" w:firstLine="1976"/>
        <w:rPr>
          <w:rFonts w:ascii="宋体" w:hAnsi="宋体" w:eastAsia="宋体" w:cs="宋体"/>
          <w:sz w:val="20"/>
          <w:szCs w:val="20"/>
        </w:rPr>
      </w:pPr>
      <w:bookmarkStart w:id="198" w:name="bookmark179"/>
      <w:bookmarkEnd w:id="198"/>
      <w:r>
        <w:rPr>
          <w:spacing w:val="8"/>
          <w:sz w:val="31"/>
          <w:szCs w:val="31"/>
        </w:rPr>
        <w:t>清标报告-总价措施项目符合性检查</w:t>
      </w:r>
      <w:r>
        <w:rPr>
          <w:rFonts w:ascii="宋体" w:hAnsi="宋体" w:eastAsia="宋体" w:cs="宋体"/>
          <w:spacing w:val="6"/>
          <w:sz w:val="20"/>
          <w:szCs w:val="20"/>
        </w:rPr>
        <w:t>投标人名称：</w:t>
      </w:r>
    </w:p>
    <w:p w14:paraId="477DF74D">
      <w:pPr>
        <w:spacing w:before="132"/>
      </w:pPr>
    </w:p>
    <w:tbl>
      <w:tblPr>
        <w:tblStyle w:val="5"/>
        <w:tblW w:w="8083" w:type="dxa"/>
        <w:tblInd w:w="4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0"/>
        <w:gridCol w:w="1152"/>
        <w:gridCol w:w="720"/>
        <w:gridCol w:w="432"/>
        <w:gridCol w:w="1153"/>
        <w:gridCol w:w="1153"/>
        <w:gridCol w:w="1152"/>
        <w:gridCol w:w="1161"/>
      </w:tblGrid>
      <w:tr w14:paraId="72DB4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3032" w:type="dxa"/>
            <w:gridSpan w:val="3"/>
            <w:tcBorders>
              <w:top w:val="single" w:color="000000" w:sz="4" w:space="0"/>
              <w:left w:val="single" w:color="000000" w:sz="4" w:space="0"/>
              <w:right w:val="single" w:color="000000" w:sz="4" w:space="0"/>
            </w:tcBorders>
            <w:vAlign w:val="top"/>
          </w:tcPr>
          <w:p w14:paraId="3FDC2BD1">
            <w:pPr>
              <w:pStyle w:val="6"/>
              <w:spacing w:before="185" w:line="229" w:lineRule="auto"/>
              <w:ind w:left="919"/>
              <w:rPr>
                <w:sz w:val="19"/>
                <w:szCs w:val="19"/>
              </w:rPr>
            </w:pPr>
            <w:r>
              <w:rPr>
                <w:spacing w:val="8"/>
                <w:sz w:val="19"/>
                <w:szCs w:val="19"/>
              </w:rPr>
              <w:t>单位工程名称</w:t>
            </w:r>
          </w:p>
        </w:tc>
        <w:tc>
          <w:tcPr>
            <w:tcW w:w="5051" w:type="dxa"/>
            <w:gridSpan w:val="5"/>
            <w:tcBorders>
              <w:top w:val="single" w:color="000000" w:sz="4" w:space="0"/>
              <w:left w:val="single" w:color="000000" w:sz="4" w:space="0"/>
              <w:right w:val="single" w:color="000000" w:sz="4" w:space="0"/>
            </w:tcBorders>
            <w:vAlign w:val="top"/>
          </w:tcPr>
          <w:p w14:paraId="6981E685">
            <w:pPr>
              <w:rPr>
                <w:rFonts w:ascii="Arial"/>
                <w:sz w:val="21"/>
              </w:rPr>
            </w:pPr>
          </w:p>
        </w:tc>
      </w:tr>
      <w:tr w14:paraId="6ED35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8083" w:type="dxa"/>
            <w:gridSpan w:val="8"/>
            <w:tcBorders>
              <w:left w:val="single" w:color="000000" w:sz="4" w:space="0"/>
              <w:right w:val="single" w:color="000000" w:sz="4" w:space="0"/>
            </w:tcBorders>
            <w:vAlign w:val="top"/>
          </w:tcPr>
          <w:p w14:paraId="1649B128">
            <w:pPr>
              <w:pStyle w:val="6"/>
              <w:spacing w:before="220" w:line="227" w:lineRule="auto"/>
              <w:ind w:left="2743"/>
              <w:rPr>
                <w:sz w:val="19"/>
                <w:szCs w:val="19"/>
              </w:rPr>
            </w:pPr>
            <w:r>
              <w:rPr>
                <w:b/>
                <w:bCs/>
                <w:spacing w:val="7"/>
                <w:sz w:val="19"/>
                <w:szCs w:val="19"/>
              </w:rPr>
              <w:t>二、总价措施项目符合性检查</w:t>
            </w:r>
          </w:p>
        </w:tc>
      </w:tr>
      <w:tr w14:paraId="32C7D2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1160" w:type="dxa"/>
            <w:tcBorders>
              <w:left w:val="single" w:color="000000" w:sz="4" w:space="0"/>
            </w:tcBorders>
            <w:vAlign w:val="top"/>
          </w:tcPr>
          <w:p w14:paraId="02CA2627">
            <w:pPr>
              <w:pStyle w:val="6"/>
              <w:spacing w:before="47"/>
              <w:ind w:left="284" w:right="179" w:hanging="100"/>
              <w:rPr>
                <w:sz w:val="19"/>
                <w:szCs w:val="19"/>
              </w:rPr>
            </w:pPr>
            <w:r>
              <w:rPr>
                <w:spacing w:val="7"/>
                <w:sz w:val="19"/>
                <w:szCs w:val="19"/>
              </w:rPr>
              <w:t>项目名称</w:t>
            </w:r>
            <w:r>
              <w:rPr>
                <w:spacing w:val="6"/>
                <w:sz w:val="19"/>
                <w:szCs w:val="19"/>
              </w:rPr>
              <w:t>或编号</w:t>
            </w:r>
          </w:p>
        </w:tc>
        <w:tc>
          <w:tcPr>
            <w:tcW w:w="1152" w:type="dxa"/>
            <w:tcBorders>
              <w:right w:val="single" w:color="000000" w:sz="4" w:space="0"/>
            </w:tcBorders>
            <w:vAlign w:val="top"/>
          </w:tcPr>
          <w:p w14:paraId="5A89A366">
            <w:pPr>
              <w:pStyle w:val="6"/>
              <w:spacing w:before="47"/>
              <w:ind w:left="376" w:right="174" w:hanging="195"/>
              <w:rPr>
                <w:sz w:val="19"/>
                <w:szCs w:val="19"/>
              </w:rPr>
            </w:pPr>
            <w:r>
              <w:rPr>
                <w:spacing w:val="7"/>
                <w:sz w:val="19"/>
                <w:szCs w:val="19"/>
              </w:rPr>
              <w:t>项目编码</w:t>
            </w:r>
            <w:r>
              <w:rPr>
                <w:spacing w:val="5"/>
                <w:sz w:val="19"/>
                <w:szCs w:val="19"/>
              </w:rPr>
              <w:t>错误</w:t>
            </w:r>
          </w:p>
        </w:tc>
        <w:tc>
          <w:tcPr>
            <w:tcW w:w="1152" w:type="dxa"/>
            <w:gridSpan w:val="2"/>
            <w:tcBorders>
              <w:left w:val="single" w:color="000000" w:sz="4" w:space="0"/>
              <w:right w:val="single" w:color="000000" w:sz="4" w:space="0"/>
            </w:tcBorders>
            <w:vAlign w:val="top"/>
          </w:tcPr>
          <w:p w14:paraId="28A208B1">
            <w:pPr>
              <w:pStyle w:val="6"/>
              <w:spacing w:before="47"/>
              <w:ind w:left="377" w:right="172" w:hanging="196"/>
              <w:rPr>
                <w:sz w:val="19"/>
                <w:szCs w:val="19"/>
              </w:rPr>
            </w:pPr>
            <w:r>
              <w:rPr>
                <w:spacing w:val="7"/>
                <w:sz w:val="19"/>
                <w:szCs w:val="19"/>
              </w:rPr>
              <w:t>项目名称</w:t>
            </w:r>
            <w:r>
              <w:rPr>
                <w:spacing w:val="5"/>
                <w:sz w:val="19"/>
                <w:szCs w:val="19"/>
              </w:rPr>
              <w:t>错误</w:t>
            </w:r>
          </w:p>
        </w:tc>
        <w:tc>
          <w:tcPr>
            <w:tcW w:w="1153" w:type="dxa"/>
            <w:tcBorders>
              <w:left w:val="single" w:color="000000" w:sz="4" w:space="0"/>
            </w:tcBorders>
            <w:vAlign w:val="top"/>
          </w:tcPr>
          <w:p w14:paraId="319F5BE6">
            <w:pPr>
              <w:pStyle w:val="6"/>
              <w:spacing w:before="41" w:line="237" w:lineRule="auto"/>
              <w:ind w:left="379" w:right="156" w:hanging="220"/>
              <w:rPr>
                <w:sz w:val="19"/>
                <w:szCs w:val="19"/>
              </w:rPr>
            </w:pPr>
            <w:r>
              <w:rPr>
                <w:spacing w:val="7"/>
              </w:rPr>
              <w:t>计算基础</w:t>
            </w:r>
            <w:r>
              <w:rPr>
                <w:spacing w:val="5"/>
                <w:sz w:val="19"/>
                <w:szCs w:val="19"/>
              </w:rPr>
              <w:t>错误</w:t>
            </w:r>
          </w:p>
        </w:tc>
        <w:tc>
          <w:tcPr>
            <w:tcW w:w="1153" w:type="dxa"/>
            <w:tcBorders>
              <w:right w:val="single" w:color="000000" w:sz="4" w:space="0"/>
            </w:tcBorders>
            <w:vAlign w:val="top"/>
          </w:tcPr>
          <w:p w14:paraId="7A1061AF">
            <w:pPr>
              <w:pStyle w:val="6"/>
              <w:spacing w:before="41" w:line="237" w:lineRule="auto"/>
              <w:ind w:left="382" w:right="114" w:hanging="256"/>
              <w:rPr>
                <w:sz w:val="19"/>
                <w:szCs w:val="19"/>
              </w:rPr>
            </w:pPr>
            <w:r>
              <w:rPr>
                <w:spacing w:val="17"/>
              </w:rPr>
              <w:t>费率 (%)</w:t>
            </w:r>
            <w:r>
              <w:rPr>
                <w:spacing w:val="5"/>
                <w:sz w:val="19"/>
                <w:szCs w:val="19"/>
              </w:rPr>
              <w:t>错误</w:t>
            </w:r>
          </w:p>
        </w:tc>
        <w:tc>
          <w:tcPr>
            <w:tcW w:w="1152" w:type="dxa"/>
            <w:tcBorders>
              <w:left w:val="single" w:color="000000" w:sz="4" w:space="0"/>
            </w:tcBorders>
            <w:vAlign w:val="top"/>
          </w:tcPr>
          <w:p w14:paraId="132F3B85">
            <w:pPr>
              <w:pStyle w:val="6"/>
              <w:spacing w:before="177" w:line="228" w:lineRule="auto"/>
              <w:ind w:left="285"/>
              <w:rPr>
                <w:sz w:val="19"/>
                <w:szCs w:val="19"/>
              </w:rPr>
            </w:pPr>
            <w:r>
              <w:rPr>
                <w:spacing w:val="6"/>
                <w:sz w:val="19"/>
                <w:szCs w:val="19"/>
              </w:rPr>
              <w:t>未填报</w:t>
            </w:r>
          </w:p>
        </w:tc>
        <w:tc>
          <w:tcPr>
            <w:tcW w:w="1161" w:type="dxa"/>
            <w:tcBorders>
              <w:right w:val="single" w:color="000000" w:sz="4" w:space="0"/>
            </w:tcBorders>
            <w:vAlign w:val="top"/>
          </w:tcPr>
          <w:p w14:paraId="38DB047E">
            <w:pPr>
              <w:pStyle w:val="6"/>
              <w:spacing w:before="177" w:line="229" w:lineRule="auto"/>
              <w:ind w:left="394"/>
              <w:rPr>
                <w:sz w:val="19"/>
                <w:szCs w:val="19"/>
              </w:rPr>
            </w:pPr>
            <w:r>
              <w:rPr>
                <w:sz w:val="19"/>
                <w:szCs w:val="19"/>
              </w:rPr>
              <w:t>多项</w:t>
            </w:r>
          </w:p>
        </w:tc>
      </w:tr>
      <w:tr w14:paraId="5F8F27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160" w:type="dxa"/>
            <w:tcBorders>
              <w:left w:val="single" w:color="000000" w:sz="4" w:space="0"/>
            </w:tcBorders>
            <w:vAlign w:val="top"/>
          </w:tcPr>
          <w:p w14:paraId="02E85FEE">
            <w:pPr>
              <w:rPr>
                <w:rFonts w:ascii="Arial"/>
                <w:sz w:val="21"/>
              </w:rPr>
            </w:pPr>
          </w:p>
        </w:tc>
        <w:tc>
          <w:tcPr>
            <w:tcW w:w="1152" w:type="dxa"/>
            <w:tcBorders>
              <w:right w:val="single" w:color="000000" w:sz="4" w:space="0"/>
            </w:tcBorders>
            <w:vAlign w:val="top"/>
          </w:tcPr>
          <w:p w14:paraId="4F618CE8">
            <w:pPr>
              <w:rPr>
                <w:rFonts w:ascii="Arial"/>
                <w:sz w:val="21"/>
              </w:rPr>
            </w:pPr>
          </w:p>
        </w:tc>
        <w:tc>
          <w:tcPr>
            <w:tcW w:w="1152" w:type="dxa"/>
            <w:gridSpan w:val="2"/>
            <w:tcBorders>
              <w:left w:val="single" w:color="000000" w:sz="4" w:space="0"/>
              <w:right w:val="single" w:color="000000" w:sz="4" w:space="0"/>
            </w:tcBorders>
            <w:vAlign w:val="top"/>
          </w:tcPr>
          <w:p w14:paraId="168B6762">
            <w:pPr>
              <w:rPr>
                <w:rFonts w:ascii="Arial"/>
                <w:sz w:val="21"/>
              </w:rPr>
            </w:pPr>
          </w:p>
        </w:tc>
        <w:tc>
          <w:tcPr>
            <w:tcW w:w="1153" w:type="dxa"/>
            <w:tcBorders>
              <w:left w:val="single" w:color="000000" w:sz="4" w:space="0"/>
            </w:tcBorders>
            <w:vAlign w:val="top"/>
          </w:tcPr>
          <w:p w14:paraId="1C49AF37">
            <w:pPr>
              <w:rPr>
                <w:rFonts w:ascii="Arial"/>
                <w:sz w:val="21"/>
              </w:rPr>
            </w:pPr>
          </w:p>
        </w:tc>
        <w:tc>
          <w:tcPr>
            <w:tcW w:w="1153" w:type="dxa"/>
            <w:tcBorders>
              <w:right w:val="single" w:color="000000" w:sz="4" w:space="0"/>
            </w:tcBorders>
            <w:vAlign w:val="top"/>
          </w:tcPr>
          <w:p w14:paraId="5834901E">
            <w:pPr>
              <w:rPr>
                <w:rFonts w:ascii="Arial"/>
                <w:sz w:val="21"/>
              </w:rPr>
            </w:pPr>
          </w:p>
        </w:tc>
        <w:tc>
          <w:tcPr>
            <w:tcW w:w="1152" w:type="dxa"/>
            <w:tcBorders>
              <w:left w:val="single" w:color="000000" w:sz="4" w:space="0"/>
            </w:tcBorders>
            <w:vAlign w:val="top"/>
          </w:tcPr>
          <w:p w14:paraId="615CBBD9">
            <w:pPr>
              <w:rPr>
                <w:rFonts w:ascii="Arial"/>
                <w:sz w:val="21"/>
              </w:rPr>
            </w:pPr>
          </w:p>
        </w:tc>
        <w:tc>
          <w:tcPr>
            <w:tcW w:w="1161" w:type="dxa"/>
            <w:tcBorders>
              <w:right w:val="single" w:color="000000" w:sz="4" w:space="0"/>
            </w:tcBorders>
            <w:vAlign w:val="top"/>
          </w:tcPr>
          <w:p w14:paraId="4B70A4D4">
            <w:pPr>
              <w:rPr>
                <w:rFonts w:ascii="Arial"/>
                <w:sz w:val="21"/>
              </w:rPr>
            </w:pPr>
          </w:p>
        </w:tc>
      </w:tr>
      <w:tr w14:paraId="1E9AA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160" w:type="dxa"/>
            <w:tcBorders>
              <w:left w:val="single" w:color="000000" w:sz="4" w:space="0"/>
            </w:tcBorders>
            <w:vAlign w:val="top"/>
          </w:tcPr>
          <w:p w14:paraId="33189AC2">
            <w:pPr>
              <w:rPr>
                <w:rFonts w:ascii="Arial"/>
                <w:sz w:val="21"/>
              </w:rPr>
            </w:pPr>
          </w:p>
        </w:tc>
        <w:tc>
          <w:tcPr>
            <w:tcW w:w="1152" w:type="dxa"/>
            <w:tcBorders>
              <w:right w:val="single" w:color="000000" w:sz="4" w:space="0"/>
            </w:tcBorders>
            <w:vAlign w:val="top"/>
          </w:tcPr>
          <w:p w14:paraId="65C9C33E">
            <w:pPr>
              <w:rPr>
                <w:rFonts w:ascii="Arial"/>
                <w:sz w:val="21"/>
              </w:rPr>
            </w:pPr>
          </w:p>
        </w:tc>
        <w:tc>
          <w:tcPr>
            <w:tcW w:w="1152" w:type="dxa"/>
            <w:gridSpan w:val="2"/>
            <w:tcBorders>
              <w:left w:val="single" w:color="000000" w:sz="4" w:space="0"/>
              <w:right w:val="single" w:color="000000" w:sz="4" w:space="0"/>
            </w:tcBorders>
            <w:vAlign w:val="top"/>
          </w:tcPr>
          <w:p w14:paraId="12E8D94C">
            <w:pPr>
              <w:rPr>
                <w:rFonts w:ascii="Arial"/>
                <w:sz w:val="21"/>
              </w:rPr>
            </w:pPr>
          </w:p>
        </w:tc>
        <w:tc>
          <w:tcPr>
            <w:tcW w:w="1153" w:type="dxa"/>
            <w:tcBorders>
              <w:left w:val="single" w:color="000000" w:sz="4" w:space="0"/>
            </w:tcBorders>
            <w:vAlign w:val="top"/>
          </w:tcPr>
          <w:p w14:paraId="1EC2E499">
            <w:pPr>
              <w:rPr>
                <w:rFonts w:ascii="Arial"/>
                <w:sz w:val="21"/>
              </w:rPr>
            </w:pPr>
          </w:p>
        </w:tc>
        <w:tc>
          <w:tcPr>
            <w:tcW w:w="1153" w:type="dxa"/>
            <w:tcBorders>
              <w:right w:val="single" w:color="000000" w:sz="4" w:space="0"/>
            </w:tcBorders>
            <w:vAlign w:val="top"/>
          </w:tcPr>
          <w:p w14:paraId="7C3826A1">
            <w:pPr>
              <w:rPr>
                <w:rFonts w:ascii="Arial"/>
                <w:sz w:val="21"/>
              </w:rPr>
            </w:pPr>
          </w:p>
        </w:tc>
        <w:tc>
          <w:tcPr>
            <w:tcW w:w="1152" w:type="dxa"/>
            <w:tcBorders>
              <w:left w:val="single" w:color="000000" w:sz="4" w:space="0"/>
            </w:tcBorders>
            <w:vAlign w:val="top"/>
          </w:tcPr>
          <w:p w14:paraId="1F0254EC">
            <w:pPr>
              <w:rPr>
                <w:rFonts w:ascii="Arial"/>
                <w:sz w:val="21"/>
              </w:rPr>
            </w:pPr>
          </w:p>
        </w:tc>
        <w:tc>
          <w:tcPr>
            <w:tcW w:w="1161" w:type="dxa"/>
            <w:tcBorders>
              <w:right w:val="single" w:color="000000" w:sz="4" w:space="0"/>
            </w:tcBorders>
            <w:vAlign w:val="top"/>
          </w:tcPr>
          <w:p w14:paraId="1D206332">
            <w:pPr>
              <w:rPr>
                <w:rFonts w:ascii="Arial"/>
                <w:sz w:val="21"/>
              </w:rPr>
            </w:pPr>
          </w:p>
        </w:tc>
      </w:tr>
      <w:tr w14:paraId="244DE5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160" w:type="dxa"/>
            <w:tcBorders>
              <w:left w:val="single" w:color="000000" w:sz="4" w:space="0"/>
            </w:tcBorders>
            <w:vAlign w:val="top"/>
          </w:tcPr>
          <w:p w14:paraId="5AEB4DC5">
            <w:pPr>
              <w:rPr>
                <w:rFonts w:ascii="Arial"/>
                <w:sz w:val="21"/>
              </w:rPr>
            </w:pPr>
          </w:p>
        </w:tc>
        <w:tc>
          <w:tcPr>
            <w:tcW w:w="1152" w:type="dxa"/>
            <w:tcBorders>
              <w:right w:val="single" w:color="000000" w:sz="4" w:space="0"/>
            </w:tcBorders>
            <w:vAlign w:val="top"/>
          </w:tcPr>
          <w:p w14:paraId="1D228885">
            <w:pPr>
              <w:rPr>
                <w:rFonts w:ascii="Arial"/>
                <w:sz w:val="21"/>
              </w:rPr>
            </w:pPr>
          </w:p>
        </w:tc>
        <w:tc>
          <w:tcPr>
            <w:tcW w:w="1152" w:type="dxa"/>
            <w:gridSpan w:val="2"/>
            <w:tcBorders>
              <w:left w:val="single" w:color="000000" w:sz="4" w:space="0"/>
              <w:right w:val="single" w:color="000000" w:sz="4" w:space="0"/>
            </w:tcBorders>
            <w:vAlign w:val="top"/>
          </w:tcPr>
          <w:p w14:paraId="59888938">
            <w:pPr>
              <w:rPr>
                <w:rFonts w:ascii="Arial"/>
                <w:sz w:val="21"/>
              </w:rPr>
            </w:pPr>
          </w:p>
        </w:tc>
        <w:tc>
          <w:tcPr>
            <w:tcW w:w="1153" w:type="dxa"/>
            <w:tcBorders>
              <w:left w:val="single" w:color="000000" w:sz="4" w:space="0"/>
            </w:tcBorders>
            <w:vAlign w:val="top"/>
          </w:tcPr>
          <w:p w14:paraId="48FDCD16">
            <w:pPr>
              <w:rPr>
                <w:rFonts w:ascii="Arial"/>
                <w:sz w:val="21"/>
              </w:rPr>
            </w:pPr>
          </w:p>
        </w:tc>
        <w:tc>
          <w:tcPr>
            <w:tcW w:w="1153" w:type="dxa"/>
            <w:tcBorders>
              <w:right w:val="single" w:color="000000" w:sz="4" w:space="0"/>
            </w:tcBorders>
            <w:vAlign w:val="top"/>
          </w:tcPr>
          <w:p w14:paraId="451F40CF">
            <w:pPr>
              <w:rPr>
                <w:rFonts w:ascii="Arial"/>
                <w:sz w:val="21"/>
              </w:rPr>
            </w:pPr>
          </w:p>
        </w:tc>
        <w:tc>
          <w:tcPr>
            <w:tcW w:w="1152" w:type="dxa"/>
            <w:tcBorders>
              <w:left w:val="single" w:color="000000" w:sz="4" w:space="0"/>
            </w:tcBorders>
            <w:vAlign w:val="top"/>
          </w:tcPr>
          <w:p w14:paraId="6583A684">
            <w:pPr>
              <w:rPr>
                <w:rFonts w:ascii="Arial"/>
                <w:sz w:val="21"/>
              </w:rPr>
            </w:pPr>
          </w:p>
        </w:tc>
        <w:tc>
          <w:tcPr>
            <w:tcW w:w="1161" w:type="dxa"/>
            <w:tcBorders>
              <w:right w:val="single" w:color="000000" w:sz="4" w:space="0"/>
            </w:tcBorders>
            <w:vAlign w:val="top"/>
          </w:tcPr>
          <w:p w14:paraId="1012F940">
            <w:pPr>
              <w:rPr>
                <w:rFonts w:ascii="Arial"/>
                <w:sz w:val="21"/>
              </w:rPr>
            </w:pPr>
          </w:p>
        </w:tc>
      </w:tr>
      <w:tr w14:paraId="67488F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160" w:type="dxa"/>
            <w:tcBorders>
              <w:left w:val="single" w:color="000000" w:sz="4" w:space="0"/>
            </w:tcBorders>
            <w:vAlign w:val="top"/>
          </w:tcPr>
          <w:p w14:paraId="7A2859DE">
            <w:pPr>
              <w:rPr>
                <w:rFonts w:ascii="Arial"/>
                <w:sz w:val="21"/>
              </w:rPr>
            </w:pPr>
          </w:p>
        </w:tc>
        <w:tc>
          <w:tcPr>
            <w:tcW w:w="1152" w:type="dxa"/>
            <w:tcBorders>
              <w:right w:val="single" w:color="000000" w:sz="4" w:space="0"/>
            </w:tcBorders>
            <w:vAlign w:val="top"/>
          </w:tcPr>
          <w:p w14:paraId="5CECEDA7">
            <w:pPr>
              <w:rPr>
                <w:rFonts w:ascii="Arial"/>
                <w:sz w:val="21"/>
              </w:rPr>
            </w:pPr>
          </w:p>
        </w:tc>
        <w:tc>
          <w:tcPr>
            <w:tcW w:w="1152" w:type="dxa"/>
            <w:gridSpan w:val="2"/>
            <w:tcBorders>
              <w:left w:val="single" w:color="000000" w:sz="4" w:space="0"/>
              <w:right w:val="single" w:color="000000" w:sz="4" w:space="0"/>
            </w:tcBorders>
            <w:vAlign w:val="top"/>
          </w:tcPr>
          <w:p w14:paraId="52154752">
            <w:pPr>
              <w:rPr>
                <w:rFonts w:ascii="Arial"/>
                <w:sz w:val="21"/>
              </w:rPr>
            </w:pPr>
          </w:p>
        </w:tc>
        <w:tc>
          <w:tcPr>
            <w:tcW w:w="1153" w:type="dxa"/>
            <w:tcBorders>
              <w:left w:val="single" w:color="000000" w:sz="4" w:space="0"/>
            </w:tcBorders>
            <w:vAlign w:val="top"/>
          </w:tcPr>
          <w:p w14:paraId="7E4E42CE">
            <w:pPr>
              <w:rPr>
                <w:rFonts w:ascii="Arial"/>
                <w:sz w:val="21"/>
              </w:rPr>
            </w:pPr>
          </w:p>
        </w:tc>
        <w:tc>
          <w:tcPr>
            <w:tcW w:w="1153" w:type="dxa"/>
            <w:tcBorders>
              <w:right w:val="single" w:color="000000" w:sz="4" w:space="0"/>
            </w:tcBorders>
            <w:vAlign w:val="top"/>
          </w:tcPr>
          <w:p w14:paraId="7953679A">
            <w:pPr>
              <w:rPr>
                <w:rFonts w:ascii="Arial"/>
                <w:sz w:val="21"/>
              </w:rPr>
            </w:pPr>
          </w:p>
        </w:tc>
        <w:tc>
          <w:tcPr>
            <w:tcW w:w="1152" w:type="dxa"/>
            <w:tcBorders>
              <w:left w:val="single" w:color="000000" w:sz="4" w:space="0"/>
            </w:tcBorders>
            <w:vAlign w:val="top"/>
          </w:tcPr>
          <w:p w14:paraId="1EF86357">
            <w:pPr>
              <w:rPr>
                <w:rFonts w:ascii="Arial"/>
                <w:sz w:val="21"/>
              </w:rPr>
            </w:pPr>
          </w:p>
        </w:tc>
        <w:tc>
          <w:tcPr>
            <w:tcW w:w="1161" w:type="dxa"/>
            <w:tcBorders>
              <w:right w:val="single" w:color="000000" w:sz="4" w:space="0"/>
            </w:tcBorders>
            <w:vAlign w:val="top"/>
          </w:tcPr>
          <w:p w14:paraId="619359E5">
            <w:pPr>
              <w:rPr>
                <w:rFonts w:ascii="Arial"/>
                <w:sz w:val="21"/>
              </w:rPr>
            </w:pPr>
          </w:p>
        </w:tc>
      </w:tr>
      <w:tr w14:paraId="262392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160" w:type="dxa"/>
            <w:tcBorders>
              <w:left w:val="single" w:color="000000" w:sz="4" w:space="0"/>
            </w:tcBorders>
            <w:vAlign w:val="top"/>
          </w:tcPr>
          <w:p w14:paraId="374D25D8">
            <w:pPr>
              <w:rPr>
                <w:rFonts w:ascii="Arial"/>
                <w:sz w:val="21"/>
              </w:rPr>
            </w:pPr>
          </w:p>
        </w:tc>
        <w:tc>
          <w:tcPr>
            <w:tcW w:w="1152" w:type="dxa"/>
            <w:tcBorders>
              <w:right w:val="single" w:color="000000" w:sz="4" w:space="0"/>
            </w:tcBorders>
            <w:vAlign w:val="top"/>
          </w:tcPr>
          <w:p w14:paraId="28236557">
            <w:pPr>
              <w:rPr>
                <w:rFonts w:ascii="Arial"/>
                <w:sz w:val="21"/>
              </w:rPr>
            </w:pPr>
          </w:p>
        </w:tc>
        <w:tc>
          <w:tcPr>
            <w:tcW w:w="1152" w:type="dxa"/>
            <w:gridSpan w:val="2"/>
            <w:tcBorders>
              <w:left w:val="single" w:color="000000" w:sz="4" w:space="0"/>
              <w:right w:val="single" w:color="000000" w:sz="4" w:space="0"/>
            </w:tcBorders>
            <w:vAlign w:val="top"/>
          </w:tcPr>
          <w:p w14:paraId="5EC4804B">
            <w:pPr>
              <w:rPr>
                <w:rFonts w:ascii="Arial"/>
                <w:sz w:val="21"/>
              </w:rPr>
            </w:pPr>
          </w:p>
        </w:tc>
        <w:tc>
          <w:tcPr>
            <w:tcW w:w="1153" w:type="dxa"/>
            <w:tcBorders>
              <w:left w:val="single" w:color="000000" w:sz="4" w:space="0"/>
            </w:tcBorders>
            <w:vAlign w:val="top"/>
          </w:tcPr>
          <w:p w14:paraId="307EE397">
            <w:pPr>
              <w:rPr>
                <w:rFonts w:ascii="Arial"/>
                <w:sz w:val="21"/>
              </w:rPr>
            </w:pPr>
          </w:p>
        </w:tc>
        <w:tc>
          <w:tcPr>
            <w:tcW w:w="1153" w:type="dxa"/>
            <w:tcBorders>
              <w:right w:val="single" w:color="000000" w:sz="4" w:space="0"/>
            </w:tcBorders>
            <w:vAlign w:val="top"/>
          </w:tcPr>
          <w:p w14:paraId="42BA2DBE">
            <w:pPr>
              <w:rPr>
                <w:rFonts w:ascii="Arial"/>
                <w:sz w:val="21"/>
              </w:rPr>
            </w:pPr>
          </w:p>
        </w:tc>
        <w:tc>
          <w:tcPr>
            <w:tcW w:w="1152" w:type="dxa"/>
            <w:tcBorders>
              <w:left w:val="single" w:color="000000" w:sz="4" w:space="0"/>
            </w:tcBorders>
            <w:vAlign w:val="top"/>
          </w:tcPr>
          <w:p w14:paraId="63DF2DCE">
            <w:pPr>
              <w:rPr>
                <w:rFonts w:ascii="Arial"/>
                <w:sz w:val="21"/>
              </w:rPr>
            </w:pPr>
          </w:p>
        </w:tc>
        <w:tc>
          <w:tcPr>
            <w:tcW w:w="1161" w:type="dxa"/>
            <w:tcBorders>
              <w:right w:val="single" w:color="000000" w:sz="4" w:space="0"/>
            </w:tcBorders>
            <w:vAlign w:val="top"/>
          </w:tcPr>
          <w:p w14:paraId="53C96984">
            <w:pPr>
              <w:rPr>
                <w:rFonts w:ascii="Arial"/>
                <w:sz w:val="21"/>
              </w:rPr>
            </w:pPr>
          </w:p>
        </w:tc>
      </w:tr>
      <w:tr w14:paraId="3D801E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160" w:type="dxa"/>
            <w:tcBorders>
              <w:left w:val="single" w:color="000000" w:sz="4" w:space="0"/>
            </w:tcBorders>
            <w:vAlign w:val="top"/>
          </w:tcPr>
          <w:p w14:paraId="3225F183">
            <w:pPr>
              <w:rPr>
                <w:rFonts w:ascii="Arial"/>
                <w:sz w:val="21"/>
              </w:rPr>
            </w:pPr>
          </w:p>
        </w:tc>
        <w:tc>
          <w:tcPr>
            <w:tcW w:w="1152" w:type="dxa"/>
            <w:tcBorders>
              <w:right w:val="single" w:color="000000" w:sz="4" w:space="0"/>
            </w:tcBorders>
            <w:vAlign w:val="top"/>
          </w:tcPr>
          <w:p w14:paraId="0AF1CF35">
            <w:pPr>
              <w:rPr>
                <w:rFonts w:ascii="Arial"/>
                <w:sz w:val="21"/>
              </w:rPr>
            </w:pPr>
          </w:p>
        </w:tc>
        <w:tc>
          <w:tcPr>
            <w:tcW w:w="1152" w:type="dxa"/>
            <w:gridSpan w:val="2"/>
            <w:tcBorders>
              <w:left w:val="single" w:color="000000" w:sz="4" w:space="0"/>
              <w:right w:val="single" w:color="000000" w:sz="4" w:space="0"/>
            </w:tcBorders>
            <w:vAlign w:val="top"/>
          </w:tcPr>
          <w:p w14:paraId="0823EEFB">
            <w:pPr>
              <w:rPr>
                <w:rFonts w:ascii="Arial"/>
                <w:sz w:val="21"/>
              </w:rPr>
            </w:pPr>
          </w:p>
        </w:tc>
        <w:tc>
          <w:tcPr>
            <w:tcW w:w="1153" w:type="dxa"/>
            <w:tcBorders>
              <w:left w:val="single" w:color="000000" w:sz="4" w:space="0"/>
            </w:tcBorders>
            <w:vAlign w:val="top"/>
          </w:tcPr>
          <w:p w14:paraId="053D3457">
            <w:pPr>
              <w:rPr>
                <w:rFonts w:ascii="Arial"/>
                <w:sz w:val="21"/>
              </w:rPr>
            </w:pPr>
          </w:p>
        </w:tc>
        <w:tc>
          <w:tcPr>
            <w:tcW w:w="1153" w:type="dxa"/>
            <w:tcBorders>
              <w:right w:val="single" w:color="000000" w:sz="4" w:space="0"/>
            </w:tcBorders>
            <w:vAlign w:val="top"/>
          </w:tcPr>
          <w:p w14:paraId="08F32891">
            <w:pPr>
              <w:rPr>
                <w:rFonts w:ascii="Arial"/>
                <w:sz w:val="21"/>
              </w:rPr>
            </w:pPr>
          </w:p>
        </w:tc>
        <w:tc>
          <w:tcPr>
            <w:tcW w:w="1152" w:type="dxa"/>
            <w:tcBorders>
              <w:left w:val="single" w:color="000000" w:sz="4" w:space="0"/>
            </w:tcBorders>
            <w:vAlign w:val="top"/>
          </w:tcPr>
          <w:p w14:paraId="28A459B6">
            <w:pPr>
              <w:rPr>
                <w:rFonts w:ascii="Arial"/>
                <w:sz w:val="21"/>
              </w:rPr>
            </w:pPr>
          </w:p>
        </w:tc>
        <w:tc>
          <w:tcPr>
            <w:tcW w:w="1161" w:type="dxa"/>
            <w:tcBorders>
              <w:right w:val="single" w:color="000000" w:sz="4" w:space="0"/>
            </w:tcBorders>
            <w:vAlign w:val="top"/>
          </w:tcPr>
          <w:p w14:paraId="1330A3CF">
            <w:pPr>
              <w:rPr>
                <w:rFonts w:ascii="Arial"/>
                <w:sz w:val="21"/>
              </w:rPr>
            </w:pPr>
          </w:p>
        </w:tc>
      </w:tr>
      <w:tr w14:paraId="1CF3F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160" w:type="dxa"/>
            <w:tcBorders>
              <w:left w:val="single" w:color="000000" w:sz="4" w:space="0"/>
            </w:tcBorders>
            <w:vAlign w:val="top"/>
          </w:tcPr>
          <w:p w14:paraId="5BB45047">
            <w:pPr>
              <w:rPr>
                <w:rFonts w:ascii="Arial"/>
                <w:sz w:val="21"/>
              </w:rPr>
            </w:pPr>
          </w:p>
        </w:tc>
        <w:tc>
          <w:tcPr>
            <w:tcW w:w="1152" w:type="dxa"/>
            <w:tcBorders>
              <w:right w:val="single" w:color="000000" w:sz="4" w:space="0"/>
            </w:tcBorders>
            <w:vAlign w:val="top"/>
          </w:tcPr>
          <w:p w14:paraId="503D2665">
            <w:pPr>
              <w:rPr>
                <w:rFonts w:ascii="Arial"/>
                <w:sz w:val="21"/>
              </w:rPr>
            </w:pPr>
          </w:p>
        </w:tc>
        <w:tc>
          <w:tcPr>
            <w:tcW w:w="1152" w:type="dxa"/>
            <w:gridSpan w:val="2"/>
            <w:tcBorders>
              <w:left w:val="single" w:color="000000" w:sz="4" w:space="0"/>
              <w:right w:val="single" w:color="000000" w:sz="4" w:space="0"/>
            </w:tcBorders>
            <w:vAlign w:val="top"/>
          </w:tcPr>
          <w:p w14:paraId="167BCEE8">
            <w:pPr>
              <w:rPr>
                <w:rFonts w:ascii="Arial"/>
                <w:sz w:val="21"/>
              </w:rPr>
            </w:pPr>
          </w:p>
        </w:tc>
        <w:tc>
          <w:tcPr>
            <w:tcW w:w="1153" w:type="dxa"/>
            <w:tcBorders>
              <w:left w:val="single" w:color="000000" w:sz="4" w:space="0"/>
            </w:tcBorders>
            <w:vAlign w:val="top"/>
          </w:tcPr>
          <w:p w14:paraId="5B1DD262">
            <w:pPr>
              <w:rPr>
                <w:rFonts w:ascii="Arial"/>
                <w:sz w:val="21"/>
              </w:rPr>
            </w:pPr>
          </w:p>
        </w:tc>
        <w:tc>
          <w:tcPr>
            <w:tcW w:w="1153" w:type="dxa"/>
            <w:tcBorders>
              <w:right w:val="single" w:color="000000" w:sz="4" w:space="0"/>
            </w:tcBorders>
            <w:vAlign w:val="top"/>
          </w:tcPr>
          <w:p w14:paraId="26BAAF2B">
            <w:pPr>
              <w:rPr>
                <w:rFonts w:ascii="Arial"/>
                <w:sz w:val="21"/>
              </w:rPr>
            </w:pPr>
          </w:p>
        </w:tc>
        <w:tc>
          <w:tcPr>
            <w:tcW w:w="1152" w:type="dxa"/>
            <w:tcBorders>
              <w:left w:val="single" w:color="000000" w:sz="4" w:space="0"/>
            </w:tcBorders>
            <w:vAlign w:val="top"/>
          </w:tcPr>
          <w:p w14:paraId="15935394">
            <w:pPr>
              <w:rPr>
                <w:rFonts w:ascii="Arial"/>
                <w:sz w:val="21"/>
              </w:rPr>
            </w:pPr>
          </w:p>
        </w:tc>
        <w:tc>
          <w:tcPr>
            <w:tcW w:w="1161" w:type="dxa"/>
            <w:tcBorders>
              <w:right w:val="single" w:color="000000" w:sz="4" w:space="0"/>
            </w:tcBorders>
            <w:vAlign w:val="top"/>
          </w:tcPr>
          <w:p w14:paraId="21FDFAC8">
            <w:pPr>
              <w:rPr>
                <w:rFonts w:ascii="Arial"/>
                <w:sz w:val="21"/>
              </w:rPr>
            </w:pPr>
          </w:p>
        </w:tc>
      </w:tr>
      <w:tr w14:paraId="4DB1C7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160" w:type="dxa"/>
            <w:tcBorders>
              <w:left w:val="single" w:color="000000" w:sz="4" w:space="0"/>
            </w:tcBorders>
            <w:vAlign w:val="top"/>
          </w:tcPr>
          <w:p w14:paraId="0FFE8FF6">
            <w:pPr>
              <w:rPr>
                <w:rFonts w:ascii="Arial"/>
                <w:sz w:val="21"/>
              </w:rPr>
            </w:pPr>
          </w:p>
        </w:tc>
        <w:tc>
          <w:tcPr>
            <w:tcW w:w="1152" w:type="dxa"/>
            <w:tcBorders>
              <w:right w:val="single" w:color="000000" w:sz="4" w:space="0"/>
            </w:tcBorders>
            <w:vAlign w:val="top"/>
          </w:tcPr>
          <w:p w14:paraId="6FED5552">
            <w:pPr>
              <w:rPr>
                <w:rFonts w:ascii="Arial"/>
                <w:sz w:val="21"/>
              </w:rPr>
            </w:pPr>
          </w:p>
        </w:tc>
        <w:tc>
          <w:tcPr>
            <w:tcW w:w="1152" w:type="dxa"/>
            <w:gridSpan w:val="2"/>
            <w:tcBorders>
              <w:left w:val="single" w:color="000000" w:sz="4" w:space="0"/>
              <w:right w:val="single" w:color="000000" w:sz="4" w:space="0"/>
            </w:tcBorders>
            <w:vAlign w:val="top"/>
          </w:tcPr>
          <w:p w14:paraId="7D7AB231">
            <w:pPr>
              <w:rPr>
                <w:rFonts w:ascii="Arial"/>
                <w:sz w:val="21"/>
              </w:rPr>
            </w:pPr>
          </w:p>
        </w:tc>
        <w:tc>
          <w:tcPr>
            <w:tcW w:w="1153" w:type="dxa"/>
            <w:tcBorders>
              <w:left w:val="single" w:color="000000" w:sz="4" w:space="0"/>
            </w:tcBorders>
            <w:vAlign w:val="top"/>
          </w:tcPr>
          <w:p w14:paraId="396C306F">
            <w:pPr>
              <w:rPr>
                <w:rFonts w:ascii="Arial"/>
                <w:sz w:val="21"/>
              </w:rPr>
            </w:pPr>
          </w:p>
        </w:tc>
        <w:tc>
          <w:tcPr>
            <w:tcW w:w="1153" w:type="dxa"/>
            <w:tcBorders>
              <w:right w:val="single" w:color="000000" w:sz="4" w:space="0"/>
            </w:tcBorders>
            <w:vAlign w:val="top"/>
          </w:tcPr>
          <w:p w14:paraId="02194E74">
            <w:pPr>
              <w:rPr>
                <w:rFonts w:ascii="Arial"/>
                <w:sz w:val="21"/>
              </w:rPr>
            </w:pPr>
          </w:p>
        </w:tc>
        <w:tc>
          <w:tcPr>
            <w:tcW w:w="1152" w:type="dxa"/>
            <w:tcBorders>
              <w:left w:val="single" w:color="000000" w:sz="4" w:space="0"/>
            </w:tcBorders>
            <w:vAlign w:val="top"/>
          </w:tcPr>
          <w:p w14:paraId="3A7E3C76">
            <w:pPr>
              <w:rPr>
                <w:rFonts w:ascii="Arial"/>
                <w:sz w:val="21"/>
              </w:rPr>
            </w:pPr>
          </w:p>
        </w:tc>
        <w:tc>
          <w:tcPr>
            <w:tcW w:w="1161" w:type="dxa"/>
            <w:tcBorders>
              <w:right w:val="single" w:color="000000" w:sz="4" w:space="0"/>
            </w:tcBorders>
            <w:vAlign w:val="top"/>
          </w:tcPr>
          <w:p w14:paraId="18A1728D">
            <w:pPr>
              <w:rPr>
                <w:rFonts w:ascii="Arial"/>
                <w:sz w:val="21"/>
              </w:rPr>
            </w:pPr>
          </w:p>
        </w:tc>
      </w:tr>
      <w:tr w14:paraId="6D418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160" w:type="dxa"/>
            <w:tcBorders>
              <w:left w:val="single" w:color="000000" w:sz="4" w:space="0"/>
            </w:tcBorders>
            <w:vAlign w:val="top"/>
          </w:tcPr>
          <w:p w14:paraId="1EBA4744">
            <w:pPr>
              <w:rPr>
                <w:rFonts w:ascii="Arial"/>
                <w:sz w:val="21"/>
              </w:rPr>
            </w:pPr>
          </w:p>
        </w:tc>
        <w:tc>
          <w:tcPr>
            <w:tcW w:w="1152" w:type="dxa"/>
            <w:tcBorders>
              <w:right w:val="single" w:color="000000" w:sz="4" w:space="0"/>
            </w:tcBorders>
            <w:vAlign w:val="top"/>
          </w:tcPr>
          <w:p w14:paraId="48B2E5F9">
            <w:pPr>
              <w:rPr>
                <w:rFonts w:ascii="Arial"/>
                <w:sz w:val="21"/>
              </w:rPr>
            </w:pPr>
          </w:p>
        </w:tc>
        <w:tc>
          <w:tcPr>
            <w:tcW w:w="1152" w:type="dxa"/>
            <w:gridSpan w:val="2"/>
            <w:tcBorders>
              <w:left w:val="single" w:color="000000" w:sz="4" w:space="0"/>
              <w:right w:val="single" w:color="000000" w:sz="4" w:space="0"/>
            </w:tcBorders>
            <w:vAlign w:val="top"/>
          </w:tcPr>
          <w:p w14:paraId="02FF9AAA">
            <w:pPr>
              <w:rPr>
                <w:rFonts w:ascii="Arial"/>
                <w:sz w:val="21"/>
              </w:rPr>
            </w:pPr>
          </w:p>
        </w:tc>
        <w:tc>
          <w:tcPr>
            <w:tcW w:w="1153" w:type="dxa"/>
            <w:tcBorders>
              <w:left w:val="single" w:color="000000" w:sz="4" w:space="0"/>
            </w:tcBorders>
            <w:vAlign w:val="top"/>
          </w:tcPr>
          <w:p w14:paraId="61E2AE4F">
            <w:pPr>
              <w:rPr>
                <w:rFonts w:ascii="Arial"/>
                <w:sz w:val="21"/>
              </w:rPr>
            </w:pPr>
          </w:p>
        </w:tc>
        <w:tc>
          <w:tcPr>
            <w:tcW w:w="1153" w:type="dxa"/>
            <w:tcBorders>
              <w:right w:val="single" w:color="000000" w:sz="4" w:space="0"/>
            </w:tcBorders>
            <w:vAlign w:val="top"/>
          </w:tcPr>
          <w:p w14:paraId="2C2251A2">
            <w:pPr>
              <w:rPr>
                <w:rFonts w:ascii="Arial"/>
                <w:sz w:val="21"/>
              </w:rPr>
            </w:pPr>
          </w:p>
        </w:tc>
        <w:tc>
          <w:tcPr>
            <w:tcW w:w="1152" w:type="dxa"/>
            <w:tcBorders>
              <w:left w:val="single" w:color="000000" w:sz="4" w:space="0"/>
            </w:tcBorders>
            <w:vAlign w:val="top"/>
          </w:tcPr>
          <w:p w14:paraId="4D6B969F">
            <w:pPr>
              <w:rPr>
                <w:rFonts w:ascii="Arial"/>
                <w:sz w:val="21"/>
              </w:rPr>
            </w:pPr>
          </w:p>
        </w:tc>
        <w:tc>
          <w:tcPr>
            <w:tcW w:w="1161" w:type="dxa"/>
            <w:tcBorders>
              <w:right w:val="single" w:color="000000" w:sz="4" w:space="0"/>
            </w:tcBorders>
            <w:vAlign w:val="top"/>
          </w:tcPr>
          <w:p w14:paraId="4E855A10">
            <w:pPr>
              <w:rPr>
                <w:rFonts w:ascii="Arial"/>
                <w:sz w:val="21"/>
              </w:rPr>
            </w:pPr>
          </w:p>
        </w:tc>
      </w:tr>
      <w:tr w14:paraId="532162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1160" w:type="dxa"/>
            <w:tcBorders>
              <w:left w:val="single" w:color="000000" w:sz="4" w:space="0"/>
              <w:bottom w:val="single" w:color="000000" w:sz="4" w:space="0"/>
            </w:tcBorders>
            <w:vAlign w:val="top"/>
          </w:tcPr>
          <w:p w14:paraId="53B67303">
            <w:pPr>
              <w:rPr>
                <w:rFonts w:ascii="Arial"/>
                <w:sz w:val="21"/>
              </w:rPr>
            </w:pPr>
          </w:p>
        </w:tc>
        <w:tc>
          <w:tcPr>
            <w:tcW w:w="1152" w:type="dxa"/>
            <w:tcBorders>
              <w:bottom w:val="single" w:color="000000" w:sz="4" w:space="0"/>
              <w:right w:val="single" w:color="000000" w:sz="4" w:space="0"/>
            </w:tcBorders>
            <w:vAlign w:val="top"/>
          </w:tcPr>
          <w:p w14:paraId="56FA6327">
            <w:pPr>
              <w:rPr>
                <w:rFonts w:ascii="Arial"/>
                <w:sz w:val="21"/>
              </w:rPr>
            </w:pPr>
          </w:p>
        </w:tc>
        <w:tc>
          <w:tcPr>
            <w:tcW w:w="1152" w:type="dxa"/>
            <w:gridSpan w:val="2"/>
            <w:tcBorders>
              <w:left w:val="single" w:color="000000" w:sz="4" w:space="0"/>
              <w:bottom w:val="single" w:color="000000" w:sz="4" w:space="0"/>
              <w:right w:val="single" w:color="000000" w:sz="4" w:space="0"/>
            </w:tcBorders>
            <w:vAlign w:val="top"/>
          </w:tcPr>
          <w:p w14:paraId="5528C97C">
            <w:pPr>
              <w:rPr>
                <w:rFonts w:ascii="Arial"/>
                <w:sz w:val="21"/>
              </w:rPr>
            </w:pPr>
          </w:p>
        </w:tc>
        <w:tc>
          <w:tcPr>
            <w:tcW w:w="1153" w:type="dxa"/>
            <w:tcBorders>
              <w:left w:val="single" w:color="000000" w:sz="4" w:space="0"/>
              <w:bottom w:val="single" w:color="000000" w:sz="4" w:space="0"/>
            </w:tcBorders>
            <w:vAlign w:val="top"/>
          </w:tcPr>
          <w:p w14:paraId="5D4518A2">
            <w:pPr>
              <w:rPr>
                <w:rFonts w:ascii="Arial"/>
                <w:sz w:val="21"/>
              </w:rPr>
            </w:pPr>
          </w:p>
        </w:tc>
        <w:tc>
          <w:tcPr>
            <w:tcW w:w="1153" w:type="dxa"/>
            <w:tcBorders>
              <w:bottom w:val="single" w:color="000000" w:sz="4" w:space="0"/>
              <w:right w:val="single" w:color="000000" w:sz="4" w:space="0"/>
            </w:tcBorders>
            <w:vAlign w:val="top"/>
          </w:tcPr>
          <w:p w14:paraId="5C26159B">
            <w:pPr>
              <w:rPr>
                <w:rFonts w:ascii="Arial"/>
                <w:sz w:val="21"/>
              </w:rPr>
            </w:pPr>
          </w:p>
        </w:tc>
        <w:tc>
          <w:tcPr>
            <w:tcW w:w="1152" w:type="dxa"/>
            <w:tcBorders>
              <w:left w:val="single" w:color="000000" w:sz="4" w:space="0"/>
              <w:bottom w:val="single" w:color="000000" w:sz="4" w:space="0"/>
            </w:tcBorders>
            <w:vAlign w:val="top"/>
          </w:tcPr>
          <w:p w14:paraId="428AF9B5">
            <w:pPr>
              <w:rPr>
                <w:rFonts w:ascii="Arial"/>
                <w:sz w:val="21"/>
              </w:rPr>
            </w:pPr>
          </w:p>
        </w:tc>
        <w:tc>
          <w:tcPr>
            <w:tcW w:w="1161" w:type="dxa"/>
            <w:tcBorders>
              <w:bottom w:val="single" w:color="000000" w:sz="4" w:space="0"/>
              <w:right w:val="single" w:color="000000" w:sz="4" w:space="0"/>
            </w:tcBorders>
            <w:vAlign w:val="top"/>
          </w:tcPr>
          <w:p w14:paraId="4D766A6E">
            <w:pPr>
              <w:rPr>
                <w:rFonts w:ascii="Arial"/>
                <w:sz w:val="21"/>
              </w:rPr>
            </w:pPr>
          </w:p>
        </w:tc>
      </w:tr>
    </w:tbl>
    <w:p w14:paraId="0528AE46">
      <w:pPr>
        <w:spacing w:line="249" w:lineRule="auto"/>
        <w:rPr>
          <w:rFonts w:ascii="Arial"/>
          <w:sz w:val="21"/>
        </w:rPr>
      </w:pPr>
    </w:p>
    <w:p w14:paraId="7C3ED806">
      <w:pPr>
        <w:spacing w:line="249" w:lineRule="auto"/>
        <w:rPr>
          <w:rFonts w:ascii="Arial"/>
          <w:sz w:val="21"/>
        </w:rPr>
      </w:pPr>
    </w:p>
    <w:p w14:paraId="5FB7D68F">
      <w:pPr>
        <w:spacing w:line="249" w:lineRule="auto"/>
        <w:rPr>
          <w:rFonts w:ascii="Arial"/>
          <w:sz w:val="21"/>
        </w:rPr>
      </w:pPr>
    </w:p>
    <w:p w14:paraId="79E3DF92">
      <w:pPr>
        <w:spacing w:before="65" w:line="227" w:lineRule="auto"/>
        <w:jc w:val="right"/>
        <w:rPr>
          <w:rFonts w:ascii="宋体" w:hAnsi="宋体" w:eastAsia="宋体" w:cs="宋体"/>
          <w:sz w:val="20"/>
          <w:szCs w:val="20"/>
        </w:rPr>
      </w:pPr>
      <w:r>
        <w:rPr>
          <w:rFonts w:ascii="宋体" w:hAnsi="宋体" w:eastAsia="宋体" w:cs="宋体"/>
          <w:spacing w:val="-2"/>
          <w:sz w:val="20"/>
          <w:szCs w:val="20"/>
        </w:rPr>
        <w:t>评标委员会成员签名：</w:t>
      </w:r>
      <w:r>
        <w:rPr>
          <w:rFonts w:ascii="宋体" w:hAnsi="宋体" w:eastAsia="宋体" w:cs="宋体"/>
          <w:spacing w:val="1"/>
          <w:sz w:val="20"/>
          <w:szCs w:val="20"/>
        </w:rPr>
        <w:t xml:space="preserve">                                       </w:t>
      </w:r>
      <w:r>
        <w:rPr>
          <w:rFonts w:ascii="宋体" w:hAnsi="宋体" w:eastAsia="宋体" w:cs="宋体"/>
          <w:spacing w:val="-2"/>
          <w:sz w:val="20"/>
          <w:szCs w:val="20"/>
        </w:rPr>
        <w:t>日期</w:t>
      </w:r>
      <w:r>
        <w:rPr>
          <w:rFonts w:ascii="宋体" w:hAnsi="宋体" w:eastAsia="宋体" w:cs="宋体"/>
          <w:spacing w:val="-45"/>
          <w:sz w:val="20"/>
          <w:szCs w:val="20"/>
        </w:rPr>
        <w:t xml:space="preserve"> </w:t>
      </w:r>
      <w:r>
        <w:rPr>
          <w:rFonts w:ascii="宋体" w:hAnsi="宋体" w:eastAsia="宋体" w:cs="宋体"/>
          <w:spacing w:val="-2"/>
          <w:sz w:val="20"/>
          <w:szCs w:val="20"/>
        </w:rPr>
        <w:t>:</w:t>
      </w:r>
      <w:r>
        <w:rPr>
          <w:rFonts w:ascii="宋体" w:hAnsi="宋体" w:eastAsia="宋体" w:cs="宋体"/>
          <w:spacing w:val="6"/>
          <w:sz w:val="20"/>
          <w:szCs w:val="20"/>
        </w:rPr>
        <w:t xml:space="preserve">     </w:t>
      </w:r>
      <w:r>
        <w:rPr>
          <w:rFonts w:ascii="宋体" w:hAnsi="宋体" w:eastAsia="宋体" w:cs="宋体"/>
          <w:spacing w:val="-2"/>
          <w:sz w:val="20"/>
          <w:szCs w:val="20"/>
        </w:rPr>
        <w:t>年</w:t>
      </w:r>
      <w:r>
        <w:rPr>
          <w:rFonts w:ascii="宋体" w:hAnsi="宋体" w:eastAsia="宋体" w:cs="宋体"/>
          <w:spacing w:val="8"/>
          <w:sz w:val="20"/>
          <w:szCs w:val="20"/>
        </w:rPr>
        <w:t xml:space="preserve">     </w:t>
      </w:r>
      <w:r>
        <w:rPr>
          <w:rFonts w:ascii="宋体" w:hAnsi="宋体" w:eastAsia="宋体" w:cs="宋体"/>
          <w:spacing w:val="-2"/>
          <w:sz w:val="20"/>
          <w:szCs w:val="20"/>
        </w:rPr>
        <w:t>月</w:t>
      </w:r>
      <w:r>
        <w:rPr>
          <w:rFonts w:ascii="宋体" w:hAnsi="宋体" w:eastAsia="宋体" w:cs="宋体"/>
          <w:spacing w:val="14"/>
          <w:sz w:val="20"/>
          <w:szCs w:val="20"/>
        </w:rPr>
        <w:t xml:space="preserve">     </w:t>
      </w:r>
      <w:r>
        <w:rPr>
          <w:rFonts w:ascii="宋体" w:hAnsi="宋体" w:eastAsia="宋体" w:cs="宋体"/>
          <w:spacing w:val="-2"/>
          <w:sz w:val="20"/>
          <w:szCs w:val="20"/>
        </w:rPr>
        <w:t>日</w:t>
      </w:r>
    </w:p>
    <w:p w14:paraId="1BBDE38E">
      <w:pPr>
        <w:spacing w:line="268" w:lineRule="auto"/>
        <w:rPr>
          <w:rFonts w:ascii="Arial"/>
          <w:sz w:val="21"/>
        </w:rPr>
      </w:pPr>
    </w:p>
    <w:p w14:paraId="51048263">
      <w:pPr>
        <w:spacing w:line="268" w:lineRule="auto"/>
        <w:rPr>
          <w:rFonts w:ascii="Arial"/>
          <w:sz w:val="21"/>
        </w:rPr>
      </w:pPr>
    </w:p>
    <w:p w14:paraId="6E99D92A">
      <w:pPr>
        <w:spacing w:line="268" w:lineRule="auto"/>
        <w:rPr>
          <w:rFonts w:ascii="Arial"/>
          <w:sz w:val="21"/>
        </w:rPr>
      </w:pPr>
    </w:p>
    <w:p w14:paraId="51D4007B">
      <w:pPr>
        <w:spacing w:line="268" w:lineRule="auto"/>
        <w:rPr>
          <w:rFonts w:ascii="Arial"/>
          <w:sz w:val="21"/>
        </w:rPr>
      </w:pPr>
    </w:p>
    <w:p w14:paraId="2DF077D7">
      <w:pPr>
        <w:spacing w:line="268" w:lineRule="auto"/>
        <w:rPr>
          <w:rFonts w:ascii="Arial"/>
          <w:sz w:val="21"/>
        </w:rPr>
      </w:pPr>
    </w:p>
    <w:p w14:paraId="4EACDFED">
      <w:pPr>
        <w:spacing w:line="268" w:lineRule="auto"/>
        <w:rPr>
          <w:rFonts w:ascii="Arial"/>
          <w:sz w:val="21"/>
        </w:rPr>
      </w:pPr>
    </w:p>
    <w:p w14:paraId="53B02D4A">
      <w:pPr>
        <w:spacing w:line="268" w:lineRule="auto"/>
        <w:rPr>
          <w:rFonts w:ascii="Arial"/>
          <w:sz w:val="21"/>
        </w:rPr>
      </w:pPr>
    </w:p>
    <w:p w14:paraId="331E7C27">
      <w:pPr>
        <w:spacing w:line="269" w:lineRule="auto"/>
        <w:rPr>
          <w:rFonts w:ascii="Arial"/>
          <w:sz w:val="21"/>
        </w:rPr>
      </w:pPr>
    </w:p>
    <w:p w14:paraId="40FFFE85">
      <w:pPr>
        <w:spacing w:before="65" w:line="229" w:lineRule="auto"/>
        <w:rPr>
          <w:rFonts w:ascii="宋体" w:hAnsi="宋体" w:eastAsia="宋体" w:cs="宋体"/>
          <w:sz w:val="20"/>
          <w:szCs w:val="20"/>
        </w:rPr>
      </w:pPr>
      <w:r>
        <w:rPr>
          <w:rFonts w:ascii="宋体" w:hAnsi="宋体" w:eastAsia="宋体" w:cs="宋体"/>
          <w:spacing w:val="5"/>
          <w:sz w:val="20"/>
          <w:szCs w:val="20"/>
        </w:rPr>
        <w:t>注：“费率</w:t>
      </w:r>
      <w:r>
        <w:rPr>
          <w:rFonts w:ascii="宋体" w:hAnsi="宋体" w:eastAsia="宋体" w:cs="宋体"/>
          <w:spacing w:val="-3"/>
          <w:sz w:val="20"/>
          <w:szCs w:val="20"/>
        </w:rPr>
        <w:t>（％）</w:t>
      </w:r>
      <w:r>
        <w:rPr>
          <w:rFonts w:ascii="宋体" w:hAnsi="宋体" w:eastAsia="宋体" w:cs="宋体"/>
          <w:spacing w:val="48"/>
          <w:sz w:val="20"/>
          <w:szCs w:val="20"/>
        </w:rPr>
        <w:t xml:space="preserve"> </w:t>
      </w:r>
      <w:r>
        <w:rPr>
          <w:rFonts w:ascii="宋体" w:hAnsi="宋体" w:eastAsia="宋体" w:cs="宋体"/>
          <w:spacing w:val="5"/>
          <w:sz w:val="19"/>
          <w:szCs w:val="19"/>
        </w:rPr>
        <w:t>错误</w:t>
      </w:r>
      <w:r>
        <w:rPr>
          <w:rFonts w:ascii="宋体" w:hAnsi="宋体" w:eastAsia="宋体" w:cs="宋体"/>
          <w:spacing w:val="-64"/>
          <w:sz w:val="19"/>
          <w:szCs w:val="19"/>
        </w:rPr>
        <w:t xml:space="preserve"> </w:t>
      </w:r>
      <w:r>
        <w:rPr>
          <w:rFonts w:ascii="宋体" w:hAnsi="宋体" w:eastAsia="宋体" w:cs="宋体"/>
          <w:spacing w:val="5"/>
          <w:sz w:val="20"/>
          <w:szCs w:val="20"/>
        </w:rPr>
        <w:t>”是指仅检查安全文明施工</w:t>
      </w:r>
      <w:r>
        <w:rPr>
          <w:rFonts w:ascii="宋体" w:hAnsi="宋体" w:eastAsia="宋体" w:cs="宋体"/>
          <w:spacing w:val="4"/>
          <w:sz w:val="20"/>
          <w:szCs w:val="20"/>
        </w:rPr>
        <w:t>费的取费费率是否有错误。</w:t>
      </w:r>
    </w:p>
    <w:p w14:paraId="3B4C4136">
      <w:pPr>
        <w:spacing w:line="229" w:lineRule="auto"/>
        <w:rPr>
          <w:rFonts w:ascii="宋体" w:hAnsi="宋体" w:eastAsia="宋体" w:cs="宋体"/>
          <w:sz w:val="20"/>
          <w:szCs w:val="20"/>
        </w:rPr>
        <w:sectPr>
          <w:footerReference r:id="rId147" w:type="default"/>
          <w:pgSz w:w="11907" w:h="16840"/>
          <w:pgMar w:top="400" w:right="1718" w:bottom="1038" w:left="1480" w:header="0" w:footer="785" w:gutter="0"/>
          <w:cols w:space="720" w:num="1"/>
        </w:sectPr>
      </w:pPr>
    </w:p>
    <w:p w14:paraId="5A6754EC">
      <w:pPr>
        <w:spacing w:line="265" w:lineRule="auto"/>
        <w:rPr>
          <w:rFonts w:ascii="Arial"/>
          <w:sz w:val="21"/>
        </w:rPr>
      </w:pPr>
    </w:p>
    <w:p w14:paraId="5D54F436">
      <w:pPr>
        <w:spacing w:line="265" w:lineRule="auto"/>
        <w:rPr>
          <w:rFonts w:ascii="Arial"/>
          <w:sz w:val="21"/>
        </w:rPr>
      </w:pPr>
    </w:p>
    <w:p w14:paraId="0C1A32D8">
      <w:pPr>
        <w:spacing w:line="266" w:lineRule="auto"/>
        <w:rPr>
          <w:rFonts w:ascii="Arial"/>
          <w:sz w:val="21"/>
        </w:rPr>
      </w:pPr>
    </w:p>
    <w:p w14:paraId="555435C4">
      <w:pPr>
        <w:spacing w:line="266" w:lineRule="auto"/>
        <w:rPr>
          <w:rFonts w:ascii="Arial"/>
          <w:sz w:val="21"/>
        </w:rPr>
      </w:pPr>
    </w:p>
    <w:p w14:paraId="5C2C1BA3">
      <w:pPr>
        <w:spacing w:line="266" w:lineRule="auto"/>
        <w:rPr>
          <w:rFonts w:ascii="Arial"/>
          <w:sz w:val="21"/>
        </w:rPr>
      </w:pPr>
    </w:p>
    <w:p w14:paraId="547B1423">
      <w:pPr>
        <w:pStyle w:val="2"/>
        <w:spacing w:before="78" w:line="222" w:lineRule="auto"/>
        <w:ind w:left="15"/>
        <w:rPr>
          <w:sz w:val="24"/>
          <w:szCs w:val="24"/>
        </w:rPr>
      </w:pPr>
      <w:r>
        <w:rPr>
          <w:spacing w:val="-4"/>
          <w:sz w:val="24"/>
          <w:szCs w:val="24"/>
        </w:rPr>
        <w:t>附表</w:t>
      </w:r>
      <w:r>
        <w:rPr>
          <w:spacing w:val="-50"/>
          <w:sz w:val="24"/>
          <w:szCs w:val="24"/>
        </w:rPr>
        <w:t xml:space="preserve"> </w:t>
      </w:r>
      <w:r>
        <w:rPr>
          <w:rFonts w:ascii="Times New Roman" w:hAnsi="Times New Roman" w:eastAsia="Times New Roman" w:cs="Times New Roman"/>
          <w:spacing w:val="-4"/>
          <w:sz w:val="24"/>
          <w:szCs w:val="24"/>
        </w:rPr>
        <w:t>C-3</w:t>
      </w:r>
      <w:r>
        <w:rPr>
          <w:rFonts w:ascii="Times New Roman" w:hAnsi="Times New Roman" w:eastAsia="Times New Roman" w:cs="Times New Roman"/>
          <w:spacing w:val="-15"/>
          <w:sz w:val="24"/>
          <w:szCs w:val="24"/>
        </w:rPr>
        <w:t xml:space="preserve"> </w:t>
      </w:r>
      <w:r>
        <w:rPr>
          <w:spacing w:val="-4"/>
          <w:sz w:val="24"/>
          <w:szCs w:val="24"/>
        </w:rPr>
        <w:t>：清标报告</w:t>
      </w:r>
      <w:r>
        <w:rPr>
          <w:rFonts w:ascii="Times New Roman" w:hAnsi="Times New Roman" w:eastAsia="Times New Roman" w:cs="Times New Roman"/>
          <w:spacing w:val="-4"/>
          <w:sz w:val="24"/>
          <w:szCs w:val="24"/>
        </w:rPr>
        <w:t>-</w:t>
      </w:r>
      <w:r>
        <w:rPr>
          <w:spacing w:val="-4"/>
          <w:sz w:val="24"/>
          <w:szCs w:val="24"/>
        </w:rPr>
        <w:t>其他项目符合性检查</w:t>
      </w:r>
    </w:p>
    <w:p w14:paraId="21D2A9E1">
      <w:pPr>
        <w:spacing w:line="454" w:lineRule="auto"/>
        <w:rPr>
          <w:rFonts w:ascii="Arial"/>
          <w:sz w:val="21"/>
        </w:rPr>
      </w:pPr>
    </w:p>
    <w:p w14:paraId="22001FCA">
      <w:pPr>
        <w:pStyle w:val="2"/>
        <w:spacing w:before="101" w:line="392" w:lineRule="auto"/>
        <w:ind w:left="3" w:right="2220" w:firstLine="2297"/>
        <w:rPr>
          <w:rFonts w:ascii="宋体" w:hAnsi="宋体" w:eastAsia="宋体" w:cs="宋体"/>
          <w:sz w:val="20"/>
          <w:szCs w:val="20"/>
        </w:rPr>
      </w:pPr>
      <w:bookmarkStart w:id="199" w:name="bookmark180"/>
      <w:bookmarkEnd w:id="199"/>
      <w:r>
        <w:rPr>
          <w:spacing w:val="8"/>
          <w:sz w:val="31"/>
          <w:szCs w:val="31"/>
        </w:rPr>
        <w:t>清标报告-其他项目符合性检查</w:t>
      </w:r>
      <w:r>
        <w:rPr>
          <w:rFonts w:ascii="宋体" w:hAnsi="宋体" w:eastAsia="宋体" w:cs="宋体"/>
          <w:spacing w:val="6"/>
          <w:sz w:val="20"/>
          <w:szCs w:val="20"/>
        </w:rPr>
        <w:t>投标人名称：</w:t>
      </w:r>
    </w:p>
    <w:p w14:paraId="2B98CD5F">
      <w:pPr>
        <w:spacing w:line="215" w:lineRule="exact"/>
      </w:pPr>
    </w:p>
    <w:tbl>
      <w:tblPr>
        <w:tblStyle w:val="5"/>
        <w:tblW w:w="8752" w:type="dxa"/>
        <w:tblInd w:w="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9"/>
        <w:gridCol w:w="1313"/>
        <w:gridCol w:w="1248"/>
        <w:gridCol w:w="1249"/>
        <w:gridCol w:w="1248"/>
        <w:gridCol w:w="1249"/>
        <w:gridCol w:w="1256"/>
      </w:tblGrid>
      <w:tr w14:paraId="554729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3750" w:type="dxa"/>
            <w:gridSpan w:val="3"/>
            <w:tcBorders>
              <w:top w:val="single" w:color="000000" w:sz="4" w:space="0"/>
              <w:left w:val="single" w:color="000000" w:sz="4" w:space="0"/>
              <w:bottom w:val="single" w:color="000000" w:sz="4" w:space="0"/>
            </w:tcBorders>
            <w:vAlign w:val="top"/>
          </w:tcPr>
          <w:p w14:paraId="3ED98C26">
            <w:pPr>
              <w:pStyle w:val="6"/>
              <w:spacing w:before="157" w:line="229" w:lineRule="auto"/>
              <w:ind w:left="1280"/>
              <w:rPr>
                <w:sz w:val="19"/>
                <w:szCs w:val="19"/>
              </w:rPr>
            </w:pPr>
            <w:r>
              <w:rPr>
                <w:spacing w:val="8"/>
                <w:sz w:val="19"/>
                <w:szCs w:val="19"/>
              </w:rPr>
              <w:t>单位工程名称</w:t>
            </w:r>
          </w:p>
        </w:tc>
        <w:tc>
          <w:tcPr>
            <w:tcW w:w="5002" w:type="dxa"/>
            <w:gridSpan w:val="4"/>
            <w:tcBorders>
              <w:top w:val="single" w:color="000000" w:sz="4" w:space="0"/>
              <w:bottom w:val="single" w:color="000000" w:sz="4" w:space="0"/>
              <w:right w:val="single" w:color="000000" w:sz="4" w:space="0"/>
            </w:tcBorders>
            <w:vAlign w:val="top"/>
          </w:tcPr>
          <w:p w14:paraId="55110A3E">
            <w:pPr>
              <w:rPr>
                <w:rFonts w:ascii="Arial"/>
                <w:sz w:val="21"/>
              </w:rPr>
            </w:pPr>
          </w:p>
        </w:tc>
      </w:tr>
      <w:tr w14:paraId="7E9BB7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8752" w:type="dxa"/>
            <w:gridSpan w:val="7"/>
            <w:tcBorders>
              <w:top w:val="single" w:color="000000" w:sz="4" w:space="0"/>
              <w:left w:val="single" w:color="000000" w:sz="4" w:space="0"/>
              <w:right w:val="single" w:color="000000" w:sz="4" w:space="0"/>
            </w:tcBorders>
            <w:vAlign w:val="top"/>
          </w:tcPr>
          <w:p w14:paraId="0E942BFD">
            <w:pPr>
              <w:pStyle w:val="6"/>
              <w:spacing w:before="124" w:line="228" w:lineRule="auto"/>
              <w:ind w:left="3273"/>
              <w:rPr>
                <w:sz w:val="19"/>
                <w:szCs w:val="19"/>
              </w:rPr>
            </w:pPr>
            <w:r>
              <w:rPr>
                <w:b/>
                <w:bCs/>
                <w:spacing w:val="8"/>
                <w:sz w:val="19"/>
                <w:szCs w:val="19"/>
              </w:rPr>
              <w:t>三、其他项目符合性检查</w:t>
            </w:r>
          </w:p>
        </w:tc>
      </w:tr>
      <w:tr w14:paraId="503337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1189" w:type="dxa"/>
            <w:tcBorders>
              <w:left w:val="single" w:color="000000" w:sz="4" w:space="0"/>
            </w:tcBorders>
            <w:vAlign w:val="top"/>
          </w:tcPr>
          <w:p w14:paraId="03E2DD34">
            <w:pPr>
              <w:pStyle w:val="6"/>
              <w:spacing w:before="159" w:line="229" w:lineRule="auto"/>
              <w:ind w:left="199"/>
              <w:rPr>
                <w:sz w:val="19"/>
                <w:szCs w:val="19"/>
              </w:rPr>
            </w:pPr>
            <w:r>
              <w:rPr>
                <w:spacing w:val="7"/>
                <w:sz w:val="19"/>
                <w:szCs w:val="19"/>
              </w:rPr>
              <w:t>项目名称</w:t>
            </w:r>
          </w:p>
        </w:tc>
        <w:tc>
          <w:tcPr>
            <w:tcW w:w="1313" w:type="dxa"/>
            <w:tcBorders>
              <w:right w:val="single" w:color="000000" w:sz="4" w:space="0"/>
            </w:tcBorders>
            <w:vAlign w:val="top"/>
          </w:tcPr>
          <w:p w14:paraId="3DCDAD94">
            <w:pPr>
              <w:pStyle w:val="6"/>
              <w:spacing w:before="30" w:line="234" w:lineRule="auto"/>
              <w:ind w:left="459" w:right="256" w:hanging="198"/>
              <w:rPr>
                <w:sz w:val="19"/>
                <w:szCs w:val="19"/>
              </w:rPr>
            </w:pPr>
            <w:r>
              <w:rPr>
                <w:spacing w:val="7"/>
                <w:sz w:val="19"/>
                <w:szCs w:val="19"/>
              </w:rPr>
              <w:t>项目名称</w:t>
            </w:r>
            <w:r>
              <w:rPr>
                <w:spacing w:val="5"/>
                <w:sz w:val="19"/>
                <w:szCs w:val="19"/>
              </w:rPr>
              <w:t>错误</w:t>
            </w:r>
          </w:p>
        </w:tc>
        <w:tc>
          <w:tcPr>
            <w:tcW w:w="1248" w:type="dxa"/>
            <w:tcBorders>
              <w:left w:val="single" w:color="000000" w:sz="4" w:space="0"/>
              <w:right w:val="single" w:color="000000" w:sz="4" w:space="0"/>
            </w:tcBorders>
            <w:vAlign w:val="top"/>
          </w:tcPr>
          <w:p w14:paraId="5962819F">
            <w:pPr>
              <w:pStyle w:val="6"/>
              <w:spacing w:before="30" w:line="228" w:lineRule="auto"/>
              <w:ind w:left="427"/>
              <w:rPr>
                <w:sz w:val="19"/>
                <w:szCs w:val="19"/>
              </w:rPr>
            </w:pPr>
            <w:r>
              <w:rPr>
                <w:spacing w:val="4"/>
                <w:sz w:val="19"/>
                <w:szCs w:val="19"/>
              </w:rPr>
              <w:t>金额</w:t>
            </w:r>
          </w:p>
          <w:p w14:paraId="689EBDDF">
            <w:pPr>
              <w:pStyle w:val="6"/>
              <w:spacing w:before="24" w:line="216" w:lineRule="auto"/>
              <w:ind w:left="425"/>
              <w:rPr>
                <w:sz w:val="19"/>
                <w:szCs w:val="19"/>
              </w:rPr>
            </w:pPr>
            <w:r>
              <w:rPr>
                <w:spacing w:val="5"/>
                <w:sz w:val="19"/>
                <w:szCs w:val="19"/>
              </w:rPr>
              <w:t>错误</w:t>
            </w:r>
          </w:p>
        </w:tc>
        <w:tc>
          <w:tcPr>
            <w:tcW w:w="1249" w:type="dxa"/>
            <w:tcBorders>
              <w:left w:val="single" w:color="000000" w:sz="4" w:space="0"/>
            </w:tcBorders>
            <w:vAlign w:val="top"/>
          </w:tcPr>
          <w:p w14:paraId="3B1EDC4B">
            <w:pPr>
              <w:spacing w:before="190" w:line="199" w:lineRule="auto"/>
              <w:ind w:left="590"/>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48" w:type="dxa"/>
            <w:tcBorders>
              <w:right w:val="single" w:color="000000" w:sz="4" w:space="0"/>
            </w:tcBorders>
            <w:vAlign w:val="top"/>
          </w:tcPr>
          <w:p w14:paraId="055096E2">
            <w:pPr>
              <w:spacing w:before="190" w:line="199" w:lineRule="auto"/>
              <w:ind w:left="594"/>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49" w:type="dxa"/>
            <w:tcBorders>
              <w:left w:val="single" w:color="000000" w:sz="4" w:space="0"/>
            </w:tcBorders>
            <w:vAlign w:val="top"/>
          </w:tcPr>
          <w:p w14:paraId="5D144C44">
            <w:pPr>
              <w:spacing w:before="190" w:line="199" w:lineRule="auto"/>
              <w:ind w:left="594"/>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56" w:type="dxa"/>
            <w:tcBorders>
              <w:right w:val="single" w:color="000000" w:sz="4" w:space="0"/>
            </w:tcBorders>
            <w:vAlign w:val="top"/>
          </w:tcPr>
          <w:p w14:paraId="1757DB39">
            <w:pPr>
              <w:spacing w:before="190" w:line="199" w:lineRule="auto"/>
              <w:ind w:left="598"/>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r>
      <w:tr w14:paraId="26FD94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189" w:type="dxa"/>
            <w:tcBorders>
              <w:left w:val="single" w:color="000000" w:sz="4" w:space="0"/>
            </w:tcBorders>
            <w:vAlign w:val="top"/>
          </w:tcPr>
          <w:p w14:paraId="070417B4">
            <w:pPr>
              <w:rPr>
                <w:rFonts w:ascii="Arial"/>
                <w:sz w:val="21"/>
              </w:rPr>
            </w:pPr>
          </w:p>
        </w:tc>
        <w:tc>
          <w:tcPr>
            <w:tcW w:w="1313" w:type="dxa"/>
            <w:tcBorders>
              <w:right w:val="single" w:color="000000" w:sz="4" w:space="0"/>
            </w:tcBorders>
            <w:vAlign w:val="top"/>
          </w:tcPr>
          <w:p w14:paraId="40827986">
            <w:pPr>
              <w:rPr>
                <w:rFonts w:ascii="Arial"/>
                <w:sz w:val="21"/>
              </w:rPr>
            </w:pPr>
          </w:p>
        </w:tc>
        <w:tc>
          <w:tcPr>
            <w:tcW w:w="1248" w:type="dxa"/>
            <w:tcBorders>
              <w:left w:val="single" w:color="000000" w:sz="4" w:space="0"/>
              <w:right w:val="single" w:color="000000" w:sz="4" w:space="0"/>
            </w:tcBorders>
            <w:vAlign w:val="top"/>
          </w:tcPr>
          <w:p w14:paraId="52A3CDAD">
            <w:pPr>
              <w:rPr>
                <w:rFonts w:ascii="Arial"/>
                <w:sz w:val="21"/>
              </w:rPr>
            </w:pPr>
          </w:p>
        </w:tc>
        <w:tc>
          <w:tcPr>
            <w:tcW w:w="1249" w:type="dxa"/>
            <w:tcBorders>
              <w:left w:val="single" w:color="000000" w:sz="4" w:space="0"/>
            </w:tcBorders>
            <w:vAlign w:val="top"/>
          </w:tcPr>
          <w:p w14:paraId="5E146874">
            <w:pPr>
              <w:spacing w:before="174" w:line="199" w:lineRule="auto"/>
              <w:ind w:left="590"/>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48" w:type="dxa"/>
            <w:tcBorders>
              <w:right w:val="single" w:color="000000" w:sz="4" w:space="0"/>
            </w:tcBorders>
            <w:vAlign w:val="top"/>
          </w:tcPr>
          <w:p w14:paraId="53F42085">
            <w:pPr>
              <w:spacing w:before="174" w:line="199" w:lineRule="auto"/>
              <w:ind w:left="594"/>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49" w:type="dxa"/>
            <w:tcBorders>
              <w:left w:val="single" w:color="000000" w:sz="4" w:space="0"/>
            </w:tcBorders>
            <w:vAlign w:val="top"/>
          </w:tcPr>
          <w:p w14:paraId="4D7C6BAA">
            <w:pPr>
              <w:spacing w:before="174" w:line="199" w:lineRule="auto"/>
              <w:ind w:left="594"/>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56" w:type="dxa"/>
            <w:tcBorders>
              <w:right w:val="single" w:color="000000" w:sz="4" w:space="0"/>
            </w:tcBorders>
            <w:vAlign w:val="top"/>
          </w:tcPr>
          <w:p w14:paraId="36A6F565">
            <w:pPr>
              <w:spacing w:before="174" w:line="199" w:lineRule="auto"/>
              <w:ind w:left="598"/>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r>
      <w:tr w14:paraId="63F1D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8752" w:type="dxa"/>
            <w:gridSpan w:val="7"/>
            <w:tcBorders>
              <w:left w:val="single" w:color="000000" w:sz="4" w:space="0"/>
              <w:right w:val="single" w:color="000000" w:sz="4" w:space="0"/>
            </w:tcBorders>
            <w:vAlign w:val="top"/>
          </w:tcPr>
          <w:p w14:paraId="6B9956C8">
            <w:pPr>
              <w:pStyle w:val="6"/>
              <w:spacing w:before="145" w:line="228" w:lineRule="auto"/>
              <w:ind w:left="3907"/>
              <w:rPr>
                <w:sz w:val="19"/>
                <w:szCs w:val="19"/>
              </w:rPr>
            </w:pPr>
            <w:r>
              <w:rPr>
                <w:rFonts w:ascii="Times New Roman" w:hAnsi="Times New Roman" w:eastAsia="Times New Roman" w:cs="Times New Roman"/>
                <w:b/>
                <w:bCs/>
                <w:spacing w:val="4"/>
                <w:sz w:val="19"/>
                <w:szCs w:val="19"/>
              </w:rPr>
              <w:t>1.</w:t>
            </w:r>
            <w:r>
              <w:rPr>
                <w:b/>
                <w:bCs/>
                <w:spacing w:val="4"/>
                <w:sz w:val="19"/>
                <w:szCs w:val="19"/>
              </w:rPr>
              <w:t>暂列金额</w:t>
            </w:r>
          </w:p>
        </w:tc>
      </w:tr>
      <w:tr w14:paraId="462A12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1189" w:type="dxa"/>
            <w:tcBorders>
              <w:left w:val="single" w:color="000000" w:sz="4" w:space="0"/>
            </w:tcBorders>
            <w:vAlign w:val="top"/>
          </w:tcPr>
          <w:p w14:paraId="539AF684">
            <w:pPr>
              <w:pStyle w:val="6"/>
              <w:spacing w:before="161" w:line="229" w:lineRule="auto"/>
              <w:ind w:left="199"/>
              <w:rPr>
                <w:sz w:val="19"/>
                <w:szCs w:val="19"/>
              </w:rPr>
            </w:pPr>
            <w:r>
              <w:rPr>
                <w:spacing w:val="7"/>
                <w:sz w:val="19"/>
                <w:szCs w:val="19"/>
              </w:rPr>
              <w:t>项目名称</w:t>
            </w:r>
          </w:p>
        </w:tc>
        <w:tc>
          <w:tcPr>
            <w:tcW w:w="1313" w:type="dxa"/>
            <w:tcBorders>
              <w:right w:val="single" w:color="000000" w:sz="4" w:space="0"/>
            </w:tcBorders>
            <w:vAlign w:val="top"/>
          </w:tcPr>
          <w:p w14:paraId="18EED7E8">
            <w:pPr>
              <w:pStyle w:val="6"/>
              <w:spacing w:before="31" w:line="234" w:lineRule="auto"/>
              <w:ind w:left="459" w:right="256" w:hanging="198"/>
              <w:rPr>
                <w:sz w:val="19"/>
                <w:szCs w:val="19"/>
              </w:rPr>
            </w:pPr>
            <w:r>
              <w:rPr>
                <w:spacing w:val="7"/>
                <w:sz w:val="19"/>
                <w:szCs w:val="19"/>
              </w:rPr>
              <w:t>项目名称</w:t>
            </w:r>
            <w:r>
              <w:rPr>
                <w:spacing w:val="5"/>
                <w:sz w:val="19"/>
                <w:szCs w:val="19"/>
              </w:rPr>
              <w:t>错误</w:t>
            </w:r>
          </w:p>
        </w:tc>
        <w:tc>
          <w:tcPr>
            <w:tcW w:w="1248" w:type="dxa"/>
            <w:tcBorders>
              <w:left w:val="single" w:color="000000" w:sz="4" w:space="0"/>
              <w:right w:val="single" w:color="000000" w:sz="4" w:space="0"/>
            </w:tcBorders>
            <w:vAlign w:val="top"/>
          </w:tcPr>
          <w:p w14:paraId="3EEFE3B6">
            <w:pPr>
              <w:pStyle w:val="6"/>
              <w:spacing w:before="31" w:line="234" w:lineRule="auto"/>
              <w:ind w:left="424" w:right="222" w:hanging="201"/>
              <w:rPr>
                <w:sz w:val="19"/>
                <w:szCs w:val="19"/>
              </w:rPr>
            </w:pPr>
            <w:r>
              <w:rPr>
                <w:spacing w:val="7"/>
                <w:sz w:val="19"/>
                <w:szCs w:val="19"/>
              </w:rPr>
              <w:t>计量单位</w:t>
            </w:r>
            <w:r>
              <w:rPr>
                <w:spacing w:val="5"/>
                <w:sz w:val="19"/>
                <w:szCs w:val="19"/>
              </w:rPr>
              <w:t>错误</w:t>
            </w:r>
          </w:p>
        </w:tc>
        <w:tc>
          <w:tcPr>
            <w:tcW w:w="1249" w:type="dxa"/>
            <w:tcBorders>
              <w:left w:val="single" w:color="000000" w:sz="4" w:space="0"/>
            </w:tcBorders>
            <w:vAlign w:val="top"/>
          </w:tcPr>
          <w:p w14:paraId="609AD978">
            <w:pPr>
              <w:pStyle w:val="6"/>
              <w:spacing w:before="31" w:line="234" w:lineRule="auto"/>
              <w:ind w:left="427" w:right="223" w:hanging="195"/>
              <w:rPr>
                <w:sz w:val="19"/>
                <w:szCs w:val="19"/>
              </w:rPr>
            </w:pPr>
            <w:r>
              <w:rPr>
                <w:spacing w:val="6"/>
                <w:sz w:val="19"/>
                <w:szCs w:val="19"/>
              </w:rPr>
              <w:t>暂定金额</w:t>
            </w:r>
            <w:r>
              <w:rPr>
                <w:spacing w:val="5"/>
                <w:sz w:val="19"/>
                <w:szCs w:val="19"/>
              </w:rPr>
              <w:t>错误</w:t>
            </w:r>
          </w:p>
        </w:tc>
        <w:tc>
          <w:tcPr>
            <w:tcW w:w="1248" w:type="dxa"/>
            <w:tcBorders>
              <w:right w:val="single" w:color="000000" w:sz="4" w:space="0"/>
            </w:tcBorders>
            <w:vAlign w:val="top"/>
          </w:tcPr>
          <w:p w14:paraId="637A6BF3">
            <w:pPr>
              <w:pStyle w:val="6"/>
              <w:spacing w:before="161" w:line="228" w:lineRule="auto"/>
              <w:ind w:left="334"/>
              <w:rPr>
                <w:sz w:val="19"/>
                <w:szCs w:val="19"/>
              </w:rPr>
            </w:pPr>
            <w:r>
              <w:rPr>
                <w:spacing w:val="6"/>
                <w:sz w:val="19"/>
                <w:szCs w:val="19"/>
              </w:rPr>
              <w:t>未填报</w:t>
            </w:r>
          </w:p>
        </w:tc>
        <w:tc>
          <w:tcPr>
            <w:tcW w:w="1249" w:type="dxa"/>
            <w:tcBorders>
              <w:left w:val="single" w:color="000000" w:sz="4" w:space="0"/>
            </w:tcBorders>
            <w:vAlign w:val="top"/>
          </w:tcPr>
          <w:p w14:paraId="72535C72">
            <w:pPr>
              <w:pStyle w:val="6"/>
              <w:spacing w:before="161" w:line="229" w:lineRule="auto"/>
              <w:ind w:left="441"/>
              <w:rPr>
                <w:sz w:val="19"/>
                <w:szCs w:val="19"/>
              </w:rPr>
            </w:pPr>
            <w:r>
              <w:rPr>
                <w:sz w:val="19"/>
                <w:szCs w:val="19"/>
              </w:rPr>
              <w:t>多项</w:t>
            </w:r>
          </w:p>
        </w:tc>
        <w:tc>
          <w:tcPr>
            <w:tcW w:w="1256" w:type="dxa"/>
            <w:tcBorders>
              <w:right w:val="single" w:color="000000" w:sz="4" w:space="0"/>
            </w:tcBorders>
            <w:vAlign w:val="top"/>
          </w:tcPr>
          <w:p w14:paraId="44FFB332">
            <w:pPr>
              <w:spacing w:before="187" w:line="199" w:lineRule="auto"/>
              <w:ind w:left="5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708DDE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25621034">
            <w:pPr>
              <w:rPr>
                <w:rFonts w:ascii="Arial"/>
                <w:sz w:val="21"/>
              </w:rPr>
            </w:pPr>
          </w:p>
        </w:tc>
        <w:tc>
          <w:tcPr>
            <w:tcW w:w="1313" w:type="dxa"/>
            <w:tcBorders>
              <w:right w:val="single" w:color="000000" w:sz="4" w:space="0"/>
            </w:tcBorders>
            <w:vAlign w:val="top"/>
          </w:tcPr>
          <w:p w14:paraId="332B68E3">
            <w:pPr>
              <w:rPr>
                <w:rFonts w:ascii="Arial"/>
                <w:sz w:val="21"/>
              </w:rPr>
            </w:pPr>
          </w:p>
        </w:tc>
        <w:tc>
          <w:tcPr>
            <w:tcW w:w="1248" w:type="dxa"/>
            <w:tcBorders>
              <w:left w:val="single" w:color="000000" w:sz="4" w:space="0"/>
              <w:right w:val="single" w:color="000000" w:sz="4" w:space="0"/>
            </w:tcBorders>
            <w:vAlign w:val="top"/>
          </w:tcPr>
          <w:p w14:paraId="64C4874D">
            <w:pPr>
              <w:rPr>
                <w:rFonts w:ascii="Arial"/>
                <w:sz w:val="21"/>
              </w:rPr>
            </w:pPr>
          </w:p>
        </w:tc>
        <w:tc>
          <w:tcPr>
            <w:tcW w:w="1249" w:type="dxa"/>
            <w:tcBorders>
              <w:left w:val="single" w:color="000000" w:sz="4" w:space="0"/>
            </w:tcBorders>
            <w:vAlign w:val="top"/>
          </w:tcPr>
          <w:p w14:paraId="6EA7E7AB">
            <w:pPr>
              <w:rPr>
                <w:rFonts w:ascii="Arial"/>
                <w:sz w:val="21"/>
              </w:rPr>
            </w:pPr>
          </w:p>
        </w:tc>
        <w:tc>
          <w:tcPr>
            <w:tcW w:w="1248" w:type="dxa"/>
            <w:tcBorders>
              <w:right w:val="single" w:color="000000" w:sz="4" w:space="0"/>
            </w:tcBorders>
            <w:vAlign w:val="top"/>
          </w:tcPr>
          <w:p w14:paraId="321CA0AF">
            <w:pPr>
              <w:rPr>
                <w:rFonts w:ascii="Arial"/>
                <w:sz w:val="21"/>
              </w:rPr>
            </w:pPr>
          </w:p>
        </w:tc>
        <w:tc>
          <w:tcPr>
            <w:tcW w:w="1249" w:type="dxa"/>
            <w:tcBorders>
              <w:left w:val="single" w:color="000000" w:sz="4" w:space="0"/>
            </w:tcBorders>
            <w:vAlign w:val="top"/>
          </w:tcPr>
          <w:p w14:paraId="375FFA9E">
            <w:pPr>
              <w:rPr>
                <w:rFonts w:ascii="Arial"/>
                <w:sz w:val="21"/>
              </w:rPr>
            </w:pPr>
          </w:p>
        </w:tc>
        <w:tc>
          <w:tcPr>
            <w:tcW w:w="1256" w:type="dxa"/>
            <w:tcBorders>
              <w:right w:val="single" w:color="000000" w:sz="4" w:space="0"/>
            </w:tcBorders>
            <w:vAlign w:val="top"/>
          </w:tcPr>
          <w:p w14:paraId="583E0A23">
            <w:pPr>
              <w:spacing w:before="173" w:line="199" w:lineRule="auto"/>
              <w:ind w:left="5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72E459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8752" w:type="dxa"/>
            <w:gridSpan w:val="7"/>
            <w:tcBorders>
              <w:left w:val="single" w:color="000000" w:sz="4" w:space="0"/>
              <w:right w:val="single" w:color="000000" w:sz="4" w:space="0"/>
            </w:tcBorders>
            <w:vAlign w:val="top"/>
          </w:tcPr>
          <w:p w14:paraId="58251F5E">
            <w:pPr>
              <w:pStyle w:val="6"/>
              <w:spacing w:before="147" w:line="227" w:lineRule="auto"/>
              <w:ind w:left="3195"/>
              <w:rPr>
                <w:sz w:val="19"/>
                <w:szCs w:val="19"/>
              </w:rPr>
            </w:pPr>
            <w:r>
              <w:rPr>
                <w:rFonts w:ascii="Times New Roman" w:hAnsi="Times New Roman" w:eastAsia="Times New Roman" w:cs="Times New Roman"/>
                <w:b/>
                <w:bCs/>
                <w:spacing w:val="7"/>
                <w:sz w:val="19"/>
                <w:szCs w:val="19"/>
              </w:rPr>
              <w:t>2.</w:t>
            </w:r>
            <w:r>
              <w:rPr>
                <w:b/>
                <w:bCs/>
                <w:spacing w:val="7"/>
                <w:sz w:val="19"/>
                <w:szCs w:val="19"/>
              </w:rPr>
              <w:t>材料（工程设备）暂估价</w:t>
            </w:r>
          </w:p>
        </w:tc>
      </w:tr>
      <w:tr w14:paraId="375952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189" w:type="dxa"/>
            <w:tcBorders>
              <w:left w:val="single" w:color="000000" w:sz="4" w:space="0"/>
            </w:tcBorders>
            <w:vAlign w:val="top"/>
          </w:tcPr>
          <w:p w14:paraId="23C1DA7E">
            <w:pPr>
              <w:spacing w:line="250" w:lineRule="auto"/>
              <w:rPr>
                <w:rFonts w:ascii="Arial"/>
                <w:sz w:val="21"/>
              </w:rPr>
            </w:pPr>
          </w:p>
          <w:p w14:paraId="1C8D40D3">
            <w:pPr>
              <w:pStyle w:val="6"/>
              <w:spacing w:before="62" w:line="229" w:lineRule="auto"/>
              <w:ind w:left="199"/>
              <w:rPr>
                <w:sz w:val="19"/>
                <w:szCs w:val="19"/>
              </w:rPr>
            </w:pPr>
            <w:r>
              <w:rPr>
                <w:spacing w:val="7"/>
                <w:sz w:val="19"/>
                <w:szCs w:val="19"/>
              </w:rPr>
              <w:t>项目名称</w:t>
            </w:r>
          </w:p>
        </w:tc>
        <w:tc>
          <w:tcPr>
            <w:tcW w:w="1313" w:type="dxa"/>
            <w:tcBorders>
              <w:right w:val="single" w:color="000000" w:sz="4" w:space="0"/>
            </w:tcBorders>
            <w:vAlign w:val="top"/>
          </w:tcPr>
          <w:p w14:paraId="14D6AC4C">
            <w:pPr>
              <w:pStyle w:val="6"/>
              <w:spacing w:before="36" w:line="227" w:lineRule="auto"/>
              <w:ind w:right="12"/>
              <w:jc w:val="right"/>
            </w:pPr>
            <w:r>
              <w:rPr>
                <w:spacing w:val="-3"/>
              </w:rPr>
              <w:t>材料（设备）</w:t>
            </w:r>
          </w:p>
          <w:p w14:paraId="1C121FA9">
            <w:pPr>
              <w:pStyle w:val="6"/>
              <w:spacing w:before="24" w:line="228" w:lineRule="auto"/>
              <w:ind w:right="12"/>
              <w:jc w:val="right"/>
            </w:pPr>
            <w:r>
              <w:rPr>
                <w:spacing w:val="-4"/>
              </w:rPr>
              <w:t>名称、规格、</w:t>
            </w:r>
          </w:p>
          <w:p w14:paraId="72C0C23A">
            <w:pPr>
              <w:pStyle w:val="6"/>
              <w:spacing w:before="24" w:line="214" w:lineRule="auto"/>
              <w:ind w:left="255"/>
              <w:rPr>
                <w:sz w:val="19"/>
                <w:szCs w:val="19"/>
              </w:rPr>
            </w:pPr>
            <w:r>
              <w:rPr>
                <w:spacing w:val="5"/>
              </w:rPr>
              <w:t>型号</w:t>
            </w:r>
            <w:r>
              <w:rPr>
                <w:spacing w:val="5"/>
                <w:sz w:val="19"/>
                <w:szCs w:val="19"/>
              </w:rPr>
              <w:t>错误</w:t>
            </w:r>
          </w:p>
        </w:tc>
        <w:tc>
          <w:tcPr>
            <w:tcW w:w="1248" w:type="dxa"/>
            <w:tcBorders>
              <w:left w:val="single" w:color="000000" w:sz="4" w:space="0"/>
              <w:right w:val="single" w:color="000000" w:sz="4" w:space="0"/>
            </w:tcBorders>
            <w:vAlign w:val="top"/>
          </w:tcPr>
          <w:p w14:paraId="42371EB7">
            <w:pPr>
              <w:pStyle w:val="6"/>
              <w:spacing w:before="184" w:line="254" w:lineRule="auto"/>
              <w:ind w:left="424" w:right="222" w:hanging="201"/>
              <w:rPr>
                <w:sz w:val="19"/>
                <w:szCs w:val="19"/>
              </w:rPr>
            </w:pPr>
            <w:r>
              <w:rPr>
                <w:spacing w:val="7"/>
                <w:sz w:val="19"/>
                <w:szCs w:val="19"/>
              </w:rPr>
              <w:t>计量单位</w:t>
            </w:r>
            <w:r>
              <w:rPr>
                <w:spacing w:val="5"/>
                <w:sz w:val="19"/>
                <w:szCs w:val="19"/>
              </w:rPr>
              <w:t>错误</w:t>
            </w:r>
          </w:p>
        </w:tc>
        <w:tc>
          <w:tcPr>
            <w:tcW w:w="1249" w:type="dxa"/>
            <w:tcBorders>
              <w:left w:val="single" w:color="000000" w:sz="4" w:space="0"/>
            </w:tcBorders>
            <w:vAlign w:val="top"/>
          </w:tcPr>
          <w:p w14:paraId="446A6E11">
            <w:pPr>
              <w:pStyle w:val="6"/>
              <w:spacing w:before="184" w:line="254" w:lineRule="auto"/>
              <w:ind w:left="427" w:right="423" w:firstLine="1"/>
              <w:rPr>
                <w:sz w:val="19"/>
                <w:szCs w:val="19"/>
              </w:rPr>
            </w:pPr>
            <w:r>
              <w:rPr>
                <w:spacing w:val="4"/>
                <w:sz w:val="19"/>
                <w:szCs w:val="19"/>
              </w:rPr>
              <w:t>数量</w:t>
            </w:r>
            <w:r>
              <w:rPr>
                <w:spacing w:val="5"/>
                <w:sz w:val="19"/>
                <w:szCs w:val="19"/>
              </w:rPr>
              <w:t>错误</w:t>
            </w:r>
          </w:p>
        </w:tc>
        <w:tc>
          <w:tcPr>
            <w:tcW w:w="1248" w:type="dxa"/>
            <w:tcBorders>
              <w:right w:val="single" w:color="000000" w:sz="4" w:space="0"/>
            </w:tcBorders>
            <w:vAlign w:val="top"/>
          </w:tcPr>
          <w:p w14:paraId="7257B70E">
            <w:pPr>
              <w:pStyle w:val="6"/>
              <w:spacing w:before="184" w:line="254" w:lineRule="auto"/>
              <w:ind w:left="431" w:right="219" w:hanging="195"/>
              <w:rPr>
                <w:sz w:val="19"/>
                <w:szCs w:val="19"/>
              </w:rPr>
            </w:pPr>
            <w:r>
              <w:rPr>
                <w:spacing w:val="6"/>
                <w:sz w:val="19"/>
                <w:szCs w:val="19"/>
              </w:rPr>
              <w:t>暂估单价</w:t>
            </w:r>
            <w:r>
              <w:rPr>
                <w:spacing w:val="5"/>
                <w:sz w:val="19"/>
                <w:szCs w:val="19"/>
              </w:rPr>
              <w:t>错误</w:t>
            </w:r>
          </w:p>
        </w:tc>
        <w:tc>
          <w:tcPr>
            <w:tcW w:w="1249" w:type="dxa"/>
            <w:tcBorders>
              <w:left w:val="single" w:color="000000" w:sz="4" w:space="0"/>
            </w:tcBorders>
            <w:vAlign w:val="top"/>
          </w:tcPr>
          <w:p w14:paraId="49267EB7">
            <w:pPr>
              <w:spacing w:line="250" w:lineRule="auto"/>
              <w:rPr>
                <w:rFonts w:ascii="Arial"/>
                <w:sz w:val="21"/>
              </w:rPr>
            </w:pPr>
          </w:p>
          <w:p w14:paraId="1448A2F0">
            <w:pPr>
              <w:pStyle w:val="6"/>
              <w:spacing w:before="62" w:line="228" w:lineRule="auto"/>
              <w:ind w:left="334"/>
              <w:rPr>
                <w:sz w:val="19"/>
                <w:szCs w:val="19"/>
              </w:rPr>
            </w:pPr>
            <w:r>
              <w:rPr>
                <w:spacing w:val="6"/>
                <w:sz w:val="19"/>
                <w:szCs w:val="19"/>
              </w:rPr>
              <w:t>未填报</w:t>
            </w:r>
          </w:p>
        </w:tc>
        <w:tc>
          <w:tcPr>
            <w:tcW w:w="1256" w:type="dxa"/>
            <w:tcBorders>
              <w:right w:val="single" w:color="000000" w:sz="4" w:space="0"/>
            </w:tcBorders>
            <w:vAlign w:val="top"/>
          </w:tcPr>
          <w:p w14:paraId="5A8C21EA">
            <w:pPr>
              <w:spacing w:line="250" w:lineRule="auto"/>
              <w:rPr>
                <w:rFonts w:ascii="Arial"/>
                <w:sz w:val="21"/>
              </w:rPr>
            </w:pPr>
          </w:p>
          <w:p w14:paraId="0B617400">
            <w:pPr>
              <w:pStyle w:val="6"/>
              <w:spacing w:before="62" w:line="229" w:lineRule="auto"/>
              <w:ind w:left="442"/>
              <w:rPr>
                <w:sz w:val="19"/>
                <w:szCs w:val="19"/>
              </w:rPr>
            </w:pPr>
            <w:r>
              <w:rPr>
                <w:sz w:val="19"/>
                <w:szCs w:val="19"/>
              </w:rPr>
              <w:t>多项</w:t>
            </w:r>
          </w:p>
        </w:tc>
      </w:tr>
      <w:tr w14:paraId="26B0D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189" w:type="dxa"/>
            <w:tcBorders>
              <w:left w:val="single" w:color="000000" w:sz="4" w:space="0"/>
            </w:tcBorders>
            <w:vAlign w:val="top"/>
          </w:tcPr>
          <w:p w14:paraId="687A866E">
            <w:pPr>
              <w:rPr>
                <w:rFonts w:ascii="Arial"/>
                <w:sz w:val="21"/>
              </w:rPr>
            </w:pPr>
          </w:p>
        </w:tc>
        <w:tc>
          <w:tcPr>
            <w:tcW w:w="1313" w:type="dxa"/>
            <w:tcBorders>
              <w:right w:val="single" w:color="000000" w:sz="4" w:space="0"/>
            </w:tcBorders>
            <w:vAlign w:val="top"/>
          </w:tcPr>
          <w:p w14:paraId="37D4E7FB">
            <w:pPr>
              <w:rPr>
                <w:rFonts w:ascii="Arial"/>
                <w:sz w:val="21"/>
              </w:rPr>
            </w:pPr>
          </w:p>
        </w:tc>
        <w:tc>
          <w:tcPr>
            <w:tcW w:w="1248" w:type="dxa"/>
            <w:tcBorders>
              <w:left w:val="single" w:color="000000" w:sz="4" w:space="0"/>
              <w:right w:val="single" w:color="000000" w:sz="4" w:space="0"/>
            </w:tcBorders>
            <w:vAlign w:val="top"/>
          </w:tcPr>
          <w:p w14:paraId="0E342A28">
            <w:pPr>
              <w:rPr>
                <w:rFonts w:ascii="Arial"/>
                <w:sz w:val="21"/>
              </w:rPr>
            </w:pPr>
          </w:p>
        </w:tc>
        <w:tc>
          <w:tcPr>
            <w:tcW w:w="1249" w:type="dxa"/>
            <w:tcBorders>
              <w:left w:val="single" w:color="000000" w:sz="4" w:space="0"/>
            </w:tcBorders>
            <w:vAlign w:val="top"/>
          </w:tcPr>
          <w:p w14:paraId="206BE89B">
            <w:pPr>
              <w:rPr>
                <w:rFonts w:ascii="Arial"/>
                <w:sz w:val="21"/>
              </w:rPr>
            </w:pPr>
          </w:p>
        </w:tc>
        <w:tc>
          <w:tcPr>
            <w:tcW w:w="1248" w:type="dxa"/>
            <w:tcBorders>
              <w:right w:val="single" w:color="000000" w:sz="4" w:space="0"/>
            </w:tcBorders>
            <w:vAlign w:val="top"/>
          </w:tcPr>
          <w:p w14:paraId="4975AC73">
            <w:pPr>
              <w:rPr>
                <w:rFonts w:ascii="Arial"/>
                <w:sz w:val="21"/>
              </w:rPr>
            </w:pPr>
          </w:p>
        </w:tc>
        <w:tc>
          <w:tcPr>
            <w:tcW w:w="1249" w:type="dxa"/>
            <w:tcBorders>
              <w:left w:val="single" w:color="000000" w:sz="4" w:space="0"/>
            </w:tcBorders>
            <w:vAlign w:val="top"/>
          </w:tcPr>
          <w:p w14:paraId="26D4C82F">
            <w:pPr>
              <w:rPr>
                <w:rFonts w:ascii="Arial"/>
                <w:sz w:val="21"/>
              </w:rPr>
            </w:pPr>
          </w:p>
        </w:tc>
        <w:tc>
          <w:tcPr>
            <w:tcW w:w="1256" w:type="dxa"/>
            <w:tcBorders>
              <w:right w:val="single" w:color="000000" w:sz="4" w:space="0"/>
            </w:tcBorders>
            <w:vAlign w:val="top"/>
          </w:tcPr>
          <w:p w14:paraId="1ED005B9">
            <w:pPr>
              <w:rPr>
                <w:rFonts w:ascii="Arial"/>
                <w:sz w:val="21"/>
              </w:rPr>
            </w:pPr>
          </w:p>
        </w:tc>
      </w:tr>
      <w:tr w14:paraId="02EF1A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8752" w:type="dxa"/>
            <w:gridSpan w:val="7"/>
            <w:tcBorders>
              <w:left w:val="single" w:color="000000" w:sz="4" w:space="0"/>
              <w:right w:val="single" w:color="000000" w:sz="4" w:space="0"/>
            </w:tcBorders>
            <w:vAlign w:val="top"/>
          </w:tcPr>
          <w:p w14:paraId="2296F6A2">
            <w:pPr>
              <w:pStyle w:val="6"/>
              <w:spacing w:before="146" w:line="227" w:lineRule="auto"/>
              <w:ind w:left="3597"/>
              <w:rPr>
                <w:sz w:val="19"/>
                <w:szCs w:val="19"/>
              </w:rPr>
            </w:pPr>
            <w:r>
              <w:rPr>
                <w:rFonts w:ascii="Times New Roman" w:hAnsi="Times New Roman" w:eastAsia="Times New Roman" w:cs="Times New Roman"/>
                <w:b/>
                <w:bCs/>
                <w:spacing w:val="6"/>
                <w:sz w:val="19"/>
                <w:szCs w:val="19"/>
              </w:rPr>
              <w:t>3.</w:t>
            </w:r>
            <w:r>
              <w:rPr>
                <w:b/>
                <w:bCs/>
                <w:spacing w:val="6"/>
                <w:sz w:val="19"/>
                <w:szCs w:val="19"/>
              </w:rPr>
              <w:t>专业工程暂估价</w:t>
            </w:r>
          </w:p>
        </w:tc>
      </w:tr>
      <w:tr w14:paraId="72E77C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1189" w:type="dxa"/>
            <w:tcBorders>
              <w:left w:val="single" w:color="000000" w:sz="4" w:space="0"/>
            </w:tcBorders>
            <w:vAlign w:val="top"/>
          </w:tcPr>
          <w:p w14:paraId="272B5E4C">
            <w:pPr>
              <w:pStyle w:val="6"/>
              <w:spacing w:before="164" w:line="229" w:lineRule="auto"/>
              <w:ind w:left="199"/>
              <w:rPr>
                <w:sz w:val="19"/>
                <w:szCs w:val="19"/>
              </w:rPr>
            </w:pPr>
            <w:r>
              <w:rPr>
                <w:spacing w:val="7"/>
                <w:sz w:val="19"/>
                <w:szCs w:val="19"/>
              </w:rPr>
              <w:t>项目名称</w:t>
            </w:r>
          </w:p>
        </w:tc>
        <w:tc>
          <w:tcPr>
            <w:tcW w:w="1313" w:type="dxa"/>
            <w:tcBorders>
              <w:right w:val="single" w:color="000000" w:sz="4" w:space="0"/>
            </w:tcBorders>
            <w:vAlign w:val="top"/>
          </w:tcPr>
          <w:p w14:paraId="6B4F4961">
            <w:pPr>
              <w:pStyle w:val="6"/>
              <w:spacing w:before="35" w:line="232" w:lineRule="auto"/>
              <w:ind w:left="459" w:right="256" w:hanging="199"/>
              <w:rPr>
                <w:sz w:val="19"/>
                <w:szCs w:val="19"/>
              </w:rPr>
            </w:pPr>
            <w:r>
              <w:rPr>
                <w:spacing w:val="7"/>
                <w:sz w:val="19"/>
                <w:szCs w:val="19"/>
              </w:rPr>
              <w:t>工程名称</w:t>
            </w:r>
            <w:r>
              <w:rPr>
                <w:spacing w:val="5"/>
                <w:sz w:val="19"/>
                <w:szCs w:val="19"/>
              </w:rPr>
              <w:t>错误</w:t>
            </w:r>
          </w:p>
        </w:tc>
        <w:tc>
          <w:tcPr>
            <w:tcW w:w="1248" w:type="dxa"/>
            <w:tcBorders>
              <w:left w:val="single" w:color="000000" w:sz="4" w:space="0"/>
              <w:right w:val="single" w:color="000000" w:sz="4" w:space="0"/>
            </w:tcBorders>
            <w:vAlign w:val="top"/>
          </w:tcPr>
          <w:p w14:paraId="1EA3DCC1">
            <w:pPr>
              <w:pStyle w:val="6"/>
              <w:spacing w:before="35" w:line="232" w:lineRule="auto"/>
              <w:ind w:left="425" w:right="222" w:hanging="199"/>
              <w:rPr>
                <w:sz w:val="19"/>
                <w:szCs w:val="19"/>
              </w:rPr>
            </w:pPr>
            <w:r>
              <w:rPr>
                <w:spacing w:val="7"/>
                <w:sz w:val="19"/>
                <w:szCs w:val="19"/>
              </w:rPr>
              <w:t>工程内容</w:t>
            </w:r>
            <w:r>
              <w:rPr>
                <w:spacing w:val="5"/>
                <w:sz w:val="19"/>
                <w:szCs w:val="19"/>
              </w:rPr>
              <w:t>错误</w:t>
            </w:r>
          </w:p>
        </w:tc>
        <w:tc>
          <w:tcPr>
            <w:tcW w:w="1249" w:type="dxa"/>
            <w:tcBorders>
              <w:left w:val="single" w:color="000000" w:sz="4" w:space="0"/>
            </w:tcBorders>
            <w:vAlign w:val="top"/>
          </w:tcPr>
          <w:p w14:paraId="4881A1E3">
            <w:pPr>
              <w:pStyle w:val="6"/>
              <w:spacing w:before="35" w:line="232" w:lineRule="auto"/>
              <w:ind w:left="427" w:right="223" w:hanging="195"/>
              <w:rPr>
                <w:sz w:val="19"/>
                <w:szCs w:val="19"/>
              </w:rPr>
            </w:pPr>
            <w:r>
              <w:rPr>
                <w:spacing w:val="6"/>
                <w:sz w:val="19"/>
                <w:szCs w:val="19"/>
              </w:rPr>
              <w:t>暂估金额</w:t>
            </w:r>
            <w:r>
              <w:rPr>
                <w:spacing w:val="5"/>
                <w:sz w:val="19"/>
                <w:szCs w:val="19"/>
              </w:rPr>
              <w:t>错误</w:t>
            </w:r>
          </w:p>
        </w:tc>
        <w:tc>
          <w:tcPr>
            <w:tcW w:w="1248" w:type="dxa"/>
            <w:tcBorders>
              <w:right w:val="single" w:color="000000" w:sz="4" w:space="0"/>
            </w:tcBorders>
            <w:vAlign w:val="top"/>
          </w:tcPr>
          <w:p w14:paraId="7F97DA15">
            <w:pPr>
              <w:pStyle w:val="6"/>
              <w:spacing w:before="164" w:line="228" w:lineRule="auto"/>
              <w:ind w:left="334"/>
              <w:rPr>
                <w:sz w:val="19"/>
                <w:szCs w:val="19"/>
              </w:rPr>
            </w:pPr>
            <w:r>
              <w:rPr>
                <w:spacing w:val="6"/>
                <w:sz w:val="19"/>
                <w:szCs w:val="19"/>
              </w:rPr>
              <w:t>未填报</w:t>
            </w:r>
          </w:p>
        </w:tc>
        <w:tc>
          <w:tcPr>
            <w:tcW w:w="1249" w:type="dxa"/>
            <w:tcBorders>
              <w:left w:val="single" w:color="000000" w:sz="4" w:space="0"/>
            </w:tcBorders>
            <w:vAlign w:val="top"/>
          </w:tcPr>
          <w:p w14:paraId="1BFD5009">
            <w:pPr>
              <w:pStyle w:val="6"/>
              <w:spacing w:before="164" w:line="229" w:lineRule="auto"/>
              <w:ind w:left="441"/>
              <w:rPr>
                <w:sz w:val="19"/>
                <w:szCs w:val="19"/>
              </w:rPr>
            </w:pPr>
            <w:r>
              <w:rPr>
                <w:sz w:val="19"/>
                <w:szCs w:val="19"/>
              </w:rPr>
              <w:t>多项</w:t>
            </w:r>
          </w:p>
        </w:tc>
        <w:tc>
          <w:tcPr>
            <w:tcW w:w="1256" w:type="dxa"/>
            <w:tcBorders>
              <w:right w:val="single" w:color="000000" w:sz="4" w:space="0"/>
            </w:tcBorders>
            <w:vAlign w:val="top"/>
          </w:tcPr>
          <w:p w14:paraId="68C42D8B">
            <w:pPr>
              <w:spacing w:before="190" w:line="199" w:lineRule="auto"/>
              <w:ind w:left="5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7D341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189" w:type="dxa"/>
            <w:tcBorders>
              <w:left w:val="single" w:color="000000" w:sz="4" w:space="0"/>
            </w:tcBorders>
            <w:vAlign w:val="top"/>
          </w:tcPr>
          <w:p w14:paraId="04E8D35D">
            <w:pPr>
              <w:rPr>
                <w:rFonts w:ascii="Arial"/>
                <w:sz w:val="21"/>
              </w:rPr>
            </w:pPr>
          </w:p>
        </w:tc>
        <w:tc>
          <w:tcPr>
            <w:tcW w:w="1313" w:type="dxa"/>
            <w:tcBorders>
              <w:right w:val="single" w:color="000000" w:sz="4" w:space="0"/>
            </w:tcBorders>
            <w:vAlign w:val="top"/>
          </w:tcPr>
          <w:p w14:paraId="0AE76AE7">
            <w:pPr>
              <w:rPr>
                <w:rFonts w:ascii="Arial"/>
                <w:sz w:val="21"/>
              </w:rPr>
            </w:pPr>
          </w:p>
        </w:tc>
        <w:tc>
          <w:tcPr>
            <w:tcW w:w="1248" w:type="dxa"/>
            <w:tcBorders>
              <w:left w:val="single" w:color="000000" w:sz="4" w:space="0"/>
              <w:right w:val="single" w:color="000000" w:sz="4" w:space="0"/>
            </w:tcBorders>
            <w:vAlign w:val="top"/>
          </w:tcPr>
          <w:p w14:paraId="2D16844E">
            <w:pPr>
              <w:rPr>
                <w:rFonts w:ascii="Arial"/>
                <w:sz w:val="21"/>
              </w:rPr>
            </w:pPr>
          </w:p>
        </w:tc>
        <w:tc>
          <w:tcPr>
            <w:tcW w:w="1249" w:type="dxa"/>
            <w:tcBorders>
              <w:left w:val="single" w:color="000000" w:sz="4" w:space="0"/>
            </w:tcBorders>
            <w:vAlign w:val="top"/>
          </w:tcPr>
          <w:p w14:paraId="2E0263FE">
            <w:pPr>
              <w:rPr>
                <w:rFonts w:ascii="Arial"/>
                <w:sz w:val="21"/>
              </w:rPr>
            </w:pPr>
          </w:p>
        </w:tc>
        <w:tc>
          <w:tcPr>
            <w:tcW w:w="1248" w:type="dxa"/>
            <w:tcBorders>
              <w:right w:val="single" w:color="000000" w:sz="4" w:space="0"/>
            </w:tcBorders>
            <w:vAlign w:val="top"/>
          </w:tcPr>
          <w:p w14:paraId="0D00C942">
            <w:pPr>
              <w:rPr>
                <w:rFonts w:ascii="Arial"/>
                <w:sz w:val="21"/>
              </w:rPr>
            </w:pPr>
          </w:p>
        </w:tc>
        <w:tc>
          <w:tcPr>
            <w:tcW w:w="1249" w:type="dxa"/>
            <w:tcBorders>
              <w:left w:val="single" w:color="000000" w:sz="4" w:space="0"/>
            </w:tcBorders>
            <w:vAlign w:val="top"/>
          </w:tcPr>
          <w:p w14:paraId="6242BA75">
            <w:pPr>
              <w:rPr>
                <w:rFonts w:ascii="Arial"/>
                <w:sz w:val="21"/>
              </w:rPr>
            </w:pPr>
          </w:p>
        </w:tc>
        <w:tc>
          <w:tcPr>
            <w:tcW w:w="1256" w:type="dxa"/>
            <w:tcBorders>
              <w:right w:val="single" w:color="000000" w:sz="4" w:space="0"/>
            </w:tcBorders>
            <w:vAlign w:val="top"/>
          </w:tcPr>
          <w:p w14:paraId="08458D55">
            <w:pPr>
              <w:spacing w:before="173" w:line="199" w:lineRule="auto"/>
              <w:ind w:left="5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18EF5C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8752" w:type="dxa"/>
            <w:gridSpan w:val="7"/>
            <w:tcBorders>
              <w:left w:val="single" w:color="000000" w:sz="4" w:space="0"/>
              <w:right w:val="single" w:color="000000" w:sz="4" w:space="0"/>
            </w:tcBorders>
            <w:vAlign w:val="top"/>
          </w:tcPr>
          <w:p w14:paraId="4BC90E58">
            <w:pPr>
              <w:pStyle w:val="6"/>
              <w:spacing w:before="146" w:line="230" w:lineRule="auto"/>
              <w:ind w:left="3999"/>
              <w:rPr>
                <w:sz w:val="19"/>
                <w:szCs w:val="19"/>
              </w:rPr>
            </w:pPr>
            <w:r>
              <w:rPr>
                <w:rFonts w:ascii="Times New Roman" w:hAnsi="Times New Roman" w:eastAsia="Times New Roman" w:cs="Times New Roman"/>
                <w:b/>
                <w:bCs/>
                <w:spacing w:val="5"/>
                <w:sz w:val="19"/>
                <w:szCs w:val="19"/>
              </w:rPr>
              <w:t>4.</w:t>
            </w:r>
            <w:r>
              <w:rPr>
                <w:b/>
                <w:bCs/>
                <w:spacing w:val="5"/>
                <w:sz w:val="19"/>
                <w:szCs w:val="19"/>
              </w:rPr>
              <w:t>计日工</w:t>
            </w:r>
          </w:p>
        </w:tc>
      </w:tr>
      <w:tr w14:paraId="479F3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1189" w:type="dxa"/>
            <w:tcBorders>
              <w:left w:val="single" w:color="000000" w:sz="4" w:space="0"/>
            </w:tcBorders>
            <w:vAlign w:val="top"/>
          </w:tcPr>
          <w:p w14:paraId="33A74934">
            <w:pPr>
              <w:pStyle w:val="6"/>
              <w:spacing w:before="166" w:line="229" w:lineRule="auto"/>
              <w:ind w:left="199"/>
              <w:rPr>
                <w:sz w:val="19"/>
                <w:szCs w:val="19"/>
              </w:rPr>
            </w:pPr>
            <w:r>
              <w:rPr>
                <w:spacing w:val="7"/>
                <w:sz w:val="19"/>
                <w:szCs w:val="19"/>
              </w:rPr>
              <w:t>项目名称</w:t>
            </w:r>
          </w:p>
        </w:tc>
        <w:tc>
          <w:tcPr>
            <w:tcW w:w="1313" w:type="dxa"/>
            <w:tcBorders>
              <w:right w:val="single" w:color="000000" w:sz="4" w:space="0"/>
            </w:tcBorders>
            <w:vAlign w:val="top"/>
          </w:tcPr>
          <w:p w14:paraId="3D5A3D48">
            <w:pPr>
              <w:pStyle w:val="6"/>
              <w:spacing w:before="37" w:line="231" w:lineRule="auto"/>
              <w:ind w:left="459" w:right="256" w:hanging="198"/>
              <w:rPr>
                <w:sz w:val="19"/>
                <w:szCs w:val="19"/>
              </w:rPr>
            </w:pPr>
            <w:r>
              <w:rPr>
                <w:spacing w:val="7"/>
                <w:sz w:val="19"/>
                <w:szCs w:val="19"/>
              </w:rPr>
              <w:t>项目名称</w:t>
            </w:r>
            <w:r>
              <w:rPr>
                <w:spacing w:val="5"/>
                <w:sz w:val="19"/>
                <w:szCs w:val="19"/>
              </w:rPr>
              <w:t>错误</w:t>
            </w:r>
          </w:p>
        </w:tc>
        <w:tc>
          <w:tcPr>
            <w:tcW w:w="1248" w:type="dxa"/>
            <w:tcBorders>
              <w:left w:val="single" w:color="000000" w:sz="4" w:space="0"/>
              <w:right w:val="single" w:color="000000" w:sz="4" w:space="0"/>
            </w:tcBorders>
            <w:vAlign w:val="top"/>
          </w:tcPr>
          <w:p w14:paraId="215392AA">
            <w:pPr>
              <w:pStyle w:val="6"/>
              <w:spacing w:before="37" w:line="231" w:lineRule="auto"/>
              <w:ind w:left="425" w:right="222" w:hanging="195"/>
              <w:rPr>
                <w:sz w:val="19"/>
                <w:szCs w:val="19"/>
              </w:rPr>
            </w:pPr>
            <w:r>
              <w:rPr>
                <w:spacing w:val="6"/>
                <w:sz w:val="19"/>
                <w:szCs w:val="19"/>
              </w:rPr>
              <w:t>暂定数量</w:t>
            </w:r>
            <w:r>
              <w:rPr>
                <w:spacing w:val="5"/>
                <w:sz w:val="19"/>
                <w:szCs w:val="19"/>
              </w:rPr>
              <w:t>错误</w:t>
            </w:r>
          </w:p>
        </w:tc>
        <w:tc>
          <w:tcPr>
            <w:tcW w:w="1249" w:type="dxa"/>
            <w:tcBorders>
              <w:left w:val="single" w:color="000000" w:sz="4" w:space="0"/>
            </w:tcBorders>
            <w:vAlign w:val="top"/>
          </w:tcPr>
          <w:p w14:paraId="5CE22AF9">
            <w:pPr>
              <w:pStyle w:val="6"/>
              <w:spacing w:before="166" w:line="228" w:lineRule="auto"/>
              <w:ind w:left="330"/>
              <w:rPr>
                <w:sz w:val="19"/>
                <w:szCs w:val="19"/>
              </w:rPr>
            </w:pPr>
            <w:r>
              <w:rPr>
                <w:spacing w:val="6"/>
                <w:sz w:val="19"/>
                <w:szCs w:val="19"/>
              </w:rPr>
              <w:t>未填报</w:t>
            </w:r>
          </w:p>
        </w:tc>
        <w:tc>
          <w:tcPr>
            <w:tcW w:w="1248" w:type="dxa"/>
            <w:tcBorders>
              <w:right w:val="single" w:color="000000" w:sz="4" w:space="0"/>
            </w:tcBorders>
            <w:vAlign w:val="top"/>
          </w:tcPr>
          <w:p w14:paraId="44E87DCA">
            <w:pPr>
              <w:pStyle w:val="6"/>
              <w:spacing w:before="166" w:line="229" w:lineRule="auto"/>
              <w:ind w:left="441"/>
              <w:rPr>
                <w:sz w:val="19"/>
                <w:szCs w:val="19"/>
              </w:rPr>
            </w:pPr>
            <w:r>
              <w:rPr>
                <w:sz w:val="19"/>
                <w:szCs w:val="19"/>
              </w:rPr>
              <w:t>多项</w:t>
            </w:r>
          </w:p>
        </w:tc>
        <w:tc>
          <w:tcPr>
            <w:tcW w:w="1249" w:type="dxa"/>
            <w:tcBorders>
              <w:left w:val="single" w:color="000000" w:sz="4" w:space="0"/>
            </w:tcBorders>
            <w:vAlign w:val="top"/>
          </w:tcPr>
          <w:p w14:paraId="2E4B136F">
            <w:pPr>
              <w:spacing w:before="192" w:line="199" w:lineRule="auto"/>
              <w:ind w:left="5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256" w:type="dxa"/>
            <w:tcBorders>
              <w:right w:val="single" w:color="000000" w:sz="4" w:space="0"/>
            </w:tcBorders>
            <w:vAlign w:val="top"/>
          </w:tcPr>
          <w:p w14:paraId="5BF4FAD2">
            <w:pPr>
              <w:spacing w:before="192" w:line="199" w:lineRule="auto"/>
              <w:ind w:left="5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324A45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1BC60BD1">
            <w:pPr>
              <w:rPr>
                <w:rFonts w:ascii="Arial"/>
                <w:sz w:val="21"/>
              </w:rPr>
            </w:pPr>
          </w:p>
        </w:tc>
        <w:tc>
          <w:tcPr>
            <w:tcW w:w="1313" w:type="dxa"/>
            <w:tcBorders>
              <w:right w:val="single" w:color="000000" w:sz="4" w:space="0"/>
            </w:tcBorders>
            <w:vAlign w:val="top"/>
          </w:tcPr>
          <w:p w14:paraId="53655094">
            <w:pPr>
              <w:rPr>
                <w:rFonts w:ascii="Arial"/>
                <w:sz w:val="21"/>
              </w:rPr>
            </w:pPr>
          </w:p>
        </w:tc>
        <w:tc>
          <w:tcPr>
            <w:tcW w:w="1248" w:type="dxa"/>
            <w:tcBorders>
              <w:left w:val="single" w:color="000000" w:sz="4" w:space="0"/>
              <w:right w:val="single" w:color="000000" w:sz="4" w:space="0"/>
            </w:tcBorders>
            <w:vAlign w:val="top"/>
          </w:tcPr>
          <w:p w14:paraId="2FB476CC">
            <w:pPr>
              <w:rPr>
                <w:rFonts w:ascii="Arial"/>
                <w:sz w:val="21"/>
              </w:rPr>
            </w:pPr>
          </w:p>
        </w:tc>
        <w:tc>
          <w:tcPr>
            <w:tcW w:w="1249" w:type="dxa"/>
            <w:tcBorders>
              <w:left w:val="single" w:color="000000" w:sz="4" w:space="0"/>
            </w:tcBorders>
            <w:vAlign w:val="top"/>
          </w:tcPr>
          <w:p w14:paraId="614B300C">
            <w:pPr>
              <w:rPr>
                <w:rFonts w:ascii="Arial"/>
                <w:sz w:val="21"/>
              </w:rPr>
            </w:pPr>
          </w:p>
        </w:tc>
        <w:tc>
          <w:tcPr>
            <w:tcW w:w="1248" w:type="dxa"/>
            <w:tcBorders>
              <w:right w:val="single" w:color="000000" w:sz="4" w:space="0"/>
            </w:tcBorders>
            <w:vAlign w:val="top"/>
          </w:tcPr>
          <w:p w14:paraId="5AB25CD2">
            <w:pPr>
              <w:rPr>
                <w:rFonts w:ascii="Arial"/>
                <w:sz w:val="21"/>
              </w:rPr>
            </w:pPr>
          </w:p>
        </w:tc>
        <w:tc>
          <w:tcPr>
            <w:tcW w:w="1249" w:type="dxa"/>
            <w:tcBorders>
              <w:left w:val="single" w:color="000000" w:sz="4" w:space="0"/>
            </w:tcBorders>
            <w:vAlign w:val="top"/>
          </w:tcPr>
          <w:p w14:paraId="12078E11">
            <w:pPr>
              <w:spacing w:before="175" w:line="199" w:lineRule="auto"/>
              <w:ind w:left="5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256" w:type="dxa"/>
            <w:tcBorders>
              <w:right w:val="single" w:color="000000" w:sz="4" w:space="0"/>
            </w:tcBorders>
            <w:vAlign w:val="top"/>
          </w:tcPr>
          <w:p w14:paraId="55D70732">
            <w:pPr>
              <w:spacing w:before="175" w:line="199" w:lineRule="auto"/>
              <w:ind w:left="5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0DFBA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8752" w:type="dxa"/>
            <w:gridSpan w:val="7"/>
            <w:tcBorders>
              <w:left w:val="single" w:color="000000" w:sz="4" w:space="0"/>
              <w:right w:val="single" w:color="000000" w:sz="4" w:space="0"/>
            </w:tcBorders>
            <w:vAlign w:val="top"/>
          </w:tcPr>
          <w:p w14:paraId="74C76F76">
            <w:pPr>
              <w:pStyle w:val="6"/>
              <w:spacing w:before="150" w:line="228" w:lineRule="auto"/>
              <w:ind w:left="3699"/>
              <w:rPr>
                <w:sz w:val="19"/>
                <w:szCs w:val="19"/>
              </w:rPr>
            </w:pPr>
            <w:r>
              <w:rPr>
                <w:rFonts w:ascii="Times New Roman" w:hAnsi="Times New Roman" w:eastAsia="Times New Roman" w:cs="Times New Roman"/>
                <w:b/>
                <w:bCs/>
                <w:spacing w:val="6"/>
                <w:sz w:val="19"/>
                <w:szCs w:val="19"/>
              </w:rPr>
              <w:t>5.</w:t>
            </w:r>
            <w:r>
              <w:rPr>
                <w:b/>
                <w:bCs/>
                <w:spacing w:val="6"/>
                <w:sz w:val="19"/>
                <w:szCs w:val="19"/>
              </w:rPr>
              <w:t>总承包服务费</w:t>
            </w:r>
          </w:p>
        </w:tc>
      </w:tr>
      <w:tr w14:paraId="56CD7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1189" w:type="dxa"/>
            <w:tcBorders>
              <w:left w:val="single" w:color="000000" w:sz="4" w:space="0"/>
            </w:tcBorders>
            <w:vAlign w:val="top"/>
          </w:tcPr>
          <w:p w14:paraId="449B5662">
            <w:pPr>
              <w:pStyle w:val="6"/>
              <w:spacing w:before="168" w:line="229" w:lineRule="auto"/>
              <w:ind w:left="199"/>
              <w:rPr>
                <w:sz w:val="19"/>
                <w:szCs w:val="19"/>
              </w:rPr>
            </w:pPr>
            <w:r>
              <w:rPr>
                <w:spacing w:val="7"/>
                <w:sz w:val="19"/>
                <w:szCs w:val="19"/>
              </w:rPr>
              <w:t>项目名称</w:t>
            </w:r>
          </w:p>
        </w:tc>
        <w:tc>
          <w:tcPr>
            <w:tcW w:w="1313" w:type="dxa"/>
            <w:tcBorders>
              <w:right w:val="single" w:color="000000" w:sz="4" w:space="0"/>
            </w:tcBorders>
            <w:vAlign w:val="top"/>
          </w:tcPr>
          <w:p w14:paraId="5F8BDE3F">
            <w:pPr>
              <w:pStyle w:val="6"/>
              <w:spacing w:before="38" w:line="230" w:lineRule="auto"/>
              <w:ind w:left="459" w:right="256" w:hanging="198"/>
              <w:rPr>
                <w:sz w:val="19"/>
                <w:szCs w:val="19"/>
              </w:rPr>
            </w:pPr>
            <w:r>
              <w:rPr>
                <w:spacing w:val="7"/>
                <w:sz w:val="19"/>
                <w:szCs w:val="19"/>
              </w:rPr>
              <w:t>项目名称</w:t>
            </w:r>
            <w:r>
              <w:rPr>
                <w:spacing w:val="5"/>
                <w:sz w:val="19"/>
                <w:szCs w:val="19"/>
              </w:rPr>
              <w:t>错误</w:t>
            </w:r>
          </w:p>
        </w:tc>
        <w:tc>
          <w:tcPr>
            <w:tcW w:w="1248" w:type="dxa"/>
            <w:tcBorders>
              <w:left w:val="single" w:color="000000" w:sz="4" w:space="0"/>
              <w:right w:val="single" w:color="000000" w:sz="4" w:space="0"/>
            </w:tcBorders>
            <w:vAlign w:val="top"/>
          </w:tcPr>
          <w:p w14:paraId="6BD8974D">
            <w:pPr>
              <w:pStyle w:val="6"/>
              <w:spacing w:before="38" w:line="230" w:lineRule="auto"/>
              <w:ind w:left="425" w:right="222" w:hanging="198"/>
              <w:rPr>
                <w:sz w:val="19"/>
                <w:szCs w:val="19"/>
              </w:rPr>
            </w:pPr>
            <w:r>
              <w:rPr>
                <w:spacing w:val="7"/>
                <w:sz w:val="19"/>
                <w:szCs w:val="19"/>
              </w:rPr>
              <w:t>项目价值</w:t>
            </w:r>
            <w:r>
              <w:rPr>
                <w:spacing w:val="5"/>
                <w:sz w:val="19"/>
                <w:szCs w:val="19"/>
              </w:rPr>
              <w:t>错误</w:t>
            </w:r>
          </w:p>
        </w:tc>
        <w:tc>
          <w:tcPr>
            <w:tcW w:w="1249" w:type="dxa"/>
            <w:tcBorders>
              <w:left w:val="single" w:color="000000" w:sz="4" w:space="0"/>
            </w:tcBorders>
            <w:vAlign w:val="top"/>
          </w:tcPr>
          <w:p w14:paraId="642354A8">
            <w:pPr>
              <w:pStyle w:val="6"/>
              <w:spacing w:before="38" w:line="230" w:lineRule="auto"/>
              <w:ind w:left="427" w:right="223" w:hanging="201"/>
              <w:rPr>
                <w:sz w:val="19"/>
                <w:szCs w:val="19"/>
              </w:rPr>
            </w:pPr>
            <w:r>
              <w:rPr>
                <w:spacing w:val="7"/>
                <w:sz w:val="19"/>
                <w:szCs w:val="19"/>
              </w:rPr>
              <w:t>服务内容</w:t>
            </w:r>
            <w:r>
              <w:rPr>
                <w:spacing w:val="5"/>
                <w:sz w:val="19"/>
                <w:szCs w:val="19"/>
              </w:rPr>
              <w:t>错误</w:t>
            </w:r>
          </w:p>
        </w:tc>
        <w:tc>
          <w:tcPr>
            <w:tcW w:w="1248" w:type="dxa"/>
            <w:tcBorders>
              <w:right w:val="single" w:color="000000" w:sz="4" w:space="0"/>
            </w:tcBorders>
            <w:vAlign w:val="top"/>
          </w:tcPr>
          <w:p w14:paraId="7CD25BD5">
            <w:pPr>
              <w:pStyle w:val="6"/>
              <w:spacing w:before="38" w:line="230" w:lineRule="auto"/>
              <w:ind w:left="431" w:right="219" w:hanging="201"/>
              <w:rPr>
                <w:sz w:val="19"/>
                <w:szCs w:val="19"/>
              </w:rPr>
            </w:pPr>
            <w:r>
              <w:rPr>
                <w:spacing w:val="7"/>
                <w:sz w:val="19"/>
                <w:szCs w:val="19"/>
              </w:rPr>
              <w:t>计算基础</w:t>
            </w:r>
            <w:r>
              <w:rPr>
                <w:spacing w:val="5"/>
                <w:sz w:val="19"/>
                <w:szCs w:val="19"/>
              </w:rPr>
              <w:t>错误</w:t>
            </w:r>
          </w:p>
        </w:tc>
        <w:tc>
          <w:tcPr>
            <w:tcW w:w="1249" w:type="dxa"/>
            <w:tcBorders>
              <w:left w:val="single" w:color="000000" w:sz="4" w:space="0"/>
            </w:tcBorders>
            <w:vAlign w:val="top"/>
          </w:tcPr>
          <w:p w14:paraId="0B8B9C74">
            <w:pPr>
              <w:pStyle w:val="6"/>
              <w:spacing w:before="168" w:line="228" w:lineRule="auto"/>
              <w:ind w:left="334"/>
              <w:rPr>
                <w:sz w:val="19"/>
                <w:szCs w:val="19"/>
              </w:rPr>
            </w:pPr>
            <w:r>
              <w:rPr>
                <w:spacing w:val="6"/>
                <w:sz w:val="19"/>
                <w:szCs w:val="19"/>
              </w:rPr>
              <w:t>未填报</w:t>
            </w:r>
          </w:p>
        </w:tc>
        <w:tc>
          <w:tcPr>
            <w:tcW w:w="1256" w:type="dxa"/>
            <w:tcBorders>
              <w:right w:val="single" w:color="000000" w:sz="4" w:space="0"/>
            </w:tcBorders>
            <w:vAlign w:val="top"/>
          </w:tcPr>
          <w:p w14:paraId="52D2DA2F">
            <w:pPr>
              <w:pStyle w:val="6"/>
              <w:spacing w:before="168" w:line="229" w:lineRule="auto"/>
              <w:ind w:left="442"/>
              <w:rPr>
                <w:sz w:val="19"/>
                <w:szCs w:val="19"/>
              </w:rPr>
            </w:pPr>
            <w:r>
              <w:rPr>
                <w:sz w:val="19"/>
                <w:szCs w:val="19"/>
              </w:rPr>
              <w:t>多项</w:t>
            </w:r>
          </w:p>
        </w:tc>
      </w:tr>
      <w:tr w14:paraId="423E23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189" w:type="dxa"/>
            <w:tcBorders>
              <w:left w:val="single" w:color="000000" w:sz="4" w:space="0"/>
              <w:bottom w:val="single" w:color="000000" w:sz="4" w:space="0"/>
            </w:tcBorders>
            <w:vAlign w:val="top"/>
          </w:tcPr>
          <w:p w14:paraId="6A311111">
            <w:pPr>
              <w:rPr>
                <w:rFonts w:ascii="Arial"/>
                <w:sz w:val="21"/>
              </w:rPr>
            </w:pPr>
          </w:p>
        </w:tc>
        <w:tc>
          <w:tcPr>
            <w:tcW w:w="1313" w:type="dxa"/>
            <w:tcBorders>
              <w:bottom w:val="single" w:color="000000" w:sz="4" w:space="0"/>
              <w:right w:val="single" w:color="000000" w:sz="4" w:space="0"/>
            </w:tcBorders>
            <w:vAlign w:val="top"/>
          </w:tcPr>
          <w:p w14:paraId="06033F45">
            <w:pPr>
              <w:rPr>
                <w:rFonts w:ascii="Arial"/>
                <w:sz w:val="21"/>
              </w:rPr>
            </w:pPr>
          </w:p>
        </w:tc>
        <w:tc>
          <w:tcPr>
            <w:tcW w:w="1248" w:type="dxa"/>
            <w:tcBorders>
              <w:left w:val="single" w:color="000000" w:sz="4" w:space="0"/>
              <w:bottom w:val="single" w:color="000000" w:sz="4" w:space="0"/>
              <w:right w:val="single" w:color="000000" w:sz="4" w:space="0"/>
            </w:tcBorders>
            <w:vAlign w:val="top"/>
          </w:tcPr>
          <w:p w14:paraId="7223E509">
            <w:pPr>
              <w:rPr>
                <w:rFonts w:ascii="Arial"/>
                <w:sz w:val="21"/>
              </w:rPr>
            </w:pPr>
          </w:p>
        </w:tc>
        <w:tc>
          <w:tcPr>
            <w:tcW w:w="1249" w:type="dxa"/>
            <w:tcBorders>
              <w:left w:val="single" w:color="000000" w:sz="4" w:space="0"/>
              <w:bottom w:val="single" w:color="000000" w:sz="4" w:space="0"/>
            </w:tcBorders>
            <w:vAlign w:val="top"/>
          </w:tcPr>
          <w:p w14:paraId="2E6741A0">
            <w:pPr>
              <w:rPr>
                <w:rFonts w:ascii="Arial"/>
                <w:sz w:val="21"/>
              </w:rPr>
            </w:pPr>
          </w:p>
        </w:tc>
        <w:tc>
          <w:tcPr>
            <w:tcW w:w="1248" w:type="dxa"/>
            <w:tcBorders>
              <w:bottom w:val="single" w:color="000000" w:sz="4" w:space="0"/>
              <w:right w:val="single" w:color="000000" w:sz="4" w:space="0"/>
            </w:tcBorders>
            <w:vAlign w:val="top"/>
          </w:tcPr>
          <w:p w14:paraId="66131E16">
            <w:pPr>
              <w:rPr>
                <w:rFonts w:ascii="Arial"/>
                <w:sz w:val="21"/>
              </w:rPr>
            </w:pPr>
          </w:p>
        </w:tc>
        <w:tc>
          <w:tcPr>
            <w:tcW w:w="1249" w:type="dxa"/>
            <w:tcBorders>
              <w:left w:val="single" w:color="000000" w:sz="4" w:space="0"/>
              <w:bottom w:val="single" w:color="000000" w:sz="4" w:space="0"/>
            </w:tcBorders>
            <w:vAlign w:val="top"/>
          </w:tcPr>
          <w:p w14:paraId="59A0089D">
            <w:pPr>
              <w:rPr>
                <w:rFonts w:ascii="Arial"/>
                <w:sz w:val="21"/>
              </w:rPr>
            </w:pPr>
          </w:p>
        </w:tc>
        <w:tc>
          <w:tcPr>
            <w:tcW w:w="1256" w:type="dxa"/>
            <w:tcBorders>
              <w:bottom w:val="single" w:color="000000" w:sz="4" w:space="0"/>
              <w:right w:val="single" w:color="000000" w:sz="4" w:space="0"/>
            </w:tcBorders>
            <w:vAlign w:val="top"/>
          </w:tcPr>
          <w:p w14:paraId="4DC43108">
            <w:pPr>
              <w:rPr>
                <w:rFonts w:ascii="Arial"/>
                <w:sz w:val="21"/>
              </w:rPr>
            </w:pPr>
          </w:p>
        </w:tc>
      </w:tr>
    </w:tbl>
    <w:p w14:paraId="1D2AF3B5">
      <w:pPr>
        <w:spacing w:line="253" w:lineRule="auto"/>
        <w:rPr>
          <w:rFonts w:ascii="Arial"/>
          <w:sz w:val="21"/>
        </w:rPr>
      </w:pPr>
    </w:p>
    <w:p w14:paraId="371FEB02">
      <w:pPr>
        <w:spacing w:line="254" w:lineRule="auto"/>
        <w:rPr>
          <w:rFonts w:ascii="Arial"/>
          <w:sz w:val="21"/>
        </w:rPr>
      </w:pPr>
    </w:p>
    <w:p w14:paraId="38F5EA14">
      <w:pPr>
        <w:spacing w:before="66" w:line="227" w:lineRule="auto"/>
        <w:rPr>
          <w:rFonts w:ascii="宋体" w:hAnsi="宋体" w:eastAsia="宋体" w:cs="宋体"/>
          <w:sz w:val="20"/>
          <w:szCs w:val="20"/>
        </w:rPr>
      </w:pPr>
      <w:r>
        <w:rPr>
          <w:rFonts w:ascii="宋体" w:hAnsi="宋体" w:eastAsia="宋体" w:cs="宋体"/>
          <w:spacing w:val="1"/>
          <w:sz w:val="20"/>
          <w:szCs w:val="20"/>
        </w:rPr>
        <w:t>评标委员会成员签名：                                       日期</w:t>
      </w:r>
      <w:r>
        <w:rPr>
          <w:rFonts w:ascii="宋体" w:hAnsi="宋体" w:eastAsia="宋体" w:cs="宋体"/>
          <w:spacing w:val="-58"/>
          <w:sz w:val="20"/>
          <w:szCs w:val="20"/>
        </w:rPr>
        <w:t xml:space="preserve"> </w:t>
      </w:r>
      <w:r>
        <w:rPr>
          <w:rFonts w:ascii="宋体" w:hAnsi="宋体" w:eastAsia="宋体" w:cs="宋体"/>
          <w:spacing w:val="1"/>
          <w:sz w:val="20"/>
          <w:szCs w:val="20"/>
        </w:rPr>
        <w:t>:     年</w:t>
      </w:r>
      <w:r>
        <w:rPr>
          <w:rFonts w:ascii="宋体" w:hAnsi="宋体" w:eastAsia="宋体" w:cs="宋体"/>
          <w:spacing w:val="8"/>
          <w:sz w:val="20"/>
          <w:szCs w:val="20"/>
        </w:rPr>
        <w:t xml:space="preserve">     </w:t>
      </w:r>
      <w:r>
        <w:rPr>
          <w:rFonts w:ascii="宋体" w:hAnsi="宋体" w:eastAsia="宋体" w:cs="宋体"/>
          <w:sz w:val="20"/>
          <w:szCs w:val="20"/>
        </w:rPr>
        <w:t>月      日</w:t>
      </w:r>
    </w:p>
    <w:p w14:paraId="70BF63D9">
      <w:pPr>
        <w:spacing w:line="227" w:lineRule="auto"/>
        <w:rPr>
          <w:rFonts w:ascii="宋体" w:hAnsi="宋体" w:eastAsia="宋体" w:cs="宋体"/>
          <w:sz w:val="20"/>
          <w:szCs w:val="20"/>
        </w:rPr>
        <w:sectPr>
          <w:footerReference r:id="rId148" w:type="default"/>
          <w:pgSz w:w="11907" w:h="16840"/>
          <w:pgMar w:top="400" w:right="1600" w:bottom="1038" w:left="1480" w:header="0" w:footer="787" w:gutter="0"/>
          <w:cols w:space="720" w:num="1"/>
        </w:sectPr>
      </w:pPr>
    </w:p>
    <w:p w14:paraId="2FA41CE3">
      <w:pPr>
        <w:spacing w:line="265" w:lineRule="auto"/>
        <w:rPr>
          <w:rFonts w:ascii="Arial"/>
          <w:sz w:val="21"/>
        </w:rPr>
      </w:pPr>
    </w:p>
    <w:p w14:paraId="1135905E">
      <w:pPr>
        <w:spacing w:line="266" w:lineRule="auto"/>
        <w:rPr>
          <w:rFonts w:ascii="Arial"/>
          <w:sz w:val="21"/>
        </w:rPr>
      </w:pPr>
    </w:p>
    <w:p w14:paraId="399FBC06">
      <w:pPr>
        <w:spacing w:line="266" w:lineRule="auto"/>
        <w:rPr>
          <w:rFonts w:ascii="Arial"/>
          <w:sz w:val="21"/>
        </w:rPr>
      </w:pPr>
    </w:p>
    <w:p w14:paraId="73F2DC22">
      <w:pPr>
        <w:spacing w:line="266" w:lineRule="auto"/>
        <w:rPr>
          <w:rFonts w:ascii="Arial"/>
          <w:sz w:val="21"/>
        </w:rPr>
      </w:pPr>
    </w:p>
    <w:p w14:paraId="63AEE820">
      <w:pPr>
        <w:spacing w:line="266" w:lineRule="auto"/>
        <w:rPr>
          <w:rFonts w:ascii="Arial"/>
          <w:sz w:val="21"/>
        </w:rPr>
      </w:pPr>
    </w:p>
    <w:p w14:paraId="4D46E79F">
      <w:pPr>
        <w:pStyle w:val="2"/>
        <w:spacing w:before="78" w:line="221" w:lineRule="auto"/>
        <w:ind w:left="11"/>
        <w:outlineLvl w:val="1"/>
        <w:rPr>
          <w:sz w:val="24"/>
          <w:szCs w:val="24"/>
        </w:rPr>
      </w:pPr>
      <w:r>
        <w:rPr>
          <w:spacing w:val="-4"/>
          <w:sz w:val="24"/>
          <w:szCs w:val="24"/>
        </w:rPr>
        <w:t>附表</w:t>
      </w:r>
      <w:r>
        <w:rPr>
          <w:spacing w:val="-38"/>
          <w:sz w:val="24"/>
          <w:szCs w:val="24"/>
        </w:rPr>
        <w:t xml:space="preserve"> </w:t>
      </w:r>
      <w:r>
        <w:rPr>
          <w:rFonts w:ascii="Times New Roman" w:hAnsi="Times New Roman" w:eastAsia="Times New Roman" w:cs="Times New Roman"/>
          <w:spacing w:val="-4"/>
          <w:sz w:val="24"/>
          <w:szCs w:val="24"/>
        </w:rPr>
        <w:t>C-4</w:t>
      </w:r>
      <w:r>
        <w:rPr>
          <w:rFonts w:ascii="Times New Roman" w:hAnsi="Times New Roman" w:eastAsia="Times New Roman" w:cs="Times New Roman"/>
          <w:spacing w:val="-15"/>
          <w:sz w:val="24"/>
          <w:szCs w:val="24"/>
        </w:rPr>
        <w:t xml:space="preserve"> </w:t>
      </w:r>
      <w:r>
        <w:rPr>
          <w:spacing w:val="-4"/>
          <w:sz w:val="24"/>
          <w:szCs w:val="24"/>
        </w:rPr>
        <w:t>：清标报告</w:t>
      </w:r>
      <w:r>
        <w:rPr>
          <w:rFonts w:ascii="Times New Roman" w:hAnsi="Times New Roman" w:eastAsia="Times New Roman" w:cs="Times New Roman"/>
          <w:spacing w:val="-4"/>
          <w:sz w:val="24"/>
          <w:szCs w:val="24"/>
        </w:rPr>
        <w:t>-</w:t>
      </w:r>
      <w:r>
        <w:rPr>
          <w:spacing w:val="-4"/>
          <w:sz w:val="24"/>
          <w:szCs w:val="24"/>
        </w:rPr>
        <w:t>规费、税金项目符合性检查</w:t>
      </w:r>
    </w:p>
    <w:p w14:paraId="76C3612F">
      <w:pPr>
        <w:spacing w:line="278" w:lineRule="auto"/>
        <w:rPr>
          <w:rFonts w:ascii="Arial"/>
          <w:sz w:val="21"/>
        </w:rPr>
      </w:pPr>
    </w:p>
    <w:p w14:paraId="6F670DA8">
      <w:pPr>
        <w:spacing w:line="279" w:lineRule="auto"/>
        <w:rPr>
          <w:rFonts w:ascii="Arial"/>
          <w:sz w:val="21"/>
        </w:rPr>
      </w:pPr>
    </w:p>
    <w:p w14:paraId="62B5296F">
      <w:pPr>
        <w:spacing w:line="279" w:lineRule="auto"/>
        <w:rPr>
          <w:rFonts w:ascii="Arial"/>
          <w:sz w:val="21"/>
        </w:rPr>
      </w:pPr>
    </w:p>
    <w:p w14:paraId="671804AA">
      <w:pPr>
        <w:pStyle w:val="2"/>
        <w:spacing w:before="101" w:line="393" w:lineRule="auto"/>
        <w:ind w:right="1740" w:firstLine="1817"/>
        <w:rPr>
          <w:rFonts w:ascii="宋体" w:hAnsi="宋体" w:eastAsia="宋体" w:cs="宋体"/>
          <w:sz w:val="20"/>
          <w:szCs w:val="20"/>
        </w:rPr>
      </w:pPr>
      <w:bookmarkStart w:id="200" w:name="bookmark181"/>
      <w:bookmarkEnd w:id="200"/>
      <w:r>
        <w:rPr>
          <w:spacing w:val="8"/>
          <w:sz w:val="31"/>
          <w:szCs w:val="31"/>
        </w:rPr>
        <w:t>清标报告-规费、税金项目符合性检查</w:t>
      </w:r>
      <w:r>
        <w:rPr>
          <w:rFonts w:ascii="宋体" w:hAnsi="宋体" w:eastAsia="宋体" w:cs="宋体"/>
          <w:spacing w:val="6"/>
          <w:sz w:val="20"/>
          <w:szCs w:val="20"/>
        </w:rPr>
        <w:t>投标人名称：</w:t>
      </w:r>
    </w:p>
    <w:p w14:paraId="765D386D">
      <w:pPr>
        <w:spacing w:line="65" w:lineRule="exact"/>
      </w:pPr>
    </w:p>
    <w:tbl>
      <w:tblPr>
        <w:tblStyle w:val="5"/>
        <w:tblW w:w="8752" w:type="dxa"/>
        <w:tblInd w:w="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9"/>
        <w:gridCol w:w="1313"/>
        <w:gridCol w:w="1248"/>
        <w:gridCol w:w="1249"/>
        <w:gridCol w:w="1248"/>
        <w:gridCol w:w="1249"/>
        <w:gridCol w:w="1256"/>
      </w:tblGrid>
      <w:tr w14:paraId="385683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3750" w:type="dxa"/>
            <w:gridSpan w:val="3"/>
            <w:tcBorders>
              <w:top w:val="single" w:color="000000" w:sz="4" w:space="0"/>
              <w:left w:val="single" w:color="000000" w:sz="4" w:space="0"/>
              <w:bottom w:val="single" w:color="000000" w:sz="4" w:space="0"/>
            </w:tcBorders>
            <w:vAlign w:val="top"/>
          </w:tcPr>
          <w:p w14:paraId="561DAF55">
            <w:pPr>
              <w:pStyle w:val="6"/>
              <w:spacing w:before="231" w:line="229" w:lineRule="auto"/>
              <w:ind w:left="1280"/>
              <w:rPr>
                <w:sz w:val="19"/>
                <w:szCs w:val="19"/>
              </w:rPr>
            </w:pPr>
            <w:r>
              <w:rPr>
                <w:spacing w:val="8"/>
                <w:sz w:val="19"/>
                <w:szCs w:val="19"/>
              </w:rPr>
              <w:t>单位工程名称</w:t>
            </w:r>
          </w:p>
        </w:tc>
        <w:tc>
          <w:tcPr>
            <w:tcW w:w="5002" w:type="dxa"/>
            <w:gridSpan w:val="4"/>
            <w:tcBorders>
              <w:top w:val="single" w:color="000000" w:sz="4" w:space="0"/>
              <w:bottom w:val="single" w:color="000000" w:sz="4" w:space="0"/>
              <w:right w:val="single" w:color="000000" w:sz="4" w:space="0"/>
            </w:tcBorders>
            <w:vAlign w:val="top"/>
          </w:tcPr>
          <w:p w14:paraId="573035AC">
            <w:pPr>
              <w:rPr>
                <w:rFonts w:ascii="Arial"/>
                <w:sz w:val="21"/>
              </w:rPr>
            </w:pPr>
          </w:p>
        </w:tc>
      </w:tr>
      <w:tr w14:paraId="530C86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8752" w:type="dxa"/>
            <w:gridSpan w:val="7"/>
            <w:tcBorders>
              <w:top w:val="single" w:color="000000" w:sz="4" w:space="0"/>
              <w:left w:val="single" w:color="000000" w:sz="4" w:space="0"/>
              <w:right w:val="single" w:color="000000" w:sz="4" w:space="0"/>
            </w:tcBorders>
            <w:vAlign w:val="top"/>
          </w:tcPr>
          <w:p w14:paraId="6C0DD8E9">
            <w:pPr>
              <w:pStyle w:val="6"/>
              <w:spacing w:before="198" w:line="228" w:lineRule="auto"/>
              <w:ind w:left="2991"/>
              <w:rPr>
                <w:sz w:val="19"/>
                <w:szCs w:val="19"/>
              </w:rPr>
            </w:pPr>
            <w:r>
              <w:rPr>
                <w:b/>
                <w:bCs/>
                <w:spacing w:val="6"/>
                <w:sz w:val="19"/>
                <w:szCs w:val="19"/>
              </w:rPr>
              <w:t>四、规费、税金项目符合性检查</w:t>
            </w:r>
          </w:p>
        </w:tc>
      </w:tr>
      <w:tr w14:paraId="72B5EC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189" w:type="dxa"/>
            <w:tcBorders>
              <w:left w:val="single" w:color="000000" w:sz="4" w:space="0"/>
            </w:tcBorders>
            <w:vAlign w:val="top"/>
          </w:tcPr>
          <w:p w14:paraId="0400E267">
            <w:pPr>
              <w:pStyle w:val="6"/>
              <w:spacing w:before="174" w:line="229" w:lineRule="auto"/>
              <w:ind w:left="199"/>
              <w:rPr>
                <w:sz w:val="19"/>
                <w:szCs w:val="19"/>
              </w:rPr>
            </w:pPr>
            <w:r>
              <w:rPr>
                <w:spacing w:val="7"/>
                <w:sz w:val="19"/>
                <w:szCs w:val="19"/>
              </w:rPr>
              <w:t>项目名称</w:t>
            </w:r>
          </w:p>
        </w:tc>
        <w:tc>
          <w:tcPr>
            <w:tcW w:w="1313" w:type="dxa"/>
            <w:tcBorders>
              <w:right w:val="single" w:color="000000" w:sz="4" w:space="0"/>
            </w:tcBorders>
            <w:vAlign w:val="top"/>
          </w:tcPr>
          <w:p w14:paraId="51DA42ED">
            <w:pPr>
              <w:pStyle w:val="6"/>
              <w:spacing w:before="44"/>
              <w:ind w:left="459" w:right="256" w:hanging="198"/>
              <w:rPr>
                <w:sz w:val="19"/>
                <w:szCs w:val="19"/>
              </w:rPr>
            </w:pPr>
            <w:r>
              <w:rPr>
                <w:spacing w:val="7"/>
                <w:sz w:val="19"/>
                <w:szCs w:val="19"/>
              </w:rPr>
              <w:t>项目名称</w:t>
            </w:r>
            <w:r>
              <w:rPr>
                <w:spacing w:val="5"/>
                <w:sz w:val="19"/>
                <w:szCs w:val="19"/>
              </w:rPr>
              <w:t>错误</w:t>
            </w:r>
          </w:p>
        </w:tc>
        <w:tc>
          <w:tcPr>
            <w:tcW w:w="1248" w:type="dxa"/>
            <w:tcBorders>
              <w:left w:val="single" w:color="000000" w:sz="4" w:space="0"/>
              <w:right w:val="single" w:color="000000" w:sz="4" w:space="0"/>
            </w:tcBorders>
            <w:vAlign w:val="top"/>
          </w:tcPr>
          <w:p w14:paraId="65D77502">
            <w:pPr>
              <w:pStyle w:val="6"/>
              <w:spacing w:before="44"/>
              <w:ind w:left="424" w:right="222" w:hanging="201"/>
              <w:rPr>
                <w:sz w:val="19"/>
                <w:szCs w:val="19"/>
              </w:rPr>
            </w:pPr>
            <w:r>
              <w:rPr>
                <w:spacing w:val="7"/>
                <w:sz w:val="19"/>
                <w:szCs w:val="19"/>
              </w:rPr>
              <w:t>计算基础</w:t>
            </w:r>
            <w:r>
              <w:rPr>
                <w:spacing w:val="5"/>
                <w:sz w:val="19"/>
                <w:szCs w:val="19"/>
              </w:rPr>
              <w:t>错误</w:t>
            </w:r>
          </w:p>
        </w:tc>
        <w:tc>
          <w:tcPr>
            <w:tcW w:w="1249" w:type="dxa"/>
            <w:tcBorders>
              <w:left w:val="single" w:color="000000" w:sz="4" w:space="0"/>
            </w:tcBorders>
            <w:vAlign w:val="top"/>
          </w:tcPr>
          <w:p w14:paraId="0C994DC7">
            <w:pPr>
              <w:pStyle w:val="6"/>
              <w:spacing w:before="31" w:line="234" w:lineRule="auto"/>
              <w:ind w:left="415" w:right="204" w:hanging="208"/>
            </w:pPr>
            <w:r>
              <w:rPr>
                <w:spacing w:val="7"/>
              </w:rPr>
              <w:t>计算基数</w:t>
            </w:r>
            <w:r>
              <w:rPr>
                <w:spacing w:val="4"/>
              </w:rPr>
              <w:t>错误</w:t>
            </w:r>
          </w:p>
        </w:tc>
        <w:tc>
          <w:tcPr>
            <w:tcW w:w="1248" w:type="dxa"/>
            <w:tcBorders>
              <w:right w:val="single" w:color="000000" w:sz="4" w:space="0"/>
            </w:tcBorders>
            <w:vAlign w:val="top"/>
          </w:tcPr>
          <w:p w14:paraId="1FF9FAE9">
            <w:pPr>
              <w:pStyle w:val="6"/>
              <w:spacing w:before="44"/>
              <w:ind w:left="431" w:right="152" w:hanging="274"/>
              <w:rPr>
                <w:sz w:val="19"/>
                <w:szCs w:val="19"/>
              </w:rPr>
            </w:pPr>
            <w:r>
              <w:rPr>
                <w:spacing w:val="2"/>
                <w:sz w:val="19"/>
                <w:szCs w:val="19"/>
              </w:rPr>
              <w:t>费率（</w:t>
            </w:r>
            <w:r>
              <w:rPr>
                <w:rFonts w:ascii="Times New Roman" w:hAnsi="Times New Roman" w:eastAsia="Times New Roman" w:cs="Times New Roman"/>
                <w:spacing w:val="2"/>
                <w:sz w:val="19"/>
                <w:szCs w:val="19"/>
              </w:rPr>
              <w:t>%</w:t>
            </w:r>
            <w:r>
              <w:rPr>
                <w:spacing w:val="2"/>
                <w:sz w:val="19"/>
                <w:szCs w:val="19"/>
              </w:rPr>
              <w:t>）</w:t>
            </w:r>
            <w:r>
              <w:rPr>
                <w:spacing w:val="5"/>
                <w:sz w:val="19"/>
                <w:szCs w:val="19"/>
              </w:rPr>
              <w:t>错误</w:t>
            </w:r>
          </w:p>
        </w:tc>
        <w:tc>
          <w:tcPr>
            <w:tcW w:w="1249" w:type="dxa"/>
            <w:tcBorders>
              <w:left w:val="single" w:color="000000" w:sz="4" w:space="0"/>
            </w:tcBorders>
            <w:vAlign w:val="top"/>
          </w:tcPr>
          <w:p w14:paraId="4A43D161">
            <w:pPr>
              <w:pStyle w:val="6"/>
              <w:spacing w:before="174" w:line="228" w:lineRule="auto"/>
              <w:ind w:left="334"/>
              <w:rPr>
                <w:sz w:val="19"/>
                <w:szCs w:val="19"/>
              </w:rPr>
            </w:pPr>
            <w:r>
              <w:rPr>
                <w:spacing w:val="6"/>
                <w:sz w:val="19"/>
                <w:szCs w:val="19"/>
              </w:rPr>
              <w:t>未填报</w:t>
            </w:r>
          </w:p>
        </w:tc>
        <w:tc>
          <w:tcPr>
            <w:tcW w:w="1256" w:type="dxa"/>
            <w:tcBorders>
              <w:right w:val="single" w:color="000000" w:sz="4" w:space="0"/>
            </w:tcBorders>
            <w:vAlign w:val="top"/>
          </w:tcPr>
          <w:p w14:paraId="5BB1787E">
            <w:pPr>
              <w:pStyle w:val="6"/>
              <w:spacing w:before="174" w:line="229" w:lineRule="auto"/>
              <w:ind w:left="442"/>
              <w:rPr>
                <w:sz w:val="19"/>
                <w:szCs w:val="19"/>
              </w:rPr>
            </w:pPr>
            <w:r>
              <w:rPr>
                <w:sz w:val="19"/>
                <w:szCs w:val="19"/>
              </w:rPr>
              <w:t>多项</w:t>
            </w:r>
          </w:p>
        </w:tc>
      </w:tr>
      <w:tr w14:paraId="7B90E4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7D19BFC3">
            <w:pPr>
              <w:rPr>
                <w:rFonts w:ascii="Arial"/>
                <w:sz w:val="21"/>
              </w:rPr>
            </w:pPr>
          </w:p>
        </w:tc>
        <w:tc>
          <w:tcPr>
            <w:tcW w:w="1313" w:type="dxa"/>
            <w:tcBorders>
              <w:right w:val="single" w:color="000000" w:sz="4" w:space="0"/>
            </w:tcBorders>
            <w:vAlign w:val="top"/>
          </w:tcPr>
          <w:p w14:paraId="4DF95FDA">
            <w:pPr>
              <w:rPr>
                <w:rFonts w:ascii="Arial"/>
                <w:sz w:val="21"/>
              </w:rPr>
            </w:pPr>
          </w:p>
        </w:tc>
        <w:tc>
          <w:tcPr>
            <w:tcW w:w="1248" w:type="dxa"/>
            <w:tcBorders>
              <w:left w:val="single" w:color="000000" w:sz="4" w:space="0"/>
              <w:right w:val="single" w:color="000000" w:sz="4" w:space="0"/>
            </w:tcBorders>
            <w:vAlign w:val="top"/>
          </w:tcPr>
          <w:p w14:paraId="0F1AA1EA">
            <w:pPr>
              <w:rPr>
                <w:rFonts w:ascii="Arial"/>
                <w:sz w:val="21"/>
              </w:rPr>
            </w:pPr>
          </w:p>
        </w:tc>
        <w:tc>
          <w:tcPr>
            <w:tcW w:w="1249" w:type="dxa"/>
            <w:tcBorders>
              <w:left w:val="single" w:color="000000" w:sz="4" w:space="0"/>
            </w:tcBorders>
            <w:vAlign w:val="top"/>
          </w:tcPr>
          <w:p w14:paraId="2B26F877">
            <w:pPr>
              <w:rPr>
                <w:rFonts w:ascii="Arial"/>
                <w:sz w:val="21"/>
              </w:rPr>
            </w:pPr>
          </w:p>
        </w:tc>
        <w:tc>
          <w:tcPr>
            <w:tcW w:w="1248" w:type="dxa"/>
            <w:tcBorders>
              <w:right w:val="single" w:color="000000" w:sz="4" w:space="0"/>
            </w:tcBorders>
            <w:vAlign w:val="top"/>
          </w:tcPr>
          <w:p w14:paraId="4DBDCA7C">
            <w:pPr>
              <w:rPr>
                <w:rFonts w:ascii="Arial"/>
                <w:sz w:val="21"/>
              </w:rPr>
            </w:pPr>
          </w:p>
        </w:tc>
        <w:tc>
          <w:tcPr>
            <w:tcW w:w="1249" w:type="dxa"/>
            <w:tcBorders>
              <w:left w:val="single" w:color="000000" w:sz="4" w:space="0"/>
            </w:tcBorders>
            <w:vAlign w:val="top"/>
          </w:tcPr>
          <w:p w14:paraId="5226D6A3">
            <w:pPr>
              <w:rPr>
                <w:rFonts w:ascii="Arial"/>
                <w:sz w:val="21"/>
              </w:rPr>
            </w:pPr>
          </w:p>
        </w:tc>
        <w:tc>
          <w:tcPr>
            <w:tcW w:w="1256" w:type="dxa"/>
            <w:tcBorders>
              <w:right w:val="single" w:color="000000" w:sz="4" w:space="0"/>
            </w:tcBorders>
            <w:vAlign w:val="top"/>
          </w:tcPr>
          <w:p w14:paraId="58DEE67E">
            <w:pPr>
              <w:rPr>
                <w:rFonts w:ascii="Arial"/>
                <w:sz w:val="21"/>
              </w:rPr>
            </w:pPr>
          </w:p>
        </w:tc>
      </w:tr>
      <w:tr w14:paraId="762E90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0B42BEF1">
            <w:pPr>
              <w:rPr>
                <w:rFonts w:ascii="Arial"/>
                <w:sz w:val="21"/>
              </w:rPr>
            </w:pPr>
          </w:p>
        </w:tc>
        <w:tc>
          <w:tcPr>
            <w:tcW w:w="1313" w:type="dxa"/>
            <w:tcBorders>
              <w:right w:val="single" w:color="000000" w:sz="4" w:space="0"/>
            </w:tcBorders>
            <w:vAlign w:val="top"/>
          </w:tcPr>
          <w:p w14:paraId="21A0BCD7">
            <w:pPr>
              <w:rPr>
                <w:rFonts w:ascii="Arial"/>
                <w:sz w:val="21"/>
              </w:rPr>
            </w:pPr>
          </w:p>
        </w:tc>
        <w:tc>
          <w:tcPr>
            <w:tcW w:w="1248" w:type="dxa"/>
            <w:tcBorders>
              <w:left w:val="single" w:color="000000" w:sz="4" w:space="0"/>
              <w:right w:val="single" w:color="000000" w:sz="4" w:space="0"/>
            </w:tcBorders>
            <w:vAlign w:val="top"/>
          </w:tcPr>
          <w:p w14:paraId="716D13EE">
            <w:pPr>
              <w:rPr>
                <w:rFonts w:ascii="Arial"/>
                <w:sz w:val="21"/>
              </w:rPr>
            </w:pPr>
          </w:p>
        </w:tc>
        <w:tc>
          <w:tcPr>
            <w:tcW w:w="1249" w:type="dxa"/>
            <w:tcBorders>
              <w:left w:val="single" w:color="000000" w:sz="4" w:space="0"/>
            </w:tcBorders>
            <w:vAlign w:val="top"/>
          </w:tcPr>
          <w:p w14:paraId="22FE41C8">
            <w:pPr>
              <w:rPr>
                <w:rFonts w:ascii="Arial"/>
                <w:sz w:val="21"/>
              </w:rPr>
            </w:pPr>
          </w:p>
        </w:tc>
        <w:tc>
          <w:tcPr>
            <w:tcW w:w="1248" w:type="dxa"/>
            <w:tcBorders>
              <w:right w:val="single" w:color="000000" w:sz="4" w:space="0"/>
            </w:tcBorders>
            <w:vAlign w:val="top"/>
          </w:tcPr>
          <w:p w14:paraId="64680A57">
            <w:pPr>
              <w:rPr>
                <w:rFonts w:ascii="Arial"/>
                <w:sz w:val="21"/>
              </w:rPr>
            </w:pPr>
          </w:p>
        </w:tc>
        <w:tc>
          <w:tcPr>
            <w:tcW w:w="1249" w:type="dxa"/>
            <w:tcBorders>
              <w:left w:val="single" w:color="000000" w:sz="4" w:space="0"/>
            </w:tcBorders>
            <w:vAlign w:val="top"/>
          </w:tcPr>
          <w:p w14:paraId="39B413F9">
            <w:pPr>
              <w:rPr>
                <w:rFonts w:ascii="Arial"/>
                <w:sz w:val="21"/>
              </w:rPr>
            </w:pPr>
          </w:p>
        </w:tc>
        <w:tc>
          <w:tcPr>
            <w:tcW w:w="1256" w:type="dxa"/>
            <w:tcBorders>
              <w:right w:val="single" w:color="000000" w:sz="4" w:space="0"/>
            </w:tcBorders>
            <w:vAlign w:val="top"/>
          </w:tcPr>
          <w:p w14:paraId="7E29D15B">
            <w:pPr>
              <w:rPr>
                <w:rFonts w:ascii="Arial"/>
                <w:sz w:val="21"/>
              </w:rPr>
            </w:pPr>
          </w:p>
        </w:tc>
      </w:tr>
      <w:tr w14:paraId="0CCD1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58B5974B">
            <w:pPr>
              <w:rPr>
                <w:rFonts w:ascii="Arial"/>
                <w:sz w:val="21"/>
              </w:rPr>
            </w:pPr>
          </w:p>
        </w:tc>
        <w:tc>
          <w:tcPr>
            <w:tcW w:w="1313" w:type="dxa"/>
            <w:tcBorders>
              <w:right w:val="single" w:color="000000" w:sz="4" w:space="0"/>
            </w:tcBorders>
            <w:vAlign w:val="top"/>
          </w:tcPr>
          <w:p w14:paraId="6485F9ED">
            <w:pPr>
              <w:rPr>
                <w:rFonts w:ascii="Arial"/>
                <w:sz w:val="21"/>
              </w:rPr>
            </w:pPr>
          </w:p>
        </w:tc>
        <w:tc>
          <w:tcPr>
            <w:tcW w:w="1248" w:type="dxa"/>
            <w:tcBorders>
              <w:left w:val="single" w:color="000000" w:sz="4" w:space="0"/>
              <w:right w:val="single" w:color="000000" w:sz="4" w:space="0"/>
            </w:tcBorders>
            <w:vAlign w:val="top"/>
          </w:tcPr>
          <w:p w14:paraId="248A6C43">
            <w:pPr>
              <w:rPr>
                <w:rFonts w:ascii="Arial"/>
                <w:sz w:val="21"/>
              </w:rPr>
            </w:pPr>
          </w:p>
        </w:tc>
        <w:tc>
          <w:tcPr>
            <w:tcW w:w="1249" w:type="dxa"/>
            <w:tcBorders>
              <w:left w:val="single" w:color="000000" w:sz="4" w:space="0"/>
            </w:tcBorders>
            <w:vAlign w:val="top"/>
          </w:tcPr>
          <w:p w14:paraId="62CC9201">
            <w:pPr>
              <w:rPr>
                <w:rFonts w:ascii="Arial"/>
                <w:sz w:val="21"/>
              </w:rPr>
            </w:pPr>
          </w:p>
        </w:tc>
        <w:tc>
          <w:tcPr>
            <w:tcW w:w="1248" w:type="dxa"/>
            <w:tcBorders>
              <w:right w:val="single" w:color="000000" w:sz="4" w:space="0"/>
            </w:tcBorders>
            <w:vAlign w:val="top"/>
          </w:tcPr>
          <w:p w14:paraId="093C96D3">
            <w:pPr>
              <w:rPr>
                <w:rFonts w:ascii="Arial"/>
                <w:sz w:val="21"/>
              </w:rPr>
            </w:pPr>
          </w:p>
        </w:tc>
        <w:tc>
          <w:tcPr>
            <w:tcW w:w="1249" w:type="dxa"/>
            <w:tcBorders>
              <w:left w:val="single" w:color="000000" w:sz="4" w:space="0"/>
            </w:tcBorders>
            <w:vAlign w:val="top"/>
          </w:tcPr>
          <w:p w14:paraId="7CF03CFD">
            <w:pPr>
              <w:rPr>
                <w:rFonts w:ascii="Arial"/>
                <w:sz w:val="21"/>
              </w:rPr>
            </w:pPr>
          </w:p>
        </w:tc>
        <w:tc>
          <w:tcPr>
            <w:tcW w:w="1256" w:type="dxa"/>
            <w:tcBorders>
              <w:right w:val="single" w:color="000000" w:sz="4" w:space="0"/>
            </w:tcBorders>
            <w:vAlign w:val="top"/>
          </w:tcPr>
          <w:p w14:paraId="6E0C2298">
            <w:pPr>
              <w:rPr>
                <w:rFonts w:ascii="Arial"/>
                <w:sz w:val="21"/>
              </w:rPr>
            </w:pPr>
          </w:p>
        </w:tc>
      </w:tr>
      <w:tr w14:paraId="1B3EB2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2F4001DA">
            <w:pPr>
              <w:rPr>
                <w:rFonts w:ascii="Arial"/>
                <w:sz w:val="21"/>
              </w:rPr>
            </w:pPr>
          </w:p>
        </w:tc>
        <w:tc>
          <w:tcPr>
            <w:tcW w:w="1313" w:type="dxa"/>
            <w:tcBorders>
              <w:right w:val="single" w:color="000000" w:sz="4" w:space="0"/>
            </w:tcBorders>
            <w:vAlign w:val="top"/>
          </w:tcPr>
          <w:p w14:paraId="183220B6">
            <w:pPr>
              <w:rPr>
                <w:rFonts w:ascii="Arial"/>
                <w:sz w:val="21"/>
              </w:rPr>
            </w:pPr>
          </w:p>
        </w:tc>
        <w:tc>
          <w:tcPr>
            <w:tcW w:w="1248" w:type="dxa"/>
            <w:tcBorders>
              <w:left w:val="single" w:color="000000" w:sz="4" w:space="0"/>
              <w:right w:val="single" w:color="000000" w:sz="4" w:space="0"/>
            </w:tcBorders>
            <w:vAlign w:val="top"/>
          </w:tcPr>
          <w:p w14:paraId="7F49955A">
            <w:pPr>
              <w:rPr>
                <w:rFonts w:ascii="Arial"/>
                <w:sz w:val="21"/>
              </w:rPr>
            </w:pPr>
          </w:p>
        </w:tc>
        <w:tc>
          <w:tcPr>
            <w:tcW w:w="1249" w:type="dxa"/>
            <w:tcBorders>
              <w:left w:val="single" w:color="000000" w:sz="4" w:space="0"/>
            </w:tcBorders>
            <w:vAlign w:val="top"/>
          </w:tcPr>
          <w:p w14:paraId="79BC57A5">
            <w:pPr>
              <w:rPr>
                <w:rFonts w:ascii="Arial"/>
                <w:sz w:val="21"/>
              </w:rPr>
            </w:pPr>
          </w:p>
        </w:tc>
        <w:tc>
          <w:tcPr>
            <w:tcW w:w="1248" w:type="dxa"/>
            <w:tcBorders>
              <w:right w:val="single" w:color="000000" w:sz="4" w:space="0"/>
            </w:tcBorders>
            <w:vAlign w:val="top"/>
          </w:tcPr>
          <w:p w14:paraId="5C424D71">
            <w:pPr>
              <w:rPr>
                <w:rFonts w:ascii="Arial"/>
                <w:sz w:val="21"/>
              </w:rPr>
            </w:pPr>
          </w:p>
        </w:tc>
        <w:tc>
          <w:tcPr>
            <w:tcW w:w="1249" w:type="dxa"/>
            <w:tcBorders>
              <w:left w:val="single" w:color="000000" w:sz="4" w:space="0"/>
            </w:tcBorders>
            <w:vAlign w:val="top"/>
          </w:tcPr>
          <w:p w14:paraId="40472C70">
            <w:pPr>
              <w:rPr>
                <w:rFonts w:ascii="Arial"/>
                <w:sz w:val="21"/>
              </w:rPr>
            </w:pPr>
          </w:p>
        </w:tc>
        <w:tc>
          <w:tcPr>
            <w:tcW w:w="1256" w:type="dxa"/>
            <w:tcBorders>
              <w:right w:val="single" w:color="000000" w:sz="4" w:space="0"/>
            </w:tcBorders>
            <w:vAlign w:val="top"/>
          </w:tcPr>
          <w:p w14:paraId="53AD1BAD">
            <w:pPr>
              <w:rPr>
                <w:rFonts w:ascii="Arial"/>
                <w:sz w:val="21"/>
              </w:rPr>
            </w:pPr>
          </w:p>
        </w:tc>
      </w:tr>
      <w:tr w14:paraId="5A6B32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0E297A4B">
            <w:pPr>
              <w:rPr>
                <w:rFonts w:ascii="Arial"/>
                <w:sz w:val="21"/>
              </w:rPr>
            </w:pPr>
          </w:p>
        </w:tc>
        <w:tc>
          <w:tcPr>
            <w:tcW w:w="1313" w:type="dxa"/>
            <w:tcBorders>
              <w:right w:val="single" w:color="000000" w:sz="4" w:space="0"/>
            </w:tcBorders>
            <w:vAlign w:val="top"/>
          </w:tcPr>
          <w:p w14:paraId="7A205F71">
            <w:pPr>
              <w:rPr>
                <w:rFonts w:ascii="Arial"/>
                <w:sz w:val="21"/>
              </w:rPr>
            </w:pPr>
          </w:p>
        </w:tc>
        <w:tc>
          <w:tcPr>
            <w:tcW w:w="1248" w:type="dxa"/>
            <w:tcBorders>
              <w:left w:val="single" w:color="000000" w:sz="4" w:space="0"/>
              <w:right w:val="single" w:color="000000" w:sz="4" w:space="0"/>
            </w:tcBorders>
            <w:vAlign w:val="top"/>
          </w:tcPr>
          <w:p w14:paraId="33E49AB1">
            <w:pPr>
              <w:rPr>
                <w:rFonts w:ascii="Arial"/>
                <w:sz w:val="21"/>
              </w:rPr>
            </w:pPr>
          </w:p>
        </w:tc>
        <w:tc>
          <w:tcPr>
            <w:tcW w:w="1249" w:type="dxa"/>
            <w:tcBorders>
              <w:left w:val="single" w:color="000000" w:sz="4" w:space="0"/>
            </w:tcBorders>
            <w:vAlign w:val="top"/>
          </w:tcPr>
          <w:p w14:paraId="77C64C97">
            <w:pPr>
              <w:rPr>
                <w:rFonts w:ascii="Arial"/>
                <w:sz w:val="21"/>
              </w:rPr>
            </w:pPr>
          </w:p>
        </w:tc>
        <w:tc>
          <w:tcPr>
            <w:tcW w:w="1248" w:type="dxa"/>
            <w:tcBorders>
              <w:right w:val="single" w:color="000000" w:sz="4" w:space="0"/>
            </w:tcBorders>
            <w:vAlign w:val="top"/>
          </w:tcPr>
          <w:p w14:paraId="6F22EC60">
            <w:pPr>
              <w:rPr>
                <w:rFonts w:ascii="Arial"/>
                <w:sz w:val="21"/>
              </w:rPr>
            </w:pPr>
          </w:p>
        </w:tc>
        <w:tc>
          <w:tcPr>
            <w:tcW w:w="1249" w:type="dxa"/>
            <w:tcBorders>
              <w:left w:val="single" w:color="000000" w:sz="4" w:space="0"/>
            </w:tcBorders>
            <w:vAlign w:val="top"/>
          </w:tcPr>
          <w:p w14:paraId="00C9F0DD">
            <w:pPr>
              <w:rPr>
                <w:rFonts w:ascii="Arial"/>
                <w:sz w:val="21"/>
              </w:rPr>
            </w:pPr>
          </w:p>
        </w:tc>
        <w:tc>
          <w:tcPr>
            <w:tcW w:w="1256" w:type="dxa"/>
            <w:tcBorders>
              <w:right w:val="single" w:color="000000" w:sz="4" w:space="0"/>
            </w:tcBorders>
            <w:vAlign w:val="top"/>
          </w:tcPr>
          <w:p w14:paraId="26F6EF00">
            <w:pPr>
              <w:rPr>
                <w:rFonts w:ascii="Arial"/>
                <w:sz w:val="21"/>
              </w:rPr>
            </w:pPr>
          </w:p>
        </w:tc>
      </w:tr>
      <w:tr w14:paraId="2A13F4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4BBA2359">
            <w:pPr>
              <w:rPr>
                <w:rFonts w:ascii="Arial"/>
                <w:sz w:val="21"/>
              </w:rPr>
            </w:pPr>
          </w:p>
        </w:tc>
        <w:tc>
          <w:tcPr>
            <w:tcW w:w="1313" w:type="dxa"/>
            <w:tcBorders>
              <w:right w:val="single" w:color="000000" w:sz="4" w:space="0"/>
            </w:tcBorders>
            <w:vAlign w:val="top"/>
          </w:tcPr>
          <w:p w14:paraId="447A192D">
            <w:pPr>
              <w:rPr>
                <w:rFonts w:ascii="Arial"/>
                <w:sz w:val="21"/>
              </w:rPr>
            </w:pPr>
          </w:p>
        </w:tc>
        <w:tc>
          <w:tcPr>
            <w:tcW w:w="1248" w:type="dxa"/>
            <w:tcBorders>
              <w:left w:val="single" w:color="000000" w:sz="4" w:space="0"/>
              <w:right w:val="single" w:color="000000" w:sz="4" w:space="0"/>
            </w:tcBorders>
            <w:vAlign w:val="top"/>
          </w:tcPr>
          <w:p w14:paraId="535CDFC1">
            <w:pPr>
              <w:rPr>
                <w:rFonts w:ascii="Arial"/>
                <w:sz w:val="21"/>
              </w:rPr>
            </w:pPr>
          </w:p>
        </w:tc>
        <w:tc>
          <w:tcPr>
            <w:tcW w:w="1249" w:type="dxa"/>
            <w:tcBorders>
              <w:left w:val="single" w:color="000000" w:sz="4" w:space="0"/>
            </w:tcBorders>
            <w:vAlign w:val="top"/>
          </w:tcPr>
          <w:p w14:paraId="6CAEAC94">
            <w:pPr>
              <w:rPr>
                <w:rFonts w:ascii="Arial"/>
                <w:sz w:val="21"/>
              </w:rPr>
            </w:pPr>
          </w:p>
        </w:tc>
        <w:tc>
          <w:tcPr>
            <w:tcW w:w="1248" w:type="dxa"/>
            <w:tcBorders>
              <w:right w:val="single" w:color="000000" w:sz="4" w:space="0"/>
            </w:tcBorders>
            <w:vAlign w:val="top"/>
          </w:tcPr>
          <w:p w14:paraId="7B83F840">
            <w:pPr>
              <w:rPr>
                <w:rFonts w:ascii="Arial"/>
                <w:sz w:val="21"/>
              </w:rPr>
            </w:pPr>
          </w:p>
        </w:tc>
        <w:tc>
          <w:tcPr>
            <w:tcW w:w="1249" w:type="dxa"/>
            <w:tcBorders>
              <w:left w:val="single" w:color="000000" w:sz="4" w:space="0"/>
            </w:tcBorders>
            <w:vAlign w:val="top"/>
          </w:tcPr>
          <w:p w14:paraId="1BECB5BE">
            <w:pPr>
              <w:rPr>
                <w:rFonts w:ascii="Arial"/>
                <w:sz w:val="21"/>
              </w:rPr>
            </w:pPr>
          </w:p>
        </w:tc>
        <w:tc>
          <w:tcPr>
            <w:tcW w:w="1256" w:type="dxa"/>
            <w:tcBorders>
              <w:right w:val="single" w:color="000000" w:sz="4" w:space="0"/>
            </w:tcBorders>
            <w:vAlign w:val="top"/>
          </w:tcPr>
          <w:p w14:paraId="2BB69DD0">
            <w:pPr>
              <w:rPr>
                <w:rFonts w:ascii="Arial"/>
                <w:sz w:val="21"/>
              </w:rPr>
            </w:pPr>
          </w:p>
        </w:tc>
      </w:tr>
      <w:tr w14:paraId="763E0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1ECE7907">
            <w:pPr>
              <w:rPr>
                <w:rFonts w:ascii="Arial"/>
                <w:sz w:val="21"/>
              </w:rPr>
            </w:pPr>
          </w:p>
        </w:tc>
        <w:tc>
          <w:tcPr>
            <w:tcW w:w="1313" w:type="dxa"/>
            <w:tcBorders>
              <w:right w:val="single" w:color="000000" w:sz="4" w:space="0"/>
            </w:tcBorders>
            <w:vAlign w:val="top"/>
          </w:tcPr>
          <w:p w14:paraId="2118854E">
            <w:pPr>
              <w:rPr>
                <w:rFonts w:ascii="Arial"/>
                <w:sz w:val="21"/>
              </w:rPr>
            </w:pPr>
          </w:p>
        </w:tc>
        <w:tc>
          <w:tcPr>
            <w:tcW w:w="1248" w:type="dxa"/>
            <w:tcBorders>
              <w:left w:val="single" w:color="000000" w:sz="4" w:space="0"/>
              <w:right w:val="single" w:color="000000" w:sz="4" w:space="0"/>
            </w:tcBorders>
            <w:vAlign w:val="top"/>
          </w:tcPr>
          <w:p w14:paraId="25746FCE">
            <w:pPr>
              <w:rPr>
                <w:rFonts w:ascii="Arial"/>
                <w:sz w:val="21"/>
              </w:rPr>
            </w:pPr>
          </w:p>
        </w:tc>
        <w:tc>
          <w:tcPr>
            <w:tcW w:w="1249" w:type="dxa"/>
            <w:tcBorders>
              <w:left w:val="single" w:color="000000" w:sz="4" w:space="0"/>
            </w:tcBorders>
            <w:vAlign w:val="top"/>
          </w:tcPr>
          <w:p w14:paraId="682AAA18">
            <w:pPr>
              <w:rPr>
                <w:rFonts w:ascii="Arial"/>
                <w:sz w:val="21"/>
              </w:rPr>
            </w:pPr>
          </w:p>
        </w:tc>
        <w:tc>
          <w:tcPr>
            <w:tcW w:w="1248" w:type="dxa"/>
            <w:tcBorders>
              <w:right w:val="single" w:color="000000" w:sz="4" w:space="0"/>
            </w:tcBorders>
            <w:vAlign w:val="top"/>
          </w:tcPr>
          <w:p w14:paraId="19C9DA1E">
            <w:pPr>
              <w:rPr>
                <w:rFonts w:ascii="Arial"/>
                <w:sz w:val="21"/>
              </w:rPr>
            </w:pPr>
          </w:p>
        </w:tc>
        <w:tc>
          <w:tcPr>
            <w:tcW w:w="1249" w:type="dxa"/>
            <w:tcBorders>
              <w:left w:val="single" w:color="000000" w:sz="4" w:space="0"/>
            </w:tcBorders>
            <w:vAlign w:val="top"/>
          </w:tcPr>
          <w:p w14:paraId="5A20E07D">
            <w:pPr>
              <w:rPr>
                <w:rFonts w:ascii="Arial"/>
                <w:sz w:val="21"/>
              </w:rPr>
            </w:pPr>
          </w:p>
        </w:tc>
        <w:tc>
          <w:tcPr>
            <w:tcW w:w="1256" w:type="dxa"/>
            <w:tcBorders>
              <w:right w:val="single" w:color="000000" w:sz="4" w:space="0"/>
            </w:tcBorders>
            <w:vAlign w:val="top"/>
          </w:tcPr>
          <w:p w14:paraId="675B98C4">
            <w:pPr>
              <w:rPr>
                <w:rFonts w:ascii="Arial"/>
                <w:sz w:val="21"/>
              </w:rPr>
            </w:pPr>
          </w:p>
        </w:tc>
      </w:tr>
      <w:tr w14:paraId="0CFA30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189" w:type="dxa"/>
            <w:tcBorders>
              <w:left w:val="single" w:color="000000" w:sz="4" w:space="0"/>
              <w:bottom w:val="single" w:color="000000" w:sz="4" w:space="0"/>
            </w:tcBorders>
            <w:vAlign w:val="top"/>
          </w:tcPr>
          <w:p w14:paraId="7119BB79">
            <w:pPr>
              <w:rPr>
                <w:rFonts w:ascii="Arial"/>
                <w:sz w:val="21"/>
              </w:rPr>
            </w:pPr>
          </w:p>
        </w:tc>
        <w:tc>
          <w:tcPr>
            <w:tcW w:w="1313" w:type="dxa"/>
            <w:tcBorders>
              <w:bottom w:val="single" w:color="000000" w:sz="4" w:space="0"/>
              <w:right w:val="single" w:color="000000" w:sz="4" w:space="0"/>
            </w:tcBorders>
            <w:vAlign w:val="top"/>
          </w:tcPr>
          <w:p w14:paraId="28529CAE">
            <w:pPr>
              <w:rPr>
                <w:rFonts w:ascii="Arial"/>
                <w:sz w:val="21"/>
              </w:rPr>
            </w:pPr>
          </w:p>
        </w:tc>
        <w:tc>
          <w:tcPr>
            <w:tcW w:w="1248" w:type="dxa"/>
            <w:tcBorders>
              <w:left w:val="single" w:color="000000" w:sz="4" w:space="0"/>
              <w:bottom w:val="single" w:color="000000" w:sz="4" w:space="0"/>
              <w:right w:val="single" w:color="000000" w:sz="4" w:space="0"/>
            </w:tcBorders>
            <w:vAlign w:val="top"/>
          </w:tcPr>
          <w:p w14:paraId="5752B1D6">
            <w:pPr>
              <w:rPr>
                <w:rFonts w:ascii="Arial"/>
                <w:sz w:val="21"/>
              </w:rPr>
            </w:pPr>
          </w:p>
        </w:tc>
        <w:tc>
          <w:tcPr>
            <w:tcW w:w="1249" w:type="dxa"/>
            <w:tcBorders>
              <w:left w:val="single" w:color="000000" w:sz="4" w:space="0"/>
              <w:bottom w:val="single" w:color="000000" w:sz="4" w:space="0"/>
            </w:tcBorders>
            <w:vAlign w:val="top"/>
          </w:tcPr>
          <w:p w14:paraId="523C1FB7">
            <w:pPr>
              <w:rPr>
                <w:rFonts w:ascii="Arial"/>
                <w:sz w:val="21"/>
              </w:rPr>
            </w:pPr>
          </w:p>
        </w:tc>
        <w:tc>
          <w:tcPr>
            <w:tcW w:w="1248" w:type="dxa"/>
            <w:tcBorders>
              <w:bottom w:val="single" w:color="000000" w:sz="4" w:space="0"/>
              <w:right w:val="single" w:color="000000" w:sz="4" w:space="0"/>
            </w:tcBorders>
            <w:vAlign w:val="top"/>
          </w:tcPr>
          <w:p w14:paraId="71100AB2">
            <w:pPr>
              <w:rPr>
                <w:rFonts w:ascii="Arial"/>
                <w:sz w:val="21"/>
              </w:rPr>
            </w:pPr>
          </w:p>
        </w:tc>
        <w:tc>
          <w:tcPr>
            <w:tcW w:w="1249" w:type="dxa"/>
            <w:tcBorders>
              <w:left w:val="single" w:color="000000" w:sz="4" w:space="0"/>
              <w:bottom w:val="single" w:color="000000" w:sz="4" w:space="0"/>
            </w:tcBorders>
            <w:vAlign w:val="top"/>
          </w:tcPr>
          <w:p w14:paraId="7594A99A">
            <w:pPr>
              <w:rPr>
                <w:rFonts w:ascii="Arial"/>
                <w:sz w:val="21"/>
              </w:rPr>
            </w:pPr>
          </w:p>
        </w:tc>
        <w:tc>
          <w:tcPr>
            <w:tcW w:w="1256" w:type="dxa"/>
            <w:tcBorders>
              <w:bottom w:val="single" w:color="000000" w:sz="4" w:space="0"/>
              <w:right w:val="single" w:color="000000" w:sz="4" w:space="0"/>
            </w:tcBorders>
            <w:vAlign w:val="top"/>
          </w:tcPr>
          <w:p w14:paraId="739F4D9E">
            <w:pPr>
              <w:rPr>
                <w:rFonts w:ascii="Arial"/>
                <w:sz w:val="21"/>
              </w:rPr>
            </w:pPr>
          </w:p>
        </w:tc>
      </w:tr>
    </w:tbl>
    <w:p w14:paraId="6D23DCB1">
      <w:pPr>
        <w:spacing w:line="308" w:lineRule="auto"/>
        <w:rPr>
          <w:rFonts w:ascii="Arial"/>
          <w:sz w:val="21"/>
        </w:rPr>
      </w:pPr>
    </w:p>
    <w:p w14:paraId="04040DAD">
      <w:pPr>
        <w:spacing w:line="309" w:lineRule="auto"/>
        <w:rPr>
          <w:rFonts w:ascii="Arial"/>
          <w:sz w:val="21"/>
        </w:rPr>
      </w:pPr>
    </w:p>
    <w:p w14:paraId="1E9B4E86">
      <w:pPr>
        <w:spacing w:line="309" w:lineRule="auto"/>
        <w:rPr>
          <w:rFonts w:ascii="Arial"/>
          <w:sz w:val="21"/>
        </w:rPr>
      </w:pPr>
    </w:p>
    <w:p w14:paraId="62670960">
      <w:pPr>
        <w:spacing w:before="65" w:line="227" w:lineRule="auto"/>
        <w:jc w:val="right"/>
        <w:rPr>
          <w:rFonts w:ascii="宋体" w:hAnsi="宋体" w:eastAsia="宋体" w:cs="宋体"/>
          <w:sz w:val="20"/>
          <w:szCs w:val="20"/>
        </w:rPr>
      </w:pPr>
      <w:r>
        <w:rPr>
          <w:rFonts w:ascii="宋体" w:hAnsi="宋体" w:eastAsia="宋体" w:cs="宋体"/>
          <w:spacing w:val="-2"/>
          <w:sz w:val="20"/>
          <w:szCs w:val="20"/>
        </w:rPr>
        <w:t>评标委员会成员签名：</w:t>
      </w:r>
      <w:r>
        <w:rPr>
          <w:rFonts w:ascii="宋体" w:hAnsi="宋体" w:eastAsia="宋体" w:cs="宋体"/>
          <w:spacing w:val="1"/>
          <w:sz w:val="20"/>
          <w:szCs w:val="20"/>
        </w:rPr>
        <w:t xml:space="preserve">                                       </w:t>
      </w:r>
      <w:r>
        <w:rPr>
          <w:rFonts w:ascii="宋体" w:hAnsi="宋体" w:eastAsia="宋体" w:cs="宋体"/>
          <w:spacing w:val="-2"/>
          <w:sz w:val="20"/>
          <w:szCs w:val="20"/>
        </w:rPr>
        <w:t>日期</w:t>
      </w:r>
      <w:r>
        <w:rPr>
          <w:rFonts w:ascii="宋体" w:hAnsi="宋体" w:eastAsia="宋体" w:cs="宋体"/>
          <w:spacing w:val="-45"/>
          <w:sz w:val="20"/>
          <w:szCs w:val="20"/>
        </w:rPr>
        <w:t xml:space="preserve"> </w:t>
      </w:r>
      <w:r>
        <w:rPr>
          <w:rFonts w:ascii="宋体" w:hAnsi="宋体" w:eastAsia="宋体" w:cs="宋体"/>
          <w:spacing w:val="-2"/>
          <w:sz w:val="20"/>
          <w:szCs w:val="20"/>
        </w:rPr>
        <w:t>:</w:t>
      </w:r>
      <w:r>
        <w:rPr>
          <w:rFonts w:ascii="宋体" w:hAnsi="宋体" w:eastAsia="宋体" w:cs="宋体"/>
          <w:spacing w:val="6"/>
          <w:sz w:val="20"/>
          <w:szCs w:val="20"/>
        </w:rPr>
        <w:t xml:space="preserve">     </w:t>
      </w:r>
      <w:r>
        <w:rPr>
          <w:rFonts w:ascii="宋体" w:hAnsi="宋体" w:eastAsia="宋体" w:cs="宋体"/>
          <w:spacing w:val="-2"/>
          <w:sz w:val="20"/>
          <w:szCs w:val="20"/>
        </w:rPr>
        <w:t>年</w:t>
      </w:r>
      <w:r>
        <w:rPr>
          <w:rFonts w:ascii="宋体" w:hAnsi="宋体" w:eastAsia="宋体" w:cs="宋体"/>
          <w:spacing w:val="8"/>
          <w:sz w:val="20"/>
          <w:szCs w:val="20"/>
        </w:rPr>
        <w:t xml:space="preserve">     </w:t>
      </w:r>
      <w:r>
        <w:rPr>
          <w:rFonts w:ascii="宋体" w:hAnsi="宋体" w:eastAsia="宋体" w:cs="宋体"/>
          <w:spacing w:val="-2"/>
          <w:sz w:val="20"/>
          <w:szCs w:val="20"/>
        </w:rPr>
        <w:t>月</w:t>
      </w:r>
      <w:r>
        <w:rPr>
          <w:rFonts w:ascii="宋体" w:hAnsi="宋体" w:eastAsia="宋体" w:cs="宋体"/>
          <w:spacing w:val="14"/>
          <w:sz w:val="20"/>
          <w:szCs w:val="20"/>
        </w:rPr>
        <w:t xml:space="preserve">     </w:t>
      </w:r>
      <w:r>
        <w:rPr>
          <w:rFonts w:ascii="宋体" w:hAnsi="宋体" w:eastAsia="宋体" w:cs="宋体"/>
          <w:spacing w:val="-2"/>
          <w:sz w:val="20"/>
          <w:szCs w:val="20"/>
        </w:rPr>
        <w:t>日</w:t>
      </w:r>
    </w:p>
    <w:p w14:paraId="4E628518">
      <w:pPr>
        <w:spacing w:line="227" w:lineRule="auto"/>
        <w:rPr>
          <w:rFonts w:ascii="宋体" w:hAnsi="宋体" w:eastAsia="宋体" w:cs="宋体"/>
          <w:sz w:val="20"/>
          <w:szCs w:val="20"/>
        </w:rPr>
        <w:sectPr>
          <w:footerReference r:id="rId149" w:type="default"/>
          <w:pgSz w:w="11907" w:h="16840"/>
          <w:pgMar w:top="400" w:right="1600" w:bottom="1038" w:left="1484" w:header="0" w:footer="785" w:gutter="0"/>
          <w:cols w:space="720" w:num="1"/>
        </w:sectPr>
      </w:pPr>
    </w:p>
    <w:p w14:paraId="242D16C7">
      <w:pPr>
        <w:spacing w:line="265" w:lineRule="auto"/>
        <w:rPr>
          <w:rFonts w:ascii="Arial"/>
          <w:sz w:val="21"/>
        </w:rPr>
      </w:pPr>
    </w:p>
    <w:p w14:paraId="6058079E">
      <w:pPr>
        <w:spacing w:line="266" w:lineRule="auto"/>
        <w:rPr>
          <w:rFonts w:ascii="Arial"/>
          <w:sz w:val="21"/>
        </w:rPr>
      </w:pPr>
    </w:p>
    <w:p w14:paraId="3CBBCBA9">
      <w:pPr>
        <w:spacing w:line="266" w:lineRule="auto"/>
        <w:rPr>
          <w:rFonts w:ascii="Arial"/>
          <w:sz w:val="21"/>
        </w:rPr>
      </w:pPr>
    </w:p>
    <w:p w14:paraId="0F17ED48">
      <w:pPr>
        <w:spacing w:line="266" w:lineRule="auto"/>
        <w:rPr>
          <w:rFonts w:ascii="Arial"/>
          <w:sz w:val="21"/>
        </w:rPr>
      </w:pPr>
    </w:p>
    <w:p w14:paraId="5AA37DAB">
      <w:pPr>
        <w:spacing w:line="266" w:lineRule="auto"/>
        <w:rPr>
          <w:rFonts w:ascii="Arial"/>
          <w:sz w:val="21"/>
        </w:rPr>
      </w:pPr>
    </w:p>
    <w:p w14:paraId="6266ED0C">
      <w:pPr>
        <w:pStyle w:val="2"/>
        <w:spacing w:before="78" w:line="221" w:lineRule="auto"/>
        <w:ind w:left="11"/>
        <w:outlineLvl w:val="1"/>
        <w:rPr>
          <w:sz w:val="24"/>
          <w:szCs w:val="24"/>
        </w:rPr>
      </w:pPr>
      <w:r>
        <w:rPr>
          <w:spacing w:val="-3"/>
          <w:sz w:val="24"/>
          <w:szCs w:val="24"/>
        </w:rPr>
        <w:t>附表</w:t>
      </w:r>
      <w:r>
        <w:rPr>
          <w:spacing w:val="-46"/>
          <w:sz w:val="24"/>
          <w:szCs w:val="24"/>
        </w:rPr>
        <w:t xml:space="preserve"> </w:t>
      </w:r>
      <w:r>
        <w:rPr>
          <w:rFonts w:ascii="Times New Roman" w:hAnsi="Times New Roman" w:eastAsia="Times New Roman" w:cs="Times New Roman"/>
          <w:spacing w:val="-3"/>
          <w:sz w:val="24"/>
          <w:szCs w:val="24"/>
        </w:rPr>
        <w:t>C-5</w:t>
      </w:r>
      <w:r>
        <w:rPr>
          <w:rFonts w:ascii="Times New Roman" w:hAnsi="Times New Roman" w:eastAsia="Times New Roman" w:cs="Times New Roman"/>
          <w:spacing w:val="-15"/>
          <w:sz w:val="24"/>
          <w:szCs w:val="24"/>
        </w:rPr>
        <w:t xml:space="preserve"> </w:t>
      </w:r>
      <w:r>
        <w:rPr>
          <w:spacing w:val="-3"/>
          <w:sz w:val="24"/>
          <w:szCs w:val="24"/>
        </w:rPr>
        <w:t>：清标报告</w:t>
      </w:r>
      <w:r>
        <w:rPr>
          <w:rFonts w:ascii="Times New Roman" w:hAnsi="Times New Roman" w:eastAsia="Times New Roman" w:cs="Times New Roman"/>
          <w:spacing w:val="-3"/>
          <w:sz w:val="24"/>
          <w:szCs w:val="24"/>
        </w:rPr>
        <w:t>-</w:t>
      </w:r>
      <w:r>
        <w:rPr>
          <w:spacing w:val="-3"/>
          <w:sz w:val="24"/>
          <w:szCs w:val="24"/>
        </w:rPr>
        <w:t>发包人提供材料和工程设备符合性检查</w:t>
      </w:r>
    </w:p>
    <w:p w14:paraId="595B48F4">
      <w:pPr>
        <w:spacing w:line="278" w:lineRule="auto"/>
        <w:rPr>
          <w:rFonts w:ascii="Arial"/>
          <w:sz w:val="21"/>
        </w:rPr>
      </w:pPr>
    </w:p>
    <w:p w14:paraId="51FAC276">
      <w:pPr>
        <w:spacing w:line="279" w:lineRule="auto"/>
        <w:rPr>
          <w:rFonts w:ascii="Arial"/>
          <w:sz w:val="21"/>
        </w:rPr>
      </w:pPr>
    </w:p>
    <w:p w14:paraId="0406A4D2">
      <w:pPr>
        <w:spacing w:line="279" w:lineRule="auto"/>
        <w:rPr>
          <w:rFonts w:ascii="Arial"/>
          <w:sz w:val="21"/>
        </w:rPr>
      </w:pPr>
    </w:p>
    <w:p w14:paraId="40A39998">
      <w:pPr>
        <w:pStyle w:val="2"/>
        <w:spacing w:before="101" w:line="393" w:lineRule="auto"/>
        <w:ind w:right="944" w:firstLine="1016"/>
        <w:rPr>
          <w:rFonts w:ascii="宋体" w:hAnsi="宋体" w:eastAsia="宋体" w:cs="宋体"/>
          <w:sz w:val="20"/>
          <w:szCs w:val="20"/>
        </w:rPr>
      </w:pPr>
      <w:bookmarkStart w:id="201" w:name="bookmark182"/>
      <w:bookmarkEnd w:id="201"/>
      <w:r>
        <w:rPr>
          <w:spacing w:val="9"/>
          <w:sz w:val="31"/>
          <w:szCs w:val="31"/>
        </w:rPr>
        <w:t>清标报告-发包人提供材料和工程设备符合</w:t>
      </w:r>
      <w:r>
        <w:rPr>
          <w:spacing w:val="8"/>
          <w:sz w:val="31"/>
          <w:szCs w:val="31"/>
        </w:rPr>
        <w:t>性检查</w:t>
      </w:r>
      <w:r>
        <w:rPr>
          <w:rFonts w:ascii="宋体" w:hAnsi="宋体" w:eastAsia="宋体" w:cs="宋体"/>
          <w:spacing w:val="6"/>
          <w:sz w:val="20"/>
          <w:szCs w:val="20"/>
        </w:rPr>
        <w:t>投标人名称：</w:t>
      </w:r>
    </w:p>
    <w:p w14:paraId="44ECA3D5">
      <w:pPr>
        <w:spacing w:line="212" w:lineRule="exact"/>
      </w:pPr>
    </w:p>
    <w:tbl>
      <w:tblPr>
        <w:tblStyle w:val="5"/>
        <w:tblW w:w="8752" w:type="dxa"/>
        <w:tblInd w:w="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9"/>
        <w:gridCol w:w="1313"/>
        <w:gridCol w:w="1248"/>
        <w:gridCol w:w="1249"/>
        <w:gridCol w:w="1248"/>
        <w:gridCol w:w="1249"/>
        <w:gridCol w:w="1256"/>
      </w:tblGrid>
      <w:tr w14:paraId="04B29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3750" w:type="dxa"/>
            <w:gridSpan w:val="3"/>
            <w:tcBorders>
              <w:top w:val="single" w:color="000000" w:sz="4" w:space="0"/>
              <w:left w:val="single" w:color="000000" w:sz="4" w:space="0"/>
              <w:bottom w:val="single" w:color="000000" w:sz="4" w:space="0"/>
            </w:tcBorders>
            <w:vAlign w:val="top"/>
          </w:tcPr>
          <w:p w14:paraId="5439110D">
            <w:pPr>
              <w:pStyle w:val="6"/>
              <w:spacing w:before="231" w:line="229" w:lineRule="auto"/>
              <w:ind w:left="1281"/>
              <w:rPr>
                <w:sz w:val="19"/>
                <w:szCs w:val="19"/>
              </w:rPr>
            </w:pPr>
            <w:r>
              <w:rPr>
                <w:spacing w:val="8"/>
                <w:sz w:val="19"/>
                <w:szCs w:val="19"/>
              </w:rPr>
              <w:t>建设项目名称</w:t>
            </w:r>
          </w:p>
        </w:tc>
        <w:tc>
          <w:tcPr>
            <w:tcW w:w="5002" w:type="dxa"/>
            <w:gridSpan w:val="4"/>
            <w:tcBorders>
              <w:top w:val="single" w:color="000000" w:sz="4" w:space="0"/>
              <w:bottom w:val="single" w:color="000000" w:sz="4" w:space="0"/>
              <w:right w:val="single" w:color="000000" w:sz="4" w:space="0"/>
            </w:tcBorders>
            <w:vAlign w:val="top"/>
          </w:tcPr>
          <w:p w14:paraId="07D32D37">
            <w:pPr>
              <w:rPr>
                <w:rFonts w:ascii="Arial"/>
                <w:sz w:val="21"/>
              </w:rPr>
            </w:pPr>
          </w:p>
        </w:tc>
      </w:tr>
      <w:tr w14:paraId="1562EA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8752" w:type="dxa"/>
            <w:gridSpan w:val="7"/>
            <w:tcBorders>
              <w:top w:val="single" w:color="000000" w:sz="4" w:space="0"/>
              <w:left w:val="single" w:color="000000" w:sz="4" w:space="0"/>
              <w:right w:val="single" w:color="000000" w:sz="4" w:space="0"/>
            </w:tcBorders>
            <w:vAlign w:val="top"/>
          </w:tcPr>
          <w:p w14:paraId="6AD9B3B2">
            <w:pPr>
              <w:pStyle w:val="6"/>
              <w:spacing w:before="201" w:line="227" w:lineRule="auto"/>
              <w:ind w:left="2474"/>
              <w:rPr>
                <w:sz w:val="19"/>
                <w:szCs w:val="19"/>
              </w:rPr>
            </w:pPr>
            <w:r>
              <w:rPr>
                <w:b/>
                <w:bCs/>
                <w:spacing w:val="8"/>
                <w:sz w:val="19"/>
                <w:szCs w:val="19"/>
              </w:rPr>
              <w:t>五、发包人提供材料和工程设备符合性检查</w:t>
            </w:r>
          </w:p>
        </w:tc>
      </w:tr>
      <w:tr w14:paraId="796705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2" w:hRule="atLeast"/>
        </w:trPr>
        <w:tc>
          <w:tcPr>
            <w:tcW w:w="1189" w:type="dxa"/>
            <w:tcBorders>
              <w:left w:val="single" w:color="000000" w:sz="4" w:space="0"/>
            </w:tcBorders>
            <w:vAlign w:val="top"/>
          </w:tcPr>
          <w:p w14:paraId="5C233062">
            <w:pPr>
              <w:spacing w:line="356" w:lineRule="auto"/>
              <w:rPr>
                <w:rFonts w:ascii="Arial"/>
                <w:sz w:val="21"/>
              </w:rPr>
            </w:pPr>
          </w:p>
          <w:p w14:paraId="0CE5DA6F">
            <w:pPr>
              <w:pStyle w:val="6"/>
              <w:spacing w:before="62" w:line="229" w:lineRule="auto"/>
              <w:ind w:left="199"/>
              <w:rPr>
                <w:sz w:val="19"/>
                <w:szCs w:val="19"/>
              </w:rPr>
            </w:pPr>
            <w:r>
              <w:rPr>
                <w:spacing w:val="7"/>
                <w:sz w:val="19"/>
                <w:szCs w:val="19"/>
              </w:rPr>
              <w:t>项目名称</w:t>
            </w:r>
          </w:p>
        </w:tc>
        <w:tc>
          <w:tcPr>
            <w:tcW w:w="1313" w:type="dxa"/>
            <w:tcBorders>
              <w:right w:val="single" w:color="000000" w:sz="4" w:space="0"/>
            </w:tcBorders>
            <w:vAlign w:val="top"/>
          </w:tcPr>
          <w:p w14:paraId="1ADF3DC3">
            <w:pPr>
              <w:pStyle w:val="6"/>
              <w:spacing w:before="32" w:line="227" w:lineRule="auto"/>
              <w:ind w:left="159"/>
              <w:rPr>
                <w:sz w:val="19"/>
                <w:szCs w:val="19"/>
              </w:rPr>
            </w:pPr>
            <w:r>
              <w:rPr>
                <w:spacing w:val="8"/>
                <w:sz w:val="19"/>
                <w:szCs w:val="19"/>
              </w:rPr>
              <w:t>材料（工程</w:t>
            </w:r>
          </w:p>
          <w:p w14:paraId="73D65759">
            <w:pPr>
              <w:pStyle w:val="6"/>
              <w:spacing w:before="24" w:line="230" w:lineRule="auto"/>
              <w:ind w:right="16"/>
              <w:jc w:val="right"/>
              <w:rPr>
                <w:sz w:val="19"/>
                <w:szCs w:val="19"/>
              </w:rPr>
            </w:pPr>
            <w:r>
              <w:rPr>
                <w:spacing w:val="6"/>
                <w:sz w:val="19"/>
                <w:szCs w:val="19"/>
              </w:rPr>
              <w:t>设备）名称、</w:t>
            </w:r>
          </w:p>
          <w:p w14:paraId="6D5434D0">
            <w:pPr>
              <w:pStyle w:val="6"/>
              <w:spacing w:before="23" w:line="228" w:lineRule="auto"/>
              <w:ind w:left="160"/>
              <w:rPr>
                <w:sz w:val="19"/>
                <w:szCs w:val="19"/>
              </w:rPr>
            </w:pPr>
            <w:r>
              <w:rPr>
                <w:spacing w:val="7"/>
                <w:sz w:val="19"/>
                <w:szCs w:val="19"/>
              </w:rPr>
              <w:t>规格、型号</w:t>
            </w:r>
          </w:p>
          <w:p w14:paraId="337BB88E">
            <w:pPr>
              <w:pStyle w:val="6"/>
              <w:spacing w:before="24" w:line="216" w:lineRule="auto"/>
              <w:ind w:left="459"/>
              <w:rPr>
                <w:sz w:val="19"/>
                <w:szCs w:val="19"/>
              </w:rPr>
            </w:pPr>
            <w:r>
              <w:rPr>
                <w:spacing w:val="5"/>
                <w:sz w:val="19"/>
                <w:szCs w:val="19"/>
              </w:rPr>
              <w:t>错误</w:t>
            </w:r>
          </w:p>
        </w:tc>
        <w:tc>
          <w:tcPr>
            <w:tcW w:w="1248" w:type="dxa"/>
            <w:tcBorders>
              <w:left w:val="single" w:color="000000" w:sz="4" w:space="0"/>
              <w:right w:val="single" w:color="000000" w:sz="4" w:space="0"/>
            </w:tcBorders>
            <w:vAlign w:val="top"/>
          </w:tcPr>
          <w:p w14:paraId="3C74630D">
            <w:pPr>
              <w:pStyle w:val="6"/>
              <w:spacing w:before="291" w:line="254" w:lineRule="auto"/>
              <w:ind w:left="425" w:right="422" w:firstLine="1"/>
              <w:rPr>
                <w:sz w:val="19"/>
                <w:szCs w:val="19"/>
              </w:rPr>
            </w:pPr>
            <w:r>
              <w:rPr>
                <w:spacing w:val="4"/>
                <w:sz w:val="19"/>
                <w:szCs w:val="19"/>
              </w:rPr>
              <w:t>单位</w:t>
            </w:r>
            <w:r>
              <w:rPr>
                <w:spacing w:val="5"/>
                <w:sz w:val="19"/>
                <w:szCs w:val="19"/>
              </w:rPr>
              <w:t>错误</w:t>
            </w:r>
          </w:p>
        </w:tc>
        <w:tc>
          <w:tcPr>
            <w:tcW w:w="1249" w:type="dxa"/>
            <w:tcBorders>
              <w:left w:val="single" w:color="000000" w:sz="4" w:space="0"/>
            </w:tcBorders>
            <w:vAlign w:val="top"/>
          </w:tcPr>
          <w:p w14:paraId="7EA90E21">
            <w:pPr>
              <w:pStyle w:val="6"/>
              <w:spacing w:before="291" w:line="254" w:lineRule="auto"/>
              <w:ind w:left="427" w:right="423" w:firstLine="1"/>
              <w:rPr>
                <w:sz w:val="19"/>
                <w:szCs w:val="19"/>
              </w:rPr>
            </w:pPr>
            <w:r>
              <w:rPr>
                <w:spacing w:val="4"/>
                <w:sz w:val="19"/>
                <w:szCs w:val="19"/>
              </w:rPr>
              <w:t>数量</w:t>
            </w:r>
            <w:r>
              <w:rPr>
                <w:spacing w:val="5"/>
                <w:sz w:val="19"/>
                <w:szCs w:val="19"/>
              </w:rPr>
              <w:t>错误</w:t>
            </w:r>
          </w:p>
        </w:tc>
        <w:tc>
          <w:tcPr>
            <w:tcW w:w="1248" w:type="dxa"/>
            <w:tcBorders>
              <w:right w:val="single" w:color="000000" w:sz="4" w:space="0"/>
            </w:tcBorders>
            <w:vAlign w:val="top"/>
          </w:tcPr>
          <w:p w14:paraId="43ADFB4A">
            <w:pPr>
              <w:pStyle w:val="6"/>
              <w:spacing w:before="291" w:line="254" w:lineRule="auto"/>
              <w:ind w:left="431" w:right="418" w:firstLine="1"/>
              <w:rPr>
                <w:sz w:val="19"/>
                <w:szCs w:val="19"/>
              </w:rPr>
            </w:pPr>
            <w:r>
              <w:rPr>
                <w:spacing w:val="4"/>
                <w:sz w:val="19"/>
                <w:szCs w:val="19"/>
              </w:rPr>
              <w:t>单价</w:t>
            </w:r>
            <w:r>
              <w:rPr>
                <w:spacing w:val="5"/>
                <w:sz w:val="19"/>
                <w:szCs w:val="19"/>
              </w:rPr>
              <w:t>错误</w:t>
            </w:r>
          </w:p>
        </w:tc>
        <w:tc>
          <w:tcPr>
            <w:tcW w:w="1249" w:type="dxa"/>
            <w:tcBorders>
              <w:left w:val="single" w:color="000000" w:sz="4" w:space="0"/>
            </w:tcBorders>
            <w:vAlign w:val="top"/>
          </w:tcPr>
          <w:p w14:paraId="3640B706">
            <w:pPr>
              <w:spacing w:line="357" w:lineRule="auto"/>
              <w:rPr>
                <w:rFonts w:ascii="Arial"/>
                <w:sz w:val="21"/>
              </w:rPr>
            </w:pPr>
          </w:p>
          <w:p w14:paraId="063BC611">
            <w:pPr>
              <w:pStyle w:val="6"/>
              <w:spacing w:before="61" w:line="228" w:lineRule="auto"/>
              <w:ind w:left="334"/>
              <w:rPr>
                <w:sz w:val="19"/>
                <w:szCs w:val="19"/>
              </w:rPr>
            </w:pPr>
            <w:r>
              <w:rPr>
                <w:spacing w:val="6"/>
                <w:sz w:val="19"/>
                <w:szCs w:val="19"/>
              </w:rPr>
              <w:t>未填报</w:t>
            </w:r>
          </w:p>
        </w:tc>
        <w:tc>
          <w:tcPr>
            <w:tcW w:w="1256" w:type="dxa"/>
            <w:tcBorders>
              <w:right w:val="single" w:color="000000" w:sz="4" w:space="0"/>
            </w:tcBorders>
            <w:vAlign w:val="top"/>
          </w:tcPr>
          <w:p w14:paraId="677CE8B4">
            <w:pPr>
              <w:spacing w:line="356" w:lineRule="auto"/>
              <w:rPr>
                <w:rFonts w:ascii="Arial"/>
                <w:sz w:val="21"/>
              </w:rPr>
            </w:pPr>
          </w:p>
          <w:p w14:paraId="1DC114CF">
            <w:pPr>
              <w:pStyle w:val="6"/>
              <w:spacing w:before="62" w:line="229" w:lineRule="auto"/>
              <w:ind w:left="442"/>
              <w:rPr>
                <w:sz w:val="19"/>
                <w:szCs w:val="19"/>
              </w:rPr>
            </w:pPr>
            <w:r>
              <w:rPr>
                <w:sz w:val="19"/>
                <w:szCs w:val="19"/>
              </w:rPr>
              <w:t>多项</w:t>
            </w:r>
          </w:p>
        </w:tc>
      </w:tr>
      <w:tr w14:paraId="62E5A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0C64D8EB">
            <w:pPr>
              <w:rPr>
                <w:rFonts w:ascii="Arial"/>
                <w:sz w:val="21"/>
              </w:rPr>
            </w:pPr>
          </w:p>
        </w:tc>
        <w:tc>
          <w:tcPr>
            <w:tcW w:w="1313" w:type="dxa"/>
            <w:tcBorders>
              <w:right w:val="single" w:color="000000" w:sz="4" w:space="0"/>
            </w:tcBorders>
            <w:vAlign w:val="top"/>
          </w:tcPr>
          <w:p w14:paraId="340BB869">
            <w:pPr>
              <w:rPr>
                <w:rFonts w:ascii="Arial"/>
                <w:sz w:val="21"/>
              </w:rPr>
            </w:pPr>
          </w:p>
        </w:tc>
        <w:tc>
          <w:tcPr>
            <w:tcW w:w="1248" w:type="dxa"/>
            <w:tcBorders>
              <w:left w:val="single" w:color="000000" w:sz="4" w:space="0"/>
              <w:right w:val="single" w:color="000000" w:sz="4" w:space="0"/>
            </w:tcBorders>
            <w:vAlign w:val="top"/>
          </w:tcPr>
          <w:p w14:paraId="1F4C2557">
            <w:pPr>
              <w:rPr>
                <w:rFonts w:ascii="Arial"/>
                <w:sz w:val="21"/>
              </w:rPr>
            </w:pPr>
          </w:p>
        </w:tc>
        <w:tc>
          <w:tcPr>
            <w:tcW w:w="1249" w:type="dxa"/>
            <w:tcBorders>
              <w:left w:val="single" w:color="000000" w:sz="4" w:space="0"/>
            </w:tcBorders>
            <w:vAlign w:val="top"/>
          </w:tcPr>
          <w:p w14:paraId="6CD4D1CD">
            <w:pPr>
              <w:rPr>
                <w:rFonts w:ascii="Arial"/>
                <w:sz w:val="21"/>
              </w:rPr>
            </w:pPr>
          </w:p>
        </w:tc>
        <w:tc>
          <w:tcPr>
            <w:tcW w:w="1248" w:type="dxa"/>
            <w:tcBorders>
              <w:right w:val="single" w:color="000000" w:sz="4" w:space="0"/>
            </w:tcBorders>
            <w:vAlign w:val="top"/>
          </w:tcPr>
          <w:p w14:paraId="203EC421">
            <w:pPr>
              <w:rPr>
                <w:rFonts w:ascii="Arial"/>
                <w:sz w:val="21"/>
              </w:rPr>
            </w:pPr>
          </w:p>
        </w:tc>
        <w:tc>
          <w:tcPr>
            <w:tcW w:w="1249" w:type="dxa"/>
            <w:tcBorders>
              <w:left w:val="single" w:color="000000" w:sz="4" w:space="0"/>
            </w:tcBorders>
            <w:vAlign w:val="top"/>
          </w:tcPr>
          <w:p w14:paraId="54D1DA8B">
            <w:pPr>
              <w:rPr>
                <w:rFonts w:ascii="Arial"/>
                <w:sz w:val="21"/>
              </w:rPr>
            </w:pPr>
          </w:p>
        </w:tc>
        <w:tc>
          <w:tcPr>
            <w:tcW w:w="1256" w:type="dxa"/>
            <w:tcBorders>
              <w:right w:val="single" w:color="000000" w:sz="4" w:space="0"/>
            </w:tcBorders>
            <w:vAlign w:val="top"/>
          </w:tcPr>
          <w:p w14:paraId="1EABEFAA">
            <w:pPr>
              <w:rPr>
                <w:rFonts w:ascii="Arial"/>
                <w:sz w:val="21"/>
              </w:rPr>
            </w:pPr>
          </w:p>
        </w:tc>
      </w:tr>
      <w:tr w14:paraId="202F22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663CB8B1">
            <w:pPr>
              <w:rPr>
                <w:rFonts w:ascii="Arial"/>
                <w:sz w:val="21"/>
              </w:rPr>
            </w:pPr>
          </w:p>
        </w:tc>
        <w:tc>
          <w:tcPr>
            <w:tcW w:w="1313" w:type="dxa"/>
            <w:tcBorders>
              <w:right w:val="single" w:color="000000" w:sz="4" w:space="0"/>
            </w:tcBorders>
            <w:vAlign w:val="top"/>
          </w:tcPr>
          <w:p w14:paraId="0E968899">
            <w:pPr>
              <w:rPr>
                <w:rFonts w:ascii="Arial"/>
                <w:sz w:val="21"/>
              </w:rPr>
            </w:pPr>
          </w:p>
        </w:tc>
        <w:tc>
          <w:tcPr>
            <w:tcW w:w="1248" w:type="dxa"/>
            <w:tcBorders>
              <w:left w:val="single" w:color="000000" w:sz="4" w:space="0"/>
              <w:right w:val="single" w:color="000000" w:sz="4" w:space="0"/>
            </w:tcBorders>
            <w:vAlign w:val="top"/>
          </w:tcPr>
          <w:p w14:paraId="02DADC4A">
            <w:pPr>
              <w:rPr>
                <w:rFonts w:ascii="Arial"/>
                <w:sz w:val="21"/>
              </w:rPr>
            </w:pPr>
          </w:p>
        </w:tc>
        <w:tc>
          <w:tcPr>
            <w:tcW w:w="1249" w:type="dxa"/>
            <w:tcBorders>
              <w:left w:val="single" w:color="000000" w:sz="4" w:space="0"/>
            </w:tcBorders>
            <w:vAlign w:val="top"/>
          </w:tcPr>
          <w:p w14:paraId="632BE99B">
            <w:pPr>
              <w:rPr>
                <w:rFonts w:ascii="Arial"/>
                <w:sz w:val="21"/>
              </w:rPr>
            </w:pPr>
          </w:p>
        </w:tc>
        <w:tc>
          <w:tcPr>
            <w:tcW w:w="1248" w:type="dxa"/>
            <w:tcBorders>
              <w:right w:val="single" w:color="000000" w:sz="4" w:space="0"/>
            </w:tcBorders>
            <w:vAlign w:val="top"/>
          </w:tcPr>
          <w:p w14:paraId="1C3596E5">
            <w:pPr>
              <w:rPr>
                <w:rFonts w:ascii="Arial"/>
                <w:sz w:val="21"/>
              </w:rPr>
            </w:pPr>
          </w:p>
        </w:tc>
        <w:tc>
          <w:tcPr>
            <w:tcW w:w="1249" w:type="dxa"/>
            <w:tcBorders>
              <w:left w:val="single" w:color="000000" w:sz="4" w:space="0"/>
            </w:tcBorders>
            <w:vAlign w:val="top"/>
          </w:tcPr>
          <w:p w14:paraId="388FAB13">
            <w:pPr>
              <w:rPr>
                <w:rFonts w:ascii="Arial"/>
                <w:sz w:val="21"/>
              </w:rPr>
            </w:pPr>
          </w:p>
        </w:tc>
        <w:tc>
          <w:tcPr>
            <w:tcW w:w="1256" w:type="dxa"/>
            <w:tcBorders>
              <w:right w:val="single" w:color="000000" w:sz="4" w:space="0"/>
            </w:tcBorders>
            <w:vAlign w:val="top"/>
          </w:tcPr>
          <w:p w14:paraId="2BF57614">
            <w:pPr>
              <w:rPr>
                <w:rFonts w:ascii="Arial"/>
                <w:sz w:val="21"/>
              </w:rPr>
            </w:pPr>
          </w:p>
        </w:tc>
      </w:tr>
      <w:tr w14:paraId="14BB74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13FEA404">
            <w:pPr>
              <w:rPr>
                <w:rFonts w:ascii="Arial"/>
                <w:sz w:val="21"/>
              </w:rPr>
            </w:pPr>
          </w:p>
        </w:tc>
        <w:tc>
          <w:tcPr>
            <w:tcW w:w="1313" w:type="dxa"/>
            <w:tcBorders>
              <w:right w:val="single" w:color="000000" w:sz="4" w:space="0"/>
            </w:tcBorders>
            <w:vAlign w:val="top"/>
          </w:tcPr>
          <w:p w14:paraId="3CA4ECE2">
            <w:pPr>
              <w:rPr>
                <w:rFonts w:ascii="Arial"/>
                <w:sz w:val="21"/>
              </w:rPr>
            </w:pPr>
          </w:p>
        </w:tc>
        <w:tc>
          <w:tcPr>
            <w:tcW w:w="1248" w:type="dxa"/>
            <w:tcBorders>
              <w:left w:val="single" w:color="000000" w:sz="4" w:space="0"/>
              <w:right w:val="single" w:color="000000" w:sz="4" w:space="0"/>
            </w:tcBorders>
            <w:vAlign w:val="top"/>
          </w:tcPr>
          <w:p w14:paraId="0F51B04D">
            <w:pPr>
              <w:rPr>
                <w:rFonts w:ascii="Arial"/>
                <w:sz w:val="21"/>
              </w:rPr>
            </w:pPr>
          </w:p>
        </w:tc>
        <w:tc>
          <w:tcPr>
            <w:tcW w:w="1249" w:type="dxa"/>
            <w:tcBorders>
              <w:left w:val="single" w:color="000000" w:sz="4" w:space="0"/>
            </w:tcBorders>
            <w:vAlign w:val="top"/>
          </w:tcPr>
          <w:p w14:paraId="7E0F7138">
            <w:pPr>
              <w:rPr>
                <w:rFonts w:ascii="Arial"/>
                <w:sz w:val="21"/>
              </w:rPr>
            </w:pPr>
          </w:p>
        </w:tc>
        <w:tc>
          <w:tcPr>
            <w:tcW w:w="1248" w:type="dxa"/>
            <w:tcBorders>
              <w:right w:val="single" w:color="000000" w:sz="4" w:space="0"/>
            </w:tcBorders>
            <w:vAlign w:val="top"/>
          </w:tcPr>
          <w:p w14:paraId="3A7DA0F5">
            <w:pPr>
              <w:rPr>
                <w:rFonts w:ascii="Arial"/>
                <w:sz w:val="21"/>
              </w:rPr>
            </w:pPr>
          </w:p>
        </w:tc>
        <w:tc>
          <w:tcPr>
            <w:tcW w:w="1249" w:type="dxa"/>
            <w:tcBorders>
              <w:left w:val="single" w:color="000000" w:sz="4" w:space="0"/>
            </w:tcBorders>
            <w:vAlign w:val="top"/>
          </w:tcPr>
          <w:p w14:paraId="17F84E76">
            <w:pPr>
              <w:rPr>
                <w:rFonts w:ascii="Arial"/>
                <w:sz w:val="21"/>
              </w:rPr>
            </w:pPr>
          </w:p>
        </w:tc>
        <w:tc>
          <w:tcPr>
            <w:tcW w:w="1256" w:type="dxa"/>
            <w:tcBorders>
              <w:right w:val="single" w:color="000000" w:sz="4" w:space="0"/>
            </w:tcBorders>
            <w:vAlign w:val="top"/>
          </w:tcPr>
          <w:p w14:paraId="7917ED9C">
            <w:pPr>
              <w:rPr>
                <w:rFonts w:ascii="Arial"/>
                <w:sz w:val="21"/>
              </w:rPr>
            </w:pPr>
          </w:p>
        </w:tc>
      </w:tr>
      <w:tr w14:paraId="3E6D6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4F6E1F93">
            <w:pPr>
              <w:rPr>
                <w:rFonts w:ascii="Arial"/>
                <w:sz w:val="21"/>
              </w:rPr>
            </w:pPr>
          </w:p>
        </w:tc>
        <w:tc>
          <w:tcPr>
            <w:tcW w:w="1313" w:type="dxa"/>
            <w:tcBorders>
              <w:right w:val="single" w:color="000000" w:sz="4" w:space="0"/>
            </w:tcBorders>
            <w:vAlign w:val="top"/>
          </w:tcPr>
          <w:p w14:paraId="1646AF40">
            <w:pPr>
              <w:rPr>
                <w:rFonts w:ascii="Arial"/>
                <w:sz w:val="21"/>
              </w:rPr>
            </w:pPr>
          </w:p>
        </w:tc>
        <w:tc>
          <w:tcPr>
            <w:tcW w:w="1248" w:type="dxa"/>
            <w:tcBorders>
              <w:left w:val="single" w:color="000000" w:sz="4" w:space="0"/>
              <w:right w:val="single" w:color="000000" w:sz="4" w:space="0"/>
            </w:tcBorders>
            <w:vAlign w:val="top"/>
          </w:tcPr>
          <w:p w14:paraId="36C8D4C9">
            <w:pPr>
              <w:rPr>
                <w:rFonts w:ascii="Arial"/>
                <w:sz w:val="21"/>
              </w:rPr>
            </w:pPr>
          </w:p>
        </w:tc>
        <w:tc>
          <w:tcPr>
            <w:tcW w:w="1249" w:type="dxa"/>
            <w:tcBorders>
              <w:left w:val="single" w:color="000000" w:sz="4" w:space="0"/>
            </w:tcBorders>
            <w:vAlign w:val="top"/>
          </w:tcPr>
          <w:p w14:paraId="6D8D740A">
            <w:pPr>
              <w:rPr>
                <w:rFonts w:ascii="Arial"/>
                <w:sz w:val="21"/>
              </w:rPr>
            </w:pPr>
          </w:p>
        </w:tc>
        <w:tc>
          <w:tcPr>
            <w:tcW w:w="1248" w:type="dxa"/>
            <w:tcBorders>
              <w:right w:val="single" w:color="000000" w:sz="4" w:space="0"/>
            </w:tcBorders>
            <w:vAlign w:val="top"/>
          </w:tcPr>
          <w:p w14:paraId="719DB296">
            <w:pPr>
              <w:rPr>
                <w:rFonts w:ascii="Arial"/>
                <w:sz w:val="21"/>
              </w:rPr>
            </w:pPr>
          </w:p>
        </w:tc>
        <w:tc>
          <w:tcPr>
            <w:tcW w:w="1249" w:type="dxa"/>
            <w:tcBorders>
              <w:left w:val="single" w:color="000000" w:sz="4" w:space="0"/>
            </w:tcBorders>
            <w:vAlign w:val="top"/>
          </w:tcPr>
          <w:p w14:paraId="34EE2131">
            <w:pPr>
              <w:rPr>
                <w:rFonts w:ascii="Arial"/>
                <w:sz w:val="21"/>
              </w:rPr>
            </w:pPr>
          </w:p>
        </w:tc>
        <w:tc>
          <w:tcPr>
            <w:tcW w:w="1256" w:type="dxa"/>
            <w:tcBorders>
              <w:right w:val="single" w:color="000000" w:sz="4" w:space="0"/>
            </w:tcBorders>
            <w:vAlign w:val="top"/>
          </w:tcPr>
          <w:p w14:paraId="442819F5">
            <w:pPr>
              <w:rPr>
                <w:rFonts w:ascii="Arial"/>
                <w:sz w:val="21"/>
              </w:rPr>
            </w:pPr>
          </w:p>
        </w:tc>
      </w:tr>
      <w:tr w14:paraId="1C585A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2F0FB6CB">
            <w:pPr>
              <w:rPr>
                <w:rFonts w:ascii="Arial"/>
                <w:sz w:val="21"/>
              </w:rPr>
            </w:pPr>
          </w:p>
        </w:tc>
        <w:tc>
          <w:tcPr>
            <w:tcW w:w="1313" w:type="dxa"/>
            <w:tcBorders>
              <w:right w:val="single" w:color="000000" w:sz="4" w:space="0"/>
            </w:tcBorders>
            <w:vAlign w:val="top"/>
          </w:tcPr>
          <w:p w14:paraId="33FAB6F3">
            <w:pPr>
              <w:rPr>
                <w:rFonts w:ascii="Arial"/>
                <w:sz w:val="21"/>
              </w:rPr>
            </w:pPr>
          </w:p>
        </w:tc>
        <w:tc>
          <w:tcPr>
            <w:tcW w:w="1248" w:type="dxa"/>
            <w:tcBorders>
              <w:left w:val="single" w:color="000000" w:sz="4" w:space="0"/>
              <w:right w:val="single" w:color="000000" w:sz="4" w:space="0"/>
            </w:tcBorders>
            <w:vAlign w:val="top"/>
          </w:tcPr>
          <w:p w14:paraId="632313CA">
            <w:pPr>
              <w:rPr>
                <w:rFonts w:ascii="Arial"/>
                <w:sz w:val="21"/>
              </w:rPr>
            </w:pPr>
          </w:p>
        </w:tc>
        <w:tc>
          <w:tcPr>
            <w:tcW w:w="1249" w:type="dxa"/>
            <w:tcBorders>
              <w:left w:val="single" w:color="000000" w:sz="4" w:space="0"/>
            </w:tcBorders>
            <w:vAlign w:val="top"/>
          </w:tcPr>
          <w:p w14:paraId="7CE55EFB">
            <w:pPr>
              <w:rPr>
                <w:rFonts w:ascii="Arial"/>
                <w:sz w:val="21"/>
              </w:rPr>
            </w:pPr>
          </w:p>
        </w:tc>
        <w:tc>
          <w:tcPr>
            <w:tcW w:w="1248" w:type="dxa"/>
            <w:tcBorders>
              <w:right w:val="single" w:color="000000" w:sz="4" w:space="0"/>
            </w:tcBorders>
            <w:vAlign w:val="top"/>
          </w:tcPr>
          <w:p w14:paraId="4A5F1839">
            <w:pPr>
              <w:rPr>
                <w:rFonts w:ascii="Arial"/>
                <w:sz w:val="21"/>
              </w:rPr>
            </w:pPr>
          </w:p>
        </w:tc>
        <w:tc>
          <w:tcPr>
            <w:tcW w:w="1249" w:type="dxa"/>
            <w:tcBorders>
              <w:left w:val="single" w:color="000000" w:sz="4" w:space="0"/>
            </w:tcBorders>
            <w:vAlign w:val="top"/>
          </w:tcPr>
          <w:p w14:paraId="6E09EDBC">
            <w:pPr>
              <w:rPr>
                <w:rFonts w:ascii="Arial"/>
                <w:sz w:val="21"/>
              </w:rPr>
            </w:pPr>
          </w:p>
        </w:tc>
        <w:tc>
          <w:tcPr>
            <w:tcW w:w="1256" w:type="dxa"/>
            <w:tcBorders>
              <w:right w:val="single" w:color="000000" w:sz="4" w:space="0"/>
            </w:tcBorders>
            <w:vAlign w:val="top"/>
          </w:tcPr>
          <w:p w14:paraId="237D36CA">
            <w:pPr>
              <w:rPr>
                <w:rFonts w:ascii="Arial"/>
                <w:sz w:val="21"/>
              </w:rPr>
            </w:pPr>
          </w:p>
        </w:tc>
      </w:tr>
      <w:tr w14:paraId="5DD37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3C7FA0FD">
            <w:pPr>
              <w:rPr>
                <w:rFonts w:ascii="Arial"/>
                <w:sz w:val="21"/>
              </w:rPr>
            </w:pPr>
          </w:p>
        </w:tc>
        <w:tc>
          <w:tcPr>
            <w:tcW w:w="1313" w:type="dxa"/>
            <w:tcBorders>
              <w:right w:val="single" w:color="000000" w:sz="4" w:space="0"/>
            </w:tcBorders>
            <w:vAlign w:val="top"/>
          </w:tcPr>
          <w:p w14:paraId="6340B5C7">
            <w:pPr>
              <w:rPr>
                <w:rFonts w:ascii="Arial"/>
                <w:sz w:val="21"/>
              </w:rPr>
            </w:pPr>
          </w:p>
        </w:tc>
        <w:tc>
          <w:tcPr>
            <w:tcW w:w="1248" w:type="dxa"/>
            <w:tcBorders>
              <w:left w:val="single" w:color="000000" w:sz="4" w:space="0"/>
              <w:right w:val="single" w:color="000000" w:sz="4" w:space="0"/>
            </w:tcBorders>
            <w:vAlign w:val="top"/>
          </w:tcPr>
          <w:p w14:paraId="3E407467">
            <w:pPr>
              <w:rPr>
                <w:rFonts w:ascii="Arial"/>
                <w:sz w:val="21"/>
              </w:rPr>
            </w:pPr>
          </w:p>
        </w:tc>
        <w:tc>
          <w:tcPr>
            <w:tcW w:w="1249" w:type="dxa"/>
            <w:tcBorders>
              <w:left w:val="single" w:color="000000" w:sz="4" w:space="0"/>
            </w:tcBorders>
            <w:vAlign w:val="top"/>
          </w:tcPr>
          <w:p w14:paraId="342C8E26">
            <w:pPr>
              <w:rPr>
                <w:rFonts w:ascii="Arial"/>
                <w:sz w:val="21"/>
              </w:rPr>
            </w:pPr>
          </w:p>
        </w:tc>
        <w:tc>
          <w:tcPr>
            <w:tcW w:w="1248" w:type="dxa"/>
            <w:tcBorders>
              <w:right w:val="single" w:color="000000" w:sz="4" w:space="0"/>
            </w:tcBorders>
            <w:vAlign w:val="top"/>
          </w:tcPr>
          <w:p w14:paraId="4859203F">
            <w:pPr>
              <w:rPr>
                <w:rFonts w:ascii="Arial"/>
                <w:sz w:val="21"/>
              </w:rPr>
            </w:pPr>
          </w:p>
        </w:tc>
        <w:tc>
          <w:tcPr>
            <w:tcW w:w="1249" w:type="dxa"/>
            <w:tcBorders>
              <w:left w:val="single" w:color="000000" w:sz="4" w:space="0"/>
            </w:tcBorders>
            <w:vAlign w:val="top"/>
          </w:tcPr>
          <w:p w14:paraId="708D4BB1">
            <w:pPr>
              <w:rPr>
                <w:rFonts w:ascii="Arial"/>
                <w:sz w:val="21"/>
              </w:rPr>
            </w:pPr>
          </w:p>
        </w:tc>
        <w:tc>
          <w:tcPr>
            <w:tcW w:w="1256" w:type="dxa"/>
            <w:tcBorders>
              <w:right w:val="single" w:color="000000" w:sz="4" w:space="0"/>
            </w:tcBorders>
            <w:vAlign w:val="top"/>
          </w:tcPr>
          <w:p w14:paraId="7F7E566C">
            <w:pPr>
              <w:rPr>
                <w:rFonts w:ascii="Arial"/>
                <w:sz w:val="21"/>
              </w:rPr>
            </w:pPr>
          </w:p>
        </w:tc>
      </w:tr>
      <w:tr w14:paraId="05D367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189" w:type="dxa"/>
            <w:tcBorders>
              <w:left w:val="single" w:color="000000" w:sz="4" w:space="0"/>
            </w:tcBorders>
            <w:vAlign w:val="top"/>
          </w:tcPr>
          <w:p w14:paraId="3607C5C3">
            <w:pPr>
              <w:rPr>
                <w:rFonts w:ascii="Arial"/>
                <w:sz w:val="21"/>
              </w:rPr>
            </w:pPr>
          </w:p>
        </w:tc>
        <w:tc>
          <w:tcPr>
            <w:tcW w:w="1313" w:type="dxa"/>
            <w:tcBorders>
              <w:right w:val="single" w:color="000000" w:sz="4" w:space="0"/>
            </w:tcBorders>
            <w:vAlign w:val="top"/>
          </w:tcPr>
          <w:p w14:paraId="71A19F9A">
            <w:pPr>
              <w:rPr>
                <w:rFonts w:ascii="Arial"/>
                <w:sz w:val="21"/>
              </w:rPr>
            </w:pPr>
          </w:p>
        </w:tc>
        <w:tc>
          <w:tcPr>
            <w:tcW w:w="1248" w:type="dxa"/>
            <w:tcBorders>
              <w:left w:val="single" w:color="000000" w:sz="4" w:space="0"/>
              <w:right w:val="single" w:color="000000" w:sz="4" w:space="0"/>
            </w:tcBorders>
            <w:vAlign w:val="top"/>
          </w:tcPr>
          <w:p w14:paraId="4E11998B">
            <w:pPr>
              <w:rPr>
                <w:rFonts w:ascii="Arial"/>
                <w:sz w:val="21"/>
              </w:rPr>
            </w:pPr>
          </w:p>
        </w:tc>
        <w:tc>
          <w:tcPr>
            <w:tcW w:w="1249" w:type="dxa"/>
            <w:tcBorders>
              <w:left w:val="single" w:color="000000" w:sz="4" w:space="0"/>
            </w:tcBorders>
            <w:vAlign w:val="top"/>
          </w:tcPr>
          <w:p w14:paraId="07BBE61C">
            <w:pPr>
              <w:rPr>
                <w:rFonts w:ascii="Arial"/>
                <w:sz w:val="21"/>
              </w:rPr>
            </w:pPr>
          </w:p>
        </w:tc>
        <w:tc>
          <w:tcPr>
            <w:tcW w:w="1248" w:type="dxa"/>
            <w:tcBorders>
              <w:right w:val="single" w:color="000000" w:sz="4" w:space="0"/>
            </w:tcBorders>
            <w:vAlign w:val="top"/>
          </w:tcPr>
          <w:p w14:paraId="40DA2E66">
            <w:pPr>
              <w:rPr>
                <w:rFonts w:ascii="Arial"/>
                <w:sz w:val="21"/>
              </w:rPr>
            </w:pPr>
          </w:p>
        </w:tc>
        <w:tc>
          <w:tcPr>
            <w:tcW w:w="1249" w:type="dxa"/>
            <w:tcBorders>
              <w:left w:val="single" w:color="000000" w:sz="4" w:space="0"/>
            </w:tcBorders>
            <w:vAlign w:val="top"/>
          </w:tcPr>
          <w:p w14:paraId="2E69AE9C">
            <w:pPr>
              <w:rPr>
                <w:rFonts w:ascii="Arial"/>
                <w:sz w:val="21"/>
              </w:rPr>
            </w:pPr>
          </w:p>
        </w:tc>
        <w:tc>
          <w:tcPr>
            <w:tcW w:w="1256" w:type="dxa"/>
            <w:tcBorders>
              <w:right w:val="single" w:color="000000" w:sz="4" w:space="0"/>
            </w:tcBorders>
            <w:vAlign w:val="top"/>
          </w:tcPr>
          <w:p w14:paraId="02E08F95">
            <w:pPr>
              <w:rPr>
                <w:rFonts w:ascii="Arial"/>
                <w:sz w:val="21"/>
              </w:rPr>
            </w:pPr>
          </w:p>
        </w:tc>
      </w:tr>
      <w:tr w14:paraId="3233E6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189" w:type="dxa"/>
            <w:tcBorders>
              <w:left w:val="single" w:color="000000" w:sz="4" w:space="0"/>
            </w:tcBorders>
            <w:vAlign w:val="top"/>
          </w:tcPr>
          <w:p w14:paraId="2BE52F69">
            <w:pPr>
              <w:rPr>
                <w:rFonts w:ascii="Arial"/>
                <w:sz w:val="21"/>
              </w:rPr>
            </w:pPr>
          </w:p>
        </w:tc>
        <w:tc>
          <w:tcPr>
            <w:tcW w:w="1313" w:type="dxa"/>
            <w:tcBorders>
              <w:right w:val="single" w:color="000000" w:sz="4" w:space="0"/>
            </w:tcBorders>
            <w:vAlign w:val="top"/>
          </w:tcPr>
          <w:p w14:paraId="6E4FCA99">
            <w:pPr>
              <w:rPr>
                <w:rFonts w:ascii="Arial"/>
                <w:sz w:val="21"/>
              </w:rPr>
            </w:pPr>
          </w:p>
        </w:tc>
        <w:tc>
          <w:tcPr>
            <w:tcW w:w="1248" w:type="dxa"/>
            <w:tcBorders>
              <w:left w:val="single" w:color="000000" w:sz="4" w:space="0"/>
              <w:right w:val="single" w:color="000000" w:sz="4" w:space="0"/>
            </w:tcBorders>
            <w:vAlign w:val="top"/>
          </w:tcPr>
          <w:p w14:paraId="53079910">
            <w:pPr>
              <w:rPr>
                <w:rFonts w:ascii="Arial"/>
                <w:sz w:val="21"/>
              </w:rPr>
            </w:pPr>
          </w:p>
        </w:tc>
        <w:tc>
          <w:tcPr>
            <w:tcW w:w="1249" w:type="dxa"/>
            <w:tcBorders>
              <w:left w:val="single" w:color="000000" w:sz="4" w:space="0"/>
            </w:tcBorders>
            <w:vAlign w:val="top"/>
          </w:tcPr>
          <w:p w14:paraId="733353AE">
            <w:pPr>
              <w:rPr>
                <w:rFonts w:ascii="Arial"/>
                <w:sz w:val="21"/>
              </w:rPr>
            </w:pPr>
          </w:p>
        </w:tc>
        <w:tc>
          <w:tcPr>
            <w:tcW w:w="1248" w:type="dxa"/>
            <w:tcBorders>
              <w:right w:val="single" w:color="000000" w:sz="4" w:space="0"/>
            </w:tcBorders>
            <w:vAlign w:val="top"/>
          </w:tcPr>
          <w:p w14:paraId="01892097">
            <w:pPr>
              <w:rPr>
                <w:rFonts w:ascii="Arial"/>
                <w:sz w:val="21"/>
              </w:rPr>
            </w:pPr>
          </w:p>
        </w:tc>
        <w:tc>
          <w:tcPr>
            <w:tcW w:w="1249" w:type="dxa"/>
            <w:tcBorders>
              <w:left w:val="single" w:color="000000" w:sz="4" w:space="0"/>
            </w:tcBorders>
            <w:vAlign w:val="top"/>
          </w:tcPr>
          <w:p w14:paraId="3FE1793F">
            <w:pPr>
              <w:rPr>
                <w:rFonts w:ascii="Arial"/>
                <w:sz w:val="21"/>
              </w:rPr>
            </w:pPr>
          </w:p>
        </w:tc>
        <w:tc>
          <w:tcPr>
            <w:tcW w:w="1256" w:type="dxa"/>
            <w:tcBorders>
              <w:right w:val="single" w:color="000000" w:sz="4" w:space="0"/>
            </w:tcBorders>
            <w:vAlign w:val="top"/>
          </w:tcPr>
          <w:p w14:paraId="62CA08BD">
            <w:pPr>
              <w:rPr>
                <w:rFonts w:ascii="Arial"/>
                <w:sz w:val="21"/>
              </w:rPr>
            </w:pPr>
          </w:p>
        </w:tc>
      </w:tr>
      <w:tr w14:paraId="528E7A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4A81B1C6">
            <w:pPr>
              <w:rPr>
                <w:rFonts w:ascii="Arial"/>
                <w:sz w:val="21"/>
              </w:rPr>
            </w:pPr>
          </w:p>
        </w:tc>
        <w:tc>
          <w:tcPr>
            <w:tcW w:w="1313" w:type="dxa"/>
            <w:tcBorders>
              <w:right w:val="single" w:color="000000" w:sz="4" w:space="0"/>
            </w:tcBorders>
            <w:vAlign w:val="top"/>
          </w:tcPr>
          <w:p w14:paraId="3A99ACB2">
            <w:pPr>
              <w:rPr>
                <w:rFonts w:ascii="Arial"/>
                <w:sz w:val="21"/>
              </w:rPr>
            </w:pPr>
          </w:p>
        </w:tc>
        <w:tc>
          <w:tcPr>
            <w:tcW w:w="1248" w:type="dxa"/>
            <w:tcBorders>
              <w:left w:val="single" w:color="000000" w:sz="4" w:space="0"/>
              <w:right w:val="single" w:color="000000" w:sz="4" w:space="0"/>
            </w:tcBorders>
            <w:vAlign w:val="top"/>
          </w:tcPr>
          <w:p w14:paraId="500AE45C">
            <w:pPr>
              <w:rPr>
                <w:rFonts w:ascii="Arial"/>
                <w:sz w:val="21"/>
              </w:rPr>
            </w:pPr>
          </w:p>
        </w:tc>
        <w:tc>
          <w:tcPr>
            <w:tcW w:w="1249" w:type="dxa"/>
            <w:tcBorders>
              <w:left w:val="single" w:color="000000" w:sz="4" w:space="0"/>
            </w:tcBorders>
            <w:vAlign w:val="top"/>
          </w:tcPr>
          <w:p w14:paraId="5DB80C57">
            <w:pPr>
              <w:rPr>
                <w:rFonts w:ascii="Arial"/>
                <w:sz w:val="21"/>
              </w:rPr>
            </w:pPr>
          </w:p>
        </w:tc>
        <w:tc>
          <w:tcPr>
            <w:tcW w:w="1248" w:type="dxa"/>
            <w:tcBorders>
              <w:right w:val="single" w:color="000000" w:sz="4" w:space="0"/>
            </w:tcBorders>
            <w:vAlign w:val="top"/>
          </w:tcPr>
          <w:p w14:paraId="3DE92DE3">
            <w:pPr>
              <w:rPr>
                <w:rFonts w:ascii="Arial"/>
                <w:sz w:val="21"/>
              </w:rPr>
            </w:pPr>
          </w:p>
        </w:tc>
        <w:tc>
          <w:tcPr>
            <w:tcW w:w="1249" w:type="dxa"/>
            <w:tcBorders>
              <w:left w:val="single" w:color="000000" w:sz="4" w:space="0"/>
            </w:tcBorders>
            <w:vAlign w:val="top"/>
          </w:tcPr>
          <w:p w14:paraId="4EAC84BA">
            <w:pPr>
              <w:rPr>
                <w:rFonts w:ascii="Arial"/>
                <w:sz w:val="21"/>
              </w:rPr>
            </w:pPr>
          </w:p>
        </w:tc>
        <w:tc>
          <w:tcPr>
            <w:tcW w:w="1256" w:type="dxa"/>
            <w:tcBorders>
              <w:right w:val="single" w:color="000000" w:sz="4" w:space="0"/>
            </w:tcBorders>
            <w:vAlign w:val="top"/>
          </w:tcPr>
          <w:p w14:paraId="5097A700">
            <w:pPr>
              <w:rPr>
                <w:rFonts w:ascii="Arial"/>
                <w:sz w:val="21"/>
              </w:rPr>
            </w:pPr>
          </w:p>
        </w:tc>
      </w:tr>
      <w:tr w14:paraId="7D9FA5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189" w:type="dxa"/>
            <w:tcBorders>
              <w:left w:val="single" w:color="000000" w:sz="4" w:space="0"/>
            </w:tcBorders>
            <w:vAlign w:val="top"/>
          </w:tcPr>
          <w:p w14:paraId="26331BAA">
            <w:pPr>
              <w:rPr>
                <w:rFonts w:ascii="Arial"/>
                <w:sz w:val="21"/>
              </w:rPr>
            </w:pPr>
          </w:p>
        </w:tc>
        <w:tc>
          <w:tcPr>
            <w:tcW w:w="1313" w:type="dxa"/>
            <w:tcBorders>
              <w:right w:val="single" w:color="000000" w:sz="4" w:space="0"/>
            </w:tcBorders>
            <w:vAlign w:val="top"/>
          </w:tcPr>
          <w:p w14:paraId="4AF5795A">
            <w:pPr>
              <w:rPr>
                <w:rFonts w:ascii="Arial"/>
                <w:sz w:val="21"/>
              </w:rPr>
            </w:pPr>
          </w:p>
        </w:tc>
        <w:tc>
          <w:tcPr>
            <w:tcW w:w="1248" w:type="dxa"/>
            <w:tcBorders>
              <w:left w:val="single" w:color="000000" w:sz="4" w:space="0"/>
              <w:right w:val="single" w:color="000000" w:sz="4" w:space="0"/>
            </w:tcBorders>
            <w:vAlign w:val="top"/>
          </w:tcPr>
          <w:p w14:paraId="1C32931F">
            <w:pPr>
              <w:rPr>
                <w:rFonts w:ascii="Arial"/>
                <w:sz w:val="21"/>
              </w:rPr>
            </w:pPr>
          </w:p>
        </w:tc>
        <w:tc>
          <w:tcPr>
            <w:tcW w:w="1249" w:type="dxa"/>
            <w:tcBorders>
              <w:left w:val="single" w:color="000000" w:sz="4" w:space="0"/>
            </w:tcBorders>
            <w:vAlign w:val="top"/>
          </w:tcPr>
          <w:p w14:paraId="1E7F054A">
            <w:pPr>
              <w:rPr>
                <w:rFonts w:ascii="Arial"/>
                <w:sz w:val="21"/>
              </w:rPr>
            </w:pPr>
          </w:p>
        </w:tc>
        <w:tc>
          <w:tcPr>
            <w:tcW w:w="1248" w:type="dxa"/>
            <w:tcBorders>
              <w:right w:val="single" w:color="000000" w:sz="4" w:space="0"/>
            </w:tcBorders>
            <w:vAlign w:val="top"/>
          </w:tcPr>
          <w:p w14:paraId="75E5B228">
            <w:pPr>
              <w:rPr>
                <w:rFonts w:ascii="Arial"/>
                <w:sz w:val="21"/>
              </w:rPr>
            </w:pPr>
          </w:p>
        </w:tc>
        <w:tc>
          <w:tcPr>
            <w:tcW w:w="1249" w:type="dxa"/>
            <w:tcBorders>
              <w:left w:val="single" w:color="000000" w:sz="4" w:space="0"/>
            </w:tcBorders>
            <w:vAlign w:val="top"/>
          </w:tcPr>
          <w:p w14:paraId="7D89B2E8">
            <w:pPr>
              <w:rPr>
                <w:rFonts w:ascii="Arial"/>
                <w:sz w:val="21"/>
              </w:rPr>
            </w:pPr>
          </w:p>
        </w:tc>
        <w:tc>
          <w:tcPr>
            <w:tcW w:w="1256" w:type="dxa"/>
            <w:tcBorders>
              <w:right w:val="single" w:color="000000" w:sz="4" w:space="0"/>
            </w:tcBorders>
            <w:vAlign w:val="top"/>
          </w:tcPr>
          <w:p w14:paraId="1525156B">
            <w:pPr>
              <w:rPr>
                <w:rFonts w:ascii="Arial"/>
                <w:sz w:val="21"/>
              </w:rPr>
            </w:pPr>
          </w:p>
        </w:tc>
      </w:tr>
      <w:tr w14:paraId="4DF77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189" w:type="dxa"/>
            <w:tcBorders>
              <w:left w:val="single" w:color="000000" w:sz="4" w:space="0"/>
              <w:bottom w:val="single" w:color="000000" w:sz="4" w:space="0"/>
            </w:tcBorders>
            <w:vAlign w:val="top"/>
          </w:tcPr>
          <w:p w14:paraId="2AFC6A17">
            <w:pPr>
              <w:rPr>
                <w:rFonts w:ascii="Arial"/>
                <w:sz w:val="21"/>
              </w:rPr>
            </w:pPr>
          </w:p>
        </w:tc>
        <w:tc>
          <w:tcPr>
            <w:tcW w:w="1313" w:type="dxa"/>
            <w:tcBorders>
              <w:bottom w:val="single" w:color="000000" w:sz="4" w:space="0"/>
              <w:right w:val="single" w:color="000000" w:sz="4" w:space="0"/>
            </w:tcBorders>
            <w:vAlign w:val="top"/>
          </w:tcPr>
          <w:p w14:paraId="30BE83C6">
            <w:pPr>
              <w:rPr>
                <w:rFonts w:ascii="Arial"/>
                <w:sz w:val="21"/>
              </w:rPr>
            </w:pPr>
          </w:p>
        </w:tc>
        <w:tc>
          <w:tcPr>
            <w:tcW w:w="1248" w:type="dxa"/>
            <w:tcBorders>
              <w:left w:val="single" w:color="000000" w:sz="4" w:space="0"/>
              <w:bottom w:val="single" w:color="000000" w:sz="4" w:space="0"/>
              <w:right w:val="single" w:color="000000" w:sz="4" w:space="0"/>
            </w:tcBorders>
            <w:vAlign w:val="top"/>
          </w:tcPr>
          <w:p w14:paraId="27A00D31">
            <w:pPr>
              <w:rPr>
                <w:rFonts w:ascii="Arial"/>
                <w:sz w:val="21"/>
              </w:rPr>
            </w:pPr>
          </w:p>
        </w:tc>
        <w:tc>
          <w:tcPr>
            <w:tcW w:w="1249" w:type="dxa"/>
            <w:tcBorders>
              <w:left w:val="single" w:color="000000" w:sz="4" w:space="0"/>
              <w:bottom w:val="single" w:color="000000" w:sz="4" w:space="0"/>
            </w:tcBorders>
            <w:vAlign w:val="top"/>
          </w:tcPr>
          <w:p w14:paraId="640F6359">
            <w:pPr>
              <w:rPr>
                <w:rFonts w:ascii="Arial"/>
                <w:sz w:val="21"/>
              </w:rPr>
            </w:pPr>
          </w:p>
        </w:tc>
        <w:tc>
          <w:tcPr>
            <w:tcW w:w="1248" w:type="dxa"/>
            <w:tcBorders>
              <w:bottom w:val="single" w:color="000000" w:sz="4" w:space="0"/>
              <w:right w:val="single" w:color="000000" w:sz="4" w:space="0"/>
            </w:tcBorders>
            <w:vAlign w:val="top"/>
          </w:tcPr>
          <w:p w14:paraId="1487CA10">
            <w:pPr>
              <w:rPr>
                <w:rFonts w:ascii="Arial"/>
                <w:sz w:val="21"/>
              </w:rPr>
            </w:pPr>
          </w:p>
        </w:tc>
        <w:tc>
          <w:tcPr>
            <w:tcW w:w="1249" w:type="dxa"/>
            <w:tcBorders>
              <w:left w:val="single" w:color="000000" w:sz="4" w:space="0"/>
              <w:bottom w:val="single" w:color="000000" w:sz="4" w:space="0"/>
            </w:tcBorders>
            <w:vAlign w:val="top"/>
          </w:tcPr>
          <w:p w14:paraId="63F3E73C">
            <w:pPr>
              <w:rPr>
                <w:rFonts w:ascii="Arial"/>
                <w:sz w:val="21"/>
              </w:rPr>
            </w:pPr>
          </w:p>
        </w:tc>
        <w:tc>
          <w:tcPr>
            <w:tcW w:w="1256" w:type="dxa"/>
            <w:tcBorders>
              <w:bottom w:val="single" w:color="000000" w:sz="4" w:space="0"/>
              <w:right w:val="single" w:color="000000" w:sz="4" w:space="0"/>
            </w:tcBorders>
            <w:vAlign w:val="top"/>
          </w:tcPr>
          <w:p w14:paraId="5422BC1A">
            <w:pPr>
              <w:rPr>
                <w:rFonts w:ascii="Arial"/>
                <w:sz w:val="21"/>
              </w:rPr>
            </w:pPr>
          </w:p>
        </w:tc>
      </w:tr>
    </w:tbl>
    <w:p w14:paraId="4898A679">
      <w:pPr>
        <w:spacing w:line="308" w:lineRule="auto"/>
        <w:rPr>
          <w:rFonts w:ascii="Arial"/>
          <w:sz w:val="21"/>
        </w:rPr>
      </w:pPr>
    </w:p>
    <w:p w14:paraId="109A0EEE">
      <w:pPr>
        <w:spacing w:line="308" w:lineRule="auto"/>
        <w:rPr>
          <w:rFonts w:ascii="Arial"/>
          <w:sz w:val="21"/>
        </w:rPr>
      </w:pPr>
    </w:p>
    <w:p w14:paraId="1145EF77">
      <w:pPr>
        <w:spacing w:line="308" w:lineRule="auto"/>
        <w:rPr>
          <w:rFonts w:ascii="Arial"/>
          <w:sz w:val="21"/>
        </w:rPr>
      </w:pPr>
    </w:p>
    <w:p w14:paraId="5A10E85E">
      <w:pPr>
        <w:spacing w:before="65" w:line="227" w:lineRule="auto"/>
        <w:jc w:val="right"/>
        <w:rPr>
          <w:rFonts w:ascii="宋体" w:hAnsi="宋体" w:eastAsia="宋体" w:cs="宋体"/>
          <w:sz w:val="20"/>
          <w:szCs w:val="20"/>
        </w:rPr>
      </w:pPr>
      <w:r>
        <w:rPr>
          <w:rFonts w:ascii="宋体" w:hAnsi="宋体" w:eastAsia="宋体" w:cs="宋体"/>
          <w:spacing w:val="-2"/>
          <w:sz w:val="20"/>
          <w:szCs w:val="20"/>
        </w:rPr>
        <w:t>评标委员会成员签名：</w:t>
      </w:r>
      <w:r>
        <w:rPr>
          <w:rFonts w:ascii="宋体" w:hAnsi="宋体" w:eastAsia="宋体" w:cs="宋体"/>
          <w:spacing w:val="1"/>
          <w:sz w:val="20"/>
          <w:szCs w:val="20"/>
        </w:rPr>
        <w:t xml:space="preserve">                                       </w:t>
      </w:r>
      <w:r>
        <w:rPr>
          <w:rFonts w:ascii="宋体" w:hAnsi="宋体" w:eastAsia="宋体" w:cs="宋体"/>
          <w:spacing w:val="-2"/>
          <w:sz w:val="20"/>
          <w:szCs w:val="20"/>
        </w:rPr>
        <w:t>日期</w:t>
      </w:r>
      <w:r>
        <w:rPr>
          <w:rFonts w:ascii="宋体" w:hAnsi="宋体" w:eastAsia="宋体" w:cs="宋体"/>
          <w:spacing w:val="-45"/>
          <w:sz w:val="20"/>
          <w:szCs w:val="20"/>
        </w:rPr>
        <w:t xml:space="preserve"> </w:t>
      </w:r>
      <w:r>
        <w:rPr>
          <w:rFonts w:ascii="宋体" w:hAnsi="宋体" w:eastAsia="宋体" w:cs="宋体"/>
          <w:spacing w:val="-2"/>
          <w:sz w:val="20"/>
          <w:szCs w:val="20"/>
        </w:rPr>
        <w:t>:</w:t>
      </w:r>
      <w:r>
        <w:rPr>
          <w:rFonts w:ascii="宋体" w:hAnsi="宋体" w:eastAsia="宋体" w:cs="宋体"/>
          <w:spacing w:val="6"/>
          <w:sz w:val="20"/>
          <w:szCs w:val="20"/>
        </w:rPr>
        <w:t xml:space="preserve">     </w:t>
      </w:r>
      <w:r>
        <w:rPr>
          <w:rFonts w:ascii="宋体" w:hAnsi="宋体" w:eastAsia="宋体" w:cs="宋体"/>
          <w:spacing w:val="-2"/>
          <w:sz w:val="20"/>
          <w:szCs w:val="20"/>
        </w:rPr>
        <w:t>年</w:t>
      </w:r>
      <w:r>
        <w:rPr>
          <w:rFonts w:ascii="宋体" w:hAnsi="宋体" w:eastAsia="宋体" w:cs="宋体"/>
          <w:spacing w:val="8"/>
          <w:sz w:val="20"/>
          <w:szCs w:val="20"/>
        </w:rPr>
        <w:t xml:space="preserve">     </w:t>
      </w:r>
      <w:r>
        <w:rPr>
          <w:rFonts w:ascii="宋体" w:hAnsi="宋体" w:eastAsia="宋体" w:cs="宋体"/>
          <w:spacing w:val="-2"/>
          <w:sz w:val="20"/>
          <w:szCs w:val="20"/>
        </w:rPr>
        <w:t>月</w:t>
      </w:r>
      <w:r>
        <w:rPr>
          <w:rFonts w:ascii="宋体" w:hAnsi="宋体" w:eastAsia="宋体" w:cs="宋体"/>
          <w:spacing w:val="14"/>
          <w:sz w:val="20"/>
          <w:szCs w:val="20"/>
        </w:rPr>
        <w:t xml:space="preserve">     </w:t>
      </w:r>
      <w:r>
        <w:rPr>
          <w:rFonts w:ascii="宋体" w:hAnsi="宋体" w:eastAsia="宋体" w:cs="宋体"/>
          <w:spacing w:val="-2"/>
          <w:sz w:val="20"/>
          <w:szCs w:val="20"/>
        </w:rPr>
        <w:t>日</w:t>
      </w:r>
    </w:p>
    <w:p w14:paraId="39DB6108">
      <w:pPr>
        <w:spacing w:line="227" w:lineRule="auto"/>
        <w:rPr>
          <w:rFonts w:ascii="宋体" w:hAnsi="宋体" w:eastAsia="宋体" w:cs="宋体"/>
          <w:sz w:val="20"/>
          <w:szCs w:val="20"/>
        </w:rPr>
        <w:sectPr>
          <w:footerReference r:id="rId150" w:type="default"/>
          <w:pgSz w:w="11907" w:h="16840"/>
          <w:pgMar w:top="400" w:right="1600" w:bottom="1038" w:left="1484" w:header="0" w:footer="787" w:gutter="0"/>
          <w:cols w:space="720" w:num="1"/>
        </w:sectPr>
      </w:pPr>
    </w:p>
    <w:p w14:paraId="5A337A52">
      <w:pPr>
        <w:spacing w:line="265" w:lineRule="auto"/>
        <w:rPr>
          <w:rFonts w:ascii="Arial"/>
          <w:sz w:val="21"/>
        </w:rPr>
      </w:pPr>
    </w:p>
    <w:p w14:paraId="1238FD21">
      <w:pPr>
        <w:spacing w:line="265" w:lineRule="auto"/>
        <w:rPr>
          <w:rFonts w:ascii="Arial"/>
          <w:sz w:val="21"/>
        </w:rPr>
      </w:pPr>
    </w:p>
    <w:p w14:paraId="3C20CBC3">
      <w:pPr>
        <w:spacing w:line="266" w:lineRule="auto"/>
        <w:rPr>
          <w:rFonts w:ascii="Arial"/>
          <w:sz w:val="21"/>
        </w:rPr>
      </w:pPr>
    </w:p>
    <w:p w14:paraId="704EF8A6">
      <w:pPr>
        <w:spacing w:line="266" w:lineRule="auto"/>
        <w:rPr>
          <w:rFonts w:ascii="Arial"/>
          <w:sz w:val="21"/>
        </w:rPr>
      </w:pPr>
    </w:p>
    <w:p w14:paraId="12F70ED8">
      <w:pPr>
        <w:spacing w:line="266" w:lineRule="auto"/>
        <w:rPr>
          <w:rFonts w:ascii="Arial"/>
          <w:sz w:val="21"/>
        </w:rPr>
      </w:pPr>
    </w:p>
    <w:p w14:paraId="233112D5">
      <w:pPr>
        <w:pStyle w:val="2"/>
        <w:spacing w:before="78" w:line="222" w:lineRule="auto"/>
        <w:ind w:left="15"/>
        <w:outlineLvl w:val="1"/>
        <w:rPr>
          <w:sz w:val="24"/>
          <w:szCs w:val="24"/>
        </w:rPr>
      </w:pPr>
      <w:r>
        <w:rPr>
          <w:spacing w:val="-5"/>
          <w:sz w:val="24"/>
          <w:szCs w:val="24"/>
        </w:rPr>
        <w:t>附表</w:t>
      </w:r>
      <w:r>
        <w:rPr>
          <w:spacing w:val="-45"/>
          <w:sz w:val="24"/>
          <w:szCs w:val="24"/>
        </w:rPr>
        <w:t xml:space="preserve"> </w:t>
      </w:r>
      <w:r>
        <w:rPr>
          <w:rFonts w:ascii="Times New Roman" w:hAnsi="Times New Roman" w:eastAsia="Times New Roman" w:cs="Times New Roman"/>
          <w:spacing w:val="-5"/>
          <w:sz w:val="24"/>
          <w:szCs w:val="24"/>
        </w:rPr>
        <w:t>C-6</w:t>
      </w:r>
      <w:r>
        <w:rPr>
          <w:rFonts w:ascii="Times New Roman" w:hAnsi="Times New Roman" w:eastAsia="Times New Roman" w:cs="Times New Roman"/>
          <w:spacing w:val="-15"/>
          <w:sz w:val="24"/>
          <w:szCs w:val="24"/>
        </w:rPr>
        <w:t xml:space="preserve"> </w:t>
      </w:r>
      <w:r>
        <w:rPr>
          <w:spacing w:val="-5"/>
          <w:sz w:val="24"/>
          <w:szCs w:val="24"/>
        </w:rPr>
        <w:t>：清标报告</w:t>
      </w:r>
      <w:r>
        <w:rPr>
          <w:rFonts w:ascii="Times New Roman" w:hAnsi="Times New Roman" w:eastAsia="Times New Roman" w:cs="Times New Roman"/>
          <w:spacing w:val="-5"/>
          <w:sz w:val="24"/>
          <w:szCs w:val="24"/>
        </w:rPr>
        <w:t>-</w:t>
      </w:r>
      <w:r>
        <w:rPr>
          <w:spacing w:val="-5"/>
          <w:sz w:val="24"/>
          <w:szCs w:val="24"/>
        </w:rPr>
        <w:t>算术错误检查</w:t>
      </w:r>
    </w:p>
    <w:p w14:paraId="49EC2E74">
      <w:pPr>
        <w:spacing w:line="346" w:lineRule="auto"/>
        <w:rPr>
          <w:rFonts w:ascii="Arial"/>
          <w:sz w:val="21"/>
        </w:rPr>
      </w:pPr>
    </w:p>
    <w:p w14:paraId="5615E569">
      <w:pPr>
        <w:spacing w:line="347" w:lineRule="auto"/>
        <w:rPr>
          <w:rFonts w:ascii="Arial"/>
          <w:sz w:val="21"/>
        </w:rPr>
      </w:pPr>
    </w:p>
    <w:p w14:paraId="034202D8">
      <w:pPr>
        <w:pStyle w:val="2"/>
        <w:spacing w:before="101" w:line="392" w:lineRule="auto"/>
        <w:ind w:left="3" w:right="2767" w:firstLine="2777"/>
        <w:rPr>
          <w:rFonts w:ascii="宋体" w:hAnsi="宋体" w:eastAsia="宋体" w:cs="宋体"/>
          <w:sz w:val="20"/>
          <w:szCs w:val="20"/>
        </w:rPr>
      </w:pPr>
      <w:bookmarkStart w:id="202" w:name="bookmark183"/>
      <w:bookmarkEnd w:id="202"/>
      <w:r>
        <w:rPr>
          <w:spacing w:val="8"/>
          <w:sz w:val="31"/>
          <w:szCs w:val="31"/>
        </w:rPr>
        <w:t>清标报告-算术错误检查</w:t>
      </w:r>
      <w:r>
        <w:rPr>
          <w:rFonts w:ascii="宋体" w:hAnsi="宋体" w:eastAsia="宋体" w:cs="宋体"/>
          <w:spacing w:val="6"/>
          <w:sz w:val="20"/>
          <w:szCs w:val="20"/>
        </w:rPr>
        <w:t>投标人名称：</w:t>
      </w:r>
    </w:p>
    <w:p w14:paraId="2F269AE3">
      <w:pPr>
        <w:spacing w:line="215" w:lineRule="exact"/>
      </w:pPr>
    </w:p>
    <w:tbl>
      <w:tblPr>
        <w:tblStyle w:val="5"/>
        <w:tblW w:w="8752" w:type="dxa"/>
        <w:tblInd w:w="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28"/>
        <w:gridCol w:w="1169"/>
        <w:gridCol w:w="853"/>
        <w:gridCol w:w="316"/>
        <w:gridCol w:w="1169"/>
        <w:gridCol w:w="1170"/>
        <w:gridCol w:w="1170"/>
        <w:gridCol w:w="1177"/>
      </w:tblGrid>
      <w:tr w14:paraId="7B2E3F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3750" w:type="dxa"/>
            <w:gridSpan w:val="3"/>
            <w:tcBorders>
              <w:top w:val="single" w:color="000000" w:sz="4" w:space="0"/>
              <w:left w:val="single" w:color="000000" w:sz="4" w:space="0"/>
              <w:bottom w:val="single" w:color="000000" w:sz="4" w:space="0"/>
            </w:tcBorders>
            <w:vAlign w:val="top"/>
          </w:tcPr>
          <w:p w14:paraId="655D22A6">
            <w:pPr>
              <w:pStyle w:val="6"/>
              <w:spacing w:before="231" w:line="229" w:lineRule="auto"/>
              <w:ind w:left="1281"/>
              <w:rPr>
                <w:sz w:val="19"/>
                <w:szCs w:val="19"/>
              </w:rPr>
            </w:pPr>
            <w:r>
              <w:rPr>
                <w:spacing w:val="8"/>
                <w:sz w:val="19"/>
                <w:szCs w:val="19"/>
              </w:rPr>
              <w:t>建设项目名称</w:t>
            </w:r>
          </w:p>
        </w:tc>
        <w:tc>
          <w:tcPr>
            <w:tcW w:w="5002" w:type="dxa"/>
            <w:gridSpan w:val="5"/>
            <w:tcBorders>
              <w:top w:val="single" w:color="000000" w:sz="4" w:space="0"/>
              <w:bottom w:val="single" w:color="000000" w:sz="4" w:space="0"/>
              <w:right w:val="single" w:color="000000" w:sz="4" w:space="0"/>
            </w:tcBorders>
            <w:vAlign w:val="top"/>
          </w:tcPr>
          <w:p w14:paraId="45FB4B3C">
            <w:pPr>
              <w:rPr>
                <w:rFonts w:ascii="Arial"/>
                <w:sz w:val="21"/>
              </w:rPr>
            </w:pPr>
          </w:p>
        </w:tc>
      </w:tr>
      <w:tr w14:paraId="22397A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8752" w:type="dxa"/>
            <w:gridSpan w:val="8"/>
            <w:tcBorders>
              <w:top w:val="single" w:color="000000" w:sz="4" w:space="0"/>
              <w:left w:val="single" w:color="000000" w:sz="4" w:space="0"/>
              <w:right w:val="single" w:color="000000" w:sz="4" w:space="0"/>
            </w:tcBorders>
            <w:vAlign w:val="top"/>
          </w:tcPr>
          <w:p w14:paraId="5DB727CD">
            <w:pPr>
              <w:pStyle w:val="6"/>
              <w:spacing w:before="201" w:line="228" w:lineRule="auto"/>
              <w:ind w:left="3577"/>
              <w:rPr>
                <w:sz w:val="19"/>
                <w:szCs w:val="19"/>
              </w:rPr>
            </w:pPr>
            <w:r>
              <w:rPr>
                <w:b/>
                <w:bCs/>
                <w:spacing w:val="7"/>
                <w:sz w:val="19"/>
                <w:szCs w:val="19"/>
              </w:rPr>
              <w:t>六、算术错误检查</w:t>
            </w:r>
          </w:p>
        </w:tc>
      </w:tr>
      <w:tr w14:paraId="442340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8" w:hRule="atLeast"/>
        </w:trPr>
        <w:tc>
          <w:tcPr>
            <w:tcW w:w="1728" w:type="dxa"/>
            <w:tcBorders>
              <w:left w:val="single" w:color="000000" w:sz="4" w:space="0"/>
            </w:tcBorders>
            <w:vAlign w:val="top"/>
          </w:tcPr>
          <w:p w14:paraId="55120868">
            <w:pPr>
              <w:pStyle w:val="6"/>
              <w:spacing w:before="159" w:line="228" w:lineRule="auto"/>
              <w:ind w:left="369"/>
              <w:rPr>
                <w:sz w:val="19"/>
                <w:szCs w:val="19"/>
              </w:rPr>
            </w:pPr>
            <w:r>
              <w:rPr>
                <w:spacing w:val="7"/>
                <w:sz w:val="19"/>
                <w:szCs w:val="19"/>
              </w:rPr>
              <w:t>项目编码或</w:t>
            </w:r>
          </w:p>
          <w:p w14:paraId="52A4BF98">
            <w:pPr>
              <w:pStyle w:val="6"/>
              <w:spacing w:before="24" w:line="229" w:lineRule="auto"/>
              <w:ind w:left="369"/>
              <w:rPr>
                <w:sz w:val="19"/>
                <w:szCs w:val="19"/>
              </w:rPr>
            </w:pPr>
            <w:r>
              <w:rPr>
                <w:spacing w:val="7"/>
                <w:sz w:val="19"/>
                <w:szCs w:val="19"/>
              </w:rPr>
              <w:t>项目名称或</w:t>
            </w:r>
          </w:p>
          <w:p w14:paraId="38EF90FA">
            <w:pPr>
              <w:pStyle w:val="6"/>
              <w:spacing w:before="23" w:line="229" w:lineRule="auto"/>
              <w:ind w:left="166"/>
              <w:rPr>
                <w:sz w:val="19"/>
                <w:szCs w:val="19"/>
              </w:rPr>
            </w:pPr>
            <w:r>
              <w:rPr>
                <w:spacing w:val="8"/>
                <w:sz w:val="19"/>
                <w:szCs w:val="19"/>
              </w:rPr>
              <w:t>单位工程名称或</w:t>
            </w:r>
          </w:p>
          <w:p w14:paraId="1645092A">
            <w:pPr>
              <w:pStyle w:val="6"/>
              <w:spacing w:before="25" w:line="229" w:lineRule="auto"/>
              <w:ind w:left="166"/>
              <w:rPr>
                <w:sz w:val="19"/>
                <w:szCs w:val="19"/>
              </w:rPr>
            </w:pPr>
            <w:r>
              <w:rPr>
                <w:spacing w:val="8"/>
                <w:sz w:val="19"/>
                <w:szCs w:val="19"/>
              </w:rPr>
              <w:t>单项工程名称或</w:t>
            </w:r>
          </w:p>
          <w:p w14:paraId="11C4B4CB">
            <w:pPr>
              <w:pStyle w:val="6"/>
              <w:spacing w:before="24" w:line="228" w:lineRule="auto"/>
              <w:ind w:left="464"/>
              <w:rPr>
                <w:sz w:val="19"/>
                <w:szCs w:val="19"/>
              </w:rPr>
            </w:pPr>
            <w:r>
              <w:rPr>
                <w:spacing w:val="8"/>
                <w:sz w:val="19"/>
                <w:szCs w:val="19"/>
              </w:rPr>
              <w:t>表格名称</w:t>
            </w:r>
          </w:p>
        </w:tc>
        <w:tc>
          <w:tcPr>
            <w:tcW w:w="1169" w:type="dxa"/>
            <w:tcBorders>
              <w:right w:val="single" w:color="000000" w:sz="4" w:space="0"/>
            </w:tcBorders>
            <w:vAlign w:val="top"/>
          </w:tcPr>
          <w:p w14:paraId="2136D45F">
            <w:pPr>
              <w:pStyle w:val="6"/>
              <w:spacing w:before="33" w:line="227" w:lineRule="auto"/>
              <w:ind w:left="130"/>
              <w:rPr>
                <w:sz w:val="19"/>
                <w:szCs w:val="19"/>
              </w:rPr>
            </w:pPr>
            <w:r>
              <w:rPr>
                <w:spacing w:val="7"/>
                <w:sz w:val="19"/>
                <w:szCs w:val="19"/>
              </w:rPr>
              <w:t>人工费</w:t>
            </w:r>
            <w:r>
              <w:rPr>
                <w:rFonts w:ascii="Times New Roman" w:hAnsi="Times New Roman" w:eastAsia="Times New Roman" w:cs="Times New Roman"/>
                <w:spacing w:val="7"/>
                <w:sz w:val="19"/>
                <w:szCs w:val="19"/>
              </w:rPr>
              <w:t>+</w:t>
            </w:r>
            <w:r>
              <w:rPr>
                <w:spacing w:val="7"/>
                <w:sz w:val="19"/>
                <w:szCs w:val="19"/>
              </w:rPr>
              <w:t>材</w:t>
            </w:r>
          </w:p>
          <w:p w14:paraId="1CF8CD33">
            <w:pPr>
              <w:pStyle w:val="6"/>
              <w:spacing w:before="25" w:line="227" w:lineRule="auto"/>
              <w:ind w:left="129"/>
              <w:rPr>
                <w:sz w:val="19"/>
                <w:szCs w:val="19"/>
              </w:rPr>
            </w:pPr>
            <w:r>
              <w:rPr>
                <w:spacing w:val="7"/>
                <w:sz w:val="19"/>
                <w:szCs w:val="19"/>
              </w:rPr>
              <w:t>料费</w:t>
            </w:r>
            <w:r>
              <w:rPr>
                <w:rFonts w:ascii="Times New Roman" w:hAnsi="Times New Roman" w:eastAsia="Times New Roman" w:cs="Times New Roman"/>
                <w:spacing w:val="7"/>
                <w:sz w:val="19"/>
                <w:szCs w:val="19"/>
              </w:rPr>
              <w:t>+</w:t>
            </w:r>
            <w:r>
              <w:rPr>
                <w:spacing w:val="7"/>
                <w:sz w:val="19"/>
                <w:szCs w:val="19"/>
              </w:rPr>
              <w:t>机械</w:t>
            </w:r>
          </w:p>
          <w:p w14:paraId="752A721A">
            <w:pPr>
              <w:pStyle w:val="6"/>
              <w:spacing w:before="25" w:line="228" w:lineRule="auto"/>
              <w:ind w:left="140"/>
              <w:rPr>
                <w:sz w:val="19"/>
                <w:szCs w:val="19"/>
              </w:rPr>
            </w:pPr>
            <w:r>
              <w:rPr>
                <w:spacing w:val="5"/>
                <w:sz w:val="19"/>
                <w:szCs w:val="19"/>
              </w:rPr>
              <w:t>费</w:t>
            </w:r>
            <w:r>
              <w:rPr>
                <w:rFonts w:ascii="Times New Roman" w:hAnsi="Times New Roman" w:eastAsia="Times New Roman" w:cs="Times New Roman"/>
                <w:spacing w:val="5"/>
                <w:sz w:val="19"/>
                <w:szCs w:val="19"/>
              </w:rPr>
              <w:t>+</w:t>
            </w:r>
            <w:r>
              <w:rPr>
                <w:spacing w:val="5"/>
                <w:sz w:val="19"/>
                <w:szCs w:val="19"/>
              </w:rPr>
              <w:t>管理费</w:t>
            </w:r>
          </w:p>
          <w:p w14:paraId="79EBD62F">
            <w:pPr>
              <w:pStyle w:val="6"/>
              <w:spacing w:before="24" w:line="228" w:lineRule="auto"/>
              <w:ind w:left="125"/>
              <w:rPr>
                <w:sz w:val="19"/>
                <w:szCs w:val="19"/>
              </w:rPr>
            </w:pPr>
            <w:r>
              <w:rPr>
                <w:rFonts w:ascii="Times New Roman" w:hAnsi="Times New Roman" w:eastAsia="Times New Roman" w:cs="Times New Roman"/>
                <w:spacing w:val="8"/>
                <w:sz w:val="19"/>
                <w:szCs w:val="19"/>
              </w:rPr>
              <w:t>+</w:t>
            </w:r>
            <w:r>
              <w:rPr>
                <w:spacing w:val="8"/>
                <w:sz w:val="19"/>
                <w:szCs w:val="19"/>
              </w:rPr>
              <w:t>利润不等</w:t>
            </w:r>
          </w:p>
          <w:p w14:paraId="4106E517">
            <w:pPr>
              <w:pStyle w:val="6"/>
              <w:spacing w:before="24" w:line="229" w:lineRule="auto"/>
              <w:ind w:left="190"/>
              <w:rPr>
                <w:sz w:val="19"/>
                <w:szCs w:val="19"/>
              </w:rPr>
            </w:pPr>
            <w:r>
              <w:rPr>
                <w:spacing w:val="7"/>
                <w:sz w:val="19"/>
                <w:szCs w:val="19"/>
              </w:rPr>
              <w:t>于综合单</w:t>
            </w:r>
          </w:p>
          <w:p w14:paraId="42BC391C">
            <w:pPr>
              <w:pStyle w:val="6"/>
              <w:spacing w:before="23" w:line="213" w:lineRule="auto"/>
              <w:ind w:left="487"/>
              <w:rPr>
                <w:sz w:val="19"/>
                <w:szCs w:val="19"/>
              </w:rPr>
            </w:pPr>
            <w:r>
              <w:rPr>
                <w:sz w:val="19"/>
                <w:szCs w:val="19"/>
              </w:rPr>
              <w:t>价</w:t>
            </w:r>
          </w:p>
        </w:tc>
        <w:tc>
          <w:tcPr>
            <w:tcW w:w="1169" w:type="dxa"/>
            <w:gridSpan w:val="2"/>
            <w:tcBorders>
              <w:left w:val="single" w:color="000000" w:sz="4" w:space="0"/>
              <w:right w:val="single" w:color="000000" w:sz="4" w:space="0"/>
            </w:tcBorders>
            <w:vAlign w:val="top"/>
          </w:tcPr>
          <w:p w14:paraId="040FEEE7">
            <w:pPr>
              <w:spacing w:line="355" w:lineRule="auto"/>
              <w:rPr>
                <w:rFonts w:ascii="Arial"/>
                <w:sz w:val="21"/>
              </w:rPr>
            </w:pPr>
          </w:p>
          <w:p w14:paraId="4F86C7AA">
            <w:pPr>
              <w:pStyle w:val="6"/>
              <w:spacing w:before="62" w:line="252" w:lineRule="auto"/>
              <w:ind w:left="188" w:right="181"/>
              <w:jc w:val="both"/>
              <w:rPr>
                <w:sz w:val="19"/>
                <w:szCs w:val="19"/>
              </w:rPr>
            </w:pPr>
            <w:r>
              <w:rPr>
                <w:spacing w:val="7"/>
                <w:sz w:val="19"/>
                <w:szCs w:val="19"/>
              </w:rPr>
              <w:t>综合单价×数量不等于总价</w:t>
            </w:r>
          </w:p>
        </w:tc>
        <w:tc>
          <w:tcPr>
            <w:tcW w:w="1169" w:type="dxa"/>
            <w:tcBorders>
              <w:left w:val="single" w:color="000000" w:sz="4" w:space="0"/>
            </w:tcBorders>
            <w:vAlign w:val="top"/>
          </w:tcPr>
          <w:p w14:paraId="4A199B2D">
            <w:pPr>
              <w:pStyle w:val="6"/>
              <w:spacing w:before="159" w:line="229" w:lineRule="auto"/>
              <w:ind w:left="191"/>
              <w:rPr>
                <w:sz w:val="19"/>
                <w:szCs w:val="19"/>
              </w:rPr>
            </w:pPr>
            <w:r>
              <w:rPr>
                <w:spacing w:val="7"/>
                <w:sz w:val="19"/>
                <w:szCs w:val="19"/>
              </w:rPr>
              <w:t>各项费用</w:t>
            </w:r>
          </w:p>
          <w:p w14:paraId="0BD2492E">
            <w:pPr>
              <w:pStyle w:val="6"/>
              <w:spacing w:before="23" w:line="229" w:lineRule="auto"/>
              <w:ind w:left="191"/>
              <w:rPr>
                <w:sz w:val="19"/>
                <w:szCs w:val="19"/>
              </w:rPr>
            </w:pPr>
            <w:r>
              <w:rPr>
                <w:spacing w:val="7"/>
                <w:sz w:val="19"/>
                <w:szCs w:val="19"/>
              </w:rPr>
              <w:t>分项之和</w:t>
            </w:r>
          </w:p>
          <w:p w14:paraId="65B90DB4">
            <w:pPr>
              <w:pStyle w:val="6"/>
              <w:spacing w:before="23" w:line="228" w:lineRule="auto"/>
              <w:ind w:left="191"/>
              <w:rPr>
                <w:sz w:val="19"/>
                <w:szCs w:val="19"/>
              </w:rPr>
            </w:pPr>
            <w:r>
              <w:rPr>
                <w:spacing w:val="7"/>
                <w:sz w:val="19"/>
                <w:szCs w:val="19"/>
              </w:rPr>
              <w:t>不等于各</w:t>
            </w:r>
          </w:p>
          <w:p w14:paraId="37A61A30">
            <w:pPr>
              <w:pStyle w:val="6"/>
              <w:spacing w:before="27" w:line="252" w:lineRule="auto"/>
              <w:ind w:left="488" w:right="181" w:hanging="297"/>
              <w:rPr>
                <w:sz w:val="19"/>
                <w:szCs w:val="19"/>
              </w:rPr>
            </w:pPr>
            <w:r>
              <w:rPr>
                <w:spacing w:val="7"/>
                <w:sz w:val="19"/>
                <w:szCs w:val="19"/>
              </w:rPr>
              <w:t>项费用总</w:t>
            </w:r>
            <w:r>
              <w:rPr>
                <w:sz w:val="19"/>
                <w:szCs w:val="19"/>
              </w:rPr>
              <w:t>价</w:t>
            </w:r>
          </w:p>
        </w:tc>
        <w:tc>
          <w:tcPr>
            <w:tcW w:w="1170" w:type="dxa"/>
            <w:tcBorders>
              <w:right w:val="single" w:color="000000" w:sz="4" w:space="0"/>
            </w:tcBorders>
            <w:vAlign w:val="top"/>
          </w:tcPr>
          <w:p w14:paraId="03A4C6CE">
            <w:pPr>
              <w:pStyle w:val="6"/>
              <w:spacing w:before="292" w:line="252" w:lineRule="auto"/>
              <w:ind w:left="195" w:right="177"/>
              <w:jc w:val="both"/>
              <w:rPr>
                <w:sz w:val="19"/>
                <w:szCs w:val="19"/>
              </w:rPr>
            </w:pPr>
            <w:r>
              <w:rPr>
                <w:spacing w:val="7"/>
                <w:sz w:val="19"/>
                <w:szCs w:val="19"/>
              </w:rPr>
              <w:t>单位工程各项费用之和不等</w:t>
            </w:r>
            <w:r>
              <w:rPr>
                <w:spacing w:val="39"/>
                <w:sz w:val="19"/>
                <w:szCs w:val="19"/>
              </w:rPr>
              <w:t>于总价</w:t>
            </w:r>
          </w:p>
        </w:tc>
        <w:tc>
          <w:tcPr>
            <w:tcW w:w="1170" w:type="dxa"/>
            <w:tcBorders>
              <w:left w:val="single" w:color="000000" w:sz="4" w:space="0"/>
            </w:tcBorders>
            <w:vAlign w:val="top"/>
          </w:tcPr>
          <w:p w14:paraId="640B7E5C">
            <w:pPr>
              <w:pStyle w:val="6"/>
              <w:spacing w:before="159" w:line="229" w:lineRule="auto"/>
              <w:ind w:left="191"/>
              <w:rPr>
                <w:sz w:val="19"/>
                <w:szCs w:val="19"/>
              </w:rPr>
            </w:pPr>
            <w:r>
              <w:rPr>
                <w:spacing w:val="7"/>
                <w:sz w:val="19"/>
                <w:szCs w:val="19"/>
              </w:rPr>
              <w:t>单位工程</w:t>
            </w:r>
          </w:p>
          <w:p w14:paraId="7019C2C2">
            <w:pPr>
              <w:pStyle w:val="6"/>
              <w:spacing w:before="23" w:line="227" w:lineRule="auto"/>
              <w:ind w:left="195"/>
              <w:rPr>
                <w:sz w:val="19"/>
                <w:szCs w:val="19"/>
              </w:rPr>
            </w:pPr>
            <w:r>
              <w:rPr>
                <w:spacing w:val="6"/>
                <w:sz w:val="19"/>
                <w:szCs w:val="19"/>
              </w:rPr>
              <w:t>总价之和</w:t>
            </w:r>
          </w:p>
          <w:p w14:paraId="23FFECC5">
            <w:pPr>
              <w:pStyle w:val="6"/>
              <w:spacing w:before="26" w:line="228" w:lineRule="auto"/>
              <w:ind w:left="192"/>
              <w:rPr>
                <w:sz w:val="19"/>
                <w:szCs w:val="19"/>
              </w:rPr>
            </w:pPr>
            <w:r>
              <w:rPr>
                <w:spacing w:val="7"/>
                <w:sz w:val="19"/>
                <w:szCs w:val="19"/>
              </w:rPr>
              <w:t>不等于单</w:t>
            </w:r>
          </w:p>
          <w:p w14:paraId="06F50E9C">
            <w:pPr>
              <w:pStyle w:val="6"/>
              <w:spacing w:before="27" w:line="252" w:lineRule="auto"/>
              <w:ind w:left="489" w:right="181" w:hanging="297"/>
              <w:rPr>
                <w:sz w:val="19"/>
                <w:szCs w:val="19"/>
              </w:rPr>
            </w:pPr>
            <w:r>
              <w:rPr>
                <w:spacing w:val="7"/>
                <w:sz w:val="19"/>
                <w:szCs w:val="19"/>
              </w:rPr>
              <w:t>项工程总</w:t>
            </w:r>
            <w:r>
              <w:rPr>
                <w:sz w:val="19"/>
                <w:szCs w:val="19"/>
              </w:rPr>
              <w:t>价</w:t>
            </w:r>
          </w:p>
        </w:tc>
        <w:tc>
          <w:tcPr>
            <w:tcW w:w="1177" w:type="dxa"/>
            <w:tcBorders>
              <w:right w:val="single" w:color="000000" w:sz="4" w:space="0"/>
            </w:tcBorders>
            <w:vAlign w:val="top"/>
          </w:tcPr>
          <w:p w14:paraId="242D3D84">
            <w:pPr>
              <w:pStyle w:val="6"/>
              <w:spacing w:before="159" w:line="229" w:lineRule="auto"/>
              <w:ind w:left="195"/>
              <w:rPr>
                <w:sz w:val="19"/>
                <w:szCs w:val="19"/>
              </w:rPr>
            </w:pPr>
            <w:r>
              <w:rPr>
                <w:spacing w:val="7"/>
                <w:sz w:val="19"/>
                <w:szCs w:val="19"/>
              </w:rPr>
              <w:t>单项工程</w:t>
            </w:r>
          </w:p>
          <w:p w14:paraId="7D103007">
            <w:pPr>
              <w:pStyle w:val="6"/>
              <w:spacing w:before="23" w:line="227" w:lineRule="auto"/>
              <w:ind w:left="198"/>
              <w:rPr>
                <w:sz w:val="19"/>
                <w:szCs w:val="19"/>
              </w:rPr>
            </w:pPr>
            <w:r>
              <w:rPr>
                <w:spacing w:val="6"/>
                <w:sz w:val="19"/>
                <w:szCs w:val="19"/>
              </w:rPr>
              <w:t>总价之和</w:t>
            </w:r>
          </w:p>
          <w:p w14:paraId="52F21C14">
            <w:pPr>
              <w:pStyle w:val="6"/>
              <w:spacing w:before="26" w:line="228" w:lineRule="auto"/>
              <w:ind w:left="196"/>
              <w:rPr>
                <w:sz w:val="19"/>
                <w:szCs w:val="19"/>
              </w:rPr>
            </w:pPr>
            <w:r>
              <w:rPr>
                <w:spacing w:val="7"/>
                <w:sz w:val="19"/>
                <w:szCs w:val="19"/>
              </w:rPr>
              <w:t>不等于建</w:t>
            </w:r>
          </w:p>
          <w:p w14:paraId="25D0A2E9">
            <w:pPr>
              <w:pStyle w:val="6"/>
              <w:spacing w:before="27" w:line="252" w:lineRule="auto"/>
              <w:ind w:left="493" w:right="184" w:hanging="297"/>
              <w:rPr>
                <w:sz w:val="19"/>
                <w:szCs w:val="19"/>
              </w:rPr>
            </w:pPr>
            <w:r>
              <w:rPr>
                <w:spacing w:val="7"/>
                <w:sz w:val="19"/>
                <w:szCs w:val="19"/>
              </w:rPr>
              <w:t>设项目总</w:t>
            </w:r>
            <w:r>
              <w:rPr>
                <w:sz w:val="19"/>
                <w:szCs w:val="19"/>
              </w:rPr>
              <w:t>价</w:t>
            </w:r>
          </w:p>
        </w:tc>
      </w:tr>
      <w:tr w14:paraId="585A1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728" w:type="dxa"/>
            <w:tcBorders>
              <w:left w:val="single" w:color="000000" w:sz="4" w:space="0"/>
            </w:tcBorders>
            <w:vAlign w:val="top"/>
          </w:tcPr>
          <w:p w14:paraId="5635F80D">
            <w:pPr>
              <w:rPr>
                <w:rFonts w:ascii="Arial"/>
                <w:sz w:val="21"/>
              </w:rPr>
            </w:pPr>
          </w:p>
        </w:tc>
        <w:tc>
          <w:tcPr>
            <w:tcW w:w="1169" w:type="dxa"/>
            <w:tcBorders>
              <w:right w:val="single" w:color="000000" w:sz="4" w:space="0"/>
            </w:tcBorders>
            <w:vAlign w:val="top"/>
          </w:tcPr>
          <w:p w14:paraId="43CA4855">
            <w:pPr>
              <w:rPr>
                <w:rFonts w:ascii="Arial"/>
                <w:sz w:val="21"/>
              </w:rPr>
            </w:pPr>
          </w:p>
        </w:tc>
        <w:tc>
          <w:tcPr>
            <w:tcW w:w="1169" w:type="dxa"/>
            <w:gridSpan w:val="2"/>
            <w:tcBorders>
              <w:left w:val="single" w:color="000000" w:sz="4" w:space="0"/>
              <w:right w:val="single" w:color="000000" w:sz="4" w:space="0"/>
            </w:tcBorders>
            <w:vAlign w:val="top"/>
          </w:tcPr>
          <w:p w14:paraId="0D7B061C">
            <w:pPr>
              <w:rPr>
                <w:rFonts w:ascii="Arial"/>
                <w:sz w:val="21"/>
              </w:rPr>
            </w:pPr>
          </w:p>
        </w:tc>
        <w:tc>
          <w:tcPr>
            <w:tcW w:w="1169" w:type="dxa"/>
            <w:tcBorders>
              <w:left w:val="single" w:color="000000" w:sz="4" w:space="0"/>
            </w:tcBorders>
            <w:vAlign w:val="top"/>
          </w:tcPr>
          <w:p w14:paraId="1046F8B8">
            <w:pPr>
              <w:rPr>
                <w:rFonts w:ascii="Arial"/>
                <w:sz w:val="21"/>
              </w:rPr>
            </w:pPr>
          </w:p>
        </w:tc>
        <w:tc>
          <w:tcPr>
            <w:tcW w:w="1170" w:type="dxa"/>
            <w:tcBorders>
              <w:right w:val="single" w:color="000000" w:sz="4" w:space="0"/>
            </w:tcBorders>
            <w:vAlign w:val="top"/>
          </w:tcPr>
          <w:p w14:paraId="0C35DDE8">
            <w:pPr>
              <w:rPr>
                <w:rFonts w:ascii="Arial"/>
                <w:sz w:val="21"/>
              </w:rPr>
            </w:pPr>
          </w:p>
        </w:tc>
        <w:tc>
          <w:tcPr>
            <w:tcW w:w="1170" w:type="dxa"/>
            <w:tcBorders>
              <w:left w:val="single" w:color="000000" w:sz="4" w:space="0"/>
            </w:tcBorders>
            <w:vAlign w:val="top"/>
          </w:tcPr>
          <w:p w14:paraId="72085AC4">
            <w:pPr>
              <w:rPr>
                <w:rFonts w:ascii="Arial"/>
                <w:sz w:val="21"/>
              </w:rPr>
            </w:pPr>
          </w:p>
        </w:tc>
        <w:tc>
          <w:tcPr>
            <w:tcW w:w="1177" w:type="dxa"/>
            <w:tcBorders>
              <w:right w:val="single" w:color="000000" w:sz="4" w:space="0"/>
            </w:tcBorders>
            <w:vAlign w:val="top"/>
          </w:tcPr>
          <w:p w14:paraId="48ADF08A">
            <w:pPr>
              <w:rPr>
                <w:rFonts w:ascii="Arial"/>
                <w:sz w:val="21"/>
              </w:rPr>
            </w:pPr>
          </w:p>
        </w:tc>
      </w:tr>
      <w:tr w14:paraId="445432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728" w:type="dxa"/>
            <w:tcBorders>
              <w:left w:val="single" w:color="000000" w:sz="4" w:space="0"/>
            </w:tcBorders>
            <w:vAlign w:val="top"/>
          </w:tcPr>
          <w:p w14:paraId="043FFEC5">
            <w:pPr>
              <w:rPr>
                <w:rFonts w:ascii="Arial"/>
                <w:sz w:val="21"/>
              </w:rPr>
            </w:pPr>
          </w:p>
        </w:tc>
        <w:tc>
          <w:tcPr>
            <w:tcW w:w="1169" w:type="dxa"/>
            <w:tcBorders>
              <w:right w:val="single" w:color="000000" w:sz="4" w:space="0"/>
            </w:tcBorders>
            <w:vAlign w:val="top"/>
          </w:tcPr>
          <w:p w14:paraId="7E9D08E3">
            <w:pPr>
              <w:rPr>
                <w:rFonts w:ascii="Arial"/>
                <w:sz w:val="21"/>
              </w:rPr>
            </w:pPr>
          </w:p>
        </w:tc>
        <w:tc>
          <w:tcPr>
            <w:tcW w:w="1169" w:type="dxa"/>
            <w:gridSpan w:val="2"/>
            <w:tcBorders>
              <w:left w:val="single" w:color="000000" w:sz="4" w:space="0"/>
              <w:right w:val="single" w:color="000000" w:sz="4" w:space="0"/>
            </w:tcBorders>
            <w:vAlign w:val="top"/>
          </w:tcPr>
          <w:p w14:paraId="08F6943D">
            <w:pPr>
              <w:rPr>
                <w:rFonts w:ascii="Arial"/>
                <w:sz w:val="21"/>
              </w:rPr>
            </w:pPr>
          </w:p>
        </w:tc>
        <w:tc>
          <w:tcPr>
            <w:tcW w:w="1169" w:type="dxa"/>
            <w:tcBorders>
              <w:left w:val="single" w:color="000000" w:sz="4" w:space="0"/>
            </w:tcBorders>
            <w:vAlign w:val="top"/>
          </w:tcPr>
          <w:p w14:paraId="1B9DD893">
            <w:pPr>
              <w:rPr>
                <w:rFonts w:ascii="Arial"/>
                <w:sz w:val="21"/>
              </w:rPr>
            </w:pPr>
          </w:p>
        </w:tc>
        <w:tc>
          <w:tcPr>
            <w:tcW w:w="1170" w:type="dxa"/>
            <w:tcBorders>
              <w:right w:val="single" w:color="000000" w:sz="4" w:space="0"/>
            </w:tcBorders>
            <w:vAlign w:val="top"/>
          </w:tcPr>
          <w:p w14:paraId="784AF6C1">
            <w:pPr>
              <w:rPr>
                <w:rFonts w:ascii="Arial"/>
                <w:sz w:val="21"/>
              </w:rPr>
            </w:pPr>
          </w:p>
        </w:tc>
        <w:tc>
          <w:tcPr>
            <w:tcW w:w="1170" w:type="dxa"/>
            <w:tcBorders>
              <w:left w:val="single" w:color="000000" w:sz="4" w:space="0"/>
            </w:tcBorders>
            <w:vAlign w:val="top"/>
          </w:tcPr>
          <w:p w14:paraId="293FD0A4">
            <w:pPr>
              <w:rPr>
                <w:rFonts w:ascii="Arial"/>
                <w:sz w:val="21"/>
              </w:rPr>
            </w:pPr>
          </w:p>
        </w:tc>
        <w:tc>
          <w:tcPr>
            <w:tcW w:w="1177" w:type="dxa"/>
            <w:tcBorders>
              <w:right w:val="single" w:color="000000" w:sz="4" w:space="0"/>
            </w:tcBorders>
            <w:vAlign w:val="top"/>
          </w:tcPr>
          <w:p w14:paraId="5839E1B8">
            <w:pPr>
              <w:rPr>
                <w:rFonts w:ascii="Arial"/>
                <w:sz w:val="21"/>
              </w:rPr>
            </w:pPr>
          </w:p>
        </w:tc>
      </w:tr>
      <w:tr w14:paraId="060C3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728" w:type="dxa"/>
            <w:tcBorders>
              <w:left w:val="single" w:color="000000" w:sz="4" w:space="0"/>
            </w:tcBorders>
            <w:vAlign w:val="top"/>
          </w:tcPr>
          <w:p w14:paraId="2739D9D2">
            <w:pPr>
              <w:rPr>
                <w:rFonts w:ascii="Arial"/>
                <w:sz w:val="21"/>
              </w:rPr>
            </w:pPr>
          </w:p>
        </w:tc>
        <w:tc>
          <w:tcPr>
            <w:tcW w:w="1169" w:type="dxa"/>
            <w:tcBorders>
              <w:right w:val="single" w:color="000000" w:sz="4" w:space="0"/>
            </w:tcBorders>
            <w:vAlign w:val="top"/>
          </w:tcPr>
          <w:p w14:paraId="68F34B7A">
            <w:pPr>
              <w:rPr>
                <w:rFonts w:ascii="Arial"/>
                <w:sz w:val="21"/>
              </w:rPr>
            </w:pPr>
          </w:p>
        </w:tc>
        <w:tc>
          <w:tcPr>
            <w:tcW w:w="1169" w:type="dxa"/>
            <w:gridSpan w:val="2"/>
            <w:tcBorders>
              <w:left w:val="single" w:color="000000" w:sz="4" w:space="0"/>
              <w:right w:val="single" w:color="000000" w:sz="4" w:space="0"/>
            </w:tcBorders>
            <w:vAlign w:val="top"/>
          </w:tcPr>
          <w:p w14:paraId="4C07A25A">
            <w:pPr>
              <w:rPr>
                <w:rFonts w:ascii="Arial"/>
                <w:sz w:val="21"/>
              </w:rPr>
            </w:pPr>
          </w:p>
        </w:tc>
        <w:tc>
          <w:tcPr>
            <w:tcW w:w="1169" w:type="dxa"/>
            <w:tcBorders>
              <w:left w:val="single" w:color="000000" w:sz="4" w:space="0"/>
            </w:tcBorders>
            <w:vAlign w:val="top"/>
          </w:tcPr>
          <w:p w14:paraId="59F9BD68">
            <w:pPr>
              <w:rPr>
                <w:rFonts w:ascii="Arial"/>
                <w:sz w:val="21"/>
              </w:rPr>
            </w:pPr>
          </w:p>
        </w:tc>
        <w:tc>
          <w:tcPr>
            <w:tcW w:w="1170" w:type="dxa"/>
            <w:tcBorders>
              <w:right w:val="single" w:color="000000" w:sz="4" w:space="0"/>
            </w:tcBorders>
            <w:vAlign w:val="top"/>
          </w:tcPr>
          <w:p w14:paraId="7D6354C8">
            <w:pPr>
              <w:rPr>
                <w:rFonts w:ascii="Arial"/>
                <w:sz w:val="21"/>
              </w:rPr>
            </w:pPr>
          </w:p>
        </w:tc>
        <w:tc>
          <w:tcPr>
            <w:tcW w:w="1170" w:type="dxa"/>
            <w:tcBorders>
              <w:left w:val="single" w:color="000000" w:sz="4" w:space="0"/>
            </w:tcBorders>
            <w:vAlign w:val="top"/>
          </w:tcPr>
          <w:p w14:paraId="7C896CF7">
            <w:pPr>
              <w:rPr>
                <w:rFonts w:ascii="Arial"/>
                <w:sz w:val="21"/>
              </w:rPr>
            </w:pPr>
          </w:p>
        </w:tc>
        <w:tc>
          <w:tcPr>
            <w:tcW w:w="1177" w:type="dxa"/>
            <w:tcBorders>
              <w:right w:val="single" w:color="000000" w:sz="4" w:space="0"/>
            </w:tcBorders>
            <w:vAlign w:val="top"/>
          </w:tcPr>
          <w:p w14:paraId="6EAF0284">
            <w:pPr>
              <w:rPr>
                <w:rFonts w:ascii="Arial"/>
                <w:sz w:val="21"/>
              </w:rPr>
            </w:pPr>
          </w:p>
        </w:tc>
      </w:tr>
      <w:tr w14:paraId="3F28B1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728" w:type="dxa"/>
            <w:tcBorders>
              <w:left w:val="single" w:color="000000" w:sz="4" w:space="0"/>
            </w:tcBorders>
            <w:vAlign w:val="top"/>
          </w:tcPr>
          <w:p w14:paraId="7FA33833">
            <w:pPr>
              <w:rPr>
                <w:rFonts w:ascii="Arial"/>
                <w:sz w:val="21"/>
              </w:rPr>
            </w:pPr>
          </w:p>
        </w:tc>
        <w:tc>
          <w:tcPr>
            <w:tcW w:w="1169" w:type="dxa"/>
            <w:tcBorders>
              <w:right w:val="single" w:color="000000" w:sz="4" w:space="0"/>
            </w:tcBorders>
            <w:vAlign w:val="top"/>
          </w:tcPr>
          <w:p w14:paraId="129EA7EE">
            <w:pPr>
              <w:rPr>
                <w:rFonts w:ascii="Arial"/>
                <w:sz w:val="21"/>
              </w:rPr>
            </w:pPr>
          </w:p>
        </w:tc>
        <w:tc>
          <w:tcPr>
            <w:tcW w:w="1169" w:type="dxa"/>
            <w:gridSpan w:val="2"/>
            <w:tcBorders>
              <w:left w:val="single" w:color="000000" w:sz="4" w:space="0"/>
              <w:right w:val="single" w:color="000000" w:sz="4" w:space="0"/>
            </w:tcBorders>
            <w:vAlign w:val="top"/>
          </w:tcPr>
          <w:p w14:paraId="030FEC80">
            <w:pPr>
              <w:rPr>
                <w:rFonts w:ascii="Arial"/>
                <w:sz w:val="21"/>
              </w:rPr>
            </w:pPr>
          </w:p>
        </w:tc>
        <w:tc>
          <w:tcPr>
            <w:tcW w:w="1169" w:type="dxa"/>
            <w:tcBorders>
              <w:left w:val="single" w:color="000000" w:sz="4" w:space="0"/>
            </w:tcBorders>
            <w:vAlign w:val="top"/>
          </w:tcPr>
          <w:p w14:paraId="42357DA3">
            <w:pPr>
              <w:rPr>
                <w:rFonts w:ascii="Arial"/>
                <w:sz w:val="21"/>
              </w:rPr>
            </w:pPr>
          </w:p>
        </w:tc>
        <w:tc>
          <w:tcPr>
            <w:tcW w:w="1170" w:type="dxa"/>
            <w:tcBorders>
              <w:right w:val="single" w:color="000000" w:sz="4" w:space="0"/>
            </w:tcBorders>
            <w:vAlign w:val="top"/>
          </w:tcPr>
          <w:p w14:paraId="47B58F9C">
            <w:pPr>
              <w:rPr>
                <w:rFonts w:ascii="Arial"/>
                <w:sz w:val="21"/>
              </w:rPr>
            </w:pPr>
          </w:p>
        </w:tc>
        <w:tc>
          <w:tcPr>
            <w:tcW w:w="1170" w:type="dxa"/>
            <w:tcBorders>
              <w:left w:val="single" w:color="000000" w:sz="4" w:space="0"/>
            </w:tcBorders>
            <w:vAlign w:val="top"/>
          </w:tcPr>
          <w:p w14:paraId="04F9B793">
            <w:pPr>
              <w:rPr>
                <w:rFonts w:ascii="Arial"/>
                <w:sz w:val="21"/>
              </w:rPr>
            </w:pPr>
          </w:p>
        </w:tc>
        <w:tc>
          <w:tcPr>
            <w:tcW w:w="1177" w:type="dxa"/>
            <w:tcBorders>
              <w:right w:val="single" w:color="000000" w:sz="4" w:space="0"/>
            </w:tcBorders>
            <w:vAlign w:val="top"/>
          </w:tcPr>
          <w:p w14:paraId="0BF8C767">
            <w:pPr>
              <w:rPr>
                <w:rFonts w:ascii="Arial"/>
                <w:sz w:val="21"/>
              </w:rPr>
            </w:pPr>
          </w:p>
        </w:tc>
      </w:tr>
      <w:tr w14:paraId="6922B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728" w:type="dxa"/>
            <w:tcBorders>
              <w:left w:val="single" w:color="000000" w:sz="4" w:space="0"/>
            </w:tcBorders>
            <w:vAlign w:val="top"/>
          </w:tcPr>
          <w:p w14:paraId="54BFA58A">
            <w:pPr>
              <w:rPr>
                <w:rFonts w:ascii="Arial"/>
                <w:sz w:val="21"/>
              </w:rPr>
            </w:pPr>
          </w:p>
        </w:tc>
        <w:tc>
          <w:tcPr>
            <w:tcW w:w="1169" w:type="dxa"/>
            <w:tcBorders>
              <w:right w:val="single" w:color="000000" w:sz="4" w:space="0"/>
            </w:tcBorders>
            <w:vAlign w:val="top"/>
          </w:tcPr>
          <w:p w14:paraId="74FE0170">
            <w:pPr>
              <w:rPr>
                <w:rFonts w:ascii="Arial"/>
                <w:sz w:val="21"/>
              </w:rPr>
            </w:pPr>
          </w:p>
        </w:tc>
        <w:tc>
          <w:tcPr>
            <w:tcW w:w="1169" w:type="dxa"/>
            <w:gridSpan w:val="2"/>
            <w:tcBorders>
              <w:left w:val="single" w:color="000000" w:sz="4" w:space="0"/>
              <w:right w:val="single" w:color="000000" w:sz="4" w:space="0"/>
            </w:tcBorders>
            <w:vAlign w:val="top"/>
          </w:tcPr>
          <w:p w14:paraId="099A6CB7">
            <w:pPr>
              <w:rPr>
                <w:rFonts w:ascii="Arial"/>
                <w:sz w:val="21"/>
              </w:rPr>
            </w:pPr>
          </w:p>
        </w:tc>
        <w:tc>
          <w:tcPr>
            <w:tcW w:w="1169" w:type="dxa"/>
            <w:tcBorders>
              <w:left w:val="single" w:color="000000" w:sz="4" w:space="0"/>
            </w:tcBorders>
            <w:vAlign w:val="top"/>
          </w:tcPr>
          <w:p w14:paraId="18116365">
            <w:pPr>
              <w:rPr>
                <w:rFonts w:ascii="Arial"/>
                <w:sz w:val="21"/>
              </w:rPr>
            </w:pPr>
          </w:p>
        </w:tc>
        <w:tc>
          <w:tcPr>
            <w:tcW w:w="1170" w:type="dxa"/>
            <w:tcBorders>
              <w:right w:val="single" w:color="000000" w:sz="4" w:space="0"/>
            </w:tcBorders>
            <w:vAlign w:val="top"/>
          </w:tcPr>
          <w:p w14:paraId="00E386E0">
            <w:pPr>
              <w:rPr>
                <w:rFonts w:ascii="Arial"/>
                <w:sz w:val="21"/>
              </w:rPr>
            </w:pPr>
          </w:p>
        </w:tc>
        <w:tc>
          <w:tcPr>
            <w:tcW w:w="1170" w:type="dxa"/>
            <w:tcBorders>
              <w:left w:val="single" w:color="000000" w:sz="4" w:space="0"/>
            </w:tcBorders>
            <w:vAlign w:val="top"/>
          </w:tcPr>
          <w:p w14:paraId="4C313C54">
            <w:pPr>
              <w:rPr>
                <w:rFonts w:ascii="Arial"/>
                <w:sz w:val="21"/>
              </w:rPr>
            </w:pPr>
          </w:p>
        </w:tc>
        <w:tc>
          <w:tcPr>
            <w:tcW w:w="1177" w:type="dxa"/>
            <w:tcBorders>
              <w:right w:val="single" w:color="000000" w:sz="4" w:space="0"/>
            </w:tcBorders>
            <w:vAlign w:val="top"/>
          </w:tcPr>
          <w:p w14:paraId="3C32C2CD">
            <w:pPr>
              <w:rPr>
                <w:rFonts w:ascii="Arial"/>
                <w:sz w:val="21"/>
              </w:rPr>
            </w:pPr>
          </w:p>
        </w:tc>
      </w:tr>
      <w:tr w14:paraId="4DB02F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728" w:type="dxa"/>
            <w:tcBorders>
              <w:left w:val="single" w:color="000000" w:sz="4" w:space="0"/>
              <w:bottom w:val="single" w:color="000000" w:sz="4" w:space="0"/>
            </w:tcBorders>
            <w:vAlign w:val="top"/>
          </w:tcPr>
          <w:p w14:paraId="47157064">
            <w:pPr>
              <w:rPr>
                <w:rFonts w:ascii="Arial"/>
                <w:sz w:val="21"/>
              </w:rPr>
            </w:pPr>
          </w:p>
        </w:tc>
        <w:tc>
          <w:tcPr>
            <w:tcW w:w="1169" w:type="dxa"/>
            <w:tcBorders>
              <w:bottom w:val="single" w:color="000000" w:sz="4" w:space="0"/>
              <w:right w:val="single" w:color="000000" w:sz="4" w:space="0"/>
            </w:tcBorders>
            <w:vAlign w:val="top"/>
          </w:tcPr>
          <w:p w14:paraId="5675FE31">
            <w:pPr>
              <w:rPr>
                <w:rFonts w:ascii="Arial"/>
                <w:sz w:val="21"/>
              </w:rPr>
            </w:pPr>
          </w:p>
        </w:tc>
        <w:tc>
          <w:tcPr>
            <w:tcW w:w="1169" w:type="dxa"/>
            <w:gridSpan w:val="2"/>
            <w:tcBorders>
              <w:left w:val="single" w:color="000000" w:sz="4" w:space="0"/>
              <w:bottom w:val="single" w:color="000000" w:sz="4" w:space="0"/>
              <w:right w:val="single" w:color="000000" w:sz="4" w:space="0"/>
            </w:tcBorders>
            <w:vAlign w:val="top"/>
          </w:tcPr>
          <w:p w14:paraId="0A56A791">
            <w:pPr>
              <w:rPr>
                <w:rFonts w:ascii="Arial"/>
                <w:sz w:val="21"/>
              </w:rPr>
            </w:pPr>
          </w:p>
        </w:tc>
        <w:tc>
          <w:tcPr>
            <w:tcW w:w="1169" w:type="dxa"/>
            <w:tcBorders>
              <w:left w:val="single" w:color="000000" w:sz="4" w:space="0"/>
              <w:bottom w:val="single" w:color="000000" w:sz="4" w:space="0"/>
            </w:tcBorders>
            <w:vAlign w:val="top"/>
          </w:tcPr>
          <w:p w14:paraId="391283C6">
            <w:pPr>
              <w:rPr>
                <w:rFonts w:ascii="Arial"/>
                <w:sz w:val="21"/>
              </w:rPr>
            </w:pPr>
          </w:p>
        </w:tc>
        <w:tc>
          <w:tcPr>
            <w:tcW w:w="1170" w:type="dxa"/>
            <w:tcBorders>
              <w:bottom w:val="single" w:color="000000" w:sz="4" w:space="0"/>
              <w:right w:val="single" w:color="000000" w:sz="4" w:space="0"/>
            </w:tcBorders>
            <w:vAlign w:val="top"/>
          </w:tcPr>
          <w:p w14:paraId="170EE32C">
            <w:pPr>
              <w:rPr>
                <w:rFonts w:ascii="Arial"/>
                <w:sz w:val="21"/>
              </w:rPr>
            </w:pPr>
          </w:p>
        </w:tc>
        <w:tc>
          <w:tcPr>
            <w:tcW w:w="1170" w:type="dxa"/>
            <w:tcBorders>
              <w:left w:val="single" w:color="000000" w:sz="4" w:space="0"/>
              <w:bottom w:val="single" w:color="000000" w:sz="4" w:space="0"/>
            </w:tcBorders>
            <w:vAlign w:val="top"/>
          </w:tcPr>
          <w:p w14:paraId="38F0F6BE">
            <w:pPr>
              <w:rPr>
                <w:rFonts w:ascii="Arial"/>
                <w:sz w:val="21"/>
              </w:rPr>
            </w:pPr>
          </w:p>
        </w:tc>
        <w:tc>
          <w:tcPr>
            <w:tcW w:w="1177" w:type="dxa"/>
            <w:tcBorders>
              <w:bottom w:val="single" w:color="000000" w:sz="4" w:space="0"/>
              <w:right w:val="single" w:color="000000" w:sz="4" w:space="0"/>
            </w:tcBorders>
            <w:vAlign w:val="top"/>
          </w:tcPr>
          <w:p w14:paraId="63F53BB7">
            <w:pPr>
              <w:rPr>
                <w:rFonts w:ascii="Arial"/>
                <w:sz w:val="21"/>
              </w:rPr>
            </w:pPr>
          </w:p>
        </w:tc>
      </w:tr>
    </w:tbl>
    <w:p w14:paraId="10AA4AC0">
      <w:pPr>
        <w:spacing w:line="254" w:lineRule="auto"/>
        <w:rPr>
          <w:rFonts w:ascii="Arial"/>
          <w:sz w:val="21"/>
        </w:rPr>
      </w:pPr>
    </w:p>
    <w:p w14:paraId="35C201B4">
      <w:pPr>
        <w:spacing w:line="254" w:lineRule="auto"/>
        <w:rPr>
          <w:rFonts w:ascii="Arial"/>
          <w:sz w:val="21"/>
        </w:rPr>
      </w:pPr>
    </w:p>
    <w:p w14:paraId="7D279977">
      <w:pPr>
        <w:spacing w:before="65" w:line="227" w:lineRule="auto"/>
        <w:rPr>
          <w:rFonts w:ascii="宋体" w:hAnsi="宋体" w:eastAsia="宋体" w:cs="宋体"/>
          <w:sz w:val="20"/>
          <w:szCs w:val="20"/>
        </w:rPr>
      </w:pPr>
      <w:r>
        <w:rPr>
          <w:rFonts w:ascii="宋体" w:hAnsi="宋体" w:eastAsia="宋体" w:cs="宋体"/>
          <w:spacing w:val="1"/>
          <w:sz w:val="20"/>
          <w:szCs w:val="20"/>
        </w:rPr>
        <w:t>评标委员会成员签名：                                       日期</w:t>
      </w:r>
      <w:r>
        <w:rPr>
          <w:rFonts w:ascii="宋体" w:hAnsi="宋体" w:eastAsia="宋体" w:cs="宋体"/>
          <w:spacing w:val="-58"/>
          <w:sz w:val="20"/>
          <w:szCs w:val="20"/>
        </w:rPr>
        <w:t xml:space="preserve"> </w:t>
      </w:r>
      <w:r>
        <w:rPr>
          <w:rFonts w:ascii="宋体" w:hAnsi="宋体" w:eastAsia="宋体" w:cs="宋体"/>
          <w:spacing w:val="1"/>
          <w:sz w:val="20"/>
          <w:szCs w:val="20"/>
        </w:rPr>
        <w:t>:     年</w:t>
      </w:r>
      <w:r>
        <w:rPr>
          <w:rFonts w:ascii="宋体" w:hAnsi="宋体" w:eastAsia="宋体" w:cs="宋体"/>
          <w:spacing w:val="8"/>
          <w:sz w:val="20"/>
          <w:szCs w:val="20"/>
        </w:rPr>
        <w:t xml:space="preserve">     </w:t>
      </w:r>
      <w:r>
        <w:rPr>
          <w:rFonts w:ascii="宋体" w:hAnsi="宋体" w:eastAsia="宋体" w:cs="宋体"/>
          <w:sz w:val="20"/>
          <w:szCs w:val="20"/>
        </w:rPr>
        <w:t>月      日</w:t>
      </w:r>
    </w:p>
    <w:p w14:paraId="597065AE">
      <w:pPr>
        <w:spacing w:line="244" w:lineRule="auto"/>
        <w:rPr>
          <w:rFonts w:ascii="Arial"/>
          <w:sz w:val="21"/>
        </w:rPr>
      </w:pPr>
    </w:p>
    <w:p w14:paraId="204749C7">
      <w:pPr>
        <w:spacing w:line="244" w:lineRule="auto"/>
        <w:rPr>
          <w:rFonts w:ascii="Arial"/>
          <w:sz w:val="21"/>
        </w:rPr>
      </w:pPr>
    </w:p>
    <w:p w14:paraId="37B002C0">
      <w:pPr>
        <w:spacing w:line="244" w:lineRule="auto"/>
        <w:rPr>
          <w:rFonts w:ascii="Arial"/>
          <w:sz w:val="21"/>
        </w:rPr>
      </w:pPr>
    </w:p>
    <w:p w14:paraId="1760B84E">
      <w:pPr>
        <w:spacing w:line="244" w:lineRule="auto"/>
        <w:rPr>
          <w:rFonts w:ascii="Arial"/>
          <w:sz w:val="21"/>
        </w:rPr>
      </w:pPr>
    </w:p>
    <w:p w14:paraId="4F3D3E25">
      <w:pPr>
        <w:spacing w:line="245" w:lineRule="auto"/>
        <w:rPr>
          <w:rFonts w:ascii="Arial"/>
          <w:sz w:val="21"/>
        </w:rPr>
      </w:pPr>
    </w:p>
    <w:p w14:paraId="19B493C1">
      <w:pPr>
        <w:spacing w:line="245" w:lineRule="auto"/>
        <w:rPr>
          <w:rFonts w:ascii="Arial"/>
          <w:sz w:val="21"/>
        </w:rPr>
      </w:pPr>
    </w:p>
    <w:p w14:paraId="3E7BF90B">
      <w:pPr>
        <w:spacing w:line="245" w:lineRule="auto"/>
        <w:rPr>
          <w:rFonts w:ascii="Arial"/>
          <w:sz w:val="21"/>
        </w:rPr>
      </w:pPr>
    </w:p>
    <w:p w14:paraId="0F53DC1D">
      <w:pPr>
        <w:spacing w:line="245" w:lineRule="auto"/>
        <w:rPr>
          <w:rFonts w:ascii="Arial"/>
          <w:sz w:val="21"/>
        </w:rPr>
      </w:pPr>
    </w:p>
    <w:p w14:paraId="401484BE">
      <w:pPr>
        <w:spacing w:line="245" w:lineRule="auto"/>
        <w:rPr>
          <w:rFonts w:ascii="Arial"/>
          <w:sz w:val="21"/>
        </w:rPr>
      </w:pPr>
    </w:p>
    <w:p w14:paraId="7BD73A2E">
      <w:pPr>
        <w:spacing w:line="245" w:lineRule="auto"/>
        <w:rPr>
          <w:rFonts w:ascii="Arial"/>
          <w:sz w:val="21"/>
        </w:rPr>
      </w:pPr>
    </w:p>
    <w:p w14:paraId="4851225A">
      <w:pPr>
        <w:spacing w:line="245" w:lineRule="auto"/>
        <w:rPr>
          <w:rFonts w:ascii="Arial"/>
          <w:sz w:val="21"/>
        </w:rPr>
      </w:pPr>
    </w:p>
    <w:p w14:paraId="6E3FAB2A">
      <w:pPr>
        <w:spacing w:before="65" w:line="252" w:lineRule="auto"/>
        <w:ind w:left="420" w:hanging="420"/>
        <w:rPr>
          <w:rFonts w:ascii="宋体" w:hAnsi="宋体" w:eastAsia="宋体" w:cs="宋体"/>
          <w:sz w:val="20"/>
          <w:szCs w:val="20"/>
        </w:rPr>
      </w:pPr>
      <w:r>
        <w:rPr>
          <w:rFonts w:ascii="宋体" w:hAnsi="宋体" w:eastAsia="宋体" w:cs="宋体"/>
          <w:spacing w:val="5"/>
          <w:sz w:val="20"/>
          <w:szCs w:val="20"/>
        </w:rPr>
        <w:t>注：“算术错误检查</w:t>
      </w:r>
      <w:r>
        <w:rPr>
          <w:rFonts w:ascii="宋体" w:hAnsi="宋体" w:eastAsia="宋体" w:cs="宋体"/>
          <w:spacing w:val="-58"/>
          <w:sz w:val="20"/>
          <w:szCs w:val="20"/>
        </w:rPr>
        <w:t xml:space="preserve"> </w:t>
      </w:r>
      <w:r>
        <w:rPr>
          <w:rFonts w:ascii="宋体" w:hAnsi="宋体" w:eastAsia="宋体" w:cs="宋体"/>
          <w:spacing w:val="5"/>
          <w:sz w:val="20"/>
          <w:szCs w:val="20"/>
        </w:rPr>
        <w:t>”是指按评标办法正文部分“算术错误修正原则</w:t>
      </w:r>
      <w:r>
        <w:rPr>
          <w:rFonts w:ascii="宋体" w:hAnsi="宋体" w:eastAsia="宋体" w:cs="宋体"/>
          <w:spacing w:val="-67"/>
          <w:sz w:val="20"/>
          <w:szCs w:val="20"/>
        </w:rPr>
        <w:t xml:space="preserve"> </w:t>
      </w:r>
      <w:r>
        <w:rPr>
          <w:rFonts w:ascii="宋体" w:hAnsi="宋体" w:eastAsia="宋体" w:cs="宋体"/>
          <w:spacing w:val="5"/>
          <w:sz w:val="20"/>
          <w:szCs w:val="20"/>
        </w:rPr>
        <w:t>”，对已标价的工程量清单相</w:t>
      </w:r>
      <w:r>
        <w:rPr>
          <w:rFonts w:ascii="宋体" w:hAnsi="宋体" w:eastAsia="宋体" w:cs="宋体"/>
          <w:spacing w:val="9"/>
          <w:sz w:val="20"/>
          <w:szCs w:val="20"/>
        </w:rPr>
        <w:t>应表格中可能存在的计算错误进行检查，并将检查结果记录在上述表格中。</w:t>
      </w:r>
    </w:p>
    <w:p w14:paraId="2539F2E2">
      <w:pPr>
        <w:spacing w:line="252" w:lineRule="auto"/>
        <w:rPr>
          <w:rFonts w:ascii="宋体" w:hAnsi="宋体" w:eastAsia="宋体" w:cs="宋体"/>
          <w:sz w:val="20"/>
          <w:szCs w:val="20"/>
        </w:rPr>
        <w:sectPr>
          <w:footerReference r:id="rId151" w:type="default"/>
          <w:pgSz w:w="11907" w:h="16840"/>
          <w:pgMar w:top="400" w:right="1534" w:bottom="1038" w:left="1480" w:header="0" w:footer="787" w:gutter="0"/>
          <w:cols w:space="720" w:num="1"/>
        </w:sectPr>
      </w:pPr>
    </w:p>
    <w:p w14:paraId="2705447E">
      <w:pPr>
        <w:spacing w:line="265" w:lineRule="auto"/>
        <w:rPr>
          <w:rFonts w:ascii="Arial"/>
          <w:sz w:val="21"/>
        </w:rPr>
      </w:pPr>
    </w:p>
    <w:p w14:paraId="54A88932">
      <w:pPr>
        <w:spacing w:line="265" w:lineRule="auto"/>
        <w:rPr>
          <w:rFonts w:ascii="Arial"/>
          <w:sz w:val="21"/>
        </w:rPr>
      </w:pPr>
    </w:p>
    <w:p w14:paraId="0AFAE114">
      <w:pPr>
        <w:spacing w:line="266" w:lineRule="auto"/>
        <w:rPr>
          <w:rFonts w:ascii="Arial"/>
          <w:sz w:val="21"/>
        </w:rPr>
      </w:pPr>
    </w:p>
    <w:p w14:paraId="2D97DF19">
      <w:pPr>
        <w:spacing w:line="266" w:lineRule="auto"/>
        <w:rPr>
          <w:rFonts w:ascii="Arial"/>
          <w:sz w:val="21"/>
        </w:rPr>
      </w:pPr>
    </w:p>
    <w:p w14:paraId="2C4B2DF0">
      <w:pPr>
        <w:spacing w:line="266" w:lineRule="auto"/>
        <w:rPr>
          <w:rFonts w:ascii="Arial"/>
          <w:sz w:val="21"/>
        </w:rPr>
      </w:pPr>
    </w:p>
    <w:p w14:paraId="41E024F6">
      <w:pPr>
        <w:pStyle w:val="2"/>
        <w:spacing w:before="78" w:line="222" w:lineRule="auto"/>
        <w:ind w:left="26"/>
        <w:outlineLvl w:val="1"/>
        <w:rPr>
          <w:sz w:val="24"/>
          <w:szCs w:val="24"/>
        </w:rPr>
      </w:pPr>
      <w:r>
        <w:rPr>
          <w:spacing w:val="-4"/>
          <w:sz w:val="24"/>
          <w:szCs w:val="24"/>
        </w:rPr>
        <w:t>附表</w:t>
      </w:r>
      <w:r>
        <w:rPr>
          <w:spacing w:val="-38"/>
          <w:sz w:val="24"/>
          <w:szCs w:val="24"/>
        </w:rPr>
        <w:t xml:space="preserve"> </w:t>
      </w:r>
      <w:r>
        <w:rPr>
          <w:rFonts w:ascii="Times New Roman" w:hAnsi="Times New Roman" w:eastAsia="Times New Roman" w:cs="Times New Roman"/>
          <w:spacing w:val="-4"/>
          <w:sz w:val="24"/>
          <w:szCs w:val="24"/>
        </w:rPr>
        <w:t>C-7</w:t>
      </w:r>
      <w:r>
        <w:rPr>
          <w:rFonts w:ascii="Times New Roman" w:hAnsi="Times New Roman" w:eastAsia="Times New Roman" w:cs="Times New Roman"/>
          <w:spacing w:val="-15"/>
          <w:sz w:val="24"/>
          <w:szCs w:val="24"/>
        </w:rPr>
        <w:t xml:space="preserve"> </w:t>
      </w:r>
      <w:r>
        <w:rPr>
          <w:spacing w:val="-4"/>
          <w:sz w:val="24"/>
          <w:szCs w:val="24"/>
        </w:rPr>
        <w:t>：清标报告</w:t>
      </w:r>
      <w:r>
        <w:rPr>
          <w:rFonts w:ascii="Times New Roman" w:hAnsi="Times New Roman" w:eastAsia="Times New Roman" w:cs="Times New Roman"/>
          <w:spacing w:val="-4"/>
          <w:sz w:val="24"/>
          <w:szCs w:val="24"/>
        </w:rPr>
        <w:t>-</w:t>
      </w:r>
      <w:r>
        <w:rPr>
          <w:spacing w:val="-4"/>
          <w:sz w:val="24"/>
          <w:szCs w:val="24"/>
        </w:rPr>
        <w:t>算术错误分析及修正记录表</w:t>
      </w:r>
    </w:p>
    <w:p w14:paraId="028FFC45">
      <w:pPr>
        <w:spacing w:line="334" w:lineRule="auto"/>
        <w:rPr>
          <w:rFonts w:ascii="Arial"/>
          <w:sz w:val="21"/>
        </w:rPr>
      </w:pPr>
    </w:p>
    <w:p w14:paraId="21E89381">
      <w:pPr>
        <w:pStyle w:val="2"/>
        <w:spacing w:before="101" w:line="321" w:lineRule="auto"/>
        <w:ind w:left="15" w:right="1809" w:firstLine="1817"/>
        <w:rPr>
          <w:rFonts w:ascii="宋体" w:hAnsi="宋体" w:eastAsia="宋体" w:cs="宋体"/>
          <w:sz w:val="20"/>
          <w:szCs w:val="20"/>
        </w:rPr>
      </w:pPr>
      <w:bookmarkStart w:id="203" w:name="bookmark184"/>
      <w:bookmarkEnd w:id="203"/>
      <w:r>
        <w:rPr>
          <w:spacing w:val="8"/>
          <w:sz w:val="31"/>
          <w:szCs w:val="31"/>
        </w:rPr>
        <w:t>清标报告-算术错误分析及修正记录表</w:t>
      </w:r>
      <w:r>
        <w:rPr>
          <w:rFonts w:ascii="宋体" w:hAnsi="宋体" w:eastAsia="宋体" w:cs="宋体"/>
          <w:spacing w:val="6"/>
          <w:sz w:val="20"/>
          <w:szCs w:val="20"/>
        </w:rPr>
        <w:t>投标人名称：</w:t>
      </w:r>
    </w:p>
    <w:p w14:paraId="01360978">
      <w:pPr>
        <w:spacing w:line="145" w:lineRule="exact"/>
      </w:pPr>
    </w:p>
    <w:tbl>
      <w:tblPr>
        <w:tblStyle w:val="5"/>
        <w:tblW w:w="847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3"/>
        <w:gridCol w:w="1366"/>
        <w:gridCol w:w="1430"/>
        <w:gridCol w:w="1431"/>
        <w:gridCol w:w="1430"/>
        <w:gridCol w:w="2036"/>
      </w:tblGrid>
      <w:tr w14:paraId="6D271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5" w:hRule="atLeast"/>
        </w:trPr>
        <w:tc>
          <w:tcPr>
            <w:tcW w:w="783" w:type="dxa"/>
            <w:vAlign w:val="top"/>
          </w:tcPr>
          <w:p w14:paraId="7C2B4015">
            <w:pPr>
              <w:spacing w:line="316" w:lineRule="auto"/>
              <w:rPr>
                <w:rFonts w:ascii="Arial"/>
                <w:sz w:val="21"/>
              </w:rPr>
            </w:pPr>
          </w:p>
          <w:p w14:paraId="1E766EAB">
            <w:pPr>
              <w:pStyle w:val="6"/>
              <w:spacing w:before="65" w:line="229" w:lineRule="auto"/>
              <w:ind w:left="186"/>
            </w:pPr>
            <w:r>
              <w:rPr>
                <w:spacing w:val="5"/>
              </w:rPr>
              <w:t>序号</w:t>
            </w:r>
          </w:p>
        </w:tc>
        <w:tc>
          <w:tcPr>
            <w:tcW w:w="1366" w:type="dxa"/>
            <w:vAlign w:val="top"/>
          </w:tcPr>
          <w:p w14:paraId="4D15B084">
            <w:pPr>
              <w:spacing w:line="316" w:lineRule="auto"/>
              <w:rPr>
                <w:rFonts w:ascii="Arial"/>
                <w:sz w:val="21"/>
              </w:rPr>
            </w:pPr>
          </w:p>
          <w:p w14:paraId="73296623">
            <w:pPr>
              <w:pStyle w:val="6"/>
              <w:spacing w:before="65" w:line="228" w:lineRule="auto"/>
              <w:ind w:left="269"/>
            </w:pPr>
            <w:r>
              <w:rPr>
                <w:spacing w:val="6"/>
              </w:rPr>
              <w:t>项目名称</w:t>
            </w:r>
          </w:p>
        </w:tc>
        <w:tc>
          <w:tcPr>
            <w:tcW w:w="1430" w:type="dxa"/>
            <w:vAlign w:val="top"/>
          </w:tcPr>
          <w:p w14:paraId="6A753215">
            <w:pPr>
              <w:spacing w:line="316" w:lineRule="auto"/>
              <w:rPr>
                <w:rFonts w:ascii="Arial"/>
                <w:sz w:val="21"/>
              </w:rPr>
            </w:pPr>
          </w:p>
          <w:p w14:paraId="459CBFCF">
            <w:pPr>
              <w:pStyle w:val="6"/>
              <w:spacing w:before="65" w:line="226" w:lineRule="auto"/>
              <w:ind w:left="301"/>
            </w:pPr>
            <w:r>
              <w:rPr>
                <w:spacing w:val="6"/>
              </w:rPr>
              <w:t>投标价格</w:t>
            </w:r>
          </w:p>
        </w:tc>
        <w:tc>
          <w:tcPr>
            <w:tcW w:w="1431" w:type="dxa"/>
            <w:vAlign w:val="top"/>
          </w:tcPr>
          <w:p w14:paraId="031B2CAA">
            <w:pPr>
              <w:pStyle w:val="6"/>
              <w:spacing w:before="246" w:line="251" w:lineRule="auto"/>
              <w:ind w:left="511" w:right="188" w:hanging="313"/>
            </w:pPr>
            <w:r>
              <w:rPr>
                <w:spacing w:val="7"/>
              </w:rPr>
              <w:t>算术正确投</w:t>
            </w:r>
            <w:r>
              <w:rPr>
                <w:spacing w:val="4"/>
              </w:rPr>
              <w:t>标价</w:t>
            </w:r>
          </w:p>
        </w:tc>
        <w:tc>
          <w:tcPr>
            <w:tcW w:w="1430" w:type="dxa"/>
            <w:vAlign w:val="top"/>
          </w:tcPr>
          <w:p w14:paraId="7D201B61">
            <w:pPr>
              <w:pStyle w:val="6"/>
              <w:spacing w:before="246" w:line="228" w:lineRule="auto"/>
              <w:ind w:left="515"/>
            </w:pPr>
            <w:r>
              <w:rPr>
                <w:spacing w:val="3"/>
              </w:rPr>
              <w:t>差额</w:t>
            </w:r>
          </w:p>
          <w:p w14:paraId="44D5E496">
            <w:pPr>
              <w:pStyle w:val="6"/>
              <w:spacing w:before="24" w:line="228" w:lineRule="auto"/>
              <w:ind w:left="206"/>
            </w:pPr>
            <w:r>
              <w:rPr>
                <w:spacing w:val="3"/>
              </w:rPr>
              <w:t>（代数值）</w:t>
            </w:r>
          </w:p>
        </w:tc>
        <w:tc>
          <w:tcPr>
            <w:tcW w:w="2036" w:type="dxa"/>
            <w:vAlign w:val="top"/>
          </w:tcPr>
          <w:p w14:paraId="169E8160">
            <w:pPr>
              <w:spacing w:line="316" w:lineRule="auto"/>
              <w:rPr>
                <w:rFonts w:ascii="Arial"/>
                <w:sz w:val="21"/>
              </w:rPr>
            </w:pPr>
          </w:p>
          <w:p w14:paraId="6A2DE82C">
            <w:pPr>
              <w:pStyle w:val="6"/>
              <w:spacing w:before="65" w:line="228" w:lineRule="auto"/>
              <w:ind w:left="393"/>
            </w:pPr>
            <w:r>
              <w:rPr>
                <w:spacing w:val="8"/>
              </w:rPr>
              <w:t>有关事项备注</w:t>
            </w:r>
          </w:p>
        </w:tc>
      </w:tr>
      <w:tr w14:paraId="45042F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42F63532">
            <w:pPr>
              <w:rPr>
                <w:rFonts w:ascii="Arial"/>
                <w:sz w:val="21"/>
              </w:rPr>
            </w:pPr>
          </w:p>
        </w:tc>
        <w:tc>
          <w:tcPr>
            <w:tcW w:w="1366" w:type="dxa"/>
            <w:vAlign w:val="top"/>
          </w:tcPr>
          <w:p w14:paraId="5582E807">
            <w:pPr>
              <w:rPr>
                <w:rFonts w:ascii="Arial"/>
                <w:sz w:val="21"/>
              </w:rPr>
            </w:pPr>
          </w:p>
        </w:tc>
        <w:tc>
          <w:tcPr>
            <w:tcW w:w="1430" w:type="dxa"/>
            <w:vAlign w:val="top"/>
          </w:tcPr>
          <w:p w14:paraId="1E63877E">
            <w:pPr>
              <w:rPr>
                <w:rFonts w:ascii="Arial"/>
                <w:sz w:val="21"/>
              </w:rPr>
            </w:pPr>
          </w:p>
        </w:tc>
        <w:tc>
          <w:tcPr>
            <w:tcW w:w="1431" w:type="dxa"/>
            <w:vAlign w:val="top"/>
          </w:tcPr>
          <w:p w14:paraId="022F758F">
            <w:pPr>
              <w:rPr>
                <w:rFonts w:ascii="Arial"/>
                <w:sz w:val="21"/>
              </w:rPr>
            </w:pPr>
          </w:p>
        </w:tc>
        <w:tc>
          <w:tcPr>
            <w:tcW w:w="1430" w:type="dxa"/>
            <w:vAlign w:val="top"/>
          </w:tcPr>
          <w:p w14:paraId="2841A9BF">
            <w:pPr>
              <w:rPr>
                <w:rFonts w:ascii="Arial"/>
                <w:sz w:val="21"/>
              </w:rPr>
            </w:pPr>
          </w:p>
        </w:tc>
        <w:tc>
          <w:tcPr>
            <w:tcW w:w="2036" w:type="dxa"/>
            <w:vAlign w:val="top"/>
          </w:tcPr>
          <w:p w14:paraId="2E6CA646">
            <w:pPr>
              <w:rPr>
                <w:rFonts w:ascii="Arial"/>
                <w:sz w:val="21"/>
              </w:rPr>
            </w:pPr>
          </w:p>
        </w:tc>
      </w:tr>
      <w:tr w14:paraId="5D155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6FDA70C3">
            <w:pPr>
              <w:rPr>
                <w:rFonts w:ascii="Arial"/>
                <w:sz w:val="21"/>
              </w:rPr>
            </w:pPr>
          </w:p>
        </w:tc>
        <w:tc>
          <w:tcPr>
            <w:tcW w:w="1366" w:type="dxa"/>
            <w:vAlign w:val="top"/>
          </w:tcPr>
          <w:p w14:paraId="78C17509">
            <w:pPr>
              <w:rPr>
                <w:rFonts w:ascii="Arial"/>
                <w:sz w:val="21"/>
              </w:rPr>
            </w:pPr>
          </w:p>
        </w:tc>
        <w:tc>
          <w:tcPr>
            <w:tcW w:w="1430" w:type="dxa"/>
            <w:vAlign w:val="top"/>
          </w:tcPr>
          <w:p w14:paraId="1F09F8A9">
            <w:pPr>
              <w:rPr>
                <w:rFonts w:ascii="Arial"/>
                <w:sz w:val="21"/>
              </w:rPr>
            </w:pPr>
          </w:p>
        </w:tc>
        <w:tc>
          <w:tcPr>
            <w:tcW w:w="1431" w:type="dxa"/>
            <w:vAlign w:val="top"/>
          </w:tcPr>
          <w:p w14:paraId="7CB09C37">
            <w:pPr>
              <w:rPr>
                <w:rFonts w:ascii="Arial"/>
                <w:sz w:val="21"/>
              </w:rPr>
            </w:pPr>
          </w:p>
        </w:tc>
        <w:tc>
          <w:tcPr>
            <w:tcW w:w="1430" w:type="dxa"/>
            <w:vAlign w:val="top"/>
          </w:tcPr>
          <w:p w14:paraId="62A41EF3">
            <w:pPr>
              <w:rPr>
                <w:rFonts w:ascii="Arial"/>
                <w:sz w:val="21"/>
              </w:rPr>
            </w:pPr>
          </w:p>
        </w:tc>
        <w:tc>
          <w:tcPr>
            <w:tcW w:w="2036" w:type="dxa"/>
            <w:vAlign w:val="top"/>
          </w:tcPr>
          <w:p w14:paraId="01747CBE">
            <w:pPr>
              <w:rPr>
                <w:rFonts w:ascii="Arial"/>
                <w:sz w:val="21"/>
              </w:rPr>
            </w:pPr>
          </w:p>
        </w:tc>
      </w:tr>
      <w:tr w14:paraId="694E1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3113ED51">
            <w:pPr>
              <w:rPr>
                <w:rFonts w:ascii="Arial"/>
                <w:sz w:val="21"/>
              </w:rPr>
            </w:pPr>
          </w:p>
        </w:tc>
        <w:tc>
          <w:tcPr>
            <w:tcW w:w="1366" w:type="dxa"/>
            <w:vAlign w:val="top"/>
          </w:tcPr>
          <w:p w14:paraId="180B0F02">
            <w:pPr>
              <w:rPr>
                <w:rFonts w:ascii="Arial"/>
                <w:sz w:val="21"/>
              </w:rPr>
            </w:pPr>
          </w:p>
        </w:tc>
        <w:tc>
          <w:tcPr>
            <w:tcW w:w="1430" w:type="dxa"/>
            <w:vAlign w:val="top"/>
          </w:tcPr>
          <w:p w14:paraId="6019D33F">
            <w:pPr>
              <w:rPr>
                <w:rFonts w:ascii="Arial"/>
                <w:sz w:val="21"/>
              </w:rPr>
            </w:pPr>
          </w:p>
        </w:tc>
        <w:tc>
          <w:tcPr>
            <w:tcW w:w="1431" w:type="dxa"/>
            <w:vAlign w:val="top"/>
          </w:tcPr>
          <w:p w14:paraId="52C59826">
            <w:pPr>
              <w:rPr>
                <w:rFonts w:ascii="Arial"/>
                <w:sz w:val="21"/>
              </w:rPr>
            </w:pPr>
          </w:p>
        </w:tc>
        <w:tc>
          <w:tcPr>
            <w:tcW w:w="1430" w:type="dxa"/>
            <w:vAlign w:val="top"/>
          </w:tcPr>
          <w:p w14:paraId="09ACAD0E">
            <w:pPr>
              <w:rPr>
                <w:rFonts w:ascii="Arial"/>
                <w:sz w:val="21"/>
              </w:rPr>
            </w:pPr>
          </w:p>
        </w:tc>
        <w:tc>
          <w:tcPr>
            <w:tcW w:w="2036" w:type="dxa"/>
            <w:vAlign w:val="top"/>
          </w:tcPr>
          <w:p w14:paraId="453BA0BF">
            <w:pPr>
              <w:rPr>
                <w:rFonts w:ascii="Arial"/>
                <w:sz w:val="21"/>
              </w:rPr>
            </w:pPr>
          </w:p>
        </w:tc>
      </w:tr>
      <w:tr w14:paraId="21A32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6F14BD14">
            <w:pPr>
              <w:rPr>
                <w:rFonts w:ascii="Arial"/>
                <w:sz w:val="21"/>
              </w:rPr>
            </w:pPr>
          </w:p>
        </w:tc>
        <w:tc>
          <w:tcPr>
            <w:tcW w:w="1366" w:type="dxa"/>
            <w:vAlign w:val="top"/>
          </w:tcPr>
          <w:p w14:paraId="6D45C2B5">
            <w:pPr>
              <w:rPr>
                <w:rFonts w:ascii="Arial"/>
                <w:sz w:val="21"/>
              </w:rPr>
            </w:pPr>
          </w:p>
        </w:tc>
        <w:tc>
          <w:tcPr>
            <w:tcW w:w="1430" w:type="dxa"/>
            <w:vAlign w:val="top"/>
          </w:tcPr>
          <w:p w14:paraId="4207045A">
            <w:pPr>
              <w:rPr>
                <w:rFonts w:ascii="Arial"/>
                <w:sz w:val="21"/>
              </w:rPr>
            </w:pPr>
          </w:p>
        </w:tc>
        <w:tc>
          <w:tcPr>
            <w:tcW w:w="1431" w:type="dxa"/>
            <w:vAlign w:val="top"/>
          </w:tcPr>
          <w:p w14:paraId="0BE851ED">
            <w:pPr>
              <w:rPr>
                <w:rFonts w:ascii="Arial"/>
                <w:sz w:val="21"/>
              </w:rPr>
            </w:pPr>
          </w:p>
        </w:tc>
        <w:tc>
          <w:tcPr>
            <w:tcW w:w="1430" w:type="dxa"/>
            <w:vAlign w:val="top"/>
          </w:tcPr>
          <w:p w14:paraId="213C5B76">
            <w:pPr>
              <w:rPr>
                <w:rFonts w:ascii="Arial"/>
                <w:sz w:val="21"/>
              </w:rPr>
            </w:pPr>
          </w:p>
        </w:tc>
        <w:tc>
          <w:tcPr>
            <w:tcW w:w="2036" w:type="dxa"/>
            <w:vAlign w:val="top"/>
          </w:tcPr>
          <w:p w14:paraId="6418E173">
            <w:pPr>
              <w:rPr>
                <w:rFonts w:ascii="Arial"/>
                <w:sz w:val="21"/>
              </w:rPr>
            </w:pPr>
          </w:p>
        </w:tc>
      </w:tr>
      <w:tr w14:paraId="21929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0513C8BE">
            <w:pPr>
              <w:rPr>
                <w:rFonts w:ascii="Arial"/>
                <w:sz w:val="21"/>
              </w:rPr>
            </w:pPr>
          </w:p>
        </w:tc>
        <w:tc>
          <w:tcPr>
            <w:tcW w:w="1366" w:type="dxa"/>
            <w:vAlign w:val="top"/>
          </w:tcPr>
          <w:p w14:paraId="36044CE7">
            <w:pPr>
              <w:rPr>
                <w:rFonts w:ascii="Arial"/>
                <w:sz w:val="21"/>
              </w:rPr>
            </w:pPr>
          </w:p>
        </w:tc>
        <w:tc>
          <w:tcPr>
            <w:tcW w:w="1430" w:type="dxa"/>
            <w:vAlign w:val="top"/>
          </w:tcPr>
          <w:p w14:paraId="7DF57797">
            <w:pPr>
              <w:rPr>
                <w:rFonts w:ascii="Arial"/>
                <w:sz w:val="21"/>
              </w:rPr>
            </w:pPr>
          </w:p>
        </w:tc>
        <w:tc>
          <w:tcPr>
            <w:tcW w:w="1431" w:type="dxa"/>
            <w:vAlign w:val="top"/>
          </w:tcPr>
          <w:p w14:paraId="17E81B1A">
            <w:pPr>
              <w:rPr>
                <w:rFonts w:ascii="Arial"/>
                <w:sz w:val="21"/>
              </w:rPr>
            </w:pPr>
          </w:p>
        </w:tc>
        <w:tc>
          <w:tcPr>
            <w:tcW w:w="1430" w:type="dxa"/>
            <w:vAlign w:val="top"/>
          </w:tcPr>
          <w:p w14:paraId="278C4420">
            <w:pPr>
              <w:rPr>
                <w:rFonts w:ascii="Arial"/>
                <w:sz w:val="21"/>
              </w:rPr>
            </w:pPr>
          </w:p>
        </w:tc>
        <w:tc>
          <w:tcPr>
            <w:tcW w:w="2036" w:type="dxa"/>
            <w:vAlign w:val="top"/>
          </w:tcPr>
          <w:p w14:paraId="13F2F974">
            <w:pPr>
              <w:rPr>
                <w:rFonts w:ascii="Arial"/>
                <w:sz w:val="21"/>
              </w:rPr>
            </w:pPr>
          </w:p>
        </w:tc>
      </w:tr>
      <w:tr w14:paraId="683412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3D0B032C">
            <w:pPr>
              <w:rPr>
                <w:rFonts w:ascii="Arial"/>
                <w:sz w:val="21"/>
              </w:rPr>
            </w:pPr>
          </w:p>
        </w:tc>
        <w:tc>
          <w:tcPr>
            <w:tcW w:w="1366" w:type="dxa"/>
            <w:vAlign w:val="top"/>
          </w:tcPr>
          <w:p w14:paraId="02718186">
            <w:pPr>
              <w:rPr>
                <w:rFonts w:ascii="Arial"/>
                <w:sz w:val="21"/>
              </w:rPr>
            </w:pPr>
          </w:p>
        </w:tc>
        <w:tc>
          <w:tcPr>
            <w:tcW w:w="1430" w:type="dxa"/>
            <w:vAlign w:val="top"/>
          </w:tcPr>
          <w:p w14:paraId="2C10AC21">
            <w:pPr>
              <w:rPr>
                <w:rFonts w:ascii="Arial"/>
                <w:sz w:val="21"/>
              </w:rPr>
            </w:pPr>
          </w:p>
        </w:tc>
        <w:tc>
          <w:tcPr>
            <w:tcW w:w="1431" w:type="dxa"/>
            <w:vAlign w:val="top"/>
          </w:tcPr>
          <w:p w14:paraId="56ACC745">
            <w:pPr>
              <w:rPr>
                <w:rFonts w:ascii="Arial"/>
                <w:sz w:val="21"/>
              </w:rPr>
            </w:pPr>
          </w:p>
        </w:tc>
        <w:tc>
          <w:tcPr>
            <w:tcW w:w="1430" w:type="dxa"/>
            <w:vAlign w:val="top"/>
          </w:tcPr>
          <w:p w14:paraId="7B783BB5">
            <w:pPr>
              <w:rPr>
                <w:rFonts w:ascii="Arial"/>
                <w:sz w:val="21"/>
              </w:rPr>
            </w:pPr>
          </w:p>
        </w:tc>
        <w:tc>
          <w:tcPr>
            <w:tcW w:w="2036" w:type="dxa"/>
            <w:vAlign w:val="top"/>
          </w:tcPr>
          <w:p w14:paraId="0BD6D14B">
            <w:pPr>
              <w:rPr>
                <w:rFonts w:ascii="Arial"/>
                <w:sz w:val="21"/>
              </w:rPr>
            </w:pPr>
          </w:p>
        </w:tc>
      </w:tr>
      <w:tr w14:paraId="5267C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1349EEE2">
            <w:pPr>
              <w:rPr>
                <w:rFonts w:ascii="Arial"/>
                <w:sz w:val="21"/>
              </w:rPr>
            </w:pPr>
          </w:p>
        </w:tc>
        <w:tc>
          <w:tcPr>
            <w:tcW w:w="1366" w:type="dxa"/>
            <w:vAlign w:val="top"/>
          </w:tcPr>
          <w:p w14:paraId="5877B40E">
            <w:pPr>
              <w:rPr>
                <w:rFonts w:ascii="Arial"/>
                <w:sz w:val="21"/>
              </w:rPr>
            </w:pPr>
          </w:p>
        </w:tc>
        <w:tc>
          <w:tcPr>
            <w:tcW w:w="1430" w:type="dxa"/>
            <w:vAlign w:val="top"/>
          </w:tcPr>
          <w:p w14:paraId="73DBD136">
            <w:pPr>
              <w:rPr>
                <w:rFonts w:ascii="Arial"/>
                <w:sz w:val="21"/>
              </w:rPr>
            </w:pPr>
          </w:p>
        </w:tc>
        <w:tc>
          <w:tcPr>
            <w:tcW w:w="1431" w:type="dxa"/>
            <w:vAlign w:val="top"/>
          </w:tcPr>
          <w:p w14:paraId="78E42A9F">
            <w:pPr>
              <w:rPr>
                <w:rFonts w:ascii="Arial"/>
                <w:sz w:val="21"/>
              </w:rPr>
            </w:pPr>
          </w:p>
        </w:tc>
        <w:tc>
          <w:tcPr>
            <w:tcW w:w="1430" w:type="dxa"/>
            <w:vAlign w:val="top"/>
          </w:tcPr>
          <w:p w14:paraId="06D89E7F">
            <w:pPr>
              <w:rPr>
                <w:rFonts w:ascii="Arial"/>
                <w:sz w:val="21"/>
              </w:rPr>
            </w:pPr>
          </w:p>
        </w:tc>
        <w:tc>
          <w:tcPr>
            <w:tcW w:w="2036" w:type="dxa"/>
            <w:vAlign w:val="top"/>
          </w:tcPr>
          <w:p w14:paraId="304EFAA4">
            <w:pPr>
              <w:rPr>
                <w:rFonts w:ascii="Arial"/>
                <w:sz w:val="21"/>
              </w:rPr>
            </w:pPr>
          </w:p>
        </w:tc>
      </w:tr>
      <w:tr w14:paraId="44FE5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54BBF690">
            <w:pPr>
              <w:rPr>
                <w:rFonts w:ascii="Arial"/>
                <w:sz w:val="21"/>
              </w:rPr>
            </w:pPr>
          </w:p>
        </w:tc>
        <w:tc>
          <w:tcPr>
            <w:tcW w:w="1366" w:type="dxa"/>
            <w:vAlign w:val="top"/>
          </w:tcPr>
          <w:p w14:paraId="27C61055">
            <w:pPr>
              <w:rPr>
                <w:rFonts w:ascii="Arial"/>
                <w:sz w:val="21"/>
              </w:rPr>
            </w:pPr>
          </w:p>
        </w:tc>
        <w:tc>
          <w:tcPr>
            <w:tcW w:w="1430" w:type="dxa"/>
            <w:vAlign w:val="top"/>
          </w:tcPr>
          <w:p w14:paraId="313AFE6C">
            <w:pPr>
              <w:rPr>
                <w:rFonts w:ascii="Arial"/>
                <w:sz w:val="21"/>
              </w:rPr>
            </w:pPr>
          </w:p>
        </w:tc>
        <w:tc>
          <w:tcPr>
            <w:tcW w:w="1431" w:type="dxa"/>
            <w:vAlign w:val="top"/>
          </w:tcPr>
          <w:p w14:paraId="1B4BCC72">
            <w:pPr>
              <w:rPr>
                <w:rFonts w:ascii="Arial"/>
                <w:sz w:val="21"/>
              </w:rPr>
            </w:pPr>
          </w:p>
        </w:tc>
        <w:tc>
          <w:tcPr>
            <w:tcW w:w="1430" w:type="dxa"/>
            <w:vAlign w:val="top"/>
          </w:tcPr>
          <w:p w14:paraId="2CD8FB7C">
            <w:pPr>
              <w:rPr>
                <w:rFonts w:ascii="Arial"/>
                <w:sz w:val="21"/>
              </w:rPr>
            </w:pPr>
          </w:p>
        </w:tc>
        <w:tc>
          <w:tcPr>
            <w:tcW w:w="2036" w:type="dxa"/>
            <w:vAlign w:val="top"/>
          </w:tcPr>
          <w:p w14:paraId="07E55D94">
            <w:pPr>
              <w:rPr>
                <w:rFonts w:ascii="Arial"/>
                <w:sz w:val="21"/>
              </w:rPr>
            </w:pPr>
          </w:p>
        </w:tc>
      </w:tr>
      <w:tr w14:paraId="4EFA0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04F80459">
            <w:pPr>
              <w:rPr>
                <w:rFonts w:ascii="Arial"/>
                <w:sz w:val="21"/>
              </w:rPr>
            </w:pPr>
          </w:p>
        </w:tc>
        <w:tc>
          <w:tcPr>
            <w:tcW w:w="1366" w:type="dxa"/>
            <w:vAlign w:val="top"/>
          </w:tcPr>
          <w:p w14:paraId="58A05EB0">
            <w:pPr>
              <w:rPr>
                <w:rFonts w:ascii="Arial"/>
                <w:sz w:val="21"/>
              </w:rPr>
            </w:pPr>
          </w:p>
        </w:tc>
        <w:tc>
          <w:tcPr>
            <w:tcW w:w="1430" w:type="dxa"/>
            <w:vAlign w:val="top"/>
          </w:tcPr>
          <w:p w14:paraId="1038F80A">
            <w:pPr>
              <w:rPr>
                <w:rFonts w:ascii="Arial"/>
                <w:sz w:val="21"/>
              </w:rPr>
            </w:pPr>
          </w:p>
        </w:tc>
        <w:tc>
          <w:tcPr>
            <w:tcW w:w="1431" w:type="dxa"/>
            <w:vAlign w:val="top"/>
          </w:tcPr>
          <w:p w14:paraId="48368618">
            <w:pPr>
              <w:rPr>
                <w:rFonts w:ascii="Arial"/>
                <w:sz w:val="21"/>
              </w:rPr>
            </w:pPr>
          </w:p>
        </w:tc>
        <w:tc>
          <w:tcPr>
            <w:tcW w:w="1430" w:type="dxa"/>
            <w:vAlign w:val="top"/>
          </w:tcPr>
          <w:p w14:paraId="54C0AA06">
            <w:pPr>
              <w:rPr>
                <w:rFonts w:ascii="Arial"/>
                <w:sz w:val="21"/>
              </w:rPr>
            </w:pPr>
          </w:p>
        </w:tc>
        <w:tc>
          <w:tcPr>
            <w:tcW w:w="2036" w:type="dxa"/>
            <w:vAlign w:val="top"/>
          </w:tcPr>
          <w:p w14:paraId="571FBFBD">
            <w:pPr>
              <w:rPr>
                <w:rFonts w:ascii="Arial"/>
                <w:sz w:val="21"/>
              </w:rPr>
            </w:pPr>
          </w:p>
        </w:tc>
      </w:tr>
      <w:tr w14:paraId="3F2819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6" w:hRule="atLeast"/>
        </w:trPr>
        <w:tc>
          <w:tcPr>
            <w:tcW w:w="783" w:type="dxa"/>
            <w:vAlign w:val="top"/>
          </w:tcPr>
          <w:p w14:paraId="13F1B9E8">
            <w:pPr>
              <w:rPr>
                <w:rFonts w:ascii="Arial"/>
                <w:sz w:val="21"/>
              </w:rPr>
            </w:pPr>
          </w:p>
        </w:tc>
        <w:tc>
          <w:tcPr>
            <w:tcW w:w="1366" w:type="dxa"/>
            <w:vAlign w:val="top"/>
          </w:tcPr>
          <w:p w14:paraId="5A77E28D">
            <w:pPr>
              <w:rPr>
                <w:rFonts w:ascii="Arial"/>
                <w:sz w:val="21"/>
              </w:rPr>
            </w:pPr>
          </w:p>
        </w:tc>
        <w:tc>
          <w:tcPr>
            <w:tcW w:w="1430" w:type="dxa"/>
            <w:vAlign w:val="top"/>
          </w:tcPr>
          <w:p w14:paraId="0F14A066">
            <w:pPr>
              <w:rPr>
                <w:rFonts w:ascii="Arial"/>
                <w:sz w:val="21"/>
              </w:rPr>
            </w:pPr>
          </w:p>
        </w:tc>
        <w:tc>
          <w:tcPr>
            <w:tcW w:w="1431" w:type="dxa"/>
            <w:vAlign w:val="top"/>
          </w:tcPr>
          <w:p w14:paraId="0691F346">
            <w:pPr>
              <w:rPr>
                <w:rFonts w:ascii="Arial"/>
                <w:sz w:val="21"/>
              </w:rPr>
            </w:pPr>
          </w:p>
        </w:tc>
        <w:tc>
          <w:tcPr>
            <w:tcW w:w="1430" w:type="dxa"/>
            <w:vAlign w:val="top"/>
          </w:tcPr>
          <w:p w14:paraId="1D60B127">
            <w:pPr>
              <w:rPr>
                <w:rFonts w:ascii="Arial"/>
                <w:sz w:val="21"/>
              </w:rPr>
            </w:pPr>
          </w:p>
        </w:tc>
        <w:tc>
          <w:tcPr>
            <w:tcW w:w="2036" w:type="dxa"/>
            <w:vAlign w:val="top"/>
          </w:tcPr>
          <w:p w14:paraId="60E27760">
            <w:pPr>
              <w:rPr>
                <w:rFonts w:ascii="Arial"/>
                <w:sz w:val="21"/>
              </w:rPr>
            </w:pPr>
          </w:p>
        </w:tc>
      </w:tr>
      <w:tr w14:paraId="6960C3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37D4B79B">
            <w:pPr>
              <w:rPr>
                <w:rFonts w:ascii="Arial"/>
                <w:sz w:val="21"/>
              </w:rPr>
            </w:pPr>
          </w:p>
        </w:tc>
        <w:tc>
          <w:tcPr>
            <w:tcW w:w="1366" w:type="dxa"/>
            <w:vAlign w:val="top"/>
          </w:tcPr>
          <w:p w14:paraId="43231D6D">
            <w:pPr>
              <w:rPr>
                <w:rFonts w:ascii="Arial"/>
                <w:sz w:val="21"/>
              </w:rPr>
            </w:pPr>
          </w:p>
        </w:tc>
        <w:tc>
          <w:tcPr>
            <w:tcW w:w="1430" w:type="dxa"/>
            <w:vAlign w:val="top"/>
          </w:tcPr>
          <w:p w14:paraId="77446E18">
            <w:pPr>
              <w:rPr>
                <w:rFonts w:ascii="Arial"/>
                <w:sz w:val="21"/>
              </w:rPr>
            </w:pPr>
          </w:p>
        </w:tc>
        <w:tc>
          <w:tcPr>
            <w:tcW w:w="1431" w:type="dxa"/>
            <w:vAlign w:val="top"/>
          </w:tcPr>
          <w:p w14:paraId="0B09F24D">
            <w:pPr>
              <w:rPr>
                <w:rFonts w:ascii="Arial"/>
                <w:sz w:val="21"/>
              </w:rPr>
            </w:pPr>
          </w:p>
        </w:tc>
        <w:tc>
          <w:tcPr>
            <w:tcW w:w="1430" w:type="dxa"/>
            <w:vAlign w:val="top"/>
          </w:tcPr>
          <w:p w14:paraId="51B658EC">
            <w:pPr>
              <w:rPr>
                <w:rFonts w:ascii="Arial"/>
                <w:sz w:val="21"/>
              </w:rPr>
            </w:pPr>
          </w:p>
        </w:tc>
        <w:tc>
          <w:tcPr>
            <w:tcW w:w="2036" w:type="dxa"/>
            <w:vAlign w:val="top"/>
          </w:tcPr>
          <w:p w14:paraId="07DAD2F0">
            <w:pPr>
              <w:rPr>
                <w:rFonts w:ascii="Arial"/>
                <w:sz w:val="21"/>
              </w:rPr>
            </w:pPr>
          </w:p>
        </w:tc>
      </w:tr>
      <w:tr w14:paraId="226F5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6" w:hRule="atLeast"/>
        </w:trPr>
        <w:tc>
          <w:tcPr>
            <w:tcW w:w="783" w:type="dxa"/>
            <w:vAlign w:val="top"/>
          </w:tcPr>
          <w:p w14:paraId="5D068B33">
            <w:pPr>
              <w:rPr>
                <w:rFonts w:ascii="Arial"/>
                <w:sz w:val="21"/>
              </w:rPr>
            </w:pPr>
          </w:p>
        </w:tc>
        <w:tc>
          <w:tcPr>
            <w:tcW w:w="1366" w:type="dxa"/>
            <w:vAlign w:val="top"/>
          </w:tcPr>
          <w:p w14:paraId="425DF181">
            <w:pPr>
              <w:rPr>
                <w:rFonts w:ascii="Arial"/>
                <w:sz w:val="21"/>
              </w:rPr>
            </w:pPr>
          </w:p>
        </w:tc>
        <w:tc>
          <w:tcPr>
            <w:tcW w:w="1430" w:type="dxa"/>
            <w:vAlign w:val="top"/>
          </w:tcPr>
          <w:p w14:paraId="7F822128">
            <w:pPr>
              <w:rPr>
                <w:rFonts w:ascii="Arial"/>
                <w:sz w:val="21"/>
              </w:rPr>
            </w:pPr>
          </w:p>
        </w:tc>
        <w:tc>
          <w:tcPr>
            <w:tcW w:w="1431" w:type="dxa"/>
            <w:vAlign w:val="top"/>
          </w:tcPr>
          <w:p w14:paraId="7341E61F">
            <w:pPr>
              <w:rPr>
                <w:rFonts w:ascii="Arial"/>
                <w:sz w:val="21"/>
              </w:rPr>
            </w:pPr>
          </w:p>
        </w:tc>
        <w:tc>
          <w:tcPr>
            <w:tcW w:w="1430" w:type="dxa"/>
            <w:vAlign w:val="top"/>
          </w:tcPr>
          <w:p w14:paraId="28DD116E">
            <w:pPr>
              <w:rPr>
                <w:rFonts w:ascii="Arial"/>
                <w:sz w:val="21"/>
              </w:rPr>
            </w:pPr>
          </w:p>
        </w:tc>
        <w:tc>
          <w:tcPr>
            <w:tcW w:w="2036" w:type="dxa"/>
            <w:vAlign w:val="top"/>
          </w:tcPr>
          <w:p w14:paraId="79F3D249">
            <w:pPr>
              <w:rPr>
                <w:rFonts w:ascii="Arial"/>
                <w:sz w:val="21"/>
              </w:rPr>
            </w:pPr>
          </w:p>
        </w:tc>
      </w:tr>
      <w:tr w14:paraId="2B4CEE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72DEB0CD">
            <w:pPr>
              <w:rPr>
                <w:rFonts w:ascii="Arial"/>
                <w:sz w:val="21"/>
              </w:rPr>
            </w:pPr>
          </w:p>
        </w:tc>
        <w:tc>
          <w:tcPr>
            <w:tcW w:w="1366" w:type="dxa"/>
            <w:vAlign w:val="top"/>
          </w:tcPr>
          <w:p w14:paraId="4467CB24">
            <w:pPr>
              <w:rPr>
                <w:rFonts w:ascii="Arial"/>
                <w:sz w:val="21"/>
              </w:rPr>
            </w:pPr>
          </w:p>
        </w:tc>
        <w:tc>
          <w:tcPr>
            <w:tcW w:w="1430" w:type="dxa"/>
            <w:vAlign w:val="top"/>
          </w:tcPr>
          <w:p w14:paraId="42AE063B">
            <w:pPr>
              <w:rPr>
                <w:rFonts w:ascii="Arial"/>
                <w:sz w:val="21"/>
              </w:rPr>
            </w:pPr>
          </w:p>
        </w:tc>
        <w:tc>
          <w:tcPr>
            <w:tcW w:w="1431" w:type="dxa"/>
            <w:vAlign w:val="top"/>
          </w:tcPr>
          <w:p w14:paraId="119BBB5B">
            <w:pPr>
              <w:rPr>
                <w:rFonts w:ascii="Arial"/>
                <w:sz w:val="21"/>
              </w:rPr>
            </w:pPr>
          </w:p>
        </w:tc>
        <w:tc>
          <w:tcPr>
            <w:tcW w:w="1430" w:type="dxa"/>
            <w:vAlign w:val="top"/>
          </w:tcPr>
          <w:p w14:paraId="59849FC0">
            <w:pPr>
              <w:rPr>
                <w:rFonts w:ascii="Arial"/>
                <w:sz w:val="21"/>
              </w:rPr>
            </w:pPr>
          </w:p>
        </w:tc>
        <w:tc>
          <w:tcPr>
            <w:tcW w:w="2036" w:type="dxa"/>
            <w:vAlign w:val="top"/>
          </w:tcPr>
          <w:p w14:paraId="7B29D699">
            <w:pPr>
              <w:rPr>
                <w:rFonts w:ascii="Arial"/>
                <w:sz w:val="21"/>
              </w:rPr>
            </w:pPr>
          </w:p>
        </w:tc>
      </w:tr>
      <w:tr w14:paraId="4A5363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783" w:type="dxa"/>
            <w:vAlign w:val="top"/>
          </w:tcPr>
          <w:p w14:paraId="58EC3377">
            <w:pPr>
              <w:rPr>
                <w:rFonts w:ascii="Arial"/>
                <w:sz w:val="21"/>
              </w:rPr>
            </w:pPr>
          </w:p>
        </w:tc>
        <w:tc>
          <w:tcPr>
            <w:tcW w:w="1366" w:type="dxa"/>
            <w:vAlign w:val="top"/>
          </w:tcPr>
          <w:p w14:paraId="225DE3A5">
            <w:pPr>
              <w:rPr>
                <w:rFonts w:ascii="Arial"/>
                <w:sz w:val="21"/>
              </w:rPr>
            </w:pPr>
          </w:p>
        </w:tc>
        <w:tc>
          <w:tcPr>
            <w:tcW w:w="1430" w:type="dxa"/>
            <w:vAlign w:val="top"/>
          </w:tcPr>
          <w:p w14:paraId="5CBD632D">
            <w:pPr>
              <w:rPr>
                <w:rFonts w:ascii="Arial"/>
                <w:sz w:val="21"/>
              </w:rPr>
            </w:pPr>
          </w:p>
        </w:tc>
        <w:tc>
          <w:tcPr>
            <w:tcW w:w="1431" w:type="dxa"/>
            <w:vAlign w:val="top"/>
          </w:tcPr>
          <w:p w14:paraId="3D9EF7EE">
            <w:pPr>
              <w:rPr>
                <w:rFonts w:ascii="Arial"/>
                <w:sz w:val="21"/>
              </w:rPr>
            </w:pPr>
          </w:p>
        </w:tc>
        <w:tc>
          <w:tcPr>
            <w:tcW w:w="1430" w:type="dxa"/>
            <w:vAlign w:val="top"/>
          </w:tcPr>
          <w:p w14:paraId="53C280FF">
            <w:pPr>
              <w:rPr>
                <w:rFonts w:ascii="Arial"/>
                <w:sz w:val="21"/>
              </w:rPr>
            </w:pPr>
          </w:p>
        </w:tc>
        <w:tc>
          <w:tcPr>
            <w:tcW w:w="2036" w:type="dxa"/>
            <w:vAlign w:val="top"/>
          </w:tcPr>
          <w:p w14:paraId="316DA406">
            <w:pPr>
              <w:rPr>
                <w:rFonts w:ascii="Arial"/>
                <w:sz w:val="21"/>
              </w:rPr>
            </w:pPr>
          </w:p>
        </w:tc>
      </w:tr>
    </w:tbl>
    <w:p w14:paraId="5D8455C7">
      <w:pPr>
        <w:spacing w:line="444" w:lineRule="auto"/>
        <w:rPr>
          <w:rFonts w:ascii="Arial"/>
          <w:sz w:val="21"/>
        </w:rPr>
      </w:pPr>
    </w:p>
    <w:p w14:paraId="39F32970">
      <w:pPr>
        <w:spacing w:before="65" w:line="227" w:lineRule="auto"/>
        <w:ind w:left="11"/>
        <w:rPr>
          <w:rFonts w:ascii="宋体" w:hAnsi="宋体" w:eastAsia="宋体" w:cs="宋体"/>
          <w:sz w:val="20"/>
          <w:szCs w:val="20"/>
        </w:rPr>
      </w:pPr>
      <w:r>
        <w:rPr>
          <w:rFonts w:ascii="宋体" w:hAnsi="宋体" w:eastAsia="宋体" w:cs="宋体"/>
          <w:spacing w:val="1"/>
          <w:sz w:val="20"/>
          <w:szCs w:val="20"/>
        </w:rPr>
        <w:t xml:space="preserve">评标委员会成员签名：                                    </w:t>
      </w:r>
      <w:r>
        <w:rPr>
          <w:rFonts w:ascii="宋体" w:hAnsi="宋体" w:eastAsia="宋体" w:cs="宋体"/>
          <w:sz w:val="20"/>
          <w:szCs w:val="20"/>
        </w:rPr>
        <w:t>日期</w:t>
      </w:r>
      <w:r>
        <w:rPr>
          <w:rFonts w:ascii="宋体" w:hAnsi="宋体" w:eastAsia="宋体" w:cs="宋体"/>
          <w:spacing w:val="-58"/>
          <w:sz w:val="20"/>
          <w:szCs w:val="20"/>
        </w:rPr>
        <w:t xml:space="preserve"> </w:t>
      </w:r>
      <w:r>
        <w:rPr>
          <w:rFonts w:ascii="宋体" w:hAnsi="宋体" w:eastAsia="宋体" w:cs="宋体"/>
          <w:sz w:val="20"/>
          <w:szCs w:val="20"/>
        </w:rPr>
        <w:t>:     年</w:t>
      </w:r>
      <w:r>
        <w:rPr>
          <w:rFonts w:ascii="宋体" w:hAnsi="宋体" w:eastAsia="宋体" w:cs="宋体"/>
          <w:spacing w:val="7"/>
          <w:sz w:val="20"/>
          <w:szCs w:val="20"/>
        </w:rPr>
        <w:t xml:space="preserve">     </w:t>
      </w:r>
      <w:r>
        <w:rPr>
          <w:rFonts w:ascii="宋体" w:hAnsi="宋体" w:eastAsia="宋体" w:cs="宋体"/>
          <w:sz w:val="20"/>
          <w:szCs w:val="20"/>
        </w:rPr>
        <w:t>月      日</w:t>
      </w:r>
    </w:p>
    <w:p w14:paraId="6108F417">
      <w:pPr>
        <w:spacing w:line="438" w:lineRule="auto"/>
        <w:rPr>
          <w:rFonts w:ascii="Arial"/>
          <w:sz w:val="21"/>
        </w:rPr>
      </w:pPr>
    </w:p>
    <w:p w14:paraId="4C9C2796">
      <w:pPr>
        <w:spacing w:before="65" w:line="253" w:lineRule="auto"/>
        <w:ind w:left="436" w:hanging="424"/>
        <w:rPr>
          <w:rFonts w:ascii="宋体" w:hAnsi="宋体" w:eastAsia="宋体" w:cs="宋体"/>
          <w:sz w:val="20"/>
          <w:szCs w:val="20"/>
        </w:rPr>
      </w:pPr>
      <w:r>
        <w:rPr>
          <w:rFonts w:ascii="宋体" w:hAnsi="宋体" w:eastAsia="宋体" w:cs="宋体"/>
          <w:spacing w:val="12"/>
          <w:sz w:val="20"/>
          <w:szCs w:val="20"/>
        </w:rPr>
        <w:t>注：存在算术错误的已标价工程量清单按此模式进行分析、修正和记</w:t>
      </w:r>
      <w:r>
        <w:rPr>
          <w:rFonts w:ascii="宋体" w:hAnsi="宋体" w:eastAsia="宋体" w:cs="宋体"/>
          <w:spacing w:val="11"/>
          <w:sz w:val="20"/>
          <w:szCs w:val="20"/>
        </w:rPr>
        <w:t>录。并按修正后的价格的修</w:t>
      </w:r>
      <w:r>
        <w:rPr>
          <w:rFonts w:ascii="宋体" w:hAnsi="宋体" w:eastAsia="宋体" w:cs="宋体"/>
          <w:spacing w:val="9"/>
          <w:sz w:val="20"/>
          <w:szCs w:val="20"/>
        </w:rPr>
        <w:t>正投标人已标价工程量清单相应表格并计算其修正后的投标报价。</w:t>
      </w:r>
    </w:p>
    <w:p w14:paraId="04222625">
      <w:pPr>
        <w:spacing w:line="253" w:lineRule="auto"/>
        <w:rPr>
          <w:rFonts w:ascii="宋体" w:hAnsi="宋体" w:eastAsia="宋体" w:cs="宋体"/>
          <w:sz w:val="20"/>
          <w:szCs w:val="20"/>
        </w:rPr>
        <w:sectPr>
          <w:footerReference r:id="rId152" w:type="default"/>
          <w:pgSz w:w="11907" w:h="16840"/>
          <w:pgMar w:top="400" w:right="1532" w:bottom="1038" w:left="1469" w:header="0" w:footer="785" w:gutter="0"/>
          <w:cols w:space="720" w:num="1"/>
        </w:sectPr>
      </w:pPr>
    </w:p>
    <w:p w14:paraId="75E84F7A">
      <w:pPr>
        <w:spacing w:line="265" w:lineRule="auto"/>
        <w:rPr>
          <w:rFonts w:ascii="Arial"/>
          <w:sz w:val="21"/>
        </w:rPr>
      </w:pPr>
    </w:p>
    <w:p w14:paraId="10A2B4BB">
      <w:pPr>
        <w:spacing w:line="265" w:lineRule="auto"/>
        <w:rPr>
          <w:rFonts w:ascii="Arial"/>
          <w:sz w:val="21"/>
        </w:rPr>
      </w:pPr>
    </w:p>
    <w:p w14:paraId="714A2E9B">
      <w:pPr>
        <w:spacing w:line="266" w:lineRule="auto"/>
        <w:rPr>
          <w:rFonts w:ascii="Arial"/>
          <w:sz w:val="21"/>
        </w:rPr>
      </w:pPr>
    </w:p>
    <w:p w14:paraId="689DC474">
      <w:pPr>
        <w:spacing w:line="266" w:lineRule="auto"/>
        <w:rPr>
          <w:rFonts w:ascii="Arial"/>
          <w:sz w:val="21"/>
        </w:rPr>
      </w:pPr>
    </w:p>
    <w:p w14:paraId="7604EC49">
      <w:pPr>
        <w:spacing w:line="266" w:lineRule="auto"/>
        <w:rPr>
          <w:rFonts w:ascii="Arial"/>
          <w:sz w:val="21"/>
        </w:rPr>
      </w:pPr>
    </w:p>
    <w:p w14:paraId="2C947D7A">
      <w:pPr>
        <w:pStyle w:val="2"/>
        <w:spacing w:before="78" w:line="222" w:lineRule="auto"/>
        <w:ind w:left="26"/>
        <w:outlineLvl w:val="1"/>
        <w:rPr>
          <w:sz w:val="24"/>
          <w:szCs w:val="24"/>
        </w:rPr>
      </w:pPr>
      <w:bookmarkStart w:id="204" w:name="bookmark185"/>
      <w:bookmarkEnd w:id="204"/>
      <w:r>
        <w:rPr>
          <w:spacing w:val="-3"/>
          <w:sz w:val="24"/>
          <w:szCs w:val="24"/>
        </w:rPr>
        <w:t>附表</w:t>
      </w:r>
      <w:r>
        <w:rPr>
          <w:spacing w:val="-49"/>
          <w:sz w:val="24"/>
          <w:szCs w:val="24"/>
        </w:rPr>
        <w:t xml:space="preserve"> </w:t>
      </w:r>
      <w:r>
        <w:rPr>
          <w:rFonts w:ascii="Times New Roman" w:hAnsi="Times New Roman" w:eastAsia="Times New Roman" w:cs="Times New Roman"/>
          <w:spacing w:val="-3"/>
          <w:sz w:val="24"/>
          <w:szCs w:val="24"/>
        </w:rPr>
        <w:t>C-8</w:t>
      </w:r>
      <w:r>
        <w:rPr>
          <w:rFonts w:ascii="Times New Roman" w:hAnsi="Times New Roman" w:eastAsia="Times New Roman" w:cs="Times New Roman"/>
          <w:spacing w:val="-15"/>
          <w:sz w:val="24"/>
          <w:szCs w:val="24"/>
        </w:rPr>
        <w:t xml:space="preserve"> </w:t>
      </w:r>
      <w:r>
        <w:rPr>
          <w:spacing w:val="-3"/>
          <w:sz w:val="24"/>
          <w:szCs w:val="24"/>
        </w:rPr>
        <w:t>：清标报告</w:t>
      </w:r>
      <w:r>
        <w:rPr>
          <w:rFonts w:ascii="Times New Roman" w:hAnsi="Times New Roman" w:eastAsia="Times New Roman" w:cs="Times New Roman"/>
          <w:spacing w:val="-3"/>
          <w:sz w:val="24"/>
          <w:szCs w:val="24"/>
        </w:rPr>
        <w:t>-</w:t>
      </w:r>
      <w:r>
        <w:rPr>
          <w:spacing w:val="-3"/>
          <w:sz w:val="24"/>
          <w:szCs w:val="24"/>
        </w:rPr>
        <w:t>算术错误修正后的已标价工程量清单</w:t>
      </w:r>
    </w:p>
    <w:p w14:paraId="144217A1">
      <w:pPr>
        <w:pStyle w:val="2"/>
        <w:spacing w:before="331" w:line="407" w:lineRule="auto"/>
        <w:ind w:left="15" w:right="1507" w:firstLine="2071"/>
        <w:rPr>
          <w:rFonts w:ascii="宋体" w:hAnsi="宋体" w:eastAsia="宋体" w:cs="宋体"/>
          <w:sz w:val="20"/>
          <w:szCs w:val="20"/>
        </w:rPr>
      </w:pPr>
      <w:r>
        <w:rPr>
          <w:spacing w:val="-1"/>
          <w:sz w:val="28"/>
          <w:szCs w:val="28"/>
        </w:rPr>
        <w:t>算术错误修正后的建设项目投标报价汇总表</w:t>
      </w:r>
      <w:r>
        <w:rPr>
          <w:rFonts w:ascii="宋体" w:hAnsi="宋体" w:eastAsia="宋体" w:cs="宋体"/>
          <w:spacing w:val="3"/>
          <w:sz w:val="20"/>
          <w:szCs w:val="20"/>
        </w:rPr>
        <w:t>工程名称：</w:t>
      </w:r>
      <w:r>
        <w:rPr>
          <w:rFonts w:ascii="宋体" w:hAnsi="宋体" w:eastAsia="宋体" w:cs="宋体"/>
          <w:spacing w:val="1"/>
          <w:sz w:val="20"/>
          <w:szCs w:val="20"/>
        </w:rPr>
        <w:t xml:space="preserve">                                             </w:t>
      </w:r>
      <w:r>
        <w:rPr>
          <w:rFonts w:ascii="宋体" w:hAnsi="宋体" w:eastAsia="宋体" w:cs="宋体"/>
          <w:spacing w:val="3"/>
          <w:sz w:val="20"/>
          <w:szCs w:val="20"/>
        </w:rPr>
        <w:t>第</w:t>
      </w:r>
      <w:r>
        <w:rPr>
          <w:rFonts w:ascii="宋体" w:hAnsi="宋体" w:eastAsia="宋体" w:cs="宋体"/>
          <w:spacing w:val="12"/>
          <w:sz w:val="20"/>
          <w:szCs w:val="20"/>
        </w:rPr>
        <w:t xml:space="preserve">  </w:t>
      </w:r>
      <w:r>
        <w:rPr>
          <w:rFonts w:ascii="宋体" w:hAnsi="宋体" w:eastAsia="宋体" w:cs="宋体"/>
          <w:spacing w:val="3"/>
          <w:sz w:val="20"/>
          <w:szCs w:val="20"/>
        </w:rPr>
        <w:t>页  共</w:t>
      </w:r>
      <w:r>
        <w:rPr>
          <w:rFonts w:ascii="宋体" w:hAnsi="宋体" w:eastAsia="宋体" w:cs="宋体"/>
          <w:spacing w:val="12"/>
          <w:sz w:val="20"/>
          <w:szCs w:val="20"/>
        </w:rPr>
        <w:t xml:space="preserve">  </w:t>
      </w:r>
      <w:r>
        <w:rPr>
          <w:rFonts w:ascii="宋体" w:hAnsi="宋体" w:eastAsia="宋体" w:cs="宋体"/>
          <w:spacing w:val="3"/>
          <w:sz w:val="20"/>
          <w:szCs w:val="20"/>
        </w:rPr>
        <w:t>页</w:t>
      </w:r>
    </w:p>
    <w:tbl>
      <w:tblPr>
        <w:tblStyle w:val="5"/>
        <w:tblW w:w="84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6"/>
        <w:gridCol w:w="3316"/>
        <w:gridCol w:w="1217"/>
        <w:gridCol w:w="965"/>
        <w:gridCol w:w="1399"/>
        <w:gridCol w:w="929"/>
      </w:tblGrid>
      <w:tr w14:paraId="10C067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646" w:type="dxa"/>
            <w:vMerge w:val="restart"/>
            <w:tcBorders>
              <w:bottom w:val="nil"/>
            </w:tcBorders>
            <w:vAlign w:val="top"/>
          </w:tcPr>
          <w:p w14:paraId="6A109A89">
            <w:pPr>
              <w:spacing w:line="417" w:lineRule="auto"/>
              <w:rPr>
                <w:rFonts w:ascii="Arial"/>
                <w:sz w:val="21"/>
              </w:rPr>
            </w:pPr>
          </w:p>
          <w:p w14:paraId="47C7F6ED">
            <w:pPr>
              <w:pStyle w:val="6"/>
              <w:spacing w:before="65" w:line="229" w:lineRule="auto"/>
              <w:ind w:left="117"/>
            </w:pPr>
            <w:r>
              <w:rPr>
                <w:spacing w:val="5"/>
              </w:rPr>
              <w:t>序号</w:t>
            </w:r>
          </w:p>
        </w:tc>
        <w:tc>
          <w:tcPr>
            <w:tcW w:w="3316" w:type="dxa"/>
            <w:vMerge w:val="restart"/>
            <w:tcBorders>
              <w:bottom w:val="nil"/>
            </w:tcBorders>
            <w:vAlign w:val="top"/>
          </w:tcPr>
          <w:p w14:paraId="46B44A5C">
            <w:pPr>
              <w:spacing w:line="417" w:lineRule="auto"/>
              <w:rPr>
                <w:rFonts w:ascii="Arial"/>
                <w:sz w:val="21"/>
              </w:rPr>
            </w:pPr>
          </w:p>
          <w:p w14:paraId="177F16A5">
            <w:pPr>
              <w:pStyle w:val="6"/>
              <w:spacing w:before="65" w:line="228" w:lineRule="auto"/>
              <w:ind w:left="1033"/>
            </w:pPr>
            <w:r>
              <w:rPr>
                <w:spacing w:val="7"/>
              </w:rPr>
              <w:t>单项工程名称</w:t>
            </w:r>
          </w:p>
        </w:tc>
        <w:tc>
          <w:tcPr>
            <w:tcW w:w="1217" w:type="dxa"/>
            <w:vMerge w:val="restart"/>
            <w:tcBorders>
              <w:bottom w:val="nil"/>
            </w:tcBorders>
            <w:vAlign w:val="top"/>
          </w:tcPr>
          <w:p w14:paraId="27AAF1EC">
            <w:pPr>
              <w:spacing w:line="417" w:lineRule="auto"/>
              <w:rPr>
                <w:rFonts w:ascii="Arial"/>
                <w:sz w:val="21"/>
              </w:rPr>
            </w:pPr>
          </w:p>
          <w:p w14:paraId="0178698D">
            <w:pPr>
              <w:pStyle w:val="6"/>
              <w:spacing w:before="65" w:line="228" w:lineRule="auto"/>
              <w:ind w:left="115"/>
            </w:pPr>
            <w:r>
              <w:rPr>
                <w:spacing w:val="5"/>
              </w:rPr>
              <w:t>金额（元）</w:t>
            </w:r>
          </w:p>
        </w:tc>
        <w:tc>
          <w:tcPr>
            <w:tcW w:w="3293" w:type="dxa"/>
            <w:gridSpan w:val="3"/>
            <w:vAlign w:val="top"/>
          </w:tcPr>
          <w:p w14:paraId="3C6DAF7C">
            <w:pPr>
              <w:pStyle w:val="6"/>
              <w:spacing w:before="180" w:line="228" w:lineRule="auto"/>
              <w:ind w:left="968"/>
            </w:pPr>
            <w:r>
              <w:rPr>
                <w:spacing w:val="5"/>
              </w:rPr>
              <w:t>其</w:t>
            </w:r>
            <w:r>
              <w:rPr>
                <w:spacing w:val="19"/>
              </w:rPr>
              <w:t xml:space="preserve">  </w:t>
            </w:r>
            <w:r>
              <w:rPr>
                <w:spacing w:val="5"/>
              </w:rPr>
              <w:t>中</w:t>
            </w:r>
            <w:r>
              <w:rPr>
                <w:spacing w:val="-72"/>
              </w:rPr>
              <w:t xml:space="preserve"> </w:t>
            </w:r>
            <w:r>
              <w:rPr>
                <w:spacing w:val="-47"/>
                <w:w w:val="88"/>
              </w:rPr>
              <w:t>：（</w:t>
            </w:r>
            <w:r>
              <w:rPr>
                <w:spacing w:val="5"/>
              </w:rPr>
              <w:t>元）</w:t>
            </w:r>
          </w:p>
        </w:tc>
      </w:tr>
      <w:tr w14:paraId="47F21E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646" w:type="dxa"/>
            <w:vMerge w:val="continue"/>
            <w:tcBorders>
              <w:top w:val="nil"/>
            </w:tcBorders>
            <w:vAlign w:val="top"/>
          </w:tcPr>
          <w:p w14:paraId="7F89A0D1">
            <w:pPr>
              <w:rPr>
                <w:rFonts w:ascii="Arial"/>
                <w:sz w:val="21"/>
              </w:rPr>
            </w:pPr>
          </w:p>
        </w:tc>
        <w:tc>
          <w:tcPr>
            <w:tcW w:w="3316" w:type="dxa"/>
            <w:vMerge w:val="continue"/>
            <w:tcBorders>
              <w:top w:val="nil"/>
            </w:tcBorders>
            <w:vAlign w:val="top"/>
          </w:tcPr>
          <w:p w14:paraId="27D04517">
            <w:pPr>
              <w:rPr>
                <w:rFonts w:ascii="Arial"/>
                <w:sz w:val="21"/>
              </w:rPr>
            </w:pPr>
          </w:p>
        </w:tc>
        <w:tc>
          <w:tcPr>
            <w:tcW w:w="1217" w:type="dxa"/>
            <w:vMerge w:val="continue"/>
            <w:tcBorders>
              <w:top w:val="nil"/>
            </w:tcBorders>
            <w:vAlign w:val="top"/>
          </w:tcPr>
          <w:p w14:paraId="3EFC2C11">
            <w:pPr>
              <w:rPr>
                <w:rFonts w:ascii="Arial"/>
                <w:sz w:val="21"/>
              </w:rPr>
            </w:pPr>
          </w:p>
        </w:tc>
        <w:tc>
          <w:tcPr>
            <w:tcW w:w="965" w:type="dxa"/>
            <w:vAlign w:val="top"/>
          </w:tcPr>
          <w:p w14:paraId="4635058A">
            <w:pPr>
              <w:pStyle w:val="6"/>
              <w:spacing w:before="211" w:line="226" w:lineRule="auto"/>
              <w:ind w:left="179"/>
            </w:pPr>
            <w:r>
              <w:rPr>
                <w:spacing w:val="4"/>
              </w:rPr>
              <w:t>暂估价</w:t>
            </w:r>
          </w:p>
        </w:tc>
        <w:tc>
          <w:tcPr>
            <w:tcW w:w="1399" w:type="dxa"/>
            <w:vAlign w:val="top"/>
          </w:tcPr>
          <w:p w14:paraId="7164588D">
            <w:pPr>
              <w:pStyle w:val="6"/>
              <w:spacing w:before="62" w:line="246" w:lineRule="auto"/>
              <w:ind w:left="390" w:right="278" w:hanging="100"/>
            </w:pPr>
            <w:r>
              <w:rPr>
                <w:spacing w:val="6"/>
              </w:rPr>
              <w:t>安全文明</w:t>
            </w:r>
            <w:r>
              <w:rPr>
                <w:spacing w:val="7"/>
              </w:rPr>
              <w:t>施工费</w:t>
            </w:r>
          </w:p>
        </w:tc>
        <w:tc>
          <w:tcPr>
            <w:tcW w:w="929" w:type="dxa"/>
            <w:vAlign w:val="top"/>
          </w:tcPr>
          <w:p w14:paraId="5372996D">
            <w:pPr>
              <w:pStyle w:val="6"/>
              <w:spacing w:before="62" w:line="228" w:lineRule="auto"/>
              <w:ind w:left="260"/>
            </w:pPr>
            <w:r>
              <w:rPr>
                <w:spacing w:val="4"/>
              </w:rPr>
              <w:t>规费</w:t>
            </w:r>
          </w:p>
        </w:tc>
      </w:tr>
      <w:tr w14:paraId="435CAE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6" w:type="dxa"/>
            <w:vAlign w:val="top"/>
          </w:tcPr>
          <w:p w14:paraId="40FA7B20">
            <w:pPr>
              <w:pStyle w:val="6"/>
              <w:spacing w:before="164" w:line="270" w:lineRule="exact"/>
              <w:ind w:left="291"/>
            </w:pPr>
            <w:r>
              <w:rPr>
                <w:position w:val="1"/>
              </w:rPr>
              <w:t>1</w:t>
            </w:r>
          </w:p>
        </w:tc>
        <w:tc>
          <w:tcPr>
            <w:tcW w:w="3316" w:type="dxa"/>
            <w:vAlign w:val="top"/>
          </w:tcPr>
          <w:p w14:paraId="1A1DE375">
            <w:pPr>
              <w:pStyle w:val="6"/>
              <w:spacing w:before="165" w:line="228" w:lineRule="auto"/>
              <w:ind w:left="114"/>
            </w:pPr>
            <w:r>
              <w:rPr>
                <w:spacing w:val="6"/>
              </w:rPr>
              <w:t>单项工程</w:t>
            </w:r>
          </w:p>
        </w:tc>
        <w:tc>
          <w:tcPr>
            <w:tcW w:w="1217" w:type="dxa"/>
            <w:vAlign w:val="top"/>
          </w:tcPr>
          <w:p w14:paraId="261D0C2E">
            <w:pPr>
              <w:rPr>
                <w:rFonts w:ascii="Arial"/>
                <w:sz w:val="21"/>
              </w:rPr>
            </w:pPr>
          </w:p>
        </w:tc>
        <w:tc>
          <w:tcPr>
            <w:tcW w:w="965" w:type="dxa"/>
            <w:vAlign w:val="top"/>
          </w:tcPr>
          <w:p w14:paraId="292F6B1A">
            <w:pPr>
              <w:rPr>
                <w:rFonts w:ascii="Arial"/>
                <w:sz w:val="21"/>
              </w:rPr>
            </w:pPr>
          </w:p>
        </w:tc>
        <w:tc>
          <w:tcPr>
            <w:tcW w:w="1399" w:type="dxa"/>
            <w:vAlign w:val="top"/>
          </w:tcPr>
          <w:p w14:paraId="4D403916">
            <w:pPr>
              <w:rPr>
                <w:rFonts w:ascii="Arial"/>
                <w:sz w:val="21"/>
              </w:rPr>
            </w:pPr>
          </w:p>
        </w:tc>
        <w:tc>
          <w:tcPr>
            <w:tcW w:w="929" w:type="dxa"/>
            <w:vAlign w:val="top"/>
          </w:tcPr>
          <w:p w14:paraId="4A271B31">
            <w:pPr>
              <w:rPr>
                <w:rFonts w:ascii="Arial"/>
                <w:sz w:val="21"/>
              </w:rPr>
            </w:pPr>
          </w:p>
        </w:tc>
      </w:tr>
      <w:tr w14:paraId="04A962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6" w:type="dxa"/>
            <w:vAlign w:val="top"/>
          </w:tcPr>
          <w:p w14:paraId="0F506512">
            <w:pPr>
              <w:rPr>
                <w:rFonts w:ascii="Arial"/>
                <w:sz w:val="21"/>
              </w:rPr>
            </w:pPr>
          </w:p>
        </w:tc>
        <w:tc>
          <w:tcPr>
            <w:tcW w:w="3316" w:type="dxa"/>
            <w:vAlign w:val="top"/>
          </w:tcPr>
          <w:p w14:paraId="2ECC6C83">
            <w:pPr>
              <w:rPr>
                <w:rFonts w:ascii="Arial"/>
                <w:sz w:val="21"/>
              </w:rPr>
            </w:pPr>
          </w:p>
        </w:tc>
        <w:tc>
          <w:tcPr>
            <w:tcW w:w="1217" w:type="dxa"/>
            <w:vAlign w:val="top"/>
          </w:tcPr>
          <w:p w14:paraId="7ABFD8B2">
            <w:pPr>
              <w:rPr>
                <w:rFonts w:ascii="Arial"/>
                <w:sz w:val="21"/>
              </w:rPr>
            </w:pPr>
          </w:p>
        </w:tc>
        <w:tc>
          <w:tcPr>
            <w:tcW w:w="965" w:type="dxa"/>
            <w:vAlign w:val="top"/>
          </w:tcPr>
          <w:p w14:paraId="22CD320E">
            <w:pPr>
              <w:rPr>
                <w:rFonts w:ascii="Arial"/>
                <w:sz w:val="21"/>
              </w:rPr>
            </w:pPr>
          </w:p>
        </w:tc>
        <w:tc>
          <w:tcPr>
            <w:tcW w:w="1399" w:type="dxa"/>
            <w:vAlign w:val="top"/>
          </w:tcPr>
          <w:p w14:paraId="2DDF6413">
            <w:pPr>
              <w:rPr>
                <w:rFonts w:ascii="Arial"/>
                <w:sz w:val="21"/>
              </w:rPr>
            </w:pPr>
          </w:p>
        </w:tc>
        <w:tc>
          <w:tcPr>
            <w:tcW w:w="929" w:type="dxa"/>
            <w:vAlign w:val="top"/>
          </w:tcPr>
          <w:p w14:paraId="6594F2A3">
            <w:pPr>
              <w:rPr>
                <w:rFonts w:ascii="Arial"/>
                <w:sz w:val="21"/>
              </w:rPr>
            </w:pPr>
          </w:p>
        </w:tc>
      </w:tr>
      <w:tr w14:paraId="7223F7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6" w:type="dxa"/>
            <w:vAlign w:val="top"/>
          </w:tcPr>
          <w:p w14:paraId="03EC9208">
            <w:pPr>
              <w:rPr>
                <w:rFonts w:ascii="Arial"/>
                <w:sz w:val="21"/>
              </w:rPr>
            </w:pPr>
          </w:p>
        </w:tc>
        <w:tc>
          <w:tcPr>
            <w:tcW w:w="3316" w:type="dxa"/>
            <w:vAlign w:val="top"/>
          </w:tcPr>
          <w:p w14:paraId="24668D9F">
            <w:pPr>
              <w:pStyle w:val="6"/>
              <w:spacing w:before="164" w:line="228" w:lineRule="auto"/>
              <w:ind w:left="115"/>
            </w:pPr>
            <w:r>
              <w:rPr>
                <w:spacing w:val="6"/>
              </w:rPr>
              <w:t>建设项目数据：</w:t>
            </w:r>
          </w:p>
        </w:tc>
        <w:tc>
          <w:tcPr>
            <w:tcW w:w="1217" w:type="dxa"/>
            <w:vAlign w:val="top"/>
          </w:tcPr>
          <w:p w14:paraId="6A826F5F">
            <w:pPr>
              <w:rPr>
                <w:rFonts w:ascii="Arial"/>
                <w:sz w:val="21"/>
              </w:rPr>
            </w:pPr>
          </w:p>
        </w:tc>
        <w:tc>
          <w:tcPr>
            <w:tcW w:w="965" w:type="dxa"/>
            <w:vAlign w:val="top"/>
          </w:tcPr>
          <w:p w14:paraId="071C14F0">
            <w:pPr>
              <w:rPr>
                <w:rFonts w:ascii="Arial"/>
                <w:sz w:val="21"/>
              </w:rPr>
            </w:pPr>
          </w:p>
        </w:tc>
        <w:tc>
          <w:tcPr>
            <w:tcW w:w="1399" w:type="dxa"/>
            <w:vAlign w:val="top"/>
          </w:tcPr>
          <w:p w14:paraId="23FDB0F6">
            <w:pPr>
              <w:rPr>
                <w:rFonts w:ascii="Arial"/>
                <w:sz w:val="21"/>
              </w:rPr>
            </w:pPr>
          </w:p>
        </w:tc>
        <w:tc>
          <w:tcPr>
            <w:tcW w:w="929" w:type="dxa"/>
            <w:vAlign w:val="top"/>
          </w:tcPr>
          <w:p w14:paraId="42496F2C">
            <w:pPr>
              <w:rPr>
                <w:rFonts w:ascii="Arial"/>
                <w:sz w:val="21"/>
              </w:rPr>
            </w:pPr>
          </w:p>
        </w:tc>
      </w:tr>
      <w:tr w14:paraId="3B1302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6" w:type="dxa"/>
            <w:vAlign w:val="top"/>
          </w:tcPr>
          <w:p w14:paraId="66E294F2">
            <w:pPr>
              <w:rPr>
                <w:rFonts w:ascii="Arial"/>
                <w:sz w:val="21"/>
              </w:rPr>
            </w:pPr>
          </w:p>
        </w:tc>
        <w:tc>
          <w:tcPr>
            <w:tcW w:w="3316" w:type="dxa"/>
            <w:vAlign w:val="top"/>
          </w:tcPr>
          <w:p w14:paraId="59235307">
            <w:pPr>
              <w:pStyle w:val="6"/>
              <w:spacing w:before="165" w:line="228" w:lineRule="auto"/>
              <w:ind w:left="114"/>
            </w:pPr>
            <w:r>
              <w:rPr>
                <w:spacing w:val="6"/>
              </w:rPr>
              <w:t>人工费</w:t>
            </w:r>
          </w:p>
        </w:tc>
        <w:tc>
          <w:tcPr>
            <w:tcW w:w="1217" w:type="dxa"/>
            <w:vAlign w:val="top"/>
          </w:tcPr>
          <w:p w14:paraId="76C4D4E0">
            <w:pPr>
              <w:rPr>
                <w:rFonts w:ascii="Arial"/>
                <w:sz w:val="21"/>
              </w:rPr>
            </w:pPr>
          </w:p>
        </w:tc>
        <w:tc>
          <w:tcPr>
            <w:tcW w:w="965" w:type="dxa"/>
            <w:vAlign w:val="top"/>
          </w:tcPr>
          <w:p w14:paraId="762304CF">
            <w:pPr>
              <w:rPr>
                <w:rFonts w:ascii="Arial"/>
                <w:sz w:val="21"/>
              </w:rPr>
            </w:pPr>
          </w:p>
        </w:tc>
        <w:tc>
          <w:tcPr>
            <w:tcW w:w="1399" w:type="dxa"/>
            <w:vAlign w:val="top"/>
          </w:tcPr>
          <w:p w14:paraId="7119BD6E">
            <w:pPr>
              <w:rPr>
                <w:rFonts w:ascii="Arial"/>
                <w:sz w:val="21"/>
              </w:rPr>
            </w:pPr>
          </w:p>
        </w:tc>
        <w:tc>
          <w:tcPr>
            <w:tcW w:w="929" w:type="dxa"/>
            <w:vAlign w:val="top"/>
          </w:tcPr>
          <w:p w14:paraId="01272DEC">
            <w:pPr>
              <w:rPr>
                <w:rFonts w:ascii="Arial"/>
                <w:sz w:val="21"/>
              </w:rPr>
            </w:pPr>
          </w:p>
        </w:tc>
      </w:tr>
      <w:tr w14:paraId="1421E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6" w:type="dxa"/>
            <w:vAlign w:val="top"/>
          </w:tcPr>
          <w:p w14:paraId="10E65672">
            <w:pPr>
              <w:rPr>
                <w:rFonts w:ascii="Arial"/>
                <w:sz w:val="21"/>
              </w:rPr>
            </w:pPr>
          </w:p>
        </w:tc>
        <w:tc>
          <w:tcPr>
            <w:tcW w:w="3316" w:type="dxa"/>
            <w:vAlign w:val="top"/>
          </w:tcPr>
          <w:p w14:paraId="329823A8">
            <w:pPr>
              <w:pStyle w:val="6"/>
              <w:spacing w:before="164" w:line="227" w:lineRule="auto"/>
              <w:ind w:left="112"/>
            </w:pPr>
            <w:r>
              <w:rPr>
                <w:spacing w:val="6"/>
              </w:rPr>
              <w:t>材料费</w:t>
            </w:r>
          </w:p>
        </w:tc>
        <w:tc>
          <w:tcPr>
            <w:tcW w:w="1217" w:type="dxa"/>
            <w:vAlign w:val="top"/>
          </w:tcPr>
          <w:p w14:paraId="5CC9B2B6">
            <w:pPr>
              <w:rPr>
                <w:rFonts w:ascii="Arial"/>
                <w:sz w:val="21"/>
              </w:rPr>
            </w:pPr>
          </w:p>
        </w:tc>
        <w:tc>
          <w:tcPr>
            <w:tcW w:w="965" w:type="dxa"/>
            <w:vAlign w:val="top"/>
          </w:tcPr>
          <w:p w14:paraId="3B83048D">
            <w:pPr>
              <w:rPr>
                <w:rFonts w:ascii="Arial"/>
                <w:sz w:val="21"/>
              </w:rPr>
            </w:pPr>
          </w:p>
        </w:tc>
        <w:tc>
          <w:tcPr>
            <w:tcW w:w="1399" w:type="dxa"/>
            <w:vAlign w:val="top"/>
          </w:tcPr>
          <w:p w14:paraId="3C4B7EE1">
            <w:pPr>
              <w:rPr>
                <w:rFonts w:ascii="Arial"/>
                <w:sz w:val="21"/>
              </w:rPr>
            </w:pPr>
          </w:p>
        </w:tc>
        <w:tc>
          <w:tcPr>
            <w:tcW w:w="929" w:type="dxa"/>
            <w:vAlign w:val="top"/>
          </w:tcPr>
          <w:p w14:paraId="25C449A2">
            <w:pPr>
              <w:rPr>
                <w:rFonts w:ascii="Arial"/>
                <w:sz w:val="21"/>
              </w:rPr>
            </w:pPr>
          </w:p>
        </w:tc>
      </w:tr>
      <w:tr w14:paraId="641D0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6" w:type="dxa"/>
            <w:vAlign w:val="top"/>
          </w:tcPr>
          <w:p w14:paraId="58AB573E">
            <w:pPr>
              <w:rPr>
                <w:rFonts w:ascii="Arial"/>
                <w:sz w:val="21"/>
              </w:rPr>
            </w:pPr>
          </w:p>
        </w:tc>
        <w:tc>
          <w:tcPr>
            <w:tcW w:w="3316" w:type="dxa"/>
            <w:vAlign w:val="top"/>
          </w:tcPr>
          <w:p w14:paraId="530F2BBE">
            <w:pPr>
              <w:pStyle w:val="6"/>
              <w:spacing w:before="164" w:line="227" w:lineRule="auto"/>
              <w:ind w:left="111"/>
            </w:pPr>
            <w:r>
              <w:rPr>
                <w:spacing w:val="7"/>
              </w:rPr>
              <w:t>机械费</w:t>
            </w:r>
          </w:p>
        </w:tc>
        <w:tc>
          <w:tcPr>
            <w:tcW w:w="1217" w:type="dxa"/>
            <w:vAlign w:val="top"/>
          </w:tcPr>
          <w:p w14:paraId="6111101D">
            <w:pPr>
              <w:rPr>
                <w:rFonts w:ascii="Arial"/>
                <w:sz w:val="21"/>
              </w:rPr>
            </w:pPr>
          </w:p>
        </w:tc>
        <w:tc>
          <w:tcPr>
            <w:tcW w:w="965" w:type="dxa"/>
            <w:vAlign w:val="top"/>
          </w:tcPr>
          <w:p w14:paraId="65B918AD">
            <w:pPr>
              <w:rPr>
                <w:rFonts w:ascii="Arial"/>
                <w:sz w:val="21"/>
              </w:rPr>
            </w:pPr>
          </w:p>
        </w:tc>
        <w:tc>
          <w:tcPr>
            <w:tcW w:w="1399" w:type="dxa"/>
            <w:vAlign w:val="top"/>
          </w:tcPr>
          <w:p w14:paraId="296C7717">
            <w:pPr>
              <w:rPr>
                <w:rFonts w:ascii="Arial"/>
                <w:sz w:val="21"/>
              </w:rPr>
            </w:pPr>
          </w:p>
        </w:tc>
        <w:tc>
          <w:tcPr>
            <w:tcW w:w="929" w:type="dxa"/>
            <w:vAlign w:val="top"/>
          </w:tcPr>
          <w:p w14:paraId="54598937">
            <w:pPr>
              <w:rPr>
                <w:rFonts w:ascii="Arial"/>
                <w:sz w:val="21"/>
              </w:rPr>
            </w:pPr>
          </w:p>
        </w:tc>
      </w:tr>
      <w:tr w14:paraId="6127E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6" w:type="dxa"/>
            <w:vAlign w:val="top"/>
          </w:tcPr>
          <w:p w14:paraId="610D4D41">
            <w:pPr>
              <w:rPr>
                <w:rFonts w:ascii="Arial"/>
                <w:sz w:val="21"/>
              </w:rPr>
            </w:pPr>
          </w:p>
        </w:tc>
        <w:tc>
          <w:tcPr>
            <w:tcW w:w="3316" w:type="dxa"/>
            <w:vAlign w:val="top"/>
          </w:tcPr>
          <w:p w14:paraId="175B969F">
            <w:pPr>
              <w:pStyle w:val="6"/>
              <w:spacing w:before="165" w:line="228" w:lineRule="auto"/>
              <w:ind w:left="116"/>
            </w:pPr>
            <w:r>
              <w:rPr>
                <w:spacing w:val="5"/>
              </w:rPr>
              <w:t>设备费</w:t>
            </w:r>
          </w:p>
        </w:tc>
        <w:tc>
          <w:tcPr>
            <w:tcW w:w="1217" w:type="dxa"/>
            <w:vAlign w:val="top"/>
          </w:tcPr>
          <w:p w14:paraId="0234E032">
            <w:pPr>
              <w:rPr>
                <w:rFonts w:ascii="Arial"/>
                <w:sz w:val="21"/>
              </w:rPr>
            </w:pPr>
          </w:p>
        </w:tc>
        <w:tc>
          <w:tcPr>
            <w:tcW w:w="965" w:type="dxa"/>
            <w:vAlign w:val="top"/>
          </w:tcPr>
          <w:p w14:paraId="6671F90B">
            <w:pPr>
              <w:rPr>
                <w:rFonts w:ascii="Arial"/>
                <w:sz w:val="21"/>
              </w:rPr>
            </w:pPr>
          </w:p>
        </w:tc>
        <w:tc>
          <w:tcPr>
            <w:tcW w:w="1399" w:type="dxa"/>
            <w:vAlign w:val="top"/>
          </w:tcPr>
          <w:p w14:paraId="3766824B">
            <w:pPr>
              <w:rPr>
                <w:rFonts w:ascii="Arial"/>
                <w:sz w:val="21"/>
              </w:rPr>
            </w:pPr>
          </w:p>
        </w:tc>
        <w:tc>
          <w:tcPr>
            <w:tcW w:w="929" w:type="dxa"/>
            <w:vAlign w:val="top"/>
          </w:tcPr>
          <w:p w14:paraId="4E7F6DA7">
            <w:pPr>
              <w:rPr>
                <w:rFonts w:ascii="Arial"/>
                <w:sz w:val="21"/>
              </w:rPr>
            </w:pPr>
          </w:p>
        </w:tc>
      </w:tr>
      <w:tr w14:paraId="2BB1C0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6" w:type="dxa"/>
            <w:vAlign w:val="top"/>
          </w:tcPr>
          <w:p w14:paraId="33296847">
            <w:pPr>
              <w:rPr>
                <w:rFonts w:ascii="Arial"/>
                <w:sz w:val="21"/>
              </w:rPr>
            </w:pPr>
          </w:p>
        </w:tc>
        <w:tc>
          <w:tcPr>
            <w:tcW w:w="3316" w:type="dxa"/>
            <w:vAlign w:val="top"/>
          </w:tcPr>
          <w:p w14:paraId="2FE140F0">
            <w:pPr>
              <w:pStyle w:val="6"/>
              <w:spacing w:before="164" w:line="227" w:lineRule="auto"/>
              <w:ind w:left="114"/>
            </w:pPr>
            <w:r>
              <w:rPr>
                <w:spacing w:val="6"/>
              </w:rPr>
              <w:t>主材费</w:t>
            </w:r>
          </w:p>
        </w:tc>
        <w:tc>
          <w:tcPr>
            <w:tcW w:w="1217" w:type="dxa"/>
            <w:vAlign w:val="top"/>
          </w:tcPr>
          <w:p w14:paraId="73A478BF">
            <w:pPr>
              <w:rPr>
                <w:rFonts w:ascii="Arial"/>
                <w:sz w:val="21"/>
              </w:rPr>
            </w:pPr>
          </w:p>
        </w:tc>
        <w:tc>
          <w:tcPr>
            <w:tcW w:w="965" w:type="dxa"/>
            <w:vAlign w:val="top"/>
          </w:tcPr>
          <w:p w14:paraId="73BDE636">
            <w:pPr>
              <w:rPr>
                <w:rFonts w:ascii="Arial"/>
                <w:sz w:val="21"/>
              </w:rPr>
            </w:pPr>
          </w:p>
        </w:tc>
        <w:tc>
          <w:tcPr>
            <w:tcW w:w="1399" w:type="dxa"/>
            <w:vAlign w:val="top"/>
          </w:tcPr>
          <w:p w14:paraId="2B3ED016">
            <w:pPr>
              <w:rPr>
                <w:rFonts w:ascii="Arial"/>
                <w:sz w:val="21"/>
              </w:rPr>
            </w:pPr>
          </w:p>
        </w:tc>
        <w:tc>
          <w:tcPr>
            <w:tcW w:w="929" w:type="dxa"/>
            <w:vAlign w:val="top"/>
          </w:tcPr>
          <w:p w14:paraId="6DD73E67">
            <w:pPr>
              <w:rPr>
                <w:rFonts w:ascii="Arial"/>
                <w:sz w:val="21"/>
              </w:rPr>
            </w:pPr>
          </w:p>
        </w:tc>
      </w:tr>
      <w:tr w14:paraId="091D36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6" w:type="dxa"/>
            <w:vAlign w:val="top"/>
          </w:tcPr>
          <w:p w14:paraId="014E1583">
            <w:pPr>
              <w:rPr>
                <w:rFonts w:ascii="Arial"/>
                <w:sz w:val="21"/>
              </w:rPr>
            </w:pPr>
          </w:p>
        </w:tc>
        <w:tc>
          <w:tcPr>
            <w:tcW w:w="3316" w:type="dxa"/>
            <w:vAlign w:val="top"/>
          </w:tcPr>
          <w:p w14:paraId="6A2EF564">
            <w:pPr>
              <w:rPr>
                <w:rFonts w:ascii="Arial"/>
                <w:sz w:val="21"/>
              </w:rPr>
            </w:pPr>
          </w:p>
        </w:tc>
        <w:tc>
          <w:tcPr>
            <w:tcW w:w="1217" w:type="dxa"/>
            <w:vAlign w:val="top"/>
          </w:tcPr>
          <w:p w14:paraId="3E478080">
            <w:pPr>
              <w:rPr>
                <w:rFonts w:ascii="Arial"/>
                <w:sz w:val="21"/>
              </w:rPr>
            </w:pPr>
          </w:p>
        </w:tc>
        <w:tc>
          <w:tcPr>
            <w:tcW w:w="965" w:type="dxa"/>
            <w:vAlign w:val="top"/>
          </w:tcPr>
          <w:p w14:paraId="7D0F2D1F">
            <w:pPr>
              <w:rPr>
                <w:rFonts w:ascii="Arial"/>
                <w:sz w:val="21"/>
              </w:rPr>
            </w:pPr>
          </w:p>
        </w:tc>
        <w:tc>
          <w:tcPr>
            <w:tcW w:w="1399" w:type="dxa"/>
            <w:vAlign w:val="top"/>
          </w:tcPr>
          <w:p w14:paraId="551016A2">
            <w:pPr>
              <w:rPr>
                <w:rFonts w:ascii="Arial"/>
                <w:sz w:val="21"/>
              </w:rPr>
            </w:pPr>
          </w:p>
        </w:tc>
        <w:tc>
          <w:tcPr>
            <w:tcW w:w="929" w:type="dxa"/>
            <w:vAlign w:val="top"/>
          </w:tcPr>
          <w:p w14:paraId="2FC1E6A8">
            <w:pPr>
              <w:rPr>
                <w:rFonts w:ascii="Arial"/>
                <w:sz w:val="21"/>
              </w:rPr>
            </w:pPr>
          </w:p>
        </w:tc>
      </w:tr>
      <w:tr w14:paraId="50A3B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6" w:type="dxa"/>
            <w:vAlign w:val="top"/>
          </w:tcPr>
          <w:p w14:paraId="167D24FD">
            <w:pPr>
              <w:rPr>
                <w:rFonts w:ascii="Arial"/>
                <w:sz w:val="21"/>
              </w:rPr>
            </w:pPr>
          </w:p>
        </w:tc>
        <w:tc>
          <w:tcPr>
            <w:tcW w:w="3316" w:type="dxa"/>
            <w:vAlign w:val="top"/>
          </w:tcPr>
          <w:p w14:paraId="482922AF">
            <w:pPr>
              <w:rPr>
                <w:rFonts w:ascii="Arial"/>
                <w:sz w:val="21"/>
              </w:rPr>
            </w:pPr>
          </w:p>
        </w:tc>
        <w:tc>
          <w:tcPr>
            <w:tcW w:w="1217" w:type="dxa"/>
            <w:vAlign w:val="top"/>
          </w:tcPr>
          <w:p w14:paraId="5093356D">
            <w:pPr>
              <w:rPr>
                <w:rFonts w:ascii="Arial"/>
                <w:sz w:val="21"/>
              </w:rPr>
            </w:pPr>
          </w:p>
        </w:tc>
        <w:tc>
          <w:tcPr>
            <w:tcW w:w="965" w:type="dxa"/>
            <w:vAlign w:val="top"/>
          </w:tcPr>
          <w:p w14:paraId="6E87A7B4">
            <w:pPr>
              <w:rPr>
                <w:rFonts w:ascii="Arial"/>
                <w:sz w:val="21"/>
              </w:rPr>
            </w:pPr>
          </w:p>
        </w:tc>
        <w:tc>
          <w:tcPr>
            <w:tcW w:w="1399" w:type="dxa"/>
            <w:vAlign w:val="top"/>
          </w:tcPr>
          <w:p w14:paraId="5823DEF6">
            <w:pPr>
              <w:rPr>
                <w:rFonts w:ascii="Arial"/>
                <w:sz w:val="21"/>
              </w:rPr>
            </w:pPr>
          </w:p>
        </w:tc>
        <w:tc>
          <w:tcPr>
            <w:tcW w:w="929" w:type="dxa"/>
            <w:vAlign w:val="top"/>
          </w:tcPr>
          <w:p w14:paraId="40B0C77C">
            <w:pPr>
              <w:rPr>
                <w:rFonts w:ascii="Arial"/>
                <w:sz w:val="21"/>
              </w:rPr>
            </w:pPr>
          </w:p>
        </w:tc>
      </w:tr>
      <w:tr w14:paraId="4C439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3962" w:type="dxa"/>
            <w:gridSpan w:val="2"/>
            <w:vAlign w:val="top"/>
          </w:tcPr>
          <w:p w14:paraId="69F54B54">
            <w:pPr>
              <w:pStyle w:val="6"/>
              <w:spacing w:before="184" w:line="229" w:lineRule="auto"/>
              <w:ind w:left="1726"/>
            </w:pPr>
            <w:r>
              <w:t>合</w:t>
            </w:r>
            <w:r>
              <w:rPr>
                <w:spacing w:val="13"/>
              </w:rPr>
              <w:t xml:space="preserve"> </w:t>
            </w:r>
            <w:r>
              <w:t>计</w:t>
            </w:r>
          </w:p>
        </w:tc>
        <w:tc>
          <w:tcPr>
            <w:tcW w:w="1217" w:type="dxa"/>
            <w:vAlign w:val="top"/>
          </w:tcPr>
          <w:p w14:paraId="47A662EB">
            <w:pPr>
              <w:rPr>
                <w:rFonts w:ascii="Arial"/>
                <w:sz w:val="21"/>
              </w:rPr>
            </w:pPr>
          </w:p>
        </w:tc>
        <w:tc>
          <w:tcPr>
            <w:tcW w:w="965" w:type="dxa"/>
            <w:vAlign w:val="top"/>
          </w:tcPr>
          <w:p w14:paraId="3C894D5D">
            <w:pPr>
              <w:rPr>
                <w:rFonts w:ascii="Arial"/>
                <w:sz w:val="21"/>
              </w:rPr>
            </w:pPr>
          </w:p>
        </w:tc>
        <w:tc>
          <w:tcPr>
            <w:tcW w:w="1399" w:type="dxa"/>
            <w:vAlign w:val="top"/>
          </w:tcPr>
          <w:p w14:paraId="5DFDA046">
            <w:pPr>
              <w:rPr>
                <w:rFonts w:ascii="Arial"/>
                <w:sz w:val="21"/>
              </w:rPr>
            </w:pPr>
          </w:p>
        </w:tc>
        <w:tc>
          <w:tcPr>
            <w:tcW w:w="929" w:type="dxa"/>
            <w:vAlign w:val="top"/>
          </w:tcPr>
          <w:p w14:paraId="4B101B57">
            <w:pPr>
              <w:rPr>
                <w:rFonts w:ascii="Arial"/>
                <w:sz w:val="21"/>
              </w:rPr>
            </w:pPr>
          </w:p>
        </w:tc>
      </w:tr>
      <w:tr w14:paraId="021E0C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3962" w:type="dxa"/>
            <w:gridSpan w:val="2"/>
            <w:vAlign w:val="top"/>
          </w:tcPr>
          <w:p w14:paraId="193D9659">
            <w:pPr>
              <w:pStyle w:val="6"/>
              <w:spacing w:before="185" w:line="226" w:lineRule="auto"/>
              <w:ind w:left="117"/>
            </w:pPr>
            <w:r>
              <w:rPr>
                <w:spacing w:val="8"/>
              </w:rPr>
              <w:t>算术错误修正后的投标总价（A）</w:t>
            </w:r>
          </w:p>
        </w:tc>
        <w:tc>
          <w:tcPr>
            <w:tcW w:w="1217" w:type="dxa"/>
            <w:vAlign w:val="top"/>
          </w:tcPr>
          <w:p w14:paraId="55C0A662">
            <w:pPr>
              <w:rPr>
                <w:rFonts w:ascii="Arial"/>
                <w:sz w:val="21"/>
              </w:rPr>
            </w:pPr>
          </w:p>
        </w:tc>
        <w:tc>
          <w:tcPr>
            <w:tcW w:w="965" w:type="dxa"/>
            <w:vAlign w:val="top"/>
          </w:tcPr>
          <w:p w14:paraId="5BB4D708">
            <w:pPr>
              <w:rPr>
                <w:rFonts w:ascii="Arial"/>
                <w:sz w:val="21"/>
              </w:rPr>
            </w:pPr>
          </w:p>
        </w:tc>
        <w:tc>
          <w:tcPr>
            <w:tcW w:w="1399" w:type="dxa"/>
            <w:vAlign w:val="top"/>
          </w:tcPr>
          <w:p w14:paraId="084FDE87">
            <w:pPr>
              <w:rPr>
                <w:rFonts w:ascii="Arial"/>
                <w:sz w:val="21"/>
              </w:rPr>
            </w:pPr>
          </w:p>
        </w:tc>
        <w:tc>
          <w:tcPr>
            <w:tcW w:w="929" w:type="dxa"/>
            <w:vAlign w:val="top"/>
          </w:tcPr>
          <w:p w14:paraId="62C8D5D8">
            <w:pPr>
              <w:rPr>
                <w:rFonts w:ascii="Arial"/>
                <w:sz w:val="21"/>
              </w:rPr>
            </w:pPr>
          </w:p>
        </w:tc>
      </w:tr>
      <w:tr w14:paraId="676FB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3962" w:type="dxa"/>
            <w:gridSpan w:val="2"/>
            <w:vAlign w:val="top"/>
          </w:tcPr>
          <w:p w14:paraId="7E72AEBF">
            <w:pPr>
              <w:pStyle w:val="6"/>
              <w:spacing w:before="186" w:line="226" w:lineRule="auto"/>
              <w:ind w:left="120"/>
            </w:pPr>
            <w:r>
              <w:rPr>
                <w:spacing w:val="6"/>
              </w:rPr>
              <w:t>原投标总价（B）</w:t>
            </w:r>
          </w:p>
        </w:tc>
        <w:tc>
          <w:tcPr>
            <w:tcW w:w="1217" w:type="dxa"/>
            <w:vAlign w:val="top"/>
          </w:tcPr>
          <w:p w14:paraId="4197A870">
            <w:pPr>
              <w:rPr>
                <w:rFonts w:ascii="Arial"/>
                <w:sz w:val="21"/>
              </w:rPr>
            </w:pPr>
          </w:p>
        </w:tc>
        <w:tc>
          <w:tcPr>
            <w:tcW w:w="965" w:type="dxa"/>
            <w:vAlign w:val="top"/>
          </w:tcPr>
          <w:p w14:paraId="12CE9E59">
            <w:pPr>
              <w:rPr>
                <w:rFonts w:ascii="Arial"/>
                <w:sz w:val="21"/>
              </w:rPr>
            </w:pPr>
          </w:p>
        </w:tc>
        <w:tc>
          <w:tcPr>
            <w:tcW w:w="1399" w:type="dxa"/>
            <w:vAlign w:val="top"/>
          </w:tcPr>
          <w:p w14:paraId="0CE23F1E">
            <w:pPr>
              <w:rPr>
                <w:rFonts w:ascii="Arial"/>
                <w:sz w:val="21"/>
              </w:rPr>
            </w:pPr>
          </w:p>
        </w:tc>
        <w:tc>
          <w:tcPr>
            <w:tcW w:w="929" w:type="dxa"/>
            <w:vAlign w:val="top"/>
          </w:tcPr>
          <w:p w14:paraId="500022BC">
            <w:pPr>
              <w:rPr>
                <w:rFonts w:ascii="Arial"/>
                <w:sz w:val="21"/>
              </w:rPr>
            </w:pPr>
          </w:p>
        </w:tc>
      </w:tr>
      <w:tr w14:paraId="0453D7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3962" w:type="dxa"/>
            <w:gridSpan w:val="2"/>
            <w:vAlign w:val="top"/>
          </w:tcPr>
          <w:p w14:paraId="55B1BB6E">
            <w:pPr>
              <w:pStyle w:val="6"/>
              <w:spacing w:before="186" w:line="228" w:lineRule="auto"/>
              <w:ind w:left="115"/>
            </w:pPr>
            <w:r>
              <w:rPr>
                <w:spacing w:val="6"/>
              </w:rPr>
              <w:t>偏差（A-B）/B×100%</w:t>
            </w:r>
          </w:p>
        </w:tc>
        <w:tc>
          <w:tcPr>
            <w:tcW w:w="1217" w:type="dxa"/>
            <w:vAlign w:val="top"/>
          </w:tcPr>
          <w:p w14:paraId="7862CC70">
            <w:pPr>
              <w:rPr>
                <w:rFonts w:ascii="Arial"/>
                <w:sz w:val="21"/>
              </w:rPr>
            </w:pPr>
          </w:p>
        </w:tc>
        <w:tc>
          <w:tcPr>
            <w:tcW w:w="965" w:type="dxa"/>
            <w:vAlign w:val="top"/>
          </w:tcPr>
          <w:p w14:paraId="133AD4E6">
            <w:pPr>
              <w:rPr>
                <w:rFonts w:ascii="Arial"/>
                <w:sz w:val="21"/>
              </w:rPr>
            </w:pPr>
          </w:p>
        </w:tc>
        <w:tc>
          <w:tcPr>
            <w:tcW w:w="1399" w:type="dxa"/>
            <w:vAlign w:val="top"/>
          </w:tcPr>
          <w:p w14:paraId="3738F801">
            <w:pPr>
              <w:rPr>
                <w:rFonts w:ascii="Arial"/>
                <w:sz w:val="21"/>
              </w:rPr>
            </w:pPr>
          </w:p>
        </w:tc>
        <w:tc>
          <w:tcPr>
            <w:tcW w:w="929" w:type="dxa"/>
            <w:vAlign w:val="top"/>
          </w:tcPr>
          <w:p w14:paraId="7A556DA2">
            <w:pPr>
              <w:rPr>
                <w:rFonts w:ascii="Arial"/>
                <w:sz w:val="21"/>
              </w:rPr>
            </w:pPr>
          </w:p>
        </w:tc>
      </w:tr>
    </w:tbl>
    <w:p w14:paraId="46A3EAAA">
      <w:pPr>
        <w:spacing w:before="304" w:line="227" w:lineRule="auto"/>
        <w:ind w:left="11"/>
        <w:rPr>
          <w:rFonts w:ascii="宋体" w:hAnsi="宋体" w:eastAsia="宋体" w:cs="宋体"/>
          <w:sz w:val="20"/>
          <w:szCs w:val="20"/>
        </w:rPr>
      </w:pPr>
      <w:r>
        <w:rPr>
          <w:rFonts w:ascii="宋体" w:hAnsi="宋体" w:eastAsia="宋体" w:cs="宋体"/>
          <w:spacing w:val="1"/>
          <w:sz w:val="20"/>
          <w:szCs w:val="20"/>
        </w:rPr>
        <w:t xml:space="preserve">评标委员会成员签名：                                    </w:t>
      </w:r>
      <w:r>
        <w:rPr>
          <w:rFonts w:ascii="宋体" w:hAnsi="宋体" w:eastAsia="宋体" w:cs="宋体"/>
          <w:sz w:val="20"/>
          <w:szCs w:val="20"/>
        </w:rPr>
        <w:t>日期</w:t>
      </w:r>
      <w:r>
        <w:rPr>
          <w:rFonts w:ascii="宋体" w:hAnsi="宋体" w:eastAsia="宋体" w:cs="宋体"/>
          <w:spacing w:val="-58"/>
          <w:sz w:val="20"/>
          <w:szCs w:val="20"/>
        </w:rPr>
        <w:t xml:space="preserve"> </w:t>
      </w:r>
      <w:r>
        <w:rPr>
          <w:rFonts w:ascii="宋体" w:hAnsi="宋体" w:eastAsia="宋体" w:cs="宋体"/>
          <w:sz w:val="20"/>
          <w:szCs w:val="20"/>
        </w:rPr>
        <w:t>:     年</w:t>
      </w:r>
      <w:r>
        <w:rPr>
          <w:rFonts w:ascii="宋体" w:hAnsi="宋体" w:eastAsia="宋体" w:cs="宋体"/>
          <w:spacing w:val="7"/>
          <w:sz w:val="20"/>
          <w:szCs w:val="20"/>
        </w:rPr>
        <w:t xml:space="preserve">     </w:t>
      </w:r>
      <w:r>
        <w:rPr>
          <w:rFonts w:ascii="宋体" w:hAnsi="宋体" w:eastAsia="宋体" w:cs="宋体"/>
          <w:sz w:val="20"/>
          <w:szCs w:val="20"/>
        </w:rPr>
        <w:t>月      日</w:t>
      </w:r>
    </w:p>
    <w:p w14:paraId="02BBB42F">
      <w:pPr>
        <w:spacing w:before="299" w:line="252" w:lineRule="auto"/>
        <w:ind w:left="432" w:hanging="420"/>
        <w:rPr>
          <w:rFonts w:ascii="宋体" w:hAnsi="宋体" w:eastAsia="宋体" w:cs="宋体"/>
          <w:sz w:val="20"/>
          <w:szCs w:val="20"/>
        </w:rPr>
      </w:pPr>
      <w:r>
        <w:rPr>
          <w:rFonts w:ascii="宋体" w:hAnsi="宋体" w:eastAsia="宋体" w:cs="宋体"/>
          <w:spacing w:val="12"/>
          <w:sz w:val="20"/>
          <w:szCs w:val="20"/>
        </w:rPr>
        <w:t>注：按修正后的价格修正投标人已标价工程量清单相应表格并计</w:t>
      </w:r>
      <w:r>
        <w:rPr>
          <w:rFonts w:ascii="宋体" w:hAnsi="宋体" w:eastAsia="宋体" w:cs="宋体"/>
          <w:spacing w:val="11"/>
          <w:sz w:val="20"/>
          <w:szCs w:val="20"/>
        </w:rPr>
        <w:t>算其修正后的投标总价，本表为</w:t>
      </w:r>
      <w:r>
        <w:rPr>
          <w:rFonts w:ascii="宋体" w:hAnsi="宋体" w:eastAsia="宋体" w:cs="宋体"/>
          <w:spacing w:val="2"/>
          <w:sz w:val="20"/>
          <w:szCs w:val="20"/>
        </w:rPr>
        <w:t>示例。</w:t>
      </w:r>
    </w:p>
    <w:p w14:paraId="55AA3ED1">
      <w:pPr>
        <w:spacing w:line="252" w:lineRule="auto"/>
        <w:rPr>
          <w:rFonts w:ascii="宋体" w:hAnsi="宋体" w:eastAsia="宋体" w:cs="宋体"/>
          <w:sz w:val="20"/>
          <w:szCs w:val="20"/>
        </w:rPr>
        <w:sectPr>
          <w:footerReference r:id="rId153" w:type="default"/>
          <w:pgSz w:w="11907" w:h="16840"/>
          <w:pgMar w:top="400" w:right="1534" w:bottom="1038" w:left="1469" w:header="0" w:footer="787" w:gutter="0"/>
          <w:cols w:space="720" w:num="1"/>
        </w:sectPr>
      </w:pPr>
    </w:p>
    <w:p w14:paraId="3F6D7757">
      <w:pPr>
        <w:spacing w:line="289" w:lineRule="auto"/>
        <w:rPr>
          <w:rFonts w:ascii="Arial"/>
          <w:sz w:val="21"/>
        </w:rPr>
      </w:pPr>
    </w:p>
    <w:p w14:paraId="0CF8C494">
      <w:pPr>
        <w:spacing w:line="290" w:lineRule="auto"/>
        <w:rPr>
          <w:rFonts w:ascii="Arial"/>
          <w:sz w:val="21"/>
        </w:rPr>
      </w:pPr>
    </w:p>
    <w:p w14:paraId="237FD851">
      <w:pPr>
        <w:spacing w:line="290" w:lineRule="auto"/>
        <w:rPr>
          <w:rFonts w:ascii="Arial"/>
          <w:sz w:val="21"/>
        </w:rPr>
      </w:pPr>
    </w:p>
    <w:p w14:paraId="43AE3DAE">
      <w:pPr>
        <w:spacing w:line="290" w:lineRule="auto"/>
        <w:rPr>
          <w:rFonts w:ascii="Arial"/>
          <w:sz w:val="21"/>
        </w:rPr>
      </w:pPr>
    </w:p>
    <w:p w14:paraId="5118B404">
      <w:pPr>
        <w:pStyle w:val="2"/>
        <w:spacing w:before="78" w:line="222" w:lineRule="auto"/>
        <w:ind w:left="138"/>
        <w:outlineLvl w:val="1"/>
        <w:rPr>
          <w:sz w:val="24"/>
          <w:szCs w:val="24"/>
        </w:rPr>
      </w:pPr>
      <w:r>
        <w:rPr>
          <w:spacing w:val="-2"/>
          <w:sz w:val="24"/>
          <w:szCs w:val="24"/>
        </w:rPr>
        <w:t>附表</w:t>
      </w:r>
      <w:r>
        <w:rPr>
          <w:spacing w:val="-51"/>
          <w:sz w:val="24"/>
          <w:szCs w:val="24"/>
        </w:rPr>
        <w:t xml:space="preserve"> </w:t>
      </w:r>
      <w:r>
        <w:rPr>
          <w:rFonts w:ascii="Times New Roman" w:hAnsi="Times New Roman" w:eastAsia="Times New Roman" w:cs="Times New Roman"/>
          <w:spacing w:val="-2"/>
          <w:sz w:val="24"/>
          <w:szCs w:val="24"/>
        </w:rPr>
        <w:t>C-9</w:t>
      </w:r>
      <w:r>
        <w:rPr>
          <w:rFonts w:ascii="Times New Roman" w:hAnsi="Times New Roman" w:eastAsia="Times New Roman" w:cs="Times New Roman"/>
          <w:spacing w:val="-15"/>
          <w:sz w:val="24"/>
          <w:szCs w:val="24"/>
        </w:rPr>
        <w:t xml:space="preserve"> </w:t>
      </w:r>
      <w:r>
        <w:rPr>
          <w:spacing w:val="-2"/>
          <w:sz w:val="24"/>
          <w:szCs w:val="24"/>
        </w:rPr>
        <w:t>：清标报告</w:t>
      </w:r>
      <w:r>
        <w:rPr>
          <w:rFonts w:ascii="Times New Roman" w:hAnsi="Times New Roman" w:eastAsia="Times New Roman" w:cs="Times New Roman"/>
          <w:spacing w:val="-2"/>
          <w:sz w:val="24"/>
          <w:szCs w:val="24"/>
        </w:rPr>
        <w:t>-</w:t>
      </w:r>
      <w:r>
        <w:rPr>
          <w:spacing w:val="-2"/>
          <w:sz w:val="24"/>
          <w:szCs w:val="24"/>
        </w:rPr>
        <w:t>分部分项工程和单价措施项目清单</w:t>
      </w:r>
      <w:r>
        <w:rPr>
          <w:spacing w:val="-3"/>
          <w:sz w:val="24"/>
          <w:szCs w:val="24"/>
        </w:rPr>
        <w:t>综合单价分析记录表</w:t>
      </w:r>
    </w:p>
    <w:p w14:paraId="0AC5CC33">
      <w:pPr>
        <w:spacing w:line="334" w:lineRule="auto"/>
        <w:rPr>
          <w:rFonts w:ascii="Arial"/>
          <w:sz w:val="21"/>
        </w:rPr>
      </w:pPr>
    </w:p>
    <w:p w14:paraId="7D78E939">
      <w:pPr>
        <w:pStyle w:val="2"/>
        <w:spacing w:before="101" w:line="321" w:lineRule="auto"/>
        <w:ind w:left="126" w:right="2717" w:firstLine="2540"/>
        <w:rPr>
          <w:rFonts w:ascii="宋体" w:hAnsi="宋体" w:eastAsia="宋体" w:cs="宋体"/>
          <w:sz w:val="20"/>
          <w:szCs w:val="20"/>
        </w:rPr>
      </w:pPr>
      <w:bookmarkStart w:id="205" w:name="bookmark186"/>
      <w:bookmarkEnd w:id="205"/>
      <w:bookmarkStart w:id="206" w:name="bookmark187"/>
      <w:bookmarkEnd w:id="206"/>
      <w:r>
        <w:rPr>
          <w:spacing w:val="9"/>
          <w:sz w:val="31"/>
          <w:szCs w:val="31"/>
        </w:rPr>
        <w:t>清标报告-分部分项工程和单价措施项目清单价格分析记录表</w:t>
      </w:r>
      <w:r>
        <w:rPr>
          <w:rFonts w:ascii="宋体" w:hAnsi="宋体" w:eastAsia="宋体" w:cs="宋体"/>
          <w:spacing w:val="6"/>
          <w:sz w:val="20"/>
          <w:szCs w:val="20"/>
        </w:rPr>
        <w:t>投标人名称：</w:t>
      </w:r>
    </w:p>
    <w:p w14:paraId="098C3C36">
      <w:pPr>
        <w:spacing w:line="145" w:lineRule="exact"/>
      </w:pPr>
    </w:p>
    <w:tbl>
      <w:tblPr>
        <w:tblStyle w:val="5"/>
        <w:tblW w:w="13836"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1"/>
        <w:gridCol w:w="1314"/>
        <w:gridCol w:w="1315"/>
        <w:gridCol w:w="1315"/>
        <w:gridCol w:w="1315"/>
        <w:gridCol w:w="1315"/>
        <w:gridCol w:w="1314"/>
        <w:gridCol w:w="1315"/>
        <w:gridCol w:w="1315"/>
        <w:gridCol w:w="1315"/>
        <w:gridCol w:w="1322"/>
      </w:tblGrid>
      <w:tr w14:paraId="57F59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3310" w:type="dxa"/>
            <w:gridSpan w:val="3"/>
            <w:tcBorders>
              <w:top w:val="single" w:color="000000" w:sz="4" w:space="0"/>
              <w:left w:val="single" w:color="000000" w:sz="4" w:space="0"/>
              <w:right w:val="single" w:color="000000" w:sz="4" w:space="0"/>
            </w:tcBorders>
            <w:vAlign w:val="top"/>
          </w:tcPr>
          <w:p w14:paraId="7E427F1F">
            <w:pPr>
              <w:pStyle w:val="6"/>
              <w:spacing w:before="175" w:line="229" w:lineRule="auto"/>
              <w:ind w:left="1058"/>
              <w:rPr>
                <w:sz w:val="19"/>
                <w:szCs w:val="19"/>
              </w:rPr>
            </w:pPr>
            <w:r>
              <w:rPr>
                <w:spacing w:val="8"/>
                <w:sz w:val="19"/>
                <w:szCs w:val="19"/>
              </w:rPr>
              <w:t>单位工程名称</w:t>
            </w:r>
          </w:p>
        </w:tc>
        <w:tc>
          <w:tcPr>
            <w:tcW w:w="10526" w:type="dxa"/>
            <w:gridSpan w:val="8"/>
            <w:tcBorders>
              <w:top w:val="single" w:color="000000" w:sz="4" w:space="0"/>
              <w:left w:val="single" w:color="000000" w:sz="4" w:space="0"/>
              <w:right w:val="single" w:color="000000" w:sz="4" w:space="0"/>
            </w:tcBorders>
            <w:vAlign w:val="top"/>
          </w:tcPr>
          <w:p w14:paraId="74CCAF8D">
            <w:pPr>
              <w:rPr>
                <w:rFonts w:ascii="Arial"/>
                <w:sz w:val="21"/>
              </w:rPr>
            </w:pPr>
          </w:p>
        </w:tc>
      </w:tr>
      <w:tr w14:paraId="18B95E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681" w:type="dxa"/>
            <w:tcBorders>
              <w:left w:val="single" w:color="000000" w:sz="4" w:space="0"/>
            </w:tcBorders>
            <w:vAlign w:val="top"/>
          </w:tcPr>
          <w:p w14:paraId="6E5DD7F8">
            <w:pPr>
              <w:pStyle w:val="6"/>
              <w:spacing w:before="290" w:line="230" w:lineRule="auto"/>
              <w:ind w:left="141"/>
              <w:rPr>
                <w:sz w:val="19"/>
                <w:szCs w:val="19"/>
              </w:rPr>
            </w:pPr>
            <w:r>
              <w:rPr>
                <w:spacing w:val="5"/>
                <w:sz w:val="19"/>
                <w:szCs w:val="19"/>
              </w:rPr>
              <w:t>序号</w:t>
            </w:r>
          </w:p>
        </w:tc>
        <w:tc>
          <w:tcPr>
            <w:tcW w:w="1314" w:type="dxa"/>
            <w:tcBorders>
              <w:right w:val="single" w:color="000000" w:sz="4" w:space="0"/>
            </w:tcBorders>
            <w:vAlign w:val="top"/>
          </w:tcPr>
          <w:p w14:paraId="7B7A3C5D">
            <w:pPr>
              <w:pStyle w:val="6"/>
              <w:spacing w:before="291" w:line="228" w:lineRule="auto"/>
              <w:ind w:left="261"/>
              <w:rPr>
                <w:sz w:val="19"/>
                <w:szCs w:val="19"/>
              </w:rPr>
            </w:pPr>
            <w:r>
              <w:rPr>
                <w:spacing w:val="7"/>
                <w:sz w:val="19"/>
                <w:szCs w:val="19"/>
              </w:rPr>
              <w:t>项目编码</w:t>
            </w:r>
          </w:p>
        </w:tc>
        <w:tc>
          <w:tcPr>
            <w:tcW w:w="1315" w:type="dxa"/>
            <w:tcBorders>
              <w:left w:val="single" w:color="000000" w:sz="4" w:space="0"/>
              <w:right w:val="single" w:color="000000" w:sz="4" w:space="0"/>
            </w:tcBorders>
            <w:vAlign w:val="top"/>
          </w:tcPr>
          <w:p w14:paraId="638A5C65">
            <w:pPr>
              <w:pStyle w:val="6"/>
              <w:spacing w:before="290" w:line="229" w:lineRule="auto"/>
              <w:ind w:left="260"/>
              <w:rPr>
                <w:sz w:val="19"/>
                <w:szCs w:val="19"/>
              </w:rPr>
            </w:pPr>
            <w:r>
              <w:rPr>
                <w:spacing w:val="7"/>
                <w:sz w:val="19"/>
                <w:szCs w:val="19"/>
              </w:rPr>
              <w:t>项目名称</w:t>
            </w:r>
          </w:p>
        </w:tc>
        <w:tc>
          <w:tcPr>
            <w:tcW w:w="1315" w:type="dxa"/>
            <w:tcBorders>
              <w:left w:val="single" w:color="000000" w:sz="4" w:space="0"/>
              <w:right w:val="single" w:color="000000" w:sz="4" w:space="0"/>
            </w:tcBorders>
            <w:vAlign w:val="top"/>
          </w:tcPr>
          <w:p w14:paraId="37082CAD">
            <w:pPr>
              <w:pStyle w:val="6"/>
              <w:spacing w:before="290" w:line="227" w:lineRule="auto"/>
              <w:ind w:left="259"/>
              <w:rPr>
                <w:sz w:val="19"/>
                <w:szCs w:val="19"/>
              </w:rPr>
            </w:pPr>
            <w:r>
              <w:rPr>
                <w:spacing w:val="7"/>
                <w:sz w:val="19"/>
                <w:szCs w:val="19"/>
              </w:rPr>
              <w:t>综合单价</w:t>
            </w:r>
          </w:p>
        </w:tc>
        <w:tc>
          <w:tcPr>
            <w:tcW w:w="1315" w:type="dxa"/>
            <w:tcBorders>
              <w:left w:val="single" w:color="000000" w:sz="4" w:space="0"/>
            </w:tcBorders>
            <w:vAlign w:val="top"/>
          </w:tcPr>
          <w:p w14:paraId="09196882">
            <w:pPr>
              <w:pStyle w:val="6"/>
              <w:spacing w:before="161" w:line="227" w:lineRule="auto"/>
              <w:ind w:left="159"/>
              <w:rPr>
                <w:sz w:val="19"/>
                <w:szCs w:val="19"/>
              </w:rPr>
            </w:pPr>
            <w:r>
              <w:rPr>
                <w:spacing w:val="7"/>
                <w:sz w:val="19"/>
                <w:szCs w:val="19"/>
              </w:rPr>
              <w:t>招标控制价</w:t>
            </w:r>
          </w:p>
          <w:p w14:paraId="2D5C1D04">
            <w:pPr>
              <w:pStyle w:val="6"/>
              <w:spacing w:before="25" w:line="227" w:lineRule="auto"/>
              <w:ind w:left="175"/>
              <w:rPr>
                <w:sz w:val="19"/>
                <w:szCs w:val="19"/>
              </w:rPr>
            </w:pPr>
            <w:r>
              <w:rPr>
                <w:spacing w:val="4"/>
                <w:sz w:val="19"/>
                <w:szCs w:val="19"/>
              </w:rPr>
              <w:t>的综合单价</w:t>
            </w:r>
          </w:p>
        </w:tc>
        <w:tc>
          <w:tcPr>
            <w:tcW w:w="1315" w:type="dxa"/>
            <w:vAlign w:val="top"/>
          </w:tcPr>
          <w:p w14:paraId="621BCD34">
            <w:pPr>
              <w:pStyle w:val="6"/>
              <w:spacing w:before="162" w:line="252" w:lineRule="auto"/>
              <w:ind w:left="262" w:right="256" w:firstLine="2"/>
              <w:rPr>
                <w:sz w:val="19"/>
                <w:szCs w:val="19"/>
              </w:rPr>
            </w:pPr>
            <w:r>
              <w:rPr>
                <w:spacing w:val="7"/>
                <w:sz w:val="19"/>
                <w:szCs w:val="19"/>
              </w:rPr>
              <w:t>综合单价偏离幅度</w:t>
            </w:r>
          </w:p>
        </w:tc>
        <w:tc>
          <w:tcPr>
            <w:tcW w:w="1314" w:type="dxa"/>
            <w:vAlign w:val="top"/>
          </w:tcPr>
          <w:p w14:paraId="6CA06656">
            <w:pPr>
              <w:pStyle w:val="6"/>
              <w:spacing w:before="162" w:line="252" w:lineRule="auto"/>
              <w:ind w:left="462" w:right="255" w:hanging="198"/>
              <w:rPr>
                <w:sz w:val="19"/>
                <w:szCs w:val="19"/>
              </w:rPr>
            </w:pPr>
            <w:r>
              <w:rPr>
                <w:spacing w:val="7"/>
                <w:sz w:val="19"/>
                <w:szCs w:val="19"/>
              </w:rPr>
              <w:t>主要材料</w:t>
            </w:r>
            <w:r>
              <w:rPr>
                <w:spacing w:val="4"/>
                <w:sz w:val="19"/>
                <w:szCs w:val="19"/>
              </w:rPr>
              <w:t>价格</w:t>
            </w:r>
          </w:p>
        </w:tc>
        <w:tc>
          <w:tcPr>
            <w:tcW w:w="1315" w:type="dxa"/>
            <w:vAlign w:val="top"/>
          </w:tcPr>
          <w:p w14:paraId="20B2275E">
            <w:pPr>
              <w:pStyle w:val="6"/>
              <w:spacing w:before="31" w:line="227" w:lineRule="auto"/>
              <w:ind w:left="166"/>
              <w:rPr>
                <w:sz w:val="19"/>
                <w:szCs w:val="19"/>
              </w:rPr>
            </w:pPr>
            <w:r>
              <w:rPr>
                <w:spacing w:val="7"/>
                <w:sz w:val="19"/>
                <w:szCs w:val="19"/>
              </w:rPr>
              <w:t>招标控制价</w:t>
            </w:r>
          </w:p>
          <w:p w14:paraId="33BB2E04">
            <w:pPr>
              <w:pStyle w:val="6"/>
              <w:spacing w:before="26" w:line="233" w:lineRule="auto"/>
              <w:ind w:left="465" w:right="154" w:hanging="284"/>
              <w:rPr>
                <w:sz w:val="19"/>
                <w:szCs w:val="19"/>
              </w:rPr>
            </w:pPr>
            <w:r>
              <w:rPr>
                <w:spacing w:val="4"/>
                <w:sz w:val="19"/>
                <w:szCs w:val="19"/>
              </w:rPr>
              <w:t>的主要材料价格</w:t>
            </w:r>
          </w:p>
        </w:tc>
        <w:tc>
          <w:tcPr>
            <w:tcW w:w="1315" w:type="dxa"/>
            <w:vAlign w:val="top"/>
          </w:tcPr>
          <w:p w14:paraId="3A721719">
            <w:pPr>
              <w:pStyle w:val="6"/>
              <w:spacing w:before="162" w:line="252" w:lineRule="auto"/>
              <w:ind w:left="165" w:right="153" w:firstLine="1"/>
              <w:rPr>
                <w:sz w:val="19"/>
                <w:szCs w:val="19"/>
              </w:rPr>
            </w:pPr>
            <w:r>
              <w:rPr>
                <w:spacing w:val="7"/>
                <w:sz w:val="19"/>
                <w:szCs w:val="19"/>
              </w:rPr>
              <w:t>主要材料价</w:t>
            </w:r>
            <w:r>
              <w:rPr>
                <w:spacing w:val="8"/>
                <w:sz w:val="19"/>
                <w:szCs w:val="19"/>
              </w:rPr>
              <w:t>格偏离幅度</w:t>
            </w:r>
          </w:p>
        </w:tc>
        <w:tc>
          <w:tcPr>
            <w:tcW w:w="1315" w:type="dxa"/>
            <w:tcBorders>
              <w:right w:val="single" w:color="000000" w:sz="4" w:space="0"/>
            </w:tcBorders>
            <w:vAlign w:val="top"/>
          </w:tcPr>
          <w:p w14:paraId="34E9DBF7">
            <w:pPr>
              <w:pStyle w:val="6"/>
              <w:spacing w:before="160" w:line="254" w:lineRule="auto"/>
              <w:ind w:left="368" w:right="348" w:firstLine="3"/>
              <w:rPr>
                <w:sz w:val="19"/>
                <w:szCs w:val="19"/>
              </w:rPr>
            </w:pPr>
            <w:r>
              <w:rPr>
                <w:spacing w:val="5"/>
                <w:sz w:val="19"/>
                <w:szCs w:val="19"/>
              </w:rPr>
              <w:t>管理费</w:t>
            </w:r>
            <w:r>
              <w:rPr>
                <w:spacing w:val="7"/>
                <w:sz w:val="19"/>
                <w:szCs w:val="19"/>
              </w:rPr>
              <w:t>和利润</w:t>
            </w:r>
          </w:p>
        </w:tc>
        <w:tc>
          <w:tcPr>
            <w:tcW w:w="1322" w:type="dxa"/>
            <w:tcBorders>
              <w:left w:val="single" w:color="000000" w:sz="4" w:space="0"/>
              <w:right w:val="single" w:color="000000" w:sz="4" w:space="0"/>
            </w:tcBorders>
            <w:vAlign w:val="top"/>
          </w:tcPr>
          <w:p w14:paraId="416A2633">
            <w:pPr>
              <w:pStyle w:val="6"/>
              <w:spacing w:before="291" w:line="227" w:lineRule="auto"/>
              <w:ind w:left="165"/>
              <w:rPr>
                <w:sz w:val="19"/>
                <w:szCs w:val="19"/>
              </w:rPr>
            </w:pPr>
            <w:r>
              <w:rPr>
                <w:spacing w:val="8"/>
                <w:sz w:val="19"/>
                <w:szCs w:val="19"/>
              </w:rPr>
              <w:t>材料消耗量</w:t>
            </w:r>
          </w:p>
        </w:tc>
      </w:tr>
      <w:tr w14:paraId="0A0FC5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681" w:type="dxa"/>
            <w:tcBorders>
              <w:left w:val="single" w:color="000000" w:sz="4" w:space="0"/>
            </w:tcBorders>
            <w:vAlign w:val="top"/>
          </w:tcPr>
          <w:p w14:paraId="6C641512">
            <w:pPr>
              <w:rPr>
                <w:rFonts w:ascii="Arial"/>
                <w:sz w:val="21"/>
              </w:rPr>
            </w:pPr>
          </w:p>
        </w:tc>
        <w:tc>
          <w:tcPr>
            <w:tcW w:w="1314" w:type="dxa"/>
            <w:tcBorders>
              <w:right w:val="single" w:color="000000" w:sz="4" w:space="0"/>
            </w:tcBorders>
            <w:vAlign w:val="top"/>
          </w:tcPr>
          <w:p w14:paraId="55FB19E8">
            <w:pPr>
              <w:rPr>
                <w:rFonts w:ascii="Arial"/>
                <w:sz w:val="21"/>
              </w:rPr>
            </w:pPr>
          </w:p>
        </w:tc>
        <w:tc>
          <w:tcPr>
            <w:tcW w:w="1315" w:type="dxa"/>
            <w:tcBorders>
              <w:left w:val="single" w:color="000000" w:sz="4" w:space="0"/>
              <w:right w:val="single" w:color="000000" w:sz="4" w:space="0"/>
            </w:tcBorders>
            <w:vAlign w:val="top"/>
          </w:tcPr>
          <w:p w14:paraId="2C4AEC49">
            <w:pPr>
              <w:rPr>
                <w:rFonts w:ascii="Arial"/>
                <w:sz w:val="21"/>
              </w:rPr>
            </w:pPr>
          </w:p>
        </w:tc>
        <w:tc>
          <w:tcPr>
            <w:tcW w:w="1315" w:type="dxa"/>
            <w:tcBorders>
              <w:left w:val="single" w:color="000000" w:sz="4" w:space="0"/>
              <w:right w:val="single" w:color="000000" w:sz="4" w:space="0"/>
            </w:tcBorders>
            <w:vAlign w:val="top"/>
          </w:tcPr>
          <w:p w14:paraId="27EDA30D">
            <w:pPr>
              <w:rPr>
                <w:rFonts w:ascii="Arial"/>
                <w:sz w:val="21"/>
              </w:rPr>
            </w:pPr>
          </w:p>
        </w:tc>
        <w:tc>
          <w:tcPr>
            <w:tcW w:w="1315" w:type="dxa"/>
            <w:tcBorders>
              <w:left w:val="single" w:color="000000" w:sz="4" w:space="0"/>
            </w:tcBorders>
            <w:vAlign w:val="top"/>
          </w:tcPr>
          <w:p w14:paraId="160D66F9">
            <w:pPr>
              <w:rPr>
                <w:rFonts w:ascii="Arial"/>
                <w:sz w:val="21"/>
              </w:rPr>
            </w:pPr>
          </w:p>
        </w:tc>
        <w:tc>
          <w:tcPr>
            <w:tcW w:w="1315" w:type="dxa"/>
            <w:vAlign w:val="top"/>
          </w:tcPr>
          <w:p w14:paraId="63703716">
            <w:pPr>
              <w:rPr>
                <w:rFonts w:ascii="Arial"/>
                <w:sz w:val="21"/>
              </w:rPr>
            </w:pPr>
          </w:p>
        </w:tc>
        <w:tc>
          <w:tcPr>
            <w:tcW w:w="1314" w:type="dxa"/>
            <w:vAlign w:val="top"/>
          </w:tcPr>
          <w:p w14:paraId="1116B362">
            <w:pPr>
              <w:rPr>
                <w:rFonts w:ascii="Arial"/>
                <w:sz w:val="21"/>
              </w:rPr>
            </w:pPr>
          </w:p>
        </w:tc>
        <w:tc>
          <w:tcPr>
            <w:tcW w:w="1315" w:type="dxa"/>
            <w:vAlign w:val="top"/>
          </w:tcPr>
          <w:p w14:paraId="315A537C">
            <w:pPr>
              <w:rPr>
                <w:rFonts w:ascii="Arial"/>
                <w:sz w:val="21"/>
              </w:rPr>
            </w:pPr>
          </w:p>
        </w:tc>
        <w:tc>
          <w:tcPr>
            <w:tcW w:w="1315" w:type="dxa"/>
            <w:vAlign w:val="top"/>
          </w:tcPr>
          <w:p w14:paraId="71BB1F63">
            <w:pPr>
              <w:rPr>
                <w:rFonts w:ascii="Arial"/>
                <w:sz w:val="21"/>
              </w:rPr>
            </w:pPr>
          </w:p>
        </w:tc>
        <w:tc>
          <w:tcPr>
            <w:tcW w:w="1315" w:type="dxa"/>
            <w:tcBorders>
              <w:right w:val="single" w:color="000000" w:sz="4" w:space="0"/>
            </w:tcBorders>
            <w:vAlign w:val="top"/>
          </w:tcPr>
          <w:p w14:paraId="7B0DD611">
            <w:pPr>
              <w:rPr>
                <w:rFonts w:ascii="Arial"/>
                <w:sz w:val="21"/>
              </w:rPr>
            </w:pPr>
          </w:p>
        </w:tc>
        <w:tc>
          <w:tcPr>
            <w:tcW w:w="1322" w:type="dxa"/>
            <w:tcBorders>
              <w:left w:val="single" w:color="000000" w:sz="4" w:space="0"/>
              <w:right w:val="single" w:color="000000" w:sz="4" w:space="0"/>
            </w:tcBorders>
            <w:vAlign w:val="top"/>
          </w:tcPr>
          <w:p w14:paraId="4331C83E">
            <w:pPr>
              <w:rPr>
                <w:rFonts w:ascii="Arial"/>
                <w:sz w:val="21"/>
              </w:rPr>
            </w:pPr>
          </w:p>
        </w:tc>
      </w:tr>
      <w:tr w14:paraId="459576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681" w:type="dxa"/>
            <w:tcBorders>
              <w:left w:val="single" w:color="000000" w:sz="4" w:space="0"/>
            </w:tcBorders>
            <w:vAlign w:val="top"/>
          </w:tcPr>
          <w:p w14:paraId="7226EA42">
            <w:pPr>
              <w:rPr>
                <w:rFonts w:ascii="Arial"/>
                <w:sz w:val="21"/>
              </w:rPr>
            </w:pPr>
          </w:p>
        </w:tc>
        <w:tc>
          <w:tcPr>
            <w:tcW w:w="1314" w:type="dxa"/>
            <w:tcBorders>
              <w:right w:val="single" w:color="000000" w:sz="4" w:space="0"/>
            </w:tcBorders>
            <w:vAlign w:val="top"/>
          </w:tcPr>
          <w:p w14:paraId="384B5F8C">
            <w:pPr>
              <w:rPr>
                <w:rFonts w:ascii="Arial"/>
                <w:sz w:val="21"/>
              </w:rPr>
            </w:pPr>
          </w:p>
        </w:tc>
        <w:tc>
          <w:tcPr>
            <w:tcW w:w="1315" w:type="dxa"/>
            <w:tcBorders>
              <w:left w:val="single" w:color="000000" w:sz="4" w:space="0"/>
              <w:right w:val="single" w:color="000000" w:sz="4" w:space="0"/>
            </w:tcBorders>
            <w:vAlign w:val="top"/>
          </w:tcPr>
          <w:p w14:paraId="1BA70C94">
            <w:pPr>
              <w:rPr>
                <w:rFonts w:ascii="Arial"/>
                <w:sz w:val="21"/>
              </w:rPr>
            </w:pPr>
          </w:p>
        </w:tc>
        <w:tc>
          <w:tcPr>
            <w:tcW w:w="1315" w:type="dxa"/>
            <w:tcBorders>
              <w:left w:val="single" w:color="000000" w:sz="4" w:space="0"/>
              <w:right w:val="single" w:color="000000" w:sz="4" w:space="0"/>
            </w:tcBorders>
            <w:vAlign w:val="top"/>
          </w:tcPr>
          <w:p w14:paraId="5A9D1EFB">
            <w:pPr>
              <w:rPr>
                <w:rFonts w:ascii="Arial"/>
                <w:sz w:val="21"/>
              </w:rPr>
            </w:pPr>
          </w:p>
        </w:tc>
        <w:tc>
          <w:tcPr>
            <w:tcW w:w="1315" w:type="dxa"/>
            <w:tcBorders>
              <w:left w:val="single" w:color="000000" w:sz="4" w:space="0"/>
            </w:tcBorders>
            <w:vAlign w:val="top"/>
          </w:tcPr>
          <w:p w14:paraId="715125FA">
            <w:pPr>
              <w:rPr>
                <w:rFonts w:ascii="Arial"/>
                <w:sz w:val="21"/>
              </w:rPr>
            </w:pPr>
          </w:p>
        </w:tc>
        <w:tc>
          <w:tcPr>
            <w:tcW w:w="1315" w:type="dxa"/>
            <w:vAlign w:val="top"/>
          </w:tcPr>
          <w:p w14:paraId="424DB825">
            <w:pPr>
              <w:rPr>
                <w:rFonts w:ascii="Arial"/>
                <w:sz w:val="21"/>
              </w:rPr>
            </w:pPr>
          </w:p>
        </w:tc>
        <w:tc>
          <w:tcPr>
            <w:tcW w:w="1314" w:type="dxa"/>
            <w:vAlign w:val="top"/>
          </w:tcPr>
          <w:p w14:paraId="5E8FB88E">
            <w:pPr>
              <w:rPr>
                <w:rFonts w:ascii="Arial"/>
                <w:sz w:val="21"/>
              </w:rPr>
            </w:pPr>
          </w:p>
        </w:tc>
        <w:tc>
          <w:tcPr>
            <w:tcW w:w="1315" w:type="dxa"/>
            <w:vAlign w:val="top"/>
          </w:tcPr>
          <w:p w14:paraId="6FE24118">
            <w:pPr>
              <w:rPr>
                <w:rFonts w:ascii="Arial"/>
                <w:sz w:val="21"/>
              </w:rPr>
            </w:pPr>
          </w:p>
        </w:tc>
        <w:tc>
          <w:tcPr>
            <w:tcW w:w="1315" w:type="dxa"/>
            <w:vAlign w:val="top"/>
          </w:tcPr>
          <w:p w14:paraId="7A7ABCF8">
            <w:pPr>
              <w:rPr>
                <w:rFonts w:ascii="Arial"/>
                <w:sz w:val="21"/>
              </w:rPr>
            </w:pPr>
          </w:p>
        </w:tc>
        <w:tc>
          <w:tcPr>
            <w:tcW w:w="1315" w:type="dxa"/>
            <w:tcBorders>
              <w:right w:val="single" w:color="000000" w:sz="4" w:space="0"/>
            </w:tcBorders>
            <w:vAlign w:val="top"/>
          </w:tcPr>
          <w:p w14:paraId="0FD58AF5">
            <w:pPr>
              <w:rPr>
                <w:rFonts w:ascii="Arial"/>
                <w:sz w:val="21"/>
              </w:rPr>
            </w:pPr>
          </w:p>
        </w:tc>
        <w:tc>
          <w:tcPr>
            <w:tcW w:w="1322" w:type="dxa"/>
            <w:tcBorders>
              <w:left w:val="single" w:color="000000" w:sz="4" w:space="0"/>
              <w:right w:val="single" w:color="000000" w:sz="4" w:space="0"/>
            </w:tcBorders>
            <w:vAlign w:val="top"/>
          </w:tcPr>
          <w:p w14:paraId="54663D97">
            <w:pPr>
              <w:rPr>
                <w:rFonts w:ascii="Arial"/>
                <w:sz w:val="21"/>
              </w:rPr>
            </w:pPr>
          </w:p>
        </w:tc>
      </w:tr>
      <w:tr w14:paraId="0E938D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681" w:type="dxa"/>
            <w:tcBorders>
              <w:left w:val="single" w:color="000000" w:sz="4" w:space="0"/>
            </w:tcBorders>
            <w:vAlign w:val="top"/>
          </w:tcPr>
          <w:p w14:paraId="53ED7099">
            <w:pPr>
              <w:rPr>
                <w:rFonts w:ascii="Arial"/>
                <w:sz w:val="21"/>
              </w:rPr>
            </w:pPr>
          </w:p>
        </w:tc>
        <w:tc>
          <w:tcPr>
            <w:tcW w:w="1314" w:type="dxa"/>
            <w:tcBorders>
              <w:right w:val="single" w:color="000000" w:sz="4" w:space="0"/>
            </w:tcBorders>
            <w:vAlign w:val="top"/>
          </w:tcPr>
          <w:p w14:paraId="6274E40A">
            <w:pPr>
              <w:rPr>
                <w:rFonts w:ascii="Arial"/>
                <w:sz w:val="21"/>
              </w:rPr>
            </w:pPr>
          </w:p>
        </w:tc>
        <w:tc>
          <w:tcPr>
            <w:tcW w:w="1315" w:type="dxa"/>
            <w:tcBorders>
              <w:left w:val="single" w:color="000000" w:sz="4" w:space="0"/>
              <w:right w:val="single" w:color="000000" w:sz="4" w:space="0"/>
            </w:tcBorders>
            <w:vAlign w:val="top"/>
          </w:tcPr>
          <w:p w14:paraId="1FA33C7E">
            <w:pPr>
              <w:rPr>
                <w:rFonts w:ascii="Arial"/>
                <w:sz w:val="21"/>
              </w:rPr>
            </w:pPr>
          </w:p>
        </w:tc>
        <w:tc>
          <w:tcPr>
            <w:tcW w:w="1315" w:type="dxa"/>
            <w:tcBorders>
              <w:left w:val="single" w:color="000000" w:sz="4" w:space="0"/>
              <w:right w:val="single" w:color="000000" w:sz="4" w:space="0"/>
            </w:tcBorders>
            <w:vAlign w:val="top"/>
          </w:tcPr>
          <w:p w14:paraId="309BB651">
            <w:pPr>
              <w:rPr>
                <w:rFonts w:ascii="Arial"/>
                <w:sz w:val="21"/>
              </w:rPr>
            </w:pPr>
          </w:p>
        </w:tc>
        <w:tc>
          <w:tcPr>
            <w:tcW w:w="1315" w:type="dxa"/>
            <w:tcBorders>
              <w:left w:val="single" w:color="000000" w:sz="4" w:space="0"/>
            </w:tcBorders>
            <w:vAlign w:val="top"/>
          </w:tcPr>
          <w:p w14:paraId="3B6C6FF9">
            <w:pPr>
              <w:rPr>
                <w:rFonts w:ascii="Arial"/>
                <w:sz w:val="21"/>
              </w:rPr>
            </w:pPr>
          </w:p>
        </w:tc>
        <w:tc>
          <w:tcPr>
            <w:tcW w:w="1315" w:type="dxa"/>
            <w:vAlign w:val="top"/>
          </w:tcPr>
          <w:p w14:paraId="225A6D50">
            <w:pPr>
              <w:rPr>
                <w:rFonts w:ascii="Arial"/>
                <w:sz w:val="21"/>
              </w:rPr>
            </w:pPr>
          </w:p>
        </w:tc>
        <w:tc>
          <w:tcPr>
            <w:tcW w:w="1314" w:type="dxa"/>
            <w:vAlign w:val="top"/>
          </w:tcPr>
          <w:p w14:paraId="221A1EC7">
            <w:pPr>
              <w:rPr>
                <w:rFonts w:ascii="Arial"/>
                <w:sz w:val="21"/>
              </w:rPr>
            </w:pPr>
          </w:p>
        </w:tc>
        <w:tc>
          <w:tcPr>
            <w:tcW w:w="1315" w:type="dxa"/>
            <w:vAlign w:val="top"/>
          </w:tcPr>
          <w:p w14:paraId="526F3FED">
            <w:pPr>
              <w:rPr>
                <w:rFonts w:ascii="Arial"/>
                <w:sz w:val="21"/>
              </w:rPr>
            </w:pPr>
          </w:p>
        </w:tc>
        <w:tc>
          <w:tcPr>
            <w:tcW w:w="1315" w:type="dxa"/>
            <w:vAlign w:val="top"/>
          </w:tcPr>
          <w:p w14:paraId="5401403C">
            <w:pPr>
              <w:rPr>
                <w:rFonts w:ascii="Arial"/>
                <w:sz w:val="21"/>
              </w:rPr>
            </w:pPr>
          </w:p>
        </w:tc>
        <w:tc>
          <w:tcPr>
            <w:tcW w:w="1315" w:type="dxa"/>
            <w:tcBorders>
              <w:right w:val="single" w:color="000000" w:sz="4" w:space="0"/>
            </w:tcBorders>
            <w:vAlign w:val="top"/>
          </w:tcPr>
          <w:p w14:paraId="09253211">
            <w:pPr>
              <w:rPr>
                <w:rFonts w:ascii="Arial"/>
                <w:sz w:val="21"/>
              </w:rPr>
            </w:pPr>
          </w:p>
        </w:tc>
        <w:tc>
          <w:tcPr>
            <w:tcW w:w="1322" w:type="dxa"/>
            <w:tcBorders>
              <w:left w:val="single" w:color="000000" w:sz="4" w:space="0"/>
              <w:right w:val="single" w:color="000000" w:sz="4" w:space="0"/>
            </w:tcBorders>
            <w:vAlign w:val="top"/>
          </w:tcPr>
          <w:p w14:paraId="6F000202">
            <w:pPr>
              <w:rPr>
                <w:rFonts w:ascii="Arial"/>
                <w:sz w:val="21"/>
              </w:rPr>
            </w:pPr>
          </w:p>
        </w:tc>
      </w:tr>
      <w:tr w14:paraId="474290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681" w:type="dxa"/>
            <w:tcBorders>
              <w:left w:val="single" w:color="000000" w:sz="4" w:space="0"/>
            </w:tcBorders>
            <w:vAlign w:val="top"/>
          </w:tcPr>
          <w:p w14:paraId="0B7D86A6">
            <w:pPr>
              <w:rPr>
                <w:rFonts w:ascii="Arial"/>
                <w:sz w:val="21"/>
              </w:rPr>
            </w:pPr>
          </w:p>
        </w:tc>
        <w:tc>
          <w:tcPr>
            <w:tcW w:w="1314" w:type="dxa"/>
            <w:tcBorders>
              <w:right w:val="single" w:color="000000" w:sz="4" w:space="0"/>
            </w:tcBorders>
            <w:vAlign w:val="top"/>
          </w:tcPr>
          <w:p w14:paraId="1EE3F7AC">
            <w:pPr>
              <w:rPr>
                <w:rFonts w:ascii="Arial"/>
                <w:sz w:val="21"/>
              </w:rPr>
            </w:pPr>
          </w:p>
        </w:tc>
        <w:tc>
          <w:tcPr>
            <w:tcW w:w="1315" w:type="dxa"/>
            <w:tcBorders>
              <w:left w:val="single" w:color="000000" w:sz="4" w:space="0"/>
              <w:right w:val="single" w:color="000000" w:sz="4" w:space="0"/>
            </w:tcBorders>
            <w:vAlign w:val="top"/>
          </w:tcPr>
          <w:p w14:paraId="7B4D58D8">
            <w:pPr>
              <w:rPr>
                <w:rFonts w:ascii="Arial"/>
                <w:sz w:val="21"/>
              </w:rPr>
            </w:pPr>
          </w:p>
        </w:tc>
        <w:tc>
          <w:tcPr>
            <w:tcW w:w="1315" w:type="dxa"/>
            <w:tcBorders>
              <w:left w:val="single" w:color="000000" w:sz="4" w:space="0"/>
              <w:right w:val="single" w:color="000000" w:sz="4" w:space="0"/>
            </w:tcBorders>
            <w:vAlign w:val="top"/>
          </w:tcPr>
          <w:p w14:paraId="4C20B0C8">
            <w:pPr>
              <w:rPr>
                <w:rFonts w:ascii="Arial"/>
                <w:sz w:val="21"/>
              </w:rPr>
            </w:pPr>
          </w:p>
        </w:tc>
        <w:tc>
          <w:tcPr>
            <w:tcW w:w="1315" w:type="dxa"/>
            <w:tcBorders>
              <w:left w:val="single" w:color="000000" w:sz="4" w:space="0"/>
            </w:tcBorders>
            <w:vAlign w:val="top"/>
          </w:tcPr>
          <w:p w14:paraId="4006E380">
            <w:pPr>
              <w:rPr>
                <w:rFonts w:ascii="Arial"/>
                <w:sz w:val="21"/>
              </w:rPr>
            </w:pPr>
          </w:p>
        </w:tc>
        <w:tc>
          <w:tcPr>
            <w:tcW w:w="1315" w:type="dxa"/>
            <w:vAlign w:val="top"/>
          </w:tcPr>
          <w:p w14:paraId="3880DD8B">
            <w:pPr>
              <w:rPr>
                <w:rFonts w:ascii="Arial"/>
                <w:sz w:val="21"/>
              </w:rPr>
            </w:pPr>
          </w:p>
        </w:tc>
        <w:tc>
          <w:tcPr>
            <w:tcW w:w="1314" w:type="dxa"/>
            <w:vAlign w:val="top"/>
          </w:tcPr>
          <w:p w14:paraId="34F79130">
            <w:pPr>
              <w:rPr>
                <w:rFonts w:ascii="Arial"/>
                <w:sz w:val="21"/>
              </w:rPr>
            </w:pPr>
          </w:p>
        </w:tc>
        <w:tc>
          <w:tcPr>
            <w:tcW w:w="1315" w:type="dxa"/>
            <w:vAlign w:val="top"/>
          </w:tcPr>
          <w:p w14:paraId="3D135D3E">
            <w:pPr>
              <w:rPr>
                <w:rFonts w:ascii="Arial"/>
                <w:sz w:val="21"/>
              </w:rPr>
            </w:pPr>
          </w:p>
        </w:tc>
        <w:tc>
          <w:tcPr>
            <w:tcW w:w="1315" w:type="dxa"/>
            <w:vAlign w:val="top"/>
          </w:tcPr>
          <w:p w14:paraId="2A0A0448">
            <w:pPr>
              <w:rPr>
                <w:rFonts w:ascii="Arial"/>
                <w:sz w:val="21"/>
              </w:rPr>
            </w:pPr>
          </w:p>
        </w:tc>
        <w:tc>
          <w:tcPr>
            <w:tcW w:w="1315" w:type="dxa"/>
            <w:tcBorders>
              <w:right w:val="single" w:color="000000" w:sz="4" w:space="0"/>
            </w:tcBorders>
            <w:vAlign w:val="top"/>
          </w:tcPr>
          <w:p w14:paraId="5017A13D">
            <w:pPr>
              <w:rPr>
                <w:rFonts w:ascii="Arial"/>
                <w:sz w:val="21"/>
              </w:rPr>
            </w:pPr>
          </w:p>
        </w:tc>
        <w:tc>
          <w:tcPr>
            <w:tcW w:w="1322" w:type="dxa"/>
            <w:tcBorders>
              <w:left w:val="single" w:color="000000" w:sz="4" w:space="0"/>
              <w:right w:val="single" w:color="000000" w:sz="4" w:space="0"/>
            </w:tcBorders>
            <w:vAlign w:val="top"/>
          </w:tcPr>
          <w:p w14:paraId="69ABD8CE">
            <w:pPr>
              <w:rPr>
                <w:rFonts w:ascii="Arial"/>
                <w:sz w:val="21"/>
              </w:rPr>
            </w:pPr>
          </w:p>
        </w:tc>
      </w:tr>
      <w:tr w14:paraId="51360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681" w:type="dxa"/>
            <w:tcBorders>
              <w:left w:val="single" w:color="000000" w:sz="4" w:space="0"/>
            </w:tcBorders>
            <w:vAlign w:val="top"/>
          </w:tcPr>
          <w:p w14:paraId="5DCCC56C">
            <w:pPr>
              <w:rPr>
                <w:rFonts w:ascii="Arial"/>
                <w:sz w:val="21"/>
              </w:rPr>
            </w:pPr>
          </w:p>
        </w:tc>
        <w:tc>
          <w:tcPr>
            <w:tcW w:w="1314" w:type="dxa"/>
            <w:tcBorders>
              <w:right w:val="single" w:color="000000" w:sz="4" w:space="0"/>
            </w:tcBorders>
            <w:vAlign w:val="top"/>
          </w:tcPr>
          <w:p w14:paraId="1C1AFF27">
            <w:pPr>
              <w:rPr>
                <w:rFonts w:ascii="Arial"/>
                <w:sz w:val="21"/>
              </w:rPr>
            </w:pPr>
          </w:p>
        </w:tc>
        <w:tc>
          <w:tcPr>
            <w:tcW w:w="1315" w:type="dxa"/>
            <w:tcBorders>
              <w:left w:val="single" w:color="000000" w:sz="4" w:space="0"/>
              <w:right w:val="single" w:color="000000" w:sz="4" w:space="0"/>
            </w:tcBorders>
            <w:vAlign w:val="top"/>
          </w:tcPr>
          <w:p w14:paraId="63331A8F">
            <w:pPr>
              <w:rPr>
                <w:rFonts w:ascii="Arial"/>
                <w:sz w:val="21"/>
              </w:rPr>
            </w:pPr>
          </w:p>
        </w:tc>
        <w:tc>
          <w:tcPr>
            <w:tcW w:w="1315" w:type="dxa"/>
            <w:tcBorders>
              <w:left w:val="single" w:color="000000" w:sz="4" w:space="0"/>
              <w:right w:val="single" w:color="000000" w:sz="4" w:space="0"/>
            </w:tcBorders>
            <w:vAlign w:val="top"/>
          </w:tcPr>
          <w:p w14:paraId="6A631313">
            <w:pPr>
              <w:rPr>
                <w:rFonts w:ascii="Arial"/>
                <w:sz w:val="21"/>
              </w:rPr>
            </w:pPr>
          </w:p>
        </w:tc>
        <w:tc>
          <w:tcPr>
            <w:tcW w:w="1315" w:type="dxa"/>
            <w:tcBorders>
              <w:left w:val="single" w:color="000000" w:sz="4" w:space="0"/>
            </w:tcBorders>
            <w:vAlign w:val="top"/>
          </w:tcPr>
          <w:p w14:paraId="173C4517">
            <w:pPr>
              <w:rPr>
                <w:rFonts w:ascii="Arial"/>
                <w:sz w:val="21"/>
              </w:rPr>
            </w:pPr>
          </w:p>
        </w:tc>
        <w:tc>
          <w:tcPr>
            <w:tcW w:w="1315" w:type="dxa"/>
            <w:vAlign w:val="top"/>
          </w:tcPr>
          <w:p w14:paraId="7AD86816">
            <w:pPr>
              <w:rPr>
                <w:rFonts w:ascii="Arial"/>
                <w:sz w:val="21"/>
              </w:rPr>
            </w:pPr>
          </w:p>
        </w:tc>
        <w:tc>
          <w:tcPr>
            <w:tcW w:w="1314" w:type="dxa"/>
            <w:vAlign w:val="top"/>
          </w:tcPr>
          <w:p w14:paraId="7282B917">
            <w:pPr>
              <w:rPr>
                <w:rFonts w:ascii="Arial"/>
                <w:sz w:val="21"/>
              </w:rPr>
            </w:pPr>
          </w:p>
        </w:tc>
        <w:tc>
          <w:tcPr>
            <w:tcW w:w="1315" w:type="dxa"/>
            <w:vAlign w:val="top"/>
          </w:tcPr>
          <w:p w14:paraId="55E048C5">
            <w:pPr>
              <w:rPr>
                <w:rFonts w:ascii="Arial"/>
                <w:sz w:val="21"/>
              </w:rPr>
            </w:pPr>
          </w:p>
        </w:tc>
        <w:tc>
          <w:tcPr>
            <w:tcW w:w="1315" w:type="dxa"/>
            <w:vAlign w:val="top"/>
          </w:tcPr>
          <w:p w14:paraId="46484F78">
            <w:pPr>
              <w:rPr>
                <w:rFonts w:ascii="Arial"/>
                <w:sz w:val="21"/>
              </w:rPr>
            </w:pPr>
          </w:p>
        </w:tc>
        <w:tc>
          <w:tcPr>
            <w:tcW w:w="1315" w:type="dxa"/>
            <w:tcBorders>
              <w:right w:val="single" w:color="000000" w:sz="4" w:space="0"/>
            </w:tcBorders>
            <w:vAlign w:val="top"/>
          </w:tcPr>
          <w:p w14:paraId="258A92A9">
            <w:pPr>
              <w:rPr>
                <w:rFonts w:ascii="Arial"/>
                <w:sz w:val="21"/>
              </w:rPr>
            </w:pPr>
          </w:p>
        </w:tc>
        <w:tc>
          <w:tcPr>
            <w:tcW w:w="1322" w:type="dxa"/>
            <w:tcBorders>
              <w:left w:val="single" w:color="000000" w:sz="4" w:space="0"/>
              <w:right w:val="single" w:color="000000" w:sz="4" w:space="0"/>
            </w:tcBorders>
            <w:vAlign w:val="top"/>
          </w:tcPr>
          <w:p w14:paraId="1A3667EC">
            <w:pPr>
              <w:rPr>
                <w:rFonts w:ascii="Arial"/>
                <w:sz w:val="21"/>
              </w:rPr>
            </w:pPr>
          </w:p>
        </w:tc>
      </w:tr>
      <w:tr w14:paraId="763EC5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3310" w:type="dxa"/>
            <w:gridSpan w:val="3"/>
            <w:tcBorders>
              <w:left w:val="single" w:color="000000" w:sz="4" w:space="0"/>
              <w:bottom w:val="single" w:color="000000" w:sz="4" w:space="0"/>
              <w:right w:val="single" w:color="000000" w:sz="4" w:space="0"/>
            </w:tcBorders>
            <w:vAlign w:val="top"/>
          </w:tcPr>
          <w:p w14:paraId="254EC6BA">
            <w:pPr>
              <w:pStyle w:val="6"/>
              <w:spacing w:before="179" w:line="228" w:lineRule="auto"/>
              <w:ind w:left="955"/>
              <w:rPr>
                <w:sz w:val="19"/>
                <w:szCs w:val="19"/>
              </w:rPr>
            </w:pPr>
            <w:r>
              <w:rPr>
                <w:spacing w:val="8"/>
                <w:sz w:val="19"/>
                <w:szCs w:val="19"/>
              </w:rPr>
              <w:t>偏离的项数合计</w:t>
            </w:r>
          </w:p>
        </w:tc>
        <w:tc>
          <w:tcPr>
            <w:tcW w:w="1315" w:type="dxa"/>
            <w:tcBorders>
              <w:left w:val="single" w:color="000000" w:sz="4" w:space="0"/>
              <w:bottom w:val="single" w:color="000000" w:sz="4" w:space="0"/>
              <w:right w:val="single" w:color="000000" w:sz="4" w:space="0"/>
            </w:tcBorders>
            <w:vAlign w:val="top"/>
          </w:tcPr>
          <w:p w14:paraId="3B9FB5C4">
            <w:pPr>
              <w:pStyle w:val="6"/>
              <w:spacing w:before="173" w:line="337" w:lineRule="exact"/>
              <w:ind w:left="571"/>
            </w:pPr>
            <w:r>
              <w:rPr>
                <w:spacing w:val="24"/>
                <w:w w:val="131"/>
                <w:position w:val="3"/>
              </w:rPr>
              <w:t>-</w:t>
            </w:r>
          </w:p>
        </w:tc>
        <w:tc>
          <w:tcPr>
            <w:tcW w:w="1315" w:type="dxa"/>
            <w:tcBorders>
              <w:left w:val="single" w:color="000000" w:sz="4" w:space="0"/>
              <w:bottom w:val="single" w:color="000000" w:sz="4" w:space="0"/>
            </w:tcBorders>
            <w:vAlign w:val="top"/>
          </w:tcPr>
          <w:p w14:paraId="48901D1A">
            <w:pPr>
              <w:pStyle w:val="6"/>
              <w:spacing w:before="173" w:line="337" w:lineRule="exact"/>
              <w:ind w:left="574"/>
            </w:pPr>
            <w:r>
              <w:rPr>
                <w:spacing w:val="24"/>
                <w:w w:val="131"/>
                <w:position w:val="3"/>
              </w:rPr>
              <w:t>-</w:t>
            </w:r>
          </w:p>
        </w:tc>
        <w:tc>
          <w:tcPr>
            <w:tcW w:w="1315" w:type="dxa"/>
            <w:tcBorders>
              <w:bottom w:val="single" w:color="000000" w:sz="4" w:space="0"/>
            </w:tcBorders>
            <w:vAlign w:val="top"/>
          </w:tcPr>
          <w:p w14:paraId="7A6873ED">
            <w:pPr>
              <w:rPr>
                <w:rFonts w:ascii="Arial"/>
                <w:sz w:val="21"/>
              </w:rPr>
            </w:pPr>
          </w:p>
        </w:tc>
        <w:tc>
          <w:tcPr>
            <w:tcW w:w="1314" w:type="dxa"/>
            <w:tcBorders>
              <w:bottom w:val="single" w:color="000000" w:sz="4" w:space="0"/>
            </w:tcBorders>
            <w:vAlign w:val="top"/>
          </w:tcPr>
          <w:p w14:paraId="4B68C0AB">
            <w:pPr>
              <w:rPr>
                <w:rFonts w:ascii="Arial"/>
                <w:sz w:val="21"/>
              </w:rPr>
            </w:pPr>
          </w:p>
        </w:tc>
        <w:tc>
          <w:tcPr>
            <w:tcW w:w="1315" w:type="dxa"/>
            <w:tcBorders>
              <w:bottom w:val="single" w:color="000000" w:sz="4" w:space="0"/>
            </w:tcBorders>
            <w:vAlign w:val="top"/>
          </w:tcPr>
          <w:p w14:paraId="0049C9AD">
            <w:pPr>
              <w:rPr>
                <w:rFonts w:ascii="Arial"/>
                <w:sz w:val="21"/>
              </w:rPr>
            </w:pPr>
          </w:p>
        </w:tc>
        <w:tc>
          <w:tcPr>
            <w:tcW w:w="1315" w:type="dxa"/>
            <w:tcBorders>
              <w:bottom w:val="single" w:color="000000" w:sz="4" w:space="0"/>
            </w:tcBorders>
            <w:vAlign w:val="top"/>
          </w:tcPr>
          <w:p w14:paraId="6A3ACCFE">
            <w:pPr>
              <w:rPr>
                <w:rFonts w:ascii="Arial"/>
                <w:sz w:val="21"/>
              </w:rPr>
            </w:pPr>
          </w:p>
        </w:tc>
        <w:tc>
          <w:tcPr>
            <w:tcW w:w="1315" w:type="dxa"/>
            <w:tcBorders>
              <w:bottom w:val="single" w:color="000000" w:sz="4" w:space="0"/>
              <w:right w:val="single" w:color="000000" w:sz="4" w:space="0"/>
            </w:tcBorders>
            <w:vAlign w:val="top"/>
          </w:tcPr>
          <w:p w14:paraId="48B7A69E">
            <w:pPr>
              <w:rPr>
                <w:rFonts w:ascii="Arial"/>
                <w:sz w:val="21"/>
              </w:rPr>
            </w:pPr>
          </w:p>
        </w:tc>
        <w:tc>
          <w:tcPr>
            <w:tcW w:w="1322" w:type="dxa"/>
            <w:tcBorders>
              <w:left w:val="single" w:color="000000" w:sz="4" w:space="0"/>
              <w:bottom w:val="single" w:color="000000" w:sz="4" w:space="0"/>
              <w:right w:val="single" w:color="000000" w:sz="4" w:space="0"/>
            </w:tcBorders>
            <w:vAlign w:val="top"/>
          </w:tcPr>
          <w:p w14:paraId="54EA76BB">
            <w:pPr>
              <w:rPr>
                <w:rFonts w:ascii="Arial"/>
                <w:sz w:val="21"/>
              </w:rPr>
            </w:pPr>
          </w:p>
        </w:tc>
      </w:tr>
    </w:tbl>
    <w:p w14:paraId="4153FB8D">
      <w:pPr>
        <w:spacing w:line="443" w:lineRule="auto"/>
        <w:rPr>
          <w:rFonts w:ascii="Arial"/>
          <w:sz w:val="21"/>
        </w:rPr>
      </w:pPr>
    </w:p>
    <w:p w14:paraId="44ECF933">
      <w:pPr>
        <w:spacing w:before="65" w:line="227" w:lineRule="auto"/>
        <w:ind w:left="123"/>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     月      日</w:t>
      </w:r>
    </w:p>
    <w:p w14:paraId="7E096327">
      <w:pPr>
        <w:spacing w:line="252" w:lineRule="auto"/>
        <w:rPr>
          <w:rFonts w:ascii="Arial"/>
          <w:sz w:val="21"/>
        </w:rPr>
      </w:pPr>
    </w:p>
    <w:p w14:paraId="39AE051A">
      <w:pPr>
        <w:spacing w:line="253" w:lineRule="auto"/>
        <w:rPr>
          <w:rFonts w:ascii="Arial"/>
          <w:sz w:val="21"/>
        </w:rPr>
      </w:pPr>
    </w:p>
    <w:p w14:paraId="24434477">
      <w:pPr>
        <w:spacing w:before="65" w:line="251" w:lineRule="auto"/>
        <w:ind w:left="542" w:right="182" w:hanging="419"/>
        <w:rPr>
          <w:rFonts w:ascii="宋体" w:hAnsi="宋体" w:eastAsia="宋体" w:cs="宋体"/>
          <w:sz w:val="19"/>
          <w:szCs w:val="19"/>
        </w:rPr>
      </w:pPr>
      <w:r>
        <w:rPr>
          <w:rFonts w:ascii="宋体" w:hAnsi="宋体" w:eastAsia="宋体" w:cs="宋体"/>
          <w:spacing w:val="1"/>
          <w:sz w:val="20"/>
          <w:szCs w:val="20"/>
        </w:rPr>
        <w:t>注：“综合单价偏离幅度</w:t>
      </w:r>
      <w:r>
        <w:rPr>
          <w:rFonts w:ascii="宋体" w:hAnsi="宋体" w:eastAsia="宋体" w:cs="宋体"/>
          <w:spacing w:val="-73"/>
          <w:sz w:val="20"/>
          <w:szCs w:val="20"/>
        </w:rPr>
        <w:t xml:space="preserve"> </w:t>
      </w:r>
      <w:r>
        <w:rPr>
          <w:rFonts w:ascii="宋体" w:hAnsi="宋体" w:eastAsia="宋体" w:cs="宋体"/>
          <w:spacing w:val="1"/>
          <w:sz w:val="20"/>
          <w:szCs w:val="20"/>
        </w:rPr>
        <w:t>”“ 主要材料价格偏</w:t>
      </w:r>
      <w:r>
        <w:rPr>
          <w:rFonts w:ascii="宋体" w:hAnsi="宋体" w:eastAsia="宋体" w:cs="宋体"/>
          <w:sz w:val="20"/>
          <w:szCs w:val="20"/>
        </w:rPr>
        <w:t>离幅度</w:t>
      </w:r>
      <w:r>
        <w:rPr>
          <w:rFonts w:ascii="宋体" w:hAnsi="宋体" w:eastAsia="宋体" w:cs="宋体"/>
          <w:spacing w:val="-70"/>
          <w:sz w:val="20"/>
          <w:szCs w:val="20"/>
        </w:rPr>
        <w:t xml:space="preserve"> </w:t>
      </w:r>
      <w:r>
        <w:rPr>
          <w:rFonts w:ascii="宋体" w:hAnsi="宋体" w:eastAsia="宋体" w:cs="宋体"/>
          <w:sz w:val="20"/>
          <w:szCs w:val="20"/>
        </w:rPr>
        <w:t>”“ 管理费和利润</w:t>
      </w:r>
      <w:r>
        <w:rPr>
          <w:rFonts w:ascii="宋体" w:hAnsi="宋体" w:eastAsia="宋体" w:cs="宋体"/>
          <w:spacing w:val="-69"/>
          <w:sz w:val="20"/>
          <w:szCs w:val="20"/>
        </w:rPr>
        <w:t xml:space="preserve"> </w:t>
      </w:r>
      <w:r>
        <w:rPr>
          <w:rFonts w:ascii="宋体" w:hAnsi="宋体" w:eastAsia="宋体" w:cs="宋体"/>
          <w:sz w:val="20"/>
          <w:szCs w:val="20"/>
        </w:rPr>
        <w:t>”“材料消耗量</w:t>
      </w:r>
      <w:r>
        <w:rPr>
          <w:rFonts w:ascii="宋体" w:hAnsi="宋体" w:eastAsia="宋体" w:cs="宋体"/>
          <w:spacing w:val="-70"/>
          <w:sz w:val="20"/>
          <w:szCs w:val="20"/>
        </w:rPr>
        <w:t xml:space="preserve"> </w:t>
      </w:r>
      <w:r>
        <w:rPr>
          <w:rFonts w:ascii="宋体" w:hAnsi="宋体" w:eastAsia="宋体" w:cs="宋体"/>
          <w:sz w:val="20"/>
          <w:szCs w:val="20"/>
        </w:rPr>
        <w:t>”指标用于在投标人投标总报价低于招标控制价一定幅度，评标</w:t>
      </w:r>
      <w:r>
        <w:rPr>
          <w:rFonts w:ascii="宋体" w:hAnsi="宋体" w:eastAsia="宋体" w:cs="宋体"/>
          <w:spacing w:val="9"/>
          <w:sz w:val="20"/>
          <w:szCs w:val="20"/>
        </w:rPr>
        <w:t>委员会启动成本评审工作时，要求投标人进行澄清和说明并提交有关证明材料的依据</w:t>
      </w:r>
      <w:r>
        <w:rPr>
          <w:rFonts w:ascii="宋体" w:hAnsi="宋体" w:eastAsia="宋体" w:cs="宋体"/>
          <w:spacing w:val="9"/>
          <w:sz w:val="19"/>
          <w:szCs w:val="19"/>
        </w:rPr>
        <w:t>。</w:t>
      </w:r>
    </w:p>
    <w:p w14:paraId="0BAC9B46">
      <w:pPr>
        <w:spacing w:line="251" w:lineRule="auto"/>
        <w:rPr>
          <w:rFonts w:ascii="宋体" w:hAnsi="宋体" w:eastAsia="宋体" w:cs="宋体"/>
          <w:sz w:val="19"/>
          <w:szCs w:val="19"/>
        </w:rPr>
        <w:sectPr>
          <w:footerReference r:id="rId154" w:type="default"/>
          <w:pgSz w:w="16840" w:h="11907"/>
          <w:pgMar w:top="400" w:right="1407" w:bottom="1039" w:left="1585" w:header="0" w:footer="788" w:gutter="0"/>
          <w:cols w:space="720" w:num="1"/>
        </w:sectPr>
      </w:pPr>
    </w:p>
    <w:p w14:paraId="635EC5F5">
      <w:pPr>
        <w:spacing w:line="261" w:lineRule="auto"/>
        <w:rPr>
          <w:rFonts w:ascii="Arial"/>
          <w:sz w:val="21"/>
        </w:rPr>
      </w:pPr>
    </w:p>
    <w:p w14:paraId="2EDB5E8E">
      <w:pPr>
        <w:spacing w:line="262" w:lineRule="auto"/>
        <w:rPr>
          <w:rFonts w:ascii="Arial"/>
          <w:sz w:val="21"/>
        </w:rPr>
      </w:pPr>
    </w:p>
    <w:p w14:paraId="524B50F8">
      <w:pPr>
        <w:spacing w:line="262" w:lineRule="auto"/>
        <w:rPr>
          <w:rFonts w:ascii="Arial"/>
          <w:sz w:val="21"/>
        </w:rPr>
      </w:pPr>
    </w:p>
    <w:p w14:paraId="46C499E8">
      <w:pPr>
        <w:spacing w:line="262" w:lineRule="auto"/>
        <w:rPr>
          <w:rFonts w:ascii="Arial"/>
          <w:sz w:val="21"/>
        </w:rPr>
      </w:pPr>
    </w:p>
    <w:p w14:paraId="435CBF40">
      <w:pPr>
        <w:pStyle w:val="2"/>
        <w:spacing w:before="78" w:line="222" w:lineRule="auto"/>
        <w:ind w:left="178"/>
        <w:outlineLvl w:val="1"/>
        <w:rPr>
          <w:sz w:val="24"/>
          <w:szCs w:val="24"/>
        </w:rPr>
      </w:pPr>
      <w:r>
        <w:rPr>
          <w:spacing w:val="-2"/>
          <w:sz w:val="24"/>
          <w:szCs w:val="24"/>
        </w:rPr>
        <w:t>附表</w:t>
      </w:r>
      <w:r>
        <w:rPr>
          <w:spacing w:val="-51"/>
          <w:sz w:val="24"/>
          <w:szCs w:val="24"/>
        </w:rPr>
        <w:t xml:space="preserve"> </w:t>
      </w:r>
      <w:r>
        <w:rPr>
          <w:rFonts w:ascii="Times New Roman" w:hAnsi="Times New Roman" w:eastAsia="Times New Roman" w:cs="Times New Roman"/>
          <w:spacing w:val="-2"/>
          <w:sz w:val="24"/>
          <w:szCs w:val="24"/>
        </w:rPr>
        <w:t>C-</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2"/>
          <w:sz w:val="24"/>
          <w:szCs w:val="24"/>
        </w:rPr>
        <w:t>10</w:t>
      </w:r>
      <w:r>
        <w:rPr>
          <w:spacing w:val="-2"/>
          <w:sz w:val="24"/>
          <w:szCs w:val="24"/>
        </w:rPr>
        <w:t>：清标报告</w:t>
      </w:r>
      <w:r>
        <w:rPr>
          <w:rFonts w:ascii="Times New Roman" w:hAnsi="Times New Roman" w:eastAsia="Times New Roman" w:cs="Times New Roman"/>
          <w:spacing w:val="-2"/>
          <w:sz w:val="24"/>
          <w:szCs w:val="24"/>
        </w:rPr>
        <w:t>-</w:t>
      </w:r>
      <w:r>
        <w:rPr>
          <w:spacing w:val="-2"/>
          <w:sz w:val="24"/>
          <w:szCs w:val="24"/>
        </w:rPr>
        <w:t>总价措施项目清单</w:t>
      </w:r>
      <w:r>
        <w:rPr>
          <w:spacing w:val="-3"/>
          <w:sz w:val="24"/>
          <w:szCs w:val="24"/>
        </w:rPr>
        <w:t>价格分析记录表</w:t>
      </w:r>
    </w:p>
    <w:p w14:paraId="0335075F">
      <w:pPr>
        <w:spacing w:line="244" w:lineRule="auto"/>
        <w:rPr>
          <w:rFonts w:ascii="Arial"/>
          <w:sz w:val="21"/>
        </w:rPr>
      </w:pPr>
    </w:p>
    <w:p w14:paraId="14F5B241">
      <w:pPr>
        <w:spacing w:line="245" w:lineRule="auto"/>
        <w:rPr>
          <w:rFonts w:ascii="Arial"/>
          <w:sz w:val="21"/>
        </w:rPr>
      </w:pPr>
    </w:p>
    <w:p w14:paraId="2F951B33">
      <w:pPr>
        <w:spacing w:line="245" w:lineRule="auto"/>
        <w:rPr>
          <w:rFonts w:ascii="Arial"/>
          <w:sz w:val="21"/>
        </w:rPr>
      </w:pPr>
    </w:p>
    <w:p w14:paraId="61CE6CC2">
      <w:pPr>
        <w:spacing w:line="245" w:lineRule="auto"/>
        <w:rPr>
          <w:rFonts w:ascii="Arial"/>
          <w:sz w:val="21"/>
        </w:rPr>
      </w:pPr>
    </w:p>
    <w:p w14:paraId="1AD03811">
      <w:pPr>
        <w:pStyle w:val="2"/>
        <w:spacing w:before="101" w:line="227" w:lineRule="auto"/>
        <w:ind w:left="1461"/>
        <w:rPr>
          <w:sz w:val="31"/>
          <w:szCs w:val="31"/>
        </w:rPr>
      </w:pPr>
      <w:bookmarkStart w:id="207" w:name="bookmark188"/>
      <w:bookmarkEnd w:id="207"/>
      <w:r>
        <w:rPr>
          <w:spacing w:val="8"/>
          <w:sz w:val="31"/>
          <w:szCs w:val="31"/>
        </w:rPr>
        <w:t>清标报告-总价措施项目清单价格分析记录表</w:t>
      </w:r>
    </w:p>
    <w:p w14:paraId="6BA07233">
      <w:pPr>
        <w:spacing w:line="270" w:lineRule="auto"/>
        <w:rPr>
          <w:rFonts w:ascii="Arial"/>
          <w:sz w:val="21"/>
        </w:rPr>
      </w:pPr>
    </w:p>
    <w:p w14:paraId="463CC2DB">
      <w:pPr>
        <w:spacing w:line="270" w:lineRule="auto"/>
        <w:rPr>
          <w:rFonts w:ascii="Arial"/>
          <w:sz w:val="21"/>
        </w:rPr>
      </w:pPr>
    </w:p>
    <w:p w14:paraId="24D9E174">
      <w:pPr>
        <w:spacing w:before="65" w:line="228" w:lineRule="auto"/>
        <w:ind w:left="167"/>
        <w:rPr>
          <w:rFonts w:ascii="宋体" w:hAnsi="宋体" w:eastAsia="宋体" w:cs="宋体"/>
          <w:sz w:val="20"/>
          <w:szCs w:val="20"/>
        </w:rPr>
      </w:pPr>
      <w:r>
        <w:rPr>
          <w:rFonts w:ascii="宋体" w:hAnsi="宋体" w:eastAsia="宋体" w:cs="宋体"/>
          <w:spacing w:val="6"/>
          <w:sz w:val="20"/>
          <w:szCs w:val="20"/>
        </w:rPr>
        <w:t>投标人名称：</w:t>
      </w:r>
    </w:p>
    <w:p w14:paraId="11C0D626">
      <w:pPr>
        <w:spacing w:before="84"/>
      </w:pPr>
    </w:p>
    <w:tbl>
      <w:tblPr>
        <w:tblStyle w:val="5"/>
        <w:tblW w:w="912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4"/>
        <w:gridCol w:w="1169"/>
        <w:gridCol w:w="1743"/>
        <w:gridCol w:w="1323"/>
        <w:gridCol w:w="1349"/>
        <w:gridCol w:w="1349"/>
        <w:gridCol w:w="1265"/>
      </w:tblGrid>
      <w:tr w14:paraId="6569CD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3836" w:type="dxa"/>
            <w:gridSpan w:val="3"/>
            <w:tcBorders>
              <w:top w:val="single" w:color="000000" w:sz="4" w:space="0"/>
              <w:left w:val="single" w:color="000000" w:sz="4" w:space="0"/>
              <w:right w:val="single" w:color="000000" w:sz="4" w:space="0"/>
            </w:tcBorders>
            <w:vAlign w:val="top"/>
          </w:tcPr>
          <w:p w14:paraId="2E7047F7">
            <w:pPr>
              <w:pStyle w:val="6"/>
              <w:spacing w:before="176" w:line="229" w:lineRule="auto"/>
              <w:ind w:left="1322"/>
              <w:rPr>
                <w:sz w:val="19"/>
                <w:szCs w:val="19"/>
              </w:rPr>
            </w:pPr>
            <w:r>
              <w:rPr>
                <w:spacing w:val="8"/>
                <w:sz w:val="19"/>
                <w:szCs w:val="19"/>
              </w:rPr>
              <w:t>单位工程名称</w:t>
            </w:r>
          </w:p>
        </w:tc>
        <w:tc>
          <w:tcPr>
            <w:tcW w:w="5286" w:type="dxa"/>
            <w:gridSpan w:val="4"/>
            <w:tcBorders>
              <w:top w:val="single" w:color="000000" w:sz="4" w:space="0"/>
              <w:left w:val="single" w:color="000000" w:sz="4" w:space="0"/>
              <w:right w:val="single" w:color="000000" w:sz="4" w:space="0"/>
            </w:tcBorders>
            <w:vAlign w:val="top"/>
          </w:tcPr>
          <w:p w14:paraId="0C7740FF">
            <w:pPr>
              <w:rPr>
                <w:rFonts w:ascii="Arial"/>
                <w:sz w:val="21"/>
              </w:rPr>
            </w:pPr>
          </w:p>
        </w:tc>
      </w:tr>
      <w:tr w14:paraId="24FE6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24" w:type="dxa"/>
            <w:tcBorders>
              <w:left w:val="single" w:color="000000" w:sz="4" w:space="0"/>
            </w:tcBorders>
            <w:vAlign w:val="top"/>
          </w:tcPr>
          <w:p w14:paraId="51773415">
            <w:pPr>
              <w:pStyle w:val="6"/>
              <w:spacing w:before="213" w:line="230" w:lineRule="auto"/>
              <w:ind w:left="263"/>
              <w:rPr>
                <w:sz w:val="19"/>
                <w:szCs w:val="19"/>
              </w:rPr>
            </w:pPr>
            <w:r>
              <w:rPr>
                <w:spacing w:val="5"/>
                <w:sz w:val="19"/>
                <w:szCs w:val="19"/>
              </w:rPr>
              <w:t>序号</w:t>
            </w:r>
          </w:p>
        </w:tc>
        <w:tc>
          <w:tcPr>
            <w:tcW w:w="1169" w:type="dxa"/>
            <w:tcBorders>
              <w:right w:val="single" w:color="000000" w:sz="4" w:space="0"/>
            </w:tcBorders>
            <w:vAlign w:val="top"/>
          </w:tcPr>
          <w:p w14:paraId="566B56F9">
            <w:pPr>
              <w:pStyle w:val="6"/>
              <w:spacing w:before="213" w:line="228" w:lineRule="auto"/>
              <w:ind w:left="188"/>
              <w:rPr>
                <w:sz w:val="19"/>
                <w:szCs w:val="19"/>
              </w:rPr>
            </w:pPr>
            <w:r>
              <w:rPr>
                <w:spacing w:val="7"/>
                <w:sz w:val="19"/>
                <w:szCs w:val="19"/>
              </w:rPr>
              <w:t>项目编码</w:t>
            </w:r>
          </w:p>
        </w:tc>
        <w:tc>
          <w:tcPr>
            <w:tcW w:w="1743" w:type="dxa"/>
            <w:tcBorders>
              <w:left w:val="single" w:color="000000" w:sz="4" w:space="0"/>
              <w:right w:val="single" w:color="000000" w:sz="4" w:space="0"/>
            </w:tcBorders>
            <w:vAlign w:val="top"/>
          </w:tcPr>
          <w:p w14:paraId="64C184CB">
            <w:pPr>
              <w:pStyle w:val="6"/>
              <w:spacing w:before="213" w:line="229" w:lineRule="auto"/>
              <w:ind w:left="473"/>
              <w:rPr>
                <w:sz w:val="19"/>
                <w:szCs w:val="19"/>
              </w:rPr>
            </w:pPr>
            <w:r>
              <w:rPr>
                <w:spacing w:val="7"/>
                <w:sz w:val="19"/>
                <w:szCs w:val="19"/>
              </w:rPr>
              <w:t>项目名称</w:t>
            </w:r>
          </w:p>
        </w:tc>
        <w:tc>
          <w:tcPr>
            <w:tcW w:w="1323" w:type="dxa"/>
            <w:tcBorders>
              <w:left w:val="single" w:color="000000" w:sz="4" w:space="0"/>
              <w:right w:val="single" w:color="000000" w:sz="4" w:space="0"/>
            </w:tcBorders>
            <w:vAlign w:val="top"/>
          </w:tcPr>
          <w:p w14:paraId="76905552">
            <w:pPr>
              <w:pStyle w:val="6"/>
              <w:spacing w:before="58" w:line="272" w:lineRule="auto"/>
              <w:ind w:left="469" w:right="258" w:hanging="203"/>
              <w:rPr>
                <w:sz w:val="19"/>
                <w:szCs w:val="19"/>
              </w:rPr>
            </w:pPr>
            <w:r>
              <w:rPr>
                <w:spacing w:val="7"/>
                <w:sz w:val="19"/>
                <w:szCs w:val="19"/>
              </w:rPr>
              <w:t>投标费率</w:t>
            </w:r>
            <w:r>
              <w:rPr>
                <w:spacing w:val="13"/>
                <w:w w:val="116"/>
                <w:sz w:val="19"/>
                <w:szCs w:val="19"/>
              </w:rPr>
              <w:t>(%)</w:t>
            </w:r>
          </w:p>
        </w:tc>
        <w:tc>
          <w:tcPr>
            <w:tcW w:w="1349" w:type="dxa"/>
            <w:tcBorders>
              <w:left w:val="single" w:color="000000" w:sz="4" w:space="0"/>
            </w:tcBorders>
            <w:vAlign w:val="top"/>
          </w:tcPr>
          <w:p w14:paraId="21CC8395">
            <w:pPr>
              <w:pStyle w:val="6"/>
              <w:spacing w:before="58" w:line="272" w:lineRule="auto"/>
              <w:ind w:left="482" w:right="272" w:hanging="201"/>
              <w:rPr>
                <w:sz w:val="19"/>
                <w:szCs w:val="19"/>
              </w:rPr>
            </w:pPr>
            <w:r>
              <w:rPr>
                <w:spacing w:val="6"/>
                <w:sz w:val="19"/>
                <w:szCs w:val="19"/>
              </w:rPr>
              <w:t>正确费率</w:t>
            </w:r>
            <w:r>
              <w:rPr>
                <w:spacing w:val="13"/>
                <w:w w:val="116"/>
                <w:sz w:val="19"/>
                <w:szCs w:val="19"/>
              </w:rPr>
              <w:t>(%)</w:t>
            </w:r>
          </w:p>
        </w:tc>
        <w:tc>
          <w:tcPr>
            <w:tcW w:w="1349" w:type="dxa"/>
            <w:tcBorders>
              <w:right w:val="single" w:color="000000" w:sz="4" w:space="0"/>
            </w:tcBorders>
            <w:vAlign w:val="top"/>
          </w:tcPr>
          <w:p w14:paraId="329DDC58">
            <w:pPr>
              <w:pStyle w:val="6"/>
              <w:spacing w:before="213" w:line="227" w:lineRule="auto"/>
              <w:ind w:left="282"/>
              <w:rPr>
                <w:sz w:val="19"/>
                <w:szCs w:val="19"/>
              </w:rPr>
            </w:pPr>
            <w:r>
              <w:rPr>
                <w:spacing w:val="7"/>
                <w:sz w:val="19"/>
                <w:szCs w:val="19"/>
              </w:rPr>
              <w:t>偏离幅度</w:t>
            </w:r>
          </w:p>
        </w:tc>
        <w:tc>
          <w:tcPr>
            <w:tcW w:w="1265" w:type="dxa"/>
            <w:tcBorders>
              <w:left w:val="single" w:color="000000" w:sz="4" w:space="0"/>
              <w:right w:val="single" w:color="000000" w:sz="4" w:space="0"/>
            </w:tcBorders>
            <w:vAlign w:val="top"/>
          </w:tcPr>
          <w:p w14:paraId="27C85173">
            <w:pPr>
              <w:pStyle w:val="6"/>
              <w:spacing w:before="213" w:line="230" w:lineRule="auto"/>
              <w:ind w:left="437"/>
              <w:rPr>
                <w:sz w:val="19"/>
                <w:szCs w:val="19"/>
              </w:rPr>
            </w:pPr>
            <w:r>
              <w:rPr>
                <w:spacing w:val="4"/>
                <w:sz w:val="19"/>
                <w:szCs w:val="19"/>
              </w:rPr>
              <w:t>备注</w:t>
            </w:r>
          </w:p>
        </w:tc>
      </w:tr>
      <w:tr w14:paraId="5BD2F5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924" w:type="dxa"/>
            <w:tcBorders>
              <w:left w:val="single" w:color="000000" w:sz="4" w:space="0"/>
            </w:tcBorders>
            <w:vAlign w:val="top"/>
          </w:tcPr>
          <w:p w14:paraId="3A766A69">
            <w:pPr>
              <w:rPr>
                <w:rFonts w:ascii="Arial"/>
                <w:sz w:val="21"/>
              </w:rPr>
            </w:pPr>
          </w:p>
        </w:tc>
        <w:tc>
          <w:tcPr>
            <w:tcW w:w="1169" w:type="dxa"/>
            <w:tcBorders>
              <w:right w:val="single" w:color="000000" w:sz="4" w:space="0"/>
            </w:tcBorders>
            <w:vAlign w:val="top"/>
          </w:tcPr>
          <w:p w14:paraId="2BBD90FD">
            <w:pPr>
              <w:rPr>
                <w:rFonts w:ascii="Arial"/>
                <w:sz w:val="21"/>
              </w:rPr>
            </w:pPr>
          </w:p>
        </w:tc>
        <w:tc>
          <w:tcPr>
            <w:tcW w:w="1743" w:type="dxa"/>
            <w:tcBorders>
              <w:left w:val="single" w:color="000000" w:sz="4" w:space="0"/>
              <w:right w:val="single" w:color="000000" w:sz="4" w:space="0"/>
            </w:tcBorders>
            <w:vAlign w:val="top"/>
          </w:tcPr>
          <w:p w14:paraId="0F183733">
            <w:pPr>
              <w:pStyle w:val="6"/>
              <w:spacing w:before="173" w:line="228" w:lineRule="auto"/>
              <w:ind w:left="174"/>
              <w:rPr>
                <w:sz w:val="19"/>
                <w:szCs w:val="19"/>
              </w:rPr>
            </w:pPr>
            <w:r>
              <w:rPr>
                <w:spacing w:val="8"/>
                <w:sz w:val="19"/>
                <w:szCs w:val="19"/>
              </w:rPr>
              <w:t>安全文明施工费</w:t>
            </w:r>
          </w:p>
        </w:tc>
        <w:tc>
          <w:tcPr>
            <w:tcW w:w="1323" w:type="dxa"/>
            <w:tcBorders>
              <w:left w:val="single" w:color="000000" w:sz="4" w:space="0"/>
              <w:right w:val="single" w:color="000000" w:sz="4" w:space="0"/>
            </w:tcBorders>
            <w:vAlign w:val="top"/>
          </w:tcPr>
          <w:p w14:paraId="3FFF263C">
            <w:pPr>
              <w:rPr>
                <w:rFonts w:ascii="Arial"/>
                <w:sz w:val="21"/>
              </w:rPr>
            </w:pPr>
          </w:p>
        </w:tc>
        <w:tc>
          <w:tcPr>
            <w:tcW w:w="1349" w:type="dxa"/>
            <w:tcBorders>
              <w:left w:val="single" w:color="000000" w:sz="4" w:space="0"/>
            </w:tcBorders>
            <w:vAlign w:val="top"/>
          </w:tcPr>
          <w:p w14:paraId="31DB482B">
            <w:pPr>
              <w:rPr>
                <w:rFonts w:ascii="Arial"/>
                <w:sz w:val="21"/>
              </w:rPr>
            </w:pPr>
          </w:p>
        </w:tc>
        <w:tc>
          <w:tcPr>
            <w:tcW w:w="1349" w:type="dxa"/>
            <w:tcBorders>
              <w:right w:val="single" w:color="000000" w:sz="4" w:space="0"/>
            </w:tcBorders>
            <w:vAlign w:val="top"/>
          </w:tcPr>
          <w:p w14:paraId="176C7C68">
            <w:pPr>
              <w:rPr>
                <w:rFonts w:ascii="Arial"/>
                <w:sz w:val="21"/>
              </w:rPr>
            </w:pPr>
          </w:p>
        </w:tc>
        <w:tc>
          <w:tcPr>
            <w:tcW w:w="1265" w:type="dxa"/>
            <w:tcBorders>
              <w:left w:val="single" w:color="000000" w:sz="4" w:space="0"/>
              <w:right w:val="single" w:color="000000" w:sz="4" w:space="0"/>
            </w:tcBorders>
            <w:vAlign w:val="top"/>
          </w:tcPr>
          <w:p w14:paraId="24EC3E2F">
            <w:pPr>
              <w:rPr>
                <w:rFonts w:ascii="Arial"/>
                <w:sz w:val="21"/>
              </w:rPr>
            </w:pPr>
          </w:p>
        </w:tc>
      </w:tr>
      <w:tr w14:paraId="0031C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924" w:type="dxa"/>
            <w:tcBorders>
              <w:left w:val="single" w:color="000000" w:sz="4" w:space="0"/>
            </w:tcBorders>
            <w:vAlign w:val="top"/>
          </w:tcPr>
          <w:p w14:paraId="614B2B8D">
            <w:pPr>
              <w:rPr>
                <w:rFonts w:ascii="Arial"/>
                <w:sz w:val="21"/>
              </w:rPr>
            </w:pPr>
          </w:p>
        </w:tc>
        <w:tc>
          <w:tcPr>
            <w:tcW w:w="1169" w:type="dxa"/>
            <w:tcBorders>
              <w:right w:val="single" w:color="000000" w:sz="4" w:space="0"/>
            </w:tcBorders>
            <w:vAlign w:val="top"/>
          </w:tcPr>
          <w:p w14:paraId="4FF3CD9B">
            <w:pPr>
              <w:rPr>
                <w:rFonts w:ascii="Arial"/>
                <w:sz w:val="21"/>
              </w:rPr>
            </w:pPr>
          </w:p>
        </w:tc>
        <w:tc>
          <w:tcPr>
            <w:tcW w:w="1743" w:type="dxa"/>
            <w:tcBorders>
              <w:left w:val="single" w:color="000000" w:sz="4" w:space="0"/>
              <w:right w:val="single" w:color="000000" w:sz="4" w:space="0"/>
            </w:tcBorders>
            <w:vAlign w:val="top"/>
          </w:tcPr>
          <w:p w14:paraId="1C6D6972">
            <w:pPr>
              <w:rPr>
                <w:rFonts w:ascii="Arial"/>
                <w:sz w:val="21"/>
              </w:rPr>
            </w:pPr>
          </w:p>
        </w:tc>
        <w:tc>
          <w:tcPr>
            <w:tcW w:w="1323" w:type="dxa"/>
            <w:tcBorders>
              <w:left w:val="single" w:color="000000" w:sz="4" w:space="0"/>
              <w:right w:val="single" w:color="000000" w:sz="4" w:space="0"/>
            </w:tcBorders>
            <w:vAlign w:val="top"/>
          </w:tcPr>
          <w:p w14:paraId="3B2F0ECD">
            <w:pPr>
              <w:rPr>
                <w:rFonts w:ascii="Arial"/>
                <w:sz w:val="21"/>
              </w:rPr>
            </w:pPr>
          </w:p>
        </w:tc>
        <w:tc>
          <w:tcPr>
            <w:tcW w:w="1349" w:type="dxa"/>
            <w:tcBorders>
              <w:left w:val="single" w:color="000000" w:sz="4" w:space="0"/>
            </w:tcBorders>
            <w:vAlign w:val="top"/>
          </w:tcPr>
          <w:p w14:paraId="53E939BC">
            <w:pPr>
              <w:rPr>
                <w:rFonts w:ascii="Arial"/>
                <w:sz w:val="21"/>
              </w:rPr>
            </w:pPr>
          </w:p>
        </w:tc>
        <w:tc>
          <w:tcPr>
            <w:tcW w:w="1349" w:type="dxa"/>
            <w:tcBorders>
              <w:right w:val="single" w:color="000000" w:sz="4" w:space="0"/>
            </w:tcBorders>
            <w:vAlign w:val="top"/>
          </w:tcPr>
          <w:p w14:paraId="3AEF5D72">
            <w:pPr>
              <w:rPr>
                <w:rFonts w:ascii="Arial"/>
                <w:sz w:val="21"/>
              </w:rPr>
            </w:pPr>
          </w:p>
        </w:tc>
        <w:tc>
          <w:tcPr>
            <w:tcW w:w="1265" w:type="dxa"/>
            <w:tcBorders>
              <w:left w:val="single" w:color="000000" w:sz="4" w:space="0"/>
              <w:right w:val="single" w:color="000000" w:sz="4" w:space="0"/>
            </w:tcBorders>
            <w:vAlign w:val="top"/>
          </w:tcPr>
          <w:p w14:paraId="51B0E2AB">
            <w:pPr>
              <w:rPr>
                <w:rFonts w:ascii="Arial"/>
                <w:sz w:val="21"/>
              </w:rPr>
            </w:pPr>
          </w:p>
        </w:tc>
      </w:tr>
      <w:tr w14:paraId="606891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9122" w:type="dxa"/>
            <w:gridSpan w:val="7"/>
            <w:tcBorders>
              <w:left w:val="single" w:color="000000" w:sz="4" w:space="0"/>
              <w:right w:val="single" w:color="000000" w:sz="4" w:space="0"/>
            </w:tcBorders>
            <w:vAlign w:val="top"/>
          </w:tcPr>
          <w:p w14:paraId="109568CF">
            <w:pPr>
              <w:rPr>
                <w:rFonts w:ascii="Arial"/>
                <w:sz w:val="21"/>
              </w:rPr>
            </w:pPr>
          </w:p>
        </w:tc>
      </w:tr>
      <w:tr w14:paraId="2E3B93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3836" w:type="dxa"/>
            <w:gridSpan w:val="3"/>
            <w:tcBorders>
              <w:left w:val="single" w:color="000000" w:sz="4" w:space="0"/>
              <w:right w:val="single" w:color="000000" w:sz="4" w:space="0"/>
            </w:tcBorders>
            <w:vAlign w:val="top"/>
          </w:tcPr>
          <w:p w14:paraId="5A229C6F">
            <w:pPr>
              <w:pStyle w:val="6"/>
              <w:spacing w:before="218" w:line="229" w:lineRule="auto"/>
              <w:ind w:left="1522"/>
              <w:rPr>
                <w:sz w:val="19"/>
                <w:szCs w:val="19"/>
              </w:rPr>
            </w:pPr>
            <w:r>
              <w:rPr>
                <w:spacing w:val="7"/>
                <w:sz w:val="19"/>
                <w:szCs w:val="19"/>
              </w:rPr>
              <w:t>项目名称</w:t>
            </w:r>
          </w:p>
        </w:tc>
        <w:tc>
          <w:tcPr>
            <w:tcW w:w="1323" w:type="dxa"/>
            <w:tcBorders>
              <w:left w:val="single" w:color="000000" w:sz="4" w:space="0"/>
              <w:right w:val="single" w:color="000000" w:sz="4" w:space="0"/>
            </w:tcBorders>
            <w:vAlign w:val="top"/>
          </w:tcPr>
          <w:p w14:paraId="43D20AA1">
            <w:pPr>
              <w:pStyle w:val="6"/>
              <w:spacing w:before="63" w:line="269" w:lineRule="auto"/>
              <w:ind w:left="464" w:right="258" w:hanging="198"/>
              <w:rPr>
                <w:sz w:val="19"/>
                <w:szCs w:val="19"/>
              </w:rPr>
            </w:pPr>
            <w:r>
              <w:rPr>
                <w:spacing w:val="7"/>
                <w:sz w:val="19"/>
                <w:szCs w:val="19"/>
              </w:rPr>
              <w:t>投标合计</w:t>
            </w:r>
            <w:r>
              <w:rPr>
                <w:spacing w:val="4"/>
                <w:sz w:val="19"/>
                <w:szCs w:val="19"/>
              </w:rPr>
              <w:t>金额</w:t>
            </w:r>
          </w:p>
        </w:tc>
        <w:tc>
          <w:tcPr>
            <w:tcW w:w="1349" w:type="dxa"/>
            <w:tcBorders>
              <w:left w:val="single" w:color="000000" w:sz="4" w:space="0"/>
            </w:tcBorders>
            <w:vAlign w:val="top"/>
          </w:tcPr>
          <w:p w14:paraId="7DFB9C50">
            <w:pPr>
              <w:pStyle w:val="6"/>
              <w:spacing w:before="62" w:line="227" w:lineRule="auto"/>
              <w:ind w:left="177"/>
              <w:rPr>
                <w:sz w:val="19"/>
                <w:szCs w:val="19"/>
              </w:rPr>
            </w:pPr>
            <w:r>
              <w:rPr>
                <w:spacing w:val="7"/>
                <w:sz w:val="19"/>
                <w:szCs w:val="19"/>
              </w:rPr>
              <w:t>招标控制价</w:t>
            </w:r>
          </w:p>
          <w:p w14:paraId="2EE6054C">
            <w:pPr>
              <w:pStyle w:val="6"/>
              <w:spacing w:before="78" w:line="228" w:lineRule="auto"/>
              <w:ind w:left="193"/>
              <w:rPr>
                <w:sz w:val="19"/>
                <w:szCs w:val="19"/>
              </w:rPr>
            </w:pPr>
            <w:r>
              <w:rPr>
                <w:spacing w:val="4"/>
                <w:sz w:val="19"/>
                <w:szCs w:val="19"/>
              </w:rPr>
              <w:t>的合计金额</w:t>
            </w:r>
          </w:p>
        </w:tc>
        <w:tc>
          <w:tcPr>
            <w:tcW w:w="1349" w:type="dxa"/>
            <w:tcBorders>
              <w:right w:val="single" w:color="000000" w:sz="4" w:space="0"/>
            </w:tcBorders>
            <w:vAlign w:val="top"/>
          </w:tcPr>
          <w:p w14:paraId="323FB482">
            <w:pPr>
              <w:pStyle w:val="6"/>
              <w:spacing w:before="218" w:line="227" w:lineRule="auto"/>
              <w:ind w:left="282"/>
              <w:rPr>
                <w:sz w:val="19"/>
                <w:szCs w:val="19"/>
              </w:rPr>
            </w:pPr>
            <w:r>
              <w:rPr>
                <w:spacing w:val="7"/>
                <w:sz w:val="19"/>
                <w:szCs w:val="19"/>
              </w:rPr>
              <w:t>偏离幅度</w:t>
            </w:r>
          </w:p>
        </w:tc>
        <w:tc>
          <w:tcPr>
            <w:tcW w:w="1265" w:type="dxa"/>
            <w:tcBorders>
              <w:left w:val="single" w:color="000000" w:sz="4" w:space="0"/>
              <w:right w:val="single" w:color="000000" w:sz="4" w:space="0"/>
            </w:tcBorders>
            <w:vAlign w:val="top"/>
          </w:tcPr>
          <w:p w14:paraId="57C17E01">
            <w:pPr>
              <w:rPr>
                <w:rFonts w:ascii="Arial"/>
                <w:sz w:val="21"/>
              </w:rPr>
            </w:pPr>
          </w:p>
        </w:tc>
      </w:tr>
      <w:tr w14:paraId="31A5FB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3836" w:type="dxa"/>
            <w:gridSpan w:val="3"/>
            <w:tcBorders>
              <w:left w:val="single" w:color="000000" w:sz="4" w:space="0"/>
              <w:right w:val="single" w:color="000000" w:sz="4" w:space="0"/>
            </w:tcBorders>
            <w:vAlign w:val="top"/>
          </w:tcPr>
          <w:p w14:paraId="53F11CA9">
            <w:pPr>
              <w:pStyle w:val="6"/>
              <w:spacing w:before="179" w:line="227" w:lineRule="auto"/>
              <w:ind w:left="1325"/>
              <w:rPr>
                <w:sz w:val="19"/>
                <w:szCs w:val="19"/>
              </w:rPr>
            </w:pPr>
            <w:r>
              <w:rPr>
                <w:spacing w:val="7"/>
                <w:sz w:val="19"/>
                <w:szCs w:val="19"/>
              </w:rPr>
              <w:t>总价措施项目</w:t>
            </w:r>
          </w:p>
        </w:tc>
        <w:tc>
          <w:tcPr>
            <w:tcW w:w="1323" w:type="dxa"/>
            <w:tcBorders>
              <w:left w:val="single" w:color="000000" w:sz="4" w:space="0"/>
              <w:right w:val="single" w:color="000000" w:sz="4" w:space="0"/>
            </w:tcBorders>
            <w:vAlign w:val="top"/>
          </w:tcPr>
          <w:p w14:paraId="2B537757">
            <w:pPr>
              <w:rPr>
                <w:rFonts w:ascii="Arial"/>
                <w:sz w:val="21"/>
              </w:rPr>
            </w:pPr>
          </w:p>
        </w:tc>
        <w:tc>
          <w:tcPr>
            <w:tcW w:w="1349" w:type="dxa"/>
            <w:tcBorders>
              <w:left w:val="single" w:color="000000" w:sz="4" w:space="0"/>
            </w:tcBorders>
            <w:vAlign w:val="top"/>
          </w:tcPr>
          <w:p w14:paraId="42A5DED2">
            <w:pPr>
              <w:rPr>
                <w:rFonts w:ascii="Arial"/>
                <w:sz w:val="21"/>
              </w:rPr>
            </w:pPr>
          </w:p>
        </w:tc>
        <w:tc>
          <w:tcPr>
            <w:tcW w:w="1349" w:type="dxa"/>
            <w:tcBorders>
              <w:right w:val="single" w:color="000000" w:sz="4" w:space="0"/>
            </w:tcBorders>
            <w:vAlign w:val="top"/>
          </w:tcPr>
          <w:p w14:paraId="6F992238">
            <w:pPr>
              <w:rPr>
                <w:rFonts w:ascii="Arial"/>
                <w:sz w:val="21"/>
              </w:rPr>
            </w:pPr>
          </w:p>
        </w:tc>
        <w:tc>
          <w:tcPr>
            <w:tcW w:w="1265" w:type="dxa"/>
            <w:tcBorders>
              <w:left w:val="single" w:color="000000" w:sz="4" w:space="0"/>
              <w:right w:val="single" w:color="000000" w:sz="4" w:space="0"/>
            </w:tcBorders>
            <w:vAlign w:val="top"/>
          </w:tcPr>
          <w:p w14:paraId="7B4B4AD6">
            <w:pPr>
              <w:rPr>
                <w:rFonts w:ascii="Arial"/>
                <w:sz w:val="21"/>
              </w:rPr>
            </w:pPr>
          </w:p>
        </w:tc>
      </w:tr>
      <w:tr w14:paraId="60E419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36" w:type="dxa"/>
            <w:gridSpan w:val="3"/>
            <w:tcBorders>
              <w:left w:val="single" w:color="000000" w:sz="4" w:space="0"/>
              <w:bottom w:val="single" w:color="000000" w:sz="4" w:space="0"/>
              <w:right w:val="single" w:color="000000" w:sz="4" w:space="0"/>
            </w:tcBorders>
            <w:vAlign w:val="top"/>
          </w:tcPr>
          <w:p w14:paraId="33D08333">
            <w:pPr>
              <w:rPr>
                <w:rFonts w:ascii="Arial"/>
                <w:sz w:val="21"/>
              </w:rPr>
            </w:pPr>
          </w:p>
        </w:tc>
        <w:tc>
          <w:tcPr>
            <w:tcW w:w="1323" w:type="dxa"/>
            <w:tcBorders>
              <w:left w:val="single" w:color="000000" w:sz="4" w:space="0"/>
              <w:bottom w:val="single" w:color="000000" w:sz="4" w:space="0"/>
              <w:right w:val="single" w:color="000000" w:sz="4" w:space="0"/>
            </w:tcBorders>
            <w:vAlign w:val="top"/>
          </w:tcPr>
          <w:p w14:paraId="00C4918C">
            <w:pPr>
              <w:rPr>
                <w:rFonts w:ascii="Arial"/>
                <w:sz w:val="21"/>
              </w:rPr>
            </w:pPr>
          </w:p>
        </w:tc>
        <w:tc>
          <w:tcPr>
            <w:tcW w:w="1349" w:type="dxa"/>
            <w:tcBorders>
              <w:left w:val="single" w:color="000000" w:sz="4" w:space="0"/>
              <w:bottom w:val="single" w:color="000000" w:sz="4" w:space="0"/>
            </w:tcBorders>
            <w:vAlign w:val="top"/>
          </w:tcPr>
          <w:p w14:paraId="264EFFAE">
            <w:pPr>
              <w:rPr>
                <w:rFonts w:ascii="Arial"/>
                <w:sz w:val="21"/>
              </w:rPr>
            </w:pPr>
          </w:p>
        </w:tc>
        <w:tc>
          <w:tcPr>
            <w:tcW w:w="1349" w:type="dxa"/>
            <w:tcBorders>
              <w:bottom w:val="single" w:color="000000" w:sz="4" w:space="0"/>
              <w:right w:val="single" w:color="000000" w:sz="4" w:space="0"/>
            </w:tcBorders>
            <w:vAlign w:val="top"/>
          </w:tcPr>
          <w:p w14:paraId="799EF5C2">
            <w:pPr>
              <w:rPr>
                <w:rFonts w:ascii="Arial"/>
                <w:sz w:val="21"/>
              </w:rPr>
            </w:pPr>
          </w:p>
        </w:tc>
        <w:tc>
          <w:tcPr>
            <w:tcW w:w="1265" w:type="dxa"/>
            <w:tcBorders>
              <w:left w:val="single" w:color="000000" w:sz="4" w:space="0"/>
              <w:bottom w:val="single" w:color="000000" w:sz="4" w:space="0"/>
              <w:right w:val="single" w:color="000000" w:sz="4" w:space="0"/>
            </w:tcBorders>
            <w:vAlign w:val="top"/>
          </w:tcPr>
          <w:p w14:paraId="3E18384D">
            <w:pPr>
              <w:rPr>
                <w:rFonts w:ascii="Arial"/>
                <w:sz w:val="21"/>
              </w:rPr>
            </w:pPr>
          </w:p>
        </w:tc>
      </w:tr>
    </w:tbl>
    <w:p w14:paraId="0A685D43">
      <w:pPr>
        <w:spacing w:line="303" w:lineRule="auto"/>
        <w:rPr>
          <w:rFonts w:ascii="Arial"/>
          <w:sz w:val="21"/>
        </w:rPr>
      </w:pPr>
    </w:p>
    <w:p w14:paraId="4E9AB0A6">
      <w:pPr>
        <w:spacing w:line="304" w:lineRule="auto"/>
        <w:rPr>
          <w:rFonts w:ascii="Arial"/>
          <w:sz w:val="21"/>
        </w:rPr>
      </w:pPr>
    </w:p>
    <w:p w14:paraId="1CA02194">
      <w:pPr>
        <w:spacing w:before="65" w:line="227" w:lineRule="auto"/>
        <w:ind w:left="163"/>
        <w:rPr>
          <w:rFonts w:ascii="宋体" w:hAnsi="宋体" w:eastAsia="宋体" w:cs="宋体"/>
          <w:sz w:val="20"/>
          <w:szCs w:val="20"/>
        </w:rPr>
      </w:pPr>
      <w:r>
        <w:rPr>
          <w:rFonts w:ascii="宋体" w:hAnsi="宋体" w:eastAsia="宋体" w:cs="宋体"/>
          <w:spacing w:val="4"/>
          <w:sz w:val="20"/>
          <w:szCs w:val="20"/>
        </w:rPr>
        <w:t>评标委员会成员签名：</w:t>
      </w:r>
      <w:r>
        <w:rPr>
          <w:rFonts w:ascii="宋体" w:hAnsi="宋体" w:eastAsia="宋体" w:cs="宋体"/>
          <w:spacing w:val="1"/>
          <w:sz w:val="20"/>
          <w:szCs w:val="20"/>
        </w:rPr>
        <w:t xml:space="preserve">                        </w:t>
      </w:r>
      <w:r>
        <w:rPr>
          <w:rFonts w:ascii="宋体" w:hAnsi="宋体" w:eastAsia="宋体" w:cs="宋体"/>
          <w:sz w:val="20"/>
          <w:szCs w:val="20"/>
        </w:rPr>
        <w:t xml:space="preserve">           </w:t>
      </w:r>
      <w:r>
        <w:rPr>
          <w:rFonts w:ascii="宋体" w:hAnsi="宋体" w:eastAsia="宋体" w:cs="宋体"/>
          <w:spacing w:val="4"/>
          <w:sz w:val="20"/>
          <w:szCs w:val="20"/>
        </w:rPr>
        <w:t>日期：</w:t>
      </w:r>
      <w:r>
        <w:rPr>
          <w:rFonts w:ascii="宋体" w:hAnsi="宋体" w:eastAsia="宋体" w:cs="宋体"/>
          <w:spacing w:val="9"/>
          <w:sz w:val="20"/>
          <w:szCs w:val="20"/>
        </w:rPr>
        <w:t xml:space="preserve">     </w:t>
      </w:r>
      <w:r>
        <w:rPr>
          <w:rFonts w:ascii="宋体" w:hAnsi="宋体" w:eastAsia="宋体" w:cs="宋体"/>
          <w:spacing w:val="4"/>
          <w:sz w:val="20"/>
          <w:szCs w:val="20"/>
        </w:rPr>
        <w:t>年     月</w:t>
      </w:r>
      <w:r>
        <w:rPr>
          <w:rFonts w:ascii="宋体" w:hAnsi="宋体" w:eastAsia="宋体" w:cs="宋体"/>
          <w:spacing w:val="14"/>
          <w:sz w:val="20"/>
          <w:szCs w:val="20"/>
        </w:rPr>
        <w:t xml:space="preserve">     </w:t>
      </w:r>
      <w:r>
        <w:rPr>
          <w:rFonts w:ascii="宋体" w:hAnsi="宋体" w:eastAsia="宋体" w:cs="宋体"/>
          <w:spacing w:val="4"/>
          <w:sz w:val="20"/>
          <w:szCs w:val="20"/>
        </w:rPr>
        <w:t>日</w:t>
      </w:r>
    </w:p>
    <w:p w14:paraId="2C3F675A">
      <w:pPr>
        <w:spacing w:line="248" w:lineRule="auto"/>
        <w:rPr>
          <w:rFonts w:ascii="Arial"/>
          <w:sz w:val="21"/>
        </w:rPr>
      </w:pPr>
    </w:p>
    <w:p w14:paraId="13179157">
      <w:pPr>
        <w:spacing w:line="248" w:lineRule="auto"/>
        <w:rPr>
          <w:rFonts w:ascii="Arial"/>
          <w:sz w:val="21"/>
        </w:rPr>
      </w:pPr>
    </w:p>
    <w:p w14:paraId="13F3623E">
      <w:pPr>
        <w:spacing w:line="248" w:lineRule="auto"/>
        <w:rPr>
          <w:rFonts w:ascii="Arial"/>
          <w:sz w:val="21"/>
        </w:rPr>
      </w:pPr>
    </w:p>
    <w:p w14:paraId="3DAAD009">
      <w:pPr>
        <w:spacing w:line="248" w:lineRule="auto"/>
        <w:rPr>
          <w:rFonts w:ascii="Arial"/>
          <w:sz w:val="21"/>
        </w:rPr>
      </w:pPr>
    </w:p>
    <w:p w14:paraId="5022859A">
      <w:pPr>
        <w:spacing w:line="248" w:lineRule="auto"/>
        <w:rPr>
          <w:rFonts w:ascii="Arial"/>
          <w:sz w:val="21"/>
        </w:rPr>
      </w:pPr>
    </w:p>
    <w:p w14:paraId="137944DC">
      <w:pPr>
        <w:spacing w:line="248" w:lineRule="auto"/>
        <w:rPr>
          <w:rFonts w:ascii="Arial"/>
          <w:sz w:val="21"/>
        </w:rPr>
      </w:pPr>
    </w:p>
    <w:p w14:paraId="631ADD30">
      <w:pPr>
        <w:spacing w:line="248" w:lineRule="auto"/>
        <w:rPr>
          <w:rFonts w:ascii="Arial"/>
          <w:sz w:val="21"/>
        </w:rPr>
      </w:pPr>
    </w:p>
    <w:p w14:paraId="7C44AF43">
      <w:pPr>
        <w:spacing w:line="248" w:lineRule="auto"/>
        <w:rPr>
          <w:rFonts w:ascii="Arial"/>
          <w:sz w:val="21"/>
        </w:rPr>
      </w:pPr>
    </w:p>
    <w:p w14:paraId="5562B7DC">
      <w:pPr>
        <w:spacing w:line="248" w:lineRule="auto"/>
        <w:rPr>
          <w:rFonts w:ascii="Arial"/>
          <w:sz w:val="21"/>
        </w:rPr>
      </w:pPr>
    </w:p>
    <w:p w14:paraId="51F4D38F">
      <w:pPr>
        <w:spacing w:line="248" w:lineRule="auto"/>
        <w:rPr>
          <w:rFonts w:ascii="Arial"/>
          <w:sz w:val="21"/>
        </w:rPr>
      </w:pPr>
    </w:p>
    <w:p w14:paraId="47375D12">
      <w:pPr>
        <w:spacing w:line="248" w:lineRule="auto"/>
        <w:rPr>
          <w:rFonts w:ascii="Arial"/>
          <w:sz w:val="21"/>
        </w:rPr>
      </w:pPr>
    </w:p>
    <w:p w14:paraId="372A451D">
      <w:pPr>
        <w:spacing w:line="248" w:lineRule="auto"/>
        <w:rPr>
          <w:rFonts w:ascii="Arial"/>
          <w:sz w:val="21"/>
        </w:rPr>
      </w:pPr>
    </w:p>
    <w:p w14:paraId="1EBEFF41">
      <w:pPr>
        <w:spacing w:line="248" w:lineRule="auto"/>
        <w:rPr>
          <w:rFonts w:ascii="Arial"/>
          <w:sz w:val="21"/>
        </w:rPr>
      </w:pPr>
    </w:p>
    <w:p w14:paraId="572F764D">
      <w:pPr>
        <w:spacing w:line="249" w:lineRule="auto"/>
        <w:rPr>
          <w:rFonts w:ascii="Arial"/>
          <w:sz w:val="21"/>
        </w:rPr>
      </w:pPr>
    </w:p>
    <w:p w14:paraId="4D4AFEF5">
      <w:pPr>
        <w:spacing w:line="249" w:lineRule="auto"/>
        <w:rPr>
          <w:rFonts w:ascii="Arial"/>
          <w:sz w:val="21"/>
        </w:rPr>
      </w:pPr>
    </w:p>
    <w:p w14:paraId="37D8691F">
      <w:pPr>
        <w:spacing w:before="65" w:line="226" w:lineRule="auto"/>
        <w:ind w:left="164"/>
        <w:rPr>
          <w:rFonts w:ascii="宋体" w:hAnsi="宋体" w:eastAsia="宋体" w:cs="宋体"/>
          <w:sz w:val="20"/>
          <w:szCs w:val="20"/>
        </w:rPr>
      </w:pPr>
      <w:r>
        <w:rPr>
          <w:rFonts w:ascii="宋体" w:hAnsi="宋体" w:eastAsia="宋体" w:cs="宋体"/>
          <w:spacing w:val="4"/>
          <w:sz w:val="20"/>
          <w:szCs w:val="20"/>
        </w:rPr>
        <w:t>注：“总价措施项目价格偏离幅度</w:t>
      </w:r>
      <w:r>
        <w:rPr>
          <w:rFonts w:ascii="宋体" w:hAnsi="宋体" w:eastAsia="宋体" w:cs="宋体"/>
          <w:spacing w:val="-64"/>
          <w:sz w:val="20"/>
          <w:szCs w:val="20"/>
        </w:rPr>
        <w:t xml:space="preserve"> </w:t>
      </w:r>
      <w:r>
        <w:rPr>
          <w:rFonts w:ascii="宋体" w:hAnsi="宋体" w:eastAsia="宋体" w:cs="宋体"/>
          <w:spacing w:val="4"/>
          <w:sz w:val="20"/>
          <w:szCs w:val="20"/>
        </w:rPr>
        <w:t>”指标用于在投标人投标总报价低于招标控制价一定幅度，评标</w:t>
      </w:r>
    </w:p>
    <w:p w14:paraId="487EE86F">
      <w:pPr>
        <w:spacing w:before="67" w:line="227" w:lineRule="auto"/>
        <w:ind w:left="583"/>
        <w:rPr>
          <w:rFonts w:ascii="宋体" w:hAnsi="宋体" w:eastAsia="宋体" w:cs="宋体"/>
          <w:sz w:val="20"/>
          <w:szCs w:val="20"/>
        </w:rPr>
      </w:pPr>
      <w:r>
        <w:rPr>
          <w:rFonts w:ascii="宋体" w:hAnsi="宋体" w:eastAsia="宋体" w:cs="宋体"/>
          <w:spacing w:val="9"/>
          <w:sz w:val="20"/>
          <w:szCs w:val="20"/>
        </w:rPr>
        <w:t>委员会启动成本评审工作时，要求投标人进行澄清和说明并提交有关证明材料的依据。</w:t>
      </w:r>
    </w:p>
    <w:p w14:paraId="1B828D3F">
      <w:pPr>
        <w:spacing w:line="227" w:lineRule="auto"/>
        <w:rPr>
          <w:rFonts w:ascii="宋体" w:hAnsi="宋体" w:eastAsia="宋体" w:cs="宋体"/>
          <w:sz w:val="20"/>
          <w:szCs w:val="20"/>
        </w:rPr>
        <w:sectPr>
          <w:footerReference r:id="rId155" w:type="default"/>
          <w:pgSz w:w="11906" w:h="16839"/>
          <w:pgMar w:top="400" w:right="1398" w:bottom="1038" w:left="1374" w:header="0" w:footer="787" w:gutter="0"/>
          <w:cols w:space="720" w:num="1"/>
        </w:sectPr>
      </w:pPr>
    </w:p>
    <w:p w14:paraId="37AF355F">
      <w:pPr>
        <w:spacing w:line="261" w:lineRule="auto"/>
        <w:rPr>
          <w:rFonts w:ascii="Arial"/>
          <w:sz w:val="21"/>
        </w:rPr>
      </w:pPr>
    </w:p>
    <w:p w14:paraId="4857740A">
      <w:pPr>
        <w:spacing w:line="262" w:lineRule="auto"/>
        <w:rPr>
          <w:rFonts w:ascii="Arial"/>
          <w:sz w:val="21"/>
        </w:rPr>
      </w:pPr>
    </w:p>
    <w:p w14:paraId="72CB7A38">
      <w:pPr>
        <w:spacing w:line="262" w:lineRule="auto"/>
        <w:rPr>
          <w:rFonts w:ascii="Arial"/>
          <w:sz w:val="21"/>
        </w:rPr>
      </w:pPr>
    </w:p>
    <w:p w14:paraId="08208E16">
      <w:pPr>
        <w:spacing w:line="262" w:lineRule="auto"/>
        <w:rPr>
          <w:rFonts w:ascii="Arial"/>
          <w:sz w:val="21"/>
        </w:rPr>
      </w:pPr>
    </w:p>
    <w:p w14:paraId="0A503FA1">
      <w:pPr>
        <w:pStyle w:val="2"/>
        <w:spacing w:before="78" w:line="222" w:lineRule="auto"/>
        <w:ind w:left="178"/>
        <w:outlineLvl w:val="1"/>
        <w:rPr>
          <w:sz w:val="24"/>
          <w:szCs w:val="24"/>
        </w:rPr>
      </w:pPr>
      <w:r>
        <w:rPr>
          <w:spacing w:val="-3"/>
          <w:sz w:val="24"/>
          <w:szCs w:val="24"/>
        </w:rPr>
        <w:t>附表</w:t>
      </w:r>
      <w:r>
        <w:rPr>
          <w:spacing w:val="-47"/>
          <w:sz w:val="24"/>
          <w:szCs w:val="24"/>
        </w:rPr>
        <w:t xml:space="preserve"> </w:t>
      </w:r>
      <w:r>
        <w:rPr>
          <w:rFonts w:ascii="Times New Roman" w:hAnsi="Times New Roman" w:eastAsia="Times New Roman" w:cs="Times New Roman"/>
          <w:spacing w:val="-3"/>
          <w:sz w:val="24"/>
          <w:szCs w:val="24"/>
        </w:rPr>
        <w:t>C-</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11</w:t>
      </w:r>
      <w:r>
        <w:rPr>
          <w:spacing w:val="-3"/>
          <w:sz w:val="24"/>
          <w:szCs w:val="24"/>
        </w:rPr>
        <w:t>：清标报告</w:t>
      </w:r>
      <w:r>
        <w:rPr>
          <w:rFonts w:ascii="Times New Roman" w:hAnsi="Times New Roman" w:eastAsia="Times New Roman" w:cs="Times New Roman"/>
          <w:spacing w:val="-3"/>
          <w:sz w:val="24"/>
          <w:szCs w:val="24"/>
        </w:rPr>
        <w:t>-</w:t>
      </w:r>
      <w:r>
        <w:rPr>
          <w:spacing w:val="-3"/>
          <w:sz w:val="24"/>
          <w:szCs w:val="24"/>
        </w:rPr>
        <w:t>其他项目清单价格分析记录表</w:t>
      </w:r>
    </w:p>
    <w:p w14:paraId="3F4107F5">
      <w:pPr>
        <w:spacing w:line="274" w:lineRule="auto"/>
        <w:rPr>
          <w:rFonts w:ascii="Arial"/>
          <w:sz w:val="21"/>
        </w:rPr>
      </w:pPr>
    </w:p>
    <w:p w14:paraId="7EBD1CED">
      <w:pPr>
        <w:spacing w:line="275" w:lineRule="auto"/>
        <w:rPr>
          <w:rFonts w:ascii="Arial"/>
          <w:sz w:val="21"/>
        </w:rPr>
      </w:pPr>
    </w:p>
    <w:p w14:paraId="565DEABB">
      <w:pPr>
        <w:spacing w:line="275" w:lineRule="auto"/>
        <w:rPr>
          <w:rFonts w:ascii="Arial"/>
          <w:sz w:val="21"/>
        </w:rPr>
      </w:pPr>
    </w:p>
    <w:p w14:paraId="5593C691">
      <w:pPr>
        <w:pStyle w:val="2"/>
        <w:spacing w:before="101" w:line="227" w:lineRule="auto"/>
        <w:ind w:left="1783"/>
        <w:rPr>
          <w:sz w:val="31"/>
          <w:szCs w:val="31"/>
        </w:rPr>
      </w:pPr>
      <w:bookmarkStart w:id="208" w:name="bookmark189"/>
      <w:bookmarkEnd w:id="208"/>
      <w:r>
        <w:rPr>
          <w:spacing w:val="8"/>
          <w:sz w:val="31"/>
          <w:szCs w:val="31"/>
        </w:rPr>
        <w:t>清标报告-其他项目清单价格分析记录表</w:t>
      </w:r>
    </w:p>
    <w:p w14:paraId="20AD8A61">
      <w:pPr>
        <w:spacing w:line="270" w:lineRule="auto"/>
        <w:rPr>
          <w:rFonts w:ascii="Arial"/>
          <w:sz w:val="21"/>
        </w:rPr>
      </w:pPr>
    </w:p>
    <w:p w14:paraId="46A7C04F">
      <w:pPr>
        <w:spacing w:line="270" w:lineRule="auto"/>
        <w:rPr>
          <w:rFonts w:ascii="Arial"/>
          <w:sz w:val="21"/>
        </w:rPr>
      </w:pPr>
    </w:p>
    <w:p w14:paraId="5585E8B2">
      <w:pPr>
        <w:spacing w:before="65" w:line="228" w:lineRule="auto"/>
        <w:ind w:left="167"/>
        <w:rPr>
          <w:rFonts w:ascii="宋体" w:hAnsi="宋体" w:eastAsia="宋体" w:cs="宋体"/>
          <w:sz w:val="20"/>
          <w:szCs w:val="20"/>
        </w:rPr>
      </w:pPr>
      <w:r>
        <w:rPr>
          <w:rFonts w:ascii="宋体" w:hAnsi="宋体" w:eastAsia="宋体" w:cs="宋体"/>
          <w:spacing w:val="6"/>
          <w:sz w:val="20"/>
          <w:szCs w:val="20"/>
        </w:rPr>
        <w:t>投标人名称：</w:t>
      </w:r>
    </w:p>
    <w:p w14:paraId="56CF739E">
      <w:pPr>
        <w:spacing w:before="84"/>
      </w:pPr>
    </w:p>
    <w:tbl>
      <w:tblPr>
        <w:tblStyle w:val="5"/>
        <w:tblW w:w="912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836"/>
        <w:gridCol w:w="4021"/>
        <w:gridCol w:w="1265"/>
      </w:tblGrid>
      <w:tr w14:paraId="4D44B6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3836" w:type="dxa"/>
            <w:tcBorders>
              <w:bottom w:val="single" w:color="000000" w:sz="2" w:space="0"/>
            </w:tcBorders>
            <w:vAlign w:val="top"/>
          </w:tcPr>
          <w:p w14:paraId="5B9892EA">
            <w:pPr>
              <w:pStyle w:val="6"/>
              <w:spacing w:before="176" w:line="229" w:lineRule="auto"/>
              <w:ind w:left="1322"/>
              <w:rPr>
                <w:sz w:val="19"/>
                <w:szCs w:val="19"/>
              </w:rPr>
            </w:pPr>
            <w:r>
              <w:rPr>
                <w:spacing w:val="8"/>
                <w:sz w:val="19"/>
                <w:szCs w:val="19"/>
              </w:rPr>
              <w:t>单位工程名称</w:t>
            </w:r>
          </w:p>
        </w:tc>
        <w:tc>
          <w:tcPr>
            <w:tcW w:w="5286" w:type="dxa"/>
            <w:gridSpan w:val="2"/>
            <w:tcBorders>
              <w:bottom w:val="single" w:color="000000" w:sz="2" w:space="0"/>
            </w:tcBorders>
            <w:vAlign w:val="top"/>
          </w:tcPr>
          <w:p w14:paraId="2F0C35D4">
            <w:pPr>
              <w:rPr>
                <w:rFonts w:ascii="Arial"/>
                <w:sz w:val="21"/>
              </w:rPr>
            </w:pPr>
          </w:p>
        </w:tc>
      </w:tr>
      <w:tr w14:paraId="4C455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3836" w:type="dxa"/>
            <w:tcBorders>
              <w:top w:val="single" w:color="000000" w:sz="2" w:space="0"/>
              <w:bottom w:val="single" w:color="000000" w:sz="2" w:space="0"/>
            </w:tcBorders>
            <w:vAlign w:val="top"/>
          </w:tcPr>
          <w:p w14:paraId="7BE5B9BB">
            <w:pPr>
              <w:pStyle w:val="6"/>
              <w:spacing w:before="174" w:line="229" w:lineRule="auto"/>
              <w:ind w:left="1522"/>
              <w:rPr>
                <w:sz w:val="19"/>
                <w:szCs w:val="19"/>
              </w:rPr>
            </w:pPr>
            <w:r>
              <w:rPr>
                <w:spacing w:val="7"/>
                <w:sz w:val="19"/>
                <w:szCs w:val="19"/>
              </w:rPr>
              <w:t>项目名称</w:t>
            </w:r>
          </w:p>
        </w:tc>
        <w:tc>
          <w:tcPr>
            <w:tcW w:w="4021" w:type="dxa"/>
            <w:tcBorders>
              <w:top w:val="single" w:color="000000" w:sz="2" w:space="0"/>
              <w:bottom w:val="single" w:color="000000" w:sz="2" w:space="0"/>
            </w:tcBorders>
            <w:vAlign w:val="top"/>
          </w:tcPr>
          <w:p w14:paraId="6F9742CD">
            <w:pPr>
              <w:pStyle w:val="6"/>
              <w:spacing w:before="168" w:line="228" w:lineRule="auto"/>
              <w:ind w:left="1179"/>
            </w:pPr>
            <w:r>
              <w:rPr>
                <w:spacing w:val="8"/>
              </w:rPr>
              <w:t>企业管理费和利润</w:t>
            </w:r>
          </w:p>
        </w:tc>
        <w:tc>
          <w:tcPr>
            <w:tcW w:w="1265" w:type="dxa"/>
            <w:tcBorders>
              <w:top w:val="single" w:color="000000" w:sz="2" w:space="0"/>
              <w:bottom w:val="single" w:color="000000" w:sz="2" w:space="0"/>
            </w:tcBorders>
            <w:vAlign w:val="top"/>
          </w:tcPr>
          <w:p w14:paraId="531079C2">
            <w:pPr>
              <w:pStyle w:val="6"/>
              <w:spacing w:before="174" w:line="230" w:lineRule="auto"/>
              <w:ind w:left="437"/>
              <w:rPr>
                <w:sz w:val="19"/>
                <w:szCs w:val="19"/>
              </w:rPr>
            </w:pPr>
            <w:r>
              <w:rPr>
                <w:spacing w:val="4"/>
                <w:sz w:val="19"/>
                <w:szCs w:val="19"/>
              </w:rPr>
              <w:t>备注</w:t>
            </w:r>
          </w:p>
        </w:tc>
      </w:tr>
      <w:tr w14:paraId="1817D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836" w:type="dxa"/>
            <w:tcBorders>
              <w:top w:val="single" w:color="000000" w:sz="2" w:space="0"/>
            </w:tcBorders>
            <w:vAlign w:val="top"/>
          </w:tcPr>
          <w:p w14:paraId="56D7347C">
            <w:pPr>
              <w:pStyle w:val="6"/>
              <w:spacing w:before="171" w:line="229" w:lineRule="auto"/>
              <w:ind w:left="1500"/>
            </w:pPr>
            <w:r>
              <w:rPr>
                <w:spacing w:val="7"/>
              </w:rPr>
              <w:t>计日工表</w:t>
            </w:r>
          </w:p>
        </w:tc>
        <w:tc>
          <w:tcPr>
            <w:tcW w:w="4021" w:type="dxa"/>
            <w:tcBorders>
              <w:top w:val="single" w:color="000000" w:sz="2" w:space="0"/>
            </w:tcBorders>
            <w:vAlign w:val="top"/>
          </w:tcPr>
          <w:p w14:paraId="2BBD97C2">
            <w:pPr>
              <w:rPr>
                <w:rFonts w:ascii="Arial"/>
                <w:sz w:val="21"/>
              </w:rPr>
            </w:pPr>
          </w:p>
        </w:tc>
        <w:tc>
          <w:tcPr>
            <w:tcW w:w="1265" w:type="dxa"/>
            <w:tcBorders>
              <w:top w:val="single" w:color="000000" w:sz="2" w:space="0"/>
            </w:tcBorders>
            <w:vAlign w:val="top"/>
          </w:tcPr>
          <w:p w14:paraId="13486E7A">
            <w:pPr>
              <w:rPr>
                <w:rFonts w:ascii="Arial"/>
                <w:sz w:val="21"/>
              </w:rPr>
            </w:pPr>
          </w:p>
        </w:tc>
      </w:tr>
    </w:tbl>
    <w:p w14:paraId="1BC8EF06">
      <w:pPr>
        <w:spacing w:line="303" w:lineRule="auto"/>
        <w:rPr>
          <w:rFonts w:ascii="Arial"/>
          <w:sz w:val="21"/>
        </w:rPr>
      </w:pPr>
    </w:p>
    <w:p w14:paraId="1053B2E1">
      <w:pPr>
        <w:spacing w:line="303" w:lineRule="auto"/>
        <w:rPr>
          <w:rFonts w:ascii="Arial"/>
          <w:sz w:val="21"/>
        </w:rPr>
      </w:pPr>
    </w:p>
    <w:p w14:paraId="22282135">
      <w:pPr>
        <w:spacing w:before="65" w:line="227" w:lineRule="auto"/>
        <w:ind w:left="163"/>
        <w:rPr>
          <w:rFonts w:ascii="宋体" w:hAnsi="宋体" w:eastAsia="宋体" w:cs="宋体"/>
          <w:sz w:val="20"/>
          <w:szCs w:val="20"/>
        </w:rPr>
      </w:pPr>
      <w:r>
        <w:rPr>
          <w:rFonts w:ascii="宋体" w:hAnsi="宋体" w:eastAsia="宋体" w:cs="宋体"/>
          <w:spacing w:val="4"/>
          <w:sz w:val="20"/>
          <w:szCs w:val="20"/>
        </w:rPr>
        <w:t>评标委员会成员签名：</w:t>
      </w:r>
      <w:r>
        <w:rPr>
          <w:rFonts w:ascii="宋体" w:hAnsi="宋体" w:eastAsia="宋体" w:cs="宋体"/>
          <w:spacing w:val="1"/>
          <w:sz w:val="20"/>
          <w:szCs w:val="20"/>
        </w:rPr>
        <w:t xml:space="preserve">                        </w:t>
      </w:r>
      <w:r>
        <w:rPr>
          <w:rFonts w:ascii="宋体" w:hAnsi="宋体" w:eastAsia="宋体" w:cs="宋体"/>
          <w:sz w:val="20"/>
          <w:szCs w:val="20"/>
        </w:rPr>
        <w:t xml:space="preserve">           </w:t>
      </w:r>
      <w:r>
        <w:rPr>
          <w:rFonts w:ascii="宋体" w:hAnsi="宋体" w:eastAsia="宋体" w:cs="宋体"/>
          <w:spacing w:val="4"/>
          <w:sz w:val="20"/>
          <w:szCs w:val="20"/>
        </w:rPr>
        <w:t>日期：</w:t>
      </w:r>
      <w:r>
        <w:rPr>
          <w:rFonts w:ascii="宋体" w:hAnsi="宋体" w:eastAsia="宋体" w:cs="宋体"/>
          <w:spacing w:val="9"/>
          <w:sz w:val="20"/>
          <w:szCs w:val="20"/>
        </w:rPr>
        <w:t xml:space="preserve">     </w:t>
      </w:r>
      <w:r>
        <w:rPr>
          <w:rFonts w:ascii="宋体" w:hAnsi="宋体" w:eastAsia="宋体" w:cs="宋体"/>
          <w:spacing w:val="4"/>
          <w:sz w:val="20"/>
          <w:szCs w:val="20"/>
        </w:rPr>
        <w:t>年     月</w:t>
      </w:r>
      <w:r>
        <w:rPr>
          <w:rFonts w:ascii="宋体" w:hAnsi="宋体" w:eastAsia="宋体" w:cs="宋体"/>
          <w:spacing w:val="14"/>
          <w:sz w:val="20"/>
          <w:szCs w:val="20"/>
        </w:rPr>
        <w:t xml:space="preserve">     </w:t>
      </w:r>
      <w:r>
        <w:rPr>
          <w:rFonts w:ascii="宋体" w:hAnsi="宋体" w:eastAsia="宋体" w:cs="宋体"/>
          <w:spacing w:val="4"/>
          <w:sz w:val="20"/>
          <w:szCs w:val="20"/>
        </w:rPr>
        <w:t>日</w:t>
      </w:r>
    </w:p>
    <w:p w14:paraId="3233A555">
      <w:pPr>
        <w:spacing w:line="227" w:lineRule="auto"/>
        <w:rPr>
          <w:rFonts w:ascii="宋体" w:hAnsi="宋体" w:eastAsia="宋体" w:cs="宋体"/>
          <w:sz w:val="20"/>
          <w:szCs w:val="20"/>
        </w:rPr>
        <w:sectPr>
          <w:footerReference r:id="rId156" w:type="default"/>
          <w:pgSz w:w="11906" w:h="16839"/>
          <w:pgMar w:top="400" w:right="1398" w:bottom="1038" w:left="1374" w:header="0" w:footer="787" w:gutter="0"/>
          <w:cols w:space="720" w:num="1"/>
        </w:sectPr>
      </w:pPr>
    </w:p>
    <w:p w14:paraId="1085C1E2">
      <w:pPr>
        <w:spacing w:line="261" w:lineRule="auto"/>
        <w:rPr>
          <w:rFonts w:ascii="Arial"/>
          <w:sz w:val="21"/>
        </w:rPr>
      </w:pPr>
    </w:p>
    <w:p w14:paraId="4AD49DE2">
      <w:pPr>
        <w:spacing w:line="262" w:lineRule="auto"/>
        <w:rPr>
          <w:rFonts w:ascii="Arial"/>
          <w:sz w:val="21"/>
        </w:rPr>
      </w:pPr>
    </w:p>
    <w:p w14:paraId="6023FD24">
      <w:pPr>
        <w:spacing w:line="262" w:lineRule="auto"/>
        <w:rPr>
          <w:rFonts w:ascii="Arial"/>
          <w:sz w:val="21"/>
        </w:rPr>
      </w:pPr>
    </w:p>
    <w:p w14:paraId="27A42AB5">
      <w:pPr>
        <w:spacing w:line="262" w:lineRule="auto"/>
        <w:rPr>
          <w:rFonts w:ascii="Arial"/>
          <w:sz w:val="21"/>
        </w:rPr>
      </w:pPr>
    </w:p>
    <w:p w14:paraId="6C33863D">
      <w:pPr>
        <w:pStyle w:val="2"/>
        <w:spacing w:before="78" w:line="222" w:lineRule="auto"/>
        <w:ind w:left="178"/>
        <w:outlineLvl w:val="1"/>
        <w:rPr>
          <w:sz w:val="24"/>
          <w:szCs w:val="24"/>
        </w:rPr>
      </w:pPr>
      <w:r>
        <w:rPr>
          <w:spacing w:val="-3"/>
          <w:sz w:val="24"/>
          <w:szCs w:val="24"/>
        </w:rPr>
        <w:t>附表</w:t>
      </w:r>
      <w:r>
        <w:rPr>
          <w:spacing w:val="-37"/>
          <w:sz w:val="24"/>
          <w:szCs w:val="24"/>
        </w:rPr>
        <w:t xml:space="preserve"> </w:t>
      </w:r>
      <w:r>
        <w:rPr>
          <w:rFonts w:ascii="Times New Roman" w:hAnsi="Times New Roman" w:eastAsia="Times New Roman" w:cs="Times New Roman"/>
          <w:spacing w:val="-3"/>
          <w:sz w:val="24"/>
          <w:szCs w:val="24"/>
        </w:rPr>
        <w:t>C-</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3"/>
          <w:sz w:val="24"/>
          <w:szCs w:val="24"/>
        </w:rPr>
        <w:t>12</w:t>
      </w:r>
      <w:r>
        <w:rPr>
          <w:spacing w:val="-3"/>
          <w:sz w:val="24"/>
          <w:szCs w:val="24"/>
        </w:rPr>
        <w:t>：清标报告</w:t>
      </w:r>
      <w:r>
        <w:rPr>
          <w:rFonts w:ascii="Times New Roman" w:hAnsi="Times New Roman" w:eastAsia="Times New Roman" w:cs="Times New Roman"/>
          <w:spacing w:val="-3"/>
          <w:sz w:val="24"/>
          <w:szCs w:val="24"/>
        </w:rPr>
        <w:t>-</w:t>
      </w:r>
      <w:r>
        <w:rPr>
          <w:spacing w:val="-3"/>
          <w:sz w:val="24"/>
          <w:szCs w:val="24"/>
        </w:rPr>
        <w:t>建设项目总人工费分析记录表</w:t>
      </w:r>
    </w:p>
    <w:p w14:paraId="2F6C8B83">
      <w:pPr>
        <w:spacing w:line="244" w:lineRule="auto"/>
        <w:rPr>
          <w:rFonts w:ascii="Arial"/>
          <w:sz w:val="21"/>
        </w:rPr>
      </w:pPr>
    </w:p>
    <w:p w14:paraId="3B86C7DF">
      <w:pPr>
        <w:spacing w:line="245" w:lineRule="auto"/>
        <w:rPr>
          <w:rFonts w:ascii="Arial"/>
          <w:sz w:val="21"/>
        </w:rPr>
      </w:pPr>
    </w:p>
    <w:p w14:paraId="68EAC5CC">
      <w:pPr>
        <w:spacing w:line="245" w:lineRule="auto"/>
        <w:rPr>
          <w:rFonts w:ascii="Arial"/>
          <w:sz w:val="21"/>
        </w:rPr>
      </w:pPr>
    </w:p>
    <w:p w14:paraId="7D711FB3">
      <w:pPr>
        <w:spacing w:line="245" w:lineRule="auto"/>
        <w:rPr>
          <w:rFonts w:ascii="Arial"/>
          <w:sz w:val="21"/>
        </w:rPr>
      </w:pPr>
    </w:p>
    <w:p w14:paraId="45CC57DC">
      <w:pPr>
        <w:pStyle w:val="2"/>
        <w:spacing w:before="101" w:line="227" w:lineRule="auto"/>
        <w:ind w:left="1783"/>
        <w:rPr>
          <w:sz w:val="31"/>
          <w:szCs w:val="31"/>
        </w:rPr>
      </w:pPr>
      <w:bookmarkStart w:id="209" w:name="bookmark190"/>
      <w:bookmarkEnd w:id="209"/>
      <w:r>
        <w:rPr>
          <w:spacing w:val="8"/>
          <w:sz w:val="31"/>
          <w:szCs w:val="31"/>
        </w:rPr>
        <w:t>清标报告-建设项目总人工费分析记录表</w:t>
      </w:r>
    </w:p>
    <w:p w14:paraId="39A750EA">
      <w:pPr>
        <w:spacing w:line="251" w:lineRule="auto"/>
        <w:rPr>
          <w:rFonts w:ascii="Arial"/>
          <w:sz w:val="21"/>
        </w:rPr>
      </w:pPr>
    </w:p>
    <w:p w14:paraId="0A64949B">
      <w:pPr>
        <w:spacing w:line="251" w:lineRule="auto"/>
        <w:rPr>
          <w:rFonts w:ascii="Arial"/>
          <w:sz w:val="21"/>
        </w:rPr>
      </w:pPr>
    </w:p>
    <w:p w14:paraId="08C5CECC">
      <w:pPr>
        <w:spacing w:line="251" w:lineRule="auto"/>
        <w:rPr>
          <w:rFonts w:ascii="Arial"/>
          <w:sz w:val="21"/>
        </w:rPr>
      </w:pPr>
    </w:p>
    <w:p w14:paraId="5856E8D3">
      <w:pPr>
        <w:spacing w:line="252" w:lineRule="auto"/>
        <w:rPr>
          <w:rFonts w:ascii="Arial"/>
          <w:sz w:val="21"/>
        </w:rPr>
      </w:pPr>
    </w:p>
    <w:p w14:paraId="62CD31A7">
      <w:pPr>
        <w:spacing w:before="65" w:line="228" w:lineRule="auto"/>
        <w:ind w:left="167"/>
        <w:rPr>
          <w:rFonts w:ascii="宋体" w:hAnsi="宋体" w:eastAsia="宋体" w:cs="宋体"/>
          <w:sz w:val="20"/>
          <w:szCs w:val="20"/>
        </w:rPr>
      </w:pPr>
      <w:r>
        <w:rPr>
          <w:rFonts w:ascii="宋体" w:hAnsi="宋体" w:eastAsia="宋体" w:cs="宋体"/>
          <w:spacing w:val="6"/>
          <w:sz w:val="20"/>
          <w:szCs w:val="20"/>
        </w:rPr>
        <w:t>投标人名称：</w:t>
      </w:r>
    </w:p>
    <w:p w14:paraId="72A75683">
      <w:pPr>
        <w:spacing w:before="84"/>
      </w:pPr>
    </w:p>
    <w:tbl>
      <w:tblPr>
        <w:tblStyle w:val="5"/>
        <w:tblW w:w="912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836"/>
        <w:gridCol w:w="1323"/>
        <w:gridCol w:w="1349"/>
        <w:gridCol w:w="1349"/>
        <w:gridCol w:w="1265"/>
      </w:tblGrid>
      <w:tr w14:paraId="2D1D6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3836" w:type="dxa"/>
            <w:tcBorders>
              <w:bottom w:val="single" w:color="000000" w:sz="2" w:space="0"/>
            </w:tcBorders>
            <w:vAlign w:val="top"/>
          </w:tcPr>
          <w:p w14:paraId="0CA16B07">
            <w:pPr>
              <w:pStyle w:val="6"/>
              <w:spacing w:before="176" w:line="229" w:lineRule="auto"/>
              <w:ind w:left="1322"/>
              <w:rPr>
                <w:sz w:val="19"/>
                <w:szCs w:val="19"/>
              </w:rPr>
            </w:pPr>
            <w:r>
              <w:rPr>
                <w:spacing w:val="8"/>
                <w:sz w:val="19"/>
                <w:szCs w:val="19"/>
              </w:rPr>
              <w:t>建设项目名称</w:t>
            </w:r>
          </w:p>
        </w:tc>
        <w:tc>
          <w:tcPr>
            <w:tcW w:w="5286" w:type="dxa"/>
            <w:gridSpan w:val="4"/>
            <w:tcBorders>
              <w:bottom w:val="single" w:color="000000" w:sz="2" w:space="0"/>
            </w:tcBorders>
            <w:vAlign w:val="top"/>
          </w:tcPr>
          <w:p w14:paraId="36F614A5">
            <w:pPr>
              <w:rPr>
                <w:rFonts w:ascii="Arial"/>
                <w:sz w:val="21"/>
              </w:rPr>
            </w:pPr>
          </w:p>
        </w:tc>
      </w:tr>
      <w:tr w14:paraId="0F564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3836" w:type="dxa"/>
            <w:tcBorders>
              <w:top w:val="single" w:color="000000" w:sz="2" w:space="0"/>
              <w:bottom w:val="single" w:color="000000" w:sz="2" w:space="0"/>
            </w:tcBorders>
            <w:vAlign w:val="top"/>
          </w:tcPr>
          <w:p w14:paraId="7AD0C42A">
            <w:pPr>
              <w:pStyle w:val="6"/>
              <w:spacing w:before="214" w:line="229" w:lineRule="auto"/>
              <w:ind w:left="1522"/>
              <w:rPr>
                <w:sz w:val="19"/>
                <w:szCs w:val="19"/>
              </w:rPr>
            </w:pPr>
            <w:r>
              <w:rPr>
                <w:spacing w:val="7"/>
                <w:sz w:val="19"/>
                <w:szCs w:val="19"/>
              </w:rPr>
              <w:t>项目名称</w:t>
            </w:r>
          </w:p>
        </w:tc>
        <w:tc>
          <w:tcPr>
            <w:tcW w:w="1323" w:type="dxa"/>
            <w:tcBorders>
              <w:top w:val="single" w:color="000000" w:sz="2" w:space="0"/>
              <w:bottom w:val="single" w:color="000000" w:sz="2" w:space="0"/>
            </w:tcBorders>
            <w:vAlign w:val="top"/>
          </w:tcPr>
          <w:p w14:paraId="38F4D7EF">
            <w:pPr>
              <w:pStyle w:val="6"/>
              <w:spacing w:before="59" w:line="270" w:lineRule="auto"/>
              <w:ind w:left="464" w:right="258" w:hanging="198"/>
              <w:rPr>
                <w:sz w:val="19"/>
                <w:szCs w:val="19"/>
              </w:rPr>
            </w:pPr>
            <w:r>
              <w:rPr>
                <w:spacing w:val="7"/>
                <w:sz w:val="19"/>
                <w:szCs w:val="19"/>
              </w:rPr>
              <w:t>投标合计</w:t>
            </w:r>
            <w:r>
              <w:rPr>
                <w:spacing w:val="4"/>
                <w:sz w:val="19"/>
                <w:szCs w:val="19"/>
              </w:rPr>
              <w:t>金额</w:t>
            </w:r>
          </w:p>
        </w:tc>
        <w:tc>
          <w:tcPr>
            <w:tcW w:w="1349" w:type="dxa"/>
            <w:tcBorders>
              <w:top w:val="single" w:color="000000" w:sz="2" w:space="0"/>
              <w:bottom w:val="single" w:color="000000" w:sz="2" w:space="0"/>
              <w:right w:val="single" w:color="000000" w:sz="2" w:space="0"/>
            </w:tcBorders>
            <w:vAlign w:val="top"/>
          </w:tcPr>
          <w:p w14:paraId="1E13C9C7">
            <w:pPr>
              <w:pStyle w:val="6"/>
              <w:spacing w:before="58" w:line="227" w:lineRule="auto"/>
              <w:ind w:left="177"/>
              <w:rPr>
                <w:sz w:val="19"/>
                <w:szCs w:val="19"/>
              </w:rPr>
            </w:pPr>
            <w:r>
              <w:rPr>
                <w:spacing w:val="7"/>
                <w:sz w:val="19"/>
                <w:szCs w:val="19"/>
              </w:rPr>
              <w:t>招标控制价</w:t>
            </w:r>
          </w:p>
          <w:p w14:paraId="6BB92F66">
            <w:pPr>
              <w:pStyle w:val="6"/>
              <w:spacing w:before="78" w:line="228" w:lineRule="auto"/>
              <w:ind w:left="193"/>
              <w:rPr>
                <w:sz w:val="19"/>
                <w:szCs w:val="19"/>
              </w:rPr>
            </w:pPr>
            <w:r>
              <w:rPr>
                <w:spacing w:val="4"/>
                <w:sz w:val="19"/>
                <w:szCs w:val="19"/>
              </w:rPr>
              <w:t>的合计金额</w:t>
            </w:r>
          </w:p>
        </w:tc>
        <w:tc>
          <w:tcPr>
            <w:tcW w:w="1349" w:type="dxa"/>
            <w:tcBorders>
              <w:top w:val="single" w:color="000000" w:sz="2" w:space="0"/>
              <w:left w:val="single" w:color="000000" w:sz="2" w:space="0"/>
              <w:bottom w:val="single" w:color="000000" w:sz="2" w:space="0"/>
            </w:tcBorders>
            <w:vAlign w:val="top"/>
          </w:tcPr>
          <w:p w14:paraId="73745B92">
            <w:pPr>
              <w:pStyle w:val="6"/>
              <w:spacing w:before="214" w:line="227" w:lineRule="auto"/>
              <w:ind w:left="282"/>
              <w:rPr>
                <w:sz w:val="19"/>
                <w:szCs w:val="19"/>
              </w:rPr>
            </w:pPr>
            <w:r>
              <w:rPr>
                <w:spacing w:val="7"/>
                <w:sz w:val="19"/>
                <w:szCs w:val="19"/>
              </w:rPr>
              <w:t>偏离幅度</w:t>
            </w:r>
          </w:p>
        </w:tc>
        <w:tc>
          <w:tcPr>
            <w:tcW w:w="1265" w:type="dxa"/>
            <w:tcBorders>
              <w:top w:val="single" w:color="000000" w:sz="2" w:space="0"/>
              <w:bottom w:val="single" w:color="000000" w:sz="2" w:space="0"/>
            </w:tcBorders>
            <w:vAlign w:val="top"/>
          </w:tcPr>
          <w:p w14:paraId="14EA87B2">
            <w:pPr>
              <w:pStyle w:val="6"/>
              <w:spacing w:before="214" w:line="230" w:lineRule="auto"/>
              <w:ind w:left="437"/>
              <w:rPr>
                <w:sz w:val="19"/>
                <w:szCs w:val="19"/>
              </w:rPr>
            </w:pPr>
            <w:r>
              <w:rPr>
                <w:spacing w:val="4"/>
                <w:sz w:val="19"/>
                <w:szCs w:val="19"/>
              </w:rPr>
              <w:t>备注</w:t>
            </w:r>
          </w:p>
        </w:tc>
      </w:tr>
      <w:tr w14:paraId="4D8A5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836" w:type="dxa"/>
            <w:tcBorders>
              <w:top w:val="single" w:color="000000" w:sz="2" w:space="0"/>
            </w:tcBorders>
            <w:vAlign w:val="top"/>
          </w:tcPr>
          <w:p w14:paraId="20ED337C">
            <w:pPr>
              <w:pStyle w:val="6"/>
              <w:spacing w:before="177" w:line="229" w:lineRule="auto"/>
              <w:ind w:left="1525"/>
              <w:rPr>
                <w:sz w:val="19"/>
                <w:szCs w:val="19"/>
              </w:rPr>
            </w:pPr>
            <w:r>
              <w:rPr>
                <w:spacing w:val="6"/>
                <w:sz w:val="19"/>
                <w:szCs w:val="19"/>
              </w:rPr>
              <w:t>总人工费</w:t>
            </w:r>
          </w:p>
        </w:tc>
        <w:tc>
          <w:tcPr>
            <w:tcW w:w="1323" w:type="dxa"/>
            <w:tcBorders>
              <w:top w:val="single" w:color="000000" w:sz="2" w:space="0"/>
            </w:tcBorders>
            <w:vAlign w:val="top"/>
          </w:tcPr>
          <w:p w14:paraId="0F920AA7">
            <w:pPr>
              <w:rPr>
                <w:rFonts w:ascii="Arial"/>
                <w:sz w:val="21"/>
              </w:rPr>
            </w:pPr>
          </w:p>
        </w:tc>
        <w:tc>
          <w:tcPr>
            <w:tcW w:w="1349" w:type="dxa"/>
            <w:tcBorders>
              <w:top w:val="single" w:color="000000" w:sz="2" w:space="0"/>
              <w:right w:val="single" w:color="000000" w:sz="2" w:space="0"/>
            </w:tcBorders>
            <w:vAlign w:val="top"/>
          </w:tcPr>
          <w:p w14:paraId="407D1AC5">
            <w:pPr>
              <w:rPr>
                <w:rFonts w:ascii="Arial"/>
                <w:sz w:val="21"/>
              </w:rPr>
            </w:pPr>
          </w:p>
        </w:tc>
        <w:tc>
          <w:tcPr>
            <w:tcW w:w="1349" w:type="dxa"/>
            <w:tcBorders>
              <w:top w:val="single" w:color="000000" w:sz="2" w:space="0"/>
              <w:left w:val="single" w:color="000000" w:sz="2" w:space="0"/>
            </w:tcBorders>
            <w:vAlign w:val="top"/>
          </w:tcPr>
          <w:p w14:paraId="006CD018">
            <w:pPr>
              <w:rPr>
                <w:rFonts w:ascii="Arial"/>
                <w:sz w:val="21"/>
              </w:rPr>
            </w:pPr>
          </w:p>
        </w:tc>
        <w:tc>
          <w:tcPr>
            <w:tcW w:w="1265" w:type="dxa"/>
            <w:tcBorders>
              <w:top w:val="single" w:color="000000" w:sz="2" w:space="0"/>
            </w:tcBorders>
            <w:vAlign w:val="top"/>
          </w:tcPr>
          <w:p w14:paraId="7FAE274E">
            <w:pPr>
              <w:rPr>
                <w:rFonts w:ascii="Arial"/>
                <w:sz w:val="21"/>
              </w:rPr>
            </w:pPr>
          </w:p>
        </w:tc>
      </w:tr>
    </w:tbl>
    <w:p w14:paraId="08D35AD5">
      <w:pPr>
        <w:spacing w:line="296" w:lineRule="auto"/>
        <w:rPr>
          <w:rFonts w:ascii="Arial"/>
          <w:sz w:val="21"/>
        </w:rPr>
      </w:pPr>
    </w:p>
    <w:p w14:paraId="5ED7D291">
      <w:pPr>
        <w:spacing w:before="65" w:line="227" w:lineRule="auto"/>
        <w:ind w:left="163"/>
        <w:rPr>
          <w:rFonts w:ascii="宋体" w:hAnsi="宋体" w:eastAsia="宋体" w:cs="宋体"/>
          <w:sz w:val="20"/>
          <w:szCs w:val="20"/>
        </w:rPr>
      </w:pPr>
      <w:r>
        <w:rPr>
          <w:rFonts w:ascii="宋体" w:hAnsi="宋体" w:eastAsia="宋体" w:cs="宋体"/>
          <w:spacing w:val="4"/>
          <w:sz w:val="20"/>
          <w:szCs w:val="20"/>
        </w:rPr>
        <w:t>评标委员会成员签名：</w:t>
      </w:r>
      <w:r>
        <w:rPr>
          <w:rFonts w:ascii="宋体" w:hAnsi="宋体" w:eastAsia="宋体" w:cs="宋体"/>
          <w:spacing w:val="1"/>
          <w:sz w:val="20"/>
          <w:szCs w:val="20"/>
        </w:rPr>
        <w:t xml:space="preserve">                        </w:t>
      </w:r>
      <w:r>
        <w:rPr>
          <w:rFonts w:ascii="宋体" w:hAnsi="宋体" w:eastAsia="宋体" w:cs="宋体"/>
          <w:sz w:val="20"/>
          <w:szCs w:val="20"/>
        </w:rPr>
        <w:t xml:space="preserve">           </w:t>
      </w:r>
      <w:r>
        <w:rPr>
          <w:rFonts w:ascii="宋体" w:hAnsi="宋体" w:eastAsia="宋体" w:cs="宋体"/>
          <w:spacing w:val="4"/>
          <w:sz w:val="20"/>
          <w:szCs w:val="20"/>
        </w:rPr>
        <w:t>日期：</w:t>
      </w:r>
      <w:r>
        <w:rPr>
          <w:rFonts w:ascii="宋体" w:hAnsi="宋体" w:eastAsia="宋体" w:cs="宋体"/>
          <w:spacing w:val="9"/>
          <w:sz w:val="20"/>
          <w:szCs w:val="20"/>
        </w:rPr>
        <w:t xml:space="preserve">     </w:t>
      </w:r>
      <w:r>
        <w:rPr>
          <w:rFonts w:ascii="宋体" w:hAnsi="宋体" w:eastAsia="宋体" w:cs="宋体"/>
          <w:spacing w:val="4"/>
          <w:sz w:val="20"/>
          <w:szCs w:val="20"/>
        </w:rPr>
        <w:t>年     月</w:t>
      </w:r>
      <w:r>
        <w:rPr>
          <w:rFonts w:ascii="宋体" w:hAnsi="宋体" w:eastAsia="宋体" w:cs="宋体"/>
          <w:spacing w:val="14"/>
          <w:sz w:val="20"/>
          <w:szCs w:val="20"/>
        </w:rPr>
        <w:t xml:space="preserve">     </w:t>
      </w:r>
      <w:r>
        <w:rPr>
          <w:rFonts w:ascii="宋体" w:hAnsi="宋体" w:eastAsia="宋体" w:cs="宋体"/>
          <w:spacing w:val="4"/>
          <w:sz w:val="20"/>
          <w:szCs w:val="20"/>
        </w:rPr>
        <w:t>日</w:t>
      </w:r>
    </w:p>
    <w:p w14:paraId="42678F57">
      <w:pPr>
        <w:spacing w:line="227" w:lineRule="auto"/>
        <w:rPr>
          <w:rFonts w:ascii="宋体" w:hAnsi="宋体" w:eastAsia="宋体" w:cs="宋体"/>
          <w:sz w:val="20"/>
          <w:szCs w:val="20"/>
        </w:rPr>
        <w:sectPr>
          <w:footerReference r:id="rId157" w:type="default"/>
          <w:pgSz w:w="11906" w:h="16839"/>
          <w:pgMar w:top="400" w:right="1398" w:bottom="1038" w:left="1374" w:header="0" w:footer="787" w:gutter="0"/>
          <w:cols w:space="720" w:num="1"/>
        </w:sectPr>
      </w:pPr>
    </w:p>
    <w:p w14:paraId="11C8A4D1">
      <w:pPr>
        <w:spacing w:line="261" w:lineRule="auto"/>
        <w:rPr>
          <w:rFonts w:ascii="Arial"/>
          <w:sz w:val="21"/>
        </w:rPr>
      </w:pPr>
    </w:p>
    <w:p w14:paraId="54BEF57B">
      <w:pPr>
        <w:spacing w:line="262" w:lineRule="auto"/>
        <w:rPr>
          <w:rFonts w:ascii="Arial"/>
          <w:sz w:val="21"/>
        </w:rPr>
      </w:pPr>
    </w:p>
    <w:p w14:paraId="30A185CC">
      <w:pPr>
        <w:spacing w:line="262" w:lineRule="auto"/>
        <w:rPr>
          <w:rFonts w:ascii="Arial"/>
          <w:sz w:val="21"/>
        </w:rPr>
      </w:pPr>
    </w:p>
    <w:p w14:paraId="70C1A2F4">
      <w:pPr>
        <w:spacing w:line="262" w:lineRule="auto"/>
        <w:rPr>
          <w:rFonts w:ascii="Arial"/>
          <w:sz w:val="21"/>
        </w:rPr>
      </w:pPr>
    </w:p>
    <w:p w14:paraId="28F71DC0">
      <w:pPr>
        <w:pStyle w:val="2"/>
        <w:spacing w:before="78" w:line="222" w:lineRule="auto"/>
        <w:ind w:left="178"/>
        <w:rPr>
          <w:sz w:val="24"/>
          <w:szCs w:val="24"/>
        </w:rPr>
      </w:pPr>
      <w:r>
        <w:rPr>
          <w:spacing w:val="-3"/>
          <w:sz w:val="24"/>
          <w:szCs w:val="24"/>
        </w:rPr>
        <w:t>附表</w:t>
      </w:r>
      <w:r>
        <w:rPr>
          <w:spacing w:val="-37"/>
          <w:sz w:val="24"/>
          <w:szCs w:val="24"/>
        </w:rPr>
        <w:t xml:space="preserve"> </w:t>
      </w:r>
      <w:r>
        <w:rPr>
          <w:rFonts w:ascii="Times New Roman" w:hAnsi="Times New Roman" w:eastAsia="Times New Roman" w:cs="Times New Roman"/>
          <w:spacing w:val="-3"/>
          <w:sz w:val="24"/>
          <w:szCs w:val="24"/>
        </w:rPr>
        <w:t>C-</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3"/>
          <w:sz w:val="24"/>
          <w:szCs w:val="24"/>
        </w:rPr>
        <w:t>13</w:t>
      </w:r>
      <w:r>
        <w:rPr>
          <w:spacing w:val="-3"/>
          <w:sz w:val="24"/>
          <w:szCs w:val="24"/>
        </w:rPr>
        <w:t>：清标报告</w:t>
      </w:r>
      <w:r>
        <w:rPr>
          <w:rFonts w:ascii="Times New Roman" w:hAnsi="Times New Roman" w:eastAsia="Times New Roman" w:cs="Times New Roman"/>
          <w:spacing w:val="-3"/>
          <w:sz w:val="24"/>
          <w:szCs w:val="24"/>
        </w:rPr>
        <w:t>-</w:t>
      </w:r>
      <w:r>
        <w:rPr>
          <w:spacing w:val="-3"/>
          <w:sz w:val="24"/>
          <w:szCs w:val="24"/>
        </w:rPr>
        <w:t>单位工程投标报价分析记录表</w:t>
      </w:r>
    </w:p>
    <w:p w14:paraId="4866863F">
      <w:pPr>
        <w:spacing w:line="257" w:lineRule="auto"/>
        <w:rPr>
          <w:rFonts w:ascii="Arial"/>
          <w:sz w:val="21"/>
        </w:rPr>
      </w:pPr>
    </w:p>
    <w:p w14:paraId="564AC854">
      <w:pPr>
        <w:spacing w:line="258" w:lineRule="auto"/>
        <w:rPr>
          <w:rFonts w:ascii="Arial"/>
          <w:sz w:val="21"/>
        </w:rPr>
      </w:pPr>
    </w:p>
    <w:p w14:paraId="40D71127">
      <w:pPr>
        <w:spacing w:line="258" w:lineRule="auto"/>
        <w:rPr>
          <w:rFonts w:ascii="Arial"/>
          <w:sz w:val="21"/>
        </w:rPr>
      </w:pPr>
    </w:p>
    <w:p w14:paraId="5B978472">
      <w:pPr>
        <w:spacing w:line="258" w:lineRule="auto"/>
        <w:rPr>
          <w:rFonts w:ascii="Arial"/>
          <w:sz w:val="21"/>
        </w:rPr>
      </w:pPr>
    </w:p>
    <w:p w14:paraId="5FAA8C2A">
      <w:pPr>
        <w:spacing w:line="258" w:lineRule="auto"/>
        <w:rPr>
          <w:rFonts w:ascii="Arial"/>
          <w:sz w:val="21"/>
        </w:rPr>
      </w:pPr>
    </w:p>
    <w:p w14:paraId="19D693ED">
      <w:pPr>
        <w:pStyle w:val="2"/>
        <w:spacing w:before="101" w:line="227" w:lineRule="auto"/>
        <w:ind w:left="1783"/>
        <w:rPr>
          <w:sz w:val="31"/>
          <w:szCs w:val="31"/>
        </w:rPr>
      </w:pPr>
      <w:bookmarkStart w:id="210" w:name="bookmark191"/>
      <w:bookmarkEnd w:id="210"/>
      <w:r>
        <w:rPr>
          <w:spacing w:val="8"/>
          <w:sz w:val="31"/>
          <w:szCs w:val="31"/>
        </w:rPr>
        <w:t>清标报告-单位工程投标报价分析记录表</w:t>
      </w:r>
    </w:p>
    <w:p w14:paraId="6F1D8813">
      <w:pPr>
        <w:spacing w:line="251" w:lineRule="auto"/>
        <w:rPr>
          <w:rFonts w:ascii="Arial"/>
          <w:sz w:val="21"/>
        </w:rPr>
      </w:pPr>
    </w:p>
    <w:p w14:paraId="2A8D1F73">
      <w:pPr>
        <w:spacing w:line="251" w:lineRule="auto"/>
        <w:rPr>
          <w:rFonts w:ascii="Arial"/>
          <w:sz w:val="21"/>
        </w:rPr>
      </w:pPr>
    </w:p>
    <w:p w14:paraId="3BC38DE4">
      <w:pPr>
        <w:spacing w:line="251" w:lineRule="auto"/>
        <w:rPr>
          <w:rFonts w:ascii="Arial"/>
          <w:sz w:val="21"/>
        </w:rPr>
      </w:pPr>
    </w:p>
    <w:p w14:paraId="127324C7">
      <w:pPr>
        <w:spacing w:line="252" w:lineRule="auto"/>
        <w:rPr>
          <w:rFonts w:ascii="Arial"/>
          <w:sz w:val="21"/>
        </w:rPr>
      </w:pPr>
    </w:p>
    <w:p w14:paraId="2D8D86FF">
      <w:pPr>
        <w:spacing w:before="65" w:line="228" w:lineRule="auto"/>
        <w:ind w:left="167"/>
        <w:rPr>
          <w:rFonts w:ascii="宋体" w:hAnsi="宋体" w:eastAsia="宋体" w:cs="宋体"/>
          <w:sz w:val="20"/>
          <w:szCs w:val="20"/>
        </w:rPr>
      </w:pPr>
      <w:r>
        <w:rPr>
          <w:rFonts w:ascii="宋体" w:hAnsi="宋体" w:eastAsia="宋体" w:cs="宋体"/>
          <w:spacing w:val="6"/>
          <w:sz w:val="20"/>
          <w:szCs w:val="20"/>
        </w:rPr>
        <w:t>投标人名称：</w:t>
      </w:r>
    </w:p>
    <w:p w14:paraId="79BCB641">
      <w:pPr>
        <w:spacing w:before="84"/>
      </w:pPr>
    </w:p>
    <w:tbl>
      <w:tblPr>
        <w:tblStyle w:val="5"/>
        <w:tblW w:w="912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36"/>
        <w:gridCol w:w="1323"/>
        <w:gridCol w:w="1349"/>
        <w:gridCol w:w="1349"/>
        <w:gridCol w:w="1265"/>
      </w:tblGrid>
      <w:tr w14:paraId="1FA7F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3836" w:type="dxa"/>
            <w:tcBorders>
              <w:top w:val="single" w:color="000000" w:sz="4" w:space="0"/>
              <w:left w:val="single" w:color="000000" w:sz="4" w:space="0"/>
              <w:right w:val="single" w:color="000000" w:sz="4" w:space="0"/>
            </w:tcBorders>
            <w:vAlign w:val="top"/>
          </w:tcPr>
          <w:p w14:paraId="66B2352A">
            <w:pPr>
              <w:pStyle w:val="6"/>
              <w:spacing w:before="176" w:line="229" w:lineRule="auto"/>
              <w:ind w:left="1322"/>
              <w:rPr>
                <w:sz w:val="19"/>
                <w:szCs w:val="19"/>
              </w:rPr>
            </w:pPr>
            <w:r>
              <w:rPr>
                <w:spacing w:val="8"/>
                <w:sz w:val="19"/>
                <w:szCs w:val="19"/>
              </w:rPr>
              <w:t>建设项目名称</w:t>
            </w:r>
          </w:p>
        </w:tc>
        <w:tc>
          <w:tcPr>
            <w:tcW w:w="5286" w:type="dxa"/>
            <w:gridSpan w:val="4"/>
            <w:tcBorders>
              <w:top w:val="single" w:color="000000" w:sz="4" w:space="0"/>
              <w:left w:val="single" w:color="000000" w:sz="4" w:space="0"/>
              <w:right w:val="single" w:color="000000" w:sz="4" w:space="0"/>
            </w:tcBorders>
            <w:vAlign w:val="top"/>
          </w:tcPr>
          <w:p w14:paraId="56F351FF">
            <w:pPr>
              <w:rPr>
                <w:rFonts w:ascii="Arial"/>
                <w:sz w:val="21"/>
              </w:rPr>
            </w:pPr>
          </w:p>
        </w:tc>
      </w:tr>
      <w:tr w14:paraId="6BB37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3836" w:type="dxa"/>
            <w:tcBorders>
              <w:left w:val="single" w:color="000000" w:sz="4" w:space="0"/>
              <w:right w:val="single" w:color="000000" w:sz="4" w:space="0"/>
            </w:tcBorders>
            <w:vAlign w:val="top"/>
          </w:tcPr>
          <w:p w14:paraId="2C5E0E88">
            <w:pPr>
              <w:pStyle w:val="6"/>
              <w:spacing w:before="213" w:line="229" w:lineRule="auto"/>
              <w:ind w:left="1322"/>
              <w:rPr>
                <w:sz w:val="19"/>
                <w:szCs w:val="19"/>
              </w:rPr>
            </w:pPr>
            <w:r>
              <w:rPr>
                <w:spacing w:val="8"/>
                <w:sz w:val="19"/>
                <w:szCs w:val="19"/>
              </w:rPr>
              <w:t>单位工程名称</w:t>
            </w:r>
          </w:p>
        </w:tc>
        <w:tc>
          <w:tcPr>
            <w:tcW w:w="1323" w:type="dxa"/>
            <w:tcBorders>
              <w:left w:val="single" w:color="000000" w:sz="4" w:space="0"/>
              <w:right w:val="single" w:color="000000" w:sz="4" w:space="0"/>
            </w:tcBorders>
            <w:vAlign w:val="top"/>
          </w:tcPr>
          <w:p w14:paraId="6F1CB450">
            <w:pPr>
              <w:pStyle w:val="6"/>
              <w:spacing w:before="57" w:line="272" w:lineRule="auto"/>
              <w:ind w:left="464" w:right="258" w:hanging="198"/>
              <w:rPr>
                <w:sz w:val="19"/>
                <w:szCs w:val="19"/>
              </w:rPr>
            </w:pPr>
            <w:r>
              <w:rPr>
                <w:spacing w:val="7"/>
                <w:sz w:val="19"/>
                <w:szCs w:val="19"/>
              </w:rPr>
              <w:t>投标合计</w:t>
            </w:r>
            <w:r>
              <w:rPr>
                <w:spacing w:val="4"/>
                <w:sz w:val="19"/>
                <w:szCs w:val="19"/>
              </w:rPr>
              <w:t>金额</w:t>
            </w:r>
          </w:p>
        </w:tc>
        <w:tc>
          <w:tcPr>
            <w:tcW w:w="1349" w:type="dxa"/>
            <w:tcBorders>
              <w:left w:val="single" w:color="000000" w:sz="4" w:space="0"/>
            </w:tcBorders>
            <w:vAlign w:val="top"/>
          </w:tcPr>
          <w:p w14:paraId="7A8F6B9C">
            <w:pPr>
              <w:pStyle w:val="6"/>
              <w:spacing w:before="57" w:line="227" w:lineRule="auto"/>
              <w:ind w:left="177"/>
              <w:rPr>
                <w:sz w:val="19"/>
                <w:szCs w:val="19"/>
              </w:rPr>
            </w:pPr>
            <w:r>
              <w:rPr>
                <w:spacing w:val="7"/>
                <w:sz w:val="19"/>
                <w:szCs w:val="19"/>
              </w:rPr>
              <w:t>招标控制价</w:t>
            </w:r>
          </w:p>
          <w:p w14:paraId="407E75BF">
            <w:pPr>
              <w:pStyle w:val="6"/>
              <w:spacing w:before="78" w:line="228" w:lineRule="auto"/>
              <w:ind w:left="193"/>
              <w:rPr>
                <w:sz w:val="19"/>
                <w:szCs w:val="19"/>
              </w:rPr>
            </w:pPr>
            <w:r>
              <w:rPr>
                <w:spacing w:val="4"/>
                <w:sz w:val="19"/>
                <w:szCs w:val="19"/>
              </w:rPr>
              <w:t>的合计金额</w:t>
            </w:r>
          </w:p>
        </w:tc>
        <w:tc>
          <w:tcPr>
            <w:tcW w:w="1349" w:type="dxa"/>
            <w:tcBorders>
              <w:right w:val="single" w:color="000000" w:sz="4" w:space="0"/>
            </w:tcBorders>
            <w:vAlign w:val="top"/>
          </w:tcPr>
          <w:p w14:paraId="1273492A">
            <w:pPr>
              <w:pStyle w:val="6"/>
              <w:spacing w:before="213" w:line="227" w:lineRule="auto"/>
              <w:ind w:left="282"/>
              <w:rPr>
                <w:sz w:val="19"/>
                <w:szCs w:val="19"/>
              </w:rPr>
            </w:pPr>
            <w:r>
              <w:rPr>
                <w:spacing w:val="7"/>
                <w:sz w:val="19"/>
                <w:szCs w:val="19"/>
              </w:rPr>
              <w:t>偏离幅度</w:t>
            </w:r>
          </w:p>
        </w:tc>
        <w:tc>
          <w:tcPr>
            <w:tcW w:w="1265" w:type="dxa"/>
            <w:tcBorders>
              <w:left w:val="single" w:color="000000" w:sz="4" w:space="0"/>
              <w:right w:val="single" w:color="000000" w:sz="4" w:space="0"/>
            </w:tcBorders>
            <w:vAlign w:val="top"/>
          </w:tcPr>
          <w:p w14:paraId="70B3AD83">
            <w:pPr>
              <w:pStyle w:val="6"/>
              <w:spacing w:before="213" w:line="230" w:lineRule="auto"/>
              <w:ind w:left="437"/>
              <w:rPr>
                <w:sz w:val="19"/>
                <w:szCs w:val="19"/>
              </w:rPr>
            </w:pPr>
            <w:r>
              <w:rPr>
                <w:spacing w:val="4"/>
                <w:sz w:val="19"/>
                <w:szCs w:val="19"/>
              </w:rPr>
              <w:t>备注</w:t>
            </w:r>
          </w:p>
        </w:tc>
      </w:tr>
      <w:tr w14:paraId="259D6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3836" w:type="dxa"/>
            <w:tcBorders>
              <w:left w:val="single" w:color="000000" w:sz="4" w:space="0"/>
              <w:right w:val="single" w:color="000000" w:sz="4" w:space="0"/>
            </w:tcBorders>
            <w:vAlign w:val="top"/>
          </w:tcPr>
          <w:p w14:paraId="0F1FFEC6">
            <w:pPr>
              <w:rPr>
                <w:rFonts w:ascii="Arial"/>
                <w:sz w:val="21"/>
              </w:rPr>
            </w:pPr>
          </w:p>
        </w:tc>
        <w:tc>
          <w:tcPr>
            <w:tcW w:w="1323" w:type="dxa"/>
            <w:tcBorders>
              <w:left w:val="single" w:color="000000" w:sz="4" w:space="0"/>
              <w:right w:val="single" w:color="000000" w:sz="4" w:space="0"/>
            </w:tcBorders>
            <w:vAlign w:val="top"/>
          </w:tcPr>
          <w:p w14:paraId="31B2D626">
            <w:pPr>
              <w:rPr>
                <w:rFonts w:ascii="Arial"/>
                <w:sz w:val="21"/>
              </w:rPr>
            </w:pPr>
          </w:p>
        </w:tc>
        <w:tc>
          <w:tcPr>
            <w:tcW w:w="1349" w:type="dxa"/>
            <w:tcBorders>
              <w:left w:val="single" w:color="000000" w:sz="4" w:space="0"/>
            </w:tcBorders>
            <w:vAlign w:val="top"/>
          </w:tcPr>
          <w:p w14:paraId="0AE98E2A">
            <w:pPr>
              <w:rPr>
                <w:rFonts w:ascii="Arial"/>
                <w:sz w:val="21"/>
              </w:rPr>
            </w:pPr>
          </w:p>
        </w:tc>
        <w:tc>
          <w:tcPr>
            <w:tcW w:w="1349" w:type="dxa"/>
            <w:tcBorders>
              <w:right w:val="single" w:color="000000" w:sz="4" w:space="0"/>
            </w:tcBorders>
            <w:vAlign w:val="top"/>
          </w:tcPr>
          <w:p w14:paraId="7D007875">
            <w:pPr>
              <w:rPr>
                <w:rFonts w:ascii="Arial"/>
                <w:sz w:val="21"/>
              </w:rPr>
            </w:pPr>
          </w:p>
        </w:tc>
        <w:tc>
          <w:tcPr>
            <w:tcW w:w="1265" w:type="dxa"/>
            <w:tcBorders>
              <w:left w:val="single" w:color="000000" w:sz="4" w:space="0"/>
              <w:right w:val="single" w:color="000000" w:sz="4" w:space="0"/>
            </w:tcBorders>
            <w:vAlign w:val="top"/>
          </w:tcPr>
          <w:p w14:paraId="656D73B8">
            <w:pPr>
              <w:rPr>
                <w:rFonts w:ascii="Arial"/>
                <w:sz w:val="21"/>
              </w:rPr>
            </w:pPr>
          </w:p>
        </w:tc>
      </w:tr>
      <w:tr w14:paraId="6B199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3836" w:type="dxa"/>
            <w:tcBorders>
              <w:left w:val="single" w:color="000000" w:sz="4" w:space="0"/>
              <w:right w:val="single" w:color="000000" w:sz="4" w:space="0"/>
            </w:tcBorders>
            <w:vAlign w:val="top"/>
          </w:tcPr>
          <w:p w14:paraId="362297DD">
            <w:pPr>
              <w:rPr>
                <w:rFonts w:ascii="Arial"/>
                <w:sz w:val="21"/>
              </w:rPr>
            </w:pPr>
          </w:p>
        </w:tc>
        <w:tc>
          <w:tcPr>
            <w:tcW w:w="1323" w:type="dxa"/>
            <w:tcBorders>
              <w:left w:val="single" w:color="000000" w:sz="4" w:space="0"/>
              <w:right w:val="single" w:color="000000" w:sz="4" w:space="0"/>
            </w:tcBorders>
            <w:vAlign w:val="top"/>
          </w:tcPr>
          <w:p w14:paraId="44B53CCA">
            <w:pPr>
              <w:rPr>
                <w:rFonts w:ascii="Arial"/>
                <w:sz w:val="21"/>
              </w:rPr>
            </w:pPr>
          </w:p>
        </w:tc>
        <w:tc>
          <w:tcPr>
            <w:tcW w:w="1349" w:type="dxa"/>
            <w:tcBorders>
              <w:left w:val="single" w:color="000000" w:sz="4" w:space="0"/>
            </w:tcBorders>
            <w:vAlign w:val="top"/>
          </w:tcPr>
          <w:p w14:paraId="29B65262">
            <w:pPr>
              <w:rPr>
                <w:rFonts w:ascii="Arial"/>
                <w:sz w:val="21"/>
              </w:rPr>
            </w:pPr>
          </w:p>
        </w:tc>
        <w:tc>
          <w:tcPr>
            <w:tcW w:w="1349" w:type="dxa"/>
            <w:tcBorders>
              <w:right w:val="single" w:color="000000" w:sz="4" w:space="0"/>
            </w:tcBorders>
            <w:vAlign w:val="top"/>
          </w:tcPr>
          <w:p w14:paraId="60D8F5C7">
            <w:pPr>
              <w:rPr>
                <w:rFonts w:ascii="Arial"/>
                <w:sz w:val="21"/>
              </w:rPr>
            </w:pPr>
          </w:p>
        </w:tc>
        <w:tc>
          <w:tcPr>
            <w:tcW w:w="1265" w:type="dxa"/>
            <w:tcBorders>
              <w:left w:val="single" w:color="000000" w:sz="4" w:space="0"/>
              <w:right w:val="single" w:color="000000" w:sz="4" w:space="0"/>
            </w:tcBorders>
            <w:vAlign w:val="top"/>
          </w:tcPr>
          <w:p w14:paraId="5D41D85D">
            <w:pPr>
              <w:rPr>
                <w:rFonts w:ascii="Arial"/>
                <w:sz w:val="21"/>
              </w:rPr>
            </w:pPr>
          </w:p>
        </w:tc>
      </w:tr>
      <w:tr w14:paraId="7D7D7A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3836" w:type="dxa"/>
            <w:tcBorders>
              <w:left w:val="single" w:color="000000" w:sz="4" w:space="0"/>
              <w:right w:val="single" w:color="000000" w:sz="4" w:space="0"/>
            </w:tcBorders>
            <w:vAlign w:val="top"/>
          </w:tcPr>
          <w:p w14:paraId="529B9B2E">
            <w:pPr>
              <w:rPr>
                <w:rFonts w:ascii="Arial"/>
                <w:sz w:val="21"/>
              </w:rPr>
            </w:pPr>
          </w:p>
        </w:tc>
        <w:tc>
          <w:tcPr>
            <w:tcW w:w="1323" w:type="dxa"/>
            <w:tcBorders>
              <w:left w:val="single" w:color="000000" w:sz="4" w:space="0"/>
              <w:right w:val="single" w:color="000000" w:sz="4" w:space="0"/>
            </w:tcBorders>
            <w:vAlign w:val="top"/>
          </w:tcPr>
          <w:p w14:paraId="3FB1EF98">
            <w:pPr>
              <w:rPr>
                <w:rFonts w:ascii="Arial"/>
                <w:sz w:val="21"/>
              </w:rPr>
            </w:pPr>
          </w:p>
        </w:tc>
        <w:tc>
          <w:tcPr>
            <w:tcW w:w="1349" w:type="dxa"/>
            <w:tcBorders>
              <w:left w:val="single" w:color="000000" w:sz="4" w:space="0"/>
            </w:tcBorders>
            <w:vAlign w:val="top"/>
          </w:tcPr>
          <w:p w14:paraId="29534660">
            <w:pPr>
              <w:rPr>
                <w:rFonts w:ascii="Arial"/>
                <w:sz w:val="21"/>
              </w:rPr>
            </w:pPr>
          </w:p>
        </w:tc>
        <w:tc>
          <w:tcPr>
            <w:tcW w:w="1349" w:type="dxa"/>
            <w:tcBorders>
              <w:right w:val="single" w:color="000000" w:sz="4" w:space="0"/>
            </w:tcBorders>
            <w:vAlign w:val="top"/>
          </w:tcPr>
          <w:p w14:paraId="40C01B41">
            <w:pPr>
              <w:rPr>
                <w:rFonts w:ascii="Arial"/>
                <w:sz w:val="21"/>
              </w:rPr>
            </w:pPr>
          </w:p>
        </w:tc>
        <w:tc>
          <w:tcPr>
            <w:tcW w:w="1265" w:type="dxa"/>
            <w:tcBorders>
              <w:left w:val="single" w:color="000000" w:sz="4" w:space="0"/>
              <w:right w:val="single" w:color="000000" w:sz="4" w:space="0"/>
            </w:tcBorders>
            <w:vAlign w:val="top"/>
          </w:tcPr>
          <w:p w14:paraId="7B62C7B2">
            <w:pPr>
              <w:rPr>
                <w:rFonts w:ascii="Arial"/>
                <w:sz w:val="21"/>
              </w:rPr>
            </w:pPr>
          </w:p>
        </w:tc>
      </w:tr>
      <w:tr w14:paraId="631A08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3836" w:type="dxa"/>
            <w:tcBorders>
              <w:left w:val="single" w:color="000000" w:sz="4" w:space="0"/>
              <w:right w:val="single" w:color="000000" w:sz="4" w:space="0"/>
            </w:tcBorders>
            <w:vAlign w:val="top"/>
          </w:tcPr>
          <w:p w14:paraId="0078EA37">
            <w:pPr>
              <w:rPr>
                <w:rFonts w:ascii="Arial"/>
                <w:sz w:val="21"/>
              </w:rPr>
            </w:pPr>
          </w:p>
        </w:tc>
        <w:tc>
          <w:tcPr>
            <w:tcW w:w="1323" w:type="dxa"/>
            <w:tcBorders>
              <w:left w:val="single" w:color="000000" w:sz="4" w:space="0"/>
              <w:right w:val="single" w:color="000000" w:sz="4" w:space="0"/>
            </w:tcBorders>
            <w:vAlign w:val="top"/>
          </w:tcPr>
          <w:p w14:paraId="7E2BAB15">
            <w:pPr>
              <w:rPr>
                <w:rFonts w:ascii="Arial"/>
                <w:sz w:val="21"/>
              </w:rPr>
            </w:pPr>
          </w:p>
        </w:tc>
        <w:tc>
          <w:tcPr>
            <w:tcW w:w="1349" w:type="dxa"/>
            <w:tcBorders>
              <w:left w:val="single" w:color="000000" w:sz="4" w:space="0"/>
            </w:tcBorders>
            <w:vAlign w:val="top"/>
          </w:tcPr>
          <w:p w14:paraId="1C23CBBE">
            <w:pPr>
              <w:rPr>
                <w:rFonts w:ascii="Arial"/>
                <w:sz w:val="21"/>
              </w:rPr>
            </w:pPr>
          </w:p>
        </w:tc>
        <w:tc>
          <w:tcPr>
            <w:tcW w:w="1349" w:type="dxa"/>
            <w:tcBorders>
              <w:right w:val="single" w:color="000000" w:sz="4" w:space="0"/>
            </w:tcBorders>
            <w:vAlign w:val="top"/>
          </w:tcPr>
          <w:p w14:paraId="19933087">
            <w:pPr>
              <w:rPr>
                <w:rFonts w:ascii="Arial"/>
                <w:sz w:val="21"/>
              </w:rPr>
            </w:pPr>
          </w:p>
        </w:tc>
        <w:tc>
          <w:tcPr>
            <w:tcW w:w="1265" w:type="dxa"/>
            <w:tcBorders>
              <w:left w:val="single" w:color="000000" w:sz="4" w:space="0"/>
              <w:right w:val="single" w:color="000000" w:sz="4" w:space="0"/>
            </w:tcBorders>
            <w:vAlign w:val="top"/>
          </w:tcPr>
          <w:p w14:paraId="190058CB">
            <w:pPr>
              <w:rPr>
                <w:rFonts w:ascii="Arial"/>
                <w:sz w:val="21"/>
              </w:rPr>
            </w:pPr>
          </w:p>
        </w:tc>
      </w:tr>
      <w:tr w14:paraId="4F306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3836" w:type="dxa"/>
            <w:tcBorders>
              <w:left w:val="single" w:color="000000" w:sz="4" w:space="0"/>
              <w:right w:val="single" w:color="000000" w:sz="4" w:space="0"/>
            </w:tcBorders>
            <w:vAlign w:val="top"/>
          </w:tcPr>
          <w:p w14:paraId="5DAA0655">
            <w:pPr>
              <w:rPr>
                <w:rFonts w:ascii="Arial"/>
                <w:sz w:val="21"/>
              </w:rPr>
            </w:pPr>
          </w:p>
        </w:tc>
        <w:tc>
          <w:tcPr>
            <w:tcW w:w="1323" w:type="dxa"/>
            <w:tcBorders>
              <w:left w:val="single" w:color="000000" w:sz="4" w:space="0"/>
              <w:right w:val="single" w:color="000000" w:sz="4" w:space="0"/>
            </w:tcBorders>
            <w:vAlign w:val="top"/>
          </w:tcPr>
          <w:p w14:paraId="64837610">
            <w:pPr>
              <w:rPr>
                <w:rFonts w:ascii="Arial"/>
                <w:sz w:val="21"/>
              </w:rPr>
            </w:pPr>
          </w:p>
        </w:tc>
        <w:tc>
          <w:tcPr>
            <w:tcW w:w="1349" w:type="dxa"/>
            <w:tcBorders>
              <w:left w:val="single" w:color="000000" w:sz="4" w:space="0"/>
            </w:tcBorders>
            <w:vAlign w:val="top"/>
          </w:tcPr>
          <w:p w14:paraId="0CC4BB9B">
            <w:pPr>
              <w:rPr>
                <w:rFonts w:ascii="Arial"/>
                <w:sz w:val="21"/>
              </w:rPr>
            </w:pPr>
          </w:p>
        </w:tc>
        <w:tc>
          <w:tcPr>
            <w:tcW w:w="1349" w:type="dxa"/>
            <w:tcBorders>
              <w:right w:val="single" w:color="000000" w:sz="4" w:space="0"/>
            </w:tcBorders>
            <w:vAlign w:val="top"/>
          </w:tcPr>
          <w:p w14:paraId="68BCBDCA">
            <w:pPr>
              <w:rPr>
                <w:rFonts w:ascii="Arial"/>
                <w:sz w:val="21"/>
              </w:rPr>
            </w:pPr>
          </w:p>
        </w:tc>
        <w:tc>
          <w:tcPr>
            <w:tcW w:w="1265" w:type="dxa"/>
            <w:tcBorders>
              <w:left w:val="single" w:color="000000" w:sz="4" w:space="0"/>
              <w:right w:val="single" w:color="000000" w:sz="4" w:space="0"/>
            </w:tcBorders>
            <w:vAlign w:val="top"/>
          </w:tcPr>
          <w:p w14:paraId="797568A7">
            <w:pPr>
              <w:rPr>
                <w:rFonts w:ascii="Arial"/>
                <w:sz w:val="21"/>
              </w:rPr>
            </w:pPr>
          </w:p>
        </w:tc>
      </w:tr>
      <w:tr w14:paraId="000169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36" w:type="dxa"/>
            <w:tcBorders>
              <w:left w:val="single" w:color="000000" w:sz="4" w:space="0"/>
              <w:bottom w:val="single" w:color="000000" w:sz="4" w:space="0"/>
              <w:right w:val="single" w:color="000000" w:sz="4" w:space="0"/>
            </w:tcBorders>
            <w:vAlign w:val="top"/>
          </w:tcPr>
          <w:p w14:paraId="45464E12">
            <w:pPr>
              <w:rPr>
                <w:rFonts w:ascii="Arial"/>
                <w:sz w:val="21"/>
              </w:rPr>
            </w:pPr>
          </w:p>
        </w:tc>
        <w:tc>
          <w:tcPr>
            <w:tcW w:w="1323" w:type="dxa"/>
            <w:tcBorders>
              <w:left w:val="single" w:color="000000" w:sz="4" w:space="0"/>
              <w:bottom w:val="single" w:color="000000" w:sz="4" w:space="0"/>
              <w:right w:val="single" w:color="000000" w:sz="4" w:space="0"/>
            </w:tcBorders>
            <w:vAlign w:val="top"/>
          </w:tcPr>
          <w:p w14:paraId="181FFF10">
            <w:pPr>
              <w:rPr>
                <w:rFonts w:ascii="Arial"/>
                <w:sz w:val="21"/>
              </w:rPr>
            </w:pPr>
          </w:p>
        </w:tc>
        <w:tc>
          <w:tcPr>
            <w:tcW w:w="1349" w:type="dxa"/>
            <w:tcBorders>
              <w:left w:val="single" w:color="000000" w:sz="4" w:space="0"/>
              <w:bottom w:val="single" w:color="000000" w:sz="4" w:space="0"/>
            </w:tcBorders>
            <w:vAlign w:val="top"/>
          </w:tcPr>
          <w:p w14:paraId="1566B406">
            <w:pPr>
              <w:rPr>
                <w:rFonts w:ascii="Arial"/>
                <w:sz w:val="21"/>
              </w:rPr>
            </w:pPr>
          </w:p>
        </w:tc>
        <w:tc>
          <w:tcPr>
            <w:tcW w:w="1349" w:type="dxa"/>
            <w:tcBorders>
              <w:bottom w:val="single" w:color="000000" w:sz="4" w:space="0"/>
              <w:right w:val="single" w:color="000000" w:sz="4" w:space="0"/>
            </w:tcBorders>
            <w:vAlign w:val="top"/>
          </w:tcPr>
          <w:p w14:paraId="02CCB839">
            <w:pPr>
              <w:rPr>
                <w:rFonts w:ascii="Arial"/>
                <w:sz w:val="21"/>
              </w:rPr>
            </w:pPr>
          </w:p>
        </w:tc>
        <w:tc>
          <w:tcPr>
            <w:tcW w:w="1265" w:type="dxa"/>
            <w:tcBorders>
              <w:left w:val="single" w:color="000000" w:sz="4" w:space="0"/>
              <w:bottom w:val="single" w:color="000000" w:sz="4" w:space="0"/>
              <w:right w:val="single" w:color="000000" w:sz="4" w:space="0"/>
            </w:tcBorders>
            <w:vAlign w:val="top"/>
          </w:tcPr>
          <w:p w14:paraId="29371D1E">
            <w:pPr>
              <w:rPr>
                <w:rFonts w:ascii="Arial"/>
                <w:sz w:val="21"/>
              </w:rPr>
            </w:pPr>
          </w:p>
        </w:tc>
      </w:tr>
    </w:tbl>
    <w:p w14:paraId="6AA7C26D">
      <w:pPr>
        <w:spacing w:line="402" w:lineRule="auto"/>
        <w:rPr>
          <w:rFonts w:ascii="Arial"/>
          <w:sz w:val="21"/>
        </w:rPr>
      </w:pPr>
    </w:p>
    <w:p w14:paraId="2012788A">
      <w:pPr>
        <w:spacing w:before="65" w:line="227" w:lineRule="auto"/>
        <w:ind w:left="372"/>
        <w:outlineLvl w:val="1"/>
        <w:rPr>
          <w:rFonts w:ascii="宋体" w:hAnsi="宋体" w:eastAsia="宋体" w:cs="宋体"/>
          <w:sz w:val="20"/>
          <w:szCs w:val="20"/>
        </w:rPr>
      </w:pPr>
      <w:r>
        <w:rPr>
          <w:rFonts w:ascii="宋体" w:hAnsi="宋体" w:eastAsia="宋体" w:cs="宋体"/>
          <w:spacing w:val="4"/>
          <w:sz w:val="20"/>
          <w:szCs w:val="20"/>
        </w:rPr>
        <w:t>评标委员会成员签名：</w:t>
      </w:r>
      <w:r>
        <w:rPr>
          <w:rFonts w:ascii="宋体" w:hAnsi="宋体" w:eastAsia="宋体" w:cs="宋体"/>
          <w:spacing w:val="1"/>
          <w:sz w:val="20"/>
          <w:szCs w:val="20"/>
        </w:rPr>
        <w:t xml:space="preserve">                          </w:t>
      </w:r>
      <w:r>
        <w:rPr>
          <w:rFonts w:ascii="宋体" w:hAnsi="宋体" w:eastAsia="宋体" w:cs="宋体"/>
          <w:sz w:val="20"/>
          <w:szCs w:val="20"/>
        </w:rPr>
        <w:t xml:space="preserve">         </w:t>
      </w:r>
      <w:r>
        <w:rPr>
          <w:rFonts w:ascii="宋体" w:hAnsi="宋体" w:eastAsia="宋体" w:cs="宋体"/>
          <w:spacing w:val="4"/>
          <w:sz w:val="20"/>
          <w:szCs w:val="20"/>
        </w:rPr>
        <w:t>日期：</w:t>
      </w:r>
      <w:r>
        <w:rPr>
          <w:rFonts w:ascii="宋体" w:hAnsi="宋体" w:eastAsia="宋体" w:cs="宋体"/>
          <w:spacing w:val="9"/>
          <w:sz w:val="20"/>
          <w:szCs w:val="20"/>
        </w:rPr>
        <w:t xml:space="preserve">     </w:t>
      </w:r>
      <w:r>
        <w:rPr>
          <w:rFonts w:ascii="宋体" w:hAnsi="宋体" w:eastAsia="宋体" w:cs="宋体"/>
          <w:spacing w:val="4"/>
          <w:sz w:val="20"/>
          <w:szCs w:val="20"/>
        </w:rPr>
        <w:t>年     月</w:t>
      </w:r>
      <w:r>
        <w:rPr>
          <w:rFonts w:ascii="宋体" w:hAnsi="宋体" w:eastAsia="宋体" w:cs="宋体"/>
          <w:spacing w:val="14"/>
          <w:sz w:val="20"/>
          <w:szCs w:val="20"/>
        </w:rPr>
        <w:t xml:space="preserve">     </w:t>
      </w:r>
      <w:r>
        <w:rPr>
          <w:rFonts w:ascii="宋体" w:hAnsi="宋体" w:eastAsia="宋体" w:cs="宋体"/>
          <w:spacing w:val="4"/>
          <w:sz w:val="20"/>
          <w:szCs w:val="20"/>
        </w:rPr>
        <w:t>日</w:t>
      </w:r>
    </w:p>
    <w:p w14:paraId="7DA4FC43">
      <w:pPr>
        <w:spacing w:line="227" w:lineRule="auto"/>
        <w:rPr>
          <w:rFonts w:ascii="宋体" w:hAnsi="宋体" w:eastAsia="宋体" w:cs="宋体"/>
          <w:sz w:val="20"/>
          <w:szCs w:val="20"/>
        </w:rPr>
        <w:sectPr>
          <w:footerReference r:id="rId158" w:type="default"/>
          <w:pgSz w:w="11906" w:h="16839"/>
          <w:pgMar w:top="400" w:right="1398" w:bottom="1038" w:left="1374" w:header="0" w:footer="787" w:gutter="0"/>
          <w:cols w:space="720" w:num="1"/>
        </w:sectPr>
      </w:pPr>
    </w:p>
    <w:p w14:paraId="1E48E160">
      <w:pPr>
        <w:spacing w:line="261" w:lineRule="auto"/>
        <w:rPr>
          <w:rFonts w:ascii="Arial"/>
          <w:sz w:val="21"/>
        </w:rPr>
      </w:pPr>
    </w:p>
    <w:p w14:paraId="783CE0D2">
      <w:pPr>
        <w:spacing w:line="262" w:lineRule="auto"/>
        <w:rPr>
          <w:rFonts w:ascii="Arial"/>
          <w:sz w:val="21"/>
        </w:rPr>
      </w:pPr>
    </w:p>
    <w:p w14:paraId="2364A007">
      <w:pPr>
        <w:spacing w:line="262" w:lineRule="auto"/>
        <w:rPr>
          <w:rFonts w:ascii="Arial"/>
          <w:sz w:val="21"/>
        </w:rPr>
      </w:pPr>
    </w:p>
    <w:p w14:paraId="43BD7683">
      <w:pPr>
        <w:spacing w:line="262" w:lineRule="auto"/>
        <w:rPr>
          <w:rFonts w:ascii="Arial"/>
          <w:sz w:val="21"/>
        </w:rPr>
      </w:pPr>
    </w:p>
    <w:p w14:paraId="004A95DE">
      <w:pPr>
        <w:pStyle w:val="2"/>
        <w:spacing w:before="78" w:line="222" w:lineRule="auto"/>
        <w:ind w:left="135"/>
        <w:rPr>
          <w:sz w:val="24"/>
          <w:szCs w:val="24"/>
        </w:rPr>
      </w:pPr>
      <w:r>
        <w:rPr>
          <w:spacing w:val="-4"/>
          <w:sz w:val="24"/>
          <w:szCs w:val="24"/>
        </w:rPr>
        <w:t>附表</w:t>
      </w:r>
      <w:r>
        <w:rPr>
          <w:spacing w:val="-53"/>
          <w:sz w:val="24"/>
          <w:szCs w:val="24"/>
        </w:rPr>
        <w:t xml:space="preserve"> </w:t>
      </w:r>
      <w:r>
        <w:rPr>
          <w:rFonts w:ascii="Times New Roman" w:hAnsi="Times New Roman" w:eastAsia="Times New Roman" w:cs="Times New Roman"/>
          <w:spacing w:val="-4"/>
          <w:sz w:val="24"/>
          <w:szCs w:val="24"/>
        </w:rPr>
        <w:t>D-</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w:t>
      </w:r>
      <w:r>
        <w:rPr>
          <w:spacing w:val="-4"/>
          <w:sz w:val="24"/>
          <w:szCs w:val="24"/>
        </w:rPr>
        <w:t>：成本评审结论记录表</w:t>
      </w:r>
    </w:p>
    <w:p w14:paraId="1CA8F400">
      <w:pPr>
        <w:spacing w:line="360" w:lineRule="auto"/>
        <w:rPr>
          <w:rFonts w:ascii="Arial"/>
          <w:sz w:val="21"/>
        </w:rPr>
      </w:pPr>
    </w:p>
    <w:p w14:paraId="4B459388">
      <w:pPr>
        <w:pStyle w:val="2"/>
        <w:spacing w:before="101" w:line="396" w:lineRule="auto"/>
        <w:ind w:left="123" w:right="2768" w:firstLine="2968"/>
        <w:rPr>
          <w:rFonts w:ascii="宋体" w:hAnsi="宋体" w:eastAsia="宋体" w:cs="宋体"/>
          <w:sz w:val="20"/>
          <w:szCs w:val="20"/>
        </w:rPr>
      </w:pPr>
      <w:bookmarkStart w:id="211" w:name="bookmark192"/>
      <w:bookmarkEnd w:id="211"/>
      <w:r>
        <w:rPr>
          <w:spacing w:val="8"/>
          <w:sz w:val="31"/>
          <w:szCs w:val="31"/>
        </w:rPr>
        <w:t>成本评审结论记录表</w:t>
      </w:r>
      <w:r>
        <w:rPr>
          <w:rFonts w:ascii="宋体" w:hAnsi="宋体" w:eastAsia="宋体" w:cs="宋体"/>
          <w:spacing w:val="6"/>
          <w:sz w:val="20"/>
          <w:szCs w:val="20"/>
        </w:rPr>
        <w:t>投标人名称：</w:t>
      </w:r>
    </w:p>
    <w:tbl>
      <w:tblPr>
        <w:tblStyle w:val="5"/>
        <w:tblW w:w="87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2"/>
        <w:gridCol w:w="7532"/>
      </w:tblGrid>
      <w:tr w14:paraId="11E6A5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9" w:hRule="atLeast"/>
        </w:trPr>
        <w:tc>
          <w:tcPr>
            <w:tcW w:w="8724" w:type="dxa"/>
            <w:gridSpan w:val="2"/>
            <w:vAlign w:val="top"/>
          </w:tcPr>
          <w:p w14:paraId="06527E8E">
            <w:pPr>
              <w:pStyle w:val="6"/>
              <w:spacing w:before="150" w:line="228" w:lineRule="auto"/>
              <w:ind w:left="127"/>
            </w:pPr>
            <w:r>
              <w:rPr>
                <w:spacing w:val="8"/>
              </w:rPr>
              <w:t>需投标人澄清和说明的主要事项概要：</w:t>
            </w:r>
          </w:p>
        </w:tc>
      </w:tr>
      <w:tr w14:paraId="60D8A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4" w:hRule="atLeast"/>
        </w:trPr>
        <w:tc>
          <w:tcPr>
            <w:tcW w:w="8724" w:type="dxa"/>
            <w:gridSpan w:val="2"/>
            <w:vAlign w:val="top"/>
          </w:tcPr>
          <w:p w14:paraId="0F8FDFDA">
            <w:pPr>
              <w:pStyle w:val="6"/>
              <w:spacing w:before="147" w:line="227" w:lineRule="auto"/>
              <w:ind w:left="118"/>
            </w:pPr>
            <w:r>
              <w:rPr>
                <w:spacing w:val="9"/>
              </w:rPr>
              <w:t>投标人澄清、说明、补正和提供证明材料的情况说明：</w:t>
            </w:r>
          </w:p>
        </w:tc>
      </w:tr>
      <w:tr w14:paraId="1DDB5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1192" w:type="dxa"/>
            <w:vAlign w:val="top"/>
          </w:tcPr>
          <w:p w14:paraId="33BEAF4D">
            <w:pPr>
              <w:pStyle w:val="6"/>
              <w:spacing w:before="280" w:line="228" w:lineRule="auto"/>
              <w:ind w:left="180"/>
            </w:pPr>
            <w:r>
              <w:rPr>
                <w:spacing w:val="7"/>
              </w:rPr>
              <w:t>评审结论</w:t>
            </w:r>
          </w:p>
        </w:tc>
        <w:tc>
          <w:tcPr>
            <w:tcW w:w="7532" w:type="dxa"/>
            <w:vAlign w:val="top"/>
          </w:tcPr>
          <w:p w14:paraId="0CD067FC">
            <w:pPr>
              <w:pStyle w:val="6"/>
              <w:spacing w:before="280" w:line="227" w:lineRule="auto"/>
              <w:ind w:left="447"/>
            </w:pPr>
            <w:r>
              <w:rPr>
                <w:spacing w:val="4"/>
              </w:rPr>
              <w:t>□低于成本</w:t>
            </w:r>
            <w:r>
              <w:rPr>
                <w:spacing w:val="12"/>
              </w:rPr>
              <w:t xml:space="preserve">     </w:t>
            </w:r>
            <w:r>
              <w:rPr>
                <w:spacing w:val="4"/>
              </w:rPr>
              <w:t>□不低于成本</w:t>
            </w:r>
          </w:p>
        </w:tc>
      </w:tr>
      <w:tr w14:paraId="2CB15C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2" w:hRule="atLeast"/>
        </w:trPr>
        <w:tc>
          <w:tcPr>
            <w:tcW w:w="1192" w:type="dxa"/>
            <w:textDirection w:val="tbRlV"/>
            <w:vAlign w:val="top"/>
          </w:tcPr>
          <w:p w14:paraId="2257969A">
            <w:pPr>
              <w:spacing w:line="409" w:lineRule="auto"/>
              <w:rPr>
                <w:rFonts w:ascii="Arial"/>
                <w:sz w:val="21"/>
              </w:rPr>
            </w:pPr>
          </w:p>
          <w:p w14:paraId="4559D530">
            <w:pPr>
              <w:pStyle w:val="6"/>
              <w:spacing w:before="67" w:line="216" w:lineRule="auto"/>
              <w:ind w:left="1102"/>
            </w:pPr>
            <w:r>
              <w:rPr>
                <w:spacing w:val="6"/>
              </w:rPr>
              <w:t>评 审 意 见 概 要</w:t>
            </w:r>
          </w:p>
        </w:tc>
        <w:tc>
          <w:tcPr>
            <w:tcW w:w="7532" w:type="dxa"/>
            <w:vAlign w:val="top"/>
          </w:tcPr>
          <w:p w14:paraId="68695226">
            <w:pPr>
              <w:rPr>
                <w:rFonts w:ascii="Arial"/>
                <w:sz w:val="21"/>
              </w:rPr>
            </w:pPr>
          </w:p>
        </w:tc>
      </w:tr>
      <w:tr w14:paraId="210F34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0" w:hRule="atLeast"/>
        </w:trPr>
        <w:tc>
          <w:tcPr>
            <w:tcW w:w="1192" w:type="dxa"/>
            <w:textDirection w:val="tbRlV"/>
            <w:vAlign w:val="top"/>
          </w:tcPr>
          <w:p w14:paraId="4471B332">
            <w:pPr>
              <w:spacing w:line="408" w:lineRule="auto"/>
              <w:rPr>
                <w:rFonts w:ascii="Arial"/>
                <w:sz w:val="21"/>
              </w:rPr>
            </w:pPr>
          </w:p>
          <w:p w14:paraId="375A0136">
            <w:pPr>
              <w:pStyle w:val="6"/>
              <w:spacing w:before="67" w:line="216" w:lineRule="auto"/>
              <w:ind w:left="55"/>
            </w:pPr>
            <w:r>
              <w:rPr>
                <w:spacing w:val="6"/>
              </w:rPr>
              <w:t>评 标 委 员 会 全 体 成 员 签 名</w:t>
            </w:r>
          </w:p>
        </w:tc>
        <w:tc>
          <w:tcPr>
            <w:tcW w:w="7532" w:type="dxa"/>
            <w:vAlign w:val="top"/>
          </w:tcPr>
          <w:p w14:paraId="4DE36ABB">
            <w:pPr>
              <w:spacing w:line="244" w:lineRule="auto"/>
              <w:rPr>
                <w:rFonts w:ascii="Arial"/>
                <w:sz w:val="21"/>
              </w:rPr>
            </w:pPr>
          </w:p>
          <w:p w14:paraId="4DB180F8">
            <w:pPr>
              <w:spacing w:line="244" w:lineRule="auto"/>
              <w:rPr>
                <w:rFonts w:ascii="Arial"/>
                <w:sz w:val="21"/>
              </w:rPr>
            </w:pPr>
          </w:p>
          <w:p w14:paraId="2098CE13">
            <w:pPr>
              <w:spacing w:line="244" w:lineRule="auto"/>
              <w:rPr>
                <w:rFonts w:ascii="Arial"/>
                <w:sz w:val="21"/>
              </w:rPr>
            </w:pPr>
          </w:p>
          <w:p w14:paraId="7016D8AE">
            <w:pPr>
              <w:spacing w:line="244" w:lineRule="auto"/>
              <w:rPr>
                <w:rFonts w:ascii="Arial"/>
                <w:sz w:val="21"/>
              </w:rPr>
            </w:pPr>
          </w:p>
          <w:p w14:paraId="6678C4DA">
            <w:pPr>
              <w:spacing w:line="245" w:lineRule="auto"/>
              <w:rPr>
                <w:rFonts w:ascii="Arial"/>
                <w:sz w:val="21"/>
              </w:rPr>
            </w:pPr>
          </w:p>
          <w:p w14:paraId="09DCCF64">
            <w:pPr>
              <w:spacing w:line="245" w:lineRule="auto"/>
              <w:rPr>
                <w:rFonts w:ascii="Arial"/>
                <w:sz w:val="21"/>
              </w:rPr>
            </w:pPr>
          </w:p>
          <w:p w14:paraId="399ABC86">
            <w:pPr>
              <w:spacing w:line="245" w:lineRule="auto"/>
              <w:rPr>
                <w:rFonts w:ascii="Arial"/>
                <w:sz w:val="21"/>
              </w:rPr>
            </w:pPr>
          </w:p>
          <w:p w14:paraId="6FC00C1A">
            <w:pPr>
              <w:spacing w:line="245" w:lineRule="auto"/>
              <w:rPr>
                <w:rFonts w:ascii="Arial"/>
                <w:sz w:val="21"/>
              </w:rPr>
            </w:pPr>
          </w:p>
          <w:p w14:paraId="0318F19E">
            <w:pPr>
              <w:spacing w:line="245" w:lineRule="auto"/>
              <w:rPr>
                <w:rFonts w:ascii="Arial"/>
                <w:sz w:val="21"/>
              </w:rPr>
            </w:pPr>
          </w:p>
          <w:p w14:paraId="67FC15A0">
            <w:pPr>
              <w:spacing w:line="245" w:lineRule="auto"/>
              <w:rPr>
                <w:rFonts w:ascii="Arial"/>
                <w:sz w:val="21"/>
              </w:rPr>
            </w:pPr>
          </w:p>
          <w:p w14:paraId="18E09A16">
            <w:pPr>
              <w:spacing w:line="245" w:lineRule="auto"/>
              <w:rPr>
                <w:rFonts w:ascii="Arial"/>
                <w:sz w:val="21"/>
              </w:rPr>
            </w:pPr>
          </w:p>
          <w:p w14:paraId="23E0BE3E">
            <w:pPr>
              <w:spacing w:line="245" w:lineRule="auto"/>
              <w:rPr>
                <w:rFonts w:ascii="Arial"/>
                <w:sz w:val="21"/>
              </w:rPr>
            </w:pPr>
          </w:p>
          <w:p w14:paraId="17906EFE">
            <w:pPr>
              <w:pStyle w:val="6"/>
              <w:spacing w:before="65" w:line="228" w:lineRule="auto"/>
              <w:ind w:left="5433"/>
            </w:pPr>
            <w:r>
              <w:rPr>
                <w:spacing w:val="-2"/>
              </w:rPr>
              <w:t>年</w:t>
            </w:r>
            <w:r>
              <w:rPr>
                <w:spacing w:val="10"/>
              </w:rPr>
              <w:t xml:space="preserve">   </w:t>
            </w:r>
            <w:r>
              <w:rPr>
                <w:spacing w:val="-2"/>
              </w:rPr>
              <w:t>月</w:t>
            </w:r>
            <w:r>
              <w:rPr>
                <w:spacing w:val="19"/>
              </w:rPr>
              <w:t xml:space="preserve">   </w:t>
            </w:r>
            <w:r>
              <w:rPr>
                <w:spacing w:val="-2"/>
              </w:rPr>
              <w:t>日</w:t>
            </w:r>
          </w:p>
        </w:tc>
      </w:tr>
    </w:tbl>
    <w:p w14:paraId="33DB767B">
      <w:pPr>
        <w:rPr>
          <w:rFonts w:ascii="Arial"/>
          <w:sz w:val="21"/>
        </w:rPr>
      </w:pPr>
    </w:p>
    <w:p w14:paraId="70BB760E">
      <w:pPr>
        <w:rPr>
          <w:rFonts w:ascii="Arial" w:hAnsi="Arial" w:eastAsia="Arial" w:cs="Arial"/>
          <w:sz w:val="21"/>
          <w:szCs w:val="21"/>
        </w:rPr>
        <w:sectPr>
          <w:footerReference r:id="rId159" w:type="default"/>
          <w:pgSz w:w="11906" w:h="16839"/>
          <w:pgMar w:top="400" w:right="1758" w:bottom="1038" w:left="1418" w:header="0" w:footer="787" w:gutter="0"/>
          <w:cols w:space="720" w:num="1"/>
        </w:sectPr>
      </w:pPr>
    </w:p>
    <w:p w14:paraId="1FAAA68C">
      <w:pPr>
        <w:spacing w:line="249" w:lineRule="auto"/>
        <w:rPr>
          <w:rFonts w:ascii="Arial"/>
          <w:sz w:val="21"/>
        </w:rPr>
      </w:pPr>
    </w:p>
    <w:p w14:paraId="3A724FAB">
      <w:pPr>
        <w:spacing w:line="250" w:lineRule="auto"/>
        <w:rPr>
          <w:rFonts w:ascii="Arial"/>
          <w:sz w:val="21"/>
        </w:rPr>
      </w:pPr>
    </w:p>
    <w:p w14:paraId="11B68EA4">
      <w:pPr>
        <w:spacing w:line="250" w:lineRule="auto"/>
        <w:rPr>
          <w:rFonts w:ascii="Arial"/>
          <w:sz w:val="21"/>
        </w:rPr>
      </w:pPr>
    </w:p>
    <w:p w14:paraId="165370AA">
      <w:pPr>
        <w:spacing w:line="250" w:lineRule="auto"/>
        <w:rPr>
          <w:rFonts w:ascii="Arial"/>
          <w:sz w:val="21"/>
        </w:rPr>
      </w:pPr>
    </w:p>
    <w:p w14:paraId="786B6EEF">
      <w:pPr>
        <w:spacing w:line="250" w:lineRule="auto"/>
        <w:rPr>
          <w:rFonts w:ascii="Arial"/>
          <w:sz w:val="21"/>
        </w:rPr>
      </w:pPr>
    </w:p>
    <w:p w14:paraId="018673D0">
      <w:pPr>
        <w:spacing w:line="250" w:lineRule="auto"/>
        <w:rPr>
          <w:rFonts w:ascii="Arial"/>
          <w:sz w:val="21"/>
        </w:rPr>
      </w:pPr>
    </w:p>
    <w:p w14:paraId="71ABB609">
      <w:pPr>
        <w:spacing w:line="250" w:lineRule="auto"/>
        <w:rPr>
          <w:rFonts w:ascii="Arial"/>
          <w:sz w:val="21"/>
        </w:rPr>
      </w:pPr>
    </w:p>
    <w:p w14:paraId="1101F20A">
      <w:pPr>
        <w:spacing w:line="250" w:lineRule="auto"/>
        <w:rPr>
          <w:rFonts w:ascii="Arial"/>
          <w:sz w:val="21"/>
        </w:rPr>
      </w:pPr>
    </w:p>
    <w:p w14:paraId="29EE2B12">
      <w:pPr>
        <w:spacing w:line="250" w:lineRule="auto"/>
        <w:rPr>
          <w:rFonts w:ascii="Arial"/>
          <w:sz w:val="21"/>
        </w:rPr>
      </w:pPr>
    </w:p>
    <w:p w14:paraId="122532F1">
      <w:pPr>
        <w:spacing w:line="250" w:lineRule="auto"/>
        <w:rPr>
          <w:rFonts w:ascii="Arial"/>
          <w:sz w:val="21"/>
        </w:rPr>
      </w:pPr>
    </w:p>
    <w:p w14:paraId="49D88973">
      <w:pPr>
        <w:spacing w:line="250" w:lineRule="auto"/>
        <w:rPr>
          <w:rFonts w:ascii="Arial"/>
          <w:sz w:val="21"/>
        </w:rPr>
      </w:pPr>
    </w:p>
    <w:p w14:paraId="595FDA82">
      <w:pPr>
        <w:spacing w:line="250" w:lineRule="auto"/>
        <w:rPr>
          <w:rFonts w:ascii="Arial"/>
          <w:sz w:val="21"/>
        </w:rPr>
      </w:pPr>
    </w:p>
    <w:p w14:paraId="4AB51434">
      <w:pPr>
        <w:spacing w:line="250" w:lineRule="auto"/>
        <w:rPr>
          <w:rFonts w:ascii="Arial"/>
          <w:sz w:val="21"/>
        </w:rPr>
      </w:pPr>
    </w:p>
    <w:p w14:paraId="47FBEE14">
      <w:pPr>
        <w:spacing w:line="250" w:lineRule="auto"/>
        <w:rPr>
          <w:rFonts w:ascii="Arial"/>
          <w:sz w:val="21"/>
        </w:rPr>
      </w:pPr>
    </w:p>
    <w:p w14:paraId="3A12ED18">
      <w:pPr>
        <w:spacing w:line="250" w:lineRule="auto"/>
        <w:rPr>
          <w:rFonts w:ascii="Arial"/>
          <w:sz w:val="21"/>
        </w:rPr>
      </w:pPr>
    </w:p>
    <w:p w14:paraId="66760BCB">
      <w:pPr>
        <w:spacing w:line="250" w:lineRule="auto"/>
        <w:rPr>
          <w:rFonts w:ascii="Arial"/>
          <w:sz w:val="21"/>
        </w:rPr>
      </w:pPr>
    </w:p>
    <w:p w14:paraId="15A0597B">
      <w:pPr>
        <w:pStyle w:val="2"/>
        <w:spacing w:before="100" w:line="227" w:lineRule="auto"/>
        <w:ind w:left="2651"/>
        <w:outlineLvl w:val="0"/>
        <w:rPr>
          <w:sz w:val="31"/>
          <w:szCs w:val="31"/>
        </w:rPr>
      </w:pPr>
      <w:bookmarkStart w:id="212" w:name="bookmark193"/>
      <w:bookmarkEnd w:id="212"/>
      <w:r>
        <w:rPr>
          <w:spacing w:val="7"/>
          <w:sz w:val="31"/>
          <w:szCs w:val="31"/>
        </w:rPr>
        <w:t>第四章  合同条款及格式</w:t>
      </w:r>
    </w:p>
    <w:p w14:paraId="4F064248">
      <w:pPr>
        <w:spacing w:line="244" w:lineRule="auto"/>
        <w:rPr>
          <w:rFonts w:ascii="Arial"/>
          <w:sz w:val="21"/>
        </w:rPr>
      </w:pPr>
    </w:p>
    <w:p w14:paraId="4ADCD73B">
      <w:pPr>
        <w:spacing w:line="244" w:lineRule="auto"/>
        <w:rPr>
          <w:rFonts w:ascii="Arial"/>
          <w:sz w:val="21"/>
        </w:rPr>
      </w:pPr>
    </w:p>
    <w:p w14:paraId="497E60BE">
      <w:pPr>
        <w:spacing w:line="244" w:lineRule="auto"/>
        <w:rPr>
          <w:rFonts w:ascii="Arial"/>
          <w:sz w:val="21"/>
        </w:rPr>
      </w:pPr>
    </w:p>
    <w:p w14:paraId="7EF1A973">
      <w:pPr>
        <w:spacing w:line="244" w:lineRule="auto"/>
        <w:rPr>
          <w:rFonts w:ascii="Arial"/>
          <w:sz w:val="21"/>
        </w:rPr>
      </w:pPr>
    </w:p>
    <w:p w14:paraId="3CFEF8DF">
      <w:pPr>
        <w:spacing w:line="244" w:lineRule="auto"/>
        <w:rPr>
          <w:rFonts w:ascii="Arial"/>
          <w:sz w:val="21"/>
        </w:rPr>
      </w:pPr>
    </w:p>
    <w:p w14:paraId="15BE06DA">
      <w:pPr>
        <w:spacing w:line="244" w:lineRule="auto"/>
        <w:rPr>
          <w:rFonts w:ascii="Arial"/>
          <w:sz w:val="21"/>
        </w:rPr>
      </w:pPr>
    </w:p>
    <w:p w14:paraId="126C24BB">
      <w:pPr>
        <w:spacing w:line="244" w:lineRule="auto"/>
        <w:rPr>
          <w:rFonts w:ascii="Arial"/>
          <w:sz w:val="21"/>
        </w:rPr>
      </w:pPr>
    </w:p>
    <w:p w14:paraId="7219C04B">
      <w:pPr>
        <w:spacing w:line="244" w:lineRule="auto"/>
        <w:rPr>
          <w:rFonts w:ascii="Arial"/>
          <w:sz w:val="21"/>
        </w:rPr>
      </w:pPr>
    </w:p>
    <w:p w14:paraId="29CBBF31">
      <w:pPr>
        <w:spacing w:line="244" w:lineRule="auto"/>
        <w:rPr>
          <w:rFonts w:ascii="Arial"/>
          <w:sz w:val="21"/>
        </w:rPr>
      </w:pPr>
    </w:p>
    <w:p w14:paraId="7C31FD95">
      <w:pPr>
        <w:spacing w:line="244" w:lineRule="auto"/>
        <w:rPr>
          <w:rFonts w:ascii="Arial"/>
          <w:sz w:val="21"/>
        </w:rPr>
      </w:pPr>
    </w:p>
    <w:p w14:paraId="5F950400">
      <w:pPr>
        <w:spacing w:line="244" w:lineRule="auto"/>
        <w:rPr>
          <w:rFonts w:ascii="Arial"/>
          <w:sz w:val="21"/>
        </w:rPr>
      </w:pPr>
    </w:p>
    <w:p w14:paraId="2E2FA4EC">
      <w:pPr>
        <w:spacing w:line="244" w:lineRule="auto"/>
        <w:rPr>
          <w:rFonts w:ascii="Arial"/>
          <w:sz w:val="21"/>
        </w:rPr>
      </w:pPr>
    </w:p>
    <w:p w14:paraId="4DE78FEA">
      <w:pPr>
        <w:spacing w:line="244" w:lineRule="auto"/>
        <w:rPr>
          <w:rFonts w:ascii="Arial"/>
          <w:sz w:val="21"/>
        </w:rPr>
      </w:pPr>
    </w:p>
    <w:p w14:paraId="213F24AB">
      <w:pPr>
        <w:spacing w:line="244" w:lineRule="auto"/>
        <w:rPr>
          <w:rFonts w:ascii="Arial"/>
          <w:sz w:val="21"/>
        </w:rPr>
      </w:pPr>
    </w:p>
    <w:p w14:paraId="4698A0BE">
      <w:pPr>
        <w:spacing w:line="244" w:lineRule="auto"/>
        <w:rPr>
          <w:rFonts w:ascii="Arial"/>
          <w:sz w:val="21"/>
        </w:rPr>
      </w:pPr>
    </w:p>
    <w:p w14:paraId="45EC0955">
      <w:pPr>
        <w:spacing w:line="244" w:lineRule="auto"/>
        <w:rPr>
          <w:rFonts w:ascii="Arial"/>
          <w:sz w:val="21"/>
        </w:rPr>
      </w:pPr>
    </w:p>
    <w:p w14:paraId="1D1C2A98">
      <w:pPr>
        <w:spacing w:line="244" w:lineRule="auto"/>
        <w:rPr>
          <w:rFonts w:ascii="Arial"/>
          <w:sz w:val="21"/>
        </w:rPr>
      </w:pPr>
    </w:p>
    <w:p w14:paraId="36E16E39">
      <w:pPr>
        <w:spacing w:line="244" w:lineRule="auto"/>
        <w:rPr>
          <w:rFonts w:ascii="Arial"/>
          <w:sz w:val="21"/>
        </w:rPr>
      </w:pPr>
    </w:p>
    <w:p w14:paraId="7ADBADB0">
      <w:pPr>
        <w:spacing w:line="244" w:lineRule="auto"/>
        <w:rPr>
          <w:rFonts w:ascii="Arial"/>
          <w:sz w:val="21"/>
        </w:rPr>
      </w:pPr>
    </w:p>
    <w:p w14:paraId="15B1A5C7">
      <w:pPr>
        <w:spacing w:line="244" w:lineRule="auto"/>
        <w:rPr>
          <w:rFonts w:ascii="Arial"/>
          <w:sz w:val="21"/>
        </w:rPr>
      </w:pPr>
    </w:p>
    <w:p w14:paraId="01D887A8">
      <w:pPr>
        <w:spacing w:line="244" w:lineRule="auto"/>
        <w:rPr>
          <w:rFonts w:ascii="Arial"/>
          <w:sz w:val="21"/>
        </w:rPr>
      </w:pPr>
    </w:p>
    <w:p w14:paraId="304BB529">
      <w:pPr>
        <w:spacing w:line="244" w:lineRule="auto"/>
        <w:rPr>
          <w:rFonts w:ascii="Arial"/>
          <w:sz w:val="21"/>
        </w:rPr>
      </w:pPr>
    </w:p>
    <w:p w14:paraId="752E314E">
      <w:pPr>
        <w:spacing w:line="244" w:lineRule="auto"/>
        <w:rPr>
          <w:rFonts w:ascii="Arial"/>
          <w:sz w:val="21"/>
        </w:rPr>
      </w:pPr>
    </w:p>
    <w:p w14:paraId="783200E9">
      <w:pPr>
        <w:spacing w:line="244" w:lineRule="auto"/>
        <w:rPr>
          <w:rFonts w:ascii="Arial"/>
          <w:sz w:val="21"/>
        </w:rPr>
      </w:pPr>
    </w:p>
    <w:p w14:paraId="04CDA98E">
      <w:pPr>
        <w:spacing w:line="244" w:lineRule="auto"/>
        <w:rPr>
          <w:rFonts w:ascii="Arial"/>
          <w:sz w:val="21"/>
        </w:rPr>
      </w:pPr>
    </w:p>
    <w:p w14:paraId="7AA82E60">
      <w:pPr>
        <w:spacing w:line="244" w:lineRule="auto"/>
        <w:rPr>
          <w:rFonts w:ascii="Arial"/>
          <w:sz w:val="21"/>
        </w:rPr>
      </w:pPr>
    </w:p>
    <w:p w14:paraId="54FB945D">
      <w:pPr>
        <w:spacing w:line="244" w:lineRule="auto"/>
        <w:rPr>
          <w:rFonts w:ascii="Arial"/>
          <w:sz w:val="21"/>
        </w:rPr>
      </w:pPr>
    </w:p>
    <w:p w14:paraId="4474B35D">
      <w:pPr>
        <w:spacing w:line="244" w:lineRule="auto"/>
        <w:rPr>
          <w:rFonts w:ascii="Arial"/>
          <w:sz w:val="21"/>
        </w:rPr>
      </w:pPr>
    </w:p>
    <w:p w14:paraId="2F189D2B">
      <w:pPr>
        <w:spacing w:line="244" w:lineRule="auto"/>
        <w:rPr>
          <w:rFonts w:ascii="Arial"/>
          <w:sz w:val="21"/>
        </w:rPr>
      </w:pPr>
    </w:p>
    <w:p w14:paraId="66B6EC11">
      <w:pPr>
        <w:spacing w:line="245" w:lineRule="auto"/>
        <w:rPr>
          <w:rFonts w:ascii="Arial"/>
          <w:sz w:val="21"/>
        </w:rPr>
      </w:pPr>
    </w:p>
    <w:p w14:paraId="32C25654">
      <w:pPr>
        <w:spacing w:before="65" w:line="292" w:lineRule="auto"/>
        <w:ind w:left="960" w:hanging="960"/>
        <w:rPr>
          <w:rFonts w:ascii="宋体" w:hAnsi="宋体" w:eastAsia="宋体" w:cs="宋体"/>
          <w:sz w:val="20"/>
          <w:szCs w:val="20"/>
        </w:rPr>
      </w:pPr>
      <w:r>
        <w:rPr>
          <w:rFonts w:ascii="宋体" w:hAnsi="宋体" w:eastAsia="宋体" w:cs="宋体"/>
          <w:spacing w:val="6"/>
          <w:sz w:val="20"/>
          <w:szCs w:val="20"/>
        </w:rPr>
        <w:t xml:space="preserve">备注：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本合同条款及格式采用自</w:t>
      </w:r>
      <w:r>
        <w:rPr>
          <w:rFonts w:ascii="Times New Roman" w:hAnsi="Times New Roman" w:eastAsia="Times New Roman" w:cs="Times New Roman"/>
          <w:spacing w:val="6"/>
          <w:sz w:val="20"/>
          <w:szCs w:val="20"/>
        </w:rPr>
        <w:t xml:space="preserve">2010 </w:t>
      </w:r>
      <w:r>
        <w:rPr>
          <w:rFonts w:ascii="宋体" w:hAnsi="宋体" w:eastAsia="宋体" w:cs="宋体"/>
          <w:spacing w:val="6"/>
          <w:sz w:val="20"/>
          <w:szCs w:val="20"/>
        </w:rPr>
        <w:t>年</w:t>
      </w:r>
      <w:r>
        <w:rPr>
          <w:rFonts w:ascii="宋体" w:hAnsi="宋体" w:eastAsia="宋体" w:cs="宋体"/>
          <w:spacing w:val="-27"/>
          <w:sz w:val="20"/>
          <w:szCs w:val="20"/>
        </w:rPr>
        <w:t xml:space="preserve"> </w:t>
      </w:r>
      <w:r>
        <w:rPr>
          <w:rFonts w:ascii="Times New Roman" w:hAnsi="Times New Roman" w:eastAsia="Times New Roman" w:cs="Times New Roman"/>
          <w:spacing w:val="6"/>
          <w:sz w:val="20"/>
          <w:szCs w:val="20"/>
        </w:rPr>
        <w:t xml:space="preserve">6 </w:t>
      </w:r>
      <w:r>
        <w:rPr>
          <w:rFonts w:ascii="宋体" w:hAnsi="宋体" w:eastAsia="宋体" w:cs="宋体"/>
          <w:spacing w:val="6"/>
          <w:sz w:val="20"/>
          <w:szCs w:val="20"/>
        </w:rPr>
        <w:t>月</w:t>
      </w:r>
      <w:r>
        <w:rPr>
          <w:rFonts w:ascii="宋体" w:hAnsi="宋体" w:eastAsia="宋体" w:cs="宋体"/>
          <w:spacing w:val="-37"/>
          <w:sz w:val="20"/>
          <w:szCs w:val="20"/>
        </w:rPr>
        <w:t xml:space="preserve"> </w:t>
      </w:r>
      <w:r>
        <w:rPr>
          <w:rFonts w:ascii="Times New Roman" w:hAnsi="Times New Roman" w:eastAsia="Times New Roman" w:cs="Times New Roman"/>
          <w:spacing w:val="6"/>
          <w:sz w:val="20"/>
          <w:szCs w:val="20"/>
        </w:rPr>
        <w:t xml:space="preserve">9  </w:t>
      </w:r>
      <w:r>
        <w:rPr>
          <w:rFonts w:ascii="宋体" w:hAnsi="宋体" w:eastAsia="宋体" w:cs="宋体"/>
          <w:spacing w:val="6"/>
          <w:sz w:val="20"/>
          <w:szCs w:val="20"/>
        </w:rPr>
        <w:t>日住房和城乡建设部以建市</w:t>
      </w:r>
      <w:r>
        <w:rPr>
          <w:rFonts w:ascii="Times New Roman" w:hAnsi="Times New Roman" w:eastAsia="Times New Roman" w:cs="Times New Roman"/>
          <w:spacing w:val="6"/>
          <w:sz w:val="20"/>
          <w:szCs w:val="20"/>
        </w:rPr>
        <w:t>[</w:t>
      </w:r>
      <w:r>
        <w:fldChar w:fldCharType="begin"/>
      </w:r>
      <w:r>
        <w:instrText xml:space="preserve"> HYPERLINK \l "bookmark466" </w:instrText>
      </w:r>
      <w:r>
        <w:fldChar w:fldCharType="separate"/>
      </w:r>
      <w:r>
        <w:rPr>
          <w:rFonts w:ascii="Times New Roman" w:hAnsi="Times New Roman" w:eastAsia="Times New Roman" w:cs="Times New Roman"/>
          <w:spacing w:val="6"/>
          <w:sz w:val="20"/>
          <w:szCs w:val="20"/>
        </w:rPr>
        <w:t>2010</w:t>
      </w:r>
      <w:r>
        <w:rPr>
          <w:rFonts w:ascii="Times New Roman" w:hAnsi="Times New Roman" w:eastAsia="Times New Roman" w:cs="Times New Roman"/>
          <w:spacing w:val="6"/>
          <w:sz w:val="20"/>
          <w:szCs w:val="20"/>
        </w:rPr>
        <w:fldChar w:fldCharType="end"/>
      </w:r>
      <w:r>
        <w:rPr>
          <w:rFonts w:ascii="Times New Roman" w:hAnsi="Times New Roman" w:eastAsia="Times New Roman" w:cs="Times New Roman"/>
          <w:spacing w:val="6"/>
          <w:sz w:val="20"/>
          <w:szCs w:val="20"/>
        </w:rPr>
        <w:t xml:space="preserve">]88 </w:t>
      </w:r>
      <w:r>
        <w:rPr>
          <w:rFonts w:ascii="宋体" w:hAnsi="宋体" w:eastAsia="宋体" w:cs="宋体"/>
          <w:spacing w:val="6"/>
          <w:sz w:val="20"/>
          <w:szCs w:val="20"/>
        </w:rPr>
        <w:t>号文发布</w:t>
      </w:r>
      <w:r>
        <w:rPr>
          <w:rFonts w:ascii="宋体" w:hAnsi="宋体" w:eastAsia="宋体" w:cs="宋体"/>
          <w:spacing w:val="5"/>
          <w:sz w:val="20"/>
          <w:szCs w:val="20"/>
        </w:rPr>
        <w:t>的</w:t>
      </w:r>
      <w:r>
        <w:rPr>
          <w:rFonts w:ascii="宋体" w:hAnsi="宋体" w:eastAsia="宋体" w:cs="宋体"/>
          <w:spacing w:val="-43"/>
          <w:sz w:val="20"/>
          <w:szCs w:val="20"/>
        </w:rPr>
        <w:t xml:space="preserve"> </w:t>
      </w:r>
      <w:r>
        <w:rPr>
          <w:rFonts w:ascii="Times New Roman" w:hAnsi="Times New Roman" w:eastAsia="Times New Roman" w:cs="Times New Roman"/>
          <w:spacing w:val="5"/>
          <w:sz w:val="20"/>
          <w:szCs w:val="20"/>
        </w:rPr>
        <w:t xml:space="preserve">2010 </w:t>
      </w:r>
      <w:r>
        <w:rPr>
          <w:rFonts w:ascii="宋体" w:hAnsi="宋体" w:eastAsia="宋体" w:cs="宋体"/>
          <w:spacing w:val="5"/>
          <w:sz w:val="20"/>
          <w:szCs w:val="20"/>
        </w:rPr>
        <w:t>年版《房屋建筑和市政工程标准施工招</w:t>
      </w:r>
      <w:r>
        <w:rPr>
          <w:rFonts w:ascii="宋体" w:hAnsi="宋体" w:eastAsia="宋体" w:cs="宋体"/>
          <w:spacing w:val="4"/>
          <w:sz w:val="20"/>
          <w:szCs w:val="20"/>
        </w:rPr>
        <w:t>标文件》。</w:t>
      </w:r>
    </w:p>
    <w:p w14:paraId="17C69E24">
      <w:pPr>
        <w:spacing w:before="8" w:line="296" w:lineRule="auto"/>
        <w:ind w:left="946" w:hanging="218"/>
        <w:rPr>
          <w:rFonts w:ascii="宋体" w:hAnsi="宋体" w:eastAsia="宋体" w:cs="宋体"/>
          <w:sz w:val="20"/>
          <w:szCs w:val="20"/>
        </w:rPr>
      </w:pPr>
      <w:r>
        <w:rPr>
          <w:rFonts w:ascii="Times New Roman" w:hAnsi="Times New Roman" w:eastAsia="Times New Roman" w:cs="Times New Roman"/>
          <w:spacing w:val="5"/>
          <w:sz w:val="20"/>
          <w:szCs w:val="20"/>
        </w:rPr>
        <w:t xml:space="preserve">2.  </w:t>
      </w:r>
      <w:r>
        <w:rPr>
          <w:rFonts w:ascii="宋体" w:hAnsi="宋体" w:eastAsia="宋体" w:cs="宋体"/>
          <w:spacing w:val="5"/>
          <w:sz w:val="20"/>
          <w:szCs w:val="20"/>
        </w:rPr>
        <w:t>根据《省人民政府办公厅关于印发持续深化一流营商环境建设若干措施的通知》（鄂政</w:t>
      </w:r>
      <w:r>
        <w:rPr>
          <w:rFonts w:ascii="宋体" w:hAnsi="宋体" w:eastAsia="宋体" w:cs="宋体"/>
          <w:spacing w:val="6"/>
          <w:sz w:val="20"/>
          <w:szCs w:val="20"/>
        </w:rPr>
        <w:t>办发〔</w:t>
      </w:r>
      <w:r>
        <w:rPr>
          <w:rFonts w:ascii="Times New Roman" w:hAnsi="Times New Roman" w:eastAsia="Times New Roman" w:cs="Times New Roman"/>
          <w:spacing w:val="6"/>
          <w:sz w:val="20"/>
          <w:szCs w:val="20"/>
        </w:rPr>
        <w:t>2022</w:t>
      </w:r>
      <w:r>
        <w:rPr>
          <w:rFonts w:ascii="宋体" w:hAnsi="宋体" w:eastAsia="宋体" w:cs="宋体"/>
          <w:spacing w:val="6"/>
          <w:sz w:val="20"/>
          <w:szCs w:val="20"/>
        </w:rPr>
        <w:t>〕</w:t>
      </w:r>
      <w:r>
        <w:rPr>
          <w:rFonts w:ascii="Times New Roman" w:hAnsi="Times New Roman" w:eastAsia="Times New Roman" w:cs="Times New Roman"/>
          <w:spacing w:val="6"/>
          <w:sz w:val="20"/>
          <w:szCs w:val="20"/>
        </w:rPr>
        <w:t xml:space="preserve">2  </w:t>
      </w:r>
      <w:r>
        <w:rPr>
          <w:rFonts w:ascii="宋体" w:hAnsi="宋体" w:eastAsia="宋体" w:cs="宋体"/>
          <w:spacing w:val="6"/>
          <w:sz w:val="20"/>
          <w:szCs w:val="20"/>
        </w:rPr>
        <w:t>号）的要求，预留工程质量保证金的，工程质量保证金预留比例不得高</w:t>
      </w:r>
      <w:r>
        <w:rPr>
          <w:rFonts w:ascii="宋体" w:hAnsi="宋体" w:eastAsia="宋体" w:cs="宋体"/>
          <w:spacing w:val="5"/>
          <w:sz w:val="20"/>
          <w:szCs w:val="20"/>
        </w:rPr>
        <w:t>于工程价款结算总额的</w:t>
      </w:r>
      <w:r>
        <w:rPr>
          <w:rFonts w:ascii="宋体" w:hAnsi="宋体" w:eastAsia="宋体" w:cs="宋体"/>
          <w:spacing w:val="-16"/>
          <w:sz w:val="20"/>
          <w:szCs w:val="20"/>
        </w:rPr>
        <w:t xml:space="preserve"> </w:t>
      </w:r>
      <w:r>
        <w:rPr>
          <w:rFonts w:ascii="Times New Roman" w:hAnsi="Times New Roman" w:eastAsia="Times New Roman" w:cs="Times New Roman"/>
          <w:spacing w:val="5"/>
          <w:sz w:val="20"/>
          <w:szCs w:val="20"/>
        </w:rPr>
        <w:t>1.5%</w:t>
      </w:r>
      <w:r>
        <w:rPr>
          <w:rFonts w:ascii="宋体" w:hAnsi="宋体" w:eastAsia="宋体" w:cs="宋体"/>
          <w:spacing w:val="5"/>
          <w:sz w:val="20"/>
          <w:szCs w:val="20"/>
        </w:rPr>
        <w:t>。</w:t>
      </w:r>
    </w:p>
    <w:p w14:paraId="17B6D959">
      <w:pPr>
        <w:spacing w:line="296" w:lineRule="auto"/>
        <w:rPr>
          <w:rFonts w:ascii="宋体" w:hAnsi="宋体" w:eastAsia="宋体" w:cs="宋体"/>
          <w:sz w:val="20"/>
          <w:szCs w:val="20"/>
        </w:rPr>
        <w:sectPr>
          <w:footerReference r:id="rId160" w:type="default"/>
          <w:pgSz w:w="11906" w:h="16839"/>
          <w:pgMar w:top="400" w:right="1557" w:bottom="1038" w:left="1541" w:header="0" w:footer="787" w:gutter="0"/>
          <w:cols w:space="720" w:num="1"/>
        </w:sectPr>
      </w:pPr>
    </w:p>
    <w:p w14:paraId="7C0A6421">
      <w:pPr>
        <w:spacing w:line="255" w:lineRule="auto"/>
        <w:rPr>
          <w:rFonts w:ascii="Arial"/>
          <w:sz w:val="21"/>
        </w:rPr>
      </w:pPr>
    </w:p>
    <w:p w14:paraId="14496D9F">
      <w:pPr>
        <w:spacing w:line="255" w:lineRule="auto"/>
        <w:rPr>
          <w:rFonts w:ascii="Arial"/>
          <w:sz w:val="21"/>
        </w:rPr>
      </w:pPr>
    </w:p>
    <w:p w14:paraId="7A1DDF13">
      <w:pPr>
        <w:spacing w:line="255" w:lineRule="auto"/>
        <w:rPr>
          <w:rFonts w:ascii="Arial"/>
          <w:sz w:val="21"/>
        </w:rPr>
      </w:pPr>
    </w:p>
    <w:p w14:paraId="0388E21E">
      <w:pPr>
        <w:spacing w:line="256" w:lineRule="auto"/>
        <w:rPr>
          <w:rFonts w:ascii="Arial"/>
          <w:sz w:val="21"/>
        </w:rPr>
      </w:pPr>
    </w:p>
    <w:p w14:paraId="1CE56C9F">
      <w:pPr>
        <w:spacing w:line="256" w:lineRule="auto"/>
        <w:rPr>
          <w:rFonts w:ascii="Arial"/>
          <w:sz w:val="21"/>
        </w:rPr>
      </w:pPr>
    </w:p>
    <w:p w14:paraId="2F07F921">
      <w:pPr>
        <w:spacing w:line="256" w:lineRule="auto"/>
        <w:rPr>
          <w:rFonts w:ascii="Arial"/>
          <w:sz w:val="21"/>
        </w:rPr>
      </w:pPr>
    </w:p>
    <w:p w14:paraId="5872239E">
      <w:pPr>
        <w:spacing w:line="256" w:lineRule="auto"/>
        <w:rPr>
          <w:rFonts w:ascii="Arial"/>
          <w:sz w:val="21"/>
        </w:rPr>
      </w:pPr>
    </w:p>
    <w:p w14:paraId="3B995C4C">
      <w:pPr>
        <w:spacing w:line="256" w:lineRule="auto"/>
        <w:rPr>
          <w:rFonts w:ascii="Arial"/>
          <w:sz w:val="21"/>
        </w:rPr>
      </w:pPr>
    </w:p>
    <w:p w14:paraId="10BE9808">
      <w:pPr>
        <w:spacing w:line="256" w:lineRule="auto"/>
        <w:rPr>
          <w:rFonts w:ascii="Arial"/>
          <w:sz w:val="21"/>
        </w:rPr>
      </w:pPr>
    </w:p>
    <w:p w14:paraId="5C8C06EA">
      <w:pPr>
        <w:spacing w:line="256" w:lineRule="auto"/>
        <w:rPr>
          <w:rFonts w:ascii="Arial"/>
          <w:sz w:val="21"/>
        </w:rPr>
      </w:pPr>
    </w:p>
    <w:p w14:paraId="4FEBA918">
      <w:pPr>
        <w:spacing w:line="256" w:lineRule="auto"/>
        <w:rPr>
          <w:rFonts w:ascii="Arial"/>
          <w:sz w:val="21"/>
        </w:rPr>
      </w:pPr>
    </w:p>
    <w:p w14:paraId="6A707EA5">
      <w:pPr>
        <w:spacing w:line="256" w:lineRule="auto"/>
        <w:rPr>
          <w:rFonts w:ascii="Arial"/>
          <w:sz w:val="21"/>
        </w:rPr>
      </w:pPr>
    </w:p>
    <w:p w14:paraId="759C5767">
      <w:pPr>
        <w:spacing w:line="256" w:lineRule="auto"/>
        <w:rPr>
          <w:rFonts w:ascii="Arial"/>
          <w:sz w:val="21"/>
        </w:rPr>
      </w:pPr>
    </w:p>
    <w:p w14:paraId="49B936F3">
      <w:pPr>
        <w:spacing w:line="256" w:lineRule="auto"/>
        <w:rPr>
          <w:rFonts w:ascii="Arial"/>
          <w:sz w:val="21"/>
        </w:rPr>
      </w:pPr>
    </w:p>
    <w:p w14:paraId="575A9863">
      <w:pPr>
        <w:pStyle w:val="2"/>
        <w:spacing w:before="91" w:line="222" w:lineRule="auto"/>
        <w:ind w:left="2765"/>
        <w:outlineLvl w:val="1"/>
        <w:rPr>
          <w:sz w:val="28"/>
          <w:szCs w:val="28"/>
        </w:rPr>
      </w:pPr>
      <w:bookmarkStart w:id="213" w:name="bookmark194"/>
      <w:bookmarkEnd w:id="213"/>
      <w:r>
        <w:rPr>
          <w:spacing w:val="-1"/>
          <w:sz w:val="28"/>
          <w:szCs w:val="28"/>
        </w:rPr>
        <w:t>第一节  通用合同条款</w:t>
      </w:r>
    </w:p>
    <w:p w14:paraId="6478AC77">
      <w:pPr>
        <w:spacing w:line="222" w:lineRule="auto"/>
        <w:rPr>
          <w:sz w:val="28"/>
          <w:szCs w:val="28"/>
        </w:rPr>
        <w:sectPr>
          <w:footerReference r:id="rId161" w:type="default"/>
          <w:pgSz w:w="11906" w:h="16839"/>
          <w:pgMar w:top="400" w:right="1785" w:bottom="1038" w:left="1785" w:header="0" w:footer="787" w:gutter="0"/>
          <w:cols w:space="720" w:num="1"/>
        </w:sectPr>
      </w:pPr>
    </w:p>
    <w:p w14:paraId="6807E6B4">
      <w:pPr>
        <w:spacing w:line="249" w:lineRule="auto"/>
        <w:rPr>
          <w:rFonts w:ascii="Arial"/>
          <w:sz w:val="21"/>
        </w:rPr>
      </w:pPr>
    </w:p>
    <w:p w14:paraId="514432D2">
      <w:pPr>
        <w:spacing w:line="250" w:lineRule="auto"/>
        <w:rPr>
          <w:rFonts w:ascii="Arial"/>
          <w:sz w:val="21"/>
        </w:rPr>
      </w:pPr>
    </w:p>
    <w:p w14:paraId="084CB7F3">
      <w:pPr>
        <w:spacing w:line="250" w:lineRule="auto"/>
        <w:rPr>
          <w:rFonts w:ascii="Arial"/>
          <w:sz w:val="21"/>
        </w:rPr>
      </w:pPr>
    </w:p>
    <w:p w14:paraId="1C0B3642">
      <w:pPr>
        <w:spacing w:line="250" w:lineRule="auto"/>
        <w:rPr>
          <w:rFonts w:ascii="Arial"/>
          <w:sz w:val="21"/>
        </w:rPr>
      </w:pPr>
    </w:p>
    <w:p w14:paraId="216733EE">
      <w:pPr>
        <w:pStyle w:val="2"/>
        <w:spacing w:before="91" w:line="223" w:lineRule="auto"/>
        <w:ind w:left="3569"/>
        <w:rPr>
          <w:sz w:val="28"/>
          <w:szCs w:val="28"/>
        </w:rPr>
      </w:pPr>
      <w:r>
        <w:rPr>
          <w:spacing w:val="-2"/>
          <w:sz w:val="28"/>
          <w:szCs w:val="28"/>
        </w:rPr>
        <w:t>通用合同条款</w:t>
      </w:r>
    </w:p>
    <w:p w14:paraId="0452D9C9">
      <w:pPr>
        <w:spacing w:line="344" w:lineRule="auto"/>
        <w:rPr>
          <w:rFonts w:ascii="Arial"/>
          <w:sz w:val="21"/>
        </w:rPr>
      </w:pPr>
    </w:p>
    <w:p w14:paraId="3CF62023">
      <w:pPr>
        <w:spacing w:line="345" w:lineRule="auto"/>
        <w:rPr>
          <w:rFonts w:ascii="Arial"/>
          <w:sz w:val="21"/>
        </w:rPr>
      </w:pPr>
    </w:p>
    <w:p w14:paraId="48DE592F">
      <w:pPr>
        <w:pStyle w:val="2"/>
        <w:spacing w:before="91" w:line="222" w:lineRule="auto"/>
        <w:ind w:left="24"/>
        <w:outlineLvl w:val="2"/>
        <w:rPr>
          <w:sz w:val="28"/>
          <w:szCs w:val="28"/>
        </w:rPr>
      </w:pPr>
      <w:bookmarkStart w:id="214" w:name="bookmark195"/>
      <w:bookmarkEnd w:id="214"/>
      <w:r>
        <w:rPr>
          <w:rFonts w:ascii="Times New Roman" w:hAnsi="Times New Roman" w:eastAsia="Times New Roman" w:cs="Times New Roman"/>
          <w:spacing w:val="-8"/>
          <w:sz w:val="28"/>
          <w:szCs w:val="28"/>
        </w:rPr>
        <w:t>1.</w:t>
      </w:r>
      <w:r>
        <w:rPr>
          <w:rFonts w:ascii="Times New Roman" w:hAnsi="Times New Roman" w:eastAsia="Times New Roman" w:cs="Times New Roman"/>
          <w:spacing w:val="7"/>
          <w:sz w:val="28"/>
          <w:szCs w:val="28"/>
        </w:rPr>
        <w:t xml:space="preserve">  </w:t>
      </w:r>
      <w:r>
        <w:rPr>
          <w:spacing w:val="-8"/>
          <w:sz w:val="28"/>
          <w:szCs w:val="28"/>
        </w:rPr>
        <w:t>一般约定</w:t>
      </w:r>
    </w:p>
    <w:p w14:paraId="06588185">
      <w:pPr>
        <w:pStyle w:val="2"/>
        <w:spacing w:before="100" w:line="222" w:lineRule="auto"/>
        <w:ind w:left="19"/>
        <w:rPr>
          <w:sz w:val="24"/>
          <w:szCs w:val="24"/>
        </w:rPr>
      </w:pPr>
      <w:r>
        <w:rPr>
          <w:rFonts w:ascii="Times New Roman" w:hAnsi="Times New Roman" w:eastAsia="Times New Roman" w:cs="Times New Roman"/>
          <w:spacing w:val="-6"/>
          <w:sz w:val="24"/>
          <w:szCs w:val="24"/>
        </w:rPr>
        <w:t>1.1</w:t>
      </w:r>
      <w:r>
        <w:rPr>
          <w:rFonts w:ascii="Times New Roman" w:hAnsi="Times New Roman" w:eastAsia="Times New Roman" w:cs="Times New Roman"/>
          <w:spacing w:val="6"/>
          <w:sz w:val="24"/>
          <w:szCs w:val="24"/>
        </w:rPr>
        <w:t xml:space="preserve">  </w:t>
      </w:r>
      <w:r>
        <w:rPr>
          <w:spacing w:val="-6"/>
          <w:sz w:val="24"/>
          <w:szCs w:val="24"/>
        </w:rPr>
        <w:t>词语定义</w:t>
      </w:r>
    </w:p>
    <w:p w14:paraId="185A6EF9">
      <w:pPr>
        <w:spacing w:before="135" w:line="227" w:lineRule="auto"/>
        <w:ind w:left="420"/>
        <w:rPr>
          <w:rFonts w:ascii="宋体" w:hAnsi="宋体" w:eastAsia="宋体" w:cs="宋体"/>
          <w:sz w:val="20"/>
          <w:szCs w:val="20"/>
        </w:rPr>
      </w:pPr>
      <w:r>
        <w:rPr>
          <w:rFonts w:ascii="宋体" w:hAnsi="宋体" w:eastAsia="宋体" w:cs="宋体"/>
          <w:spacing w:val="9"/>
          <w:sz w:val="20"/>
          <w:szCs w:val="20"/>
        </w:rPr>
        <w:t>通用合同条款、专用合同条款中的下列词语应具有本款所赋予的含义。</w:t>
      </w:r>
    </w:p>
    <w:p w14:paraId="4D6CBF9F">
      <w:pPr>
        <w:pStyle w:val="2"/>
        <w:spacing w:before="155" w:line="231" w:lineRule="auto"/>
        <w:ind w:left="436"/>
        <w:rPr>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6"/>
          <w:sz w:val="20"/>
          <w:szCs w:val="20"/>
        </w:rPr>
        <w:t xml:space="preserve">  </w:t>
      </w:r>
      <w:r>
        <w:rPr>
          <w:spacing w:val="-7"/>
          <w:sz w:val="20"/>
          <w:szCs w:val="20"/>
        </w:rPr>
        <w:t>合同</w:t>
      </w:r>
    </w:p>
    <w:p w14:paraId="74FEC68C">
      <w:pPr>
        <w:spacing w:before="151" w:line="368" w:lineRule="auto"/>
        <w:ind w:right="73" w:firstLine="733"/>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合同文件（或称合同</w:t>
      </w:r>
      <w:r>
        <w:rPr>
          <w:rFonts w:ascii="宋体" w:hAnsi="宋体" w:eastAsia="宋体" w:cs="宋体"/>
          <w:spacing w:val="-33"/>
          <w:sz w:val="20"/>
          <w:szCs w:val="20"/>
        </w:rPr>
        <w:t>）：</w:t>
      </w:r>
      <w:r>
        <w:rPr>
          <w:rFonts w:ascii="宋体" w:hAnsi="宋体" w:eastAsia="宋体" w:cs="宋体"/>
          <w:spacing w:val="5"/>
          <w:sz w:val="20"/>
          <w:szCs w:val="20"/>
        </w:rPr>
        <w:t>指合同协议书、中标通知书、投标函及投标函附录、专用</w:t>
      </w:r>
      <w:r>
        <w:rPr>
          <w:rFonts w:ascii="宋体" w:hAnsi="宋体" w:eastAsia="宋体" w:cs="宋体"/>
          <w:spacing w:val="8"/>
          <w:sz w:val="20"/>
          <w:szCs w:val="20"/>
        </w:rPr>
        <w:t>合同条款、通用合同条款、技术标准和要求、图纸、已标价工程量清单，</w:t>
      </w:r>
      <w:r>
        <w:rPr>
          <w:rFonts w:ascii="宋体" w:hAnsi="宋体" w:eastAsia="宋体" w:cs="宋体"/>
          <w:spacing w:val="-41"/>
          <w:sz w:val="20"/>
          <w:szCs w:val="20"/>
        </w:rPr>
        <w:t xml:space="preserve"> </w:t>
      </w:r>
      <w:r>
        <w:rPr>
          <w:rFonts w:ascii="宋体" w:hAnsi="宋体" w:eastAsia="宋体" w:cs="宋体"/>
          <w:spacing w:val="8"/>
          <w:sz w:val="20"/>
          <w:szCs w:val="20"/>
        </w:rPr>
        <w:t>以及其他合同文件。</w:t>
      </w:r>
    </w:p>
    <w:p w14:paraId="4D662BA8">
      <w:pPr>
        <w:spacing w:before="1" w:line="227" w:lineRule="auto"/>
        <w:ind w:left="733"/>
        <w:rPr>
          <w:rFonts w:ascii="宋体" w:hAnsi="宋体" w:eastAsia="宋体" w:cs="宋体"/>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1.2  </w:t>
      </w:r>
      <w:r>
        <w:rPr>
          <w:rFonts w:ascii="宋体" w:hAnsi="宋体" w:eastAsia="宋体" w:cs="宋体"/>
          <w:spacing w:val="4"/>
          <w:sz w:val="20"/>
          <w:szCs w:val="20"/>
        </w:rPr>
        <w:t>合同协议书：指第</w:t>
      </w:r>
      <w:r>
        <w:rPr>
          <w:rFonts w:ascii="宋体" w:hAnsi="宋体" w:eastAsia="宋体" w:cs="宋体"/>
          <w:spacing w:val="-21"/>
          <w:sz w:val="20"/>
          <w:szCs w:val="20"/>
        </w:rPr>
        <w:t xml:space="preserve"> </w:t>
      </w:r>
      <w:r>
        <w:rPr>
          <w:rFonts w:ascii="Times New Roman" w:hAnsi="Times New Roman" w:eastAsia="Times New Roman" w:cs="Times New Roman"/>
          <w:spacing w:val="4"/>
          <w:sz w:val="20"/>
          <w:szCs w:val="20"/>
        </w:rPr>
        <w:t xml:space="preserve">1.5 </w:t>
      </w:r>
      <w:r>
        <w:rPr>
          <w:rFonts w:ascii="宋体" w:hAnsi="宋体" w:eastAsia="宋体" w:cs="宋体"/>
          <w:spacing w:val="4"/>
          <w:sz w:val="20"/>
          <w:szCs w:val="20"/>
        </w:rPr>
        <w:t>款</w:t>
      </w:r>
      <w:r>
        <w:rPr>
          <w:rFonts w:ascii="宋体" w:hAnsi="宋体" w:eastAsia="宋体" w:cs="宋体"/>
          <w:spacing w:val="3"/>
          <w:sz w:val="20"/>
          <w:szCs w:val="20"/>
        </w:rPr>
        <w:t>所指的合同协议书。</w:t>
      </w:r>
    </w:p>
    <w:p w14:paraId="7D85887F">
      <w:pPr>
        <w:spacing w:before="155" w:line="369" w:lineRule="auto"/>
        <w:ind w:right="108" w:firstLine="7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1.3</w:t>
      </w:r>
      <w:r>
        <w:rPr>
          <w:rFonts w:ascii="Times New Roman" w:hAnsi="Times New Roman" w:eastAsia="Times New Roman" w:cs="Times New Roman"/>
          <w:spacing w:val="17"/>
          <w:sz w:val="20"/>
          <w:szCs w:val="20"/>
        </w:rPr>
        <w:t xml:space="preserve">  </w:t>
      </w:r>
      <w:r>
        <w:rPr>
          <w:rFonts w:ascii="宋体" w:hAnsi="宋体" w:eastAsia="宋体" w:cs="宋体"/>
          <w:spacing w:val="7"/>
          <w:sz w:val="20"/>
          <w:szCs w:val="20"/>
        </w:rPr>
        <w:t>中标通知书：指发包人通知承包人中标的函件。中标通知书随附的澄清、说明、</w:t>
      </w:r>
      <w:r>
        <w:rPr>
          <w:rFonts w:ascii="宋体" w:hAnsi="宋体" w:eastAsia="宋体" w:cs="宋体"/>
          <w:spacing w:val="9"/>
          <w:sz w:val="20"/>
          <w:szCs w:val="20"/>
        </w:rPr>
        <w:t>补正事项纪要等，是中标通知书的组成部分。</w:t>
      </w:r>
    </w:p>
    <w:p w14:paraId="7049CE38">
      <w:pPr>
        <w:spacing w:before="1" w:line="227" w:lineRule="auto"/>
        <w:ind w:left="733"/>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投标函：指构成合同文件组成部分的由承包人填写并签署的投标函。</w:t>
      </w:r>
    </w:p>
    <w:p w14:paraId="20F890FC">
      <w:pPr>
        <w:spacing w:before="154" w:line="227" w:lineRule="auto"/>
        <w:ind w:left="733"/>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投标函附录：指附在投标函后构成合同文件的</w:t>
      </w:r>
      <w:r>
        <w:rPr>
          <w:rFonts w:ascii="宋体" w:hAnsi="宋体" w:eastAsia="宋体" w:cs="宋体"/>
          <w:spacing w:val="5"/>
          <w:sz w:val="20"/>
          <w:szCs w:val="20"/>
        </w:rPr>
        <w:t>投标函附录。</w:t>
      </w:r>
    </w:p>
    <w:p w14:paraId="1B4FA7C3">
      <w:pPr>
        <w:spacing w:before="152" w:line="370" w:lineRule="auto"/>
        <w:ind w:right="73" w:firstLine="733"/>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1.6  </w:t>
      </w:r>
      <w:r>
        <w:rPr>
          <w:rFonts w:ascii="宋体" w:hAnsi="宋体" w:eastAsia="宋体" w:cs="宋体"/>
          <w:spacing w:val="9"/>
          <w:sz w:val="20"/>
          <w:szCs w:val="20"/>
        </w:rPr>
        <w:t>技术标准和要求：指构成合同</w:t>
      </w:r>
      <w:r>
        <w:rPr>
          <w:rFonts w:ascii="宋体" w:hAnsi="宋体" w:eastAsia="宋体" w:cs="宋体"/>
          <w:spacing w:val="8"/>
          <w:sz w:val="20"/>
          <w:szCs w:val="20"/>
        </w:rPr>
        <w:t>文件组成部分的名为技术标准和要求的文件，包括合同双方当事人约定对其所作的修改或补充。</w:t>
      </w:r>
    </w:p>
    <w:p w14:paraId="7B69DF95">
      <w:pPr>
        <w:spacing w:before="2" w:line="368" w:lineRule="auto"/>
        <w:ind w:left="7" w:right="73" w:firstLine="726"/>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1.7</w:t>
      </w:r>
      <w:r>
        <w:rPr>
          <w:rFonts w:ascii="Times New Roman" w:hAnsi="Times New Roman" w:eastAsia="Times New Roman" w:cs="Times New Roman"/>
          <w:spacing w:val="32"/>
          <w:w w:val="101"/>
          <w:sz w:val="20"/>
          <w:szCs w:val="20"/>
        </w:rPr>
        <w:t xml:space="preserve"> </w:t>
      </w:r>
      <w:r>
        <w:rPr>
          <w:rFonts w:ascii="宋体" w:hAnsi="宋体" w:eastAsia="宋体" w:cs="宋体"/>
          <w:spacing w:val="5"/>
          <w:sz w:val="20"/>
          <w:szCs w:val="20"/>
        </w:rPr>
        <w:t>图纸：指包含在合同中的工程</w:t>
      </w:r>
      <w:r>
        <w:rPr>
          <w:rFonts w:ascii="宋体" w:hAnsi="宋体" w:eastAsia="宋体" w:cs="宋体"/>
          <w:spacing w:val="4"/>
          <w:sz w:val="20"/>
          <w:szCs w:val="20"/>
        </w:rPr>
        <w:t>图纸，以及由发包人按合同约定提供的任何补充和修</w:t>
      </w:r>
      <w:r>
        <w:rPr>
          <w:rFonts w:ascii="宋体" w:hAnsi="宋体" w:eastAsia="宋体" w:cs="宋体"/>
          <w:spacing w:val="7"/>
          <w:sz w:val="20"/>
          <w:szCs w:val="20"/>
        </w:rPr>
        <w:t>改的图纸，包括配套的说明。</w:t>
      </w:r>
    </w:p>
    <w:p w14:paraId="1655130B">
      <w:pPr>
        <w:spacing w:before="2" w:line="368" w:lineRule="auto"/>
        <w:ind w:left="1" w:right="73" w:firstLine="732"/>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1.8</w:t>
      </w:r>
      <w:r>
        <w:rPr>
          <w:rFonts w:ascii="Times New Roman" w:hAnsi="Times New Roman" w:eastAsia="Times New Roman" w:cs="Times New Roman"/>
          <w:spacing w:val="19"/>
          <w:sz w:val="20"/>
          <w:szCs w:val="20"/>
        </w:rPr>
        <w:t xml:space="preserve">  </w:t>
      </w:r>
      <w:r>
        <w:rPr>
          <w:rFonts w:ascii="宋体" w:hAnsi="宋体" w:eastAsia="宋体" w:cs="宋体"/>
          <w:spacing w:val="8"/>
          <w:sz w:val="20"/>
          <w:szCs w:val="20"/>
        </w:rPr>
        <w:t>已标价工程量清单：指构成合同文件组成部分的由承包人按照规定的格式和要求填写并标明价格的工程量清单。</w:t>
      </w:r>
    </w:p>
    <w:p w14:paraId="158EB0CB">
      <w:pPr>
        <w:spacing w:before="1" w:line="227" w:lineRule="auto"/>
        <w:ind w:left="733"/>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1.9  </w:t>
      </w:r>
      <w:r>
        <w:rPr>
          <w:rFonts w:ascii="宋体" w:hAnsi="宋体" w:eastAsia="宋体" w:cs="宋体"/>
          <w:spacing w:val="6"/>
          <w:sz w:val="20"/>
          <w:szCs w:val="20"/>
        </w:rPr>
        <w:t>其他合同文件：指经合同双方当事人确认构成合同文件的其他文件。</w:t>
      </w:r>
    </w:p>
    <w:p w14:paraId="4AB91D59">
      <w:pPr>
        <w:pStyle w:val="2"/>
        <w:spacing w:before="154" w:line="229" w:lineRule="auto"/>
        <w:ind w:left="436"/>
        <w:rPr>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3"/>
          <w:sz w:val="20"/>
          <w:szCs w:val="20"/>
        </w:rPr>
        <w:t xml:space="preserve">1.2  </w:t>
      </w:r>
      <w:r>
        <w:rPr>
          <w:spacing w:val="3"/>
          <w:sz w:val="20"/>
          <w:szCs w:val="20"/>
        </w:rPr>
        <w:t>合同当事人和人员</w:t>
      </w:r>
    </w:p>
    <w:p w14:paraId="13D9E3C4">
      <w:pPr>
        <w:spacing w:before="152" w:line="228" w:lineRule="auto"/>
        <w:ind w:left="733"/>
        <w:rPr>
          <w:rFonts w:ascii="宋体" w:hAnsi="宋体" w:eastAsia="宋体" w:cs="宋体"/>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4"/>
          <w:sz w:val="20"/>
          <w:szCs w:val="20"/>
        </w:rPr>
        <w:t>1.2.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合同当事人</w:t>
      </w:r>
      <w:r>
        <w:rPr>
          <w:rFonts w:ascii="Times New Roman" w:hAnsi="Times New Roman" w:eastAsia="Times New Roman" w:cs="Times New Roman"/>
          <w:spacing w:val="4"/>
          <w:sz w:val="20"/>
          <w:szCs w:val="20"/>
        </w:rPr>
        <w:t>:</w:t>
      </w:r>
      <w:r>
        <w:rPr>
          <w:rFonts w:ascii="宋体" w:hAnsi="宋体" w:eastAsia="宋体" w:cs="宋体"/>
          <w:spacing w:val="4"/>
          <w:sz w:val="20"/>
          <w:szCs w:val="20"/>
        </w:rPr>
        <w:t>指发包人和（或）承包人。</w:t>
      </w:r>
    </w:p>
    <w:p w14:paraId="16CE85E7">
      <w:pPr>
        <w:spacing w:before="152" w:line="227" w:lineRule="auto"/>
        <w:ind w:left="7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7"/>
          <w:sz w:val="20"/>
          <w:szCs w:val="20"/>
        </w:rPr>
        <w:t xml:space="preserve">1.2.2  </w:t>
      </w:r>
      <w:r>
        <w:rPr>
          <w:rFonts w:ascii="宋体" w:hAnsi="宋体" w:eastAsia="宋体" w:cs="宋体"/>
          <w:spacing w:val="7"/>
          <w:sz w:val="20"/>
          <w:szCs w:val="20"/>
        </w:rPr>
        <w:t>发包人：指专用合同条款中指明并与承包人在合同协议书中签字的当事人。</w:t>
      </w:r>
    </w:p>
    <w:p w14:paraId="2093F7A9">
      <w:pPr>
        <w:spacing w:before="155" w:line="227" w:lineRule="auto"/>
        <w:ind w:left="733"/>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1.2.3  </w:t>
      </w:r>
      <w:r>
        <w:rPr>
          <w:rFonts w:ascii="宋体" w:hAnsi="宋体" w:eastAsia="宋体" w:cs="宋体"/>
          <w:spacing w:val="6"/>
          <w:sz w:val="20"/>
          <w:szCs w:val="20"/>
        </w:rPr>
        <w:t>承包人：指与发包人签订合同协议书的当事</w:t>
      </w:r>
      <w:r>
        <w:rPr>
          <w:rFonts w:ascii="宋体" w:hAnsi="宋体" w:eastAsia="宋体" w:cs="宋体"/>
          <w:spacing w:val="5"/>
          <w:sz w:val="20"/>
          <w:szCs w:val="20"/>
        </w:rPr>
        <w:t>人。</w:t>
      </w:r>
    </w:p>
    <w:p w14:paraId="70A685F4">
      <w:pPr>
        <w:spacing w:before="154" w:line="228" w:lineRule="auto"/>
        <w:ind w:left="733"/>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6"/>
          <w:sz w:val="20"/>
          <w:szCs w:val="20"/>
        </w:rPr>
        <w:t xml:space="preserve">1.2.4  </w:t>
      </w:r>
      <w:r>
        <w:rPr>
          <w:rFonts w:ascii="宋体" w:hAnsi="宋体" w:eastAsia="宋体" w:cs="宋体"/>
          <w:spacing w:val="6"/>
          <w:sz w:val="20"/>
          <w:szCs w:val="20"/>
        </w:rPr>
        <w:t>承包人项目经理：指承包人派驻施工场地的全权负责人。</w:t>
      </w:r>
    </w:p>
    <w:p w14:paraId="03C082AB">
      <w:pPr>
        <w:spacing w:before="152" w:line="228" w:lineRule="auto"/>
        <w:jc w:val="right"/>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6"/>
          <w:sz w:val="20"/>
          <w:szCs w:val="20"/>
        </w:rPr>
        <w:t xml:space="preserve">1.2.5  </w:t>
      </w:r>
      <w:r>
        <w:rPr>
          <w:rFonts w:ascii="宋体" w:hAnsi="宋体" w:eastAsia="宋体" w:cs="宋体"/>
          <w:spacing w:val="6"/>
          <w:sz w:val="20"/>
          <w:szCs w:val="20"/>
        </w:rPr>
        <w:t>分包人：指从承包人处分包合同中某一部分工程，并与其签订分包合同的分包人。</w:t>
      </w:r>
    </w:p>
    <w:p w14:paraId="32E707FF">
      <w:pPr>
        <w:spacing w:before="154" w:line="369" w:lineRule="auto"/>
        <w:ind w:left="2" w:right="73" w:firstLine="731"/>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1.2.6  </w:t>
      </w:r>
      <w:r>
        <w:rPr>
          <w:rFonts w:ascii="宋体" w:hAnsi="宋体" w:eastAsia="宋体" w:cs="宋体"/>
          <w:spacing w:val="9"/>
          <w:sz w:val="20"/>
          <w:szCs w:val="20"/>
        </w:rPr>
        <w:t>监理人：指在专用合同条款中指明的，受发包人委托对合同履行实施管理的法人</w:t>
      </w:r>
      <w:r>
        <w:rPr>
          <w:rFonts w:ascii="宋体" w:hAnsi="宋体" w:eastAsia="宋体" w:cs="宋体"/>
          <w:spacing w:val="6"/>
          <w:sz w:val="20"/>
          <w:szCs w:val="20"/>
        </w:rPr>
        <w:t>或其他组织。</w:t>
      </w:r>
    </w:p>
    <w:p w14:paraId="5F357831">
      <w:pPr>
        <w:spacing w:before="2" w:line="369" w:lineRule="auto"/>
        <w:ind w:left="8" w:right="70" w:firstLine="725"/>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1.2.7  </w:t>
      </w:r>
      <w:r>
        <w:rPr>
          <w:rFonts w:ascii="宋体" w:hAnsi="宋体" w:eastAsia="宋体" w:cs="宋体"/>
          <w:spacing w:val="7"/>
          <w:sz w:val="20"/>
          <w:szCs w:val="20"/>
        </w:rPr>
        <w:t>总监理工程师（总监</w:t>
      </w:r>
      <w:r>
        <w:rPr>
          <w:rFonts w:ascii="宋体" w:hAnsi="宋体" w:eastAsia="宋体" w:cs="宋体"/>
          <w:spacing w:val="-45"/>
          <w:sz w:val="20"/>
          <w:szCs w:val="20"/>
        </w:rPr>
        <w:t>）：</w:t>
      </w:r>
      <w:r>
        <w:rPr>
          <w:rFonts w:ascii="宋体" w:hAnsi="宋体" w:eastAsia="宋体" w:cs="宋体"/>
          <w:spacing w:val="7"/>
          <w:sz w:val="20"/>
          <w:szCs w:val="20"/>
        </w:rPr>
        <w:t>指由监理人委派常驻施工场地对合</w:t>
      </w:r>
      <w:r>
        <w:rPr>
          <w:rFonts w:ascii="宋体" w:hAnsi="宋体" w:eastAsia="宋体" w:cs="宋体"/>
          <w:spacing w:val="6"/>
          <w:sz w:val="20"/>
          <w:szCs w:val="20"/>
        </w:rPr>
        <w:t>同履行实施管理的全权</w:t>
      </w:r>
      <w:r>
        <w:rPr>
          <w:rFonts w:ascii="宋体" w:hAnsi="宋体" w:eastAsia="宋体" w:cs="宋体"/>
          <w:spacing w:val="3"/>
          <w:sz w:val="20"/>
          <w:szCs w:val="20"/>
        </w:rPr>
        <w:t>负责人。</w:t>
      </w:r>
    </w:p>
    <w:p w14:paraId="076EE4FC">
      <w:pPr>
        <w:pStyle w:val="2"/>
        <w:spacing w:before="1" w:line="229" w:lineRule="auto"/>
        <w:ind w:left="436"/>
        <w:rPr>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 xml:space="preserve">1.3  </w:t>
      </w:r>
      <w:r>
        <w:rPr>
          <w:spacing w:val="2"/>
          <w:sz w:val="20"/>
          <w:szCs w:val="20"/>
        </w:rPr>
        <w:t>工程和设备</w:t>
      </w:r>
    </w:p>
    <w:p w14:paraId="55BA2F72">
      <w:pPr>
        <w:spacing w:before="149" w:line="228" w:lineRule="auto"/>
        <w:ind w:left="733"/>
        <w:rPr>
          <w:rFonts w:ascii="宋体" w:hAnsi="宋体" w:eastAsia="宋体" w:cs="宋体"/>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4"/>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工程：指永久工程和（或）临时工程。</w:t>
      </w:r>
    </w:p>
    <w:p w14:paraId="3FDB80D8">
      <w:pPr>
        <w:spacing w:before="153" w:line="228" w:lineRule="auto"/>
        <w:ind w:left="7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1.3.2  </w:t>
      </w:r>
      <w:r>
        <w:rPr>
          <w:rFonts w:ascii="宋体" w:hAnsi="宋体" w:eastAsia="宋体" w:cs="宋体"/>
          <w:spacing w:val="7"/>
          <w:sz w:val="20"/>
          <w:szCs w:val="20"/>
        </w:rPr>
        <w:t>永久工程：指按合同约定建造并移交给发包人的工程，包括工程设</w:t>
      </w:r>
      <w:r>
        <w:rPr>
          <w:rFonts w:ascii="宋体" w:hAnsi="宋体" w:eastAsia="宋体" w:cs="宋体"/>
          <w:spacing w:val="6"/>
          <w:sz w:val="20"/>
          <w:szCs w:val="20"/>
        </w:rPr>
        <w:t>备。</w:t>
      </w:r>
    </w:p>
    <w:p w14:paraId="66E2A8AA">
      <w:pPr>
        <w:spacing w:before="154" w:line="228" w:lineRule="auto"/>
        <w:ind w:left="733"/>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1.3.3  </w:t>
      </w:r>
      <w:r>
        <w:rPr>
          <w:rFonts w:ascii="宋体" w:hAnsi="宋体" w:eastAsia="宋体" w:cs="宋体"/>
          <w:spacing w:val="9"/>
          <w:sz w:val="20"/>
          <w:szCs w:val="20"/>
        </w:rPr>
        <w:t>临时工程：指为完成合同约定的永久工程所修建的各类临时性工程，不包括施工</w:t>
      </w:r>
    </w:p>
    <w:p w14:paraId="7BCB927E">
      <w:pPr>
        <w:spacing w:line="228" w:lineRule="auto"/>
        <w:rPr>
          <w:rFonts w:ascii="宋体" w:hAnsi="宋体" w:eastAsia="宋体" w:cs="宋体"/>
          <w:sz w:val="20"/>
          <w:szCs w:val="20"/>
        </w:rPr>
        <w:sectPr>
          <w:footerReference r:id="rId162" w:type="default"/>
          <w:pgSz w:w="11906" w:h="16839"/>
          <w:pgMar w:top="400" w:right="1483" w:bottom="1038" w:left="1539" w:header="0" w:footer="787" w:gutter="0"/>
          <w:cols w:space="720" w:num="1"/>
        </w:sectPr>
      </w:pPr>
    </w:p>
    <w:p w14:paraId="628FB5D7">
      <w:pPr>
        <w:spacing w:line="271" w:lineRule="auto"/>
        <w:rPr>
          <w:rFonts w:ascii="Arial"/>
          <w:sz w:val="21"/>
        </w:rPr>
      </w:pPr>
    </w:p>
    <w:p w14:paraId="753A3328">
      <w:pPr>
        <w:spacing w:line="272" w:lineRule="auto"/>
        <w:rPr>
          <w:rFonts w:ascii="Arial"/>
          <w:sz w:val="21"/>
        </w:rPr>
      </w:pPr>
    </w:p>
    <w:p w14:paraId="09F8B82A">
      <w:pPr>
        <w:spacing w:line="272" w:lineRule="auto"/>
        <w:rPr>
          <w:rFonts w:ascii="Arial"/>
          <w:sz w:val="21"/>
        </w:rPr>
      </w:pPr>
    </w:p>
    <w:p w14:paraId="527E4CE1">
      <w:pPr>
        <w:spacing w:line="272" w:lineRule="auto"/>
        <w:rPr>
          <w:rFonts w:ascii="Arial"/>
          <w:sz w:val="21"/>
        </w:rPr>
      </w:pPr>
    </w:p>
    <w:p w14:paraId="0E01DA0C">
      <w:pPr>
        <w:spacing w:before="65" w:line="229" w:lineRule="auto"/>
        <w:ind w:left="3"/>
        <w:rPr>
          <w:rFonts w:ascii="宋体" w:hAnsi="宋体" w:eastAsia="宋体" w:cs="宋体"/>
          <w:sz w:val="20"/>
          <w:szCs w:val="20"/>
        </w:rPr>
      </w:pPr>
      <w:r>
        <w:rPr>
          <w:rFonts w:ascii="宋体" w:hAnsi="宋体" w:eastAsia="宋体" w:cs="宋体"/>
          <w:spacing w:val="2"/>
          <w:sz w:val="20"/>
          <w:szCs w:val="20"/>
        </w:rPr>
        <w:t>设备。</w:t>
      </w:r>
    </w:p>
    <w:p w14:paraId="2AD3CC77">
      <w:pPr>
        <w:spacing w:before="149" w:line="228" w:lineRule="auto"/>
        <w:ind w:left="733"/>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6"/>
          <w:sz w:val="20"/>
          <w:szCs w:val="20"/>
        </w:rPr>
        <w:t xml:space="preserve">1.3.4  </w:t>
      </w:r>
      <w:r>
        <w:rPr>
          <w:rFonts w:ascii="宋体" w:hAnsi="宋体" w:eastAsia="宋体" w:cs="宋体"/>
          <w:spacing w:val="6"/>
          <w:sz w:val="20"/>
          <w:szCs w:val="20"/>
        </w:rPr>
        <w:t>单位工程：指专用合同条款中指明特定范围的永久工程。</w:t>
      </w:r>
    </w:p>
    <w:p w14:paraId="61663F05">
      <w:pPr>
        <w:spacing w:before="153" w:line="369" w:lineRule="auto"/>
        <w:ind w:right="2" w:firstLine="733"/>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1.3.5  </w:t>
      </w:r>
      <w:r>
        <w:rPr>
          <w:rFonts w:ascii="宋体" w:hAnsi="宋体" w:eastAsia="宋体" w:cs="宋体"/>
          <w:spacing w:val="9"/>
          <w:sz w:val="20"/>
          <w:szCs w:val="20"/>
        </w:rPr>
        <w:t>工程设备：指构成或计划构成永久工程一部分的机电设备、金属结构设备、仪器</w:t>
      </w:r>
      <w:r>
        <w:rPr>
          <w:rFonts w:ascii="宋体" w:hAnsi="宋体" w:eastAsia="宋体" w:cs="宋体"/>
          <w:spacing w:val="8"/>
          <w:sz w:val="20"/>
          <w:szCs w:val="20"/>
        </w:rPr>
        <w:t>装置及其他类似的设备和装置。</w:t>
      </w:r>
    </w:p>
    <w:p w14:paraId="46EE8679">
      <w:pPr>
        <w:spacing w:before="2" w:line="369" w:lineRule="auto"/>
        <w:ind w:left="11" w:right="2" w:firstLine="722"/>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1.3.6  </w:t>
      </w:r>
      <w:r>
        <w:rPr>
          <w:rFonts w:ascii="宋体" w:hAnsi="宋体" w:eastAsia="宋体" w:cs="宋体"/>
          <w:spacing w:val="9"/>
          <w:sz w:val="20"/>
          <w:szCs w:val="20"/>
        </w:rPr>
        <w:t>施工设备：指为完成合同约定的各项工作所需的设备、器具和其他物品，不包括</w:t>
      </w:r>
      <w:r>
        <w:rPr>
          <w:rFonts w:ascii="宋体" w:hAnsi="宋体" w:eastAsia="宋体" w:cs="宋体"/>
          <w:spacing w:val="6"/>
          <w:sz w:val="20"/>
          <w:szCs w:val="20"/>
        </w:rPr>
        <w:t>临时工程和材料。</w:t>
      </w:r>
    </w:p>
    <w:p w14:paraId="125221E4">
      <w:pPr>
        <w:spacing w:line="227" w:lineRule="auto"/>
        <w:ind w:left="7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7"/>
          <w:sz w:val="20"/>
          <w:szCs w:val="20"/>
        </w:rPr>
        <w:t xml:space="preserve">1.3.7  </w:t>
      </w:r>
      <w:r>
        <w:rPr>
          <w:rFonts w:ascii="宋体" w:hAnsi="宋体" w:eastAsia="宋体" w:cs="宋体"/>
          <w:spacing w:val="7"/>
          <w:sz w:val="20"/>
          <w:szCs w:val="20"/>
        </w:rPr>
        <w:t>临时设施：指为完成合同约定的各项工作所服务的临时性生产和生活设施。</w:t>
      </w:r>
    </w:p>
    <w:p w14:paraId="367D31BB">
      <w:pPr>
        <w:spacing w:before="152" w:line="228" w:lineRule="auto"/>
        <w:ind w:left="733"/>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5"/>
          <w:sz w:val="20"/>
          <w:szCs w:val="20"/>
        </w:rPr>
        <w:t xml:space="preserve">1.3.8  </w:t>
      </w:r>
      <w:r>
        <w:rPr>
          <w:rFonts w:ascii="宋体" w:hAnsi="宋体" w:eastAsia="宋体" w:cs="宋体"/>
          <w:spacing w:val="5"/>
          <w:sz w:val="20"/>
          <w:szCs w:val="20"/>
        </w:rPr>
        <w:t>承包人设备：指承包人自带的施工设备。</w:t>
      </w:r>
    </w:p>
    <w:p w14:paraId="3D5CC4F3">
      <w:pPr>
        <w:spacing w:before="154" w:line="369" w:lineRule="auto"/>
        <w:ind w:left="2" w:firstLine="731"/>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1.3.9  </w:t>
      </w:r>
      <w:r>
        <w:rPr>
          <w:rFonts w:ascii="宋体" w:hAnsi="宋体" w:eastAsia="宋体" w:cs="宋体"/>
          <w:spacing w:val="7"/>
          <w:sz w:val="20"/>
          <w:szCs w:val="20"/>
        </w:rPr>
        <w:t>施工场地（或称工地、现场</w:t>
      </w:r>
      <w:r>
        <w:rPr>
          <w:rFonts w:ascii="宋体" w:hAnsi="宋体" w:eastAsia="宋体" w:cs="宋体"/>
          <w:spacing w:val="-40"/>
          <w:sz w:val="20"/>
          <w:szCs w:val="20"/>
        </w:rPr>
        <w:t>）：</w:t>
      </w:r>
      <w:r>
        <w:rPr>
          <w:rFonts w:ascii="宋体" w:hAnsi="宋体" w:eastAsia="宋体" w:cs="宋体"/>
          <w:spacing w:val="7"/>
          <w:sz w:val="20"/>
          <w:szCs w:val="20"/>
        </w:rPr>
        <w:t>指用于</w:t>
      </w:r>
      <w:r>
        <w:rPr>
          <w:rFonts w:ascii="宋体" w:hAnsi="宋体" w:eastAsia="宋体" w:cs="宋体"/>
          <w:spacing w:val="6"/>
          <w:sz w:val="20"/>
          <w:szCs w:val="20"/>
        </w:rPr>
        <w:t>合同工程施工的场所，以及在合同中指定作</w:t>
      </w:r>
      <w:r>
        <w:rPr>
          <w:rFonts w:ascii="宋体" w:hAnsi="宋体" w:eastAsia="宋体" w:cs="宋体"/>
          <w:spacing w:val="9"/>
          <w:sz w:val="20"/>
          <w:szCs w:val="20"/>
        </w:rPr>
        <w:t>为施工场地组成部分的其他场所，包括永久占地和临时占地。</w:t>
      </w:r>
    </w:p>
    <w:p w14:paraId="122190F5">
      <w:pPr>
        <w:spacing w:line="227" w:lineRule="auto"/>
        <w:ind w:left="7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1.3.10  </w:t>
      </w:r>
      <w:r>
        <w:rPr>
          <w:rFonts w:ascii="宋体" w:hAnsi="宋体" w:eastAsia="宋体" w:cs="宋体"/>
          <w:spacing w:val="7"/>
          <w:sz w:val="20"/>
          <w:szCs w:val="20"/>
        </w:rPr>
        <w:t>永久占地：指专用合同条款中指明为实施合同工程需永久占用的</w:t>
      </w:r>
      <w:r>
        <w:rPr>
          <w:rFonts w:ascii="宋体" w:hAnsi="宋体" w:eastAsia="宋体" w:cs="宋体"/>
          <w:spacing w:val="6"/>
          <w:sz w:val="20"/>
          <w:szCs w:val="20"/>
        </w:rPr>
        <w:t>土地。</w:t>
      </w:r>
    </w:p>
    <w:p w14:paraId="1AFFAC10">
      <w:pPr>
        <w:spacing w:before="154" w:line="228" w:lineRule="auto"/>
        <w:ind w:left="733"/>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6"/>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11  </w:t>
      </w:r>
      <w:r>
        <w:rPr>
          <w:rFonts w:ascii="宋体" w:hAnsi="宋体" w:eastAsia="宋体" w:cs="宋体"/>
          <w:spacing w:val="6"/>
          <w:sz w:val="20"/>
          <w:szCs w:val="20"/>
        </w:rPr>
        <w:t>临时占地：指专用合同条款中指明为实施合同工程需临时占用的土地。</w:t>
      </w:r>
    </w:p>
    <w:p w14:paraId="470EC881">
      <w:pPr>
        <w:pStyle w:val="2"/>
        <w:spacing w:before="155" w:line="232" w:lineRule="auto"/>
        <w:ind w:left="436"/>
        <w:rPr>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6"/>
          <w:sz w:val="20"/>
          <w:szCs w:val="20"/>
        </w:rPr>
        <w:t xml:space="preserve">1.4   </w:t>
      </w:r>
      <w:r>
        <w:rPr>
          <w:spacing w:val="-6"/>
          <w:sz w:val="20"/>
          <w:szCs w:val="20"/>
        </w:rPr>
        <w:t>日期</w:t>
      </w:r>
    </w:p>
    <w:p w14:paraId="31453FA6">
      <w:pPr>
        <w:spacing w:before="146" w:line="228" w:lineRule="auto"/>
        <w:ind w:left="733"/>
        <w:rPr>
          <w:rFonts w:ascii="宋体" w:hAnsi="宋体" w:eastAsia="宋体" w:cs="宋体"/>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spacing w:val="4"/>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开工通知：指监理人按第</w:t>
      </w:r>
      <w:r>
        <w:rPr>
          <w:rFonts w:ascii="宋体" w:hAnsi="宋体" w:eastAsia="宋体" w:cs="宋体"/>
          <w:spacing w:val="-20"/>
          <w:sz w:val="20"/>
          <w:szCs w:val="20"/>
        </w:rPr>
        <w:t xml:space="preserve"> </w:t>
      </w:r>
      <w:r>
        <w:rPr>
          <w:rFonts w:ascii="Times New Roman" w:hAnsi="Times New Roman" w:eastAsia="Times New Roman" w:cs="Times New Roman"/>
          <w:spacing w:val="4"/>
          <w:sz w:val="20"/>
          <w:szCs w:val="20"/>
        </w:rPr>
        <w:t xml:space="preserve">11.1 </w:t>
      </w:r>
      <w:r>
        <w:rPr>
          <w:rFonts w:ascii="宋体" w:hAnsi="宋体" w:eastAsia="宋体" w:cs="宋体"/>
          <w:spacing w:val="4"/>
          <w:sz w:val="20"/>
          <w:szCs w:val="20"/>
        </w:rPr>
        <w:t>款通知承包人开工的函件。</w:t>
      </w:r>
    </w:p>
    <w:p w14:paraId="125889D8">
      <w:pPr>
        <w:spacing w:before="154" w:line="228" w:lineRule="auto"/>
        <w:ind w:left="733"/>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1.4.2  </w:t>
      </w:r>
      <w:r>
        <w:rPr>
          <w:rFonts w:ascii="宋体" w:hAnsi="宋体" w:eastAsia="宋体" w:cs="宋体"/>
          <w:spacing w:val="6"/>
          <w:sz w:val="20"/>
          <w:szCs w:val="20"/>
        </w:rPr>
        <w:t>开工日期：指监理人按第</w:t>
      </w:r>
      <w:r>
        <w:rPr>
          <w:rFonts w:ascii="宋体" w:hAnsi="宋体" w:eastAsia="宋体" w:cs="宋体"/>
          <w:spacing w:val="-20"/>
          <w:sz w:val="20"/>
          <w:szCs w:val="20"/>
        </w:rPr>
        <w:t xml:space="preserve"> </w:t>
      </w:r>
      <w:r>
        <w:rPr>
          <w:rFonts w:ascii="Times New Roman" w:hAnsi="Times New Roman" w:eastAsia="Times New Roman" w:cs="Times New Roman"/>
          <w:spacing w:val="6"/>
          <w:sz w:val="20"/>
          <w:szCs w:val="20"/>
        </w:rPr>
        <w:t>11.</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款发出的开工通知中写明的开工日期。</w:t>
      </w:r>
    </w:p>
    <w:p w14:paraId="6821D209">
      <w:pPr>
        <w:spacing w:before="154" w:line="369" w:lineRule="auto"/>
        <w:ind w:right="37" w:firstLine="7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7"/>
          <w:sz w:val="20"/>
          <w:szCs w:val="20"/>
        </w:rPr>
        <w:t xml:space="preserve">1.4.3 </w:t>
      </w:r>
      <w:r>
        <w:rPr>
          <w:rFonts w:ascii="宋体" w:hAnsi="宋体" w:eastAsia="宋体" w:cs="宋体"/>
          <w:spacing w:val="7"/>
          <w:sz w:val="20"/>
          <w:szCs w:val="20"/>
        </w:rPr>
        <w:t>工期：指承包人在投标函中承诺的完成合同工程所需的期限，包括按第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11.3 </w:t>
      </w:r>
      <w:r>
        <w:rPr>
          <w:rFonts w:ascii="宋体" w:hAnsi="宋体" w:eastAsia="宋体" w:cs="宋体"/>
          <w:spacing w:val="7"/>
          <w:sz w:val="20"/>
          <w:szCs w:val="20"/>
        </w:rPr>
        <w:t>款、</w:t>
      </w:r>
      <w:r>
        <w:rPr>
          <w:rFonts w:ascii="宋体" w:hAnsi="宋体" w:eastAsia="宋体" w:cs="宋体"/>
          <w:spacing w:val="3"/>
          <w:sz w:val="20"/>
          <w:szCs w:val="20"/>
        </w:rPr>
        <w:t>第</w:t>
      </w:r>
      <w:r>
        <w:rPr>
          <w:rFonts w:ascii="宋体" w:hAnsi="宋体" w:eastAsia="宋体" w:cs="宋体"/>
          <w:spacing w:val="-9"/>
          <w:sz w:val="20"/>
          <w:szCs w:val="20"/>
        </w:rPr>
        <w:t xml:space="preserve"> </w:t>
      </w:r>
      <w:r>
        <w:rPr>
          <w:rFonts w:ascii="Times New Roman" w:hAnsi="Times New Roman" w:eastAsia="Times New Roman" w:cs="Times New Roman"/>
          <w:spacing w:val="3"/>
          <w:sz w:val="20"/>
          <w:szCs w:val="20"/>
        </w:rPr>
        <w:t xml:space="preserve">11.4 </w:t>
      </w:r>
      <w:r>
        <w:rPr>
          <w:rFonts w:ascii="宋体" w:hAnsi="宋体" w:eastAsia="宋体" w:cs="宋体"/>
          <w:spacing w:val="3"/>
          <w:sz w:val="20"/>
          <w:szCs w:val="20"/>
        </w:rPr>
        <w:t>款和第</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 xml:space="preserve">11.6 </w:t>
      </w:r>
      <w:r>
        <w:rPr>
          <w:rFonts w:ascii="宋体" w:hAnsi="宋体" w:eastAsia="宋体" w:cs="宋体"/>
          <w:spacing w:val="3"/>
          <w:sz w:val="20"/>
          <w:szCs w:val="20"/>
        </w:rPr>
        <w:t>款约定所作的变更。</w:t>
      </w:r>
    </w:p>
    <w:p w14:paraId="7DA441EB">
      <w:pPr>
        <w:spacing w:before="2" w:line="368" w:lineRule="auto"/>
        <w:ind w:left="19" w:right="2" w:firstLine="714"/>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1.4.4  </w:t>
      </w:r>
      <w:r>
        <w:rPr>
          <w:rFonts w:ascii="宋体" w:hAnsi="宋体" w:eastAsia="宋体" w:cs="宋体"/>
          <w:spacing w:val="5"/>
          <w:sz w:val="20"/>
          <w:szCs w:val="20"/>
        </w:rPr>
        <w:t>竣工日期：指第</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1.4.3  </w:t>
      </w:r>
      <w:r>
        <w:rPr>
          <w:rFonts w:ascii="宋体" w:hAnsi="宋体" w:eastAsia="宋体" w:cs="宋体"/>
          <w:spacing w:val="5"/>
          <w:sz w:val="20"/>
          <w:szCs w:val="20"/>
        </w:rPr>
        <w:t>目约定工期届满时的日期。实际竣工日期以工程接</w:t>
      </w:r>
      <w:r>
        <w:rPr>
          <w:rFonts w:ascii="宋体" w:hAnsi="宋体" w:eastAsia="宋体" w:cs="宋体"/>
          <w:spacing w:val="4"/>
          <w:sz w:val="20"/>
          <w:szCs w:val="20"/>
        </w:rPr>
        <w:t>收证书</w:t>
      </w:r>
      <w:r>
        <w:rPr>
          <w:rFonts w:ascii="宋体" w:hAnsi="宋体" w:eastAsia="宋体" w:cs="宋体"/>
          <w:spacing w:val="5"/>
          <w:sz w:val="20"/>
          <w:szCs w:val="20"/>
        </w:rPr>
        <w:t>中写明的日期为准。</w:t>
      </w:r>
    </w:p>
    <w:p w14:paraId="06BDC779">
      <w:pPr>
        <w:spacing w:before="2" w:line="369" w:lineRule="auto"/>
        <w:ind w:left="5" w:firstLine="728"/>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1.4.5  </w:t>
      </w:r>
      <w:r>
        <w:rPr>
          <w:rFonts w:ascii="宋体" w:hAnsi="宋体" w:eastAsia="宋体" w:cs="宋体"/>
          <w:spacing w:val="7"/>
          <w:sz w:val="20"/>
          <w:szCs w:val="20"/>
        </w:rPr>
        <w:t>缺陷责任期：指履行第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 xml:space="preserve">19.2 </w:t>
      </w:r>
      <w:r>
        <w:rPr>
          <w:rFonts w:ascii="宋体" w:hAnsi="宋体" w:eastAsia="宋体" w:cs="宋体"/>
          <w:spacing w:val="7"/>
          <w:sz w:val="20"/>
          <w:szCs w:val="20"/>
        </w:rPr>
        <w:t>款约定的缺陷责任的期限，具体期限由专</w:t>
      </w:r>
      <w:r>
        <w:rPr>
          <w:rFonts w:ascii="宋体" w:hAnsi="宋体" w:eastAsia="宋体" w:cs="宋体"/>
          <w:spacing w:val="6"/>
          <w:sz w:val="20"/>
          <w:szCs w:val="20"/>
        </w:rPr>
        <w:t>用合同条款约定，包括根据第</w:t>
      </w:r>
      <w:r>
        <w:rPr>
          <w:rFonts w:ascii="宋体" w:hAnsi="宋体" w:eastAsia="宋体" w:cs="宋体"/>
          <w:spacing w:val="-16"/>
          <w:sz w:val="20"/>
          <w:szCs w:val="20"/>
        </w:rPr>
        <w:t xml:space="preserve"> </w:t>
      </w:r>
      <w:r>
        <w:rPr>
          <w:rFonts w:ascii="Times New Roman" w:hAnsi="Times New Roman" w:eastAsia="Times New Roman" w:cs="Times New Roman"/>
          <w:spacing w:val="6"/>
          <w:sz w:val="20"/>
          <w:szCs w:val="20"/>
        </w:rPr>
        <w:t xml:space="preserve">19.3 </w:t>
      </w:r>
      <w:r>
        <w:rPr>
          <w:rFonts w:ascii="宋体" w:hAnsi="宋体" w:eastAsia="宋体" w:cs="宋体"/>
          <w:spacing w:val="6"/>
          <w:sz w:val="20"/>
          <w:szCs w:val="20"/>
        </w:rPr>
        <w:t>款约定所作的延长。</w:t>
      </w:r>
    </w:p>
    <w:p w14:paraId="560CC355">
      <w:pPr>
        <w:spacing w:line="228" w:lineRule="auto"/>
        <w:ind w:left="733"/>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5"/>
          <w:sz w:val="20"/>
          <w:szCs w:val="20"/>
        </w:rPr>
        <w:t xml:space="preserve">1.4.6  </w:t>
      </w:r>
      <w:r>
        <w:rPr>
          <w:rFonts w:ascii="宋体" w:hAnsi="宋体" w:eastAsia="宋体" w:cs="宋体"/>
          <w:spacing w:val="5"/>
          <w:sz w:val="20"/>
          <w:szCs w:val="20"/>
        </w:rPr>
        <w:t>基准日期：指投标截止时间前</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 xml:space="preserve">28 </w:t>
      </w:r>
      <w:r>
        <w:rPr>
          <w:rFonts w:ascii="宋体" w:hAnsi="宋体" w:eastAsia="宋体" w:cs="宋体"/>
          <w:spacing w:val="5"/>
          <w:sz w:val="20"/>
          <w:szCs w:val="20"/>
        </w:rPr>
        <w:t>天的日期。</w:t>
      </w:r>
    </w:p>
    <w:p w14:paraId="275B424A">
      <w:pPr>
        <w:spacing w:before="151" w:line="370" w:lineRule="auto"/>
        <w:ind w:left="35" w:right="2" w:firstLine="697"/>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1.4.7  </w:t>
      </w:r>
      <w:r>
        <w:rPr>
          <w:rFonts w:ascii="宋体" w:hAnsi="宋体" w:eastAsia="宋体" w:cs="宋体"/>
          <w:spacing w:val="9"/>
          <w:sz w:val="20"/>
          <w:szCs w:val="20"/>
        </w:rPr>
        <w:t>天：除特别指明外，指日历天。合同中按天计算时间的，开始当天不计入，从次</w:t>
      </w:r>
      <w:r>
        <w:rPr>
          <w:rFonts w:ascii="宋体" w:hAnsi="宋体" w:eastAsia="宋体" w:cs="宋体"/>
          <w:spacing w:val="6"/>
          <w:sz w:val="20"/>
          <w:szCs w:val="20"/>
        </w:rPr>
        <w:t>日开始计算。期限最后一天的截止时间为当天</w:t>
      </w:r>
      <w:r>
        <w:rPr>
          <w:rFonts w:ascii="宋体" w:hAnsi="宋体" w:eastAsia="宋体" w:cs="宋体"/>
          <w:spacing w:val="-25"/>
          <w:sz w:val="20"/>
          <w:szCs w:val="20"/>
        </w:rPr>
        <w:t xml:space="preserve"> </w:t>
      </w:r>
      <w:r>
        <w:rPr>
          <w:rFonts w:ascii="Times New Roman" w:hAnsi="Times New Roman" w:eastAsia="Times New Roman" w:cs="Times New Roman"/>
          <w:spacing w:val="6"/>
          <w:sz w:val="20"/>
          <w:szCs w:val="20"/>
        </w:rPr>
        <w:t>24:00</w:t>
      </w:r>
      <w:r>
        <w:rPr>
          <w:rFonts w:ascii="宋体" w:hAnsi="宋体" w:eastAsia="宋体" w:cs="宋体"/>
          <w:spacing w:val="6"/>
          <w:sz w:val="20"/>
          <w:szCs w:val="20"/>
        </w:rPr>
        <w:t>。</w:t>
      </w:r>
    </w:p>
    <w:p w14:paraId="45BFAD8D">
      <w:pPr>
        <w:pStyle w:val="2"/>
        <w:spacing w:before="1" w:line="229" w:lineRule="auto"/>
        <w:ind w:left="436"/>
        <w:rPr>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3"/>
          <w:sz w:val="20"/>
          <w:szCs w:val="20"/>
        </w:rPr>
        <w:t xml:space="preserve">1.5  </w:t>
      </w:r>
      <w:r>
        <w:rPr>
          <w:spacing w:val="3"/>
          <w:sz w:val="20"/>
          <w:szCs w:val="20"/>
        </w:rPr>
        <w:t>合同价格和费用</w:t>
      </w:r>
    </w:p>
    <w:p w14:paraId="605E4380">
      <w:pPr>
        <w:spacing w:before="149" w:line="370" w:lineRule="auto"/>
        <w:ind w:left="20" w:right="2" w:firstLine="713"/>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1.5.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签约合同价：指签订合同时合</w:t>
      </w:r>
      <w:r>
        <w:rPr>
          <w:rFonts w:ascii="宋体" w:hAnsi="宋体" w:eastAsia="宋体" w:cs="宋体"/>
          <w:spacing w:val="8"/>
          <w:sz w:val="20"/>
          <w:szCs w:val="20"/>
        </w:rPr>
        <w:t>同协议书中写明的，包括了暂列金额、暂估价的合</w:t>
      </w:r>
      <w:r>
        <w:rPr>
          <w:rFonts w:ascii="宋体" w:hAnsi="宋体" w:eastAsia="宋体" w:cs="宋体"/>
          <w:spacing w:val="1"/>
          <w:sz w:val="20"/>
          <w:szCs w:val="20"/>
        </w:rPr>
        <w:t>同总金额。</w:t>
      </w:r>
    </w:p>
    <w:p w14:paraId="786F7821">
      <w:pPr>
        <w:spacing w:before="2" w:line="368" w:lineRule="auto"/>
        <w:ind w:right="2" w:firstLine="733"/>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1.5.2  </w:t>
      </w:r>
      <w:r>
        <w:rPr>
          <w:rFonts w:ascii="宋体" w:hAnsi="宋体" w:eastAsia="宋体" w:cs="宋体"/>
          <w:spacing w:val="9"/>
          <w:sz w:val="20"/>
          <w:szCs w:val="20"/>
        </w:rPr>
        <w:t>合同价格：指承包人按合同约定完成了包括缺陷责任期内的全部承包工作后，发包人应付给承包人的金额，包括在履行合同过程中按合同约定进行的变更和调整。</w:t>
      </w:r>
    </w:p>
    <w:p w14:paraId="4BF4F9E5">
      <w:pPr>
        <w:spacing w:before="2" w:line="368" w:lineRule="auto"/>
        <w:ind w:left="17" w:right="2" w:firstLine="716"/>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1.5.3  </w:t>
      </w:r>
      <w:r>
        <w:rPr>
          <w:rFonts w:ascii="宋体" w:hAnsi="宋体" w:eastAsia="宋体" w:cs="宋体"/>
          <w:spacing w:val="9"/>
          <w:sz w:val="20"/>
          <w:szCs w:val="20"/>
        </w:rPr>
        <w:t>费用：指为履行合同所发生的或将要发生的所有合理开支，包括管理费和应分摊</w:t>
      </w:r>
      <w:r>
        <w:rPr>
          <w:rFonts w:ascii="宋体" w:hAnsi="宋体" w:eastAsia="宋体" w:cs="宋体"/>
          <w:spacing w:val="7"/>
          <w:sz w:val="20"/>
          <w:szCs w:val="20"/>
        </w:rPr>
        <w:t>的其他费用，但不包括利润。</w:t>
      </w:r>
    </w:p>
    <w:p w14:paraId="7020FC40">
      <w:pPr>
        <w:spacing w:before="1" w:line="369" w:lineRule="auto"/>
        <w:ind w:firstLine="733"/>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1.5.4  </w:t>
      </w:r>
      <w:r>
        <w:rPr>
          <w:rFonts w:ascii="宋体" w:hAnsi="宋体" w:eastAsia="宋体" w:cs="宋体"/>
          <w:spacing w:val="9"/>
          <w:sz w:val="20"/>
          <w:szCs w:val="20"/>
        </w:rPr>
        <w:t>暂列金额：指已标价工程量清单中所列的暂列金额，用于在签订协议书时尚未确</w:t>
      </w:r>
      <w:r>
        <w:rPr>
          <w:rFonts w:ascii="宋体" w:hAnsi="宋体" w:eastAsia="宋体" w:cs="宋体"/>
          <w:spacing w:val="10"/>
          <w:sz w:val="20"/>
          <w:szCs w:val="20"/>
        </w:rPr>
        <w:t>定或不可预见变更的施工及其所需材料、工程设备、服务等的金额，包括</w:t>
      </w:r>
      <w:r>
        <w:rPr>
          <w:rFonts w:ascii="宋体" w:hAnsi="宋体" w:eastAsia="宋体" w:cs="宋体"/>
          <w:spacing w:val="9"/>
          <w:sz w:val="20"/>
          <w:szCs w:val="20"/>
        </w:rPr>
        <w:t>以计日工方式支付的金</w:t>
      </w:r>
      <w:r>
        <w:rPr>
          <w:rFonts w:ascii="宋体" w:hAnsi="宋体" w:eastAsia="宋体" w:cs="宋体"/>
          <w:sz w:val="20"/>
          <w:szCs w:val="20"/>
        </w:rPr>
        <w:t>额。</w:t>
      </w:r>
    </w:p>
    <w:p w14:paraId="62B6E69E">
      <w:pPr>
        <w:spacing w:line="226" w:lineRule="auto"/>
        <w:ind w:right="2"/>
        <w:jc w:val="right"/>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5"/>
          <w:sz w:val="20"/>
          <w:szCs w:val="20"/>
        </w:rPr>
        <w:t>1.5.5</w:t>
      </w:r>
      <w:r>
        <w:rPr>
          <w:rFonts w:ascii="Times New Roman" w:hAnsi="Times New Roman" w:eastAsia="Times New Roman" w:cs="Times New Roman"/>
          <w:spacing w:val="19"/>
          <w:sz w:val="20"/>
          <w:szCs w:val="20"/>
        </w:rPr>
        <w:t xml:space="preserve"> </w:t>
      </w:r>
      <w:r>
        <w:rPr>
          <w:rFonts w:ascii="宋体" w:hAnsi="宋体" w:eastAsia="宋体" w:cs="宋体"/>
          <w:spacing w:val="5"/>
          <w:sz w:val="20"/>
          <w:szCs w:val="20"/>
        </w:rPr>
        <w:t>暂估价：指发包人在工程量清单中给定的用于支付必然发生但暂时不能确定价格的</w:t>
      </w:r>
    </w:p>
    <w:p w14:paraId="5BF0C567">
      <w:pPr>
        <w:spacing w:line="226" w:lineRule="auto"/>
        <w:rPr>
          <w:rFonts w:ascii="宋体" w:hAnsi="宋体" w:eastAsia="宋体" w:cs="宋体"/>
          <w:sz w:val="20"/>
          <w:szCs w:val="20"/>
        </w:rPr>
        <w:sectPr>
          <w:footerReference r:id="rId163" w:type="default"/>
          <w:pgSz w:w="11906" w:h="16839"/>
          <w:pgMar w:top="400" w:right="1554" w:bottom="1038" w:left="1539" w:header="0" w:footer="787" w:gutter="0"/>
          <w:cols w:space="720" w:num="1"/>
        </w:sectPr>
      </w:pPr>
    </w:p>
    <w:p w14:paraId="6B53B1AB">
      <w:pPr>
        <w:spacing w:line="271" w:lineRule="auto"/>
        <w:rPr>
          <w:rFonts w:ascii="Arial"/>
          <w:sz w:val="21"/>
        </w:rPr>
      </w:pPr>
    </w:p>
    <w:p w14:paraId="2516563D">
      <w:pPr>
        <w:spacing w:line="272" w:lineRule="auto"/>
        <w:rPr>
          <w:rFonts w:ascii="Arial"/>
          <w:sz w:val="21"/>
        </w:rPr>
      </w:pPr>
    </w:p>
    <w:p w14:paraId="1305C1DD">
      <w:pPr>
        <w:spacing w:line="272" w:lineRule="auto"/>
        <w:rPr>
          <w:rFonts w:ascii="Arial"/>
          <w:sz w:val="21"/>
        </w:rPr>
      </w:pPr>
    </w:p>
    <w:p w14:paraId="6634C083">
      <w:pPr>
        <w:spacing w:line="272" w:lineRule="auto"/>
        <w:rPr>
          <w:rFonts w:ascii="Arial"/>
          <w:sz w:val="21"/>
        </w:rPr>
      </w:pPr>
    </w:p>
    <w:p w14:paraId="08FBDE8C">
      <w:pPr>
        <w:spacing w:before="65" w:line="227" w:lineRule="auto"/>
        <w:rPr>
          <w:rFonts w:ascii="宋体" w:hAnsi="宋体" w:eastAsia="宋体" w:cs="宋体"/>
          <w:sz w:val="20"/>
          <w:szCs w:val="20"/>
        </w:rPr>
      </w:pPr>
      <w:r>
        <w:rPr>
          <w:rFonts w:ascii="宋体" w:hAnsi="宋体" w:eastAsia="宋体" w:cs="宋体"/>
          <w:spacing w:val="8"/>
          <w:sz w:val="20"/>
          <w:szCs w:val="20"/>
        </w:rPr>
        <w:t>材料、设备以及专业工程的金额。</w:t>
      </w:r>
    </w:p>
    <w:p w14:paraId="4A3F2EBC">
      <w:pPr>
        <w:spacing w:before="152" w:line="370" w:lineRule="auto"/>
        <w:ind w:left="1" w:right="73" w:firstLine="733"/>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1.5.6  </w:t>
      </w:r>
      <w:r>
        <w:rPr>
          <w:rFonts w:ascii="宋体" w:hAnsi="宋体" w:eastAsia="宋体" w:cs="宋体"/>
          <w:spacing w:val="9"/>
          <w:sz w:val="20"/>
          <w:szCs w:val="20"/>
        </w:rPr>
        <w:t>计日工：指对零星工作采取的一种计价方式，按合同中的计日工子目及其单价计</w:t>
      </w:r>
      <w:r>
        <w:rPr>
          <w:rFonts w:ascii="宋体" w:hAnsi="宋体" w:eastAsia="宋体" w:cs="宋体"/>
          <w:spacing w:val="4"/>
          <w:sz w:val="20"/>
          <w:szCs w:val="20"/>
        </w:rPr>
        <w:t>价付款。</w:t>
      </w:r>
    </w:p>
    <w:p w14:paraId="174629BD">
      <w:pPr>
        <w:spacing w:before="1" w:line="368" w:lineRule="auto"/>
        <w:ind w:left="14" w:right="70" w:firstLine="720"/>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1.5.7  </w:t>
      </w:r>
      <w:r>
        <w:rPr>
          <w:rFonts w:ascii="宋体" w:hAnsi="宋体" w:eastAsia="宋体" w:cs="宋体"/>
          <w:spacing w:val="6"/>
          <w:sz w:val="20"/>
          <w:szCs w:val="20"/>
        </w:rPr>
        <w:t>质量保证金（或称保留</w:t>
      </w:r>
      <w:r>
        <w:rPr>
          <w:rFonts w:ascii="宋体" w:hAnsi="宋体" w:eastAsia="宋体" w:cs="宋体"/>
          <w:spacing w:val="5"/>
          <w:sz w:val="20"/>
          <w:szCs w:val="20"/>
        </w:rPr>
        <w:t>金</w:t>
      </w:r>
      <w:r>
        <w:rPr>
          <w:rFonts w:ascii="宋体" w:hAnsi="宋体" w:eastAsia="宋体" w:cs="宋体"/>
          <w:spacing w:val="-45"/>
          <w:sz w:val="20"/>
          <w:szCs w:val="20"/>
        </w:rPr>
        <w:t>）：</w:t>
      </w:r>
      <w:r>
        <w:rPr>
          <w:rFonts w:ascii="宋体" w:hAnsi="宋体" w:eastAsia="宋体" w:cs="宋体"/>
          <w:spacing w:val="5"/>
          <w:sz w:val="20"/>
          <w:szCs w:val="20"/>
        </w:rPr>
        <w:t>指按第</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17.4.1</w:t>
      </w:r>
      <w:r>
        <w:rPr>
          <w:rFonts w:ascii="Times New Roman" w:hAnsi="Times New Roman" w:eastAsia="Times New Roman" w:cs="Times New Roman"/>
          <w:spacing w:val="16"/>
          <w:sz w:val="20"/>
          <w:szCs w:val="20"/>
        </w:rPr>
        <w:t xml:space="preserve"> </w:t>
      </w:r>
      <w:r>
        <w:rPr>
          <w:rFonts w:ascii="宋体" w:hAnsi="宋体" w:eastAsia="宋体" w:cs="宋体"/>
          <w:spacing w:val="5"/>
          <w:sz w:val="20"/>
          <w:szCs w:val="20"/>
        </w:rPr>
        <w:t>项约定用于保证在缺陷责任期内履行缺</w:t>
      </w:r>
      <w:r>
        <w:rPr>
          <w:rFonts w:ascii="宋体" w:hAnsi="宋体" w:eastAsia="宋体" w:cs="宋体"/>
          <w:spacing w:val="6"/>
          <w:sz w:val="20"/>
          <w:szCs w:val="20"/>
        </w:rPr>
        <w:t>陷修复义务的金额。</w:t>
      </w:r>
    </w:p>
    <w:p w14:paraId="06D78BD2">
      <w:pPr>
        <w:pStyle w:val="2"/>
        <w:spacing w:line="230" w:lineRule="auto"/>
        <w:ind w:left="437"/>
        <w:rPr>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4"/>
          <w:sz w:val="20"/>
          <w:szCs w:val="20"/>
        </w:rPr>
        <w:t>1.6</w:t>
      </w:r>
      <w:r>
        <w:rPr>
          <w:rFonts w:ascii="Times New Roman" w:hAnsi="Times New Roman" w:eastAsia="Times New Roman" w:cs="Times New Roman"/>
          <w:spacing w:val="7"/>
          <w:sz w:val="20"/>
          <w:szCs w:val="20"/>
        </w:rPr>
        <w:t xml:space="preserve">  </w:t>
      </w:r>
      <w:r>
        <w:rPr>
          <w:spacing w:val="-4"/>
          <w:sz w:val="20"/>
          <w:szCs w:val="20"/>
        </w:rPr>
        <w:t>其他</w:t>
      </w:r>
    </w:p>
    <w:p w14:paraId="27591822">
      <w:pPr>
        <w:spacing w:before="151" w:line="227" w:lineRule="auto"/>
        <w:ind w:left="73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书面形式：指合同文件、信函、</w:t>
      </w:r>
      <w:r>
        <w:rPr>
          <w:rFonts w:ascii="宋体" w:hAnsi="宋体" w:eastAsia="宋体" w:cs="宋体"/>
          <w:spacing w:val="-60"/>
          <w:sz w:val="20"/>
          <w:szCs w:val="20"/>
        </w:rPr>
        <w:t xml:space="preserve"> </w:t>
      </w:r>
      <w:r>
        <w:rPr>
          <w:rFonts w:ascii="宋体" w:hAnsi="宋体" w:eastAsia="宋体" w:cs="宋体"/>
          <w:spacing w:val="6"/>
          <w:sz w:val="20"/>
          <w:szCs w:val="20"/>
        </w:rPr>
        <w:t>电报、传真等可以有形</w:t>
      </w:r>
      <w:r>
        <w:rPr>
          <w:rFonts w:ascii="宋体" w:hAnsi="宋体" w:eastAsia="宋体" w:cs="宋体"/>
          <w:spacing w:val="5"/>
          <w:sz w:val="20"/>
          <w:szCs w:val="20"/>
        </w:rPr>
        <w:t>地表现所载内容的形式。</w:t>
      </w:r>
    </w:p>
    <w:p w14:paraId="204470E2">
      <w:pPr>
        <w:pStyle w:val="2"/>
        <w:spacing w:before="127" w:line="222" w:lineRule="auto"/>
        <w:ind w:left="20"/>
        <w:rPr>
          <w:sz w:val="24"/>
          <w:szCs w:val="24"/>
        </w:rPr>
      </w:pPr>
      <w:r>
        <w:rPr>
          <w:rFonts w:ascii="Times New Roman" w:hAnsi="Times New Roman" w:eastAsia="Times New Roman" w:cs="Times New Roman"/>
          <w:spacing w:val="-4"/>
          <w:sz w:val="24"/>
          <w:szCs w:val="24"/>
        </w:rPr>
        <w:t xml:space="preserve">1.2  </w:t>
      </w:r>
      <w:r>
        <w:rPr>
          <w:spacing w:val="-4"/>
          <w:sz w:val="24"/>
          <w:szCs w:val="24"/>
        </w:rPr>
        <w:t>语言文字</w:t>
      </w:r>
    </w:p>
    <w:p w14:paraId="46CC7DF2">
      <w:pPr>
        <w:spacing w:before="137" w:line="227" w:lineRule="auto"/>
        <w:ind w:left="433"/>
        <w:rPr>
          <w:rFonts w:ascii="宋体" w:hAnsi="宋体" w:eastAsia="宋体" w:cs="宋体"/>
          <w:sz w:val="20"/>
          <w:szCs w:val="20"/>
        </w:rPr>
      </w:pPr>
      <w:r>
        <w:rPr>
          <w:rFonts w:ascii="宋体" w:hAnsi="宋体" w:eastAsia="宋体" w:cs="宋体"/>
          <w:spacing w:val="9"/>
          <w:sz w:val="20"/>
          <w:szCs w:val="20"/>
        </w:rPr>
        <w:t>除专用术语外，合同使用的语言文字为中文。必要时专用术语应附有中文注释。</w:t>
      </w:r>
    </w:p>
    <w:p w14:paraId="20091041">
      <w:pPr>
        <w:pStyle w:val="2"/>
        <w:spacing w:before="129" w:line="222" w:lineRule="auto"/>
        <w:ind w:left="20"/>
        <w:rPr>
          <w:sz w:val="24"/>
          <w:szCs w:val="24"/>
        </w:rPr>
      </w:pPr>
      <w:r>
        <w:rPr>
          <w:rFonts w:ascii="Times New Roman" w:hAnsi="Times New Roman" w:eastAsia="Times New Roman" w:cs="Times New Roman"/>
          <w:spacing w:val="-8"/>
          <w:sz w:val="24"/>
          <w:szCs w:val="24"/>
        </w:rPr>
        <w:t>1.3</w:t>
      </w:r>
      <w:r>
        <w:rPr>
          <w:rFonts w:ascii="Times New Roman" w:hAnsi="Times New Roman" w:eastAsia="Times New Roman" w:cs="Times New Roman"/>
          <w:spacing w:val="5"/>
          <w:sz w:val="24"/>
          <w:szCs w:val="24"/>
        </w:rPr>
        <w:t xml:space="preserve">  </w:t>
      </w:r>
      <w:r>
        <w:rPr>
          <w:spacing w:val="-8"/>
          <w:sz w:val="24"/>
          <w:szCs w:val="24"/>
        </w:rPr>
        <w:t>法律</w:t>
      </w:r>
    </w:p>
    <w:p w14:paraId="27215863">
      <w:pPr>
        <w:spacing w:before="135" w:line="358" w:lineRule="auto"/>
        <w:ind w:left="1" w:right="71" w:firstLine="419"/>
        <w:rPr>
          <w:rFonts w:ascii="宋体" w:hAnsi="宋体" w:eastAsia="宋体" w:cs="宋体"/>
          <w:sz w:val="20"/>
          <w:szCs w:val="20"/>
        </w:rPr>
      </w:pPr>
      <w:r>
        <w:rPr>
          <w:rFonts w:ascii="宋体" w:hAnsi="宋体" w:eastAsia="宋体" w:cs="宋体"/>
          <w:spacing w:val="10"/>
          <w:sz w:val="20"/>
          <w:szCs w:val="20"/>
        </w:rPr>
        <w:t>适用于合同的法律包括中华人民共和国法律、行政法规、部门规章，</w:t>
      </w:r>
      <w:r>
        <w:rPr>
          <w:rFonts w:ascii="宋体" w:hAnsi="宋体" w:eastAsia="宋体" w:cs="宋体"/>
          <w:spacing w:val="9"/>
          <w:sz w:val="20"/>
          <w:szCs w:val="20"/>
        </w:rPr>
        <w:t>以及工程所在地的地方</w:t>
      </w:r>
      <w:r>
        <w:rPr>
          <w:rFonts w:ascii="宋体" w:hAnsi="宋体" w:eastAsia="宋体" w:cs="宋体"/>
          <w:spacing w:val="6"/>
          <w:sz w:val="20"/>
          <w:szCs w:val="20"/>
        </w:rPr>
        <w:t>法规、</w:t>
      </w:r>
      <w:r>
        <w:rPr>
          <w:rFonts w:ascii="宋体" w:hAnsi="宋体" w:eastAsia="宋体" w:cs="宋体"/>
          <w:spacing w:val="-42"/>
          <w:sz w:val="20"/>
          <w:szCs w:val="20"/>
        </w:rPr>
        <w:t xml:space="preserve"> </w:t>
      </w:r>
      <w:r>
        <w:rPr>
          <w:rFonts w:ascii="宋体" w:hAnsi="宋体" w:eastAsia="宋体" w:cs="宋体"/>
          <w:spacing w:val="6"/>
          <w:sz w:val="20"/>
          <w:szCs w:val="20"/>
        </w:rPr>
        <w:t>自治条例、单行条例和地方政府规章。</w:t>
      </w:r>
    </w:p>
    <w:p w14:paraId="4BB171F9">
      <w:pPr>
        <w:pStyle w:val="2"/>
        <w:spacing w:before="2" w:line="220" w:lineRule="auto"/>
        <w:ind w:left="20"/>
        <w:rPr>
          <w:sz w:val="24"/>
          <w:szCs w:val="24"/>
        </w:rPr>
      </w:pPr>
      <w:r>
        <w:rPr>
          <w:rFonts w:ascii="Times New Roman" w:hAnsi="Times New Roman" w:eastAsia="Times New Roman" w:cs="Times New Roman"/>
          <w:spacing w:val="-3"/>
          <w:sz w:val="24"/>
          <w:szCs w:val="24"/>
        </w:rPr>
        <w:t xml:space="preserve">1.4  </w:t>
      </w:r>
      <w:r>
        <w:rPr>
          <w:spacing w:val="-3"/>
          <w:sz w:val="24"/>
          <w:szCs w:val="24"/>
        </w:rPr>
        <w:t>合同文件的优先顺序</w:t>
      </w:r>
    </w:p>
    <w:p w14:paraId="3AFC7771">
      <w:pPr>
        <w:spacing w:before="137" w:line="370" w:lineRule="auto"/>
        <w:ind w:right="71" w:firstLine="423"/>
        <w:rPr>
          <w:rFonts w:ascii="宋体" w:hAnsi="宋体" w:eastAsia="宋体" w:cs="宋体"/>
          <w:sz w:val="20"/>
          <w:szCs w:val="20"/>
        </w:rPr>
      </w:pPr>
      <w:r>
        <w:rPr>
          <w:rFonts w:ascii="宋体" w:hAnsi="宋体" w:eastAsia="宋体" w:cs="宋体"/>
          <w:spacing w:val="10"/>
          <w:sz w:val="20"/>
          <w:szCs w:val="20"/>
        </w:rPr>
        <w:t>组成合同的各项文件应互相解释，互为说明。除专用合同条款另</w:t>
      </w:r>
      <w:r>
        <w:rPr>
          <w:rFonts w:ascii="宋体" w:hAnsi="宋体" w:eastAsia="宋体" w:cs="宋体"/>
          <w:spacing w:val="9"/>
          <w:sz w:val="20"/>
          <w:szCs w:val="20"/>
        </w:rPr>
        <w:t>有约定外，解释合同文件的</w:t>
      </w:r>
      <w:r>
        <w:rPr>
          <w:rFonts w:ascii="宋体" w:hAnsi="宋体" w:eastAsia="宋体" w:cs="宋体"/>
          <w:spacing w:val="7"/>
          <w:sz w:val="20"/>
          <w:szCs w:val="20"/>
        </w:rPr>
        <w:t>优先顺序如下：</w:t>
      </w:r>
    </w:p>
    <w:p w14:paraId="59A8A2B4">
      <w:pPr>
        <w:spacing w:before="1" w:line="226" w:lineRule="auto"/>
        <w:ind w:left="36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）合同协议书；</w:t>
      </w:r>
    </w:p>
    <w:p w14:paraId="2953B875">
      <w:pPr>
        <w:spacing w:before="153" w:line="227" w:lineRule="auto"/>
        <w:ind w:left="36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）中标通知书；</w:t>
      </w:r>
    </w:p>
    <w:p w14:paraId="304A1B75">
      <w:pPr>
        <w:spacing w:before="155" w:line="227" w:lineRule="auto"/>
        <w:ind w:left="36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）投标函及投标函附录；</w:t>
      </w:r>
    </w:p>
    <w:p w14:paraId="0C2EA4A4">
      <w:pPr>
        <w:spacing w:before="154" w:line="228" w:lineRule="auto"/>
        <w:ind w:left="36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）专用合同条款；</w:t>
      </w:r>
    </w:p>
    <w:p w14:paraId="48BEEADC">
      <w:pPr>
        <w:spacing w:before="152" w:line="228" w:lineRule="auto"/>
        <w:ind w:left="36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5</w:t>
      </w:r>
      <w:r>
        <w:rPr>
          <w:rFonts w:ascii="宋体" w:hAnsi="宋体" w:eastAsia="宋体" w:cs="宋体"/>
          <w:spacing w:val="6"/>
          <w:sz w:val="20"/>
          <w:szCs w:val="20"/>
        </w:rPr>
        <w:t>）通用合同条款；</w:t>
      </w:r>
    </w:p>
    <w:p w14:paraId="4283655F">
      <w:pPr>
        <w:spacing w:before="154" w:line="228" w:lineRule="auto"/>
        <w:ind w:left="36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6</w:t>
      </w:r>
      <w:r>
        <w:rPr>
          <w:rFonts w:ascii="宋体" w:hAnsi="宋体" w:eastAsia="宋体" w:cs="宋体"/>
          <w:spacing w:val="6"/>
          <w:sz w:val="20"/>
          <w:szCs w:val="20"/>
        </w:rPr>
        <w:t>）技术标准和要求；</w:t>
      </w:r>
    </w:p>
    <w:p w14:paraId="11D09519">
      <w:pPr>
        <w:spacing w:before="154" w:line="229" w:lineRule="auto"/>
        <w:ind w:left="368"/>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7</w:t>
      </w:r>
      <w:r>
        <w:rPr>
          <w:rFonts w:ascii="宋体" w:hAnsi="宋体" w:eastAsia="宋体" w:cs="宋体"/>
          <w:spacing w:val="4"/>
          <w:sz w:val="20"/>
          <w:szCs w:val="20"/>
        </w:rPr>
        <w:t>）图纸；</w:t>
      </w:r>
    </w:p>
    <w:p w14:paraId="0707FA7C">
      <w:pPr>
        <w:spacing w:before="150" w:line="226" w:lineRule="auto"/>
        <w:ind w:left="368"/>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8</w:t>
      </w:r>
      <w:r>
        <w:rPr>
          <w:rFonts w:ascii="宋体" w:hAnsi="宋体" w:eastAsia="宋体" w:cs="宋体"/>
          <w:spacing w:val="3"/>
          <w:sz w:val="20"/>
          <w:szCs w:val="20"/>
        </w:rPr>
        <w:t>）</w:t>
      </w:r>
      <w:r>
        <w:rPr>
          <w:rFonts w:ascii="宋体" w:hAnsi="宋体" w:eastAsia="宋体" w:cs="宋体"/>
          <w:spacing w:val="-50"/>
          <w:sz w:val="20"/>
          <w:szCs w:val="20"/>
        </w:rPr>
        <w:t xml:space="preserve"> </w:t>
      </w:r>
      <w:r>
        <w:rPr>
          <w:rFonts w:ascii="宋体" w:hAnsi="宋体" w:eastAsia="宋体" w:cs="宋体"/>
          <w:spacing w:val="3"/>
          <w:sz w:val="20"/>
          <w:szCs w:val="20"/>
        </w:rPr>
        <w:t>已标价工程量清单；</w:t>
      </w:r>
    </w:p>
    <w:p w14:paraId="4055662B">
      <w:pPr>
        <w:spacing w:before="156" w:line="228" w:lineRule="auto"/>
        <w:ind w:left="36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9</w:t>
      </w:r>
      <w:r>
        <w:rPr>
          <w:rFonts w:ascii="宋体" w:hAnsi="宋体" w:eastAsia="宋体" w:cs="宋体"/>
          <w:spacing w:val="6"/>
          <w:sz w:val="20"/>
          <w:szCs w:val="20"/>
        </w:rPr>
        <w:t>）其他合同文件。</w:t>
      </w:r>
    </w:p>
    <w:p w14:paraId="3368D4C5">
      <w:pPr>
        <w:pStyle w:val="2"/>
        <w:spacing w:before="127" w:line="222" w:lineRule="auto"/>
        <w:ind w:left="20"/>
        <w:rPr>
          <w:sz w:val="24"/>
          <w:szCs w:val="24"/>
        </w:rPr>
      </w:pPr>
      <w:r>
        <w:rPr>
          <w:rFonts w:ascii="Times New Roman" w:hAnsi="Times New Roman" w:eastAsia="Times New Roman" w:cs="Times New Roman"/>
          <w:spacing w:val="-3"/>
          <w:sz w:val="24"/>
          <w:szCs w:val="24"/>
        </w:rPr>
        <w:t xml:space="preserve">1.5  </w:t>
      </w:r>
      <w:r>
        <w:rPr>
          <w:spacing w:val="-3"/>
          <w:sz w:val="24"/>
          <w:szCs w:val="24"/>
        </w:rPr>
        <w:t>合同协议书</w:t>
      </w:r>
    </w:p>
    <w:p w14:paraId="1421158D">
      <w:pPr>
        <w:spacing w:before="136" w:line="358" w:lineRule="auto"/>
        <w:ind w:left="5" w:firstLine="415"/>
        <w:rPr>
          <w:rFonts w:ascii="宋体" w:hAnsi="宋体" w:eastAsia="宋体" w:cs="宋体"/>
          <w:sz w:val="20"/>
          <w:szCs w:val="20"/>
        </w:rPr>
      </w:pPr>
      <w:r>
        <w:rPr>
          <w:rFonts w:ascii="宋体" w:hAnsi="宋体" w:eastAsia="宋体" w:cs="宋体"/>
          <w:spacing w:val="10"/>
          <w:sz w:val="20"/>
          <w:szCs w:val="20"/>
        </w:rPr>
        <w:t>承包人按中标通知书规定的时间与发包人签订合同协议书。除法律另</w:t>
      </w:r>
      <w:r>
        <w:rPr>
          <w:rFonts w:ascii="宋体" w:hAnsi="宋体" w:eastAsia="宋体" w:cs="宋体"/>
          <w:spacing w:val="9"/>
          <w:sz w:val="20"/>
          <w:szCs w:val="20"/>
        </w:rPr>
        <w:t>有规定或合同另有约定</w:t>
      </w:r>
      <w:r>
        <w:rPr>
          <w:rFonts w:ascii="宋体" w:hAnsi="宋体" w:eastAsia="宋体" w:cs="宋体"/>
          <w:spacing w:val="7"/>
          <w:sz w:val="20"/>
          <w:szCs w:val="20"/>
        </w:rPr>
        <w:t>外，发包人和承包人的法定代表人或其委托</w:t>
      </w:r>
      <w:r>
        <w:rPr>
          <w:rFonts w:ascii="宋体" w:hAnsi="宋体" w:eastAsia="宋体" w:cs="宋体"/>
          <w:spacing w:val="6"/>
          <w:sz w:val="20"/>
          <w:szCs w:val="20"/>
        </w:rPr>
        <w:t>代理人在合同协议书上签字并盖单位章后，合同生效。</w:t>
      </w:r>
    </w:p>
    <w:p w14:paraId="5DBCDDD7">
      <w:pPr>
        <w:pStyle w:val="2"/>
        <w:spacing w:before="1" w:line="221" w:lineRule="auto"/>
        <w:ind w:left="20"/>
        <w:rPr>
          <w:sz w:val="24"/>
          <w:szCs w:val="24"/>
        </w:rPr>
      </w:pPr>
      <w:r>
        <w:rPr>
          <w:rFonts w:ascii="Times New Roman" w:hAnsi="Times New Roman" w:eastAsia="Times New Roman" w:cs="Times New Roman"/>
          <w:spacing w:val="-5"/>
          <w:sz w:val="24"/>
          <w:szCs w:val="24"/>
        </w:rPr>
        <w:t>1.6</w:t>
      </w:r>
      <w:r>
        <w:rPr>
          <w:rFonts w:ascii="Times New Roman" w:hAnsi="Times New Roman" w:eastAsia="Times New Roman" w:cs="Times New Roman"/>
          <w:spacing w:val="12"/>
          <w:sz w:val="24"/>
          <w:szCs w:val="24"/>
        </w:rPr>
        <w:t xml:space="preserve">  </w:t>
      </w:r>
      <w:r>
        <w:rPr>
          <w:spacing w:val="-5"/>
          <w:sz w:val="24"/>
          <w:szCs w:val="24"/>
        </w:rPr>
        <w:t>图纸和承包人文件</w:t>
      </w:r>
    </w:p>
    <w:p w14:paraId="0EC6D83E">
      <w:pPr>
        <w:pStyle w:val="2"/>
        <w:spacing w:before="136" w:line="231" w:lineRule="auto"/>
        <w:ind w:left="437"/>
        <w:rPr>
          <w:sz w:val="20"/>
          <w:szCs w:val="20"/>
        </w:rPr>
      </w:pPr>
      <w:r>
        <w:rPr>
          <w:rFonts w:ascii="Times New Roman" w:hAnsi="Times New Roman" w:eastAsia="Times New Roman" w:cs="Times New Roman"/>
          <w:sz w:val="20"/>
          <w:szCs w:val="20"/>
        </w:rPr>
        <w:t>1.6.</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z w:val="20"/>
          <w:szCs w:val="20"/>
        </w:rPr>
        <w:t>1</w:t>
      </w:r>
      <w:r>
        <w:rPr>
          <w:rFonts w:ascii="Times New Roman" w:hAnsi="Times New Roman" w:eastAsia="Times New Roman" w:cs="Times New Roman"/>
          <w:spacing w:val="22"/>
          <w:sz w:val="20"/>
          <w:szCs w:val="20"/>
        </w:rPr>
        <w:t xml:space="preserve"> </w:t>
      </w:r>
      <w:r>
        <w:rPr>
          <w:sz w:val="20"/>
          <w:szCs w:val="20"/>
        </w:rPr>
        <w:t>图纸的提供</w:t>
      </w:r>
    </w:p>
    <w:p w14:paraId="0DDE86F7">
      <w:pPr>
        <w:spacing w:before="151" w:line="369" w:lineRule="auto"/>
        <w:ind w:left="4" w:right="71" w:firstLine="428"/>
        <w:rPr>
          <w:rFonts w:ascii="宋体" w:hAnsi="宋体" w:eastAsia="宋体" w:cs="宋体"/>
          <w:sz w:val="20"/>
          <w:szCs w:val="20"/>
        </w:rPr>
      </w:pPr>
      <w:r>
        <w:rPr>
          <w:rFonts w:ascii="宋体" w:hAnsi="宋体" w:eastAsia="宋体" w:cs="宋体"/>
          <w:spacing w:val="8"/>
          <w:sz w:val="20"/>
          <w:szCs w:val="20"/>
        </w:rPr>
        <w:t>除专用合同条款另有约定外，图纸应在合理的期限内按照合同约定的数量提供给承包人。</w:t>
      </w:r>
      <w:r>
        <w:rPr>
          <w:rFonts w:ascii="宋体" w:hAnsi="宋体" w:eastAsia="宋体" w:cs="宋体"/>
          <w:spacing w:val="-42"/>
          <w:sz w:val="20"/>
          <w:szCs w:val="20"/>
        </w:rPr>
        <w:t xml:space="preserve"> </w:t>
      </w:r>
      <w:r>
        <w:rPr>
          <w:rFonts w:ascii="宋体" w:hAnsi="宋体" w:eastAsia="宋体" w:cs="宋体"/>
          <w:spacing w:val="8"/>
          <w:sz w:val="20"/>
          <w:szCs w:val="20"/>
        </w:rPr>
        <w:t>由</w:t>
      </w:r>
      <w:r>
        <w:rPr>
          <w:rFonts w:ascii="宋体" w:hAnsi="宋体" w:eastAsia="宋体" w:cs="宋体"/>
          <w:spacing w:val="7"/>
          <w:sz w:val="20"/>
          <w:szCs w:val="20"/>
        </w:rPr>
        <w:t>于发包人未按时提供图纸造成工期延误的，按第</w:t>
      </w:r>
      <w:r>
        <w:rPr>
          <w:rFonts w:ascii="宋体" w:hAnsi="宋体" w:eastAsia="宋体" w:cs="宋体"/>
          <w:spacing w:val="-12"/>
          <w:sz w:val="20"/>
          <w:szCs w:val="20"/>
        </w:rPr>
        <w:t xml:space="preserve"> </w:t>
      </w:r>
      <w:r>
        <w:rPr>
          <w:rFonts w:ascii="Times New Roman" w:hAnsi="Times New Roman" w:eastAsia="Times New Roman" w:cs="Times New Roman"/>
          <w:spacing w:val="7"/>
          <w:sz w:val="20"/>
          <w:szCs w:val="20"/>
        </w:rPr>
        <w:t xml:space="preserve">11.3 </w:t>
      </w:r>
      <w:r>
        <w:rPr>
          <w:rFonts w:ascii="宋体" w:hAnsi="宋体" w:eastAsia="宋体" w:cs="宋体"/>
          <w:spacing w:val="7"/>
          <w:sz w:val="20"/>
          <w:szCs w:val="20"/>
        </w:rPr>
        <w:t>款的约定办理。</w:t>
      </w:r>
    </w:p>
    <w:p w14:paraId="65796CC8">
      <w:pPr>
        <w:pStyle w:val="2"/>
        <w:spacing w:before="1" w:line="229" w:lineRule="auto"/>
        <w:ind w:left="437"/>
        <w:rPr>
          <w:sz w:val="20"/>
          <w:szCs w:val="20"/>
        </w:rPr>
      </w:pPr>
      <w:r>
        <w:rPr>
          <w:rFonts w:ascii="Times New Roman" w:hAnsi="Times New Roman" w:eastAsia="Times New Roman" w:cs="Times New Roman"/>
          <w:spacing w:val="5"/>
          <w:sz w:val="20"/>
          <w:szCs w:val="20"/>
        </w:rPr>
        <w:t xml:space="preserve">1.6.2  </w:t>
      </w:r>
      <w:r>
        <w:rPr>
          <w:spacing w:val="5"/>
          <w:sz w:val="20"/>
          <w:szCs w:val="20"/>
        </w:rPr>
        <w:t>承包人提供的文件</w:t>
      </w:r>
    </w:p>
    <w:p w14:paraId="04E8AC81">
      <w:pPr>
        <w:spacing w:before="151" w:line="369" w:lineRule="auto"/>
        <w:ind w:left="5" w:right="71" w:firstLine="416"/>
        <w:rPr>
          <w:rFonts w:ascii="宋体" w:hAnsi="宋体" w:eastAsia="宋体" w:cs="宋体"/>
          <w:sz w:val="20"/>
          <w:szCs w:val="20"/>
        </w:rPr>
      </w:pPr>
      <w:r>
        <w:rPr>
          <w:rFonts w:ascii="宋体" w:hAnsi="宋体" w:eastAsia="宋体" w:cs="宋体"/>
          <w:spacing w:val="10"/>
          <w:sz w:val="20"/>
          <w:szCs w:val="20"/>
        </w:rPr>
        <w:t>按专用合同条款约定由承包人提供的文件，包括部分工程的大样图</w:t>
      </w:r>
      <w:r>
        <w:rPr>
          <w:rFonts w:ascii="宋体" w:hAnsi="宋体" w:eastAsia="宋体" w:cs="宋体"/>
          <w:spacing w:val="9"/>
          <w:sz w:val="20"/>
          <w:szCs w:val="20"/>
        </w:rPr>
        <w:t>、加工图等，承包人应按约定的数量和期限报送监理人。监理人应在专用合同条款约定的期限内批复。</w:t>
      </w:r>
    </w:p>
    <w:p w14:paraId="3D10232E">
      <w:pPr>
        <w:pStyle w:val="2"/>
        <w:spacing w:before="1" w:line="229" w:lineRule="auto"/>
        <w:ind w:left="437"/>
        <w:rPr>
          <w:sz w:val="20"/>
          <w:szCs w:val="20"/>
        </w:rPr>
      </w:pPr>
      <w:r>
        <w:rPr>
          <w:rFonts w:ascii="Times New Roman" w:hAnsi="Times New Roman" w:eastAsia="Times New Roman" w:cs="Times New Roman"/>
          <w:spacing w:val="2"/>
          <w:sz w:val="20"/>
          <w:szCs w:val="20"/>
        </w:rPr>
        <w:t>1.6.3</w:t>
      </w:r>
      <w:r>
        <w:rPr>
          <w:rFonts w:ascii="Times New Roman" w:hAnsi="Times New Roman" w:eastAsia="Times New Roman" w:cs="Times New Roman"/>
          <w:spacing w:val="14"/>
          <w:w w:val="101"/>
          <w:sz w:val="20"/>
          <w:szCs w:val="20"/>
        </w:rPr>
        <w:t xml:space="preserve">  </w:t>
      </w:r>
      <w:r>
        <w:rPr>
          <w:spacing w:val="2"/>
          <w:sz w:val="20"/>
          <w:szCs w:val="20"/>
        </w:rPr>
        <w:t>图纸的修改</w:t>
      </w:r>
    </w:p>
    <w:p w14:paraId="34FFFE58">
      <w:pPr>
        <w:spacing w:line="229" w:lineRule="auto"/>
        <w:rPr>
          <w:sz w:val="20"/>
          <w:szCs w:val="20"/>
        </w:rPr>
        <w:sectPr>
          <w:footerReference r:id="rId164" w:type="default"/>
          <w:pgSz w:w="11906" w:h="16839"/>
          <w:pgMar w:top="400" w:right="1483" w:bottom="1038" w:left="1538" w:header="0" w:footer="787" w:gutter="0"/>
          <w:cols w:space="720" w:num="1"/>
        </w:sectPr>
      </w:pPr>
    </w:p>
    <w:p w14:paraId="4ED6B036">
      <w:pPr>
        <w:spacing w:line="272" w:lineRule="auto"/>
        <w:rPr>
          <w:rFonts w:ascii="Arial"/>
          <w:sz w:val="21"/>
        </w:rPr>
      </w:pPr>
    </w:p>
    <w:p w14:paraId="1A23DBF8">
      <w:pPr>
        <w:spacing w:line="272" w:lineRule="auto"/>
        <w:rPr>
          <w:rFonts w:ascii="Arial"/>
          <w:sz w:val="21"/>
        </w:rPr>
      </w:pPr>
    </w:p>
    <w:p w14:paraId="4A58A2A9">
      <w:pPr>
        <w:spacing w:line="272" w:lineRule="auto"/>
        <w:rPr>
          <w:rFonts w:ascii="Arial"/>
          <w:sz w:val="21"/>
        </w:rPr>
      </w:pPr>
    </w:p>
    <w:p w14:paraId="65943A41">
      <w:pPr>
        <w:spacing w:line="272" w:lineRule="auto"/>
        <w:rPr>
          <w:rFonts w:ascii="Arial"/>
          <w:sz w:val="21"/>
        </w:rPr>
      </w:pPr>
    </w:p>
    <w:p w14:paraId="1F4B1F01">
      <w:pPr>
        <w:spacing w:before="65" w:line="369" w:lineRule="auto"/>
        <w:ind w:left="1" w:firstLine="439"/>
        <w:jc w:val="both"/>
        <w:rPr>
          <w:rFonts w:ascii="宋体" w:hAnsi="宋体" w:eastAsia="宋体" w:cs="宋体"/>
          <w:sz w:val="20"/>
          <w:szCs w:val="20"/>
        </w:rPr>
      </w:pPr>
      <w:r>
        <w:rPr>
          <w:rFonts w:ascii="宋体" w:hAnsi="宋体" w:eastAsia="宋体" w:cs="宋体"/>
          <w:spacing w:val="9"/>
          <w:sz w:val="20"/>
          <w:szCs w:val="20"/>
        </w:rPr>
        <w:t>图纸需要修改和补充的，应由监理人取得发包人同意后，在该工程或工程相应部位施工前的</w:t>
      </w:r>
      <w:r>
        <w:rPr>
          <w:rFonts w:ascii="宋体" w:hAnsi="宋体" w:eastAsia="宋体" w:cs="宋体"/>
          <w:spacing w:val="10"/>
          <w:sz w:val="20"/>
          <w:szCs w:val="20"/>
        </w:rPr>
        <w:t>合理期限内签发图纸修改图给承包人，具体签发期限在专用合同条款中</w:t>
      </w:r>
      <w:r>
        <w:rPr>
          <w:rFonts w:ascii="宋体" w:hAnsi="宋体" w:eastAsia="宋体" w:cs="宋体"/>
          <w:spacing w:val="9"/>
          <w:sz w:val="20"/>
          <w:szCs w:val="20"/>
        </w:rPr>
        <w:t>约定。承包人应按修改后</w:t>
      </w:r>
      <w:r>
        <w:rPr>
          <w:rFonts w:ascii="宋体" w:hAnsi="宋体" w:eastAsia="宋体" w:cs="宋体"/>
          <w:spacing w:val="6"/>
          <w:sz w:val="20"/>
          <w:szCs w:val="20"/>
        </w:rPr>
        <w:t>的图纸施工。</w:t>
      </w:r>
    </w:p>
    <w:p w14:paraId="550A980D">
      <w:pPr>
        <w:pStyle w:val="2"/>
        <w:spacing w:before="1" w:line="229" w:lineRule="auto"/>
        <w:ind w:left="437"/>
        <w:rPr>
          <w:sz w:val="20"/>
          <w:szCs w:val="20"/>
        </w:rPr>
      </w:pPr>
      <w:r>
        <w:rPr>
          <w:rFonts w:ascii="Times New Roman" w:hAnsi="Times New Roman" w:eastAsia="Times New Roman" w:cs="Times New Roman"/>
          <w:spacing w:val="2"/>
          <w:sz w:val="20"/>
          <w:szCs w:val="20"/>
        </w:rPr>
        <w:t>1.6.4</w:t>
      </w:r>
      <w:r>
        <w:rPr>
          <w:rFonts w:ascii="Times New Roman" w:hAnsi="Times New Roman" w:eastAsia="Times New Roman" w:cs="Times New Roman"/>
          <w:spacing w:val="14"/>
          <w:w w:val="101"/>
          <w:sz w:val="20"/>
          <w:szCs w:val="20"/>
        </w:rPr>
        <w:t xml:space="preserve">  </w:t>
      </w:r>
      <w:r>
        <w:rPr>
          <w:spacing w:val="2"/>
          <w:sz w:val="20"/>
          <w:szCs w:val="20"/>
        </w:rPr>
        <w:t>图纸的错误</w:t>
      </w:r>
    </w:p>
    <w:p w14:paraId="6C659DC6">
      <w:pPr>
        <w:spacing w:before="149" w:line="227" w:lineRule="auto"/>
        <w:ind w:left="420"/>
        <w:rPr>
          <w:rFonts w:ascii="宋体" w:hAnsi="宋体" w:eastAsia="宋体" w:cs="宋体"/>
          <w:sz w:val="20"/>
          <w:szCs w:val="20"/>
        </w:rPr>
      </w:pPr>
      <w:r>
        <w:rPr>
          <w:rFonts w:ascii="宋体" w:hAnsi="宋体" w:eastAsia="宋体" w:cs="宋体"/>
          <w:spacing w:val="9"/>
          <w:sz w:val="20"/>
          <w:szCs w:val="20"/>
        </w:rPr>
        <w:t>承包人发现发包人提供的图纸存在明显错误或疏忽，应及时通知监理人。</w:t>
      </w:r>
    </w:p>
    <w:p w14:paraId="60DC8F06">
      <w:pPr>
        <w:pStyle w:val="2"/>
        <w:spacing w:before="154" w:line="230" w:lineRule="auto"/>
        <w:ind w:left="437"/>
        <w:rPr>
          <w:sz w:val="20"/>
          <w:szCs w:val="20"/>
        </w:rPr>
      </w:pPr>
      <w:r>
        <w:rPr>
          <w:rFonts w:ascii="Times New Roman" w:hAnsi="Times New Roman" w:eastAsia="Times New Roman" w:cs="Times New Roman"/>
          <w:spacing w:val="6"/>
          <w:sz w:val="20"/>
          <w:szCs w:val="20"/>
        </w:rPr>
        <w:t xml:space="preserve">1.6.5  </w:t>
      </w:r>
      <w:r>
        <w:rPr>
          <w:spacing w:val="6"/>
          <w:sz w:val="20"/>
          <w:szCs w:val="20"/>
        </w:rPr>
        <w:t>图纸和承包人文件的保管</w:t>
      </w:r>
    </w:p>
    <w:p w14:paraId="507D9DEF">
      <w:pPr>
        <w:spacing w:before="150" w:line="357" w:lineRule="auto"/>
        <w:ind w:left="5" w:right="2" w:firstLine="415"/>
        <w:rPr>
          <w:rFonts w:ascii="宋体" w:hAnsi="宋体" w:eastAsia="宋体" w:cs="宋体"/>
          <w:sz w:val="20"/>
          <w:szCs w:val="20"/>
        </w:rPr>
      </w:pPr>
      <w:r>
        <w:rPr>
          <w:rFonts w:ascii="宋体" w:hAnsi="宋体" w:eastAsia="宋体" w:cs="宋体"/>
          <w:spacing w:val="3"/>
          <w:sz w:val="20"/>
          <w:szCs w:val="20"/>
        </w:rPr>
        <w:t>监理人和承包人均应在施工场地各保存一套完整的包含第</w:t>
      </w:r>
      <w:r>
        <w:rPr>
          <w:rFonts w:ascii="宋体" w:hAnsi="宋体" w:eastAsia="宋体" w:cs="宋体"/>
          <w:spacing w:val="-10"/>
          <w:sz w:val="20"/>
          <w:szCs w:val="20"/>
        </w:rPr>
        <w:t xml:space="preserve"> </w:t>
      </w:r>
      <w:r>
        <w:rPr>
          <w:rFonts w:ascii="Times New Roman" w:hAnsi="Times New Roman" w:eastAsia="Times New Roman" w:cs="Times New Roman"/>
          <w:spacing w:val="3"/>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 xml:space="preserve">1 </w:t>
      </w:r>
      <w:r>
        <w:rPr>
          <w:rFonts w:ascii="宋体" w:hAnsi="宋体" w:eastAsia="宋体" w:cs="宋体"/>
          <w:spacing w:val="3"/>
          <w:sz w:val="20"/>
          <w:szCs w:val="20"/>
        </w:rPr>
        <w:t>项、第</w:t>
      </w:r>
      <w:r>
        <w:rPr>
          <w:rFonts w:ascii="宋体" w:hAnsi="宋体" w:eastAsia="宋体" w:cs="宋体"/>
          <w:spacing w:val="-20"/>
          <w:sz w:val="20"/>
          <w:szCs w:val="20"/>
        </w:rPr>
        <w:t xml:space="preserve"> </w:t>
      </w:r>
      <w:r>
        <w:rPr>
          <w:rFonts w:ascii="Times New Roman" w:hAnsi="Times New Roman" w:eastAsia="Times New Roman" w:cs="Times New Roman"/>
          <w:spacing w:val="3"/>
          <w:sz w:val="20"/>
          <w:szCs w:val="20"/>
        </w:rPr>
        <w:t>1.6.2</w:t>
      </w:r>
      <w:r>
        <w:rPr>
          <w:rFonts w:ascii="Times New Roman" w:hAnsi="Times New Roman" w:eastAsia="Times New Roman" w:cs="Times New Roman"/>
          <w:spacing w:val="15"/>
          <w:w w:val="101"/>
          <w:sz w:val="20"/>
          <w:szCs w:val="20"/>
        </w:rPr>
        <w:t xml:space="preserve"> </w:t>
      </w:r>
      <w:r>
        <w:rPr>
          <w:rFonts w:ascii="宋体" w:hAnsi="宋体" w:eastAsia="宋体" w:cs="宋体"/>
          <w:spacing w:val="3"/>
          <w:sz w:val="20"/>
          <w:szCs w:val="20"/>
        </w:rPr>
        <w:t>项、第</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 xml:space="preserve">1.6.3 </w:t>
      </w:r>
      <w:r>
        <w:rPr>
          <w:rFonts w:ascii="宋体" w:hAnsi="宋体" w:eastAsia="宋体" w:cs="宋体"/>
          <w:spacing w:val="3"/>
          <w:sz w:val="20"/>
          <w:szCs w:val="20"/>
        </w:rPr>
        <w:t>项约</w:t>
      </w:r>
      <w:r>
        <w:rPr>
          <w:rFonts w:ascii="宋体" w:hAnsi="宋体" w:eastAsia="宋体" w:cs="宋体"/>
          <w:spacing w:val="8"/>
          <w:sz w:val="20"/>
          <w:szCs w:val="20"/>
        </w:rPr>
        <w:t>定内容的图纸和承包人文件。</w:t>
      </w:r>
    </w:p>
    <w:p w14:paraId="6F5944E9">
      <w:pPr>
        <w:pStyle w:val="2"/>
        <w:spacing w:before="1" w:line="220" w:lineRule="auto"/>
        <w:ind w:left="20"/>
        <w:rPr>
          <w:sz w:val="24"/>
          <w:szCs w:val="24"/>
        </w:rPr>
      </w:pPr>
      <w:r>
        <w:rPr>
          <w:rFonts w:ascii="Times New Roman" w:hAnsi="Times New Roman" w:eastAsia="Times New Roman" w:cs="Times New Roman"/>
          <w:spacing w:val="-8"/>
          <w:sz w:val="24"/>
          <w:szCs w:val="24"/>
        </w:rPr>
        <w:t>1.7</w:t>
      </w:r>
      <w:r>
        <w:rPr>
          <w:rFonts w:ascii="Times New Roman" w:hAnsi="Times New Roman" w:eastAsia="Times New Roman" w:cs="Times New Roman"/>
          <w:spacing w:val="5"/>
          <w:sz w:val="24"/>
          <w:szCs w:val="24"/>
        </w:rPr>
        <w:t xml:space="preserve">  </w:t>
      </w:r>
      <w:r>
        <w:rPr>
          <w:spacing w:val="-8"/>
          <w:sz w:val="24"/>
          <w:szCs w:val="24"/>
        </w:rPr>
        <w:t>联络</w:t>
      </w:r>
    </w:p>
    <w:p w14:paraId="55AC40D5">
      <w:pPr>
        <w:spacing w:before="139" w:line="369" w:lineRule="auto"/>
        <w:ind w:left="2" w:right="2" w:firstLine="434"/>
        <w:rPr>
          <w:rFonts w:ascii="宋体" w:hAnsi="宋体" w:eastAsia="宋体" w:cs="宋体"/>
          <w:sz w:val="20"/>
          <w:szCs w:val="20"/>
        </w:rPr>
      </w:pPr>
      <w:r>
        <w:rPr>
          <w:rFonts w:ascii="Times New Roman" w:hAnsi="Times New Roman" w:eastAsia="Times New Roman" w:cs="Times New Roman"/>
          <w:spacing w:val="6"/>
          <w:sz w:val="20"/>
          <w:szCs w:val="20"/>
        </w:rPr>
        <w:t>1.7.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与合同有关的通知、批准、证明、</w:t>
      </w:r>
      <w:r>
        <w:rPr>
          <w:rFonts w:ascii="宋体" w:hAnsi="宋体" w:eastAsia="宋体" w:cs="宋体"/>
          <w:spacing w:val="5"/>
          <w:sz w:val="20"/>
          <w:szCs w:val="20"/>
        </w:rPr>
        <w:t>证书、指示、要求、请求、同意、意见、确定和决定</w:t>
      </w:r>
      <w:r>
        <w:rPr>
          <w:rFonts w:ascii="宋体" w:hAnsi="宋体" w:eastAsia="宋体" w:cs="宋体"/>
          <w:spacing w:val="7"/>
          <w:sz w:val="20"/>
          <w:szCs w:val="20"/>
        </w:rPr>
        <w:t>等，均应采用书面形式。</w:t>
      </w:r>
    </w:p>
    <w:p w14:paraId="5D91EF9B">
      <w:pPr>
        <w:spacing w:before="2" w:line="357" w:lineRule="auto"/>
        <w:ind w:left="5" w:firstLine="431"/>
        <w:rPr>
          <w:rFonts w:ascii="宋体" w:hAnsi="宋体" w:eastAsia="宋体" w:cs="宋体"/>
          <w:sz w:val="20"/>
          <w:szCs w:val="20"/>
        </w:rPr>
      </w:pPr>
      <w:r>
        <w:rPr>
          <w:rFonts w:ascii="Times New Roman" w:hAnsi="Times New Roman" w:eastAsia="Times New Roman" w:cs="Times New Roman"/>
          <w:spacing w:val="7"/>
          <w:sz w:val="20"/>
          <w:szCs w:val="20"/>
        </w:rPr>
        <w:t xml:space="preserve">1.7.2  </w:t>
      </w:r>
      <w:r>
        <w:rPr>
          <w:rFonts w:ascii="宋体" w:hAnsi="宋体" w:eastAsia="宋体" w:cs="宋体"/>
          <w:spacing w:val="7"/>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项中的通知、批准、证明、证书、指示、要求</w:t>
      </w:r>
      <w:r>
        <w:rPr>
          <w:rFonts w:ascii="宋体" w:hAnsi="宋体" w:eastAsia="宋体" w:cs="宋体"/>
          <w:spacing w:val="6"/>
          <w:sz w:val="20"/>
          <w:szCs w:val="20"/>
        </w:rPr>
        <w:t>、请求、同意、意见、确定和决</w:t>
      </w:r>
      <w:r>
        <w:rPr>
          <w:rFonts w:ascii="宋体" w:hAnsi="宋体" w:eastAsia="宋体" w:cs="宋体"/>
          <w:spacing w:val="9"/>
          <w:sz w:val="20"/>
          <w:szCs w:val="20"/>
        </w:rPr>
        <w:t>定等来往函件，均应在合同约定的期限内送达指定地点和接收人，并办理签收手续。</w:t>
      </w:r>
    </w:p>
    <w:p w14:paraId="12308DB0">
      <w:pPr>
        <w:pStyle w:val="2"/>
        <w:spacing w:before="1" w:line="221" w:lineRule="auto"/>
        <w:ind w:left="20"/>
        <w:rPr>
          <w:sz w:val="24"/>
          <w:szCs w:val="24"/>
        </w:rPr>
      </w:pPr>
      <w:r>
        <w:rPr>
          <w:rFonts w:ascii="Times New Roman" w:hAnsi="Times New Roman" w:eastAsia="Times New Roman" w:cs="Times New Roman"/>
          <w:spacing w:val="-8"/>
          <w:sz w:val="24"/>
          <w:szCs w:val="24"/>
        </w:rPr>
        <w:t>1.8</w:t>
      </w:r>
      <w:r>
        <w:rPr>
          <w:rFonts w:ascii="Times New Roman" w:hAnsi="Times New Roman" w:eastAsia="Times New Roman" w:cs="Times New Roman"/>
          <w:spacing w:val="5"/>
          <w:sz w:val="24"/>
          <w:szCs w:val="24"/>
        </w:rPr>
        <w:t xml:space="preserve">  </w:t>
      </w:r>
      <w:r>
        <w:rPr>
          <w:spacing w:val="-8"/>
          <w:sz w:val="24"/>
          <w:szCs w:val="24"/>
        </w:rPr>
        <w:t>转让</w:t>
      </w:r>
    </w:p>
    <w:p w14:paraId="377752EC">
      <w:pPr>
        <w:spacing w:before="136" w:line="358" w:lineRule="auto"/>
        <w:ind w:firstLine="432"/>
        <w:rPr>
          <w:rFonts w:ascii="宋体" w:hAnsi="宋体" w:eastAsia="宋体" w:cs="宋体"/>
          <w:sz w:val="20"/>
          <w:szCs w:val="20"/>
        </w:rPr>
      </w:pPr>
      <w:r>
        <w:rPr>
          <w:rFonts w:ascii="宋体" w:hAnsi="宋体" w:eastAsia="宋体" w:cs="宋体"/>
          <w:spacing w:val="9"/>
          <w:sz w:val="20"/>
          <w:szCs w:val="20"/>
        </w:rPr>
        <w:t>除合同另有约定外，未经对方当事人同意，一方当事人不得将合同权利全部或部分转让给第</w:t>
      </w:r>
      <w:r>
        <w:rPr>
          <w:rFonts w:ascii="宋体" w:hAnsi="宋体" w:eastAsia="宋体" w:cs="宋体"/>
          <w:spacing w:val="8"/>
          <w:sz w:val="20"/>
          <w:szCs w:val="20"/>
        </w:rPr>
        <w:t>三人，也不得全部或部分转移合同义务。</w:t>
      </w:r>
    </w:p>
    <w:p w14:paraId="1A900843">
      <w:pPr>
        <w:pStyle w:val="2"/>
        <w:spacing w:before="1" w:line="221" w:lineRule="auto"/>
        <w:ind w:left="20"/>
        <w:rPr>
          <w:sz w:val="24"/>
          <w:szCs w:val="24"/>
        </w:rPr>
      </w:pPr>
      <w:r>
        <w:rPr>
          <w:rFonts w:ascii="Times New Roman" w:hAnsi="Times New Roman" w:eastAsia="Times New Roman" w:cs="Times New Roman"/>
          <w:spacing w:val="-6"/>
          <w:sz w:val="24"/>
          <w:szCs w:val="24"/>
        </w:rPr>
        <w:t>1.9</w:t>
      </w:r>
      <w:r>
        <w:rPr>
          <w:rFonts w:ascii="Times New Roman" w:hAnsi="Times New Roman" w:eastAsia="Times New Roman" w:cs="Times New Roman"/>
          <w:spacing w:val="6"/>
          <w:sz w:val="24"/>
          <w:szCs w:val="24"/>
        </w:rPr>
        <w:t xml:space="preserve">  </w:t>
      </w:r>
      <w:r>
        <w:rPr>
          <w:spacing w:val="-6"/>
          <w:sz w:val="24"/>
          <w:szCs w:val="24"/>
        </w:rPr>
        <w:t>严禁贿赂</w:t>
      </w:r>
    </w:p>
    <w:p w14:paraId="783DD05B">
      <w:pPr>
        <w:spacing w:before="136" w:line="358" w:lineRule="auto"/>
        <w:ind w:firstLine="421"/>
        <w:rPr>
          <w:rFonts w:ascii="宋体" w:hAnsi="宋体" w:eastAsia="宋体" w:cs="宋体"/>
          <w:sz w:val="20"/>
          <w:szCs w:val="20"/>
        </w:rPr>
      </w:pPr>
      <w:r>
        <w:rPr>
          <w:rFonts w:ascii="宋体" w:hAnsi="宋体" w:eastAsia="宋体" w:cs="宋体"/>
          <w:spacing w:val="10"/>
          <w:sz w:val="20"/>
          <w:szCs w:val="20"/>
        </w:rPr>
        <w:t>合同双方当事人不得以贿赂或变相贿赂的方式，谋取不当利益或损</w:t>
      </w:r>
      <w:r>
        <w:rPr>
          <w:rFonts w:ascii="宋体" w:hAnsi="宋体" w:eastAsia="宋体" w:cs="宋体"/>
          <w:spacing w:val="9"/>
          <w:sz w:val="20"/>
          <w:szCs w:val="20"/>
        </w:rPr>
        <w:t>害对方权益。因贿赂造成对方损失的，行为人应赔偿损失，并承担相应的法律责任。</w:t>
      </w:r>
    </w:p>
    <w:p w14:paraId="267035A9">
      <w:pPr>
        <w:pStyle w:val="2"/>
        <w:spacing w:before="1" w:line="221" w:lineRule="auto"/>
        <w:ind w:left="20"/>
        <w:rPr>
          <w:sz w:val="24"/>
          <w:szCs w:val="24"/>
        </w:rPr>
      </w:pPr>
      <w:r>
        <w:rPr>
          <w:rFonts w:ascii="Times New Roman" w:hAnsi="Times New Roman" w:eastAsia="Times New Roman" w:cs="Times New Roman"/>
          <w:spacing w:val="-3"/>
          <w:sz w:val="24"/>
          <w:szCs w:val="24"/>
        </w:rPr>
        <w:t xml:space="preserve">1.10  </w:t>
      </w:r>
      <w:r>
        <w:rPr>
          <w:spacing w:val="-3"/>
          <w:sz w:val="24"/>
          <w:szCs w:val="24"/>
        </w:rPr>
        <w:t>化石、文物</w:t>
      </w:r>
    </w:p>
    <w:p w14:paraId="395F19C0">
      <w:pPr>
        <w:spacing w:before="137" w:line="369" w:lineRule="auto"/>
        <w:ind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1.10.1  </w:t>
      </w:r>
      <w:r>
        <w:rPr>
          <w:rFonts w:ascii="宋体" w:hAnsi="宋体" w:eastAsia="宋体" w:cs="宋体"/>
          <w:spacing w:val="8"/>
          <w:sz w:val="20"/>
          <w:szCs w:val="20"/>
        </w:rPr>
        <w:t>在施工场地发掘的所有文物、古迹以及具有地质研究或考古价值的其他遗迹、化石、</w:t>
      </w:r>
      <w:r>
        <w:rPr>
          <w:rFonts w:ascii="宋体" w:hAnsi="宋体" w:eastAsia="宋体" w:cs="宋体"/>
          <w:spacing w:val="10"/>
          <w:sz w:val="20"/>
          <w:szCs w:val="20"/>
        </w:rPr>
        <w:t>钱币或物品属于国家所有。一旦发现上述文物，承包人应采取有效合理的保</w:t>
      </w:r>
      <w:r>
        <w:rPr>
          <w:rFonts w:ascii="宋体" w:hAnsi="宋体" w:eastAsia="宋体" w:cs="宋体"/>
          <w:spacing w:val="9"/>
          <w:sz w:val="20"/>
          <w:szCs w:val="20"/>
        </w:rPr>
        <w:t>护措施，防止任何人</w:t>
      </w:r>
      <w:r>
        <w:rPr>
          <w:rFonts w:ascii="宋体" w:hAnsi="宋体" w:eastAsia="宋体" w:cs="宋体"/>
          <w:spacing w:val="10"/>
          <w:sz w:val="20"/>
          <w:szCs w:val="20"/>
        </w:rPr>
        <w:t>员移动或损坏上述物品，并立即报告当地文物行政部门，同时通知监理人。</w:t>
      </w:r>
      <w:r>
        <w:rPr>
          <w:rFonts w:ascii="宋体" w:hAnsi="宋体" w:eastAsia="宋体" w:cs="宋体"/>
          <w:spacing w:val="9"/>
          <w:sz w:val="20"/>
          <w:szCs w:val="20"/>
        </w:rPr>
        <w:t>发包人、监理人和承包人应按文物行政部门要求采取妥善保护措施，</w:t>
      </w:r>
      <w:r>
        <w:rPr>
          <w:rFonts w:ascii="宋体" w:hAnsi="宋体" w:eastAsia="宋体" w:cs="宋体"/>
          <w:spacing w:val="-58"/>
          <w:sz w:val="20"/>
          <w:szCs w:val="20"/>
        </w:rPr>
        <w:t xml:space="preserve"> </w:t>
      </w:r>
      <w:r>
        <w:rPr>
          <w:rFonts w:ascii="宋体" w:hAnsi="宋体" w:eastAsia="宋体" w:cs="宋体"/>
          <w:spacing w:val="9"/>
          <w:sz w:val="20"/>
          <w:szCs w:val="20"/>
        </w:rPr>
        <w:t>由此导致费用增加和（或）</w:t>
      </w:r>
      <w:r>
        <w:rPr>
          <w:rFonts w:ascii="宋体" w:hAnsi="宋体" w:eastAsia="宋体" w:cs="宋体"/>
          <w:spacing w:val="8"/>
          <w:sz w:val="20"/>
          <w:szCs w:val="20"/>
        </w:rPr>
        <w:t>工期延误由发包人承</w:t>
      </w:r>
      <w:r>
        <w:rPr>
          <w:rFonts w:ascii="宋体" w:hAnsi="宋体" w:eastAsia="宋体" w:cs="宋体"/>
          <w:sz w:val="20"/>
          <w:szCs w:val="20"/>
        </w:rPr>
        <w:t>担。</w:t>
      </w:r>
    </w:p>
    <w:p w14:paraId="398C4366">
      <w:pPr>
        <w:spacing w:before="2" w:line="357" w:lineRule="auto"/>
        <w:ind w:right="2"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1.10.2  </w:t>
      </w:r>
      <w:r>
        <w:rPr>
          <w:rFonts w:ascii="宋体" w:hAnsi="宋体" w:eastAsia="宋体" w:cs="宋体"/>
          <w:spacing w:val="8"/>
          <w:sz w:val="20"/>
          <w:szCs w:val="20"/>
        </w:rPr>
        <w:t>承包人发现文物后不及时报告或隐瞒不报，致使文物丢失或损坏的，应赔偿损失，并承担相应的法律责任。</w:t>
      </w:r>
    </w:p>
    <w:p w14:paraId="3A8A11DC">
      <w:pPr>
        <w:pStyle w:val="2"/>
        <w:spacing w:before="1" w:line="221" w:lineRule="auto"/>
        <w:ind w:left="20"/>
        <w:rPr>
          <w:sz w:val="24"/>
          <w:szCs w:val="24"/>
        </w:rPr>
      </w:pPr>
      <w:r>
        <w:rPr>
          <w:rFonts w:ascii="Times New Roman" w:hAnsi="Times New Roman" w:eastAsia="Times New Roman" w:cs="Times New Roman"/>
          <w:spacing w:val="-4"/>
          <w:sz w:val="24"/>
          <w:szCs w:val="24"/>
        </w:rPr>
        <w:t xml:space="preserve">1.11  </w:t>
      </w:r>
      <w:r>
        <w:rPr>
          <w:spacing w:val="-4"/>
          <w:sz w:val="24"/>
          <w:szCs w:val="24"/>
        </w:rPr>
        <w:t>专利技术</w:t>
      </w:r>
    </w:p>
    <w:p w14:paraId="37760157">
      <w:pPr>
        <w:spacing w:before="137" w:line="369" w:lineRule="auto"/>
        <w:ind w:left="1" w:firstLine="435"/>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11.1  </w:t>
      </w:r>
      <w:r>
        <w:rPr>
          <w:rFonts w:ascii="宋体" w:hAnsi="宋体" w:eastAsia="宋体" w:cs="宋体"/>
          <w:spacing w:val="8"/>
          <w:sz w:val="20"/>
          <w:szCs w:val="20"/>
        </w:rPr>
        <w:t>承包人在使用任何材料、承包人设备、工程设备或采用施工</w:t>
      </w:r>
      <w:r>
        <w:rPr>
          <w:rFonts w:ascii="宋体" w:hAnsi="宋体" w:eastAsia="宋体" w:cs="宋体"/>
          <w:spacing w:val="7"/>
          <w:sz w:val="20"/>
          <w:szCs w:val="20"/>
        </w:rPr>
        <w:t>工艺时，因侵犯专利权或</w:t>
      </w:r>
      <w:r>
        <w:rPr>
          <w:rFonts w:ascii="宋体" w:hAnsi="宋体" w:eastAsia="宋体" w:cs="宋体"/>
          <w:spacing w:val="9"/>
          <w:sz w:val="20"/>
          <w:szCs w:val="20"/>
        </w:rPr>
        <w:t>其他知识产权所引起的责任，</w:t>
      </w:r>
      <w:r>
        <w:rPr>
          <w:rFonts w:ascii="宋体" w:hAnsi="宋体" w:eastAsia="宋体" w:cs="宋体"/>
          <w:spacing w:val="-58"/>
          <w:sz w:val="20"/>
          <w:szCs w:val="20"/>
        </w:rPr>
        <w:t xml:space="preserve"> </w:t>
      </w:r>
      <w:r>
        <w:rPr>
          <w:rFonts w:ascii="宋体" w:hAnsi="宋体" w:eastAsia="宋体" w:cs="宋体"/>
          <w:spacing w:val="9"/>
          <w:sz w:val="20"/>
          <w:szCs w:val="20"/>
        </w:rPr>
        <w:t>由承包人承担，但由于遵照发包人提供的</w:t>
      </w:r>
      <w:r>
        <w:rPr>
          <w:rFonts w:ascii="宋体" w:hAnsi="宋体" w:eastAsia="宋体" w:cs="宋体"/>
          <w:spacing w:val="8"/>
          <w:sz w:val="20"/>
          <w:szCs w:val="20"/>
        </w:rPr>
        <w:t>设计或技术标准和要求引</w:t>
      </w:r>
      <w:r>
        <w:rPr>
          <w:rFonts w:ascii="宋体" w:hAnsi="宋体" w:eastAsia="宋体" w:cs="宋体"/>
          <w:spacing w:val="5"/>
          <w:sz w:val="20"/>
          <w:szCs w:val="20"/>
        </w:rPr>
        <w:t>起的除外。</w:t>
      </w:r>
    </w:p>
    <w:p w14:paraId="055E487C">
      <w:pPr>
        <w:spacing w:before="1" w:line="226" w:lineRule="auto"/>
        <w:ind w:left="437"/>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7"/>
          <w:sz w:val="20"/>
          <w:szCs w:val="20"/>
        </w:rPr>
        <w:t xml:space="preserve">11.2  </w:t>
      </w:r>
      <w:r>
        <w:rPr>
          <w:rFonts w:ascii="宋体" w:hAnsi="宋体" w:eastAsia="宋体" w:cs="宋体"/>
          <w:spacing w:val="7"/>
          <w:sz w:val="20"/>
          <w:szCs w:val="20"/>
        </w:rPr>
        <w:t>承包人在投标文件中采用专利技术的，专利技术的使用费包含在投标报价内。</w:t>
      </w:r>
    </w:p>
    <w:p w14:paraId="4BF214F1">
      <w:pPr>
        <w:spacing w:before="155" w:line="372" w:lineRule="auto"/>
        <w:ind w:left="40" w:firstLine="396"/>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11.3  </w:t>
      </w:r>
      <w:r>
        <w:rPr>
          <w:rFonts w:ascii="宋体" w:hAnsi="宋体" w:eastAsia="宋体" w:cs="宋体"/>
          <w:spacing w:val="8"/>
          <w:sz w:val="20"/>
          <w:szCs w:val="20"/>
        </w:rPr>
        <w:t>承包人的技术秘密和声明需要保密的资料和信息，发包人和</w:t>
      </w:r>
      <w:r>
        <w:rPr>
          <w:rFonts w:ascii="宋体" w:hAnsi="宋体" w:eastAsia="宋体" w:cs="宋体"/>
          <w:spacing w:val="7"/>
          <w:sz w:val="20"/>
          <w:szCs w:val="20"/>
        </w:rPr>
        <w:t>监理人不得为合同以外的</w:t>
      </w:r>
      <w:r>
        <w:rPr>
          <w:rFonts w:ascii="宋体" w:hAnsi="宋体" w:eastAsia="宋体" w:cs="宋体"/>
          <w:spacing w:val="2"/>
          <w:sz w:val="20"/>
          <w:szCs w:val="20"/>
        </w:rPr>
        <w:t>目的泄露给他人。</w:t>
      </w:r>
    </w:p>
    <w:p w14:paraId="693C13EE">
      <w:pPr>
        <w:spacing w:line="372" w:lineRule="auto"/>
        <w:rPr>
          <w:rFonts w:ascii="宋体" w:hAnsi="宋体" w:eastAsia="宋体" w:cs="宋体"/>
          <w:sz w:val="20"/>
          <w:szCs w:val="20"/>
        </w:rPr>
        <w:sectPr>
          <w:footerReference r:id="rId165" w:type="default"/>
          <w:pgSz w:w="11906" w:h="16839"/>
          <w:pgMar w:top="400" w:right="1554" w:bottom="1038" w:left="1538" w:header="0" w:footer="787" w:gutter="0"/>
          <w:cols w:space="720" w:num="1"/>
        </w:sectPr>
      </w:pPr>
    </w:p>
    <w:p w14:paraId="1EB1025B">
      <w:pPr>
        <w:spacing w:line="261" w:lineRule="auto"/>
        <w:rPr>
          <w:rFonts w:ascii="Arial"/>
          <w:sz w:val="21"/>
        </w:rPr>
      </w:pPr>
    </w:p>
    <w:p w14:paraId="70588505">
      <w:pPr>
        <w:spacing w:line="262" w:lineRule="auto"/>
        <w:rPr>
          <w:rFonts w:ascii="Arial"/>
          <w:sz w:val="21"/>
        </w:rPr>
      </w:pPr>
    </w:p>
    <w:p w14:paraId="65A9E68A">
      <w:pPr>
        <w:spacing w:line="262" w:lineRule="auto"/>
        <w:rPr>
          <w:rFonts w:ascii="Arial"/>
          <w:sz w:val="21"/>
        </w:rPr>
      </w:pPr>
    </w:p>
    <w:p w14:paraId="3828244C">
      <w:pPr>
        <w:spacing w:line="262" w:lineRule="auto"/>
        <w:rPr>
          <w:rFonts w:ascii="Arial"/>
          <w:sz w:val="21"/>
        </w:rPr>
      </w:pPr>
    </w:p>
    <w:p w14:paraId="124AE65B">
      <w:pPr>
        <w:pStyle w:val="2"/>
        <w:spacing w:before="78" w:line="221" w:lineRule="auto"/>
        <w:ind w:left="23"/>
        <w:rPr>
          <w:sz w:val="24"/>
          <w:szCs w:val="24"/>
        </w:rPr>
      </w:pPr>
      <w:r>
        <w:rPr>
          <w:rFonts w:ascii="Times New Roman" w:hAnsi="Times New Roman" w:eastAsia="Times New Roman" w:cs="Times New Roman"/>
          <w:spacing w:val="-5"/>
          <w:sz w:val="24"/>
          <w:szCs w:val="24"/>
        </w:rPr>
        <w:t>1.12</w:t>
      </w:r>
      <w:r>
        <w:rPr>
          <w:rFonts w:ascii="Times New Roman" w:hAnsi="Times New Roman" w:eastAsia="Times New Roman" w:cs="Times New Roman"/>
          <w:spacing w:val="15"/>
          <w:sz w:val="24"/>
          <w:szCs w:val="24"/>
        </w:rPr>
        <w:t xml:space="preserve">  </w:t>
      </w:r>
      <w:r>
        <w:rPr>
          <w:spacing w:val="-5"/>
          <w:sz w:val="24"/>
          <w:szCs w:val="24"/>
        </w:rPr>
        <w:t>图纸和文件的保密</w:t>
      </w:r>
    </w:p>
    <w:p w14:paraId="66BFDB02">
      <w:pPr>
        <w:spacing w:before="137" w:line="370" w:lineRule="auto"/>
        <w:ind w:left="4" w:right="54" w:firstLine="434"/>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12.1  </w:t>
      </w:r>
      <w:r>
        <w:rPr>
          <w:rFonts w:ascii="宋体" w:hAnsi="宋体" w:eastAsia="宋体" w:cs="宋体"/>
          <w:spacing w:val="8"/>
          <w:sz w:val="20"/>
          <w:szCs w:val="20"/>
        </w:rPr>
        <w:t>发包人提供的图纸和文件，未经发包人同意，承包人不</w:t>
      </w:r>
      <w:r>
        <w:rPr>
          <w:rFonts w:ascii="宋体" w:hAnsi="宋体" w:eastAsia="宋体" w:cs="宋体"/>
          <w:spacing w:val="7"/>
          <w:sz w:val="20"/>
          <w:szCs w:val="20"/>
        </w:rPr>
        <w:t>得为合同以外的目的泄露给他人或公开发表与引用。</w:t>
      </w:r>
    </w:p>
    <w:p w14:paraId="6BB181AC">
      <w:pPr>
        <w:spacing w:before="1" w:line="369" w:lineRule="auto"/>
        <w:ind w:left="3" w:right="54" w:firstLine="436"/>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12.2  </w:t>
      </w:r>
      <w:r>
        <w:rPr>
          <w:rFonts w:ascii="宋体" w:hAnsi="宋体" w:eastAsia="宋体" w:cs="宋体"/>
          <w:spacing w:val="8"/>
          <w:sz w:val="20"/>
          <w:szCs w:val="20"/>
        </w:rPr>
        <w:t>承包人提供的文件，未经承包人同意，发包人和监理人</w:t>
      </w:r>
      <w:r>
        <w:rPr>
          <w:rFonts w:ascii="宋体" w:hAnsi="宋体" w:eastAsia="宋体" w:cs="宋体"/>
          <w:spacing w:val="7"/>
          <w:sz w:val="20"/>
          <w:szCs w:val="20"/>
        </w:rPr>
        <w:t>不得为合同以外的目的泄露给</w:t>
      </w:r>
      <w:r>
        <w:rPr>
          <w:rFonts w:ascii="宋体" w:hAnsi="宋体" w:eastAsia="宋体" w:cs="宋体"/>
          <w:spacing w:val="8"/>
          <w:sz w:val="20"/>
          <w:szCs w:val="20"/>
        </w:rPr>
        <w:t>他人或公开发表与引用。</w:t>
      </w:r>
    </w:p>
    <w:p w14:paraId="09F5B20F">
      <w:pPr>
        <w:pStyle w:val="2"/>
        <w:spacing w:before="36" w:line="222" w:lineRule="auto"/>
        <w:outlineLvl w:val="2"/>
        <w:rPr>
          <w:sz w:val="28"/>
          <w:szCs w:val="28"/>
        </w:rPr>
      </w:pPr>
      <w:bookmarkStart w:id="215" w:name="bookmark196"/>
      <w:bookmarkEnd w:id="215"/>
      <w:r>
        <w:rPr>
          <w:rFonts w:ascii="Times New Roman" w:hAnsi="Times New Roman" w:eastAsia="Times New Roman" w:cs="Times New Roman"/>
          <w:spacing w:val="-1"/>
          <w:sz w:val="28"/>
          <w:szCs w:val="28"/>
        </w:rPr>
        <w:t xml:space="preserve">2.  </w:t>
      </w:r>
      <w:r>
        <w:rPr>
          <w:spacing w:val="-1"/>
          <w:sz w:val="28"/>
          <w:szCs w:val="28"/>
        </w:rPr>
        <w:t>发包人义务</w:t>
      </w:r>
    </w:p>
    <w:p w14:paraId="4535A552">
      <w:pPr>
        <w:pStyle w:val="2"/>
        <w:spacing w:before="100" w:line="222" w:lineRule="auto"/>
        <w:rPr>
          <w:sz w:val="24"/>
          <w:szCs w:val="24"/>
        </w:rPr>
      </w:pPr>
      <w:r>
        <w:rPr>
          <w:rFonts w:ascii="Times New Roman" w:hAnsi="Times New Roman" w:eastAsia="Times New Roman" w:cs="Times New Roman"/>
          <w:spacing w:val="-3"/>
          <w:sz w:val="24"/>
          <w:szCs w:val="24"/>
        </w:rPr>
        <w:t>2.1</w:t>
      </w:r>
      <w:r>
        <w:rPr>
          <w:rFonts w:ascii="Times New Roman" w:hAnsi="Times New Roman" w:eastAsia="Times New Roman" w:cs="Times New Roman"/>
          <w:spacing w:val="7"/>
          <w:sz w:val="24"/>
          <w:szCs w:val="24"/>
        </w:rPr>
        <w:t xml:space="preserve">  </w:t>
      </w:r>
      <w:r>
        <w:rPr>
          <w:spacing w:val="-3"/>
          <w:sz w:val="24"/>
          <w:szCs w:val="24"/>
        </w:rPr>
        <w:t>遵守法律</w:t>
      </w:r>
    </w:p>
    <w:p w14:paraId="7A92F45D">
      <w:pPr>
        <w:spacing w:before="136" w:line="358" w:lineRule="auto"/>
        <w:ind w:left="6" w:right="52" w:firstLine="420"/>
        <w:rPr>
          <w:rFonts w:ascii="宋体" w:hAnsi="宋体" w:eastAsia="宋体" w:cs="宋体"/>
          <w:sz w:val="20"/>
          <w:szCs w:val="20"/>
        </w:rPr>
      </w:pPr>
      <w:r>
        <w:rPr>
          <w:rFonts w:ascii="宋体" w:hAnsi="宋体" w:eastAsia="宋体" w:cs="宋体"/>
          <w:spacing w:val="10"/>
          <w:sz w:val="20"/>
          <w:szCs w:val="20"/>
        </w:rPr>
        <w:t>发包人在履行合同过程中应遵守法律，并保证承包人免于承担</w:t>
      </w:r>
      <w:r>
        <w:rPr>
          <w:rFonts w:ascii="宋体" w:hAnsi="宋体" w:eastAsia="宋体" w:cs="宋体"/>
          <w:spacing w:val="9"/>
          <w:sz w:val="20"/>
          <w:szCs w:val="20"/>
        </w:rPr>
        <w:t>因发包人违反法律而引起的任</w:t>
      </w:r>
      <w:r>
        <w:rPr>
          <w:rFonts w:ascii="宋体" w:hAnsi="宋体" w:eastAsia="宋体" w:cs="宋体"/>
          <w:spacing w:val="4"/>
          <w:sz w:val="20"/>
          <w:szCs w:val="20"/>
        </w:rPr>
        <w:t>何责任。</w:t>
      </w:r>
    </w:p>
    <w:p w14:paraId="6241AB9B">
      <w:pPr>
        <w:pStyle w:val="2"/>
        <w:spacing w:before="1" w:line="220" w:lineRule="auto"/>
        <w:rPr>
          <w:sz w:val="24"/>
          <w:szCs w:val="24"/>
        </w:rPr>
      </w:pPr>
      <w:r>
        <w:rPr>
          <w:rFonts w:ascii="Times New Roman" w:hAnsi="Times New Roman" w:eastAsia="Times New Roman" w:cs="Times New Roman"/>
          <w:spacing w:val="-1"/>
          <w:sz w:val="24"/>
          <w:szCs w:val="24"/>
        </w:rPr>
        <w:t xml:space="preserve">2.2  </w:t>
      </w:r>
      <w:r>
        <w:rPr>
          <w:spacing w:val="-1"/>
          <w:sz w:val="24"/>
          <w:szCs w:val="24"/>
        </w:rPr>
        <w:t>发出开工通知</w:t>
      </w:r>
    </w:p>
    <w:p w14:paraId="3F8F1458">
      <w:pPr>
        <w:spacing w:before="137" w:line="228" w:lineRule="auto"/>
        <w:ind w:left="426"/>
        <w:rPr>
          <w:rFonts w:ascii="宋体" w:hAnsi="宋体" w:eastAsia="宋体" w:cs="宋体"/>
          <w:sz w:val="20"/>
          <w:szCs w:val="20"/>
        </w:rPr>
      </w:pPr>
      <w:r>
        <w:rPr>
          <w:rFonts w:ascii="宋体" w:hAnsi="宋体" w:eastAsia="宋体" w:cs="宋体"/>
          <w:spacing w:val="6"/>
          <w:sz w:val="20"/>
          <w:szCs w:val="20"/>
        </w:rPr>
        <w:t>发包人应委托监理人按第</w:t>
      </w:r>
      <w:r>
        <w:rPr>
          <w:rFonts w:ascii="宋体" w:hAnsi="宋体" w:eastAsia="宋体" w:cs="宋体"/>
          <w:spacing w:val="-12"/>
          <w:sz w:val="20"/>
          <w:szCs w:val="20"/>
        </w:rPr>
        <w:t xml:space="preserve"> </w:t>
      </w:r>
      <w:r>
        <w:rPr>
          <w:rFonts w:ascii="Times New Roman" w:hAnsi="Times New Roman" w:eastAsia="Times New Roman" w:cs="Times New Roman"/>
          <w:spacing w:val="6"/>
          <w:sz w:val="20"/>
          <w:szCs w:val="20"/>
        </w:rPr>
        <w:t>11.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款的约定向承包人发出开工通知。</w:t>
      </w:r>
    </w:p>
    <w:p w14:paraId="62389643">
      <w:pPr>
        <w:pStyle w:val="2"/>
        <w:spacing w:before="128" w:line="222" w:lineRule="auto"/>
        <w:rPr>
          <w:sz w:val="24"/>
          <w:szCs w:val="24"/>
        </w:rPr>
      </w:pPr>
      <w:r>
        <w:rPr>
          <w:rFonts w:ascii="Times New Roman" w:hAnsi="Times New Roman" w:eastAsia="Times New Roman" w:cs="Times New Roman"/>
          <w:spacing w:val="-1"/>
          <w:sz w:val="24"/>
          <w:szCs w:val="24"/>
        </w:rPr>
        <w:t xml:space="preserve">2.3  </w:t>
      </w:r>
      <w:r>
        <w:rPr>
          <w:spacing w:val="-1"/>
          <w:sz w:val="24"/>
          <w:szCs w:val="24"/>
        </w:rPr>
        <w:t>提供施工场地</w:t>
      </w:r>
    </w:p>
    <w:p w14:paraId="79D01839">
      <w:pPr>
        <w:spacing w:before="136" w:line="358" w:lineRule="auto"/>
        <w:ind w:left="4" w:right="52" w:firstLine="421"/>
        <w:rPr>
          <w:rFonts w:ascii="宋体" w:hAnsi="宋体" w:eastAsia="宋体" w:cs="宋体"/>
          <w:sz w:val="20"/>
          <w:szCs w:val="20"/>
        </w:rPr>
      </w:pPr>
      <w:r>
        <w:rPr>
          <w:rFonts w:ascii="宋体" w:hAnsi="宋体" w:eastAsia="宋体" w:cs="宋体"/>
          <w:spacing w:val="10"/>
          <w:sz w:val="20"/>
          <w:szCs w:val="20"/>
        </w:rPr>
        <w:t>发包人应按专用合同条款约定向承包人提供施工场地，以及施</w:t>
      </w:r>
      <w:r>
        <w:rPr>
          <w:rFonts w:ascii="宋体" w:hAnsi="宋体" w:eastAsia="宋体" w:cs="宋体"/>
          <w:spacing w:val="9"/>
          <w:sz w:val="20"/>
          <w:szCs w:val="20"/>
        </w:rPr>
        <w:t>工场地内地下管线和地下设施</w:t>
      </w:r>
      <w:r>
        <w:rPr>
          <w:rFonts w:ascii="宋体" w:hAnsi="宋体" w:eastAsia="宋体" w:cs="宋体"/>
          <w:spacing w:val="8"/>
          <w:sz w:val="20"/>
          <w:szCs w:val="20"/>
        </w:rPr>
        <w:t>等有关资料，并保证资料的真实、准确、完整。</w:t>
      </w:r>
    </w:p>
    <w:p w14:paraId="5AF83BE7">
      <w:pPr>
        <w:pStyle w:val="2"/>
        <w:spacing w:before="1" w:line="220" w:lineRule="auto"/>
        <w:rPr>
          <w:sz w:val="24"/>
          <w:szCs w:val="24"/>
        </w:rPr>
      </w:pPr>
      <w:r>
        <w:rPr>
          <w:rFonts w:ascii="Times New Roman" w:hAnsi="Times New Roman" w:eastAsia="Times New Roman" w:cs="Times New Roman"/>
          <w:spacing w:val="-1"/>
          <w:sz w:val="24"/>
          <w:szCs w:val="24"/>
        </w:rPr>
        <w:t xml:space="preserve">2.4  </w:t>
      </w:r>
      <w:r>
        <w:rPr>
          <w:spacing w:val="-1"/>
          <w:sz w:val="24"/>
          <w:szCs w:val="24"/>
        </w:rPr>
        <w:t>协助承包人办理证件和批件</w:t>
      </w:r>
    </w:p>
    <w:p w14:paraId="5F480133">
      <w:pPr>
        <w:spacing w:before="137" w:line="228" w:lineRule="auto"/>
        <w:ind w:left="426"/>
        <w:rPr>
          <w:rFonts w:ascii="宋体" w:hAnsi="宋体" w:eastAsia="宋体" w:cs="宋体"/>
          <w:sz w:val="20"/>
          <w:szCs w:val="20"/>
        </w:rPr>
      </w:pPr>
      <w:r>
        <w:rPr>
          <w:rFonts w:ascii="宋体" w:hAnsi="宋体" w:eastAsia="宋体" w:cs="宋体"/>
          <w:spacing w:val="9"/>
          <w:sz w:val="20"/>
          <w:szCs w:val="20"/>
        </w:rPr>
        <w:t>发包人应协助承包人办理法律规定的有关施工证件和批件。</w:t>
      </w:r>
    </w:p>
    <w:p w14:paraId="32D3A657">
      <w:pPr>
        <w:pStyle w:val="2"/>
        <w:spacing w:before="127" w:line="222" w:lineRule="auto"/>
        <w:rPr>
          <w:sz w:val="24"/>
          <w:szCs w:val="24"/>
        </w:rPr>
      </w:pPr>
      <w:r>
        <w:rPr>
          <w:rFonts w:ascii="Times New Roman" w:hAnsi="Times New Roman" w:eastAsia="Times New Roman" w:cs="Times New Roman"/>
          <w:spacing w:val="-1"/>
          <w:sz w:val="24"/>
          <w:szCs w:val="24"/>
        </w:rPr>
        <w:t xml:space="preserve">2.5  </w:t>
      </w:r>
      <w:r>
        <w:rPr>
          <w:spacing w:val="-1"/>
          <w:sz w:val="24"/>
          <w:szCs w:val="24"/>
        </w:rPr>
        <w:t>组织设计交底</w:t>
      </w:r>
    </w:p>
    <w:p w14:paraId="7ED4C109">
      <w:pPr>
        <w:spacing w:before="139" w:line="228" w:lineRule="auto"/>
        <w:ind w:left="426"/>
        <w:rPr>
          <w:rFonts w:ascii="宋体" w:hAnsi="宋体" w:eastAsia="宋体" w:cs="宋体"/>
          <w:sz w:val="20"/>
          <w:szCs w:val="20"/>
        </w:rPr>
      </w:pPr>
      <w:r>
        <w:rPr>
          <w:rFonts w:ascii="宋体" w:hAnsi="宋体" w:eastAsia="宋体" w:cs="宋体"/>
          <w:spacing w:val="9"/>
          <w:sz w:val="20"/>
          <w:szCs w:val="20"/>
        </w:rPr>
        <w:t>发包人应根据合同进度计划，组织设计单位向承包人进行设计交底。</w:t>
      </w:r>
    </w:p>
    <w:p w14:paraId="35B3B47C">
      <w:pPr>
        <w:pStyle w:val="2"/>
        <w:spacing w:before="127" w:line="222" w:lineRule="auto"/>
        <w:rPr>
          <w:sz w:val="24"/>
          <w:szCs w:val="24"/>
        </w:rPr>
      </w:pPr>
      <w:r>
        <w:rPr>
          <w:rFonts w:ascii="Times New Roman" w:hAnsi="Times New Roman" w:eastAsia="Times New Roman" w:cs="Times New Roman"/>
          <w:spacing w:val="-3"/>
          <w:sz w:val="24"/>
          <w:szCs w:val="24"/>
        </w:rPr>
        <w:t>2.6</w:t>
      </w:r>
      <w:r>
        <w:rPr>
          <w:rFonts w:ascii="Times New Roman" w:hAnsi="Times New Roman" w:eastAsia="Times New Roman" w:cs="Times New Roman"/>
          <w:spacing w:val="10"/>
          <w:sz w:val="24"/>
          <w:szCs w:val="24"/>
        </w:rPr>
        <w:t xml:space="preserve">  </w:t>
      </w:r>
      <w:r>
        <w:rPr>
          <w:spacing w:val="-3"/>
          <w:sz w:val="24"/>
          <w:szCs w:val="24"/>
        </w:rPr>
        <w:t>支付合同价款</w:t>
      </w:r>
    </w:p>
    <w:p w14:paraId="67D7C273">
      <w:pPr>
        <w:spacing w:before="138" w:line="226" w:lineRule="auto"/>
        <w:ind w:left="426"/>
        <w:rPr>
          <w:rFonts w:ascii="宋体" w:hAnsi="宋体" w:eastAsia="宋体" w:cs="宋体"/>
          <w:sz w:val="20"/>
          <w:szCs w:val="20"/>
        </w:rPr>
      </w:pPr>
      <w:r>
        <w:rPr>
          <w:rFonts w:ascii="宋体" w:hAnsi="宋体" w:eastAsia="宋体" w:cs="宋体"/>
          <w:spacing w:val="9"/>
          <w:sz w:val="20"/>
          <w:szCs w:val="20"/>
        </w:rPr>
        <w:t>发包人应按合同约定向承包人及时支付合同价</w:t>
      </w:r>
      <w:r>
        <w:rPr>
          <w:rFonts w:ascii="宋体" w:hAnsi="宋体" w:eastAsia="宋体" w:cs="宋体"/>
          <w:spacing w:val="8"/>
          <w:sz w:val="20"/>
          <w:szCs w:val="20"/>
        </w:rPr>
        <w:t>款。</w:t>
      </w:r>
    </w:p>
    <w:p w14:paraId="4E7DBB01">
      <w:pPr>
        <w:pStyle w:val="2"/>
        <w:spacing w:before="129" w:line="221" w:lineRule="auto"/>
        <w:rPr>
          <w:sz w:val="24"/>
          <w:szCs w:val="24"/>
        </w:rPr>
      </w:pPr>
      <w:r>
        <w:rPr>
          <w:rFonts w:ascii="Times New Roman" w:hAnsi="Times New Roman" w:eastAsia="Times New Roman" w:cs="Times New Roman"/>
          <w:spacing w:val="-1"/>
          <w:sz w:val="24"/>
          <w:szCs w:val="24"/>
        </w:rPr>
        <w:t xml:space="preserve">2.7  </w:t>
      </w:r>
      <w:r>
        <w:rPr>
          <w:spacing w:val="-1"/>
          <w:sz w:val="24"/>
          <w:szCs w:val="24"/>
        </w:rPr>
        <w:t>组织竣工验收</w:t>
      </w:r>
    </w:p>
    <w:p w14:paraId="33940016">
      <w:pPr>
        <w:spacing w:before="137" w:line="228" w:lineRule="auto"/>
        <w:ind w:left="426"/>
        <w:rPr>
          <w:rFonts w:ascii="宋体" w:hAnsi="宋体" w:eastAsia="宋体" w:cs="宋体"/>
          <w:sz w:val="20"/>
          <w:szCs w:val="20"/>
        </w:rPr>
      </w:pPr>
      <w:r>
        <w:rPr>
          <w:rFonts w:ascii="宋体" w:hAnsi="宋体" w:eastAsia="宋体" w:cs="宋体"/>
          <w:spacing w:val="8"/>
          <w:sz w:val="20"/>
          <w:szCs w:val="20"/>
        </w:rPr>
        <w:t>发包人应按合同约定及时组织竣工验收。</w:t>
      </w:r>
    </w:p>
    <w:p w14:paraId="79FC81BF">
      <w:pPr>
        <w:pStyle w:val="2"/>
        <w:spacing w:before="127" w:line="221" w:lineRule="auto"/>
        <w:rPr>
          <w:sz w:val="24"/>
          <w:szCs w:val="24"/>
        </w:rPr>
      </w:pPr>
      <w:r>
        <w:rPr>
          <w:rFonts w:ascii="Times New Roman" w:hAnsi="Times New Roman" w:eastAsia="Times New Roman" w:cs="Times New Roman"/>
          <w:spacing w:val="-3"/>
          <w:sz w:val="24"/>
          <w:szCs w:val="24"/>
        </w:rPr>
        <w:t>2.8</w:t>
      </w:r>
      <w:r>
        <w:rPr>
          <w:rFonts w:ascii="Times New Roman" w:hAnsi="Times New Roman" w:eastAsia="Times New Roman" w:cs="Times New Roman"/>
          <w:spacing w:val="7"/>
          <w:sz w:val="24"/>
          <w:szCs w:val="24"/>
        </w:rPr>
        <w:t xml:space="preserve">  </w:t>
      </w:r>
      <w:r>
        <w:rPr>
          <w:spacing w:val="-3"/>
          <w:sz w:val="24"/>
          <w:szCs w:val="24"/>
        </w:rPr>
        <w:t>其他义务</w:t>
      </w:r>
    </w:p>
    <w:p w14:paraId="049C6358">
      <w:pPr>
        <w:spacing w:before="140" w:line="228" w:lineRule="auto"/>
        <w:ind w:left="426"/>
        <w:rPr>
          <w:rFonts w:ascii="宋体" w:hAnsi="宋体" w:eastAsia="宋体" w:cs="宋体"/>
          <w:sz w:val="20"/>
          <w:szCs w:val="20"/>
        </w:rPr>
      </w:pPr>
      <w:r>
        <w:rPr>
          <w:rFonts w:ascii="宋体" w:hAnsi="宋体" w:eastAsia="宋体" w:cs="宋体"/>
          <w:spacing w:val="8"/>
          <w:sz w:val="20"/>
          <w:szCs w:val="20"/>
        </w:rPr>
        <w:t>发包人应履行合同约定的其他义务。</w:t>
      </w:r>
    </w:p>
    <w:p w14:paraId="3C3CE728">
      <w:pPr>
        <w:pStyle w:val="2"/>
        <w:spacing w:before="191" w:line="225" w:lineRule="auto"/>
        <w:ind w:left="6"/>
        <w:outlineLvl w:val="2"/>
        <w:rPr>
          <w:sz w:val="28"/>
          <w:szCs w:val="28"/>
        </w:rPr>
      </w:pPr>
      <w:bookmarkStart w:id="216" w:name="bookmark197"/>
      <w:bookmarkEnd w:id="216"/>
      <w:r>
        <w:rPr>
          <w:rFonts w:ascii="Times New Roman" w:hAnsi="Times New Roman" w:eastAsia="Times New Roman" w:cs="Times New Roman"/>
          <w:spacing w:val="-4"/>
          <w:sz w:val="28"/>
          <w:szCs w:val="28"/>
        </w:rPr>
        <w:t>3.</w:t>
      </w:r>
      <w:r>
        <w:rPr>
          <w:rFonts w:ascii="Times New Roman" w:hAnsi="Times New Roman" w:eastAsia="Times New Roman" w:cs="Times New Roman"/>
          <w:spacing w:val="4"/>
          <w:sz w:val="28"/>
          <w:szCs w:val="28"/>
        </w:rPr>
        <w:t xml:space="preserve">  </w:t>
      </w:r>
      <w:r>
        <w:rPr>
          <w:spacing w:val="-4"/>
          <w:sz w:val="28"/>
          <w:szCs w:val="28"/>
        </w:rPr>
        <w:t>监理人</w:t>
      </w:r>
    </w:p>
    <w:p w14:paraId="0E1DF27D">
      <w:pPr>
        <w:pStyle w:val="2"/>
        <w:spacing w:before="95" w:line="221" w:lineRule="auto"/>
        <w:ind w:left="4"/>
        <w:rPr>
          <w:sz w:val="24"/>
          <w:szCs w:val="24"/>
        </w:rPr>
      </w:pPr>
      <w:r>
        <w:rPr>
          <w:rFonts w:ascii="Times New Roman" w:hAnsi="Times New Roman" w:eastAsia="Times New Roman" w:cs="Times New Roman"/>
          <w:spacing w:val="-1"/>
          <w:sz w:val="24"/>
          <w:szCs w:val="24"/>
        </w:rPr>
        <w:t xml:space="preserve">3.1  </w:t>
      </w:r>
      <w:r>
        <w:rPr>
          <w:spacing w:val="-1"/>
          <w:sz w:val="24"/>
          <w:szCs w:val="24"/>
        </w:rPr>
        <w:t>监理人的职责和权力</w:t>
      </w:r>
    </w:p>
    <w:p w14:paraId="20AE357A">
      <w:pPr>
        <w:spacing w:before="138" w:line="370" w:lineRule="auto"/>
        <w:ind w:left="7" w:right="54" w:firstLine="416"/>
        <w:rPr>
          <w:rFonts w:ascii="宋体" w:hAnsi="宋体" w:eastAsia="宋体" w:cs="宋体"/>
          <w:sz w:val="20"/>
          <w:szCs w:val="20"/>
        </w:rPr>
      </w:pPr>
      <w:r>
        <w:rPr>
          <w:rFonts w:ascii="Times New Roman" w:hAnsi="Times New Roman" w:eastAsia="Times New Roman" w:cs="Times New Roman"/>
          <w:spacing w:val="5"/>
          <w:sz w:val="20"/>
          <w:szCs w:val="20"/>
        </w:rPr>
        <w:t>3.</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监理人受发包人委托，享有合同约定的权力。监理人在行使某项权力前需要经发包人事</w:t>
      </w:r>
      <w:r>
        <w:rPr>
          <w:rFonts w:ascii="宋体" w:hAnsi="宋体" w:eastAsia="宋体" w:cs="宋体"/>
          <w:spacing w:val="9"/>
          <w:sz w:val="20"/>
          <w:szCs w:val="20"/>
        </w:rPr>
        <w:t>先批准而通用合同条款没有指明的，应在专用合同条款中指明。</w:t>
      </w:r>
    </w:p>
    <w:p w14:paraId="5B92A678">
      <w:pPr>
        <w:spacing w:before="1" w:line="368" w:lineRule="auto"/>
        <w:ind w:left="20" w:right="52" w:firstLine="403"/>
        <w:rPr>
          <w:rFonts w:ascii="宋体" w:hAnsi="宋体" w:eastAsia="宋体" w:cs="宋体"/>
          <w:sz w:val="20"/>
          <w:szCs w:val="20"/>
        </w:rPr>
      </w:pPr>
      <w:r>
        <w:rPr>
          <w:rFonts w:ascii="Times New Roman" w:hAnsi="Times New Roman" w:eastAsia="Times New Roman" w:cs="Times New Roman"/>
          <w:spacing w:val="6"/>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  </w:t>
      </w:r>
      <w:r>
        <w:rPr>
          <w:rFonts w:ascii="宋体" w:hAnsi="宋体" w:eastAsia="宋体" w:cs="宋体"/>
          <w:spacing w:val="6"/>
          <w:sz w:val="20"/>
          <w:szCs w:val="20"/>
        </w:rPr>
        <w:t>监理人发出的任何指示应视为已得到发包人的批准，但监理人无权免除或变</w:t>
      </w:r>
      <w:r>
        <w:rPr>
          <w:rFonts w:ascii="宋体" w:hAnsi="宋体" w:eastAsia="宋体" w:cs="宋体"/>
          <w:spacing w:val="5"/>
          <w:sz w:val="20"/>
          <w:szCs w:val="20"/>
        </w:rPr>
        <w:t>更合同约定</w:t>
      </w:r>
      <w:r>
        <w:rPr>
          <w:rFonts w:ascii="宋体" w:hAnsi="宋体" w:eastAsia="宋体" w:cs="宋体"/>
          <w:spacing w:val="7"/>
          <w:sz w:val="20"/>
          <w:szCs w:val="20"/>
        </w:rPr>
        <w:t>的发包人和承包人的权利、义务和责任。</w:t>
      </w:r>
    </w:p>
    <w:p w14:paraId="33A26EBD">
      <w:pPr>
        <w:spacing w:before="2" w:line="357" w:lineRule="auto"/>
        <w:ind w:left="2" w:firstLine="421"/>
        <w:rPr>
          <w:rFonts w:ascii="宋体" w:hAnsi="宋体" w:eastAsia="宋体" w:cs="宋体"/>
          <w:sz w:val="20"/>
          <w:szCs w:val="20"/>
        </w:rPr>
      </w:pPr>
      <w:r>
        <w:rPr>
          <w:rFonts w:ascii="Times New Roman" w:hAnsi="Times New Roman" w:eastAsia="Times New Roman" w:cs="Times New Roman"/>
          <w:spacing w:val="7"/>
          <w:sz w:val="20"/>
          <w:szCs w:val="20"/>
        </w:rPr>
        <w:t>3.</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7"/>
          <w:sz w:val="20"/>
          <w:szCs w:val="20"/>
        </w:rPr>
        <w:t xml:space="preserve">1.3  </w:t>
      </w:r>
      <w:r>
        <w:rPr>
          <w:rFonts w:ascii="宋体" w:hAnsi="宋体" w:eastAsia="宋体" w:cs="宋体"/>
          <w:spacing w:val="7"/>
          <w:sz w:val="20"/>
          <w:szCs w:val="20"/>
        </w:rPr>
        <w:t>合同约定应由承包人承担的义务和责任，不因监理人对承包人提交文件的审查或批准，</w:t>
      </w:r>
      <w:r>
        <w:rPr>
          <w:rFonts w:ascii="宋体" w:hAnsi="宋体" w:eastAsia="宋体" w:cs="宋体"/>
          <w:spacing w:val="9"/>
          <w:sz w:val="20"/>
          <w:szCs w:val="20"/>
        </w:rPr>
        <w:t>对工程、材料和设备的检查和检验，</w:t>
      </w:r>
      <w:r>
        <w:rPr>
          <w:rFonts w:ascii="宋体" w:hAnsi="宋体" w:eastAsia="宋体" w:cs="宋体"/>
          <w:spacing w:val="-59"/>
          <w:sz w:val="20"/>
          <w:szCs w:val="20"/>
        </w:rPr>
        <w:t xml:space="preserve"> </w:t>
      </w:r>
      <w:r>
        <w:rPr>
          <w:rFonts w:ascii="宋体" w:hAnsi="宋体" w:eastAsia="宋体" w:cs="宋体"/>
          <w:spacing w:val="9"/>
          <w:sz w:val="20"/>
          <w:szCs w:val="20"/>
        </w:rPr>
        <w:t>以及为</w:t>
      </w:r>
      <w:r>
        <w:rPr>
          <w:rFonts w:ascii="宋体" w:hAnsi="宋体" w:eastAsia="宋体" w:cs="宋体"/>
          <w:spacing w:val="8"/>
          <w:sz w:val="20"/>
          <w:szCs w:val="20"/>
        </w:rPr>
        <w:t>实施监理作出的指示等职务行为而减轻或解除。</w:t>
      </w:r>
    </w:p>
    <w:p w14:paraId="2B338824">
      <w:pPr>
        <w:pStyle w:val="2"/>
        <w:spacing w:before="1" w:line="221" w:lineRule="auto"/>
        <w:ind w:left="4"/>
        <w:rPr>
          <w:sz w:val="24"/>
          <w:szCs w:val="24"/>
        </w:rPr>
      </w:pPr>
      <w:r>
        <w:rPr>
          <w:rFonts w:ascii="Times New Roman" w:hAnsi="Times New Roman" w:eastAsia="Times New Roman" w:cs="Times New Roman"/>
          <w:spacing w:val="-1"/>
          <w:sz w:val="24"/>
          <w:szCs w:val="24"/>
        </w:rPr>
        <w:t xml:space="preserve">3.2  </w:t>
      </w:r>
      <w:r>
        <w:rPr>
          <w:spacing w:val="-1"/>
          <w:sz w:val="24"/>
          <w:szCs w:val="24"/>
        </w:rPr>
        <w:t>总监理工程师</w:t>
      </w:r>
    </w:p>
    <w:p w14:paraId="1F1A5828">
      <w:pPr>
        <w:spacing w:before="136" w:line="228" w:lineRule="auto"/>
        <w:ind w:left="426"/>
        <w:rPr>
          <w:rFonts w:ascii="宋体" w:hAnsi="宋体" w:eastAsia="宋体" w:cs="宋体"/>
          <w:sz w:val="20"/>
          <w:szCs w:val="20"/>
        </w:rPr>
      </w:pPr>
      <w:r>
        <w:rPr>
          <w:rFonts w:ascii="宋体" w:hAnsi="宋体" w:eastAsia="宋体" w:cs="宋体"/>
          <w:spacing w:val="10"/>
          <w:sz w:val="20"/>
          <w:szCs w:val="20"/>
        </w:rPr>
        <w:t>发包人应在发出开工通知前将总监理工程师的任命通知承包人</w:t>
      </w:r>
      <w:r>
        <w:rPr>
          <w:rFonts w:ascii="宋体" w:hAnsi="宋体" w:eastAsia="宋体" w:cs="宋体"/>
          <w:spacing w:val="9"/>
          <w:sz w:val="20"/>
          <w:szCs w:val="20"/>
        </w:rPr>
        <w:t>。总监理工程师更换时，应在</w:t>
      </w:r>
    </w:p>
    <w:p w14:paraId="62D9BF68">
      <w:pPr>
        <w:spacing w:line="228" w:lineRule="auto"/>
        <w:rPr>
          <w:rFonts w:ascii="宋体" w:hAnsi="宋体" w:eastAsia="宋体" w:cs="宋体"/>
          <w:sz w:val="20"/>
          <w:szCs w:val="20"/>
        </w:rPr>
        <w:sectPr>
          <w:footerReference r:id="rId166" w:type="default"/>
          <w:pgSz w:w="11906" w:h="16839"/>
          <w:pgMar w:top="400" w:right="1502" w:bottom="1038" w:left="1536" w:header="0" w:footer="785" w:gutter="0"/>
          <w:cols w:space="720" w:num="1"/>
        </w:sectPr>
      </w:pPr>
    </w:p>
    <w:p w14:paraId="3287BA22">
      <w:pPr>
        <w:spacing w:line="271" w:lineRule="auto"/>
        <w:rPr>
          <w:rFonts w:ascii="Arial"/>
          <w:sz w:val="21"/>
        </w:rPr>
      </w:pPr>
    </w:p>
    <w:p w14:paraId="0EDC2C9D">
      <w:pPr>
        <w:spacing w:line="271" w:lineRule="auto"/>
        <w:rPr>
          <w:rFonts w:ascii="Arial"/>
          <w:sz w:val="21"/>
        </w:rPr>
      </w:pPr>
    </w:p>
    <w:p w14:paraId="56528426">
      <w:pPr>
        <w:spacing w:line="272" w:lineRule="auto"/>
        <w:rPr>
          <w:rFonts w:ascii="Arial"/>
          <w:sz w:val="21"/>
        </w:rPr>
      </w:pPr>
    </w:p>
    <w:p w14:paraId="005A4279">
      <w:pPr>
        <w:spacing w:line="272" w:lineRule="auto"/>
        <w:rPr>
          <w:rFonts w:ascii="Arial"/>
          <w:sz w:val="21"/>
        </w:rPr>
      </w:pPr>
    </w:p>
    <w:p w14:paraId="492390AD">
      <w:pPr>
        <w:spacing w:before="65" w:line="357" w:lineRule="auto"/>
        <w:ind w:right="3" w:firstLine="1"/>
        <w:rPr>
          <w:rFonts w:ascii="宋体" w:hAnsi="宋体" w:eastAsia="宋体" w:cs="宋体"/>
          <w:sz w:val="20"/>
          <w:szCs w:val="20"/>
        </w:rPr>
      </w:pPr>
      <w:r>
        <w:rPr>
          <w:rFonts w:ascii="宋体" w:hAnsi="宋体" w:eastAsia="宋体" w:cs="宋体"/>
          <w:spacing w:val="6"/>
          <w:sz w:val="20"/>
          <w:szCs w:val="20"/>
        </w:rPr>
        <w:t>调离</w:t>
      </w:r>
      <w:r>
        <w:rPr>
          <w:rFonts w:ascii="宋体" w:hAnsi="宋体" w:eastAsia="宋体" w:cs="宋体"/>
          <w:spacing w:val="-8"/>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天前通知承包人。总监理工程师短期离开施工场地的，应委派代表代行其职责，并通知承</w:t>
      </w:r>
      <w:r>
        <w:rPr>
          <w:rFonts w:ascii="宋体" w:hAnsi="宋体" w:eastAsia="宋体" w:cs="宋体"/>
          <w:spacing w:val="3"/>
          <w:sz w:val="20"/>
          <w:szCs w:val="20"/>
        </w:rPr>
        <w:t>包人。</w:t>
      </w:r>
    </w:p>
    <w:p w14:paraId="457FA6C8">
      <w:pPr>
        <w:pStyle w:val="2"/>
        <w:spacing w:before="1" w:line="220" w:lineRule="auto"/>
        <w:ind w:left="2"/>
        <w:rPr>
          <w:sz w:val="24"/>
          <w:szCs w:val="24"/>
        </w:rPr>
      </w:pPr>
      <w:r>
        <w:rPr>
          <w:rFonts w:ascii="Times New Roman" w:hAnsi="Times New Roman" w:eastAsia="Times New Roman" w:cs="Times New Roman"/>
          <w:spacing w:val="-2"/>
          <w:sz w:val="24"/>
          <w:szCs w:val="24"/>
        </w:rPr>
        <w:t xml:space="preserve">3.3  </w:t>
      </w:r>
      <w:r>
        <w:rPr>
          <w:spacing w:val="-2"/>
          <w:sz w:val="24"/>
          <w:szCs w:val="24"/>
        </w:rPr>
        <w:t>监理人员</w:t>
      </w:r>
    </w:p>
    <w:p w14:paraId="7A35FD57">
      <w:pPr>
        <w:spacing w:before="139" w:line="369" w:lineRule="auto"/>
        <w:ind w:right="1" w:firstLine="421"/>
        <w:rPr>
          <w:rFonts w:ascii="宋体" w:hAnsi="宋体" w:eastAsia="宋体" w:cs="宋体"/>
          <w:sz w:val="20"/>
          <w:szCs w:val="20"/>
        </w:rPr>
      </w:pPr>
      <w:r>
        <w:rPr>
          <w:rFonts w:ascii="Times New Roman" w:hAnsi="Times New Roman" w:eastAsia="Times New Roman" w:cs="Times New Roman"/>
          <w:spacing w:val="6"/>
          <w:sz w:val="20"/>
          <w:szCs w:val="20"/>
        </w:rPr>
        <w:t>3.3.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总监理工程师可以授权其他监理人员负责执行其指派的一项或多项监理</w:t>
      </w:r>
      <w:r>
        <w:rPr>
          <w:rFonts w:ascii="宋体" w:hAnsi="宋体" w:eastAsia="宋体" w:cs="宋体"/>
          <w:spacing w:val="5"/>
          <w:sz w:val="20"/>
          <w:szCs w:val="20"/>
        </w:rPr>
        <w:t>工作。总监理工</w:t>
      </w:r>
      <w:r>
        <w:rPr>
          <w:rFonts w:ascii="宋体" w:hAnsi="宋体" w:eastAsia="宋体" w:cs="宋体"/>
          <w:spacing w:val="10"/>
          <w:sz w:val="20"/>
          <w:szCs w:val="20"/>
        </w:rPr>
        <w:t>程师应将被授权监理人员的姓名及其授权范围通知承包人。被授权的监理人</w:t>
      </w:r>
      <w:r>
        <w:rPr>
          <w:rFonts w:ascii="宋体" w:hAnsi="宋体" w:eastAsia="宋体" w:cs="宋体"/>
          <w:spacing w:val="9"/>
          <w:sz w:val="20"/>
          <w:szCs w:val="20"/>
        </w:rPr>
        <w:t>员在授权范围内发出</w:t>
      </w:r>
      <w:r>
        <w:rPr>
          <w:rFonts w:ascii="宋体" w:hAnsi="宋体" w:eastAsia="宋体" w:cs="宋体"/>
          <w:spacing w:val="10"/>
          <w:sz w:val="20"/>
          <w:szCs w:val="20"/>
        </w:rPr>
        <w:t>的指示视为已得到总监理工程师的同意，与总监理工程师发出的指示具有同</w:t>
      </w:r>
      <w:r>
        <w:rPr>
          <w:rFonts w:ascii="宋体" w:hAnsi="宋体" w:eastAsia="宋体" w:cs="宋体"/>
          <w:spacing w:val="9"/>
          <w:sz w:val="20"/>
          <w:szCs w:val="20"/>
        </w:rPr>
        <w:t>等效力。总监理工程师撤销某项授权时，应将撤销授权的决定及时通知承包人。</w:t>
      </w:r>
    </w:p>
    <w:p w14:paraId="5F8BFB2D">
      <w:pPr>
        <w:spacing w:line="369" w:lineRule="auto"/>
        <w:ind w:left="4" w:right="1" w:firstLine="417"/>
        <w:rPr>
          <w:rFonts w:ascii="宋体" w:hAnsi="宋体" w:eastAsia="宋体" w:cs="宋体"/>
          <w:sz w:val="20"/>
          <w:szCs w:val="20"/>
        </w:rPr>
      </w:pPr>
      <w:r>
        <w:rPr>
          <w:rFonts w:ascii="Times New Roman" w:hAnsi="Times New Roman" w:eastAsia="Times New Roman" w:cs="Times New Roman"/>
          <w:spacing w:val="6"/>
          <w:sz w:val="20"/>
          <w:szCs w:val="20"/>
        </w:rPr>
        <w:t xml:space="preserve">3.3.2  </w:t>
      </w:r>
      <w:r>
        <w:rPr>
          <w:rFonts w:ascii="宋体" w:hAnsi="宋体" w:eastAsia="宋体" w:cs="宋体"/>
          <w:spacing w:val="6"/>
          <w:sz w:val="20"/>
          <w:szCs w:val="20"/>
        </w:rPr>
        <w:t>监理人员对承包人的任何工作、工程或其采用的材料和工程设备未在约定的或合理的期</w:t>
      </w:r>
      <w:r>
        <w:rPr>
          <w:rFonts w:ascii="宋体" w:hAnsi="宋体" w:eastAsia="宋体" w:cs="宋体"/>
          <w:spacing w:val="10"/>
          <w:sz w:val="20"/>
          <w:szCs w:val="20"/>
        </w:rPr>
        <w:t>限内提出否定意见的，视为已获批准，但不影响监理人在以后拒绝</w:t>
      </w:r>
      <w:r>
        <w:rPr>
          <w:rFonts w:ascii="宋体" w:hAnsi="宋体" w:eastAsia="宋体" w:cs="宋体"/>
          <w:spacing w:val="9"/>
          <w:sz w:val="20"/>
          <w:szCs w:val="20"/>
        </w:rPr>
        <w:t>该项工作、工程、材料或工程</w:t>
      </w:r>
      <w:r>
        <w:rPr>
          <w:rFonts w:ascii="宋体" w:hAnsi="宋体" w:eastAsia="宋体" w:cs="宋体"/>
          <w:spacing w:val="6"/>
          <w:sz w:val="20"/>
          <w:szCs w:val="20"/>
        </w:rPr>
        <w:t>设备的权利。</w:t>
      </w:r>
    </w:p>
    <w:p w14:paraId="57BA54F0">
      <w:pPr>
        <w:spacing w:before="2" w:line="369" w:lineRule="auto"/>
        <w:ind w:left="1" w:right="1" w:firstLine="419"/>
        <w:rPr>
          <w:rFonts w:ascii="宋体" w:hAnsi="宋体" w:eastAsia="宋体" w:cs="宋体"/>
          <w:sz w:val="20"/>
          <w:szCs w:val="20"/>
        </w:rPr>
      </w:pPr>
      <w:r>
        <w:rPr>
          <w:rFonts w:ascii="Times New Roman" w:hAnsi="Times New Roman" w:eastAsia="Times New Roman" w:cs="Times New Roman"/>
          <w:spacing w:val="7"/>
          <w:sz w:val="20"/>
          <w:szCs w:val="20"/>
        </w:rPr>
        <w:t xml:space="preserve">3.3.3  </w:t>
      </w:r>
      <w:r>
        <w:rPr>
          <w:rFonts w:ascii="宋体" w:hAnsi="宋体" w:eastAsia="宋体" w:cs="宋体"/>
          <w:spacing w:val="7"/>
          <w:sz w:val="20"/>
          <w:szCs w:val="20"/>
        </w:rPr>
        <w:t>承包人对总监理工程师授权的</w:t>
      </w:r>
      <w:r>
        <w:rPr>
          <w:rFonts w:ascii="宋体" w:hAnsi="宋体" w:eastAsia="宋体" w:cs="宋体"/>
          <w:spacing w:val="6"/>
          <w:sz w:val="20"/>
          <w:szCs w:val="20"/>
        </w:rPr>
        <w:t>监理人员发出的指示有疑问的，可向总监理工程师提出书</w:t>
      </w:r>
      <w:r>
        <w:rPr>
          <w:rFonts w:ascii="宋体" w:hAnsi="宋体" w:eastAsia="宋体" w:cs="宋体"/>
          <w:spacing w:val="9"/>
          <w:sz w:val="20"/>
          <w:szCs w:val="20"/>
        </w:rPr>
        <w:t>面异议，总监理工程师应在</w:t>
      </w:r>
      <w:r>
        <w:rPr>
          <w:rFonts w:ascii="宋体" w:hAnsi="宋体" w:eastAsia="宋体" w:cs="宋体"/>
          <w:spacing w:val="-41"/>
          <w:sz w:val="20"/>
          <w:szCs w:val="20"/>
        </w:rPr>
        <w:t xml:space="preserve"> </w:t>
      </w:r>
      <w:r>
        <w:rPr>
          <w:rFonts w:ascii="Times New Roman" w:hAnsi="Times New Roman" w:eastAsia="Times New Roman" w:cs="Times New Roman"/>
          <w:spacing w:val="9"/>
          <w:sz w:val="20"/>
          <w:szCs w:val="20"/>
        </w:rPr>
        <w:t xml:space="preserve">48 </w:t>
      </w:r>
      <w:r>
        <w:rPr>
          <w:rFonts w:ascii="宋体" w:hAnsi="宋体" w:eastAsia="宋体" w:cs="宋体"/>
          <w:spacing w:val="9"/>
          <w:sz w:val="20"/>
          <w:szCs w:val="20"/>
        </w:rPr>
        <w:t>小时内对该</w:t>
      </w:r>
      <w:r>
        <w:rPr>
          <w:rFonts w:ascii="宋体" w:hAnsi="宋体" w:eastAsia="宋体" w:cs="宋体"/>
          <w:spacing w:val="8"/>
          <w:sz w:val="20"/>
          <w:szCs w:val="20"/>
        </w:rPr>
        <w:t>指示予以确认、更改或撤销。</w:t>
      </w:r>
    </w:p>
    <w:p w14:paraId="7A5A2510">
      <w:pPr>
        <w:spacing w:before="1" w:line="356" w:lineRule="auto"/>
        <w:ind w:right="1" w:firstLine="420"/>
        <w:rPr>
          <w:rFonts w:ascii="宋体" w:hAnsi="宋体" w:eastAsia="宋体" w:cs="宋体"/>
          <w:sz w:val="20"/>
          <w:szCs w:val="20"/>
        </w:rPr>
      </w:pPr>
      <w:r>
        <w:rPr>
          <w:rFonts w:ascii="Times New Roman" w:hAnsi="Times New Roman" w:eastAsia="Times New Roman" w:cs="Times New Roman"/>
          <w:spacing w:val="7"/>
          <w:sz w:val="20"/>
          <w:szCs w:val="20"/>
        </w:rPr>
        <w:t xml:space="preserve">3.3.4  </w:t>
      </w:r>
      <w:r>
        <w:rPr>
          <w:rFonts w:ascii="宋体" w:hAnsi="宋体" w:eastAsia="宋体" w:cs="宋体"/>
          <w:spacing w:val="7"/>
          <w:sz w:val="20"/>
          <w:szCs w:val="20"/>
        </w:rPr>
        <w:t>除专用合同条款另有约定外，总监理工程师不应将第</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 xml:space="preserve">3.5 </w:t>
      </w:r>
      <w:r>
        <w:rPr>
          <w:rFonts w:ascii="宋体" w:hAnsi="宋体" w:eastAsia="宋体" w:cs="宋体"/>
          <w:spacing w:val="7"/>
          <w:sz w:val="20"/>
          <w:szCs w:val="20"/>
        </w:rPr>
        <w:t>款约定应由总监理</w:t>
      </w:r>
      <w:r>
        <w:rPr>
          <w:rFonts w:ascii="宋体" w:hAnsi="宋体" w:eastAsia="宋体" w:cs="宋体"/>
          <w:spacing w:val="6"/>
          <w:sz w:val="20"/>
          <w:szCs w:val="20"/>
        </w:rPr>
        <w:t>工程师作出</w:t>
      </w:r>
      <w:r>
        <w:rPr>
          <w:rFonts w:ascii="宋体" w:hAnsi="宋体" w:eastAsia="宋体" w:cs="宋体"/>
          <w:spacing w:val="8"/>
          <w:sz w:val="20"/>
          <w:szCs w:val="20"/>
        </w:rPr>
        <w:t>确定的权力授权或委托给其他监理人员。</w:t>
      </w:r>
    </w:p>
    <w:p w14:paraId="35183025">
      <w:pPr>
        <w:pStyle w:val="2"/>
        <w:spacing w:before="1" w:line="221" w:lineRule="auto"/>
        <w:ind w:left="2"/>
        <w:rPr>
          <w:sz w:val="24"/>
          <w:szCs w:val="24"/>
        </w:rPr>
      </w:pPr>
      <w:r>
        <w:rPr>
          <w:rFonts w:ascii="Times New Roman" w:hAnsi="Times New Roman" w:eastAsia="Times New Roman" w:cs="Times New Roman"/>
          <w:spacing w:val="-1"/>
          <w:sz w:val="24"/>
          <w:szCs w:val="24"/>
        </w:rPr>
        <w:t xml:space="preserve">3.4  </w:t>
      </w:r>
      <w:r>
        <w:rPr>
          <w:spacing w:val="-1"/>
          <w:sz w:val="24"/>
          <w:szCs w:val="24"/>
        </w:rPr>
        <w:t>监理人的指示</w:t>
      </w:r>
    </w:p>
    <w:p w14:paraId="11904A90">
      <w:pPr>
        <w:spacing w:before="139" w:line="369" w:lineRule="auto"/>
        <w:ind w:right="1" w:firstLine="421"/>
        <w:rPr>
          <w:rFonts w:ascii="宋体" w:hAnsi="宋体" w:eastAsia="宋体" w:cs="宋体"/>
          <w:sz w:val="20"/>
          <w:szCs w:val="20"/>
        </w:rPr>
      </w:pPr>
      <w:r>
        <w:rPr>
          <w:rFonts w:ascii="Times New Roman" w:hAnsi="Times New Roman" w:eastAsia="Times New Roman" w:cs="Times New Roman"/>
          <w:spacing w:val="6"/>
          <w:sz w:val="20"/>
          <w:szCs w:val="20"/>
        </w:rPr>
        <w:t>3.4.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监理人应按第</w:t>
      </w:r>
      <w:r>
        <w:rPr>
          <w:rFonts w:ascii="宋体" w:hAnsi="宋体" w:eastAsia="宋体" w:cs="宋体"/>
          <w:spacing w:val="-39"/>
          <w:sz w:val="20"/>
          <w:szCs w:val="20"/>
        </w:rPr>
        <w:t xml:space="preserve"> </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款的约定向承包人发出指示，监理人的指示应盖有监理人授权</w:t>
      </w:r>
      <w:r>
        <w:rPr>
          <w:rFonts w:ascii="宋体" w:hAnsi="宋体" w:eastAsia="宋体" w:cs="宋体"/>
          <w:spacing w:val="5"/>
          <w:sz w:val="20"/>
          <w:szCs w:val="20"/>
        </w:rPr>
        <w:t>的施工</w:t>
      </w:r>
      <w:r>
        <w:rPr>
          <w:rFonts w:ascii="宋体" w:hAnsi="宋体" w:eastAsia="宋体" w:cs="宋体"/>
          <w:spacing w:val="8"/>
          <w:sz w:val="20"/>
          <w:szCs w:val="20"/>
        </w:rPr>
        <w:t>场地机构章，并由总监理工程师或总监理工程师按第</w:t>
      </w:r>
      <w:r>
        <w:rPr>
          <w:rFonts w:ascii="宋体" w:hAnsi="宋体" w:eastAsia="宋体" w:cs="宋体"/>
          <w:spacing w:val="-39"/>
          <w:sz w:val="20"/>
          <w:szCs w:val="20"/>
        </w:rPr>
        <w:t xml:space="preserve"> </w:t>
      </w:r>
      <w:r>
        <w:rPr>
          <w:rFonts w:ascii="Times New Roman" w:hAnsi="Times New Roman" w:eastAsia="Times New Roman" w:cs="Times New Roman"/>
          <w:spacing w:val="8"/>
          <w:sz w:val="20"/>
          <w:szCs w:val="20"/>
        </w:rPr>
        <w:t>3.3.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项约定授</w:t>
      </w:r>
      <w:r>
        <w:rPr>
          <w:rFonts w:ascii="宋体" w:hAnsi="宋体" w:eastAsia="宋体" w:cs="宋体"/>
          <w:spacing w:val="7"/>
          <w:sz w:val="20"/>
          <w:szCs w:val="20"/>
        </w:rPr>
        <w:t>权的监理人员签字。</w:t>
      </w:r>
    </w:p>
    <w:p w14:paraId="674DA0D8">
      <w:pPr>
        <w:spacing w:before="2" w:line="368" w:lineRule="auto"/>
        <w:ind w:left="2" w:firstLine="418"/>
        <w:rPr>
          <w:rFonts w:ascii="宋体" w:hAnsi="宋体" w:eastAsia="宋体" w:cs="宋体"/>
          <w:sz w:val="20"/>
          <w:szCs w:val="20"/>
        </w:rPr>
      </w:pPr>
      <w:r>
        <w:rPr>
          <w:rFonts w:ascii="Times New Roman" w:hAnsi="Times New Roman" w:eastAsia="Times New Roman" w:cs="Times New Roman"/>
          <w:spacing w:val="6"/>
          <w:sz w:val="20"/>
          <w:szCs w:val="20"/>
        </w:rPr>
        <w:t xml:space="preserve">3.4.2  </w:t>
      </w:r>
      <w:r>
        <w:rPr>
          <w:rFonts w:ascii="宋体" w:hAnsi="宋体" w:eastAsia="宋体" w:cs="宋体"/>
          <w:spacing w:val="6"/>
          <w:sz w:val="20"/>
          <w:szCs w:val="20"/>
        </w:rPr>
        <w:t>承包人收到监理人按第</w:t>
      </w:r>
      <w:r>
        <w:rPr>
          <w:rFonts w:ascii="宋体" w:hAnsi="宋体" w:eastAsia="宋体" w:cs="宋体"/>
          <w:spacing w:val="-39"/>
          <w:sz w:val="20"/>
          <w:szCs w:val="20"/>
        </w:rPr>
        <w:t xml:space="preserve"> </w:t>
      </w:r>
      <w:r>
        <w:rPr>
          <w:rFonts w:ascii="Times New Roman" w:hAnsi="Times New Roman" w:eastAsia="Times New Roman" w:cs="Times New Roman"/>
          <w:spacing w:val="6"/>
          <w:sz w:val="20"/>
          <w:szCs w:val="20"/>
        </w:rPr>
        <w:t>3.4.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项作出的指示后应</w:t>
      </w:r>
      <w:r>
        <w:rPr>
          <w:rFonts w:ascii="宋体" w:hAnsi="宋体" w:eastAsia="宋体" w:cs="宋体"/>
          <w:spacing w:val="5"/>
          <w:sz w:val="20"/>
          <w:szCs w:val="20"/>
        </w:rPr>
        <w:t>遵照执行。指示构成变更的，应按第</w:t>
      </w:r>
      <w:r>
        <w:rPr>
          <w:rFonts w:ascii="宋体" w:hAnsi="宋体" w:eastAsia="宋体" w:cs="宋体"/>
          <w:spacing w:val="-21"/>
          <w:sz w:val="20"/>
          <w:szCs w:val="20"/>
        </w:rPr>
        <w:t xml:space="preserve"> </w:t>
      </w:r>
      <w:r>
        <w:rPr>
          <w:rFonts w:ascii="Times New Roman" w:hAnsi="Times New Roman" w:eastAsia="Times New Roman" w:cs="Times New Roman"/>
          <w:spacing w:val="5"/>
          <w:sz w:val="20"/>
          <w:szCs w:val="20"/>
        </w:rPr>
        <w:t>15</w:t>
      </w:r>
      <w:r>
        <w:rPr>
          <w:rFonts w:ascii="宋体" w:hAnsi="宋体" w:eastAsia="宋体" w:cs="宋体"/>
          <w:spacing w:val="4"/>
          <w:sz w:val="20"/>
          <w:szCs w:val="20"/>
        </w:rPr>
        <w:t>条处理。</w:t>
      </w:r>
    </w:p>
    <w:p w14:paraId="5BC407E2">
      <w:pPr>
        <w:spacing w:line="369" w:lineRule="auto"/>
        <w:ind w:right="1" w:firstLine="421"/>
        <w:rPr>
          <w:rFonts w:ascii="宋体" w:hAnsi="宋体" w:eastAsia="宋体" w:cs="宋体"/>
          <w:sz w:val="20"/>
          <w:szCs w:val="20"/>
        </w:rPr>
      </w:pPr>
      <w:r>
        <w:rPr>
          <w:rFonts w:ascii="Times New Roman" w:hAnsi="Times New Roman" w:eastAsia="Times New Roman" w:cs="Times New Roman"/>
          <w:spacing w:val="7"/>
          <w:sz w:val="20"/>
          <w:szCs w:val="20"/>
        </w:rPr>
        <w:t xml:space="preserve">3.4.3  </w:t>
      </w:r>
      <w:r>
        <w:rPr>
          <w:rFonts w:ascii="宋体" w:hAnsi="宋体" w:eastAsia="宋体" w:cs="宋体"/>
          <w:spacing w:val="7"/>
          <w:sz w:val="20"/>
          <w:szCs w:val="20"/>
        </w:rPr>
        <w:t>在紧急情况下，总监理工程师</w:t>
      </w:r>
      <w:r>
        <w:rPr>
          <w:rFonts w:ascii="宋体" w:hAnsi="宋体" w:eastAsia="宋体" w:cs="宋体"/>
          <w:spacing w:val="6"/>
          <w:sz w:val="20"/>
          <w:szCs w:val="20"/>
        </w:rPr>
        <w:t>或被授权的监理人员可以当场签发临时书面指示，承包人</w:t>
      </w:r>
      <w:r>
        <w:rPr>
          <w:rFonts w:ascii="宋体" w:hAnsi="宋体" w:eastAsia="宋体" w:cs="宋体"/>
          <w:spacing w:val="7"/>
          <w:sz w:val="20"/>
          <w:szCs w:val="20"/>
        </w:rPr>
        <w:t>应遵照执行。承包人应在收到上述临时书面指示后</w:t>
      </w:r>
      <w:r>
        <w:rPr>
          <w:rFonts w:ascii="宋体" w:hAnsi="宋体" w:eastAsia="宋体" w:cs="宋体"/>
          <w:spacing w:val="-41"/>
          <w:sz w:val="20"/>
          <w:szCs w:val="20"/>
        </w:rPr>
        <w:t xml:space="preserve"> </w:t>
      </w:r>
      <w:r>
        <w:rPr>
          <w:rFonts w:ascii="Times New Roman" w:hAnsi="Times New Roman" w:eastAsia="Times New Roman" w:cs="Times New Roman"/>
          <w:spacing w:val="7"/>
          <w:sz w:val="20"/>
          <w:szCs w:val="20"/>
        </w:rPr>
        <w:t>24</w:t>
      </w:r>
      <w:r>
        <w:rPr>
          <w:rFonts w:ascii="Times New Roman" w:hAnsi="Times New Roman" w:eastAsia="Times New Roman" w:cs="Times New Roman"/>
          <w:spacing w:val="18"/>
          <w:sz w:val="20"/>
          <w:szCs w:val="20"/>
        </w:rPr>
        <w:t xml:space="preserve"> </w:t>
      </w:r>
      <w:r>
        <w:rPr>
          <w:rFonts w:ascii="宋体" w:hAnsi="宋体" w:eastAsia="宋体" w:cs="宋体"/>
          <w:spacing w:val="6"/>
          <w:sz w:val="20"/>
          <w:szCs w:val="20"/>
        </w:rPr>
        <w:t>小时内，向监理人发出书面确认函。监理人</w:t>
      </w:r>
      <w:r>
        <w:rPr>
          <w:rFonts w:ascii="宋体" w:hAnsi="宋体" w:eastAsia="宋体" w:cs="宋体"/>
          <w:spacing w:val="9"/>
          <w:sz w:val="20"/>
          <w:szCs w:val="20"/>
        </w:rPr>
        <w:t>在收到书面确认函后</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24</w:t>
      </w:r>
      <w:r>
        <w:rPr>
          <w:rFonts w:ascii="Times New Roman" w:hAnsi="Times New Roman" w:eastAsia="Times New Roman" w:cs="Times New Roman"/>
          <w:spacing w:val="18"/>
          <w:sz w:val="20"/>
          <w:szCs w:val="20"/>
        </w:rPr>
        <w:t xml:space="preserve"> </w:t>
      </w:r>
      <w:r>
        <w:rPr>
          <w:rFonts w:ascii="宋体" w:hAnsi="宋体" w:eastAsia="宋体" w:cs="宋体"/>
          <w:spacing w:val="9"/>
          <w:sz w:val="20"/>
          <w:szCs w:val="20"/>
        </w:rPr>
        <w:t>小时内未予答复的，该书面确认函应被视</w:t>
      </w:r>
      <w:r>
        <w:rPr>
          <w:rFonts w:ascii="宋体" w:hAnsi="宋体" w:eastAsia="宋体" w:cs="宋体"/>
          <w:spacing w:val="8"/>
          <w:sz w:val="20"/>
          <w:szCs w:val="20"/>
        </w:rPr>
        <w:t>为监理人的正式指示。</w:t>
      </w:r>
    </w:p>
    <w:p w14:paraId="771E65EC">
      <w:pPr>
        <w:spacing w:before="2" w:line="369" w:lineRule="auto"/>
        <w:ind w:left="3" w:right="1" w:firstLine="417"/>
        <w:rPr>
          <w:rFonts w:ascii="宋体" w:hAnsi="宋体" w:eastAsia="宋体" w:cs="宋体"/>
          <w:sz w:val="20"/>
          <w:szCs w:val="20"/>
        </w:rPr>
      </w:pPr>
      <w:r>
        <w:rPr>
          <w:rFonts w:ascii="Times New Roman" w:hAnsi="Times New Roman" w:eastAsia="Times New Roman" w:cs="Times New Roman"/>
          <w:spacing w:val="7"/>
          <w:sz w:val="20"/>
          <w:szCs w:val="20"/>
        </w:rPr>
        <w:t xml:space="preserve">3.4.4  </w:t>
      </w:r>
      <w:r>
        <w:rPr>
          <w:rFonts w:ascii="宋体" w:hAnsi="宋体" w:eastAsia="宋体" w:cs="宋体"/>
          <w:spacing w:val="7"/>
          <w:sz w:val="20"/>
          <w:szCs w:val="20"/>
        </w:rPr>
        <w:t>除合同另有约定外，承包人只从总监理工程师或按第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3.3.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项被授权的监理人员处取得</w:t>
      </w:r>
      <w:r>
        <w:rPr>
          <w:rFonts w:ascii="宋体" w:hAnsi="宋体" w:eastAsia="宋体" w:cs="宋体"/>
          <w:spacing w:val="2"/>
          <w:sz w:val="20"/>
          <w:szCs w:val="20"/>
        </w:rPr>
        <w:t>指示。</w:t>
      </w:r>
    </w:p>
    <w:p w14:paraId="4EBC6DB3">
      <w:pPr>
        <w:spacing w:before="2" w:line="356" w:lineRule="auto"/>
        <w:ind w:left="10" w:right="3" w:firstLine="410"/>
        <w:rPr>
          <w:rFonts w:ascii="宋体" w:hAnsi="宋体" w:eastAsia="宋体" w:cs="宋体"/>
          <w:sz w:val="20"/>
          <w:szCs w:val="20"/>
        </w:rPr>
      </w:pPr>
      <w:r>
        <w:rPr>
          <w:rFonts w:ascii="Times New Roman" w:hAnsi="Times New Roman" w:eastAsia="Times New Roman" w:cs="Times New Roman"/>
          <w:spacing w:val="11"/>
          <w:sz w:val="20"/>
          <w:szCs w:val="20"/>
        </w:rPr>
        <w:t>3.4.5</w:t>
      </w:r>
      <w:r>
        <w:rPr>
          <w:rFonts w:ascii="Times New Roman" w:hAnsi="Times New Roman" w:eastAsia="Times New Roman" w:cs="Times New Roman"/>
          <w:spacing w:val="18"/>
          <w:w w:val="101"/>
          <w:sz w:val="20"/>
          <w:szCs w:val="20"/>
        </w:rPr>
        <w:t xml:space="preserve">  </w:t>
      </w:r>
      <w:r>
        <w:rPr>
          <w:rFonts w:ascii="宋体" w:hAnsi="宋体" w:eastAsia="宋体" w:cs="宋体"/>
          <w:spacing w:val="11"/>
          <w:sz w:val="20"/>
          <w:szCs w:val="20"/>
        </w:rPr>
        <w:t>由于监理人未能按合同约定发出指示、指示延误或指示错</w:t>
      </w:r>
      <w:r>
        <w:rPr>
          <w:rFonts w:ascii="宋体" w:hAnsi="宋体" w:eastAsia="宋体" w:cs="宋体"/>
          <w:spacing w:val="10"/>
          <w:sz w:val="20"/>
          <w:szCs w:val="20"/>
        </w:rPr>
        <w:t>误而导致承包人费用增加和</w:t>
      </w:r>
      <w:r>
        <w:rPr>
          <w:rFonts w:ascii="宋体" w:hAnsi="宋体" w:eastAsia="宋体" w:cs="宋体"/>
          <w:spacing w:val="8"/>
          <w:sz w:val="20"/>
          <w:szCs w:val="20"/>
        </w:rPr>
        <w:t>（或）工期延误的，由发包人承担赔偿责任。</w:t>
      </w:r>
    </w:p>
    <w:p w14:paraId="47BA6887">
      <w:pPr>
        <w:pStyle w:val="2"/>
        <w:spacing w:line="221" w:lineRule="auto"/>
        <w:ind w:left="2"/>
        <w:rPr>
          <w:sz w:val="24"/>
          <w:szCs w:val="24"/>
        </w:rPr>
      </w:pPr>
      <w:r>
        <w:rPr>
          <w:rFonts w:ascii="Times New Roman" w:hAnsi="Times New Roman" w:eastAsia="Times New Roman" w:cs="Times New Roman"/>
          <w:spacing w:val="-4"/>
          <w:sz w:val="24"/>
          <w:szCs w:val="24"/>
        </w:rPr>
        <w:t>3.5</w:t>
      </w:r>
      <w:r>
        <w:rPr>
          <w:rFonts w:ascii="Times New Roman" w:hAnsi="Times New Roman" w:eastAsia="Times New Roman" w:cs="Times New Roman"/>
          <w:spacing w:val="10"/>
          <w:sz w:val="24"/>
          <w:szCs w:val="24"/>
        </w:rPr>
        <w:t xml:space="preserve">  </w:t>
      </w:r>
      <w:r>
        <w:rPr>
          <w:spacing w:val="-4"/>
          <w:sz w:val="24"/>
          <w:szCs w:val="24"/>
        </w:rPr>
        <w:t>商定或确定</w:t>
      </w:r>
    </w:p>
    <w:p w14:paraId="384DFDD2">
      <w:pPr>
        <w:spacing w:before="139" w:line="369" w:lineRule="auto"/>
        <w:ind w:left="21" w:right="1" w:firstLine="399"/>
        <w:rPr>
          <w:rFonts w:ascii="宋体" w:hAnsi="宋体" w:eastAsia="宋体" w:cs="宋体"/>
          <w:sz w:val="20"/>
          <w:szCs w:val="20"/>
        </w:rPr>
      </w:pPr>
      <w:r>
        <w:rPr>
          <w:rFonts w:ascii="Times New Roman" w:hAnsi="Times New Roman" w:eastAsia="Times New Roman" w:cs="Times New Roman"/>
          <w:spacing w:val="7"/>
          <w:sz w:val="20"/>
          <w:szCs w:val="20"/>
        </w:rPr>
        <w:t>3.5.</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合同约定总监理工程师应按照本款对任何事项进行商定或确定时，总监理工程师应与合</w:t>
      </w:r>
      <w:r>
        <w:rPr>
          <w:rFonts w:ascii="宋体" w:hAnsi="宋体" w:eastAsia="宋体" w:cs="宋体"/>
          <w:spacing w:val="9"/>
          <w:sz w:val="20"/>
          <w:szCs w:val="20"/>
        </w:rPr>
        <w:t>同当事人协商，尽量达成一致。不能达成一致的，总监理工程师应认真研究后审</w:t>
      </w:r>
      <w:r>
        <w:rPr>
          <w:rFonts w:ascii="宋体" w:hAnsi="宋体" w:eastAsia="宋体" w:cs="宋体"/>
          <w:spacing w:val="8"/>
          <w:sz w:val="20"/>
          <w:szCs w:val="20"/>
        </w:rPr>
        <w:t>慎确定。</w:t>
      </w:r>
    </w:p>
    <w:p w14:paraId="5BD80EF1">
      <w:pPr>
        <w:spacing w:before="3" w:line="369" w:lineRule="auto"/>
        <w:ind w:left="17" w:right="1" w:firstLine="403"/>
        <w:rPr>
          <w:rFonts w:ascii="宋体" w:hAnsi="宋体" w:eastAsia="宋体" w:cs="宋体"/>
          <w:sz w:val="20"/>
          <w:szCs w:val="20"/>
        </w:rPr>
      </w:pPr>
      <w:r>
        <w:rPr>
          <w:rFonts w:ascii="Times New Roman" w:hAnsi="Times New Roman" w:eastAsia="Times New Roman" w:cs="Times New Roman"/>
          <w:spacing w:val="7"/>
          <w:sz w:val="20"/>
          <w:szCs w:val="20"/>
        </w:rPr>
        <w:t xml:space="preserve">3.5.2  </w:t>
      </w:r>
      <w:r>
        <w:rPr>
          <w:rFonts w:ascii="宋体" w:hAnsi="宋体" w:eastAsia="宋体" w:cs="宋体"/>
          <w:spacing w:val="7"/>
          <w:sz w:val="20"/>
          <w:szCs w:val="20"/>
        </w:rPr>
        <w:t>总监理工程师应将商定或确定</w:t>
      </w:r>
      <w:r>
        <w:rPr>
          <w:rFonts w:ascii="宋体" w:hAnsi="宋体" w:eastAsia="宋体" w:cs="宋体"/>
          <w:spacing w:val="6"/>
          <w:sz w:val="20"/>
          <w:szCs w:val="20"/>
        </w:rPr>
        <w:t>的事项通知合同当事人，并附详细依据。对总监理工程师</w:t>
      </w:r>
      <w:r>
        <w:rPr>
          <w:rFonts w:ascii="宋体" w:hAnsi="宋体" w:eastAsia="宋体" w:cs="宋体"/>
          <w:spacing w:val="7"/>
          <w:sz w:val="20"/>
          <w:szCs w:val="20"/>
        </w:rPr>
        <w:t>的确定有异议的，构成争议，按照第</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24 </w:t>
      </w:r>
      <w:r>
        <w:rPr>
          <w:rFonts w:ascii="宋体" w:hAnsi="宋体" w:eastAsia="宋体" w:cs="宋体"/>
          <w:spacing w:val="7"/>
          <w:sz w:val="20"/>
          <w:szCs w:val="20"/>
        </w:rPr>
        <w:t>条的约</w:t>
      </w:r>
      <w:r>
        <w:rPr>
          <w:rFonts w:ascii="宋体" w:hAnsi="宋体" w:eastAsia="宋体" w:cs="宋体"/>
          <w:spacing w:val="6"/>
          <w:sz w:val="20"/>
          <w:szCs w:val="20"/>
        </w:rPr>
        <w:t>定处理。在争议解决前，双方应暂按总监理工程师</w:t>
      </w:r>
      <w:r>
        <w:rPr>
          <w:rFonts w:ascii="宋体" w:hAnsi="宋体" w:eastAsia="宋体" w:cs="宋体"/>
          <w:spacing w:val="9"/>
          <w:sz w:val="20"/>
          <w:szCs w:val="20"/>
        </w:rPr>
        <w:t>的确定执行，按照第</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24 </w:t>
      </w:r>
      <w:r>
        <w:rPr>
          <w:rFonts w:ascii="宋体" w:hAnsi="宋体" w:eastAsia="宋体" w:cs="宋体"/>
          <w:spacing w:val="9"/>
          <w:sz w:val="20"/>
          <w:szCs w:val="20"/>
        </w:rPr>
        <w:t>条的约定对总监理工程师的确</w:t>
      </w:r>
      <w:r>
        <w:rPr>
          <w:rFonts w:ascii="宋体" w:hAnsi="宋体" w:eastAsia="宋体" w:cs="宋体"/>
          <w:spacing w:val="8"/>
          <w:sz w:val="20"/>
          <w:szCs w:val="20"/>
        </w:rPr>
        <w:t>定作出修改的，按修改后的结果执行。</w:t>
      </w:r>
    </w:p>
    <w:p w14:paraId="1A57F2E9">
      <w:pPr>
        <w:spacing w:line="369" w:lineRule="auto"/>
        <w:rPr>
          <w:rFonts w:ascii="宋体" w:hAnsi="宋体" w:eastAsia="宋体" w:cs="宋体"/>
          <w:sz w:val="20"/>
          <w:szCs w:val="20"/>
        </w:rPr>
        <w:sectPr>
          <w:footerReference r:id="rId167" w:type="default"/>
          <w:pgSz w:w="11906" w:h="16839"/>
          <w:pgMar w:top="400" w:right="1553" w:bottom="1038" w:left="1538" w:header="0" w:footer="785" w:gutter="0"/>
          <w:cols w:space="720" w:num="1"/>
        </w:sectPr>
      </w:pPr>
    </w:p>
    <w:p w14:paraId="79F163E3">
      <w:pPr>
        <w:spacing w:line="249" w:lineRule="auto"/>
        <w:rPr>
          <w:rFonts w:ascii="Arial"/>
          <w:sz w:val="21"/>
        </w:rPr>
      </w:pPr>
    </w:p>
    <w:p w14:paraId="045DA4DE">
      <w:pPr>
        <w:spacing w:line="250" w:lineRule="auto"/>
        <w:rPr>
          <w:rFonts w:ascii="Arial"/>
          <w:sz w:val="21"/>
        </w:rPr>
      </w:pPr>
    </w:p>
    <w:p w14:paraId="643728A9">
      <w:pPr>
        <w:spacing w:line="250" w:lineRule="auto"/>
        <w:rPr>
          <w:rFonts w:ascii="Arial"/>
          <w:sz w:val="21"/>
        </w:rPr>
      </w:pPr>
    </w:p>
    <w:p w14:paraId="68164716">
      <w:pPr>
        <w:spacing w:line="250" w:lineRule="auto"/>
        <w:rPr>
          <w:rFonts w:ascii="Arial"/>
          <w:sz w:val="21"/>
        </w:rPr>
      </w:pPr>
    </w:p>
    <w:p w14:paraId="43734D23">
      <w:pPr>
        <w:pStyle w:val="2"/>
        <w:spacing w:before="91" w:line="223" w:lineRule="auto"/>
        <w:outlineLvl w:val="2"/>
        <w:rPr>
          <w:sz w:val="28"/>
          <w:szCs w:val="28"/>
        </w:rPr>
      </w:pPr>
      <w:bookmarkStart w:id="217" w:name="bookmark198"/>
      <w:bookmarkEnd w:id="217"/>
      <w:r>
        <w:rPr>
          <w:rFonts w:ascii="Times New Roman" w:hAnsi="Times New Roman" w:eastAsia="Times New Roman" w:cs="Times New Roman"/>
          <w:spacing w:val="-1"/>
          <w:sz w:val="28"/>
          <w:szCs w:val="28"/>
        </w:rPr>
        <w:t xml:space="preserve">4.  </w:t>
      </w:r>
      <w:r>
        <w:rPr>
          <w:spacing w:val="-1"/>
          <w:sz w:val="28"/>
          <w:szCs w:val="28"/>
        </w:rPr>
        <w:t>承包人</w:t>
      </w:r>
    </w:p>
    <w:p w14:paraId="2755B35A">
      <w:pPr>
        <w:pStyle w:val="2"/>
        <w:spacing w:before="97" w:line="221" w:lineRule="auto"/>
        <w:rPr>
          <w:sz w:val="24"/>
          <w:szCs w:val="24"/>
        </w:rPr>
      </w:pPr>
      <w:r>
        <w:rPr>
          <w:rFonts w:ascii="Times New Roman" w:hAnsi="Times New Roman" w:eastAsia="Times New Roman" w:cs="Times New Roman"/>
          <w:spacing w:val="-1"/>
          <w:sz w:val="24"/>
          <w:szCs w:val="24"/>
        </w:rPr>
        <w:t xml:space="preserve">4.1  </w:t>
      </w:r>
      <w:r>
        <w:rPr>
          <w:spacing w:val="-1"/>
          <w:sz w:val="24"/>
          <w:szCs w:val="24"/>
        </w:rPr>
        <w:t>承包人的一般义务</w:t>
      </w:r>
    </w:p>
    <w:p w14:paraId="00518D92">
      <w:pPr>
        <w:pStyle w:val="2"/>
        <w:spacing w:before="137" w:line="230" w:lineRule="auto"/>
        <w:ind w:left="419"/>
        <w:rPr>
          <w:sz w:val="20"/>
          <w:szCs w:val="20"/>
        </w:rPr>
      </w:pPr>
      <w:r>
        <w:rPr>
          <w:rFonts w:ascii="Times New Roman" w:hAnsi="Times New Roman" w:eastAsia="Times New Roman" w:cs="Times New Roman"/>
          <w:spacing w:val="-1"/>
          <w:sz w:val="20"/>
          <w:szCs w:val="20"/>
        </w:rPr>
        <w:t>4.</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7"/>
          <w:sz w:val="20"/>
          <w:szCs w:val="20"/>
        </w:rPr>
        <w:t xml:space="preserve">  </w:t>
      </w:r>
      <w:r>
        <w:rPr>
          <w:spacing w:val="-1"/>
          <w:sz w:val="20"/>
          <w:szCs w:val="20"/>
        </w:rPr>
        <w:t>遵守法律</w:t>
      </w:r>
    </w:p>
    <w:p w14:paraId="3A05B779">
      <w:pPr>
        <w:spacing w:before="151" w:line="369" w:lineRule="auto"/>
        <w:ind w:left="7" w:right="68" w:firstLine="416"/>
        <w:rPr>
          <w:rFonts w:ascii="宋体" w:hAnsi="宋体" w:eastAsia="宋体" w:cs="宋体"/>
          <w:sz w:val="20"/>
          <w:szCs w:val="20"/>
        </w:rPr>
      </w:pPr>
      <w:r>
        <w:rPr>
          <w:rFonts w:ascii="宋体" w:hAnsi="宋体" w:eastAsia="宋体" w:cs="宋体"/>
          <w:spacing w:val="10"/>
          <w:sz w:val="20"/>
          <w:szCs w:val="20"/>
        </w:rPr>
        <w:t>承包人在履行合同过程中应遵守法律，并保证发包人免于承担因承包</w:t>
      </w:r>
      <w:r>
        <w:rPr>
          <w:rFonts w:ascii="宋体" w:hAnsi="宋体" w:eastAsia="宋体" w:cs="宋体"/>
          <w:spacing w:val="9"/>
          <w:sz w:val="20"/>
          <w:szCs w:val="20"/>
        </w:rPr>
        <w:t>人违反法律而引起的任</w:t>
      </w:r>
      <w:r>
        <w:rPr>
          <w:rFonts w:ascii="宋体" w:hAnsi="宋体" w:eastAsia="宋体" w:cs="宋体"/>
          <w:spacing w:val="4"/>
          <w:sz w:val="20"/>
          <w:szCs w:val="20"/>
        </w:rPr>
        <w:t>何责任。</w:t>
      </w:r>
    </w:p>
    <w:p w14:paraId="2385AE4B">
      <w:pPr>
        <w:pStyle w:val="2"/>
        <w:spacing w:before="1" w:line="229" w:lineRule="auto"/>
        <w:ind w:left="419"/>
        <w:rPr>
          <w:sz w:val="20"/>
          <w:szCs w:val="20"/>
        </w:rPr>
      </w:pPr>
      <w:r>
        <w:rPr>
          <w:rFonts w:ascii="Times New Roman" w:hAnsi="Times New Roman" w:eastAsia="Times New Roman" w:cs="Times New Roman"/>
          <w:spacing w:val="3"/>
          <w:sz w:val="20"/>
          <w:szCs w:val="20"/>
        </w:rPr>
        <w:t>4.</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3"/>
          <w:sz w:val="20"/>
          <w:szCs w:val="20"/>
        </w:rPr>
        <w:t xml:space="preserve">1.2  </w:t>
      </w:r>
      <w:r>
        <w:rPr>
          <w:spacing w:val="3"/>
          <w:sz w:val="20"/>
          <w:szCs w:val="20"/>
        </w:rPr>
        <w:t>依法纳税</w:t>
      </w:r>
    </w:p>
    <w:p w14:paraId="0A450B65">
      <w:pPr>
        <w:spacing w:before="152" w:line="226" w:lineRule="auto"/>
        <w:ind w:left="424"/>
        <w:rPr>
          <w:rFonts w:ascii="宋体" w:hAnsi="宋体" w:eastAsia="宋体" w:cs="宋体"/>
          <w:sz w:val="20"/>
          <w:szCs w:val="20"/>
        </w:rPr>
      </w:pPr>
      <w:r>
        <w:rPr>
          <w:rFonts w:ascii="宋体" w:hAnsi="宋体" w:eastAsia="宋体" w:cs="宋体"/>
          <w:spacing w:val="9"/>
          <w:sz w:val="20"/>
          <w:szCs w:val="20"/>
        </w:rPr>
        <w:t>承包人应按有关法律规定纳税，应缴纳的税金包括在合同价格内。</w:t>
      </w:r>
    </w:p>
    <w:p w14:paraId="10A9D1A8">
      <w:pPr>
        <w:pStyle w:val="2"/>
        <w:spacing w:before="154" w:line="229" w:lineRule="auto"/>
        <w:ind w:left="419"/>
        <w:rPr>
          <w:sz w:val="20"/>
          <w:szCs w:val="20"/>
        </w:rPr>
      </w:pPr>
      <w:r>
        <w:rPr>
          <w:rFonts w:ascii="Times New Roman" w:hAnsi="Times New Roman" w:eastAsia="Times New Roman" w:cs="Times New Roman"/>
          <w:spacing w:val="5"/>
          <w:sz w:val="20"/>
          <w:szCs w:val="20"/>
        </w:rPr>
        <w:t>4.</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5"/>
          <w:sz w:val="20"/>
          <w:szCs w:val="20"/>
        </w:rPr>
        <w:t xml:space="preserve">1.3  </w:t>
      </w:r>
      <w:r>
        <w:rPr>
          <w:spacing w:val="5"/>
          <w:sz w:val="20"/>
          <w:szCs w:val="20"/>
        </w:rPr>
        <w:t>完成各项承包工作</w:t>
      </w:r>
    </w:p>
    <w:p w14:paraId="3708809E">
      <w:pPr>
        <w:spacing w:before="154" w:line="369" w:lineRule="auto"/>
        <w:ind w:left="3" w:firstLine="420"/>
        <w:rPr>
          <w:rFonts w:ascii="宋体" w:hAnsi="宋体" w:eastAsia="宋体" w:cs="宋体"/>
          <w:sz w:val="20"/>
          <w:szCs w:val="20"/>
        </w:rPr>
      </w:pPr>
      <w:r>
        <w:rPr>
          <w:rFonts w:ascii="宋体" w:hAnsi="宋体" w:eastAsia="宋体" w:cs="宋体"/>
          <w:spacing w:val="10"/>
          <w:sz w:val="20"/>
          <w:szCs w:val="20"/>
        </w:rPr>
        <w:t>承包人应按合同约定以及监理人根据第</w:t>
      </w:r>
      <w:r>
        <w:rPr>
          <w:rFonts w:ascii="宋体" w:hAnsi="宋体" w:eastAsia="宋体" w:cs="宋体"/>
          <w:spacing w:val="-30"/>
          <w:sz w:val="20"/>
          <w:szCs w:val="20"/>
        </w:rPr>
        <w:t xml:space="preserve"> </w:t>
      </w:r>
      <w:r>
        <w:rPr>
          <w:rFonts w:ascii="Times New Roman" w:hAnsi="Times New Roman" w:eastAsia="Times New Roman" w:cs="Times New Roman"/>
          <w:spacing w:val="10"/>
          <w:sz w:val="20"/>
          <w:szCs w:val="20"/>
        </w:rPr>
        <w:t xml:space="preserve">3.4 </w:t>
      </w:r>
      <w:r>
        <w:rPr>
          <w:rFonts w:ascii="宋体" w:hAnsi="宋体" w:eastAsia="宋体" w:cs="宋体"/>
          <w:spacing w:val="10"/>
          <w:sz w:val="20"/>
          <w:szCs w:val="20"/>
        </w:rPr>
        <w:t>款作出的指示，实施、完成全部工程，并修补工</w:t>
      </w:r>
      <w:r>
        <w:rPr>
          <w:rFonts w:ascii="宋体" w:hAnsi="宋体" w:eastAsia="宋体" w:cs="宋体"/>
          <w:spacing w:val="7"/>
          <w:sz w:val="20"/>
          <w:szCs w:val="20"/>
        </w:rPr>
        <w:t>程中的任何缺陷。除专用合同条款另有约定外，承</w:t>
      </w:r>
      <w:r>
        <w:rPr>
          <w:rFonts w:ascii="宋体" w:hAnsi="宋体" w:eastAsia="宋体" w:cs="宋体"/>
          <w:spacing w:val="6"/>
          <w:sz w:val="20"/>
          <w:szCs w:val="20"/>
        </w:rPr>
        <w:t>包人应提供为完成合同工作所需的劳务、材料、</w:t>
      </w:r>
      <w:r>
        <w:rPr>
          <w:rFonts w:ascii="宋体" w:hAnsi="宋体" w:eastAsia="宋体" w:cs="宋体"/>
          <w:spacing w:val="10"/>
          <w:sz w:val="20"/>
          <w:szCs w:val="20"/>
        </w:rPr>
        <w:t>施工设备、工程设备和其他物品，并按合同约定负责临时设施的设计、建造</w:t>
      </w:r>
      <w:r>
        <w:rPr>
          <w:rFonts w:ascii="宋体" w:hAnsi="宋体" w:eastAsia="宋体" w:cs="宋体"/>
          <w:spacing w:val="9"/>
          <w:sz w:val="20"/>
          <w:szCs w:val="20"/>
        </w:rPr>
        <w:t>、运行、维护、管理</w:t>
      </w:r>
      <w:r>
        <w:rPr>
          <w:rFonts w:ascii="宋体" w:hAnsi="宋体" w:eastAsia="宋体" w:cs="宋体"/>
          <w:spacing w:val="5"/>
          <w:sz w:val="20"/>
          <w:szCs w:val="20"/>
        </w:rPr>
        <w:t>和拆除。</w:t>
      </w:r>
    </w:p>
    <w:p w14:paraId="78353095">
      <w:pPr>
        <w:pStyle w:val="2"/>
        <w:spacing w:before="1" w:line="229" w:lineRule="auto"/>
        <w:ind w:left="419"/>
        <w:rPr>
          <w:sz w:val="20"/>
          <w:szCs w:val="20"/>
        </w:rPr>
      </w:pPr>
      <w:r>
        <w:rPr>
          <w:rFonts w:ascii="Times New Roman" w:hAnsi="Times New Roman" w:eastAsia="Times New Roman" w:cs="Times New Roman"/>
          <w:spacing w:val="6"/>
          <w:sz w:val="20"/>
          <w:szCs w:val="20"/>
        </w:rPr>
        <w:t>4.</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6"/>
          <w:sz w:val="20"/>
          <w:szCs w:val="20"/>
        </w:rPr>
        <w:t xml:space="preserve">1.4  </w:t>
      </w:r>
      <w:r>
        <w:rPr>
          <w:spacing w:val="6"/>
          <w:sz w:val="20"/>
          <w:szCs w:val="20"/>
        </w:rPr>
        <w:t>对施工作业和施工方法的完备性负责</w:t>
      </w:r>
    </w:p>
    <w:p w14:paraId="4659FC8E">
      <w:pPr>
        <w:spacing w:before="149" w:line="370" w:lineRule="auto"/>
        <w:ind w:left="4" w:right="68" w:firstLine="420"/>
        <w:rPr>
          <w:rFonts w:ascii="宋体" w:hAnsi="宋体" w:eastAsia="宋体" w:cs="宋体"/>
          <w:sz w:val="20"/>
          <w:szCs w:val="20"/>
        </w:rPr>
      </w:pPr>
      <w:r>
        <w:rPr>
          <w:rFonts w:ascii="宋体" w:hAnsi="宋体" w:eastAsia="宋体" w:cs="宋体"/>
          <w:spacing w:val="10"/>
          <w:sz w:val="20"/>
          <w:szCs w:val="20"/>
        </w:rPr>
        <w:t>承包人应按合同约定的工作内容和施工进度要求，编制施工组织设计</w:t>
      </w:r>
      <w:r>
        <w:rPr>
          <w:rFonts w:ascii="宋体" w:hAnsi="宋体" w:eastAsia="宋体" w:cs="宋体"/>
          <w:spacing w:val="9"/>
          <w:sz w:val="20"/>
          <w:szCs w:val="20"/>
        </w:rPr>
        <w:t>和施工措施计划，并对所有施工作业和施工方法的完备性和安全可靠性负责。</w:t>
      </w:r>
    </w:p>
    <w:p w14:paraId="4D1EB29E">
      <w:pPr>
        <w:pStyle w:val="2"/>
        <w:spacing w:before="1" w:line="229" w:lineRule="auto"/>
        <w:ind w:left="419"/>
        <w:rPr>
          <w:sz w:val="20"/>
          <w:szCs w:val="20"/>
        </w:rPr>
      </w:pPr>
      <w:r>
        <w:rPr>
          <w:rFonts w:ascii="Times New Roman" w:hAnsi="Times New Roman" w:eastAsia="Times New Roman" w:cs="Times New Roman"/>
          <w:spacing w:val="6"/>
          <w:sz w:val="20"/>
          <w:szCs w:val="20"/>
        </w:rPr>
        <w:t>4.</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6"/>
          <w:sz w:val="20"/>
          <w:szCs w:val="20"/>
        </w:rPr>
        <w:t xml:space="preserve">1.5  </w:t>
      </w:r>
      <w:r>
        <w:rPr>
          <w:spacing w:val="6"/>
          <w:sz w:val="20"/>
          <w:szCs w:val="20"/>
        </w:rPr>
        <w:t>保证工程施工和人员的安全</w:t>
      </w:r>
    </w:p>
    <w:p w14:paraId="6C2512CA">
      <w:pPr>
        <w:spacing w:before="150" w:line="370" w:lineRule="auto"/>
        <w:ind w:left="17" w:right="13" w:firstLine="406"/>
        <w:rPr>
          <w:rFonts w:ascii="宋体" w:hAnsi="宋体" w:eastAsia="宋体" w:cs="宋体"/>
          <w:sz w:val="20"/>
          <w:szCs w:val="20"/>
        </w:rPr>
      </w:pPr>
      <w:r>
        <w:rPr>
          <w:rFonts w:ascii="宋体" w:hAnsi="宋体" w:eastAsia="宋体" w:cs="宋体"/>
          <w:spacing w:val="7"/>
          <w:sz w:val="20"/>
          <w:szCs w:val="20"/>
        </w:rPr>
        <w:t>承包人应按第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9.2 </w:t>
      </w:r>
      <w:r>
        <w:rPr>
          <w:rFonts w:ascii="宋体" w:hAnsi="宋体" w:eastAsia="宋体" w:cs="宋体"/>
          <w:spacing w:val="7"/>
          <w:sz w:val="20"/>
          <w:szCs w:val="20"/>
        </w:rPr>
        <w:t>款约定采取施工安全措施，确保</w:t>
      </w:r>
      <w:r>
        <w:rPr>
          <w:rFonts w:ascii="宋体" w:hAnsi="宋体" w:eastAsia="宋体" w:cs="宋体"/>
          <w:spacing w:val="6"/>
          <w:sz w:val="20"/>
          <w:szCs w:val="20"/>
        </w:rPr>
        <w:t>工程及其人员、材料、设备和设施的安全，</w:t>
      </w:r>
      <w:r>
        <w:rPr>
          <w:rFonts w:ascii="宋体" w:hAnsi="宋体" w:eastAsia="宋体" w:cs="宋体"/>
          <w:spacing w:val="8"/>
          <w:sz w:val="20"/>
          <w:szCs w:val="20"/>
        </w:rPr>
        <w:t>防止因工程施工造成的人身伤害和财产损失。</w:t>
      </w:r>
    </w:p>
    <w:p w14:paraId="1259CD2D">
      <w:pPr>
        <w:pStyle w:val="2"/>
        <w:spacing w:line="229" w:lineRule="auto"/>
        <w:ind w:left="419"/>
        <w:rPr>
          <w:sz w:val="20"/>
          <w:szCs w:val="20"/>
        </w:rPr>
      </w:pPr>
      <w:r>
        <w:rPr>
          <w:rFonts w:ascii="Times New Roman" w:hAnsi="Times New Roman" w:eastAsia="Times New Roman" w:cs="Times New Roman"/>
          <w:spacing w:val="7"/>
          <w:sz w:val="20"/>
          <w:szCs w:val="20"/>
        </w:rPr>
        <w:t>4.</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7"/>
          <w:sz w:val="20"/>
          <w:szCs w:val="20"/>
        </w:rPr>
        <w:t xml:space="preserve">1.6  </w:t>
      </w:r>
      <w:r>
        <w:rPr>
          <w:spacing w:val="7"/>
          <w:sz w:val="20"/>
          <w:szCs w:val="20"/>
        </w:rPr>
        <w:t>负责施工场地及其周边环境与生态的保护工作</w:t>
      </w:r>
    </w:p>
    <w:p w14:paraId="0F11DE50">
      <w:pPr>
        <w:spacing w:before="150" w:line="228" w:lineRule="auto"/>
        <w:ind w:left="424"/>
        <w:rPr>
          <w:rFonts w:ascii="宋体" w:hAnsi="宋体" w:eastAsia="宋体" w:cs="宋体"/>
          <w:sz w:val="20"/>
          <w:szCs w:val="20"/>
        </w:rPr>
      </w:pPr>
      <w:r>
        <w:rPr>
          <w:rFonts w:ascii="宋体" w:hAnsi="宋体" w:eastAsia="宋体" w:cs="宋体"/>
          <w:spacing w:val="8"/>
          <w:sz w:val="20"/>
          <w:szCs w:val="20"/>
        </w:rPr>
        <w:t>承包人应按照第</w:t>
      </w:r>
      <w:r>
        <w:rPr>
          <w:rFonts w:ascii="宋体" w:hAnsi="宋体" w:eastAsia="宋体" w:cs="宋体"/>
          <w:spacing w:val="-25"/>
          <w:sz w:val="20"/>
          <w:szCs w:val="20"/>
        </w:rPr>
        <w:t xml:space="preserve"> </w:t>
      </w:r>
      <w:r>
        <w:rPr>
          <w:rFonts w:ascii="Times New Roman" w:hAnsi="Times New Roman" w:eastAsia="Times New Roman" w:cs="Times New Roman"/>
          <w:spacing w:val="8"/>
          <w:sz w:val="20"/>
          <w:szCs w:val="20"/>
        </w:rPr>
        <w:t xml:space="preserve">9.4 </w:t>
      </w:r>
      <w:r>
        <w:rPr>
          <w:rFonts w:ascii="宋体" w:hAnsi="宋体" w:eastAsia="宋体" w:cs="宋体"/>
          <w:spacing w:val="8"/>
          <w:sz w:val="20"/>
          <w:szCs w:val="20"/>
        </w:rPr>
        <w:t>款约定负责施工场地及其周边环境与生态的保护工作。</w:t>
      </w:r>
    </w:p>
    <w:p w14:paraId="486043A1">
      <w:pPr>
        <w:pStyle w:val="2"/>
        <w:spacing w:before="154" w:line="230" w:lineRule="auto"/>
        <w:ind w:left="419"/>
        <w:rPr>
          <w:sz w:val="20"/>
          <w:szCs w:val="20"/>
        </w:rPr>
      </w:pPr>
      <w:r>
        <w:rPr>
          <w:rFonts w:ascii="Times New Roman" w:hAnsi="Times New Roman" w:eastAsia="Times New Roman" w:cs="Times New Roman"/>
          <w:spacing w:val="7"/>
          <w:sz w:val="20"/>
          <w:szCs w:val="20"/>
        </w:rPr>
        <w:t>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1.7  </w:t>
      </w:r>
      <w:r>
        <w:rPr>
          <w:spacing w:val="7"/>
          <w:sz w:val="20"/>
          <w:szCs w:val="20"/>
        </w:rPr>
        <w:t>避免施工对公众与他人的利益造</w:t>
      </w:r>
      <w:r>
        <w:rPr>
          <w:spacing w:val="6"/>
          <w:sz w:val="20"/>
          <w:szCs w:val="20"/>
        </w:rPr>
        <w:t>成损害</w:t>
      </w:r>
    </w:p>
    <w:p w14:paraId="46443011">
      <w:pPr>
        <w:spacing w:before="152" w:line="369" w:lineRule="auto"/>
        <w:ind w:left="14" w:right="68" w:firstLine="409"/>
        <w:rPr>
          <w:rFonts w:ascii="宋体" w:hAnsi="宋体" w:eastAsia="宋体" w:cs="宋体"/>
          <w:sz w:val="20"/>
          <w:szCs w:val="20"/>
        </w:rPr>
      </w:pPr>
      <w:r>
        <w:rPr>
          <w:rFonts w:ascii="宋体" w:hAnsi="宋体" w:eastAsia="宋体" w:cs="宋体"/>
          <w:spacing w:val="10"/>
          <w:sz w:val="20"/>
          <w:szCs w:val="20"/>
        </w:rPr>
        <w:t>承包人在进行合同约定的各项工作时，不得侵害发包人与他人使用公</w:t>
      </w:r>
      <w:r>
        <w:rPr>
          <w:rFonts w:ascii="宋体" w:hAnsi="宋体" w:eastAsia="宋体" w:cs="宋体"/>
          <w:spacing w:val="9"/>
          <w:sz w:val="20"/>
          <w:szCs w:val="20"/>
        </w:rPr>
        <w:t>用道路、水源、市政管</w:t>
      </w:r>
      <w:r>
        <w:rPr>
          <w:rFonts w:ascii="宋体" w:hAnsi="宋体" w:eastAsia="宋体" w:cs="宋体"/>
          <w:spacing w:val="10"/>
          <w:sz w:val="20"/>
          <w:szCs w:val="20"/>
        </w:rPr>
        <w:t>网等公共设施的权利，避免对邻近的公共设施产生</w:t>
      </w:r>
      <w:r>
        <w:rPr>
          <w:rFonts w:ascii="宋体" w:hAnsi="宋体" w:eastAsia="宋体" w:cs="宋体"/>
          <w:spacing w:val="9"/>
          <w:sz w:val="20"/>
          <w:szCs w:val="20"/>
        </w:rPr>
        <w:t>干扰。承包人占用或使用他人的施工场地，影</w:t>
      </w:r>
      <w:r>
        <w:rPr>
          <w:rFonts w:ascii="宋体" w:hAnsi="宋体" w:eastAsia="宋体" w:cs="宋体"/>
          <w:spacing w:val="8"/>
          <w:sz w:val="20"/>
          <w:szCs w:val="20"/>
        </w:rPr>
        <w:t>响他人作业或生活的，应承担相应责任。</w:t>
      </w:r>
    </w:p>
    <w:p w14:paraId="3176AF9E">
      <w:pPr>
        <w:pStyle w:val="2"/>
        <w:spacing w:before="1" w:line="229" w:lineRule="auto"/>
        <w:ind w:left="419"/>
        <w:rPr>
          <w:sz w:val="20"/>
          <w:szCs w:val="20"/>
        </w:rPr>
      </w:pPr>
      <w:r>
        <w:rPr>
          <w:rFonts w:ascii="Times New Roman" w:hAnsi="Times New Roman" w:eastAsia="Times New Roman" w:cs="Times New Roman"/>
          <w:spacing w:val="4"/>
          <w:sz w:val="20"/>
          <w:szCs w:val="20"/>
        </w:rPr>
        <w:t>4.</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4"/>
          <w:sz w:val="20"/>
          <w:szCs w:val="20"/>
        </w:rPr>
        <w:t xml:space="preserve">1.8  </w:t>
      </w:r>
      <w:r>
        <w:rPr>
          <w:spacing w:val="4"/>
          <w:sz w:val="20"/>
          <w:szCs w:val="20"/>
        </w:rPr>
        <w:t>为他人提供方便</w:t>
      </w:r>
    </w:p>
    <w:p w14:paraId="47631887">
      <w:pPr>
        <w:spacing w:before="150" w:line="369" w:lineRule="auto"/>
        <w:ind w:left="6" w:right="68" w:firstLine="417"/>
        <w:rPr>
          <w:rFonts w:ascii="宋体" w:hAnsi="宋体" w:eastAsia="宋体" w:cs="宋体"/>
          <w:sz w:val="20"/>
          <w:szCs w:val="20"/>
        </w:rPr>
      </w:pPr>
      <w:r>
        <w:rPr>
          <w:rFonts w:ascii="宋体" w:hAnsi="宋体" w:eastAsia="宋体" w:cs="宋体"/>
          <w:spacing w:val="10"/>
          <w:sz w:val="20"/>
          <w:szCs w:val="20"/>
        </w:rPr>
        <w:t>承包人应按监理人的指示为他人在施工场地或附近实施与工程有关的</w:t>
      </w:r>
      <w:r>
        <w:rPr>
          <w:rFonts w:ascii="宋体" w:hAnsi="宋体" w:eastAsia="宋体" w:cs="宋体"/>
          <w:spacing w:val="9"/>
          <w:sz w:val="20"/>
          <w:szCs w:val="20"/>
        </w:rPr>
        <w:t>其他各项工作提供可能的条件。除合同另有约定外，提供有关条件的内容和可能发生的费用，</w:t>
      </w:r>
      <w:r>
        <w:rPr>
          <w:rFonts w:ascii="宋体" w:hAnsi="宋体" w:eastAsia="宋体" w:cs="宋体"/>
          <w:spacing w:val="-52"/>
          <w:sz w:val="20"/>
          <w:szCs w:val="20"/>
        </w:rPr>
        <w:t xml:space="preserve"> </w:t>
      </w:r>
      <w:r>
        <w:rPr>
          <w:rFonts w:ascii="宋体" w:hAnsi="宋体" w:eastAsia="宋体" w:cs="宋体"/>
          <w:spacing w:val="9"/>
          <w:sz w:val="20"/>
          <w:szCs w:val="20"/>
        </w:rPr>
        <w:t>由监理人按第</w:t>
      </w:r>
      <w:r>
        <w:rPr>
          <w:rFonts w:ascii="宋体" w:hAnsi="宋体" w:eastAsia="宋体" w:cs="宋体"/>
          <w:spacing w:val="-38"/>
          <w:sz w:val="20"/>
          <w:szCs w:val="20"/>
        </w:rPr>
        <w:t xml:space="preserve"> </w:t>
      </w:r>
      <w:r>
        <w:rPr>
          <w:rFonts w:ascii="Times New Roman" w:hAnsi="Times New Roman" w:eastAsia="Times New Roman" w:cs="Times New Roman"/>
          <w:spacing w:val="9"/>
          <w:sz w:val="20"/>
          <w:szCs w:val="20"/>
        </w:rPr>
        <w:t xml:space="preserve">3.5 </w:t>
      </w:r>
      <w:r>
        <w:rPr>
          <w:rFonts w:ascii="宋体" w:hAnsi="宋体" w:eastAsia="宋体" w:cs="宋体"/>
          <w:spacing w:val="9"/>
          <w:sz w:val="20"/>
          <w:szCs w:val="20"/>
        </w:rPr>
        <w:t>款商定</w:t>
      </w:r>
      <w:r>
        <w:rPr>
          <w:rFonts w:ascii="宋体" w:hAnsi="宋体" w:eastAsia="宋体" w:cs="宋体"/>
          <w:spacing w:val="4"/>
          <w:sz w:val="20"/>
          <w:szCs w:val="20"/>
        </w:rPr>
        <w:t>或确定。</w:t>
      </w:r>
    </w:p>
    <w:p w14:paraId="169A1909">
      <w:pPr>
        <w:pStyle w:val="2"/>
        <w:spacing w:before="1" w:line="229" w:lineRule="auto"/>
        <w:ind w:left="419"/>
        <w:rPr>
          <w:sz w:val="20"/>
          <w:szCs w:val="20"/>
        </w:rPr>
      </w:pPr>
      <w:r>
        <w:rPr>
          <w:rFonts w:ascii="Times New Roman" w:hAnsi="Times New Roman" w:eastAsia="Times New Roman" w:cs="Times New Roman"/>
          <w:spacing w:val="5"/>
          <w:sz w:val="20"/>
          <w:szCs w:val="20"/>
        </w:rPr>
        <w:t>4.</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5"/>
          <w:sz w:val="20"/>
          <w:szCs w:val="20"/>
        </w:rPr>
        <w:t xml:space="preserve">1.9  </w:t>
      </w:r>
      <w:r>
        <w:rPr>
          <w:spacing w:val="5"/>
          <w:sz w:val="20"/>
          <w:szCs w:val="20"/>
        </w:rPr>
        <w:t>工程的维护和照管</w:t>
      </w:r>
    </w:p>
    <w:p w14:paraId="11E56EDA">
      <w:pPr>
        <w:spacing w:before="152" w:line="369" w:lineRule="auto"/>
        <w:ind w:left="6" w:right="68" w:firstLine="420"/>
        <w:rPr>
          <w:rFonts w:ascii="宋体" w:hAnsi="宋体" w:eastAsia="宋体" w:cs="宋体"/>
          <w:sz w:val="20"/>
          <w:szCs w:val="20"/>
        </w:rPr>
      </w:pPr>
      <w:r>
        <w:rPr>
          <w:rFonts w:ascii="宋体" w:hAnsi="宋体" w:eastAsia="宋体" w:cs="宋体"/>
          <w:spacing w:val="10"/>
          <w:sz w:val="20"/>
          <w:szCs w:val="20"/>
        </w:rPr>
        <w:t>工程接收证书颁发前，承包人应负责照管和维护工程。工程接收</w:t>
      </w:r>
      <w:r>
        <w:rPr>
          <w:rFonts w:ascii="宋体" w:hAnsi="宋体" w:eastAsia="宋体" w:cs="宋体"/>
          <w:spacing w:val="9"/>
          <w:sz w:val="20"/>
          <w:szCs w:val="20"/>
        </w:rPr>
        <w:t>证书颁发时尚有部分未竣工工程的，承包人还应负责该未竣工工程的照管和维护工作，直至竣工后移交给发包人为止。</w:t>
      </w:r>
    </w:p>
    <w:p w14:paraId="129DCAC1">
      <w:pPr>
        <w:pStyle w:val="2"/>
        <w:spacing w:line="229" w:lineRule="auto"/>
        <w:ind w:left="419"/>
        <w:rPr>
          <w:sz w:val="20"/>
          <w:szCs w:val="20"/>
        </w:rPr>
      </w:pPr>
      <w:r>
        <w:rPr>
          <w:rFonts w:ascii="Times New Roman" w:hAnsi="Times New Roman" w:eastAsia="Times New Roman" w:cs="Times New Roman"/>
          <w:spacing w:val="2"/>
          <w:sz w:val="20"/>
          <w:szCs w:val="20"/>
        </w:rPr>
        <w:t>4.</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2"/>
          <w:sz w:val="20"/>
          <w:szCs w:val="20"/>
        </w:rPr>
        <w:t>1.10</w:t>
      </w:r>
      <w:r>
        <w:rPr>
          <w:rFonts w:ascii="Times New Roman" w:hAnsi="Times New Roman" w:eastAsia="Times New Roman" w:cs="Times New Roman"/>
          <w:spacing w:val="7"/>
          <w:sz w:val="20"/>
          <w:szCs w:val="20"/>
        </w:rPr>
        <w:t xml:space="preserve">  </w:t>
      </w:r>
      <w:r>
        <w:rPr>
          <w:spacing w:val="2"/>
          <w:sz w:val="20"/>
          <w:szCs w:val="20"/>
        </w:rPr>
        <w:t>其他义务</w:t>
      </w:r>
    </w:p>
    <w:p w14:paraId="37B93C5B">
      <w:pPr>
        <w:spacing w:before="152" w:line="228" w:lineRule="auto"/>
        <w:ind w:left="424"/>
        <w:rPr>
          <w:rFonts w:ascii="宋体" w:hAnsi="宋体" w:eastAsia="宋体" w:cs="宋体"/>
          <w:sz w:val="20"/>
          <w:szCs w:val="20"/>
        </w:rPr>
      </w:pPr>
      <w:r>
        <w:rPr>
          <w:rFonts w:ascii="宋体" w:hAnsi="宋体" w:eastAsia="宋体" w:cs="宋体"/>
          <w:spacing w:val="8"/>
          <w:sz w:val="20"/>
          <w:szCs w:val="20"/>
        </w:rPr>
        <w:t>承包人应履行合同约定的其他义务。</w:t>
      </w:r>
    </w:p>
    <w:p w14:paraId="149A4EF9">
      <w:pPr>
        <w:pStyle w:val="2"/>
        <w:spacing w:before="127" w:line="222" w:lineRule="auto"/>
        <w:rPr>
          <w:sz w:val="24"/>
          <w:szCs w:val="24"/>
        </w:rPr>
      </w:pPr>
      <w:r>
        <w:rPr>
          <w:rFonts w:ascii="Times New Roman" w:hAnsi="Times New Roman" w:eastAsia="Times New Roman" w:cs="Times New Roman"/>
          <w:spacing w:val="-1"/>
          <w:sz w:val="24"/>
          <w:szCs w:val="24"/>
        </w:rPr>
        <w:t xml:space="preserve">4.2  </w:t>
      </w:r>
      <w:r>
        <w:rPr>
          <w:spacing w:val="-1"/>
          <w:sz w:val="24"/>
          <w:szCs w:val="24"/>
        </w:rPr>
        <w:t>履约担保</w:t>
      </w:r>
    </w:p>
    <w:p w14:paraId="7D73DC70">
      <w:pPr>
        <w:spacing w:before="137" w:line="227" w:lineRule="auto"/>
        <w:ind w:left="424"/>
        <w:rPr>
          <w:rFonts w:ascii="宋体" w:hAnsi="宋体" w:eastAsia="宋体" w:cs="宋体"/>
          <w:sz w:val="20"/>
          <w:szCs w:val="20"/>
        </w:rPr>
      </w:pPr>
      <w:r>
        <w:rPr>
          <w:rFonts w:ascii="宋体" w:hAnsi="宋体" w:eastAsia="宋体" w:cs="宋体"/>
          <w:spacing w:val="10"/>
          <w:sz w:val="20"/>
          <w:szCs w:val="20"/>
        </w:rPr>
        <w:t>承包人应保证其履约担保在发包人颁发工程接收证书前一直有效。发</w:t>
      </w:r>
      <w:r>
        <w:rPr>
          <w:rFonts w:ascii="宋体" w:hAnsi="宋体" w:eastAsia="宋体" w:cs="宋体"/>
          <w:spacing w:val="9"/>
          <w:sz w:val="20"/>
          <w:szCs w:val="20"/>
        </w:rPr>
        <w:t>包人应在工程接收证书</w:t>
      </w:r>
    </w:p>
    <w:p w14:paraId="753C38F7">
      <w:pPr>
        <w:spacing w:line="227" w:lineRule="auto"/>
        <w:rPr>
          <w:rFonts w:ascii="宋体" w:hAnsi="宋体" w:eastAsia="宋体" w:cs="宋体"/>
          <w:sz w:val="20"/>
          <w:szCs w:val="20"/>
        </w:rPr>
        <w:sectPr>
          <w:footerReference r:id="rId168" w:type="default"/>
          <w:pgSz w:w="11906" w:h="16839"/>
          <w:pgMar w:top="400" w:right="1486" w:bottom="1038" w:left="1535" w:header="0" w:footer="787" w:gutter="0"/>
          <w:cols w:space="720" w:num="1"/>
        </w:sectPr>
      </w:pPr>
    </w:p>
    <w:p w14:paraId="3C862821">
      <w:pPr>
        <w:spacing w:line="271" w:lineRule="auto"/>
        <w:rPr>
          <w:rFonts w:ascii="Arial"/>
          <w:sz w:val="21"/>
        </w:rPr>
      </w:pPr>
    </w:p>
    <w:p w14:paraId="049493FA">
      <w:pPr>
        <w:spacing w:line="271" w:lineRule="auto"/>
        <w:rPr>
          <w:rFonts w:ascii="Arial"/>
          <w:sz w:val="21"/>
        </w:rPr>
      </w:pPr>
    </w:p>
    <w:p w14:paraId="46CC611D">
      <w:pPr>
        <w:spacing w:line="272" w:lineRule="auto"/>
        <w:rPr>
          <w:rFonts w:ascii="Arial"/>
          <w:sz w:val="21"/>
        </w:rPr>
      </w:pPr>
    </w:p>
    <w:p w14:paraId="2B7D45CC">
      <w:pPr>
        <w:spacing w:line="272" w:lineRule="auto"/>
        <w:rPr>
          <w:rFonts w:ascii="Arial"/>
          <w:sz w:val="21"/>
        </w:rPr>
      </w:pPr>
    </w:p>
    <w:p w14:paraId="2E57A6B7">
      <w:pPr>
        <w:spacing w:before="65" w:line="228" w:lineRule="auto"/>
        <w:ind w:left="4"/>
        <w:rPr>
          <w:rFonts w:ascii="宋体" w:hAnsi="宋体" w:eastAsia="宋体" w:cs="宋体"/>
          <w:sz w:val="20"/>
          <w:szCs w:val="20"/>
        </w:rPr>
      </w:pPr>
      <w:r>
        <w:rPr>
          <w:rFonts w:ascii="宋体" w:hAnsi="宋体" w:eastAsia="宋体" w:cs="宋体"/>
          <w:spacing w:val="7"/>
          <w:sz w:val="20"/>
          <w:szCs w:val="20"/>
        </w:rPr>
        <w:t>颁发后</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28</w:t>
      </w:r>
      <w:r>
        <w:rPr>
          <w:rFonts w:ascii="Times New Roman" w:hAnsi="Times New Roman" w:eastAsia="Times New Roman" w:cs="Times New Roman"/>
          <w:spacing w:val="16"/>
          <w:sz w:val="20"/>
          <w:szCs w:val="20"/>
        </w:rPr>
        <w:t xml:space="preserve"> </w:t>
      </w:r>
      <w:r>
        <w:rPr>
          <w:rFonts w:ascii="宋体" w:hAnsi="宋体" w:eastAsia="宋体" w:cs="宋体"/>
          <w:spacing w:val="7"/>
          <w:sz w:val="20"/>
          <w:szCs w:val="20"/>
        </w:rPr>
        <w:t>天内把履约担保退还给承包人。</w:t>
      </w:r>
    </w:p>
    <w:p w14:paraId="790D1991">
      <w:pPr>
        <w:pStyle w:val="2"/>
        <w:spacing w:before="127" w:line="222" w:lineRule="auto"/>
        <w:rPr>
          <w:sz w:val="24"/>
          <w:szCs w:val="24"/>
        </w:rPr>
      </w:pPr>
      <w:r>
        <w:rPr>
          <w:rFonts w:ascii="Times New Roman" w:hAnsi="Times New Roman" w:eastAsia="Times New Roman" w:cs="Times New Roman"/>
          <w:spacing w:val="-4"/>
          <w:sz w:val="24"/>
          <w:szCs w:val="24"/>
        </w:rPr>
        <w:t>4.3</w:t>
      </w:r>
      <w:r>
        <w:rPr>
          <w:rFonts w:ascii="Times New Roman" w:hAnsi="Times New Roman" w:eastAsia="Times New Roman" w:cs="Times New Roman"/>
          <w:spacing w:val="7"/>
          <w:sz w:val="24"/>
          <w:szCs w:val="24"/>
        </w:rPr>
        <w:t xml:space="preserve">  </w:t>
      </w:r>
      <w:r>
        <w:rPr>
          <w:spacing w:val="-4"/>
          <w:sz w:val="24"/>
          <w:szCs w:val="24"/>
        </w:rPr>
        <w:t>分包</w:t>
      </w:r>
    </w:p>
    <w:p w14:paraId="1CB8FC89">
      <w:pPr>
        <w:spacing w:before="135" w:line="369" w:lineRule="auto"/>
        <w:ind w:left="6" w:right="68" w:firstLine="412"/>
        <w:rPr>
          <w:rFonts w:ascii="宋体" w:hAnsi="宋体" w:eastAsia="宋体" w:cs="宋体"/>
          <w:sz w:val="20"/>
          <w:szCs w:val="20"/>
        </w:rPr>
      </w:pPr>
      <w:r>
        <w:rPr>
          <w:rFonts w:ascii="Times New Roman" w:hAnsi="Times New Roman" w:eastAsia="Times New Roman" w:cs="Times New Roman"/>
          <w:spacing w:val="6"/>
          <w:sz w:val="20"/>
          <w:szCs w:val="20"/>
        </w:rPr>
        <w:t>4.3.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承包人不得将其承包的全部工程转包给第三人，或将其承包的全部工程肢解后以分包的</w:t>
      </w:r>
      <w:r>
        <w:rPr>
          <w:rFonts w:ascii="宋体" w:hAnsi="宋体" w:eastAsia="宋体" w:cs="宋体"/>
          <w:spacing w:val="7"/>
          <w:sz w:val="20"/>
          <w:szCs w:val="20"/>
        </w:rPr>
        <w:t>名义转包给第三人。</w:t>
      </w:r>
    </w:p>
    <w:p w14:paraId="1424D276">
      <w:pPr>
        <w:spacing w:before="2" w:line="369" w:lineRule="auto"/>
        <w:ind w:left="7" w:right="70" w:firstLine="411"/>
        <w:rPr>
          <w:rFonts w:ascii="宋体" w:hAnsi="宋体" w:eastAsia="宋体" w:cs="宋体"/>
          <w:sz w:val="20"/>
          <w:szCs w:val="20"/>
        </w:rPr>
      </w:pPr>
      <w:r>
        <w:rPr>
          <w:rFonts w:ascii="Times New Roman" w:hAnsi="Times New Roman" w:eastAsia="Times New Roman" w:cs="Times New Roman"/>
          <w:spacing w:val="7"/>
          <w:sz w:val="20"/>
          <w:szCs w:val="20"/>
        </w:rPr>
        <w:t xml:space="preserve">4.3.2  </w:t>
      </w:r>
      <w:r>
        <w:rPr>
          <w:rFonts w:ascii="宋体" w:hAnsi="宋体" w:eastAsia="宋体" w:cs="宋体"/>
          <w:spacing w:val="7"/>
          <w:sz w:val="20"/>
          <w:szCs w:val="20"/>
        </w:rPr>
        <w:t>承包人不得将工程主体、关键性工作</w:t>
      </w:r>
      <w:r>
        <w:rPr>
          <w:rFonts w:ascii="宋体" w:hAnsi="宋体" w:eastAsia="宋体" w:cs="宋体"/>
          <w:spacing w:val="6"/>
          <w:sz w:val="20"/>
          <w:szCs w:val="20"/>
        </w:rPr>
        <w:t>分包给第三人。除专用合同条款另有约定外，未经</w:t>
      </w:r>
      <w:r>
        <w:rPr>
          <w:rFonts w:ascii="宋体" w:hAnsi="宋体" w:eastAsia="宋体" w:cs="宋体"/>
          <w:spacing w:val="9"/>
          <w:sz w:val="20"/>
          <w:szCs w:val="20"/>
        </w:rPr>
        <w:t>发包人同意，承包人不得将工程的其他部分或工作分包给第三人。</w:t>
      </w:r>
    </w:p>
    <w:p w14:paraId="0844500B">
      <w:pPr>
        <w:spacing w:before="1" w:line="227" w:lineRule="auto"/>
        <w:ind w:left="419"/>
        <w:rPr>
          <w:rFonts w:ascii="宋体" w:hAnsi="宋体" w:eastAsia="宋体" w:cs="宋体"/>
          <w:sz w:val="20"/>
          <w:szCs w:val="20"/>
        </w:rPr>
      </w:pPr>
      <w:r>
        <w:rPr>
          <w:rFonts w:ascii="Times New Roman" w:hAnsi="Times New Roman" w:eastAsia="Times New Roman" w:cs="Times New Roman"/>
          <w:spacing w:val="8"/>
          <w:sz w:val="20"/>
          <w:szCs w:val="20"/>
        </w:rPr>
        <w:t xml:space="preserve">4.3.3  </w:t>
      </w:r>
      <w:r>
        <w:rPr>
          <w:rFonts w:ascii="宋体" w:hAnsi="宋体" w:eastAsia="宋体" w:cs="宋体"/>
          <w:spacing w:val="8"/>
          <w:sz w:val="20"/>
          <w:szCs w:val="20"/>
        </w:rPr>
        <w:t>分包人的资格能力应与其分包工程的标准和规模相适应。</w:t>
      </w:r>
    </w:p>
    <w:p w14:paraId="50DB5A31">
      <w:pPr>
        <w:spacing w:before="152" w:line="227" w:lineRule="auto"/>
        <w:ind w:left="419"/>
        <w:rPr>
          <w:rFonts w:ascii="宋体" w:hAnsi="宋体" w:eastAsia="宋体" w:cs="宋体"/>
          <w:sz w:val="20"/>
          <w:szCs w:val="20"/>
        </w:rPr>
      </w:pPr>
      <w:r>
        <w:rPr>
          <w:rFonts w:ascii="Times New Roman" w:hAnsi="Times New Roman" w:eastAsia="Times New Roman" w:cs="Times New Roman"/>
          <w:spacing w:val="9"/>
          <w:sz w:val="20"/>
          <w:szCs w:val="20"/>
        </w:rPr>
        <w:t xml:space="preserve">4.3.4  </w:t>
      </w:r>
      <w:r>
        <w:rPr>
          <w:rFonts w:ascii="宋体" w:hAnsi="宋体" w:eastAsia="宋体" w:cs="宋体"/>
          <w:spacing w:val="9"/>
          <w:sz w:val="20"/>
          <w:szCs w:val="20"/>
        </w:rPr>
        <w:t>按投标函附录约定分包工程的，承</w:t>
      </w:r>
      <w:r>
        <w:rPr>
          <w:rFonts w:ascii="宋体" w:hAnsi="宋体" w:eastAsia="宋体" w:cs="宋体"/>
          <w:spacing w:val="8"/>
          <w:sz w:val="20"/>
          <w:szCs w:val="20"/>
        </w:rPr>
        <w:t>包人应向发包人和监理人提交分包合同副本。</w:t>
      </w:r>
    </w:p>
    <w:p w14:paraId="41A6D6EC">
      <w:pPr>
        <w:spacing w:before="154" w:line="228" w:lineRule="auto"/>
        <w:ind w:left="419"/>
        <w:rPr>
          <w:rFonts w:ascii="宋体" w:hAnsi="宋体" w:eastAsia="宋体" w:cs="宋体"/>
          <w:sz w:val="20"/>
          <w:szCs w:val="20"/>
        </w:rPr>
      </w:pPr>
      <w:r>
        <w:rPr>
          <w:rFonts w:ascii="Times New Roman" w:hAnsi="Times New Roman" w:eastAsia="Times New Roman" w:cs="Times New Roman"/>
          <w:spacing w:val="8"/>
          <w:sz w:val="20"/>
          <w:szCs w:val="20"/>
        </w:rPr>
        <w:t xml:space="preserve">4.3.5  </w:t>
      </w:r>
      <w:r>
        <w:rPr>
          <w:rFonts w:ascii="宋体" w:hAnsi="宋体" w:eastAsia="宋体" w:cs="宋体"/>
          <w:spacing w:val="8"/>
          <w:sz w:val="20"/>
          <w:szCs w:val="20"/>
        </w:rPr>
        <w:t>承包人应与分包人就分包工程向发包人承担连带责任。</w:t>
      </w:r>
    </w:p>
    <w:p w14:paraId="766052E1">
      <w:pPr>
        <w:pStyle w:val="2"/>
        <w:spacing w:before="127" w:line="222" w:lineRule="auto"/>
        <w:rPr>
          <w:sz w:val="24"/>
          <w:szCs w:val="24"/>
        </w:rPr>
      </w:pPr>
      <w:r>
        <w:rPr>
          <w:rFonts w:ascii="Times New Roman" w:hAnsi="Times New Roman" w:eastAsia="Times New Roman" w:cs="Times New Roman"/>
          <w:spacing w:val="-3"/>
          <w:sz w:val="24"/>
          <w:szCs w:val="24"/>
        </w:rPr>
        <w:t>4.4</w:t>
      </w:r>
      <w:r>
        <w:rPr>
          <w:rFonts w:ascii="Times New Roman" w:hAnsi="Times New Roman" w:eastAsia="Times New Roman" w:cs="Times New Roman"/>
          <w:spacing w:val="6"/>
          <w:sz w:val="24"/>
          <w:szCs w:val="24"/>
        </w:rPr>
        <w:t xml:space="preserve">  </w:t>
      </w:r>
      <w:r>
        <w:rPr>
          <w:spacing w:val="-3"/>
          <w:sz w:val="24"/>
          <w:szCs w:val="24"/>
        </w:rPr>
        <w:t>联合体</w:t>
      </w:r>
    </w:p>
    <w:p w14:paraId="6C5E80C7">
      <w:pPr>
        <w:spacing w:before="137" w:line="227" w:lineRule="auto"/>
        <w:jc w:val="right"/>
        <w:rPr>
          <w:rFonts w:ascii="宋体" w:hAnsi="宋体" w:eastAsia="宋体" w:cs="宋体"/>
          <w:sz w:val="20"/>
          <w:szCs w:val="20"/>
        </w:rPr>
      </w:pPr>
      <w:r>
        <w:rPr>
          <w:rFonts w:ascii="Times New Roman" w:hAnsi="Times New Roman" w:eastAsia="Times New Roman" w:cs="Times New Roman"/>
          <w:spacing w:val="8"/>
          <w:sz w:val="20"/>
          <w:szCs w:val="20"/>
        </w:rPr>
        <w:t>4.4.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联合体各方应共同与发包人签订合同协</w:t>
      </w:r>
      <w:r>
        <w:rPr>
          <w:rFonts w:ascii="宋体" w:hAnsi="宋体" w:eastAsia="宋体" w:cs="宋体"/>
          <w:spacing w:val="7"/>
          <w:sz w:val="20"/>
          <w:szCs w:val="20"/>
        </w:rPr>
        <w:t>议书。联合体各方应为履行合同承担连带责任。</w:t>
      </w:r>
    </w:p>
    <w:p w14:paraId="4736AFB6">
      <w:pPr>
        <w:spacing w:before="155" w:line="369" w:lineRule="auto"/>
        <w:ind w:left="4" w:right="70" w:firstLine="415"/>
        <w:rPr>
          <w:rFonts w:ascii="宋体" w:hAnsi="宋体" w:eastAsia="宋体" w:cs="宋体"/>
          <w:sz w:val="20"/>
          <w:szCs w:val="20"/>
        </w:rPr>
      </w:pPr>
      <w:r>
        <w:rPr>
          <w:rFonts w:ascii="Times New Roman" w:hAnsi="Times New Roman" w:eastAsia="Times New Roman" w:cs="Times New Roman"/>
          <w:spacing w:val="7"/>
          <w:sz w:val="20"/>
          <w:szCs w:val="20"/>
        </w:rPr>
        <w:t xml:space="preserve">4.4.2  </w:t>
      </w:r>
      <w:r>
        <w:rPr>
          <w:rFonts w:ascii="宋体" w:hAnsi="宋体" w:eastAsia="宋体" w:cs="宋体"/>
          <w:spacing w:val="7"/>
          <w:sz w:val="20"/>
          <w:szCs w:val="20"/>
        </w:rPr>
        <w:t>联合体协议经发包人确认后作为合同</w:t>
      </w:r>
      <w:r>
        <w:rPr>
          <w:rFonts w:ascii="宋体" w:hAnsi="宋体" w:eastAsia="宋体" w:cs="宋体"/>
          <w:spacing w:val="6"/>
          <w:sz w:val="20"/>
          <w:szCs w:val="20"/>
        </w:rPr>
        <w:t>附件。在履行合同过程中，未经发包人同意，不得</w:t>
      </w:r>
      <w:r>
        <w:rPr>
          <w:rFonts w:ascii="宋体" w:hAnsi="宋体" w:eastAsia="宋体" w:cs="宋体"/>
          <w:spacing w:val="7"/>
          <w:sz w:val="20"/>
          <w:szCs w:val="20"/>
        </w:rPr>
        <w:t>修改联合体协议。</w:t>
      </w:r>
    </w:p>
    <w:p w14:paraId="582019F8">
      <w:pPr>
        <w:spacing w:before="1" w:line="357" w:lineRule="auto"/>
        <w:ind w:left="7" w:right="68" w:firstLine="411"/>
        <w:rPr>
          <w:rFonts w:ascii="宋体" w:hAnsi="宋体" w:eastAsia="宋体" w:cs="宋体"/>
          <w:sz w:val="20"/>
          <w:szCs w:val="20"/>
        </w:rPr>
      </w:pPr>
      <w:r>
        <w:rPr>
          <w:rFonts w:ascii="Times New Roman" w:hAnsi="Times New Roman" w:eastAsia="Times New Roman" w:cs="Times New Roman"/>
          <w:spacing w:val="7"/>
          <w:sz w:val="20"/>
          <w:szCs w:val="20"/>
        </w:rPr>
        <w:t xml:space="preserve">4.4.3  </w:t>
      </w:r>
      <w:r>
        <w:rPr>
          <w:rFonts w:ascii="宋体" w:hAnsi="宋体" w:eastAsia="宋体" w:cs="宋体"/>
          <w:spacing w:val="7"/>
          <w:sz w:val="20"/>
          <w:szCs w:val="20"/>
        </w:rPr>
        <w:t>联合体牵头人负责与发包人和监理人联系</w:t>
      </w:r>
      <w:r>
        <w:rPr>
          <w:rFonts w:ascii="宋体" w:hAnsi="宋体" w:eastAsia="宋体" w:cs="宋体"/>
          <w:spacing w:val="6"/>
          <w:sz w:val="20"/>
          <w:szCs w:val="20"/>
        </w:rPr>
        <w:t>，并接受指示，负责组织联合体各成员全面履</w:t>
      </w:r>
      <w:r>
        <w:rPr>
          <w:rFonts w:ascii="宋体" w:hAnsi="宋体" w:eastAsia="宋体" w:cs="宋体"/>
          <w:spacing w:val="4"/>
          <w:sz w:val="20"/>
          <w:szCs w:val="20"/>
        </w:rPr>
        <w:t>行合同。</w:t>
      </w:r>
    </w:p>
    <w:p w14:paraId="39459429">
      <w:pPr>
        <w:pStyle w:val="2"/>
        <w:spacing w:before="1" w:line="221" w:lineRule="auto"/>
        <w:rPr>
          <w:sz w:val="24"/>
          <w:szCs w:val="24"/>
        </w:rPr>
      </w:pPr>
      <w:r>
        <w:rPr>
          <w:rFonts w:ascii="Times New Roman" w:hAnsi="Times New Roman" w:eastAsia="Times New Roman" w:cs="Times New Roman"/>
          <w:spacing w:val="-1"/>
          <w:sz w:val="24"/>
          <w:szCs w:val="24"/>
        </w:rPr>
        <w:t xml:space="preserve">4.5  </w:t>
      </w:r>
      <w:r>
        <w:rPr>
          <w:spacing w:val="-1"/>
          <w:sz w:val="24"/>
          <w:szCs w:val="24"/>
        </w:rPr>
        <w:t>承包人项目经理</w:t>
      </w:r>
    </w:p>
    <w:p w14:paraId="20A206C7">
      <w:pPr>
        <w:spacing w:before="138" w:line="369" w:lineRule="auto"/>
        <w:ind w:left="4" w:right="13" w:firstLine="415"/>
        <w:rPr>
          <w:rFonts w:ascii="宋体" w:hAnsi="宋体" w:eastAsia="宋体" w:cs="宋体"/>
          <w:sz w:val="20"/>
          <w:szCs w:val="20"/>
        </w:rPr>
      </w:pPr>
      <w:r>
        <w:rPr>
          <w:rFonts w:ascii="Times New Roman" w:hAnsi="Times New Roman" w:eastAsia="Times New Roman" w:cs="Times New Roman"/>
          <w:spacing w:val="7"/>
          <w:sz w:val="20"/>
          <w:szCs w:val="20"/>
        </w:rPr>
        <w:t>4.5.</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承包人应按合同约定指派项目经理，并在约定的期限内到职。承包人更换项目经理应事</w:t>
      </w:r>
      <w:r>
        <w:rPr>
          <w:rFonts w:ascii="宋体" w:hAnsi="宋体" w:eastAsia="宋体" w:cs="宋体"/>
          <w:spacing w:val="3"/>
          <w:sz w:val="20"/>
          <w:szCs w:val="20"/>
        </w:rPr>
        <w:t>先征得发包人同意，并应在更换</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14</w:t>
      </w:r>
      <w:r>
        <w:rPr>
          <w:rFonts w:ascii="Times New Roman" w:hAnsi="Times New Roman" w:eastAsia="Times New Roman" w:cs="Times New Roman"/>
          <w:spacing w:val="14"/>
          <w:w w:val="101"/>
          <w:sz w:val="20"/>
          <w:szCs w:val="20"/>
        </w:rPr>
        <w:t xml:space="preserve"> </w:t>
      </w:r>
      <w:r>
        <w:rPr>
          <w:rFonts w:ascii="宋体" w:hAnsi="宋体" w:eastAsia="宋体" w:cs="宋体"/>
          <w:spacing w:val="3"/>
          <w:sz w:val="20"/>
          <w:szCs w:val="20"/>
        </w:rPr>
        <w:t>天前通知发包人和监理人。承包人项目经理短</w:t>
      </w:r>
      <w:r>
        <w:rPr>
          <w:rFonts w:ascii="宋体" w:hAnsi="宋体" w:eastAsia="宋体" w:cs="宋体"/>
          <w:spacing w:val="2"/>
          <w:sz w:val="20"/>
          <w:szCs w:val="20"/>
        </w:rPr>
        <w:t>期离开施工场地，</w:t>
      </w:r>
      <w:r>
        <w:rPr>
          <w:rFonts w:ascii="宋体" w:hAnsi="宋体" w:eastAsia="宋体" w:cs="宋体"/>
          <w:spacing w:val="9"/>
          <w:sz w:val="20"/>
          <w:szCs w:val="20"/>
        </w:rPr>
        <w:t>应事先征得监理人同意，并委派代表代行其职责。</w:t>
      </w:r>
    </w:p>
    <w:p w14:paraId="53FA1FCC">
      <w:pPr>
        <w:spacing w:before="1" w:line="369" w:lineRule="auto"/>
        <w:ind w:left="9" w:right="13" w:firstLine="410"/>
        <w:rPr>
          <w:rFonts w:ascii="宋体" w:hAnsi="宋体" w:eastAsia="宋体" w:cs="宋体"/>
          <w:sz w:val="20"/>
          <w:szCs w:val="20"/>
        </w:rPr>
      </w:pPr>
      <w:r>
        <w:rPr>
          <w:rFonts w:ascii="Times New Roman" w:hAnsi="Times New Roman" w:eastAsia="Times New Roman" w:cs="Times New Roman"/>
          <w:spacing w:val="7"/>
          <w:sz w:val="20"/>
          <w:szCs w:val="20"/>
        </w:rPr>
        <w:t xml:space="preserve">4.5.2  </w:t>
      </w:r>
      <w:r>
        <w:rPr>
          <w:rFonts w:ascii="宋体" w:hAnsi="宋体" w:eastAsia="宋体" w:cs="宋体"/>
          <w:spacing w:val="7"/>
          <w:sz w:val="20"/>
          <w:szCs w:val="20"/>
        </w:rPr>
        <w:t>承包人项目经理应按合同约定以及监理人按第</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 xml:space="preserve">3.4 </w:t>
      </w:r>
      <w:r>
        <w:rPr>
          <w:rFonts w:ascii="宋体" w:hAnsi="宋体" w:eastAsia="宋体" w:cs="宋体"/>
          <w:spacing w:val="7"/>
          <w:sz w:val="20"/>
          <w:szCs w:val="20"/>
        </w:rPr>
        <w:t>款作出的指示，负责组织合同工程的</w:t>
      </w:r>
      <w:r>
        <w:rPr>
          <w:rFonts w:ascii="宋体" w:hAnsi="宋体" w:eastAsia="宋体" w:cs="宋体"/>
          <w:spacing w:val="6"/>
          <w:sz w:val="20"/>
          <w:szCs w:val="20"/>
        </w:rPr>
        <w:t>实施。在情况紧急且无法与监理人取得联系时，可采取保证工程和人员生命财产安全的紧急措施，</w:t>
      </w:r>
      <w:r>
        <w:rPr>
          <w:rFonts w:ascii="宋体" w:hAnsi="宋体" w:eastAsia="宋体" w:cs="宋体"/>
          <w:spacing w:val="7"/>
          <w:sz w:val="20"/>
          <w:szCs w:val="20"/>
        </w:rPr>
        <w:t>并在采取措施后</w:t>
      </w:r>
      <w:r>
        <w:rPr>
          <w:rFonts w:ascii="宋体" w:hAnsi="宋体" w:eastAsia="宋体" w:cs="宋体"/>
          <w:spacing w:val="-29"/>
          <w:sz w:val="20"/>
          <w:szCs w:val="20"/>
        </w:rPr>
        <w:t xml:space="preserve"> </w:t>
      </w:r>
      <w:r>
        <w:rPr>
          <w:rFonts w:ascii="Times New Roman" w:hAnsi="Times New Roman" w:eastAsia="Times New Roman" w:cs="Times New Roman"/>
          <w:spacing w:val="7"/>
          <w:sz w:val="20"/>
          <w:szCs w:val="20"/>
        </w:rPr>
        <w:t>24</w:t>
      </w:r>
      <w:r>
        <w:rPr>
          <w:rFonts w:ascii="Times New Roman" w:hAnsi="Times New Roman" w:eastAsia="Times New Roman" w:cs="Times New Roman"/>
          <w:spacing w:val="18"/>
          <w:sz w:val="20"/>
          <w:szCs w:val="20"/>
        </w:rPr>
        <w:t xml:space="preserve"> </w:t>
      </w:r>
      <w:r>
        <w:rPr>
          <w:rFonts w:ascii="宋体" w:hAnsi="宋体" w:eastAsia="宋体" w:cs="宋体"/>
          <w:spacing w:val="7"/>
          <w:sz w:val="20"/>
          <w:szCs w:val="20"/>
        </w:rPr>
        <w:t>小时内向监理人提交书面报告。</w:t>
      </w:r>
    </w:p>
    <w:p w14:paraId="321533B6">
      <w:pPr>
        <w:spacing w:before="2" w:line="369" w:lineRule="auto"/>
        <w:ind w:left="4" w:right="68" w:firstLine="415"/>
        <w:rPr>
          <w:rFonts w:ascii="宋体" w:hAnsi="宋体" w:eastAsia="宋体" w:cs="宋体"/>
          <w:sz w:val="20"/>
          <w:szCs w:val="20"/>
        </w:rPr>
      </w:pPr>
      <w:r>
        <w:rPr>
          <w:rFonts w:ascii="Times New Roman" w:hAnsi="Times New Roman" w:eastAsia="Times New Roman" w:cs="Times New Roman"/>
          <w:spacing w:val="8"/>
          <w:sz w:val="20"/>
          <w:szCs w:val="20"/>
        </w:rPr>
        <w:t xml:space="preserve">4.5.3 </w:t>
      </w:r>
      <w:r>
        <w:rPr>
          <w:rFonts w:ascii="宋体" w:hAnsi="宋体" w:eastAsia="宋体" w:cs="宋体"/>
          <w:spacing w:val="8"/>
          <w:sz w:val="20"/>
          <w:szCs w:val="20"/>
        </w:rPr>
        <w:t>承包人为履行合同发出的一切函件均应盖有承包人授权的施工场地管理</w:t>
      </w:r>
      <w:r>
        <w:rPr>
          <w:rFonts w:ascii="宋体" w:hAnsi="宋体" w:eastAsia="宋体" w:cs="宋体"/>
          <w:spacing w:val="7"/>
          <w:sz w:val="20"/>
          <w:szCs w:val="20"/>
        </w:rPr>
        <w:t>机构章，并由承</w:t>
      </w:r>
      <w:r>
        <w:rPr>
          <w:rFonts w:ascii="宋体" w:hAnsi="宋体" w:eastAsia="宋体" w:cs="宋体"/>
          <w:spacing w:val="8"/>
          <w:sz w:val="20"/>
          <w:szCs w:val="20"/>
        </w:rPr>
        <w:t>包人项目经理或其授权代表签字。</w:t>
      </w:r>
    </w:p>
    <w:p w14:paraId="1456595E">
      <w:pPr>
        <w:spacing w:before="1" w:line="356" w:lineRule="auto"/>
        <w:ind w:left="3" w:right="70" w:firstLine="416"/>
        <w:rPr>
          <w:rFonts w:ascii="宋体" w:hAnsi="宋体" w:eastAsia="宋体" w:cs="宋体"/>
          <w:sz w:val="20"/>
          <w:szCs w:val="20"/>
        </w:rPr>
      </w:pPr>
      <w:r>
        <w:rPr>
          <w:rFonts w:ascii="Times New Roman" w:hAnsi="Times New Roman" w:eastAsia="Times New Roman" w:cs="Times New Roman"/>
          <w:spacing w:val="7"/>
          <w:sz w:val="20"/>
          <w:szCs w:val="20"/>
        </w:rPr>
        <w:t xml:space="preserve">4.5.4  </w:t>
      </w:r>
      <w:r>
        <w:rPr>
          <w:rFonts w:ascii="宋体" w:hAnsi="宋体" w:eastAsia="宋体" w:cs="宋体"/>
          <w:spacing w:val="7"/>
          <w:sz w:val="20"/>
          <w:szCs w:val="20"/>
        </w:rPr>
        <w:t>承包人项目经理可以授权其下属人员</w:t>
      </w:r>
      <w:r>
        <w:rPr>
          <w:rFonts w:ascii="宋体" w:hAnsi="宋体" w:eastAsia="宋体" w:cs="宋体"/>
          <w:spacing w:val="6"/>
          <w:sz w:val="20"/>
          <w:szCs w:val="20"/>
        </w:rPr>
        <w:t>履行其某项职责，但事先应将这些人员的姓名和授</w:t>
      </w:r>
      <w:r>
        <w:rPr>
          <w:rFonts w:ascii="宋体" w:hAnsi="宋体" w:eastAsia="宋体" w:cs="宋体"/>
          <w:spacing w:val="7"/>
          <w:sz w:val="20"/>
          <w:szCs w:val="20"/>
        </w:rPr>
        <w:t>权范围通知监理人。</w:t>
      </w:r>
    </w:p>
    <w:p w14:paraId="48C44F90">
      <w:pPr>
        <w:pStyle w:val="2"/>
        <w:spacing w:before="1" w:line="220" w:lineRule="auto"/>
        <w:rPr>
          <w:sz w:val="24"/>
          <w:szCs w:val="24"/>
        </w:rPr>
      </w:pPr>
      <w:r>
        <w:rPr>
          <w:rFonts w:ascii="Times New Roman" w:hAnsi="Times New Roman" w:eastAsia="Times New Roman" w:cs="Times New Roman"/>
          <w:spacing w:val="-1"/>
          <w:sz w:val="24"/>
          <w:szCs w:val="24"/>
        </w:rPr>
        <w:t xml:space="preserve">4.6  </w:t>
      </w:r>
      <w:r>
        <w:rPr>
          <w:spacing w:val="-1"/>
          <w:sz w:val="24"/>
          <w:szCs w:val="24"/>
        </w:rPr>
        <w:t>承包人人员的管理</w:t>
      </w:r>
    </w:p>
    <w:p w14:paraId="2D246897">
      <w:pPr>
        <w:spacing w:before="141" w:line="369" w:lineRule="auto"/>
        <w:ind w:left="5" w:right="68" w:firstLine="413"/>
        <w:rPr>
          <w:rFonts w:ascii="宋体" w:hAnsi="宋体" w:eastAsia="宋体" w:cs="宋体"/>
          <w:sz w:val="20"/>
          <w:szCs w:val="20"/>
        </w:rPr>
      </w:pPr>
      <w:r>
        <w:rPr>
          <w:rFonts w:ascii="Times New Roman" w:hAnsi="Times New Roman" w:eastAsia="Times New Roman" w:cs="Times New Roman"/>
          <w:spacing w:val="8"/>
          <w:sz w:val="20"/>
          <w:szCs w:val="20"/>
        </w:rPr>
        <w:t>4.6.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承包人应在接到开工通知后</w:t>
      </w:r>
      <w:r>
        <w:rPr>
          <w:rFonts w:ascii="宋体" w:hAnsi="宋体" w:eastAsia="宋体" w:cs="宋体"/>
          <w:spacing w:val="-45"/>
          <w:sz w:val="20"/>
          <w:szCs w:val="20"/>
        </w:rPr>
        <w:t xml:space="preserve"> </w:t>
      </w:r>
      <w:r>
        <w:rPr>
          <w:rFonts w:ascii="Times New Roman" w:hAnsi="Times New Roman" w:eastAsia="Times New Roman" w:cs="Times New Roman"/>
          <w:spacing w:val="8"/>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天内，向监理人提交承包人在</w:t>
      </w:r>
      <w:r>
        <w:rPr>
          <w:rFonts w:ascii="宋体" w:hAnsi="宋体" w:eastAsia="宋体" w:cs="宋体"/>
          <w:spacing w:val="7"/>
          <w:sz w:val="20"/>
          <w:szCs w:val="20"/>
        </w:rPr>
        <w:t>施工场地的管理机构以及</w:t>
      </w:r>
      <w:r>
        <w:rPr>
          <w:rFonts w:ascii="宋体" w:hAnsi="宋体" w:eastAsia="宋体" w:cs="宋体"/>
          <w:spacing w:val="10"/>
          <w:sz w:val="20"/>
          <w:szCs w:val="20"/>
        </w:rPr>
        <w:t>人员安排的报告，其内容应包括管理机构的设置、各主要岗位的技术和</w:t>
      </w:r>
      <w:r>
        <w:rPr>
          <w:rFonts w:ascii="宋体" w:hAnsi="宋体" w:eastAsia="宋体" w:cs="宋体"/>
          <w:spacing w:val="9"/>
          <w:sz w:val="20"/>
          <w:szCs w:val="20"/>
        </w:rPr>
        <w:t>管理人员名单及其资格，以及各工种技术工人的安排状况。承包人应向监理人提交施工场地人员变动情况的报告。</w:t>
      </w:r>
    </w:p>
    <w:p w14:paraId="38FD846D">
      <w:pPr>
        <w:spacing w:before="1" w:line="227" w:lineRule="auto"/>
        <w:ind w:left="419"/>
        <w:rPr>
          <w:rFonts w:ascii="宋体" w:hAnsi="宋体" w:eastAsia="宋体" w:cs="宋体"/>
          <w:sz w:val="20"/>
          <w:szCs w:val="20"/>
        </w:rPr>
      </w:pPr>
      <w:r>
        <w:rPr>
          <w:rFonts w:ascii="Times New Roman" w:hAnsi="Times New Roman" w:eastAsia="Times New Roman" w:cs="Times New Roman"/>
          <w:spacing w:val="9"/>
          <w:sz w:val="20"/>
          <w:szCs w:val="20"/>
        </w:rPr>
        <w:t xml:space="preserve">4.6.2  </w:t>
      </w:r>
      <w:r>
        <w:rPr>
          <w:rFonts w:ascii="宋体" w:hAnsi="宋体" w:eastAsia="宋体" w:cs="宋体"/>
          <w:spacing w:val="9"/>
          <w:sz w:val="20"/>
          <w:szCs w:val="20"/>
        </w:rPr>
        <w:t>为完成合同约定的各项工作，承包人应向施</w:t>
      </w:r>
      <w:r>
        <w:rPr>
          <w:rFonts w:ascii="宋体" w:hAnsi="宋体" w:eastAsia="宋体" w:cs="宋体"/>
          <w:spacing w:val="8"/>
          <w:sz w:val="20"/>
          <w:szCs w:val="20"/>
        </w:rPr>
        <w:t>工场地派遣或雇佣足够数量的下列人员：</w:t>
      </w:r>
    </w:p>
    <w:p w14:paraId="10695828">
      <w:pPr>
        <w:spacing w:before="151" w:line="228" w:lineRule="auto"/>
        <w:ind w:left="73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）具有相应资格的专业技工和合格的普工；</w:t>
      </w:r>
    </w:p>
    <w:p w14:paraId="28577BCF">
      <w:pPr>
        <w:spacing w:before="154" w:line="228" w:lineRule="auto"/>
        <w:ind w:left="73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）具有相应施工经验的技术人员；</w:t>
      </w:r>
    </w:p>
    <w:p w14:paraId="1683A1D1">
      <w:pPr>
        <w:spacing w:before="154" w:line="228" w:lineRule="auto"/>
        <w:ind w:left="73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）具有相应岗位资格的各级管理人员。</w:t>
      </w:r>
    </w:p>
    <w:p w14:paraId="04AC0F6A">
      <w:pPr>
        <w:spacing w:before="151" w:line="227" w:lineRule="auto"/>
        <w:ind w:left="419"/>
        <w:rPr>
          <w:rFonts w:ascii="宋体" w:hAnsi="宋体" w:eastAsia="宋体" w:cs="宋体"/>
          <w:sz w:val="20"/>
          <w:szCs w:val="20"/>
        </w:rPr>
      </w:pPr>
      <w:r>
        <w:rPr>
          <w:rFonts w:ascii="Times New Roman" w:hAnsi="Times New Roman" w:eastAsia="Times New Roman" w:cs="Times New Roman"/>
          <w:spacing w:val="7"/>
          <w:sz w:val="20"/>
          <w:szCs w:val="20"/>
        </w:rPr>
        <w:t xml:space="preserve">4.6.3  </w:t>
      </w:r>
      <w:r>
        <w:rPr>
          <w:rFonts w:ascii="宋体" w:hAnsi="宋体" w:eastAsia="宋体" w:cs="宋体"/>
          <w:spacing w:val="7"/>
          <w:sz w:val="20"/>
          <w:szCs w:val="20"/>
        </w:rPr>
        <w:t>承包人安排在施工场地的主要管理人</w:t>
      </w:r>
      <w:r>
        <w:rPr>
          <w:rFonts w:ascii="宋体" w:hAnsi="宋体" w:eastAsia="宋体" w:cs="宋体"/>
          <w:spacing w:val="6"/>
          <w:sz w:val="20"/>
          <w:szCs w:val="20"/>
        </w:rPr>
        <w:t>员和技术骨干应相对稳定。承包人更换主要管理人</w:t>
      </w:r>
    </w:p>
    <w:p w14:paraId="6422CED9">
      <w:pPr>
        <w:spacing w:line="227" w:lineRule="auto"/>
        <w:rPr>
          <w:rFonts w:ascii="宋体" w:hAnsi="宋体" w:eastAsia="宋体" w:cs="宋体"/>
          <w:sz w:val="20"/>
          <w:szCs w:val="20"/>
        </w:rPr>
        <w:sectPr>
          <w:footerReference r:id="rId169" w:type="default"/>
          <w:pgSz w:w="11906" w:h="16839"/>
          <w:pgMar w:top="400" w:right="1486" w:bottom="1038" w:left="1535" w:header="0" w:footer="785" w:gutter="0"/>
          <w:cols w:space="720" w:num="1"/>
        </w:sectPr>
      </w:pPr>
    </w:p>
    <w:p w14:paraId="373B8EEE">
      <w:pPr>
        <w:spacing w:line="271" w:lineRule="auto"/>
        <w:rPr>
          <w:rFonts w:ascii="Arial"/>
          <w:sz w:val="21"/>
        </w:rPr>
      </w:pPr>
    </w:p>
    <w:p w14:paraId="69BD7A6D">
      <w:pPr>
        <w:spacing w:line="272" w:lineRule="auto"/>
        <w:rPr>
          <w:rFonts w:ascii="Arial"/>
          <w:sz w:val="21"/>
        </w:rPr>
      </w:pPr>
    </w:p>
    <w:p w14:paraId="0DEDB87F">
      <w:pPr>
        <w:spacing w:line="272" w:lineRule="auto"/>
        <w:rPr>
          <w:rFonts w:ascii="Arial"/>
          <w:sz w:val="21"/>
        </w:rPr>
      </w:pPr>
    </w:p>
    <w:p w14:paraId="0A85E8BB">
      <w:pPr>
        <w:spacing w:line="272" w:lineRule="auto"/>
        <w:rPr>
          <w:rFonts w:ascii="Arial"/>
          <w:sz w:val="21"/>
        </w:rPr>
      </w:pPr>
    </w:p>
    <w:p w14:paraId="73FBD5B8">
      <w:pPr>
        <w:spacing w:before="65" w:line="227" w:lineRule="auto"/>
        <w:ind w:left="12"/>
        <w:rPr>
          <w:rFonts w:ascii="宋体" w:hAnsi="宋体" w:eastAsia="宋体" w:cs="宋体"/>
          <w:sz w:val="20"/>
          <w:szCs w:val="20"/>
        </w:rPr>
      </w:pPr>
      <w:r>
        <w:rPr>
          <w:rFonts w:ascii="宋体" w:hAnsi="宋体" w:eastAsia="宋体" w:cs="宋体"/>
          <w:spacing w:val="8"/>
          <w:sz w:val="20"/>
          <w:szCs w:val="20"/>
        </w:rPr>
        <w:t>员和技术骨干时，应取得监理人的同意。</w:t>
      </w:r>
    </w:p>
    <w:p w14:paraId="2D7D4162">
      <w:pPr>
        <w:spacing w:before="151" w:line="358" w:lineRule="auto"/>
        <w:ind w:left="5" w:firstLine="414"/>
        <w:rPr>
          <w:rFonts w:ascii="宋体" w:hAnsi="宋体" w:eastAsia="宋体" w:cs="宋体"/>
          <w:sz w:val="20"/>
          <w:szCs w:val="20"/>
        </w:rPr>
      </w:pPr>
      <w:r>
        <w:rPr>
          <w:rFonts w:ascii="Times New Roman" w:hAnsi="Times New Roman" w:eastAsia="Times New Roman" w:cs="Times New Roman"/>
          <w:spacing w:val="7"/>
          <w:sz w:val="20"/>
          <w:szCs w:val="20"/>
        </w:rPr>
        <w:t xml:space="preserve">4.6.4  </w:t>
      </w:r>
      <w:r>
        <w:rPr>
          <w:rFonts w:ascii="宋体" w:hAnsi="宋体" w:eastAsia="宋体" w:cs="宋体"/>
          <w:spacing w:val="7"/>
          <w:sz w:val="20"/>
          <w:szCs w:val="20"/>
        </w:rPr>
        <w:t>特殊岗位的工作人员均应持有相应的资格</w:t>
      </w:r>
      <w:r>
        <w:rPr>
          <w:rFonts w:ascii="宋体" w:hAnsi="宋体" w:eastAsia="宋体" w:cs="宋体"/>
          <w:spacing w:val="6"/>
          <w:sz w:val="20"/>
          <w:szCs w:val="20"/>
        </w:rPr>
        <w:t>证明，监理人有权随时检查。监理人认为有必</w:t>
      </w:r>
      <w:r>
        <w:rPr>
          <w:rFonts w:ascii="宋体" w:hAnsi="宋体" w:eastAsia="宋体" w:cs="宋体"/>
          <w:spacing w:val="8"/>
          <w:sz w:val="20"/>
          <w:szCs w:val="20"/>
        </w:rPr>
        <w:t>要时，可进行现场考核。</w:t>
      </w:r>
    </w:p>
    <w:p w14:paraId="7D2B39AB">
      <w:pPr>
        <w:pStyle w:val="2"/>
        <w:spacing w:before="1" w:line="220" w:lineRule="auto"/>
        <w:rPr>
          <w:sz w:val="24"/>
          <w:szCs w:val="24"/>
        </w:rPr>
      </w:pPr>
      <w:r>
        <w:rPr>
          <w:rFonts w:ascii="Times New Roman" w:hAnsi="Times New Roman" w:eastAsia="Times New Roman" w:cs="Times New Roman"/>
          <w:spacing w:val="-1"/>
          <w:sz w:val="24"/>
          <w:szCs w:val="24"/>
        </w:rPr>
        <w:t xml:space="preserve">4.7  </w:t>
      </w:r>
      <w:r>
        <w:rPr>
          <w:spacing w:val="-1"/>
          <w:sz w:val="24"/>
          <w:szCs w:val="24"/>
        </w:rPr>
        <w:t>撤换承包人项目经理和其他人员</w:t>
      </w:r>
    </w:p>
    <w:p w14:paraId="715AD38C">
      <w:pPr>
        <w:spacing w:before="137" w:line="358" w:lineRule="auto"/>
        <w:ind w:left="7" w:firstLine="416"/>
        <w:rPr>
          <w:rFonts w:ascii="宋体" w:hAnsi="宋体" w:eastAsia="宋体" w:cs="宋体"/>
          <w:sz w:val="20"/>
          <w:szCs w:val="20"/>
        </w:rPr>
      </w:pPr>
      <w:r>
        <w:rPr>
          <w:rFonts w:ascii="宋体" w:hAnsi="宋体" w:eastAsia="宋体" w:cs="宋体"/>
          <w:spacing w:val="10"/>
          <w:sz w:val="20"/>
          <w:szCs w:val="20"/>
        </w:rPr>
        <w:t>承包人应对其项目经理和其他人员进行有效管理。监理人要求撤换不</w:t>
      </w:r>
      <w:r>
        <w:rPr>
          <w:rFonts w:ascii="宋体" w:hAnsi="宋体" w:eastAsia="宋体" w:cs="宋体"/>
          <w:spacing w:val="9"/>
          <w:sz w:val="20"/>
          <w:szCs w:val="20"/>
        </w:rPr>
        <w:t>能胜任本职工作、行为不端或玩忽职守的承包人项目经理和其他人员的，承包人应予以撤换。</w:t>
      </w:r>
    </w:p>
    <w:p w14:paraId="5ED3489C">
      <w:pPr>
        <w:pStyle w:val="2"/>
        <w:spacing w:before="1" w:line="220" w:lineRule="auto"/>
        <w:rPr>
          <w:sz w:val="24"/>
          <w:szCs w:val="24"/>
        </w:rPr>
      </w:pPr>
      <w:r>
        <w:rPr>
          <w:rFonts w:ascii="Times New Roman" w:hAnsi="Times New Roman" w:eastAsia="Times New Roman" w:cs="Times New Roman"/>
          <w:spacing w:val="-1"/>
          <w:sz w:val="24"/>
          <w:szCs w:val="24"/>
        </w:rPr>
        <w:t xml:space="preserve">4.8  </w:t>
      </w:r>
      <w:r>
        <w:rPr>
          <w:spacing w:val="-1"/>
          <w:sz w:val="24"/>
          <w:szCs w:val="24"/>
        </w:rPr>
        <w:t>保障承包人人员的合法权益</w:t>
      </w:r>
    </w:p>
    <w:p w14:paraId="3CBAEBA4">
      <w:pPr>
        <w:spacing w:before="137" w:line="228" w:lineRule="auto"/>
        <w:ind w:left="419"/>
        <w:rPr>
          <w:rFonts w:ascii="宋体" w:hAnsi="宋体" w:eastAsia="宋体" w:cs="宋体"/>
          <w:sz w:val="20"/>
          <w:szCs w:val="20"/>
        </w:rPr>
      </w:pPr>
      <w:r>
        <w:rPr>
          <w:rFonts w:ascii="Times New Roman" w:hAnsi="Times New Roman" w:eastAsia="Times New Roman" w:cs="Times New Roman"/>
          <w:spacing w:val="7"/>
          <w:sz w:val="20"/>
          <w:szCs w:val="20"/>
        </w:rPr>
        <w:t>4.8.</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承包人应与其雇佣的人员签订劳动合同，并按时发放工资。</w:t>
      </w:r>
    </w:p>
    <w:p w14:paraId="14D57768">
      <w:pPr>
        <w:spacing w:before="155" w:line="369" w:lineRule="auto"/>
        <w:ind w:left="3" w:firstLine="416"/>
        <w:rPr>
          <w:rFonts w:ascii="宋体" w:hAnsi="宋体" w:eastAsia="宋体" w:cs="宋体"/>
          <w:sz w:val="20"/>
          <w:szCs w:val="20"/>
        </w:rPr>
      </w:pPr>
      <w:r>
        <w:rPr>
          <w:rFonts w:ascii="Times New Roman" w:hAnsi="Times New Roman" w:eastAsia="Times New Roman" w:cs="Times New Roman"/>
          <w:spacing w:val="7"/>
          <w:sz w:val="20"/>
          <w:szCs w:val="20"/>
        </w:rPr>
        <w:t xml:space="preserve">4.8.2  </w:t>
      </w:r>
      <w:r>
        <w:rPr>
          <w:rFonts w:ascii="宋体" w:hAnsi="宋体" w:eastAsia="宋体" w:cs="宋体"/>
          <w:spacing w:val="7"/>
          <w:sz w:val="20"/>
          <w:szCs w:val="20"/>
        </w:rPr>
        <w:t>承包人应按劳动法的规定安排工作时</w:t>
      </w:r>
      <w:r>
        <w:rPr>
          <w:rFonts w:ascii="宋体" w:hAnsi="宋体" w:eastAsia="宋体" w:cs="宋体"/>
          <w:spacing w:val="6"/>
          <w:sz w:val="20"/>
          <w:szCs w:val="20"/>
        </w:rPr>
        <w:t>间，保证其雇佣人员享有休息和休假的权利。因工</w:t>
      </w:r>
      <w:r>
        <w:rPr>
          <w:rFonts w:ascii="宋体" w:hAnsi="宋体" w:eastAsia="宋体" w:cs="宋体"/>
          <w:spacing w:val="10"/>
          <w:sz w:val="20"/>
          <w:szCs w:val="20"/>
        </w:rPr>
        <w:t>程施工的特殊需要占用休假日或延长工作时间的，应不超过法律规定的限度</w:t>
      </w:r>
      <w:r>
        <w:rPr>
          <w:rFonts w:ascii="宋体" w:hAnsi="宋体" w:eastAsia="宋体" w:cs="宋体"/>
          <w:spacing w:val="9"/>
          <w:sz w:val="20"/>
          <w:szCs w:val="20"/>
        </w:rPr>
        <w:t>，并按法律规定给予</w:t>
      </w:r>
      <w:r>
        <w:rPr>
          <w:rFonts w:ascii="宋体" w:hAnsi="宋体" w:eastAsia="宋体" w:cs="宋体"/>
          <w:spacing w:val="6"/>
          <w:sz w:val="20"/>
          <w:szCs w:val="20"/>
        </w:rPr>
        <w:t>补休或付酬。</w:t>
      </w:r>
    </w:p>
    <w:p w14:paraId="1F5AC6D7">
      <w:pPr>
        <w:spacing w:before="1" w:line="368" w:lineRule="auto"/>
        <w:ind w:left="5" w:right="2" w:firstLine="414"/>
        <w:rPr>
          <w:rFonts w:ascii="宋体" w:hAnsi="宋体" w:eastAsia="宋体" w:cs="宋体"/>
          <w:sz w:val="20"/>
          <w:szCs w:val="20"/>
        </w:rPr>
      </w:pPr>
      <w:r>
        <w:rPr>
          <w:rFonts w:ascii="Times New Roman" w:hAnsi="Times New Roman" w:eastAsia="Times New Roman" w:cs="Times New Roman"/>
          <w:spacing w:val="10"/>
          <w:sz w:val="20"/>
          <w:szCs w:val="20"/>
        </w:rPr>
        <w:t xml:space="preserve">4.8.3  </w:t>
      </w:r>
      <w:r>
        <w:rPr>
          <w:rFonts w:ascii="宋体" w:hAnsi="宋体" w:eastAsia="宋体" w:cs="宋体"/>
          <w:spacing w:val="10"/>
          <w:sz w:val="20"/>
          <w:szCs w:val="20"/>
        </w:rPr>
        <w:t>承包人应为其雇佣人员提供必要的食宿条件，</w:t>
      </w:r>
      <w:r>
        <w:rPr>
          <w:rFonts w:ascii="宋体" w:hAnsi="宋体" w:eastAsia="宋体" w:cs="宋体"/>
          <w:spacing w:val="-47"/>
          <w:sz w:val="20"/>
          <w:szCs w:val="20"/>
        </w:rPr>
        <w:t xml:space="preserve"> </w:t>
      </w:r>
      <w:r>
        <w:rPr>
          <w:rFonts w:ascii="宋体" w:hAnsi="宋体" w:eastAsia="宋体" w:cs="宋体"/>
          <w:spacing w:val="10"/>
          <w:sz w:val="20"/>
          <w:szCs w:val="20"/>
        </w:rPr>
        <w:t>以及符合环境保护和卫生要求的生活环</w:t>
      </w:r>
      <w:r>
        <w:rPr>
          <w:rFonts w:ascii="宋体" w:hAnsi="宋体" w:eastAsia="宋体" w:cs="宋体"/>
          <w:spacing w:val="9"/>
          <w:sz w:val="20"/>
          <w:szCs w:val="20"/>
        </w:rPr>
        <w:t>境，在远离城镇的施工场地，还应配备必要的伤病防治和急救的医务人员与医疗设施。</w:t>
      </w:r>
    </w:p>
    <w:p w14:paraId="48E879DC">
      <w:pPr>
        <w:spacing w:before="1" w:line="369" w:lineRule="auto"/>
        <w:ind w:left="4" w:firstLine="415"/>
        <w:rPr>
          <w:rFonts w:ascii="宋体" w:hAnsi="宋体" w:eastAsia="宋体" w:cs="宋体"/>
          <w:sz w:val="20"/>
          <w:szCs w:val="20"/>
        </w:rPr>
      </w:pPr>
      <w:r>
        <w:rPr>
          <w:rFonts w:ascii="Times New Roman" w:hAnsi="Times New Roman" w:eastAsia="Times New Roman" w:cs="Times New Roman"/>
          <w:spacing w:val="7"/>
          <w:sz w:val="20"/>
          <w:szCs w:val="20"/>
        </w:rPr>
        <w:t xml:space="preserve">4.8.4  </w:t>
      </w:r>
      <w:r>
        <w:rPr>
          <w:rFonts w:ascii="宋体" w:hAnsi="宋体" w:eastAsia="宋体" w:cs="宋体"/>
          <w:spacing w:val="7"/>
          <w:sz w:val="20"/>
          <w:szCs w:val="20"/>
        </w:rPr>
        <w:t>承包人应按国家有关劳动保护的规定</w:t>
      </w:r>
      <w:r>
        <w:rPr>
          <w:rFonts w:ascii="宋体" w:hAnsi="宋体" w:eastAsia="宋体" w:cs="宋体"/>
          <w:spacing w:val="6"/>
          <w:sz w:val="20"/>
          <w:szCs w:val="20"/>
        </w:rPr>
        <w:t>，采取有效的防止粉尘、降低噪声、控制有害气体</w:t>
      </w:r>
      <w:r>
        <w:rPr>
          <w:rFonts w:ascii="宋体" w:hAnsi="宋体" w:eastAsia="宋体" w:cs="宋体"/>
          <w:spacing w:val="10"/>
          <w:sz w:val="20"/>
          <w:szCs w:val="20"/>
        </w:rPr>
        <w:t>和保障高温、高寒、高空作业安全等劳动保护措施。其雇佣人员在施工中</w:t>
      </w:r>
      <w:r>
        <w:rPr>
          <w:rFonts w:ascii="宋体" w:hAnsi="宋体" w:eastAsia="宋体" w:cs="宋体"/>
          <w:spacing w:val="9"/>
          <w:sz w:val="20"/>
          <w:szCs w:val="20"/>
        </w:rPr>
        <w:t>受到伤害的，承包人应</w:t>
      </w:r>
      <w:r>
        <w:rPr>
          <w:rFonts w:ascii="宋体" w:hAnsi="宋体" w:eastAsia="宋体" w:cs="宋体"/>
          <w:spacing w:val="8"/>
          <w:sz w:val="20"/>
          <w:szCs w:val="20"/>
        </w:rPr>
        <w:t>立即采取有效措施进行抢救和治疗。</w:t>
      </w:r>
    </w:p>
    <w:p w14:paraId="7EB84385">
      <w:pPr>
        <w:spacing w:before="1" w:line="227" w:lineRule="auto"/>
        <w:ind w:left="419"/>
        <w:rPr>
          <w:rFonts w:ascii="宋体" w:hAnsi="宋体" w:eastAsia="宋体" w:cs="宋体"/>
          <w:sz w:val="20"/>
          <w:szCs w:val="20"/>
        </w:rPr>
      </w:pPr>
      <w:r>
        <w:rPr>
          <w:rFonts w:ascii="Times New Roman" w:hAnsi="Times New Roman" w:eastAsia="Times New Roman" w:cs="Times New Roman"/>
          <w:spacing w:val="8"/>
          <w:sz w:val="20"/>
          <w:szCs w:val="20"/>
        </w:rPr>
        <w:t xml:space="preserve">4.8.5  </w:t>
      </w:r>
      <w:r>
        <w:rPr>
          <w:rFonts w:ascii="宋体" w:hAnsi="宋体" w:eastAsia="宋体" w:cs="宋体"/>
          <w:spacing w:val="8"/>
          <w:sz w:val="20"/>
          <w:szCs w:val="20"/>
        </w:rPr>
        <w:t>承包人应按有关法律规定和合同约定，为其雇佣人员办理保险。</w:t>
      </w:r>
    </w:p>
    <w:p w14:paraId="13022D01">
      <w:pPr>
        <w:spacing w:before="154" w:line="228" w:lineRule="auto"/>
        <w:ind w:left="419"/>
        <w:rPr>
          <w:rFonts w:ascii="宋体" w:hAnsi="宋体" w:eastAsia="宋体" w:cs="宋体"/>
          <w:sz w:val="20"/>
          <w:szCs w:val="20"/>
        </w:rPr>
      </w:pPr>
      <w:r>
        <w:rPr>
          <w:rFonts w:ascii="Times New Roman" w:hAnsi="Times New Roman" w:eastAsia="Times New Roman" w:cs="Times New Roman"/>
          <w:spacing w:val="8"/>
          <w:sz w:val="20"/>
          <w:szCs w:val="20"/>
        </w:rPr>
        <w:t xml:space="preserve">4.8.6  </w:t>
      </w:r>
      <w:r>
        <w:rPr>
          <w:rFonts w:ascii="宋体" w:hAnsi="宋体" w:eastAsia="宋体" w:cs="宋体"/>
          <w:spacing w:val="8"/>
          <w:sz w:val="20"/>
          <w:szCs w:val="20"/>
        </w:rPr>
        <w:t>承包人应负责处理其雇佣人员因工伤亡事故的善后事宜。</w:t>
      </w:r>
    </w:p>
    <w:p w14:paraId="0616EDD2">
      <w:pPr>
        <w:pStyle w:val="2"/>
        <w:spacing w:before="127" w:line="222" w:lineRule="auto"/>
        <w:rPr>
          <w:sz w:val="24"/>
          <w:szCs w:val="24"/>
        </w:rPr>
      </w:pPr>
      <w:r>
        <w:rPr>
          <w:rFonts w:ascii="Times New Roman" w:hAnsi="Times New Roman" w:eastAsia="Times New Roman" w:cs="Times New Roman"/>
          <w:spacing w:val="-1"/>
          <w:sz w:val="24"/>
          <w:szCs w:val="24"/>
        </w:rPr>
        <w:t xml:space="preserve">4.9  </w:t>
      </w:r>
      <w:r>
        <w:rPr>
          <w:spacing w:val="-1"/>
          <w:sz w:val="24"/>
          <w:szCs w:val="24"/>
        </w:rPr>
        <w:t>工程价款应专款专用</w:t>
      </w:r>
    </w:p>
    <w:p w14:paraId="2C8BCB12">
      <w:pPr>
        <w:spacing w:before="137" w:line="226" w:lineRule="auto"/>
        <w:ind w:left="427"/>
        <w:rPr>
          <w:rFonts w:ascii="宋体" w:hAnsi="宋体" w:eastAsia="宋体" w:cs="宋体"/>
          <w:sz w:val="20"/>
          <w:szCs w:val="20"/>
        </w:rPr>
      </w:pPr>
      <w:r>
        <w:rPr>
          <w:rFonts w:ascii="宋体" w:hAnsi="宋体" w:eastAsia="宋体" w:cs="宋体"/>
          <w:spacing w:val="9"/>
          <w:sz w:val="20"/>
          <w:szCs w:val="20"/>
        </w:rPr>
        <w:t>发包人按合同约定支付给承包人的各项价款应专用于合同工程。</w:t>
      </w:r>
    </w:p>
    <w:p w14:paraId="05A6844B">
      <w:pPr>
        <w:pStyle w:val="2"/>
        <w:spacing w:before="128" w:line="222" w:lineRule="auto"/>
        <w:rPr>
          <w:sz w:val="24"/>
          <w:szCs w:val="24"/>
        </w:rPr>
      </w:pPr>
      <w:r>
        <w:rPr>
          <w:rFonts w:ascii="Times New Roman" w:hAnsi="Times New Roman" w:eastAsia="Times New Roman" w:cs="Times New Roman"/>
          <w:spacing w:val="-1"/>
          <w:sz w:val="24"/>
          <w:szCs w:val="24"/>
        </w:rPr>
        <w:t xml:space="preserve">4.10  </w:t>
      </w:r>
      <w:r>
        <w:rPr>
          <w:spacing w:val="-1"/>
          <w:sz w:val="24"/>
          <w:szCs w:val="24"/>
        </w:rPr>
        <w:t>承包人现场查勘</w:t>
      </w:r>
    </w:p>
    <w:p w14:paraId="2AD90977">
      <w:pPr>
        <w:spacing w:before="140" w:line="369" w:lineRule="auto"/>
        <w:ind w:left="12" w:right="2" w:firstLine="407"/>
        <w:rPr>
          <w:rFonts w:ascii="宋体" w:hAnsi="宋体" w:eastAsia="宋体" w:cs="宋体"/>
          <w:sz w:val="20"/>
          <w:szCs w:val="20"/>
        </w:rPr>
      </w:pPr>
      <w:r>
        <w:rPr>
          <w:rFonts w:ascii="Times New Roman" w:hAnsi="Times New Roman" w:eastAsia="Times New Roman" w:cs="Times New Roman"/>
          <w:spacing w:val="9"/>
          <w:sz w:val="20"/>
          <w:szCs w:val="20"/>
        </w:rPr>
        <w:t xml:space="preserve">4.10.1  </w:t>
      </w:r>
      <w:r>
        <w:rPr>
          <w:rFonts w:ascii="宋体" w:hAnsi="宋体" w:eastAsia="宋体" w:cs="宋体"/>
          <w:spacing w:val="9"/>
          <w:sz w:val="20"/>
          <w:szCs w:val="20"/>
        </w:rPr>
        <w:t>发包人应将其持有的现场地质勘探资料、水文气象资料提</w:t>
      </w:r>
      <w:r>
        <w:rPr>
          <w:rFonts w:ascii="宋体" w:hAnsi="宋体" w:eastAsia="宋体" w:cs="宋体"/>
          <w:spacing w:val="8"/>
          <w:sz w:val="20"/>
          <w:szCs w:val="20"/>
        </w:rPr>
        <w:t>供给承包人，并对其准确性</w:t>
      </w:r>
      <w:r>
        <w:rPr>
          <w:rFonts w:ascii="宋体" w:hAnsi="宋体" w:eastAsia="宋体" w:cs="宋体"/>
          <w:spacing w:val="9"/>
          <w:sz w:val="20"/>
          <w:szCs w:val="20"/>
        </w:rPr>
        <w:t>负责。但承包人应对其阅读上述有关资料后所作出的解释和推断负责。</w:t>
      </w:r>
    </w:p>
    <w:p w14:paraId="20442B1F">
      <w:pPr>
        <w:spacing w:line="361" w:lineRule="auto"/>
        <w:ind w:left="5" w:firstLine="413"/>
        <w:rPr>
          <w:rFonts w:ascii="宋体" w:hAnsi="宋体" w:eastAsia="宋体" w:cs="宋体"/>
          <w:sz w:val="20"/>
          <w:szCs w:val="20"/>
        </w:rPr>
      </w:pPr>
      <w:r>
        <w:rPr>
          <w:rFonts w:ascii="Times New Roman" w:hAnsi="Times New Roman" w:eastAsia="Times New Roman" w:cs="Times New Roman"/>
          <w:spacing w:val="9"/>
          <w:sz w:val="20"/>
          <w:szCs w:val="20"/>
        </w:rPr>
        <w:t xml:space="preserve">4.10.2  </w:t>
      </w:r>
      <w:r>
        <w:rPr>
          <w:rFonts w:ascii="宋体" w:hAnsi="宋体" w:eastAsia="宋体" w:cs="宋体"/>
          <w:spacing w:val="9"/>
          <w:sz w:val="20"/>
          <w:szCs w:val="20"/>
        </w:rPr>
        <w:t>承包人应对施工场地和周围环境进行查勘，并收集有关地</w:t>
      </w:r>
      <w:r>
        <w:rPr>
          <w:rFonts w:ascii="宋体" w:hAnsi="宋体" w:eastAsia="宋体" w:cs="宋体"/>
          <w:spacing w:val="8"/>
          <w:sz w:val="20"/>
          <w:szCs w:val="20"/>
        </w:rPr>
        <w:t>质、水文、气象条件、交通</w:t>
      </w:r>
      <w:r>
        <w:rPr>
          <w:rFonts w:ascii="宋体" w:hAnsi="宋体" w:eastAsia="宋体" w:cs="宋体"/>
          <w:spacing w:val="10"/>
          <w:sz w:val="20"/>
          <w:szCs w:val="20"/>
        </w:rPr>
        <w:t>条件、风俗习惯以及其他为完成合同工作有关的当地资料。在全部合同</w:t>
      </w:r>
      <w:r>
        <w:rPr>
          <w:rFonts w:ascii="宋体" w:hAnsi="宋体" w:eastAsia="宋体" w:cs="宋体"/>
          <w:spacing w:val="9"/>
          <w:sz w:val="20"/>
          <w:szCs w:val="20"/>
        </w:rPr>
        <w:t>工作中，应视为承包人已</w:t>
      </w:r>
      <w:r>
        <w:rPr>
          <w:rFonts w:ascii="宋体" w:hAnsi="宋体" w:eastAsia="宋体" w:cs="宋体"/>
          <w:spacing w:val="8"/>
          <w:sz w:val="20"/>
          <w:szCs w:val="20"/>
        </w:rPr>
        <w:t>充分估计了应承担的责任和风险。</w:t>
      </w:r>
    </w:p>
    <w:p w14:paraId="318C22D2">
      <w:pPr>
        <w:pStyle w:val="2"/>
        <w:spacing w:line="221" w:lineRule="auto"/>
        <w:rPr>
          <w:sz w:val="24"/>
          <w:szCs w:val="24"/>
        </w:rPr>
      </w:pPr>
      <w:r>
        <w:rPr>
          <w:rFonts w:ascii="Times New Roman" w:hAnsi="Times New Roman" w:eastAsia="Times New Roman" w:cs="Times New Roman"/>
          <w:spacing w:val="-2"/>
          <w:sz w:val="24"/>
          <w:szCs w:val="24"/>
        </w:rPr>
        <w:t xml:space="preserve">4.11  </w:t>
      </w:r>
      <w:r>
        <w:rPr>
          <w:spacing w:val="-2"/>
          <w:sz w:val="24"/>
          <w:szCs w:val="24"/>
        </w:rPr>
        <w:t>不利物质条件</w:t>
      </w:r>
    </w:p>
    <w:p w14:paraId="3E1B9E70">
      <w:pPr>
        <w:spacing w:before="139" w:line="369" w:lineRule="auto"/>
        <w:ind w:left="21" w:firstLine="398"/>
        <w:rPr>
          <w:rFonts w:ascii="宋体" w:hAnsi="宋体" w:eastAsia="宋体" w:cs="宋体"/>
          <w:sz w:val="20"/>
          <w:szCs w:val="20"/>
        </w:rPr>
      </w:pPr>
      <w:r>
        <w:rPr>
          <w:rFonts w:ascii="Times New Roman" w:hAnsi="Times New Roman" w:eastAsia="Times New Roman" w:cs="Times New Roman"/>
          <w:spacing w:val="8"/>
          <w:sz w:val="20"/>
          <w:szCs w:val="20"/>
        </w:rPr>
        <w:t>4.</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8"/>
          <w:sz w:val="20"/>
          <w:szCs w:val="20"/>
        </w:rPr>
        <w:t xml:space="preserve">11.1  </w:t>
      </w:r>
      <w:r>
        <w:rPr>
          <w:rFonts w:ascii="宋体" w:hAnsi="宋体" w:eastAsia="宋体" w:cs="宋体"/>
          <w:spacing w:val="8"/>
          <w:sz w:val="20"/>
          <w:szCs w:val="20"/>
        </w:rPr>
        <w:t>不利物质条件，除专用合同条款另有约定外，是指承包人在施工场地遇到的不可预见</w:t>
      </w:r>
      <w:r>
        <w:rPr>
          <w:rFonts w:ascii="宋体" w:hAnsi="宋体" w:eastAsia="宋体" w:cs="宋体"/>
          <w:spacing w:val="9"/>
          <w:sz w:val="20"/>
          <w:szCs w:val="20"/>
        </w:rPr>
        <w:t>的自然物质条件、非自然的物质障碍和污染物，包括地下和水文条件，但不包括气候条件。</w:t>
      </w:r>
    </w:p>
    <w:p w14:paraId="74C956EA">
      <w:pPr>
        <w:spacing w:before="2" w:line="369" w:lineRule="auto"/>
        <w:ind w:left="4" w:firstLine="415"/>
        <w:rPr>
          <w:rFonts w:ascii="宋体" w:hAnsi="宋体" w:eastAsia="宋体" w:cs="宋体"/>
          <w:sz w:val="20"/>
          <w:szCs w:val="20"/>
        </w:rPr>
      </w:pPr>
      <w:r>
        <w:rPr>
          <w:rFonts w:ascii="Times New Roman" w:hAnsi="Times New Roman" w:eastAsia="Times New Roman" w:cs="Times New Roman"/>
          <w:spacing w:val="8"/>
          <w:sz w:val="20"/>
          <w:szCs w:val="20"/>
        </w:rPr>
        <w:t>4.</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8"/>
          <w:sz w:val="20"/>
          <w:szCs w:val="20"/>
        </w:rPr>
        <w:t xml:space="preserve">11.2  </w:t>
      </w:r>
      <w:r>
        <w:rPr>
          <w:rFonts w:ascii="宋体" w:hAnsi="宋体" w:eastAsia="宋体" w:cs="宋体"/>
          <w:spacing w:val="8"/>
          <w:sz w:val="20"/>
          <w:szCs w:val="20"/>
        </w:rPr>
        <w:t>承包人遇到不利物质条件时，应采取适应不利物质条件的合理措施继续施工，并及时</w:t>
      </w:r>
      <w:r>
        <w:rPr>
          <w:rFonts w:ascii="宋体" w:hAnsi="宋体" w:eastAsia="宋体" w:cs="宋体"/>
          <w:spacing w:val="6"/>
          <w:sz w:val="20"/>
          <w:szCs w:val="20"/>
        </w:rPr>
        <w:t>通知监理人。监理人应当及时发出指示，指示构成变更的，按第</w:t>
      </w:r>
      <w:r>
        <w:rPr>
          <w:rFonts w:ascii="宋体" w:hAnsi="宋体" w:eastAsia="宋体" w:cs="宋体"/>
          <w:spacing w:val="-3"/>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条约定办理。监理人没有发出</w:t>
      </w:r>
      <w:r>
        <w:rPr>
          <w:rFonts w:ascii="宋体" w:hAnsi="宋体" w:eastAsia="宋体" w:cs="宋体"/>
          <w:spacing w:val="9"/>
          <w:sz w:val="20"/>
          <w:szCs w:val="20"/>
        </w:rPr>
        <w:t>指示的，承包人因采取合理措施而增加的费用和（或）工期延误，由发包人承担。</w:t>
      </w:r>
    </w:p>
    <w:p w14:paraId="6204C157">
      <w:pPr>
        <w:spacing w:line="369" w:lineRule="auto"/>
        <w:rPr>
          <w:rFonts w:ascii="宋体" w:hAnsi="宋体" w:eastAsia="宋体" w:cs="宋体"/>
          <w:sz w:val="20"/>
          <w:szCs w:val="20"/>
        </w:rPr>
        <w:sectPr>
          <w:footerReference r:id="rId170" w:type="default"/>
          <w:pgSz w:w="11906" w:h="16839"/>
          <w:pgMar w:top="400" w:right="1554" w:bottom="1038" w:left="1535" w:header="0" w:footer="787" w:gutter="0"/>
          <w:cols w:space="720" w:num="1"/>
        </w:sectPr>
      </w:pPr>
    </w:p>
    <w:p w14:paraId="06A1026B">
      <w:pPr>
        <w:spacing w:line="250" w:lineRule="auto"/>
        <w:rPr>
          <w:rFonts w:ascii="Arial"/>
          <w:sz w:val="21"/>
        </w:rPr>
      </w:pPr>
    </w:p>
    <w:p w14:paraId="7CAAA364">
      <w:pPr>
        <w:spacing w:line="250" w:lineRule="auto"/>
        <w:rPr>
          <w:rFonts w:ascii="Arial"/>
          <w:sz w:val="21"/>
        </w:rPr>
      </w:pPr>
    </w:p>
    <w:p w14:paraId="6CC0BB80">
      <w:pPr>
        <w:spacing w:line="250" w:lineRule="auto"/>
        <w:rPr>
          <w:rFonts w:ascii="Arial"/>
          <w:sz w:val="21"/>
        </w:rPr>
      </w:pPr>
    </w:p>
    <w:p w14:paraId="7FD7F568">
      <w:pPr>
        <w:spacing w:line="250" w:lineRule="auto"/>
        <w:rPr>
          <w:rFonts w:ascii="Arial"/>
          <w:sz w:val="21"/>
        </w:rPr>
      </w:pPr>
    </w:p>
    <w:p w14:paraId="57AFBE66">
      <w:pPr>
        <w:pStyle w:val="2"/>
        <w:spacing w:before="91" w:line="222" w:lineRule="auto"/>
        <w:ind w:left="5"/>
        <w:outlineLvl w:val="2"/>
        <w:rPr>
          <w:sz w:val="28"/>
          <w:szCs w:val="28"/>
        </w:rPr>
      </w:pPr>
      <w:bookmarkStart w:id="218" w:name="bookmark199"/>
      <w:bookmarkEnd w:id="218"/>
      <w:r>
        <w:rPr>
          <w:rFonts w:ascii="Times New Roman" w:hAnsi="Times New Roman" w:eastAsia="Times New Roman" w:cs="Times New Roman"/>
          <w:spacing w:val="-2"/>
          <w:sz w:val="28"/>
          <w:szCs w:val="28"/>
        </w:rPr>
        <w:t xml:space="preserve">5.  </w:t>
      </w:r>
      <w:r>
        <w:rPr>
          <w:spacing w:val="-2"/>
          <w:sz w:val="28"/>
          <w:szCs w:val="28"/>
        </w:rPr>
        <w:t>材料和工程设备</w:t>
      </w:r>
    </w:p>
    <w:p w14:paraId="720C3D35">
      <w:pPr>
        <w:pStyle w:val="2"/>
        <w:spacing w:before="98" w:line="222" w:lineRule="auto"/>
        <w:ind w:left="3"/>
        <w:rPr>
          <w:sz w:val="24"/>
          <w:szCs w:val="24"/>
        </w:rPr>
      </w:pPr>
      <w:r>
        <w:rPr>
          <w:rFonts w:ascii="Times New Roman" w:hAnsi="Times New Roman" w:eastAsia="Times New Roman" w:cs="Times New Roman"/>
          <w:spacing w:val="-1"/>
          <w:sz w:val="24"/>
          <w:szCs w:val="24"/>
        </w:rPr>
        <w:t xml:space="preserve">5.1  </w:t>
      </w:r>
      <w:r>
        <w:rPr>
          <w:spacing w:val="-1"/>
          <w:sz w:val="24"/>
          <w:szCs w:val="24"/>
        </w:rPr>
        <w:t>承包人提供的材料和工程设备</w:t>
      </w:r>
    </w:p>
    <w:p w14:paraId="2B7DDF14">
      <w:pPr>
        <w:spacing w:before="136" w:line="369" w:lineRule="auto"/>
        <w:ind w:right="73" w:firstLine="421"/>
        <w:rPr>
          <w:rFonts w:ascii="宋体" w:hAnsi="宋体" w:eastAsia="宋体" w:cs="宋体"/>
          <w:sz w:val="20"/>
          <w:szCs w:val="20"/>
        </w:rPr>
      </w:pPr>
      <w:r>
        <w:rPr>
          <w:rFonts w:ascii="Times New Roman" w:hAnsi="Times New Roman" w:eastAsia="Times New Roman" w:cs="Times New Roman"/>
          <w:spacing w:val="5"/>
          <w:sz w:val="20"/>
          <w:szCs w:val="20"/>
        </w:rPr>
        <w:t>5.</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除专用合同条款另有约定外，承包人提供的材料和工程设备均由承包人负责采购、运输</w:t>
      </w:r>
      <w:r>
        <w:rPr>
          <w:rFonts w:ascii="宋体" w:hAnsi="宋体" w:eastAsia="宋体" w:cs="宋体"/>
          <w:spacing w:val="9"/>
          <w:sz w:val="20"/>
          <w:szCs w:val="20"/>
        </w:rPr>
        <w:t>和保管。承包人应对其采购的材料和工程设备负责。</w:t>
      </w:r>
    </w:p>
    <w:p w14:paraId="749779F8">
      <w:pPr>
        <w:spacing w:line="369" w:lineRule="auto"/>
        <w:ind w:right="71" w:firstLine="421"/>
        <w:rPr>
          <w:rFonts w:ascii="宋体" w:hAnsi="宋体" w:eastAsia="宋体" w:cs="宋体"/>
          <w:sz w:val="20"/>
          <w:szCs w:val="20"/>
        </w:rPr>
      </w:pPr>
      <w:r>
        <w:rPr>
          <w:rFonts w:ascii="Times New Roman" w:hAnsi="Times New Roman" w:eastAsia="Times New Roman" w:cs="Times New Roman"/>
          <w:spacing w:val="6"/>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  </w:t>
      </w:r>
      <w:r>
        <w:rPr>
          <w:rFonts w:ascii="宋体" w:hAnsi="宋体" w:eastAsia="宋体" w:cs="宋体"/>
          <w:spacing w:val="6"/>
          <w:sz w:val="20"/>
          <w:szCs w:val="20"/>
        </w:rPr>
        <w:t>承包人应按专用合同条款的约定，将各项材料和工程设备的供货人</w:t>
      </w:r>
      <w:r>
        <w:rPr>
          <w:rFonts w:ascii="宋体" w:hAnsi="宋体" w:eastAsia="宋体" w:cs="宋体"/>
          <w:spacing w:val="5"/>
          <w:sz w:val="20"/>
          <w:szCs w:val="20"/>
        </w:rPr>
        <w:t>及品种、规格、数量</w:t>
      </w:r>
      <w:r>
        <w:rPr>
          <w:rFonts w:ascii="宋体" w:hAnsi="宋体" w:eastAsia="宋体" w:cs="宋体"/>
          <w:spacing w:val="10"/>
          <w:sz w:val="20"/>
          <w:szCs w:val="20"/>
        </w:rPr>
        <w:t>和供货时间等报送监理人审批。承包人应向监理人提交其负责提供的材</w:t>
      </w:r>
      <w:r>
        <w:rPr>
          <w:rFonts w:ascii="宋体" w:hAnsi="宋体" w:eastAsia="宋体" w:cs="宋体"/>
          <w:spacing w:val="9"/>
          <w:sz w:val="20"/>
          <w:szCs w:val="20"/>
        </w:rPr>
        <w:t>料和工程设备的质量证明</w:t>
      </w:r>
      <w:r>
        <w:rPr>
          <w:rFonts w:ascii="宋体" w:hAnsi="宋体" w:eastAsia="宋体" w:cs="宋体"/>
          <w:spacing w:val="8"/>
          <w:sz w:val="20"/>
          <w:szCs w:val="20"/>
        </w:rPr>
        <w:t>文件，并满足合同约定的质量标准。</w:t>
      </w:r>
    </w:p>
    <w:p w14:paraId="016B8727">
      <w:pPr>
        <w:spacing w:before="2" w:line="361" w:lineRule="auto"/>
        <w:ind w:right="71" w:firstLine="421"/>
        <w:rPr>
          <w:rFonts w:ascii="宋体" w:hAnsi="宋体" w:eastAsia="宋体" w:cs="宋体"/>
          <w:sz w:val="20"/>
          <w:szCs w:val="20"/>
        </w:rPr>
      </w:pPr>
      <w:r>
        <w:rPr>
          <w:rFonts w:ascii="Times New Roman" w:hAnsi="Times New Roman" w:eastAsia="Times New Roman" w:cs="Times New Roman"/>
          <w:spacing w:val="7"/>
          <w:sz w:val="20"/>
          <w:szCs w:val="20"/>
        </w:rPr>
        <w:t>5.</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 xml:space="preserve">1.3 </w:t>
      </w:r>
      <w:r>
        <w:rPr>
          <w:rFonts w:ascii="宋体" w:hAnsi="宋体" w:eastAsia="宋体" w:cs="宋体"/>
          <w:spacing w:val="7"/>
          <w:sz w:val="20"/>
          <w:szCs w:val="20"/>
        </w:rPr>
        <w:t>对承包人提供的材料和工程设备，承包人应会同监理人进行检验和交货验收，查验材料</w:t>
      </w:r>
      <w:r>
        <w:rPr>
          <w:rFonts w:ascii="宋体" w:hAnsi="宋体" w:eastAsia="宋体" w:cs="宋体"/>
          <w:spacing w:val="10"/>
          <w:sz w:val="20"/>
          <w:szCs w:val="20"/>
        </w:rPr>
        <w:t>合格证明和产品合格证书，并按合同约定和监理人指示，进行材料的抽</w:t>
      </w:r>
      <w:r>
        <w:rPr>
          <w:rFonts w:ascii="宋体" w:hAnsi="宋体" w:eastAsia="宋体" w:cs="宋体"/>
          <w:spacing w:val="9"/>
          <w:sz w:val="20"/>
          <w:szCs w:val="20"/>
        </w:rPr>
        <w:t>样检验和工程设备的检验测试，检验和测试结果应提交监理人，所需费用由承包人承担。</w:t>
      </w:r>
    </w:p>
    <w:p w14:paraId="275E3C79">
      <w:pPr>
        <w:pStyle w:val="2"/>
        <w:spacing w:before="1" w:line="220" w:lineRule="auto"/>
        <w:ind w:left="3"/>
        <w:rPr>
          <w:sz w:val="24"/>
          <w:szCs w:val="24"/>
        </w:rPr>
      </w:pPr>
      <w:r>
        <w:rPr>
          <w:rFonts w:ascii="Times New Roman" w:hAnsi="Times New Roman" w:eastAsia="Times New Roman" w:cs="Times New Roman"/>
          <w:spacing w:val="-1"/>
          <w:sz w:val="24"/>
          <w:szCs w:val="24"/>
        </w:rPr>
        <w:t xml:space="preserve">5.2  </w:t>
      </w:r>
      <w:r>
        <w:rPr>
          <w:spacing w:val="-1"/>
          <w:sz w:val="24"/>
          <w:szCs w:val="24"/>
        </w:rPr>
        <w:t>发包人提供的材料和工程设备</w:t>
      </w:r>
    </w:p>
    <w:p w14:paraId="7BA46F2F">
      <w:pPr>
        <w:spacing w:before="138" w:line="369" w:lineRule="auto"/>
        <w:ind w:left="1" w:firstLine="420"/>
        <w:rPr>
          <w:rFonts w:ascii="宋体" w:hAnsi="宋体" w:eastAsia="宋体" w:cs="宋体"/>
          <w:sz w:val="20"/>
          <w:szCs w:val="20"/>
        </w:rPr>
      </w:pPr>
      <w:r>
        <w:rPr>
          <w:rFonts w:ascii="Times New Roman" w:hAnsi="Times New Roman" w:eastAsia="Times New Roman" w:cs="Times New Roman"/>
          <w:spacing w:val="3"/>
          <w:sz w:val="20"/>
          <w:szCs w:val="20"/>
        </w:rPr>
        <w:t>5.2.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 xml:space="preserve">1  </w:t>
      </w:r>
      <w:r>
        <w:rPr>
          <w:rFonts w:ascii="宋体" w:hAnsi="宋体" w:eastAsia="宋体" w:cs="宋体"/>
          <w:spacing w:val="3"/>
          <w:sz w:val="20"/>
          <w:szCs w:val="20"/>
        </w:rPr>
        <w:t>发包人提供的材料和工程设备，应在专用合同条款中写明材料和工程设备的名称</w:t>
      </w:r>
      <w:r>
        <w:rPr>
          <w:rFonts w:ascii="宋体" w:hAnsi="宋体" w:eastAsia="宋体" w:cs="宋体"/>
          <w:spacing w:val="2"/>
          <w:sz w:val="20"/>
          <w:szCs w:val="20"/>
        </w:rPr>
        <w:t>、规格、</w:t>
      </w:r>
      <w:r>
        <w:rPr>
          <w:rFonts w:ascii="宋体" w:hAnsi="宋体" w:eastAsia="宋体" w:cs="宋体"/>
          <w:spacing w:val="9"/>
          <w:sz w:val="20"/>
          <w:szCs w:val="20"/>
        </w:rPr>
        <w:t>数量、价格、交货方式、交货地点和计划交货日期等。</w:t>
      </w:r>
    </w:p>
    <w:p w14:paraId="7D65598F">
      <w:pPr>
        <w:spacing w:before="2" w:line="369" w:lineRule="auto"/>
        <w:ind w:right="70" w:firstLine="421"/>
        <w:rPr>
          <w:rFonts w:ascii="宋体" w:hAnsi="宋体" w:eastAsia="宋体" w:cs="宋体"/>
          <w:sz w:val="20"/>
          <w:szCs w:val="20"/>
        </w:rPr>
      </w:pPr>
      <w:r>
        <w:rPr>
          <w:rFonts w:ascii="Times New Roman" w:hAnsi="Times New Roman" w:eastAsia="Times New Roman" w:cs="Times New Roman"/>
          <w:spacing w:val="7"/>
          <w:sz w:val="20"/>
          <w:szCs w:val="20"/>
        </w:rPr>
        <w:t xml:space="preserve">5.2.2  </w:t>
      </w:r>
      <w:r>
        <w:rPr>
          <w:rFonts w:ascii="宋体" w:hAnsi="宋体" w:eastAsia="宋体" w:cs="宋体"/>
          <w:spacing w:val="7"/>
          <w:sz w:val="20"/>
          <w:szCs w:val="20"/>
        </w:rPr>
        <w:t>承包人应根据合同进度计划</w:t>
      </w:r>
      <w:r>
        <w:rPr>
          <w:rFonts w:ascii="宋体" w:hAnsi="宋体" w:eastAsia="宋体" w:cs="宋体"/>
          <w:spacing w:val="6"/>
          <w:sz w:val="20"/>
          <w:szCs w:val="20"/>
        </w:rPr>
        <w:t>的安排，向监理人报送要求发包人交货的日期计划。发包人</w:t>
      </w:r>
      <w:r>
        <w:rPr>
          <w:rFonts w:ascii="宋体" w:hAnsi="宋体" w:eastAsia="宋体" w:cs="宋体"/>
          <w:spacing w:val="9"/>
          <w:sz w:val="20"/>
          <w:szCs w:val="20"/>
        </w:rPr>
        <w:t>应按照监理人与合同双方当事人商定的交货日期，向承包人提交材料和工程设备。</w:t>
      </w:r>
    </w:p>
    <w:p w14:paraId="17AE7933">
      <w:pPr>
        <w:spacing w:before="1" w:line="369" w:lineRule="auto"/>
        <w:ind w:left="1" w:right="70" w:firstLine="420"/>
        <w:rPr>
          <w:rFonts w:ascii="宋体" w:hAnsi="宋体" w:eastAsia="宋体" w:cs="宋体"/>
          <w:sz w:val="20"/>
          <w:szCs w:val="20"/>
        </w:rPr>
      </w:pPr>
      <w:r>
        <w:rPr>
          <w:rFonts w:ascii="Times New Roman" w:hAnsi="Times New Roman" w:eastAsia="Times New Roman" w:cs="Times New Roman"/>
          <w:spacing w:val="7"/>
          <w:sz w:val="20"/>
          <w:szCs w:val="20"/>
        </w:rPr>
        <w:t xml:space="preserve">5.2.3  </w:t>
      </w:r>
      <w:r>
        <w:rPr>
          <w:rFonts w:ascii="宋体" w:hAnsi="宋体" w:eastAsia="宋体" w:cs="宋体"/>
          <w:spacing w:val="7"/>
          <w:sz w:val="20"/>
          <w:szCs w:val="20"/>
        </w:rPr>
        <w:t>发包人应在材料和工程设备到货</w:t>
      </w:r>
      <w:r>
        <w:rPr>
          <w:rFonts w:ascii="Times New Roman" w:hAnsi="Times New Roman" w:eastAsia="Times New Roman" w:cs="Times New Roman"/>
          <w:spacing w:val="7"/>
          <w:sz w:val="20"/>
          <w:szCs w:val="20"/>
        </w:rPr>
        <w:t>7</w:t>
      </w:r>
      <w:r>
        <w:rPr>
          <w:rFonts w:ascii="Times New Roman" w:hAnsi="Times New Roman" w:eastAsia="Times New Roman" w:cs="Times New Roman"/>
          <w:spacing w:val="24"/>
          <w:sz w:val="20"/>
          <w:szCs w:val="20"/>
        </w:rPr>
        <w:t xml:space="preserve"> </w:t>
      </w:r>
      <w:r>
        <w:rPr>
          <w:rFonts w:ascii="宋体" w:hAnsi="宋体" w:eastAsia="宋体" w:cs="宋体"/>
          <w:spacing w:val="7"/>
          <w:sz w:val="20"/>
          <w:szCs w:val="20"/>
        </w:rPr>
        <w:t>天前通知承包人，承包人应会同监理人在约定的时间</w:t>
      </w:r>
      <w:r>
        <w:rPr>
          <w:rFonts w:ascii="宋体" w:hAnsi="宋体" w:eastAsia="宋体" w:cs="宋体"/>
          <w:spacing w:val="10"/>
          <w:sz w:val="20"/>
          <w:szCs w:val="20"/>
        </w:rPr>
        <w:t>内，赴交货地点共同进行验收。除专用合同条款另有约定外，发包人提</w:t>
      </w:r>
      <w:r>
        <w:rPr>
          <w:rFonts w:ascii="宋体" w:hAnsi="宋体" w:eastAsia="宋体" w:cs="宋体"/>
          <w:spacing w:val="9"/>
          <w:sz w:val="20"/>
          <w:szCs w:val="20"/>
        </w:rPr>
        <w:t>供的材料和工程设备验收</w:t>
      </w:r>
      <w:r>
        <w:rPr>
          <w:rFonts w:ascii="宋体" w:hAnsi="宋体" w:eastAsia="宋体" w:cs="宋体"/>
          <w:spacing w:val="6"/>
          <w:sz w:val="20"/>
          <w:szCs w:val="20"/>
        </w:rPr>
        <w:t>后，</w:t>
      </w:r>
      <w:r>
        <w:rPr>
          <w:rFonts w:ascii="宋体" w:hAnsi="宋体" w:eastAsia="宋体" w:cs="宋体"/>
          <w:spacing w:val="-56"/>
          <w:sz w:val="20"/>
          <w:szCs w:val="20"/>
        </w:rPr>
        <w:t xml:space="preserve"> </w:t>
      </w:r>
      <w:r>
        <w:rPr>
          <w:rFonts w:ascii="宋体" w:hAnsi="宋体" w:eastAsia="宋体" w:cs="宋体"/>
          <w:spacing w:val="6"/>
          <w:sz w:val="20"/>
          <w:szCs w:val="20"/>
        </w:rPr>
        <w:t>由承包人负责接收、运输和保管。</w:t>
      </w:r>
    </w:p>
    <w:p w14:paraId="6FDD0235">
      <w:pPr>
        <w:spacing w:before="2" w:line="368" w:lineRule="auto"/>
        <w:ind w:left="11" w:right="70" w:firstLine="410"/>
        <w:rPr>
          <w:rFonts w:ascii="宋体" w:hAnsi="宋体" w:eastAsia="宋体" w:cs="宋体"/>
          <w:sz w:val="20"/>
          <w:szCs w:val="20"/>
        </w:rPr>
      </w:pPr>
      <w:r>
        <w:rPr>
          <w:rFonts w:ascii="Times New Roman" w:hAnsi="Times New Roman" w:eastAsia="Times New Roman" w:cs="Times New Roman"/>
          <w:spacing w:val="7"/>
          <w:sz w:val="20"/>
          <w:szCs w:val="20"/>
        </w:rPr>
        <w:t xml:space="preserve">5.2.4  </w:t>
      </w:r>
      <w:r>
        <w:rPr>
          <w:rFonts w:ascii="宋体" w:hAnsi="宋体" w:eastAsia="宋体" w:cs="宋体"/>
          <w:spacing w:val="7"/>
          <w:sz w:val="20"/>
          <w:szCs w:val="20"/>
        </w:rPr>
        <w:t>发包人要求向承包人提前交</w:t>
      </w:r>
      <w:r>
        <w:rPr>
          <w:rFonts w:ascii="宋体" w:hAnsi="宋体" w:eastAsia="宋体" w:cs="宋体"/>
          <w:spacing w:val="6"/>
          <w:sz w:val="20"/>
          <w:szCs w:val="20"/>
        </w:rPr>
        <w:t>货的，承包人不得拒绝，但发包人应承担承包人由此增加的</w:t>
      </w:r>
      <w:r>
        <w:rPr>
          <w:rFonts w:ascii="宋体" w:hAnsi="宋体" w:eastAsia="宋体" w:cs="宋体"/>
          <w:spacing w:val="-1"/>
          <w:sz w:val="20"/>
          <w:szCs w:val="20"/>
        </w:rPr>
        <w:t>费用。</w:t>
      </w:r>
    </w:p>
    <w:p w14:paraId="0F570A29">
      <w:pPr>
        <w:spacing w:before="2" w:line="368" w:lineRule="auto"/>
        <w:ind w:left="9" w:right="70" w:firstLine="412"/>
        <w:rPr>
          <w:rFonts w:ascii="宋体" w:hAnsi="宋体" w:eastAsia="宋体" w:cs="宋体"/>
          <w:sz w:val="20"/>
          <w:szCs w:val="20"/>
        </w:rPr>
      </w:pPr>
      <w:r>
        <w:rPr>
          <w:rFonts w:ascii="Times New Roman" w:hAnsi="Times New Roman" w:eastAsia="Times New Roman" w:cs="Times New Roman"/>
          <w:spacing w:val="7"/>
          <w:sz w:val="20"/>
          <w:szCs w:val="20"/>
        </w:rPr>
        <w:t xml:space="preserve">5.2.5  </w:t>
      </w:r>
      <w:r>
        <w:rPr>
          <w:rFonts w:ascii="宋体" w:hAnsi="宋体" w:eastAsia="宋体" w:cs="宋体"/>
          <w:spacing w:val="7"/>
          <w:sz w:val="20"/>
          <w:szCs w:val="20"/>
        </w:rPr>
        <w:t>承包人要求更改交货日期或</w:t>
      </w:r>
      <w:r>
        <w:rPr>
          <w:rFonts w:ascii="宋体" w:hAnsi="宋体" w:eastAsia="宋体" w:cs="宋体"/>
          <w:spacing w:val="6"/>
          <w:sz w:val="20"/>
          <w:szCs w:val="20"/>
        </w:rPr>
        <w:t>地点的，应事先报请监理人批准。由于承包人要求更改交货</w:t>
      </w:r>
      <w:r>
        <w:rPr>
          <w:rFonts w:ascii="宋体" w:hAnsi="宋体" w:eastAsia="宋体" w:cs="宋体"/>
          <w:spacing w:val="9"/>
          <w:sz w:val="20"/>
          <w:szCs w:val="20"/>
        </w:rPr>
        <w:t>时间或地点所增加的费用和（或）工期延误由承</w:t>
      </w:r>
      <w:r>
        <w:rPr>
          <w:rFonts w:ascii="宋体" w:hAnsi="宋体" w:eastAsia="宋体" w:cs="宋体"/>
          <w:spacing w:val="8"/>
          <w:sz w:val="20"/>
          <w:szCs w:val="20"/>
        </w:rPr>
        <w:t>包人承担。</w:t>
      </w:r>
    </w:p>
    <w:p w14:paraId="477CF6E8">
      <w:pPr>
        <w:spacing w:before="2" w:line="361" w:lineRule="auto"/>
        <w:ind w:left="3" w:right="73" w:firstLine="418"/>
        <w:rPr>
          <w:rFonts w:ascii="宋体" w:hAnsi="宋体" w:eastAsia="宋体" w:cs="宋体"/>
          <w:sz w:val="20"/>
          <w:szCs w:val="20"/>
        </w:rPr>
      </w:pPr>
      <w:r>
        <w:rPr>
          <w:rFonts w:ascii="Times New Roman" w:hAnsi="Times New Roman" w:eastAsia="Times New Roman" w:cs="Times New Roman"/>
          <w:spacing w:val="6"/>
          <w:sz w:val="20"/>
          <w:szCs w:val="20"/>
        </w:rPr>
        <w:t xml:space="preserve">5.2.6  </w:t>
      </w:r>
      <w:r>
        <w:rPr>
          <w:rFonts w:ascii="宋体" w:hAnsi="宋体" w:eastAsia="宋体" w:cs="宋体"/>
          <w:spacing w:val="6"/>
          <w:sz w:val="20"/>
          <w:szCs w:val="20"/>
        </w:rPr>
        <w:t>发包人提供的材料和工程设备的规格、数量或质量不符合合同要求，或由于发包人原因</w:t>
      </w:r>
      <w:r>
        <w:rPr>
          <w:rFonts w:ascii="宋体" w:hAnsi="宋体" w:eastAsia="宋体" w:cs="宋体"/>
          <w:spacing w:val="10"/>
          <w:sz w:val="20"/>
          <w:szCs w:val="20"/>
        </w:rPr>
        <w:t>发生交货日期延误及交货地点变更等情况的，发包人应承担由</w:t>
      </w:r>
      <w:r>
        <w:rPr>
          <w:rFonts w:ascii="宋体" w:hAnsi="宋体" w:eastAsia="宋体" w:cs="宋体"/>
          <w:spacing w:val="9"/>
          <w:sz w:val="20"/>
          <w:szCs w:val="20"/>
        </w:rPr>
        <w:t>此增加的费用和（或）工期延误，</w:t>
      </w:r>
      <w:r>
        <w:rPr>
          <w:rFonts w:ascii="宋体" w:hAnsi="宋体" w:eastAsia="宋体" w:cs="宋体"/>
          <w:spacing w:val="8"/>
          <w:sz w:val="20"/>
          <w:szCs w:val="20"/>
        </w:rPr>
        <w:t>并向承包人支付合理利润。</w:t>
      </w:r>
    </w:p>
    <w:p w14:paraId="0BC3D68F">
      <w:pPr>
        <w:pStyle w:val="2"/>
        <w:spacing w:before="1" w:line="221" w:lineRule="auto"/>
        <w:ind w:left="3"/>
        <w:rPr>
          <w:sz w:val="24"/>
          <w:szCs w:val="24"/>
        </w:rPr>
      </w:pPr>
      <w:r>
        <w:rPr>
          <w:rFonts w:ascii="Times New Roman" w:hAnsi="Times New Roman" w:eastAsia="Times New Roman" w:cs="Times New Roman"/>
          <w:spacing w:val="-1"/>
          <w:sz w:val="24"/>
          <w:szCs w:val="24"/>
        </w:rPr>
        <w:t xml:space="preserve">5.3  </w:t>
      </w:r>
      <w:r>
        <w:rPr>
          <w:spacing w:val="-1"/>
          <w:sz w:val="24"/>
          <w:szCs w:val="24"/>
        </w:rPr>
        <w:t>材料和工程设备专用于合同工程</w:t>
      </w:r>
    </w:p>
    <w:p w14:paraId="03D0BF7C">
      <w:pPr>
        <w:spacing w:before="137" w:line="369" w:lineRule="auto"/>
        <w:ind w:left="1" w:right="70" w:firstLine="420"/>
        <w:rPr>
          <w:rFonts w:ascii="宋体" w:hAnsi="宋体" w:eastAsia="宋体" w:cs="宋体"/>
          <w:sz w:val="20"/>
          <w:szCs w:val="20"/>
        </w:rPr>
      </w:pPr>
      <w:r>
        <w:rPr>
          <w:rFonts w:ascii="Times New Roman" w:hAnsi="Times New Roman" w:eastAsia="Times New Roman" w:cs="Times New Roman"/>
          <w:spacing w:val="7"/>
          <w:sz w:val="20"/>
          <w:szCs w:val="20"/>
        </w:rPr>
        <w:t>5.3.</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运入施工场地的材料、工程设备，包括备品备件、安装专用工器具与随机资料，必须专</w:t>
      </w:r>
      <w:r>
        <w:rPr>
          <w:rFonts w:ascii="宋体" w:hAnsi="宋体" w:eastAsia="宋体" w:cs="宋体"/>
          <w:spacing w:val="9"/>
          <w:sz w:val="20"/>
          <w:szCs w:val="20"/>
        </w:rPr>
        <w:t>用于合同工程，未经监理人同意，承包人不得运出施工场地或挪作他用。</w:t>
      </w:r>
    </w:p>
    <w:p w14:paraId="76BBDDAD">
      <w:pPr>
        <w:spacing w:before="2" w:line="361" w:lineRule="auto"/>
        <w:ind w:right="70" w:firstLine="421"/>
        <w:rPr>
          <w:rFonts w:ascii="宋体" w:hAnsi="宋体" w:eastAsia="宋体" w:cs="宋体"/>
          <w:sz w:val="20"/>
          <w:szCs w:val="20"/>
        </w:rPr>
      </w:pPr>
      <w:r>
        <w:rPr>
          <w:rFonts w:ascii="Times New Roman" w:hAnsi="Times New Roman" w:eastAsia="Times New Roman" w:cs="Times New Roman"/>
          <w:spacing w:val="7"/>
          <w:sz w:val="20"/>
          <w:szCs w:val="20"/>
        </w:rPr>
        <w:t xml:space="preserve">5.3.2  </w:t>
      </w:r>
      <w:r>
        <w:rPr>
          <w:rFonts w:ascii="宋体" w:hAnsi="宋体" w:eastAsia="宋体" w:cs="宋体"/>
          <w:spacing w:val="7"/>
          <w:sz w:val="20"/>
          <w:szCs w:val="20"/>
        </w:rPr>
        <w:t>随同工程设备运入施工场地</w:t>
      </w:r>
      <w:r>
        <w:rPr>
          <w:rFonts w:ascii="宋体" w:hAnsi="宋体" w:eastAsia="宋体" w:cs="宋体"/>
          <w:spacing w:val="6"/>
          <w:sz w:val="20"/>
          <w:szCs w:val="20"/>
        </w:rPr>
        <w:t>的备品备件、专用工器具与随机资料，应由承包人会同监理</w:t>
      </w:r>
      <w:r>
        <w:rPr>
          <w:rFonts w:ascii="宋体" w:hAnsi="宋体" w:eastAsia="宋体" w:cs="宋体"/>
          <w:spacing w:val="10"/>
          <w:sz w:val="20"/>
          <w:szCs w:val="20"/>
        </w:rPr>
        <w:t>人按供货人的装箱单清点后共同封存，未经监理人同意不得启用。承包人</w:t>
      </w:r>
      <w:r>
        <w:rPr>
          <w:rFonts w:ascii="宋体" w:hAnsi="宋体" w:eastAsia="宋体" w:cs="宋体"/>
          <w:spacing w:val="9"/>
          <w:sz w:val="20"/>
          <w:szCs w:val="20"/>
        </w:rPr>
        <w:t>因合同工作需要使用上</w:t>
      </w:r>
      <w:r>
        <w:rPr>
          <w:rFonts w:ascii="宋体" w:hAnsi="宋体" w:eastAsia="宋体" w:cs="宋体"/>
          <w:spacing w:val="8"/>
          <w:sz w:val="20"/>
          <w:szCs w:val="20"/>
        </w:rPr>
        <w:t>述物品时，应向监理人提出申请。</w:t>
      </w:r>
    </w:p>
    <w:p w14:paraId="25572570">
      <w:pPr>
        <w:pStyle w:val="2"/>
        <w:spacing w:before="1" w:line="221" w:lineRule="auto"/>
        <w:ind w:left="3"/>
        <w:rPr>
          <w:sz w:val="24"/>
          <w:szCs w:val="24"/>
        </w:rPr>
      </w:pPr>
      <w:r>
        <w:rPr>
          <w:rFonts w:ascii="Times New Roman" w:hAnsi="Times New Roman" w:eastAsia="Times New Roman" w:cs="Times New Roman"/>
          <w:spacing w:val="-1"/>
          <w:sz w:val="24"/>
          <w:szCs w:val="24"/>
        </w:rPr>
        <w:t xml:space="preserve">5.4  </w:t>
      </w:r>
      <w:r>
        <w:rPr>
          <w:spacing w:val="-1"/>
          <w:sz w:val="24"/>
          <w:szCs w:val="24"/>
        </w:rPr>
        <w:t>禁止使用不合格的材料和工程设备</w:t>
      </w:r>
    </w:p>
    <w:p w14:paraId="5F0112E1">
      <w:pPr>
        <w:spacing w:before="136" w:line="369" w:lineRule="auto"/>
        <w:ind w:left="2" w:right="70" w:firstLine="419"/>
        <w:rPr>
          <w:rFonts w:ascii="宋体" w:hAnsi="宋体" w:eastAsia="宋体" w:cs="宋体"/>
          <w:sz w:val="20"/>
          <w:szCs w:val="20"/>
        </w:rPr>
      </w:pPr>
      <w:r>
        <w:rPr>
          <w:rFonts w:ascii="Times New Roman" w:hAnsi="Times New Roman" w:eastAsia="Times New Roman" w:cs="Times New Roman"/>
          <w:spacing w:val="6"/>
          <w:sz w:val="20"/>
          <w:szCs w:val="20"/>
        </w:rPr>
        <w:t>5.4.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监理人有权拒绝承包人提供的不合格材料或工程设备，并要求承包人立即</w:t>
      </w:r>
      <w:r>
        <w:rPr>
          <w:rFonts w:ascii="宋体" w:hAnsi="宋体" w:eastAsia="宋体" w:cs="宋体"/>
          <w:spacing w:val="5"/>
          <w:sz w:val="20"/>
          <w:szCs w:val="20"/>
        </w:rPr>
        <w:t>进行更换。监</w:t>
      </w:r>
      <w:r>
        <w:rPr>
          <w:rFonts w:ascii="宋体" w:hAnsi="宋体" w:eastAsia="宋体" w:cs="宋体"/>
          <w:spacing w:val="9"/>
          <w:sz w:val="20"/>
          <w:szCs w:val="20"/>
        </w:rPr>
        <w:t>理人应在更换后再次进行检查和检验，由此增加的费用和（或）工期延误由承包人承担。</w:t>
      </w:r>
    </w:p>
    <w:p w14:paraId="3223E032">
      <w:pPr>
        <w:spacing w:before="1" w:line="226" w:lineRule="auto"/>
        <w:ind w:left="421"/>
        <w:rPr>
          <w:rFonts w:ascii="宋体" w:hAnsi="宋体" w:eastAsia="宋体" w:cs="宋体"/>
          <w:sz w:val="20"/>
          <w:szCs w:val="20"/>
        </w:rPr>
      </w:pPr>
      <w:r>
        <w:rPr>
          <w:rFonts w:ascii="Times New Roman" w:hAnsi="Times New Roman" w:eastAsia="Times New Roman" w:cs="Times New Roman"/>
          <w:spacing w:val="7"/>
          <w:sz w:val="20"/>
          <w:szCs w:val="20"/>
        </w:rPr>
        <w:t xml:space="preserve">5.4.2  </w:t>
      </w:r>
      <w:r>
        <w:rPr>
          <w:rFonts w:ascii="宋体" w:hAnsi="宋体" w:eastAsia="宋体" w:cs="宋体"/>
          <w:spacing w:val="7"/>
          <w:sz w:val="20"/>
          <w:szCs w:val="20"/>
        </w:rPr>
        <w:t>监理人发现承包人使用了不</w:t>
      </w:r>
      <w:r>
        <w:rPr>
          <w:rFonts w:ascii="宋体" w:hAnsi="宋体" w:eastAsia="宋体" w:cs="宋体"/>
          <w:spacing w:val="6"/>
          <w:sz w:val="20"/>
          <w:szCs w:val="20"/>
        </w:rPr>
        <w:t>合格的材料和工程设备，应即时发出指示要求承包人立即改</w:t>
      </w:r>
    </w:p>
    <w:p w14:paraId="45207CA6">
      <w:pPr>
        <w:spacing w:line="226" w:lineRule="auto"/>
        <w:rPr>
          <w:rFonts w:ascii="宋体" w:hAnsi="宋体" w:eastAsia="宋体" w:cs="宋体"/>
          <w:sz w:val="20"/>
          <w:szCs w:val="20"/>
        </w:rPr>
        <w:sectPr>
          <w:footerReference r:id="rId171" w:type="default"/>
          <w:pgSz w:w="11906" w:h="16839"/>
          <w:pgMar w:top="400" w:right="1483" w:bottom="1038" w:left="1539" w:header="0" w:footer="787" w:gutter="0"/>
          <w:cols w:space="720" w:num="1"/>
        </w:sectPr>
      </w:pPr>
    </w:p>
    <w:p w14:paraId="03775732">
      <w:pPr>
        <w:spacing w:line="271" w:lineRule="auto"/>
        <w:rPr>
          <w:rFonts w:ascii="Arial"/>
          <w:sz w:val="21"/>
        </w:rPr>
      </w:pPr>
    </w:p>
    <w:p w14:paraId="61338F1D">
      <w:pPr>
        <w:spacing w:line="272" w:lineRule="auto"/>
        <w:rPr>
          <w:rFonts w:ascii="Arial"/>
          <w:sz w:val="21"/>
        </w:rPr>
      </w:pPr>
    </w:p>
    <w:p w14:paraId="7764888C">
      <w:pPr>
        <w:spacing w:line="272" w:lineRule="auto"/>
        <w:rPr>
          <w:rFonts w:ascii="Arial"/>
          <w:sz w:val="21"/>
        </w:rPr>
      </w:pPr>
    </w:p>
    <w:p w14:paraId="681D1CA8">
      <w:pPr>
        <w:spacing w:line="272" w:lineRule="auto"/>
        <w:rPr>
          <w:rFonts w:ascii="Arial"/>
          <w:sz w:val="21"/>
        </w:rPr>
      </w:pPr>
    </w:p>
    <w:p w14:paraId="77A0E40F">
      <w:pPr>
        <w:spacing w:before="65" w:line="227" w:lineRule="auto"/>
        <w:ind w:left="5"/>
        <w:rPr>
          <w:rFonts w:ascii="宋体" w:hAnsi="宋体" w:eastAsia="宋体" w:cs="宋体"/>
          <w:sz w:val="20"/>
          <w:szCs w:val="20"/>
        </w:rPr>
      </w:pPr>
      <w:r>
        <w:rPr>
          <w:rFonts w:ascii="宋体" w:hAnsi="宋体" w:eastAsia="宋体" w:cs="宋体"/>
          <w:spacing w:val="9"/>
          <w:sz w:val="20"/>
          <w:szCs w:val="20"/>
        </w:rPr>
        <w:t>正，并禁止在工程中继续使用不合格的材料和工程设备。</w:t>
      </w:r>
    </w:p>
    <w:p w14:paraId="6BC2CE5C">
      <w:pPr>
        <w:spacing w:before="153" w:line="371" w:lineRule="auto"/>
        <w:ind w:left="2" w:right="73" w:firstLine="420"/>
        <w:rPr>
          <w:rFonts w:ascii="宋体" w:hAnsi="宋体" w:eastAsia="宋体" w:cs="宋体"/>
          <w:sz w:val="20"/>
          <w:szCs w:val="20"/>
        </w:rPr>
      </w:pPr>
      <w:r>
        <w:rPr>
          <w:rFonts w:ascii="Times New Roman" w:hAnsi="Times New Roman" w:eastAsia="Times New Roman" w:cs="Times New Roman"/>
          <w:spacing w:val="6"/>
          <w:sz w:val="20"/>
          <w:szCs w:val="20"/>
        </w:rPr>
        <w:t xml:space="preserve">5.4.3  </w:t>
      </w:r>
      <w:r>
        <w:rPr>
          <w:rFonts w:ascii="宋体" w:hAnsi="宋体" w:eastAsia="宋体" w:cs="宋体"/>
          <w:spacing w:val="6"/>
          <w:sz w:val="20"/>
          <w:szCs w:val="20"/>
        </w:rPr>
        <w:t>发包人提供的材料或工程设备不符合合同要求的，承包人有权拒绝，并可要求发包人更</w:t>
      </w:r>
      <w:r>
        <w:rPr>
          <w:rFonts w:ascii="宋体" w:hAnsi="宋体" w:eastAsia="宋体" w:cs="宋体"/>
          <w:spacing w:val="7"/>
          <w:sz w:val="20"/>
          <w:szCs w:val="20"/>
        </w:rPr>
        <w:t>换，</w:t>
      </w:r>
      <w:r>
        <w:rPr>
          <w:rFonts w:ascii="宋体" w:hAnsi="宋体" w:eastAsia="宋体" w:cs="宋体"/>
          <w:spacing w:val="-50"/>
          <w:sz w:val="20"/>
          <w:szCs w:val="20"/>
        </w:rPr>
        <w:t xml:space="preserve"> </w:t>
      </w:r>
      <w:r>
        <w:rPr>
          <w:rFonts w:ascii="宋体" w:hAnsi="宋体" w:eastAsia="宋体" w:cs="宋体"/>
          <w:spacing w:val="7"/>
          <w:sz w:val="20"/>
          <w:szCs w:val="20"/>
        </w:rPr>
        <w:t>由此增加的费用和（或）工期延误由发包人承担。</w:t>
      </w:r>
    </w:p>
    <w:p w14:paraId="3D06A15B">
      <w:pPr>
        <w:pStyle w:val="2"/>
        <w:spacing w:before="36" w:line="222" w:lineRule="auto"/>
        <w:ind w:left="4"/>
        <w:outlineLvl w:val="2"/>
        <w:rPr>
          <w:sz w:val="28"/>
          <w:szCs w:val="28"/>
        </w:rPr>
      </w:pPr>
      <w:bookmarkStart w:id="219" w:name="bookmark200"/>
      <w:bookmarkEnd w:id="219"/>
      <w:r>
        <w:rPr>
          <w:rFonts w:ascii="Times New Roman" w:hAnsi="Times New Roman" w:eastAsia="Times New Roman" w:cs="Times New Roman"/>
          <w:spacing w:val="-1"/>
          <w:sz w:val="28"/>
          <w:szCs w:val="28"/>
        </w:rPr>
        <w:t xml:space="preserve">6.  </w:t>
      </w:r>
      <w:r>
        <w:rPr>
          <w:spacing w:val="-1"/>
          <w:sz w:val="28"/>
          <w:szCs w:val="28"/>
        </w:rPr>
        <w:t>施工设备和临时设施</w:t>
      </w:r>
    </w:p>
    <w:p w14:paraId="2B5E1E74">
      <w:pPr>
        <w:pStyle w:val="2"/>
        <w:spacing w:before="95" w:line="222" w:lineRule="auto"/>
        <w:ind w:left="3"/>
        <w:rPr>
          <w:sz w:val="24"/>
          <w:szCs w:val="24"/>
        </w:rPr>
      </w:pPr>
      <w:r>
        <w:rPr>
          <w:rFonts w:ascii="Times New Roman" w:hAnsi="Times New Roman" w:eastAsia="Times New Roman" w:cs="Times New Roman"/>
          <w:spacing w:val="-1"/>
          <w:sz w:val="24"/>
          <w:szCs w:val="24"/>
        </w:rPr>
        <w:t xml:space="preserve">6.1  </w:t>
      </w:r>
      <w:r>
        <w:rPr>
          <w:spacing w:val="-1"/>
          <w:sz w:val="24"/>
          <w:szCs w:val="24"/>
        </w:rPr>
        <w:t>承包人提供的施工设备和临时设施</w:t>
      </w:r>
    </w:p>
    <w:p w14:paraId="7D399336">
      <w:pPr>
        <w:spacing w:before="140" w:line="369" w:lineRule="auto"/>
        <w:ind w:right="70" w:firstLine="421"/>
        <w:rPr>
          <w:rFonts w:ascii="宋体" w:hAnsi="宋体" w:eastAsia="宋体" w:cs="宋体"/>
          <w:sz w:val="20"/>
          <w:szCs w:val="20"/>
        </w:rPr>
      </w:pPr>
      <w:r>
        <w:rPr>
          <w:rFonts w:ascii="Times New Roman" w:hAnsi="Times New Roman" w:eastAsia="Times New Roman" w:cs="Times New Roman"/>
          <w:spacing w:val="5"/>
          <w:sz w:val="20"/>
          <w:szCs w:val="20"/>
        </w:rPr>
        <w:t>6.</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承包人应按合同进度计划的要求，及时配置施工设备和修建临时设施。进入施工场地的</w:t>
      </w:r>
      <w:r>
        <w:rPr>
          <w:rFonts w:ascii="宋体" w:hAnsi="宋体" w:eastAsia="宋体" w:cs="宋体"/>
          <w:spacing w:val="10"/>
          <w:sz w:val="20"/>
          <w:szCs w:val="20"/>
        </w:rPr>
        <w:t>承包人设备需经监理人核查后才能投入使用。承包人更换合同约定的承包人</w:t>
      </w:r>
      <w:r>
        <w:rPr>
          <w:rFonts w:ascii="宋体" w:hAnsi="宋体" w:eastAsia="宋体" w:cs="宋体"/>
          <w:spacing w:val="9"/>
          <w:sz w:val="20"/>
          <w:szCs w:val="20"/>
        </w:rPr>
        <w:t>设备的，应报监理人</w:t>
      </w:r>
      <w:r>
        <w:rPr>
          <w:rFonts w:ascii="宋体" w:hAnsi="宋体" w:eastAsia="宋体" w:cs="宋体"/>
          <w:spacing w:val="3"/>
          <w:sz w:val="20"/>
          <w:szCs w:val="20"/>
        </w:rPr>
        <w:t>批准。</w:t>
      </w:r>
    </w:p>
    <w:p w14:paraId="19105337">
      <w:pPr>
        <w:spacing w:before="1" w:line="356" w:lineRule="auto"/>
        <w:ind w:right="16" w:firstLine="420"/>
        <w:rPr>
          <w:rFonts w:ascii="宋体" w:hAnsi="宋体" w:eastAsia="宋体" w:cs="宋体"/>
          <w:sz w:val="20"/>
          <w:szCs w:val="20"/>
        </w:rPr>
      </w:pPr>
      <w:r>
        <w:rPr>
          <w:rFonts w:ascii="Times New Roman" w:hAnsi="Times New Roman" w:eastAsia="Times New Roman" w:cs="Times New Roman"/>
          <w:spacing w:val="3"/>
          <w:sz w:val="20"/>
          <w:szCs w:val="20"/>
        </w:rPr>
        <w:t>6.</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3"/>
          <w:sz w:val="20"/>
          <w:szCs w:val="20"/>
        </w:rPr>
        <w:t>1.2</w:t>
      </w:r>
      <w:r>
        <w:rPr>
          <w:rFonts w:ascii="Times New Roman" w:hAnsi="Times New Roman" w:eastAsia="Times New Roman" w:cs="Times New Roman"/>
          <w:spacing w:val="22"/>
          <w:w w:val="101"/>
          <w:sz w:val="20"/>
          <w:szCs w:val="20"/>
        </w:rPr>
        <w:t xml:space="preserve"> </w:t>
      </w:r>
      <w:r>
        <w:rPr>
          <w:rFonts w:ascii="宋体" w:hAnsi="宋体" w:eastAsia="宋体" w:cs="宋体"/>
          <w:spacing w:val="3"/>
          <w:sz w:val="20"/>
          <w:szCs w:val="20"/>
        </w:rPr>
        <w:t>除专用合同条款另有约定外，承包人应自行承担修建临时设施的费用，需要临时占地的，</w:t>
      </w:r>
      <w:r>
        <w:rPr>
          <w:rFonts w:ascii="宋体" w:hAnsi="宋体" w:eastAsia="宋体" w:cs="宋体"/>
          <w:spacing w:val="8"/>
          <w:sz w:val="20"/>
          <w:szCs w:val="20"/>
        </w:rPr>
        <w:t>应由发包人办理申请手续并承担相应费用。</w:t>
      </w:r>
    </w:p>
    <w:p w14:paraId="50DB7CD3">
      <w:pPr>
        <w:pStyle w:val="2"/>
        <w:spacing w:before="1" w:line="220" w:lineRule="auto"/>
        <w:ind w:left="3"/>
        <w:rPr>
          <w:sz w:val="24"/>
          <w:szCs w:val="24"/>
        </w:rPr>
      </w:pPr>
      <w:r>
        <w:rPr>
          <w:rFonts w:ascii="Times New Roman" w:hAnsi="Times New Roman" w:eastAsia="Times New Roman" w:cs="Times New Roman"/>
          <w:spacing w:val="-1"/>
          <w:sz w:val="24"/>
          <w:szCs w:val="24"/>
        </w:rPr>
        <w:t xml:space="preserve">6.2  </w:t>
      </w:r>
      <w:r>
        <w:rPr>
          <w:spacing w:val="-1"/>
          <w:sz w:val="24"/>
          <w:szCs w:val="24"/>
        </w:rPr>
        <w:t>发包人提供的施工设备和临时设施</w:t>
      </w:r>
    </w:p>
    <w:p w14:paraId="02B02BF1">
      <w:pPr>
        <w:spacing w:before="140" w:line="227" w:lineRule="auto"/>
        <w:ind w:left="424"/>
        <w:rPr>
          <w:rFonts w:ascii="宋体" w:hAnsi="宋体" w:eastAsia="宋体" w:cs="宋体"/>
          <w:sz w:val="20"/>
          <w:szCs w:val="20"/>
        </w:rPr>
      </w:pPr>
      <w:r>
        <w:rPr>
          <w:rFonts w:ascii="宋体" w:hAnsi="宋体" w:eastAsia="宋体" w:cs="宋体"/>
          <w:spacing w:val="9"/>
          <w:sz w:val="20"/>
          <w:szCs w:val="20"/>
        </w:rPr>
        <w:t>发包人提供的施工设备或临时设施在专用合同条款中约定。</w:t>
      </w:r>
    </w:p>
    <w:p w14:paraId="01D8461E">
      <w:pPr>
        <w:pStyle w:val="2"/>
        <w:spacing w:before="128" w:line="222" w:lineRule="auto"/>
        <w:ind w:left="3"/>
        <w:rPr>
          <w:sz w:val="24"/>
          <w:szCs w:val="24"/>
        </w:rPr>
      </w:pPr>
      <w:r>
        <w:rPr>
          <w:rFonts w:ascii="Times New Roman" w:hAnsi="Times New Roman" w:eastAsia="Times New Roman" w:cs="Times New Roman"/>
          <w:spacing w:val="-1"/>
          <w:sz w:val="24"/>
          <w:szCs w:val="24"/>
        </w:rPr>
        <w:t xml:space="preserve">6.3  </w:t>
      </w:r>
      <w:r>
        <w:rPr>
          <w:spacing w:val="-1"/>
          <w:sz w:val="24"/>
          <w:szCs w:val="24"/>
        </w:rPr>
        <w:t>要求承包人增加或更换施工设备</w:t>
      </w:r>
    </w:p>
    <w:p w14:paraId="2CD476D7">
      <w:pPr>
        <w:spacing w:before="137" w:line="361" w:lineRule="auto"/>
        <w:ind w:left="1" w:right="71" w:firstLine="419"/>
        <w:jc w:val="both"/>
        <w:rPr>
          <w:rFonts w:ascii="宋体" w:hAnsi="宋体" w:eastAsia="宋体" w:cs="宋体"/>
          <w:sz w:val="20"/>
          <w:szCs w:val="20"/>
        </w:rPr>
      </w:pPr>
      <w:r>
        <w:rPr>
          <w:rFonts w:ascii="宋体" w:hAnsi="宋体" w:eastAsia="宋体" w:cs="宋体"/>
          <w:spacing w:val="10"/>
          <w:sz w:val="20"/>
          <w:szCs w:val="20"/>
        </w:rPr>
        <w:t>承包人使用的施工设备不能满足合同进度计划和（或）质量要求时，</w:t>
      </w:r>
      <w:r>
        <w:rPr>
          <w:rFonts w:ascii="宋体" w:hAnsi="宋体" w:eastAsia="宋体" w:cs="宋体"/>
          <w:spacing w:val="9"/>
          <w:sz w:val="20"/>
          <w:szCs w:val="20"/>
        </w:rPr>
        <w:t>监理人有权要求承包人</w:t>
      </w:r>
      <w:r>
        <w:rPr>
          <w:rFonts w:ascii="宋体" w:hAnsi="宋体" w:eastAsia="宋体" w:cs="宋体"/>
          <w:spacing w:val="10"/>
          <w:sz w:val="20"/>
          <w:szCs w:val="20"/>
        </w:rPr>
        <w:t>增加或更换施工设备，承包人应及时增加或更换，由此增加的费用和（</w:t>
      </w:r>
      <w:r>
        <w:rPr>
          <w:rFonts w:ascii="宋体" w:hAnsi="宋体" w:eastAsia="宋体" w:cs="宋体"/>
          <w:spacing w:val="9"/>
          <w:sz w:val="20"/>
          <w:szCs w:val="20"/>
        </w:rPr>
        <w:t>或）工期延误由承包人承</w:t>
      </w:r>
      <w:r>
        <w:rPr>
          <w:rFonts w:ascii="宋体" w:hAnsi="宋体" w:eastAsia="宋体" w:cs="宋体"/>
          <w:sz w:val="20"/>
          <w:szCs w:val="20"/>
        </w:rPr>
        <w:t>担。</w:t>
      </w:r>
    </w:p>
    <w:p w14:paraId="35859B60">
      <w:pPr>
        <w:pStyle w:val="2"/>
        <w:spacing w:before="1" w:line="221" w:lineRule="auto"/>
        <w:ind w:left="3"/>
        <w:rPr>
          <w:sz w:val="24"/>
          <w:szCs w:val="24"/>
        </w:rPr>
      </w:pPr>
      <w:r>
        <w:rPr>
          <w:rFonts w:ascii="Times New Roman" w:hAnsi="Times New Roman" w:eastAsia="Times New Roman" w:cs="Times New Roman"/>
          <w:spacing w:val="-1"/>
          <w:sz w:val="24"/>
          <w:szCs w:val="24"/>
        </w:rPr>
        <w:t xml:space="preserve">6.4  </w:t>
      </w:r>
      <w:r>
        <w:rPr>
          <w:spacing w:val="-1"/>
          <w:sz w:val="24"/>
          <w:szCs w:val="24"/>
        </w:rPr>
        <w:t>施工设备和临时设施专用于合同工程</w:t>
      </w:r>
    </w:p>
    <w:p w14:paraId="21FAD1CE">
      <w:pPr>
        <w:spacing w:before="140" w:line="369" w:lineRule="auto"/>
        <w:ind w:right="71" w:firstLine="421"/>
        <w:rPr>
          <w:rFonts w:ascii="宋体" w:hAnsi="宋体" w:eastAsia="宋体" w:cs="宋体"/>
          <w:sz w:val="20"/>
          <w:szCs w:val="20"/>
        </w:rPr>
      </w:pPr>
      <w:r>
        <w:rPr>
          <w:rFonts w:ascii="Times New Roman" w:hAnsi="Times New Roman" w:eastAsia="Times New Roman" w:cs="Times New Roman"/>
          <w:spacing w:val="7"/>
          <w:sz w:val="20"/>
          <w:szCs w:val="20"/>
        </w:rPr>
        <w:t>6.4.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宋体" w:hAnsi="宋体" w:eastAsia="宋体" w:cs="宋体"/>
          <w:spacing w:val="7"/>
          <w:sz w:val="20"/>
          <w:szCs w:val="20"/>
        </w:rPr>
        <w:t>除合同另有约定外，运入施工场地的所有施工设备以及在施工场地建</w:t>
      </w:r>
      <w:r>
        <w:rPr>
          <w:rFonts w:ascii="宋体" w:hAnsi="宋体" w:eastAsia="宋体" w:cs="宋体"/>
          <w:spacing w:val="6"/>
          <w:sz w:val="20"/>
          <w:szCs w:val="20"/>
        </w:rPr>
        <w:t>设的临时设施应专</w:t>
      </w:r>
      <w:r>
        <w:rPr>
          <w:rFonts w:ascii="宋体" w:hAnsi="宋体" w:eastAsia="宋体" w:cs="宋体"/>
          <w:spacing w:val="10"/>
          <w:sz w:val="20"/>
          <w:szCs w:val="20"/>
        </w:rPr>
        <w:t>用于合同工程。未经监理人同意，不得将上述施工设备和临时设施中的任何</w:t>
      </w:r>
      <w:r>
        <w:rPr>
          <w:rFonts w:ascii="宋体" w:hAnsi="宋体" w:eastAsia="宋体" w:cs="宋体"/>
          <w:spacing w:val="9"/>
          <w:sz w:val="20"/>
          <w:szCs w:val="20"/>
        </w:rPr>
        <w:t>部分运出施工场地或</w:t>
      </w:r>
      <w:r>
        <w:rPr>
          <w:rFonts w:ascii="宋体" w:hAnsi="宋体" w:eastAsia="宋体" w:cs="宋体"/>
          <w:spacing w:val="6"/>
          <w:sz w:val="20"/>
          <w:szCs w:val="20"/>
        </w:rPr>
        <w:t>挪作他用。</w:t>
      </w:r>
    </w:p>
    <w:p w14:paraId="6297BCB7">
      <w:pPr>
        <w:spacing w:before="1" w:line="227" w:lineRule="auto"/>
        <w:ind w:left="421"/>
        <w:rPr>
          <w:rFonts w:ascii="宋体" w:hAnsi="宋体" w:eastAsia="宋体" w:cs="宋体"/>
          <w:sz w:val="20"/>
          <w:szCs w:val="20"/>
        </w:rPr>
      </w:pPr>
      <w:r>
        <w:rPr>
          <w:rFonts w:ascii="Times New Roman" w:hAnsi="Times New Roman" w:eastAsia="Times New Roman" w:cs="Times New Roman"/>
          <w:spacing w:val="8"/>
          <w:sz w:val="20"/>
          <w:szCs w:val="20"/>
        </w:rPr>
        <w:t xml:space="preserve">6.4.2  </w:t>
      </w:r>
      <w:r>
        <w:rPr>
          <w:rFonts w:ascii="宋体" w:hAnsi="宋体" w:eastAsia="宋体" w:cs="宋体"/>
          <w:spacing w:val="8"/>
          <w:sz w:val="20"/>
          <w:szCs w:val="20"/>
        </w:rPr>
        <w:t>经监理人同意，承包人可根据合同进度计划撤走闲置的施工设备。</w:t>
      </w:r>
    </w:p>
    <w:p w14:paraId="39B5E8FA">
      <w:pPr>
        <w:pStyle w:val="2"/>
        <w:spacing w:before="191" w:line="222" w:lineRule="auto"/>
        <w:ind w:left="3"/>
        <w:outlineLvl w:val="2"/>
        <w:rPr>
          <w:sz w:val="28"/>
          <w:szCs w:val="28"/>
        </w:rPr>
      </w:pPr>
      <w:bookmarkStart w:id="220" w:name="bookmark201"/>
      <w:bookmarkEnd w:id="220"/>
      <w:r>
        <w:rPr>
          <w:rFonts w:ascii="Times New Roman" w:hAnsi="Times New Roman" w:eastAsia="Times New Roman" w:cs="Times New Roman"/>
          <w:spacing w:val="-5"/>
          <w:sz w:val="28"/>
          <w:szCs w:val="28"/>
        </w:rPr>
        <w:t>7.</w:t>
      </w:r>
      <w:r>
        <w:rPr>
          <w:rFonts w:ascii="Times New Roman" w:hAnsi="Times New Roman" w:eastAsia="Times New Roman" w:cs="Times New Roman"/>
          <w:spacing w:val="10"/>
          <w:sz w:val="28"/>
          <w:szCs w:val="28"/>
        </w:rPr>
        <w:t xml:space="preserve">  </w:t>
      </w:r>
      <w:r>
        <w:rPr>
          <w:spacing w:val="-5"/>
          <w:sz w:val="28"/>
          <w:szCs w:val="28"/>
        </w:rPr>
        <w:t>交通运输</w:t>
      </w:r>
    </w:p>
    <w:p w14:paraId="66089270">
      <w:pPr>
        <w:pStyle w:val="2"/>
        <w:spacing w:before="98" w:line="222" w:lineRule="auto"/>
        <w:ind w:left="1"/>
        <w:rPr>
          <w:sz w:val="24"/>
          <w:szCs w:val="24"/>
        </w:rPr>
      </w:pPr>
      <w:r>
        <w:rPr>
          <w:rFonts w:ascii="Times New Roman" w:hAnsi="Times New Roman" w:eastAsia="Times New Roman" w:cs="Times New Roman"/>
          <w:spacing w:val="-1"/>
          <w:sz w:val="24"/>
          <w:szCs w:val="24"/>
        </w:rPr>
        <w:t xml:space="preserve">7.1  </w:t>
      </w:r>
      <w:r>
        <w:rPr>
          <w:spacing w:val="-1"/>
          <w:sz w:val="24"/>
          <w:szCs w:val="24"/>
        </w:rPr>
        <w:t>道路通行权和场外设施</w:t>
      </w:r>
    </w:p>
    <w:p w14:paraId="586E2D77">
      <w:pPr>
        <w:spacing w:before="136" w:line="362" w:lineRule="auto"/>
        <w:ind w:firstLine="432"/>
        <w:jc w:val="both"/>
        <w:rPr>
          <w:rFonts w:ascii="宋体" w:hAnsi="宋体" w:eastAsia="宋体" w:cs="宋体"/>
          <w:sz w:val="20"/>
          <w:szCs w:val="20"/>
        </w:rPr>
      </w:pPr>
      <w:r>
        <w:rPr>
          <w:rFonts w:ascii="宋体" w:hAnsi="宋体" w:eastAsia="宋体" w:cs="宋体"/>
          <w:spacing w:val="9"/>
          <w:sz w:val="20"/>
          <w:szCs w:val="20"/>
        </w:rPr>
        <w:t>除专用合同条款另有约定外，发包人应根据合同工程的施工需要，负责办理取得出入施工场</w:t>
      </w:r>
      <w:r>
        <w:rPr>
          <w:rFonts w:ascii="宋体" w:hAnsi="宋体" w:eastAsia="宋体" w:cs="宋体"/>
          <w:spacing w:val="7"/>
          <w:sz w:val="20"/>
          <w:szCs w:val="20"/>
        </w:rPr>
        <w:t>地的专用和临时道路的通行权，以及取得为工程建设</w:t>
      </w:r>
      <w:r>
        <w:rPr>
          <w:rFonts w:ascii="宋体" w:hAnsi="宋体" w:eastAsia="宋体" w:cs="宋体"/>
          <w:spacing w:val="6"/>
          <w:sz w:val="20"/>
          <w:szCs w:val="20"/>
        </w:rPr>
        <w:t>所需修建场外设施的权利，并承担有关费用。</w:t>
      </w:r>
      <w:r>
        <w:rPr>
          <w:rFonts w:ascii="宋体" w:hAnsi="宋体" w:eastAsia="宋体" w:cs="宋体"/>
          <w:spacing w:val="8"/>
          <w:sz w:val="20"/>
          <w:szCs w:val="20"/>
        </w:rPr>
        <w:t>承包人应协助发包人办理上述手续。</w:t>
      </w:r>
    </w:p>
    <w:p w14:paraId="6BDCD958">
      <w:pPr>
        <w:pStyle w:val="2"/>
        <w:spacing w:before="1" w:line="223" w:lineRule="auto"/>
        <w:ind w:left="1"/>
        <w:rPr>
          <w:sz w:val="24"/>
          <w:szCs w:val="24"/>
        </w:rPr>
      </w:pPr>
      <w:r>
        <w:rPr>
          <w:rFonts w:ascii="Times New Roman" w:hAnsi="Times New Roman" w:eastAsia="Times New Roman" w:cs="Times New Roman"/>
          <w:spacing w:val="-1"/>
          <w:sz w:val="24"/>
          <w:szCs w:val="24"/>
        </w:rPr>
        <w:t xml:space="preserve">7.2  </w:t>
      </w:r>
      <w:r>
        <w:rPr>
          <w:spacing w:val="-1"/>
          <w:sz w:val="24"/>
          <w:szCs w:val="24"/>
        </w:rPr>
        <w:t>场内施工道路</w:t>
      </w:r>
    </w:p>
    <w:p w14:paraId="4EC70E78">
      <w:pPr>
        <w:spacing w:before="134" w:line="369" w:lineRule="auto"/>
        <w:ind w:left="2" w:right="70" w:firstLine="417"/>
        <w:rPr>
          <w:rFonts w:ascii="宋体" w:hAnsi="宋体" w:eastAsia="宋体" w:cs="宋体"/>
          <w:sz w:val="20"/>
          <w:szCs w:val="20"/>
        </w:rPr>
      </w:pPr>
      <w:r>
        <w:rPr>
          <w:rFonts w:ascii="Times New Roman" w:hAnsi="Times New Roman" w:eastAsia="Times New Roman" w:cs="Times New Roman"/>
          <w:spacing w:val="6"/>
          <w:sz w:val="20"/>
          <w:szCs w:val="20"/>
        </w:rPr>
        <w:t>7.2.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除专用合同条款另有约定外，承包人应负责修建、维修、养护和管理施工所需</w:t>
      </w:r>
      <w:r>
        <w:rPr>
          <w:rFonts w:ascii="宋体" w:hAnsi="宋体" w:eastAsia="宋体" w:cs="宋体"/>
          <w:spacing w:val="5"/>
          <w:sz w:val="20"/>
          <w:szCs w:val="20"/>
        </w:rPr>
        <w:t>的临时道</w:t>
      </w:r>
      <w:r>
        <w:rPr>
          <w:rFonts w:ascii="宋体" w:hAnsi="宋体" w:eastAsia="宋体" w:cs="宋体"/>
          <w:spacing w:val="9"/>
          <w:sz w:val="20"/>
          <w:szCs w:val="20"/>
        </w:rPr>
        <w:t>路和交通设施，包括维修、养护和管理发包人提供的道路和交通设施，并承担相应费用。</w:t>
      </w:r>
    </w:p>
    <w:p w14:paraId="3933D60F">
      <w:pPr>
        <w:spacing w:before="2" w:line="357" w:lineRule="auto"/>
        <w:ind w:left="3" w:right="70" w:firstLine="417"/>
        <w:rPr>
          <w:rFonts w:ascii="宋体" w:hAnsi="宋体" w:eastAsia="宋体" w:cs="宋体"/>
          <w:sz w:val="20"/>
          <w:szCs w:val="20"/>
        </w:rPr>
      </w:pPr>
      <w:r>
        <w:rPr>
          <w:rFonts w:ascii="Times New Roman" w:hAnsi="Times New Roman" w:eastAsia="Times New Roman" w:cs="Times New Roman"/>
          <w:spacing w:val="7"/>
          <w:sz w:val="20"/>
          <w:szCs w:val="20"/>
        </w:rPr>
        <w:t xml:space="preserve">7.2.2  </w:t>
      </w:r>
      <w:r>
        <w:rPr>
          <w:rFonts w:ascii="宋体" w:hAnsi="宋体" w:eastAsia="宋体" w:cs="宋体"/>
          <w:spacing w:val="7"/>
          <w:sz w:val="20"/>
          <w:szCs w:val="20"/>
        </w:rPr>
        <w:t>除专用合同条款另有约定外，承</w:t>
      </w:r>
      <w:r>
        <w:rPr>
          <w:rFonts w:ascii="宋体" w:hAnsi="宋体" w:eastAsia="宋体" w:cs="宋体"/>
          <w:spacing w:val="6"/>
          <w:sz w:val="20"/>
          <w:szCs w:val="20"/>
        </w:rPr>
        <w:t>包人修建的临时道路和交通设施应免费提供发包人和监</w:t>
      </w:r>
      <w:r>
        <w:rPr>
          <w:rFonts w:ascii="宋体" w:hAnsi="宋体" w:eastAsia="宋体" w:cs="宋体"/>
          <w:spacing w:val="5"/>
          <w:sz w:val="20"/>
          <w:szCs w:val="20"/>
        </w:rPr>
        <w:t>理人使用。</w:t>
      </w:r>
    </w:p>
    <w:p w14:paraId="377A5C41">
      <w:pPr>
        <w:pStyle w:val="2"/>
        <w:spacing w:line="222" w:lineRule="auto"/>
        <w:ind w:left="1"/>
        <w:rPr>
          <w:sz w:val="24"/>
          <w:szCs w:val="24"/>
        </w:rPr>
      </w:pPr>
      <w:r>
        <w:rPr>
          <w:rFonts w:ascii="Times New Roman" w:hAnsi="Times New Roman" w:eastAsia="Times New Roman" w:cs="Times New Roman"/>
          <w:spacing w:val="-1"/>
          <w:sz w:val="24"/>
          <w:szCs w:val="24"/>
        </w:rPr>
        <w:t xml:space="preserve">7.3  </w:t>
      </w:r>
      <w:r>
        <w:rPr>
          <w:spacing w:val="-1"/>
          <w:sz w:val="24"/>
          <w:szCs w:val="24"/>
        </w:rPr>
        <w:t>场外交通</w:t>
      </w:r>
    </w:p>
    <w:p w14:paraId="63CF8F8B">
      <w:pPr>
        <w:spacing w:before="136" w:line="228" w:lineRule="auto"/>
        <w:ind w:left="420"/>
        <w:rPr>
          <w:rFonts w:ascii="宋体" w:hAnsi="宋体" w:eastAsia="宋体" w:cs="宋体"/>
          <w:sz w:val="20"/>
          <w:szCs w:val="20"/>
        </w:rPr>
      </w:pPr>
      <w:r>
        <w:rPr>
          <w:rFonts w:ascii="Times New Roman" w:hAnsi="Times New Roman" w:eastAsia="Times New Roman" w:cs="Times New Roman"/>
          <w:spacing w:val="8"/>
          <w:sz w:val="20"/>
          <w:szCs w:val="20"/>
        </w:rPr>
        <w:t>7.3.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承包人车辆外出行驶所需的场外公共道路的通行费、养路费和税款等由承包人</w:t>
      </w:r>
      <w:r>
        <w:rPr>
          <w:rFonts w:ascii="宋体" w:hAnsi="宋体" w:eastAsia="宋体" w:cs="宋体"/>
          <w:spacing w:val="7"/>
          <w:sz w:val="20"/>
          <w:szCs w:val="20"/>
        </w:rPr>
        <w:t>承担。</w:t>
      </w:r>
    </w:p>
    <w:p w14:paraId="26A8A7F2">
      <w:pPr>
        <w:spacing w:before="154" w:line="228" w:lineRule="auto"/>
        <w:ind w:left="420"/>
        <w:rPr>
          <w:rFonts w:ascii="宋体" w:hAnsi="宋体" w:eastAsia="宋体" w:cs="宋体"/>
          <w:sz w:val="20"/>
          <w:szCs w:val="20"/>
        </w:rPr>
      </w:pPr>
      <w:r>
        <w:rPr>
          <w:rFonts w:ascii="Times New Roman" w:hAnsi="Times New Roman" w:eastAsia="Times New Roman" w:cs="Times New Roman"/>
          <w:spacing w:val="7"/>
          <w:sz w:val="20"/>
          <w:szCs w:val="20"/>
        </w:rPr>
        <w:t xml:space="preserve">7.3.2  </w:t>
      </w:r>
      <w:r>
        <w:rPr>
          <w:rFonts w:ascii="宋体" w:hAnsi="宋体" w:eastAsia="宋体" w:cs="宋体"/>
          <w:spacing w:val="7"/>
          <w:sz w:val="20"/>
          <w:szCs w:val="20"/>
        </w:rPr>
        <w:t>承包人应遵守有关交通法规</w:t>
      </w:r>
      <w:r>
        <w:rPr>
          <w:rFonts w:ascii="宋体" w:hAnsi="宋体" w:eastAsia="宋体" w:cs="宋体"/>
          <w:spacing w:val="6"/>
          <w:sz w:val="20"/>
          <w:szCs w:val="20"/>
        </w:rPr>
        <w:t>，严格按照道路和桥梁的限制荷重安全行驶，并服从交通管</w:t>
      </w:r>
    </w:p>
    <w:p w14:paraId="3867CBB3">
      <w:pPr>
        <w:spacing w:line="228" w:lineRule="auto"/>
        <w:rPr>
          <w:rFonts w:ascii="宋体" w:hAnsi="宋体" w:eastAsia="宋体" w:cs="宋体"/>
          <w:sz w:val="20"/>
          <w:szCs w:val="20"/>
        </w:rPr>
        <w:sectPr>
          <w:footerReference r:id="rId172" w:type="default"/>
          <w:pgSz w:w="11906" w:h="16839"/>
          <w:pgMar w:top="400" w:right="1483" w:bottom="1038" w:left="1538" w:header="0" w:footer="785" w:gutter="0"/>
          <w:cols w:space="720" w:num="1"/>
        </w:sectPr>
      </w:pPr>
    </w:p>
    <w:p w14:paraId="2FD32036">
      <w:pPr>
        <w:spacing w:line="271" w:lineRule="auto"/>
        <w:rPr>
          <w:rFonts w:ascii="Arial"/>
          <w:sz w:val="21"/>
        </w:rPr>
      </w:pPr>
    </w:p>
    <w:p w14:paraId="0077B0AB">
      <w:pPr>
        <w:spacing w:line="271" w:lineRule="auto"/>
        <w:rPr>
          <w:rFonts w:ascii="Arial"/>
          <w:sz w:val="21"/>
        </w:rPr>
      </w:pPr>
    </w:p>
    <w:p w14:paraId="563DD3CA">
      <w:pPr>
        <w:spacing w:line="272" w:lineRule="auto"/>
        <w:rPr>
          <w:rFonts w:ascii="Arial"/>
          <w:sz w:val="21"/>
        </w:rPr>
      </w:pPr>
    </w:p>
    <w:p w14:paraId="3BD523AC">
      <w:pPr>
        <w:spacing w:line="272" w:lineRule="auto"/>
        <w:rPr>
          <w:rFonts w:ascii="Arial"/>
          <w:sz w:val="21"/>
        </w:rPr>
      </w:pPr>
    </w:p>
    <w:p w14:paraId="58F1046E">
      <w:pPr>
        <w:spacing w:before="65" w:line="228" w:lineRule="auto"/>
        <w:ind w:left="2"/>
        <w:rPr>
          <w:rFonts w:ascii="宋体" w:hAnsi="宋体" w:eastAsia="宋体" w:cs="宋体"/>
          <w:sz w:val="20"/>
          <w:szCs w:val="20"/>
        </w:rPr>
      </w:pPr>
      <w:r>
        <w:rPr>
          <w:rFonts w:ascii="宋体" w:hAnsi="宋体" w:eastAsia="宋体" w:cs="宋体"/>
          <w:spacing w:val="7"/>
          <w:sz w:val="20"/>
          <w:szCs w:val="20"/>
        </w:rPr>
        <w:t>理部门的检查和监督。</w:t>
      </w:r>
    </w:p>
    <w:p w14:paraId="6C87B531">
      <w:pPr>
        <w:pStyle w:val="2"/>
        <w:spacing w:before="127" w:line="222" w:lineRule="auto"/>
        <w:rPr>
          <w:sz w:val="24"/>
          <w:szCs w:val="24"/>
        </w:rPr>
      </w:pPr>
      <w:r>
        <w:rPr>
          <w:rFonts w:ascii="Times New Roman" w:hAnsi="Times New Roman" w:eastAsia="Times New Roman" w:cs="Times New Roman"/>
          <w:spacing w:val="-1"/>
          <w:sz w:val="24"/>
          <w:szCs w:val="24"/>
        </w:rPr>
        <w:t xml:space="preserve">7.4  </w:t>
      </w:r>
      <w:r>
        <w:rPr>
          <w:spacing w:val="-1"/>
          <w:sz w:val="24"/>
          <w:szCs w:val="24"/>
        </w:rPr>
        <w:t>超大件和超重件的运输</w:t>
      </w:r>
    </w:p>
    <w:p w14:paraId="0BA05436">
      <w:pPr>
        <w:spacing w:before="137" w:line="361" w:lineRule="auto"/>
        <w:ind w:left="1" w:right="71" w:firstLine="443"/>
        <w:jc w:val="both"/>
        <w:rPr>
          <w:rFonts w:ascii="宋体" w:hAnsi="宋体" w:eastAsia="宋体" w:cs="宋体"/>
          <w:sz w:val="20"/>
          <w:szCs w:val="20"/>
        </w:rPr>
      </w:pPr>
      <w:r>
        <w:rPr>
          <w:rFonts w:ascii="宋体" w:hAnsi="宋体" w:eastAsia="宋体" w:cs="宋体"/>
          <w:spacing w:val="9"/>
          <w:sz w:val="20"/>
          <w:szCs w:val="20"/>
        </w:rPr>
        <w:t>由承包人负责运输的超大件或超重件，应由承包人负责向交通管理部门办理申请手续，发包人给予协助。运输超大件或超重件所需的道路和桥梁临时加固改造费</w:t>
      </w:r>
      <w:r>
        <w:rPr>
          <w:rFonts w:ascii="宋体" w:hAnsi="宋体" w:eastAsia="宋体" w:cs="宋体"/>
          <w:spacing w:val="8"/>
          <w:sz w:val="20"/>
          <w:szCs w:val="20"/>
        </w:rPr>
        <w:t>用和其他有关费用，</w:t>
      </w:r>
      <w:r>
        <w:rPr>
          <w:rFonts w:ascii="宋体" w:hAnsi="宋体" w:eastAsia="宋体" w:cs="宋体"/>
          <w:spacing w:val="-57"/>
          <w:sz w:val="20"/>
          <w:szCs w:val="20"/>
        </w:rPr>
        <w:t xml:space="preserve"> </w:t>
      </w:r>
      <w:r>
        <w:rPr>
          <w:rFonts w:ascii="宋体" w:hAnsi="宋体" w:eastAsia="宋体" w:cs="宋体"/>
          <w:spacing w:val="8"/>
          <w:sz w:val="20"/>
          <w:szCs w:val="20"/>
        </w:rPr>
        <w:t>由承包人承担，但专用合同条款另有约定除外。</w:t>
      </w:r>
    </w:p>
    <w:p w14:paraId="050BEEDB">
      <w:pPr>
        <w:pStyle w:val="2"/>
        <w:spacing w:before="1" w:line="220" w:lineRule="auto"/>
        <w:rPr>
          <w:sz w:val="24"/>
          <w:szCs w:val="24"/>
        </w:rPr>
      </w:pPr>
      <w:r>
        <w:rPr>
          <w:rFonts w:ascii="Times New Roman" w:hAnsi="Times New Roman" w:eastAsia="Times New Roman" w:cs="Times New Roman"/>
          <w:spacing w:val="-1"/>
          <w:sz w:val="24"/>
          <w:szCs w:val="24"/>
        </w:rPr>
        <w:t xml:space="preserve">7.5  </w:t>
      </w:r>
      <w:r>
        <w:rPr>
          <w:spacing w:val="-1"/>
          <w:sz w:val="24"/>
          <w:szCs w:val="24"/>
        </w:rPr>
        <w:t>道路和桥梁的损坏责任</w:t>
      </w:r>
    </w:p>
    <w:p w14:paraId="253C2849">
      <w:pPr>
        <w:spacing w:before="139" w:line="357" w:lineRule="auto"/>
        <w:ind w:right="71" w:firstLine="435"/>
        <w:rPr>
          <w:rFonts w:ascii="宋体" w:hAnsi="宋体" w:eastAsia="宋体" w:cs="宋体"/>
          <w:sz w:val="20"/>
          <w:szCs w:val="20"/>
        </w:rPr>
      </w:pPr>
      <w:r>
        <w:rPr>
          <w:rFonts w:ascii="宋体" w:hAnsi="宋体" w:eastAsia="宋体" w:cs="宋体"/>
          <w:spacing w:val="8"/>
          <w:sz w:val="20"/>
          <w:szCs w:val="20"/>
        </w:rPr>
        <w:t>因承包人运输造成施工场地内外公共道路和桥梁损坏的，</w:t>
      </w:r>
      <w:r>
        <w:rPr>
          <w:rFonts w:ascii="宋体" w:hAnsi="宋体" w:eastAsia="宋体" w:cs="宋体"/>
          <w:spacing w:val="-46"/>
          <w:sz w:val="20"/>
          <w:szCs w:val="20"/>
        </w:rPr>
        <w:t xml:space="preserve"> </w:t>
      </w:r>
      <w:r>
        <w:rPr>
          <w:rFonts w:ascii="宋体" w:hAnsi="宋体" w:eastAsia="宋体" w:cs="宋体"/>
          <w:spacing w:val="8"/>
          <w:sz w:val="20"/>
          <w:szCs w:val="20"/>
        </w:rPr>
        <w:t>由承包人承担修复损坏的全部费用</w:t>
      </w:r>
      <w:r>
        <w:rPr>
          <w:rFonts w:ascii="宋体" w:hAnsi="宋体" w:eastAsia="宋体" w:cs="宋体"/>
          <w:spacing w:val="7"/>
          <w:sz w:val="20"/>
          <w:szCs w:val="20"/>
        </w:rPr>
        <w:t>和可能引起的赔偿。</w:t>
      </w:r>
    </w:p>
    <w:p w14:paraId="7473A440">
      <w:pPr>
        <w:pStyle w:val="2"/>
        <w:spacing w:line="221" w:lineRule="auto"/>
        <w:rPr>
          <w:sz w:val="24"/>
          <w:szCs w:val="24"/>
        </w:rPr>
      </w:pPr>
      <w:r>
        <w:rPr>
          <w:rFonts w:ascii="Times New Roman" w:hAnsi="Times New Roman" w:eastAsia="Times New Roman" w:cs="Times New Roman"/>
          <w:spacing w:val="-1"/>
          <w:sz w:val="24"/>
          <w:szCs w:val="24"/>
        </w:rPr>
        <w:t xml:space="preserve">7.6  </w:t>
      </w:r>
      <w:r>
        <w:rPr>
          <w:spacing w:val="-1"/>
          <w:sz w:val="24"/>
          <w:szCs w:val="24"/>
        </w:rPr>
        <w:t>水路和航空运输</w:t>
      </w:r>
    </w:p>
    <w:p w14:paraId="45F52FA6">
      <w:pPr>
        <w:spacing w:before="138" w:line="370" w:lineRule="auto"/>
        <w:ind w:firstLine="420"/>
        <w:jc w:val="both"/>
        <w:rPr>
          <w:rFonts w:ascii="宋体" w:hAnsi="宋体" w:eastAsia="宋体" w:cs="宋体"/>
          <w:sz w:val="20"/>
          <w:szCs w:val="20"/>
        </w:rPr>
      </w:pPr>
      <w:r>
        <w:rPr>
          <w:rFonts w:ascii="宋体" w:hAnsi="宋体" w:eastAsia="宋体" w:cs="宋体"/>
          <w:spacing w:val="6"/>
          <w:sz w:val="20"/>
          <w:szCs w:val="20"/>
        </w:rPr>
        <w:t>本条上述各款的内容适用于水路运输和航空运输，其中“道</w:t>
      </w:r>
      <w:r>
        <w:rPr>
          <w:rFonts w:ascii="宋体" w:hAnsi="宋体" w:eastAsia="宋体" w:cs="宋体"/>
          <w:spacing w:val="5"/>
          <w:sz w:val="20"/>
          <w:szCs w:val="20"/>
        </w:rPr>
        <w:t>路</w:t>
      </w:r>
      <w:r>
        <w:rPr>
          <w:rFonts w:ascii="宋体" w:hAnsi="宋体" w:eastAsia="宋体" w:cs="宋体"/>
          <w:spacing w:val="-70"/>
          <w:sz w:val="20"/>
          <w:szCs w:val="20"/>
        </w:rPr>
        <w:t xml:space="preserve"> </w:t>
      </w:r>
      <w:r>
        <w:rPr>
          <w:rFonts w:ascii="宋体" w:hAnsi="宋体" w:eastAsia="宋体" w:cs="宋体"/>
          <w:spacing w:val="5"/>
          <w:sz w:val="20"/>
          <w:szCs w:val="20"/>
        </w:rPr>
        <w:t>”一词的涵义包括河道、航线、</w:t>
      </w:r>
      <w:r>
        <w:rPr>
          <w:rFonts w:ascii="宋体" w:hAnsi="宋体" w:eastAsia="宋体" w:cs="宋体"/>
          <w:spacing w:val="4"/>
          <w:sz w:val="20"/>
          <w:szCs w:val="20"/>
        </w:rPr>
        <w:t>船闸、机场、码头、堤防以及水路或航空运输中其他相似结构物；“车辆</w:t>
      </w:r>
      <w:r>
        <w:rPr>
          <w:rFonts w:ascii="宋体" w:hAnsi="宋体" w:eastAsia="宋体" w:cs="宋体"/>
          <w:spacing w:val="-64"/>
          <w:sz w:val="20"/>
          <w:szCs w:val="20"/>
        </w:rPr>
        <w:t xml:space="preserve"> </w:t>
      </w:r>
      <w:r>
        <w:rPr>
          <w:rFonts w:ascii="宋体" w:hAnsi="宋体" w:eastAsia="宋体" w:cs="宋体"/>
          <w:spacing w:val="4"/>
          <w:sz w:val="20"/>
          <w:szCs w:val="20"/>
        </w:rPr>
        <w:t>”一词的涵义包括船舶和</w:t>
      </w:r>
      <w:r>
        <w:rPr>
          <w:rFonts w:ascii="宋体" w:hAnsi="宋体" w:eastAsia="宋体" w:cs="宋体"/>
          <w:spacing w:val="5"/>
          <w:sz w:val="20"/>
          <w:szCs w:val="20"/>
        </w:rPr>
        <w:t>飞机等。</w:t>
      </w:r>
    </w:p>
    <w:p w14:paraId="059C49CE">
      <w:pPr>
        <w:pStyle w:val="2"/>
        <w:spacing w:before="38" w:line="220" w:lineRule="auto"/>
        <w:ind w:left="8"/>
        <w:outlineLvl w:val="2"/>
        <w:rPr>
          <w:sz w:val="28"/>
          <w:szCs w:val="28"/>
        </w:rPr>
      </w:pPr>
      <w:bookmarkStart w:id="221" w:name="bookmark202"/>
      <w:bookmarkEnd w:id="221"/>
      <w:r>
        <w:rPr>
          <w:rFonts w:ascii="Times New Roman" w:hAnsi="Times New Roman" w:eastAsia="Times New Roman" w:cs="Times New Roman"/>
          <w:spacing w:val="-2"/>
          <w:sz w:val="28"/>
          <w:szCs w:val="28"/>
        </w:rPr>
        <w:t xml:space="preserve">8.  </w:t>
      </w:r>
      <w:r>
        <w:rPr>
          <w:spacing w:val="-2"/>
          <w:sz w:val="28"/>
          <w:szCs w:val="28"/>
        </w:rPr>
        <w:t>测量放线</w:t>
      </w:r>
    </w:p>
    <w:p w14:paraId="786F556E">
      <w:pPr>
        <w:pStyle w:val="2"/>
        <w:spacing w:before="100" w:line="223" w:lineRule="auto"/>
        <w:ind w:left="6"/>
        <w:rPr>
          <w:sz w:val="24"/>
          <w:szCs w:val="24"/>
        </w:rPr>
      </w:pPr>
      <w:r>
        <w:rPr>
          <w:rFonts w:ascii="Times New Roman" w:hAnsi="Times New Roman" w:eastAsia="Times New Roman" w:cs="Times New Roman"/>
          <w:spacing w:val="-2"/>
          <w:sz w:val="24"/>
          <w:szCs w:val="24"/>
        </w:rPr>
        <w:t xml:space="preserve">8.1  </w:t>
      </w:r>
      <w:r>
        <w:rPr>
          <w:spacing w:val="-2"/>
          <w:sz w:val="24"/>
          <w:szCs w:val="24"/>
        </w:rPr>
        <w:t>施工控制网</w:t>
      </w:r>
    </w:p>
    <w:p w14:paraId="4EDF48D6">
      <w:pPr>
        <w:spacing w:before="137" w:line="369" w:lineRule="auto"/>
        <w:ind w:right="70" w:firstLine="423"/>
        <w:rPr>
          <w:rFonts w:ascii="宋体" w:hAnsi="宋体" w:eastAsia="宋体" w:cs="宋体"/>
          <w:sz w:val="20"/>
          <w:szCs w:val="20"/>
        </w:rPr>
      </w:pPr>
      <w:r>
        <w:rPr>
          <w:rFonts w:ascii="Times New Roman" w:hAnsi="Times New Roman" w:eastAsia="Times New Roman" w:cs="Times New Roman"/>
          <w:spacing w:val="7"/>
          <w:sz w:val="20"/>
          <w:szCs w:val="20"/>
        </w:rPr>
        <w:t>8.</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发包人应在专用合同条款约定的期限</w:t>
      </w:r>
      <w:r>
        <w:rPr>
          <w:rFonts w:ascii="宋体" w:hAnsi="宋体" w:eastAsia="宋体" w:cs="宋体"/>
          <w:spacing w:val="6"/>
          <w:sz w:val="20"/>
          <w:szCs w:val="20"/>
        </w:rPr>
        <w:t>内，通过监理人向承包人提供测量基准点、基准线</w:t>
      </w:r>
      <w:r>
        <w:rPr>
          <w:rFonts w:ascii="宋体" w:hAnsi="宋体" w:eastAsia="宋体" w:cs="宋体"/>
          <w:spacing w:val="10"/>
          <w:sz w:val="20"/>
          <w:szCs w:val="20"/>
        </w:rPr>
        <w:t>和水准点及其书面资料。除专用合同条款另有约定外，承包人应根据国</w:t>
      </w:r>
      <w:r>
        <w:rPr>
          <w:rFonts w:ascii="宋体" w:hAnsi="宋体" w:eastAsia="宋体" w:cs="宋体"/>
          <w:spacing w:val="9"/>
          <w:sz w:val="20"/>
          <w:szCs w:val="20"/>
        </w:rPr>
        <w:t>家测绘基准、测绘系统和工程测量技术规范，按上述基准点（线）</w:t>
      </w:r>
      <w:r>
        <w:rPr>
          <w:rFonts w:ascii="宋体" w:hAnsi="宋体" w:eastAsia="宋体" w:cs="宋体"/>
          <w:spacing w:val="-58"/>
          <w:sz w:val="20"/>
          <w:szCs w:val="20"/>
        </w:rPr>
        <w:t xml:space="preserve"> </w:t>
      </w:r>
      <w:r>
        <w:rPr>
          <w:rFonts w:ascii="宋体" w:hAnsi="宋体" w:eastAsia="宋体" w:cs="宋体"/>
          <w:spacing w:val="9"/>
          <w:sz w:val="20"/>
          <w:szCs w:val="20"/>
        </w:rPr>
        <w:t>以及合同工程精度要求，测设</w:t>
      </w:r>
      <w:r>
        <w:rPr>
          <w:rFonts w:ascii="宋体" w:hAnsi="宋体" w:eastAsia="宋体" w:cs="宋体"/>
          <w:spacing w:val="8"/>
          <w:sz w:val="20"/>
          <w:szCs w:val="20"/>
        </w:rPr>
        <w:t>施工控制网，并在专用合</w:t>
      </w:r>
      <w:r>
        <w:rPr>
          <w:rFonts w:ascii="宋体" w:hAnsi="宋体" w:eastAsia="宋体" w:cs="宋体"/>
          <w:spacing w:val="9"/>
          <w:sz w:val="20"/>
          <w:szCs w:val="20"/>
        </w:rPr>
        <w:t>同条款约定的期限内，将施工控制网资料报送监理人审批。</w:t>
      </w:r>
    </w:p>
    <w:p w14:paraId="5EEB7638">
      <w:pPr>
        <w:spacing w:before="1" w:line="357" w:lineRule="auto"/>
        <w:ind w:right="70" w:firstLine="424"/>
        <w:rPr>
          <w:rFonts w:ascii="宋体" w:hAnsi="宋体" w:eastAsia="宋体" w:cs="宋体"/>
          <w:sz w:val="20"/>
          <w:szCs w:val="20"/>
        </w:rPr>
      </w:pPr>
      <w:r>
        <w:rPr>
          <w:rFonts w:ascii="Times New Roman" w:hAnsi="Times New Roman" w:eastAsia="Times New Roman" w:cs="Times New Roman"/>
          <w:spacing w:val="7"/>
          <w:sz w:val="20"/>
          <w:szCs w:val="20"/>
        </w:rPr>
        <w:t>8.</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 xml:space="preserve">1.2 </w:t>
      </w:r>
      <w:r>
        <w:rPr>
          <w:rFonts w:ascii="宋体" w:hAnsi="宋体" w:eastAsia="宋体" w:cs="宋体"/>
          <w:spacing w:val="7"/>
          <w:sz w:val="20"/>
          <w:szCs w:val="20"/>
        </w:rPr>
        <w:t>承包人应负责管理施工控制网点。施工控制网点丢失或损坏的，承包人应及时修复。承</w:t>
      </w:r>
      <w:r>
        <w:rPr>
          <w:rFonts w:ascii="宋体" w:hAnsi="宋体" w:eastAsia="宋体" w:cs="宋体"/>
          <w:spacing w:val="10"/>
          <w:sz w:val="20"/>
          <w:szCs w:val="20"/>
        </w:rPr>
        <w:t>包人应承担施工控制网点的管理与修复费用</w:t>
      </w:r>
      <w:r>
        <w:rPr>
          <w:rFonts w:ascii="宋体" w:hAnsi="宋体" w:eastAsia="宋体" w:cs="宋体"/>
          <w:spacing w:val="9"/>
          <w:sz w:val="20"/>
          <w:szCs w:val="20"/>
        </w:rPr>
        <w:t>，并在工程竣工后将施工控制网点移交发包人。</w:t>
      </w:r>
    </w:p>
    <w:p w14:paraId="50281459">
      <w:pPr>
        <w:pStyle w:val="2"/>
        <w:spacing w:before="1" w:line="223" w:lineRule="auto"/>
        <w:ind w:left="6"/>
        <w:rPr>
          <w:sz w:val="24"/>
          <w:szCs w:val="24"/>
        </w:rPr>
      </w:pPr>
      <w:r>
        <w:rPr>
          <w:rFonts w:ascii="Times New Roman" w:hAnsi="Times New Roman" w:eastAsia="Times New Roman" w:cs="Times New Roman"/>
          <w:spacing w:val="-2"/>
          <w:sz w:val="24"/>
          <w:szCs w:val="24"/>
        </w:rPr>
        <w:t xml:space="preserve">8.2  </w:t>
      </w:r>
      <w:r>
        <w:rPr>
          <w:spacing w:val="-2"/>
          <w:sz w:val="24"/>
          <w:szCs w:val="24"/>
        </w:rPr>
        <w:t>施工测量</w:t>
      </w:r>
    </w:p>
    <w:p w14:paraId="3EF03D69">
      <w:pPr>
        <w:spacing w:before="134" w:line="370" w:lineRule="auto"/>
        <w:ind w:right="70" w:firstLine="423"/>
        <w:rPr>
          <w:rFonts w:ascii="宋体" w:hAnsi="宋体" w:eastAsia="宋体" w:cs="宋体"/>
          <w:sz w:val="20"/>
          <w:szCs w:val="20"/>
        </w:rPr>
      </w:pPr>
      <w:r>
        <w:rPr>
          <w:rFonts w:ascii="Times New Roman" w:hAnsi="Times New Roman" w:eastAsia="Times New Roman" w:cs="Times New Roman"/>
          <w:spacing w:val="7"/>
          <w:sz w:val="20"/>
          <w:szCs w:val="20"/>
        </w:rPr>
        <w:t>8.2.</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承包人应负责施工过程中的全部施工测量放线工作，并配置合格的人员、仪器、设备和</w:t>
      </w:r>
      <w:r>
        <w:rPr>
          <w:rFonts w:ascii="宋体" w:hAnsi="宋体" w:eastAsia="宋体" w:cs="宋体"/>
          <w:spacing w:val="5"/>
          <w:sz w:val="20"/>
          <w:szCs w:val="20"/>
        </w:rPr>
        <w:t>其他物品。</w:t>
      </w:r>
    </w:p>
    <w:p w14:paraId="6533E218">
      <w:pPr>
        <w:spacing w:before="1" w:line="356" w:lineRule="auto"/>
        <w:ind w:left="9" w:right="73" w:firstLine="414"/>
        <w:rPr>
          <w:rFonts w:ascii="宋体" w:hAnsi="宋体" w:eastAsia="宋体" w:cs="宋体"/>
          <w:sz w:val="20"/>
          <w:szCs w:val="20"/>
        </w:rPr>
      </w:pPr>
      <w:r>
        <w:rPr>
          <w:rFonts w:ascii="Times New Roman" w:hAnsi="Times New Roman" w:eastAsia="Times New Roman" w:cs="Times New Roman"/>
          <w:spacing w:val="12"/>
          <w:sz w:val="20"/>
          <w:szCs w:val="20"/>
        </w:rPr>
        <w:t xml:space="preserve">8.2.2 </w:t>
      </w:r>
      <w:r>
        <w:rPr>
          <w:rFonts w:ascii="宋体" w:hAnsi="宋体" w:eastAsia="宋体" w:cs="宋体"/>
          <w:spacing w:val="12"/>
          <w:sz w:val="20"/>
          <w:szCs w:val="20"/>
        </w:rPr>
        <w:t>监理人可以指示承包人进行抽样复测，当复测中发现错误或出现超过合同约定的误差</w:t>
      </w:r>
      <w:r>
        <w:rPr>
          <w:rFonts w:ascii="宋体" w:hAnsi="宋体" w:eastAsia="宋体" w:cs="宋体"/>
          <w:spacing w:val="9"/>
          <w:sz w:val="20"/>
          <w:szCs w:val="20"/>
        </w:rPr>
        <w:t>时，承包人应按监理人指示进行修正或补测，并承担相应的复测费用。</w:t>
      </w:r>
    </w:p>
    <w:p w14:paraId="3459CB08">
      <w:pPr>
        <w:pStyle w:val="2"/>
        <w:spacing w:before="1" w:line="220" w:lineRule="auto"/>
        <w:ind w:left="6"/>
        <w:rPr>
          <w:sz w:val="24"/>
          <w:szCs w:val="24"/>
        </w:rPr>
      </w:pPr>
      <w:r>
        <w:rPr>
          <w:rFonts w:ascii="Times New Roman" w:hAnsi="Times New Roman" w:eastAsia="Times New Roman" w:cs="Times New Roman"/>
          <w:spacing w:val="-2"/>
          <w:sz w:val="24"/>
          <w:szCs w:val="24"/>
        </w:rPr>
        <w:t xml:space="preserve">8.3  </w:t>
      </w:r>
      <w:r>
        <w:rPr>
          <w:spacing w:val="-2"/>
          <w:sz w:val="24"/>
          <w:szCs w:val="24"/>
        </w:rPr>
        <w:t>基准资料错误的责任</w:t>
      </w:r>
    </w:p>
    <w:p w14:paraId="4632A6FD">
      <w:pPr>
        <w:spacing w:before="142" w:line="363" w:lineRule="auto"/>
        <w:ind w:right="71" w:firstLine="423"/>
        <w:jc w:val="both"/>
        <w:rPr>
          <w:rFonts w:ascii="宋体" w:hAnsi="宋体" w:eastAsia="宋体" w:cs="宋体"/>
          <w:sz w:val="20"/>
          <w:szCs w:val="20"/>
        </w:rPr>
      </w:pPr>
      <w:r>
        <w:rPr>
          <w:rFonts w:ascii="宋体" w:hAnsi="宋体" w:eastAsia="宋体" w:cs="宋体"/>
          <w:spacing w:val="10"/>
          <w:sz w:val="20"/>
          <w:szCs w:val="20"/>
        </w:rPr>
        <w:t>发包人应对其提供的测量基准点、基准线和水准点及其书面资</w:t>
      </w:r>
      <w:r>
        <w:rPr>
          <w:rFonts w:ascii="宋体" w:hAnsi="宋体" w:eastAsia="宋体" w:cs="宋体"/>
          <w:spacing w:val="9"/>
          <w:sz w:val="20"/>
          <w:szCs w:val="20"/>
        </w:rPr>
        <w:t>料的真实性、准确性和完整性</w:t>
      </w:r>
      <w:r>
        <w:rPr>
          <w:rFonts w:ascii="宋体" w:hAnsi="宋体" w:eastAsia="宋体" w:cs="宋体"/>
          <w:spacing w:val="10"/>
          <w:sz w:val="20"/>
          <w:szCs w:val="20"/>
        </w:rPr>
        <w:t>负责。发包人提供上述基准资料错误导致承包人测量放线工作的返工或造</w:t>
      </w:r>
      <w:r>
        <w:rPr>
          <w:rFonts w:ascii="宋体" w:hAnsi="宋体" w:eastAsia="宋体" w:cs="宋体"/>
          <w:spacing w:val="9"/>
          <w:sz w:val="20"/>
          <w:szCs w:val="20"/>
        </w:rPr>
        <w:t>成工程损失的，发包人</w:t>
      </w:r>
      <w:r>
        <w:rPr>
          <w:rFonts w:ascii="宋体" w:hAnsi="宋体" w:eastAsia="宋体" w:cs="宋体"/>
          <w:spacing w:val="10"/>
          <w:sz w:val="20"/>
          <w:szCs w:val="20"/>
        </w:rPr>
        <w:t>应当承担由此增加的费用和（或）工期延误，并向承包人支付合理利润。</w:t>
      </w:r>
      <w:r>
        <w:rPr>
          <w:rFonts w:ascii="宋体" w:hAnsi="宋体" w:eastAsia="宋体" w:cs="宋体"/>
          <w:spacing w:val="9"/>
          <w:sz w:val="20"/>
          <w:szCs w:val="20"/>
        </w:rPr>
        <w:t>承包人发现发包人提供的上述基准资料存在明显错误或疏忽的，应及时通知监理人。</w:t>
      </w:r>
    </w:p>
    <w:p w14:paraId="26CDBE78">
      <w:pPr>
        <w:pStyle w:val="2"/>
        <w:spacing w:before="1" w:line="221" w:lineRule="auto"/>
        <w:ind w:left="6"/>
        <w:rPr>
          <w:sz w:val="24"/>
          <w:szCs w:val="24"/>
        </w:rPr>
      </w:pPr>
      <w:r>
        <w:rPr>
          <w:rFonts w:ascii="Times New Roman" w:hAnsi="Times New Roman" w:eastAsia="Times New Roman" w:cs="Times New Roman"/>
          <w:spacing w:val="-1"/>
          <w:sz w:val="24"/>
          <w:szCs w:val="24"/>
        </w:rPr>
        <w:t xml:space="preserve">8.4  </w:t>
      </w:r>
      <w:r>
        <w:rPr>
          <w:spacing w:val="-1"/>
          <w:sz w:val="24"/>
          <w:szCs w:val="24"/>
        </w:rPr>
        <w:t>监理人使用施工控制网</w:t>
      </w:r>
    </w:p>
    <w:p w14:paraId="455DD6CB">
      <w:pPr>
        <w:spacing w:before="137" w:line="227" w:lineRule="auto"/>
        <w:ind w:left="420"/>
        <w:rPr>
          <w:rFonts w:ascii="宋体" w:hAnsi="宋体" w:eastAsia="宋体" w:cs="宋体"/>
          <w:sz w:val="20"/>
          <w:szCs w:val="20"/>
        </w:rPr>
      </w:pPr>
      <w:r>
        <w:rPr>
          <w:rFonts w:ascii="宋体" w:hAnsi="宋体" w:eastAsia="宋体" w:cs="宋体"/>
          <w:spacing w:val="9"/>
          <w:sz w:val="20"/>
          <w:szCs w:val="20"/>
        </w:rPr>
        <w:t>监理人需要使用施工控制网的，承包人应提供必要的协助，发包人不再为此支付费用。</w:t>
      </w:r>
    </w:p>
    <w:p w14:paraId="707C72F4">
      <w:pPr>
        <w:spacing w:line="227" w:lineRule="auto"/>
        <w:rPr>
          <w:rFonts w:ascii="宋体" w:hAnsi="宋体" w:eastAsia="宋体" w:cs="宋体"/>
          <w:sz w:val="20"/>
          <w:szCs w:val="20"/>
        </w:rPr>
        <w:sectPr>
          <w:footerReference r:id="rId173" w:type="default"/>
          <w:pgSz w:w="11906" w:h="16839"/>
          <w:pgMar w:top="400" w:right="1483" w:bottom="1038" w:left="1539" w:header="0" w:footer="787" w:gutter="0"/>
          <w:cols w:space="720" w:num="1"/>
        </w:sectPr>
      </w:pPr>
    </w:p>
    <w:p w14:paraId="7E8C2F1B">
      <w:pPr>
        <w:spacing w:line="250" w:lineRule="auto"/>
        <w:rPr>
          <w:rFonts w:ascii="Arial"/>
          <w:sz w:val="21"/>
        </w:rPr>
      </w:pPr>
    </w:p>
    <w:p w14:paraId="24C5247E">
      <w:pPr>
        <w:spacing w:line="250" w:lineRule="auto"/>
        <w:rPr>
          <w:rFonts w:ascii="Arial"/>
          <w:sz w:val="21"/>
        </w:rPr>
      </w:pPr>
    </w:p>
    <w:p w14:paraId="451ACDC4">
      <w:pPr>
        <w:spacing w:line="250" w:lineRule="auto"/>
        <w:rPr>
          <w:rFonts w:ascii="Arial"/>
          <w:sz w:val="21"/>
        </w:rPr>
      </w:pPr>
    </w:p>
    <w:p w14:paraId="43EA35D3">
      <w:pPr>
        <w:spacing w:line="250" w:lineRule="auto"/>
        <w:rPr>
          <w:rFonts w:ascii="Arial"/>
          <w:sz w:val="21"/>
        </w:rPr>
      </w:pPr>
    </w:p>
    <w:p w14:paraId="3994C9A0">
      <w:pPr>
        <w:pStyle w:val="2"/>
        <w:spacing w:before="91" w:line="222" w:lineRule="auto"/>
        <w:ind w:left="3"/>
        <w:outlineLvl w:val="2"/>
        <w:rPr>
          <w:sz w:val="28"/>
          <w:szCs w:val="28"/>
        </w:rPr>
      </w:pPr>
      <w:bookmarkStart w:id="222" w:name="bookmark203"/>
      <w:bookmarkEnd w:id="222"/>
      <w:r>
        <w:rPr>
          <w:rFonts w:ascii="Times New Roman" w:hAnsi="Times New Roman" w:eastAsia="Times New Roman" w:cs="Times New Roman"/>
          <w:spacing w:val="-1"/>
          <w:sz w:val="28"/>
          <w:szCs w:val="28"/>
        </w:rPr>
        <w:t xml:space="preserve">9.  </w:t>
      </w:r>
      <w:r>
        <w:rPr>
          <w:spacing w:val="-1"/>
          <w:sz w:val="28"/>
          <w:szCs w:val="28"/>
        </w:rPr>
        <w:t>施工安全、治安保卫和环境保护</w:t>
      </w:r>
    </w:p>
    <w:p w14:paraId="35D0D16A">
      <w:pPr>
        <w:pStyle w:val="2"/>
        <w:spacing w:before="98" w:line="221" w:lineRule="auto"/>
        <w:ind w:left="1"/>
        <w:rPr>
          <w:sz w:val="24"/>
          <w:szCs w:val="24"/>
        </w:rPr>
      </w:pPr>
      <w:r>
        <w:rPr>
          <w:rFonts w:ascii="Times New Roman" w:hAnsi="Times New Roman" w:eastAsia="Times New Roman" w:cs="Times New Roman"/>
          <w:spacing w:val="-1"/>
          <w:sz w:val="24"/>
          <w:szCs w:val="24"/>
        </w:rPr>
        <w:t xml:space="preserve">9.1  </w:t>
      </w:r>
      <w:r>
        <w:rPr>
          <w:spacing w:val="-1"/>
          <w:sz w:val="24"/>
          <w:szCs w:val="24"/>
        </w:rPr>
        <w:t>发包人的施工安全责任</w:t>
      </w:r>
    </w:p>
    <w:p w14:paraId="78C0E54A">
      <w:pPr>
        <w:spacing w:before="137" w:line="369" w:lineRule="auto"/>
        <w:ind w:right="56" w:firstLine="420"/>
        <w:rPr>
          <w:rFonts w:ascii="宋体" w:hAnsi="宋体" w:eastAsia="宋体" w:cs="宋体"/>
          <w:sz w:val="20"/>
          <w:szCs w:val="20"/>
        </w:rPr>
      </w:pPr>
      <w:r>
        <w:rPr>
          <w:rFonts w:ascii="Times New Roman" w:hAnsi="Times New Roman" w:eastAsia="Times New Roman" w:cs="Times New Roman"/>
          <w:spacing w:val="5"/>
          <w:sz w:val="20"/>
          <w:szCs w:val="20"/>
        </w:rPr>
        <w:t>9.</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发包人应按合同约定履行安全职责，授权监理人按合同约定的安全工作内容监督、检查</w:t>
      </w:r>
      <w:r>
        <w:rPr>
          <w:rFonts w:ascii="宋体" w:hAnsi="宋体" w:eastAsia="宋体" w:cs="宋体"/>
          <w:spacing w:val="9"/>
          <w:sz w:val="20"/>
          <w:szCs w:val="20"/>
        </w:rPr>
        <w:t>承包人安全工作的实施，组织承包人和有关单位进行安全检查。</w:t>
      </w:r>
    </w:p>
    <w:p w14:paraId="693E5D9B">
      <w:pPr>
        <w:spacing w:before="2" w:line="369" w:lineRule="auto"/>
        <w:ind w:right="54" w:firstLine="420"/>
        <w:rPr>
          <w:rFonts w:ascii="宋体" w:hAnsi="宋体" w:eastAsia="宋体" w:cs="宋体"/>
          <w:sz w:val="20"/>
          <w:szCs w:val="20"/>
        </w:rPr>
      </w:pPr>
      <w:r>
        <w:rPr>
          <w:rFonts w:ascii="Times New Roman" w:hAnsi="Times New Roman" w:eastAsia="Times New Roman" w:cs="Times New Roman"/>
          <w:spacing w:val="6"/>
          <w:sz w:val="20"/>
          <w:szCs w:val="20"/>
        </w:rPr>
        <w:t>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  </w:t>
      </w:r>
      <w:r>
        <w:rPr>
          <w:rFonts w:ascii="宋体" w:hAnsi="宋体" w:eastAsia="宋体" w:cs="宋体"/>
          <w:spacing w:val="6"/>
          <w:sz w:val="20"/>
          <w:szCs w:val="20"/>
        </w:rPr>
        <w:t>发包人应对其现场机构雇佣的全部人员的工伤事故承担责任，但由于承包人</w:t>
      </w:r>
      <w:r>
        <w:rPr>
          <w:rFonts w:ascii="宋体" w:hAnsi="宋体" w:eastAsia="宋体" w:cs="宋体"/>
          <w:spacing w:val="5"/>
          <w:sz w:val="20"/>
          <w:szCs w:val="20"/>
        </w:rPr>
        <w:t>原因造成发</w:t>
      </w:r>
      <w:r>
        <w:rPr>
          <w:rFonts w:ascii="宋体" w:hAnsi="宋体" w:eastAsia="宋体" w:cs="宋体"/>
          <w:spacing w:val="8"/>
          <w:sz w:val="20"/>
          <w:szCs w:val="20"/>
        </w:rPr>
        <w:t>包人人员工伤的，应由承包人承担责任。</w:t>
      </w:r>
    </w:p>
    <w:p w14:paraId="5ABECF4E">
      <w:pPr>
        <w:spacing w:line="227" w:lineRule="auto"/>
        <w:ind w:left="420"/>
        <w:rPr>
          <w:rFonts w:ascii="宋体" w:hAnsi="宋体" w:eastAsia="宋体" w:cs="宋体"/>
          <w:sz w:val="20"/>
          <w:szCs w:val="20"/>
        </w:rPr>
      </w:pPr>
      <w:r>
        <w:rPr>
          <w:rFonts w:ascii="Times New Roman" w:hAnsi="Times New Roman" w:eastAsia="Times New Roman" w:cs="Times New Roman"/>
          <w:spacing w:val="8"/>
          <w:sz w:val="20"/>
          <w:szCs w:val="20"/>
        </w:rPr>
        <w:t>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1.3  </w:t>
      </w:r>
      <w:r>
        <w:rPr>
          <w:rFonts w:ascii="宋体" w:hAnsi="宋体" w:eastAsia="宋体" w:cs="宋体"/>
          <w:spacing w:val="8"/>
          <w:sz w:val="20"/>
          <w:szCs w:val="20"/>
        </w:rPr>
        <w:t>发包人应负责赔偿以下各种情况</w:t>
      </w:r>
      <w:r>
        <w:rPr>
          <w:rFonts w:ascii="宋体" w:hAnsi="宋体" w:eastAsia="宋体" w:cs="宋体"/>
          <w:spacing w:val="7"/>
          <w:sz w:val="20"/>
          <w:szCs w:val="20"/>
        </w:rPr>
        <w:t>造成的第三者人身伤亡和财产损失：</w:t>
      </w:r>
    </w:p>
    <w:p w14:paraId="4B1E2106">
      <w:pPr>
        <w:spacing w:before="151"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 工程或工程的任何部分对土地的占用所造</w:t>
      </w:r>
      <w:r>
        <w:rPr>
          <w:rFonts w:ascii="宋体" w:hAnsi="宋体" w:eastAsia="宋体" w:cs="宋体"/>
          <w:spacing w:val="8"/>
          <w:sz w:val="20"/>
          <w:szCs w:val="20"/>
        </w:rPr>
        <w:t>成的第三者财产损失；</w:t>
      </w:r>
    </w:p>
    <w:p w14:paraId="50D02F22">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w:t>
      </w:r>
      <w:r>
        <w:rPr>
          <w:rFonts w:ascii="宋体" w:hAnsi="宋体" w:eastAsia="宋体" w:cs="宋体"/>
          <w:spacing w:val="49"/>
          <w:sz w:val="20"/>
          <w:szCs w:val="20"/>
        </w:rPr>
        <w:t xml:space="preserve"> </w:t>
      </w:r>
      <w:r>
        <w:rPr>
          <w:rFonts w:ascii="宋体" w:hAnsi="宋体" w:eastAsia="宋体" w:cs="宋体"/>
          <w:spacing w:val="8"/>
          <w:sz w:val="20"/>
          <w:szCs w:val="20"/>
        </w:rPr>
        <w:t>由于发包人原因在施工场地及其毗邻地带造成的第三者人身伤</w:t>
      </w:r>
      <w:r>
        <w:rPr>
          <w:rFonts w:ascii="宋体" w:hAnsi="宋体" w:eastAsia="宋体" w:cs="宋体"/>
          <w:spacing w:val="7"/>
          <w:sz w:val="20"/>
          <w:szCs w:val="20"/>
        </w:rPr>
        <w:t>亡和财产损失。</w:t>
      </w:r>
    </w:p>
    <w:p w14:paraId="459D8956">
      <w:pPr>
        <w:pStyle w:val="2"/>
        <w:spacing w:before="128" w:line="221" w:lineRule="auto"/>
        <w:ind w:left="1"/>
        <w:rPr>
          <w:sz w:val="24"/>
          <w:szCs w:val="24"/>
        </w:rPr>
      </w:pPr>
      <w:r>
        <w:rPr>
          <w:rFonts w:ascii="Times New Roman" w:hAnsi="Times New Roman" w:eastAsia="Times New Roman" w:cs="Times New Roman"/>
          <w:spacing w:val="-1"/>
          <w:sz w:val="24"/>
          <w:szCs w:val="24"/>
        </w:rPr>
        <w:t xml:space="preserve">9.2  </w:t>
      </w:r>
      <w:r>
        <w:rPr>
          <w:spacing w:val="-1"/>
          <w:sz w:val="24"/>
          <w:szCs w:val="24"/>
        </w:rPr>
        <w:t>承包人的施工安全责任</w:t>
      </w:r>
    </w:p>
    <w:p w14:paraId="58B68B3B">
      <w:pPr>
        <w:spacing w:before="139" w:line="367" w:lineRule="auto"/>
        <w:ind w:left="5" w:right="54" w:firstLine="415"/>
        <w:rPr>
          <w:rFonts w:ascii="宋体" w:hAnsi="宋体" w:eastAsia="宋体" w:cs="宋体"/>
          <w:sz w:val="20"/>
          <w:szCs w:val="20"/>
        </w:rPr>
      </w:pPr>
      <w:r>
        <w:rPr>
          <w:rFonts w:ascii="Times New Roman" w:hAnsi="Times New Roman" w:eastAsia="Times New Roman" w:cs="Times New Roman"/>
          <w:spacing w:val="8"/>
          <w:sz w:val="20"/>
          <w:szCs w:val="20"/>
        </w:rPr>
        <w:t>9.2.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承包人应按合同约定履行安全职责</w:t>
      </w:r>
      <w:r>
        <w:rPr>
          <w:rFonts w:ascii="Times New Roman" w:hAnsi="Times New Roman" w:eastAsia="Times New Roman" w:cs="Times New Roman"/>
          <w:spacing w:val="8"/>
          <w:sz w:val="20"/>
          <w:szCs w:val="20"/>
        </w:rPr>
        <w:t>,</w:t>
      </w:r>
      <w:r>
        <w:rPr>
          <w:rFonts w:ascii="宋体" w:hAnsi="宋体" w:eastAsia="宋体" w:cs="宋体"/>
          <w:spacing w:val="8"/>
          <w:sz w:val="20"/>
          <w:szCs w:val="20"/>
        </w:rPr>
        <w:t>执行监理人有关安全工作的指示</w:t>
      </w:r>
      <w:r>
        <w:rPr>
          <w:rFonts w:ascii="Times New Roman" w:hAnsi="Times New Roman" w:eastAsia="Times New Roman" w:cs="Times New Roman"/>
          <w:spacing w:val="8"/>
          <w:sz w:val="20"/>
          <w:szCs w:val="20"/>
        </w:rPr>
        <w:t>,</w:t>
      </w:r>
      <w:r>
        <w:rPr>
          <w:rFonts w:ascii="宋体" w:hAnsi="宋体" w:eastAsia="宋体" w:cs="宋体"/>
          <w:spacing w:val="8"/>
          <w:sz w:val="20"/>
          <w:szCs w:val="20"/>
        </w:rPr>
        <w:t>并在专用合</w:t>
      </w:r>
      <w:r>
        <w:rPr>
          <w:rFonts w:ascii="宋体" w:hAnsi="宋体" w:eastAsia="宋体" w:cs="宋体"/>
          <w:spacing w:val="7"/>
          <w:sz w:val="20"/>
          <w:szCs w:val="20"/>
        </w:rPr>
        <w:t>同条款</w:t>
      </w:r>
      <w:r>
        <w:rPr>
          <w:rFonts w:ascii="宋体" w:hAnsi="宋体" w:eastAsia="宋体" w:cs="宋体"/>
          <w:spacing w:val="9"/>
          <w:sz w:val="20"/>
          <w:szCs w:val="20"/>
        </w:rPr>
        <w:t>约定的期限内，按合同约定的安全工作内容，编制施工安全措施计划报送监理人审批。</w:t>
      </w:r>
    </w:p>
    <w:p w14:paraId="5B87120A">
      <w:pPr>
        <w:spacing w:before="6" w:line="368" w:lineRule="auto"/>
        <w:ind w:left="2" w:right="54" w:firstLine="417"/>
        <w:rPr>
          <w:rFonts w:ascii="宋体" w:hAnsi="宋体" w:eastAsia="宋体" w:cs="宋体"/>
          <w:sz w:val="20"/>
          <w:szCs w:val="20"/>
        </w:rPr>
      </w:pPr>
      <w:r>
        <w:rPr>
          <w:rFonts w:ascii="Times New Roman" w:hAnsi="Times New Roman" w:eastAsia="Times New Roman" w:cs="Times New Roman"/>
          <w:spacing w:val="7"/>
          <w:sz w:val="20"/>
          <w:szCs w:val="20"/>
        </w:rPr>
        <w:t xml:space="preserve">9.2.2  </w:t>
      </w:r>
      <w:r>
        <w:rPr>
          <w:rFonts w:ascii="宋体" w:hAnsi="宋体" w:eastAsia="宋体" w:cs="宋体"/>
          <w:spacing w:val="7"/>
          <w:sz w:val="20"/>
          <w:szCs w:val="20"/>
        </w:rPr>
        <w:t>承包人应加强施工作业安全管</w:t>
      </w:r>
      <w:r>
        <w:rPr>
          <w:rFonts w:ascii="宋体" w:hAnsi="宋体" w:eastAsia="宋体" w:cs="宋体"/>
          <w:spacing w:val="6"/>
          <w:sz w:val="20"/>
          <w:szCs w:val="20"/>
        </w:rPr>
        <w:t>理，特别应加强易燃、易爆材料、火工器材、有毒与腐蚀</w:t>
      </w:r>
      <w:r>
        <w:rPr>
          <w:rFonts w:ascii="宋体" w:hAnsi="宋体" w:eastAsia="宋体" w:cs="宋体"/>
          <w:spacing w:val="9"/>
          <w:sz w:val="20"/>
          <w:szCs w:val="20"/>
        </w:rPr>
        <w:t>性材料和其他危险品的管理，以及对爆破作业和地下工程施工等危险作业的管理。</w:t>
      </w:r>
    </w:p>
    <w:p w14:paraId="6C3E5101">
      <w:pPr>
        <w:spacing w:before="1" w:line="369" w:lineRule="auto"/>
        <w:ind w:right="54" w:firstLine="419"/>
        <w:rPr>
          <w:rFonts w:ascii="宋体" w:hAnsi="宋体" w:eastAsia="宋体" w:cs="宋体"/>
          <w:sz w:val="20"/>
          <w:szCs w:val="20"/>
        </w:rPr>
      </w:pPr>
      <w:r>
        <w:rPr>
          <w:rFonts w:ascii="Times New Roman" w:hAnsi="Times New Roman" w:eastAsia="Times New Roman" w:cs="Times New Roman"/>
          <w:spacing w:val="7"/>
          <w:sz w:val="20"/>
          <w:szCs w:val="20"/>
        </w:rPr>
        <w:t xml:space="preserve">9.2.3  </w:t>
      </w:r>
      <w:r>
        <w:rPr>
          <w:rFonts w:ascii="宋体" w:hAnsi="宋体" w:eastAsia="宋体" w:cs="宋体"/>
          <w:spacing w:val="7"/>
          <w:sz w:val="20"/>
          <w:szCs w:val="20"/>
        </w:rPr>
        <w:t>承包人应严格按照国家安全标</w:t>
      </w:r>
      <w:r>
        <w:rPr>
          <w:rFonts w:ascii="宋体" w:hAnsi="宋体" w:eastAsia="宋体" w:cs="宋体"/>
          <w:spacing w:val="6"/>
          <w:sz w:val="20"/>
          <w:szCs w:val="20"/>
        </w:rPr>
        <w:t>准制定施工安全操作规程，配备必要的安全生产和劳动保</w:t>
      </w:r>
      <w:r>
        <w:rPr>
          <w:rFonts w:ascii="宋体" w:hAnsi="宋体" w:eastAsia="宋体" w:cs="宋体"/>
          <w:spacing w:val="9"/>
          <w:sz w:val="20"/>
          <w:szCs w:val="20"/>
        </w:rPr>
        <w:t>护设施，加强对承包人人员的安全教育，并发放安全工作手册和劳动保护用具。</w:t>
      </w:r>
    </w:p>
    <w:p w14:paraId="06FA8F84">
      <w:pPr>
        <w:spacing w:before="2" w:line="369" w:lineRule="auto"/>
        <w:ind w:left="1" w:right="54" w:firstLine="418"/>
        <w:rPr>
          <w:rFonts w:ascii="宋体" w:hAnsi="宋体" w:eastAsia="宋体" w:cs="宋体"/>
          <w:sz w:val="20"/>
          <w:szCs w:val="20"/>
        </w:rPr>
      </w:pPr>
      <w:r>
        <w:rPr>
          <w:rFonts w:ascii="Times New Roman" w:hAnsi="Times New Roman" w:eastAsia="Times New Roman" w:cs="Times New Roman"/>
          <w:spacing w:val="7"/>
          <w:sz w:val="20"/>
          <w:szCs w:val="20"/>
        </w:rPr>
        <w:t xml:space="preserve">9.2.4  </w:t>
      </w:r>
      <w:r>
        <w:rPr>
          <w:rFonts w:ascii="宋体" w:hAnsi="宋体" w:eastAsia="宋体" w:cs="宋体"/>
          <w:spacing w:val="7"/>
          <w:sz w:val="20"/>
          <w:szCs w:val="20"/>
        </w:rPr>
        <w:t>承包人应按监理人的指示制定</w:t>
      </w:r>
      <w:r>
        <w:rPr>
          <w:rFonts w:ascii="宋体" w:hAnsi="宋体" w:eastAsia="宋体" w:cs="宋体"/>
          <w:spacing w:val="6"/>
          <w:sz w:val="20"/>
          <w:szCs w:val="20"/>
        </w:rPr>
        <w:t>应对灾害的紧急预案，报送监理人审批。承包人还应按预</w:t>
      </w:r>
      <w:r>
        <w:rPr>
          <w:rFonts w:ascii="宋体" w:hAnsi="宋体" w:eastAsia="宋体" w:cs="宋体"/>
          <w:spacing w:val="9"/>
          <w:sz w:val="20"/>
          <w:szCs w:val="20"/>
        </w:rPr>
        <w:t>案做好安全检查，配置必要的救助物资和器材，切实保护好有关人员的人身和财产安全。</w:t>
      </w:r>
    </w:p>
    <w:p w14:paraId="75E29F8A">
      <w:pPr>
        <w:spacing w:line="369" w:lineRule="auto"/>
        <w:ind w:right="53" w:firstLine="419"/>
        <w:rPr>
          <w:rFonts w:ascii="宋体" w:hAnsi="宋体" w:eastAsia="宋体" w:cs="宋体"/>
          <w:sz w:val="20"/>
          <w:szCs w:val="20"/>
        </w:rPr>
      </w:pPr>
      <w:r>
        <w:rPr>
          <w:rFonts w:ascii="Times New Roman" w:hAnsi="Times New Roman" w:eastAsia="Times New Roman" w:cs="Times New Roman"/>
          <w:spacing w:val="6"/>
          <w:sz w:val="20"/>
          <w:szCs w:val="20"/>
        </w:rPr>
        <w:t xml:space="preserve">9.2.5  </w:t>
      </w:r>
      <w:r>
        <w:rPr>
          <w:rFonts w:ascii="宋体" w:hAnsi="宋体" w:eastAsia="宋体" w:cs="宋体"/>
          <w:spacing w:val="6"/>
          <w:sz w:val="20"/>
          <w:szCs w:val="20"/>
        </w:rPr>
        <w:t>合同约定的安全作业环境及安全施工措施所需费用应遵守有关规定，并包括在相关工作</w:t>
      </w:r>
      <w:r>
        <w:rPr>
          <w:rFonts w:ascii="宋体" w:hAnsi="宋体" w:eastAsia="宋体" w:cs="宋体"/>
          <w:spacing w:val="7"/>
          <w:sz w:val="20"/>
          <w:szCs w:val="20"/>
        </w:rPr>
        <w:t>的合同价格中。因采取合同未约定的安全作业环境及安全施工措施增加的费</w:t>
      </w:r>
      <w:r>
        <w:rPr>
          <w:rFonts w:ascii="宋体" w:hAnsi="宋体" w:eastAsia="宋体" w:cs="宋体"/>
          <w:spacing w:val="6"/>
          <w:sz w:val="20"/>
          <w:szCs w:val="20"/>
        </w:rPr>
        <w:t>用，由监理人按第</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3.5</w:t>
      </w:r>
      <w:r>
        <w:rPr>
          <w:rFonts w:ascii="宋体" w:hAnsi="宋体" w:eastAsia="宋体" w:cs="宋体"/>
          <w:spacing w:val="6"/>
          <w:sz w:val="20"/>
          <w:szCs w:val="20"/>
        </w:rPr>
        <w:t>款商定或确定。</w:t>
      </w:r>
    </w:p>
    <w:p w14:paraId="37DB4723">
      <w:pPr>
        <w:spacing w:before="2" w:line="368" w:lineRule="auto"/>
        <w:ind w:left="3" w:right="56" w:firstLine="416"/>
        <w:rPr>
          <w:rFonts w:ascii="宋体" w:hAnsi="宋体" w:eastAsia="宋体" w:cs="宋体"/>
          <w:sz w:val="20"/>
          <w:szCs w:val="20"/>
        </w:rPr>
      </w:pPr>
      <w:r>
        <w:rPr>
          <w:rFonts w:ascii="Times New Roman" w:hAnsi="Times New Roman" w:eastAsia="Times New Roman" w:cs="Times New Roman"/>
          <w:spacing w:val="6"/>
          <w:sz w:val="20"/>
          <w:szCs w:val="20"/>
        </w:rPr>
        <w:t xml:space="preserve">9.2.6  </w:t>
      </w:r>
      <w:r>
        <w:rPr>
          <w:rFonts w:ascii="宋体" w:hAnsi="宋体" w:eastAsia="宋体" w:cs="宋体"/>
          <w:spacing w:val="6"/>
          <w:sz w:val="20"/>
          <w:szCs w:val="20"/>
        </w:rPr>
        <w:t>承包人应对其履行合同所雇佣的全部人员，包括分包人人员的工伤事故承担责任，但由</w:t>
      </w:r>
      <w:r>
        <w:rPr>
          <w:rFonts w:ascii="宋体" w:hAnsi="宋体" w:eastAsia="宋体" w:cs="宋体"/>
          <w:spacing w:val="9"/>
          <w:sz w:val="20"/>
          <w:szCs w:val="20"/>
        </w:rPr>
        <w:t>于发包人原因造成承包人人员工伤事故的，应由发包人承担责任。</w:t>
      </w:r>
    </w:p>
    <w:p w14:paraId="2BB7F13E">
      <w:pPr>
        <w:spacing w:before="2" w:line="357" w:lineRule="auto"/>
        <w:ind w:left="1" w:right="54" w:firstLine="418"/>
        <w:rPr>
          <w:rFonts w:ascii="宋体" w:hAnsi="宋体" w:eastAsia="宋体" w:cs="宋体"/>
          <w:sz w:val="20"/>
          <w:szCs w:val="20"/>
        </w:rPr>
      </w:pPr>
      <w:r>
        <w:rPr>
          <w:rFonts w:ascii="Times New Roman" w:hAnsi="Times New Roman" w:eastAsia="Times New Roman" w:cs="Times New Roman"/>
          <w:spacing w:val="6"/>
          <w:sz w:val="20"/>
          <w:szCs w:val="20"/>
        </w:rPr>
        <w:t>9.2.7</w:t>
      </w:r>
      <w:r>
        <w:rPr>
          <w:rFonts w:ascii="Times New Roman" w:hAnsi="Times New Roman" w:eastAsia="Times New Roman" w:cs="Times New Roman"/>
          <w:spacing w:val="18"/>
          <w:w w:val="101"/>
          <w:sz w:val="20"/>
          <w:szCs w:val="20"/>
        </w:rPr>
        <w:t xml:space="preserve">  </w:t>
      </w:r>
      <w:r>
        <w:rPr>
          <w:rFonts w:ascii="宋体" w:hAnsi="宋体" w:eastAsia="宋体" w:cs="宋体"/>
          <w:spacing w:val="6"/>
          <w:sz w:val="20"/>
          <w:szCs w:val="20"/>
        </w:rPr>
        <w:t>由于承包人原因在施工场地内及其毗邻地带造成的第三者人员伤亡和财产损</w:t>
      </w:r>
      <w:r>
        <w:rPr>
          <w:rFonts w:ascii="宋体" w:hAnsi="宋体" w:eastAsia="宋体" w:cs="宋体"/>
          <w:spacing w:val="5"/>
          <w:sz w:val="20"/>
          <w:szCs w:val="20"/>
        </w:rPr>
        <w:t>失，由承包</w:t>
      </w:r>
      <w:r>
        <w:rPr>
          <w:rFonts w:ascii="宋体" w:hAnsi="宋体" w:eastAsia="宋体" w:cs="宋体"/>
          <w:spacing w:val="6"/>
          <w:sz w:val="20"/>
          <w:szCs w:val="20"/>
        </w:rPr>
        <w:t>人负责赔偿。</w:t>
      </w:r>
    </w:p>
    <w:p w14:paraId="420FB2FA">
      <w:pPr>
        <w:pStyle w:val="2"/>
        <w:spacing w:line="221" w:lineRule="auto"/>
        <w:ind w:left="1"/>
        <w:rPr>
          <w:sz w:val="24"/>
          <w:szCs w:val="24"/>
        </w:rPr>
      </w:pPr>
      <w:r>
        <w:rPr>
          <w:rFonts w:ascii="Times New Roman" w:hAnsi="Times New Roman" w:eastAsia="Times New Roman" w:cs="Times New Roman"/>
          <w:spacing w:val="-4"/>
          <w:sz w:val="24"/>
          <w:szCs w:val="24"/>
        </w:rPr>
        <w:t>9.3</w:t>
      </w:r>
      <w:r>
        <w:rPr>
          <w:rFonts w:ascii="Times New Roman" w:hAnsi="Times New Roman" w:eastAsia="Times New Roman" w:cs="Times New Roman"/>
          <w:spacing w:val="8"/>
          <w:sz w:val="24"/>
          <w:szCs w:val="24"/>
        </w:rPr>
        <w:t xml:space="preserve">  </w:t>
      </w:r>
      <w:r>
        <w:rPr>
          <w:spacing w:val="-4"/>
          <w:sz w:val="24"/>
          <w:szCs w:val="24"/>
        </w:rPr>
        <w:t>治安保卫</w:t>
      </w:r>
    </w:p>
    <w:p w14:paraId="0E79AFE9">
      <w:pPr>
        <w:spacing w:before="137" w:line="369" w:lineRule="auto"/>
        <w:ind w:left="3" w:right="54" w:firstLine="416"/>
        <w:rPr>
          <w:rFonts w:ascii="宋体" w:hAnsi="宋体" w:eastAsia="宋体" w:cs="宋体"/>
          <w:sz w:val="20"/>
          <w:szCs w:val="20"/>
        </w:rPr>
      </w:pPr>
      <w:r>
        <w:rPr>
          <w:rFonts w:ascii="Times New Roman" w:hAnsi="Times New Roman" w:eastAsia="Times New Roman" w:cs="Times New Roman"/>
          <w:spacing w:val="6"/>
          <w:sz w:val="20"/>
          <w:szCs w:val="20"/>
        </w:rPr>
        <w:t>9.3.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除合同另有约定外，发包人应与当地公安部门协商，在现场建立治安管理机</w:t>
      </w:r>
      <w:r>
        <w:rPr>
          <w:rFonts w:ascii="宋体" w:hAnsi="宋体" w:eastAsia="宋体" w:cs="宋体"/>
          <w:spacing w:val="5"/>
          <w:sz w:val="20"/>
          <w:szCs w:val="20"/>
        </w:rPr>
        <w:t>构或联防组</w:t>
      </w:r>
      <w:r>
        <w:rPr>
          <w:rFonts w:ascii="宋体" w:hAnsi="宋体" w:eastAsia="宋体" w:cs="宋体"/>
          <w:spacing w:val="9"/>
          <w:sz w:val="20"/>
          <w:szCs w:val="20"/>
        </w:rPr>
        <w:t>织，统一管理施工场地的治安保卫事项，履行合同工程的治安保卫职责。</w:t>
      </w:r>
    </w:p>
    <w:p w14:paraId="7FEF8D92">
      <w:pPr>
        <w:spacing w:before="2" w:line="369" w:lineRule="auto"/>
        <w:ind w:right="54" w:firstLine="420"/>
        <w:rPr>
          <w:rFonts w:ascii="宋体" w:hAnsi="宋体" w:eastAsia="宋体" w:cs="宋体"/>
          <w:sz w:val="20"/>
          <w:szCs w:val="20"/>
        </w:rPr>
      </w:pPr>
      <w:r>
        <w:rPr>
          <w:rFonts w:ascii="Times New Roman" w:hAnsi="Times New Roman" w:eastAsia="Times New Roman" w:cs="Times New Roman"/>
          <w:spacing w:val="7"/>
          <w:sz w:val="20"/>
          <w:szCs w:val="20"/>
        </w:rPr>
        <w:t xml:space="preserve">9.3.2  </w:t>
      </w:r>
      <w:r>
        <w:rPr>
          <w:rFonts w:ascii="宋体" w:hAnsi="宋体" w:eastAsia="宋体" w:cs="宋体"/>
          <w:spacing w:val="7"/>
          <w:sz w:val="20"/>
          <w:szCs w:val="20"/>
        </w:rPr>
        <w:t>发包人和承包人除应协助现场</w:t>
      </w:r>
      <w:r>
        <w:rPr>
          <w:rFonts w:ascii="宋体" w:hAnsi="宋体" w:eastAsia="宋体" w:cs="宋体"/>
          <w:spacing w:val="6"/>
          <w:sz w:val="20"/>
          <w:szCs w:val="20"/>
        </w:rPr>
        <w:t>治安管理机构或联防组织维护施工场地的社会治安外，还</w:t>
      </w:r>
      <w:r>
        <w:rPr>
          <w:rFonts w:ascii="宋体" w:hAnsi="宋体" w:eastAsia="宋体" w:cs="宋体"/>
          <w:spacing w:val="9"/>
          <w:sz w:val="20"/>
          <w:szCs w:val="20"/>
        </w:rPr>
        <w:t>应做好包括生活区在内的各自管辖区的治安保卫工作。</w:t>
      </w:r>
    </w:p>
    <w:p w14:paraId="32E58426">
      <w:pPr>
        <w:spacing w:before="4" w:line="369" w:lineRule="auto"/>
        <w:ind w:firstLine="420"/>
        <w:rPr>
          <w:rFonts w:ascii="宋体" w:hAnsi="宋体" w:eastAsia="宋体" w:cs="宋体"/>
          <w:sz w:val="20"/>
          <w:szCs w:val="20"/>
        </w:rPr>
      </w:pPr>
      <w:r>
        <w:rPr>
          <w:rFonts w:ascii="Times New Roman" w:hAnsi="Times New Roman" w:eastAsia="Times New Roman" w:cs="Times New Roman"/>
          <w:spacing w:val="3"/>
          <w:sz w:val="20"/>
          <w:szCs w:val="20"/>
        </w:rPr>
        <w:t xml:space="preserve">9.3.3  </w:t>
      </w:r>
      <w:r>
        <w:rPr>
          <w:rFonts w:ascii="宋体" w:hAnsi="宋体" w:eastAsia="宋体" w:cs="宋体"/>
          <w:spacing w:val="3"/>
          <w:sz w:val="20"/>
          <w:szCs w:val="20"/>
        </w:rPr>
        <w:t>除合同另有约定外，发包人和承包人应在工程开工后，共同编制施工场地治安管理计划，</w:t>
      </w:r>
      <w:r>
        <w:rPr>
          <w:rFonts w:ascii="宋体" w:hAnsi="宋体" w:eastAsia="宋体" w:cs="宋体"/>
          <w:spacing w:val="9"/>
          <w:sz w:val="20"/>
          <w:szCs w:val="20"/>
        </w:rPr>
        <w:t>并制定应对突发治安事件的紧急预案。在工程施工过程中，发生暴乱、爆炸等</w:t>
      </w:r>
      <w:r>
        <w:rPr>
          <w:rFonts w:ascii="宋体" w:hAnsi="宋体" w:eastAsia="宋体" w:cs="宋体"/>
          <w:spacing w:val="8"/>
          <w:sz w:val="20"/>
          <w:szCs w:val="20"/>
        </w:rPr>
        <w:t>恐怖事件，</w:t>
      </w:r>
      <w:r>
        <w:rPr>
          <w:rFonts w:ascii="宋体" w:hAnsi="宋体" w:eastAsia="宋体" w:cs="宋体"/>
          <w:spacing w:val="-60"/>
          <w:sz w:val="20"/>
          <w:szCs w:val="20"/>
        </w:rPr>
        <w:t xml:space="preserve"> </w:t>
      </w:r>
      <w:r>
        <w:rPr>
          <w:rFonts w:ascii="宋体" w:hAnsi="宋体" w:eastAsia="宋体" w:cs="宋体"/>
          <w:spacing w:val="8"/>
          <w:sz w:val="20"/>
          <w:szCs w:val="20"/>
        </w:rPr>
        <w:t>以及群</w:t>
      </w:r>
      <w:r>
        <w:rPr>
          <w:rFonts w:ascii="宋体" w:hAnsi="宋体" w:eastAsia="宋体" w:cs="宋体"/>
          <w:spacing w:val="10"/>
          <w:sz w:val="20"/>
          <w:szCs w:val="20"/>
        </w:rPr>
        <w:t>殴、械斗等群体性突发治安事件的，发包人和承包人应立即向当地政府报</w:t>
      </w:r>
      <w:r>
        <w:rPr>
          <w:rFonts w:ascii="宋体" w:hAnsi="宋体" w:eastAsia="宋体" w:cs="宋体"/>
          <w:spacing w:val="9"/>
          <w:sz w:val="20"/>
          <w:szCs w:val="20"/>
        </w:rPr>
        <w:t>告。发包人和承包人应</w:t>
      </w:r>
      <w:r>
        <w:rPr>
          <w:rFonts w:ascii="宋体" w:hAnsi="宋体" w:eastAsia="宋体" w:cs="宋体"/>
          <w:spacing w:val="10"/>
          <w:sz w:val="20"/>
          <w:szCs w:val="20"/>
        </w:rPr>
        <w:t>积极协助当地有关部门采取措施平息事态，防止</w:t>
      </w:r>
      <w:r>
        <w:rPr>
          <w:rFonts w:ascii="宋体" w:hAnsi="宋体" w:eastAsia="宋体" w:cs="宋体"/>
          <w:spacing w:val="9"/>
          <w:sz w:val="20"/>
          <w:szCs w:val="20"/>
        </w:rPr>
        <w:t>事态扩大，尽量减少财产损失和避免人员伤亡。</w:t>
      </w:r>
    </w:p>
    <w:p w14:paraId="675C8728">
      <w:pPr>
        <w:spacing w:line="369" w:lineRule="auto"/>
        <w:rPr>
          <w:rFonts w:ascii="宋体" w:hAnsi="宋体" w:eastAsia="宋体" w:cs="宋体"/>
          <w:sz w:val="20"/>
          <w:szCs w:val="20"/>
        </w:rPr>
        <w:sectPr>
          <w:footerReference r:id="rId174" w:type="default"/>
          <w:pgSz w:w="11906" w:h="16839"/>
          <w:pgMar w:top="400" w:right="1500" w:bottom="1038" w:left="1539" w:header="0" w:footer="787" w:gutter="0"/>
          <w:cols w:space="720" w:num="1"/>
        </w:sectPr>
      </w:pPr>
    </w:p>
    <w:p w14:paraId="0A997921">
      <w:pPr>
        <w:spacing w:line="261" w:lineRule="auto"/>
        <w:rPr>
          <w:rFonts w:ascii="Arial"/>
          <w:sz w:val="21"/>
        </w:rPr>
      </w:pPr>
    </w:p>
    <w:p w14:paraId="7945F2A1">
      <w:pPr>
        <w:spacing w:line="262" w:lineRule="auto"/>
        <w:rPr>
          <w:rFonts w:ascii="Arial"/>
          <w:sz w:val="21"/>
        </w:rPr>
      </w:pPr>
    </w:p>
    <w:p w14:paraId="0ACA5F19">
      <w:pPr>
        <w:spacing w:line="262" w:lineRule="auto"/>
        <w:rPr>
          <w:rFonts w:ascii="Arial"/>
          <w:sz w:val="21"/>
        </w:rPr>
      </w:pPr>
    </w:p>
    <w:p w14:paraId="446156A2">
      <w:pPr>
        <w:spacing w:line="262" w:lineRule="auto"/>
        <w:rPr>
          <w:rFonts w:ascii="Arial"/>
          <w:sz w:val="21"/>
        </w:rPr>
      </w:pPr>
    </w:p>
    <w:p w14:paraId="4D798940">
      <w:pPr>
        <w:pStyle w:val="2"/>
        <w:spacing w:before="78" w:line="222" w:lineRule="auto"/>
        <w:ind w:left="2"/>
        <w:rPr>
          <w:sz w:val="24"/>
          <w:szCs w:val="24"/>
        </w:rPr>
      </w:pPr>
      <w:r>
        <w:rPr>
          <w:rFonts w:ascii="Times New Roman" w:hAnsi="Times New Roman" w:eastAsia="Times New Roman" w:cs="Times New Roman"/>
          <w:spacing w:val="-2"/>
          <w:sz w:val="24"/>
          <w:szCs w:val="24"/>
        </w:rPr>
        <w:t xml:space="preserve">9.4  </w:t>
      </w:r>
      <w:r>
        <w:rPr>
          <w:spacing w:val="-2"/>
          <w:sz w:val="24"/>
          <w:szCs w:val="24"/>
        </w:rPr>
        <w:t>环境保护</w:t>
      </w:r>
    </w:p>
    <w:p w14:paraId="242719E0">
      <w:pPr>
        <w:spacing w:before="136" w:line="370" w:lineRule="auto"/>
        <w:ind w:right="70" w:firstLine="421"/>
        <w:rPr>
          <w:rFonts w:ascii="宋体" w:hAnsi="宋体" w:eastAsia="宋体" w:cs="宋体"/>
          <w:sz w:val="20"/>
          <w:szCs w:val="20"/>
        </w:rPr>
      </w:pPr>
      <w:r>
        <w:rPr>
          <w:rFonts w:ascii="Times New Roman" w:hAnsi="Times New Roman" w:eastAsia="Times New Roman" w:cs="Times New Roman"/>
          <w:spacing w:val="6"/>
          <w:sz w:val="20"/>
          <w:szCs w:val="20"/>
        </w:rPr>
        <w:t>9.4.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承包人在施工过程中，应遵守有关环境保护的法律，履行合同约定的环境保</w:t>
      </w:r>
      <w:r>
        <w:rPr>
          <w:rFonts w:ascii="宋体" w:hAnsi="宋体" w:eastAsia="宋体" w:cs="宋体"/>
          <w:spacing w:val="5"/>
          <w:sz w:val="20"/>
          <w:szCs w:val="20"/>
        </w:rPr>
        <w:t>护义务，并</w:t>
      </w:r>
      <w:r>
        <w:rPr>
          <w:rFonts w:ascii="宋体" w:hAnsi="宋体" w:eastAsia="宋体" w:cs="宋体"/>
          <w:spacing w:val="9"/>
          <w:sz w:val="20"/>
          <w:szCs w:val="20"/>
        </w:rPr>
        <w:t>对违反法律和合同约定义务所造成的环境破坏、人身伤害和财产损失负责。</w:t>
      </w:r>
    </w:p>
    <w:p w14:paraId="339DDE8C">
      <w:pPr>
        <w:spacing w:line="227" w:lineRule="auto"/>
        <w:ind w:left="421"/>
        <w:rPr>
          <w:rFonts w:ascii="宋体" w:hAnsi="宋体" w:eastAsia="宋体" w:cs="宋体"/>
          <w:sz w:val="20"/>
          <w:szCs w:val="20"/>
        </w:rPr>
      </w:pPr>
      <w:r>
        <w:rPr>
          <w:rFonts w:ascii="Times New Roman" w:hAnsi="Times New Roman" w:eastAsia="Times New Roman" w:cs="Times New Roman"/>
          <w:spacing w:val="9"/>
          <w:sz w:val="20"/>
          <w:szCs w:val="20"/>
        </w:rPr>
        <w:t xml:space="preserve">9.4.2  </w:t>
      </w:r>
      <w:r>
        <w:rPr>
          <w:rFonts w:ascii="宋体" w:hAnsi="宋体" w:eastAsia="宋体" w:cs="宋体"/>
          <w:spacing w:val="9"/>
          <w:sz w:val="20"/>
          <w:szCs w:val="20"/>
        </w:rPr>
        <w:t>承包人应按合同约定的环保工作</w:t>
      </w:r>
      <w:r>
        <w:rPr>
          <w:rFonts w:ascii="宋体" w:hAnsi="宋体" w:eastAsia="宋体" w:cs="宋体"/>
          <w:spacing w:val="8"/>
          <w:sz w:val="20"/>
          <w:szCs w:val="20"/>
        </w:rPr>
        <w:t>内容，编制施工环保措施计划，报送监理人审批。</w:t>
      </w:r>
    </w:p>
    <w:p w14:paraId="14829989">
      <w:pPr>
        <w:spacing w:before="152" w:line="369" w:lineRule="auto"/>
        <w:ind w:firstLine="421"/>
        <w:rPr>
          <w:rFonts w:ascii="宋体" w:hAnsi="宋体" w:eastAsia="宋体" w:cs="宋体"/>
          <w:sz w:val="20"/>
          <w:szCs w:val="20"/>
        </w:rPr>
      </w:pPr>
      <w:r>
        <w:rPr>
          <w:rFonts w:ascii="Times New Roman" w:hAnsi="Times New Roman" w:eastAsia="Times New Roman" w:cs="Times New Roman"/>
          <w:spacing w:val="7"/>
          <w:sz w:val="20"/>
          <w:szCs w:val="20"/>
        </w:rPr>
        <w:t xml:space="preserve">9.4.3  </w:t>
      </w:r>
      <w:r>
        <w:rPr>
          <w:rFonts w:ascii="宋体" w:hAnsi="宋体" w:eastAsia="宋体" w:cs="宋体"/>
          <w:spacing w:val="7"/>
          <w:sz w:val="20"/>
          <w:szCs w:val="20"/>
        </w:rPr>
        <w:t>承包人应按照批准的施工环保</w:t>
      </w:r>
      <w:r>
        <w:rPr>
          <w:rFonts w:ascii="宋体" w:hAnsi="宋体" w:eastAsia="宋体" w:cs="宋体"/>
          <w:spacing w:val="6"/>
          <w:sz w:val="20"/>
          <w:szCs w:val="20"/>
        </w:rPr>
        <w:t>措施计划有序地堆放和处理施工废弃物，避免对环境造成</w:t>
      </w:r>
      <w:r>
        <w:rPr>
          <w:rFonts w:ascii="宋体" w:hAnsi="宋体" w:eastAsia="宋体" w:cs="宋体"/>
          <w:spacing w:val="10"/>
          <w:sz w:val="20"/>
          <w:szCs w:val="20"/>
        </w:rPr>
        <w:t>破坏。因承包人任意堆放或弃置施工废弃物造成妨碍公共交通、影响城镇居</w:t>
      </w:r>
      <w:r>
        <w:rPr>
          <w:rFonts w:ascii="宋体" w:hAnsi="宋体" w:eastAsia="宋体" w:cs="宋体"/>
          <w:spacing w:val="9"/>
          <w:sz w:val="20"/>
          <w:szCs w:val="20"/>
        </w:rPr>
        <w:t>民生活、降低河流行</w:t>
      </w:r>
      <w:r>
        <w:rPr>
          <w:rFonts w:ascii="宋体" w:hAnsi="宋体" w:eastAsia="宋体" w:cs="宋体"/>
          <w:spacing w:val="7"/>
          <w:sz w:val="20"/>
          <w:szCs w:val="20"/>
        </w:rPr>
        <w:t>洪能力、危及居民安全、破坏周边环境，或者影响其他</w:t>
      </w:r>
      <w:r>
        <w:rPr>
          <w:rFonts w:ascii="宋体" w:hAnsi="宋体" w:eastAsia="宋体" w:cs="宋体"/>
          <w:spacing w:val="6"/>
          <w:sz w:val="20"/>
          <w:szCs w:val="20"/>
        </w:rPr>
        <w:t>承包人施工等后果的，承包人应承担责任。</w:t>
      </w:r>
    </w:p>
    <w:p w14:paraId="1C3681C6">
      <w:pPr>
        <w:spacing w:before="1" w:line="367" w:lineRule="auto"/>
        <w:ind w:left="5" w:right="124" w:firstLine="415"/>
        <w:rPr>
          <w:rFonts w:ascii="宋体" w:hAnsi="宋体" w:eastAsia="宋体" w:cs="宋体"/>
          <w:sz w:val="20"/>
          <w:szCs w:val="20"/>
        </w:rPr>
      </w:pPr>
      <w:r>
        <w:rPr>
          <w:rFonts w:ascii="Times New Roman" w:hAnsi="Times New Roman" w:eastAsia="Times New Roman" w:cs="Times New Roman"/>
          <w:spacing w:val="9"/>
          <w:sz w:val="20"/>
          <w:szCs w:val="20"/>
        </w:rPr>
        <w:t xml:space="preserve">9.4.4  </w:t>
      </w:r>
      <w:r>
        <w:rPr>
          <w:rFonts w:ascii="宋体" w:hAnsi="宋体" w:eastAsia="宋体" w:cs="宋体"/>
          <w:spacing w:val="9"/>
          <w:sz w:val="20"/>
          <w:szCs w:val="20"/>
        </w:rPr>
        <w:t>承包人应按合同约定采取有效措施，对施工开</w:t>
      </w:r>
      <w:r>
        <w:rPr>
          <w:rFonts w:ascii="宋体" w:hAnsi="宋体" w:eastAsia="宋体" w:cs="宋体"/>
          <w:spacing w:val="8"/>
          <w:sz w:val="20"/>
          <w:szCs w:val="20"/>
        </w:rPr>
        <w:t>挖的边坡及时进行支护</w:t>
      </w:r>
      <w:r>
        <w:rPr>
          <w:rFonts w:ascii="Times New Roman" w:hAnsi="Times New Roman" w:eastAsia="Times New Roman" w:cs="Times New Roman"/>
          <w:spacing w:val="8"/>
          <w:sz w:val="20"/>
          <w:szCs w:val="20"/>
        </w:rPr>
        <w:t>,</w:t>
      </w:r>
      <w:r>
        <w:rPr>
          <w:rFonts w:ascii="宋体" w:hAnsi="宋体" w:eastAsia="宋体" w:cs="宋体"/>
          <w:spacing w:val="8"/>
          <w:sz w:val="20"/>
          <w:szCs w:val="20"/>
        </w:rPr>
        <w:t>维护排水设施，并进行水土保护，避免因施工造成的地质灾害。</w:t>
      </w:r>
    </w:p>
    <w:p w14:paraId="348F138C">
      <w:pPr>
        <w:spacing w:before="5" w:line="369" w:lineRule="auto"/>
        <w:ind w:right="73" w:firstLine="421"/>
        <w:rPr>
          <w:rFonts w:ascii="宋体" w:hAnsi="宋体" w:eastAsia="宋体" w:cs="宋体"/>
          <w:sz w:val="20"/>
          <w:szCs w:val="20"/>
        </w:rPr>
      </w:pPr>
      <w:r>
        <w:rPr>
          <w:rFonts w:ascii="Times New Roman" w:hAnsi="Times New Roman" w:eastAsia="Times New Roman" w:cs="Times New Roman"/>
          <w:spacing w:val="11"/>
          <w:sz w:val="20"/>
          <w:szCs w:val="20"/>
        </w:rPr>
        <w:t xml:space="preserve">9.4.5  </w:t>
      </w:r>
      <w:r>
        <w:rPr>
          <w:rFonts w:ascii="宋体" w:hAnsi="宋体" w:eastAsia="宋体" w:cs="宋体"/>
          <w:spacing w:val="11"/>
          <w:sz w:val="20"/>
          <w:szCs w:val="20"/>
        </w:rPr>
        <w:t>承包人应按国家饮用水管理标准定期对饮用水源进行监测，防止施工活动污染饮用水</w:t>
      </w:r>
      <w:r>
        <w:rPr>
          <w:rFonts w:ascii="宋体" w:hAnsi="宋体" w:eastAsia="宋体" w:cs="宋体"/>
          <w:sz w:val="20"/>
          <w:szCs w:val="20"/>
        </w:rPr>
        <w:t>源。</w:t>
      </w:r>
    </w:p>
    <w:p w14:paraId="4AD0C157">
      <w:pPr>
        <w:spacing w:before="2" w:line="357" w:lineRule="auto"/>
        <w:ind w:right="18" w:firstLine="421"/>
        <w:rPr>
          <w:rFonts w:ascii="宋体" w:hAnsi="宋体" w:eastAsia="宋体" w:cs="宋体"/>
          <w:sz w:val="20"/>
          <w:szCs w:val="20"/>
        </w:rPr>
      </w:pPr>
      <w:r>
        <w:rPr>
          <w:rFonts w:ascii="Times New Roman" w:hAnsi="Times New Roman" w:eastAsia="Times New Roman" w:cs="Times New Roman"/>
          <w:spacing w:val="8"/>
          <w:sz w:val="20"/>
          <w:szCs w:val="20"/>
        </w:rPr>
        <w:t xml:space="preserve">9.4.6  </w:t>
      </w:r>
      <w:r>
        <w:rPr>
          <w:rFonts w:ascii="宋体" w:hAnsi="宋体" w:eastAsia="宋体" w:cs="宋体"/>
          <w:spacing w:val="8"/>
          <w:sz w:val="20"/>
          <w:szCs w:val="20"/>
        </w:rPr>
        <w:t>承包人应按合同约定，加强对噪声、粉尘、废</w:t>
      </w:r>
      <w:r>
        <w:rPr>
          <w:rFonts w:ascii="宋体" w:hAnsi="宋体" w:eastAsia="宋体" w:cs="宋体"/>
          <w:spacing w:val="7"/>
          <w:sz w:val="20"/>
          <w:szCs w:val="20"/>
        </w:rPr>
        <w:t>气、废水和废油的控制，努力降低噪声，</w:t>
      </w:r>
      <w:r>
        <w:rPr>
          <w:rFonts w:ascii="宋体" w:hAnsi="宋体" w:eastAsia="宋体" w:cs="宋体"/>
          <w:spacing w:val="9"/>
          <w:sz w:val="20"/>
          <w:szCs w:val="20"/>
        </w:rPr>
        <w:t>控制粉尘和废气浓度，做好废水和废油的治理和排放。</w:t>
      </w:r>
    </w:p>
    <w:p w14:paraId="2CB37FC4">
      <w:pPr>
        <w:pStyle w:val="2"/>
        <w:spacing w:line="223" w:lineRule="auto"/>
        <w:ind w:left="2"/>
        <w:rPr>
          <w:sz w:val="24"/>
          <w:szCs w:val="24"/>
        </w:rPr>
      </w:pPr>
      <w:r>
        <w:rPr>
          <w:rFonts w:ascii="Times New Roman" w:hAnsi="Times New Roman" w:eastAsia="Times New Roman" w:cs="Times New Roman"/>
          <w:spacing w:val="-4"/>
          <w:sz w:val="24"/>
          <w:szCs w:val="24"/>
        </w:rPr>
        <w:t>9.5</w:t>
      </w:r>
      <w:r>
        <w:rPr>
          <w:rFonts w:ascii="Times New Roman" w:hAnsi="Times New Roman" w:eastAsia="Times New Roman" w:cs="Times New Roman"/>
          <w:spacing w:val="8"/>
          <w:sz w:val="24"/>
          <w:szCs w:val="24"/>
        </w:rPr>
        <w:t xml:space="preserve">  </w:t>
      </w:r>
      <w:r>
        <w:rPr>
          <w:spacing w:val="-4"/>
          <w:sz w:val="24"/>
          <w:szCs w:val="24"/>
        </w:rPr>
        <w:t>事故处理</w:t>
      </w:r>
    </w:p>
    <w:p w14:paraId="2F6C31A2">
      <w:pPr>
        <w:spacing w:before="135" w:line="370" w:lineRule="auto"/>
        <w:ind w:right="16" w:firstLine="423"/>
        <w:jc w:val="both"/>
        <w:rPr>
          <w:rFonts w:ascii="宋体" w:hAnsi="宋体" w:eastAsia="宋体" w:cs="宋体"/>
          <w:sz w:val="20"/>
          <w:szCs w:val="20"/>
        </w:rPr>
      </w:pPr>
      <w:r>
        <w:rPr>
          <w:rFonts w:ascii="宋体" w:hAnsi="宋体" w:eastAsia="宋体" w:cs="宋体"/>
          <w:spacing w:val="10"/>
          <w:sz w:val="20"/>
          <w:szCs w:val="20"/>
        </w:rPr>
        <w:t>工程施工过程中发生事故的，承包人应立即通知监理人，监理人</w:t>
      </w:r>
      <w:r>
        <w:rPr>
          <w:rFonts w:ascii="宋体" w:hAnsi="宋体" w:eastAsia="宋体" w:cs="宋体"/>
          <w:spacing w:val="9"/>
          <w:sz w:val="20"/>
          <w:szCs w:val="20"/>
        </w:rPr>
        <w:t>应立即通知发包人。发包人</w:t>
      </w:r>
      <w:r>
        <w:rPr>
          <w:rFonts w:ascii="宋体" w:hAnsi="宋体" w:eastAsia="宋体" w:cs="宋体"/>
          <w:spacing w:val="6"/>
          <w:sz w:val="20"/>
          <w:szCs w:val="20"/>
        </w:rPr>
        <w:t>和承包人应立即组织人员和设备进行紧急抢救和抢修，减少人员伤亡和财产损失，防止事故扩大，</w:t>
      </w:r>
      <w:r>
        <w:rPr>
          <w:rFonts w:ascii="宋体" w:hAnsi="宋体" w:eastAsia="宋体" w:cs="宋体"/>
          <w:spacing w:val="10"/>
          <w:sz w:val="20"/>
          <w:szCs w:val="20"/>
        </w:rPr>
        <w:t>并保护事故现场。需要移动现场物品时，应作出标记和书面记录，妥善保管</w:t>
      </w:r>
      <w:r>
        <w:rPr>
          <w:rFonts w:ascii="宋体" w:hAnsi="宋体" w:eastAsia="宋体" w:cs="宋体"/>
          <w:spacing w:val="9"/>
          <w:sz w:val="20"/>
          <w:szCs w:val="20"/>
        </w:rPr>
        <w:t>有关证据。发包人和</w:t>
      </w:r>
      <w:r>
        <w:rPr>
          <w:rFonts w:ascii="宋体" w:hAnsi="宋体" w:eastAsia="宋体" w:cs="宋体"/>
          <w:spacing w:val="10"/>
          <w:sz w:val="20"/>
          <w:szCs w:val="20"/>
        </w:rPr>
        <w:t>承包人应按国家有关规定，及时如实地向有关部门报告事故发生的情况，以</w:t>
      </w:r>
      <w:r>
        <w:rPr>
          <w:rFonts w:ascii="宋体" w:hAnsi="宋体" w:eastAsia="宋体" w:cs="宋体"/>
          <w:spacing w:val="9"/>
          <w:sz w:val="20"/>
          <w:szCs w:val="20"/>
        </w:rPr>
        <w:t>及正在采取的紧急措</w:t>
      </w:r>
      <w:r>
        <w:rPr>
          <w:rFonts w:ascii="宋体" w:hAnsi="宋体" w:eastAsia="宋体" w:cs="宋体"/>
          <w:spacing w:val="3"/>
          <w:sz w:val="20"/>
          <w:szCs w:val="20"/>
        </w:rPr>
        <w:t>施等。</w:t>
      </w:r>
    </w:p>
    <w:p w14:paraId="0B86AB83">
      <w:pPr>
        <w:pStyle w:val="2"/>
        <w:spacing w:before="34" w:line="222" w:lineRule="auto"/>
        <w:ind w:left="25"/>
        <w:outlineLvl w:val="2"/>
        <w:rPr>
          <w:sz w:val="28"/>
          <w:szCs w:val="28"/>
        </w:rPr>
      </w:pPr>
      <w:bookmarkStart w:id="223" w:name="bookmark204"/>
      <w:bookmarkEnd w:id="223"/>
      <w:r>
        <w:rPr>
          <w:rFonts w:ascii="Times New Roman" w:hAnsi="Times New Roman" w:eastAsia="Times New Roman" w:cs="Times New Roman"/>
          <w:spacing w:val="-4"/>
          <w:sz w:val="28"/>
          <w:szCs w:val="28"/>
        </w:rPr>
        <w:t xml:space="preserve">10.  </w:t>
      </w:r>
      <w:r>
        <w:rPr>
          <w:spacing w:val="-4"/>
          <w:sz w:val="28"/>
          <w:szCs w:val="28"/>
        </w:rPr>
        <w:t>进度计划</w:t>
      </w:r>
    </w:p>
    <w:p w14:paraId="503AC59E">
      <w:pPr>
        <w:pStyle w:val="2"/>
        <w:spacing w:before="99" w:line="222" w:lineRule="auto"/>
        <w:ind w:left="20"/>
        <w:rPr>
          <w:sz w:val="24"/>
          <w:szCs w:val="24"/>
        </w:rPr>
      </w:pPr>
      <w:r>
        <w:rPr>
          <w:rFonts w:ascii="Times New Roman" w:hAnsi="Times New Roman" w:eastAsia="Times New Roman" w:cs="Times New Roman"/>
          <w:spacing w:val="-3"/>
          <w:sz w:val="24"/>
          <w:szCs w:val="24"/>
        </w:rPr>
        <w:t xml:space="preserve">10.1  </w:t>
      </w:r>
      <w:r>
        <w:rPr>
          <w:spacing w:val="-3"/>
          <w:sz w:val="24"/>
          <w:szCs w:val="24"/>
        </w:rPr>
        <w:t>合同进度计划</w:t>
      </w:r>
    </w:p>
    <w:p w14:paraId="04ED1F46">
      <w:pPr>
        <w:spacing w:before="138" w:line="363" w:lineRule="auto"/>
        <w:ind w:right="71" w:firstLine="420"/>
        <w:jc w:val="both"/>
        <w:rPr>
          <w:rFonts w:ascii="宋体" w:hAnsi="宋体" w:eastAsia="宋体" w:cs="宋体"/>
          <w:sz w:val="20"/>
          <w:szCs w:val="20"/>
        </w:rPr>
      </w:pPr>
      <w:r>
        <w:rPr>
          <w:rFonts w:ascii="宋体" w:hAnsi="宋体" w:eastAsia="宋体" w:cs="宋体"/>
          <w:spacing w:val="10"/>
          <w:sz w:val="20"/>
          <w:szCs w:val="20"/>
        </w:rPr>
        <w:t>承包人应按专用合同条款约定的内容和期限，编制详细的施工进度计</w:t>
      </w:r>
      <w:r>
        <w:rPr>
          <w:rFonts w:ascii="宋体" w:hAnsi="宋体" w:eastAsia="宋体" w:cs="宋体"/>
          <w:spacing w:val="9"/>
          <w:sz w:val="20"/>
          <w:szCs w:val="20"/>
        </w:rPr>
        <w:t>划和施工方案说明报送</w:t>
      </w:r>
      <w:r>
        <w:rPr>
          <w:rFonts w:ascii="宋体" w:hAnsi="宋体" w:eastAsia="宋体" w:cs="宋体"/>
          <w:spacing w:val="10"/>
          <w:sz w:val="20"/>
          <w:szCs w:val="20"/>
        </w:rPr>
        <w:t>监理人。监理人应在专用合同条款约定的期限内批复或提出修改意见，否</w:t>
      </w:r>
      <w:r>
        <w:rPr>
          <w:rFonts w:ascii="宋体" w:hAnsi="宋体" w:eastAsia="宋体" w:cs="宋体"/>
          <w:spacing w:val="9"/>
          <w:sz w:val="20"/>
          <w:szCs w:val="20"/>
        </w:rPr>
        <w:t>则该进度计划视为已得</w:t>
      </w:r>
      <w:r>
        <w:rPr>
          <w:rFonts w:ascii="宋体" w:hAnsi="宋体" w:eastAsia="宋体" w:cs="宋体"/>
          <w:spacing w:val="10"/>
          <w:sz w:val="20"/>
          <w:szCs w:val="20"/>
        </w:rPr>
        <w:t>到批准。经监理人批准的施工进度计划称合同进度计划，是控制合同工程</w:t>
      </w:r>
      <w:r>
        <w:rPr>
          <w:rFonts w:ascii="宋体" w:hAnsi="宋体" w:eastAsia="宋体" w:cs="宋体"/>
          <w:spacing w:val="9"/>
          <w:sz w:val="20"/>
          <w:szCs w:val="20"/>
        </w:rPr>
        <w:t>进度的依据。承包人还应根据合同进度计划，编制更为详细的分阶段或分项进度计划，报监理人审批。</w:t>
      </w:r>
    </w:p>
    <w:p w14:paraId="6D02A65B">
      <w:pPr>
        <w:pStyle w:val="2"/>
        <w:spacing w:line="221" w:lineRule="auto"/>
        <w:ind w:left="20"/>
        <w:rPr>
          <w:sz w:val="24"/>
          <w:szCs w:val="24"/>
        </w:rPr>
      </w:pPr>
      <w:r>
        <w:rPr>
          <w:rFonts w:ascii="Times New Roman" w:hAnsi="Times New Roman" w:eastAsia="Times New Roman" w:cs="Times New Roman"/>
          <w:spacing w:val="-2"/>
          <w:sz w:val="24"/>
          <w:szCs w:val="24"/>
        </w:rPr>
        <w:t xml:space="preserve">10.2  </w:t>
      </w:r>
      <w:r>
        <w:rPr>
          <w:spacing w:val="-2"/>
          <w:sz w:val="24"/>
          <w:szCs w:val="24"/>
        </w:rPr>
        <w:t>合同进度计划的修订</w:t>
      </w:r>
    </w:p>
    <w:p w14:paraId="249F2DCF">
      <w:pPr>
        <w:spacing w:before="142" w:line="369" w:lineRule="auto"/>
        <w:ind w:left="1" w:right="70" w:firstLine="422"/>
        <w:jc w:val="both"/>
        <w:rPr>
          <w:rFonts w:ascii="宋体" w:hAnsi="宋体" w:eastAsia="宋体" w:cs="宋体"/>
          <w:sz w:val="20"/>
          <w:szCs w:val="20"/>
        </w:rPr>
      </w:pPr>
      <w:r>
        <w:rPr>
          <w:rFonts w:ascii="宋体" w:hAnsi="宋体" w:eastAsia="宋体" w:cs="宋体"/>
          <w:spacing w:val="7"/>
          <w:sz w:val="20"/>
          <w:szCs w:val="20"/>
        </w:rPr>
        <w:t>不论何种原因造成工程的实际进度与第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款的合同进</w:t>
      </w:r>
      <w:r>
        <w:rPr>
          <w:rFonts w:ascii="宋体" w:hAnsi="宋体" w:eastAsia="宋体" w:cs="宋体"/>
          <w:spacing w:val="6"/>
          <w:sz w:val="20"/>
          <w:szCs w:val="20"/>
        </w:rPr>
        <w:t>度计划不符时，承包人可以在专用合</w:t>
      </w:r>
      <w:r>
        <w:rPr>
          <w:rFonts w:ascii="宋体" w:hAnsi="宋体" w:eastAsia="宋体" w:cs="宋体"/>
          <w:spacing w:val="10"/>
          <w:sz w:val="20"/>
          <w:szCs w:val="20"/>
        </w:rPr>
        <w:t>同条款约定的期限内向监理人提交修订合同进度计划的申请报告，并附</w:t>
      </w:r>
      <w:r>
        <w:rPr>
          <w:rFonts w:ascii="宋体" w:hAnsi="宋体" w:eastAsia="宋体" w:cs="宋体"/>
          <w:spacing w:val="9"/>
          <w:sz w:val="20"/>
          <w:szCs w:val="20"/>
        </w:rPr>
        <w:t>有关措施和相关资料，报</w:t>
      </w:r>
      <w:r>
        <w:rPr>
          <w:rFonts w:ascii="宋体" w:hAnsi="宋体" w:eastAsia="宋体" w:cs="宋体"/>
          <w:spacing w:val="10"/>
          <w:sz w:val="20"/>
          <w:szCs w:val="20"/>
        </w:rPr>
        <w:t>监理人审批；监理人也可以直接向承包人作出修订合同进度计划的指示</w:t>
      </w:r>
      <w:r>
        <w:rPr>
          <w:rFonts w:ascii="宋体" w:hAnsi="宋体" w:eastAsia="宋体" w:cs="宋体"/>
          <w:spacing w:val="9"/>
          <w:sz w:val="20"/>
          <w:szCs w:val="20"/>
        </w:rPr>
        <w:t>，承包人应按该指示修订</w:t>
      </w:r>
      <w:r>
        <w:rPr>
          <w:rFonts w:ascii="宋体" w:hAnsi="宋体" w:eastAsia="宋体" w:cs="宋体"/>
          <w:spacing w:val="10"/>
          <w:sz w:val="20"/>
          <w:szCs w:val="20"/>
        </w:rPr>
        <w:t>合同进度计划，报监理人审批。监理人应在专用合同条款约定的期限内</w:t>
      </w:r>
      <w:r>
        <w:rPr>
          <w:rFonts w:ascii="宋体" w:hAnsi="宋体" w:eastAsia="宋体" w:cs="宋体"/>
          <w:spacing w:val="9"/>
          <w:sz w:val="20"/>
          <w:szCs w:val="20"/>
        </w:rPr>
        <w:t>批复。监理人在批复前应</w:t>
      </w:r>
      <w:r>
        <w:rPr>
          <w:rFonts w:ascii="宋体" w:hAnsi="宋体" w:eastAsia="宋体" w:cs="宋体"/>
          <w:spacing w:val="7"/>
          <w:sz w:val="20"/>
          <w:szCs w:val="20"/>
        </w:rPr>
        <w:t>获得发包人同意。</w:t>
      </w:r>
    </w:p>
    <w:p w14:paraId="28611A89">
      <w:pPr>
        <w:pStyle w:val="2"/>
        <w:spacing w:before="37" w:line="222" w:lineRule="auto"/>
        <w:ind w:left="25"/>
        <w:outlineLvl w:val="2"/>
        <w:rPr>
          <w:sz w:val="28"/>
          <w:szCs w:val="28"/>
        </w:rPr>
      </w:pPr>
      <w:bookmarkStart w:id="224" w:name="bookmark205"/>
      <w:bookmarkEnd w:id="224"/>
      <w:r>
        <w:rPr>
          <w:rFonts w:ascii="Times New Roman" w:hAnsi="Times New Roman" w:eastAsia="Times New Roman" w:cs="Times New Roman"/>
          <w:spacing w:val="-5"/>
          <w:sz w:val="28"/>
          <w:szCs w:val="28"/>
        </w:rPr>
        <w:t xml:space="preserve">11.  </w:t>
      </w:r>
      <w:r>
        <w:rPr>
          <w:spacing w:val="-5"/>
          <w:sz w:val="28"/>
          <w:szCs w:val="28"/>
        </w:rPr>
        <w:t>开工和竣工</w:t>
      </w:r>
    </w:p>
    <w:p w14:paraId="384EF741">
      <w:pPr>
        <w:pStyle w:val="2"/>
        <w:spacing w:before="100" w:line="224" w:lineRule="auto"/>
        <w:ind w:left="20"/>
        <w:rPr>
          <w:sz w:val="24"/>
          <w:szCs w:val="24"/>
        </w:rPr>
      </w:pPr>
      <w:r>
        <w:rPr>
          <w:rFonts w:ascii="Times New Roman" w:hAnsi="Times New Roman" w:eastAsia="Times New Roman" w:cs="Times New Roman"/>
          <w:spacing w:val="-9"/>
          <w:sz w:val="24"/>
          <w:szCs w:val="24"/>
        </w:rPr>
        <w:t>11.1</w:t>
      </w:r>
      <w:r>
        <w:rPr>
          <w:rFonts w:ascii="Times New Roman" w:hAnsi="Times New Roman" w:eastAsia="Times New Roman" w:cs="Times New Roman"/>
          <w:spacing w:val="7"/>
          <w:sz w:val="24"/>
          <w:szCs w:val="24"/>
        </w:rPr>
        <w:t xml:space="preserve">  </w:t>
      </w:r>
      <w:r>
        <w:rPr>
          <w:spacing w:val="-9"/>
          <w:sz w:val="24"/>
          <w:szCs w:val="24"/>
        </w:rPr>
        <w:t>开工</w:t>
      </w:r>
    </w:p>
    <w:p w14:paraId="382D0710">
      <w:pPr>
        <w:spacing w:before="133" w:line="228" w:lineRule="auto"/>
        <w:ind w:left="437"/>
        <w:rPr>
          <w:rFonts w:ascii="宋体" w:hAnsi="宋体" w:eastAsia="宋体" w:cs="宋体"/>
          <w:sz w:val="20"/>
          <w:szCs w:val="20"/>
        </w:rPr>
      </w:pPr>
      <w:r>
        <w:rPr>
          <w:rFonts w:ascii="Times New Roman" w:hAnsi="Times New Roman" w:eastAsia="Times New Roman" w:cs="Times New Roman"/>
          <w:spacing w:val="7"/>
          <w:sz w:val="20"/>
          <w:szCs w:val="20"/>
        </w:rPr>
        <w:t>11.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监理人应在开工日期</w:t>
      </w:r>
      <w:r>
        <w:rPr>
          <w:rFonts w:ascii="宋体" w:hAnsi="宋体" w:eastAsia="宋体" w:cs="宋体"/>
          <w:spacing w:val="-39"/>
          <w:sz w:val="20"/>
          <w:szCs w:val="20"/>
        </w:rPr>
        <w:t xml:space="preserve"> </w:t>
      </w:r>
      <w:r>
        <w:rPr>
          <w:rFonts w:ascii="Times New Roman" w:hAnsi="Times New Roman" w:eastAsia="Times New Roman" w:cs="Times New Roman"/>
          <w:spacing w:val="7"/>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天前向承包人发出开</w:t>
      </w:r>
      <w:r>
        <w:rPr>
          <w:rFonts w:ascii="宋体" w:hAnsi="宋体" w:eastAsia="宋体" w:cs="宋体"/>
          <w:spacing w:val="6"/>
          <w:sz w:val="20"/>
          <w:szCs w:val="20"/>
        </w:rPr>
        <w:t>工通知。监理人在发出开工通知前应获得</w:t>
      </w:r>
    </w:p>
    <w:p w14:paraId="2967F166">
      <w:pPr>
        <w:spacing w:line="228" w:lineRule="auto"/>
        <w:rPr>
          <w:rFonts w:ascii="宋体" w:hAnsi="宋体" w:eastAsia="宋体" w:cs="宋体"/>
          <w:sz w:val="20"/>
          <w:szCs w:val="20"/>
        </w:rPr>
        <w:sectPr>
          <w:footerReference r:id="rId175" w:type="default"/>
          <w:pgSz w:w="11906" w:h="16839"/>
          <w:pgMar w:top="400" w:right="1483" w:bottom="1038" w:left="1538" w:header="0" w:footer="787" w:gutter="0"/>
          <w:cols w:space="720" w:num="1"/>
        </w:sectPr>
      </w:pPr>
    </w:p>
    <w:p w14:paraId="59702E22">
      <w:pPr>
        <w:spacing w:line="271" w:lineRule="auto"/>
        <w:rPr>
          <w:rFonts w:ascii="Arial"/>
          <w:sz w:val="21"/>
        </w:rPr>
      </w:pPr>
    </w:p>
    <w:p w14:paraId="0D5F3BE8">
      <w:pPr>
        <w:spacing w:line="272" w:lineRule="auto"/>
        <w:rPr>
          <w:rFonts w:ascii="Arial"/>
          <w:sz w:val="21"/>
        </w:rPr>
      </w:pPr>
    </w:p>
    <w:p w14:paraId="5D9B6665">
      <w:pPr>
        <w:spacing w:line="272" w:lineRule="auto"/>
        <w:rPr>
          <w:rFonts w:ascii="Arial"/>
          <w:sz w:val="21"/>
        </w:rPr>
      </w:pPr>
    </w:p>
    <w:p w14:paraId="72CA49F1">
      <w:pPr>
        <w:spacing w:line="272" w:lineRule="auto"/>
        <w:rPr>
          <w:rFonts w:ascii="Arial"/>
          <w:sz w:val="21"/>
        </w:rPr>
      </w:pPr>
    </w:p>
    <w:p w14:paraId="13B91C57">
      <w:pPr>
        <w:spacing w:before="65" w:line="369" w:lineRule="auto"/>
        <w:ind w:left="2" w:right="71"/>
        <w:rPr>
          <w:rFonts w:ascii="宋体" w:hAnsi="宋体" w:eastAsia="宋体" w:cs="宋体"/>
          <w:sz w:val="20"/>
          <w:szCs w:val="20"/>
        </w:rPr>
      </w:pPr>
      <w:r>
        <w:rPr>
          <w:rFonts w:ascii="宋体" w:hAnsi="宋体" w:eastAsia="宋体" w:cs="宋体"/>
          <w:spacing w:val="10"/>
          <w:sz w:val="20"/>
          <w:szCs w:val="20"/>
        </w:rPr>
        <w:t>发包人同意。工期自监理人发出的开工通知中载明的开工日期起计</w:t>
      </w:r>
      <w:r>
        <w:rPr>
          <w:rFonts w:ascii="宋体" w:hAnsi="宋体" w:eastAsia="宋体" w:cs="宋体"/>
          <w:spacing w:val="9"/>
          <w:sz w:val="20"/>
          <w:szCs w:val="20"/>
        </w:rPr>
        <w:t>算。承包人应在开工日期后尽</w:t>
      </w:r>
      <w:r>
        <w:rPr>
          <w:rFonts w:ascii="宋体" w:hAnsi="宋体" w:eastAsia="宋体" w:cs="宋体"/>
          <w:spacing w:val="4"/>
          <w:sz w:val="20"/>
          <w:szCs w:val="20"/>
        </w:rPr>
        <w:t>快施工。</w:t>
      </w:r>
    </w:p>
    <w:p w14:paraId="5EA246AB">
      <w:pPr>
        <w:spacing w:line="361" w:lineRule="auto"/>
        <w:ind w:left="3" w:right="71" w:firstLine="432"/>
        <w:jc w:val="both"/>
        <w:rPr>
          <w:rFonts w:ascii="宋体" w:hAnsi="宋体" w:eastAsia="宋体" w:cs="宋体"/>
          <w:sz w:val="20"/>
          <w:szCs w:val="20"/>
        </w:rPr>
      </w:pPr>
      <w:r>
        <w:rPr>
          <w:rFonts w:ascii="Times New Roman" w:hAnsi="Times New Roman" w:eastAsia="Times New Roman" w:cs="Times New Roman"/>
          <w:spacing w:val="5"/>
          <w:sz w:val="20"/>
          <w:szCs w:val="20"/>
        </w:rPr>
        <w:t>11.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5"/>
          <w:sz w:val="20"/>
          <w:szCs w:val="20"/>
        </w:rPr>
        <w:t xml:space="preserve">1.2  </w:t>
      </w:r>
      <w:r>
        <w:rPr>
          <w:rFonts w:ascii="宋体" w:hAnsi="宋体" w:eastAsia="宋体" w:cs="宋体"/>
          <w:spacing w:val="5"/>
          <w:sz w:val="20"/>
          <w:szCs w:val="20"/>
        </w:rPr>
        <w:t>承包人应按第</w:t>
      </w:r>
      <w:r>
        <w:rPr>
          <w:rFonts w:ascii="宋体" w:hAnsi="宋体" w:eastAsia="宋体" w:cs="宋体"/>
          <w:spacing w:val="-20"/>
          <w:sz w:val="20"/>
          <w:szCs w:val="20"/>
        </w:rPr>
        <w:t xml:space="preserve"> </w:t>
      </w:r>
      <w:r>
        <w:rPr>
          <w:rFonts w:ascii="Times New Roman" w:hAnsi="Times New Roman" w:eastAsia="Times New Roman" w:cs="Times New Roman"/>
          <w:spacing w:val="5"/>
          <w:sz w:val="20"/>
          <w:szCs w:val="20"/>
        </w:rPr>
        <w:t>10.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款约定的合同进度计划，向监理人提交工程开工报审表，经监理人</w:t>
      </w:r>
      <w:r>
        <w:rPr>
          <w:rFonts w:ascii="宋体" w:hAnsi="宋体" w:eastAsia="宋体" w:cs="宋体"/>
          <w:spacing w:val="10"/>
          <w:sz w:val="20"/>
          <w:szCs w:val="20"/>
        </w:rPr>
        <w:t>审批后执行。开工报审表应详细说明按合同进度计划正常施工所需</w:t>
      </w:r>
      <w:r>
        <w:rPr>
          <w:rFonts w:ascii="宋体" w:hAnsi="宋体" w:eastAsia="宋体" w:cs="宋体"/>
          <w:spacing w:val="9"/>
          <w:sz w:val="20"/>
          <w:szCs w:val="20"/>
        </w:rPr>
        <w:t>的施工道路、临时设施、材料设备、施工人员等施工组织措施的落实情况以及工程的进度安排。</w:t>
      </w:r>
    </w:p>
    <w:p w14:paraId="2BC52F3E">
      <w:pPr>
        <w:pStyle w:val="2"/>
        <w:spacing w:before="1" w:line="220" w:lineRule="auto"/>
        <w:ind w:left="19"/>
        <w:rPr>
          <w:sz w:val="24"/>
          <w:szCs w:val="24"/>
        </w:rPr>
      </w:pPr>
      <w:r>
        <w:rPr>
          <w:rFonts w:ascii="Times New Roman" w:hAnsi="Times New Roman" w:eastAsia="Times New Roman" w:cs="Times New Roman"/>
          <w:spacing w:val="-8"/>
          <w:sz w:val="24"/>
          <w:szCs w:val="24"/>
        </w:rPr>
        <w:t>11.2</w:t>
      </w:r>
      <w:r>
        <w:rPr>
          <w:rFonts w:ascii="Times New Roman" w:hAnsi="Times New Roman" w:eastAsia="Times New Roman" w:cs="Times New Roman"/>
          <w:spacing w:val="4"/>
          <w:sz w:val="24"/>
          <w:szCs w:val="24"/>
        </w:rPr>
        <w:t xml:space="preserve">  </w:t>
      </w:r>
      <w:r>
        <w:rPr>
          <w:spacing w:val="-8"/>
          <w:sz w:val="24"/>
          <w:szCs w:val="24"/>
        </w:rPr>
        <w:t>竣工</w:t>
      </w:r>
    </w:p>
    <w:p w14:paraId="35B915B9">
      <w:pPr>
        <w:spacing w:before="140" w:line="227" w:lineRule="auto"/>
        <w:ind w:left="420"/>
        <w:rPr>
          <w:rFonts w:ascii="宋体" w:hAnsi="宋体" w:eastAsia="宋体" w:cs="宋体"/>
          <w:sz w:val="20"/>
          <w:szCs w:val="20"/>
        </w:rPr>
      </w:pPr>
      <w:r>
        <w:rPr>
          <w:rFonts w:ascii="宋体" w:hAnsi="宋体" w:eastAsia="宋体" w:cs="宋体"/>
          <w:spacing w:val="6"/>
          <w:sz w:val="20"/>
          <w:szCs w:val="20"/>
        </w:rPr>
        <w:t>承包人应在第</w:t>
      </w:r>
      <w:r>
        <w:rPr>
          <w:rFonts w:ascii="宋体" w:hAnsi="宋体" w:eastAsia="宋体" w:cs="宋体"/>
          <w:spacing w:val="-17"/>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1.4.3</w:t>
      </w:r>
      <w:r>
        <w:rPr>
          <w:rFonts w:ascii="Times New Roman" w:hAnsi="Times New Roman" w:eastAsia="Times New Roman" w:cs="Times New Roman"/>
          <w:spacing w:val="50"/>
          <w:sz w:val="20"/>
          <w:szCs w:val="20"/>
        </w:rPr>
        <w:t xml:space="preserve"> </w:t>
      </w:r>
      <w:r>
        <w:rPr>
          <w:rFonts w:ascii="宋体" w:hAnsi="宋体" w:eastAsia="宋体" w:cs="宋体"/>
          <w:spacing w:val="6"/>
          <w:sz w:val="20"/>
          <w:szCs w:val="20"/>
        </w:rPr>
        <w:t>目约定的期限内完成合同工程。实际竣工日期在接收证书中写明。</w:t>
      </w:r>
    </w:p>
    <w:p w14:paraId="7ED4F7C6">
      <w:pPr>
        <w:pStyle w:val="2"/>
        <w:spacing w:before="128" w:line="221" w:lineRule="auto"/>
        <w:ind w:left="19"/>
        <w:rPr>
          <w:sz w:val="24"/>
          <w:szCs w:val="24"/>
        </w:rPr>
      </w:pPr>
      <w:r>
        <w:rPr>
          <w:rFonts w:ascii="Times New Roman" w:hAnsi="Times New Roman" w:eastAsia="Times New Roman" w:cs="Times New Roman"/>
          <w:spacing w:val="-3"/>
          <w:sz w:val="24"/>
          <w:szCs w:val="24"/>
        </w:rPr>
        <w:t xml:space="preserve">11.3  </w:t>
      </w:r>
      <w:r>
        <w:rPr>
          <w:spacing w:val="-3"/>
          <w:sz w:val="24"/>
          <w:szCs w:val="24"/>
        </w:rPr>
        <w:t>发包人的工期延误</w:t>
      </w:r>
    </w:p>
    <w:p w14:paraId="015FAB79">
      <w:pPr>
        <w:spacing w:before="137" w:line="369" w:lineRule="auto"/>
        <w:ind w:left="2" w:right="55" w:firstLine="416"/>
        <w:rPr>
          <w:rFonts w:ascii="宋体" w:hAnsi="宋体" w:eastAsia="宋体" w:cs="宋体"/>
          <w:sz w:val="20"/>
          <w:szCs w:val="20"/>
        </w:rPr>
      </w:pPr>
      <w:r>
        <w:rPr>
          <w:rFonts w:ascii="宋体" w:hAnsi="宋体" w:eastAsia="宋体" w:cs="宋体"/>
          <w:spacing w:val="9"/>
          <w:sz w:val="20"/>
          <w:szCs w:val="20"/>
        </w:rPr>
        <w:t>在履行合同过程中，</w:t>
      </w:r>
      <w:r>
        <w:rPr>
          <w:rFonts w:ascii="宋体" w:hAnsi="宋体" w:eastAsia="宋体" w:cs="宋体"/>
          <w:spacing w:val="-58"/>
          <w:sz w:val="20"/>
          <w:szCs w:val="20"/>
        </w:rPr>
        <w:t xml:space="preserve"> </w:t>
      </w:r>
      <w:r>
        <w:rPr>
          <w:rFonts w:ascii="宋体" w:hAnsi="宋体" w:eastAsia="宋体" w:cs="宋体"/>
          <w:spacing w:val="9"/>
          <w:sz w:val="20"/>
          <w:szCs w:val="20"/>
        </w:rPr>
        <w:t>由于发包人的下列原因造成工期延误的，承包</w:t>
      </w:r>
      <w:r>
        <w:rPr>
          <w:rFonts w:ascii="宋体" w:hAnsi="宋体" w:eastAsia="宋体" w:cs="宋体"/>
          <w:spacing w:val="8"/>
          <w:sz w:val="20"/>
          <w:szCs w:val="20"/>
        </w:rPr>
        <w:t>人有权要求发包人延长工期和（或）增加费用，并支付合理利润。需要修订合同进度计划的，按</w:t>
      </w:r>
      <w:r>
        <w:rPr>
          <w:rFonts w:ascii="宋体" w:hAnsi="宋体" w:eastAsia="宋体" w:cs="宋体"/>
          <w:spacing w:val="7"/>
          <w:sz w:val="20"/>
          <w:szCs w:val="20"/>
        </w:rPr>
        <w:t>照第</w:t>
      </w:r>
      <w:r>
        <w:rPr>
          <w:rFonts w:ascii="宋体" w:hAnsi="宋体" w:eastAsia="宋体" w:cs="宋体"/>
          <w:spacing w:val="-22"/>
          <w:sz w:val="20"/>
          <w:szCs w:val="20"/>
        </w:rPr>
        <w:t xml:space="preserve"> </w:t>
      </w:r>
      <w:r>
        <w:rPr>
          <w:rFonts w:ascii="Times New Roman" w:hAnsi="Times New Roman" w:eastAsia="Times New Roman" w:cs="Times New Roman"/>
          <w:spacing w:val="7"/>
          <w:sz w:val="20"/>
          <w:szCs w:val="20"/>
        </w:rPr>
        <w:t xml:space="preserve">10.2 </w:t>
      </w:r>
      <w:r>
        <w:rPr>
          <w:rFonts w:ascii="宋体" w:hAnsi="宋体" w:eastAsia="宋体" w:cs="宋体"/>
          <w:spacing w:val="7"/>
          <w:sz w:val="20"/>
          <w:szCs w:val="20"/>
        </w:rPr>
        <w:t>款的约定办理。</w:t>
      </w:r>
    </w:p>
    <w:p w14:paraId="772C5FD6">
      <w:pPr>
        <w:spacing w:line="227" w:lineRule="auto"/>
        <w:ind w:left="36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）增加合同工作内容；</w:t>
      </w:r>
    </w:p>
    <w:p w14:paraId="338D544E">
      <w:pPr>
        <w:spacing w:before="153" w:line="228" w:lineRule="auto"/>
        <w:ind w:left="36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）改变合同中任何一项工作的质量要求或其他特性；</w:t>
      </w:r>
    </w:p>
    <w:p w14:paraId="3C02F984">
      <w:pPr>
        <w:spacing w:before="154" w:line="227" w:lineRule="auto"/>
        <w:ind w:left="36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）发包人迟延提供材料、工程设备或变更交货地点的；</w:t>
      </w:r>
    </w:p>
    <w:p w14:paraId="7929264B">
      <w:pPr>
        <w:spacing w:before="153" w:line="228" w:lineRule="auto"/>
        <w:ind w:left="36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）因发包人原因导致的暂停施工；</w:t>
      </w:r>
    </w:p>
    <w:p w14:paraId="08238982">
      <w:pPr>
        <w:spacing w:before="154" w:line="227" w:lineRule="auto"/>
        <w:ind w:left="367"/>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5</w:t>
      </w:r>
      <w:r>
        <w:rPr>
          <w:rFonts w:ascii="宋体" w:hAnsi="宋体" w:eastAsia="宋体" w:cs="宋体"/>
          <w:spacing w:val="6"/>
          <w:sz w:val="20"/>
          <w:szCs w:val="20"/>
        </w:rPr>
        <w:t>）提供图纸延误；</w:t>
      </w:r>
    </w:p>
    <w:p w14:paraId="3C20088C">
      <w:pPr>
        <w:spacing w:before="154" w:line="228" w:lineRule="auto"/>
        <w:ind w:left="36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）未按合同约定及时支付预付款、进度款；</w:t>
      </w:r>
    </w:p>
    <w:p w14:paraId="249D0311">
      <w:pPr>
        <w:spacing w:before="152" w:line="228" w:lineRule="auto"/>
        <w:ind w:left="36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7</w:t>
      </w:r>
      <w:r>
        <w:rPr>
          <w:rFonts w:ascii="宋体" w:hAnsi="宋体" w:eastAsia="宋体" w:cs="宋体"/>
          <w:spacing w:val="8"/>
          <w:sz w:val="20"/>
          <w:szCs w:val="20"/>
        </w:rPr>
        <w:t>）发包人造成工期延误的其他原因。</w:t>
      </w:r>
    </w:p>
    <w:p w14:paraId="5F6E0411">
      <w:pPr>
        <w:pStyle w:val="2"/>
        <w:spacing w:before="127" w:line="221" w:lineRule="auto"/>
        <w:ind w:left="19"/>
        <w:rPr>
          <w:sz w:val="24"/>
          <w:szCs w:val="24"/>
        </w:rPr>
      </w:pPr>
      <w:r>
        <w:rPr>
          <w:rFonts w:ascii="Times New Roman" w:hAnsi="Times New Roman" w:eastAsia="Times New Roman" w:cs="Times New Roman"/>
          <w:spacing w:val="-3"/>
          <w:sz w:val="24"/>
          <w:szCs w:val="24"/>
        </w:rPr>
        <w:t xml:space="preserve">11.4  </w:t>
      </w:r>
      <w:r>
        <w:rPr>
          <w:spacing w:val="-3"/>
          <w:sz w:val="24"/>
          <w:szCs w:val="24"/>
        </w:rPr>
        <w:t>异常恶劣的气候条件</w:t>
      </w:r>
    </w:p>
    <w:p w14:paraId="10A0CB4F">
      <w:pPr>
        <w:spacing w:before="139" w:line="357" w:lineRule="auto"/>
        <w:ind w:right="73" w:firstLine="382"/>
        <w:rPr>
          <w:rFonts w:ascii="宋体" w:hAnsi="宋体" w:eastAsia="宋体" w:cs="宋体"/>
          <w:sz w:val="20"/>
          <w:szCs w:val="20"/>
        </w:rPr>
      </w:pPr>
      <w:r>
        <w:rPr>
          <w:rFonts w:ascii="宋体" w:hAnsi="宋体" w:eastAsia="宋体" w:cs="宋体"/>
          <w:spacing w:val="11"/>
          <w:sz w:val="20"/>
          <w:szCs w:val="20"/>
        </w:rPr>
        <w:t>由于出现专用合同条款规定的异常恶劣气候的条件导致工</w:t>
      </w:r>
      <w:r>
        <w:rPr>
          <w:rFonts w:ascii="宋体" w:hAnsi="宋体" w:eastAsia="宋体" w:cs="宋体"/>
          <w:spacing w:val="10"/>
          <w:sz w:val="20"/>
          <w:szCs w:val="20"/>
        </w:rPr>
        <w:t>期延误的，承包人有权要求发包人</w:t>
      </w:r>
      <w:r>
        <w:rPr>
          <w:rFonts w:ascii="宋体" w:hAnsi="宋体" w:eastAsia="宋体" w:cs="宋体"/>
          <w:spacing w:val="5"/>
          <w:sz w:val="20"/>
          <w:szCs w:val="20"/>
        </w:rPr>
        <w:t>延长工期。</w:t>
      </w:r>
    </w:p>
    <w:p w14:paraId="74937164">
      <w:pPr>
        <w:pStyle w:val="2"/>
        <w:spacing w:before="1" w:line="221" w:lineRule="auto"/>
        <w:ind w:left="19"/>
        <w:rPr>
          <w:sz w:val="24"/>
          <w:szCs w:val="24"/>
        </w:rPr>
      </w:pPr>
      <w:r>
        <w:rPr>
          <w:rFonts w:ascii="Times New Roman" w:hAnsi="Times New Roman" w:eastAsia="Times New Roman" w:cs="Times New Roman"/>
          <w:spacing w:val="-3"/>
          <w:sz w:val="24"/>
          <w:szCs w:val="24"/>
        </w:rPr>
        <w:t xml:space="preserve">11.5  </w:t>
      </w:r>
      <w:r>
        <w:rPr>
          <w:spacing w:val="-3"/>
          <w:sz w:val="24"/>
          <w:szCs w:val="24"/>
        </w:rPr>
        <w:t>承包人的工期延误</w:t>
      </w:r>
    </w:p>
    <w:p w14:paraId="4618CB33">
      <w:pPr>
        <w:spacing w:before="141" w:line="363" w:lineRule="auto"/>
        <w:ind w:firstLine="445"/>
        <w:jc w:val="both"/>
        <w:rPr>
          <w:rFonts w:ascii="宋体" w:hAnsi="宋体" w:eastAsia="宋体" w:cs="宋体"/>
          <w:sz w:val="20"/>
          <w:szCs w:val="20"/>
        </w:rPr>
      </w:pPr>
      <w:r>
        <w:rPr>
          <w:rFonts w:ascii="宋体" w:hAnsi="宋体" w:eastAsia="宋体" w:cs="宋体"/>
          <w:spacing w:val="9"/>
          <w:sz w:val="20"/>
          <w:szCs w:val="20"/>
        </w:rPr>
        <w:t>由于承包人原因，未能按合同进度计划完成工作，或监理人认为承包人施工进度不能满足合</w:t>
      </w:r>
      <w:r>
        <w:rPr>
          <w:rFonts w:ascii="宋体" w:hAnsi="宋体" w:eastAsia="宋体" w:cs="宋体"/>
          <w:spacing w:val="10"/>
          <w:sz w:val="20"/>
          <w:szCs w:val="20"/>
        </w:rPr>
        <w:t>同工期要求的，承包人应采取措施加快进度，并承担加快进度所增加的费</w:t>
      </w:r>
      <w:r>
        <w:rPr>
          <w:rFonts w:ascii="宋体" w:hAnsi="宋体" w:eastAsia="宋体" w:cs="宋体"/>
          <w:spacing w:val="9"/>
          <w:sz w:val="20"/>
          <w:szCs w:val="20"/>
        </w:rPr>
        <w:t>用。由于承包人原因造</w:t>
      </w:r>
      <w:r>
        <w:rPr>
          <w:rFonts w:ascii="宋体" w:hAnsi="宋体" w:eastAsia="宋体" w:cs="宋体"/>
          <w:spacing w:val="7"/>
          <w:sz w:val="20"/>
          <w:szCs w:val="20"/>
        </w:rPr>
        <w:t>成工期延误，承包人应支付逾期竣工违约金。逾期竣</w:t>
      </w:r>
      <w:r>
        <w:rPr>
          <w:rFonts w:ascii="宋体" w:hAnsi="宋体" w:eastAsia="宋体" w:cs="宋体"/>
          <w:spacing w:val="6"/>
          <w:sz w:val="20"/>
          <w:szCs w:val="20"/>
        </w:rPr>
        <w:t>工违约金的计算方法在专用合同条款中约定。</w:t>
      </w:r>
      <w:r>
        <w:rPr>
          <w:rFonts w:ascii="宋体" w:hAnsi="宋体" w:eastAsia="宋体" w:cs="宋体"/>
          <w:spacing w:val="9"/>
          <w:sz w:val="20"/>
          <w:szCs w:val="20"/>
        </w:rPr>
        <w:t>承包人支付逾期竣工违约金，不免除承包人完成工程及修补缺陷的义务。</w:t>
      </w:r>
    </w:p>
    <w:p w14:paraId="4215A877">
      <w:pPr>
        <w:pStyle w:val="2"/>
        <w:spacing w:line="222" w:lineRule="auto"/>
        <w:ind w:left="19"/>
        <w:rPr>
          <w:sz w:val="24"/>
          <w:szCs w:val="24"/>
        </w:rPr>
      </w:pPr>
      <w:r>
        <w:rPr>
          <w:rFonts w:ascii="Times New Roman" w:hAnsi="Times New Roman" w:eastAsia="Times New Roman" w:cs="Times New Roman"/>
          <w:spacing w:val="-4"/>
          <w:sz w:val="24"/>
          <w:szCs w:val="24"/>
        </w:rPr>
        <w:t xml:space="preserve">11.6  </w:t>
      </w:r>
      <w:r>
        <w:rPr>
          <w:spacing w:val="-4"/>
          <w:sz w:val="24"/>
          <w:szCs w:val="24"/>
        </w:rPr>
        <w:t>工期提前</w:t>
      </w:r>
    </w:p>
    <w:p w14:paraId="50AB9CF9">
      <w:pPr>
        <w:spacing w:before="135" w:line="370" w:lineRule="auto"/>
        <w:ind w:right="71" w:firstLine="422"/>
        <w:jc w:val="both"/>
        <w:rPr>
          <w:rFonts w:ascii="宋体" w:hAnsi="宋体" w:eastAsia="宋体" w:cs="宋体"/>
          <w:sz w:val="20"/>
          <w:szCs w:val="20"/>
        </w:rPr>
      </w:pPr>
      <w:r>
        <w:rPr>
          <w:rFonts w:ascii="宋体" w:hAnsi="宋体" w:eastAsia="宋体" w:cs="宋体"/>
          <w:spacing w:val="10"/>
          <w:sz w:val="20"/>
          <w:szCs w:val="20"/>
        </w:rPr>
        <w:t>发包人要求承包人提前竣工，或承包人提出提前竣工的建议能</w:t>
      </w:r>
      <w:r>
        <w:rPr>
          <w:rFonts w:ascii="宋体" w:hAnsi="宋体" w:eastAsia="宋体" w:cs="宋体"/>
          <w:spacing w:val="9"/>
          <w:sz w:val="20"/>
          <w:szCs w:val="20"/>
        </w:rPr>
        <w:t>够给发包人带来效益的，应由</w:t>
      </w:r>
      <w:r>
        <w:rPr>
          <w:rFonts w:ascii="宋体" w:hAnsi="宋体" w:eastAsia="宋体" w:cs="宋体"/>
          <w:spacing w:val="10"/>
          <w:sz w:val="20"/>
          <w:szCs w:val="20"/>
        </w:rPr>
        <w:t>监理人与承包人共同协商采取加快工程进度的措施和修订合同进度计划</w:t>
      </w:r>
      <w:r>
        <w:rPr>
          <w:rFonts w:ascii="宋体" w:hAnsi="宋体" w:eastAsia="宋体" w:cs="宋体"/>
          <w:spacing w:val="9"/>
          <w:sz w:val="20"/>
          <w:szCs w:val="20"/>
        </w:rPr>
        <w:t>。发包人应承担承包人由此增加的费用，并向承包人支付专用合同条款约定的相应奖金。</w:t>
      </w:r>
    </w:p>
    <w:p w14:paraId="2C1B196C">
      <w:pPr>
        <w:pStyle w:val="2"/>
        <w:spacing w:before="37" w:line="224" w:lineRule="auto"/>
        <w:ind w:left="24"/>
        <w:outlineLvl w:val="2"/>
        <w:rPr>
          <w:sz w:val="28"/>
          <w:szCs w:val="28"/>
        </w:rPr>
      </w:pPr>
      <w:bookmarkStart w:id="225" w:name="bookmark206"/>
      <w:bookmarkEnd w:id="225"/>
      <w:r>
        <w:rPr>
          <w:rFonts w:ascii="Times New Roman" w:hAnsi="Times New Roman" w:eastAsia="Times New Roman" w:cs="Times New Roman"/>
          <w:spacing w:val="-8"/>
          <w:sz w:val="28"/>
          <w:szCs w:val="28"/>
        </w:rPr>
        <w:t>12.</w:t>
      </w:r>
      <w:r>
        <w:rPr>
          <w:rFonts w:ascii="Times New Roman" w:hAnsi="Times New Roman" w:eastAsia="Times New Roman" w:cs="Times New Roman"/>
          <w:spacing w:val="11"/>
          <w:sz w:val="28"/>
          <w:szCs w:val="28"/>
        </w:rPr>
        <w:t xml:space="preserve">  </w:t>
      </w:r>
      <w:r>
        <w:rPr>
          <w:spacing w:val="-8"/>
          <w:sz w:val="28"/>
          <w:szCs w:val="28"/>
        </w:rPr>
        <w:t>暂停施工</w:t>
      </w:r>
    </w:p>
    <w:p w14:paraId="1270D75E">
      <w:pPr>
        <w:pStyle w:val="2"/>
        <w:spacing w:before="97" w:line="221" w:lineRule="auto"/>
        <w:ind w:left="19"/>
        <w:rPr>
          <w:sz w:val="24"/>
          <w:szCs w:val="24"/>
        </w:rPr>
      </w:pPr>
      <w:r>
        <w:rPr>
          <w:rFonts w:ascii="Times New Roman" w:hAnsi="Times New Roman" w:eastAsia="Times New Roman" w:cs="Times New Roman"/>
          <w:spacing w:val="-2"/>
          <w:sz w:val="24"/>
          <w:szCs w:val="24"/>
        </w:rPr>
        <w:t xml:space="preserve">12.1  </w:t>
      </w:r>
      <w:r>
        <w:rPr>
          <w:spacing w:val="-2"/>
          <w:sz w:val="24"/>
          <w:szCs w:val="24"/>
        </w:rPr>
        <w:t>承包人暂停施工的责任</w:t>
      </w:r>
    </w:p>
    <w:p w14:paraId="0E150D84">
      <w:pPr>
        <w:spacing w:before="137" w:line="228" w:lineRule="auto"/>
        <w:ind w:left="436"/>
        <w:rPr>
          <w:rFonts w:ascii="宋体" w:hAnsi="宋体" w:eastAsia="宋体" w:cs="宋体"/>
          <w:sz w:val="20"/>
          <w:szCs w:val="20"/>
        </w:rPr>
      </w:pPr>
      <w:r>
        <w:rPr>
          <w:rFonts w:ascii="宋体" w:hAnsi="宋体" w:eastAsia="宋体" w:cs="宋体"/>
          <w:spacing w:val="8"/>
          <w:sz w:val="20"/>
          <w:szCs w:val="20"/>
        </w:rPr>
        <w:t>因下列暂停施工增加的费用和（或）工期延误由承包人承担：</w:t>
      </w:r>
    </w:p>
    <w:p w14:paraId="608358CF">
      <w:pPr>
        <w:spacing w:before="154" w:line="228" w:lineRule="auto"/>
        <w:ind w:left="36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）承包人违约引起的暂停施工；</w:t>
      </w:r>
    </w:p>
    <w:p w14:paraId="620ECC2D">
      <w:pPr>
        <w:spacing w:before="151" w:line="228" w:lineRule="auto"/>
        <w:ind w:left="36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w:t>
      </w:r>
      <w:r>
        <w:rPr>
          <w:rFonts w:ascii="宋体" w:hAnsi="宋体" w:eastAsia="宋体" w:cs="宋体"/>
          <w:spacing w:val="-42"/>
          <w:sz w:val="20"/>
          <w:szCs w:val="20"/>
        </w:rPr>
        <w:t xml:space="preserve"> </w:t>
      </w:r>
      <w:r>
        <w:rPr>
          <w:rFonts w:ascii="宋体" w:hAnsi="宋体" w:eastAsia="宋体" w:cs="宋体"/>
          <w:spacing w:val="7"/>
          <w:sz w:val="20"/>
          <w:szCs w:val="20"/>
        </w:rPr>
        <w:t>由于承包人原因为工程合理施工和安全保障所必需的暂停施工；</w:t>
      </w:r>
    </w:p>
    <w:p w14:paraId="1B5B39D3">
      <w:pPr>
        <w:spacing w:line="228" w:lineRule="auto"/>
        <w:rPr>
          <w:rFonts w:ascii="宋体" w:hAnsi="宋体" w:eastAsia="宋体" w:cs="宋体"/>
          <w:sz w:val="20"/>
          <w:szCs w:val="20"/>
        </w:rPr>
        <w:sectPr>
          <w:footerReference r:id="rId176" w:type="default"/>
          <w:pgSz w:w="11906" w:h="16839"/>
          <w:pgMar w:top="400" w:right="1483" w:bottom="1038" w:left="1539" w:header="0" w:footer="787" w:gutter="0"/>
          <w:cols w:space="720" w:num="1"/>
        </w:sectPr>
      </w:pPr>
    </w:p>
    <w:p w14:paraId="35389C60">
      <w:pPr>
        <w:spacing w:line="271" w:lineRule="auto"/>
        <w:rPr>
          <w:rFonts w:ascii="Arial"/>
          <w:sz w:val="21"/>
        </w:rPr>
      </w:pPr>
    </w:p>
    <w:p w14:paraId="445BFA7D">
      <w:pPr>
        <w:spacing w:line="271" w:lineRule="auto"/>
        <w:rPr>
          <w:rFonts w:ascii="Arial"/>
          <w:sz w:val="21"/>
        </w:rPr>
      </w:pPr>
    </w:p>
    <w:p w14:paraId="169D923E">
      <w:pPr>
        <w:spacing w:line="272" w:lineRule="auto"/>
        <w:rPr>
          <w:rFonts w:ascii="Arial"/>
          <w:sz w:val="21"/>
        </w:rPr>
      </w:pPr>
    </w:p>
    <w:p w14:paraId="59F3D70D">
      <w:pPr>
        <w:spacing w:line="272" w:lineRule="auto"/>
        <w:rPr>
          <w:rFonts w:ascii="Arial"/>
          <w:sz w:val="21"/>
        </w:rPr>
      </w:pPr>
    </w:p>
    <w:p w14:paraId="6AB6B760">
      <w:pPr>
        <w:spacing w:before="65" w:line="228" w:lineRule="auto"/>
        <w:ind w:left="37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）承包人擅自暂停施工；</w:t>
      </w:r>
    </w:p>
    <w:p w14:paraId="38DB015C">
      <w:pPr>
        <w:spacing w:before="151" w:line="228" w:lineRule="auto"/>
        <w:ind w:left="37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）承包人其他原因引起的暂停施工；</w:t>
      </w:r>
    </w:p>
    <w:p w14:paraId="78B4CC46">
      <w:pPr>
        <w:spacing w:before="153" w:line="228" w:lineRule="auto"/>
        <w:ind w:left="37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）专用合同条款约定由承包人承担的其他暂停施工。</w:t>
      </w:r>
    </w:p>
    <w:p w14:paraId="789CA295">
      <w:pPr>
        <w:pStyle w:val="2"/>
        <w:spacing w:before="127" w:line="221" w:lineRule="auto"/>
        <w:ind w:left="23"/>
        <w:rPr>
          <w:sz w:val="24"/>
          <w:szCs w:val="24"/>
        </w:rPr>
      </w:pPr>
      <w:r>
        <w:rPr>
          <w:rFonts w:ascii="Times New Roman" w:hAnsi="Times New Roman" w:eastAsia="Times New Roman" w:cs="Times New Roman"/>
          <w:spacing w:val="-2"/>
          <w:sz w:val="24"/>
          <w:szCs w:val="24"/>
        </w:rPr>
        <w:t xml:space="preserve">12.2  </w:t>
      </w:r>
      <w:r>
        <w:rPr>
          <w:spacing w:val="-2"/>
          <w:sz w:val="24"/>
          <w:szCs w:val="24"/>
        </w:rPr>
        <w:t>发包人暂停施工的责任</w:t>
      </w:r>
    </w:p>
    <w:p w14:paraId="3524CE4E">
      <w:pPr>
        <w:spacing w:before="137" w:line="358" w:lineRule="auto"/>
        <w:ind w:left="4" w:right="73" w:firstLine="444"/>
        <w:rPr>
          <w:rFonts w:ascii="宋体" w:hAnsi="宋体" w:eastAsia="宋体" w:cs="宋体"/>
          <w:sz w:val="20"/>
          <w:szCs w:val="20"/>
        </w:rPr>
      </w:pPr>
      <w:r>
        <w:rPr>
          <w:rFonts w:ascii="宋体" w:hAnsi="宋体" w:eastAsia="宋体" w:cs="宋体"/>
          <w:spacing w:val="9"/>
          <w:sz w:val="20"/>
          <w:szCs w:val="20"/>
        </w:rPr>
        <w:t>由于发包人原因引起的暂停施工造成工期延误的，承包人有权</w:t>
      </w:r>
      <w:r>
        <w:rPr>
          <w:rFonts w:ascii="宋体" w:hAnsi="宋体" w:eastAsia="宋体" w:cs="宋体"/>
          <w:spacing w:val="8"/>
          <w:sz w:val="20"/>
          <w:szCs w:val="20"/>
        </w:rPr>
        <w:t>要求发包人延长工期和（或）增加费用，并支付合理利润。</w:t>
      </w:r>
    </w:p>
    <w:p w14:paraId="0B341817">
      <w:pPr>
        <w:pStyle w:val="2"/>
        <w:spacing w:before="1" w:line="221" w:lineRule="auto"/>
        <w:ind w:left="23"/>
        <w:rPr>
          <w:sz w:val="24"/>
          <w:szCs w:val="24"/>
        </w:rPr>
      </w:pPr>
      <w:r>
        <w:rPr>
          <w:rFonts w:ascii="Times New Roman" w:hAnsi="Times New Roman" w:eastAsia="Times New Roman" w:cs="Times New Roman"/>
          <w:spacing w:val="-2"/>
          <w:sz w:val="24"/>
          <w:szCs w:val="24"/>
        </w:rPr>
        <w:t xml:space="preserve">12.3  </w:t>
      </w:r>
      <w:r>
        <w:rPr>
          <w:spacing w:val="-2"/>
          <w:sz w:val="24"/>
          <w:szCs w:val="24"/>
        </w:rPr>
        <w:t>监理人暂停施工指示</w:t>
      </w:r>
    </w:p>
    <w:p w14:paraId="4E81ED54">
      <w:pPr>
        <w:spacing w:before="138" w:line="369" w:lineRule="auto"/>
        <w:ind w:left="2" w:right="54" w:firstLine="437"/>
        <w:jc w:val="both"/>
        <w:rPr>
          <w:rFonts w:ascii="宋体" w:hAnsi="宋体" w:eastAsia="宋体" w:cs="宋体"/>
          <w:sz w:val="20"/>
          <w:szCs w:val="20"/>
        </w:rPr>
      </w:pPr>
      <w:r>
        <w:rPr>
          <w:rFonts w:ascii="Times New Roman" w:hAnsi="Times New Roman" w:eastAsia="Times New Roman" w:cs="Times New Roman"/>
          <w:spacing w:val="8"/>
          <w:sz w:val="20"/>
          <w:szCs w:val="20"/>
        </w:rPr>
        <w:t xml:space="preserve">12.3.1  </w:t>
      </w:r>
      <w:r>
        <w:rPr>
          <w:rFonts w:ascii="宋体" w:hAnsi="宋体" w:eastAsia="宋体" w:cs="宋体"/>
          <w:spacing w:val="8"/>
          <w:sz w:val="20"/>
          <w:szCs w:val="20"/>
        </w:rPr>
        <w:t>监理人认为有必要时，可向承包人作出暂停施工的指示，承包人应按监理人指示暂停</w:t>
      </w:r>
      <w:r>
        <w:rPr>
          <w:rFonts w:ascii="宋体" w:hAnsi="宋体" w:eastAsia="宋体" w:cs="宋体"/>
          <w:spacing w:val="10"/>
          <w:sz w:val="20"/>
          <w:szCs w:val="20"/>
        </w:rPr>
        <w:t>施工。不论由于何种原因引起的暂停施工，暂停施工期间承包人应负责妥善</w:t>
      </w:r>
      <w:r>
        <w:rPr>
          <w:rFonts w:ascii="宋体" w:hAnsi="宋体" w:eastAsia="宋体" w:cs="宋体"/>
          <w:spacing w:val="9"/>
          <w:sz w:val="20"/>
          <w:szCs w:val="20"/>
        </w:rPr>
        <w:t>保护工程并提供安全</w:t>
      </w:r>
      <w:r>
        <w:rPr>
          <w:rFonts w:ascii="宋体" w:hAnsi="宋体" w:eastAsia="宋体" w:cs="宋体"/>
          <w:spacing w:val="3"/>
          <w:sz w:val="20"/>
          <w:szCs w:val="20"/>
        </w:rPr>
        <w:t>保障。</w:t>
      </w:r>
    </w:p>
    <w:p w14:paraId="4C7483CE">
      <w:pPr>
        <w:spacing w:before="2" w:line="361" w:lineRule="auto"/>
        <w:ind w:right="56" w:firstLine="440"/>
        <w:jc w:val="both"/>
        <w:rPr>
          <w:rFonts w:ascii="宋体" w:hAnsi="宋体" w:eastAsia="宋体" w:cs="宋体"/>
          <w:sz w:val="20"/>
          <w:szCs w:val="20"/>
        </w:rPr>
      </w:pPr>
      <w:r>
        <w:rPr>
          <w:rFonts w:ascii="Times New Roman" w:hAnsi="Times New Roman" w:eastAsia="Times New Roman" w:cs="Times New Roman"/>
          <w:spacing w:val="8"/>
          <w:sz w:val="20"/>
          <w:szCs w:val="20"/>
        </w:rPr>
        <w:t>12.3.2</w:t>
      </w:r>
      <w:r>
        <w:rPr>
          <w:rFonts w:ascii="Times New Roman" w:hAnsi="Times New Roman" w:eastAsia="Times New Roman" w:cs="Times New Roman"/>
          <w:spacing w:val="19"/>
          <w:sz w:val="20"/>
          <w:szCs w:val="20"/>
        </w:rPr>
        <w:t xml:space="preserve">  </w:t>
      </w:r>
      <w:r>
        <w:rPr>
          <w:rFonts w:ascii="宋体" w:hAnsi="宋体" w:eastAsia="宋体" w:cs="宋体"/>
          <w:spacing w:val="8"/>
          <w:sz w:val="20"/>
          <w:szCs w:val="20"/>
        </w:rPr>
        <w:t>由于发包人的原因发生暂停施工的紧急情况，且监理人未及时</w:t>
      </w:r>
      <w:r>
        <w:rPr>
          <w:rFonts w:ascii="宋体" w:hAnsi="宋体" w:eastAsia="宋体" w:cs="宋体"/>
          <w:spacing w:val="7"/>
          <w:sz w:val="20"/>
          <w:szCs w:val="20"/>
        </w:rPr>
        <w:t>下达暂停施工指示的，</w:t>
      </w:r>
      <w:r>
        <w:rPr>
          <w:rFonts w:ascii="宋体" w:hAnsi="宋体" w:eastAsia="宋体" w:cs="宋体"/>
          <w:spacing w:val="10"/>
          <w:sz w:val="20"/>
          <w:szCs w:val="20"/>
        </w:rPr>
        <w:t>承包人可先暂停施工，并及时向监理人提出暂停施工的书面请求。监理人应在</w:t>
      </w:r>
      <w:r>
        <w:rPr>
          <w:rFonts w:ascii="宋体" w:hAnsi="宋体" w:eastAsia="宋体" w:cs="宋体"/>
          <w:spacing w:val="9"/>
          <w:sz w:val="20"/>
          <w:szCs w:val="20"/>
        </w:rPr>
        <w:t>接到书面请求后的</w:t>
      </w:r>
      <w:r>
        <w:rPr>
          <w:rFonts w:ascii="Times New Roman" w:hAnsi="Times New Roman" w:eastAsia="Times New Roman" w:cs="Times New Roman"/>
          <w:spacing w:val="9"/>
          <w:sz w:val="20"/>
          <w:szCs w:val="20"/>
        </w:rPr>
        <w:t xml:space="preserve">24 </w:t>
      </w:r>
      <w:r>
        <w:rPr>
          <w:rFonts w:ascii="宋体" w:hAnsi="宋体" w:eastAsia="宋体" w:cs="宋体"/>
          <w:spacing w:val="9"/>
          <w:sz w:val="20"/>
          <w:szCs w:val="20"/>
        </w:rPr>
        <w:t>小时内予以答复，逾期未答复的，视为同意承包人的暂停施工请</w:t>
      </w:r>
      <w:r>
        <w:rPr>
          <w:rFonts w:ascii="宋体" w:hAnsi="宋体" w:eastAsia="宋体" w:cs="宋体"/>
          <w:spacing w:val="8"/>
          <w:sz w:val="20"/>
          <w:szCs w:val="20"/>
        </w:rPr>
        <w:t>求。</w:t>
      </w:r>
    </w:p>
    <w:p w14:paraId="46B3FC44">
      <w:pPr>
        <w:pStyle w:val="2"/>
        <w:spacing w:before="1" w:line="221" w:lineRule="auto"/>
        <w:ind w:left="23"/>
        <w:rPr>
          <w:sz w:val="24"/>
          <w:szCs w:val="24"/>
        </w:rPr>
      </w:pPr>
      <w:r>
        <w:rPr>
          <w:rFonts w:ascii="Times New Roman" w:hAnsi="Times New Roman" w:eastAsia="Times New Roman" w:cs="Times New Roman"/>
          <w:spacing w:val="-3"/>
          <w:sz w:val="24"/>
          <w:szCs w:val="24"/>
        </w:rPr>
        <w:t xml:space="preserve">12.4  </w:t>
      </w:r>
      <w:r>
        <w:rPr>
          <w:spacing w:val="-3"/>
          <w:sz w:val="24"/>
          <w:szCs w:val="24"/>
        </w:rPr>
        <w:t>暂停施工后的复工</w:t>
      </w:r>
    </w:p>
    <w:p w14:paraId="5AFABE82">
      <w:pPr>
        <w:spacing w:before="138" w:line="369" w:lineRule="auto"/>
        <w:ind w:left="2" w:right="54"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12.4.1  </w:t>
      </w:r>
      <w:r>
        <w:rPr>
          <w:rFonts w:ascii="宋体" w:hAnsi="宋体" w:eastAsia="宋体" w:cs="宋体"/>
          <w:spacing w:val="8"/>
          <w:sz w:val="20"/>
          <w:szCs w:val="20"/>
        </w:rPr>
        <w:t>暂停施工后，监理人应与发包人和承包人协商，采取有效措施积极消除暂停施工的影</w:t>
      </w:r>
      <w:r>
        <w:rPr>
          <w:rFonts w:ascii="宋体" w:hAnsi="宋体" w:eastAsia="宋体" w:cs="宋体"/>
          <w:spacing w:val="10"/>
          <w:sz w:val="20"/>
          <w:szCs w:val="20"/>
        </w:rPr>
        <w:t>响。当工程具备复工条件时，监理人应立即向承包人发出复工通知。承包人</w:t>
      </w:r>
      <w:r>
        <w:rPr>
          <w:rFonts w:ascii="宋体" w:hAnsi="宋体" w:eastAsia="宋体" w:cs="宋体"/>
          <w:spacing w:val="9"/>
          <w:sz w:val="20"/>
          <w:szCs w:val="20"/>
        </w:rPr>
        <w:t>收到复工通知后，应</w:t>
      </w:r>
      <w:r>
        <w:rPr>
          <w:rFonts w:ascii="宋体" w:hAnsi="宋体" w:eastAsia="宋体" w:cs="宋体"/>
          <w:spacing w:val="8"/>
          <w:sz w:val="20"/>
          <w:szCs w:val="20"/>
        </w:rPr>
        <w:t>在监理人指定的期限内复工。</w:t>
      </w:r>
    </w:p>
    <w:p w14:paraId="47F31C08">
      <w:pPr>
        <w:spacing w:before="1" w:line="357" w:lineRule="auto"/>
        <w:ind w:left="8" w:right="57" w:firstLine="431"/>
        <w:rPr>
          <w:rFonts w:ascii="宋体" w:hAnsi="宋体" w:eastAsia="宋体" w:cs="宋体"/>
          <w:sz w:val="20"/>
          <w:szCs w:val="20"/>
        </w:rPr>
      </w:pPr>
      <w:r>
        <w:rPr>
          <w:rFonts w:ascii="Times New Roman" w:hAnsi="Times New Roman" w:eastAsia="Times New Roman" w:cs="Times New Roman"/>
          <w:spacing w:val="8"/>
          <w:sz w:val="20"/>
          <w:szCs w:val="20"/>
        </w:rPr>
        <w:t xml:space="preserve">12.4.2  </w:t>
      </w:r>
      <w:r>
        <w:rPr>
          <w:rFonts w:ascii="宋体" w:hAnsi="宋体" w:eastAsia="宋体" w:cs="宋体"/>
          <w:spacing w:val="8"/>
          <w:sz w:val="20"/>
          <w:szCs w:val="20"/>
        </w:rPr>
        <w:t>承包人无故拖延和拒绝复工的，由此增加的费用和工期延误由承包人承担；因发包人</w:t>
      </w:r>
      <w:r>
        <w:rPr>
          <w:rFonts w:ascii="宋体" w:hAnsi="宋体" w:eastAsia="宋体" w:cs="宋体"/>
          <w:spacing w:val="9"/>
          <w:sz w:val="20"/>
          <w:szCs w:val="20"/>
        </w:rPr>
        <w:t>原因无法按时复工的，承包人有权要求发包人延长工期和（或）增加费用，并支付合理利润。</w:t>
      </w:r>
    </w:p>
    <w:p w14:paraId="53B21F60">
      <w:pPr>
        <w:pStyle w:val="2"/>
        <w:spacing w:before="1" w:line="220" w:lineRule="auto"/>
        <w:ind w:left="23"/>
        <w:rPr>
          <w:sz w:val="24"/>
          <w:szCs w:val="24"/>
        </w:rPr>
      </w:pPr>
      <w:r>
        <w:rPr>
          <w:rFonts w:ascii="Times New Roman" w:hAnsi="Times New Roman" w:eastAsia="Times New Roman" w:cs="Times New Roman"/>
          <w:spacing w:val="-3"/>
          <w:sz w:val="24"/>
          <w:szCs w:val="24"/>
        </w:rPr>
        <w:t xml:space="preserve">12.5  </w:t>
      </w:r>
      <w:r>
        <w:rPr>
          <w:spacing w:val="-3"/>
          <w:sz w:val="24"/>
          <w:szCs w:val="24"/>
        </w:rPr>
        <w:t>暂停施工持续</w:t>
      </w:r>
      <w:r>
        <w:rPr>
          <w:spacing w:val="-47"/>
          <w:sz w:val="24"/>
          <w:szCs w:val="24"/>
        </w:rPr>
        <w:t xml:space="preserve"> </w:t>
      </w:r>
      <w:r>
        <w:rPr>
          <w:rFonts w:ascii="Times New Roman" w:hAnsi="Times New Roman" w:eastAsia="Times New Roman" w:cs="Times New Roman"/>
          <w:spacing w:val="-3"/>
          <w:sz w:val="24"/>
          <w:szCs w:val="24"/>
        </w:rPr>
        <w:t>56</w:t>
      </w:r>
      <w:r>
        <w:rPr>
          <w:rFonts w:ascii="Times New Roman" w:hAnsi="Times New Roman" w:eastAsia="Times New Roman" w:cs="Times New Roman"/>
          <w:spacing w:val="8"/>
          <w:sz w:val="24"/>
          <w:szCs w:val="24"/>
        </w:rPr>
        <w:t xml:space="preserve"> </w:t>
      </w:r>
      <w:r>
        <w:rPr>
          <w:spacing w:val="-3"/>
          <w:sz w:val="24"/>
          <w:szCs w:val="24"/>
        </w:rPr>
        <w:t>天以上</w:t>
      </w:r>
    </w:p>
    <w:p w14:paraId="3E0C3F9C">
      <w:pPr>
        <w:spacing w:before="139" w:line="369" w:lineRule="auto"/>
        <w:ind w:left="2" w:firstLine="430"/>
        <w:rPr>
          <w:rFonts w:ascii="宋体" w:hAnsi="宋体" w:eastAsia="宋体" w:cs="宋体"/>
          <w:sz w:val="20"/>
          <w:szCs w:val="20"/>
        </w:rPr>
      </w:pPr>
      <w:r>
        <w:rPr>
          <w:rFonts w:ascii="Times New Roman" w:hAnsi="Times New Roman" w:eastAsia="Times New Roman" w:cs="Times New Roman"/>
          <w:spacing w:val="9"/>
          <w:sz w:val="20"/>
          <w:szCs w:val="20"/>
        </w:rPr>
        <w:t>12.5.</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监理人发出暂停施工指示后</w:t>
      </w:r>
      <w:r>
        <w:rPr>
          <w:rFonts w:ascii="宋体" w:hAnsi="宋体" w:eastAsia="宋体" w:cs="宋体"/>
          <w:spacing w:val="-32"/>
          <w:sz w:val="20"/>
          <w:szCs w:val="20"/>
        </w:rPr>
        <w:t xml:space="preserve"> </w:t>
      </w:r>
      <w:r>
        <w:rPr>
          <w:rFonts w:ascii="Times New Roman" w:hAnsi="Times New Roman" w:eastAsia="Times New Roman" w:cs="Times New Roman"/>
          <w:spacing w:val="9"/>
          <w:sz w:val="20"/>
          <w:szCs w:val="20"/>
        </w:rPr>
        <w:t>56</w:t>
      </w:r>
      <w:r>
        <w:rPr>
          <w:rFonts w:ascii="Times New Roman" w:hAnsi="Times New Roman" w:eastAsia="Times New Roman" w:cs="Times New Roman"/>
          <w:spacing w:val="18"/>
          <w:w w:val="101"/>
          <w:sz w:val="20"/>
          <w:szCs w:val="20"/>
        </w:rPr>
        <w:t xml:space="preserve"> </w:t>
      </w:r>
      <w:r>
        <w:rPr>
          <w:rFonts w:ascii="宋体" w:hAnsi="宋体" w:eastAsia="宋体" w:cs="宋体"/>
          <w:spacing w:val="9"/>
          <w:sz w:val="20"/>
          <w:szCs w:val="20"/>
        </w:rPr>
        <w:t>天内未向承包人发出复工通知，除了该项停工属于第</w:t>
      </w:r>
      <w:r>
        <w:rPr>
          <w:rFonts w:ascii="Times New Roman" w:hAnsi="Times New Roman" w:eastAsia="Times New Roman" w:cs="Times New Roman"/>
          <w:spacing w:val="6"/>
          <w:sz w:val="20"/>
          <w:szCs w:val="20"/>
        </w:rPr>
        <w:t>12.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款的情况外，承包人可向监理人提交书面通知，要求监理人在收到</w:t>
      </w:r>
      <w:r>
        <w:rPr>
          <w:rFonts w:ascii="宋体" w:hAnsi="宋体" w:eastAsia="宋体" w:cs="宋体"/>
          <w:spacing w:val="5"/>
          <w:sz w:val="20"/>
          <w:szCs w:val="20"/>
        </w:rPr>
        <w:t>书面通知后</w:t>
      </w:r>
      <w:r>
        <w:rPr>
          <w:rFonts w:ascii="宋体" w:hAnsi="宋体" w:eastAsia="宋体" w:cs="宋体"/>
          <w:spacing w:val="-43"/>
          <w:sz w:val="20"/>
          <w:szCs w:val="20"/>
        </w:rPr>
        <w:t xml:space="preserve"> </w:t>
      </w:r>
      <w:r>
        <w:rPr>
          <w:rFonts w:ascii="Times New Roman" w:hAnsi="Times New Roman" w:eastAsia="Times New Roman" w:cs="Times New Roman"/>
          <w:spacing w:val="5"/>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5"/>
          <w:sz w:val="20"/>
          <w:szCs w:val="20"/>
        </w:rPr>
        <w:t>天内准许已</w:t>
      </w:r>
      <w:r>
        <w:rPr>
          <w:rFonts w:ascii="宋体" w:hAnsi="宋体" w:eastAsia="宋体" w:cs="宋体"/>
          <w:spacing w:val="6"/>
          <w:sz w:val="20"/>
          <w:szCs w:val="20"/>
        </w:rPr>
        <w:t>暂停施工的工程或其中一部分工程继续施工。如监理人逾期不予批准，则承包人可以通知监理人，将工程受影响的部分视为按第</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）项的可取消工作。如暂停施工</w:t>
      </w:r>
      <w:r>
        <w:rPr>
          <w:rFonts w:ascii="宋体" w:hAnsi="宋体" w:eastAsia="宋体" w:cs="宋体"/>
          <w:spacing w:val="5"/>
          <w:sz w:val="20"/>
          <w:szCs w:val="20"/>
        </w:rPr>
        <w:t>影响到整个工程，可视为发</w:t>
      </w:r>
      <w:r>
        <w:rPr>
          <w:rFonts w:ascii="宋体" w:hAnsi="宋体" w:eastAsia="宋体" w:cs="宋体"/>
          <w:spacing w:val="7"/>
          <w:sz w:val="20"/>
          <w:szCs w:val="20"/>
        </w:rPr>
        <w:t>包人违约，应按第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22.2 </w:t>
      </w:r>
      <w:r>
        <w:rPr>
          <w:rFonts w:ascii="宋体" w:hAnsi="宋体" w:eastAsia="宋体" w:cs="宋体"/>
          <w:spacing w:val="7"/>
          <w:sz w:val="20"/>
          <w:szCs w:val="20"/>
        </w:rPr>
        <w:t>款的规定办理。</w:t>
      </w:r>
    </w:p>
    <w:p w14:paraId="26CAFC2E">
      <w:pPr>
        <w:spacing w:line="371" w:lineRule="auto"/>
        <w:ind w:left="6" w:right="56" w:firstLine="433"/>
        <w:rPr>
          <w:rFonts w:ascii="宋体" w:hAnsi="宋体" w:eastAsia="宋体" w:cs="宋体"/>
          <w:sz w:val="20"/>
          <w:szCs w:val="20"/>
        </w:rPr>
      </w:pPr>
      <w:r>
        <w:rPr>
          <w:rFonts w:ascii="Times New Roman" w:hAnsi="Times New Roman" w:eastAsia="Times New Roman" w:cs="Times New Roman"/>
          <w:spacing w:val="6"/>
          <w:sz w:val="20"/>
          <w:szCs w:val="20"/>
        </w:rPr>
        <w:t>12.5.2</w:t>
      </w:r>
      <w:r>
        <w:rPr>
          <w:rFonts w:ascii="Times New Roman" w:hAnsi="Times New Roman" w:eastAsia="Times New Roman" w:cs="Times New Roman"/>
          <w:spacing w:val="26"/>
          <w:sz w:val="20"/>
          <w:szCs w:val="20"/>
        </w:rPr>
        <w:t xml:space="preserve">  </w:t>
      </w:r>
      <w:r>
        <w:rPr>
          <w:rFonts w:ascii="宋体" w:hAnsi="宋体" w:eastAsia="宋体" w:cs="宋体"/>
          <w:spacing w:val="6"/>
          <w:sz w:val="20"/>
          <w:szCs w:val="20"/>
        </w:rPr>
        <w:t>由于承包人责任引起的暂停施工，如承包人在收到监理人暂停施工指示后</w:t>
      </w:r>
      <w:r>
        <w:rPr>
          <w:rFonts w:ascii="Times New Roman" w:hAnsi="Times New Roman" w:eastAsia="Times New Roman" w:cs="Times New Roman"/>
          <w:spacing w:val="6"/>
          <w:sz w:val="20"/>
          <w:szCs w:val="20"/>
        </w:rPr>
        <w:t xml:space="preserve">56 </w:t>
      </w:r>
      <w:r>
        <w:rPr>
          <w:rFonts w:ascii="宋体" w:hAnsi="宋体" w:eastAsia="宋体" w:cs="宋体"/>
          <w:spacing w:val="6"/>
          <w:sz w:val="20"/>
          <w:szCs w:val="20"/>
        </w:rPr>
        <w:t>天内不认</w:t>
      </w:r>
      <w:r>
        <w:rPr>
          <w:rFonts w:ascii="宋体" w:hAnsi="宋体" w:eastAsia="宋体" w:cs="宋体"/>
          <w:spacing w:val="9"/>
          <w:sz w:val="20"/>
          <w:szCs w:val="20"/>
        </w:rPr>
        <w:t>真采取有效的复工措施，造成工期延误，可视为承包</w:t>
      </w:r>
      <w:r>
        <w:rPr>
          <w:rFonts w:ascii="宋体" w:hAnsi="宋体" w:eastAsia="宋体" w:cs="宋体"/>
          <w:spacing w:val="8"/>
          <w:sz w:val="20"/>
          <w:szCs w:val="20"/>
        </w:rPr>
        <w:t>人违约，应按第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22.1 </w:t>
      </w:r>
      <w:r>
        <w:rPr>
          <w:rFonts w:ascii="宋体" w:hAnsi="宋体" w:eastAsia="宋体" w:cs="宋体"/>
          <w:spacing w:val="8"/>
          <w:sz w:val="20"/>
          <w:szCs w:val="20"/>
        </w:rPr>
        <w:t>款的规定办理。</w:t>
      </w:r>
    </w:p>
    <w:p w14:paraId="5DFCF6B4">
      <w:pPr>
        <w:pStyle w:val="2"/>
        <w:spacing w:before="37" w:line="222" w:lineRule="auto"/>
        <w:ind w:left="28"/>
        <w:outlineLvl w:val="2"/>
        <w:rPr>
          <w:sz w:val="28"/>
          <w:szCs w:val="28"/>
        </w:rPr>
      </w:pPr>
      <w:bookmarkStart w:id="226" w:name="bookmark207"/>
      <w:bookmarkEnd w:id="226"/>
      <w:r>
        <w:rPr>
          <w:rFonts w:ascii="Times New Roman" w:hAnsi="Times New Roman" w:eastAsia="Times New Roman" w:cs="Times New Roman"/>
          <w:spacing w:val="-7"/>
          <w:sz w:val="28"/>
          <w:szCs w:val="28"/>
        </w:rPr>
        <w:t>13.</w:t>
      </w:r>
      <w:r>
        <w:rPr>
          <w:rFonts w:ascii="Times New Roman" w:hAnsi="Times New Roman" w:eastAsia="Times New Roman" w:cs="Times New Roman"/>
          <w:spacing w:val="7"/>
          <w:sz w:val="28"/>
          <w:szCs w:val="28"/>
        </w:rPr>
        <w:t xml:space="preserve">  </w:t>
      </w:r>
      <w:r>
        <w:rPr>
          <w:spacing w:val="-7"/>
          <w:sz w:val="28"/>
          <w:szCs w:val="28"/>
        </w:rPr>
        <w:t>工程质量</w:t>
      </w:r>
    </w:p>
    <w:p w14:paraId="08E7EB4C">
      <w:pPr>
        <w:pStyle w:val="2"/>
        <w:spacing w:before="96" w:line="222" w:lineRule="auto"/>
        <w:ind w:left="23"/>
        <w:rPr>
          <w:sz w:val="24"/>
          <w:szCs w:val="24"/>
        </w:rPr>
      </w:pPr>
      <w:r>
        <w:rPr>
          <w:rFonts w:ascii="Times New Roman" w:hAnsi="Times New Roman" w:eastAsia="Times New Roman" w:cs="Times New Roman"/>
          <w:spacing w:val="-3"/>
          <w:sz w:val="24"/>
          <w:szCs w:val="24"/>
        </w:rPr>
        <w:t xml:space="preserve">13.1  </w:t>
      </w:r>
      <w:r>
        <w:rPr>
          <w:spacing w:val="-3"/>
          <w:sz w:val="24"/>
          <w:szCs w:val="24"/>
        </w:rPr>
        <w:t>工程质量要求</w:t>
      </w:r>
    </w:p>
    <w:p w14:paraId="705D8A5E">
      <w:pPr>
        <w:spacing w:before="139" w:line="228" w:lineRule="auto"/>
        <w:ind w:left="440"/>
        <w:rPr>
          <w:rFonts w:ascii="宋体" w:hAnsi="宋体" w:eastAsia="宋体" w:cs="宋体"/>
          <w:sz w:val="20"/>
          <w:szCs w:val="20"/>
        </w:rPr>
      </w:pPr>
      <w:r>
        <w:rPr>
          <w:rFonts w:ascii="Times New Roman" w:hAnsi="Times New Roman" w:eastAsia="Times New Roman" w:cs="Times New Roman"/>
          <w:spacing w:val="5"/>
          <w:sz w:val="20"/>
          <w:szCs w:val="20"/>
        </w:rPr>
        <w:t>13.</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pacing w:val="5"/>
          <w:sz w:val="20"/>
          <w:szCs w:val="20"/>
        </w:rPr>
        <w:t xml:space="preserve">1.1  </w:t>
      </w:r>
      <w:r>
        <w:rPr>
          <w:rFonts w:ascii="宋体" w:hAnsi="宋体" w:eastAsia="宋体" w:cs="宋体"/>
          <w:spacing w:val="5"/>
          <w:sz w:val="20"/>
          <w:szCs w:val="20"/>
        </w:rPr>
        <w:t>工程质量验收按合同约定验收标准执行。</w:t>
      </w:r>
    </w:p>
    <w:p w14:paraId="34F5456A">
      <w:pPr>
        <w:spacing w:before="152" w:line="370" w:lineRule="auto"/>
        <w:ind w:left="5" w:right="57" w:firstLine="434"/>
        <w:rPr>
          <w:rFonts w:ascii="宋体" w:hAnsi="宋体" w:eastAsia="宋体" w:cs="宋体"/>
          <w:sz w:val="20"/>
          <w:szCs w:val="20"/>
        </w:rPr>
      </w:pPr>
      <w:r>
        <w:rPr>
          <w:rFonts w:ascii="Times New Roman" w:hAnsi="Times New Roman" w:eastAsia="Times New Roman" w:cs="Times New Roman"/>
          <w:spacing w:val="8"/>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  </w:t>
      </w:r>
      <w:r>
        <w:rPr>
          <w:rFonts w:ascii="宋体" w:hAnsi="宋体" w:eastAsia="宋体" w:cs="宋体"/>
          <w:spacing w:val="8"/>
          <w:sz w:val="20"/>
          <w:szCs w:val="20"/>
        </w:rPr>
        <w:t>因承包人原因造成工程质量达不到合同约定验收标准的</w:t>
      </w:r>
      <w:r>
        <w:rPr>
          <w:rFonts w:ascii="宋体" w:hAnsi="宋体" w:eastAsia="宋体" w:cs="宋体"/>
          <w:spacing w:val="7"/>
          <w:sz w:val="20"/>
          <w:szCs w:val="20"/>
        </w:rPr>
        <w:t>，监理人有权要求承包人返工</w:t>
      </w:r>
      <w:r>
        <w:rPr>
          <w:rFonts w:ascii="宋体" w:hAnsi="宋体" w:eastAsia="宋体" w:cs="宋体"/>
          <w:spacing w:val="9"/>
          <w:sz w:val="20"/>
          <w:szCs w:val="20"/>
        </w:rPr>
        <w:t>直至符合合同要求为止，由此造成的费用增加和（或）工期延误由承包人承担。</w:t>
      </w:r>
    </w:p>
    <w:p w14:paraId="3353E65A">
      <w:pPr>
        <w:spacing w:line="369" w:lineRule="auto"/>
        <w:ind w:left="6" w:right="57" w:firstLine="433"/>
        <w:rPr>
          <w:rFonts w:ascii="宋体" w:hAnsi="宋体" w:eastAsia="宋体" w:cs="宋体"/>
          <w:sz w:val="20"/>
          <w:szCs w:val="20"/>
        </w:rPr>
      </w:pPr>
      <w:r>
        <w:rPr>
          <w:rFonts w:ascii="Times New Roman" w:hAnsi="Times New Roman" w:eastAsia="Times New Roman" w:cs="Times New Roman"/>
          <w:spacing w:val="8"/>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1.3  </w:t>
      </w:r>
      <w:r>
        <w:rPr>
          <w:rFonts w:ascii="宋体" w:hAnsi="宋体" w:eastAsia="宋体" w:cs="宋体"/>
          <w:spacing w:val="8"/>
          <w:sz w:val="20"/>
          <w:szCs w:val="20"/>
        </w:rPr>
        <w:t>因发包人原因造成工程质量达不到合同约定验收标准的</w:t>
      </w:r>
      <w:r>
        <w:rPr>
          <w:rFonts w:ascii="宋体" w:hAnsi="宋体" w:eastAsia="宋体" w:cs="宋体"/>
          <w:spacing w:val="7"/>
          <w:sz w:val="20"/>
          <w:szCs w:val="20"/>
        </w:rPr>
        <w:t>，发包人应承担由于承包人返</w:t>
      </w:r>
      <w:r>
        <w:rPr>
          <w:rFonts w:ascii="宋体" w:hAnsi="宋体" w:eastAsia="宋体" w:cs="宋体"/>
          <w:spacing w:val="9"/>
          <w:sz w:val="20"/>
          <w:szCs w:val="20"/>
        </w:rPr>
        <w:t>工造成的费用增加和（或）工期延误，并支付承包人合理利润。</w:t>
      </w:r>
    </w:p>
    <w:p w14:paraId="26AFCE0C">
      <w:pPr>
        <w:spacing w:line="369" w:lineRule="auto"/>
        <w:rPr>
          <w:rFonts w:ascii="宋体" w:hAnsi="宋体" w:eastAsia="宋体" w:cs="宋体"/>
          <w:sz w:val="20"/>
          <w:szCs w:val="20"/>
        </w:rPr>
        <w:sectPr>
          <w:footerReference r:id="rId177" w:type="default"/>
          <w:pgSz w:w="11906" w:h="16839"/>
          <w:pgMar w:top="400" w:right="1500" w:bottom="1038" w:left="1535" w:header="0" w:footer="787" w:gutter="0"/>
          <w:cols w:space="720" w:num="1"/>
        </w:sectPr>
      </w:pPr>
    </w:p>
    <w:p w14:paraId="294FCA21">
      <w:pPr>
        <w:spacing w:line="262" w:lineRule="auto"/>
        <w:rPr>
          <w:rFonts w:ascii="Arial"/>
          <w:sz w:val="21"/>
        </w:rPr>
      </w:pPr>
    </w:p>
    <w:p w14:paraId="46892D74">
      <w:pPr>
        <w:spacing w:line="262" w:lineRule="auto"/>
        <w:rPr>
          <w:rFonts w:ascii="Arial"/>
          <w:sz w:val="21"/>
        </w:rPr>
      </w:pPr>
    </w:p>
    <w:p w14:paraId="62298D49">
      <w:pPr>
        <w:spacing w:line="262" w:lineRule="auto"/>
        <w:rPr>
          <w:rFonts w:ascii="Arial"/>
          <w:sz w:val="21"/>
        </w:rPr>
      </w:pPr>
    </w:p>
    <w:p w14:paraId="005B0845">
      <w:pPr>
        <w:spacing w:line="262" w:lineRule="auto"/>
        <w:rPr>
          <w:rFonts w:ascii="Arial"/>
          <w:sz w:val="21"/>
        </w:rPr>
      </w:pPr>
    </w:p>
    <w:p w14:paraId="3D02090B">
      <w:pPr>
        <w:pStyle w:val="2"/>
        <w:spacing w:before="78" w:line="222" w:lineRule="auto"/>
        <w:ind w:left="19"/>
        <w:rPr>
          <w:sz w:val="24"/>
          <w:szCs w:val="24"/>
        </w:rPr>
      </w:pPr>
      <w:r>
        <w:rPr>
          <w:rFonts w:ascii="Times New Roman" w:hAnsi="Times New Roman" w:eastAsia="Times New Roman" w:cs="Times New Roman"/>
          <w:spacing w:val="-3"/>
          <w:sz w:val="24"/>
          <w:szCs w:val="24"/>
        </w:rPr>
        <w:t xml:space="preserve">13.2  </w:t>
      </w:r>
      <w:r>
        <w:rPr>
          <w:spacing w:val="-3"/>
          <w:sz w:val="24"/>
          <w:szCs w:val="24"/>
        </w:rPr>
        <w:t>承包人的质量管理</w:t>
      </w:r>
    </w:p>
    <w:p w14:paraId="34C50947">
      <w:pPr>
        <w:spacing w:before="136" w:line="369" w:lineRule="auto"/>
        <w:ind w:right="54" w:firstLine="435"/>
        <w:rPr>
          <w:rFonts w:ascii="宋体" w:hAnsi="宋体" w:eastAsia="宋体" w:cs="宋体"/>
          <w:sz w:val="20"/>
          <w:szCs w:val="20"/>
        </w:rPr>
      </w:pPr>
      <w:r>
        <w:rPr>
          <w:rFonts w:ascii="Times New Roman" w:hAnsi="Times New Roman" w:eastAsia="Times New Roman" w:cs="Times New Roman"/>
          <w:spacing w:val="8"/>
          <w:sz w:val="20"/>
          <w:szCs w:val="20"/>
        </w:rPr>
        <w:t xml:space="preserve">13.2.1  </w:t>
      </w:r>
      <w:r>
        <w:rPr>
          <w:rFonts w:ascii="宋体" w:hAnsi="宋体" w:eastAsia="宋体" w:cs="宋体"/>
          <w:spacing w:val="8"/>
          <w:sz w:val="20"/>
          <w:szCs w:val="20"/>
        </w:rPr>
        <w:t>承包人应在施工场地设置专门的质量检查机构，配备专职质量检查人员，建立完善的</w:t>
      </w:r>
      <w:r>
        <w:rPr>
          <w:rFonts w:ascii="宋体" w:hAnsi="宋体" w:eastAsia="宋体" w:cs="宋体"/>
          <w:spacing w:val="10"/>
          <w:sz w:val="20"/>
          <w:szCs w:val="20"/>
        </w:rPr>
        <w:t>质量检查制度。承包人应在合同约定的期限内，提交工程质量保证措施</w:t>
      </w:r>
      <w:r>
        <w:rPr>
          <w:rFonts w:ascii="宋体" w:hAnsi="宋体" w:eastAsia="宋体" w:cs="宋体"/>
          <w:spacing w:val="9"/>
          <w:sz w:val="20"/>
          <w:szCs w:val="20"/>
        </w:rPr>
        <w:t>文件，包括质量检查机构的组织和岗位责任、质检人员的组成、质量检查程序和实施细则等，报送监理人审批。</w:t>
      </w:r>
    </w:p>
    <w:p w14:paraId="1211CDC9">
      <w:pPr>
        <w:spacing w:before="1" w:line="357" w:lineRule="auto"/>
        <w:ind w:right="57"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13.2.2  </w:t>
      </w:r>
      <w:r>
        <w:rPr>
          <w:rFonts w:ascii="宋体" w:hAnsi="宋体" w:eastAsia="宋体" w:cs="宋体"/>
          <w:spacing w:val="8"/>
          <w:sz w:val="20"/>
          <w:szCs w:val="20"/>
        </w:rPr>
        <w:t>承包人应加强对施工人员的质量教育和技术培训，定期考核施工人员的劳动技能，严格执行规范和操作规程。</w:t>
      </w:r>
    </w:p>
    <w:p w14:paraId="4F27AA52">
      <w:pPr>
        <w:pStyle w:val="2"/>
        <w:spacing w:line="222" w:lineRule="auto"/>
        <w:ind w:left="19"/>
        <w:rPr>
          <w:sz w:val="24"/>
          <w:szCs w:val="24"/>
        </w:rPr>
      </w:pPr>
      <w:r>
        <w:rPr>
          <w:rFonts w:ascii="Times New Roman" w:hAnsi="Times New Roman" w:eastAsia="Times New Roman" w:cs="Times New Roman"/>
          <w:spacing w:val="-3"/>
          <w:sz w:val="24"/>
          <w:szCs w:val="24"/>
        </w:rPr>
        <w:t xml:space="preserve">13.3  </w:t>
      </w:r>
      <w:r>
        <w:rPr>
          <w:spacing w:val="-3"/>
          <w:sz w:val="24"/>
          <w:szCs w:val="24"/>
        </w:rPr>
        <w:t>承包人的质量检查</w:t>
      </w:r>
    </w:p>
    <w:p w14:paraId="44B9095F">
      <w:pPr>
        <w:spacing w:before="135" w:line="358" w:lineRule="auto"/>
        <w:ind w:right="54" w:firstLine="420"/>
        <w:rPr>
          <w:rFonts w:ascii="宋体" w:hAnsi="宋体" w:eastAsia="宋体" w:cs="宋体"/>
          <w:sz w:val="20"/>
          <w:szCs w:val="20"/>
        </w:rPr>
      </w:pPr>
      <w:r>
        <w:rPr>
          <w:rFonts w:ascii="宋体" w:hAnsi="宋体" w:eastAsia="宋体" w:cs="宋体"/>
          <w:spacing w:val="10"/>
          <w:sz w:val="20"/>
          <w:szCs w:val="20"/>
        </w:rPr>
        <w:t>承包人应按合同约定对材料、工程设备以及工程的所有部位及其施工</w:t>
      </w:r>
      <w:r>
        <w:rPr>
          <w:rFonts w:ascii="宋体" w:hAnsi="宋体" w:eastAsia="宋体" w:cs="宋体"/>
          <w:spacing w:val="9"/>
          <w:sz w:val="20"/>
          <w:szCs w:val="20"/>
        </w:rPr>
        <w:t>工艺进行全过程的质量检查和检验，并作详细记录，编制工程质量报表，报送监理人审查。</w:t>
      </w:r>
    </w:p>
    <w:p w14:paraId="7ED325AA">
      <w:pPr>
        <w:pStyle w:val="2"/>
        <w:spacing w:line="222" w:lineRule="auto"/>
        <w:ind w:left="19"/>
        <w:rPr>
          <w:sz w:val="24"/>
          <w:szCs w:val="24"/>
        </w:rPr>
      </w:pPr>
      <w:r>
        <w:rPr>
          <w:rFonts w:ascii="Times New Roman" w:hAnsi="Times New Roman" w:eastAsia="Times New Roman" w:cs="Times New Roman"/>
          <w:spacing w:val="-3"/>
          <w:sz w:val="24"/>
          <w:szCs w:val="24"/>
        </w:rPr>
        <w:t xml:space="preserve">13.4  </w:t>
      </w:r>
      <w:r>
        <w:rPr>
          <w:spacing w:val="-3"/>
          <w:sz w:val="24"/>
          <w:szCs w:val="24"/>
        </w:rPr>
        <w:t>监理人的质量检查</w:t>
      </w:r>
    </w:p>
    <w:p w14:paraId="74541F38">
      <w:pPr>
        <w:spacing w:before="134" w:line="365" w:lineRule="auto"/>
        <w:ind w:right="54" w:firstLine="420"/>
        <w:jc w:val="both"/>
        <w:rPr>
          <w:rFonts w:ascii="宋体" w:hAnsi="宋体" w:eastAsia="宋体" w:cs="宋体"/>
          <w:sz w:val="20"/>
          <w:szCs w:val="20"/>
        </w:rPr>
      </w:pPr>
      <w:r>
        <w:rPr>
          <w:rFonts w:ascii="宋体" w:hAnsi="宋体" w:eastAsia="宋体" w:cs="宋体"/>
          <w:spacing w:val="10"/>
          <w:sz w:val="20"/>
          <w:szCs w:val="20"/>
        </w:rPr>
        <w:t>监理人有权对工程的所有部位及其施工工艺、材料和工程设备进行</w:t>
      </w:r>
      <w:r>
        <w:rPr>
          <w:rFonts w:ascii="宋体" w:hAnsi="宋体" w:eastAsia="宋体" w:cs="宋体"/>
          <w:spacing w:val="9"/>
          <w:sz w:val="20"/>
          <w:szCs w:val="20"/>
        </w:rPr>
        <w:t>检查和检验。承包人应为</w:t>
      </w:r>
      <w:r>
        <w:rPr>
          <w:rFonts w:ascii="宋体" w:hAnsi="宋体" w:eastAsia="宋体" w:cs="宋体"/>
          <w:spacing w:val="10"/>
          <w:sz w:val="20"/>
          <w:szCs w:val="20"/>
        </w:rPr>
        <w:t>监理人的检查和检验提供方便，包括监理人到施工场地，或制造、加工地</w:t>
      </w:r>
      <w:r>
        <w:rPr>
          <w:rFonts w:ascii="宋体" w:hAnsi="宋体" w:eastAsia="宋体" w:cs="宋体"/>
          <w:spacing w:val="9"/>
          <w:sz w:val="20"/>
          <w:szCs w:val="20"/>
        </w:rPr>
        <w:t>点，或合同约定的其他</w:t>
      </w:r>
      <w:r>
        <w:rPr>
          <w:rFonts w:ascii="宋体" w:hAnsi="宋体" w:eastAsia="宋体" w:cs="宋体"/>
          <w:spacing w:val="10"/>
          <w:sz w:val="20"/>
          <w:szCs w:val="20"/>
        </w:rPr>
        <w:t>地方进行察看和查阅施工原始记录。承包人还应按监理人指示，进行施工</w:t>
      </w:r>
      <w:r>
        <w:rPr>
          <w:rFonts w:ascii="宋体" w:hAnsi="宋体" w:eastAsia="宋体" w:cs="宋体"/>
          <w:spacing w:val="9"/>
          <w:sz w:val="20"/>
          <w:szCs w:val="20"/>
        </w:rPr>
        <w:t>场地取样试验、工程复</w:t>
      </w:r>
      <w:r>
        <w:rPr>
          <w:rFonts w:ascii="宋体" w:hAnsi="宋体" w:eastAsia="宋体" w:cs="宋体"/>
          <w:spacing w:val="10"/>
          <w:sz w:val="20"/>
          <w:szCs w:val="20"/>
        </w:rPr>
        <w:t>核测量和设备性能检测，提供试验样品、提交试验报告和测量成果以及监</w:t>
      </w:r>
      <w:r>
        <w:rPr>
          <w:rFonts w:ascii="宋体" w:hAnsi="宋体" w:eastAsia="宋体" w:cs="宋体"/>
          <w:spacing w:val="9"/>
          <w:sz w:val="20"/>
          <w:szCs w:val="20"/>
        </w:rPr>
        <w:t>理人要求进行的其他工作。监理人的检查和检验，不免除承包人按合同约定应负的责任。</w:t>
      </w:r>
    </w:p>
    <w:p w14:paraId="309C187F">
      <w:pPr>
        <w:pStyle w:val="2"/>
        <w:spacing w:before="1" w:line="221" w:lineRule="auto"/>
        <w:ind w:left="19"/>
        <w:rPr>
          <w:sz w:val="24"/>
          <w:szCs w:val="24"/>
        </w:rPr>
      </w:pPr>
      <w:r>
        <w:rPr>
          <w:rFonts w:ascii="Times New Roman" w:hAnsi="Times New Roman" w:eastAsia="Times New Roman" w:cs="Times New Roman"/>
          <w:spacing w:val="-2"/>
          <w:sz w:val="24"/>
          <w:szCs w:val="24"/>
        </w:rPr>
        <w:t xml:space="preserve">13.5  </w:t>
      </w:r>
      <w:r>
        <w:rPr>
          <w:spacing w:val="-2"/>
          <w:sz w:val="24"/>
          <w:szCs w:val="24"/>
        </w:rPr>
        <w:t>工程隐蔽部位覆盖前的检查</w:t>
      </w:r>
    </w:p>
    <w:p w14:paraId="2994791F">
      <w:pPr>
        <w:pStyle w:val="2"/>
        <w:spacing w:before="137" w:line="231" w:lineRule="auto"/>
        <w:ind w:left="436"/>
        <w:rPr>
          <w:sz w:val="20"/>
          <w:szCs w:val="20"/>
        </w:rPr>
      </w:pPr>
      <w:r>
        <w:rPr>
          <w:rFonts w:ascii="Times New Roman" w:hAnsi="Times New Roman" w:eastAsia="Times New Roman" w:cs="Times New Roman"/>
          <w:spacing w:val="4"/>
          <w:sz w:val="20"/>
          <w:szCs w:val="20"/>
        </w:rPr>
        <w:t xml:space="preserve">13.5.1  </w:t>
      </w:r>
      <w:r>
        <w:rPr>
          <w:spacing w:val="4"/>
          <w:sz w:val="20"/>
          <w:szCs w:val="20"/>
        </w:rPr>
        <w:t>通知监理人检查</w:t>
      </w:r>
    </w:p>
    <w:p w14:paraId="04BE1295">
      <w:pPr>
        <w:spacing w:before="152" w:line="369" w:lineRule="auto"/>
        <w:ind w:right="54" w:firstLine="421"/>
        <w:rPr>
          <w:rFonts w:ascii="宋体" w:hAnsi="宋体" w:eastAsia="宋体" w:cs="宋体"/>
          <w:sz w:val="20"/>
          <w:szCs w:val="20"/>
        </w:rPr>
      </w:pPr>
      <w:r>
        <w:rPr>
          <w:rFonts w:ascii="宋体" w:hAnsi="宋体" w:eastAsia="宋体" w:cs="宋体"/>
          <w:spacing w:val="10"/>
          <w:sz w:val="20"/>
          <w:szCs w:val="20"/>
        </w:rPr>
        <w:t>经承包人自检确认的工程隐蔽部位具备覆盖条件后，承包人应通知</w:t>
      </w:r>
      <w:r>
        <w:rPr>
          <w:rFonts w:ascii="宋体" w:hAnsi="宋体" w:eastAsia="宋体" w:cs="宋体"/>
          <w:spacing w:val="9"/>
          <w:sz w:val="20"/>
          <w:szCs w:val="20"/>
        </w:rPr>
        <w:t>监理人在约定的期限内检</w:t>
      </w:r>
      <w:r>
        <w:rPr>
          <w:rFonts w:ascii="宋体" w:hAnsi="宋体" w:eastAsia="宋体" w:cs="宋体"/>
          <w:spacing w:val="10"/>
          <w:sz w:val="20"/>
          <w:szCs w:val="20"/>
        </w:rPr>
        <w:t>查。承包人的通知应附有自检记录和必要的检查资料。监理人应按时到场</w:t>
      </w:r>
      <w:r>
        <w:rPr>
          <w:rFonts w:ascii="宋体" w:hAnsi="宋体" w:eastAsia="宋体" w:cs="宋体"/>
          <w:spacing w:val="9"/>
          <w:sz w:val="20"/>
          <w:szCs w:val="20"/>
        </w:rPr>
        <w:t>检查。经监理人检查确</w:t>
      </w:r>
      <w:r>
        <w:rPr>
          <w:rFonts w:ascii="宋体" w:hAnsi="宋体" w:eastAsia="宋体" w:cs="宋体"/>
          <w:spacing w:val="10"/>
          <w:sz w:val="20"/>
          <w:szCs w:val="20"/>
        </w:rPr>
        <w:t>认质量符合隐蔽要求，并在检查记录上签字后，承包人才能进行覆盖。监</w:t>
      </w:r>
      <w:r>
        <w:rPr>
          <w:rFonts w:ascii="宋体" w:hAnsi="宋体" w:eastAsia="宋体" w:cs="宋体"/>
          <w:spacing w:val="9"/>
          <w:sz w:val="20"/>
          <w:szCs w:val="20"/>
        </w:rPr>
        <w:t>理人检查确认质量不合格的，承包人应在监理人指示的时间内修整返工后，由监理人重新检查。</w:t>
      </w:r>
    </w:p>
    <w:p w14:paraId="7EB66B7D">
      <w:pPr>
        <w:pStyle w:val="2"/>
        <w:spacing w:before="1" w:line="229" w:lineRule="auto"/>
        <w:ind w:left="436"/>
        <w:rPr>
          <w:sz w:val="20"/>
          <w:szCs w:val="20"/>
        </w:rPr>
      </w:pPr>
      <w:r>
        <w:rPr>
          <w:rFonts w:ascii="Times New Roman" w:hAnsi="Times New Roman" w:eastAsia="Times New Roman" w:cs="Times New Roman"/>
          <w:spacing w:val="5"/>
          <w:sz w:val="20"/>
          <w:szCs w:val="20"/>
        </w:rPr>
        <w:t xml:space="preserve">13.5.2  </w:t>
      </w:r>
      <w:r>
        <w:rPr>
          <w:spacing w:val="5"/>
          <w:sz w:val="20"/>
          <w:szCs w:val="20"/>
        </w:rPr>
        <w:t>监理人未到场检查</w:t>
      </w:r>
    </w:p>
    <w:p w14:paraId="787B4759">
      <w:pPr>
        <w:spacing w:before="150" w:line="369" w:lineRule="auto"/>
        <w:ind w:right="54" w:firstLine="420"/>
        <w:rPr>
          <w:rFonts w:ascii="宋体" w:hAnsi="宋体" w:eastAsia="宋体" w:cs="宋体"/>
          <w:sz w:val="20"/>
          <w:szCs w:val="20"/>
        </w:rPr>
      </w:pPr>
      <w:r>
        <w:rPr>
          <w:rFonts w:ascii="宋体" w:hAnsi="宋体" w:eastAsia="宋体" w:cs="宋体"/>
          <w:spacing w:val="8"/>
          <w:sz w:val="20"/>
          <w:szCs w:val="20"/>
        </w:rPr>
        <w:t>监理人未按第</w:t>
      </w:r>
      <w:r>
        <w:rPr>
          <w:rFonts w:ascii="宋体" w:hAnsi="宋体" w:eastAsia="宋体" w:cs="宋体"/>
          <w:spacing w:val="-23"/>
          <w:sz w:val="20"/>
          <w:szCs w:val="20"/>
        </w:rPr>
        <w:t xml:space="preserve"> </w:t>
      </w:r>
      <w:r>
        <w:rPr>
          <w:rFonts w:ascii="Times New Roman" w:hAnsi="Times New Roman" w:eastAsia="Times New Roman" w:cs="Times New Roman"/>
          <w:spacing w:val="8"/>
          <w:sz w:val="20"/>
          <w:szCs w:val="20"/>
        </w:rPr>
        <w:t>13.5.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项约定的时间进行检查的，除监</w:t>
      </w:r>
      <w:r>
        <w:rPr>
          <w:rFonts w:ascii="宋体" w:hAnsi="宋体" w:eastAsia="宋体" w:cs="宋体"/>
          <w:spacing w:val="7"/>
          <w:sz w:val="20"/>
          <w:szCs w:val="20"/>
        </w:rPr>
        <w:t>理人另有指示外，承包人可自行完成覆</w:t>
      </w:r>
      <w:r>
        <w:rPr>
          <w:rFonts w:ascii="宋体" w:hAnsi="宋体" w:eastAsia="宋体" w:cs="宋体"/>
          <w:spacing w:val="10"/>
          <w:sz w:val="20"/>
          <w:szCs w:val="20"/>
        </w:rPr>
        <w:t>盖工作，并作相应记录报送监理人，监理人应签字确认。监理人事后对检</w:t>
      </w:r>
      <w:r>
        <w:rPr>
          <w:rFonts w:ascii="宋体" w:hAnsi="宋体" w:eastAsia="宋体" w:cs="宋体"/>
          <w:spacing w:val="9"/>
          <w:sz w:val="20"/>
          <w:szCs w:val="20"/>
        </w:rPr>
        <w:t>查记录有疑问的，可按</w:t>
      </w:r>
      <w:r>
        <w:rPr>
          <w:rFonts w:ascii="宋体" w:hAnsi="宋体" w:eastAsia="宋体" w:cs="宋体"/>
          <w:spacing w:val="4"/>
          <w:sz w:val="20"/>
          <w:szCs w:val="20"/>
        </w:rPr>
        <w:t>第</w:t>
      </w:r>
      <w:r>
        <w:rPr>
          <w:rFonts w:ascii="宋体" w:hAnsi="宋体" w:eastAsia="宋体" w:cs="宋体"/>
          <w:spacing w:val="-21"/>
          <w:sz w:val="20"/>
          <w:szCs w:val="20"/>
        </w:rPr>
        <w:t xml:space="preserve"> </w:t>
      </w:r>
      <w:r>
        <w:rPr>
          <w:rFonts w:ascii="Times New Roman" w:hAnsi="Times New Roman" w:eastAsia="Times New Roman" w:cs="Times New Roman"/>
          <w:spacing w:val="4"/>
          <w:sz w:val="20"/>
          <w:szCs w:val="20"/>
        </w:rPr>
        <w:t>13.5.3</w:t>
      </w:r>
      <w:r>
        <w:rPr>
          <w:rFonts w:ascii="Times New Roman" w:hAnsi="Times New Roman" w:eastAsia="Times New Roman" w:cs="Times New Roman"/>
          <w:spacing w:val="15"/>
          <w:w w:val="101"/>
          <w:sz w:val="20"/>
          <w:szCs w:val="20"/>
        </w:rPr>
        <w:t xml:space="preserve"> </w:t>
      </w:r>
      <w:r>
        <w:rPr>
          <w:rFonts w:ascii="宋体" w:hAnsi="宋体" w:eastAsia="宋体" w:cs="宋体"/>
          <w:spacing w:val="4"/>
          <w:sz w:val="20"/>
          <w:szCs w:val="20"/>
        </w:rPr>
        <w:t>项的约定重新检查。</w:t>
      </w:r>
    </w:p>
    <w:p w14:paraId="7DA4E683">
      <w:pPr>
        <w:pStyle w:val="2"/>
        <w:spacing w:before="1" w:line="229" w:lineRule="auto"/>
        <w:ind w:left="436"/>
        <w:rPr>
          <w:sz w:val="20"/>
          <w:szCs w:val="20"/>
        </w:rPr>
      </w:pPr>
      <w:r>
        <w:rPr>
          <w:rFonts w:ascii="Times New Roman" w:hAnsi="Times New Roman" w:eastAsia="Times New Roman" w:cs="Times New Roman"/>
          <w:spacing w:val="4"/>
          <w:sz w:val="20"/>
          <w:szCs w:val="20"/>
        </w:rPr>
        <w:t xml:space="preserve">13.5.3  </w:t>
      </w:r>
      <w:r>
        <w:rPr>
          <w:spacing w:val="4"/>
          <w:sz w:val="20"/>
          <w:szCs w:val="20"/>
        </w:rPr>
        <w:t>监理人重新检查</w:t>
      </w:r>
    </w:p>
    <w:p w14:paraId="63CA6EBD">
      <w:pPr>
        <w:spacing w:before="152" w:line="369" w:lineRule="auto"/>
        <w:ind w:firstLine="420"/>
        <w:rPr>
          <w:rFonts w:ascii="宋体" w:hAnsi="宋体" w:eastAsia="宋体" w:cs="宋体"/>
          <w:sz w:val="20"/>
          <w:szCs w:val="20"/>
        </w:rPr>
      </w:pPr>
      <w:r>
        <w:rPr>
          <w:rFonts w:ascii="宋体" w:hAnsi="宋体" w:eastAsia="宋体" w:cs="宋体"/>
          <w:spacing w:val="7"/>
          <w:sz w:val="20"/>
          <w:szCs w:val="20"/>
        </w:rPr>
        <w:t>承包人按第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13.5.1</w:t>
      </w:r>
      <w:r>
        <w:rPr>
          <w:rFonts w:ascii="Times New Roman" w:hAnsi="Times New Roman" w:eastAsia="Times New Roman" w:cs="Times New Roman"/>
          <w:spacing w:val="16"/>
          <w:sz w:val="20"/>
          <w:szCs w:val="20"/>
        </w:rPr>
        <w:t xml:space="preserve"> </w:t>
      </w:r>
      <w:r>
        <w:rPr>
          <w:rFonts w:ascii="宋体" w:hAnsi="宋体" w:eastAsia="宋体" w:cs="宋体"/>
          <w:spacing w:val="7"/>
          <w:sz w:val="20"/>
          <w:szCs w:val="20"/>
        </w:rPr>
        <w:t>项或第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13.5.2</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项覆盖工程隐蔽部位</w:t>
      </w:r>
      <w:r>
        <w:rPr>
          <w:rFonts w:ascii="宋体" w:hAnsi="宋体" w:eastAsia="宋体" w:cs="宋体"/>
          <w:spacing w:val="6"/>
          <w:sz w:val="20"/>
          <w:szCs w:val="20"/>
        </w:rPr>
        <w:t>后，监理人对质量有疑问的，可要求承</w:t>
      </w:r>
      <w:r>
        <w:rPr>
          <w:rFonts w:ascii="宋体" w:hAnsi="宋体" w:eastAsia="宋体" w:cs="宋体"/>
          <w:spacing w:val="10"/>
          <w:sz w:val="20"/>
          <w:szCs w:val="20"/>
        </w:rPr>
        <w:t>包人对已覆盖的部位进行钻孔探测或揭开重新检验，承包人应遵照执行，</w:t>
      </w:r>
      <w:r>
        <w:rPr>
          <w:rFonts w:ascii="宋体" w:hAnsi="宋体" w:eastAsia="宋体" w:cs="宋体"/>
          <w:spacing w:val="9"/>
          <w:sz w:val="20"/>
          <w:szCs w:val="20"/>
        </w:rPr>
        <w:t>并在检验后重新覆盖恢</w:t>
      </w:r>
      <w:r>
        <w:rPr>
          <w:rFonts w:ascii="宋体" w:hAnsi="宋体" w:eastAsia="宋体" w:cs="宋体"/>
          <w:spacing w:val="6"/>
          <w:sz w:val="20"/>
          <w:szCs w:val="20"/>
        </w:rPr>
        <w:t>复原状。经检验证明工程质量符合合同要求的，由发包人承担由此增加的费用和（或）工期延误，</w:t>
      </w:r>
      <w:r>
        <w:rPr>
          <w:rFonts w:ascii="宋体" w:hAnsi="宋体" w:eastAsia="宋体" w:cs="宋体"/>
          <w:spacing w:val="9"/>
          <w:sz w:val="20"/>
          <w:szCs w:val="20"/>
        </w:rPr>
        <w:t>并支付承包人合理利润；经检验证明工程质量不符合合同要求的，</w:t>
      </w:r>
      <w:r>
        <w:rPr>
          <w:rFonts w:ascii="宋体" w:hAnsi="宋体" w:eastAsia="宋体" w:cs="宋体"/>
          <w:spacing w:val="-58"/>
          <w:sz w:val="20"/>
          <w:szCs w:val="20"/>
        </w:rPr>
        <w:t xml:space="preserve"> </w:t>
      </w:r>
      <w:r>
        <w:rPr>
          <w:rFonts w:ascii="宋体" w:hAnsi="宋体" w:eastAsia="宋体" w:cs="宋体"/>
          <w:spacing w:val="9"/>
          <w:sz w:val="20"/>
          <w:szCs w:val="20"/>
        </w:rPr>
        <w:t>由此增</w:t>
      </w:r>
      <w:r>
        <w:rPr>
          <w:rFonts w:ascii="宋体" w:hAnsi="宋体" w:eastAsia="宋体" w:cs="宋体"/>
          <w:spacing w:val="8"/>
          <w:sz w:val="20"/>
          <w:szCs w:val="20"/>
        </w:rPr>
        <w:t>加的费用和（或）工期</w:t>
      </w:r>
      <w:r>
        <w:rPr>
          <w:rFonts w:ascii="宋体" w:hAnsi="宋体" w:eastAsia="宋体" w:cs="宋体"/>
          <w:spacing w:val="7"/>
          <w:sz w:val="20"/>
          <w:szCs w:val="20"/>
        </w:rPr>
        <w:t>延误由承包人承担。</w:t>
      </w:r>
    </w:p>
    <w:p w14:paraId="7E6B78F7">
      <w:pPr>
        <w:pStyle w:val="2"/>
        <w:spacing w:before="1" w:line="230" w:lineRule="auto"/>
        <w:ind w:left="436"/>
        <w:rPr>
          <w:sz w:val="20"/>
          <w:szCs w:val="20"/>
        </w:rPr>
      </w:pPr>
      <w:r>
        <w:rPr>
          <w:rFonts w:ascii="Times New Roman" w:hAnsi="Times New Roman" w:eastAsia="Times New Roman" w:cs="Times New Roman"/>
          <w:spacing w:val="4"/>
          <w:sz w:val="20"/>
          <w:szCs w:val="20"/>
        </w:rPr>
        <w:t xml:space="preserve">13.5.4  </w:t>
      </w:r>
      <w:r>
        <w:rPr>
          <w:spacing w:val="4"/>
          <w:sz w:val="20"/>
          <w:szCs w:val="20"/>
        </w:rPr>
        <w:t>承包人私自覆盖</w:t>
      </w:r>
    </w:p>
    <w:p w14:paraId="67692D75">
      <w:pPr>
        <w:spacing w:before="152" w:line="371" w:lineRule="auto"/>
        <w:ind w:right="54" w:firstLine="419"/>
        <w:rPr>
          <w:rFonts w:ascii="宋体" w:hAnsi="宋体" w:eastAsia="宋体" w:cs="宋体"/>
          <w:sz w:val="20"/>
          <w:szCs w:val="20"/>
        </w:rPr>
      </w:pPr>
      <w:r>
        <w:rPr>
          <w:rFonts w:ascii="宋体" w:hAnsi="宋体" w:eastAsia="宋体" w:cs="宋体"/>
          <w:spacing w:val="10"/>
          <w:sz w:val="20"/>
          <w:szCs w:val="20"/>
        </w:rPr>
        <w:t>承包人未通知监理人到场检查，私自将工程隐蔽部位覆盖的，监理人</w:t>
      </w:r>
      <w:r>
        <w:rPr>
          <w:rFonts w:ascii="宋体" w:hAnsi="宋体" w:eastAsia="宋体" w:cs="宋体"/>
          <w:spacing w:val="9"/>
          <w:sz w:val="20"/>
          <w:szCs w:val="20"/>
        </w:rPr>
        <w:t>有权指示承包人钻孔探测或揭开检查，由此增加的费用和（或）工期延误由承包人承担。</w:t>
      </w:r>
    </w:p>
    <w:p w14:paraId="49F222C5">
      <w:pPr>
        <w:spacing w:line="371" w:lineRule="auto"/>
        <w:rPr>
          <w:rFonts w:ascii="宋体" w:hAnsi="宋体" w:eastAsia="宋体" w:cs="宋体"/>
          <w:sz w:val="20"/>
          <w:szCs w:val="20"/>
        </w:rPr>
        <w:sectPr>
          <w:footerReference r:id="rId178" w:type="default"/>
          <w:pgSz w:w="11906" w:h="16839"/>
          <w:pgMar w:top="400" w:right="1500" w:bottom="1038" w:left="1539" w:header="0" w:footer="787" w:gutter="0"/>
          <w:cols w:space="720" w:num="1"/>
        </w:sectPr>
      </w:pPr>
    </w:p>
    <w:p w14:paraId="63269ACD">
      <w:pPr>
        <w:spacing w:line="261" w:lineRule="auto"/>
        <w:rPr>
          <w:rFonts w:ascii="Arial"/>
          <w:sz w:val="21"/>
        </w:rPr>
      </w:pPr>
    </w:p>
    <w:p w14:paraId="3C86866D">
      <w:pPr>
        <w:spacing w:line="262" w:lineRule="auto"/>
        <w:rPr>
          <w:rFonts w:ascii="Arial"/>
          <w:sz w:val="21"/>
        </w:rPr>
      </w:pPr>
    </w:p>
    <w:p w14:paraId="6BCF381C">
      <w:pPr>
        <w:spacing w:line="262" w:lineRule="auto"/>
        <w:rPr>
          <w:rFonts w:ascii="Arial"/>
          <w:sz w:val="21"/>
        </w:rPr>
      </w:pPr>
    </w:p>
    <w:p w14:paraId="577EDF58">
      <w:pPr>
        <w:spacing w:line="262" w:lineRule="auto"/>
        <w:rPr>
          <w:rFonts w:ascii="Arial"/>
          <w:sz w:val="21"/>
        </w:rPr>
      </w:pPr>
    </w:p>
    <w:p w14:paraId="2C72F03F">
      <w:pPr>
        <w:pStyle w:val="2"/>
        <w:spacing w:before="78" w:line="222" w:lineRule="auto"/>
        <w:ind w:left="20"/>
        <w:rPr>
          <w:sz w:val="24"/>
          <w:szCs w:val="24"/>
        </w:rPr>
      </w:pPr>
      <w:r>
        <w:rPr>
          <w:rFonts w:ascii="Times New Roman" w:hAnsi="Times New Roman" w:eastAsia="Times New Roman" w:cs="Times New Roman"/>
          <w:spacing w:val="-3"/>
          <w:sz w:val="24"/>
          <w:szCs w:val="24"/>
        </w:rPr>
        <w:t xml:space="preserve">13.6  </w:t>
      </w:r>
      <w:r>
        <w:rPr>
          <w:spacing w:val="-3"/>
          <w:sz w:val="24"/>
          <w:szCs w:val="24"/>
        </w:rPr>
        <w:t>清除不合格工程</w:t>
      </w:r>
    </w:p>
    <w:p w14:paraId="4120A729">
      <w:pPr>
        <w:spacing w:before="137" w:line="369" w:lineRule="auto"/>
        <w:ind w:right="68"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13.6.1  </w:t>
      </w:r>
      <w:r>
        <w:rPr>
          <w:rFonts w:ascii="宋体" w:hAnsi="宋体" w:eastAsia="宋体" w:cs="宋体"/>
          <w:spacing w:val="8"/>
          <w:sz w:val="20"/>
          <w:szCs w:val="20"/>
        </w:rPr>
        <w:t>承包人使用不合格材料、工程设备，或采用不适当的施工工艺，或施工不当，造成工</w:t>
      </w:r>
      <w:r>
        <w:rPr>
          <w:rFonts w:ascii="宋体" w:hAnsi="宋体" w:eastAsia="宋体" w:cs="宋体"/>
          <w:spacing w:val="10"/>
          <w:sz w:val="20"/>
          <w:szCs w:val="20"/>
        </w:rPr>
        <w:t>程不合格的，监理人可以随时发出指示，要求承包人立即采取措施进行补救</w:t>
      </w:r>
      <w:r>
        <w:rPr>
          <w:rFonts w:ascii="宋体" w:hAnsi="宋体" w:eastAsia="宋体" w:cs="宋体"/>
          <w:spacing w:val="9"/>
          <w:sz w:val="20"/>
          <w:szCs w:val="20"/>
        </w:rPr>
        <w:t>，直至达到合同要求</w:t>
      </w:r>
      <w:r>
        <w:rPr>
          <w:rFonts w:ascii="宋体" w:hAnsi="宋体" w:eastAsia="宋体" w:cs="宋体"/>
          <w:spacing w:val="8"/>
          <w:sz w:val="20"/>
          <w:szCs w:val="20"/>
        </w:rPr>
        <w:t>的质量标准，</w:t>
      </w:r>
      <w:r>
        <w:rPr>
          <w:rFonts w:ascii="宋体" w:hAnsi="宋体" w:eastAsia="宋体" w:cs="宋体"/>
          <w:spacing w:val="-58"/>
          <w:sz w:val="20"/>
          <w:szCs w:val="20"/>
        </w:rPr>
        <w:t xml:space="preserve"> </w:t>
      </w:r>
      <w:r>
        <w:rPr>
          <w:rFonts w:ascii="宋体" w:hAnsi="宋体" w:eastAsia="宋体" w:cs="宋体"/>
          <w:spacing w:val="8"/>
          <w:sz w:val="20"/>
          <w:szCs w:val="20"/>
        </w:rPr>
        <w:t>由此增加的费用和（或）工期延误由</w:t>
      </w:r>
      <w:r>
        <w:rPr>
          <w:rFonts w:ascii="宋体" w:hAnsi="宋体" w:eastAsia="宋体" w:cs="宋体"/>
          <w:spacing w:val="7"/>
          <w:sz w:val="20"/>
          <w:szCs w:val="20"/>
        </w:rPr>
        <w:t>承包人承担。</w:t>
      </w:r>
    </w:p>
    <w:p w14:paraId="17D6A44A">
      <w:pPr>
        <w:spacing w:line="371" w:lineRule="auto"/>
        <w:ind w:left="2" w:right="71" w:firstLine="434"/>
        <w:rPr>
          <w:rFonts w:ascii="宋体" w:hAnsi="宋体" w:eastAsia="宋体" w:cs="宋体"/>
          <w:sz w:val="20"/>
          <w:szCs w:val="20"/>
        </w:rPr>
      </w:pPr>
      <w:r>
        <w:rPr>
          <w:rFonts w:ascii="Times New Roman" w:hAnsi="Times New Roman" w:eastAsia="Times New Roman" w:cs="Times New Roman"/>
          <w:spacing w:val="8"/>
          <w:sz w:val="20"/>
          <w:szCs w:val="20"/>
        </w:rPr>
        <w:t>13.6.2</w:t>
      </w:r>
      <w:r>
        <w:rPr>
          <w:rFonts w:ascii="Times New Roman" w:hAnsi="Times New Roman" w:eastAsia="Times New Roman" w:cs="Times New Roman"/>
          <w:spacing w:val="19"/>
          <w:sz w:val="20"/>
          <w:szCs w:val="20"/>
        </w:rPr>
        <w:t xml:space="preserve">  </w:t>
      </w:r>
      <w:r>
        <w:rPr>
          <w:rFonts w:ascii="宋体" w:hAnsi="宋体" w:eastAsia="宋体" w:cs="宋体"/>
          <w:spacing w:val="8"/>
          <w:sz w:val="20"/>
          <w:szCs w:val="20"/>
        </w:rPr>
        <w:t>由于发包人提供的材料或工程设备不合格造成的工程不合格，</w:t>
      </w:r>
      <w:r>
        <w:rPr>
          <w:rFonts w:ascii="宋体" w:hAnsi="宋体" w:eastAsia="宋体" w:cs="宋体"/>
          <w:spacing w:val="7"/>
          <w:sz w:val="20"/>
          <w:szCs w:val="20"/>
        </w:rPr>
        <w:t>需要承包人采取措施补</w:t>
      </w:r>
      <w:r>
        <w:rPr>
          <w:rFonts w:ascii="宋体" w:hAnsi="宋体" w:eastAsia="宋体" w:cs="宋体"/>
          <w:spacing w:val="9"/>
          <w:sz w:val="20"/>
          <w:szCs w:val="20"/>
        </w:rPr>
        <w:t>救的，发包人应承担由此增加的费用和（或）工期延误，并支付承包人合理利润。</w:t>
      </w:r>
    </w:p>
    <w:p w14:paraId="7E47BB9E">
      <w:pPr>
        <w:pStyle w:val="2"/>
        <w:spacing w:before="35" w:line="222" w:lineRule="auto"/>
        <w:ind w:left="25"/>
        <w:outlineLvl w:val="2"/>
        <w:rPr>
          <w:sz w:val="28"/>
          <w:szCs w:val="28"/>
        </w:rPr>
      </w:pPr>
      <w:bookmarkStart w:id="227" w:name="bookmark208"/>
      <w:bookmarkEnd w:id="227"/>
      <w:r>
        <w:rPr>
          <w:rFonts w:ascii="Times New Roman" w:hAnsi="Times New Roman" w:eastAsia="Times New Roman" w:cs="Times New Roman"/>
          <w:spacing w:val="-4"/>
          <w:sz w:val="28"/>
          <w:szCs w:val="28"/>
        </w:rPr>
        <w:t xml:space="preserve">14.  </w:t>
      </w:r>
      <w:r>
        <w:rPr>
          <w:spacing w:val="-4"/>
          <w:sz w:val="28"/>
          <w:szCs w:val="28"/>
        </w:rPr>
        <w:t>试验和检验</w:t>
      </w:r>
    </w:p>
    <w:p w14:paraId="4DF2720D">
      <w:pPr>
        <w:pStyle w:val="2"/>
        <w:spacing w:before="97" w:line="221" w:lineRule="auto"/>
        <w:ind w:left="20"/>
        <w:rPr>
          <w:sz w:val="24"/>
          <w:szCs w:val="24"/>
        </w:rPr>
      </w:pPr>
      <w:r>
        <w:rPr>
          <w:rFonts w:ascii="Times New Roman" w:hAnsi="Times New Roman" w:eastAsia="Times New Roman" w:cs="Times New Roman"/>
          <w:spacing w:val="-2"/>
          <w:sz w:val="24"/>
          <w:szCs w:val="24"/>
        </w:rPr>
        <w:t xml:space="preserve">14.1  </w:t>
      </w:r>
      <w:r>
        <w:rPr>
          <w:spacing w:val="-2"/>
          <w:sz w:val="24"/>
          <w:szCs w:val="24"/>
        </w:rPr>
        <w:t>材料、工程设备和工程的试验和检验</w:t>
      </w:r>
    </w:p>
    <w:p w14:paraId="3C5EFFC7">
      <w:pPr>
        <w:spacing w:before="141" w:line="369" w:lineRule="auto"/>
        <w:ind w:right="68" w:firstLine="436"/>
        <w:rPr>
          <w:rFonts w:ascii="宋体" w:hAnsi="宋体" w:eastAsia="宋体" w:cs="宋体"/>
          <w:sz w:val="20"/>
          <w:szCs w:val="20"/>
        </w:rPr>
      </w:pPr>
      <w:r>
        <w:rPr>
          <w:rFonts w:ascii="Times New Roman" w:hAnsi="Times New Roman" w:eastAsia="Times New Roman" w:cs="Times New Roman"/>
          <w:spacing w:val="8"/>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  </w:t>
      </w:r>
      <w:r>
        <w:rPr>
          <w:rFonts w:ascii="宋体" w:hAnsi="宋体" w:eastAsia="宋体" w:cs="宋体"/>
          <w:spacing w:val="8"/>
          <w:sz w:val="20"/>
          <w:szCs w:val="20"/>
        </w:rPr>
        <w:t>承包人应按合同约定进行材料、工程设备和工程的试验</w:t>
      </w:r>
      <w:r>
        <w:rPr>
          <w:rFonts w:ascii="宋体" w:hAnsi="宋体" w:eastAsia="宋体" w:cs="宋体"/>
          <w:spacing w:val="7"/>
          <w:sz w:val="20"/>
          <w:szCs w:val="20"/>
        </w:rPr>
        <w:t>和检验，并为监理人对上述材</w:t>
      </w:r>
      <w:r>
        <w:rPr>
          <w:rFonts w:ascii="宋体" w:hAnsi="宋体" w:eastAsia="宋体" w:cs="宋体"/>
          <w:spacing w:val="10"/>
          <w:sz w:val="20"/>
          <w:szCs w:val="20"/>
        </w:rPr>
        <w:t>料、工程设备和工程的质量检查提供必要的试验资料和原始记录。按合同</w:t>
      </w:r>
      <w:r>
        <w:rPr>
          <w:rFonts w:ascii="宋体" w:hAnsi="宋体" w:eastAsia="宋体" w:cs="宋体"/>
          <w:spacing w:val="9"/>
          <w:sz w:val="20"/>
          <w:szCs w:val="20"/>
        </w:rPr>
        <w:t>约定应由监理人与承包</w:t>
      </w:r>
      <w:r>
        <w:rPr>
          <w:rFonts w:ascii="宋体" w:hAnsi="宋体" w:eastAsia="宋体" w:cs="宋体"/>
          <w:spacing w:val="8"/>
          <w:sz w:val="20"/>
          <w:szCs w:val="20"/>
        </w:rPr>
        <w:t>人共同进行试验和检验的，</w:t>
      </w:r>
      <w:r>
        <w:rPr>
          <w:rFonts w:ascii="宋体" w:hAnsi="宋体" w:eastAsia="宋体" w:cs="宋体"/>
          <w:spacing w:val="-56"/>
          <w:sz w:val="20"/>
          <w:szCs w:val="20"/>
        </w:rPr>
        <w:t xml:space="preserve"> </w:t>
      </w:r>
      <w:r>
        <w:rPr>
          <w:rFonts w:ascii="宋体" w:hAnsi="宋体" w:eastAsia="宋体" w:cs="宋体"/>
          <w:spacing w:val="8"/>
          <w:sz w:val="20"/>
          <w:szCs w:val="20"/>
        </w:rPr>
        <w:t>由承包人负责提供必要的试验资料和原始记录。</w:t>
      </w:r>
    </w:p>
    <w:p w14:paraId="4376A6F5">
      <w:pPr>
        <w:spacing w:before="2" w:line="368" w:lineRule="auto"/>
        <w:ind w:right="71" w:firstLine="437"/>
        <w:rPr>
          <w:rFonts w:ascii="宋体" w:hAnsi="宋体" w:eastAsia="宋体" w:cs="宋体"/>
          <w:sz w:val="20"/>
          <w:szCs w:val="20"/>
        </w:rPr>
      </w:pPr>
      <w:r>
        <w:rPr>
          <w:rFonts w:ascii="Times New Roman" w:hAnsi="Times New Roman" w:eastAsia="Times New Roman" w:cs="Times New Roman"/>
          <w:spacing w:val="8"/>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  </w:t>
      </w:r>
      <w:r>
        <w:rPr>
          <w:rFonts w:ascii="宋体" w:hAnsi="宋体" w:eastAsia="宋体" w:cs="宋体"/>
          <w:spacing w:val="8"/>
          <w:sz w:val="20"/>
          <w:szCs w:val="20"/>
        </w:rPr>
        <w:t>监理人未按合同约定派员参加试验和检验的，除监理人</w:t>
      </w:r>
      <w:r>
        <w:rPr>
          <w:rFonts w:ascii="宋体" w:hAnsi="宋体" w:eastAsia="宋体" w:cs="宋体"/>
          <w:spacing w:val="7"/>
          <w:sz w:val="20"/>
          <w:szCs w:val="20"/>
        </w:rPr>
        <w:t>另有指示外，承包人可自行试</w:t>
      </w:r>
      <w:r>
        <w:rPr>
          <w:rFonts w:ascii="宋体" w:hAnsi="宋体" w:eastAsia="宋体" w:cs="宋体"/>
          <w:spacing w:val="9"/>
          <w:sz w:val="20"/>
          <w:szCs w:val="20"/>
        </w:rPr>
        <w:t>验和检验，并应立即将试验和检验结果报送监理人，监理人应签字确认。</w:t>
      </w:r>
    </w:p>
    <w:p w14:paraId="5A379D2E">
      <w:pPr>
        <w:spacing w:before="3" w:line="364" w:lineRule="auto"/>
        <w:ind w:right="68" w:firstLine="436"/>
        <w:rPr>
          <w:rFonts w:ascii="宋体" w:hAnsi="宋体" w:eastAsia="宋体" w:cs="宋体"/>
          <w:sz w:val="20"/>
          <w:szCs w:val="20"/>
        </w:rPr>
      </w:pPr>
      <w:r>
        <w:rPr>
          <w:rFonts w:ascii="Times New Roman" w:hAnsi="Times New Roman" w:eastAsia="Times New Roman" w:cs="Times New Roman"/>
          <w:spacing w:val="8"/>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1.3  </w:t>
      </w:r>
      <w:r>
        <w:rPr>
          <w:rFonts w:ascii="宋体" w:hAnsi="宋体" w:eastAsia="宋体" w:cs="宋体"/>
          <w:spacing w:val="8"/>
          <w:sz w:val="20"/>
          <w:szCs w:val="20"/>
        </w:rPr>
        <w:t>监理人对承包人的试验和检验结果有疑问的，或为查清</w:t>
      </w:r>
      <w:r>
        <w:rPr>
          <w:rFonts w:ascii="宋体" w:hAnsi="宋体" w:eastAsia="宋体" w:cs="宋体"/>
          <w:spacing w:val="7"/>
          <w:sz w:val="20"/>
          <w:szCs w:val="20"/>
        </w:rPr>
        <w:t>承包人试验和检验成果的可靠</w:t>
      </w:r>
      <w:r>
        <w:rPr>
          <w:rFonts w:ascii="宋体" w:hAnsi="宋体" w:eastAsia="宋体" w:cs="宋体"/>
          <w:spacing w:val="10"/>
          <w:sz w:val="20"/>
          <w:szCs w:val="20"/>
        </w:rPr>
        <w:t>性要求承包人重新试验和检验的，可按合同约定由监理人与承包人共同进</w:t>
      </w:r>
      <w:r>
        <w:rPr>
          <w:rFonts w:ascii="宋体" w:hAnsi="宋体" w:eastAsia="宋体" w:cs="宋体"/>
          <w:spacing w:val="9"/>
          <w:sz w:val="20"/>
          <w:szCs w:val="20"/>
        </w:rPr>
        <w:t>行。重新试验和检验的</w:t>
      </w:r>
      <w:r>
        <w:rPr>
          <w:rFonts w:ascii="宋体" w:hAnsi="宋体" w:eastAsia="宋体" w:cs="宋体"/>
          <w:spacing w:val="10"/>
          <w:sz w:val="20"/>
          <w:szCs w:val="20"/>
        </w:rPr>
        <w:t>结果证明该项材料、工程设备或工程的质量不符合合同要求的，由此增加</w:t>
      </w:r>
      <w:r>
        <w:rPr>
          <w:rFonts w:ascii="宋体" w:hAnsi="宋体" w:eastAsia="宋体" w:cs="宋体"/>
          <w:spacing w:val="9"/>
          <w:sz w:val="20"/>
          <w:szCs w:val="20"/>
        </w:rPr>
        <w:t>的费用和（或）工期延</w:t>
      </w:r>
      <w:r>
        <w:rPr>
          <w:rFonts w:ascii="宋体" w:hAnsi="宋体" w:eastAsia="宋体" w:cs="宋体"/>
          <w:spacing w:val="10"/>
          <w:sz w:val="20"/>
          <w:szCs w:val="20"/>
        </w:rPr>
        <w:t>误由承包人承担；重新试验和检验结果证明该项材料、工程设备和工程符</w:t>
      </w:r>
      <w:r>
        <w:rPr>
          <w:rFonts w:ascii="宋体" w:hAnsi="宋体" w:eastAsia="宋体" w:cs="宋体"/>
          <w:spacing w:val="9"/>
          <w:sz w:val="20"/>
          <w:szCs w:val="20"/>
        </w:rPr>
        <w:t>合合同要求，由发包人承担由此增加的费用和（或）工期延误，并支付承包人合理利润。</w:t>
      </w:r>
    </w:p>
    <w:p w14:paraId="0C7C1BFB">
      <w:pPr>
        <w:pStyle w:val="2"/>
        <w:spacing w:before="1" w:line="220" w:lineRule="auto"/>
        <w:ind w:left="20"/>
        <w:rPr>
          <w:sz w:val="24"/>
          <w:szCs w:val="24"/>
        </w:rPr>
      </w:pPr>
      <w:r>
        <w:rPr>
          <w:rFonts w:ascii="Times New Roman" w:hAnsi="Times New Roman" w:eastAsia="Times New Roman" w:cs="Times New Roman"/>
          <w:spacing w:val="-3"/>
          <w:sz w:val="24"/>
          <w:szCs w:val="24"/>
        </w:rPr>
        <w:t xml:space="preserve">14.2  </w:t>
      </w:r>
      <w:r>
        <w:rPr>
          <w:spacing w:val="-3"/>
          <w:sz w:val="24"/>
          <w:szCs w:val="24"/>
        </w:rPr>
        <w:t>现场材料试验</w:t>
      </w:r>
    </w:p>
    <w:p w14:paraId="6DF5C474">
      <w:pPr>
        <w:spacing w:before="138" w:line="369" w:lineRule="auto"/>
        <w:ind w:right="105"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14.2.1  </w:t>
      </w:r>
      <w:r>
        <w:rPr>
          <w:rFonts w:ascii="宋体" w:hAnsi="宋体" w:eastAsia="宋体" w:cs="宋体"/>
          <w:spacing w:val="8"/>
          <w:sz w:val="20"/>
          <w:szCs w:val="20"/>
        </w:rPr>
        <w:t>承包人根据合同约定或监理人指</w:t>
      </w:r>
      <w:r>
        <w:rPr>
          <w:rFonts w:ascii="宋体" w:hAnsi="宋体" w:eastAsia="宋体" w:cs="宋体"/>
          <w:spacing w:val="7"/>
          <w:sz w:val="20"/>
          <w:szCs w:val="20"/>
        </w:rPr>
        <w:t>示进行的现场材料试验，应由承包人提供试验场所、</w:t>
      </w:r>
      <w:r>
        <w:rPr>
          <w:rFonts w:ascii="宋体" w:hAnsi="宋体" w:eastAsia="宋体" w:cs="宋体"/>
          <w:spacing w:val="9"/>
          <w:sz w:val="20"/>
          <w:szCs w:val="20"/>
        </w:rPr>
        <w:t>试验人员、试验设备器材以及其他必要的试验条件。</w:t>
      </w:r>
    </w:p>
    <w:p w14:paraId="393286A9">
      <w:pPr>
        <w:spacing w:before="2" w:line="357" w:lineRule="auto"/>
        <w:ind w:left="24" w:right="71" w:firstLine="412"/>
        <w:rPr>
          <w:rFonts w:ascii="宋体" w:hAnsi="宋体" w:eastAsia="宋体" w:cs="宋体"/>
          <w:sz w:val="20"/>
          <w:szCs w:val="20"/>
        </w:rPr>
      </w:pPr>
      <w:r>
        <w:rPr>
          <w:rFonts w:ascii="Times New Roman" w:hAnsi="Times New Roman" w:eastAsia="Times New Roman" w:cs="Times New Roman"/>
          <w:spacing w:val="8"/>
          <w:sz w:val="20"/>
          <w:szCs w:val="20"/>
        </w:rPr>
        <w:t xml:space="preserve">14.2.2  </w:t>
      </w:r>
      <w:r>
        <w:rPr>
          <w:rFonts w:ascii="宋体" w:hAnsi="宋体" w:eastAsia="宋体" w:cs="宋体"/>
          <w:spacing w:val="8"/>
          <w:sz w:val="20"/>
          <w:szCs w:val="20"/>
        </w:rPr>
        <w:t>监理人在必要时可以使用承包人的试验场所、试验设备器材以及其他试验条件，进行以工程质量检查为目的的复核性材料试验，承包人应予以协助。</w:t>
      </w:r>
    </w:p>
    <w:p w14:paraId="2EA8D531">
      <w:pPr>
        <w:pStyle w:val="2"/>
        <w:spacing w:before="1" w:line="220" w:lineRule="auto"/>
        <w:ind w:left="20"/>
        <w:rPr>
          <w:sz w:val="24"/>
          <w:szCs w:val="24"/>
        </w:rPr>
      </w:pPr>
      <w:r>
        <w:rPr>
          <w:rFonts w:ascii="Times New Roman" w:hAnsi="Times New Roman" w:eastAsia="Times New Roman" w:cs="Times New Roman"/>
          <w:spacing w:val="-3"/>
          <w:sz w:val="24"/>
          <w:szCs w:val="24"/>
        </w:rPr>
        <w:t xml:space="preserve">14.3  </w:t>
      </w:r>
      <w:r>
        <w:rPr>
          <w:spacing w:val="-3"/>
          <w:sz w:val="24"/>
          <w:szCs w:val="24"/>
        </w:rPr>
        <w:t>现场工艺试验</w:t>
      </w:r>
    </w:p>
    <w:p w14:paraId="25514276">
      <w:pPr>
        <w:spacing w:before="138" w:line="371" w:lineRule="auto"/>
        <w:ind w:left="4" w:firstLine="416"/>
        <w:rPr>
          <w:rFonts w:ascii="宋体" w:hAnsi="宋体" w:eastAsia="宋体" w:cs="宋体"/>
          <w:sz w:val="20"/>
          <w:szCs w:val="20"/>
        </w:rPr>
      </w:pPr>
      <w:r>
        <w:rPr>
          <w:rFonts w:ascii="宋体" w:hAnsi="宋体" w:eastAsia="宋体" w:cs="宋体"/>
          <w:spacing w:val="10"/>
          <w:sz w:val="20"/>
          <w:szCs w:val="20"/>
        </w:rPr>
        <w:t>承包人应按合同约定或监理人指示进行现场工艺试验。对大型的现场</w:t>
      </w:r>
      <w:r>
        <w:rPr>
          <w:rFonts w:ascii="宋体" w:hAnsi="宋体" w:eastAsia="宋体" w:cs="宋体"/>
          <w:spacing w:val="9"/>
          <w:sz w:val="20"/>
          <w:szCs w:val="20"/>
        </w:rPr>
        <w:t>工艺试验，监理人认为</w:t>
      </w:r>
      <w:r>
        <w:rPr>
          <w:rFonts w:ascii="宋体" w:hAnsi="宋体" w:eastAsia="宋体" w:cs="宋体"/>
          <w:spacing w:val="6"/>
          <w:sz w:val="20"/>
          <w:szCs w:val="20"/>
        </w:rPr>
        <w:t>必要时，应由承包人根据监理人提出的工艺试验要求，编制工艺试验措施计划，报送监理人审批。</w:t>
      </w:r>
    </w:p>
    <w:p w14:paraId="608D11B4">
      <w:pPr>
        <w:pStyle w:val="2"/>
        <w:spacing w:before="37" w:line="222" w:lineRule="auto"/>
        <w:ind w:left="25"/>
        <w:outlineLvl w:val="2"/>
        <w:rPr>
          <w:sz w:val="28"/>
          <w:szCs w:val="28"/>
        </w:rPr>
      </w:pPr>
      <w:bookmarkStart w:id="228" w:name="bookmark209"/>
      <w:bookmarkEnd w:id="228"/>
      <w:r>
        <w:rPr>
          <w:rFonts w:ascii="Times New Roman" w:hAnsi="Times New Roman" w:eastAsia="Times New Roman" w:cs="Times New Roman"/>
          <w:spacing w:val="-10"/>
          <w:sz w:val="28"/>
          <w:szCs w:val="28"/>
        </w:rPr>
        <w:t>15.</w:t>
      </w:r>
      <w:r>
        <w:rPr>
          <w:rFonts w:ascii="Times New Roman" w:hAnsi="Times New Roman" w:eastAsia="Times New Roman" w:cs="Times New Roman"/>
          <w:spacing w:val="8"/>
          <w:sz w:val="28"/>
          <w:szCs w:val="28"/>
        </w:rPr>
        <w:t xml:space="preserve">  </w:t>
      </w:r>
      <w:r>
        <w:rPr>
          <w:spacing w:val="-10"/>
          <w:sz w:val="28"/>
          <w:szCs w:val="28"/>
        </w:rPr>
        <w:t>变更</w:t>
      </w:r>
    </w:p>
    <w:p w14:paraId="1CBAD24C">
      <w:pPr>
        <w:pStyle w:val="2"/>
        <w:spacing w:before="96" w:line="222" w:lineRule="auto"/>
        <w:ind w:left="20"/>
        <w:rPr>
          <w:sz w:val="24"/>
          <w:szCs w:val="24"/>
        </w:rPr>
      </w:pPr>
      <w:r>
        <w:rPr>
          <w:rFonts w:ascii="Times New Roman" w:hAnsi="Times New Roman" w:eastAsia="Times New Roman" w:cs="Times New Roman"/>
          <w:spacing w:val="-3"/>
          <w:sz w:val="24"/>
          <w:szCs w:val="24"/>
        </w:rPr>
        <w:t xml:space="preserve">15.1  </w:t>
      </w:r>
      <w:r>
        <w:rPr>
          <w:spacing w:val="-3"/>
          <w:sz w:val="24"/>
          <w:szCs w:val="24"/>
        </w:rPr>
        <w:t>变更的范围和内容</w:t>
      </w:r>
    </w:p>
    <w:p w14:paraId="37DC636B">
      <w:pPr>
        <w:spacing w:before="139" w:line="227" w:lineRule="auto"/>
        <w:ind w:left="433"/>
        <w:rPr>
          <w:rFonts w:ascii="宋体" w:hAnsi="宋体" w:eastAsia="宋体" w:cs="宋体"/>
          <w:sz w:val="20"/>
          <w:szCs w:val="20"/>
        </w:rPr>
      </w:pPr>
      <w:r>
        <w:rPr>
          <w:rFonts w:ascii="宋体" w:hAnsi="宋体" w:eastAsia="宋体" w:cs="宋体"/>
          <w:spacing w:val="9"/>
          <w:sz w:val="20"/>
          <w:szCs w:val="20"/>
        </w:rPr>
        <w:t>除专用合同条款另有约定外，在履行合同中发生以下情形之一，应按照本条规定进行变更。</w:t>
      </w:r>
    </w:p>
    <w:p w14:paraId="729ED33C">
      <w:pPr>
        <w:spacing w:before="152" w:line="228" w:lineRule="auto"/>
        <w:ind w:left="368"/>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）取消合同中任何一项工作，但被取消的工作不能转由发包人或其他人实施；</w:t>
      </w:r>
    </w:p>
    <w:p w14:paraId="5EF9526E">
      <w:pPr>
        <w:spacing w:before="154" w:line="228" w:lineRule="auto"/>
        <w:ind w:left="36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）改变合同中任何一项工作的质量或其他特性；</w:t>
      </w:r>
    </w:p>
    <w:p w14:paraId="12D73E9B">
      <w:pPr>
        <w:spacing w:before="154" w:line="227" w:lineRule="auto"/>
        <w:ind w:left="36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）改变合同工程的基线、标高、位置或尺寸；</w:t>
      </w:r>
    </w:p>
    <w:p w14:paraId="78151240">
      <w:pPr>
        <w:spacing w:before="152" w:line="228" w:lineRule="auto"/>
        <w:ind w:left="368"/>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）改变合同中任何一项工作的施工时间或改变已批准的施工工艺或顺序；</w:t>
      </w:r>
    </w:p>
    <w:p w14:paraId="6749CC8A">
      <w:pPr>
        <w:spacing w:before="154" w:line="228" w:lineRule="auto"/>
        <w:ind w:left="36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）为完成工程需要追加的额外工作。</w:t>
      </w:r>
    </w:p>
    <w:p w14:paraId="6F445AE2">
      <w:pPr>
        <w:spacing w:line="228" w:lineRule="auto"/>
        <w:rPr>
          <w:rFonts w:ascii="宋体" w:hAnsi="宋体" w:eastAsia="宋体" w:cs="宋体"/>
          <w:sz w:val="20"/>
          <w:szCs w:val="20"/>
        </w:rPr>
        <w:sectPr>
          <w:footerReference r:id="rId179" w:type="default"/>
          <w:pgSz w:w="11906" w:h="16839"/>
          <w:pgMar w:top="400" w:right="1486" w:bottom="1038" w:left="1538" w:header="0" w:footer="787" w:gutter="0"/>
          <w:cols w:space="720" w:num="1"/>
        </w:sectPr>
      </w:pPr>
    </w:p>
    <w:p w14:paraId="267A035C">
      <w:pPr>
        <w:spacing w:line="261" w:lineRule="auto"/>
        <w:rPr>
          <w:rFonts w:ascii="Arial"/>
          <w:sz w:val="21"/>
        </w:rPr>
      </w:pPr>
    </w:p>
    <w:p w14:paraId="65BD36CF">
      <w:pPr>
        <w:spacing w:line="262" w:lineRule="auto"/>
        <w:rPr>
          <w:rFonts w:ascii="Arial"/>
          <w:sz w:val="21"/>
        </w:rPr>
      </w:pPr>
    </w:p>
    <w:p w14:paraId="72AF980C">
      <w:pPr>
        <w:spacing w:line="262" w:lineRule="auto"/>
        <w:rPr>
          <w:rFonts w:ascii="Arial"/>
          <w:sz w:val="21"/>
        </w:rPr>
      </w:pPr>
    </w:p>
    <w:p w14:paraId="3F19F1CC">
      <w:pPr>
        <w:spacing w:line="262" w:lineRule="auto"/>
        <w:rPr>
          <w:rFonts w:ascii="Arial"/>
          <w:sz w:val="21"/>
        </w:rPr>
      </w:pPr>
    </w:p>
    <w:p w14:paraId="6D00AA62">
      <w:pPr>
        <w:pStyle w:val="2"/>
        <w:spacing w:before="78" w:line="222" w:lineRule="auto"/>
        <w:ind w:left="19"/>
        <w:rPr>
          <w:sz w:val="24"/>
          <w:szCs w:val="24"/>
        </w:rPr>
      </w:pPr>
      <w:r>
        <w:rPr>
          <w:rFonts w:ascii="Times New Roman" w:hAnsi="Times New Roman" w:eastAsia="Times New Roman" w:cs="Times New Roman"/>
          <w:spacing w:val="-7"/>
          <w:sz w:val="24"/>
          <w:szCs w:val="24"/>
        </w:rPr>
        <w:t>15.2</w:t>
      </w:r>
      <w:r>
        <w:rPr>
          <w:rFonts w:ascii="Times New Roman" w:hAnsi="Times New Roman" w:eastAsia="Times New Roman" w:cs="Times New Roman"/>
          <w:spacing w:val="9"/>
          <w:sz w:val="24"/>
          <w:szCs w:val="24"/>
        </w:rPr>
        <w:t xml:space="preserve">  </w:t>
      </w:r>
      <w:r>
        <w:rPr>
          <w:spacing w:val="-7"/>
          <w:sz w:val="24"/>
          <w:szCs w:val="24"/>
        </w:rPr>
        <w:t>变更权</w:t>
      </w:r>
    </w:p>
    <w:p w14:paraId="7202DBC1">
      <w:pPr>
        <w:spacing w:before="136" w:line="358" w:lineRule="auto"/>
        <w:ind w:left="2" w:right="73" w:firstLine="416"/>
        <w:rPr>
          <w:rFonts w:ascii="宋体" w:hAnsi="宋体" w:eastAsia="宋体" w:cs="宋体"/>
          <w:sz w:val="20"/>
          <w:szCs w:val="20"/>
        </w:rPr>
      </w:pPr>
      <w:r>
        <w:rPr>
          <w:rFonts w:ascii="宋体" w:hAnsi="宋体" w:eastAsia="宋体" w:cs="宋体"/>
          <w:spacing w:val="7"/>
          <w:sz w:val="20"/>
          <w:szCs w:val="20"/>
        </w:rPr>
        <w:t>在履行合同过程中，经发包人同意，监理人可按第</w:t>
      </w:r>
      <w:r>
        <w:rPr>
          <w:rFonts w:ascii="宋体" w:hAnsi="宋体" w:eastAsia="宋体" w:cs="宋体"/>
          <w:spacing w:val="-12"/>
          <w:sz w:val="20"/>
          <w:szCs w:val="20"/>
        </w:rPr>
        <w:t xml:space="preserve"> </w:t>
      </w:r>
      <w:r>
        <w:rPr>
          <w:rFonts w:ascii="Times New Roman" w:hAnsi="Times New Roman" w:eastAsia="Times New Roman" w:cs="Times New Roman"/>
          <w:spacing w:val="7"/>
          <w:sz w:val="20"/>
          <w:szCs w:val="20"/>
        </w:rPr>
        <w:t xml:space="preserve">15.3 </w:t>
      </w:r>
      <w:r>
        <w:rPr>
          <w:rFonts w:ascii="宋体" w:hAnsi="宋体" w:eastAsia="宋体" w:cs="宋体"/>
          <w:spacing w:val="7"/>
          <w:sz w:val="20"/>
          <w:szCs w:val="20"/>
        </w:rPr>
        <w:t>款约定的变更程序向承包人作出变更</w:t>
      </w:r>
      <w:r>
        <w:rPr>
          <w:rFonts w:ascii="宋体" w:hAnsi="宋体" w:eastAsia="宋体" w:cs="宋体"/>
          <w:spacing w:val="9"/>
          <w:sz w:val="20"/>
          <w:szCs w:val="20"/>
        </w:rPr>
        <w:t>指示，承包人应遵照执行。没有监理人的变更指示，承包人不得擅自变更。</w:t>
      </w:r>
    </w:p>
    <w:p w14:paraId="52141EA4">
      <w:pPr>
        <w:pStyle w:val="2"/>
        <w:spacing w:line="221" w:lineRule="auto"/>
        <w:ind w:left="19"/>
        <w:rPr>
          <w:sz w:val="24"/>
          <w:szCs w:val="24"/>
        </w:rPr>
      </w:pPr>
      <w:r>
        <w:rPr>
          <w:rFonts w:ascii="Times New Roman" w:hAnsi="Times New Roman" w:eastAsia="Times New Roman" w:cs="Times New Roman"/>
          <w:spacing w:val="-6"/>
          <w:sz w:val="24"/>
          <w:szCs w:val="24"/>
        </w:rPr>
        <w:t>15.3</w:t>
      </w:r>
      <w:r>
        <w:rPr>
          <w:rFonts w:ascii="Times New Roman" w:hAnsi="Times New Roman" w:eastAsia="Times New Roman" w:cs="Times New Roman"/>
          <w:spacing w:val="9"/>
          <w:sz w:val="24"/>
          <w:szCs w:val="24"/>
        </w:rPr>
        <w:t xml:space="preserve">  </w:t>
      </w:r>
      <w:r>
        <w:rPr>
          <w:spacing w:val="-6"/>
          <w:sz w:val="24"/>
          <w:szCs w:val="24"/>
        </w:rPr>
        <w:t>变更程序</w:t>
      </w:r>
    </w:p>
    <w:p w14:paraId="67B7A75C">
      <w:pPr>
        <w:pStyle w:val="2"/>
        <w:spacing w:before="136" w:line="230" w:lineRule="auto"/>
        <w:ind w:left="436"/>
        <w:rPr>
          <w:sz w:val="20"/>
          <w:szCs w:val="20"/>
        </w:rPr>
      </w:pPr>
      <w:r>
        <w:rPr>
          <w:rFonts w:ascii="Times New Roman" w:hAnsi="Times New Roman" w:eastAsia="Times New Roman" w:cs="Times New Roman"/>
          <w:spacing w:val="4"/>
          <w:sz w:val="20"/>
          <w:szCs w:val="20"/>
        </w:rPr>
        <w:t xml:space="preserve">15.3.1  </w:t>
      </w:r>
      <w:r>
        <w:rPr>
          <w:spacing w:val="4"/>
          <w:sz w:val="20"/>
          <w:szCs w:val="20"/>
        </w:rPr>
        <w:t>变更的提出</w:t>
      </w:r>
    </w:p>
    <w:p w14:paraId="1CA8FEA0">
      <w:pPr>
        <w:spacing w:before="152" w:line="369" w:lineRule="auto"/>
        <w:ind w:firstLine="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）在合同履行过程中，可能发生第</w:t>
      </w:r>
      <w:r>
        <w:rPr>
          <w:rFonts w:ascii="宋体" w:hAnsi="宋体" w:eastAsia="宋体" w:cs="宋体"/>
          <w:spacing w:val="-21"/>
          <w:sz w:val="20"/>
          <w:szCs w:val="20"/>
        </w:rPr>
        <w:t xml:space="preserve"> </w:t>
      </w:r>
      <w:r>
        <w:rPr>
          <w:rFonts w:ascii="Times New Roman" w:hAnsi="Times New Roman" w:eastAsia="Times New Roman" w:cs="Times New Roman"/>
          <w:spacing w:val="9"/>
          <w:sz w:val="20"/>
          <w:szCs w:val="20"/>
        </w:rPr>
        <w:t>15.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款约定情形的，监理人</w:t>
      </w:r>
      <w:r>
        <w:rPr>
          <w:rFonts w:ascii="宋体" w:hAnsi="宋体" w:eastAsia="宋体" w:cs="宋体"/>
          <w:spacing w:val="8"/>
          <w:sz w:val="20"/>
          <w:szCs w:val="20"/>
        </w:rPr>
        <w:t>可向承包人发出变更意向</w:t>
      </w:r>
      <w:r>
        <w:rPr>
          <w:rFonts w:ascii="宋体" w:hAnsi="宋体" w:eastAsia="宋体" w:cs="宋体"/>
          <w:spacing w:val="7"/>
          <w:sz w:val="20"/>
          <w:szCs w:val="20"/>
        </w:rPr>
        <w:t>书。变更意向书应说明变更的具体内容和发包人对变</w:t>
      </w:r>
      <w:r>
        <w:rPr>
          <w:rFonts w:ascii="宋体" w:hAnsi="宋体" w:eastAsia="宋体" w:cs="宋体"/>
          <w:spacing w:val="6"/>
          <w:sz w:val="20"/>
          <w:szCs w:val="20"/>
        </w:rPr>
        <w:t>更的时间要求，并附必要的图纸和相关资料。</w:t>
      </w:r>
      <w:r>
        <w:rPr>
          <w:rFonts w:ascii="宋体" w:hAnsi="宋体" w:eastAsia="宋体" w:cs="宋体"/>
          <w:spacing w:val="10"/>
          <w:sz w:val="20"/>
          <w:szCs w:val="20"/>
        </w:rPr>
        <w:t>变更意向书应要求承包人提交包括拟实施变更工作的计划、措施和竣工时间等内容的实施方案。</w:t>
      </w:r>
      <w:r>
        <w:rPr>
          <w:rFonts w:ascii="宋体" w:hAnsi="宋体" w:eastAsia="宋体" w:cs="宋体"/>
          <w:spacing w:val="8"/>
          <w:sz w:val="20"/>
          <w:szCs w:val="20"/>
        </w:rPr>
        <w:t>发包人同意承包人根据变更意向书要求提交的变更实施方案的，由监理人按第</w:t>
      </w:r>
      <w:r>
        <w:rPr>
          <w:rFonts w:ascii="宋体" w:hAnsi="宋体" w:eastAsia="宋体" w:cs="宋体"/>
          <w:spacing w:val="-10"/>
          <w:sz w:val="20"/>
          <w:szCs w:val="20"/>
        </w:rPr>
        <w:t xml:space="preserve"> </w:t>
      </w:r>
      <w:r>
        <w:rPr>
          <w:rFonts w:ascii="Times New Roman" w:hAnsi="Times New Roman" w:eastAsia="Times New Roman" w:cs="Times New Roman"/>
          <w:spacing w:val="8"/>
          <w:sz w:val="20"/>
          <w:szCs w:val="20"/>
        </w:rPr>
        <w:t xml:space="preserve">15.3.3 </w:t>
      </w:r>
      <w:r>
        <w:rPr>
          <w:rFonts w:ascii="宋体" w:hAnsi="宋体" w:eastAsia="宋体" w:cs="宋体"/>
          <w:spacing w:val="8"/>
          <w:sz w:val="20"/>
          <w:szCs w:val="20"/>
        </w:rPr>
        <w:t>项约定发出</w:t>
      </w:r>
      <w:r>
        <w:rPr>
          <w:rFonts w:ascii="宋体" w:hAnsi="宋体" w:eastAsia="宋体" w:cs="宋体"/>
          <w:spacing w:val="5"/>
          <w:sz w:val="20"/>
          <w:szCs w:val="20"/>
        </w:rPr>
        <w:t>变更指示。</w:t>
      </w:r>
    </w:p>
    <w:p w14:paraId="3EC3E4CD">
      <w:pPr>
        <w:spacing w:before="2" w:line="369" w:lineRule="auto"/>
        <w:ind w:left="1" w:right="70" w:firstLine="42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）在合同履行过程中，发生第</w:t>
      </w:r>
      <w:r>
        <w:rPr>
          <w:rFonts w:ascii="宋体" w:hAnsi="宋体" w:eastAsia="宋体" w:cs="宋体"/>
          <w:spacing w:val="-14"/>
          <w:sz w:val="20"/>
          <w:szCs w:val="20"/>
        </w:rPr>
        <w:t xml:space="preserve"> </w:t>
      </w:r>
      <w:r>
        <w:rPr>
          <w:rFonts w:ascii="Times New Roman" w:hAnsi="Times New Roman" w:eastAsia="Times New Roman" w:cs="Times New Roman"/>
          <w:spacing w:val="7"/>
          <w:sz w:val="20"/>
          <w:szCs w:val="20"/>
        </w:rPr>
        <w:t>15.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款约定情形的，监理人应按照第</w:t>
      </w:r>
      <w:r>
        <w:rPr>
          <w:rFonts w:ascii="宋体" w:hAnsi="宋体" w:eastAsia="宋体" w:cs="宋体"/>
          <w:spacing w:val="-18"/>
          <w:sz w:val="20"/>
          <w:szCs w:val="20"/>
        </w:rPr>
        <w:t xml:space="preserve"> </w:t>
      </w:r>
      <w:r>
        <w:rPr>
          <w:rFonts w:ascii="Times New Roman" w:hAnsi="Times New Roman" w:eastAsia="Times New Roman" w:cs="Times New Roman"/>
          <w:spacing w:val="7"/>
          <w:sz w:val="20"/>
          <w:szCs w:val="20"/>
        </w:rPr>
        <w:t>15.3.3</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项约定向承包人发出变更指示。</w:t>
      </w:r>
    </w:p>
    <w:p w14:paraId="4092E356">
      <w:pPr>
        <w:spacing w:before="4" w:line="368" w:lineRule="auto"/>
        <w:ind w:right="71" w:firstLine="429"/>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）承包人收到监理人按合同约定发出的图纸和文件，经检查认</w:t>
      </w:r>
      <w:r>
        <w:rPr>
          <w:rFonts w:ascii="宋体" w:hAnsi="宋体" w:eastAsia="宋体" w:cs="宋体"/>
          <w:spacing w:val="8"/>
          <w:sz w:val="20"/>
          <w:szCs w:val="20"/>
        </w:rPr>
        <w:t>为其中存在第</w:t>
      </w:r>
      <w:r>
        <w:rPr>
          <w:rFonts w:ascii="宋体" w:hAnsi="宋体" w:eastAsia="宋体" w:cs="宋体"/>
          <w:spacing w:val="-20"/>
          <w:sz w:val="20"/>
          <w:szCs w:val="20"/>
        </w:rPr>
        <w:t xml:space="preserve"> </w:t>
      </w:r>
      <w:r>
        <w:rPr>
          <w:rFonts w:ascii="Times New Roman" w:hAnsi="Times New Roman" w:eastAsia="Times New Roman" w:cs="Times New Roman"/>
          <w:spacing w:val="8"/>
          <w:sz w:val="20"/>
          <w:szCs w:val="20"/>
        </w:rPr>
        <w:t>15.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款约定</w:t>
      </w:r>
      <w:r>
        <w:rPr>
          <w:rFonts w:ascii="宋体" w:hAnsi="宋体" w:eastAsia="宋体" w:cs="宋体"/>
          <w:spacing w:val="10"/>
          <w:sz w:val="20"/>
          <w:szCs w:val="20"/>
        </w:rPr>
        <w:t>情形的，可向监理人提出书面变更建议。变更建议应阐明要求变更的依</w:t>
      </w:r>
      <w:r>
        <w:rPr>
          <w:rFonts w:ascii="宋体" w:hAnsi="宋体" w:eastAsia="宋体" w:cs="宋体"/>
          <w:spacing w:val="9"/>
          <w:sz w:val="20"/>
          <w:szCs w:val="20"/>
        </w:rPr>
        <w:t>据，并附必要的图纸和说</w:t>
      </w:r>
      <w:r>
        <w:rPr>
          <w:rFonts w:ascii="宋体" w:hAnsi="宋体" w:eastAsia="宋体" w:cs="宋体"/>
          <w:spacing w:val="10"/>
          <w:sz w:val="20"/>
          <w:szCs w:val="20"/>
        </w:rPr>
        <w:t>明。监理人收到承包人书面建议后，应与发包人共同研究，确认存在变</w:t>
      </w:r>
      <w:r>
        <w:rPr>
          <w:rFonts w:ascii="宋体" w:hAnsi="宋体" w:eastAsia="宋体" w:cs="宋体"/>
          <w:spacing w:val="9"/>
          <w:sz w:val="20"/>
          <w:szCs w:val="20"/>
        </w:rPr>
        <w:t>更的，应在收到承包人书</w:t>
      </w:r>
      <w:r>
        <w:rPr>
          <w:rFonts w:ascii="宋体" w:hAnsi="宋体" w:eastAsia="宋体" w:cs="宋体"/>
          <w:spacing w:val="8"/>
          <w:sz w:val="20"/>
          <w:szCs w:val="20"/>
        </w:rPr>
        <w:t>面建议后的</w:t>
      </w:r>
      <w:r>
        <w:rPr>
          <w:rFonts w:ascii="宋体" w:hAnsi="宋体" w:eastAsia="宋体" w:cs="宋体"/>
          <w:spacing w:val="-10"/>
          <w:sz w:val="20"/>
          <w:szCs w:val="20"/>
        </w:rPr>
        <w:t xml:space="preserve"> </w:t>
      </w:r>
      <w:r>
        <w:rPr>
          <w:rFonts w:ascii="Times New Roman" w:hAnsi="Times New Roman" w:eastAsia="Times New Roman" w:cs="Times New Roman"/>
          <w:spacing w:val="8"/>
          <w:sz w:val="20"/>
          <w:szCs w:val="20"/>
        </w:rPr>
        <w:t>14</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天内作出变更指示。经研究后不同意作为变更的，应由监理人书面答复承包人。</w:t>
      </w:r>
    </w:p>
    <w:p w14:paraId="05702EFE">
      <w:pPr>
        <w:spacing w:before="2" w:line="369" w:lineRule="auto"/>
        <w:ind w:left="5" w:right="73" w:firstLine="425"/>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）若承包人收到监理人的变更意向书后认为难以实施此项变更，应立</w:t>
      </w:r>
      <w:r>
        <w:rPr>
          <w:rFonts w:ascii="宋体" w:hAnsi="宋体" w:eastAsia="宋体" w:cs="宋体"/>
          <w:spacing w:val="6"/>
          <w:sz w:val="20"/>
          <w:szCs w:val="20"/>
        </w:rPr>
        <w:t>即通知监理人，说明</w:t>
      </w:r>
      <w:r>
        <w:rPr>
          <w:rFonts w:ascii="宋体" w:hAnsi="宋体" w:eastAsia="宋体" w:cs="宋体"/>
          <w:spacing w:val="9"/>
          <w:sz w:val="20"/>
          <w:szCs w:val="20"/>
        </w:rPr>
        <w:t>原因并附详细依据。监理人与承包人和发包人协商后确定撤销、改变或不改变原变更意向书。</w:t>
      </w:r>
    </w:p>
    <w:p w14:paraId="6F9C5B3C">
      <w:pPr>
        <w:pStyle w:val="2"/>
        <w:spacing w:before="1" w:line="229" w:lineRule="auto"/>
        <w:ind w:left="436"/>
        <w:rPr>
          <w:sz w:val="20"/>
          <w:szCs w:val="20"/>
        </w:rPr>
      </w:pPr>
      <w:r>
        <w:rPr>
          <w:rFonts w:ascii="Times New Roman" w:hAnsi="Times New Roman" w:eastAsia="Times New Roman" w:cs="Times New Roman"/>
          <w:spacing w:val="2"/>
          <w:sz w:val="20"/>
          <w:szCs w:val="20"/>
        </w:rPr>
        <w:t>15.3.2</w:t>
      </w:r>
      <w:r>
        <w:rPr>
          <w:rFonts w:ascii="Times New Roman" w:hAnsi="Times New Roman" w:eastAsia="Times New Roman" w:cs="Times New Roman"/>
          <w:spacing w:val="10"/>
          <w:sz w:val="20"/>
          <w:szCs w:val="20"/>
        </w:rPr>
        <w:t xml:space="preserve">  </w:t>
      </w:r>
      <w:r>
        <w:rPr>
          <w:spacing w:val="2"/>
          <w:sz w:val="20"/>
          <w:szCs w:val="20"/>
        </w:rPr>
        <w:t>变更估价</w:t>
      </w:r>
    </w:p>
    <w:p w14:paraId="1E6118F1">
      <w:pPr>
        <w:spacing w:before="150" w:line="369" w:lineRule="auto"/>
        <w:ind w:right="70" w:firstLine="42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）除专用合同条款对期限另有约定外，承包人应在收到变更指示或变更意向书后的</w:t>
      </w:r>
      <w:r>
        <w:rPr>
          <w:rFonts w:ascii="宋体" w:hAnsi="宋体" w:eastAsia="宋体" w:cs="宋体"/>
          <w:spacing w:val="-8"/>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w:t>
      </w:r>
      <w:r>
        <w:rPr>
          <w:rFonts w:ascii="宋体" w:hAnsi="宋体" w:eastAsia="宋体" w:cs="宋体"/>
          <w:spacing w:val="7"/>
          <w:sz w:val="20"/>
          <w:szCs w:val="20"/>
        </w:rPr>
        <w:t>内，向监理人提交变更报价书，报价内容应根据第</w:t>
      </w:r>
      <w:r>
        <w:rPr>
          <w:rFonts w:ascii="宋体" w:hAnsi="宋体" w:eastAsia="宋体" w:cs="宋体"/>
          <w:spacing w:val="-5"/>
          <w:sz w:val="20"/>
          <w:szCs w:val="20"/>
        </w:rPr>
        <w:t xml:space="preserve"> </w:t>
      </w:r>
      <w:r>
        <w:rPr>
          <w:rFonts w:ascii="Times New Roman" w:hAnsi="Times New Roman" w:eastAsia="Times New Roman" w:cs="Times New Roman"/>
          <w:spacing w:val="7"/>
          <w:sz w:val="20"/>
          <w:szCs w:val="20"/>
        </w:rPr>
        <w:t xml:space="preserve">15.4 </w:t>
      </w:r>
      <w:r>
        <w:rPr>
          <w:rFonts w:ascii="宋体" w:hAnsi="宋体" w:eastAsia="宋体" w:cs="宋体"/>
          <w:spacing w:val="7"/>
          <w:sz w:val="20"/>
          <w:szCs w:val="20"/>
        </w:rPr>
        <w:t>款约定的估价原则，详细开列变更工作的</w:t>
      </w:r>
      <w:r>
        <w:rPr>
          <w:rFonts w:ascii="宋体" w:hAnsi="宋体" w:eastAsia="宋体" w:cs="宋体"/>
          <w:spacing w:val="9"/>
          <w:sz w:val="20"/>
          <w:szCs w:val="20"/>
        </w:rPr>
        <w:t>价格组成及其依据，并附必要的施工方法说明和有关图纸。</w:t>
      </w:r>
    </w:p>
    <w:p w14:paraId="1D651D78">
      <w:pPr>
        <w:spacing w:before="2" w:line="369" w:lineRule="auto"/>
        <w:ind w:left="1" w:right="73" w:firstLine="42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）变更工作影响工期的，承包人应提出调整工期的具体细节。监理人</w:t>
      </w:r>
      <w:r>
        <w:rPr>
          <w:rFonts w:ascii="宋体" w:hAnsi="宋体" w:eastAsia="宋体" w:cs="宋体"/>
          <w:spacing w:val="6"/>
          <w:sz w:val="20"/>
          <w:szCs w:val="20"/>
        </w:rPr>
        <w:t>认为有必要时，可要</w:t>
      </w:r>
      <w:r>
        <w:rPr>
          <w:rFonts w:ascii="宋体" w:hAnsi="宋体" w:eastAsia="宋体" w:cs="宋体"/>
          <w:spacing w:val="9"/>
          <w:sz w:val="20"/>
          <w:szCs w:val="20"/>
        </w:rPr>
        <w:t>求承包人提交要求提前或延长工期的施工进度计划及相应施工措施等详细资料。</w:t>
      </w:r>
    </w:p>
    <w:p w14:paraId="4A80DD76">
      <w:pPr>
        <w:spacing w:before="1" w:line="368" w:lineRule="auto"/>
        <w:ind w:right="73"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）除专用合同条款对期限另有约定外，监理人收到承包人变更报价书后的</w:t>
      </w:r>
      <w:r>
        <w:rPr>
          <w:rFonts w:ascii="宋体" w:hAnsi="宋体" w:eastAsia="宋体" w:cs="宋体"/>
          <w:spacing w:val="-8"/>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天内，根据</w:t>
      </w:r>
      <w:r>
        <w:rPr>
          <w:rFonts w:ascii="宋体" w:hAnsi="宋体" w:eastAsia="宋体" w:cs="宋体"/>
          <w:spacing w:val="6"/>
          <w:sz w:val="20"/>
          <w:szCs w:val="20"/>
        </w:rPr>
        <w:t>第</w:t>
      </w:r>
      <w:r>
        <w:rPr>
          <w:rFonts w:ascii="宋体" w:hAnsi="宋体" w:eastAsia="宋体" w:cs="宋体"/>
          <w:spacing w:val="-5"/>
          <w:sz w:val="20"/>
          <w:szCs w:val="20"/>
        </w:rPr>
        <w:t xml:space="preserve"> </w:t>
      </w:r>
      <w:r>
        <w:rPr>
          <w:rFonts w:ascii="Times New Roman" w:hAnsi="Times New Roman" w:eastAsia="Times New Roman" w:cs="Times New Roman"/>
          <w:spacing w:val="6"/>
          <w:sz w:val="20"/>
          <w:szCs w:val="20"/>
        </w:rPr>
        <w:t xml:space="preserve">15.4 </w:t>
      </w:r>
      <w:r>
        <w:rPr>
          <w:rFonts w:ascii="宋体" w:hAnsi="宋体" w:eastAsia="宋体" w:cs="宋体"/>
          <w:spacing w:val="6"/>
          <w:sz w:val="20"/>
          <w:szCs w:val="20"/>
        </w:rPr>
        <w:t>款约定的估价原则，按照第</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 xml:space="preserve">3.5 </w:t>
      </w:r>
      <w:r>
        <w:rPr>
          <w:rFonts w:ascii="宋体" w:hAnsi="宋体" w:eastAsia="宋体" w:cs="宋体"/>
          <w:spacing w:val="6"/>
          <w:sz w:val="20"/>
          <w:szCs w:val="20"/>
        </w:rPr>
        <w:t>款商定或确定变更价格。</w:t>
      </w:r>
    </w:p>
    <w:p w14:paraId="38FB9345">
      <w:pPr>
        <w:pStyle w:val="2"/>
        <w:spacing w:before="1" w:line="230" w:lineRule="auto"/>
        <w:ind w:left="436"/>
        <w:rPr>
          <w:sz w:val="20"/>
          <w:szCs w:val="20"/>
        </w:rPr>
      </w:pPr>
      <w:r>
        <w:rPr>
          <w:rFonts w:ascii="Times New Roman" w:hAnsi="Times New Roman" w:eastAsia="Times New Roman" w:cs="Times New Roman"/>
          <w:spacing w:val="2"/>
          <w:sz w:val="20"/>
          <w:szCs w:val="20"/>
        </w:rPr>
        <w:t>15.3.3</w:t>
      </w:r>
      <w:r>
        <w:rPr>
          <w:rFonts w:ascii="Times New Roman" w:hAnsi="Times New Roman" w:eastAsia="Times New Roman" w:cs="Times New Roman"/>
          <w:spacing w:val="10"/>
          <w:sz w:val="20"/>
          <w:szCs w:val="20"/>
        </w:rPr>
        <w:t xml:space="preserve">  </w:t>
      </w:r>
      <w:r>
        <w:rPr>
          <w:spacing w:val="2"/>
          <w:sz w:val="20"/>
          <w:szCs w:val="20"/>
        </w:rPr>
        <w:t>变更指示</w:t>
      </w:r>
    </w:p>
    <w:p w14:paraId="2B37ECD6">
      <w:pPr>
        <w:spacing w:before="152"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）变更指示只能由监理人发出。</w:t>
      </w:r>
    </w:p>
    <w:p w14:paraId="14318F03">
      <w:pPr>
        <w:spacing w:before="150" w:line="358" w:lineRule="auto"/>
        <w:ind w:left="5" w:right="18" w:firstLine="425"/>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）变更指示应说明变更的目的、范围、变更内容以及变更的工程量及其进度和技术要求，</w:t>
      </w:r>
      <w:r>
        <w:rPr>
          <w:rFonts w:ascii="宋体" w:hAnsi="宋体" w:eastAsia="宋体" w:cs="宋体"/>
          <w:spacing w:val="9"/>
          <w:sz w:val="20"/>
          <w:szCs w:val="20"/>
        </w:rPr>
        <w:t>并附有关图纸和文件。承包人收到变更指示后，应按变更指示进行变更工作。</w:t>
      </w:r>
    </w:p>
    <w:p w14:paraId="15416D30">
      <w:pPr>
        <w:pStyle w:val="2"/>
        <w:spacing w:before="1" w:line="221" w:lineRule="auto"/>
        <w:ind w:left="19"/>
        <w:rPr>
          <w:sz w:val="24"/>
          <w:szCs w:val="24"/>
        </w:rPr>
      </w:pPr>
      <w:r>
        <w:rPr>
          <w:rFonts w:ascii="Times New Roman" w:hAnsi="Times New Roman" w:eastAsia="Times New Roman" w:cs="Times New Roman"/>
          <w:spacing w:val="-3"/>
          <w:sz w:val="24"/>
          <w:szCs w:val="24"/>
        </w:rPr>
        <w:t xml:space="preserve">15.4  </w:t>
      </w:r>
      <w:r>
        <w:rPr>
          <w:spacing w:val="-3"/>
          <w:sz w:val="24"/>
          <w:szCs w:val="24"/>
        </w:rPr>
        <w:t>变更的估价原则</w:t>
      </w:r>
    </w:p>
    <w:p w14:paraId="49EFE5DD">
      <w:pPr>
        <w:spacing w:before="137" w:line="226" w:lineRule="auto"/>
        <w:ind w:left="432"/>
        <w:rPr>
          <w:rFonts w:ascii="宋体" w:hAnsi="宋体" w:eastAsia="宋体" w:cs="宋体"/>
          <w:sz w:val="20"/>
          <w:szCs w:val="20"/>
        </w:rPr>
      </w:pPr>
      <w:r>
        <w:rPr>
          <w:rFonts w:ascii="宋体" w:hAnsi="宋体" w:eastAsia="宋体" w:cs="宋体"/>
          <w:spacing w:val="9"/>
          <w:sz w:val="20"/>
          <w:szCs w:val="20"/>
        </w:rPr>
        <w:t>除专用合同条款另有约定外，因变更引起的价格调整按照本款约定处理。</w:t>
      </w:r>
    </w:p>
    <w:p w14:paraId="700A58AF">
      <w:pPr>
        <w:spacing w:before="156" w:line="226" w:lineRule="auto"/>
        <w:ind w:left="436"/>
        <w:rPr>
          <w:rFonts w:ascii="宋体" w:hAnsi="宋体" w:eastAsia="宋体" w:cs="宋体"/>
          <w:sz w:val="20"/>
          <w:szCs w:val="20"/>
        </w:rPr>
      </w:pPr>
      <w:r>
        <w:rPr>
          <w:rFonts w:ascii="Times New Roman" w:hAnsi="Times New Roman" w:eastAsia="Times New Roman" w:cs="Times New Roman"/>
          <w:spacing w:val="7"/>
          <w:sz w:val="20"/>
          <w:szCs w:val="20"/>
        </w:rPr>
        <w:t>15.4.1</w:t>
      </w:r>
      <w:r>
        <w:rPr>
          <w:rFonts w:ascii="Times New Roman" w:hAnsi="Times New Roman" w:eastAsia="Times New Roman" w:cs="Times New Roman"/>
          <w:spacing w:val="20"/>
          <w:w w:val="101"/>
          <w:sz w:val="20"/>
          <w:szCs w:val="20"/>
        </w:rPr>
        <w:t xml:space="preserve">  </w:t>
      </w:r>
      <w:r>
        <w:rPr>
          <w:rFonts w:ascii="宋体" w:hAnsi="宋体" w:eastAsia="宋体" w:cs="宋体"/>
          <w:spacing w:val="7"/>
          <w:sz w:val="20"/>
          <w:szCs w:val="20"/>
        </w:rPr>
        <w:t>已标价工程量清单中有适用于变更工作的子目的，采用该子目的单价。</w:t>
      </w:r>
    </w:p>
    <w:p w14:paraId="0C97BFE6">
      <w:pPr>
        <w:spacing w:before="157" w:line="368" w:lineRule="auto"/>
        <w:ind w:left="6" w:right="73" w:firstLine="429"/>
        <w:rPr>
          <w:rFonts w:ascii="宋体" w:hAnsi="宋体" w:eastAsia="宋体" w:cs="宋体"/>
          <w:sz w:val="20"/>
          <w:szCs w:val="20"/>
        </w:rPr>
      </w:pPr>
      <w:r>
        <w:rPr>
          <w:rFonts w:ascii="Times New Roman" w:hAnsi="Times New Roman" w:eastAsia="Times New Roman" w:cs="Times New Roman"/>
          <w:spacing w:val="8"/>
          <w:sz w:val="20"/>
          <w:szCs w:val="20"/>
        </w:rPr>
        <w:t>15.4.2</w:t>
      </w:r>
      <w:r>
        <w:rPr>
          <w:rFonts w:ascii="Times New Roman" w:hAnsi="Times New Roman" w:eastAsia="Times New Roman" w:cs="Times New Roman"/>
          <w:spacing w:val="18"/>
          <w:sz w:val="20"/>
          <w:szCs w:val="20"/>
        </w:rPr>
        <w:t xml:space="preserve">  </w:t>
      </w:r>
      <w:r>
        <w:rPr>
          <w:rFonts w:ascii="宋体" w:hAnsi="宋体" w:eastAsia="宋体" w:cs="宋体"/>
          <w:spacing w:val="8"/>
          <w:sz w:val="20"/>
          <w:szCs w:val="20"/>
        </w:rPr>
        <w:t>已标价工程量清单中无适用于变更工作的子目，但有类似子目的，</w:t>
      </w:r>
      <w:r>
        <w:rPr>
          <w:rFonts w:ascii="宋体" w:hAnsi="宋体" w:eastAsia="宋体" w:cs="宋体"/>
          <w:spacing w:val="7"/>
          <w:sz w:val="20"/>
          <w:szCs w:val="20"/>
        </w:rPr>
        <w:t>可在合理范围内参</w:t>
      </w:r>
      <w:r>
        <w:rPr>
          <w:rFonts w:ascii="宋体" w:hAnsi="宋体" w:eastAsia="宋体" w:cs="宋体"/>
          <w:spacing w:val="8"/>
          <w:sz w:val="20"/>
          <w:szCs w:val="20"/>
        </w:rPr>
        <w:t>照类似子目的单价，由监理人按第</w:t>
      </w:r>
      <w:r>
        <w:rPr>
          <w:rFonts w:ascii="宋体" w:hAnsi="宋体" w:eastAsia="宋体" w:cs="宋体"/>
          <w:spacing w:val="-35"/>
          <w:sz w:val="20"/>
          <w:szCs w:val="20"/>
        </w:rPr>
        <w:t xml:space="preserve"> </w:t>
      </w:r>
      <w:r>
        <w:rPr>
          <w:rFonts w:ascii="Times New Roman" w:hAnsi="Times New Roman" w:eastAsia="Times New Roman" w:cs="Times New Roman"/>
          <w:spacing w:val="8"/>
          <w:sz w:val="20"/>
          <w:szCs w:val="20"/>
        </w:rPr>
        <w:t xml:space="preserve">3.5 </w:t>
      </w:r>
      <w:r>
        <w:rPr>
          <w:rFonts w:ascii="宋体" w:hAnsi="宋体" w:eastAsia="宋体" w:cs="宋体"/>
          <w:spacing w:val="8"/>
          <w:sz w:val="20"/>
          <w:szCs w:val="20"/>
        </w:rPr>
        <w:t>款商定或确定变更工作的单价。</w:t>
      </w:r>
    </w:p>
    <w:p w14:paraId="349C186C">
      <w:pPr>
        <w:spacing w:line="368" w:lineRule="auto"/>
        <w:rPr>
          <w:rFonts w:ascii="宋体" w:hAnsi="宋体" w:eastAsia="宋体" w:cs="宋体"/>
          <w:sz w:val="20"/>
          <w:szCs w:val="20"/>
        </w:rPr>
        <w:sectPr>
          <w:footerReference r:id="rId180" w:type="default"/>
          <w:pgSz w:w="11906" w:h="16839"/>
          <w:pgMar w:top="400" w:right="1483" w:bottom="1038" w:left="1539" w:header="0" w:footer="787" w:gutter="0"/>
          <w:cols w:space="720" w:num="1"/>
        </w:sectPr>
      </w:pPr>
    </w:p>
    <w:p w14:paraId="3767C42D">
      <w:pPr>
        <w:spacing w:line="271" w:lineRule="auto"/>
        <w:rPr>
          <w:rFonts w:ascii="Arial"/>
          <w:sz w:val="21"/>
        </w:rPr>
      </w:pPr>
    </w:p>
    <w:p w14:paraId="31A31D6B">
      <w:pPr>
        <w:spacing w:line="271" w:lineRule="auto"/>
        <w:rPr>
          <w:rFonts w:ascii="Arial"/>
          <w:sz w:val="21"/>
        </w:rPr>
      </w:pPr>
    </w:p>
    <w:p w14:paraId="5E6F2DEC">
      <w:pPr>
        <w:spacing w:line="272" w:lineRule="auto"/>
        <w:rPr>
          <w:rFonts w:ascii="Arial"/>
          <w:sz w:val="21"/>
        </w:rPr>
      </w:pPr>
    </w:p>
    <w:p w14:paraId="6B563422">
      <w:pPr>
        <w:spacing w:line="272" w:lineRule="auto"/>
        <w:rPr>
          <w:rFonts w:ascii="Arial"/>
          <w:sz w:val="21"/>
        </w:rPr>
      </w:pPr>
    </w:p>
    <w:p w14:paraId="57BD37A2">
      <w:pPr>
        <w:spacing w:before="65" w:line="357" w:lineRule="auto"/>
        <w:ind w:left="2" w:right="73" w:firstLine="434"/>
        <w:rPr>
          <w:rFonts w:ascii="宋体" w:hAnsi="宋体" w:eastAsia="宋体" w:cs="宋体"/>
          <w:sz w:val="20"/>
          <w:szCs w:val="20"/>
        </w:rPr>
      </w:pPr>
      <w:r>
        <w:rPr>
          <w:rFonts w:ascii="Times New Roman" w:hAnsi="Times New Roman" w:eastAsia="Times New Roman" w:cs="Times New Roman"/>
          <w:spacing w:val="7"/>
          <w:sz w:val="20"/>
          <w:szCs w:val="20"/>
        </w:rPr>
        <w:t>15.4.3</w:t>
      </w:r>
      <w:r>
        <w:rPr>
          <w:rFonts w:ascii="Times New Roman" w:hAnsi="Times New Roman" w:eastAsia="Times New Roman" w:cs="Times New Roman"/>
          <w:spacing w:val="17"/>
          <w:w w:val="101"/>
          <w:sz w:val="20"/>
          <w:szCs w:val="20"/>
        </w:rPr>
        <w:t xml:space="preserve">  </w:t>
      </w:r>
      <w:r>
        <w:rPr>
          <w:rFonts w:ascii="宋体" w:hAnsi="宋体" w:eastAsia="宋体" w:cs="宋体"/>
          <w:spacing w:val="7"/>
          <w:sz w:val="20"/>
          <w:szCs w:val="20"/>
        </w:rPr>
        <w:t>已标价工程量清单中无适用或类似子目的单价，可按照成本加利润的</w:t>
      </w:r>
      <w:r>
        <w:rPr>
          <w:rFonts w:ascii="宋体" w:hAnsi="宋体" w:eastAsia="宋体" w:cs="宋体"/>
          <w:spacing w:val="6"/>
          <w:sz w:val="20"/>
          <w:szCs w:val="20"/>
        </w:rPr>
        <w:t>原则，</w:t>
      </w:r>
      <w:r>
        <w:rPr>
          <w:rFonts w:ascii="宋体" w:hAnsi="宋体" w:eastAsia="宋体" w:cs="宋体"/>
          <w:spacing w:val="-57"/>
          <w:sz w:val="20"/>
          <w:szCs w:val="20"/>
        </w:rPr>
        <w:t xml:space="preserve"> </w:t>
      </w:r>
      <w:r>
        <w:rPr>
          <w:rFonts w:ascii="宋体" w:hAnsi="宋体" w:eastAsia="宋体" w:cs="宋体"/>
          <w:spacing w:val="6"/>
          <w:sz w:val="20"/>
          <w:szCs w:val="20"/>
        </w:rPr>
        <w:t>由监理人</w:t>
      </w:r>
      <w:r>
        <w:rPr>
          <w:rFonts w:ascii="宋体" w:hAnsi="宋体" w:eastAsia="宋体" w:cs="宋体"/>
          <w:spacing w:val="7"/>
          <w:sz w:val="20"/>
          <w:szCs w:val="20"/>
        </w:rPr>
        <w:t>按第</w:t>
      </w:r>
      <w:r>
        <w:rPr>
          <w:rFonts w:ascii="宋体" w:hAnsi="宋体" w:eastAsia="宋体" w:cs="宋体"/>
          <w:spacing w:val="-35"/>
          <w:sz w:val="20"/>
          <w:szCs w:val="20"/>
        </w:rPr>
        <w:t xml:space="preserve"> </w:t>
      </w:r>
      <w:r>
        <w:rPr>
          <w:rFonts w:ascii="Times New Roman" w:hAnsi="Times New Roman" w:eastAsia="Times New Roman" w:cs="Times New Roman"/>
          <w:spacing w:val="7"/>
          <w:sz w:val="20"/>
          <w:szCs w:val="20"/>
        </w:rPr>
        <w:t xml:space="preserve">3.5 </w:t>
      </w:r>
      <w:r>
        <w:rPr>
          <w:rFonts w:ascii="宋体" w:hAnsi="宋体" w:eastAsia="宋体" w:cs="宋体"/>
          <w:spacing w:val="7"/>
          <w:sz w:val="20"/>
          <w:szCs w:val="20"/>
        </w:rPr>
        <w:t>款商定或确定变更工作的单价。</w:t>
      </w:r>
    </w:p>
    <w:p w14:paraId="39F03B89">
      <w:pPr>
        <w:pStyle w:val="2"/>
        <w:spacing w:line="221" w:lineRule="auto"/>
        <w:ind w:left="20"/>
        <w:rPr>
          <w:sz w:val="24"/>
          <w:szCs w:val="24"/>
        </w:rPr>
      </w:pPr>
      <w:r>
        <w:rPr>
          <w:rFonts w:ascii="Times New Roman" w:hAnsi="Times New Roman" w:eastAsia="Times New Roman" w:cs="Times New Roman"/>
          <w:spacing w:val="-2"/>
          <w:sz w:val="24"/>
          <w:szCs w:val="24"/>
        </w:rPr>
        <w:t xml:space="preserve">15.5  </w:t>
      </w:r>
      <w:r>
        <w:rPr>
          <w:spacing w:val="-2"/>
          <w:sz w:val="24"/>
          <w:szCs w:val="24"/>
        </w:rPr>
        <w:t>承包人的合理化建议</w:t>
      </w:r>
    </w:p>
    <w:p w14:paraId="4E6B8CA4">
      <w:pPr>
        <w:spacing w:before="138" w:line="369" w:lineRule="auto"/>
        <w:ind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15.5.1  </w:t>
      </w:r>
      <w:r>
        <w:rPr>
          <w:rFonts w:ascii="宋体" w:hAnsi="宋体" w:eastAsia="宋体" w:cs="宋体"/>
          <w:spacing w:val="8"/>
          <w:sz w:val="20"/>
          <w:szCs w:val="20"/>
        </w:rPr>
        <w:t>在履行合同过程中，承包人对发包人提供的图纸、技术要求以及其他方面提出的合理</w:t>
      </w:r>
      <w:r>
        <w:rPr>
          <w:rFonts w:ascii="宋体" w:hAnsi="宋体" w:eastAsia="宋体" w:cs="宋体"/>
          <w:spacing w:val="10"/>
          <w:sz w:val="20"/>
          <w:szCs w:val="20"/>
        </w:rPr>
        <w:t>化建议，均应以书面形式提交监理人。合理化建议书的内容应包括建议工作</w:t>
      </w:r>
      <w:r>
        <w:rPr>
          <w:rFonts w:ascii="宋体" w:hAnsi="宋体" w:eastAsia="宋体" w:cs="宋体"/>
          <w:spacing w:val="9"/>
          <w:sz w:val="20"/>
          <w:szCs w:val="20"/>
        </w:rPr>
        <w:t>的详细说明、进度计</w:t>
      </w:r>
      <w:r>
        <w:rPr>
          <w:rFonts w:ascii="宋体" w:hAnsi="宋体" w:eastAsia="宋体" w:cs="宋体"/>
          <w:spacing w:val="7"/>
          <w:sz w:val="20"/>
          <w:szCs w:val="20"/>
        </w:rPr>
        <w:t>划和效益以及与其他工作的协调等，并附必要的设计文</w:t>
      </w:r>
      <w:r>
        <w:rPr>
          <w:rFonts w:ascii="宋体" w:hAnsi="宋体" w:eastAsia="宋体" w:cs="宋体"/>
          <w:spacing w:val="6"/>
          <w:sz w:val="20"/>
          <w:szCs w:val="20"/>
        </w:rPr>
        <w:t>件。监理人应与发包人协商是否采纳建议。</w:t>
      </w:r>
      <w:r>
        <w:rPr>
          <w:rFonts w:ascii="宋体" w:hAnsi="宋体" w:eastAsia="宋体" w:cs="宋体"/>
          <w:spacing w:val="7"/>
          <w:sz w:val="20"/>
          <w:szCs w:val="20"/>
        </w:rPr>
        <w:t>建议被采纳并构成变更的，应按第</w:t>
      </w:r>
      <w:r>
        <w:rPr>
          <w:rFonts w:ascii="宋体" w:hAnsi="宋体" w:eastAsia="宋体" w:cs="宋体"/>
          <w:spacing w:val="-10"/>
          <w:sz w:val="20"/>
          <w:szCs w:val="20"/>
        </w:rPr>
        <w:t xml:space="preserve"> </w:t>
      </w:r>
      <w:r>
        <w:rPr>
          <w:rFonts w:ascii="Times New Roman" w:hAnsi="Times New Roman" w:eastAsia="Times New Roman" w:cs="Times New Roman"/>
          <w:spacing w:val="7"/>
          <w:sz w:val="20"/>
          <w:szCs w:val="20"/>
        </w:rPr>
        <w:t>15.3.3</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项约定向承包人发出变更指示。</w:t>
      </w:r>
    </w:p>
    <w:p w14:paraId="72E42058">
      <w:pPr>
        <w:spacing w:before="1" w:line="357" w:lineRule="auto"/>
        <w:ind w:left="4" w:right="124" w:firstLine="432"/>
        <w:rPr>
          <w:rFonts w:ascii="宋体" w:hAnsi="宋体" w:eastAsia="宋体" w:cs="宋体"/>
          <w:sz w:val="20"/>
          <w:szCs w:val="20"/>
        </w:rPr>
      </w:pPr>
      <w:r>
        <w:rPr>
          <w:rFonts w:ascii="Times New Roman" w:hAnsi="Times New Roman" w:eastAsia="Times New Roman" w:cs="Times New Roman"/>
          <w:spacing w:val="7"/>
          <w:sz w:val="20"/>
          <w:szCs w:val="20"/>
        </w:rPr>
        <w:t xml:space="preserve">15.5.2  </w:t>
      </w:r>
      <w:r>
        <w:rPr>
          <w:rFonts w:ascii="宋体" w:hAnsi="宋体" w:eastAsia="宋体" w:cs="宋体"/>
          <w:spacing w:val="7"/>
          <w:sz w:val="20"/>
          <w:szCs w:val="20"/>
        </w:rPr>
        <w:t>承包人提出的合理化建议降低了合同价格、缩短了工期或者提高了工程经济效益的，</w:t>
      </w:r>
      <w:r>
        <w:rPr>
          <w:rFonts w:ascii="宋体" w:hAnsi="宋体" w:eastAsia="宋体" w:cs="宋体"/>
          <w:spacing w:val="9"/>
          <w:sz w:val="20"/>
          <w:szCs w:val="20"/>
        </w:rPr>
        <w:t>发包人可按国家有关规定在专用合同条款中约定给予奖励。</w:t>
      </w:r>
    </w:p>
    <w:p w14:paraId="4A3EF775">
      <w:pPr>
        <w:pStyle w:val="2"/>
        <w:spacing w:before="1" w:line="221" w:lineRule="auto"/>
        <w:ind w:left="20"/>
        <w:rPr>
          <w:sz w:val="24"/>
          <w:szCs w:val="24"/>
        </w:rPr>
      </w:pPr>
      <w:r>
        <w:rPr>
          <w:rFonts w:ascii="Times New Roman" w:hAnsi="Times New Roman" w:eastAsia="Times New Roman" w:cs="Times New Roman"/>
          <w:spacing w:val="-6"/>
          <w:sz w:val="24"/>
          <w:szCs w:val="24"/>
        </w:rPr>
        <w:t>15.6</w:t>
      </w:r>
      <w:r>
        <w:rPr>
          <w:rFonts w:ascii="Times New Roman" w:hAnsi="Times New Roman" w:eastAsia="Times New Roman" w:cs="Times New Roman"/>
          <w:spacing w:val="9"/>
          <w:sz w:val="24"/>
          <w:szCs w:val="24"/>
        </w:rPr>
        <w:t xml:space="preserve">  </w:t>
      </w:r>
      <w:r>
        <w:rPr>
          <w:spacing w:val="-6"/>
          <w:sz w:val="24"/>
          <w:szCs w:val="24"/>
        </w:rPr>
        <w:t>暂列金额</w:t>
      </w:r>
    </w:p>
    <w:p w14:paraId="7964BA91">
      <w:pPr>
        <w:spacing w:before="137" w:line="226" w:lineRule="auto"/>
        <w:ind w:left="427"/>
        <w:rPr>
          <w:rFonts w:ascii="宋体" w:hAnsi="宋体" w:eastAsia="宋体" w:cs="宋体"/>
          <w:sz w:val="20"/>
          <w:szCs w:val="20"/>
        </w:rPr>
      </w:pPr>
      <w:r>
        <w:rPr>
          <w:rFonts w:ascii="宋体" w:hAnsi="宋体" w:eastAsia="宋体" w:cs="宋体"/>
          <w:spacing w:val="9"/>
          <w:sz w:val="20"/>
          <w:szCs w:val="20"/>
        </w:rPr>
        <w:t>暂列金额只能按照监理人的指示使用，并对合同价格进行相应调整。</w:t>
      </w:r>
    </w:p>
    <w:p w14:paraId="3AEA538D">
      <w:pPr>
        <w:pStyle w:val="2"/>
        <w:spacing w:before="130" w:line="224" w:lineRule="auto"/>
        <w:ind w:left="20"/>
        <w:rPr>
          <w:sz w:val="24"/>
          <w:szCs w:val="24"/>
        </w:rPr>
      </w:pPr>
      <w:r>
        <w:rPr>
          <w:rFonts w:ascii="Times New Roman" w:hAnsi="Times New Roman" w:eastAsia="Times New Roman" w:cs="Times New Roman"/>
          <w:spacing w:val="-6"/>
          <w:sz w:val="24"/>
          <w:szCs w:val="24"/>
        </w:rPr>
        <w:t>15.7</w:t>
      </w:r>
      <w:r>
        <w:rPr>
          <w:rFonts w:ascii="Times New Roman" w:hAnsi="Times New Roman" w:eastAsia="Times New Roman" w:cs="Times New Roman"/>
          <w:spacing w:val="6"/>
          <w:sz w:val="24"/>
          <w:szCs w:val="24"/>
        </w:rPr>
        <w:t xml:space="preserve">  </w:t>
      </w:r>
      <w:r>
        <w:rPr>
          <w:spacing w:val="-6"/>
          <w:sz w:val="24"/>
          <w:szCs w:val="24"/>
        </w:rPr>
        <w:t>计日工</w:t>
      </w:r>
    </w:p>
    <w:p w14:paraId="14F91ED8">
      <w:pPr>
        <w:spacing w:before="136" w:line="368" w:lineRule="auto"/>
        <w:ind w:left="1" w:right="71" w:firstLine="435"/>
        <w:rPr>
          <w:rFonts w:ascii="宋体" w:hAnsi="宋体" w:eastAsia="宋体" w:cs="宋体"/>
          <w:sz w:val="20"/>
          <w:szCs w:val="20"/>
        </w:rPr>
      </w:pPr>
      <w:r>
        <w:rPr>
          <w:rFonts w:ascii="Times New Roman" w:hAnsi="Times New Roman" w:eastAsia="Times New Roman" w:cs="Times New Roman"/>
          <w:spacing w:val="8"/>
          <w:sz w:val="20"/>
          <w:szCs w:val="20"/>
        </w:rPr>
        <w:t xml:space="preserve">15.7.1  </w:t>
      </w:r>
      <w:r>
        <w:rPr>
          <w:rFonts w:ascii="宋体" w:hAnsi="宋体" w:eastAsia="宋体" w:cs="宋体"/>
          <w:spacing w:val="8"/>
          <w:sz w:val="20"/>
          <w:szCs w:val="20"/>
        </w:rPr>
        <w:t>发包人认为有必要时，由监理人通知承包人以计日工方式实施变更的零星工作。其价</w:t>
      </w:r>
      <w:r>
        <w:rPr>
          <w:rFonts w:ascii="宋体" w:hAnsi="宋体" w:eastAsia="宋体" w:cs="宋体"/>
          <w:spacing w:val="9"/>
          <w:sz w:val="20"/>
          <w:szCs w:val="20"/>
        </w:rPr>
        <w:t>款按列入已标价工程量清单中的计日工计价子目及其单价进行计算。</w:t>
      </w:r>
    </w:p>
    <w:p w14:paraId="47EC5B77">
      <w:pPr>
        <w:spacing w:before="1" w:line="369" w:lineRule="auto"/>
        <w:ind w:left="5" w:right="73" w:firstLine="431"/>
        <w:rPr>
          <w:rFonts w:ascii="宋体" w:hAnsi="宋体" w:eastAsia="宋体" w:cs="宋体"/>
          <w:sz w:val="20"/>
          <w:szCs w:val="20"/>
        </w:rPr>
      </w:pPr>
      <w:r>
        <w:rPr>
          <w:rFonts w:ascii="Times New Roman" w:hAnsi="Times New Roman" w:eastAsia="Times New Roman" w:cs="Times New Roman"/>
          <w:spacing w:val="8"/>
          <w:sz w:val="20"/>
          <w:szCs w:val="20"/>
        </w:rPr>
        <w:t xml:space="preserve">15.7.2  </w:t>
      </w:r>
      <w:r>
        <w:rPr>
          <w:rFonts w:ascii="宋体" w:hAnsi="宋体" w:eastAsia="宋体" w:cs="宋体"/>
          <w:spacing w:val="8"/>
          <w:sz w:val="20"/>
          <w:szCs w:val="20"/>
        </w:rPr>
        <w:t>采用计日工计价的任何一项变更工作，应从暂列金额中支付，承包人应在该项变更的</w:t>
      </w:r>
      <w:r>
        <w:rPr>
          <w:rFonts w:ascii="宋体" w:hAnsi="宋体" w:eastAsia="宋体" w:cs="宋体"/>
          <w:spacing w:val="9"/>
          <w:sz w:val="20"/>
          <w:szCs w:val="20"/>
        </w:rPr>
        <w:t>实施过程中，每天提交以下报表和有关凭证报送监理人审批：</w:t>
      </w:r>
    </w:p>
    <w:p w14:paraId="5B49D1B3">
      <w:pPr>
        <w:spacing w:line="227" w:lineRule="auto"/>
        <w:ind w:left="728"/>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1</w:t>
      </w:r>
      <w:r>
        <w:rPr>
          <w:rFonts w:ascii="宋体" w:hAnsi="宋体" w:eastAsia="宋体" w:cs="宋体"/>
          <w:spacing w:val="4"/>
          <w:sz w:val="20"/>
          <w:szCs w:val="20"/>
        </w:rPr>
        <w:t>）工作名称、</w:t>
      </w:r>
      <w:r>
        <w:rPr>
          <w:rFonts w:ascii="宋体" w:hAnsi="宋体" w:eastAsia="宋体" w:cs="宋体"/>
          <w:spacing w:val="-52"/>
          <w:sz w:val="20"/>
          <w:szCs w:val="20"/>
        </w:rPr>
        <w:t xml:space="preserve"> </w:t>
      </w:r>
      <w:r>
        <w:rPr>
          <w:rFonts w:ascii="宋体" w:hAnsi="宋体" w:eastAsia="宋体" w:cs="宋体"/>
          <w:spacing w:val="4"/>
          <w:sz w:val="20"/>
          <w:szCs w:val="20"/>
        </w:rPr>
        <w:t>内容和数量；</w:t>
      </w:r>
    </w:p>
    <w:p w14:paraId="0BBED5FC">
      <w:pPr>
        <w:spacing w:before="154" w:line="228" w:lineRule="auto"/>
        <w:ind w:left="7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）投入该工作所有人员的姓名、工种、级别和耗用工时；</w:t>
      </w:r>
    </w:p>
    <w:p w14:paraId="4320FA36">
      <w:pPr>
        <w:spacing w:before="154" w:line="227" w:lineRule="auto"/>
        <w:ind w:left="72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）投入该工作的材料类别和数量；</w:t>
      </w:r>
    </w:p>
    <w:p w14:paraId="109AB00E">
      <w:pPr>
        <w:spacing w:before="153" w:line="228" w:lineRule="auto"/>
        <w:ind w:left="7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）投入该工作的施工设备型号、台数和耗用台时；</w:t>
      </w:r>
    </w:p>
    <w:p w14:paraId="7B2A28E5">
      <w:pPr>
        <w:spacing w:before="153" w:line="228" w:lineRule="auto"/>
        <w:ind w:left="7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）监理人要求提交的其他资料和凭证。</w:t>
      </w:r>
    </w:p>
    <w:p w14:paraId="620C8D80">
      <w:pPr>
        <w:spacing w:before="154" w:line="357" w:lineRule="auto"/>
        <w:ind w:left="2" w:right="73" w:firstLine="434"/>
        <w:rPr>
          <w:rFonts w:ascii="宋体" w:hAnsi="宋体" w:eastAsia="宋体" w:cs="宋体"/>
          <w:sz w:val="20"/>
          <w:szCs w:val="20"/>
        </w:rPr>
      </w:pPr>
      <w:r>
        <w:rPr>
          <w:rFonts w:ascii="Times New Roman" w:hAnsi="Times New Roman" w:eastAsia="Times New Roman" w:cs="Times New Roman"/>
          <w:spacing w:val="7"/>
          <w:sz w:val="20"/>
          <w:szCs w:val="20"/>
        </w:rPr>
        <w:t xml:space="preserve">15.7.3  </w:t>
      </w:r>
      <w:r>
        <w:rPr>
          <w:rFonts w:ascii="宋体" w:hAnsi="宋体" w:eastAsia="宋体" w:cs="宋体"/>
          <w:spacing w:val="7"/>
          <w:sz w:val="20"/>
          <w:szCs w:val="20"/>
        </w:rPr>
        <w:t>计日工由承包人汇总后，按第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17.3.2 </w:t>
      </w:r>
      <w:r>
        <w:rPr>
          <w:rFonts w:ascii="宋体" w:hAnsi="宋体" w:eastAsia="宋体" w:cs="宋体"/>
          <w:spacing w:val="7"/>
          <w:sz w:val="20"/>
          <w:szCs w:val="20"/>
        </w:rPr>
        <w:t>项的约定列入进度付款申请单，由监理人复核并</w:t>
      </w:r>
      <w:r>
        <w:rPr>
          <w:rFonts w:ascii="宋体" w:hAnsi="宋体" w:eastAsia="宋体" w:cs="宋体"/>
          <w:spacing w:val="8"/>
          <w:sz w:val="20"/>
          <w:szCs w:val="20"/>
        </w:rPr>
        <w:t>经发包人同意后列入进度付款。</w:t>
      </w:r>
    </w:p>
    <w:p w14:paraId="4B65DB8C">
      <w:pPr>
        <w:pStyle w:val="2"/>
        <w:spacing w:line="221" w:lineRule="auto"/>
        <w:ind w:left="20"/>
        <w:rPr>
          <w:sz w:val="24"/>
          <w:szCs w:val="24"/>
        </w:rPr>
      </w:pPr>
      <w:r>
        <w:rPr>
          <w:rFonts w:ascii="Times New Roman" w:hAnsi="Times New Roman" w:eastAsia="Times New Roman" w:cs="Times New Roman"/>
          <w:spacing w:val="-7"/>
          <w:sz w:val="24"/>
          <w:szCs w:val="24"/>
        </w:rPr>
        <w:t>15.8</w:t>
      </w:r>
      <w:r>
        <w:rPr>
          <w:rFonts w:ascii="Times New Roman" w:hAnsi="Times New Roman" w:eastAsia="Times New Roman" w:cs="Times New Roman"/>
          <w:spacing w:val="9"/>
          <w:sz w:val="24"/>
          <w:szCs w:val="24"/>
        </w:rPr>
        <w:t xml:space="preserve">  </w:t>
      </w:r>
      <w:r>
        <w:rPr>
          <w:spacing w:val="-7"/>
          <w:sz w:val="24"/>
          <w:szCs w:val="24"/>
        </w:rPr>
        <w:t>暂估价</w:t>
      </w:r>
    </w:p>
    <w:p w14:paraId="1AD7AA2A">
      <w:pPr>
        <w:spacing w:before="139" w:line="369" w:lineRule="auto"/>
        <w:ind w:right="71"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15.8.1  </w:t>
      </w:r>
      <w:r>
        <w:rPr>
          <w:rFonts w:ascii="宋体" w:hAnsi="宋体" w:eastAsia="宋体" w:cs="宋体"/>
          <w:spacing w:val="8"/>
          <w:sz w:val="20"/>
          <w:szCs w:val="20"/>
        </w:rPr>
        <w:t>发包人在工程量清单中给定暂估价的材料、工程设备和专业工程属于依法必须招标的</w:t>
      </w:r>
      <w:r>
        <w:rPr>
          <w:rFonts w:ascii="宋体" w:hAnsi="宋体" w:eastAsia="宋体" w:cs="宋体"/>
          <w:spacing w:val="10"/>
          <w:sz w:val="20"/>
          <w:szCs w:val="20"/>
        </w:rPr>
        <w:t>范围并达到规定的规模标准的，由发包人和承包人以招标的方式选择供应</w:t>
      </w:r>
      <w:r>
        <w:rPr>
          <w:rFonts w:ascii="宋体" w:hAnsi="宋体" w:eastAsia="宋体" w:cs="宋体"/>
          <w:spacing w:val="9"/>
          <w:sz w:val="20"/>
          <w:szCs w:val="20"/>
        </w:rPr>
        <w:t>商或分包人。发包人和</w:t>
      </w:r>
      <w:r>
        <w:rPr>
          <w:rFonts w:ascii="宋体" w:hAnsi="宋体" w:eastAsia="宋体" w:cs="宋体"/>
          <w:spacing w:val="10"/>
          <w:sz w:val="20"/>
          <w:szCs w:val="20"/>
        </w:rPr>
        <w:t>承包人的权利义务关系在专用合同条款中约定。中标金额与工程量清单中</w:t>
      </w:r>
      <w:r>
        <w:rPr>
          <w:rFonts w:ascii="宋体" w:hAnsi="宋体" w:eastAsia="宋体" w:cs="宋体"/>
          <w:spacing w:val="9"/>
          <w:sz w:val="20"/>
          <w:szCs w:val="20"/>
        </w:rPr>
        <w:t>所列的暂估价的金额差</w:t>
      </w:r>
      <w:r>
        <w:rPr>
          <w:rFonts w:ascii="宋体" w:hAnsi="宋体" w:eastAsia="宋体" w:cs="宋体"/>
          <w:spacing w:val="8"/>
          <w:sz w:val="20"/>
          <w:szCs w:val="20"/>
        </w:rPr>
        <w:t>以及相应的税金等其他费用列入合同价格。</w:t>
      </w:r>
    </w:p>
    <w:p w14:paraId="6F167964">
      <w:pPr>
        <w:spacing w:before="1" w:line="369" w:lineRule="auto"/>
        <w:ind w:right="73"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15.8.2  </w:t>
      </w:r>
      <w:r>
        <w:rPr>
          <w:rFonts w:ascii="宋体" w:hAnsi="宋体" w:eastAsia="宋体" w:cs="宋体"/>
          <w:spacing w:val="8"/>
          <w:sz w:val="20"/>
          <w:szCs w:val="20"/>
        </w:rPr>
        <w:t>发包人在工程量清单中给定暂估价的材料和工程设备不属于依法必须招标的范围或未</w:t>
      </w:r>
      <w:r>
        <w:rPr>
          <w:rFonts w:ascii="宋体" w:hAnsi="宋体" w:eastAsia="宋体" w:cs="宋体"/>
          <w:spacing w:val="10"/>
          <w:sz w:val="20"/>
          <w:szCs w:val="20"/>
        </w:rPr>
        <w:t>达到规定的规模标准的，应由承包人按第</w:t>
      </w:r>
      <w:r>
        <w:rPr>
          <w:rFonts w:ascii="宋体" w:hAnsi="宋体" w:eastAsia="宋体" w:cs="宋体"/>
          <w:spacing w:val="-35"/>
          <w:sz w:val="20"/>
          <w:szCs w:val="20"/>
        </w:rPr>
        <w:t xml:space="preserve"> </w:t>
      </w:r>
      <w:r>
        <w:rPr>
          <w:rFonts w:ascii="Times New Roman" w:hAnsi="Times New Roman" w:eastAsia="Times New Roman" w:cs="Times New Roman"/>
          <w:spacing w:val="10"/>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款</w:t>
      </w:r>
      <w:r>
        <w:rPr>
          <w:rFonts w:ascii="宋体" w:hAnsi="宋体" w:eastAsia="宋体" w:cs="宋体"/>
          <w:spacing w:val="9"/>
          <w:sz w:val="20"/>
          <w:szCs w:val="20"/>
        </w:rPr>
        <w:t>的约定提供。经监理人确认的材料、工程设备的价格与工程量清单中所列的暂估价的金额差以及相应的税金等其他费用列入合同价格。</w:t>
      </w:r>
    </w:p>
    <w:p w14:paraId="0946CB0D">
      <w:pPr>
        <w:spacing w:before="1" w:line="370" w:lineRule="auto"/>
        <w:ind w:left="1" w:right="73" w:firstLine="435"/>
        <w:rPr>
          <w:rFonts w:ascii="宋体" w:hAnsi="宋体" w:eastAsia="宋体" w:cs="宋体"/>
          <w:sz w:val="20"/>
          <w:szCs w:val="20"/>
        </w:rPr>
      </w:pPr>
      <w:r>
        <w:rPr>
          <w:rFonts w:ascii="Times New Roman" w:hAnsi="Times New Roman" w:eastAsia="Times New Roman" w:cs="Times New Roman"/>
          <w:spacing w:val="8"/>
          <w:sz w:val="20"/>
          <w:szCs w:val="20"/>
        </w:rPr>
        <w:t xml:space="preserve">15.8.3  </w:t>
      </w:r>
      <w:r>
        <w:rPr>
          <w:rFonts w:ascii="宋体" w:hAnsi="宋体" w:eastAsia="宋体" w:cs="宋体"/>
          <w:spacing w:val="8"/>
          <w:sz w:val="20"/>
          <w:szCs w:val="20"/>
        </w:rPr>
        <w:t>发包人在工程量清单中给定暂估价的专业工程不属于依法必须招标的范围或未达到规</w:t>
      </w:r>
      <w:r>
        <w:rPr>
          <w:rFonts w:ascii="宋体" w:hAnsi="宋体" w:eastAsia="宋体" w:cs="宋体"/>
          <w:spacing w:val="7"/>
          <w:sz w:val="20"/>
          <w:szCs w:val="20"/>
        </w:rPr>
        <w:t>定的规模标准的，由监理人按照第</w:t>
      </w:r>
      <w:r>
        <w:rPr>
          <w:rFonts w:ascii="宋体" w:hAnsi="宋体" w:eastAsia="宋体" w:cs="宋体"/>
          <w:spacing w:val="-8"/>
          <w:sz w:val="20"/>
          <w:szCs w:val="20"/>
        </w:rPr>
        <w:t xml:space="preserve"> </w:t>
      </w:r>
      <w:r>
        <w:rPr>
          <w:rFonts w:ascii="Times New Roman" w:hAnsi="Times New Roman" w:eastAsia="Times New Roman" w:cs="Times New Roman"/>
          <w:spacing w:val="7"/>
          <w:sz w:val="20"/>
          <w:szCs w:val="20"/>
        </w:rPr>
        <w:t xml:space="preserve">15.4 </w:t>
      </w:r>
      <w:r>
        <w:rPr>
          <w:rFonts w:ascii="宋体" w:hAnsi="宋体" w:eastAsia="宋体" w:cs="宋体"/>
          <w:spacing w:val="7"/>
          <w:sz w:val="20"/>
          <w:szCs w:val="20"/>
        </w:rPr>
        <w:t>款进行估价，但专用合同条款另有约定的除外。经估价的</w:t>
      </w:r>
      <w:r>
        <w:rPr>
          <w:rFonts w:ascii="宋体" w:hAnsi="宋体" w:eastAsia="宋体" w:cs="宋体"/>
          <w:spacing w:val="9"/>
          <w:sz w:val="20"/>
          <w:szCs w:val="20"/>
        </w:rPr>
        <w:t>专业工程与工程量清单中所列的暂估价的金额差以及相应的税金等其他费用列入合同价格。</w:t>
      </w:r>
    </w:p>
    <w:p w14:paraId="7D0AF90B">
      <w:pPr>
        <w:spacing w:line="370" w:lineRule="auto"/>
        <w:rPr>
          <w:rFonts w:ascii="宋体" w:hAnsi="宋体" w:eastAsia="宋体" w:cs="宋体"/>
          <w:sz w:val="20"/>
          <w:szCs w:val="20"/>
        </w:rPr>
        <w:sectPr>
          <w:footerReference r:id="rId181" w:type="default"/>
          <w:pgSz w:w="11906" w:h="16839"/>
          <w:pgMar w:top="400" w:right="1483" w:bottom="1038" w:left="1538" w:header="0" w:footer="787" w:gutter="0"/>
          <w:cols w:space="720" w:num="1"/>
        </w:sectPr>
      </w:pPr>
    </w:p>
    <w:p w14:paraId="15FD938B">
      <w:pPr>
        <w:spacing w:line="250" w:lineRule="auto"/>
        <w:rPr>
          <w:rFonts w:ascii="Arial"/>
          <w:sz w:val="21"/>
        </w:rPr>
      </w:pPr>
    </w:p>
    <w:p w14:paraId="259FD681">
      <w:pPr>
        <w:spacing w:line="250" w:lineRule="auto"/>
        <w:rPr>
          <w:rFonts w:ascii="Arial"/>
          <w:sz w:val="21"/>
        </w:rPr>
      </w:pPr>
    </w:p>
    <w:p w14:paraId="7472B955">
      <w:pPr>
        <w:spacing w:line="250" w:lineRule="auto"/>
        <w:rPr>
          <w:rFonts w:ascii="Arial"/>
          <w:sz w:val="21"/>
        </w:rPr>
      </w:pPr>
    </w:p>
    <w:p w14:paraId="29EB7D26">
      <w:pPr>
        <w:spacing w:line="250" w:lineRule="auto"/>
        <w:rPr>
          <w:rFonts w:ascii="Arial"/>
          <w:sz w:val="21"/>
        </w:rPr>
      </w:pPr>
    </w:p>
    <w:p w14:paraId="0AA548BB">
      <w:pPr>
        <w:pStyle w:val="2"/>
        <w:spacing w:before="91" w:line="222" w:lineRule="auto"/>
        <w:ind w:left="26"/>
        <w:outlineLvl w:val="2"/>
        <w:rPr>
          <w:sz w:val="28"/>
          <w:szCs w:val="28"/>
        </w:rPr>
      </w:pPr>
      <w:bookmarkStart w:id="229" w:name="bookmark210"/>
      <w:bookmarkEnd w:id="229"/>
      <w:r>
        <w:rPr>
          <w:rFonts w:ascii="Times New Roman" w:hAnsi="Times New Roman" w:eastAsia="Times New Roman" w:cs="Times New Roman"/>
          <w:spacing w:val="-4"/>
          <w:sz w:val="28"/>
          <w:szCs w:val="28"/>
        </w:rPr>
        <w:t xml:space="preserve">16.  </w:t>
      </w:r>
      <w:r>
        <w:rPr>
          <w:spacing w:val="-4"/>
          <w:sz w:val="28"/>
          <w:szCs w:val="28"/>
        </w:rPr>
        <w:t>价格调整</w:t>
      </w:r>
    </w:p>
    <w:p w14:paraId="29ED489D">
      <w:pPr>
        <w:pStyle w:val="2"/>
        <w:spacing w:before="98" w:line="222" w:lineRule="auto"/>
        <w:ind w:left="21"/>
        <w:rPr>
          <w:sz w:val="24"/>
          <w:szCs w:val="24"/>
        </w:rPr>
      </w:pPr>
      <w:r>
        <w:rPr>
          <w:rFonts w:ascii="Times New Roman" w:hAnsi="Times New Roman" w:eastAsia="Times New Roman" w:cs="Times New Roman"/>
          <w:spacing w:val="-2"/>
          <w:sz w:val="24"/>
          <w:szCs w:val="24"/>
        </w:rPr>
        <w:t xml:space="preserve">16.1  </w:t>
      </w:r>
      <w:r>
        <w:rPr>
          <w:spacing w:val="-2"/>
          <w:sz w:val="24"/>
          <w:szCs w:val="24"/>
        </w:rPr>
        <w:t>物价波动引起的价格调整</w:t>
      </w:r>
    </w:p>
    <w:p w14:paraId="7B04B30B">
      <w:pPr>
        <w:spacing w:before="137" w:line="226" w:lineRule="auto"/>
        <w:ind w:left="434"/>
        <w:rPr>
          <w:rFonts w:ascii="宋体" w:hAnsi="宋体" w:eastAsia="宋体" w:cs="宋体"/>
          <w:sz w:val="20"/>
          <w:szCs w:val="20"/>
        </w:rPr>
      </w:pPr>
      <w:r>
        <w:rPr>
          <w:rFonts w:ascii="宋体" w:hAnsi="宋体" w:eastAsia="宋体" w:cs="宋体"/>
          <w:spacing w:val="9"/>
          <w:sz w:val="20"/>
          <w:szCs w:val="20"/>
        </w:rPr>
        <w:t>除专用合同条款另有约定外，因物价波动引起的价格调整按照本款约定处理。</w:t>
      </w:r>
    </w:p>
    <w:p w14:paraId="4D31E206">
      <w:pPr>
        <w:pStyle w:val="2"/>
        <w:spacing w:before="155" w:line="230" w:lineRule="auto"/>
        <w:ind w:left="437"/>
        <w:rPr>
          <w:sz w:val="20"/>
          <w:szCs w:val="20"/>
        </w:rPr>
      </w:pPr>
      <w:r>
        <w:rPr>
          <w:rFonts w:ascii="Times New Roman" w:hAnsi="Times New Roman" w:eastAsia="Times New Roman" w:cs="Times New Roman"/>
          <w:spacing w:val="4"/>
          <w:sz w:val="20"/>
          <w:szCs w:val="20"/>
        </w:rPr>
        <w:t>16.</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pacing w:val="4"/>
          <w:sz w:val="20"/>
          <w:szCs w:val="20"/>
        </w:rPr>
        <w:t xml:space="preserve">1.1  </w:t>
      </w:r>
      <w:r>
        <w:rPr>
          <w:spacing w:val="4"/>
          <w:sz w:val="20"/>
          <w:szCs w:val="20"/>
        </w:rPr>
        <w:t>采用价格指数调整价格差额</w:t>
      </w:r>
    </w:p>
    <w:p w14:paraId="11486714">
      <w:pPr>
        <w:spacing w:before="149" w:line="226" w:lineRule="auto"/>
        <w:ind w:left="437"/>
        <w:rPr>
          <w:rFonts w:ascii="宋体" w:hAnsi="宋体" w:eastAsia="宋体" w:cs="宋体"/>
          <w:sz w:val="20"/>
          <w:szCs w:val="20"/>
        </w:rPr>
      </w:pPr>
      <w:r>
        <w:rPr>
          <w:rFonts w:ascii="Times New Roman" w:hAnsi="Times New Roman" w:eastAsia="Times New Roman" w:cs="Times New Roman"/>
          <w:spacing w:val="1"/>
          <w:sz w:val="20"/>
          <w:szCs w:val="20"/>
        </w:rPr>
        <w:t>16.</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1"/>
          <w:sz w:val="20"/>
          <w:szCs w:val="20"/>
        </w:rPr>
        <w:t>1.1.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 xml:space="preserve">1  </w:t>
      </w:r>
      <w:r>
        <w:rPr>
          <w:rFonts w:ascii="宋体" w:hAnsi="宋体" w:eastAsia="宋体" w:cs="宋体"/>
          <w:spacing w:val="1"/>
          <w:sz w:val="20"/>
          <w:szCs w:val="20"/>
        </w:rPr>
        <w:t>价格调整公式</w:t>
      </w:r>
    </w:p>
    <w:p w14:paraId="556CEF60">
      <w:pPr>
        <w:spacing w:before="155" w:line="371" w:lineRule="auto"/>
        <w:ind w:left="6" w:firstLine="431"/>
        <w:rPr>
          <w:rFonts w:ascii="宋体" w:hAnsi="宋体" w:eastAsia="宋体" w:cs="宋体"/>
          <w:sz w:val="20"/>
          <w:szCs w:val="20"/>
        </w:rPr>
      </w:pPr>
      <w:r>
        <w:rPr>
          <w:rFonts w:ascii="宋体" w:hAnsi="宋体" w:eastAsia="宋体" w:cs="宋体"/>
          <w:spacing w:val="9"/>
          <w:sz w:val="20"/>
          <w:szCs w:val="20"/>
        </w:rPr>
        <w:t>因人工、材料和设备等价格波动影响合同价格时，根据投标函附录中的价格指数和权重表约</w:t>
      </w:r>
      <w:r>
        <w:rPr>
          <w:rFonts w:ascii="宋体" w:hAnsi="宋体" w:eastAsia="宋体" w:cs="宋体"/>
          <w:spacing w:val="8"/>
          <w:sz w:val="20"/>
          <w:szCs w:val="20"/>
        </w:rPr>
        <w:t>定的数据，按以下公式计算差额并调整合同价格。</w:t>
      </w:r>
    </w:p>
    <w:p w14:paraId="423E54DF">
      <w:pPr>
        <w:spacing w:line="393" w:lineRule="auto"/>
        <w:rPr>
          <w:rFonts w:ascii="Arial"/>
          <w:sz w:val="21"/>
        </w:rPr>
      </w:pPr>
    </w:p>
    <w:p w14:paraId="667FEA3A">
      <w:pPr>
        <w:spacing w:line="743" w:lineRule="exact"/>
        <w:ind w:left="1550"/>
      </w:pPr>
      <w:r>
        <w:rPr>
          <w:position w:val="-15"/>
        </w:rPr>
        <w:drawing>
          <wp:inline distT="0" distB="0" distL="0" distR="0">
            <wp:extent cx="4007485" cy="47180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563"/>
                    <a:stretch>
                      <a:fillRect/>
                    </a:stretch>
                  </pic:blipFill>
                  <pic:spPr>
                    <a:xfrm>
                      <a:off x="0" y="0"/>
                      <a:ext cx="4007973" cy="471989"/>
                    </a:xfrm>
                    <a:prstGeom prst="rect">
                      <a:avLst/>
                    </a:prstGeom>
                  </pic:spPr>
                </pic:pic>
              </a:graphicData>
            </a:graphic>
          </wp:inline>
        </w:drawing>
      </w:r>
    </w:p>
    <w:p w14:paraId="03C83FB4">
      <w:pPr>
        <w:spacing w:line="390" w:lineRule="auto"/>
        <w:rPr>
          <w:rFonts w:ascii="Arial"/>
          <w:sz w:val="21"/>
        </w:rPr>
      </w:pPr>
    </w:p>
    <w:p w14:paraId="08E79149">
      <w:pPr>
        <w:spacing w:before="66" w:line="226" w:lineRule="auto"/>
        <w:ind w:left="425"/>
        <w:rPr>
          <w:rFonts w:ascii="宋体" w:hAnsi="宋体" w:eastAsia="宋体" w:cs="宋体"/>
          <w:sz w:val="20"/>
          <w:szCs w:val="20"/>
        </w:rPr>
      </w:pPr>
      <w:r>
        <w:rPr>
          <w:rFonts w:ascii="宋体" w:hAnsi="宋体" w:eastAsia="宋体" w:cs="宋体"/>
          <w:spacing w:val="3"/>
          <w:sz w:val="20"/>
          <w:szCs w:val="20"/>
        </w:rPr>
        <w:t>式中：</w:t>
      </w:r>
      <w:r>
        <w:rPr>
          <w:rFonts w:ascii="宋体" w:hAnsi="宋体" w:eastAsia="宋体" w:cs="宋体"/>
          <w:spacing w:val="42"/>
          <w:sz w:val="20"/>
          <w:szCs w:val="20"/>
        </w:rPr>
        <w:t xml:space="preserve"> </w:t>
      </w:r>
      <w:r>
        <w:rPr>
          <w:rFonts w:ascii="宋体" w:hAnsi="宋体" w:eastAsia="宋体" w:cs="宋体"/>
          <w:spacing w:val="3"/>
          <w:sz w:val="20"/>
          <w:szCs w:val="20"/>
        </w:rPr>
        <w:t>△</w:t>
      </w:r>
      <w:r>
        <w:rPr>
          <w:rFonts w:ascii="Times New Roman" w:hAnsi="Times New Roman" w:eastAsia="Times New Roman" w:cs="Times New Roman"/>
          <w:spacing w:val="3"/>
          <w:sz w:val="20"/>
          <w:szCs w:val="20"/>
        </w:rPr>
        <w:t>P --</w:t>
      </w:r>
      <w:r>
        <w:rPr>
          <w:rFonts w:ascii="Times New Roman" w:hAnsi="Times New Roman" w:eastAsia="Times New Roman" w:cs="Times New Roman"/>
          <w:spacing w:val="14"/>
          <w:sz w:val="20"/>
          <w:szCs w:val="20"/>
        </w:rPr>
        <w:t xml:space="preserve">  </w:t>
      </w:r>
      <w:r>
        <w:rPr>
          <w:rFonts w:ascii="宋体" w:hAnsi="宋体" w:eastAsia="宋体" w:cs="宋体"/>
          <w:spacing w:val="3"/>
          <w:sz w:val="20"/>
          <w:szCs w:val="20"/>
        </w:rPr>
        <w:t>需调整的价格差额；</w:t>
      </w:r>
    </w:p>
    <w:p w14:paraId="693933DB">
      <w:pPr>
        <w:spacing w:before="157" w:line="369" w:lineRule="auto"/>
        <w:ind w:left="3" w:firstLine="1253"/>
        <w:jc w:val="both"/>
        <w:rPr>
          <w:rFonts w:ascii="宋体" w:hAnsi="宋体" w:eastAsia="宋体" w:cs="宋体"/>
          <w:sz w:val="20"/>
          <w:szCs w:val="20"/>
        </w:rPr>
      </w:pPr>
      <w:r>
        <w:rPr>
          <w:rFonts w:ascii="Times New Roman" w:hAnsi="Times New Roman" w:eastAsia="Times New Roman" w:cs="Times New Roman"/>
          <w:spacing w:val="3"/>
          <w:sz w:val="20"/>
          <w:szCs w:val="20"/>
        </w:rPr>
        <w:t>P</w:t>
      </w:r>
      <w:r>
        <w:rPr>
          <w:rFonts w:ascii="Times New Roman" w:hAnsi="Times New Roman" w:eastAsia="Times New Roman" w:cs="Times New Roman"/>
          <w:spacing w:val="3"/>
          <w:position w:val="-1"/>
          <w:sz w:val="13"/>
          <w:szCs w:val="13"/>
        </w:rPr>
        <w:t>0</w:t>
      </w:r>
      <w:r>
        <w:rPr>
          <w:rFonts w:ascii="Times New Roman" w:hAnsi="Times New Roman" w:eastAsia="Times New Roman" w:cs="Times New Roman"/>
          <w:spacing w:val="36"/>
          <w:w w:val="102"/>
          <w:position w:val="-1"/>
          <w:sz w:val="13"/>
          <w:szCs w:val="13"/>
        </w:rPr>
        <w:t xml:space="preserve"> </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17.3.3</w:t>
      </w:r>
      <w:r>
        <w:rPr>
          <w:rFonts w:ascii="Times New Roman" w:hAnsi="Times New Roman" w:eastAsia="Times New Roman" w:cs="Times New Roman"/>
          <w:spacing w:val="15"/>
          <w:w w:val="101"/>
          <w:sz w:val="20"/>
          <w:szCs w:val="20"/>
        </w:rPr>
        <w:t xml:space="preserve"> </w:t>
      </w:r>
      <w:r>
        <w:rPr>
          <w:rFonts w:ascii="宋体" w:hAnsi="宋体" w:eastAsia="宋体" w:cs="宋体"/>
          <w:spacing w:val="3"/>
          <w:sz w:val="20"/>
          <w:szCs w:val="20"/>
        </w:rPr>
        <w:t>项、第</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17.5.2</w:t>
      </w:r>
      <w:r>
        <w:rPr>
          <w:rFonts w:ascii="Times New Roman" w:hAnsi="Times New Roman" w:eastAsia="Times New Roman" w:cs="Times New Roman"/>
          <w:spacing w:val="15"/>
          <w:w w:val="101"/>
          <w:sz w:val="20"/>
          <w:szCs w:val="20"/>
        </w:rPr>
        <w:t xml:space="preserve"> </w:t>
      </w:r>
      <w:r>
        <w:rPr>
          <w:rFonts w:ascii="宋体" w:hAnsi="宋体" w:eastAsia="宋体" w:cs="宋体"/>
          <w:spacing w:val="3"/>
          <w:sz w:val="20"/>
          <w:szCs w:val="20"/>
        </w:rPr>
        <w:t>项和第</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17.6.2</w:t>
      </w:r>
      <w:r>
        <w:rPr>
          <w:rFonts w:ascii="Times New Roman" w:hAnsi="Times New Roman" w:eastAsia="Times New Roman" w:cs="Times New Roman"/>
          <w:spacing w:val="15"/>
          <w:w w:val="101"/>
          <w:sz w:val="20"/>
          <w:szCs w:val="20"/>
        </w:rPr>
        <w:t xml:space="preserve"> </w:t>
      </w:r>
      <w:r>
        <w:rPr>
          <w:rFonts w:ascii="宋体" w:hAnsi="宋体" w:eastAsia="宋体" w:cs="宋体"/>
          <w:spacing w:val="3"/>
          <w:sz w:val="20"/>
          <w:szCs w:val="20"/>
        </w:rPr>
        <w:t>项约定的付款证书中承包人应得到的已完</w:t>
      </w:r>
      <w:r>
        <w:rPr>
          <w:rFonts w:ascii="宋体" w:hAnsi="宋体" w:eastAsia="宋体" w:cs="宋体"/>
          <w:spacing w:val="10"/>
          <w:sz w:val="20"/>
          <w:szCs w:val="20"/>
        </w:rPr>
        <w:t>成工程量的金额。此项金额应不包括价格调整、不计质量保证金的扣留</w:t>
      </w:r>
      <w:r>
        <w:rPr>
          <w:rFonts w:ascii="宋体" w:hAnsi="宋体" w:eastAsia="宋体" w:cs="宋体"/>
          <w:spacing w:val="9"/>
          <w:sz w:val="20"/>
          <w:szCs w:val="20"/>
        </w:rPr>
        <w:t>和支付、预付款的支付和</w:t>
      </w:r>
      <w:r>
        <w:rPr>
          <w:rFonts w:ascii="宋体" w:hAnsi="宋体" w:eastAsia="宋体" w:cs="宋体"/>
          <w:spacing w:val="8"/>
          <w:sz w:val="20"/>
          <w:szCs w:val="20"/>
        </w:rPr>
        <w:t>扣回。第</w:t>
      </w:r>
      <w:r>
        <w:rPr>
          <w:rFonts w:ascii="宋体" w:hAnsi="宋体" w:eastAsia="宋体" w:cs="宋体"/>
          <w:spacing w:val="-21"/>
          <w:sz w:val="20"/>
          <w:szCs w:val="20"/>
        </w:rPr>
        <w:t xml:space="preserve"> </w:t>
      </w:r>
      <w:r>
        <w:rPr>
          <w:rFonts w:ascii="Times New Roman" w:hAnsi="Times New Roman" w:eastAsia="Times New Roman" w:cs="Times New Roman"/>
          <w:spacing w:val="8"/>
          <w:sz w:val="20"/>
          <w:szCs w:val="20"/>
        </w:rPr>
        <w:t xml:space="preserve">15 </w:t>
      </w:r>
      <w:r>
        <w:rPr>
          <w:rFonts w:ascii="宋体" w:hAnsi="宋体" w:eastAsia="宋体" w:cs="宋体"/>
          <w:spacing w:val="8"/>
          <w:sz w:val="20"/>
          <w:szCs w:val="20"/>
        </w:rPr>
        <w:t>条约定的变更及其他金额已按现行价格计价的，也不计在内；</w:t>
      </w:r>
    </w:p>
    <w:p w14:paraId="1C314675">
      <w:pPr>
        <w:spacing w:line="227" w:lineRule="auto"/>
        <w:ind w:left="1255"/>
        <w:rPr>
          <w:rFonts w:ascii="宋体" w:hAnsi="宋体" w:eastAsia="宋体" w:cs="宋体"/>
          <w:sz w:val="20"/>
          <w:szCs w:val="20"/>
        </w:rPr>
      </w:pPr>
      <w:r>
        <w:rPr>
          <w:rFonts w:ascii="Times New Roman" w:hAnsi="Times New Roman" w:eastAsia="Times New Roman" w:cs="Times New Roman"/>
          <w:spacing w:val="7"/>
          <w:sz w:val="20"/>
          <w:szCs w:val="20"/>
        </w:rPr>
        <w:t xml:space="preserve">A --  </w:t>
      </w:r>
      <w:r>
        <w:rPr>
          <w:rFonts w:ascii="宋体" w:hAnsi="宋体" w:eastAsia="宋体" w:cs="宋体"/>
          <w:spacing w:val="7"/>
          <w:sz w:val="20"/>
          <w:szCs w:val="20"/>
        </w:rPr>
        <w:t>定值权重（即不调部分的权重</w:t>
      </w:r>
      <w:r>
        <w:rPr>
          <w:rFonts w:ascii="宋体" w:hAnsi="宋体" w:eastAsia="宋体" w:cs="宋体"/>
          <w:spacing w:val="-54"/>
          <w:sz w:val="20"/>
          <w:szCs w:val="20"/>
        </w:rPr>
        <w:t>）；</w:t>
      </w:r>
    </w:p>
    <w:p w14:paraId="788CB7EA">
      <w:pPr>
        <w:spacing w:before="152" w:line="367" w:lineRule="auto"/>
        <w:ind w:left="2" w:right="2" w:firstLine="1254"/>
        <w:rPr>
          <w:rFonts w:ascii="宋体" w:hAnsi="宋体" w:eastAsia="宋体" w:cs="宋体"/>
          <w:sz w:val="20"/>
          <w:szCs w:val="20"/>
        </w:rPr>
      </w:pPr>
      <w:r>
        <w:rPr>
          <w:rFonts w:ascii="Times New Roman" w:hAnsi="Times New Roman" w:eastAsia="Times New Roman" w:cs="Times New Roman"/>
          <w:spacing w:val="-15"/>
          <w:sz w:val="20"/>
          <w:szCs w:val="20"/>
        </w:rPr>
        <w:t>B</w:t>
      </w:r>
      <w:r>
        <w:rPr>
          <w:rFonts w:ascii="Times New Roman" w:hAnsi="Times New Roman" w:eastAsia="Times New Roman" w:cs="Times New Roman"/>
          <w:spacing w:val="-15"/>
          <w:sz w:val="13"/>
          <w:szCs w:val="13"/>
        </w:rPr>
        <w:t>1</w:t>
      </w:r>
      <w:r>
        <w:rPr>
          <w:rFonts w:ascii="Times New Roman" w:hAnsi="Times New Roman" w:eastAsia="Times New Roman" w:cs="Times New Roman"/>
          <w:spacing w:val="-15"/>
          <w:sz w:val="14"/>
          <w:szCs w:val="14"/>
        </w:rPr>
        <w:t>;</w:t>
      </w:r>
      <w:r>
        <w:rPr>
          <w:rFonts w:ascii="Times New Roman" w:hAnsi="Times New Roman" w:eastAsia="Times New Roman" w:cs="Times New Roman"/>
          <w:spacing w:val="34"/>
          <w:w w:val="102"/>
          <w:sz w:val="14"/>
          <w:szCs w:val="14"/>
        </w:rPr>
        <w:t xml:space="preserve"> </w:t>
      </w:r>
      <w:r>
        <w:rPr>
          <w:rFonts w:ascii="Times New Roman" w:hAnsi="Times New Roman" w:eastAsia="Times New Roman" w:cs="Times New Roman"/>
          <w:spacing w:val="-15"/>
          <w:sz w:val="20"/>
          <w:szCs w:val="20"/>
        </w:rPr>
        <w:t>B</w:t>
      </w:r>
      <w:r>
        <w:rPr>
          <w:rFonts w:ascii="Times New Roman" w:hAnsi="Times New Roman" w:eastAsia="Times New Roman" w:cs="Times New Roman"/>
          <w:spacing w:val="-15"/>
          <w:position w:val="-1"/>
          <w:sz w:val="13"/>
          <w:szCs w:val="13"/>
        </w:rPr>
        <w:t xml:space="preserve">2  </w:t>
      </w:r>
      <w:r>
        <w:rPr>
          <w:rFonts w:ascii="Times New Roman" w:hAnsi="Times New Roman" w:eastAsia="Times New Roman" w:cs="Times New Roman"/>
          <w:spacing w:val="-15"/>
          <w:sz w:val="20"/>
          <w:szCs w:val="20"/>
        </w:rPr>
        <w:t>;B</w:t>
      </w:r>
      <w:r>
        <w:rPr>
          <w:rFonts w:ascii="Times New Roman" w:hAnsi="Times New Roman" w:eastAsia="Times New Roman" w:cs="Times New Roman"/>
          <w:spacing w:val="-15"/>
          <w:sz w:val="13"/>
          <w:szCs w:val="13"/>
        </w:rPr>
        <w:t>3</w:t>
      </w:r>
      <w:r>
        <w:rPr>
          <w:rFonts w:ascii="宋体" w:hAnsi="宋体" w:eastAsia="宋体" w:cs="宋体"/>
          <w:spacing w:val="-15"/>
          <w:sz w:val="14"/>
          <w:szCs w:val="14"/>
        </w:rPr>
        <w:t>·····</w:t>
      </w:r>
      <w:r>
        <w:rPr>
          <w:rFonts w:ascii="Times New Roman" w:hAnsi="Times New Roman" w:eastAsia="Times New Roman" w:cs="Times New Roman"/>
          <w:spacing w:val="-15"/>
          <w:sz w:val="20"/>
          <w:szCs w:val="20"/>
        </w:rPr>
        <w:t>B</w:t>
      </w:r>
      <w:r>
        <w:rPr>
          <w:rFonts w:ascii="Times New Roman" w:hAnsi="Times New Roman" w:eastAsia="Times New Roman" w:cs="Times New Roman"/>
          <w:spacing w:val="-15"/>
          <w:position w:val="-1"/>
          <w:sz w:val="13"/>
          <w:szCs w:val="13"/>
        </w:rPr>
        <w:t>n</w:t>
      </w:r>
      <w:r>
        <w:rPr>
          <w:rFonts w:ascii="Times New Roman" w:hAnsi="Times New Roman" w:eastAsia="Times New Roman" w:cs="Times New Roman"/>
          <w:spacing w:val="27"/>
          <w:w w:val="102"/>
          <w:position w:val="-1"/>
          <w:sz w:val="13"/>
          <w:szCs w:val="13"/>
        </w:rPr>
        <w:t xml:space="preserve"> </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rPr>
        <w:t>各可调因子的变值权重（即可调部分的权重）为各可调因子在投</w:t>
      </w:r>
      <w:r>
        <w:rPr>
          <w:rFonts w:ascii="宋体" w:hAnsi="宋体" w:eastAsia="宋体" w:cs="宋体"/>
          <w:spacing w:val="8"/>
          <w:sz w:val="20"/>
          <w:szCs w:val="20"/>
        </w:rPr>
        <w:t>标函投标总报价中所占的比例；</w:t>
      </w:r>
    </w:p>
    <w:p w14:paraId="3BCCACD0">
      <w:pPr>
        <w:spacing w:before="6" w:line="221" w:lineRule="auto"/>
        <w:ind w:right="33"/>
        <w:jc w:val="right"/>
        <w:rPr>
          <w:rFonts w:ascii="宋体" w:hAnsi="宋体" w:eastAsia="宋体" w:cs="宋体"/>
          <w:sz w:val="20"/>
          <w:szCs w:val="20"/>
        </w:rPr>
      </w:pPr>
      <w:r>
        <w:rPr>
          <w:rFonts w:ascii="Times New Roman" w:hAnsi="Times New Roman" w:eastAsia="Times New Roman" w:cs="Times New Roman"/>
          <w:spacing w:val="-18"/>
          <w:sz w:val="20"/>
          <w:szCs w:val="20"/>
        </w:rPr>
        <w:t>F</w:t>
      </w:r>
      <w:r>
        <w:rPr>
          <w:rFonts w:ascii="Times New Roman" w:hAnsi="Times New Roman" w:eastAsia="Times New Roman" w:cs="Times New Roman"/>
          <w:spacing w:val="-18"/>
          <w:position w:val="-1"/>
          <w:sz w:val="13"/>
          <w:szCs w:val="13"/>
        </w:rPr>
        <w:t>t1</w:t>
      </w:r>
      <w:r>
        <w:rPr>
          <w:rFonts w:ascii="Times New Roman" w:hAnsi="Times New Roman" w:eastAsia="Times New Roman" w:cs="Times New Roman"/>
          <w:spacing w:val="2"/>
          <w:position w:val="-1"/>
          <w:sz w:val="13"/>
          <w:szCs w:val="13"/>
        </w:rPr>
        <w:t xml:space="preserve">  </w:t>
      </w:r>
      <w:r>
        <w:rPr>
          <w:rFonts w:ascii="Times New Roman" w:hAnsi="Times New Roman" w:eastAsia="Times New Roman" w:cs="Times New Roman"/>
          <w:spacing w:val="-18"/>
          <w:sz w:val="20"/>
          <w:szCs w:val="20"/>
        </w:rPr>
        <w:t>;F</w:t>
      </w:r>
      <w:r>
        <w:rPr>
          <w:rFonts w:ascii="Times New Roman" w:hAnsi="Times New Roman" w:eastAsia="Times New Roman" w:cs="Times New Roman"/>
          <w:spacing w:val="-18"/>
          <w:position w:val="-1"/>
          <w:sz w:val="13"/>
          <w:szCs w:val="13"/>
        </w:rPr>
        <w:t>t2</w:t>
      </w:r>
      <w:r>
        <w:rPr>
          <w:rFonts w:ascii="Times New Roman" w:hAnsi="Times New Roman" w:eastAsia="Times New Roman" w:cs="Times New Roman"/>
          <w:spacing w:val="1"/>
          <w:position w:val="-1"/>
          <w:sz w:val="13"/>
          <w:szCs w:val="13"/>
        </w:rPr>
        <w:t xml:space="preserve">  </w:t>
      </w:r>
      <w:r>
        <w:rPr>
          <w:rFonts w:ascii="Times New Roman" w:hAnsi="Times New Roman" w:eastAsia="Times New Roman" w:cs="Times New Roman"/>
          <w:spacing w:val="-18"/>
          <w:sz w:val="20"/>
          <w:szCs w:val="20"/>
        </w:rPr>
        <w:t>;F</w:t>
      </w:r>
      <w:r>
        <w:rPr>
          <w:rFonts w:ascii="Times New Roman" w:hAnsi="Times New Roman" w:eastAsia="Times New Roman" w:cs="Times New Roman"/>
          <w:spacing w:val="-18"/>
          <w:position w:val="-1"/>
          <w:sz w:val="13"/>
          <w:szCs w:val="13"/>
        </w:rPr>
        <w:t xml:space="preserve">t3  </w:t>
      </w:r>
      <w:r>
        <w:rPr>
          <w:rFonts w:ascii="宋体" w:hAnsi="宋体" w:eastAsia="宋体" w:cs="宋体"/>
          <w:spacing w:val="-18"/>
          <w:sz w:val="14"/>
          <w:szCs w:val="14"/>
        </w:rPr>
        <w:t>·····</w:t>
      </w:r>
      <w:r>
        <w:rPr>
          <w:rFonts w:ascii="Times New Roman" w:hAnsi="Times New Roman" w:eastAsia="Times New Roman" w:cs="Times New Roman"/>
          <w:sz w:val="20"/>
          <w:szCs w:val="20"/>
        </w:rPr>
        <w:t>F</w:t>
      </w:r>
      <w:r>
        <w:rPr>
          <w:rFonts w:ascii="Times New Roman" w:hAnsi="Times New Roman" w:eastAsia="Times New Roman" w:cs="Times New Roman"/>
          <w:position w:val="-1"/>
          <w:sz w:val="13"/>
          <w:szCs w:val="13"/>
        </w:rPr>
        <w:t>tn</w:t>
      </w:r>
      <w:r>
        <w:rPr>
          <w:rFonts w:ascii="Times New Roman" w:hAnsi="Times New Roman" w:eastAsia="Times New Roman" w:cs="Times New Roman"/>
          <w:spacing w:val="26"/>
          <w:position w:val="-1"/>
          <w:sz w:val="13"/>
          <w:szCs w:val="13"/>
        </w:rPr>
        <w:t xml:space="preserve"> </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rPr>
        <w:t>各可调因子的现行价格指数，指第</w:t>
      </w:r>
      <w:r>
        <w:rPr>
          <w:rFonts w:ascii="宋体" w:hAnsi="宋体" w:eastAsia="宋体" w:cs="宋体"/>
          <w:spacing w:val="-21"/>
          <w:sz w:val="20"/>
          <w:szCs w:val="20"/>
        </w:rPr>
        <w:t xml:space="preserve"> </w:t>
      </w:r>
      <w:r>
        <w:rPr>
          <w:rFonts w:ascii="Times New Roman" w:hAnsi="Times New Roman" w:eastAsia="Times New Roman" w:cs="Times New Roman"/>
          <w:spacing w:val="6"/>
          <w:sz w:val="20"/>
          <w:szCs w:val="20"/>
        </w:rPr>
        <w:t xml:space="preserve">17.3.3 </w:t>
      </w:r>
      <w:r>
        <w:rPr>
          <w:rFonts w:ascii="宋体" w:hAnsi="宋体" w:eastAsia="宋体" w:cs="宋体"/>
          <w:spacing w:val="6"/>
          <w:sz w:val="20"/>
          <w:szCs w:val="20"/>
        </w:rPr>
        <w:t>项、第</w:t>
      </w:r>
      <w:r>
        <w:rPr>
          <w:rFonts w:ascii="宋体" w:hAnsi="宋体" w:eastAsia="宋体" w:cs="宋体"/>
          <w:spacing w:val="-20"/>
          <w:sz w:val="20"/>
          <w:szCs w:val="20"/>
        </w:rPr>
        <w:t xml:space="preserve"> </w:t>
      </w:r>
      <w:r>
        <w:rPr>
          <w:rFonts w:ascii="Times New Roman" w:hAnsi="Times New Roman" w:eastAsia="Times New Roman" w:cs="Times New Roman"/>
          <w:spacing w:val="6"/>
          <w:sz w:val="20"/>
          <w:szCs w:val="20"/>
        </w:rPr>
        <w:t xml:space="preserve">17.5.2 </w:t>
      </w:r>
      <w:r>
        <w:rPr>
          <w:rFonts w:ascii="宋体" w:hAnsi="宋体" w:eastAsia="宋体" w:cs="宋体"/>
          <w:spacing w:val="6"/>
          <w:sz w:val="20"/>
          <w:szCs w:val="20"/>
        </w:rPr>
        <w:t>项和第</w:t>
      </w:r>
    </w:p>
    <w:p w14:paraId="354A188F">
      <w:pPr>
        <w:spacing w:before="160" w:line="226" w:lineRule="auto"/>
        <w:ind w:left="17"/>
        <w:rPr>
          <w:rFonts w:ascii="宋体" w:hAnsi="宋体" w:eastAsia="宋体" w:cs="宋体"/>
          <w:sz w:val="20"/>
          <w:szCs w:val="20"/>
        </w:rPr>
      </w:pPr>
      <w:r>
        <w:rPr>
          <w:rFonts w:ascii="Times New Roman" w:hAnsi="Times New Roman" w:eastAsia="Times New Roman" w:cs="Times New Roman"/>
          <w:spacing w:val="7"/>
          <w:sz w:val="20"/>
          <w:szCs w:val="20"/>
        </w:rPr>
        <w:t xml:space="preserve">17.6.2 </w:t>
      </w:r>
      <w:r>
        <w:rPr>
          <w:rFonts w:ascii="宋体" w:hAnsi="宋体" w:eastAsia="宋体" w:cs="宋体"/>
          <w:spacing w:val="7"/>
          <w:sz w:val="20"/>
          <w:szCs w:val="20"/>
        </w:rPr>
        <w:t>项约定的付款证书相关周期最后一天的前</w:t>
      </w:r>
      <w:r>
        <w:rPr>
          <w:rFonts w:ascii="宋体" w:hAnsi="宋体" w:eastAsia="宋体" w:cs="宋体"/>
          <w:spacing w:val="-32"/>
          <w:sz w:val="20"/>
          <w:szCs w:val="20"/>
        </w:rPr>
        <w:t xml:space="preserve"> </w:t>
      </w:r>
      <w:r>
        <w:rPr>
          <w:rFonts w:ascii="Times New Roman" w:hAnsi="Times New Roman" w:eastAsia="Times New Roman" w:cs="Times New Roman"/>
          <w:spacing w:val="7"/>
          <w:sz w:val="20"/>
          <w:szCs w:val="20"/>
        </w:rPr>
        <w:t>42</w:t>
      </w:r>
      <w:r>
        <w:rPr>
          <w:rFonts w:ascii="Times New Roman" w:hAnsi="Times New Roman" w:eastAsia="Times New Roman" w:cs="Times New Roman"/>
          <w:spacing w:val="17"/>
          <w:sz w:val="20"/>
          <w:szCs w:val="20"/>
        </w:rPr>
        <w:t xml:space="preserve"> </w:t>
      </w:r>
      <w:r>
        <w:rPr>
          <w:rFonts w:ascii="宋体" w:hAnsi="宋体" w:eastAsia="宋体" w:cs="宋体"/>
          <w:spacing w:val="7"/>
          <w:sz w:val="20"/>
          <w:szCs w:val="20"/>
        </w:rPr>
        <w:t>天的各可调因子的价格指数；</w:t>
      </w:r>
    </w:p>
    <w:p w14:paraId="57660BE6">
      <w:pPr>
        <w:spacing w:before="156" w:line="367" w:lineRule="auto"/>
        <w:ind w:left="4" w:right="2" w:firstLine="1252"/>
        <w:rPr>
          <w:rFonts w:ascii="宋体" w:hAnsi="宋体" w:eastAsia="宋体" w:cs="宋体"/>
          <w:sz w:val="20"/>
          <w:szCs w:val="20"/>
        </w:rPr>
      </w:pPr>
      <w:r>
        <w:rPr>
          <w:rFonts w:ascii="Times New Roman" w:hAnsi="Times New Roman" w:eastAsia="Times New Roman" w:cs="Times New Roman"/>
          <w:spacing w:val="-14"/>
          <w:sz w:val="20"/>
          <w:szCs w:val="20"/>
        </w:rPr>
        <w:t>F</w:t>
      </w:r>
      <w:r>
        <w:rPr>
          <w:rFonts w:ascii="Times New Roman" w:hAnsi="Times New Roman" w:eastAsia="Times New Roman" w:cs="Times New Roman"/>
          <w:spacing w:val="-14"/>
          <w:position w:val="-1"/>
          <w:sz w:val="13"/>
          <w:szCs w:val="13"/>
        </w:rPr>
        <w:t>o1</w:t>
      </w:r>
      <w:r>
        <w:rPr>
          <w:rFonts w:ascii="Times New Roman" w:hAnsi="Times New Roman" w:eastAsia="Times New Roman" w:cs="Times New Roman"/>
          <w:spacing w:val="-14"/>
          <w:sz w:val="20"/>
          <w:szCs w:val="20"/>
        </w:rPr>
        <w:t>;</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4"/>
          <w:sz w:val="20"/>
          <w:szCs w:val="20"/>
        </w:rPr>
        <w:t>F</w:t>
      </w:r>
      <w:r>
        <w:rPr>
          <w:rFonts w:ascii="Times New Roman" w:hAnsi="Times New Roman" w:eastAsia="Times New Roman" w:cs="Times New Roman"/>
          <w:spacing w:val="-14"/>
          <w:sz w:val="13"/>
          <w:szCs w:val="13"/>
        </w:rPr>
        <w:t>o2</w:t>
      </w:r>
      <w:r>
        <w:rPr>
          <w:rFonts w:ascii="Times New Roman" w:hAnsi="Times New Roman" w:eastAsia="Times New Roman" w:cs="Times New Roman"/>
          <w:spacing w:val="-14"/>
          <w:sz w:val="14"/>
          <w:szCs w:val="14"/>
        </w:rPr>
        <w:t>;</w:t>
      </w:r>
      <w:r>
        <w:rPr>
          <w:rFonts w:ascii="Times New Roman" w:hAnsi="Times New Roman" w:eastAsia="Times New Roman" w:cs="Times New Roman"/>
          <w:spacing w:val="21"/>
          <w:sz w:val="14"/>
          <w:szCs w:val="14"/>
        </w:rPr>
        <w:t xml:space="preserve"> </w:t>
      </w:r>
      <w:r>
        <w:rPr>
          <w:rFonts w:ascii="Times New Roman" w:hAnsi="Times New Roman" w:eastAsia="Times New Roman" w:cs="Times New Roman"/>
          <w:spacing w:val="-14"/>
          <w:sz w:val="20"/>
          <w:szCs w:val="20"/>
        </w:rPr>
        <w:t>F</w:t>
      </w:r>
      <w:r>
        <w:rPr>
          <w:rFonts w:ascii="Times New Roman" w:hAnsi="Times New Roman" w:eastAsia="Times New Roman" w:cs="Times New Roman"/>
          <w:spacing w:val="-14"/>
          <w:sz w:val="13"/>
          <w:szCs w:val="13"/>
        </w:rPr>
        <w:t>o3</w:t>
      </w:r>
      <w:r>
        <w:rPr>
          <w:rFonts w:ascii="宋体" w:hAnsi="宋体" w:eastAsia="宋体" w:cs="宋体"/>
          <w:spacing w:val="-14"/>
          <w:sz w:val="14"/>
          <w:szCs w:val="14"/>
        </w:rPr>
        <w:t>·····</w:t>
      </w:r>
      <w:r>
        <w:rPr>
          <w:rFonts w:ascii="Times New Roman" w:hAnsi="Times New Roman" w:eastAsia="Times New Roman" w:cs="Times New Roman"/>
          <w:spacing w:val="-9"/>
          <w:w w:val="87"/>
          <w:sz w:val="20"/>
          <w:szCs w:val="20"/>
        </w:rPr>
        <w:t>F</w:t>
      </w:r>
      <w:r>
        <w:rPr>
          <w:rFonts w:ascii="Times New Roman" w:hAnsi="Times New Roman" w:eastAsia="Times New Roman" w:cs="Times New Roman"/>
          <w:position w:val="-1"/>
          <w:sz w:val="13"/>
          <w:szCs w:val="13"/>
        </w:rPr>
        <w:t>on</w:t>
      </w:r>
      <w:r>
        <w:rPr>
          <w:rFonts w:ascii="Times New Roman" w:hAnsi="Times New Roman" w:eastAsia="Times New Roman" w:cs="Times New Roman"/>
          <w:spacing w:val="27"/>
          <w:w w:val="102"/>
          <w:position w:val="-1"/>
          <w:sz w:val="13"/>
          <w:szCs w:val="13"/>
        </w:rPr>
        <w:t xml:space="preserve"> </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各可调因子的基本价格指数，指基准日期的各可调因子的价格</w:t>
      </w:r>
      <w:r>
        <w:rPr>
          <w:rFonts w:ascii="宋体" w:hAnsi="宋体" w:eastAsia="宋体" w:cs="宋体"/>
          <w:spacing w:val="2"/>
          <w:sz w:val="20"/>
          <w:szCs w:val="20"/>
        </w:rPr>
        <w:t>指数。</w:t>
      </w:r>
    </w:p>
    <w:p w14:paraId="1FFC1D09">
      <w:pPr>
        <w:spacing w:before="4" w:line="369" w:lineRule="auto"/>
        <w:ind w:left="3" w:firstLine="441"/>
        <w:jc w:val="both"/>
        <w:rPr>
          <w:rFonts w:ascii="宋体" w:hAnsi="宋体" w:eastAsia="宋体" w:cs="宋体"/>
          <w:sz w:val="20"/>
          <w:szCs w:val="20"/>
        </w:rPr>
      </w:pPr>
      <w:r>
        <w:rPr>
          <w:rFonts w:ascii="宋体" w:hAnsi="宋体" w:eastAsia="宋体" w:cs="宋体"/>
          <w:spacing w:val="9"/>
          <w:sz w:val="20"/>
          <w:szCs w:val="20"/>
        </w:rPr>
        <w:t>以上价格调整公式中的各可调因子、定值和变值权重，以及基本价格指数及其来源在投标函</w:t>
      </w:r>
      <w:r>
        <w:rPr>
          <w:rFonts w:ascii="宋体" w:hAnsi="宋体" w:eastAsia="宋体" w:cs="宋体"/>
          <w:spacing w:val="10"/>
          <w:sz w:val="20"/>
          <w:szCs w:val="20"/>
        </w:rPr>
        <w:t>附录价格指数和权重表中约定。价格指数应首先采用有关部门提供的价</w:t>
      </w:r>
      <w:r>
        <w:rPr>
          <w:rFonts w:ascii="宋体" w:hAnsi="宋体" w:eastAsia="宋体" w:cs="宋体"/>
          <w:spacing w:val="9"/>
          <w:sz w:val="20"/>
          <w:szCs w:val="20"/>
        </w:rPr>
        <w:t>格指数，缺乏上述价格指</w:t>
      </w:r>
      <w:r>
        <w:rPr>
          <w:rFonts w:ascii="宋体" w:hAnsi="宋体" w:eastAsia="宋体" w:cs="宋体"/>
          <w:spacing w:val="8"/>
          <w:sz w:val="20"/>
          <w:szCs w:val="20"/>
        </w:rPr>
        <w:t>数时，可采用有关部门提供的价格代替。</w:t>
      </w:r>
    </w:p>
    <w:p w14:paraId="3237ADD3">
      <w:pPr>
        <w:spacing w:before="1" w:line="227" w:lineRule="auto"/>
        <w:ind w:left="437"/>
        <w:rPr>
          <w:rFonts w:ascii="宋体" w:hAnsi="宋体" w:eastAsia="宋体" w:cs="宋体"/>
          <w:sz w:val="20"/>
          <w:szCs w:val="20"/>
        </w:rPr>
      </w:pPr>
      <w:r>
        <w:rPr>
          <w:rFonts w:ascii="Times New Roman" w:hAnsi="Times New Roman" w:eastAsia="Times New Roman" w:cs="Times New Roman"/>
          <w:spacing w:val="3"/>
          <w:sz w:val="20"/>
          <w:szCs w:val="20"/>
        </w:rPr>
        <w:t>16.</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3"/>
          <w:sz w:val="20"/>
          <w:szCs w:val="20"/>
        </w:rPr>
        <w:t xml:space="preserve">1.1.2  </w:t>
      </w:r>
      <w:r>
        <w:rPr>
          <w:rFonts w:ascii="宋体" w:hAnsi="宋体" w:eastAsia="宋体" w:cs="宋体"/>
          <w:spacing w:val="3"/>
          <w:sz w:val="20"/>
          <w:szCs w:val="20"/>
        </w:rPr>
        <w:t>暂时确定调整差额</w:t>
      </w:r>
    </w:p>
    <w:p w14:paraId="0B4F8D4D">
      <w:pPr>
        <w:spacing w:before="154" w:line="369" w:lineRule="auto"/>
        <w:ind w:left="3" w:firstLine="417"/>
        <w:rPr>
          <w:rFonts w:ascii="宋体" w:hAnsi="宋体" w:eastAsia="宋体" w:cs="宋体"/>
          <w:sz w:val="20"/>
          <w:szCs w:val="20"/>
        </w:rPr>
      </w:pPr>
      <w:r>
        <w:rPr>
          <w:rFonts w:ascii="宋体" w:hAnsi="宋体" w:eastAsia="宋体" w:cs="宋体"/>
          <w:spacing w:val="10"/>
          <w:sz w:val="20"/>
          <w:szCs w:val="20"/>
        </w:rPr>
        <w:t>在计算调整差额时得不到现行价格指数的，可暂用上一次价格指数计算</w:t>
      </w:r>
      <w:r>
        <w:rPr>
          <w:rFonts w:ascii="宋体" w:hAnsi="宋体" w:eastAsia="宋体" w:cs="宋体"/>
          <w:spacing w:val="9"/>
          <w:sz w:val="20"/>
          <w:szCs w:val="20"/>
        </w:rPr>
        <w:t>，并在以后的付款中</w:t>
      </w:r>
      <w:r>
        <w:rPr>
          <w:rFonts w:ascii="宋体" w:hAnsi="宋体" w:eastAsia="宋体" w:cs="宋体"/>
          <w:spacing w:val="8"/>
          <w:sz w:val="20"/>
          <w:szCs w:val="20"/>
        </w:rPr>
        <w:t>再按实际价格指数进行调整。</w:t>
      </w:r>
    </w:p>
    <w:p w14:paraId="669A6198">
      <w:pPr>
        <w:spacing w:line="227" w:lineRule="auto"/>
        <w:ind w:left="437"/>
        <w:rPr>
          <w:rFonts w:ascii="宋体" w:hAnsi="宋体" w:eastAsia="宋体" w:cs="宋体"/>
          <w:sz w:val="20"/>
          <w:szCs w:val="20"/>
        </w:rPr>
      </w:pPr>
      <w:r>
        <w:rPr>
          <w:rFonts w:ascii="Times New Roman" w:hAnsi="Times New Roman" w:eastAsia="Times New Roman" w:cs="Times New Roman"/>
          <w:spacing w:val="2"/>
          <w:sz w:val="20"/>
          <w:szCs w:val="20"/>
        </w:rPr>
        <w:t>16.</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2"/>
          <w:sz w:val="20"/>
          <w:szCs w:val="20"/>
        </w:rPr>
        <w:t xml:space="preserve">1.1.3  </w:t>
      </w:r>
      <w:r>
        <w:rPr>
          <w:rFonts w:ascii="宋体" w:hAnsi="宋体" w:eastAsia="宋体" w:cs="宋体"/>
          <w:spacing w:val="2"/>
          <w:sz w:val="20"/>
          <w:szCs w:val="20"/>
        </w:rPr>
        <w:t>权重的调整</w:t>
      </w:r>
    </w:p>
    <w:p w14:paraId="13ADC2C6">
      <w:pPr>
        <w:spacing w:before="154" w:line="369" w:lineRule="auto"/>
        <w:ind w:firstLine="423"/>
        <w:rPr>
          <w:rFonts w:ascii="宋体" w:hAnsi="宋体" w:eastAsia="宋体" w:cs="宋体"/>
          <w:sz w:val="20"/>
          <w:szCs w:val="20"/>
        </w:rPr>
      </w:pPr>
      <w:r>
        <w:rPr>
          <w:rFonts w:ascii="宋体" w:hAnsi="宋体" w:eastAsia="宋体" w:cs="宋体"/>
          <w:spacing w:val="7"/>
          <w:sz w:val="20"/>
          <w:szCs w:val="20"/>
        </w:rPr>
        <w:t>按第</w:t>
      </w:r>
      <w:r>
        <w:rPr>
          <w:rFonts w:ascii="宋体" w:hAnsi="宋体" w:eastAsia="宋体" w:cs="宋体"/>
          <w:spacing w:val="-12"/>
          <w:sz w:val="20"/>
          <w:szCs w:val="20"/>
        </w:rPr>
        <w:t xml:space="preserve"> </w:t>
      </w:r>
      <w:r>
        <w:rPr>
          <w:rFonts w:ascii="Times New Roman" w:hAnsi="Times New Roman" w:eastAsia="Times New Roman" w:cs="Times New Roman"/>
          <w:spacing w:val="7"/>
          <w:sz w:val="20"/>
          <w:szCs w:val="20"/>
        </w:rPr>
        <w:t xml:space="preserve">15.1 </w:t>
      </w:r>
      <w:r>
        <w:rPr>
          <w:rFonts w:ascii="宋体" w:hAnsi="宋体" w:eastAsia="宋体" w:cs="宋体"/>
          <w:spacing w:val="7"/>
          <w:sz w:val="20"/>
          <w:szCs w:val="20"/>
        </w:rPr>
        <w:t>款约定的变更导致原定合同中的权重不合理时，由监理人与承包人和发包人协商后</w:t>
      </w:r>
      <w:r>
        <w:rPr>
          <w:rFonts w:ascii="宋体" w:hAnsi="宋体" w:eastAsia="宋体" w:cs="宋体"/>
          <w:spacing w:val="6"/>
          <w:sz w:val="20"/>
          <w:szCs w:val="20"/>
        </w:rPr>
        <w:t>进行调整。</w:t>
      </w:r>
    </w:p>
    <w:p w14:paraId="2CC47A1E">
      <w:pPr>
        <w:spacing w:before="1" w:line="226" w:lineRule="auto"/>
        <w:ind w:left="437"/>
        <w:rPr>
          <w:rFonts w:ascii="宋体" w:hAnsi="宋体" w:eastAsia="宋体" w:cs="宋体"/>
          <w:sz w:val="20"/>
          <w:szCs w:val="20"/>
        </w:rPr>
      </w:pPr>
      <w:r>
        <w:rPr>
          <w:rFonts w:ascii="Times New Roman" w:hAnsi="Times New Roman" w:eastAsia="Times New Roman" w:cs="Times New Roman"/>
          <w:spacing w:val="5"/>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1.1.4  </w:t>
      </w:r>
      <w:r>
        <w:rPr>
          <w:rFonts w:ascii="宋体" w:hAnsi="宋体" w:eastAsia="宋体" w:cs="宋体"/>
          <w:spacing w:val="5"/>
          <w:sz w:val="20"/>
          <w:szCs w:val="20"/>
        </w:rPr>
        <w:t>承包人工期延误后的价格调整</w:t>
      </w:r>
    </w:p>
    <w:p w14:paraId="354D1E27">
      <w:pPr>
        <w:spacing w:before="156" w:line="369" w:lineRule="auto"/>
        <w:ind w:left="1" w:firstLine="445"/>
        <w:rPr>
          <w:rFonts w:ascii="宋体" w:hAnsi="宋体" w:eastAsia="宋体" w:cs="宋体"/>
          <w:sz w:val="20"/>
          <w:szCs w:val="20"/>
        </w:rPr>
      </w:pPr>
      <w:r>
        <w:rPr>
          <w:rFonts w:ascii="宋体" w:hAnsi="宋体" w:eastAsia="宋体" w:cs="宋体"/>
          <w:spacing w:val="9"/>
          <w:sz w:val="20"/>
          <w:szCs w:val="20"/>
        </w:rPr>
        <w:t>由于承包人原因未在约定的工期内竣工的，则对原约定竣工日期后继续施工的工程，在使用</w:t>
      </w:r>
      <w:r>
        <w:rPr>
          <w:rFonts w:ascii="宋体" w:hAnsi="宋体" w:eastAsia="宋体" w:cs="宋体"/>
          <w:spacing w:val="7"/>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目价格调整公式时，应采用原约定竣工日期与实际竣工日期的两个价格指数中</w:t>
      </w:r>
      <w:r>
        <w:rPr>
          <w:rFonts w:ascii="宋体" w:hAnsi="宋体" w:eastAsia="宋体" w:cs="宋体"/>
          <w:spacing w:val="6"/>
          <w:sz w:val="20"/>
          <w:szCs w:val="20"/>
        </w:rPr>
        <w:t>较低的</w:t>
      </w:r>
      <w:r>
        <w:rPr>
          <w:rFonts w:ascii="宋体" w:hAnsi="宋体" w:eastAsia="宋体" w:cs="宋体"/>
          <w:spacing w:val="8"/>
          <w:sz w:val="20"/>
          <w:szCs w:val="20"/>
        </w:rPr>
        <w:t>一个作为现行价格指数。</w:t>
      </w:r>
    </w:p>
    <w:p w14:paraId="683215EF">
      <w:pPr>
        <w:spacing w:line="369" w:lineRule="auto"/>
        <w:rPr>
          <w:rFonts w:ascii="宋体" w:hAnsi="宋体" w:eastAsia="宋体" w:cs="宋体"/>
          <w:sz w:val="20"/>
          <w:szCs w:val="20"/>
        </w:rPr>
        <w:sectPr>
          <w:footerReference r:id="rId182" w:type="default"/>
          <w:pgSz w:w="11906" w:h="16839"/>
          <w:pgMar w:top="400" w:right="1554" w:bottom="1038" w:left="1537" w:header="0" w:footer="787" w:gutter="0"/>
          <w:cols w:space="720" w:num="1"/>
        </w:sectPr>
      </w:pPr>
    </w:p>
    <w:p w14:paraId="6E035A15">
      <w:pPr>
        <w:spacing w:line="271" w:lineRule="auto"/>
        <w:rPr>
          <w:rFonts w:ascii="Arial"/>
          <w:sz w:val="21"/>
        </w:rPr>
      </w:pPr>
    </w:p>
    <w:p w14:paraId="3D5A726F">
      <w:pPr>
        <w:spacing w:line="272" w:lineRule="auto"/>
        <w:rPr>
          <w:rFonts w:ascii="Arial"/>
          <w:sz w:val="21"/>
        </w:rPr>
      </w:pPr>
    </w:p>
    <w:p w14:paraId="6BC7ED3E">
      <w:pPr>
        <w:spacing w:line="272" w:lineRule="auto"/>
        <w:rPr>
          <w:rFonts w:ascii="Arial"/>
          <w:sz w:val="21"/>
        </w:rPr>
      </w:pPr>
    </w:p>
    <w:p w14:paraId="49EE31FE">
      <w:pPr>
        <w:spacing w:line="272" w:lineRule="auto"/>
        <w:rPr>
          <w:rFonts w:ascii="Arial"/>
          <w:sz w:val="21"/>
        </w:rPr>
      </w:pPr>
    </w:p>
    <w:p w14:paraId="190EA055">
      <w:pPr>
        <w:pStyle w:val="2"/>
        <w:spacing w:before="65" w:line="230" w:lineRule="auto"/>
        <w:ind w:left="431"/>
        <w:rPr>
          <w:sz w:val="20"/>
          <w:szCs w:val="20"/>
        </w:rPr>
      </w:pPr>
      <w:r>
        <w:rPr>
          <w:spacing w:val="7"/>
          <w:sz w:val="20"/>
          <w:szCs w:val="20"/>
        </w:rPr>
        <w:t>16.1.2 采用造价信息调整价格差额</w:t>
      </w:r>
    </w:p>
    <w:p w14:paraId="406380C5">
      <w:pPr>
        <w:spacing w:before="147" w:line="365" w:lineRule="auto"/>
        <w:ind w:left="1" w:right="71" w:firstLine="418"/>
        <w:rPr>
          <w:rFonts w:ascii="宋体" w:hAnsi="宋体" w:eastAsia="宋体" w:cs="宋体"/>
          <w:sz w:val="20"/>
          <w:szCs w:val="20"/>
        </w:rPr>
      </w:pPr>
      <w:r>
        <w:rPr>
          <w:rFonts w:ascii="宋体" w:hAnsi="宋体" w:eastAsia="宋体" w:cs="宋体"/>
          <w:spacing w:val="10"/>
          <w:sz w:val="20"/>
          <w:szCs w:val="20"/>
        </w:rPr>
        <w:t>施工期内，因人工、材料、设备和机械台班价格波动影响合同价格时，</w:t>
      </w:r>
      <w:r>
        <w:rPr>
          <w:rFonts w:ascii="宋体" w:hAnsi="宋体" w:eastAsia="宋体" w:cs="宋体"/>
          <w:spacing w:val="9"/>
          <w:sz w:val="20"/>
          <w:szCs w:val="20"/>
        </w:rPr>
        <w:t>人工、机械使用费按照国家或省、</w:t>
      </w:r>
      <w:r>
        <w:rPr>
          <w:rFonts w:ascii="宋体" w:hAnsi="宋体" w:eastAsia="宋体" w:cs="宋体"/>
          <w:spacing w:val="-52"/>
          <w:sz w:val="20"/>
          <w:szCs w:val="20"/>
        </w:rPr>
        <w:t xml:space="preserve"> </w:t>
      </w:r>
      <w:r>
        <w:rPr>
          <w:rFonts w:ascii="宋体" w:hAnsi="宋体" w:eastAsia="宋体" w:cs="宋体"/>
          <w:spacing w:val="9"/>
          <w:sz w:val="20"/>
          <w:szCs w:val="20"/>
        </w:rPr>
        <w:t>自治区、直辖市建设行政管理部门、行业建</w:t>
      </w:r>
      <w:r>
        <w:rPr>
          <w:rFonts w:ascii="宋体" w:hAnsi="宋体" w:eastAsia="宋体" w:cs="宋体"/>
          <w:spacing w:val="8"/>
          <w:sz w:val="20"/>
          <w:szCs w:val="20"/>
        </w:rPr>
        <w:t>设管理部门或其授权的工程造价管理机</w:t>
      </w:r>
      <w:r>
        <w:rPr>
          <w:rFonts w:ascii="宋体" w:hAnsi="宋体" w:eastAsia="宋体" w:cs="宋体"/>
          <w:spacing w:val="10"/>
          <w:sz w:val="20"/>
          <w:szCs w:val="20"/>
        </w:rPr>
        <w:t>构发布的人工成本信息、机械台班单价或机械使用费系数进行调整；需</w:t>
      </w:r>
      <w:r>
        <w:rPr>
          <w:rFonts w:ascii="宋体" w:hAnsi="宋体" w:eastAsia="宋体" w:cs="宋体"/>
          <w:spacing w:val="9"/>
          <w:sz w:val="20"/>
          <w:szCs w:val="20"/>
        </w:rPr>
        <w:t>要进行价格调整的材料，</w:t>
      </w:r>
      <w:r>
        <w:rPr>
          <w:rFonts w:ascii="宋体" w:hAnsi="宋体" w:eastAsia="宋体" w:cs="宋体"/>
          <w:spacing w:val="10"/>
          <w:sz w:val="20"/>
          <w:szCs w:val="20"/>
        </w:rPr>
        <w:t>其单价和采购数应由监理人复核，监理人确认需调整的材料单价及数量</w:t>
      </w:r>
      <w:r>
        <w:rPr>
          <w:rFonts w:ascii="宋体" w:hAnsi="宋体" w:eastAsia="宋体" w:cs="宋体"/>
          <w:spacing w:val="9"/>
          <w:sz w:val="20"/>
          <w:szCs w:val="20"/>
        </w:rPr>
        <w:t>，作为调整工程合同价格</w:t>
      </w:r>
      <w:r>
        <w:rPr>
          <w:rFonts w:ascii="宋体" w:hAnsi="宋体" w:eastAsia="宋体" w:cs="宋体"/>
          <w:spacing w:val="6"/>
          <w:sz w:val="20"/>
          <w:szCs w:val="20"/>
        </w:rPr>
        <w:t>差额的依据。</w:t>
      </w:r>
    </w:p>
    <w:p w14:paraId="1EED0EDD">
      <w:pPr>
        <w:pStyle w:val="2"/>
        <w:spacing w:line="221" w:lineRule="auto"/>
        <w:ind w:left="20"/>
        <w:rPr>
          <w:sz w:val="24"/>
          <w:szCs w:val="24"/>
        </w:rPr>
      </w:pPr>
      <w:r>
        <w:rPr>
          <w:rFonts w:ascii="Times New Roman" w:hAnsi="Times New Roman" w:eastAsia="Times New Roman" w:cs="Times New Roman"/>
          <w:spacing w:val="-2"/>
          <w:sz w:val="24"/>
          <w:szCs w:val="24"/>
        </w:rPr>
        <w:t xml:space="preserve">16.2  </w:t>
      </w:r>
      <w:r>
        <w:rPr>
          <w:spacing w:val="-2"/>
          <w:sz w:val="24"/>
          <w:szCs w:val="24"/>
        </w:rPr>
        <w:t>法律变化引起的价格调整</w:t>
      </w:r>
    </w:p>
    <w:p w14:paraId="58DF500A">
      <w:pPr>
        <w:spacing w:before="138" w:line="370" w:lineRule="auto"/>
        <w:ind w:left="3" w:right="73" w:firstLine="416"/>
        <w:jc w:val="both"/>
        <w:rPr>
          <w:rFonts w:ascii="宋体" w:hAnsi="宋体" w:eastAsia="宋体" w:cs="宋体"/>
          <w:sz w:val="20"/>
          <w:szCs w:val="20"/>
        </w:rPr>
      </w:pPr>
      <w:r>
        <w:rPr>
          <w:rFonts w:ascii="宋体" w:hAnsi="宋体" w:eastAsia="宋体" w:cs="宋体"/>
          <w:spacing w:val="7"/>
          <w:sz w:val="20"/>
          <w:szCs w:val="20"/>
        </w:rPr>
        <w:t>在基准日后，因法律变化导致承包人在合同履行中所需要的</w:t>
      </w:r>
      <w:r>
        <w:rPr>
          <w:rFonts w:ascii="宋体" w:hAnsi="宋体" w:eastAsia="宋体" w:cs="宋体"/>
          <w:spacing w:val="6"/>
          <w:sz w:val="20"/>
          <w:szCs w:val="20"/>
        </w:rPr>
        <w:t>工程费用发生除第</w:t>
      </w:r>
      <w:r>
        <w:rPr>
          <w:rFonts w:ascii="宋体" w:hAnsi="宋体" w:eastAsia="宋体" w:cs="宋体"/>
          <w:spacing w:val="-20"/>
          <w:sz w:val="20"/>
          <w:szCs w:val="20"/>
        </w:rPr>
        <w:t xml:space="preserve"> </w:t>
      </w:r>
      <w:r>
        <w:rPr>
          <w:rFonts w:ascii="Times New Roman" w:hAnsi="Times New Roman" w:eastAsia="Times New Roman" w:cs="Times New Roman"/>
          <w:spacing w:val="6"/>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款约定以</w:t>
      </w:r>
      <w:r>
        <w:rPr>
          <w:rFonts w:ascii="宋体" w:hAnsi="宋体" w:eastAsia="宋体" w:cs="宋体"/>
          <w:spacing w:val="9"/>
          <w:sz w:val="20"/>
          <w:szCs w:val="20"/>
        </w:rPr>
        <w:t>外的增减时，监理人应根据法律、国家或省、</w:t>
      </w:r>
      <w:r>
        <w:rPr>
          <w:rFonts w:ascii="宋体" w:hAnsi="宋体" w:eastAsia="宋体" w:cs="宋体"/>
          <w:spacing w:val="-50"/>
          <w:sz w:val="20"/>
          <w:szCs w:val="20"/>
        </w:rPr>
        <w:t xml:space="preserve"> </w:t>
      </w:r>
      <w:r>
        <w:rPr>
          <w:rFonts w:ascii="宋体" w:hAnsi="宋体" w:eastAsia="宋体" w:cs="宋体"/>
          <w:spacing w:val="9"/>
          <w:sz w:val="20"/>
          <w:szCs w:val="20"/>
        </w:rPr>
        <w:t>自治区、直辖市有关部门的规定，按第</w:t>
      </w:r>
      <w:r>
        <w:rPr>
          <w:rFonts w:ascii="宋体" w:hAnsi="宋体" w:eastAsia="宋体" w:cs="宋体"/>
          <w:spacing w:val="-38"/>
          <w:sz w:val="20"/>
          <w:szCs w:val="20"/>
        </w:rPr>
        <w:t xml:space="preserve"> </w:t>
      </w:r>
      <w:r>
        <w:rPr>
          <w:rFonts w:ascii="Times New Roman" w:hAnsi="Times New Roman" w:eastAsia="Times New Roman" w:cs="Times New Roman"/>
          <w:spacing w:val="9"/>
          <w:sz w:val="20"/>
          <w:szCs w:val="20"/>
        </w:rPr>
        <w:t xml:space="preserve">3.5 </w:t>
      </w:r>
      <w:r>
        <w:rPr>
          <w:rFonts w:ascii="宋体" w:hAnsi="宋体" w:eastAsia="宋体" w:cs="宋体"/>
          <w:spacing w:val="9"/>
          <w:sz w:val="20"/>
          <w:szCs w:val="20"/>
        </w:rPr>
        <w:t>款</w:t>
      </w:r>
      <w:r>
        <w:rPr>
          <w:rFonts w:ascii="宋体" w:hAnsi="宋体" w:eastAsia="宋体" w:cs="宋体"/>
          <w:spacing w:val="8"/>
          <w:sz w:val="20"/>
          <w:szCs w:val="20"/>
        </w:rPr>
        <w:t>商定或确定需调整的合同价款。</w:t>
      </w:r>
    </w:p>
    <w:p w14:paraId="45C59471">
      <w:pPr>
        <w:pStyle w:val="2"/>
        <w:spacing w:before="35" w:line="224" w:lineRule="auto"/>
        <w:ind w:left="25"/>
        <w:outlineLvl w:val="2"/>
        <w:rPr>
          <w:sz w:val="28"/>
          <w:szCs w:val="28"/>
        </w:rPr>
      </w:pPr>
      <w:bookmarkStart w:id="230" w:name="bookmark211"/>
      <w:bookmarkEnd w:id="230"/>
      <w:r>
        <w:rPr>
          <w:rFonts w:ascii="Times New Roman" w:hAnsi="Times New Roman" w:eastAsia="Times New Roman" w:cs="Times New Roman"/>
          <w:spacing w:val="-4"/>
          <w:sz w:val="28"/>
          <w:szCs w:val="28"/>
        </w:rPr>
        <w:t xml:space="preserve">17.  </w:t>
      </w:r>
      <w:r>
        <w:rPr>
          <w:spacing w:val="-4"/>
          <w:sz w:val="28"/>
          <w:szCs w:val="28"/>
        </w:rPr>
        <w:t>计量与支付</w:t>
      </w:r>
    </w:p>
    <w:p w14:paraId="262A0851">
      <w:pPr>
        <w:pStyle w:val="2"/>
        <w:spacing w:before="96" w:line="225" w:lineRule="auto"/>
        <w:ind w:left="20"/>
        <w:rPr>
          <w:sz w:val="24"/>
          <w:szCs w:val="24"/>
        </w:rPr>
      </w:pPr>
      <w:r>
        <w:rPr>
          <w:rFonts w:ascii="Times New Roman" w:hAnsi="Times New Roman" w:eastAsia="Times New Roman" w:cs="Times New Roman"/>
          <w:spacing w:val="-7"/>
          <w:sz w:val="24"/>
          <w:szCs w:val="24"/>
        </w:rPr>
        <w:t>17.1</w:t>
      </w:r>
      <w:r>
        <w:rPr>
          <w:rFonts w:ascii="Times New Roman" w:hAnsi="Times New Roman" w:eastAsia="Times New Roman" w:cs="Times New Roman"/>
          <w:spacing w:val="6"/>
          <w:sz w:val="24"/>
          <w:szCs w:val="24"/>
        </w:rPr>
        <w:t xml:space="preserve">  </w:t>
      </w:r>
      <w:r>
        <w:rPr>
          <w:spacing w:val="-7"/>
          <w:sz w:val="24"/>
          <w:szCs w:val="24"/>
        </w:rPr>
        <w:t>计量</w:t>
      </w:r>
    </w:p>
    <w:p w14:paraId="3D70B965">
      <w:pPr>
        <w:pStyle w:val="2"/>
        <w:spacing w:before="132" w:line="231" w:lineRule="auto"/>
        <w:ind w:left="437"/>
        <w:rPr>
          <w:sz w:val="20"/>
          <w:szCs w:val="20"/>
        </w:rPr>
      </w:pPr>
      <w:r>
        <w:rPr>
          <w:rFonts w:ascii="Times New Roman" w:hAnsi="Times New Roman" w:eastAsia="Times New Roman" w:cs="Times New Roman"/>
          <w:sz w:val="20"/>
          <w:szCs w:val="20"/>
        </w:rPr>
        <w:t>17.</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z w:val="20"/>
          <w:szCs w:val="20"/>
        </w:rPr>
        <w:t>1.1</w:t>
      </w:r>
      <w:r>
        <w:rPr>
          <w:rFonts w:ascii="Times New Roman" w:hAnsi="Times New Roman" w:eastAsia="Times New Roman" w:cs="Times New Roman"/>
          <w:spacing w:val="7"/>
          <w:sz w:val="20"/>
          <w:szCs w:val="20"/>
        </w:rPr>
        <w:t xml:space="preserve">  </w:t>
      </w:r>
      <w:r>
        <w:rPr>
          <w:sz w:val="20"/>
          <w:szCs w:val="20"/>
        </w:rPr>
        <w:t>计量单位</w:t>
      </w:r>
    </w:p>
    <w:p w14:paraId="248A1567">
      <w:pPr>
        <w:spacing w:before="150" w:line="227" w:lineRule="auto"/>
        <w:ind w:left="420"/>
        <w:rPr>
          <w:rFonts w:ascii="宋体" w:hAnsi="宋体" w:eastAsia="宋体" w:cs="宋体"/>
          <w:sz w:val="20"/>
          <w:szCs w:val="20"/>
        </w:rPr>
      </w:pPr>
      <w:r>
        <w:rPr>
          <w:rFonts w:ascii="宋体" w:hAnsi="宋体" w:eastAsia="宋体" w:cs="宋体"/>
          <w:spacing w:val="8"/>
          <w:sz w:val="20"/>
          <w:szCs w:val="20"/>
        </w:rPr>
        <w:t>计量采用国家法定的计量单位。</w:t>
      </w:r>
    </w:p>
    <w:p w14:paraId="779984CB">
      <w:pPr>
        <w:pStyle w:val="2"/>
        <w:spacing w:before="156" w:line="229" w:lineRule="auto"/>
        <w:ind w:left="437"/>
        <w:rPr>
          <w:sz w:val="20"/>
          <w:szCs w:val="20"/>
        </w:rPr>
      </w:pPr>
      <w:r>
        <w:rPr>
          <w:rFonts w:ascii="Times New Roman" w:hAnsi="Times New Roman" w:eastAsia="Times New Roman" w:cs="Times New Roman"/>
          <w:sz w:val="20"/>
          <w:szCs w:val="20"/>
        </w:rPr>
        <w:t>17.</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z w:val="20"/>
          <w:szCs w:val="20"/>
        </w:rPr>
        <w:t>1.2</w:t>
      </w:r>
      <w:r>
        <w:rPr>
          <w:rFonts w:ascii="Times New Roman" w:hAnsi="Times New Roman" w:eastAsia="Times New Roman" w:cs="Times New Roman"/>
          <w:spacing w:val="7"/>
          <w:sz w:val="20"/>
          <w:szCs w:val="20"/>
        </w:rPr>
        <w:t xml:space="preserve">  </w:t>
      </w:r>
      <w:r>
        <w:rPr>
          <w:sz w:val="20"/>
          <w:szCs w:val="20"/>
        </w:rPr>
        <w:t>计量方法</w:t>
      </w:r>
    </w:p>
    <w:p w14:paraId="6DE14A4E">
      <w:pPr>
        <w:spacing w:before="149" w:line="228" w:lineRule="auto"/>
        <w:jc w:val="right"/>
        <w:rPr>
          <w:rFonts w:ascii="宋体" w:hAnsi="宋体" w:eastAsia="宋体" w:cs="宋体"/>
          <w:sz w:val="20"/>
          <w:szCs w:val="20"/>
        </w:rPr>
      </w:pPr>
      <w:r>
        <w:rPr>
          <w:rFonts w:ascii="宋体" w:hAnsi="宋体" w:eastAsia="宋体" w:cs="宋体"/>
          <w:spacing w:val="6"/>
          <w:sz w:val="20"/>
          <w:szCs w:val="20"/>
        </w:rPr>
        <w:t>工程量清单中的工程量计算规则应按有关国家标准、行业标准的规定，并在合同中约定执行。</w:t>
      </w:r>
    </w:p>
    <w:p w14:paraId="535B762E">
      <w:pPr>
        <w:pStyle w:val="2"/>
        <w:spacing w:before="155" w:line="231" w:lineRule="auto"/>
        <w:ind w:left="437"/>
        <w:rPr>
          <w:sz w:val="20"/>
          <w:szCs w:val="20"/>
        </w:rPr>
      </w:pPr>
      <w:r>
        <w:rPr>
          <w:rFonts w:ascii="Times New Roman" w:hAnsi="Times New Roman" w:eastAsia="Times New Roman" w:cs="Times New Roman"/>
          <w:sz w:val="20"/>
          <w:szCs w:val="20"/>
        </w:rPr>
        <w:t>17.</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z w:val="20"/>
          <w:szCs w:val="20"/>
        </w:rPr>
        <w:t>1.3</w:t>
      </w:r>
      <w:r>
        <w:rPr>
          <w:rFonts w:ascii="Times New Roman" w:hAnsi="Times New Roman" w:eastAsia="Times New Roman" w:cs="Times New Roman"/>
          <w:spacing w:val="7"/>
          <w:sz w:val="20"/>
          <w:szCs w:val="20"/>
        </w:rPr>
        <w:t xml:space="preserve">  </w:t>
      </w:r>
      <w:r>
        <w:rPr>
          <w:sz w:val="20"/>
          <w:szCs w:val="20"/>
        </w:rPr>
        <w:t>计量周期</w:t>
      </w:r>
    </w:p>
    <w:p w14:paraId="4FE707A2">
      <w:pPr>
        <w:spacing w:before="151" w:line="368" w:lineRule="auto"/>
        <w:ind w:left="17" w:right="71" w:firstLine="415"/>
        <w:rPr>
          <w:rFonts w:ascii="宋体" w:hAnsi="宋体" w:eastAsia="宋体" w:cs="宋体"/>
          <w:sz w:val="20"/>
          <w:szCs w:val="20"/>
        </w:rPr>
      </w:pPr>
      <w:r>
        <w:rPr>
          <w:rFonts w:ascii="宋体" w:hAnsi="宋体" w:eastAsia="宋体" w:cs="宋体"/>
          <w:spacing w:val="9"/>
          <w:sz w:val="20"/>
          <w:szCs w:val="20"/>
        </w:rPr>
        <w:t>除专用合同条款另有约定外，单价子目已完成工程量按月计量，总价子目的计量周期按批准</w:t>
      </w:r>
      <w:r>
        <w:rPr>
          <w:rFonts w:ascii="宋体" w:hAnsi="宋体" w:eastAsia="宋体" w:cs="宋体"/>
          <w:spacing w:val="6"/>
          <w:sz w:val="20"/>
          <w:szCs w:val="20"/>
        </w:rPr>
        <w:t>的支付分解报告确定。</w:t>
      </w:r>
    </w:p>
    <w:p w14:paraId="1186714A">
      <w:pPr>
        <w:pStyle w:val="2"/>
        <w:spacing w:before="1" w:line="230" w:lineRule="auto"/>
        <w:ind w:left="437"/>
        <w:rPr>
          <w:sz w:val="20"/>
          <w:szCs w:val="20"/>
        </w:rPr>
      </w:pPr>
      <w:r>
        <w:rPr>
          <w:rFonts w:ascii="Times New Roman" w:hAnsi="Times New Roman" w:eastAsia="Times New Roman" w:cs="Times New Roman"/>
          <w:spacing w:val="3"/>
          <w:sz w:val="20"/>
          <w:szCs w:val="20"/>
        </w:rPr>
        <w:t>17.</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3"/>
          <w:sz w:val="20"/>
          <w:szCs w:val="20"/>
        </w:rPr>
        <w:t xml:space="preserve">1.4  </w:t>
      </w:r>
      <w:r>
        <w:rPr>
          <w:spacing w:val="3"/>
          <w:sz w:val="20"/>
          <w:szCs w:val="20"/>
        </w:rPr>
        <w:t>单价子目的计量</w:t>
      </w:r>
    </w:p>
    <w:p w14:paraId="1FA34F61">
      <w:pPr>
        <w:spacing w:before="151" w:line="369" w:lineRule="auto"/>
        <w:ind w:left="2" w:right="73" w:firstLine="726"/>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w:t>
      </w:r>
      <w:r>
        <w:rPr>
          <w:rFonts w:ascii="宋体" w:hAnsi="宋体" w:eastAsia="宋体" w:cs="宋体"/>
          <w:spacing w:val="-59"/>
          <w:sz w:val="20"/>
          <w:szCs w:val="20"/>
        </w:rPr>
        <w:t xml:space="preserve"> </w:t>
      </w:r>
      <w:r>
        <w:rPr>
          <w:rFonts w:ascii="宋体" w:hAnsi="宋体" w:eastAsia="宋体" w:cs="宋体"/>
          <w:spacing w:val="9"/>
          <w:sz w:val="20"/>
          <w:szCs w:val="20"/>
        </w:rPr>
        <w:t>已标价工程量清单中的单价子目工程量为估算工程量。</w:t>
      </w:r>
      <w:r>
        <w:rPr>
          <w:rFonts w:ascii="宋体" w:hAnsi="宋体" w:eastAsia="宋体" w:cs="宋体"/>
          <w:spacing w:val="8"/>
          <w:sz w:val="20"/>
          <w:szCs w:val="20"/>
        </w:rPr>
        <w:t>结算工程量是承包人实际完</w:t>
      </w:r>
      <w:r>
        <w:rPr>
          <w:rFonts w:ascii="宋体" w:hAnsi="宋体" w:eastAsia="宋体" w:cs="宋体"/>
          <w:spacing w:val="9"/>
          <w:sz w:val="20"/>
          <w:szCs w:val="20"/>
        </w:rPr>
        <w:t>成的，并按合同约定的计量方法进行计量的工程量。</w:t>
      </w:r>
    </w:p>
    <w:p w14:paraId="6862D049">
      <w:pPr>
        <w:spacing w:before="2" w:line="368" w:lineRule="auto"/>
        <w:ind w:right="73" w:firstLine="728"/>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）承包人对已完成的工程进行计量，向监理人提交进度付款申</w:t>
      </w:r>
      <w:r>
        <w:rPr>
          <w:rFonts w:ascii="宋体" w:hAnsi="宋体" w:eastAsia="宋体" w:cs="宋体"/>
          <w:spacing w:val="9"/>
          <w:sz w:val="20"/>
          <w:szCs w:val="20"/>
        </w:rPr>
        <w:t>请单、已完成工程量报</w:t>
      </w:r>
      <w:r>
        <w:rPr>
          <w:rFonts w:ascii="宋体" w:hAnsi="宋体" w:eastAsia="宋体" w:cs="宋体"/>
          <w:spacing w:val="7"/>
          <w:sz w:val="20"/>
          <w:szCs w:val="20"/>
        </w:rPr>
        <w:t>表和有关计量资料。</w:t>
      </w:r>
    </w:p>
    <w:p w14:paraId="531F2E4D">
      <w:pPr>
        <w:spacing w:before="2" w:line="369" w:lineRule="auto"/>
        <w:ind w:right="71" w:firstLine="727"/>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）监理人对承包人提交的工程量报表进行复核，</w:t>
      </w:r>
      <w:r>
        <w:rPr>
          <w:rFonts w:ascii="宋体" w:hAnsi="宋体" w:eastAsia="宋体" w:cs="宋体"/>
          <w:spacing w:val="-60"/>
          <w:sz w:val="20"/>
          <w:szCs w:val="20"/>
        </w:rPr>
        <w:t xml:space="preserve"> </w:t>
      </w:r>
      <w:r>
        <w:rPr>
          <w:rFonts w:ascii="宋体" w:hAnsi="宋体" w:eastAsia="宋体" w:cs="宋体"/>
          <w:spacing w:val="9"/>
          <w:sz w:val="20"/>
          <w:szCs w:val="20"/>
        </w:rPr>
        <w:t>以确定实际</w:t>
      </w:r>
      <w:r>
        <w:rPr>
          <w:rFonts w:ascii="宋体" w:hAnsi="宋体" w:eastAsia="宋体" w:cs="宋体"/>
          <w:spacing w:val="8"/>
          <w:sz w:val="20"/>
          <w:szCs w:val="20"/>
        </w:rPr>
        <w:t>完成的工程量。对数量有</w:t>
      </w:r>
      <w:r>
        <w:rPr>
          <w:rFonts w:ascii="宋体" w:hAnsi="宋体" w:eastAsia="宋体" w:cs="宋体"/>
          <w:spacing w:val="10"/>
          <w:sz w:val="20"/>
          <w:szCs w:val="20"/>
        </w:rPr>
        <w:t>异议的，可要求承包人按第</w:t>
      </w:r>
      <w:r>
        <w:rPr>
          <w:rFonts w:ascii="宋体" w:hAnsi="宋体" w:eastAsia="宋体" w:cs="宋体"/>
          <w:spacing w:val="-32"/>
          <w:sz w:val="20"/>
          <w:szCs w:val="20"/>
        </w:rPr>
        <w:t xml:space="preserve"> </w:t>
      </w:r>
      <w:r>
        <w:rPr>
          <w:rFonts w:ascii="Times New Roman" w:hAnsi="Times New Roman" w:eastAsia="Times New Roman" w:cs="Times New Roman"/>
          <w:spacing w:val="10"/>
          <w:sz w:val="20"/>
          <w:szCs w:val="20"/>
        </w:rPr>
        <w:t xml:space="preserve">8.2 </w:t>
      </w:r>
      <w:r>
        <w:rPr>
          <w:rFonts w:ascii="宋体" w:hAnsi="宋体" w:eastAsia="宋体" w:cs="宋体"/>
          <w:spacing w:val="10"/>
          <w:sz w:val="20"/>
          <w:szCs w:val="20"/>
        </w:rPr>
        <w:t>款约定进行共同复核和抽样复测。承包人应协助监理人进行复核并按监理人要求提供补充计量资料。承包人未按监理人要求参加复核，监</w:t>
      </w:r>
      <w:r>
        <w:rPr>
          <w:rFonts w:ascii="宋体" w:hAnsi="宋体" w:eastAsia="宋体" w:cs="宋体"/>
          <w:spacing w:val="9"/>
          <w:sz w:val="20"/>
          <w:szCs w:val="20"/>
        </w:rPr>
        <w:t>理人复核或修正的工程</w:t>
      </w:r>
      <w:r>
        <w:rPr>
          <w:rFonts w:ascii="宋体" w:hAnsi="宋体" w:eastAsia="宋体" w:cs="宋体"/>
          <w:spacing w:val="8"/>
          <w:sz w:val="20"/>
          <w:szCs w:val="20"/>
        </w:rPr>
        <w:t>量视为承包人实际完成的工程量。</w:t>
      </w:r>
    </w:p>
    <w:p w14:paraId="59DF3138">
      <w:pPr>
        <w:spacing w:before="1" w:line="227" w:lineRule="auto"/>
        <w:jc w:val="right"/>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）监理人认为有必要时，可通知承包人共同进行联合测量、计量，承包人应遵照执行。</w:t>
      </w:r>
    </w:p>
    <w:p w14:paraId="1BE40B65">
      <w:pPr>
        <w:spacing w:before="153" w:line="369" w:lineRule="auto"/>
        <w:ind w:right="71" w:firstLine="727"/>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5</w:t>
      </w:r>
      <w:r>
        <w:rPr>
          <w:rFonts w:ascii="宋体" w:hAnsi="宋体" w:eastAsia="宋体" w:cs="宋体"/>
          <w:spacing w:val="10"/>
          <w:sz w:val="20"/>
          <w:szCs w:val="20"/>
        </w:rPr>
        <w:t>）承包人完成工程量清单中每个子目的工程量后，监理人应要</w:t>
      </w:r>
      <w:r>
        <w:rPr>
          <w:rFonts w:ascii="宋体" w:hAnsi="宋体" w:eastAsia="宋体" w:cs="宋体"/>
          <w:spacing w:val="9"/>
          <w:sz w:val="20"/>
          <w:szCs w:val="20"/>
        </w:rPr>
        <w:t>求承包人派员共同对每个子目的历次计量报表进行汇总，</w:t>
      </w:r>
      <w:r>
        <w:rPr>
          <w:rFonts w:ascii="宋体" w:hAnsi="宋体" w:eastAsia="宋体" w:cs="宋体"/>
          <w:spacing w:val="-60"/>
          <w:sz w:val="20"/>
          <w:szCs w:val="20"/>
        </w:rPr>
        <w:t xml:space="preserve"> </w:t>
      </w:r>
      <w:r>
        <w:rPr>
          <w:rFonts w:ascii="宋体" w:hAnsi="宋体" w:eastAsia="宋体" w:cs="宋体"/>
          <w:spacing w:val="9"/>
          <w:sz w:val="20"/>
          <w:szCs w:val="20"/>
        </w:rPr>
        <w:t>以核实最终结算工程量。监理人可要求承包</w:t>
      </w:r>
      <w:r>
        <w:rPr>
          <w:rFonts w:ascii="宋体" w:hAnsi="宋体" w:eastAsia="宋体" w:cs="宋体"/>
          <w:spacing w:val="8"/>
          <w:sz w:val="20"/>
          <w:szCs w:val="20"/>
        </w:rPr>
        <w:t>人提供补充计量资</w:t>
      </w:r>
      <w:r>
        <w:rPr>
          <w:rFonts w:ascii="宋体" w:hAnsi="宋体" w:eastAsia="宋体" w:cs="宋体"/>
          <w:spacing w:val="10"/>
          <w:sz w:val="20"/>
          <w:szCs w:val="20"/>
        </w:rPr>
        <w:t>料，以确定最后一次进度付款的准确工程量。承包人未按监理人要求派员</w:t>
      </w:r>
      <w:r>
        <w:rPr>
          <w:rFonts w:ascii="宋体" w:hAnsi="宋体" w:eastAsia="宋体" w:cs="宋体"/>
          <w:spacing w:val="9"/>
          <w:sz w:val="20"/>
          <w:szCs w:val="20"/>
        </w:rPr>
        <w:t>参加的，监理人最终核实的工程量视为承包人完成该子目的准确工程量。</w:t>
      </w:r>
    </w:p>
    <w:p w14:paraId="211DF03D">
      <w:pPr>
        <w:spacing w:before="1" w:line="227" w:lineRule="auto"/>
        <w:ind w:left="728"/>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6</w:t>
      </w:r>
      <w:r>
        <w:rPr>
          <w:rFonts w:ascii="宋体" w:hAnsi="宋体" w:eastAsia="宋体" w:cs="宋体"/>
          <w:spacing w:val="9"/>
          <w:sz w:val="20"/>
          <w:szCs w:val="20"/>
        </w:rPr>
        <w:t>）监理人应在收到承包人提交的工程量报表后的</w:t>
      </w:r>
      <w:r>
        <w:rPr>
          <w:rFonts w:ascii="宋体" w:hAnsi="宋体" w:eastAsia="宋体" w:cs="宋体"/>
          <w:spacing w:val="-35"/>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9"/>
          <w:sz w:val="20"/>
          <w:szCs w:val="20"/>
        </w:rPr>
        <w:t>天内进行复核，监理人未在约定时</w:t>
      </w:r>
    </w:p>
    <w:p w14:paraId="7A3972D8">
      <w:pPr>
        <w:spacing w:line="227" w:lineRule="auto"/>
        <w:rPr>
          <w:rFonts w:ascii="宋体" w:hAnsi="宋体" w:eastAsia="宋体" w:cs="宋体"/>
          <w:sz w:val="20"/>
          <w:szCs w:val="20"/>
        </w:rPr>
        <w:sectPr>
          <w:footerReference r:id="rId183" w:type="default"/>
          <w:pgSz w:w="11906" w:h="16839"/>
          <w:pgMar w:top="400" w:right="1483" w:bottom="1038" w:left="1538" w:header="0" w:footer="787" w:gutter="0"/>
          <w:cols w:space="720" w:num="1"/>
        </w:sectPr>
      </w:pPr>
    </w:p>
    <w:p w14:paraId="370434C6">
      <w:pPr>
        <w:spacing w:line="272" w:lineRule="auto"/>
        <w:rPr>
          <w:rFonts w:ascii="Arial"/>
          <w:sz w:val="21"/>
        </w:rPr>
      </w:pPr>
    </w:p>
    <w:p w14:paraId="04E275ED">
      <w:pPr>
        <w:spacing w:line="272" w:lineRule="auto"/>
        <w:rPr>
          <w:rFonts w:ascii="Arial"/>
          <w:sz w:val="21"/>
        </w:rPr>
      </w:pPr>
    </w:p>
    <w:p w14:paraId="3D215379">
      <w:pPr>
        <w:spacing w:line="272" w:lineRule="auto"/>
        <w:rPr>
          <w:rFonts w:ascii="Arial"/>
          <w:sz w:val="21"/>
        </w:rPr>
      </w:pPr>
    </w:p>
    <w:p w14:paraId="1B2314DC">
      <w:pPr>
        <w:spacing w:line="272" w:lineRule="auto"/>
        <w:rPr>
          <w:rFonts w:ascii="Arial"/>
          <w:sz w:val="21"/>
        </w:rPr>
      </w:pPr>
    </w:p>
    <w:p w14:paraId="7EC3C90A">
      <w:pPr>
        <w:spacing w:before="65" w:line="368" w:lineRule="auto"/>
        <w:ind w:left="1" w:right="71" w:firstLine="15"/>
        <w:rPr>
          <w:rFonts w:ascii="宋体" w:hAnsi="宋体" w:eastAsia="宋体" w:cs="宋体"/>
          <w:sz w:val="20"/>
          <w:szCs w:val="20"/>
        </w:rPr>
      </w:pPr>
      <w:r>
        <w:rPr>
          <w:rFonts w:ascii="宋体" w:hAnsi="宋体" w:eastAsia="宋体" w:cs="宋体"/>
          <w:spacing w:val="9"/>
          <w:sz w:val="20"/>
          <w:szCs w:val="20"/>
        </w:rPr>
        <w:t>间内复核的，承包人提交的工程量报表中的工程量视为承包人实际完成的工程量，据此计算工程</w:t>
      </w:r>
      <w:r>
        <w:rPr>
          <w:rFonts w:ascii="宋体" w:hAnsi="宋体" w:eastAsia="宋体" w:cs="宋体"/>
          <w:spacing w:val="2"/>
          <w:sz w:val="20"/>
          <w:szCs w:val="20"/>
        </w:rPr>
        <w:t>价款。</w:t>
      </w:r>
    </w:p>
    <w:p w14:paraId="62FB5228">
      <w:pPr>
        <w:pStyle w:val="2"/>
        <w:spacing w:line="230" w:lineRule="auto"/>
        <w:ind w:left="437"/>
        <w:rPr>
          <w:sz w:val="20"/>
          <w:szCs w:val="20"/>
        </w:rPr>
      </w:pPr>
      <w:r>
        <w:rPr>
          <w:rFonts w:ascii="Times New Roman" w:hAnsi="Times New Roman" w:eastAsia="Times New Roman" w:cs="Times New Roman"/>
          <w:spacing w:val="3"/>
          <w:sz w:val="20"/>
          <w:szCs w:val="20"/>
        </w:rPr>
        <w:t>17.</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3"/>
          <w:sz w:val="20"/>
          <w:szCs w:val="20"/>
        </w:rPr>
        <w:t xml:space="preserve">1.5  </w:t>
      </w:r>
      <w:r>
        <w:rPr>
          <w:spacing w:val="3"/>
          <w:sz w:val="20"/>
          <w:szCs w:val="20"/>
        </w:rPr>
        <w:t>总价子目的计量</w:t>
      </w:r>
    </w:p>
    <w:p w14:paraId="46EB5016">
      <w:pPr>
        <w:spacing w:before="151" w:line="226" w:lineRule="auto"/>
        <w:ind w:left="641"/>
        <w:rPr>
          <w:rFonts w:ascii="宋体" w:hAnsi="宋体" w:eastAsia="宋体" w:cs="宋体"/>
          <w:sz w:val="20"/>
          <w:szCs w:val="20"/>
        </w:rPr>
      </w:pPr>
      <w:r>
        <w:rPr>
          <w:rFonts w:ascii="宋体" w:hAnsi="宋体" w:eastAsia="宋体" w:cs="宋体"/>
          <w:spacing w:val="9"/>
          <w:sz w:val="20"/>
          <w:szCs w:val="20"/>
        </w:rPr>
        <w:t>除专用合同条款另有约定外，总价子目的分解和计量按照下述约定进行。</w:t>
      </w:r>
    </w:p>
    <w:p w14:paraId="357C421D">
      <w:pPr>
        <w:spacing w:before="153" w:line="370" w:lineRule="auto"/>
        <w:ind w:left="2" w:right="73" w:firstLine="637"/>
        <w:rPr>
          <w:rFonts w:ascii="宋体" w:hAnsi="宋体" w:eastAsia="宋体" w:cs="宋体"/>
          <w:sz w:val="20"/>
          <w:szCs w:val="20"/>
        </w:rPr>
      </w:pPr>
      <w:r>
        <w:rPr>
          <w:rFonts w:ascii="宋体" w:hAnsi="宋体" w:eastAsia="宋体" w:cs="宋体"/>
          <w:spacing w:val="8"/>
          <w:sz w:val="20"/>
          <w:szCs w:val="20"/>
        </w:rPr>
        <w:t>（1）总价子目的计量和支付应以总价为基础，不因第</w:t>
      </w:r>
      <w:r>
        <w:rPr>
          <w:rFonts w:ascii="宋体" w:hAnsi="宋体" w:eastAsia="宋体" w:cs="宋体"/>
          <w:spacing w:val="-19"/>
          <w:sz w:val="20"/>
          <w:szCs w:val="20"/>
        </w:rPr>
        <w:t xml:space="preserve"> </w:t>
      </w:r>
      <w:r>
        <w:rPr>
          <w:rFonts w:ascii="宋体" w:hAnsi="宋体" w:eastAsia="宋体" w:cs="宋体"/>
          <w:spacing w:val="8"/>
          <w:sz w:val="20"/>
          <w:szCs w:val="20"/>
        </w:rPr>
        <w:t>16.1</w:t>
      </w:r>
      <w:r>
        <w:rPr>
          <w:rFonts w:ascii="宋体" w:hAnsi="宋体" w:eastAsia="宋体" w:cs="宋体"/>
          <w:spacing w:val="-40"/>
          <w:sz w:val="20"/>
          <w:szCs w:val="20"/>
        </w:rPr>
        <w:t xml:space="preserve"> </w:t>
      </w:r>
      <w:r>
        <w:rPr>
          <w:rFonts w:ascii="宋体" w:hAnsi="宋体" w:eastAsia="宋体" w:cs="宋体"/>
          <w:spacing w:val="8"/>
          <w:sz w:val="20"/>
          <w:szCs w:val="20"/>
        </w:rPr>
        <w:t>款中的因素而进行调整。承包</w:t>
      </w:r>
      <w:r>
        <w:rPr>
          <w:rFonts w:ascii="宋体" w:hAnsi="宋体" w:eastAsia="宋体" w:cs="宋体"/>
          <w:spacing w:val="9"/>
          <w:sz w:val="20"/>
          <w:szCs w:val="20"/>
        </w:rPr>
        <w:t>人实际完成的工程量，是进行工程目标管理和控制进度支付的依据。</w:t>
      </w:r>
    </w:p>
    <w:p w14:paraId="16052EFD">
      <w:pPr>
        <w:spacing w:before="1" w:line="369" w:lineRule="auto"/>
        <w:ind w:right="71" w:firstLine="639"/>
        <w:rPr>
          <w:rFonts w:ascii="宋体" w:hAnsi="宋体" w:eastAsia="宋体" w:cs="宋体"/>
          <w:sz w:val="20"/>
          <w:szCs w:val="20"/>
        </w:rPr>
      </w:pPr>
      <w:r>
        <w:rPr>
          <w:rFonts w:ascii="宋体" w:hAnsi="宋体" w:eastAsia="宋体" w:cs="宋体"/>
          <w:spacing w:val="7"/>
          <w:sz w:val="20"/>
          <w:szCs w:val="20"/>
        </w:rPr>
        <w:t>（2）承包人在合同约定的每个计量周期内，对已完成的工程进行</w:t>
      </w:r>
      <w:r>
        <w:rPr>
          <w:rFonts w:ascii="宋体" w:hAnsi="宋体" w:eastAsia="宋体" w:cs="宋体"/>
          <w:spacing w:val="6"/>
          <w:sz w:val="20"/>
          <w:szCs w:val="20"/>
        </w:rPr>
        <w:t>计量，并向监理人提交进</w:t>
      </w:r>
      <w:r>
        <w:rPr>
          <w:rFonts w:ascii="宋体" w:hAnsi="宋体" w:eastAsia="宋体" w:cs="宋体"/>
          <w:spacing w:val="10"/>
          <w:sz w:val="20"/>
          <w:szCs w:val="20"/>
        </w:rPr>
        <w:t>度付款申请单、专用合同条款约定的合同总价支付分解表所表示的阶段性或</w:t>
      </w:r>
      <w:r>
        <w:rPr>
          <w:rFonts w:ascii="宋体" w:hAnsi="宋体" w:eastAsia="宋体" w:cs="宋体"/>
          <w:spacing w:val="9"/>
          <w:sz w:val="20"/>
          <w:szCs w:val="20"/>
        </w:rPr>
        <w:t>分项计量的支持性资</w:t>
      </w:r>
      <w:r>
        <w:rPr>
          <w:rFonts w:ascii="宋体" w:hAnsi="宋体" w:eastAsia="宋体" w:cs="宋体"/>
          <w:spacing w:val="8"/>
          <w:sz w:val="20"/>
          <w:szCs w:val="20"/>
        </w:rPr>
        <w:t>料，</w:t>
      </w:r>
      <w:r>
        <w:rPr>
          <w:rFonts w:ascii="宋体" w:hAnsi="宋体" w:eastAsia="宋体" w:cs="宋体"/>
          <w:spacing w:val="-56"/>
          <w:sz w:val="20"/>
          <w:szCs w:val="20"/>
        </w:rPr>
        <w:t xml:space="preserve"> </w:t>
      </w:r>
      <w:r>
        <w:rPr>
          <w:rFonts w:ascii="宋体" w:hAnsi="宋体" w:eastAsia="宋体" w:cs="宋体"/>
          <w:spacing w:val="8"/>
          <w:sz w:val="20"/>
          <w:szCs w:val="20"/>
        </w:rPr>
        <w:t>以及所达到工程形象目标或分阶段需完成的工程量和有关计量资料。</w:t>
      </w:r>
    </w:p>
    <w:p w14:paraId="01A82BB4">
      <w:pPr>
        <w:spacing w:before="1" w:line="368" w:lineRule="auto"/>
        <w:ind w:left="8" w:right="73" w:firstLine="631"/>
        <w:rPr>
          <w:rFonts w:ascii="宋体" w:hAnsi="宋体" w:eastAsia="宋体" w:cs="宋体"/>
          <w:sz w:val="20"/>
          <w:szCs w:val="20"/>
        </w:rPr>
      </w:pPr>
      <w:r>
        <w:rPr>
          <w:rFonts w:ascii="宋体" w:hAnsi="宋体" w:eastAsia="宋体" w:cs="宋体"/>
          <w:spacing w:val="7"/>
          <w:sz w:val="20"/>
          <w:szCs w:val="20"/>
        </w:rPr>
        <w:t>（3）监理人对承包人提交的上述资料进行复核，以确定分阶段实</w:t>
      </w:r>
      <w:r>
        <w:rPr>
          <w:rFonts w:ascii="宋体" w:hAnsi="宋体" w:eastAsia="宋体" w:cs="宋体"/>
          <w:spacing w:val="6"/>
          <w:sz w:val="20"/>
          <w:szCs w:val="20"/>
        </w:rPr>
        <w:t>际完成的工程量和工程形</w:t>
      </w:r>
      <w:r>
        <w:rPr>
          <w:rFonts w:ascii="宋体" w:hAnsi="宋体" w:eastAsia="宋体" w:cs="宋体"/>
          <w:spacing w:val="10"/>
          <w:sz w:val="20"/>
          <w:szCs w:val="20"/>
        </w:rPr>
        <w:t>象目标。对其有异议的，可要求承包人按第8.2</w:t>
      </w:r>
      <w:r>
        <w:rPr>
          <w:rFonts w:ascii="宋体" w:hAnsi="宋体" w:eastAsia="宋体" w:cs="宋体"/>
          <w:spacing w:val="-40"/>
          <w:sz w:val="20"/>
          <w:szCs w:val="20"/>
        </w:rPr>
        <w:t xml:space="preserve"> </w:t>
      </w:r>
      <w:r>
        <w:rPr>
          <w:rFonts w:ascii="宋体" w:hAnsi="宋体" w:eastAsia="宋体" w:cs="宋体"/>
          <w:spacing w:val="10"/>
          <w:sz w:val="20"/>
          <w:szCs w:val="20"/>
        </w:rPr>
        <w:t>款约定进行共同复核和抽样复测。</w:t>
      </w:r>
    </w:p>
    <w:p w14:paraId="5B6E51AE">
      <w:pPr>
        <w:spacing w:before="1" w:line="226" w:lineRule="auto"/>
        <w:ind w:left="639"/>
        <w:rPr>
          <w:rFonts w:ascii="宋体" w:hAnsi="宋体" w:eastAsia="宋体" w:cs="宋体"/>
          <w:sz w:val="20"/>
          <w:szCs w:val="20"/>
        </w:rPr>
      </w:pPr>
      <w:r>
        <w:rPr>
          <w:rFonts w:ascii="宋体" w:hAnsi="宋体" w:eastAsia="宋体" w:cs="宋体"/>
          <w:spacing w:val="8"/>
          <w:sz w:val="20"/>
          <w:szCs w:val="20"/>
        </w:rPr>
        <w:t>（4）除按照第</w:t>
      </w:r>
      <w:r>
        <w:rPr>
          <w:rFonts w:ascii="宋体" w:hAnsi="宋体" w:eastAsia="宋体" w:cs="宋体"/>
          <w:spacing w:val="-24"/>
          <w:sz w:val="20"/>
          <w:szCs w:val="20"/>
        </w:rPr>
        <w:t xml:space="preserve"> </w:t>
      </w:r>
      <w:r>
        <w:rPr>
          <w:rFonts w:ascii="宋体" w:hAnsi="宋体" w:eastAsia="宋体" w:cs="宋体"/>
          <w:spacing w:val="8"/>
          <w:sz w:val="20"/>
          <w:szCs w:val="20"/>
        </w:rPr>
        <w:t>15</w:t>
      </w:r>
      <w:r>
        <w:rPr>
          <w:rFonts w:ascii="宋体" w:hAnsi="宋体" w:eastAsia="宋体" w:cs="宋体"/>
          <w:spacing w:val="-38"/>
          <w:sz w:val="20"/>
          <w:szCs w:val="20"/>
        </w:rPr>
        <w:t xml:space="preserve"> </w:t>
      </w:r>
      <w:r>
        <w:rPr>
          <w:rFonts w:ascii="宋体" w:hAnsi="宋体" w:eastAsia="宋体" w:cs="宋体"/>
          <w:spacing w:val="8"/>
          <w:sz w:val="20"/>
          <w:szCs w:val="20"/>
        </w:rPr>
        <w:t>条约定的变更外，总价子目的工程量是承包人用于结算的最终工程量。</w:t>
      </w:r>
    </w:p>
    <w:p w14:paraId="6EB48644">
      <w:pPr>
        <w:pStyle w:val="2"/>
        <w:spacing w:before="128" w:line="222" w:lineRule="auto"/>
        <w:ind w:left="20"/>
        <w:rPr>
          <w:sz w:val="24"/>
          <w:szCs w:val="24"/>
        </w:rPr>
      </w:pPr>
      <w:r>
        <w:rPr>
          <w:rFonts w:ascii="Times New Roman" w:hAnsi="Times New Roman" w:eastAsia="Times New Roman" w:cs="Times New Roman"/>
          <w:spacing w:val="-6"/>
          <w:sz w:val="24"/>
          <w:szCs w:val="24"/>
        </w:rPr>
        <w:t>17.2</w:t>
      </w:r>
      <w:r>
        <w:rPr>
          <w:rFonts w:ascii="Times New Roman" w:hAnsi="Times New Roman" w:eastAsia="Times New Roman" w:cs="Times New Roman"/>
          <w:spacing w:val="6"/>
          <w:sz w:val="24"/>
          <w:szCs w:val="24"/>
        </w:rPr>
        <w:t xml:space="preserve">  </w:t>
      </w:r>
      <w:r>
        <w:rPr>
          <w:spacing w:val="-6"/>
          <w:sz w:val="24"/>
          <w:szCs w:val="24"/>
        </w:rPr>
        <w:t>预付款</w:t>
      </w:r>
    </w:p>
    <w:p w14:paraId="619FA714">
      <w:pPr>
        <w:pStyle w:val="2"/>
        <w:spacing w:before="137" w:line="230" w:lineRule="auto"/>
        <w:ind w:left="437"/>
        <w:rPr>
          <w:sz w:val="20"/>
          <w:szCs w:val="20"/>
        </w:rPr>
      </w:pPr>
      <w:r>
        <w:rPr>
          <w:rFonts w:ascii="Times New Roman" w:hAnsi="Times New Roman" w:eastAsia="Times New Roman" w:cs="Times New Roman"/>
          <w:spacing w:val="1"/>
          <w:sz w:val="20"/>
          <w:szCs w:val="20"/>
        </w:rPr>
        <w:t>17.2.1</w:t>
      </w:r>
      <w:r>
        <w:rPr>
          <w:rFonts w:ascii="Times New Roman" w:hAnsi="Times New Roman" w:eastAsia="Times New Roman" w:cs="Times New Roman"/>
          <w:spacing w:val="11"/>
          <w:sz w:val="20"/>
          <w:szCs w:val="20"/>
        </w:rPr>
        <w:t xml:space="preserve">  </w:t>
      </w:r>
      <w:r>
        <w:rPr>
          <w:spacing w:val="1"/>
          <w:sz w:val="20"/>
          <w:szCs w:val="20"/>
        </w:rPr>
        <w:t>预付款</w:t>
      </w:r>
    </w:p>
    <w:p w14:paraId="42977D67">
      <w:pPr>
        <w:spacing w:before="152" w:line="369" w:lineRule="auto"/>
        <w:ind w:firstLine="422"/>
        <w:rPr>
          <w:rFonts w:ascii="宋体" w:hAnsi="宋体" w:eastAsia="宋体" w:cs="宋体"/>
          <w:sz w:val="20"/>
          <w:szCs w:val="20"/>
        </w:rPr>
      </w:pPr>
      <w:r>
        <w:rPr>
          <w:rFonts w:ascii="宋体" w:hAnsi="宋体" w:eastAsia="宋体" w:cs="宋体"/>
          <w:spacing w:val="10"/>
          <w:sz w:val="20"/>
          <w:szCs w:val="20"/>
        </w:rPr>
        <w:t>预付款用于承包人为合同工程施工购置材料、工程设备、施工设备</w:t>
      </w:r>
      <w:r>
        <w:rPr>
          <w:rFonts w:ascii="宋体" w:hAnsi="宋体" w:eastAsia="宋体" w:cs="宋体"/>
          <w:spacing w:val="9"/>
          <w:sz w:val="20"/>
          <w:szCs w:val="20"/>
        </w:rPr>
        <w:t>、修建临时设施以及组织</w:t>
      </w:r>
      <w:r>
        <w:rPr>
          <w:rFonts w:ascii="宋体" w:hAnsi="宋体" w:eastAsia="宋体" w:cs="宋体"/>
          <w:spacing w:val="7"/>
          <w:sz w:val="20"/>
          <w:szCs w:val="20"/>
        </w:rPr>
        <w:t>施工队伍进场等。预付款的额度和预付办法在专用合同</w:t>
      </w:r>
      <w:r>
        <w:rPr>
          <w:rFonts w:ascii="宋体" w:hAnsi="宋体" w:eastAsia="宋体" w:cs="宋体"/>
          <w:spacing w:val="6"/>
          <w:sz w:val="20"/>
          <w:szCs w:val="20"/>
        </w:rPr>
        <w:t>条款中约定。预付款必须专用于合同工程。</w:t>
      </w:r>
    </w:p>
    <w:p w14:paraId="3FD56581">
      <w:pPr>
        <w:pStyle w:val="2"/>
        <w:spacing w:before="1" w:line="229" w:lineRule="auto"/>
        <w:ind w:left="437"/>
        <w:rPr>
          <w:sz w:val="20"/>
          <w:szCs w:val="20"/>
        </w:rPr>
      </w:pPr>
      <w:r>
        <w:rPr>
          <w:rFonts w:ascii="Times New Roman" w:hAnsi="Times New Roman" w:eastAsia="Times New Roman" w:cs="Times New Roman"/>
          <w:spacing w:val="4"/>
          <w:sz w:val="20"/>
          <w:szCs w:val="20"/>
        </w:rPr>
        <w:t xml:space="preserve">17.2.2  </w:t>
      </w:r>
      <w:r>
        <w:rPr>
          <w:spacing w:val="4"/>
          <w:sz w:val="20"/>
          <w:szCs w:val="20"/>
        </w:rPr>
        <w:t>预付款保函</w:t>
      </w:r>
    </w:p>
    <w:p w14:paraId="26238A14">
      <w:pPr>
        <w:spacing w:before="151" w:line="369" w:lineRule="auto"/>
        <w:ind w:left="1" w:right="71" w:firstLine="431"/>
        <w:rPr>
          <w:rFonts w:ascii="宋体" w:hAnsi="宋体" w:eastAsia="宋体" w:cs="宋体"/>
          <w:sz w:val="20"/>
          <w:szCs w:val="20"/>
        </w:rPr>
      </w:pPr>
      <w:r>
        <w:rPr>
          <w:rFonts w:ascii="宋体" w:hAnsi="宋体" w:eastAsia="宋体" w:cs="宋体"/>
          <w:spacing w:val="9"/>
          <w:sz w:val="20"/>
          <w:szCs w:val="20"/>
        </w:rPr>
        <w:t>除专用合同条款另有约定外，承包人应在收到预付款的同时向发包人提交预付款保函，预付款保函的担保金额应与预付款金额相同。保函的担保金额可根据预付款扣回的金额相应递减。</w:t>
      </w:r>
    </w:p>
    <w:p w14:paraId="1CB482DB">
      <w:pPr>
        <w:pStyle w:val="2"/>
        <w:spacing w:before="1" w:line="229" w:lineRule="auto"/>
        <w:ind w:left="437"/>
        <w:rPr>
          <w:sz w:val="20"/>
          <w:szCs w:val="20"/>
        </w:rPr>
      </w:pPr>
      <w:r>
        <w:rPr>
          <w:rFonts w:ascii="Times New Roman" w:hAnsi="Times New Roman" w:eastAsia="Times New Roman" w:cs="Times New Roman"/>
          <w:spacing w:val="5"/>
          <w:sz w:val="20"/>
          <w:szCs w:val="20"/>
        </w:rPr>
        <w:t xml:space="preserve">17.2.3  </w:t>
      </w:r>
      <w:r>
        <w:rPr>
          <w:spacing w:val="5"/>
          <w:sz w:val="20"/>
          <w:szCs w:val="20"/>
        </w:rPr>
        <w:t>预付款的扣回与还清</w:t>
      </w:r>
    </w:p>
    <w:p w14:paraId="0414A2AD">
      <w:pPr>
        <w:spacing w:before="152" w:line="361" w:lineRule="auto"/>
        <w:ind w:left="3" w:right="71" w:firstLine="419"/>
        <w:rPr>
          <w:rFonts w:ascii="宋体" w:hAnsi="宋体" w:eastAsia="宋体" w:cs="宋体"/>
          <w:sz w:val="20"/>
          <w:szCs w:val="20"/>
        </w:rPr>
      </w:pPr>
      <w:r>
        <w:rPr>
          <w:rFonts w:ascii="宋体" w:hAnsi="宋体" w:eastAsia="宋体" w:cs="宋体"/>
          <w:spacing w:val="10"/>
          <w:sz w:val="20"/>
          <w:szCs w:val="20"/>
        </w:rPr>
        <w:t>预付款在进度付款中扣回，扣回办法在专用合同条款中约定。在颁</w:t>
      </w:r>
      <w:r>
        <w:rPr>
          <w:rFonts w:ascii="宋体" w:hAnsi="宋体" w:eastAsia="宋体" w:cs="宋体"/>
          <w:spacing w:val="9"/>
          <w:sz w:val="20"/>
          <w:szCs w:val="20"/>
        </w:rPr>
        <w:t>发工程接收证书前，由于</w:t>
      </w:r>
      <w:r>
        <w:rPr>
          <w:rFonts w:ascii="宋体" w:hAnsi="宋体" w:eastAsia="宋体" w:cs="宋体"/>
          <w:spacing w:val="10"/>
          <w:sz w:val="20"/>
          <w:szCs w:val="20"/>
        </w:rPr>
        <w:t>不可抗力或其他原因解除合同时，预付款尚未扣清的，尚未扣清的预</w:t>
      </w:r>
      <w:r>
        <w:rPr>
          <w:rFonts w:ascii="宋体" w:hAnsi="宋体" w:eastAsia="宋体" w:cs="宋体"/>
          <w:spacing w:val="9"/>
          <w:sz w:val="20"/>
          <w:szCs w:val="20"/>
        </w:rPr>
        <w:t>付款余额应作为承包人的到</w:t>
      </w:r>
      <w:r>
        <w:rPr>
          <w:rFonts w:ascii="宋体" w:hAnsi="宋体" w:eastAsia="宋体" w:cs="宋体"/>
          <w:spacing w:val="5"/>
          <w:sz w:val="20"/>
          <w:szCs w:val="20"/>
        </w:rPr>
        <w:t>期应付款。</w:t>
      </w:r>
    </w:p>
    <w:p w14:paraId="3B849E64">
      <w:pPr>
        <w:pStyle w:val="2"/>
        <w:spacing w:before="1" w:line="221" w:lineRule="auto"/>
        <w:ind w:left="20"/>
        <w:rPr>
          <w:sz w:val="24"/>
          <w:szCs w:val="24"/>
        </w:rPr>
      </w:pPr>
      <w:r>
        <w:rPr>
          <w:rFonts w:ascii="Times New Roman" w:hAnsi="Times New Roman" w:eastAsia="Times New Roman" w:cs="Times New Roman"/>
          <w:spacing w:val="-3"/>
          <w:sz w:val="24"/>
          <w:szCs w:val="24"/>
        </w:rPr>
        <w:t xml:space="preserve">17.3  </w:t>
      </w:r>
      <w:r>
        <w:rPr>
          <w:spacing w:val="-3"/>
          <w:sz w:val="24"/>
          <w:szCs w:val="24"/>
        </w:rPr>
        <w:t>工程进度付款</w:t>
      </w:r>
    </w:p>
    <w:p w14:paraId="0E7B2DBE">
      <w:pPr>
        <w:pStyle w:val="2"/>
        <w:spacing w:before="139" w:line="231" w:lineRule="auto"/>
        <w:ind w:left="437"/>
        <w:rPr>
          <w:sz w:val="20"/>
          <w:szCs w:val="20"/>
        </w:rPr>
      </w:pPr>
      <w:r>
        <w:rPr>
          <w:rFonts w:ascii="Times New Roman" w:hAnsi="Times New Roman" w:eastAsia="Times New Roman" w:cs="Times New Roman"/>
          <w:spacing w:val="3"/>
          <w:sz w:val="20"/>
          <w:szCs w:val="20"/>
        </w:rPr>
        <w:t xml:space="preserve">17.3.1  </w:t>
      </w:r>
      <w:r>
        <w:rPr>
          <w:spacing w:val="3"/>
          <w:sz w:val="20"/>
          <w:szCs w:val="20"/>
        </w:rPr>
        <w:t>付款周期</w:t>
      </w:r>
    </w:p>
    <w:p w14:paraId="7556840A">
      <w:pPr>
        <w:spacing w:before="148" w:line="228" w:lineRule="auto"/>
        <w:ind w:left="420"/>
        <w:rPr>
          <w:rFonts w:ascii="宋体" w:hAnsi="宋体" w:eastAsia="宋体" w:cs="宋体"/>
          <w:sz w:val="20"/>
          <w:szCs w:val="20"/>
        </w:rPr>
      </w:pPr>
      <w:r>
        <w:rPr>
          <w:rFonts w:ascii="宋体" w:hAnsi="宋体" w:eastAsia="宋体" w:cs="宋体"/>
          <w:spacing w:val="8"/>
          <w:sz w:val="20"/>
          <w:szCs w:val="20"/>
        </w:rPr>
        <w:t>付款周期同计量周期。</w:t>
      </w:r>
    </w:p>
    <w:p w14:paraId="14777D7A">
      <w:pPr>
        <w:pStyle w:val="2"/>
        <w:spacing w:before="154" w:line="230" w:lineRule="auto"/>
        <w:ind w:left="437"/>
        <w:rPr>
          <w:sz w:val="20"/>
          <w:szCs w:val="20"/>
        </w:rPr>
      </w:pPr>
      <w:r>
        <w:rPr>
          <w:rFonts w:ascii="Times New Roman" w:hAnsi="Times New Roman" w:eastAsia="Times New Roman" w:cs="Times New Roman"/>
          <w:spacing w:val="4"/>
          <w:sz w:val="20"/>
          <w:szCs w:val="20"/>
        </w:rPr>
        <w:t xml:space="preserve">17.3.2  </w:t>
      </w:r>
      <w:r>
        <w:rPr>
          <w:spacing w:val="4"/>
          <w:sz w:val="20"/>
          <w:szCs w:val="20"/>
        </w:rPr>
        <w:t>进度付款申请单</w:t>
      </w:r>
    </w:p>
    <w:p w14:paraId="41078D8E">
      <w:pPr>
        <w:spacing w:before="152" w:line="369" w:lineRule="auto"/>
        <w:ind w:right="71" w:firstLine="420"/>
        <w:rPr>
          <w:rFonts w:ascii="宋体" w:hAnsi="宋体" w:eastAsia="宋体" w:cs="宋体"/>
          <w:sz w:val="20"/>
          <w:szCs w:val="20"/>
        </w:rPr>
      </w:pPr>
      <w:r>
        <w:rPr>
          <w:rFonts w:ascii="宋体" w:hAnsi="宋体" w:eastAsia="宋体" w:cs="宋体"/>
          <w:spacing w:val="10"/>
          <w:sz w:val="20"/>
          <w:szCs w:val="20"/>
        </w:rPr>
        <w:t>承包人应在每个付款周期末，按监理人批准的格式和专用合同条款约</w:t>
      </w:r>
      <w:r>
        <w:rPr>
          <w:rFonts w:ascii="宋体" w:hAnsi="宋体" w:eastAsia="宋体" w:cs="宋体"/>
          <w:spacing w:val="9"/>
          <w:sz w:val="20"/>
          <w:szCs w:val="20"/>
        </w:rPr>
        <w:t>定的份数，向监理人提</w:t>
      </w:r>
      <w:r>
        <w:rPr>
          <w:rFonts w:ascii="宋体" w:hAnsi="宋体" w:eastAsia="宋体" w:cs="宋体"/>
          <w:spacing w:val="10"/>
          <w:sz w:val="20"/>
          <w:szCs w:val="20"/>
        </w:rPr>
        <w:t>交进度付款申请单，并附相应的支持性证明文件。除专用合同条款另有约</w:t>
      </w:r>
      <w:r>
        <w:rPr>
          <w:rFonts w:ascii="宋体" w:hAnsi="宋体" w:eastAsia="宋体" w:cs="宋体"/>
          <w:spacing w:val="9"/>
          <w:sz w:val="20"/>
          <w:szCs w:val="20"/>
        </w:rPr>
        <w:t>定外，进度付款申请单</w:t>
      </w:r>
      <w:r>
        <w:rPr>
          <w:rFonts w:ascii="宋体" w:hAnsi="宋体" w:eastAsia="宋体" w:cs="宋体"/>
          <w:spacing w:val="7"/>
          <w:sz w:val="20"/>
          <w:szCs w:val="20"/>
        </w:rPr>
        <w:t>应包括下列内容：</w:t>
      </w:r>
    </w:p>
    <w:p w14:paraId="7962CD54">
      <w:pPr>
        <w:spacing w:before="1" w:line="226"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）截至本次付款周期末已实施工程的价款；</w:t>
      </w:r>
    </w:p>
    <w:p w14:paraId="00B6BED0">
      <w:pPr>
        <w:spacing w:before="152"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）根据第</w:t>
      </w:r>
      <w:r>
        <w:rPr>
          <w:rFonts w:ascii="宋体" w:hAnsi="宋体" w:eastAsia="宋体" w:cs="宋体"/>
          <w:spacing w:val="-15"/>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条应增加和扣减的变更金额；</w:t>
      </w:r>
    </w:p>
    <w:p w14:paraId="3AF39BD4">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）根据第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23 </w:t>
      </w:r>
      <w:r>
        <w:rPr>
          <w:rFonts w:ascii="宋体" w:hAnsi="宋体" w:eastAsia="宋体" w:cs="宋体"/>
          <w:spacing w:val="7"/>
          <w:sz w:val="20"/>
          <w:szCs w:val="20"/>
        </w:rPr>
        <w:t>条应增加和扣减的索赔金额；</w:t>
      </w:r>
    </w:p>
    <w:p w14:paraId="5BBF7FCB">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）根据第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17.2 </w:t>
      </w:r>
      <w:r>
        <w:rPr>
          <w:rFonts w:ascii="宋体" w:hAnsi="宋体" w:eastAsia="宋体" w:cs="宋体"/>
          <w:spacing w:val="7"/>
          <w:sz w:val="20"/>
          <w:szCs w:val="20"/>
        </w:rPr>
        <w:t>款约定应支付的预付款和扣减的返还预付款；</w:t>
      </w:r>
    </w:p>
    <w:p w14:paraId="5BA0DC89">
      <w:pPr>
        <w:spacing w:before="151" w:line="228" w:lineRule="auto"/>
        <w:ind w:left="430"/>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5</w:t>
      </w:r>
      <w:r>
        <w:rPr>
          <w:rFonts w:ascii="宋体" w:hAnsi="宋体" w:eastAsia="宋体" w:cs="宋体"/>
          <w:spacing w:val="4"/>
          <w:sz w:val="20"/>
          <w:szCs w:val="20"/>
        </w:rPr>
        <w:t>）根据第</w:t>
      </w:r>
      <w:r>
        <w:rPr>
          <w:rFonts w:ascii="宋体" w:hAnsi="宋体" w:eastAsia="宋体" w:cs="宋体"/>
          <w:spacing w:val="-7"/>
          <w:sz w:val="20"/>
          <w:szCs w:val="20"/>
        </w:rPr>
        <w:t xml:space="preserve"> </w:t>
      </w:r>
      <w:r>
        <w:rPr>
          <w:rFonts w:ascii="Times New Roman" w:hAnsi="Times New Roman" w:eastAsia="Times New Roman" w:cs="Times New Roman"/>
          <w:spacing w:val="4"/>
          <w:sz w:val="20"/>
          <w:szCs w:val="20"/>
        </w:rPr>
        <w:t>17.4.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16"/>
          <w:sz w:val="20"/>
          <w:szCs w:val="20"/>
        </w:rPr>
        <w:t xml:space="preserve"> </w:t>
      </w:r>
      <w:r>
        <w:rPr>
          <w:rFonts w:ascii="宋体" w:hAnsi="宋体" w:eastAsia="宋体" w:cs="宋体"/>
          <w:spacing w:val="4"/>
          <w:sz w:val="20"/>
          <w:szCs w:val="20"/>
        </w:rPr>
        <w:t>项约定应扣减的质量保证金；</w:t>
      </w:r>
    </w:p>
    <w:p w14:paraId="31FD5683">
      <w:pPr>
        <w:spacing w:line="228" w:lineRule="auto"/>
        <w:rPr>
          <w:rFonts w:ascii="宋体" w:hAnsi="宋体" w:eastAsia="宋体" w:cs="宋体"/>
          <w:sz w:val="20"/>
          <w:szCs w:val="20"/>
        </w:rPr>
        <w:sectPr>
          <w:footerReference r:id="rId184" w:type="default"/>
          <w:pgSz w:w="11906" w:h="16839"/>
          <w:pgMar w:top="400" w:right="1483" w:bottom="1038" w:left="1538" w:header="0" w:footer="787" w:gutter="0"/>
          <w:cols w:space="720" w:num="1"/>
        </w:sectPr>
      </w:pPr>
    </w:p>
    <w:p w14:paraId="33761D8A">
      <w:pPr>
        <w:spacing w:line="271" w:lineRule="auto"/>
        <w:rPr>
          <w:rFonts w:ascii="Arial"/>
          <w:sz w:val="21"/>
        </w:rPr>
      </w:pPr>
    </w:p>
    <w:p w14:paraId="7CC11E7F">
      <w:pPr>
        <w:spacing w:line="271" w:lineRule="auto"/>
        <w:rPr>
          <w:rFonts w:ascii="Arial"/>
          <w:sz w:val="21"/>
        </w:rPr>
      </w:pPr>
    </w:p>
    <w:p w14:paraId="45B7ACD6">
      <w:pPr>
        <w:spacing w:line="272" w:lineRule="auto"/>
        <w:rPr>
          <w:rFonts w:ascii="Arial"/>
          <w:sz w:val="21"/>
        </w:rPr>
      </w:pPr>
    </w:p>
    <w:p w14:paraId="34ED243A">
      <w:pPr>
        <w:spacing w:line="272" w:lineRule="auto"/>
        <w:rPr>
          <w:rFonts w:ascii="Arial"/>
          <w:sz w:val="21"/>
        </w:rPr>
      </w:pPr>
    </w:p>
    <w:p w14:paraId="4ADBD020">
      <w:pPr>
        <w:spacing w:before="65"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）根据合同应增加和扣减的其他金额。</w:t>
      </w:r>
    </w:p>
    <w:p w14:paraId="55F589EB">
      <w:pPr>
        <w:pStyle w:val="2"/>
        <w:spacing w:before="151" w:line="230" w:lineRule="auto"/>
        <w:ind w:left="437"/>
        <w:rPr>
          <w:sz w:val="20"/>
          <w:szCs w:val="20"/>
        </w:rPr>
      </w:pPr>
      <w:r>
        <w:rPr>
          <w:rFonts w:ascii="Times New Roman" w:hAnsi="Times New Roman" w:eastAsia="Times New Roman" w:cs="Times New Roman"/>
          <w:spacing w:val="5"/>
          <w:sz w:val="20"/>
          <w:szCs w:val="20"/>
        </w:rPr>
        <w:t xml:space="preserve">17.3.3  </w:t>
      </w:r>
      <w:r>
        <w:rPr>
          <w:spacing w:val="5"/>
          <w:sz w:val="20"/>
          <w:szCs w:val="20"/>
        </w:rPr>
        <w:t>进度付款证书和支付时间</w:t>
      </w:r>
    </w:p>
    <w:p w14:paraId="38C43B68">
      <w:pPr>
        <w:spacing w:before="153" w:line="369" w:lineRule="auto"/>
        <w:ind w:right="71" w:firstLine="63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）监理人在收到承包人进度付款申请单以及相应的支持性证明文件后的</w:t>
      </w:r>
      <w:r>
        <w:rPr>
          <w:rFonts w:ascii="宋体" w:hAnsi="宋体" w:eastAsia="宋体" w:cs="宋体"/>
          <w:spacing w:val="-9"/>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天内完成核</w:t>
      </w:r>
      <w:r>
        <w:rPr>
          <w:rFonts w:ascii="宋体" w:hAnsi="宋体" w:eastAsia="宋体" w:cs="宋体"/>
          <w:spacing w:val="10"/>
          <w:sz w:val="20"/>
          <w:szCs w:val="20"/>
        </w:rPr>
        <w:t>查，提出发包人到期应支付给承包人的金额以及相应的支持性材料，经发包</w:t>
      </w:r>
      <w:r>
        <w:rPr>
          <w:rFonts w:ascii="宋体" w:hAnsi="宋体" w:eastAsia="宋体" w:cs="宋体"/>
          <w:spacing w:val="9"/>
          <w:sz w:val="20"/>
          <w:szCs w:val="20"/>
        </w:rPr>
        <w:t>人审查同意后，由监</w:t>
      </w:r>
      <w:r>
        <w:rPr>
          <w:rFonts w:ascii="宋体" w:hAnsi="宋体" w:eastAsia="宋体" w:cs="宋体"/>
          <w:spacing w:val="10"/>
          <w:sz w:val="20"/>
          <w:szCs w:val="20"/>
        </w:rPr>
        <w:t>理人向承包人出具经发包人签认的进度付款证书。监理人有权扣发承包人未</w:t>
      </w:r>
      <w:r>
        <w:rPr>
          <w:rFonts w:ascii="宋体" w:hAnsi="宋体" w:eastAsia="宋体" w:cs="宋体"/>
          <w:spacing w:val="9"/>
          <w:sz w:val="20"/>
          <w:szCs w:val="20"/>
        </w:rPr>
        <w:t>能按照合同要求履行</w:t>
      </w:r>
      <w:r>
        <w:rPr>
          <w:rFonts w:ascii="宋体" w:hAnsi="宋体" w:eastAsia="宋体" w:cs="宋体"/>
          <w:spacing w:val="8"/>
          <w:sz w:val="20"/>
          <w:szCs w:val="20"/>
        </w:rPr>
        <w:t>任何工作或义务的相应金额。</w:t>
      </w:r>
    </w:p>
    <w:p w14:paraId="0F293476">
      <w:pPr>
        <w:spacing w:before="2" w:line="368" w:lineRule="auto"/>
        <w:ind w:left="4" w:right="19" w:firstLine="724"/>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）发包人应在监理人收到进度付款申请单后的</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天内，将进</w:t>
      </w:r>
      <w:r>
        <w:rPr>
          <w:rFonts w:ascii="宋体" w:hAnsi="宋体" w:eastAsia="宋体" w:cs="宋体"/>
          <w:spacing w:val="7"/>
          <w:sz w:val="20"/>
          <w:szCs w:val="20"/>
        </w:rPr>
        <w:t>度应付款支付给承包人。</w:t>
      </w:r>
      <w:r>
        <w:rPr>
          <w:rFonts w:ascii="宋体" w:hAnsi="宋体" w:eastAsia="宋体" w:cs="宋体"/>
          <w:spacing w:val="9"/>
          <w:sz w:val="20"/>
          <w:szCs w:val="20"/>
        </w:rPr>
        <w:t>发包人不按期支付的，按专用合同条款的约定支付逾期付款违约金。</w:t>
      </w:r>
    </w:p>
    <w:p w14:paraId="68AEAD38">
      <w:pPr>
        <w:spacing w:before="1" w:line="368" w:lineRule="auto"/>
        <w:ind w:left="3" w:right="73" w:firstLine="725"/>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3</w:t>
      </w:r>
      <w:r>
        <w:rPr>
          <w:rFonts w:ascii="宋体" w:hAnsi="宋体" w:eastAsia="宋体" w:cs="宋体"/>
          <w:spacing w:val="10"/>
          <w:sz w:val="20"/>
          <w:szCs w:val="20"/>
        </w:rPr>
        <w:t>）监理人出具进度付款证书，不应视为监理人已同意、批准或</w:t>
      </w:r>
      <w:r>
        <w:rPr>
          <w:rFonts w:ascii="宋体" w:hAnsi="宋体" w:eastAsia="宋体" w:cs="宋体"/>
          <w:spacing w:val="9"/>
          <w:sz w:val="20"/>
          <w:szCs w:val="20"/>
        </w:rPr>
        <w:t>接受了承包人完成的该</w:t>
      </w:r>
      <w:r>
        <w:rPr>
          <w:rFonts w:ascii="宋体" w:hAnsi="宋体" w:eastAsia="宋体" w:cs="宋体"/>
          <w:spacing w:val="5"/>
          <w:sz w:val="20"/>
          <w:szCs w:val="20"/>
        </w:rPr>
        <w:t>部分工作。</w:t>
      </w:r>
    </w:p>
    <w:p w14:paraId="295812EA">
      <w:pPr>
        <w:spacing w:before="3" w:line="369" w:lineRule="auto"/>
        <w:ind w:left="17" w:right="73" w:firstLine="710"/>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4</w:t>
      </w:r>
      <w:r>
        <w:rPr>
          <w:rFonts w:ascii="宋体" w:hAnsi="宋体" w:eastAsia="宋体" w:cs="宋体"/>
          <w:spacing w:val="10"/>
          <w:sz w:val="20"/>
          <w:szCs w:val="20"/>
        </w:rPr>
        <w:t>）进度付款涉及政府投资资金的，按照国库集中支付等国家相</w:t>
      </w:r>
      <w:r>
        <w:rPr>
          <w:rFonts w:ascii="宋体" w:hAnsi="宋体" w:eastAsia="宋体" w:cs="宋体"/>
          <w:spacing w:val="9"/>
          <w:sz w:val="20"/>
          <w:szCs w:val="20"/>
        </w:rPr>
        <w:t>关规定和专用合同条款</w:t>
      </w:r>
      <w:r>
        <w:rPr>
          <w:rFonts w:ascii="宋体" w:hAnsi="宋体" w:eastAsia="宋体" w:cs="宋体"/>
          <w:spacing w:val="3"/>
          <w:sz w:val="20"/>
          <w:szCs w:val="20"/>
        </w:rPr>
        <w:t>的约定办理。</w:t>
      </w:r>
    </w:p>
    <w:p w14:paraId="19DFD085">
      <w:pPr>
        <w:pStyle w:val="2"/>
        <w:spacing w:before="1" w:line="229" w:lineRule="auto"/>
        <w:ind w:left="437"/>
        <w:rPr>
          <w:sz w:val="20"/>
          <w:szCs w:val="20"/>
        </w:rPr>
      </w:pPr>
      <w:r>
        <w:rPr>
          <w:rFonts w:ascii="Times New Roman" w:hAnsi="Times New Roman" w:eastAsia="Times New Roman" w:cs="Times New Roman"/>
          <w:spacing w:val="5"/>
          <w:sz w:val="20"/>
          <w:szCs w:val="20"/>
        </w:rPr>
        <w:t xml:space="preserve">17.3.4  </w:t>
      </w:r>
      <w:r>
        <w:rPr>
          <w:spacing w:val="5"/>
          <w:sz w:val="20"/>
          <w:szCs w:val="20"/>
        </w:rPr>
        <w:t>工程进度付款的修正</w:t>
      </w:r>
    </w:p>
    <w:p w14:paraId="57C7FCF6">
      <w:pPr>
        <w:spacing w:before="148" w:line="358" w:lineRule="auto"/>
        <w:ind w:left="24" w:firstLine="395"/>
        <w:rPr>
          <w:rFonts w:ascii="宋体" w:hAnsi="宋体" w:eastAsia="宋体" w:cs="宋体"/>
          <w:sz w:val="20"/>
          <w:szCs w:val="20"/>
        </w:rPr>
      </w:pPr>
      <w:r>
        <w:rPr>
          <w:rFonts w:ascii="宋体" w:hAnsi="宋体" w:eastAsia="宋体" w:cs="宋体"/>
          <w:spacing w:val="10"/>
          <w:sz w:val="20"/>
          <w:szCs w:val="20"/>
        </w:rPr>
        <w:t>在对以往历次已签发的进度付款证书进行汇总和复核中发现错、漏或重</w:t>
      </w:r>
      <w:r>
        <w:rPr>
          <w:rFonts w:ascii="宋体" w:hAnsi="宋体" w:eastAsia="宋体" w:cs="宋体"/>
          <w:spacing w:val="9"/>
          <w:sz w:val="20"/>
          <w:szCs w:val="20"/>
        </w:rPr>
        <w:t>复的，监理人有权予</w:t>
      </w:r>
      <w:r>
        <w:rPr>
          <w:rFonts w:ascii="宋体" w:hAnsi="宋体" w:eastAsia="宋体" w:cs="宋体"/>
          <w:spacing w:val="6"/>
          <w:sz w:val="20"/>
          <w:szCs w:val="20"/>
        </w:rPr>
        <w:t>以修正，承包人也有权提出修正申请。经双方复核同意的修正，应在本次进度付款中支付或扣除。</w:t>
      </w:r>
    </w:p>
    <w:p w14:paraId="758061C3">
      <w:pPr>
        <w:pStyle w:val="2"/>
        <w:spacing w:before="1" w:line="222" w:lineRule="auto"/>
        <w:ind w:left="20"/>
        <w:rPr>
          <w:sz w:val="24"/>
          <w:szCs w:val="24"/>
        </w:rPr>
      </w:pPr>
      <w:r>
        <w:rPr>
          <w:rFonts w:ascii="Times New Roman" w:hAnsi="Times New Roman" w:eastAsia="Times New Roman" w:cs="Times New Roman"/>
          <w:spacing w:val="-3"/>
          <w:sz w:val="24"/>
          <w:szCs w:val="24"/>
        </w:rPr>
        <w:t xml:space="preserve">17.4  </w:t>
      </w:r>
      <w:r>
        <w:rPr>
          <w:spacing w:val="-3"/>
          <w:sz w:val="24"/>
          <w:szCs w:val="24"/>
        </w:rPr>
        <w:t>质量保证金</w:t>
      </w:r>
    </w:p>
    <w:p w14:paraId="6F71EAEB">
      <w:pPr>
        <w:spacing w:before="136" w:line="369" w:lineRule="auto"/>
        <w:ind w:left="2" w:right="71" w:firstLine="434"/>
        <w:rPr>
          <w:rFonts w:ascii="宋体" w:hAnsi="宋体" w:eastAsia="宋体" w:cs="宋体"/>
          <w:sz w:val="20"/>
          <w:szCs w:val="20"/>
        </w:rPr>
      </w:pPr>
      <w:r>
        <w:rPr>
          <w:rFonts w:ascii="Times New Roman" w:hAnsi="Times New Roman" w:eastAsia="Times New Roman" w:cs="Times New Roman"/>
          <w:spacing w:val="8"/>
          <w:sz w:val="20"/>
          <w:szCs w:val="20"/>
        </w:rPr>
        <w:t xml:space="preserve">17.4.1  </w:t>
      </w:r>
      <w:r>
        <w:rPr>
          <w:rFonts w:ascii="宋体" w:hAnsi="宋体" w:eastAsia="宋体" w:cs="宋体"/>
          <w:spacing w:val="8"/>
          <w:sz w:val="20"/>
          <w:szCs w:val="20"/>
        </w:rPr>
        <w:t>监理人应从第一个付款周期开始，在发包人的进度付款中，按专用合同条款的约定扣</w:t>
      </w:r>
      <w:r>
        <w:rPr>
          <w:rFonts w:ascii="宋体" w:hAnsi="宋体" w:eastAsia="宋体" w:cs="宋体"/>
          <w:spacing w:val="10"/>
          <w:sz w:val="20"/>
          <w:szCs w:val="20"/>
        </w:rPr>
        <w:t>留质量保证金，直至扣留的质量保证金总额达到专用合同条款约定的金</w:t>
      </w:r>
      <w:r>
        <w:rPr>
          <w:rFonts w:ascii="宋体" w:hAnsi="宋体" w:eastAsia="宋体" w:cs="宋体"/>
          <w:spacing w:val="9"/>
          <w:sz w:val="20"/>
          <w:szCs w:val="20"/>
        </w:rPr>
        <w:t>额或比例为止。质量保证金的计算额度不包括预付款的支付、扣回以及价格调整的金额。</w:t>
      </w:r>
    </w:p>
    <w:p w14:paraId="56DB3DF5">
      <w:pPr>
        <w:spacing w:before="1" w:line="369" w:lineRule="auto"/>
        <w:ind w:right="73" w:firstLine="437"/>
        <w:rPr>
          <w:rFonts w:ascii="宋体" w:hAnsi="宋体" w:eastAsia="宋体" w:cs="宋体"/>
          <w:sz w:val="20"/>
          <w:szCs w:val="20"/>
        </w:rPr>
      </w:pPr>
      <w:r>
        <w:rPr>
          <w:rFonts w:ascii="Times New Roman" w:hAnsi="Times New Roman" w:eastAsia="Times New Roman" w:cs="Times New Roman"/>
          <w:spacing w:val="4"/>
          <w:sz w:val="20"/>
          <w:szCs w:val="20"/>
        </w:rPr>
        <w:t xml:space="preserve">17.4.2  </w:t>
      </w:r>
      <w:r>
        <w:rPr>
          <w:rFonts w:ascii="宋体" w:hAnsi="宋体" w:eastAsia="宋体" w:cs="宋体"/>
          <w:spacing w:val="4"/>
          <w:sz w:val="20"/>
          <w:szCs w:val="20"/>
        </w:rPr>
        <w:t>在第</w:t>
      </w:r>
      <w:r>
        <w:rPr>
          <w:rFonts w:ascii="宋体" w:hAnsi="宋体" w:eastAsia="宋体" w:cs="宋体"/>
          <w:spacing w:val="-7"/>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1.4.5  </w:t>
      </w:r>
      <w:r>
        <w:rPr>
          <w:rFonts w:ascii="宋体" w:hAnsi="宋体" w:eastAsia="宋体" w:cs="宋体"/>
          <w:spacing w:val="4"/>
          <w:sz w:val="20"/>
          <w:szCs w:val="20"/>
        </w:rPr>
        <w:t>目约定的缺陷责任期满时，承包人向发包人申请到期应返还承包人剩余的</w:t>
      </w:r>
      <w:r>
        <w:rPr>
          <w:rFonts w:ascii="宋体" w:hAnsi="宋体" w:eastAsia="宋体" w:cs="宋体"/>
          <w:spacing w:val="6"/>
          <w:sz w:val="20"/>
          <w:szCs w:val="20"/>
        </w:rPr>
        <w:t>质量保证金金额，发包人应在</w:t>
      </w:r>
      <w:r>
        <w:rPr>
          <w:rFonts w:ascii="宋体" w:hAnsi="宋体" w:eastAsia="宋体" w:cs="宋体"/>
          <w:spacing w:val="-5"/>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天内会同承包人按照合同约定的内容核实承包人是否完成缺陷责</w:t>
      </w:r>
      <w:r>
        <w:rPr>
          <w:rFonts w:ascii="宋体" w:hAnsi="宋体" w:eastAsia="宋体" w:cs="宋体"/>
          <w:spacing w:val="9"/>
          <w:sz w:val="20"/>
          <w:szCs w:val="20"/>
        </w:rPr>
        <w:t>任。如无异议，发包人应当在核实后将剩余保证金返还承包人。</w:t>
      </w:r>
    </w:p>
    <w:p w14:paraId="272F21BC">
      <w:pPr>
        <w:spacing w:before="3" w:line="361" w:lineRule="auto"/>
        <w:ind w:left="5" w:right="70" w:firstLine="432"/>
        <w:rPr>
          <w:rFonts w:ascii="宋体" w:hAnsi="宋体" w:eastAsia="宋体" w:cs="宋体"/>
          <w:sz w:val="20"/>
          <w:szCs w:val="20"/>
        </w:rPr>
      </w:pPr>
      <w:r>
        <w:rPr>
          <w:rFonts w:ascii="Times New Roman" w:hAnsi="Times New Roman" w:eastAsia="Times New Roman" w:cs="Times New Roman"/>
          <w:spacing w:val="4"/>
          <w:sz w:val="20"/>
          <w:szCs w:val="20"/>
        </w:rPr>
        <w:t xml:space="preserve">17.4.3  </w:t>
      </w:r>
      <w:r>
        <w:rPr>
          <w:rFonts w:ascii="宋体" w:hAnsi="宋体" w:eastAsia="宋体" w:cs="宋体"/>
          <w:spacing w:val="4"/>
          <w:sz w:val="20"/>
          <w:szCs w:val="20"/>
        </w:rPr>
        <w:t>在第</w:t>
      </w:r>
      <w:r>
        <w:rPr>
          <w:rFonts w:ascii="宋体" w:hAnsi="宋体" w:eastAsia="宋体" w:cs="宋体"/>
          <w:spacing w:val="-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1.4.5  </w:t>
      </w:r>
      <w:r>
        <w:rPr>
          <w:rFonts w:ascii="宋体" w:hAnsi="宋体" w:eastAsia="宋体" w:cs="宋体"/>
          <w:spacing w:val="4"/>
          <w:sz w:val="20"/>
          <w:szCs w:val="20"/>
        </w:rPr>
        <w:t>目约定的缺陷责任期满时，承包人没有完成缺陷责任的，发包人有权扣留</w:t>
      </w:r>
      <w:r>
        <w:rPr>
          <w:rFonts w:ascii="宋体" w:hAnsi="宋体" w:eastAsia="宋体" w:cs="宋体"/>
          <w:spacing w:val="7"/>
          <w:sz w:val="20"/>
          <w:szCs w:val="20"/>
        </w:rPr>
        <w:t>与未履行责任剩余工作所需金额相应的质量保证金余额，并有权根据第</w:t>
      </w:r>
      <w:r>
        <w:rPr>
          <w:rFonts w:ascii="宋体" w:hAnsi="宋体" w:eastAsia="宋体" w:cs="宋体"/>
          <w:spacing w:val="-9"/>
          <w:sz w:val="20"/>
          <w:szCs w:val="20"/>
        </w:rPr>
        <w:t xml:space="preserve"> </w:t>
      </w:r>
      <w:r>
        <w:rPr>
          <w:rFonts w:ascii="Times New Roman" w:hAnsi="Times New Roman" w:eastAsia="Times New Roman" w:cs="Times New Roman"/>
          <w:spacing w:val="7"/>
          <w:sz w:val="20"/>
          <w:szCs w:val="20"/>
        </w:rPr>
        <w:t xml:space="preserve">19.3 </w:t>
      </w:r>
      <w:r>
        <w:rPr>
          <w:rFonts w:ascii="宋体" w:hAnsi="宋体" w:eastAsia="宋体" w:cs="宋体"/>
          <w:spacing w:val="7"/>
          <w:sz w:val="20"/>
          <w:szCs w:val="20"/>
        </w:rPr>
        <w:t>款约定要求延长缺陷</w:t>
      </w:r>
      <w:r>
        <w:rPr>
          <w:rFonts w:ascii="宋体" w:hAnsi="宋体" w:eastAsia="宋体" w:cs="宋体"/>
          <w:spacing w:val="8"/>
          <w:sz w:val="20"/>
          <w:szCs w:val="20"/>
        </w:rPr>
        <w:t>责任期，直至完成剩余工作为止。</w:t>
      </w:r>
    </w:p>
    <w:p w14:paraId="5E1FD392">
      <w:pPr>
        <w:pStyle w:val="2"/>
        <w:spacing w:before="1" w:line="220" w:lineRule="auto"/>
        <w:ind w:left="20"/>
        <w:rPr>
          <w:sz w:val="24"/>
          <w:szCs w:val="24"/>
        </w:rPr>
      </w:pPr>
      <w:r>
        <w:rPr>
          <w:rFonts w:ascii="Times New Roman" w:hAnsi="Times New Roman" w:eastAsia="Times New Roman" w:cs="Times New Roman"/>
          <w:spacing w:val="-3"/>
          <w:sz w:val="24"/>
          <w:szCs w:val="24"/>
        </w:rPr>
        <w:t xml:space="preserve">17.5  </w:t>
      </w:r>
      <w:r>
        <w:rPr>
          <w:spacing w:val="-3"/>
          <w:sz w:val="24"/>
          <w:szCs w:val="24"/>
        </w:rPr>
        <w:t>竣工结算</w:t>
      </w:r>
    </w:p>
    <w:p w14:paraId="2CC16CAA">
      <w:pPr>
        <w:pStyle w:val="2"/>
        <w:spacing w:before="138" w:line="229" w:lineRule="auto"/>
        <w:ind w:left="437"/>
        <w:rPr>
          <w:sz w:val="20"/>
          <w:szCs w:val="20"/>
        </w:rPr>
      </w:pPr>
      <w:r>
        <w:rPr>
          <w:rFonts w:ascii="Times New Roman" w:hAnsi="Times New Roman" w:eastAsia="Times New Roman" w:cs="Times New Roman"/>
          <w:spacing w:val="4"/>
          <w:sz w:val="20"/>
          <w:szCs w:val="20"/>
        </w:rPr>
        <w:t xml:space="preserve">17.5.1  </w:t>
      </w:r>
      <w:r>
        <w:rPr>
          <w:spacing w:val="4"/>
          <w:sz w:val="20"/>
          <w:szCs w:val="20"/>
        </w:rPr>
        <w:t>竣工付款申请单</w:t>
      </w:r>
    </w:p>
    <w:p w14:paraId="747EF9DE">
      <w:pPr>
        <w:spacing w:before="152" w:line="369" w:lineRule="auto"/>
        <w:ind w:left="3" w:right="71" w:firstLine="725"/>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1</w:t>
      </w:r>
      <w:r>
        <w:rPr>
          <w:rFonts w:ascii="宋体" w:hAnsi="宋体" w:eastAsia="宋体" w:cs="宋体"/>
          <w:spacing w:val="10"/>
          <w:sz w:val="20"/>
          <w:szCs w:val="20"/>
        </w:rPr>
        <w:t>）工程接收证书颁发后，承包人应按专用合同条款约定的份数</w:t>
      </w:r>
      <w:r>
        <w:rPr>
          <w:rFonts w:ascii="宋体" w:hAnsi="宋体" w:eastAsia="宋体" w:cs="宋体"/>
          <w:spacing w:val="9"/>
          <w:sz w:val="20"/>
          <w:szCs w:val="20"/>
        </w:rPr>
        <w:t>和期限向监理人提交竣</w:t>
      </w:r>
      <w:r>
        <w:rPr>
          <w:rFonts w:ascii="宋体" w:hAnsi="宋体" w:eastAsia="宋体" w:cs="宋体"/>
          <w:spacing w:val="10"/>
          <w:sz w:val="20"/>
          <w:szCs w:val="20"/>
        </w:rPr>
        <w:t>工付款申请单，并提供相关证明材料。除专用合同条款另有约定外，</w:t>
      </w:r>
      <w:r>
        <w:rPr>
          <w:rFonts w:ascii="宋体" w:hAnsi="宋体" w:eastAsia="宋体" w:cs="宋体"/>
          <w:spacing w:val="9"/>
          <w:sz w:val="20"/>
          <w:szCs w:val="20"/>
        </w:rPr>
        <w:t>竣工付款申请单应包括下列</w:t>
      </w:r>
      <w:r>
        <w:rPr>
          <w:rFonts w:ascii="宋体" w:hAnsi="宋体" w:eastAsia="宋体" w:cs="宋体"/>
          <w:spacing w:val="10"/>
          <w:sz w:val="20"/>
          <w:szCs w:val="20"/>
        </w:rPr>
        <w:t>内容：竣工结算合同总价、发包人已支付承包人的工程价款、应扣留</w:t>
      </w:r>
      <w:r>
        <w:rPr>
          <w:rFonts w:ascii="宋体" w:hAnsi="宋体" w:eastAsia="宋体" w:cs="宋体"/>
          <w:spacing w:val="9"/>
          <w:sz w:val="20"/>
          <w:szCs w:val="20"/>
        </w:rPr>
        <w:t>的质量保证金、应支付的竣</w:t>
      </w:r>
      <w:r>
        <w:rPr>
          <w:rFonts w:ascii="宋体" w:hAnsi="宋体" w:eastAsia="宋体" w:cs="宋体"/>
          <w:spacing w:val="6"/>
          <w:sz w:val="20"/>
          <w:szCs w:val="20"/>
        </w:rPr>
        <w:t>工付款金额。</w:t>
      </w:r>
    </w:p>
    <w:p w14:paraId="5F43CBE5">
      <w:pPr>
        <w:spacing w:before="2" w:line="369" w:lineRule="auto"/>
        <w:ind w:left="1" w:right="73" w:firstLine="726"/>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）监理人对竣工付款申请单有异议的，有权要求承包人进行修</w:t>
      </w:r>
      <w:r>
        <w:rPr>
          <w:rFonts w:ascii="宋体" w:hAnsi="宋体" w:eastAsia="宋体" w:cs="宋体"/>
          <w:spacing w:val="9"/>
          <w:sz w:val="20"/>
          <w:szCs w:val="20"/>
        </w:rPr>
        <w:t>正和提供补充资料。经监理人和承包人协商后，由承包人向监理人提交修正后的竣工付款申请单。</w:t>
      </w:r>
    </w:p>
    <w:p w14:paraId="153B6A78">
      <w:pPr>
        <w:pStyle w:val="2"/>
        <w:spacing w:line="229" w:lineRule="auto"/>
        <w:ind w:left="437"/>
        <w:rPr>
          <w:sz w:val="20"/>
          <w:szCs w:val="20"/>
        </w:rPr>
      </w:pPr>
      <w:r>
        <w:rPr>
          <w:rFonts w:ascii="Times New Roman" w:hAnsi="Times New Roman" w:eastAsia="Times New Roman" w:cs="Times New Roman"/>
          <w:spacing w:val="5"/>
          <w:sz w:val="20"/>
          <w:szCs w:val="20"/>
        </w:rPr>
        <w:t xml:space="preserve">17.5.2  </w:t>
      </w:r>
      <w:r>
        <w:rPr>
          <w:spacing w:val="5"/>
          <w:sz w:val="20"/>
          <w:szCs w:val="20"/>
        </w:rPr>
        <w:t>竣工付款证书及支付时间</w:t>
      </w:r>
    </w:p>
    <w:p w14:paraId="37C6FB90">
      <w:pPr>
        <w:spacing w:before="150" w:line="228" w:lineRule="auto"/>
        <w:ind w:left="72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）监理人在收到承包人提交的竣工付款申请单后的</w:t>
      </w:r>
      <w:r>
        <w:rPr>
          <w:rFonts w:ascii="宋体" w:hAnsi="宋体" w:eastAsia="宋体" w:cs="宋体"/>
          <w:spacing w:val="-13"/>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天内完成核查，提出发包人到期</w:t>
      </w:r>
    </w:p>
    <w:p w14:paraId="5DEB22CB">
      <w:pPr>
        <w:spacing w:line="228" w:lineRule="auto"/>
        <w:rPr>
          <w:rFonts w:ascii="宋体" w:hAnsi="宋体" w:eastAsia="宋体" w:cs="宋体"/>
          <w:sz w:val="20"/>
          <w:szCs w:val="20"/>
        </w:rPr>
        <w:sectPr>
          <w:footerReference r:id="rId185" w:type="default"/>
          <w:pgSz w:w="11906" w:h="16839"/>
          <w:pgMar w:top="400" w:right="1483" w:bottom="1038" w:left="1538" w:header="0" w:footer="787" w:gutter="0"/>
          <w:cols w:space="720" w:num="1"/>
        </w:sectPr>
      </w:pPr>
    </w:p>
    <w:p w14:paraId="427C322F">
      <w:pPr>
        <w:spacing w:line="271" w:lineRule="auto"/>
        <w:rPr>
          <w:rFonts w:ascii="Arial"/>
          <w:sz w:val="21"/>
        </w:rPr>
      </w:pPr>
    </w:p>
    <w:p w14:paraId="62FB957F">
      <w:pPr>
        <w:spacing w:line="271" w:lineRule="auto"/>
        <w:rPr>
          <w:rFonts w:ascii="Arial"/>
          <w:sz w:val="21"/>
        </w:rPr>
      </w:pPr>
    </w:p>
    <w:p w14:paraId="5E196EEC">
      <w:pPr>
        <w:spacing w:line="272" w:lineRule="auto"/>
        <w:rPr>
          <w:rFonts w:ascii="Arial"/>
          <w:sz w:val="21"/>
        </w:rPr>
      </w:pPr>
    </w:p>
    <w:p w14:paraId="6B816CA6">
      <w:pPr>
        <w:spacing w:line="272" w:lineRule="auto"/>
        <w:rPr>
          <w:rFonts w:ascii="Arial"/>
          <w:sz w:val="21"/>
        </w:rPr>
      </w:pPr>
    </w:p>
    <w:p w14:paraId="666C72AA">
      <w:pPr>
        <w:spacing w:before="65" w:line="369" w:lineRule="auto"/>
        <w:ind w:left="1" w:right="54" w:hanging="1"/>
        <w:jc w:val="both"/>
        <w:rPr>
          <w:rFonts w:ascii="宋体" w:hAnsi="宋体" w:eastAsia="宋体" w:cs="宋体"/>
          <w:sz w:val="20"/>
          <w:szCs w:val="20"/>
        </w:rPr>
      </w:pPr>
      <w:r>
        <w:rPr>
          <w:rFonts w:ascii="宋体" w:hAnsi="宋体" w:eastAsia="宋体" w:cs="宋体"/>
          <w:spacing w:val="6"/>
          <w:sz w:val="20"/>
          <w:szCs w:val="20"/>
        </w:rPr>
        <w:t>应支付给承包人的价款送发包人审核并抄送承包人。发包人应在收到后</w:t>
      </w:r>
      <w:r>
        <w:rPr>
          <w:rFonts w:ascii="宋体" w:hAnsi="宋体" w:eastAsia="宋体" w:cs="宋体"/>
          <w:spacing w:val="-14"/>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7"/>
          <w:sz w:val="20"/>
          <w:szCs w:val="20"/>
        </w:rPr>
        <w:t xml:space="preserve"> </w:t>
      </w:r>
      <w:r>
        <w:rPr>
          <w:rFonts w:ascii="宋体" w:hAnsi="宋体" w:eastAsia="宋体" w:cs="宋体"/>
          <w:spacing w:val="6"/>
          <w:sz w:val="20"/>
          <w:szCs w:val="20"/>
        </w:rPr>
        <w:t>天内审核完毕，由监理</w:t>
      </w:r>
      <w:r>
        <w:rPr>
          <w:rFonts w:ascii="宋体" w:hAnsi="宋体" w:eastAsia="宋体" w:cs="宋体"/>
          <w:spacing w:val="10"/>
          <w:sz w:val="20"/>
          <w:szCs w:val="20"/>
        </w:rPr>
        <w:t>人向承包人出具经发包人签认的竣工付款证书。监理人未在约定时间内</w:t>
      </w:r>
      <w:r>
        <w:rPr>
          <w:rFonts w:ascii="宋体" w:hAnsi="宋体" w:eastAsia="宋体" w:cs="宋体"/>
          <w:spacing w:val="9"/>
          <w:sz w:val="20"/>
          <w:szCs w:val="20"/>
        </w:rPr>
        <w:t>核查，又未提出具体意见</w:t>
      </w:r>
      <w:r>
        <w:rPr>
          <w:rFonts w:ascii="宋体" w:hAnsi="宋体" w:eastAsia="宋体" w:cs="宋体"/>
          <w:spacing w:val="10"/>
          <w:sz w:val="20"/>
          <w:szCs w:val="20"/>
        </w:rPr>
        <w:t>的，视为承包人提交的竣工付款申请单已经监理人核查同意；发包人未</w:t>
      </w:r>
      <w:r>
        <w:rPr>
          <w:rFonts w:ascii="宋体" w:hAnsi="宋体" w:eastAsia="宋体" w:cs="宋体"/>
          <w:spacing w:val="9"/>
          <w:sz w:val="20"/>
          <w:szCs w:val="20"/>
        </w:rPr>
        <w:t>在约定时间内审核又未提出具体意见的，监理人提出发包人到期应支付给承包人的价款视为已经发包人同意。</w:t>
      </w:r>
    </w:p>
    <w:p w14:paraId="3EBE10B5">
      <w:pPr>
        <w:spacing w:before="2" w:line="369" w:lineRule="auto"/>
        <w:ind w:left="2" w:right="56" w:firstLine="726"/>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）发包人应在监理人出具竣工付款证书后的</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天内，将应支付款支付给承包人</w:t>
      </w:r>
      <w:r>
        <w:rPr>
          <w:rFonts w:ascii="宋体" w:hAnsi="宋体" w:eastAsia="宋体" w:cs="宋体"/>
          <w:spacing w:val="5"/>
          <w:sz w:val="20"/>
          <w:szCs w:val="20"/>
        </w:rPr>
        <w:t>。发包</w:t>
      </w:r>
      <w:r>
        <w:rPr>
          <w:rFonts w:ascii="宋体" w:hAnsi="宋体" w:eastAsia="宋体" w:cs="宋体"/>
          <w:spacing w:val="6"/>
          <w:sz w:val="20"/>
          <w:szCs w:val="20"/>
        </w:rPr>
        <w:t>人不按期支付的，按第</w:t>
      </w:r>
      <w:r>
        <w:rPr>
          <w:rFonts w:ascii="宋体" w:hAnsi="宋体" w:eastAsia="宋体" w:cs="宋体"/>
          <w:spacing w:val="-13"/>
          <w:sz w:val="20"/>
          <w:szCs w:val="20"/>
        </w:rPr>
        <w:t xml:space="preserve"> </w:t>
      </w:r>
      <w:r>
        <w:rPr>
          <w:rFonts w:ascii="Times New Roman" w:hAnsi="Times New Roman" w:eastAsia="Times New Roman" w:cs="Times New Roman"/>
          <w:spacing w:val="6"/>
          <w:sz w:val="20"/>
          <w:szCs w:val="20"/>
        </w:rPr>
        <w:t>17.3.3</w:t>
      </w: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w:t>
      </w:r>
      <w:r>
        <w:rPr>
          <w:rFonts w:ascii="宋体" w:hAnsi="宋体" w:eastAsia="宋体" w:cs="宋体"/>
          <w:spacing w:val="-42"/>
          <w:sz w:val="20"/>
          <w:szCs w:val="20"/>
        </w:rPr>
        <w:t xml:space="preserve"> </w:t>
      </w:r>
      <w:r>
        <w:rPr>
          <w:rFonts w:ascii="宋体" w:hAnsi="宋体" w:eastAsia="宋体" w:cs="宋体"/>
          <w:spacing w:val="6"/>
          <w:sz w:val="20"/>
          <w:szCs w:val="20"/>
        </w:rPr>
        <w:t>目的约定，将逾期付款违约金支付给承包人。</w:t>
      </w:r>
    </w:p>
    <w:p w14:paraId="4B1DA43A">
      <w:pPr>
        <w:spacing w:before="1" w:line="368" w:lineRule="auto"/>
        <w:ind w:right="57" w:firstLine="727"/>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3</w:t>
      </w:r>
      <w:r>
        <w:rPr>
          <w:rFonts w:ascii="宋体" w:hAnsi="宋体" w:eastAsia="宋体" w:cs="宋体"/>
          <w:spacing w:val="10"/>
          <w:sz w:val="20"/>
          <w:szCs w:val="20"/>
        </w:rPr>
        <w:t>）承包人对发包人签认的竣工付款证书有异议的，发包人可出</w:t>
      </w:r>
      <w:r>
        <w:rPr>
          <w:rFonts w:ascii="宋体" w:hAnsi="宋体" w:eastAsia="宋体" w:cs="宋体"/>
          <w:spacing w:val="9"/>
          <w:sz w:val="20"/>
          <w:szCs w:val="20"/>
        </w:rPr>
        <w:t>具竣工付款申请单中承包人已同意部分的临时付款证书。存在争议的部分，按第</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24</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rPr>
        <w:t>条的约定办理。</w:t>
      </w:r>
    </w:p>
    <w:p w14:paraId="5A4B0EFF">
      <w:pPr>
        <w:spacing w:line="227" w:lineRule="auto"/>
        <w:ind w:left="639"/>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4</w:t>
      </w:r>
      <w:r>
        <w:rPr>
          <w:rFonts w:ascii="宋体" w:hAnsi="宋体" w:eastAsia="宋体" w:cs="宋体"/>
          <w:spacing w:val="3"/>
          <w:sz w:val="20"/>
          <w:szCs w:val="20"/>
        </w:rPr>
        <w:t>）竣工付款涉及政府投资资金的，按第</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 xml:space="preserve">17.3.3  </w:t>
      </w:r>
      <w:r>
        <w:rPr>
          <w:rFonts w:ascii="宋体" w:hAnsi="宋体" w:eastAsia="宋体" w:cs="宋体"/>
          <w:spacing w:val="3"/>
          <w:sz w:val="20"/>
          <w:szCs w:val="20"/>
        </w:rPr>
        <w:t>(</w:t>
      </w:r>
      <w:r>
        <w:rPr>
          <w:rFonts w:ascii="宋体" w:hAnsi="宋体" w:eastAsia="宋体" w:cs="宋体"/>
          <w:spacing w:val="-17"/>
          <w:sz w:val="20"/>
          <w:szCs w:val="20"/>
        </w:rPr>
        <w:t xml:space="preserve"> </w:t>
      </w:r>
      <w:r>
        <w:rPr>
          <w:rFonts w:ascii="宋体" w:hAnsi="宋体" w:eastAsia="宋体" w:cs="宋体"/>
          <w:spacing w:val="3"/>
          <w:sz w:val="20"/>
          <w:szCs w:val="20"/>
        </w:rPr>
        <w:t>4 )</w:t>
      </w:r>
      <w:r>
        <w:rPr>
          <w:rFonts w:ascii="宋体" w:hAnsi="宋体" w:eastAsia="宋体" w:cs="宋体"/>
          <w:spacing w:val="66"/>
          <w:sz w:val="20"/>
          <w:szCs w:val="20"/>
        </w:rPr>
        <w:t xml:space="preserve"> </w:t>
      </w:r>
      <w:r>
        <w:rPr>
          <w:rFonts w:ascii="宋体" w:hAnsi="宋体" w:eastAsia="宋体" w:cs="宋体"/>
          <w:spacing w:val="2"/>
          <w:sz w:val="20"/>
          <w:szCs w:val="20"/>
        </w:rPr>
        <w:t>目的约定办理。</w:t>
      </w:r>
    </w:p>
    <w:p w14:paraId="4CAA8031">
      <w:pPr>
        <w:pStyle w:val="2"/>
        <w:spacing w:before="128" w:line="223" w:lineRule="auto"/>
        <w:ind w:left="20"/>
        <w:rPr>
          <w:sz w:val="24"/>
          <w:szCs w:val="24"/>
        </w:rPr>
      </w:pPr>
      <w:r>
        <w:rPr>
          <w:rFonts w:ascii="Times New Roman" w:hAnsi="Times New Roman" w:eastAsia="Times New Roman" w:cs="Times New Roman"/>
          <w:spacing w:val="-6"/>
          <w:sz w:val="24"/>
          <w:szCs w:val="24"/>
        </w:rPr>
        <w:t>17.6</w:t>
      </w:r>
      <w:r>
        <w:rPr>
          <w:rFonts w:ascii="Times New Roman" w:hAnsi="Times New Roman" w:eastAsia="Times New Roman" w:cs="Times New Roman"/>
          <w:spacing w:val="9"/>
          <w:sz w:val="24"/>
          <w:szCs w:val="24"/>
        </w:rPr>
        <w:t xml:space="preserve">  </w:t>
      </w:r>
      <w:r>
        <w:rPr>
          <w:spacing w:val="-6"/>
          <w:sz w:val="24"/>
          <w:szCs w:val="24"/>
        </w:rPr>
        <w:t>最终结清</w:t>
      </w:r>
    </w:p>
    <w:p w14:paraId="44A00BEB">
      <w:pPr>
        <w:pStyle w:val="2"/>
        <w:spacing w:before="134" w:line="231" w:lineRule="auto"/>
        <w:ind w:left="437"/>
        <w:rPr>
          <w:sz w:val="20"/>
          <w:szCs w:val="20"/>
        </w:rPr>
      </w:pPr>
      <w:r>
        <w:rPr>
          <w:rFonts w:ascii="Times New Roman" w:hAnsi="Times New Roman" w:eastAsia="Times New Roman" w:cs="Times New Roman"/>
          <w:spacing w:val="4"/>
          <w:sz w:val="20"/>
          <w:szCs w:val="20"/>
        </w:rPr>
        <w:t xml:space="preserve">17.6.1  </w:t>
      </w:r>
      <w:r>
        <w:rPr>
          <w:spacing w:val="4"/>
          <w:sz w:val="20"/>
          <w:szCs w:val="20"/>
        </w:rPr>
        <w:t>最终结清申请单</w:t>
      </w:r>
    </w:p>
    <w:p w14:paraId="1B4A90D4">
      <w:pPr>
        <w:spacing w:before="151" w:line="369" w:lineRule="auto"/>
        <w:ind w:left="1" w:right="57" w:firstLine="726"/>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1</w:t>
      </w:r>
      <w:r>
        <w:rPr>
          <w:rFonts w:ascii="宋体" w:hAnsi="宋体" w:eastAsia="宋体" w:cs="宋体"/>
          <w:spacing w:val="10"/>
          <w:sz w:val="20"/>
          <w:szCs w:val="20"/>
        </w:rPr>
        <w:t>）缺陷责任期终止证书签发后，承包人可按专用合同条款约定</w:t>
      </w:r>
      <w:r>
        <w:rPr>
          <w:rFonts w:ascii="宋体" w:hAnsi="宋体" w:eastAsia="宋体" w:cs="宋体"/>
          <w:spacing w:val="9"/>
          <w:sz w:val="20"/>
          <w:szCs w:val="20"/>
        </w:rPr>
        <w:t>的份数和期限向监理人</w:t>
      </w:r>
      <w:r>
        <w:rPr>
          <w:rFonts w:ascii="宋体" w:hAnsi="宋体" w:eastAsia="宋体" w:cs="宋体"/>
          <w:spacing w:val="8"/>
          <w:sz w:val="20"/>
          <w:szCs w:val="20"/>
        </w:rPr>
        <w:t>提交最终结清申请单，并提供相关证明材料。</w:t>
      </w:r>
    </w:p>
    <w:p w14:paraId="53F0C708">
      <w:pPr>
        <w:spacing w:before="2" w:line="369" w:lineRule="auto"/>
        <w:ind w:left="26" w:firstLine="70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）发包人对最终结清申请单内容有异议的，有权要求承包人进行修正和提供补充</w:t>
      </w:r>
      <w:r>
        <w:rPr>
          <w:rFonts w:ascii="宋体" w:hAnsi="宋体" w:eastAsia="宋体" w:cs="宋体"/>
          <w:spacing w:val="5"/>
          <w:sz w:val="20"/>
          <w:szCs w:val="20"/>
        </w:rPr>
        <w:t>资料，</w:t>
      </w:r>
      <w:r>
        <w:rPr>
          <w:rFonts w:ascii="宋体" w:hAnsi="宋体" w:eastAsia="宋体" w:cs="宋体"/>
          <w:spacing w:val="8"/>
          <w:sz w:val="20"/>
          <w:szCs w:val="20"/>
        </w:rPr>
        <w:t>由承包人向监理人提交修正后的最终结清申请</w:t>
      </w:r>
      <w:r>
        <w:rPr>
          <w:rFonts w:ascii="宋体" w:hAnsi="宋体" w:eastAsia="宋体" w:cs="宋体"/>
          <w:spacing w:val="7"/>
          <w:sz w:val="20"/>
          <w:szCs w:val="20"/>
        </w:rPr>
        <w:t>单。</w:t>
      </w:r>
    </w:p>
    <w:p w14:paraId="71CB700B">
      <w:pPr>
        <w:pStyle w:val="2"/>
        <w:spacing w:line="231" w:lineRule="auto"/>
        <w:ind w:left="437"/>
        <w:rPr>
          <w:sz w:val="20"/>
          <w:szCs w:val="20"/>
        </w:rPr>
      </w:pPr>
      <w:r>
        <w:rPr>
          <w:rFonts w:ascii="Times New Roman" w:hAnsi="Times New Roman" w:eastAsia="Times New Roman" w:cs="Times New Roman"/>
          <w:spacing w:val="5"/>
          <w:sz w:val="20"/>
          <w:szCs w:val="20"/>
        </w:rPr>
        <w:t xml:space="preserve">17.6.2  </w:t>
      </w:r>
      <w:r>
        <w:rPr>
          <w:spacing w:val="5"/>
          <w:sz w:val="20"/>
          <w:szCs w:val="20"/>
        </w:rPr>
        <w:t>最终结清证书和支付时间</w:t>
      </w:r>
    </w:p>
    <w:p w14:paraId="7CF0DA21">
      <w:pPr>
        <w:spacing w:before="146" w:line="370" w:lineRule="auto"/>
        <w:ind w:left="1" w:right="54" w:firstLine="726"/>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）监理人收到承包人提交的最终结清申请单后的</w:t>
      </w:r>
      <w:r>
        <w:rPr>
          <w:rFonts w:ascii="宋体" w:hAnsi="宋体" w:eastAsia="宋体" w:cs="宋体"/>
          <w:spacing w:val="-16"/>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天内，提出发包人应支付给承包人的价款送发包人审核并抄送承包人。发包人应在收到后</w:t>
      </w:r>
      <w:r>
        <w:rPr>
          <w:rFonts w:ascii="宋体" w:hAnsi="宋体" w:eastAsia="宋体" w:cs="宋体"/>
          <w:spacing w:val="-7"/>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天内审核完毕，由监理人向承包人出具</w:t>
      </w:r>
      <w:r>
        <w:rPr>
          <w:rFonts w:ascii="宋体" w:hAnsi="宋体" w:eastAsia="宋体" w:cs="宋体"/>
          <w:spacing w:val="10"/>
          <w:sz w:val="20"/>
          <w:szCs w:val="20"/>
        </w:rPr>
        <w:t>经发包人签认的最终结清证书。监理人未在约定时间内核查，又未提出</w:t>
      </w:r>
      <w:r>
        <w:rPr>
          <w:rFonts w:ascii="宋体" w:hAnsi="宋体" w:eastAsia="宋体" w:cs="宋体"/>
          <w:spacing w:val="9"/>
          <w:sz w:val="20"/>
          <w:szCs w:val="20"/>
        </w:rPr>
        <w:t>具体意见的，视为承包人</w:t>
      </w:r>
      <w:r>
        <w:rPr>
          <w:rFonts w:ascii="宋体" w:hAnsi="宋体" w:eastAsia="宋体" w:cs="宋体"/>
          <w:spacing w:val="10"/>
          <w:sz w:val="20"/>
          <w:szCs w:val="20"/>
        </w:rPr>
        <w:t>提交的最终结清申请已经监理人核查同意；发包人未在约定时间内审核</w:t>
      </w:r>
      <w:r>
        <w:rPr>
          <w:rFonts w:ascii="宋体" w:hAnsi="宋体" w:eastAsia="宋体" w:cs="宋体"/>
          <w:spacing w:val="9"/>
          <w:sz w:val="20"/>
          <w:szCs w:val="20"/>
        </w:rPr>
        <w:t>又未提出具体意见的，监理人提出应支付给承包人的价款视为已经发包人同意。</w:t>
      </w:r>
    </w:p>
    <w:p w14:paraId="267CE361">
      <w:pPr>
        <w:spacing w:before="1" w:line="368" w:lineRule="auto"/>
        <w:ind w:left="2" w:right="56" w:firstLine="726"/>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）发包人应在监理人出具最终结清证书后的</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天内，将应支付款支付给承包人</w:t>
      </w:r>
      <w:r>
        <w:rPr>
          <w:rFonts w:ascii="宋体" w:hAnsi="宋体" w:eastAsia="宋体" w:cs="宋体"/>
          <w:spacing w:val="5"/>
          <w:sz w:val="20"/>
          <w:szCs w:val="20"/>
        </w:rPr>
        <w:t>。发包</w:t>
      </w:r>
      <w:r>
        <w:rPr>
          <w:rFonts w:ascii="宋体" w:hAnsi="宋体" w:eastAsia="宋体" w:cs="宋体"/>
          <w:spacing w:val="6"/>
          <w:sz w:val="20"/>
          <w:szCs w:val="20"/>
        </w:rPr>
        <w:t>人不按期支付的，按第</w:t>
      </w:r>
      <w:r>
        <w:rPr>
          <w:rFonts w:ascii="宋体" w:hAnsi="宋体" w:eastAsia="宋体" w:cs="宋体"/>
          <w:spacing w:val="-13"/>
          <w:sz w:val="20"/>
          <w:szCs w:val="20"/>
        </w:rPr>
        <w:t xml:space="preserve"> </w:t>
      </w:r>
      <w:r>
        <w:rPr>
          <w:rFonts w:ascii="Times New Roman" w:hAnsi="Times New Roman" w:eastAsia="Times New Roman" w:cs="Times New Roman"/>
          <w:spacing w:val="6"/>
          <w:sz w:val="20"/>
          <w:szCs w:val="20"/>
        </w:rPr>
        <w:t>17.3.3</w:t>
      </w: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w:t>
      </w:r>
      <w:r>
        <w:rPr>
          <w:rFonts w:ascii="宋体" w:hAnsi="宋体" w:eastAsia="宋体" w:cs="宋体"/>
          <w:spacing w:val="-42"/>
          <w:sz w:val="20"/>
          <w:szCs w:val="20"/>
        </w:rPr>
        <w:t xml:space="preserve"> </w:t>
      </w:r>
      <w:r>
        <w:rPr>
          <w:rFonts w:ascii="宋体" w:hAnsi="宋体" w:eastAsia="宋体" w:cs="宋体"/>
          <w:spacing w:val="6"/>
          <w:sz w:val="20"/>
          <w:szCs w:val="20"/>
        </w:rPr>
        <w:t>目的约定，将逾期付款违约金支付给承包人。</w:t>
      </w:r>
    </w:p>
    <w:p w14:paraId="19B3353E">
      <w:pPr>
        <w:spacing w:before="1" w:line="226" w:lineRule="auto"/>
        <w:ind w:left="7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）承包人对发包人签认的最终结清证书有异议的，按第</w:t>
      </w:r>
      <w:r>
        <w:rPr>
          <w:rFonts w:ascii="宋体" w:hAnsi="宋体" w:eastAsia="宋体" w:cs="宋体"/>
          <w:spacing w:val="-29"/>
          <w:sz w:val="20"/>
          <w:szCs w:val="20"/>
        </w:rPr>
        <w:t xml:space="preserve"> </w:t>
      </w: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条的约定办理。</w:t>
      </w:r>
    </w:p>
    <w:p w14:paraId="76D03707">
      <w:pPr>
        <w:spacing w:before="155" w:line="227" w:lineRule="auto"/>
        <w:ind w:left="728"/>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4</w:t>
      </w:r>
      <w:r>
        <w:rPr>
          <w:rFonts w:ascii="宋体" w:hAnsi="宋体" w:eastAsia="宋体" w:cs="宋体"/>
          <w:spacing w:val="3"/>
          <w:sz w:val="20"/>
          <w:szCs w:val="20"/>
        </w:rPr>
        <w:t>）最终结清付款涉及政府投资资金的，按第</w:t>
      </w:r>
      <w:r>
        <w:rPr>
          <w:rFonts w:ascii="宋体" w:hAnsi="宋体" w:eastAsia="宋体" w:cs="宋体"/>
          <w:spacing w:val="-19"/>
          <w:sz w:val="20"/>
          <w:szCs w:val="20"/>
        </w:rPr>
        <w:t xml:space="preserve"> </w:t>
      </w:r>
      <w:r>
        <w:rPr>
          <w:rFonts w:ascii="Times New Roman" w:hAnsi="Times New Roman" w:eastAsia="Times New Roman" w:cs="Times New Roman"/>
          <w:spacing w:val="3"/>
          <w:sz w:val="20"/>
          <w:szCs w:val="20"/>
        </w:rPr>
        <w:t xml:space="preserve">17.3.3  </w:t>
      </w:r>
      <w:r>
        <w:rPr>
          <w:rFonts w:ascii="宋体" w:hAnsi="宋体" w:eastAsia="宋体" w:cs="宋体"/>
          <w:spacing w:val="3"/>
          <w:sz w:val="20"/>
          <w:szCs w:val="20"/>
        </w:rPr>
        <w:t>(</w:t>
      </w:r>
      <w:r>
        <w:rPr>
          <w:rFonts w:ascii="宋体" w:hAnsi="宋体" w:eastAsia="宋体" w:cs="宋体"/>
          <w:spacing w:val="-16"/>
          <w:sz w:val="20"/>
          <w:szCs w:val="20"/>
        </w:rPr>
        <w:t xml:space="preserve"> </w:t>
      </w:r>
      <w:r>
        <w:rPr>
          <w:rFonts w:ascii="宋体" w:hAnsi="宋体" w:eastAsia="宋体" w:cs="宋体"/>
          <w:spacing w:val="3"/>
          <w:sz w:val="20"/>
          <w:szCs w:val="20"/>
        </w:rPr>
        <w:t>4 )</w:t>
      </w:r>
      <w:r>
        <w:rPr>
          <w:rFonts w:ascii="宋体" w:hAnsi="宋体" w:eastAsia="宋体" w:cs="宋体"/>
          <w:spacing w:val="66"/>
          <w:sz w:val="20"/>
          <w:szCs w:val="20"/>
        </w:rPr>
        <w:t xml:space="preserve"> </w:t>
      </w:r>
      <w:r>
        <w:rPr>
          <w:rFonts w:ascii="宋体" w:hAnsi="宋体" w:eastAsia="宋体" w:cs="宋体"/>
          <w:spacing w:val="3"/>
          <w:sz w:val="20"/>
          <w:szCs w:val="20"/>
        </w:rPr>
        <w:t>目的约定办理。</w:t>
      </w:r>
    </w:p>
    <w:p w14:paraId="0D920546">
      <w:pPr>
        <w:pStyle w:val="2"/>
        <w:spacing w:before="191" w:line="222" w:lineRule="auto"/>
        <w:ind w:left="25"/>
        <w:outlineLvl w:val="2"/>
        <w:rPr>
          <w:sz w:val="28"/>
          <w:szCs w:val="28"/>
        </w:rPr>
      </w:pPr>
      <w:bookmarkStart w:id="231" w:name="bookmark212"/>
      <w:bookmarkEnd w:id="231"/>
      <w:r>
        <w:rPr>
          <w:rFonts w:ascii="Times New Roman" w:hAnsi="Times New Roman" w:eastAsia="Times New Roman" w:cs="Times New Roman"/>
          <w:spacing w:val="-4"/>
          <w:sz w:val="28"/>
          <w:szCs w:val="28"/>
        </w:rPr>
        <w:t xml:space="preserve">18.  </w:t>
      </w:r>
      <w:r>
        <w:rPr>
          <w:spacing w:val="-4"/>
          <w:sz w:val="28"/>
          <w:szCs w:val="28"/>
        </w:rPr>
        <w:t>竣工验收</w:t>
      </w:r>
    </w:p>
    <w:p w14:paraId="394D297C">
      <w:pPr>
        <w:pStyle w:val="2"/>
        <w:spacing w:before="100" w:line="221" w:lineRule="auto"/>
        <w:ind w:left="20"/>
        <w:rPr>
          <w:sz w:val="24"/>
          <w:szCs w:val="24"/>
        </w:rPr>
      </w:pPr>
      <w:r>
        <w:rPr>
          <w:rFonts w:ascii="Times New Roman" w:hAnsi="Times New Roman" w:eastAsia="Times New Roman" w:cs="Times New Roman"/>
          <w:spacing w:val="-3"/>
          <w:sz w:val="24"/>
          <w:szCs w:val="24"/>
        </w:rPr>
        <w:t xml:space="preserve">18.1  </w:t>
      </w:r>
      <w:r>
        <w:rPr>
          <w:spacing w:val="-3"/>
          <w:sz w:val="24"/>
          <w:szCs w:val="24"/>
        </w:rPr>
        <w:t>竣工验收的含义</w:t>
      </w:r>
    </w:p>
    <w:p w14:paraId="76687BC5">
      <w:pPr>
        <w:spacing w:before="137" w:line="228" w:lineRule="auto"/>
        <w:ind w:left="437"/>
        <w:rPr>
          <w:rFonts w:ascii="宋体" w:hAnsi="宋体" w:eastAsia="宋体" w:cs="宋体"/>
          <w:sz w:val="20"/>
          <w:szCs w:val="20"/>
        </w:rPr>
      </w:pPr>
      <w:r>
        <w:rPr>
          <w:rFonts w:ascii="Times New Roman" w:hAnsi="Times New Roman" w:eastAsia="Times New Roman" w:cs="Times New Roman"/>
          <w:spacing w:val="7"/>
          <w:sz w:val="20"/>
          <w:szCs w:val="20"/>
        </w:rPr>
        <w:t>18.</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7"/>
          <w:sz w:val="20"/>
          <w:szCs w:val="20"/>
        </w:rPr>
        <w:t xml:space="preserve">1.1  </w:t>
      </w:r>
      <w:r>
        <w:rPr>
          <w:rFonts w:ascii="宋体" w:hAnsi="宋体" w:eastAsia="宋体" w:cs="宋体"/>
          <w:spacing w:val="7"/>
          <w:sz w:val="20"/>
          <w:szCs w:val="20"/>
        </w:rPr>
        <w:t>竣工验收指承包人完成了全部合同工作后，发包人按合同要求进行的验收。</w:t>
      </w:r>
    </w:p>
    <w:p w14:paraId="03508F30">
      <w:pPr>
        <w:spacing w:before="154" w:line="369" w:lineRule="auto"/>
        <w:ind w:right="57" w:firstLine="437"/>
        <w:rPr>
          <w:rFonts w:ascii="宋体" w:hAnsi="宋体" w:eastAsia="宋体" w:cs="宋体"/>
          <w:sz w:val="20"/>
          <w:szCs w:val="20"/>
        </w:rPr>
      </w:pPr>
      <w:r>
        <w:rPr>
          <w:rFonts w:ascii="Times New Roman" w:hAnsi="Times New Roman" w:eastAsia="Times New Roman" w:cs="Times New Roman"/>
          <w:spacing w:val="7"/>
          <w:sz w:val="20"/>
          <w:szCs w:val="20"/>
        </w:rPr>
        <w:t>18.</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7"/>
          <w:sz w:val="20"/>
          <w:szCs w:val="20"/>
        </w:rPr>
        <w:t>1.2</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国家验收是政府有关部门根据法律、规范、规程和政策要求，针对发包人全面组织实</w:t>
      </w:r>
      <w:r>
        <w:rPr>
          <w:rFonts w:ascii="宋体" w:hAnsi="宋体" w:eastAsia="宋体" w:cs="宋体"/>
          <w:spacing w:val="8"/>
          <w:sz w:val="20"/>
          <w:szCs w:val="20"/>
        </w:rPr>
        <w:t>施的整个工程正式交付投运前的验收。</w:t>
      </w:r>
    </w:p>
    <w:p w14:paraId="409C6869">
      <w:pPr>
        <w:spacing w:before="3" w:line="370" w:lineRule="auto"/>
        <w:ind w:right="54" w:firstLine="437"/>
        <w:rPr>
          <w:rFonts w:ascii="宋体" w:hAnsi="宋体" w:eastAsia="宋体" w:cs="宋体"/>
          <w:sz w:val="20"/>
          <w:szCs w:val="20"/>
        </w:rPr>
      </w:pPr>
      <w:r>
        <w:rPr>
          <w:rFonts w:ascii="Times New Roman" w:hAnsi="Times New Roman" w:eastAsia="Times New Roman" w:cs="Times New Roman"/>
          <w:spacing w:val="8"/>
          <w:sz w:val="20"/>
          <w:szCs w:val="20"/>
        </w:rPr>
        <w:t>18.</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1.3  </w:t>
      </w:r>
      <w:r>
        <w:rPr>
          <w:rFonts w:ascii="宋体" w:hAnsi="宋体" w:eastAsia="宋体" w:cs="宋体"/>
          <w:spacing w:val="8"/>
          <w:sz w:val="20"/>
          <w:szCs w:val="20"/>
        </w:rPr>
        <w:t>需要进行国家验收的，竣工验收是国家验收的一部分。</w:t>
      </w:r>
      <w:r>
        <w:rPr>
          <w:rFonts w:ascii="宋体" w:hAnsi="宋体" w:eastAsia="宋体" w:cs="宋体"/>
          <w:spacing w:val="7"/>
          <w:sz w:val="20"/>
          <w:szCs w:val="20"/>
        </w:rPr>
        <w:t>竣工验收所采用的各项验收和</w:t>
      </w:r>
      <w:r>
        <w:rPr>
          <w:rFonts w:ascii="宋体" w:hAnsi="宋体" w:eastAsia="宋体" w:cs="宋体"/>
          <w:spacing w:val="10"/>
          <w:sz w:val="20"/>
          <w:szCs w:val="20"/>
        </w:rPr>
        <w:t>评定标准应符合国家验收标准。发包人和承包人为竣工验收提供的各项竣工</w:t>
      </w:r>
      <w:r>
        <w:rPr>
          <w:rFonts w:ascii="宋体" w:hAnsi="宋体" w:eastAsia="宋体" w:cs="宋体"/>
          <w:spacing w:val="9"/>
          <w:sz w:val="20"/>
          <w:szCs w:val="20"/>
        </w:rPr>
        <w:t>验收资料应符合国家</w:t>
      </w:r>
      <w:r>
        <w:rPr>
          <w:rFonts w:ascii="宋体" w:hAnsi="宋体" w:eastAsia="宋体" w:cs="宋体"/>
          <w:spacing w:val="6"/>
          <w:sz w:val="20"/>
          <w:szCs w:val="20"/>
        </w:rPr>
        <w:t>验收的要求。</w:t>
      </w:r>
    </w:p>
    <w:p w14:paraId="166CB154">
      <w:pPr>
        <w:spacing w:line="370" w:lineRule="auto"/>
        <w:rPr>
          <w:rFonts w:ascii="宋体" w:hAnsi="宋体" w:eastAsia="宋体" w:cs="宋体"/>
          <w:sz w:val="20"/>
          <w:szCs w:val="20"/>
        </w:rPr>
        <w:sectPr>
          <w:footerReference r:id="rId186" w:type="default"/>
          <w:pgSz w:w="11906" w:h="16839"/>
          <w:pgMar w:top="400" w:right="1500" w:bottom="1038" w:left="1538" w:header="0" w:footer="787" w:gutter="0"/>
          <w:cols w:space="720" w:num="1"/>
        </w:sectPr>
      </w:pPr>
    </w:p>
    <w:p w14:paraId="1CB1EABC">
      <w:pPr>
        <w:spacing w:line="261" w:lineRule="auto"/>
        <w:rPr>
          <w:rFonts w:ascii="Arial"/>
          <w:sz w:val="21"/>
        </w:rPr>
      </w:pPr>
    </w:p>
    <w:p w14:paraId="045297EB">
      <w:pPr>
        <w:spacing w:line="262" w:lineRule="auto"/>
        <w:rPr>
          <w:rFonts w:ascii="Arial"/>
          <w:sz w:val="21"/>
        </w:rPr>
      </w:pPr>
    </w:p>
    <w:p w14:paraId="06D1D8F4">
      <w:pPr>
        <w:spacing w:line="262" w:lineRule="auto"/>
        <w:rPr>
          <w:rFonts w:ascii="Arial"/>
          <w:sz w:val="21"/>
        </w:rPr>
      </w:pPr>
    </w:p>
    <w:p w14:paraId="24A7449D">
      <w:pPr>
        <w:spacing w:line="262" w:lineRule="auto"/>
        <w:rPr>
          <w:rFonts w:ascii="Arial"/>
          <w:sz w:val="21"/>
        </w:rPr>
      </w:pPr>
    </w:p>
    <w:p w14:paraId="24618E19">
      <w:pPr>
        <w:pStyle w:val="2"/>
        <w:spacing w:before="78" w:line="221" w:lineRule="auto"/>
        <w:ind w:left="21"/>
        <w:rPr>
          <w:sz w:val="24"/>
          <w:szCs w:val="24"/>
        </w:rPr>
      </w:pPr>
      <w:r>
        <w:rPr>
          <w:rFonts w:ascii="Times New Roman" w:hAnsi="Times New Roman" w:eastAsia="Times New Roman" w:cs="Times New Roman"/>
          <w:spacing w:val="-3"/>
          <w:sz w:val="24"/>
          <w:szCs w:val="24"/>
        </w:rPr>
        <w:t xml:space="preserve">18.2  </w:t>
      </w:r>
      <w:r>
        <w:rPr>
          <w:spacing w:val="-3"/>
          <w:sz w:val="24"/>
          <w:szCs w:val="24"/>
        </w:rPr>
        <w:t>竣工验收申请报告</w:t>
      </w:r>
    </w:p>
    <w:p w14:paraId="482D206D">
      <w:pPr>
        <w:spacing w:before="138" w:line="226" w:lineRule="auto"/>
        <w:ind w:left="434"/>
        <w:rPr>
          <w:rFonts w:ascii="宋体" w:hAnsi="宋体" w:eastAsia="宋体" w:cs="宋体"/>
          <w:sz w:val="20"/>
          <w:szCs w:val="20"/>
        </w:rPr>
      </w:pPr>
      <w:r>
        <w:rPr>
          <w:rFonts w:ascii="宋体" w:hAnsi="宋体" w:eastAsia="宋体" w:cs="宋体"/>
          <w:spacing w:val="9"/>
          <w:sz w:val="20"/>
          <w:szCs w:val="20"/>
        </w:rPr>
        <w:t>当工程具备以下条件时，承包人即可向监理人报送竣工验收申</w:t>
      </w:r>
      <w:r>
        <w:rPr>
          <w:rFonts w:ascii="宋体" w:hAnsi="宋体" w:eastAsia="宋体" w:cs="宋体"/>
          <w:spacing w:val="8"/>
          <w:sz w:val="20"/>
          <w:szCs w:val="20"/>
        </w:rPr>
        <w:t>请报告：</w:t>
      </w:r>
    </w:p>
    <w:p w14:paraId="7596C6C7">
      <w:pPr>
        <w:spacing w:before="156" w:line="369" w:lineRule="auto"/>
        <w:ind w:left="2" w:right="54" w:firstLine="366"/>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）除监理人同意列入缺陷责任期内完成的尾工（甩项）工程和缺陷修补工作外，合同范围</w:t>
      </w:r>
      <w:r>
        <w:rPr>
          <w:rFonts w:ascii="宋体" w:hAnsi="宋体" w:eastAsia="宋体" w:cs="宋体"/>
          <w:spacing w:val="10"/>
          <w:sz w:val="20"/>
          <w:szCs w:val="20"/>
        </w:rPr>
        <w:t>内的全部单位工程以及有关工作，包括合同要求的试验、试运行以及检</w:t>
      </w:r>
      <w:r>
        <w:rPr>
          <w:rFonts w:ascii="宋体" w:hAnsi="宋体" w:eastAsia="宋体" w:cs="宋体"/>
          <w:spacing w:val="9"/>
          <w:sz w:val="20"/>
          <w:szCs w:val="20"/>
        </w:rPr>
        <w:t>验和验收均已完成，并符</w:t>
      </w:r>
      <w:r>
        <w:rPr>
          <w:rFonts w:ascii="宋体" w:hAnsi="宋体" w:eastAsia="宋体" w:cs="宋体"/>
          <w:spacing w:val="6"/>
          <w:sz w:val="20"/>
          <w:szCs w:val="20"/>
        </w:rPr>
        <w:t>合合同要求；</w:t>
      </w:r>
    </w:p>
    <w:p w14:paraId="1070DB58">
      <w:pPr>
        <w:spacing w:line="227" w:lineRule="auto"/>
        <w:ind w:left="36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w:t>
      </w:r>
      <w:r>
        <w:rPr>
          <w:rFonts w:ascii="宋体" w:hAnsi="宋体" w:eastAsia="宋体" w:cs="宋体"/>
          <w:spacing w:val="-50"/>
          <w:sz w:val="20"/>
          <w:szCs w:val="20"/>
        </w:rPr>
        <w:t xml:space="preserve"> </w:t>
      </w:r>
      <w:r>
        <w:rPr>
          <w:rFonts w:ascii="宋体" w:hAnsi="宋体" w:eastAsia="宋体" w:cs="宋体"/>
          <w:spacing w:val="7"/>
          <w:sz w:val="20"/>
          <w:szCs w:val="20"/>
        </w:rPr>
        <w:t>已按合同约定的内容和份数备齐了符合要求的竣工资料；</w:t>
      </w:r>
    </w:p>
    <w:p w14:paraId="09FA0CB2">
      <w:pPr>
        <w:spacing w:before="154" w:line="369" w:lineRule="auto"/>
        <w:ind w:left="25" w:right="54" w:firstLine="344"/>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）已按监理人的要求编制了在缺陷责任期内完成的尾工（甩项）工程和缺陷修补工作清单</w:t>
      </w:r>
      <w:r>
        <w:rPr>
          <w:rFonts w:ascii="宋体" w:hAnsi="宋体" w:eastAsia="宋体" w:cs="宋体"/>
          <w:spacing w:val="5"/>
          <w:sz w:val="20"/>
          <w:szCs w:val="20"/>
        </w:rPr>
        <w:t>以及相应施工计划；</w:t>
      </w:r>
    </w:p>
    <w:p w14:paraId="11782F3E">
      <w:pPr>
        <w:spacing w:line="227" w:lineRule="auto"/>
        <w:ind w:left="36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）监理人要求在竣工验收前应完成的其他工作；</w:t>
      </w:r>
    </w:p>
    <w:p w14:paraId="7A523BB5">
      <w:pPr>
        <w:spacing w:before="154" w:line="228" w:lineRule="auto"/>
        <w:ind w:left="36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）监理人要求提交的竣工验收资料清单。</w:t>
      </w:r>
    </w:p>
    <w:p w14:paraId="17F66180">
      <w:pPr>
        <w:pStyle w:val="2"/>
        <w:spacing w:before="127" w:line="222" w:lineRule="auto"/>
        <w:ind w:left="21"/>
        <w:rPr>
          <w:sz w:val="24"/>
          <w:szCs w:val="24"/>
        </w:rPr>
      </w:pPr>
      <w:r>
        <w:rPr>
          <w:rFonts w:ascii="Times New Roman" w:hAnsi="Times New Roman" w:eastAsia="Times New Roman" w:cs="Times New Roman"/>
          <w:spacing w:val="-6"/>
          <w:sz w:val="24"/>
          <w:szCs w:val="24"/>
        </w:rPr>
        <w:t>18.3</w:t>
      </w:r>
      <w:r>
        <w:rPr>
          <w:rFonts w:ascii="Times New Roman" w:hAnsi="Times New Roman" w:eastAsia="Times New Roman" w:cs="Times New Roman"/>
          <w:spacing w:val="3"/>
          <w:sz w:val="24"/>
          <w:szCs w:val="24"/>
        </w:rPr>
        <w:t xml:space="preserve">  </w:t>
      </w:r>
      <w:r>
        <w:rPr>
          <w:spacing w:val="-6"/>
          <w:sz w:val="24"/>
          <w:szCs w:val="24"/>
        </w:rPr>
        <w:t>验收</w:t>
      </w:r>
    </w:p>
    <w:p w14:paraId="223D5711">
      <w:pPr>
        <w:spacing w:before="137" w:line="369" w:lineRule="auto"/>
        <w:ind w:left="6" w:firstLine="415"/>
        <w:rPr>
          <w:rFonts w:ascii="宋体" w:hAnsi="宋体" w:eastAsia="宋体" w:cs="宋体"/>
          <w:sz w:val="20"/>
          <w:szCs w:val="20"/>
        </w:rPr>
      </w:pPr>
      <w:r>
        <w:rPr>
          <w:rFonts w:ascii="宋体" w:hAnsi="宋体" w:eastAsia="宋体" w:cs="宋体"/>
          <w:spacing w:val="5"/>
          <w:sz w:val="20"/>
          <w:szCs w:val="20"/>
        </w:rPr>
        <w:t>监理人收到承包人按第</w:t>
      </w:r>
      <w:r>
        <w:rPr>
          <w:rFonts w:ascii="宋体" w:hAnsi="宋体" w:eastAsia="宋体" w:cs="宋体"/>
          <w:spacing w:val="-47"/>
          <w:sz w:val="20"/>
          <w:szCs w:val="20"/>
        </w:rPr>
        <w:t xml:space="preserve"> </w:t>
      </w:r>
      <w:r>
        <w:rPr>
          <w:rFonts w:ascii="Times New Roman" w:hAnsi="Times New Roman" w:eastAsia="Times New Roman" w:cs="Times New Roman"/>
          <w:spacing w:val="5"/>
          <w:sz w:val="20"/>
          <w:szCs w:val="20"/>
        </w:rPr>
        <w:t>18.2</w:t>
      </w:r>
      <w:r>
        <w:rPr>
          <w:rFonts w:ascii="Times New Roman" w:hAnsi="Times New Roman" w:eastAsia="Times New Roman" w:cs="Times New Roman"/>
          <w:spacing w:val="-14"/>
          <w:sz w:val="20"/>
          <w:szCs w:val="20"/>
        </w:rPr>
        <w:t xml:space="preserve"> </w:t>
      </w:r>
      <w:r>
        <w:rPr>
          <w:rFonts w:ascii="宋体" w:hAnsi="宋体" w:eastAsia="宋体" w:cs="宋体"/>
          <w:spacing w:val="5"/>
          <w:sz w:val="20"/>
          <w:szCs w:val="20"/>
        </w:rPr>
        <w:t>款约定提交的竣工验收申请报告后，应审查</w:t>
      </w:r>
      <w:r>
        <w:rPr>
          <w:rFonts w:ascii="宋体" w:hAnsi="宋体" w:eastAsia="宋体" w:cs="宋体"/>
          <w:spacing w:val="4"/>
          <w:sz w:val="20"/>
          <w:szCs w:val="20"/>
        </w:rPr>
        <w:t>申请报告的各项内容，</w:t>
      </w:r>
      <w:r>
        <w:rPr>
          <w:rFonts w:ascii="宋体" w:hAnsi="宋体" w:eastAsia="宋体" w:cs="宋体"/>
          <w:spacing w:val="8"/>
          <w:sz w:val="20"/>
          <w:szCs w:val="20"/>
        </w:rPr>
        <w:t>并按以下不同情况进行处理。</w:t>
      </w:r>
    </w:p>
    <w:p w14:paraId="33272AFA">
      <w:pPr>
        <w:spacing w:line="369" w:lineRule="auto"/>
        <w:ind w:left="1" w:right="54" w:firstLine="436"/>
        <w:rPr>
          <w:rFonts w:ascii="宋体" w:hAnsi="宋体" w:eastAsia="宋体" w:cs="宋体"/>
          <w:sz w:val="20"/>
          <w:szCs w:val="20"/>
        </w:rPr>
      </w:pPr>
      <w:r>
        <w:rPr>
          <w:rFonts w:ascii="Times New Roman" w:hAnsi="Times New Roman" w:eastAsia="Times New Roman" w:cs="Times New Roman"/>
          <w:spacing w:val="6"/>
          <w:sz w:val="20"/>
          <w:szCs w:val="20"/>
        </w:rPr>
        <w:t xml:space="preserve">18.3.1  </w:t>
      </w:r>
      <w:r>
        <w:rPr>
          <w:rFonts w:ascii="宋体" w:hAnsi="宋体" w:eastAsia="宋体" w:cs="宋体"/>
          <w:spacing w:val="6"/>
          <w:sz w:val="20"/>
          <w:szCs w:val="20"/>
        </w:rPr>
        <w:t>监理人审查后认为尚不具备竣工验收条件的</w:t>
      </w:r>
      <w:r>
        <w:rPr>
          <w:rFonts w:ascii="宋体" w:hAnsi="宋体" w:eastAsia="宋体" w:cs="宋体"/>
          <w:spacing w:val="5"/>
          <w:sz w:val="20"/>
          <w:szCs w:val="20"/>
        </w:rPr>
        <w:t>，应在收到竣工验收申请报告后的</w:t>
      </w:r>
      <w:r>
        <w:rPr>
          <w:rFonts w:ascii="宋体" w:hAnsi="宋体" w:eastAsia="宋体" w:cs="宋体"/>
          <w:spacing w:val="-40"/>
          <w:sz w:val="20"/>
          <w:szCs w:val="20"/>
        </w:rPr>
        <w:t xml:space="preserve"> </w:t>
      </w:r>
      <w:r>
        <w:rPr>
          <w:rFonts w:ascii="Times New Roman" w:hAnsi="Times New Roman" w:eastAsia="Times New Roman" w:cs="Times New Roman"/>
          <w:spacing w:val="5"/>
          <w:sz w:val="20"/>
          <w:szCs w:val="20"/>
        </w:rPr>
        <w:t xml:space="preserve">28 </w:t>
      </w:r>
      <w:r>
        <w:rPr>
          <w:rFonts w:ascii="宋体" w:hAnsi="宋体" w:eastAsia="宋体" w:cs="宋体"/>
          <w:spacing w:val="5"/>
          <w:sz w:val="20"/>
          <w:szCs w:val="20"/>
        </w:rPr>
        <w:t>天内</w:t>
      </w:r>
      <w:r>
        <w:rPr>
          <w:rFonts w:ascii="宋体" w:hAnsi="宋体" w:eastAsia="宋体" w:cs="宋体"/>
          <w:spacing w:val="10"/>
          <w:sz w:val="20"/>
          <w:szCs w:val="20"/>
        </w:rPr>
        <w:t>通知承包人，指出在颁发接收证书前承包人还需进行的工作内容。承包人</w:t>
      </w:r>
      <w:r>
        <w:rPr>
          <w:rFonts w:ascii="宋体" w:hAnsi="宋体" w:eastAsia="宋体" w:cs="宋体"/>
          <w:spacing w:val="9"/>
          <w:sz w:val="20"/>
          <w:szCs w:val="20"/>
        </w:rPr>
        <w:t>完成监理人通知的全部工作内容后，应再次提交竣工验收申请报告，直至监理人同意为止。</w:t>
      </w:r>
    </w:p>
    <w:p w14:paraId="1B571953">
      <w:pPr>
        <w:spacing w:before="3" w:line="369" w:lineRule="auto"/>
        <w:ind w:right="54" w:firstLine="437"/>
        <w:rPr>
          <w:rFonts w:ascii="宋体" w:hAnsi="宋体" w:eastAsia="宋体" w:cs="宋体"/>
          <w:sz w:val="20"/>
          <w:szCs w:val="20"/>
        </w:rPr>
      </w:pPr>
      <w:r>
        <w:rPr>
          <w:rFonts w:ascii="Times New Roman" w:hAnsi="Times New Roman" w:eastAsia="Times New Roman" w:cs="Times New Roman"/>
          <w:spacing w:val="6"/>
          <w:sz w:val="20"/>
          <w:szCs w:val="20"/>
        </w:rPr>
        <w:t xml:space="preserve">18.3.2  </w:t>
      </w:r>
      <w:r>
        <w:rPr>
          <w:rFonts w:ascii="宋体" w:hAnsi="宋体" w:eastAsia="宋体" w:cs="宋体"/>
          <w:spacing w:val="6"/>
          <w:sz w:val="20"/>
          <w:szCs w:val="20"/>
        </w:rPr>
        <w:t>监理人审查后认为已具备竣工</w:t>
      </w:r>
      <w:r>
        <w:rPr>
          <w:rFonts w:ascii="宋体" w:hAnsi="宋体" w:eastAsia="宋体" w:cs="宋体"/>
          <w:spacing w:val="5"/>
          <w:sz w:val="20"/>
          <w:szCs w:val="20"/>
        </w:rPr>
        <w:t>验收条件的，应在收到竣工验收申请报告后的</w:t>
      </w:r>
      <w:r>
        <w:rPr>
          <w:rFonts w:ascii="宋体" w:hAnsi="宋体" w:eastAsia="宋体" w:cs="宋体"/>
          <w:spacing w:val="-43"/>
          <w:sz w:val="20"/>
          <w:szCs w:val="20"/>
        </w:rPr>
        <w:t xml:space="preserve"> </w:t>
      </w:r>
      <w:r>
        <w:rPr>
          <w:rFonts w:ascii="Times New Roman" w:hAnsi="Times New Roman" w:eastAsia="Times New Roman" w:cs="Times New Roman"/>
          <w:spacing w:val="5"/>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5"/>
          <w:sz w:val="20"/>
          <w:szCs w:val="20"/>
        </w:rPr>
        <w:t>天内提</w:t>
      </w:r>
      <w:r>
        <w:rPr>
          <w:rFonts w:ascii="宋体" w:hAnsi="宋体" w:eastAsia="宋体" w:cs="宋体"/>
          <w:spacing w:val="8"/>
          <w:sz w:val="20"/>
          <w:szCs w:val="20"/>
        </w:rPr>
        <w:t>请发包人进行工程验收。</w:t>
      </w:r>
    </w:p>
    <w:p w14:paraId="35E7AF25">
      <w:pPr>
        <w:spacing w:before="3" w:line="368" w:lineRule="auto"/>
        <w:ind w:left="3" w:firstLine="434"/>
        <w:rPr>
          <w:rFonts w:ascii="宋体" w:hAnsi="宋体" w:eastAsia="宋体" w:cs="宋体"/>
          <w:sz w:val="20"/>
          <w:szCs w:val="20"/>
        </w:rPr>
      </w:pPr>
      <w:r>
        <w:rPr>
          <w:rFonts w:ascii="Times New Roman" w:hAnsi="Times New Roman" w:eastAsia="Times New Roman" w:cs="Times New Roman"/>
          <w:spacing w:val="8"/>
          <w:sz w:val="20"/>
          <w:szCs w:val="20"/>
        </w:rPr>
        <w:t xml:space="preserve">18.3.3 </w:t>
      </w:r>
      <w:r>
        <w:rPr>
          <w:rFonts w:ascii="宋体" w:hAnsi="宋体" w:eastAsia="宋体" w:cs="宋体"/>
          <w:spacing w:val="8"/>
          <w:sz w:val="20"/>
          <w:szCs w:val="20"/>
        </w:rPr>
        <w:t>发包人经过验收后同意接受工程的，应在监理人收到竣工验收申请报告后的</w:t>
      </w:r>
      <w:r>
        <w:rPr>
          <w:rFonts w:ascii="宋体" w:hAnsi="宋体" w:eastAsia="宋体" w:cs="宋体"/>
          <w:spacing w:val="-34"/>
          <w:sz w:val="20"/>
          <w:szCs w:val="20"/>
        </w:rPr>
        <w:t xml:space="preserve"> </w:t>
      </w:r>
      <w:r>
        <w:rPr>
          <w:rFonts w:ascii="Times New Roman" w:hAnsi="Times New Roman" w:eastAsia="Times New Roman" w:cs="Times New Roman"/>
          <w:spacing w:val="8"/>
          <w:sz w:val="20"/>
          <w:szCs w:val="20"/>
        </w:rPr>
        <w:t>5</w:t>
      </w:r>
      <w:r>
        <w:rPr>
          <w:rFonts w:ascii="Times New Roman" w:hAnsi="Times New Roman" w:eastAsia="Times New Roman" w:cs="Times New Roman"/>
          <w:spacing w:val="7"/>
          <w:sz w:val="20"/>
          <w:szCs w:val="20"/>
        </w:rPr>
        <w:t xml:space="preserve">6 </w:t>
      </w:r>
      <w:r>
        <w:rPr>
          <w:rFonts w:ascii="宋体" w:hAnsi="宋体" w:eastAsia="宋体" w:cs="宋体"/>
          <w:spacing w:val="7"/>
          <w:sz w:val="20"/>
          <w:szCs w:val="20"/>
        </w:rPr>
        <w:t>天内，</w:t>
      </w:r>
      <w:r>
        <w:rPr>
          <w:rFonts w:ascii="宋体" w:hAnsi="宋体" w:eastAsia="宋体" w:cs="宋体"/>
          <w:spacing w:val="10"/>
          <w:sz w:val="20"/>
          <w:szCs w:val="20"/>
        </w:rPr>
        <w:t>由监理人向承包人出具经发包人签认的工程接收证书。发包人验收后同</w:t>
      </w:r>
      <w:r>
        <w:rPr>
          <w:rFonts w:ascii="宋体" w:hAnsi="宋体" w:eastAsia="宋体" w:cs="宋体"/>
          <w:spacing w:val="9"/>
          <w:sz w:val="20"/>
          <w:szCs w:val="20"/>
        </w:rPr>
        <w:t>意接收工程但提出整修和</w:t>
      </w:r>
      <w:r>
        <w:rPr>
          <w:rFonts w:ascii="宋体" w:hAnsi="宋体" w:eastAsia="宋体" w:cs="宋体"/>
          <w:spacing w:val="6"/>
          <w:sz w:val="20"/>
          <w:szCs w:val="20"/>
        </w:rPr>
        <w:t>完善要求的，限期修好，并缓发工程接收证书。整修和完善工作完成后，监理人复查达到要求的，</w:t>
      </w:r>
      <w:r>
        <w:rPr>
          <w:rFonts w:ascii="宋体" w:hAnsi="宋体" w:eastAsia="宋体" w:cs="宋体"/>
          <w:spacing w:val="9"/>
          <w:sz w:val="20"/>
          <w:szCs w:val="20"/>
        </w:rPr>
        <w:t>经发包人同意后，再向承包人出具工程接收证书。</w:t>
      </w:r>
    </w:p>
    <w:p w14:paraId="3460CC46">
      <w:pPr>
        <w:spacing w:before="2" w:line="369" w:lineRule="auto"/>
        <w:ind w:left="1" w:right="54"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18.3.4  </w:t>
      </w:r>
      <w:r>
        <w:rPr>
          <w:rFonts w:ascii="宋体" w:hAnsi="宋体" w:eastAsia="宋体" w:cs="宋体"/>
          <w:spacing w:val="8"/>
          <w:sz w:val="20"/>
          <w:szCs w:val="20"/>
        </w:rPr>
        <w:t>发包人验收后不同意接收工程的，监理人应按照发包人的验收意见发出指示，要求承</w:t>
      </w:r>
      <w:r>
        <w:rPr>
          <w:rFonts w:ascii="宋体" w:hAnsi="宋体" w:eastAsia="宋体" w:cs="宋体"/>
          <w:spacing w:val="10"/>
          <w:sz w:val="20"/>
          <w:szCs w:val="20"/>
        </w:rPr>
        <w:t>包人对不合格工程认真返工重作或进行补救处理，并承担由此产生的费用</w:t>
      </w:r>
      <w:r>
        <w:rPr>
          <w:rFonts w:ascii="宋体" w:hAnsi="宋体" w:eastAsia="宋体" w:cs="宋体"/>
          <w:spacing w:val="9"/>
          <w:sz w:val="20"/>
          <w:szCs w:val="20"/>
        </w:rPr>
        <w:t>。承包人在完成不合格</w:t>
      </w:r>
      <w:r>
        <w:rPr>
          <w:rFonts w:ascii="宋体" w:hAnsi="宋体" w:eastAsia="宋体" w:cs="宋体"/>
          <w:spacing w:val="7"/>
          <w:sz w:val="20"/>
          <w:szCs w:val="20"/>
        </w:rPr>
        <w:t>工程的返工重作或补救工作后，应重新提交竣工验收申</w:t>
      </w:r>
      <w:r>
        <w:rPr>
          <w:rFonts w:ascii="宋体" w:hAnsi="宋体" w:eastAsia="宋体" w:cs="宋体"/>
          <w:spacing w:val="6"/>
          <w:sz w:val="20"/>
          <w:szCs w:val="20"/>
        </w:rPr>
        <w:t>请报告，按第</w:t>
      </w:r>
      <w:r>
        <w:rPr>
          <w:rFonts w:ascii="宋体" w:hAnsi="宋体" w:eastAsia="宋体" w:cs="宋体"/>
          <w:spacing w:val="-20"/>
          <w:sz w:val="20"/>
          <w:szCs w:val="20"/>
        </w:rPr>
        <w:t xml:space="preserve"> </w:t>
      </w:r>
      <w:r>
        <w:rPr>
          <w:rFonts w:ascii="Times New Roman" w:hAnsi="Times New Roman" w:eastAsia="Times New Roman" w:cs="Times New Roman"/>
          <w:spacing w:val="6"/>
          <w:sz w:val="20"/>
          <w:szCs w:val="20"/>
        </w:rPr>
        <w:t>18.3.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项、第</w:t>
      </w:r>
      <w:r>
        <w:rPr>
          <w:rFonts w:ascii="宋体" w:hAnsi="宋体" w:eastAsia="宋体" w:cs="宋体"/>
          <w:spacing w:val="-21"/>
          <w:sz w:val="20"/>
          <w:szCs w:val="20"/>
        </w:rPr>
        <w:t xml:space="preserve"> </w:t>
      </w:r>
      <w:r>
        <w:rPr>
          <w:rFonts w:ascii="Times New Roman" w:hAnsi="Times New Roman" w:eastAsia="Times New Roman" w:cs="Times New Roman"/>
          <w:spacing w:val="6"/>
          <w:sz w:val="20"/>
          <w:szCs w:val="20"/>
        </w:rPr>
        <w:t xml:space="preserve">18.3.2 </w:t>
      </w:r>
      <w:r>
        <w:rPr>
          <w:rFonts w:ascii="宋体" w:hAnsi="宋体" w:eastAsia="宋体" w:cs="宋体"/>
          <w:spacing w:val="6"/>
          <w:sz w:val="20"/>
          <w:szCs w:val="20"/>
        </w:rPr>
        <w:t>项和第</w:t>
      </w:r>
      <w:r>
        <w:rPr>
          <w:rFonts w:ascii="Times New Roman" w:hAnsi="Times New Roman" w:eastAsia="Times New Roman" w:cs="Times New Roman"/>
          <w:spacing w:val="5"/>
          <w:sz w:val="20"/>
          <w:szCs w:val="20"/>
        </w:rPr>
        <w:t xml:space="preserve">18.3.3 </w:t>
      </w:r>
      <w:r>
        <w:rPr>
          <w:rFonts w:ascii="宋体" w:hAnsi="宋体" w:eastAsia="宋体" w:cs="宋体"/>
          <w:spacing w:val="5"/>
          <w:sz w:val="20"/>
          <w:szCs w:val="20"/>
        </w:rPr>
        <w:t>项的约定进行。</w:t>
      </w:r>
    </w:p>
    <w:p w14:paraId="3E15F8C4">
      <w:pPr>
        <w:spacing w:before="2" w:line="368" w:lineRule="auto"/>
        <w:ind w:right="57"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18.3.5  </w:t>
      </w:r>
      <w:r>
        <w:rPr>
          <w:rFonts w:ascii="宋体" w:hAnsi="宋体" w:eastAsia="宋体" w:cs="宋体"/>
          <w:spacing w:val="8"/>
          <w:sz w:val="20"/>
          <w:szCs w:val="20"/>
        </w:rPr>
        <w:t>除专用合同条款另有约定外，经验收合格工程的实际竣工日期，以提交竣工验收申请</w:t>
      </w:r>
      <w:r>
        <w:rPr>
          <w:rFonts w:ascii="宋体" w:hAnsi="宋体" w:eastAsia="宋体" w:cs="宋体"/>
          <w:spacing w:val="9"/>
          <w:sz w:val="20"/>
          <w:szCs w:val="20"/>
        </w:rPr>
        <w:t>报告的日期为准，并在工程接收证书中写明。</w:t>
      </w:r>
    </w:p>
    <w:p w14:paraId="20E86690">
      <w:pPr>
        <w:spacing w:before="1" w:line="357" w:lineRule="auto"/>
        <w:ind w:left="4" w:right="54" w:firstLine="433"/>
        <w:rPr>
          <w:rFonts w:ascii="宋体" w:hAnsi="宋体" w:eastAsia="宋体" w:cs="宋体"/>
          <w:sz w:val="20"/>
          <w:szCs w:val="20"/>
        </w:rPr>
      </w:pPr>
      <w:r>
        <w:rPr>
          <w:rFonts w:ascii="Times New Roman" w:hAnsi="Times New Roman" w:eastAsia="Times New Roman" w:cs="Times New Roman"/>
          <w:spacing w:val="6"/>
          <w:sz w:val="20"/>
          <w:szCs w:val="20"/>
        </w:rPr>
        <w:t xml:space="preserve">18.3.6  </w:t>
      </w:r>
      <w:r>
        <w:rPr>
          <w:rFonts w:ascii="宋体" w:hAnsi="宋体" w:eastAsia="宋体" w:cs="宋体"/>
          <w:spacing w:val="6"/>
          <w:sz w:val="20"/>
          <w:szCs w:val="20"/>
        </w:rPr>
        <w:t>发包人在收到承包人竣工验收申请报</w:t>
      </w:r>
      <w:r>
        <w:rPr>
          <w:rFonts w:ascii="宋体" w:hAnsi="宋体" w:eastAsia="宋体" w:cs="宋体"/>
          <w:spacing w:val="5"/>
          <w:sz w:val="20"/>
          <w:szCs w:val="20"/>
        </w:rPr>
        <w:t>告</w:t>
      </w:r>
      <w:r>
        <w:rPr>
          <w:rFonts w:ascii="宋体" w:hAnsi="宋体" w:eastAsia="宋体" w:cs="宋体"/>
          <w:spacing w:val="-35"/>
          <w:sz w:val="20"/>
          <w:szCs w:val="20"/>
        </w:rPr>
        <w:t xml:space="preserve"> </w:t>
      </w:r>
      <w:r>
        <w:rPr>
          <w:rFonts w:ascii="Times New Roman" w:hAnsi="Times New Roman" w:eastAsia="Times New Roman" w:cs="Times New Roman"/>
          <w:spacing w:val="5"/>
          <w:sz w:val="20"/>
          <w:szCs w:val="20"/>
        </w:rPr>
        <w:t xml:space="preserve">56 </w:t>
      </w:r>
      <w:r>
        <w:rPr>
          <w:rFonts w:ascii="宋体" w:hAnsi="宋体" w:eastAsia="宋体" w:cs="宋体"/>
          <w:spacing w:val="5"/>
          <w:sz w:val="20"/>
          <w:szCs w:val="20"/>
        </w:rPr>
        <w:t>天后未进行验收的，视为验收合格，实际竣</w:t>
      </w:r>
      <w:r>
        <w:rPr>
          <w:rFonts w:ascii="宋体" w:hAnsi="宋体" w:eastAsia="宋体" w:cs="宋体"/>
          <w:spacing w:val="9"/>
          <w:sz w:val="20"/>
          <w:szCs w:val="20"/>
        </w:rPr>
        <w:t>工日期以提交竣工验收申请报告的日期为准，但发包人由于不可抗力不能进行验收的除外。</w:t>
      </w:r>
    </w:p>
    <w:p w14:paraId="2944EEB6">
      <w:pPr>
        <w:pStyle w:val="2"/>
        <w:spacing w:before="1" w:line="221" w:lineRule="auto"/>
        <w:ind w:left="21"/>
        <w:rPr>
          <w:sz w:val="24"/>
          <w:szCs w:val="24"/>
        </w:rPr>
      </w:pPr>
      <w:r>
        <w:rPr>
          <w:rFonts w:ascii="Times New Roman" w:hAnsi="Times New Roman" w:eastAsia="Times New Roman" w:cs="Times New Roman"/>
          <w:spacing w:val="-5"/>
          <w:sz w:val="24"/>
          <w:szCs w:val="24"/>
        </w:rPr>
        <w:t>18.4</w:t>
      </w:r>
      <w:r>
        <w:rPr>
          <w:rFonts w:ascii="Times New Roman" w:hAnsi="Times New Roman" w:eastAsia="Times New Roman" w:cs="Times New Roman"/>
          <w:spacing w:val="10"/>
          <w:sz w:val="24"/>
          <w:szCs w:val="24"/>
        </w:rPr>
        <w:t xml:space="preserve">  </w:t>
      </w:r>
      <w:r>
        <w:rPr>
          <w:spacing w:val="-5"/>
          <w:sz w:val="24"/>
          <w:szCs w:val="24"/>
        </w:rPr>
        <w:t>单位工程验收</w:t>
      </w:r>
    </w:p>
    <w:p w14:paraId="0B9BA37D">
      <w:pPr>
        <w:spacing w:before="136" w:line="370" w:lineRule="auto"/>
        <w:ind w:left="4" w:right="54" w:firstLine="433"/>
        <w:jc w:val="both"/>
        <w:rPr>
          <w:rFonts w:ascii="宋体" w:hAnsi="宋体" w:eastAsia="宋体" w:cs="宋体"/>
          <w:sz w:val="20"/>
          <w:szCs w:val="20"/>
        </w:rPr>
      </w:pPr>
      <w:r>
        <w:rPr>
          <w:rFonts w:ascii="Times New Roman" w:hAnsi="Times New Roman" w:eastAsia="Times New Roman" w:cs="Times New Roman"/>
          <w:spacing w:val="8"/>
          <w:sz w:val="20"/>
          <w:szCs w:val="20"/>
        </w:rPr>
        <w:t xml:space="preserve">18.4.1  </w:t>
      </w:r>
      <w:r>
        <w:rPr>
          <w:rFonts w:ascii="宋体" w:hAnsi="宋体" w:eastAsia="宋体" w:cs="宋体"/>
          <w:spacing w:val="8"/>
          <w:sz w:val="20"/>
          <w:szCs w:val="20"/>
        </w:rPr>
        <w:t>发包人根据合同进度计划安排，在全部工程竣工前需要使用已经竣工的单位工程时，</w:t>
      </w:r>
      <w:r>
        <w:rPr>
          <w:rFonts w:ascii="宋体" w:hAnsi="宋体" w:eastAsia="宋体" w:cs="宋体"/>
          <w:spacing w:val="5"/>
          <w:sz w:val="20"/>
          <w:szCs w:val="20"/>
        </w:rPr>
        <w:t>或承包人提出经发包人同意时，可进行单位工程验收。验收的程序可参照第</w:t>
      </w:r>
      <w:r>
        <w:rPr>
          <w:rFonts w:ascii="宋体" w:hAnsi="宋体" w:eastAsia="宋体" w:cs="宋体"/>
          <w:spacing w:val="-11"/>
          <w:sz w:val="20"/>
          <w:szCs w:val="20"/>
        </w:rPr>
        <w:t xml:space="preserve"> </w:t>
      </w:r>
      <w:r>
        <w:rPr>
          <w:rFonts w:ascii="Times New Roman" w:hAnsi="Times New Roman" w:eastAsia="Times New Roman" w:cs="Times New Roman"/>
          <w:spacing w:val="5"/>
          <w:sz w:val="20"/>
          <w:szCs w:val="20"/>
        </w:rPr>
        <w:t xml:space="preserve">18.2 </w:t>
      </w:r>
      <w:r>
        <w:rPr>
          <w:rFonts w:ascii="宋体" w:hAnsi="宋体" w:eastAsia="宋体" w:cs="宋体"/>
          <w:spacing w:val="5"/>
          <w:sz w:val="20"/>
          <w:szCs w:val="20"/>
        </w:rPr>
        <w:t>款与第</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 xml:space="preserve">18.3 </w:t>
      </w:r>
      <w:r>
        <w:rPr>
          <w:rFonts w:ascii="宋体" w:hAnsi="宋体" w:eastAsia="宋体" w:cs="宋体"/>
          <w:spacing w:val="5"/>
          <w:sz w:val="20"/>
          <w:szCs w:val="20"/>
        </w:rPr>
        <w:t>款的</w:t>
      </w:r>
      <w:r>
        <w:rPr>
          <w:rFonts w:ascii="宋体" w:hAnsi="宋体" w:eastAsia="宋体" w:cs="宋体"/>
          <w:spacing w:val="9"/>
          <w:sz w:val="20"/>
          <w:szCs w:val="20"/>
        </w:rPr>
        <w:t>约定进行。验收合格后，</w:t>
      </w:r>
      <w:r>
        <w:rPr>
          <w:rFonts w:ascii="宋体" w:hAnsi="宋体" w:eastAsia="宋体" w:cs="宋体"/>
          <w:spacing w:val="-58"/>
          <w:sz w:val="20"/>
          <w:szCs w:val="20"/>
        </w:rPr>
        <w:t xml:space="preserve"> </w:t>
      </w:r>
      <w:r>
        <w:rPr>
          <w:rFonts w:ascii="宋体" w:hAnsi="宋体" w:eastAsia="宋体" w:cs="宋体"/>
          <w:spacing w:val="9"/>
          <w:sz w:val="20"/>
          <w:szCs w:val="20"/>
        </w:rPr>
        <w:t>由监理人向承包人出具经发包人签认的单位</w:t>
      </w:r>
      <w:r>
        <w:rPr>
          <w:rFonts w:ascii="宋体" w:hAnsi="宋体" w:eastAsia="宋体" w:cs="宋体"/>
          <w:spacing w:val="8"/>
          <w:sz w:val="20"/>
          <w:szCs w:val="20"/>
        </w:rPr>
        <w:t>工程验收证书。已签发单位</w:t>
      </w:r>
      <w:r>
        <w:rPr>
          <w:rFonts w:ascii="宋体" w:hAnsi="宋体" w:eastAsia="宋体" w:cs="宋体"/>
          <w:spacing w:val="10"/>
          <w:sz w:val="20"/>
          <w:szCs w:val="20"/>
        </w:rPr>
        <w:t>工程接收证书的单位工程由发包人负责照管。单位工程的验收成果和</w:t>
      </w:r>
      <w:r>
        <w:rPr>
          <w:rFonts w:ascii="宋体" w:hAnsi="宋体" w:eastAsia="宋体" w:cs="宋体"/>
          <w:spacing w:val="9"/>
          <w:sz w:val="20"/>
          <w:szCs w:val="20"/>
        </w:rPr>
        <w:t>结论作为全部工程竣工验收</w:t>
      </w:r>
    </w:p>
    <w:p w14:paraId="7FE9E59D">
      <w:pPr>
        <w:spacing w:line="370" w:lineRule="auto"/>
        <w:rPr>
          <w:rFonts w:ascii="宋体" w:hAnsi="宋体" w:eastAsia="宋体" w:cs="宋体"/>
          <w:sz w:val="20"/>
          <w:szCs w:val="20"/>
        </w:rPr>
        <w:sectPr>
          <w:footerReference r:id="rId187" w:type="default"/>
          <w:pgSz w:w="11906" w:h="16839"/>
          <w:pgMar w:top="400" w:right="1500" w:bottom="1038" w:left="1537" w:header="0" w:footer="787" w:gutter="0"/>
          <w:cols w:space="720" w:num="1"/>
        </w:sectPr>
      </w:pPr>
    </w:p>
    <w:p w14:paraId="1200310F">
      <w:pPr>
        <w:spacing w:line="271" w:lineRule="auto"/>
        <w:rPr>
          <w:rFonts w:ascii="Arial"/>
          <w:sz w:val="21"/>
        </w:rPr>
      </w:pPr>
    </w:p>
    <w:p w14:paraId="3CD89228">
      <w:pPr>
        <w:spacing w:line="272" w:lineRule="auto"/>
        <w:rPr>
          <w:rFonts w:ascii="Arial"/>
          <w:sz w:val="21"/>
        </w:rPr>
      </w:pPr>
    </w:p>
    <w:p w14:paraId="38B2230C">
      <w:pPr>
        <w:spacing w:line="272" w:lineRule="auto"/>
        <w:rPr>
          <w:rFonts w:ascii="Arial"/>
          <w:sz w:val="21"/>
        </w:rPr>
      </w:pPr>
    </w:p>
    <w:p w14:paraId="1BFB2E43">
      <w:pPr>
        <w:spacing w:line="272" w:lineRule="auto"/>
        <w:rPr>
          <w:rFonts w:ascii="Arial"/>
          <w:sz w:val="21"/>
        </w:rPr>
      </w:pPr>
    </w:p>
    <w:p w14:paraId="70F5F67B">
      <w:pPr>
        <w:spacing w:before="65" w:line="226" w:lineRule="auto"/>
        <w:ind w:left="27"/>
        <w:rPr>
          <w:rFonts w:ascii="宋体" w:hAnsi="宋体" w:eastAsia="宋体" w:cs="宋体"/>
          <w:sz w:val="20"/>
          <w:szCs w:val="20"/>
        </w:rPr>
      </w:pPr>
      <w:r>
        <w:rPr>
          <w:rFonts w:ascii="宋体" w:hAnsi="宋体" w:eastAsia="宋体" w:cs="宋体"/>
          <w:spacing w:val="4"/>
          <w:sz w:val="20"/>
          <w:szCs w:val="20"/>
        </w:rPr>
        <w:t>申请报告的附件。</w:t>
      </w:r>
    </w:p>
    <w:p w14:paraId="0DD9FE57">
      <w:pPr>
        <w:spacing w:before="152" w:line="358" w:lineRule="auto"/>
        <w:ind w:right="57"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18.4.2  </w:t>
      </w:r>
      <w:r>
        <w:rPr>
          <w:rFonts w:ascii="宋体" w:hAnsi="宋体" w:eastAsia="宋体" w:cs="宋体"/>
          <w:spacing w:val="8"/>
          <w:sz w:val="20"/>
          <w:szCs w:val="20"/>
        </w:rPr>
        <w:t>发包人在全部工程竣工前，使用已接收的单位工程导致承包人费用增加的，发包人应</w:t>
      </w:r>
      <w:r>
        <w:rPr>
          <w:rFonts w:ascii="宋体" w:hAnsi="宋体" w:eastAsia="宋体" w:cs="宋体"/>
          <w:spacing w:val="9"/>
          <w:sz w:val="20"/>
          <w:szCs w:val="20"/>
        </w:rPr>
        <w:t>承担由此增加的费用和（或）工期延误，并支付承包人合理利润。</w:t>
      </w:r>
    </w:p>
    <w:p w14:paraId="6E5EB0B0">
      <w:pPr>
        <w:pStyle w:val="2"/>
        <w:spacing w:line="221" w:lineRule="auto"/>
        <w:ind w:left="20"/>
        <w:rPr>
          <w:sz w:val="24"/>
          <w:szCs w:val="24"/>
        </w:rPr>
      </w:pPr>
      <w:r>
        <w:rPr>
          <w:rFonts w:ascii="Times New Roman" w:hAnsi="Times New Roman" w:eastAsia="Times New Roman" w:cs="Times New Roman"/>
          <w:spacing w:val="-3"/>
          <w:sz w:val="24"/>
          <w:szCs w:val="24"/>
        </w:rPr>
        <w:t xml:space="preserve">18.5  </w:t>
      </w:r>
      <w:r>
        <w:rPr>
          <w:spacing w:val="-3"/>
          <w:sz w:val="24"/>
          <w:szCs w:val="24"/>
        </w:rPr>
        <w:t>施工期运行</w:t>
      </w:r>
    </w:p>
    <w:p w14:paraId="1E5687FA">
      <w:pPr>
        <w:spacing w:before="137" w:line="369" w:lineRule="auto"/>
        <w:ind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18.5.1  </w:t>
      </w:r>
      <w:r>
        <w:rPr>
          <w:rFonts w:ascii="宋体" w:hAnsi="宋体" w:eastAsia="宋体" w:cs="宋体"/>
          <w:spacing w:val="8"/>
          <w:sz w:val="20"/>
          <w:szCs w:val="20"/>
        </w:rPr>
        <w:t>施工期运行是指合同工程尚未全部竣工，其中某项或某几项单位工程或工程设备安装</w:t>
      </w:r>
      <w:r>
        <w:rPr>
          <w:rFonts w:ascii="宋体" w:hAnsi="宋体" w:eastAsia="宋体" w:cs="宋体"/>
          <w:spacing w:val="4"/>
          <w:sz w:val="20"/>
          <w:szCs w:val="20"/>
        </w:rPr>
        <w:t>已竣工，根据专用合同条款约定，需要投入施工期运行的，经发包人按第</w:t>
      </w:r>
      <w:r>
        <w:rPr>
          <w:rFonts w:ascii="宋体" w:hAnsi="宋体" w:eastAsia="宋体" w:cs="宋体"/>
          <w:spacing w:val="-19"/>
          <w:sz w:val="20"/>
          <w:szCs w:val="20"/>
        </w:rPr>
        <w:t xml:space="preserve"> </w:t>
      </w:r>
      <w:r>
        <w:rPr>
          <w:rFonts w:ascii="Times New Roman" w:hAnsi="Times New Roman" w:eastAsia="Times New Roman" w:cs="Times New Roman"/>
          <w:spacing w:val="4"/>
          <w:sz w:val="20"/>
          <w:szCs w:val="20"/>
        </w:rPr>
        <w:t xml:space="preserve">18.4 </w:t>
      </w:r>
      <w:r>
        <w:rPr>
          <w:rFonts w:ascii="宋体" w:hAnsi="宋体" w:eastAsia="宋体" w:cs="宋体"/>
          <w:spacing w:val="4"/>
          <w:sz w:val="20"/>
          <w:szCs w:val="20"/>
        </w:rPr>
        <w:t>款的约定验收合格，</w:t>
      </w:r>
      <w:r>
        <w:rPr>
          <w:rFonts w:ascii="宋体" w:hAnsi="宋体" w:eastAsia="宋体" w:cs="宋体"/>
          <w:spacing w:val="9"/>
          <w:sz w:val="20"/>
          <w:szCs w:val="20"/>
        </w:rPr>
        <w:t>证明能确保安全后，才能在施工期投入运行。</w:t>
      </w:r>
    </w:p>
    <w:p w14:paraId="359C11C2">
      <w:pPr>
        <w:spacing w:before="2" w:line="357" w:lineRule="auto"/>
        <w:ind w:left="4" w:right="56" w:firstLine="432"/>
        <w:rPr>
          <w:rFonts w:ascii="宋体" w:hAnsi="宋体" w:eastAsia="宋体" w:cs="宋体"/>
          <w:sz w:val="20"/>
          <w:szCs w:val="20"/>
        </w:rPr>
      </w:pPr>
      <w:r>
        <w:rPr>
          <w:rFonts w:ascii="Times New Roman" w:hAnsi="Times New Roman" w:eastAsia="Times New Roman" w:cs="Times New Roman"/>
          <w:spacing w:val="6"/>
          <w:sz w:val="20"/>
          <w:szCs w:val="20"/>
        </w:rPr>
        <w:t xml:space="preserve">18.5.2  </w:t>
      </w:r>
      <w:r>
        <w:rPr>
          <w:rFonts w:ascii="宋体" w:hAnsi="宋体" w:eastAsia="宋体" w:cs="宋体"/>
          <w:spacing w:val="6"/>
          <w:sz w:val="20"/>
          <w:szCs w:val="20"/>
        </w:rPr>
        <w:t>在施工期运行中发现工程或工程设备损坏或存在缺陷的，由承包人按第</w:t>
      </w:r>
      <w:r>
        <w:rPr>
          <w:rFonts w:ascii="宋体" w:hAnsi="宋体" w:eastAsia="宋体" w:cs="宋体"/>
          <w:spacing w:val="-16"/>
          <w:sz w:val="20"/>
          <w:szCs w:val="20"/>
        </w:rPr>
        <w:t xml:space="preserve"> </w:t>
      </w:r>
      <w:r>
        <w:rPr>
          <w:rFonts w:ascii="Times New Roman" w:hAnsi="Times New Roman" w:eastAsia="Times New Roman" w:cs="Times New Roman"/>
          <w:spacing w:val="6"/>
          <w:sz w:val="20"/>
          <w:szCs w:val="20"/>
        </w:rPr>
        <w:t xml:space="preserve">19.2 </w:t>
      </w:r>
      <w:r>
        <w:rPr>
          <w:rFonts w:ascii="宋体" w:hAnsi="宋体" w:eastAsia="宋体" w:cs="宋体"/>
          <w:spacing w:val="6"/>
          <w:sz w:val="20"/>
          <w:szCs w:val="20"/>
        </w:rPr>
        <w:t>款约定进</w:t>
      </w:r>
      <w:r>
        <w:rPr>
          <w:rFonts w:ascii="宋体" w:hAnsi="宋体" w:eastAsia="宋体" w:cs="宋体"/>
          <w:spacing w:val="4"/>
          <w:sz w:val="20"/>
          <w:szCs w:val="20"/>
        </w:rPr>
        <w:t>行修复。</w:t>
      </w:r>
    </w:p>
    <w:p w14:paraId="4C6B3F2E">
      <w:pPr>
        <w:pStyle w:val="2"/>
        <w:spacing w:before="1" w:line="220" w:lineRule="auto"/>
        <w:ind w:left="20"/>
        <w:rPr>
          <w:sz w:val="24"/>
          <w:szCs w:val="24"/>
        </w:rPr>
      </w:pPr>
      <w:r>
        <w:rPr>
          <w:rFonts w:ascii="Times New Roman" w:hAnsi="Times New Roman" w:eastAsia="Times New Roman" w:cs="Times New Roman"/>
          <w:spacing w:val="-6"/>
          <w:sz w:val="24"/>
          <w:szCs w:val="24"/>
        </w:rPr>
        <w:t>18.6</w:t>
      </w:r>
      <w:r>
        <w:rPr>
          <w:rFonts w:ascii="Times New Roman" w:hAnsi="Times New Roman" w:eastAsia="Times New Roman" w:cs="Times New Roman"/>
          <w:spacing w:val="6"/>
          <w:sz w:val="24"/>
          <w:szCs w:val="24"/>
        </w:rPr>
        <w:t xml:space="preserve">  </w:t>
      </w:r>
      <w:r>
        <w:rPr>
          <w:spacing w:val="-6"/>
          <w:sz w:val="24"/>
          <w:szCs w:val="24"/>
        </w:rPr>
        <w:t>试运行</w:t>
      </w:r>
    </w:p>
    <w:p w14:paraId="24D18491">
      <w:pPr>
        <w:spacing w:before="138" w:line="370" w:lineRule="auto"/>
        <w:ind w:left="4" w:right="57" w:firstLine="432"/>
        <w:rPr>
          <w:rFonts w:ascii="宋体" w:hAnsi="宋体" w:eastAsia="宋体" w:cs="宋体"/>
          <w:sz w:val="20"/>
          <w:szCs w:val="20"/>
        </w:rPr>
      </w:pPr>
      <w:r>
        <w:rPr>
          <w:rFonts w:ascii="Times New Roman" w:hAnsi="Times New Roman" w:eastAsia="Times New Roman" w:cs="Times New Roman"/>
          <w:spacing w:val="8"/>
          <w:sz w:val="20"/>
          <w:szCs w:val="20"/>
        </w:rPr>
        <w:t xml:space="preserve">18.6.1  </w:t>
      </w:r>
      <w:r>
        <w:rPr>
          <w:rFonts w:ascii="宋体" w:hAnsi="宋体" w:eastAsia="宋体" w:cs="宋体"/>
          <w:spacing w:val="8"/>
          <w:sz w:val="20"/>
          <w:szCs w:val="20"/>
        </w:rPr>
        <w:t>除专用合同条款另有约定外，承包人应按专用合同条款约定进行工程及工程设备试运</w:t>
      </w:r>
      <w:r>
        <w:rPr>
          <w:rFonts w:ascii="宋体" w:hAnsi="宋体" w:eastAsia="宋体" w:cs="宋体"/>
          <w:spacing w:val="9"/>
          <w:sz w:val="20"/>
          <w:szCs w:val="20"/>
        </w:rPr>
        <w:t>行，负责提供试运行所需的人员、器材和必要的条件，并承担全部试运行费用。</w:t>
      </w:r>
    </w:p>
    <w:p w14:paraId="1C6F694D">
      <w:pPr>
        <w:spacing w:line="361" w:lineRule="auto"/>
        <w:ind w:right="54" w:firstLine="436"/>
        <w:rPr>
          <w:rFonts w:ascii="宋体" w:hAnsi="宋体" w:eastAsia="宋体" w:cs="宋体"/>
          <w:sz w:val="20"/>
          <w:szCs w:val="20"/>
        </w:rPr>
      </w:pPr>
      <w:r>
        <w:rPr>
          <w:rFonts w:ascii="Times New Roman" w:hAnsi="Times New Roman" w:eastAsia="Times New Roman" w:cs="Times New Roman"/>
          <w:spacing w:val="8"/>
          <w:sz w:val="20"/>
          <w:szCs w:val="20"/>
        </w:rPr>
        <w:t>18.6.2</w:t>
      </w:r>
      <w:r>
        <w:rPr>
          <w:rFonts w:ascii="Times New Roman" w:hAnsi="Times New Roman" w:eastAsia="Times New Roman" w:cs="Times New Roman"/>
          <w:spacing w:val="19"/>
          <w:sz w:val="20"/>
          <w:szCs w:val="20"/>
        </w:rPr>
        <w:t xml:space="preserve">  </w:t>
      </w:r>
      <w:r>
        <w:rPr>
          <w:rFonts w:ascii="宋体" w:hAnsi="宋体" w:eastAsia="宋体" w:cs="宋体"/>
          <w:spacing w:val="8"/>
          <w:sz w:val="20"/>
          <w:szCs w:val="20"/>
        </w:rPr>
        <w:t>由于承包人的原因导致试运行失败的，承包人应采取措施保证</w:t>
      </w:r>
      <w:r>
        <w:rPr>
          <w:rFonts w:ascii="宋体" w:hAnsi="宋体" w:eastAsia="宋体" w:cs="宋体"/>
          <w:spacing w:val="7"/>
          <w:sz w:val="20"/>
          <w:szCs w:val="20"/>
        </w:rPr>
        <w:t>试运行合格，并承担相</w:t>
      </w:r>
      <w:r>
        <w:rPr>
          <w:rFonts w:ascii="宋体" w:hAnsi="宋体" w:eastAsia="宋体" w:cs="宋体"/>
          <w:spacing w:val="10"/>
          <w:sz w:val="20"/>
          <w:szCs w:val="20"/>
        </w:rPr>
        <w:t>应费用。由于发包人的原因导致试运行失败的，承包人应当采取措施保证</w:t>
      </w:r>
      <w:r>
        <w:rPr>
          <w:rFonts w:ascii="宋体" w:hAnsi="宋体" w:eastAsia="宋体" w:cs="宋体"/>
          <w:spacing w:val="9"/>
          <w:sz w:val="20"/>
          <w:szCs w:val="20"/>
        </w:rPr>
        <w:t>试运行合格，发包人应承担由此产生的费用，并支付承包人合理利润。</w:t>
      </w:r>
    </w:p>
    <w:p w14:paraId="3B1685D7">
      <w:pPr>
        <w:pStyle w:val="2"/>
        <w:spacing w:before="1" w:line="220" w:lineRule="auto"/>
        <w:ind w:left="20"/>
        <w:rPr>
          <w:sz w:val="24"/>
          <w:szCs w:val="24"/>
        </w:rPr>
      </w:pPr>
      <w:r>
        <w:rPr>
          <w:rFonts w:ascii="Times New Roman" w:hAnsi="Times New Roman" w:eastAsia="Times New Roman" w:cs="Times New Roman"/>
          <w:spacing w:val="-3"/>
          <w:sz w:val="24"/>
          <w:szCs w:val="24"/>
        </w:rPr>
        <w:t xml:space="preserve">18.7  </w:t>
      </w:r>
      <w:r>
        <w:rPr>
          <w:spacing w:val="-3"/>
          <w:sz w:val="24"/>
          <w:szCs w:val="24"/>
        </w:rPr>
        <w:t>竣工清场</w:t>
      </w:r>
    </w:p>
    <w:p w14:paraId="757B1C49">
      <w:pPr>
        <w:spacing w:before="138" w:line="370" w:lineRule="auto"/>
        <w:ind w:left="2" w:firstLine="434"/>
        <w:rPr>
          <w:rFonts w:ascii="宋体" w:hAnsi="宋体" w:eastAsia="宋体" w:cs="宋体"/>
          <w:sz w:val="20"/>
          <w:szCs w:val="20"/>
        </w:rPr>
      </w:pPr>
      <w:r>
        <w:rPr>
          <w:rFonts w:ascii="Times New Roman" w:hAnsi="Times New Roman" w:eastAsia="Times New Roman" w:cs="Times New Roman"/>
          <w:spacing w:val="5"/>
          <w:sz w:val="20"/>
          <w:szCs w:val="20"/>
        </w:rPr>
        <w:t xml:space="preserve">18.7.1  </w:t>
      </w:r>
      <w:r>
        <w:rPr>
          <w:rFonts w:ascii="宋体" w:hAnsi="宋体" w:eastAsia="宋体" w:cs="宋体"/>
          <w:spacing w:val="5"/>
          <w:sz w:val="20"/>
          <w:szCs w:val="20"/>
        </w:rPr>
        <w:t>除合同另有约定外，工程接收证书颁发后，承包人应按以下要求对施工场地进行清理，</w:t>
      </w:r>
      <w:r>
        <w:rPr>
          <w:rFonts w:ascii="宋体" w:hAnsi="宋体" w:eastAsia="宋体" w:cs="宋体"/>
          <w:spacing w:val="9"/>
          <w:sz w:val="20"/>
          <w:szCs w:val="20"/>
        </w:rPr>
        <w:t>直至监理人检验合格为止。竣工清场费用由承包人承担。</w:t>
      </w:r>
    </w:p>
    <w:p w14:paraId="21A45A90">
      <w:pPr>
        <w:spacing w:line="227" w:lineRule="auto"/>
        <w:ind w:left="7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）施工场地内残留的垃圾已全部清除出场；</w:t>
      </w:r>
    </w:p>
    <w:p w14:paraId="66109E98">
      <w:pPr>
        <w:spacing w:before="152" w:line="228" w:lineRule="auto"/>
        <w:ind w:left="728"/>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）临时工程已拆除，场地已按合同要求进行清理</w:t>
      </w:r>
      <w:r>
        <w:rPr>
          <w:rFonts w:ascii="宋体" w:hAnsi="宋体" w:eastAsia="宋体" w:cs="宋体"/>
          <w:spacing w:val="8"/>
          <w:sz w:val="20"/>
          <w:szCs w:val="20"/>
        </w:rPr>
        <w:t>、平整或复原；</w:t>
      </w:r>
    </w:p>
    <w:p w14:paraId="4AA38853">
      <w:pPr>
        <w:spacing w:before="154" w:line="369" w:lineRule="auto"/>
        <w:ind w:right="57" w:firstLine="727"/>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3</w:t>
      </w:r>
      <w:r>
        <w:rPr>
          <w:rFonts w:ascii="宋体" w:hAnsi="宋体" w:eastAsia="宋体" w:cs="宋体"/>
          <w:spacing w:val="10"/>
          <w:sz w:val="20"/>
          <w:szCs w:val="20"/>
        </w:rPr>
        <w:t>）按合同约定应撤离的承包人设备和剩余的材料，包括废弃的</w:t>
      </w:r>
      <w:r>
        <w:rPr>
          <w:rFonts w:ascii="宋体" w:hAnsi="宋体" w:eastAsia="宋体" w:cs="宋体"/>
          <w:spacing w:val="9"/>
          <w:sz w:val="20"/>
          <w:szCs w:val="20"/>
        </w:rPr>
        <w:t>施工设备和材料，已按</w:t>
      </w:r>
      <w:r>
        <w:rPr>
          <w:rFonts w:ascii="宋体" w:hAnsi="宋体" w:eastAsia="宋体" w:cs="宋体"/>
          <w:spacing w:val="7"/>
          <w:sz w:val="20"/>
          <w:szCs w:val="20"/>
        </w:rPr>
        <w:t>计划撤离施工场地；</w:t>
      </w:r>
    </w:p>
    <w:p w14:paraId="07B7D71B">
      <w:pPr>
        <w:spacing w:before="1" w:line="226" w:lineRule="auto"/>
        <w:ind w:left="728"/>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）工程建筑物周边及其附近道路、河道的施工堆积物，已按监理人指示全部清理；</w:t>
      </w:r>
    </w:p>
    <w:p w14:paraId="5F8AF43A">
      <w:pPr>
        <w:spacing w:before="154" w:line="228" w:lineRule="auto"/>
        <w:ind w:left="7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）监理人指示的其他场地清理工作已全部完成。</w:t>
      </w:r>
    </w:p>
    <w:p w14:paraId="726CA3F2">
      <w:pPr>
        <w:spacing w:before="154" w:line="357" w:lineRule="auto"/>
        <w:ind w:right="57"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18.7.2  </w:t>
      </w:r>
      <w:r>
        <w:rPr>
          <w:rFonts w:ascii="宋体" w:hAnsi="宋体" w:eastAsia="宋体" w:cs="宋体"/>
          <w:spacing w:val="8"/>
          <w:sz w:val="20"/>
          <w:szCs w:val="20"/>
        </w:rPr>
        <w:t>承包人未按监理人的要求恢复临时占地，或者场地清理未达到合同约定的，发包人有</w:t>
      </w:r>
      <w:r>
        <w:rPr>
          <w:rFonts w:ascii="宋体" w:hAnsi="宋体" w:eastAsia="宋体" w:cs="宋体"/>
          <w:spacing w:val="9"/>
          <w:sz w:val="20"/>
          <w:szCs w:val="20"/>
        </w:rPr>
        <w:t>权委托其他人恢复或清理，所发生的金额从拟支付给承包人的款项中扣除。</w:t>
      </w:r>
    </w:p>
    <w:p w14:paraId="2570FB2F">
      <w:pPr>
        <w:pStyle w:val="2"/>
        <w:spacing w:line="222" w:lineRule="auto"/>
        <w:ind w:left="20"/>
        <w:rPr>
          <w:sz w:val="24"/>
          <w:szCs w:val="24"/>
        </w:rPr>
      </w:pPr>
      <w:r>
        <w:rPr>
          <w:rFonts w:ascii="Times New Roman" w:hAnsi="Times New Roman" w:eastAsia="Times New Roman" w:cs="Times New Roman"/>
          <w:spacing w:val="-3"/>
          <w:sz w:val="24"/>
          <w:szCs w:val="24"/>
        </w:rPr>
        <w:t xml:space="preserve">18.8  </w:t>
      </w:r>
      <w:r>
        <w:rPr>
          <w:spacing w:val="-3"/>
          <w:sz w:val="24"/>
          <w:szCs w:val="24"/>
        </w:rPr>
        <w:t>施工队伍的撤离</w:t>
      </w:r>
    </w:p>
    <w:p w14:paraId="399E355A">
      <w:pPr>
        <w:spacing w:before="138" w:line="370" w:lineRule="auto"/>
        <w:ind w:left="8" w:right="54" w:firstLine="414"/>
        <w:jc w:val="both"/>
        <w:rPr>
          <w:rFonts w:ascii="宋体" w:hAnsi="宋体" w:eastAsia="宋体" w:cs="宋体"/>
          <w:sz w:val="20"/>
          <w:szCs w:val="20"/>
        </w:rPr>
      </w:pPr>
      <w:r>
        <w:rPr>
          <w:rFonts w:ascii="宋体" w:hAnsi="宋体" w:eastAsia="宋体" w:cs="宋体"/>
          <w:spacing w:val="11"/>
          <w:sz w:val="20"/>
          <w:szCs w:val="20"/>
        </w:rPr>
        <w:t>工程接收证书颁发后的</w:t>
      </w:r>
      <w:r>
        <w:rPr>
          <w:rFonts w:ascii="宋体" w:hAnsi="宋体" w:eastAsia="宋体" w:cs="宋体"/>
          <w:spacing w:val="-21"/>
          <w:sz w:val="20"/>
          <w:szCs w:val="20"/>
        </w:rPr>
        <w:t xml:space="preserve"> </w:t>
      </w:r>
      <w:r>
        <w:rPr>
          <w:rFonts w:ascii="Times New Roman" w:hAnsi="Times New Roman" w:eastAsia="Times New Roman" w:cs="Times New Roman"/>
          <w:spacing w:val="11"/>
          <w:sz w:val="20"/>
          <w:szCs w:val="20"/>
        </w:rPr>
        <w:t>56</w:t>
      </w:r>
      <w:r>
        <w:rPr>
          <w:rFonts w:ascii="Times New Roman" w:hAnsi="Times New Roman" w:eastAsia="Times New Roman" w:cs="Times New Roman"/>
          <w:spacing w:val="19"/>
          <w:sz w:val="20"/>
          <w:szCs w:val="20"/>
        </w:rPr>
        <w:t xml:space="preserve"> </w:t>
      </w:r>
      <w:r>
        <w:rPr>
          <w:rFonts w:ascii="宋体" w:hAnsi="宋体" w:eastAsia="宋体" w:cs="宋体"/>
          <w:spacing w:val="11"/>
          <w:sz w:val="20"/>
          <w:szCs w:val="20"/>
        </w:rPr>
        <w:t>天内，除了经监理人同意需在缺陷责任期内继续工作和使用的人</w:t>
      </w:r>
      <w:r>
        <w:rPr>
          <w:rFonts w:ascii="宋体" w:hAnsi="宋体" w:eastAsia="宋体" w:cs="宋体"/>
          <w:spacing w:val="10"/>
          <w:sz w:val="20"/>
          <w:szCs w:val="20"/>
        </w:rPr>
        <w:t>员、施工设备和临时工程外，其余的人员、施工设备和</w:t>
      </w:r>
      <w:r>
        <w:rPr>
          <w:rFonts w:ascii="宋体" w:hAnsi="宋体" w:eastAsia="宋体" w:cs="宋体"/>
          <w:spacing w:val="9"/>
          <w:sz w:val="20"/>
          <w:szCs w:val="20"/>
        </w:rPr>
        <w:t>临时工程均应撤离施工场地或拆除。除合同另有约定外，缺陷责任期满时，承包人的人员和施工设备应全部撤离施工场地。</w:t>
      </w:r>
    </w:p>
    <w:p w14:paraId="27D78B59">
      <w:pPr>
        <w:pStyle w:val="2"/>
        <w:spacing w:before="36" w:line="222" w:lineRule="auto"/>
        <w:ind w:left="25"/>
        <w:outlineLvl w:val="2"/>
        <w:rPr>
          <w:sz w:val="28"/>
          <w:szCs w:val="28"/>
        </w:rPr>
      </w:pPr>
      <w:bookmarkStart w:id="232" w:name="bookmark213"/>
      <w:bookmarkEnd w:id="232"/>
      <w:r>
        <w:rPr>
          <w:rFonts w:ascii="Times New Roman" w:hAnsi="Times New Roman" w:eastAsia="Times New Roman" w:cs="Times New Roman"/>
          <w:spacing w:val="-3"/>
          <w:sz w:val="28"/>
          <w:szCs w:val="28"/>
        </w:rPr>
        <w:t xml:space="preserve">19.  </w:t>
      </w:r>
      <w:r>
        <w:rPr>
          <w:spacing w:val="-3"/>
          <w:sz w:val="28"/>
          <w:szCs w:val="28"/>
        </w:rPr>
        <w:t>缺陷责任与保修责任</w:t>
      </w:r>
    </w:p>
    <w:p w14:paraId="71080DA3">
      <w:pPr>
        <w:pStyle w:val="2"/>
        <w:spacing w:before="98" w:line="221" w:lineRule="auto"/>
        <w:ind w:left="20"/>
        <w:rPr>
          <w:sz w:val="24"/>
          <w:szCs w:val="24"/>
        </w:rPr>
      </w:pPr>
      <w:r>
        <w:rPr>
          <w:rFonts w:ascii="Times New Roman" w:hAnsi="Times New Roman" w:eastAsia="Times New Roman" w:cs="Times New Roman"/>
          <w:spacing w:val="-2"/>
          <w:sz w:val="24"/>
          <w:szCs w:val="24"/>
        </w:rPr>
        <w:t xml:space="preserve">19.1  </w:t>
      </w:r>
      <w:r>
        <w:rPr>
          <w:spacing w:val="-2"/>
          <w:sz w:val="24"/>
          <w:szCs w:val="24"/>
        </w:rPr>
        <w:t>缺陷责任期的起算时间</w:t>
      </w:r>
    </w:p>
    <w:p w14:paraId="659A6FE0">
      <w:pPr>
        <w:spacing w:before="140" w:line="369" w:lineRule="auto"/>
        <w:ind w:right="54" w:firstLine="420"/>
        <w:rPr>
          <w:rFonts w:ascii="宋体" w:hAnsi="宋体" w:eastAsia="宋体" w:cs="宋体"/>
          <w:sz w:val="20"/>
          <w:szCs w:val="20"/>
        </w:rPr>
      </w:pPr>
      <w:r>
        <w:rPr>
          <w:rFonts w:ascii="宋体" w:hAnsi="宋体" w:eastAsia="宋体" w:cs="宋体"/>
          <w:spacing w:val="10"/>
          <w:sz w:val="20"/>
          <w:szCs w:val="20"/>
        </w:rPr>
        <w:t>缺陷责任期自实际竣工日期起计算。在全部工程竣工验收前，已经发</w:t>
      </w:r>
      <w:r>
        <w:rPr>
          <w:rFonts w:ascii="宋体" w:hAnsi="宋体" w:eastAsia="宋体" w:cs="宋体"/>
          <w:spacing w:val="9"/>
          <w:sz w:val="20"/>
          <w:szCs w:val="20"/>
        </w:rPr>
        <w:t>包人提前验收的单位工</w:t>
      </w:r>
      <w:r>
        <w:rPr>
          <w:rFonts w:ascii="宋体" w:hAnsi="宋体" w:eastAsia="宋体" w:cs="宋体"/>
          <w:spacing w:val="8"/>
          <w:sz w:val="20"/>
          <w:szCs w:val="20"/>
        </w:rPr>
        <w:t>程，其缺陷责任期的起算日期相应提前。</w:t>
      </w:r>
    </w:p>
    <w:p w14:paraId="107332FE">
      <w:pPr>
        <w:spacing w:line="369" w:lineRule="auto"/>
        <w:rPr>
          <w:rFonts w:ascii="宋体" w:hAnsi="宋体" w:eastAsia="宋体" w:cs="宋体"/>
          <w:sz w:val="20"/>
          <w:szCs w:val="20"/>
        </w:rPr>
        <w:sectPr>
          <w:footerReference r:id="rId188" w:type="default"/>
          <w:pgSz w:w="11906" w:h="16839"/>
          <w:pgMar w:top="400" w:right="1500" w:bottom="1038" w:left="1538" w:header="0" w:footer="787" w:gutter="0"/>
          <w:cols w:space="720" w:num="1"/>
        </w:sectPr>
      </w:pPr>
    </w:p>
    <w:p w14:paraId="4A2458CE">
      <w:pPr>
        <w:spacing w:line="261" w:lineRule="auto"/>
        <w:rPr>
          <w:rFonts w:ascii="Arial"/>
          <w:sz w:val="21"/>
        </w:rPr>
      </w:pPr>
    </w:p>
    <w:p w14:paraId="1D8AD37D">
      <w:pPr>
        <w:spacing w:line="262" w:lineRule="auto"/>
        <w:rPr>
          <w:rFonts w:ascii="Arial"/>
          <w:sz w:val="21"/>
        </w:rPr>
      </w:pPr>
    </w:p>
    <w:p w14:paraId="5123AE6D">
      <w:pPr>
        <w:spacing w:line="262" w:lineRule="auto"/>
        <w:rPr>
          <w:rFonts w:ascii="Arial"/>
          <w:sz w:val="21"/>
        </w:rPr>
      </w:pPr>
    </w:p>
    <w:p w14:paraId="7B6B390C">
      <w:pPr>
        <w:spacing w:line="262" w:lineRule="auto"/>
        <w:rPr>
          <w:rFonts w:ascii="Arial"/>
          <w:sz w:val="21"/>
        </w:rPr>
      </w:pPr>
    </w:p>
    <w:p w14:paraId="1EC25690">
      <w:pPr>
        <w:pStyle w:val="2"/>
        <w:spacing w:before="78" w:line="221" w:lineRule="auto"/>
        <w:ind w:left="23"/>
        <w:rPr>
          <w:sz w:val="24"/>
          <w:szCs w:val="24"/>
        </w:rPr>
      </w:pPr>
      <w:r>
        <w:rPr>
          <w:rFonts w:ascii="Times New Roman" w:hAnsi="Times New Roman" w:eastAsia="Times New Roman" w:cs="Times New Roman"/>
          <w:spacing w:val="-3"/>
          <w:sz w:val="24"/>
          <w:szCs w:val="24"/>
        </w:rPr>
        <w:t xml:space="preserve">19.2  </w:t>
      </w:r>
      <w:r>
        <w:rPr>
          <w:spacing w:val="-3"/>
          <w:sz w:val="24"/>
          <w:szCs w:val="24"/>
        </w:rPr>
        <w:t>缺陷责任</w:t>
      </w:r>
    </w:p>
    <w:p w14:paraId="275252FD">
      <w:pPr>
        <w:spacing w:before="137" w:line="228" w:lineRule="auto"/>
        <w:ind w:left="439"/>
        <w:rPr>
          <w:rFonts w:ascii="宋体" w:hAnsi="宋体" w:eastAsia="宋体" w:cs="宋体"/>
          <w:sz w:val="20"/>
          <w:szCs w:val="20"/>
        </w:rPr>
      </w:pPr>
      <w:r>
        <w:rPr>
          <w:rFonts w:ascii="Times New Roman" w:hAnsi="Times New Roman" w:eastAsia="Times New Roman" w:cs="Times New Roman"/>
          <w:spacing w:val="7"/>
          <w:sz w:val="20"/>
          <w:szCs w:val="20"/>
        </w:rPr>
        <w:t xml:space="preserve">19.2.1  </w:t>
      </w:r>
      <w:r>
        <w:rPr>
          <w:rFonts w:ascii="宋体" w:hAnsi="宋体" w:eastAsia="宋体" w:cs="宋体"/>
          <w:spacing w:val="7"/>
          <w:sz w:val="20"/>
          <w:szCs w:val="20"/>
        </w:rPr>
        <w:t>承包人应在缺陷责任期内对已交付使用的工程承担缺陷责任。</w:t>
      </w:r>
    </w:p>
    <w:p w14:paraId="064EFE61">
      <w:pPr>
        <w:spacing w:before="154" w:line="369" w:lineRule="auto"/>
        <w:ind w:left="4" w:firstLine="434"/>
        <w:rPr>
          <w:rFonts w:ascii="宋体" w:hAnsi="宋体" w:eastAsia="宋体" w:cs="宋体"/>
          <w:sz w:val="20"/>
          <w:szCs w:val="20"/>
        </w:rPr>
      </w:pPr>
      <w:r>
        <w:rPr>
          <w:rFonts w:ascii="Times New Roman" w:hAnsi="Times New Roman" w:eastAsia="Times New Roman" w:cs="Times New Roman"/>
          <w:spacing w:val="5"/>
          <w:sz w:val="20"/>
          <w:szCs w:val="20"/>
        </w:rPr>
        <w:t xml:space="preserve">19.2.2  </w:t>
      </w:r>
      <w:r>
        <w:rPr>
          <w:rFonts w:ascii="宋体" w:hAnsi="宋体" w:eastAsia="宋体" w:cs="宋体"/>
          <w:spacing w:val="5"/>
          <w:sz w:val="20"/>
          <w:szCs w:val="20"/>
        </w:rPr>
        <w:t>缺陷责任期内，发包人对已接收使用的工程负责日常维护工作。发包人在使用过程中，</w:t>
      </w:r>
      <w:r>
        <w:rPr>
          <w:rFonts w:ascii="宋体" w:hAnsi="宋体" w:eastAsia="宋体" w:cs="宋体"/>
          <w:spacing w:val="10"/>
          <w:sz w:val="20"/>
          <w:szCs w:val="20"/>
        </w:rPr>
        <w:t>发现已接收的工程存在新的缺陷或已修复的缺陷部位或部件又遭损坏的</w:t>
      </w:r>
      <w:r>
        <w:rPr>
          <w:rFonts w:ascii="宋体" w:hAnsi="宋体" w:eastAsia="宋体" w:cs="宋体"/>
          <w:spacing w:val="9"/>
          <w:sz w:val="20"/>
          <w:szCs w:val="20"/>
        </w:rPr>
        <w:t>，承包人应负责修复，直</w:t>
      </w:r>
      <w:r>
        <w:rPr>
          <w:rFonts w:ascii="宋体" w:hAnsi="宋体" w:eastAsia="宋体" w:cs="宋体"/>
          <w:spacing w:val="7"/>
          <w:sz w:val="20"/>
          <w:szCs w:val="20"/>
        </w:rPr>
        <w:t>至检验合格为止。</w:t>
      </w:r>
    </w:p>
    <w:p w14:paraId="24ABAF5B">
      <w:pPr>
        <w:spacing w:before="1" w:line="369" w:lineRule="auto"/>
        <w:ind w:left="3" w:right="54"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19.2.3  </w:t>
      </w:r>
      <w:r>
        <w:rPr>
          <w:rFonts w:ascii="宋体" w:hAnsi="宋体" w:eastAsia="宋体" w:cs="宋体"/>
          <w:spacing w:val="8"/>
          <w:sz w:val="20"/>
          <w:szCs w:val="20"/>
        </w:rPr>
        <w:t>监理人和承包人应共同查清缺陷和（或）损坏的原因。经查明属承包人原因造成的，</w:t>
      </w:r>
      <w:r>
        <w:rPr>
          <w:rFonts w:ascii="宋体" w:hAnsi="宋体" w:eastAsia="宋体" w:cs="宋体"/>
          <w:spacing w:val="10"/>
          <w:sz w:val="20"/>
          <w:szCs w:val="20"/>
        </w:rPr>
        <w:t>应由承包人承担修复和查验的费用。经查验属发包人原因造成的，发包人</w:t>
      </w:r>
      <w:r>
        <w:rPr>
          <w:rFonts w:ascii="宋体" w:hAnsi="宋体" w:eastAsia="宋体" w:cs="宋体"/>
          <w:spacing w:val="9"/>
          <w:sz w:val="20"/>
          <w:szCs w:val="20"/>
        </w:rPr>
        <w:t>应承担修复和查验的费</w:t>
      </w:r>
      <w:r>
        <w:rPr>
          <w:rFonts w:ascii="宋体" w:hAnsi="宋体" w:eastAsia="宋体" w:cs="宋体"/>
          <w:spacing w:val="8"/>
          <w:sz w:val="20"/>
          <w:szCs w:val="20"/>
        </w:rPr>
        <w:t>用，并支付承包人合理利润。</w:t>
      </w:r>
    </w:p>
    <w:p w14:paraId="548020B4">
      <w:pPr>
        <w:spacing w:before="1" w:line="357" w:lineRule="auto"/>
        <w:ind w:left="4" w:right="57" w:firstLine="434"/>
        <w:rPr>
          <w:rFonts w:ascii="宋体" w:hAnsi="宋体" w:eastAsia="宋体" w:cs="宋体"/>
          <w:sz w:val="20"/>
          <w:szCs w:val="20"/>
        </w:rPr>
      </w:pPr>
      <w:r>
        <w:rPr>
          <w:rFonts w:ascii="Times New Roman" w:hAnsi="Times New Roman" w:eastAsia="Times New Roman" w:cs="Times New Roman"/>
          <w:spacing w:val="8"/>
          <w:sz w:val="20"/>
          <w:szCs w:val="20"/>
        </w:rPr>
        <w:t xml:space="preserve">19.2.4  </w:t>
      </w:r>
      <w:r>
        <w:rPr>
          <w:rFonts w:ascii="宋体" w:hAnsi="宋体" w:eastAsia="宋体" w:cs="宋体"/>
          <w:spacing w:val="8"/>
          <w:sz w:val="20"/>
          <w:szCs w:val="20"/>
        </w:rPr>
        <w:t>承包人不能在合理时间内修复缺陷的，发包人可自行修复或委托其他人修复，所需费</w:t>
      </w:r>
      <w:r>
        <w:rPr>
          <w:rFonts w:ascii="宋体" w:hAnsi="宋体" w:eastAsia="宋体" w:cs="宋体"/>
          <w:spacing w:val="6"/>
          <w:sz w:val="20"/>
          <w:szCs w:val="20"/>
        </w:rPr>
        <w:t>用和利润的承担，按第</w:t>
      </w:r>
      <w:r>
        <w:rPr>
          <w:rFonts w:ascii="宋体" w:hAnsi="宋体" w:eastAsia="宋体" w:cs="宋体"/>
          <w:spacing w:val="-21"/>
          <w:sz w:val="20"/>
          <w:szCs w:val="20"/>
        </w:rPr>
        <w:t xml:space="preserve"> </w:t>
      </w:r>
      <w:r>
        <w:rPr>
          <w:rFonts w:ascii="Times New Roman" w:hAnsi="Times New Roman" w:eastAsia="Times New Roman" w:cs="Times New Roman"/>
          <w:spacing w:val="6"/>
          <w:sz w:val="20"/>
          <w:szCs w:val="20"/>
        </w:rPr>
        <w:t xml:space="preserve">19.2.3 </w:t>
      </w:r>
      <w:r>
        <w:rPr>
          <w:rFonts w:ascii="宋体" w:hAnsi="宋体" w:eastAsia="宋体" w:cs="宋体"/>
          <w:spacing w:val="6"/>
          <w:sz w:val="20"/>
          <w:szCs w:val="20"/>
        </w:rPr>
        <w:t>项约定办理。</w:t>
      </w:r>
    </w:p>
    <w:p w14:paraId="7763C9A2">
      <w:pPr>
        <w:pStyle w:val="2"/>
        <w:spacing w:before="1" w:line="220" w:lineRule="auto"/>
        <w:ind w:left="23"/>
        <w:rPr>
          <w:sz w:val="24"/>
          <w:szCs w:val="24"/>
        </w:rPr>
      </w:pPr>
      <w:r>
        <w:rPr>
          <w:rFonts w:ascii="Times New Roman" w:hAnsi="Times New Roman" w:eastAsia="Times New Roman" w:cs="Times New Roman"/>
          <w:spacing w:val="-3"/>
          <w:sz w:val="24"/>
          <w:szCs w:val="24"/>
        </w:rPr>
        <w:t xml:space="preserve">19.3  </w:t>
      </w:r>
      <w:r>
        <w:rPr>
          <w:spacing w:val="-3"/>
          <w:sz w:val="24"/>
          <w:szCs w:val="24"/>
        </w:rPr>
        <w:t>缺陷责任期的延长</w:t>
      </w:r>
    </w:p>
    <w:p w14:paraId="282891E5">
      <w:pPr>
        <w:spacing w:before="138" w:line="361" w:lineRule="auto"/>
        <w:ind w:left="3" w:right="54" w:firstLine="445"/>
        <w:jc w:val="both"/>
        <w:rPr>
          <w:rFonts w:ascii="宋体" w:hAnsi="宋体" w:eastAsia="宋体" w:cs="宋体"/>
          <w:sz w:val="20"/>
          <w:szCs w:val="20"/>
        </w:rPr>
      </w:pPr>
      <w:r>
        <w:rPr>
          <w:rFonts w:ascii="宋体" w:hAnsi="宋体" w:eastAsia="宋体" w:cs="宋体"/>
          <w:spacing w:val="9"/>
          <w:sz w:val="20"/>
          <w:szCs w:val="20"/>
        </w:rPr>
        <w:t>由于承包人原因造成某项缺陷或损坏使某项工程或工程设备不能按原定目标使用而需要再次</w:t>
      </w:r>
      <w:r>
        <w:rPr>
          <w:rFonts w:ascii="宋体" w:hAnsi="宋体" w:eastAsia="宋体" w:cs="宋体"/>
          <w:spacing w:val="11"/>
          <w:sz w:val="20"/>
          <w:szCs w:val="20"/>
        </w:rPr>
        <w:t>检查、检验和修复的，发包人有权要求承包人相应延长缺陷责任期，但缺</w:t>
      </w:r>
      <w:r>
        <w:rPr>
          <w:rFonts w:ascii="宋体" w:hAnsi="宋体" w:eastAsia="宋体" w:cs="宋体"/>
          <w:spacing w:val="10"/>
          <w:sz w:val="20"/>
          <w:szCs w:val="20"/>
        </w:rPr>
        <w:t>陷责任期最长不超过</w:t>
      </w:r>
      <w:r>
        <w:rPr>
          <w:rFonts w:ascii="宋体" w:hAnsi="宋体" w:eastAsia="宋体" w:cs="宋体"/>
          <w:spacing w:val="-43"/>
          <w:sz w:val="20"/>
          <w:szCs w:val="20"/>
        </w:rPr>
        <w:t xml:space="preserve"> </w:t>
      </w:r>
      <w:r>
        <w:rPr>
          <w:rFonts w:ascii="Times New Roman" w:hAnsi="Times New Roman" w:eastAsia="Times New Roman" w:cs="Times New Roman"/>
          <w:spacing w:val="10"/>
          <w:sz w:val="20"/>
          <w:szCs w:val="20"/>
        </w:rPr>
        <w:t>2</w:t>
      </w:r>
      <w:r>
        <w:rPr>
          <w:rFonts w:ascii="宋体" w:hAnsi="宋体" w:eastAsia="宋体" w:cs="宋体"/>
          <w:sz w:val="20"/>
          <w:szCs w:val="20"/>
        </w:rPr>
        <w:t>年。</w:t>
      </w:r>
    </w:p>
    <w:p w14:paraId="358C140E">
      <w:pPr>
        <w:pStyle w:val="2"/>
        <w:spacing w:before="1" w:line="220" w:lineRule="auto"/>
        <w:ind w:left="23"/>
        <w:rPr>
          <w:sz w:val="24"/>
          <w:szCs w:val="24"/>
        </w:rPr>
      </w:pPr>
      <w:r>
        <w:rPr>
          <w:rFonts w:ascii="Times New Roman" w:hAnsi="Times New Roman" w:eastAsia="Times New Roman" w:cs="Times New Roman"/>
          <w:spacing w:val="-2"/>
          <w:sz w:val="24"/>
          <w:szCs w:val="24"/>
        </w:rPr>
        <w:t xml:space="preserve">19.4  </w:t>
      </w:r>
      <w:r>
        <w:rPr>
          <w:spacing w:val="-2"/>
          <w:sz w:val="24"/>
          <w:szCs w:val="24"/>
        </w:rPr>
        <w:t>进一步试验和试运行</w:t>
      </w:r>
    </w:p>
    <w:p w14:paraId="1907E6DF">
      <w:pPr>
        <w:spacing w:before="140" w:line="357" w:lineRule="auto"/>
        <w:ind w:left="3" w:right="54" w:firstLine="418"/>
        <w:rPr>
          <w:rFonts w:ascii="宋体" w:hAnsi="宋体" w:eastAsia="宋体" w:cs="宋体"/>
          <w:sz w:val="20"/>
          <w:szCs w:val="20"/>
        </w:rPr>
      </w:pPr>
      <w:r>
        <w:rPr>
          <w:rFonts w:ascii="宋体" w:hAnsi="宋体" w:eastAsia="宋体" w:cs="宋体"/>
          <w:spacing w:val="10"/>
          <w:sz w:val="20"/>
          <w:szCs w:val="20"/>
        </w:rPr>
        <w:t>任何一项缺陷或损坏修复后，经检查证明其影响了工程或工程设备的使</w:t>
      </w:r>
      <w:r>
        <w:rPr>
          <w:rFonts w:ascii="宋体" w:hAnsi="宋体" w:eastAsia="宋体" w:cs="宋体"/>
          <w:spacing w:val="9"/>
          <w:sz w:val="20"/>
          <w:szCs w:val="20"/>
        </w:rPr>
        <w:t>用性能，承包人应重新进行合同约定的试验和试运行，试验和试运行的全部费用应由责任方承担。</w:t>
      </w:r>
    </w:p>
    <w:p w14:paraId="490395DD">
      <w:pPr>
        <w:pStyle w:val="2"/>
        <w:spacing w:line="222" w:lineRule="auto"/>
        <w:ind w:left="23"/>
        <w:rPr>
          <w:sz w:val="24"/>
          <w:szCs w:val="24"/>
        </w:rPr>
      </w:pPr>
      <w:r>
        <w:rPr>
          <w:rFonts w:ascii="Times New Roman" w:hAnsi="Times New Roman" w:eastAsia="Times New Roman" w:cs="Times New Roman"/>
          <w:spacing w:val="-3"/>
          <w:sz w:val="24"/>
          <w:szCs w:val="24"/>
        </w:rPr>
        <w:t xml:space="preserve">19.5  </w:t>
      </w:r>
      <w:r>
        <w:rPr>
          <w:spacing w:val="-3"/>
          <w:sz w:val="24"/>
          <w:szCs w:val="24"/>
        </w:rPr>
        <w:t>承包人的进入权</w:t>
      </w:r>
    </w:p>
    <w:p w14:paraId="7BF8D102">
      <w:pPr>
        <w:spacing w:before="138" w:line="357" w:lineRule="auto"/>
        <w:ind w:left="3" w:right="54" w:firstLine="419"/>
        <w:rPr>
          <w:rFonts w:ascii="宋体" w:hAnsi="宋体" w:eastAsia="宋体" w:cs="宋体"/>
          <w:sz w:val="20"/>
          <w:szCs w:val="20"/>
        </w:rPr>
      </w:pPr>
      <w:r>
        <w:rPr>
          <w:rFonts w:ascii="宋体" w:hAnsi="宋体" w:eastAsia="宋体" w:cs="宋体"/>
          <w:spacing w:val="10"/>
          <w:sz w:val="20"/>
          <w:szCs w:val="20"/>
        </w:rPr>
        <w:t>缺陷责任期内承包人为缺陷修复工作需要，有权进入工程现场，但应</w:t>
      </w:r>
      <w:r>
        <w:rPr>
          <w:rFonts w:ascii="宋体" w:hAnsi="宋体" w:eastAsia="宋体" w:cs="宋体"/>
          <w:spacing w:val="9"/>
          <w:sz w:val="20"/>
          <w:szCs w:val="20"/>
        </w:rPr>
        <w:t>遵守发包人的保安和保</w:t>
      </w:r>
      <w:r>
        <w:rPr>
          <w:rFonts w:ascii="宋体" w:hAnsi="宋体" w:eastAsia="宋体" w:cs="宋体"/>
          <w:spacing w:val="4"/>
          <w:sz w:val="20"/>
          <w:szCs w:val="20"/>
        </w:rPr>
        <w:t>密规定。</w:t>
      </w:r>
    </w:p>
    <w:p w14:paraId="2C612F9D">
      <w:pPr>
        <w:pStyle w:val="2"/>
        <w:spacing w:before="1" w:line="220" w:lineRule="auto"/>
        <w:ind w:left="23"/>
        <w:rPr>
          <w:sz w:val="24"/>
          <w:szCs w:val="24"/>
        </w:rPr>
      </w:pPr>
      <w:r>
        <w:rPr>
          <w:rFonts w:ascii="Times New Roman" w:hAnsi="Times New Roman" w:eastAsia="Times New Roman" w:cs="Times New Roman"/>
          <w:spacing w:val="-2"/>
          <w:sz w:val="24"/>
          <w:szCs w:val="24"/>
        </w:rPr>
        <w:t xml:space="preserve">19.6  </w:t>
      </w:r>
      <w:r>
        <w:rPr>
          <w:spacing w:val="-2"/>
          <w:sz w:val="24"/>
          <w:szCs w:val="24"/>
        </w:rPr>
        <w:t>缺陷责任期终止证书</w:t>
      </w:r>
    </w:p>
    <w:p w14:paraId="18E39680">
      <w:pPr>
        <w:spacing w:before="139" w:line="357" w:lineRule="auto"/>
        <w:ind w:left="24" w:right="56" w:firstLine="397"/>
        <w:rPr>
          <w:rFonts w:ascii="宋体" w:hAnsi="宋体" w:eastAsia="宋体" w:cs="宋体"/>
          <w:sz w:val="20"/>
          <w:szCs w:val="20"/>
        </w:rPr>
      </w:pPr>
      <w:r>
        <w:rPr>
          <w:rFonts w:ascii="宋体" w:hAnsi="宋体" w:eastAsia="宋体" w:cs="宋体"/>
          <w:spacing w:val="4"/>
          <w:sz w:val="20"/>
          <w:szCs w:val="20"/>
        </w:rPr>
        <w:t>在第</w:t>
      </w:r>
      <w:r>
        <w:rPr>
          <w:rFonts w:ascii="宋体" w:hAnsi="宋体" w:eastAsia="宋体" w:cs="宋体"/>
          <w:spacing w:val="-22"/>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1.4.5</w:t>
      </w:r>
      <w:r>
        <w:rPr>
          <w:rFonts w:ascii="Times New Roman" w:hAnsi="Times New Roman" w:eastAsia="Times New Roman" w:cs="Times New Roman"/>
          <w:spacing w:val="49"/>
          <w:w w:val="101"/>
          <w:sz w:val="20"/>
          <w:szCs w:val="20"/>
        </w:rPr>
        <w:t xml:space="preserve"> </w:t>
      </w:r>
      <w:r>
        <w:rPr>
          <w:rFonts w:ascii="宋体" w:hAnsi="宋体" w:eastAsia="宋体" w:cs="宋体"/>
          <w:spacing w:val="4"/>
          <w:sz w:val="20"/>
          <w:szCs w:val="20"/>
        </w:rPr>
        <w:t>目约定的缺陷责任期，包括根据第</w:t>
      </w:r>
      <w:r>
        <w:rPr>
          <w:rFonts w:ascii="宋体" w:hAnsi="宋体" w:eastAsia="宋体" w:cs="宋体"/>
          <w:spacing w:val="-21"/>
          <w:sz w:val="20"/>
          <w:szCs w:val="20"/>
        </w:rPr>
        <w:t xml:space="preserve"> </w:t>
      </w:r>
      <w:r>
        <w:rPr>
          <w:rFonts w:ascii="Times New Roman" w:hAnsi="Times New Roman" w:eastAsia="Times New Roman" w:cs="Times New Roman"/>
          <w:spacing w:val="4"/>
          <w:sz w:val="20"/>
          <w:szCs w:val="20"/>
        </w:rPr>
        <w:t xml:space="preserve">19.3 </w:t>
      </w:r>
      <w:r>
        <w:rPr>
          <w:rFonts w:ascii="宋体" w:hAnsi="宋体" w:eastAsia="宋体" w:cs="宋体"/>
          <w:spacing w:val="4"/>
          <w:sz w:val="20"/>
          <w:szCs w:val="20"/>
        </w:rPr>
        <w:t>款延长的期限终止后</w:t>
      </w:r>
      <w:r>
        <w:rPr>
          <w:rFonts w:ascii="宋体" w:hAnsi="宋体" w:eastAsia="宋体" w:cs="宋体"/>
          <w:spacing w:val="-23"/>
          <w:sz w:val="20"/>
          <w:szCs w:val="20"/>
        </w:rPr>
        <w:t xml:space="preserve"> </w:t>
      </w:r>
      <w:r>
        <w:rPr>
          <w:rFonts w:ascii="Times New Roman" w:hAnsi="Times New Roman" w:eastAsia="Times New Roman" w:cs="Times New Roman"/>
          <w:spacing w:val="4"/>
          <w:sz w:val="20"/>
          <w:szCs w:val="20"/>
        </w:rPr>
        <w:t xml:space="preserve">14 </w:t>
      </w:r>
      <w:r>
        <w:rPr>
          <w:rFonts w:ascii="宋体" w:hAnsi="宋体" w:eastAsia="宋体" w:cs="宋体"/>
          <w:spacing w:val="4"/>
          <w:sz w:val="20"/>
          <w:szCs w:val="20"/>
        </w:rPr>
        <w:t>天内，</w:t>
      </w:r>
      <w:r>
        <w:rPr>
          <w:rFonts w:ascii="宋体" w:hAnsi="宋体" w:eastAsia="宋体" w:cs="宋体"/>
          <w:spacing w:val="-58"/>
          <w:sz w:val="20"/>
          <w:szCs w:val="20"/>
        </w:rPr>
        <w:t xml:space="preserve"> </w:t>
      </w:r>
      <w:r>
        <w:rPr>
          <w:rFonts w:ascii="宋体" w:hAnsi="宋体" w:eastAsia="宋体" w:cs="宋体"/>
          <w:spacing w:val="3"/>
          <w:sz w:val="20"/>
          <w:szCs w:val="20"/>
        </w:rPr>
        <w:t>由监理人</w:t>
      </w:r>
      <w:r>
        <w:rPr>
          <w:rFonts w:ascii="宋体" w:hAnsi="宋体" w:eastAsia="宋体" w:cs="宋体"/>
          <w:spacing w:val="9"/>
          <w:sz w:val="20"/>
          <w:szCs w:val="20"/>
        </w:rPr>
        <w:t>向承包人出具经发包人签认的缺陷责任期终止证书，并退还剩</w:t>
      </w:r>
      <w:r>
        <w:rPr>
          <w:rFonts w:ascii="宋体" w:hAnsi="宋体" w:eastAsia="宋体" w:cs="宋体"/>
          <w:spacing w:val="8"/>
          <w:sz w:val="20"/>
          <w:szCs w:val="20"/>
        </w:rPr>
        <w:t>余的质量保证金。</w:t>
      </w:r>
    </w:p>
    <w:p w14:paraId="1DCFA5CA">
      <w:pPr>
        <w:pStyle w:val="2"/>
        <w:spacing w:before="1" w:line="220" w:lineRule="auto"/>
        <w:ind w:left="23"/>
        <w:rPr>
          <w:sz w:val="24"/>
          <w:szCs w:val="24"/>
        </w:rPr>
      </w:pPr>
      <w:r>
        <w:rPr>
          <w:rFonts w:ascii="Times New Roman" w:hAnsi="Times New Roman" w:eastAsia="Times New Roman" w:cs="Times New Roman"/>
          <w:spacing w:val="-3"/>
          <w:sz w:val="24"/>
          <w:szCs w:val="24"/>
        </w:rPr>
        <w:t xml:space="preserve">19.7  </w:t>
      </w:r>
      <w:r>
        <w:rPr>
          <w:spacing w:val="-3"/>
          <w:sz w:val="24"/>
          <w:szCs w:val="24"/>
        </w:rPr>
        <w:t>保修责任</w:t>
      </w:r>
    </w:p>
    <w:p w14:paraId="09AD542E">
      <w:pPr>
        <w:spacing w:before="140" w:line="370" w:lineRule="auto"/>
        <w:ind w:left="3" w:right="54" w:firstLine="420"/>
        <w:jc w:val="both"/>
        <w:rPr>
          <w:rFonts w:ascii="宋体" w:hAnsi="宋体" w:eastAsia="宋体" w:cs="宋体"/>
          <w:sz w:val="20"/>
          <w:szCs w:val="20"/>
        </w:rPr>
      </w:pPr>
      <w:r>
        <w:rPr>
          <w:rFonts w:ascii="宋体" w:hAnsi="宋体" w:eastAsia="宋体" w:cs="宋体"/>
          <w:spacing w:val="10"/>
          <w:sz w:val="20"/>
          <w:szCs w:val="20"/>
        </w:rPr>
        <w:t>合同当事人根据有关法律规定，在专用合同条款中约定工程质量保</w:t>
      </w:r>
      <w:r>
        <w:rPr>
          <w:rFonts w:ascii="宋体" w:hAnsi="宋体" w:eastAsia="宋体" w:cs="宋体"/>
          <w:spacing w:val="9"/>
          <w:sz w:val="20"/>
          <w:szCs w:val="20"/>
        </w:rPr>
        <w:t>修范围、期限和责任。保</w:t>
      </w:r>
      <w:r>
        <w:rPr>
          <w:rFonts w:ascii="宋体" w:hAnsi="宋体" w:eastAsia="宋体" w:cs="宋体"/>
          <w:spacing w:val="10"/>
          <w:sz w:val="20"/>
          <w:szCs w:val="20"/>
        </w:rPr>
        <w:t>修期自实际竣工日期起计算。在全部工程竣工验收前，已经发包人提前验</w:t>
      </w:r>
      <w:r>
        <w:rPr>
          <w:rFonts w:ascii="宋体" w:hAnsi="宋体" w:eastAsia="宋体" w:cs="宋体"/>
          <w:spacing w:val="9"/>
          <w:sz w:val="20"/>
          <w:szCs w:val="20"/>
        </w:rPr>
        <w:t>收的单位工程，其保修</w:t>
      </w:r>
      <w:r>
        <w:rPr>
          <w:rFonts w:ascii="宋体" w:hAnsi="宋体" w:eastAsia="宋体" w:cs="宋体"/>
          <w:spacing w:val="8"/>
          <w:sz w:val="20"/>
          <w:szCs w:val="20"/>
        </w:rPr>
        <w:t>期的起算日期相应提前。</w:t>
      </w:r>
    </w:p>
    <w:p w14:paraId="5BA578ED">
      <w:pPr>
        <w:pStyle w:val="2"/>
        <w:spacing w:before="37" w:line="223" w:lineRule="auto"/>
        <w:outlineLvl w:val="2"/>
        <w:rPr>
          <w:sz w:val="28"/>
          <w:szCs w:val="28"/>
        </w:rPr>
      </w:pPr>
      <w:bookmarkStart w:id="233" w:name="bookmark214"/>
      <w:bookmarkEnd w:id="233"/>
      <w:r>
        <w:rPr>
          <w:rFonts w:ascii="Times New Roman" w:hAnsi="Times New Roman" w:eastAsia="Times New Roman" w:cs="Times New Roman"/>
          <w:spacing w:val="-1"/>
          <w:sz w:val="28"/>
          <w:szCs w:val="28"/>
        </w:rPr>
        <w:t xml:space="preserve">20.  </w:t>
      </w:r>
      <w:r>
        <w:rPr>
          <w:spacing w:val="-1"/>
          <w:sz w:val="28"/>
          <w:szCs w:val="28"/>
        </w:rPr>
        <w:t>保险</w:t>
      </w:r>
    </w:p>
    <w:p w14:paraId="7D162F25">
      <w:pPr>
        <w:pStyle w:val="2"/>
        <w:spacing w:before="95" w:line="222" w:lineRule="auto"/>
        <w:rPr>
          <w:sz w:val="24"/>
          <w:szCs w:val="24"/>
        </w:rPr>
      </w:pPr>
      <w:r>
        <w:rPr>
          <w:rFonts w:ascii="Times New Roman" w:hAnsi="Times New Roman" w:eastAsia="Times New Roman" w:cs="Times New Roman"/>
          <w:spacing w:val="-1"/>
          <w:sz w:val="24"/>
          <w:szCs w:val="24"/>
        </w:rPr>
        <w:t xml:space="preserve">20.1  </w:t>
      </w:r>
      <w:r>
        <w:rPr>
          <w:spacing w:val="-1"/>
          <w:sz w:val="24"/>
          <w:szCs w:val="24"/>
        </w:rPr>
        <w:t>工程保险</w:t>
      </w:r>
    </w:p>
    <w:p w14:paraId="1224FD3E">
      <w:pPr>
        <w:spacing w:before="122" w:line="348" w:lineRule="auto"/>
        <w:ind w:left="3" w:right="54" w:firstLine="431"/>
        <w:jc w:val="both"/>
        <w:rPr>
          <w:rFonts w:ascii="宋体" w:hAnsi="宋体" w:eastAsia="宋体" w:cs="宋体"/>
          <w:sz w:val="20"/>
          <w:szCs w:val="20"/>
        </w:rPr>
      </w:pPr>
      <w:r>
        <w:rPr>
          <w:rFonts w:ascii="宋体" w:hAnsi="宋体" w:eastAsia="宋体" w:cs="宋体"/>
          <w:spacing w:val="9"/>
          <w:sz w:val="20"/>
          <w:szCs w:val="20"/>
        </w:rPr>
        <w:t>除专用合同条款另有约定外，承包人应以发包人和承包人的共同名义向双方同意的保险人投</w:t>
      </w:r>
      <w:r>
        <w:rPr>
          <w:rFonts w:ascii="宋体" w:hAnsi="宋体" w:eastAsia="宋体" w:cs="宋体"/>
          <w:spacing w:val="10"/>
          <w:sz w:val="20"/>
          <w:szCs w:val="20"/>
        </w:rPr>
        <w:t>保建筑工程一切险、安装工程一切险。其具体的投保内容、保险金额、</w:t>
      </w:r>
      <w:r>
        <w:rPr>
          <w:rFonts w:ascii="宋体" w:hAnsi="宋体" w:eastAsia="宋体" w:cs="宋体"/>
          <w:spacing w:val="9"/>
          <w:sz w:val="20"/>
          <w:szCs w:val="20"/>
        </w:rPr>
        <w:t>保险费率、保险期限等有</w:t>
      </w:r>
      <w:r>
        <w:rPr>
          <w:rFonts w:ascii="宋体" w:hAnsi="宋体" w:eastAsia="宋体" w:cs="宋体"/>
          <w:spacing w:val="8"/>
          <w:sz w:val="20"/>
          <w:szCs w:val="20"/>
        </w:rPr>
        <w:t>关内容在专用合同条款中约定。</w:t>
      </w:r>
    </w:p>
    <w:p w14:paraId="45F86542">
      <w:pPr>
        <w:pStyle w:val="2"/>
        <w:spacing w:before="1" w:line="220" w:lineRule="auto"/>
        <w:rPr>
          <w:sz w:val="24"/>
          <w:szCs w:val="24"/>
        </w:rPr>
      </w:pPr>
      <w:r>
        <w:rPr>
          <w:rFonts w:ascii="Times New Roman" w:hAnsi="Times New Roman" w:eastAsia="Times New Roman" w:cs="Times New Roman"/>
          <w:spacing w:val="-1"/>
          <w:sz w:val="24"/>
          <w:szCs w:val="24"/>
        </w:rPr>
        <w:t xml:space="preserve">20.2  </w:t>
      </w:r>
      <w:r>
        <w:rPr>
          <w:spacing w:val="-1"/>
          <w:sz w:val="24"/>
          <w:szCs w:val="24"/>
        </w:rPr>
        <w:t>人员工伤事故的保险</w:t>
      </w:r>
    </w:p>
    <w:p w14:paraId="14DAB57F">
      <w:pPr>
        <w:pStyle w:val="2"/>
        <w:spacing w:before="123" w:line="229" w:lineRule="auto"/>
        <w:ind w:left="419"/>
        <w:rPr>
          <w:sz w:val="20"/>
          <w:szCs w:val="20"/>
        </w:rPr>
      </w:pPr>
      <w:r>
        <w:rPr>
          <w:rFonts w:ascii="Times New Roman" w:hAnsi="Times New Roman" w:eastAsia="Times New Roman" w:cs="Times New Roman"/>
          <w:spacing w:val="7"/>
          <w:sz w:val="20"/>
          <w:szCs w:val="20"/>
        </w:rPr>
        <w:t xml:space="preserve">20.2.1  </w:t>
      </w:r>
      <w:r>
        <w:rPr>
          <w:spacing w:val="7"/>
          <w:sz w:val="20"/>
          <w:szCs w:val="20"/>
        </w:rPr>
        <w:t>承包人员工伤事故的保险</w:t>
      </w:r>
    </w:p>
    <w:p w14:paraId="147D0589">
      <w:pPr>
        <w:spacing w:before="131" w:line="227" w:lineRule="auto"/>
        <w:ind w:left="423"/>
        <w:rPr>
          <w:rFonts w:ascii="宋体" w:hAnsi="宋体" w:eastAsia="宋体" w:cs="宋体"/>
          <w:sz w:val="20"/>
          <w:szCs w:val="20"/>
        </w:rPr>
      </w:pPr>
      <w:r>
        <w:rPr>
          <w:rFonts w:ascii="宋体" w:hAnsi="宋体" w:eastAsia="宋体" w:cs="宋体"/>
          <w:spacing w:val="10"/>
          <w:sz w:val="20"/>
          <w:szCs w:val="20"/>
        </w:rPr>
        <w:t>承包人应依照有关法律规定参加工伤保险，为其履行合同所雇佣的全部</w:t>
      </w:r>
      <w:r>
        <w:rPr>
          <w:rFonts w:ascii="宋体" w:hAnsi="宋体" w:eastAsia="宋体" w:cs="宋体"/>
          <w:spacing w:val="9"/>
          <w:sz w:val="20"/>
          <w:szCs w:val="20"/>
        </w:rPr>
        <w:t>人员，缴纳工伤保险</w:t>
      </w:r>
    </w:p>
    <w:p w14:paraId="3F16D862">
      <w:pPr>
        <w:spacing w:line="227" w:lineRule="auto"/>
        <w:rPr>
          <w:rFonts w:ascii="宋体" w:hAnsi="宋体" w:eastAsia="宋体" w:cs="宋体"/>
          <w:sz w:val="20"/>
          <w:szCs w:val="20"/>
        </w:rPr>
        <w:sectPr>
          <w:footerReference r:id="rId189" w:type="default"/>
          <w:pgSz w:w="11906" w:h="16839"/>
          <w:pgMar w:top="400" w:right="1500" w:bottom="1038" w:left="1536" w:header="0" w:footer="787" w:gutter="0"/>
          <w:cols w:space="720" w:num="1"/>
        </w:sectPr>
      </w:pPr>
    </w:p>
    <w:p w14:paraId="674C4761">
      <w:pPr>
        <w:spacing w:line="267" w:lineRule="auto"/>
        <w:rPr>
          <w:rFonts w:ascii="Arial"/>
          <w:sz w:val="21"/>
        </w:rPr>
      </w:pPr>
    </w:p>
    <w:p w14:paraId="01533B40">
      <w:pPr>
        <w:spacing w:line="267" w:lineRule="auto"/>
        <w:rPr>
          <w:rFonts w:ascii="Arial"/>
          <w:sz w:val="21"/>
        </w:rPr>
      </w:pPr>
    </w:p>
    <w:p w14:paraId="54048AD6">
      <w:pPr>
        <w:spacing w:line="268" w:lineRule="auto"/>
        <w:rPr>
          <w:rFonts w:ascii="Arial"/>
          <w:sz w:val="21"/>
        </w:rPr>
      </w:pPr>
    </w:p>
    <w:p w14:paraId="684FB357">
      <w:pPr>
        <w:spacing w:line="268" w:lineRule="auto"/>
        <w:rPr>
          <w:rFonts w:ascii="Arial"/>
          <w:sz w:val="21"/>
        </w:rPr>
      </w:pPr>
    </w:p>
    <w:p w14:paraId="40E29FAA">
      <w:pPr>
        <w:spacing w:before="65" w:line="228" w:lineRule="auto"/>
        <w:ind w:left="14"/>
        <w:rPr>
          <w:rFonts w:ascii="宋体" w:hAnsi="宋体" w:eastAsia="宋体" w:cs="宋体"/>
          <w:sz w:val="20"/>
          <w:szCs w:val="20"/>
        </w:rPr>
      </w:pPr>
      <w:r>
        <w:rPr>
          <w:rFonts w:ascii="宋体" w:hAnsi="宋体" w:eastAsia="宋体" w:cs="宋体"/>
          <w:spacing w:val="8"/>
          <w:sz w:val="20"/>
          <w:szCs w:val="20"/>
        </w:rPr>
        <w:t>费，并要求其分包人也进行此项保险。</w:t>
      </w:r>
    </w:p>
    <w:p w14:paraId="23FBF447">
      <w:pPr>
        <w:pStyle w:val="2"/>
        <w:spacing w:before="132" w:line="229" w:lineRule="auto"/>
        <w:ind w:left="419"/>
        <w:rPr>
          <w:sz w:val="20"/>
          <w:szCs w:val="20"/>
        </w:rPr>
      </w:pPr>
      <w:r>
        <w:rPr>
          <w:rFonts w:ascii="Times New Roman" w:hAnsi="Times New Roman" w:eastAsia="Times New Roman" w:cs="Times New Roman"/>
          <w:spacing w:val="7"/>
          <w:sz w:val="20"/>
          <w:szCs w:val="20"/>
        </w:rPr>
        <w:t xml:space="preserve">20.2.2  </w:t>
      </w:r>
      <w:r>
        <w:rPr>
          <w:spacing w:val="7"/>
          <w:sz w:val="20"/>
          <w:szCs w:val="20"/>
        </w:rPr>
        <w:t>发包人员工伤事故的保险</w:t>
      </w:r>
    </w:p>
    <w:p w14:paraId="782D8253">
      <w:pPr>
        <w:spacing w:before="134" w:line="345" w:lineRule="auto"/>
        <w:ind w:left="8" w:firstLine="418"/>
        <w:rPr>
          <w:rFonts w:ascii="宋体" w:hAnsi="宋体" w:eastAsia="宋体" w:cs="宋体"/>
          <w:sz w:val="20"/>
          <w:szCs w:val="20"/>
        </w:rPr>
      </w:pPr>
      <w:r>
        <w:rPr>
          <w:rFonts w:ascii="宋体" w:hAnsi="宋体" w:eastAsia="宋体" w:cs="宋体"/>
          <w:spacing w:val="6"/>
          <w:sz w:val="20"/>
          <w:szCs w:val="20"/>
        </w:rPr>
        <w:t>发包人应依照有关法律规定参加工伤保险，为其现场机构雇佣的全部人员，缴纳工伤</w:t>
      </w:r>
      <w:r>
        <w:rPr>
          <w:rFonts w:ascii="宋体" w:hAnsi="宋体" w:eastAsia="宋体" w:cs="宋体"/>
          <w:spacing w:val="5"/>
          <w:sz w:val="20"/>
          <w:szCs w:val="20"/>
        </w:rPr>
        <w:t>保险费，</w:t>
      </w:r>
      <w:r>
        <w:rPr>
          <w:rFonts w:ascii="宋体" w:hAnsi="宋体" w:eastAsia="宋体" w:cs="宋体"/>
          <w:spacing w:val="8"/>
          <w:sz w:val="20"/>
          <w:szCs w:val="20"/>
        </w:rPr>
        <w:t>并要求其监理人也进行此项保险。</w:t>
      </w:r>
    </w:p>
    <w:p w14:paraId="72146F6F">
      <w:pPr>
        <w:pStyle w:val="2"/>
        <w:spacing w:before="1" w:line="220" w:lineRule="auto"/>
        <w:rPr>
          <w:sz w:val="24"/>
          <w:szCs w:val="24"/>
        </w:rPr>
      </w:pPr>
      <w:r>
        <w:rPr>
          <w:rFonts w:ascii="Times New Roman" w:hAnsi="Times New Roman" w:eastAsia="Times New Roman" w:cs="Times New Roman"/>
          <w:spacing w:val="-1"/>
          <w:sz w:val="24"/>
          <w:szCs w:val="24"/>
        </w:rPr>
        <w:t xml:space="preserve">20.3  </w:t>
      </w:r>
      <w:r>
        <w:rPr>
          <w:spacing w:val="-1"/>
          <w:sz w:val="24"/>
          <w:szCs w:val="24"/>
        </w:rPr>
        <w:t>人身意外伤害险</w:t>
      </w:r>
    </w:p>
    <w:p w14:paraId="13C364A5">
      <w:pPr>
        <w:spacing w:before="123" w:line="351" w:lineRule="auto"/>
        <w:ind w:left="3" w:right="57" w:firstLine="415"/>
        <w:rPr>
          <w:rFonts w:ascii="宋体" w:hAnsi="宋体" w:eastAsia="宋体" w:cs="宋体"/>
          <w:sz w:val="20"/>
          <w:szCs w:val="20"/>
        </w:rPr>
      </w:pPr>
      <w:r>
        <w:rPr>
          <w:rFonts w:ascii="Times New Roman" w:hAnsi="Times New Roman" w:eastAsia="Times New Roman" w:cs="Times New Roman"/>
          <w:spacing w:val="9"/>
          <w:sz w:val="20"/>
          <w:szCs w:val="20"/>
        </w:rPr>
        <w:t xml:space="preserve">20.3.1  </w:t>
      </w:r>
      <w:r>
        <w:rPr>
          <w:rFonts w:ascii="宋体" w:hAnsi="宋体" w:eastAsia="宋体" w:cs="宋体"/>
          <w:spacing w:val="9"/>
          <w:sz w:val="20"/>
          <w:szCs w:val="20"/>
        </w:rPr>
        <w:t>发包人应在整个施工期间为其现场机构雇用的全部人员</w:t>
      </w:r>
      <w:r>
        <w:rPr>
          <w:rFonts w:ascii="宋体" w:hAnsi="宋体" w:eastAsia="宋体" w:cs="宋体"/>
          <w:spacing w:val="8"/>
          <w:sz w:val="20"/>
          <w:szCs w:val="20"/>
        </w:rPr>
        <w:t>，投保人身意外伤害险，缴纳保险费，并要求其监理人也进行此项保险。</w:t>
      </w:r>
    </w:p>
    <w:p w14:paraId="65F23149">
      <w:pPr>
        <w:spacing w:before="1" w:line="345" w:lineRule="auto"/>
        <w:ind w:left="3" w:right="57" w:firstLine="415"/>
        <w:rPr>
          <w:rFonts w:ascii="宋体" w:hAnsi="宋体" w:eastAsia="宋体" w:cs="宋体"/>
          <w:sz w:val="20"/>
          <w:szCs w:val="20"/>
        </w:rPr>
      </w:pPr>
      <w:r>
        <w:rPr>
          <w:rFonts w:ascii="Times New Roman" w:hAnsi="Times New Roman" w:eastAsia="Times New Roman" w:cs="Times New Roman"/>
          <w:spacing w:val="9"/>
          <w:sz w:val="20"/>
          <w:szCs w:val="20"/>
        </w:rPr>
        <w:t xml:space="preserve">20.3.2  </w:t>
      </w:r>
      <w:r>
        <w:rPr>
          <w:rFonts w:ascii="宋体" w:hAnsi="宋体" w:eastAsia="宋体" w:cs="宋体"/>
          <w:spacing w:val="9"/>
          <w:sz w:val="20"/>
          <w:szCs w:val="20"/>
        </w:rPr>
        <w:t>承包人应在整个施工期间为其现场机构雇用的全部人员</w:t>
      </w:r>
      <w:r>
        <w:rPr>
          <w:rFonts w:ascii="宋体" w:hAnsi="宋体" w:eastAsia="宋体" w:cs="宋体"/>
          <w:spacing w:val="8"/>
          <w:sz w:val="20"/>
          <w:szCs w:val="20"/>
        </w:rPr>
        <w:t>，投保人身意外伤害险，缴纳保险费，并要求其分包人也进行此项保险。</w:t>
      </w:r>
    </w:p>
    <w:p w14:paraId="62B5351E">
      <w:pPr>
        <w:pStyle w:val="2"/>
        <w:spacing w:before="1" w:line="220" w:lineRule="auto"/>
        <w:rPr>
          <w:sz w:val="24"/>
          <w:szCs w:val="24"/>
        </w:rPr>
      </w:pPr>
      <w:r>
        <w:rPr>
          <w:rFonts w:ascii="Times New Roman" w:hAnsi="Times New Roman" w:eastAsia="Times New Roman" w:cs="Times New Roman"/>
          <w:spacing w:val="-1"/>
          <w:sz w:val="24"/>
          <w:szCs w:val="24"/>
        </w:rPr>
        <w:t xml:space="preserve">20.4  </w:t>
      </w:r>
      <w:r>
        <w:rPr>
          <w:spacing w:val="-1"/>
          <w:sz w:val="24"/>
          <w:szCs w:val="24"/>
        </w:rPr>
        <w:t>第三者责任险</w:t>
      </w:r>
    </w:p>
    <w:p w14:paraId="4E41E04A">
      <w:pPr>
        <w:spacing w:before="123" w:line="351" w:lineRule="auto"/>
        <w:ind w:left="2" w:right="56" w:firstLine="417"/>
        <w:rPr>
          <w:rFonts w:ascii="宋体" w:hAnsi="宋体" w:eastAsia="宋体" w:cs="宋体"/>
          <w:sz w:val="20"/>
          <w:szCs w:val="20"/>
        </w:rPr>
      </w:pPr>
      <w:r>
        <w:rPr>
          <w:rFonts w:ascii="Times New Roman" w:hAnsi="Times New Roman" w:eastAsia="Times New Roman" w:cs="Times New Roman"/>
          <w:spacing w:val="9"/>
          <w:sz w:val="20"/>
          <w:szCs w:val="20"/>
        </w:rPr>
        <w:t xml:space="preserve">20.4.1  </w:t>
      </w:r>
      <w:r>
        <w:rPr>
          <w:rFonts w:ascii="宋体" w:hAnsi="宋体" w:eastAsia="宋体" w:cs="宋体"/>
          <w:spacing w:val="9"/>
          <w:sz w:val="20"/>
          <w:szCs w:val="20"/>
        </w:rPr>
        <w:t>第三者责任系指在保险期内，对因工程意外事故造成的</w:t>
      </w:r>
      <w:r>
        <w:rPr>
          <w:rFonts w:ascii="宋体" w:hAnsi="宋体" w:eastAsia="宋体" w:cs="宋体"/>
          <w:spacing w:val="8"/>
          <w:sz w:val="20"/>
          <w:szCs w:val="20"/>
        </w:rPr>
        <w:t>、依法应由被保险人负责的工</w:t>
      </w:r>
      <w:r>
        <w:rPr>
          <w:rFonts w:ascii="宋体" w:hAnsi="宋体" w:eastAsia="宋体" w:cs="宋体"/>
          <w:spacing w:val="7"/>
          <w:sz w:val="20"/>
          <w:szCs w:val="20"/>
        </w:rPr>
        <w:t>地上及毗邻地区的第三者人身伤亡、疾病或财产损失（本工程除外</w:t>
      </w:r>
      <w:r>
        <w:rPr>
          <w:rFonts w:ascii="宋体" w:hAnsi="宋体" w:eastAsia="宋体" w:cs="宋体"/>
          <w:spacing w:val="-39"/>
          <w:sz w:val="20"/>
          <w:szCs w:val="20"/>
        </w:rPr>
        <w:t>），</w:t>
      </w:r>
      <w:r>
        <w:rPr>
          <w:rFonts w:ascii="宋体" w:hAnsi="宋体" w:eastAsia="宋体" w:cs="宋体"/>
          <w:spacing w:val="7"/>
          <w:sz w:val="20"/>
          <w:szCs w:val="20"/>
        </w:rPr>
        <w:t>以及被保险人因此而支付的</w:t>
      </w:r>
      <w:r>
        <w:rPr>
          <w:rFonts w:ascii="宋体" w:hAnsi="宋体" w:eastAsia="宋体" w:cs="宋体"/>
          <w:spacing w:val="9"/>
          <w:sz w:val="20"/>
          <w:szCs w:val="20"/>
        </w:rPr>
        <w:t>诉讼费用和事先经保险人书面同意支付的其他费用等赔偿责任。</w:t>
      </w:r>
    </w:p>
    <w:p w14:paraId="0694A32B">
      <w:pPr>
        <w:spacing w:before="1" w:line="346" w:lineRule="auto"/>
        <w:ind w:left="6" w:right="53" w:firstLine="412"/>
        <w:rPr>
          <w:rFonts w:ascii="宋体" w:hAnsi="宋体" w:eastAsia="宋体" w:cs="宋体"/>
          <w:sz w:val="20"/>
          <w:szCs w:val="20"/>
        </w:rPr>
      </w:pPr>
      <w:r>
        <w:rPr>
          <w:rFonts w:ascii="Times New Roman" w:hAnsi="Times New Roman" w:eastAsia="Times New Roman" w:cs="Times New Roman"/>
          <w:spacing w:val="4"/>
          <w:sz w:val="20"/>
          <w:szCs w:val="20"/>
        </w:rPr>
        <w:t xml:space="preserve">20.4.2  </w:t>
      </w:r>
      <w:r>
        <w:rPr>
          <w:rFonts w:ascii="宋体" w:hAnsi="宋体" w:eastAsia="宋体" w:cs="宋体"/>
          <w:spacing w:val="4"/>
          <w:sz w:val="20"/>
          <w:szCs w:val="20"/>
        </w:rPr>
        <w:t>在缺陷责任期终止证书颁发前，承包人应以承包人和发包人的共同名义，投保第</w:t>
      </w:r>
      <w:r>
        <w:rPr>
          <w:rFonts w:ascii="宋体" w:hAnsi="宋体" w:eastAsia="宋体" w:cs="宋体"/>
          <w:spacing w:val="-26"/>
          <w:sz w:val="20"/>
          <w:szCs w:val="20"/>
        </w:rPr>
        <w:t xml:space="preserve"> </w:t>
      </w:r>
      <w:r>
        <w:rPr>
          <w:rFonts w:ascii="Times New Roman" w:hAnsi="Times New Roman" w:eastAsia="Times New Roman" w:cs="Times New Roman"/>
          <w:spacing w:val="4"/>
          <w:sz w:val="20"/>
          <w:szCs w:val="20"/>
        </w:rPr>
        <w:t>20.4.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宋体" w:hAnsi="宋体" w:eastAsia="宋体" w:cs="宋体"/>
          <w:spacing w:val="9"/>
          <w:sz w:val="20"/>
          <w:szCs w:val="20"/>
        </w:rPr>
        <w:t>项约定的第三者责任险，其保险费率、保险金额等有关内容在专用合同条款中约定。</w:t>
      </w:r>
    </w:p>
    <w:p w14:paraId="26BE89E6">
      <w:pPr>
        <w:pStyle w:val="2"/>
        <w:spacing w:line="222" w:lineRule="auto"/>
        <w:rPr>
          <w:sz w:val="24"/>
          <w:szCs w:val="24"/>
        </w:rPr>
      </w:pPr>
      <w:r>
        <w:rPr>
          <w:rFonts w:ascii="Times New Roman" w:hAnsi="Times New Roman" w:eastAsia="Times New Roman" w:cs="Times New Roman"/>
          <w:spacing w:val="-3"/>
          <w:sz w:val="24"/>
          <w:szCs w:val="24"/>
        </w:rPr>
        <w:t>20.5</w:t>
      </w:r>
      <w:r>
        <w:rPr>
          <w:rFonts w:ascii="Times New Roman" w:hAnsi="Times New Roman" w:eastAsia="Times New Roman" w:cs="Times New Roman"/>
          <w:spacing w:val="8"/>
          <w:sz w:val="24"/>
          <w:szCs w:val="24"/>
        </w:rPr>
        <w:t xml:space="preserve">  </w:t>
      </w:r>
      <w:r>
        <w:rPr>
          <w:spacing w:val="-3"/>
          <w:sz w:val="24"/>
          <w:szCs w:val="24"/>
        </w:rPr>
        <w:t>其他保险</w:t>
      </w:r>
    </w:p>
    <w:p w14:paraId="51355647">
      <w:pPr>
        <w:spacing w:before="120" w:line="227" w:lineRule="auto"/>
        <w:ind w:left="435"/>
        <w:rPr>
          <w:rFonts w:ascii="宋体" w:hAnsi="宋体" w:eastAsia="宋体" w:cs="宋体"/>
          <w:sz w:val="20"/>
          <w:szCs w:val="20"/>
        </w:rPr>
      </w:pPr>
      <w:r>
        <w:rPr>
          <w:rFonts w:ascii="宋体" w:hAnsi="宋体" w:eastAsia="宋体" w:cs="宋体"/>
          <w:spacing w:val="9"/>
          <w:sz w:val="20"/>
          <w:szCs w:val="20"/>
        </w:rPr>
        <w:t>除专用合同条款另有约定外，承包人应为其施工设备、进场的材料和工程设备等办理保险。</w:t>
      </w:r>
    </w:p>
    <w:p w14:paraId="63BC34FF">
      <w:pPr>
        <w:pStyle w:val="2"/>
        <w:spacing w:before="125" w:line="221" w:lineRule="auto"/>
        <w:rPr>
          <w:sz w:val="24"/>
          <w:szCs w:val="24"/>
        </w:rPr>
      </w:pPr>
      <w:r>
        <w:rPr>
          <w:rFonts w:ascii="Times New Roman" w:hAnsi="Times New Roman" w:eastAsia="Times New Roman" w:cs="Times New Roman"/>
          <w:spacing w:val="-1"/>
          <w:sz w:val="24"/>
          <w:szCs w:val="24"/>
        </w:rPr>
        <w:t xml:space="preserve">20.6  </w:t>
      </w:r>
      <w:r>
        <w:rPr>
          <w:spacing w:val="-1"/>
          <w:sz w:val="24"/>
          <w:szCs w:val="24"/>
        </w:rPr>
        <w:t>对各项保险的一般要求</w:t>
      </w:r>
    </w:p>
    <w:p w14:paraId="0B510241">
      <w:pPr>
        <w:pStyle w:val="2"/>
        <w:spacing w:before="122" w:line="229" w:lineRule="auto"/>
        <w:ind w:left="419"/>
        <w:rPr>
          <w:sz w:val="20"/>
          <w:szCs w:val="20"/>
        </w:rPr>
      </w:pPr>
      <w:r>
        <w:rPr>
          <w:rFonts w:ascii="Times New Roman" w:hAnsi="Times New Roman" w:eastAsia="Times New Roman" w:cs="Times New Roman"/>
          <w:spacing w:val="5"/>
          <w:sz w:val="20"/>
          <w:szCs w:val="20"/>
        </w:rPr>
        <w:t xml:space="preserve">20.6.1  </w:t>
      </w:r>
      <w:r>
        <w:rPr>
          <w:spacing w:val="5"/>
          <w:sz w:val="20"/>
          <w:szCs w:val="20"/>
        </w:rPr>
        <w:t>保险凭证</w:t>
      </w:r>
    </w:p>
    <w:p w14:paraId="7073FE8D">
      <w:pPr>
        <w:spacing w:before="133" w:line="350" w:lineRule="auto"/>
        <w:ind w:left="14" w:right="54" w:firstLine="408"/>
        <w:rPr>
          <w:rFonts w:ascii="宋体" w:hAnsi="宋体" w:eastAsia="宋体" w:cs="宋体"/>
          <w:sz w:val="20"/>
          <w:szCs w:val="20"/>
        </w:rPr>
      </w:pPr>
      <w:r>
        <w:rPr>
          <w:rFonts w:ascii="宋体" w:hAnsi="宋体" w:eastAsia="宋体" w:cs="宋体"/>
          <w:spacing w:val="10"/>
          <w:sz w:val="20"/>
          <w:szCs w:val="20"/>
        </w:rPr>
        <w:t>承包人应在专用合同条款约定的期限内向发包人提交各项保险生效的</w:t>
      </w:r>
      <w:r>
        <w:rPr>
          <w:rFonts w:ascii="宋体" w:hAnsi="宋体" w:eastAsia="宋体" w:cs="宋体"/>
          <w:spacing w:val="9"/>
          <w:sz w:val="20"/>
          <w:szCs w:val="20"/>
        </w:rPr>
        <w:t>证据和保险单副本，保</w:t>
      </w:r>
      <w:r>
        <w:rPr>
          <w:rFonts w:ascii="宋体" w:hAnsi="宋体" w:eastAsia="宋体" w:cs="宋体"/>
          <w:spacing w:val="8"/>
          <w:sz w:val="20"/>
          <w:szCs w:val="20"/>
        </w:rPr>
        <w:t>险单必须与专用合同条款约定的条件保持一致。</w:t>
      </w:r>
    </w:p>
    <w:p w14:paraId="21ECC628">
      <w:pPr>
        <w:pStyle w:val="2"/>
        <w:spacing w:before="1" w:line="229" w:lineRule="auto"/>
        <w:ind w:left="419"/>
        <w:rPr>
          <w:sz w:val="20"/>
          <w:szCs w:val="20"/>
        </w:rPr>
      </w:pPr>
      <w:r>
        <w:rPr>
          <w:rFonts w:ascii="Times New Roman" w:hAnsi="Times New Roman" w:eastAsia="Times New Roman" w:cs="Times New Roman"/>
          <w:spacing w:val="6"/>
          <w:sz w:val="20"/>
          <w:szCs w:val="20"/>
        </w:rPr>
        <w:t xml:space="preserve">20.6.2  </w:t>
      </w:r>
      <w:r>
        <w:rPr>
          <w:spacing w:val="6"/>
          <w:sz w:val="20"/>
          <w:szCs w:val="20"/>
        </w:rPr>
        <w:t>保险合同条款的变动</w:t>
      </w:r>
    </w:p>
    <w:p w14:paraId="6E3F00D1">
      <w:pPr>
        <w:spacing w:before="133" w:line="350" w:lineRule="auto"/>
        <w:ind w:left="20" w:right="54" w:firstLine="402"/>
        <w:rPr>
          <w:rFonts w:ascii="宋体" w:hAnsi="宋体" w:eastAsia="宋体" w:cs="宋体"/>
          <w:sz w:val="20"/>
          <w:szCs w:val="20"/>
        </w:rPr>
      </w:pPr>
      <w:r>
        <w:rPr>
          <w:rFonts w:ascii="宋体" w:hAnsi="宋体" w:eastAsia="宋体" w:cs="宋体"/>
          <w:spacing w:val="10"/>
          <w:sz w:val="20"/>
          <w:szCs w:val="20"/>
        </w:rPr>
        <w:t>承包人需要变动保险合同条款时，应事先征得发包人同意，并通知监</w:t>
      </w:r>
      <w:r>
        <w:rPr>
          <w:rFonts w:ascii="宋体" w:hAnsi="宋体" w:eastAsia="宋体" w:cs="宋体"/>
          <w:spacing w:val="9"/>
          <w:sz w:val="20"/>
          <w:szCs w:val="20"/>
        </w:rPr>
        <w:t>理人。保险人作出变动</w:t>
      </w:r>
      <w:r>
        <w:rPr>
          <w:rFonts w:ascii="宋体" w:hAnsi="宋体" w:eastAsia="宋体" w:cs="宋体"/>
          <w:spacing w:val="8"/>
          <w:sz w:val="20"/>
          <w:szCs w:val="20"/>
        </w:rPr>
        <w:t>的，承包人应在收到保险人通知后立即通知发包人和监理人。</w:t>
      </w:r>
    </w:p>
    <w:p w14:paraId="0E772EB8">
      <w:pPr>
        <w:pStyle w:val="2"/>
        <w:spacing w:before="1" w:line="230" w:lineRule="auto"/>
        <w:ind w:left="419"/>
        <w:rPr>
          <w:sz w:val="20"/>
          <w:szCs w:val="20"/>
        </w:rPr>
      </w:pPr>
      <w:r>
        <w:rPr>
          <w:rFonts w:ascii="Times New Roman" w:hAnsi="Times New Roman" w:eastAsia="Times New Roman" w:cs="Times New Roman"/>
          <w:spacing w:val="5"/>
          <w:sz w:val="20"/>
          <w:szCs w:val="20"/>
        </w:rPr>
        <w:t xml:space="preserve">20.6.3  </w:t>
      </w:r>
      <w:r>
        <w:rPr>
          <w:spacing w:val="5"/>
          <w:sz w:val="20"/>
          <w:szCs w:val="20"/>
        </w:rPr>
        <w:t>持续保险</w:t>
      </w:r>
    </w:p>
    <w:p w14:paraId="0C4A8FDA">
      <w:pPr>
        <w:spacing w:before="131" w:line="350" w:lineRule="auto"/>
        <w:ind w:left="4" w:right="54" w:firstLine="418"/>
        <w:rPr>
          <w:rFonts w:ascii="宋体" w:hAnsi="宋体" w:eastAsia="宋体" w:cs="宋体"/>
          <w:sz w:val="20"/>
          <w:szCs w:val="20"/>
        </w:rPr>
      </w:pPr>
      <w:r>
        <w:rPr>
          <w:rFonts w:ascii="宋体" w:hAnsi="宋体" w:eastAsia="宋体" w:cs="宋体"/>
          <w:spacing w:val="10"/>
          <w:sz w:val="20"/>
          <w:szCs w:val="20"/>
        </w:rPr>
        <w:t>承包人应与保险人保持联系，使保险人能够随时了解工程实施中的变</w:t>
      </w:r>
      <w:r>
        <w:rPr>
          <w:rFonts w:ascii="宋体" w:hAnsi="宋体" w:eastAsia="宋体" w:cs="宋体"/>
          <w:spacing w:val="9"/>
          <w:sz w:val="20"/>
          <w:szCs w:val="20"/>
        </w:rPr>
        <w:t>动，并确保按保险合同</w:t>
      </w:r>
      <w:r>
        <w:rPr>
          <w:rFonts w:ascii="宋体" w:hAnsi="宋体" w:eastAsia="宋体" w:cs="宋体"/>
          <w:spacing w:val="7"/>
          <w:sz w:val="20"/>
          <w:szCs w:val="20"/>
        </w:rPr>
        <w:t>条款要求持续保险。</w:t>
      </w:r>
    </w:p>
    <w:p w14:paraId="7221BA07">
      <w:pPr>
        <w:pStyle w:val="2"/>
        <w:spacing w:before="1" w:line="230" w:lineRule="auto"/>
        <w:ind w:left="419"/>
        <w:rPr>
          <w:sz w:val="20"/>
          <w:szCs w:val="20"/>
        </w:rPr>
      </w:pPr>
      <w:r>
        <w:rPr>
          <w:rFonts w:ascii="Times New Roman" w:hAnsi="Times New Roman" w:eastAsia="Times New Roman" w:cs="Times New Roman"/>
          <w:spacing w:val="6"/>
          <w:sz w:val="20"/>
          <w:szCs w:val="20"/>
        </w:rPr>
        <w:t xml:space="preserve">20.6.4  </w:t>
      </w:r>
      <w:r>
        <w:rPr>
          <w:spacing w:val="6"/>
          <w:sz w:val="20"/>
          <w:szCs w:val="20"/>
        </w:rPr>
        <w:t>保险金不足的补偿</w:t>
      </w:r>
    </w:p>
    <w:p w14:paraId="5EAB2ABD">
      <w:pPr>
        <w:spacing w:before="131" w:line="228" w:lineRule="auto"/>
        <w:ind w:left="423"/>
        <w:rPr>
          <w:rFonts w:ascii="宋体" w:hAnsi="宋体" w:eastAsia="宋体" w:cs="宋体"/>
          <w:sz w:val="20"/>
          <w:szCs w:val="20"/>
        </w:rPr>
      </w:pPr>
      <w:r>
        <w:rPr>
          <w:rFonts w:ascii="宋体" w:hAnsi="宋体" w:eastAsia="宋体" w:cs="宋体"/>
          <w:spacing w:val="9"/>
          <w:sz w:val="20"/>
          <w:szCs w:val="20"/>
        </w:rPr>
        <w:t>保险金不足以补偿损失的，应由承包人和（或）发包人按合同约定负责补偿。</w:t>
      </w:r>
    </w:p>
    <w:p w14:paraId="5EFD7C00">
      <w:pPr>
        <w:pStyle w:val="2"/>
        <w:spacing w:before="133" w:line="231" w:lineRule="auto"/>
        <w:ind w:left="419"/>
        <w:rPr>
          <w:sz w:val="20"/>
          <w:szCs w:val="20"/>
        </w:rPr>
      </w:pPr>
      <w:r>
        <w:rPr>
          <w:rFonts w:ascii="Times New Roman" w:hAnsi="Times New Roman" w:eastAsia="Times New Roman" w:cs="Times New Roman"/>
          <w:spacing w:val="6"/>
          <w:sz w:val="20"/>
          <w:szCs w:val="20"/>
        </w:rPr>
        <w:t xml:space="preserve">20.6.5  </w:t>
      </w:r>
      <w:r>
        <w:rPr>
          <w:spacing w:val="6"/>
          <w:sz w:val="20"/>
          <w:szCs w:val="20"/>
        </w:rPr>
        <w:t>未按约定投保的补救</w:t>
      </w:r>
    </w:p>
    <w:p w14:paraId="536C0D4E">
      <w:pPr>
        <w:spacing w:before="129" w:line="351" w:lineRule="auto"/>
        <w:ind w:left="6" w:right="56" w:firstLine="426"/>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）由于负有投保义务的一方当事人未按合同约定办理保险，或未能使</w:t>
      </w:r>
      <w:r>
        <w:rPr>
          <w:rFonts w:ascii="宋体" w:hAnsi="宋体" w:eastAsia="宋体" w:cs="宋体"/>
          <w:spacing w:val="6"/>
          <w:sz w:val="20"/>
          <w:szCs w:val="20"/>
        </w:rPr>
        <w:t>保险持续有效的，另</w:t>
      </w:r>
      <w:r>
        <w:rPr>
          <w:rFonts w:ascii="宋体" w:hAnsi="宋体" w:eastAsia="宋体" w:cs="宋体"/>
          <w:spacing w:val="9"/>
          <w:sz w:val="20"/>
          <w:szCs w:val="20"/>
        </w:rPr>
        <w:t>一方当事人可代为办理，所需费用由对方当事人承担。</w:t>
      </w:r>
    </w:p>
    <w:p w14:paraId="70E8FED3">
      <w:pPr>
        <w:spacing w:line="351" w:lineRule="auto"/>
        <w:ind w:left="4" w:right="54" w:firstLine="42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）由于负有投保义务的一方当事人未按合同约定办理某项保险，导致受益</w:t>
      </w:r>
      <w:r>
        <w:rPr>
          <w:rFonts w:ascii="宋体" w:hAnsi="宋体" w:eastAsia="宋体" w:cs="宋体"/>
          <w:spacing w:val="6"/>
          <w:sz w:val="20"/>
          <w:szCs w:val="20"/>
        </w:rPr>
        <w:t>人未能得到保险</w:t>
      </w:r>
      <w:r>
        <w:rPr>
          <w:rFonts w:ascii="宋体" w:hAnsi="宋体" w:eastAsia="宋体" w:cs="宋体"/>
          <w:spacing w:val="9"/>
          <w:sz w:val="20"/>
          <w:szCs w:val="20"/>
        </w:rPr>
        <w:t>人的赔偿，原应从该项保险得到的保险金应由负有投保义务的一方当事人支付。</w:t>
      </w:r>
    </w:p>
    <w:p w14:paraId="1A0136FD">
      <w:pPr>
        <w:pStyle w:val="2"/>
        <w:spacing w:before="1" w:line="229" w:lineRule="auto"/>
        <w:ind w:left="419"/>
        <w:rPr>
          <w:sz w:val="20"/>
          <w:szCs w:val="20"/>
        </w:rPr>
      </w:pPr>
      <w:r>
        <w:rPr>
          <w:rFonts w:ascii="Times New Roman" w:hAnsi="Times New Roman" w:eastAsia="Times New Roman" w:cs="Times New Roman"/>
          <w:spacing w:val="5"/>
          <w:sz w:val="20"/>
          <w:szCs w:val="20"/>
        </w:rPr>
        <w:t xml:space="preserve">20.6.6  </w:t>
      </w:r>
      <w:r>
        <w:rPr>
          <w:spacing w:val="5"/>
          <w:sz w:val="20"/>
          <w:szCs w:val="20"/>
        </w:rPr>
        <w:t>报告义务</w:t>
      </w:r>
    </w:p>
    <w:p w14:paraId="52FF7AFF">
      <w:pPr>
        <w:spacing w:before="148" w:line="226" w:lineRule="auto"/>
        <w:ind w:left="436"/>
        <w:rPr>
          <w:rFonts w:ascii="宋体" w:hAnsi="宋体" w:eastAsia="宋体" w:cs="宋体"/>
          <w:sz w:val="20"/>
          <w:szCs w:val="20"/>
        </w:rPr>
      </w:pPr>
      <w:r>
        <w:rPr>
          <w:rFonts w:ascii="宋体" w:hAnsi="宋体" w:eastAsia="宋体" w:cs="宋体"/>
          <w:spacing w:val="9"/>
          <w:sz w:val="20"/>
          <w:szCs w:val="20"/>
        </w:rPr>
        <w:t>当保险事故发生时，投保人应按照保险单规定的条件和期限及时向保险人报告。</w:t>
      </w:r>
    </w:p>
    <w:p w14:paraId="0ACD970C">
      <w:pPr>
        <w:spacing w:line="226" w:lineRule="auto"/>
        <w:rPr>
          <w:rFonts w:ascii="宋体" w:hAnsi="宋体" w:eastAsia="宋体" w:cs="宋体"/>
          <w:sz w:val="20"/>
          <w:szCs w:val="20"/>
        </w:rPr>
        <w:sectPr>
          <w:footerReference r:id="rId190" w:type="default"/>
          <w:pgSz w:w="11906" w:h="16839"/>
          <w:pgMar w:top="400" w:right="1500" w:bottom="1038" w:left="1536" w:header="0" w:footer="787" w:gutter="0"/>
          <w:cols w:space="720" w:num="1"/>
        </w:sectPr>
      </w:pPr>
    </w:p>
    <w:p w14:paraId="642F102C">
      <w:pPr>
        <w:spacing w:line="249" w:lineRule="auto"/>
        <w:rPr>
          <w:rFonts w:ascii="Arial"/>
          <w:sz w:val="21"/>
        </w:rPr>
      </w:pPr>
    </w:p>
    <w:p w14:paraId="6D1887B7">
      <w:pPr>
        <w:spacing w:line="250" w:lineRule="auto"/>
        <w:rPr>
          <w:rFonts w:ascii="Arial"/>
          <w:sz w:val="21"/>
        </w:rPr>
      </w:pPr>
    </w:p>
    <w:p w14:paraId="4D0AA026">
      <w:pPr>
        <w:spacing w:line="250" w:lineRule="auto"/>
        <w:rPr>
          <w:rFonts w:ascii="Arial"/>
          <w:sz w:val="21"/>
        </w:rPr>
      </w:pPr>
    </w:p>
    <w:p w14:paraId="73CC1A43">
      <w:pPr>
        <w:spacing w:line="250" w:lineRule="auto"/>
        <w:rPr>
          <w:rFonts w:ascii="Arial"/>
          <w:sz w:val="21"/>
        </w:rPr>
      </w:pPr>
    </w:p>
    <w:p w14:paraId="2454E2B1">
      <w:pPr>
        <w:pStyle w:val="2"/>
        <w:spacing w:before="91" w:line="222" w:lineRule="auto"/>
        <w:outlineLvl w:val="2"/>
        <w:rPr>
          <w:sz w:val="28"/>
          <w:szCs w:val="28"/>
        </w:rPr>
      </w:pPr>
      <w:bookmarkStart w:id="234" w:name="bookmark215"/>
      <w:bookmarkEnd w:id="234"/>
      <w:r>
        <w:rPr>
          <w:rFonts w:ascii="Times New Roman" w:hAnsi="Times New Roman" w:eastAsia="Times New Roman" w:cs="Times New Roman"/>
          <w:spacing w:val="-3"/>
          <w:sz w:val="28"/>
          <w:szCs w:val="28"/>
        </w:rPr>
        <w:t>21.</w:t>
      </w:r>
      <w:r>
        <w:rPr>
          <w:rFonts w:ascii="Times New Roman" w:hAnsi="Times New Roman" w:eastAsia="Times New Roman" w:cs="Times New Roman"/>
          <w:spacing w:val="7"/>
          <w:sz w:val="28"/>
          <w:szCs w:val="28"/>
        </w:rPr>
        <w:t xml:space="preserve">  </w:t>
      </w:r>
      <w:r>
        <w:rPr>
          <w:spacing w:val="-3"/>
          <w:sz w:val="28"/>
          <w:szCs w:val="28"/>
        </w:rPr>
        <w:t>不可抗力</w:t>
      </w:r>
    </w:p>
    <w:p w14:paraId="1BA11AD4">
      <w:pPr>
        <w:pStyle w:val="2"/>
        <w:spacing w:before="99" w:line="221" w:lineRule="auto"/>
        <w:rPr>
          <w:sz w:val="24"/>
          <w:szCs w:val="24"/>
        </w:rPr>
      </w:pPr>
      <w:r>
        <w:rPr>
          <w:rFonts w:ascii="Times New Roman" w:hAnsi="Times New Roman" w:eastAsia="Times New Roman" w:cs="Times New Roman"/>
          <w:spacing w:val="-1"/>
          <w:sz w:val="24"/>
          <w:szCs w:val="24"/>
        </w:rPr>
        <w:t xml:space="preserve">21.1  </w:t>
      </w:r>
      <w:r>
        <w:rPr>
          <w:spacing w:val="-1"/>
          <w:sz w:val="24"/>
          <w:szCs w:val="24"/>
        </w:rPr>
        <w:t>不可抗力的确认</w:t>
      </w:r>
    </w:p>
    <w:p w14:paraId="4B0A1553">
      <w:pPr>
        <w:spacing w:before="138" w:line="369" w:lineRule="auto"/>
        <w:ind w:left="3" w:firstLine="415"/>
        <w:rPr>
          <w:rFonts w:ascii="宋体" w:hAnsi="宋体" w:eastAsia="宋体" w:cs="宋体"/>
          <w:sz w:val="20"/>
          <w:szCs w:val="20"/>
        </w:rPr>
      </w:pPr>
      <w:r>
        <w:rPr>
          <w:rFonts w:ascii="Times New Roman" w:hAnsi="Times New Roman" w:eastAsia="Times New Roman" w:cs="Times New Roman"/>
          <w:spacing w:val="8"/>
          <w:sz w:val="20"/>
          <w:szCs w:val="20"/>
        </w:rPr>
        <w:t>21.</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8"/>
          <w:sz w:val="20"/>
          <w:szCs w:val="20"/>
        </w:rPr>
        <w:t xml:space="preserve">1.1  </w:t>
      </w:r>
      <w:r>
        <w:rPr>
          <w:rFonts w:ascii="宋体" w:hAnsi="宋体" w:eastAsia="宋体" w:cs="宋体"/>
          <w:spacing w:val="8"/>
          <w:sz w:val="20"/>
          <w:szCs w:val="20"/>
        </w:rPr>
        <w:t>不可抗力是指承包人和发包人在订立合同时不可预见，在工程施工过程中不可避免发</w:t>
      </w:r>
      <w:r>
        <w:rPr>
          <w:rFonts w:ascii="宋体" w:hAnsi="宋体" w:eastAsia="宋体" w:cs="宋体"/>
          <w:spacing w:val="10"/>
          <w:sz w:val="20"/>
          <w:szCs w:val="20"/>
        </w:rPr>
        <w:t>生并不能克服的自然灾害和社会性突发事件，如地震、海啸、瘟疫、水</w:t>
      </w:r>
      <w:r>
        <w:rPr>
          <w:rFonts w:ascii="宋体" w:hAnsi="宋体" w:eastAsia="宋体" w:cs="宋体"/>
          <w:spacing w:val="9"/>
          <w:sz w:val="20"/>
          <w:szCs w:val="20"/>
        </w:rPr>
        <w:t>灾、骚乱、暴动、战争和</w:t>
      </w:r>
      <w:r>
        <w:rPr>
          <w:rFonts w:ascii="宋体" w:hAnsi="宋体" w:eastAsia="宋体" w:cs="宋体"/>
          <w:spacing w:val="8"/>
          <w:sz w:val="20"/>
          <w:szCs w:val="20"/>
        </w:rPr>
        <w:t>专用合同条款约定的其他情形。</w:t>
      </w:r>
    </w:p>
    <w:p w14:paraId="3849D075">
      <w:pPr>
        <w:spacing w:line="361" w:lineRule="auto"/>
        <w:ind w:left="3" w:right="2" w:firstLine="416"/>
        <w:rPr>
          <w:rFonts w:ascii="宋体" w:hAnsi="宋体" w:eastAsia="宋体" w:cs="宋体"/>
          <w:sz w:val="20"/>
          <w:szCs w:val="20"/>
        </w:rPr>
      </w:pPr>
      <w:r>
        <w:rPr>
          <w:rFonts w:ascii="Times New Roman" w:hAnsi="Times New Roman" w:eastAsia="Times New Roman" w:cs="Times New Roman"/>
          <w:spacing w:val="8"/>
          <w:sz w:val="20"/>
          <w:szCs w:val="20"/>
        </w:rPr>
        <w:t>21.</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8"/>
          <w:sz w:val="20"/>
          <w:szCs w:val="20"/>
        </w:rPr>
        <w:t xml:space="preserve">1.2  </w:t>
      </w:r>
      <w:r>
        <w:rPr>
          <w:rFonts w:ascii="宋体" w:hAnsi="宋体" w:eastAsia="宋体" w:cs="宋体"/>
          <w:spacing w:val="8"/>
          <w:sz w:val="20"/>
          <w:szCs w:val="20"/>
        </w:rPr>
        <w:t>不可抗力发生后，发包人和承包人应及时认真统计所造成的损失，收集不可抗力造成</w:t>
      </w:r>
      <w:r>
        <w:rPr>
          <w:rFonts w:ascii="宋体" w:hAnsi="宋体" w:eastAsia="宋体" w:cs="宋体"/>
          <w:spacing w:val="9"/>
          <w:sz w:val="20"/>
          <w:szCs w:val="20"/>
        </w:rPr>
        <w:t>损失的证据。合同双方对是否属于不可抗力或其损失的意见不一致的，</w:t>
      </w:r>
      <w:r>
        <w:rPr>
          <w:rFonts w:ascii="宋体" w:hAnsi="宋体" w:eastAsia="宋体" w:cs="宋体"/>
          <w:spacing w:val="-49"/>
          <w:sz w:val="20"/>
          <w:szCs w:val="20"/>
        </w:rPr>
        <w:t xml:space="preserve"> </w:t>
      </w:r>
      <w:r>
        <w:rPr>
          <w:rFonts w:ascii="宋体" w:hAnsi="宋体" w:eastAsia="宋体" w:cs="宋体"/>
          <w:spacing w:val="9"/>
          <w:sz w:val="20"/>
          <w:szCs w:val="20"/>
        </w:rPr>
        <w:t>由监理人按第</w:t>
      </w:r>
      <w:r>
        <w:rPr>
          <w:rFonts w:ascii="宋体" w:hAnsi="宋体" w:eastAsia="宋体" w:cs="宋体"/>
          <w:spacing w:val="-39"/>
          <w:sz w:val="20"/>
          <w:szCs w:val="20"/>
        </w:rPr>
        <w:t xml:space="preserve"> </w:t>
      </w:r>
      <w:r>
        <w:rPr>
          <w:rFonts w:ascii="Times New Roman" w:hAnsi="Times New Roman" w:eastAsia="Times New Roman" w:cs="Times New Roman"/>
          <w:spacing w:val="9"/>
          <w:sz w:val="20"/>
          <w:szCs w:val="20"/>
        </w:rPr>
        <w:t xml:space="preserve">3.5 </w:t>
      </w:r>
      <w:r>
        <w:rPr>
          <w:rFonts w:ascii="宋体" w:hAnsi="宋体" w:eastAsia="宋体" w:cs="宋体"/>
          <w:spacing w:val="9"/>
          <w:sz w:val="20"/>
          <w:szCs w:val="20"/>
        </w:rPr>
        <w:t>款商定</w:t>
      </w:r>
      <w:r>
        <w:rPr>
          <w:rFonts w:ascii="宋体" w:hAnsi="宋体" w:eastAsia="宋体" w:cs="宋体"/>
          <w:spacing w:val="8"/>
          <w:sz w:val="20"/>
          <w:szCs w:val="20"/>
        </w:rPr>
        <w:t>或确定。发生争议时，按第</w:t>
      </w:r>
      <w:r>
        <w:rPr>
          <w:rFonts w:ascii="宋体" w:hAnsi="宋体" w:eastAsia="宋体" w:cs="宋体"/>
          <w:spacing w:val="-40"/>
          <w:sz w:val="20"/>
          <w:szCs w:val="20"/>
        </w:rPr>
        <w:t xml:space="preserve"> </w:t>
      </w: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条的约定</w:t>
      </w:r>
      <w:r>
        <w:rPr>
          <w:rFonts w:ascii="宋体" w:hAnsi="宋体" w:eastAsia="宋体" w:cs="宋体"/>
          <w:spacing w:val="7"/>
          <w:sz w:val="20"/>
          <w:szCs w:val="20"/>
        </w:rPr>
        <w:t>办理。</w:t>
      </w:r>
    </w:p>
    <w:p w14:paraId="14CE3EF3">
      <w:pPr>
        <w:pStyle w:val="2"/>
        <w:spacing w:before="1" w:line="220" w:lineRule="auto"/>
        <w:rPr>
          <w:sz w:val="24"/>
          <w:szCs w:val="24"/>
        </w:rPr>
      </w:pPr>
      <w:r>
        <w:rPr>
          <w:rFonts w:ascii="Times New Roman" w:hAnsi="Times New Roman" w:eastAsia="Times New Roman" w:cs="Times New Roman"/>
          <w:spacing w:val="-1"/>
          <w:sz w:val="24"/>
          <w:szCs w:val="24"/>
        </w:rPr>
        <w:t xml:space="preserve">21.2  </w:t>
      </w:r>
      <w:r>
        <w:rPr>
          <w:spacing w:val="-1"/>
          <w:sz w:val="24"/>
          <w:szCs w:val="24"/>
        </w:rPr>
        <w:t>不可抗力的通知</w:t>
      </w:r>
    </w:p>
    <w:p w14:paraId="518C9086">
      <w:pPr>
        <w:spacing w:before="139" w:line="369" w:lineRule="auto"/>
        <w:ind w:left="8" w:right="2" w:firstLine="411"/>
        <w:rPr>
          <w:rFonts w:ascii="宋体" w:hAnsi="宋体" w:eastAsia="宋体" w:cs="宋体"/>
          <w:sz w:val="20"/>
          <w:szCs w:val="20"/>
        </w:rPr>
      </w:pPr>
      <w:r>
        <w:rPr>
          <w:rFonts w:ascii="Times New Roman" w:hAnsi="Times New Roman" w:eastAsia="Times New Roman" w:cs="Times New Roman"/>
          <w:spacing w:val="9"/>
          <w:sz w:val="20"/>
          <w:szCs w:val="20"/>
        </w:rPr>
        <w:t xml:space="preserve">21.2.1  </w:t>
      </w:r>
      <w:r>
        <w:rPr>
          <w:rFonts w:ascii="宋体" w:hAnsi="宋体" w:eastAsia="宋体" w:cs="宋体"/>
          <w:spacing w:val="9"/>
          <w:sz w:val="20"/>
          <w:szCs w:val="20"/>
        </w:rPr>
        <w:t>合同一方当事人遇到不可抗力事件，使其履行合同义务</w:t>
      </w:r>
      <w:r>
        <w:rPr>
          <w:rFonts w:ascii="宋体" w:hAnsi="宋体" w:eastAsia="宋体" w:cs="宋体"/>
          <w:spacing w:val="8"/>
          <w:sz w:val="20"/>
          <w:szCs w:val="20"/>
        </w:rPr>
        <w:t>受到阻碍时，应立即通知合同</w:t>
      </w:r>
      <w:r>
        <w:rPr>
          <w:rFonts w:ascii="宋体" w:hAnsi="宋体" w:eastAsia="宋体" w:cs="宋体"/>
          <w:spacing w:val="9"/>
          <w:sz w:val="20"/>
          <w:szCs w:val="20"/>
        </w:rPr>
        <w:t>另一方当事人和监理人，书面说明不可抗力和受阻碍的详细情况，并提供必要的证明。</w:t>
      </w:r>
    </w:p>
    <w:p w14:paraId="47AAF9DE">
      <w:pPr>
        <w:spacing w:before="1" w:line="361" w:lineRule="auto"/>
        <w:ind w:left="1" w:right="2" w:firstLine="417"/>
        <w:rPr>
          <w:rFonts w:ascii="宋体" w:hAnsi="宋体" w:eastAsia="宋体" w:cs="宋体"/>
          <w:sz w:val="20"/>
          <w:szCs w:val="20"/>
        </w:rPr>
      </w:pPr>
      <w:r>
        <w:rPr>
          <w:rFonts w:ascii="Times New Roman" w:hAnsi="Times New Roman" w:eastAsia="Times New Roman" w:cs="Times New Roman"/>
          <w:spacing w:val="9"/>
          <w:sz w:val="20"/>
          <w:szCs w:val="20"/>
        </w:rPr>
        <w:t xml:space="preserve">21.2.2  </w:t>
      </w:r>
      <w:r>
        <w:rPr>
          <w:rFonts w:ascii="宋体" w:hAnsi="宋体" w:eastAsia="宋体" w:cs="宋体"/>
          <w:spacing w:val="9"/>
          <w:sz w:val="20"/>
          <w:szCs w:val="20"/>
        </w:rPr>
        <w:t>如不可抗力持续发生，合同一方当事人应及时向合同另</w:t>
      </w:r>
      <w:r>
        <w:rPr>
          <w:rFonts w:ascii="宋体" w:hAnsi="宋体" w:eastAsia="宋体" w:cs="宋体"/>
          <w:spacing w:val="8"/>
          <w:sz w:val="20"/>
          <w:szCs w:val="20"/>
        </w:rPr>
        <w:t>一方当事人和监理人提交中间</w:t>
      </w:r>
      <w:r>
        <w:rPr>
          <w:rFonts w:ascii="宋体" w:hAnsi="宋体" w:eastAsia="宋体" w:cs="宋体"/>
          <w:spacing w:val="7"/>
          <w:sz w:val="20"/>
          <w:szCs w:val="20"/>
        </w:rPr>
        <w:t>报告，说明不可抗力和履行合同受阻的情况，并于不可抗力事件结束后</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28 </w:t>
      </w:r>
      <w:r>
        <w:rPr>
          <w:rFonts w:ascii="宋体" w:hAnsi="宋体" w:eastAsia="宋体" w:cs="宋体"/>
          <w:spacing w:val="7"/>
          <w:sz w:val="20"/>
          <w:szCs w:val="20"/>
        </w:rPr>
        <w:t>天内提交最</w:t>
      </w:r>
      <w:r>
        <w:rPr>
          <w:rFonts w:ascii="宋体" w:hAnsi="宋体" w:eastAsia="宋体" w:cs="宋体"/>
          <w:spacing w:val="6"/>
          <w:sz w:val="20"/>
          <w:szCs w:val="20"/>
        </w:rPr>
        <w:t>终报告及有</w:t>
      </w:r>
      <w:r>
        <w:rPr>
          <w:rFonts w:ascii="宋体" w:hAnsi="宋体" w:eastAsia="宋体" w:cs="宋体"/>
          <w:spacing w:val="5"/>
          <w:sz w:val="20"/>
          <w:szCs w:val="20"/>
        </w:rPr>
        <w:t>关资料。</w:t>
      </w:r>
    </w:p>
    <w:p w14:paraId="4DBC461A">
      <w:pPr>
        <w:pStyle w:val="2"/>
        <w:spacing w:before="1" w:line="220" w:lineRule="auto"/>
        <w:rPr>
          <w:sz w:val="24"/>
          <w:szCs w:val="24"/>
        </w:rPr>
      </w:pPr>
      <w:r>
        <w:rPr>
          <w:rFonts w:ascii="Times New Roman" w:hAnsi="Times New Roman" w:eastAsia="Times New Roman" w:cs="Times New Roman"/>
          <w:spacing w:val="-1"/>
          <w:sz w:val="24"/>
          <w:szCs w:val="24"/>
        </w:rPr>
        <w:t xml:space="preserve">21.3  </w:t>
      </w:r>
      <w:r>
        <w:rPr>
          <w:spacing w:val="-1"/>
          <w:sz w:val="24"/>
          <w:szCs w:val="24"/>
        </w:rPr>
        <w:t>不可抗力后果及其处理</w:t>
      </w:r>
    </w:p>
    <w:p w14:paraId="1D206EB8">
      <w:pPr>
        <w:pStyle w:val="2"/>
        <w:spacing w:before="124" w:line="229" w:lineRule="auto"/>
        <w:ind w:left="419"/>
        <w:rPr>
          <w:sz w:val="20"/>
          <w:szCs w:val="20"/>
        </w:rPr>
      </w:pPr>
      <w:r>
        <w:rPr>
          <w:rFonts w:ascii="Times New Roman" w:hAnsi="Times New Roman" w:eastAsia="Times New Roman" w:cs="Times New Roman"/>
          <w:spacing w:val="7"/>
          <w:sz w:val="20"/>
          <w:szCs w:val="20"/>
        </w:rPr>
        <w:t xml:space="preserve">21.3.1  </w:t>
      </w:r>
      <w:r>
        <w:rPr>
          <w:spacing w:val="7"/>
          <w:sz w:val="20"/>
          <w:szCs w:val="20"/>
        </w:rPr>
        <w:t>不可抗力造成损害的责任</w:t>
      </w:r>
    </w:p>
    <w:p w14:paraId="1F036DBA">
      <w:pPr>
        <w:spacing w:before="147" w:line="369" w:lineRule="auto"/>
        <w:ind w:left="3" w:firstLine="431"/>
        <w:rPr>
          <w:rFonts w:ascii="宋体" w:hAnsi="宋体" w:eastAsia="宋体" w:cs="宋体"/>
          <w:sz w:val="20"/>
          <w:szCs w:val="20"/>
        </w:rPr>
      </w:pPr>
      <w:r>
        <w:rPr>
          <w:rFonts w:ascii="宋体" w:hAnsi="宋体" w:eastAsia="宋体" w:cs="宋体"/>
          <w:spacing w:val="9"/>
          <w:sz w:val="20"/>
          <w:szCs w:val="20"/>
        </w:rPr>
        <w:t>除专用合同条款另有约定外，不可抗力导致的人员伤亡、财产损失、费用增加和（或）工期</w:t>
      </w:r>
      <w:r>
        <w:rPr>
          <w:rFonts w:ascii="宋体" w:hAnsi="宋体" w:eastAsia="宋体" w:cs="宋体"/>
          <w:spacing w:val="6"/>
          <w:sz w:val="20"/>
          <w:szCs w:val="20"/>
        </w:rPr>
        <w:t>延误等后果，</w:t>
      </w:r>
      <w:r>
        <w:rPr>
          <w:rFonts w:ascii="宋体" w:hAnsi="宋体" w:eastAsia="宋体" w:cs="宋体"/>
          <w:spacing w:val="-47"/>
          <w:sz w:val="20"/>
          <w:szCs w:val="20"/>
        </w:rPr>
        <w:t xml:space="preserve"> </w:t>
      </w:r>
      <w:r>
        <w:rPr>
          <w:rFonts w:ascii="宋体" w:hAnsi="宋体" w:eastAsia="宋体" w:cs="宋体"/>
          <w:spacing w:val="6"/>
          <w:sz w:val="20"/>
          <w:szCs w:val="20"/>
        </w:rPr>
        <w:t>由合同双方按以下原则承担：</w:t>
      </w:r>
    </w:p>
    <w:p w14:paraId="2B817B38">
      <w:pPr>
        <w:spacing w:before="2" w:line="369" w:lineRule="auto"/>
        <w:ind w:left="3" w:right="2" w:firstLine="727"/>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）永久工程，包括已运至施工场地的材料和工程设备的损害</w:t>
      </w:r>
      <w:r>
        <w:rPr>
          <w:rFonts w:ascii="宋体" w:hAnsi="宋体" w:eastAsia="宋体" w:cs="宋体"/>
          <w:spacing w:val="8"/>
          <w:sz w:val="20"/>
          <w:szCs w:val="20"/>
        </w:rPr>
        <w:t>，</w:t>
      </w:r>
      <w:r>
        <w:rPr>
          <w:rFonts w:ascii="宋体" w:hAnsi="宋体" w:eastAsia="宋体" w:cs="宋体"/>
          <w:spacing w:val="-60"/>
          <w:sz w:val="20"/>
          <w:szCs w:val="20"/>
        </w:rPr>
        <w:t xml:space="preserve"> </w:t>
      </w:r>
      <w:r>
        <w:rPr>
          <w:rFonts w:ascii="宋体" w:hAnsi="宋体" w:eastAsia="宋体" w:cs="宋体"/>
          <w:spacing w:val="8"/>
          <w:sz w:val="20"/>
          <w:szCs w:val="20"/>
        </w:rPr>
        <w:t>以及因工程损害造成的第三者人员伤亡和财产损失由发包人承担；</w:t>
      </w:r>
    </w:p>
    <w:p w14:paraId="5102B9B1">
      <w:pPr>
        <w:spacing w:before="1" w:line="227" w:lineRule="auto"/>
        <w:ind w:left="7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）承包人设备的损坏由承包人承担；</w:t>
      </w:r>
    </w:p>
    <w:p w14:paraId="2B9ABC2B">
      <w:pPr>
        <w:spacing w:before="151" w:line="228" w:lineRule="auto"/>
        <w:ind w:left="7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）发包人和承包人各自承担其人员伤亡和其他财产损失及其</w:t>
      </w:r>
      <w:r>
        <w:rPr>
          <w:rFonts w:ascii="宋体" w:hAnsi="宋体" w:eastAsia="宋体" w:cs="宋体"/>
          <w:spacing w:val="8"/>
          <w:sz w:val="20"/>
          <w:szCs w:val="20"/>
        </w:rPr>
        <w:t>相关费用；</w:t>
      </w:r>
    </w:p>
    <w:p w14:paraId="05265EC0">
      <w:pPr>
        <w:spacing w:before="154" w:line="369" w:lineRule="auto"/>
        <w:ind w:left="5" w:right="2" w:firstLine="725"/>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4</w:t>
      </w:r>
      <w:r>
        <w:rPr>
          <w:rFonts w:ascii="宋体" w:hAnsi="宋体" w:eastAsia="宋体" w:cs="宋体"/>
          <w:spacing w:val="10"/>
          <w:sz w:val="20"/>
          <w:szCs w:val="20"/>
        </w:rPr>
        <w:t>）承包人的停工损失由承包人承担，但停工期间应监理人要求</w:t>
      </w:r>
      <w:r>
        <w:rPr>
          <w:rFonts w:ascii="宋体" w:hAnsi="宋体" w:eastAsia="宋体" w:cs="宋体"/>
          <w:spacing w:val="9"/>
          <w:sz w:val="20"/>
          <w:szCs w:val="20"/>
        </w:rPr>
        <w:t>照管工程和清理、修复</w:t>
      </w:r>
      <w:r>
        <w:rPr>
          <w:rFonts w:ascii="宋体" w:hAnsi="宋体" w:eastAsia="宋体" w:cs="宋体"/>
          <w:spacing w:val="8"/>
          <w:sz w:val="20"/>
          <w:szCs w:val="20"/>
        </w:rPr>
        <w:t>工程的金额由发包人承担；</w:t>
      </w:r>
    </w:p>
    <w:p w14:paraId="444E7D03">
      <w:pPr>
        <w:spacing w:before="2" w:line="369" w:lineRule="auto"/>
        <w:ind w:left="2" w:right="2" w:firstLine="728"/>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5</w:t>
      </w:r>
      <w:r>
        <w:rPr>
          <w:rFonts w:ascii="宋体" w:hAnsi="宋体" w:eastAsia="宋体" w:cs="宋体"/>
          <w:spacing w:val="10"/>
          <w:sz w:val="20"/>
          <w:szCs w:val="20"/>
        </w:rPr>
        <w:t>）不能按期竣工的，应合理延长工期，承包人不需支付逾期竣</w:t>
      </w:r>
      <w:r>
        <w:rPr>
          <w:rFonts w:ascii="宋体" w:hAnsi="宋体" w:eastAsia="宋体" w:cs="宋体"/>
          <w:spacing w:val="9"/>
          <w:sz w:val="20"/>
          <w:szCs w:val="20"/>
        </w:rPr>
        <w:t>工违约金。发包人要求赶工的，承包人应采取赶工措施，赶工费用由发包人承担。</w:t>
      </w:r>
    </w:p>
    <w:p w14:paraId="69142264">
      <w:pPr>
        <w:pStyle w:val="2"/>
        <w:spacing w:line="229" w:lineRule="auto"/>
        <w:ind w:left="419"/>
        <w:rPr>
          <w:sz w:val="20"/>
          <w:szCs w:val="20"/>
        </w:rPr>
      </w:pPr>
      <w:r>
        <w:rPr>
          <w:rFonts w:ascii="Times New Roman" w:hAnsi="Times New Roman" w:eastAsia="Times New Roman" w:cs="Times New Roman"/>
          <w:spacing w:val="7"/>
          <w:sz w:val="20"/>
          <w:szCs w:val="20"/>
        </w:rPr>
        <w:t xml:space="preserve">21.3.2  </w:t>
      </w:r>
      <w:r>
        <w:rPr>
          <w:spacing w:val="7"/>
          <w:sz w:val="20"/>
          <w:szCs w:val="20"/>
        </w:rPr>
        <w:t>延迟履行期间发生的不可抗力</w:t>
      </w:r>
    </w:p>
    <w:p w14:paraId="08EB17B5">
      <w:pPr>
        <w:spacing w:before="150" w:line="228" w:lineRule="auto"/>
        <w:ind w:left="423"/>
        <w:rPr>
          <w:rFonts w:ascii="宋体" w:hAnsi="宋体" w:eastAsia="宋体" w:cs="宋体"/>
          <w:sz w:val="20"/>
          <w:szCs w:val="20"/>
        </w:rPr>
      </w:pPr>
      <w:r>
        <w:rPr>
          <w:rFonts w:ascii="宋体" w:hAnsi="宋体" w:eastAsia="宋体" w:cs="宋体"/>
          <w:spacing w:val="9"/>
          <w:sz w:val="20"/>
          <w:szCs w:val="20"/>
        </w:rPr>
        <w:t>合同一方当事人延迟履行，在延迟履行期间发生不可抗力的，不免除其责任。</w:t>
      </w:r>
    </w:p>
    <w:p w14:paraId="2EE69E91">
      <w:pPr>
        <w:pStyle w:val="2"/>
        <w:spacing w:before="155" w:line="229" w:lineRule="auto"/>
        <w:ind w:left="419"/>
        <w:rPr>
          <w:sz w:val="20"/>
          <w:szCs w:val="20"/>
        </w:rPr>
      </w:pPr>
      <w:r>
        <w:rPr>
          <w:rFonts w:ascii="Times New Roman" w:hAnsi="Times New Roman" w:eastAsia="Times New Roman" w:cs="Times New Roman"/>
          <w:spacing w:val="7"/>
          <w:sz w:val="20"/>
          <w:szCs w:val="20"/>
        </w:rPr>
        <w:t xml:space="preserve">21.3.3  </w:t>
      </w:r>
      <w:r>
        <w:rPr>
          <w:spacing w:val="7"/>
          <w:sz w:val="20"/>
          <w:szCs w:val="20"/>
        </w:rPr>
        <w:t>避免和减少不可抗力损失</w:t>
      </w:r>
    </w:p>
    <w:p w14:paraId="2E00CCA1">
      <w:pPr>
        <w:spacing w:before="152" w:line="369" w:lineRule="auto"/>
        <w:ind w:left="2" w:firstLine="424"/>
        <w:rPr>
          <w:rFonts w:ascii="宋体" w:hAnsi="宋体" w:eastAsia="宋体" w:cs="宋体"/>
          <w:sz w:val="20"/>
          <w:szCs w:val="20"/>
        </w:rPr>
      </w:pPr>
      <w:r>
        <w:rPr>
          <w:rFonts w:ascii="宋体" w:hAnsi="宋体" w:eastAsia="宋体" w:cs="宋体"/>
          <w:spacing w:val="10"/>
          <w:sz w:val="20"/>
          <w:szCs w:val="20"/>
        </w:rPr>
        <w:t>不可抗力发生后，发包人和承包人均应采取措施尽量避免和减</w:t>
      </w:r>
      <w:r>
        <w:rPr>
          <w:rFonts w:ascii="宋体" w:hAnsi="宋体" w:eastAsia="宋体" w:cs="宋体"/>
          <w:spacing w:val="9"/>
          <w:sz w:val="20"/>
          <w:szCs w:val="20"/>
        </w:rPr>
        <w:t>少损失的扩大，任何一方没有采取有效措施导致损失扩大的，应对扩大的损失承担责任。</w:t>
      </w:r>
    </w:p>
    <w:p w14:paraId="66C87D47">
      <w:pPr>
        <w:pStyle w:val="2"/>
        <w:spacing w:line="229" w:lineRule="auto"/>
        <w:ind w:left="419"/>
        <w:rPr>
          <w:sz w:val="20"/>
          <w:szCs w:val="20"/>
        </w:rPr>
      </w:pPr>
      <w:r>
        <w:rPr>
          <w:rFonts w:ascii="Times New Roman" w:hAnsi="Times New Roman" w:eastAsia="Times New Roman" w:cs="Times New Roman"/>
          <w:spacing w:val="5"/>
          <w:sz w:val="20"/>
          <w:szCs w:val="20"/>
        </w:rPr>
        <w:t>21.3.4</w:t>
      </w:r>
      <w:r>
        <w:rPr>
          <w:rFonts w:ascii="Times New Roman" w:hAnsi="Times New Roman" w:eastAsia="Times New Roman" w:cs="Times New Roman"/>
          <w:spacing w:val="18"/>
          <w:w w:val="101"/>
          <w:sz w:val="20"/>
          <w:szCs w:val="20"/>
        </w:rPr>
        <w:t xml:space="preserve">  </w:t>
      </w:r>
      <w:r>
        <w:rPr>
          <w:spacing w:val="5"/>
          <w:sz w:val="20"/>
          <w:szCs w:val="20"/>
        </w:rPr>
        <w:t>因不可抗力解除合同</w:t>
      </w:r>
    </w:p>
    <w:p w14:paraId="606BE219">
      <w:pPr>
        <w:spacing w:before="151" w:line="370" w:lineRule="auto"/>
        <w:ind w:left="3" w:firstLine="420"/>
        <w:rPr>
          <w:rFonts w:ascii="宋体" w:hAnsi="宋体" w:eastAsia="宋体" w:cs="宋体"/>
          <w:sz w:val="20"/>
          <w:szCs w:val="20"/>
        </w:rPr>
      </w:pPr>
      <w:r>
        <w:rPr>
          <w:rFonts w:ascii="宋体" w:hAnsi="宋体" w:eastAsia="宋体" w:cs="宋体"/>
          <w:spacing w:val="10"/>
          <w:sz w:val="20"/>
          <w:szCs w:val="20"/>
        </w:rPr>
        <w:t>合同一方当事人因不可抗力不能履行合同的，应当及时通知对方解</w:t>
      </w:r>
      <w:r>
        <w:rPr>
          <w:rFonts w:ascii="宋体" w:hAnsi="宋体" w:eastAsia="宋体" w:cs="宋体"/>
          <w:spacing w:val="9"/>
          <w:sz w:val="20"/>
          <w:szCs w:val="20"/>
        </w:rPr>
        <w:t>除合同。合同解除后，承包人应按照第</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22.2.5 </w:t>
      </w:r>
      <w:r>
        <w:rPr>
          <w:rFonts w:ascii="宋体" w:hAnsi="宋体" w:eastAsia="宋体" w:cs="宋体"/>
          <w:spacing w:val="9"/>
          <w:sz w:val="20"/>
          <w:szCs w:val="20"/>
        </w:rPr>
        <w:t>项约定撤离施工场地。已经订货的材料、设备</w:t>
      </w:r>
      <w:r>
        <w:rPr>
          <w:rFonts w:ascii="宋体" w:hAnsi="宋体" w:eastAsia="宋体" w:cs="宋体"/>
          <w:spacing w:val="8"/>
          <w:sz w:val="20"/>
          <w:szCs w:val="20"/>
        </w:rPr>
        <w:t>由订货方负责退货或解除订货</w:t>
      </w:r>
      <w:r>
        <w:rPr>
          <w:rFonts w:ascii="宋体" w:hAnsi="宋体" w:eastAsia="宋体" w:cs="宋体"/>
          <w:spacing w:val="9"/>
          <w:sz w:val="20"/>
          <w:szCs w:val="20"/>
        </w:rPr>
        <w:t>合同，不能退还的货款和因退货、解除订货合同发生的费用，</w:t>
      </w:r>
      <w:r>
        <w:rPr>
          <w:rFonts w:ascii="宋体" w:hAnsi="宋体" w:eastAsia="宋体" w:cs="宋体"/>
          <w:spacing w:val="-58"/>
          <w:sz w:val="20"/>
          <w:szCs w:val="20"/>
        </w:rPr>
        <w:t xml:space="preserve"> </w:t>
      </w:r>
      <w:r>
        <w:rPr>
          <w:rFonts w:ascii="宋体" w:hAnsi="宋体" w:eastAsia="宋体" w:cs="宋体"/>
          <w:spacing w:val="9"/>
          <w:sz w:val="20"/>
          <w:szCs w:val="20"/>
        </w:rPr>
        <w:t>由发包人承</w:t>
      </w:r>
      <w:r>
        <w:rPr>
          <w:rFonts w:ascii="宋体" w:hAnsi="宋体" w:eastAsia="宋体" w:cs="宋体"/>
          <w:spacing w:val="8"/>
          <w:sz w:val="20"/>
          <w:szCs w:val="20"/>
        </w:rPr>
        <w:t>担，因未及时退货造成</w:t>
      </w:r>
    </w:p>
    <w:p w14:paraId="10C8EBD7">
      <w:pPr>
        <w:spacing w:line="370" w:lineRule="auto"/>
        <w:rPr>
          <w:rFonts w:ascii="宋体" w:hAnsi="宋体" w:eastAsia="宋体" w:cs="宋体"/>
          <w:sz w:val="20"/>
          <w:szCs w:val="20"/>
        </w:rPr>
        <w:sectPr>
          <w:footerReference r:id="rId191" w:type="default"/>
          <w:pgSz w:w="11906" w:h="16839"/>
          <w:pgMar w:top="400" w:right="1554" w:bottom="1038" w:left="1536" w:header="0" w:footer="787" w:gutter="0"/>
          <w:cols w:space="720" w:num="1"/>
        </w:sectPr>
      </w:pPr>
    </w:p>
    <w:p w14:paraId="3D08C3AF">
      <w:pPr>
        <w:spacing w:line="271" w:lineRule="auto"/>
        <w:rPr>
          <w:rFonts w:ascii="Arial"/>
          <w:sz w:val="21"/>
        </w:rPr>
      </w:pPr>
    </w:p>
    <w:p w14:paraId="2CD68B93">
      <w:pPr>
        <w:spacing w:line="271" w:lineRule="auto"/>
        <w:rPr>
          <w:rFonts w:ascii="Arial"/>
          <w:sz w:val="21"/>
        </w:rPr>
      </w:pPr>
    </w:p>
    <w:p w14:paraId="159F60E4">
      <w:pPr>
        <w:spacing w:line="272" w:lineRule="auto"/>
        <w:rPr>
          <w:rFonts w:ascii="Arial"/>
          <w:sz w:val="21"/>
        </w:rPr>
      </w:pPr>
    </w:p>
    <w:p w14:paraId="438B9F72">
      <w:pPr>
        <w:spacing w:line="272" w:lineRule="auto"/>
        <w:rPr>
          <w:rFonts w:ascii="Arial"/>
          <w:sz w:val="21"/>
        </w:rPr>
      </w:pPr>
    </w:p>
    <w:p w14:paraId="6895E947">
      <w:pPr>
        <w:spacing w:before="65" w:line="370" w:lineRule="auto"/>
        <w:ind w:left="8" w:right="56" w:firstLine="12"/>
        <w:rPr>
          <w:rFonts w:ascii="宋体" w:hAnsi="宋体" w:eastAsia="宋体" w:cs="宋体"/>
          <w:sz w:val="20"/>
          <w:szCs w:val="20"/>
        </w:rPr>
      </w:pPr>
      <w:r>
        <w:rPr>
          <w:rFonts w:ascii="宋体" w:hAnsi="宋体" w:eastAsia="宋体" w:cs="宋体"/>
          <w:spacing w:val="8"/>
          <w:sz w:val="20"/>
          <w:szCs w:val="20"/>
        </w:rPr>
        <w:t>的损失由责任方承担。合同解除后的付款，参照第</w:t>
      </w:r>
      <w:r>
        <w:rPr>
          <w:rFonts w:ascii="宋体" w:hAnsi="宋体" w:eastAsia="宋体" w:cs="宋体"/>
          <w:spacing w:val="-42"/>
          <w:sz w:val="20"/>
          <w:szCs w:val="20"/>
        </w:rPr>
        <w:t xml:space="preserve"> </w:t>
      </w:r>
      <w:r>
        <w:rPr>
          <w:rFonts w:ascii="Times New Roman" w:hAnsi="Times New Roman" w:eastAsia="Times New Roman" w:cs="Times New Roman"/>
          <w:spacing w:val="8"/>
          <w:sz w:val="20"/>
          <w:szCs w:val="20"/>
        </w:rPr>
        <w:t>22.2.4</w:t>
      </w:r>
      <w:r>
        <w:rPr>
          <w:rFonts w:ascii="Times New Roman" w:hAnsi="Times New Roman" w:eastAsia="Times New Roman" w:cs="Times New Roman"/>
          <w:spacing w:val="18"/>
          <w:sz w:val="20"/>
          <w:szCs w:val="20"/>
        </w:rPr>
        <w:t xml:space="preserve"> </w:t>
      </w:r>
      <w:r>
        <w:rPr>
          <w:rFonts w:ascii="宋体" w:hAnsi="宋体" w:eastAsia="宋体" w:cs="宋体"/>
          <w:spacing w:val="8"/>
          <w:sz w:val="20"/>
          <w:szCs w:val="20"/>
        </w:rPr>
        <w:t>项约定，</w:t>
      </w:r>
      <w:r>
        <w:rPr>
          <w:rFonts w:ascii="宋体" w:hAnsi="宋体" w:eastAsia="宋体" w:cs="宋体"/>
          <w:spacing w:val="-58"/>
          <w:sz w:val="20"/>
          <w:szCs w:val="20"/>
        </w:rPr>
        <w:t xml:space="preserve"> </w:t>
      </w:r>
      <w:r>
        <w:rPr>
          <w:rFonts w:ascii="宋体" w:hAnsi="宋体" w:eastAsia="宋体" w:cs="宋体"/>
          <w:spacing w:val="8"/>
          <w:sz w:val="20"/>
          <w:szCs w:val="20"/>
        </w:rPr>
        <w:t>由</w:t>
      </w:r>
      <w:r>
        <w:rPr>
          <w:rFonts w:ascii="宋体" w:hAnsi="宋体" w:eastAsia="宋体" w:cs="宋体"/>
          <w:spacing w:val="7"/>
          <w:sz w:val="20"/>
          <w:szCs w:val="20"/>
        </w:rPr>
        <w:t>监理人按第</w:t>
      </w:r>
      <w:r>
        <w:rPr>
          <w:rFonts w:ascii="宋体" w:hAnsi="宋体" w:eastAsia="宋体" w:cs="宋体"/>
          <w:spacing w:val="-39"/>
          <w:sz w:val="20"/>
          <w:szCs w:val="20"/>
        </w:rPr>
        <w:t xml:space="preserve"> </w:t>
      </w:r>
      <w:r>
        <w:rPr>
          <w:rFonts w:ascii="Times New Roman" w:hAnsi="Times New Roman" w:eastAsia="Times New Roman" w:cs="Times New Roman"/>
          <w:spacing w:val="7"/>
          <w:sz w:val="20"/>
          <w:szCs w:val="20"/>
        </w:rPr>
        <w:t xml:space="preserve">3.5 </w:t>
      </w:r>
      <w:r>
        <w:rPr>
          <w:rFonts w:ascii="宋体" w:hAnsi="宋体" w:eastAsia="宋体" w:cs="宋体"/>
          <w:spacing w:val="7"/>
          <w:sz w:val="20"/>
          <w:szCs w:val="20"/>
        </w:rPr>
        <w:t>款商定或确</w:t>
      </w:r>
      <w:r>
        <w:rPr>
          <w:rFonts w:ascii="宋体" w:hAnsi="宋体" w:eastAsia="宋体" w:cs="宋体"/>
          <w:spacing w:val="-3"/>
          <w:sz w:val="20"/>
          <w:szCs w:val="20"/>
        </w:rPr>
        <w:t>定。</w:t>
      </w:r>
    </w:p>
    <w:p w14:paraId="30CEEF46">
      <w:pPr>
        <w:pStyle w:val="2"/>
        <w:spacing w:before="37" w:line="224" w:lineRule="auto"/>
        <w:outlineLvl w:val="2"/>
        <w:rPr>
          <w:sz w:val="28"/>
          <w:szCs w:val="28"/>
        </w:rPr>
      </w:pPr>
      <w:bookmarkStart w:id="235" w:name="bookmark216"/>
      <w:bookmarkEnd w:id="235"/>
      <w:r>
        <w:rPr>
          <w:rFonts w:ascii="Times New Roman" w:hAnsi="Times New Roman" w:eastAsia="Times New Roman" w:cs="Times New Roman"/>
          <w:spacing w:val="-3"/>
          <w:sz w:val="28"/>
          <w:szCs w:val="28"/>
        </w:rPr>
        <w:t>22.</w:t>
      </w:r>
      <w:r>
        <w:rPr>
          <w:rFonts w:ascii="Times New Roman" w:hAnsi="Times New Roman" w:eastAsia="Times New Roman" w:cs="Times New Roman"/>
          <w:spacing w:val="4"/>
          <w:sz w:val="28"/>
          <w:szCs w:val="28"/>
        </w:rPr>
        <w:t xml:space="preserve">  </w:t>
      </w:r>
      <w:r>
        <w:rPr>
          <w:spacing w:val="-3"/>
          <w:sz w:val="28"/>
          <w:szCs w:val="28"/>
        </w:rPr>
        <w:t>违约</w:t>
      </w:r>
    </w:p>
    <w:p w14:paraId="0C12E4BA">
      <w:pPr>
        <w:pStyle w:val="2"/>
        <w:spacing w:before="97" w:line="222" w:lineRule="auto"/>
        <w:rPr>
          <w:sz w:val="24"/>
          <w:szCs w:val="24"/>
        </w:rPr>
      </w:pPr>
      <w:r>
        <w:rPr>
          <w:rFonts w:ascii="Times New Roman" w:hAnsi="Times New Roman" w:eastAsia="Times New Roman" w:cs="Times New Roman"/>
          <w:spacing w:val="-1"/>
          <w:sz w:val="24"/>
          <w:szCs w:val="24"/>
        </w:rPr>
        <w:t xml:space="preserve">22.1  </w:t>
      </w:r>
      <w:r>
        <w:rPr>
          <w:spacing w:val="-1"/>
          <w:sz w:val="24"/>
          <w:szCs w:val="24"/>
        </w:rPr>
        <w:t>承包人违约</w:t>
      </w:r>
    </w:p>
    <w:p w14:paraId="1F75671B">
      <w:pPr>
        <w:pStyle w:val="2"/>
        <w:spacing w:before="135" w:line="231" w:lineRule="auto"/>
        <w:ind w:left="419"/>
        <w:rPr>
          <w:sz w:val="20"/>
          <w:szCs w:val="20"/>
        </w:rPr>
      </w:pPr>
      <w:r>
        <w:rPr>
          <w:rFonts w:ascii="Times New Roman" w:hAnsi="Times New Roman" w:eastAsia="Times New Roman" w:cs="Times New Roman"/>
          <w:spacing w:val="4"/>
          <w:sz w:val="20"/>
          <w:szCs w:val="20"/>
        </w:rPr>
        <w:t>22.</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4"/>
          <w:sz w:val="20"/>
          <w:szCs w:val="20"/>
        </w:rPr>
        <w:t xml:space="preserve">1.1  </w:t>
      </w:r>
      <w:r>
        <w:rPr>
          <w:spacing w:val="4"/>
          <w:sz w:val="20"/>
          <w:szCs w:val="20"/>
        </w:rPr>
        <w:t>承包人违约的情形</w:t>
      </w:r>
    </w:p>
    <w:p w14:paraId="7AA54B9D">
      <w:pPr>
        <w:spacing w:before="150" w:line="228" w:lineRule="auto"/>
        <w:ind w:left="422"/>
        <w:rPr>
          <w:rFonts w:ascii="宋体" w:hAnsi="宋体" w:eastAsia="宋体" w:cs="宋体"/>
          <w:sz w:val="20"/>
          <w:szCs w:val="20"/>
        </w:rPr>
      </w:pPr>
      <w:r>
        <w:rPr>
          <w:rFonts w:ascii="宋体" w:hAnsi="宋体" w:eastAsia="宋体" w:cs="宋体"/>
          <w:spacing w:val="9"/>
          <w:sz w:val="20"/>
          <w:szCs w:val="20"/>
        </w:rPr>
        <w:t>在履行合同过程中发生的下列情况属承包人违约：</w:t>
      </w:r>
    </w:p>
    <w:p w14:paraId="662B824D">
      <w:pPr>
        <w:spacing w:before="151" w:line="370" w:lineRule="auto"/>
        <w:ind w:left="5" w:firstLine="725"/>
        <w:rPr>
          <w:rFonts w:ascii="宋体" w:hAnsi="宋体" w:eastAsia="宋体" w:cs="宋体"/>
          <w:sz w:val="20"/>
          <w:szCs w:val="20"/>
        </w:rPr>
      </w:pPr>
      <w:r>
        <w:rPr>
          <w:rFonts w:ascii="宋体" w:hAnsi="宋体" w:eastAsia="宋体" w:cs="宋体"/>
          <w:spacing w:val="2"/>
          <w:sz w:val="20"/>
          <w:szCs w:val="20"/>
        </w:rPr>
        <w:t>（</w:t>
      </w:r>
      <w:r>
        <w:rPr>
          <w:rFonts w:ascii="Times New Roman" w:hAnsi="Times New Roman" w:eastAsia="Times New Roman" w:cs="Times New Roman"/>
          <w:spacing w:val="2"/>
          <w:sz w:val="20"/>
          <w:szCs w:val="20"/>
        </w:rPr>
        <w:t>1</w:t>
      </w:r>
      <w:r>
        <w:rPr>
          <w:rFonts w:ascii="宋体" w:hAnsi="宋体" w:eastAsia="宋体" w:cs="宋体"/>
          <w:spacing w:val="2"/>
          <w:sz w:val="20"/>
          <w:szCs w:val="20"/>
        </w:rPr>
        <w:t>）承包人违反第</w:t>
      </w:r>
      <w:r>
        <w:rPr>
          <w:rFonts w:ascii="宋体" w:hAnsi="宋体" w:eastAsia="宋体" w:cs="宋体"/>
          <w:spacing w:val="-9"/>
          <w:sz w:val="20"/>
          <w:szCs w:val="20"/>
        </w:rPr>
        <w:t xml:space="preserve"> </w:t>
      </w:r>
      <w:r>
        <w:rPr>
          <w:rFonts w:ascii="Times New Roman" w:hAnsi="Times New Roman" w:eastAsia="Times New Roman" w:cs="Times New Roman"/>
          <w:spacing w:val="2"/>
          <w:sz w:val="20"/>
          <w:szCs w:val="20"/>
        </w:rPr>
        <w:t xml:space="preserve">1.8 </w:t>
      </w:r>
      <w:r>
        <w:rPr>
          <w:rFonts w:ascii="宋体" w:hAnsi="宋体" w:eastAsia="宋体" w:cs="宋体"/>
          <w:spacing w:val="2"/>
          <w:sz w:val="20"/>
          <w:szCs w:val="20"/>
        </w:rPr>
        <w:t>款或第</w:t>
      </w:r>
      <w:r>
        <w:rPr>
          <w:rFonts w:ascii="宋体" w:hAnsi="宋体" w:eastAsia="宋体" w:cs="宋体"/>
          <w:spacing w:val="-44"/>
          <w:sz w:val="20"/>
          <w:szCs w:val="20"/>
        </w:rPr>
        <w:t xml:space="preserve"> </w:t>
      </w:r>
      <w:r>
        <w:rPr>
          <w:rFonts w:ascii="Times New Roman" w:hAnsi="Times New Roman" w:eastAsia="Times New Roman" w:cs="Times New Roman"/>
          <w:spacing w:val="2"/>
          <w:sz w:val="20"/>
          <w:szCs w:val="20"/>
        </w:rPr>
        <w:t xml:space="preserve">4.3 </w:t>
      </w:r>
      <w:r>
        <w:rPr>
          <w:rFonts w:ascii="宋体" w:hAnsi="宋体" w:eastAsia="宋体" w:cs="宋体"/>
          <w:spacing w:val="2"/>
          <w:sz w:val="20"/>
          <w:szCs w:val="20"/>
        </w:rPr>
        <w:t>款的约定，私自将合同的全部或部分权利转让给其他人，</w:t>
      </w:r>
      <w:r>
        <w:rPr>
          <w:rFonts w:ascii="宋体" w:hAnsi="宋体" w:eastAsia="宋体" w:cs="宋体"/>
          <w:spacing w:val="8"/>
          <w:sz w:val="20"/>
          <w:szCs w:val="20"/>
        </w:rPr>
        <w:t>或私自将合同的全部或部分义务转移给其他人；</w:t>
      </w:r>
    </w:p>
    <w:p w14:paraId="6004B0EA">
      <w:pPr>
        <w:spacing w:before="2" w:line="368" w:lineRule="auto"/>
        <w:ind w:left="2" w:right="54" w:firstLine="72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）承包人违反第</w:t>
      </w:r>
      <w:r>
        <w:rPr>
          <w:rFonts w:ascii="宋体" w:hAnsi="宋体" w:eastAsia="宋体" w:cs="宋体"/>
          <w:spacing w:val="-37"/>
          <w:sz w:val="20"/>
          <w:szCs w:val="20"/>
        </w:rPr>
        <w:t xml:space="preserve"> </w:t>
      </w:r>
      <w:r>
        <w:rPr>
          <w:rFonts w:ascii="Times New Roman" w:hAnsi="Times New Roman" w:eastAsia="Times New Roman" w:cs="Times New Roman"/>
          <w:spacing w:val="6"/>
          <w:sz w:val="20"/>
          <w:szCs w:val="20"/>
        </w:rPr>
        <w:t xml:space="preserve">5.3 </w:t>
      </w:r>
      <w:r>
        <w:rPr>
          <w:rFonts w:ascii="宋体" w:hAnsi="宋体" w:eastAsia="宋体" w:cs="宋体"/>
          <w:spacing w:val="6"/>
          <w:sz w:val="20"/>
          <w:szCs w:val="20"/>
        </w:rPr>
        <w:t>款或第</w:t>
      </w:r>
      <w:r>
        <w:rPr>
          <w:rFonts w:ascii="宋体" w:hAnsi="宋体" w:eastAsia="宋体" w:cs="宋体"/>
          <w:spacing w:val="-38"/>
          <w:sz w:val="20"/>
          <w:szCs w:val="20"/>
        </w:rPr>
        <w:t xml:space="preserve"> </w:t>
      </w:r>
      <w:r>
        <w:rPr>
          <w:rFonts w:ascii="Times New Roman" w:hAnsi="Times New Roman" w:eastAsia="Times New Roman" w:cs="Times New Roman"/>
          <w:spacing w:val="6"/>
          <w:sz w:val="20"/>
          <w:szCs w:val="20"/>
        </w:rPr>
        <w:t xml:space="preserve">6.4 </w:t>
      </w:r>
      <w:r>
        <w:rPr>
          <w:rFonts w:ascii="宋体" w:hAnsi="宋体" w:eastAsia="宋体" w:cs="宋体"/>
          <w:spacing w:val="6"/>
          <w:sz w:val="20"/>
          <w:szCs w:val="20"/>
        </w:rPr>
        <w:t>款的约定，未经监理人批准，私自将已按</w:t>
      </w:r>
      <w:r>
        <w:rPr>
          <w:rFonts w:ascii="宋体" w:hAnsi="宋体" w:eastAsia="宋体" w:cs="宋体"/>
          <w:spacing w:val="5"/>
          <w:sz w:val="20"/>
          <w:szCs w:val="20"/>
        </w:rPr>
        <w:t>合同约定进入</w:t>
      </w:r>
      <w:r>
        <w:rPr>
          <w:rFonts w:ascii="宋体" w:hAnsi="宋体" w:eastAsia="宋体" w:cs="宋体"/>
          <w:spacing w:val="9"/>
          <w:sz w:val="20"/>
          <w:szCs w:val="20"/>
        </w:rPr>
        <w:t>施工场地的施工设备、临时设施或材料撤离施工场地；</w:t>
      </w:r>
    </w:p>
    <w:p w14:paraId="02374C04">
      <w:pPr>
        <w:spacing w:before="2" w:line="368" w:lineRule="auto"/>
        <w:ind w:left="4" w:right="54" w:firstLine="726"/>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3</w:t>
      </w:r>
      <w:r>
        <w:rPr>
          <w:rFonts w:ascii="宋体" w:hAnsi="宋体" w:eastAsia="宋体" w:cs="宋体"/>
          <w:spacing w:val="10"/>
          <w:sz w:val="20"/>
          <w:szCs w:val="20"/>
        </w:rPr>
        <w:t>）承包人违反第</w:t>
      </w:r>
      <w:r>
        <w:rPr>
          <w:rFonts w:ascii="宋体" w:hAnsi="宋体" w:eastAsia="宋体" w:cs="宋体"/>
          <w:spacing w:val="-27"/>
          <w:sz w:val="20"/>
          <w:szCs w:val="20"/>
        </w:rPr>
        <w:t xml:space="preserve"> </w:t>
      </w:r>
      <w:r>
        <w:rPr>
          <w:rFonts w:ascii="Times New Roman" w:hAnsi="Times New Roman" w:eastAsia="Times New Roman" w:cs="Times New Roman"/>
          <w:spacing w:val="10"/>
          <w:sz w:val="20"/>
          <w:szCs w:val="20"/>
        </w:rPr>
        <w:t xml:space="preserve">5.4 </w:t>
      </w:r>
      <w:r>
        <w:rPr>
          <w:rFonts w:ascii="宋体" w:hAnsi="宋体" w:eastAsia="宋体" w:cs="宋体"/>
          <w:spacing w:val="10"/>
          <w:sz w:val="20"/>
          <w:szCs w:val="20"/>
        </w:rPr>
        <w:t>款的约定使用了不合格材料或工程设备，工程质量达不到标准要</w:t>
      </w:r>
      <w:r>
        <w:rPr>
          <w:rFonts w:ascii="宋体" w:hAnsi="宋体" w:eastAsia="宋体" w:cs="宋体"/>
          <w:spacing w:val="8"/>
          <w:sz w:val="20"/>
          <w:szCs w:val="20"/>
        </w:rPr>
        <w:t>求，又拒绝清除不合格工程；</w:t>
      </w:r>
    </w:p>
    <w:p w14:paraId="1A011841">
      <w:pPr>
        <w:spacing w:line="227" w:lineRule="auto"/>
        <w:jc w:val="right"/>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）承包人未能按合同进度计划及时完成合同约定的工作，已造成或预期造成</w:t>
      </w:r>
      <w:r>
        <w:rPr>
          <w:rFonts w:ascii="宋体" w:hAnsi="宋体" w:eastAsia="宋体" w:cs="宋体"/>
          <w:spacing w:val="5"/>
          <w:sz w:val="20"/>
          <w:szCs w:val="20"/>
        </w:rPr>
        <w:t>工期延误；</w:t>
      </w:r>
    </w:p>
    <w:p w14:paraId="78651A48">
      <w:pPr>
        <w:spacing w:before="154" w:line="369" w:lineRule="auto"/>
        <w:ind w:left="28" w:right="57" w:firstLine="702"/>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5</w:t>
      </w:r>
      <w:r>
        <w:rPr>
          <w:rFonts w:ascii="宋体" w:hAnsi="宋体" w:eastAsia="宋体" w:cs="宋体"/>
          <w:spacing w:val="10"/>
          <w:sz w:val="20"/>
          <w:szCs w:val="20"/>
        </w:rPr>
        <w:t>）承包人在缺陷责任期内，未能对工程接收证书所列的缺陷清</w:t>
      </w:r>
      <w:r>
        <w:rPr>
          <w:rFonts w:ascii="宋体" w:hAnsi="宋体" w:eastAsia="宋体" w:cs="宋体"/>
          <w:spacing w:val="9"/>
          <w:sz w:val="20"/>
          <w:szCs w:val="20"/>
        </w:rPr>
        <w:t>单的内容或缺陷责任期</w:t>
      </w:r>
      <w:r>
        <w:rPr>
          <w:rFonts w:ascii="宋体" w:hAnsi="宋体" w:eastAsia="宋体" w:cs="宋体"/>
          <w:spacing w:val="8"/>
          <w:sz w:val="20"/>
          <w:szCs w:val="20"/>
        </w:rPr>
        <w:t>内发生的缺陷进行修复，而又拒绝按监理人指示再进行修补；</w:t>
      </w:r>
    </w:p>
    <w:p w14:paraId="5511C934">
      <w:pPr>
        <w:spacing w:before="1" w:line="227" w:lineRule="auto"/>
        <w:ind w:left="7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6</w:t>
      </w:r>
      <w:r>
        <w:rPr>
          <w:rFonts w:ascii="宋体" w:hAnsi="宋体" w:eastAsia="宋体" w:cs="宋体"/>
          <w:spacing w:val="9"/>
          <w:sz w:val="20"/>
          <w:szCs w:val="20"/>
        </w:rPr>
        <w:t>）承包人无法继续履行或明确表示不履行或实质上已停止</w:t>
      </w:r>
      <w:r>
        <w:rPr>
          <w:rFonts w:ascii="宋体" w:hAnsi="宋体" w:eastAsia="宋体" w:cs="宋体"/>
          <w:spacing w:val="8"/>
          <w:sz w:val="20"/>
          <w:szCs w:val="20"/>
        </w:rPr>
        <w:t>履行合同；</w:t>
      </w:r>
    </w:p>
    <w:p w14:paraId="6B57D95B">
      <w:pPr>
        <w:spacing w:before="154" w:line="228" w:lineRule="auto"/>
        <w:ind w:left="7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7</w:t>
      </w:r>
      <w:r>
        <w:rPr>
          <w:rFonts w:ascii="宋体" w:hAnsi="宋体" w:eastAsia="宋体" w:cs="宋体"/>
          <w:spacing w:val="8"/>
          <w:sz w:val="20"/>
          <w:szCs w:val="20"/>
        </w:rPr>
        <w:t>）承包人不按合同约定履行义务的其他情况。</w:t>
      </w:r>
    </w:p>
    <w:p w14:paraId="799F1100">
      <w:pPr>
        <w:pStyle w:val="2"/>
        <w:spacing w:before="154" w:line="231" w:lineRule="auto"/>
        <w:ind w:left="419"/>
        <w:rPr>
          <w:sz w:val="20"/>
          <w:szCs w:val="20"/>
        </w:rPr>
      </w:pPr>
      <w:r>
        <w:rPr>
          <w:rFonts w:ascii="Times New Roman" w:hAnsi="Times New Roman" w:eastAsia="Times New Roman" w:cs="Times New Roman"/>
          <w:spacing w:val="5"/>
          <w:sz w:val="20"/>
          <w:szCs w:val="20"/>
        </w:rPr>
        <w:t>22.</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5"/>
          <w:sz w:val="20"/>
          <w:szCs w:val="20"/>
        </w:rPr>
        <w:t xml:space="preserve">1.2  </w:t>
      </w:r>
      <w:r>
        <w:rPr>
          <w:spacing w:val="5"/>
          <w:sz w:val="20"/>
          <w:szCs w:val="20"/>
        </w:rPr>
        <w:t>对承包人违约的处理</w:t>
      </w:r>
    </w:p>
    <w:p w14:paraId="199F9E80">
      <w:pPr>
        <w:spacing w:before="148" w:line="370" w:lineRule="auto"/>
        <w:ind w:left="8" w:firstLine="722"/>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1</w:t>
      </w:r>
      <w:r>
        <w:rPr>
          <w:rFonts w:ascii="宋体" w:hAnsi="宋体" w:eastAsia="宋体" w:cs="宋体"/>
          <w:spacing w:val="4"/>
          <w:sz w:val="20"/>
          <w:szCs w:val="20"/>
        </w:rPr>
        <w:t>）承包人发生第</w:t>
      </w:r>
      <w:r>
        <w:rPr>
          <w:rFonts w:ascii="宋体" w:hAnsi="宋体" w:eastAsia="宋体" w:cs="宋体"/>
          <w:spacing w:val="-41"/>
          <w:sz w:val="20"/>
          <w:szCs w:val="20"/>
        </w:rPr>
        <w:t xml:space="preserve"> </w:t>
      </w:r>
      <w:r>
        <w:rPr>
          <w:rFonts w:ascii="Times New Roman" w:hAnsi="Times New Roman" w:eastAsia="Times New Roman" w:cs="Times New Roman"/>
          <w:spacing w:val="4"/>
          <w:sz w:val="20"/>
          <w:szCs w:val="20"/>
        </w:rPr>
        <w:t>22.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1.1</w:t>
      </w:r>
      <w:r>
        <w:rPr>
          <w:rFonts w:ascii="宋体" w:hAnsi="宋体" w:eastAsia="宋体" w:cs="宋体"/>
          <w:spacing w:val="4"/>
          <w:sz w:val="20"/>
          <w:szCs w:val="20"/>
        </w:rPr>
        <w:t>（</w:t>
      </w:r>
      <w:r>
        <w:rPr>
          <w:rFonts w:ascii="Times New Roman" w:hAnsi="Times New Roman" w:eastAsia="Times New Roman" w:cs="Times New Roman"/>
          <w:spacing w:val="4"/>
          <w:sz w:val="20"/>
          <w:szCs w:val="20"/>
        </w:rPr>
        <w:t>6</w:t>
      </w:r>
      <w:r>
        <w:rPr>
          <w:rFonts w:ascii="宋体" w:hAnsi="宋体" w:eastAsia="宋体" w:cs="宋体"/>
          <w:spacing w:val="4"/>
          <w:sz w:val="20"/>
          <w:szCs w:val="20"/>
        </w:rPr>
        <w:t>）目约定</w:t>
      </w:r>
      <w:r>
        <w:rPr>
          <w:rFonts w:ascii="宋体" w:hAnsi="宋体" w:eastAsia="宋体" w:cs="宋体"/>
          <w:spacing w:val="3"/>
          <w:sz w:val="20"/>
          <w:szCs w:val="20"/>
        </w:rPr>
        <w:t>的违约情况时，发包人可通知承包人立即解除合同，</w:t>
      </w:r>
      <w:r>
        <w:rPr>
          <w:rFonts w:ascii="宋体" w:hAnsi="宋体" w:eastAsia="宋体" w:cs="宋体"/>
          <w:spacing w:val="7"/>
          <w:sz w:val="20"/>
          <w:szCs w:val="20"/>
        </w:rPr>
        <w:t>并按有关法律处理。</w:t>
      </w:r>
    </w:p>
    <w:p w14:paraId="5AD6F2B7">
      <w:pPr>
        <w:spacing w:before="1" w:line="369" w:lineRule="auto"/>
        <w:ind w:left="3" w:right="54" w:firstLine="726"/>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）承包人发生除第</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22.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1.1</w:t>
      </w:r>
      <w:r>
        <w:rPr>
          <w:rFonts w:ascii="宋体" w:hAnsi="宋体" w:eastAsia="宋体" w:cs="宋体"/>
          <w:spacing w:val="6"/>
          <w:sz w:val="20"/>
          <w:szCs w:val="20"/>
        </w:rPr>
        <w:t>（</w:t>
      </w:r>
      <w:r>
        <w:rPr>
          <w:rFonts w:ascii="Times New Roman" w:hAnsi="Times New Roman" w:eastAsia="Times New Roman" w:cs="Times New Roman"/>
          <w:spacing w:val="6"/>
          <w:sz w:val="20"/>
          <w:szCs w:val="20"/>
        </w:rPr>
        <w:t>6</w:t>
      </w:r>
      <w:r>
        <w:rPr>
          <w:rFonts w:ascii="宋体" w:hAnsi="宋体" w:eastAsia="宋体" w:cs="宋体"/>
          <w:spacing w:val="6"/>
          <w:sz w:val="20"/>
          <w:szCs w:val="20"/>
        </w:rPr>
        <w:t>）</w:t>
      </w:r>
      <w:r>
        <w:rPr>
          <w:rFonts w:ascii="宋体" w:hAnsi="宋体" w:eastAsia="宋体" w:cs="宋体"/>
          <w:spacing w:val="-50"/>
          <w:sz w:val="20"/>
          <w:szCs w:val="20"/>
        </w:rPr>
        <w:t xml:space="preserve"> </w:t>
      </w:r>
      <w:r>
        <w:rPr>
          <w:rFonts w:ascii="宋体" w:hAnsi="宋体" w:eastAsia="宋体" w:cs="宋体"/>
          <w:spacing w:val="6"/>
          <w:sz w:val="20"/>
          <w:szCs w:val="20"/>
        </w:rPr>
        <w:t>目约定以外的其他违约情况时，</w:t>
      </w:r>
      <w:r>
        <w:rPr>
          <w:rFonts w:ascii="宋体" w:hAnsi="宋体" w:eastAsia="宋体" w:cs="宋体"/>
          <w:spacing w:val="5"/>
          <w:sz w:val="20"/>
          <w:szCs w:val="20"/>
        </w:rPr>
        <w:t>监理人可向承包人发出</w:t>
      </w:r>
      <w:r>
        <w:rPr>
          <w:rFonts w:ascii="宋体" w:hAnsi="宋体" w:eastAsia="宋体" w:cs="宋体"/>
          <w:spacing w:val="10"/>
          <w:sz w:val="20"/>
          <w:szCs w:val="20"/>
        </w:rPr>
        <w:t>整改通知，要求其在指定的期限内改正。承包人应承担其违约所引起的</w:t>
      </w:r>
      <w:r>
        <w:rPr>
          <w:rFonts w:ascii="宋体" w:hAnsi="宋体" w:eastAsia="宋体" w:cs="宋体"/>
          <w:spacing w:val="9"/>
          <w:sz w:val="20"/>
          <w:szCs w:val="20"/>
        </w:rPr>
        <w:t>费用增加和（或）工期延</w:t>
      </w:r>
      <w:r>
        <w:rPr>
          <w:rFonts w:ascii="宋体" w:hAnsi="宋体" w:eastAsia="宋体" w:cs="宋体"/>
          <w:sz w:val="20"/>
          <w:szCs w:val="20"/>
        </w:rPr>
        <w:t>误。</w:t>
      </w:r>
    </w:p>
    <w:p w14:paraId="28439353">
      <w:pPr>
        <w:spacing w:before="2" w:line="368" w:lineRule="auto"/>
        <w:ind w:left="3" w:right="57" w:firstLine="727"/>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3</w:t>
      </w:r>
      <w:r>
        <w:rPr>
          <w:rFonts w:ascii="宋体" w:hAnsi="宋体" w:eastAsia="宋体" w:cs="宋体"/>
          <w:spacing w:val="10"/>
          <w:sz w:val="20"/>
          <w:szCs w:val="20"/>
        </w:rPr>
        <w:t>）经检查证明承包人已采取了有效措施纠正违约行为，具备复</w:t>
      </w:r>
      <w:r>
        <w:rPr>
          <w:rFonts w:ascii="宋体" w:hAnsi="宋体" w:eastAsia="宋体" w:cs="宋体"/>
          <w:spacing w:val="9"/>
          <w:sz w:val="20"/>
          <w:szCs w:val="20"/>
        </w:rPr>
        <w:t>工条件的，可由监理人</w:t>
      </w:r>
      <w:r>
        <w:rPr>
          <w:rFonts w:ascii="宋体" w:hAnsi="宋体" w:eastAsia="宋体" w:cs="宋体"/>
          <w:spacing w:val="7"/>
          <w:sz w:val="20"/>
          <w:szCs w:val="20"/>
        </w:rPr>
        <w:t>签发复工通知复工。</w:t>
      </w:r>
    </w:p>
    <w:p w14:paraId="06AF3413">
      <w:pPr>
        <w:pStyle w:val="2"/>
        <w:spacing w:before="1" w:line="229" w:lineRule="auto"/>
        <w:ind w:left="419"/>
        <w:rPr>
          <w:sz w:val="20"/>
          <w:szCs w:val="20"/>
        </w:rPr>
      </w:pPr>
      <w:r>
        <w:rPr>
          <w:rFonts w:ascii="Times New Roman" w:hAnsi="Times New Roman" w:eastAsia="Times New Roman" w:cs="Times New Roman"/>
          <w:spacing w:val="5"/>
          <w:sz w:val="20"/>
          <w:szCs w:val="20"/>
        </w:rPr>
        <w:t>22.</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5"/>
          <w:sz w:val="20"/>
          <w:szCs w:val="20"/>
        </w:rPr>
        <w:t xml:space="preserve">1.3  </w:t>
      </w:r>
      <w:r>
        <w:rPr>
          <w:spacing w:val="5"/>
          <w:sz w:val="20"/>
          <w:szCs w:val="20"/>
        </w:rPr>
        <w:t>承包人违约解除合同</w:t>
      </w:r>
    </w:p>
    <w:p w14:paraId="6278497F">
      <w:pPr>
        <w:spacing w:before="151" w:line="369" w:lineRule="auto"/>
        <w:ind w:left="3" w:right="54" w:firstLine="420"/>
        <w:rPr>
          <w:rFonts w:ascii="宋体" w:hAnsi="宋体" w:eastAsia="宋体" w:cs="宋体"/>
          <w:sz w:val="20"/>
          <w:szCs w:val="20"/>
        </w:rPr>
      </w:pPr>
      <w:r>
        <w:rPr>
          <w:rFonts w:ascii="宋体" w:hAnsi="宋体" w:eastAsia="宋体" w:cs="宋体"/>
          <w:spacing w:val="6"/>
          <w:sz w:val="20"/>
          <w:szCs w:val="20"/>
        </w:rPr>
        <w:t>监理人发出整改通知</w:t>
      </w:r>
      <w:r>
        <w:rPr>
          <w:rFonts w:ascii="宋体" w:hAnsi="宋体" w:eastAsia="宋体" w:cs="宋体"/>
          <w:spacing w:val="-25"/>
          <w:sz w:val="20"/>
          <w:szCs w:val="20"/>
        </w:rPr>
        <w:t xml:space="preserve"> </w:t>
      </w:r>
      <w:r>
        <w:rPr>
          <w:rFonts w:ascii="Times New Roman" w:hAnsi="Times New Roman" w:eastAsia="Times New Roman" w:cs="Times New Roman"/>
          <w:spacing w:val="6"/>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天后，承包人仍不纠正违约行为的，发包人可向承包人发出解除合同</w:t>
      </w:r>
      <w:r>
        <w:rPr>
          <w:rFonts w:ascii="宋体" w:hAnsi="宋体" w:eastAsia="宋体" w:cs="宋体"/>
          <w:spacing w:val="10"/>
          <w:sz w:val="20"/>
          <w:szCs w:val="20"/>
        </w:rPr>
        <w:t>通知。合同解除后，发包人可派员进驻施工场地，另行组织人员或委托其</w:t>
      </w:r>
      <w:r>
        <w:rPr>
          <w:rFonts w:ascii="宋体" w:hAnsi="宋体" w:eastAsia="宋体" w:cs="宋体"/>
          <w:spacing w:val="9"/>
          <w:sz w:val="20"/>
          <w:szCs w:val="20"/>
        </w:rPr>
        <w:t>他承包人施工。发包人</w:t>
      </w:r>
      <w:r>
        <w:rPr>
          <w:rFonts w:ascii="宋体" w:hAnsi="宋体" w:eastAsia="宋体" w:cs="宋体"/>
          <w:spacing w:val="10"/>
          <w:sz w:val="20"/>
          <w:szCs w:val="20"/>
        </w:rPr>
        <w:t>因继续完成该工程的需要，有权扣留使用承包人在现场的材料、设备和临</w:t>
      </w:r>
      <w:r>
        <w:rPr>
          <w:rFonts w:ascii="宋体" w:hAnsi="宋体" w:eastAsia="宋体" w:cs="宋体"/>
          <w:spacing w:val="9"/>
          <w:sz w:val="20"/>
          <w:szCs w:val="20"/>
        </w:rPr>
        <w:t>时设施。但发包人的这一行动不免除承包人应承担的违约责任，也不影响发包人根据合同约定享有的索赔权利。</w:t>
      </w:r>
    </w:p>
    <w:p w14:paraId="0A611843">
      <w:pPr>
        <w:pStyle w:val="2"/>
        <w:spacing w:before="1" w:line="229" w:lineRule="auto"/>
        <w:ind w:left="419"/>
        <w:rPr>
          <w:sz w:val="20"/>
          <w:szCs w:val="20"/>
        </w:rPr>
      </w:pPr>
      <w:r>
        <w:rPr>
          <w:rFonts w:ascii="Times New Roman" w:hAnsi="Times New Roman" w:eastAsia="Times New Roman" w:cs="Times New Roman"/>
          <w:spacing w:val="6"/>
          <w:sz w:val="20"/>
          <w:szCs w:val="20"/>
        </w:rPr>
        <w:t>22.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6"/>
          <w:sz w:val="20"/>
          <w:szCs w:val="20"/>
        </w:rPr>
        <w:t xml:space="preserve">1.4  </w:t>
      </w:r>
      <w:r>
        <w:rPr>
          <w:spacing w:val="6"/>
          <w:sz w:val="20"/>
          <w:szCs w:val="20"/>
        </w:rPr>
        <w:t>合同解除后的估价、付款和结清</w:t>
      </w:r>
    </w:p>
    <w:p w14:paraId="71B72435">
      <w:pPr>
        <w:spacing w:before="151" w:line="369" w:lineRule="auto"/>
        <w:ind w:left="4" w:right="57" w:firstLine="726"/>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）合同解除后，监理人按第</w:t>
      </w:r>
      <w:r>
        <w:rPr>
          <w:rFonts w:ascii="宋体" w:hAnsi="宋体" w:eastAsia="宋体" w:cs="宋体"/>
          <w:spacing w:val="-29"/>
          <w:sz w:val="20"/>
          <w:szCs w:val="20"/>
        </w:rPr>
        <w:t xml:space="preserve"> </w:t>
      </w:r>
      <w:r>
        <w:rPr>
          <w:rFonts w:ascii="Times New Roman" w:hAnsi="Times New Roman" w:eastAsia="Times New Roman" w:cs="Times New Roman"/>
          <w:spacing w:val="9"/>
          <w:sz w:val="20"/>
          <w:szCs w:val="20"/>
        </w:rPr>
        <w:t xml:space="preserve">3.5 </w:t>
      </w:r>
      <w:r>
        <w:rPr>
          <w:rFonts w:ascii="宋体" w:hAnsi="宋体" w:eastAsia="宋体" w:cs="宋体"/>
          <w:spacing w:val="9"/>
          <w:sz w:val="20"/>
          <w:szCs w:val="20"/>
        </w:rPr>
        <w:t>款商定或确定承包人实际完成工作的价值，</w:t>
      </w:r>
      <w:r>
        <w:rPr>
          <w:rFonts w:ascii="宋体" w:hAnsi="宋体" w:eastAsia="宋体" w:cs="宋体"/>
          <w:spacing w:val="-60"/>
          <w:sz w:val="20"/>
          <w:szCs w:val="20"/>
        </w:rPr>
        <w:t xml:space="preserve"> </w:t>
      </w:r>
      <w:r>
        <w:rPr>
          <w:rFonts w:ascii="宋体" w:hAnsi="宋体" w:eastAsia="宋体" w:cs="宋体"/>
          <w:spacing w:val="9"/>
          <w:sz w:val="20"/>
          <w:szCs w:val="20"/>
        </w:rPr>
        <w:t>以及承包人已提供的材料、施工设备、工程设备和临时工程等的价值。</w:t>
      </w:r>
    </w:p>
    <w:p w14:paraId="70626802">
      <w:pPr>
        <w:spacing w:before="1" w:line="227" w:lineRule="auto"/>
        <w:ind w:left="730"/>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）合同解除后，发包人应暂停对承包人的一切付款，查清各项</w:t>
      </w:r>
      <w:r>
        <w:rPr>
          <w:rFonts w:ascii="宋体" w:hAnsi="宋体" w:eastAsia="宋体" w:cs="宋体"/>
          <w:spacing w:val="9"/>
          <w:sz w:val="20"/>
          <w:szCs w:val="20"/>
        </w:rPr>
        <w:t>付款和已扣款金额，包</w:t>
      </w:r>
    </w:p>
    <w:p w14:paraId="2FC91798">
      <w:pPr>
        <w:spacing w:line="227" w:lineRule="auto"/>
        <w:rPr>
          <w:rFonts w:ascii="宋体" w:hAnsi="宋体" w:eastAsia="宋体" w:cs="宋体"/>
          <w:sz w:val="20"/>
          <w:szCs w:val="20"/>
        </w:rPr>
        <w:sectPr>
          <w:footerReference r:id="rId192" w:type="default"/>
          <w:pgSz w:w="11906" w:h="16839"/>
          <w:pgMar w:top="400" w:right="1500" w:bottom="1038" w:left="1536" w:header="0" w:footer="787" w:gutter="0"/>
          <w:cols w:space="720" w:num="1"/>
        </w:sectPr>
      </w:pPr>
    </w:p>
    <w:p w14:paraId="54AEE08E">
      <w:pPr>
        <w:spacing w:line="271" w:lineRule="auto"/>
        <w:rPr>
          <w:rFonts w:ascii="Arial"/>
          <w:sz w:val="21"/>
        </w:rPr>
      </w:pPr>
    </w:p>
    <w:p w14:paraId="33043A73">
      <w:pPr>
        <w:spacing w:line="271" w:lineRule="auto"/>
        <w:rPr>
          <w:rFonts w:ascii="Arial"/>
          <w:sz w:val="21"/>
        </w:rPr>
      </w:pPr>
    </w:p>
    <w:p w14:paraId="6F4705BD">
      <w:pPr>
        <w:spacing w:line="272" w:lineRule="auto"/>
        <w:rPr>
          <w:rFonts w:ascii="Arial"/>
          <w:sz w:val="21"/>
        </w:rPr>
      </w:pPr>
    </w:p>
    <w:p w14:paraId="5981DA37">
      <w:pPr>
        <w:spacing w:line="272" w:lineRule="auto"/>
        <w:rPr>
          <w:rFonts w:ascii="Arial"/>
          <w:sz w:val="21"/>
        </w:rPr>
      </w:pPr>
    </w:p>
    <w:p w14:paraId="3909CCF1">
      <w:pPr>
        <w:spacing w:before="65" w:line="228" w:lineRule="auto"/>
        <w:ind w:left="3"/>
        <w:rPr>
          <w:rFonts w:ascii="宋体" w:hAnsi="宋体" w:eastAsia="宋体" w:cs="宋体"/>
          <w:sz w:val="20"/>
          <w:szCs w:val="20"/>
        </w:rPr>
      </w:pPr>
      <w:r>
        <w:rPr>
          <w:rFonts w:ascii="宋体" w:hAnsi="宋体" w:eastAsia="宋体" w:cs="宋体"/>
          <w:spacing w:val="8"/>
          <w:sz w:val="20"/>
          <w:szCs w:val="20"/>
        </w:rPr>
        <w:t>括承包人应支付的违约金。</w:t>
      </w:r>
    </w:p>
    <w:p w14:paraId="247C227A">
      <w:pPr>
        <w:spacing w:before="151" w:line="370" w:lineRule="auto"/>
        <w:ind w:left="20" w:right="2" w:firstLine="71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）合同解除后，发包人应按第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23.4 </w:t>
      </w:r>
      <w:r>
        <w:rPr>
          <w:rFonts w:ascii="宋体" w:hAnsi="宋体" w:eastAsia="宋体" w:cs="宋体"/>
          <w:spacing w:val="8"/>
          <w:sz w:val="20"/>
          <w:szCs w:val="20"/>
        </w:rPr>
        <w:t>款的约定向承包</w:t>
      </w:r>
      <w:r>
        <w:rPr>
          <w:rFonts w:ascii="宋体" w:hAnsi="宋体" w:eastAsia="宋体" w:cs="宋体"/>
          <w:spacing w:val="7"/>
          <w:sz w:val="20"/>
          <w:szCs w:val="20"/>
        </w:rPr>
        <w:t>人索赔由于解除合同给发包人造成</w:t>
      </w:r>
      <w:r>
        <w:rPr>
          <w:rFonts w:ascii="宋体" w:hAnsi="宋体" w:eastAsia="宋体" w:cs="宋体"/>
          <w:sz w:val="20"/>
          <w:szCs w:val="20"/>
        </w:rPr>
        <w:t>的损失。</w:t>
      </w:r>
    </w:p>
    <w:p w14:paraId="36CF8215">
      <w:pPr>
        <w:spacing w:line="226" w:lineRule="auto"/>
        <w:ind w:left="7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）合同双方确认上述往来款项后，出具最终结清付款证书，结清全部合同款项。</w:t>
      </w:r>
    </w:p>
    <w:p w14:paraId="32AC9385">
      <w:pPr>
        <w:spacing w:before="153" w:line="370" w:lineRule="auto"/>
        <w:ind w:left="7" w:right="2" w:firstLine="723"/>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）发包人和承包人未能就解除合同后的结清达成一致</w:t>
      </w:r>
      <w:r>
        <w:rPr>
          <w:rFonts w:ascii="宋体" w:hAnsi="宋体" w:eastAsia="宋体" w:cs="宋体"/>
          <w:spacing w:val="6"/>
          <w:sz w:val="20"/>
          <w:szCs w:val="20"/>
        </w:rPr>
        <w:t>而形成争议的，按第</w:t>
      </w:r>
      <w:r>
        <w:rPr>
          <w:rFonts w:ascii="宋体" w:hAnsi="宋体" w:eastAsia="宋体" w:cs="宋体"/>
          <w:spacing w:val="-41"/>
          <w:sz w:val="20"/>
          <w:szCs w:val="20"/>
        </w:rPr>
        <w:t xml:space="preserve"> </w:t>
      </w:r>
      <w:r>
        <w:rPr>
          <w:rFonts w:ascii="Times New Roman" w:hAnsi="Times New Roman" w:eastAsia="Times New Roman" w:cs="Times New Roman"/>
          <w:spacing w:val="6"/>
          <w:sz w:val="20"/>
          <w:szCs w:val="20"/>
        </w:rPr>
        <w:t xml:space="preserve">24 </w:t>
      </w:r>
      <w:r>
        <w:rPr>
          <w:rFonts w:ascii="宋体" w:hAnsi="宋体" w:eastAsia="宋体" w:cs="宋体"/>
          <w:spacing w:val="6"/>
          <w:sz w:val="20"/>
          <w:szCs w:val="20"/>
        </w:rPr>
        <w:t>条的约定</w:t>
      </w:r>
      <w:r>
        <w:rPr>
          <w:rFonts w:ascii="宋体" w:hAnsi="宋体" w:eastAsia="宋体" w:cs="宋体"/>
          <w:spacing w:val="1"/>
          <w:sz w:val="20"/>
          <w:szCs w:val="20"/>
        </w:rPr>
        <w:t>办理。</w:t>
      </w:r>
    </w:p>
    <w:p w14:paraId="23BA3A98">
      <w:pPr>
        <w:pStyle w:val="2"/>
        <w:spacing w:before="1" w:line="229" w:lineRule="auto"/>
        <w:ind w:left="419"/>
        <w:rPr>
          <w:sz w:val="20"/>
          <w:szCs w:val="20"/>
        </w:rPr>
      </w:pPr>
      <w:r>
        <w:rPr>
          <w:rFonts w:ascii="Times New Roman" w:hAnsi="Times New Roman" w:eastAsia="Times New Roman" w:cs="Times New Roman"/>
          <w:spacing w:val="4"/>
          <w:sz w:val="20"/>
          <w:szCs w:val="20"/>
        </w:rPr>
        <w:t>22.</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4"/>
          <w:sz w:val="20"/>
          <w:szCs w:val="20"/>
        </w:rPr>
        <w:t xml:space="preserve">1.5  </w:t>
      </w:r>
      <w:r>
        <w:rPr>
          <w:spacing w:val="4"/>
          <w:sz w:val="20"/>
          <w:szCs w:val="20"/>
        </w:rPr>
        <w:t>协议利益的转让</w:t>
      </w:r>
    </w:p>
    <w:p w14:paraId="015395B6">
      <w:pPr>
        <w:spacing w:before="149" w:line="370" w:lineRule="auto"/>
        <w:ind w:left="8" w:firstLine="431"/>
        <w:rPr>
          <w:rFonts w:ascii="宋体" w:hAnsi="宋体" w:eastAsia="宋体" w:cs="宋体"/>
          <w:sz w:val="20"/>
          <w:szCs w:val="20"/>
        </w:rPr>
      </w:pPr>
      <w:r>
        <w:rPr>
          <w:rFonts w:ascii="宋体" w:hAnsi="宋体" w:eastAsia="宋体" w:cs="宋体"/>
          <w:spacing w:val="9"/>
          <w:sz w:val="20"/>
          <w:szCs w:val="20"/>
        </w:rPr>
        <w:t>因承包人违约解除合同的，发包人有权要求承包人将其为实施合同而签订的材料和设备的订</w:t>
      </w:r>
      <w:r>
        <w:rPr>
          <w:rFonts w:ascii="宋体" w:hAnsi="宋体" w:eastAsia="宋体" w:cs="宋体"/>
          <w:spacing w:val="8"/>
          <w:sz w:val="20"/>
          <w:szCs w:val="20"/>
        </w:rPr>
        <w:t>货协议或任何服务协议利益转让给发包人，并在解除合同后的</w:t>
      </w:r>
      <w:r>
        <w:rPr>
          <w:rFonts w:ascii="宋体" w:hAnsi="宋体" w:eastAsia="宋体" w:cs="宋体"/>
          <w:spacing w:val="-14"/>
          <w:sz w:val="20"/>
          <w:szCs w:val="20"/>
        </w:rPr>
        <w:t xml:space="preserve"> </w:t>
      </w:r>
      <w:r>
        <w:rPr>
          <w:rFonts w:ascii="Times New Roman" w:hAnsi="Times New Roman" w:eastAsia="Times New Roman" w:cs="Times New Roman"/>
          <w:spacing w:val="8"/>
          <w:sz w:val="20"/>
          <w:szCs w:val="20"/>
        </w:rPr>
        <w:t>14</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天内，依法办理转让手续。</w:t>
      </w:r>
    </w:p>
    <w:p w14:paraId="5C54E445">
      <w:pPr>
        <w:pStyle w:val="2"/>
        <w:spacing w:before="1" w:line="228" w:lineRule="auto"/>
        <w:ind w:left="419"/>
        <w:rPr>
          <w:sz w:val="20"/>
          <w:szCs w:val="20"/>
        </w:rPr>
      </w:pPr>
      <w:r>
        <w:rPr>
          <w:rFonts w:ascii="Times New Roman" w:hAnsi="Times New Roman" w:eastAsia="Times New Roman" w:cs="Times New Roman"/>
          <w:spacing w:val="6"/>
          <w:sz w:val="20"/>
          <w:szCs w:val="20"/>
        </w:rPr>
        <w:t>22.</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6"/>
          <w:sz w:val="20"/>
          <w:szCs w:val="20"/>
        </w:rPr>
        <w:t xml:space="preserve">1.6  </w:t>
      </w:r>
      <w:r>
        <w:rPr>
          <w:spacing w:val="6"/>
          <w:sz w:val="20"/>
          <w:szCs w:val="20"/>
        </w:rPr>
        <w:t>紧急情况下无能力或不愿进行抢救</w:t>
      </w:r>
    </w:p>
    <w:p w14:paraId="0D900D42">
      <w:pPr>
        <w:spacing w:before="150" w:line="362" w:lineRule="auto"/>
        <w:ind w:left="3" w:firstLine="419"/>
        <w:rPr>
          <w:rFonts w:ascii="宋体" w:hAnsi="宋体" w:eastAsia="宋体" w:cs="宋体"/>
          <w:sz w:val="20"/>
          <w:szCs w:val="20"/>
        </w:rPr>
      </w:pPr>
      <w:r>
        <w:rPr>
          <w:rFonts w:ascii="宋体" w:hAnsi="宋体" w:eastAsia="宋体" w:cs="宋体"/>
          <w:spacing w:val="10"/>
          <w:sz w:val="20"/>
          <w:szCs w:val="20"/>
        </w:rPr>
        <w:t>在工程实施期间或缺陷责任期内发生危及工程安全的事件，监理人通知</w:t>
      </w:r>
      <w:r>
        <w:rPr>
          <w:rFonts w:ascii="宋体" w:hAnsi="宋体" w:eastAsia="宋体" w:cs="宋体"/>
          <w:spacing w:val="9"/>
          <w:sz w:val="20"/>
          <w:szCs w:val="20"/>
        </w:rPr>
        <w:t>承包人进行抢救，承</w:t>
      </w:r>
      <w:r>
        <w:rPr>
          <w:rFonts w:ascii="宋体" w:hAnsi="宋体" w:eastAsia="宋体" w:cs="宋体"/>
          <w:spacing w:val="10"/>
          <w:sz w:val="20"/>
          <w:szCs w:val="20"/>
        </w:rPr>
        <w:t>包人声明无能力或不愿立即执行的，发包人有权雇佣其他人员进行抢救。</w:t>
      </w:r>
      <w:r>
        <w:rPr>
          <w:rFonts w:ascii="宋体" w:hAnsi="宋体" w:eastAsia="宋体" w:cs="宋体"/>
          <w:spacing w:val="9"/>
          <w:sz w:val="20"/>
          <w:szCs w:val="20"/>
        </w:rPr>
        <w:t>此类抢救按合同约定属</w:t>
      </w:r>
      <w:r>
        <w:rPr>
          <w:rFonts w:ascii="宋体" w:hAnsi="宋体" w:eastAsia="宋体" w:cs="宋体"/>
          <w:spacing w:val="8"/>
          <w:sz w:val="20"/>
          <w:szCs w:val="20"/>
        </w:rPr>
        <w:t>于承包人义务的，</w:t>
      </w:r>
      <w:r>
        <w:rPr>
          <w:rFonts w:ascii="宋体" w:hAnsi="宋体" w:eastAsia="宋体" w:cs="宋体"/>
          <w:spacing w:val="-58"/>
          <w:sz w:val="20"/>
          <w:szCs w:val="20"/>
        </w:rPr>
        <w:t xml:space="preserve"> </w:t>
      </w:r>
      <w:r>
        <w:rPr>
          <w:rFonts w:ascii="宋体" w:hAnsi="宋体" w:eastAsia="宋体" w:cs="宋体"/>
          <w:spacing w:val="8"/>
          <w:sz w:val="20"/>
          <w:szCs w:val="20"/>
        </w:rPr>
        <w:t>由此发生的金额和（或）工期延误由承包人</w:t>
      </w:r>
      <w:r>
        <w:rPr>
          <w:rFonts w:ascii="宋体" w:hAnsi="宋体" w:eastAsia="宋体" w:cs="宋体"/>
          <w:spacing w:val="7"/>
          <w:sz w:val="20"/>
          <w:szCs w:val="20"/>
        </w:rPr>
        <w:t>承担。</w:t>
      </w:r>
    </w:p>
    <w:p w14:paraId="56DB46FF">
      <w:pPr>
        <w:pStyle w:val="2"/>
        <w:spacing w:before="1" w:line="220" w:lineRule="auto"/>
        <w:rPr>
          <w:sz w:val="24"/>
          <w:szCs w:val="24"/>
        </w:rPr>
      </w:pPr>
      <w:r>
        <w:rPr>
          <w:rFonts w:ascii="Times New Roman" w:hAnsi="Times New Roman" w:eastAsia="Times New Roman" w:cs="Times New Roman"/>
          <w:spacing w:val="-1"/>
          <w:sz w:val="24"/>
          <w:szCs w:val="24"/>
        </w:rPr>
        <w:t xml:space="preserve">22.2  </w:t>
      </w:r>
      <w:r>
        <w:rPr>
          <w:spacing w:val="-1"/>
          <w:sz w:val="24"/>
          <w:szCs w:val="24"/>
        </w:rPr>
        <w:t>发包人违约</w:t>
      </w:r>
    </w:p>
    <w:p w14:paraId="0D8FE14B">
      <w:pPr>
        <w:pStyle w:val="2"/>
        <w:spacing w:before="138" w:line="229" w:lineRule="auto"/>
        <w:ind w:left="419"/>
        <w:rPr>
          <w:sz w:val="20"/>
          <w:szCs w:val="20"/>
        </w:rPr>
      </w:pPr>
      <w:r>
        <w:rPr>
          <w:rFonts w:ascii="Times New Roman" w:hAnsi="Times New Roman" w:eastAsia="Times New Roman" w:cs="Times New Roman"/>
          <w:spacing w:val="6"/>
          <w:sz w:val="20"/>
          <w:szCs w:val="20"/>
        </w:rPr>
        <w:t xml:space="preserve">22.2.1  </w:t>
      </w:r>
      <w:r>
        <w:rPr>
          <w:spacing w:val="6"/>
          <w:sz w:val="20"/>
          <w:szCs w:val="20"/>
        </w:rPr>
        <w:t>发包人违约的情形</w:t>
      </w:r>
    </w:p>
    <w:p w14:paraId="0458350A">
      <w:pPr>
        <w:spacing w:before="153" w:line="228" w:lineRule="auto"/>
        <w:ind w:left="422"/>
        <w:rPr>
          <w:rFonts w:ascii="宋体" w:hAnsi="宋体" w:eastAsia="宋体" w:cs="宋体"/>
          <w:sz w:val="20"/>
          <w:szCs w:val="20"/>
        </w:rPr>
      </w:pPr>
      <w:r>
        <w:rPr>
          <w:rFonts w:ascii="宋体" w:hAnsi="宋体" w:eastAsia="宋体" w:cs="宋体"/>
          <w:spacing w:val="9"/>
          <w:sz w:val="20"/>
          <w:szCs w:val="20"/>
        </w:rPr>
        <w:t>在履行合同过程中发生的下列情形，属发包人违约：</w:t>
      </w:r>
    </w:p>
    <w:p w14:paraId="665D02A8">
      <w:pPr>
        <w:spacing w:before="151" w:line="370" w:lineRule="auto"/>
        <w:ind w:left="7" w:right="2" w:firstLine="723"/>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1</w:t>
      </w:r>
      <w:r>
        <w:rPr>
          <w:rFonts w:ascii="宋体" w:hAnsi="宋体" w:eastAsia="宋体" w:cs="宋体"/>
          <w:spacing w:val="10"/>
          <w:sz w:val="20"/>
          <w:szCs w:val="20"/>
        </w:rPr>
        <w:t>）发包人未能按合同约定支付预付款或合同价款，或拖延、拒</w:t>
      </w:r>
      <w:r>
        <w:rPr>
          <w:rFonts w:ascii="宋体" w:hAnsi="宋体" w:eastAsia="宋体" w:cs="宋体"/>
          <w:spacing w:val="9"/>
          <w:sz w:val="20"/>
          <w:szCs w:val="20"/>
        </w:rPr>
        <w:t>绝批准付款申请和支付</w:t>
      </w:r>
      <w:r>
        <w:rPr>
          <w:rFonts w:ascii="宋体" w:hAnsi="宋体" w:eastAsia="宋体" w:cs="宋体"/>
          <w:spacing w:val="7"/>
          <w:sz w:val="20"/>
          <w:szCs w:val="20"/>
        </w:rPr>
        <w:t>凭证，导致付款延误的；</w:t>
      </w:r>
    </w:p>
    <w:p w14:paraId="66B637BC">
      <w:pPr>
        <w:spacing w:line="228" w:lineRule="auto"/>
        <w:ind w:left="7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）发包人原因造成停工的；</w:t>
      </w:r>
    </w:p>
    <w:p w14:paraId="05AA728F">
      <w:pPr>
        <w:spacing w:before="151" w:line="228" w:lineRule="auto"/>
        <w:ind w:left="7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）监理人无正当理由没有在约定期限内发出复工指示，导致承包人无法复工的；</w:t>
      </w:r>
    </w:p>
    <w:p w14:paraId="7AB30FCD">
      <w:pPr>
        <w:spacing w:before="154" w:line="228" w:lineRule="auto"/>
        <w:ind w:left="7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）发包人无法继续履行或明确表示不履行或实质上已停止履</w:t>
      </w:r>
      <w:r>
        <w:rPr>
          <w:rFonts w:ascii="宋体" w:hAnsi="宋体" w:eastAsia="宋体" w:cs="宋体"/>
          <w:spacing w:val="8"/>
          <w:sz w:val="20"/>
          <w:szCs w:val="20"/>
        </w:rPr>
        <w:t>行合同的；</w:t>
      </w:r>
    </w:p>
    <w:p w14:paraId="6A6230E3">
      <w:pPr>
        <w:spacing w:before="153" w:line="228" w:lineRule="auto"/>
        <w:ind w:left="7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）发包人不履行合同约定其他义务的。</w:t>
      </w:r>
    </w:p>
    <w:p w14:paraId="03975621">
      <w:pPr>
        <w:pStyle w:val="2"/>
        <w:spacing w:before="152" w:line="231" w:lineRule="auto"/>
        <w:ind w:left="419"/>
        <w:rPr>
          <w:sz w:val="20"/>
          <w:szCs w:val="20"/>
        </w:rPr>
      </w:pPr>
      <w:r>
        <w:rPr>
          <w:rFonts w:ascii="Times New Roman" w:hAnsi="Times New Roman" w:eastAsia="Times New Roman" w:cs="Times New Roman"/>
          <w:spacing w:val="6"/>
          <w:sz w:val="20"/>
          <w:szCs w:val="20"/>
        </w:rPr>
        <w:t xml:space="preserve">22.2.2  </w:t>
      </w:r>
      <w:r>
        <w:rPr>
          <w:spacing w:val="6"/>
          <w:sz w:val="20"/>
          <w:szCs w:val="20"/>
        </w:rPr>
        <w:t>承包人有权暂停施工</w:t>
      </w:r>
    </w:p>
    <w:p w14:paraId="15AAB975">
      <w:pPr>
        <w:spacing w:before="152" w:line="369" w:lineRule="auto"/>
        <w:ind w:left="2" w:firstLine="424"/>
        <w:rPr>
          <w:rFonts w:ascii="宋体" w:hAnsi="宋体" w:eastAsia="宋体" w:cs="宋体"/>
          <w:sz w:val="20"/>
          <w:szCs w:val="20"/>
        </w:rPr>
      </w:pPr>
      <w:r>
        <w:rPr>
          <w:rFonts w:ascii="宋体" w:hAnsi="宋体" w:eastAsia="宋体" w:cs="宋体"/>
          <w:spacing w:val="7"/>
          <w:sz w:val="20"/>
          <w:szCs w:val="20"/>
        </w:rPr>
        <w:t>发包人发生除第</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22.2.1</w:t>
      </w: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w:t>
      </w:r>
      <w:r>
        <w:rPr>
          <w:rFonts w:ascii="宋体" w:hAnsi="宋体" w:eastAsia="宋体" w:cs="宋体"/>
          <w:spacing w:val="-54"/>
          <w:sz w:val="20"/>
          <w:szCs w:val="20"/>
        </w:rPr>
        <w:t xml:space="preserve"> </w:t>
      </w:r>
      <w:r>
        <w:rPr>
          <w:rFonts w:ascii="宋体" w:hAnsi="宋体" w:eastAsia="宋体" w:cs="宋体"/>
          <w:spacing w:val="7"/>
          <w:sz w:val="20"/>
          <w:szCs w:val="20"/>
        </w:rPr>
        <w:t>目以外的</w:t>
      </w:r>
      <w:r>
        <w:rPr>
          <w:rFonts w:ascii="宋体" w:hAnsi="宋体" w:eastAsia="宋体" w:cs="宋体"/>
          <w:spacing w:val="6"/>
          <w:sz w:val="20"/>
          <w:szCs w:val="20"/>
        </w:rPr>
        <w:t>违约情况时，承包人可向发包人发出通知，要求发包人</w:t>
      </w:r>
      <w:r>
        <w:rPr>
          <w:rFonts w:ascii="宋体" w:hAnsi="宋体" w:eastAsia="宋体" w:cs="宋体"/>
          <w:spacing w:val="7"/>
          <w:sz w:val="20"/>
          <w:szCs w:val="20"/>
        </w:rPr>
        <w:t>采取有效措施纠正违约行为。发包人收到承包人通知后的</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天内仍</w:t>
      </w:r>
      <w:r>
        <w:rPr>
          <w:rFonts w:ascii="宋体" w:hAnsi="宋体" w:eastAsia="宋体" w:cs="宋体"/>
          <w:spacing w:val="6"/>
          <w:sz w:val="20"/>
          <w:szCs w:val="20"/>
        </w:rPr>
        <w:t>不履行合同义务，承包人有权</w:t>
      </w:r>
      <w:r>
        <w:rPr>
          <w:rFonts w:ascii="宋体" w:hAnsi="宋体" w:eastAsia="宋体" w:cs="宋体"/>
          <w:spacing w:val="10"/>
          <w:sz w:val="20"/>
          <w:szCs w:val="20"/>
        </w:rPr>
        <w:t>暂停施工，并通知监理人，发包人应承担由此增加的费用和（或）工期延误</w:t>
      </w:r>
      <w:r>
        <w:rPr>
          <w:rFonts w:ascii="宋体" w:hAnsi="宋体" w:eastAsia="宋体" w:cs="宋体"/>
          <w:spacing w:val="9"/>
          <w:sz w:val="20"/>
          <w:szCs w:val="20"/>
        </w:rPr>
        <w:t>，并支付承包人合理</w:t>
      </w:r>
      <w:r>
        <w:rPr>
          <w:rFonts w:ascii="宋体" w:hAnsi="宋体" w:eastAsia="宋体" w:cs="宋体"/>
          <w:spacing w:val="3"/>
          <w:sz w:val="20"/>
          <w:szCs w:val="20"/>
        </w:rPr>
        <w:t>利润。</w:t>
      </w:r>
    </w:p>
    <w:p w14:paraId="2DE9865B">
      <w:pPr>
        <w:pStyle w:val="2"/>
        <w:spacing w:before="1" w:line="229" w:lineRule="auto"/>
        <w:ind w:left="419"/>
        <w:rPr>
          <w:sz w:val="20"/>
          <w:szCs w:val="20"/>
        </w:rPr>
      </w:pPr>
      <w:r>
        <w:rPr>
          <w:rFonts w:ascii="Times New Roman" w:hAnsi="Times New Roman" w:eastAsia="Times New Roman" w:cs="Times New Roman"/>
          <w:spacing w:val="6"/>
          <w:sz w:val="20"/>
          <w:szCs w:val="20"/>
        </w:rPr>
        <w:t xml:space="preserve">22.2.3  </w:t>
      </w:r>
      <w:r>
        <w:rPr>
          <w:spacing w:val="6"/>
          <w:sz w:val="20"/>
          <w:szCs w:val="20"/>
        </w:rPr>
        <w:t>发包人违约解除合同</w:t>
      </w:r>
    </w:p>
    <w:p w14:paraId="07D787DD">
      <w:pPr>
        <w:spacing w:before="150" w:line="227" w:lineRule="auto"/>
        <w:ind w:left="7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）发生第</w:t>
      </w:r>
      <w:r>
        <w:rPr>
          <w:rFonts w:ascii="宋体" w:hAnsi="宋体" w:eastAsia="宋体" w:cs="宋体"/>
          <w:spacing w:val="-27"/>
          <w:sz w:val="20"/>
          <w:szCs w:val="20"/>
        </w:rPr>
        <w:t xml:space="preserve"> </w:t>
      </w:r>
      <w:r>
        <w:rPr>
          <w:rFonts w:ascii="Times New Roman" w:hAnsi="Times New Roman" w:eastAsia="Times New Roman" w:cs="Times New Roman"/>
          <w:spacing w:val="6"/>
          <w:sz w:val="20"/>
          <w:szCs w:val="20"/>
        </w:rPr>
        <w:t>22.2.1</w:t>
      </w: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w:t>
      </w:r>
      <w:r>
        <w:rPr>
          <w:rFonts w:ascii="宋体" w:hAnsi="宋体" w:eastAsia="宋体" w:cs="宋体"/>
          <w:spacing w:val="-42"/>
          <w:sz w:val="20"/>
          <w:szCs w:val="20"/>
        </w:rPr>
        <w:t xml:space="preserve"> </w:t>
      </w:r>
      <w:r>
        <w:rPr>
          <w:rFonts w:ascii="宋体" w:hAnsi="宋体" w:eastAsia="宋体" w:cs="宋体"/>
          <w:spacing w:val="6"/>
          <w:sz w:val="20"/>
          <w:szCs w:val="20"/>
        </w:rPr>
        <w:t>目的违约情况时，承包人可书面通知发包人解除合同。</w:t>
      </w:r>
    </w:p>
    <w:p w14:paraId="00B7E24D">
      <w:pPr>
        <w:spacing w:before="155" w:line="369" w:lineRule="auto"/>
        <w:ind w:left="3" w:firstLine="726"/>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）承包人按</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22.2.2</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项暂停施工</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28</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天后</w:t>
      </w:r>
      <w:r>
        <w:rPr>
          <w:rFonts w:ascii="宋体" w:hAnsi="宋体" w:eastAsia="宋体" w:cs="宋体"/>
          <w:spacing w:val="5"/>
          <w:sz w:val="20"/>
          <w:szCs w:val="20"/>
        </w:rPr>
        <w:t>，发包人仍不纠正违约行为的，承包人可向发包</w:t>
      </w:r>
      <w:r>
        <w:rPr>
          <w:rFonts w:ascii="宋体" w:hAnsi="宋体" w:eastAsia="宋体" w:cs="宋体"/>
          <w:spacing w:val="10"/>
          <w:sz w:val="20"/>
          <w:szCs w:val="20"/>
        </w:rPr>
        <w:t>人发出解除合同通知。但承包人的这一行动不免除发包人承担的违约责</w:t>
      </w:r>
      <w:r>
        <w:rPr>
          <w:rFonts w:ascii="宋体" w:hAnsi="宋体" w:eastAsia="宋体" w:cs="宋体"/>
          <w:spacing w:val="9"/>
          <w:sz w:val="20"/>
          <w:szCs w:val="20"/>
        </w:rPr>
        <w:t>任，也不影响承包人根据</w:t>
      </w:r>
      <w:r>
        <w:rPr>
          <w:rFonts w:ascii="宋体" w:hAnsi="宋体" w:eastAsia="宋体" w:cs="宋体"/>
          <w:spacing w:val="8"/>
          <w:sz w:val="20"/>
          <w:szCs w:val="20"/>
        </w:rPr>
        <w:t>合同约定享有的索赔权利。</w:t>
      </w:r>
    </w:p>
    <w:p w14:paraId="05EA1C64">
      <w:pPr>
        <w:pStyle w:val="2"/>
        <w:spacing w:before="1" w:line="229" w:lineRule="auto"/>
        <w:ind w:left="419"/>
        <w:rPr>
          <w:sz w:val="20"/>
          <w:szCs w:val="20"/>
        </w:rPr>
      </w:pPr>
      <w:r>
        <w:rPr>
          <w:rFonts w:ascii="Times New Roman" w:hAnsi="Times New Roman" w:eastAsia="Times New Roman" w:cs="Times New Roman"/>
          <w:spacing w:val="6"/>
          <w:sz w:val="20"/>
          <w:szCs w:val="20"/>
        </w:rPr>
        <w:t xml:space="preserve">22.2.4  </w:t>
      </w:r>
      <w:r>
        <w:rPr>
          <w:spacing w:val="6"/>
          <w:sz w:val="20"/>
          <w:szCs w:val="20"/>
        </w:rPr>
        <w:t>解除合同后的付款</w:t>
      </w:r>
    </w:p>
    <w:p w14:paraId="503CA455">
      <w:pPr>
        <w:spacing w:before="152" w:line="369" w:lineRule="auto"/>
        <w:ind w:left="2" w:right="2" w:firstLine="437"/>
        <w:rPr>
          <w:rFonts w:ascii="宋体" w:hAnsi="宋体" w:eastAsia="宋体" w:cs="宋体"/>
          <w:sz w:val="20"/>
          <w:szCs w:val="20"/>
        </w:rPr>
      </w:pPr>
      <w:r>
        <w:rPr>
          <w:rFonts w:ascii="宋体" w:hAnsi="宋体" w:eastAsia="宋体" w:cs="宋体"/>
          <w:spacing w:val="6"/>
          <w:sz w:val="20"/>
          <w:szCs w:val="20"/>
        </w:rPr>
        <w:t>因发包人违约解除合同的，发包人应在解除合同后</w:t>
      </w:r>
      <w:r>
        <w:rPr>
          <w:rFonts w:ascii="宋体" w:hAnsi="宋体" w:eastAsia="宋体" w:cs="宋体"/>
          <w:spacing w:val="-30"/>
          <w:sz w:val="20"/>
          <w:szCs w:val="20"/>
        </w:rPr>
        <w:t xml:space="preserve"> </w:t>
      </w:r>
      <w:r>
        <w:rPr>
          <w:rFonts w:ascii="Times New Roman" w:hAnsi="Times New Roman" w:eastAsia="Times New Roman" w:cs="Times New Roman"/>
          <w:spacing w:val="6"/>
          <w:sz w:val="20"/>
          <w:szCs w:val="20"/>
        </w:rPr>
        <w:t xml:space="preserve">28 </w:t>
      </w:r>
      <w:r>
        <w:rPr>
          <w:rFonts w:ascii="宋体" w:hAnsi="宋体" w:eastAsia="宋体" w:cs="宋体"/>
          <w:spacing w:val="6"/>
          <w:sz w:val="20"/>
          <w:szCs w:val="20"/>
        </w:rPr>
        <w:t>天内向承包人支付下列金额，承包人应</w:t>
      </w:r>
      <w:r>
        <w:rPr>
          <w:rFonts w:ascii="宋体" w:hAnsi="宋体" w:eastAsia="宋体" w:cs="宋体"/>
          <w:spacing w:val="9"/>
          <w:sz w:val="20"/>
          <w:szCs w:val="20"/>
        </w:rPr>
        <w:t>在此期限内及时向发包人提交要求支付下列金额的有关资料和凭证：</w:t>
      </w:r>
    </w:p>
    <w:p w14:paraId="58562861">
      <w:pPr>
        <w:spacing w:line="369" w:lineRule="auto"/>
        <w:rPr>
          <w:rFonts w:ascii="宋体" w:hAnsi="宋体" w:eastAsia="宋体" w:cs="宋体"/>
          <w:sz w:val="20"/>
          <w:szCs w:val="20"/>
        </w:rPr>
        <w:sectPr>
          <w:footerReference r:id="rId193" w:type="default"/>
          <w:pgSz w:w="11906" w:h="16839"/>
          <w:pgMar w:top="400" w:right="1554" w:bottom="1038" w:left="1536" w:header="0" w:footer="787" w:gutter="0"/>
          <w:cols w:space="720" w:num="1"/>
        </w:sectPr>
      </w:pPr>
    </w:p>
    <w:p w14:paraId="17BD7259">
      <w:pPr>
        <w:spacing w:line="271" w:lineRule="auto"/>
        <w:rPr>
          <w:rFonts w:ascii="Arial"/>
          <w:sz w:val="21"/>
        </w:rPr>
      </w:pPr>
    </w:p>
    <w:p w14:paraId="0D03CE61">
      <w:pPr>
        <w:spacing w:line="272" w:lineRule="auto"/>
        <w:rPr>
          <w:rFonts w:ascii="Arial"/>
          <w:sz w:val="21"/>
        </w:rPr>
      </w:pPr>
    </w:p>
    <w:p w14:paraId="78FB52CF">
      <w:pPr>
        <w:spacing w:line="272" w:lineRule="auto"/>
        <w:rPr>
          <w:rFonts w:ascii="Arial"/>
          <w:sz w:val="21"/>
        </w:rPr>
      </w:pPr>
    </w:p>
    <w:p w14:paraId="5AB0C494">
      <w:pPr>
        <w:spacing w:line="272" w:lineRule="auto"/>
        <w:rPr>
          <w:rFonts w:ascii="Arial"/>
          <w:sz w:val="21"/>
        </w:rPr>
      </w:pPr>
    </w:p>
    <w:p w14:paraId="41B2972F">
      <w:pPr>
        <w:spacing w:before="65" w:line="226" w:lineRule="auto"/>
        <w:ind w:left="7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）合同解除日以前所完成工作的价款；</w:t>
      </w:r>
    </w:p>
    <w:p w14:paraId="6A450F48">
      <w:pPr>
        <w:spacing w:before="153" w:line="370" w:lineRule="auto"/>
        <w:ind w:left="2" w:right="2" w:firstLine="728"/>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）承包人为该工程施工订购并已付款的材料、工程设备和其他</w:t>
      </w:r>
      <w:r>
        <w:rPr>
          <w:rFonts w:ascii="宋体" w:hAnsi="宋体" w:eastAsia="宋体" w:cs="宋体"/>
          <w:spacing w:val="9"/>
          <w:sz w:val="20"/>
          <w:szCs w:val="20"/>
        </w:rPr>
        <w:t>物品的金额。发包人付还后，该材料、工程设备和其他物品归发包人所有；</w:t>
      </w:r>
    </w:p>
    <w:p w14:paraId="4440D036">
      <w:pPr>
        <w:spacing w:line="227" w:lineRule="auto"/>
        <w:ind w:left="7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）承包人为完成工程所发生的，而发包人未支付的金额；</w:t>
      </w:r>
    </w:p>
    <w:p w14:paraId="01243F25">
      <w:pPr>
        <w:spacing w:before="151" w:line="228" w:lineRule="auto"/>
        <w:ind w:left="7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）承包人撤离施工场地以及遣散承包人人员的金额；</w:t>
      </w:r>
    </w:p>
    <w:p w14:paraId="0C4BB642">
      <w:pPr>
        <w:spacing w:before="153" w:line="228" w:lineRule="auto"/>
        <w:ind w:left="730"/>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5</w:t>
      </w:r>
      <w:r>
        <w:rPr>
          <w:rFonts w:ascii="宋体" w:hAnsi="宋体" w:eastAsia="宋体" w:cs="宋体"/>
          <w:spacing w:val="5"/>
          <w:sz w:val="20"/>
          <w:szCs w:val="20"/>
        </w:rPr>
        <w:t>）</w:t>
      </w:r>
      <w:r>
        <w:rPr>
          <w:rFonts w:ascii="宋体" w:hAnsi="宋体" w:eastAsia="宋体" w:cs="宋体"/>
          <w:spacing w:val="-43"/>
          <w:sz w:val="20"/>
          <w:szCs w:val="20"/>
        </w:rPr>
        <w:t xml:space="preserve"> </w:t>
      </w:r>
      <w:r>
        <w:rPr>
          <w:rFonts w:ascii="宋体" w:hAnsi="宋体" w:eastAsia="宋体" w:cs="宋体"/>
          <w:spacing w:val="5"/>
          <w:sz w:val="20"/>
          <w:szCs w:val="20"/>
        </w:rPr>
        <w:t>由于解除合同应赔偿的承包人损失；</w:t>
      </w:r>
    </w:p>
    <w:p w14:paraId="7AE163B2">
      <w:pPr>
        <w:spacing w:before="154" w:line="228" w:lineRule="auto"/>
        <w:ind w:left="7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6</w:t>
      </w:r>
      <w:r>
        <w:rPr>
          <w:rFonts w:ascii="宋体" w:hAnsi="宋体" w:eastAsia="宋体" w:cs="宋体"/>
          <w:spacing w:val="9"/>
          <w:sz w:val="20"/>
          <w:szCs w:val="20"/>
        </w:rPr>
        <w:t>）按合同约定在合同解除日前应支付给</w:t>
      </w:r>
      <w:r>
        <w:rPr>
          <w:rFonts w:ascii="宋体" w:hAnsi="宋体" w:eastAsia="宋体" w:cs="宋体"/>
          <w:spacing w:val="8"/>
          <w:sz w:val="20"/>
          <w:szCs w:val="20"/>
        </w:rPr>
        <w:t>承包人的其他金额。</w:t>
      </w:r>
    </w:p>
    <w:p w14:paraId="7815B12E">
      <w:pPr>
        <w:spacing w:before="152" w:line="370" w:lineRule="auto"/>
        <w:ind w:left="2" w:firstLine="424"/>
        <w:rPr>
          <w:rFonts w:ascii="宋体" w:hAnsi="宋体" w:eastAsia="宋体" w:cs="宋体"/>
          <w:sz w:val="20"/>
          <w:szCs w:val="20"/>
        </w:rPr>
      </w:pPr>
      <w:r>
        <w:rPr>
          <w:rFonts w:ascii="宋体" w:hAnsi="宋体" w:eastAsia="宋体" w:cs="宋体"/>
          <w:spacing w:val="10"/>
          <w:sz w:val="20"/>
          <w:szCs w:val="20"/>
        </w:rPr>
        <w:t>发包人应按本项约定支付上述金额并退还质量保证金和履约担</w:t>
      </w:r>
      <w:r>
        <w:rPr>
          <w:rFonts w:ascii="宋体" w:hAnsi="宋体" w:eastAsia="宋体" w:cs="宋体"/>
          <w:spacing w:val="9"/>
          <w:sz w:val="20"/>
          <w:szCs w:val="20"/>
        </w:rPr>
        <w:t>保，但有权要求承包人支付应</w:t>
      </w:r>
      <w:r>
        <w:rPr>
          <w:rFonts w:ascii="宋体" w:hAnsi="宋体" w:eastAsia="宋体" w:cs="宋体"/>
          <w:spacing w:val="8"/>
          <w:sz w:val="20"/>
          <w:szCs w:val="20"/>
        </w:rPr>
        <w:t>偿还给发包人的各项金额。</w:t>
      </w:r>
    </w:p>
    <w:p w14:paraId="01544402">
      <w:pPr>
        <w:pStyle w:val="2"/>
        <w:spacing w:before="1" w:line="229" w:lineRule="auto"/>
        <w:ind w:left="419"/>
        <w:rPr>
          <w:sz w:val="20"/>
          <w:szCs w:val="20"/>
        </w:rPr>
      </w:pPr>
      <w:r>
        <w:rPr>
          <w:rFonts w:ascii="Times New Roman" w:hAnsi="Times New Roman" w:eastAsia="Times New Roman" w:cs="Times New Roman"/>
          <w:spacing w:val="7"/>
          <w:sz w:val="20"/>
          <w:szCs w:val="20"/>
        </w:rPr>
        <w:t xml:space="preserve">22.2.5  </w:t>
      </w:r>
      <w:r>
        <w:rPr>
          <w:spacing w:val="7"/>
          <w:sz w:val="20"/>
          <w:szCs w:val="20"/>
        </w:rPr>
        <w:t>解除合同后的承包人撤离</w:t>
      </w:r>
    </w:p>
    <w:p w14:paraId="3C7712C2">
      <w:pPr>
        <w:spacing w:before="148" w:line="362" w:lineRule="auto"/>
        <w:ind w:left="5" w:firstLine="433"/>
        <w:rPr>
          <w:rFonts w:ascii="宋体" w:hAnsi="宋体" w:eastAsia="宋体" w:cs="宋体"/>
          <w:sz w:val="20"/>
          <w:szCs w:val="20"/>
        </w:rPr>
      </w:pPr>
      <w:r>
        <w:rPr>
          <w:rFonts w:ascii="宋体" w:hAnsi="宋体" w:eastAsia="宋体" w:cs="宋体"/>
          <w:spacing w:val="9"/>
          <w:sz w:val="20"/>
          <w:szCs w:val="20"/>
        </w:rPr>
        <w:t>因发包人违约而解除合同后，承包人应妥善做好已竣工工程和已购材料、设备的保护和移交</w:t>
      </w:r>
      <w:r>
        <w:rPr>
          <w:rFonts w:ascii="宋体" w:hAnsi="宋体" w:eastAsia="宋体" w:cs="宋体"/>
          <w:spacing w:val="8"/>
          <w:sz w:val="20"/>
          <w:szCs w:val="20"/>
        </w:rPr>
        <w:t>工作，按发包人要求将承包人设备和人员撤出施工场地。承包人撤出施工场地应遵守第</w:t>
      </w:r>
      <w:r>
        <w:rPr>
          <w:rFonts w:ascii="宋体" w:hAnsi="宋体" w:eastAsia="宋体" w:cs="宋体"/>
          <w:spacing w:val="-12"/>
          <w:sz w:val="20"/>
          <w:szCs w:val="20"/>
        </w:rPr>
        <w:t xml:space="preserve"> </w:t>
      </w:r>
      <w:r>
        <w:rPr>
          <w:rFonts w:ascii="Times New Roman" w:hAnsi="Times New Roman" w:eastAsia="Times New Roman" w:cs="Times New Roman"/>
          <w:spacing w:val="8"/>
          <w:sz w:val="20"/>
          <w:szCs w:val="20"/>
        </w:rPr>
        <w:t xml:space="preserve">18.7.1 </w:t>
      </w:r>
      <w:r>
        <w:rPr>
          <w:rFonts w:ascii="宋体" w:hAnsi="宋体" w:eastAsia="宋体" w:cs="宋体"/>
          <w:spacing w:val="8"/>
          <w:sz w:val="20"/>
          <w:szCs w:val="20"/>
        </w:rPr>
        <w:t>项的约定，发包人应为承包人撤出提供必要条件。</w:t>
      </w:r>
    </w:p>
    <w:p w14:paraId="426FAE58">
      <w:pPr>
        <w:pStyle w:val="2"/>
        <w:spacing w:before="1" w:line="221" w:lineRule="auto"/>
        <w:rPr>
          <w:sz w:val="24"/>
          <w:szCs w:val="24"/>
        </w:rPr>
      </w:pPr>
      <w:r>
        <w:rPr>
          <w:rFonts w:ascii="Times New Roman" w:hAnsi="Times New Roman" w:eastAsia="Times New Roman" w:cs="Times New Roman"/>
          <w:spacing w:val="-1"/>
          <w:sz w:val="24"/>
          <w:szCs w:val="24"/>
        </w:rPr>
        <w:t xml:space="preserve">22.3  </w:t>
      </w:r>
      <w:r>
        <w:rPr>
          <w:spacing w:val="-1"/>
          <w:sz w:val="24"/>
          <w:szCs w:val="24"/>
        </w:rPr>
        <w:t>第三人造成的违约</w:t>
      </w:r>
    </w:p>
    <w:p w14:paraId="0A4BBB35">
      <w:pPr>
        <w:spacing w:before="137" w:line="371" w:lineRule="auto"/>
        <w:ind w:left="2" w:firstLine="420"/>
        <w:rPr>
          <w:rFonts w:ascii="宋体" w:hAnsi="宋体" w:eastAsia="宋体" w:cs="宋体"/>
          <w:sz w:val="20"/>
          <w:szCs w:val="20"/>
        </w:rPr>
      </w:pPr>
      <w:r>
        <w:rPr>
          <w:rFonts w:ascii="宋体" w:hAnsi="宋体" w:eastAsia="宋体" w:cs="宋体"/>
          <w:spacing w:val="10"/>
          <w:sz w:val="20"/>
          <w:szCs w:val="20"/>
        </w:rPr>
        <w:t>在履行合同过程中，一方当事人因第三人的原因造成违约的，应当向对</w:t>
      </w:r>
      <w:r>
        <w:rPr>
          <w:rFonts w:ascii="宋体" w:hAnsi="宋体" w:eastAsia="宋体" w:cs="宋体"/>
          <w:spacing w:val="9"/>
          <w:sz w:val="20"/>
          <w:szCs w:val="20"/>
        </w:rPr>
        <w:t>方当事人承担违约责任。一方当事人和第三人之间的纠纷，依照法律规定或者按照约定解决。</w:t>
      </w:r>
    </w:p>
    <w:p w14:paraId="2ED3D079">
      <w:pPr>
        <w:pStyle w:val="2"/>
        <w:spacing w:before="35" w:line="222" w:lineRule="auto"/>
        <w:outlineLvl w:val="2"/>
        <w:rPr>
          <w:sz w:val="28"/>
          <w:szCs w:val="28"/>
        </w:rPr>
      </w:pPr>
      <w:bookmarkStart w:id="236" w:name="bookmark217"/>
      <w:bookmarkEnd w:id="236"/>
      <w:r>
        <w:rPr>
          <w:rFonts w:ascii="Times New Roman" w:hAnsi="Times New Roman" w:eastAsia="Times New Roman" w:cs="Times New Roman"/>
          <w:spacing w:val="-4"/>
          <w:sz w:val="28"/>
          <w:szCs w:val="28"/>
        </w:rPr>
        <w:t>23.</w:t>
      </w:r>
      <w:r>
        <w:rPr>
          <w:rFonts w:ascii="Times New Roman" w:hAnsi="Times New Roman" w:eastAsia="Times New Roman" w:cs="Times New Roman"/>
          <w:spacing w:val="7"/>
          <w:sz w:val="28"/>
          <w:szCs w:val="28"/>
        </w:rPr>
        <w:t xml:space="preserve">  </w:t>
      </w:r>
      <w:r>
        <w:rPr>
          <w:spacing w:val="-4"/>
          <w:sz w:val="28"/>
          <w:szCs w:val="28"/>
        </w:rPr>
        <w:t>索赔</w:t>
      </w:r>
    </w:p>
    <w:p w14:paraId="16344F8A">
      <w:pPr>
        <w:pStyle w:val="2"/>
        <w:spacing w:before="98" w:line="222" w:lineRule="auto"/>
        <w:rPr>
          <w:sz w:val="24"/>
          <w:szCs w:val="24"/>
        </w:rPr>
      </w:pPr>
      <w:r>
        <w:rPr>
          <w:rFonts w:ascii="Times New Roman" w:hAnsi="Times New Roman" w:eastAsia="Times New Roman" w:cs="Times New Roman"/>
          <w:spacing w:val="-1"/>
          <w:sz w:val="24"/>
          <w:szCs w:val="24"/>
        </w:rPr>
        <w:t xml:space="preserve">23.1  </w:t>
      </w:r>
      <w:r>
        <w:rPr>
          <w:spacing w:val="-1"/>
          <w:sz w:val="24"/>
          <w:szCs w:val="24"/>
        </w:rPr>
        <w:t>承包人索赔的提出</w:t>
      </w:r>
    </w:p>
    <w:p w14:paraId="75B41D9A">
      <w:pPr>
        <w:spacing w:before="137" w:line="370" w:lineRule="auto"/>
        <w:ind w:left="3" w:firstLine="419"/>
        <w:rPr>
          <w:rFonts w:ascii="宋体" w:hAnsi="宋体" w:eastAsia="宋体" w:cs="宋体"/>
          <w:sz w:val="20"/>
          <w:szCs w:val="20"/>
        </w:rPr>
      </w:pPr>
      <w:r>
        <w:rPr>
          <w:rFonts w:ascii="宋体" w:hAnsi="宋体" w:eastAsia="宋体" w:cs="宋体"/>
          <w:spacing w:val="10"/>
          <w:sz w:val="20"/>
          <w:szCs w:val="20"/>
        </w:rPr>
        <w:t>根据合同约定，承包人认为有权得到追加付款和（或）延长工期的，</w:t>
      </w:r>
      <w:r>
        <w:rPr>
          <w:rFonts w:ascii="宋体" w:hAnsi="宋体" w:eastAsia="宋体" w:cs="宋体"/>
          <w:spacing w:val="9"/>
          <w:sz w:val="20"/>
          <w:szCs w:val="20"/>
        </w:rPr>
        <w:t>应按以下程序向发包人</w:t>
      </w:r>
      <w:r>
        <w:rPr>
          <w:rFonts w:ascii="宋体" w:hAnsi="宋体" w:eastAsia="宋体" w:cs="宋体"/>
          <w:spacing w:val="5"/>
          <w:sz w:val="20"/>
          <w:szCs w:val="20"/>
        </w:rPr>
        <w:t>提出索赔：</w:t>
      </w:r>
    </w:p>
    <w:p w14:paraId="398F4568">
      <w:pPr>
        <w:spacing w:before="1" w:line="369" w:lineRule="auto"/>
        <w:ind w:left="3" w:right="2" w:firstLine="366"/>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1</w:t>
      </w:r>
      <w:r>
        <w:rPr>
          <w:rFonts w:ascii="宋体" w:hAnsi="宋体" w:eastAsia="宋体" w:cs="宋体"/>
          <w:spacing w:val="10"/>
          <w:sz w:val="20"/>
          <w:szCs w:val="20"/>
        </w:rPr>
        <w:t>）承包人应在知道或应当知道索赔事件发生后</w:t>
      </w:r>
      <w:r>
        <w:rPr>
          <w:rFonts w:ascii="宋体" w:hAnsi="宋体" w:eastAsia="宋体" w:cs="宋体"/>
          <w:spacing w:val="-36"/>
          <w:sz w:val="20"/>
          <w:szCs w:val="20"/>
        </w:rPr>
        <w:t xml:space="preserve"> </w:t>
      </w:r>
      <w:r>
        <w:rPr>
          <w:rFonts w:ascii="Times New Roman" w:hAnsi="Times New Roman" w:eastAsia="Times New Roman" w:cs="Times New Roman"/>
          <w:spacing w:val="10"/>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10"/>
          <w:sz w:val="20"/>
          <w:szCs w:val="20"/>
        </w:rPr>
        <w:t>天内，向监理人递交索赔意向通知书，</w:t>
      </w:r>
      <w:r>
        <w:rPr>
          <w:rFonts w:ascii="宋体" w:hAnsi="宋体" w:eastAsia="宋体" w:cs="宋体"/>
          <w:spacing w:val="7"/>
          <w:sz w:val="20"/>
          <w:szCs w:val="20"/>
        </w:rPr>
        <w:t>并说明发生索赔事件的事由。承包人未在前述</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28 </w:t>
      </w:r>
      <w:r>
        <w:rPr>
          <w:rFonts w:ascii="宋体" w:hAnsi="宋体" w:eastAsia="宋体" w:cs="宋体"/>
          <w:spacing w:val="7"/>
          <w:sz w:val="20"/>
          <w:szCs w:val="20"/>
        </w:rPr>
        <w:t>天内发出索赔意向通知书的，</w:t>
      </w:r>
      <w:r>
        <w:rPr>
          <w:rFonts w:ascii="宋体" w:hAnsi="宋体" w:eastAsia="宋体" w:cs="宋体"/>
          <w:spacing w:val="6"/>
          <w:sz w:val="20"/>
          <w:szCs w:val="20"/>
        </w:rPr>
        <w:t>丧失要求追加付款</w:t>
      </w:r>
      <w:r>
        <w:rPr>
          <w:rFonts w:ascii="宋体" w:hAnsi="宋体" w:eastAsia="宋体" w:cs="宋体"/>
          <w:spacing w:val="8"/>
          <w:sz w:val="20"/>
          <w:szCs w:val="20"/>
        </w:rPr>
        <w:t>和（或）延长工期的权利；</w:t>
      </w:r>
    </w:p>
    <w:p w14:paraId="679A1C96">
      <w:pPr>
        <w:spacing w:before="1" w:line="369" w:lineRule="auto"/>
        <w:ind w:left="3" w:firstLine="367"/>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）承包人应在发出索赔意向通知书后</w:t>
      </w:r>
      <w:r>
        <w:rPr>
          <w:rFonts w:ascii="宋体" w:hAnsi="宋体" w:eastAsia="宋体" w:cs="宋体"/>
          <w:spacing w:val="-36"/>
          <w:sz w:val="20"/>
          <w:szCs w:val="20"/>
        </w:rPr>
        <w:t xml:space="preserve"> </w:t>
      </w:r>
      <w:r>
        <w:rPr>
          <w:rFonts w:ascii="Times New Roman" w:hAnsi="Times New Roman" w:eastAsia="Times New Roman" w:cs="Times New Roman"/>
          <w:spacing w:val="10"/>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10"/>
          <w:sz w:val="20"/>
          <w:szCs w:val="20"/>
        </w:rPr>
        <w:t>天内，向监理人正式递交索赔通知书。索赔通知书应详细说明索赔理由以及要求追加的付款金额和（或）延长的工期，并</w:t>
      </w:r>
      <w:r>
        <w:rPr>
          <w:rFonts w:ascii="宋体" w:hAnsi="宋体" w:eastAsia="宋体" w:cs="宋体"/>
          <w:spacing w:val="9"/>
          <w:sz w:val="20"/>
          <w:szCs w:val="20"/>
        </w:rPr>
        <w:t>附必要的记录和证明材</w:t>
      </w:r>
      <w:r>
        <w:rPr>
          <w:rFonts w:ascii="宋体" w:hAnsi="宋体" w:eastAsia="宋体" w:cs="宋体"/>
          <w:sz w:val="20"/>
          <w:szCs w:val="20"/>
        </w:rPr>
        <w:t>料；</w:t>
      </w:r>
    </w:p>
    <w:p w14:paraId="3DF91582">
      <w:pPr>
        <w:spacing w:before="1" w:line="368" w:lineRule="auto"/>
        <w:ind w:left="3" w:right="2" w:firstLine="36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）索赔事件具有连续影响的，承包人应按合理时间间隔继续递交延续索赔通知，说明连续</w:t>
      </w:r>
      <w:r>
        <w:rPr>
          <w:rFonts w:ascii="宋体" w:hAnsi="宋体" w:eastAsia="宋体" w:cs="宋体"/>
          <w:spacing w:val="9"/>
          <w:sz w:val="20"/>
          <w:szCs w:val="20"/>
        </w:rPr>
        <w:t>影响的实际情况和记录，列出累计的追加付款金额和（或）工期延长天数；</w:t>
      </w:r>
    </w:p>
    <w:p w14:paraId="18DCD998">
      <w:pPr>
        <w:spacing w:before="2" w:line="357" w:lineRule="auto"/>
        <w:ind w:left="3" w:firstLine="366"/>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4</w:t>
      </w:r>
      <w:r>
        <w:rPr>
          <w:rFonts w:ascii="宋体" w:hAnsi="宋体" w:eastAsia="宋体" w:cs="宋体"/>
          <w:spacing w:val="10"/>
          <w:sz w:val="20"/>
          <w:szCs w:val="20"/>
        </w:rPr>
        <w:t>）在索赔事件影响结束后的</w:t>
      </w:r>
      <w:r>
        <w:rPr>
          <w:rFonts w:ascii="宋体" w:hAnsi="宋体" w:eastAsia="宋体" w:cs="宋体"/>
          <w:spacing w:val="-34"/>
          <w:sz w:val="20"/>
          <w:szCs w:val="20"/>
        </w:rPr>
        <w:t xml:space="preserve"> </w:t>
      </w:r>
      <w:r>
        <w:rPr>
          <w:rFonts w:ascii="Times New Roman" w:hAnsi="Times New Roman" w:eastAsia="Times New Roman" w:cs="Times New Roman"/>
          <w:spacing w:val="10"/>
          <w:sz w:val="20"/>
          <w:szCs w:val="20"/>
        </w:rPr>
        <w:t>28</w:t>
      </w:r>
      <w:r>
        <w:rPr>
          <w:rFonts w:ascii="Times New Roman" w:hAnsi="Times New Roman" w:eastAsia="Times New Roman" w:cs="Times New Roman"/>
          <w:spacing w:val="17"/>
          <w:sz w:val="20"/>
          <w:szCs w:val="20"/>
        </w:rPr>
        <w:t xml:space="preserve"> </w:t>
      </w:r>
      <w:r>
        <w:rPr>
          <w:rFonts w:ascii="宋体" w:hAnsi="宋体" w:eastAsia="宋体" w:cs="宋体"/>
          <w:spacing w:val="10"/>
          <w:sz w:val="20"/>
          <w:szCs w:val="20"/>
        </w:rPr>
        <w:t>天内，承包人应向监理人递交最终索赔通知书，说明最终</w:t>
      </w:r>
      <w:r>
        <w:rPr>
          <w:rFonts w:ascii="宋体" w:hAnsi="宋体" w:eastAsia="宋体" w:cs="宋体"/>
          <w:spacing w:val="9"/>
          <w:sz w:val="20"/>
          <w:szCs w:val="20"/>
        </w:rPr>
        <w:t>要求索赔的追加付款金额和延长的工期，并附必要的记录和证明材料。</w:t>
      </w:r>
    </w:p>
    <w:p w14:paraId="441CB09A">
      <w:pPr>
        <w:pStyle w:val="2"/>
        <w:spacing w:before="1" w:line="221" w:lineRule="auto"/>
        <w:rPr>
          <w:sz w:val="24"/>
          <w:szCs w:val="24"/>
        </w:rPr>
      </w:pPr>
      <w:r>
        <w:rPr>
          <w:rFonts w:ascii="Times New Roman" w:hAnsi="Times New Roman" w:eastAsia="Times New Roman" w:cs="Times New Roman"/>
          <w:spacing w:val="-1"/>
          <w:sz w:val="24"/>
          <w:szCs w:val="24"/>
        </w:rPr>
        <w:t xml:space="preserve">23.2  </w:t>
      </w:r>
      <w:r>
        <w:rPr>
          <w:spacing w:val="-1"/>
          <w:sz w:val="24"/>
          <w:szCs w:val="24"/>
        </w:rPr>
        <w:t>承包人索赔处理程序</w:t>
      </w:r>
    </w:p>
    <w:p w14:paraId="13FB6009">
      <w:pPr>
        <w:spacing w:before="136" w:line="369" w:lineRule="auto"/>
        <w:ind w:left="2" w:right="2" w:firstLine="36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）监理人收到承包人提交的索赔通知书后，应及时审查索赔通知书的内容、查验承包人的</w:t>
      </w:r>
      <w:r>
        <w:rPr>
          <w:rFonts w:ascii="宋体" w:hAnsi="宋体" w:eastAsia="宋体" w:cs="宋体"/>
          <w:spacing w:val="9"/>
          <w:sz w:val="20"/>
          <w:szCs w:val="20"/>
        </w:rPr>
        <w:t>记录和证明材料，必要时监理人可要求承包人提交全部原始记录副本。</w:t>
      </w:r>
    </w:p>
    <w:p w14:paraId="7D0E3FD3">
      <w:pPr>
        <w:spacing w:before="1" w:line="227" w:lineRule="auto"/>
        <w:ind w:right="2"/>
        <w:jc w:val="right"/>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）监理人应按第</w:t>
      </w:r>
      <w:r>
        <w:rPr>
          <w:rFonts w:ascii="宋体" w:hAnsi="宋体" w:eastAsia="宋体" w:cs="宋体"/>
          <w:spacing w:val="-39"/>
          <w:sz w:val="20"/>
          <w:szCs w:val="20"/>
        </w:rPr>
        <w:t xml:space="preserve"> </w:t>
      </w:r>
      <w:r>
        <w:rPr>
          <w:rFonts w:ascii="Times New Roman" w:hAnsi="Times New Roman" w:eastAsia="Times New Roman" w:cs="Times New Roman"/>
          <w:spacing w:val="9"/>
          <w:sz w:val="20"/>
          <w:szCs w:val="20"/>
        </w:rPr>
        <w:t xml:space="preserve">3.5 </w:t>
      </w:r>
      <w:r>
        <w:rPr>
          <w:rFonts w:ascii="宋体" w:hAnsi="宋体" w:eastAsia="宋体" w:cs="宋体"/>
          <w:spacing w:val="9"/>
          <w:sz w:val="20"/>
          <w:szCs w:val="20"/>
        </w:rPr>
        <w:t>款商定或确定追加的付款和（或）延长的工期，并</w:t>
      </w:r>
      <w:r>
        <w:rPr>
          <w:rFonts w:ascii="宋体" w:hAnsi="宋体" w:eastAsia="宋体" w:cs="宋体"/>
          <w:spacing w:val="8"/>
          <w:sz w:val="20"/>
          <w:szCs w:val="20"/>
        </w:rPr>
        <w:t>在收到上述索赔通</w:t>
      </w:r>
    </w:p>
    <w:p w14:paraId="763C7EB0">
      <w:pPr>
        <w:spacing w:line="227" w:lineRule="auto"/>
        <w:rPr>
          <w:rFonts w:ascii="宋体" w:hAnsi="宋体" w:eastAsia="宋体" w:cs="宋体"/>
          <w:sz w:val="20"/>
          <w:szCs w:val="20"/>
        </w:rPr>
        <w:sectPr>
          <w:footerReference r:id="rId194" w:type="default"/>
          <w:pgSz w:w="11906" w:h="16839"/>
          <w:pgMar w:top="400" w:right="1554" w:bottom="1038" w:left="1536" w:header="0" w:footer="787" w:gutter="0"/>
          <w:cols w:space="720" w:num="1"/>
        </w:sectPr>
      </w:pPr>
    </w:p>
    <w:p w14:paraId="72E1C136">
      <w:pPr>
        <w:spacing w:line="271" w:lineRule="auto"/>
        <w:rPr>
          <w:rFonts w:ascii="Arial"/>
          <w:sz w:val="21"/>
        </w:rPr>
      </w:pPr>
    </w:p>
    <w:p w14:paraId="165B9567">
      <w:pPr>
        <w:spacing w:line="272" w:lineRule="auto"/>
        <w:rPr>
          <w:rFonts w:ascii="Arial"/>
          <w:sz w:val="21"/>
        </w:rPr>
      </w:pPr>
    </w:p>
    <w:p w14:paraId="75F6C8A2">
      <w:pPr>
        <w:spacing w:line="272" w:lineRule="auto"/>
        <w:rPr>
          <w:rFonts w:ascii="Arial"/>
          <w:sz w:val="21"/>
        </w:rPr>
      </w:pPr>
    </w:p>
    <w:p w14:paraId="6862B88A">
      <w:pPr>
        <w:spacing w:line="272" w:lineRule="auto"/>
        <w:rPr>
          <w:rFonts w:ascii="Arial"/>
          <w:sz w:val="21"/>
        </w:rPr>
      </w:pPr>
    </w:p>
    <w:p w14:paraId="1DD9E422">
      <w:pPr>
        <w:spacing w:before="65" w:line="227" w:lineRule="auto"/>
        <w:ind w:left="7"/>
        <w:rPr>
          <w:rFonts w:ascii="宋体" w:hAnsi="宋体" w:eastAsia="宋体" w:cs="宋体"/>
          <w:sz w:val="20"/>
          <w:szCs w:val="20"/>
        </w:rPr>
      </w:pPr>
      <w:r>
        <w:rPr>
          <w:rFonts w:ascii="宋体" w:hAnsi="宋体" w:eastAsia="宋体" w:cs="宋体"/>
          <w:spacing w:val="8"/>
          <w:sz w:val="20"/>
          <w:szCs w:val="20"/>
        </w:rPr>
        <w:t>知书或有关索赔的进一步证明材料后的</w:t>
      </w:r>
      <w:r>
        <w:rPr>
          <w:rFonts w:ascii="宋体" w:hAnsi="宋体" w:eastAsia="宋体" w:cs="宋体"/>
          <w:spacing w:val="-26"/>
          <w:sz w:val="20"/>
          <w:szCs w:val="20"/>
        </w:rPr>
        <w:t xml:space="preserve"> </w:t>
      </w:r>
      <w:r>
        <w:rPr>
          <w:rFonts w:ascii="Times New Roman" w:hAnsi="Times New Roman" w:eastAsia="Times New Roman" w:cs="Times New Roman"/>
          <w:spacing w:val="8"/>
          <w:sz w:val="20"/>
          <w:szCs w:val="20"/>
        </w:rPr>
        <w:t>42</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天内，将索赔处理结果答复承包人。</w:t>
      </w:r>
    </w:p>
    <w:p w14:paraId="3C97A830">
      <w:pPr>
        <w:spacing w:before="151" w:line="358" w:lineRule="auto"/>
        <w:ind w:left="3" w:right="89" w:firstLine="367"/>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）承包人接受索赔处理结果的，发包人应在作出索赔处理结果答复后</w:t>
      </w:r>
      <w:r>
        <w:rPr>
          <w:rFonts w:ascii="宋体" w:hAnsi="宋体" w:eastAsia="宋体" w:cs="宋体"/>
          <w:spacing w:val="-27"/>
          <w:sz w:val="20"/>
          <w:szCs w:val="20"/>
        </w:rPr>
        <w:t xml:space="preserve"> </w:t>
      </w:r>
      <w:r>
        <w:rPr>
          <w:rFonts w:ascii="Times New Roman" w:hAnsi="Times New Roman" w:eastAsia="Times New Roman" w:cs="Times New Roman"/>
          <w:spacing w:val="9"/>
          <w:sz w:val="20"/>
          <w:szCs w:val="20"/>
        </w:rPr>
        <w:t>28</w:t>
      </w:r>
      <w:r>
        <w:rPr>
          <w:rFonts w:ascii="Times New Roman" w:hAnsi="Times New Roman" w:eastAsia="Times New Roman" w:cs="Times New Roman"/>
          <w:spacing w:val="16"/>
          <w:sz w:val="20"/>
          <w:szCs w:val="20"/>
        </w:rPr>
        <w:t xml:space="preserve"> </w:t>
      </w:r>
      <w:r>
        <w:rPr>
          <w:rFonts w:ascii="宋体" w:hAnsi="宋体" w:eastAsia="宋体" w:cs="宋体"/>
          <w:spacing w:val="9"/>
          <w:sz w:val="20"/>
          <w:szCs w:val="20"/>
        </w:rPr>
        <w:t>天内完成赔付。</w:t>
      </w:r>
      <w:r>
        <w:rPr>
          <w:rFonts w:ascii="宋体" w:hAnsi="宋体" w:eastAsia="宋体" w:cs="宋体"/>
          <w:spacing w:val="8"/>
          <w:sz w:val="20"/>
          <w:szCs w:val="20"/>
        </w:rPr>
        <w:t>承包人不接受索赔处理结果的，按第</w:t>
      </w:r>
      <w:r>
        <w:rPr>
          <w:rFonts w:ascii="宋体" w:hAnsi="宋体" w:eastAsia="宋体" w:cs="宋体"/>
          <w:spacing w:val="-35"/>
          <w:sz w:val="20"/>
          <w:szCs w:val="20"/>
        </w:rPr>
        <w:t xml:space="preserve"> </w:t>
      </w: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条的约定办理。</w:t>
      </w:r>
    </w:p>
    <w:p w14:paraId="0BB43DB4">
      <w:pPr>
        <w:pStyle w:val="2"/>
        <w:spacing w:line="221" w:lineRule="auto"/>
        <w:rPr>
          <w:sz w:val="24"/>
          <w:szCs w:val="24"/>
        </w:rPr>
      </w:pPr>
      <w:r>
        <w:rPr>
          <w:rFonts w:ascii="Times New Roman" w:hAnsi="Times New Roman" w:eastAsia="Times New Roman" w:cs="Times New Roman"/>
          <w:spacing w:val="-1"/>
          <w:sz w:val="24"/>
          <w:szCs w:val="24"/>
        </w:rPr>
        <w:t xml:space="preserve">23.3  </w:t>
      </w:r>
      <w:r>
        <w:rPr>
          <w:spacing w:val="-1"/>
          <w:sz w:val="24"/>
          <w:szCs w:val="24"/>
        </w:rPr>
        <w:t>承包人提出索赔的期限</w:t>
      </w:r>
    </w:p>
    <w:p w14:paraId="21E6E262">
      <w:pPr>
        <w:spacing w:before="136" w:line="370" w:lineRule="auto"/>
        <w:ind w:left="2" w:right="54" w:firstLine="417"/>
        <w:rPr>
          <w:rFonts w:ascii="宋体" w:hAnsi="宋体" w:eastAsia="宋体" w:cs="宋体"/>
          <w:sz w:val="20"/>
          <w:szCs w:val="20"/>
        </w:rPr>
      </w:pPr>
      <w:r>
        <w:rPr>
          <w:rFonts w:ascii="Times New Roman" w:hAnsi="Times New Roman" w:eastAsia="Times New Roman" w:cs="Times New Roman"/>
          <w:spacing w:val="7"/>
          <w:sz w:val="20"/>
          <w:szCs w:val="20"/>
        </w:rPr>
        <w:t xml:space="preserve">23.3.1  </w:t>
      </w:r>
      <w:r>
        <w:rPr>
          <w:rFonts w:ascii="宋体" w:hAnsi="宋体" w:eastAsia="宋体" w:cs="宋体"/>
          <w:spacing w:val="7"/>
          <w:sz w:val="20"/>
          <w:szCs w:val="20"/>
        </w:rPr>
        <w:t>承包人按第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17.5 </w:t>
      </w:r>
      <w:r>
        <w:rPr>
          <w:rFonts w:ascii="宋体" w:hAnsi="宋体" w:eastAsia="宋体" w:cs="宋体"/>
          <w:spacing w:val="7"/>
          <w:sz w:val="20"/>
          <w:szCs w:val="20"/>
        </w:rPr>
        <w:t>款的约定接受了竣工</w:t>
      </w:r>
      <w:r>
        <w:rPr>
          <w:rFonts w:ascii="宋体" w:hAnsi="宋体" w:eastAsia="宋体" w:cs="宋体"/>
          <w:spacing w:val="6"/>
          <w:sz w:val="20"/>
          <w:szCs w:val="20"/>
        </w:rPr>
        <w:t>付款证书后，应被认为已无权再提出在合同工程</w:t>
      </w:r>
      <w:r>
        <w:rPr>
          <w:rFonts w:ascii="宋体" w:hAnsi="宋体" w:eastAsia="宋体" w:cs="宋体"/>
          <w:spacing w:val="8"/>
          <w:sz w:val="20"/>
          <w:szCs w:val="20"/>
        </w:rPr>
        <w:t>接收证书颁发前所发生的任何索赔。</w:t>
      </w:r>
    </w:p>
    <w:p w14:paraId="59A78515">
      <w:pPr>
        <w:spacing w:before="2" w:line="356" w:lineRule="auto"/>
        <w:ind w:left="6" w:right="57" w:firstLine="412"/>
        <w:rPr>
          <w:rFonts w:ascii="宋体" w:hAnsi="宋体" w:eastAsia="宋体" w:cs="宋体"/>
          <w:sz w:val="20"/>
          <w:szCs w:val="20"/>
        </w:rPr>
      </w:pPr>
      <w:r>
        <w:rPr>
          <w:rFonts w:ascii="Times New Roman" w:hAnsi="Times New Roman" w:eastAsia="Times New Roman" w:cs="Times New Roman"/>
          <w:spacing w:val="7"/>
          <w:sz w:val="20"/>
          <w:szCs w:val="20"/>
        </w:rPr>
        <w:t xml:space="preserve">23.3.2  </w:t>
      </w:r>
      <w:r>
        <w:rPr>
          <w:rFonts w:ascii="宋体" w:hAnsi="宋体" w:eastAsia="宋体" w:cs="宋体"/>
          <w:spacing w:val="7"/>
          <w:sz w:val="20"/>
          <w:szCs w:val="20"/>
        </w:rPr>
        <w:t>承包人按第</w:t>
      </w:r>
      <w:r>
        <w:rPr>
          <w:rFonts w:ascii="宋体" w:hAnsi="宋体" w:eastAsia="宋体" w:cs="宋体"/>
          <w:spacing w:val="-20"/>
          <w:sz w:val="20"/>
          <w:szCs w:val="20"/>
        </w:rPr>
        <w:t xml:space="preserve"> </w:t>
      </w:r>
      <w:r>
        <w:rPr>
          <w:rFonts w:ascii="Times New Roman" w:hAnsi="Times New Roman" w:eastAsia="Times New Roman" w:cs="Times New Roman"/>
          <w:spacing w:val="7"/>
          <w:sz w:val="20"/>
          <w:szCs w:val="20"/>
        </w:rPr>
        <w:t xml:space="preserve">17.6 </w:t>
      </w:r>
      <w:r>
        <w:rPr>
          <w:rFonts w:ascii="宋体" w:hAnsi="宋体" w:eastAsia="宋体" w:cs="宋体"/>
          <w:spacing w:val="7"/>
          <w:sz w:val="20"/>
          <w:szCs w:val="20"/>
        </w:rPr>
        <w:t>款的约定提交</w:t>
      </w:r>
      <w:r>
        <w:rPr>
          <w:rFonts w:ascii="宋体" w:hAnsi="宋体" w:eastAsia="宋体" w:cs="宋体"/>
          <w:spacing w:val="6"/>
          <w:sz w:val="20"/>
          <w:szCs w:val="20"/>
        </w:rPr>
        <w:t>的最终结清申请单中，只限于提出工程接收证书颁发后</w:t>
      </w:r>
      <w:r>
        <w:rPr>
          <w:rFonts w:ascii="宋体" w:hAnsi="宋体" w:eastAsia="宋体" w:cs="宋体"/>
          <w:spacing w:val="9"/>
          <w:sz w:val="20"/>
          <w:szCs w:val="20"/>
        </w:rPr>
        <w:t>发生的索赔。提出索赔的期限自接受最终结清证书时终止。</w:t>
      </w:r>
    </w:p>
    <w:p w14:paraId="72ECD175">
      <w:pPr>
        <w:pStyle w:val="2"/>
        <w:spacing w:before="1" w:line="220" w:lineRule="auto"/>
        <w:rPr>
          <w:sz w:val="24"/>
          <w:szCs w:val="24"/>
        </w:rPr>
      </w:pPr>
      <w:r>
        <w:rPr>
          <w:rFonts w:ascii="Times New Roman" w:hAnsi="Times New Roman" w:eastAsia="Times New Roman" w:cs="Times New Roman"/>
          <w:spacing w:val="-1"/>
          <w:sz w:val="24"/>
          <w:szCs w:val="24"/>
        </w:rPr>
        <w:t xml:space="preserve">23.4  </w:t>
      </w:r>
      <w:r>
        <w:rPr>
          <w:spacing w:val="-1"/>
          <w:sz w:val="24"/>
          <w:szCs w:val="24"/>
        </w:rPr>
        <w:t>发包人的索赔</w:t>
      </w:r>
    </w:p>
    <w:p w14:paraId="632A54A8">
      <w:pPr>
        <w:spacing w:before="141" w:line="369" w:lineRule="auto"/>
        <w:ind w:left="3" w:firstLine="416"/>
        <w:rPr>
          <w:rFonts w:ascii="宋体" w:hAnsi="宋体" w:eastAsia="宋体" w:cs="宋体"/>
          <w:sz w:val="20"/>
          <w:szCs w:val="20"/>
        </w:rPr>
      </w:pPr>
      <w:r>
        <w:rPr>
          <w:rFonts w:ascii="Times New Roman" w:hAnsi="Times New Roman" w:eastAsia="Times New Roman" w:cs="Times New Roman"/>
          <w:spacing w:val="9"/>
          <w:sz w:val="20"/>
          <w:szCs w:val="20"/>
        </w:rPr>
        <w:t xml:space="preserve">23.4.1  </w:t>
      </w:r>
      <w:r>
        <w:rPr>
          <w:rFonts w:ascii="宋体" w:hAnsi="宋体" w:eastAsia="宋体" w:cs="宋体"/>
          <w:spacing w:val="9"/>
          <w:sz w:val="20"/>
          <w:szCs w:val="20"/>
        </w:rPr>
        <w:t>发生索赔事件后，监理人应及时书面通知承包人，详细</w:t>
      </w:r>
      <w:r>
        <w:rPr>
          <w:rFonts w:ascii="宋体" w:hAnsi="宋体" w:eastAsia="宋体" w:cs="宋体"/>
          <w:spacing w:val="8"/>
          <w:sz w:val="20"/>
          <w:szCs w:val="20"/>
        </w:rPr>
        <w:t>说明发包人有权得到的索赔金</w:t>
      </w:r>
      <w:r>
        <w:rPr>
          <w:rFonts w:ascii="宋体" w:hAnsi="宋体" w:eastAsia="宋体" w:cs="宋体"/>
          <w:spacing w:val="5"/>
          <w:sz w:val="20"/>
          <w:szCs w:val="20"/>
        </w:rPr>
        <w:t>额和（或）延长缺陷责任期的细节和依据。发包人</w:t>
      </w:r>
      <w:r>
        <w:rPr>
          <w:rFonts w:ascii="宋体" w:hAnsi="宋体" w:eastAsia="宋体" w:cs="宋体"/>
          <w:spacing w:val="4"/>
          <w:sz w:val="20"/>
          <w:szCs w:val="20"/>
        </w:rPr>
        <w:t>提出索赔的期限和要求与第</w:t>
      </w:r>
      <w:r>
        <w:rPr>
          <w:rFonts w:ascii="宋体" w:hAnsi="宋体" w:eastAsia="宋体" w:cs="宋体"/>
          <w:spacing w:val="-41"/>
          <w:sz w:val="20"/>
          <w:szCs w:val="20"/>
        </w:rPr>
        <w:t xml:space="preserve"> </w:t>
      </w:r>
      <w:r>
        <w:rPr>
          <w:rFonts w:ascii="Times New Roman" w:hAnsi="Times New Roman" w:eastAsia="Times New Roman" w:cs="Times New Roman"/>
          <w:spacing w:val="4"/>
          <w:sz w:val="20"/>
          <w:szCs w:val="20"/>
        </w:rPr>
        <w:t xml:space="preserve">23.3 </w:t>
      </w:r>
      <w:r>
        <w:rPr>
          <w:rFonts w:ascii="宋体" w:hAnsi="宋体" w:eastAsia="宋体" w:cs="宋体"/>
          <w:spacing w:val="4"/>
          <w:sz w:val="20"/>
          <w:szCs w:val="20"/>
        </w:rPr>
        <w:t>款的约定相同，</w:t>
      </w:r>
      <w:r>
        <w:rPr>
          <w:rFonts w:ascii="宋体" w:hAnsi="宋体" w:eastAsia="宋体" w:cs="宋体"/>
          <w:spacing w:val="9"/>
          <w:sz w:val="20"/>
          <w:szCs w:val="20"/>
        </w:rPr>
        <w:t>延长缺陷责任期的通知应在缺陷责任期届满前发出。</w:t>
      </w:r>
    </w:p>
    <w:p w14:paraId="22AEC0E8">
      <w:pPr>
        <w:spacing w:before="2" w:line="369" w:lineRule="auto"/>
        <w:ind w:left="3" w:right="54" w:firstLine="416"/>
        <w:rPr>
          <w:rFonts w:ascii="宋体" w:hAnsi="宋体" w:eastAsia="宋体" w:cs="宋体"/>
          <w:sz w:val="20"/>
          <w:szCs w:val="20"/>
        </w:rPr>
      </w:pPr>
      <w:r>
        <w:rPr>
          <w:rFonts w:ascii="Times New Roman" w:hAnsi="Times New Roman" w:eastAsia="Times New Roman" w:cs="Times New Roman"/>
          <w:spacing w:val="9"/>
          <w:sz w:val="20"/>
          <w:szCs w:val="20"/>
        </w:rPr>
        <w:t xml:space="preserve">23.4.2  </w:t>
      </w:r>
      <w:r>
        <w:rPr>
          <w:rFonts w:ascii="宋体" w:hAnsi="宋体" w:eastAsia="宋体" w:cs="宋体"/>
          <w:spacing w:val="9"/>
          <w:sz w:val="20"/>
          <w:szCs w:val="20"/>
        </w:rPr>
        <w:t>监理人按第</w:t>
      </w:r>
      <w:r>
        <w:rPr>
          <w:rFonts w:ascii="宋体" w:hAnsi="宋体" w:eastAsia="宋体" w:cs="宋体"/>
          <w:spacing w:val="-31"/>
          <w:sz w:val="20"/>
          <w:szCs w:val="20"/>
        </w:rPr>
        <w:t xml:space="preserve"> </w:t>
      </w:r>
      <w:r>
        <w:rPr>
          <w:rFonts w:ascii="Times New Roman" w:hAnsi="Times New Roman" w:eastAsia="Times New Roman" w:cs="Times New Roman"/>
          <w:spacing w:val="9"/>
          <w:sz w:val="20"/>
          <w:szCs w:val="20"/>
        </w:rPr>
        <w:t xml:space="preserve">3.5 </w:t>
      </w:r>
      <w:r>
        <w:rPr>
          <w:rFonts w:ascii="宋体" w:hAnsi="宋体" w:eastAsia="宋体" w:cs="宋体"/>
          <w:spacing w:val="9"/>
          <w:sz w:val="20"/>
          <w:szCs w:val="20"/>
        </w:rPr>
        <w:t>款商定或确定发包人从承包人处得到赔付的金额和（或）缺陷责任期</w:t>
      </w:r>
      <w:r>
        <w:rPr>
          <w:rFonts w:ascii="宋体" w:hAnsi="宋体" w:eastAsia="宋体" w:cs="宋体"/>
          <w:spacing w:val="10"/>
          <w:sz w:val="20"/>
          <w:szCs w:val="20"/>
        </w:rPr>
        <w:t>的延长期。承包人应付给发包人的金额可从拟支付给承包人的合同价款中</w:t>
      </w:r>
      <w:r>
        <w:rPr>
          <w:rFonts w:ascii="宋体" w:hAnsi="宋体" w:eastAsia="宋体" w:cs="宋体"/>
          <w:spacing w:val="9"/>
          <w:sz w:val="20"/>
          <w:szCs w:val="20"/>
        </w:rPr>
        <w:t>扣除，或由承包人以其</w:t>
      </w:r>
      <w:r>
        <w:rPr>
          <w:rFonts w:ascii="宋体" w:hAnsi="宋体" w:eastAsia="宋体" w:cs="宋体"/>
          <w:spacing w:val="8"/>
          <w:sz w:val="20"/>
          <w:szCs w:val="20"/>
        </w:rPr>
        <w:t>他方式支付给发包人。</w:t>
      </w:r>
    </w:p>
    <w:p w14:paraId="7F5FF153">
      <w:pPr>
        <w:pStyle w:val="2"/>
        <w:spacing w:before="38" w:line="222" w:lineRule="auto"/>
        <w:outlineLvl w:val="2"/>
        <w:rPr>
          <w:sz w:val="28"/>
          <w:szCs w:val="28"/>
        </w:rPr>
      </w:pPr>
      <w:bookmarkStart w:id="237" w:name="bookmark218"/>
      <w:bookmarkEnd w:id="237"/>
      <w:r>
        <w:rPr>
          <w:rFonts w:ascii="Times New Roman" w:hAnsi="Times New Roman" w:eastAsia="Times New Roman" w:cs="Times New Roman"/>
          <w:spacing w:val="-3"/>
          <w:sz w:val="28"/>
          <w:szCs w:val="28"/>
        </w:rPr>
        <w:t>24.</w:t>
      </w:r>
      <w:r>
        <w:rPr>
          <w:rFonts w:ascii="Times New Roman" w:hAnsi="Times New Roman" w:eastAsia="Times New Roman" w:cs="Times New Roman"/>
          <w:spacing w:val="9"/>
          <w:sz w:val="28"/>
          <w:szCs w:val="28"/>
        </w:rPr>
        <w:t xml:space="preserve">  </w:t>
      </w:r>
      <w:r>
        <w:rPr>
          <w:spacing w:val="-3"/>
          <w:sz w:val="28"/>
          <w:szCs w:val="28"/>
        </w:rPr>
        <w:t>争议的解决</w:t>
      </w:r>
    </w:p>
    <w:p w14:paraId="68D0544D">
      <w:pPr>
        <w:pStyle w:val="2"/>
        <w:spacing w:before="96" w:line="221" w:lineRule="auto"/>
        <w:rPr>
          <w:sz w:val="24"/>
          <w:szCs w:val="24"/>
        </w:rPr>
      </w:pPr>
      <w:r>
        <w:rPr>
          <w:rFonts w:ascii="Times New Roman" w:hAnsi="Times New Roman" w:eastAsia="Times New Roman" w:cs="Times New Roman"/>
          <w:spacing w:val="-1"/>
          <w:sz w:val="24"/>
          <w:szCs w:val="24"/>
        </w:rPr>
        <w:t xml:space="preserve">24.1  </w:t>
      </w:r>
      <w:r>
        <w:rPr>
          <w:spacing w:val="-1"/>
          <w:sz w:val="24"/>
          <w:szCs w:val="24"/>
        </w:rPr>
        <w:t>争议的解决方式</w:t>
      </w:r>
    </w:p>
    <w:p w14:paraId="5E875E69">
      <w:pPr>
        <w:spacing w:before="141" w:line="369" w:lineRule="auto"/>
        <w:ind w:left="3" w:right="54" w:firstLine="422"/>
        <w:jc w:val="both"/>
        <w:rPr>
          <w:rFonts w:ascii="宋体" w:hAnsi="宋体" w:eastAsia="宋体" w:cs="宋体"/>
          <w:sz w:val="20"/>
          <w:szCs w:val="20"/>
        </w:rPr>
      </w:pPr>
      <w:r>
        <w:rPr>
          <w:rFonts w:ascii="宋体" w:hAnsi="宋体" w:eastAsia="宋体" w:cs="宋体"/>
          <w:spacing w:val="10"/>
          <w:sz w:val="20"/>
          <w:szCs w:val="20"/>
        </w:rPr>
        <w:t>发包人和承包人在履行合同中发生争议的，可以友好协商解决</w:t>
      </w:r>
      <w:r>
        <w:rPr>
          <w:rFonts w:ascii="宋体" w:hAnsi="宋体" w:eastAsia="宋体" w:cs="宋体"/>
          <w:spacing w:val="9"/>
          <w:sz w:val="20"/>
          <w:szCs w:val="20"/>
        </w:rPr>
        <w:t>或者提请争议评审组评审。合</w:t>
      </w:r>
      <w:r>
        <w:rPr>
          <w:rFonts w:ascii="宋体" w:hAnsi="宋体" w:eastAsia="宋体" w:cs="宋体"/>
          <w:spacing w:val="10"/>
          <w:sz w:val="20"/>
          <w:szCs w:val="20"/>
        </w:rPr>
        <w:t>同当事人友好协商解决不成、不愿提请争议评审或者不接受争议评审组</w:t>
      </w:r>
      <w:r>
        <w:rPr>
          <w:rFonts w:ascii="宋体" w:hAnsi="宋体" w:eastAsia="宋体" w:cs="宋体"/>
          <w:spacing w:val="9"/>
          <w:sz w:val="20"/>
          <w:szCs w:val="20"/>
        </w:rPr>
        <w:t>意见的，可在专用合同条</w:t>
      </w:r>
      <w:r>
        <w:rPr>
          <w:rFonts w:ascii="宋体" w:hAnsi="宋体" w:eastAsia="宋体" w:cs="宋体"/>
          <w:spacing w:val="8"/>
          <w:sz w:val="20"/>
          <w:szCs w:val="20"/>
        </w:rPr>
        <w:t>款中约定下列一种方式解决。</w:t>
      </w:r>
    </w:p>
    <w:p w14:paraId="239FBE71">
      <w:pPr>
        <w:spacing w:before="1" w:line="226" w:lineRule="auto"/>
        <w:ind w:left="433"/>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）向约定的仲裁委员会申请仲裁；</w:t>
      </w:r>
    </w:p>
    <w:p w14:paraId="3D832684">
      <w:pPr>
        <w:spacing w:before="153" w:line="227" w:lineRule="auto"/>
        <w:ind w:left="433"/>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）向有管辖权的人民法院提起诉讼。</w:t>
      </w:r>
    </w:p>
    <w:p w14:paraId="58D07EA0">
      <w:pPr>
        <w:pStyle w:val="2"/>
        <w:spacing w:before="128" w:line="222" w:lineRule="auto"/>
        <w:rPr>
          <w:sz w:val="24"/>
          <w:szCs w:val="24"/>
        </w:rPr>
      </w:pPr>
      <w:r>
        <w:rPr>
          <w:rFonts w:ascii="Times New Roman" w:hAnsi="Times New Roman" w:eastAsia="Times New Roman" w:cs="Times New Roman"/>
          <w:spacing w:val="-1"/>
          <w:sz w:val="24"/>
          <w:szCs w:val="24"/>
        </w:rPr>
        <w:t xml:space="preserve">24.2  </w:t>
      </w:r>
      <w:r>
        <w:rPr>
          <w:spacing w:val="-1"/>
          <w:sz w:val="24"/>
          <w:szCs w:val="24"/>
        </w:rPr>
        <w:t>友好解决</w:t>
      </w:r>
    </w:p>
    <w:p w14:paraId="2BEBD695">
      <w:pPr>
        <w:spacing w:before="138" w:line="357" w:lineRule="auto"/>
        <w:ind w:left="3" w:right="54" w:firstLine="418"/>
        <w:rPr>
          <w:rFonts w:ascii="宋体" w:hAnsi="宋体" w:eastAsia="宋体" w:cs="宋体"/>
          <w:sz w:val="20"/>
          <w:szCs w:val="20"/>
        </w:rPr>
      </w:pPr>
      <w:r>
        <w:rPr>
          <w:rFonts w:ascii="宋体" w:hAnsi="宋体" w:eastAsia="宋体" w:cs="宋体"/>
          <w:spacing w:val="10"/>
          <w:sz w:val="20"/>
          <w:szCs w:val="20"/>
        </w:rPr>
        <w:t>在提请争议评审、仲裁或者诉讼前，以及在争议评审、仲裁或诉讼过程</w:t>
      </w:r>
      <w:r>
        <w:rPr>
          <w:rFonts w:ascii="宋体" w:hAnsi="宋体" w:eastAsia="宋体" w:cs="宋体"/>
          <w:spacing w:val="9"/>
          <w:sz w:val="20"/>
          <w:szCs w:val="20"/>
        </w:rPr>
        <w:t>中，发包人和承包人</w:t>
      </w:r>
      <w:r>
        <w:rPr>
          <w:rFonts w:ascii="宋体" w:hAnsi="宋体" w:eastAsia="宋体" w:cs="宋体"/>
          <w:spacing w:val="8"/>
          <w:sz w:val="20"/>
          <w:szCs w:val="20"/>
        </w:rPr>
        <w:t>均可共同努力友好协商解决争议。</w:t>
      </w:r>
    </w:p>
    <w:p w14:paraId="7964C18F">
      <w:pPr>
        <w:pStyle w:val="2"/>
        <w:spacing w:before="1" w:line="221" w:lineRule="auto"/>
        <w:rPr>
          <w:sz w:val="24"/>
          <w:szCs w:val="24"/>
        </w:rPr>
      </w:pPr>
      <w:r>
        <w:rPr>
          <w:rFonts w:ascii="Times New Roman" w:hAnsi="Times New Roman" w:eastAsia="Times New Roman" w:cs="Times New Roman"/>
          <w:spacing w:val="-3"/>
          <w:sz w:val="24"/>
          <w:szCs w:val="24"/>
        </w:rPr>
        <w:t>24.3</w:t>
      </w:r>
      <w:r>
        <w:rPr>
          <w:rFonts w:ascii="Times New Roman" w:hAnsi="Times New Roman" w:eastAsia="Times New Roman" w:cs="Times New Roman"/>
          <w:spacing w:val="8"/>
          <w:sz w:val="24"/>
          <w:szCs w:val="24"/>
        </w:rPr>
        <w:t xml:space="preserve">  </w:t>
      </w:r>
      <w:r>
        <w:rPr>
          <w:spacing w:val="-3"/>
          <w:sz w:val="24"/>
          <w:szCs w:val="24"/>
        </w:rPr>
        <w:t>争议评审</w:t>
      </w:r>
    </w:p>
    <w:p w14:paraId="50A710B3">
      <w:pPr>
        <w:spacing w:before="139" w:line="369" w:lineRule="auto"/>
        <w:ind w:left="7" w:right="56" w:firstLine="412"/>
        <w:rPr>
          <w:rFonts w:ascii="宋体" w:hAnsi="宋体" w:eastAsia="宋体" w:cs="宋体"/>
          <w:sz w:val="20"/>
          <w:szCs w:val="20"/>
        </w:rPr>
      </w:pPr>
      <w:r>
        <w:rPr>
          <w:rFonts w:ascii="Times New Roman" w:hAnsi="Times New Roman" w:eastAsia="Times New Roman" w:cs="Times New Roman"/>
          <w:spacing w:val="6"/>
          <w:sz w:val="20"/>
          <w:szCs w:val="20"/>
        </w:rPr>
        <w:t xml:space="preserve">24.3.1  </w:t>
      </w:r>
      <w:r>
        <w:rPr>
          <w:rFonts w:ascii="宋体" w:hAnsi="宋体" w:eastAsia="宋体" w:cs="宋体"/>
          <w:spacing w:val="6"/>
          <w:sz w:val="20"/>
          <w:szCs w:val="20"/>
        </w:rPr>
        <w:t>采用争议评审的，发包人和承包人应在开工日后的</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28</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天内或在争议发</w:t>
      </w:r>
      <w:r>
        <w:rPr>
          <w:rFonts w:ascii="宋体" w:hAnsi="宋体" w:eastAsia="宋体" w:cs="宋体"/>
          <w:spacing w:val="5"/>
          <w:sz w:val="20"/>
          <w:szCs w:val="20"/>
        </w:rPr>
        <w:t>生后，协商成立</w:t>
      </w:r>
      <w:r>
        <w:rPr>
          <w:rFonts w:ascii="宋体" w:hAnsi="宋体" w:eastAsia="宋体" w:cs="宋体"/>
          <w:spacing w:val="9"/>
          <w:sz w:val="20"/>
          <w:szCs w:val="20"/>
        </w:rPr>
        <w:t>争议评审组。争议评审组由有合同管理和工程实践经验的专家组成。</w:t>
      </w:r>
    </w:p>
    <w:p w14:paraId="673BE466">
      <w:pPr>
        <w:spacing w:before="2" w:line="368" w:lineRule="auto"/>
        <w:ind w:left="6" w:right="57" w:firstLine="412"/>
        <w:rPr>
          <w:rFonts w:ascii="宋体" w:hAnsi="宋体" w:eastAsia="宋体" w:cs="宋体"/>
          <w:sz w:val="20"/>
          <w:szCs w:val="20"/>
        </w:rPr>
      </w:pPr>
      <w:r>
        <w:rPr>
          <w:rFonts w:ascii="Times New Roman" w:hAnsi="Times New Roman" w:eastAsia="Times New Roman" w:cs="Times New Roman"/>
          <w:spacing w:val="9"/>
          <w:sz w:val="20"/>
          <w:szCs w:val="20"/>
        </w:rPr>
        <w:t xml:space="preserve">24.3.2  </w:t>
      </w:r>
      <w:r>
        <w:rPr>
          <w:rFonts w:ascii="宋体" w:hAnsi="宋体" w:eastAsia="宋体" w:cs="宋体"/>
          <w:spacing w:val="9"/>
          <w:sz w:val="20"/>
          <w:szCs w:val="20"/>
        </w:rPr>
        <w:t>合同双方的争议，应首先由申请人向争议评审组提交一</w:t>
      </w:r>
      <w:r>
        <w:rPr>
          <w:rFonts w:ascii="宋体" w:hAnsi="宋体" w:eastAsia="宋体" w:cs="宋体"/>
          <w:spacing w:val="8"/>
          <w:sz w:val="20"/>
          <w:szCs w:val="20"/>
        </w:rPr>
        <w:t>份详细的评审申请报告，并附必要的文件、图纸和证明材料，</w:t>
      </w:r>
      <w:r>
        <w:rPr>
          <w:rFonts w:ascii="宋体" w:hAnsi="宋体" w:eastAsia="宋体" w:cs="宋体"/>
          <w:spacing w:val="-43"/>
          <w:sz w:val="20"/>
          <w:szCs w:val="20"/>
        </w:rPr>
        <w:t xml:space="preserve"> </w:t>
      </w:r>
      <w:r>
        <w:rPr>
          <w:rFonts w:ascii="宋体" w:hAnsi="宋体" w:eastAsia="宋体" w:cs="宋体"/>
          <w:spacing w:val="8"/>
          <w:sz w:val="20"/>
          <w:szCs w:val="20"/>
        </w:rPr>
        <w:t>申请人还应将上述报告的副本同时提交给被申请人和监理人。</w:t>
      </w:r>
    </w:p>
    <w:p w14:paraId="6D55BCDC">
      <w:pPr>
        <w:spacing w:before="2" w:line="369" w:lineRule="auto"/>
        <w:ind w:left="8" w:right="54" w:firstLine="411"/>
        <w:rPr>
          <w:rFonts w:ascii="宋体" w:hAnsi="宋体" w:eastAsia="宋体" w:cs="宋体"/>
          <w:sz w:val="20"/>
          <w:szCs w:val="20"/>
        </w:rPr>
      </w:pPr>
      <w:r>
        <w:rPr>
          <w:rFonts w:ascii="Times New Roman" w:hAnsi="Times New Roman" w:eastAsia="Times New Roman" w:cs="Times New Roman"/>
          <w:spacing w:val="6"/>
          <w:sz w:val="20"/>
          <w:szCs w:val="20"/>
        </w:rPr>
        <w:t xml:space="preserve">24.3.3  </w:t>
      </w:r>
      <w:r>
        <w:rPr>
          <w:rFonts w:ascii="宋体" w:hAnsi="宋体" w:eastAsia="宋体" w:cs="宋体"/>
          <w:spacing w:val="6"/>
          <w:sz w:val="20"/>
          <w:szCs w:val="20"/>
        </w:rPr>
        <w:t>被申请人在收到申请人评审申请报告副本后的</w:t>
      </w:r>
      <w:r>
        <w:rPr>
          <w:rFonts w:ascii="宋体" w:hAnsi="宋体" w:eastAsia="宋体" w:cs="宋体"/>
          <w:spacing w:val="-40"/>
          <w:sz w:val="20"/>
          <w:szCs w:val="20"/>
        </w:rPr>
        <w:t xml:space="preserve"> </w:t>
      </w:r>
      <w:r>
        <w:rPr>
          <w:rFonts w:ascii="Times New Roman" w:hAnsi="Times New Roman" w:eastAsia="Times New Roman" w:cs="Times New Roman"/>
          <w:spacing w:val="6"/>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天内，向争议评审</w:t>
      </w:r>
      <w:r>
        <w:rPr>
          <w:rFonts w:ascii="宋体" w:hAnsi="宋体" w:eastAsia="宋体" w:cs="宋体"/>
          <w:spacing w:val="5"/>
          <w:sz w:val="20"/>
          <w:szCs w:val="20"/>
        </w:rPr>
        <w:t>组提交一份答辩报</w:t>
      </w:r>
      <w:r>
        <w:rPr>
          <w:rFonts w:ascii="宋体" w:hAnsi="宋体" w:eastAsia="宋体" w:cs="宋体"/>
          <w:spacing w:val="9"/>
          <w:sz w:val="20"/>
          <w:szCs w:val="20"/>
        </w:rPr>
        <w:t>告，并附证明材料。被申请人应将答辩报告的副本同时提交给申请人和监理人。</w:t>
      </w:r>
    </w:p>
    <w:p w14:paraId="1D396155">
      <w:pPr>
        <w:spacing w:before="1" w:line="368" w:lineRule="auto"/>
        <w:ind w:left="2" w:right="54" w:firstLine="417"/>
        <w:rPr>
          <w:rFonts w:ascii="宋体" w:hAnsi="宋体" w:eastAsia="宋体" w:cs="宋体"/>
          <w:sz w:val="20"/>
          <w:szCs w:val="20"/>
        </w:rPr>
      </w:pPr>
      <w:r>
        <w:rPr>
          <w:rFonts w:ascii="Times New Roman" w:hAnsi="Times New Roman" w:eastAsia="Times New Roman" w:cs="Times New Roman"/>
          <w:spacing w:val="6"/>
          <w:sz w:val="20"/>
          <w:szCs w:val="20"/>
        </w:rPr>
        <w:t xml:space="preserve">24.3.4  </w:t>
      </w:r>
      <w:r>
        <w:rPr>
          <w:rFonts w:ascii="宋体" w:hAnsi="宋体" w:eastAsia="宋体" w:cs="宋体"/>
          <w:spacing w:val="6"/>
          <w:sz w:val="20"/>
          <w:szCs w:val="20"/>
        </w:rPr>
        <w:t>除专用合同条款另有约定外，争议评审组在</w:t>
      </w:r>
      <w:r>
        <w:rPr>
          <w:rFonts w:ascii="宋体" w:hAnsi="宋体" w:eastAsia="宋体" w:cs="宋体"/>
          <w:spacing w:val="5"/>
          <w:sz w:val="20"/>
          <w:szCs w:val="20"/>
        </w:rPr>
        <w:t>收到合同双方报告后的</w:t>
      </w:r>
      <w:r>
        <w:rPr>
          <w:rFonts w:ascii="宋体" w:hAnsi="宋体" w:eastAsia="宋体" w:cs="宋体"/>
          <w:spacing w:val="-20"/>
          <w:sz w:val="20"/>
          <w:szCs w:val="20"/>
        </w:rPr>
        <w:t xml:space="preserve"> </w:t>
      </w:r>
      <w:r>
        <w:rPr>
          <w:rFonts w:ascii="Times New Roman" w:hAnsi="Times New Roman" w:eastAsia="Times New Roman" w:cs="Times New Roman"/>
          <w:spacing w:val="5"/>
          <w:sz w:val="20"/>
          <w:szCs w:val="20"/>
        </w:rPr>
        <w:t xml:space="preserve">14 </w:t>
      </w:r>
      <w:r>
        <w:rPr>
          <w:rFonts w:ascii="宋体" w:hAnsi="宋体" w:eastAsia="宋体" w:cs="宋体"/>
          <w:spacing w:val="5"/>
          <w:sz w:val="20"/>
          <w:szCs w:val="20"/>
        </w:rPr>
        <w:t>天内，邀请双方</w:t>
      </w:r>
      <w:r>
        <w:rPr>
          <w:rFonts w:ascii="宋体" w:hAnsi="宋体" w:eastAsia="宋体" w:cs="宋体"/>
          <w:spacing w:val="10"/>
          <w:sz w:val="20"/>
          <w:szCs w:val="20"/>
        </w:rPr>
        <w:t>代表和有关人员举行调查会，向双方调查争议细节；必要时争议评审组可要</w:t>
      </w:r>
      <w:r>
        <w:rPr>
          <w:rFonts w:ascii="宋体" w:hAnsi="宋体" w:eastAsia="宋体" w:cs="宋体"/>
          <w:spacing w:val="9"/>
          <w:sz w:val="20"/>
          <w:szCs w:val="20"/>
        </w:rPr>
        <w:t>求双方进一步提供补</w:t>
      </w:r>
    </w:p>
    <w:p w14:paraId="1D476854">
      <w:pPr>
        <w:spacing w:line="368" w:lineRule="auto"/>
        <w:rPr>
          <w:rFonts w:ascii="宋体" w:hAnsi="宋体" w:eastAsia="宋体" w:cs="宋体"/>
          <w:sz w:val="20"/>
          <w:szCs w:val="20"/>
        </w:rPr>
        <w:sectPr>
          <w:footerReference r:id="rId195" w:type="default"/>
          <w:pgSz w:w="11906" w:h="16839"/>
          <w:pgMar w:top="400" w:right="1500" w:bottom="1038" w:left="1536" w:header="0" w:footer="787" w:gutter="0"/>
          <w:cols w:space="720" w:num="1"/>
        </w:sectPr>
      </w:pPr>
    </w:p>
    <w:p w14:paraId="576B5108">
      <w:pPr>
        <w:spacing w:line="271" w:lineRule="auto"/>
        <w:rPr>
          <w:rFonts w:ascii="Arial"/>
          <w:sz w:val="21"/>
        </w:rPr>
      </w:pPr>
    </w:p>
    <w:p w14:paraId="4733E4F6">
      <w:pPr>
        <w:spacing w:line="272" w:lineRule="auto"/>
        <w:rPr>
          <w:rFonts w:ascii="Arial"/>
          <w:sz w:val="21"/>
        </w:rPr>
      </w:pPr>
    </w:p>
    <w:p w14:paraId="2ED45A1A">
      <w:pPr>
        <w:spacing w:line="272" w:lineRule="auto"/>
        <w:rPr>
          <w:rFonts w:ascii="Arial"/>
          <w:sz w:val="21"/>
        </w:rPr>
      </w:pPr>
    </w:p>
    <w:p w14:paraId="51C8340D">
      <w:pPr>
        <w:spacing w:line="272" w:lineRule="auto"/>
        <w:rPr>
          <w:rFonts w:ascii="Arial"/>
          <w:sz w:val="21"/>
        </w:rPr>
      </w:pPr>
    </w:p>
    <w:p w14:paraId="3DC528D7">
      <w:pPr>
        <w:spacing w:before="65" w:line="227" w:lineRule="auto"/>
        <w:ind w:left="2"/>
        <w:rPr>
          <w:rFonts w:ascii="宋体" w:hAnsi="宋体" w:eastAsia="宋体" w:cs="宋体"/>
          <w:sz w:val="20"/>
          <w:szCs w:val="20"/>
        </w:rPr>
      </w:pPr>
      <w:r>
        <w:rPr>
          <w:rFonts w:ascii="宋体" w:hAnsi="宋体" w:eastAsia="宋体" w:cs="宋体"/>
          <w:spacing w:val="4"/>
          <w:sz w:val="20"/>
          <w:szCs w:val="20"/>
        </w:rPr>
        <w:t>充材料。</w:t>
      </w:r>
    </w:p>
    <w:p w14:paraId="04CF837B">
      <w:pPr>
        <w:spacing w:before="153" w:line="369" w:lineRule="auto"/>
        <w:ind w:firstLine="416"/>
        <w:rPr>
          <w:rFonts w:ascii="宋体" w:hAnsi="宋体" w:eastAsia="宋体" w:cs="宋体"/>
          <w:sz w:val="20"/>
          <w:szCs w:val="20"/>
        </w:rPr>
      </w:pPr>
      <w:r>
        <w:rPr>
          <w:rFonts w:ascii="Times New Roman" w:hAnsi="Times New Roman" w:eastAsia="Times New Roman" w:cs="Times New Roman"/>
          <w:spacing w:val="6"/>
          <w:sz w:val="20"/>
          <w:szCs w:val="20"/>
        </w:rPr>
        <w:t xml:space="preserve">24.3.5  </w:t>
      </w:r>
      <w:r>
        <w:rPr>
          <w:rFonts w:ascii="宋体" w:hAnsi="宋体" w:eastAsia="宋体" w:cs="宋体"/>
          <w:spacing w:val="6"/>
          <w:sz w:val="20"/>
          <w:szCs w:val="20"/>
        </w:rPr>
        <w:t>除专用合同条款另有约定外，在调查会结束</w:t>
      </w:r>
      <w:r>
        <w:rPr>
          <w:rFonts w:ascii="宋体" w:hAnsi="宋体" w:eastAsia="宋体" w:cs="宋体"/>
          <w:spacing w:val="5"/>
          <w:sz w:val="20"/>
          <w:szCs w:val="20"/>
        </w:rPr>
        <w:t>后的</w:t>
      </w:r>
      <w:r>
        <w:rPr>
          <w:rFonts w:ascii="宋体" w:hAnsi="宋体" w:eastAsia="宋体" w:cs="宋体"/>
          <w:spacing w:val="-20"/>
          <w:sz w:val="20"/>
          <w:szCs w:val="20"/>
        </w:rPr>
        <w:t xml:space="preserve"> </w:t>
      </w:r>
      <w:r>
        <w:rPr>
          <w:rFonts w:ascii="Times New Roman" w:hAnsi="Times New Roman" w:eastAsia="Times New Roman" w:cs="Times New Roman"/>
          <w:spacing w:val="5"/>
          <w:sz w:val="20"/>
          <w:szCs w:val="20"/>
        </w:rPr>
        <w:t xml:space="preserve">14 </w:t>
      </w:r>
      <w:r>
        <w:rPr>
          <w:rFonts w:ascii="宋体" w:hAnsi="宋体" w:eastAsia="宋体" w:cs="宋体"/>
          <w:spacing w:val="5"/>
          <w:sz w:val="20"/>
          <w:szCs w:val="20"/>
        </w:rPr>
        <w:t>天内，争议评审组应在不受任何干</w:t>
      </w:r>
      <w:r>
        <w:rPr>
          <w:rFonts w:ascii="宋体" w:hAnsi="宋体" w:eastAsia="宋体" w:cs="宋体"/>
          <w:spacing w:val="10"/>
          <w:sz w:val="20"/>
          <w:szCs w:val="20"/>
        </w:rPr>
        <w:t>扰的情况下进行独立、公正的评审，作出书面评审意见，并说明理由。在</w:t>
      </w:r>
      <w:r>
        <w:rPr>
          <w:rFonts w:ascii="宋体" w:hAnsi="宋体" w:eastAsia="宋体" w:cs="宋体"/>
          <w:spacing w:val="9"/>
          <w:sz w:val="20"/>
          <w:szCs w:val="20"/>
        </w:rPr>
        <w:t>争议评审期间，争议双</w:t>
      </w:r>
      <w:r>
        <w:rPr>
          <w:rFonts w:ascii="宋体" w:hAnsi="宋体" w:eastAsia="宋体" w:cs="宋体"/>
          <w:spacing w:val="8"/>
          <w:sz w:val="20"/>
          <w:szCs w:val="20"/>
        </w:rPr>
        <w:t>方暂按总监理工程师的确定执行。</w:t>
      </w:r>
    </w:p>
    <w:p w14:paraId="1A854FD5">
      <w:pPr>
        <w:spacing w:before="2" w:line="369" w:lineRule="auto"/>
        <w:ind w:right="2" w:firstLine="416"/>
        <w:rPr>
          <w:rFonts w:ascii="宋体" w:hAnsi="宋体" w:eastAsia="宋体" w:cs="宋体"/>
          <w:sz w:val="20"/>
          <w:szCs w:val="20"/>
        </w:rPr>
      </w:pPr>
      <w:r>
        <w:rPr>
          <w:rFonts w:ascii="Times New Roman" w:hAnsi="Times New Roman" w:eastAsia="Times New Roman" w:cs="Times New Roman"/>
          <w:spacing w:val="8"/>
          <w:sz w:val="20"/>
          <w:szCs w:val="20"/>
        </w:rPr>
        <w:t xml:space="preserve">24.3.6  </w:t>
      </w:r>
      <w:r>
        <w:rPr>
          <w:rFonts w:ascii="宋体" w:hAnsi="宋体" w:eastAsia="宋体" w:cs="宋体"/>
          <w:spacing w:val="8"/>
          <w:sz w:val="20"/>
          <w:szCs w:val="20"/>
        </w:rPr>
        <w:t>发包人和承包人接受评审意见的，</w:t>
      </w:r>
      <w:r>
        <w:rPr>
          <w:rFonts w:ascii="宋体" w:hAnsi="宋体" w:eastAsia="宋体" w:cs="宋体"/>
          <w:spacing w:val="-57"/>
          <w:sz w:val="20"/>
          <w:szCs w:val="20"/>
        </w:rPr>
        <w:t xml:space="preserve"> </w:t>
      </w:r>
      <w:r>
        <w:rPr>
          <w:rFonts w:ascii="宋体" w:hAnsi="宋体" w:eastAsia="宋体" w:cs="宋体"/>
          <w:spacing w:val="8"/>
          <w:sz w:val="20"/>
          <w:szCs w:val="20"/>
        </w:rPr>
        <w:t>由监理人根据评审意见拟</w:t>
      </w:r>
      <w:r>
        <w:rPr>
          <w:rFonts w:ascii="宋体" w:hAnsi="宋体" w:eastAsia="宋体" w:cs="宋体"/>
          <w:spacing w:val="7"/>
          <w:sz w:val="20"/>
          <w:szCs w:val="20"/>
        </w:rPr>
        <w:t>定执行协议，经争议双方</w:t>
      </w:r>
      <w:r>
        <w:rPr>
          <w:rFonts w:ascii="宋体" w:hAnsi="宋体" w:eastAsia="宋体" w:cs="宋体"/>
          <w:spacing w:val="8"/>
          <w:sz w:val="20"/>
          <w:szCs w:val="20"/>
        </w:rPr>
        <w:t>签字后作为合同的补充文件，并遵照执行。</w:t>
      </w:r>
    </w:p>
    <w:p w14:paraId="2ECAF2DC">
      <w:pPr>
        <w:spacing w:before="2" w:line="369" w:lineRule="auto"/>
        <w:ind w:right="2" w:firstLine="415"/>
        <w:rPr>
          <w:rFonts w:ascii="宋体" w:hAnsi="宋体" w:eastAsia="宋体" w:cs="宋体"/>
          <w:sz w:val="20"/>
          <w:szCs w:val="20"/>
        </w:rPr>
      </w:pPr>
      <w:r>
        <w:rPr>
          <w:rFonts w:ascii="Times New Roman" w:hAnsi="Times New Roman" w:eastAsia="Times New Roman" w:cs="Times New Roman"/>
          <w:spacing w:val="9"/>
          <w:sz w:val="20"/>
          <w:szCs w:val="20"/>
        </w:rPr>
        <w:t xml:space="preserve">24.3.7  </w:t>
      </w:r>
      <w:r>
        <w:rPr>
          <w:rFonts w:ascii="宋体" w:hAnsi="宋体" w:eastAsia="宋体" w:cs="宋体"/>
          <w:spacing w:val="9"/>
          <w:sz w:val="20"/>
          <w:szCs w:val="20"/>
        </w:rPr>
        <w:t>发包人或承包人不接受评审意见，并要求提交仲裁或提</w:t>
      </w:r>
      <w:r>
        <w:rPr>
          <w:rFonts w:ascii="宋体" w:hAnsi="宋体" w:eastAsia="宋体" w:cs="宋体"/>
          <w:spacing w:val="8"/>
          <w:sz w:val="20"/>
          <w:szCs w:val="20"/>
        </w:rPr>
        <w:t>起诉讼的，应在收到评审意见</w:t>
      </w:r>
      <w:r>
        <w:rPr>
          <w:rFonts w:ascii="宋体" w:hAnsi="宋体" w:eastAsia="宋体" w:cs="宋体"/>
          <w:spacing w:val="6"/>
          <w:sz w:val="20"/>
          <w:szCs w:val="20"/>
        </w:rPr>
        <w:t>后的</w:t>
      </w:r>
      <w:r>
        <w:rPr>
          <w:rFonts w:ascii="宋体" w:hAnsi="宋体" w:eastAsia="宋体" w:cs="宋体"/>
          <w:spacing w:val="-7"/>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天内将仲裁或起诉意向书面通知另一方，并抄送监理人，但在仲裁或诉讼结束前应暂按总</w:t>
      </w:r>
      <w:r>
        <w:rPr>
          <w:rFonts w:ascii="宋体" w:hAnsi="宋体" w:eastAsia="宋体" w:cs="宋体"/>
          <w:spacing w:val="8"/>
          <w:sz w:val="20"/>
          <w:szCs w:val="20"/>
        </w:rPr>
        <w:t>监理工程师的确定执行。</w:t>
      </w:r>
    </w:p>
    <w:p w14:paraId="15FCA447">
      <w:pPr>
        <w:spacing w:line="369" w:lineRule="auto"/>
        <w:rPr>
          <w:rFonts w:ascii="宋体" w:hAnsi="宋体" w:eastAsia="宋体" w:cs="宋体"/>
          <w:sz w:val="20"/>
          <w:szCs w:val="20"/>
        </w:rPr>
        <w:sectPr>
          <w:footerReference r:id="rId196" w:type="default"/>
          <w:pgSz w:w="11906" w:h="16839"/>
          <w:pgMar w:top="400" w:right="1554" w:bottom="1038" w:left="1539" w:header="0" w:footer="785" w:gutter="0"/>
          <w:cols w:space="720" w:num="1"/>
        </w:sectPr>
      </w:pPr>
    </w:p>
    <w:p w14:paraId="7540AED3">
      <w:pPr>
        <w:spacing w:line="251" w:lineRule="auto"/>
        <w:rPr>
          <w:rFonts w:ascii="Arial"/>
          <w:sz w:val="21"/>
        </w:rPr>
      </w:pPr>
    </w:p>
    <w:p w14:paraId="51DC64FD">
      <w:pPr>
        <w:spacing w:line="251" w:lineRule="auto"/>
        <w:rPr>
          <w:rFonts w:ascii="Arial"/>
          <w:sz w:val="21"/>
        </w:rPr>
      </w:pPr>
    </w:p>
    <w:p w14:paraId="5BA5B7EC">
      <w:pPr>
        <w:spacing w:line="251" w:lineRule="auto"/>
        <w:rPr>
          <w:rFonts w:ascii="Arial"/>
          <w:sz w:val="21"/>
        </w:rPr>
      </w:pPr>
    </w:p>
    <w:p w14:paraId="560DB029">
      <w:pPr>
        <w:spacing w:line="251" w:lineRule="auto"/>
        <w:rPr>
          <w:rFonts w:ascii="Arial"/>
          <w:sz w:val="21"/>
        </w:rPr>
      </w:pPr>
    </w:p>
    <w:p w14:paraId="59BAF9A8">
      <w:pPr>
        <w:spacing w:line="251" w:lineRule="auto"/>
        <w:rPr>
          <w:rFonts w:ascii="Arial"/>
          <w:sz w:val="21"/>
        </w:rPr>
      </w:pPr>
    </w:p>
    <w:p w14:paraId="4329B4AC">
      <w:pPr>
        <w:spacing w:line="252" w:lineRule="auto"/>
        <w:rPr>
          <w:rFonts w:ascii="Arial"/>
          <w:sz w:val="21"/>
        </w:rPr>
      </w:pPr>
    </w:p>
    <w:p w14:paraId="2F1D647C">
      <w:pPr>
        <w:spacing w:line="252" w:lineRule="auto"/>
        <w:rPr>
          <w:rFonts w:ascii="Arial"/>
          <w:sz w:val="21"/>
        </w:rPr>
      </w:pPr>
    </w:p>
    <w:p w14:paraId="611A2530">
      <w:pPr>
        <w:spacing w:line="252" w:lineRule="auto"/>
        <w:rPr>
          <w:rFonts w:ascii="Arial"/>
          <w:sz w:val="21"/>
        </w:rPr>
      </w:pPr>
    </w:p>
    <w:p w14:paraId="1333BAFD">
      <w:pPr>
        <w:spacing w:line="252" w:lineRule="auto"/>
        <w:rPr>
          <w:rFonts w:ascii="Arial"/>
          <w:sz w:val="21"/>
        </w:rPr>
      </w:pPr>
    </w:p>
    <w:p w14:paraId="1F93032F">
      <w:pPr>
        <w:spacing w:line="252" w:lineRule="auto"/>
        <w:rPr>
          <w:rFonts w:ascii="Arial"/>
          <w:sz w:val="21"/>
        </w:rPr>
      </w:pPr>
    </w:p>
    <w:p w14:paraId="57945E77">
      <w:pPr>
        <w:spacing w:line="252" w:lineRule="auto"/>
        <w:rPr>
          <w:rFonts w:ascii="Arial"/>
          <w:sz w:val="21"/>
        </w:rPr>
      </w:pPr>
    </w:p>
    <w:p w14:paraId="408DEDE6">
      <w:pPr>
        <w:spacing w:line="252" w:lineRule="auto"/>
        <w:rPr>
          <w:rFonts w:ascii="Arial"/>
          <w:sz w:val="21"/>
        </w:rPr>
      </w:pPr>
    </w:p>
    <w:p w14:paraId="5EA6D89E">
      <w:pPr>
        <w:spacing w:line="252" w:lineRule="auto"/>
        <w:rPr>
          <w:rFonts w:ascii="Arial"/>
          <w:sz w:val="21"/>
        </w:rPr>
      </w:pPr>
    </w:p>
    <w:p w14:paraId="469FB236">
      <w:pPr>
        <w:pStyle w:val="2"/>
        <w:spacing w:before="91" w:line="222" w:lineRule="auto"/>
        <w:ind w:left="2765"/>
        <w:outlineLvl w:val="1"/>
        <w:rPr>
          <w:sz w:val="28"/>
          <w:szCs w:val="28"/>
        </w:rPr>
      </w:pPr>
      <w:bookmarkStart w:id="238" w:name="bookmark219"/>
      <w:bookmarkEnd w:id="238"/>
      <w:r>
        <w:rPr>
          <w:spacing w:val="-1"/>
          <w:sz w:val="28"/>
          <w:szCs w:val="28"/>
        </w:rPr>
        <w:t>第二节  专用合同条款</w:t>
      </w:r>
    </w:p>
    <w:p w14:paraId="2DE9DC3F">
      <w:pPr>
        <w:spacing w:line="222" w:lineRule="auto"/>
        <w:rPr>
          <w:sz w:val="28"/>
          <w:szCs w:val="28"/>
        </w:rPr>
        <w:sectPr>
          <w:footerReference r:id="rId197" w:type="default"/>
          <w:pgSz w:w="11906" w:h="16839"/>
          <w:pgMar w:top="400" w:right="1785" w:bottom="1038" w:left="1785" w:header="0" w:footer="785" w:gutter="0"/>
          <w:cols w:space="720" w:num="1"/>
        </w:sectPr>
      </w:pPr>
    </w:p>
    <w:p w14:paraId="1754AFD1">
      <w:pPr>
        <w:spacing w:line="249" w:lineRule="auto"/>
        <w:rPr>
          <w:rFonts w:ascii="Arial"/>
          <w:sz w:val="21"/>
        </w:rPr>
      </w:pPr>
    </w:p>
    <w:p w14:paraId="70E2BDD1">
      <w:pPr>
        <w:spacing w:line="250" w:lineRule="auto"/>
        <w:rPr>
          <w:rFonts w:ascii="Arial"/>
          <w:sz w:val="21"/>
        </w:rPr>
      </w:pPr>
    </w:p>
    <w:p w14:paraId="2A754954">
      <w:pPr>
        <w:spacing w:line="250" w:lineRule="auto"/>
        <w:rPr>
          <w:rFonts w:ascii="Arial"/>
          <w:sz w:val="21"/>
        </w:rPr>
      </w:pPr>
    </w:p>
    <w:p w14:paraId="21ADD5E1">
      <w:pPr>
        <w:spacing w:line="250" w:lineRule="auto"/>
        <w:rPr>
          <w:rFonts w:ascii="Arial"/>
          <w:sz w:val="21"/>
        </w:rPr>
      </w:pPr>
    </w:p>
    <w:p w14:paraId="27682F9F">
      <w:pPr>
        <w:pStyle w:val="2"/>
        <w:spacing w:before="91" w:line="224" w:lineRule="auto"/>
        <w:ind w:left="3578"/>
        <w:rPr>
          <w:sz w:val="28"/>
          <w:szCs w:val="28"/>
        </w:rPr>
      </w:pPr>
      <w:r>
        <w:rPr>
          <w:spacing w:val="-3"/>
          <w:sz w:val="28"/>
          <w:szCs w:val="28"/>
        </w:rPr>
        <w:t>专用合同条款</w:t>
      </w:r>
    </w:p>
    <w:p w14:paraId="2FB0CE89">
      <w:pPr>
        <w:pStyle w:val="2"/>
        <w:spacing w:before="159" w:line="222" w:lineRule="auto"/>
        <w:ind w:left="25"/>
        <w:outlineLvl w:val="2"/>
        <w:rPr>
          <w:sz w:val="28"/>
          <w:szCs w:val="28"/>
        </w:rPr>
      </w:pPr>
      <w:bookmarkStart w:id="239" w:name="bookmark220"/>
      <w:bookmarkEnd w:id="239"/>
      <w:r>
        <w:rPr>
          <w:rFonts w:ascii="Times New Roman" w:hAnsi="Times New Roman" w:eastAsia="Times New Roman" w:cs="Times New Roman"/>
          <w:spacing w:val="-6"/>
          <w:sz w:val="28"/>
          <w:szCs w:val="28"/>
        </w:rPr>
        <w:t>1.</w:t>
      </w:r>
      <w:r>
        <w:rPr>
          <w:spacing w:val="-6"/>
          <w:sz w:val="28"/>
          <w:szCs w:val="28"/>
        </w:rPr>
        <w:t>一般约定</w:t>
      </w:r>
    </w:p>
    <w:p w14:paraId="1A0C72C1">
      <w:pPr>
        <w:pStyle w:val="2"/>
        <w:spacing w:before="100" w:line="222" w:lineRule="auto"/>
        <w:ind w:left="20"/>
        <w:rPr>
          <w:sz w:val="24"/>
          <w:szCs w:val="24"/>
        </w:rPr>
      </w:pPr>
      <w:r>
        <w:rPr>
          <w:rFonts w:ascii="Times New Roman" w:hAnsi="Times New Roman" w:eastAsia="Times New Roman" w:cs="Times New Roman"/>
          <w:spacing w:val="-6"/>
          <w:sz w:val="24"/>
          <w:szCs w:val="24"/>
        </w:rPr>
        <w:t>1.1</w:t>
      </w:r>
      <w:r>
        <w:rPr>
          <w:rFonts w:ascii="Times New Roman" w:hAnsi="Times New Roman" w:eastAsia="Times New Roman" w:cs="Times New Roman"/>
          <w:spacing w:val="12"/>
          <w:sz w:val="24"/>
          <w:szCs w:val="24"/>
        </w:rPr>
        <w:t xml:space="preserve"> </w:t>
      </w:r>
      <w:r>
        <w:rPr>
          <w:spacing w:val="-6"/>
          <w:sz w:val="24"/>
          <w:szCs w:val="24"/>
        </w:rPr>
        <w:t>词语定义</w:t>
      </w:r>
    </w:p>
    <w:p w14:paraId="13D8C9F3">
      <w:pPr>
        <w:spacing w:before="136" w:line="228" w:lineRule="auto"/>
        <w:ind w:left="436"/>
        <w:rPr>
          <w:rFonts w:ascii="宋体" w:hAnsi="宋体" w:eastAsia="宋体" w:cs="宋体"/>
          <w:sz w:val="20"/>
          <w:szCs w:val="20"/>
        </w:rPr>
      </w:pPr>
      <w:r>
        <w:rPr>
          <w:rFonts w:ascii="宋体" w:hAnsi="宋体" w:eastAsia="宋体" w:cs="宋体"/>
          <w:b/>
          <w:bCs/>
          <w:spacing w:val="4"/>
          <w:sz w:val="20"/>
          <w:szCs w:val="20"/>
        </w:rPr>
        <w:t>1.1.2</w:t>
      </w:r>
      <w:r>
        <w:rPr>
          <w:rFonts w:ascii="宋体" w:hAnsi="宋体" w:eastAsia="宋体" w:cs="宋体"/>
          <w:spacing w:val="-39"/>
          <w:sz w:val="20"/>
          <w:szCs w:val="20"/>
        </w:rPr>
        <w:t xml:space="preserve"> </w:t>
      </w:r>
      <w:r>
        <w:rPr>
          <w:rFonts w:ascii="宋体" w:hAnsi="宋体" w:eastAsia="宋体" w:cs="宋体"/>
          <w:b/>
          <w:bCs/>
          <w:spacing w:val="4"/>
          <w:sz w:val="20"/>
          <w:szCs w:val="20"/>
        </w:rPr>
        <w:t>合同当事人和人员</w:t>
      </w:r>
    </w:p>
    <w:p w14:paraId="7A6FAA6D">
      <w:pPr>
        <w:spacing w:before="127" w:line="228" w:lineRule="auto"/>
        <w:ind w:left="436"/>
        <w:rPr>
          <w:rFonts w:ascii="宋体" w:hAnsi="宋体" w:eastAsia="宋体" w:cs="宋体"/>
          <w:sz w:val="20"/>
          <w:szCs w:val="20"/>
        </w:rPr>
      </w:pPr>
      <w:r>
        <w:rPr>
          <w:rFonts w:ascii="宋体" w:hAnsi="宋体" w:eastAsia="宋体" w:cs="宋体"/>
          <w:spacing w:val="3"/>
          <w:sz w:val="20"/>
          <w:szCs w:val="20"/>
        </w:rPr>
        <w:t>1.1.2.2</w:t>
      </w:r>
      <w:r>
        <w:rPr>
          <w:rFonts w:ascii="宋体" w:hAnsi="宋体" w:eastAsia="宋体" w:cs="宋体"/>
          <w:spacing w:val="-20"/>
          <w:sz w:val="20"/>
          <w:szCs w:val="20"/>
        </w:rPr>
        <w:t xml:space="preserve"> </w:t>
      </w:r>
      <w:r>
        <w:rPr>
          <w:rFonts w:ascii="宋体" w:hAnsi="宋体" w:eastAsia="宋体" w:cs="宋体"/>
          <w:spacing w:val="3"/>
          <w:sz w:val="20"/>
          <w:szCs w:val="20"/>
        </w:rPr>
        <w:t>发包人：</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71E1FC3C">
      <w:pPr>
        <w:spacing w:before="143" w:line="231" w:lineRule="auto"/>
        <w:ind w:left="436"/>
        <w:rPr>
          <w:rFonts w:ascii="宋体" w:hAnsi="宋体" w:eastAsia="宋体" w:cs="宋体"/>
          <w:sz w:val="20"/>
          <w:szCs w:val="20"/>
        </w:rPr>
      </w:pPr>
      <w:r>
        <w:rPr>
          <w:rFonts w:ascii="宋体" w:hAnsi="宋体" w:eastAsia="宋体" w:cs="宋体"/>
          <w:spacing w:val="4"/>
          <w:sz w:val="20"/>
          <w:szCs w:val="20"/>
        </w:rPr>
        <w:t>1.1.2.6</w:t>
      </w:r>
      <w:r>
        <w:rPr>
          <w:rFonts w:ascii="宋体" w:hAnsi="宋体" w:eastAsia="宋体" w:cs="宋体"/>
          <w:spacing w:val="-39"/>
          <w:sz w:val="20"/>
          <w:szCs w:val="20"/>
        </w:rPr>
        <w:t xml:space="preserve"> </w:t>
      </w:r>
      <w:r>
        <w:rPr>
          <w:rFonts w:ascii="宋体" w:hAnsi="宋体" w:eastAsia="宋体" w:cs="宋体"/>
          <w:spacing w:val="4"/>
          <w:sz w:val="20"/>
          <w:szCs w:val="20"/>
        </w:rPr>
        <w:t>监理人：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4217E7C1">
      <w:pPr>
        <w:spacing w:before="139" w:line="228" w:lineRule="auto"/>
        <w:ind w:left="436"/>
        <w:rPr>
          <w:rFonts w:ascii="宋体" w:hAnsi="宋体" w:eastAsia="宋体" w:cs="宋体"/>
          <w:sz w:val="20"/>
          <w:szCs w:val="20"/>
        </w:rPr>
      </w:pPr>
      <w:r>
        <w:rPr>
          <w:rFonts w:ascii="宋体" w:hAnsi="宋体" w:eastAsia="宋体" w:cs="宋体"/>
          <w:spacing w:val="8"/>
          <w:sz w:val="20"/>
          <w:szCs w:val="20"/>
        </w:rPr>
        <w:t>1.1.2.8</w:t>
      </w:r>
      <w:r>
        <w:rPr>
          <w:rFonts w:ascii="宋体" w:hAnsi="宋体" w:eastAsia="宋体" w:cs="宋体"/>
          <w:spacing w:val="-37"/>
          <w:sz w:val="20"/>
          <w:szCs w:val="20"/>
        </w:rPr>
        <w:t xml:space="preserve"> </w:t>
      </w:r>
      <w:r>
        <w:rPr>
          <w:rFonts w:ascii="宋体" w:hAnsi="宋体" w:eastAsia="宋体" w:cs="宋体"/>
          <w:spacing w:val="8"/>
          <w:sz w:val="20"/>
          <w:szCs w:val="20"/>
        </w:rPr>
        <w:t>发包人代表：指发包人指定的派驻施工场</w:t>
      </w:r>
      <w:r>
        <w:rPr>
          <w:rFonts w:ascii="宋体" w:hAnsi="宋体" w:eastAsia="宋体" w:cs="宋体"/>
          <w:spacing w:val="7"/>
          <w:sz w:val="20"/>
          <w:szCs w:val="20"/>
        </w:rPr>
        <w:t>地（现场）的全权代表。</w:t>
      </w:r>
    </w:p>
    <w:p w14:paraId="41FE0BF5">
      <w:pPr>
        <w:spacing w:before="144" w:line="228" w:lineRule="auto"/>
        <w:ind w:left="420"/>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7"/>
          <w:sz w:val="20"/>
          <w:szCs w:val="20"/>
        </w:rPr>
        <w:t xml:space="preserve">    </w:t>
      </w:r>
      <w:r>
        <w:rPr>
          <w:rFonts w:ascii="宋体" w:hAnsi="宋体" w:eastAsia="宋体" w:cs="宋体"/>
          <w:spacing w:val="-1"/>
          <w:sz w:val="20"/>
          <w:szCs w:val="20"/>
        </w:rPr>
        <w:t>名</w:t>
      </w:r>
      <w:r>
        <w:rPr>
          <w:rFonts w:ascii="宋体" w:hAnsi="宋体" w:eastAsia="宋体" w:cs="宋体"/>
          <w:spacing w:val="-72"/>
          <w:sz w:val="20"/>
          <w:szCs w:val="20"/>
        </w:rPr>
        <w:t xml:space="preserve"> </w:t>
      </w:r>
      <w:r>
        <w:rPr>
          <w:rFonts w:ascii="宋体" w:hAnsi="宋体" w:eastAsia="宋体" w:cs="宋体"/>
          <w:spacing w:val="-1"/>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p>
    <w:p w14:paraId="181FB99A">
      <w:pPr>
        <w:spacing w:before="142" w:line="230" w:lineRule="auto"/>
        <w:ind w:left="421"/>
        <w:rPr>
          <w:rFonts w:ascii="宋体" w:hAnsi="宋体" w:eastAsia="宋体" w:cs="宋体"/>
          <w:sz w:val="20"/>
          <w:szCs w:val="20"/>
        </w:rPr>
      </w:pPr>
      <w:r>
        <w:rPr>
          <w:rFonts w:ascii="宋体" w:hAnsi="宋体" w:eastAsia="宋体" w:cs="宋体"/>
          <w:spacing w:val="-1"/>
          <w:sz w:val="20"/>
          <w:szCs w:val="20"/>
        </w:rPr>
        <w:t>职</w:t>
      </w:r>
      <w:r>
        <w:rPr>
          <w:rFonts w:ascii="宋体" w:hAnsi="宋体" w:eastAsia="宋体" w:cs="宋体"/>
          <w:spacing w:val="6"/>
          <w:sz w:val="20"/>
          <w:szCs w:val="20"/>
        </w:rPr>
        <w:t xml:space="preserve">    </w:t>
      </w:r>
      <w:r>
        <w:rPr>
          <w:rFonts w:ascii="宋体" w:hAnsi="宋体" w:eastAsia="宋体" w:cs="宋体"/>
          <w:spacing w:val="-1"/>
          <w:sz w:val="20"/>
          <w:szCs w:val="20"/>
        </w:rPr>
        <w:t>称</w:t>
      </w:r>
      <w:r>
        <w:rPr>
          <w:rFonts w:ascii="宋体" w:hAnsi="宋体" w:eastAsia="宋体" w:cs="宋体"/>
          <w:spacing w:val="-71"/>
          <w:sz w:val="20"/>
          <w:szCs w:val="20"/>
        </w:rPr>
        <w:t xml:space="preserve"> </w:t>
      </w:r>
      <w:r>
        <w:rPr>
          <w:rFonts w:ascii="宋体" w:hAnsi="宋体" w:eastAsia="宋体" w:cs="宋体"/>
          <w:spacing w:val="-1"/>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p>
    <w:p w14:paraId="258CF2DA">
      <w:pPr>
        <w:spacing w:before="142" w:line="230" w:lineRule="auto"/>
        <w:ind w:left="421"/>
        <w:rPr>
          <w:rFonts w:ascii="宋体" w:hAnsi="宋体" w:eastAsia="宋体" w:cs="宋体"/>
          <w:sz w:val="20"/>
          <w:szCs w:val="20"/>
        </w:rPr>
      </w:pPr>
      <w:r>
        <w:rPr>
          <w:rFonts w:ascii="宋体" w:hAnsi="宋体" w:eastAsia="宋体" w:cs="宋体"/>
          <w:spacing w:val="4"/>
          <w:sz w:val="20"/>
          <w:szCs w:val="20"/>
        </w:rPr>
        <w:t>联系电话：</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1348B3A5">
      <w:pPr>
        <w:spacing w:before="139" w:line="228" w:lineRule="auto"/>
        <w:ind w:left="445"/>
        <w:rPr>
          <w:rFonts w:ascii="宋体" w:hAnsi="宋体" w:eastAsia="宋体" w:cs="宋体"/>
          <w:sz w:val="20"/>
          <w:szCs w:val="20"/>
        </w:rPr>
      </w:pPr>
      <w:r>
        <w:rPr>
          <w:rFonts w:ascii="宋体" w:hAnsi="宋体" w:eastAsia="宋体" w:cs="宋体"/>
          <w:spacing w:val="2"/>
          <w:sz w:val="20"/>
          <w:szCs w:val="20"/>
        </w:rPr>
        <w:t>电子信箱：</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w:t>
      </w:r>
    </w:p>
    <w:p w14:paraId="3CB2FDA1">
      <w:pPr>
        <w:spacing w:before="144" w:line="228" w:lineRule="auto"/>
        <w:ind w:left="420"/>
        <w:rPr>
          <w:rFonts w:ascii="宋体" w:hAnsi="宋体" w:eastAsia="宋体" w:cs="宋体"/>
          <w:sz w:val="20"/>
          <w:szCs w:val="20"/>
        </w:rPr>
      </w:pPr>
      <w:r>
        <w:rPr>
          <w:rFonts w:ascii="宋体" w:hAnsi="宋体" w:eastAsia="宋体" w:cs="宋体"/>
          <w:spacing w:val="4"/>
          <w:sz w:val="20"/>
          <w:szCs w:val="20"/>
        </w:rPr>
        <w:t>通信地址：</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56556E50">
      <w:pPr>
        <w:spacing w:before="143" w:line="360" w:lineRule="auto"/>
        <w:ind w:left="2" w:right="2" w:firstLine="433"/>
        <w:rPr>
          <w:rFonts w:ascii="宋体" w:hAnsi="宋体" w:eastAsia="宋体" w:cs="宋体"/>
          <w:sz w:val="20"/>
          <w:szCs w:val="20"/>
        </w:rPr>
      </w:pPr>
      <w:r>
        <w:rPr>
          <w:rFonts w:ascii="宋体" w:hAnsi="宋体" w:eastAsia="宋体" w:cs="宋体"/>
          <w:spacing w:val="5"/>
          <w:sz w:val="20"/>
          <w:szCs w:val="20"/>
        </w:rPr>
        <w:t>1.1.2.9 专业分包人：指根据合同条款第</w:t>
      </w:r>
      <w:r>
        <w:rPr>
          <w:rFonts w:ascii="宋体" w:hAnsi="宋体" w:eastAsia="宋体" w:cs="宋体"/>
          <w:spacing w:val="-21"/>
          <w:sz w:val="20"/>
          <w:szCs w:val="20"/>
        </w:rPr>
        <w:t xml:space="preserve"> </w:t>
      </w:r>
      <w:r>
        <w:rPr>
          <w:rFonts w:ascii="宋体" w:hAnsi="宋体" w:eastAsia="宋体" w:cs="宋体"/>
          <w:spacing w:val="5"/>
          <w:sz w:val="20"/>
          <w:szCs w:val="20"/>
        </w:rPr>
        <w:t>15.8.1</w:t>
      </w:r>
      <w:r>
        <w:rPr>
          <w:rFonts w:ascii="宋体" w:hAnsi="宋体" w:eastAsia="宋体" w:cs="宋体"/>
          <w:spacing w:val="-37"/>
          <w:sz w:val="20"/>
          <w:szCs w:val="20"/>
        </w:rPr>
        <w:t xml:space="preserve"> </w:t>
      </w:r>
      <w:r>
        <w:rPr>
          <w:rFonts w:ascii="宋体" w:hAnsi="宋体" w:eastAsia="宋体" w:cs="宋体"/>
          <w:spacing w:val="5"/>
          <w:sz w:val="20"/>
          <w:szCs w:val="20"/>
        </w:rPr>
        <w:t>项的约定，由发包人和承包人以招</w:t>
      </w:r>
      <w:r>
        <w:rPr>
          <w:rFonts w:ascii="宋体" w:hAnsi="宋体" w:eastAsia="宋体" w:cs="宋体"/>
          <w:spacing w:val="4"/>
          <w:sz w:val="20"/>
          <w:szCs w:val="20"/>
        </w:rPr>
        <w:t>标方式选</w:t>
      </w:r>
      <w:r>
        <w:rPr>
          <w:rFonts w:ascii="宋体" w:hAnsi="宋体" w:eastAsia="宋体" w:cs="宋体"/>
          <w:spacing w:val="6"/>
          <w:sz w:val="20"/>
          <w:szCs w:val="20"/>
        </w:rPr>
        <w:t>择的分包人。</w:t>
      </w:r>
    </w:p>
    <w:p w14:paraId="409298A6">
      <w:pPr>
        <w:spacing w:line="360" w:lineRule="auto"/>
        <w:ind w:firstLine="436"/>
        <w:rPr>
          <w:rFonts w:ascii="宋体" w:hAnsi="宋体" w:eastAsia="宋体" w:cs="宋体"/>
          <w:sz w:val="20"/>
          <w:szCs w:val="20"/>
        </w:rPr>
      </w:pPr>
      <w:r>
        <w:rPr>
          <w:rFonts w:ascii="宋体" w:hAnsi="宋体" w:eastAsia="宋体" w:cs="宋体"/>
          <w:spacing w:val="6"/>
          <w:sz w:val="20"/>
          <w:szCs w:val="20"/>
        </w:rPr>
        <w:t>1.1.2.10 专项供应商：指根据合同条款第</w:t>
      </w:r>
      <w:r>
        <w:rPr>
          <w:rFonts w:ascii="宋体" w:hAnsi="宋体" w:eastAsia="宋体" w:cs="宋体"/>
          <w:spacing w:val="-15"/>
          <w:sz w:val="20"/>
          <w:szCs w:val="20"/>
        </w:rPr>
        <w:t xml:space="preserve"> </w:t>
      </w:r>
      <w:r>
        <w:rPr>
          <w:rFonts w:ascii="宋体" w:hAnsi="宋体" w:eastAsia="宋体" w:cs="宋体"/>
          <w:spacing w:val="6"/>
          <w:sz w:val="20"/>
          <w:szCs w:val="20"/>
        </w:rPr>
        <w:t>15.8.1</w:t>
      </w:r>
      <w:r>
        <w:rPr>
          <w:rFonts w:ascii="宋体" w:hAnsi="宋体" w:eastAsia="宋体" w:cs="宋体"/>
          <w:spacing w:val="-34"/>
          <w:sz w:val="20"/>
          <w:szCs w:val="20"/>
        </w:rPr>
        <w:t xml:space="preserve"> </w:t>
      </w:r>
      <w:r>
        <w:rPr>
          <w:rFonts w:ascii="宋体" w:hAnsi="宋体" w:eastAsia="宋体" w:cs="宋体"/>
          <w:spacing w:val="6"/>
          <w:sz w:val="20"/>
          <w:szCs w:val="20"/>
        </w:rPr>
        <w:t>项的约定，</w:t>
      </w:r>
      <w:r>
        <w:rPr>
          <w:rFonts w:ascii="宋体" w:hAnsi="宋体" w:eastAsia="宋体" w:cs="宋体"/>
          <w:spacing w:val="-58"/>
          <w:sz w:val="20"/>
          <w:szCs w:val="20"/>
        </w:rPr>
        <w:t xml:space="preserve"> </w:t>
      </w:r>
      <w:r>
        <w:rPr>
          <w:rFonts w:ascii="宋体" w:hAnsi="宋体" w:eastAsia="宋体" w:cs="宋体"/>
          <w:spacing w:val="6"/>
          <w:sz w:val="20"/>
          <w:szCs w:val="20"/>
        </w:rPr>
        <w:t>由发包人和承包人以招标方式</w:t>
      </w:r>
      <w:r>
        <w:rPr>
          <w:rFonts w:ascii="宋体" w:hAnsi="宋体" w:eastAsia="宋体" w:cs="宋体"/>
          <w:spacing w:val="7"/>
          <w:sz w:val="20"/>
          <w:szCs w:val="20"/>
        </w:rPr>
        <w:t>选择的供应商。</w:t>
      </w:r>
    </w:p>
    <w:p w14:paraId="2BCB40F5">
      <w:pPr>
        <w:spacing w:line="360" w:lineRule="auto"/>
        <w:ind w:left="17" w:right="2" w:firstLine="418"/>
        <w:rPr>
          <w:rFonts w:ascii="宋体" w:hAnsi="宋体" w:eastAsia="宋体" w:cs="宋体"/>
          <w:sz w:val="20"/>
          <w:szCs w:val="20"/>
        </w:rPr>
      </w:pPr>
      <w:r>
        <w:rPr>
          <w:rFonts w:ascii="宋体" w:hAnsi="宋体" w:eastAsia="宋体" w:cs="宋体"/>
          <w:spacing w:val="9"/>
          <w:sz w:val="20"/>
          <w:szCs w:val="20"/>
        </w:rPr>
        <w:t>1.1.2.11独立承包人：指与发包人直接</w:t>
      </w:r>
      <w:r>
        <w:rPr>
          <w:rFonts w:ascii="宋体" w:hAnsi="宋体" w:eastAsia="宋体" w:cs="宋体"/>
          <w:spacing w:val="8"/>
          <w:sz w:val="20"/>
          <w:szCs w:val="20"/>
        </w:rPr>
        <w:t>订立工程承包合同，负责实施与工程有关的其他工作</w:t>
      </w:r>
      <w:r>
        <w:rPr>
          <w:rFonts w:ascii="宋体" w:hAnsi="宋体" w:eastAsia="宋体" w:cs="宋体"/>
          <w:spacing w:val="2"/>
          <w:sz w:val="20"/>
          <w:szCs w:val="20"/>
        </w:rPr>
        <w:t>的当事人。</w:t>
      </w:r>
    </w:p>
    <w:p w14:paraId="1178512E">
      <w:pPr>
        <w:spacing w:line="228" w:lineRule="auto"/>
        <w:ind w:left="436"/>
        <w:rPr>
          <w:rFonts w:ascii="宋体" w:hAnsi="宋体" w:eastAsia="宋体" w:cs="宋体"/>
          <w:sz w:val="20"/>
          <w:szCs w:val="20"/>
        </w:rPr>
      </w:pPr>
      <w:r>
        <w:rPr>
          <w:rFonts w:ascii="宋体" w:hAnsi="宋体" w:eastAsia="宋体" w:cs="宋体"/>
          <w:b/>
          <w:bCs/>
          <w:spacing w:val="2"/>
          <w:sz w:val="20"/>
          <w:szCs w:val="20"/>
        </w:rPr>
        <w:t>1.1.3</w:t>
      </w:r>
      <w:r>
        <w:rPr>
          <w:rFonts w:ascii="宋体" w:hAnsi="宋体" w:eastAsia="宋体" w:cs="宋体"/>
          <w:spacing w:val="-34"/>
          <w:sz w:val="20"/>
          <w:szCs w:val="20"/>
        </w:rPr>
        <w:t xml:space="preserve"> </w:t>
      </w:r>
      <w:r>
        <w:rPr>
          <w:rFonts w:ascii="宋体" w:hAnsi="宋体" w:eastAsia="宋体" w:cs="宋体"/>
          <w:b/>
          <w:bCs/>
          <w:spacing w:val="2"/>
          <w:sz w:val="20"/>
          <w:szCs w:val="20"/>
        </w:rPr>
        <w:t>工程和设备</w:t>
      </w:r>
    </w:p>
    <w:p w14:paraId="1B2D83D9">
      <w:pPr>
        <w:spacing w:before="144" w:line="228" w:lineRule="auto"/>
        <w:ind w:left="436"/>
        <w:rPr>
          <w:rFonts w:ascii="宋体" w:hAnsi="宋体" w:eastAsia="宋体" w:cs="宋体"/>
          <w:sz w:val="20"/>
          <w:szCs w:val="20"/>
        </w:rPr>
      </w:pPr>
      <w:r>
        <w:rPr>
          <w:rFonts w:ascii="宋体" w:hAnsi="宋体" w:eastAsia="宋体" w:cs="宋体"/>
          <w:spacing w:val="4"/>
          <w:sz w:val="20"/>
          <w:szCs w:val="20"/>
        </w:rPr>
        <w:t>1.1.3.2</w:t>
      </w:r>
      <w:r>
        <w:rPr>
          <w:rFonts w:ascii="宋体" w:hAnsi="宋体" w:eastAsia="宋体" w:cs="宋体"/>
          <w:spacing w:val="-38"/>
          <w:sz w:val="20"/>
          <w:szCs w:val="20"/>
        </w:rPr>
        <w:t xml:space="preserve"> </w:t>
      </w:r>
      <w:r>
        <w:rPr>
          <w:rFonts w:ascii="宋体" w:hAnsi="宋体" w:eastAsia="宋体" w:cs="宋体"/>
          <w:spacing w:val="4"/>
          <w:sz w:val="20"/>
          <w:szCs w:val="20"/>
        </w:rPr>
        <w:t>永久工程：</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75A8D7EA">
      <w:pPr>
        <w:spacing w:before="141" w:line="228" w:lineRule="auto"/>
        <w:ind w:left="436"/>
        <w:rPr>
          <w:rFonts w:ascii="宋体" w:hAnsi="宋体" w:eastAsia="宋体" w:cs="宋体"/>
          <w:sz w:val="20"/>
          <w:szCs w:val="20"/>
        </w:rPr>
      </w:pPr>
      <w:r>
        <w:rPr>
          <w:rFonts w:ascii="宋体" w:hAnsi="宋体" w:eastAsia="宋体" w:cs="宋体"/>
          <w:spacing w:val="3"/>
          <w:sz w:val="20"/>
          <w:szCs w:val="20"/>
        </w:rPr>
        <w:t>1.1.3.3</w:t>
      </w:r>
      <w:r>
        <w:rPr>
          <w:rFonts w:ascii="宋体" w:hAnsi="宋体" w:eastAsia="宋体" w:cs="宋体"/>
          <w:spacing w:val="-17"/>
          <w:sz w:val="20"/>
          <w:szCs w:val="20"/>
        </w:rPr>
        <w:t xml:space="preserve"> </w:t>
      </w:r>
      <w:r>
        <w:rPr>
          <w:rFonts w:ascii="宋体" w:hAnsi="宋体" w:eastAsia="宋体" w:cs="宋体"/>
          <w:spacing w:val="3"/>
          <w:sz w:val="20"/>
          <w:szCs w:val="20"/>
        </w:rPr>
        <w:t>临时工程：</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4E14846C">
      <w:pPr>
        <w:spacing w:before="145" w:line="360" w:lineRule="auto"/>
        <w:ind w:left="17" w:right="2" w:firstLine="418"/>
        <w:rPr>
          <w:rFonts w:ascii="宋体" w:hAnsi="宋体" w:eastAsia="宋体" w:cs="宋体"/>
          <w:sz w:val="20"/>
          <w:szCs w:val="20"/>
        </w:rPr>
      </w:pPr>
      <w:r>
        <w:rPr>
          <w:rFonts w:ascii="宋体" w:hAnsi="宋体" w:eastAsia="宋体" w:cs="宋体"/>
          <w:spacing w:val="10"/>
          <w:sz w:val="20"/>
          <w:szCs w:val="20"/>
        </w:rPr>
        <w:t>1.1.3.4</w:t>
      </w:r>
      <w:r>
        <w:rPr>
          <w:rFonts w:ascii="宋体" w:hAnsi="宋体" w:eastAsia="宋体" w:cs="宋体"/>
          <w:spacing w:val="-39"/>
          <w:sz w:val="20"/>
          <w:szCs w:val="20"/>
        </w:rPr>
        <w:t xml:space="preserve"> </w:t>
      </w:r>
      <w:r>
        <w:rPr>
          <w:rFonts w:ascii="宋体" w:hAnsi="宋体" w:eastAsia="宋体" w:cs="宋体"/>
          <w:spacing w:val="10"/>
          <w:sz w:val="20"/>
          <w:szCs w:val="20"/>
        </w:rPr>
        <w:t>单位工程：指具有相对独立的设计文件</w:t>
      </w:r>
      <w:r>
        <w:rPr>
          <w:rFonts w:ascii="宋体" w:hAnsi="宋体" w:eastAsia="宋体" w:cs="宋体"/>
          <w:spacing w:val="9"/>
          <w:sz w:val="20"/>
          <w:szCs w:val="20"/>
        </w:rPr>
        <w:t>，能够独立组织施工并能形成独立使用功能</w:t>
      </w:r>
      <w:r>
        <w:rPr>
          <w:rFonts w:ascii="宋体" w:hAnsi="宋体" w:eastAsia="宋体" w:cs="宋体"/>
          <w:spacing w:val="6"/>
          <w:sz w:val="20"/>
          <w:szCs w:val="20"/>
        </w:rPr>
        <w:t>的永久工程的组成部分。</w:t>
      </w:r>
    </w:p>
    <w:p w14:paraId="47D64D04">
      <w:pPr>
        <w:spacing w:line="229" w:lineRule="auto"/>
        <w:ind w:left="436"/>
        <w:rPr>
          <w:rFonts w:ascii="宋体" w:hAnsi="宋体" w:eastAsia="宋体" w:cs="宋体"/>
          <w:sz w:val="20"/>
          <w:szCs w:val="20"/>
        </w:rPr>
      </w:pPr>
      <w:r>
        <w:rPr>
          <w:rFonts w:ascii="宋体" w:hAnsi="宋体" w:eastAsia="宋体" w:cs="宋体"/>
          <w:spacing w:val="4"/>
          <w:sz w:val="20"/>
          <w:szCs w:val="20"/>
        </w:rPr>
        <w:t>1.1.3.10</w:t>
      </w:r>
      <w:r>
        <w:rPr>
          <w:rFonts w:ascii="宋体" w:hAnsi="宋体" w:eastAsia="宋体" w:cs="宋体"/>
          <w:spacing w:val="-38"/>
          <w:sz w:val="20"/>
          <w:szCs w:val="20"/>
        </w:rPr>
        <w:t xml:space="preserve"> </w:t>
      </w:r>
      <w:r>
        <w:rPr>
          <w:rFonts w:ascii="宋体" w:hAnsi="宋体" w:eastAsia="宋体" w:cs="宋体"/>
          <w:spacing w:val="4"/>
          <w:sz w:val="20"/>
          <w:szCs w:val="20"/>
        </w:rPr>
        <w:t>永久占地：</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71882829">
      <w:pPr>
        <w:spacing w:before="140" w:line="228" w:lineRule="auto"/>
        <w:ind w:left="436"/>
        <w:rPr>
          <w:rFonts w:ascii="宋体" w:hAnsi="宋体" w:eastAsia="宋体" w:cs="宋体"/>
          <w:sz w:val="20"/>
          <w:szCs w:val="20"/>
        </w:rPr>
      </w:pPr>
      <w:r>
        <w:rPr>
          <w:rFonts w:ascii="宋体" w:hAnsi="宋体" w:eastAsia="宋体" w:cs="宋体"/>
          <w:spacing w:val="3"/>
          <w:sz w:val="20"/>
          <w:szCs w:val="20"/>
        </w:rPr>
        <w:t>1.1.3.11</w:t>
      </w:r>
      <w:r>
        <w:rPr>
          <w:rFonts w:ascii="宋体" w:hAnsi="宋体" w:eastAsia="宋体" w:cs="宋体"/>
          <w:spacing w:val="-17"/>
          <w:sz w:val="20"/>
          <w:szCs w:val="20"/>
        </w:rPr>
        <w:t xml:space="preserve"> </w:t>
      </w:r>
      <w:r>
        <w:rPr>
          <w:rFonts w:ascii="宋体" w:hAnsi="宋体" w:eastAsia="宋体" w:cs="宋体"/>
          <w:spacing w:val="3"/>
          <w:sz w:val="20"/>
          <w:szCs w:val="20"/>
        </w:rPr>
        <w:t>临时占地：</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4F53BE10">
      <w:pPr>
        <w:spacing w:before="145" w:line="228" w:lineRule="auto"/>
        <w:ind w:left="436"/>
        <w:rPr>
          <w:rFonts w:ascii="宋体" w:hAnsi="宋体" w:eastAsia="宋体" w:cs="宋体"/>
          <w:sz w:val="20"/>
          <w:szCs w:val="20"/>
        </w:rPr>
      </w:pPr>
      <w:r>
        <w:rPr>
          <w:rFonts w:ascii="宋体" w:hAnsi="宋体" w:eastAsia="宋体" w:cs="宋体"/>
          <w:b/>
          <w:bCs/>
          <w:spacing w:val="-5"/>
          <w:sz w:val="20"/>
          <w:szCs w:val="20"/>
        </w:rPr>
        <w:t>1.1.4</w:t>
      </w:r>
      <w:r>
        <w:rPr>
          <w:rFonts w:ascii="宋体" w:hAnsi="宋体" w:eastAsia="宋体" w:cs="宋体"/>
          <w:spacing w:val="-5"/>
          <w:sz w:val="20"/>
          <w:szCs w:val="20"/>
        </w:rPr>
        <w:t xml:space="preserve"> </w:t>
      </w:r>
      <w:r>
        <w:rPr>
          <w:rFonts w:ascii="宋体" w:hAnsi="宋体" w:eastAsia="宋体" w:cs="宋体"/>
          <w:b/>
          <w:bCs/>
          <w:spacing w:val="-5"/>
          <w:sz w:val="20"/>
          <w:szCs w:val="20"/>
        </w:rPr>
        <w:t>日期</w:t>
      </w:r>
    </w:p>
    <w:p w14:paraId="49E6DBD3">
      <w:pPr>
        <w:spacing w:before="141" w:line="228" w:lineRule="auto"/>
        <w:ind w:left="436"/>
        <w:rPr>
          <w:rFonts w:ascii="宋体" w:hAnsi="宋体" w:eastAsia="宋体" w:cs="宋体"/>
          <w:sz w:val="20"/>
          <w:szCs w:val="20"/>
        </w:rPr>
      </w:pPr>
      <w:r>
        <w:rPr>
          <w:rFonts w:ascii="宋体" w:hAnsi="宋体" w:eastAsia="宋体" w:cs="宋体"/>
          <w:spacing w:val="4"/>
          <w:sz w:val="20"/>
          <w:szCs w:val="20"/>
        </w:rPr>
        <w:t>1.1.4.5</w:t>
      </w:r>
      <w:r>
        <w:rPr>
          <w:rFonts w:ascii="宋体" w:hAnsi="宋体" w:eastAsia="宋体" w:cs="宋体"/>
          <w:spacing w:val="-22"/>
          <w:sz w:val="20"/>
          <w:szCs w:val="20"/>
        </w:rPr>
        <w:t xml:space="preserve"> </w:t>
      </w:r>
      <w:r>
        <w:rPr>
          <w:rFonts w:ascii="宋体" w:hAnsi="宋体" w:eastAsia="宋体" w:cs="宋体"/>
          <w:spacing w:val="4"/>
          <w:sz w:val="20"/>
          <w:szCs w:val="20"/>
        </w:rPr>
        <w:t>缺陷责任期期限：</w:t>
      </w:r>
      <w:r>
        <w:rPr>
          <w:rFonts w:ascii="宋体" w:hAnsi="宋体" w:eastAsia="宋体" w:cs="宋体"/>
          <w:spacing w:val="4"/>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4"/>
          <w:sz w:val="20"/>
          <w:szCs w:val="20"/>
        </w:rPr>
        <w:t>月。</w:t>
      </w:r>
    </w:p>
    <w:p w14:paraId="62CF8587">
      <w:pPr>
        <w:spacing w:before="145" w:line="360" w:lineRule="auto"/>
        <w:ind w:left="1" w:right="2" w:firstLine="434"/>
        <w:rPr>
          <w:rFonts w:ascii="宋体" w:hAnsi="宋体" w:eastAsia="宋体" w:cs="宋体"/>
          <w:sz w:val="20"/>
          <w:szCs w:val="20"/>
        </w:rPr>
      </w:pPr>
      <w:r>
        <w:rPr>
          <w:rFonts w:ascii="宋体" w:hAnsi="宋体" w:eastAsia="宋体" w:cs="宋体"/>
          <w:spacing w:val="6"/>
          <w:sz w:val="20"/>
          <w:szCs w:val="20"/>
        </w:rPr>
        <w:t>1.1.4.8</w:t>
      </w:r>
      <w:r>
        <w:rPr>
          <w:rFonts w:ascii="宋体" w:hAnsi="宋体" w:eastAsia="宋体" w:cs="宋体"/>
          <w:spacing w:val="-34"/>
          <w:sz w:val="20"/>
          <w:szCs w:val="20"/>
        </w:rPr>
        <w:t xml:space="preserve"> </w:t>
      </w:r>
      <w:r>
        <w:rPr>
          <w:rFonts w:ascii="宋体" w:hAnsi="宋体" w:eastAsia="宋体" w:cs="宋体"/>
          <w:spacing w:val="6"/>
          <w:sz w:val="20"/>
          <w:szCs w:val="20"/>
        </w:rPr>
        <w:t>保修期：是根据现行有关法律规定，在合同条款第</w:t>
      </w:r>
      <w:r>
        <w:rPr>
          <w:rFonts w:ascii="宋体" w:hAnsi="宋体" w:eastAsia="宋体" w:cs="宋体"/>
          <w:spacing w:val="-24"/>
          <w:sz w:val="20"/>
          <w:szCs w:val="20"/>
        </w:rPr>
        <w:t xml:space="preserve"> </w:t>
      </w:r>
      <w:r>
        <w:rPr>
          <w:rFonts w:ascii="宋体" w:hAnsi="宋体" w:eastAsia="宋体" w:cs="宋体"/>
          <w:spacing w:val="6"/>
          <w:sz w:val="20"/>
          <w:szCs w:val="20"/>
        </w:rPr>
        <w:t>19.7</w:t>
      </w:r>
      <w:r>
        <w:rPr>
          <w:rFonts w:ascii="宋体" w:hAnsi="宋体" w:eastAsia="宋体" w:cs="宋体"/>
          <w:spacing w:val="-39"/>
          <w:sz w:val="20"/>
          <w:szCs w:val="20"/>
        </w:rPr>
        <w:t xml:space="preserve"> </w:t>
      </w:r>
      <w:r>
        <w:rPr>
          <w:rFonts w:ascii="宋体" w:hAnsi="宋体" w:eastAsia="宋体" w:cs="宋体"/>
          <w:spacing w:val="6"/>
          <w:sz w:val="20"/>
          <w:szCs w:val="20"/>
        </w:rPr>
        <w:t>款中约定的由承包人负责对</w:t>
      </w:r>
      <w:r>
        <w:rPr>
          <w:rFonts w:ascii="宋体" w:hAnsi="宋体" w:eastAsia="宋体" w:cs="宋体"/>
          <w:spacing w:val="9"/>
          <w:sz w:val="20"/>
          <w:szCs w:val="20"/>
        </w:rPr>
        <w:t>合同约定的保修范围内发生的质量问题履行保修义务并对造成的损失承担赔偿责任的期限。</w:t>
      </w:r>
    </w:p>
    <w:p w14:paraId="1C1F7BC2">
      <w:pPr>
        <w:spacing w:line="228" w:lineRule="auto"/>
        <w:ind w:left="436"/>
        <w:rPr>
          <w:rFonts w:ascii="宋体" w:hAnsi="宋体" w:eastAsia="宋体" w:cs="宋体"/>
          <w:sz w:val="20"/>
          <w:szCs w:val="20"/>
        </w:rPr>
      </w:pPr>
      <w:r>
        <w:rPr>
          <w:rFonts w:ascii="宋体" w:hAnsi="宋体" w:eastAsia="宋体" w:cs="宋体"/>
          <w:b/>
          <w:bCs/>
          <w:sz w:val="20"/>
          <w:szCs w:val="20"/>
        </w:rPr>
        <w:t>1.1.6</w:t>
      </w:r>
      <w:r>
        <w:rPr>
          <w:rFonts w:ascii="宋体" w:hAnsi="宋体" w:eastAsia="宋体" w:cs="宋体"/>
          <w:spacing w:val="-39"/>
          <w:sz w:val="20"/>
          <w:szCs w:val="20"/>
        </w:rPr>
        <w:t xml:space="preserve"> </w:t>
      </w:r>
      <w:r>
        <w:rPr>
          <w:rFonts w:ascii="宋体" w:hAnsi="宋体" w:eastAsia="宋体" w:cs="宋体"/>
          <w:b/>
          <w:bCs/>
          <w:sz w:val="20"/>
          <w:szCs w:val="20"/>
        </w:rPr>
        <w:t>其他</w:t>
      </w:r>
    </w:p>
    <w:p w14:paraId="75B0ABB9">
      <w:pPr>
        <w:spacing w:before="142" w:line="362" w:lineRule="auto"/>
        <w:ind w:left="2" w:right="2" w:firstLine="433"/>
        <w:rPr>
          <w:rFonts w:ascii="宋体" w:hAnsi="宋体" w:eastAsia="宋体" w:cs="宋体"/>
          <w:sz w:val="20"/>
          <w:szCs w:val="20"/>
        </w:rPr>
      </w:pPr>
      <w:r>
        <w:rPr>
          <w:rFonts w:ascii="宋体" w:hAnsi="宋体" w:eastAsia="宋体" w:cs="宋体"/>
          <w:spacing w:val="7"/>
          <w:sz w:val="20"/>
          <w:szCs w:val="20"/>
        </w:rPr>
        <w:t>1.1.6.2</w:t>
      </w:r>
      <w:r>
        <w:rPr>
          <w:rFonts w:ascii="宋体" w:hAnsi="宋体" w:eastAsia="宋体" w:cs="宋体"/>
          <w:spacing w:val="-39"/>
          <w:sz w:val="20"/>
          <w:szCs w:val="20"/>
        </w:rPr>
        <w:t xml:space="preserve"> </w:t>
      </w:r>
      <w:r>
        <w:rPr>
          <w:rFonts w:ascii="宋体" w:hAnsi="宋体" w:eastAsia="宋体" w:cs="宋体"/>
          <w:spacing w:val="7"/>
          <w:sz w:val="20"/>
          <w:szCs w:val="20"/>
        </w:rPr>
        <w:t>材料：指构成或将构成永久工程组成部分的各类物品（工程设备除外</w:t>
      </w:r>
      <w:r>
        <w:rPr>
          <w:rFonts w:ascii="宋体" w:hAnsi="宋体" w:eastAsia="宋体" w:cs="宋体"/>
          <w:spacing w:val="-41"/>
          <w:sz w:val="20"/>
          <w:szCs w:val="20"/>
        </w:rPr>
        <w:t>），</w:t>
      </w:r>
      <w:r>
        <w:rPr>
          <w:rFonts w:ascii="宋体" w:hAnsi="宋体" w:eastAsia="宋体" w:cs="宋体"/>
          <w:spacing w:val="7"/>
          <w:sz w:val="20"/>
          <w:szCs w:val="20"/>
        </w:rPr>
        <w:t>包括合同中</w:t>
      </w:r>
      <w:r>
        <w:rPr>
          <w:rFonts w:ascii="宋体" w:hAnsi="宋体" w:eastAsia="宋体" w:cs="宋体"/>
          <w:spacing w:val="8"/>
          <w:sz w:val="20"/>
          <w:szCs w:val="20"/>
        </w:rPr>
        <w:t>可能约定的承包人仅负责供应的材料。</w:t>
      </w:r>
    </w:p>
    <w:p w14:paraId="2380318C">
      <w:pPr>
        <w:spacing w:before="3" w:line="370" w:lineRule="auto"/>
        <w:ind w:left="3" w:right="2" w:firstLine="432"/>
        <w:rPr>
          <w:rFonts w:ascii="宋体" w:hAnsi="宋体" w:eastAsia="宋体" w:cs="宋体"/>
          <w:sz w:val="20"/>
          <w:szCs w:val="20"/>
        </w:rPr>
      </w:pPr>
      <w:r>
        <w:rPr>
          <w:rFonts w:ascii="宋体" w:hAnsi="宋体" w:eastAsia="宋体" w:cs="宋体"/>
          <w:spacing w:val="10"/>
          <w:sz w:val="20"/>
          <w:szCs w:val="20"/>
        </w:rPr>
        <w:t>1.1.6.3</w:t>
      </w:r>
      <w:r>
        <w:rPr>
          <w:rFonts w:ascii="宋体" w:hAnsi="宋体" w:eastAsia="宋体" w:cs="宋体"/>
          <w:spacing w:val="-36"/>
          <w:sz w:val="20"/>
          <w:szCs w:val="20"/>
        </w:rPr>
        <w:t xml:space="preserve"> </w:t>
      </w:r>
      <w:r>
        <w:rPr>
          <w:rFonts w:ascii="宋体" w:hAnsi="宋体" w:eastAsia="宋体" w:cs="宋体"/>
          <w:spacing w:val="10"/>
          <w:sz w:val="20"/>
          <w:szCs w:val="20"/>
        </w:rPr>
        <w:t>争议评审组：是由发包人和承包</w:t>
      </w:r>
      <w:r>
        <w:rPr>
          <w:rFonts w:ascii="宋体" w:hAnsi="宋体" w:eastAsia="宋体" w:cs="宋体"/>
          <w:spacing w:val="9"/>
          <w:sz w:val="20"/>
          <w:szCs w:val="20"/>
        </w:rPr>
        <w:t>人共同聘请的人员组成的独立、公正的第三方临时</w:t>
      </w:r>
      <w:r>
        <w:rPr>
          <w:rFonts w:ascii="宋体" w:hAnsi="宋体" w:eastAsia="宋体" w:cs="宋体"/>
          <w:spacing w:val="10"/>
          <w:sz w:val="20"/>
          <w:szCs w:val="20"/>
        </w:rPr>
        <w:t>性组织，一般由一名或者三名合同管理和（或）工程管理专家组</w:t>
      </w:r>
      <w:r>
        <w:rPr>
          <w:rFonts w:ascii="宋体" w:hAnsi="宋体" w:eastAsia="宋体" w:cs="宋体"/>
          <w:spacing w:val="9"/>
          <w:sz w:val="20"/>
          <w:szCs w:val="20"/>
        </w:rPr>
        <w:t>成。争议评审组负责对发包人和</w:t>
      </w:r>
      <w:r>
        <w:rPr>
          <w:rFonts w:ascii="宋体" w:hAnsi="宋体" w:eastAsia="宋体" w:cs="宋体"/>
          <w:spacing w:val="10"/>
          <w:sz w:val="20"/>
          <w:szCs w:val="20"/>
        </w:rPr>
        <w:t>（或）承包人提请进行评审的本合同项下的争议进行评审并在</w:t>
      </w:r>
      <w:r>
        <w:rPr>
          <w:rFonts w:ascii="宋体" w:hAnsi="宋体" w:eastAsia="宋体" w:cs="宋体"/>
          <w:spacing w:val="9"/>
          <w:sz w:val="20"/>
          <w:szCs w:val="20"/>
        </w:rPr>
        <w:t>规定的期限内给出评审意见，合同</w:t>
      </w:r>
    </w:p>
    <w:p w14:paraId="56A0547F">
      <w:pPr>
        <w:spacing w:line="370" w:lineRule="auto"/>
        <w:rPr>
          <w:rFonts w:ascii="宋体" w:hAnsi="宋体" w:eastAsia="宋体" w:cs="宋体"/>
          <w:sz w:val="20"/>
          <w:szCs w:val="20"/>
        </w:rPr>
        <w:sectPr>
          <w:footerReference r:id="rId198" w:type="default"/>
          <w:pgSz w:w="11906" w:h="16839"/>
          <w:pgMar w:top="400" w:right="1554" w:bottom="1038" w:left="1538" w:header="0" w:footer="787" w:gutter="0"/>
          <w:cols w:space="720" w:num="1"/>
        </w:sectPr>
      </w:pPr>
    </w:p>
    <w:p w14:paraId="0F84D584">
      <w:pPr>
        <w:spacing w:line="272" w:lineRule="auto"/>
        <w:rPr>
          <w:rFonts w:ascii="Arial"/>
          <w:sz w:val="21"/>
        </w:rPr>
      </w:pPr>
    </w:p>
    <w:p w14:paraId="62CF609F">
      <w:pPr>
        <w:spacing w:line="272" w:lineRule="auto"/>
        <w:rPr>
          <w:rFonts w:ascii="Arial"/>
          <w:sz w:val="21"/>
        </w:rPr>
      </w:pPr>
    </w:p>
    <w:p w14:paraId="2B9DA734">
      <w:pPr>
        <w:spacing w:line="272" w:lineRule="auto"/>
        <w:rPr>
          <w:rFonts w:ascii="Arial"/>
          <w:sz w:val="21"/>
        </w:rPr>
      </w:pPr>
    </w:p>
    <w:p w14:paraId="4120A381">
      <w:pPr>
        <w:spacing w:line="272" w:lineRule="auto"/>
        <w:rPr>
          <w:rFonts w:ascii="Arial"/>
          <w:sz w:val="21"/>
        </w:rPr>
      </w:pPr>
    </w:p>
    <w:p w14:paraId="1C85A949">
      <w:pPr>
        <w:spacing w:before="65" w:line="369" w:lineRule="auto"/>
        <w:ind w:left="1" w:right="87"/>
        <w:jc w:val="both"/>
        <w:rPr>
          <w:rFonts w:ascii="宋体" w:hAnsi="宋体" w:eastAsia="宋体" w:cs="宋体"/>
          <w:sz w:val="20"/>
          <w:szCs w:val="20"/>
        </w:rPr>
      </w:pPr>
      <w:r>
        <w:rPr>
          <w:rFonts w:ascii="宋体" w:hAnsi="宋体" w:eastAsia="宋体" w:cs="宋体"/>
          <w:spacing w:val="10"/>
          <w:sz w:val="20"/>
          <w:szCs w:val="20"/>
        </w:rPr>
        <w:t>双方在规定的期限内均未对评审意见提出异议时，评审意见对合同双方有</w:t>
      </w:r>
      <w:r>
        <w:rPr>
          <w:rFonts w:ascii="宋体" w:hAnsi="宋体" w:eastAsia="宋体" w:cs="宋体"/>
          <w:spacing w:val="9"/>
          <w:sz w:val="20"/>
          <w:szCs w:val="20"/>
        </w:rPr>
        <w:t>最终约束力。发包人和</w:t>
      </w:r>
      <w:r>
        <w:rPr>
          <w:rFonts w:ascii="宋体" w:hAnsi="宋体" w:eastAsia="宋体" w:cs="宋体"/>
          <w:spacing w:val="10"/>
          <w:sz w:val="20"/>
          <w:szCs w:val="20"/>
        </w:rPr>
        <w:t>承包人应当分别与接受聘请的争议评审专家签订聘用协议，就评审的争议</w:t>
      </w:r>
      <w:r>
        <w:rPr>
          <w:rFonts w:ascii="宋体" w:hAnsi="宋体" w:eastAsia="宋体" w:cs="宋体"/>
          <w:spacing w:val="9"/>
          <w:sz w:val="20"/>
          <w:szCs w:val="20"/>
        </w:rPr>
        <w:t>范围、评审意见效力等</w:t>
      </w:r>
      <w:r>
        <w:rPr>
          <w:rFonts w:ascii="宋体" w:hAnsi="宋体" w:eastAsia="宋体" w:cs="宋体"/>
          <w:spacing w:val="7"/>
          <w:sz w:val="20"/>
          <w:szCs w:val="20"/>
        </w:rPr>
        <w:t>必要事项做出约定。</w:t>
      </w:r>
    </w:p>
    <w:p w14:paraId="03CBA0AD">
      <w:pPr>
        <w:spacing w:before="1" w:line="356" w:lineRule="auto"/>
        <w:ind w:left="2" w:firstLine="434"/>
        <w:rPr>
          <w:rFonts w:ascii="宋体" w:hAnsi="宋体" w:eastAsia="宋体" w:cs="宋体"/>
          <w:sz w:val="20"/>
          <w:szCs w:val="20"/>
        </w:rPr>
      </w:pPr>
      <w:r>
        <w:rPr>
          <w:rFonts w:ascii="宋体" w:hAnsi="宋体" w:eastAsia="宋体" w:cs="宋体"/>
          <w:spacing w:val="1"/>
          <w:sz w:val="20"/>
          <w:szCs w:val="20"/>
        </w:rPr>
        <w:t>1.1.6.4</w:t>
      </w:r>
      <w:r>
        <w:rPr>
          <w:rFonts w:ascii="宋体" w:hAnsi="宋体" w:eastAsia="宋体" w:cs="宋体"/>
          <w:spacing w:val="-13"/>
          <w:sz w:val="20"/>
          <w:szCs w:val="20"/>
        </w:rPr>
        <w:t xml:space="preserve"> </w:t>
      </w:r>
      <w:r>
        <w:rPr>
          <w:rFonts w:ascii="宋体" w:hAnsi="宋体" w:eastAsia="宋体" w:cs="宋体"/>
          <w:spacing w:val="1"/>
          <w:sz w:val="20"/>
          <w:szCs w:val="20"/>
        </w:rPr>
        <w:t>除另有特别指明外，专用合同条款中使用的措辞“合同条款</w:t>
      </w:r>
      <w:r>
        <w:rPr>
          <w:rFonts w:ascii="宋体" w:hAnsi="宋体" w:eastAsia="宋体" w:cs="宋体"/>
          <w:spacing w:val="-70"/>
          <w:sz w:val="20"/>
          <w:szCs w:val="20"/>
        </w:rPr>
        <w:t xml:space="preserve"> </w:t>
      </w:r>
      <w:r>
        <w:rPr>
          <w:rFonts w:ascii="宋体" w:hAnsi="宋体" w:eastAsia="宋体" w:cs="宋体"/>
          <w:spacing w:val="1"/>
          <w:sz w:val="20"/>
          <w:szCs w:val="20"/>
        </w:rPr>
        <w:t>”指通用合同条款和（或）</w:t>
      </w:r>
      <w:r>
        <w:rPr>
          <w:rFonts w:ascii="宋体" w:hAnsi="宋体" w:eastAsia="宋体" w:cs="宋体"/>
          <w:spacing w:val="6"/>
          <w:sz w:val="20"/>
          <w:szCs w:val="20"/>
        </w:rPr>
        <w:t>专用合同条款。</w:t>
      </w:r>
    </w:p>
    <w:p w14:paraId="5291278A">
      <w:pPr>
        <w:pStyle w:val="2"/>
        <w:spacing w:before="1" w:line="220" w:lineRule="auto"/>
        <w:ind w:left="21"/>
        <w:rPr>
          <w:sz w:val="24"/>
          <w:szCs w:val="24"/>
        </w:rPr>
      </w:pPr>
      <w:r>
        <w:rPr>
          <w:rFonts w:ascii="Times New Roman" w:hAnsi="Times New Roman" w:eastAsia="Times New Roman" w:cs="Times New Roman"/>
          <w:spacing w:val="-3"/>
          <w:sz w:val="24"/>
          <w:szCs w:val="24"/>
        </w:rPr>
        <w:t xml:space="preserve">1.4 </w:t>
      </w:r>
      <w:r>
        <w:rPr>
          <w:spacing w:val="-3"/>
          <w:sz w:val="24"/>
          <w:szCs w:val="24"/>
        </w:rPr>
        <w:t>合同文件的优先顺序</w:t>
      </w:r>
    </w:p>
    <w:p w14:paraId="3DD5EA95">
      <w:pPr>
        <w:spacing w:before="139" w:line="228" w:lineRule="auto"/>
        <w:ind w:left="422"/>
        <w:rPr>
          <w:rFonts w:ascii="宋体" w:hAnsi="宋体" w:eastAsia="宋体" w:cs="宋体"/>
          <w:sz w:val="20"/>
          <w:szCs w:val="20"/>
        </w:rPr>
      </w:pPr>
      <w:r>
        <w:rPr>
          <w:rFonts w:ascii="宋体" w:hAnsi="宋体" w:eastAsia="宋体" w:cs="宋体"/>
          <w:spacing w:val="8"/>
          <w:sz w:val="20"/>
          <w:szCs w:val="20"/>
        </w:rPr>
        <w:t>合同文件的优先解释顺序如下：</w:t>
      </w:r>
    </w:p>
    <w:p w14:paraId="142BAE4F">
      <w:pPr>
        <w:spacing w:before="151" w:line="227" w:lineRule="auto"/>
        <w:ind w:left="431"/>
        <w:rPr>
          <w:rFonts w:ascii="宋体" w:hAnsi="宋体" w:eastAsia="宋体" w:cs="宋体"/>
          <w:sz w:val="20"/>
          <w:szCs w:val="20"/>
        </w:rPr>
      </w:pPr>
      <w:r>
        <w:rPr>
          <w:rFonts w:ascii="宋体" w:hAnsi="宋体" w:eastAsia="宋体" w:cs="宋体"/>
          <w:spacing w:val="6"/>
          <w:sz w:val="20"/>
          <w:szCs w:val="20"/>
        </w:rPr>
        <w:t>（1）合同协议书；</w:t>
      </w:r>
    </w:p>
    <w:p w14:paraId="44FFD9AC">
      <w:pPr>
        <w:spacing w:before="154" w:line="227" w:lineRule="auto"/>
        <w:ind w:left="431"/>
        <w:rPr>
          <w:rFonts w:ascii="宋体" w:hAnsi="宋体" w:eastAsia="宋体" w:cs="宋体"/>
          <w:sz w:val="20"/>
          <w:szCs w:val="20"/>
        </w:rPr>
      </w:pPr>
      <w:r>
        <w:rPr>
          <w:rFonts w:ascii="宋体" w:hAnsi="宋体" w:eastAsia="宋体" w:cs="宋体"/>
          <w:spacing w:val="1"/>
          <w:sz w:val="20"/>
          <w:szCs w:val="20"/>
        </w:rPr>
        <w:t>（2）</w:t>
      </w:r>
      <w:r>
        <w:rPr>
          <w:rFonts w:ascii="宋体" w:hAnsi="宋体" w:eastAsia="宋体" w:cs="宋体"/>
          <w:spacing w:val="-54"/>
          <w:sz w:val="20"/>
          <w:szCs w:val="20"/>
        </w:rPr>
        <w:t xml:space="preserve"> </w:t>
      </w:r>
      <w:r>
        <w:rPr>
          <w:rFonts w:ascii="宋体" w:hAnsi="宋体" w:eastAsia="宋体" w:cs="宋体"/>
          <w:spacing w:val="1"/>
          <w:sz w:val="20"/>
          <w:szCs w:val="20"/>
        </w:rPr>
        <w:t>中标通知书；</w:t>
      </w:r>
    </w:p>
    <w:p w14:paraId="76C1D5FF">
      <w:pPr>
        <w:spacing w:before="155" w:line="227" w:lineRule="auto"/>
        <w:ind w:left="431"/>
        <w:rPr>
          <w:rFonts w:ascii="宋体" w:hAnsi="宋体" w:eastAsia="宋体" w:cs="宋体"/>
          <w:sz w:val="20"/>
          <w:szCs w:val="20"/>
        </w:rPr>
      </w:pPr>
      <w:r>
        <w:rPr>
          <w:rFonts w:ascii="宋体" w:hAnsi="宋体" w:eastAsia="宋体" w:cs="宋体"/>
          <w:spacing w:val="7"/>
          <w:sz w:val="20"/>
          <w:szCs w:val="20"/>
        </w:rPr>
        <w:t>（3）投标函及投标函附录；</w:t>
      </w:r>
    </w:p>
    <w:p w14:paraId="5B57875F">
      <w:pPr>
        <w:spacing w:before="153" w:line="228" w:lineRule="auto"/>
        <w:ind w:left="431"/>
        <w:rPr>
          <w:rFonts w:ascii="宋体" w:hAnsi="宋体" w:eastAsia="宋体" w:cs="宋体"/>
          <w:sz w:val="20"/>
          <w:szCs w:val="20"/>
        </w:rPr>
      </w:pPr>
      <w:r>
        <w:rPr>
          <w:rFonts w:ascii="宋体" w:hAnsi="宋体" w:eastAsia="宋体" w:cs="宋体"/>
          <w:spacing w:val="6"/>
          <w:sz w:val="20"/>
          <w:szCs w:val="20"/>
        </w:rPr>
        <w:t>（4）专用合同条款；</w:t>
      </w:r>
    </w:p>
    <w:p w14:paraId="728EDE2D">
      <w:pPr>
        <w:spacing w:before="153" w:line="228" w:lineRule="auto"/>
        <w:ind w:left="431"/>
        <w:rPr>
          <w:rFonts w:ascii="宋体" w:hAnsi="宋体" w:eastAsia="宋体" w:cs="宋体"/>
          <w:sz w:val="20"/>
          <w:szCs w:val="20"/>
        </w:rPr>
      </w:pPr>
      <w:r>
        <w:rPr>
          <w:rFonts w:ascii="宋体" w:hAnsi="宋体" w:eastAsia="宋体" w:cs="宋体"/>
          <w:spacing w:val="6"/>
          <w:sz w:val="20"/>
          <w:szCs w:val="20"/>
        </w:rPr>
        <w:t>（5）通用合同条款；</w:t>
      </w:r>
    </w:p>
    <w:p w14:paraId="0DEBDFCB">
      <w:pPr>
        <w:spacing w:before="154" w:line="367" w:lineRule="auto"/>
        <w:ind w:left="431" w:right="2853"/>
        <w:rPr>
          <w:rFonts w:ascii="宋体" w:hAnsi="宋体" w:eastAsia="宋体" w:cs="宋体"/>
          <w:sz w:val="20"/>
          <w:szCs w:val="20"/>
        </w:rPr>
      </w:pPr>
      <w:r>
        <w:rPr>
          <w:rFonts w:ascii="宋体" w:hAnsi="宋体" w:eastAsia="宋体" w:cs="宋体"/>
          <w:spacing w:val="-3"/>
          <w:sz w:val="20"/>
          <w:szCs w:val="20"/>
        </w:rPr>
        <w:t>（6</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1"/>
          <w:sz w:val="20"/>
          <w:szCs w:val="20"/>
        </w:rPr>
        <w:t xml:space="preserve"> </w:t>
      </w:r>
      <w:r>
        <w:rPr>
          <w:rFonts w:ascii="宋体" w:hAnsi="宋体" w:eastAsia="宋体" w:cs="宋体"/>
          <w:spacing w:val="-3"/>
          <w:sz w:val="20"/>
          <w:szCs w:val="20"/>
        </w:rPr>
        <w:t>（7</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1"/>
          <w:sz w:val="20"/>
          <w:szCs w:val="20"/>
        </w:rPr>
        <w:t xml:space="preserve"> </w:t>
      </w:r>
      <w:r>
        <w:rPr>
          <w:rFonts w:ascii="宋体" w:hAnsi="宋体" w:eastAsia="宋体" w:cs="宋体"/>
          <w:spacing w:val="-3"/>
          <w:sz w:val="20"/>
          <w:szCs w:val="20"/>
        </w:rPr>
        <w:t>（8</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1"/>
          <w:sz w:val="20"/>
          <w:szCs w:val="20"/>
        </w:rPr>
        <w:t xml:space="preserve"> </w:t>
      </w:r>
      <w:r>
        <w:rPr>
          <w:rFonts w:ascii="宋体" w:hAnsi="宋体" w:eastAsia="宋体" w:cs="宋体"/>
          <w:spacing w:val="-5"/>
          <w:sz w:val="20"/>
          <w:szCs w:val="20"/>
        </w:rPr>
        <w:t>（9）</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1F82A0E5">
      <w:pPr>
        <w:spacing w:before="2" w:line="361" w:lineRule="auto"/>
        <w:ind w:left="9" w:right="89" w:firstLine="421"/>
        <w:rPr>
          <w:rFonts w:ascii="仿宋" w:hAnsi="仿宋" w:eastAsia="仿宋" w:cs="仿宋"/>
          <w:sz w:val="20"/>
          <w:szCs w:val="20"/>
        </w:rPr>
      </w:pPr>
      <w:r>
        <w:rPr>
          <w:rFonts w:ascii="仿宋" w:hAnsi="仿宋" w:eastAsia="仿宋" w:cs="仿宋"/>
          <w:spacing w:val="-3"/>
          <w:sz w:val="20"/>
          <w:szCs w:val="20"/>
        </w:rPr>
        <w:t>（说明</w:t>
      </w:r>
      <w:r>
        <w:rPr>
          <w:rFonts w:ascii="仿宋" w:hAnsi="仿宋" w:eastAsia="仿宋" w:cs="仿宋"/>
          <w:spacing w:val="-57"/>
          <w:sz w:val="20"/>
          <w:szCs w:val="20"/>
        </w:rPr>
        <w:t>：（</w:t>
      </w:r>
      <w:r>
        <w:rPr>
          <w:rFonts w:ascii="Arial" w:hAnsi="Arial" w:eastAsia="Arial" w:cs="Arial"/>
          <w:spacing w:val="-3"/>
          <w:sz w:val="20"/>
          <w:szCs w:val="20"/>
        </w:rPr>
        <w:t>6</w:t>
      </w:r>
      <w:r>
        <w:rPr>
          <w:rFonts w:ascii="仿宋" w:hAnsi="仿宋" w:eastAsia="仿宋" w:cs="仿宋"/>
          <w:spacing w:val="-3"/>
          <w:sz w:val="20"/>
          <w:szCs w:val="20"/>
        </w:rPr>
        <w:t>）、（</w:t>
      </w:r>
      <w:r>
        <w:rPr>
          <w:rFonts w:ascii="Arial" w:hAnsi="Arial" w:eastAsia="Arial" w:cs="Arial"/>
          <w:spacing w:val="-3"/>
          <w:sz w:val="20"/>
          <w:szCs w:val="20"/>
        </w:rPr>
        <w:t>7</w:t>
      </w:r>
      <w:r>
        <w:rPr>
          <w:rFonts w:ascii="仿宋" w:hAnsi="仿宋" w:eastAsia="仿宋" w:cs="仿宋"/>
          <w:spacing w:val="-3"/>
          <w:sz w:val="20"/>
          <w:szCs w:val="20"/>
        </w:rPr>
        <w:t>）、（</w:t>
      </w:r>
      <w:r>
        <w:rPr>
          <w:rFonts w:ascii="Arial" w:hAnsi="Arial" w:eastAsia="Arial" w:cs="Arial"/>
          <w:spacing w:val="-3"/>
          <w:sz w:val="20"/>
          <w:szCs w:val="20"/>
        </w:rPr>
        <w:t>8</w:t>
      </w:r>
      <w:r>
        <w:rPr>
          <w:rFonts w:ascii="仿宋" w:hAnsi="仿宋" w:eastAsia="仿宋" w:cs="仿宋"/>
          <w:spacing w:val="-3"/>
          <w:sz w:val="20"/>
          <w:szCs w:val="20"/>
        </w:rPr>
        <w:t>）填空内容分别限于技术标准和要求、</w:t>
      </w:r>
      <w:r>
        <w:rPr>
          <w:rFonts w:ascii="仿宋" w:hAnsi="仿宋" w:eastAsia="仿宋" w:cs="仿宋"/>
          <w:spacing w:val="-57"/>
          <w:sz w:val="20"/>
          <w:szCs w:val="20"/>
        </w:rPr>
        <w:t xml:space="preserve"> </w:t>
      </w:r>
      <w:r>
        <w:rPr>
          <w:rFonts w:ascii="仿宋" w:hAnsi="仿宋" w:eastAsia="仿宋" w:cs="仿宋"/>
          <w:spacing w:val="-3"/>
          <w:sz w:val="20"/>
          <w:szCs w:val="20"/>
        </w:rPr>
        <w:t>图纸、</w:t>
      </w:r>
      <w:r>
        <w:rPr>
          <w:rFonts w:ascii="仿宋" w:hAnsi="仿宋" w:eastAsia="仿宋" w:cs="仿宋"/>
          <w:spacing w:val="-54"/>
          <w:sz w:val="20"/>
          <w:szCs w:val="20"/>
        </w:rPr>
        <w:t xml:space="preserve"> </w:t>
      </w:r>
      <w:r>
        <w:rPr>
          <w:rFonts w:ascii="仿宋" w:hAnsi="仿宋" w:eastAsia="仿宋" w:cs="仿宋"/>
          <w:spacing w:val="-3"/>
          <w:sz w:val="20"/>
          <w:szCs w:val="20"/>
        </w:rPr>
        <w:t>已标价工程</w:t>
      </w:r>
      <w:r>
        <w:rPr>
          <w:rFonts w:ascii="仿宋" w:hAnsi="仿宋" w:eastAsia="仿宋" w:cs="仿宋"/>
          <w:spacing w:val="-4"/>
          <w:sz w:val="20"/>
          <w:szCs w:val="20"/>
        </w:rPr>
        <w:t>量清单三者</w:t>
      </w:r>
      <w:r>
        <w:rPr>
          <w:rFonts w:ascii="仿宋" w:hAnsi="仿宋" w:eastAsia="仿宋" w:cs="仿宋"/>
          <w:spacing w:val="-25"/>
          <w:sz w:val="20"/>
          <w:szCs w:val="20"/>
        </w:rPr>
        <w:t>之一。）</w:t>
      </w:r>
    </w:p>
    <w:p w14:paraId="226FF1DD">
      <w:pPr>
        <w:spacing w:before="26" w:line="369" w:lineRule="auto"/>
        <w:ind w:left="2" w:right="87" w:firstLine="420"/>
        <w:rPr>
          <w:rFonts w:ascii="宋体" w:hAnsi="宋体" w:eastAsia="宋体" w:cs="宋体"/>
          <w:sz w:val="20"/>
          <w:szCs w:val="20"/>
        </w:rPr>
      </w:pPr>
      <w:r>
        <w:rPr>
          <w:rFonts w:ascii="宋体" w:hAnsi="宋体" w:eastAsia="宋体" w:cs="宋体"/>
          <w:spacing w:val="10"/>
          <w:sz w:val="20"/>
          <w:szCs w:val="20"/>
        </w:rPr>
        <w:t>合同协议书中约定采用总价合同形式的，已标价工程量清单中的各</w:t>
      </w:r>
      <w:r>
        <w:rPr>
          <w:rFonts w:ascii="宋体" w:hAnsi="宋体" w:eastAsia="宋体" w:cs="宋体"/>
          <w:spacing w:val="9"/>
          <w:sz w:val="20"/>
          <w:szCs w:val="20"/>
        </w:rPr>
        <w:t>项工程量对合同双方不具</w:t>
      </w:r>
      <w:r>
        <w:rPr>
          <w:rFonts w:ascii="宋体" w:hAnsi="宋体" w:eastAsia="宋体" w:cs="宋体"/>
          <w:spacing w:val="6"/>
          <w:sz w:val="20"/>
          <w:szCs w:val="20"/>
        </w:rPr>
        <w:t>合同约束力。</w:t>
      </w:r>
    </w:p>
    <w:p w14:paraId="0CD141C6">
      <w:pPr>
        <w:spacing w:before="1" w:line="226" w:lineRule="auto"/>
        <w:ind w:left="442"/>
        <w:rPr>
          <w:rFonts w:ascii="宋体" w:hAnsi="宋体" w:eastAsia="宋体" w:cs="宋体"/>
          <w:sz w:val="20"/>
          <w:szCs w:val="20"/>
        </w:rPr>
      </w:pPr>
      <w:r>
        <w:rPr>
          <w:rFonts w:ascii="宋体" w:hAnsi="宋体" w:eastAsia="宋体" w:cs="宋体"/>
          <w:spacing w:val="8"/>
          <w:sz w:val="20"/>
          <w:szCs w:val="20"/>
        </w:rPr>
        <w:t>图纸与技术标准和要求之间有矛盾或者不一致的，</w:t>
      </w:r>
      <w:r>
        <w:rPr>
          <w:rFonts w:ascii="宋体" w:hAnsi="宋体" w:eastAsia="宋体" w:cs="宋体"/>
          <w:spacing w:val="-59"/>
          <w:sz w:val="20"/>
          <w:szCs w:val="20"/>
        </w:rPr>
        <w:t xml:space="preserve"> </w:t>
      </w:r>
      <w:r>
        <w:rPr>
          <w:rFonts w:ascii="宋体" w:hAnsi="宋体" w:eastAsia="宋体" w:cs="宋体"/>
          <w:spacing w:val="8"/>
          <w:sz w:val="20"/>
          <w:szCs w:val="20"/>
        </w:rPr>
        <w:t>以其中要</w:t>
      </w:r>
      <w:r>
        <w:rPr>
          <w:rFonts w:ascii="宋体" w:hAnsi="宋体" w:eastAsia="宋体" w:cs="宋体"/>
          <w:spacing w:val="7"/>
          <w:sz w:val="20"/>
          <w:szCs w:val="20"/>
        </w:rPr>
        <w:t>求较严格的标准为准。</w:t>
      </w:r>
    </w:p>
    <w:p w14:paraId="3EE97596">
      <w:pPr>
        <w:spacing w:before="154" w:line="357" w:lineRule="auto"/>
        <w:ind w:left="4" w:right="87" w:firstLine="418"/>
        <w:rPr>
          <w:rFonts w:ascii="宋体" w:hAnsi="宋体" w:eastAsia="宋体" w:cs="宋体"/>
          <w:sz w:val="20"/>
          <w:szCs w:val="20"/>
        </w:rPr>
      </w:pPr>
      <w:r>
        <w:rPr>
          <w:rFonts w:ascii="宋体" w:hAnsi="宋体" w:eastAsia="宋体" w:cs="宋体"/>
          <w:spacing w:val="10"/>
          <w:sz w:val="20"/>
          <w:szCs w:val="20"/>
        </w:rPr>
        <w:t>合同双方在合同履行过程中签订的补充协议亦构成合同文件的组成</w:t>
      </w:r>
      <w:r>
        <w:rPr>
          <w:rFonts w:ascii="宋体" w:hAnsi="宋体" w:eastAsia="宋体" w:cs="宋体"/>
          <w:spacing w:val="9"/>
          <w:sz w:val="20"/>
          <w:szCs w:val="20"/>
        </w:rPr>
        <w:t>部分，其解释顺序视其内</w:t>
      </w:r>
      <w:r>
        <w:rPr>
          <w:rFonts w:ascii="宋体" w:hAnsi="宋体" w:eastAsia="宋体" w:cs="宋体"/>
          <w:spacing w:val="8"/>
          <w:sz w:val="20"/>
          <w:szCs w:val="20"/>
        </w:rPr>
        <w:t>容与其他合同文件的相互关系而定。</w:t>
      </w:r>
    </w:p>
    <w:p w14:paraId="38CF1C8B">
      <w:pPr>
        <w:pStyle w:val="2"/>
        <w:spacing w:before="1" w:line="221" w:lineRule="auto"/>
        <w:ind w:left="21"/>
        <w:rPr>
          <w:sz w:val="24"/>
          <w:szCs w:val="24"/>
        </w:rPr>
      </w:pPr>
      <w:r>
        <w:rPr>
          <w:rFonts w:ascii="Times New Roman" w:hAnsi="Times New Roman" w:eastAsia="Times New Roman" w:cs="Times New Roman"/>
          <w:spacing w:val="-4"/>
          <w:sz w:val="24"/>
          <w:szCs w:val="24"/>
        </w:rPr>
        <w:t xml:space="preserve">1.5 </w:t>
      </w:r>
      <w:r>
        <w:rPr>
          <w:spacing w:val="-4"/>
          <w:sz w:val="24"/>
          <w:szCs w:val="24"/>
        </w:rPr>
        <w:t>合同协议书</w:t>
      </w:r>
    </w:p>
    <w:p w14:paraId="1BFB487C">
      <w:pPr>
        <w:spacing w:before="295" w:line="228" w:lineRule="auto"/>
        <w:ind w:left="422"/>
        <w:rPr>
          <w:rFonts w:ascii="宋体" w:hAnsi="宋体" w:eastAsia="宋体" w:cs="宋体"/>
          <w:sz w:val="20"/>
          <w:szCs w:val="20"/>
        </w:rPr>
      </w:pPr>
      <w:r>
        <w:rPr>
          <w:rFonts w:ascii="宋体" w:hAnsi="宋体" w:eastAsia="宋体" w:cs="宋体"/>
          <w:spacing w:val="6"/>
          <w:sz w:val="20"/>
          <w:szCs w:val="20"/>
        </w:rPr>
        <w:t>合同生效的条件：</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8ECF226">
      <w:pPr>
        <w:pStyle w:val="2"/>
        <w:spacing w:before="282" w:line="222" w:lineRule="auto"/>
        <w:ind w:left="21"/>
        <w:rPr>
          <w:sz w:val="24"/>
          <w:szCs w:val="24"/>
        </w:rPr>
      </w:pPr>
      <w:r>
        <w:rPr>
          <w:rFonts w:ascii="Times New Roman" w:hAnsi="Times New Roman" w:eastAsia="Times New Roman" w:cs="Times New Roman"/>
          <w:spacing w:val="-5"/>
          <w:sz w:val="24"/>
          <w:szCs w:val="24"/>
        </w:rPr>
        <w:t>1.6</w:t>
      </w:r>
      <w:r>
        <w:rPr>
          <w:rFonts w:ascii="Times New Roman" w:hAnsi="Times New Roman" w:eastAsia="Times New Roman" w:cs="Times New Roman"/>
          <w:spacing w:val="25"/>
          <w:w w:val="101"/>
          <w:sz w:val="24"/>
          <w:szCs w:val="24"/>
        </w:rPr>
        <w:t xml:space="preserve"> </w:t>
      </w:r>
      <w:r>
        <w:rPr>
          <w:spacing w:val="-5"/>
          <w:sz w:val="24"/>
          <w:szCs w:val="24"/>
        </w:rPr>
        <w:t>图纸和承包人文件</w:t>
      </w:r>
    </w:p>
    <w:p w14:paraId="76BCBD16">
      <w:pPr>
        <w:spacing w:before="293" w:line="227" w:lineRule="auto"/>
        <w:ind w:left="437"/>
        <w:rPr>
          <w:rFonts w:ascii="宋体" w:hAnsi="宋体" w:eastAsia="宋体" w:cs="宋体"/>
          <w:sz w:val="20"/>
          <w:szCs w:val="20"/>
        </w:rPr>
      </w:pPr>
      <w:r>
        <w:rPr>
          <w:rFonts w:ascii="宋体" w:hAnsi="宋体" w:eastAsia="宋体" w:cs="宋体"/>
          <w:b/>
          <w:bCs/>
          <w:sz w:val="20"/>
          <w:szCs w:val="20"/>
        </w:rPr>
        <w:t>1.6.1</w:t>
      </w:r>
      <w:r>
        <w:rPr>
          <w:rFonts w:ascii="宋体" w:hAnsi="宋体" w:eastAsia="宋体" w:cs="宋体"/>
          <w:spacing w:val="-14"/>
          <w:sz w:val="20"/>
          <w:szCs w:val="20"/>
        </w:rPr>
        <w:t xml:space="preserve"> </w:t>
      </w:r>
      <w:r>
        <w:rPr>
          <w:rFonts w:ascii="宋体" w:hAnsi="宋体" w:eastAsia="宋体" w:cs="宋体"/>
          <w:b/>
          <w:bCs/>
          <w:sz w:val="20"/>
          <w:szCs w:val="20"/>
        </w:rPr>
        <w:t>图纸的提供</w:t>
      </w:r>
    </w:p>
    <w:p w14:paraId="405D0EC1">
      <w:pPr>
        <w:spacing w:line="244" w:lineRule="auto"/>
        <w:rPr>
          <w:rFonts w:ascii="Arial"/>
          <w:sz w:val="21"/>
        </w:rPr>
      </w:pPr>
    </w:p>
    <w:p w14:paraId="7BABCB47">
      <w:pPr>
        <w:spacing w:before="66" w:line="369" w:lineRule="auto"/>
        <w:ind w:left="3" w:right="89" w:firstLine="428"/>
        <w:rPr>
          <w:rFonts w:ascii="宋体" w:hAnsi="宋体" w:eastAsia="宋体" w:cs="宋体"/>
          <w:sz w:val="20"/>
          <w:szCs w:val="20"/>
        </w:rPr>
      </w:pPr>
      <w:r>
        <w:rPr>
          <w:rFonts w:ascii="宋体" w:hAnsi="宋体" w:eastAsia="宋体" w:cs="宋体"/>
          <w:spacing w:val="7"/>
          <w:sz w:val="20"/>
          <w:szCs w:val="20"/>
        </w:rPr>
        <w:t>（1）发包人按照合同条款本项的约定向承包人提供图纸。承包人需要增</w:t>
      </w:r>
      <w:r>
        <w:rPr>
          <w:rFonts w:ascii="宋体" w:hAnsi="宋体" w:eastAsia="宋体" w:cs="宋体"/>
          <w:spacing w:val="6"/>
          <w:sz w:val="20"/>
          <w:szCs w:val="20"/>
        </w:rPr>
        <w:t>加图纸套数的，发包</w:t>
      </w:r>
      <w:r>
        <w:rPr>
          <w:rFonts w:ascii="宋体" w:hAnsi="宋体" w:eastAsia="宋体" w:cs="宋体"/>
          <w:spacing w:val="8"/>
          <w:sz w:val="20"/>
          <w:szCs w:val="20"/>
        </w:rPr>
        <w:t>人应代为复制，复制费用由承包人承担。</w:t>
      </w:r>
    </w:p>
    <w:p w14:paraId="60E32098">
      <w:pPr>
        <w:spacing w:before="3" w:line="369" w:lineRule="auto"/>
        <w:ind w:right="87" w:firstLine="431"/>
        <w:rPr>
          <w:rFonts w:ascii="宋体" w:hAnsi="宋体" w:eastAsia="宋体" w:cs="宋体"/>
          <w:sz w:val="20"/>
          <w:szCs w:val="20"/>
        </w:rPr>
      </w:pPr>
      <w:r>
        <w:rPr>
          <w:rFonts w:ascii="宋体" w:hAnsi="宋体" w:eastAsia="宋体" w:cs="宋体"/>
          <w:spacing w:val="5"/>
          <w:sz w:val="20"/>
          <w:szCs w:val="20"/>
        </w:rPr>
        <w:t>（2）在监理人批准合同条款第</w:t>
      </w:r>
      <w:r>
        <w:rPr>
          <w:rFonts w:ascii="宋体" w:hAnsi="宋体" w:eastAsia="宋体" w:cs="宋体"/>
          <w:spacing w:val="-24"/>
          <w:sz w:val="20"/>
          <w:szCs w:val="20"/>
        </w:rPr>
        <w:t xml:space="preserve"> </w:t>
      </w:r>
      <w:r>
        <w:rPr>
          <w:rFonts w:ascii="宋体" w:hAnsi="宋体" w:eastAsia="宋体" w:cs="宋体"/>
          <w:spacing w:val="5"/>
          <w:sz w:val="20"/>
          <w:szCs w:val="20"/>
        </w:rPr>
        <w:t>10.1</w:t>
      </w:r>
      <w:r>
        <w:rPr>
          <w:rFonts w:ascii="宋体" w:hAnsi="宋体" w:eastAsia="宋体" w:cs="宋体"/>
          <w:spacing w:val="-37"/>
          <w:sz w:val="20"/>
          <w:szCs w:val="20"/>
        </w:rPr>
        <w:t xml:space="preserve"> </w:t>
      </w:r>
      <w:r>
        <w:rPr>
          <w:rFonts w:ascii="宋体" w:hAnsi="宋体" w:eastAsia="宋体" w:cs="宋体"/>
          <w:spacing w:val="5"/>
          <w:sz w:val="20"/>
          <w:szCs w:val="20"/>
        </w:rPr>
        <w:t>款约定的合同进度</w:t>
      </w:r>
      <w:r>
        <w:rPr>
          <w:rFonts w:ascii="宋体" w:hAnsi="宋体" w:eastAsia="宋体" w:cs="宋体"/>
          <w:spacing w:val="4"/>
          <w:sz w:val="20"/>
          <w:szCs w:val="20"/>
        </w:rPr>
        <w:t>计划或者合同条款</w:t>
      </w:r>
      <w:r>
        <w:rPr>
          <w:rFonts w:ascii="宋体" w:hAnsi="宋体" w:eastAsia="宋体" w:cs="宋体"/>
          <w:spacing w:val="-24"/>
          <w:sz w:val="20"/>
          <w:szCs w:val="20"/>
        </w:rPr>
        <w:t xml:space="preserve"> </w:t>
      </w:r>
      <w:r>
        <w:rPr>
          <w:rFonts w:ascii="宋体" w:hAnsi="宋体" w:eastAsia="宋体" w:cs="宋体"/>
          <w:spacing w:val="4"/>
          <w:sz w:val="20"/>
          <w:szCs w:val="20"/>
        </w:rPr>
        <w:t>10.2</w:t>
      </w:r>
      <w:r>
        <w:rPr>
          <w:rFonts w:ascii="宋体" w:hAnsi="宋体" w:eastAsia="宋体" w:cs="宋体"/>
          <w:spacing w:val="-39"/>
          <w:sz w:val="20"/>
          <w:szCs w:val="20"/>
        </w:rPr>
        <w:t xml:space="preserve"> </w:t>
      </w:r>
      <w:r>
        <w:rPr>
          <w:rFonts w:ascii="宋体" w:hAnsi="宋体" w:eastAsia="宋体" w:cs="宋体"/>
          <w:spacing w:val="4"/>
          <w:sz w:val="20"/>
          <w:szCs w:val="20"/>
        </w:rPr>
        <w:t>款约定的合同</w:t>
      </w:r>
      <w:r>
        <w:rPr>
          <w:rFonts w:ascii="宋体" w:hAnsi="宋体" w:eastAsia="宋体" w:cs="宋体"/>
          <w:spacing w:val="9"/>
          <w:sz w:val="20"/>
          <w:szCs w:val="20"/>
        </w:rPr>
        <w:t>进度计划修改后</w:t>
      </w:r>
      <w:r>
        <w:rPr>
          <w:rFonts w:ascii="宋体" w:hAnsi="宋体" w:eastAsia="宋体" w:cs="宋体"/>
          <w:spacing w:val="-32"/>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天内，承包人应当根据合同进度计划和本项约定的图纸提供期限和数量，编制</w:t>
      </w:r>
      <w:r>
        <w:rPr>
          <w:rFonts w:ascii="宋体" w:hAnsi="宋体" w:eastAsia="宋体" w:cs="宋体"/>
          <w:spacing w:val="10"/>
          <w:sz w:val="20"/>
          <w:szCs w:val="20"/>
        </w:rPr>
        <w:t>或者修改图纸供应计划并报送监理人，其中应当载明承包人对各区段最新</w:t>
      </w:r>
      <w:r>
        <w:rPr>
          <w:rFonts w:ascii="宋体" w:hAnsi="宋体" w:eastAsia="宋体" w:cs="宋体"/>
          <w:spacing w:val="9"/>
          <w:sz w:val="20"/>
          <w:szCs w:val="20"/>
        </w:rPr>
        <w:t>版本图纸（包括合同条</w:t>
      </w:r>
      <w:r>
        <w:rPr>
          <w:rFonts w:ascii="宋体" w:hAnsi="宋体" w:eastAsia="宋体" w:cs="宋体"/>
          <w:spacing w:val="8"/>
          <w:sz w:val="20"/>
          <w:szCs w:val="20"/>
        </w:rPr>
        <w:t>款第</w:t>
      </w:r>
      <w:r>
        <w:rPr>
          <w:rFonts w:ascii="宋体" w:hAnsi="宋体" w:eastAsia="宋体" w:cs="宋体"/>
          <w:spacing w:val="-23"/>
          <w:sz w:val="20"/>
          <w:szCs w:val="20"/>
        </w:rPr>
        <w:t xml:space="preserve"> </w:t>
      </w:r>
      <w:r>
        <w:rPr>
          <w:rFonts w:ascii="宋体" w:hAnsi="宋体" w:eastAsia="宋体" w:cs="宋体"/>
          <w:spacing w:val="8"/>
          <w:sz w:val="20"/>
          <w:szCs w:val="20"/>
        </w:rPr>
        <w:t>1.6.3</w:t>
      </w:r>
      <w:r>
        <w:rPr>
          <w:rFonts w:ascii="宋体" w:hAnsi="宋体" w:eastAsia="宋体" w:cs="宋体"/>
          <w:spacing w:val="-37"/>
          <w:sz w:val="20"/>
          <w:szCs w:val="20"/>
        </w:rPr>
        <w:t xml:space="preserve"> </w:t>
      </w:r>
      <w:r>
        <w:rPr>
          <w:rFonts w:ascii="宋体" w:hAnsi="宋体" w:eastAsia="宋体" w:cs="宋体"/>
          <w:spacing w:val="8"/>
          <w:sz w:val="20"/>
          <w:szCs w:val="20"/>
        </w:rPr>
        <w:t>项约定的图纸修改图）的最迟需求时间，监理人应当</w:t>
      </w:r>
      <w:r>
        <w:rPr>
          <w:rFonts w:ascii="宋体" w:hAnsi="宋体" w:eastAsia="宋体" w:cs="宋体"/>
          <w:spacing w:val="7"/>
          <w:sz w:val="20"/>
          <w:szCs w:val="20"/>
        </w:rPr>
        <w:t>在收到图纸供应计划后</w:t>
      </w:r>
      <w:r>
        <w:rPr>
          <w:rFonts w:ascii="宋体" w:hAnsi="宋体" w:eastAsia="宋体" w:cs="宋体"/>
          <w:spacing w:val="-32"/>
          <w:sz w:val="20"/>
          <w:szCs w:val="20"/>
        </w:rPr>
        <w:t xml:space="preserve"> </w:t>
      </w:r>
      <w:r>
        <w:rPr>
          <w:rFonts w:ascii="宋体" w:hAnsi="宋体" w:eastAsia="宋体" w:cs="宋体"/>
          <w:spacing w:val="7"/>
          <w:sz w:val="20"/>
          <w:szCs w:val="20"/>
        </w:rPr>
        <w:t>7</w:t>
      </w:r>
      <w:r>
        <w:rPr>
          <w:rFonts w:ascii="宋体" w:hAnsi="宋体" w:eastAsia="宋体" w:cs="宋体"/>
          <w:spacing w:val="-36"/>
          <w:sz w:val="20"/>
          <w:szCs w:val="20"/>
        </w:rPr>
        <w:t xml:space="preserve"> </w:t>
      </w:r>
      <w:r>
        <w:rPr>
          <w:rFonts w:ascii="宋体" w:hAnsi="宋体" w:eastAsia="宋体" w:cs="宋体"/>
          <w:spacing w:val="7"/>
          <w:sz w:val="20"/>
          <w:szCs w:val="20"/>
        </w:rPr>
        <w:t>天内批</w:t>
      </w:r>
    </w:p>
    <w:p w14:paraId="73C2C639">
      <w:pPr>
        <w:spacing w:line="369" w:lineRule="auto"/>
        <w:rPr>
          <w:rFonts w:ascii="宋体" w:hAnsi="宋体" w:eastAsia="宋体" w:cs="宋体"/>
          <w:sz w:val="20"/>
          <w:szCs w:val="20"/>
        </w:rPr>
        <w:sectPr>
          <w:footerReference r:id="rId199" w:type="default"/>
          <w:pgSz w:w="11906" w:h="16839"/>
          <w:pgMar w:top="400" w:right="1467" w:bottom="1038" w:left="1537" w:header="0" w:footer="785" w:gutter="0"/>
          <w:cols w:space="720" w:num="1"/>
        </w:sectPr>
      </w:pPr>
    </w:p>
    <w:p w14:paraId="2867F61C">
      <w:pPr>
        <w:spacing w:line="271" w:lineRule="auto"/>
        <w:rPr>
          <w:rFonts w:ascii="Arial"/>
          <w:sz w:val="21"/>
        </w:rPr>
      </w:pPr>
    </w:p>
    <w:p w14:paraId="5F9A50FF">
      <w:pPr>
        <w:spacing w:line="271" w:lineRule="auto"/>
        <w:rPr>
          <w:rFonts w:ascii="Arial"/>
          <w:sz w:val="21"/>
        </w:rPr>
      </w:pPr>
    </w:p>
    <w:p w14:paraId="10464BD6">
      <w:pPr>
        <w:spacing w:line="271" w:lineRule="auto"/>
        <w:rPr>
          <w:rFonts w:ascii="Arial"/>
          <w:sz w:val="21"/>
        </w:rPr>
      </w:pPr>
    </w:p>
    <w:p w14:paraId="67ED85CE">
      <w:pPr>
        <w:spacing w:line="271" w:lineRule="auto"/>
        <w:rPr>
          <w:rFonts w:ascii="Arial"/>
          <w:sz w:val="21"/>
        </w:rPr>
      </w:pPr>
    </w:p>
    <w:p w14:paraId="7FAA238E">
      <w:pPr>
        <w:spacing w:before="65" w:line="370" w:lineRule="auto"/>
        <w:ind w:left="9" w:right="68" w:firstLine="4"/>
        <w:jc w:val="both"/>
        <w:rPr>
          <w:rFonts w:ascii="宋体" w:hAnsi="宋体" w:eastAsia="宋体" w:cs="宋体"/>
          <w:sz w:val="20"/>
          <w:szCs w:val="20"/>
        </w:rPr>
      </w:pPr>
      <w:r>
        <w:rPr>
          <w:rFonts w:ascii="宋体" w:hAnsi="宋体" w:eastAsia="宋体" w:cs="宋体"/>
          <w:spacing w:val="10"/>
          <w:sz w:val="20"/>
          <w:szCs w:val="20"/>
        </w:rPr>
        <w:t>复或提出修改意见，否则该图纸供应计划视为得到批准。经监</w:t>
      </w:r>
      <w:r>
        <w:rPr>
          <w:rFonts w:ascii="宋体" w:hAnsi="宋体" w:eastAsia="宋体" w:cs="宋体"/>
          <w:spacing w:val="9"/>
          <w:sz w:val="20"/>
          <w:szCs w:val="20"/>
        </w:rPr>
        <w:t>理人批准的最新的图纸供应计划对</w:t>
      </w:r>
      <w:r>
        <w:rPr>
          <w:rFonts w:ascii="宋体" w:hAnsi="宋体" w:eastAsia="宋体" w:cs="宋体"/>
          <w:spacing w:val="10"/>
          <w:sz w:val="20"/>
          <w:szCs w:val="20"/>
        </w:rPr>
        <w:t>合同双方有合同约束力，作为发包人或者监理人向承包人提供图纸的主</w:t>
      </w:r>
      <w:r>
        <w:rPr>
          <w:rFonts w:ascii="宋体" w:hAnsi="宋体" w:eastAsia="宋体" w:cs="宋体"/>
          <w:spacing w:val="9"/>
          <w:sz w:val="20"/>
          <w:szCs w:val="20"/>
        </w:rPr>
        <w:t>要依据。发包人或者监理</w:t>
      </w:r>
      <w:r>
        <w:rPr>
          <w:rFonts w:ascii="宋体" w:hAnsi="宋体" w:eastAsia="宋体" w:cs="宋体"/>
          <w:spacing w:val="10"/>
          <w:sz w:val="20"/>
          <w:szCs w:val="20"/>
        </w:rPr>
        <w:t>人不按照图纸供应计划提供图纸而导致承包人费用增加和（或）工期延误</w:t>
      </w:r>
      <w:r>
        <w:rPr>
          <w:rFonts w:ascii="宋体" w:hAnsi="宋体" w:eastAsia="宋体" w:cs="宋体"/>
          <w:spacing w:val="9"/>
          <w:sz w:val="20"/>
          <w:szCs w:val="20"/>
        </w:rPr>
        <w:t>的，由发包人承担赔偿</w:t>
      </w:r>
      <w:r>
        <w:rPr>
          <w:rFonts w:ascii="宋体" w:hAnsi="宋体" w:eastAsia="宋体" w:cs="宋体"/>
          <w:spacing w:val="10"/>
          <w:sz w:val="20"/>
          <w:szCs w:val="20"/>
        </w:rPr>
        <w:t>责任。承包人未按照本目约定的时间向监理人提交图纸供应计划，致使</w:t>
      </w:r>
      <w:r>
        <w:rPr>
          <w:rFonts w:ascii="宋体" w:hAnsi="宋体" w:eastAsia="宋体" w:cs="宋体"/>
          <w:spacing w:val="9"/>
          <w:sz w:val="20"/>
          <w:szCs w:val="20"/>
        </w:rPr>
        <w:t>发包人或者监理人未能在合理的时间内提供相应图纸或者承包人未按照图纸供应计划组织施工所造成的费用增加和（或）</w:t>
      </w:r>
      <w:r>
        <w:rPr>
          <w:rFonts w:ascii="宋体" w:hAnsi="宋体" w:eastAsia="宋体" w:cs="宋体"/>
          <w:spacing w:val="8"/>
          <w:sz w:val="20"/>
          <w:szCs w:val="20"/>
        </w:rPr>
        <w:t>工期延误由承包人承担。</w:t>
      </w:r>
    </w:p>
    <w:p w14:paraId="5BA2A6C1">
      <w:pPr>
        <w:spacing w:before="12" w:line="227" w:lineRule="auto"/>
        <w:ind w:left="438"/>
        <w:rPr>
          <w:rFonts w:ascii="宋体" w:hAnsi="宋体" w:eastAsia="宋体" w:cs="宋体"/>
          <w:sz w:val="20"/>
          <w:szCs w:val="20"/>
        </w:rPr>
      </w:pPr>
      <w:r>
        <w:rPr>
          <w:rFonts w:ascii="宋体" w:hAnsi="宋体" w:eastAsia="宋体" w:cs="宋体"/>
          <w:spacing w:val="6"/>
          <w:sz w:val="20"/>
          <w:szCs w:val="20"/>
        </w:rPr>
        <w:t>（3）发包人提供图纸的期限：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5598901">
      <w:pPr>
        <w:spacing w:before="174" w:line="227" w:lineRule="auto"/>
        <w:ind w:left="438"/>
        <w:rPr>
          <w:rFonts w:ascii="宋体" w:hAnsi="宋体" w:eastAsia="宋体" w:cs="宋体"/>
          <w:sz w:val="20"/>
          <w:szCs w:val="20"/>
        </w:rPr>
      </w:pPr>
      <w:r>
        <w:rPr>
          <w:rFonts w:ascii="宋体" w:hAnsi="宋体" w:eastAsia="宋体" w:cs="宋体"/>
          <w:spacing w:val="6"/>
          <w:sz w:val="20"/>
          <w:szCs w:val="20"/>
        </w:rPr>
        <w:t>（4）发包人提供图纸的数量：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C1A4E9E">
      <w:pPr>
        <w:spacing w:before="174" w:line="227" w:lineRule="auto"/>
        <w:ind w:left="443"/>
        <w:rPr>
          <w:rFonts w:ascii="宋体" w:hAnsi="宋体" w:eastAsia="宋体" w:cs="宋体"/>
          <w:sz w:val="20"/>
          <w:szCs w:val="20"/>
        </w:rPr>
      </w:pPr>
      <w:r>
        <w:rPr>
          <w:rFonts w:ascii="宋体" w:hAnsi="宋体" w:eastAsia="宋体" w:cs="宋体"/>
          <w:b/>
          <w:bCs/>
          <w:spacing w:val="4"/>
          <w:sz w:val="20"/>
          <w:szCs w:val="20"/>
        </w:rPr>
        <w:t>1.6.2</w:t>
      </w:r>
      <w:r>
        <w:rPr>
          <w:rFonts w:ascii="宋体" w:hAnsi="宋体" w:eastAsia="宋体" w:cs="宋体"/>
          <w:spacing w:val="-39"/>
          <w:sz w:val="20"/>
          <w:szCs w:val="20"/>
        </w:rPr>
        <w:t xml:space="preserve"> </w:t>
      </w:r>
      <w:r>
        <w:rPr>
          <w:rFonts w:ascii="宋体" w:hAnsi="宋体" w:eastAsia="宋体" w:cs="宋体"/>
          <w:b/>
          <w:bCs/>
          <w:spacing w:val="4"/>
          <w:sz w:val="20"/>
          <w:szCs w:val="20"/>
        </w:rPr>
        <w:t>承包人提供的文件</w:t>
      </w:r>
    </w:p>
    <w:p w14:paraId="2293E835">
      <w:pPr>
        <w:spacing w:before="165" w:line="380" w:lineRule="auto"/>
        <w:ind w:left="8" w:right="68" w:firstLine="430"/>
        <w:rPr>
          <w:rFonts w:ascii="宋体" w:hAnsi="宋体" w:eastAsia="宋体" w:cs="宋体"/>
          <w:sz w:val="20"/>
          <w:szCs w:val="20"/>
        </w:rPr>
      </w:pPr>
      <w:r>
        <w:rPr>
          <w:rFonts w:ascii="宋体" w:hAnsi="宋体" w:eastAsia="宋体" w:cs="宋体"/>
          <w:spacing w:val="8"/>
          <w:sz w:val="20"/>
          <w:szCs w:val="20"/>
        </w:rPr>
        <w:t>（1）除专用合同条款第4.1.10（1）</w:t>
      </w:r>
      <w:r>
        <w:rPr>
          <w:rFonts w:ascii="宋体" w:hAnsi="宋体" w:eastAsia="宋体" w:cs="宋体"/>
          <w:spacing w:val="-54"/>
          <w:sz w:val="20"/>
          <w:szCs w:val="20"/>
        </w:rPr>
        <w:t xml:space="preserve"> </w:t>
      </w:r>
      <w:r>
        <w:rPr>
          <w:rFonts w:ascii="宋体" w:hAnsi="宋体" w:eastAsia="宋体" w:cs="宋体"/>
          <w:spacing w:val="8"/>
          <w:sz w:val="20"/>
          <w:szCs w:val="20"/>
        </w:rPr>
        <w:t>目约定的由承</w:t>
      </w:r>
      <w:r>
        <w:rPr>
          <w:rFonts w:ascii="宋体" w:hAnsi="宋体" w:eastAsia="宋体" w:cs="宋体"/>
          <w:spacing w:val="7"/>
          <w:sz w:val="20"/>
          <w:szCs w:val="20"/>
        </w:rPr>
        <w:t>包人提供的设计文件外，本项约定的其他</w:t>
      </w:r>
      <w:r>
        <w:rPr>
          <w:rFonts w:ascii="宋体" w:hAnsi="宋体" w:eastAsia="宋体" w:cs="宋体"/>
          <w:spacing w:val="10"/>
          <w:sz w:val="20"/>
          <w:szCs w:val="20"/>
        </w:rPr>
        <w:t>应由承包人提供的文件，包括必要的加工图和大样图，均不是合同计量与</w:t>
      </w:r>
      <w:r>
        <w:rPr>
          <w:rFonts w:ascii="宋体" w:hAnsi="宋体" w:eastAsia="宋体" w:cs="宋体"/>
          <w:spacing w:val="9"/>
          <w:sz w:val="20"/>
          <w:szCs w:val="20"/>
        </w:rPr>
        <w:t>支付的依据文件。由承包人提供的文件范围：</w:t>
      </w:r>
      <w:r>
        <w:rPr>
          <w:rFonts w:ascii="宋体" w:hAnsi="宋体" w:eastAsia="宋体" w:cs="宋体"/>
          <w:sz w:val="20"/>
          <w:szCs w:val="20"/>
          <w:u w:val="single" w:color="auto"/>
        </w:rPr>
        <w:t xml:space="preserve">                                                           </w:t>
      </w:r>
    </w:p>
    <w:p w14:paraId="2FE8382B">
      <w:pPr>
        <w:tabs>
          <w:tab w:val="left" w:pos="8399"/>
        </w:tabs>
        <w:spacing w:before="3"/>
        <w:rPr>
          <w:rFonts w:ascii="Arial"/>
          <w:sz w:val="21"/>
        </w:rPr>
      </w:pPr>
      <w:r>
        <w:rPr>
          <w:rFonts w:ascii="Arial" w:hAnsi="Arial" w:eastAsia="Arial" w:cs="Arial"/>
          <w:sz w:val="21"/>
          <w:szCs w:val="21"/>
          <w:u w:val="single" w:color="auto"/>
        </w:rPr>
        <w:tab/>
      </w:r>
    </w:p>
    <w:p w14:paraId="3C42CA63">
      <w:pPr>
        <w:spacing w:line="271" w:lineRule="auto"/>
        <w:rPr>
          <w:rFonts w:ascii="Arial"/>
          <w:sz w:val="21"/>
        </w:rPr>
      </w:pPr>
    </w:p>
    <w:p w14:paraId="06242A62">
      <w:pPr>
        <w:tabs>
          <w:tab w:val="left" w:pos="8187"/>
        </w:tabs>
        <w:spacing w:before="2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6848755">
      <w:pPr>
        <w:spacing w:before="210" w:line="227" w:lineRule="auto"/>
        <w:ind w:left="438"/>
        <w:rPr>
          <w:rFonts w:ascii="宋体" w:hAnsi="宋体" w:eastAsia="宋体" w:cs="宋体"/>
          <w:sz w:val="20"/>
          <w:szCs w:val="20"/>
        </w:rPr>
      </w:pPr>
      <w:r>
        <w:rPr>
          <w:rFonts w:ascii="宋体" w:hAnsi="宋体" w:eastAsia="宋体" w:cs="宋体"/>
          <w:spacing w:val="4"/>
          <w:sz w:val="20"/>
          <w:szCs w:val="20"/>
        </w:rPr>
        <w:t>（2）承包人提供文件的期限：</w:t>
      </w:r>
      <w:r>
        <w:rPr>
          <w:rFonts w:ascii="宋体" w:hAnsi="宋体" w:eastAsia="宋体" w:cs="宋体"/>
          <w:spacing w:val="4"/>
          <w:sz w:val="20"/>
          <w:szCs w:val="20"/>
          <w:u w:val="single" w:color="auto"/>
        </w:rPr>
        <w:t xml:space="preserve">                                                    </w:t>
      </w:r>
    </w:p>
    <w:p w14:paraId="468FD32E">
      <w:pPr>
        <w:spacing w:line="274" w:lineRule="auto"/>
        <w:rPr>
          <w:rFonts w:ascii="Arial"/>
          <w:sz w:val="21"/>
        </w:rPr>
      </w:pPr>
    </w:p>
    <w:p w14:paraId="767D2EF1">
      <w:pPr>
        <w:tabs>
          <w:tab w:val="left" w:pos="8187"/>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525B7F0">
      <w:pPr>
        <w:spacing w:before="210" w:line="227" w:lineRule="auto"/>
        <w:ind w:left="438"/>
        <w:rPr>
          <w:rFonts w:ascii="宋体" w:hAnsi="宋体" w:eastAsia="宋体" w:cs="宋体"/>
          <w:sz w:val="20"/>
          <w:szCs w:val="20"/>
        </w:rPr>
      </w:pPr>
      <w:r>
        <w:rPr>
          <w:rFonts w:ascii="宋体" w:hAnsi="宋体" w:eastAsia="宋体" w:cs="宋体"/>
          <w:spacing w:val="4"/>
          <w:sz w:val="20"/>
          <w:szCs w:val="20"/>
        </w:rPr>
        <w:t>（3）承包人提供文件的数量：</w:t>
      </w:r>
      <w:r>
        <w:rPr>
          <w:rFonts w:ascii="宋体" w:hAnsi="宋体" w:eastAsia="宋体" w:cs="宋体"/>
          <w:spacing w:val="4"/>
          <w:sz w:val="20"/>
          <w:szCs w:val="20"/>
          <w:u w:val="single" w:color="auto"/>
        </w:rPr>
        <w:t xml:space="preserve">                                                    </w:t>
      </w:r>
    </w:p>
    <w:p w14:paraId="79D0C5B3">
      <w:pPr>
        <w:spacing w:line="274" w:lineRule="auto"/>
        <w:rPr>
          <w:rFonts w:ascii="Arial"/>
          <w:sz w:val="21"/>
        </w:rPr>
      </w:pPr>
    </w:p>
    <w:p w14:paraId="3F250370">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F5FB2C9">
      <w:pPr>
        <w:spacing w:before="210" w:line="227" w:lineRule="auto"/>
        <w:ind w:left="438"/>
        <w:rPr>
          <w:rFonts w:ascii="宋体" w:hAnsi="宋体" w:eastAsia="宋体" w:cs="宋体"/>
          <w:sz w:val="20"/>
          <w:szCs w:val="20"/>
        </w:rPr>
      </w:pPr>
      <w:r>
        <w:rPr>
          <w:rFonts w:ascii="宋体" w:hAnsi="宋体" w:eastAsia="宋体" w:cs="宋体"/>
          <w:spacing w:val="8"/>
          <w:sz w:val="20"/>
          <w:szCs w:val="20"/>
        </w:rPr>
        <w:t>（4）监理人批复承包人提供文件的期限：</w:t>
      </w:r>
      <w:r>
        <w:rPr>
          <w:rFonts w:ascii="宋体" w:hAnsi="宋体" w:eastAsia="宋体" w:cs="宋体"/>
          <w:sz w:val="20"/>
          <w:szCs w:val="20"/>
          <w:u w:val="single" w:color="auto"/>
        </w:rPr>
        <w:t xml:space="preserve">                                            </w:t>
      </w:r>
    </w:p>
    <w:p w14:paraId="21039481">
      <w:pPr>
        <w:spacing w:line="272" w:lineRule="auto"/>
        <w:rPr>
          <w:rFonts w:ascii="Arial"/>
          <w:sz w:val="21"/>
        </w:rPr>
      </w:pPr>
    </w:p>
    <w:p w14:paraId="5BF212D5">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34643B9">
      <w:pPr>
        <w:spacing w:before="211" w:line="228" w:lineRule="auto"/>
        <w:ind w:left="438"/>
        <w:rPr>
          <w:rFonts w:ascii="宋体" w:hAnsi="宋体" w:eastAsia="宋体" w:cs="宋体"/>
          <w:sz w:val="20"/>
          <w:szCs w:val="20"/>
        </w:rPr>
      </w:pPr>
      <w:r>
        <w:rPr>
          <w:rFonts w:ascii="宋体" w:hAnsi="宋体" w:eastAsia="宋体" w:cs="宋体"/>
          <w:spacing w:val="4"/>
          <w:sz w:val="20"/>
          <w:szCs w:val="20"/>
        </w:rPr>
        <w:t>（5）其他约定：</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764ECCD3">
      <w:pPr>
        <w:spacing w:line="273" w:lineRule="auto"/>
        <w:rPr>
          <w:rFonts w:ascii="Arial"/>
          <w:sz w:val="21"/>
        </w:rPr>
      </w:pPr>
    </w:p>
    <w:p w14:paraId="411CF071">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D82779F">
      <w:pPr>
        <w:spacing w:before="217" w:line="228" w:lineRule="auto"/>
        <w:ind w:left="443"/>
        <w:rPr>
          <w:rFonts w:ascii="宋体" w:hAnsi="宋体" w:eastAsia="宋体" w:cs="宋体"/>
          <w:sz w:val="20"/>
          <w:szCs w:val="20"/>
        </w:rPr>
      </w:pPr>
      <w:r>
        <w:rPr>
          <w:rFonts w:ascii="宋体" w:hAnsi="宋体" w:eastAsia="宋体" w:cs="宋体"/>
          <w:b/>
          <w:bCs/>
          <w:sz w:val="20"/>
          <w:szCs w:val="20"/>
        </w:rPr>
        <w:t>1.6.3</w:t>
      </w:r>
      <w:r>
        <w:rPr>
          <w:rFonts w:ascii="宋体" w:hAnsi="宋体" w:eastAsia="宋体" w:cs="宋体"/>
          <w:spacing w:val="-14"/>
          <w:sz w:val="20"/>
          <w:szCs w:val="20"/>
        </w:rPr>
        <w:t xml:space="preserve"> </w:t>
      </w:r>
      <w:r>
        <w:rPr>
          <w:rFonts w:ascii="宋体" w:hAnsi="宋体" w:eastAsia="宋体" w:cs="宋体"/>
          <w:b/>
          <w:bCs/>
          <w:sz w:val="20"/>
          <w:szCs w:val="20"/>
        </w:rPr>
        <w:t>图纸的修改</w:t>
      </w:r>
    </w:p>
    <w:p w14:paraId="746681C9">
      <w:pPr>
        <w:spacing w:before="150" w:line="352" w:lineRule="auto"/>
        <w:ind w:left="15" w:right="68" w:firstLine="413"/>
        <w:rPr>
          <w:rFonts w:ascii="宋体" w:hAnsi="宋体" w:eastAsia="宋体" w:cs="宋体"/>
          <w:sz w:val="20"/>
          <w:szCs w:val="20"/>
        </w:rPr>
      </w:pPr>
      <w:r>
        <w:rPr>
          <w:rFonts w:ascii="宋体" w:hAnsi="宋体" w:eastAsia="宋体" w:cs="宋体"/>
          <w:spacing w:val="6"/>
          <w:sz w:val="20"/>
          <w:szCs w:val="20"/>
        </w:rPr>
        <w:t>监理人应当按照合同条款第</w:t>
      </w:r>
      <w:r>
        <w:rPr>
          <w:rFonts w:ascii="宋体" w:hAnsi="宋体" w:eastAsia="宋体" w:cs="宋体"/>
          <w:spacing w:val="-9"/>
          <w:sz w:val="20"/>
          <w:szCs w:val="20"/>
        </w:rPr>
        <w:t xml:space="preserve"> </w:t>
      </w:r>
      <w:r>
        <w:rPr>
          <w:rFonts w:ascii="宋体" w:hAnsi="宋体" w:eastAsia="宋体" w:cs="宋体"/>
          <w:spacing w:val="6"/>
          <w:sz w:val="20"/>
          <w:szCs w:val="20"/>
        </w:rPr>
        <w:t>1.6.1（2）</w:t>
      </w:r>
      <w:r>
        <w:rPr>
          <w:rFonts w:ascii="宋体" w:hAnsi="宋体" w:eastAsia="宋体" w:cs="宋体"/>
          <w:spacing w:val="-59"/>
          <w:sz w:val="20"/>
          <w:szCs w:val="20"/>
        </w:rPr>
        <w:t xml:space="preserve"> </w:t>
      </w:r>
      <w:r>
        <w:rPr>
          <w:rFonts w:ascii="宋体" w:hAnsi="宋体" w:eastAsia="宋体" w:cs="宋体"/>
          <w:spacing w:val="6"/>
          <w:sz w:val="20"/>
          <w:szCs w:val="20"/>
        </w:rPr>
        <w:t>目约定的有合同约束力的图纸供应计划，签发图纸修改图给承包人。</w:t>
      </w:r>
    </w:p>
    <w:p w14:paraId="528685DB">
      <w:pPr>
        <w:pStyle w:val="2"/>
        <w:spacing w:before="1" w:line="220" w:lineRule="auto"/>
        <w:ind w:left="28"/>
        <w:rPr>
          <w:sz w:val="24"/>
          <w:szCs w:val="24"/>
        </w:rPr>
      </w:pPr>
      <w:r>
        <w:rPr>
          <w:rFonts w:ascii="Times New Roman" w:hAnsi="Times New Roman" w:eastAsia="Times New Roman" w:cs="Times New Roman"/>
          <w:spacing w:val="-8"/>
          <w:sz w:val="24"/>
          <w:szCs w:val="24"/>
        </w:rPr>
        <w:t>1.7</w:t>
      </w:r>
      <w:r>
        <w:rPr>
          <w:rFonts w:ascii="Times New Roman" w:hAnsi="Times New Roman" w:eastAsia="Times New Roman" w:cs="Times New Roman"/>
          <w:spacing w:val="10"/>
          <w:sz w:val="24"/>
          <w:szCs w:val="24"/>
        </w:rPr>
        <w:t xml:space="preserve"> </w:t>
      </w:r>
      <w:r>
        <w:rPr>
          <w:spacing w:val="-8"/>
          <w:sz w:val="24"/>
          <w:szCs w:val="24"/>
        </w:rPr>
        <w:t>联络</w:t>
      </w:r>
    </w:p>
    <w:p w14:paraId="5889C129">
      <w:pPr>
        <w:spacing w:before="130" w:line="228" w:lineRule="auto"/>
        <w:ind w:left="443"/>
        <w:rPr>
          <w:rFonts w:ascii="宋体" w:hAnsi="宋体" w:eastAsia="宋体" w:cs="宋体"/>
          <w:sz w:val="20"/>
          <w:szCs w:val="20"/>
        </w:rPr>
      </w:pPr>
      <w:r>
        <w:rPr>
          <w:rFonts w:ascii="宋体" w:hAnsi="宋体" w:eastAsia="宋体" w:cs="宋体"/>
          <w:b/>
          <w:bCs/>
          <w:spacing w:val="5"/>
          <w:sz w:val="20"/>
          <w:szCs w:val="20"/>
        </w:rPr>
        <w:t>1.7.2</w:t>
      </w:r>
      <w:r>
        <w:rPr>
          <w:rFonts w:ascii="宋体" w:hAnsi="宋体" w:eastAsia="宋体" w:cs="宋体"/>
          <w:spacing w:val="-38"/>
          <w:sz w:val="20"/>
          <w:szCs w:val="20"/>
        </w:rPr>
        <w:t xml:space="preserve"> </w:t>
      </w:r>
      <w:r>
        <w:rPr>
          <w:rFonts w:ascii="宋体" w:hAnsi="宋体" w:eastAsia="宋体" w:cs="宋体"/>
          <w:b/>
          <w:bCs/>
          <w:spacing w:val="5"/>
          <w:sz w:val="20"/>
          <w:szCs w:val="20"/>
        </w:rPr>
        <w:t>联络来往函件的送达和接收</w:t>
      </w:r>
    </w:p>
    <w:p w14:paraId="25560C72">
      <w:pPr>
        <w:spacing w:before="143" w:line="362" w:lineRule="auto"/>
        <w:ind w:left="25" w:firstLine="413"/>
        <w:rPr>
          <w:rFonts w:ascii="宋体" w:hAnsi="宋体" w:eastAsia="宋体" w:cs="宋体"/>
          <w:sz w:val="20"/>
          <w:szCs w:val="20"/>
        </w:rPr>
      </w:pPr>
      <w:r>
        <w:rPr>
          <w:rFonts w:ascii="宋体" w:hAnsi="宋体" w:eastAsia="宋体" w:cs="宋体"/>
          <w:spacing w:val="7"/>
          <w:sz w:val="20"/>
          <w:szCs w:val="20"/>
        </w:rPr>
        <w:t>（1）联络来往信函的送达期限：合同约定了发出期限的，送达期限为合同约</w:t>
      </w:r>
      <w:r>
        <w:rPr>
          <w:rFonts w:ascii="宋体" w:hAnsi="宋体" w:eastAsia="宋体" w:cs="宋体"/>
          <w:spacing w:val="6"/>
          <w:sz w:val="20"/>
          <w:szCs w:val="20"/>
        </w:rPr>
        <w:t>定的发出期限后</w:t>
      </w:r>
      <w:r>
        <w:rPr>
          <w:rFonts w:ascii="宋体" w:hAnsi="宋体" w:eastAsia="宋体" w:cs="宋体"/>
          <w:spacing w:val="8"/>
          <w:sz w:val="20"/>
          <w:szCs w:val="20"/>
        </w:rPr>
        <w:t>的</w:t>
      </w:r>
      <w:r>
        <w:rPr>
          <w:rFonts w:ascii="宋体" w:hAnsi="宋体" w:eastAsia="宋体" w:cs="宋体"/>
          <w:spacing w:val="-37"/>
          <w:sz w:val="20"/>
          <w:szCs w:val="20"/>
        </w:rPr>
        <w:t xml:space="preserve"> </w:t>
      </w:r>
      <w:r>
        <w:rPr>
          <w:rFonts w:ascii="宋体" w:hAnsi="宋体" w:eastAsia="宋体" w:cs="宋体"/>
          <w:spacing w:val="8"/>
          <w:sz w:val="20"/>
          <w:szCs w:val="20"/>
        </w:rPr>
        <w:t>24</w:t>
      </w:r>
      <w:r>
        <w:rPr>
          <w:rFonts w:ascii="宋体" w:hAnsi="宋体" w:eastAsia="宋体" w:cs="宋体"/>
          <w:spacing w:val="-32"/>
          <w:sz w:val="20"/>
          <w:szCs w:val="20"/>
        </w:rPr>
        <w:t xml:space="preserve"> </w:t>
      </w:r>
      <w:r>
        <w:rPr>
          <w:rFonts w:ascii="宋体" w:hAnsi="宋体" w:eastAsia="宋体" w:cs="宋体"/>
          <w:spacing w:val="8"/>
          <w:sz w:val="20"/>
          <w:szCs w:val="20"/>
        </w:rPr>
        <w:t>小时内；合同约定了通知、提供或者报送期限的，通知、提供</w:t>
      </w:r>
      <w:r>
        <w:rPr>
          <w:rFonts w:ascii="宋体" w:hAnsi="宋体" w:eastAsia="宋体" w:cs="宋体"/>
          <w:spacing w:val="7"/>
          <w:sz w:val="20"/>
          <w:szCs w:val="20"/>
        </w:rPr>
        <w:t>或者报送期限即为送达期限。</w:t>
      </w:r>
    </w:p>
    <w:p w14:paraId="0C90F4D9">
      <w:pPr>
        <w:spacing w:before="19" w:line="228" w:lineRule="auto"/>
        <w:ind w:left="438"/>
        <w:rPr>
          <w:rFonts w:ascii="宋体" w:hAnsi="宋体" w:eastAsia="宋体" w:cs="宋体"/>
          <w:sz w:val="20"/>
          <w:szCs w:val="20"/>
        </w:rPr>
      </w:pPr>
      <w:r>
        <w:rPr>
          <w:rFonts w:ascii="宋体" w:hAnsi="宋体" w:eastAsia="宋体" w:cs="宋体"/>
          <w:spacing w:val="6"/>
          <w:sz w:val="20"/>
          <w:szCs w:val="20"/>
        </w:rPr>
        <w:t>（2）发包人指定的接收地点：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B39EF9B">
      <w:pPr>
        <w:spacing w:before="173" w:line="228" w:lineRule="auto"/>
        <w:ind w:left="438"/>
        <w:rPr>
          <w:rFonts w:ascii="宋体" w:hAnsi="宋体" w:eastAsia="宋体" w:cs="宋体"/>
          <w:sz w:val="20"/>
          <w:szCs w:val="20"/>
        </w:rPr>
      </w:pPr>
      <w:r>
        <w:rPr>
          <w:rFonts w:ascii="宋体" w:hAnsi="宋体" w:eastAsia="宋体" w:cs="宋体"/>
          <w:spacing w:val="6"/>
          <w:sz w:val="20"/>
          <w:szCs w:val="20"/>
        </w:rPr>
        <w:t>（3）发包人指定的接收人为：</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ABFB57A">
      <w:pPr>
        <w:spacing w:before="165" w:line="228" w:lineRule="auto"/>
        <w:ind w:left="438"/>
        <w:rPr>
          <w:rFonts w:ascii="宋体" w:hAnsi="宋体" w:eastAsia="宋体" w:cs="宋体"/>
          <w:sz w:val="20"/>
          <w:szCs w:val="20"/>
        </w:rPr>
      </w:pPr>
      <w:r>
        <w:rPr>
          <w:rFonts w:ascii="宋体" w:hAnsi="宋体" w:eastAsia="宋体" w:cs="宋体"/>
          <w:spacing w:val="6"/>
          <w:sz w:val="20"/>
          <w:szCs w:val="20"/>
        </w:rPr>
        <w:t>（4）监理人指定的接收地点：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D47E97B">
      <w:pPr>
        <w:spacing w:before="164" w:line="228" w:lineRule="auto"/>
        <w:ind w:left="438"/>
        <w:rPr>
          <w:rFonts w:ascii="宋体" w:hAnsi="宋体" w:eastAsia="宋体" w:cs="宋体"/>
          <w:sz w:val="20"/>
          <w:szCs w:val="20"/>
        </w:rPr>
      </w:pPr>
      <w:r>
        <w:rPr>
          <w:rFonts w:ascii="宋体" w:hAnsi="宋体" w:eastAsia="宋体" w:cs="宋体"/>
          <w:spacing w:val="6"/>
          <w:sz w:val="20"/>
          <w:szCs w:val="20"/>
        </w:rPr>
        <w:t>（5）监理人指定的接收人为：</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412676E">
      <w:pPr>
        <w:spacing w:before="163" w:line="227" w:lineRule="auto"/>
        <w:ind w:left="438"/>
        <w:rPr>
          <w:rFonts w:ascii="宋体" w:hAnsi="宋体" w:eastAsia="宋体" w:cs="宋体"/>
          <w:sz w:val="20"/>
          <w:szCs w:val="20"/>
        </w:rPr>
      </w:pPr>
      <w:r>
        <w:rPr>
          <w:rFonts w:ascii="宋体" w:hAnsi="宋体" w:eastAsia="宋体" w:cs="宋体"/>
          <w:spacing w:val="7"/>
          <w:sz w:val="20"/>
          <w:szCs w:val="20"/>
        </w:rPr>
        <w:t>（6）承包人指定的接收人为合同协议书中载明的承包人项目经理本人或</w:t>
      </w:r>
      <w:r>
        <w:rPr>
          <w:rFonts w:ascii="宋体" w:hAnsi="宋体" w:eastAsia="宋体" w:cs="宋体"/>
          <w:spacing w:val="6"/>
          <w:sz w:val="20"/>
          <w:szCs w:val="20"/>
        </w:rPr>
        <w:t>者项目经理的授权代</w:t>
      </w:r>
    </w:p>
    <w:p w14:paraId="052CAA0F">
      <w:pPr>
        <w:spacing w:line="227" w:lineRule="auto"/>
        <w:rPr>
          <w:rFonts w:ascii="宋体" w:hAnsi="宋体" w:eastAsia="宋体" w:cs="宋体"/>
          <w:sz w:val="20"/>
          <w:szCs w:val="20"/>
        </w:rPr>
        <w:sectPr>
          <w:footerReference r:id="rId200" w:type="default"/>
          <w:pgSz w:w="11906" w:h="16839"/>
          <w:pgMar w:top="400" w:right="1486" w:bottom="1038" w:left="1531" w:header="0" w:footer="787" w:gutter="0"/>
          <w:cols w:space="720" w:num="1"/>
        </w:sectPr>
      </w:pPr>
    </w:p>
    <w:p w14:paraId="74236974">
      <w:pPr>
        <w:spacing w:line="273" w:lineRule="auto"/>
        <w:rPr>
          <w:rFonts w:ascii="Arial"/>
          <w:sz w:val="21"/>
        </w:rPr>
      </w:pPr>
    </w:p>
    <w:p w14:paraId="2EA4E59B">
      <w:pPr>
        <w:spacing w:line="273" w:lineRule="auto"/>
        <w:rPr>
          <w:rFonts w:ascii="Arial"/>
          <w:sz w:val="21"/>
        </w:rPr>
      </w:pPr>
    </w:p>
    <w:p w14:paraId="63974A83">
      <w:pPr>
        <w:spacing w:line="273" w:lineRule="auto"/>
        <w:rPr>
          <w:rFonts w:ascii="Arial"/>
          <w:sz w:val="21"/>
        </w:rPr>
      </w:pPr>
    </w:p>
    <w:p w14:paraId="2934263A">
      <w:pPr>
        <w:spacing w:line="274" w:lineRule="auto"/>
        <w:rPr>
          <w:rFonts w:ascii="Arial"/>
          <w:sz w:val="21"/>
        </w:rPr>
      </w:pPr>
    </w:p>
    <w:p w14:paraId="04D9D432">
      <w:pPr>
        <w:spacing w:before="65" w:line="379" w:lineRule="auto"/>
        <w:ind w:left="2" w:right="70"/>
        <w:jc w:val="both"/>
        <w:rPr>
          <w:rFonts w:ascii="宋体" w:hAnsi="宋体" w:eastAsia="宋体" w:cs="宋体"/>
          <w:sz w:val="20"/>
          <w:szCs w:val="20"/>
        </w:rPr>
      </w:pPr>
      <w:r>
        <w:rPr>
          <w:rFonts w:ascii="宋体" w:hAnsi="宋体" w:eastAsia="宋体" w:cs="宋体"/>
          <w:spacing w:val="10"/>
          <w:sz w:val="20"/>
          <w:szCs w:val="20"/>
        </w:rPr>
        <w:t>表。承包人应在收到开工通知后</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6"/>
          <w:sz w:val="20"/>
          <w:szCs w:val="20"/>
        </w:rPr>
        <w:t xml:space="preserve"> </w:t>
      </w:r>
      <w:r>
        <w:rPr>
          <w:rFonts w:ascii="宋体" w:hAnsi="宋体" w:eastAsia="宋体" w:cs="宋体"/>
          <w:spacing w:val="10"/>
          <w:sz w:val="20"/>
          <w:szCs w:val="20"/>
        </w:rPr>
        <w:t>天内，按照</w:t>
      </w:r>
      <w:r>
        <w:rPr>
          <w:rFonts w:ascii="宋体" w:hAnsi="宋体" w:eastAsia="宋体" w:cs="宋体"/>
          <w:spacing w:val="9"/>
          <w:sz w:val="20"/>
          <w:szCs w:val="20"/>
        </w:rPr>
        <w:t>合同条款第4.5.4</w:t>
      </w:r>
      <w:r>
        <w:rPr>
          <w:rFonts w:ascii="宋体" w:hAnsi="宋体" w:eastAsia="宋体" w:cs="宋体"/>
          <w:spacing w:val="-35"/>
          <w:sz w:val="20"/>
          <w:szCs w:val="20"/>
        </w:rPr>
        <w:t xml:space="preserve"> </w:t>
      </w:r>
      <w:r>
        <w:rPr>
          <w:rFonts w:ascii="宋体" w:hAnsi="宋体" w:eastAsia="宋体" w:cs="宋体"/>
          <w:spacing w:val="9"/>
          <w:sz w:val="20"/>
          <w:szCs w:val="20"/>
        </w:rPr>
        <w:t>项的约定，将授权代表其接收来</w:t>
      </w:r>
      <w:r>
        <w:rPr>
          <w:rFonts w:ascii="宋体" w:hAnsi="宋体" w:eastAsia="宋体" w:cs="宋体"/>
          <w:spacing w:val="10"/>
          <w:sz w:val="20"/>
          <w:szCs w:val="20"/>
        </w:rPr>
        <w:t>往信函的项目经理的授权代表姓名和授权范围通知监理人。除合同另有约定</w:t>
      </w:r>
      <w:r>
        <w:rPr>
          <w:rFonts w:ascii="宋体" w:hAnsi="宋体" w:eastAsia="宋体" w:cs="宋体"/>
          <w:spacing w:val="9"/>
          <w:sz w:val="20"/>
          <w:szCs w:val="20"/>
        </w:rPr>
        <w:t>外，承包人施工场地管理机构的办公地点即为承包人指定的接收地点。</w:t>
      </w:r>
    </w:p>
    <w:p w14:paraId="65EC6E1C">
      <w:pPr>
        <w:spacing w:before="1" w:line="378" w:lineRule="auto"/>
        <w:ind w:left="2" w:right="70" w:firstLine="430"/>
        <w:rPr>
          <w:rFonts w:ascii="宋体" w:hAnsi="宋体" w:eastAsia="宋体" w:cs="宋体"/>
          <w:sz w:val="20"/>
          <w:szCs w:val="20"/>
        </w:rPr>
      </w:pPr>
      <w:r>
        <w:rPr>
          <w:rFonts w:ascii="宋体" w:hAnsi="宋体" w:eastAsia="宋体" w:cs="宋体"/>
          <w:spacing w:val="7"/>
          <w:sz w:val="20"/>
          <w:szCs w:val="20"/>
        </w:rPr>
        <w:t>（7）发包人（包括监理人）和承包人中任何一方指定的接收人或者接收</w:t>
      </w:r>
      <w:r>
        <w:rPr>
          <w:rFonts w:ascii="宋体" w:hAnsi="宋体" w:eastAsia="宋体" w:cs="宋体"/>
          <w:spacing w:val="6"/>
          <w:sz w:val="20"/>
          <w:szCs w:val="20"/>
        </w:rPr>
        <w:t>地点发生变动，应当</w:t>
      </w:r>
      <w:r>
        <w:rPr>
          <w:rFonts w:ascii="宋体" w:hAnsi="宋体" w:eastAsia="宋体" w:cs="宋体"/>
          <w:spacing w:val="10"/>
          <w:sz w:val="20"/>
          <w:szCs w:val="20"/>
        </w:rPr>
        <w:t>在实际变动前提前至少一个工作日以书面方式通知另一方。发包人（包括监</w:t>
      </w:r>
      <w:r>
        <w:rPr>
          <w:rFonts w:ascii="宋体" w:hAnsi="宋体" w:eastAsia="宋体" w:cs="宋体"/>
          <w:spacing w:val="9"/>
          <w:sz w:val="20"/>
          <w:szCs w:val="20"/>
        </w:rPr>
        <w:t>理人）和承包人应当</w:t>
      </w:r>
      <w:r>
        <w:rPr>
          <w:rFonts w:ascii="宋体" w:hAnsi="宋体" w:eastAsia="宋体" w:cs="宋体"/>
          <w:spacing w:val="10"/>
          <w:sz w:val="20"/>
          <w:szCs w:val="20"/>
        </w:rPr>
        <w:t>确保其各自指定的接收人在法定的和（或）符合合同约定的工作时间内</w:t>
      </w:r>
      <w:r>
        <w:rPr>
          <w:rFonts w:ascii="宋体" w:hAnsi="宋体" w:eastAsia="宋体" w:cs="宋体"/>
          <w:spacing w:val="9"/>
          <w:sz w:val="20"/>
          <w:szCs w:val="20"/>
        </w:rPr>
        <w:t>始终工作在指定的接收地点，指定接收人离开工作岗位而无法及时签收来往信函构成拒不签收。</w:t>
      </w:r>
    </w:p>
    <w:p w14:paraId="1F4BC0D7">
      <w:pPr>
        <w:spacing w:before="3" w:line="378" w:lineRule="auto"/>
        <w:ind w:left="10" w:right="71" w:firstLine="422"/>
        <w:rPr>
          <w:rFonts w:ascii="宋体" w:hAnsi="宋体" w:eastAsia="宋体" w:cs="宋体"/>
          <w:sz w:val="20"/>
          <w:szCs w:val="20"/>
        </w:rPr>
      </w:pPr>
      <w:r>
        <w:rPr>
          <w:rFonts w:ascii="宋体" w:hAnsi="宋体" w:eastAsia="宋体" w:cs="宋体"/>
          <w:spacing w:val="7"/>
          <w:sz w:val="20"/>
          <w:szCs w:val="20"/>
        </w:rPr>
        <w:t>（8）发包人（包括监理人）和承包人中任何一方均应当及时签收另一方</w:t>
      </w:r>
      <w:r>
        <w:rPr>
          <w:rFonts w:ascii="宋体" w:hAnsi="宋体" w:eastAsia="宋体" w:cs="宋体"/>
          <w:spacing w:val="6"/>
          <w:sz w:val="20"/>
          <w:szCs w:val="20"/>
        </w:rPr>
        <w:t>送达其指定接收地点</w:t>
      </w:r>
      <w:r>
        <w:rPr>
          <w:rFonts w:ascii="宋体" w:hAnsi="宋体" w:eastAsia="宋体" w:cs="宋体"/>
          <w:spacing w:val="10"/>
          <w:sz w:val="20"/>
          <w:szCs w:val="20"/>
        </w:rPr>
        <w:t>的来往信函，拒不签收的，送达信函的一方可以采用挂号</w:t>
      </w:r>
      <w:r>
        <w:rPr>
          <w:rFonts w:ascii="宋体" w:hAnsi="宋体" w:eastAsia="宋体" w:cs="宋体"/>
          <w:spacing w:val="9"/>
          <w:sz w:val="20"/>
          <w:szCs w:val="20"/>
        </w:rPr>
        <w:t>或者公证方式送达，由此所造成的直接</w:t>
      </w:r>
      <w:r>
        <w:rPr>
          <w:rFonts w:ascii="宋体" w:hAnsi="宋体" w:eastAsia="宋体" w:cs="宋体"/>
          <w:spacing w:val="10"/>
          <w:sz w:val="20"/>
          <w:szCs w:val="20"/>
        </w:rPr>
        <w:t>的和间接的费用增加（包括被迫采用特殊送达方式所</w:t>
      </w:r>
      <w:r>
        <w:rPr>
          <w:rFonts w:ascii="宋体" w:hAnsi="宋体" w:eastAsia="宋体" w:cs="宋体"/>
          <w:spacing w:val="9"/>
          <w:sz w:val="20"/>
          <w:szCs w:val="20"/>
        </w:rPr>
        <w:t>发生的费用）和（或）延误的工期由拒绝签</w:t>
      </w:r>
      <w:r>
        <w:rPr>
          <w:rFonts w:ascii="宋体" w:hAnsi="宋体" w:eastAsia="宋体" w:cs="宋体"/>
          <w:spacing w:val="5"/>
          <w:sz w:val="20"/>
          <w:szCs w:val="20"/>
        </w:rPr>
        <w:t>收一方承担。</w:t>
      </w:r>
    </w:p>
    <w:p w14:paraId="74C88E98">
      <w:pPr>
        <w:pStyle w:val="2"/>
        <w:spacing w:before="28" w:line="222" w:lineRule="auto"/>
        <w:outlineLvl w:val="2"/>
        <w:rPr>
          <w:sz w:val="28"/>
          <w:szCs w:val="28"/>
        </w:rPr>
      </w:pPr>
      <w:bookmarkStart w:id="240" w:name="bookmark221"/>
      <w:bookmarkEnd w:id="240"/>
      <w:r>
        <w:rPr>
          <w:rFonts w:ascii="Times New Roman" w:hAnsi="Times New Roman" w:eastAsia="Times New Roman" w:cs="Times New Roman"/>
          <w:spacing w:val="-1"/>
          <w:sz w:val="28"/>
          <w:szCs w:val="28"/>
        </w:rPr>
        <w:t>2.</w:t>
      </w:r>
      <w:r>
        <w:rPr>
          <w:spacing w:val="-1"/>
          <w:sz w:val="28"/>
          <w:szCs w:val="28"/>
        </w:rPr>
        <w:t>发包人义务</w:t>
      </w:r>
    </w:p>
    <w:p w14:paraId="2E903EEB">
      <w:pPr>
        <w:pStyle w:val="2"/>
        <w:spacing w:before="100" w:line="222" w:lineRule="auto"/>
        <w:rPr>
          <w:sz w:val="24"/>
          <w:szCs w:val="24"/>
        </w:rPr>
      </w:pPr>
      <w:r>
        <w:rPr>
          <w:rFonts w:ascii="Times New Roman" w:hAnsi="Times New Roman" w:eastAsia="Times New Roman" w:cs="Times New Roman"/>
          <w:spacing w:val="-1"/>
          <w:sz w:val="24"/>
          <w:szCs w:val="24"/>
        </w:rPr>
        <w:t xml:space="preserve">2.3 </w:t>
      </w:r>
      <w:r>
        <w:rPr>
          <w:spacing w:val="-1"/>
          <w:sz w:val="24"/>
          <w:szCs w:val="24"/>
        </w:rPr>
        <w:t>提供施工场地</w:t>
      </w:r>
    </w:p>
    <w:p w14:paraId="7CB45E7B">
      <w:pPr>
        <w:spacing w:before="144" w:line="371" w:lineRule="auto"/>
        <w:ind w:left="2" w:right="70" w:firstLine="420"/>
        <w:jc w:val="both"/>
        <w:rPr>
          <w:rFonts w:ascii="宋体" w:hAnsi="宋体" w:eastAsia="宋体" w:cs="宋体"/>
          <w:sz w:val="20"/>
          <w:szCs w:val="20"/>
        </w:rPr>
      </w:pPr>
      <w:r>
        <w:rPr>
          <w:rFonts w:ascii="宋体" w:hAnsi="宋体" w:eastAsia="宋体" w:cs="宋体"/>
          <w:spacing w:val="9"/>
          <w:sz w:val="20"/>
          <w:szCs w:val="20"/>
        </w:rPr>
        <w:t>施工场地应当在监理人发出的开工通知中载明的开工日期前</w:t>
      </w:r>
      <w:r>
        <w:rPr>
          <w:rFonts w:ascii="宋体" w:hAnsi="宋体" w:eastAsia="宋体" w:cs="宋体"/>
          <w:spacing w:val="9"/>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9"/>
          <w:sz w:val="20"/>
          <w:szCs w:val="20"/>
        </w:rPr>
        <w:t>天具备施工条件并移交给承</w:t>
      </w:r>
      <w:r>
        <w:rPr>
          <w:rFonts w:ascii="宋体" w:hAnsi="宋体" w:eastAsia="宋体" w:cs="宋体"/>
          <w:spacing w:val="8"/>
          <w:sz w:val="20"/>
          <w:szCs w:val="20"/>
        </w:rPr>
        <w:t>包人，具体施工条件在第七章“技术标准和要求</w:t>
      </w:r>
      <w:r>
        <w:rPr>
          <w:rFonts w:ascii="宋体" w:hAnsi="宋体" w:eastAsia="宋体" w:cs="宋体"/>
          <w:spacing w:val="-55"/>
          <w:sz w:val="20"/>
          <w:szCs w:val="20"/>
        </w:rPr>
        <w:t xml:space="preserve"> </w:t>
      </w:r>
      <w:r>
        <w:rPr>
          <w:rFonts w:ascii="宋体" w:hAnsi="宋体" w:eastAsia="宋体" w:cs="宋体"/>
          <w:spacing w:val="8"/>
          <w:sz w:val="20"/>
          <w:szCs w:val="20"/>
        </w:rPr>
        <w:t>”第一节“一般要求</w:t>
      </w:r>
      <w:r>
        <w:rPr>
          <w:rFonts w:ascii="宋体" w:hAnsi="宋体" w:eastAsia="宋体" w:cs="宋体"/>
          <w:spacing w:val="-72"/>
          <w:sz w:val="20"/>
          <w:szCs w:val="20"/>
        </w:rPr>
        <w:t xml:space="preserve"> </w:t>
      </w:r>
      <w:r>
        <w:rPr>
          <w:rFonts w:ascii="宋体" w:hAnsi="宋体" w:eastAsia="宋体" w:cs="宋体"/>
          <w:spacing w:val="8"/>
          <w:sz w:val="20"/>
          <w:szCs w:val="20"/>
        </w:rPr>
        <w:t>”中约定。发包人最迟应当</w:t>
      </w:r>
      <w:r>
        <w:rPr>
          <w:rFonts w:ascii="宋体" w:hAnsi="宋体" w:eastAsia="宋体" w:cs="宋体"/>
          <w:spacing w:val="10"/>
          <w:sz w:val="20"/>
          <w:szCs w:val="20"/>
        </w:rPr>
        <w:t>在移交施工场地的同时向承包人提供施工场地内地下管线和地下设施等有关</w:t>
      </w:r>
      <w:r>
        <w:rPr>
          <w:rFonts w:ascii="宋体" w:hAnsi="宋体" w:eastAsia="宋体" w:cs="宋体"/>
          <w:spacing w:val="9"/>
          <w:sz w:val="20"/>
          <w:szCs w:val="20"/>
        </w:rPr>
        <w:t>资料，并保证资料的</w:t>
      </w:r>
      <w:r>
        <w:rPr>
          <w:rFonts w:ascii="宋体" w:hAnsi="宋体" w:eastAsia="宋体" w:cs="宋体"/>
          <w:spacing w:val="7"/>
          <w:sz w:val="20"/>
          <w:szCs w:val="20"/>
        </w:rPr>
        <w:t>真实、准确和完整。</w:t>
      </w:r>
    </w:p>
    <w:p w14:paraId="7D378465">
      <w:pPr>
        <w:pStyle w:val="2"/>
        <w:spacing w:line="221" w:lineRule="auto"/>
        <w:rPr>
          <w:sz w:val="24"/>
          <w:szCs w:val="24"/>
        </w:rPr>
      </w:pPr>
      <w:r>
        <w:rPr>
          <w:rFonts w:ascii="Times New Roman" w:hAnsi="Times New Roman" w:eastAsia="Times New Roman" w:cs="Times New Roman"/>
          <w:spacing w:val="-1"/>
          <w:sz w:val="24"/>
          <w:szCs w:val="24"/>
        </w:rPr>
        <w:t xml:space="preserve">2.5 </w:t>
      </w:r>
      <w:r>
        <w:rPr>
          <w:spacing w:val="-1"/>
          <w:sz w:val="24"/>
          <w:szCs w:val="24"/>
        </w:rPr>
        <w:t>组织设计交底</w:t>
      </w:r>
    </w:p>
    <w:p w14:paraId="7BAFFF78">
      <w:pPr>
        <w:spacing w:before="145" w:line="371" w:lineRule="auto"/>
        <w:ind w:left="3" w:right="70" w:firstLine="423"/>
        <w:jc w:val="both"/>
        <w:rPr>
          <w:rFonts w:ascii="宋体" w:hAnsi="宋体" w:eastAsia="宋体" w:cs="宋体"/>
          <w:sz w:val="20"/>
          <w:szCs w:val="20"/>
        </w:rPr>
      </w:pPr>
      <w:r>
        <w:rPr>
          <w:rFonts w:ascii="宋体" w:hAnsi="宋体" w:eastAsia="宋体" w:cs="宋体"/>
          <w:spacing w:val="11"/>
          <w:sz w:val="20"/>
          <w:szCs w:val="20"/>
        </w:rPr>
        <w:t>发包人应当在合同条款</w:t>
      </w:r>
      <w:r>
        <w:rPr>
          <w:rFonts w:ascii="宋体" w:hAnsi="宋体" w:eastAsia="宋体" w:cs="宋体"/>
          <w:spacing w:val="-21"/>
          <w:sz w:val="20"/>
          <w:szCs w:val="20"/>
        </w:rPr>
        <w:t xml:space="preserve"> </w:t>
      </w:r>
      <w:r>
        <w:rPr>
          <w:rFonts w:ascii="宋体" w:hAnsi="宋体" w:eastAsia="宋体" w:cs="宋体"/>
          <w:spacing w:val="11"/>
          <w:sz w:val="20"/>
          <w:szCs w:val="20"/>
        </w:rPr>
        <w:t>11.1.1</w:t>
      </w:r>
      <w:r>
        <w:rPr>
          <w:rFonts w:ascii="宋体" w:hAnsi="宋体" w:eastAsia="宋体" w:cs="宋体"/>
          <w:spacing w:val="-34"/>
          <w:sz w:val="20"/>
          <w:szCs w:val="20"/>
        </w:rPr>
        <w:t xml:space="preserve"> </w:t>
      </w:r>
      <w:r>
        <w:rPr>
          <w:rFonts w:ascii="宋体" w:hAnsi="宋体" w:eastAsia="宋体" w:cs="宋体"/>
          <w:spacing w:val="11"/>
          <w:sz w:val="20"/>
          <w:szCs w:val="20"/>
        </w:rPr>
        <w:t>项约定的</w:t>
      </w:r>
      <w:r>
        <w:rPr>
          <w:rFonts w:ascii="宋体" w:hAnsi="宋体" w:eastAsia="宋体" w:cs="宋体"/>
          <w:spacing w:val="10"/>
          <w:sz w:val="20"/>
          <w:szCs w:val="20"/>
        </w:rPr>
        <w:t>开工日期前组织设计人向承包人进行合同工程总体</w:t>
      </w:r>
      <w:r>
        <w:rPr>
          <w:rFonts w:ascii="宋体" w:hAnsi="宋体" w:eastAsia="宋体" w:cs="宋体"/>
          <w:spacing w:val="5"/>
          <w:sz w:val="20"/>
          <w:szCs w:val="20"/>
        </w:rPr>
        <w:t>设计交底（包括图纸会审）。发包人还应按照合同进度计划中载明的阶段性设计交</w:t>
      </w:r>
      <w:r>
        <w:rPr>
          <w:rFonts w:ascii="宋体" w:hAnsi="宋体" w:eastAsia="宋体" w:cs="宋体"/>
          <w:spacing w:val="4"/>
          <w:sz w:val="20"/>
          <w:szCs w:val="20"/>
        </w:rPr>
        <w:t>底时间组织和安</w:t>
      </w:r>
      <w:r>
        <w:rPr>
          <w:rFonts w:ascii="宋体" w:hAnsi="宋体" w:eastAsia="宋体" w:cs="宋体"/>
          <w:spacing w:val="5"/>
          <w:sz w:val="20"/>
          <w:szCs w:val="20"/>
        </w:rPr>
        <w:t>排阶段工程设计交底（包括图纸会审）。承包人可以书面方式通过监理人向发包人申请</w:t>
      </w:r>
      <w:r>
        <w:rPr>
          <w:rFonts w:ascii="宋体" w:hAnsi="宋体" w:eastAsia="宋体" w:cs="宋体"/>
          <w:spacing w:val="4"/>
          <w:sz w:val="20"/>
          <w:szCs w:val="20"/>
        </w:rPr>
        <w:t>增加紧急的</w:t>
      </w:r>
      <w:r>
        <w:rPr>
          <w:rFonts w:ascii="宋体" w:hAnsi="宋体" w:eastAsia="宋体" w:cs="宋体"/>
          <w:spacing w:val="9"/>
          <w:sz w:val="20"/>
          <w:szCs w:val="20"/>
        </w:rPr>
        <w:t>设计交底，发包人在认为确有必要且条件许可时，应当尽快组织这类设计交底。</w:t>
      </w:r>
    </w:p>
    <w:p w14:paraId="66158D0E">
      <w:pPr>
        <w:pStyle w:val="2"/>
        <w:spacing w:before="1" w:line="220" w:lineRule="auto"/>
        <w:rPr>
          <w:sz w:val="24"/>
          <w:szCs w:val="24"/>
        </w:rPr>
      </w:pPr>
      <w:r>
        <w:rPr>
          <w:rFonts w:ascii="Times New Roman" w:hAnsi="Times New Roman" w:eastAsia="Times New Roman" w:cs="Times New Roman"/>
          <w:spacing w:val="-3"/>
          <w:sz w:val="24"/>
          <w:szCs w:val="24"/>
        </w:rPr>
        <w:t>2.8</w:t>
      </w:r>
      <w:r>
        <w:rPr>
          <w:rFonts w:ascii="Times New Roman" w:hAnsi="Times New Roman" w:eastAsia="Times New Roman" w:cs="Times New Roman"/>
          <w:spacing w:val="14"/>
          <w:sz w:val="24"/>
          <w:szCs w:val="24"/>
        </w:rPr>
        <w:t xml:space="preserve"> </w:t>
      </w:r>
      <w:r>
        <w:rPr>
          <w:spacing w:val="-3"/>
          <w:sz w:val="24"/>
          <w:szCs w:val="24"/>
        </w:rPr>
        <w:t>其他义务</w:t>
      </w:r>
    </w:p>
    <w:p w14:paraId="6E6CB2BE">
      <w:pPr>
        <w:spacing w:before="141" w:line="379" w:lineRule="auto"/>
        <w:ind w:left="3" w:right="71" w:firstLine="430"/>
        <w:rPr>
          <w:rFonts w:ascii="宋体" w:hAnsi="宋体" w:eastAsia="宋体" w:cs="宋体"/>
          <w:sz w:val="20"/>
          <w:szCs w:val="20"/>
        </w:rPr>
      </w:pPr>
      <w:r>
        <w:rPr>
          <w:rFonts w:ascii="宋体" w:hAnsi="宋体" w:eastAsia="宋体" w:cs="宋体"/>
          <w:spacing w:val="8"/>
          <w:sz w:val="20"/>
          <w:szCs w:val="20"/>
        </w:rPr>
        <w:t>（1）向承包人提交对等的支付担保。在承包人按合</w:t>
      </w:r>
      <w:r>
        <w:rPr>
          <w:rFonts w:ascii="宋体" w:hAnsi="宋体" w:eastAsia="宋体" w:cs="宋体"/>
          <w:spacing w:val="7"/>
          <w:sz w:val="20"/>
          <w:szCs w:val="20"/>
        </w:rPr>
        <w:t>同条款第4.2</w:t>
      </w:r>
      <w:r>
        <w:rPr>
          <w:rFonts w:ascii="宋体" w:hAnsi="宋体" w:eastAsia="宋体" w:cs="宋体"/>
          <w:spacing w:val="-39"/>
          <w:sz w:val="20"/>
          <w:szCs w:val="20"/>
        </w:rPr>
        <w:t xml:space="preserve"> </w:t>
      </w:r>
      <w:r>
        <w:rPr>
          <w:rFonts w:ascii="宋体" w:hAnsi="宋体" w:eastAsia="宋体" w:cs="宋体"/>
          <w:spacing w:val="7"/>
          <w:sz w:val="20"/>
          <w:szCs w:val="20"/>
        </w:rPr>
        <w:t>条向发包人递交符合合同约</w:t>
      </w:r>
      <w:r>
        <w:rPr>
          <w:rFonts w:ascii="宋体" w:hAnsi="宋体" w:eastAsia="宋体" w:cs="宋体"/>
          <w:spacing w:val="10"/>
          <w:sz w:val="20"/>
          <w:szCs w:val="20"/>
        </w:rPr>
        <w:t>定的履约担保的同时，发包人应当按照金额和条件对等的原则和招标文件</w:t>
      </w:r>
      <w:r>
        <w:rPr>
          <w:rFonts w:ascii="宋体" w:hAnsi="宋体" w:eastAsia="宋体" w:cs="宋体"/>
          <w:spacing w:val="9"/>
          <w:sz w:val="20"/>
          <w:szCs w:val="20"/>
        </w:rPr>
        <w:t>中规定的格式或者其他</w:t>
      </w:r>
      <w:r>
        <w:rPr>
          <w:rFonts w:ascii="宋体" w:hAnsi="宋体" w:eastAsia="宋体" w:cs="宋体"/>
          <w:spacing w:val="10"/>
          <w:sz w:val="20"/>
          <w:szCs w:val="20"/>
        </w:rPr>
        <w:t>经过承包人事先认可的格式向承包人递交一份支付担保。支付担保的有效</w:t>
      </w:r>
      <w:r>
        <w:rPr>
          <w:rFonts w:ascii="宋体" w:hAnsi="宋体" w:eastAsia="宋体" w:cs="宋体"/>
          <w:spacing w:val="9"/>
          <w:sz w:val="20"/>
          <w:szCs w:val="20"/>
        </w:rPr>
        <w:t>期应当自本合同生效之</w:t>
      </w:r>
      <w:r>
        <w:rPr>
          <w:rFonts w:ascii="宋体" w:hAnsi="宋体" w:eastAsia="宋体" w:cs="宋体"/>
          <w:spacing w:val="10"/>
          <w:sz w:val="20"/>
          <w:szCs w:val="20"/>
        </w:rPr>
        <w:t>日起至发包人实际支付竣工付款之日止。如果发包人无法获得一份不带具</w:t>
      </w:r>
      <w:r>
        <w:rPr>
          <w:rFonts w:ascii="宋体" w:hAnsi="宋体" w:eastAsia="宋体" w:cs="宋体"/>
          <w:spacing w:val="9"/>
          <w:sz w:val="20"/>
          <w:szCs w:val="20"/>
        </w:rPr>
        <w:t>体截止日期的担保，支</w:t>
      </w:r>
      <w:r>
        <w:rPr>
          <w:rFonts w:ascii="宋体" w:hAnsi="宋体" w:eastAsia="宋体" w:cs="宋体"/>
          <w:spacing w:val="10"/>
          <w:sz w:val="20"/>
          <w:szCs w:val="20"/>
        </w:rPr>
        <w:t>付担保中应当有“变更工程竣工付款支付日期的，保证期间按照变更后的</w:t>
      </w:r>
      <w:r>
        <w:rPr>
          <w:rFonts w:ascii="宋体" w:hAnsi="宋体" w:eastAsia="宋体" w:cs="宋体"/>
          <w:spacing w:val="9"/>
          <w:sz w:val="20"/>
          <w:szCs w:val="20"/>
        </w:rPr>
        <w:t>竣工付款支付日期做相</w:t>
      </w:r>
      <w:r>
        <w:rPr>
          <w:rFonts w:ascii="宋体" w:hAnsi="宋体" w:eastAsia="宋体" w:cs="宋体"/>
          <w:spacing w:val="6"/>
          <w:sz w:val="20"/>
          <w:szCs w:val="20"/>
        </w:rPr>
        <w:t>应调整</w:t>
      </w:r>
      <w:r>
        <w:rPr>
          <w:rFonts w:ascii="宋体" w:hAnsi="宋体" w:eastAsia="宋体" w:cs="宋体"/>
          <w:spacing w:val="-72"/>
          <w:sz w:val="20"/>
          <w:szCs w:val="20"/>
        </w:rPr>
        <w:t xml:space="preserve"> </w:t>
      </w:r>
      <w:r>
        <w:rPr>
          <w:rFonts w:ascii="宋体" w:hAnsi="宋体" w:eastAsia="宋体" w:cs="宋体"/>
          <w:spacing w:val="6"/>
          <w:sz w:val="20"/>
          <w:szCs w:val="20"/>
        </w:rPr>
        <w:t>”或类似约定的条款。支付担保应在发包人付清竣工付款之日后</w:t>
      </w:r>
      <w:r>
        <w:rPr>
          <w:rFonts w:ascii="宋体" w:hAnsi="宋体" w:eastAsia="宋体" w:cs="宋体"/>
          <w:spacing w:val="-35"/>
          <w:sz w:val="20"/>
          <w:szCs w:val="20"/>
        </w:rPr>
        <w:t xml:space="preserve"> </w:t>
      </w:r>
      <w:r>
        <w:rPr>
          <w:rFonts w:ascii="宋体" w:hAnsi="宋体" w:eastAsia="宋体" w:cs="宋体"/>
          <w:spacing w:val="6"/>
          <w:sz w:val="20"/>
          <w:szCs w:val="20"/>
        </w:rPr>
        <w:t>28</w:t>
      </w:r>
      <w:r>
        <w:rPr>
          <w:rFonts w:ascii="宋体" w:hAnsi="宋体" w:eastAsia="宋体" w:cs="宋体"/>
          <w:spacing w:val="-36"/>
          <w:sz w:val="20"/>
          <w:szCs w:val="20"/>
        </w:rPr>
        <w:t xml:space="preserve"> </w:t>
      </w:r>
      <w:r>
        <w:rPr>
          <w:rFonts w:ascii="宋体" w:hAnsi="宋体" w:eastAsia="宋体" w:cs="宋体"/>
          <w:spacing w:val="6"/>
          <w:sz w:val="20"/>
          <w:szCs w:val="20"/>
        </w:rPr>
        <w:t>天内退</w:t>
      </w:r>
      <w:r>
        <w:rPr>
          <w:rFonts w:ascii="宋体" w:hAnsi="宋体" w:eastAsia="宋体" w:cs="宋体"/>
          <w:spacing w:val="5"/>
          <w:sz w:val="20"/>
          <w:szCs w:val="20"/>
        </w:rPr>
        <w:t>还给发包人。承</w:t>
      </w:r>
      <w:r>
        <w:rPr>
          <w:rFonts w:ascii="宋体" w:hAnsi="宋体" w:eastAsia="宋体" w:cs="宋体"/>
          <w:spacing w:val="10"/>
          <w:sz w:val="20"/>
          <w:szCs w:val="20"/>
        </w:rPr>
        <w:t>包人不承担发包人与支付担保有关的任何利息或其它类似的费用或者收益</w:t>
      </w:r>
      <w:r>
        <w:rPr>
          <w:rFonts w:ascii="宋体" w:hAnsi="宋体" w:eastAsia="宋体" w:cs="宋体"/>
          <w:spacing w:val="9"/>
          <w:sz w:val="20"/>
          <w:szCs w:val="20"/>
        </w:rPr>
        <w:t>。支付担保是本合同的</w:t>
      </w:r>
      <w:r>
        <w:rPr>
          <w:rFonts w:ascii="宋体" w:hAnsi="宋体" w:eastAsia="宋体" w:cs="宋体"/>
          <w:spacing w:val="3"/>
          <w:sz w:val="20"/>
          <w:szCs w:val="20"/>
        </w:rPr>
        <w:t>附件。</w:t>
      </w:r>
    </w:p>
    <w:p w14:paraId="771E15D5">
      <w:pPr>
        <w:spacing w:before="1" w:line="227" w:lineRule="auto"/>
        <w:ind w:left="433"/>
        <w:rPr>
          <w:rFonts w:ascii="宋体" w:hAnsi="宋体" w:eastAsia="宋体" w:cs="宋体"/>
          <w:sz w:val="20"/>
          <w:szCs w:val="20"/>
        </w:rPr>
      </w:pPr>
      <w:r>
        <w:rPr>
          <w:rFonts w:ascii="宋体" w:hAnsi="宋体" w:eastAsia="宋体" w:cs="宋体"/>
          <w:spacing w:val="8"/>
          <w:sz w:val="20"/>
          <w:szCs w:val="20"/>
        </w:rPr>
        <w:t>（2）按有关规定及时办理工程质量监督手续。</w:t>
      </w:r>
    </w:p>
    <w:p w14:paraId="6BB90CD7">
      <w:pPr>
        <w:spacing w:before="163" w:line="380" w:lineRule="auto"/>
        <w:ind w:left="3" w:firstLine="429"/>
        <w:rPr>
          <w:rFonts w:ascii="宋体" w:hAnsi="宋体" w:eastAsia="宋体" w:cs="宋体"/>
          <w:sz w:val="20"/>
          <w:szCs w:val="20"/>
        </w:rPr>
      </w:pPr>
      <w:r>
        <w:rPr>
          <w:rFonts w:ascii="宋体" w:hAnsi="宋体" w:eastAsia="宋体" w:cs="宋体"/>
          <w:spacing w:val="7"/>
          <w:sz w:val="20"/>
          <w:szCs w:val="20"/>
        </w:rPr>
        <w:t>（3）根据建设行政主管部门和（或）城市建设档案管理机构的规定，收</w:t>
      </w:r>
      <w:r>
        <w:rPr>
          <w:rFonts w:ascii="宋体" w:hAnsi="宋体" w:eastAsia="宋体" w:cs="宋体"/>
          <w:spacing w:val="6"/>
          <w:sz w:val="20"/>
          <w:szCs w:val="20"/>
        </w:rPr>
        <w:t>集、整理、立卷、归</w:t>
      </w:r>
      <w:r>
        <w:rPr>
          <w:rFonts w:ascii="宋体" w:hAnsi="宋体" w:eastAsia="宋体" w:cs="宋体"/>
          <w:spacing w:val="7"/>
          <w:sz w:val="20"/>
          <w:szCs w:val="20"/>
        </w:rPr>
        <w:t>档工程资料，并按规定时间向建设行政主管部门或者</w:t>
      </w:r>
      <w:r>
        <w:rPr>
          <w:rFonts w:ascii="宋体" w:hAnsi="宋体" w:eastAsia="宋体" w:cs="宋体"/>
          <w:spacing w:val="6"/>
          <w:sz w:val="20"/>
          <w:szCs w:val="20"/>
        </w:rPr>
        <w:t>城市建设档案管理机构移交规定的工程档案。</w:t>
      </w:r>
    </w:p>
    <w:p w14:paraId="70309F52">
      <w:pPr>
        <w:spacing w:line="380" w:lineRule="auto"/>
        <w:rPr>
          <w:rFonts w:ascii="宋体" w:hAnsi="宋体" w:eastAsia="宋体" w:cs="宋体"/>
          <w:sz w:val="20"/>
          <w:szCs w:val="20"/>
        </w:rPr>
        <w:sectPr>
          <w:footerReference r:id="rId201" w:type="default"/>
          <w:pgSz w:w="11906" w:h="16839"/>
          <w:pgMar w:top="400" w:right="1483" w:bottom="1038" w:left="1536" w:header="0" w:footer="787" w:gutter="0"/>
          <w:cols w:space="720" w:num="1"/>
        </w:sectPr>
      </w:pPr>
    </w:p>
    <w:p w14:paraId="27A4BBC4">
      <w:pPr>
        <w:spacing w:line="273" w:lineRule="auto"/>
        <w:rPr>
          <w:rFonts w:ascii="Arial"/>
          <w:sz w:val="21"/>
        </w:rPr>
      </w:pPr>
    </w:p>
    <w:p w14:paraId="57F58C33">
      <w:pPr>
        <w:spacing w:line="274" w:lineRule="auto"/>
        <w:rPr>
          <w:rFonts w:ascii="Arial"/>
          <w:sz w:val="21"/>
        </w:rPr>
      </w:pPr>
    </w:p>
    <w:p w14:paraId="7B139F47">
      <w:pPr>
        <w:spacing w:line="274" w:lineRule="auto"/>
        <w:rPr>
          <w:rFonts w:ascii="Arial"/>
          <w:sz w:val="21"/>
        </w:rPr>
      </w:pPr>
    </w:p>
    <w:p w14:paraId="6F414837">
      <w:pPr>
        <w:spacing w:line="274" w:lineRule="auto"/>
        <w:rPr>
          <w:rFonts w:ascii="Arial"/>
          <w:sz w:val="21"/>
        </w:rPr>
      </w:pPr>
    </w:p>
    <w:p w14:paraId="77C46640">
      <w:pPr>
        <w:spacing w:before="65" w:line="378" w:lineRule="auto"/>
        <w:ind w:left="7" w:right="70" w:firstLine="430"/>
        <w:rPr>
          <w:rFonts w:ascii="宋体" w:hAnsi="宋体" w:eastAsia="宋体" w:cs="宋体"/>
          <w:sz w:val="20"/>
          <w:szCs w:val="20"/>
        </w:rPr>
      </w:pPr>
      <w:r>
        <w:rPr>
          <w:rFonts w:ascii="宋体" w:hAnsi="宋体" w:eastAsia="宋体" w:cs="宋体"/>
          <w:spacing w:val="7"/>
          <w:sz w:val="20"/>
          <w:szCs w:val="20"/>
        </w:rPr>
        <w:t>（4）批准和确认：按合同约定应当由监理人或者发包人回复、批复、批准、</w:t>
      </w:r>
      <w:r>
        <w:rPr>
          <w:rFonts w:ascii="宋体" w:hAnsi="宋体" w:eastAsia="宋体" w:cs="宋体"/>
          <w:spacing w:val="6"/>
          <w:sz w:val="20"/>
          <w:szCs w:val="20"/>
        </w:rPr>
        <w:t>确认或提出修改</w:t>
      </w:r>
      <w:r>
        <w:rPr>
          <w:rFonts w:ascii="宋体" w:hAnsi="宋体" w:eastAsia="宋体" w:cs="宋体"/>
          <w:spacing w:val="8"/>
          <w:sz w:val="20"/>
          <w:szCs w:val="20"/>
        </w:rPr>
        <w:t>意见的承包人的要求、请求、</w:t>
      </w:r>
      <w:r>
        <w:rPr>
          <w:rFonts w:ascii="宋体" w:hAnsi="宋体" w:eastAsia="宋体" w:cs="宋体"/>
          <w:spacing w:val="-57"/>
          <w:sz w:val="20"/>
          <w:szCs w:val="20"/>
        </w:rPr>
        <w:t xml:space="preserve"> </w:t>
      </w:r>
      <w:r>
        <w:rPr>
          <w:rFonts w:ascii="宋体" w:hAnsi="宋体" w:eastAsia="宋体" w:cs="宋体"/>
          <w:spacing w:val="8"/>
          <w:sz w:val="20"/>
          <w:szCs w:val="20"/>
        </w:rPr>
        <w:t>申请和报批等，</w:t>
      </w:r>
      <w:r>
        <w:rPr>
          <w:rFonts w:ascii="宋体" w:hAnsi="宋体" w:eastAsia="宋体" w:cs="宋体"/>
          <w:spacing w:val="-51"/>
          <w:sz w:val="20"/>
          <w:szCs w:val="20"/>
        </w:rPr>
        <w:t xml:space="preserve"> </w:t>
      </w:r>
      <w:r>
        <w:rPr>
          <w:rFonts w:ascii="宋体" w:hAnsi="宋体" w:eastAsia="宋体" w:cs="宋体"/>
          <w:spacing w:val="8"/>
          <w:sz w:val="20"/>
          <w:szCs w:val="20"/>
        </w:rPr>
        <w:t>自监理人或</w:t>
      </w:r>
      <w:r>
        <w:rPr>
          <w:rFonts w:ascii="宋体" w:hAnsi="宋体" w:eastAsia="宋体" w:cs="宋体"/>
          <w:spacing w:val="7"/>
          <w:sz w:val="20"/>
          <w:szCs w:val="20"/>
        </w:rPr>
        <w:t>者发包人指定的接收人收到承包人发出</w:t>
      </w:r>
      <w:r>
        <w:rPr>
          <w:rFonts w:ascii="宋体" w:hAnsi="宋体" w:eastAsia="宋体" w:cs="宋体"/>
          <w:spacing w:val="9"/>
          <w:sz w:val="20"/>
          <w:szCs w:val="20"/>
        </w:rPr>
        <w:t>的相应要求、请求、</w:t>
      </w:r>
      <w:r>
        <w:rPr>
          <w:rFonts w:ascii="宋体" w:hAnsi="宋体" w:eastAsia="宋体" w:cs="宋体"/>
          <w:spacing w:val="-57"/>
          <w:sz w:val="20"/>
          <w:szCs w:val="20"/>
        </w:rPr>
        <w:t xml:space="preserve"> </w:t>
      </w:r>
      <w:r>
        <w:rPr>
          <w:rFonts w:ascii="宋体" w:hAnsi="宋体" w:eastAsia="宋体" w:cs="宋体"/>
          <w:spacing w:val="9"/>
          <w:sz w:val="20"/>
          <w:szCs w:val="20"/>
        </w:rPr>
        <w:t>申请和报批之日起，如果监理人或者发包人在合同约</w:t>
      </w:r>
      <w:r>
        <w:rPr>
          <w:rFonts w:ascii="宋体" w:hAnsi="宋体" w:eastAsia="宋体" w:cs="宋体"/>
          <w:spacing w:val="8"/>
          <w:sz w:val="20"/>
          <w:szCs w:val="20"/>
        </w:rPr>
        <w:t>定的期限内未予回复、</w:t>
      </w:r>
      <w:r>
        <w:rPr>
          <w:rFonts w:ascii="宋体" w:hAnsi="宋体" w:eastAsia="宋体" w:cs="宋体"/>
          <w:spacing w:val="9"/>
          <w:sz w:val="20"/>
          <w:szCs w:val="20"/>
        </w:rPr>
        <w:t>批复、批准、确认或提出修改意见的，视为监理人和发包人已经同意、确认或者批准。</w:t>
      </w:r>
    </w:p>
    <w:p w14:paraId="33D07D85">
      <w:pPr>
        <w:spacing w:line="227" w:lineRule="auto"/>
        <w:ind w:left="438"/>
        <w:rPr>
          <w:rFonts w:ascii="宋体" w:hAnsi="宋体" w:eastAsia="宋体" w:cs="宋体"/>
          <w:sz w:val="20"/>
          <w:szCs w:val="20"/>
        </w:rPr>
      </w:pPr>
      <w:r>
        <w:rPr>
          <w:rFonts w:ascii="宋体" w:hAnsi="宋体" w:eastAsia="宋体" w:cs="宋体"/>
          <w:spacing w:val="9"/>
          <w:sz w:val="20"/>
          <w:szCs w:val="20"/>
        </w:rPr>
        <w:t>（5）发包人应当履行合同约定的其他义务以及下述义务：</w:t>
      </w:r>
      <w:r>
        <w:rPr>
          <w:rFonts w:ascii="宋体" w:hAnsi="宋体" w:eastAsia="宋体" w:cs="宋体"/>
          <w:sz w:val="20"/>
          <w:szCs w:val="20"/>
          <w:u w:val="single" w:color="auto"/>
        </w:rPr>
        <w:t xml:space="preserve">                             </w:t>
      </w:r>
    </w:p>
    <w:p w14:paraId="39808313">
      <w:pPr>
        <w:spacing w:line="259" w:lineRule="auto"/>
        <w:rPr>
          <w:rFonts w:ascii="Arial"/>
          <w:sz w:val="21"/>
        </w:rPr>
      </w:pPr>
    </w:p>
    <w:p w14:paraId="19CD5C3A">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3957ABD">
      <w:pPr>
        <w:pStyle w:val="2"/>
        <w:spacing w:before="234" w:line="225" w:lineRule="auto"/>
        <w:ind w:left="11"/>
        <w:outlineLvl w:val="2"/>
        <w:rPr>
          <w:sz w:val="28"/>
          <w:szCs w:val="28"/>
        </w:rPr>
      </w:pPr>
      <w:bookmarkStart w:id="241" w:name="bookmark222"/>
      <w:bookmarkEnd w:id="241"/>
      <w:r>
        <w:rPr>
          <w:rFonts w:ascii="Times New Roman" w:hAnsi="Times New Roman" w:eastAsia="Times New Roman" w:cs="Times New Roman"/>
          <w:spacing w:val="-3"/>
          <w:sz w:val="28"/>
          <w:szCs w:val="28"/>
        </w:rPr>
        <w:t>3.</w:t>
      </w:r>
      <w:r>
        <w:rPr>
          <w:spacing w:val="-3"/>
          <w:sz w:val="28"/>
          <w:szCs w:val="28"/>
        </w:rPr>
        <w:t>监理人</w:t>
      </w:r>
    </w:p>
    <w:p w14:paraId="7CCF5384">
      <w:pPr>
        <w:pStyle w:val="2"/>
        <w:spacing w:before="95" w:line="221" w:lineRule="auto"/>
        <w:ind w:left="10"/>
        <w:rPr>
          <w:sz w:val="24"/>
          <w:szCs w:val="24"/>
        </w:rPr>
      </w:pPr>
      <w:r>
        <w:rPr>
          <w:rFonts w:ascii="Times New Roman" w:hAnsi="Times New Roman" w:eastAsia="Times New Roman" w:cs="Times New Roman"/>
          <w:spacing w:val="-1"/>
          <w:sz w:val="24"/>
          <w:szCs w:val="24"/>
        </w:rPr>
        <w:t xml:space="preserve">3.1 </w:t>
      </w:r>
      <w:r>
        <w:rPr>
          <w:spacing w:val="-1"/>
          <w:sz w:val="24"/>
          <w:szCs w:val="24"/>
        </w:rPr>
        <w:t>监理人的职责和权力</w:t>
      </w:r>
    </w:p>
    <w:p w14:paraId="3373E576">
      <w:pPr>
        <w:spacing w:before="147" w:line="228" w:lineRule="auto"/>
        <w:ind w:left="432"/>
        <w:rPr>
          <w:rFonts w:ascii="宋体" w:hAnsi="宋体" w:eastAsia="宋体" w:cs="宋体"/>
          <w:sz w:val="20"/>
          <w:szCs w:val="20"/>
        </w:rPr>
      </w:pPr>
      <w:r>
        <w:rPr>
          <w:rFonts w:ascii="宋体" w:hAnsi="宋体" w:eastAsia="宋体" w:cs="宋体"/>
          <w:spacing w:val="7"/>
          <w:sz w:val="20"/>
          <w:szCs w:val="20"/>
        </w:rPr>
        <w:t>3.1.1</w:t>
      </w:r>
      <w:r>
        <w:rPr>
          <w:rFonts w:ascii="宋体" w:hAnsi="宋体" w:eastAsia="宋体" w:cs="宋体"/>
          <w:spacing w:val="-33"/>
          <w:sz w:val="20"/>
          <w:szCs w:val="20"/>
        </w:rPr>
        <w:t xml:space="preserve"> </w:t>
      </w:r>
      <w:r>
        <w:rPr>
          <w:rFonts w:ascii="宋体" w:hAnsi="宋体" w:eastAsia="宋体" w:cs="宋体"/>
          <w:spacing w:val="7"/>
          <w:sz w:val="20"/>
          <w:szCs w:val="20"/>
        </w:rPr>
        <w:t>须经发包人批准行使的权力：</w:t>
      </w:r>
      <w:r>
        <w:rPr>
          <w:rFonts w:ascii="宋体" w:hAnsi="宋体" w:eastAsia="宋体" w:cs="宋体"/>
          <w:sz w:val="20"/>
          <w:szCs w:val="20"/>
          <w:u w:val="single" w:color="auto"/>
        </w:rPr>
        <w:t xml:space="preserve">                                               </w:t>
      </w:r>
    </w:p>
    <w:p w14:paraId="6EF9EC7C">
      <w:pPr>
        <w:spacing w:line="257" w:lineRule="auto"/>
        <w:rPr>
          <w:rFonts w:ascii="Arial"/>
          <w:sz w:val="21"/>
        </w:rPr>
      </w:pPr>
    </w:p>
    <w:p w14:paraId="05CA4A35">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3768576">
      <w:pPr>
        <w:spacing w:before="189" w:line="352" w:lineRule="auto"/>
        <w:ind w:left="10" w:right="71" w:firstLine="1"/>
        <w:rPr>
          <w:rFonts w:ascii="宋体" w:hAnsi="宋体" w:eastAsia="宋体" w:cs="宋体"/>
          <w:sz w:val="20"/>
          <w:szCs w:val="20"/>
        </w:rPr>
      </w:pPr>
      <w:r>
        <w:rPr>
          <w:rFonts w:ascii="宋体" w:hAnsi="宋体" w:eastAsia="宋体" w:cs="宋体"/>
          <w:spacing w:val="9"/>
          <w:sz w:val="20"/>
          <w:szCs w:val="20"/>
        </w:rPr>
        <w:t>不管通用合同条款第</w:t>
      </w:r>
      <w:r>
        <w:rPr>
          <w:rFonts w:ascii="宋体" w:hAnsi="宋体" w:eastAsia="宋体" w:cs="宋体"/>
          <w:spacing w:val="-35"/>
          <w:sz w:val="20"/>
          <w:szCs w:val="20"/>
        </w:rPr>
        <w:t xml:space="preserve"> </w:t>
      </w:r>
      <w:r>
        <w:rPr>
          <w:rFonts w:ascii="宋体" w:hAnsi="宋体" w:eastAsia="宋体" w:cs="宋体"/>
          <w:spacing w:val="9"/>
          <w:sz w:val="20"/>
          <w:szCs w:val="20"/>
        </w:rPr>
        <w:t>3.1.1</w:t>
      </w:r>
      <w:r>
        <w:rPr>
          <w:rFonts w:ascii="宋体" w:hAnsi="宋体" w:eastAsia="宋体" w:cs="宋体"/>
          <w:spacing w:val="-35"/>
          <w:sz w:val="20"/>
          <w:szCs w:val="20"/>
        </w:rPr>
        <w:t xml:space="preserve"> </w:t>
      </w:r>
      <w:r>
        <w:rPr>
          <w:rFonts w:ascii="宋体" w:hAnsi="宋体" w:eastAsia="宋体" w:cs="宋体"/>
          <w:spacing w:val="9"/>
          <w:sz w:val="20"/>
          <w:szCs w:val="20"/>
        </w:rPr>
        <w:t>项如何约定，监理人履行</w:t>
      </w:r>
      <w:r>
        <w:rPr>
          <w:rFonts w:ascii="宋体" w:hAnsi="宋体" w:eastAsia="宋体" w:cs="宋体"/>
          <w:spacing w:val="8"/>
          <w:sz w:val="20"/>
          <w:szCs w:val="20"/>
        </w:rPr>
        <w:t>须经发包人批准行使的权力时，应当向承包</w:t>
      </w:r>
      <w:r>
        <w:rPr>
          <w:rFonts w:ascii="宋体" w:hAnsi="宋体" w:eastAsia="宋体" w:cs="宋体"/>
          <w:spacing w:val="9"/>
          <w:sz w:val="20"/>
          <w:szCs w:val="20"/>
        </w:rPr>
        <w:t>人出示其行使该权力已经取得发包人批准的文件或者其他合法有效的证明。</w:t>
      </w:r>
    </w:p>
    <w:p w14:paraId="01DC8865">
      <w:pPr>
        <w:pStyle w:val="2"/>
        <w:spacing w:before="1" w:line="220" w:lineRule="auto"/>
        <w:ind w:left="10"/>
        <w:rPr>
          <w:sz w:val="24"/>
          <w:szCs w:val="24"/>
        </w:rPr>
      </w:pPr>
      <w:r>
        <w:rPr>
          <w:rFonts w:ascii="Times New Roman" w:hAnsi="Times New Roman" w:eastAsia="Times New Roman" w:cs="Times New Roman"/>
          <w:spacing w:val="-2"/>
          <w:sz w:val="24"/>
          <w:szCs w:val="24"/>
        </w:rPr>
        <w:t xml:space="preserve">3.3 </w:t>
      </w:r>
      <w:r>
        <w:rPr>
          <w:spacing w:val="-2"/>
          <w:sz w:val="24"/>
          <w:szCs w:val="24"/>
        </w:rPr>
        <w:t>监理人员</w:t>
      </w:r>
    </w:p>
    <w:p w14:paraId="3B2F539A">
      <w:pPr>
        <w:spacing w:before="131" w:line="352" w:lineRule="auto"/>
        <w:ind w:left="9" w:right="71" w:firstLine="423"/>
        <w:rPr>
          <w:rFonts w:ascii="宋体" w:hAnsi="宋体" w:eastAsia="宋体" w:cs="宋体"/>
          <w:sz w:val="20"/>
          <w:szCs w:val="20"/>
        </w:rPr>
      </w:pPr>
      <w:r>
        <w:rPr>
          <w:rFonts w:ascii="宋体" w:hAnsi="宋体" w:eastAsia="宋体" w:cs="宋体"/>
          <w:spacing w:val="9"/>
          <w:sz w:val="20"/>
          <w:szCs w:val="20"/>
        </w:rPr>
        <w:t>3.3.4</w:t>
      </w:r>
      <w:r>
        <w:rPr>
          <w:rFonts w:ascii="宋体" w:hAnsi="宋体" w:eastAsia="宋体" w:cs="宋体"/>
          <w:spacing w:val="-31"/>
          <w:sz w:val="20"/>
          <w:szCs w:val="20"/>
        </w:rPr>
        <w:t xml:space="preserve"> </w:t>
      </w:r>
      <w:r>
        <w:rPr>
          <w:rFonts w:ascii="宋体" w:hAnsi="宋体" w:eastAsia="宋体" w:cs="宋体"/>
          <w:spacing w:val="9"/>
          <w:sz w:val="20"/>
          <w:szCs w:val="20"/>
        </w:rPr>
        <w:t>总监理工程师不应将第</w:t>
      </w:r>
      <w:r>
        <w:rPr>
          <w:rFonts w:ascii="宋体" w:hAnsi="宋体" w:eastAsia="宋体" w:cs="宋体"/>
          <w:spacing w:val="-33"/>
          <w:sz w:val="20"/>
          <w:szCs w:val="20"/>
        </w:rPr>
        <w:t xml:space="preserve"> </w:t>
      </w:r>
      <w:r>
        <w:rPr>
          <w:rFonts w:ascii="宋体" w:hAnsi="宋体" w:eastAsia="宋体" w:cs="宋体"/>
          <w:spacing w:val="9"/>
          <w:sz w:val="20"/>
          <w:szCs w:val="20"/>
        </w:rPr>
        <w:t>3.5</w:t>
      </w:r>
      <w:r>
        <w:rPr>
          <w:rFonts w:ascii="宋体" w:hAnsi="宋体" w:eastAsia="宋体" w:cs="宋体"/>
          <w:spacing w:val="-37"/>
          <w:sz w:val="20"/>
          <w:szCs w:val="20"/>
        </w:rPr>
        <w:t xml:space="preserve"> </w:t>
      </w:r>
      <w:r>
        <w:rPr>
          <w:rFonts w:ascii="宋体" w:hAnsi="宋体" w:eastAsia="宋体" w:cs="宋体"/>
          <w:spacing w:val="9"/>
          <w:sz w:val="20"/>
          <w:szCs w:val="20"/>
        </w:rPr>
        <w:t>款约定应由总监理工程师作出确定的权力授权或者委托给</w:t>
      </w:r>
      <w:r>
        <w:rPr>
          <w:rFonts w:ascii="宋体" w:hAnsi="宋体" w:eastAsia="宋体" w:cs="宋体"/>
          <w:spacing w:val="6"/>
          <w:sz w:val="20"/>
          <w:szCs w:val="20"/>
        </w:rPr>
        <w:t>其他监理人员。</w:t>
      </w:r>
    </w:p>
    <w:p w14:paraId="5096B417">
      <w:pPr>
        <w:pStyle w:val="2"/>
        <w:spacing w:before="1" w:line="221" w:lineRule="auto"/>
        <w:ind w:left="10"/>
        <w:rPr>
          <w:sz w:val="24"/>
          <w:szCs w:val="24"/>
        </w:rPr>
      </w:pPr>
      <w:r>
        <w:rPr>
          <w:rFonts w:ascii="Times New Roman" w:hAnsi="Times New Roman" w:eastAsia="Times New Roman" w:cs="Times New Roman"/>
          <w:spacing w:val="-1"/>
          <w:sz w:val="24"/>
          <w:szCs w:val="24"/>
        </w:rPr>
        <w:t xml:space="preserve">3.4 </w:t>
      </w:r>
      <w:r>
        <w:rPr>
          <w:spacing w:val="-1"/>
          <w:sz w:val="24"/>
          <w:szCs w:val="24"/>
        </w:rPr>
        <w:t>监理人的指示</w:t>
      </w:r>
    </w:p>
    <w:p w14:paraId="1B7B653D">
      <w:pPr>
        <w:spacing w:before="129" w:line="351" w:lineRule="auto"/>
        <w:ind w:left="25" w:right="73" w:firstLine="407"/>
        <w:rPr>
          <w:rFonts w:ascii="宋体" w:hAnsi="宋体" w:eastAsia="宋体" w:cs="宋体"/>
          <w:sz w:val="20"/>
          <w:szCs w:val="20"/>
        </w:rPr>
      </w:pPr>
      <w:r>
        <w:rPr>
          <w:rFonts w:ascii="宋体" w:hAnsi="宋体" w:eastAsia="宋体" w:cs="宋体"/>
          <w:spacing w:val="9"/>
          <w:sz w:val="20"/>
          <w:szCs w:val="20"/>
        </w:rPr>
        <w:t>3.4.4</w:t>
      </w:r>
      <w:r>
        <w:rPr>
          <w:rFonts w:ascii="宋体" w:hAnsi="宋体" w:eastAsia="宋体" w:cs="宋体"/>
          <w:spacing w:val="-25"/>
          <w:sz w:val="20"/>
          <w:szCs w:val="20"/>
        </w:rPr>
        <w:t xml:space="preserve"> </w:t>
      </w:r>
      <w:r>
        <w:rPr>
          <w:rFonts w:ascii="宋体" w:hAnsi="宋体" w:eastAsia="宋体" w:cs="宋体"/>
          <w:spacing w:val="9"/>
          <w:sz w:val="20"/>
          <w:szCs w:val="20"/>
        </w:rPr>
        <w:t>除通用合同条款已有的专门约定外，承包人</w:t>
      </w:r>
      <w:r>
        <w:rPr>
          <w:rFonts w:ascii="宋体" w:hAnsi="宋体" w:eastAsia="宋体" w:cs="宋体"/>
          <w:spacing w:val="8"/>
          <w:sz w:val="20"/>
          <w:szCs w:val="20"/>
        </w:rPr>
        <w:t>只能从总监理工程师或按第</w:t>
      </w:r>
      <w:r>
        <w:rPr>
          <w:rFonts w:ascii="宋体" w:hAnsi="宋体" w:eastAsia="宋体" w:cs="宋体"/>
          <w:spacing w:val="-32"/>
          <w:sz w:val="20"/>
          <w:szCs w:val="20"/>
        </w:rPr>
        <w:t xml:space="preserve"> </w:t>
      </w:r>
      <w:r>
        <w:rPr>
          <w:rFonts w:ascii="宋体" w:hAnsi="宋体" w:eastAsia="宋体" w:cs="宋体"/>
          <w:spacing w:val="8"/>
          <w:sz w:val="20"/>
          <w:szCs w:val="20"/>
        </w:rPr>
        <w:t>3.3.1</w:t>
      </w:r>
      <w:r>
        <w:rPr>
          <w:rFonts w:ascii="宋体" w:hAnsi="宋体" w:eastAsia="宋体" w:cs="宋体"/>
          <w:spacing w:val="-35"/>
          <w:sz w:val="20"/>
          <w:szCs w:val="20"/>
        </w:rPr>
        <w:t xml:space="preserve"> </w:t>
      </w:r>
      <w:r>
        <w:rPr>
          <w:rFonts w:ascii="宋体" w:hAnsi="宋体" w:eastAsia="宋体" w:cs="宋体"/>
          <w:spacing w:val="8"/>
          <w:sz w:val="20"/>
          <w:szCs w:val="20"/>
        </w:rPr>
        <w:t>项授权</w:t>
      </w:r>
      <w:r>
        <w:rPr>
          <w:rFonts w:ascii="宋体" w:hAnsi="宋体" w:eastAsia="宋体" w:cs="宋体"/>
          <w:spacing w:val="9"/>
          <w:sz w:val="20"/>
          <w:szCs w:val="20"/>
        </w:rPr>
        <w:t>的监理人员处取得指示，发包人应当通过监理人向</w:t>
      </w:r>
      <w:r>
        <w:rPr>
          <w:rFonts w:ascii="宋体" w:hAnsi="宋体" w:eastAsia="宋体" w:cs="宋体"/>
          <w:spacing w:val="8"/>
          <w:sz w:val="20"/>
          <w:szCs w:val="20"/>
        </w:rPr>
        <w:t>承包人发出指示。</w:t>
      </w:r>
    </w:p>
    <w:p w14:paraId="6AE6315C">
      <w:pPr>
        <w:pStyle w:val="2"/>
        <w:spacing w:before="2" w:line="220" w:lineRule="auto"/>
        <w:ind w:left="10"/>
        <w:rPr>
          <w:sz w:val="24"/>
          <w:szCs w:val="24"/>
        </w:rPr>
      </w:pPr>
      <w:r>
        <w:rPr>
          <w:rFonts w:ascii="Times New Roman" w:hAnsi="Times New Roman" w:eastAsia="Times New Roman" w:cs="Times New Roman"/>
          <w:spacing w:val="-1"/>
          <w:sz w:val="24"/>
          <w:szCs w:val="24"/>
        </w:rPr>
        <w:t xml:space="preserve">3.6 </w:t>
      </w:r>
      <w:r>
        <w:rPr>
          <w:spacing w:val="-1"/>
          <w:sz w:val="24"/>
          <w:szCs w:val="24"/>
        </w:rPr>
        <w:t>监理人的宽恕</w:t>
      </w:r>
    </w:p>
    <w:p w14:paraId="1FA3BD41">
      <w:pPr>
        <w:spacing w:before="130" w:line="361" w:lineRule="auto"/>
        <w:ind w:left="10" w:right="71" w:firstLine="418"/>
        <w:jc w:val="both"/>
        <w:rPr>
          <w:rFonts w:ascii="宋体" w:hAnsi="宋体" w:eastAsia="宋体" w:cs="宋体"/>
          <w:sz w:val="20"/>
          <w:szCs w:val="20"/>
        </w:rPr>
      </w:pPr>
      <w:r>
        <w:rPr>
          <w:rFonts w:ascii="宋体" w:hAnsi="宋体" w:eastAsia="宋体" w:cs="宋体"/>
          <w:spacing w:val="10"/>
          <w:sz w:val="20"/>
          <w:szCs w:val="20"/>
        </w:rPr>
        <w:t>监理人或者发包人就承包人对合同约定的任何责任和义务的某种违</w:t>
      </w:r>
      <w:r>
        <w:rPr>
          <w:rFonts w:ascii="宋体" w:hAnsi="宋体" w:eastAsia="宋体" w:cs="宋体"/>
          <w:spacing w:val="9"/>
          <w:sz w:val="20"/>
          <w:szCs w:val="20"/>
        </w:rPr>
        <w:t>约行为的宽恕，不影响监</w:t>
      </w:r>
      <w:r>
        <w:rPr>
          <w:rFonts w:ascii="宋体" w:hAnsi="宋体" w:eastAsia="宋体" w:cs="宋体"/>
          <w:spacing w:val="10"/>
          <w:sz w:val="20"/>
          <w:szCs w:val="20"/>
        </w:rPr>
        <w:t>理人和发包人在此后的任何时间严格按合同约定处理承包人的其它违</w:t>
      </w:r>
      <w:r>
        <w:rPr>
          <w:rFonts w:ascii="宋体" w:hAnsi="宋体" w:eastAsia="宋体" w:cs="宋体"/>
          <w:spacing w:val="9"/>
          <w:sz w:val="20"/>
          <w:szCs w:val="20"/>
        </w:rPr>
        <w:t>约行为，也不意味发包人放弃合同约定的发包人与上述违约有关的任何权利和赔偿要求。</w:t>
      </w:r>
    </w:p>
    <w:p w14:paraId="115B5995">
      <w:pPr>
        <w:pStyle w:val="2"/>
        <w:spacing w:before="44" w:line="223" w:lineRule="auto"/>
        <w:ind w:left="4"/>
        <w:outlineLvl w:val="2"/>
        <w:rPr>
          <w:sz w:val="28"/>
          <w:szCs w:val="28"/>
        </w:rPr>
      </w:pPr>
      <w:bookmarkStart w:id="242" w:name="bookmark223"/>
      <w:bookmarkEnd w:id="242"/>
      <w:r>
        <w:rPr>
          <w:rFonts w:ascii="Times New Roman" w:hAnsi="Times New Roman" w:eastAsia="Times New Roman" w:cs="Times New Roman"/>
          <w:spacing w:val="-1"/>
          <w:sz w:val="28"/>
          <w:szCs w:val="28"/>
        </w:rPr>
        <w:t>4.</w:t>
      </w:r>
      <w:r>
        <w:rPr>
          <w:spacing w:val="-1"/>
          <w:sz w:val="28"/>
          <w:szCs w:val="28"/>
        </w:rPr>
        <w:t>承包人</w:t>
      </w:r>
    </w:p>
    <w:p w14:paraId="1D1FD1E7">
      <w:pPr>
        <w:pStyle w:val="2"/>
        <w:spacing w:before="98" w:line="221" w:lineRule="auto"/>
        <w:ind w:left="4"/>
        <w:rPr>
          <w:sz w:val="24"/>
          <w:szCs w:val="24"/>
        </w:rPr>
      </w:pPr>
      <w:r>
        <w:rPr>
          <w:rFonts w:ascii="Times New Roman" w:hAnsi="Times New Roman" w:eastAsia="Times New Roman" w:cs="Times New Roman"/>
          <w:spacing w:val="-1"/>
          <w:sz w:val="24"/>
          <w:szCs w:val="24"/>
        </w:rPr>
        <w:t xml:space="preserve">4.1 </w:t>
      </w:r>
      <w:r>
        <w:rPr>
          <w:spacing w:val="-1"/>
          <w:sz w:val="24"/>
          <w:szCs w:val="24"/>
        </w:rPr>
        <w:t>承包人的一般义务</w:t>
      </w:r>
    </w:p>
    <w:p w14:paraId="26CE16EE">
      <w:pPr>
        <w:spacing w:before="129" w:line="360" w:lineRule="auto"/>
        <w:ind w:left="10" w:firstLine="417"/>
        <w:rPr>
          <w:rFonts w:ascii="宋体" w:hAnsi="宋体" w:eastAsia="宋体" w:cs="宋体"/>
          <w:sz w:val="20"/>
          <w:szCs w:val="20"/>
        </w:rPr>
      </w:pPr>
      <w:r>
        <w:rPr>
          <w:rFonts w:ascii="宋体" w:hAnsi="宋体" w:eastAsia="宋体" w:cs="宋体"/>
          <w:spacing w:val="8"/>
          <w:sz w:val="20"/>
          <w:szCs w:val="20"/>
        </w:rPr>
        <w:t>4.1.3</w:t>
      </w:r>
      <w:r>
        <w:rPr>
          <w:rFonts w:ascii="宋体" w:hAnsi="宋体" w:eastAsia="宋体" w:cs="宋体"/>
          <w:spacing w:val="-19"/>
          <w:sz w:val="20"/>
          <w:szCs w:val="20"/>
        </w:rPr>
        <w:t xml:space="preserve"> </w:t>
      </w:r>
      <w:r>
        <w:rPr>
          <w:rFonts w:ascii="宋体" w:hAnsi="宋体" w:eastAsia="宋体" w:cs="宋体"/>
          <w:spacing w:val="8"/>
          <w:sz w:val="20"/>
          <w:szCs w:val="20"/>
        </w:rPr>
        <w:t>除专用合同条款第</w:t>
      </w:r>
      <w:r>
        <w:rPr>
          <w:rFonts w:ascii="宋体" w:hAnsi="宋体" w:eastAsia="宋体" w:cs="宋体"/>
          <w:spacing w:val="-32"/>
          <w:sz w:val="20"/>
          <w:szCs w:val="20"/>
        </w:rPr>
        <w:t xml:space="preserve"> </w:t>
      </w:r>
      <w:r>
        <w:rPr>
          <w:rFonts w:ascii="宋体" w:hAnsi="宋体" w:eastAsia="宋体" w:cs="宋体"/>
          <w:spacing w:val="8"/>
          <w:sz w:val="20"/>
          <w:szCs w:val="20"/>
        </w:rPr>
        <w:t>5.2</w:t>
      </w:r>
      <w:r>
        <w:rPr>
          <w:rFonts w:ascii="宋体" w:hAnsi="宋体" w:eastAsia="宋体" w:cs="宋体"/>
          <w:spacing w:val="-38"/>
          <w:sz w:val="20"/>
          <w:szCs w:val="20"/>
        </w:rPr>
        <w:t xml:space="preserve"> </w:t>
      </w:r>
      <w:r>
        <w:rPr>
          <w:rFonts w:ascii="宋体" w:hAnsi="宋体" w:eastAsia="宋体" w:cs="宋体"/>
          <w:spacing w:val="8"/>
          <w:sz w:val="20"/>
          <w:szCs w:val="20"/>
        </w:rPr>
        <w:t>款约定由发包人提供的材料和工程设备和第</w:t>
      </w:r>
      <w:r>
        <w:rPr>
          <w:rFonts w:ascii="宋体" w:hAnsi="宋体" w:eastAsia="宋体" w:cs="宋体"/>
          <w:spacing w:val="-35"/>
          <w:sz w:val="20"/>
          <w:szCs w:val="20"/>
        </w:rPr>
        <w:t xml:space="preserve"> </w:t>
      </w:r>
      <w:r>
        <w:rPr>
          <w:rFonts w:ascii="宋体" w:hAnsi="宋体" w:eastAsia="宋体" w:cs="宋体"/>
          <w:spacing w:val="8"/>
          <w:sz w:val="20"/>
          <w:szCs w:val="20"/>
        </w:rPr>
        <w:t>6.2</w:t>
      </w:r>
      <w:r>
        <w:rPr>
          <w:rFonts w:ascii="宋体" w:hAnsi="宋体" w:eastAsia="宋体" w:cs="宋体"/>
          <w:spacing w:val="-37"/>
          <w:sz w:val="20"/>
          <w:szCs w:val="20"/>
        </w:rPr>
        <w:t xml:space="preserve"> </w:t>
      </w:r>
      <w:r>
        <w:rPr>
          <w:rFonts w:ascii="宋体" w:hAnsi="宋体" w:eastAsia="宋体" w:cs="宋体"/>
          <w:spacing w:val="8"/>
          <w:sz w:val="20"/>
          <w:szCs w:val="20"/>
        </w:rPr>
        <w:t>款约定由发包</w:t>
      </w:r>
      <w:r>
        <w:rPr>
          <w:rFonts w:ascii="宋体" w:hAnsi="宋体" w:eastAsia="宋体" w:cs="宋体"/>
          <w:spacing w:val="10"/>
          <w:sz w:val="20"/>
          <w:szCs w:val="20"/>
        </w:rPr>
        <w:t>人提供的施工设备和临时设施外，承包人应负责提供为完成合同工作所</w:t>
      </w:r>
      <w:r>
        <w:rPr>
          <w:rFonts w:ascii="宋体" w:hAnsi="宋体" w:eastAsia="宋体" w:cs="宋体"/>
          <w:spacing w:val="9"/>
          <w:sz w:val="20"/>
          <w:szCs w:val="20"/>
        </w:rPr>
        <w:t>需的劳务、材料、施工设</w:t>
      </w:r>
      <w:r>
        <w:rPr>
          <w:rFonts w:ascii="宋体" w:hAnsi="宋体" w:eastAsia="宋体" w:cs="宋体"/>
          <w:spacing w:val="7"/>
          <w:sz w:val="20"/>
          <w:szCs w:val="20"/>
        </w:rPr>
        <w:t>备、工程设备和其他物品，并按合同约定负责临时</w:t>
      </w:r>
      <w:r>
        <w:rPr>
          <w:rFonts w:ascii="宋体" w:hAnsi="宋体" w:eastAsia="宋体" w:cs="宋体"/>
          <w:spacing w:val="6"/>
          <w:sz w:val="20"/>
          <w:szCs w:val="20"/>
        </w:rPr>
        <w:t>设施的设计、建造、运行、维护、管理和拆除。</w:t>
      </w:r>
    </w:p>
    <w:p w14:paraId="797B43DF">
      <w:pPr>
        <w:spacing w:before="1" w:line="226" w:lineRule="auto"/>
        <w:ind w:left="427"/>
        <w:rPr>
          <w:rFonts w:ascii="宋体" w:hAnsi="宋体" w:eastAsia="宋体" w:cs="宋体"/>
          <w:sz w:val="20"/>
          <w:szCs w:val="20"/>
        </w:rPr>
      </w:pPr>
      <w:r>
        <w:rPr>
          <w:rFonts w:ascii="宋体" w:hAnsi="宋体" w:eastAsia="宋体" w:cs="宋体"/>
          <w:b/>
          <w:bCs/>
          <w:spacing w:val="4"/>
          <w:sz w:val="20"/>
          <w:szCs w:val="20"/>
        </w:rPr>
        <w:t>4.1.8</w:t>
      </w:r>
      <w:r>
        <w:rPr>
          <w:rFonts w:ascii="宋体" w:hAnsi="宋体" w:eastAsia="宋体" w:cs="宋体"/>
          <w:spacing w:val="-27"/>
          <w:sz w:val="20"/>
          <w:szCs w:val="20"/>
        </w:rPr>
        <w:t xml:space="preserve"> </w:t>
      </w:r>
      <w:r>
        <w:rPr>
          <w:rFonts w:ascii="宋体" w:hAnsi="宋体" w:eastAsia="宋体" w:cs="宋体"/>
          <w:b/>
          <w:bCs/>
          <w:spacing w:val="4"/>
          <w:sz w:val="20"/>
          <w:szCs w:val="20"/>
        </w:rPr>
        <w:t>为他人提供方便</w:t>
      </w:r>
    </w:p>
    <w:p w14:paraId="4FC5BC52">
      <w:pPr>
        <w:spacing w:before="147" w:line="360" w:lineRule="auto"/>
        <w:ind w:left="9" w:right="70" w:firstLine="429"/>
        <w:jc w:val="both"/>
        <w:rPr>
          <w:rFonts w:ascii="宋体" w:hAnsi="宋体" w:eastAsia="宋体" w:cs="宋体"/>
          <w:sz w:val="20"/>
          <w:szCs w:val="20"/>
        </w:rPr>
      </w:pPr>
      <w:r>
        <w:rPr>
          <w:rFonts w:ascii="宋体" w:hAnsi="宋体" w:eastAsia="宋体" w:cs="宋体"/>
          <w:spacing w:val="7"/>
          <w:sz w:val="20"/>
          <w:szCs w:val="20"/>
        </w:rPr>
        <w:t>（1）承包人应当对在施工场地或者附近实施与合同工程有关的其他工作</w:t>
      </w:r>
      <w:r>
        <w:rPr>
          <w:rFonts w:ascii="宋体" w:hAnsi="宋体" w:eastAsia="宋体" w:cs="宋体"/>
          <w:spacing w:val="6"/>
          <w:sz w:val="20"/>
          <w:szCs w:val="20"/>
        </w:rPr>
        <w:t>的独立承包人履行管</w:t>
      </w:r>
      <w:r>
        <w:rPr>
          <w:rFonts w:ascii="宋体" w:hAnsi="宋体" w:eastAsia="宋体" w:cs="宋体"/>
          <w:spacing w:val="10"/>
          <w:sz w:val="20"/>
          <w:szCs w:val="20"/>
        </w:rPr>
        <w:t>理、协调、配合、照管和服务义务，由此发生的费用被认为已经包括在承</w:t>
      </w:r>
      <w:r>
        <w:rPr>
          <w:rFonts w:ascii="宋体" w:hAnsi="宋体" w:eastAsia="宋体" w:cs="宋体"/>
          <w:spacing w:val="9"/>
          <w:sz w:val="20"/>
          <w:szCs w:val="20"/>
        </w:rPr>
        <w:t>包人的签约合同价（投标总报价）中，具体工作内容和要求包括：</w:t>
      </w:r>
      <w:r>
        <w:rPr>
          <w:rFonts w:ascii="宋体" w:hAnsi="宋体" w:eastAsia="宋体" w:cs="宋体"/>
          <w:sz w:val="20"/>
          <w:szCs w:val="20"/>
          <w:u w:val="single" w:color="auto"/>
        </w:rPr>
        <w:t xml:space="preserve">                                       </w:t>
      </w:r>
    </w:p>
    <w:p w14:paraId="65778006">
      <w:pPr>
        <w:tabs>
          <w:tab w:val="left" w:pos="8187"/>
        </w:tabs>
        <w:spacing w:before="13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AB08797">
      <w:pPr>
        <w:spacing w:before="191" w:line="360" w:lineRule="auto"/>
        <w:ind w:left="9" w:right="73" w:firstLine="429"/>
        <w:rPr>
          <w:rFonts w:ascii="宋体" w:hAnsi="宋体" w:eastAsia="宋体" w:cs="宋体"/>
          <w:sz w:val="20"/>
          <w:szCs w:val="20"/>
        </w:rPr>
      </w:pPr>
      <w:r>
        <w:rPr>
          <w:rFonts w:ascii="宋体" w:hAnsi="宋体" w:eastAsia="宋体" w:cs="宋体"/>
          <w:spacing w:val="7"/>
          <w:sz w:val="20"/>
          <w:szCs w:val="20"/>
        </w:rPr>
        <w:t>（2）承包人还应按监理人指示为独立承包人以外的他人在施工场地或者</w:t>
      </w:r>
      <w:r>
        <w:rPr>
          <w:rFonts w:ascii="宋体" w:hAnsi="宋体" w:eastAsia="宋体" w:cs="宋体"/>
          <w:spacing w:val="6"/>
          <w:sz w:val="20"/>
          <w:szCs w:val="20"/>
        </w:rPr>
        <w:t>附近实施与合同工程</w:t>
      </w:r>
      <w:r>
        <w:rPr>
          <w:rFonts w:ascii="宋体" w:hAnsi="宋体" w:eastAsia="宋体" w:cs="宋体"/>
          <w:spacing w:val="8"/>
          <w:sz w:val="20"/>
          <w:szCs w:val="20"/>
        </w:rPr>
        <w:t>有关的其他工作提供可能的条件，可能发生费用由监理人按第</w:t>
      </w:r>
      <w:r>
        <w:rPr>
          <w:rFonts w:ascii="宋体" w:hAnsi="宋体" w:eastAsia="宋体" w:cs="宋体"/>
          <w:spacing w:val="-17"/>
          <w:sz w:val="20"/>
          <w:szCs w:val="20"/>
        </w:rPr>
        <w:t xml:space="preserve"> </w:t>
      </w:r>
      <w:r>
        <w:rPr>
          <w:rFonts w:ascii="宋体" w:hAnsi="宋体" w:eastAsia="宋体" w:cs="宋体"/>
          <w:spacing w:val="8"/>
          <w:sz w:val="20"/>
          <w:szCs w:val="20"/>
        </w:rPr>
        <w:t>3.5</w:t>
      </w:r>
      <w:r>
        <w:rPr>
          <w:rFonts w:ascii="宋体" w:hAnsi="宋体" w:eastAsia="宋体" w:cs="宋体"/>
          <w:spacing w:val="-40"/>
          <w:sz w:val="20"/>
          <w:szCs w:val="20"/>
        </w:rPr>
        <w:t xml:space="preserve"> </w:t>
      </w:r>
      <w:r>
        <w:rPr>
          <w:rFonts w:ascii="宋体" w:hAnsi="宋体" w:eastAsia="宋体" w:cs="宋体"/>
          <w:spacing w:val="8"/>
          <w:sz w:val="20"/>
          <w:szCs w:val="20"/>
        </w:rPr>
        <w:t>款商定或者确定。</w:t>
      </w:r>
    </w:p>
    <w:p w14:paraId="0CF95BCE">
      <w:pPr>
        <w:spacing w:line="360" w:lineRule="auto"/>
        <w:rPr>
          <w:rFonts w:ascii="宋体" w:hAnsi="宋体" w:eastAsia="宋体" w:cs="宋体"/>
          <w:sz w:val="20"/>
          <w:szCs w:val="20"/>
        </w:rPr>
        <w:sectPr>
          <w:footerReference r:id="rId202" w:type="default"/>
          <w:pgSz w:w="11906" w:h="16839"/>
          <w:pgMar w:top="400" w:right="1483" w:bottom="1038" w:left="1531" w:header="0" w:footer="785" w:gutter="0"/>
          <w:cols w:space="720" w:num="1"/>
        </w:sectPr>
      </w:pPr>
    </w:p>
    <w:p w14:paraId="6F529D18">
      <w:pPr>
        <w:spacing w:line="269" w:lineRule="auto"/>
        <w:rPr>
          <w:rFonts w:ascii="Arial"/>
          <w:sz w:val="21"/>
        </w:rPr>
      </w:pPr>
    </w:p>
    <w:p w14:paraId="0D6CD51E">
      <w:pPr>
        <w:spacing w:line="269" w:lineRule="auto"/>
        <w:rPr>
          <w:rFonts w:ascii="Arial"/>
          <w:sz w:val="21"/>
        </w:rPr>
      </w:pPr>
    </w:p>
    <w:p w14:paraId="7822EE8D">
      <w:pPr>
        <w:spacing w:line="269" w:lineRule="auto"/>
        <w:rPr>
          <w:rFonts w:ascii="Arial"/>
          <w:sz w:val="21"/>
        </w:rPr>
      </w:pPr>
    </w:p>
    <w:p w14:paraId="3454C987">
      <w:pPr>
        <w:spacing w:line="270" w:lineRule="auto"/>
        <w:rPr>
          <w:rFonts w:ascii="Arial"/>
          <w:sz w:val="21"/>
        </w:rPr>
      </w:pPr>
    </w:p>
    <w:p w14:paraId="33DD0A25">
      <w:pPr>
        <w:spacing w:before="65" w:line="228" w:lineRule="auto"/>
        <w:ind w:left="427"/>
        <w:rPr>
          <w:rFonts w:ascii="宋体" w:hAnsi="宋体" w:eastAsia="宋体" w:cs="宋体"/>
          <w:sz w:val="20"/>
          <w:szCs w:val="20"/>
        </w:rPr>
      </w:pPr>
      <w:r>
        <w:rPr>
          <w:rFonts w:ascii="宋体" w:hAnsi="宋体" w:eastAsia="宋体" w:cs="宋体"/>
          <w:b/>
          <w:bCs/>
          <w:spacing w:val="4"/>
          <w:sz w:val="20"/>
          <w:szCs w:val="20"/>
        </w:rPr>
        <w:t>4.1.10</w:t>
      </w:r>
      <w:r>
        <w:rPr>
          <w:rFonts w:ascii="宋体" w:hAnsi="宋体" w:eastAsia="宋体" w:cs="宋体"/>
          <w:spacing w:val="-40"/>
          <w:sz w:val="20"/>
          <w:szCs w:val="20"/>
        </w:rPr>
        <w:t xml:space="preserve"> </w:t>
      </w:r>
      <w:r>
        <w:rPr>
          <w:rFonts w:ascii="宋体" w:hAnsi="宋体" w:eastAsia="宋体" w:cs="宋体"/>
          <w:b/>
          <w:bCs/>
          <w:spacing w:val="4"/>
          <w:sz w:val="20"/>
          <w:szCs w:val="20"/>
        </w:rPr>
        <w:t>其他义务</w:t>
      </w:r>
    </w:p>
    <w:p w14:paraId="1CD49664">
      <w:pPr>
        <w:spacing w:before="142" w:line="361" w:lineRule="auto"/>
        <w:ind w:left="9" w:firstLine="429"/>
        <w:jc w:val="both"/>
        <w:rPr>
          <w:rFonts w:ascii="宋体" w:hAnsi="宋体" w:eastAsia="宋体" w:cs="宋体"/>
          <w:sz w:val="20"/>
          <w:szCs w:val="20"/>
        </w:rPr>
      </w:pPr>
      <w:r>
        <w:rPr>
          <w:rFonts w:ascii="宋体" w:hAnsi="宋体" w:eastAsia="宋体" w:cs="宋体"/>
          <w:spacing w:val="7"/>
          <w:sz w:val="20"/>
          <w:szCs w:val="20"/>
        </w:rPr>
        <w:t>（1）根据发包人委托，在其设计资质等级和业务允许的范围内，完成施</w:t>
      </w:r>
      <w:r>
        <w:rPr>
          <w:rFonts w:ascii="宋体" w:hAnsi="宋体" w:eastAsia="宋体" w:cs="宋体"/>
          <w:spacing w:val="6"/>
          <w:sz w:val="20"/>
          <w:szCs w:val="20"/>
        </w:rPr>
        <w:t>工图设计或与工程配</w:t>
      </w:r>
      <w:r>
        <w:rPr>
          <w:rFonts w:ascii="宋体" w:hAnsi="宋体" w:eastAsia="宋体" w:cs="宋体"/>
          <w:spacing w:val="9"/>
          <w:sz w:val="20"/>
          <w:szCs w:val="20"/>
        </w:rPr>
        <w:t>套的设计，经监理人确认后使用，发包人承担由此发生的费用和合理利润</w:t>
      </w:r>
      <w:r>
        <w:rPr>
          <w:rFonts w:ascii="宋体" w:hAnsi="宋体" w:eastAsia="宋体" w:cs="宋体"/>
          <w:spacing w:val="8"/>
          <w:sz w:val="20"/>
          <w:szCs w:val="20"/>
        </w:rPr>
        <w:t>。</w:t>
      </w:r>
      <w:r>
        <w:rPr>
          <w:rFonts w:ascii="宋体" w:hAnsi="宋体" w:eastAsia="宋体" w:cs="宋体"/>
          <w:spacing w:val="-59"/>
          <w:sz w:val="20"/>
          <w:szCs w:val="20"/>
        </w:rPr>
        <w:t xml:space="preserve"> </w:t>
      </w:r>
      <w:r>
        <w:rPr>
          <w:rFonts w:ascii="宋体" w:hAnsi="宋体" w:eastAsia="宋体" w:cs="宋体"/>
          <w:spacing w:val="8"/>
          <w:sz w:val="20"/>
          <w:szCs w:val="20"/>
        </w:rPr>
        <w:t>由承包人负责完成的设计文件属于合同条款第1.6.2</w:t>
      </w:r>
      <w:r>
        <w:rPr>
          <w:rFonts w:ascii="宋体" w:hAnsi="宋体" w:eastAsia="宋体" w:cs="宋体"/>
          <w:spacing w:val="-54"/>
          <w:sz w:val="20"/>
          <w:szCs w:val="20"/>
        </w:rPr>
        <w:t xml:space="preserve"> </w:t>
      </w:r>
      <w:r>
        <w:rPr>
          <w:rFonts w:ascii="宋体" w:hAnsi="宋体" w:eastAsia="宋体" w:cs="宋体"/>
          <w:spacing w:val="8"/>
          <w:sz w:val="20"/>
          <w:szCs w:val="20"/>
        </w:rPr>
        <w:t>项约定的承包人提供的文件，承包人应</w:t>
      </w:r>
      <w:r>
        <w:rPr>
          <w:rFonts w:ascii="宋体" w:hAnsi="宋体" w:eastAsia="宋体" w:cs="宋体"/>
          <w:spacing w:val="7"/>
          <w:sz w:val="20"/>
          <w:szCs w:val="20"/>
        </w:rPr>
        <w:t>按照专用合同条款第1.6.2项约定的期限和数量提交，由此发生的费用被认为已经包括在承包人的签约合同价（投标</w:t>
      </w:r>
      <w:r>
        <w:rPr>
          <w:rFonts w:ascii="宋体" w:hAnsi="宋体" w:eastAsia="宋体" w:cs="宋体"/>
          <w:spacing w:val="6"/>
          <w:sz w:val="20"/>
          <w:szCs w:val="20"/>
        </w:rPr>
        <w:t>总报价）</w:t>
      </w:r>
      <w:r>
        <w:rPr>
          <w:rFonts w:ascii="宋体" w:hAnsi="宋体" w:eastAsia="宋体" w:cs="宋体"/>
          <w:spacing w:val="8"/>
          <w:sz w:val="20"/>
          <w:szCs w:val="20"/>
        </w:rPr>
        <w:t>中。</w:t>
      </w:r>
      <w:r>
        <w:rPr>
          <w:rFonts w:ascii="宋体" w:hAnsi="宋体" w:eastAsia="宋体" w:cs="宋体"/>
          <w:spacing w:val="-55"/>
          <w:sz w:val="20"/>
          <w:szCs w:val="20"/>
        </w:rPr>
        <w:t xml:space="preserve"> </w:t>
      </w:r>
      <w:r>
        <w:rPr>
          <w:rFonts w:ascii="宋体" w:hAnsi="宋体" w:eastAsia="宋体" w:cs="宋体"/>
          <w:spacing w:val="8"/>
          <w:sz w:val="20"/>
          <w:szCs w:val="20"/>
        </w:rPr>
        <w:t>由承包人承担的施工图设计或与工程配套的设计工作内容：</w:t>
      </w:r>
      <w:r>
        <w:rPr>
          <w:rFonts w:ascii="宋体" w:hAnsi="宋体" w:eastAsia="宋体" w:cs="宋体"/>
          <w:sz w:val="20"/>
          <w:szCs w:val="20"/>
          <w:u w:val="single" w:color="auto"/>
        </w:rPr>
        <w:t xml:space="preserve">         </w:t>
      </w:r>
    </w:p>
    <w:p w14:paraId="25E9E7B0">
      <w:pPr>
        <w:tabs>
          <w:tab w:val="left" w:pos="8187"/>
        </w:tabs>
        <w:spacing w:before="130"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9D3C2D1">
      <w:pPr>
        <w:spacing w:before="190" w:line="228" w:lineRule="auto"/>
        <w:ind w:left="438"/>
        <w:rPr>
          <w:rFonts w:ascii="宋体" w:hAnsi="宋体" w:eastAsia="宋体" w:cs="宋体"/>
          <w:sz w:val="20"/>
          <w:szCs w:val="20"/>
        </w:rPr>
      </w:pPr>
      <w:r>
        <w:rPr>
          <w:rFonts w:ascii="宋体" w:hAnsi="宋体" w:eastAsia="宋体" w:cs="宋体"/>
          <w:spacing w:val="9"/>
          <w:sz w:val="20"/>
          <w:szCs w:val="20"/>
        </w:rPr>
        <w:t>（2）承包人应履行合同约定的其他义务以及下述义务：</w:t>
      </w:r>
      <w:r>
        <w:rPr>
          <w:rFonts w:ascii="宋体" w:hAnsi="宋体" w:eastAsia="宋体" w:cs="宋体"/>
          <w:sz w:val="20"/>
          <w:szCs w:val="20"/>
          <w:u w:val="single" w:color="auto"/>
        </w:rPr>
        <w:t xml:space="preserve">                              </w:t>
      </w:r>
    </w:p>
    <w:p w14:paraId="598D53B0">
      <w:pPr>
        <w:spacing w:before="277" w:line="45" w:lineRule="exact"/>
        <w:ind w:left="8217"/>
        <w:rPr>
          <w:rFonts w:ascii="宋体" w:hAnsi="宋体" w:eastAsia="宋体" w:cs="宋体"/>
          <w:sz w:val="20"/>
          <w:szCs w:val="20"/>
        </w:rPr>
      </w:pPr>
      <w:r>
        <w:pict>
          <v:shape id="_x0000_s1031" o:spid="_x0000_s1031" o:spt="202" type="#_x0000_t202" style="position:absolute;left:0pt;margin-left:-1pt;margin-top:6.45pt;height:34.75pt;width:411.5pt;z-index:251672576;mso-width-relative:page;mso-height-relative:page;" filled="f" stroked="f" coordsize="21600,21600">
            <v:path/>
            <v:fill on="f" focussize="0,0"/>
            <v:stroke on="f"/>
            <v:imagedata o:title=""/>
            <o:lock v:ext="edit" aspectratio="f"/>
            <v:textbox inset="0mm,0mm,0mm,0mm">
              <w:txbxContent>
                <w:p w14:paraId="06ECD20D">
                  <w:pPr>
                    <w:tabs>
                      <w:tab w:val="left" w:pos="8207"/>
                    </w:tabs>
                    <w:spacing w:before="20"/>
                    <w:ind w:left="20"/>
                    <w:rPr>
                      <w:rFonts w:ascii="Arial"/>
                      <w:sz w:val="21"/>
                    </w:rPr>
                  </w:pPr>
                  <w:r>
                    <w:rPr>
                      <w:rFonts w:ascii="Arial" w:hAnsi="Arial" w:eastAsia="Arial" w:cs="Arial"/>
                      <w:sz w:val="21"/>
                      <w:szCs w:val="21"/>
                      <w:u w:val="single" w:color="auto"/>
                    </w:rPr>
                    <w:tab/>
                  </w:r>
                </w:p>
                <w:p w14:paraId="783FCF77">
                  <w:pPr>
                    <w:pStyle w:val="2"/>
                    <w:spacing w:before="124" w:line="222" w:lineRule="auto"/>
                    <w:ind w:left="24"/>
                    <w:rPr>
                      <w:sz w:val="24"/>
                      <w:szCs w:val="24"/>
                    </w:rPr>
                  </w:pPr>
                  <w:r>
                    <w:rPr>
                      <w:rFonts w:ascii="Times New Roman" w:hAnsi="Times New Roman" w:eastAsia="Times New Roman" w:cs="Times New Roman"/>
                      <w:spacing w:val="-1"/>
                      <w:sz w:val="24"/>
                      <w:szCs w:val="24"/>
                    </w:rPr>
                    <w:t xml:space="preserve">4.2 </w:t>
                  </w:r>
                  <w:r>
                    <w:rPr>
                      <w:spacing w:val="-1"/>
                      <w:sz w:val="24"/>
                      <w:szCs w:val="24"/>
                    </w:rPr>
                    <w:t>履约担保</w:t>
                  </w:r>
                </w:p>
              </w:txbxContent>
            </v:textbox>
          </v:shape>
        </w:pict>
      </w:r>
      <w:r>
        <w:rPr>
          <w:rFonts w:ascii="宋体" w:hAnsi="宋体" w:eastAsia="宋体" w:cs="宋体"/>
          <w:position w:val="-1"/>
          <w:sz w:val="20"/>
          <w:szCs w:val="20"/>
        </w:rPr>
        <w:t>。</w:t>
      </w:r>
    </w:p>
    <w:p w14:paraId="406406B4">
      <w:pPr>
        <w:spacing w:line="271" w:lineRule="auto"/>
        <w:rPr>
          <w:rFonts w:ascii="Arial"/>
          <w:sz w:val="21"/>
        </w:rPr>
      </w:pPr>
    </w:p>
    <w:p w14:paraId="2DB8F3E9">
      <w:pPr>
        <w:spacing w:line="272" w:lineRule="auto"/>
        <w:rPr>
          <w:rFonts w:ascii="Arial"/>
          <w:sz w:val="21"/>
        </w:rPr>
      </w:pPr>
    </w:p>
    <w:p w14:paraId="0C423B42">
      <w:pPr>
        <w:spacing w:before="65" w:line="228" w:lineRule="auto"/>
        <w:ind w:left="427"/>
        <w:rPr>
          <w:rFonts w:ascii="宋体" w:hAnsi="宋体" w:eastAsia="宋体" w:cs="宋体"/>
          <w:sz w:val="20"/>
          <w:szCs w:val="20"/>
        </w:rPr>
      </w:pPr>
      <w:r>
        <w:rPr>
          <w:rFonts w:ascii="宋体" w:hAnsi="宋体" w:eastAsia="宋体" w:cs="宋体"/>
          <w:b/>
          <w:bCs/>
          <w:spacing w:val="5"/>
          <w:sz w:val="20"/>
          <w:szCs w:val="20"/>
        </w:rPr>
        <w:t>4.2.1</w:t>
      </w:r>
      <w:r>
        <w:rPr>
          <w:rFonts w:ascii="宋体" w:hAnsi="宋体" w:eastAsia="宋体" w:cs="宋体"/>
          <w:spacing w:val="-27"/>
          <w:sz w:val="20"/>
          <w:szCs w:val="20"/>
        </w:rPr>
        <w:t xml:space="preserve"> </w:t>
      </w:r>
      <w:r>
        <w:rPr>
          <w:rFonts w:ascii="宋体" w:hAnsi="宋体" w:eastAsia="宋体" w:cs="宋体"/>
          <w:b/>
          <w:bCs/>
          <w:spacing w:val="5"/>
          <w:sz w:val="20"/>
          <w:szCs w:val="20"/>
        </w:rPr>
        <w:t>履约担保的格式和金额</w:t>
      </w:r>
    </w:p>
    <w:p w14:paraId="6C8519FA">
      <w:pPr>
        <w:spacing w:before="142" w:line="360" w:lineRule="auto"/>
        <w:ind w:left="10" w:right="87" w:firstLine="417"/>
        <w:jc w:val="both"/>
        <w:rPr>
          <w:rFonts w:ascii="宋体" w:hAnsi="宋体" w:eastAsia="宋体" w:cs="宋体"/>
          <w:sz w:val="20"/>
          <w:szCs w:val="20"/>
        </w:rPr>
      </w:pPr>
      <w:r>
        <w:rPr>
          <w:rFonts w:ascii="宋体" w:hAnsi="宋体" w:eastAsia="宋体" w:cs="宋体"/>
          <w:spacing w:val="10"/>
          <w:sz w:val="20"/>
          <w:szCs w:val="20"/>
        </w:rPr>
        <w:t>承包人应在签订合同前，按照发包人在招标文件中规定的格式或者其</w:t>
      </w:r>
      <w:r>
        <w:rPr>
          <w:rFonts w:ascii="宋体" w:hAnsi="宋体" w:eastAsia="宋体" w:cs="宋体"/>
          <w:spacing w:val="9"/>
          <w:sz w:val="20"/>
          <w:szCs w:val="20"/>
        </w:rPr>
        <w:t>他经过发包人认可的格</w:t>
      </w:r>
      <w:r>
        <w:rPr>
          <w:rFonts w:ascii="宋体" w:hAnsi="宋体" w:eastAsia="宋体" w:cs="宋体"/>
          <w:spacing w:val="10"/>
          <w:sz w:val="20"/>
          <w:szCs w:val="20"/>
        </w:rPr>
        <w:t>式向发包人递交一份履约担保。经过发包人事先书面认可的其他格式</w:t>
      </w:r>
      <w:r>
        <w:rPr>
          <w:rFonts w:ascii="宋体" w:hAnsi="宋体" w:eastAsia="宋体" w:cs="宋体"/>
          <w:spacing w:val="9"/>
          <w:sz w:val="20"/>
          <w:szCs w:val="20"/>
        </w:rPr>
        <w:t>的履约担保，其担保条款的</w:t>
      </w:r>
      <w:r>
        <w:rPr>
          <w:rFonts w:ascii="宋体" w:hAnsi="宋体" w:eastAsia="宋体" w:cs="宋体"/>
          <w:spacing w:val="41"/>
          <w:sz w:val="20"/>
          <w:szCs w:val="20"/>
        </w:rPr>
        <w:t>实质性内容应当与发包人在招标文件中规定的格式内容保持一致</w:t>
      </w:r>
      <w:r>
        <w:rPr>
          <w:rFonts w:ascii="宋体" w:hAnsi="宋体" w:eastAsia="宋体" w:cs="宋体"/>
          <w:spacing w:val="-24"/>
          <w:sz w:val="20"/>
          <w:szCs w:val="20"/>
        </w:rPr>
        <w:t xml:space="preserve"> </w:t>
      </w:r>
      <w:r>
        <w:rPr>
          <w:rFonts w:ascii="宋体" w:hAnsi="宋体" w:eastAsia="宋体" w:cs="宋体"/>
          <w:spacing w:val="41"/>
          <w:sz w:val="20"/>
          <w:szCs w:val="20"/>
        </w:rPr>
        <w:t>。</w:t>
      </w:r>
      <w:r>
        <w:rPr>
          <w:rFonts w:ascii="宋体" w:hAnsi="宋体" w:eastAsia="宋体" w:cs="宋体"/>
          <w:spacing w:val="-44"/>
          <w:sz w:val="20"/>
          <w:szCs w:val="20"/>
        </w:rPr>
        <w:t xml:space="preserve"> </w:t>
      </w:r>
      <w:r>
        <w:rPr>
          <w:rFonts w:ascii="宋体" w:hAnsi="宋体" w:eastAsia="宋体" w:cs="宋体"/>
          <w:spacing w:val="41"/>
          <w:sz w:val="20"/>
          <w:szCs w:val="20"/>
        </w:rPr>
        <w:t>履约担保的金额</w:t>
      </w:r>
      <w:r>
        <w:rPr>
          <w:rFonts w:ascii="宋体" w:hAnsi="宋体" w:eastAsia="宋体" w:cs="宋体"/>
          <w:spacing w:val="5"/>
          <w:sz w:val="20"/>
          <w:szCs w:val="20"/>
        </w:rPr>
        <w:t>为</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5"/>
          <w:sz w:val="20"/>
          <w:szCs w:val="20"/>
        </w:rPr>
        <w:t>。履约担保是本合同的附件。</w:t>
      </w:r>
    </w:p>
    <w:p w14:paraId="23074056">
      <w:pPr>
        <w:spacing w:line="228" w:lineRule="auto"/>
        <w:ind w:left="427"/>
        <w:rPr>
          <w:rFonts w:ascii="宋体" w:hAnsi="宋体" w:eastAsia="宋体" w:cs="宋体"/>
          <w:sz w:val="20"/>
          <w:szCs w:val="20"/>
        </w:rPr>
      </w:pPr>
      <w:r>
        <w:rPr>
          <w:rFonts w:ascii="宋体" w:hAnsi="宋体" w:eastAsia="宋体" w:cs="宋体"/>
          <w:b/>
          <w:bCs/>
          <w:spacing w:val="5"/>
          <w:sz w:val="20"/>
          <w:szCs w:val="20"/>
        </w:rPr>
        <w:t>4.2.2</w:t>
      </w:r>
      <w:r>
        <w:rPr>
          <w:rFonts w:ascii="宋体" w:hAnsi="宋体" w:eastAsia="宋体" w:cs="宋体"/>
          <w:spacing w:val="-35"/>
          <w:sz w:val="20"/>
          <w:szCs w:val="20"/>
        </w:rPr>
        <w:t xml:space="preserve"> </w:t>
      </w:r>
      <w:r>
        <w:rPr>
          <w:rFonts w:ascii="宋体" w:hAnsi="宋体" w:eastAsia="宋体" w:cs="宋体"/>
          <w:b/>
          <w:bCs/>
          <w:spacing w:val="5"/>
          <w:sz w:val="20"/>
          <w:szCs w:val="20"/>
        </w:rPr>
        <w:t>履约担保的有效期</w:t>
      </w:r>
    </w:p>
    <w:p w14:paraId="31CB181C">
      <w:pPr>
        <w:spacing w:before="143" w:line="360" w:lineRule="auto"/>
        <w:ind w:left="8" w:right="87" w:firstLine="423"/>
        <w:jc w:val="both"/>
        <w:rPr>
          <w:rFonts w:ascii="宋体" w:hAnsi="宋体" w:eastAsia="宋体" w:cs="宋体"/>
          <w:sz w:val="20"/>
          <w:szCs w:val="20"/>
        </w:rPr>
      </w:pPr>
      <w:r>
        <w:rPr>
          <w:rFonts w:ascii="宋体" w:hAnsi="宋体" w:eastAsia="宋体" w:cs="宋体"/>
          <w:spacing w:val="10"/>
          <w:sz w:val="20"/>
          <w:szCs w:val="20"/>
        </w:rPr>
        <w:t>履约担保的有效期应当自本合同生效之日起至发包人签认并由</w:t>
      </w:r>
      <w:r>
        <w:rPr>
          <w:rFonts w:ascii="宋体" w:hAnsi="宋体" w:eastAsia="宋体" w:cs="宋体"/>
          <w:spacing w:val="9"/>
          <w:sz w:val="20"/>
          <w:szCs w:val="20"/>
        </w:rPr>
        <w:t>监理人向承包人出具工程接收</w:t>
      </w:r>
      <w:r>
        <w:rPr>
          <w:rFonts w:ascii="宋体" w:hAnsi="宋体" w:eastAsia="宋体" w:cs="宋体"/>
          <w:spacing w:val="10"/>
          <w:sz w:val="20"/>
          <w:szCs w:val="20"/>
        </w:rPr>
        <w:t>证书之日止。如果承包人无法获得一份不带具体截止日期的担保，履约担保</w:t>
      </w:r>
      <w:r>
        <w:rPr>
          <w:rFonts w:ascii="宋体" w:hAnsi="宋体" w:eastAsia="宋体" w:cs="宋体"/>
          <w:spacing w:val="9"/>
          <w:sz w:val="20"/>
          <w:szCs w:val="20"/>
        </w:rPr>
        <w:t>中应当有“变更工程竣工日期的，保证期间按照变更后的竣工日期</w:t>
      </w:r>
      <w:r>
        <w:rPr>
          <w:rFonts w:ascii="宋体" w:hAnsi="宋体" w:eastAsia="宋体" w:cs="宋体"/>
          <w:spacing w:val="8"/>
          <w:sz w:val="20"/>
          <w:szCs w:val="20"/>
        </w:rPr>
        <w:t>做相应调整</w:t>
      </w:r>
      <w:r>
        <w:rPr>
          <w:rFonts w:ascii="宋体" w:hAnsi="宋体" w:eastAsia="宋体" w:cs="宋体"/>
          <w:spacing w:val="-72"/>
          <w:sz w:val="20"/>
          <w:szCs w:val="20"/>
        </w:rPr>
        <w:t xml:space="preserve"> </w:t>
      </w:r>
      <w:r>
        <w:rPr>
          <w:rFonts w:ascii="宋体" w:hAnsi="宋体" w:eastAsia="宋体" w:cs="宋体"/>
          <w:spacing w:val="8"/>
          <w:sz w:val="20"/>
          <w:szCs w:val="20"/>
        </w:rPr>
        <w:t>”或类似约定的条款。</w:t>
      </w:r>
    </w:p>
    <w:p w14:paraId="2EEBE3FF">
      <w:pPr>
        <w:spacing w:line="228" w:lineRule="auto"/>
        <w:ind w:left="427"/>
        <w:rPr>
          <w:rFonts w:ascii="宋体" w:hAnsi="宋体" w:eastAsia="宋体" w:cs="宋体"/>
          <w:sz w:val="20"/>
          <w:szCs w:val="20"/>
        </w:rPr>
      </w:pPr>
      <w:r>
        <w:rPr>
          <w:rFonts w:ascii="宋体" w:hAnsi="宋体" w:eastAsia="宋体" w:cs="宋体"/>
          <w:b/>
          <w:bCs/>
          <w:spacing w:val="4"/>
          <w:sz w:val="20"/>
          <w:szCs w:val="20"/>
        </w:rPr>
        <w:t>4.2.3</w:t>
      </w:r>
      <w:r>
        <w:rPr>
          <w:rFonts w:ascii="宋体" w:hAnsi="宋体" w:eastAsia="宋体" w:cs="宋体"/>
          <w:spacing w:val="-27"/>
          <w:sz w:val="20"/>
          <w:szCs w:val="20"/>
        </w:rPr>
        <w:t xml:space="preserve"> </w:t>
      </w:r>
      <w:r>
        <w:rPr>
          <w:rFonts w:ascii="宋体" w:hAnsi="宋体" w:eastAsia="宋体" w:cs="宋体"/>
          <w:b/>
          <w:bCs/>
          <w:spacing w:val="4"/>
          <w:sz w:val="20"/>
          <w:szCs w:val="20"/>
        </w:rPr>
        <w:t>履约担保的退还</w:t>
      </w:r>
    </w:p>
    <w:p w14:paraId="599C01A8">
      <w:pPr>
        <w:spacing w:before="144" w:line="227" w:lineRule="auto"/>
        <w:ind w:left="431"/>
        <w:rPr>
          <w:rFonts w:ascii="宋体" w:hAnsi="宋体" w:eastAsia="宋体" w:cs="宋体"/>
          <w:sz w:val="20"/>
          <w:szCs w:val="20"/>
        </w:rPr>
      </w:pPr>
      <w:r>
        <w:rPr>
          <w:rFonts w:ascii="宋体" w:hAnsi="宋体" w:eastAsia="宋体" w:cs="宋体"/>
          <w:spacing w:val="8"/>
          <w:sz w:val="20"/>
          <w:szCs w:val="20"/>
        </w:rPr>
        <w:t>履约担保应在监理人向承包人颁发（出具）工程接收证书之日后</w:t>
      </w:r>
      <w:r>
        <w:rPr>
          <w:rFonts w:ascii="宋体" w:hAnsi="宋体" w:eastAsia="宋体" w:cs="宋体"/>
          <w:spacing w:val="-17"/>
          <w:sz w:val="20"/>
          <w:szCs w:val="20"/>
        </w:rPr>
        <w:t xml:space="preserve"> </w:t>
      </w:r>
      <w:r>
        <w:rPr>
          <w:rFonts w:ascii="宋体" w:hAnsi="宋体" w:eastAsia="宋体" w:cs="宋体"/>
          <w:spacing w:val="8"/>
          <w:sz w:val="20"/>
          <w:szCs w:val="20"/>
        </w:rPr>
        <w:t>28</w:t>
      </w:r>
      <w:r>
        <w:rPr>
          <w:rFonts w:ascii="宋体" w:hAnsi="宋体" w:eastAsia="宋体" w:cs="宋体"/>
          <w:spacing w:val="-36"/>
          <w:sz w:val="20"/>
          <w:szCs w:val="20"/>
        </w:rPr>
        <w:t xml:space="preserve"> </w:t>
      </w:r>
      <w:r>
        <w:rPr>
          <w:rFonts w:ascii="宋体" w:hAnsi="宋体" w:eastAsia="宋体" w:cs="宋体"/>
          <w:spacing w:val="8"/>
          <w:sz w:val="20"/>
          <w:szCs w:val="20"/>
        </w:rPr>
        <w:t>天内退还给承包人。</w:t>
      </w:r>
    </w:p>
    <w:p w14:paraId="12236BDF">
      <w:pPr>
        <w:spacing w:before="142" w:line="228" w:lineRule="auto"/>
        <w:ind w:left="431"/>
        <w:rPr>
          <w:rFonts w:ascii="宋体" w:hAnsi="宋体" w:eastAsia="宋体" w:cs="宋体"/>
          <w:sz w:val="20"/>
          <w:szCs w:val="20"/>
        </w:rPr>
      </w:pPr>
      <w:r>
        <w:rPr>
          <w:rFonts w:ascii="宋体" w:hAnsi="宋体" w:eastAsia="宋体" w:cs="宋体"/>
          <w:spacing w:val="9"/>
          <w:sz w:val="20"/>
          <w:szCs w:val="20"/>
        </w:rPr>
        <w:t>发包人不承担承包人与履约担保有关的任何利息或其它类似的费用或者收益。</w:t>
      </w:r>
    </w:p>
    <w:p w14:paraId="3BC2677F">
      <w:pPr>
        <w:spacing w:before="145" w:line="228" w:lineRule="auto"/>
        <w:ind w:left="427"/>
        <w:rPr>
          <w:rFonts w:ascii="宋体" w:hAnsi="宋体" w:eastAsia="宋体" w:cs="宋体"/>
          <w:sz w:val="20"/>
          <w:szCs w:val="20"/>
        </w:rPr>
      </w:pPr>
      <w:r>
        <w:rPr>
          <w:rFonts w:ascii="宋体" w:hAnsi="宋体" w:eastAsia="宋体" w:cs="宋体"/>
          <w:b/>
          <w:bCs/>
          <w:spacing w:val="4"/>
          <w:sz w:val="20"/>
          <w:szCs w:val="20"/>
        </w:rPr>
        <w:t>4.2.4</w:t>
      </w:r>
      <w:r>
        <w:rPr>
          <w:rFonts w:ascii="宋体" w:hAnsi="宋体" w:eastAsia="宋体" w:cs="宋体"/>
          <w:spacing w:val="-40"/>
          <w:sz w:val="20"/>
          <w:szCs w:val="20"/>
        </w:rPr>
        <w:t xml:space="preserve"> </w:t>
      </w:r>
      <w:r>
        <w:rPr>
          <w:rFonts w:ascii="宋体" w:hAnsi="宋体" w:eastAsia="宋体" w:cs="宋体"/>
          <w:b/>
          <w:bCs/>
          <w:spacing w:val="4"/>
          <w:sz w:val="20"/>
          <w:szCs w:val="20"/>
        </w:rPr>
        <w:t>通知义务</w:t>
      </w:r>
    </w:p>
    <w:p w14:paraId="6902FF78">
      <w:pPr>
        <w:spacing w:before="140" w:line="357" w:lineRule="auto"/>
        <w:ind w:left="8" w:right="87" w:firstLine="423"/>
        <w:jc w:val="both"/>
        <w:rPr>
          <w:rFonts w:ascii="宋体" w:hAnsi="宋体" w:eastAsia="宋体" w:cs="宋体"/>
          <w:sz w:val="20"/>
          <w:szCs w:val="20"/>
        </w:rPr>
      </w:pPr>
      <w:r>
        <w:rPr>
          <w:rFonts w:ascii="宋体" w:hAnsi="宋体" w:eastAsia="宋体" w:cs="宋体"/>
          <w:spacing w:val="6"/>
          <w:sz w:val="20"/>
          <w:szCs w:val="20"/>
        </w:rPr>
        <w:t>不管履约担保条款中如何约定，发包人根据担保条款提出索赔或兑现要求</w:t>
      </w:r>
      <w:r>
        <w:rPr>
          <w:rFonts w:ascii="宋体" w:hAnsi="宋体" w:eastAsia="宋体" w:cs="宋体"/>
          <w:spacing w:val="-25"/>
          <w:sz w:val="20"/>
          <w:szCs w:val="20"/>
        </w:rPr>
        <w:t xml:space="preserve"> </w:t>
      </w:r>
      <w:r>
        <w:rPr>
          <w:rFonts w:ascii="宋体" w:hAnsi="宋体" w:eastAsia="宋体" w:cs="宋体"/>
          <w:spacing w:val="6"/>
          <w:sz w:val="20"/>
          <w:szCs w:val="20"/>
        </w:rPr>
        <w:t>28</w:t>
      </w:r>
      <w:r>
        <w:rPr>
          <w:rFonts w:ascii="宋体" w:hAnsi="宋体" w:eastAsia="宋体" w:cs="宋体"/>
          <w:spacing w:val="-36"/>
          <w:sz w:val="20"/>
          <w:szCs w:val="20"/>
        </w:rPr>
        <w:t xml:space="preserve"> </w:t>
      </w:r>
      <w:r>
        <w:rPr>
          <w:rFonts w:ascii="宋体" w:hAnsi="宋体" w:eastAsia="宋体" w:cs="宋体"/>
          <w:spacing w:val="6"/>
          <w:sz w:val="20"/>
          <w:szCs w:val="20"/>
        </w:rPr>
        <w:t>天前，应通知承</w:t>
      </w:r>
      <w:r>
        <w:rPr>
          <w:rFonts w:ascii="宋体" w:hAnsi="宋体" w:eastAsia="宋体" w:cs="宋体"/>
          <w:spacing w:val="7"/>
          <w:sz w:val="20"/>
          <w:szCs w:val="20"/>
        </w:rPr>
        <w:t>包人并说明导致此类索赔或兑现的违约性质或原因。相应地，不管专用合同条款</w:t>
      </w:r>
      <w:r>
        <w:rPr>
          <w:rFonts w:ascii="宋体" w:hAnsi="宋体" w:eastAsia="宋体" w:cs="宋体"/>
          <w:spacing w:val="-36"/>
          <w:sz w:val="20"/>
          <w:szCs w:val="20"/>
        </w:rPr>
        <w:t xml:space="preserve"> </w:t>
      </w:r>
      <w:r>
        <w:rPr>
          <w:rFonts w:ascii="宋体" w:hAnsi="宋体" w:eastAsia="宋体" w:cs="宋体"/>
          <w:spacing w:val="7"/>
          <w:sz w:val="20"/>
          <w:szCs w:val="20"/>
        </w:rPr>
        <w:t>2.</w:t>
      </w:r>
      <w:r>
        <w:rPr>
          <w:rFonts w:ascii="宋体" w:hAnsi="宋体" w:eastAsia="宋体" w:cs="宋体"/>
          <w:spacing w:val="6"/>
          <w:sz w:val="20"/>
          <w:szCs w:val="20"/>
        </w:rPr>
        <w:t>8（1）</w:t>
      </w:r>
      <w:r>
        <w:rPr>
          <w:rFonts w:ascii="宋体" w:hAnsi="宋体" w:eastAsia="宋体" w:cs="宋体"/>
          <w:spacing w:val="-54"/>
          <w:sz w:val="20"/>
          <w:szCs w:val="20"/>
        </w:rPr>
        <w:t xml:space="preserve"> </w:t>
      </w:r>
      <w:r>
        <w:rPr>
          <w:rFonts w:ascii="宋体" w:hAnsi="宋体" w:eastAsia="宋体" w:cs="宋体"/>
          <w:spacing w:val="6"/>
          <w:sz w:val="20"/>
          <w:szCs w:val="20"/>
        </w:rPr>
        <w:t>目约定</w:t>
      </w:r>
      <w:r>
        <w:rPr>
          <w:rFonts w:ascii="宋体" w:hAnsi="宋体" w:eastAsia="宋体" w:cs="宋体"/>
          <w:spacing w:val="7"/>
          <w:sz w:val="20"/>
          <w:szCs w:val="20"/>
        </w:rPr>
        <w:t>的支付担保条款中如何约定，承包人根据担保条款提</w:t>
      </w:r>
      <w:r>
        <w:rPr>
          <w:rFonts w:ascii="宋体" w:hAnsi="宋体" w:eastAsia="宋体" w:cs="宋体"/>
          <w:spacing w:val="6"/>
          <w:sz w:val="20"/>
          <w:szCs w:val="20"/>
        </w:rPr>
        <w:t>出索赔或兑现要求</w:t>
      </w:r>
      <w:r>
        <w:rPr>
          <w:rFonts w:ascii="宋体" w:hAnsi="宋体" w:eastAsia="宋体" w:cs="宋体"/>
          <w:spacing w:val="-37"/>
          <w:sz w:val="20"/>
          <w:szCs w:val="20"/>
        </w:rPr>
        <w:t xml:space="preserve"> </w:t>
      </w:r>
      <w:r>
        <w:rPr>
          <w:rFonts w:ascii="宋体" w:hAnsi="宋体" w:eastAsia="宋体" w:cs="宋体"/>
          <w:spacing w:val="6"/>
          <w:sz w:val="20"/>
          <w:szCs w:val="20"/>
        </w:rPr>
        <w:t>28</w:t>
      </w:r>
      <w:r>
        <w:rPr>
          <w:rFonts w:ascii="宋体" w:hAnsi="宋体" w:eastAsia="宋体" w:cs="宋体"/>
          <w:spacing w:val="-33"/>
          <w:sz w:val="20"/>
          <w:szCs w:val="20"/>
        </w:rPr>
        <w:t xml:space="preserve"> </w:t>
      </w:r>
      <w:r>
        <w:rPr>
          <w:rFonts w:ascii="宋体" w:hAnsi="宋体" w:eastAsia="宋体" w:cs="宋体"/>
          <w:spacing w:val="6"/>
          <w:sz w:val="20"/>
          <w:szCs w:val="20"/>
        </w:rPr>
        <w:t>天前，也应通知发包人</w:t>
      </w:r>
      <w:r>
        <w:rPr>
          <w:rFonts w:ascii="宋体" w:hAnsi="宋体" w:eastAsia="宋体" w:cs="宋体"/>
          <w:spacing w:val="10"/>
          <w:sz w:val="20"/>
          <w:szCs w:val="20"/>
        </w:rPr>
        <w:t>并说明导致此类索赔或兑现的违约性质或原因。但是，本项约定的通知不</w:t>
      </w:r>
      <w:r>
        <w:rPr>
          <w:rFonts w:ascii="宋体" w:hAnsi="宋体" w:eastAsia="宋体" w:cs="宋体"/>
          <w:spacing w:val="9"/>
          <w:sz w:val="20"/>
          <w:szCs w:val="20"/>
        </w:rPr>
        <w:t>应理解为是在任何意义</w:t>
      </w:r>
      <w:r>
        <w:rPr>
          <w:rFonts w:ascii="宋体" w:hAnsi="宋体" w:eastAsia="宋体" w:cs="宋体"/>
          <w:spacing w:val="8"/>
          <w:sz w:val="20"/>
          <w:szCs w:val="20"/>
        </w:rPr>
        <w:t>上寻求承包人或者发包人的同意。</w:t>
      </w:r>
    </w:p>
    <w:p w14:paraId="51D6012B">
      <w:pPr>
        <w:pStyle w:val="2"/>
        <w:spacing w:line="222" w:lineRule="auto"/>
        <w:ind w:left="4"/>
        <w:rPr>
          <w:sz w:val="24"/>
          <w:szCs w:val="24"/>
        </w:rPr>
      </w:pPr>
      <w:r>
        <w:rPr>
          <w:rFonts w:ascii="Times New Roman" w:hAnsi="Times New Roman" w:eastAsia="Times New Roman" w:cs="Times New Roman"/>
          <w:spacing w:val="-4"/>
          <w:sz w:val="24"/>
          <w:szCs w:val="24"/>
        </w:rPr>
        <w:t>4.3</w:t>
      </w:r>
      <w:r>
        <w:rPr>
          <w:rFonts w:ascii="Times New Roman" w:hAnsi="Times New Roman" w:eastAsia="Times New Roman" w:cs="Times New Roman"/>
          <w:spacing w:val="15"/>
          <w:sz w:val="24"/>
          <w:szCs w:val="24"/>
        </w:rPr>
        <w:t xml:space="preserve"> </w:t>
      </w:r>
      <w:r>
        <w:rPr>
          <w:spacing w:val="-4"/>
          <w:sz w:val="24"/>
          <w:szCs w:val="24"/>
        </w:rPr>
        <w:t>分包</w:t>
      </w:r>
    </w:p>
    <w:p w14:paraId="6821167B">
      <w:pPr>
        <w:spacing w:before="129" w:line="360" w:lineRule="auto"/>
        <w:ind w:left="9" w:right="86" w:firstLine="418"/>
        <w:rPr>
          <w:rFonts w:ascii="宋体" w:hAnsi="宋体" w:eastAsia="宋体" w:cs="宋体"/>
          <w:sz w:val="20"/>
          <w:szCs w:val="20"/>
        </w:rPr>
      </w:pPr>
      <w:r>
        <w:rPr>
          <w:rFonts w:ascii="宋体" w:hAnsi="宋体" w:eastAsia="宋体" w:cs="宋体"/>
          <w:spacing w:val="8"/>
          <w:sz w:val="20"/>
          <w:szCs w:val="20"/>
        </w:rPr>
        <w:t>4.3.2</w:t>
      </w:r>
      <w:r>
        <w:rPr>
          <w:rFonts w:ascii="宋体" w:hAnsi="宋体" w:eastAsia="宋体" w:cs="宋体"/>
          <w:spacing w:val="-36"/>
          <w:sz w:val="20"/>
          <w:szCs w:val="20"/>
        </w:rPr>
        <w:t xml:space="preserve"> </w:t>
      </w:r>
      <w:r>
        <w:rPr>
          <w:rFonts w:ascii="宋体" w:hAnsi="宋体" w:eastAsia="宋体" w:cs="宋体"/>
          <w:spacing w:val="8"/>
          <w:sz w:val="20"/>
          <w:szCs w:val="20"/>
        </w:rPr>
        <w:t>发包人同意承包人分包的非主体、非</w:t>
      </w:r>
      <w:r>
        <w:rPr>
          <w:rFonts w:ascii="宋体" w:hAnsi="宋体" w:eastAsia="宋体" w:cs="宋体"/>
          <w:spacing w:val="7"/>
          <w:sz w:val="20"/>
          <w:szCs w:val="20"/>
        </w:rPr>
        <w:t>关键性工作见投标函附录。除通用合同条款第4.3</w:t>
      </w:r>
      <w:r>
        <w:rPr>
          <w:rFonts w:ascii="宋体" w:hAnsi="宋体" w:eastAsia="宋体" w:cs="宋体"/>
          <w:spacing w:val="8"/>
          <w:sz w:val="20"/>
          <w:szCs w:val="20"/>
        </w:rPr>
        <w:t>款的约定外，分包还应遵循以下约定：</w:t>
      </w:r>
    </w:p>
    <w:p w14:paraId="21EABFCC">
      <w:pPr>
        <w:spacing w:before="1" w:line="360" w:lineRule="auto"/>
        <w:ind w:left="7" w:right="87" w:firstLine="430"/>
        <w:rPr>
          <w:rFonts w:ascii="宋体" w:hAnsi="宋体" w:eastAsia="宋体" w:cs="宋体"/>
          <w:sz w:val="20"/>
          <w:szCs w:val="20"/>
        </w:rPr>
      </w:pPr>
      <w:r>
        <w:rPr>
          <w:rFonts w:ascii="宋体" w:hAnsi="宋体" w:eastAsia="宋体" w:cs="宋体"/>
          <w:spacing w:val="7"/>
          <w:sz w:val="20"/>
          <w:szCs w:val="20"/>
        </w:rPr>
        <w:t>（1）除投标函附录中约定的分包内容外，经过发包人和监理人同意，承</w:t>
      </w:r>
      <w:r>
        <w:rPr>
          <w:rFonts w:ascii="宋体" w:hAnsi="宋体" w:eastAsia="宋体" w:cs="宋体"/>
          <w:spacing w:val="6"/>
          <w:sz w:val="20"/>
          <w:szCs w:val="20"/>
        </w:rPr>
        <w:t>包人可以将其他非主</w:t>
      </w:r>
      <w:r>
        <w:rPr>
          <w:rFonts w:ascii="宋体" w:hAnsi="宋体" w:eastAsia="宋体" w:cs="宋体"/>
          <w:spacing w:val="10"/>
          <w:sz w:val="20"/>
          <w:szCs w:val="20"/>
        </w:rPr>
        <w:t>体、非关键性工作分包给第三人，但分包人应当经过发包人和监理人审批。</w:t>
      </w:r>
      <w:r>
        <w:rPr>
          <w:rFonts w:ascii="宋体" w:hAnsi="宋体" w:eastAsia="宋体" w:cs="宋体"/>
          <w:spacing w:val="9"/>
          <w:sz w:val="20"/>
          <w:szCs w:val="20"/>
        </w:rPr>
        <w:t>发包人和监理人有权拒绝承包人的分包请求和承包人选择的分包人。</w:t>
      </w:r>
    </w:p>
    <w:p w14:paraId="4816671B">
      <w:pPr>
        <w:spacing w:before="1" w:line="226" w:lineRule="auto"/>
        <w:ind w:left="438"/>
        <w:rPr>
          <w:rFonts w:ascii="宋体" w:hAnsi="宋体" w:eastAsia="宋体" w:cs="宋体"/>
          <w:sz w:val="20"/>
          <w:szCs w:val="20"/>
        </w:rPr>
      </w:pPr>
      <w:r>
        <w:rPr>
          <w:rFonts w:ascii="宋体" w:hAnsi="宋体" w:eastAsia="宋体" w:cs="宋体"/>
          <w:spacing w:val="7"/>
          <w:sz w:val="20"/>
          <w:szCs w:val="20"/>
        </w:rPr>
        <w:t>（2）发包人在工程量清单中给定暂估价的专业工程，包括从暂列金额开</w:t>
      </w:r>
      <w:r>
        <w:rPr>
          <w:rFonts w:ascii="宋体" w:hAnsi="宋体" w:eastAsia="宋体" w:cs="宋体"/>
          <w:spacing w:val="6"/>
          <w:sz w:val="20"/>
          <w:szCs w:val="20"/>
        </w:rPr>
        <w:t>支的专业工程，达到</w:t>
      </w:r>
    </w:p>
    <w:p w14:paraId="0CACDF27">
      <w:pPr>
        <w:spacing w:line="226" w:lineRule="auto"/>
        <w:rPr>
          <w:rFonts w:ascii="宋体" w:hAnsi="宋体" w:eastAsia="宋体" w:cs="宋体"/>
          <w:sz w:val="20"/>
          <w:szCs w:val="20"/>
        </w:rPr>
        <w:sectPr>
          <w:footerReference r:id="rId203" w:type="default"/>
          <w:pgSz w:w="11906" w:h="16839"/>
          <w:pgMar w:top="400" w:right="1467" w:bottom="1038" w:left="1531" w:header="0" w:footer="787" w:gutter="0"/>
          <w:cols w:space="720" w:num="1"/>
        </w:sectPr>
      </w:pPr>
    </w:p>
    <w:p w14:paraId="1E176E31">
      <w:pPr>
        <w:spacing w:line="269" w:lineRule="auto"/>
        <w:rPr>
          <w:rFonts w:ascii="Arial"/>
          <w:sz w:val="21"/>
        </w:rPr>
      </w:pPr>
    </w:p>
    <w:p w14:paraId="02D7D1C8">
      <w:pPr>
        <w:spacing w:line="269" w:lineRule="auto"/>
        <w:rPr>
          <w:rFonts w:ascii="Arial"/>
          <w:sz w:val="21"/>
        </w:rPr>
      </w:pPr>
    </w:p>
    <w:p w14:paraId="4728C392">
      <w:pPr>
        <w:spacing w:line="269" w:lineRule="auto"/>
        <w:rPr>
          <w:rFonts w:ascii="Arial"/>
          <w:sz w:val="21"/>
        </w:rPr>
      </w:pPr>
    </w:p>
    <w:p w14:paraId="1BE0BDBC">
      <w:pPr>
        <w:spacing w:line="270" w:lineRule="auto"/>
        <w:rPr>
          <w:rFonts w:ascii="Arial"/>
          <w:sz w:val="21"/>
        </w:rPr>
      </w:pPr>
    </w:p>
    <w:p w14:paraId="1124C19F">
      <w:pPr>
        <w:spacing w:before="65" w:line="360" w:lineRule="auto"/>
        <w:ind w:left="8" w:right="71" w:firstLine="1"/>
        <w:jc w:val="both"/>
        <w:rPr>
          <w:rFonts w:ascii="宋体" w:hAnsi="宋体" w:eastAsia="宋体" w:cs="宋体"/>
          <w:sz w:val="20"/>
          <w:szCs w:val="20"/>
        </w:rPr>
      </w:pPr>
      <w:r>
        <w:rPr>
          <w:rFonts w:ascii="宋体" w:hAnsi="宋体" w:eastAsia="宋体" w:cs="宋体"/>
          <w:spacing w:val="9"/>
          <w:sz w:val="20"/>
          <w:szCs w:val="20"/>
        </w:rPr>
        <w:t>依法应当招标的规模标准的，</w:t>
      </w:r>
      <w:r>
        <w:rPr>
          <w:rFonts w:ascii="宋体" w:hAnsi="宋体" w:eastAsia="宋体" w:cs="宋体"/>
          <w:spacing w:val="-59"/>
          <w:sz w:val="20"/>
          <w:szCs w:val="20"/>
        </w:rPr>
        <w:t xml:space="preserve"> </w:t>
      </w:r>
      <w:r>
        <w:rPr>
          <w:rFonts w:ascii="宋体" w:hAnsi="宋体" w:eastAsia="宋体" w:cs="宋体"/>
          <w:spacing w:val="9"/>
          <w:sz w:val="20"/>
          <w:szCs w:val="20"/>
        </w:rPr>
        <w:t>以及虽未达到规定的规模标准但合同中约定</w:t>
      </w:r>
      <w:r>
        <w:rPr>
          <w:rFonts w:ascii="宋体" w:hAnsi="宋体" w:eastAsia="宋体" w:cs="宋体"/>
          <w:spacing w:val="8"/>
          <w:sz w:val="20"/>
          <w:szCs w:val="20"/>
        </w:rPr>
        <w:t>采用分包方式或者招标</w:t>
      </w:r>
      <w:r>
        <w:rPr>
          <w:rFonts w:ascii="宋体" w:hAnsi="宋体" w:eastAsia="宋体" w:cs="宋体"/>
          <w:spacing w:val="6"/>
          <w:sz w:val="20"/>
          <w:szCs w:val="20"/>
        </w:rPr>
        <w:t>方式实施的，应当按专用合同条款第</w:t>
      </w:r>
      <w:r>
        <w:rPr>
          <w:rFonts w:ascii="宋体" w:hAnsi="宋体" w:eastAsia="宋体" w:cs="宋体"/>
          <w:spacing w:val="-21"/>
          <w:sz w:val="20"/>
          <w:szCs w:val="20"/>
        </w:rPr>
        <w:t xml:space="preserve"> </w:t>
      </w:r>
      <w:r>
        <w:rPr>
          <w:rFonts w:ascii="宋体" w:hAnsi="宋体" w:eastAsia="宋体" w:cs="宋体"/>
          <w:spacing w:val="6"/>
          <w:sz w:val="20"/>
          <w:szCs w:val="20"/>
        </w:rPr>
        <w:t>15.8.1</w:t>
      </w:r>
      <w:r>
        <w:rPr>
          <w:rFonts w:ascii="宋体" w:hAnsi="宋体" w:eastAsia="宋体" w:cs="宋体"/>
          <w:spacing w:val="-37"/>
          <w:sz w:val="20"/>
          <w:szCs w:val="20"/>
        </w:rPr>
        <w:t xml:space="preserve"> </w:t>
      </w:r>
      <w:r>
        <w:rPr>
          <w:rFonts w:ascii="宋体" w:hAnsi="宋体" w:eastAsia="宋体" w:cs="宋体"/>
          <w:spacing w:val="6"/>
          <w:sz w:val="20"/>
          <w:szCs w:val="20"/>
        </w:rPr>
        <w:t>项的约定，由发包人和承包人以招标方式确</w:t>
      </w:r>
      <w:r>
        <w:rPr>
          <w:rFonts w:ascii="宋体" w:hAnsi="宋体" w:eastAsia="宋体" w:cs="宋体"/>
          <w:spacing w:val="5"/>
          <w:sz w:val="20"/>
          <w:szCs w:val="20"/>
        </w:rPr>
        <w:t>定专业分</w:t>
      </w:r>
      <w:r>
        <w:rPr>
          <w:rFonts w:ascii="宋体" w:hAnsi="宋体" w:eastAsia="宋体" w:cs="宋体"/>
          <w:spacing w:val="10"/>
          <w:sz w:val="20"/>
          <w:szCs w:val="20"/>
        </w:rPr>
        <w:t>包人。除项目审批部门有特别核准外，暂估价的专业工程的招标应当采用</w:t>
      </w:r>
      <w:r>
        <w:rPr>
          <w:rFonts w:ascii="宋体" w:hAnsi="宋体" w:eastAsia="宋体" w:cs="宋体"/>
          <w:spacing w:val="9"/>
          <w:sz w:val="20"/>
          <w:szCs w:val="20"/>
        </w:rPr>
        <w:t>与施工总承包同样的招</w:t>
      </w:r>
      <w:r>
        <w:rPr>
          <w:rFonts w:ascii="宋体" w:hAnsi="宋体" w:eastAsia="宋体" w:cs="宋体"/>
          <w:spacing w:val="5"/>
          <w:sz w:val="20"/>
          <w:szCs w:val="20"/>
        </w:rPr>
        <w:t>标方式。</w:t>
      </w:r>
    </w:p>
    <w:p w14:paraId="14111729">
      <w:pPr>
        <w:spacing w:line="360" w:lineRule="auto"/>
        <w:ind w:left="9" w:right="70" w:firstLine="429"/>
        <w:rPr>
          <w:rFonts w:ascii="宋体" w:hAnsi="宋体" w:eastAsia="宋体" w:cs="宋体"/>
          <w:sz w:val="20"/>
          <w:szCs w:val="20"/>
        </w:rPr>
      </w:pPr>
      <w:r>
        <w:rPr>
          <w:rFonts w:ascii="宋体" w:hAnsi="宋体" w:eastAsia="宋体" w:cs="宋体"/>
          <w:spacing w:val="6"/>
          <w:sz w:val="20"/>
          <w:szCs w:val="20"/>
        </w:rPr>
        <w:t>（3）在相关分包合同签订并报送有关建设行政主管部门备案后</w:t>
      </w:r>
      <w:r>
        <w:rPr>
          <w:rFonts w:ascii="宋体" w:hAnsi="宋体" w:eastAsia="宋体" w:cs="宋体"/>
          <w:spacing w:val="-32"/>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天内，承包人应当将一份副</w:t>
      </w:r>
      <w:r>
        <w:rPr>
          <w:rFonts w:ascii="宋体" w:hAnsi="宋体" w:eastAsia="宋体" w:cs="宋体"/>
          <w:spacing w:val="9"/>
          <w:sz w:val="20"/>
          <w:szCs w:val="20"/>
        </w:rPr>
        <w:t>本提交给监理人，承包人应保障分包工作不得再次分包。</w:t>
      </w:r>
    </w:p>
    <w:p w14:paraId="1041E3DD">
      <w:pPr>
        <w:spacing w:before="4" w:line="359" w:lineRule="auto"/>
        <w:ind w:left="8" w:right="73" w:firstLine="430"/>
        <w:rPr>
          <w:rFonts w:ascii="宋体" w:hAnsi="宋体" w:eastAsia="宋体" w:cs="宋体"/>
          <w:sz w:val="20"/>
          <w:szCs w:val="20"/>
        </w:rPr>
      </w:pPr>
      <w:r>
        <w:rPr>
          <w:rFonts w:ascii="宋体" w:hAnsi="宋体" w:eastAsia="宋体" w:cs="宋体"/>
          <w:spacing w:val="7"/>
          <w:sz w:val="20"/>
          <w:szCs w:val="20"/>
        </w:rPr>
        <w:t>（4）分包工程价款由承包人与分包人（包括专业分包人）结算。未经承</w:t>
      </w:r>
      <w:r>
        <w:rPr>
          <w:rFonts w:ascii="宋体" w:hAnsi="宋体" w:eastAsia="宋体" w:cs="宋体"/>
          <w:spacing w:val="6"/>
          <w:sz w:val="20"/>
          <w:szCs w:val="20"/>
        </w:rPr>
        <w:t>包人同意，发包人不</w:t>
      </w:r>
      <w:r>
        <w:rPr>
          <w:rFonts w:ascii="宋体" w:hAnsi="宋体" w:eastAsia="宋体" w:cs="宋体"/>
          <w:spacing w:val="10"/>
          <w:sz w:val="20"/>
          <w:szCs w:val="20"/>
        </w:rPr>
        <w:t>得以任何形式向分包人（包括专业分包人）支付相关分包合同项下的</w:t>
      </w:r>
      <w:r>
        <w:rPr>
          <w:rFonts w:ascii="宋体" w:hAnsi="宋体" w:eastAsia="宋体" w:cs="宋体"/>
          <w:spacing w:val="9"/>
          <w:sz w:val="20"/>
          <w:szCs w:val="20"/>
        </w:rPr>
        <w:t>任何工程款项。因发包人未</w:t>
      </w:r>
      <w:r>
        <w:rPr>
          <w:rFonts w:ascii="宋体" w:hAnsi="宋体" w:eastAsia="宋体" w:cs="宋体"/>
          <w:spacing w:val="10"/>
          <w:sz w:val="20"/>
          <w:szCs w:val="20"/>
        </w:rPr>
        <w:t>经承包人同意直接向分包人（包括专业分包人）支付相关分包合同项</w:t>
      </w:r>
      <w:r>
        <w:rPr>
          <w:rFonts w:ascii="宋体" w:hAnsi="宋体" w:eastAsia="宋体" w:cs="宋体"/>
          <w:spacing w:val="9"/>
          <w:sz w:val="20"/>
          <w:szCs w:val="20"/>
        </w:rPr>
        <w:t>下的任何工程款项而影响承包人工作的，所造成的承包人费用增加和（或）延误的工期由发包人承担。</w:t>
      </w:r>
    </w:p>
    <w:p w14:paraId="2FDE3670">
      <w:pPr>
        <w:spacing w:line="352" w:lineRule="auto"/>
        <w:ind w:left="8" w:right="70" w:firstLine="430"/>
        <w:rPr>
          <w:rFonts w:ascii="宋体" w:hAnsi="宋体" w:eastAsia="宋体" w:cs="宋体"/>
          <w:sz w:val="20"/>
          <w:szCs w:val="20"/>
        </w:rPr>
      </w:pPr>
      <w:r>
        <w:rPr>
          <w:rFonts w:ascii="宋体" w:hAnsi="宋体" w:eastAsia="宋体" w:cs="宋体"/>
          <w:spacing w:val="7"/>
          <w:sz w:val="20"/>
          <w:szCs w:val="20"/>
        </w:rPr>
        <w:t>（5）未经发包人和监理人审批同意的分包工程和分包人，发包人有权拒绝验</w:t>
      </w:r>
      <w:r>
        <w:rPr>
          <w:rFonts w:ascii="宋体" w:hAnsi="宋体" w:eastAsia="宋体" w:cs="宋体"/>
          <w:spacing w:val="6"/>
          <w:sz w:val="20"/>
          <w:szCs w:val="20"/>
        </w:rPr>
        <w:t>收分包工程和支</w:t>
      </w:r>
      <w:r>
        <w:rPr>
          <w:rFonts w:ascii="宋体" w:hAnsi="宋体" w:eastAsia="宋体" w:cs="宋体"/>
          <w:spacing w:val="8"/>
          <w:sz w:val="20"/>
          <w:szCs w:val="20"/>
        </w:rPr>
        <w:t>付相应款项，</w:t>
      </w:r>
      <w:r>
        <w:rPr>
          <w:rFonts w:ascii="宋体" w:hAnsi="宋体" w:eastAsia="宋体" w:cs="宋体"/>
          <w:spacing w:val="-53"/>
          <w:sz w:val="20"/>
          <w:szCs w:val="20"/>
        </w:rPr>
        <w:t xml:space="preserve"> </w:t>
      </w:r>
      <w:r>
        <w:rPr>
          <w:rFonts w:ascii="宋体" w:hAnsi="宋体" w:eastAsia="宋体" w:cs="宋体"/>
          <w:spacing w:val="8"/>
          <w:sz w:val="20"/>
          <w:szCs w:val="20"/>
        </w:rPr>
        <w:t>由此引起的承包人费用增加和（或）延误的工期由承包人承担。</w:t>
      </w:r>
    </w:p>
    <w:p w14:paraId="74906101">
      <w:pPr>
        <w:pStyle w:val="2"/>
        <w:spacing w:line="221" w:lineRule="auto"/>
        <w:ind w:left="4"/>
        <w:rPr>
          <w:sz w:val="24"/>
          <w:szCs w:val="24"/>
        </w:rPr>
      </w:pPr>
      <w:r>
        <w:rPr>
          <w:rFonts w:ascii="Times New Roman" w:hAnsi="Times New Roman" w:eastAsia="Times New Roman" w:cs="Times New Roman"/>
          <w:spacing w:val="-1"/>
          <w:sz w:val="24"/>
          <w:szCs w:val="24"/>
        </w:rPr>
        <w:t xml:space="preserve">4.5 </w:t>
      </w:r>
      <w:r>
        <w:rPr>
          <w:spacing w:val="-1"/>
          <w:sz w:val="24"/>
          <w:szCs w:val="24"/>
        </w:rPr>
        <w:t>承包人项目经理</w:t>
      </w:r>
    </w:p>
    <w:p w14:paraId="121E8DB9">
      <w:pPr>
        <w:spacing w:before="127" w:line="357" w:lineRule="auto"/>
        <w:ind w:left="9" w:right="70" w:firstLine="418"/>
        <w:rPr>
          <w:rFonts w:ascii="宋体" w:hAnsi="宋体" w:eastAsia="宋体" w:cs="宋体"/>
          <w:sz w:val="20"/>
          <w:szCs w:val="20"/>
        </w:rPr>
      </w:pPr>
      <w:r>
        <w:rPr>
          <w:rFonts w:ascii="宋体" w:hAnsi="宋体" w:eastAsia="宋体" w:cs="宋体"/>
          <w:spacing w:val="15"/>
          <w:sz w:val="20"/>
          <w:szCs w:val="20"/>
        </w:rPr>
        <w:t>4.5.1</w:t>
      </w:r>
      <w:r>
        <w:rPr>
          <w:rFonts w:ascii="宋体" w:hAnsi="宋体" w:eastAsia="宋体" w:cs="宋体"/>
          <w:spacing w:val="-26"/>
          <w:sz w:val="20"/>
          <w:szCs w:val="20"/>
        </w:rPr>
        <w:t xml:space="preserve"> </w:t>
      </w:r>
      <w:r>
        <w:rPr>
          <w:rFonts w:ascii="宋体" w:hAnsi="宋体" w:eastAsia="宋体" w:cs="宋体"/>
          <w:spacing w:val="15"/>
          <w:sz w:val="20"/>
          <w:szCs w:val="20"/>
        </w:rPr>
        <w:t>承包人项目经理必须与承包人投标时所承诺的人员一致，并在根据通用合同条款第</w:t>
      </w:r>
      <w:r>
        <w:rPr>
          <w:rFonts w:ascii="宋体" w:hAnsi="宋体" w:eastAsia="宋体" w:cs="宋体"/>
          <w:spacing w:val="8"/>
          <w:sz w:val="20"/>
          <w:szCs w:val="20"/>
        </w:rPr>
        <w:t>11.1.1</w:t>
      </w:r>
      <w:r>
        <w:rPr>
          <w:rFonts w:ascii="宋体" w:hAnsi="宋体" w:eastAsia="宋体" w:cs="宋体"/>
          <w:spacing w:val="-37"/>
          <w:sz w:val="20"/>
          <w:szCs w:val="20"/>
        </w:rPr>
        <w:t xml:space="preserve"> </w:t>
      </w:r>
      <w:r>
        <w:rPr>
          <w:rFonts w:ascii="宋体" w:hAnsi="宋体" w:eastAsia="宋体" w:cs="宋体"/>
          <w:spacing w:val="8"/>
          <w:sz w:val="20"/>
          <w:szCs w:val="20"/>
        </w:rPr>
        <w:t>项确定的开工日期前到任。在监理人向承包人颁发（出具）</w:t>
      </w:r>
      <w:r>
        <w:rPr>
          <w:rFonts w:ascii="宋体" w:hAnsi="宋体" w:eastAsia="宋体" w:cs="宋体"/>
          <w:spacing w:val="7"/>
          <w:sz w:val="20"/>
          <w:szCs w:val="20"/>
        </w:rPr>
        <w:t>工程接收证书前，项目经理不</w:t>
      </w:r>
      <w:r>
        <w:rPr>
          <w:rFonts w:ascii="宋体" w:hAnsi="宋体" w:eastAsia="宋体" w:cs="宋体"/>
          <w:spacing w:val="10"/>
          <w:sz w:val="20"/>
          <w:szCs w:val="20"/>
        </w:rPr>
        <w:t>得同时兼任其他任何项目的项目经理。未经发包人书面许可，承包人不</w:t>
      </w:r>
      <w:r>
        <w:rPr>
          <w:rFonts w:ascii="宋体" w:hAnsi="宋体" w:eastAsia="宋体" w:cs="宋体"/>
          <w:spacing w:val="9"/>
          <w:sz w:val="20"/>
          <w:szCs w:val="20"/>
        </w:rPr>
        <w:t>得更换项目经理。承包人</w:t>
      </w:r>
      <w:r>
        <w:rPr>
          <w:rFonts w:ascii="宋体" w:hAnsi="宋体" w:eastAsia="宋体" w:cs="宋体"/>
          <w:spacing w:val="10"/>
          <w:sz w:val="20"/>
          <w:szCs w:val="20"/>
        </w:rPr>
        <w:t>项目经理的姓名、职称、身份证号、执业资格证书号、注册证书号、执</w:t>
      </w:r>
      <w:r>
        <w:rPr>
          <w:rFonts w:ascii="宋体" w:hAnsi="宋体" w:eastAsia="宋体" w:cs="宋体"/>
          <w:spacing w:val="9"/>
          <w:sz w:val="20"/>
          <w:szCs w:val="20"/>
        </w:rPr>
        <w:t>业印章号、安全生产考核合格证书号等细节资料应当在合同协议书中载明。</w:t>
      </w:r>
    </w:p>
    <w:p w14:paraId="6CC4BC27">
      <w:pPr>
        <w:pStyle w:val="2"/>
        <w:spacing w:before="1" w:line="221" w:lineRule="auto"/>
        <w:ind w:left="4"/>
        <w:rPr>
          <w:sz w:val="24"/>
          <w:szCs w:val="24"/>
        </w:rPr>
      </w:pPr>
      <w:r>
        <w:rPr>
          <w:rFonts w:ascii="Times New Roman" w:hAnsi="Times New Roman" w:eastAsia="Times New Roman" w:cs="Times New Roman"/>
          <w:spacing w:val="-2"/>
          <w:sz w:val="24"/>
          <w:szCs w:val="24"/>
        </w:rPr>
        <w:t xml:space="preserve">4.11 </w:t>
      </w:r>
      <w:r>
        <w:rPr>
          <w:spacing w:val="-2"/>
          <w:sz w:val="24"/>
          <w:szCs w:val="24"/>
        </w:rPr>
        <w:t>不利物质条件</w:t>
      </w:r>
    </w:p>
    <w:p w14:paraId="3679BCD8">
      <w:pPr>
        <w:spacing w:before="130" w:line="228" w:lineRule="auto"/>
        <w:ind w:left="427"/>
        <w:rPr>
          <w:rFonts w:ascii="宋体" w:hAnsi="宋体" w:eastAsia="宋体" w:cs="宋体"/>
          <w:sz w:val="20"/>
          <w:szCs w:val="20"/>
        </w:rPr>
      </w:pPr>
      <w:r>
        <w:rPr>
          <w:rFonts w:ascii="宋体" w:hAnsi="宋体" w:eastAsia="宋体" w:cs="宋体"/>
          <w:spacing w:val="4"/>
          <w:sz w:val="20"/>
          <w:szCs w:val="20"/>
        </w:rPr>
        <w:t>4.11.1</w:t>
      </w:r>
      <w:r>
        <w:rPr>
          <w:rFonts w:ascii="宋体" w:hAnsi="宋体" w:eastAsia="宋体" w:cs="宋体"/>
          <w:spacing w:val="-37"/>
          <w:sz w:val="20"/>
          <w:szCs w:val="20"/>
        </w:rPr>
        <w:t xml:space="preserve"> </w:t>
      </w:r>
      <w:r>
        <w:rPr>
          <w:rFonts w:ascii="宋体" w:hAnsi="宋体" w:eastAsia="宋体" w:cs="宋体"/>
          <w:spacing w:val="4"/>
          <w:sz w:val="20"/>
          <w:szCs w:val="20"/>
        </w:rPr>
        <w:t>不利物质条件的范围：</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617EE28E">
      <w:pPr>
        <w:spacing w:line="254" w:lineRule="auto"/>
        <w:rPr>
          <w:rFonts w:ascii="Arial"/>
          <w:sz w:val="21"/>
        </w:rPr>
      </w:pPr>
    </w:p>
    <w:p w14:paraId="3FD9A609">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B98E397">
      <w:pPr>
        <w:pStyle w:val="2"/>
        <w:spacing w:before="238" w:line="222" w:lineRule="auto"/>
        <w:ind w:left="13"/>
        <w:outlineLvl w:val="2"/>
        <w:rPr>
          <w:sz w:val="28"/>
          <w:szCs w:val="28"/>
        </w:rPr>
      </w:pPr>
      <w:bookmarkStart w:id="243" w:name="bookmark224"/>
      <w:bookmarkEnd w:id="243"/>
      <w:r>
        <w:rPr>
          <w:rFonts w:ascii="Times New Roman" w:hAnsi="Times New Roman" w:eastAsia="Times New Roman" w:cs="Times New Roman"/>
          <w:spacing w:val="-2"/>
          <w:sz w:val="28"/>
          <w:szCs w:val="28"/>
        </w:rPr>
        <w:t>5.</w:t>
      </w:r>
      <w:r>
        <w:rPr>
          <w:spacing w:val="-2"/>
          <w:sz w:val="28"/>
          <w:szCs w:val="28"/>
        </w:rPr>
        <w:t>材料和工程设备</w:t>
      </w:r>
    </w:p>
    <w:p w14:paraId="25BAA0BC">
      <w:pPr>
        <w:pStyle w:val="2"/>
        <w:spacing w:before="96" w:line="222" w:lineRule="auto"/>
        <w:ind w:left="11"/>
        <w:rPr>
          <w:sz w:val="24"/>
          <w:szCs w:val="24"/>
        </w:rPr>
      </w:pPr>
      <w:r>
        <w:rPr>
          <w:rFonts w:ascii="Times New Roman" w:hAnsi="Times New Roman" w:eastAsia="Times New Roman" w:cs="Times New Roman"/>
          <w:spacing w:val="-1"/>
          <w:sz w:val="24"/>
          <w:szCs w:val="24"/>
        </w:rPr>
        <w:t xml:space="preserve">5.1 </w:t>
      </w:r>
      <w:r>
        <w:rPr>
          <w:spacing w:val="-1"/>
          <w:sz w:val="24"/>
          <w:szCs w:val="24"/>
        </w:rPr>
        <w:t>承包人提供的材料和工程设备</w:t>
      </w:r>
    </w:p>
    <w:p w14:paraId="3CFF3686">
      <w:pPr>
        <w:spacing w:before="152" w:line="388" w:lineRule="auto"/>
        <w:ind w:left="8" w:firstLine="424"/>
        <w:rPr>
          <w:rFonts w:ascii="宋体" w:hAnsi="宋体" w:eastAsia="宋体" w:cs="宋体"/>
          <w:sz w:val="20"/>
          <w:szCs w:val="20"/>
        </w:rPr>
      </w:pPr>
      <w:r>
        <w:rPr>
          <w:rFonts w:ascii="宋体" w:hAnsi="宋体" w:eastAsia="宋体" w:cs="宋体"/>
          <w:spacing w:val="8"/>
          <w:sz w:val="20"/>
          <w:szCs w:val="20"/>
        </w:rPr>
        <w:t>5.1.1</w:t>
      </w:r>
      <w:r>
        <w:rPr>
          <w:rFonts w:ascii="宋体" w:hAnsi="宋体" w:eastAsia="宋体" w:cs="宋体"/>
          <w:spacing w:val="-25"/>
          <w:sz w:val="20"/>
          <w:szCs w:val="20"/>
        </w:rPr>
        <w:t xml:space="preserve"> </w:t>
      </w:r>
      <w:r>
        <w:rPr>
          <w:rFonts w:ascii="宋体" w:hAnsi="宋体" w:eastAsia="宋体" w:cs="宋体"/>
          <w:spacing w:val="8"/>
          <w:sz w:val="20"/>
          <w:szCs w:val="20"/>
        </w:rPr>
        <w:t>除专用合同条款第</w:t>
      </w:r>
      <w:r>
        <w:rPr>
          <w:rFonts w:ascii="宋体" w:hAnsi="宋体" w:eastAsia="宋体" w:cs="宋体"/>
          <w:spacing w:val="-33"/>
          <w:sz w:val="20"/>
          <w:szCs w:val="20"/>
        </w:rPr>
        <w:t xml:space="preserve"> </w:t>
      </w:r>
      <w:r>
        <w:rPr>
          <w:rFonts w:ascii="宋体" w:hAnsi="宋体" w:eastAsia="宋体" w:cs="宋体"/>
          <w:spacing w:val="8"/>
          <w:sz w:val="20"/>
          <w:szCs w:val="20"/>
        </w:rPr>
        <w:t>5.2</w:t>
      </w:r>
      <w:r>
        <w:rPr>
          <w:rFonts w:ascii="宋体" w:hAnsi="宋体" w:eastAsia="宋体" w:cs="宋体"/>
          <w:spacing w:val="-37"/>
          <w:sz w:val="20"/>
          <w:szCs w:val="20"/>
        </w:rPr>
        <w:t xml:space="preserve"> </w:t>
      </w:r>
      <w:r>
        <w:rPr>
          <w:rFonts w:ascii="宋体" w:hAnsi="宋体" w:eastAsia="宋体" w:cs="宋体"/>
          <w:spacing w:val="8"/>
          <w:sz w:val="20"/>
          <w:szCs w:val="20"/>
        </w:rPr>
        <w:t>款约定由发包人提供的材料和工程设备外，</w:t>
      </w:r>
      <w:r>
        <w:rPr>
          <w:rFonts w:ascii="宋体" w:hAnsi="宋体" w:eastAsia="宋体" w:cs="宋体"/>
          <w:spacing w:val="-58"/>
          <w:sz w:val="20"/>
          <w:szCs w:val="20"/>
        </w:rPr>
        <w:t xml:space="preserve"> </w:t>
      </w:r>
      <w:r>
        <w:rPr>
          <w:rFonts w:ascii="宋体" w:hAnsi="宋体" w:eastAsia="宋体" w:cs="宋体"/>
          <w:spacing w:val="8"/>
          <w:sz w:val="20"/>
          <w:szCs w:val="20"/>
        </w:rPr>
        <w:t>由承包</w:t>
      </w:r>
      <w:r>
        <w:rPr>
          <w:rFonts w:ascii="宋体" w:hAnsi="宋体" w:eastAsia="宋体" w:cs="宋体"/>
          <w:spacing w:val="7"/>
          <w:sz w:val="20"/>
          <w:szCs w:val="20"/>
        </w:rPr>
        <w:t>人提供的材</w:t>
      </w:r>
      <w:r>
        <w:rPr>
          <w:rFonts w:ascii="宋体" w:hAnsi="宋体" w:eastAsia="宋体" w:cs="宋体"/>
          <w:spacing w:val="10"/>
          <w:sz w:val="20"/>
          <w:szCs w:val="20"/>
        </w:rPr>
        <w:t>料和工程设备均由承包人负责采购、运输和保管。但是，发包人在工程量</w:t>
      </w:r>
      <w:r>
        <w:rPr>
          <w:rFonts w:ascii="宋体" w:hAnsi="宋体" w:eastAsia="宋体" w:cs="宋体"/>
          <w:spacing w:val="9"/>
          <w:sz w:val="20"/>
          <w:szCs w:val="20"/>
        </w:rPr>
        <w:t>清单中给定暂估价的材</w:t>
      </w:r>
      <w:r>
        <w:rPr>
          <w:rFonts w:ascii="宋体" w:hAnsi="宋体" w:eastAsia="宋体" w:cs="宋体"/>
          <w:spacing w:val="10"/>
          <w:sz w:val="20"/>
          <w:szCs w:val="20"/>
        </w:rPr>
        <w:t>料和工程设备，包括从暂列金额开支的材料和工程设备，其中属于依法必</w:t>
      </w:r>
      <w:r>
        <w:rPr>
          <w:rFonts w:ascii="宋体" w:hAnsi="宋体" w:eastAsia="宋体" w:cs="宋体"/>
          <w:spacing w:val="9"/>
          <w:sz w:val="20"/>
          <w:szCs w:val="20"/>
        </w:rPr>
        <w:t>须招标的范围并达到规</w:t>
      </w:r>
      <w:r>
        <w:rPr>
          <w:rFonts w:ascii="宋体" w:hAnsi="宋体" w:eastAsia="宋体" w:cs="宋体"/>
          <w:spacing w:val="10"/>
          <w:sz w:val="20"/>
          <w:szCs w:val="20"/>
        </w:rPr>
        <w:t>定的规模标准的，以及虽不属于依法必须招标的范围但合同中约定采用招</w:t>
      </w:r>
      <w:r>
        <w:rPr>
          <w:rFonts w:ascii="宋体" w:hAnsi="宋体" w:eastAsia="宋体" w:cs="宋体"/>
          <w:spacing w:val="9"/>
          <w:sz w:val="20"/>
          <w:szCs w:val="20"/>
        </w:rPr>
        <w:t>标方式采购的，应当按</w:t>
      </w:r>
      <w:r>
        <w:rPr>
          <w:rFonts w:ascii="宋体" w:hAnsi="宋体" w:eastAsia="宋体" w:cs="宋体"/>
          <w:spacing w:val="6"/>
          <w:sz w:val="20"/>
          <w:szCs w:val="20"/>
        </w:rPr>
        <w:t>专用合同条款第</w:t>
      </w:r>
      <w:r>
        <w:rPr>
          <w:rFonts w:ascii="宋体" w:hAnsi="宋体" w:eastAsia="宋体" w:cs="宋体"/>
          <w:spacing w:val="-23"/>
          <w:sz w:val="20"/>
          <w:szCs w:val="20"/>
        </w:rPr>
        <w:t xml:space="preserve"> </w:t>
      </w:r>
      <w:r>
        <w:rPr>
          <w:rFonts w:ascii="宋体" w:hAnsi="宋体" w:eastAsia="宋体" w:cs="宋体"/>
          <w:spacing w:val="6"/>
          <w:sz w:val="20"/>
          <w:szCs w:val="20"/>
        </w:rPr>
        <w:t>15.8.1</w:t>
      </w:r>
      <w:r>
        <w:rPr>
          <w:rFonts w:ascii="宋体" w:hAnsi="宋体" w:eastAsia="宋体" w:cs="宋体"/>
          <w:spacing w:val="-35"/>
          <w:sz w:val="20"/>
          <w:szCs w:val="20"/>
        </w:rPr>
        <w:t xml:space="preserve"> </w:t>
      </w:r>
      <w:r>
        <w:rPr>
          <w:rFonts w:ascii="宋体" w:hAnsi="宋体" w:eastAsia="宋体" w:cs="宋体"/>
          <w:spacing w:val="6"/>
          <w:sz w:val="20"/>
          <w:szCs w:val="20"/>
        </w:rPr>
        <w:t>项的约定，由发包人和承包人以招标方式确定专项供应商。承包</w:t>
      </w:r>
      <w:r>
        <w:rPr>
          <w:rFonts w:ascii="宋体" w:hAnsi="宋体" w:eastAsia="宋体" w:cs="宋体"/>
          <w:spacing w:val="5"/>
          <w:sz w:val="20"/>
          <w:szCs w:val="20"/>
        </w:rPr>
        <w:t>人负责提</w:t>
      </w:r>
      <w:r>
        <w:rPr>
          <w:rFonts w:ascii="宋体" w:hAnsi="宋体" w:eastAsia="宋体" w:cs="宋体"/>
          <w:spacing w:val="1"/>
          <w:sz w:val="20"/>
          <w:szCs w:val="20"/>
        </w:rPr>
        <w:t>供的主要材料和工程设备清单见第五章“工程量清单</w:t>
      </w:r>
      <w:r>
        <w:rPr>
          <w:rFonts w:ascii="宋体" w:hAnsi="宋体" w:eastAsia="宋体" w:cs="宋体"/>
          <w:spacing w:val="-73"/>
          <w:sz w:val="20"/>
          <w:szCs w:val="20"/>
        </w:rPr>
        <w:t xml:space="preserve"> </w:t>
      </w:r>
      <w:r>
        <w:rPr>
          <w:rFonts w:ascii="宋体" w:hAnsi="宋体" w:eastAsia="宋体" w:cs="宋体"/>
          <w:spacing w:val="1"/>
          <w:sz w:val="20"/>
          <w:szCs w:val="20"/>
        </w:rPr>
        <w:t>”</w:t>
      </w:r>
      <w:r>
        <w:rPr>
          <w:rFonts w:ascii="宋体" w:hAnsi="宋体" w:eastAsia="宋体" w:cs="宋体"/>
          <w:sz w:val="20"/>
          <w:szCs w:val="20"/>
        </w:rPr>
        <w:t>的“承包人提供的材料和工程设备一览表</w:t>
      </w:r>
      <w:r>
        <w:rPr>
          <w:rFonts w:ascii="宋体" w:hAnsi="宋体" w:eastAsia="宋体" w:cs="宋体"/>
          <w:spacing w:val="-70"/>
          <w:sz w:val="20"/>
          <w:szCs w:val="20"/>
        </w:rPr>
        <w:t xml:space="preserve"> </w:t>
      </w:r>
      <w:r>
        <w:rPr>
          <w:rFonts w:ascii="宋体" w:hAnsi="宋体" w:eastAsia="宋体" w:cs="宋体"/>
          <w:sz w:val="20"/>
          <w:szCs w:val="20"/>
        </w:rPr>
        <w:t>”。</w:t>
      </w:r>
    </w:p>
    <w:p w14:paraId="78AAD943">
      <w:pPr>
        <w:spacing w:before="1" w:line="368" w:lineRule="auto"/>
        <w:ind w:left="9" w:right="73" w:firstLine="423"/>
        <w:rPr>
          <w:rFonts w:ascii="宋体" w:hAnsi="宋体" w:eastAsia="宋体" w:cs="宋体"/>
          <w:sz w:val="20"/>
          <w:szCs w:val="20"/>
        </w:rPr>
      </w:pPr>
      <w:r>
        <w:rPr>
          <w:rFonts w:ascii="宋体" w:hAnsi="宋体" w:eastAsia="宋体" w:cs="宋体"/>
          <w:spacing w:val="10"/>
          <w:sz w:val="20"/>
          <w:szCs w:val="20"/>
        </w:rPr>
        <w:t>5.1.2</w:t>
      </w:r>
      <w:r>
        <w:rPr>
          <w:rFonts w:ascii="宋体" w:hAnsi="宋体" w:eastAsia="宋体" w:cs="宋体"/>
          <w:spacing w:val="-36"/>
          <w:sz w:val="20"/>
          <w:szCs w:val="20"/>
        </w:rPr>
        <w:t xml:space="preserve"> </w:t>
      </w:r>
      <w:r>
        <w:rPr>
          <w:rFonts w:ascii="宋体" w:hAnsi="宋体" w:eastAsia="宋体" w:cs="宋体"/>
          <w:spacing w:val="10"/>
          <w:sz w:val="20"/>
          <w:szCs w:val="20"/>
        </w:rPr>
        <w:t>承包人将由其提供的材料和工程设备的供货人及品种、规格、数量和供货时间等报送</w:t>
      </w:r>
      <w:r>
        <w:rPr>
          <w:rFonts w:ascii="宋体" w:hAnsi="宋体" w:eastAsia="宋体" w:cs="宋体"/>
          <w:spacing w:val="6"/>
          <w:sz w:val="20"/>
          <w:szCs w:val="20"/>
        </w:rPr>
        <w:t>监理人审批的期限：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C186CB8">
      <w:pPr>
        <w:pStyle w:val="2"/>
        <w:spacing w:before="1" w:line="220" w:lineRule="auto"/>
        <w:ind w:left="11"/>
        <w:rPr>
          <w:sz w:val="24"/>
          <w:szCs w:val="24"/>
        </w:rPr>
      </w:pPr>
      <w:r>
        <w:rPr>
          <w:rFonts w:ascii="Times New Roman" w:hAnsi="Times New Roman" w:eastAsia="Times New Roman" w:cs="Times New Roman"/>
          <w:spacing w:val="-1"/>
          <w:sz w:val="24"/>
          <w:szCs w:val="24"/>
        </w:rPr>
        <w:t xml:space="preserve">5.2 </w:t>
      </w:r>
      <w:r>
        <w:rPr>
          <w:spacing w:val="-1"/>
          <w:sz w:val="24"/>
          <w:szCs w:val="24"/>
        </w:rPr>
        <w:t>发包人提供的材料和工程设备</w:t>
      </w:r>
    </w:p>
    <w:p w14:paraId="6DA9E97B">
      <w:pPr>
        <w:spacing w:before="154" w:line="389" w:lineRule="auto"/>
        <w:ind w:left="9" w:right="73" w:firstLine="423"/>
        <w:rPr>
          <w:rFonts w:ascii="宋体" w:hAnsi="宋体" w:eastAsia="宋体" w:cs="宋体"/>
          <w:sz w:val="20"/>
          <w:szCs w:val="20"/>
        </w:rPr>
      </w:pPr>
      <w:r>
        <w:rPr>
          <w:rFonts w:ascii="宋体" w:hAnsi="宋体" w:eastAsia="宋体" w:cs="宋体"/>
          <w:spacing w:val="10"/>
          <w:sz w:val="20"/>
          <w:szCs w:val="20"/>
        </w:rPr>
        <w:t>5.2.1</w:t>
      </w:r>
      <w:r>
        <w:rPr>
          <w:rFonts w:ascii="宋体" w:hAnsi="宋体" w:eastAsia="宋体" w:cs="宋体"/>
          <w:spacing w:val="-34"/>
          <w:sz w:val="20"/>
          <w:szCs w:val="20"/>
        </w:rPr>
        <w:t xml:space="preserve"> </w:t>
      </w:r>
      <w:r>
        <w:rPr>
          <w:rFonts w:ascii="宋体" w:hAnsi="宋体" w:eastAsia="宋体" w:cs="宋体"/>
          <w:spacing w:val="10"/>
          <w:sz w:val="20"/>
          <w:szCs w:val="20"/>
        </w:rPr>
        <w:t>发包人负责提供的材料和工程设备的名称、规格、数量、价格、交货方式、交货</w:t>
      </w:r>
      <w:r>
        <w:rPr>
          <w:rFonts w:ascii="宋体" w:hAnsi="宋体" w:eastAsia="宋体" w:cs="宋体"/>
          <w:spacing w:val="9"/>
          <w:sz w:val="20"/>
          <w:szCs w:val="20"/>
        </w:rPr>
        <w:t>地点</w:t>
      </w:r>
      <w:r>
        <w:rPr>
          <w:rFonts w:ascii="宋体" w:hAnsi="宋体" w:eastAsia="宋体" w:cs="宋体"/>
          <w:spacing w:val="8"/>
          <w:sz w:val="20"/>
          <w:szCs w:val="20"/>
        </w:rPr>
        <w:t>和计划交货日期等见第五章“工程量清单</w:t>
      </w:r>
      <w:r>
        <w:rPr>
          <w:rFonts w:ascii="宋体" w:hAnsi="宋体" w:eastAsia="宋体" w:cs="宋体"/>
          <w:spacing w:val="-70"/>
          <w:sz w:val="20"/>
          <w:szCs w:val="20"/>
        </w:rPr>
        <w:t xml:space="preserve"> </w:t>
      </w:r>
      <w:r>
        <w:rPr>
          <w:rFonts w:ascii="宋体" w:hAnsi="宋体" w:eastAsia="宋体" w:cs="宋体"/>
          <w:spacing w:val="8"/>
          <w:sz w:val="20"/>
          <w:szCs w:val="20"/>
        </w:rPr>
        <w:t>”的“发包人提供的材料和工程设备</w:t>
      </w:r>
      <w:r>
        <w:rPr>
          <w:rFonts w:ascii="宋体" w:hAnsi="宋体" w:eastAsia="宋体" w:cs="宋体"/>
          <w:spacing w:val="7"/>
          <w:sz w:val="20"/>
          <w:szCs w:val="20"/>
        </w:rPr>
        <w:t>一览表</w:t>
      </w:r>
      <w:r>
        <w:rPr>
          <w:rFonts w:ascii="宋体" w:hAnsi="宋体" w:eastAsia="宋体" w:cs="宋体"/>
          <w:spacing w:val="-70"/>
          <w:sz w:val="20"/>
          <w:szCs w:val="20"/>
        </w:rPr>
        <w:t xml:space="preserve"> </w:t>
      </w:r>
      <w:r>
        <w:rPr>
          <w:rFonts w:ascii="宋体" w:hAnsi="宋体" w:eastAsia="宋体" w:cs="宋体"/>
          <w:spacing w:val="7"/>
          <w:sz w:val="20"/>
          <w:szCs w:val="20"/>
        </w:rPr>
        <w:t>”。</w:t>
      </w:r>
    </w:p>
    <w:p w14:paraId="015D5E07">
      <w:pPr>
        <w:spacing w:line="389" w:lineRule="auto"/>
        <w:rPr>
          <w:rFonts w:ascii="宋体" w:hAnsi="宋体" w:eastAsia="宋体" w:cs="宋体"/>
          <w:sz w:val="20"/>
          <w:szCs w:val="20"/>
        </w:rPr>
        <w:sectPr>
          <w:footerReference r:id="rId204" w:type="default"/>
          <w:pgSz w:w="11906" w:h="16839"/>
          <w:pgMar w:top="400" w:right="1483" w:bottom="1038" w:left="1531" w:header="0" w:footer="787" w:gutter="0"/>
          <w:cols w:space="720" w:num="1"/>
        </w:sectPr>
      </w:pPr>
    </w:p>
    <w:p w14:paraId="369178A4">
      <w:pPr>
        <w:spacing w:line="275" w:lineRule="auto"/>
        <w:rPr>
          <w:rFonts w:ascii="Arial"/>
          <w:sz w:val="21"/>
        </w:rPr>
      </w:pPr>
    </w:p>
    <w:p w14:paraId="712D4527">
      <w:pPr>
        <w:spacing w:line="275" w:lineRule="auto"/>
        <w:rPr>
          <w:rFonts w:ascii="Arial"/>
          <w:sz w:val="21"/>
        </w:rPr>
      </w:pPr>
    </w:p>
    <w:p w14:paraId="6130287A">
      <w:pPr>
        <w:spacing w:line="275" w:lineRule="auto"/>
        <w:rPr>
          <w:rFonts w:ascii="Arial"/>
          <w:sz w:val="21"/>
        </w:rPr>
      </w:pPr>
    </w:p>
    <w:p w14:paraId="200438CB">
      <w:pPr>
        <w:spacing w:line="276" w:lineRule="auto"/>
        <w:rPr>
          <w:rFonts w:ascii="Arial"/>
          <w:sz w:val="21"/>
        </w:rPr>
      </w:pPr>
    </w:p>
    <w:p w14:paraId="74ACBA8E">
      <w:pPr>
        <w:spacing w:before="65" w:line="227" w:lineRule="auto"/>
        <w:ind w:left="432"/>
        <w:rPr>
          <w:rFonts w:ascii="宋体" w:hAnsi="宋体" w:eastAsia="宋体" w:cs="宋体"/>
          <w:sz w:val="20"/>
          <w:szCs w:val="20"/>
        </w:rPr>
      </w:pPr>
      <w:r>
        <w:rPr>
          <w:rFonts w:ascii="宋体" w:hAnsi="宋体" w:eastAsia="宋体" w:cs="宋体"/>
          <w:spacing w:val="7"/>
          <w:sz w:val="20"/>
          <w:szCs w:val="20"/>
        </w:rPr>
        <w:t>5.2.3</w:t>
      </w:r>
      <w:r>
        <w:rPr>
          <w:rFonts w:ascii="宋体" w:hAnsi="宋体" w:eastAsia="宋体" w:cs="宋体"/>
          <w:spacing w:val="-15"/>
          <w:sz w:val="20"/>
          <w:szCs w:val="20"/>
        </w:rPr>
        <w:t xml:space="preserve"> </w:t>
      </w:r>
      <w:r>
        <w:rPr>
          <w:rFonts w:ascii="宋体" w:hAnsi="宋体" w:eastAsia="宋体" w:cs="宋体"/>
          <w:spacing w:val="7"/>
          <w:sz w:val="20"/>
          <w:szCs w:val="20"/>
        </w:rPr>
        <w:t>由发包人提供的材料和工程设备验收后，</w:t>
      </w:r>
      <w:r>
        <w:rPr>
          <w:rFonts w:ascii="宋体" w:hAnsi="宋体" w:eastAsia="宋体" w:cs="宋体"/>
          <w:spacing w:val="-58"/>
          <w:sz w:val="20"/>
          <w:szCs w:val="20"/>
        </w:rPr>
        <w:t xml:space="preserve"> </w:t>
      </w:r>
      <w:r>
        <w:rPr>
          <w:rFonts w:ascii="宋体" w:hAnsi="宋体" w:eastAsia="宋体" w:cs="宋体"/>
          <w:spacing w:val="7"/>
          <w:sz w:val="20"/>
          <w:szCs w:val="20"/>
        </w:rPr>
        <w:t>由承</w:t>
      </w:r>
      <w:r>
        <w:rPr>
          <w:rFonts w:ascii="宋体" w:hAnsi="宋体" w:eastAsia="宋体" w:cs="宋体"/>
          <w:spacing w:val="6"/>
          <w:sz w:val="20"/>
          <w:szCs w:val="20"/>
        </w:rPr>
        <w:t>包人负责接收、运输和保管。</w:t>
      </w:r>
    </w:p>
    <w:p w14:paraId="43A279AF">
      <w:pPr>
        <w:pStyle w:val="2"/>
        <w:spacing w:before="199" w:line="222" w:lineRule="auto"/>
        <w:ind w:left="12"/>
        <w:outlineLvl w:val="2"/>
        <w:rPr>
          <w:sz w:val="28"/>
          <w:szCs w:val="28"/>
        </w:rPr>
      </w:pPr>
      <w:bookmarkStart w:id="244" w:name="bookmark225"/>
      <w:bookmarkEnd w:id="244"/>
      <w:r>
        <w:rPr>
          <w:rFonts w:ascii="Times New Roman" w:hAnsi="Times New Roman" w:eastAsia="Times New Roman" w:cs="Times New Roman"/>
          <w:spacing w:val="-2"/>
          <w:sz w:val="28"/>
          <w:szCs w:val="28"/>
        </w:rPr>
        <w:t>6.</w:t>
      </w:r>
      <w:r>
        <w:rPr>
          <w:spacing w:val="-2"/>
          <w:sz w:val="28"/>
          <w:szCs w:val="28"/>
        </w:rPr>
        <w:t>施工设备和临时设施</w:t>
      </w:r>
    </w:p>
    <w:p w14:paraId="5271BA95">
      <w:pPr>
        <w:pStyle w:val="2"/>
        <w:spacing w:before="95" w:line="222" w:lineRule="auto"/>
        <w:ind w:left="10"/>
        <w:rPr>
          <w:sz w:val="24"/>
          <w:szCs w:val="24"/>
        </w:rPr>
      </w:pPr>
      <w:r>
        <w:rPr>
          <w:rFonts w:ascii="Times New Roman" w:hAnsi="Times New Roman" w:eastAsia="Times New Roman" w:cs="Times New Roman"/>
          <w:spacing w:val="-1"/>
          <w:sz w:val="24"/>
          <w:szCs w:val="24"/>
        </w:rPr>
        <w:t xml:space="preserve">6.1 </w:t>
      </w:r>
      <w:r>
        <w:rPr>
          <w:spacing w:val="-1"/>
          <w:sz w:val="24"/>
          <w:szCs w:val="24"/>
        </w:rPr>
        <w:t>承包人提供的施工设备和临时设施</w:t>
      </w:r>
    </w:p>
    <w:p w14:paraId="32889DDE">
      <w:pPr>
        <w:spacing w:before="153" w:line="228" w:lineRule="auto"/>
        <w:ind w:left="430"/>
        <w:rPr>
          <w:rFonts w:ascii="宋体" w:hAnsi="宋体" w:eastAsia="宋体" w:cs="宋体"/>
          <w:sz w:val="20"/>
          <w:szCs w:val="20"/>
        </w:rPr>
      </w:pPr>
      <w:r>
        <w:rPr>
          <w:rFonts w:ascii="宋体" w:hAnsi="宋体" w:eastAsia="宋体" w:cs="宋体"/>
          <w:spacing w:val="6"/>
          <w:sz w:val="20"/>
          <w:szCs w:val="20"/>
        </w:rPr>
        <w:t>6.1.2</w:t>
      </w:r>
      <w:r>
        <w:rPr>
          <w:rFonts w:ascii="宋体" w:hAnsi="宋体" w:eastAsia="宋体" w:cs="宋体"/>
          <w:spacing w:val="-33"/>
          <w:sz w:val="20"/>
          <w:szCs w:val="20"/>
        </w:rPr>
        <w:t xml:space="preserve"> </w:t>
      </w:r>
      <w:r>
        <w:rPr>
          <w:rFonts w:ascii="宋体" w:hAnsi="宋体" w:eastAsia="宋体" w:cs="宋体"/>
          <w:spacing w:val="6"/>
          <w:sz w:val="20"/>
          <w:szCs w:val="20"/>
        </w:rPr>
        <w:t>发包人承担修建临时设施的费用的范围：</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09D9E4FC">
      <w:pPr>
        <w:spacing w:before="173" w:line="228" w:lineRule="auto"/>
        <w:ind w:left="439"/>
        <w:rPr>
          <w:rFonts w:ascii="宋体" w:hAnsi="宋体" w:eastAsia="宋体" w:cs="宋体"/>
          <w:sz w:val="20"/>
          <w:szCs w:val="20"/>
        </w:rPr>
      </w:pPr>
      <w:r>
        <w:rPr>
          <w:rFonts w:ascii="宋体" w:hAnsi="宋体" w:eastAsia="宋体" w:cs="宋体"/>
          <w:spacing w:val="9"/>
          <w:sz w:val="20"/>
          <w:szCs w:val="20"/>
        </w:rPr>
        <w:t>需要发包人办理申请手续和承担相关费用的临时占地：</w:t>
      </w:r>
      <w:r>
        <w:rPr>
          <w:rFonts w:ascii="宋体" w:hAnsi="宋体" w:eastAsia="宋体" w:cs="宋体"/>
          <w:sz w:val="20"/>
          <w:szCs w:val="20"/>
          <w:u w:val="single" w:color="auto"/>
        </w:rPr>
        <w:t xml:space="preserve">                              </w:t>
      </w:r>
    </w:p>
    <w:p w14:paraId="29E6E9FA">
      <w:pPr>
        <w:spacing w:line="241" w:lineRule="auto"/>
        <w:rPr>
          <w:rFonts w:ascii="Arial"/>
          <w:sz w:val="21"/>
        </w:rPr>
      </w:pPr>
    </w:p>
    <w:p w14:paraId="584B4112">
      <w:pPr>
        <w:spacing w:before="65" w:line="46" w:lineRule="exact"/>
        <w:ind w:left="8217"/>
        <w:rPr>
          <w:rFonts w:ascii="宋体" w:hAnsi="宋体" w:eastAsia="宋体" w:cs="宋体"/>
          <w:sz w:val="20"/>
          <w:szCs w:val="20"/>
        </w:rPr>
      </w:pPr>
      <w:r>
        <w:pict>
          <v:shape id="_x0000_s1032" o:spid="_x0000_s1032" o:spt="202" type="#_x0000_t202" style="position:absolute;left:0pt;margin-left:-1pt;margin-top:-4.05pt;height:14.1pt;width:411.5pt;z-index:251673600;mso-width-relative:page;mso-height-relative:page;" filled="f" stroked="f" coordsize="21600,21600">
            <v:path/>
            <v:fill on="f" focussize="0,0"/>
            <v:stroke on="f"/>
            <v:imagedata o:title=""/>
            <o:lock v:ext="edit" aspectratio="f"/>
            <v:textbox inset="0mm,0mm,0mm,0mm">
              <w:txbxContent>
                <w:p w14:paraId="75A91EC3">
                  <w:pPr>
                    <w:tabs>
                      <w:tab w:val="left" w:pos="8207"/>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36AA70EC">
      <w:pPr>
        <w:pStyle w:val="2"/>
        <w:spacing w:before="198" w:line="221" w:lineRule="auto"/>
        <w:ind w:left="10"/>
        <w:rPr>
          <w:sz w:val="24"/>
          <w:szCs w:val="24"/>
        </w:rPr>
      </w:pPr>
      <w:r>
        <w:rPr>
          <w:rFonts w:ascii="Times New Roman" w:hAnsi="Times New Roman" w:eastAsia="Times New Roman" w:cs="Times New Roman"/>
          <w:spacing w:val="-1"/>
          <w:sz w:val="24"/>
          <w:szCs w:val="24"/>
        </w:rPr>
        <w:t xml:space="preserve">6.2 </w:t>
      </w:r>
      <w:r>
        <w:rPr>
          <w:spacing w:val="-1"/>
          <w:sz w:val="24"/>
          <w:szCs w:val="24"/>
        </w:rPr>
        <w:t>发包人提供的施工设备和临时设施</w:t>
      </w:r>
    </w:p>
    <w:p w14:paraId="05316939">
      <w:pPr>
        <w:spacing w:before="154" w:line="369" w:lineRule="auto"/>
        <w:ind w:left="431" w:right="406"/>
        <w:rPr>
          <w:rFonts w:ascii="宋体" w:hAnsi="宋体" w:eastAsia="宋体" w:cs="宋体"/>
          <w:sz w:val="20"/>
          <w:szCs w:val="20"/>
        </w:rPr>
      </w:pPr>
      <w:r>
        <w:rPr>
          <w:rFonts w:ascii="宋体" w:hAnsi="宋体" w:eastAsia="宋体" w:cs="宋体"/>
          <w:spacing w:val="6"/>
          <w:sz w:val="20"/>
          <w:szCs w:val="20"/>
        </w:rPr>
        <w:t>发包人提供的施工设备和临时设施：</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8"/>
          <w:sz w:val="20"/>
          <w:szCs w:val="20"/>
        </w:rPr>
        <w:t>发包人提供的施工设备和临时设施的运行、维护、拆除、清运费用的承担人：</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w:t>
      </w:r>
    </w:p>
    <w:p w14:paraId="4158D1CB">
      <w:pPr>
        <w:pStyle w:val="2"/>
        <w:spacing w:before="1" w:line="221" w:lineRule="auto"/>
        <w:ind w:left="10"/>
        <w:rPr>
          <w:sz w:val="24"/>
          <w:szCs w:val="24"/>
        </w:rPr>
      </w:pPr>
      <w:r>
        <w:rPr>
          <w:rFonts w:ascii="Times New Roman" w:hAnsi="Times New Roman" w:eastAsia="Times New Roman" w:cs="Times New Roman"/>
          <w:spacing w:val="-1"/>
          <w:sz w:val="24"/>
          <w:szCs w:val="24"/>
        </w:rPr>
        <w:t xml:space="preserve">6.4 </w:t>
      </w:r>
      <w:r>
        <w:rPr>
          <w:spacing w:val="-1"/>
          <w:sz w:val="24"/>
          <w:szCs w:val="24"/>
        </w:rPr>
        <w:t>施工设备和临时设施专用于合同工程</w:t>
      </w:r>
    </w:p>
    <w:p w14:paraId="4507825F">
      <w:pPr>
        <w:spacing w:before="154" w:line="389" w:lineRule="auto"/>
        <w:ind w:left="8" w:firstLine="421"/>
        <w:rPr>
          <w:rFonts w:ascii="宋体" w:hAnsi="宋体" w:eastAsia="宋体" w:cs="宋体"/>
          <w:sz w:val="20"/>
          <w:szCs w:val="20"/>
        </w:rPr>
      </w:pPr>
      <w:r>
        <w:rPr>
          <w:rFonts w:ascii="宋体" w:hAnsi="宋体" w:eastAsia="宋体" w:cs="宋体"/>
          <w:spacing w:val="8"/>
          <w:sz w:val="20"/>
          <w:szCs w:val="20"/>
        </w:rPr>
        <w:t>6.4.1</w:t>
      </w:r>
      <w:r>
        <w:rPr>
          <w:rFonts w:ascii="宋体" w:hAnsi="宋体" w:eastAsia="宋体" w:cs="宋体"/>
          <w:spacing w:val="-45"/>
          <w:sz w:val="20"/>
          <w:szCs w:val="20"/>
        </w:rPr>
        <w:t xml:space="preserve"> </w:t>
      </w:r>
      <w:r>
        <w:rPr>
          <w:rFonts w:ascii="宋体" w:hAnsi="宋体" w:eastAsia="宋体" w:cs="宋体"/>
          <w:spacing w:val="8"/>
          <w:sz w:val="20"/>
          <w:szCs w:val="20"/>
        </w:rPr>
        <w:t>除为专用合同条款第4.1.8</w:t>
      </w:r>
      <w:r>
        <w:rPr>
          <w:rFonts w:ascii="宋体" w:hAnsi="宋体" w:eastAsia="宋体" w:cs="宋体"/>
          <w:spacing w:val="-52"/>
          <w:sz w:val="20"/>
          <w:szCs w:val="20"/>
        </w:rPr>
        <w:t xml:space="preserve"> </w:t>
      </w:r>
      <w:r>
        <w:rPr>
          <w:rFonts w:ascii="宋体" w:hAnsi="宋体" w:eastAsia="宋体" w:cs="宋体"/>
          <w:spacing w:val="8"/>
          <w:sz w:val="20"/>
          <w:szCs w:val="20"/>
        </w:rPr>
        <w:t>项约定的其他</w:t>
      </w:r>
      <w:r>
        <w:rPr>
          <w:rFonts w:ascii="宋体" w:hAnsi="宋体" w:eastAsia="宋体" w:cs="宋体"/>
          <w:spacing w:val="7"/>
          <w:sz w:val="20"/>
          <w:szCs w:val="20"/>
        </w:rPr>
        <w:t>独立承包人和监理人指示的他人提供条件外，</w:t>
      </w:r>
      <w:r>
        <w:rPr>
          <w:rFonts w:ascii="宋体" w:hAnsi="宋体" w:eastAsia="宋体" w:cs="宋体"/>
          <w:spacing w:val="10"/>
          <w:sz w:val="20"/>
          <w:szCs w:val="20"/>
        </w:rPr>
        <w:t>承包人运入施工场地的所有施工设备以及在</w:t>
      </w:r>
      <w:r>
        <w:rPr>
          <w:rFonts w:ascii="宋体" w:hAnsi="宋体" w:eastAsia="宋体" w:cs="宋体"/>
          <w:spacing w:val="9"/>
          <w:sz w:val="20"/>
          <w:szCs w:val="20"/>
        </w:rPr>
        <w:t>施工场地建设的临时设施仅限于用于合同工程。</w:t>
      </w:r>
    </w:p>
    <w:p w14:paraId="4216B32D">
      <w:pPr>
        <w:pStyle w:val="2"/>
        <w:spacing w:before="20" w:line="222" w:lineRule="auto"/>
        <w:ind w:left="10"/>
        <w:outlineLvl w:val="2"/>
        <w:rPr>
          <w:sz w:val="28"/>
          <w:szCs w:val="28"/>
        </w:rPr>
      </w:pPr>
      <w:bookmarkStart w:id="245" w:name="bookmark226"/>
      <w:bookmarkEnd w:id="245"/>
      <w:r>
        <w:rPr>
          <w:rFonts w:ascii="Times New Roman" w:hAnsi="Times New Roman" w:eastAsia="Times New Roman" w:cs="Times New Roman"/>
          <w:spacing w:val="-2"/>
          <w:sz w:val="28"/>
          <w:szCs w:val="28"/>
        </w:rPr>
        <w:t>7.</w:t>
      </w:r>
      <w:r>
        <w:rPr>
          <w:spacing w:val="-2"/>
          <w:sz w:val="28"/>
          <w:szCs w:val="28"/>
        </w:rPr>
        <w:t>交通运输</w:t>
      </w:r>
    </w:p>
    <w:p w14:paraId="22ECE9BD">
      <w:pPr>
        <w:pStyle w:val="2"/>
        <w:spacing w:before="98" w:line="222" w:lineRule="auto"/>
        <w:ind w:left="9"/>
        <w:rPr>
          <w:sz w:val="24"/>
          <w:szCs w:val="24"/>
        </w:rPr>
      </w:pPr>
      <w:r>
        <w:rPr>
          <w:rFonts w:ascii="Times New Roman" w:hAnsi="Times New Roman" w:eastAsia="Times New Roman" w:cs="Times New Roman"/>
          <w:spacing w:val="-1"/>
          <w:sz w:val="24"/>
          <w:szCs w:val="24"/>
        </w:rPr>
        <w:t xml:space="preserve">7.1 </w:t>
      </w:r>
      <w:r>
        <w:rPr>
          <w:spacing w:val="-1"/>
          <w:sz w:val="24"/>
          <w:szCs w:val="24"/>
        </w:rPr>
        <w:t>道路通行权和场外设施</w:t>
      </w:r>
    </w:p>
    <w:p w14:paraId="0F60114F">
      <w:pPr>
        <w:spacing w:before="153" w:line="368" w:lineRule="auto"/>
        <w:ind w:left="8" w:right="56" w:firstLine="422"/>
        <w:rPr>
          <w:rFonts w:ascii="宋体" w:hAnsi="宋体" w:eastAsia="宋体" w:cs="宋体"/>
          <w:sz w:val="20"/>
          <w:szCs w:val="20"/>
        </w:rPr>
      </w:pPr>
      <w:r>
        <w:rPr>
          <w:rFonts w:ascii="宋体" w:hAnsi="宋体" w:eastAsia="宋体" w:cs="宋体"/>
          <w:spacing w:val="8"/>
          <w:sz w:val="20"/>
          <w:szCs w:val="20"/>
        </w:rPr>
        <w:t>取得道路通行权、场外设施修建权的办理人</w:t>
      </w:r>
      <w:r>
        <w:rPr>
          <w:rFonts w:ascii="宋体" w:hAnsi="宋体" w:eastAsia="宋体" w:cs="宋体"/>
          <w:spacing w:val="-19"/>
          <w:sz w:val="20"/>
          <w:szCs w:val="20"/>
        </w:rPr>
        <w:t>：</w:t>
      </w:r>
      <w:r>
        <w:rPr>
          <w:rFonts w:ascii="宋体" w:hAnsi="宋体" w:eastAsia="宋体" w:cs="宋体"/>
          <w:sz w:val="20"/>
          <w:szCs w:val="20"/>
          <w:u w:val="single" w:color="auto"/>
        </w:rPr>
        <w:t xml:space="preserve">                      </w:t>
      </w:r>
      <w:r>
        <w:rPr>
          <w:rFonts w:ascii="宋体" w:hAnsi="宋体" w:eastAsia="宋体" w:cs="宋体"/>
          <w:spacing w:val="-19"/>
          <w:sz w:val="20"/>
          <w:szCs w:val="20"/>
        </w:rPr>
        <w:t>，</w:t>
      </w:r>
      <w:r>
        <w:rPr>
          <w:rFonts w:ascii="宋体" w:hAnsi="宋体" w:eastAsia="宋体" w:cs="宋体"/>
          <w:spacing w:val="8"/>
          <w:sz w:val="20"/>
          <w:szCs w:val="20"/>
        </w:rPr>
        <w:t>其相关费用由</w:t>
      </w:r>
      <w:r>
        <w:rPr>
          <w:rFonts w:ascii="宋体" w:hAnsi="宋体" w:eastAsia="宋体" w:cs="宋体"/>
          <w:spacing w:val="7"/>
          <w:sz w:val="20"/>
          <w:szCs w:val="20"/>
        </w:rPr>
        <w:t>发包人</w:t>
      </w:r>
      <w:r>
        <w:rPr>
          <w:rFonts w:ascii="宋体" w:hAnsi="宋体" w:eastAsia="宋体" w:cs="宋体"/>
          <w:spacing w:val="3"/>
          <w:sz w:val="20"/>
          <w:szCs w:val="20"/>
        </w:rPr>
        <w:t>承担。</w:t>
      </w:r>
    </w:p>
    <w:p w14:paraId="26BACD65">
      <w:pPr>
        <w:pStyle w:val="2"/>
        <w:spacing w:before="1" w:line="223" w:lineRule="auto"/>
        <w:ind w:left="9"/>
        <w:rPr>
          <w:sz w:val="24"/>
          <w:szCs w:val="24"/>
        </w:rPr>
      </w:pPr>
      <w:r>
        <w:rPr>
          <w:rFonts w:ascii="Times New Roman" w:hAnsi="Times New Roman" w:eastAsia="Times New Roman" w:cs="Times New Roman"/>
          <w:spacing w:val="-1"/>
          <w:sz w:val="24"/>
          <w:szCs w:val="24"/>
        </w:rPr>
        <w:t xml:space="preserve">7.2 </w:t>
      </w:r>
      <w:r>
        <w:rPr>
          <w:spacing w:val="-1"/>
          <w:sz w:val="24"/>
          <w:szCs w:val="24"/>
        </w:rPr>
        <w:t>场内施工道路</w:t>
      </w:r>
    </w:p>
    <w:p w14:paraId="491AA594">
      <w:pPr>
        <w:spacing w:before="151" w:line="389" w:lineRule="auto"/>
        <w:ind w:left="19" w:right="56" w:firstLine="413"/>
        <w:rPr>
          <w:rFonts w:ascii="宋体" w:hAnsi="宋体" w:eastAsia="宋体" w:cs="宋体"/>
          <w:sz w:val="20"/>
          <w:szCs w:val="20"/>
        </w:rPr>
      </w:pPr>
      <w:r>
        <w:rPr>
          <w:rFonts w:ascii="宋体" w:hAnsi="宋体" w:eastAsia="宋体" w:cs="宋体"/>
          <w:spacing w:val="8"/>
          <w:sz w:val="20"/>
          <w:szCs w:val="20"/>
        </w:rPr>
        <w:t>7.2.1</w:t>
      </w:r>
      <w:r>
        <w:rPr>
          <w:rFonts w:ascii="宋体" w:hAnsi="宋体" w:eastAsia="宋体" w:cs="宋体"/>
          <w:spacing w:val="-42"/>
          <w:sz w:val="20"/>
          <w:szCs w:val="20"/>
        </w:rPr>
        <w:t xml:space="preserve"> </w:t>
      </w:r>
      <w:r>
        <w:rPr>
          <w:rFonts w:ascii="宋体" w:hAnsi="宋体" w:eastAsia="宋体" w:cs="宋体"/>
          <w:spacing w:val="8"/>
          <w:sz w:val="20"/>
          <w:szCs w:val="20"/>
        </w:rPr>
        <w:t>施工所需的场内临时道路和交通设施的修</w:t>
      </w:r>
      <w:r>
        <w:rPr>
          <w:rFonts w:ascii="宋体" w:hAnsi="宋体" w:eastAsia="宋体" w:cs="宋体"/>
          <w:spacing w:val="7"/>
          <w:sz w:val="20"/>
          <w:szCs w:val="20"/>
        </w:rPr>
        <w:t>建、维护、养护和管理人</w:t>
      </w:r>
      <w:r>
        <w:rPr>
          <w:rFonts w:ascii="宋体" w:hAnsi="宋体" w:eastAsia="宋体" w:cs="宋体"/>
          <w:spacing w:val="-11"/>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73"/>
          <w:sz w:val="20"/>
          <w:szCs w:val="20"/>
        </w:rPr>
        <w:t xml:space="preserve"> </w:t>
      </w:r>
      <w:r>
        <w:rPr>
          <w:rFonts w:ascii="宋体" w:hAnsi="宋体" w:eastAsia="宋体" w:cs="宋体"/>
          <w:spacing w:val="-11"/>
          <w:sz w:val="20"/>
          <w:szCs w:val="20"/>
        </w:rPr>
        <w:t>，</w:t>
      </w:r>
      <w:r>
        <w:rPr>
          <w:rFonts w:ascii="宋体" w:hAnsi="宋体" w:eastAsia="宋体" w:cs="宋体"/>
          <w:spacing w:val="7"/>
          <w:sz w:val="20"/>
          <w:szCs w:val="20"/>
        </w:rPr>
        <w:t>相关</w:t>
      </w:r>
      <w:r>
        <w:rPr>
          <w:rFonts w:ascii="宋体" w:hAnsi="宋体" w:eastAsia="宋体" w:cs="宋体"/>
          <w:spacing w:val="3"/>
          <w:sz w:val="20"/>
          <w:szCs w:val="20"/>
        </w:rPr>
        <w:t>费用由</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3"/>
          <w:sz w:val="20"/>
          <w:szCs w:val="20"/>
        </w:rPr>
        <w:t>承担。</w:t>
      </w:r>
    </w:p>
    <w:p w14:paraId="28CB3DE0">
      <w:pPr>
        <w:spacing w:before="14" w:line="380" w:lineRule="auto"/>
        <w:ind w:left="10" w:right="57" w:firstLine="423"/>
        <w:rPr>
          <w:rFonts w:ascii="宋体" w:hAnsi="宋体" w:eastAsia="宋体" w:cs="宋体"/>
          <w:sz w:val="20"/>
          <w:szCs w:val="20"/>
        </w:rPr>
      </w:pPr>
      <w:r>
        <w:rPr>
          <w:rFonts w:ascii="宋体" w:hAnsi="宋体" w:eastAsia="宋体" w:cs="宋体"/>
          <w:spacing w:val="10"/>
          <w:sz w:val="20"/>
          <w:szCs w:val="20"/>
        </w:rPr>
        <w:t>7.2.2</w:t>
      </w:r>
      <w:r>
        <w:rPr>
          <w:rFonts w:ascii="宋体" w:hAnsi="宋体" w:eastAsia="宋体" w:cs="宋体"/>
          <w:spacing w:val="-34"/>
          <w:sz w:val="20"/>
          <w:szCs w:val="20"/>
        </w:rPr>
        <w:t xml:space="preserve"> </w:t>
      </w:r>
      <w:r>
        <w:rPr>
          <w:rFonts w:ascii="宋体" w:hAnsi="宋体" w:eastAsia="宋体" w:cs="宋体"/>
          <w:spacing w:val="10"/>
          <w:sz w:val="20"/>
          <w:szCs w:val="20"/>
        </w:rPr>
        <w:t>发包人和监理人有权无偿使用承包人修建的临时道路和交通设施，不需要交纳</w:t>
      </w:r>
      <w:r>
        <w:rPr>
          <w:rFonts w:ascii="宋体" w:hAnsi="宋体" w:eastAsia="宋体" w:cs="宋体"/>
          <w:spacing w:val="9"/>
          <w:sz w:val="20"/>
          <w:szCs w:val="20"/>
        </w:rPr>
        <w:t>任何费</w:t>
      </w:r>
      <w:r>
        <w:rPr>
          <w:rFonts w:ascii="宋体" w:hAnsi="宋体" w:eastAsia="宋体" w:cs="宋体"/>
          <w:spacing w:val="-1"/>
          <w:sz w:val="20"/>
          <w:szCs w:val="20"/>
        </w:rPr>
        <w:t>用。</w:t>
      </w:r>
    </w:p>
    <w:p w14:paraId="6B35D093">
      <w:pPr>
        <w:pStyle w:val="2"/>
        <w:spacing w:line="221" w:lineRule="auto"/>
        <w:ind w:left="9"/>
        <w:rPr>
          <w:sz w:val="24"/>
          <w:szCs w:val="24"/>
        </w:rPr>
      </w:pPr>
      <w:r>
        <w:rPr>
          <w:rFonts w:ascii="Times New Roman" w:hAnsi="Times New Roman" w:eastAsia="Times New Roman" w:cs="Times New Roman"/>
          <w:spacing w:val="-1"/>
          <w:sz w:val="24"/>
          <w:szCs w:val="24"/>
        </w:rPr>
        <w:t xml:space="preserve">7.4 </w:t>
      </w:r>
      <w:r>
        <w:rPr>
          <w:spacing w:val="-1"/>
          <w:sz w:val="24"/>
          <w:szCs w:val="24"/>
        </w:rPr>
        <w:t>超大件和超重件的运输</w:t>
      </w:r>
    </w:p>
    <w:p w14:paraId="1AD5050A">
      <w:pPr>
        <w:spacing w:before="168" w:line="228" w:lineRule="auto"/>
        <w:ind w:left="428"/>
        <w:rPr>
          <w:rFonts w:ascii="宋体" w:hAnsi="宋体" w:eastAsia="宋体" w:cs="宋体"/>
          <w:sz w:val="20"/>
          <w:szCs w:val="20"/>
        </w:rPr>
      </w:pPr>
      <w:r>
        <w:rPr>
          <w:rFonts w:ascii="宋体" w:hAnsi="宋体" w:eastAsia="宋体" w:cs="宋体"/>
          <w:spacing w:val="8"/>
          <w:sz w:val="20"/>
          <w:szCs w:val="20"/>
        </w:rPr>
        <w:t>运输超大件或超重件所需的道路和桥梁临时加固改造等费用的承担人：</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w:t>
      </w:r>
    </w:p>
    <w:p w14:paraId="5EC935F6">
      <w:pPr>
        <w:pStyle w:val="2"/>
        <w:spacing w:before="201" w:line="220" w:lineRule="auto"/>
        <w:ind w:left="17"/>
        <w:outlineLvl w:val="2"/>
        <w:rPr>
          <w:sz w:val="28"/>
          <w:szCs w:val="28"/>
        </w:rPr>
      </w:pPr>
      <w:bookmarkStart w:id="246" w:name="bookmark227"/>
      <w:bookmarkEnd w:id="246"/>
      <w:r>
        <w:rPr>
          <w:rFonts w:ascii="Times New Roman" w:hAnsi="Times New Roman" w:eastAsia="Times New Roman" w:cs="Times New Roman"/>
          <w:spacing w:val="-3"/>
          <w:sz w:val="28"/>
          <w:szCs w:val="28"/>
        </w:rPr>
        <w:t>8.</w:t>
      </w:r>
      <w:r>
        <w:rPr>
          <w:spacing w:val="-3"/>
          <w:sz w:val="28"/>
          <w:szCs w:val="28"/>
        </w:rPr>
        <w:t>测量放线</w:t>
      </w:r>
    </w:p>
    <w:p w14:paraId="05AAB692">
      <w:pPr>
        <w:pStyle w:val="2"/>
        <w:spacing w:before="102" w:line="223" w:lineRule="auto"/>
        <w:ind w:left="14"/>
        <w:rPr>
          <w:sz w:val="24"/>
          <w:szCs w:val="24"/>
        </w:rPr>
      </w:pPr>
      <w:r>
        <w:rPr>
          <w:rFonts w:ascii="Times New Roman" w:hAnsi="Times New Roman" w:eastAsia="Times New Roman" w:cs="Times New Roman"/>
          <w:spacing w:val="-2"/>
          <w:sz w:val="24"/>
          <w:szCs w:val="24"/>
        </w:rPr>
        <w:t xml:space="preserve">8.1 </w:t>
      </w:r>
      <w:r>
        <w:rPr>
          <w:spacing w:val="-2"/>
          <w:sz w:val="24"/>
          <w:szCs w:val="24"/>
        </w:rPr>
        <w:t>施工控制网</w:t>
      </w:r>
    </w:p>
    <w:p w14:paraId="32A98952">
      <w:pPr>
        <w:spacing w:before="168" w:line="227" w:lineRule="auto"/>
        <w:ind w:left="429"/>
        <w:rPr>
          <w:rFonts w:ascii="宋体" w:hAnsi="宋体" w:eastAsia="宋体" w:cs="宋体"/>
          <w:sz w:val="20"/>
          <w:szCs w:val="20"/>
        </w:rPr>
      </w:pPr>
      <w:r>
        <w:rPr>
          <w:rFonts w:ascii="宋体" w:hAnsi="宋体" w:eastAsia="宋体" w:cs="宋体"/>
          <w:spacing w:val="9"/>
          <w:sz w:val="20"/>
          <w:szCs w:val="20"/>
        </w:rPr>
        <w:t>8.1.1</w:t>
      </w:r>
      <w:r>
        <w:rPr>
          <w:rFonts w:ascii="宋体" w:hAnsi="宋体" w:eastAsia="宋体" w:cs="宋体"/>
          <w:spacing w:val="-37"/>
          <w:sz w:val="20"/>
          <w:szCs w:val="20"/>
        </w:rPr>
        <w:t xml:space="preserve"> </w:t>
      </w:r>
      <w:r>
        <w:rPr>
          <w:rFonts w:ascii="宋体" w:hAnsi="宋体" w:eastAsia="宋体" w:cs="宋体"/>
          <w:spacing w:val="9"/>
          <w:sz w:val="20"/>
          <w:szCs w:val="20"/>
        </w:rPr>
        <w:t>发包人通过监理人提供测量基准点、基准线和水准点及</w:t>
      </w:r>
      <w:r>
        <w:rPr>
          <w:rFonts w:ascii="宋体" w:hAnsi="宋体" w:eastAsia="宋体" w:cs="宋体"/>
          <w:spacing w:val="8"/>
          <w:sz w:val="20"/>
          <w:szCs w:val="20"/>
        </w:rPr>
        <w:t>其书面资料的期限：</w:t>
      </w:r>
      <w:r>
        <w:rPr>
          <w:rFonts w:ascii="宋体" w:hAnsi="宋体" w:eastAsia="宋体" w:cs="宋体"/>
          <w:sz w:val="20"/>
          <w:szCs w:val="20"/>
          <w:u w:val="single" w:color="auto"/>
        </w:rPr>
        <w:t xml:space="preserve">      </w:t>
      </w:r>
    </w:p>
    <w:p w14:paraId="1FF3AFF0">
      <w:pPr>
        <w:spacing w:line="303" w:lineRule="auto"/>
        <w:rPr>
          <w:rFonts w:ascii="Arial"/>
          <w:sz w:val="21"/>
        </w:rPr>
      </w:pPr>
    </w:p>
    <w:p w14:paraId="5A70188B">
      <w:pPr>
        <w:tabs>
          <w:tab w:val="left" w:pos="8187"/>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6F829DA">
      <w:pPr>
        <w:spacing w:before="238" w:line="228" w:lineRule="auto"/>
        <w:ind w:left="428"/>
        <w:rPr>
          <w:rFonts w:ascii="宋体" w:hAnsi="宋体" w:eastAsia="宋体" w:cs="宋体"/>
          <w:sz w:val="20"/>
          <w:szCs w:val="20"/>
        </w:rPr>
      </w:pPr>
      <w:r>
        <w:rPr>
          <w:rFonts w:ascii="宋体" w:hAnsi="宋体" w:eastAsia="宋体" w:cs="宋体"/>
          <w:spacing w:val="9"/>
          <w:sz w:val="20"/>
          <w:szCs w:val="20"/>
        </w:rPr>
        <w:t>承包人测设施工控制网的要求：</w:t>
      </w:r>
      <w:r>
        <w:rPr>
          <w:rFonts w:ascii="宋体" w:hAnsi="宋体" w:eastAsia="宋体" w:cs="宋体"/>
          <w:sz w:val="20"/>
          <w:szCs w:val="20"/>
          <w:u w:val="single" w:color="auto"/>
        </w:rPr>
        <w:t xml:space="preserve">                                                   </w:t>
      </w:r>
    </w:p>
    <w:p w14:paraId="7A05C656">
      <w:pPr>
        <w:spacing w:line="304" w:lineRule="auto"/>
        <w:rPr>
          <w:rFonts w:ascii="Arial"/>
          <w:sz w:val="21"/>
        </w:rPr>
      </w:pPr>
    </w:p>
    <w:p w14:paraId="6CAAD2BB">
      <w:pPr>
        <w:tabs>
          <w:tab w:val="left" w:pos="8187"/>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E2C792A">
      <w:pPr>
        <w:spacing w:before="239" w:line="228" w:lineRule="auto"/>
        <w:ind w:left="428"/>
        <w:rPr>
          <w:rFonts w:ascii="宋体" w:hAnsi="宋体" w:eastAsia="宋体" w:cs="宋体"/>
          <w:sz w:val="20"/>
          <w:szCs w:val="20"/>
        </w:rPr>
      </w:pPr>
      <w:r>
        <w:rPr>
          <w:rFonts w:ascii="宋体" w:hAnsi="宋体" w:eastAsia="宋体" w:cs="宋体"/>
          <w:spacing w:val="9"/>
          <w:sz w:val="20"/>
          <w:szCs w:val="20"/>
        </w:rPr>
        <w:t>承包人将施工控制网资料报送监理人审批的期限：</w:t>
      </w:r>
      <w:r>
        <w:rPr>
          <w:rFonts w:ascii="宋体" w:hAnsi="宋体" w:eastAsia="宋体" w:cs="宋体"/>
          <w:sz w:val="20"/>
          <w:szCs w:val="20"/>
          <w:u w:val="single" w:color="auto"/>
        </w:rPr>
        <w:t xml:space="preserve">                                  </w:t>
      </w:r>
    </w:p>
    <w:p w14:paraId="3F282A14">
      <w:pPr>
        <w:spacing w:line="260" w:lineRule="auto"/>
        <w:rPr>
          <w:rFonts w:ascii="Arial"/>
          <w:sz w:val="21"/>
        </w:rPr>
      </w:pPr>
    </w:p>
    <w:p w14:paraId="6DCA884C">
      <w:pPr>
        <w:spacing w:before="65" w:line="46" w:lineRule="exact"/>
        <w:ind w:left="8217"/>
        <w:rPr>
          <w:rFonts w:ascii="宋体" w:hAnsi="宋体" w:eastAsia="宋体" w:cs="宋体"/>
          <w:sz w:val="20"/>
          <w:szCs w:val="20"/>
        </w:rPr>
      </w:pPr>
      <w:r>
        <w:pict>
          <v:shape id="_x0000_s1033" o:spid="_x0000_s1033" o:spt="202" type="#_x0000_t202" style="position:absolute;left:0pt;margin-left:-1pt;margin-top:-4.05pt;height:14.1pt;width:411.5pt;z-index:251674624;mso-width-relative:page;mso-height-relative:page;" filled="f" stroked="f" coordsize="21600,21600">
            <v:path/>
            <v:fill on="f" focussize="0,0"/>
            <v:stroke on="f"/>
            <v:imagedata o:title=""/>
            <o:lock v:ext="edit" aspectratio="f"/>
            <v:textbox inset="0mm,0mm,0mm,0mm">
              <w:txbxContent>
                <w:p w14:paraId="51BE161A">
                  <w:pPr>
                    <w:tabs>
                      <w:tab w:val="left" w:pos="8207"/>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61111B82">
      <w:pPr>
        <w:spacing w:line="46" w:lineRule="exact"/>
        <w:rPr>
          <w:rFonts w:ascii="宋体" w:hAnsi="宋体" w:eastAsia="宋体" w:cs="宋体"/>
          <w:sz w:val="20"/>
          <w:szCs w:val="20"/>
        </w:rPr>
        <w:sectPr>
          <w:footerReference r:id="rId205" w:type="default"/>
          <w:pgSz w:w="11906" w:h="16839"/>
          <w:pgMar w:top="400" w:right="1500" w:bottom="1038" w:left="1531" w:header="0" w:footer="787" w:gutter="0"/>
          <w:cols w:space="720" w:num="1"/>
        </w:sectPr>
      </w:pPr>
    </w:p>
    <w:p w14:paraId="5C417B82">
      <w:pPr>
        <w:spacing w:line="250" w:lineRule="auto"/>
        <w:rPr>
          <w:rFonts w:ascii="Arial"/>
          <w:sz w:val="21"/>
        </w:rPr>
      </w:pPr>
    </w:p>
    <w:p w14:paraId="337848AB">
      <w:pPr>
        <w:spacing w:line="250" w:lineRule="auto"/>
        <w:rPr>
          <w:rFonts w:ascii="Arial"/>
          <w:sz w:val="21"/>
        </w:rPr>
      </w:pPr>
    </w:p>
    <w:p w14:paraId="4844F965">
      <w:pPr>
        <w:spacing w:line="250" w:lineRule="auto"/>
        <w:rPr>
          <w:rFonts w:ascii="Arial"/>
          <w:sz w:val="21"/>
        </w:rPr>
      </w:pPr>
    </w:p>
    <w:p w14:paraId="6F6D1FC1">
      <w:pPr>
        <w:spacing w:line="250" w:lineRule="auto"/>
        <w:rPr>
          <w:rFonts w:ascii="Arial"/>
          <w:sz w:val="21"/>
        </w:rPr>
      </w:pPr>
    </w:p>
    <w:p w14:paraId="7061E46F">
      <w:pPr>
        <w:pStyle w:val="2"/>
        <w:spacing w:before="91" w:line="222" w:lineRule="auto"/>
        <w:ind w:left="11"/>
        <w:outlineLvl w:val="2"/>
        <w:rPr>
          <w:sz w:val="28"/>
          <w:szCs w:val="28"/>
        </w:rPr>
      </w:pPr>
      <w:bookmarkStart w:id="247" w:name="bookmark228"/>
      <w:bookmarkEnd w:id="247"/>
      <w:r>
        <w:rPr>
          <w:rFonts w:ascii="Times New Roman" w:hAnsi="Times New Roman" w:eastAsia="Times New Roman" w:cs="Times New Roman"/>
          <w:spacing w:val="-1"/>
          <w:sz w:val="28"/>
          <w:szCs w:val="28"/>
        </w:rPr>
        <w:t>9.</w:t>
      </w:r>
      <w:r>
        <w:rPr>
          <w:spacing w:val="-1"/>
          <w:sz w:val="28"/>
          <w:szCs w:val="28"/>
        </w:rPr>
        <w:t>施工安全、治安保卫和环境保护</w:t>
      </w:r>
    </w:p>
    <w:p w14:paraId="58207212">
      <w:pPr>
        <w:pStyle w:val="2"/>
        <w:spacing w:before="98" w:line="221" w:lineRule="auto"/>
        <w:ind w:left="9"/>
        <w:rPr>
          <w:sz w:val="24"/>
          <w:szCs w:val="24"/>
        </w:rPr>
      </w:pPr>
      <w:r>
        <w:rPr>
          <w:rFonts w:ascii="Times New Roman" w:hAnsi="Times New Roman" w:eastAsia="Times New Roman" w:cs="Times New Roman"/>
          <w:spacing w:val="-1"/>
          <w:sz w:val="24"/>
          <w:szCs w:val="24"/>
        </w:rPr>
        <w:t xml:space="preserve">9.2 </w:t>
      </w:r>
      <w:r>
        <w:rPr>
          <w:spacing w:val="-1"/>
          <w:sz w:val="24"/>
          <w:szCs w:val="24"/>
        </w:rPr>
        <w:t>承包人的施工安全责任</w:t>
      </w:r>
    </w:p>
    <w:p w14:paraId="7EC4CF35">
      <w:pPr>
        <w:spacing w:before="168" w:line="228" w:lineRule="auto"/>
        <w:ind w:left="429"/>
        <w:rPr>
          <w:rFonts w:ascii="宋体" w:hAnsi="宋体" w:eastAsia="宋体" w:cs="宋体"/>
          <w:sz w:val="20"/>
          <w:szCs w:val="20"/>
        </w:rPr>
      </w:pPr>
      <w:r>
        <w:rPr>
          <w:rFonts w:ascii="宋体" w:hAnsi="宋体" w:eastAsia="宋体" w:cs="宋体"/>
          <w:spacing w:val="7"/>
          <w:sz w:val="20"/>
          <w:szCs w:val="20"/>
        </w:rPr>
        <w:t>9.2.1</w:t>
      </w:r>
      <w:r>
        <w:rPr>
          <w:rFonts w:ascii="宋体" w:hAnsi="宋体" w:eastAsia="宋体" w:cs="宋体"/>
          <w:spacing w:val="-41"/>
          <w:sz w:val="20"/>
          <w:szCs w:val="20"/>
        </w:rPr>
        <w:t xml:space="preserve"> </w:t>
      </w:r>
      <w:r>
        <w:rPr>
          <w:rFonts w:ascii="宋体" w:hAnsi="宋体" w:eastAsia="宋体" w:cs="宋体"/>
          <w:spacing w:val="7"/>
          <w:sz w:val="20"/>
          <w:szCs w:val="20"/>
        </w:rPr>
        <w:t>承包人向监理人报送施工安全措施计划的期限：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530BADA4">
      <w:pPr>
        <w:spacing w:before="194" w:line="228" w:lineRule="auto"/>
        <w:ind w:left="429"/>
        <w:rPr>
          <w:rFonts w:ascii="宋体" w:hAnsi="宋体" w:eastAsia="宋体" w:cs="宋体"/>
          <w:sz w:val="20"/>
          <w:szCs w:val="20"/>
        </w:rPr>
      </w:pPr>
      <w:r>
        <w:rPr>
          <w:rFonts w:ascii="宋体" w:hAnsi="宋体" w:eastAsia="宋体" w:cs="宋体"/>
          <w:spacing w:val="8"/>
          <w:sz w:val="20"/>
          <w:szCs w:val="20"/>
        </w:rPr>
        <w:t>监理人收到承包人报送的施工安全措施计划后应当在</w:t>
      </w:r>
      <w:r>
        <w:rPr>
          <w:rFonts w:ascii="宋体" w:hAnsi="宋体" w:eastAsia="宋体" w:cs="宋体"/>
          <w:spacing w:val="8"/>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8"/>
          <w:sz w:val="20"/>
          <w:szCs w:val="20"/>
        </w:rPr>
        <w:t>天内</w:t>
      </w:r>
      <w:r>
        <w:rPr>
          <w:rFonts w:ascii="宋体" w:hAnsi="宋体" w:eastAsia="宋体" w:cs="宋体"/>
          <w:spacing w:val="7"/>
          <w:sz w:val="20"/>
          <w:szCs w:val="20"/>
        </w:rPr>
        <w:t>给予批复。</w:t>
      </w:r>
    </w:p>
    <w:p w14:paraId="69A95F74">
      <w:pPr>
        <w:pStyle w:val="2"/>
        <w:spacing w:before="134" w:line="222" w:lineRule="auto"/>
        <w:ind w:left="9"/>
        <w:rPr>
          <w:sz w:val="24"/>
          <w:szCs w:val="24"/>
        </w:rPr>
      </w:pPr>
      <w:r>
        <w:rPr>
          <w:rFonts w:ascii="Times New Roman" w:hAnsi="Times New Roman" w:eastAsia="Times New Roman" w:cs="Times New Roman"/>
          <w:spacing w:val="-4"/>
          <w:sz w:val="24"/>
          <w:szCs w:val="24"/>
        </w:rPr>
        <w:t>9.3</w:t>
      </w:r>
      <w:r>
        <w:rPr>
          <w:rFonts w:ascii="Times New Roman" w:hAnsi="Times New Roman" w:eastAsia="Times New Roman" w:cs="Times New Roman"/>
          <w:spacing w:val="17"/>
          <w:sz w:val="24"/>
          <w:szCs w:val="24"/>
        </w:rPr>
        <w:t xml:space="preserve"> </w:t>
      </w:r>
      <w:r>
        <w:rPr>
          <w:spacing w:val="-4"/>
          <w:sz w:val="24"/>
          <w:szCs w:val="24"/>
        </w:rPr>
        <w:t>治安保卫</w:t>
      </w:r>
    </w:p>
    <w:p w14:paraId="181CDF08">
      <w:pPr>
        <w:spacing w:before="170" w:line="228" w:lineRule="auto"/>
        <w:ind w:left="429"/>
        <w:rPr>
          <w:rFonts w:ascii="宋体" w:hAnsi="宋体" w:eastAsia="宋体" w:cs="宋体"/>
          <w:sz w:val="20"/>
          <w:szCs w:val="20"/>
        </w:rPr>
      </w:pPr>
      <w:r>
        <w:rPr>
          <w:rFonts w:ascii="宋体" w:hAnsi="宋体" w:eastAsia="宋体" w:cs="宋体"/>
          <w:spacing w:val="9"/>
          <w:sz w:val="20"/>
          <w:szCs w:val="20"/>
        </w:rPr>
        <w:t>9.3.1</w:t>
      </w:r>
      <w:r>
        <w:rPr>
          <w:rFonts w:ascii="宋体" w:hAnsi="宋体" w:eastAsia="宋体" w:cs="宋体"/>
          <w:spacing w:val="-40"/>
          <w:sz w:val="20"/>
          <w:szCs w:val="20"/>
        </w:rPr>
        <w:t xml:space="preserve"> </w:t>
      </w:r>
      <w:r>
        <w:rPr>
          <w:rFonts w:ascii="宋体" w:hAnsi="宋体" w:eastAsia="宋体" w:cs="宋体"/>
          <w:spacing w:val="9"/>
          <w:sz w:val="20"/>
          <w:szCs w:val="20"/>
        </w:rPr>
        <w:t>承包人应当负责统一管理施工场地的治安保卫事项</w:t>
      </w:r>
      <w:r>
        <w:rPr>
          <w:rFonts w:ascii="宋体" w:hAnsi="宋体" w:eastAsia="宋体" w:cs="宋体"/>
          <w:spacing w:val="8"/>
          <w:sz w:val="20"/>
          <w:szCs w:val="20"/>
        </w:rPr>
        <w:t>，履行合同工程的治安保卫职责。</w:t>
      </w:r>
    </w:p>
    <w:p w14:paraId="579AB32D">
      <w:pPr>
        <w:spacing w:before="193" w:line="228" w:lineRule="auto"/>
        <w:ind w:left="429"/>
        <w:rPr>
          <w:rFonts w:ascii="宋体" w:hAnsi="宋体" w:eastAsia="宋体" w:cs="宋体"/>
          <w:sz w:val="20"/>
          <w:szCs w:val="20"/>
        </w:rPr>
      </w:pPr>
      <w:r>
        <w:rPr>
          <w:rFonts w:ascii="宋体" w:hAnsi="宋体" w:eastAsia="宋体" w:cs="宋体"/>
          <w:spacing w:val="8"/>
          <w:sz w:val="20"/>
          <w:szCs w:val="20"/>
        </w:rPr>
        <w:t>9.3.3</w:t>
      </w:r>
      <w:r>
        <w:rPr>
          <w:rFonts w:ascii="宋体" w:hAnsi="宋体" w:eastAsia="宋体" w:cs="宋体"/>
          <w:spacing w:val="-41"/>
          <w:sz w:val="20"/>
          <w:szCs w:val="20"/>
        </w:rPr>
        <w:t xml:space="preserve"> </w:t>
      </w:r>
      <w:r>
        <w:rPr>
          <w:rFonts w:ascii="宋体" w:hAnsi="宋体" w:eastAsia="宋体" w:cs="宋体"/>
          <w:spacing w:val="8"/>
          <w:sz w:val="20"/>
          <w:szCs w:val="20"/>
        </w:rPr>
        <w:t>施工场地治安管理计划和突发治安</w:t>
      </w:r>
      <w:r>
        <w:rPr>
          <w:rFonts w:ascii="宋体" w:hAnsi="宋体" w:eastAsia="宋体" w:cs="宋体"/>
          <w:spacing w:val="7"/>
          <w:sz w:val="20"/>
          <w:szCs w:val="20"/>
        </w:rPr>
        <w:t>事件紧急预案的编制责任人：</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30E8E809">
      <w:pPr>
        <w:pStyle w:val="2"/>
        <w:spacing w:before="134" w:line="222" w:lineRule="auto"/>
        <w:ind w:left="9"/>
        <w:rPr>
          <w:sz w:val="24"/>
          <w:szCs w:val="24"/>
        </w:rPr>
      </w:pPr>
      <w:r>
        <w:rPr>
          <w:rFonts w:ascii="Times New Roman" w:hAnsi="Times New Roman" w:eastAsia="Times New Roman" w:cs="Times New Roman"/>
          <w:spacing w:val="-2"/>
          <w:sz w:val="24"/>
          <w:szCs w:val="24"/>
        </w:rPr>
        <w:t xml:space="preserve">9.4 </w:t>
      </w:r>
      <w:r>
        <w:rPr>
          <w:spacing w:val="-2"/>
          <w:sz w:val="24"/>
          <w:szCs w:val="24"/>
        </w:rPr>
        <w:t>环境保护</w:t>
      </w:r>
    </w:p>
    <w:p w14:paraId="428C98BB">
      <w:pPr>
        <w:spacing w:before="170" w:line="228" w:lineRule="auto"/>
        <w:ind w:left="429"/>
        <w:rPr>
          <w:rFonts w:ascii="宋体" w:hAnsi="宋体" w:eastAsia="宋体" w:cs="宋体"/>
          <w:sz w:val="20"/>
          <w:szCs w:val="20"/>
        </w:rPr>
      </w:pPr>
      <w:r>
        <w:rPr>
          <w:rFonts w:ascii="宋体" w:hAnsi="宋体" w:eastAsia="宋体" w:cs="宋体"/>
          <w:spacing w:val="6"/>
          <w:sz w:val="20"/>
          <w:szCs w:val="20"/>
        </w:rPr>
        <w:t>9.4.2</w:t>
      </w:r>
      <w:r>
        <w:rPr>
          <w:rFonts w:ascii="宋体" w:hAnsi="宋体" w:eastAsia="宋体" w:cs="宋体"/>
          <w:spacing w:val="-26"/>
          <w:sz w:val="20"/>
          <w:szCs w:val="20"/>
        </w:rPr>
        <w:t xml:space="preserve"> </w:t>
      </w:r>
      <w:r>
        <w:rPr>
          <w:rFonts w:ascii="宋体" w:hAnsi="宋体" w:eastAsia="宋体" w:cs="宋体"/>
          <w:spacing w:val="6"/>
          <w:sz w:val="20"/>
          <w:szCs w:val="20"/>
        </w:rPr>
        <w:t>施工环保措施计划报送监理人审批的时间：</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1929A65B">
      <w:pPr>
        <w:spacing w:before="192" w:line="228" w:lineRule="auto"/>
        <w:ind w:left="429"/>
        <w:rPr>
          <w:rFonts w:ascii="宋体" w:hAnsi="宋体" w:eastAsia="宋体" w:cs="宋体"/>
          <w:sz w:val="20"/>
          <w:szCs w:val="20"/>
        </w:rPr>
      </w:pPr>
      <w:r>
        <w:rPr>
          <w:rFonts w:ascii="宋体" w:hAnsi="宋体" w:eastAsia="宋体" w:cs="宋体"/>
          <w:spacing w:val="8"/>
          <w:sz w:val="20"/>
          <w:szCs w:val="20"/>
        </w:rPr>
        <w:t>监理人收到承包人报送的施工环保措施计划后应当在</w:t>
      </w:r>
      <w:r>
        <w:rPr>
          <w:rFonts w:ascii="宋体" w:hAnsi="宋体" w:eastAsia="宋体" w:cs="宋体"/>
          <w:spacing w:val="8"/>
          <w:sz w:val="20"/>
          <w:szCs w:val="20"/>
          <w:u w:val="single" w:color="auto"/>
        </w:rPr>
        <w:t xml:space="preserve">          </w:t>
      </w:r>
      <w:r>
        <w:rPr>
          <w:rFonts w:ascii="宋体" w:hAnsi="宋体" w:eastAsia="宋体" w:cs="宋体"/>
          <w:spacing w:val="7"/>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7"/>
          <w:sz w:val="20"/>
          <w:szCs w:val="20"/>
        </w:rPr>
        <w:t>天内给予批复。</w:t>
      </w:r>
    </w:p>
    <w:p w14:paraId="771EFA4A">
      <w:pPr>
        <w:pStyle w:val="2"/>
        <w:spacing w:before="201" w:line="222" w:lineRule="auto"/>
        <w:ind w:left="33"/>
        <w:outlineLvl w:val="2"/>
        <w:rPr>
          <w:sz w:val="28"/>
          <w:szCs w:val="28"/>
        </w:rPr>
      </w:pPr>
      <w:bookmarkStart w:id="248" w:name="bookmark229"/>
      <w:bookmarkEnd w:id="248"/>
      <w:r>
        <w:rPr>
          <w:rFonts w:ascii="Times New Roman" w:hAnsi="Times New Roman" w:eastAsia="Times New Roman" w:cs="Times New Roman"/>
          <w:spacing w:val="-5"/>
          <w:sz w:val="28"/>
          <w:szCs w:val="28"/>
        </w:rPr>
        <w:t>10.</w:t>
      </w:r>
      <w:r>
        <w:rPr>
          <w:spacing w:val="-5"/>
          <w:sz w:val="28"/>
          <w:szCs w:val="28"/>
        </w:rPr>
        <w:t>进度计划</w:t>
      </w:r>
    </w:p>
    <w:p w14:paraId="7396D065">
      <w:pPr>
        <w:pStyle w:val="2"/>
        <w:spacing w:before="98" w:line="222" w:lineRule="auto"/>
        <w:ind w:left="28"/>
        <w:rPr>
          <w:sz w:val="24"/>
          <w:szCs w:val="24"/>
        </w:rPr>
      </w:pPr>
      <w:r>
        <w:rPr>
          <w:rFonts w:ascii="Times New Roman" w:hAnsi="Times New Roman" w:eastAsia="Times New Roman" w:cs="Times New Roman"/>
          <w:spacing w:val="-3"/>
          <w:sz w:val="24"/>
          <w:szCs w:val="24"/>
        </w:rPr>
        <w:t xml:space="preserve">10.1 </w:t>
      </w:r>
      <w:r>
        <w:rPr>
          <w:spacing w:val="-3"/>
          <w:sz w:val="24"/>
          <w:szCs w:val="24"/>
        </w:rPr>
        <w:t>合同进度计划</w:t>
      </w:r>
    </w:p>
    <w:p w14:paraId="1D789EFE">
      <w:pPr>
        <w:spacing w:before="186" w:line="426" w:lineRule="auto"/>
        <w:ind w:left="9" w:right="54" w:firstLine="429"/>
        <w:rPr>
          <w:rFonts w:ascii="宋体" w:hAnsi="宋体" w:eastAsia="宋体" w:cs="宋体"/>
          <w:sz w:val="20"/>
          <w:szCs w:val="20"/>
        </w:rPr>
      </w:pPr>
      <w:r>
        <w:rPr>
          <w:rFonts w:ascii="宋体" w:hAnsi="宋体" w:eastAsia="宋体" w:cs="宋体"/>
          <w:spacing w:val="7"/>
          <w:sz w:val="20"/>
          <w:szCs w:val="20"/>
        </w:rPr>
        <w:t>（1）承包人应当在收到监理人按照通用合同条款第</w:t>
      </w:r>
      <w:r>
        <w:rPr>
          <w:rFonts w:ascii="宋体" w:hAnsi="宋体" w:eastAsia="宋体" w:cs="宋体"/>
          <w:spacing w:val="-16"/>
          <w:sz w:val="20"/>
          <w:szCs w:val="20"/>
        </w:rPr>
        <w:t xml:space="preserve"> </w:t>
      </w:r>
      <w:r>
        <w:rPr>
          <w:rFonts w:ascii="宋体" w:hAnsi="宋体" w:eastAsia="宋体" w:cs="宋体"/>
          <w:spacing w:val="7"/>
          <w:sz w:val="20"/>
          <w:szCs w:val="20"/>
        </w:rPr>
        <w:t>11.1.1</w:t>
      </w:r>
      <w:r>
        <w:rPr>
          <w:rFonts w:ascii="宋体" w:hAnsi="宋体" w:eastAsia="宋体" w:cs="宋体"/>
          <w:spacing w:val="-37"/>
          <w:sz w:val="20"/>
          <w:szCs w:val="20"/>
        </w:rPr>
        <w:t xml:space="preserve"> </w:t>
      </w:r>
      <w:r>
        <w:rPr>
          <w:rFonts w:ascii="宋体" w:hAnsi="宋体" w:eastAsia="宋体" w:cs="宋体"/>
          <w:spacing w:val="7"/>
          <w:sz w:val="20"/>
          <w:szCs w:val="20"/>
        </w:rPr>
        <w:t>项发出的开工通知后</w:t>
      </w:r>
      <w:r>
        <w:rPr>
          <w:rFonts w:ascii="宋体" w:hAnsi="宋体" w:eastAsia="宋体" w:cs="宋体"/>
          <w:spacing w:val="-34"/>
          <w:sz w:val="20"/>
          <w:szCs w:val="20"/>
        </w:rPr>
        <w:t xml:space="preserve"> </w:t>
      </w:r>
      <w:r>
        <w:rPr>
          <w:rFonts w:ascii="宋体" w:hAnsi="宋体" w:eastAsia="宋体" w:cs="宋体"/>
          <w:spacing w:val="7"/>
          <w:sz w:val="20"/>
          <w:szCs w:val="20"/>
        </w:rPr>
        <w:t>7</w:t>
      </w:r>
      <w:r>
        <w:rPr>
          <w:rFonts w:ascii="宋体" w:hAnsi="宋体" w:eastAsia="宋体" w:cs="宋体"/>
          <w:spacing w:val="-34"/>
          <w:sz w:val="20"/>
          <w:szCs w:val="20"/>
        </w:rPr>
        <w:t xml:space="preserve"> </w:t>
      </w:r>
      <w:r>
        <w:rPr>
          <w:rFonts w:ascii="宋体" w:hAnsi="宋体" w:eastAsia="宋体" w:cs="宋体"/>
          <w:spacing w:val="7"/>
          <w:sz w:val="20"/>
          <w:szCs w:val="20"/>
        </w:rPr>
        <w:t>天内，编</w:t>
      </w:r>
      <w:r>
        <w:rPr>
          <w:rFonts w:ascii="宋体" w:hAnsi="宋体" w:eastAsia="宋体" w:cs="宋体"/>
          <w:spacing w:val="10"/>
          <w:sz w:val="20"/>
          <w:szCs w:val="20"/>
        </w:rPr>
        <w:t>制详细的施工进度计划和施工方案说明并报送监理人。承包人编制施工</w:t>
      </w:r>
      <w:r>
        <w:rPr>
          <w:rFonts w:ascii="宋体" w:hAnsi="宋体" w:eastAsia="宋体" w:cs="宋体"/>
          <w:spacing w:val="9"/>
          <w:sz w:val="20"/>
          <w:szCs w:val="20"/>
        </w:rPr>
        <w:t>进度计划和施工方案说明</w:t>
      </w:r>
      <w:r>
        <w:rPr>
          <w:rFonts w:ascii="宋体" w:hAnsi="宋体" w:eastAsia="宋体" w:cs="宋体"/>
          <w:spacing w:val="4"/>
          <w:sz w:val="20"/>
          <w:szCs w:val="20"/>
        </w:rPr>
        <w:t>的内容：</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216AD27E">
      <w:pPr>
        <w:tabs>
          <w:tab w:val="left" w:pos="8399"/>
        </w:tabs>
        <w:spacing w:before="2"/>
        <w:rPr>
          <w:rFonts w:ascii="Arial"/>
          <w:sz w:val="21"/>
        </w:rPr>
      </w:pPr>
      <w:r>
        <w:rPr>
          <w:rFonts w:ascii="Arial" w:hAnsi="Arial" w:eastAsia="Arial" w:cs="Arial"/>
          <w:sz w:val="21"/>
          <w:szCs w:val="21"/>
          <w:u w:val="single" w:color="auto"/>
        </w:rPr>
        <w:tab/>
      </w:r>
    </w:p>
    <w:p w14:paraId="394CC73C">
      <w:pPr>
        <w:tabs>
          <w:tab w:val="left" w:pos="7767"/>
        </w:tabs>
        <w:spacing w:before="229" w:line="443" w:lineRule="auto"/>
        <w:ind w:left="8" w:right="56" w:hanging="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u w:val="single" w:color="auto"/>
        </w:rPr>
        <w:tab/>
      </w:r>
      <w:r>
        <w:rPr>
          <w:rFonts w:ascii="宋体" w:hAnsi="宋体" w:eastAsia="宋体" w:cs="宋体"/>
          <w:spacing w:val="-72"/>
          <w:sz w:val="20"/>
          <w:szCs w:val="20"/>
        </w:rPr>
        <w:t xml:space="preserve"> </w:t>
      </w:r>
      <w:r>
        <w:rPr>
          <w:rFonts w:ascii="宋体" w:hAnsi="宋体" w:eastAsia="宋体" w:cs="宋体"/>
          <w:spacing w:val="-8"/>
          <w:sz w:val="20"/>
          <w:szCs w:val="20"/>
        </w:rPr>
        <w:t>,</w:t>
      </w:r>
      <w:r>
        <w:rPr>
          <w:rFonts w:ascii="宋体" w:hAnsi="宋体" w:eastAsia="宋体" w:cs="宋体"/>
          <w:spacing w:val="60"/>
          <w:sz w:val="20"/>
          <w:szCs w:val="20"/>
        </w:rPr>
        <w:t xml:space="preserve"> </w:t>
      </w:r>
      <w:r>
        <w:rPr>
          <w:rFonts w:ascii="宋体" w:hAnsi="宋体" w:eastAsia="宋体" w:cs="宋体"/>
          <w:spacing w:val="-8"/>
          <w:sz w:val="20"/>
          <w:szCs w:val="20"/>
        </w:rPr>
        <w:t>施工进度</w:t>
      </w:r>
      <w:r>
        <w:rPr>
          <w:rFonts w:ascii="宋体" w:hAnsi="宋体" w:eastAsia="宋体" w:cs="宋体"/>
          <w:spacing w:val="9"/>
          <w:sz w:val="20"/>
          <w:szCs w:val="20"/>
        </w:rPr>
        <w:t>计划中还应载明要求发包人组织设计人进行阶段性工程设计交底的时间。</w:t>
      </w:r>
    </w:p>
    <w:p w14:paraId="5E7BF89C">
      <w:pPr>
        <w:spacing w:line="443" w:lineRule="auto"/>
        <w:ind w:left="10" w:right="56" w:firstLine="428"/>
        <w:rPr>
          <w:rFonts w:ascii="宋体" w:hAnsi="宋体" w:eastAsia="宋体" w:cs="宋体"/>
          <w:sz w:val="20"/>
          <w:szCs w:val="20"/>
        </w:rPr>
      </w:pPr>
      <w:r>
        <w:rPr>
          <w:rFonts w:ascii="宋体" w:hAnsi="宋体" w:eastAsia="宋体" w:cs="宋体"/>
          <w:spacing w:val="7"/>
          <w:sz w:val="20"/>
          <w:szCs w:val="20"/>
        </w:rPr>
        <w:t>（2）监理人批复或对施工进度计划和施工方案说明提出修改意见的期限</w:t>
      </w:r>
      <w:r>
        <w:rPr>
          <w:rFonts w:ascii="宋体" w:hAnsi="宋体" w:eastAsia="宋体" w:cs="宋体"/>
          <w:spacing w:val="6"/>
          <w:sz w:val="20"/>
          <w:szCs w:val="20"/>
        </w:rPr>
        <w:t>：自监理人收到承包</w:t>
      </w:r>
      <w:r>
        <w:rPr>
          <w:rFonts w:ascii="宋体" w:hAnsi="宋体" w:eastAsia="宋体" w:cs="宋体"/>
          <w:spacing w:val="7"/>
          <w:sz w:val="20"/>
          <w:szCs w:val="20"/>
        </w:rPr>
        <w:t>人报送的相关进度计划和施工方案说明后</w:t>
      </w:r>
      <w:r>
        <w:rPr>
          <w:rFonts w:ascii="宋体" w:hAnsi="宋体" w:eastAsia="宋体" w:cs="宋体"/>
          <w:spacing w:val="-21"/>
          <w:sz w:val="20"/>
          <w:szCs w:val="20"/>
        </w:rPr>
        <w:t xml:space="preserve"> </w:t>
      </w:r>
      <w:r>
        <w:rPr>
          <w:rFonts w:ascii="宋体" w:hAnsi="宋体" w:eastAsia="宋体" w:cs="宋体"/>
          <w:spacing w:val="7"/>
          <w:sz w:val="20"/>
          <w:szCs w:val="20"/>
        </w:rPr>
        <w:t>14</w:t>
      </w:r>
      <w:r>
        <w:rPr>
          <w:rFonts w:ascii="宋体" w:hAnsi="宋体" w:eastAsia="宋体" w:cs="宋体"/>
          <w:spacing w:val="-36"/>
          <w:sz w:val="20"/>
          <w:szCs w:val="20"/>
        </w:rPr>
        <w:t xml:space="preserve"> </w:t>
      </w:r>
      <w:r>
        <w:rPr>
          <w:rFonts w:ascii="宋体" w:hAnsi="宋体" w:eastAsia="宋体" w:cs="宋体"/>
          <w:spacing w:val="6"/>
          <w:sz w:val="20"/>
          <w:szCs w:val="20"/>
        </w:rPr>
        <w:t>天内。</w:t>
      </w:r>
    </w:p>
    <w:p w14:paraId="62252D91">
      <w:pPr>
        <w:spacing w:before="1" w:line="227" w:lineRule="auto"/>
        <w:ind w:left="438"/>
        <w:rPr>
          <w:rFonts w:ascii="宋体" w:hAnsi="宋体" w:eastAsia="宋体" w:cs="宋体"/>
          <w:sz w:val="20"/>
          <w:szCs w:val="20"/>
        </w:rPr>
      </w:pPr>
      <w:r>
        <w:rPr>
          <w:rFonts w:ascii="宋体" w:hAnsi="宋体" w:eastAsia="宋体" w:cs="宋体"/>
          <w:spacing w:val="9"/>
          <w:sz w:val="20"/>
          <w:szCs w:val="20"/>
        </w:rPr>
        <w:t>（3）承包人编制分阶段或分项施工进度计划和施工方案说明的内容：</w:t>
      </w:r>
      <w:r>
        <w:rPr>
          <w:rFonts w:ascii="宋体" w:hAnsi="宋体" w:eastAsia="宋体" w:cs="宋体"/>
          <w:sz w:val="20"/>
          <w:szCs w:val="20"/>
          <w:u w:val="single" w:color="auto"/>
        </w:rPr>
        <w:t xml:space="preserve">                   </w:t>
      </w:r>
    </w:p>
    <w:p w14:paraId="019644B6">
      <w:pPr>
        <w:spacing w:line="326" w:lineRule="auto"/>
        <w:rPr>
          <w:rFonts w:ascii="Arial"/>
          <w:sz w:val="21"/>
        </w:rPr>
      </w:pPr>
    </w:p>
    <w:p w14:paraId="44270D26">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22E6BD5">
      <w:pPr>
        <w:spacing w:before="260" w:line="228" w:lineRule="auto"/>
        <w:ind w:left="428"/>
        <w:rPr>
          <w:rFonts w:ascii="宋体" w:hAnsi="宋体" w:eastAsia="宋体" w:cs="宋体"/>
          <w:sz w:val="20"/>
          <w:szCs w:val="20"/>
        </w:rPr>
      </w:pPr>
      <w:r>
        <w:rPr>
          <w:rFonts w:ascii="宋体" w:hAnsi="宋体" w:eastAsia="宋体" w:cs="宋体"/>
          <w:spacing w:val="9"/>
          <w:sz w:val="20"/>
          <w:szCs w:val="20"/>
        </w:rPr>
        <w:t>承包人报送分阶段或分项施工进度计划和施工方案说明的期限：</w:t>
      </w:r>
      <w:r>
        <w:rPr>
          <w:rFonts w:ascii="宋体" w:hAnsi="宋体" w:eastAsia="宋体" w:cs="宋体"/>
          <w:sz w:val="20"/>
          <w:szCs w:val="20"/>
          <w:u w:val="single" w:color="auto"/>
        </w:rPr>
        <w:t xml:space="preserve">                         </w:t>
      </w:r>
    </w:p>
    <w:p w14:paraId="13D97F3F">
      <w:pPr>
        <w:spacing w:line="321" w:lineRule="auto"/>
        <w:rPr>
          <w:rFonts w:ascii="Arial"/>
          <w:sz w:val="21"/>
        </w:rPr>
      </w:pPr>
    </w:p>
    <w:p w14:paraId="7B2BD70A">
      <w:pPr>
        <w:tabs>
          <w:tab w:val="left" w:pos="8187"/>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8CE5952">
      <w:pPr>
        <w:spacing w:before="260" w:line="427" w:lineRule="auto"/>
        <w:ind w:left="10" w:firstLine="428"/>
        <w:rPr>
          <w:rFonts w:ascii="宋体" w:hAnsi="宋体" w:eastAsia="宋体" w:cs="宋体"/>
          <w:sz w:val="20"/>
          <w:szCs w:val="20"/>
        </w:rPr>
      </w:pPr>
      <w:r>
        <w:rPr>
          <w:rFonts w:ascii="宋体" w:hAnsi="宋体" w:eastAsia="宋体" w:cs="宋体"/>
          <w:spacing w:val="3"/>
          <w:sz w:val="20"/>
          <w:szCs w:val="20"/>
        </w:rPr>
        <w:t>（4）群体工程中单位工程分期进行施工的，承包人应按照发包人提供图纸及有关资料的时间，</w:t>
      </w:r>
      <w:r>
        <w:rPr>
          <w:rFonts w:ascii="宋体" w:hAnsi="宋体" w:eastAsia="宋体" w:cs="宋体"/>
          <w:spacing w:val="10"/>
          <w:sz w:val="20"/>
          <w:szCs w:val="20"/>
        </w:rPr>
        <w:t>按单位工程编制进度计划和施工方案说明。群体工程中有关进度</w:t>
      </w:r>
      <w:r>
        <w:rPr>
          <w:rFonts w:ascii="宋体" w:hAnsi="宋体" w:eastAsia="宋体" w:cs="宋体"/>
          <w:spacing w:val="9"/>
          <w:sz w:val="20"/>
          <w:szCs w:val="20"/>
        </w:rPr>
        <w:t>计划和施工方案说明的要求：</w:t>
      </w:r>
      <w:r>
        <w:rPr>
          <w:rFonts w:ascii="宋体" w:hAnsi="宋体" w:eastAsia="宋体" w:cs="宋体"/>
          <w:sz w:val="20"/>
          <w:szCs w:val="20"/>
          <w:u w:val="single" w:color="auto"/>
        </w:rPr>
        <w:t xml:space="preserve">   </w:t>
      </w:r>
    </w:p>
    <w:p w14:paraId="488B364A">
      <w:pPr>
        <w:spacing w:before="129" w:line="46" w:lineRule="exact"/>
        <w:ind w:left="8217"/>
        <w:rPr>
          <w:rFonts w:ascii="宋体" w:hAnsi="宋体" w:eastAsia="宋体" w:cs="宋体"/>
          <w:sz w:val="20"/>
          <w:szCs w:val="20"/>
        </w:rPr>
      </w:pPr>
      <w:r>
        <w:pict>
          <v:shape id="_x0000_s1034" o:spid="_x0000_s1034" o:spt="202" type="#_x0000_t202" style="position:absolute;left:0pt;margin-left:-1pt;margin-top:-0.85pt;height:14.1pt;width:411.5pt;z-index:251675648;mso-width-relative:page;mso-height-relative:page;" filled="f" stroked="f" coordsize="21600,21600">
            <v:path/>
            <v:fill on="f" focussize="0,0"/>
            <v:stroke on="f"/>
            <v:imagedata o:title=""/>
            <o:lock v:ext="edit" aspectratio="f"/>
            <v:textbox inset="0mm,0mm,0mm,0mm">
              <w:txbxContent>
                <w:p w14:paraId="71ACC65B">
                  <w:pPr>
                    <w:tabs>
                      <w:tab w:val="left" w:pos="8207"/>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0AE4BF3D">
      <w:pPr>
        <w:pStyle w:val="2"/>
        <w:spacing w:before="205" w:line="222" w:lineRule="auto"/>
        <w:ind w:left="28"/>
        <w:rPr>
          <w:sz w:val="24"/>
          <w:szCs w:val="24"/>
        </w:rPr>
      </w:pPr>
      <w:r>
        <w:rPr>
          <w:rFonts w:ascii="Times New Roman" w:hAnsi="Times New Roman" w:eastAsia="Times New Roman" w:cs="Times New Roman"/>
          <w:spacing w:val="-3"/>
          <w:sz w:val="24"/>
          <w:szCs w:val="24"/>
        </w:rPr>
        <w:t xml:space="preserve">10.2 </w:t>
      </w:r>
      <w:r>
        <w:rPr>
          <w:spacing w:val="-3"/>
          <w:sz w:val="24"/>
          <w:szCs w:val="24"/>
        </w:rPr>
        <w:t>合同进度计划的修订</w:t>
      </w:r>
    </w:p>
    <w:p w14:paraId="1D276061">
      <w:pPr>
        <w:spacing w:before="202" w:line="226" w:lineRule="auto"/>
        <w:ind w:left="438"/>
        <w:rPr>
          <w:rFonts w:ascii="宋体" w:hAnsi="宋体" w:eastAsia="宋体" w:cs="宋体"/>
          <w:sz w:val="20"/>
          <w:szCs w:val="20"/>
        </w:rPr>
      </w:pPr>
      <w:r>
        <w:rPr>
          <w:rFonts w:ascii="宋体" w:hAnsi="宋体" w:eastAsia="宋体" w:cs="宋体"/>
          <w:spacing w:val="7"/>
          <w:sz w:val="20"/>
          <w:szCs w:val="20"/>
        </w:rPr>
        <w:t>（1）承包人报送修订合同进度计划申请报告和相关资料的期限：</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056CEB15">
      <w:pPr>
        <w:spacing w:before="235" w:line="226" w:lineRule="auto"/>
        <w:ind w:left="438"/>
        <w:rPr>
          <w:rFonts w:ascii="宋体" w:hAnsi="宋体" w:eastAsia="宋体" w:cs="宋体"/>
          <w:sz w:val="20"/>
          <w:szCs w:val="20"/>
        </w:rPr>
      </w:pPr>
      <w:r>
        <w:rPr>
          <w:rFonts w:ascii="宋体" w:hAnsi="宋体" w:eastAsia="宋体" w:cs="宋体"/>
          <w:spacing w:val="7"/>
          <w:sz w:val="20"/>
          <w:szCs w:val="20"/>
        </w:rPr>
        <w:t>（2）监理人批复修订合同进度计划申请报告的期限：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73D470B">
      <w:pPr>
        <w:spacing w:before="235" w:line="228" w:lineRule="auto"/>
        <w:ind w:left="438"/>
        <w:rPr>
          <w:rFonts w:ascii="宋体" w:hAnsi="宋体" w:eastAsia="宋体" w:cs="宋体"/>
          <w:sz w:val="20"/>
          <w:szCs w:val="20"/>
        </w:rPr>
      </w:pPr>
      <w:r>
        <w:rPr>
          <w:rFonts w:ascii="宋体" w:hAnsi="宋体" w:eastAsia="宋体" w:cs="宋体"/>
          <w:spacing w:val="6"/>
          <w:sz w:val="20"/>
          <w:szCs w:val="20"/>
        </w:rPr>
        <w:t>（3）监理人批复修订合同进度计划的期限：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CD8EC6E">
      <w:pPr>
        <w:spacing w:line="228" w:lineRule="auto"/>
        <w:rPr>
          <w:rFonts w:ascii="宋体" w:hAnsi="宋体" w:eastAsia="宋体" w:cs="宋体"/>
          <w:sz w:val="20"/>
          <w:szCs w:val="20"/>
        </w:rPr>
        <w:sectPr>
          <w:footerReference r:id="rId206" w:type="default"/>
          <w:pgSz w:w="11906" w:h="16839"/>
          <w:pgMar w:top="400" w:right="1500" w:bottom="1038" w:left="1531" w:header="0" w:footer="787" w:gutter="0"/>
          <w:cols w:space="720" w:num="1"/>
        </w:sectPr>
      </w:pPr>
    </w:p>
    <w:p w14:paraId="7F75FCDD">
      <w:pPr>
        <w:spacing w:line="249" w:lineRule="auto"/>
        <w:rPr>
          <w:rFonts w:ascii="Arial"/>
          <w:sz w:val="21"/>
        </w:rPr>
      </w:pPr>
    </w:p>
    <w:p w14:paraId="6927898D">
      <w:pPr>
        <w:spacing w:line="250" w:lineRule="auto"/>
        <w:rPr>
          <w:rFonts w:ascii="Arial"/>
          <w:sz w:val="21"/>
        </w:rPr>
      </w:pPr>
    </w:p>
    <w:p w14:paraId="3CBCD5F6">
      <w:pPr>
        <w:spacing w:line="250" w:lineRule="auto"/>
        <w:rPr>
          <w:rFonts w:ascii="Arial"/>
          <w:sz w:val="21"/>
        </w:rPr>
      </w:pPr>
    </w:p>
    <w:p w14:paraId="695546B1">
      <w:pPr>
        <w:spacing w:line="250" w:lineRule="auto"/>
        <w:rPr>
          <w:rFonts w:ascii="Arial"/>
          <w:sz w:val="21"/>
        </w:rPr>
      </w:pPr>
    </w:p>
    <w:p w14:paraId="139A82FD">
      <w:pPr>
        <w:pStyle w:val="2"/>
        <w:spacing w:before="91" w:line="222" w:lineRule="auto"/>
        <w:ind w:left="33"/>
        <w:outlineLvl w:val="2"/>
        <w:rPr>
          <w:sz w:val="28"/>
          <w:szCs w:val="28"/>
        </w:rPr>
      </w:pPr>
      <w:bookmarkStart w:id="249" w:name="bookmark230"/>
      <w:bookmarkEnd w:id="249"/>
      <w:r>
        <w:rPr>
          <w:rFonts w:ascii="Times New Roman" w:hAnsi="Times New Roman" w:eastAsia="Times New Roman" w:cs="Times New Roman"/>
          <w:spacing w:val="-6"/>
          <w:sz w:val="28"/>
          <w:szCs w:val="28"/>
        </w:rPr>
        <w:t>11.</w:t>
      </w:r>
      <w:r>
        <w:rPr>
          <w:spacing w:val="-6"/>
          <w:sz w:val="28"/>
          <w:szCs w:val="28"/>
        </w:rPr>
        <w:t>开工和竣工</w:t>
      </w:r>
    </w:p>
    <w:p w14:paraId="7A8D3281">
      <w:pPr>
        <w:pStyle w:val="2"/>
        <w:spacing w:before="99" w:line="221" w:lineRule="auto"/>
        <w:ind w:left="28"/>
        <w:rPr>
          <w:sz w:val="24"/>
          <w:szCs w:val="24"/>
        </w:rPr>
      </w:pPr>
      <w:r>
        <w:rPr>
          <w:rFonts w:ascii="Times New Roman" w:hAnsi="Times New Roman" w:eastAsia="Times New Roman" w:cs="Times New Roman"/>
          <w:spacing w:val="-3"/>
          <w:sz w:val="24"/>
          <w:szCs w:val="24"/>
        </w:rPr>
        <w:t xml:space="preserve">11.3 </w:t>
      </w:r>
      <w:r>
        <w:rPr>
          <w:spacing w:val="-3"/>
          <w:sz w:val="24"/>
          <w:szCs w:val="24"/>
        </w:rPr>
        <w:t>发包人的工期延误</w:t>
      </w:r>
    </w:p>
    <w:p w14:paraId="67D70A38">
      <w:pPr>
        <w:spacing w:before="186" w:line="424" w:lineRule="auto"/>
        <w:ind w:left="10" w:firstLine="427"/>
        <w:rPr>
          <w:rFonts w:ascii="宋体" w:hAnsi="宋体" w:eastAsia="宋体" w:cs="宋体"/>
          <w:sz w:val="20"/>
          <w:szCs w:val="20"/>
        </w:rPr>
      </w:pPr>
      <w:r>
        <w:rPr>
          <w:rFonts w:ascii="宋体" w:hAnsi="宋体" w:eastAsia="宋体" w:cs="宋体"/>
          <w:spacing w:val="7"/>
          <w:sz w:val="20"/>
          <w:szCs w:val="20"/>
        </w:rPr>
        <w:t>（7）因发包人原因不能按照监理人发出的开工通知中载明的开工日期开工。</w:t>
      </w:r>
      <w:r>
        <w:rPr>
          <w:rFonts w:ascii="宋体" w:hAnsi="宋体" w:eastAsia="宋体" w:cs="宋体"/>
          <w:spacing w:val="6"/>
          <w:sz w:val="20"/>
          <w:szCs w:val="20"/>
        </w:rPr>
        <w:t>除发包人原因延</w:t>
      </w:r>
      <w:r>
        <w:rPr>
          <w:rFonts w:ascii="宋体" w:hAnsi="宋体" w:eastAsia="宋体" w:cs="宋体"/>
          <w:spacing w:val="9"/>
          <w:sz w:val="20"/>
          <w:szCs w:val="20"/>
        </w:rPr>
        <w:t>期开工外，发包人造成工期延误的其他原因还包括：</w:t>
      </w:r>
      <w:r>
        <w:rPr>
          <w:rFonts w:ascii="宋体" w:hAnsi="宋体" w:eastAsia="宋体" w:cs="宋体"/>
          <w:sz w:val="20"/>
          <w:szCs w:val="20"/>
          <w:u w:val="single" w:color="auto"/>
        </w:rPr>
        <w:t xml:space="preserve">                                   </w:t>
      </w:r>
    </w:p>
    <w:p w14:paraId="6E3144F7">
      <w:pPr>
        <w:tabs>
          <w:tab w:val="left" w:pos="8187"/>
        </w:tabs>
        <w:spacing w:before="1" w:line="390" w:lineRule="auto"/>
        <w:ind w:left="8" w:right="2" w:hanging="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6"/>
          <w:sz w:val="20"/>
          <w:szCs w:val="20"/>
        </w:rPr>
        <w:t>等延误</w:t>
      </w:r>
      <w:r>
        <w:rPr>
          <w:rFonts w:ascii="宋体" w:hAnsi="宋体" w:eastAsia="宋体" w:cs="宋体"/>
          <w:spacing w:val="8"/>
          <w:sz w:val="20"/>
          <w:szCs w:val="20"/>
        </w:rPr>
        <w:t>承包人关键线路工作的情况。</w:t>
      </w:r>
    </w:p>
    <w:p w14:paraId="4D77A5F5">
      <w:pPr>
        <w:pStyle w:val="2"/>
        <w:spacing w:before="1" w:line="220" w:lineRule="auto"/>
        <w:ind w:left="28"/>
        <w:rPr>
          <w:sz w:val="24"/>
          <w:szCs w:val="24"/>
        </w:rPr>
      </w:pPr>
      <w:r>
        <w:rPr>
          <w:rFonts w:ascii="Times New Roman" w:hAnsi="Times New Roman" w:eastAsia="Times New Roman" w:cs="Times New Roman"/>
          <w:spacing w:val="-3"/>
          <w:sz w:val="24"/>
          <w:szCs w:val="24"/>
        </w:rPr>
        <w:t xml:space="preserve">11.4 </w:t>
      </w:r>
      <w:r>
        <w:rPr>
          <w:spacing w:val="-3"/>
          <w:sz w:val="24"/>
          <w:szCs w:val="24"/>
        </w:rPr>
        <w:t>异常恶劣的气候条件</w:t>
      </w:r>
    </w:p>
    <w:p w14:paraId="3F752CB8">
      <w:pPr>
        <w:spacing w:before="195" w:line="228" w:lineRule="auto"/>
        <w:ind w:left="430"/>
        <w:rPr>
          <w:rFonts w:ascii="宋体" w:hAnsi="宋体" w:eastAsia="宋体" w:cs="宋体"/>
          <w:sz w:val="20"/>
          <w:szCs w:val="20"/>
        </w:rPr>
      </w:pPr>
      <w:r>
        <w:rPr>
          <w:rFonts w:ascii="宋体" w:hAnsi="宋体" w:eastAsia="宋体" w:cs="宋体"/>
          <w:spacing w:val="9"/>
          <w:sz w:val="20"/>
          <w:szCs w:val="20"/>
        </w:rPr>
        <w:t>异常恶劣的气候条件的范围和标准：</w:t>
      </w:r>
      <w:r>
        <w:rPr>
          <w:rFonts w:ascii="宋体" w:hAnsi="宋体" w:eastAsia="宋体" w:cs="宋体"/>
          <w:sz w:val="20"/>
          <w:szCs w:val="20"/>
          <w:u w:val="single" w:color="auto"/>
        </w:rPr>
        <w:t xml:space="preserve">                                               </w:t>
      </w:r>
    </w:p>
    <w:p w14:paraId="76E34B37">
      <w:pPr>
        <w:tabs>
          <w:tab w:val="left" w:pos="8399"/>
        </w:tabs>
        <w:spacing w:before="230"/>
        <w:rPr>
          <w:rFonts w:ascii="Arial"/>
          <w:sz w:val="21"/>
        </w:rPr>
      </w:pPr>
      <w:r>
        <w:rPr>
          <w:rFonts w:ascii="Arial" w:hAnsi="Arial" w:eastAsia="Arial" w:cs="Arial"/>
          <w:sz w:val="21"/>
          <w:szCs w:val="21"/>
          <w:u w:val="single" w:color="auto"/>
        </w:rPr>
        <w:tab/>
      </w:r>
    </w:p>
    <w:p w14:paraId="4BF36622">
      <w:pPr>
        <w:spacing w:line="288" w:lineRule="auto"/>
        <w:rPr>
          <w:rFonts w:ascii="Arial"/>
          <w:sz w:val="21"/>
        </w:rPr>
      </w:pPr>
    </w:p>
    <w:p w14:paraId="2BFD12DF">
      <w:pPr>
        <w:spacing w:before="66" w:line="45" w:lineRule="exact"/>
        <w:ind w:left="8217"/>
        <w:rPr>
          <w:rFonts w:ascii="宋体" w:hAnsi="宋体" w:eastAsia="宋体" w:cs="宋体"/>
          <w:sz w:val="20"/>
          <w:szCs w:val="20"/>
        </w:rPr>
      </w:pPr>
      <w:r>
        <w:pict>
          <v:shape id="_x0000_s1035" o:spid="_x0000_s1035" o:spt="202" type="#_x0000_t202" style="position:absolute;left:0pt;margin-left:-1pt;margin-top:-4.05pt;height:14.1pt;width:411.5pt;z-index:251676672;mso-width-relative:page;mso-height-relative:page;" filled="f" stroked="f" coordsize="21600,21600">
            <v:path/>
            <v:fill on="f" focussize="0,0"/>
            <v:stroke on="f"/>
            <v:imagedata o:title=""/>
            <o:lock v:ext="edit" aspectratio="f"/>
            <v:textbox inset="0mm,0mm,0mm,0mm">
              <w:txbxContent>
                <w:p w14:paraId="26220C6F">
                  <w:pPr>
                    <w:tabs>
                      <w:tab w:val="left" w:pos="8207"/>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114B225B">
      <w:pPr>
        <w:pStyle w:val="2"/>
        <w:spacing w:before="208" w:line="222" w:lineRule="auto"/>
        <w:ind w:left="28"/>
        <w:rPr>
          <w:sz w:val="24"/>
          <w:szCs w:val="24"/>
        </w:rPr>
      </w:pPr>
      <w:r>
        <w:rPr>
          <w:rFonts w:ascii="Times New Roman" w:hAnsi="Times New Roman" w:eastAsia="Times New Roman" w:cs="Times New Roman"/>
          <w:spacing w:val="-3"/>
          <w:sz w:val="24"/>
          <w:szCs w:val="24"/>
        </w:rPr>
        <w:t xml:space="preserve">11.5 </w:t>
      </w:r>
      <w:r>
        <w:rPr>
          <w:spacing w:val="-3"/>
          <w:sz w:val="24"/>
          <w:szCs w:val="24"/>
        </w:rPr>
        <w:t>承包人的工期延误</w:t>
      </w:r>
    </w:p>
    <w:p w14:paraId="6844A64C">
      <w:pPr>
        <w:spacing w:before="155" w:line="388" w:lineRule="auto"/>
        <w:ind w:left="9" w:firstLine="444"/>
        <w:jc w:val="both"/>
        <w:rPr>
          <w:rFonts w:ascii="宋体" w:hAnsi="宋体" w:eastAsia="宋体" w:cs="宋体"/>
          <w:sz w:val="20"/>
          <w:szCs w:val="20"/>
        </w:rPr>
      </w:pPr>
      <w:r>
        <w:rPr>
          <w:rFonts w:ascii="宋体" w:hAnsi="宋体" w:eastAsia="宋体" w:cs="宋体"/>
          <w:spacing w:val="9"/>
          <w:sz w:val="20"/>
          <w:szCs w:val="20"/>
        </w:rPr>
        <w:t>由于承包人原因造成不能按期竣工的，在按合同约定确定的竣工日期（包括按合同延长的工</w:t>
      </w:r>
      <w:r>
        <w:rPr>
          <w:rFonts w:ascii="宋体" w:hAnsi="宋体" w:eastAsia="宋体" w:cs="宋体"/>
          <w:spacing w:val="6"/>
          <w:sz w:val="20"/>
          <w:szCs w:val="20"/>
        </w:rPr>
        <w:t>期）后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天内，监理人应当按通用合同条款第</w:t>
      </w:r>
      <w:r>
        <w:rPr>
          <w:rFonts w:ascii="宋体" w:hAnsi="宋体" w:eastAsia="宋体" w:cs="宋体"/>
          <w:spacing w:val="-34"/>
          <w:sz w:val="20"/>
          <w:szCs w:val="20"/>
        </w:rPr>
        <w:t xml:space="preserve"> </w:t>
      </w:r>
      <w:r>
        <w:rPr>
          <w:rFonts w:ascii="宋体" w:hAnsi="宋体" w:eastAsia="宋体" w:cs="宋体"/>
          <w:spacing w:val="6"/>
          <w:sz w:val="20"/>
          <w:szCs w:val="20"/>
        </w:rPr>
        <w:t>23.4</w:t>
      </w:r>
      <w:r>
        <w:rPr>
          <w:rFonts w:ascii="宋体" w:hAnsi="宋体" w:eastAsia="宋体" w:cs="宋体"/>
          <w:spacing w:val="5"/>
          <w:sz w:val="20"/>
          <w:szCs w:val="20"/>
        </w:rPr>
        <w:t>.1</w:t>
      </w:r>
      <w:r>
        <w:rPr>
          <w:rFonts w:ascii="宋体" w:hAnsi="宋体" w:eastAsia="宋体" w:cs="宋体"/>
          <w:spacing w:val="-37"/>
          <w:sz w:val="20"/>
          <w:szCs w:val="20"/>
        </w:rPr>
        <w:t xml:space="preserve"> </w:t>
      </w:r>
      <w:r>
        <w:rPr>
          <w:rFonts w:ascii="宋体" w:hAnsi="宋体" w:eastAsia="宋体" w:cs="宋体"/>
          <w:spacing w:val="5"/>
          <w:sz w:val="20"/>
          <w:szCs w:val="20"/>
        </w:rPr>
        <w:t>项的约定书面通知承包人，说明发包人有权</w:t>
      </w:r>
      <w:r>
        <w:rPr>
          <w:rFonts w:ascii="宋体" w:hAnsi="宋体" w:eastAsia="宋体" w:cs="宋体"/>
          <w:spacing w:val="10"/>
          <w:sz w:val="20"/>
          <w:szCs w:val="20"/>
        </w:rPr>
        <w:t>得到按本款约定的下列标准和方法计算的逾期竣工违约金，但最终违约</w:t>
      </w:r>
      <w:r>
        <w:rPr>
          <w:rFonts w:ascii="宋体" w:hAnsi="宋体" w:eastAsia="宋体" w:cs="宋体"/>
          <w:spacing w:val="9"/>
          <w:sz w:val="20"/>
          <w:szCs w:val="20"/>
        </w:rPr>
        <w:t>金的金额不应超过本款约</w:t>
      </w:r>
      <w:r>
        <w:rPr>
          <w:rFonts w:ascii="宋体" w:hAnsi="宋体" w:eastAsia="宋体" w:cs="宋体"/>
          <w:spacing w:val="10"/>
          <w:sz w:val="20"/>
          <w:szCs w:val="20"/>
        </w:rPr>
        <w:t>定的逾期竣工违约金最高限额。监理人未在规定的期限内发出本款约定</w:t>
      </w:r>
      <w:r>
        <w:rPr>
          <w:rFonts w:ascii="宋体" w:hAnsi="宋体" w:eastAsia="宋体" w:cs="宋体"/>
          <w:spacing w:val="9"/>
          <w:sz w:val="20"/>
          <w:szCs w:val="20"/>
        </w:rPr>
        <w:t>的书面通知的，发包人丧</w:t>
      </w:r>
      <w:r>
        <w:rPr>
          <w:rFonts w:ascii="宋体" w:hAnsi="宋体" w:eastAsia="宋体" w:cs="宋体"/>
          <w:spacing w:val="8"/>
          <w:sz w:val="20"/>
          <w:szCs w:val="20"/>
        </w:rPr>
        <w:t>失主张逾期竣工违约金的权利。</w:t>
      </w:r>
    </w:p>
    <w:p w14:paraId="49797A6A">
      <w:pPr>
        <w:spacing w:before="61" w:line="228" w:lineRule="auto"/>
        <w:ind w:left="426"/>
        <w:rPr>
          <w:rFonts w:ascii="宋体" w:hAnsi="宋体" w:eastAsia="宋体" w:cs="宋体"/>
          <w:sz w:val="20"/>
          <w:szCs w:val="20"/>
        </w:rPr>
      </w:pPr>
      <w:r>
        <w:rPr>
          <w:rFonts w:ascii="宋体" w:hAnsi="宋体" w:eastAsia="宋体" w:cs="宋体"/>
          <w:spacing w:val="6"/>
          <w:sz w:val="20"/>
          <w:szCs w:val="20"/>
        </w:rPr>
        <w:t>逾期竣工违约金的计算标准：</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60AB63C">
      <w:pPr>
        <w:spacing w:before="253" w:line="228" w:lineRule="auto"/>
        <w:ind w:left="426"/>
        <w:rPr>
          <w:rFonts w:ascii="宋体" w:hAnsi="宋体" w:eastAsia="宋体" w:cs="宋体"/>
          <w:sz w:val="20"/>
          <w:szCs w:val="20"/>
        </w:rPr>
      </w:pPr>
      <w:r>
        <w:rPr>
          <w:rFonts w:ascii="宋体" w:hAnsi="宋体" w:eastAsia="宋体" w:cs="宋体"/>
          <w:spacing w:val="6"/>
          <w:sz w:val="20"/>
          <w:szCs w:val="20"/>
        </w:rPr>
        <w:t>逾期竣工违约金的计算方法：</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BFD1D31">
      <w:pPr>
        <w:spacing w:before="254" w:line="228" w:lineRule="auto"/>
        <w:ind w:left="426"/>
        <w:rPr>
          <w:rFonts w:ascii="宋体" w:hAnsi="宋体" w:eastAsia="宋体" w:cs="宋体"/>
          <w:sz w:val="20"/>
          <w:szCs w:val="20"/>
        </w:rPr>
      </w:pPr>
      <w:r>
        <w:rPr>
          <w:rFonts w:ascii="宋体" w:hAnsi="宋体" w:eastAsia="宋体" w:cs="宋体"/>
          <w:spacing w:val="6"/>
          <w:sz w:val="20"/>
          <w:szCs w:val="20"/>
        </w:rPr>
        <w:t>逾期竣工违约金最高限额：</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701D53A">
      <w:pPr>
        <w:pStyle w:val="2"/>
        <w:spacing w:before="147" w:line="222" w:lineRule="auto"/>
        <w:ind w:left="28"/>
        <w:rPr>
          <w:sz w:val="24"/>
          <w:szCs w:val="24"/>
        </w:rPr>
      </w:pPr>
      <w:r>
        <w:rPr>
          <w:rFonts w:ascii="Times New Roman" w:hAnsi="Times New Roman" w:eastAsia="Times New Roman" w:cs="Times New Roman"/>
          <w:spacing w:val="-5"/>
          <w:sz w:val="24"/>
          <w:szCs w:val="24"/>
        </w:rPr>
        <w:t xml:space="preserve">11.6 </w:t>
      </w:r>
      <w:r>
        <w:rPr>
          <w:spacing w:val="-5"/>
          <w:sz w:val="24"/>
          <w:szCs w:val="24"/>
        </w:rPr>
        <w:t>工期提前</w:t>
      </w:r>
    </w:p>
    <w:p w14:paraId="79ED7710">
      <w:pPr>
        <w:spacing w:before="136" w:line="228" w:lineRule="auto"/>
        <w:ind w:left="429"/>
        <w:rPr>
          <w:rFonts w:ascii="宋体" w:hAnsi="宋体" w:eastAsia="宋体" w:cs="宋体"/>
          <w:sz w:val="20"/>
          <w:szCs w:val="20"/>
        </w:rPr>
      </w:pPr>
      <w:r>
        <w:rPr>
          <w:rFonts w:ascii="宋体" w:hAnsi="宋体" w:eastAsia="宋体" w:cs="宋体"/>
          <w:spacing w:val="6"/>
          <w:sz w:val="20"/>
          <w:szCs w:val="20"/>
        </w:rPr>
        <w:t>提前竣工的奖励办法：</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w:t>
      </w:r>
    </w:p>
    <w:p w14:paraId="02A756A3">
      <w:pPr>
        <w:pStyle w:val="2"/>
        <w:spacing w:before="193" w:line="224" w:lineRule="auto"/>
        <w:ind w:left="33"/>
        <w:outlineLvl w:val="2"/>
        <w:rPr>
          <w:sz w:val="28"/>
          <w:szCs w:val="28"/>
        </w:rPr>
      </w:pPr>
      <w:bookmarkStart w:id="250" w:name="bookmark231"/>
      <w:bookmarkEnd w:id="250"/>
      <w:r>
        <w:rPr>
          <w:rFonts w:ascii="Times New Roman" w:hAnsi="Times New Roman" w:eastAsia="Times New Roman" w:cs="Times New Roman"/>
          <w:spacing w:val="-5"/>
          <w:sz w:val="28"/>
          <w:szCs w:val="28"/>
        </w:rPr>
        <w:t>12.</w:t>
      </w:r>
      <w:r>
        <w:rPr>
          <w:spacing w:val="-5"/>
          <w:sz w:val="28"/>
          <w:szCs w:val="28"/>
        </w:rPr>
        <w:t>暂停施工</w:t>
      </w:r>
    </w:p>
    <w:p w14:paraId="4140AF59">
      <w:pPr>
        <w:pStyle w:val="2"/>
        <w:spacing w:before="96" w:line="221" w:lineRule="auto"/>
        <w:ind w:left="28"/>
        <w:rPr>
          <w:sz w:val="24"/>
          <w:szCs w:val="24"/>
        </w:rPr>
      </w:pPr>
      <w:r>
        <w:rPr>
          <w:rFonts w:ascii="Times New Roman" w:hAnsi="Times New Roman" w:eastAsia="Times New Roman" w:cs="Times New Roman"/>
          <w:spacing w:val="-2"/>
          <w:sz w:val="24"/>
          <w:szCs w:val="24"/>
        </w:rPr>
        <w:t xml:space="preserve">12.1 </w:t>
      </w:r>
      <w:r>
        <w:rPr>
          <w:spacing w:val="-2"/>
          <w:sz w:val="24"/>
          <w:szCs w:val="24"/>
        </w:rPr>
        <w:t>承包人暂停施工的责任</w:t>
      </w:r>
    </w:p>
    <w:p w14:paraId="49290895">
      <w:pPr>
        <w:tabs>
          <w:tab w:val="left" w:pos="8399"/>
        </w:tabs>
        <w:spacing w:before="216" w:line="499" w:lineRule="auto"/>
        <w:ind w:right="211" w:firstLine="438"/>
        <w:rPr>
          <w:rFonts w:ascii="Arial" w:hAnsi="Arial" w:eastAsia="Arial" w:cs="Arial"/>
          <w:sz w:val="21"/>
          <w:szCs w:val="21"/>
        </w:rPr>
      </w:pPr>
      <w:r>
        <w:rPr>
          <w:rFonts w:ascii="宋体" w:hAnsi="宋体" w:eastAsia="宋体" w:cs="宋体"/>
          <w:spacing w:val="6"/>
          <w:sz w:val="20"/>
          <w:szCs w:val="20"/>
        </w:rPr>
        <w:t>（5）承包人承担暂停施工责任的其他情形：</w:t>
      </w:r>
      <w:r>
        <w:rPr>
          <w:rFonts w:ascii="宋体" w:hAnsi="宋体" w:eastAsia="宋体" w:cs="宋体"/>
          <w:spacing w:val="6"/>
          <w:sz w:val="20"/>
          <w:szCs w:val="20"/>
          <w:u w:val="single" w:color="auto"/>
        </w:rPr>
        <w:t xml:space="preserve">                                       </w:t>
      </w:r>
      <w:r>
        <w:rPr>
          <w:rFonts w:ascii="Arial" w:hAnsi="Arial" w:eastAsia="Arial" w:cs="Arial"/>
          <w:sz w:val="21"/>
          <w:szCs w:val="21"/>
          <w:u w:val="single" w:color="auto"/>
        </w:rPr>
        <w:tab/>
      </w:r>
    </w:p>
    <w:p w14:paraId="39381E84">
      <w:pPr>
        <w:tabs>
          <w:tab w:val="left" w:pos="8187"/>
        </w:tabs>
        <w:spacing w:before="9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B72C699">
      <w:pPr>
        <w:pStyle w:val="2"/>
        <w:spacing w:before="286" w:line="222" w:lineRule="auto"/>
        <w:ind w:left="28"/>
        <w:rPr>
          <w:sz w:val="24"/>
          <w:szCs w:val="24"/>
        </w:rPr>
      </w:pPr>
      <w:r>
        <w:rPr>
          <w:rFonts w:ascii="Times New Roman" w:hAnsi="Times New Roman" w:eastAsia="Times New Roman" w:cs="Times New Roman"/>
          <w:spacing w:val="-4"/>
          <w:sz w:val="24"/>
          <w:szCs w:val="24"/>
        </w:rPr>
        <w:t>12.4</w:t>
      </w:r>
      <w:r>
        <w:rPr>
          <w:rFonts w:ascii="Times New Roman" w:hAnsi="Times New Roman" w:eastAsia="Times New Roman" w:cs="Times New Roman"/>
          <w:spacing w:val="18"/>
          <w:w w:val="101"/>
          <w:sz w:val="24"/>
          <w:szCs w:val="24"/>
        </w:rPr>
        <w:t xml:space="preserve"> </w:t>
      </w:r>
      <w:r>
        <w:rPr>
          <w:spacing w:val="-4"/>
          <w:sz w:val="24"/>
          <w:szCs w:val="24"/>
        </w:rPr>
        <w:t>暂停施工后的复工</w:t>
      </w:r>
    </w:p>
    <w:p w14:paraId="07057019">
      <w:pPr>
        <w:spacing w:before="156" w:line="388" w:lineRule="auto"/>
        <w:ind w:left="8" w:firstLine="435"/>
        <w:jc w:val="both"/>
        <w:rPr>
          <w:rFonts w:ascii="宋体" w:hAnsi="宋体" w:eastAsia="宋体" w:cs="宋体"/>
          <w:sz w:val="20"/>
          <w:szCs w:val="20"/>
        </w:rPr>
      </w:pPr>
      <w:r>
        <w:rPr>
          <w:rFonts w:ascii="宋体" w:hAnsi="宋体" w:eastAsia="宋体" w:cs="宋体"/>
          <w:spacing w:val="8"/>
          <w:sz w:val="20"/>
          <w:szCs w:val="20"/>
        </w:rPr>
        <w:t>12.4.3</w:t>
      </w:r>
      <w:r>
        <w:rPr>
          <w:rFonts w:ascii="宋体" w:hAnsi="宋体" w:eastAsia="宋体" w:cs="宋体"/>
          <w:spacing w:val="-29"/>
          <w:sz w:val="20"/>
          <w:szCs w:val="20"/>
        </w:rPr>
        <w:t xml:space="preserve"> </w:t>
      </w:r>
      <w:r>
        <w:rPr>
          <w:rFonts w:ascii="宋体" w:hAnsi="宋体" w:eastAsia="宋体" w:cs="宋体"/>
          <w:spacing w:val="8"/>
          <w:sz w:val="20"/>
          <w:szCs w:val="20"/>
        </w:rPr>
        <w:t>根据通用合同条款第</w:t>
      </w:r>
      <w:r>
        <w:rPr>
          <w:rFonts w:ascii="宋体" w:hAnsi="宋体" w:eastAsia="宋体" w:cs="宋体"/>
          <w:spacing w:val="-21"/>
          <w:sz w:val="20"/>
          <w:szCs w:val="20"/>
        </w:rPr>
        <w:t xml:space="preserve"> </w:t>
      </w:r>
      <w:r>
        <w:rPr>
          <w:rFonts w:ascii="宋体" w:hAnsi="宋体" w:eastAsia="宋体" w:cs="宋体"/>
          <w:spacing w:val="8"/>
          <w:sz w:val="20"/>
          <w:szCs w:val="20"/>
        </w:rPr>
        <w:t>12.4.1</w:t>
      </w:r>
      <w:r>
        <w:rPr>
          <w:rFonts w:ascii="宋体" w:hAnsi="宋体" w:eastAsia="宋体" w:cs="宋体"/>
          <w:spacing w:val="-38"/>
          <w:sz w:val="20"/>
          <w:szCs w:val="20"/>
        </w:rPr>
        <w:t xml:space="preserve"> </w:t>
      </w:r>
      <w:r>
        <w:rPr>
          <w:rFonts w:ascii="宋体" w:hAnsi="宋体" w:eastAsia="宋体" w:cs="宋体"/>
          <w:spacing w:val="8"/>
          <w:sz w:val="20"/>
          <w:szCs w:val="20"/>
        </w:rPr>
        <w:t>款的约定，监理人发出复工通知后，监理人应和承包人</w:t>
      </w:r>
      <w:r>
        <w:rPr>
          <w:rFonts w:ascii="宋体" w:hAnsi="宋体" w:eastAsia="宋体" w:cs="宋体"/>
          <w:spacing w:val="10"/>
          <w:sz w:val="20"/>
          <w:szCs w:val="20"/>
        </w:rPr>
        <w:t>一起对受到暂停施工影响的工程、材料和工程设备进行检查。承包人负责</w:t>
      </w:r>
      <w:r>
        <w:rPr>
          <w:rFonts w:ascii="宋体" w:hAnsi="宋体" w:eastAsia="宋体" w:cs="宋体"/>
          <w:spacing w:val="9"/>
          <w:sz w:val="20"/>
          <w:szCs w:val="20"/>
        </w:rPr>
        <w:t>修复在暂停施工期间发</w:t>
      </w:r>
      <w:r>
        <w:rPr>
          <w:rFonts w:ascii="宋体" w:hAnsi="宋体" w:eastAsia="宋体" w:cs="宋体"/>
          <w:spacing w:val="10"/>
          <w:sz w:val="20"/>
          <w:szCs w:val="20"/>
        </w:rPr>
        <w:t>生在工程、材料和工程设备上的任何损蚀、缺陷或损失，修复费用由承担</w:t>
      </w:r>
      <w:r>
        <w:rPr>
          <w:rFonts w:ascii="宋体" w:hAnsi="宋体" w:eastAsia="宋体" w:cs="宋体"/>
          <w:spacing w:val="9"/>
          <w:sz w:val="20"/>
          <w:szCs w:val="20"/>
        </w:rPr>
        <w:t>暂停施工责任的责任人</w:t>
      </w:r>
      <w:r>
        <w:rPr>
          <w:rFonts w:ascii="宋体" w:hAnsi="宋体" w:eastAsia="宋体" w:cs="宋体"/>
          <w:spacing w:val="3"/>
          <w:sz w:val="20"/>
          <w:szCs w:val="20"/>
        </w:rPr>
        <w:t>承担。</w:t>
      </w:r>
    </w:p>
    <w:p w14:paraId="4512CEF7">
      <w:pPr>
        <w:spacing w:line="388" w:lineRule="auto"/>
        <w:rPr>
          <w:rFonts w:ascii="宋体" w:hAnsi="宋体" w:eastAsia="宋体" w:cs="宋体"/>
          <w:sz w:val="20"/>
          <w:szCs w:val="20"/>
        </w:rPr>
        <w:sectPr>
          <w:footerReference r:id="rId207" w:type="default"/>
          <w:pgSz w:w="11906" w:h="16839"/>
          <w:pgMar w:top="400" w:right="1554" w:bottom="1038" w:left="1531" w:header="0" w:footer="787" w:gutter="0"/>
          <w:cols w:space="720" w:num="1"/>
        </w:sectPr>
      </w:pPr>
    </w:p>
    <w:p w14:paraId="3E49A0AE">
      <w:pPr>
        <w:spacing w:line="275" w:lineRule="auto"/>
        <w:rPr>
          <w:rFonts w:ascii="Arial"/>
          <w:sz w:val="21"/>
        </w:rPr>
      </w:pPr>
    </w:p>
    <w:p w14:paraId="06D47AD9">
      <w:pPr>
        <w:spacing w:line="275" w:lineRule="auto"/>
        <w:rPr>
          <w:rFonts w:ascii="Arial"/>
          <w:sz w:val="21"/>
        </w:rPr>
      </w:pPr>
    </w:p>
    <w:p w14:paraId="6F703B1C">
      <w:pPr>
        <w:spacing w:line="275" w:lineRule="auto"/>
        <w:rPr>
          <w:rFonts w:ascii="Arial"/>
          <w:sz w:val="21"/>
        </w:rPr>
      </w:pPr>
    </w:p>
    <w:p w14:paraId="72BA5DDD">
      <w:pPr>
        <w:spacing w:line="275" w:lineRule="auto"/>
        <w:rPr>
          <w:rFonts w:ascii="Arial"/>
          <w:sz w:val="21"/>
        </w:rPr>
      </w:pPr>
    </w:p>
    <w:p w14:paraId="5D6D3AE7">
      <w:pPr>
        <w:spacing w:before="65" w:line="389" w:lineRule="auto"/>
        <w:ind w:left="10" w:firstLine="432"/>
        <w:jc w:val="both"/>
        <w:rPr>
          <w:rFonts w:ascii="宋体" w:hAnsi="宋体" w:eastAsia="宋体" w:cs="宋体"/>
          <w:sz w:val="20"/>
          <w:szCs w:val="20"/>
        </w:rPr>
      </w:pPr>
      <w:r>
        <w:rPr>
          <w:rFonts w:ascii="宋体" w:hAnsi="宋体" w:eastAsia="宋体" w:cs="宋体"/>
          <w:spacing w:val="8"/>
          <w:sz w:val="20"/>
          <w:szCs w:val="20"/>
        </w:rPr>
        <w:t>12.4.4</w:t>
      </w:r>
      <w:r>
        <w:rPr>
          <w:rFonts w:ascii="宋体" w:hAnsi="宋体" w:eastAsia="宋体" w:cs="宋体"/>
          <w:spacing w:val="-33"/>
          <w:sz w:val="20"/>
          <w:szCs w:val="20"/>
        </w:rPr>
        <w:t xml:space="preserve"> </w:t>
      </w:r>
      <w:r>
        <w:rPr>
          <w:rFonts w:ascii="宋体" w:hAnsi="宋体" w:eastAsia="宋体" w:cs="宋体"/>
          <w:spacing w:val="8"/>
          <w:sz w:val="20"/>
          <w:szCs w:val="20"/>
        </w:rPr>
        <w:t>暂停施工持续</w:t>
      </w:r>
      <w:r>
        <w:rPr>
          <w:rFonts w:ascii="宋体" w:hAnsi="宋体" w:eastAsia="宋体" w:cs="宋体"/>
          <w:spacing w:val="-33"/>
          <w:sz w:val="20"/>
          <w:szCs w:val="20"/>
        </w:rPr>
        <w:t xml:space="preserve"> </w:t>
      </w:r>
      <w:r>
        <w:rPr>
          <w:rFonts w:ascii="宋体" w:hAnsi="宋体" w:eastAsia="宋体" w:cs="宋体"/>
          <w:spacing w:val="8"/>
          <w:sz w:val="20"/>
          <w:szCs w:val="20"/>
        </w:rPr>
        <w:t>56</w:t>
      </w:r>
      <w:r>
        <w:rPr>
          <w:rFonts w:ascii="宋体" w:hAnsi="宋体" w:eastAsia="宋体" w:cs="宋体"/>
          <w:spacing w:val="-34"/>
          <w:sz w:val="20"/>
          <w:szCs w:val="20"/>
        </w:rPr>
        <w:t xml:space="preserve"> </w:t>
      </w:r>
      <w:r>
        <w:rPr>
          <w:rFonts w:ascii="宋体" w:hAnsi="宋体" w:eastAsia="宋体" w:cs="宋体"/>
          <w:spacing w:val="8"/>
          <w:sz w:val="20"/>
          <w:szCs w:val="20"/>
        </w:rPr>
        <w:t>天以上，按合同约定由承包人提供</w:t>
      </w:r>
      <w:r>
        <w:rPr>
          <w:rFonts w:ascii="宋体" w:hAnsi="宋体" w:eastAsia="宋体" w:cs="宋体"/>
          <w:spacing w:val="7"/>
          <w:sz w:val="20"/>
          <w:szCs w:val="20"/>
        </w:rPr>
        <w:t>的材料和工程设备，</w:t>
      </w:r>
      <w:r>
        <w:rPr>
          <w:rFonts w:ascii="宋体" w:hAnsi="宋体" w:eastAsia="宋体" w:cs="宋体"/>
          <w:spacing w:val="-58"/>
          <w:sz w:val="20"/>
          <w:szCs w:val="20"/>
        </w:rPr>
        <w:t xml:space="preserve"> </w:t>
      </w:r>
      <w:r>
        <w:rPr>
          <w:rFonts w:ascii="宋体" w:hAnsi="宋体" w:eastAsia="宋体" w:cs="宋体"/>
          <w:spacing w:val="7"/>
          <w:sz w:val="20"/>
          <w:szCs w:val="20"/>
        </w:rPr>
        <w:t>由于暂停施</w:t>
      </w:r>
      <w:r>
        <w:rPr>
          <w:rFonts w:ascii="宋体" w:hAnsi="宋体" w:eastAsia="宋体" w:cs="宋体"/>
          <w:spacing w:val="10"/>
          <w:sz w:val="20"/>
          <w:szCs w:val="20"/>
        </w:rPr>
        <w:t>工原因导致承包人在暂停施工前已经订购但被暂停运至施工现场的，</w:t>
      </w:r>
      <w:r>
        <w:rPr>
          <w:rFonts w:ascii="宋体" w:hAnsi="宋体" w:eastAsia="宋体" w:cs="宋体"/>
          <w:spacing w:val="9"/>
          <w:sz w:val="20"/>
          <w:szCs w:val="20"/>
        </w:rPr>
        <w:t>发包人应按照承包人订购合</w:t>
      </w:r>
      <w:r>
        <w:rPr>
          <w:rFonts w:ascii="宋体" w:hAnsi="宋体" w:eastAsia="宋体" w:cs="宋体"/>
          <w:spacing w:val="8"/>
          <w:sz w:val="20"/>
          <w:szCs w:val="20"/>
        </w:rPr>
        <w:t>同的约定支付相应的订购款项。</w:t>
      </w:r>
    </w:p>
    <w:p w14:paraId="79A8E786">
      <w:pPr>
        <w:pStyle w:val="2"/>
        <w:spacing w:before="21" w:line="222" w:lineRule="auto"/>
        <w:ind w:left="33"/>
        <w:outlineLvl w:val="2"/>
        <w:rPr>
          <w:sz w:val="28"/>
          <w:szCs w:val="28"/>
        </w:rPr>
      </w:pPr>
      <w:bookmarkStart w:id="251" w:name="bookmark232"/>
      <w:bookmarkEnd w:id="251"/>
      <w:r>
        <w:rPr>
          <w:rFonts w:ascii="Times New Roman" w:hAnsi="Times New Roman" w:eastAsia="Times New Roman" w:cs="Times New Roman"/>
          <w:spacing w:val="-5"/>
          <w:sz w:val="28"/>
          <w:szCs w:val="28"/>
        </w:rPr>
        <w:t>13.</w:t>
      </w:r>
      <w:r>
        <w:rPr>
          <w:spacing w:val="-5"/>
          <w:sz w:val="28"/>
          <w:szCs w:val="28"/>
        </w:rPr>
        <w:t>工程质量</w:t>
      </w:r>
    </w:p>
    <w:p w14:paraId="23327689">
      <w:pPr>
        <w:pStyle w:val="2"/>
        <w:spacing w:before="96" w:line="222" w:lineRule="auto"/>
        <w:ind w:left="28"/>
        <w:rPr>
          <w:sz w:val="24"/>
          <w:szCs w:val="24"/>
        </w:rPr>
      </w:pPr>
      <w:r>
        <w:rPr>
          <w:rFonts w:ascii="Times New Roman" w:hAnsi="Times New Roman" w:eastAsia="Times New Roman" w:cs="Times New Roman"/>
          <w:spacing w:val="-3"/>
          <w:sz w:val="24"/>
          <w:szCs w:val="24"/>
        </w:rPr>
        <w:t xml:space="preserve">13.2 </w:t>
      </w:r>
      <w:r>
        <w:rPr>
          <w:spacing w:val="-3"/>
          <w:sz w:val="24"/>
          <w:szCs w:val="24"/>
        </w:rPr>
        <w:t>承包人的质量管理</w:t>
      </w:r>
    </w:p>
    <w:p w14:paraId="02F5099D">
      <w:pPr>
        <w:spacing w:before="152" w:line="228" w:lineRule="auto"/>
        <w:ind w:left="443"/>
        <w:rPr>
          <w:rFonts w:ascii="宋体" w:hAnsi="宋体" w:eastAsia="宋体" w:cs="宋体"/>
          <w:sz w:val="20"/>
          <w:szCs w:val="20"/>
        </w:rPr>
      </w:pPr>
      <w:r>
        <w:rPr>
          <w:rFonts w:ascii="宋体" w:hAnsi="宋体" w:eastAsia="宋体" w:cs="宋体"/>
          <w:spacing w:val="7"/>
          <w:sz w:val="20"/>
          <w:szCs w:val="20"/>
        </w:rPr>
        <w:t>13.2.1</w:t>
      </w:r>
      <w:r>
        <w:rPr>
          <w:rFonts w:ascii="宋体" w:hAnsi="宋体" w:eastAsia="宋体" w:cs="宋体"/>
          <w:spacing w:val="-40"/>
          <w:sz w:val="20"/>
          <w:szCs w:val="20"/>
        </w:rPr>
        <w:t xml:space="preserve"> </w:t>
      </w:r>
      <w:r>
        <w:rPr>
          <w:rFonts w:ascii="宋体" w:hAnsi="宋体" w:eastAsia="宋体" w:cs="宋体"/>
          <w:spacing w:val="7"/>
          <w:sz w:val="20"/>
          <w:szCs w:val="20"/>
        </w:rPr>
        <w:t>承包人向监理人提交工程质量保证措施文件</w:t>
      </w:r>
      <w:r>
        <w:rPr>
          <w:rFonts w:ascii="宋体" w:hAnsi="宋体" w:eastAsia="宋体" w:cs="宋体"/>
          <w:spacing w:val="6"/>
          <w:sz w:val="20"/>
          <w:szCs w:val="20"/>
        </w:rPr>
        <w:t>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54BEC2D">
      <w:pPr>
        <w:spacing w:before="173" w:line="228" w:lineRule="auto"/>
        <w:ind w:left="429"/>
        <w:rPr>
          <w:rFonts w:ascii="宋体" w:hAnsi="宋体" w:eastAsia="宋体" w:cs="宋体"/>
          <w:sz w:val="20"/>
          <w:szCs w:val="20"/>
        </w:rPr>
      </w:pPr>
      <w:r>
        <w:rPr>
          <w:rFonts w:ascii="宋体" w:hAnsi="宋体" w:eastAsia="宋体" w:cs="宋体"/>
          <w:spacing w:val="7"/>
          <w:sz w:val="20"/>
          <w:szCs w:val="20"/>
        </w:rPr>
        <w:t>监理人审批工程质量保证措施文件的期限：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846A7CB">
      <w:pPr>
        <w:pStyle w:val="2"/>
        <w:spacing w:before="133" w:line="222" w:lineRule="auto"/>
        <w:ind w:left="28"/>
        <w:rPr>
          <w:sz w:val="24"/>
          <w:szCs w:val="24"/>
        </w:rPr>
      </w:pPr>
      <w:r>
        <w:rPr>
          <w:rFonts w:ascii="Times New Roman" w:hAnsi="Times New Roman" w:eastAsia="Times New Roman" w:cs="Times New Roman"/>
          <w:spacing w:val="-3"/>
          <w:sz w:val="24"/>
          <w:szCs w:val="24"/>
        </w:rPr>
        <w:t xml:space="preserve">13.3 </w:t>
      </w:r>
      <w:r>
        <w:rPr>
          <w:spacing w:val="-3"/>
          <w:sz w:val="24"/>
          <w:szCs w:val="24"/>
        </w:rPr>
        <w:t>承包人的质量检查</w:t>
      </w:r>
    </w:p>
    <w:p w14:paraId="1A8B005F">
      <w:pPr>
        <w:spacing w:before="215" w:line="228" w:lineRule="auto"/>
        <w:ind w:left="428"/>
        <w:rPr>
          <w:rFonts w:ascii="宋体" w:hAnsi="宋体" w:eastAsia="宋体" w:cs="宋体"/>
          <w:sz w:val="20"/>
          <w:szCs w:val="20"/>
        </w:rPr>
      </w:pPr>
      <w:r>
        <w:rPr>
          <w:rFonts w:ascii="宋体" w:hAnsi="宋体" w:eastAsia="宋体" w:cs="宋体"/>
          <w:spacing w:val="7"/>
          <w:sz w:val="20"/>
          <w:szCs w:val="20"/>
        </w:rPr>
        <w:t>承包人向监理人报送工程质量报表的期限：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3CBD2FF">
      <w:pPr>
        <w:spacing w:before="288" w:line="228" w:lineRule="auto"/>
        <w:ind w:left="428"/>
        <w:rPr>
          <w:rFonts w:ascii="宋体" w:hAnsi="宋体" w:eastAsia="宋体" w:cs="宋体"/>
          <w:sz w:val="20"/>
          <w:szCs w:val="20"/>
        </w:rPr>
      </w:pPr>
      <w:r>
        <w:rPr>
          <w:rFonts w:ascii="宋体" w:hAnsi="宋体" w:eastAsia="宋体" w:cs="宋体"/>
          <w:spacing w:val="7"/>
          <w:sz w:val="20"/>
          <w:szCs w:val="20"/>
        </w:rPr>
        <w:t>承包人向监理人报送工程质量报表的要求：</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0A09D43">
      <w:pPr>
        <w:spacing w:before="291" w:line="228" w:lineRule="auto"/>
        <w:ind w:left="429"/>
        <w:rPr>
          <w:rFonts w:ascii="宋体" w:hAnsi="宋体" w:eastAsia="宋体" w:cs="宋体"/>
          <w:sz w:val="20"/>
          <w:szCs w:val="20"/>
        </w:rPr>
      </w:pPr>
      <w:r>
        <w:rPr>
          <w:rFonts w:ascii="宋体" w:hAnsi="宋体" w:eastAsia="宋体" w:cs="宋体"/>
          <w:spacing w:val="6"/>
          <w:sz w:val="20"/>
          <w:szCs w:val="20"/>
        </w:rPr>
        <w:t>监理人审查工程质量报表的期限：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0706A8A">
      <w:pPr>
        <w:pStyle w:val="2"/>
        <w:spacing w:before="123" w:line="222" w:lineRule="auto"/>
        <w:ind w:left="28"/>
        <w:rPr>
          <w:sz w:val="24"/>
          <w:szCs w:val="24"/>
        </w:rPr>
      </w:pPr>
      <w:r>
        <w:rPr>
          <w:rFonts w:ascii="Times New Roman" w:hAnsi="Times New Roman" w:eastAsia="Times New Roman" w:cs="Times New Roman"/>
          <w:spacing w:val="-3"/>
          <w:sz w:val="24"/>
          <w:szCs w:val="24"/>
        </w:rPr>
        <w:t xml:space="preserve">13.4 </w:t>
      </w:r>
      <w:r>
        <w:rPr>
          <w:spacing w:val="-3"/>
          <w:sz w:val="24"/>
          <w:szCs w:val="24"/>
        </w:rPr>
        <w:t>监理人的质量检查</w:t>
      </w:r>
    </w:p>
    <w:p w14:paraId="721DDE26">
      <w:pPr>
        <w:spacing w:before="216" w:line="345" w:lineRule="auto"/>
        <w:ind w:left="8" w:firstLine="420"/>
        <w:rPr>
          <w:rFonts w:ascii="宋体" w:hAnsi="宋体" w:eastAsia="宋体" w:cs="宋体"/>
          <w:sz w:val="20"/>
          <w:szCs w:val="20"/>
        </w:rPr>
      </w:pPr>
      <w:r>
        <w:rPr>
          <w:rFonts w:ascii="宋体" w:hAnsi="宋体" w:eastAsia="宋体" w:cs="宋体"/>
          <w:spacing w:val="10"/>
          <w:sz w:val="20"/>
          <w:szCs w:val="20"/>
        </w:rPr>
        <w:t>承包人应当为监理人的检查和检验提供方便，监理人可以进行察看和</w:t>
      </w:r>
      <w:r>
        <w:rPr>
          <w:rFonts w:ascii="宋体" w:hAnsi="宋体" w:eastAsia="宋体" w:cs="宋体"/>
          <w:spacing w:val="9"/>
          <w:sz w:val="20"/>
          <w:szCs w:val="20"/>
        </w:rPr>
        <w:t>查阅施工原始记录的其</w:t>
      </w:r>
      <w:r>
        <w:rPr>
          <w:rFonts w:ascii="宋体" w:hAnsi="宋体" w:eastAsia="宋体" w:cs="宋体"/>
          <w:spacing w:val="7"/>
          <w:sz w:val="20"/>
          <w:szCs w:val="20"/>
        </w:rPr>
        <w:t>他地方包括：</w:t>
      </w:r>
      <w:r>
        <w:rPr>
          <w:rFonts w:ascii="宋体" w:hAnsi="宋体" w:eastAsia="宋体" w:cs="宋体"/>
          <w:sz w:val="20"/>
          <w:szCs w:val="20"/>
          <w:u w:val="single" w:color="auto"/>
        </w:rPr>
        <w:t xml:space="preserve">                                                                  </w:t>
      </w:r>
      <w:r>
        <w:rPr>
          <w:rFonts w:ascii="宋体" w:hAnsi="宋体" w:eastAsia="宋体" w:cs="宋体"/>
          <w:spacing w:val="7"/>
          <w:sz w:val="20"/>
          <w:szCs w:val="20"/>
        </w:rPr>
        <w:t>。</w:t>
      </w:r>
    </w:p>
    <w:p w14:paraId="165F4AC1">
      <w:pPr>
        <w:pStyle w:val="2"/>
        <w:spacing w:before="1" w:line="221" w:lineRule="auto"/>
        <w:ind w:left="28"/>
        <w:rPr>
          <w:sz w:val="24"/>
          <w:szCs w:val="24"/>
        </w:rPr>
      </w:pPr>
      <w:r>
        <w:rPr>
          <w:rFonts w:ascii="Times New Roman" w:hAnsi="Times New Roman" w:eastAsia="Times New Roman" w:cs="Times New Roman"/>
          <w:spacing w:val="-2"/>
          <w:sz w:val="24"/>
          <w:szCs w:val="24"/>
        </w:rPr>
        <w:t xml:space="preserve">13.5 </w:t>
      </w:r>
      <w:r>
        <w:rPr>
          <w:spacing w:val="-2"/>
          <w:sz w:val="24"/>
          <w:szCs w:val="24"/>
        </w:rPr>
        <w:t>工程隐蔽部位覆盖前的检查</w:t>
      </w:r>
    </w:p>
    <w:p w14:paraId="3E282204">
      <w:pPr>
        <w:spacing w:before="153" w:line="228" w:lineRule="auto"/>
        <w:ind w:left="443"/>
        <w:rPr>
          <w:rFonts w:ascii="宋体" w:hAnsi="宋体" w:eastAsia="宋体" w:cs="宋体"/>
          <w:sz w:val="20"/>
          <w:szCs w:val="20"/>
        </w:rPr>
      </w:pPr>
      <w:r>
        <w:rPr>
          <w:rFonts w:ascii="宋体" w:hAnsi="宋体" w:eastAsia="宋体" w:cs="宋体"/>
          <w:spacing w:val="6"/>
          <w:sz w:val="20"/>
          <w:szCs w:val="20"/>
        </w:rPr>
        <w:t>13.5.1</w:t>
      </w:r>
      <w:r>
        <w:rPr>
          <w:rFonts w:ascii="宋体" w:hAnsi="宋体" w:eastAsia="宋体" w:cs="宋体"/>
          <w:spacing w:val="-39"/>
          <w:sz w:val="20"/>
          <w:szCs w:val="20"/>
        </w:rPr>
        <w:t xml:space="preserve"> </w:t>
      </w:r>
      <w:r>
        <w:rPr>
          <w:rFonts w:ascii="宋体" w:hAnsi="宋体" w:eastAsia="宋体" w:cs="宋体"/>
          <w:spacing w:val="6"/>
          <w:sz w:val="20"/>
          <w:szCs w:val="20"/>
        </w:rPr>
        <w:t>监理人对工程隐蔽部位进行检查的期限：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F140862">
      <w:pPr>
        <w:pStyle w:val="2"/>
        <w:spacing w:before="132" w:line="222" w:lineRule="auto"/>
        <w:ind w:left="28"/>
        <w:rPr>
          <w:sz w:val="24"/>
          <w:szCs w:val="24"/>
        </w:rPr>
      </w:pPr>
      <w:r>
        <w:rPr>
          <w:rFonts w:ascii="Times New Roman" w:hAnsi="Times New Roman" w:eastAsia="Times New Roman" w:cs="Times New Roman"/>
          <w:spacing w:val="-5"/>
          <w:sz w:val="24"/>
          <w:szCs w:val="24"/>
        </w:rPr>
        <w:t>13.7</w:t>
      </w:r>
      <w:r>
        <w:rPr>
          <w:rFonts w:ascii="Times New Roman" w:hAnsi="Times New Roman" w:eastAsia="Times New Roman" w:cs="Times New Roman"/>
          <w:spacing w:val="11"/>
          <w:sz w:val="24"/>
          <w:szCs w:val="24"/>
        </w:rPr>
        <w:t xml:space="preserve"> </w:t>
      </w:r>
      <w:r>
        <w:rPr>
          <w:spacing w:val="-5"/>
          <w:sz w:val="24"/>
          <w:szCs w:val="24"/>
        </w:rPr>
        <w:t>质量争议</w:t>
      </w:r>
    </w:p>
    <w:p w14:paraId="14151D60">
      <w:pPr>
        <w:spacing w:before="219" w:line="351" w:lineRule="auto"/>
        <w:ind w:left="7" w:firstLine="424"/>
        <w:jc w:val="both"/>
        <w:rPr>
          <w:rFonts w:ascii="宋体" w:hAnsi="宋体" w:eastAsia="宋体" w:cs="宋体"/>
          <w:sz w:val="20"/>
          <w:szCs w:val="20"/>
        </w:rPr>
      </w:pPr>
      <w:r>
        <w:rPr>
          <w:rFonts w:ascii="宋体" w:hAnsi="宋体" w:eastAsia="宋体" w:cs="宋体"/>
          <w:spacing w:val="6"/>
          <w:sz w:val="20"/>
          <w:szCs w:val="20"/>
        </w:rPr>
        <w:t>发包人和承包人对工程质量有争议的，除可按合同条款第</w:t>
      </w:r>
      <w:r>
        <w:rPr>
          <w:rFonts w:ascii="宋体" w:hAnsi="宋体" w:eastAsia="宋体" w:cs="宋体"/>
          <w:spacing w:val="-23"/>
          <w:sz w:val="20"/>
          <w:szCs w:val="20"/>
        </w:rPr>
        <w:t xml:space="preserve"> </w:t>
      </w:r>
      <w:r>
        <w:rPr>
          <w:rFonts w:ascii="宋体" w:hAnsi="宋体" w:eastAsia="宋体" w:cs="宋体"/>
          <w:spacing w:val="6"/>
          <w:sz w:val="20"/>
          <w:szCs w:val="20"/>
        </w:rPr>
        <w:t>24</w:t>
      </w:r>
      <w:r>
        <w:rPr>
          <w:rFonts w:ascii="宋体" w:hAnsi="宋体" w:eastAsia="宋体" w:cs="宋体"/>
          <w:spacing w:val="-36"/>
          <w:sz w:val="20"/>
          <w:szCs w:val="20"/>
        </w:rPr>
        <w:t xml:space="preserve"> </w:t>
      </w:r>
      <w:r>
        <w:rPr>
          <w:rFonts w:ascii="宋体" w:hAnsi="宋体" w:eastAsia="宋体" w:cs="宋体"/>
          <w:spacing w:val="6"/>
          <w:sz w:val="20"/>
          <w:szCs w:val="20"/>
        </w:rPr>
        <w:t>条办理外，监理人可提请合同双</w:t>
      </w:r>
      <w:r>
        <w:rPr>
          <w:rFonts w:ascii="宋体" w:hAnsi="宋体" w:eastAsia="宋体" w:cs="宋体"/>
          <w:spacing w:val="9"/>
          <w:sz w:val="20"/>
          <w:szCs w:val="20"/>
        </w:rPr>
        <w:t>方委托有相应资质的工程质量检测机构进行鉴定，所需费用及因此造成的损</w:t>
      </w:r>
      <w:r>
        <w:rPr>
          <w:rFonts w:ascii="宋体" w:hAnsi="宋体" w:eastAsia="宋体" w:cs="宋体"/>
          <w:spacing w:val="8"/>
          <w:sz w:val="20"/>
          <w:szCs w:val="20"/>
        </w:rPr>
        <w:t>失，</w:t>
      </w:r>
      <w:r>
        <w:rPr>
          <w:rFonts w:ascii="宋体" w:hAnsi="宋体" w:eastAsia="宋体" w:cs="宋体"/>
          <w:spacing w:val="-58"/>
          <w:sz w:val="20"/>
          <w:szCs w:val="20"/>
        </w:rPr>
        <w:t xml:space="preserve"> </w:t>
      </w:r>
      <w:r>
        <w:rPr>
          <w:rFonts w:ascii="宋体" w:hAnsi="宋体" w:eastAsia="宋体" w:cs="宋体"/>
          <w:spacing w:val="8"/>
          <w:sz w:val="20"/>
          <w:szCs w:val="20"/>
        </w:rPr>
        <w:t>由责任人承担，</w:t>
      </w:r>
      <w:r>
        <w:rPr>
          <w:rFonts w:ascii="宋体" w:hAnsi="宋体" w:eastAsia="宋体" w:cs="宋体"/>
          <w:spacing w:val="9"/>
          <w:sz w:val="20"/>
          <w:szCs w:val="20"/>
        </w:rPr>
        <w:t>双方均有责任，</w:t>
      </w:r>
      <w:r>
        <w:rPr>
          <w:rFonts w:ascii="宋体" w:hAnsi="宋体" w:eastAsia="宋体" w:cs="宋体"/>
          <w:spacing w:val="-58"/>
          <w:sz w:val="20"/>
          <w:szCs w:val="20"/>
        </w:rPr>
        <w:t xml:space="preserve"> </w:t>
      </w:r>
      <w:r>
        <w:rPr>
          <w:rFonts w:ascii="宋体" w:hAnsi="宋体" w:eastAsia="宋体" w:cs="宋体"/>
          <w:spacing w:val="9"/>
          <w:sz w:val="20"/>
          <w:szCs w:val="20"/>
        </w:rPr>
        <w:t>由双方根据其责任分别承担。经检测，质量确有缺陷的，已</w:t>
      </w:r>
      <w:r>
        <w:rPr>
          <w:rFonts w:ascii="宋体" w:hAnsi="宋体" w:eastAsia="宋体" w:cs="宋体"/>
          <w:spacing w:val="8"/>
          <w:sz w:val="20"/>
          <w:szCs w:val="20"/>
        </w:rPr>
        <w:t>竣工验收或已竣工未</w:t>
      </w:r>
      <w:r>
        <w:rPr>
          <w:rFonts w:ascii="宋体" w:hAnsi="宋体" w:eastAsia="宋体" w:cs="宋体"/>
          <w:spacing w:val="9"/>
          <w:sz w:val="20"/>
          <w:szCs w:val="20"/>
        </w:rPr>
        <w:t>验收但实际投入使用的工程，其处理按工程保修书的约定执行；</w:t>
      </w:r>
      <w:r>
        <w:rPr>
          <w:rFonts w:ascii="宋体" w:hAnsi="宋体" w:eastAsia="宋体" w:cs="宋体"/>
          <w:spacing w:val="-58"/>
          <w:sz w:val="20"/>
          <w:szCs w:val="20"/>
        </w:rPr>
        <w:t xml:space="preserve"> </w:t>
      </w:r>
      <w:r>
        <w:rPr>
          <w:rFonts w:ascii="宋体" w:hAnsi="宋体" w:eastAsia="宋体" w:cs="宋体"/>
          <w:spacing w:val="9"/>
          <w:sz w:val="20"/>
          <w:szCs w:val="20"/>
        </w:rPr>
        <w:t>已竣工未验</w:t>
      </w:r>
      <w:r>
        <w:rPr>
          <w:rFonts w:ascii="宋体" w:hAnsi="宋体" w:eastAsia="宋体" w:cs="宋体"/>
          <w:spacing w:val="8"/>
          <w:sz w:val="20"/>
          <w:szCs w:val="20"/>
        </w:rPr>
        <w:t>收且未实际投入使用</w:t>
      </w:r>
      <w:r>
        <w:rPr>
          <w:rFonts w:ascii="宋体" w:hAnsi="宋体" w:eastAsia="宋体" w:cs="宋体"/>
          <w:spacing w:val="10"/>
          <w:sz w:val="20"/>
          <w:szCs w:val="20"/>
        </w:rPr>
        <w:t>的工程以及停工、停建的工程，根据检测结果确定解决方案，或按工程质量</w:t>
      </w:r>
      <w:r>
        <w:rPr>
          <w:rFonts w:ascii="宋体" w:hAnsi="宋体" w:eastAsia="宋体" w:cs="宋体"/>
          <w:spacing w:val="9"/>
          <w:sz w:val="20"/>
          <w:szCs w:val="20"/>
        </w:rPr>
        <w:t>监督机构的处理决定</w:t>
      </w:r>
      <w:r>
        <w:rPr>
          <w:rFonts w:ascii="宋体" w:hAnsi="宋体" w:eastAsia="宋体" w:cs="宋体"/>
          <w:spacing w:val="3"/>
          <w:sz w:val="20"/>
          <w:szCs w:val="20"/>
        </w:rPr>
        <w:t>执行。</w:t>
      </w:r>
    </w:p>
    <w:p w14:paraId="763F6B51">
      <w:pPr>
        <w:pStyle w:val="2"/>
        <w:spacing w:before="52" w:line="222" w:lineRule="auto"/>
        <w:ind w:left="33"/>
        <w:outlineLvl w:val="2"/>
        <w:rPr>
          <w:sz w:val="28"/>
          <w:szCs w:val="28"/>
        </w:rPr>
      </w:pPr>
      <w:bookmarkStart w:id="252" w:name="bookmark233"/>
      <w:bookmarkEnd w:id="252"/>
      <w:r>
        <w:rPr>
          <w:rFonts w:ascii="Times New Roman" w:hAnsi="Times New Roman" w:eastAsia="Times New Roman" w:cs="Times New Roman"/>
          <w:spacing w:val="-7"/>
          <w:sz w:val="28"/>
          <w:szCs w:val="28"/>
        </w:rPr>
        <w:t>15.</w:t>
      </w:r>
      <w:r>
        <w:rPr>
          <w:spacing w:val="-7"/>
          <w:sz w:val="28"/>
          <w:szCs w:val="28"/>
        </w:rPr>
        <w:t>变更</w:t>
      </w:r>
    </w:p>
    <w:p w14:paraId="7FB25480">
      <w:pPr>
        <w:pStyle w:val="2"/>
        <w:spacing w:before="96" w:line="222" w:lineRule="auto"/>
        <w:ind w:left="28"/>
        <w:rPr>
          <w:sz w:val="24"/>
          <w:szCs w:val="24"/>
        </w:rPr>
      </w:pPr>
      <w:r>
        <w:rPr>
          <w:rFonts w:ascii="Times New Roman" w:hAnsi="Times New Roman" w:eastAsia="Times New Roman" w:cs="Times New Roman"/>
          <w:spacing w:val="-4"/>
          <w:sz w:val="24"/>
          <w:szCs w:val="24"/>
        </w:rPr>
        <w:t>15.1</w:t>
      </w:r>
      <w:r>
        <w:rPr>
          <w:rFonts w:ascii="Times New Roman" w:hAnsi="Times New Roman" w:eastAsia="Times New Roman" w:cs="Times New Roman"/>
          <w:spacing w:val="18"/>
          <w:w w:val="101"/>
          <w:sz w:val="24"/>
          <w:szCs w:val="24"/>
        </w:rPr>
        <w:t xml:space="preserve"> </w:t>
      </w:r>
      <w:r>
        <w:rPr>
          <w:spacing w:val="-4"/>
          <w:sz w:val="24"/>
          <w:szCs w:val="24"/>
        </w:rPr>
        <w:t>变更的范围和内容</w:t>
      </w:r>
    </w:p>
    <w:p w14:paraId="4A63713C">
      <w:pPr>
        <w:spacing w:before="154" w:line="228" w:lineRule="auto"/>
        <w:ind w:left="428"/>
        <w:rPr>
          <w:rFonts w:ascii="宋体" w:hAnsi="宋体" w:eastAsia="宋体" w:cs="宋体"/>
          <w:sz w:val="20"/>
          <w:szCs w:val="20"/>
        </w:rPr>
      </w:pPr>
      <w:r>
        <w:rPr>
          <w:rFonts w:ascii="宋体" w:hAnsi="宋体" w:eastAsia="宋体" w:cs="宋体"/>
          <w:spacing w:val="9"/>
          <w:sz w:val="20"/>
          <w:szCs w:val="20"/>
        </w:rPr>
        <w:t>应当进行变更的其他情形：</w:t>
      </w:r>
      <w:r>
        <w:rPr>
          <w:rFonts w:ascii="宋体" w:hAnsi="宋体" w:eastAsia="宋体" w:cs="宋体"/>
          <w:sz w:val="20"/>
          <w:szCs w:val="20"/>
          <w:u w:val="single" w:color="auto"/>
        </w:rPr>
        <w:t xml:space="preserve">                                                        </w:t>
      </w:r>
    </w:p>
    <w:p w14:paraId="1B3DACDF">
      <w:pPr>
        <w:spacing w:line="282" w:lineRule="auto"/>
        <w:rPr>
          <w:rFonts w:ascii="Arial"/>
          <w:sz w:val="21"/>
        </w:rPr>
      </w:pPr>
    </w:p>
    <w:p w14:paraId="0131E27B">
      <w:pPr>
        <w:tabs>
          <w:tab w:val="left" w:pos="8292"/>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747B664">
      <w:pPr>
        <w:spacing w:before="283" w:line="351" w:lineRule="auto"/>
        <w:ind w:left="7" w:firstLine="424"/>
        <w:jc w:val="both"/>
        <w:rPr>
          <w:rFonts w:ascii="宋体" w:hAnsi="宋体" w:eastAsia="宋体" w:cs="宋体"/>
          <w:sz w:val="20"/>
          <w:szCs w:val="20"/>
        </w:rPr>
      </w:pPr>
      <w:r>
        <w:rPr>
          <w:rFonts w:ascii="宋体" w:hAnsi="宋体" w:eastAsia="宋体" w:cs="宋体"/>
          <w:spacing w:val="8"/>
          <w:sz w:val="20"/>
          <w:szCs w:val="20"/>
        </w:rPr>
        <w:t>发包人违背通用合同条款</w:t>
      </w:r>
      <w:r>
        <w:rPr>
          <w:rFonts w:ascii="宋体" w:hAnsi="宋体" w:eastAsia="宋体" w:cs="宋体"/>
          <w:spacing w:val="-12"/>
          <w:sz w:val="20"/>
          <w:szCs w:val="20"/>
        </w:rPr>
        <w:t xml:space="preserve"> </w:t>
      </w:r>
      <w:r>
        <w:rPr>
          <w:rFonts w:ascii="宋体" w:hAnsi="宋体" w:eastAsia="宋体" w:cs="宋体"/>
          <w:spacing w:val="8"/>
          <w:sz w:val="20"/>
          <w:szCs w:val="20"/>
        </w:rPr>
        <w:t>15.1（1）</w:t>
      </w:r>
      <w:r>
        <w:rPr>
          <w:rFonts w:ascii="宋体" w:hAnsi="宋体" w:eastAsia="宋体" w:cs="宋体"/>
          <w:spacing w:val="-37"/>
          <w:sz w:val="20"/>
          <w:szCs w:val="20"/>
        </w:rPr>
        <w:t xml:space="preserve"> </w:t>
      </w:r>
      <w:r>
        <w:rPr>
          <w:rFonts w:ascii="宋体" w:hAnsi="宋体" w:eastAsia="宋体" w:cs="宋体"/>
          <w:spacing w:val="8"/>
          <w:sz w:val="20"/>
          <w:szCs w:val="20"/>
        </w:rPr>
        <w:t>目的约定，将被取消的合同中的工作转由发包人或其他</w:t>
      </w:r>
      <w:r>
        <w:rPr>
          <w:rFonts w:ascii="宋体" w:hAnsi="宋体" w:eastAsia="宋体" w:cs="宋体"/>
          <w:spacing w:val="10"/>
          <w:sz w:val="20"/>
          <w:szCs w:val="20"/>
        </w:rPr>
        <w:t>人实施的，承包人可向监理人发出通知，要求发包人采取有效措施纠正违约</w:t>
      </w:r>
      <w:r>
        <w:rPr>
          <w:rFonts w:ascii="宋体" w:hAnsi="宋体" w:eastAsia="宋体" w:cs="宋体"/>
          <w:spacing w:val="9"/>
          <w:sz w:val="20"/>
          <w:szCs w:val="20"/>
        </w:rPr>
        <w:t>行为，发包人在监理</w:t>
      </w:r>
      <w:r>
        <w:rPr>
          <w:rFonts w:ascii="宋体" w:hAnsi="宋体" w:eastAsia="宋体" w:cs="宋体"/>
          <w:spacing w:val="7"/>
          <w:sz w:val="20"/>
          <w:szCs w:val="20"/>
        </w:rPr>
        <w:t>人收到承包人通知后</w:t>
      </w:r>
      <w:r>
        <w:rPr>
          <w:rFonts w:ascii="宋体" w:hAnsi="宋体" w:eastAsia="宋体" w:cs="宋体"/>
          <w:spacing w:val="-36"/>
          <w:sz w:val="20"/>
          <w:szCs w:val="20"/>
        </w:rPr>
        <w:t xml:space="preserve"> </w:t>
      </w:r>
      <w:r>
        <w:rPr>
          <w:rFonts w:ascii="宋体" w:hAnsi="宋体" w:eastAsia="宋体" w:cs="宋体"/>
          <w:spacing w:val="7"/>
          <w:sz w:val="20"/>
          <w:szCs w:val="20"/>
        </w:rPr>
        <w:t>28</w:t>
      </w:r>
      <w:r>
        <w:rPr>
          <w:rFonts w:ascii="宋体" w:hAnsi="宋体" w:eastAsia="宋体" w:cs="宋体"/>
          <w:spacing w:val="-34"/>
          <w:sz w:val="20"/>
          <w:szCs w:val="20"/>
        </w:rPr>
        <w:t xml:space="preserve"> </w:t>
      </w:r>
      <w:r>
        <w:rPr>
          <w:rFonts w:ascii="宋体" w:hAnsi="宋体" w:eastAsia="宋体" w:cs="宋体"/>
          <w:spacing w:val="7"/>
          <w:sz w:val="20"/>
          <w:szCs w:val="20"/>
        </w:rPr>
        <w:t>天内仍不纠正违约行为</w:t>
      </w:r>
      <w:r>
        <w:rPr>
          <w:rFonts w:ascii="宋体" w:hAnsi="宋体" w:eastAsia="宋体" w:cs="宋体"/>
          <w:spacing w:val="6"/>
          <w:sz w:val="20"/>
          <w:szCs w:val="20"/>
        </w:rPr>
        <w:t>的，应当赔偿承包人损失（包括合理的利润）并承担由此引起的其他责任。承包人应当按通用合同条款第</w:t>
      </w:r>
      <w:r>
        <w:rPr>
          <w:rFonts w:ascii="宋体" w:hAnsi="宋体" w:eastAsia="宋体" w:cs="宋体"/>
          <w:spacing w:val="-37"/>
          <w:sz w:val="20"/>
          <w:szCs w:val="20"/>
        </w:rPr>
        <w:t xml:space="preserve"> </w:t>
      </w:r>
      <w:r>
        <w:rPr>
          <w:rFonts w:ascii="宋体" w:hAnsi="宋体" w:eastAsia="宋体" w:cs="宋体"/>
          <w:spacing w:val="6"/>
          <w:sz w:val="20"/>
          <w:szCs w:val="20"/>
        </w:rPr>
        <w:t>23.1.1（1）</w:t>
      </w:r>
      <w:r>
        <w:rPr>
          <w:rFonts w:ascii="宋体" w:hAnsi="宋体" w:eastAsia="宋体" w:cs="宋体"/>
          <w:spacing w:val="-54"/>
          <w:sz w:val="20"/>
          <w:szCs w:val="20"/>
        </w:rPr>
        <w:t xml:space="preserve"> </w:t>
      </w:r>
      <w:r>
        <w:rPr>
          <w:rFonts w:ascii="宋体" w:hAnsi="宋体" w:eastAsia="宋体" w:cs="宋体"/>
          <w:spacing w:val="6"/>
          <w:sz w:val="20"/>
          <w:szCs w:val="20"/>
        </w:rPr>
        <w:t>目的约定，在上述</w:t>
      </w:r>
      <w:r>
        <w:rPr>
          <w:rFonts w:ascii="宋体" w:hAnsi="宋体" w:eastAsia="宋体" w:cs="宋体"/>
          <w:spacing w:val="-37"/>
          <w:sz w:val="20"/>
          <w:szCs w:val="20"/>
        </w:rPr>
        <w:t xml:space="preserve"> </w:t>
      </w:r>
      <w:r>
        <w:rPr>
          <w:rFonts w:ascii="宋体" w:hAnsi="宋体" w:eastAsia="宋体" w:cs="宋体"/>
          <w:spacing w:val="6"/>
          <w:sz w:val="20"/>
          <w:szCs w:val="20"/>
        </w:rPr>
        <w:t>28</w:t>
      </w:r>
      <w:r>
        <w:rPr>
          <w:rFonts w:ascii="宋体" w:hAnsi="宋体" w:eastAsia="宋体" w:cs="宋体"/>
          <w:spacing w:val="-34"/>
          <w:sz w:val="20"/>
          <w:szCs w:val="20"/>
        </w:rPr>
        <w:t xml:space="preserve"> </w:t>
      </w:r>
      <w:r>
        <w:rPr>
          <w:rFonts w:ascii="宋体" w:hAnsi="宋体" w:eastAsia="宋体" w:cs="宋体"/>
          <w:spacing w:val="5"/>
          <w:sz w:val="20"/>
          <w:szCs w:val="20"/>
        </w:rPr>
        <w:t>天期限</w:t>
      </w:r>
      <w:r>
        <w:rPr>
          <w:rFonts w:ascii="宋体" w:hAnsi="宋体" w:eastAsia="宋体" w:cs="宋体"/>
          <w:spacing w:val="6"/>
          <w:sz w:val="20"/>
          <w:szCs w:val="20"/>
        </w:rPr>
        <w:t>到期后的</w:t>
      </w:r>
      <w:r>
        <w:rPr>
          <w:rFonts w:ascii="宋体" w:hAnsi="宋体" w:eastAsia="宋体" w:cs="宋体"/>
          <w:spacing w:val="-34"/>
          <w:sz w:val="20"/>
          <w:szCs w:val="20"/>
        </w:rPr>
        <w:t xml:space="preserve"> </w:t>
      </w:r>
      <w:r>
        <w:rPr>
          <w:rFonts w:ascii="宋体" w:hAnsi="宋体" w:eastAsia="宋体" w:cs="宋体"/>
          <w:spacing w:val="6"/>
          <w:sz w:val="20"/>
          <w:szCs w:val="20"/>
        </w:rPr>
        <w:t>28</w:t>
      </w:r>
      <w:r>
        <w:rPr>
          <w:rFonts w:ascii="宋体" w:hAnsi="宋体" w:eastAsia="宋体" w:cs="宋体"/>
          <w:spacing w:val="-36"/>
          <w:sz w:val="20"/>
          <w:szCs w:val="20"/>
        </w:rPr>
        <w:t xml:space="preserve"> </w:t>
      </w:r>
      <w:r>
        <w:rPr>
          <w:rFonts w:ascii="宋体" w:hAnsi="宋体" w:eastAsia="宋体" w:cs="宋体"/>
          <w:spacing w:val="6"/>
          <w:sz w:val="20"/>
          <w:szCs w:val="20"/>
        </w:rPr>
        <w:t>天内，向监理人递交索赔意向通知书，并按通用合</w:t>
      </w:r>
      <w:r>
        <w:rPr>
          <w:rFonts w:ascii="宋体" w:hAnsi="宋体" w:eastAsia="宋体" w:cs="宋体"/>
          <w:spacing w:val="5"/>
          <w:sz w:val="20"/>
          <w:szCs w:val="20"/>
        </w:rPr>
        <w:t>同条款第</w:t>
      </w:r>
      <w:r>
        <w:rPr>
          <w:rFonts w:ascii="宋体" w:hAnsi="宋体" w:eastAsia="宋体" w:cs="宋体"/>
          <w:spacing w:val="-35"/>
          <w:sz w:val="20"/>
          <w:szCs w:val="20"/>
        </w:rPr>
        <w:t xml:space="preserve"> </w:t>
      </w:r>
      <w:r>
        <w:rPr>
          <w:rFonts w:ascii="宋体" w:hAnsi="宋体" w:eastAsia="宋体" w:cs="宋体"/>
          <w:spacing w:val="5"/>
          <w:sz w:val="20"/>
          <w:szCs w:val="20"/>
        </w:rPr>
        <w:t>23.1.1（2）</w:t>
      </w:r>
      <w:r>
        <w:rPr>
          <w:rFonts w:ascii="宋体" w:hAnsi="宋体" w:eastAsia="宋体" w:cs="宋体"/>
          <w:spacing w:val="-42"/>
          <w:sz w:val="20"/>
          <w:szCs w:val="20"/>
        </w:rPr>
        <w:t xml:space="preserve"> </w:t>
      </w:r>
      <w:r>
        <w:rPr>
          <w:rFonts w:ascii="宋体" w:hAnsi="宋体" w:eastAsia="宋体" w:cs="宋体"/>
          <w:spacing w:val="5"/>
          <w:sz w:val="20"/>
          <w:szCs w:val="20"/>
        </w:rPr>
        <w:t>目的约定，</w:t>
      </w:r>
      <w:r>
        <w:rPr>
          <w:rFonts w:ascii="宋体" w:hAnsi="宋体" w:eastAsia="宋体" w:cs="宋体"/>
          <w:spacing w:val="10"/>
          <w:sz w:val="20"/>
          <w:szCs w:val="20"/>
        </w:rPr>
        <w:t>及时向监理人递交正式索赔通知书，说明有权得到</w:t>
      </w:r>
      <w:r>
        <w:rPr>
          <w:rFonts w:ascii="宋体" w:hAnsi="宋体" w:eastAsia="宋体" w:cs="宋体"/>
          <w:spacing w:val="9"/>
          <w:sz w:val="20"/>
          <w:szCs w:val="20"/>
        </w:rPr>
        <w:t>的损失赔偿金额并附必要的记录和证明材料。</w:t>
      </w:r>
    </w:p>
    <w:p w14:paraId="73AC8970">
      <w:pPr>
        <w:spacing w:line="351" w:lineRule="auto"/>
        <w:rPr>
          <w:rFonts w:ascii="宋体" w:hAnsi="宋体" w:eastAsia="宋体" w:cs="宋体"/>
          <w:sz w:val="20"/>
          <w:szCs w:val="20"/>
        </w:rPr>
        <w:sectPr>
          <w:footerReference r:id="rId208" w:type="default"/>
          <w:pgSz w:w="11906" w:h="16839"/>
          <w:pgMar w:top="400" w:right="1554" w:bottom="1038" w:left="1531" w:header="0" w:footer="787" w:gutter="0"/>
          <w:cols w:space="720" w:num="1"/>
        </w:sectPr>
      </w:pPr>
    </w:p>
    <w:p w14:paraId="5E84828C">
      <w:pPr>
        <w:spacing w:line="267" w:lineRule="auto"/>
        <w:rPr>
          <w:rFonts w:ascii="Arial"/>
          <w:sz w:val="21"/>
        </w:rPr>
      </w:pPr>
    </w:p>
    <w:p w14:paraId="20661477">
      <w:pPr>
        <w:spacing w:line="267" w:lineRule="auto"/>
        <w:rPr>
          <w:rFonts w:ascii="Arial"/>
          <w:sz w:val="21"/>
        </w:rPr>
      </w:pPr>
    </w:p>
    <w:p w14:paraId="26410F7B">
      <w:pPr>
        <w:spacing w:line="267" w:lineRule="auto"/>
        <w:rPr>
          <w:rFonts w:ascii="Arial"/>
          <w:sz w:val="21"/>
        </w:rPr>
      </w:pPr>
    </w:p>
    <w:p w14:paraId="25670185">
      <w:pPr>
        <w:spacing w:line="268" w:lineRule="auto"/>
        <w:rPr>
          <w:rFonts w:ascii="Arial"/>
          <w:sz w:val="21"/>
        </w:rPr>
      </w:pPr>
    </w:p>
    <w:p w14:paraId="49542601">
      <w:pPr>
        <w:spacing w:before="65" w:line="347" w:lineRule="auto"/>
        <w:ind w:left="2" w:right="85" w:firstLine="2"/>
        <w:rPr>
          <w:rFonts w:ascii="宋体" w:hAnsi="宋体" w:eastAsia="宋体" w:cs="宋体"/>
          <w:sz w:val="20"/>
          <w:szCs w:val="20"/>
        </w:rPr>
      </w:pPr>
      <w:r>
        <w:rPr>
          <w:rFonts w:ascii="宋体" w:hAnsi="宋体" w:eastAsia="宋体" w:cs="宋体"/>
          <w:spacing w:val="9"/>
          <w:sz w:val="20"/>
          <w:szCs w:val="20"/>
        </w:rPr>
        <w:t>发包人支付给承包人的损失赔偿金额应当包括被取消工作的合同价值中所包含的承</w:t>
      </w:r>
      <w:r>
        <w:rPr>
          <w:rFonts w:ascii="宋体" w:hAnsi="宋体" w:eastAsia="宋体" w:cs="宋体"/>
          <w:spacing w:val="8"/>
          <w:sz w:val="20"/>
          <w:szCs w:val="20"/>
        </w:rPr>
        <w:t>包人管理费、利润以及相应的税金和规费。</w:t>
      </w:r>
    </w:p>
    <w:p w14:paraId="1E89A726">
      <w:pPr>
        <w:pStyle w:val="2"/>
        <w:spacing w:line="221" w:lineRule="auto"/>
        <w:ind w:left="21"/>
        <w:rPr>
          <w:sz w:val="24"/>
          <w:szCs w:val="24"/>
        </w:rPr>
      </w:pPr>
      <w:r>
        <w:rPr>
          <w:rFonts w:ascii="Times New Roman" w:hAnsi="Times New Roman" w:eastAsia="Times New Roman" w:cs="Times New Roman"/>
          <w:spacing w:val="-6"/>
          <w:sz w:val="24"/>
          <w:szCs w:val="24"/>
        </w:rPr>
        <w:t>15.3</w:t>
      </w:r>
      <w:r>
        <w:rPr>
          <w:rFonts w:ascii="Times New Roman" w:hAnsi="Times New Roman" w:eastAsia="Times New Roman" w:cs="Times New Roman"/>
          <w:spacing w:val="18"/>
          <w:w w:val="101"/>
          <w:sz w:val="24"/>
          <w:szCs w:val="24"/>
        </w:rPr>
        <w:t xml:space="preserve"> </w:t>
      </w:r>
      <w:r>
        <w:rPr>
          <w:spacing w:val="-6"/>
          <w:sz w:val="24"/>
          <w:szCs w:val="24"/>
        </w:rPr>
        <w:t>变更程序</w:t>
      </w:r>
    </w:p>
    <w:p w14:paraId="71592854">
      <w:pPr>
        <w:pStyle w:val="2"/>
        <w:spacing w:before="153" w:line="230" w:lineRule="auto"/>
        <w:ind w:left="432"/>
        <w:rPr>
          <w:sz w:val="20"/>
          <w:szCs w:val="20"/>
        </w:rPr>
      </w:pPr>
      <w:r>
        <w:rPr>
          <w:spacing w:val="3"/>
          <w:sz w:val="20"/>
          <w:szCs w:val="20"/>
        </w:rPr>
        <w:t>15.3.2</w:t>
      </w:r>
      <w:r>
        <w:rPr>
          <w:spacing w:val="-31"/>
          <w:sz w:val="20"/>
          <w:szCs w:val="20"/>
        </w:rPr>
        <w:t xml:space="preserve"> </w:t>
      </w:r>
      <w:r>
        <w:rPr>
          <w:spacing w:val="3"/>
          <w:sz w:val="20"/>
          <w:szCs w:val="20"/>
        </w:rPr>
        <w:t>变更估价</w:t>
      </w:r>
    </w:p>
    <w:p w14:paraId="3BFEBFBE">
      <w:pPr>
        <w:spacing w:before="233" w:line="226" w:lineRule="auto"/>
        <w:ind w:left="431"/>
        <w:rPr>
          <w:rFonts w:ascii="宋体" w:hAnsi="宋体" w:eastAsia="宋体" w:cs="宋体"/>
          <w:sz w:val="20"/>
          <w:szCs w:val="20"/>
        </w:rPr>
      </w:pPr>
      <w:r>
        <w:rPr>
          <w:rFonts w:ascii="宋体" w:hAnsi="宋体" w:eastAsia="宋体" w:cs="宋体"/>
          <w:spacing w:val="6"/>
          <w:sz w:val="20"/>
          <w:szCs w:val="20"/>
        </w:rPr>
        <w:t>（1）承包人提交变更报价书的期限：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24B3711">
      <w:pPr>
        <w:spacing w:before="166" w:line="226" w:lineRule="auto"/>
        <w:ind w:left="431"/>
        <w:rPr>
          <w:rFonts w:ascii="宋体" w:hAnsi="宋体" w:eastAsia="宋体" w:cs="宋体"/>
          <w:sz w:val="20"/>
          <w:szCs w:val="20"/>
        </w:rPr>
      </w:pPr>
      <w:r>
        <w:rPr>
          <w:rFonts w:ascii="宋体" w:hAnsi="宋体" w:eastAsia="宋体" w:cs="宋体"/>
          <w:spacing w:val="6"/>
          <w:sz w:val="20"/>
          <w:szCs w:val="20"/>
        </w:rPr>
        <w:t>（3）监理人商定或确定变更价格的期限：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0BCEAFB">
      <w:pPr>
        <w:spacing w:before="114" w:line="320" w:lineRule="auto"/>
        <w:ind w:left="8" w:right="53" w:firstLine="423"/>
        <w:rPr>
          <w:rFonts w:ascii="宋体" w:hAnsi="宋体" w:eastAsia="宋体" w:cs="宋体"/>
          <w:sz w:val="20"/>
          <w:szCs w:val="20"/>
        </w:rPr>
      </w:pPr>
      <w:r>
        <w:rPr>
          <w:rFonts w:ascii="宋体" w:hAnsi="宋体" w:eastAsia="宋体" w:cs="宋体"/>
          <w:spacing w:val="7"/>
          <w:sz w:val="20"/>
          <w:szCs w:val="20"/>
        </w:rPr>
        <w:t>（4）收到变更指示后，如承包人未在规定的期限内提交变更报价书的，</w:t>
      </w:r>
      <w:r>
        <w:rPr>
          <w:rFonts w:ascii="宋体" w:hAnsi="宋体" w:eastAsia="宋体" w:cs="宋体"/>
          <w:spacing w:val="6"/>
          <w:sz w:val="20"/>
          <w:szCs w:val="20"/>
        </w:rPr>
        <w:t>监理人可自行决定是</w:t>
      </w:r>
      <w:r>
        <w:rPr>
          <w:rFonts w:ascii="宋体" w:hAnsi="宋体" w:eastAsia="宋体" w:cs="宋体"/>
          <w:spacing w:val="9"/>
          <w:sz w:val="20"/>
          <w:szCs w:val="20"/>
        </w:rPr>
        <w:t>否调整合同价款以及如果监理人决定调整合同价款时，相应调整的具体金额。</w:t>
      </w:r>
    </w:p>
    <w:p w14:paraId="6AB7FBEB">
      <w:pPr>
        <w:pStyle w:val="2"/>
        <w:spacing w:before="17" w:line="222" w:lineRule="auto"/>
        <w:ind w:left="21"/>
        <w:rPr>
          <w:sz w:val="24"/>
          <w:szCs w:val="24"/>
        </w:rPr>
      </w:pPr>
      <w:r>
        <w:rPr>
          <w:rFonts w:ascii="Times New Roman" w:hAnsi="Times New Roman" w:eastAsia="Times New Roman" w:cs="Times New Roman"/>
          <w:spacing w:val="-4"/>
          <w:sz w:val="24"/>
          <w:szCs w:val="24"/>
        </w:rPr>
        <w:t>15.4</w:t>
      </w:r>
      <w:r>
        <w:rPr>
          <w:rFonts w:ascii="Times New Roman" w:hAnsi="Times New Roman" w:eastAsia="Times New Roman" w:cs="Times New Roman"/>
          <w:spacing w:val="14"/>
          <w:sz w:val="24"/>
          <w:szCs w:val="24"/>
        </w:rPr>
        <w:t xml:space="preserve"> </w:t>
      </w:r>
      <w:r>
        <w:rPr>
          <w:spacing w:val="-4"/>
          <w:sz w:val="24"/>
          <w:szCs w:val="24"/>
        </w:rPr>
        <w:t>变更的估价原则</w:t>
      </w:r>
    </w:p>
    <w:p w14:paraId="55D8804D">
      <w:pPr>
        <w:spacing w:before="92" w:line="320" w:lineRule="auto"/>
        <w:ind w:left="3" w:right="50" w:firstLine="433"/>
        <w:rPr>
          <w:rFonts w:ascii="宋体" w:hAnsi="宋体" w:eastAsia="宋体" w:cs="宋体"/>
          <w:sz w:val="20"/>
          <w:szCs w:val="20"/>
        </w:rPr>
      </w:pPr>
      <w:r>
        <w:rPr>
          <w:rFonts w:ascii="宋体" w:hAnsi="宋体" w:eastAsia="宋体" w:cs="宋体"/>
          <w:spacing w:val="7"/>
          <w:sz w:val="20"/>
          <w:szCs w:val="20"/>
        </w:rPr>
        <w:t>15.4.4</w:t>
      </w:r>
      <w:r>
        <w:rPr>
          <w:rFonts w:ascii="宋体" w:hAnsi="宋体" w:eastAsia="宋体" w:cs="宋体"/>
          <w:spacing w:val="-24"/>
          <w:sz w:val="20"/>
          <w:szCs w:val="20"/>
        </w:rPr>
        <w:t xml:space="preserve"> </w:t>
      </w:r>
      <w:r>
        <w:rPr>
          <w:rFonts w:ascii="宋体" w:hAnsi="宋体" w:eastAsia="宋体" w:cs="宋体"/>
          <w:spacing w:val="7"/>
          <w:sz w:val="20"/>
          <w:szCs w:val="20"/>
        </w:rPr>
        <w:t>因工程量清单漏项（仅适用于合同协议书约定采用单价合同形式时）或变更引起</w:t>
      </w:r>
      <w:r>
        <w:rPr>
          <w:rFonts w:ascii="宋体" w:hAnsi="宋体" w:eastAsia="宋体" w:cs="宋体"/>
          <w:spacing w:val="6"/>
          <w:sz w:val="20"/>
          <w:szCs w:val="20"/>
        </w:rPr>
        <w:t>措施</w:t>
      </w:r>
      <w:r>
        <w:rPr>
          <w:rFonts w:ascii="宋体" w:hAnsi="宋体" w:eastAsia="宋体" w:cs="宋体"/>
          <w:spacing w:val="10"/>
          <w:sz w:val="20"/>
          <w:szCs w:val="20"/>
        </w:rPr>
        <w:t>项目发生变化，原措施项目费中已有的措施项目，采用原措施项目费的</w:t>
      </w:r>
      <w:r>
        <w:rPr>
          <w:rFonts w:ascii="宋体" w:hAnsi="宋体" w:eastAsia="宋体" w:cs="宋体"/>
          <w:spacing w:val="9"/>
          <w:sz w:val="20"/>
          <w:szCs w:val="20"/>
        </w:rPr>
        <w:t>组价方法变更；原措施项</w:t>
      </w:r>
      <w:r>
        <w:rPr>
          <w:rFonts w:ascii="宋体" w:hAnsi="宋体" w:eastAsia="宋体" w:cs="宋体"/>
          <w:spacing w:val="8"/>
          <w:sz w:val="20"/>
          <w:szCs w:val="20"/>
        </w:rPr>
        <w:t>目费中没有的措施项目，</w:t>
      </w:r>
      <w:r>
        <w:rPr>
          <w:rFonts w:ascii="宋体" w:hAnsi="宋体" w:eastAsia="宋体" w:cs="宋体"/>
          <w:spacing w:val="-58"/>
          <w:sz w:val="20"/>
          <w:szCs w:val="20"/>
        </w:rPr>
        <w:t xml:space="preserve"> </w:t>
      </w:r>
      <w:r>
        <w:rPr>
          <w:rFonts w:ascii="宋体" w:hAnsi="宋体" w:eastAsia="宋体" w:cs="宋体"/>
          <w:spacing w:val="8"/>
          <w:sz w:val="20"/>
          <w:szCs w:val="20"/>
        </w:rPr>
        <w:t>由承包人根据措施项目变更情况，提出适当</w:t>
      </w:r>
      <w:r>
        <w:rPr>
          <w:rFonts w:ascii="宋体" w:hAnsi="宋体" w:eastAsia="宋体" w:cs="宋体"/>
          <w:spacing w:val="7"/>
          <w:sz w:val="20"/>
          <w:szCs w:val="20"/>
        </w:rPr>
        <w:t>的措施项目费变更，</w:t>
      </w:r>
      <w:r>
        <w:rPr>
          <w:rFonts w:ascii="宋体" w:hAnsi="宋体" w:eastAsia="宋体" w:cs="宋体"/>
          <w:spacing w:val="-57"/>
          <w:sz w:val="20"/>
          <w:szCs w:val="20"/>
        </w:rPr>
        <w:t xml:space="preserve"> </w:t>
      </w:r>
      <w:r>
        <w:rPr>
          <w:rFonts w:ascii="宋体" w:hAnsi="宋体" w:eastAsia="宋体" w:cs="宋体"/>
          <w:spacing w:val="7"/>
          <w:sz w:val="20"/>
          <w:szCs w:val="20"/>
        </w:rPr>
        <w:t>由监理人按第</w:t>
      </w:r>
      <w:r>
        <w:rPr>
          <w:rFonts w:ascii="宋体" w:hAnsi="宋体" w:eastAsia="宋体" w:cs="宋体"/>
          <w:spacing w:val="-28"/>
          <w:sz w:val="20"/>
          <w:szCs w:val="20"/>
        </w:rPr>
        <w:t xml:space="preserve"> </w:t>
      </w:r>
      <w:r>
        <w:rPr>
          <w:rFonts w:ascii="宋体" w:hAnsi="宋体" w:eastAsia="宋体" w:cs="宋体"/>
          <w:spacing w:val="7"/>
          <w:sz w:val="20"/>
          <w:szCs w:val="20"/>
        </w:rPr>
        <w:t>3.5</w:t>
      </w:r>
      <w:r>
        <w:rPr>
          <w:rFonts w:ascii="宋体" w:hAnsi="宋体" w:eastAsia="宋体" w:cs="宋体"/>
          <w:spacing w:val="-40"/>
          <w:sz w:val="20"/>
          <w:szCs w:val="20"/>
        </w:rPr>
        <w:t xml:space="preserve"> </w:t>
      </w:r>
      <w:r>
        <w:rPr>
          <w:rFonts w:ascii="宋体" w:hAnsi="宋体" w:eastAsia="宋体" w:cs="宋体"/>
          <w:spacing w:val="7"/>
          <w:sz w:val="20"/>
          <w:szCs w:val="20"/>
        </w:rPr>
        <w:t>款商定或确定变更措施项目的费用。</w:t>
      </w:r>
    </w:p>
    <w:p w14:paraId="6621AB99">
      <w:pPr>
        <w:spacing w:before="2" w:line="319" w:lineRule="auto"/>
        <w:ind w:left="1" w:right="50" w:firstLine="435"/>
        <w:rPr>
          <w:rFonts w:ascii="宋体" w:hAnsi="宋体" w:eastAsia="宋体" w:cs="宋体"/>
          <w:sz w:val="20"/>
          <w:szCs w:val="20"/>
        </w:rPr>
      </w:pPr>
      <w:r>
        <w:rPr>
          <w:rFonts w:ascii="宋体" w:hAnsi="宋体" w:eastAsia="宋体" w:cs="宋体"/>
          <w:spacing w:val="7"/>
          <w:sz w:val="20"/>
          <w:szCs w:val="20"/>
        </w:rPr>
        <w:t>15.4.5</w:t>
      </w:r>
      <w:r>
        <w:rPr>
          <w:rFonts w:ascii="宋体" w:hAnsi="宋体" w:eastAsia="宋体" w:cs="宋体"/>
          <w:spacing w:val="-28"/>
          <w:sz w:val="20"/>
          <w:szCs w:val="20"/>
        </w:rPr>
        <w:t xml:space="preserve"> </w:t>
      </w:r>
      <w:r>
        <w:rPr>
          <w:rFonts w:ascii="宋体" w:hAnsi="宋体" w:eastAsia="宋体" w:cs="宋体"/>
          <w:spacing w:val="7"/>
          <w:sz w:val="20"/>
          <w:szCs w:val="20"/>
        </w:rPr>
        <w:t>合同协议书约定采用单价合同形式时，因非承包人原因引起已标价工程量清单中列明的工程量发生增减，且单个子目工程量变化幅度在</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％以内（含）</w:t>
      </w:r>
      <w:r>
        <w:rPr>
          <w:rFonts w:ascii="宋体" w:hAnsi="宋体" w:eastAsia="宋体" w:cs="宋体"/>
          <w:spacing w:val="6"/>
          <w:sz w:val="20"/>
          <w:szCs w:val="20"/>
        </w:rPr>
        <w:t>时，应执行已标价工程量</w:t>
      </w:r>
      <w:r>
        <w:rPr>
          <w:rFonts w:ascii="宋体" w:hAnsi="宋体" w:eastAsia="宋体" w:cs="宋体"/>
          <w:spacing w:val="9"/>
          <w:sz w:val="20"/>
          <w:szCs w:val="20"/>
        </w:rPr>
        <w:t>清单中列明的该子目的单价；单个子目工程量变化幅度在</w:t>
      </w:r>
      <w:r>
        <w:rPr>
          <w:rFonts w:ascii="宋体" w:hAnsi="宋体" w:eastAsia="宋体" w:cs="宋体"/>
          <w:spacing w:val="-100"/>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％以</w:t>
      </w:r>
      <w:r>
        <w:rPr>
          <w:rFonts w:ascii="宋体" w:hAnsi="宋体" w:eastAsia="宋体" w:cs="宋体"/>
          <w:spacing w:val="8"/>
          <w:sz w:val="20"/>
          <w:szCs w:val="20"/>
        </w:rPr>
        <w:t>外（不含</w:t>
      </w:r>
      <w:r>
        <w:rPr>
          <w:rFonts w:ascii="宋体" w:hAnsi="宋体" w:eastAsia="宋体" w:cs="宋体"/>
          <w:spacing w:val="-39"/>
          <w:sz w:val="20"/>
          <w:szCs w:val="20"/>
        </w:rPr>
        <w:t>），</w:t>
      </w:r>
      <w:r>
        <w:rPr>
          <w:rFonts w:ascii="宋体" w:hAnsi="宋体" w:eastAsia="宋体" w:cs="宋体"/>
          <w:spacing w:val="8"/>
          <w:sz w:val="20"/>
          <w:szCs w:val="20"/>
        </w:rPr>
        <w:t>且导致分部分</w:t>
      </w:r>
      <w:r>
        <w:rPr>
          <w:rFonts w:ascii="宋体" w:hAnsi="宋体" w:eastAsia="宋体" w:cs="宋体"/>
          <w:spacing w:val="6"/>
          <w:sz w:val="20"/>
          <w:szCs w:val="20"/>
        </w:rPr>
        <w:t>项工程费总额变化幅度超过</w:t>
      </w:r>
      <w:r>
        <w:rPr>
          <w:rFonts w:ascii="宋体" w:hAnsi="宋体" w:eastAsia="宋体" w:cs="宋体"/>
          <w:spacing w:val="-97"/>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％时，由承包人提出并由监理人按第</w:t>
      </w:r>
      <w:r>
        <w:rPr>
          <w:rFonts w:ascii="宋体" w:hAnsi="宋体" w:eastAsia="宋体" w:cs="宋体"/>
          <w:spacing w:val="-35"/>
          <w:sz w:val="20"/>
          <w:szCs w:val="20"/>
        </w:rPr>
        <w:t xml:space="preserve"> </w:t>
      </w:r>
      <w:r>
        <w:rPr>
          <w:rFonts w:ascii="宋体" w:hAnsi="宋体" w:eastAsia="宋体" w:cs="宋体"/>
          <w:spacing w:val="6"/>
          <w:sz w:val="20"/>
          <w:szCs w:val="20"/>
        </w:rPr>
        <w:t>3.5</w:t>
      </w:r>
      <w:r>
        <w:rPr>
          <w:rFonts w:ascii="宋体" w:hAnsi="宋体" w:eastAsia="宋体" w:cs="宋体"/>
          <w:spacing w:val="-37"/>
          <w:sz w:val="20"/>
          <w:szCs w:val="20"/>
        </w:rPr>
        <w:t xml:space="preserve"> </w:t>
      </w:r>
      <w:r>
        <w:rPr>
          <w:rFonts w:ascii="宋体" w:hAnsi="宋体" w:eastAsia="宋体" w:cs="宋体"/>
          <w:spacing w:val="6"/>
          <w:sz w:val="20"/>
          <w:szCs w:val="20"/>
        </w:rPr>
        <w:t>款商定或确定新</w:t>
      </w:r>
      <w:r>
        <w:rPr>
          <w:rFonts w:ascii="宋体" w:hAnsi="宋体" w:eastAsia="宋体" w:cs="宋体"/>
          <w:spacing w:val="5"/>
          <w:sz w:val="20"/>
          <w:szCs w:val="20"/>
        </w:rPr>
        <w:t>的单</w:t>
      </w:r>
      <w:r>
        <w:rPr>
          <w:rFonts w:ascii="宋体" w:hAnsi="宋体" w:eastAsia="宋体" w:cs="宋体"/>
          <w:spacing w:val="8"/>
          <w:sz w:val="20"/>
          <w:szCs w:val="20"/>
        </w:rPr>
        <w:t>价，该子目按修正后的新的单价计价。</w:t>
      </w:r>
    </w:p>
    <w:p w14:paraId="4FA37F4F">
      <w:pPr>
        <w:spacing w:before="1" w:line="226" w:lineRule="auto"/>
        <w:ind w:left="437"/>
        <w:rPr>
          <w:rFonts w:ascii="宋体" w:hAnsi="宋体" w:eastAsia="宋体" w:cs="宋体"/>
          <w:sz w:val="20"/>
          <w:szCs w:val="20"/>
        </w:rPr>
      </w:pPr>
      <w:r>
        <w:rPr>
          <w:rFonts w:ascii="宋体" w:hAnsi="宋体" w:eastAsia="宋体" w:cs="宋体"/>
          <w:spacing w:val="4"/>
          <w:sz w:val="20"/>
          <w:szCs w:val="20"/>
        </w:rPr>
        <w:t>15.4.6</w:t>
      </w:r>
      <w:r>
        <w:rPr>
          <w:rFonts w:ascii="宋体" w:hAnsi="宋体" w:eastAsia="宋体" w:cs="宋体"/>
          <w:spacing w:val="-24"/>
          <w:sz w:val="20"/>
          <w:szCs w:val="20"/>
        </w:rPr>
        <w:t xml:space="preserve"> </w:t>
      </w:r>
      <w:r>
        <w:rPr>
          <w:rFonts w:ascii="宋体" w:hAnsi="宋体" w:eastAsia="宋体" w:cs="宋体"/>
          <w:spacing w:val="4"/>
          <w:sz w:val="20"/>
          <w:szCs w:val="20"/>
        </w:rPr>
        <w:t>因变更引起价格调整的其他处理方式：</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07EDA1D3">
      <w:pPr>
        <w:tabs>
          <w:tab w:val="left" w:pos="8172"/>
        </w:tabs>
        <w:spacing w:before="235" w:line="173" w:lineRule="auto"/>
        <w:ind w:left="19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92DCD92">
      <w:pPr>
        <w:pStyle w:val="2"/>
        <w:spacing w:before="164" w:line="222" w:lineRule="auto"/>
        <w:ind w:left="21"/>
        <w:rPr>
          <w:sz w:val="24"/>
          <w:szCs w:val="24"/>
        </w:rPr>
      </w:pPr>
      <w:r>
        <w:rPr>
          <w:rFonts w:ascii="Times New Roman" w:hAnsi="Times New Roman" w:eastAsia="Times New Roman" w:cs="Times New Roman"/>
          <w:spacing w:val="-3"/>
          <w:sz w:val="24"/>
          <w:szCs w:val="24"/>
        </w:rPr>
        <w:t xml:space="preserve">15.5 </w:t>
      </w:r>
      <w:r>
        <w:rPr>
          <w:spacing w:val="-3"/>
          <w:sz w:val="24"/>
          <w:szCs w:val="24"/>
        </w:rPr>
        <w:t>承包人的合理化建议</w:t>
      </w:r>
    </w:p>
    <w:p w14:paraId="119EEFE1">
      <w:pPr>
        <w:spacing w:before="95" w:line="228" w:lineRule="auto"/>
        <w:ind w:left="437"/>
        <w:rPr>
          <w:rFonts w:ascii="宋体" w:hAnsi="宋体" w:eastAsia="宋体" w:cs="宋体"/>
          <w:sz w:val="20"/>
          <w:szCs w:val="20"/>
        </w:rPr>
      </w:pPr>
      <w:r>
        <w:rPr>
          <w:rFonts w:ascii="宋体" w:hAnsi="宋体" w:eastAsia="宋体" w:cs="宋体"/>
          <w:spacing w:val="7"/>
          <w:sz w:val="20"/>
          <w:szCs w:val="20"/>
        </w:rPr>
        <w:t>15.5.2</w:t>
      </w:r>
      <w:r>
        <w:rPr>
          <w:rFonts w:ascii="宋体" w:hAnsi="宋体" w:eastAsia="宋体" w:cs="宋体"/>
          <w:spacing w:val="-33"/>
          <w:sz w:val="20"/>
          <w:szCs w:val="20"/>
        </w:rPr>
        <w:t xml:space="preserve"> </w:t>
      </w:r>
      <w:r>
        <w:rPr>
          <w:rFonts w:ascii="宋体" w:hAnsi="宋体" w:eastAsia="宋体" w:cs="宋体"/>
          <w:spacing w:val="7"/>
          <w:sz w:val="20"/>
          <w:szCs w:val="20"/>
        </w:rPr>
        <w:t>对承包人提出合理化建议的奖励方法：</w:t>
      </w:r>
      <w:r>
        <w:rPr>
          <w:rFonts w:ascii="宋体" w:hAnsi="宋体" w:eastAsia="宋体" w:cs="宋体"/>
          <w:sz w:val="20"/>
          <w:szCs w:val="20"/>
          <w:u w:val="single" w:color="auto"/>
        </w:rPr>
        <w:t xml:space="preserve">                                       </w:t>
      </w:r>
    </w:p>
    <w:p w14:paraId="2E7EFC8E">
      <w:pPr>
        <w:spacing w:before="239" w:line="45" w:lineRule="exact"/>
        <w:ind w:left="8201"/>
        <w:rPr>
          <w:rFonts w:ascii="宋体" w:hAnsi="宋体" w:eastAsia="宋体" w:cs="宋体"/>
          <w:sz w:val="20"/>
          <w:szCs w:val="20"/>
        </w:rPr>
      </w:pPr>
      <w:r>
        <w:pict>
          <v:shape id="_x0000_s1036" o:spid="_x0000_s1036" o:spt="202" type="#_x0000_t202" style="position:absolute;left:0pt;margin-left:-0.85pt;margin-top:4.5pt;height:89.3pt;width:445.1pt;z-index:251677696;mso-width-relative:page;mso-height-relative:page;" filled="f" stroked="f" coordsize="21600,21600">
            <v:path/>
            <v:fill on="f" focussize="0,0"/>
            <v:stroke on="f"/>
            <v:imagedata o:title=""/>
            <o:lock v:ext="edit" aspectratio="f"/>
            <v:textbox inset="0mm,0mm,0mm,0mm">
              <w:txbxContent>
                <w:p w14:paraId="3965ABE5">
                  <w:pPr>
                    <w:tabs>
                      <w:tab w:val="left" w:pos="8189"/>
                    </w:tabs>
                    <w:spacing w:before="19"/>
                    <w:ind w:left="209"/>
                    <w:rPr>
                      <w:rFonts w:ascii="Arial"/>
                      <w:sz w:val="21"/>
                    </w:rPr>
                  </w:pPr>
                  <w:r>
                    <w:rPr>
                      <w:rFonts w:ascii="Arial" w:hAnsi="Arial" w:eastAsia="Arial" w:cs="Arial"/>
                      <w:sz w:val="21"/>
                      <w:szCs w:val="21"/>
                      <w:u w:val="single" w:color="auto"/>
                    </w:rPr>
                    <w:tab/>
                  </w:r>
                </w:p>
                <w:p w14:paraId="569CA168">
                  <w:pPr>
                    <w:pStyle w:val="2"/>
                    <w:spacing w:before="115" w:line="222" w:lineRule="auto"/>
                    <w:ind w:left="39"/>
                    <w:rPr>
                      <w:sz w:val="24"/>
                      <w:szCs w:val="24"/>
                    </w:rPr>
                  </w:pPr>
                  <w:r>
                    <w:rPr>
                      <w:rFonts w:ascii="Times New Roman" w:hAnsi="Times New Roman" w:eastAsia="Times New Roman" w:cs="Times New Roman"/>
                      <w:spacing w:val="-7"/>
                      <w:sz w:val="24"/>
                      <w:szCs w:val="24"/>
                    </w:rPr>
                    <w:t>15.8</w:t>
                  </w:r>
                  <w:r>
                    <w:rPr>
                      <w:rFonts w:ascii="Times New Roman" w:hAnsi="Times New Roman" w:eastAsia="Times New Roman" w:cs="Times New Roman"/>
                      <w:spacing w:val="19"/>
                      <w:w w:val="101"/>
                      <w:sz w:val="24"/>
                      <w:szCs w:val="24"/>
                    </w:rPr>
                    <w:t xml:space="preserve"> </w:t>
                  </w:r>
                  <w:r>
                    <w:rPr>
                      <w:spacing w:val="-7"/>
                      <w:sz w:val="24"/>
                      <w:szCs w:val="24"/>
                    </w:rPr>
                    <w:t>暂估价</w:t>
                  </w:r>
                </w:p>
                <w:p w14:paraId="5CF3C359">
                  <w:pPr>
                    <w:spacing w:before="112" w:line="310" w:lineRule="auto"/>
                    <w:ind w:left="20" w:right="20" w:firstLine="434"/>
                    <w:jc w:val="both"/>
                    <w:rPr>
                      <w:rFonts w:ascii="宋体" w:hAnsi="宋体" w:eastAsia="宋体" w:cs="宋体"/>
                      <w:sz w:val="20"/>
                      <w:szCs w:val="20"/>
                    </w:rPr>
                  </w:pPr>
                  <w:r>
                    <w:rPr>
                      <w:rFonts w:ascii="宋体" w:hAnsi="宋体" w:eastAsia="宋体" w:cs="宋体"/>
                      <w:spacing w:val="7"/>
                      <w:sz w:val="20"/>
                      <w:szCs w:val="20"/>
                    </w:rPr>
                    <w:t>15.8.1</w:t>
                  </w:r>
                  <w:r>
                    <w:rPr>
                      <w:rFonts w:ascii="宋体" w:hAnsi="宋体" w:eastAsia="宋体" w:cs="宋体"/>
                      <w:spacing w:val="-26"/>
                      <w:sz w:val="20"/>
                      <w:szCs w:val="20"/>
                    </w:rPr>
                    <w:t xml:space="preserve"> </w:t>
                  </w:r>
                  <w:r>
                    <w:rPr>
                      <w:rFonts w:ascii="宋体" w:hAnsi="宋体" w:eastAsia="宋体" w:cs="宋体"/>
                      <w:spacing w:val="7"/>
                      <w:sz w:val="20"/>
                      <w:szCs w:val="20"/>
                    </w:rPr>
                    <w:t>按合同约定应当由发包人和承包人采用招标方式选择专项供应商或专业分包人的，应</w:t>
                  </w:r>
                  <w:r>
                    <w:rPr>
                      <w:rFonts w:ascii="宋体" w:hAnsi="宋体" w:eastAsia="宋体" w:cs="宋体"/>
                      <w:spacing w:val="10"/>
                      <w:sz w:val="20"/>
                      <w:szCs w:val="20"/>
                    </w:rPr>
                    <w:t>当由承包人作为招标人，依法组织招标工作并接受有管辖权的建设工程</w:t>
                  </w:r>
                  <w:r>
                    <w:rPr>
                      <w:rFonts w:ascii="宋体" w:hAnsi="宋体" w:eastAsia="宋体" w:cs="宋体"/>
                      <w:spacing w:val="9"/>
                      <w:sz w:val="20"/>
                      <w:szCs w:val="20"/>
                    </w:rPr>
                    <w:t>招标投标行政监督部门的</w:t>
                  </w:r>
                  <w:r>
                    <w:rPr>
                      <w:rFonts w:ascii="宋体" w:hAnsi="宋体" w:eastAsia="宋体" w:cs="宋体"/>
                      <w:spacing w:val="6"/>
                      <w:sz w:val="20"/>
                      <w:szCs w:val="20"/>
                    </w:rPr>
                    <w:t>监督。与组织招标工作有关的费用应当被认为已经包括在承包人的签约合同价（投标总报价）中：</w:t>
                  </w:r>
                </w:p>
              </w:txbxContent>
            </v:textbox>
          </v:shape>
        </w:pict>
      </w:r>
      <w:r>
        <w:rPr>
          <w:rFonts w:ascii="宋体" w:hAnsi="宋体" w:eastAsia="宋体" w:cs="宋体"/>
          <w:position w:val="-1"/>
          <w:sz w:val="20"/>
          <w:szCs w:val="20"/>
        </w:rPr>
        <w:t>。</w:t>
      </w:r>
    </w:p>
    <w:p w14:paraId="5C3CE1FD">
      <w:pPr>
        <w:spacing w:line="269" w:lineRule="auto"/>
        <w:rPr>
          <w:rFonts w:ascii="Arial"/>
          <w:sz w:val="21"/>
        </w:rPr>
      </w:pPr>
    </w:p>
    <w:p w14:paraId="2CFB0604">
      <w:pPr>
        <w:spacing w:line="269" w:lineRule="auto"/>
        <w:rPr>
          <w:rFonts w:ascii="Arial"/>
          <w:sz w:val="21"/>
        </w:rPr>
      </w:pPr>
    </w:p>
    <w:p w14:paraId="771493F0">
      <w:pPr>
        <w:spacing w:line="270" w:lineRule="auto"/>
        <w:rPr>
          <w:rFonts w:ascii="Arial"/>
          <w:sz w:val="21"/>
        </w:rPr>
      </w:pPr>
    </w:p>
    <w:p w14:paraId="26BCA3DC">
      <w:pPr>
        <w:spacing w:line="270" w:lineRule="auto"/>
        <w:rPr>
          <w:rFonts w:ascii="Arial"/>
          <w:sz w:val="21"/>
        </w:rPr>
      </w:pPr>
    </w:p>
    <w:p w14:paraId="67B84774">
      <w:pPr>
        <w:spacing w:line="270" w:lineRule="auto"/>
        <w:rPr>
          <w:rFonts w:ascii="Arial"/>
          <w:sz w:val="21"/>
        </w:rPr>
      </w:pPr>
    </w:p>
    <w:p w14:paraId="3F3FE7AF">
      <w:pPr>
        <w:spacing w:line="270" w:lineRule="auto"/>
        <w:rPr>
          <w:rFonts w:ascii="Arial"/>
          <w:sz w:val="21"/>
        </w:rPr>
      </w:pPr>
    </w:p>
    <w:p w14:paraId="16652F14">
      <w:pPr>
        <w:spacing w:before="66" w:line="342" w:lineRule="auto"/>
        <w:ind w:right="50" w:firstLine="431"/>
        <w:rPr>
          <w:rFonts w:ascii="宋体" w:hAnsi="宋体" w:eastAsia="宋体" w:cs="宋体"/>
          <w:sz w:val="20"/>
          <w:szCs w:val="20"/>
        </w:rPr>
      </w:pPr>
      <w:r>
        <w:rPr>
          <w:rFonts w:ascii="宋体" w:hAnsi="宋体" w:eastAsia="宋体" w:cs="宋体"/>
          <w:spacing w:val="6"/>
          <w:sz w:val="20"/>
          <w:szCs w:val="20"/>
        </w:rPr>
        <w:t>（1）在任何招标工作启动前，承包人应当提前至少</w:t>
      </w:r>
      <w:r>
        <w:rPr>
          <w:rFonts w:ascii="宋体" w:hAnsi="宋体" w:eastAsia="宋体" w:cs="宋体"/>
          <w:spacing w:val="6"/>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6"/>
          <w:sz w:val="20"/>
          <w:szCs w:val="20"/>
        </w:rPr>
        <w:t>天编制招标工作计划并通过监理人</w:t>
      </w:r>
      <w:r>
        <w:rPr>
          <w:rFonts w:ascii="宋体" w:hAnsi="宋体" w:eastAsia="宋体" w:cs="宋体"/>
          <w:spacing w:val="10"/>
          <w:sz w:val="20"/>
          <w:szCs w:val="20"/>
        </w:rPr>
        <w:t>报请发包人审批，招标工作计划应当包括招标工作的时间安排、拟采用的招标</w:t>
      </w:r>
      <w:r>
        <w:rPr>
          <w:rFonts w:ascii="宋体" w:hAnsi="宋体" w:eastAsia="宋体" w:cs="宋体"/>
          <w:spacing w:val="9"/>
          <w:sz w:val="20"/>
          <w:szCs w:val="20"/>
        </w:rPr>
        <w:t>方式、拟采用的资</w:t>
      </w:r>
      <w:r>
        <w:rPr>
          <w:rFonts w:ascii="宋体" w:hAnsi="宋体" w:eastAsia="宋体" w:cs="宋体"/>
          <w:spacing w:val="10"/>
          <w:sz w:val="20"/>
          <w:szCs w:val="20"/>
        </w:rPr>
        <w:t>格审查方法、主要招标过程文件的编制内容、对投标人的资格条件要求、评标</w:t>
      </w:r>
      <w:r>
        <w:rPr>
          <w:rFonts w:ascii="宋体" w:hAnsi="宋体" w:eastAsia="宋体" w:cs="宋体"/>
          <w:spacing w:val="9"/>
          <w:sz w:val="20"/>
          <w:szCs w:val="20"/>
        </w:rPr>
        <w:t>标准和方法、评标</w:t>
      </w:r>
      <w:r>
        <w:rPr>
          <w:rFonts w:ascii="宋体" w:hAnsi="宋体" w:eastAsia="宋体" w:cs="宋体"/>
          <w:spacing w:val="10"/>
          <w:sz w:val="20"/>
          <w:szCs w:val="20"/>
        </w:rPr>
        <w:t>委员会组成、是否编制最高投标限价和（或）标底以及最高投标限价和（或）</w:t>
      </w:r>
      <w:r>
        <w:rPr>
          <w:rFonts w:ascii="宋体" w:hAnsi="宋体" w:eastAsia="宋体" w:cs="宋体"/>
          <w:spacing w:val="9"/>
          <w:sz w:val="20"/>
          <w:szCs w:val="20"/>
        </w:rPr>
        <w:t>标底编制原则，发包人应当在监理人收到承包人报送的招标工作计划后</w:t>
      </w:r>
      <w:r>
        <w:rPr>
          <w:rFonts w:ascii="宋体" w:hAnsi="宋体" w:eastAsia="宋体" w:cs="宋体"/>
          <w:spacing w:val="9"/>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9"/>
          <w:sz w:val="20"/>
          <w:szCs w:val="20"/>
        </w:rPr>
        <w:t>天内给予批准或者提出修</w:t>
      </w:r>
      <w:r>
        <w:rPr>
          <w:rFonts w:ascii="宋体" w:hAnsi="宋体" w:eastAsia="宋体" w:cs="宋体"/>
          <w:spacing w:val="8"/>
          <w:sz w:val="20"/>
          <w:szCs w:val="20"/>
        </w:rPr>
        <w:t>改意见。承</w:t>
      </w:r>
      <w:r>
        <w:rPr>
          <w:rFonts w:ascii="宋体" w:hAnsi="宋体" w:eastAsia="宋体" w:cs="宋体"/>
          <w:spacing w:val="9"/>
          <w:sz w:val="20"/>
          <w:szCs w:val="20"/>
        </w:rPr>
        <w:t>包人应当严格按照经过发包人批准的招标工作计划开展招标工作。</w:t>
      </w:r>
    </w:p>
    <w:p w14:paraId="523A5736">
      <w:pPr>
        <w:spacing w:before="4" w:line="341" w:lineRule="auto"/>
        <w:ind w:left="1" w:right="50" w:firstLine="430"/>
        <w:rPr>
          <w:rFonts w:ascii="宋体" w:hAnsi="宋体" w:eastAsia="宋体" w:cs="宋体"/>
          <w:sz w:val="20"/>
          <w:szCs w:val="20"/>
        </w:rPr>
      </w:pPr>
      <w:r>
        <w:rPr>
          <w:rFonts w:ascii="宋体" w:hAnsi="宋体" w:eastAsia="宋体" w:cs="宋体"/>
          <w:spacing w:val="7"/>
          <w:sz w:val="20"/>
          <w:szCs w:val="20"/>
        </w:rPr>
        <w:t>（2）承包人应当在发出招标公告（或者资格预审公告或者投标邀请书）</w:t>
      </w:r>
      <w:r>
        <w:rPr>
          <w:rFonts w:ascii="宋体" w:hAnsi="宋体" w:eastAsia="宋体" w:cs="宋体"/>
          <w:spacing w:val="6"/>
          <w:sz w:val="20"/>
          <w:szCs w:val="20"/>
        </w:rPr>
        <w:t>、资格预审文件和招</w:t>
      </w:r>
      <w:r>
        <w:rPr>
          <w:rFonts w:ascii="宋体" w:hAnsi="宋体" w:eastAsia="宋体" w:cs="宋体"/>
          <w:spacing w:val="9"/>
          <w:sz w:val="20"/>
          <w:szCs w:val="20"/>
        </w:rPr>
        <w:t>标文件前至少</w:t>
      </w:r>
      <w:r>
        <w:rPr>
          <w:rFonts w:ascii="宋体" w:hAnsi="宋体" w:eastAsia="宋体" w:cs="宋体"/>
          <w:spacing w:val="9"/>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9"/>
          <w:sz w:val="20"/>
          <w:szCs w:val="20"/>
        </w:rPr>
        <w:t>天，分别将相关文件通过监理人报请发包人审批，发包</w:t>
      </w:r>
      <w:r>
        <w:rPr>
          <w:rFonts w:ascii="宋体" w:hAnsi="宋体" w:eastAsia="宋体" w:cs="宋体"/>
          <w:spacing w:val="8"/>
          <w:sz w:val="20"/>
          <w:szCs w:val="20"/>
        </w:rPr>
        <w:t>人应当在监理人收到承包人报送的相关文件后</w:t>
      </w:r>
      <w:r>
        <w:rPr>
          <w:rFonts w:ascii="宋体" w:hAnsi="宋体" w:eastAsia="宋体" w:cs="宋体"/>
          <w:spacing w:val="8"/>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8"/>
          <w:sz w:val="20"/>
          <w:szCs w:val="20"/>
        </w:rPr>
        <w:t>天内给予批准或者提出修改意见，经发包人批准的相关</w:t>
      </w:r>
      <w:r>
        <w:rPr>
          <w:rFonts w:ascii="宋体" w:hAnsi="宋体" w:eastAsia="宋体" w:cs="宋体"/>
          <w:spacing w:val="7"/>
          <w:sz w:val="20"/>
          <w:szCs w:val="20"/>
        </w:rPr>
        <w:t>文件，</w:t>
      </w:r>
      <w:r>
        <w:rPr>
          <w:rFonts w:ascii="宋体" w:hAnsi="宋体" w:eastAsia="宋体" w:cs="宋体"/>
          <w:spacing w:val="-58"/>
          <w:sz w:val="20"/>
          <w:szCs w:val="20"/>
        </w:rPr>
        <w:t xml:space="preserve"> </w:t>
      </w:r>
      <w:r>
        <w:rPr>
          <w:rFonts w:ascii="宋体" w:hAnsi="宋体" w:eastAsia="宋体" w:cs="宋体"/>
          <w:spacing w:val="7"/>
          <w:sz w:val="20"/>
          <w:szCs w:val="20"/>
        </w:rPr>
        <w:t>由</w:t>
      </w:r>
      <w:r>
        <w:rPr>
          <w:rFonts w:ascii="宋体" w:hAnsi="宋体" w:eastAsia="宋体" w:cs="宋体"/>
          <w:spacing w:val="10"/>
          <w:sz w:val="20"/>
          <w:szCs w:val="20"/>
        </w:rPr>
        <w:t>承包人负责誊清整理并准备出开展实际招标工作所需要的份数，通过监理</w:t>
      </w:r>
      <w:r>
        <w:rPr>
          <w:rFonts w:ascii="宋体" w:hAnsi="宋体" w:eastAsia="宋体" w:cs="宋体"/>
          <w:spacing w:val="9"/>
          <w:sz w:val="20"/>
          <w:szCs w:val="20"/>
        </w:rPr>
        <w:t>人报发包人核查并加盖</w:t>
      </w:r>
    </w:p>
    <w:p w14:paraId="3159FAD0">
      <w:pPr>
        <w:spacing w:line="341" w:lineRule="auto"/>
        <w:rPr>
          <w:rFonts w:ascii="宋体" w:hAnsi="宋体" w:eastAsia="宋体" w:cs="宋体"/>
          <w:sz w:val="20"/>
          <w:szCs w:val="20"/>
        </w:rPr>
        <w:sectPr>
          <w:footerReference r:id="rId209" w:type="default"/>
          <w:pgSz w:w="11906" w:h="16839"/>
          <w:pgMar w:top="400" w:right="1503" w:bottom="1038" w:left="1537" w:header="0" w:footer="787" w:gutter="0"/>
          <w:cols w:space="720" w:num="1"/>
        </w:sectPr>
      </w:pPr>
    </w:p>
    <w:p w14:paraId="774BE0DC">
      <w:pPr>
        <w:spacing w:line="265" w:lineRule="auto"/>
        <w:rPr>
          <w:rFonts w:ascii="Arial"/>
          <w:sz w:val="21"/>
        </w:rPr>
      </w:pPr>
    </w:p>
    <w:p w14:paraId="62B01989">
      <w:pPr>
        <w:spacing w:line="265" w:lineRule="auto"/>
        <w:rPr>
          <w:rFonts w:ascii="Arial"/>
          <w:sz w:val="21"/>
        </w:rPr>
      </w:pPr>
    </w:p>
    <w:p w14:paraId="00F0AB4D">
      <w:pPr>
        <w:spacing w:line="266" w:lineRule="auto"/>
        <w:rPr>
          <w:rFonts w:ascii="Arial"/>
          <w:sz w:val="21"/>
        </w:rPr>
      </w:pPr>
    </w:p>
    <w:p w14:paraId="0878877F">
      <w:pPr>
        <w:spacing w:line="266" w:lineRule="auto"/>
        <w:rPr>
          <w:rFonts w:ascii="Arial"/>
          <w:sz w:val="21"/>
        </w:rPr>
      </w:pPr>
    </w:p>
    <w:p w14:paraId="1C1D2858">
      <w:pPr>
        <w:spacing w:before="65" w:line="343" w:lineRule="auto"/>
        <w:ind w:right="71" w:firstLine="4"/>
        <w:rPr>
          <w:rFonts w:ascii="宋体" w:hAnsi="宋体" w:eastAsia="宋体" w:cs="宋体"/>
          <w:sz w:val="20"/>
          <w:szCs w:val="20"/>
        </w:rPr>
      </w:pPr>
      <w:r>
        <w:rPr>
          <w:rFonts w:ascii="宋体" w:hAnsi="宋体" w:eastAsia="宋体" w:cs="宋体"/>
          <w:spacing w:val="10"/>
          <w:sz w:val="20"/>
          <w:szCs w:val="20"/>
        </w:rPr>
        <w:t>发包人印章，发包人在相关文件上加盖印章只表明相关文件经过发</w:t>
      </w:r>
      <w:r>
        <w:rPr>
          <w:rFonts w:ascii="宋体" w:hAnsi="宋体" w:eastAsia="宋体" w:cs="宋体"/>
          <w:spacing w:val="9"/>
          <w:sz w:val="20"/>
          <w:szCs w:val="20"/>
        </w:rPr>
        <w:t>包人审核批准。最终发出的文件应当分别报送一份给发包人和监理人备查。</w:t>
      </w:r>
    </w:p>
    <w:p w14:paraId="48DAA0CA">
      <w:pPr>
        <w:spacing w:before="23" w:line="373" w:lineRule="auto"/>
        <w:ind w:left="3" w:right="71" w:firstLine="428"/>
        <w:rPr>
          <w:rFonts w:ascii="宋体" w:hAnsi="宋体" w:eastAsia="宋体" w:cs="宋体"/>
          <w:sz w:val="20"/>
          <w:szCs w:val="20"/>
        </w:rPr>
      </w:pPr>
      <w:r>
        <w:rPr>
          <w:rFonts w:ascii="宋体" w:hAnsi="宋体" w:eastAsia="宋体" w:cs="宋体"/>
          <w:spacing w:val="7"/>
          <w:sz w:val="20"/>
          <w:szCs w:val="20"/>
        </w:rPr>
        <w:t>（3）如果发、承包任何一方委派评标代表，评标委员会应当由七人以上</w:t>
      </w:r>
      <w:r>
        <w:rPr>
          <w:rFonts w:ascii="宋体" w:hAnsi="宋体" w:eastAsia="宋体" w:cs="宋体"/>
          <w:spacing w:val="6"/>
          <w:sz w:val="20"/>
          <w:szCs w:val="20"/>
        </w:rPr>
        <w:t>单数构成。除发包人</w:t>
      </w:r>
      <w:r>
        <w:rPr>
          <w:rFonts w:ascii="宋体" w:hAnsi="宋体" w:eastAsia="宋体" w:cs="宋体"/>
          <w:spacing w:val="10"/>
          <w:sz w:val="20"/>
          <w:szCs w:val="20"/>
        </w:rPr>
        <w:t>或者承包人自愿放弃委派评标代表的权利外，招标人评标代表应当分别</w:t>
      </w:r>
      <w:r>
        <w:rPr>
          <w:rFonts w:ascii="宋体" w:hAnsi="宋体" w:eastAsia="宋体" w:cs="宋体"/>
          <w:spacing w:val="9"/>
          <w:sz w:val="20"/>
          <w:szCs w:val="20"/>
        </w:rPr>
        <w:t>由发包人和承包人等额委</w:t>
      </w:r>
      <w:r>
        <w:rPr>
          <w:rFonts w:ascii="宋体" w:hAnsi="宋体" w:eastAsia="宋体" w:cs="宋体"/>
          <w:spacing w:val="-1"/>
          <w:sz w:val="20"/>
          <w:szCs w:val="20"/>
        </w:rPr>
        <w:t>派。</w:t>
      </w:r>
    </w:p>
    <w:p w14:paraId="6B482BD0">
      <w:pPr>
        <w:spacing w:before="2" w:line="372" w:lineRule="auto"/>
        <w:ind w:right="70" w:firstLine="430"/>
        <w:rPr>
          <w:rFonts w:ascii="宋体" w:hAnsi="宋体" w:eastAsia="宋体" w:cs="宋体"/>
          <w:sz w:val="20"/>
          <w:szCs w:val="20"/>
        </w:rPr>
      </w:pPr>
      <w:r>
        <w:rPr>
          <w:rFonts w:ascii="宋体" w:hAnsi="宋体" w:eastAsia="宋体" w:cs="宋体"/>
          <w:spacing w:val="10"/>
          <w:sz w:val="20"/>
          <w:szCs w:val="20"/>
        </w:rPr>
        <w:t>（4）设有标底的，承包人应当在开标前提前48</w:t>
      </w:r>
      <w:r>
        <w:rPr>
          <w:rFonts w:ascii="宋体" w:hAnsi="宋体" w:eastAsia="宋体" w:cs="宋体"/>
          <w:spacing w:val="-32"/>
          <w:sz w:val="20"/>
          <w:szCs w:val="20"/>
        </w:rPr>
        <w:t xml:space="preserve"> </w:t>
      </w:r>
      <w:r>
        <w:rPr>
          <w:rFonts w:ascii="宋体" w:hAnsi="宋体" w:eastAsia="宋体" w:cs="宋体"/>
          <w:spacing w:val="10"/>
          <w:sz w:val="20"/>
          <w:szCs w:val="20"/>
        </w:rPr>
        <w:t>小时将标底报发包人审核认可，发包人应当</w:t>
      </w:r>
      <w:r>
        <w:rPr>
          <w:rFonts w:ascii="宋体" w:hAnsi="宋体" w:eastAsia="宋体" w:cs="宋体"/>
          <w:spacing w:val="7"/>
          <w:sz w:val="20"/>
          <w:szCs w:val="20"/>
        </w:rPr>
        <w:t>在收到承包人报送的标底后</w:t>
      </w:r>
      <w:r>
        <w:rPr>
          <w:rFonts w:ascii="宋体" w:hAnsi="宋体" w:eastAsia="宋体" w:cs="宋体"/>
          <w:spacing w:val="-34"/>
          <w:sz w:val="20"/>
          <w:szCs w:val="20"/>
        </w:rPr>
        <w:t xml:space="preserve"> </w:t>
      </w:r>
      <w:r>
        <w:rPr>
          <w:rFonts w:ascii="宋体" w:hAnsi="宋体" w:eastAsia="宋体" w:cs="宋体"/>
          <w:spacing w:val="7"/>
          <w:sz w:val="20"/>
          <w:szCs w:val="20"/>
        </w:rPr>
        <w:t>24</w:t>
      </w:r>
      <w:r>
        <w:rPr>
          <w:rFonts w:ascii="宋体" w:hAnsi="宋体" w:eastAsia="宋体" w:cs="宋体"/>
          <w:spacing w:val="-35"/>
          <w:sz w:val="20"/>
          <w:szCs w:val="20"/>
        </w:rPr>
        <w:t xml:space="preserve"> </w:t>
      </w:r>
      <w:r>
        <w:rPr>
          <w:rFonts w:ascii="宋体" w:hAnsi="宋体" w:eastAsia="宋体" w:cs="宋体"/>
          <w:spacing w:val="7"/>
          <w:sz w:val="20"/>
          <w:szCs w:val="20"/>
        </w:rPr>
        <w:t>小时内给予批准或</w:t>
      </w:r>
      <w:r>
        <w:rPr>
          <w:rFonts w:ascii="宋体" w:hAnsi="宋体" w:eastAsia="宋体" w:cs="宋体"/>
          <w:spacing w:val="6"/>
          <w:sz w:val="20"/>
          <w:szCs w:val="20"/>
        </w:rPr>
        <w:t>者提出修改意见。承包人和发包人应当共同制定</w:t>
      </w:r>
      <w:r>
        <w:rPr>
          <w:rFonts w:ascii="宋体" w:hAnsi="宋体" w:eastAsia="宋体" w:cs="宋体"/>
          <w:spacing w:val="9"/>
          <w:sz w:val="20"/>
          <w:szCs w:val="20"/>
        </w:rPr>
        <w:t>标底保密措施，不得提前泄露标底。标底的最终审核和决定权属于发包人。</w:t>
      </w:r>
    </w:p>
    <w:p w14:paraId="78B1692F">
      <w:pPr>
        <w:spacing w:before="2" w:line="372" w:lineRule="auto"/>
        <w:ind w:left="5" w:firstLine="426"/>
        <w:rPr>
          <w:rFonts w:ascii="宋体" w:hAnsi="宋体" w:eastAsia="宋体" w:cs="宋体"/>
          <w:sz w:val="20"/>
          <w:szCs w:val="20"/>
        </w:rPr>
      </w:pPr>
      <w:r>
        <w:rPr>
          <w:rFonts w:ascii="宋体" w:hAnsi="宋体" w:eastAsia="宋体" w:cs="宋体"/>
          <w:spacing w:val="6"/>
          <w:sz w:val="20"/>
          <w:szCs w:val="20"/>
        </w:rPr>
        <w:t>（5）设有最高投标限价的，承包人应当在招标文件发出前提前</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天将最高投标限价报发包人</w:t>
      </w:r>
      <w:r>
        <w:rPr>
          <w:rFonts w:ascii="宋体" w:hAnsi="宋体" w:eastAsia="宋体" w:cs="宋体"/>
          <w:spacing w:val="11"/>
          <w:sz w:val="20"/>
          <w:szCs w:val="20"/>
        </w:rPr>
        <w:t>审核认可，发包人应当在收到承包人报送的最高投标限价后</w:t>
      </w:r>
      <w:r>
        <w:rPr>
          <w:rFonts w:ascii="宋体" w:hAnsi="宋体" w:eastAsia="宋体" w:cs="宋体"/>
          <w:spacing w:val="-25"/>
          <w:sz w:val="20"/>
          <w:szCs w:val="20"/>
        </w:rPr>
        <w:t xml:space="preserve"> </w:t>
      </w:r>
      <w:r>
        <w:rPr>
          <w:rFonts w:ascii="宋体" w:hAnsi="宋体" w:eastAsia="宋体" w:cs="宋体"/>
          <w:spacing w:val="11"/>
          <w:sz w:val="20"/>
          <w:szCs w:val="20"/>
        </w:rPr>
        <w:t>72</w:t>
      </w:r>
      <w:r>
        <w:rPr>
          <w:rFonts w:ascii="宋体" w:hAnsi="宋体" w:eastAsia="宋体" w:cs="宋体"/>
          <w:spacing w:val="-30"/>
          <w:sz w:val="20"/>
          <w:szCs w:val="20"/>
        </w:rPr>
        <w:t xml:space="preserve"> </w:t>
      </w:r>
      <w:r>
        <w:rPr>
          <w:rFonts w:ascii="宋体" w:hAnsi="宋体" w:eastAsia="宋体" w:cs="宋体"/>
          <w:spacing w:val="11"/>
          <w:sz w:val="20"/>
          <w:szCs w:val="20"/>
        </w:rPr>
        <w:t>小时内给予认可或者提出修改意</w:t>
      </w:r>
      <w:r>
        <w:rPr>
          <w:rFonts w:ascii="宋体" w:hAnsi="宋体" w:eastAsia="宋体" w:cs="宋体"/>
          <w:spacing w:val="7"/>
          <w:sz w:val="20"/>
          <w:szCs w:val="20"/>
        </w:rPr>
        <w:t>见。最高投标限价的最终审核和决定权属于发</w:t>
      </w:r>
      <w:r>
        <w:rPr>
          <w:rFonts w:ascii="宋体" w:hAnsi="宋体" w:eastAsia="宋体" w:cs="宋体"/>
          <w:spacing w:val="6"/>
          <w:sz w:val="20"/>
          <w:szCs w:val="20"/>
        </w:rPr>
        <w:t>包人，未经发包人认可，承包人不得发出招标文件。</w:t>
      </w:r>
    </w:p>
    <w:p w14:paraId="23EEEB09">
      <w:pPr>
        <w:spacing w:before="3" w:line="372" w:lineRule="auto"/>
        <w:ind w:right="73" w:firstLine="431"/>
        <w:rPr>
          <w:rFonts w:ascii="宋体" w:hAnsi="宋体" w:eastAsia="宋体" w:cs="宋体"/>
          <w:sz w:val="20"/>
          <w:szCs w:val="20"/>
        </w:rPr>
      </w:pPr>
      <w:r>
        <w:rPr>
          <w:rFonts w:ascii="宋体" w:hAnsi="宋体" w:eastAsia="宋体" w:cs="宋体"/>
          <w:spacing w:val="9"/>
          <w:sz w:val="20"/>
          <w:szCs w:val="20"/>
        </w:rPr>
        <w:t>（6）承包人在收到相关招标项目评标委员会提</w:t>
      </w:r>
      <w:r>
        <w:rPr>
          <w:rFonts w:ascii="宋体" w:hAnsi="宋体" w:eastAsia="宋体" w:cs="宋体"/>
          <w:spacing w:val="8"/>
          <w:sz w:val="20"/>
          <w:szCs w:val="20"/>
        </w:rPr>
        <w:t>交的评标报告后，应当在</w:t>
      </w:r>
      <w:r>
        <w:rPr>
          <w:rFonts w:ascii="宋体" w:hAnsi="宋体" w:eastAsia="宋体" w:cs="宋体"/>
          <w:spacing w:val="-36"/>
          <w:sz w:val="20"/>
          <w:szCs w:val="20"/>
        </w:rPr>
        <w:t xml:space="preserve"> </w:t>
      </w:r>
      <w:r>
        <w:rPr>
          <w:rFonts w:ascii="宋体" w:hAnsi="宋体" w:eastAsia="宋体" w:cs="宋体"/>
          <w:spacing w:val="8"/>
          <w:sz w:val="20"/>
          <w:szCs w:val="20"/>
        </w:rPr>
        <w:t>24</w:t>
      </w:r>
      <w:r>
        <w:rPr>
          <w:rFonts w:ascii="宋体" w:hAnsi="宋体" w:eastAsia="宋体" w:cs="宋体"/>
          <w:spacing w:val="-35"/>
          <w:sz w:val="20"/>
          <w:szCs w:val="20"/>
        </w:rPr>
        <w:t xml:space="preserve"> </w:t>
      </w:r>
      <w:r>
        <w:rPr>
          <w:rFonts w:ascii="宋体" w:hAnsi="宋体" w:eastAsia="宋体" w:cs="宋体"/>
          <w:spacing w:val="8"/>
          <w:sz w:val="20"/>
          <w:szCs w:val="20"/>
        </w:rPr>
        <w:t>小时内通过监理人转报发包人核查，发包人应当在监理人收到承包人报送的评标报告后48</w:t>
      </w:r>
      <w:r>
        <w:rPr>
          <w:rFonts w:ascii="宋体" w:hAnsi="宋体" w:eastAsia="宋体" w:cs="宋体"/>
          <w:spacing w:val="-32"/>
          <w:sz w:val="20"/>
          <w:szCs w:val="20"/>
        </w:rPr>
        <w:t xml:space="preserve"> </w:t>
      </w:r>
      <w:r>
        <w:rPr>
          <w:rFonts w:ascii="宋体" w:hAnsi="宋体" w:eastAsia="宋体" w:cs="宋体"/>
          <w:spacing w:val="8"/>
          <w:sz w:val="20"/>
          <w:szCs w:val="20"/>
        </w:rPr>
        <w:t>小时内核查完毕，</w:t>
      </w:r>
      <w:r>
        <w:rPr>
          <w:rFonts w:ascii="宋体" w:hAnsi="宋体" w:eastAsia="宋体" w:cs="宋体"/>
          <w:spacing w:val="7"/>
          <w:sz w:val="20"/>
          <w:szCs w:val="20"/>
        </w:rPr>
        <w:t>评标</w:t>
      </w:r>
      <w:r>
        <w:rPr>
          <w:rFonts w:ascii="宋体" w:hAnsi="宋体" w:eastAsia="宋体" w:cs="宋体"/>
          <w:spacing w:val="10"/>
          <w:sz w:val="20"/>
          <w:szCs w:val="20"/>
        </w:rPr>
        <w:t>报告经过发包人核查认可后，承包人才可以开始后续</w:t>
      </w:r>
      <w:r>
        <w:rPr>
          <w:rFonts w:ascii="宋体" w:hAnsi="宋体" w:eastAsia="宋体" w:cs="宋体"/>
          <w:spacing w:val="9"/>
          <w:sz w:val="20"/>
          <w:szCs w:val="20"/>
        </w:rPr>
        <w:t>程序，依法确定中标人并发出中标通知书。</w:t>
      </w:r>
    </w:p>
    <w:p w14:paraId="572BDC0C">
      <w:pPr>
        <w:spacing w:before="1" w:line="373" w:lineRule="auto"/>
        <w:ind w:left="3" w:right="70" w:firstLine="428"/>
        <w:rPr>
          <w:rFonts w:ascii="宋体" w:hAnsi="宋体" w:eastAsia="宋体" w:cs="宋体"/>
          <w:sz w:val="20"/>
          <w:szCs w:val="20"/>
        </w:rPr>
      </w:pPr>
      <w:r>
        <w:rPr>
          <w:rFonts w:ascii="宋体" w:hAnsi="宋体" w:eastAsia="宋体" w:cs="宋体"/>
          <w:spacing w:val="6"/>
          <w:sz w:val="20"/>
          <w:szCs w:val="20"/>
        </w:rPr>
        <w:t>（7）承包人与专业分包人或者专项供应商订立合同前</w:t>
      </w:r>
      <w:r>
        <w:rPr>
          <w:rFonts w:ascii="宋体" w:hAnsi="宋体" w:eastAsia="宋体" w:cs="宋体"/>
          <w:spacing w:val="6"/>
          <w:sz w:val="20"/>
          <w:szCs w:val="20"/>
          <w:u w:val="single" w:color="auto"/>
        </w:rPr>
        <w:t xml:space="preserve">    </w:t>
      </w:r>
      <w:r>
        <w:rPr>
          <w:rFonts w:ascii="宋体" w:hAnsi="宋体" w:eastAsia="宋体" w:cs="宋体"/>
          <w:spacing w:val="-78"/>
          <w:sz w:val="20"/>
          <w:szCs w:val="20"/>
        </w:rPr>
        <w:t xml:space="preserve"> </w:t>
      </w:r>
      <w:r>
        <w:rPr>
          <w:rFonts w:ascii="宋体" w:hAnsi="宋体" w:eastAsia="宋体" w:cs="宋体"/>
          <w:spacing w:val="6"/>
          <w:sz w:val="20"/>
          <w:szCs w:val="20"/>
        </w:rPr>
        <w:t>天，应当将准备用于正式签订的合</w:t>
      </w:r>
      <w:r>
        <w:rPr>
          <w:rFonts w:ascii="宋体" w:hAnsi="宋体" w:eastAsia="宋体" w:cs="宋体"/>
          <w:spacing w:val="9"/>
          <w:sz w:val="20"/>
          <w:szCs w:val="20"/>
        </w:rPr>
        <w:t>同文件通过监理人报发包人审核，发包人应当在监理人收到相关文件后</w:t>
      </w:r>
      <w:r>
        <w:rPr>
          <w:rFonts w:ascii="宋体" w:hAnsi="宋体" w:eastAsia="宋体" w:cs="宋体"/>
          <w:spacing w:val="-86"/>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9"/>
          <w:sz w:val="20"/>
          <w:szCs w:val="20"/>
        </w:rPr>
        <w:t>天内给予批准或者提出修改意见，承包人应当按照发包人批准的合同文件签订相关合同，合同订立后</w:t>
      </w:r>
      <w:r>
        <w:rPr>
          <w:rFonts w:ascii="宋体" w:hAnsi="宋体" w:eastAsia="宋体" w:cs="宋体"/>
          <w:spacing w:val="-86"/>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9"/>
          <w:sz w:val="20"/>
          <w:szCs w:val="20"/>
        </w:rPr>
        <w:t>天内，承包人应当将其中的两份副本报送监理人，其中一份由监理人报发包人留存。</w:t>
      </w:r>
    </w:p>
    <w:p w14:paraId="42B99557">
      <w:pPr>
        <w:spacing w:before="1" w:line="372" w:lineRule="auto"/>
        <w:ind w:left="2" w:right="73" w:firstLine="429"/>
        <w:rPr>
          <w:rFonts w:ascii="宋体" w:hAnsi="宋体" w:eastAsia="宋体" w:cs="宋体"/>
          <w:sz w:val="20"/>
          <w:szCs w:val="20"/>
        </w:rPr>
      </w:pPr>
      <w:r>
        <w:rPr>
          <w:rFonts w:ascii="宋体" w:hAnsi="宋体" w:eastAsia="宋体" w:cs="宋体"/>
          <w:spacing w:val="7"/>
          <w:sz w:val="20"/>
          <w:szCs w:val="20"/>
        </w:rPr>
        <w:t>（8）发包人对承包人报送文件进行审批或提出的修改意见应当合理，并</w:t>
      </w:r>
      <w:r>
        <w:rPr>
          <w:rFonts w:ascii="宋体" w:hAnsi="宋体" w:eastAsia="宋体" w:cs="宋体"/>
          <w:spacing w:val="6"/>
          <w:sz w:val="20"/>
          <w:szCs w:val="20"/>
        </w:rPr>
        <w:t>符合现行有关法律法</w:t>
      </w:r>
      <w:r>
        <w:rPr>
          <w:rFonts w:ascii="宋体" w:hAnsi="宋体" w:eastAsia="宋体" w:cs="宋体"/>
          <w:spacing w:val="5"/>
          <w:sz w:val="20"/>
          <w:szCs w:val="20"/>
        </w:rPr>
        <w:t>规的规定。</w:t>
      </w:r>
    </w:p>
    <w:p w14:paraId="4B3BF949">
      <w:pPr>
        <w:spacing w:before="1" w:line="373" w:lineRule="auto"/>
        <w:ind w:left="3" w:right="70" w:firstLine="428"/>
        <w:rPr>
          <w:rFonts w:ascii="宋体" w:hAnsi="宋体" w:eastAsia="宋体" w:cs="宋体"/>
          <w:sz w:val="20"/>
          <w:szCs w:val="20"/>
        </w:rPr>
      </w:pPr>
      <w:r>
        <w:rPr>
          <w:rFonts w:ascii="宋体" w:hAnsi="宋体" w:eastAsia="宋体" w:cs="宋体"/>
          <w:spacing w:val="7"/>
          <w:sz w:val="20"/>
          <w:szCs w:val="20"/>
        </w:rPr>
        <w:t>（9）承包人违背本项上述约定的程序或者未履行本项上述约定的报批手</w:t>
      </w:r>
      <w:r>
        <w:rPr>
          <w:rFonts w:ascii="宋体" w:hAnsi="宋体" w:eastAsia="宋体" w:cs="宋体"/>
          <w:spacing w:val="6"/>
          <w:sz w:val="20"/>
          <w:szCs w:val="20"/>
        </w:rPr>
        <w:t>续的，发包人有权拒</w:t>
      </w:r>
      <w:r>
        <w:rPr>
          <w:rFonts w:ascii="宋体" w:hAnsi="宋体" w:eastAsia="宋体" w:cs="宋体"/>
          <w:spacing w:val="15"/>
          <w:sz w:val="20"/>
          <w:szCs w:val="20"/>
        </w:rPr>
        <w:t>绝对相关专业工程或者涉及相关专项供应的材料和工程设备的工程进行验收和拨</w:t>
      </w:r>
      <w:r>
        <w:rPr>
          <w:rFonts w:ascii="宋体" w:hAnsi="宋体" w:eastAsia="宋体" w:cs="宋体"/>
          <w:spacing w:val="14"/>
          <w:sz w:val="20"/>
          <w:szCs w:val="20"/>
        </w:rPr>
        <w:t>付相应工程款</w:t>
      </w:r>
      <w:r>
        <w:rPr>
          <w:rFonts w:ascii="宋体" w:hAnsi="宋体" w:eastAsia="宋体" w:cs="宋体"/>
          <w:spacing w:val="10"/>
          <w:sz w:val="20"/>
          <w:szCs w:val="20"/>
        </w:rPr>
        <w:t>项，所造成的费用增加和（或）工期延误由承包人承担。发包人未按本</w:t>
      </w:r>
      <w:r>
        <w:rPr>
          <w:rFonts w:ascii="宋体" w:hAnsi="宋体" w:eastAsia="宋体" w:cs="宋体"/>
          <w:spacing w:val="9"/>
          <w:sz w:val="20"/>
          <w:szCs w:val="20"/>
        </w:rPr>
        <w:t>项上述约定履行审批手续的，所造成的费用增加和（或）工期延误由发包人承担。</w:t>
      </w:r>
    </w:p>
    <w:p w14:paraId="253BE7CD">
      <w:pPr>
        <w:spacing w:before="1" w:line="373" w:lineRule="auto"/>
        <w:ind w:left="7" w:right="70" w:firstLine="429"/>
        <w:jc w:val="both"/>
        <w:rPr>
          <w:rFonts w:ascii="宋体" w:hAnsi="宋体" w:eastAsia="宋体" w:cs="宋体"/>
          <w:sz w:val="20"/>
          <w:szCs w:val="20"/>
        </w:rPr>
      </w:pPr>
      <w:r>
        <w:rPr>
          <w:rFonts w:ascii="宋体" w:hAnsi="宋体" w:eastAsia="宋体" w:cs="宋体"/>
          <w:spacing w:val="12"/>
          <w:sz w:val="20"/>
          <w:szCs w:val="20"/>
        </w:rPr>
        <w:t>15.8.3</w:t>
      </w:r>
      <w:r>
        <w:rPr>
          <w:rFonts w:ascii="宋体" w:hAnsi="宋体" w:eastAsia="宋体" w:cs="宋体"/>
          <w:spacing w:val="-29"/>
          <w:sz w:val="20"/>
          <w:szCs w:val="20"/>
        </w:rPr>
        <w:t xml:space="preserve"> </w:t>
      </w:r>
      <w:r>
        <w:rPr>
          <w:rFonts w:ascii="宋体" w:hAnsi="宋体" w:eastAsia="宋体" w:cs="宋体"/>
          <w:spacing w:val="12"/>
          <w:sz w:val="20"/>
          <w:szCs w:val="20"/>
        </w:rPr>
        <w:t>发包人在工程量清单中给定暂估价的专业工程不属于依法必须招标的范围或者未达</w:t>
      </w:r>
      <w:r>
        <w:rPr>
          <w:rFonts w:ascii="宋体" w:hAnsi="宋体" w:eastAsia="宋体" w:cs="宋体"/>
          <w:spacing w:val="7"/>
          <w:sz w:val="20"/>
          <w:szCs w:val="20"/>
        </w:rPr>
        <w:t>到依法必须招标的规模标准的，其最终价格的估价人为：</w:t>
      </w:r>
      <w:r>
        <w:rPr>
          <w:rFonts w:ascii="宋体" w:hAnsi="宋体" w:eastAsia="宋体" w:cs="宋体"/>
          <w:spacing w:val="7"/>
          <w:sz w:val="20"/>
          <w:szCs w:val="20"/>
          <w:u w:val="single" w:color="auto"/>
        </w:rPr>
        <w:t xml:space="preserve">                          </w:t>
      </w:r>
      <w:r>
        <w:rPr>
          <w:rFonts w:ascii="宋体" w:hAnsi="宋体" w:eastAsia="宋体" w:cs="宋体"/>
          <w:spacing w:val="-80"/>
          <w:sz w:val="20"/>
          <w:szCs w:val="20"/>
        </w:rPr>
        <w:t xml:space="preserve"> </w:t>
      </w:r>
      <w:r>
        <w:rPr>
          <w:rFonts w:ascii="宋体" w:hAnsi="宋体" w:eastAsia="宋体" w:cs="宋体"/>
          <w:spacing w:val="7"/>
          <w:sz w:val="20"/>
          <w:szCs w:val="20"/>
        </w:rPr>
        <w:t>或者按照</w:t>
      </w:r>
      <w:r>
        <w:rPr>
          <w:rFonts w:ascii="宋体" w:hAnsi="宋体" w:eastAsia="宋体" w:cs="宋体"/>
          <w:spacing w:val="4"/>
          <w:sz w:val="20"/>
          <w:szCs w:val="20"/>
        </w:rPr>
        <w:t>下列约定：</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7ABA897F">
      <w:pPr>
        <w:pStyle w:val="2"/>
        <w:spacing w:before="33" w:line="222" w:lineRule="auto"/>
        <w:ind w:left="26"/>
        <w:outlineLvl w:val="2"/>
        <w:rPr>
          <w:sz w:val="28"/>
          <w:szCs w:val="28"/>
        </w:rPr>
      </w:pPr>
      <w:bookmarkStart w:id="253" w:name="bookmark234"/>
      <w:bookmarkEnd w:id="253"/>
      <w:r>
        <w:rPr>
          <w:rFonts w:ascii="Times New Roman" w:hAnsi="Times New Roman" w:eastAsia="Times New Roman" w:cs="Times New Roman"/>
          <w:spacing w:val="-5"/>
          <w:sz w:val="28"/>
          <w:szCs w:val="28"/>
        </w:rPr>
        <w:t>16.</w:t>
      </w:r>
      <w:r>
        <w:rPr>
          <w:spacing w:val="-5"/>
          <w:sz w:val="28"/>
          <w:szCs w:val="28"/>
        </w:rPr>
        <w:t>价格调整</w:t>
      </w:r>
    </w:p>
    <w:p w14:paraId="263EB018">
      <w:pPr>
        <w:pStyle w:val="2"/>
        <w:spacing w:before="99" w:line="222" w:lineRule="auto"/>
        <w:ind w:left="21"/>
        <w:rPr>
          <w:sz w:val="24"/>
          <w:szCs w:val="24"/>
        </w:rPr>
      </w:pPr>
      <w:r>
        <w:rPr>
          <w:rFonts w:ascii="Times New Roman" w:hAnsi="Times New Roman" w:eastAsia="Times New Roman" w:cs="Times New Roman"/>
          <w:spacing w:val="-2"/>
          <w:sz w:val="24"/>
          <w:szCs w:val="24"/>
        </w:rPr>
        <w:t xml:space="preserve">16.1 </w:t>
      </w:r>
      <w:r>
        <w:rPr>
          <w:spacing w:val="-2"/>
          <w:sz w:val="24"/>
          <w:szCs w:val="24"/>
        </w:rPr>
        <w:t>物价波动引起的价格调整</w:t>
      </w:r>
    </w:p>
    <w:p w14:paraId="614D01C4">
      <w:pPr>
        <w:spacing w:before="155" w:line="389" w:lineRule="auto"/>
        <w:ind w:left="421" w:right="422"/>
        <w:rPr>
          <w:rFonts w:ascii="宋体" w:hAnsi="宋体" w:eastAsia="宋体" w:cs="宋体"/>
          <w:sz w:val="20"/>
          <w:szCs w:val="20"/>
        </w:rPr>
      </w:pPr>
      <w:r>
        <w:rPr>
          <w:rFonts w:ascii="宋体" w:hAnsi="宋体" w:eastAsia="宋体" w:cs="宋体"/>
          <w:spacing w:val="6"/>
          <w:sz w:val="20"/>
          <w:szCs w:val="20"/>
        </w:rPr>
        <w:t>物价波动引起的价格调整方法：</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2"/>
          <w:sz w:val="20"/>
          <w:szCs w:val="20"/>
        </w:rPr>
        <w:t>其他约定：</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w:t>
      </w:r>
    </w:p>
    <w:p w14:paraId="51407301">
      <w:pPr>
        <w:pStyle w:val="2"/>
        <w:spacing w:before="19" w:line="224" w:lineRule="auto"/>
        <w:ind w:left="26"/>
        <w:outlineLvl w:val="2"/>
        <w:rPr>
          <w:sz w:val="28"/>
          <w:szCs w:val="28"/>
        </w:rPr>
      </w:pPr>
      <w:bookmarkStart w:id="254" w:name="bookmark235"/>
      <w:bookmarkEnd w:id="254"/>
      <w:r>
        <w:rPr>
          <w:rFonts w:ascii="Times New Roman" w:hAnsi="Times New Roman" w:eastAsia="Times New Roman" w:cs="Times New Roman"/>
          <w:spacing w:val="-4"/>
          <w:sz w:val="28"/>
          <w:szCs w:val="28"/>
        </w:rPr>
        <w:t>17.</w:t>
      </w:r>
      <w:r>
        <w:rPr>
          <w:spacing w:val="-4"/>
          <w:sz w:val="28"/>
          <w:szCs w:val="28"/>
        </w:rPr>
        <w:t>计量与支付</w:t>
      </w:r>
    </w:p>
    <w:p w14:paraId="22D8B59A">
      <w:pPr>
        <w:pStyle w:val="2"/>
        <w:spacing w:before="95" w:line="225" w:lineRule="auto"/>
        <w:ind w:left="21"/>
        <w:rPr>
          <w:sz w:val="24"/>
          <w:szCs w:val="24"/>
        </w:rPr>
      </w:pPr>
      <w:r>
        <w:rPr>
          <w:rFonts w:ascii="Times New Roman" w:hAnsi="Times New Roman" w:eastAsia="Times New Roman" w:cs="Times New Roman"/>
          <w:spacing w:val="-7"/>
          <w:sz w:val="24"/>
          <w:szCs w:val="24"/>
        </w:rPr>
        <w:t>17.1</w:t>
      </w:r>
      <w:r>
        <w:rPr>
          <w:rFonts w:ascii="Times New Roman" w:hAnsi="Times New Roman" w:eastAsia="Times New Roman" w:cs="Times New Roman"/>
          <w:spacing w:val="12"/>
          <w:sz w:val="24"/>
          <w:szCs w:val="24"/>
        </w:rPr>
        <w:t xml:space="preserve"> </w:t>
      </w:r>
      <w:r>
        <w:rPr>
          <w:spacing w:val="-7"/>
          <w:sz w:val="24"/>
          <w:szCs w:val="24"/>
        </w:rPr>
        <w:t>计量</w:t>
      </w:r>
    </w:p>
    <w:p w14:paraId="14AB338A">
      <w:pPr>
        <w:pStyle w:val="2"/>
        <w:spacing w:before="133" w:line="229" w:lineRule="auto"/>
        <w:ind w:left="432"/>
        <w:rPr>
          <w:sz w:val="20"/>
          <w:szCs w:val="20"/>
        </w:rPr>
      </w:pPr>
      <w:r>
        <w:rPr>
          <w:spacing w:val="4"/>
          <w:sz w:val="20"/>
          <w:szCs w:val="20"/>
        </w:rPr>
        <w:t>17.1.2</w:t>
      </w:r>
      <w:r>
        <w:rPr>
          <w:spacing w:val="-40"/>
          <w:sz w:val="20"/>
          <w:szCs w:val="20"/>
        </w:rPr>
        <w:t xml:space="preserve"> </w:t>
      </w:r>
      <w:r>
        <w:rPr>
          <w:spacing w:val="4"/>
          <w:sz w:val="20"/>
          <w:szCs w:val="20"/>
        </w:rPr>
        <w:t>计量方法</w:t>
      </w:r>
    </w:p>
    <w:p w14:paraId="03B8F7D2">
      <w:pPr>
        <w:spacing w:line="229" w:lineRule="auto"/>
        <w:rPr>
          <w:sz w:val="20"/>
          <w:szCs w:val="20"/>
        </w:rPr>
        <w:sectPr>
          <w:footerReference r:id="rId210" w:type="default"/>
          <w:pgSz w:w="11906" w:h="16839"/>
          <w:pgMar w:top="400" w:right="1483" w:bottom="1038" w:left="1537" w:header="0" w:footer="787" w:gutter="0"/>
          <w:cols w:space="720" w:num="1"/>
        </w:sectPr>
      </w:pPr>
    </w:p>
    <w:p w14:paraId="19FAB6BD">
      <w:pPr>
        <w:spacing w:line="265" w:lineRule="auto"/>
        <w:rPr>
          <w:rFonts w:ascii="Arial"/>
          <w:sz w:val="21"/>
        </w:rPr>
      </w:pPr>
    </w:p>
    <w:p w14:paraId="4FBEC1EC">
      <w:pPr>
        <w:spacing w:line="266" w:lineRule="auto"/>
        <w:rPr>
          <w:rFonts w:ascii="Arial"/>
          <w:sz w:val="21"/>
        </w:rPr>
      </w:pPr>
    </w:p>
    <w:p w14:paraId="5F1B6CB0">
      <w:pPr>
        <w:spacing w:line="266" w:lineRule="auto"/>
        <w:rPr>
          <w:rFonts w:ascii="Arial"/>
          <w:sz w:val="21"/>
        </w:rPr>
      </w:pPr>
    </w:p>
    <w:p w14:paraId="3EB0EC38">
      <w:pPr>
        <w:spacing w:line="266" w:lineRule="auto"/>
        <w:rPr>
          <w:rFonts w:ascii="Arial"/>
          <w:sz w:val="21"/>
        </w:rPr>
      </w:pPr>
    </w:p>
    <w:p w14:paraId="4D33FBB3">
      <w:pPr>
        <w:spacing w:before="65" w:line="342" w:lineRule="auto"/>
        <w:ind w:right="35" w:firstLine="422"/>
        <w:jc w:val="both"/>
        <w:rPr>
          <w:rFonts w:ascii="宋体" w:hAnsi="宋体" w:eastAsia="宋体" w:cs="宋体"/>
          <w:sz w:val="20"/>
          <w:szCs w:val="20"/>
        </w:rPr>
      </w:pPr>
      <w:r>
        <w:rPr>
          <w:rFonts w:ascii="宋体" w:hAnsi="宋体" w:eastAsia="宋体" w:cs="宋体"/>
          <w:spacing w:val="6"/>
          <w:sz w:val="20"/>
          <w:szCs w:val="20"/>
        </w:rPr>
        <w:t>工程量计算规则执行国家标准《建设工程工程量清单计价规范》（</w:t>
      </w:r>
      <w:r>
        <w:rPr>
          <w:rFonts w:ascii="宋体" w:hAnsi="宋体" w:eastAsia="宋体" w:cs="宋体"/>
          <w:sz w:val="20"/>
          <w:szCs w:val="20"/>
        </w:rPr>
        <w:t>GB</w:t>
      </w:r>
      <w:r>
        <w:rPr>
          <w:rFonts w:ascii="宋体" w:hAnsi="宋体" w:eastAsia="宋体" w:cs="宋体"/>
          <w:spacing w:val="6"/>
          <w:sz w:val="20"/>
          <w:szCs w:val="20"/>
        </w:rPr>
        <w:t xml:space="preserve"> 50500-2013）和配套的</w:t>
      </w:r>
      <w:r>
        <w:rPr>
          <w:rFonts w:ascii="宋体" w:hAnsi="宋体" w:eastAsia="宋体" w:cs="宋体"/>
          <w:spacing w:val="7"/>
          <w:sz w:val="20"/>
          <w:szCs w:val="20"/>
        </w:rPr>
        <w:t>工程量计算规范（</w:t>
      </w:r>
      <w:r>
        <w:rPr>
          <w:rFonts w:ascii="宋体" w:hAnsi="宋体" w:eastAsia="宋体" w:cs="宋体"/>
          <w:sz w:val="20"/>
          <w:szCs w:val="20"/>
        </w:rPr>
        <w:t>GB</w:t>
      </w:r>
      <w:r>
        <w:rPr>
          <w:rFonts w:ascii="宋体" w:hAnsi="宋体" w:eastAsia="宋体" w:cs="宋体"/>
          <w:spacing w:val="7"/>
          <w:sz w:val="20"/>
          <w:szCs w:val="20"/>
        </w:rPr>
        <w:t xml:space="preserve"> 50854-2013 ～</w:t>
      </w:r>
      <w:r>
        <w:rPr>
          <w:rFonts w:ascii="宋体" w:hAnsi="宋体" w:eastAsia="宋体" w:cs="宋体"/>
          <w:sz w:val="20"/>
          <w:szCs w:val="20"/>
        </w:rPr>
        <w:t>GB</w:t>
      </w:r>
      <w:r>
        <w:rPr>
          <w:rFonts w:ascii="宋体" w:hAnsi="宋体" w:eastAsia="宋体" w:cs="宋体"/>
          <w:spacing w:val="7"/>
          <w:sz w:val="20"/>
          <w:szCs w:val="20"/>
        </w:rPr>
        <w:t xml:space="preserve"> 50862-2013）或其适用的修订版本。除合同另有约定外，</w:t>
      </w:r>
      <w:r>
        <w:rPr>
          <w:rFonts w:ascii="宋体" w:hAnsi="宋体" w:eastAsia="宋体" w:cs="宋体"/>
          <w:spacing w:val="9"/>
          <w:sz w:val="20"/>
          <w:szCs w:val="20"/>
        </w:rPr>
        <w:t>承包人实际完成的工程量按约定的工程量计算规则和有合同约束力的图纸进行计量。</w:t>
      </w:r>
    </w:p>
    <w:p w14:paraId="1803826C">
      <w:pPr>
        <w:pStyle w:val="2"/>
        <w:spacing w:before="83" w:line="231" w:lineRule="auto"/>
        <w:ind w:left="431"/>
        <w:rPr>
          <w:sz w:val="20"/>
          <w:szCs w:val="20"/>
        </w:rPr>
      </w:pPr>
      <w:r>
        <w:rPr>
          <w:spacing w:val="4"/>
          <w:sz w:val="20"/>
          <w:szCs w:val="20"/>
        </w:rPr>
        <w:t>17.1.3</w:t>
      </w:r>
      <w:r>
        <w:rPr>
          <w:spacing w:val="-40"/>
          <w:sz w:val="20"/>
          <w:szCs w:val="20"/>
        </w:rPr>
        <w:t xml:space="preserve"> </w:t>
      </w:r>
      <w:r>
        <w:rPr>
          <w:spacing w:val="4"/>
          <w:sz w:val="20"/>
          <w:szCs w:val="20"/>
        </w:rPr>
        <w:t>计量周期</w:t>
      </w:r>
    </w:p>
    <w:p w14:paraId="1AA3CFAE">
      <w:pPr>
        <w:spacing w:before="188" w:line="340" w:lineRule="auto"/>
        <w:ind w:left="1" w:right="89" w:firstLine="429"/>
        <w:rPr>
          <w:rFonts w:ascii="宋体" w:hAnsi="宋体" w:eastAsia="宋体" w:cs="宋体"/>
          <w:sz w:val="20"/>
          <w:szCs w:val="20"/>
        </w:rPr>
      </w:pPr>
      <w:r>
        <w:rPr>
          <w:rFonts w:ascii="宋体" w:hAnsi="宋体" w:eastAsia="宋体" w:cs="宋体"/>
          <w:spacing w:val="8"/>
          <w:sz w:val="20"/>
          <w:szCs w:val="20"/>
        </w:rPr>
        <w:t>（1）本合同的计量周期为月，每月</w:t>
      </w:r>
      <w:r>
        <w:rPr>
          <w:rFonts w:ascii="宋体" w:hAnsi="宋体" w:eastAsia="宋体" w:cs="宋体"/>
          <w:spacing w:val="8"/>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8"/>
          <w:sz w:val="20"/>
          <w:szCs w:val="20"/>
        </w:rPr>
        <w:t>日为当</w:t>
      </w:r>
      <w:r>
        <w:rPr>
          <w:rFonts w:ascii="宋体" w:hAnsi="宋体" w:eastAsia="宋体" w:cs="宋体"/>
          <w:spacing w:val="7"/>
          <w:sz w:val="20"/>
          <w:szCs w:val="20"/>
        </w:rPr>
        <w:t>月计量截止日期（不含当日）和下月计量</w:t>
      </w:r>
      <w:r>
        <w:rPr>
          <w:rFonts w:ascii="宋体" w:hAnsi="宋体" w:eastAsia="宋体" w:cs="宋体"/>
          <w:sz w:val="20"/>
          <w:szCs w:val="20"/>
        </w:rPr>
        <w:t>起始日期（含当日）。</w:t>
      </w:r>
    </w:p>
    <w:p w14:paraId="437D2BC3">
      <w:pPr>
        <w:spacing w:before="2" w:line="341" w:lineRule="auto"/>
        <w:ind w:firstLine="430"/>
        <w:rPr>
          <w:rFonts w:ascii="宋体" w:hAnsi="宋体" w:eastAsia="宋体" w:cs="宋体"/>
          <w:sz w:val="20"/>
          <w:szCs w:val="20"/>
        </w:rPr>
      </w:pPr>
      <w:r>
        <w:rPr>
          <w:rFonts w:ascii="宋体" w:hAnsi="宋体" w:eastAsia="宋体" w:cs="宋体"/>
          <w:spacing w:val="6"/>
          <w:sz w:val="20"/>
          <w:szCs w:val="20"/>
        </w:rPr>
        <w:t>（2）本合同</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（执行</w:t>
      </w:r>
      <w:r>
        <w:rPr>
          <w:rFonts w:ascii="仿宋" w:hAnsi="仿宋" w:eastAsia="仿宋" w:cs="仿宋"/>
          <w:spacing w:val="6"/>
          <w:sz w:val="20"/>
          <w:szCs w:val="20"/>
        </w:rPr>
        <w:t>（采用单价合同形式时</w:t>
      </w:r>
      <w:r>
        <w:rPr>
          <w:rFonts w:ascii="仿宋" w:hAnsi="仿宋" w:eastAsia="仿宋" w:cs="仿宋"/>
          <w:spacing w:val="-23"/>
          <w:sz w:val="20"/>
          <w:szCs w:val="20"/>
        </w:rPr>
        <w:t>）／</w:t>
      </w:r>
      <w:r>
        <w:rPr>
          <w:rFonts w:ascii="宋体" w:hAnsi="宋体" w:eastAsia="宋体" w:cs="宋体"/>
          <w:spacing w:val="6"/>
          <w:sz w:val="20"/>
          <w:szCs w:val="20"/>
        </w:rPr>
        <w:t>不执行</w:t>
      </w:r>
      <w:r>
        <w:rPr>
          <w:rFonts w:ascii="仿宋" w:hAnsi="仿宋" w:eastAsia="仿宋" w:cs="仿宋"/>
          <w:spacing w:val="6"/>
          <w:sz w:val="20"/>
          <w:szCs w:val="20"/>
        </w:rPr>
        <w:t>（采用</w:t>
      </w:r>
      <w:r>
        <w:rPr>
          <w:rFonts w:ascii="仿宋" w:hAnsi="仿宋" w:eastAsia="仿宋" w:cs="仿宋"/>
          <w:spacing w:val="5"/>
          <w:sz w:val="20"/>
          <w:szCs w:val="20"/>
        </w:rPr>
        <w:t>总价合同形式时</w:t>
      </w:r>
      <w:r>
        <w:rPr>
          <w:rFonts w:ascii="仿宋" w:hAnsi="仿宋" w:eastAsia="仿宋" w:cs="仿宋"/>
          <w:spacing w:val="-23"/>
          <w:sz w:val="20"/>
          <w:szCs w:val="20"/>
        </w:rPr>
        <w:t>））</w:t>
      </w:r>
      <w:r>
        <w:rPr>
          <w:rFonts w:ascii="宋体" w:hAnsi="宋体" w:eastAsia="宋体" w:cs="宋体"/>
          <w:spacing w:val="6"/>
          <w:sz w:val="20"/>
          <w:szCs w:val="20"/>
        </w:rPr>
        <w:t>通用合同条款本项约定的单价子目计量。总价子目计量方法按专用合同条款第</w:t>
      </w:r>
      <w:r>
        <w:rPr>
          <w:rFonts w:ascii="宋体" w:hAnsi="宋体" w:eastAsia="宋体" w:cs="宋体"/>
          <w:spacing w:val="-24"/>
          <w:sz w:val="20"/>
          <w:szCs w:val="20"/>
        </w:rPr>
        <w:t xml:space="preserve"> </w:t>
      </w:r>
      <w:r>
        <w:rPr>
          <w:rFonts w:ascii="宋体" w:hAnsi="宋体" w:eastAsia="宋体" w:cs="宋体"/>
          <w:spacing w:val="6"/>
          <w:sz w:val="20"/>
          <w:szCs w:val="20"/>
        </w:rPr>
        <w:t>17.1.5</w:t>
      </w:r>
      <w:r>
        <w:rPr>
          <w:rFonts w:ascii="宋体" w:hAnsi="宋体" w:eastAsia="宋体" w:cs="宋体"/>
          <w:spacing w:val="-35"/>
          <w:sz w:val="20"/>
          <w:szCs w:val="20"/>
        </w:rPr>
        <w:t xml:space="preserve"> </w:t>
      </w:r>
      <w:r>
        <w:rPr>
          <w:rFonts w:ascii="宋体" w:hAnsi="宋体" w:eastAsia="宋体" w:cs="宋体"/>
          <w:spacing w:val="6"/>
          <w:sz w:val="20"/>
          <w:szCs w:val="20"/>
        </w:rPr>
        <w:t>项总价子目的计量——</w:t>
      </w:r>
      <w:r>
        <w:rPr>
          <w:rFonts w:ascii="宋体" w:hAnsi="宋体" w:eastAsia="宋体" w:cs="宋体"/>
          <w:spacing w:val="-97"/>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（支付分</w:t>
      </w:r>
      <w:r>
        <w:rPr>
          <w:rFonts w:ascii="宋体" w:hAnsi="宋体" w:eastAsia="宋体" w:cs="宋体"/>
          <w:spacing w:val="5"/>
          <w:sz w:val="20"/>
          <w:szCs w:val="20"/>
        </w:rPr>
        <w:t>解报告／按实际完成工程量计量）。</w:t>
      </w:r>
    </w:p>
    <w:p w14:paraId="5C5DDF7F">
      <w:pPr>
        <w:pStyle w:val="2"/>
        <w:spacing w:before="87" w:line="230" w:lineRule="auto"/>
        <w:ind w:left="431"/>
        <w:rPr>
          <w:sz w:val="20"/>
          <w:szCs w:val="20"/>
        </w:rPr>
      </w:pPr>
      <w:r>
        <w:rPr>
          <w:spacing w:val="6"/>
          <w:sz w:val="20"/>
          <w:szCs w:val="20"/>
        </w:rPr>
        <w:t>17.1.5</w:t>
      </w:r>
      <w:r>
        <w:rPr>
          <w:spacing w:val="-21"/>
          <w:sz w:val="20"/>
          <w:szCs w:val="20"/>
        </w:rPr>
        <w:t xml:space="preserve"> </w:t>
      </w:r>
      <w:r>
        <w:rPr>
          <w:spacing w:val="6"/>
          <w:sz w:val="20"/>
          <w:szCs w:val="20"/>
        </w:rPr>
        <w:t>总价子目的计量一支付分解报告</w:t>
      </w:r>
    </w:p>
    <w:p w14:paraId="43DCF343">
      <w:pPr>
        <w:spacing w:before="194" w:line="341" w:lineRule="auto"/>
        <w:ind w:right="32" w:firstLine="426"/>
        <w:jc w:val="both"/>
        <w:rPr>
          <w:rFonts w:ascii="宋体" w:hAnsi="宋体" w:eastAsia="宋体" w:cs="宋体"/>
          <w:sz w:val="20"/>
          <w:szCs w:val="20"/>
        </w:rPr>
      </w:pPr>
      <w:r>
        <w:rPr>
          <w:rFonts w:ascii="宋体" w:hAnsi="宋体" w:eastAsia="宋体" w:cs="宋体"/>
          <w:spacing w:val="6"/>
          <w:sz w:val="20"/>
          <w:szCs w:val="20"/>
        </w:rPr>
        <w:t>总价子目按照有合同约束力的支付分解表支付。承包人应根据合同条款第</w:t>
      </w:r>
      <w:r>
        <w:rPr>
          <w:rFonts w:ascii="宋体" w:hAnsi="宋体" w:eastAsia="宋体" w:cs="宋体"/>
          <w:spacing w:val="-24"/>
          <w:sz w:val="20"/>
          <w:szCs w:val="20"/>
        </w:rPr>
        <w:t xml:space="preserve"> </w:t>
      </w:r>
      <w:r>
        <w:rPr>
          <w:rFonts w:ascii="宋体" w:hAnsi="宋体" w:eastAsia="宋体" w:cs="宋体"/>
          <w:spacing w:val="6"/>
          <w:sz w:val="20"/>
          <w:szCs w:val="20"/>
        </w:rPr>
        <w:t>10</w:t>
      </w:r>
      <w:r>
        <w:rPr>
          <w:rFonts w:ascii="宋体" w:hAnsi="宋体" w:eastAsia="宋体" w:cs="宋体"/>
          <w:spacing w:val="-37"/>
          <w:sz w:val="20"/>
          <w:szCs w:val="20"/>
        </w:rPr>
        <w:t xml:space="preserve"> </w:t>
      </w:r>
      <w:r>
        <w:rPr>
          <w:rFonts w:ascii="宋体" w:hAnsi="宋体" w:eastAsia="宋体" w:cs="宋体"/>
          <w:spacing w:val="6"/>
          <w:sz w:val="20"/>
          <w:szCs w:val="20"/>
        </w:rPr>
        <w:t>条约定的合同进</w:t>
      </w:r>
      <w:r>
        <w:rPr>
          <w:rFonts w:ascii="宋体" w:hAnsi="宋体" w:eastAsia="宋体" w:cs="宋体"/>
          <w:spacing w:val="10"/>
          <w:sz w:val="20"/>
          <w:szCs w:val="20"/>
        </w:rPr>
        <w:t>度计划和总价子目的总价构成、费用性质、计划发生时间和相应工作量等因</w:t>
      </w:r>
      <w:r>
        <w:rPr>
          <w:rFonts w:ascii="宋体" w:hAnsi="宋体" w:eastAsia="宋体" w:cs="宋体"/>
          <w:spacing w:val="9"/>
          <w:sz w:val="20"/>
          <w:szCs w:val="20"/>
        </w:rPr>
        <w:t>素对各个总价子目的</w:t>
      </w:r>
      <w:r>
        <w:rPr>
          <w:rFonts w:ascii="宋体" w:hAnsi="宋体" w:eastAsia="宋体" w:cs="宋体"/>
          <w:spacing w:val="11"/>
          <w:sz w:val="20"/>
          <w:szCs w:val="20"/>
        </w:rPr>
        <w:t>总价按月进行分解，形成支付分解报告。承包人应当在</w:t>
      </w:r>
      <w:r>
        <w:rPr>
          <w:rFonts w:ascii="宋体" w:hAnsi="宋体" w:eastAsia="宋体" w:cs="宋体"/>
          <w:spacing w:val="10"/>
          <w:sz w:val="20"/>
          <w:szCs w:val="20"/>
        </w:rPr>
        <w:t>收到经过监理人批复的合同进度计划后</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6"/>
          <w:sz w:val="20"/>
          <w:szCs w:val="20"/>
        </w:rPr>
        <w:t>天内，将支付分解报告以及形成支付分解报告的分项计量和总价分解等支持性资料报监理人审批，</w:t>
      </w:r>
      <w:r>
        <w:rPr>
          <w:rFonts w:ascii="宋体" w:hAnsi="宋体" w:eastAsia="宋体" w:cs="宋体"/>
          <w:spacing w:val="9"/>
          <w:sz w:val="20"/>
          <w:szCs w:val="20"/>
        </w:rPr>
        <w:t>监理人应当在收到承包人报送的支付分解报告后</w:t>
      </w:r>
      <w:r>
        <w:rPr>
          <w:rFonts w:ascii="宋体" w:hAnsi="宋体" w:eastAsia="宋体" w:cs="宋体"/>
          <w:spacing w:val="-33"/>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天内给予批复或提出修改意见，经监理人批准</w:t>
      </w:r>
      <w:r>
        <w:rPr>
          <w:rFonts w:ascii="宋体" w:hAnsi="宋体" w:eastAsia="宋体" w:cs="宋体"/>
          <w:spacing w:val="6"/>
          <w:sz w:val="20"/>
          <w:szCs w:val="20"/>
        </w:rPr>
        <w:t>的支付分解报告为有合同约束力的支付分解表。支付分解表应根据合同条款第</w:t>
      </w:r>
      <w:r>
        <w:rPr>
          <w:rFonts w:ascii="宋体" w:hAnsi="宋体" w:eastAsia="宋体" w:cs="宋体"/>
          <w:spacing w:val="-16"/>
          <w:sz w:val="20"/>
          <w:szCs w:val="20"/>
        </w:rPr>
        <w:t xml:space="preserve"> </w:t>
      </w:r>
      <w:r>
        <w:rPr>
          <w:rFonts w:ascii="宋体" w:hAnsi="宋体" w:eastAsia="宋体" w:cs="宋体"/>
          <w:spacing w:val="6"/>
          <w:sz w:val="20"/>
          <w:szCs w:val="20"/>
        </w:rPr>
        <w:t>10.2</w:t>
      </w:r>
      <w:r>
        <w:rPr>
          <w:rFonts w:ascii="宋体" w:hAnsi="宋体" w:eastAsia="宋体" w:cs="宋体"/>
          <w:spacing w:val="-39"/>
          <w:sz w:val="20"/>
          <w:szCs w:val="20"/>
        </w:rPr>
        <w:t xml:space="preserve"> </w:t>
      </w:r>
      <w:r>
        <w:rPr>
          <w:rFonts w:ascii="宋体" w:hAnsi="宋体" w:eastAsia="宋体" w:cs="宋体"/>
          <w:spacing w:val="6"/>
          <w:sz w:val="20"/>
          <w:szCs w:val="20"/>
        </w:rPr>
        <w:t>款约定的修订</w:t>
      </w:r>
      <w:r>
        <w:rPr>
          <w:rFonts w:ascii="宋体" w:hAnsi="宋体" w:eastAsia="宋体" w:cs="宋体"/>
          <w:spacing w:val="10"/>
          <w:sz w:val="20"/>
          <w:szCs w:val="20"/>
        </w:rPr>
        <w:t>合同进度计划进行修正，修正的程序和期限应当依照本项上述约定，经修正</w:t>
      </w:r>
      <w:r>
        <w:rPr>
          <w:rFonts w:ascii="宋体" w:hAnsi="宋体" w:eastAsia="宋体" w:cs="宋体"/>
          <w:spacing w:val="9"/>
          <w:sz w:val="20"/>
          <w:szCs w:val="20"/>
        </w:rPr>
        <w:t>的支付分解表为有合</w:t>
      </w:r>
      <w:r>
        <w:rPr>
          <w:rFonts w:ascii="宋体" w:hAnsi="宋体" w:eastAsia="宋体" w:cs="宋体"/>
          <w:spacing w:val="8"/>
          <w:sz w:val="20"/>
          <w:szCs w:val="20"/>
        </w:rPr>
        <w:t>同约束力的支付分解表。</w:t>
      </w:r>
    </w:p>
    <w:p w14:paraId="4F380453">
      <w:pPr>
        <w:spacing w:line="226" w:lineRule="auto"/>
        <w:ind w:left="430"/>
        <w:rPr>
          <w:rFonts w:ascii="宋体" w:hAnsi="宋体" w:eastAsia="宋体" w:cs="宋体"/>
          <w:sz w:val="20"/>
          <w:szCs w:val="20"/>
        </w:rPr>
      </w:pPr>
      <w:r>
        <w:rPr>
          <w:rFonts w:ascii="宋体" w:hAnsi="宋体" w:eastAsia="宋体" w:cs="宋体"/>
          <w:spacing w:val="6"/>
          <w:sz w:val="20"/>
          <w:szCs w:val="20"/>
        </w:rPr>
        <w:t>（1）总价子目的价格调整方法：</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EC1E3E5">
      <w:pPr>
        <w:spacing w:before="124" w:line="342" w:lineRule="auto"/>
        <w:ind w:left="17" w:right="90" w:firstLine="413"/>
        <w:rPr>
          <w:rFonts w:ascii="宋体" w:hAnsi="宋体" w:eastAsia="宋体" w:cs="宋体"/>
          <w:sz w:val="20"/>
          <w:szCs w:val="20"/>
        </w:rPr>
      </w:pPr>
      <w:r>
        <w:rPr>
          <w:rFonts w:ascii="宋体" w:hAnsi="宋体" w:eastAsia="宋体" w:cs="宋体"/>
          <w:spacing w:val="7"/>
          <w:sz w:val="20"/>
          <w:szCs w:val="20"/>
        </w:rPr>
        <w:t>（2）列入每月进度付款申请单中各总价子目的价值为有合同约束力的支</w:t>
      </w:r>
      <w:r>
        <w:rPr>
          <w:rFonts w:ascii="宋体" w:hAnsi="宋体" w:eastAsia="宋体" w:cs="宋体"/>
          <w:spacing w:val="6"/>
          <w:sz w:val="20"/>
          <w:szCs w:val="20"/>
        </w:rPr>
        <w:t>付分解表中对应月份</w:t>
      </w:r>
      <w:r>
        <w:rPr>
          <w:rFonts w:ascii="宋体" w:hAnsi="宋体" w:eastAsia="宋体" w:cs="宋体"/>
          <w:spacing w:val="5"/>
          <w:sz w:val="20"/>
          <w:szCs w:val="20"/>
        </w:rPr>
        <w:t>的总价子目总价值。</w:t>
      </w:r>
    </w:p>
    <w:p w14:paraId="21B15BF3">
      <w:pPr>
        <w:spacing w:before="2" w:line="341" w:lineRule="auto"/>
        <w:ind w:left="1" w:right="90" w:firstLine="429"/>
        <w:rPr>
          <w:rFonts w:ascii="宋体" w:hAnsi="宋体" w:eastAsia="宋体" w:cs="宋体"/>
          <w:sz w:val="20"/>
          <w:szCs w:val="20"/>
        </w:rPr>
      </w:pPr>
      <w:r>
        <w:rPr>
          <w:rFonts w:ascii="宋体" w:hAnsi="宋体" w:eastAsia="宋体" w:cs="宋体"/>
          <w:spacing w:val="7"/>
          <w:sz w:val="20"/>
          <w:szCs w:val="20"/>
        </w:rPr>
        <w:t>（3）监理人根据有合同约束力的支付分解表复核列入每月进度付款申请</w:t>
      </w:r>
      <w:r>
        <w:rPr>
          <w:rFonts w:ascii="宋体" w:hAnsi="宋体" w:eastAsia="宋体" w:cs="宋体"/>
          <w:spacing w:val="6"/>
          <w:sz w:val="20"/>
          <w:szCs w:val="20"/>
        </w:rPr>
        <w:t>单中的总价子目的总</w:t>
      </w:r>
      <w:r>
        <w:rPr>
          <w:rFonts w:ascii="宋体" w:hAnsi="宋体" w:eastAsia="宋体" w:cs="宋体"/>
          <w:spacing w:val="2"/>
          <w:sz w:val="20"/>
          <w:szCs w:val="20"/>
        </w:rPr>
        <w:t>价值。</w:t>
      </w:r>
    </w:p>
    <w:p w14:paraId="6F20F603">
      <w:pPr>
        <w:spacing w:before="2" w:line="341" w:lineRule="auto"/>
        <w:ind w:left="1" w:right="87" w:firstLine="429"/>
        <w:rPr>
          <w:rFonts w:ascii="宋体" w:hAnsi="宋体" w:eastAsia="宋体" w:cs="宋体"/>
          <w:sz w:val="20"/>
          <w:szCs w:val="20"/>
        </w:rPr>
      </w:pPr>
      <w:r>
        <w:rPr>
          <w:rFonts w:ascii="宋体" w:hAnsi="宋体" w:eastAsia="宋体" w:cs="宋体"/>
          <w:spacing w:val="8"/>
          <w:sz w:val="20"/>
          <w:szCs w:val="20"/>
        </w:rPr>
        <w:t>（4）除按照第</w:t>
      </w:r>
      <w:r>
        <w:rPr>
          <w:rFonts w:ascii="宋体" w:hAnsi="宋体" w:eastAsia="宋体" w:cs="宋体"/>
          <w:spacing w:val="-12"/>
          <w:sz w:val="20"/>
          <w:szCs w:val="20"/>
        </w:rPr>
        <w:t xml:space="preserve"> </w:t>
      </w:r>
      <w:r>
        <w:rPr>
          <w:rFonts w:ascii="宋体" w:hAnsi="宋体" w:eastAsia="宋体" w:cs="宋体"/>
          <w:spacing w:val="8"/>
          <w:sz w:val="20"/>
          <w:szCs w:val="20"/>
        </w:rPr>
        <w:t>15</w:t>
      </w:r>
      <w:r>
        <w:rPr>
          <w:rFonts w:ascii="宋体" w:hAnsi="宋体" w:eastAsia="宋体" w:cs="宋体"/>
          <w:spacing w:val="-36"/>
          <w:sz w:val="20"/>
          <w:szCs w:val="20"/>
        </w:rPr>
        <w:t xml:space="preserve"> </w:t>
      </w:r>
      <w:r>
        <w:rPr>
          <w:rFonts w:ascii="宋体" w:hAnsi="宋体" w:eastAsia="宋体" w:cs="宋体"/>
          <w:spacing w:val="8"/>
          <w:sz w:val="20"/>
          <w:szCs w:val="20"/>
        </w:rPr>
        <w:t>条约定的变更外，在竣工结算时总价子目的工程量不应当重新计量，签约</w:t>
      </w:r>
      <w:r>
        <w:rPr>
          <w:rFonts w:ascii="宋体" w:hAnsi="宋体" w:eastAsia="宋体" w:cs="宋体"/>
          <w:spacing w:val="9"/>
          <w:sz w:val="20"/>
          <w:szCs w:val="20"/>
        </w:rPr>
        <w:t>合同价所基于的工程量即是用于竣工结算的最终工程量。</w:t>
      </w:r>
    </w:p>
    <w:p w14:paraId="7E77BDCB">
      <w:pPr>
        <w:pStyle w:val="2"/>
        <w:spacing w:before="85" w:line="229" w:lineRule="auto"/>
        <w:ind w:left="431"/>
        <w:rPr>
          <w:sz w:val="20"/>
          <w:szCs w:val="20"/>
        </w:rPr>
      </w:pPr>
      <w:r>
        <w:rPr>
          <w:spacing w:val="7"/>
          <w:sz w:val="20"/>
          <w:szCs w:val="20"/>
        </w:rPr>
        <w:t>17.1.5</w:t>
      </w:r>
      <w:r>
        <w:rPr>
          <w:spacing w:val="-29"/>
          <w:sz w:val="20"/>
          <w:szCs w:val="20"/>
        </w:rPr>
        <w:t xml:space="preserve"> </w:t>
      </w:r>
      <w:r>
        <w:rPr>
          <w:spacing w:val="7"/>
          <w:sz w:val="20"/>
          <w:szCs w:val="20"/>
        </w:rPr>
        <w:t>总价子目的计量一按实际完成工程量计量</w:t>
      </w:r>
    </w:p>
    <w:p w14:paraId="7AF684EC">
      <w:pPr>
        <w:spacing w:before="181" w:line="226" w:lineRule="auto"/>
        <w:ind w:left="430"/>
        <w:rPr>
          <w:rFonts w:ascii="宋体" w:hAnsi="宋体" w:eastAsia="宋体" w:cs="宋体"/>
          <w:sz w:val="20"/>
          <w:szCs w:val="20"/>
        </w:rPr>
      </w:pPr>
      <w:r>
        <w:rPr>
          <w:rFonts w:ascii="宋体" w:hAnsi="宋体" w:eastAsia="宋体" w:cs="宋体"/>
          <w:spacing w:val="6"/>
          <w:sz w:val="20"/>
          <w:szCs w:val="20"/>
        </w:rPr>
        <w:t>（1）总价子目的价格调整方法：</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7A5351C">
      <w:pPr>
        <w:spacing w:before="116" w:line="332" w:lineRule="auto"/>
        <w:ind w:left="5" w:right="87"/>
        <w:rPr>
          <w:rFonts w:ascii="宋体" w:hAnsi="宋体" w:eastAsia="宋体" w:cs="宋体"/>
          <w:sz w:val="20"/>
          <w:szCs w:val="20"/>
        </w:rPr>
      </w:pPr>
      <w:r>
        <w:rPr>
          <w:rFonts w:ascii="宋体" w:hAnsi="宋体" w:eastAsia="宋体" w:cs="宋体"/>
          <w:spacing w:val="10"/>
          <w:sz w:val="20"/>
          <w:szCs w:val="20"/>
        </w:rPr>
        <w:t>总价子目的计量和支付应以总价为基础，对承包人实际完成的</w:t>
      </w:r>
      <w:r>
        <w:rPr>
          <w:rFonts w:ascii="宋体" w:hAnsi="宋体" w:eastAsia="宋体" w:cs="宋体"/>
          <w:spacing w:val="9"/>
          <w:sz w:val="20"/>
          <w:szCs w:val="20"/>
        </w:rPr>
        <w:t>工程量进行计量，是进行工程目标</w:t>
      </w:r>
      <w:r>
        <w:rPr>
          <w:rFonts w:ascii="宋体" w:hAnsi="宋体" w:eastAsia="宋体" w:cs="宋体"/>
          <w:spacing w:val="8"/>
          <w:sz w:val="20"/>
          <w:szCs w:val="20"/>
        </w:rPr>
        <w:t>管理和控制进度款支付的依据。</w:t>
      </w:r>
    </w:p>
    <w:p w14:paraId="692ABBAB">
      <w:pPr>
        <w:spacing w:before="2" w:line="332" w:lineRule="auto"/>
        <w:ind w:left="1" w:right="87" w:firstLine="429"/>
        <w:rPr>
          <w:rFonts w:ascii="宋体" w:hAnsi="宋体" w:eastAsia="宋体" w:cs="宋体"/>
          <w:sz w:val="20"/>
          <w:szCs w:val="20"/>
        </w:rPr>
      </w:pPr>
      <w:r>
        <w:rPr>
          <w:rFonts w:ascii="宋体" w:hAnsi="宋体" w:eastAsia="宋体" w:cs="宋体"/>
          <w:spacing w:val="6"/>
          <w:sz w:val="20"/>
          <w:szCs w:val="20"/>
        </w:rPr>
        <w:t>（2）承包人在专用合同条款第</w:t>
      </w:r>
      <w:r>
        <w:rPr>
          <w:rFonts w:ascii="宋体" w:hAnsi="宋体" w:eastAsia="宋体" w:cs="宋体"/>
          <w:spacing w:val="-24"/>
          <w:sz w:val="20"/>
          <w:szCs w:val="20"/>
        </w:rPr>
        <w:t xml:space="preserve"> </w:t>
      </w:r>
      <w:r>
        <w:rPr>
          <w:rFonts w:ascii="宋体" w:hAnsi="宋体" w:eastAsia="宋体" w:cs="宋体"/>
          <w:spacing w:val="6"/>
          <w:sz w:val="20"/>
          <w:szCs w:val="20"/>
        </w:rPr>
        <w:t>17.1.3（1）</w:t>
      </w:r>
      <w:r>
        <w:rPr>
          <w:rFonts w:ascii="宋体" w:hAnsi="宋体" w:eastAsia="宋体" w:cs="宋体"/>
          <w:spacing w:val="-54"/>
          <w:sz w:val="20"/>
          <w:szCs w:val="20"/>
        </w:rPr>
        <w:t xml:space="preserve"> </w:t>
      </w:r>
      <w:r>
        <w:rPr>
          <w:rFonts w:ascii="宋体" w:hAnsi="宋体" w:eastAsia="宋体" w:cs="宋体"/>
          <w:spacing w:val="6"/>
          <w:sz w:val="20"/>
          <w:szCs w:val="20"/>
        </w:rPr>
        <w:t>目约定的每月计量截止日期后，对</w:t>
      </w:r>
      <w:r>
        <w:rPr>
          <w:rFonts w:ascii="宋体" w:hAnsi="宋体" w:eastAsia="宋体" w:cs="宋体"/>
          <w:spacing w:val="5"/>
          <w:sz w:val="20"/>
          <w:szCs w:val="20"/>
        </w:rPr>
        <w:t>已完成的分部</w:t>
      </w:r>
      <w:r>
        <w:rPr>
          <w:rFonts w:ascii="宋体" w:hAnsi="宋体" w:eastAsia="宋体" w:cs="宋体"/>
          <w:spacing w:val="8"/>
          <w:sz w:val="20"/>
          <w:szCs w:val="20"/>
        </w:rPr>
        <w:t>分项工程的子目（包括在工程量清单中给出具体工程量的措施项目的相关子目</w:t>
      </w:r>
      <w:r>
        <w:rPr>
          <w:rFonts w:ascii="宋体" w:hAnsi="宋体" w:eastAsia="宋体" w:cs="宋体"/>
          <w:spacing w:val="-50"/>
          <w:w w:val="95"/>
          <w:sz w:val="20"/>
          <w:szCs w:val="20"/>
        </w:rPr>
        <w:t>），</w:t>
      </w:r>
      <w:r>
        <w:rPr>
          <w:rFonts w:ascii="宋体" w:hAnsi="宋体" w:eastAsia="宋体" w:cs="宋体"/>
          <w:spacing w:val="8"/>
          <w:sz w:val="20"/>
          <w:szCs w:val="20"/>
        </w:rPr>
        <w:t>按照专用合同条</w:t>
      </w:r>
      <w:r>
        <w:rPr>
          <w:rFonts w:ascii="宋体" w:hAnsi="宋体" w:eastAsia="宋体" w:cs="宋体"/>
          <w:spacing w:val="6"/>
          <w:sz w:val="20"/>
          <w:szCs w:val="20"/>
        </w:rPr>
        <w:t>款第</w:t>
      </w:r>
      <w:r>
        <w:rPr>
          <w:rFonts w:ascii="宋体" w:hAnsi="宋体" w:eastAsia="宋体" w:cs="宋体"/>
          <w:spacing w:val="-21"/>
          <w:sz w:val="20"/>
          <w:szCs w:val="20"/>
        </w:rPr>
        <w:t xml:space="preserve"> </w:t>
      </w:r>
      <w:r>
        <w:rPr>
          <w:rFonts w:ascii="宋体" w:hAnsi="宋体" w:eastAsia="宋体" w:cs="宋体"/>
          <w:spacing w:val="6"/>
          <w:sz w:val="20"/>
          <w:szCs w:val="20"/>
        </w:rPr>
        <w:t>17.1.2</w:t>
      </w:r>
      <w:r>
        <w:rPr>
          <w:rFonts w:ascii="宋体" w:hAnsi="宋体" w:eastAsia="宋体" w:cs="宋体"/>
          <w:spacing w:val="-37"/>
          <w:sz w:val="20"/>
          <w:szCs w:val="20"/>
        </w:rPr>
        <w:t xml:space="preserve"> </w:t>
      </w:r>
      <w:r>
        <w:rPr>
          <w:rFonts w:ascii="宋体" w:hAnsi="宋体" w:eastAsia="宋体" w:cs="宋体"/>
          <w:spacing w:val="6"/>
          <w:sz w:val="20"/>
          <w:szCs w:val="20"/>
        </w:rPr>
        <w:t>项约定的计量方法进行计量，对已完成的工程量清单中没有给出具体工程</w:t>
      </w:r>
      <w:r>
        <w:rPr>
          <w:rFonts w:ascii="宋体" w:hAnsi="宋体" w:eastAsia="宋体" w:cs="宋体"/>
          <w:spacing w:val="5"/>
          <w:sz w:val="20"/>
          <w:szCs w:val="20"/>
        </w:rPr>
        <w:t>量的措施项</w:t>
      </w:r>
      <w:r>
        <w:rPr>
          <w:rFonts w:ascii="宋体" w:hAnsi="宋体" w:eastAsia="宋体" w:cs="宋体"/>
          <w:spacing w:val="10"/>
          <w:sz w:val="20"/>
          <w:szCs w:val="20"/>
        </w:rPr>
        <w:t>目的相关子目，按其总价构成、费用性质和实际发生比例进行计量，向</w:t>
      </w:r>
      <w:r>
        <w:rPr>
          <w:rFonts w:ascii="宋体" w:hAnsi="宋体" w:eastAsia="宋体" w:cs="宋体"/>
          <w:spacing w:val="9"/>
          <w:sz w:val="20"/>
          <w:szCs w:val="20"/>
        </w:rPr>
        <w:t>监理人提交进度付款申请</w:t>
      </w:r>
      <w:r>
        <w:rPr>
          <w:rFonts w:ascii="宋体" w:hAnsi="宋体" w:eastAsia="宋体" w:cs="宋体"/>
          <w:spacing w:val="8"/>
          <w:sz w:val="20"/>
          <w:szCs w:val="20"/>
        </w:rPr>
        <w:t>单、已完成工程量报表和有关计量资料。</w:t>
      </w:r>
    </w:p>
    <w:p w14:paraId="773C95BA">
      <w:pPr>
        <w:spacing w:line="333" w:lineRule="auto"/>
        <w:ind w:left="17" w:right="87" w:firstLine="413"/>
        <w:rPr>
          <w:rFonts w:ascii="宋体" w:hAnsi="宋体" w:eastAsia="宋体" w:cs="宋体"/>
          <w:sz w:val="20"/>
          <w:szCs w:val="20"/>
        </w:rPr>
      </w:pPr>
      <w:r>
        <w:rPr>
          <w:rFonts w:ascii="宋体" w:hAnsi="宋体" w:eastAsia="宋体" w:cs="宋体"/>
          <w:spacing w:val="7"/>
          <w:sz w:val="20"/>
          <w:szCs w:val="20"/>
        </w:rPr>
        <w:t>（3）监理人对承包人提交的工程量报表进行复核，以确定实际完成的工</w:t>
      </w:r>
      <w:r>
        <w:rPr>
          <w:rFonts w:ascii="宋体" w:hAnsi="宋体" w:eastAsia="宋体" w:cs="宋体"/>
          <w:spacing w:val="6"/>
          <w:sz w:val="20"/>
          <w:szCs w:val="20"/>
        </w:rPr>
        <w:t>程量。对数量有异议</w:t>
      </w:r>
      <w:r>
        <w:rPr>
          <w:rFonts w:ascii="宋体" w:hAnsi="宋体" w:eastAsia="宋体" w:cs="宋体"/>
          <w:spacing w:val="9"/>
          <w:sz w:val="20"/>
          <w:szCs w:val="20"/>
        </w:rPr>
        <w:t>的，可要求承包人进行共同复核。承包人应协助监理人进行复核并按监理人要求提供补充计量资</w:t>
      </w:r>
    </w:p>
    <w:p w14:paraId="7ABAEA5B">
      <w:pPr>
        <w:spacing w:line="333" w:lineRule="auto"/>
        <w:rPr>
          <w:rFonts w:ascii="宋体" w:hAnsi="宋体" w:eastAsia="宋体" w:cs="宋体"/>
          <w:sz w:val="20"/>
          <w:szCs w:val="20"/>
        </w:rPr>
        <w:sectPr>
          <w:footerReference r:id="rId211" w:type="default"/>
          <w:pgSz w:w="11906" w:h="16839"/>
          <w:pgMar w:top="400" w:right="1467" w:bottom="1038" w:left="1538" w:header="0" w:footer="787" w:gutter="0"/>
          <w:cols w:space="720" w:num="1"/>
        </w:sectPr>
      </w:pPr>
    </w:p>
    <w:p w14:paraId="79D4054F">
      <w:pPr>
        <w:spacing w:line="263" w:lineRule="auto"/>
        <w:rPr>
          <w:rFonts w:ascii="Arial"/>
          <w:sz w:val="21"/>
        </w:rPr>
      </w:pPr>
    </w:p>
    <w:p w14:paraId="4A2D2791">
      <w:pPr>
        <w:spacing w:line="263" w:lineRule="auto"/>
        <w:rPr>
          <w:rFonts w:ascii="Arial"/>
          <w:sz w:val="21"/>
        </w:rPr>
      </w:pPr>
    </w:p>
    <w:p w14:paraId="324ABA5D">
      <w:pPr>
        <w:spacing w:line="263" w:lineRule="auto"/>
        <w:rPr>
          <w:rFonts w:ascii="Arial"/>
          <w:sz w:val="21"/>
        </w:rPr>
      </w:pPr>
    </w:p>
    <w:p w14:paraId="475149EB">
      <w:pPr>
        <w:spacing w:line="264" w:lineRule="auto"/>
        <w:rPr>
          <w:rFonts w:ascii="Arial"/>
          <w:sz w:val="21"/>
        </w:rPr>
      </w:pPr>
    </w:p>
    <w:p w14:paraId="0CC1A805">
      <w:pPr>
        <w:spacing w:before="65" w:line="228" w:lineRule="auto"/>
        <w:jc w:val="right"/>
        <w:rPr>
          <w:rFonts w:ascii="宋体" w:hAnsi="宋体" w:eastAsia="宋体" w:cs="宋体"/>
          <w:sz w:val="20"/>
          <w:szCs w:val="20"/>
        </w:rPr>
      </w:pPr>
      <w:r>
        <w:rPr>
          <w:rFonts w:ascii="宋体" w:hAnsi="宋体" w:eastAsia="宋体" w:cs="宋体"/>
          <w:spacing w:val="7"/>
          <w:sz w:val="20"/>
          <w:szCs w:val="20"/>
        </w:rPr>
        <w:t>料。承包人未按监理人要求参加复核，监理人复核或</w:t>
      </w:r>
      <w:r>
        <w:rPr>
          <w:rFonts w:ascii="宋体" w:hAnsi="宋体" w:eastAsia="宋体" w:cs="宋体"/>
          <w:spacing w:val="6"/>
          <w:sz w:val="20"/>
          <w:szCs w:val="20"/>
        </w:rPr>
        <w:t>修正的工程量视为承包人实际完成的工程量。</w:t>
      </w:r>
    </w:p>
    <w:p w14:paraId="31B92AB6">
      <w:pPr>
        <w:spacing w:before="114" w:line="332" w:lineRule="auto"/>
        <w:ind w:left="13" w:firstLine="424"/>
        <w:rPr>
          <w:rFonts w:ascii="宋体" w:hAnsi="宋体" w:eastAsia="宋体" w:cs="宋体"/>
          <w:sz w:val="20"/>
          <w:szCs w:val="20"/>
        </w:rPr>
      </w:pPr>
      <w:r>
        <w:rPr>
          <w:rFonts w:ascii="宋体" w:hAnsi="宋体" w:eastAsia="宋体" w:cs="宋体"/>
          <w:spacing w:val="6"/>
          <w:sz w:val="20"/>
          <w:szCs w:val="20"/>
        </w:rPr>
        <w:t>（4）监理人应在收到承包人提交的工程量报表后的</w:t>
      </w:r>
      <w:r>
        <w:rPr>
          <w:rFonts w:ascii="宋体" w:hAnsi="宋体" w:eastAsia="宋体" w:cs="宋体"/>
          <w:spacing w:val="-32"/>
          <w:sz w:val="20"/>
          <w:szCs w:val="20"/>
        </w:rPr>
        <w:t xml:space="preserve"> </w:t>
      </w:r>
      <w:r>
        <w:rPr>
          <w:rFonts w:ascii="宋体" w:hAnsi="宋体" w:eastAsia="宋体" w:cs="宋体"/>
          <w:spacing w:val="6"/>
          <w:sz w:val="20"/>
          <w:szCs w:val="20"/>
        </w:rPr>
        <w:t>7</w:t>
      </w:r>
      <w:r>
        <w:rPr>
          <w:rFonts w:ascii="宋体" w:hAnsi="宋体" w:eastAsia="宋体" w:cs="宋体"/>
          <w:spacing w:val="-36"/>
          <w:sz w:val="20"/>
          <w:szCs w:val="20"/>
        </w:rPr>
        <w:t xml:space="preserve"> </w:t>
      </w:r>
      <w:r>
        <w:rPr>
          <w:rFonts w:ascii="宋体" w:hAnsi="宋体" w:eastAsia="宋体" w:cs="宋体"/>
          <w:spacing w:val="6"/>
          <w:sz w:val="20"/>
          <w:szCs w:val="20"/>
        </w:rPr>
        <w:t>天内进行复核，监理人未在约定时间内复核的，承包人提交的工程量报表中的工程量视为承包人实际完成的工程量，据此计算工程价款。</w:t>
      </w:r>
    </w:p>
    <w:p w14:paraId="0398D99C">
      <w:pPr>
        <w:spacing w:before="2" w:line="332" w:lineRule="auto"/>
        <w:ind w:left="9" w:right="71" w:firstLine="429"/>
        <w:rPr>
          <w:rFonts w:ascii="宋体" w:hAnsi="宋体" w:eastAsia="宋体" w:cs="宋体"/>
          <w:sz w:val="20"/>
          <w:szCs w:val="20"/>
        </w:rPr>
      </w:pPr>
      <w:r>
        <w:rPr>
          <w:rFonts w:ascii="宋体" w:hAnsi="宋体" w:eastAsia="宋体" w:cs="宋体"/>
          <w:spacing w:val="8"/>
          <w:sz w:val="20"/>
          <w:szCs w:val="20"/>
        </w:rPr>
        <w:t>（5）除按照第</w:t>
      </w:r>
      <w:r>
        <w:rPr>
          <w:rFonts w:ascii="宋体" w:hAnsi="宋体" w:eastAsia="宋体" w:cs="宋体"/>
          <w:spacing w:val="-12"/>
          <w:sz w:val="20"/>
          <w:szCs w:val="20"/>
        </w:rPr>
        <w:t xml:space="preserve"> </w:t>
      </w:r>
      <w:r>
        <w:rPr>
          <w:rFonts w:ascii="宋体" w:hAnsi="宋体" w:eastAsia="宋体" w:cs="宋体"/>
          <w:spacing w:val="8"/>
          <w:sz w:val="20"/>
          <w:szCs w:val="20"/>
        </w:rPr>
        <w:t>15</w:t>
      </w:r>
      <w:r>
        <w:rPr>
          <w:rFonts w:ascii="宋体" w:hAnsi="宋体" w:eastAsia="宋体" w:cs="宋体"/>
          <w:spacing w:val="-36"/>
          <w:sz w:val="20"/>
          <w:szCs w:val="20"/>
        </w:rPr>
        <w:t xml:space="preserve"> </w:t>
      </w:r>
      <w:r>
        <w:rPr>
          <w:rFonts w:ascii="宋体" w:hAnsi="宋体" w:eastAsia="宋体" w:cs="宋体"/>
          <w:spacing w:val="8"/>
          <w:sz w:val="20"/>
          <w:szCs w:val="20"/>
        </w:rPr>
        <w:t>条约定的变更外，在竣工结算时总价子目的工程量不应当重新计量，签约</w:t>
      </w:r>
      <w:r>
        <w:rPr>
          <w:rFonts w:ascii="宋体" w:hAnsi="宋体" w:eastAsia="宋体" w:cs="宋体"/>
          <w:spacing w:val="9"/>
          <w:sz w:val="20"/>
          <w:szCs w:val="20"/>
        </w:rPr>
        <w:t>合同价所基于的工程量即是用于竣工结算的最终工程量。</w:t>
      </w:r>
    </w:p>
    <w:p w14:paraId="06CF363E">
      <w:pPr>
        <w:pStyle w:val="2"/>
        <w:spacing w:before="4" w:line="222" w:lineRule="auto"/>
        <w:ind w:left="28"/>
        <w:rPr>
          <w:sz w:val="24"/>
          <w:szCs w:val="24"/>
        </w:rPr>
      </w:pPr>
      <w:r>
        <w:rPr>
          <w:rFonts w:ascii="Times New Roman" w:hAnsi="Times New Roman" w:eastAsia="Times New Roman" w:cs="Times New Roman"/>
          <w:spacing w:val="-6"/>
          <w:sz w:val="24"/>
          <w:szCs w:val="24"/>
        </w:rPr>
        <w:t>17.2</w:t>
      </w:r>
      <w:r>
        <w:rPr>
          <w:rFonts w:ascii="Times New Roman" w:hAnsi="Times New Roman" w:eastAsia="Times New Roman" w:cs="Times New Roman"/>
          <w:spacing w:val="13"/>
          <w:sz w:val="24"/>
          <w:szCs w:val="24"/>
        </w:rPr>
        <w:t xml:space="preserve"> </w:t>
      </w:r>
      <w:r>
        <w:rPr>
          <w:spacing w:val="-6"/>
          <w:sz w:val="24"/>
          <w:szCs w:val="24"/>
        </w:rPr>
        <w:t>预付款</w:t>
      </w:r>
    </w:p>
    <w:p w14:paraId="0E619451">
      <w:pPr>
        <w:pStyle w:val="2"/>
        <w:spacing w:before="199" w:line="230" w:lineRule="auto"/>
        <w:ind w:left="438"/>
        <w:rPr>
          <w:sz w:val="20"/>
          <w:szCs w:val="20"/>
        </w:rPr>
      </w:pPr>
      <w:r>
        <w:rPr>
          <w:spacing w:val="3"/>
          <w:sz w:val="20"/>
          <w:szCs w:val="20"/>
        </w:rPr>
        <w:t>17.2.1</w:t>
      </w:r>
      <w:r>
        <w:rPr>
          <w:spacing w:val="-37"/>
          <w:sz w:val="20"/>
          <w:szCs w:val="20"/>
        </w:rPr>
        <w:t xml:space="preserve"> </w:t>
      </w:r>
      <w:r>
        <w:rPr>
          <w:spacing w:val="3"/>
          <w:sz w:val="20"/>
          <w:szCs w:val="20"/>
        </w:rPr>
        <w:t>预付款</w:t>
      </w:r>
    </w:p>
    <w:p w14:paraId="6D11F293">
      <w:pPr>
        <w:pStyle w:val="2"/>
        <w:spacing w:before="204" w:line="230" w:lineRule="auto"/>
        <w:ind w:left="446"/>
        <w:rPr>
          <w:sz w:val="20"/>
          <w:szCs w:val="20"/>
        </w:rPr>
      </w:pPr>
      <w:r>
        <w:rPr>
          <w:spacing w:val="6"/>
          <w:sz w:val="20"/>
          <w:szCs w:val="20"/>
        </w:rPr>
        <w:t>（1）预付款额度</w:t>
      </w:r>
    </w:p>
    <w:p w14:paraId="2F9597CB">
      <w:pPr>
        <w:spacing w:before="206" w:line="228" w:lineRule="auto"/>
        <w:ind w:left="430"/>
        <w:rPr>
          <w:rFonts w:ascii="宋体" w:hAnsi="宋体" w:eastAsia="宋体" w:cs="宋体"/>
          <w:sz w:val="20"/>
          <w:szCs w:val="20"/>
        </w:rPr>
      </w:pPr>
      <w:r>
        <w:rPr>
          <w:rFonts w:ascii="宋体" w:hAnsi="宋体" w:eastAsia="宋体" w:cs="宋体"/>
          <w:spacing w:val="6"/>
          <w:sz w:val="20"/>
          <w:szCs w:val="20"/>
        </w:rPr>
        <w:t>分部分项工程部分的预付款额度：</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45F1BB6">
      <w:pPr>
        <w:spacing w:before="161" w:line="228" w:lineRule="auto"/>
        <w:ind w:left="428"/>
        <w:rPr>
          <w:rFonts w:ascii="宋体" w:hAnsi="宋体" w:eastAsia="宋体" w:cs="宋体"/>
          <w:sz w:val="20"/>
          <w:szCs w:val="20"/>
        </w:rPr>
      </w:pPr>
      <w:r>
        <w:rPr>
          <w:rFonts w:ascii="宋体" w:hAnsi="宋体" w:eastAsia="宋体" w:cs="宋体"/>
          <w:spacing w:val="6"/>
          <w:sz w:val="20"/>
          <w:szCs w:val="20"/>
        </w:rPr>
        <w:t>措施项目部分预付款额度：</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F6423DC">
      <w:pPr>
        <w:spacing w:before="173" w:line="228" w:lineRule="auto"/>
        <w:ind w:left="429"/>
        <w:rPr>
          <w:rFonts w:ascii="宋体" w:hAnsi="宋体" w:eastAsia="宋体" w:cs="宋体"/>
          <w:sz w:val="20"/>
          <w:szCs w:val="20"/>
        </w:rPr>
      </w:pPr>
      <w:r>
        <w:rPr>
          <w:rFonts w:ascii="宋体" w:hAnsi="宋体" w:eastAsia="宋体" w:cs="宋体"/>
          <w:spacing w:val="6"/>
          <w:sz w:val="20"/>
          <w:szCs w:val="20"/>
        </w:rPr>
        <w:t>其中：安全文明施工费用预付额度：</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BD3B6B9">
      <w:pPr>
        <w:pStyle w:val="2"/>
        <w:spacing w:before="220" w:line="229" w:lineRule="auto"/>
        <w:ind w:left="446"/>
        <w:rPr>
          <w:sz w:val="20"/>
          <w:szCs w:val="20"/>
        </w:rPr>
      </w:pPr>
      <w:r>
        <w:rPr>
          <w:spacing w:val="5"/>
          <w:sz w:val="20"/>
          <w:szCs w:val="20"/>
        </w:rPr>
        <w:t>（2）预付办法</w:t>
      </w:r>
    </w:p>
    <w:p w14:paraId="215BF492">
      <w:pPr>
        <w:spacing w:before="253" w:line="228" w:lineRule="auto"/>
        <w:ind w:left="430"/>
        <w:rPr>
          <w:rFonts w:ascii="宋体" w:hAnsi="宋体" w:eastAsia="宋体" w:cs="宋体"/>
          <w:sz w:val="20"/>
          <w:szCs w:val="20"/>
        </w:rPr>
      </w:pPr>
      <w:r>
        <w:rPr>
          <w:rFonts w:ascii="宋体" w:hAnsi="宋体" w:eastAsia="宋体" w:cs="宋体"/>
          <w:spacing w:val="6"/>
          <w:sz w:val="20"/>
          <w:szCs w:val="20"/>
        </w:rPr>
        <w:t>预付款预付办法：</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962F9DB">
      <w:pPr>
        <w:spacing w:before="173" w:line="228" w:lineRule="auto"/>
        <w:ind w:left="430"/>
        <w:rPr>
          <w:rFonts w:ascii="宋体" w:hAnsi="宋体" w:eastAsia="宋体" w:cs="宋体"/>
          <w:sz w:val="20"/>
          <w:szCs w:val="20"/>
        </w:rPr>
      </w:pPr>
      <w:r>
        <w:rPr>
          <w:rFonts w:ascii="宋体" w:hAnsi="宋体" w:eastAsia="宋体" w:cs="宋体"/>
          <w:spacing w:val="6"/>
          <w:sz w:val="20"/>
          <w:szCs w:val="20"/>
        </w:rPr>
        <w:t>预付款的支付时间：</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C6B15DA">
      <w:pPr>
        <w:spacing w:before="172" w:line="388" w:lineRule="auto"/>
        <w:ind w:left="8" w:right="71" w:firstLine="424"/>
        <w:rPr>
          <w:rFonts w:ascii="宋体" w:hAnsi="宋体" w:eastAsia="宋体" w:cs="宋体"/>
          <w:sz w:val="20"/>
          <w:szCs w:val="20"/>
        </w:rPr>
      </w:pPr>
      <w:r>
        <w:rPr>
          <w:rFonts w:ascii="宋体" w:hAnsi="宋体" w:eastAsia="宋体" w:cs="宋体"/>
          <w:spacing w:val="10"/>
          <w:sz w:val="20"/>
          <w:szCs w:val="20"/>
        </w:rPr>
        <w:t>安全文明施工费用的预付不受上述预付办法和支付时间约定</w:t>
      </w:r>
      <w:r>
        <w:rPr>
          <w:rFonts w:ascii="宋体" w:hAnsi="宋体" w:eastAsia="宋体" w:cs="宋体"/>
          <w:spacing w:val="9"/>
          <w:sz w:val="20"/>
          <w:szCs w:val="20"/>
        </w:rPr>
        <w:t>的制约，发包人应当在不迟于通</w:t>
      </w:r>
      <w:r>
        <w:rPr>
          <w:rFonts w:ascii="宋体" w:hAnsi="宋体" w:eastAsia="宋体" w:cs="宋体"/>
          <w:spacing w:val="11"/>
          <w:sz w:val="20"/>
          <w:szCs w:val="20"/>
        </w:rPr>
        <w:t>用合同条款第11.1.1项约定的开工日期前的7天内将安全文明施工费用的预付款一次性拨付给承</w:t>
      </w:r>
      <w:r>
        <w:rPr>
          <w:rFonts w:ascii="宋体" w:hAnsi="宋体" w:eastAsia="宋体" w:cs="宋体"/>
          <w:spacing w:val="3"/>
          <w:sz w:val="20"/>
          <w:szCs w:val="20"/>
        </w:rPr>
        <w:t>包人。</w:t>
      </w:r>
    </w:p>
    <w:p w14:paraId="49094978">
      <w:pPr>
        <w:spacing w:line="389" w:lineRule="auto"/>
        <w:ind w:left="29" w:right="73" w:firstLine="402"/>
        <w:rPr>
          <w:rFonts w:ascii="宋体" w:hAnsi="宋体" w:eastAsia="宋体" w:cs="宋体"/>
          <w:sz w:val="20"/>
          <w:szCs w:val="20"/>
        </w:rPr>
      </w:pPr>
      <w:r>
        <w:rPr>
          <w:rFonts w:ascii="宋体" w:hAnsi="宋体" w:eastAsia="宋体" w:cs="宋体"/>
          <w:spacing w:val="6"/>
          <w:sz w:val="20"/>
          <w:szCs w:val="20"/>
        </w:rPr>
        <w:t>发包人逾期支付合同约定的预付款，除承担通用合同条款第</w:t>
      </w:r>
      <w:r>
        <w:rPr>
          <w:rFonts w:ascii="宋体" w:hAnsi="宋体" w:eastAsia="宋体" w:cs="宋体"/>
          <w:spacing w:val="-28"/>
          <w:sz w:val="20"/>
          <w:szCs w:val="20"/>
        </w:rPr>
        <w:t xml:space="preserve"> </w:t>
      </w:r>
      <w:r>
        <w:rPr>
          <w:rFonts w:ascii="宋体" w:hAnsi="宋体" w:eastAsia="宋体" w:cs="宋体"/>
          <w:spacing w:val="6"/>
          <w:sz w:val="20"/>
          <w:szCs w:val="20"/>
        </w:rPr>
        <w:t>22.2</w:t>
      </w:r>
      <w:r>
        <w:rPr>
          <w:rFonts w:ascii="宋体" w:hAnsi="宋体" w:eastAsia="宋体" w:cs="宋体"/>
          <w:spacing w:val="-39"/>
          <w:sz w:val="20"/>
          <w:szCs w:val="20"/>
        </w:rPr>
        <w:t xml:space="preserve"> </w:t>
      </w:r>
      <w:r>
        <w:rPr>
          <w:rFonts w:ascii="宋体" w:hAnsi="宋体" w:eastAsia="宋体" w:cs="宋体"/>
          <w:spacing w:val="6"/>
          <w:sz w:val="20"/>
          <w:szCs w:val="20"/>
        </w:rPr>
        <w:t>款约定的违约责任外，还应向承包人支付按专用合同条款第</w:t>
      </w:r>
      <w:r>
        <w:rPr>
          <w:rFonts w:ascii="宋体" w:hAnsi="宋体" w:eastAsia="宋体" w:cs="宋体"/>
          <w:spacing w:val="-11"/>
          <w:sz w:val="20"/>
          <w:szCs w:val="20"/>
        </w:rPr>
        <w:t xml:space="preserve"> </w:t>
      </w:r>
      <w:r>
        <w:rPr>
          <w:rFonts w:ascii="宋体" w:hAnsi="宋体" w:eastAsia="宋体" w:cs="宋体"/>
          <w:spacing w:val="6"/>
          <w:sz w:val="20"/>
          <w:szCs w:val="20"/>
        </w:rPr>
        <w:t>17.3.3（2）</w:t>
      </w:r>
      <w:r>
        <w:rPr>
          <w:rFonts w:ascii="宋体" w:hAnsi="宋体" w:eastAsia="宋体" w:cs="宋体"/>
          <w:spacing w:val="-42"/>
          <w:sz w:val="20"/>
          <w:szCs w:val="20"/>
        </w:rPr>
        <w:t xml:space="preserve"> </w:t>
      </w:r>
      <w:r>
        <w:rPr>
          <w:rFonts w:ascii="宋体" w:hAnsi="宋体" w:eastAsia="宋体" w:cs="宋体"/>
          <w:spacing w:val="6"/>
          <w:sz w:val="20"/>
          <w:szCs w:val="20"/>
        </w:rPr>
        <w:t>目约定的标准和方法计算的逾期付款违约金。</w:t>
      </w:r>
    </w:p>
    <w:p w14:paraId="0D7C6FC5">
      <w:pPr>
        <w:pStyle w:val="2"/>
        <w:spacing w:before="43" w:line="230" w:lineRule="auto"/>
        <w:ind w:left="438"/>
        <w:rPr>
          <w:sz w:val="20"/>
          <w:szCs w:val="20"/>
        </w:rPr>
      </w:pPr>
      <w:r>
        <w:rPr>
          <w:spacing w:val="4"/>
          <w:sz w:val="20"/>
          <w:szCs w:val="20"/>
        </w:rPr>
        <w:t>17.2.2</w:t>
      </w:r>
      <w:r>
        <w:rPr>
          <w:spacing w:val="-34"/>
          <w:sz w:val="20"/>
          <w:szCs w:val="20"/>
        </w:rPr>
        <w:t xml:space="preserve"> </w:t>
      </w:r>
      <w:r>
        <w:rPr>
          <w:spacing w:val="4"/>
          <w:sz w:val="20"/>
          <w:szCs w:val="20"/>
        </w:rPr>
        <w:t>预付款保函</w:t>
      </w:r>
    </w:p>
    <w:p w14:paraId="61ADB0E4">
      <w:pPr>
        <w:spacing w:before="252" w:line="228" w:lineRule="auto"/>
        <w:ind w:left="430"/>
        <w:rPr>
          <w:rFonts w:ascii="宋体" w:hAnsi="宋体" w:eastAsia="宋体" w:cs="宋体"/>
          <w:sz w:val="20"/>
          <w:szCs w:val="20"/>
        </w:rPr>
      </w:pPr>
      <w:r>
        <w:rPr>
          <w:rFonts w:ascii="宋体" w:hAnsi="宋体" w:eastAsia="宋体" w:cs="宋体"/>
          <w:spacing w:val="9"/>
          <w:sz w:val="20"/>
          <w:szCs w:val="20"/>
        </w:rPr>
        <w:t>预付款保函的金额与预付款金额相同。预付款保函的提交时间：</w:t>
      </w:r>
      <w:r>
        <w:rPr>
          <w:rFonts w:ascii="宋体" w:hAnsi="宋体" w:eastAsia="宋体" w:cs="宋体"/>
          <w:sz w:val="20"/>
          <w:szCs w:val="20"/>
          <w:u w:val="single" w:color="auto"/>
        </w:rPr>
        <w:t xml:space="preserve">                       </w:t>
      </w:r>
    </w:p>
    <w:p w14:paraId="2C941445">
      <w:pPr>
        <w:spacing w:line="283" w:lineRule="auto"/>
        <w:rPr>
          <w:rFonts w:ascii="Arial"/>
          <w:sz w:val="21"/>
        </w:rPr>
      </w:pPr>
    </w:p>
    <w:p w14:paraId="56F68CA8">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FEE2C54">
      <w:pPr>
        <w:spacing w:before="221" w:line="388" w:lineRule="auto"/>
        <w:ind w:left="8" w:right="71" w:firstLine="421"/>
        <w:jc w:val="both"/>
        <w:rPr>
          <w:rFonts w:ascii="宋体" w:hAnsi="宋体" w:eastAsia="宋体" w:cs="宋体"/>
          <w:sz w:val="20"/>
          <w:szCs w:val="20"/>
        </w:rPr>
      </w:pPr>
      <w:r>
        <w:rPr>
          <w:rFonts w:ascii="宋体" w:hAnsi="宋体" w:eastAsia="宋体" w:cs="宋体"/>
          <w:spacing w:val="10"/>
          <w:sz w:val="20"/>
          <w:szCs w:val="20"/>
        </w:rPr>
        <w:t>预付款保函的担保金额应当根据预付款扣回的金额递减，保函条款</w:t>
      </w:r>
      <w:r>
        <w:rPr>
          <w:rFonts w:ascii="宋体" w:hAnsi="宋体" w:eastAsia="宋体" w:cs="宋体"/>
          <w:spacing w:val="9"/>
          <w:sz w:val="20"/>
          <w:szCs w:val="20"/>
        </w:rPr>
        <w:t>中可以设立担保金额递减</w:t>
      </w:r>
      <w:r>
        <w:rPr>
          <w:rFonts w:ascii="宋体" w:hAnsi="宋体" w:eastAsia="宋体" w:cs="宋体"/>
          <w:spacing w:val="6"/>
          <w:sz w:val="20"/>
          <w:szCs w:val="20"/>
        </w:rPr>
        <w:t>的条款。发包人在签认每一期进度付款证书后</w:t>
      </w:r>
      <w:r>
        <w:rPr>
          <w:rFonts w:ascii="宋体" w:hAnsi="宋体" w:eastAsia="宋体" w:cs="宋体"/>
          <w:spacing w:val="-14"/>
          <w:sz w:val="20"/>
          <w:szCs w:val="20"/>
        </w:rPr>
        <w:t xml:space="preserve"> </w:t>
      </w:r>
      <w:r>
        <w:rPr>
          <w:rFonts w:ascii="宋体" w:hAnsi="宋体" w:eastAsia="宋体" w:cs="宋体"/>
          <w:spacing w:val="6"/>
          <w:sz w:val="20"/>
          <w:szCs w:val="20"/>
        </w:rPr>
        <w:t>14</w:t>
      </w:r>
      <w:r>
        <w:rPr>
          <w:rFonts w:ascii="宋体" w:hAnsi="宋体" w:eastAsia="宋体" w:cs="宋体"/>
          <w:spacing w:val="-36"/>
          <w:sz w:val="20"/>
          <w:szCs w:val="20"/>
        </w:rPr>
        <w:t xml:space="preserve"> </w:t>
      </w:r>
      <w:r>
        <w:rPr>
          <w:rFonts w:ascii="宋体" w:hAnsi="宋体" w:eastAsia="宋体" w:cs="宋体"/>
          <w:spacing w:val="6"/>
          <w:sz w:val="20"/>
          <w:szCs w:val="20"/>
        </w:rPr>
        <w:t>天内，应当以书面方式通知出具预付款保函的担</w:t>
      </w:r>
      <w:r>
        <w:rPr>
          <w:rFonts w:ascii="宋体" w:hAnsi="宋体" w:eastAsia="宋体" w:cs="宋体"/>
          <w:spacing w:val="10"/>
          <w:sz w:val="20"/>
          <w:szCs w:val="20"/>
        </w:rPr>
        <w:t>保人并附上一份经其签认的进度付款证书副本，担保人根据发包人的通知</w:t>
      </w:r>
      <w:r>
        <w:rPr>
          <w:rFonts w:ascii="宋体" w:hAnsi="宋体" w:eastAsia="宋体" w:cs="宋体"/>
          <w:spacing w:val="9"/>
          <w:sz w:val="20"/>
          <w:szCs w:val="20"/>
        </w:rPr>
        <w:t>和经发包人签认的进度付款证书中累计扣回的预付款金额等额调减预付款保函的担</w:t>
      </w:r>
      <w:r>
        <w:rPr>
          <w:rFonts w:ascii="宋体" w:hAnsi="宋体" w:eastAsia="宋体" w:cs="宋体"/>
          <w:spacing w:val="8"/>
          <w:sz w:val="20"/>
          <w:szCs w:val="20"/>
        </w:rPr>
        <w:t>保金额。</w:t>
      </w:r>
      <w:r>
        <w:rPr>
          <w:rFonts w:ascii="宋体" w:hAnsi="宋体" w:eastAsia="宋体" w:cs="宋体"/>
          <w:spacing w:val="-52"/>
          <w:sz w:val="20"/>
          <w:szCs w:val="20"/>
        </w:rPr>
        <w:t xml:space="preserve"> </w:t>
      </w:r>
      <w:r>
        <w:rPr>
          <w:rFonts w:ascii="宋体" w:hAnsi="宋体" w:eastAsia="宋体" w:cs="宋体"/>
          <w:spacing w:val="8"/>
          <w:sz w:val="20"/>
          <w:szCs w:val="20"/>
        </w:rPr>
        <w:t>自担保人收到发包人通知之</w:t>
      </w:r>
      <w:r>
        <w:rPr>
          <w:rFonts w:ascii="宋体" w:hAnsi="宋体" w:eastAsia="宋体" w:cs="宋体"/>
          <w:spacing w:val="9"/>
          <w:sz w:val="20"/>
          <w:szCs w:val="20"/>
        </w:rPr>
        <w:t>日起，该经过递减的担保金额为预付款保函担保金额。</w:t>
      </w:r>
    </w:p>
    <w:p w14:paraId="79172917">
      <w:pPr>
        <w:pStyle w:val="2"/>
        <w:spacing w:before="43" w:line="230" w:lineRule="auto"/>
        <w:ind w:left="438"/>
        <w:rPr>
          <w:sz w:val="20"/>
          <w:szCs w:val="20"/>
        </w:rPr>
      </w:pPr>
      <w:r>
        <w:rPr>
          <w:spacing w:val="5"/>
          <w:sz w:val="20"/>
          <w:szCs w:val="20"/>
        </w:rPr>
        <w:t>17.2.3</w:t>
      </w:r>
      <w:r>
        <w:rPr>
          <w:spacing w:val="-25"/>
          <w:sz w:val="20"/>
          <w:szCs w:val="20"/>
        </w:rPr>
        <w:t xml:space="preserve"> </w:t>
      </w:r>
      <w:r>
        <w:rPr>
          <w:spacing w:val="5"/>
          <w:sz w:val="20"/>
          <w:szCs w:val="20"/>
        </w:rPr>
        <w:t>预付款的扣回与还清</w:t>
      </w:r>
    </w:p>
    <w:p w14:paraId="783D4A6F">
      <w:pPr>
        <w:spacing w:before="254" w:line="228" w:lineRule="auto"/>
        <w:ind w:left="430"/>
        <w:rPr>
          <w:rFonts w:ascii="宋体" w:hAnsi="宋体" w:eastAsia="宋体" w:cs="宋体"/>
          <w:sz w:val="20"/>
          <w:szCs w:val="20"/>
        </w:rPr>
      </w:pPr>
      <w:r>
        <w:rPr>
          <w:rFonts w:ascii="宋体" w:hAnsi="宋体" w:eastAsia="宋体" w:cs="宋体"/>
          <w:spacing w:val="6"/>
          <w:sz w:val="20"/>
          <w:szCs w:val="20"/>
        </w:rPr>
        <w:t>预付款的扣回办法：</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6AF7876">
      <w:pPr>
        <w:pStyle w:val="2"/>
        <w:spacing w:before="219" w:line="230" w:lineRule="auto"/>
        <w:ind w:left="438"/>
        <w:rPr>
          <w:sz w:val="20"/>
          <w:szCs w:val="20"/>
        </w:rPr>
      </w:pPr>
      <w:r>
        <w:rPr>
          <w:spacing w:val="5"/>
          <w:sz w:val="20"/>
          <w:szCs w:val="20"/>
        </w:rPr>
        <w:t>17.2.4</w:t>
      </w:r>
      <w:r>
        <w:rPr>
          <w:spacing w:val="-31"/>
          <w:sz w:val="20"/>
          <w:szCs w:val="20"/>
        </w:rPr>
        <w:t xml:space="preserve"> </w:t>
      </w:r>
      <w:r>
        <w:rPr>
          <w:spacing w:val="5"/>
          <w:sz w:val="20"/>
          <w:szCs w:val="20"/>
        </w:rPr>
        <w:t>预付款保函的格式</w:t>
      </w:r>
    </w:p>
    <w:p w14:paraId="248CB3F4">
      <w:pPr>
        <w:spacing w:before="229" w:line="360" w:lineRule="auto"/>
        <w:ind w:left="27" w:right="71" w:firstLine="400"/>
        <w:rPr>
          <w:rFonts w:ascii="宋体" w:hAnsi="宋体" w:eastAsia="宋体" w:cs="宋体"/>
          <w:sz w:val="20"/>
          <w:szCs w:val="20"/>
        </w:rPr>
      </w:pPr>
      <w:r>
        <w:rPr>
          <w:rFonts w:ascii="宋体" w:hAnsi="宋体" w:eastAsia="宋体" w:cs="宋体"/>
          <w:spacing w:val="11"/>
          <w:sz w:val="20"/>
          <w:szCs w:val="20"/>
        </w:rPr>
        <w:t>承包人应当按照专用合同条款第</w:t>
      </w:r>
      <w:r>
        <w:rPr>
          <w:rFonts w:ascii="宋体" w:hAnsi="宋体" w:eastAsia="宋体" w:cs="宋体"/>
          <w:spacing w:val="-18"/>
          <w:sz w:val="20"/>
          <w:szCs w:val="20"/>
        </w:rPr>
        <w:t xml:space="preserve"> </w:t>
      </w:r>
      <w:r>
        <w:rPr>
          <w:rFonts w:ascii="宋体" w:hAnsi="宋体" w:eastAsia="宋体" w:cs="宋体"/>
          <w:spacing w:val="11"/>
          <w:sz w:val="20"/>
          <w:szCs w:val="20"/>
        </w:rPr>
        <w:t>17.2.2</w:t>
      </w:r>
      <w:r>
        <w:rPr>
          <w:rFonts w:ascii="宋体" w:hAnsi="宋体" w:eastAsia="宋体" w:cs="宋体"/>
          <w:spacing w:val="-35"/>
          <w:sz w:val="20"/>
          <w:szCs w:val="20"/>
        </w:rPr>
        <w:t xml:space="preserve"> </w:t>
      </w:r>
      <w:r>
        <w:rPr>
          <w:rFonts w:ascii="宋体" w:hAnsi="宋体" w:eastAsia="宋体" w:cs="宋体"/>
          <w:spacing w:val="11"/>
          <w:sz w:val="20"/>
          <w:szCs w:val="20"/>
        </w:rPr>
        <w:t>项</w:t>
      </w:r>
      <w:r>
        <w:rPr>
          <w:rFonts w:ascii="宋体" w:hAnsi="宋体" w:eastAsia="宋体" w:cs="宋体"/>
          <w:spacing w:val="10"/>
          <w:sz w:val="20"/>
          <w:szCs w:val="20"/>
        </w:rPr>
        <w:t>约定的金额和时间以及发包人在本工程招标文件</w:t>
      </w:r>
      <w:r>
        <w:rPr>
          <w:rFonts w:ascii="宋体" w:hAnsi="宋体" w:eastAsia="宋体" w:cs="宋体"/>
          <w:spacing w:val="9"/>
          <w:sz w:val="20"/>
          <w:szCs w:val="20"/>
        </w:rPr>
        <w:t>中规定的或者其他经过发包人事先认可的格式向发包人递交一份无条件兑付的和不可撤销的预付</w:t>
      </w:r>
    </w:p>
    <w:p w14:paraId="12F5F410">
      <w:pPr>
        <w:spacing w:line="360" w:lineRule="auto"/>
        <w:rPr>
          <w:rFonts w:ascii="宋体" w:hAnsi="宋体" w:eastAsia="宋体" w:cs="宋体"/>
          <w:sz w:val="20"/>
          <w:szCs w:val="20"/>
        </w:rPr>
        <w:sectPr>
          <w:footerReference r:id="rId212" w:type="default"/>
          <w:pgSz w:w="11906" w:h="16839"/>
          <w:pgMar w:top="400" w:right="1483" w:bottom="1038" w:left="1531" w:header="0" w:footer="787" w:gutter="0"/>
          <w:cols w:space="720" w:num="1"/>
        </w:sectPr>
      </w:pPr>
    </w:p>
    <w:p w14:paraId="219EC9EA">
      <w:pPr>
        <w:spacing w:line="269" w:lineRule="auto"/>
        <w:rPr>
          <w:rFonts w:ascii="Arial"/>
          <w:sz w:val="21"/>
        </w:rPr>
      </w:pPr>
    </w:p>
    <w:p w14:paraId="0D2630CC">
      <w:pPr>
        <w:spacing w:line="269" w:lineRule="auto"/>
        <w:rPr>
          <w:rFonts w:ascii="Arial"/>
          <w:sz w:val="21"/>
        </w:rPr>
      </w:pPr>
    </w:p>
    <w:p w14:paraId="540D096A">
      <w:pPr>
        <w:spacing w:line="270" w:lineRule="auto"/>
        <w:rPr>
          <w:rFonts w:ascii="Arial"/>
          <w:sz w:val="21"/>
        </w:rPr>
      </w:pPr>
    </w:p>
    <w:p w14:paraId="172EB360">
      <w:pPr>
        <w:spacing w:line="270" w:lineRule="auto"/>
        <w:rPr>
          <w:rFonts w:ascii="Arial"/>
          <w:sz w:val="21"/>
        </w:rPr>
      </w:pPr>
    </w:p>
    <w:p w14:paraId="24A3A6A4">
      <w:pPr>
        <w:spacing w:before="65" w:line="228" w:lineRule="auto"/>
        <w:rPr>
          <w:rFonts w:ascii="宋体" w:hAnsi="宋体" w:eastAsia="宋体" w:cs="宋体"/>
          <w:sz w:val="20"/>
          <w:szCs w:val="20"/>
        </w:rPr>
      </w:pPr>
      <w:r>
        <w:rPr>
          <w:rFonts w:ascii="宋体" w:hAnsi="宋体" w:eastAsia="宋体" w:cs="宋体"/>
          <w:spacing w:val="4"/>
          <w:sz w:val="20"/>
          <w:szCs w:val="20"/>
        </w:rPr>
        <w:t>款保函。</w:t>
      </w:r>
    </w:p>
    <w:p w14:paraId="07A9D691">
      <w:pPr>
        <w:pStyle w:val="2"/>
        <w:spacing w:before="168" w:line="229" w:lineRule="auto"/>
        <w:ind w:left="430"/>
        <w:rPr>
          <w:sz w:val="20"/>
          <w:szCs w:val="20"/>
        </w:rPr>
      </w:pPr>
      <w:r>
        <w:rPr>
          <w:spacing w:val="5"/>
          <w:sz w:val="20"/>
          <w:szCs w:val="20"/>
        </w:rPr>
        <w:t>17.2.5</w:t>
      </w:r>
      <w:r>
        <w:rPr>
          <w:spacing w:val="-25"/>
          <w:sz w:val="20"/>
          <w:szCs w:val="20"/>
        </w:rPr>
        <w:t xml:space="preserve"> </w:t>
      </w:r>
      <w:r>
        <w:rPr>
          <w:spacing w:val="5"/>
          <w:sz w:val="20"/>
          <w:szCs w:val="20"/>
        </w:rPr>
        <w:t>预付款保函的有效期</w:t>
      </w:r>
    </w:p>
    <w:p w14:paraId="5A5F09B1">
      <w:pPr>
        <w:spacing w:before="148" w:line="360" w:lineRule="auto"/>
        <w:ind w:right="1" w:firstLine="421"/>
        <w:rPr>
          <w:rFonts w:ascii="宋体" w:hAnsi="宋体" w:eastAsia="宋体" w:cs="宋体"/>
          <w:sz w:val="20"/>
          <w:szCs w:val="20"/>
        </w:rPr>
      </w:pPr>
      <w:r>
        <w:rPr>
          <w:rFonts w:ascii="宋体" w:hAnsi="宋体" w:eastAsia="宋体" w:cs="宋体"/>
          <w:spacing w:val="10"/>
          <w:sz w:val="20"/>
          <w:szCs w:val="20"/>
        </w:rPr>
        <w:t>预付款保函的有效期应当自预付款支付给承包人之日起至发包人签</w:t>
      </w:r>
      <w:r>
        <w:rPr>
          <w:rFonts w:ascii="宋体" w:hAnsi="宋体" w:eastAsia="宋体" w:cs="宋体"/>
          <w:spacing w:val="9"/>
          <w:sz w:val="20"/>
          <w:szCs w:val="20"/>
        </w:rPr>
        <w:t>认的进度付款证书说明预</w:t>
      </w:r>
      <w:r>
        <w:rPr>
          <w:rFonts w:ascii="宋体" w:hAnsi="宋体" w:eastAsia="宋体" w:cs="宋体"/>
          <w:spacing w:val="8"/>
          <w:sz w:val="20"/>
          <w:szCs w:val="20"/>
        </w:rPr>
        <w:t>付款已完全扣清之日止。</w:t>
      </w:r>
    </w:p>
    <w:p w14:paraId="38D15350">
      <w:pPr>
        <w:pStyle w:val="2"/>
        <w:spacing w:before="23" w:line="229" w:lineRule="auto"/>
        <w:ind w:left="430"/>
        <w:rPr>
          <w:sz w:val="20"/>
          <w:szCs w:val="20"/>
        </w:rPr>
      </w:pPr>
      <w:r>
        <w:rPr>
          <w:spacing w:val="5"/>
          <w:sz w:val="20"/>
          <w:szCs w:val="20"/>
        </w:rPr>
        <w:t>17.2.6</w:t>
      </w:r>
      <w:r>
        <w:rPr>
          <w:spacing w:val="-31"/>
          <w:sz w:val="20"/>
          <w:szCs w:val="20"/>
        </w:rPr>
        <w:t xml:space="preserve"> </w:t>
      </w:r>
      <w:r>
        <w:rPr>
          <w:spacing w:val="5"/>
          <w:sz w:val="20"/>
          <w:szCs w:val="20"/>
        </w:rPr>
        <w:t>发包人的通知义务</w:t>
      </w:r>
    </w:p>
    <w:p w14:paraId="23CE202B">
      <w:pPr>
        <w:spacing w:before="148" w:line="360" w:lineRule="auto"/>
        <w:ind w:left="19" w:right="1" w:firstLine="403"/>
        <w:rPr>
          <w:rFonts w:ascii="宋体" w:hAnsi="宋体" w:eastAsia="宋体" w:cs="宋体"/>
          <w:sz w:val="20"/>
          <w:szCs w:val="20"/>
        </w:rPr>
      </w:pPr>
      <w:r>
        <w:rPr>
          <w:rFonts w:ascii="宋体" w:hAnsi="宋体" w:eastAsia="宋体" w:cs="宋体"/>
          <w:spacing w:val="10"/>
          <w:sz w:val="20"/>
          <w:szCs w:val="20"/>
        </w:rPr>
        <w:t>不管保函条款中如何约定，发包人根据担保提出索赔或兑现要</w:t>
      </w:r>
      <w:r>
        <w:rPr>
          <w:rFonts w:ascii="宋体" w:hAnsi="宋体" w:eastAsia="宋体" w:cs="宋体"/>
          <w:spacing w:val="9"/>
          <w:sz w:val="20"/>
          <w:szCs w:val="20"/>
        </w:rPr>
        <w:t>求之前，均应通知承包人并说明导致此类索赔或兑现的原因，但此类通知不应理解为是在任何意义上寻求承包人的同意。</w:t>
      </w:r>
    </w:p>
    <w:p w14:paraId="2DDEC823">
      <w:pPr>
        <w:pStyle w:val="2"/>
        <w:spacing w:before="23" w:line="230" w:lineRule="auto"/>
        <w:ind w:left="430"/>
        <w:rPr>
          <w:sz w:val="20"/>
          <w:szCs w:val="20"/>
        </w:rPr>
      </w:pPr>
      <w:r>
        <w:rPr>
          <w:spacing w:val="5"/>
          <w:sz w:val="20"/>
          <w:szCs w:val="20"/>
        </w:rPr>
        <w:t>17.2.7</w:t>
      </w:r>
      <w:r>
        <w:rPr>
          <w:spacing w:val="-31"/>
          <w:sz w:val="20"/>
          <w:szCs w:val="20"/>
        </w:rPr>
        <w:t xml:space="preserve"> </w:t>
      </w:r>
      <w:r>
        <w:rPr>
          <w:spacing w:val="5"/>
          <w:sz w:val="20"/>
          <w:szCs w:val="20"/>
        </w:rPr>
        <w:t>预付款保函的退还</w:t>
      </w:r>
    </w:p>
    <w:p w14:paraId="496BD61B">
      <w:pPr>
        <w:spacing w:before="147" w:line="352" w:lineRule="auto"/>
        <w:ind w:right="3" w:firstLine="421"/>
        <w:rPr>
          <w:rFonts w:ascii="宋体" w:hAnsi="宋体" w:eastAsia="宋体" w:cs="宋体"/>
          <w:sz w:val="20"/>
          <w:szCs w:val="20"/>
        </w:rPr>
      </w:pPr>
      <w:r>
        <w:rPr>
          <w:rFonts w:ascii="宋体" w:hAnsi="宋体" w:eastAsia="宋体" w:cs="宋体"/>
          <w:spacing w:val="11"/>
          <w:sz w:val="20"/>
          <w:szCs w:val="20"/>
        </w:rPr>
        <w:t>预付款保函应在发包人签认的进度付款证书说明预付款已完全扣清之日后</w:t>
      </w:r>
      <w:r>
        <w:rPr>
          <w:rFonts w:ascii="宋体" w:hAnsi="宋体" w:eastAsia="宋体" w:cs="宋体"/>
          <w:spacing w:val="-20"/>
          <w:sz w:val="20"/>
          <w:szCs w:val="20"/>
        </w:rPr>
        <w:t xml:space="preserve"> </w:t>
      </w:r>
      <w:r>
        <w:rPr>
          <w:rFonts w:ascii="宋体" w:hAnsi="宋体" w:eastAsia="宋体" w:cs="宋体"/>
          <w:spacing w:val="11"/>
          <w:sz w:val="20"/>
          <w:szCs w:val="20"/>
        </w:rPr>
        <w:t>14</w:t>
      </w:r>
      <w:r>
        <w:rPr>
          <w:rFonts w:ascii="宋体" w:hAnsi="宋体" w:eastAsia="宋体" w:cs="宋体"/>
          <w:spacing w:val="-34"/>
          <w:sz w:val="20"/>
          <w:szCs w:val="20"/>
        </w:rPr>
        <w:t xml:space="preserve"> </w:t>
      </w:r>
      <w:r>
        <w:rPr>
          <w:rFonts w:ascii="宋体" w:hAnsi="宋体" w:eastAsia="宋体" w:cs="宋体"/>
          <w:spacing w:val="11"/>
          <w:sz w:val="20"/>
          <w:szCs w:val="20"/>
        </w:rPr>
        <w:t>天内退还给承</w:t>
      </w:r>
      <w:r>
        <w:rPr>
          <w:rFonts w:ascii="宋体" w:hAnsi="宋体" w:eastAsia="宋体" w:cs="宋体"/>
          <w:spacing w:val="9"/>
          <w:sz w:val="20"/>
          <w:szCs w:val="20"/>
        </w:rPr>
        <w:t>包人。发包人不承担承包人与预付款保函有关的任何利息或其它类似的费用或者收益。</w:t>
      </w:r>
    </w:p>
    <w:p w14:paraId="7861ADBF">
      <w:pPr>
        <w:pStyle w:val="2"/>
        <w:spacing w:line="221" w:lineRule="auto"/>
        <w:ind w:left="19"/>
        <w:rPr>
          <w:sz w:val="24"/>
          <w:szCs w:val="24"/>
        </w:rPr>
      </w:pPr>
      <w:r>
        <w:rPr>
          <w:rFonts w:ascii="Times New Roman" w:hAnsi="Times New Roman" w:eastAsia="Times New Roman" w:cs="Times New Roman"/>
          <w:spacing w:val="-3"/>
          <w:sz w:val="24"/>
          <w:szCs w:val="24"/>
        </w:rPr>
        <w:t xml:space="preserve">17.3 </w:t>
      </w:r>
      <w:r>
        <w:rPr>
          <w:spacing w:val="-3"/>
          <w:sz w:val="24"/>
          <w:szCs w:val="24"/>
        </w:rPr>
        <w:t>工程进度付款</w:t>
      </w:r>
    </w:p>
    <w:p w14:paraId="3BC3BE4D">
      <w:pPr>
        <w:pStyle w:val="2"/>
        <w:spacing w:before="154" w:line="230" w:lineRule="auto"/>
        <w:ind w:left="430"/>
        <w:rPr>
          <w:sz w:val="20"/>
          <w:szCs w:val="20"/>
        </w:rPr>
      </w:pPr>
      <w:r>
        <w:rPr>
          <w:spacing w:val="5"/>
          <w:sz w:val="20"/>
          <w:szCs w:val="20"/>
        </w:rPr>
        <w:t>17.3.2</w:t>
      </w:r>
      <w:r>
        <w:rPr>
          <w:spacing w:val="-35"/>
          <w:sz w:val="20"/>
          <w:szCs w:val="20"/>
        </w:rPr>
        <w:t xml:space="preserve"> </w:t>
      </w:r>
      <w:r>
        <w:rPr>
          <w:spacing w:val="5"/>
          <w:sz w:val="20"/>
          <w:szCs w:val="20"/>
        </w:rPr>
        <w:t>进度付款申请单</w:t>
      </w:r>
    </w:p>
    <w:p w14:paraId="51BBC5E0">
      <w:pPr>
        <w:spacing w:before="154" w:line="228" w:lineRule="auto"/>
        <w:ind w:left="418"/>
        <w:rPr>
          <w:rFonts w:ascii="宋体" w:hAnsi="宋体" w:eastAsia="宋体" w:cs="宋体"/>
          <w:sz w:val="20"/>
          <w:szCs w:val="20"/>
        </w:rPr>
      </w:pPr>
      <w:r>
        <w:rPr>
          <w:rFonts w:ascii="宋体" w:hAnsi="宋体" w:eastAsia="宋体" w:cs="宋体"/>
          <w:spacing w:val="6"/>
          <w:sz w:val="20"/>
          <w:szCs w:val="20"/>
        </w:rPr>
        <w:t>进度付款申请单的份数：</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8F05D6D">
      <w:pPr>
        <w:spacing w:before="153" w:line="228" w:lineRule="auto"/>
        <w:ind w:left="418"/>
        <w:rPr>
          <w:rFonts w:ascii="宋体" w:hAnsi="宋体" w:eastAsia="宋体" w:cs="宋体"/>
          <w:sz w:val="20"/>
          <w:szCs w:val="20"/>
        </w:rPr>
      </w:pPr>
      <w:r>
        <w:rPr>
          <w:rFonts w:ascii="宋体" w:hAnsi="宋体" w:eastAsia="宋体" w:cs="宋体"/>
          <w:spacing w:val="6"/>
          <w:sz w:val="20"/>
          <w:szCs w:val="20"/>
        </w:rPr>
        <w:t>进度付款申请单的内容：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D9BEB69">
      <w:pPr>
        <w:pStyle w:val="2"/>
        <w:spacing w:before="169" w:line="230" w:lineRule="auto"/>
        <w:ind w:left="430"/>
        <w:rPr>
          <w:sz w:val="20"/>
          <w:szCs w:val="20"/>
        </w:rPr>
      </w:pPr>
      <w:r>
        <w:rPr>
          <w:spacing w:val="6"/>
          <w:sz w:val="20"/>
          <w:szCs w:val="20"/>
        </w:rPr>
        <w:t>17.3.3</w:t>
      </w:r>
      <w:r>
        <w:rPr>
          <w:spacing w:val="-32"/>
          <w:sz w:val="20"/>
          <w:szCs w:val="20"/>
        </w:rPr>
        <w:t xml:space="preserve"> </w:t>
      </w:r>
      <w:r>
        <w:rPr>
          <w:spacing w:val="6"/>
          <w:sz w:val="20"/>
          <w:szCs w:val="20"/>
        </w:rPr>
        <w:t>进度付款证书和支付时间</w:t>
      </w:r>
    </w:p>
    <w:p w14:paraId="78E48324">
      <w:pPr>
        <w:spacing w:before="146" w:line="228" w:lineRule="auto"/>
        <w:jc w:val="right"/>
        <w:rPr>
          <w:rFonts w:ascii="宋体" w:hAnsi="宋体" w:eastAsia="宋体" w:cs="宋体"/>
          <w:sz w:val="20"/>
          <w:szCs w:val="20"/>
        </w:rPr>
      </w:pPr>
      <w:r>
        <w:rPr>
          <w:rFonts w:ascii="宋体" w:hAnsi="宋体" w:eastAsia="宋体" w:cs="宋体"/>
          <w:spacing w:val="1"/>
          <w:sz w:val="20"/>
          <w:szCs w:val="20"/>
        </w:rPr>
        <w:t>（2）发包人未按专用合同条款第</w:t>
      </w:r>
      <w:r>
        <w:rPr>
          <w:rFonts w:ascii="宋体" w:hAnsi="宋体" w:eastAsia="宋体" w:cs="宋体"/>
          <w:spacing w:val="-22"/>
          <w:sz w:val="20"/>
          <w:szCs w:val="20"/>
        </w:rPr>
        <w:t xml:space="preserve"> </w:t>
      </w:r>
      <w:r>
        <w:rPr>
          <w:rFonts w:ascii="宋体" w:hAnsi="宋体" w:eastAsia="宋体" w:cs="宋体"/>
          <w:spacing w:val="1"/>
          <w:sz w:val="20"/>
          <w:szCs w:val="20"/>
        </w:rPr>
        <w:t>17.2.1（2）目、通用合同条款第</w:t>
      </w:r>
      <w:r>
        <w:rPr>
          <w:rFonts w:ascii="宋体" w:hAnsi="宋体" w:eastAsia="宋体" w:cs="宋体"/>
          <w:spacing w:val="-21"/>
          <w:sz w:val="20"/>
          <w:szCs w:val="20"/>
        </w:rPr>
        <w:t xml:space="preserve"> </w:t>
      </w:r>
      <w:r>
        <w:rPr>
          <w:rFonts w:ascii="宋体" w:hAnsi="宋体" w:eastAsia="宋体" w:cs="宋体"/>
          <w:spacing w:val="1"/>
          <w:sz w:val="20"/>
          <w:szCs w:val="20"/>
        </w:rPr>
        <w:t>17.3.3（2）目、第</w:t>
      </w:r>
      <w:r>
        <w:rPr>
          <w:rFonts w:ascii="宋体" w:hAnsi="宋体" w:eastAsia="宋体" w:cs="宋体"/>
          <w:spacing w:val="-22"/>
          <w:sz w:val="20"/>
          <w:szCs w:val="20"/>
        </w:rPr>
        <w:t xml:space="preserve"> </w:t>
      </w:r>
      <w:r>
        <w:rPr>
          <w:rFonts w:ascii="宋体" w:hAnsi="宋体" w:eastAsia="宋体" w:cs="宋体"/>
          <w:spacing w:val="1"/>
          <w:sz w:val="20"/>
          <w:szCs w:val="20"/>
        </w:rPr>
        <w:t>1</w:t>
      </w:r>
      <w:r>
        <w:rPr>
          <w:rFonts w:ascii="宋体" w:hAnsi="宋体" w:eastAsia="宋体" w:cs="宋体"/>
          <w:sz w:val="20"/>
          <w:szCs w:val="20"/>
        </w:rPr>
        <w:t>7.5.2</w:t>
      </w:r>
    </w:p>
    <w:p w14:paraId="478EB548">
      <w:pPr>
        <w:spacing w:before="144" w:line="360" w:lineRule="auto"/>
        <w:ind w:right="1" w:firstLine="10"/>
        <w:jc w:val="both"/>
        <w:rPr>
          <w:rFonts w:ascii="宋体" w:hAnsi="宋体" w:eastAsia="宋体" w:cs="宋体"/>
          <w:sz w:val="20"/>
          <w:szCs w:val="20"/>
        </w:rPr>
      </w:pPr>
      <w:r>
        <w:rPr>
          <w:rFonts w:ascii="宋体" w:hAnsi="宋体" w:eastAsia="宋体" w:cs="宋体"/>
          <w:spacing w:val="5"/>
          <w:sz w:val="20"/>
          <w:szCs w:val="20"/>
        </w:rPr>
        <w:t>（2）</w:t>
      </w:r>
      <w:r>
        <w:rPr>
          <w:rFonts w:ascii="宋体" w:hAnsi="宋体" w:eastAsia="宋体" w:cs="宋体"/>
          <w:spacing w:val="-52"/>
          <w:sz w:val="20"/>
          <w:szCs w:val="20"/>
        </w:rPr>
        <w:t xml:space="preserve"> </w:t>
      </w:r>
      <w:r>
        <w:rPr>
          <w:rFonts w:ascii="宋体" w:hAnsi="宋体" w:eastAsia="宋体" w:cs="宋体"/>
          <w:spacing w:val="5"/>
          <w:sz w:val="20"/>
          <w:szCs w:val="20"/>
        </w:rPr>
        <w:t>目和第</w:t>
      </w:r>
      <w:r>
        <w:rPr>
          <w:rFonts w:ascii="宋体" w:hAnsi="宋体" w:eastAsia="宋体" w:cs="宋体"/>
          <w:spacing w:val="-24"/>
          <w:sz w:val="20"/>
          <w:szCs w:val="20"/>
        </w:rPr>
        <w:t xml:space="preserve"> </w:t>
      </w:r>
      <w:r>
        <w:rPr>
          <w:rFonts w:ascii="宋体" w:hAnsi="宋体" w:eastAsia="宋体" w:cs="宋体"/>
          <w:spacing w:val="5"/>
          <w:sz w:val="20"/>
          <w:szCs w:val="20"/>
        </w:rPr>
        <w:t>17.6.2（2）</w:t>
      </w:r>
      <w:r>
        <w:rPr>
          <w:rFonts w:ascii="宋体" w:hAnsi="宋体" w:eastAsia="宋体" w:cs="宋体"/>
          <w:spacing w:val="-54"/>
          <w:sz w:val="20"/>
          <w:szCs w:val="20"/>
        </w:rPr>
        <w:t xml:space="preserve"> </w:t>
      </w:r>
      <w:r>
        <w:rPr>
          <w:rFonts w:ascii="宋体" w:hAnsi="宋体" w:eastAsia="宋体" w:cs="宋体"/>
          <w:spacing w:val="5"/>
          <w:sz w:val="20"/>
          <w:szCs w:val="20"/>
        </w:rPr>
        <w:t>目约定的期限支付承包人依合同约定应当得到的款项，应当从应付之日</w:t>
      </w:r>
      <w:r>
        <w:rPr>
          <w:rFonts w:ascii="宋体" w:hAnsi="宋体" w:eastAsia="宋体" w:cs="宋体"/>
          <w:spacing w:val="9"/>
          <w:sz w:val="20"/>
          <w:szCs w:val="20"/>
        </w:rPr>
        <w:t>起向承包人支付逾期付款违约金。承包人应当按通用合同条款第</w:t>
      </w:r>
      <w:r>
        <w:rPr>
          <w:rFonts w:ascii="宋体" w:hAnsi="宋体" w:eastAsia="宋体" w:cs="宋体"/>
          <w:spacing w:val="-34"/>
          <w:sz w:val="20"/>
          <w:szCs w:val="20"/>
        </w:rPr>
        <w:t xml:space="preserve"> </w:t>
      </w:r>
      <w:r>
        <w:rPr>
          <w:rFonts w:ascii="宋体" w:hAnsi="宋体" w:eastAsia="宋体" w:cs="宋体"/>
          <w:spacing w:val="9"/>
          <w:sz w:val="20"/>
          <w:szCs w:val="20"/>
        </w:rPr>
        <w:t>23</w:t>
      </w:r>
      <w:r>
        <w:rPr>
          <w:rFonts w:ascii="宋体" w:hAnsi="宋体" w:eastAsia="宋体" w:cs="宋体"/>
          <w:spacing w:val="8"/>
          <w:sz w:val="20"/>
          <w:szCs w:val="20"/>
        </w:rPr>
        <w:t>.1（1）</w:t>
      </w:r>
      <w:r>
        <w:rPr>
          <w:rFonts w:ascii="宋体" w:hAnsi="宋体" w:eastAsia="宋体" w:cs="宋体"/>
          <w:spacing w:val="-40"/>
          <w:sz w:val="20"/>
          <w:szCs w:val="20"/>
        </w:rPr>
        <w:t xml:space="preserve"> </w:t>
      </w:r>
      <w:r>
        <w:rPr>
          <w:rFonts w:ascii="宋体" w:hAnsi="宋体" w:eastAsia="宋体" w:cs="宋体"/>
          <w:spacing w:val="8"/>
          <w:sz w:val="20"/>
          <w:szCs w:val="20"/>
        </w:rPr>
        <w:t>目的约定，在最终付</w:t>
      </w:r>
      <w:r>
        <w:rPr>
          <w:rFonts w:ascii="宋体" w:hAnsi="宋体" w:eastAsia="宋体" w:cs="宋体"/>
          <w:spacing w:val="7"/>
          <w:sz w:val="20"/>
          <w:szCs w:val="20"/>
        </w:rPr>
        <w:t>款期限到期后</w:t>
      </w:r>
      <w:r>
        <w:rPr>
          <w:rFonts w:ascii="宋体" w:hAnsi="宋体" w:eastAsia="宋体" w:cs="宋体"/>
          <w:spacing w:val="-34"/>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天内，向监理人递交索赔意</w:t>
      </w:r>
      <w:r>
        <w:rPr>
          <w:rFonts w:ascii="宋体" w:hAnsi="宋体" w:eastAsia="宋体" w:cs="宋体"/>
          <w:spacing w:val="6"/>
          <w:sz w:val="20"/>
          <w:szCs w:val="20"/>
        </w:rPr>
        <w:t>向通知书，说明有权得到按本款约定的下列标准和方</w:t>
      </w:r>
      <w:r>
        <w:rPr>
          <w:rFonts w:ascii="宋体" w:hAnsi="宋体" w:eastAsia="宋体" w:cs="宋体"/>
          <w:spacing w:val="10"/>
          <w:sz w:val="20"/>
          <w:szCs w:val="20"/>
        </w:rPr>
        <w:t>法计算的逾期付款违约金。承包人要求发包人支付逾期付款违约金不影响</w:t>
      </w:r>
      <w:r>
        <w:rPr>
          <w:rFonts w:ascii="宋体" w:hAnsi="宋体" w:eastAsia="宋体" w:cs="宋体"/>
          <w:spacing w:val="9"/>
          <w:sz w:val="20"/>
          <w:szCs w:val="20"/>
        </w:rPr>
        <w:t>承包人要求发包人承担</w:t>
      </w:r>
      <w:r>
        <w:rPr>
          <w:rFonts w:ascii="宋体" w:hAnsi="宋体" w:eastAsia="宋体" w:cs="宋体"/>
          <w:spacing w:val="7"/>
          <w:sz w:val="20"/>
          <w:szCs w:val="20"/>
        </w:rPr>
        <w:t>通用合同条款第</w:t>
      </w:r>
      <w:r>
        <w:rPr>
          <w:rFonts w:ascii="宋体" w:hAnsi="宋体" w:eastAsia="宋体" w:cs="宋体"/>
          <w:spacing w:val="-22"/>
          <w:sz w:val="20"/>
          <w:szCs w:val="20"/>
        </w:rPr>
        <w:t xml:space="preserve"> </w:t>
      </w:r>
      <w:r>
        <w:rPr>
          <w:rFonts w:ascii="宋体" w:hAnsi="宋体" w:eastAsia="宋体" w:cs="宋体"/>
          <w:spacing w:val="7"/>
          <w:sz w:val="20"/>
          <w:szCs w:val="20"/>
        </w:rPr>
        <w:t>22.2</w:t>
      </w:r>
      <w:r>
        <w:rPr>
          <w:rFonts w:ascii="宋体" w:hAnsi="宋体" w:eastAsia="宋体" w:cs="宋体"/>
          <w:spacing w:val="-39"/>
          <w:sz w:val="20"/>
          <w:szCs w:val="20"/>
        </w:rPr>
        <w:t xml:space="preserve"> </w:t>
      </w:r>
      <w:r>
        <w:rPr>
          <w:rFonts w:ascii="宋体" w:hAnsi="宋体" w:eastAsia="宋体" w:cs="宋体"/>
          <w:spacing w:val="7"/>
          <w:sz w:val="20"/>
          <w:szCs w:val="20"/>
        </w:rPr>
        <w:t>款约定的其他违约责任的权利。</w:t>
      </w:r>
    </w:p>
    <w:p w14:paraId="4F4D4E43">
      <w:pPr>
        <w:spacing w:before="1" w:line="227" w:lineRule="auto"/>
        <w:ind w:left="418"/>
        <w:rPr>
          <w:rFonts w:ascii="宋体" w:hAnsi="宋体" w:eastAsia="宋体" w:cs="宋体"/>
          <w:sz w:val="20"/>
          <w:szCs w:val="20"/>
        </w:rPr>
      </w:pPr>
      <w:r>
        <w:rPr>
          <w:rFonts w:ascii="宋体" w:hAnsi="宋体" w:eastAsia="宋体" w:cs="宋体"/>
          <w:spacing w:val="6"/>
          <w:sz w:val="20"/>
          <w:szCs w:val="20"/>
        </w:rPr>
        <w:t>逾期付款违约金的计算标准为：</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20CEDFA">
      <w:pPr>
        <w:spacing w:before="141" w:line="228" w:lineRule="auto"/>
        <w:ind w:left="418"/>
        <w:rPr>
          <w:rFonts w:ascii="宋体" w:hAnsi="宋体" w:eastAsia="宋体" w:cs="宋体"/>
          <w:sz w:val="20"/>
          <w:szCs w:val="20"/>
        </w:rPr>
      </w:pPr>
      <w:r>
        <w:rPr>
          <w:rFonts w:ascii="宋体" w:hAnsi="宋体" w:eastAsia="宋体" w:cs="宋体"/>
          <w:spacing w:val="9"/>
          <w:sz w:val="20"/>
          <w:szCs w:val="20"/>
        </w:rPr>
        <w:t>逾期付款违约金的计算方法为：</w:t>
      </w:r>
      <w:r>
        <w:rPr>
          <w:rFonts w:ascii="宋体" w:hAnsi="宋体" w:eastAsia="宋体" w:cs="宋体"/>
          <w:sz w:val="20"/>
          <w:szCs w:val="20"/>
          <w:u w:val="single" w:color="auto"/>
        </w:rPr>
        <w:t xml:space="preserve">                                                    </w:t>
      </w:r>
    </w:p>
    <w:p w14:paraId="4C914392">
      <w:pPr>
        <w:spacing w:line="254" w:lineRule="auto"/>
        <w:rPr>
          <w:rFonts w:ascii="Arial"/>
          <w:sz w:val="21"/>
        </w:rPr>
      </w:pPr>
    </w:p>
    <w:p w14:paraId="31FA37B4">
      <w:pPr>
        <w:tabs>
          <w:tab w:val="left" w:pos="8180"/>
        </w:tabs>
        <w:spacing w:before="24"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3EF3BDB">
      <w:pPr>
        <w:spacing w:before="189" w:line="227" w:lineRule="auto"/>
        <w:ind w:left="430"/>
        <w:rPr>
          <w:rFonts w:ascii="宋体" w:hAnsi="宋体" w:eastAsia="宋体" w:cs="宋体"/>
          <w:sz w:val="20"/>
          <w:szCs w:val="20"/>
        </w:rPr>
      </w:pPr>
      <w:r>
        <w:rPr>
          <w:rFonts w:ascii="宋体" w:hAnsi="宋体" w:eastAsia="宋体" w:cs="宋体"/>
          <w:spacing w:val="6"/>
          <w:sz w:val="20"/>
          <w:szCs w:val="20"/>
        </w:rPr>
        <w:t>（4）进度付款涉及政府性资金的支付方法：</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079BAC1">
      <w:pPr>
        <w:pStyle w:val="2"/>
        <w:spacing w:before="169" w:line="231" w:lineRule="auto"/>
        <w:ind w:left="430"/>
        <w:rPr>
          <w:sz w:val="20"/>
          <w:szCs w:val="20"/>
        </w:rPr>
      </w:pPr>
      <w:r>
        <w:rPr>
          <w:spacing w:val="4"/>
          <w:sz w:val="20"/>
          <w:szCs w:val="20"/>
        </w:rPr>
        <w:t>17.3.5</w:t>
      </w:r>
      <w:r>
        <w:rPr>
          <w:spacing w:val="-29"/>
          <w:sz w:val="20"/>
          <w:szCs w:val="20"/>
        </w:rPr>
        <w:t xml:space="preserve"> </w:t>
      </w:r>
      <w:r>
        <w:rPr>
          <w:spacing w:val="4"/>
          <w:sz w:val="20"/>
          <w:szCs w:val="20"/>
        </w:rPr>
        <w:t>临时付款证书</w:t>
      </w:r>
    </w:p>
    <w:p w14:paraId="7A1C81C5">
      <w:pPr>
        <w:spacing w:before="146" w:line="360" w:lineRule="auto"/>
        <w:ind w:right="1" w:firstLine="418"/>
        <w:rPr>
          <w:rFonts w:ascii="宋体" w:hAnsi="宋体" w:eastAsia="宋体" w:cs="宋体"/>
          <w:sz w:val="20"/>
          <w:szCs w:val="20"/>
        </w:rPr>
      </w:pPr>
      <w:r>
        <w:rPr>
          <w:rFonts w:ascii="宋体" w:hAnsi="宋体" w:eastAsia="宋体" w:cs="宋体"/>
          <w:spacing w:val="10"/>
          <w:sz w:val="20"/>
          <w:szCs w:val="20"/>
        </w:rPr>
        <w:t>在合同约定的期限内，承包人和监理人无法对当期已完工程量和按合同</w:t>
      </w:r>
      <w:r>
        <w:rPr>
          <w:rFonts w:ascii="宋体" w:hAnsi="宋体" w:eastAsia="宋体" w:cs="宋体"/>
          <w:spacing w:val="9"/>
          <w:sz w:val="20"/>
          <w:szCs w:val="20"/>
        </w:rPr>
        <w:t>约定应当支付的其他</w:t>
      </w:r>
      <w:r>
        <w:rPr>
          <w:rFonts w:ascii="宋体" w:hAnsi="宋体" w:eastAsia="宋体" w:cs="宋体"/>
          <w:spacing w:val="6"/>
          <w:sz w:val="20"/>
          <w:szCs w:val="20"/>
        </w:rPr>
        <w:t>款项达成一致的，监理人应当在收到承包人报送的进度付款申请单等文件后</w:t>
      </w:r>
      <w:r>
        <w:rPr>
          <w:rFonts w:ascii="宋体" w:hAnsi="宋体" w:eastAsia="宋体" w:cs="宋体"/>
          <w:spacing w:val="-15"/>
          <w:sz w:val="20"/>
          <w:szCs w:val="20"/>
        </w:rPr>
        <w:t xml:space="preserve"> </w:t>
      </w:r>
      <w:r>
        <w:rPr>
          <w:rFonts w:ascii="宋体" w:hAnsi="宋体" w:eastAsia="宋体" w:cs="宋体"/>
          <w:spacing w:val="6"/>
          <w:sz w:val="20"/>
          <w:szCs w:val="20"/>
        </w:rPr>
        <w:t>14</w:t>
      </w:r>
      <w:r>
        <w:rPr>
          <w:rFonts w:ascii="宋体" w:hAnsi="宋体" w:eastAsia="宋体" w:cs="宋体"/>
          <w:spacing w:val="-33"/>
          <w:sz w:val="20"/>
          <w:szCs w:val="20"/>
        </w:rPr>
        <w:t xml:space="preserve"> </w:t>
      </w:r>
      <w:r>
        <w:rPr>
          <w:rFonts w:ascii="宋体" w:hAnsi="宋体" w:eastAsia="宋体" w:cs="宋体"/>
          <w:spacing w:val="6"/>
          <w:sz w:val="20"/>
          <w:szCs w:val="20"/>
        </w:rPr>
        <w:t>天内，就承包人没</w:t>
      </w:r>
      <w:r>
        <w:rPr>
          <w:rFonts w:ascii="宋体" w:hAnsi="宋体" w:eastAsia="宋体" w:cs="宋体"/>
          <w:spacing w:val="10"/>
          <w:sz w:val="20"/>
          <w:szCs w:val="20"/>
        </w:rPr>
        <w:t>有异议的金额准备一个临时付款证书，报送发包人审查。临时付款证书</w:t>
      </w:r>
      <w:r>
        <w:rPr>
          <w:rFonts w:ascii="宋体" w:hAnsi="宋体" w:eastAsia="宋体" w:cs="宋体"/>
          <w:spacing w:val="9"/>
          <w:sz w:val="20"/>
          <w:szCs w:val="20"/>
        </w:rPr>
        <w:t>中应当说明承包人有异议</w:t>
      </w:r>
      <w:r>
        <w:rPr>
          <w:rFonts w:ascii="宋体" w:hAnsi="宋体" w:eastAsia="宋体" w:cs="宋体"/>
          <w:spacing w:val="10"/>
          <w:sz w:val="20"/>
          <w:szCs w:val="20"/>
        </w:rPr>
        <w:t>部分的金额及其原因，经发包人签认后，由监理人向承包人出具临时付</w:t>
      </w:r>
      <w:r>
        <w:rPr>
          <w:rFonts w:ascii="宋体" w:hAnsi="宋体" w:eastAsia="宋体" w:cs="宋体"/>
          <w:spacing w:val="9"/>
          <w:sz w:val="20"/>
          <w:szCs w:val="20"/>
        </w:rPr>
        <w:t>款证书。发包人应当在监</w:t>
      </w:r>
      <w:r>
        <w:rPr>
          <w:rFonts w:ascii="宋体" w:hAnsi="宋体" w:eastAsia="宋体" w:cs="宋体"/>
          <w:spacing w:val="7"/>
          <w:sz w:val="20"/>
          <w:szCs w:val="20"/>
        </w:rPr>
        <w:t>理人收到进度付款申请单后</w:t>
      </w:r>
      <w:r>
        <w:rPr>
          <w:rFonts w:ascii="宋体" w:hAnsi="宋体" w:eastAsia="宋体" w:cs="宋体"/>
          <w:spacing w:val="-35"/>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天内，将临时</w:t>
      </w:r>
      <w:r>
        <w:rPr>
          <w:rFonts w:ascii="宋体" w:hAnsi="宋体" w:eastAsia="宋体" w:cs="宋体"/>
          <w:spacing w:val="6"/>
          <w:sz w:val="20"/>
          <w:szCs w:val="20"/>
        </w:rPr>
        <w:t>付款证书中确定的应付金额支付给承包人。发包人和</w:t>
      </w:r>
      <w:r>
        <w:rPr>
          <w:rFonts w:ascii="宋体" w:hAnsi="宋体" w:eastAsia="宋体" w:cs="宋体"/>
          <w:spacing w:val="9"/>
          <w:sz w:val="20"/>
          <w:szCs w:val="20"/>
        </w:rPr>
        <w:t>监理人均不得以任何理由延期支付工程进度付款。</w:t>
      </w:r>
    </w:p>
    <w:p w14:paraId="11AF9865">
      <w:pPr>
        <w:spacing w:before="2" w:line="360" w:lineRule="auto"/>
        <w:ind w:right="1" w:firstLine="419"/>
        <w:jc w:val="both"/>
        <w:rPr>
          <w:rFonts w:ascii="宋体" w:hAnsi="宋体" w:eastAsia="宋体" w:cs="宋体"/>
          <w:sz w:val="20"/>
          <w:szCs w:val="20"/>
        </w:rPr>
      </w:pPr>
      <w:r>
        <w:rPr>
          <w:rFonts w:ascii="宋体" w:hAnsi="宋体" w:eastAsia="宋体" w:cs="宋体"/>
          <w:spacing w:val="10"/>
          <w:sz w:val="20"/>
          <w:szCs w:val="20"/>
        </w:rPr>
        <w:t>对临时付款证书中列明的承包人有异议部分的金额，承包人应当按照监</w:t>
      </w:r>
      <w:r>
        <w:rPr>
          <w:rFonts w:ascii="宋体" w:hAnsi="宋体" w:eastAsia="宋体" w:cs="宋体"/>
          <w:spacing w:val="9"/>
          <w:sz w:val="20"/>
          <w:szCs w:val="20"/>
        </w:rPr>
        <w:t>理人要求，提交进一</w:t>
      </w:r>
      <w:r>
        <w:rPr>
          <w:rFonts w:ascii="宋体" w:hAnsi="宋体" w:eastAsia="宋体" w:cs="宋体"/>
          <w:spacing w:val="10"/>
          <w:sz w:val="20"/>
          <w:szCs w:val="20"/>
        </w:rPr>
        <w:t>步的支持性文件和（或）与监理人做进一步共同复核工作，经监理人</w:t>
      </w:r>
      <w:r>
        <w:rPr>
          <w:rFonts w:ascii="宋体" w:hAnsi="宋体" w:eastAsia="宋体" w:cs="宋体"/>
          <w:spacing w:val="9"/>
          <w:sz w:val="20"/>
          <w:szCs w:val="20"/>
        </w:rPr>
        <w:t>进一步审核并认可的应付金</w:t>
      </w:r>
      <w:r>
        <w:rPr>
          <w:rFonts w:ascii="宋体" w:hAnsi="宋体" w:eastAsia="宋体" w:cs="宋体"/>
          <w:spacing w:val="6"/>
          <w:sz w:val="20"/>
          <w:szCs w:val="20"/>
        </w:rPr>
        <w:t>额，应当按通用合同条款第</w:t>
      </w:r>
      <w:r>
        <w:rPr>
          <w:rFonts w:ascii="宋体" w:hAnsi="宋体" w:eastAsia="宋体" w:cs="宋体"/>
          <w:spacing w:val="-21"/>
          <w:sz w:val="20"/>
          <w:szCs w:val="20"/>
        </w:rPr>
        <w:t xml:space="preserve"> </w:t>
      </w:r>
      <w:r>
        <w:rPr>
          <w:rFonts w:ascii="宋体" w:hAnsi="宋体" w:eastAsia="宋体" w:cs="宋体"/>
          <w:spacing w:val="6"/>
          <w:sz w:val="20"/>
          <w:szCs w:val="20"/>
        </w:rPr>
        <w:t>17.3.4</w:t>
      </w:r>
      <w:r>
        <w:rPr>
          <w:rFonts w:ascii="宋体" w:hAnsi="宋体" w:eastAsia="宋体" w:cs="宋体"/>
          <w:spacing w:val="-34"/>
          <w:sz w:val="20"/>
          <w:szCs w:val="20"/>
        </w:rPr>
        <w:t xml:space="preserve"> </w:t>
      </w:r>
      <w:r>
        <w:rPr>
          <w:rFonts w:ascii="宋体" w:hAnsi="宋体" w:eastAsia="宋体" w:cs="宋体"/>
          <w:spacing w:val="6"/>
          <w:sz w:val="20"/>
          <w:szCs w:val="20"/>
        </w:rPr>
        <w:t>项的约定纳入到下一期进度付款证书中。经过进一步</w:t>
      </w:r>
      <w:r>
        <w:rPr>
          <w:rFonts w:ascii="宋体" w:hAnsi="宋体" w:eastAsia="宋体" w:cs="宋体"/>
          <w:spacing w:val="5"/>
          <w:sz w:val="20"/>
          <w:szCs w:val="20"/>
        </w:rPr>
        <w:t>努力，承</w:t>
      </w:r>
    </w:p>
    <w:p w14:paraId="76F65D7B">
      <w:pPr>
        <w:spacing w:line="360" w:lineRule="auto"/>
        <w:rPr>
          <w:rFonts w:ascii="宋体" w:hAnsi="宋体" w:eastAsia="宋体" w:cs="宋体"/>
          <w:sz w:val="20"/>
          <w:szCs w:val="20"/>
        </w:rPr>
        <w:sectPr>
          <w:footerReference r:id="rId213" w:type="default"/>
          <w:pgSz w:w="11906" w:h="16839"/>
          <w:pgMar w:top="400" w:right="1553" w:bottom="1038" w:left="1539" w:header="0" w:footer="787" w:gutter="0"/>
          <w:cols w:space="720" w:num="1"/>
        </w:sectPr>
      </w:pPr>
    </w:p>
    <w:p w14:paraId="6D9AD7C7">
      <w:pPr>
        <w:spacing w:line="269" w:lineRule="auto"/>
        <w:rPr>
          <w:rFonts w:ascii="Arial"/>
          <w:sz w:val="21"/>
        </w:rPr>
      </w:pPr>
    </w:p>
    <w:p w14:paraId="3DF5A569">
      <w:pPr>
        <w:spacing w:line="269" w:lineRule="auto"/>
        <w:rPr>
          <w:rFonts w:ascii="Arial"/>
          <w:sz w:val="21"/>
        </w:rPr>
      </w:pPr>
    </w:p>
    <w:p w14:paraId="49BD5E1C">
      <w:pPr>
        <w:spacing w:line="269" w:lineRule="auto"/>
        <w:rPr>
          <w:rFonts w:ascii="Arial"/>
          <w:sz w:val="21"/>
        </w:rPr>
      </w:pPr>
    </w:p>
    <w:p w14:paraId="7C2C3013">
      <w:pPr>
        <w:spacing w:line="270" w:lineRule="auto"/>
        <w:rPr>
          <w:rFonts w:ascii="Arial"/>
          <w:sz w:val="21"/>
        </w:rPr>
      </w:pPr>
    </w:p>
    <w:p w14:paraId="1AB028C7">
      <w:pPr>
        <w:spacing w:before="65" w:line="228" w:lineRule="auto"/>
        <w:ind w:left="8"/>
        <w:rPr>
          <w:rFonts w:ascii="宋体" w:hAnsi="宋体" w:eastAsia="宋体" w:cs="宋体"/>
          <w:sz w:val="20"/>
          <w:szCs w:val="20"/>
        </w:rPr>
      </w:pPr>
      <w:r>
        <w:rPr>
          <w:rFonts w:ascii="宋体" w:hAnsi="宋体" w:eastAsia="宋体" w:cs="宋体"/>
          <w:spacing w:val="7"/>
          <w:sz w:val="20"/>
          <w:szCs w:val="20"/>
        </w:rPr>
        <w:t>包人仍有异议的，按合同条款第</w:t>
      </w:r>
      <w:r>
        <w:rPr>
          <w:rFonts w:ascii="宋体" w:hAnsi="宋体" w:eastAsia="宋体" w:cs="宋体"/>
          <w:spacing w:val="-20"/>
          <w:sz w:val="20"/>
          <w:szCs w:val="20"/>
        </w:rPr>
        <w:t xml:space="preserve"> </w:t>
      </w:r>
      <w:r>
        <w:rPr>
          <w:rFonts w:ascii="宋体" w:hAnsi="宋体" w:eastAsia="宋体" w:cs="宋体"/>
          <w:spacing w:val="7"/>
          <w:sz w:val="20"/>
          <w:szCs w:val="20"/>
        </w:rPr>
        <w:t>24</w:t>
      </w:r>
      <w:r>
        <w:rPr>
          <w:rFonts w:ascii="宋体" w:hAnsi="宋体" w:eastAsia="宋体" w:cs="宋体"/>
          <w:spacing w:val="-38"/>
          <w:sz w:val="20"/>
          <w:szCs w:val="20"/>
        </w:rPr>
        <w:t xml:space="preserve"> </w:t>
      </w:r>
      <w:r>
        <w:rPr>
          <w:rFonts w:ascii="宋体" w:hAnsi="宋体" w:eastAsia="宋体" w:cs="宋体"/>
          <w:spacing w:val="7"/>
          <w:sz w:val="20"/>
          <w:szCs w:val="20"/>
        </w:rPr>
        <w:t>条的约定办理。</w:t>
      </w:r>
    </w:p>
    <w:p w14:paraId="58319F15">
      <w:pPr>
        <w:spacing w:before="145" w:line="354" w:lineRule="auto"/>
        <w:ind w:left="8" w:right="87" w:firstLine="420"/>
        <w:jc w:val="both"/>
        <w:rPr>
          <w:rFonts w:ascii="宋体" w:hAnsi="宋体" w:eastAsia="宋体" w:cs="宋体"/>
          <w:sz w:val="20"/>
          <w:szCs w:val="20"/>
        </w:rPr>
      </w:pPr>
      <w:r>
        <w:rPr>
          <w:rFonts w:ascii="宋体" w:hAnsi="宋体" w:eastAsia="宋体" w:cs="宋体"/>
          <w:spacing w:val="11"/>
          <w:sz w:val="20"/>
          <w:szCs w:val="20"/>
        </w:rPr>
        <w:t>有异议款项中经监理人进一步审核后认可的或者经过合同条款第</w:t>
      </w:r>
      <w:r>
        <w:rPr>
          <w:rFonts w:ascii="宋体" w:hAnsi="宋体" w:eastAsia="宋体" w:cs="宋体"/>
          <w:spacing w:val="-16"/>
          <w:sz w:val="20"/>
          <w:szCs w:val="20"/>
        </w:rPr>
        <w:t xml:space="preserve"> </w:t>
      </w:r>
      <w:r>
        <w:rPr>
          <w:rFonts w:ascii="宋体" w:hAnsi="宋体" w:eastAsia="宋体" w:cs="宋体"/>
          <w:spacing w:val="11"/>
          <w:sz w:val="20"/>
          <w:szCs w:val="20"/>
        </w:rPr>
        <w:t>24</w:t>
      </w:r>
      <w:r>
        <w:rPr>
          <w:rFonts w:ascii="宋体" w:hAnsi="宋体" w:eastAsia="宋体" w:cs="宋体"/>
          <w:spacing w:val="-37"/>
          <w:sz w:val="20"/>
          <w:szCs w:val="20"/>
        </w:rPr>
        <w:t xml:space="preserve"> </w:t>
      </w:r>
      <w:r>
        <w:rPr>
          <w:rFonts w:ascii="宋体" w:hAnsi="宋体" w:eastAsia="宋体" w:cs="宋体"/>
          <w:spacing w:val="11"/>
          <w:sz w:val="20"/>
          <w:szCs w:val="20"/>
        </w:rPr>
        <w:t>条约定的争议解决方式</w:t>
      </w:r>
      <w:r>
        <w:rPr>
          <w:rFonts w:ascii="宋体" w:hAnsi="宋体" w:eastAsia="宋体" w:cs="宋体"/>
          <w:spacing w:val="10"/>
          <w:sz w:val="20"/>
          <w:szCs w:val="20"/>
        </w:rPr>
        <w:t>确定的应付金额，其应付之日为引发异议的进度付款证书的应付之日，承</w:t>
      </w:r>
      <w:r>
        <w:rPr>
          <w:rFonts w:ascii="宋体" w:hAnsi="宋体" w:eastAsia="宋体" w:cs="宋体"/>
          <w:spacing w:val="9"/>
          <w:sz w:val="20"/>
          <w:szCs w:val="20"/>
        </w:rPr>
        <w:t>包人有权得到按专用合</w:t>
      </w:r>
      <w:r>
        <w:rPr>
          <w:rFonts w:ascii="宋体" w:hAnsi="宋体" w:eastAsia="宋体" w:cs="宋体"/>
          <w:spacing w:val="4"/>
          <w:sz w:val="20"/>
          <w:szCs w:val="20"/>
        </w:rPr>
        <w:t>同条款</w:t>
      </w:r>
      <w:r>
        <w:rPr>
          <w:rFonts w:ascii="宋体" w:hAnsi="宋体" w:eastAsia="宋体" w:cs="宋体"/>
          <w:spacing w:val="-7"/>
          <w:sz w:val="20"/>
          <w:szCs w:val="20"/>
        </w:rPr>
        <w:t xml:space="preserve"> </w:t>
      </w:r>
      <w:r>
        <w:rPr>
          <w:rFonts w:ascii="宋体" w:hAnsi="宋体" w:eastAsia="宋体" w:cs="宋体"/>
          <w:spacing w:val="4"/>
          <w:sz w:val="20"/>
          <w:szCs w:val="20"/>
        </w:rPr>
        <w:t>17.3.3（2）</w:t>
      </w:r>
      <w:r>
        <w:rPr>
          <w:rFonts w:ascii="宋体" w:hAnsi="宋体" w:eastAsia="宋体" w:cs="宋体"/>
          <w:spacing w:val="-42"/>
          <w:sz w:val="20"/>
          <w:szCs w:val="20"/>
        </w:rPr>
        <w:t xml:space="preserve"> </w:t>
      </w:r>
      <w:r>
        <w:rPr>
          <w:rFonts w:ascii="宋体" w:hAnsi="宋体" w:eastAsia="宋体" w:cs="宋体"/>
          <w:spacing w:val="4"/>
          <w:sz w:val="20"/>
          <w:szCs w:val="20"/>
        </w:rPr>
        <w:t>目约定计算的逾期付款违约金。</w:t>
      </w:r>
    </w:p>
    <w:p w14:paraId="16E9F9CE">
      <w:pPr>
        <w:pStyle w:val="2"/>
        <w:spacing w:line="222" w:lineRule="auto"/>
        <w:ind w:left="28"/>
        <w:rPr>
          <w:sz w:val="24"/>
          <w:szCs w:val="24"/>
        </w:rPr>
      </w:pPr>
      <w:r>
        <w:rPr>
          <w:rFonts w:ascii="Times New Roman" w:hAnsi="Times New Roman" w:eastAsia="Times New Roman" w:cs="Times New Roman"/>
          <w:spacing w:val="-3"/>
          <w:sz w:val="24"/>
          <w:szCs w:val="24"/>
        </w:rPr>
        <w:t xml:space="preserve">17.4 </w:t>
      </w:r>
      <w:r>
        <w:rPr>
          <w:spacing w:val="-3"/>
          <w:sz w:val="24"/>
          <w:szCs w:val="24"/>
        </w:rPr>
        <w:t>质量保证金</w:t>
      </w:r>
    </w:p>
    <w:p w14:paraId="7825A644">
      <w:pPr>
        <w:spacing w:before="131" w:line="357" w:lineRule="auto"/>
        <w:ind w:left="8" w:right="87" w:firstLine="435"/>
        <w:jc w:val="both"/>
        <w:rPr>
          <w:rFonts w:ascii="宋体" w:hAnsi="宋体" w:eastAsia="宋体" w:cs="宋体"/>
          <w:sz w:val="20"/>
          <w:szCs w:val="20"/>
        </w:rPr>
      </w:pPr>
      <w:r>
        <w:rPr>
          <w:rFonts w:ascii="宋体" w:hAnsi="宋体" w:eastAsia="宋体" w:cs="宋体"/>
          <w:spacing w:val="12"/>
          <w:sz w:val="20"/>
          <w:szCs w:val="20"/>
        </w:rPr>
        <w:t>17.4.1</w:t>
      </w:r>
      <w:r>
        <w:rPr>
          <w:rFonts w:ascii="宋体" w:hAnsi="宋体" w:eastAsia="宋体" w:cs="宋体"/>
          <w:spacing w:val="-29"/>
          <w:sz w:val="20"/>
          <w:szCs w:val="20"/>
        </w:rPr>
        <w:t xml:space="preserve"> </w:t>
      </w:r>
      <w:r>
        <w:rPr>
          <w:rFonts w:ascii="宋体" w:hAnsi="宋体" w:eastAsia="宋体" w:cs="宋体"/>
          <w:spacing w:val="12"/>
          <w:sz w:val="20"/>
          <w:szCs w:val="20"/>
        </w:rPr>
        <w:t>质量保证金由监理人从第一个付款周期开始按进度付款证书确认的已实施工程的价</w:t>
      </w:r>
      <w:r>
        <w:rPr>
          <w:rFonts w:ascii="宋体" w:hAnsi="宋体" w:eastAsia="宋体" w:cs="宋体"/>
          <w:spacing w:val="8"/>
          <w:sz w:val="20"/>
          <w:szCs w:val="20"/>
        </w:rPr>
        <w:t>款、根据合同条款第</w:t>
      </w:r>
      <w:r>
        <w:rPr>
          <w:rFonts w:ascii="宋体" w:hAnsi="宋体" w:eastAsia="宋体" w:cs="宋体"/>
          <w:spacing w:val="-24"/>
          <w:sz w:val="20"/>
          <w:szCs w:val="20"/>
        </w:rPr>
        <w:t xml:space="preserve"> </w:t>
      </w:r>
      <w:r>
        <w:rPr>
          <w:rFonts w:ascii="宋体" w:hAnsi="宋体" w:eastAsia="宋体" w:cs="宋体"/>
          <w:spacing w:val="8"/>
          <w:sz w:val="20"/>
          <w:szCs w:val="20"/>
        </w:rPr>
        <w:t>15</w:t>
      </w:r>
      <w:r>
        <w:rPr>
          <w:rFonts w:ascii="宋体" w:hAnsi="宋体" w:eastAsia="宋体" w:cs="宋体"/>
          <w:spacing w:val="-37"/>
          <w:sz w:val="20"/>
          <w:szCs w:val="20"/>
        </w:rPr>
        <w:t xml:space="preserve"> </w:t>
      </w:r>
      <w:r>
        <w:rPr>
          <w:rFonts w:ascii="宋体" w:hAnsi="宋体" w:eastAsia="宋体" w:cs="宋体"/>
          <w:spacing w:val="8"/>
          <w:sz w:val="20"/>
          <w:szCs w:val="20"/>
        </w:rPr>
        <w:t>条增加和扣减的变更金额、根据合同条款第</w:t>
      </w:r>
      <w:r>
        <w:rPr>
          <w:rFonts w:ascii="宋体" w:hAnsi="宋体" w:eastAsia="宋体" w:cs="宋体"/>
          <w:spacing w:val="-36"/>
          <w:sz w:val="20"/>
          <w:szCs w:val="20"/>
        </w:rPr>
        <w:t xml:space="preserve"> </w:t>
      </w:r>
      <w:r>
        <w:rPr>
          <w:rFonts w:ascii="宋体" w:hAnsi="宋体" w:eastAsia="宋体" w:cs="宋体"/>
          <w:spacing w:val="8"/>
          <w:sz w:val="20"/>
          <w:szCs w:val="20"/>
        </w:rPr>
        <w:t>23</w:t>
      </w:r>
      <w:r>
        <w:rPr>
          <w:rFonts w:ascii="宋体" w:hAnsi="宋体" w:eastAsia="宋体" w:cs="宋体"/>
          <w:spacing w:val="-39"/>
          <w:sz w:val="20"/>
          <w:szCs w:val="20"/>
        </w:rPr>
        <w:t xml:space="preserve"> </w:t>
      </w:r>
      <w:r>
        <w:rPr>
          <w:rFonts w:ascii="宋体" w:hAnsi="宋体" w:eastAsia="宋体" w:cs="宋体"/>
          <w:spacing w:val="8"/>
          <w:sz w:val="20"/>
          <w:szCs w:val="20"/>
        </w:rPr>
        <w:t>条增加和扣减的索赔金额</w:t>
      </w:r>
      <w:r>
        <w:rPr>
          <w:rFonts w:ascii="宋体" w:hAnsi="宋体" w:eastAsia="宋体" w:cs="宋体"/>
          <w:spacing w:val="6"/>
          <w:sz w:val="20"/>
          <w:szCs w:val="20"/>
        </w:rPr>
        <w:t>以及根据合同应增加和扣减的其他金额（不包括预付款的支付、返还、合同条款第</w:t>
      </w:r>
      <w:r>
        <w:rPr>
          <w:rFonts w:ascii="宋体" w:hAnsi="宋体" w:eastAsia="宋体" w:cs="宋体"/>
          <w:spacing w:val="-11"/>
          <w:sz w:val="20"/>
          <w:szCs w:val="20"/>
        </w:rPr>
        <w:t xml:space="preserve"> </w:t>
      </w:r>
      <w:r>
        <w:rPr>
          <w:rFonts w:ascii="宋体" w:hAnsi="宋体" w:eastAsia="宋体" w:cs="宋体"/>
          <w:spacing w:val="6"/>
          <w:sz w:val="20"/>
          <w:szCs w:val="20"/>
        </w:rPr>
        <w:t>16</w:t>
      </w:r>
      <w:r>
        <w:rPr>
          <w:rFonts w:ascii="宋体" w:hAnsi="宋体" w:eastAsia="宋体" w:cs="宋体"/>
          <w:spacing w:val="-36"/>
          <w:sz w:val="20"/>
          <w:szCs w:val="20"/>
        </w:rPr>
        <w:t xml:space="preserve"> </w:t>
      </w:r>
      <w:r>
        <w:rPr>
          <w:rFonts w:ascii="宋体" w:hAnsi="宋体" w:eastAsia="宋体" w:cs="宋体"/>
          <w:spacing w:val="6"/>
          <w:sz w:val="20"/>
          <w:szCs w:val="20"/>
        </w:rPr>
        <w:t>条约定的价</w:t>
      </w:r>
      <w:r>
        <w:rPr>
          <w:rFonts w:ascii="宋体" w:hAnsi="宋体" w:eastAsia="宋体" w:cs="宋体"/>
          <w:spacing w:val="10"/>
          <w:sz w:val="20"/>
          <w:szCs w:val="20"/>
        </w:rPr>
        <w:t>格调整金额、此前已经按合同约定支付给承包人的进度款以及已经扣留的质</w:t>
      </w:r>
      <w:r>
        <w:rPr>
          <w:rFonts w:ascii="宋体" w:hAnsi="宋体" w:eastAsia="宋体" w:cs="宋体"/>
          <w:spacing w:val="9"/>
          <w:sz w:val="20"/>
          <w:szCs w:val="20"/>
        </w:rPr>
        <w:t>量保证金）的总额的</w:t>
      </w:r>
      <w:r>
        <w:rPr>
          <w:rFonts w:ascii="宋体" w:hAnsi="宋体" w:eastAsia="宋体" w:cs="宋体"/>
          <w:spacing w:val="15"/>
          <w:sz w:val="20"/>
          <w:szCs w:val="20"/>
        </w:rPr>
        <w:t>百分之一点五（</w:t>
      </w:r>
      <w:r>
        <w:rPr>
          <w:rFonts w:ascii="宋体" w:hAnsi="宋体" w:eastAsia="宋体" w:cs="宋体"/>
          <w:spacing w:val="-36"/>
          <w:sz w:val="20"/>
          <w:szCs w:val="20"/>
        </w:rPr>
        <w:t xml:space="preserve"> </w:t>
      </w:r>
      <w:r>
        <w:rPr>
          <w:rFonts w:ascii="宋体" w:hAnsi="宋体" w:eastAsia="宋体" w:cs="宋体"/>
          <w:spacing w:val="15"/>
          <w:sz w:val="20"/>
          <w:szCs w:val="20"/>
        </w:rPr>
        <w:t>1.5</w:t>
      </w:r>
      <w:r>
        <w:rPr>
          <w:rFonts w:ascii="宋体" w:hAnsi="宋体" w:eastAsia="宋体" w:cs="宋体"/>
          <w:spacing w:val="-7"/>
          <w:sz w:val="20"/>
          <w:szCs w:val="20"/>
        </w:rPr>
        <w:t>％</w:t>
      </w:r>
      <w:r>
        <w:rPr>
          <w:rFonts w:ascii="宋体" w:hAnsi="宋体" w:eastAsia="宋体" w:cs="宋体"/>
          <w:spacing w:val="-32"/>
          <w:sz w:val="20"/>
          <w:szCs w:val="20"/>
        </w:rPr>
        <w:t xml:space="preserve"> </w:t>
      </w:r>
      <w:r>
        <w:rPr>
          <w:rFonts w:ascii="宋体" w:hAnsi="宋体" w:eastAsia="宋体" w:cs="宋体"/>
          <w:spacing w:val="-7"/>
          <w:sz w:val="20"/>
          <w:szCs w:val="20"/>
        </w:rPr>
        <w:t>）</w:t>
      </w:r>
      <w:r>
        <w:rPr>
          <w:rFonts w:ascii="宋体" w:hAnsi="宋体" w:eastAsia="宋体" w:cs="宋体"/>
          <w:spacing w:val="15"/>
          <w:sz w:val="20"/>
          <w:szCs w:val="20"/>
        </w:rPr>
        <w:t>扣留，直至质量保证金累计扣留金额达到签约</w:t>
      </w:r>
      <w:r>
        <w:rPr>
          <w:rFonts w:ascii="宋体" w:hAnsi="宋体" w:eastAsia="宋体" w:cs="宋体"/>
          <w:spacing w:val="14"/>
          <w:sz w:val="20"/>
          <w:szCs w:val="20"/>
        </w:rPr>
        <w:t>合同价的百分之一点五</w:t>
      </w:r>
      <w:r>
        <w:rPr>
          <w:rFonts w:ascii="宋体" w:hAnsi="宋体" w:eastAsia="宋体" w:cs="宋体"/>
          <w:spacing w:val="3"/>
          <w:sz w:val="20"/>
          <w:szCs w:val="20"/>
        </w:rPr>
        <w:t>（1.5</w:t>
      </w:r>
      <w:r>
        <w:rPr>
          <w:rFonts w:ascii="宋体" w:hAnsi="宋体" w:eastAsia="宋体" w:cs="宋体"/>
          <w:spacing w:val="-9"/>
          <w:sz w:val="20"/>
          <w:szCs w:val="20"/>
        </w:rPr>
        <w:t>％）</w:t>
      </w:r>
      <w:r>
        <w:rPr>
          <w:rFonts w:ascii="宋体" w:hAnsi="宋体" w:eastAsia="宋体" w:cs="宋体"/>
          <w:spacing w:val="-49"/>
          <w:sz w:val="20"/>
          <w:szCs w:val="20"/>
        </w:rPr>
        <w:t xml:space="preserve"> </w:t>
      </w:r>
      <w:r>
        <w:rPr>
          <w:rFonts w:ascii="宋体" w:hAnsi="宋体" w:eastAsia="宋体" w:cs="宋体"/>
          <w:spacing w:val="3"/>
          <w:sz w:val="20"/>
          <w:szCs w:val="20"/>
        </w:rPr>
        <w:t>为止。</w:t>
      </w:r>
    </w:p>
    <w:p w14:paraId="37DE5E30">
      <w:pPr>
        <w:pStyle w:val="2"/>
        <w:spacing w:before="1" w:line="220" w:lineRule="auto"/>
        <w:ind w:left="28"/>
        <w:rPr>
          <w:sz w:val="24"/>
          <w:szCs w:val="24"/>
        </w:rPr>
      </w:pPr>
      <w:r>
        <w:rPr>
          <w:rFonts w:ascii="Times New Roman" w:hAnsi="Times New Roman" w:eastAsia="Times New Roman" w:cs="Times New Roman"/>
          <w:spacing w:val="-4"/>
          <w:sz w:val="24"/>
          <w:szCs w:val="24"/>
        </w:rPr>
        <w:t xml:space="preserve">17.5 </w:t>
      </w:r>
      <w:r>
        <w:rPr>
          <w:spacing w:val="-4"/>
          <w:sz w:val="24"/>
          <w:szCs w:val="24"/>
        </w:rPr>
        <w:t>竣工结算</w:t>
      </w:r>
    </w:p>
    <w:p w14:paraId="36BF2C67">
      <w:pPr>
        <w:pStyle w:val="2"/>
        <w:spacing w:before="131" w:line="229" w:lineRule="auto"/>
        <w:ind w:left="438"/>
        <w:rPr>
          <w:sz w:val="20"/>
          <w:szCs w:val="20"/>
        </w:rPr>
      </w:pPr>
      <w:r>
        <w:rPr>
          <w:spacing w:val="5"/>
          <w:sz w:val="20"/>
          <w:szCs w:val="20"/>
        </w:rPr>
        <w:t>17.5.1</w:t>
      </w:r>
      <w:r>
        <w:rPr>
          <w:spacing w:val="-35"/>
          <w:sz w:val="20"/>
          <w:szCs w:val="20"/>
        </w:rPr>
        <w:t xml:space="preserve"> </w:t>
      </w:r>
      <w:r>
        <w:rPr>
          <w:spacing w:val="5"/>
          <w:sz w:val="20"/>
          <w:szCs w:val="20"/>
        </w:rPr>
        <w:t>竣工付款申请单</w:t>
      </w:r>
    </w:p>
    <w:p w14:paraId="1F90420E">
      <w:pPr>
        <w:spacing w:before="140" w:line="228" w:lineRule="auto"/>
        <w:ind w:left="428"/>
        <w:rPr>
          <w:rFonts w:ascii="宋体" w:hAnsi="宋体" w:eastAsia="宋体" w:cs="宋体"/>
          <w:sz w:val="20"/>
          <w:szCs w:val="20"/>
        </w:rPr>
      </w:pPr>
      <w:r>
        <w:rPr>
          <w:rFonts w:ascii="宋体" w:hAnsi="宋体" w:eastAsia="宋体" w:cs="宋体"/>
          <w:spacing w:val="6"/>
          <w:sz w:val="20"/>
          <w:szCs w:val="20"/>
        </w:rPr>
        <w:t>承包人提交竣工付款申请单的份数：</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A6453F2">
      <w:pPr>
        <w:spacing w:before="144" w:line="228" w:lineRule="auto"/>
        <w:ind w:left="428"/>
        <w:rPr>
          <w:rFonts w:ascii="宋体" w:hAnsi="宋体" w:eastAsia="宋体" w:cs="宋体"/>
          <w:sz w:val="20"/>
          <w:szCs w:val="20"/>
        </w:rPr>
      </w:pPr>
      <w:r>
        <w:rPr>
          <w:rFonts w:ascii="宋体" w:hAnsi="宋体" w:eastAsia="宋体" w:cs="宋体"/>
          <w:spacing w:val="6"/>
          <w:sz w:val="20"/>
          <w:szCs w:val="20"/>
        </w:rPr>
        <w:t>承包人提交竣工付款申请单的期限：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66CB325">
      <w:pPr>
        <w:spacing w:before="142" w:line="228" w:lineRule="auto"/>
        <w:ind w:left="429"/>
        <w:rPr>
          <w:rFonts w:ascii="宋体" w:hAnsi="宋体" w:eastAsia="宋体" w:cs="宋体"/>
          <w:sz w:val="20"/>
          <w:szCs w:val="20"/>
        </w:rPr>
      </w:pPr>
      <w:r>
        <w:rPr>
          <w:rFonts w:ascii="宋体" w:hAnsi="宋体" w:eastAsia="宋体" w:cs="宋体"/>
          <w:spacing w:val="6"/>
          <w:sz w:val="20"/>
          <w:szCs w:val="20"/>
        </w:rPr>
        <w:t>竣工付款申请单的内容：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5814710">
      <w:pPr>
        <w:spacing w:before="144" w:line="360" w:lineRule="auto"/>
        <w:ind w:left="10" w:firstLine="418"/>
        <w:rPr>
          <w:rFonts w:ascii="宋体" w:hAnsi="宋体" w:eastAsia="宋体" w:cs="宋体"/>
          <w:sz w:val="20"/>
          <w:szCs w:val="20"/>
        </w:rPr>
      </w:pPr>
      <w:r>
        <w:rPr>
          <w:rFonts w:ascii="宋体" w:hAnsi="宋体" w:eastAsia="宋体" w:cs="宋体"/>
          <w:spacing w:val="7"/>
          <w:sz w:val="20"/>
          <w:szCs w:val="20"/>
        </w:rPr>
        <w:t>承包人未按本项约定的期限和内容提交竣工付款申请单或者未按通用合同条款第</w:t>
      </w:r>
      <w:r>
        <w:rPr>
          <w:rFonts w:ascii="宋体" w:hAnsi="宋体" w:eastAsia="宋体" w:cs="宋体"/>
          <w:spacing w:val="-23"/>
          <w:sz w:val="20"/>
          <w:szCs w:val="20"/>
        </w:rPr>
        <w:t xml:space="preserve"> </w:t>
      </w:r>
      <w:r>
        <w:rPr>
          <w:rFonts w:ascii="宋体" w:hAnsi="宋体" w:eastAsia="宋体" w:cs="宋体"/>
          <w:spacing w:val="7"/>
          <w:sz w:val="20"/>
          <w:szCs w:val="20"/>
        </w:rPr>
        <w:t>17</w:t>
      </w:r>
      <w:r>
        <w:rPr>
          <w:rFonts w:ascii="宋体" w:hAnsi="宋体" w:eastAsia="宋体" w:cs="宋体"/>
          <w:spacing w:val="6"/>
          <w:sz w:val="20"/>
          <w:szCs w:val="20"/>
        </w:rPr>
        <w:t>.5.1（2）目约定提交修正后的竣工付款申请单，经监理人催促后</w:t>
      </w:r>
      <w:r>
        <w:rPr>
          <w:rFonts w:ascii="宋体" w:hAnsi="宋体" w:eastAsia="宋体" w:cs="宋体"/>
          <w:spacing w:val="-13"/>
          <w:sz w:val="20"/>
          <w:szCs w:val="20"/>
        </w:rPr>
        <w:t xml:space="preserve"> </w:t>
      </w:r>
      <w:r>
        <w:rPr>
          <w:rFonts w:ascii="宋体" w:hAnsi="宋体" w:eastAsia="宋体" w:cs="宋体"/>
          <w:spacing w:val="6"/>
          <w:sz w:val="20"/>
          <w:szCs w:val="20"/>
        </w:rPr>
        <w:t>14</w:t>
      </w:r>
      <w:r>
        <w:rPr>
          <w:rFonts w:ascii="宋体" w:hAnsi="宋体" w:eastAsia="宋体" w:cs="宋体"/>
          <w:spacing w:val="-36"/>
          <w:sz w:val="20"/>
          <w:szCs w:val="20"/>
        </w:rPr>
        <w:t xml:space="preserve"> </w:t>
      </w:r>
      <w:r>
        <w:rPr>
          <w:rFonts w:ascii="宋体" w:hAnsi="宋体" w:eastAsia="宋体" w:cs="宋体"/>
          <w:spacing w:val="6"/>
          <w:sz w:val="20"/>
          <w:szCs w:val="20"/>
        </w:rPr>
        <w:t>天内仍未提交或者没有明确答复的，监</w:t>
      </w:r>
      <w:r>
        <w:rPr>
          <w:rFonts w:ascii="宋体" w:hAnsi="宋体" w:eastAsia="宋体" w:cs="宋体"/>
          <w:spacing w:val="10"/>
          <w:sz w:val="20"/>
          <w:szCs w:val="20"/>
        </w:rPr>
        <w:t>理人和发包人有权根据已有资料进行审查，审查确定的竣工结算合同总</w:t>
      </w:r>
      <w:r>
        <w:rPr>
          <w:rFonts w:ascii="宋体" w:hAnsi="宋体" w:eastAsia="宋体" w:cs="宋体"/>
          <w:spacing w:val="9"/>
          <w:sz w:val="20"/>
          <w:szCs w:val="20"/>
        </w:rPr>
        <w:t>价和竣工付款金额视同是经承包人认可的工程竣工结算合同总价和竣工付款金额。</w:t>
      </w:r>
    </w:p>
    <w:p w14:paraId="223C1F00">
      <w:pPr>
        <w:spacing w:line="351" w:lineRule="auto"/>
        <w:ind w:left="8" w:right="89" w:firstLine="423"/>
        <w:rPr>
          <w:rFonts w:ascii="宋体" w:hAnsi="宋体" w:eastAsia="宋体" w:cs="宋体"/>
          <w:sz w:val="20"/>
          <w:szCs w:val="20"/>
        </w:rPr>
      </w:pPr>
      <w:r>
        <w:rPr>
          <w:rFonts w:ascii="宋体" w:hAnsi="宋体" w:eastAsia="宋体" w:cs="宋体"/>
          <w:spacing w:val="6"/>
          <w:sz w:val="20"/>
          <w:szCs w:val="20"/>
        </w:rPr>
        <w:t>不管通用合同条款</w:t>
      </w:r>
      <w:r>
        <w:rPr>
          <w:rFonts w:ascii="宋体" w:hAnsi="宋体" w:eastAsia="宋体" w:cs="宋体"/>
          <w:spacing w:val="-21"/>
          <w:sz w:val="20"/>
          <w:szCs w:val="20"/>
        </w:rPr>
        <w:t xml:space="preserve"> </w:t>
      </w:r>
      <w:r>
        <w:rPr>
          <w:rFonts w:ascii="宋体" w:hAnsi="宋体" w:eastAsia="宋体" w:cs="宋体"/>
          <w:spacing w:val="6"/>
          <w:sz w:val="20"/>
          <w:szCs w:val="20"/>
        </w:rPr>
        <w:t>17.5.2</w:t>
      </w:r>
      <w:r>
        <w:rPr>
          <w:rFonts w:ascii="宋体" w:hAnsi="宋体" w:eastAsia="宋体" w:cs="宋体"/>
          <w:spacing w:val="-37"/>
          <w:sz w:val="20"/>
          <w:szCs w:val="20"/>
        </w:rPr>
        <w:t xml:space="preserve"> </w:t>
      </w:r>
      <w:r>
        <w:rPr>
          <w:rFonts w:ascii="宋体" w:hAnsi="宋体" w:eastAsia="宋体" w:cs="宋体"/>
          <w:spacing w:val="6"/>
          <w:sz w:val="20"/>
          <w:szCs w:val="20"/>
        </w:rPr>
        <w:t>项如何约定，发包人和承包人应</w:t>
      </w:r>
      <w:r>
        <w:rPr>
          <w:rFonts w:ascii="宋体" w:hAnsi="宋体" w:eastAsia="宋体" w:cs="宋体"/>
          <w:spacing w:val="5"/>
          <w:sz w:val="20"/>
          <w:szCs w:val="20"/>
        </w:rPr>
        <w:t>当在监理人颁发（出具）工程接收</w:t>
      </w:r>
      <w:r>
        <w:rPr>
          <w:rFonts w:ascii="宋体" w:hAnsi="宋体" w:eastAsia="宋体" w:cs="宋体"/>
          <w:spacing w:val="7"/>
          <w:sz w:val="20"/>
          <w:szCs w:val="20"/>
        </w:rPr>
        <w:t>证书后</w:t>
      </w:r>
      <w:r>
        <w:rPr>
          <w:rFonts w:ascii="宋体" w:hAnsi="宋体" w:eastAsia="宋体" w:cs="宋体"/>
          <w:spacing w:val="-34"/>
          <w:sz w:val="20"/>
          <w:szCs w:val="20"/>
        </w:rPr>
        <w:t xml:space="preserve"> </w:t>
      </w:r>
      <w:r>
        <w:rPr>
          <w:rFonts w:ascii="宋体" w:hAnsi="宋体" w:eastAsia="宋体" w:cs="宋体"/>
          <w:spacing w:val="7"/>
          <w:sz w:val="20"/>
          <w:szCs w:val="20"/>
        </w:rPr>
        <w:t>56</w:t>
      </w:r>
      <w:r>
        <w:rPr>
          <w:rFonts w:ascii="宋体" w:hAnsi="宋体" w:eastAsia="宋体" w:cs="宋体"/>
          <w:spacing w:val="-34"/>
          <w:sz w:val="20"/>
          <w:szCs w:val="20"/>
        </w:rPr>
        <w:t xml:space="preserve"> </w:t>
      </w:r>
      <w:r>
        <w:rPr>
          <w:rFonts w:ascii="宋体" w:hAnsi="宋体" w:eastAsia="宋体" w:cs="宋体"/>
          <w:spacing w:val="7"/>
          <w:sz w:val="20"/>
          <w:szCs w:val="20"/>
        </w:rPr>
        <w:t>天内办清竣工结算和竣工付款。</w:t>
      </w:r>
    </w:p>
    <w:p w14:paraId="0096F897">
      <w:pPr>
        <w:pStyle w:val="2"/>
        <w:spacing w:line="223" w:lineRule="auto"/>
        <w:ind w:left="28"/>
        <w:rPr>
          <w:sz w:val="24"/>
          <w:szCs w:val="24"/>
        </w:rPr>
      </w:pPr>
      <w:r>
        <w:rPr>
          <w:rFonts w:ascii="Times New Roman" w:hAnsi="Times New Roman" w:eastAsia="Times New Roman" w:cs="Times New Roman"/>
          <w:spacing w:val="-6"/>
          <w:sz w:val="24"/>
          <w:szCs w:val="24"/>
        </w:rPr>
        <w:t>17.6</w:t>
      </w:r>
      <w:r>
        <w:rPr>
          <w:rFonts w:ascii="Times New Roman" w:hAnsi="Times New Roman" w:eastAsia="Times New Roman" w:cs="Times New Roman"/>
          <w:spacing w:val="18"/>
          <w:w w:val="101"/>
          <w:sz w:val="24"/>
          <w:szCs w:val="24"/>
        </w:rPr>
        <w:t xml:space="preserve"> </w:t>
      </w:r>
      <w:r>
        <w:rPr>
          <w:spacing w:val="-6"/>
          <w:sz w:val="24"/>
          <w:szCs w:val="24"/>
        </w:rPr>
        <w:t>最终结清</w:t>
      </w:r>
    </w:p>
    <w:p w14:paraId="7B977047">
      <w:pPr>
        <w:pStyle w:val="2"/>
        <w:spacing w:before="152" w:line="231" w:lineRule="auto"/>
        <w:ind w:left="438"/>
        <w:rPr>
          <w:sz w:val="20"/>
          <w:szCs w:val="20"/>
        </w:rPr>
      </w:pPr>
      <w:r>
        <w:rPr>
          <w:spacing w:val="5"/>
          <w:sz w:val="20"/>
          <w:szCs w:val="20"/>
        </w:rPr>
        <w:t>17.6.1</w:t>
      </w:r>
      <w:r>
        <w:rPr>
          <w:spacing w:val="-35"/>
          <w:sz w:val="20"/>
          <w:szCs w:val="20"/>
        </w:rPr>
        <w:t xml:space="preserve"> </w:t>
      </w:r>
      <w:r>
        <w:rPr>
          <w:spacing w:val="5"/>
          <w:sz w:val="20"/>
          <w:szCs w:val="20"/>
        </w:rPr>
        <w:t>最终结清申请单</w:t>
      </w:r>
    </w:p>
    <w:p w14:paraId="66857338">
      <w:pPr>
        <w:spacing w:before="146" w:line="228" w:lineRule="auto"/>
        <w:ind w:left="428"/>
        <w:rPr>
          <w:rFonts w:ascii="宋体" w:hAnsi="宋体" w:eastAsia="宋体" w:cs="宋体"/>
          <w:sz w:val="20"/>
          <w:szCs w:val="20"/>
        </w:rPr>
      </w:pPr>
      <w:r>
        <w:rPr>
          <w:rFonts w:ascii="宋体" w:hAnsi="宋体" w:eastAsia="宋体" w:cs="宋体"/>
          <w:spacing w:val="6"/>
          <w:sz w:val="20"/>
          <w:szCs w:val="20"/>
        </w:rPr>
        <w:t>承包人提交最终结清申请单的份数：</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1BF29669">
      <w:pPr>
        <w:spacing w:before="144" w:line="228" w:lineRule="auto"/>
        <w:ind w:left="428"/>
        <w:rPr>
          <w:rFonts w:ascii="宋体" w:hAnsi="宋体" w:eastAsia="宋体" w:cs="宋体"/>
          <w:sz w:val="20"/>
          <w:szCs w:val="20"/>
        </w:rPr>
      </w:pPr>
      <w:r>
        <w:rPr>
          <w:rFonts w:ascii="宋体" w:hAnsi="宋体" w:eastAsia="宋体" w:cs="宋体"/>
          <w:spacing w:val="6"/>
          <w:sz w:val="20"/>
          <w:szCs w:val="20"/>
        </w:rPr>
        <w:t>承包人提交最终结清申请单的期限：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575F6022">
      <w:pPr>
        <w:pStyle w:val="2"/>
        <w:spacing w:before="190" w:line="222" w:lineRule="auto"/>
        <w:ind w:left="33"/>
        <w:outlineLvl w:val="2"/>
        <w:rPr>
          <w:sz w:val="28"/>
          <w:szCs w:val="28"/>
        </w:rPr>
      </w:pPr>
      <w:bookmarkStart w:id="255" w:name="bookmark236"/>
      <w:bookmarkEnd w:id="255"/>
      <w:r>
        <w:rPr>
          <w:rFonts w:ascii="Times New Roman" w:hAnsi="Times New Roman" w:eastAsia="Times New Roman" w:cs="Times New Roman"/>
          <w:spacing w:val="-5"/>
          <w:sz w:val="28"/>
          <w:szCs w:val="28"/>
        </w:rPr>
        <w:t>18.</w:t>
      </w:r>
      <w:r>
        <w:rPr>
          <w:spacing w:val="-5"/>
          <w:sz w:val="28"/>
          <w:szCs w:val="28"/>
        </w:rPr>
        <w:t>竣工验收</w:t>
      </w:r>
    </w:p>
    <w:p w14:paraId="3E2369F5">
      <w:pPr>
        <w:pStyle w:val="2"/>
        <w:spacing w:before="97" w:line="221" w:lineRule="auto"/>
        <w:ind w:left="28"/>
        <w:rPr>
          <w:sz w:val="24"/>
          <w:szCs w:val="24"/>
        </w:rPr>
      </w:pPr>
      <w:r>
        <w:rPr>
          <w:rFonts w:ascii="Times New Roman" w:hAnsi="Times New Roman" w:eastAsia="Times New Roman" w:cs="Times New Roman"/>
          <w:spacing w:val="-3"/>
          <w:sz w:val="24"/>
          <w:szCs w:val="24"/>
        </w:rPr>
        <w:t xml:space="preserve">18.2 </w:t>
      </w:r>
      <w:r>
        <w:rPr>
          <w:spacing w:val="-3"/>
          <w:sz w:val="24"/>
          <w:szCs w:val="24"/>
        </w:rPr>
        <w:t>竣工验收申请报告</w:t>
      </w:r>
    </w:p>
    <w:p w14:paraId="402DE9A1">
      <w:pPr>
        <w:spacing w:before="131" w:line="362" w:lineRule="auto"/>
        <w:ind w:left="8" w:right="2" w:firstLine="430"/>
        <w:rPr>
          <w:rFonts w:ascii="宋体" w:hAnsi="宋体" w:eastAsia="宋体" w:cs="宋体"/>
          <w:sz w:val="20"/>
          <w:szCs w:val="20"/>
        </w:rPr>
      </w:pPr>
      <w:r>
        <w:rPr>
          <w:rFonts w:ascii="宋体" w:hAnsi="宋体" w:eastAsia="宋体" w:cs="宋体"/>
          <w:spacing w:val="9"/>
          <w:sz w:val="20"/>
          <w:szCs w:val="20"/>
        </w:rPr>
        <w:t>（2）承包人负责整理和提交的竣工验收资料应当符合工程所在地建设行政主管部门</w:t>
      </w:r>
      <w:r>
        <w:rPr>
          <w:rFonts w:ascii="宋体" w:hAnsi="宋体" w:eastAsia="宋体" w:cs="宋体"/>
          <w:spacing w:val="8"/>
          <w:sz w:val="20"/>
          <w:szCs w:val="20"/>
        </w:rPr>
        <w:t>和（或）</w:t>
      </w:r>
      <w:r>
        <w:rPr>
          <w:rFonts w:ascii="宋体" w:hAnsi="宋体" w:eastAsia="宋体" w:cs="宋体"/>
          <w:spacing w:val="9"/>
          <w:sz w:val="20"/>
          <w:szCs w:val="20"/>
        </w:rPr>
        <w:t>城市建设档案管理机构有关施工资料的要求，具体内容包括：</w:t>
      </w:r>
      <w:r>
        <w:rPr>
          <w:rFonts w:ascii="宋体" w:hAnsi="宋体" w:eastAsia="宋体" w:cs="宋体"/>
          <w:sz w:val="20"/>
          <w:szCs w:val="20"/>
          <w:u w:val="single" w:color="auto"/>
        </w:rPr>
        <w:t xml:space="preserve">                             </w:t>
      </w:r>
    </w:p>
    <w:p w14:paraId="56B0B3D7">
      <w:pPr>
        <w:tabs>
          <w:tab w:val="left" w:pos="8187"/>
        </w:tabs>
        <w:spacing w:before="130"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8E64B5B">
      <w:pPr>
        <w:spacing w:before="191" w:line="228" w:lineRule="auto"/>
        <w:ind w:left="429"/>
        <w:rPr>
          <w:rFonts w:ascii="宋体" w:hAnsi="宋体" w:eastAsia="宋体" w:cs="宋体"/>
          <w:sz w:val="20"/>
          <w:szCs w:val="20"/>
        </w:rPr>
      </w:pPr>
      <w:r>
        <w:rPr>
          <w:rFonts w:ascii="宋体" w:hAnsi="宋体" w:eastAsia="宋体" w:cs="宋体"/>
          <w:spacing w:val="6"/>
          <w:sz w:val="20"/>
          <w:szCs w:val="20"/>
        </w:rPr>
        <w:t>竣工验收资料的份数：</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89CCCED">
      <w:pPr>
        <w:spacing w:before="142" w:line="228" w:lineRule="auto"/>
        <w:ind w:left="429"/>
        <w:rPr>
          <w:rFonts w:ascii="宋体" w:hAnsi="宋体" w:eastAsia="宋体" w:cs="宋体"/>
          <w:sz w:val="20"/>
          <w:szCs w:val="20"/>
        </w:rPr>
      </w:pPr>
      <w:r>
        <w:rPr>
          <w:rFonts w:ascii="宋体" w:hAnsi="宋体" w:eastAsia="宋体" w:cs="宋体"/>
          <w:spacing w:val="6"/>
          <w:sz w:val="20"/>
          <w:szCs w:val="20"/>
        </w:rPr>
        <w:t>竣工验收资料的费用支付方式：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07987A3">
      <w:pPr>
        <w:pStyle w:val="2"/>
        <w:spacing w:before="127" w:line="222" w:lineRule="auto"/>
        <w:ind w:left="28"/>
        <w:rPr>
          <w:sz w:val="24"/>
          <w:szCs w:val="24"/>
        </w:rPr>
      </w:pPr>
      <w:r>
        <w:rPr>
          <w:rFonts w:ascii="Times New Roman" w:hAnsi="Times New Roman" w:eastAsia="Times New Roman" w:cs="Times New Roman"/>
          <w:spacing w:val="-6"/>
          <w:sz w:val="24"/>
          <w:szCs w:val="24"/>
        </w:rPr>
        <w:t>18.3</w:t>
      </w:r>
      <w:r>
        <w:rPr>
          <w:rFonts w:ascii="Times New Roman" w:hAnsi="Times New Roman" w:eastAsia="Times New Roman" w:cs="Times New Roman"/>
          <w:spacing w:val="7"/>
          <w:sz w:val="24"/>
          <w:szCs w:val="24"/>
        </w:rPr>
        <w:t xml:space="preserve"> </w:t>
      </w:r>
      <w:r>
        <w:rPr>
          <w:spacing w:val="-6"/>
          <w:sz w:val="24"/>
          <w:szCs w:val="24"/>
        </w:rPr>
        <w:t>验收</w:t>
      </w:r>
    </w:p>
    <w:p w14:paraId="16FEA323">
      <w:pPr>
        <w:spacing w:before="130" w:line="226" w:lineRule="auto"/>
        <w:ind w:left="443"/>
        <w:rPr>
          <w:rFonts w:ascii="宋体" w:hAnsi="宋体" w:eastAsia="宋体" w:cs="宋体"/>
          <w:sz w:val="20"/>
          <w:szCs w:val="20"/>
        </w:rPr>
      </w:pPr>
      <w:r>
        <w:rPr>
          <w:rFonts w:ascii="宋体" w:hAnsi="宋体" w:eastAsia="宋体" w:cs="宋体"/>
          <w:spacing w:val="8"/>
          <w:sz w:val="20"/>
          <w:szCs w:val="20"/>
        </w:rPr>
        <w:t>18.3.5</w:t>
      </w:r>
      <w:r>
        <w:rPr>
          <w:rFonts w:ascii="宋体" w:hAnsi="宋体" w:eastAsia="宋体" w:cs="宋体"/>
          <w:spacing w:val="-19"/>
          <w:sz w:val="20"/>
          <w:szCs w:val="20"/>
        </w:rPr>
        <w:t xml:space="preserve"> </w:t>
      </w:r>
      <w:r>
        <w:rPr>
          <w:rFonts w:ascii="宋体" w:hAnsi="宋体" w:eastAsia="宋体" w:cs="宋体"/>
          <w:spacing w:val="8"/>
          <w:sz w:val="20"/>
          <w:szCs w:val="20"/>
        </w:rPr>
        <w:t>经验收合格的工程，实际竣工日期为承包人按照第</w:t>
      </w:r>
      <w:r>
        <w:rPr>
          <w:rFonts w:ascii="宋体" w:hAnsi="宋体" w:eastAsia="宋体" w:cs="宋体"/>
          <w:spacing w:val="-23"/>
          <w:sz w:val="20"/>
          <w:szCs w:val="20"/>
        </w:rPr>
        <w:t xml:space="preserve"> </w:t>
      </w:r>
      <w:r>
        <w:rPr>
          <w:rFonts w:ascii="宋体" w:hAnsi="宋体" w:eastAsia="宋体" w:cs="宋体"/>
          <w:spacing w:val="8"/>
          <w:sz w:val="20"/>
          <w:szCs w:val="20"/>
        </w:rPr>
        <w:t>18.2</w:t>
      </w:r>
      <w:r>
        <w:rPr>
          <w:rFonts w:ascii="宋体" w:hAnsi="宋体" w:eastAsia="宋体" w:cs="宋体"/>
          <w:spacing w:val="-37"/>
          <w:sz w:val="20"/>
          <w:szCs w:val="20"/>
        </w:rPr>
        <w:t xml:space="preserve"> </w:t>
      </w:r>
      <w:r>
        <w:rPr>
          <w:rFonts w:ascii="宋体" w:hAnsi="宋体" w:eastAsia="宋体" w:cs="宋体"/>
          <w:spacing w:val="8"/>
          <w:sz w:val="20"/>
          <w:szCs w:val="20"/>
        </w:rPr>
        <w:t>款提交竣工验收申请报告或</w:t>
      </w:r>
    </w:p>
    <w:p w14:paraId="677235A5">
      <w:pPr>
        <w:spacing w:line="226" w:lineRule="auto"/>
        <w:rPr>
          <w:rFonts w:ascii="宋体" w:hAnsi="宋体" w:eastAsia="宋体" w:cs="宋体"/>
          <w:sz w:val="20"/>
          <w:szCs w:val="20"/>
        </w:rPr>
        <w:sectPr>
          <w:footerReference r:id="rId214" w:type="default"/>
          <w:pgSz w:w="11906" w:h="16839"/>
          <w:pgMar w:top="400" w:right="1467" w:bottom="1038" w:left="1531" w:header="0" w:footer="787" w:gutter="0"/>
          <w:cols w:space="720" w:num="1"/>
        </w:sectPr>
      </w:pPr>
    </w:p>
    <w:p w14:paraId="64F9465D">
      <w:pPr>
        <w:spacing w:line="269" w:lineRule="auto"/>
        <w:rPr>
          <w:rFonts w:ascii="Arial"/>
          <w:sz w:val="21"/>
        </w:rPr>
      </w:pPr>
    </w:p>
    <w:p w14:paraId="52EA5419">
      <w:pPr>
        <w:spacing w:line="269" w:lineRule="auto"/>
        <w:rPr>
          <w:rFonts w:ascii="Arial"/>
          <w:sz w:val="21"/>
        </w:rPr>
      </w:pPr>
    </w:p>
    <w:p w14:paraId="1FBD8C5E">
      <w:pPr>
        <w:spacing w:line="270" w:lineRule="auto"/>
        <w:rPr>
          <w:rFonts w:ascii="Arial"/>
          <w:sz w:val="21"/>
        </w:rPr>
      </w:pPr>
    </w:p>
    <w:p w14:paraId="0ED7C9A5">
      <w:pPr>
        <w:spacing w:line="270" w:lineRule="auto"/>
        <w:rPr>
          <w:rFonts w:ascii="Arial"/>
          <w:sz w:val="21"/>
        </w:rPr>
      </w:pPr>
    </w:p>
    <w:p w14:paraId="4A4D234A">
      <w:pPr>
        <w:spacing w:before="65" w:line="226" w:lineRule="auto"/>
        <w:ind w:left="10"/>
        <w:rPr>
          <w:rFonts w:ascii="宋体" w:hAnsi="宋体" w:eastAsia="宋体" w:cs="宋体"/>
          <w:sz w:val="20"/>
          <w:szCs w:val="20"/>
        </w:rPr>
      </w:pPr>
      <w:r>
        <w:rPr>
          <w:rFonts w:ascii="宋体" w:hAnsi="宋体" w:eastAsia="宋体" w:cs="宋体"/>
          <w:spacing w:val="7"/>
          <w:sz w:val="20"/>
          <w:szCs w:val="20"/>
        </w:rPr>
        <w:t>按照本款重新提交竣工验收申请报告的日期（以两者中时间在后者为准）。</w:t>
      </w:r>
    </w:p>
    <w:p w14:paraId="4F313B79">
      <w:pPr>
        <w:pStyle w:val="2"/>
        <w:spacing w:before="128" w:line="222" w:lineRule="auto"/>
        <w:ind w:left="28"/>
        <w:rPr>
          <w:sz w:val="24"/>
          <w:szCs w:val="24"/>
        </w:rPr>
      </w:pPr>
      <w:r>
        <w:rPr>
          <w:rFonts w:ascii="Times New Roman" w:hAnsi="Times New Roman" w:eastAsia="Times New Roman" w:cs="Times New Roman"/>
          <w:spacing w:val="-3"/>
          <w:sz w:val="24"/>
          <w:szCs w:val="24"/>
        </w:rPr>
        <w:t xml:space="preserve">18.5 </w:t>
      </w:r>
      <w:r>
        <w:rPr>
          <w:spacing w:val="-3"/>
          <w:sz w:val="24"/>
          <w:szCs w:val="24"/>
        </w:rPr>
        <w:t>施工期运行</w:t>
      </w:r>
    </w:p>
    <w:p w14:paraId="79EBED9A">
      <w:pPr>
        <w:spacing w:before="130" w:line="228" w:lineRule="auto"/>
        <w:ind w:left="443"/>
        <w:rPr>
          <w:rFonts w:ascii="宋体" w:hAnsi="宋体" w:eastAsia="宋体" w:cs="宋体"/>
          <w:sz w:val="20"/>
          <w:szCs w:val="20"/>
        </w:rPr>
      </w:pPr>
      <w:r>
        <w:rPr>
          <w:rFonts w:ascii="宋体" w:hAnsi="宋体" w:eastAsia="宋体" w:cs="宋体"/>
          <w:spacing w:val="6"/>
          <w:sz w:val="20"/>
          <w:szCs w:val="20"/>
        </w:rPr>
        <w:t>18.5.1</w:t>
      </w:r>
      <w:r>
        <w:rPr>
          <w:rFonts w:ascii="宋体" w:hAnsi="宋体" w:eastAsia="宋体" w:cs="宋体"/>
          <w:spacing w:val="-28"/>
          <w:sz w:val="20"/>
          <w:szCs w:val="20"/>
        </w:rPr>
        <w:t xml:space="preserve"> </w:t>
      </w:r>
      <w:r>
        <w:rPr>
          <w:rFonts w:ascii="宋体" w:hAnsi="宋体" w:eastAsia="宋体" w:cs="宋体"/>
          <w:spacing w:val="6"/>
          <w:sz w:val="20"/>
          <w:szCs w:val="20"/>
        </w:rPr>
        <w:t>需要施工期运行的单位工程或设备安装工程：</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4E01800">
      <w:pPr>
        <w:pStyle w:val="2"/>
        <w:spacing w:before="124" w:line="221" w:lineRule="auto"/>
        <w:ind w:left="28"/>
        <w:rPr>
          <w:sz w:val="24"/>
          <w:szCs w:val="24"/>
        </w:rPr>
      </w:pPr>
      <w:r>
        <w:rPr>
          <w:rFonts w:ascii="Times New Roman" w:hAnsi="Times New Roman" w:eastAsia="Times New Roman" w:cs="Times New Roman"/>
          <w:spacing w:val="-6"/>
          <w:sz w:val="24"/>
          <w:szCs w:val="24"/>
        </w:rPr>
        <w:t>18.6</w:t>
      </w:r>
      <w:r>
        <w:rPr>
          <w:rFonts w:ascii="Times New Roman" w:hAnsi="Times New Roman" w:eastAsia="Times New Roman" w:cs="Times New Roman"/>
          <w:spacing w:val="12"/>
          <w:sz w:val="24"/>
          <w:szCs w:val="24"/>
        </w:rPr>
        <w:t xml:space="preserve"> </w:t>
      </w:r>
      <w:r>
        <w:rPr>
          <w:spacing w:val="-6"/>
          <w:sz w:val="24"/>
          <w:szCs w:val="24"/>
        </w:rPr>
        <w:t>试运行</w:t>
      </w:r>
    </w:p>
    <w:p w14:paraId="6BB9F872">
      <w:pPr>
        <w:spacing w:before="130" w:line="228" w:lineRule="auto"/>
        <w:ind w:left="443"/>
        <w:rPr>
          <w:rFonts w:ascii="宋体" w:hAnsi="宋体" w:eastAsia="宋体" w:cs="宋体"/>
          <w:sz w:val="20"/>
          <w:szCs w:val="20"/>
        </w:rPr>
      </w:pPr>
      <w:r>
        <w:rPr>
          <w:rFonts w:ascii="宋体" w:hAnsi="宋体" w:eastAsia="宋体" w:cs="宋体"/>
          <w:spacing w:val="7"/>
          <w:sz w:val="20"/>
          <w:szCs w:val="20"/>
        </w:rPr>
        <w:t>18.6.1</w:t>
      </w:r>
      <w:r>
        <w:rPr>
          <w:rFonts w:ascii="宋体" w:hAnsi="宋体" w:eastAsia="宋体" w:cs="宋体"/>
          <w:spacing w:val="-34"/>
          <w:sz w:val="20"/>
          <w:szCs w:val="20"/>
        </w:rPr>
        <w:t xml:space="preserve"> </w:t>
      </w:r>
      <w:r>
        <w:rPr>
          <w:rFonts w:ascii="宋体" w:hAnsi="宋体" w:eastAsia="宋体" w:cs="宋体"/>
          <w:spacing w:val="7"/>
          <w:sz w:val="20"/>
          <w:szCs w:val="20"/>
        </w:rPr>
        <w:t>工程及工程设备试运行的组织与费用承担</w:t>
      </w:r>
    </w:p>
    <w:p w14:paraId="365C8A2B">
      <w:pPr>
        <w:spacing w:before="142" w:line="227" w:lineRule="auto"/>
        <w:jc w:val="right"/>
        <w:rPr>
          <w:rFonts w:ascii="宋体" w:hAnsi="宋体" w:eastAsia="宋体" w:cs="宋体"/>
          <w:sz w:val="20"/>
          <w:szCs w:val="20"/>
        </w:rPr>
      </w:pPr>
      <w:r>
        <w:rPr>
          <w:rFonts w:ascii="宋体" w:hAnsi="宋体" w:eastAsia="宋体" w:cs="宋体"/>
          <w:spacing w:val="8"/>
          <w:sz w:val="20"/>
          <w:szCs w:val="20"/>
        </w:rPr>
        <w:t>（1）工程设备安装具备单机无负荷试运行条</w:t>
      </w:r>
      <w:r>
        <w:rPr>
          <w:rFonts w:ascii="宋体" w:hAnsi="宋体" w:eastAsia="宋体" w:cs="宋体"/>
          <w:spacing w:val="7"/>
          <w:sz w:val="20"/>
          <w:szCs w:val="20"/>
        </w:rPr>
        <w:t>件，</w:t>
      </w:r>
      <w:r>
        <w:rPr>
          <w:rFonts w:ascii="宋体" w:hAnsi="宋体" w:eastAsia="宋体" w:cs="宋体"/>
          <w:spacing w:val="-58"/>
          <w:sz w:val="20"/>
          <w:szCs w:val="20"/>
        </w:rPr>
        <w:t xml:space="preserve"> </w:t>
      </w:r>
      <w:r>
        <w:rPr>
          <w:rFonts w:ascii="宋体" w:hAnsi="宋体" w:eastAsia="宋体" w:cs="宋体"/>
          <w:spacing w:val="7"/>
          <w:sz w:val="20"/>
          <w:szCs w:val="20"/>
        </w:rPr>
        <w:t>由承包人组织试运行，费用由承包人承担。</w:t>
      </w:r>
    </w:p>
    <w:p w14:paraId="02E04EE2">
      <w:pPr>
        <w:spacing w:before="144" w:line="228" w:lineRule="auto"/>
        <w:jc w:val="right"/>
        <w:rPr>
          <w:rFonts w:ascii="宋体" w:hAnsi="宋体" w:eastAsia="宋体" w:cs="宋体"/>
          <w:sz w:val="20"/>
          <w:szCs w:val="20"/>
        </w:rPr>
      </w:pPr>
      <w:r>
        <w:rPr>
          <w:rFonts w:ascii="宋体" w:hAnsi="宋体" w:eastAsia="宋体" w:cs="宋体"/>
          <w:spacing w:val="8"/>
          <w:sz w:val="20"/>
          <w:szCs w:val="20"/>
        </w:rPr>
        <w:t>（2）工程设备安装具备无负荷联动试运行条</w:t>
      </w:r>
      <w:r>
        <w:rPr>
          <w:rFonts w:ascii="宋体" w:hAnsi="宋体" w:eastAsia="宋体" w:cs="宋体"/>
          <w:spacing w:val="7"/>
          <w:sz w:val="20"/>
          <w:szCs w:val="20"/>
        </w:rPr>
        <w:t>件，</w:t>
      </w:r>
      <w:r>
        <w:rPr>
          <w:rFonts w:ascii="宋体" w:hAnsi="宋体" w:eastAsia="宋体" w:cs="宋体"/>
          <w:spacing w:val="-58"/>
          <w:sz w:val="20"/>
          <w:szCs w:val="20"/>
        </w:rPr>
        <w:t xml:space="preserve"> </w:t>
      </w:r>
      <w:r>
        <w:rPr>
          <w:rFonts w:ascii="宋体" w:hAnsi="宋体" w:eastAsia="宋体" w:cs="宋体"/>
          <w:spacing w:val="7"/>
          <w:sz w:val="20"/>
          <w:szCs w:val="20"/>
        </w:rPr>
        <w:t>由发包人组织试运行，费用由发包人承担。</w:t>
      </w:r>
    </w:p>
    <w:p w14:paraId="31D65B1E">
      <w:pPr>
        <w:spacing w:before="142" w:line="352" w:lineRule="auto"/>
        <w:ind w:left="19" w:right="68" w:firstLine="418"/>
        <w:rPr>
          <w:rFonts w:ascii="宋体" w:hAnsi="宋体" w:eastAsia="宋体" w:cs="宋体"/>
          <w:sz w:val="20"/>
          <w:szCs w:val="20"/>
        </w:rPr>
      </w:pPr>
      <w:r>
        <w:rPr>
          <w:rFonts w:ascii="宋体" w:hAnsi="宋体" w:eastAsia="宋体" w:cs="宋体"/>
          <w:spacing w:val="7"/>
          <w:sz w:val="20"/>
          <w:szCs w:val="20"/>
        </w:rPr>
        <w:t>（3）投料试运行应在工程竣工验收后由发包人负责，如发包人要求在工程竣</w:t>
      </w:r>
      <w:r>
        <w:rPr>
          <w:rFonts w:ascii="宋体" w:hAnsi="宋体" w:eastAsia="宋体" w:cs="宋体"/>
          <w:spacing w:val="6"/>
          <w:sz w:val="20"/>
          <w:szCs w:val="20"/>
        </w:rPr>
        <w:t>工验收前进行或</w:t>
      </w:r>
      <w:r>
        <w:rPr>
          <w:rFonts w:ascii="宋体" w:hAnsi="宋体" w:eastAsia="宋体" w:cs="宋体"/>
          <w:spacing w:val="9"/>
          <w:sz w:val="20"/>
          <w:szCs w:val="20"/>
        </w:rPr>
        <w:t>需要承包人配合时，应征得承包人同意，另行</w:t>
      </w:r>
      <w:r>
        <w:rPr>
          <w:rFonts w:ascii="宋体" w:hAnsi="宋体" w:eastAsia="宋体" w:cs="宋体"/>
          <w:spacing w:val="8"/>
          <w:sz w:val="20"/>
          <w:szCs w:val="20"/>
        </w:rPr>
        <w:t>签订补充协议。</w:t>
      </w:r>
    </w:p>
    <w:p w14:paraId="30FE347D">
      <w:pPr>
        <w:pStyle w:val="2"/>
        <w:spacing w:before="1" w:line="220" w:lineRule="auto"/>
        <w:ind w:left="28"/>
        <w:rPr>
          <w:sz w:val="24"/>
          <w:szCs w:val="24"/>
        </w:rPr>
      </w:pPr>
      <w:r>
        <w:rPr>
          <w:rFonts w:ascii="Times New Roman" w:hAnsi="Times New Roman" w:eastAsia="Times New Roman" w:cs="Times New Roman"/>
          <w:spacing w:val="-4"/>
          <w:sz w:val="24"/>
          <w:szCs w:val="24"/>
        </w:rPr>
        <w:t xml:space="preserve">18.7 </w:t>
      </w:r>
      <w:r>
        <w:rPr>
          <w:spacing w:val="-4"/>
          <w:sz w:val="24"/>
          <w:szCs w:val="24"/>
        </w:rPr>
        <w:t>竣工清场</w:t>
      </w:r>
    </w:p>
    <w:p w14:paraId="5001C9B9">
      <w:pPr>
        <w:spacing w:before="132" w:line="352" w:lineRule="auto"/>
        <w:ind w:left="7" w:right="70" w:firstLine="436"/>
        <w:rPr>
          <w:rFonts w:ascii="宋体" w:hAnsi="宋体" w:eastAsia="宋体" w:cs="宋体"/>
          <w:sz w:val="20"/>
          <w:szCs w:val="20"/>
        </w:rPr>
      </w:pPr>
      <w:r>
        <w:rPr>
          <w:rFonts w:ascii="宋体" w:hAnsi="宋体" w:eastAsia="宋体" w:cs="宋体"/>
          <w:spacing w:val="7"/>
          <w:sz w:val="20"/>
          <w:szCs w:val="20"/>
        </w:rPr>
        <w:t>18.7.1</w:t>
      </w:r>
      <w:r>
        <w:rPr>
          <w:rFonts w:ascii="宋体" w:hAnsi="宋体" w:eastAsia="宋体" w:cs="宋体"/>
          <w:spacing w:val="-28"/>
          <w:sz w:val="20"/>
          <w:szCs w:val="20"/>
        </w:rPr>
        <w:t xml:space="preserve"> </w:t>
      </w:r>
      <w:r>
        <w:rPr>
          <w:rFonts w:ascii="宋体" w:hAnsi="宋体" w:eastAsia="宋体" w:cs="宋体"/>
          <w:spacing w:val="7"/>
          <w:sz w:val="20"/>
          <w:szCs w:val="20"/>
        </w:rPr>
        <w:t>监理人颁发（出具）工程接收证书后，承包人负责按照通用合同条款本项约定的要求</w:t>
      </w:r>
      <w:r>
        <w:rPr>
          <w:rFonts w:ascii="宋体" w:hAnsi="宋体" w:eastAsia="宋体" w:cs="宋体"/>
          <w:spacing w:val="9"/>
          <w:sz w:val="20"/>
          <w:szCs w:val="20"/>
        </w:rPr>
        <w:t>对施工场地进行清理并承担相关费用，直至监理人检验合格为止。</w:t>
      </w:r>
    </w:p>
    <w:p w14:paraId="29A02BEC">
      <w:pPr>
        <w:pStyle w:val="2"/>
        <w:spacing w:line="222" w:lineRule="auto"/>
        <w:ind w:left="28"/>
        <w:rPr>
          <w:sz w:val="24"/>
          <w:szCs w:val="24"/>
        </w:rPr>
      </w:pPr>
      <w:r>
        <w:rPr>
          <w:rFonts w:ascii="Times New Roman" w:hAnsi="Times New Roman" w:eastAsia="Times New Roman" w:cs="Times New Roman"/>
          <w:spacing w:val="-3"/>
          <w:sz w:val="24"/>
          <w:szCs w:val="24"/>
        </w:rPr>
        <w:t xml:space="preserve">18.8 </w:t>
      </w:r>
      <w:r>
        <w:rPr>
          <w:spacing w:val="-3"/>
          <w:sz w:val="24"/>
          <w:szCs w:val="24"/>
        </w:rPr>
        <w:t>施工队伍的撤离</w:t>
      </w:r>
    </w:p>
    <w:p w14:paraId="30BCACE4">
      <w:pPr>
        <w:spacing w:before="128" w:line="360" w:lineRule="auto"/>
        <w:ind w:left="7" w:right="68" w:firstLine="420"/>
        <w:jc w:val="both"/>
        <w:rPr>
          <w:rFonts w:ascii="宋体" w:hAnsi="宋体" w:eastAsia="宋体" w:cs="宋体"/>
          <w:sz w:val="20"/>
          <w:szCs w:val="20"/>
        </w:rPr>
      </w:pPr>
      <w:r>
        <w:rPr>
          <w:rFonts w:ascii="宋体" w:hAnsi="宋体" w:eastAsia="宋体" w:cs="宋体"/>
          <w:spacing w:val="6"/>
          <w:sz w:val="20"/>
          <w:szCs w:val="20"/>
        </w:rPr>
        <w:t>承包人按照通用合同条款第</w:t>
      </w:r>
      <w:r>
        <w:rPr>
          <w:rFonts w:ascii="宋体" w:hAnsi="宋体" w:eastAsia="宋体" w:cs="宋体"/>
          <w:spacing w:val="-21"/>
          <w:sz w:val="20"/>
          <w:szCs w:val="20"/>
        </w:rPr>
        <w:t xml:space="preserve"> </w:t>
      </w:r>
      <w:r>
        <w:rPr>
          <w:rFonts w:ascii="宋体" w:hAnsi="宋体" w:eastAsia="宋体" w:cs="宋体"/>
          <w:spacing w:val="6"/>
          <w:sz w:val="20"/>
          <w:szCs w:val="20"/>
        </w:rPr>
        <w:t>18.8</w:t>
      </w:r>
      <w:r>
        <w:rPr>
          <w:rFonts w:ascii="宋体" w:hAnsi="宋体" w:eastAsia="宋体" w:cs="宋体"/>
          <w:spacing w:val="-38"/>
          <w:sz w:val="20"/>
          <w:szCs w:val="20"/>
        </w:rPr>
        <w:t xml:space="preserve"> </w:t>
      </w:r>
      <w:r>
        <w:rPr>
          <w:rFonts w:ascii="宋体" w:hAnsi="宋体" w:eastAsia="宋体" w:cs="宋体"/>
          <w:spacing w:val="6"/>
          <w:sz w:val="20"/>
          <w:szCs w:val="20"/>
        </w:rPr>
        <w:t>款约定撤离施工场地（现场）时，监理人和承包人应</w:t>
      </w:r>
      <w:r>
        <w:rPr>
          <w:rFonts w:ascii="宋体" w:hAnsi="宋体" w:eastAsia="宋体" w:cs="宋体"/>
          <w:spacing w:val="5"/>
          <w:sz w:val="20"/>
          <w:szCs w:val="20"/>
        </w:rPr>
        <w:t>当办理</w:t>
      </w:r>
      <w:r>
        <w:rPr>
          <w:rFonts w:ascii="宋体" w:hAnsi="宋体" w:eastAsia="宋体" w:cs="宋体"/>
          <w:spacing w:val="10"/>
          <w:sz w:val="20"/>
          <w:szCs w:val="20"/>
        </w:rPr>
        <w:t>永久工程和施工场地移交手续，移交手续以书面方式出具，并分别经过发包</w:t>
      </w:r>
      <w:r>
        <w:rPr>
          <w:rFonts w:ascii="宋体" w:hAnsi="宋体" w:eastAsia="宋体" w:cs="宋体"/>
          <w:spacing w:val="9"/>
          <w:sz w:val="20"/>
          <w:szCs w:val="20"/>
        </w:rPr>
        <w:t>人、监理人和承包人</w:t>
      </w:r>
      <w:r>
        <w:rPr>
          <w:rFonts w:ascii="宋体" w:hAnsi="宋体" w:eastAsia="宋体" w:cs="宋体"/>
          <w:spacing w:val="6"/>
          <w:sz w:val="20"/>
          <w:szCs w:val="20"/>
        </w:rPr>
        <w:t>的签认。但是，监理人和发包人未按专用合同条款</w:t>
      </w:r>
      <w:r>
        <w:rPr>
          <w:rFonts w:ascii="宋体" w:hAnsi="宋体" w:eastAsia="宋体" w:cs="宋体"/>
          <w:spacing w:val="-24"/>
          <w:sz w:val="20"/>
          <w:szCs w:val="20"/>
        </w:rPr>
        <w:t xml:space="preserve"> </w:t>
      </w:r>
      <w:r>
        <w:rPr>
          <w:rFonts w:ascii="宋体" w:hAnsi="宋体" w:eastAsia="宋体" w:cs="宋体"/>
          <w:spacing w:val="6"/>
          <w:sz w:val="20"/>
          <w:szCs w:val="20"/>
        </w:rPr>
        <w:t>17.5.1</w:t>
      </w:r>
      <w:r>
        <w:rPr>
          <w:rFonts w:ascii="宋体" w:hAnsi="宋体" w:eastAsia="宋体" w:cs="宋体"/>
          <w:spacing w:val="-35"/>
          <w:sz w:val="20"/>
          <w:szCs w:val="20"/>
        </w:rPr>
        <w:t xml:space="preserve"> </w:t>
      </w:r>
      <w:r>
        <w:rPr>
          <w:rFonts w:ascii="宋体" w:hAnsi="宋体" w:eastAsia="宋体" w:cs="宋体"/>
          <w:spacing w:val="6"/>
          <w:sz w:val="20"/>
          <w:szCs w:val="20"/>
        </w:rPr>
        <w:t>项约定的期限办清竣工结算和竣工付款</w:t>
      </w:r>
      <w:r>
        <w:rPr>
          <w:rFonts w:ascii="宋体" w:hAnsi="宋体" w:eastAsia="宋体" w:cs="宋体"/>
          <w:spacing w:val="5"/>
          <w:sz w:val="20"/>
          <w:szCs w:val="20"/>
        </w:rPr>
        <w:t>的，本工程不得交付使用，发包人和监理人也无权要求承包人按合同约定的期限撤离施工</w:t>
      </w:r>
      <w:r>
        <w:rPr>
          <w:rFonts w:ascii="宋体" w:hAnsi="宋体" w:eastAsia="宋体" w:cs="宋体"/>
          <w:spacing w:val="4"/>
          <w:sz w:val="20"/>
          <w:szCs w:val="20"/>
        </w:rPr>
        <w:t>场地（现</w:t>
      </w:r>
      <w:r>
        <w:rPr>
          <w:rFonts w:ascii="宋体" w:hAnsi="宋体" w:eastAsia="宋体" w:cs="宋体"/>
          <w:spacing w:val="8"/>
          <w:sz w:val="20"/>
          <w:szCs w:val="20"/>
        </w:rPr>
        <w:t>场）和办理工程移交手续。</w:t>
      </w:r>
    </w:p>
    <w:p w14:paraId="46D18BCD">
      <w:pPr>
        <w:spacing w:line="227" w:lineRule="auto"/>
        <w:ind w:left="428"/>
        <w:rPr>
          <w:rFonts w:ascii="宋体" w:hAnsi="宋体" w:eastAsia="宋体" w:cs="宋体"/>
          <w:sz w:val="20"/>
          <w:szCs w:val="20"/>
        </w:rPr>
      </w:pPr>
      <w:r>
        <w:rPr>
          <w:rFonts w:ascii="宋体" w:hAnsi="宋体" w:eastAsia="宋体" w:cs="宋体"/>
          <w:spacing w:val="10"/>
          <w:sz w:val="20"/>
          <w:szCs w:val="20"/>
        </w:rPr>
        <w:t>缺陷责任期满时，承包人可以继续在施工场</w:t>
      </w:r>
      <w:r>
        <w:rPr>
          <w:rFonts w:ascii="宋体" w:hAnsi="宋体" w:eastAsia="宋体" w:cs="宋体"/>
          <w:spacing w:val="9"/>
          <w:sz w:val="20"/>
          <w:szCs w:val="20"/>
        </w:rPr>
        <w:t>地保留的人员和施工设备以及最终撤离的期限：</w:t>
      </w:r>
    </w:p>
    <w:p w14:paraId="6E082F5A">
      <w:pPr>
        <w:spacing w:line="254" w:lineRule="auto"/>
        <w:rPr>
          <w:rFonts w:ascii="Arial"/>
          <w:sz w:val="21"/>
        </w:rPr>
      </w:pPr>
    </w:p>
    <w:p w14:paraId="4DBE5C74">
      <w:pPr>
        <w:tabs>
          <w:tab w:val="left" w:pos="8187"/>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D889793">
      <w:pPr>
        <w:pStyle w:val="2"/>
        <w:spacing w:before="171" w:line="222" w:lineRule="auto"/>
        <w:ind w:left="28"/>
        <w:rPr>
          <w:sz w:val="24"/>
          <w:szCs w:val="24"/>
        </w:rPr>
      </w:pPr>
      <w:r>
        <w:rPr>
          <w:rFonts w:ascii="Times New Roman" w:hAnsi="Times New Roman" w:eastAsia="Times New Roman" w:cs="Times New Roman"/>
          <w:spacing w:val="-8"/>
          <w:sz w:val="24"/>
          <w:szCs w:val="24"/>
        </w:rPr>
        <w:t>18.9</w:t>
      </w:r>
      <w:r>
        <w:rPr>
          <w:rFonts w:ascii="Times New Roman" w:hAnsi="Times New Roman" w:eastAsia="Times New Roman" w:cs="Times New Roman"/>
          <w:spacing w:val="34"/>
          <w:w w:val="101"/>
          <w:sz w:val="24"/>
          <w:szCs w:val="24"/>
        </w:rPr>
        <w:t xml:space="preserve"> </w:t>
      </w:r>
      <w:r>
        <w:rPr>
          <w:spacing w:val="-8"/>
          <w:sz w:val="24"/>
          <w:szCs w:val="24"/>
        </w:rPr>
        <w:t>中间验收</w:t>
      </w:r>
    </w:p>
    <w:p w14:paraId="7566F7C2">
      <w:pPr>
        <w:spacing w:before="130" w:line="227" w:lineRule="auto"/>
        <w:ind w:left="429"/>
        <w:rPr>
          <w:rFonts w:ascii="宋体" w:hAnsi="宋体" w:eastAsia="宋体" w:cs="宋体"/>
          <w:sz w:val="20"/>
          <w:szCs w:val="20"/>
        </w:rPr>
      </w:pPr>
      <w:r>
        <w:rPr>
          <w:rFonts w:ascii="宋体" w:hAnsi="宋体" w:eastAsia="宋体" w:cs="宋体"/>
          <w:spacing w:val="8"/>
          <w:sz w:val="20"/>
          <w:szCs w:val="20"/>
        </w:rPr>
        <w:t>本工程需要进行中间验收的部位如下：</w:t>
      </w:r>
    </w:p>
    <w:p w14:paraId="35CCB74C">
      <w:pPr>
        <w:tabs>
          <w:tab w:val="left" w:pos="8399"/>
        </w:tabs>
        <w:spacing w:before="150"/>
        <w:rPr>
          <w:rFonts w:ascii="Arial"/>
          <w:sz w:val="21"/>
        </w:rPr>
      </w:pPr>
      <w:r>
        <w:rPr>
          <w:rFonts w:ascii="Arial" w:hAnsi="Arial" w:eastAsia="Arial" w:cs="Arial"/>
          <w:sz w:val="21"/>
          <w:szCs w:val="21"/>
          <w:u w:val="single" w:color="auto"/>
        </w:rPr>
        <w:tab/>
      </w:r>
    </w:p>
    <w:p w14:paraId="192E255B">
      <w:pPr>
        <w:spacing w:line="252" w:lineRule="auto"/>
        <w:rPr>
          <w:rFonts w:ascii="Arial"/>
          <w:sz w:val="21"/>
        </w:rPr>
      </w:pPr>
    </w:p>
    <w:p w14:paraId="4C34B9E6">
      <w:pPr>
        <w:tabs>
          <w:tab w:val="left" w:pos="8177"/>
        </w:tabs>
        <w:spacing w:before="23" w:line="173" w:lineRule="auto"/>
        <w:ind w:left="198"/>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EFDEBC5">
      <w:pPr>
        <w:spacing w:before="189" w:line="360" w:lineRule="auto"/>
        <w:ind w:left="8" w:right="16" w:firstLine="433"/>
        <w:jc w:val="both"/>
        <w:rPr>
          <w:rFonts w:ascii="宋体" w:hAnsi="宋体" w:eastAsia="宋体" w:cs="宋体"/>
          <w:sz w:val="20"/>
          <w:szCs w:val="20"/>
        </w:rPr>
      </w:pPr>
      <w:r>
        <w:rPr>
          <w:rFonts w:ascii="宋体" w:hAnsi="宋体" w:eastAsia="宋体" w:cs="宋体"/>
          <w:spacing w:val="8"/>
          <w:sz w:val="20"/>
          <w:szCs w:val="20"/>
        </w:rPr>
        <w:t>当工程进度达到本款约定的中间验收部位时，承包人</w:t>
      </w:r>
      <w:r>
        <w:rPr>
          <w:rFonts w:ascii="宋体" w:hAnsi="宋体" w:eastAsia="宋体" w:cs="宋体"/>
          <w:spacing w:val="7"/>
          <w:sz w:val="20"/>
          <w:szCs w:val="20"/>
        </w:rPr>
        <w:t>应当进行自检，并在中间验收前48</w:t>
      </w:r>
      <w:r>
        <w:rPr>
          <w:rFonts w:ascii="宋体" w:hAnsi="宋体" w:eastAsia="宋体" w:cs="宋体"/>
          <w:spacing w:val="-35"/>
          <w:sz w:val="20"/>
          <w:szCs w:val="20"/>
        </w:rPr>
        <w:t xml:space="preserve"> </w:t>
      </w:r>
      <w:r>
        <w:rPr>
          <w:rFonts w:ascii="宋体" w:hAnsi="宋体" w:eastAsia="宋体" w:cs="宋体"/>
          <w:spacing w:val="7"/>
          <w:sz w:val="20"/>
          <w:szCs w:val="20"/>
        </w:rPr>
        <w:t>小时</w:t>
      </w:r>
      <w:r>
        <w:rPr>
          <w:rFonts w:ascii="宋体" w:hAnsi="宋体" w:eastAsia="宋体" w:cs="宋体"/>
          <w:spacing w:val="10"/>
          <w:sz w:val="20"/>
          <w:szCs w:val="20"/>
        </w:rPr>
        <w:t>以书面形式通知监理人验收。书面通知应包括中间验收的内容、验收时间</w:t>
      </w:r>
      <w:r>
        <w:rPr>
          <w:rFonts w:ascii="宋体" w:hAnsi="宋体" w:eastAsia="宋体" w:cs="宋体"/>
          <w:spacing w:val="9"/>
          <w:sz w:val="20"/>
          <w:szCs w:val="20"/>
        </w:rPr>
        <w:t>和地点。承包人应当准</w:t>
      </w:r>
      <w:r>
        <w:rPr>
          <w:rFonts w:ascii="宋体" w:hAnsi="宋体" w:eastAsia="宋体" w:cs="宋体"/>
          <w:spacing w:val="6"/>
          <w:sz w:val="20"/>
          <w:szCs w:val="20"/>
        </w:rPr>
        <w:t>备验收记录。只有监理人验收合格并在验收记录上签字后，承包人方可继续施工。验收不合格的，</w:t>
      </w:r>
      <w:r>
        <w:rPr>
          <w:rFonts w:ascii="宋体" w:hAnsi="宋体" w:eastAsia="宋体" w:cs="宋体"/>
          <w:spacing w:val="8"/>
          <w:sz w:val="20"/>
          <w:szCs w:val="20"/>
        </w:rPr>
        <w:t>承包人在</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8"/>
          <w:sz w:val="20"/>
          <w:szCs w:val="20"/>
        </w:rPr>
        <w:t>期限内进行修改后重新验收。</w:t>
      </w:r>
    </w:p>
    <w:p w14:paraId="2A4AD84E">
      <w:pPr>
        <w:spacing w:before="1" w:line="360" w:lineRule="auto"/>
        <w:ind w:left="11" w:right="68" w:firstLine="417"/>
        <w:jc w:val="both"/>
        <w:rPr>
          <w:rFonts w:ascii="宋体" w:hAnsi="宋体" w:eastAsia="宋体" w:cs="宋体"/>
          <w:sz w:val="20"/>
          <w:szCs w:val="20"/>
        </w:rPr>
      </w:pPr>
      <w:r>
        <w:rPr>
          <w:rFonts w:ascii="宋体" w:hAnsi="宋体" w:eastAsia="宋体" w:cs="宋体"/>
          <w:spacing w:val="6"/>
          <w:sz w:val="20"/>
          <w:szCs w:val="20"/>
        </w:rPr>
        <w:t>监理人不能按时进行验收的，应在验收前</w:t>
      </w:r>
      <w:r>
        <w:rPr>
          <w:rFonts w:ascii="宋体" w:hAnsi="宋体" w:eastAsia="宋体" w:cs="宋体"/>
          <w:spacing w:val="-22"/>
          <w:sz w:val="20"/>
          <w:szCs w:val="20"/>
        </w:rPr>
        <w:t xml:space="preserve"> </w:t>
      </w:r>
      <w:r>
        <w:rPr>
          <w:rFonts w:ascii="宋体" w:hAnsi="宋体" w:eastAsia="宋体" w:cs="宋体"/>
          <w:spacing w:val="6"/>
          <w:sz w:val="20"/>
          <w:szCs w:val="20"/>
        </w:rPr>
        <w:t>24</w:t>
      </w:r>
      <w:r>
        <w:rPr>
          <w:rFonts w:ascii="宋体" w:hAnsi="宋体" w:eastAsia="宋体" w:cs="宋体"/>
          <w:spacing w:val="-34"/>
          <w:sz w:val="20"/>
          <w:szCs w:val="20"/>
        </w:rPr>
        <w:t xml:space="preserve"> </w:t>
      </w:r>
      <w:r>
        <w:rPr>
          <w:rFonts w:ascii="宋体" w:hAnsi="宋体" w:eastAsia="宋体" w:cs="宋体"/>
          <w:spacing w:val="6"/>
          <w:sz w:val="20"/>
          <w:szCs w:val="20"/>
        </w:rPr>
        <w:t>小时以书面形式向承包人提出延期要求，延期不</w:t>
      </w:r>
      <w:r>
        <w:rPr>
          <w:rFonts w:ascii="宋体" w:hAnsi="宋体" w:eastAsia="宋体" w:cs="宋体"/>
          <w:spacing w:val="8"/>
          <w:sz w:val="20"/>
          <w:szCs w:val="20"/>
        </w:rPr>
        <w:t>能超过48</w:t>
      </w:r>
      <w:r>
        <w:rPr>
          <w:rFonts w:ascii="宋体" w:hAnsi="宋体" w:eastAsia="宋体" w:cs="宋体"/>
          <w:spacing w:val="-32"/>
          <w:sz w:val="20"/>
          <w:szCs w:val="20"/>
        </w:rPr>
        <w:t xml:space="preserve"> </w:t>
      </w:r>
      <w:r>
        <w:rPr>
          <w:rFonts w:ascii="宋体" w:hAnsi="宋体" w:eastAsia="宋体" w:cs="宋体"/>
          <w:spacing w:val="8"/>
          <w:sz w:val="20"/>
          <w:szCs w:val="20"/>
        </w:rPr>
        <w:t>小时。监理人未能按本款约定的时限提出延期要求，又未按期进行验收</w:t>
      </w:r>
      <w:r>
        <w:rPr>
          <w:rFonts w:ascii="宋体" w:hAnsi="宋体" w:eastAsia="宋体" w:cs="宋体"/>
          <w:spacing w:val="7"/>
          <w:sz w:val="20"/>
          <w:szCs w:val="20"/>
        </w:rPr>
        <w:t>的，承包人可自</w:t>
      </w:r>
      <w:r>
        <w:rPr>
          <w:rFonts w:ascii="宋体" w:hAnsi="宋体" w:eastAsia="宋体" w:cs="宋体"/>
          <w:spacing w:val="8"/>
          <w:sz w:val="20"/>
          <w:szCs w:val="20"/>
        </w:rPr>
        <w:t>行组织验收，监理人必须认同验收记录。</w:t>
      </w:r>
    </w:p>
    <w:p w14:paraId="49993206">
      <w:pPr>
        <w:spacing w:before="1" w:line="360" w:lineRule="auto"/>
        <w:ind w:left="9" w:right="68" w:firstLine="420"/>
        <w:rPr>
          <w:rFonts w:ascii="宋体" w:hAnsi="宋体" w:eastAsia="宋体" w:cs="宋体"/>
          <w:sz w:val="20"/>
          <w:szCs w:val="20"/>
        </w:rPr>
      </w:pPr>
      <w:r>
        <w:rPr>
          <w:rFonts w:ascii="宋体" w:hAnsi="宋体" w:eastAsia="宋体" w:cs="宋体"/>
          <w:spacing w:val="6"/>
          <w:sz w:val="20"/>
          <w:szCs w:val="20"/>
        </w:rPr>
        <w:t>经监理人验收后工程质量符合约定的验收标准，但验收</w:t>
      </w:r>
      <w:r>
        <w:rPr>
          <w:rFonts w:ascii="宋体" w:hAnsi="宋体" w:eastAsia="宋体" w:cs="宋体"/>
          <w:spacing w:val="-25"/>
          <w:sz w:val="20"/>
          <w:szCs w:val="20"/>
        </w:rPr>
        <w:t xml:space="preserve"> </w:t>
      </w:r>
      <w:r>
        <w:rPr>
          <w:rFonts w:ascii="宋体" w:hAnsi="宋体" w:eastAsia="宋体" w:cs="宋体"/>
          <w:spacing w:val="6"/>
          <w:sz w:val="20"/>
          <w:szCs w:val="20"/>
        </w:rPr>
        <w:t>24</w:t>
      </w:r>
      <w:r>
        <w:rPr>
          <w:rFonts w:ascii="宋体" w:hAnsi="宋体" w:eastAsia="宋体" w:cs="宋体"/>
          <w:spacing w:val="-32"/>
          <w:sz w:val="20"/>
          <w:szCs w:val="20"/>
        </w:rPr>
        <w:t xml:space="preserve"> </w:t>
      </w:r>
      <w:r>
        <w:rPr>
          <w:rFonts w:ascii="宋体" w:hAnsi="宋体" w:eastAsia="宋体" w:cs="宋体"/>
          <w:spacing w:val="6"/>
          <w:sz w:val="20"/>
          <w:szCs w:val="20"/>
        </w:rPr>
        <w:t>小时后监理人仍不在验收记录上签</w:t>
      </w:r>
      <w:r>
        <w:rPr>
          <w:rFonts w:ascii="宋体" w:hAnsi="宋体" w:eastAsia="宋体" w:cs="宋体"/>
          <w:spacing w:val="9"/>
          <w:sz w:val="20"/>
          <w:szCs w:val="20"/>
        </w:rPr>
        <w:t>字的，视为监理人已经认可验收记录，承包人可继续施工。</w:t>
      </w:r>
    </w:p>
    <w:p w14:paraId="63EAB3F3">
      <w:pPr>
        <w:spacing w:line="360" w:lineRule="auto"/>
        <w:rPr>
          <w:rFonts w:ascii="宋体" w:hAnsi="宋体" w:eastAsia="宋体" w:cs="宋体"/>
          <w:sz w:val="20"/>
          <w:szCs w:val="20"/>
        </w:rPr>
        <w:sectPr>
          <w:footerReference r:id="rId215" w:type="default"/>
          <w:pgSz w:w="11906" w:h="16839"/>
          <w:pgMar w:top="400" w:right="1486" w:bottom="1038" w:left="1531" w:header="0" w:footer="787" w:gutter="0"/>
          <w:cols w:space="720" w:num="1"/>
        </w:sectPr>
      </w:pPr>
    </w:p>
    <w:p w14:paraId="3E6900C4">
      <w:pPr>
        <w:spacing w:line="249" w:lineRule="auto"/>
        <w:rPr>
          <w:rFonts w:ascii="Arial"/>
          <w:sz w:val="21"/>
        </w:rPr>
      </w:pPr>
    </w:p>
    <w:p w14:paraId="3C93FF54">
      <w:pPr>
        <w:spacing w:line="250" w:lineRule="auto"/>
        <w:rPr>
          <w:rFonts w:ascii="Arial"/>
          <w:sz w:val="21"/>
        </w:rPr>
      </w:pPr>
    </w:p>
    <w:p w14:paraId="2D02D457">
      <w:pPr>
        <w:spacing w:line="250" w:lineRule="auto"/>
        <w:rPr>
          <w:rFonts w:ascii="Arial"/>
          <w:sz w:val="21"/>
        </w:rPr>
      </w:pPr>
    </w:p>
    <w:p w14:paraId="47C2C48D">
      <w:pPr>
        <w:spacing w:line="250" w:lineRule="auto"/>
        <w:rPr>
          <w:rFonts w:ascii="Arial"/>
          <w:sz w:val="21"/>
        </w:rPr>
      </w:pPr>
    </w:p>
    <w:p w14:paraId="4DF3D4C8">
      <w:pPr>
        <w:pStyle w:val="2"/>
        <w:spacing w:before="91" w:line="222" w:lineRule="auto"/>
        <w:ind w:left="33"/>
        <w:outlineLvl w:val="2"/>
        <w:rPr>
          <w:sz w:val="28"/>
          <w:szCs w:val="28"/>
        </w:rPr>
      </w:pPr>
      <w:bookmarkStart w:id="256" w:name="bookmark237"/>
      <w:bookmarkEnd w:id="256"/>
      <w:r>
        <w:rPr>
          <w:rFonts w:ascii="Times New Roman" w:hAnsi="Times New Roman" w:eastAsia="Times New Roman" w:cs="Times New Roman"/>
          <w:spacing w:val="-3"/>
          <w:sz w:val="28"/>
          <w:szCs w:val="28"/>
        </w:rPr>
        <w:t>19.</w:t>
      </w:r>
      <w:r>
        <w:rPr>
          <w:spacing w:val="-3"/>
          <w:sz w:val="28"/>
          <w:szCs w:val="28"/>
        </w:rPr>
        <w:t>缺陷责任与保修责任</w:t>
      </w:r>
    </w:p>
    <w:p w14:paraId="7D447A07">
      <w:pPr>
        <w:pStyle w:val="2"/>
        <w:spacing w:before="99" w:line="221" w:lineRule="auto"/>
        <w:ind w:left="28"/>
        <w:rPr>
          <w:sz w:val="24"/>
          <w:szCs w:val="24"/>
        </w:rPr>
      </w:pPr>
      <w:r>
        <w:rPr>
          <w:rFonts w:ascii="Times New Roman" w:hAnsi="Times New Roman" w:eastAsia="Times New Roman" w:cs="Times New Roman"/>
          <w:spacing w:val="-4"/>
          <w:sz w:val="24"/>
          <w:szCs w:val="24"/>
        </w:rPr>
        <w:t xml:space="preserve">19.7 </w:t>
      </w:r>
      <w:r>
        <w:rPr>
          <w:spacing w:val="-4"/>
          <w:sz w:val="24"/>
          <w:szCs w:val="24"/>
        </w:rPr>
        <w:t>保修责任</w:t>
      </w:r>
    </w:p>
    <w:p w14:paraId="5446D28D">
      <w:pPr>
        <w:spacing w:before="130" w:line="228" w:lineRule="auto"/>
        <w:ind w:left="438"/>
        <w:rPr>
          <w:rFonts w:ascii="宋体" w:hAnsi="宋体" w:eastAsia="宋体" w:cs="宋体"/>
          <w:sz w:val="20"/>
          <w:szCs w:val="20"/>
        </w:rPr>
      </w:pPr>
      <w:r>
        <w:rPr>
          <w:rFonts w:ascii="宋体" w:hAnsi="宋体" w:eastAsia="宋体" w:cs="宋体"/>
          <w:spacing w:val="6"/>
          <w:sz w:val="20"/>
          <w:szCs w:val="20"/>
        </w:rPr>
        <w:t>（1）工程质量保修范围：</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7E07057">
      <w:pPr>
        <w:spacing w:before="141" w:line="228" w:lineRule="auto"/>
        <w:ind w:left="438"/>
        <w:rPr>
          <w:rFonts w:ascii="宋体" w:hAnsi="宋体" w:eastAsia="宋体" w:cs="宋体"/>
          <w:sz w:val="20"/>
          <w:szCs w:val="20"/>
        </w:rPr>
      </w:pPr>
      <w:r>
        <w:rPr>
          <w:rFonts w:ascii="宋体" w:hAnsi="宋体" w:eastAsia="宋体" w:cs="宋体"/>
          <w:spacing w:val="6"/>
          <w:sz w:val="20"/>
          <w:szCs w:val="20"/>
        </w:rPr>
        <w:t>（2）工程质量保修期限：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DAAE3C3">
      <w:pPr>
        <w:spacing w:before="144" w:line="228" w:lineRule="auto"/>
        <w:ind w:left="438"/>
        <w:rPr>
          <w:rFonts w:ascii="宋体" w:hAnsi="宋体" w:eastAsia="宋体" w:cs="宋体"/>
          <w:sz w:val="20"/>
          <w:szCs w:val="20"/>
        </w:rPr>
      </w:pPr>
      <w:r>
        <w:rPr>
          <w:rFonts w:ascii="宋体" w:hAnsi="宋体" w:eastAsia="宋体" w:cs="宋体"/>
          <w:spacing w:val="6"/>
          <w:sz w:val="20"/>
          <w:szCs w:val="20"/>
        </w:rPr>
        <w:t>（3）工程质量保修责任：</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52895FD">
      <w:pPr>
        <w:spacing w:before="144" w:line="360" w:lineRule="auto"/>
        <w:ind w:left="25" w:firstLine="403"/>
        <w:jc w:val="both"/>
        <w:rPr>
          <w:rFonts w:ascii="宋体" w:hAnsi="宋体" w:eastAsia="宋体" w:cs="宋体"/>
          <w:sz w:val="20"/>
          <w:szCs w:val="20"/>
        </w:rPr>
      </w:pPr>
      <w:r>
        <w:rPr>
          <w:rFonts w:ascii="宋体" w:hAnsi="宋体" w:eastAsia="宋体" w:cs="宋体"/>
          <w:spacing w:val="10"/>
          <w:sz w:val="20"/>
          <w:szCs w:val="20"/>
        </w:rPr>
        <w:t>质量保修书是竣工验收申请报告的组成内容。承包人应当按照有关</w:t>
      </w:r>
      <w:r>
        <w:rPr>
          <w:rFonts w:ascii="宋体" w:hAnsi="宋体" w:eastAsia="宋体" w:cs="宋体"/>
          <w:spacing w:val="9"/>
          <w:sz w:val="20"/>
          <w:szCs w:val="20"/>
        </w:rPr>
        <w:t>法律法规规定和合同所附的格式出具质量保修书，质量保修书的主要内容应当与本款上述约定内容一致。承包人在递交合</w:t>
      </w:r>
      <w:r>
        <w:rPr>
          <w:rFonts w:ascii="宋体" w:hAnsi="宋体" w:eastAsia="宋体" w:cs="宋体"/>
          <w:spacing w:val="7"/>
          <w:sz w:val="20"/>
          <w:szCs w:val="20"/>
        </w:rPr>
        <w:t>同条款第</w:t>
      </w:r>
      <w:r>
        <w:rPr>
          <w:rFonts w:ascii="宋体" w:hAnsi="宋体" w:eastAsia="宋体" w:cs="宋体"/>
          <w:spacing w:val="-7"/>
          <w:sz w:val="20"/>
          <w:szCs w:val="20"/>
        </w:rPr>
        <w:t xml:space="preserve"> </w:t>
      </w:r>
      <w:r>
        <w:rPr>
          <w:rFonts w:ascii="宋体" w:hAnsi="宋体" w:eastAsia="宋体" w:cs="宋体"/>
          <w:spacing w:val="7"/>
          <w:sz w:val="20"/>
          <w:szCs w:val="20"/>
        </w:rPr>
        <w:t>18.2</w:t>
      </w:r>
      <w:r>
        <w:rPr>
          <w:rFonts w:ascii="宋体" w:hAnsi="宋体" w:eastAsia="宋体" w:cs="宋体"/>
          <w:spacing w:val="-37"/>
          <w:sz w:val="20"/>
          <w:szCs w:val="20"/>
        </w:rPr>
        <w:t xml:space="preserve"> </w:t>
      </w:r>
      <w:r>
        <w:rPr>
          <w:rFonts w:ascii="宋体" w:hAnsi="宋体" w:eastAsia="宋体" w:cs="宋体"/>
          <w:spacing w:val="7"/>
          <w:sz w:val="20"/>
          <w:szCs w:val="20"/>
        </w:rPr>
        <w:t>款约定的竣工验收报告的同时，将质量保修书一并报送监理人。</w:t>
      </w:r>
    </w:p>
    <w:p w14:paraId="6ACB0E30">
      <w:pPr>
        <w:pStyle w:val="2"/>
        <w:spacing w:before="45" w:line="223" w:lineRule="auto"/>
        <w:ind w:left="6"/>
        <w:outlineLvl w:val="2"/>
        <w:rPr>
          <w:sz w:val="28"/>
          <w:szCs w:val="28"/>
        </w:rPr>
      </w:pPr>
      <w:bookmarkStart w:id="257" w:name="bookmark238"/>
      <w:bookmarkEnd w:id="257"/>
      <w:r>
        <w:rPr>
          <w:rFonts w:ascii="Times New Roman" w:hAnsi="Times New Roman" w:eastAsia="Times New Roman" w:cs="Times New Roman"/>
          <w:spacing w:val="-1"/>
          <w:sz w:val="28"/>
          <w:szCs w:val="28"/>
        </w:rPr>
        <w:t>20.</w:t>
      </w:r>
      <w:r>
        <w:rPr>
          <w:spacing w:val="-1"/>
          <w:sz w:val="28"/>
          <w:szCs w:val="28"/>
        </w:rPr>
        <w:t>保险</w:t>
      </w:r>
    </w:p>
    <w:p w14:paraId="4E8D3994">
      <w:pPr>
        <w:pStyle w:val="2"/>
        <w:spacing w:before="98" w:line="222" w:lineRule="auto"/>
        <w:ind w:left="5"/>
        <w:rPr>
          <w:sz w:val="24"/>
          <w:szCs w:val="24"/>
        </w:rPr>
      </w:pPr>
      <w:r>
        <w:rPr>
          <w:rFonts w:ascii="Times New Roman" w:hAnsi="Times New Roman" w:eastAsia="Times New Roman" w:cs="Times New Roman"/>
          <w:spacing w:val="-1"/>
          <w:sz w:val="24"/>
          <w:szCs w:val="24"/>
        </w:rPr>
        <w:t xml:space="preserve">20.1 </w:t>
      </w:r>
      <w:r>
        <w:rPr>
          <w:spacing w:val="-1"/>
          <w:sz w:val="24"/>
          <w:szCs w:val="24"/>
        </w:rPr>
        <w:t>工程保险</w:t>
      </w:r>
    </w:p>
    <w:p w14:paraId="2EF0E3E1">
      <w:pPr>
        <w:spacing w:before="130" w:line="360" w:lineRule="auto"/>
        <w:ind w:left="10" w:firstLine="418"/>
        <w:rPr>
          <w:rFonts w:ascii="宋体" w:hAnsi="宋体" w:eastAsia="宋体" w:cs="宋体"/>
          <w:sz w:val="20"/>
          <w:szCs w:val="20"/>
        </w:rPr>
      </w:pPr>
      <w:r>
        <w:rPr>
          <w:rFonts w:ascii="宋体" w:hAnsi="宋体" w:eastAsia="宋体" w:cs="宋体"/>
          <w:spacing w:val="11"/>
          <w:sz w:val="20"/>
          <w:szCs w:val="20"/>
        </w:rPr>
        <w:t>本工程</w:t>
      </w:r>
      <w:r>
        <w:rPr>
          <w:rFonts w:ascii="宋体" w:hAnsi="宋体" w:eastAsia="宋体" w:cs="宋体"/>
          <w:spacing w:val="-82"/>
          <w:sz w:val="20"/>
          <w:szCs w:val="20"/>
        </w:rPr>
        <w:t xml:space="preserve"> </w:t>
      </w:r>
      <w:r>
        <w:rPr>
          <w:rFonts w:ascii="宋体" w:hAnsi="宋体" w:eastAsia="宋体" w:cs="宋体"/>
          <w:spacing w:val="11"/>
          <w:sz w:val="20"/>
          <w:szCs w:val="20"/>
          <w:u w:val="single" w:color="auto"/>
        </w:rPr>
        <w:t xml:space="preserve">                          </w:t>
      </w:r>
      <w:r>
        <w:rPr>
          <w:rFonts w:ascii="宋体" w:hAnsi="宋体" w:eastAsia="宋体" w:cs="宋体"/>
          <w:spacing w:val="11"/>
          <w:sz w:val="20"/>
          <w:szCs w:val="20"/>
        </w:rPr>
        <w:t>（投保／不投保）工程保险。投保工程保险时，险种</w:t>
      </w:r>
      <w:r>
        <w:rPr>
          <w:rFonts w:ascii="宋体" w:hAnsi="宋体" w:eastAsia="宋体" w:cs="宋体"/>
          <w:spacing w:val="8"/>
          <w:sz w:val="20"/>
          <w:szCs w:val="20"/>
        </w:rPr>
        <w:t>为</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6"/>
          <w:sz w:val="20"/>
          <w:szCs w:val="20"/>
        </w:rPr>
        <w:t>，</w:t>
      </w:r>
      <w:r>
        <w:rPr>
          <w:rFonts w:ascii="宋体" w:hAnsi="宋体" w:eastAsia="宋体" w:cs="宋体"/>
          <w:spacing w:val="8"/>
          <w:sz w:val="20"/>
          <w:szCs w:val="20"/>
        </w:rPr>
        <w:t>并符合以下约定。</w:t>
      </w:r>
    </w:p>
    <w:p w14:paraId="3257571D">
      <w:pPr>
        <w:spacing w:line="228" w:lineRule="auto"/>
        <w:ind w:left="438"/>
        <w:rPr>
          <w:rFonts w:ascii="宋体" w:hAnsi="宋体" w:eastAsia="宋体" w:cs="宋体"/>
          <w:sz w:val="20"/>
          <w:szCs w:val="20"/>
        </w:rPr>
      </w:pPr>
      <w:r>
        <w:rPr>
          <w:rFonts w:ascii="宋体" w:hAnsi="宋体" w:eastAsia="宋体" w:cs="宋体"/>
          <w:spacing w:val="4"/>
          <w:sz w:val="20"/>
          <w:szCs w:val="20"/>
        </w:rPr>
        <w:t>（1）投保人：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0CED9D92">
      <w:pPr>
        <w:spacing w:before="141" w:line="228" w:lineRule="auto"/>
        <w:ind w:left="438"/>
        <w:rPr>
          <w:rFonts w:ascii="宋体" w:hAnsi="宋体" w:eastAsia="宋体" w:cs="宋体"/>
          <w:sz w:val="20"/>
          <w:szCs w:val="20"/>
        </w:rPr>
      </w:pPr>
      <w:r>
        <w:rPr>
          <w:rFonts w:ascii="宋体" w:hAnsi="宋体" w:eastAsia="宋体" w:cs="宋体"/>
          <w:spacing w:val="4"/>
          <w:sz w:val="20"/>
          <w:szCs w:val="20"/>
        </w:rPr>
        <w:t>（2）投保内容：</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35F1A8AE">
      <w:pPr>
        <w:spacing w:before="144" w:line="228" w:lineRule="auto"/>
        <w:ind w:left="438"/>
        <w:rPr>
          <w:rFonts w:ascii="宋体" w:hAnsi="宋体" w:eastAsia="宋体" w:cs="宋体"/>
          <w:sz w:val="20"/>
          <w:szCs w:val="20"/>
        </w:rPr>
      </w:pPr>
      <w:r>
        <w:rPr>
          <w:rFonts w:ascii="宋体" w:hAnsi="宋体" w:eastAsia="宋体" w:cs="宋体"/>
          <w:spacing w:val="7"/>
          <w:sz w:val="20"/>
          <w:szCs w:val="20"/>
        </w:rPr>
        <w:t>（3）保险费率：</w:t>
      </w:r>
      <w:r>
        <w:rPr>
          <w:rFonts w:ascii="宋体" w:hAnsi="宋体" w:eastAsia="宋体" w:cs="宋体"/>
          <w:spacing w:val="-56"/>
          <w:sz w:val="20"/>
          <w:szCs w:val="20"/>
        </w:rPr>
        <w:t xml:space="preserve"> </w:t>
      </w:r>
      <w:r>
        <w:rPr>
          <w:rFonts w:ascii="宋体" w:hAnsi="宋体" w:eastAsia="宋体" w:cs="宋体"/>
          <w:spacing w:val="7"/>
          <w:sz w:val="20"/>
          <w:szCs w:val="20"/>
        </w:rPr>
        <w:t>由投保人与合同双方同意的保险人</w:t>
      </w:r>
      <w:r>
        <w:rPr>
          <w:rFonts w:ascii="宋体" w:hAnsi="宋体" w:eastAsia="宋体" w:cs="宋体"/>
          <w:spacing w:val="6"/>
          <w:sz w:val="20"/>
          <w:szCs w:val="20"/>
        </w:rPr>
        <w:t>商定。</w:t>
      </w:r>
    </w:p>
    <w:p w14:paraId="19DF8635">
      <w:pPr>
        <w:spacing w:before="142" w:line="228" w:lineRule="auto"/>
        <w:ind w:left="438"/>
        <w:rPr>
          <w:rFonts w:ascii="宋体" w:hAnsi="宋体" w:eastAsia="宋体" w:cs="宋体"/>
          <w:sz w:val="20"/>
          <w:szCs w:val="20"/>
        </w:rPr>
      </w:pPr>
      <w:r>
        <w:rPr>
          <w:rFonts w:ascii="宋体" w:hAnsi="宋体" w:eastAsia="宋体" w:cs="宋体"/>
          <w:spacing w:val="4"/>
          <w:sz w:val="20"/>
          <w:szCs w:val="20"/>
        </w:rPr>
        <w:t>（4）保险金额：</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2C993285">
      <w:pPr>
        <w:spacing w:before="145" w:line="228" w:lineRule="auto"/>
        <w:ind w:left="438"/>
        <w:rPr>
          <w:rFonts w:ascii="宋体" w:hAnsi="宋体" w:eastAsia="宋体" w:cs="宋体"/>
          <w:sz w:val="20"/>
          <w:szCs w:val="20"/>
        </w:rPr>
      </w:pPr>
      <w:r>
        <w:rPr>
          <w:rFonts w:ascii="宋体" w:hAnsi="宋体" w:eastAsia="宋体" w:cs="宋体"/>
          <w:spacing w:val="4"/>
          <w:sz w:val="20"/>
          <w:szCs w:val="20"/>
        </w:rPr>
        <w:t>（5）保险期限：</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2C67C5A1">
      <w:pPr>
        <w:pStyle w:val="2"/>
        <w:spacing w:before="124" w:line="221" w:lineRule="auto"/>
        <w:ind w:left="5"/>
        <w:rPr>
          <w:sz w:val="24"/>
          <w:szCs w:val="24"/>
        </w:rPr>
      </w:pPr>
      <w:r>
        <w:rPr>
          <w:rFonts w:ascii="Times New Roman" w:hAnsi="Times New Roman" w:eastAsia="Times New Roman" w:cs="Times New Roman"/>
          <w:spacing w:val="-1"/>
          <w:sz w:val="24"/>
          <w:szCs w:val="24"/>
        </w:rPr>
        <w:t xml:space="preserve">20.4 </w:t>
      </w:r>
      <w:r>
        <w:rPr>
          <w:spacing w:val="-1"/>
          <w:sz w:val="24"/>
          <w:szCs w:val="24"/>
        </w:rPr>
        <w:t>第三者责任险</w:t>
      </w:r>
    </w:p>
    <w:p w14:paraId="1FCAC15A">
      <w:pPr>
        <w:spacing w:before="131" w:line="352" w:lineRule="auto"/>
        <w:ind w:left="19" w:firstLine="411"/>
        <w:rPr>
          <w:rFonts w:ascii="宋体" w:hAnsi="宋体" w:eastAsia="宋体" w:cs="宋体"/>
          <w:sz w:val="20"/>
          <w:szCs w:val="20"/>
        </w:rPr>
      </w:pPr>
      <w:r>
        <w:rPr>
          <w:rFonts w:ascii="宋体" w:hAnsi="宋体" w:eastAsia="宋体" w:cs="宋体"/>
          <w:spacing w:val="5"/>
          <w:sz w:val="20"/>
          <w:szCs w:val="20"/>
        </w:rPr>
        <w:t>20.4.2</w:t>
      </w:r>
      <w:r>
        <w:rPr>
          <w:rFonts w:ascii="宋体" w:hAnsi="宋体" w:eastAsia="宋体" w:cs="宋体"/>
          <w:spacing w:val="-39"/>
          <w:sz w:val="20"/>
          <w:szCs w:val="20"/>
        </w:rPr>
        <w:t xml:space="preserve"> </w:t>
      </w:r>
      <w:r>
        <w:rPr>
          <w:rFonts w:ascii="宋体" w:hAnsi="宋体" w:eastAsia="宋体" w:cs="宋体"/>
          <w:spacing w:val="5"/>
          <w:sz w:val="20"/>
          <w:szCs w:val="20"/>
        </w:rPr>
        <w:t>保险金额：</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5"/>
          <w:sz w:val="20"/>
          <w:szCs w:val="20"/>
        </w:rPr>
        <w:t>，保险</w:t>
      </w:r>
      <w:r>
        <w:rPr>
          <w:rFonts w:ascii="宋体" w:hAnsi="宋体" w:eastAsia="宋体" w:cs="宋体"/>
          <w:spacing w:val="8"/>
          <w:sz w:val="20"/>
          <w:szCs w:val="20"/>
        </w:rPr>
        <w:t>费率由承包人与发包人同意的保险人商定，相关保险费由</w:t>
      </w:r>
      <w:r>
        <w:rPr>
          <w:rFonts w:ascii="宋体" w:hAnsi="宋体" w:eastAsia="宋体" w:cs="宋体"/>
          <w:spacing w:val="-8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8"/>
          <w:sz w:val="20"/>
          <w:szCs w:val="20"/>
        </w:rPr>
        <w:t>承担。</w:t>
      </w:r>
    </w:p>
    <w:p w14:paraId="6F913127">
      <w:pPr>
        <w:pStyle w:val="2"/>
        <w:spacing w:before="1" w:line="222" w:lineRule="auto"/>
        <w:ind w:left="5"/>
        <w:rPr>
          <w:sz w:val="24"/>
          <w:szCs w:val="24"/>
        </w:rPr>
      </w:pPr>
      <w:r>
        <w:rPr>
          <w:rFonts w:ascii="Times New Roman" w:hAnsi="Times New Roman" w:eastAsia="Times New Roman" w:cs="Times New Roman"/>
          <w:spacing w:val="-3"/>
          <w:sz w:val="24"/>
          <w:szCs w:val="24"/>
        </w:rPr>
        <w:t>20.5</w:t>
      </w:r>
      <w:r>
        <w:rPr>
          <w:rFonts w:ascii="Times New Roman" w:hAnsi="Times New Roman" w:eastAsia="Times New Roman" w:cs="Times New Roman"/>
          <w:spacing w:val="17"/>
          <w:w w:val="101"/>
          <w:sz w:val="24"/>
          <w:szCs w:val="24"/>
        </w:rPr>
        <w:t xml:space="preserve"> </w:t>
      </w:r>
      <w:r>
        <w:rPr>
          <w:spacing w:val="-3"/>
          <w:sz w:val="24"/>
          <w:szCs w:val="24"/>
        </w:rPr>
        <w:t>其他保险</w:t>
      </w:r>
    </w:p>
    <w:p w14:paraId="554C6D2E">
      <w:pPr>
        <w:spacing w:before="128" w:line="227" w:lineRule="auto"/>
        <w:ind w:left="428"/>
        <w:rPr>
          <w:rFonts w:ascii="宋体" w:hAnsi="宋体" w:eastAsia="宋体" w:cs="宋体"/>
          <w:sz w:val="20"/>
          <w:szCs w:val="20"/>
        </w:rPr>
      </w:pPr>
      <w:r>
        <w:rPr>
          <w:rFonts w:ascii="宋体" w:hAnsi="宋体" w:eastAsia="宋体" w:cs="宋体"/>
          <w:spacing w:val="9"/>
          <w:sz w:val="20"/>
          <w:szCs w:val="20"/>
        </w:rPr>
        <w:t>承包人应为其施工设备、进场材料和工程设备等办理的保险：</w:t>
      </w:r>
      <w:r>
        <w:rPr>
          <w:rFonts w:ascii="宋体" w:hAnsi="宋体" w:eastAsia="宋体" w:cs="宋体"/>
          <w:sz w:val="20"/>
          <w:szCs w:val="20"/>
          <w:u w:val="single" w:color="auto"/>
        </w:rPr>
        <w:t xml:space="preserve">                        </w:t>
      </w:r>
    </w:p>
    <w:p w14:paraId="6EAF2840">
      <w:pPr>
        <w:spacing w:line="253" w:lineRule="auto"/>
        <w:rPr>
          <w:rFonts w:ascii="Arial"/>
          <w:sz w:val="21"/>
        </w:rPr>
      </w:pPr>
    </w:p>
    <w:p w14:paraId="099E02C2">
      <w:pPr>
        <w:tabs>
          <w:tab w:val="left" w:pos="8187"/>
        </w:tabs>
        <w:spacing w:before="23" w:line="173" w:lineRule="auto"/>
        <w:ind w:left="42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E443B5F">
      <w:pPr>
        <w:pStyle w:val="2"/>
        <w:spacing w:before="172" w:line="221" w:lineRule="auto"/>
        <w:ind w:left="5"/>
        <w:rPr>
          <w:sz w:val="24"/>
          <w:szCs w:val="24"/>
        </w:rPr>
      </w:pPr>
      <w:r>
        <w:rPr>
          <w:rFonts w:ascii="Times New Roman" w:hAnsi="Times New Roman" w:eastAsia="Times New Roman" w:cs="Times New Roman"/>
          <w:spacing w:val="-1"/>
          <w:sz w:val="24"/>
          <w:szCs w:val="24"/>
        </w:rPr>
        <w:t xml:space="preserve">20.6 </w:t>
      </w:r>
      <w:r>
        <w:rPr>
          <w:spacing w:val="-1"/>
          <w:sz w:val="24"/>
          <w:szCs w:val="24"/>
        </w:rPr>
        <w:t>对各项保险的一般要求</w:t>
      </w:r>
    </w:p>
    <w:p w14:paraId="6C3677C7">
      <w:pPr>
        <w:pStyle w:val="2"/>
        <w:spacing w:before="224" w:line="229" w:lineRule="auto"/>
        <w:ind w:left="6"/>
        <w:rPr>
          <w:sz w:val="20"/>
          <w:szCs w:val="20"/>
        </w:rPr>
      </w:pPr>
      <w:r>
        <w:rPr>
          <w:spacing w:val="5"/>
          <w:sz w:val="20"/>
          <w:szCs w:val="20"/>
        </w:rPr>
        <w:t>20.6.1</w:t>
      </w:r>
      <w:r>
        <w:rPr>
          <w:spacing w:val="-39"/>
          <w:sz w:val="20"/>
          <w:szCs w:val="20"/>
        </w:rPr>
        <w:t xml:space="preserve"> </w:t>
      </w:r>
      <w:r>
        <w:rPr>
          <w:spacing w:val="5"/>
          <w:sz w:val="20"/>
          <w:szCs w:val="20"/>
        </w:rPr>
        <w:t>保险凭证</w:t>
      </w:r>
    </w:p>
    <w:p w14:paraId="44536698">
      <w:pPr>
        <w:spacing w:before="244" w:line="227" w:lineRule="auto"/>
        <w:ind w:left="428"/>
        <w:rPr>
          <w:rFonts w:ascii="宋体" w:hAnsi="宋体" w:eastAsia="宋体" w:cs="宋体"/>
          <w:sz w:val="20"/>
          <w:szCs w:val="20"/>
        </w:rPr>
      </w:pPr>
      <w:r>
        <w:rPr>
          <w:rFonts w:ascii="宋体" w:hAnsi="宋体" w:eastAsia="宋体" w:cs="宋体"/>
          <w:spacing w:val="9"/>
          <w:sz w:val="20"/>
          <w:szCs w:val="20"/>
        </w:rPr>
        <w:t>承包人向发包人提交各项保险生效的证据和保险单副本的期限：</w:t>
      </w:r>
      <w:r>
        <w:rPr>
          <w:rFonts w:ascii="宋体" w:hAnsi="宋体" w:eastAsia="宋体" w:cs="宋体"/>
          <w:sz w:val="20"/>
          <w:szCs w:val="20"/>
          <w:u w:val="single" w:color="auto"/>
        </w:rPr>
        <w:t xml:space="preserve">                    </w:t>
      </w:r>
    </w:p>
    <w:p w14:paraId="7428C65C">
      <w:pPr>
        <w:spacing w:line="265" w:lineRule="auto"/>
        <w:rPr>
          <w:rFonts w:ascii="Arial"/>
          <w:sz w:val="21"/>
        </w:rPr>
      </w:pPr>
    </w:p>
    <w:p w14:paraId="568A1630">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AA152FC">
      <w:pPr>
        <w:pStyle w:val="2"/>
        <w:spacing w:before="287" w:line="231" w:lineRule="auto"/>
        <w:ind w:left="6"/>
        <w:rPr>
          <w:sz w:val="20"/>
          <w:szCs w:val="20"/>
        </w:rPr>
      </w:pPr>
      <w:r>
        <w:rPr>
          <w:spacing w:val="6"/>
          <w:sz w:val="20"/>
          <w:szCs w:val="20"/>
        </w:rPr>
        <w:t>20.6.4</w:t>
      </w:r>
      <w:r>
        <w:rPr>
          <w:spacing w:val="-33"/>
          <w:sz w:val="20"/>
          <w:szCs w:val="20"/>
        </w:rPr>
        <w:t xml:space="preserve"> </w:t>
      </w:r>
      <w:r>
        <w:rPr>
          <w:spacing w:val="6"/>
          <w:sz w:val="20"/>
          <w:szCs w:val="20"/>
        </w:rPr>
        <w:t>保险金不足的补偿</w:t>
      </w:r>
    </w:p>
    <w:p w14:paraId="6B59DC75">
      <w:pPr>
        <w:spacing w:before="241" w:line="228" w:lineRule="auto"/>
        <w:ind w:left="429"/>
        <w:rPr>
          <w:rFonts w:ascii="宋体" w:hAnsi="宋体" w:eastAsia="宋体" w:cs="宋体"/>
          <w:sz w:val="20"/>
          <w:szCs w:val="20"/>
        </w:rPr>
      </w:pPr>
      <w:r>
        <w:rPr>
          <w:rFonts w:ascii="宋体" w:hAnsi="宋体" w:eastAsia="宋体" w:cs="宋体"/>
          <w:spacing w:val="9"/>
          <w:sz w:val="20"/>
          <w:szCs w:val="20"/>
        </w:rPr>
        <w:t>保险金不足以补偿损失时，承包人和发包人负责补偿的责任分摊：</w:t>
      </w:r>
      <w:r>
        <w:rPr>
          <w:rFonts w:ascii="宋体" w:hAnsi="宋体" w:eastAsia="宋体" w:cs="宋体"/>
          <w:sz w:val="20"/>
          <w:szCs w:val="20"/>
          <w:u w:val="single" w:color="auto"/>
        </w:rPr>
        <w:t xml:space="preserve">                    </w:t>
      </w:r>
    </w:p>
    <w:p w14:paraId="1984D72B">
      <w:pPr>
        <w:spacing w:before="287" w:line="45" w:lineRule="exact"/>
        <w:ind w:left="8217"/>
        <w:rPr>
          <w:rFonts w:ascii="宋体" w:hAnsi="宋体" w:eastAsia="宋体" w:cs="宋体"/>
          <w:sz w:val="20"/>
          <w:szCs w:val="20"/>
        </w:rPr>
      </w:pPr>
      <w:r>
        <w:pict>
          <v:shape id="_x0000_s1037" o:spid="_x0000_s1037" o:spt="202" type="#_x0000_t202" style="position:absolute;left:0pt;margin-left:-1pt;margin-top:6.9pt;height:59.8pt;width:411.5pt;z-index:251678720;mso-width-relative:page;mso-height-relative:page;" filled="f" stroked="f" coordsize="21600,21600">
            <v:path/>
            <v:fill on="f" focussize="0,0"/>
            <v:stroke on="f"/>
            <v:imagedata o:title=""/>
            <o:lock v:ext="edit" aspectratio="f"/>
            <v:textbox inset="0mm,0mm,0mm,0mm">
              <w:txbxContent>
                <w:p w14:paraId="4980A754">
                  <w:pPr>
                    <w:tabs>
                      <w:tab w:val="left" w:pos="8207"/>
                    </w:tabs>
                    <w:spacing w:before="19"/>
                    <w:ind w:left="20"/>
                    <w:rPr>
                      <w:rFonts w:ascii="Arial"/>
                      <w:sz w:val="21"/>
                    </w:rPr>
                  </w:pPr>
                  <w:r>
                    <w:rPr>
                      <w:rFonts w:ascii="Arial" w:hAnsi="Arial" w:eastAsia="Arial" w:cs="Arial"/>
                      <w:sz w:val="21"/>
                      <w:szCs w:val="21"/>
                      <w:u w:val="single" w:color="auto"/>
                    </w:rPr>
                    <w:tab/>
                  </w:r>
                </w:p>
                <w:p w14:paraId="14D6A78F">
                  <w:pPr>
                    <w:pStyle w:val="2"/>
                    <w:spacing w:before="190" w:line="222" w:lineRule="auto"/>
                    <w:ind w:left="26"/>
                    <w:outlineLvl w:val="2"/>
                    <w:rPr>
                      <w:sz w:val="28"/>
                      <w:szCs w:val="28"/>
                    </w:rPr>
                  </w:pPr>
                  <w:bookmarkStart w:id="464" w:name="bookmark239"/>
                  <w:bookmarkEnd w:id="464"/>
                  <w:r>
                    <w:rPr>
                      <w:rFonts w:ascii="Times New Roman" w:hAnsi="Times New Roman" w:eastAsia="Times New Roman" w:cs="Times New Roman"/>
                      <w:spacing w:val="-1"/>
                      <w:sz w:val="28"/>
                      <w:szCs w:val="28"/>
                    </w:rPr>
                    <w:t>21.</w:t>
                  </w:r>
                  <w:r>
                    <w:rPr>
                      <w:spacing w:val="-1"/>
                      <w:sz w:val="28"/>
                      <w:szCs w:val="28"/>
                    </w:rPr>
                    <w:t>不可抗力</w:t>
                  </w:r>
                </w:p>
                <w:p w14:paraId="501A2215">
                  <w:pPr>
                    <w:pStyle w:val="2"/>
                    <w:spacing w:before="99" w:line="221" w:lineRule="auto"/>
                    <w:ind w:left="25"/>
                    <w:rPr>
                      <w:sz w:val="24"/>
                      <w:szCs w:val="24"/>
                    </w:rPr>
                  </w:pPr>
                  <w:r>
                    <w:rPr>
                      <w:rFonts w:ascii="Times New Roman" w:hAnsi="Times New Roman" w:eastAsia="Times New Roman" w:cs="Times New Roman"/>
                      <w:spacing w:val="-1"/>
                      <w:sz w:val="24"/>
                      <w:szCs w:val="24"/>
                    </w:rPr>
                    <w:t xml:space="preserve">21.1 </w:t>
                  </w:r>
                  <w:r>
                    <w:rPr>
                      <w:spacing w:val="-1"/>
                      <w:sz w:val="24"/>
                      <w:szCs w:val="24"/>
                    </w:rPr>
                    <w:t>不可抗力的确认</w:t>
                  </w:r>
                </w:p>
              </w:txbxContent>
            </v:textbox>
          </v:shape>
        </w:pict>
      </w:r>
      <w:r>
        <w:rPr>
          <w:rFonts w:ascii="宋体" w:hAnsi="宋体" w:eastAsia="宋体" w:cs="宋体"/>
          <w:position w:val="-1"/>
          <w:sz w:val="20"/>
          <w:szCs w:val="20"/>
        </w:rPr>
        <w:t>。</w:t>
      </w:r>
    </w:p>
    <w:p w14:paraId="0BCF66B5">
      <w:pPr>
        <w:spacing w:line="262" w:lineRule="auto"/>
        <w:rPr>
          <w:rFonts w:ascii="Arial"/>
          <w:sz w:val="21"/>
        </w:rPr>
      </w:pPr>
    </w:p>
    <w:p w14:paraId="5345EBC1">
      <w:pPr>
        <w:spacing w:line="262" w:lineRule="auto"/>
        <w:rPr>
          <w:rFonts w:ascii="Arial"/>
          <w:sz w:val="21"/>
        </w:rPr>
      </w:pPr>
    </w:p>
    <w:p w14:paraId="169CC0DF">
      <w:pPr>
        <w:spacing w:line="262" w:lineRule="auto"/>
        <w:rPr>
          <w:rFonts w:ascii="Arial"/>
          <w:sz w:val="21"/>
        </w:rPr>
      </w:pPr>
    </w:p>
    <w:p w14:paraId="2F79BBC1">
      <w:pPr>
        <w:spacing w:line="262" w:lineRule="auto"/>
        <w:rPr>
          <w:rFonts w:ascii="Arial"/>
          <w:sz w:val="21"/>
        </w:rPr>
      </w:pPr>
    </w:p>
    <w:p w14:paraId="2882369F">
      <w:pPr>
        <w:spacing w:before="66" w:line="228" w:lineRule="auto"/>
        <w:ind w:left="430"/>
        <w:rPr>
          <w:rFonts w:ascii="宋体" w:hAnsi="宋体" w:eastAsia="宋体" w:cs="宋体"/>
          <w:sz w:val="20"/>
          <w:szCs w:val="20"/>
        </w:rPr>
      </w:pPr>
      <w:r>
        <w:rPr>
          <w:rFonts w:ascii="宋体" w:hAnsi="宋体" w:eastAsia="宋体" w:cs="宋体"/>
          <w:spacing w:val="7"/>
          <w:sz w:val="20"/>
          <w:szCs w:val="20"/>
        </w:rPr>
        <w:t>21.1.1</w:t>
      </w:r>
      <w:r>
        <w:rPr>
          <w:rFonts w:ascii="宋体" w:hAnsi="宋体" w:eastAsia="宋体" w:cs="宋体"/>
          <w:spacing w:val="-39"/>
          <w:sz w:val="20"/>
          <w:szCs w:val="20"/>
        </w:rPr>
        <w:t xml:space="preserve"> </w:t>
      </w:r>
      <w:r>
        <w:rPr>
          <w:rFonts w:ascii="宋体" w:hAnsi="宋体" w:eastAsia="宋体" w:cs="宋体"/>
          <w:spacing w:val="7"/>
          <w:sz w:val="20"/>
          <w:szCs w:val="20"/>
        </w:rPr>
        <w:t>通用合同条款第</w:t>
      </w:r>
      <w:r>
        <w:rPr>
          <w:rFonts w:ascii="宋体" w:hAnsi="宋体" w:eastAsia="宋体" w:cs="宋体"/>
          <w:spacing w:val="-34"/>
          <w:sz w:val="20"/>
          <w:szCs w:val="20"/>
        </w:rPr>
        <w:t xml:space="preserve"> </w:t>
      </w:r>
      <w:r>
        <w:rPr>
          <w:rFonts w:ascii="宋体" w:hAnsi="宋体" w:eastAsia="宋体" w:cs="宋体"/>
          <w:spacing w:val="7"/>
          <w:sz w:val="20"/>
          <w:szCs w:val="20"/>
        </w:rPr>
        <w:t>21.1.1</w:t>
      </w:r>
      <w:r>
        <w:rPr>
          <w:rFonts w:ascii="宋体" w:hAnsi="宋体" w:eastAsia="宋体" w:cs="宋体"/>
          <w:spacing w:val="-37"/>
          <w:sz w:val="20"/>
          <w:szCs w:val="20"/>
        </w:rPr>
        <w:t xml:space="preserve"> </w:t>
      </w:r>
      <w:r>
        <w:rPr>
          <w:rFonts w:ascii="宋体" w:hAnsi="宋体" w:eastAsia="宋体" w:cs="宋体"/>
          <w:spacing w:val="7"/>
          <w:sz w:val="20"/>
          <w:szCs w:val="20"/>
        </w:rPr>
        <w:t>项约定的不可抗力以外的其他情形：</w:t>
      </w:r>
      <w:r>
        <w:rPr>
          <w:rFonts w:ascii="宋体" w:hAnsi="宋体" w:eastAsia="宋体" w:cs="宋体"/>
          <w:sz w:val="20"/>
          <w:szCs w:val="20"/>
          <w:u w:val="single" w:color="auto"/>
        </w:rPr>
        <w:t xml:space="preserve">                   </w:t>
      </w:r>
    </w:p>
    <w:p w14:paraId="67B88DD4">
      <w:pPr>
        <w:spacing w:line="264" w:lineRule="auto"/>
        <w:rPr>
          <w:rFonts w:ascii="Arial"/>
          <w:sz w:val="21"/>
        </w:rPr>
      </w:pPr>
    </w:p>
    <w:p w14:paraId="4F399A4C">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A779360">
      <w:pPr>
        <w:spacing w:line="173" w:lineRule="auto"/>
        <w:rPr>
          <w:rFonts w:ascii="宋体" w:hAnsi="宋体" w:eastAsia="宋体" w:cs="宋体"/>
          <w:sz w:val="7"/>
          <w:szCs w:val="7"/>
        </w:rPr>
        <w:sectPr>
          <w:footerReference r:id="rId216" w:type="default"/>
          <w:pgSz w:w="11906" w:h="16839"/>
          <w:pgMar w:top="400" w:right="1554" w:bottom="1038" w:left="1531" w:header="0" w:footer="787" w:gutter="0"/>
          <w:cols w:space="720" w:num="1"/>
        </w:sectPr>
      </w:pPr>
    </w:p>
    <w:p w14:paraId="3911467A">
      <w:pPr>
        <w:spacing w:line="271" w:lineRule="auto"/>
        <w:rPr>
          <w:rFonts w:ascii="Arial"/>
          <w:sz w:val="21"/>
        </w:rPr>
      </w:pPr>
    </w:p>
    <w:p w14:paraId="19B28D48">
      <w:pPr>
        <w:spacing w:line="271" w:lineRule="auto"/>
        <w:rPr>
          <w:rFonts w:ascii="Arial"/>
          <w:sz w:val="21"/>
        </w:rPr>
      </w:pPr>
    </w:p>
    <w:p w14:paraId="2CD57FCB">
      <w:pPr>
        <w:spacing w:line="272" w:lineRule="auto"/>
        <w:rPr>
          <w:rFonts w:ascii="Arial"/>
          <w:sz w:val="21"/>
        </w:rPr>
      </w:pPr>
    </w:p>
    <w:p w14:paraId="52431D95">
      <w:pPr>
        <w:spacing w:line="272" w:lineRule="auto"/>
        <w:rPr>
          <w:rFonts w:ascii="Arial"/>
          <w:sz w:val="21"/>
        </w:rPr>
      </w:pPr>
    </w:p>
    <w:p w14:paraId="42B2C59C">
      <w:pPr>
        <w:spacing w:before="65" w:line="228" w:lineRule="auto"/>
        <w:ind w:left="431"/>
        <w:rPr>
          <w:rFonts w:ascii="宋体" w:hAnsi="宋体" w:eastAsia="宋体" w:cs="宋体"/>
          <w:sz w:val="20"/>
          <w:szCs w:val="20"/>
        </w:rPr>
      </w:pPr>
      <w:r>
        <w:rPr>
          <w:rFonts w:ascii="宋体" w:hAnsi="宋体" w:eastAsia="宋体" w:cs="宋体"/>
          <w:spacing w:val="9"/>
          <w:sz w:val="20"/>
          <w:szCs w:val="20"/>
        </w:rPr>
        <w:t>不可抗力的等级范围约定：</w:t>
      </w:r>
      <w:r>
        <w:rPr>
          <w:rFonts w:ascii="宋体" w:hAnsi="宋体" w:eastAsia="宋体" w:cs="宋体"/>
          <w:sz w:val="20"/>
          <w:szCs w:val="20"/>
          <w:u w:val="single" w:color="auto"/>
        </w:rPr>
        <w:t xml:space="preserve">                                                       </w:t>
      </w:r>
    </w:p>
    <w:p w14:paraId="0215A3B1">
      <w:pPr>
        <w:spacing w:before="286" w:line="45" w:lineRule="exact"/>
        <w:ind w:left="8217"/>
        <w:rPr>
          <w:rFonts w:ascii="宋体" w:hAnsi="宋体" w:eastAsia="宋体" w:cs="宋体"/>
          <w:sz w:val="20"/>
          <w:szCs w:val="20"/>
        </w:rPr>
      </w:pPr>
      <w:r>
        <w:pict>
          <v:shape id="_x0000_s1038" o:spid="_x0000_s1038" o:spt="202" type="#_x0000_t202" style="position:absolute;left:0pt;margin-left:-1pt;margin-top:6.95pt;height:14.1pt;width:411.5pt;z-index:251679744;mso-width-relative:page;mso-height-relative:page;" filled="f" stroked="f" coordsize="21600,21600">
            <v:path/>
            <v:fill on="f" focussize="0,0"/>
            <v:stroke on="f"/>
            <v:imagedata o:title=""/>
            <o:lock v:ext="edit" aspectratio="f"/>
            <v:textbox inset="0mm,0mm,0mm,0mm">
              <w:txbxContent>
                <w:p w14:paraId="0A57E216">
                  <w:pPr>
                    <w:tabs>
                      <w:tab w:val="left" w:pos="8207"/>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35376976">
      <w:pPr>
        <w:pStyle w:val="2"/>
        <w:spacing w:before="193" w:line="221" w:lineRule="auto"/>
        <w:ind w:left="5"/>
        <w:rPr>
          <w:sz w:val="24"/>
          <w:szCs w:val="24"/>
        </w:rPr>
      </w:pPr>
      <w:r>
        <w:rPr>
          <w:rFonts w:ascii="Times New Roman" w:hAnsi="Times New Roman" w:eastAsia="Times New Roman" w:cs="Times New Roman"/>
          <w:spacing w:val="-1"/>
          <w:sz w:val="24"/>
          <w:szCs w:val="24"/>
        </w:rPr>
        <w:t xml:space="preserve">21.3 </w:t>
      </w:r>
      <w:r>
        <w:rPr>
          <w:spacing w:val="-1"/>
          <w:sz w:val="24"/>
          <w:szCs w:val="24"/>
        </w:rPr>
        <w:t>不可抗力后果及其处理</w:t>
      </w:r>
    </w:p>
    <w:p w14:paraId="615FF035">
      <w:pPr>
        <w:pStyle w:val="2"/>
        <w:spacing w:before="227" w:line="229" w:lineRule="auto"/>
        <w:ind w:left="6"/>
        <w:rPr>
          <w:sz w:val="20"/>
          <w:szCs w:val="20"/>
        </w:rPr>
      </w:pPr>
      <w:r>
        <w:rPr>
          <w:spacing w:val="7"/>
          <w:sz w:val="20"/>
          <w:szCs w:val="20"/>
        </w:rPr>
        <w:t>21.3.1</w:t>
      </w:r>
      <w:r>
        <w:rPr>
          <w:spacing w:val="-36"/>
          <w:sz w:val="20"/>
          <w:szCs w:val="20"/>
        </w:rPr>
        <w:t xml:space="preserve"> </w:t>
      </w:r>
      <w:r>
        <w:rPr>
          <w:spacing w:val="7"/>
          <w:sz w:val="20"/>
          <w:szCs w:val="20"/>
        </w:rPr>
        <w:t>不可抗力造成损害的责任</w:t>
      </w:r>
    </w:p>
    <w:p w14:paraId="459A3812">
      <w:pPr>
        <w:spacing w:before="244" w:line="369" w:lineRule="auto"/>
        <w:ind w:left="10" w:right="2" w:firstLine="421"/>
        <w:rPr>
          <w:rFonts w:ascii="宋体" w:hAnsi="宋体" w:eastAsia="宋体" w:cs="宋体"/>
          <w:sz w:val="20"/>
          <w:szCs w:val="20"/>
        </w:rPr>
      </w:pPr>
      <w:r>
        <w:rPr>
          <w:rFonts w:ascii="宋体" w:hAnsi="宋体" w:eastAsia="宋体" w:cs="宋体"/>
          <w:spacing w:val="10"/>
          <w:sz w:val="20"/>
          <w:szCs w:val="20"/>
        </w:rPr>
        <w:t>不可抗力导致的人员伤亡、财产损失、费用增加和（或）</w:t>
      </w:r>
      <w:r>
        <w:rPr>
          <w:rFonts w:ascii="宋体" w:hAnsi="宋体" w:eastAsia="宋体" w:cs="宋体"/>
          <w:spacing w:val="9"/>
          <w:sz w:val="20"/>
          <w:szCs w:val="20"/>
        </w:rPr>
        <w:t>工期延误等后果，由合同双方按通</w:t>
      </w:r>
      <w:r>
        <w:rPr>
          <w:rFonts w:ascii="宋体" w:hAnsi="宋体" w:eastAsia="宋体" w:cs="宋体"/>
          <w:spacing w:val="6"/>
          <w:sz w:val="20"/>
          <w:szCs w:val="20"/>
        </w:rPr>
        <w:t>用合同条款第</w:t>
      </w:r>
      <w:r>
        <w:rPr>
          <w:rFonts w:ascii="宋体" w:hAnsi="宋体" w:eastAsia="宋体" w:cs="宋体"/>
          <w:spacing w:val="-28"/>
          <w:sz w:val="20"/>
          <w:szCs w:val="20"/>
        </w:rPr>
        <w:t xml:space="preserve"> </w:t>
      </w:r>
      <w:r>
        <w:rPr>
          <w:rFonts w:ascii="宋体" w:hAnsi="宋体" w:eastAsia="宋体" w:cs="宋体"/>
          <w:spacing w:val="6"/>
          <w:sz w:val="20"/>
          <w:szCs w:val="20"/>
        </w:rPr>
        <w:t>21.3.1</w:t>
      </w:r>
      <w:r>
        <w:rPr>
          <w:rFonts w:ascii="宋体" w:hAnsi="宋体" w:eastAsia="宋体" w:cs="宋体"/>
          <w:spacing w:val="-37"/>
          <w:sz w:val="20"/>
          <w:szCs w:val="20"/>
        </w:rPr>
        <w:t xml:space="preserve"> </w:t>
      </w:r>
      <w:r>
        <w:rPr>
          <w:rFonts w:ascii="宋体" w:hAnsi="宋体" w:eastAsia="宋体" w:cs="宋体"/>
          <w:spacing w:val="6"/>
          <w:sz w:val="20"/>
          <w:szCs w:val="20"/>
        </w:rPr>
        <w:t>项约定的原则承担。</w:t>
      </w:r>
    </w:p>
    <w:p w14:paraId="00067BA1">
      <w:pPr>
        <w:pStyle w:val="2"/>
        <w:spacing w:before="39" w:line="222" w:lineRule="auto"/>
        <w:ind w:left="6"/>
        <w:outlineLvl w:val="2"/>
        <w:rPr>
          <w:sz w:val="28"/>
          <w:szCs w:val="28"/>
        </w:rPr>
      </w:pPr>
      <w:bookmarkStart w:id="258" w:name="bookmark240"/>
      <w:bookmarkEnd w:id="258"/>
      <w:r>
        <w:rPr>
          <w:rFonts w:ascii="Times New Roman" w:hAnsi="Times New Roman" w:eastAsia="Times New Roman" w:cs="Times New Roman"/>
          <w:spacing w:val="-1"/>
          <w:sz w:val="28"/>
          <w:szCs w:val="28"/>
        </w:rPr>
        <w:t>24.</w:t>
      </w:r>
      <w:r>
        <w:rPr>
          <w:spacing w:val="-1"/>
          <w:sz w:val="28"/>
          <w:szCs w:val="28"/>
        </w:rPr>
        <w:t>争议的解决</w:t>
      </w:r>
    </w:p>
    <w:p w14:paraId="1A0D6E9D">
      <w:pPr>
        <w:pStyle w:val="2"/>
        <w:spacing w:before="99" w:line="221" w:lineRule="auto"/>
        <w:ind w:left="5"/>
        <w:rPr>
          <w:sz w:val="24"/>
          <w:szCs w:val="24"/>
        </w:rPr>
      </w:pPr>
      <w:r>
        <w:rPr>
          <w:rFonts w:ascii="Times New Roman" w:hAnsi="Times New Roman" w:eastAsia="Times New Roman" w:cs="Times New Roman"/>
          <w:spacing w:val="-2"/>
          <w:sz w:val="24"/>
          <w:szCs w:val="24"/>
        </w:rPr>
        <w:t>24.1</w:t>
      </w:r>
      <w:r>
        <w:rPr>
          <w:rFonts w:ascii="Times New Roman" w:hAnsi="Times New Roman" w:eastAsia="Times New Roman" w:cs="Times New Roman"/>
          <w:spacing w:val="16"/>
          <w:w w:val="101"/>
          <w:sz w:val="24"/>
          <w:szCs w:val="24"/>
        </w:rPr>
        <w:t xml:space="preserve"> </w:t>
      </w:r>
      <w:r>
        <w:rPr>
          <w:spacing w:val="-2"/>
          <w:sz w:val="24"/>
          <w:szCs w:val="24"/>
        </w:rPr>
        <w:t>争议的解决方式</w:t>
      </w:r>
    </w:p>
    <w:p w14:paraId="480945AD">
      <w:pPr>
        <w:spacing w:before="137" w:line="369" w:lineRule="auto"/>
        <w:ind w:left="10" w:firstLine="433"/>
        <w:rPr>
          <w:rFonts w:ascii="宋体" w:hAnsi="宋体" w:eastAsia="宋体" w:cs="宋体"/>
          <w:sz w:val="20"/>
          <w:szCs w:val="20"/>
        </w:rPr>
      </w:pPr>
      <w:r>
        <w:rPr>
          <w:rFonts w:ascii="宋体" w:hAnsi="宋体" w:eastAsia="宋体" w:cs="宋体"/>
          <w:spacing w:val="9"/>
          <w:sz w:val="20"/>
          <w:szCs w:val="20"/>
        </w:rPr>
        <w:t>因本合同引起的或与本合同有关的任何争议，合同双方友好协商不成、不愿提请争议组评审</w:t>
      </w:r>
      <w:r>
        <w:rPr>
          <w:rFonts w:ascii="宋体" w:hAnsi="宋体" w:eastAsia="宋体" w:cs="宋体"/>
          <w:spacing w:val="8"/>
          <w:sz w:val="20"/>
          <w:szCs w:val="20"/>
        </w:rPr>
        <w:t>或者不愿接受争议评审组意见的，选择下列第</w:t>
      </w:r>
      <w:r>
        <w:rPr>
          <w:rFonts w:ascii="宋体" w:hAnsi="宋体" w:eastAsia="宋体" w:cs="宋体"/>
          <w:spacing w:val="-80"/>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8"/>
          <w:sz w:val="20"/>
          <w:szCs w:val="20"/>
        </w:rPr>
        <w:t>种方式解决：</w:t>
      </w:r>
    </w:p>
    <w:p w14:paraId="0B0570DA">
      <w:pPr>
        <w:tabs>
          <w:tab w:val="left" w:pos="537"/>
        </w:tabs>
        <w:spacing w:before="2" w:line="369" w:lineRule="auto"/>
        <w:ind w:left="28" w:right="2" w:firstLine="39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6"/>
          <w:sz w:val="20"/>
          <w:szCs w:val="20"/>
          <w:u w:val="single" w:color="auto"/>
        </w:rPr>
        <w:t>（壹）</w:t>
      </w:r>
      <w:r>
        <w:rPr>
          <w:rFonts w:ascii="宋体" w:hAnsi="宋体" w:eastAsia="宋体" w:cs="宋体"/>
          <w:spacing w:val="6"/>
          <w:sz w:val="20"/>
          <w:szCs w:val="20"/>
        </w:rPr>
        <w:t>提请</w:t>
      </w:r>
      <w:r>
        <w:rPr>
          <w:rFonts w:ascii="宋体" w:hAnsi="宋体" w:eastAsia="宋体" w:cs="宋体"/>
          <w:spacing w:val="6"/>
          <w:sz w:val="20"/>
          <w:szCs w:val="20"/>
          <w:u w:val="single" w:color="auto"/>
        </w:rPr>
        <w:t xml:space="preserve">            </w:t>
      </w:r>
      <w:r>
        <w:rPr>
          <w:rFonts w:ascii="宋体" w:hAnsi="宋体" w:eastAsia="宋体" w:cs="宋体"/>
          <w:spacing w:val="-93"/>
          <w:sz w:val="20"/>
          <w:szCs w:val="20"/>
        </w:rPr>
        <w:t xml:space="preserve"> </w:t>
      </w:r>
      <w:r>
        <w:rPr>
          <w:rFonts w:ascii="宋体" w:hAnsi="宋体" w:eastAsia="宋体" w:cs="宋体"/>
          <w:spacing w:val="6"/>
          <w:sz w:val="20"/>
          <w:szCs w:val="20"/>
        </w:rPr>
        <w:t>仲裁委员会按照该会仲裁规则进行仲裁，仲裁裁决是终</w:t>
      </w:r>
      <w:r>
        <w:rPr>
          <w:rFonts w:ascii="宋体" w:hAnsi="宋体" w:eastAsia="宋体" w:cs="宋体"/>
          <w:spacing w:val="5"/>
          <w:sz w:val="20"/>
          <w:szCs w:val="20"/>
        </w:rPr>
        <w:t>局的，对合同双方均有约束力。</w:t>
      </w:r>
    </w:p>
    <w:p w14:paraId="515BA077">
      <w:pPr>
        <w:tabs>
          <w:tab w:val="left" w:pos="537"/>
        </w:tabs>
        <w:spacing w:before="1" w:line="226" w:lineRule="auto"/>
        <w:ind w:left="42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u w:val="single" w:color="auto"/>
        </w:rPr>
        <w:t>（贰）</w:t>
      </w:r>
      <w:r>
        <w:rPr>
          <w:rFonts w:ascii="宋体" w:hAnsi="宋体" w:eastAsia="宋体" w:cs="宋体"/>
          <w:spacing w:val="-53"/>
          <w:sz w:val="20"/>
          <w:szCs w:val="20"/>
          <w:u w:val="single" w:color="auto"/>
        </w:rPr>
        <w:t xml:space="preserve"> </w:t>
      </w:r>
      <w:r>
        <w:rPr>
          <w:rFonts w:ascii="宋体" w:hAnsi="宋体" w:eastAsia="宋体" w:cs="宋体"/>
          <w:sz w:val="20"/>
          <w:szCs w:val="20"/>
        </w:rPr>
        <w:t>向有管辖权的人民法院提起诉讼。</w:t>
      </w:r>
    </w:p>
    <w:p w14:paraId="7B5FDD98">
      <w:pPr>
        <w:pStyle w:val="2"/>
        <w:spacing w:before="128" w:line="222" w:lineRule="auto"/>
        <w:ind w:left="5"/>
        <w:rPr>
          <w:sz w:val="24"/>
          <w:szCs w:val="24"/>
        </w:rPr>
      </w:pPr>
      <w:r>
        <w:rPr>
          <w:rFonts w:ascii="Times New Roman" w:hAnsi="Times New Roman" w:eastAsia="Times New Roman" w:cs="Times New Roman"/>
          <w:spacing w:val="-3"/>
          <w:sz w:val="24"/>
          <w:szCs w:val="24"/>
        </w:rPr>
        <w:t>24.3</w:t>
      </w:r>
      <w:r>
        <w:rPr>
          <w:rFonts w:ascii="Times New Roman" w:hAnsi="Times New Roman" w:eastAsia="Times New Roman" w:cs="Times New Roman"/>
          <w:spacing w:val="17"/>
          <w:w w:val="101"/>
          <w:sz w:val="24"/>
          <w:szCs w:val="24"/>
        </w:rPr>
        <w:t xml:space="preserve"> </w:t>
      </w:r>
      <w:r>
        <w:rPr>
          <w:spacing w:val="-3"/>
          <w:sz w:val="24"/>
          <w:szCs w:val="24"/>
        </w:rPr>
        <w:t>争议评审</w:t>
      </w:r>
    </w:p>
    <w:p w14:paraId="34DA460A">
      <w:pPr>
        <w:spacing w:before="137" w:line="227" w:lineRule="auto"/>
        <w:ind w:left="430"/>
        <w:rPr>
          <w:rFonts w:ascii="宋体" w:hAnsi="宋体" w:eastAsia="宋体" w:cs="宋体"/>
          <w:sz w:val="20"/>
          <w:szCs w:val="20"/>
        </w:rPr>
      </w:pPr>
      <w:r>
        <w:rPr>
          <w:rFonts w:ascii="宋体" w:hAnsi="宋体" w:eastAsia="宋体" w:cs="宋体"/>
          <w:spacing w:val="8"/>
          <w:sz w:val="20"/>
          <w:szCs w:val="20"/>
        </w:rPr>
        <w:t>24.3.4</w:t>
      </w:r>
      <w:r>
        <w:rPr>
          <w:rFonts w:ascii="宋体" w:hAnsi="宋体" w:eastAsia="宋体" w:cs="宋体"/>
          <w:spacing w:val="-36"/>
          <w:sz w:val="20"/>
          <w:szCs w:val="20"/>
        </w:rPr>
        <w:t xml:space="preserve"> </w:t>
      </w:r>
      <w:r>
        <w:rPr>
          <w:rFonts w:ascii="宋体" w:hAnsi="宋体" w:eastAsia="宋体" w:cs="宋体"/>
          <w:spacing w:val="8"/>
          <w:sz w:val="20"/>
          <w:szCs w:val="20"/>
        </w:rPr>
        <w:t>争议评审组邀请合同双方代表人和有关人员举</w:t>
      </w:r>
      <w:r>
        <w:rPr>
          <w:rFonts w:ascii="宋体" w:hAnsi="宋体" w:eastAsia="宋体" w:cs="宋体"/>
          <w:spacing w:val="7"/>
          <w:sz w:val="20"/>
          <w:szCs w:val="20"/>
        </w:rPr>
        <w:t>行调查会的期限：</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7A42D03E">
      <w:pPr>
        <w:spacing w:before="155" w:line="227" w:lineRule="auto"/>
        <w:ind w:left="430"/>
        <w:rPr>
          <w:rFonts w:ascii="宋体" w:hAnsi="宋体" w:eastAsia="宋体" w:cs="宋体"/>
          <w:sz w:val="20"/>
          <w:szCs w:val="20"/>
        </w:rPr>
      </w:pPr>
      <w:r>
        <w:rPr>
          <w:rFonts w:ascii="宋体" w:hAnsi="宋体" w:eastAsia="宋体" w:cs="宋体"/>
          <w:spacing w:val="7"/>
          <w:sz w:val="20"/>
          <w:szCs w:val="20"/>
        </w:rPr>
        <w:t>24.3.5</w:t>
      </w:r>
      <w:r>
        <w:rPr>
          <w:rFonts w:ascii="宋体" w:hAnsi="宋体" w:eastAsia="宋体" w:cs="宋体"/>
          <w:spacing w:val="-36"/>
          <w:sz w:val="20"/>
          <w:szCs w:val="20"/>
        </w:rPr>
        <w:t xml:space="preserve"> </w:t>
      </w:r>
      <w:r>
        <w:rPr>
          <w:rFonts w:ascii="宋体" w:hAnsi="宋体" w:eastAsia="宋体" w:cs="宋体"/>
          <w:spacing w:val="7"/>
          <w:sz w:val="20"/>
          <w:szCs w:val="20"/>
        </w:rPr>
        <w:t>争议评审组在调查会后作出争议评审意见的期限：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0ACF715D">
      <w:pPr>
        <w:spacing w:line="227" w:lineRule="auto"/>
        <w:rPr>
          <w:rFonts w:ascii="宋体" w:hAnsi="宋体" w:eastAsia="宋体" w:cs="宋体"/>
          <w:sz w:val="20"/>
          <w:szCs w:val="20"/>
        </w:rPr>
        <w:sectPr>
          <w:footerReference r:id="rId217" w:type="default"/>
          <w:pgSz w:w="11906" w:h="16839"/>
          <w:pgMar w:top="400" w:right="1554" w:bottom="1038" w:left="1531" w:header="0" w:footer="787" w:gutter="0"/>
          <w:cols w:space="720" w:num="1"/>
        </w:sectPr>
      </w:pPr>
    </w:p>
    <w:p w14:paraId="63A8E0A5">
      <w:pPr>
        <w:spacing w:line="255" w:lineRule="auto"/>
        <w:rPr>
          <w:rFonts w:ascii="Arial"/>
          <w:sz w:val="21"/>
        </w:rPr>
      </w:pPr>
    </w:p>
    <w:p w14:paraId="47EB629A">
      <w:pPr>
        <w:spacing w:line="255" w:lineRule="auto"/>
        <w:rPr>
          <w:rFonts w:ascii="Arial"/>
          <w:sz w:val="21"/>
        </w:rPr>
      </w:pPr>
    </w:p>
    <w:p w14:paraId="605B113F">
      <w:pPr>
        <w:spacing w:line="255" w:lineRule="auto"/>
        <w:rPr>
          <w:rFonts w:ascii="Arial"/>
          <w:sz w:val="21"/>
        </w:rPr>
      </w:pPr>
    </w:p>
    <w:p w14:paraId="72C8500B">
      <w:pPr>
        <w:spacing w:line="256" w:lineRule="auto"/>
        <w:rPr>
          <w:rFonts w:ascii="Arial"/>
          <w:sz w:val="21"/>
        </w:rPr>
      </w:pPr>
    </w:p>
    <w:p w14:paraId="473F5F99">
      <w:pPr>
        <w:spacing w:line="256" w:lineRule="auto"/>
        <w:rPr>
          <w:rFonts w:ascii="Arial"/>
          <w:sz w:val="21"/>
        </w:rPr>
      </w:pPr>
    </w:p>
    <w:p w14:paraId="618B5CEE">
      <w:pPr>
        <w:spacing w:line="256" w:lineRule="auto"/>
        <w:rPr>
          <w:rFonts w:ascii="Arial"/>
          <w:sz w:val="21"/>
        </w:rPr>
      </w:pPr>
    </w:p>
    <w:p w14:paraId="71973BED">
      <w:pPr>
        <w:spacing w:line="256" w:lineRule="auto"/>
        <w:rPr>
          <w:rFonts w:ascii="Arial"/>
          <w:sz w:val="21"/>
        </w:rPr>
      </w:pPr>
    </w:p>
    <w:p w14:paraId="4259829E">
      <w:pPr>
        <w:spacing w:line="256" w:lineRule="auto"/>
        <w:rPr>
          <w:rFonts w:ascii="Arial"/>
          <w:sz w:val="21"/>
        </w:rPr>
      </w:pPr>
    </w:p>
    <w:p w14:paraId="0F3FF0E6">
      <w:pPr>
        <w:spacing w:line="256" w:lineRule="auto"/>
        <w:rPr>
          <w:rFonts w:ascii="Arial"/>
          <w:sz w:val="21"/>
        </w:rPr>
      </w:pPr>
    </w:p>
    <w:p w14:paraId="4744F491">
      <w:pPr>
        <w:spacing w:line="256" w:lineRule="auto"/>
        <w:rPr>
          <w:rFonts w:ascii="Arial"/>
          <w:sz w:val="21"/>
        </w:rPr>
      </w:pPr>
    </w:p>
    <w:p w14:paraId="05E05A66">
      <w:pPr>
        <w:spacing w:line="256" w:lineRule="auto"/>
        <w:rPr>
          <w:rFonts w:ascii="Arial"/>
          <w:sz w:val="21"/>
        </w:rPr>
      </w:pPr>
    </w:p>
    <w:p w14:paraId="270364A7">
      <w:pPr>
        <w:spacing w:line="256" w:lineRule="auto"/>
        <w:rPr>
          <w:rFonts w:ascii="Arial"/>
          <w:sz w:val="21"/>
        </w:rPr>
      </w:pPr>
    </w:p>
    <w:p w14:paraId="2058C280">
      <w:pPr>
        <w:spacing w:line="256" w:lineRule="auto"/>
        <w:rPr>
          <w:rFonts w:ascii="Arial"/>
          <w:sz w:val="21"/>
        </w:rPr>
      </w:pPr>
    </w:p>
    <w:p w14:paraId="3B613793">
      <w:pPr>
        <w:spacing w:line="256" w:lineRule="auto"/>
        <w:rPr>
          <w:rFonts w:ascii="Arial"/>
          <w:sz w:val="21"/>
        </w:rPr>
      </w:pPr>
    </w:p>
    <w:p w14:paraId="6A15A5E4">
      <w:pPr>
        <w:pStyle w:val="2"/>
        <w:spacing w:before="91" w:line="222" w:lineRule="auto"/>
        <w:ind w:left="2765"/>
        <w:outlineLvl w:val="1"/>
        <w:rPr>
          <w:sz w:val="28"/>
          <w:szCs w:val="28"/>
        </w:rPr>
      </w:pPr>
      <w:bookmarkStart w:id="259" w:name="bookmark241"/>
      <w:bookmarkEnd w:id="259"/>
      <w:r>
        <w:rPr>
          <w:spacing w:val="-1"/>
          <w:sz w:val="28"/>
          <w:szCs w:val="28"/>
        </w:rPr>
        <w:t>第三节  合同附件格式</w:t>
      </w:r>
    </w:p>
    <w:p w14:paraId="0477DB6D">
      <w:pPr>
        <w:spacing w:line="222" w:lineRule="auto"/>
        <w:rPr>
          <w:sz w:val="28"/>
          <w:szCs w:val="28"/>
        </w:rPr>
        <w:sectPr>
          <w:footerReference r:id="rId218" w:type="default"/>
          <w:pgSz w:w="11906" w:h="16839"/>
          <w:pgMar w:top="400" w:right="1785" w:bottom="1038" w:left="1785" w:header="0" w:footer="787" w:gutter="0"/>
          <w:cols w:space="720" w:num="1"/>
        </w:sectPr>
      </w:pPr>
    </w:p>
    <w:p w14:paraId="168F8176">
      <w:pPr>
        <w:rPr>
          <w:rFonts w:ascii="Arial"/>
          <w:sz w:val="21"/>
        </w:rPr>
      </w:pPr>
    </w:p>
    <w:p w14:paraId="1A9EC1BF">
      <w:pPr>
        <w:spacing w:line="241" w:lineRule="auto"/>
        <w:rPr>
          <w:rFonts w:ascii="Arial"/>
          <w:sz w:val="21"/>
        </w:rPr>
      </w:pPr>
    </w:p>
    <w:p w14:paraId="2745529D">
      <w:pPr>
        <w:spacing w:line="241" w:lineRule="auto"/>
        <w:rPr>
          <w:rFonts w:ascii="Arial"/>
          <w:sz w:val="21"/>
        </w:rPr>
      </w:pPr>
    </w:p>
    <w:p w14:paraId="23FB371D">
      <w:pPr>
        <w:spacing w:line="241" w:lineRule="auto"/>
        <w:rPr>
          <w:rFonts w:ascii="Arial"/>
          <w:sz w:val="21"/>
        </w:rPr>
      </w:pPr>
    </w:p>
    <w:p w14:paraId="78910FCA">
      <w:pPr>
        <w:spacing w:line="241" w:lineRule="auto"/>
        <w:rPr>
          <w:rFonts w:ascii="Arial"/>
          <w:sz w:val="21"/>
        </w:rPr>
      </w:pPr>
    </w:p>
    <w:p w14:paraId="2C4E93E0">
      <w:pPr>
        <w:spacing w:line="241" w:lineRule="auto"/>
        <w:rPr>
          <w:rFonts w:ascii="Arial"/>
          <w:sz w:val="21"/>
        </w:rPr>
      </w:pPr>
    </w:p>
    <w:p w14:paraId="5975D9C9">
      <w:pPr>
        <w:pStyle w:val="2"/>
        <w:spacing w:before="78" w:line="222" w:lineRule="auto"/>
        <w:ind w:left="14"/>
        <w:rPr>
          <w:sz w:val="24"/>
          <w:szCs w:val="24"/>
        </w:rPr>
      </w:pPr>
      <w:r>
        <w:rPr>
          <w:spacing w:val="-3"/>
          <w:sz w:val="24"/>
          <w:szCs w:val="24"/>
        </w:rPr>
        <w:t>附件一：合同协议书</w:t>
      </w:r>
    </w:p>
    <w:p w14:paraId="5471C161">
      <w:pPr>
        <w:spacing w:line="382" w:lineRule="auto"/>
        <w:rPr>
          <w:rFonts w:ascii="Arial"/>
          <w:sz w:val="21"/>
        </w:rPr>
      </w:pPr>
    </w:p>
    <w:p w14:paraId="552C3173">
      <w:pPr>
        <w:pStyle w:val="2"/>
        <w:spacing w:before="91" w:line="222" w:lineRule="auto"/>
        <w:ind w:left="3992"/>
        <w:rPr>
          <w:sz w:val="28"/>
          <w:szCs w:val="28"/>
        </w:rPr>
      </w:pPr>
      <w:r>
        <w:rPr>
          <w:spacing w:val="-3"/>
          <w:sz w:val="28"/>
          <w:szCs w:val="28"/>
        </w:rPr>
        <w:t>合同协议书</w:t>
      </w:r>
    </w:p>
    <w:p w14:paraId="1327625F">
      <w:pPr>
        <w:spacing w:line="456" w:lineRule="auto"/>
        <w:rPr>
          <w:rFonts w:ascii="Arial"/>
          <w:sz w:val="21"/>
        </w:rPr>
      </w:pPr>
    </w:p>
    <w:p w14:paraId="474D9A76">
      <w:pPr>
        <w:spacing w:before="65" w:line="352" w:lineRule="auto"/>
        <w:ind w:left="3" w:firstLine="6615"/>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发包人（全称</w:t>
      </w:r>
      <w:r>
        <w:rPr>
          <w:rFonts w:ascii="宋体" w:hAnsi="宋体" w:eastAsia="宋体" w:cs="宋体"/>
          <w:spacing w:val="-52"/>
          <w:sz w:val="20"/>
          <w:szCs w:val="20"/>
        </w:rPr>
        <w:t>）：</w:t>
      </w:r>
      <w:r>
        <w:rPr>
          <w:rFonts w:ascii="宋体" w:hAnsi="宋体" w:eastAsia="宋体" w:cs="宋体"/>
          <w:spacing w:val="-77"/>
          <w:sz w:val="20"/>
          <w:szCs w:val="20"/>
        </w:rPr>
        <w:t xml:space="preserve"> </w:t>
      </w:r>
      <w:r>
        <w:rPr>
          <w:rFonts w:ascii="宋体" w:hAnsi="宋体" w:eastAsia="宋体" w:cs="宋体"/>
          <w:sz w:val="20"/>
          <w:szCs w:val="20"/>
          <w:u w:val="single" w:color="auto"/>
        </w:rPr>
        <w:t xml:space="preserve">                                                                     </w:t>
      </w:r>
    </w:p>
    <w:p w14:paraId="42B48F54">
      <w:pPr>
        <w:spacing w:before="1" w:line="227" w:lineRule="auto"/>
        <w:rPr>
          <w:rFonts w:ascii="宋体" w:hAnsi="宋体" w:eastAsia="宋体" w:cs="宋体"/>
          <w:sz w:val="20"/>
          <w:szCs w:val="20"/>
        </w:rPr>
      </w:pPr>
      <w:r>
        <w:rPr>
          <w:rFonts w:ascii="宋体" w:hAnsi="宋体" w:eastAsia="宋体" w:cs="宋体"/>
          <w:spacing w:val="-5"/>
          <w:sz w:val="20"/>
          <w:szCs w:val="20"/>
        </w:rPr>
        <w:t>法</w:t>
      </w:r>
      <w:r>
        <w:rPr>
          <w:rFonts w:ascii="宋体" w:hAnsi="宋体" w:eastAsia="宋体" w:cs="宋体"/>
          <w:spacing w:val="-24"/>
          <w:sz w:val="20"/>
          <w:szCs w:val="20"/>
        </w:rPr>
        <w:t xml:space="preserve"> </w:t>
      </w:r>
      <w:r>
        <w:rPr>
          <w:rFonts w:ascii="宋体" w:hAnsi="宋体" w:eastAsia="宋体" w:cs="宋体"/>
          <w:spacing w:val="-5"/>
          <w:sz w:val="20"/>
          <w:szCs w:val="20"/>
        </w:rPr>
        <w:t>定</w:t>
      </w:r>
      <w:r>
        <w:rPr>
          <w:rFonts w:ascii="宋体" w:hAnsi="宋体" w:eastAsia="宋体" w:cs="宋体"/>
          <w:spacing w:val="-30"/>
          <w:sz w:val="20"/>
          <w:szCs w:val="20"/>
        </w:rPr>
        <w:t xml:space="preserve"> </w:t>
      </w:r>
      <w:r>
        <w:rPr>
          <w:rFonts w:ascii="宋体" w:hAnsi="宋体" w:eastAsia="宋体" w:cs="宋体"/>
          <w:spacing w:val="-5"/>
          <w:sz w:val="20"/>
          <w:szCs w:val="20"/>
        </w:rPr>
        <w:t>代</w:t>
      </w:r>
      <w:r>
        <w:rPr>
          <w:rFonts w:ascii="宋体" w:hAnsi="宋体" w:eastAsia="宋体" w:cs="宋体"/>
          <w:spacing w:val="-33"/>
          <w:sz w:val="20"/>
          <w:szCs w:val="20"/>
        </w:rPr>
        <w:t xml:space="preserve"> </w:t>
      </w:r>
      <w:r>
        <w:rPr>
          <w:rFonts w:ascii="宋体" w:hAnsi="宋体" w:eastAsia="宋体" w:cs="宋体"/>
          <w:spacing w:val="-5"/>
          <w:sz w:val="20"/>
          <w:szCs w:val="20"/>
        </w:rPr>
        <w:t>表</w:t>
      </w:r>
      <w:r>
        <w:rPr>
          <w:rFonts w:ascii="宋体" w:hAnsi="宋体" w:eastAsia="宋体" w:cs="宋体"/>
          <w:spacing w:val="-28"/>
          <w:sz w:val="20"/>
          <w:szCs w:val="20"/>
        </w:rPr>
        <w:t xml:space="preserve"> </w:t>
      </w:r>
      <w:r>
        <w:rPr>
          <w:rFonts w:ascii="宋体" w:hAnsi="宋体" w:eastAsia="宋体" w:cs="宋体"/>
          <w:spacing w:val="-5"/>
          <w:sz w:val="20"/>
          <w:szCs w:val="20"/>
        </w:rPr>
        <w:t>人</w:t>
      </w:r>
      <w:r>
        <w:rPr>
          <w:rFonts w:ascii="宋体" w:hAnsi="宋体" w:eastAsia="宋体" w:cs="宋体"/>
          <w:spacing w:val="-14"/>
          <w:sz w:val="20"/>
          <w:szCs w:val="20"/>
        </w:rPr>
        <w:t xml:space="preserve"> </w:t>
      </w:r>
      <w:r>
        <w:rPr>
          <w:rFonts w:ascii="宋体" w:hAnsi="宋体" w:eastAsia="宋体" w:cs="宋体"/>
          <w:spacing w:val="-5"/>
          <w:sz w:val="20"/>
          <w:szCs w:val="20"/>
        </w:rPr>
        <w:t>：</w:t>
      </w:r>
      <w:r>
        <w:rPr>
          <w:rFonts w:ascii="宋体" w:hAnsi="宋体" w:eastAsia="宋体" w:cs="宋体"/>
          <w:spacing w:val="-73"/>
          <w:sz w:val="20"/>
          <w:szCs w:val="20"/>
        </w:rPr>
        <w:t xml:space="preserve"> </w:t>
      </w:r>
      <w:r>
        <w:rPr>
          <w:rFonts w:ascii="宋体" w:hAnsi="宋体" w:eastAsia="宋体" w:cs="宋体"/>
          <w:sz w:val="20"/>
          <w:szCs w:val="20"/>
          <w:u w:val="single" w:color="auto"/>
        </w:rPr>
        <w:t xml:space="preserve">                                                                     </w:t>
      </w:r>
    </w:p>
    <w:p w14:paraId="0FB0B329">
      <w:pPr>
        <w:spacing w:before="135" w:line="228" w:lineRule="auto"/>
        <w:rPr>
          <w:rFonts w:ascii="宋体" w:hAnsi="宋体" w:eastAsia="宋体" w:cs="宋体"/>
          <w:sz w:val="20"/>
          <w:szCs w:val="20"/>
        </w:rPr>
      </w:pPr>
      <w:r>
        <w:rPr>
          <w:rFonts w:ascii="宋体" w:hAnsi="宋体" w:eastAsia="宋体" w:cs="宋体"/>
          <w:spacing w:val="21"/>
          <w:sz w:val="20"/>
          <w:szCs w:val="20"/>
        </w:rPr>
        <w:t>法定注册地址：</w:t>
      </w:r>
      <w:r>
        <w:rPr>
          <w:rFonts w:ascii="宋体" w:hAnsi="宋体" w:eastAsia="宋体" w:cs="宋体"/>
          <w:spacing w:val="-48"/>
          <w:sz w:val="20"/>
          <w:szCs w:val="20"/>
        </w:rPr>
        <w:t xml:space="preserve"> </w:t>
      </w:r>
      <w:r>
        <w:rPr>
          <w:rFonts w:ascii="宋体" w:hAnsi="宋体" w:eastAsia="宋体" w:cs="宋体"/>
          <w:sz w:val="20"/>
          <w:szCs w:val="20"/>
          <w:u w:val="single" w:color="auto"/>
        </w:rPr>
        <w:t xml:space="preserve">                                                                     </w:t>
      </w:r>
    </w:p>
    <w:p w14:paraId="18E33638">
      <w:pPr>
        <w:spacing w:line="464" w:lineRule="auto"/>
        <w:rPr>
          <w:rFonts w:ascii="Arial"/>
          <w:sz w:val="21"/>
        </w:rPr>
      </w:pPr>
    </w:p>
    <w:p w14:paraId="63692BCC">
      <w:pPr>
        <w:spacing w:before="65" w:line="228" w:lineRule="auto"/>
        <w:rPr>
          <w:rFonts w:ascii="宋体" w:hAnsi="宋体" w:eastAsia="宋体" w:cs="宋体"/>
          <w:sz w:val="20"/>
          <w:szCs w:val="20"/>
        </w:rPr>
      </w:pPr>
      <w:r>
        <w:rPr>
          <w:rFonts w:ascii="宋体" w:hAnsi="宋体" w:eastAsia="宋体" w:cs="宋体"/>
          <w:spacing w:val="4"/>
          <w:sz w:val="20"/>
          <w:szCs w:val="20"/>
        </w:rPr>
        <w:t>承包人（全称）</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504C9137">
      <w:pPr>
        <w:spacing w:before="133" w:line="228" w:lineRule="auto"/>
        <w:rPr>
          <w:rFonts w:ascii="宋体" w:hAnsi="宋体" w:eastAsia="宋体" w:cs="宋体"/>
          <w:sz w:val="20"/>
          <w:szCs w:val="20"/>
        </w:rPr>
      </w:pPr>
      <w:r>
        <w:rPr>
          <w:rFonts w:ascii="宋体" w:hAnsi="宋体" w:eastAsia="宋体" w:cs="宋体"/>
          <w:spacing w:val="-5"/>
          <w:sz w:val="20"/>
          <w:szCs w:val="20"/>
        </w:rPr>
        <w:t>法</w:t>
      </w:r>
      <w:r>
        <w:rPr>
          <w:rFonts w:ascii="宋体" w:hAnsi="宋体" w:eastAsia="宋体" w:cs="宋体"/>
          <w:spacing w:val="-24"/>
          <w:sz w:val="20"/>
          <w:szCs w:val="20"/>
        </w:rPr>
        <w:t xml:space="preserve"> </w:t>
      </w:r>
      <w:r>
        <w:rPr>
          <w:rFonts w:ascii="宋体" w:hAnsi="宋体" w:eastAsia="宋体" w:cs="宋体"/>
          <w:spacing w:val="-5"/>
          <w:sz w:val="20"/>
          <w:szCs w:val="20"/>
        </w:rPr>
        <w:t>定</w:t>
      </w:r>
      <w:r>
        <w:rPr>
          <w:rFonts w:ascii="宋体" w:hAnsi="宋体" w:eastAsia="宋体" w:cs="宋体"/>
          <w:spacing w:val="-30"/>
          <w:sz w:val="20"/>
          <w:szCs w:val="20"/>
        </w:rPr>
        <w:t xml:space="preserve"> </w:t>
      </w:r>
      <w:r>
        <w:rPr>
          <w:rFonts w:ascii="宋体" w:hAnsi="宋体" w:eastAsia="宋体" w:cs="宋体"/>
          <w:spacing w:val="-5"/>
          <w:sz w:val="20"/>
          <w:szCs w:val="20"/>
        </w:rPr>
        <w:t>代</w:t>
      </w:r>
      <w:r>
        <w:rPr>
          <w:rFonts w:ascii="宋体" w:hAnsi="宋体" w:eastAsia="宋体" w:cs="宋体"/>
          <w:spacing w:val="-33"/>
          <w:sz w:val="20"/>
          <w:szCs w:val="20"/>
        </w:rPr>
        <w:t xml:space="preserve"> </w:t>
      </w:r>
      <w:r>
        <w:rPr>
          <w:rFonts w:ascii="宋体" w:hAnsi="宋体" w:eastAsia="宋体" w:cs="宋体"/>
          <w:spacing w:val="-5"/>
          <w:sz w:val="20"/>
          <w:szCs w:val="20"/>
        </w:rPr>
        <w:t>表</w:t>
      </w:r>
      <w:r>
        <w:rPr>
          <w:rFonts w:ascii="宋体" w:hAnsi="宋体" w:eastAsia="宋体" w:cs="宋体"/>
          <w:spacing w:val="-28"/>
          <w:sz w:val="20"/>
          <w:szCs w:val="20"/>
        </w:rPr>
        <w:t xml:space="preserve"> </w:t>
      </w:r>
      <w:r>
        <w:rPr>
          <w:rFonts w:ascii="宋体" w:hAnsi="宋体" w:eastAsia="宋体" w:cs="宋体"/>
          <w:spacing w:val="-5"/>
          <w:sz w:val="20"/>
          <w:szCs w:val="20"/>
        </w:rPr>
        <w:t>人</w:t>
      </w:r>
      <w:r>
        <w:rPr>
          <w:rFonts w:ascii="宋体" w:hAnsi="宋体" w:eastAsia="宋体" w:cs="宋体"/>
          <w:spacing w:val="-14"/>
          <w:sz w:val="20"/>
          <w:szCs w:val="20"/>
        </w:rPr>
        <w:t xml:space="preserve"> </w:t>
      </w:r>
      <w:r>
        <w:rPr>
          <w:rFonts w:ascii="宋体" w:hAnsi="宋体" w:eastAsia="宋体" w:cs="宋体"/>
          <w:spacing w:val="-5"/>
          <w:sz w:val="20"/>
          <w:szCs w:val="20"/>
        </w:rPr>
        <w:t>：</w:t>
      </w:r>
      <w:r>
        <w:rPr>
          <w:rFonts w:ascii="宋体" w:hAnsi="宋体" w:eastAsia="宋体" w:cs="宋体"/>
          <w:spacing w:val="-32"/>
          <w:sz w:val="20"/>
          <w:szCs w:val="20"/>
        </w:rPr>
        <w:t xml:space="preserve"> </w:t>
      </w:r>
      <w:r>
        <w:rPr>
          <w:rFonts w:ascii="宋体" w:hAnsi="宋体" w:eastAsia="宋体" w:cs="宋体"/>
          <w:sz w:val="20"/>
          <w:szCs w:val="20"/>
          <w:u w:val="single" w:color="auto"/>
        </w:rPr>
        <w:t xml:space="preserve">                                                                     </w:t>
      </w:r>
    </w:p>
    <w:p w14:paraId="4FF50A69">
      <w:pPr>
        <w:spacing w:before="133" w:line="228" w:lineRule="auto"/>
        <w:rPr>
          <w:rFonts w:ascii="宋体" w:hAnsi="宋体" w:eastAsia="宋体" w:cs="宋体"/>
          <w:sz w:val="20"/>
          <w:szCs w:val="20"/>
        </w:rPr>
      </w:pPr>
      <w:r>
        <w:rPr>
          <w:rFonts w:ascii="宋体" w:hAnsi="宋体" w:eastAsia="宋体" w:cs="宋体"/>
          <w:spacing w:val="21"/>
          <w:sz w:val="20"/>
          <w:szCs w:val="20"/>
        </w:rPr>
        <w:t>法定注册地址：</w:t>
      </w:r>
      <w:r>
        <w:rPr>
          <w:rFonts w:ascii="宋体" w:hAnsi="宋体" w:eastAsia="宋体" w:cs="宋体"/>
          <w:spacing w:val="-48"/>
          <w:sz w:val="20"/>
          <w:szCs w:val="20"/>
        </w:rPr>
        <w:t xml:space="preserve"> </w:t>
      </w:r>
      <w:r>
        <w:rPr>
          <w:rFonts w:ascii="宋体" w:hAnsi="宋体" w:eastAsia="宋体" w:cs="宋体"/>
          <w:sz w:val="20"/>
          <w:szCs w:val="20"/>
          <w:u w:val="single" w:color="auto"/>
        </w:rPr>
        <w:t xml:space="preserve">                                                                     </w:t>
      </w:r>
    </w:p>
    <w:p w14:paraId="1137B82B">
      <w:pPr>
        <w:spacing w:before="219" w:line="267" w:lineRule="auto"/>
        <w:ind w:firstLine="422"/>
        <w:jc w:val="both"/>
        <w:rPr>
          <w:rFonts w:ascii="宋体" w:hAnsi="宋体" w:eastAsia="宋体" w:cs="宋体"/>
          <w:sz w:val="20"/>
          <w:szCs w:val="20"/>
        </w:rPr>
      </w:pPr>
      <w:r>
        <w:rPr>
          <w:rFonts w:ascii="宋体" w:hAnsi="宋体" w:eastAsia="宋体" w:cs="宋体"/>
          <w:spacing w:val="5"/>
          <w:sz w:val="20"/>
          <w:szCs w:val="20"/>
        </w:rPr>
        <w:t>发包人为建设</w:t>
      </w:r>
      <w:r>
        <w:rPr>
          <w:rFonts w:ascii="宋体" w:hAnsi="宋体" w:eastAsia="宋体" w:cs="宋体"/>
          <w:spacing w:val="-96"/>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（以下简称“本工程”</w:t>
      </w:r>
      <w:r>
        <w:rPr>
          <w:rFonts w:ascii="宋体" w:hAnsi="宋体" w:eastAsia="宋体" w:cs="宋体"/>
          <w:spacing w:val="-37"/>
          <w:w w:val="70"/>
          <w:sz w:val="20"/>
          <w:szCs w:val="20"/>
        </w:rPr>
        <w:t>），</w:t>
      </w:r>
      <w:r>
        <w:rPr>
          <w:rFonts w:ascii="宋体" w:hAnsi="宋体" w:eastAsia="宋体" w:cs="宋体"/>
          <w:spacing w:val="5"/>
          <w:sz w:val="20"/>
          <w:szCs w:val="20"/>
        </w:rPr>
        <w:t>已接受承</w:t>
      </w:r>
      <w:r>
        <w:rPr>
          <w:rFonts w:ascii="宋体" w:hAnsi="宋体" w:eastAsia="宋体" w:cs="宋体"/>
          <w:spacing w:val="4"/>
          <w:sz w:val="20"/>
          <w:szCs w:val="20"/>
        </w:rPr>
        <w:t>包人提</w:t>
      </w:r>
      <w:r>
        <w:rPr>
          <w:rFonts w:ascii="宋体" w:hAnsi="宋体" w:eastAsia="宋体" w:cs="宋体"/>
          <w:spacing w:val="10"/>
          <w:sz w:val="20"/>
          <w:szCs w:val="20"/>
        </w:rPr>
        <w:t>出的承担本工程的施工、竣工、交付并维修其任何缺陷的投标。依照《</w:t>
      </w:r>
      <w:r>
        <w:rPr>
          <w:rFonts w:ascii="宋体" w:hAnsi="宋体" w:eastAsia="宋体" w:cs="宋体"/>
          <w:spacing w:val="9"/>
          <w:sz w:val="20"/>
          <w:szCs w:val="20"/>
        </w:rPr>
        <w:t>中华人民共和国招标投标</w:t>
      </w:r>
      <w:r>
        <w:rPr>
          <w:rFonts w:ascii="宋体" w:hAnsi="宋体" w:eastAsia="宋体" w:cs="宋体"/>
          <w:spacing w:val="-4"/>
          <w:sz w:val="20"/>
          <w:szCs w:val="20"/>
        </w:rPr>
        <w:t>法》、《中华人民共和国民法典》、《中华人民共和国建筑法》、及其他有关法</w:t>
      </w:r>
      <w:r>
        <w:rPr>
          <w:rFonts w:ascii="宋体" w:hAnsi="宋体" w:eastAsia="宋体" w:cs="宋体"/>
          <w:spacing w:val="-5"/>
          <w:sz w:val="20"/>
          <w:szCs w:val="20"/>
        </w:rPr>
        <w:t>律、行政法规，遵循平</w:t>
      </w:r>
    </w:p>
    <w:sdt>
      <w:sdtPr>
        <w:rPr>
          <w:rFonts w:ascii="宋体" w:hAnsi="宋体" w:eastAsia="宋体" w:cs="宋体"/>
          <w:sz w:val="20"/>
          <w:szCs w:val="20"/>
        </w:rPr>
        <w:id w:val="147481942"/>
        <w:docPartObj>
          <w:docPartGallery w:val="Table of Contents"/>
          <w:docPartUnique/>
        </w:docPartObj>
      </w:sdtPr>
      <w:sdtEndPr>
        <w:rPr>
          <w:rFonts w:ascii="宋体" w:hAnsi="宋体" w:eastAsia="宋体" w:cs="宋体"/>
          <w:sz w:val="20"/>
          <w:szCs w:val="20"/>
        </w:rPr>
      </w:sdtEndPr>
      <w:sdtContent>
        <w:p w14:paraId="065CA621">
          <w:pPr>
            <w:spacing w:line="227" w:lineRule="auto"/>
            <w:ind w:left="1"/>
            <w:rPr>
              <w:rFonts w:ascii="宋体" w:hAnsi="宋体" w:eastAsia="宋体" w:cs="宋体"/>
              <w:sz w:val="20"/>
              <w:szCs w:val="20"/>
            </w:rPr>
          </w:pPr>
          <w:r>
            <w:rPr>
              <w:rFonts w:ascii="宋体" w:hAnsi="宋体" w:eastAsia="宋体" w:cs="宋体"/>
              <w:spacing w:val="7"/>
              <w:sz w:val="20"/>
              <w:szCs w:val="20"/>
            </w:rPr>
            <w:t>等、</w:t>
          </w:r>
          <w:r>
            <w:rPr>
              <w:rFonts w:ascii="宋体" w:hAnsi="宋体" w:eastAsia="宋体" w:cs="宋体"/>
              <w:spacing w:val="-33"/>
              <w:sz w:val="20"/>
              <w:szCs w:val="20"/>
            </w:rPr>
            <w:t xml:space="preserve"> </w:t>
          </w:r>
          <w:r>
            <w:rPr>
              <w:rFonts w:ascii="宋体" w:hAnsi="宋体" w:eastAsia="宋体" w:cs="宋体"/>
              <w:spacing w:val="7"/>
              <w:sz w:val="20"/>
              <w:szCs w:val="20"/>
            </w:rPr>
            <w:t>自愿、公平和诚实信用的原则，双方共同达成并订立如下协议。</w:t>
          </w:r>
        </w:p>
        <w:p w14:paraId="12754170">
          <w:pPr>
            <w:pStyle w:val="2"/>
            <w:spacing w:before="45" w:line="229" w:lineRule="auto"/>
            <w:ind w:left="423"/>
            <w:rPr>
              <w:sz w:val="20"/>
              <w:szCs w:val="20"/>
            </w:rPr>
          </w:pPr>
          <w:r>
            <w:rPr>
              <w:spacing w:val="7"/>
              <w:sz w:val="20"/>
              <w:szCs w:val="20"/>
            </w:rPr>
            <w:t>一、工程概况</w:t>
          </w:r>
        </w:p>
        <w:p w14:paraId="3618A4D0">
          <w:pPr>
            <w:spacing w:before="42" w:line="228" w:lineRule="auto"/>
            <w:ind w:left="422"/>
            <w:rPr>
              <w:rFonts w:ascii="宋体" w:hAnsi="宋体" w:eastAsia="宋体" w:cs="宋体"/>
              <w:sz w:val="20"/>
              <w:szCs w:val="20"/>
            </w:rPr>
          </w:pPr>
          <w:r>
            <w:rPr>
              <w:rFonts w:ascii="宋体" w:hAnsi="宋体" w:eastAsia="宋体" w:cs="宋体"/>
              <w:spacing w:val="12"/>
              <w:sz w:val="20"/>
              <w:szCs w:val="20"/>
            </w:rPr>
            <w:t>工程名称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 xml:space="preserve"> </w:t>
          </w:r>
          <w:r>
            <w:rPr>
              <w:rFonts w:ascii="宋体" w:hAnsi="宋体" w:eastAsia="宋体" w:cs="宋体"/>
              <w:spacing w:val="-4"/>
              <w:sz w:val="20"/>
              <w:szCs w:val="20"/>
            </w:rPr>
            <w:t>（</w:t>
          </w:r>
          <w:r>
            <w:rPr>
              <w:rFonts w:ascii="宋体" w:hAnsi="宋体" w:eastAsia="宋体" w:cs="宋体"/>
              <w:spacing w:val="12"/>
              <w:sz w:val="20"/>
              <w:szCs w:val="20"/>
            </w:rPr>
            <w:t>项目名称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2"/>
              <w:sz w:val="20"/>
              <w:szCs w:val="20"/>
            </w:rPr>
            <w:t>标段名称）</w:t>
          </w:r>
        </w:p>
        <w:p w14:paraId="11A086CC">
          <w:pPr>
            <w:spacing w:before="43" w:line="228" w:lineRule="auto"/>
            <w:ind w:left="422"/>
            <w:rPr>
              <w:rFonts w:ascii="宋体" w:hAnsi="宋体" w:eastAsia="宋体" w:cs="宋体"/>
              <w:sz w:val="20"/>
              <w:szCs w:val="20"/>
            </w:rPr>
          </w:pPr>
          <w:r>
            <w:rPr>
              <w:rFonts w:ascii="宋体" w:hAnsi="宋体" w:eastAsia="宋体" w:cs="宋体"/>
              <w:spacing w:val="3"/>
              <w:sz w:val="20"/>
              <w:szCs w:val="20"/>
            </w:rPr>
            <w:t>工程地点：</w:t>
          </w:r>
          <w:r>
            <w:rPr>
              <w:rFonts w:ascii="宋体" w:hAnsi="宋体" w:eastAsia="宋体" w:cs="宋体"/>
              <w:spacing w:val="3"/>
              <w:sz w:val="20"/>
              <w:szCs w:val="20"/>
              <w:u w:val="single" w:color="auto"/>
            </w:rPr>
            <w:t xml:space="preserve">                                                  </w:t>
          </w:r>
        </w:p>
        <w:p w14:paraId="6059EC62">
          <w:pPr>
            <w:spacing w:before="43" w:line="228" w:lineRule="auto"/>
            <w:ind w:left="422"/>
            <w:rPr>
              <w:rFonts w:ascii="宋体" w:hAnsi="宋体" w:eastAsia="宋体" w:cs="宋体"/>
              <w:sz w:val="20"/>
              <w:szCs w:val="20"/>
            </w:rPr>
          </w:pPr>
          <w:r>
            <w:rPr>
              <w:rFonts w:ascii="宋体" w:hAnsi="宋体" w:eastAsia="宋体" w:cs="宋体"/>
              <w:spacing w:val="3"/>
              <w:sz w:val="20"/>
              <w:szCs w:val="20"/>
            </w:rPr>
            <w:t>工程内容：</w:t>
          </w:r>
          <w:r>
            <w:rPr>
              <w:rFonts w:ascii="宋体" w:hAnsi="宋体" w:eastAsia="宋体" w:cs="宋体"/>
              <w:spacing w:val="3"/>
              <w:sz w:val="20"/>
              <w:szCs w:val="20"/>
              <w:u w:val="single" w:color="auto"/>
            </w:rPr>
            <w:t xml:space="preserve">                                                  </w:t>
          </w:r>
        </w:p>
        <w:p w14:paraId="1AAB5DF7">
          <w:pPr>
            <w:spacing w:before="41" w:line="227" w:lineRule="auto"/>
            <w:ind w:left="420"/>
            <w:rPr>
              <w:rFonts w:ascii="宋体" w:hAnsi="宋体" w:eastAsia="宋体" w:cs="宋体"/>
              <w:sz w:val="20"/>
              <w:szCs w:val="20"/>
            </w:rPr>
          </w:pPr>
          <w:r>
            <w:rPr>
              <w:rFonts w:ascii="宋体" w:hAnsi="宋体" w:eastAsia="宋体" w:cs="宋体"/>
              <w:spacing w:val="2"/>
              <w:sz w:val="20"/>
              <w:szCs w:val="20"/>
            </w:rPr>
            <w:t>群体工程应附“承包人承揽工程项目一览表</w:t>
          </w:r>
          <w:r>
            <w:rPr>
              <w:rFonts w:ascii="宋体" w:hAnsi="宋体" w:eastAsia="宋体" w:cs="宋体"/>
              <w:spacing w:val="-56"/>
              <w:sz w:val="20"/>
              <w:szCs w:val="20"/>
            </w:rPr>
            <w:t xml:space="preserve"> </w:t>
          </w:r>
          <w:r>
            <w:rPr>
              <w:rFonts w:ascii="宋体" w:hAnsi="宋体" w:eastAsia="宋体" w:cs="宋体"/>
              <w:spacing w:val="2"/>
              <w:sz w:val="20"/>
              <w:szCs w:val="20"/>
            </w:rPr>
            <w:t>”（附件</w:t>
          </w:r>
          <w:r>
            <w:rPr>
              <w:rFonts w:ascii="宋体" w:hAnsi="宋体" w:eastAsia="宋体" w:cs="宋体"/>
              <w:spacing w:val="-23"/>
              <w:sz w:val="20"/>
              <w:szCs w:val="20"/>
            </w:rPr>
            <w:t xml:space="preserve"> </w:t>
          </w:r>
          <w:r>
            <w:fldChar w:fldCharType="begin"/>
          </w:r>
          <w:r>
            <w:instrText xml:space="preserve"> HYPERLINK \l "bookmark467" </w:instrText>
          </w:r>
          <w:r>
            <w:fldChar w:fldCharType="separate"/>
          </w:r>
          <w:r>
            <w:rPr>
              <w:rFonts w:ascii="Times New Roman" w:hAnsi="Times New Roman" w:eastAsia="Times New Roman" w:cs="Times New Roman"/>
              <w:spacing w:val="2"/>
              <w:sz w:val="20"/>
              <w:szCs w:val="20"/>
            </w:rPr>
            <w:t>1</w:t>
          </w:r>
          <w:r>
            <w:rPr>
              <w:rFonts w:ascii="Times New Roman" w:hAnsi="Times New Roman" w:eastAsia="Times New Roman" w:cs="Times New Roman"/>
              <w:spacing w:val="2"/>
              <w:sz w:val="20"/>
              <w:szCs w:val="20"/>
            </w:rPr>
            <w:fldChar w:fldCharType="end"/>
          </w:r>
          <w:r>
            <w:rPr>
              <w:rFonts w:ascii="宋体" w:hAnsi="宋体" w:eastAsia="宋体" w:cs="宋体"/>
              <w:spacing w:val="2"/>
              <w:sz w:val="20"/>
              <w:szCs w:val="20"/>
            </w:rPr>
            <w:t>）</w:t>
          </w:r>
        </w:p>
      </w:sdtContent>
    </w:sdt>
    <w:p w14:paraId="1B001EF9">
      <w:pPr>
        <w:spacing w:before="45" w:line="228" w:lineRule="auto"/>
        <w:ind w:left="422"/>
        <w:rPr>
          <w:rFonts w:ascii="宋体" w:hAnsi="宋体" w:eastAsia="宋体" w:cs="宋体"/>
          <w:sz w:val="20"/>
          <w:szCs w:val="20"/>
        </w:rPr>
      </w:pPr>
      <w:r>
        <w:rPr>
          <w:rFonts w:ascii="宋体" w:hAnsi="宋体" w:eastAsia="宋体" w:cs="宋体"/>
          <w:spacing w:val="8"/>
          <w:sz w:val="20"/>
          <w:szCs w:val="20"/>
        </w:rPr>
        <w:t>工程立项批准文号：</w:t>
      </w:r>
      <w:r>
        <w:rPr>
          <w:rFonts w:ascii="宋体" w:hAnsi="宋体" w:eastAsia="宋体" w:cs="宋体"/>
          <w:sz w:val="20"/>
          <w:szCs w:val="20"/>
          <w:u w:val="single" w:color="auto"/>
        </w:rPr>
        <w:t xml:space="preserve">                                            </w:t>
      </w:r>
    </w:p>
    <w:p w14:paraId="24445C85">
      <w:pPr>
        <w:spacing w:before="43" w:line="228" w:lineRule="auto"/>
        <w:ind w:left="428"/>
        <w:rPr>
          <w:rFonts w:ascii="宋体" w:hAnsi="宋体" w:eastAsia="宋体" w:cs="宋体"/>
          <w:sz w:val="20"/>
          <w:szCs w:val="20"/>
        </w:rPr>
      </w:pPr>
      <w:r>
        <w:rPr>
          <w:rFonts w:ascii="宋体" w:hAnsi="宋体" w:eastAsia="宋体" w:cs="宋体"/>
          <w:spacing w:val="3"/>
          <w:sz w:val="20"/>
          <w:szCs w:val="20"/>
        </w:rPr>
        <w:t>资金来源：</w:t>
      </w:r>
      <w:r>
        <w:rPr>
          <w:rFonts w:ascii="宋体" w:hAnsi="宋体" w:eastAsia="宋体" w:cs="宋体"/>
          <w:spacing w:val="3"/>
          <w:sz w:val="20"/>
          <w:szCs w:val="20"/>
          <w:u w:val="single" w:color="auto"/>
        </w:rPr>
        <w:t xml:space="preserve">                                                  </w:t>
      </w:r>
    </w:p>
    <w:p w14:paraId="4E1920D5">
      <w:pPr>
        <w:pStyle w:val="2"/>
        <w:spacing w:before="44" w:line="230" w:lineRule="auto"/>
        <w:ind w:left="423"/>
        <w:rPr>
          <w:sz w:val="20"/>
          <w:szCs w:val="20"/>
        </w:rPr>
      </w:pPr>
      <w:r>
        <w:rPr>
          <w:spacing w:val="8"/>
          <w:sz w:val="20"/>
          <w:szCs w:val="20"/>
        </w:rPr>
        <w:t>二、工程承包范围</w:t>
      </w:r>
    </w:p>
    <w:p w14:paraId="3B4A7177">
      <w:pPr>
        <w:spacing w:before="41" w:line="228" w:lineRule="auto"/>
        <w:ind w:left="420"/>
        <w:rPr>
          <w:rFonts w:ascii="宋体" w:hAnsi="宋体" w:eastAsia="宋体" w:cs="宋体"/>
          <w:sz w:val="20"/>
          <w:szCs w:val="20"/>
        </w:rPr>
      </w:pPr>
      <w:r>
        <w:rPr>
          <w:rFonts w:ascii="宋体" w:hAnsi="宋体" w:eastAsia="宋体" w:cs="宋体"/>
          <w:spacing w:val="8"/>
          <w:sz w:val="20"/>
          <w:szCs w:val="20"/>
        </w:rPr>
        <w:t>承包范围：</w:t>
      </w:r>
      <w:r>
        <w:rPr>
          <w:rFonts w:ascii="宋体" w:hAnsi="宋体" w:eastAsia="宋体" w:cs="宋体"/>
          <w:sz w:val="20"/>
          <w:szCs w:val="20"/>
          <w:u w:val="single" w:color="auto"/>
        </w:rPr>
        <w:t xml:space="preserve">                                                    </w:t>
      </w:r>
    </w:p>
    <w:p w14:paraId="60FBEC96">
      <w:pPr>
        <w:spacing w:before="43" w:line="227" w:lineRule="auto"/>
        <w:ind w:left="422"/>
        <w:rPr>
          <w:rFonts w:ascii="宋体" w:hAnsi="宋体" w:eastAsia="宋体" w:cs="宋体"/>
          <w:sz w:val="20"/>
          <w:szCs w:val="20"/>
        </w:rPr>
      </w:pPr>
      <w:r>
        <w:rPr>
          <w:rFonts w:ascii="宋体" w:hAnsi="宋体" w:eastAsia="宋体" w:cs="宋体"/>
          <w:spacing w:val="7"/>
          <w:sz w:val="20"/>
          <w:szCs w:val="20"/>
        </w:rPr>
        <w:t>详细承包范围见第七章“技术标准和要求</w:t>
      </w:r>
      <w:r>
        <w:rPr>
          <w:rFonts w:ascii="宋体" w:hAnsi="宋体" w:eastAsia="宋体" w:cs="宋体"/>
          <w:spacing w:val="-63"/>
          <w:sz w:val="20"/>
          <w:szCs w:val="20"/>
        </w:rPr>
        <w:t xml:space="preserve"> </w:t>
      </w:r>
      <w:r>
        <w:rPr>
          <w:rFonts w:ascii="宋体" w:hAnsi="宋体" w:eastAsia="宋体" w:cs="宋体"/>
          <w:spacing w:val="7"/>
          <w:sz w:val="20"/>
          <w:szCs w:val="20"/>
        </w:rPr>
        <w:t>”。</w:t>
      </w:r>
    </w:p>
    <w:p w14:paraId="6CA8A414">
      <w:pPr>
        <w:pStyle w:val="2"/>
        <w:spacing w:before="43" w:line="231" w:lineRule="auto"/>
        <w:ind w:left="424"/>
        <w:rPr>
          <w:sz w:val="20"/>
          <w:szCs w:val="20"/>
        </w:rPr>
      </w:pPr>
      <w:r>
        <w:rPr>
          <w:spacing w:val="7"/>
          <w:sz w:val="20"/>
          <w:szCs w:val="20"/>
        </w:rPr>
        <w:t>三、合同工期</w:t>
      </w:r>
    </w:p>
    <w:p w14:paraId="5829FD83">
      <w:pPr>
        <w:spacing w:before="39" w:line="228" w:lineRule="auto"/>
        <w:ind w:left="420"/>
        <w:rPr>
          <w:rFonts w:ascii="宋体" w:hAnsi="宋体" w:eastAsia="宋体" w:cs="宋体"/>
          <w:sz w:val="20"/>
          <w:szCs w:val="20"/>
        </w:rPr>
      </w:pPr>
      <w:r>
        <w:rPr>
          <w:rFonts w:ascii="宋体" w:hAnsi="宋体" w:eastAsia="宋体" w:cs="宋体"/>
          <w:spacing w:val="5"/>
          <w:sz w:val="20"/>
          <w:szCs w:val="20"/>
        </w:rPr>
        <w:t>计划开工日期：</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5"/>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5"/>
          <w:sz w:val="20"/>
          <w:szCs w:val="20"/>
        </w:rPr>
        <w:t>日</w:t>
      </w:r>
    </w:p>
    <w:p w14:paraId="3211B26E">
      <w:pPr>
        <w:spacing w:before="44" w:line="228" w:lineRule="auto"/>
        <w:ind w:left="420"/>
        <w:rPr>
          <w:rFonts w:ascii="宋体" w:hAnsi="宋体" w:eastAsia="宋体" w:cs="宋体"/>
          <w:sz w:val="20"/>
          <w:szCs w:val="20"/>
        </w:rPr>
      </w:pPr>
      <w:r>
        <w:rPr>
          <w:rFonts w:ascii="宋体" w:hAnsi="宋体" w:eastAsia="宋体" w:cs="宋体"/>
          <w:spacing w:val="5"/>
          <w:sz w:val="20"/>
          <w:szCs w:val="20"/>
        </w:rPr>
        <w:t>计划竣工日期：</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5"/>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5"/>
          <w:sz w:val="20"/>
          <w:szCs w:val="20"/>
        </w:rPr>
        <w:t>日</w:t>
      </w:r>
    </w:p>
    <w:p w14:paraId="7B31C41B">
      <w:pPr>
        <w:spacing w:before="43" w:line="268" w:lineRule="auto"/>
        <w:ind w:left="2" w:right="2" w:firstLine="420"/>
        <w:rPr>
          <w:rFonts w:ascii="宋体" w:hAnsi="宋体" w:eastAsia="宋体" w:cs="宋体"/>
          <w:sz w:val="20"/>
          <w:szCs w:val="20"/>
        </w:rPr>
      </w:pPr>
      <w:r>
        <w:rPr>
          <w:rFonts w:ascii="宋体" w:hAnsi="宋体" w:eastAsia="宋体" w:cs="宋体"/>
          <w:spacing w:val="5"/>
          <w:sz w:val="20"/>
          <w:szCs w:val="20"/>
        </w:rPr>
        <w:t>工期总日历天数</w:t>
      </w:r>
      <w:r>
        <w:rPr>
          <w:rFonts w:ascii="宋体" w:hAnsi="宋体" w:eastAsia="宋体" w:cs="宋体"/>
          <w:spacing w:val="5"/>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5"/>
          <w:sz w:val="20"/>
          <w:szCs w:val="20"/>
        </w:rPr>
        <w:t>天，自监理人发出的开工通知中载明的开工日</w:t>
      </w:r>
      <w:r>
        <w:rPr>
          <w:rFonts w:ascii="宋体" w:hAnsi="宋体" w:eastAsia="宋体" w:cs="宋体"/>
          <w:spacing w:val="4"/>
          <w:sz w:val="20"/>
          <w:szCs w:val="20"/>
        </w:rPr>
        <w:t>期起算。</w:t>
      </w:r>
    </w:p>
    <w:p w14:paraId="7B441069">
      <w:pPr>
        <w:pStyle w:val="2"/>
        <w:spacing w:before="1" w:line="230" w:lineRule="auto"/>
        <w:ind w:left="432"/>
        <w:rPr>
          <w:sz w:val="20"/>
          <w:szCs w:val="20"/>
        </w:rPr>
      </w:pPr>
      <w:r>
        <w:rPr>
          <w:spacing w:val="6"/>
          <w:sz w:val="20"/>
          <w:szCs w:val="20"/>
        </w:rPr>
        <w:t>四、质量标准</w:t>
      </w:r>
    </w:p>
    <w:p w14:paraId="15440DA8">
      <w:pPr>
        <w:spacing w:before="39" w:line="228" w:lineRule="auto"/>
        <w:ind w:left="422"/>
        <w:rPr>
          <w:rFonts w:ascii="宋体" w:hAnsi="宋体" w:eastAsia="宋体" w:cs="宋体"/>
          <w:sz w:val="20"/>
          <w:szCs w:val="20"/>
        </w:rPr>
      </w:pPr>
      <w:r>
        <w:rPr>
          <w:rFonts w:ascii="宋体" w:hAnsi="宋体" w:eastAsia="宋体" w:cs="宋体"/>
          <w:spacing w:val="8"/>
          <w:sz w:val="20"/>
          <w:szCs w:val="20"/>
        </w:rPr>
        <w:t>工程质量标准：</w:t>
      </w:r>
      <w:r>
        <w:rPr>
          <w:rFonts w:ascii="宋体" w:hAnsi="宋体" w:eastAsia="宋体" w:cs="宋体"/>
          <w:sz w:val="20"/>
          <w:szCs w:val="20"/>
          <w:u w:val="single" w:color="auto"/>
        </w:rPr>
        <w:t xml:space="preserve">                                                  </w:t>
      </w:r>
    </w:p>
    <w:p w14:paraId="32231675">
      <w:pPr>
        <w:pStyle w:val="2"/>
        <w:spacing w:before="43" w:line="231" w:lineRule="auto"/>
        <w:ind w:left="425"/>
        <w:rPr>
          <w:sz w:val="20"/>
          <w:szCs w:val="20"/>
        </w:rPr>
      </w:pPr>
      <w:r>
        <w:rPr>
          <w:spacing w:val="7"/>
          <w:sz w:val="20"/>
          <w:szCs w:val="20"/>
        </w:rPr>
        <w:t>五、合同形式</w:t>
      </w:r>
    </w:p>
    <w:p w14:paraId="7268074F">
      <w:pPr>
        <w:spacing w:before="40" w:line="227" w:lineRule="auto"/>
        <w:ind w:left="420"/>
        <w:rPr>
          <w:rFonts w:ascii="宋体" w:hAnsi="宋体" w:eastAsia="宋体" w:cs="宋体"/>
          <w:sz w:val="20"/>
          <w:szCs w:val="20"/>
        </w:rPr>
      </w:pPr>
      <w:r>
        <w:rPr>
          <w:rFonts w:ascii="宋体" w:hAnsi="宋体" w:eastAsia="宋体" w:cs="宋体"/>
          <w:spacing w:val="6"/>
          <w:sz w:val="20"/>
          <w:szCs w:val="20"/>
        </w:rPr>
        <w:t>本合同采用</w:t>
      </w:r>
      <w:r>
        <w:rPr>
          <w:rFonts w:ascii="宋体" w:hAnsi="宋体" w:eastAsia="宋体" w:cs="宋体"/>
          <w:spacing w:val="1"/>
          <w:sz w:val="20"/>
          <w:szCs w:val="20"/>
          <w:u w:val="single" w:color="auto"/>
        </w:rPr>
        <w:t xml:space="preserve">                                                      </w:t>
      </w:r>
      <w:r>
        <w:rPr>
          <w:rFonts w:ascii="宋体" w:hAnsi="宋体" w:eastAsia="宋体" w:cs="宋体"/>
          <w:spacing w:val="-78"/>
          <w:sz w:val="20"/>
          <w:szCs w:val="20"/>
        </w:rPr>
        <w:t xml:space="preserve"> </w:t>
      </w:r>
      <w:r>
        <w:rPr>
          <w:rFonts w:ascii="宋体" w:hAnsi="宋体" w:eastAsia="宋体" w:cs="宋体"/>
          <w:spacing w:val="6"/>
          <w:sz w:val="20"/>
          <w:szCs w:val="20"/>
        </w:rPr>
        <w:t>合同形式。</w:t>
      </w:r>
    </w:p>
    <w:p w14:paraId="7D81937D">
      <w:pPr>
        <w:pStyle w:val="2"/>
        <w:spacing w:before="44" w:line="230" w:lineRule="auto"/>
        <w:ind w:left="426"/>
        <w:rPr>
          <w:sz w:val="20"/>
          <w:szCs w:val="20"/>
        </w:rPr>
      </w:pPr>
      <w:r>
        <w:rPr>
          <w:spacing w:val="7"/>
          <w:sz w:val="20"/>
          <w:szCs w:val="20"/>
        </w:rPr>
        <w:t>六、签约合同价</w:t>
      </w:r>
    </w:p>
    <w:p w14:paraId="062C598A">
      <w:pPr>
        <w:spacing w:before="41" w:line="227" w:lineRule="auto"/>
        <w:ind w:left="421"/>
        <w:rPr>
          <w:rFonts w:ascii="宋体" w:hAnsi="宋体" w:eastAsia="宋体" w:cs="宋体"/>
          <w:sz w:val="20"/>
          <w:szCs w:val="20"/>
        </w:rPr>
      </w:pPr>
      <w:r>
        <w:rPr>
          <w:rFonts w:ascii="宋体" w:hAnsi="宋体" w:eastAsia="宋体" w:cs="宋体"/>
          <w:spacing w:val="6"/>
          <w:sz w:val="20"/>
          <w:szCs w:val="20"/>
        </w:rPr>
        <w:t>金额（大写</w:t>
      </w:r>
      <w:r>
        <w:rPr>
          <w:rFonts w:ascii="宋体" w:hAnsi="宋体" w:eastAsia="宋体" w:cs="宋体"/>
          <w:spacing w:val="-50"/>
          <w:sz w:val="20"/>
          <w:szCs w:val="20"/>
        </w:rPr>
        <w:t>）：</w:t>
      </w:r>
      <w:r>
        <w:rPr>
          <w:rFonts w:ascii="宋体" w:hAnsi="宋体" w:eastAsia="宋体" w:cs="宋体"/>
          <w:spacing w:val="-73"/>
          <w:sz w:val="20"/>
          <w:szCs w:val="20"/>
        </w:rPr>
        <w:t xml:space="preserve"> </w:t>
      </w:r>
      <w:r>
        <w:rPr>
          <w:rFonts w:ascii="宋体" w:hAnsi="宋体" w:eastAsia="宋体" w:cs="宋体"/>
          <w:spacing w:val="1"/>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6"/>
          <w:sz w:val="20"/>
          <w:szCs w:val="20"/>
        </w:rPr>
        <w:t>元（人民币）</w:t>
      </w:r>
    </w:p>
    <w:p w14:paraId="32E9B04E">
      <w:pPr>
        <w:spacing w:before="45" w:line="267" w:lineRule="auto"/>
        <w:ind w:left="420" w:right="199" w:firstLine="232"/>
        <w:rPr>
          <w:rFonts w:ascii="宋体" w:hAnsi="宋体" w:eastAsia="宋体" w:cs="宋体"/>
          <w:sz w:val="20"/>
          <w:szCs w:val="20"/>
        </w:rPr>
      </w:pPr>
      <w:r>
        <w:rPr>
          <w:rFonts w:ascii="宋体" w:hAnsi="宋体" w:eastAsia="宋体" w:cs="宋体"/>
          <w:spacing w:val="-3"/>
          <w:sz w:val="20"/>
          <w:szCs w:val="20"/>
        </w:rPr>
        <w:t>（小写）</w:t>
      </w:r>
      <w:r>
        <w:rPr>
          <w:rFonts w:ascii="宋体" w:hAnsi="宋体" w:eastAsia="宋体" w:cs="宋体"/>
          <w:spacing w:val="-66"/>
          <w:sz w:val="20"/>
          <w:szCs w:val="20"/>
        </w:rPr>
        <w:t xml:space="preserve"> </w:t>
      </w:r>
      <w:r>
        <w:rPr>
          <w:rFonts w:ascii="宋体" w:hAnsi="宋体" w:eastAsia="宋体" w:cs="宋体"/>
          <w:spacing w:val="-3"/>
          <w:sz w:val="20"/>
          <w:szCs w:val="20"/>
        </w:rPr>
        <w:t>￥</w:t>
      </w:r>
      <w:r>
        <w:rPr>
          <w:rFonts w:ascii="宋体" w:hAnsi="宋体" w:eastAsia="宋体" w:cs="宋体"/>
          <w:spacing w:val="-53"/>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r>
        <w:rPr>
          <w:rFonts w:ascii="宋体" w:hAnsi="宋体" w:eastAsia="宋体" w:cs="宋体"/>
          <w:spacing w:val="-4"/>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4"/>
          <w:sz w:val="20"/>
          <w:szCs w:val="20"/>
        </w:rPr>
        <w:t>元</w:t>
      </w:r>
      <w:r>
        <w:rPr>
          <w:rFonts w:ascii="宋体" w:hAnsi="宋体" w:eastAsia="宋体" w:cs="宋体"/>
          <w:spacing w:val="6"/>
          <w:sz w:val="20"/>
          <w:szCs w:val="20"/>
        </w:rPr>
        <w:t>其中：安全文明施工费：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5"/>
          <w:sz w:val="20"/>
          <w:szCs w:val="20"/>
        </w:rPr>
        <w:t>元</w:t>
      </w:r>
    </w:p>
    <w:p w14:paraId="1238EF95">
      <w:pPr>
        <w:spacing w:before="1" w:line="227" w:lineRule="auto"/>
        <w:ind w:left="1055"/>
        <w:rPr>
          <w:rFonts w:ascii="宋体" w:hAnsi="宋体" w:eastAsia="宋体" w:cs="宋体"/>
          <w:sz w:val="20"/>
          <w:szCs w:val="20"/>
        </w:rPr>
      </w:pPr>
      <w:r>
        <w:rPr>
          <w:rFonts w:ascii="宋体" w:hAnsi="宋体" w:eastAsia="宋体" w:cs="宋体"/>
          <w:spacing w:val="6"/>
          <w:sz w:val="20"/>
          <w:szCs w:val="20"/>
        </w:rPr>
        <w:t>暂列金额：</w:t>
      </w:r>
      <w:r>
        <w:rPr>
          <w:rFonts w:ascii="宋体" w:hAnsi="宋体" w:eastAsia="宋体" w:cs="宋体"/>
          <w:spacing w:val="6"/>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6"/>
          <w:sz w:val="20"/>
          <w:szCs w:val="20"/>
        </w:rPr>
        <w:t>元（其中计日工金额</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5"/>
          <w:sz w:val="20"/>
          <w:szCs w:val="20"/>
        </w:rPr>
        <w:t>元）</w:t>
      </w:r>
    </w:p>
    <w:p w14:paraId="2FFAB974">
      <w:pPr>
        <w:spacing w:before="44" w:line="226" w:lineRule="auto"/>
        <w:ind w:left="1048"/>
        <w:rPr>
          <w:rFonts w:ascii="宋体" w:hAnsi="宋体" w:eastAsia="宋体" w:cs="宋体"/>
          <w:sz w:val="20"/>
          <w:szCs w:val="20"/>
        </w:rPr>
      </w:pPr>
      <w:r>
        <w:rPr>
          <w:rFonts w:ascii="宋体" w:hAnsi="宋体" w:eastAsia="宋体" w:cs="宋体"/>
          <w:spacing w:val="6"/>
          <w:sz w:val="20"/>
          <w:szCs w:val="20"/>
        </w:rPr>
        <w:t>材料和工程设备暂估价：</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5"/>
          <w:sz w:val="20"/>
          <w:szCs w:val="20"/>
        </w:rPr>
        <w:t>元</w:t>
      </w:r>
    </w:p>
    <w:p w14:paraId="6633AF75">
      <w:pPr>
        <w:spacing w:before="45" w:line="226" w:lineRule="auto"/>
        <w:ind w:left="1049"/>
        <w:rPr>
          <w:rFonts w:ascii="宋体" w:hAnsi="宋体" w:eastAsia="宋体" w:cs="宋体"/>
          <w:sz w:val="20"/>
          <w:szCs w:val="20"/>
        </w:rPr>
      </w:pPr>
      <w:r>
        <w:rPr>
          <w:rFonts w:ascii="宋体" w:hAnsi="宋体" w:eastAsia="宋体" w:cs="宋体"/>
          <w:spacing w:val="6"/>
          <w:sz w:val="20"/>
          <w:szCs w:val="20"/>
        </w:rPr>
        <w:t>专业工程暂估价：</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5"/>
          <w:sz w:val="20"/>
          <w:szCs w:val="20"/>
        </w:rPr>
        <w:t>元</w:t>
      </w:r>
    </w:p>
    <w:p w14:paraId="2EBA0886">
      <w:pPr>
        <w:spacing w:line="226" w:lineRule="auto"/>
        <w:rPr>
          <w:rFonts w:ascii="宋体" w:hAnsi="宋体" w:eastAsia="宋体" w:cs="宋体"/>
          <w:sz w:val="20"/>
          <w:szCs w:val="20"/>
        </w:rPr>
        <w:sectPr>
          <w:footerReference r:id="rId219" w:type="default"/>
          <w:pgSz w:w="11906" w:h="16839"/>
          <w:pgMar w:top="400" w:right="1554" w:bottom="1038" w:left="1539" w:header="0" w:footer="787" w:gutter="0"/>
          <w:cols w:space="720" w:num="1"/>
        </w:sectPr>
      </w:pPr>
    </w:p>
    <w:p w14:paraId="61D1B9CA">
      <w:pPr>
        <w:spacing w:line="249" w:lineRule="auto"/>
        <w:rPr>
          <w:rFonts w:ascii="Arial"/>
          <w:sz w:val="21"/>
        </w:rPr>
      </w:pPr>
    </w:p>
    <w:p w14:paraId="61E637AD">
      <w:pPr>
        <w:spacing w:line="250" w:lineRule="auto"/>
        <w:rPr>
          <w:rFonts w:ascii="Arial"/>
          <w:sz w:val="21"/>
        </w:rPr>
      </w:pPr>
    </w:p>
    <w:p w14:paraId="02E08532">
      <w:pPr>
        <w:spacing w:line="250" w:lineRule="auto"/>
        <w:rPr>
          <w:rFonts w:ascii="Arial"/>
          <w:sz w:val="21"/>
        </w:rPr>
      </w:pPr>
    </w:p>
    <w:p w14:paraId="04E76629">
      <w:pPr>
        <w:spacing w:line="250" w:lineRule="auto"/>
        <w:rPr>
          <w:rFonts w:ascii="Arial"/>
          <w:sz w:val="21"/>
        </w:rPr>
      </w:pPr>
    </w:p>
    <w:p w14:paraId="35AEDD7D">
      <w:pPr>
        <w:pStyle w:val="2"/>
        <w:spacing w:before="65" w:line="230" w:lineRule="auto"/>
        <w:ind w:left="427"/>
        <w:rPr>
          <w:sz w:val="20"/>
          <w:szCs w:val="20"/>
        </w:rPr>
      </w:pPr>
      <w:r>
        <w:rPr>
          <w:spacing w:val="8"/>
          <w:sz w:val="20"/>
          <w:szCs w:val="20"/>
        </w:rPr>
        <w:t>七、承包人项目经理：</w:t>
      </w:r>
    </w:p>
    <w:p w14:paraId="143D6A87">
      <w:pPr>
        <w:spacing w:before="40" w:line="228" w:lineRule="auto"/>
        <w:ind w:left="428"/>
        <w:rPr>
          <w:rFonts w:ascii="宋体" w:hAnsi="宋体" w:eastAsia="宋体" w:cs="宋体"/>
          <w:sz w:val="20"/>
          <w:szCs w:val="20"/>
        </w:rPr>
      </w:pPr>
      <w:r>
        <w:rPr>
          <w:rFonts w:ascii="宋体" w:hAnsi="宋体" w:eastAsia="宋体" w:cs="宋体"/>
          <w:spacing w:val="4"/>
          <w:sz w:val="20"/>
          <w:szCs w:val="20"/>
        </w:rPr>
        <w:t>姓名</w:t>
      </w:r>
      <w:r>
        <w:rPr>
          <w:rFonts w:ascii="宋体" w:hAnsi="宋体" w:eastAsia="宋体" w:cs="宋体"/>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9"/>
          <w:sz w:val="20"/>
          <w:szCs w:val="20"/>
        </w:rPr>
        <w:t xml:space="preserve"> </w:t>
      </w:r>
      <w:r>
        <w:rPr>
          <w:rFonts w:ascii="宋体" w:hAnsi="宋体" w:eastAsia="宋体" w:cs="宋体"/>
          <w:sz w:val="20"/>
          <w:szCs w:val="20"/>
        </w:rPr>
        <w:t>；</w:t>
      </w:r>
      <w:r>
        <w:rPr>
          <w:rFonts w:ascii="宋体" w:hAnsi="宋体" w:eastAsia="宋体" w:cs="宋体"/>
          <w:spacing w:val="8"/>
          <w:sz w:val="20"/>
          <w:szCs w:val="20"/>
        </w:rPr>
        <w:t xml:space="preserve">     </w:t>
      </w:r>
      <w:r>
        <w:rPr>
          <w:rFonts w:ascii="宋体" w:hAnsi="宋体" w:eastAsia="宋体" w:cs="宋体"/>
          <w:spacing w:val="4"/>
          <w:sz w:val="20"/>
          <w:szCs w:val="20"/>
        </w:rPr>
        <w:t>职称</w:t>
      </w:r>
      <w:r>
        <w:rPr>
          <w:rFonts w:ascii="宋体" w:hAnsi="宋体" w:eastAsia="宋体" w:cs="宋体"/>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rPr>
        <w:t>；</w:t>
      </w:r>
    </w:p>
    <w:p w14:paraId="6621C702">
      <w:pPr>
        <w:spacing w:before="43" w:line="227" w:lineRule="auto"/>
        <w:ind w:left="433"/>
        <w:rPr>
          <w:rFonts w:ascii="宋体" w:hAnsi="宋体" w:eastAsia="宋体" w:cs="宋体"/>
          <w:sz w:val="20"/>
          <w:szCs w:val="20"/>
        </w:rPr>
      </w:pPr>
      <w:r>
        <w:rPr>
          <w:rFonts w:ascii="宋体" w:hAnsi="宋体" w:eastAsia="宋体" w:cs="宋体"/>
          <w:spacing w:val="7"/>
          <w:sz w:val="20"/>
          <w:szCs w:val="20"/>
        </w:rPr>
        <w:t>身份证号</w:t>
      </w:r>
      <w:r>
        <w:rPr>
          <w:rFonts w:ascii="宋体" w:hAnsi="宋体" w:eastAsia="宋体" w:cs="宋体"/>
          <w:spacing w:val="3"/>
          <w:sz w:val="20"/>
          <w:szCs w:val="20"/>
        </w:rPr>
        <w:t>：</w:t>
      </w:r>
      <w:r>
        <w:rPr>
          <w:rFonts w:ascii="宋体" w:hAnsi="宋体" w:eastAsia="宋体" w:cs="宋体"/>
          <w:sz w:val="20"/>
          <w:szCs w:val="20"/>
          <w:u w:val="single" w:color="auto"/>
        </w:rPr>
        <w:t xml:space="preserve">                       </w:t>
      </w:r>
      <w:r>
        <w:rPr>
          <w:rFonts w:ascii="宋体" w:hAnsi="宋体" w:eastAsia="宋体" w:cs="宋体"/>
          <w:spacing w:val="-63"/>
          <w:sz w:val="20"/>
          <w:szCs w:val="20"/>
        </w:rPr>
        <w:t xml:space="preserve"> </w:t>
      </w:r>
      <w:r>
        <w:rPr>
          <w:rFonts w:ascii="宋体" w:hAnsi="宋体" w:eastAsia="宋体" w:cs="宋体"/>
          <w:spacing w:val="3"/>
          <w:sz w:val="20"/>
          <w:szCs w:val="20"/>
        </w:rPr>
        <w:t>；</w:t>
      </w:r>
      <w:r>
        <w:rPr>
          <w:rFonts w:ascii="宋体" w:hAnsi="宋体" w:eastAsia="宋体" w:cs="宋体"/>
          <w:spacing w:val="8"/>
          <w:sz w:val="20"/>
          <w:szCs w:val="20"/>
        </w:rPr>
        <w:t xml:space="preserve">     </w:t>
      </w:r>
      <w:r>
        <w:rPr>
          <w:rFonts w:ascii="宋体" w:hAnsi="宋体" w:eastAsia="宋体" w:cs="宋体"/>
          <w:spacing w:val="7"/>
          <w:sz w:val="20"/>
          <w:szCs w:val="20"/>
        </w:rPr>
        <w:t>建造师执业资格证书号</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p>
    <w:p w14:paraId="16706CDC">
      <w:pPr>
        <w:spacing w:before="130" w:line="227" w:lineRule="auto"/>
        <w:ind w:left="430"/>
        <w:rPr>
          <w:rFonts w:ascii="宋体" w:hAnsi="宋体" w:eastAsia="宋体" w:cs="宋体"/>
          <w:sz w:val="20"/>
          <w:szCs w:val="20"/>
        </w:rPr>
      </w:pPr>
      <w:r>
        <w:rPr>
          <w:rFonts w:ascii="宋体" w:hAnsi="宋体" w:eastAsia="宋体" w:cs="宋体"/>
          <w:spacing w:val="6"/>
          <w:sz w:val="20"/>
          <w:szCs w:val="20"/>
        </w:rPr>
        <w:t>建造师注册证书号：</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3CFF47F">
      <w:pPr>
        <w:spacing w:before="155" w:line="227" w:lineRule="auto"/>
        <w:ind w:left="430"/>
        <w:rPr>
          <w:rFonts w:ascii="宋体" w:hAnsi="宋体" w:eastAsia="宋体" w:cs="宋体"/>
          <w:sz w:val="20"/>
          <w:szCs w:val="20"/>
        </w:rPr>
      </w:pPr>
      <w:r>
        <w:rPr>
          <w:rFonts w:ascii="宋体" w:hAnsi="宋体" w:eastAsia="宋体" w:cs="宋体"/>
          <w:spacing w:val="6"/>
          <w:sz w:val="20"/>
          <w:szCs w:val="20"/>
        </w:rPr>
        <w:t>建造师执业印章号：</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C7C265F">
      <w:pPr>
        <w:spacing w:before="155" w:line="227" w:lineRule="auto"/>
        <w:ind w:left="432"/>
        <w:rPr>
          <w:rFonts w:ascii="宋体" w:hAnsi="宋体" w:eastAsia="宋体" w:cs="宋体"/>
          <w:sz w:val="20"/>
          <w:szCs w:val="20"/>
        </w:rPr>
      </w:pPr>
      <w:r>
        <w:rPr>
          <w:rFonts w:ascii="宋体" w:hAnsi="宋体" w:eastAsia="宋体" w:cs="宋体"/>
          <w:spacing w:val="6"/>
          <w:sz w:val="20"/>
          <w:szCs w:val="20"/>
        </w:rPr>
        <w:t>安全生产考核合格证书号：</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A45FB4C">
      <w:pPr>
        <w:pStyle w:val="2"/>
        <w:spacing w:before="152" w:line="230" w:lineRule="auto"/>
        <w:ind w:left="428"/>
        <w:rPr>
          <w:sz w:val="20"/>
          <w:szCs w:val="20"/>
        </w:rPr>
      </w:pPr>
      <w:r>
        <w:rPr>
          <w:spacing w:val="8"/>
          <w:sz w:val="20"/>
          <w:szCs w:val="20"/>
        </w:rPr>
        <w:t>八、合同文件的组成</w:t>
      </w:r>
    </w:p>
    <w:p w14:paraId="75B972D7">
      <w:pPr>
        <w:spacing w:before="152" w:line="228" w:lineRule="auto"/>
        <w:ind w:left="434"/>
        <w:rPr>
          <w:rFonts w:ascii="宋体" w:hAnsi="宋体" w:eastAsia="宋体" w:cs="宋体"/>
          <w:sz w:val="20"/>
          <w:szCs w:val="20"/>
        </w:rPr>
      </w:pPr>
      <w:r>
        <w:rPr>
          <w:rFonts w:ascii="宋体" w:hAnsi="宋体" w:eastAsia="宋体" w:cs="宋体"/>
          <w:spacing w:val="7"/>
          <w:sz w:val="20"/>
          <w:szCs w:val="20"/>
        </w:rPr>
        <w:t>下列文件共同构成合同文件：</w:t>
      </w:r>
    </w:p>
    <w:p w14:paraId="3F898355">
      <w:pPr>
        <w:spacing w:before="154" w:line="227" w:lineRule="auto"/>
        <w:ind w:left="443"/>
        <w:rPr>
          <w:rFonts w:ascii="宋体" w:hAnsi="宋体" w:eastAsia="宋体" w:cs="宋体"/>
          <w:sz w:val="20"/>
          <w:szCs w:val="20"/>
        </w:rPr>
      </w:pPr>
      <w:r>
        <w:rPr>
          <w:rFonts w:ascii="宋体" w:hAnsi="宋体" w:eastAsia="宋体" w:cs="宋体"/>
          <w:spacing w:val="4"/>
          <w:sz w:val="20"/>
          <w:szCs w:val="20"/>
        </w:rPr>
        <w:t>1、本协议书；</w:t>
      </w:r>
    </w:p>
    <w:p w14:paraId="173846D0">
      <w:pPr>
        <w:spacing w:before="152" w:line="227" w:lineRule="auto"/>
        <w:ind w:left="430"/>
        <w:rPr>
          <w:rFonts w:ascii="宋体" w:hAnsi="宋体" w:eastAsia="宋体" w:cs="宋体"/>
          <w:sz w:val="20"/>
          <w:szCs w:val="20"/>
        </w:rPr>
      </w:pPr>
      <w:r>
        <w:rPr>
          <w:rFonts w:ascii="宋体" w:hAnsi="宋体" w:eastAsia="宋体" w:cs="宋体"/>
          <w:spacing w:val="6"/>
          <w:sz w:val="20"/>
          <w:szCs w:val="20"/>
        </w:rPr>
        <w:t>2、中标通知书；</w:t>
      </w:r>
    </w:p>
    <w:p w14:paraId="6FF28A66">
      <w:pPr>
        <w:spacing w:before="155" w:line="227" w:lineRule="auto"/>
        <w:ind w:left="432"/>
        <w:rPr>
          <w:rFonts w:ascii="宋体" w:hAnsi="宋体" w:eastAsia="宋体" w:cs="宋体"/>
          <w:sz w:val="20"/>
          <w:szCs w:val="20"/>
        </w:rPr>
      </w:pPr>
      <w:r>
        <w:rPr>
          <w:rFonts w:ascii="宋体" w:hAnsi="宋体" w:eastAsia="宋体" w:cs="宋体"/>
          <w:spacing w:val="7"/>
          <w:sz w:val="20"/>
          <w:szCs w:val="20"/>
        </w:rPr>
        <w:t>3、投标函及投标函附录；</w:t>
      </w:r>
    </w:p>
    <w:p w14:paraId="624E436C">
      <w:pPr>
        <w:spacing w:before="155" w:line="228" w:lineRule="auto"/>
        <w:ind w:left="427"/>
        <w:rPr>
          <w:rFonts w:ascii="宋体" w:hAnsi="宋体" w:eastAsia="宋体" w:cs="宋体"/>
          <w:sz w:val="20"/>
          <w:szCs w:val="20"/>
        </w:rPr>
      </w:pPr>
      <w:r>
        <w:rPr>
          <w:rFonts w:ascii="宋体" w:hAnsi="宋体" w:eastAsia="宋体" w:cs="宋体"/>
          <w:spacing w:val="7"/>
          <w:sz w:val="20"/>
          <w:szCs w:val="20"/>
        </w:rPr>
        <w:t>4、专用合同条款；</w:t>
      </w:r>
    </w:p>
    <w:p w14:paraId="27A27530">
      <w:pPr>
        <w:spacing w:before="151" w:line="228" w:lineRule="auto"/>
        <w:ind w:left="432"/>
        <w:rPr>
          <w:rFonts w:ascii="宋体" w:hAnsi="宋体" w:eastAsia="宋体" w:cs="宋体"/>
          <w:sz w:val="20"/>
          <w:szCs w:val="20"/>
        </w:rPr>
      </w:pPr>
      <w:r>
        <w:rPr>
          <w:rFonts w:ascii="宋体" w:hAnsi="宋体" w:eastAsia="宋体" w:cs="宋体"/>
          <w:spacing w:val="6"/>
          <w:sz w:val="20"/>
          <w:szCs w:val="20"/>
        </w:rPr>
        <w:t>5、通用合同条款；</w:t>
      </w:r>
    </w:p>
    <w:p w14:paraId="0AA60757">
      <w:pPr>
        <w:spacing w:before="154" w:line="228" w:lineRule="auto"/>
        <w:ind w:left="430"/>
        <w:rPr>
          <w:rFonts w:ascii="宋体" w:hAnsi="宋体" w:eastAsia="宋体" w:cs="宋体"/>
          <w:sz w:val="20"/>
          <w:szCs w:val="20"/>
        </w:rPr>
      </w:pPr>
      <w:r>
        <w:rPr>
          <w:rFonts w:ascii="宋体" w:hAnsi="宋体" w:eastAsia="宋体" w:cs="宋体"/>
          <w:spacing w:val="7"/>
          <w:sz w:val="20"/>
          <w:szCs w:val="20"/>
        </w:rPr>
        <w:t>6、技术标准和要求；</w:t>
      </w:r>
    </w:p>
    <w:p w14:paraId="53EF803F">
      <w:pPr>
        <w:spacing w:before="154" w:line="229" w:lineRule="auto"/>
        <w:ind w:left="433"/>
        <w:rPr>
          <w:rFonts w:ascii="宋体" w:hAnsi="宋体" w:eastAsia="宋体" w:cs="宋体"/>
          <w:sz w:val="20"/>
          <w:szCs w:val="20"/>
        </w:rPr>
      </w:pPr>
      <w:r>
        <w:rPr>
          <w:rFonts w:ascii="宋体" w:hAnsi="宋体" w:eastAsia="宋体" w:cs="宋体"/>
          <w:spacing w:val="4"/>
          <w:sz w:val="20"/>
          <w:szCs w:val="20"/>
        </w:rPr>
        <w:t>7、图纸；</w:t>
      </w:r>
    </w:p>
    <w:p w14:paraId="390B930F">
      <w:pPr>
        <w:spacing w:before="151" w:line="226" w:lineRule="auto"/>
        <w:ind w:left="429"/>
        <w:rPr>
          <w:rFonts w:ascii="宋体" w:hAnsi="宋体" w:eastAsia="宋体" w:cs="宋体"/>
          <w:sz w:val="20"/>
          <w:szCs w:val="20"/>
        </w:rPr>
      </w:pPr>
      <w:r>
        <w:rPr>
          <w:rFonts w:ascii="宋体" w:hAnsi="宋体" w:eastAsia="宋体" w:cs="宋体"/>
          <w:spacing w:val="7"/>
          <w:sz w:val="20"/>
          <w:szCs w:val="20"/>
        </w:rPr>
        <w:t>8、已标价工程量清单；</w:t>
      </w:r>
    </w:p>
    <w:p w14:paraId="29291252">
      <w:pPr>
        <w:spacing w:before="155" w:line="228" w:lineRule="auto"/>
        <w:ind w:left="429"/>
        <w:rPr>
          <w:rFonts w:ascii="宋体" w:hAnsi="宋体" w:eastAsia="宋体" w:cs="宋体"/>
          <w:sz w:val="20"/>
          <w:szCs w:val="20"/>
        </w:rPr>
      </w:pPr>
      <w:r>
        <w:rPr>
          <w:rFonts w:ascii="宋体" w:hAnsi="宋体" w:eastAsia="宋体" w:cs="宋体"/>
          <w:spacing w:val="7"/>
          <w:sz w:val="20"/>
          <w:szCs w:val="20"/>
        </w:rPr>
        <w:t>9、其他合同文件。</w:t>
      </w:r>
    </w:p>
    <w:p w14:paraId="4374B640">
      <w:pPr>
        <w:spacing w:line="243" w:lineRule="auto"/>
        <w:rPr>
          <w:rFonts w:ascii="Arial"/>
          <w:sz w:val="21"/>
        </w:rPr>
      </w:pPr>
    </w:p>
    <w:p w14:paraId="601FF5F6">
      <w:pPr>
        <w:spacing w:before="65" w:line="228" w:lineRule="auto"/>
        <w:ind w:left="430"/>
        <w:rPr>
          <w:rFonts w:ascii="宋体" w:hAnsi="宋体" w:eastAsia="宋体" w:cs="宋体"/>
          <w:sz w:val="20"/>
          <w:szCs w:val="20"/>
        </w:rPr>
      </w:pPr>
      <w:r>
        <w:rPr>
          <w:rFonts w:ascii="宋体" w:hAnsi="宋体" w:eastAsia="宋体" w:cs="宋体"/>
          <w:spacing w:val="8"/>
          <w:sz w:val="20"/>
          <w:szCs w:val="20"/>
        </w:rPr>
        <w:t>上述文件互相补充和解释，如有不明确或不一致之处，</w:t>
      </w:r>
      <w:r>
        <w:rPr>
          <w:rFonts w:ascii="宋体" w:hAnsi="宋体" w:eastAsia="宋体" w:cs="宋体"/>
          <w:spacing w:val="-50"/>
          <w:sz w:val="20"/>
          <w:szCs w:val="20"/>
        </w:rPr>
        <w:t xml:space="preserve"> </w:t>
      </w:r>
      <w:r>
        <w:rPr>
          <w:rFonts w:ascii="宋体" w:hAnsi="宋体" w:eastAsia="宋体" w:cs="宋体"/>
          <w:spacing w:val="8"/>
          <w:sz w:val="20"/>
          <w:szCs w:val="20"/>
        </w:rPr>
        <w:t>以合同约定次序在先者为准。</w:t>
      </w:r>
    </w:p>
    <w:p w14:paraId="2B356BA9">
      <w:pPr>
        <w:spacing w:before="104" w:line="227" w:lineRule="auto"/>
        <w:ind w:left="433"/>
        <w:rPr>
          <w:rFonts w:ascii="宋体" w:hAnsi="宋体" w:eastAsia="宋体" w:cs="宋体"/>
          <w:sz w:val="20"/>
          <w:szCs w:val="20"/>
        </w:rPr>
      </w:pPr>
      <w:r>
        <w:rPr>
          <w:rFonts w:ascii="宋体" w:hAnsi="宋体" w:eastAsia="宋体" w:cs="宋体"/>
          <w:spacing w:val="9"/>
          <w:sz w:val="20"/>
          <w:szCs w:val="20"/>
        </w:rPr>
        <w:t>九、本协议书中有关词语定义与合同条款中的定义相</w:t>
      </w:r>
      <w:r>
        <w:rPr>
          <w:rFonts w:ascii="宋体" w:hAnsi="宋体" w:eastAsia="宋体" w:cs="宋体"/>
          <w:spacing w:val="8"/>
          <w:sz w:val="20"/>
          <w:szCs w:val="20"/>
        </w:rPr>
        <w:t>同。</w:t>
      </w:r>
    </w:p>
    <w:p w14:paraId="656436FF">
      <w:pPr>
        <w:spacing w:before="96" w:line="313" w:lineRule="auto"/>
        <w:ind w:left="15" w:right="87" w:firstLine="413"/>
        <w:rPr>
          <w:rFonts w:ascii="宋体" w:hAnsi="宋体" w:eastAsia="宋体" w:cs="宋体"/>
          <w:sz w:val="20"/>
          <w:szCs w:val="20"/>
        </w:rPr>
      </w:pPr>
      <w:r>
        <w:rPr>
          <w:rFonts w:ascii="宋体" w:hAnsi="宋体" w:eastAsia="宋体" w:cs="宋体"/>
          <w:spacing w:val="10"/>
          <w:sz w:val="20"/>
          <w:szCs w:val="20"/>
        </w:rPr>
        <w:t>十、承包人承诺按照合同约定进行施工、竣工、交付并在缺陷责任</w:t>
      </w:r>
      <w:r>
        <w:rPr>
          <w:rFonts w:ascii="宋体" w:hAnsi="宋体" w:eastAsia="宋体" w:cs="宋体"/>
          <w:spacing w:val="9"/>
          <w:sz w:val="20"/>
          <w:szCs w:val="20"/>
        </w:rPr>
        <w:t>期内对工程缺陷承担维修</w:t>
      </w:r>
      <w:r>
        <w:rPr>
          <w:rFonts w:ascii="宋体" w:hAnsi="宋体" w:eastAsia="宋体" w:cs="宋体"/>
          <w:sz w:val="20"/>
          <w:szCs w:val="20"/>
        </w:rPr>
        <w:t>责任。</w:t>
      </w:r>
    </w:p>
    <w:p w14:paraId="63EB48EB">
      <w:pPr>
        <w:spacing w:line="226" w:lineRule="auto"/>
        <w:ind w:left="429"/>
        <w:rPr>
          <w:rFonts w:ascii="宋体" w:hAnsi="宋体" w:eastAsia="宋体" w:cs="宋体"/>
          <w:sz w:val="20"/>
          <w:szCs w:val="20"/>
        </w:rPr>
      </w:pPr>
      <w:r>
        <w:rPr>
          <w:rFonts w:ascii="宋体" w:hAnsi="宋体" w:eastAsia="宋体" w:cs="宋体"/>
          <w:spacing w:val="9"/>
          <w:sz w:val="20"/>
          <w:szCs w:val="20"/>
        </w:rPr>
        <w:t>十一、发包人承诺按照合同约定的条件、期限和方式向承包人支付合同价款。</w:t>
      </w:r>
    </w:p>
    <w:p w14:paraId="13216382">
      <w:pPr>
        <w:spacing w:before="97" w:line="313" w:lineRule="auto"/>
        <w:ind w:left="8" w:right="402" w:firstLine="420"/>
        <w:rPr>
          <w:rFonts w:ascii="宋体" w:hAnsi="宋体" w:eastAsia="宋体" w:cs="宋体"/>
          <w:sz w:val="20"/>
          <w:szCs w:val="20"/>
        </w:rPr>
      </w:pPr>
      <w:r>
        <w:rPr>
          <w:rFonts w:ascii="宋体" w:hAnsi="宋体" w:eastAsia="宋体" w:cs="宋体"/>
          <w:spacing w:val="9"/>
          <w:sz w:val="20"/>
          <w:szCs w:val="20"/>
        </w:rPr>
        <w:t>十二、本协议书连同其他合同文件正本一式两份，合同双方各执一份；副本一式</w:t>
      </w:r>
      <w:r>
        <w:rPr>
          <w:rFonts w:ascii="宋体" w:hAnsi="宋体" w:eastAsia="宋体" w:cs="宋体"/>
          <w:spacing w:val="9"/>
          <w:sz w:val="20"/>
          <w:szCs w:val="20"/>
          <w:u w:val="single" w:color="auto"/>
        </w:rPr>
        <w:t xml:space="preserve">   </w:t>
      </w:r>
      <w:r>
        <w:rPr>
          <w:rFonts w:ascii="宋体" w:hAnsi="宋体" w:eastAsia="宋体" w:cs="宋体"/>
          <w:spacing w:val="8"/>
          <w:sz w:val="20"/>
          <w:szCs w:val="20"/>
          <w:u w:val="single" w:color="auto"/>
        </w:rPr>
        <w:t xml:space="preserve">    </w:t>
      </w:r>
      <w:r>
        <w:rPr>
          <w:rFonts w:ascii="宋体" w:hAnsi="宋体" w:eastAsia="宋体" w:cs="宋体"/>
          <w:spacing w:val="9"/>
          <w:sz w:val="20"/>
          <w:szCs w:val="20"/>
        </w:rPr>
        <w:t>份，其中一份在合同报送建设行政主管部门备案时留存。</w:t>
      </w:r>
    </w:p>
    <w:p w14:paraId="164498D1">
      <w:pPr>
        <w:spacing w:before="2" w:line="315" w:lineRule="auto"/>
        <w:ind w:left="25" w:right="87" w:firstLine="403"/>
        <w:rPr>
          <w:rFonts w:ascii="宋体" w:hAnsi="宋体" w:eastAsia="宋体" w:cs="宋体"/>
          <w:sz w:val="20"/>
          <w:szCs w:val="20"/>
        </w:rPr>
      </w:pPr>
      <w:r>
        <w:rPr>
          <w:rFonts w:ascii="宋体" w:hAnsi="宋体" w:eastAsia="宋体" w:cs="宋体"/>
          <w:spacing w:val="10"/>
          <w:sz w:val="20"/>
          <w:szCs w:val="20"/>
        </w:rPr>
        <w:t>十三、合同未尽事宜，双方另行签订补充协议，但不得背离本协议</w:t>
      </w:r>
      <w:r>
        <w:rPr>
          <w:rFonts w:ascii="宋体" w:hAnsi="宋体" w:eastAsia="宋体" w:cs="宋体"/>
          <w:spacing w:val="9"/>
          <w:sz w:val="20"/>
          <w:szCs w:val="20"/>
        </w:rPr>
        <w:t>第八条所约定的合同文件</w:t>
      </w:r>
      <w:r>
        <w:rPr>
          <w:rFonts w:ascii="宋体" w:hAnsi="宋体" w:eastAsia="宋体" w:cs="宋体"/>
          <w:spacing w:val="8"/>
          <w:sz w:val="20"/>
          <w:szCs w:val="20"/>
        </w:rPr>
        <w:t>的实质性内容。补充协议是合同文件的组成部分。</w:t>
      </w:r>
    </w:p>
    <w:p w14:paraId="6E3DDF8C">
      <w:pPr>
        <w:spacing w:line="316" w:lineRule="auto"/>
        <w:rPr>
          <w:rFonts w:ascii="Arial"/>
          <w:sz w:val="21"/>
        </w:rPr>
      </w:pPr>
    </w:p>
    <w:p w14:paraId="2097A226">
      <w:pPr>
        <w:spacing w:before="65" w:line="227" w:lineRule="auto"/>
        <w:ind w:left="11"/>
        <w:rPr>
          <w:rFonts w:ascii="宋体" w:hAnsi="宋体" w:eastAsia="宋体" w:cs="宋体"/>
          <w:sz w:val="20"/>
          <w:szCs w:val="20"/>
        </w:rPr>
      </w:pPr>
      <w:r>
        <w:rPr>
          <w:rFonts w:ascii="宋体" w:hAnsi="宋体" w:eastAsia="宋体" w:cs="宋体"/>
          <w:spacing w:val="9"/>
          <w:sz w:val="20"/>
          <w:szCs w:val="20"/>
        </w:rPr>
        <w:t>发包人</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9"/>
          <w:sz w:val="20"/>
          <w:szCs w:val="20"/>
        </w:rPr>
        <w:t>盖单位章）       承包人</w:t>
      </w:r>
      <w:r>
        <w:rPr>
          <w:rFonts w:ascii="宋体" w:hAnsi="宋体" w:eastAsia="宋体" w:cs="宋体"/>
          <w:spacing w:val="-4"/>
          <w:sz w:val="20"/>
          <w:szCs w:val="20"/>
        </w:rPr>
        <w:t>：</w:t>
      </w:r>
      <w:r>
        <w:rPr>
          <w:rFonts w:ascii="宋体" w:hAnsi="宋体" w:eastAsia="宋体" w:cs="宋体"/>
          <w:sz w:val="20"/>
          <w:szCs w:val="20"/>
          <w:u w:val="single" w:color="auto"/>
        </w:rPr>
        <w:t xml:space="preserve">                      </w:t>
      </w:r>
      <w:r>
        <w:rPr>
          <w:rFonts w:ascii="宋体" w:hAnsi="宋体" w:eastAsia="宋体" w:cs="宋体"/>
          <w:spacing w:val="14"/>
          <w:sz w:val="20"/>
          <w:szCs w:val="20"/>
        </w:rPr>
        <w:t xml:space="preserve"> </w:t>
      </w:r>
      <w:r>
        <w:rPr>
          <w:rFonts w:ascii="宋体" w:hAnsi="宋体" w:eastAsia="宋体" w:cs="宋体"/>
          <w:spacing w:val="-4"/>
          <w:sz w:val="20"/>
          <w:szCs w:val="20"/>
        </w:rPr>
        <w:t>（</w:t>
      </w:r>
      <w:r>
        <w:rPr>
          <w:rFonts w:ascii="宋体" w:hAnsi="宋体" w:eastAsia="宋体" w:cs="宋体"/>
          <w:spacing w:val="9"/>
          <w:sz w:val="20"/>
          <w:szCs w:val="20"/>
        </w:rPr>
        <w:t>盖单位章）</w:t>
      </w:r>
    </w:p>
    <w:p w14:paraId="5B79D53F">
      <w:pPr>
        <w:spacing w:before="155" w:line="228" w:lineRule="auto"/>
        <w:ind w:left="9"/>
        <w:rPr>
          <w:rFonts w:ascii="宋体" w:hAnsi="宋体" w:eastAsia="宋体" w:cs="宋体"/>
          <w:sz w:val="20"/>
          <w:szCs w:val="20"/>
        </w:rPr>
      </w:pPr>
      <w:r>
        <w:rPr>
          <w:rFonts w:ascii="宋体" w:hAnsi="宋体" w:eastAsia="宋体" w:cs="宋体"/>
          <w:spacing w:val="8"/>
          <w:sz w:val="20"/>
          <w:szCs w:val="20"/>
        </w:rPr>
        <w:t>法定代表人或其</w:t>
      </w:r>
      <w:r>
        <w:rPr>
          <w:rFonts w:ascii="宋体" w:hAnsi="宋体" w:eastAsia="宋体" w:cs="宋体"/>
          <w:spacing w:val="1"/>
          <w:sz w:val="20"/>
          <w:szCs w:val="20"/>
        </w:rPr>
        <w:t xml:space="preserve">                    </w:t>
      </w:r>
      <w:r>
        <w:rPr>
          <w:rFonts w:ascii="宋体" w:hAnsi="宋体" w:eastAsia="宋体" w:cs="宋体"/>
          <w:sz w:val="20"/>
          <w:szCs w:val="20"/>
        </w:rPr>
        <w:t xml:space="preserve">        </w:t>
      </w:r>
      <w:r>
        <w:rPr>
          <w:rFonts w:ascii="宋体" w:hAnsi="宋体" w:eastAsia="宋体" w:cs="宋体"/>
          <w:spacing w:val="8"/>
          <w:sz w:val="20"/>
          <w:szCs w:val="20"/>
        </w:rPr>
        <w:t>法定代表人或其</w:t>
      </w:r>
    </w:p>
    <w:p w14:paraId="1B6C0BBE">
      <w:pPr>
        <w:spacing w:before="154" w:line="228" w:lineRule="auto"/>
        <w:jc w:val="right"/>
        <w:rPr>
          <w:rFonts w:ascii="宋体" w:hAnsi="宋体" w:eastAsia="宋体" w:cs="宋体"/>
          <w:sz w:val="20"/>
          <w:szCs w:val="20"/>
        </w:rPr>
      </w:pPr>
      <w:r>
        <w:rPr>
          <w:rFonts w:ascii="宋体" w:hAnsi="宋体" w:eastAsia="宋体" w:cs="宋体"/>
          <w:spacing w:val="10"/>
          <w:sz w:val="20"/>
          <w:szCs w:val="20"/>
        </w:rPr>
        <w:t>委托代理人</w:t>
      </w:r>
      <w:r>
        <w:rPr>
          <w:rFonts w:ascii="宋体" w:hAnsi="宋体" w:eastAsia="宋体" w:cs="宋体"/>
          <w:spacing w:val="-2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6"/>
          <w:sz w:val="20"/>
          <w:szCs w:val="20"/>
        </w:rPr>
        <w:t>（</w:t>
      </w:r>
      <w:r>
        <w:rPr>
          <w:rFonts w:ascii="宋体" w:hAnsi="宋体" w:eastAsia="宋体" w:cs="宋体"/>
          <w:spacing w:val="10"/>
          <w:sz w:val="20"/>
          <w:szCs w:val="20"/>
        </w:rPr>
        <w:t>签字）      委托代理人</w:t>
      </w:r>
      <w:r>
        <w:rPr>
          <w:rFonts w:ascii="宋体" w:hAnsi="宋体" w:eastAsia="宋体" w:cs="宋体"/>
          <w:spacing w:val="-26"/>
          <w:sz w:val="20"/>
          <w:szCs w:val="20"/>
        </w:rPr>
        <w:t>：</w:t>
      </w:r>
      <w:r>
        <w:rPr>
          <w:rFonts w:ascii="宋体" w:hAnsi="宋体" w:eastAsia="宋体" w:cs="宋体"/>
          <w:sz w:val="20"/>
          <w:szCs w:val="20"/>
          <w:u w:val="single" w:color="auto"/>
        </w:rPr>
        <w:t xml:space="preserve">                       </w:t>
      </w:r>
      <w:r>
        <w:rPr>
          <w:rFonts w:ascii="宋体" w:hAnsi="宋体" w:eastAsia="宋体" w:cs="宋体"/>
          <w:spacing w:val="-2"/>
          <w:sz w:val="20"/>
          <w:szCs w:val="20"/>
        </w:rPr>
        <w:t xml:space="preserve"> </w:t>
      </w:r>
      <w:r>
        <w:rPr>
          <w:rFonts w:ascii="宋体" w:hAnsi="宋体" w:eastAsia="宋体" w:cs="宋体"/>
          <w:spacing w:val="-26"/>
          <w:sz w:val="20"/>
          <w:szCs w:val="20"/>
        </w:rPr>
        <w:t>（</w:t>
      </w:r>
      <w:r>
        <w:rPr>
          <w:rFonts w:ascii="宋体" w:hAnsi="宋体" w:eastAsia="宋体" w:cs="宋体"/>
          <w:spacing w:val="10"/>
          <w:sz w:val="20"/>
          <w:szCs w:val="20"/>
        </w:rPr>
        <w:t>签字）</w:t>
      </w:r>
    </w:p>
    <w:p w14:paraId="3582EA85">
      <w:pPr>
        <w:spacing w:line="242" w:lineRule="auto"/>
        <w:rPr>
          <w:rFonts w:ascii="Arial"/>
          <w:sz w:val="21"/>
        </w:rPr>
      </w:pPr>
    </w:p>
    <w:p w14:paraId="4AE9CA1A">
      <w:pPr>
        <w:spacing w:line="242" w:lineRule="auto"/>
        <w:rPr>
          <w:rFonts w:ascii="Arial"/>
          <w:sz w:val="21"/>
        </w:rPr>
      </w:pPr>
    </w:p>
    <w:p w14:paraId="209FA64F">
      <w:pPr>
        <w:tabs>
          <w:tab w:val="left" w:pos="1260"/>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8"/>
          <w:sz w:val="20"/>
          <w:szCs w:val="20"/>
        </w:rPr>
        <w:t xml:space="preserve"> </w:t>
      </w:r>
      <w:r>
        <w:rPr>
          <w:rFonts w:ascii="宋体" w:hAnsi="宋体" w:eastAsia="宋体" w:cs="宋体"/>
          <w:spacing w:val="-8"/>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8"/>
          <w:sz w:val="20"/>
          <w:szCs w:val="20"/>
        </w:rPr>
        <w:t>月</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48"/>
          <w:sz w:val="20"/>
          <w:szCs w:val="20"/>
        </w:rPr>
        <w:t xml:space="preserve"> </w:t>
      </w:r>
      <w:r>
        <w:rPr>
          <w:rFonts w:ascii="宋体" w:hAnsi="宋体" w:eastAsia="宋体" w:cs="宋体"/>
          <w:spacing w:val="-8"/>
          <w:sz w:val="20"/>
          <w:szCs w:val="20"/>
        </w:rPr>
        <w:t>日</w:t>
      </w:r>
      <w:r>
        <w:rPr>
          <w:rFonts w:ascii="宋体" w:hAnsi="宋体" w:eastAsia="宋体" w:cs="宋体"/>
          <w:spacing w:val="5"/>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8"/>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8"/>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8"/>
          <w:sz w:val="20"/>
          <w:szCs w:val="20"/>
        </w:rPr>
        <w:t>日</w:t>
      </w:r>
    </w:p>
    <w:p w14:paraId="0EC5E847">
      <w:pPr>
        <w:spacing w:before="154" w:line="232" w:lineRule="auto"/>
        <w:ind w:left="8"/>
        <w:rPr>
          <w:rFonts w:ascii="宋体" w:hAnsi="宋体" w:eastAsia="宋体" w:cs="宋体"/>
          <w:sz w:val="20"/>
          <w:szCs w:val="20"/>
        </w:rPr>
      </w:pPr>
      <w:r>
        <w:rPr>
          <w:rFonts w:ascii="宋体" w:hAnsi="宋体" w:eastAsia="宋体" w:cs="宋体"/>
          <w:spacing w:val="4"/>
          <w:sz w:val="20"/>
          <w:szCs w:val="20"/>
        </w:rPr>
        <w:t>签约地点：</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6AF8C605">
      <w:pPr>
        <w:spacing w:line="232" w:lineRule="auto"/>
        <w:rPr>
          <w:rFonts w:ascii="宋体" w:hAnsi="宋体" w:eastAsia="宋体" w:cs="宋体"/>
          <w:sz w:val="20"/>
          <w:szCs w:val="20"/>
        </w:rPr>
        <w:sectPr>
          <w:footerReference r:id="rId220" w:type="default"/>
          <w:pgSz w:w="11906" w:h="16839"/>
          <w:pgMar w:top="400" w:right="1467" w:bottom="1038" w:left="1531" w:header="0" w:footer="787" w:gutter="0"/>
          <w:cols w:space="720" w:num="1"/>
        </w:sectPr>
      </w:pPr>
    </w:p>
    <w:p w14:paraId="72071A46">
      <w:pPr>
        <w:spacing w:line="261" w:lineRule="auto"/>
        <w:rPr>
          <w:rFonts w:ascii="Arial"/>
          <w:sz w:val="21"/>
        </w:rPr>
      </w:pPr>
    </w:p>
    <w:p w14:paraId="48E917EA">
      <w:pPr>
        <w:spacing w:line="262" w:lineRule="auto"/>
        <w:rPr>
          <w:rFonts w:ascii="Arial"/>
          <w:sz w:val="21"/>
        </w:rPr>
      </w:pPr>
    </w:p>
    <w:p w14:paraId="75B08FF6">
      <w:pPr>
        <w:spacing w:line="262" w:lineRule="auto"/>
        <w:rPr>
          <w:rFonts w:ascii="Arial"/>
          <w:sz w:val="21"/>
        </w:rPr>
      </w:pPr>
    </w:p>
    <w:p w14:paraId="265B2FA8">
      <w:pPr>
        <w:spacing w:line="262" w:lineRule="auto"/>
        <w:rPr>
          <w:rFonts w:ascii="Arial"/>
          <w:sz w:val="21"/>
        </w:rPr>
      </w:pPr>
    </w:p>
    <w:p w14:paraId="45F61718">
      <w:pPr>
        <w:pStyle w:val="2"/>
        <w:spacing w:before="78" w:line="222" w:lineRule="auto"/>
        <w:ind w:left="22"/>
        <w:rPr>
          <w:sz w:val="24"/>
          <w:szCs w:val="24"/>
        </w:rPr>
      </w:pPr>
      <w:r>
        <w:rPr>
          <w:spacing w:val="-3"/>
          <w:sz w:val="24"/>
          <w:szCs w:val="24"/>
        </w:rPr>
        <w:t>附件二：预付款担保格式</w:t>
      </w:r>
    </w:p>
    <w:p w14:paraId="79482DA7">
      <w:pPr>
        <w:spacing w:line="382" w:lineRule="auto"/>
        <w:rPr>
          <w:rFonts w:ascii="Arial"/>
          <w:sz w:val="21"/>
        </w:rPr>
      </w:pPr>
    </w:p>
    <w:p w14:paraId="281C0FAD">
      <w:pPr>
        <w:pStyle w:val="2"/>
        <w:spacing w:before="91" w:line="222" w:lineRule="auto"/>
        <w:ind w:left="4004"/>
        <w:rPr>
          <w:sz w:val="28"/>
          <w:szCs w:val="28"/>
        </w:rPr>
      </w:pPr>
      <w:r>
        <w:rPr>
          <w:spacing w:val="-3"/>
          <w:sz w:val="28"/>
          <w:szCs w:val="28"/>
        </w:rPr>
        <w:t>预付款担保</w:t>
      </w:r>
    </w:p>
    <w:p w14:paraId="5A0C82FD">
      <w:pPr>
        <w:spacing w:line="456" w:lineRule="auto"/>
        <w:rPr>
          <w:rFonts w:ascii="Arial"/>
          <w:sz w:val="21"/>
        </w:rPr>
      </w:pPr>
    </w:p>
    <w:p w14:paraId="607D5751">
      <w:pPr>
        <w:tabs>
          <w:tab w:val="left" w:pos="2625"/>
        </w:tabs>
        <w:spacing w:before="65" w:line="370" w:lineRule="auto"/>
        <w:ind w:right="52" w:firstLine="6729"/>
        <w:rPr>
          <w:rFonts w:ascii="宋体" w:hAnsi="宋体" w:eastAsia="宋体" w:cs="宋体"/>
          <w:sz w:val="20"/>
          <w:szCs w:val="20"/>
        </w:rPr>
      </w:pPr>
      <w:r>
        <w:rPr>
          <w:rFonts w:ascii="宋体" w:hAnsi="宋体" w:eastAsia="宋体" w:cs="宋体"/>
          <w:spacing w:val="6"/>
          <w:sz w:val="20"/>
          <w:szCs w:val="20"/>
        </w:rPr>
        <w:t>保函编号：</w:t>
      </w:r>
      <w:r>
        <w:rPr>
          <w:rFonts w:ascii="宋体" w:hAnsi="宋体" w:eastAsia="宋体" w:cs="宋体"/>
          <w:spacing w:val="6"/>
          <w:sz w:val="20"/>
          <w:szCs w:val="20"/>
          <w:u w:val="single" w:color="auto"/>
        </w:rPr>
        <w:t xml:space="preserve">          </w:t>
      </w:r>
      <w:r>
        <w:rPr>
          <w:rFonts w:ascii="宋体" w:hAnsi="宋体" w:eastAsia="宋体" w:cs="宋体"/>
          <w:sz w:val="20"/>
          <w:szCs w:val="20"/>
          <w:u w:val="single" w:color="auto"/>
        </w:rPr>
        <w:tab/>
      </w:r>
      <w:r>
        <w:rPr>
          <w:rFonts w:ascii="宋体" w:hAnsi="宋体" w:eastAsia="宋体" w:cs="宋体"/>
          <w:spacing w:val="11"/>
          <w:sz w:val="20"/>
          <w:szCs w:val="20"/>
        </w:rPr>
        <w:t xml:space="preserve"> </w:t>
      </w:r>
      <w:r>
        <w:rPr>
          <w:rFonts w:ascii="宋体" w:hAnsi="宋体" w:eastAsia="宋体" w:cs="宋体"/>
          <w:spacing w:val="9"/>
          <w:sz w:val="20"/>
          <w:szCs w:val="20"/>
        </w:rPr>
        <w:t>（发包人名称</w:t>
      </w:r>
      <w:r>
        <w:rPr>
          <w:rFonts w:ascii="宋体" w:hAnsi="宋体" w:eastAsia="宋体" w:cs="宋体"/>
          <w:spacing w:val="-54"/>
          <w:w w:val="99"/>
          <w:sz w:val="20"/>
          <w:szCs w:val="20"/>
        </w:rPr>
        <w:t>）：</w:t>
      </w:r>
    </w:p>
    <w:p w14:paraId="5EEC1956">
      <w:pPr>
        <w:spacing w:before="1" w:line="368" w:lineRule="auto"/>
        <w:ind w:left="9" w:right="54" w:firstLine="421"/>
        <w:rPr>
          <w:rFonts w:ascii="宋体" w:hAnsi="宋体" w:eastAsia="宋体" w:cs="宋体"/>
          <w:sz w:val="20"/>
          <w:szCs w:val="20"/>
        </w:rPr>
      </w:pPr>
      <w:r>
        <w:rPr>
          <w:rFonts w:ascii="宋体" w:hAnsi="宋体" w:eastAsia="宋体" w:cs="宋体"/>
          <w:spacing w:val="6"/>
          <w:sz w:val="20"/>
          <w:szCs w:val="20"/>
        </w:rPr>
        <w:t>鉴于你方作为发包人已经与</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（承包人名称</w:t>
      </w:r>
      <w:r>
        <w:rPr>
          <w:rFonts w:ascii="宋体" w:hAnsi="宋体" w:eastAsia="宋体" w:cs="宋体"/>
          <w:spacing w:val="-58"/>
          <w:sz w:val="20"/>
          <w:szCs w:val="20"/>
        </w:rPr>
        <w:t>）（</w:t>
      </w:r>
      <w:r>
        <w:rPr>
          <w:rFonts w:ascii="宋体" w:hAnsi="宋体" w:eastAsia="宋体" w:cs="宋体"/>
          <w:spacing w:val="6"/>
          <w:sz w:val="20"/>
          <w:szCs w:val="20"/>
        </w:rPr>
        <w:t>以下称“承包人”）于</w:t>
      </w:r>
      <w:r>
        <w:rPr>
          <w:rFonts w:ascii="宋体" w:hAnsi="宋体" w:eastAsia="宋体" w:cs="宋体"/>
          <w:spacing w:val="1"/>
          <w:sz w:val="20"/>
          <w:szCs w:val="20"/>
        </w:rPr>
        <w:t>年</w:t>
      </w:r>
      <w:r>
        <w:rPr>
          <w:rFonts w:ascii="宋体" w:hAnsi="宋体" w:eastAsia="宋体" w:cs="宋体"/>
          <w:spacing w:val="1"/>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1"/>
          <w:sz w:val="20"/>
          <w:szCs w:val="20"/>
        </w:rPr>
        <w:t>月</w:t>
      </w:r>
      <w:r>
        <w:rPr>
          <w:rFonts w:ascii="宋体" w:hAnsi="宋体" w:eastAsia="宋体" w:cs="宋体"/>
          <w:spacing w:val="1"/>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
          <w:sz w:val="20"/>
          <w:szCs w:val="20"/>
        </w:rPr>
        <w:t>日签订了</w:t>
      </w:r>
      <w:r>
        <w:rPr>
          <w:rFonts w:ascii="宋体" w:hAnsi="宋体" w:eastAsia="宋体" w:cs="宋体"/>
          <w:spacing w:val="-98"/>
          <w:sz w:val="20"/>
          <w:szCs w:val="20"/>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（工程名称）施工承包合同（以下称“主合同”）。</w:t>
      </w:r>
    </w:p>
    <w:p w14:paraId="35DBA86F">
      <w:pPr>
        <w:spacing w:before="1" w:line="369" w:lineRule="auto"/>
        <w:ind w:left="8" w:right="54" w:firstLine="422"/>
        <w:jc w:val="both"/>
        <w:rPr>
          <w:rFonts w:ascii="宋体" w:hAnsi="宋体" w:eastAsia="宋体" w:cs="宋体"/>
          <w:sz w:val="20"/>
          <w:szCs w:val="20"/>
        </w:rPr>
      </w:pPr>
      <w:r>
        <w:rPr>
          <w:rFonts w:ascii="宋体" w:hAnsi="宋体" w:eastAsia="宋体" w:cs="宋体"/>
          <w:spacing w:val="7"/>
          <w:sz w:val="20"/>
          <w:szCs w:val="20"/>
        </w:rPr>
        <w:t>鉴于该主合同规定，你方将支付承包人一笔金额为</w:t>
      </w:r>
      <w:r>
        <w:rPr>
          <w:rFonts w:ascii="宋体" w:hAnsi="宋体" w:eastAsia="宋体" w:cs="宋体"/>
          <w:spacing w:val="-97"/>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 xml:space="preserve"> （大写</w:t>
      </w:r>
      <w:r>
        <w:rPr>
          <w:rFonts w:ascii="宋体" w:hAnsi="宋体" w:eastAsia="宋体" w:cs="宋体"/>
          <w:spacing w:val="17"/>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9"/>
          <w:sz w:val="20"/>
          <w:szCs w:val="20"/>
        </w:rPr>
        <w:t xml:space="preserve"> </w:t>
      </w:r>
      <w:r>
        <w:rPr>
          <w:rFonts w:ascii="宋体" w:hAnsi="宋体" w:eastAsia="宋体" w:cs="宋体"/>
          <w:spacing w:val="17"/>
          <w:sz w:val="20"/>
          <w:szCs w:val="20"/>
        </w:rPr>
        <w:t>）</w:t>
      </w:r>
      <w:r>
        <w:rPr>
          <w:rFonts w:ascii="宋体" w:hAnsi="宋体" w:eastAsia="宋体" w:cs="宋体"/>
          <w:spacing w:val="7"/>
          <w:sz w:val="20"/>
          <w:szCs w:val="20"/>
        </w:rPr>
        <w:t>的</w:t>
      </w:r>
      <w:r>
        <w:rPr>
          <w:rFonts w:ascii="宋体" w:hAnsi="宋体" w:eastAsia="宋体" w:cs="宋体"/>
          <w:spacing w:val="10"/>
          <w:sz w:val="20"/>
          <w:szCs w:val="20"/>
        </w:rPr>
        <w:t>预付款（以下称“预付款”</w:t>
      </w:r>
      <w:r>
        <w:rPr>
          <w:rFonts w:ascii="宋体" w:hAnsi="宋体" w:eastAsia="宋体" w:cs="宋体"/>
          <w:spacing w:val="-39"/>
          <w:w w:val="74"/>
          <w:sz w:val="20"/>
          <w:szCs w:val="20"/>
        </w:rPr>
        <w:t>），</w:t>
      </w:r>
      <w:r>
        <w:rPr>
          <w:rFonts w:ascii="宋体" w:hAnsi="宋体" w:eastAsia="宋体" w:cs="宋体"/>
          <w:spacing w:val="10"/>
          <w:sz w:val="20"/>
          <w:szCs w:val="20"/>
        </w:rPr>
        <w:t>而承包人须向你</w:t>
      </w:r>
      <w:r>
        <w:rPr>
          <w:rFonts w:ascii="宋体" w:hAnsi="宋体" w:eastAsia="宋体" w:cs="宋体"/>
          <w:spacing w:val="9"/>
          <w:sz w:val="20"/>
          <w:szCs w:val="20"/>
        </w:rPr>
        <w:t>方提供与预付款等额的不可撤消和无条件兑现的预</w:t>
      </w:r>
      <w:r>
        <w:rPr>
          <w:rFonts w:ascii="宋体" w:hAnsi="宋体" w:eastAsia="宋体" w:cs="宋体"/>
          <w:spacing w:val="5"/>
          <w:sz w:val="20"/>
          <w:szCs w:val="20"/>
        </w:rPr>
        <w:t>付款保函。</w:t>
      </w:r>
    </w:p>
    <w:p w14:paraId="600416DE">
      <w:pPr>
        <w:spacing w:line="227" w:lineRule="auto"/>
        <w:ind w:left="430"/>
        <w:rPr>
          <w:rFonts w:ascii="宋体" w:hAnsi="宋体" w:eastAsia="宋体" w:cs="宋体"/>
          <w:sz w:val="20"/>
          <w:szCs w:val="20"/>
        </w:rPr>
      </w:pPr>
      <w:r>
        <w:rPr>
          <w:rFonts w:ascii="宋体" w:hAnsi="宋体" w:eastAsia="宋体" w:cs="宋体"/>
          <w:spacing w:val="9"/>
          <w:sz w:val="20"/>
          <w:szCs w:val="20"/>
        </w:rPr>
        <w:t>我方受承包人委托，为承包人履行主合同规定的义务作出如下不可撤销的保证：</w:t>
      </w:r>
    </w:p>
    <w:p w14:paraId="33A63F94">
      <w:pPr>
        <w:spacing w:before="154" w:line="369" w:lineRule="auto"/>
        <w:ind w:left="7" w:right="54" w:firstLine="422"/>
        <w:rPr>
          <w:rFonts w:ascii="宋体" w:hAnsi="宋体" w:eastAsia="宋体" w:cs="宋体"/>
          <w:sz w:val="20"/>
          <w:szCs w:val="20"/>
        </w:rPr>
      </w:pPr>
      <w:r>
        <w:rPr>
          <w:rFonts w:ascii="宋体" w:hAnsi="宋体" w:eastAsia="宋体" w:cs="宋体"/>
          <w:spacing w:val="10"/>
          <w:sz w:val="20"/>
          <w:szCs w:val="20"/>
        </w:rPr>
        <w:t>我方将在收到你方提出要求收回上述预付款金额的部分或全</w:t>
      </w:r>
      <w:r>
        <w:rPr>
          <w:rFonts w:ascii="宋体" w:hAnsi="宋体" w:eastAsia="宋体" w:cs="宋体"/>
          <w:spacing w:val="9"/>
          <w:sz w:val="20"/>
          <w:szCs w:val="20"/>
        </w:rPr>
        <w:t>部的索偿通知时，无须你方提出</w:t>
      </w:r>
      <w:r>
        <w:rPr>
          <w:rFonts w:ascii="宋体" w:hAnsi="宋体" w:eastAsia="宋体" w:cs="宋体"/>
          <w:spacing w:val="7"/>
          <w:sz w:val="20"/>
          <w:szCs w:val="20"/>
        </w:rPr>
        <w:t>任何证明或证据，立即无条件地向你方支付不超过</w:t>
      </w:r>
      <w:r>
        <w:rPr>
          <w:rFonts w:ascii="宋体" w:hAnsi="宋体" w:eastAsia="宋体" w:cs="宋体"/>
          <w:spacing w:val="-95"/>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（大</w:t>
      </w:r>
    </w:p>
    <w:p w14:paraId="360FBA6E">
      <w:pPr>
        <w:spacing w:before="2" w:line="368" w:lineRule="auto"/>
        <w:ind w:left="13"/>
        <w:rPr>
          <w:rFonts w:ascii="宋体" w:hAnsi="宋体" w:eastAsia="宋体" w:cs="宋体"/>
          <w:sz w:val="20"/>
          <w:szCs w:val="20"/>
        </w:rPr>
      </w:pPr>
      <w:r>
        <w:rPr>
          <w:rFonts w:ascii="宋体" w:hAnsi="宋体" w:eastAsia="宋体" w:cs="宋体"/>
          <w:spacing w:val="8"/>
          <w:sz w:val="20"/>
          <w:szCs w:val="20"/>
        </w:rPr>
        <w:t>写</w:t>
      </w:r>
      <w:r>
        <w:rPr>
          <w:rFonts w:ascii="宋体" w:hAnsi="宋体" w:eastAsia="宋体" w:cs="宋体"/>
          <w:spacing w:val="-12"/>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9"/>
          <w:sz w:val="20"/>
          <w:szCs w:val="20"/>
        </w:rPr>
        <w:t xml:space="preserve"> </w:t>
      </w:r>
      <w:r>
        <w:rPr>
          <w:rFonts w:ascii="宋体" w:hAnsi="宋体" w:eastAsia="宋体" w:cs="宋体"/>
          <w:spacing w:val="-12"/>
          <w:sz w:val="20"/>
          <w:szCs w:val="20"/>
        </w:rPr>
        <w:t>）</w:t>
      </w:r>
      <w:r>
        <w:rPr>
          <w:rFonts w:ascii="宋体" w:hAnsi="宋体" w:eastAsia="宋体" w:cs="宋体"/>
          <w:spacing w:val="8"/>
          <w:sz w:val="20"/>
          <w:szCs w:val="20"/>
        </w:rPr>
        <w:t>或根据本保函约定递减后的其他金额的任何你方要求的金额，</w:t>
      </w:r>
      <w:r>
        <w:rPr>
          <w:rFonts w:ascii="宋体" w:hAnsi="宋体" w:eastAsia="宋体" w:cs="宋体"/>
          <w:spacing w:val="7"/>
          <w:sz w:val="20"/>
          <w:szCs w:val="20"/>
        </w:rPr>
        <w:t>并放弃向你方追索的权力。</w:t>
      </w:r>
    </w:p>
    <w:p w14:paraId="1FAB0B34">
      <w:pPr>
        <w:spacing w:before="2" w:line="369" w:lineRule="auto"/>
        <w:ind w:left="27" w:right="509" w:firstLine="402"/>
        <w:rPr>
          <w:rFonts w:ascii="宋体" w:hAnsi="宋体" w:eastAsia="宋体" w:cs="宋体"/>
          <w:sz w:val="20"/>
          <w:szCs w:val="20"/>
        </w:rPr>
      </w:pPr>
      <w:r>
        <w:rPr>
          <w:rFonts w:ascii="宋体" w:hAnsi="宋体" w:eastAsia="宋体" w:cs="宋体"/>
          <w:spacing w:val="9"/>
          <w:sz w:val="20"/>
          <w:szCs w:val="20"/>
        </w:rPr>
        <w:t>我方特此确认并同意：我方受本保函制约的责任是连续的，主</w:t>
      </w:r>
      <w:r>
        <w:rPr>
          <w:rFonts w:ascii="宋体" w:hAnsi="宋体" w:eastAsia="宋体" w:cs="宋体"/>
          <w:spacing w:val="8"/>
          <w:sz w:val="20"/>
          <w:szCs w:val="20"/>
        </w:rPr>
        <w:t>合同的任何修改、变更、中止、终止或失效都不能削弱或影响我方受本保函制约的责任。</w:t>
      </w:r>
    </w:p>
    <w:p w14:paraId="6418D6B4">
      <w:pPr>
        <w:spacing w:before="2" w:line="368" w:lineRule="auto"/>
        <w:ind w:left="27" w:right="474" w:firstLine="399"/>
        <w:rPr>
          <w:rFonts w:ascii="宋体" w:hAnsi="宋体" w:eastAsia="宋体" w:cs="宋体"/>
          <w:sz w:val="20"/>
          <w:szCs w:val="20"/>
        </w:rPr>
      </w:pPr>
      <w:r>
        <w:rPr>
          <w:rFonts w:ascii="宋体" w:hAnsi="宋体" w:eastAsia="宋体" w:cs="宋体"/>
          <w:spacing w:val="10"/>
          <w:sz w:val="20"/>
          <w:szCs w:val="20"/>
        </w:rPr>
        <w:t>在收到你方的书面通知后，本保函的担保金额将根据你方依主</w:t>
      </w:r>
      <w:r>
        <w:rPr>
          <w:rFonts w:ascii="宋体" w:hAnsi="宋体" w:eastAsia="宋体" w:cs="宋体"/>
          <w:spacing w:val="9"/>
          <w:sz w:val="20"/>
          <w:szCs w:val="20"/>
        </w:rPr>
        <w:t>合同签认的进度付款证书</w:t>
      </w:r>
      <w:r>
        <w:rPr>
          <w:rFonts w:ascii="宋体" w:hAnsi="宋体" w:eastAsia="宋体" w:cs="宋体"/>
          <w:spacing w:val="7"/>
          <w:sz w:val="20"/>
          <w:szCs w:val="20"/>
        </w:rPr>
        <w:t>中累计扣回的预付款金额作等额调减。</w:t>
      </w:r>
    </w:p>
    <w:p w14:paraId="3D0ECB9D">
      <w:pPr>
        <w:spacing w:before="1" w:line="226" w:lineRule="auto"/>
        <w:ind w:left="429"/>
        <w:rPr>
          <w:rFonts w:ascii="宋体" w:hAnsi="宋体" w:eastAsia="宋体" w:cs="宋体"/>
          <w:sz w:val="20"/>
          <w:szCs w:val="20"/>
        </w:rPr>
      </w:pPr>
      <w:r>
        <w:rPr>
          <w:rFonts w:ascii="宋体" w:hAnsi="宋体" w:eastAsia="宋体" w:cs="宋体"/>
          <w:spacing w:val="9"/>
          <w:sz w:val="20"/>
          <w:szCs w:val="20"/>
        </w:rPr>
        <w:t>本保函自预付款支付给承包人起生效，至你方签发的进度付款证书说明已抵扣完毕止。</w:t>
      </w:r>
    </w:p>
    <w:p w14:paraId="6B91F9FF">
      <w:pPr>
        <w:spacing w:before="155" w:line="227" w:lineRule="auto"/>
        <w:ind w:left="440"/>
        <w:rPr>
          <w:rFonts w:ascii="宋体" w:hAnsi="宋体" w:eastAsia="宋体" w:cs="宋体"/>
          <w:sz w:val="20"/>
          <w:szCs w:val="20"/>
        </w:rPr>
      </w:pPr>
      <w:r>
        <w:rPr>
          <w:rFonts w:ascii="宋体" w:hAnsi="宋体" w:eastAsia="宋体" w:cs="宋体"/>
          <w:spacing w:val="9"/>
          <w:sz w:val="20"/>
          <w:szCs w:val="20"/>
        </w:rPr>
        <w:t>除非你方提前终止或解除本保函。本保函失效后请将本保函退回我方注销。</w:t>
      </w:r>
    </w:p>
    <w:p w14:paraId="3EE2EF31">
      <w:pPr>
        <w:spacing w:before="152" w:line="227" w:lineRule="auto"/>
        <w:ind w:left="429"/>
        <w:rPr>
          <w:rFonts w:ascii="宋体" w:hAnsi="宋体" w:eastAsia="宋体" w:cs="宋体"/>
          <w:sz w:val="20"/>
          <w:szCs w:val="20"/>
        </w:rPr>
      </w:pPr>
      <w:r>
        <w:rPr>
          <w:rFonts w:ascii="宋体" w:hAnsi="宋体" w:eastAsia="宋体" w:cs="宋体"/>
          <w:spacing w:val="9"/>
          <w:sz w:val="20"/>
          <w:szCs w:val="20"/>
        </w:rPr>
        <w:t>本保函项下所有权利和义务均受中华人民共和国法律管辖和制约。</w:t>
      </w:r>
    </w:p>
    <w:p w14:paraId="5197B12E">
      <w:pPr>
        <w:spacing w:line="243" w:lineRule="auto"/>
        <w:rPr>
          <w:rFonts w:ascii="Arial"/>
          <w:sz w:val="21"/>
        </w:rPr>
      </w:pPr>
    </w:p>
    <w:p w14:paraId="30EB0C22">
      <w:pPr>
        <w:spacing w:line="244" w:lineRule="auto"/>
        <w:rPr>
          <w:rFonts w:ascii="Arial"/>
          <w:sz w:val="21"/>
        </w:rPr>
      </w:pPr>
    </w:p>
    <w:p w14:paraId="64E52460">
      <w:pPr>
        <w:spacing w:before="66" w:line="227" w:lineRule="auto"/>
        <w:ind w:left="3789"/>
        <w:rPr>
          <w:rFonts w:ascii="宋体" w:hAnsi="宋体" w:eastAsia="宋体" w:cs="宋体"/>
          <w:sz w:val="20"/>
          <w:szCs w:val="20"/>
        </w:rPr>
      </w:pPr>
      <w:r>
        <w:rPr>
          <w:rFonts w:ascii="宋体" w:hAnsi="宋体" w:eastAsia="宋体" w:cs="宋体"/>
          <w:spacing w:val="10"/>
          <w:sz w:val="20"/>
          <w:szCs w:val="20"/>
        </w:rPr>
        <w:t>担保人</w:t>
      </w:r>
      <w:r>
        <w:rPr>
          <w:rFonts w:ascii="宋体" w:hAnsi="宋体" w:eastAsia="宋体" w:cs="宋体"/>
          <w:spacing w:val="-2"/>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盖单位章）</w:t>
      </w:r>
    </w:p>
    <w:p w14:paraId="67E5DC07">
      <w:pPr>
        <w:spacing w:before="152" w:line="228" w:lineRule="auto"/>
        <w:ind w:left="3789"/>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 xml:space="preserve"> </w:t>
      </w:r>
      <w:r>
        <w:rPr>
          <w:rFonts w:ascii="宋体" w:hAnsi="宋体" w:eastAsia="宋体" w:cs="宋体"/>
          <w:spacing w:val="-5"/>
          <w:sz w:val="20"/>
          <w:szCs w:val="20"/>
        </w:rPr>
        <w:t>（</w:t>
      </w:r>
      <w:r>
        <w:rPr>
          <w:rFonts w:ascii="宋体" w:hAnsi="宋体" w:eastAsia="宋体" w:cs="宋体"/>
          <w:spacing w:val="10"/>
          <w:sz w:val="20"/>
          <w:szCs w:val="20"/>
        </w:rPr>
        <w:t>签字）</w:t>
      </w:r>
    </w:p>
    <w:p w14:paraId="168681E8">
      <w:pPr>
        <w:spacing w:before="154" w:line="237" w:lineRule="auto"/>
        <w:ind w:left="3788"/>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12EBC7F4">
      <w:pPr>
        <w:spacing w:before="144" w:line="228" w:lineRule="auto"/>
        <w:ind w:left="3803"/>
        <w:rPr>
          <w:rFonts w:ascii="宋体" w:hAnsi="宋体" w:eastAsia="宋体" w:cs="宋体"/>
          <w:sz w:val="20"/>
          <w:szCs w:val="20"/>
        </w:rPr>
      </w:pPr>
      <w:r>
        <w:rPr>
          <w:rFonts w:ascii="宋体" w:hAnsi="宋体" w:eastAsia="宋体" w:cs="宋体"/>
          <w:spacing w:val="2"/>
          <w:sz w:val="20"/>
          <w:szCs w:val="20"/>
        </w:rPr>
        <w:t>邮政编码：</w:t>
      </w:r>
      <w:r>
        <w:rPr>
          <w:rFonts w:ascii="宋体" w:hAnsi="宋体" w:eastAsia="宋体" w:cs="宋体"/>
          <w:spacing w:val="2"/>
          <w:sz w:val="20"/>
          <w:szCs w:val="20"/>
          <w:u w:val="single" w:color="auto"/>
        </w:rPr>
        <w:t xml:space="preserve">                                </w:t>
      </w:r>
    </w:p>
    <w:p w14:paraId="5658FBD6">
      <w:pPr>
        <w:spacing w:before="152" w:line="230" w:lineRule="auto"/>
        <w:ind w:left="3812"/>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7"/>
          <w:sz w:val="20"/>
          <w:szCs w:val="20"/>
        </w:rPr>
        <w:t xml:space="preserve">    </w:t>
      </w:r>
      <w:r>
        <w:rPr>
          <w:rFonts w:ascii="宋体" w:hAnsi="宋体" w:eastAsia="宋体" w:cs="宋体"/>
          <w:spacing w:val="-13"/>
          <w:sz w:val="20"/>
          <w:szCs w:val="20"/>
        </w:rPr>
        <w:t>话</w:t>
      </w:r>
      <w:r>
        <w:rPr>
          <w:rFonts w:ascii="宋体" w:hAnsi="宋体" w:eastAsia="宋体" w:cs="宋体"/>
          <w:spacing w:val="-74"/>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0F17CC44">
      <w:pPr>
        <w:spacing w:before="151" w:line="227" w:lineRule="auto"/>
        <w:ind w:left="3786"/>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7"/>
          <w:sz w:val="20"/>
          <w:szCs w:val="20"/>
        </w:rPr>
        <w:t xml:space="preserve">    </w:t>
      </w:r>
      <w:r>
        <w:rPr>
          <w:rFonts w:ascii="宋体" w:hAnsi="宋体" w:eastAsia="宋体" w:cs="宋体"/>
          <w:spacing w:val="-5"/>
          <w:sz w:val="20"/>
          <w:szCs w:val="20"/>
        </w:rPr>
        <w:t>真</w:t>
      </w:r>
      <w:r>
        <w:rPr>
          <w:rFonts w:ascii="宋体" w:hAnsi="宋体" w:eastAsia="宋体" w:cs="宋体"/>
          <w:spacing w:val="-72"/>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0EDBDB64">
      <w:pPr>
        <w:tabs>
          <w:tab w:val="left" w:pos="6190"/>
        </w:tabs>
        <w:spacing w:before="155" w:line="228" w:lineRule="auto"/>
        <w:ind w:left="535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48"/>
          <w:sz w:val="20"/>
          <w:szCs w:val="20"/>
        </w:rPr>
        <w:t xml:space="preserve"> </w:t>
      </w:r>
      <w:r>
        <w:rPr>
          <w:rFonts w:ascii="宋体" w:hAnsi="宋体" w:eastAsia="宋体" w:cs="宋体"/>
          <w:spacing w:val="-2"/>
          <w:sz w:val="20"/>
          <w:szCs w:val="20"/>
        </w:rPr>
        <w:t>日</w:t>
      </w:r>
    </w:p>
    <w:p w14:paraId="30FE5101">
      <w:pPr>
        <w:spacing w:before="260" w:line="316" w:lineRule="auto"/>
        <w:ind w:left="641" w:right="52" w:hanging="631"/>
        <w:rPr>
          <w:rFonts w:ascii="宋体" w:hAnsi="宋体" w:eastAsia="宋体" w:cs="宋体"/>
          <w:sz w:val="20"/>
          <w:szCs w:val="20"/>
        </w:rPr>
      </w:pPr>
      <w:r>
        <w:rPr>
          <w:rFonts w:ascii="宋体" w:hAnsi="宋体" w:eastAsia="宋体" w:cs="宋体"/>
          <w:spacing w:val="10"/>
          <w:sz w:val="20"/>
          <w:szCs w:val="20"/>
        </w:rPr>
        <w:t>备注：本预付款担保格式可采用经发包人认可的其他格式，但相关内</w:t>
      </w:r>
      <w:r>
        <w:rPr>
          <w:rFonts w:ascii="宋体" w:hAnsi="宋体" w:eastAsia="宋体" w:cs="宋体"/>
          <w:spacing w:val="9"/>
          <w:sz w:val="20"/>
          <w:szCs w:val="20"/>
        </w:rPr>
        <w:t>容不得违背合同文件约定的</w:t>
      </w:r>
      <w:r>
        <w:rPr>
          <w:rFonts w:ascii="宋体" w:hAnsi="宋体" w:eastAsia="宋体" w:cs="宋体"/>
          <w:spacing w:val="5"/>
          <w:sz w:val="20"/>
          <w:szCs w:val="20"/>
        </w:rPr>
        <w:t>实质性内容。</w:t>
      </w:r>
    </w:p>
    <w:p w14:paraId="56FB8313">
      <w:pPr>
        <w:spacing w:line="316" w:lineRule="auto"/>
        <w:rPr>
          <w:rFonts w:ascii="宋体" w:hAnsi="宋体" w:eastAsia="宋体" w:cs="宋体"/>
          <w:sz w:val="20"/>
          <w:szCs w:val="20"/>
        </w:rPr>
        <w:sectPr>
          <w:footerReference r:id="rId221" w:type="default"/>
          <w:pgSz w:w="11906" w:h="16839"/>
          <w:pgMar w:top="400" w:right="1502" w:bottom="1038" w:left="1531" w:header="0" w:footer="787" w:gutter="0"/>
          <w:cols w:space="720" w:num="1"/>
        </w:sectPr>
      </w:pPr>
    </w:p>
    <w:p w14:paraId="39692129">
      <w:pPr>
        <w:spacing w:line="261" w:lineRule="auto"/>
        <w:rPr>
          <w:rFonts w:ascii="Arial"/>
          <w:sz w:val="21"/>
        </w:rPr>
      </w:pPr>
    </w:p>
    <w:p w14:paraId="708B7AF4">
      <w:pPr>
        <w:spacing w:line="262" w:lineRule="auto"/>
        <w:rPr>
          <w:rFonts w:ascii="Arial"/>
          <w:sz w:val="21"/>
        </w:rPr>
      </w:pPr>
    </w:p>
    <w:p w14:paraId="7DC666DC">
      <w:pPr>
        <w:spacing w:line="262" w:lineRule="auto"/>
        <w:rPr>
          <w:rFonts w:ascii="Arial"/>
          <w:sz w:val="21"/>
        </w:rPr>
      </w:pPr>
    </w:p>
    <w:p w14:paraId="0200610D">
      <w:pPr>
        <w:spacing w:line="262" w:lineRule="auto"/>
        <w:rPr>
          <w:rFonts w:ascii="Arial"/>
          <w:sz w:val="21"/>
        </w:rPr>
      </w:pPr>
    </w:p>
    <w:p w14:paraId="19EC8211">
      <w:pPr>
        <w:pStyle w:val="2"/>
        <w:spacing w:before="78" w:line="222" w:lineRule="auto"/>
        <w:ind w:left="22"/>
        <w:rPr>
          <w:sz w:val="24"/>
          <w:szCs w:val="24"/>
        </w:rPr>
      </w:pPr>
      <w:r>
        <w:rPr>
          <w:spacing w:val="-3"/>
          <w:sz w:val="24"/>
          <w:szCs w:val="24"/>
        </w:rPr>
        <w:t>附件三：履约担保格式</w:t>
      </w:r>
    </w:p>
    <w:p w14:paraId="4B7B8AB3">
      <w:pPr>
        <w:spacing w:line="382" w:lineRule="auto"/>
        <w:rPr>
          <w:rFonts w:ascii="Arial"/>
          <w:sz w:val="21"/>
        </w:rPr>
      </w:pPr>
    </w:p>
    <w:p w14:paraId="6A1E0E3B">
      <w:pPr>
        <w:pStyle w:val="2"/>
        <w:spacing w:before="91" w:line="222" w:lineRule="auto"/>
        <w:ind w:left="3720"/>
        <w:rPr>
          <w:sz w:val="28"/>
          <w:szCs w:val="28"/>
        </w:rPr>
      </w:pPr>
      <w:r>
        <w:rPr>
          <w:spacing w:val="-2"/>
          <w:sz w:val="28"/>
          <w:szCs w:val="28"/>
        </w:rPr>
        <w:t>承包人履约保函</w:t>
      </w:r>
    </w:p>
    <w:p w14:paraId="1B26AB65">
      <w:pPr>
        <w:spacing w:line="361" w:lineRule="auto"/>
        <w:rPr>
          <w:rFonts w:ascii="Arial"/>
          <w:sz w:val="21"/>
        </w:rPr>
      </w:pPr>
    </w:p>
    <w:p w14:paraId="5C97AF53">
      <w:pPr>
        <w:tabs>
          <w:tab w:val="left" w:pos="2413"/>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（发包人名称</w:t>
      </w:r>
      <w:r>
        <w:rPr>
          <w:rFonts w:ascii="宋体" w:hAnsi="宋体" w:eastAsia="宋体" w:cs="宋体"/>
          <w:spacing w:val="-54"/>
          <w:w w:val="99"/>
          <w:sz w:val="20"/>
          <w:szCs w:val="20"/>
        </w:rPr>
        <w:t>）：</w:t>
      </w:r>
    </w:p>
    <w:p w14:paraId="071D3F5F">
      <w:pPr>
        <w:tabs>
          <w:tab w:val="left" w:pos="733"/>
        </w:tabs>
        <w:spacing w:before="34" w:line="258" w:lineRule="auto"/>
        <w:ind w:right="16" w:firstLine="430"/>
        <w:jc w:val="both"/>
        <w:rPr>
          <w:rFonts w:ascii="宋体" w:hAnsi="宋体" w:eastAsia="宋体" w:cs="宋体"/>
          <w:sz w:val="20"/>
          <w:szCs w:val="20"/>
        </w:rPr>
      </w:pPr>
      <w:r>
        <w:rPr>
          <w:rFonts w:ascii="宋体" w:hAnsi="宋体" w:eastAsia="宋体" w:cs="宋体"/>
          <w:spacing w:val="6"/>
          <w:sz w:val="20"/>
          <w:szCs w:val="20"/>
        </w:rPr>
        <w:t>鉴于你方作为发包人已经与</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（承包人名称</w:t>
      </w:r>
      <w:r>
        <w:rPr>
          <w:rFonts w:ascii="宋体" w:hAnsi="宋体" w:eastAsia="宋体" w:cs="宋体"/>
          <w:spacing w:val="-57"/>
          <w:sz w:val="20"/>
          <w:szCs w:val="20"/>
        </w:rPr>
        <w:t>）（</w:t>
      </w:r>
      <w:r>
        <w:rPr>
          <w:rFonts w:ascii="宋体" w:hAnsi="宋体" w:eastAsia="宋体" w:cs="宋体"/>
          <w:spacing w:val="6"/>
          <w:sz w:val="20"/>
          <w:szCs w:val="20"/>
        </w:rPr>
        <w:t>以下称“承包人”）于</w:t>
      </w:r>
      <w:r>
        <w:rPr>
          <w:rFonts w:ascii="宋体" w:hAnsi="宋体" w:eastAsia="宋体" w:cs="宋体"/>
          <w:sz w:val="20"/>
          <w:szCs w:val="20"/>
          <w:u w:val="single" w:color="auto"/>
        </w:rPr>
        <w:tab/>
      </w:r>
      <w:r>
        <w:rPr>
          <w:rFonts w:ascii="宋体" w:hAnsi="宋体" w:eastAsia="宋体" w:cs="宋体"/>
          <w:spacing w:val="-87"/>
          <w:sz w:val="20"/>
          <w:szCs w:val="20"/>
        </w:rPr>
        <w:t xml:space="preserve"> </w:t>
      </w:r>
      <w:r>
        <w:rPr>
          <w:rFonts w:ascii="宋体" w:hAnsi="宋体" w:eastAsia="宋体" w:cs="宋体"/>
          <w:spacing w:val="-2"/>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日签订了</w:t>
      </w:r>
      <w:r>
        <w:rPr>
          <w:rFonts w:ascii="宋体" w:hAnsi="宋体" w:eastAsia="宋体" w:cs="宋体"/>
          <w:spacing w:val="-99"/>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（工程名称）施</w:t>
      </w:r>
      <w:r>
        <w:rPr>
          <w:rFonts w:ascii="宋体" w:hAnsi="宋体" w:eastAsia="宋体" w:cs="宋体"/>
          <w:spacing w:val="-3"/>
          <w:sz w:val="20"/>
          <w:szCs w:val="20"/>
        </w:rPr>
        <w:t>工承包合同（以下称“主合同”</w:t>
      </w:r>
      <w:r>
        <w:rPr>
          <w:rFonts w:ascii="宋体" w:hAnsi="宋体" w:eastAsia="宋体" w:cs="宋体"/>
          <w:spacing w:val="-29"/>
          <w:w w:val="54"/>
          <w:sz w:val="20"/>
          <w:szCs w:val="20"/>
        </w:rPr>
        <w:t>），</w:t>
      </w:r>
      <w:r>
        <w:rPr>
          <w:rFonts w:ascii="宋体" w:hAnsi="宋体" w:eastAsia="宋体" w:cs="宋体"/>
          <w:spacing w:val="10"/>
          <w:sz w:val="20"/>
          <w:szCs w:val="20"/>
        </w:rPr>
        <w:t>应承包人申请，我方愿就承包人履行主合同约定的义务以保证</w:t>
      </w:r>
      <w:r>
        <w:rPr>
          <w:rFonts w:ascii="宋体" w:hAnsi="宋体" w:eastAsia="宋体" w:cs="宋体"/>
          <w:spacing w:val="9"/>
          <w:sz w:val="20"/>
          <w:szCs w:val="20"/>
        </w:rPr>
        <w:t>的方式向你方提供如下担保：</w:t>
      </w:r>
    </w:p>
    <w:p w14:paraId="0EFEE4E8">
      <w:pPr>
        <w:pStyle w:val="2"/>
        <w:spacing w:before="1" w:line="229" w:lineRule="auto"/>
        <w:ind w:left="431"/>
        <w:rPr>
          <w:sz w:val="20"/>
          <w:szCs w:val="20"/>
        </w:rPr>
      </w:pPr>
      <w:r>
        <w:rPr>
          <w:spacing w:val="8"/>
          <w:sz w:val="20"/>
          <w:szCs w:val="20"/>
        </w:rPr>
        <w:t>一、保证的范围及保证金额</w:t>
      </w:r>
    </w:p>
    <w:p w14:paraId="1CBFED74">
      <w:pPr>
        <w:spacing w:before="31" w:line="228" w:lineRule="auto"/>
        <w:ind w:left="430"/>
        <w:rPr>
          <w:rFonts w:ascii="宋体" w:hAnsi="宋体" w:eastAsia="宋体" w:cs="宋体"/>
          <w:sz w:val="20"/>
          <w:szCs w:val="20"/>
        </w:rPr>
      </w:pPr>
      <w:r>
        <w:rPr>
          <w:rFonts w:ascii="宋体" w:hAnsi="宋体" w:eastAsia="宋体" w:cs="宋体"/>
          <w:spacing w:val="9"/>
          <w:sz w:val="20"/>
          <w:szCs w:val="20"/>
        </w:rPr>
        <w:t>我方的保证范围是承包人未按照主合同的约定履行义务，给你方造成的实际损失。</w:t>
      </w:r>
    </w:p>
    <w:p w14:paraId="7F4EFFAB">
      <w:pPr>
        <w:spacing w:before="32" w:line="226" w:lineRule="auto"/>
        <w:jc w:val="right"/>
        <w:rPr>
          <w:rFonts w:ascii="宋体" w:hAnsi="宋体" w:eastAsia="宋体" w:cs="宋体"/>
          <w:sz w:val="20"/>
          <w:szCs w:val="20"/>
        </w:rPr>
      </w:pPr>
      <w:r>
        <w:rPr>
          <w:rFonts w:ascii="宋体" w:hAnsi="宋体" w:eastAsia="宋体" w:cs="宋体"/>
          <w:spacing w:val="1"/>
          <w:sz w:val="20"/>
          <w:szCs w:val="20"/>
        </w:rPr>
        <w:t>我方保证的金额是主合同约定的合同总价款</w:t>
      </w:r>
      <w:r>
        <w:rPr>
          <w:rFonts w:ascii="宋体" w:hAnsi="宋体" w:eastAsia="宋体" w:cs="宋体"/>
          <w:sz w:val="20"/>
          <w:szCs w:val="20"/>
          <w:u w:val="single" w:color="auto"/>
        </w:rPr>
        <w:t xml:space="preserve">      </w:t>
      </w:r>
      <w:r>
        <w:rPr>
          <w:rFonts w:ascii="宋体" w:hAnsi="宋体" w:eastAsia="宋体" w:cs="宋体"/>
          <w:spacing w:val="-97"/>
          <w:sz w:val="20"/>
          <w:szCs w:val="20"/>
        </w:rPr>
        <w:t xml:space="preserve"> </w:t>
      </w:r>
      <w:r>
        <w:rPr>
          <w:rFonts w:ascii="宋体" w:hAnsi="宋体" w:eastAsia="宋体" w:cs="宋体"/>
          <w:sz w:val="20"/>
          <w:szCs w:val="20"/>
        </w:rPr>
        <w:t>%，数额最高不超过人民币</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z w:val="20"/>
          <w:szCs w:val="20"/>
        </w:rPr>
        <w:t>元（大写）。</w:t>
      </w:r>
    </w:p>
    <w:p w14:paraId="1AB46B86">
      <w:pPr>
        <w:pStyle w:val="2"/>
        <w:spacing w:before="36" w:line="229" w:lineRule="auto"/>
        <w:ind w:left="431"/>
        <w:rPr>
          <w:sz w:val="20"/>
          <w:szCs w:val="20"/>
        </w:rPr>
      </w:pPr>
      <w:r>
        <w:rPr>
          <w:spacing w:val="8"/>
          <w:sz w:val="20"/>
          <w:szCs w:val="20"/>
        </w:rPr>
        <w:t>二、保证的方式及保证期间</w:t>
      </w:r>
    </w:p>
    <w:p w14:paraId="12F585DA">
      <w:pPr>
        <w:spacing w:before="32" w:line="228" w:lineRule="auto"/>
        <w:ind w:left="430"/>
        <w:rPr>
          <w:rFonts w:ascii="宋体" w:hAnsi="宋体" w:eastAsia="宋体" w:cs="宋体"/>
          <w:sz w:val="20"/>
          <w:szCs w:val="20"/>
        </w:rPr>
      </w:pPr>
      <w:r>
        <w:rPr>
          <w:rFonts w:ascii="宋体" w:hAnsi="宋体" w:eastAsia="宋体" w:cs="宋体"/>
          <w:spacing w:val="8"/>
          <w:sz w:val="20"/>
          <w:szCs w:val="20"/>
        </w:rPr>
        <w:t>我方保证的方式为：连带责任保证。</w:t>
      </w:r>
    </w:p>
    <w:p w14:paraId="03027E14">
      <w:pPr>
        <w:spacing w:before="32" w:line="227" w:lineRule="auto"/>
        <w:ind w:left="430"/>
        <w:rPr>
          <w:rFonts w:ascii="宋体" w:hAnsi="宋体" w:eastAsia="宋体" w:cs="宋体"/>
          <w:sz w:val="20"/>
          <w:szCs w:val="20"/>
        </w:rPr>
      </w:pPr>
      <w:r>
        <w:rPr>
          <w:rFonts w:ascii="宋体" w:hAnsi="宋体" w:eastAsia="宋体" w:cs="宋体"/>
          <w:spacing w:val="6"/>
          <w:sz w:val="20"/>
          <w:szCs w:val="20"/>
        </w:rPr>
        <w:t>我方保证的期间为：</w:t>
      </w:r>
      <w:r>
        <w:rPr>
          <w:rFonts w:ascii="宋体" w:hAnsi="宋体" w:eastAsia="宋体" w:cs="宋体"/>
          <w:spacing w:val="-30"/>
          <w:sz w:val="20"/>
          <w:szCs w:val="20"/>
        </w:rPr>
        <w:t xml:space="preserve"> </w:t>
      </w:r>
      <w:r>
        <w:rPr>
          <w:rFonts w:ascii="宋体" w:hAnsi="宋体" w:eastAsia="宋体" w:cs="宋体"/>
          <w:spacing w:val="6"/>
          <w:sz w:val="20"/>
          <w:szCs w:val="20"/>
        </w:rPr>
        <w:t>自本合同生效之日起至主合同约定的工程竣工日期后</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6"/>
          <w:sz w:val="20"/>
          <w:szCs w:val="20"/>
        </w:rPr>
        <w:t>日内。</w:t>
      </w:r>
    </w:p>
    <w:p w14:paraId="0A3AB729">
      <w:pPr>
        <w:spacing w:before="35" w:line="258" w:lineRule="auto"/>
        <w:ind w:left="10" w:right="71" w:firstLine="418"/>
        <w:rPr>
          <w:rFonts w:ascii="宋体" w:hAnsi="宋体" w:eastAsia="宋体" w:cs="宋体"/>
          <w:sz w:val="20"/>
          <w:szCs w:val="20"/>
        </w:rPr>
      </w:pPr>
      <w:r>
        <w:rPr>
          <w:rFonts w:ascii="宋体" w:hAnsi="宋体" w:eastAsia="宋体" w:cs="宋体"/>
          <w:spacing w:val="10"/>
          <w:sz w:val="20"/>
          <w:szCs w:val="20"/>
        </w:rPr>
        <w:t>你方与承包人协议变更工程竣工日期的，经我方书面同意后，保证</w:t>
      </w:r>
      <w:r>
        <w:rPr>
          <w:rFonts w:ascii="宋体" w:hAnsi="宋体" w:eastAsia="宋体" w:cs="宋体"/>
          <w:spacing w:val="9"/>
          <w:sz w:val="20"/>
          <w:szCs w:val="20"/>
        </w:rPr>
        <w:t>期间按照变更后的竣工日</w:t>
      </w:r>
      <w:r>
        <w:rPr>
          <w:rFonts w:ascii="宋体" w:hAnsi="宋体" w:eastAsia="宋体" w:cs="宋体"/>
          <w:spacing w:val="6"/>
          <w:sz w:val="20"/>
          <w:szCs w:val="20"/>
        </w:rPr>
        <w:t>期做相应调整。</w:t>
      </w:r>
    </w:p>
    <w:p w14:paraId="10FD2634">
      <w:pPr>
        <w:pStyle w:val="2"/>
        <w:spacing w:before="1" w:line="229" w:lineRule="auto"/>
        <w:ind w:left="432"/>
        <w:rPr>
          <w:sz w:val="20"/>
          <w:szCs w:val="20"/>
        </w:rPr>
      </w:pPr>
      <w:r>
        <w:rPr>
          <w:spacing w:val="8"/>
          <w:sz w:val="20"/>
          <w:szCs w:val="20"/>
        </w:rPr>
        <w:t>三、承担保证责任的形式</w:t>
      </w:r>
    </w:p>
    <w:p w14:paraId="7437D90E">
      <w:pPr>
        <w:spacing w:before="32" w:line="228" w:lineRule="auto"/>
        <w:ind w:left="430"/>
        <w:rPr>
          <w:rFonts w:ascii="宋体" w:hAnsi="宋体" w:eastAsia="宋体" w:cs="宋体"/>
          <w:sz w:val="20"/>
          <w:szCs w:val="20"/>
        </w:rPr>
      </w:pPr>
      <w:r>
        <w:rPr>
          <w:rFonts w:ascii="宋体" w:hAnsi="宋体" w:eastAsia="宋体" w:cs="宋体"/>
          <w:spacing w:val="9"/>
          <w:sz w:val="20"/>
          <w:szCs w:val="20"/>
        </w:rPr>
        <w:t>我方按照你方的要求以下列方式之一承担保证责任：</w:t>
      </w:r>
    </w:p>
    <w:p w14:paraId="72C8383F">
      <w:pPr>
        <w:spacing w:before="34" w:line="258" w:lineRule="auto"/>
        <w:ind w:left="11" w:right="70" w:firstLine="426"/>
        <w:rPr>
          <w:rFonts w:ascii="宋体" w:hAnsi="宋体" w:eastAsia="宋体" w:cs="宋体"/>
          <w:sz w:val="20"/>
          <w:szCs w:val="20"/>
        </w:rPr>
      </w:pPr>
      <w:r>
        <w:rPr>
          <w:rFonts w:ascii="宋体" w:hAnsi="宋体" w:eastAsia="宋体" w:cs="宋体"/>
          <w:spacing w:val="7"/>
          <w:sz w:val="20"/>
          <w:szCs w:val="20"/>
        </w:rPr>
        <w:t>（1）由我方提供资金及技术援助，使承包人继续履行主合同义务，支付金额</w:t>
      </w:r>
      <w:r>
        <w:rPr>
          <w:rFonts w:ascii="宋体" w:hAnsi="宋体" w:eastAsia="宋体" w:cs="宋体"/>
          <w:spacing w:val="6"/>
          <w:sz w:val="20"/>
          <w:szCs w:val="20"/>
        </w:rPr>
        <w:t>不超过本保函第</w:t>
      </w:r>
      <w:r>
        <w:rPr>
          <w:rFonts w:ascii="宋体" w:hAnsi="宋体" w:eastAsia="宋体" w:cs="宋体"/>
          <w:spacing w:val="7"/>
          <w:sz w:val="20"/>
          <w:szCs w:val="20"/>
        </w:rPr>
        <w:t>一条规定的保证金额。</w:t>
      </w:r>
    </w:p>
    <w:p w14:paraId="01E1AE96">
      <w:pPr>
        <w:spacing w:before="1" w:line="226" w:lineRule="auto"/>
        <w:ind w:left="438"/>
        <w:rPr>
          <w:rFonts w:ascii="宋体" w:hAnsi="宋体" w:eastAsia="宋体" w:cs="宋体"/>
          <w:sz w:val="20"/>
          <w:szCs w:val="20"/>
        </w:rPr>
      </w:pPr>
      <w:r>
        <w:rPr>
          <w:rFonts w:ascii="宋体" w:hAnsi="宋体" w:eastAsia="宋体" w:cs="宋体"/>
          <w:spacing w:val="7"/>
          <w:sz w:val="20"/>
          <w:szCs w:val="20"/>
        </w:rPr>
        <w:t>（2）</w:t>
      </w:r>
      <w:r>
        <w:rPr>
          <w:rFonts w:ascii="宋体" w:hAnsi="宋体" w:eastAsia="宋体" w:cs="宋体"/>
          <w:spacing w:val="-48"/>
          <w:sz w:val="20"/>
          <w:szCs w:val="20"/>
        </w:rPr>
        <w:t xml:space="preserve"> </w:t>
      </w:r>
      <w:r>
        <w:rPr>
          <w:rFonts w:ascii="宋体" w:hAnsi="宋体" w:eastAsia="宋体" w:cs="宋体"/>
          <w:spacing w:val="7"/>
          <w:sz w:val="20"/>
          <w:szCs w:val="20"/>
        </w:rPr>
        <w:t>由我方在本保函第一条规定的保证金额内赔偿你方的损失。</w:t>
      </w:r>
    </w:p>
    <w:p w14:paraId="40AC70DF">
      <w:pPr>
        <w:pStyle w:val="2"/>
        <w:spacing w:before="35" w:line="231" w:lineRule="auto"/>
        <w:ind w:left="440"/>
        <w:rPr>
          <w:sz w:val="20"/>
          <w:szCs w:val="20"/>
        </w:rPr>
      </w:pPr>
      <w:r>
        <w:rPr>
          <w:spacing w:val="6"/>
          <w:sz w:val="20"/>
          <w:szCs w:val="20"/>
        </w:rPr>
        <w:t>四、代偿的安排</w:t>
      </w:r>
    </w:p>
    <w:p w14:paraId="75F7EF8F">
      <w:pPr>
        <w:spacing w:before="30" w:line="258" w:lineRule="auto"/>
        <w:ind w:left="10" w:right="70" w:firstLine="419"/>
        <w:jc w:val="both"/>
        <w:rPr>
          <w:rFonts w:ascii="宋体" w:hAnsi="宋体" w:eastAsia="宋体" w:cs="宋体"/>
          <w:sz w:val="20"/>
          <w:szCs w:val="20"/>
        </w:rPr>
      </w:pPr>
      <w:r>
        <w:rPr>
          <w:rFonts w:ascii="宋体" w:hAnsi="宋体" w:eastAsia="宋体" w:cs="宋体"/>
          <w:spacing w:val="10"/>
          <w:sz w:val="20"/>
          <w:szCs w:val="20"/>
        </w:rPr>
        <w:t>你方要求我方承担保证责任的，应向我方发出书面索赔通知及承包</w:t>
      </w:r>
      <w:r>
        <w:rPr>
          <w:rFonts w:ascii="宋体" w:hAnsi="宋体" w:eastAsia="宋体" w:cs="宋体"/>
          <w:spacing w:val="9"/>
          <w:sz w:val="20"/>
          <w:szCs w:val="20"/>
        </w:rPr>
        <w:t>人未履行主合同约定义务</w:t>
      </w:r>
      <w:r>
        <w:rPr>
          <w:rFonts w:ascii="宋体" w:hAnsi="宋体" w:eastAsia="宋体" w:cs="宋体"/>
          <w:spacing w:val="10"/>
          <w:sz w:val="20"/>
          <w:szCs w:val="20"/>
        </w:rPr>
        <w:t>的证明材料。索赔通知应写明要求索赔的金额，支付款项应到达的账号</w:t>
      </w:r>
      <w:r>
        <w:rPr>
          <w:rFonts w:ascii="宋体" w:hAnsi="宋体" w:eastAsia="宋体" w:cs="宋体"/>
          <w:spacing w:val="9"/>
          <w:sz w:val="20"/>
          <w:szCs w:val="20"/>
        </w:rPr>
        <w:t>，并附有说明承包人违反</w:t>
      </w:r>
      <w:r>
        <w:rPr>
          <w:rFonts w:ascii="宋体" w:hAnsi="宋体" w:eastAsia="宋体" w:cs="宋体"/>
          <w:spacing w:val="8"/>
          <w:sz w:val="20"/>
          <w:szCs w:val="20"/>
        </w:rPr>
        <w:t>主合同造成你方损失情况的证明材料。</w:t>
      </w:r>
    </w:p>
    <w:p w14:paraId="76BD4B6A">
      <w:pPr>
        <w:spacing w:line="259" w:lineRule="auto"/>
        <w:ind w:left="8" w:right="71" w:firstLine="420"/>
        <w:rPr>
          <w:rFonts w:ascii="宋体" w:hAnsi="宋体" w:eastAsia="宋体" w:cs="宋体"/>
          <w:sz w:val="20"/>
          <w:szCs w:val="20"/>
        </w:rPr>
      </w:pPr>
      <w:r>
        <w:rPr>
          <w:rFonts w:ascii="宋体" w:hAnsi="宋体" w:eastAsia="宋体" w:cs="宋体"/>
          <w:spacing w:val="10"/>
          <w:sz w:val="20"/>
          <w:szCs w:val="20"/>
        </w:rPr>
        <w:t>你方以工程质量不符合主合同约定标准为由，向我方提出违约索赔</w:t>
      </w:r>
      <w:r>
        <w:rPr>
          <w:rFonts w:ascii="宋体" w:hAnsi="宋体" w:eastAsia="宋体" w:cs="宋体"/>
          <w:spacing w:val="9"/>
          <w:sz w:val="20"/>
          <w:szCs w:val="20"/>
        </w:rPr>
        <w:t>的，还需同时提供符合相应条件要求的工程质量检测部门出具的质量说明材料。</w:t>
      </w:r>
    </w:p>
    <w:p w14:paraId="0DD9A841">
      <w:pPr>
        <w:spacing w:line="258" w:lineRule="auto"/>
        <w:ind w:left="8" w:right="70" w:firstLine="421"/>
        <w:rPr>
          <w:rFonts w:ascii="宋体" w:hAnsi="宋体" w:eastAsia="宋体" w:cs="宋体"/>
          <w:sz w:val="20"/>
          <w:szCs w:val="20"/>
        </w:rPr>
      </w:pPr>
      <w:r>
        <w:rPr>
          <w:rFonts w:ascii="宋体" w:hAnsi="宋体" w:eastAsia="宋体" w:cs="宋体"/>
          <w:spacing w:val="7"/>
          <w:sz w:val="20"/>
          <w:szCs w:val="20"/>
        </w:rPr>
        <w:t>我方收到你方的书面索赔通知及相应证明材料</w:t>
      </w:r>
      <w:r>
        <w:rPr>
          <w:rFonts w:ascii="宋体" w:hAnsi="宋体" w:eastAsia="宋体" w:cs="宋体"/>
          <w:spacing w:val="6"/>
          <w:sz w:val="20"/>
          <w:szCs w:val="20"/>
        </w:rPr>
        <w:t>后，在</w:t>
      </w:r>
      <w:r>
        <w:rPr>
          <w:rFonts w:ascii="宋体" w:hAnsi="宋体" w:eastAsia="宋体" w:cs="宋体"/>
          <w:spacing w:val="6"/>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6"/>
          <w:sz w:val="20"/>
          <w:szCs w:val="20"/>
        </w:rPr>
        <w:t>工作日内进行核定后按照本保函的</w:t>
      </w:r>
      <w:r>
        <w:rPr>
          <w:rFonts w:ascii="宋体" w:hAnsi="宋体" w:eastAsia="宋体" w:cs="宋体"/>
          <w:spacing w:val="7"/>
          <w:sz w:val="20"/>
          <w:szCs w:val="20"/>
        </w:rPr>
        <w:t>承诺承担保证责任。</w:t>
      </w:r>
    </w:p>
    <w:p w14:paraId="738D6E45">
      <w:pPr>
        <w:pStyle w:val="2"/>
        <w:spacing w:line="229" w:lineRule="auto"/>
        <w:ind w:left="433"/>
        <w:rPr>
          <w:sz w:val="20"/>
          <w:szCs w:val="20"/>
        </w:rPr>
      </w:pPr>
      <w:r>
        <w:rPr>
          <w:spacing w:val="8"/>
          <w:sz w:val="20"/>
          <w:szCs w:val="20"/>
        </w:rPr>
        <w:t>五、保证责任的解除</w:t>
      </w:r>
    </w:p>
    <w:p w14:paraId="4BB13544">
      <w:pPr>
        <w:spacing w:before="33" w:line="258" w:lineRule="auto"/>
        <w:ind w:left="10" w:right="16" w:firstLine="433"/>
        <w:rPr>
          <w:rFonts w:ascii="宋体" w:hAnsi="宋体" w:eastAsia="宋体" w:cs="宋体"/>
          <w:sz w:val="20"/>
          <w:szCs w:val="20"/>
        </w:rPr>
      </w:pPr>
      <w:r>
        <w:rPr>
          <w:rFonts w:ascii="宋体" w:hAnsi="宋体" w:eastAsia="宋体" w:cs="宋体"/>
          <w:spacing w:val="3"/>
          <w:sz w:val="20"/>
          <w:szCs w:val="20"/>
        </w:rPr>
        <w:t>1、在本保函承诺的保证期间内，你方未书面向我方主张保证责任的，自保证期间届满次日起，</w:t>
      </w:r>
      <w:r>
        <w:rPr>
          <w:rFonts w:ascii="宋体" w:hAnsi="宋体" w:eastAsia="宋体" w:cs="宋体"/>
          <w:spacing w:val="7"/>
          <w:sz w:val="20"/>
          <w:szCs w:val="20"/>
        </w:rPr>
        <w:t>我方保证责任解除。</w:t>
      </w:r>
    </w:p>
    <w:p w14:paraId="0A924FFA">
      <w:pPr>
        <w:spacing w:line="258" w:lineRule="auto"/>
        <w:ind w:left="7" w:right="73" w:firstLine="423"/>
        <w:rPr>
          <w:rFonts w:ascii="宋体" w:hAnsi="宋体" w:eastAsia="宋体" w:cs="宋体"/>
          <w:sz w:val="20"/>
          <w:szCs w:val="20"/>
        </w:rPr>
      </w:pPr>
      <w:r>
        <w:rPr>
          <w:rFonts w:ascii="宋体" w:hAnsi="宋体" w:eastAsia="宋体" w:cs="宋体"/>
          <w:spacing w:val="7"/>
          <w:sz w:val="20"/>
          <w:szCs w:val="20"/>
        </w:rPr>
        <w:t>2、承包人按主合同约定履行了义务的，自本保函承诺的保证期间届满次日起，我方保证责任</w:t>
      </w:r>
      <w:r>
        <w:rPr>
          <w:rFonts w:ascii="宋体" w:hAnsi="宋体" w:eastAsia="宋体" w:cs="宋体"/>
          <w:spacing w:val="3"/>
          <w:sz w:val="20"/>
          <w:szCs w:val="20"/>
        </w:rPr>
        <w:t>解除。</w:t>
      </w:r>
    </w:p>
    <w:p w14:paraId="503D794F">
      <w:pPr>
        <w:spacing w:before="1" w:line="259" w:lineRule="auto"/>
        <w:ind w:left="9" w:right="73" w:firstLine="423"/>
        <w:rPr>
          <w:rFonts w:ascii="宋体" w:hAnsi="宋体" w:eastAsia="宋体" w:cs="宋体"/>
          <w:sz w:val="20"/>
          <w:szCs w:val="20"/>
        </w:rPr>
      </w:pPr>
      <w:r>
        <w:rPr>
          <w:rFonts w:ascii="宋体" w:hAnsi="宋体" w:eastAsia="宋体" w:cs="宋体"/>
          <w:spacing w:val="7"/>
          <w:sz w:val="20"/>
          <w:szCs w:val="20"/>
        </w:rPr>
        <w:t>3、我方按照本保函向你方履行保证责任所支付的金额达到本保函保证金额时，自我方</w:t>
      </w:r>
      <w:r>
        <w:rPr>
          <w:rFonts w:ascii="宋体" w:hAnsi="宋体" w:eastAsia="宋体" w:cs="宋体"/>
          <w:spacing w:val="6"/>
          <w:sz w:val="20"/>
          <w:szCs w:val="20"/>
        </w:rPr>
        <w:t>向你方</w:t>
      </w:r>
      <w:r>
        <w:rPr>
          <w:rFonts w:ascii="宋体" w:hAnsi="宋体" w:eastAsia="宋体" w:cs="宋体"/>
          <w:spacing w:val="9"/>
          <w:sz w:val="20"/>
          <w:szCs w:val="20"/>
        </w:rPr>
        <w:t>支付（支付款项从我方账户划出）之日起，保证责任即解除。</w:t>
      </w:r>
    </w:p>
    <w:p w14:paraId="053F0D4E">
      <w:pPr>
        <w:spacing w:line="258" w:lineRule="auto"/>
        <w:ind w:left="15" w:right="70" w:firstLine="411"/>
        <w:rPr>
          <w:rFonts w:ascii="宋体" w:hAnsi="宋体" w:eastAsia="宋体" w:cs="宋体"/>
          <w:sz w:val="20"/>
          <w:szCs w:val="20"/>
        </w:rPr>
      </w:pPr>
      <w:r>
        <w:rPr>
          <w:rFonts w:ascii="宋体" w:hAnsi="宋体" w:eastAsia="宋体" w:cs="宋体"/>
          <w:spacing w:val="7"/>
          <w:sz w:val="20"/>
          <w:szCs w:val="20"/>
        </w:rPr>
        <w:t>4、按照法律法规的规定或出现应解除我方保证责任的其它情形的，我方在本保函项下的保证</w:t>
      </w:r>
      <w:r>
        <w:rPr>
          <w:rFonts w:ascii="宋体" w:hAnsi="宋体" w:eastAsia="宋体" w:cs="宋体"/>
          <w:spacing w:val="5"/>
          <w:sz w:val="20"/>
          <w:szCs w:val="20"/>
        </w:rPr>
        <w:t>责任亦解除。</w:t>
      </w:r>
    </w:p>
    <w:p w14:paraId="00F75B88">
      <w:pPr>
        <w:spacing w:line="258" w:lineRule="auto"/>
        <w:ind w:left="7" w:right="70" w:firstLine="422"/>
        <w:rPr>
          <w:rFonts w:ascii="宋体" w:hAnsi="宋体" w:eastAsia="宋体" w:cs="宋体"/>
          <w:sz w:val="20"/>
          <w:szCs w:val="20"/>
        </w:rPr>
      </w:pPr>
      <w:r>
        <w:rPr>
          <w:rFonts w:ascii="宋体" w:hAnsi="宋体" w:eastAsia="宋体" w:cs="宋体"/>
          <w:spacing w:val="7"/>
          <w:sz w:val="20"/>
          <w:szCs w:val="20"/>
        </w:rPr>
        <w:t>我方解除保证责任后，你方应自我方保证责任解除之日起</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7"/>
          <w:sz w:val="20"/>
          <w:szCs w:val="20"/>
        </w:rPr>
        <w:t>个工</w:t>
      </w:r>
      <w:r>
        <w:rPr>
          <w:rFonts w:ascii="宋体" w:hAnsi="宋体" w:eastAsia="宋体" w:cs="宋体"/>
          <w:spacing w:val="6"/>
          <w:sz w:val="20"/>
          <w:szCs w:val="20"/>
        </w:rPr>
        <w:t>作日内，将本保函原件返</w:t>
      </w:r>
      <w:r>
        <w:rPr>
          <w:rFonts w:ascii="宋体" w:hAnsi="宋体" w:eastAsia="宋体" w:cs="宋体"/>
          <w:spacing w:val="5"/>
          <w:sz w:val="20"/>
          <w:szCs w:val="20"/>
        </w:rPr>
        <w:t>还我方。</w:t>
      </w:r>
    </w:p>
    <w:p w14:paraId="3E9A4561">
      <w:pPr>
        <w:pStyle w:val="2"/>
        <w:spacing w:line="229" w:lineRule="auto"/>
        <w:ind w:left="434"/>
        <w:rPr>
          <w:sz w:val="20"/>
          <w:szCs w:val="20"/>
        </w:rPr>
      </w:pPr>
      <w:r>
        <w:rPr>
          <w:spacing w:val="7"/>
          <w:sz w:val="20"/>
          <w:szCs w:val="20"/>
        </w:rPr>
        <w:t>六、免责条款</w:t>
      </w:r>
    </w:p>
    <w:p w14:paraId="3FE8A5D7">
      <w:pPr>
        <w:spacing w:before="32" w:line="228" w:lineRule="auto"/>
        <w:ind w:left="443"/>
        <w:rPr>
          <w:rFonts w:ascii="宋体" w:hAnsi="宋体" w:eastAsia="宋体" w:cs="宋体"/>
          <w:sz w:val="20"/>
          <w:szCs w:val="20"/>
        </w:rPr>
      </w:pPr>
      <w:r>
        <w:rPr>
          <w:rFonts w:ascii="宋体" w:hAnsi="宋体" w:eastAsia="宋体" w:cs="宋体"/>
          <w:spacing w:val="8"/>
          <w:sz w:val="20"/>
          <w:szCs w:val="20"/>
        </w:rPr>
        <w:t>1、因你方违约致使承包人不能履行义务的，我方不承担保证责任。</w:t>
      </w:r>
    </w:p>
    <w:p w14:paraId="7C4E74D4">
      <w:pPr>
        <w:spacing w:before="35" w:line="258" w:lineRule="auto"/>
        <w:ind w:left="13" w:right="73" w:firstLine="417"/>
        <w:rPr>
          <w:rFonts w:ascii="宋体" w:hAnsi="宋体" w:eastAsia="宋体" w:cs="宋体"/>
          <w:sz w:val="20"/>
          <w:szCs w:val="20"/>
        </w:rPr>
      </w:pPr>
      <w:r>
        <w:rPr>
          <w:rFonts w:ascii="宋体" w:hAnsi="宋体" w:eastAsia="宋体" w:cs="宋体"/>
          <w:spacing w:val="7"/>
          <w:sz w:val="20"/>
          <w:szCs w:val="20"/>
        </w:rPr>
        <w:t>2、依照法律法规的规定或你方与承包人的另行约定，免除承包人部分或全部义务的，我方亦免除其相应的保证责任。</w:t>
      </w:r>
    </w:p>
    <w:p w14:paraId="6EF5FB05">
      <w:pPr>
        <w:spacing w:before="1" w:line="258" w:lineRule="auto"/>
        <w:ind w:left="8" w:right="71" w:firstLine="424"/>
        <w:rPr>
          <w:rFonts w:ascii="宋体" w:hAnsi="宋体" w:eastAsia="宋体" w:cs="宋体"/>
          <w:sz w:val="20"/>
          <w:szCs w:val="20"/>
        </w:rPr>
      </w:pPr>
      <w:r>
        <w:rPr>
          <w:rFonts w:ascii="宋体" w:hAnsi="宋体" w:eastAsia="宋体" w:cs="宋体"/>
          <w:spacing w:val="6"/>
          <w:sz w:val="20"/>
          <w:szCs w:val="20"/>
        </w:rPr>
        <w:t>3、你方与承包人协议变更主合同（符合主合同合同条款第</w:t>
      </w:r>
      <w:r>
        <w:rPr>
          <w:rFonts w:ascii="宋体" w:hAnsi="宋体" w:eastAsia="宋体" w:cs="宋体"/>
          <w:spacing w:val="-21"/>
          <w:sz w:val="20"/>
          <w:szCs w:val="20"/>
        </w:rPr>
        <w:t xml:space="preserve"> </w:t>
      </w:r>
      <w:r>
        <w:rPr>
          <w:rFonts w:ascii="宋体" w:hAnsi="宋体" w:eastAsia="宋体" w:cs="宋体"/>
          <w:spacing w:val="6"/>
          <w:sz w:val="20"/>
          <w:szCs w:val="20"/>
        </w:rPr>
        <w:t>15</w:t>
      </w:r>
      <w:r>
        <w:rPr>
          <w:rFonts w:ascii="宋体" w:hAnsi="宋体" w:eastAsia="宋体" w:cs="宋体"/>
          <w:spacing w:val="-39"/>
          <w:sz w:val="20"/>
          <w:szCs w:val="20"/>
        </w:rPr>
        <w:t xml:space="preserve"> </w:t>
      </w:r>
      <w:r>
        <w:rPr>
          <w:rFonts w:ascii="宋体" w:hAnsi="宋体" w:eastAsia="宋体" w:cs="宋体"/>
          <w:spacing w:val="6"/>
          <w:sz w:val="20"/>
          <w:szCs w:val="20"/>
        </w:rPr>
        <w:t>条约定的变更除外</w:t>
      </w:r>
      <w:r>
        <w:rPr>
          <w:rFonts w:ascii="宋体" w:hAnsi="宋体" w:eastAsia="宋体" w:cs="宋体"/>
          <w:spacing w:val="-48"/>
          <w:sz w:val="20"/>
          <w:szCs w:val="20"/>
        </w:rPr>
        <w:t>），</w:t>
      </w:r>
      <w:r>
        <w:rPr>
          <w:rFonts w:ascii="宋体" w:hAnsi="宋体" w:eastAsia="宋体" w:cs="宋体"/>
          <w:spacing w:val="6"/>
          <w:sz w:val="20"/>
          <w:szCs w:val="20"/>
        </w:rPr>
        <w:t>如加重承</w:t>
      </w:r>
      <w:r>
        <w:rPr>
          <w:rFonts w:ascii="宋体" w:hAnsi="宋体" w:eastAsia="宋体" w:cs="宋体"/>
          <w:spacing w:val="10"/>
          <w:sz w:val="20"/>
          <w:szCs w:val="20"/>
        </w:rPr>
        <w:t>包人责任致使我方保证责任加重的，需征得我方书面同意，否则我方不再</w:t>
      </w:r>
      <w:r>
        <w:rPr>
          <w:rFonts w:ascii="宋体" w:hAnsi="宋体" w:eastAsia="宋体" w:cs="宋体"/>
          <w:spacing w:val="9"/>
          <w:sz w:val="20"/>
          <w:szCs w:val="20"/>
        </w:rPr>
        <w:t>承担因此而加重部分的</w:t>
      </w:r>
      <w:r>
        <w:rPr>
          <w:rFonts w:ascii="宋体" w:hAnsi="宋体" w:eastAsia="宋体" w:cs="宋体"/>
          <w:spacing w:val="5"/>
          <w:sz w:val="20"/>
          <w:szCs w:val="20"/>
        </w:rPr>
        <w:t>保证责任。</w:t>
      </w:r>
    </w:p>
    <w:p w14:paraId="620C5BC6">
      <w:pPr>
        <w:spacing w:before="1" w:line="227" w:lineRule="auto"/>
        <w:ind w:left="427"/>
        <w:rPr>
          <w:rFonts w:ascii="宋体" w:hAnsi="宋体" w:eastAsia="宋体" w:cs="宋体"/>
          <w:sz w:val="20"/>
          <w:szCs w:val="20"/>
        </w:rPr>
      </w:pPr>
      <w:r>
        <w:rPr>
          <w:rFonts w:ascii="宋体" w:hAnsi="宋体" w:eastAsia="宋体" w:cs="宋体"/>
          <w:spacing w:val="9"/>
          <w:sz w:val="20"/>
          <w:szCs w:val="20"/>
        </w:rPr>
        <w:t>4、因不可抗力造成承包人不能履行义务的，我方不承担保证责任。</w:t>
      </w:r>
    </w:p>
    <w:p w14:paraId="7B306A0D">
      <w:pPr>
        <w:spacing w:line="227" w:lineRule="auto"/>
        <w:rPr>
          <w:rFonts w:ascii="宋体" w:hAnsi="宋体" w:eastAsia="宋体" w:cs="宋体"/>
          <w:sz w:val="20"/>
          <w:szCs w:val="20"/>
        </w:rPr>
        <w:sectPr>
          <w:footerReference r:id="rId222" w:type="default"/>
          <w:pgSz w:w="11906" w:h="16839"/>
          <w:pgMar w:top="400" w:right="1483" w:bottom="1038" w:left="1531" w:header="0" w:footer="787" w:gutter="0"/>
          <w:cols w:space="720" w:num="1"/>
        </w:sectPr>
      </w:pPr>
    </w:p>
    <w:p w14:paraId="1DCF4632">
      <w:pPr>
        <w:spacing w:line="247" w:lineRule="auto"/>
        <w:rPr>
          <w:rFonts w:ascii="Arial"/>
          <w:sz w:val="21"/>
        </w:rPr>
      </w:pPr>
    </w:p>
    <w:p w14:paraId="6C490ED6">
      <w:pPr>
        <w:spacing w:line="248" w:lineRule="auto"/>
        <w:rPr>
          <w:rFonts w:ascii="Arial"/>
          <w:sz w:val="21"/>
        </w:rPr>
      </w:pPr>
    </w:p>
    <w:p w14:paraId="144F7D44">
      <w:pPr>
        <w:spacing w:line="248" w:lineRule="auto"/>
        <w:rPr>
          <w:rFonts w:ascii="Arial"/>
          <w:sz w:val="21"/>
        </w:rPr>
      </w:pPr>
    </w:p>
    <w:p w14:paraId="4581051D">
      <w:pPr>
        <w:spacing w:line="248" w:lineRule="auto"/>
        <w:rPr>
          <w:rFonts w:ascii="Arial"/>
          <w:sz w:val="21"/>
        </w:rPr>
      </w:pPr>
    </w:p>
    <w:p w14:paraId="6994D6CB">
      <w:pPr>
        <w:pStyle w:val="2"/>
        <w:spacing w:before="65" w:line="230" w:lineRule="auto"/>
        <w:ind w:left="416"/>
        <w:rPr>
          <w:sz w:val="20"/>
          <w:szCs w:val="20"/>
        </w:rPr>
      </w:pPr>
      <w:r>
        <w:rPr>
          <w:spacing w:val="8"/>
          <w:sz w:val="20"/>
          <w:szCs w:val="20"/>
        </w:rPr>
        <w:t>七、争议的解决</w:t>
      </w:r>
    </w:p>
    <w:p w14:paraId="0778A054">
      <w:pPr>
        <w:spacing w:before="29" w:line="259" w:lineRule="auto"/>
        <w:ind w:left="5" w:firstLine="428"/>
        <w:rPr>
          <w:rFonts w:ascii="宋体" w:hAnsi="宋体" w:eastAsia="宋体" w:cs="宋体"/>
          <w:sz w:val="20"/>
          <w:szCs w:val="20"/>
        </w:rPr>
      </w:pPr>
      <w:r>
        <w:rPr>
          <w:rFonts w:ascii="宋体" w:hAnsi="宋体" w:eastAsia="宋体" w:cs="宋体"/>
          <w:spacing w:val="6"/>
          <w:sz w:val="20"/>
          <w:szCs w:val="20"/>
        </w:rPr>
        <w:t>因本保函发生的纠纷，由贵我双方协商解决，协商不成的，任何一方均可提请</w:t>
      </w:r>
      <w:r>
        <w:rPr>
          <w:rFonts w:ascii="宋体" w:hAnsi="宋体" w:eastAsia="宋体" w:cs="宋体"/>
          <w:spacing w:val="-8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6"/>
          <w:sz w:val="20"/>
          <w:szCs w:val="20"/>
        </w:rPr>
        <w:t>仲裁委</w:t>
      </w:r>
      <w:r>
        <w:rPr>
          <w:rFonts w:ascii="宋体" w:hAnsi="宋体" w:eastAsia="宋体" w:cs="宋体"/>
          <w:spacing w:val="4"/>
          <w:sz w:val="20"/>
          <w:szCs w:val="20"/>
        </w:rPr>
        <w:t>员会仲裁。</w:t>
      </w:r>
    </w:p>
    <w:p w14:paraId="7BAD3172">
      <w:pPr>
        <w:pStyle w:val="2"/>
        <w:spacing w:line="229" w:lineRule="auto"/>
        <w:ind w:left="417"/>
        <w:rPr>
          <w:sz w:val="20"/>
          <w:szCs w:val="20"/>
        </w:rPr>
      </w:pPr>
      <w:r>
        <w:rPr>
          <w:spacing w:val="8"/>
          <w:sz w:val="20"/>
          <w:szCs w:val="20"/>
        </w:rPr>
        <w:t>八、保函的生效</w:t>
      </w:r>
    </w:p>
    <w:p w14:paraId="70AFA1C0">
      <w:pPr>
        <w:spacing w:before="29" w:line="227" w:lineRule="auto"/>
        <w:ind w:left="418"/>
        <w:rPr>
          <w:rFonts w:ascii="宋体" w:hAnsi="宋体" w:eastAsia="宋体" w:cs="宋体"/>
          <w:sz w:val="20"/>
          <w:szCs w:val="20"/>
        </w:rPr>
      </w:pPr>
      <w:r>
        <w:rPr>
          <w:rFonts w:ascii="宋体" w:hAnsi="宋体" w:eastAsia="宋体" w:cs="宋体"/>
          <w:spacing w:val="9"/>
          <w:sz w:val="20"/>
          <w:szCs w:val="20"/>
        </w:rPr>
        <w:t>本保函自我方法定代表人（或其授权代理人）签字或加盖公章并交付你方之日起生效。</w:t>
      </w:r>
    </w:p>
    <w:p w14:paraId="59E98416">
      <w:pPr>
        <w:spacing w:before="35" w:line="227" w:lineRule="auto"/>
        <w:ind w:left="418"/>
        <w:rPr>
          <w:rFonts w:ascii="宋体" w:hAnsi="宋体" w:eastAsia="宋体" w:cs="宋体"/>
          <w:sz w:val="20"/>
          <w:szCs w:val="20"/>
        </w:rPr>
      </w:pPr>
      <w:r>
        <w:rPr>
          <w:rFonts w:ascii="宋体" w:hAnsi="宋体" w:eastAsia="宋体" w:cs="宋体"/>
          <w:spacing w:val="6"/>
          <w:sz w:val="20"/>
          <w:szCs w:val="20"/>
        </w:rPr>
        <w:t>本条所称交付是指：</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E1DB13F">
      <w:pPr>
        <w:spacing w:line="294" w:lineRule="auto"/>
        <w:rPr>
          <w:rFonts w:ascii="Arial"/>
          <w:sz w:val="21"/>
        </w:rPr>
      </w:pPr>
    </w:p>
    <w:p w14:paraId="4D2A8853">
      <w:pPr>
        <w:spacing w:before="66" w:line="227" w:lineRule="auto"/>
        <w:ind w:left="2875"/>
        <w:rPr>
          <w:rFonts w:ascii="宋体" w:hAnsi="宋体" w:eastAsia="宋体" w:cs="宋体"/>
          <w:sz w:val="20"/>
          <w:szCs w:val="20"/>
        </w:rPr>
      </w:pPr>
      <w:r>
        <w:rPr>
          <w:rFonts w:ascii="宋体" w:hAnsi="宋体" w:eastAsia="宋体" w:cs="宋体"/>
          <w:spacing w:val="10"/>
          <w:sz w:val="20"/>
          <w:szCs w:val="20"/>
        </w:rPr>
        <w:t>担保人</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5"/>
          <w:sz w:val="20"/>
          <w:szCs w:val="20"/>
        </w:rPr>
        <w:t>（</w:t>
      </w:r>
      <w:r>
        <w:rPr>
          <w:rFonts w:ascii="宋体" w:hAnsi="宋体" w:eastAsia="宋体" w:cs="宋体"/>
          <w:spacing w:val="10"/>
          <w:sz w:val="20"/>
          <w:szCs w:val="20"/>
        </w:rPr>
        <w:t>盖单位章）</w:t>
      </w:r>
    </w:p>
    <w:p w14:paraId="44F7B4EA">
      <w:pPr>
        <w:spacing w:before="94" w:line="228" w:lineRule="auto"/>
        <w:ind w:left="2875"/>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pacing w:val="-2"/>
          <w:sz w:val="20"/>
          <w:szCs w:val="20"/>
        </w:rPr>
        <w:t>：</w:t>
      </w:r>
      <w:r>
        <w:rPr>
          <w:rFonts w:ascii="宋体" w:hAnsi="宋体" w:eastAsia="宋体" w:cs="宋体"/>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签字）</w:t>
      </w:r>
    </w:p>
    <w:p w14:paraId="145A6DAA">
      <w:pPr>
        <w:spacing w:before="94" w:line="237" w:lineRule="auto"/>
        <w:ind w:left="2875"/>
        <w:rPr>
          <w:rFonts w:ascii="宋体" w:hAnsi="宋体" w:eastAsia="宋体" w:cs="宋体"/>
          <w:sz w:val="20"/>
          <w:szCs w:val="20"/>
        </w:rPr>
      </w:pPr>
      <w:r>
        <w:rPr>
          <w:rFonts w:ascii="宋体" w:hAnsi="宋体" w:eastAsia="宋体" w:cs="宋体"/>
          <w:spacing w:val="-3"/>
          <w:sz w:val="20"/>
          <w:szCs w:val="20"/>
        </w:rPr>
        <w:t>地</w:t>
      </w:r>
      <w:r>
        <w:rPr>
          <w:rFonts w:ascii="宋体" w:hAnsi="宋体" w:eastAsia="宋体" w:cs="宋体"/>
          <w:spacing w:val="9"/>
          <w:sz w:val="20"/>
          <w:szCs w:val="20"/>
        </w:rPr>
        <w:t xml:space="preserve">    </w:t>
      </w:r>
      <w:r>
        <w:rPr>
          <w:rFonts w:ascii="宋体" w:hAnsi="宋体" w:eastAsia="宋体" w:cs="宋体"/>
          <w:spacing w:val="-3"/>
          <w:sz w:val="20"/>
          <w:szCs w:val="20"/>
        </w:rPr>
        <w:t>址</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3AC4C48A">
      <w:pPr>
        <w:spacing w:before="82" w:line="228" w:lineRule="auto"/>
        <w:ind w:left="2890"/>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p>
    <w:p w14:paraId="3F473913">
      <w:pPr>
        <w:spacing w:before="94" w:line="230" w:lineRule="auto"/>
        <w:ind w:left="2899"/>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7"/>
          <w:sz w:val="20"/>
          <w:szCs w:val="20"/>
        </w:rPr>
        <w:t xml:space="preserve">    </w:t>
      </w:r>
      <w:r>
        <w:rPr>
          <w:rFonts w:ascii="宋体" w:hAnsi="宋体" w:eastAsia="宋体" w:cs="宋体"/>
          <w:spacing w:val="-13"/>
          <w:sz w:val="20"/>
          <w:szCs w:val="20"/>
        </w:rPr>
        <w:t>话</w:t>
      </w:r>
      <w:r>
        <w:rPr>
          <w:rFonts w:ascii="宋体" w:hAnsi="宋体" w:eastAsia="宋体" w:cs="宋体"/>
          <w:spacing w:val="-72"/>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7FA14A34">
      <w:pPr>
        <w:spacing w:before="91" w:line="227" w:lineRule="auto"/>
        <w:ind w:left="2873"/>
        <w:rPr>
          <w:rFonts w:ascii="宋体" w:hAnsi="宋体" w:eastAsia="宋体" w:cs="宋体"/>
          <w:sz w:val="20"/>
          <w:szCs w:val="20"/>
        </w:rPr>
      </w:pPr>
      <w:r>
        <w:rPr>
          <w:rFonts w:ascii="宋体" w:hAnsi="宋体" w:eastAsia="宋体" w:cs="宋体"/>
          <w:spacing w:val="-3"/>
          <w:sz w:val="20"/>
          <w:szCs w:val="20"/>
        </w:rPr>
        <w:t>传</w:t>
      </w:r>
      <w:r>
        <w:rPr>
          <w:rFonts w:ascii="宋体" w:hAnsi="宋体" w:eastAsia="宋体" w:cs="宋体"/>
          <w:spacing w:val="9"/>
          <w:sz w:val="20"/>
          <w:szCs w:val="20"/>
        </w:rPr>
        <w:t xml:space="preserve">    </w:t>
      </w:r>
      <w:r>
        <w:rPr>
          <w:rFonts w:ascii="宋体" w:hAnsi="宋体" w:eastAsia="宋体" w:cs="宋体"/>
          <w:spacing w:val="-3"/>
          <w:sz w:val="20"/>
          <w:szCs w:val="20"/>
        </w:rPr>
        <w:t>真</w:t>
      </w:r>
      <w:r>
        <w:rPr>
          <w:rFonts w:ascii="宋体" w:hAnsi="宋体" w:eastAsia="宋体" w:cs="宋体"/>
          <w:spacing w:val="-73"/>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3DF8E1E0">
      <w:pPr>
        <w:tabs>
          <w:tab w:val="left" w:pos="6709"/>
        </w:tabs>
        <w:spacing w:before="93" w:line="228" w:lineRule="auto"/>
        <w:ind w:left="524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68E0F1BA">
      <w:pPr>
        <w:spacing w:line="261" w:lineRule="auto"/>
        <w:rPr>
          <w:rFonts w:ascii="Arial"/>
          <w:sz w:val="21"/>
        </w:rPr>
      </w:pPr>
    </w:p>
    <w:p w14:paraId="2AFD6163">
      <w:pPr>
        <w:spacing w:before="65" w:line="258" w:lineRule="auto"/>
        <w:ind w:left="627" w:hanging="628"/>
        <w:rPr>
          <w:rFonts w:ascii="宋体" w:hAnsi="宋体" w:eastAsia="宋体" w:cs="宋体"/>
          <w:sz w:val="20"/>
          <w:szCs w:val="20"/>
        </w:rPr>
      </w:pPr>
      <w:r>
        <w:rPr>
          <w:rFonts w:ascii="宋体" w:hAnsi="宋体" w:eastAsia="宋体" w:cs="宋体"/>
          <w:spacing w:val="10"/>
          <w:sz w:val="20"/>
          <w:szCs w:val="20"/>
        </w:rPr>
        <w:t>备注：本履约担保格式可以采用经发包人同意的其他格式，但相关内</w:t>
      </w:r>
      <w:r>
        <w:rPr>
          <w:rFonts w:ascii="宋体" w:hAnsi="宋体" w:eastAsia="宋体" w:cs="宋体"/>
          <w:spacing w:val="9"/>
          <w:sz w:val="20"/>
          <w:szCs w:val="20"/>
        </w:rPr>
        <w:t>容不得违背合同约定的实质</w:t>
      </w:r>
      <w:r>
        <w:rPr>
          <w:rFonts w:ascii="宋体" w:hAnsi="宋体" w:eastAsia="宋体" w:cs="宋体"/>
          <w:spacing w:val="4"/>
          <w:sz w:val="20"/>
          <w:szCs w:val="20"/>
        </w:rPr>
        <w:t>性内容。</w:t>
      </w:r>
    </w:p>
    <w:p w14:paraId="6D790341">
      <w:pPr>
        <w:spacing w:line="258" w:lineRule="auto"/>
        <w:rPr>
          <w:rFonts w:ascii="宋体" w:hAnsi="宋体" w:eastAsia="宋体" w:cs="宋体"/>
          <w:sz w:val="20"/>
          <w:szCs w:val="20"/>
        </w:rPr>
        <w:sectPr>
          <w:footerReference r:id="rId223" w:type="default"/>
          <w:pgSz w:w="11906" w:h="16839"/>
          <w:pgMar w:top="400" w:right="1554" w:bottom="1038" w:left="1541" w:header="0" w:footer="787" w:gutter="0"/>
          <w:cols w:space="720" w:num="1"/>
        </w:sectPr>
      </w:pPr>
    </w:p>
    <w:p w14:paraId="16694A1A">
      <w:pPr>
        <w:spacing w:line="261" w:lineRule="auto"/>
        <w:rPr>
          <w:rFonts w:ascii="Arial"/>
          <w:sz w:val="21"/>
        </w:rPr>
      </w:pPr>
    </w:p>
    <w:p w14:paraId="00C6DB6A">
      <w:pPr>
        <w:spacing w:line="262" w:lineRule="auto"/>
        <w:rPr>
          <w:rFonts w:ascii="Arial"/>
          <w:sz w:val="21"/>
        </w:rPr>
      </w:pPr>
    </w:p>
    <w:p w14:paraId="33A0D8A0">
      <w:pPr>
        <w:spacing w:line="262" w:lineRule="auto"/>
        <w:rPr>
          <w:rFonts w:ascii="Arial"/>
          <w:sz w:val="21"/>
        </w:rPr>
      </w:pPr>
    </w:p>
    <w:p w14:paraId="7D28CC35">
      <w:pPr>
        <w:spacing w:line="262" w:lineRule="auto"/>
        <w:rPr>
          <w:rFonts w:ascii="Arial"/>
          <w:sz w:val="21"/>
        </w:rPr>
      </w:pPr>
    </w:p>
    <w:p w14:paraId="2C8D0E4F">
      <w:pPr>
        <w:pStyle w:val="2"/>
        <w:spacing w:before="78" w:line="223" w:lineRule="auto"/>
        <w:ind w:left="22"/>
        <w:rPr>
          <w:sz w:val="24"/>
          <w:szCs w:val="24"/>
        </w:rPr>
      </w:pPr>
      <w:r>
        <w:rPr>
          <w:spacing w:val="-3"/>
          <w:sz w:val="24"/>
          <w:szCs w:val="24"/>
        </w:rPr>
        <w:t>附件四：支付担保格式</w:t>
      </w:r>
    </w:p>
    <w:p w14:paraId="728E584B">
      <w:pPr>
        <w:spacing w:line="379" w:lineRule="auto"/>
        <w:rPr>
          <w:rFonts w:ascii="Arial"/>
          <w:sz w:val="21"/>
        </w:rPr>
      </w:pPr>
    </w:p>
    <w:p w14:paraId="02DCB210">
      <w:pPr>
        <w:pStyle w:val="2"/>
        <w:spacing w:before="91" w:line="222" w:lineRule="auto"/>
        <w:ind w:left="3723"/>
        <w:rPr>
          <w:sz w:val="28"/>
          <w:szCs w:val="28"/>
        </w:rPr>
      </w:pPr>
      <w:r>
        <w:rPr>
          <w:spacing w:val="-2"/>
          <w:sz w:val="28"/>
          <w:szCs w:val="28"/>
        </w:rPr>
        <w:t>发包人支付保函</w:t>
      </w:r>
    </w:p>
    <w:p w14:paraId="154D491D">
      <w:pPr>
        <w:spacing w:line="378" w:lineRule="auto"/>
        <w:rPr>
          <w:rFonts w:ascii="Arial"/>
          <w:sz w:val="21"/>
        </w:rPr>
      </w:pPr>
    </w:p>
    <w:p w14:paraId="095CC4AB">
      <w:pPr>
        <w:tabs>
          <w:tab w:val="left" w:pos="2413"/>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（承包人</w:t>
      </w:r>
      <w:r>
        <w:rPr>
          <w:rFonts w:ascii="宋体" w:hAnsi="宋体" w:eastAsia="宋体" w:cs="宋体"/>
          <w:spacing w:val="-54"/>
          <w:w w:val="99"/>
          <w:sz w:val="20"/>
          <w:szCs w:val="20"/>
        </w:rPr>
        <w:t>）：</w:t>
      </w:r>
    </w:p>
    <w:p w14:paraId="532365C0">
      <w:pPr>
        <w:spacing w:before="53" w:line="277" w:lineRule="auto"/>
        <w:ind w:left="9" w:right="1" w:firstLine="421"/>
        <w:jc w:val="both"/>
        <w:rPr>
          <w:rFonts w:ascii="宋体" w:hAnsi="宋体" w:eastAsia="宋体" w:cs="宋体"/>
          <w:sz w:val="20"/>
          <w:szCs w:val="20"/>
        </w:rPr>
      </w:pPr>
      <w:r>
        <w:rPr>
          <w:rFonts w:ascii="宋体" w:hAnsi="宋体" w:eastAsia="宋体" w:cs="宋体"/>
          <w:spacing w:val="6"/>
          <w:sz w:val="20"/>
          <w:szCs w:val="20"/>
        </w:rPr>
        <w:t>鉴于你方作为承包人已经与</w:t>
      </w:r>
      <w:r>
        <w:rPr>
          <w:rFonts w:ascii="宋体" w:hAnsi="宋体" w:eastAsia="宋体" w:cs="宋体"/>
          <w:spacing w:val="6"/>
          <w:sz w:val="20"/>
          <w:szCs w:val="20"/>
          <w:u w:val="single" w:color="auto"/>
        </w:rPr>
        <w:t xml:space="preserve">            包       </w:t>
      </w:r>
      <w:r>
        <w:rPr>
          <w:rFonts w:ascii="宋体" w:hAnsi="宋体" w:eastAsia="宋体" w:cs="宋体"/>
          <w:spacing w:val="6"/>
          <w:sz w:val="20"/>
          <w:szCs w:val="20"/>
        </w:rPr>
        <w:t xml:space="preserve"> （发包人名称</w:t>
      </w:r>
      <w:r>
        <w:rPr>
          <w:rFonts w:ascii="宋体" w:hAnsi="宋体" w:eastAsia="宋体" w:cs="宋体"/>
          <w:spacing w:val="-54"/>
          <w:sz w:val="20"/>
          <w:szCs w:val="20"/>
        </w:rPr>
        <w:t>）（</w:t>
      </w:r>
      <w:r>
        <w:rPr>
          <w:rFonts w:ascii="宋体" w:hAnsi="宋体" w:eastAsia="宋体" w:cs="宋体"/>
          <w:spacing w:val="6"/>
          <w:sz w:val="20"/>
          <w:szCs w:val="20"/>
        </w:rPr>
        <w:t>以下称“发包人”）于年</w:t>
      </w:r>
      <w:r>
        <w:rPr>
          <w:rFonts w:ascii="宋体" w:hAnsi="宋体" w:eastAsia="宋体" w:cs="宋体"/>
          <w:spacing w:val="6"/>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6"/>
          <w:sz w:val="20"/>
          <w:szCs w:val="20"/>
        </w:rPr>
        <w:t>月</w:t>
      </w:r>
      <w:r>
        <w:rPr>
          <w:rFonts w:ascii="宋体" w:hAnsi="宋体" w:eastAsia="宋体" w:cs="宋体"/>
          <w:spacing w:val="6"/>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6"/>
          <w:sz w:val="20"/>
          <w:szCs w:val="20"/>
        </w:rPr>
        <w:t>日签订了</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（工程名称）施工承包合同（以下称“主合同”</w:t>
      </w:r>
      <w:r>
        <w:rPr>
          <w:rFonts w:ascii="宋体" w:hAnsi="宋体" w:eastAsia="宋体" w:cs="宋体"/>
          <w:spacing w:val="-42"/>
          <w:w w:val="80"/>
          <w:sz w:val="20"/>
          <w:szCs w:val="20"/>
        </w:rPr>
        <w:t>），</w:t>
      </w:r>
      <w:r>
        <w:rPr>
          <w:rFonts w:ascii="宋体" w:hAnsi="宋体" w:eastAsia="宋体" w:cs="宋体"/>
          <w:spacing w:val="6"/>
          <w:sz w:val="20"/>
          <w:szCs w:val="20"/>
        </w:rPr>
        <w:t>应发包人的申请，我方愿就发包人履行主合同约定的工程款支付义务以保证的方式向你方提供如下担保：</w:t>
      </w:r>
    </w:p>
    <w:p w14:paraId="096E06D8">
      <w:pPr>
        <w:pStyle w:val="2"/>
        <w:spacing w:before="1" w:line="229" w:lineRule="auto"/>
        <w:ind w:left="431"/>
        <w:rPr>
          <w:sz w:val="20"/>
          <w:szCs w:val="20"/>
        </w:rPr>
      </w:pPr>
      <w:r>
        <w:rPr>
          <w:spacing w:val="8"/>
          <w:sz w:val="20"/>
          <w:szCs w:val="20"/>
        </w:rPr>
        <w:t>一、保证的范围及保证金额</w:t>
      </w:r>
    </w:p>
    <w:p w14:paraId="0DE6B75F">
      <w:pPr>
        <w:spacing w:before="51" w:line="228" w:lineRule="auto"/>
        <w:ind w:left="430"/>
        <w:rPr>
          <w:rFonts w:ascii="宋体" w:hAnsi="宋体" w:eastAsia="宋体" w:cs="宋体"/>
          <w:sz w:val="20"/>
          <w:szCs w:val="20"/>
        </w:rPr>
      </w:pPr>
      <w:r>
        <w:rPr>
          <w:rFonts w:ascii="宋体" w:hAnsi="宋体" w:eastAsia="宋体" w:cs="宋体"/>
          <w:spacing w:val="8"/>
          <w:sz w:val="20"/>
          <w:szCs w:val="20"/>
        </w:rPr>
        <w:t>我方的保证范围是主合同约定的工程款。</w:t>
      </w:r>
    </w:p>
    <w:p w14:paraId="45AD414C">
      <w:pPr>
        <w:spacing w:before="53" w:line="226" w:lineRule="auto"/>
        <w:ind w:left="429"/>
        <w:rPr>
          <w:rFonts w:ascii="宋体" w:hAnsi="宋体" w:eastAsia="宋体" w:cs="宋体"/>
          <w:sz w:val="20"/>
          <w:szCs w:val="20"/>
        </w:rPr>
      </w:pPr>
      <w:r>
        <w:rPr>
          <w:rFonts w:ascii="宋体" w:hAnsi="宋体" w:eastAsia="宋体" w:cs="宋体"/>
          <w:spacing w:val="9"/>
          <w:sz w:val="20"/>
          <w:szCs w:val="20"/>
        </w:rPr>
        <w:t>本保函所称主合同约定的工程款是指主合同约定的除工程质量保证金以外的合同价款。</w:t>
      </w:r>
    </w:p>
    <w:p w14:paraId="21D6C84C">
      <w:pPr>
        <w:spacing w:before="55" w:line="277" w:lineRule="auto"/>
        <w:ind w:left="13" w:right="54" w:firstLine="416"/>
        <w:rPr>
          <w:rFonts w:ascii="宋体" w:hAnsi="宋体" w:eastAsia="宋体" w:cs="宋体"/>
          <w:sz w:val="20"/>
          <w:szCs w:val="20"/>
        </w:rPr>
      </w:pPr>
      <w:r>
        <w:rPr>
          <w:rFonts w:ascii="宋体" w:hAnsi="宋体" w:eastAsia="宋体" w:cs="宋体"/>
          <w:spacing w:val="19"/>
          <w:sz w:val="20"/>
          <w:szCs w:val="20"/>
        </w:rPr>
        <w:t>我方保证的金额是主合同约定的工程款的</w:t>
      </w:r>
      <w:r>
        <w:rPr>
          <w:rFonts w:ascii="宋体" w:hAnsi="宋体" w:eastAsia="宋体" w:cs="宋体"/>
          <w:spacing w:val="-90"/>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62"/>
          <w:sz w:val="20"/>
          <w:szCs w:val="20"/>
        </w:rPr>
        <w:t xml:space="preserve"> </w:t>
      </w:r>
      <w:r>
        <w:rPr>
          <w:rFonts w:ascii="宋体" w:hAnsi="宋体" w:eastAsia="宋体" w:cs="宋体"/>
          <w:spacing w:val="8"/>
          <w:sz w:val="20"/>
          <w:szCs w:val="20"/>
        </w:rPr>
        <w:t>％，</w:t>
      </w:r>
      <w:r>
        <w:rPr>
          <w:rFonts w:ascii="宋体" w:hAnsi="宋体" w:eastAsia="宋体" w:cs="宋体"/>
          <w:spacing w:val="19"/>
          <w:sz w:val="20"/>
          <w:szCs w:val="20"/>
        </w:rPr>
        <w:t>数额最高不</w:t>
      </w:r>
      <w:r>
        <w:rPr>
          <w:rFonts w:ascii="宋体" w:hAnsi="宋体" w:eastAsia="宋体" w:cs="宋体"/>
          <w:spacing w:val="18"/>
          <w:sz w:val="20"/>
          <w:szCs w:val="20"/>
        </w:rPr>
        <w:t>超过人民币元（大</w:t>
      </w:r>
      <w:r>
        <w:rPr>
          <w:rFonts w:ascii="宋体" w:hAnsi="宋体" w:eastAsia="宋体" w:cs="宋体"/>
          <w:spacing w:val="10"/>
          <w:sz w:val="20"/>
          <w:szCs w:val="20"/>
        </w:rPr>
        <w:t>写</w:t>
      </w:r>
      <w:r>
        <w:rPr>
          <w:rFonts w:ascii="宋体" w:hAnsi="宋体" w:eastAsia="宋体" w:cs="宋体"/>
          <w:spacing w:val="-42"/>
          <w:sz w:val="20"/>
          <w:szCs w:val="20"/>
        </w:rPr>
        <w:t>：</w:t>
      </w:r>
      <w:r>
        <w:rPr>
          <w:rFonts w:ascii="宋体" w:hAnsi="宋体" w:eastAsia="宋体" w:cs="宋体"/>
          <w:sz w:val="20"/>
          <w:szCs w:val="20"/>
          <w:u w:val="single" w:color="auto"/>
        </w:rPr>
        <w:t xml:space="preserve">                      </w:t>
      </w:r>
      <w:r>
        <w:rPr>
          <w:rFonts w:ascii="宋体" w:hAnsi="宋体" w:eastAsia="宋体" w:cs="宋体"/>
          <w:spacing w:val="-42"/>
          <w:sz w:val="20"/>
          <w:szCs w:val="20"/>
        </w:rPr>
        <w:t>）</w:t>
      </w:r>
      <w:r>
        <w:rPr>
          <w:rFonts w:ascii="宋体" w:hAnsi="宋体" w:eastAsia="宋体" w:cs="宋体"/>
          <w:spacing w:val="10"/>
          <w:sz w:val="20"/>
          <w:szCs w:val="20"/>
        </w:rPr>
        <w:t>。</w:t>
      </w:r>
    </w:p>
    <w:p w14:paraId="3DF96018">
      <w:pPr>
        <w:pStyle w:val="2"/>
        <w:spacing w:line="229" w:lineRule="auto"/>
        <w:ind w:left="431"/>
        <w:rPr>
          <w:sz w:val="20"/>
          <w:szCs w:val="20"/>
        </w:rPr>
      </w:pPr>
      <w:r>
        <w:rPr>
          <w:spacing w:val="8"/>
          <w:sz w:val="20"/>
          <w:szCs w:val="20"/>
        </w:rPr>
        <w:t>二、保证的方式及保证期间</w:t>
      </w:r>
    </w:p>
    <w:p w14:paraId="6A69B8AC">
      <w:pPr>
        <w:spacing w:before="51" w:line="228" w:lineRule="auto"/>
        <w:ind w:left="430"/>
        <w:rPr>
          <w:rFonts w:ascii="宋体" w:hAnsi="宋体" w:eastAsia="宋体" w:cs="宋体"/>
          <w:sz w:val="20"/>
          <w:szCs w:val="20"/>
        </w:rPr>
      </w:pPr>
      <w:r>
        <w:rPr>
          <w:rFonts w:ascii="宋体" w:hAnsi="宋体" w:eastAsia="宋体" w:cs="宋体"/>
          <w:spacing w:val="8"/>
          <w:sz w:val="20"/>
          <w:szCs w:val="20"/>
        </w:rPr>
        <w:t>我方保证的方式为：连带责任保证。</w:t>
      </w:r>
    </w:p>
    <w:p w14:paraId="6BBDFA48">
      <w:pPr>
        <w:spacing w:before="54" w:line="227" w:lineRule="auto"/>
        <w:ind w:left="430"/>
        <w:rPr>
          <w:rFonts w:ascii="宋体" w:hAnsi="宋体" w:eastAsia="宋体" w:cs="宋体"/>
          <w:sz w:val="20"/>
          <w:szCs w:val="20"/>
        </w:rPr>
      </w:pPr>
      <w:r>
        <w:rPr>
          <w:rFonts w:ascii="宋体" w:hAnsi="宋体" w:eastAsia="宋体" w:cs="宋体"/>
          <w:spacing w:val="7"/>
          <w:sz w:val="20"/>
          <w:szCs w:val="20"/>
        </w:rPr>
        <w:t>我方保证的期间为：</w:t>
      </w:r>
      <w:r>
        <w:rPr>
          <w:rFonts w:ascii="宋体" w:hAnsi="宋体" w:eastAsia="宋体" w:cs="宋体"/>
          <w:spacing w:val="-47"/>
          <w:sz w:val="20"/>
          <w:szCs w:val="20"/>
        </w:rPr>
        <w:t xml:space="preserve"> </w:t>
      </w:r>
      <w:r>
        <w:rPr>
          <w:rFonts w:ascii="宋体" w:hAnsi="宋体" w:eastAsia="宋体" w:cs="宋体"/>
          <w:spacing w:val="7"/>
          <w:sz w:val="20"/>
          <w:szCs w:val="20"/>
        </w:rPr>
        <w:t>自本合同生效之日起至主合同</w:t>
      </w:r>
      <w:r>
        <w:rPr>
          <w:rFonts w:ascii="宋体" w:hAnsi="宋体" w:eastAsia="宋体" w:cs="宋体"/>
          <w:spacing w:val="6"/>
          <w:sz w:val="20"/>
          <w:szCs w:val="20"/>
        </w:rPr>
        <w:t>约定的工程款支付之日后</w:t>
      </w:r>
      <w:r>
        <w:rPr>
          <w:rFonts w:ascii="宋体" w:hAnsi="宋体" w:eastAsia="宋体" w:cs="宋体"/>
          <w:spacing w:val="-10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6"/>
          <w:sz w:val="20"/>
          <w:szCs w:val="20"/>
        </w:rPr>
        <w:t>日内。</w:t>
      </w:r>
    </w:p>
    <w:p w14:paraId="5D937DA9">
      <w:pPr>
        <w:spacing w:before="54" w:line="277" w:lineRule="auto"/>
        <w:ind w:left="44" w:right="54" w:firstLine="384"/>
        <w:rPr>
          <w:rFonts w:ascii="宋体" w:hAnsi="宋体" w:eastAsia="宋体" w:cs="宋体"/>
          <w:sz w:val="20"/>
          <w:szCs w:val="20"/>
        </w:rPr>
      </w:pPr>
      <w:r>
        <w:rPr>
          <w:rFonts w:ascii="宋体" w:hAnsi="宋体" w:eastAsia="宋体" w:cs="宋体"/>
          <w:spacing w:val="10"/>
          <w:sz w:val="20"/>
          <w:szCs w:val="20"/>
        </w:rPr>
        <w:t>你方与发包人协议变更工程款支付日期的，经我方书面同意后，保</w:t>
      </w:r>
      <w:r>
        <w:rPr>
          <w:rFonts w:ascii="宋体" w:hAnsi="宋体" w:eastAsia="宋体" w:cs="宋体"/>
          <w:spacing w:val="9"/>
          <w:sz w:val="20"/>
          <w:szCs w:val="20"/>
        </w:rPr>
        <w:t>证期间按照变更后的支付</w:t>
      </w:r>
      <w:r>
        <w:rPr>
          <w:rFonts w:ascii="宋体" w:hAnsi="宋体" w:eastAsia="宋体" w:cs="宋体"/>
          <w:spacing w:val="3"/>
          <w:sz w:val="20"/>
          <w:szCs w:val="20"/>
        </w:rPr>
        <w:t>日期做相应调整。</w:t>
      </w:r>
    </w:p>
    <w:p w14:paraId="7BD00C01">
      <w:pPr>
        <w:pStyle w:val="2"/>
        <w:spacing w:line="229" w:lineRule="auto"/>
        <w:ind w:left="432"/>
        <w:rPr>
          <w:sz w:val="20"/>
          <w:szCs w:val="20"/>
        </w:rPr>
      </w:pPr>
      <w:r>
        <w:rPr>
          <w:spacing w:val="8"/>
          <w:sz w:val="20"/>
          <w:szCs w:val="20"/>
        </w:rPr>
        <w:t>三、承担保证责任的形式</w:t>
      </w:r>
    </w:p>
    <w:p w14:paraId="2FD69246">
      <w:pPr>
        <w:spacing w:before="51" w:line="277" w:lineRule="auto"/>
        <w:ind w:left="7" w:right="54" w:firstLine="422"/>
        <w:rPr>
          <w:rFonts w:ascii="宋体" w:hAnsi="宋体" w:eastAsia="宋体" w:cs="宋体"/>
          <w:sz w:val="20"/>
          <w:szCs w:val="20"/>
        </w:rPr>
      </w:pPr>
      <w:r>
        <w:rPr>
          <w:rFonts w:ascii="宋体" w:hAnsi="宋体" w:eastAsia="宋体" w:cs="宋体"/>
          <w:spacing w:val="9"/>
          <w:sz w:val="20"/>
          <w:szCs w:val="20"/>
        </w:rPr>
        <w:t>我方承担保证责任的形式是代为支付。发包人未按主合同约</w:t>
      </w:r>
      <w:r>
        <w:rPr>
          <w:rFonts w:ascii="宋体" w:hAnsi="宋体" w:eastAsia="宋体" w:cs="宋体"/>
          <w:spacing w:val="8"/>
          <w:sz w:val="20"/>
          <w:szCs w:val="20"/>
        </w:rPr>
        <w:t>定向你方支付工程款的，</w:t>
      </w:r>
      <w:r>
        <w:rPr>
          <w:rFonts w:ascii="宋体" w:hAnsi="宋体" w:eastAsia="宋体" w:cs="宋体"/>
          <w:spacing w:val="-57"/>
          <w:sz w:val="20"/>
          <w:szCs w:val="20"/>
        </w:rPr>
        <w:t xml:space="preserve"> </w:t>
      </w:r>
      <w:r>
        <w:rPr>
          <w:rFonts w:ascii="宋体" w:hAnsi="宋体" w:eastAsia="宋体" w:cs="宋体"/>
          <w:spacing w:val="8"/>
          <w:sz w:val="20"/>
          <w:szCs w:val="20"/>
        </w:rPr>
        <w:t>由我方在保证金额内代为支付。</w:t>
      </w:r>
    </w:p>
    <w:p w14:paraId="7CAE0E33">
      <w:pPr>
        <w:pStyle w:val="2"/>
        <w:spacing w:before="1" w:line="230" w:lineRule="auto"/>
        <w:ind w:left="440"/>
        <w:rPr>
          <w:sz w:val="20"/>
          <w:szCs w:val="20"/>
        </w:rPr>
      </w:pPr>
      <w:r>
        <w:rPr>
          <w:spacing w:val="6"/>
          <w:sz w:val="20"/>
          <w:szCs w:val="20"/>
        </w:rPr>
        <w:t>四、代偿的安排</w:t>
      </w:r>
    </w:p>
    <w:p w14:paraId="2FE0499B">
      <w:pPr>
        <w:spacing w:before="50" w:line="277" w:lineRule="auto"/>
        <w:ind w:left="9" w:right="54" w:firstLine="420"/>
        <w:rPr>
          <w:rFonts w:ascii="宋体" w:hAnsi="宋体" w:eastAsia="宋体" w:cs="宋体"/>
          <w:sz w:val="20"/>
          <w:szCs w:val="20"/>
        </w:rPr>
      </w:pPr>
      <w:r>
        <w:rPr>
          <w:rFonts w:ascii="宋体" w:hAnsi="宋体" w:eastAsia="宋体" w:cs="宋体"/>
          <w:spacing w:val="10"/>
          <w:sz w:val="20"/>
          <w:szCs w:val="20"/>
        </w:rPr>
        <w:t>你方要求我方承担保证责任的，应向我方发出书面索赔通知及发包</w:t>
      </w:r>
      <w:r>
        <w:rPr>
          <w:rFonts w:ascii="宋体" w:hAnsi="宋体" w:eastAsia="宋体" w:cs="宋体"/>
          <w:spacing w:val="9"/>
          <w:sz w:val="20"/>
          <w:szCs w:val="20"/>
        </w:rPr>
        <w:t>人未支付主合同约定工程款的证明材料。索赔通知应写明要求索赔的金额，支付款项应到达的账号。</w:t>
      </w:r>
    </w:p>
    <w:p w14:paraId="1112E7FF">
      <w:pPr>
        <w:spacing w:before="3" w:line="276" w:lineRule="auto"/>
        <w:ind w:left="7" w:right="54" w:firstLine="420"/>
        <w:jc w:val="both"/>
        <w:rPr>
          <w:rFonts w:ascii="宋体" w:hAnsi="宋体" w:eastAsia="宋体" w:cs="宋体"/>
          <w:sz w:val="20"/>
          <w:szCs w:val="20"/>
        </w:rPr>
      </w:pPr>
      <w:r>
        <w:rPr>
          <w:rFonts w:ascii="宋体" w:hAnsi="宋体" w:eastAsia="宋体" w:cs="宋体"/>
          <w:spacing w:val="10"/>
          <w:sz w:val="20"/>
          <w:szCs w:val="20"/>
        </w:rPr>
        <w:t>在出现你方与发包人因工程质量发生争议，发包人拒绝向你方支付工程</w:t>
      </w:r>
      <w:r>
        <w:rPr>
          <w:rFonts w:ascii="宋体" w:hAnsi="宋体" w:eastAsia="宋体" w:cs="宋体"/>
          <w:spacing w:val="9"/>
          <w:sz w:val="20"/>
          <w:szCs w:val="20"/>
        </w:rPr>
        <w:t>款的情形时，你方要</w:t>
      </w:r>
      <w:r>
        <w:rPr>
          <w:rFonts w:ascii="宋体" w:hAnsi="宋体" w:eastAsia="宋体" w:cs="宋体"/>
          <w:spacing w:val="10"/>
          <w:sz w:val="20"/>
          <w:szCs w:val="20"/>
        </w:rPr>
        <w:t>求我方履行保证责任代为支付的，还需提供项目总监理工程师、监理人或符</w:t>
      </w:r>
      <w:r>
        <w:rPr>
          <w:rFonts w:ascii="宋体" w:hAnsi="宋体" w:eastAsia="宋体" w:cs="宋体"/>
          <w:spacing w:val="9"/>
          <w:sz w:val="20"/>
          <w:szCs w:val="20"/>
        </w:rPr>
        <w:t>合相应条件要求的工</w:t>
      </w:r>
      <w:r>
        <w:rPr>
          <w:rFonts w:ascii="宋体" w:hAnsi="宋体" w:eastAsia="宋体" w:cs="宋体"/>
          <w:spacing w:val="8"/>
          <w:sz w:val="20"/>
          <w:szCs w:val="20"/>
        </w:rPr>
        <w:t>程质量检测机构出具的质量说明材料。</w:t>
      </w:r>
    </w:p>
    <w:p w14:paraId="13D94D18">
      <w:pPr>
        <w:spacing w:before="2" w:line="276" w:lineRule="auto"/>
        <w:ind w:left="25" w:right="56" w:firstLine="404"/>
        <w:rPr>
          <w:rFonts w:ascii="宋体" w:hAnsi="宋体" w:eastAsia="宋体" w:cs="宋体"/>
          <w:sz w:val="20"/>
          <w:szCs w:val="20"/>
        </w:rPr>
      </w:pPr>
      <w:r>
        <w:rPr>
          <w:rFonts w:ascii="宋体" w:hAnsi="宋体" w:eastAsia="宋体" w:cs="宋体"/>
          <w:spacing w:val="9"/>
          <w:sz w:val="20"/>
          <w:szCs w:val="20"/>
        </w:rPr>
        <w:t>我方收到你方的书面索赔通知及相应证明材料后，在</w:t>
      </w:r>
      <w:r>
        <w:rPr>
          <w:rFonts w:ascii="宋体" w:hAnsi="宋体" w:eastAsia="宋体" w:cs="宋体"/>
          <w:spacing w:val="9"/>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9"/>
          <w:sz w:val="20"/>
          <w:szCs w:val="20"/>
        </w:rPr>
        <w:t>个工作日内进行核定后按照本保函</w:t>
      </w:r>
      <w:r>
        <w:rPr>
          <w:rFonts w:ascii="宋体" w:hAnsi="宋体" w:eastAsia="宋体" w:cs="宋体"/>
          <w:spacing w:val="6"/>
          <w:sz w:val="20"/>
          <w:szCs w:val="20"/>
        </w:rPr>
        <w:t>的承诺承担保证责任。</w:t>
      </w:r>
    </w:p>
    <w:p w14:paraId="7C8331A4">
      <w:pPr>
        <w:pStyle w:val="2"/>
        <w:spacing w:line="229" w:lineRule="auto"/>
        <w:ind w:left="433"/>
        <w:rPr>
          <w:sz w:val="20"/>
          <w:szCs w:val="20"/>
        </w:rPr>
      </w:pPr>
      <w:r>
        <w:rPr>
          <w:spacing w:val="8"/>
          <w:sz w:val="20"/>
          <w:szCs w:val="20"/>
        </w:rPr>
        <w:t>五、保证责任的解除</w:t>
      </w:r>
    </w:p>
    <w:p w14:paraId="4F17EF1F">
      <w:pPr>
        <w:spacing w:before="52" w:line="277" w:lineRule="auto"/>
        <w:ind w:left="10" w:firstLine="433"/>
        <w:rPr>
          <w:rFonts w:ascii="宋体" w:hAnsi="宋体" w:eastAsia="宋体" w:cs="宋体"/>
          <w:sz w:val="20"/>
          <w:szCs w:val="20"/>
        </w:rPr>
      </w:pPr>
      <w:r>
        <w:rPr>
          <w:rFonts w:ascii="宋体" w:hAnsi="宋体" w:eastAsia="宋体" w:cs="宋体"/>
          <w:spacing w:val="3"/>
          <w:sz w:val="20"/>
          <w:szCs w:val="20"/>
        </w:rPr>
        <w:t>1、在本保函承诺的保证期间内，你方未书面向我方主张保证责任的，自保证期间届满次日起，</w:t>
      </w:r>
      <w:r>
        <w:rPr>
          <w:rFonts w:ascii="宋体" w:hAnsi="宋体" w:eastAsia="宋体" w:cs="宋体"/>
          <w:spacing w:val="7"/>
          <w:sz w:val="20"/>
          <w:szCs w:val="20"/>
        </w:rPr>
        <w:t>我方保证责任解除。</w:t>
      </w:r>
    </w:p>
    <w:p w14:paraId="236B03F7">
      <w:pPr>
        <w:spacing w:before="2" w:line="276" w:lineRule="auto"/>
        <w:ind w:left="9" w:right="54" w:firstLine="421"/>
        <w:rPr>
          <w:rFonts w:ascii="宋体" w:hAnsi="宋体" w:eastAsia="宋体" w:cs="宋体"/>
          <w:sz w:val="20"/>
          <w:szCs w:val="20"/>
        </w:rPr>
      </w:pPr>
      <w:r>
        <w:rPr>
          <w:rFonts w:ascii="宋体" w:hAnsi="宋体" w:eastAsia="宋体" w:cs="宋体"/>
          <w:spacing w:val="7"/>
          <w:sz w:val="20"/>
          <w:szCs w:val="20"/>
        </w:rPr>
        <w:t>2、发包人按主合同约定履行了工程款的全部支付义务的，自本保函承诺的保证期间届满次日</w:t>
      </w:r>
      <w:r>
        <w:rPr>
          <w:rFonts w:ascii="宋体" w:hAnsi="宋体" w:eastAsia="宋体" w:cs="宋体"/>
          <w:spacing w:val="8"/>
          <w:sz w:val="20"/>
          <w:szCs w:val="20"/>
        </w:rPr>
        <w:t>起，我方保证责任解除。</w:t>
      </w:r>
    </w:p>
    <w:p w14:paraId="565F3A16">
      <w:pPr>
        <w:spacing w:before="2" w:line="276" w:lineRule="auto"/>
        <w:ind w:left="8" w:right="54" w:firstLine="424"/>
        <w:rPr>
          <w:rFonts w:ascii="宋体" w:hAnsi="宋体" w:eastAsia="宋体" w:cs="宋体"/>
          <w:sz w:val="20"/>
          <w:szCs w:val="20"/>
        </w:rPr>
      </w:pPr>
      <w:r>
        <w:rPr>
          <w:rFonts w:ascii="宋体" w:hAnsi="宋体" w:eastAsia="宋体" w:cs="宋体"/>
          <w:spacing w:val="7"/>
          <w:sz w:val="20"/>
          <w:szCs w:val="20"/>
        </w:rPr>
        <w:t>3、我方按照本保函向你方履行保证责任所支付金额达到本保函保证金额时，自我方向你方支</w:t>
      </w:r>
      <w:r>
        <w:rPr>
          <w:rFonts w:ascii="宋体" w:hAnsi="宋体" w:eastAsia="宋体" w:cs="宋体"/>
          <w:spacing w:val="9"/>
          <w:sz w:val="20"/>
          <w:szCs w:val="20"/>
        </w:rPr>
        <w:t>付（支付款项从我方账户划出）之日起，保证责任即解除。</w:t>
      </w:r>
    </w:p>
    <w:p w14:paraId="512D4DA4">
      <w:pPr>
        <w:spacing w:before="2" w:line="276" w:lineRule="auto"/>
        <w:ind w:left="15" w:right="54" w:firstLine="411"/>
        <w:rPr>
          <w:rFonts w:ascii="宋体" w:hAnsi="宋体" w:eastAsia="宋体" w:cs="宋体"/>
          <w:sz w:val="20"/>
          <w:szCs w:val="20"/>
        </w:rPr>
      </w:pPr>
      <w:r>
        <w:rPr>
          <w:rFonts w:ascii="宋体" w:hAnsi="宋体" w:eastAsia="宋体" w:cs="宋体"/>
          <w:spacing w:val="7"/>
          <w:sz w:val="20"/>
          <w:szCs w:val="20"/>
        </w:rPr>
        <w:t>4、按照法律法规的规定或出现应解除我方保证责任的其它情形的，我方在本保函项下的保证</w:t>
      </w:r>
      <w:r>
        <w:rPr>
          <w:rFonts w:ascii="宋体" w:hAnsi="宋体" w:eastAsia="宋体" w:cs="宋体"/>
          <w:spacing w:val="5"/>
          <w:sz w:val="20"/>
          <w:szCs w:val="20"/>
        </w:rPr>
        <w:t>责任亦解除。</w:t>
      </w:r>
    </w:p>
    <w:p w14:paraId="24BAD7ED">
      <w:pPr>
        <w:spacing w:before="2" w:line="276" w:lineRule="auto"/>
        <w:ind w:left="7" w:right="56" w:firstLine="422"/>
        <w:rPr>
          <w:rFonts w:ascii="宋体" w:hAnsi="宋体" w:eastAsia="宋体" w:cs="宋体"/>
          <w:sz w:val="20"/>
          <w:szCs w:val="20"/>
        </w:rPr>
      </w:pPr>
      <w:r>
        <w:rPr>
          <w:rFonts w:ascii="宋体" w:hAnsi="宋体" w:eastAsia="宋体" w:cs="宋体"/>
          <w:spacing w:val="9"/>
          <w:sz w:val="20"/>
          <w:szCs w:val="20"/>
        </w:rPr>
        <w:t>我方解除保证责任后，你方应自我方保证责任解除之日起</w:t>
      </w:r>
      <w:r>
        <w:rPr>
          <w:rFonts w:ascii="宋体" w:hAnsi="宋体" w:eastAsia="宋体" w:cs="宋体"/>
          <w:spacing w:val="-84"/>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9"/>
          <w:sz w:val="20"/>
          <w:szCs w:val="20"/>
        </w:rPr>
        <w:t>个工作日内，将本保函原件返</w:t>
      </w:r>
      <w:r>
        <w:rPr>
          <w:rFonts w:ascii="宋体" w:hAnsi="宋体" w:eastAsia="宋体" w:cs="宋体"/>
          <w:spacing w:val="5"/>
          <w:sz w:val="20"/>
          <w:szCs w:val="20"/>
        </w:rPr>
        <w:t>还我方。</w:t>
      </w:r>
    </w:p>
    <w:p w14:paraId="7EA16751">
      <w:pPr>
        <w:pStyle w:val="2"/>
        <w:spacing w:line="229" w:lineRule="auto"/>
        <w:ind w:left="434"/>
        <w:rPr>
          <w:sz w:val="20"/>
          <w:szCs w:val="20"/>
        </w:rPr>
      </w:pPr>
      <w:r>
        <w:rPr>
          <w:spacing w:val="7"/>
          <w:sz w:val="20"/>
          <w:szCs w:val="20"/>
        </w:rPr>
        <w:t>六、免责条款</w:t>
      </w:r>
    </w:p>
    <w:p w14:paraId="5FDA69B2">
      <w:pPr>
        <w:spacing w:before="51" w:line="228" w:lineRule="auto"/>
        <w:ind w:left="443"/>
        <w:rPr>
          <w:rFonts w:ascii="宋体" w:hAnsi="宋体" w:eastAsia="宋体" w:cs="宋体"/>
          <w:sz w:val="20"/>
          <w:szCs w:val="20"/>
        </w:rPr>
      </w:pPr>
      <w:r>
        <w:rPr>
          <w:rFonts w:ascii="宋体" w:hAnsi="宋体" w:eastAsia="宋体" w:cs="宋体"/>
          <w:spacing w:val="8"/>
          <w:sz w:val="20"/>
          <w:szCs w:val="20"/>
        </w:rPr>
        <w:t>1、因你方违约致使发包人不能履行义务的，我方不承担保证责任。</w:t>
      </w:r>
    </w:p>
    <w:p w14:paraId="4AF4745E">
      <w:pPr>
        <w:spacing w:before="53" w:line="277" w:lineRule="auto"/>
        <w:ind w:left="13" w:right="56" w:firstLine="417"/>
        <w:rPr>
          <w:rFonts w:ascii="宋体" w:hAnsi="宋体" w:eastAsia="宋体" w:cs="宋体"/>
          <w:sz w:val="20"/>
          <w:szCs w:val="20"/>
        </w:rPr>
      </w:pPr>
      <w:r>
        <w:rPr>
          <w:rFonts w:ascii="宋体" w:hAnsi="宋体" w:eastAsia="宋体" w:cs="宋体"/>
          <w:spacing w:val="7"/>
          <w:sz w:val="20"/>
          <w:szCs w:val="20"/>
        </w:rPr>
        <w:t>2、依照法律法规的规定或你方与发包人的另行约定，免除发包人部分或全部义务的，我方亦免除其相应的保证责任。</w:t>
      </w:r>
    </w:p>
    <w:p w14:paraId="23B30BA1">
      <w:pPr>
        <w:spacing w:before="1" w:line="227" w:lineRule="auto"/>
        <w:ind w:left="432"/>
        <w:rPr>
          <w:rFonts w:ascii="宋体" w:hAnsi="宋体" w:eastAsia="宋体" w:cs="宋体"/>
          <w:sz w:val="20"/>
          <w:szCs w:val="20"/>
        </w:rPr>
      </w:pPr>
      <w:r>
        <w:rPr>
          <w:rFonts w:ascii="宋体" w:hAnsi="宋体" w:eastAsia="宋体" w:cs="宋体"/>
          <w:spacing w:val="6"/>
          <w:sz w:val="20"/>
          <w:szCs w:val="20"/>
        </w:rPr>
        <w:t>3、你方与发包人协议变更主合同的（符合主合同合同条款第</w:t>
      </w:r>
      <w:r>
        <w:rPr>
          <w:rFonts w:ascii="宋体" w:hAnsi="宋体" w:eastAsia="宋体" w:cs="宋体"/>
          <w:spacing w:val="-19"/>
          <w:sz w:val="20"/>
          <w:szCs w:val="20"/>
        </w:rPr>
        <w:t xml:space="preserve"> </w:t>
      </w:r>
      <w:r>
        <w:rPr>
          <w:rFonts w:ascii="宋体" w:hAnsi="宋体" w:eastAsia="宋体" w:cs="宋体"/>
          <w:spacing w:val="6"/>
          <w:sz w:val="20"/>
          <w:szCs w:val="20"/>
        </w:rPr>
        <w:t>15</w:t>
      </w:r>
      <w:r>
        <w:rPr>
          <w:rFonts w:ascii="宋体" w:hAnsi="宋体" w:eastAsia="宋体" w:cs="宋体"/>
          <w:spacing w:val="-39"/>
          <w:sz w:val="20"/>
          <w:szCs w:val="20"/>
        </w:rPr>
        <w:t xml:space="preserve"> </w:t>
      </w:r>
      <w:r>
        <w:rPr>
          <w:rFonts w:ascii="宋体" w:hAnsi="宋体" w:eastAsia="宋体" w:cs="宋体"/>
          <w:spacing w:val="6"/>
          <w:sz w:val="20"/>
          <w:szCs w:val="20"/>
        </w:rPr>
        <w:t>条约定的变更除外</w:t>
      </w:r>
      <w:r>
        <w:rPr>
          <w:rFonts w:ascii="宋体" w:hAnsi="宋体" w:eastAsia="宋体" w:cs="宋体"/>
          <w:spacing w:val="-49"/>
          <w:sz w:val="20"/>
          <w:szCs w:val="20"/>
        </w:rPr>
        <w:t>），</w:t>
      </w:r>
      <w:r>
        <w:rPr>
          <w:rFonts w:ascii="宋体" w:hAnsi="宋体" w:eastAsia="宋体" w:cs="宋体"/>
          <w:spacing w:val="6"/>
          <w:sz w:val="20"/>
          <w:szCs w:val="20"/>
        </w:rPr>
        <w:t>如加重</w:t>
      </w:r>
    </w:p>
    <w:p w14:paraId="360D24B5">
      <w:pPr>
        <w:spacing w:line="227" w:lineRule="auto"/>
        <w:rPr>
          <w:rFonts w:ascii="宋体" w:hAnsi="宋体" w:eastAsia="宋体" w:cs="宋体"/>
          <w:sz w:val="20"/>
          <w:szCs w:val="20"/>
        </w:rPr>
        <w:sectPr>
          <w:footerReference r:id="rId224" w:type="default"/>
          <w:pgSz w:w="11906" w:h="16839"/>
          <w:pgMar w:top="400" w:right="1500" w:bottom="1038" w:left="1531" w:header="0" w:footer="787" w:gutter="0"/>
          <w:cols w:space="720" w:num="1"/>
        </w:sectPr>
      </w:pPr>
    </w:p>
    <w:p w14:paraId="4331304D">
      <w:pPr>
        <w:spacing w:line="251" w:lineRule="auto"/>
        <w:rPr>
          <w:rFonts w:ascii="Arial"/>
          <w:sz w:val="21"/>
        </w:rPr>
      </w:pPr>
    </w:p>
    <w:p w14:paraId="72C45525">
      <w:pPr>
        <w:spacing w:line="251" w:lineRule="auto"/>
        <w:rPr>
          <w:rFonts w:ascii="Arial"/>
          <w:sz w:val="21"/>
        </w:rPr>
      </w:pPr>
    </w:p>
    <w:p w14:paraId="2A1DB8D6">
      <w:pPr>
        <w:spacing w:line="252" w:lineRule="auto"/>
        <w:rPr>
          <w:rFonts w:ascii="Arial"/>
          <w:sz w:val="21"/>
        </w:rPr>
      </w:pPr>
    </w:p>
    <w:p w14:paraId="1B121DED">
      <w:pPr>
        <w:spacing w:line="252" w:lineRule="auto"/>
        <w:rPr>
          <w:rFonts w:ascii="Arial"/>
          <w:sz w:val="21"/>
        </w:rPr>
      </w:pPr>
    </w:p>
    <w:p w14:paraId="1D2530E5">
      <w:pPr>
        <w:spacing w:before="65" w:line="277" w:lineRule="auto"/>
        <w:ind w:left="13" w:hanging="13"/>
        <w:rPr>
          <w:rFonts w:ascii="宋体" w:hAnsi="宋体" w:eastAsia="宋体" w:cs="宋体"/>
          <w:sz w:val="20"/>
          <w:szCs w:val="20"/>
        </w:rPr>
      </w:pPr>
      <w:r>
        <w:rPr>
          <w:rFonts w:ascii="宋体" w:hAnsi="宋体" w:eastAsia="宋体" w:cs="宋体"/>
          <w:spacing w:val="10"/>
          <w:sz w:val="20"/>
          <w:szCs w:val="20"/>
        </w:rPr>
        <w:t>发包人责任致使我方保证责任加重的，需征得我方书面同意，否则</w:t>
      </w:r>
      <w:r>
        <w:rPr>
          <w:rFonts w:ascii="宋体" w:hAnsi="宋体" w:eastAsia="宋体" w:cs="宋体"/>
          <w:spacing w:val="9"/>
          <w:sz w:val="20"/>
          <w:szCs w:val="20"/>
        </w:rPr>
        <w:t>我方不再承担因此而加重部分</w:t>
      </w:r>
      <w:r>
        <w:rPr>
          <w:rFonts w:ascii="宋体" w:hAnsi="宋体" w:eastAsia="宋体" w:cs="宋体"/>
          <w:spacing w:val="3"/>
          <w:sz w:val="20"/>
          <w:szCs w:val="20"/>
        </w:rPr>
        <w:t>的保证责任。</w:t>
      </w:r>
    </w:p>
    <w:p w14:paraId="12FCA416">
      <w:pPr>
        <w:spacing w:line="227" w:lineRule="auto"/>
        <w:ind w:left="416"/>
        <w:rPr>
          <w:rFonts w:ascii="宋体" w:hAnsi="宋体" w:eastAsia="宋体" w:cs="宋体"/>
          <w:sz w:val="20"/>
          <w:szCs w:val="20"/>
        </w:rPr>
      </w:pPr>
      <w:r>
        <w:rPr>
          <w:rFonts w:ascii="宋体" w:hAnsi="宋体" w:eastAsia="宋体" w:cs="宋体"/>
          <w:spacing w:val="9"/>
          <w:sz w:val="20"/>
          <w:szCs w:val="20"/>
        </w:rPr>
        <w:t>4、因不可抗力造成发包人不能履行义务的，我方不承担保证责任。</w:t>
      </w:r>
    </w:p>
    <w:p w14:paraId="0EF4B25D">
      <w:pPr>
        <w:pStyle w:val="2"/>
        <w:spacing w:before="53" w:line="230" w:lineRule="auto"/>
        <w:ind w:left="416"/>
        <w:rPr>
          <w:sz w:val="20"/>
          <w:szCs w:val="20"/>
        </w:rPr>
      </w:pPr>
      <w:r>
        <w:rPr>
          <w:spacing w:val="8"/>
          <w:sz w:val="20"/>
          <w:szCs w:val="20"/>
        </w:rPr>
        <w:t>七、争议的解决</w:t>
      </w:r>
    </w:p>
    <w:p w14:paraId="60460252">
      <w:pPr>
        <w:spacing w:before="50" w:line="277" w:lineRule="auto"/>
        <w:ind w:left="5" w:firstLine="428"/>
        <w:rPr>
          <w:rFonts w:ascii="宋体" w:hAnsi="宋体" w:eastAsia="宋体" w:cs="宋体"/>
          <w:sz w:val="20"/>
          <w:szCs w:val="20"/>
        </w:rPr>
      </w:pPr>
      <w:r>
        <w:rPr>
          <w:rFonts w:ascii="宋体" w:hAnsi="宋体" w:eastAsia="宋体" w:cs="宋体"/>
          <w:spacing w:val="6"/>
          <w:sz w:val="20"/>
          <w:szCs w:val="20"/>
        </w:rPr>
        <w:t>因本保函发生的纠纷，由贵我双方协商解决，协商不成的，任何一方均可提请</w:t>
      </w:r>
      <w:r>
        <w:rPr>
          <w:rFonts w:ascii="宋体" w:hAnsi="宋体" w:eastAsia="宋体" w:cs="宋体"/>
          <w:spacing w:val="-8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6"/>
          <w:sz w:val="20"/>
          <w:szCs w:val="20"/>
        </w:rPr>
        <w:t>仲裁委</w:t>
      </w:r>
      <w:r>
        <w:rPr>
          <w:rFonts w:ascii="宋体" w:hAnsi="宋体" w:eastAsia="宋体" w:cs="宋体"/>
          <w:spacing w:val="4"/>
          <w:sz w:val="20"/>
          <w:szCs w:val="20"/>
        </w:rPr>
        <w:t>员会仲裁。</w:t>
      </w:r>
    </w:p>
    <w:p w14:paraId="0A4A9847">
      <w:pPr>
        <w:pStyle w:val="2"/>
        <w:spacing w:line="229" w:lineRule="auto"/>
        <w:ind w:left="417"/>
        <w:rPr>
          <w:sz w:val="20"/>
          <w:szCs w:val="20"/>
        </w:rPr>
      </w:pPr>
      <w:r>
        <w:rPr>
          <w:spacing w:val="8"/>
          <w:sz w:val="20"/>
          <w:szCs w:val="20"/>
        </w:rPr>
        <w:t>八、保函的生效</w:t>
      </w:r>
    </w:p>
    <w:p w14:paraId="36EA1409">
      <w:pPr>
        <w:spacing w:before="51" w:line="227" w:lineRule="auto"/>
        <w:ind w:left="418"/>
        <w:rPr>
          <w:rFonts w:ascii="宋体" w:hAnsi="宋体" w:eastAsia="宋体" w:cs="宋体"/>
          <w:sz w:val="20"/>
          <w:szCs w:val="20"/>
        </w:rPr>
      </w:pPr>
      <w:r>
        <w:rPr>
          <w:rFonts w:ascii="宋体" w:hAnsi="宋体" w:eastAsia="宋体" w:cs="宋体"/>
          <w:spacing w:val="9"/>
          <w:sz w:val="20"/>
          <w:szCs w:val="20"/>
        </w:rPr>
        <w:t>本保函自我方法定代表人（或其授权代理人）签字或加盖公章并交付你方之日起生效。</w:t>
      </w:r>
    </w:p>
    <w:p w14:paraId="4B8BB272">
      <w:pPr>
        <w:spacing w:before="54" w:line="227" w:lineRule="auto"/>
        <w:ind w:left="418"/>
        <w:rPr>
          <w:rFonts w:ascii="宋体" w:hAnsi="宋体" w:eastAsia="宋体" w:cs="宋体"/>
          <w:sz w:val="20"/>
          <w:szCs w:val="20"/>
        </w:rPr>
      </w:pPr>
      <w:r>
        <w:rPr>
          <w:rFonts w:ascii="宋体" w:hAnsi="宋体" w:eastAsia="宋体" w:cs="宋体"/>
          <w:spacing w:val="6"/>
          <w:sz w:val="20"/>
          <w:szCs w:val="20"/>
        </w:rPr>
        <w:t>本条所称交付是指：</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488692E">
      <w:pPr>
        <w:spacing w:before="244" w:line="227" w:lineRule="auto"/>
        <w:ind w:left="2875"/>
        <w:rPr>
          <w:rFonts w:ascii="宋体" w:hAnsi="宋体" w:eastAsia="宋体" w:cs="宋体"/>
          <w:sz w:val="20"/>
          <w:szCs w:val="20"/>
        </w:rPr>
      </w:pPr>
      <w:r>
        <w:rPr>
          <w:rFonts w:ascii="宋体" w:hAnsi="宋体" w:eastAsia="宋体" w:cs="宋体"/>
          <w:spacing w:val="10"/>
          <w:sz w:val="20"/>
          <w:szCs w:val="20"/>
        </w:rPr>
        <w:t>担保人</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5"/>
          <w:sz w:val="20"/>
          <w:szCs w:val="20"/>
        </w:rPr>
        <w:t>（</w:t>
      </w:r>
      <w:r>
        <w:rPr>
          <w:rFonts w:ascii="宋体" w:hAnsi="宋体" w:eastAsia="宋体" w:cs="宋体"/>
          <w:spacing w:val="10"/>
          <w:sz w:val="20"/>
          <w:szCs w:val="20"/>
        </w:rPr>
        <w:t>盖单位章）</w:t>
      </w:r>
    </w:p>
    <w:p w14:paraId="034A18B5">
      <w:pPr>
        <w:spacing w:before="92" w:line="228" w:lineRule="auto"/>
        <w:ind w:left="2875"/>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pacing w:val="-2"/>
          <w:sz w:val="20"/>
          <w:szCs w:val="20"/>
        </w:rPr>
        <w:t>：</w:t>
      </w:r>
      <w:r>
        <w:rPr>
          <w:rFonts w:ascii="宋体" w:hAnsi="宋体" w:eastAsia="宋体" w:cs="宋体"/>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签字）</w:t>
      </w:r>
    </w:p>
    <w:p w14:paraId="70E2990F">
      <w:pPr>
        <w:spacing w:before="94" w:line="237" w:lineRule="auto"/>
        <w:ind w:left="2875"/>
        <w:rPr>
          <w:rFonts w:ascii="宋体" w:hAnsi="宋体" w:eastAsia="宋体" w:cs="宋体"/>
          <w:sz w:val="20"/>
          <w:szCs w:val="20"/>
        </w:rPr>
      </w:pPr>
      <w:r>
        <w:rPr>
          <w:rFonts w:ascii="宋体" w:hAnsi="宋体" w:eastAsia="宋体" w:cs="宋体"/>
          <w:spacing w:val="-3"/>
          <w:sz w:val="20"/>
          <w:szCs w:val="20"/>
        </w:rPr>
        <w:t>地</w:t>
      </w:r>
      <w:r>
        <w:rPr>
          <w:rFonts w:ascii="宋体" w:hAnsi="宋体" w:eastAsia="宋体" w:cs="宋体"/>
          <w:spacing w:val="9"/>
          <w:sz w:val="20"/>
          <w:szCs w:val="20"/>
        </w:rPr>
        <w:t xml:space="preserve">    </w:t>
      </w:r>
      <w:r>
        <w:rPr>
          <w:rFonts w:ascii="宋体" w:hAnsi="宋体" w:eastAsia="宋体" w:cs="宋体"/>
          <w:spacing w:val="-3"/>
          <w:sz w:val="20"/>
          <w:szCs w:val="20"/>
        </w:rPr>
        <w:t>址</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46D93070">
      <w:pPr>
        <w:spacing w:before="84" w:line="228" w:lineRule="auto"/>
        <w:ind w:left="2890"/>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p>
    <w:p w14:paraId="5D929F33">
      <w:pPr>
        <w:spacing w:before="92" w:line="230" w:lineRule="auto"/>
        <w:ind w:left="2899"/>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7"/>
          <w:sz w:val="20"/>
          <w:szCs w:val="20"/>
        </w:rPr>
        <w:t xml:space="preserve">    </w:t>
      </w:r>
      <w:r>
        <w:rPr>
          <w:rFonts w:ascii="宋体" w:hAnsi="宋体" w:eastAsia="宋体" w:cs="宋体"/>
          <w:spacing w:val="-13"/>
          <w:sz w:val="20"/>
          <w:szCs w:val="20"/>
        </w:rPr>
        <w:t>话</w:t>
      </w:r>
      <w:r>
        <w:rPr>
          <w:rFonts w:ascii="宋体" w:hAnsi="宋体" w:eastAsia="宋体" w:cs="宋体"/>
          <w:spacing w:val="-72"/>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5E015482">
      <w:pPr>
        <w:spacing w:before="91" w:line="227" w:lineRule="auto"/>
        <w:ind w:left="2873"/>
        <w:rPr>
          <w:rFonts w:ascii="宋体" w:hAnsi="宋体" w:eastAsia="宋体" w:cs="宋体"/>
          <w:sz w:val="20"/>
          <w:szCs w:val="20"/>
        </w:rPr>
      </w:pPr>
      <w:r>
        <w:rPr>
          <w:rFonts w:ascii="宋体" w:hAnsi="宋体" w:eastAsia="宋体" w:cs="宋体"/>
          <w:spacing w:val="-3"/>
          <w:sz w:val="20"/>
          <w:szCs w:val="20"/>
        </w:rPr>
        <w:t>传</w:t>
      </w:r>
      <w:r>
        <w:rPr>
          <w:rFonts w:ascii="宋体" w:hAnsi="宋体" w:eastAsia="宋体" w:cs="宋体"/>
          <w:spacing w:val="9"/>
          <w:sz w:val="20"/>
          <w:szCs w:val="20"/>
        </w:rPr>
        <w:t xml:space="preserve">    </w:t>
      </w:r>
      <w:r>
        <w:rPr>
          <w:rFonts w:ascii="宋体" w:hAnsi="宋体" w:eastAsia="宋体" w:cs="宋体"/>
          <w:spacing w:val="-3"/>
          <w:sz w:val="20"/>
          <w:szCs w:val="20"/>
        </w:rPr>
        <w:t>真</w:t>
      </w:r>
      <w:r>
        <w:rPr>
          <w:rFonts w:ascii="宋体" w:hAnsi="宋体" w:eastAsia="宋体" w:cs="宋体"/>
          <w:spacing w:val="-73"/>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6164282E">
      <w:pPr>
        <w:tabs>
          <w:tab w:val="left" w:pos="6709"/>
        </w:tabs>
        <w:spacing w:before="95" w:line="228" w:lineRule="auto"/>
        <w:ind w:left="524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0D358058">
      <w:pPr>
        <w:spacing w:line="348" w:lineRule="auto"/>
        <w:rPr>
          <w:rFonts w:ascii="Arial"/>
          <w:sz w:val="21"/>
        </w:rPr>
      </w:pPr>
    </w:p>
    <w:p w14:paraId="67827F0F">
      <w:pPr>
        <w:spacing w:before="65" w:line="227" w:lineRule="auto"/>
        <w:rPr>
          <w:rFonts w:ascii="宋体" w:hAnsi="宋体" w:eastAsia="宋体" w:cs="宋体"/>
          <w:sz w:val="20"/>
          <w:szCs w:val="20"/>
        </w:rPr>
      </w:pPr>
      <w:r>
        <w:rPr>
          <w:rFonts w:ascii="宋体" w:hAnsi="宋体" w:eastAsia="宋体" w:cs="宋体"/>
          <w:spacing w:val="9"/>
          <w:sz w:val="20"/>
          <w:szCs w:val="20"/>
        </w:rPr>
        <w:t>备注：本支付担保格式可采用经承包人同意的其他格式，但相关约定应当与履约担保对等。</w:t>
      </w:r>
    </w:p>
    <w:p w14:paraId="6D222542">
      <w:pPr>
        <w:spacing w:line="227" w:lineRule="auto"/>
        <w:rPr>
          <w:rFonts w:ascii="宋体" w:hAnsi="宋体" w:eastAsia="宋体" w:cs="宋体"/>
          <w:sz w:val="20"/>
          <w:szCs w:val="20"/>
        </w:rPr>
        <w:sectPr>
          <w:footerReference r:id="rId225" w:type="default"/>
          <w:pgSz w:w="11906" w:h="16839"/>
          <w:pgMar w:top="400" w:right="1554" w:bottom="1038" w:left="1541" w:header="0" w:footer="787" w:gutter="0"/>
          <w:cols w:space="720" w:num="1"/>
        </w:sectPr>
      </w:pPr>
    </w:p>
    <w:p w14:paraId="51ED6E83">
      <w:pPr>
        <w:spacing w:line="261" w:lineRule="auto"/>
        <w:rPr>
          <w:rFonts w:ascii="Arial"/>
          <w:sz w:val="21"/>
        </w:rPr>
      </w:pPr>
    </w:p>
    <w:p w14:paraId="4FB5F330">
      <w:pPr>
        <w:spacing w:line="262" w:lineRule="auto"/>
        <w:rPr>
          <w:rFonts w:ascii="Arial"/>
          <w:sz w:val="21"/>
        </w:rPr>
      </w:pPr>
    </w:p>
    <w:p w14:paraId="2D3A072E">
      <w:pPr>
        <w:spacing w:line="262" w:lineRule="auto"/>
        <w:rPr>
          <w:rFonts w:ascii="Arial"/>
          <w:sz w:val="21"/>
        </w:rPr>
      </w:pPr>
    </w:p>
    <w:p w14:paraId="0BFF5ECC">
      <w:pPr>
        <w:spacing w:line="262" w:lineRule="auto"/>
        <w:rPr>
          <w:rFonts w:ascii="Arial"/>
          <w:sz w:val="21"/>
        </w:rPr>
      </w:pPr>
    </w:p>
    <w:p w14:paraId="173C5D6B">
      <w:pPr>
        <w:pStyle w:val="2"/>
        <w:spacing w:before="78" w:line="222" w:lineRule="auto"/>
        <w:ind w:left="22"/>
        <w:rPr>
          <w:sz w:val="24"/>
          <w:szCs w:val="24"/>
        </w:rPr>
      </w:pPr>
      <w:r>
        <w:rPr>
          <w:spacing w:val="-3"/>
          <w:sz w:val="24"/>
          <w:szCs w:val="24"/>
        </w:rPr>
        <w:t>附件五：质量保修书格式</w:t>
      </w:r>
    </w:p>
    <w:p w14:paraId="55913708">
      <w:pPr>
        <w:spacing w:line="303" w:lineRule="auto"/>
        <w:rPr>
          <w:rFonts w:ascii="Arial"/>
          <w:sz w:val="21"/>
        </w:rPr>
      </w:pPr>
    </w:p>
    <w:p w14:paraId="0A311F31">
      <w:pPr>
        <w:pStyle w:val="2"/>
        <w:spacing w:before="91" w:line="221" w:lineRule="auto"/>
        <w:ind w:left="3161"/>
        <w:rPr>
          <w:sz w:val="28"/>
          <w:szCs w:val="28"/>
        </w:rPr>
      </w:pPr>
      <w:r>
        <w:rPr>
          <w:spacing w:val="-1"/>
          <w:sz w:val="28"/>
          <w:szCs w:val="28"/>
        </w:rPr>
        <w:t>房屋建筑工程质量保修书</w:t>
      </w:r>
    </w:p>
    <w:p w14:paraId="215360A9">
      <w:pPr>
        <w:spacing w:line="291" w:lineRule="auto"/>
        <w:rPr>
          <w:rFonts w:ascii="Arial"/>
          <w:sz w:val="21"/>
        </w:rPr>
      </w:pPr>
    </w:p>
    <w:p w14:paraId="1A8D1D52">
      <w:pPr>
        <w:spacing w:before="65" w:line="228" w:lineRule="auto"/>
        <w:ind w:left="431"/>
        <w:rPr>
          <w:rFonts w:ascii="宋体" w:hAnsi="宋体" w:eastAsia="宋体" w:cs="宋体"/>
          <w:sz w:val="20"/>
          <w:szCs w:val="20"/>
        </w:rPr>
      </w:pPr>
      <w:r>
        <w:rPr>
          <w:rFonts w:ascii="宋体" w:hAnsi="宋体" w:eastAsia="宋体" w:cs="宋体"/>
          <w:spacing w:val="3"/>
          <w:sz w:val="20"/>
          <w:szCs w:val="20"/>
        </w:rPr>
        <w:t>发包人：</w:t>
      </w:r>
      <w:r>
        <w:rPr>
          <w:rFonts w:ascii="宋体" w:hAnsi="宋体" w:eastAsia="宋体" w:cs="宋体"/>
          <w:spacing w:val="3"/>
          <w:sz w:val="20"/>
          <w:szCs w:val="20"/>
          <w:u w:val="single" w:color="auto"/>
        </w:rPr>
        <w:t xml:space="preserve">                                                </w:t>
      </w:r>
    </w:p>
    <w:p w14:paraId="0DFF09F6">
      <w:pPr>
        <w:spacing w:before="42" w:line="228" w:lineRule="auto"/>
        <w:ind w:left="428"/>
        <w:rPr>
          <w:rFonts w:ascii="宋体" w:hAnsi="宋体" w:eastAsia="宋体" w:cs="宋体"/>
          <w:sz w:val="20"/>
          <w:szCs w:val="20"/>
        </w:rPr>
      </w:pPr>
      <w:r>
        <w:rPr>
          <w:rFonts w:ascii="宋体" w:hAnsi="宋体" w:eastAsia="宋体" w:cs="宋体"/>
          <w:spacing w:val="7"/>
          <w:sz w:val="20"/>
          <w:szCs w:val="20"/>
        </w:rPr>
        <w:t>承包人：</w:t>
      </w:r>
      <w:r>
        <w:rPr>
          <w:rFonts w:ascii="宋体" w:hAnsi="宋体" w:eastAsia="宋体" w:cs="宋体"/>
          <w:sz w:val="20"/>
          <w:szCs w:val="20"/>
          <w:u w:val="single" w:color="auto"/>
        </w:rPr>
        <w:t xml:space="preserve">                                                  </w:t>
      </w:r>
    </w:p>
    <w:p w14:paraId="36373A89">
      <w:pPr>
        <w:spacing w:before="44" w:line="267" w:lineRule="auto"/>
        <w:ind w:left="7" w:right="2" w:firstLine="424"/>
        <w:rPr>
          <w:rFonts w:ascii="宋体" w:hAnsi="宋体" w:eastAsia="宋体" w:cs="宋体"/>
          <w:sz w:val="20"/>
          <w:szCs w:val="20"/>
        </w:rPr>
      </w:pPr>
      <w:r>
        <w:rPr>
          <w:rFonts w:ascii="宋体" w:hAnsi="宋体" w:eastAsia="宋体" w:cs="宋体"/>
          <w:spacing w:val="5"/>
          <w:sz w:val="20"/>
          <w:szCs w:val="20"/>
        </w:rPr>
        <w:t>发包人、承包人根据《中华人民共和国建筑法》</w:t>
      </w:r>
      <w:r>
        <w:rPr>
          <w:rFonts w:ascii="宋体" w:hAnsi="宋体" w:eastAsia="宋体" w:cs="宋体"/>
          <w:spacing w:val="4"/>
          <w:sz w:val="20"/>
          <w:szCs w:val="20"/>
        </w:rPr>
        <w:t>、《建设工程质量管理条例》和《房屋建筑工</w:t>
      </w:r>
      <w:r>
        <w:rPr>
          <w:rFonts w:ascii="宋体" w:hAnsi="宋体" w:eastAsia="宋体" w:cs="宋体"/>
          <w:spacing w:val="5"/>
          <w:sz w:val="20"/>
          <w:szCs w:val="20"/>
        </w:rPr>
        <w:t>程质量保修办法》，经协商一致，对</w:t>
      </w:r>
      <w:r>
        <w:rPr>
          <w:rFonts w:ascii="宋体" w:hAnsi="宋体" w:eastAsia="宋体" w:cs="宋体"/>
          <w:spacing w:val="-85"/>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（工程名称）签订保修书。</w:t>
      </w:r>
    </w:p>
    <w:p w14:paraId="2E2686F4">
      <w:pPr>
        <w:pStyle w:val="2"/>
        <w:spacing w:before="1" w:line="229" w:lineRule="auto"/>
        <w:ind w:left="431"/>
        <w:rPr>
          <w:sz w:val="20"/>
          <w:szCs w:val="20"/>
        </w:rPr>
      </w:pPr>
      <w:r>
        <w:rPr>
          <w:spacing w:val="8"/>
          <w:sz w:val="20"/>
          <w:szCs w:val="20"/>
        </w:rPr>
        <w:t>一、工程保修范围和内容</w:t>
      </w:r>
    </w:p>
    <w:p w14:paraId="716F7FAB">
      <w:pPr>
        <w:spacing w:before="41" w:line="268" w:lineRule="auto"/>
        <w:ind w:left="7" w:firstLine="420"/>
        <w:rPr>
          <w:rFonts w:ascii="宋体" w:hAnsi="宋体" w:eastAsia="宋体" w:cs="宋体"/>
          <w:sz w:val="20"/>
          <w:szCs w:val="20"/>
        </w:rPr>
      </w:pPr>
      <w:r>
        <w:rPr>
          <w:rFonts w:ascii="宋体" w:hAnsi="宋体" w:eastAsia="宋体" w:cs="宋体"/>
          <w:spacing w:val="10"/>
          <w:sz w:val="20"/>
          <w:szCs w:val="20"/>
        </w:rPr>
        <w:t>承包人在保修期内，按照有关法律、法规、规章的管理规定和双方约</w:t>
      </w:r>
      <w:r>
        <w:rPr>
          <w:rFonts w:ascii="宋体" w:hAnsi="宋体" w:eastAsia="宋体" w:cs="宋体"/>
          <w:spacing w:val="9"/>
          <w:sz w:val="20"/>
          <w:szCs w:val="20"/>
        </w:rPr>
        <w:t>定，承担本工程保修责</w:t>
      </w:r>
      <w:r>
        <w:rPr>
          <w:rFonts w:ascii="宋体" w:hAnsi="宋体" w:eastAsia="宋体" w:cs="宋体"/>
          <w:sz w:val="20"/>
          <w:szCs w:val="20"/>
        </w:rPr>
        <w:t>任。</w:t>
      </w:r>
    </w:p>
    <w:p w14:paraId="14826CAA">
      <w:pPr>
        <w:spacing w:before="3" w:line="268" w:lineRule="auto"/>
        <w:ind w:left="9" w:firstLine="420"/>
        <w:jc w:val="both"/>
        <w:rPr>
          <w:rFonts w:ascii="宋体" w:hAnsi="宋体" w:eastAsia="宋体" w:cs="宋体"/>
          <w:sz w:val="20"/>
          <w:szCs w:val="20"/>
        </w:rPr>
      </w:pPr>
      <w:r>
        <w:rPr>
          <w:rFonts w:ascii="宋体" w:hAnsi="宋体" w:eastAsia="宋体" w:cs="宋体"/>
          <w:spacing w:val="10"/>
          <w:sz w:val="20"/>
          <w:szCs w:val="20"/>
        </w:rPr>
        <w:t>保修责任范围包括地基基础工程、主体结构工程，屋面防水工程、</w:t>
      </w:r>
      <w:r>
        <w:rPr>
          <w:rFonts w:ascii="宋体" w:hAnsi="宋体" w:eastAsia="宋体" w:cs="宋体"/>
          <w:spacing w:val="9"/>
          <w:sz w:val="20"/>
          <w:szCs w:val="20"/>
        </w:rPr>
        <w:t>有防水要求的卫生间、房间和外墙面的防渗漏，供热与供冷系统，电气管线、给排水管道、设备安装</w:t>
      </w:r>
      <w:r>
        <w:rPr>
          <w:rFonts w:ascii="宋体" w:hAnsi="宋体" w:eastAsia="宋体" w:cs="宋体"/>
          <w:spacing w:val="8"/>
          <w:sz w:val="20"/>
          <w:szCs w:val="20"/>
        </w:rPr>
        <w:t>和装修工程，</w:t>
      </w:r>
      <w:r>
        <w:rPr>
          <w:rFonts w:ascii="宋体" w:hAnsi="宋体" w:eastAsia="宋体" w:cs="宋体"/>
          <w:spacing w:val="-60"/>
          <w:sz w:val="20"/>
          <w:szCs w:val="20"/>
        </w:rPr>
        <w:t xml:space="preserve"> </w:t>
      </w:r>
      <w:r>
        <w:rPr>
          <w:rFonts w:ascii="宋体" w:hAnsi="宋体" w:eastAsia="宋体" w:cs="宋体"/>
          <w:spacing w:val="8"/>
          <w:sz w:val="20"/>
          <w:szCs w:val="20"/>
        </w:rPr>
        <w:t>以及双</w:t>
      </w:r>
      <w:r>
        <w:rPr>
          <w:rFonts w:ascii="宋体" w:hAnsi="宋体" w:eastAsia="宋体" w:cs="宋体"/>
          <w:spacing w:val="9"/>
          <w:sz w:val="20"/>
          <w:szCs w:val="20"/>
        </w:rPr>
        <w:t>方约定的其他项目。具体保修的内容，双方约定如下：</w:t>
      </w:r>
    </w:p>
    <w:p w14:paraId="239A2F74">
      <w:pPr>
        <w:tabs>
          <w:tab w:val="left" w:pos="8292"/>
        </w:tabs>
        <w:spacing w:before="2"/>
        <w:rPr>
          <w:rFonts w:ascii="Arial"/>
          <w:sz w:val="21"/>
        </w:rPr>
      </w:pPr>
      <w:r>
        <w:rPr>
          <w:rFonts w:ascii="Arial" w:hAnsi="Arial" w:eastAsia="Arial" w:cs="Arial"/>
          <w:sz w:val="21"/>
          <w:szCs w:val="21"/>
          <w:u w:val="single" w:color="auto"/>
        </w:rPr>
        <w:tab/>
      </w:r>
    </w:p>
    <w:p w14:paraId="53800DDD">
      <w:pPr>
        <w:tabs>
          <w:tab w:val="left" w:pos="8292"/>
        </w:tabs>
        <w:spacing w:before="49" w:line="266" w:lineRule="auto"/>
        <w:ind w:right="526"/>
        <w:rPr>
          <w:rFonts w:ascii="Arial" w:hAnsi="Arial" w:eastAsia="Arial" w:cs="Arial"/>
          <w:sz w:val="21"/>
          <w:szCs w:val="21"/>
        </w:rPr>
      </w:pP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p>
    <w:p w14:paraId="1353E2F8">
      <w:pPr>
        <w:tabs>
          <w:tab w:val="left" w:pos="6927"/>
        </w:tabs>
        <w:spacing w:before="17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0BFCF06">
      <w:pPr>
        <w:pStyle w:val="2"/>
        <w:spacing w:before="90" w:line="230" w:lineRule="auto"/>
        <w:ind w:left="431"/>
        <w:rPr>
          <w:sz w:val="20"/>
          <w:szCs w:val="20"/>
        </w:rPr>
      </w:pPr>
      <w:r>
        <w:rPr>
          <w:spacing w:val="7"/>
          <w:sz w:val="20"/>
          <w:szCs w:val="20"/>
        </w:rPr>
        <w:t>二、保修期</w:t>
      </w:r>
    </w:p>
    <w:p w14:paraId="590EE973">
      <w:pPr>
        <w:spacing w:before="41" w:line="227" w:lineRule="auto"/>
        <w:ind w:left="428"/>
        <w:rPr>
          <w:rFonts w:ascii="宋体" w:hAnsi="宋体" w:eastAsia="宋体" w:cs="宋体"/>
          <w:sz w:val="20"/>
          <w:szCs w:val="20"/>
        </w:rPr>
      </w:pPr>
      <w:r>
        <w:rPr>
          <w:rFonts w:ascii="宋体" w:hAnsi="宋体" w:eastAsia="宋体" w:cs="宋体"/>
          <w:spacing w:val="9"/>
          <w:sz w:val="20"/>
          <w:szCs w:val="20"/>
        </w:rPr>
        <w:t>双方根据《建设工程质量管理条例》及有关规定，约定本工程的保修期如下：</w:t>
      </w:r>
    </w:p>
    <w:p w14:paraId="6FC573FC">
      <w:pPr>
        <w:spacing w:before="42" w:line="228" w:lineRule="auto"/>
        <w:ind w:left="921"/>
        <w:rPr>
          <w:rFonts w:ascii="宋体" w:hAnsi="宋体" w:eastAsia="宋体" w:cs="宋体"/>
          <w:sz w:val="20"/>
          <w:szCs w:val="20"/>
        </w:rPr>
      </w:pPr>
      <w:r>
        <w:rPr>
          <w:rFonts w:ascii="宋体" w:hAnsi="宋体" w:eastAsia="宋体" w:cs="宋体"/>
          <w:spacing w:val="9"/>
          <w:sz w:val="20"/>
          <w:szCs w:val="20"/>
        </w:rPr>
        <w:t>1、地基基础工程和主体结构工程为设计文件规定的该工</w:t>
      </w:r>
      <w:r>
        <w:rPr>
          <w:rFonts w:ascii="宋体" w:hAnsi="宋体" w:eastAsia="宋体" w:cs="宋体"/>
          <w:spacing w:val="8"/>
          <w:sz w:val="20"/>
          <w:szCs w:val="20"/>
        </w:rPr>
        <w:t>程合理使用年限；</w:t>
      </w:r>
    </w:p>
    <w:p w14:paraId="00AF0F0A">
      <w:pPr>
        <w:spacing w:before="43" w:line="228" w:lineRule="auto"/>
        <w:ind w:left="908"/>
        <w:rPr>
          <w:rFonts w:ascii="宋体" w:hAnsi="宋体" w:eastAsia="宋体" w:cs="宋体"/>
          <w:sz w:val="20"/>
          <w:szCs w:val="20"/>
        </w:rPr>
      </w:pPr>
      <w:r>
        <w:rPr>
          <w:rFonts w:ascii="宋体" w:hAnsi="宋体" w:eastAsia="宋体" w:cs="宋体"/>
          <w:spacing w:val="9"/>
          <w:sz w:val="20"/>
          <w:szCs w:val="20"/>
        </w:rPr>
        <w:t>2、屋面防水工程、有防水要求的卫生间、房间和外墙面的</w:t>
      </w:r>
      <w:r>
        <w:rPr>
          <w:rFonts w:ascii="宋体" w:hAnsi="宋体" w:eastAsia="宋体" w:cs="宋体"/>
          <w:spacing w:val="8"/>
          <w:sz w:val="20"/>
          <w:szCs w:val="20"/>
        </w:rPr>
        <w:t>防渗漏为</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8"/>
          <w:sz w:val="20"/>
          <w:szCs w:val="20"/>
        </w:rPr>
        <w:t>年；</w:t>
      </w:r>
    </w:p>
    <w:p w14:paraId="42145272">
      <w:pPr>
        <w:spacing w:before="44" w:line="228" w:lineRule="auto"/>
        <w:ind w:left="910"/>
        <w:rPr>
          <w:rFonts w:ascii="宋体" w:hAnsi="宋体" w:eastAsia="宋体" w:cs="宋体"/>
          <w:sz w:val="20"/>
          <w:szCs w:val="20"/>
        </w:rPr>
      </w:pPr>
      <w:r>
        <w:rPr>
          <w:rFonts w:ascii="宋体" w:hAnsi="宋体" w:eastAsia="宋体" w:cs="宋体"/>
          <w:spacing w:val="5"/>
          <w:sz w:val="20"/>
          <w:szCs w:val="20"/>
        </w:rPr>
        <w:t>3、装修工程为</w:t>
      </w:r>
      <w:r>
        <w:rPr>
          <w:rFonts w:ascii="宋体" w:hAnsi="宋体" w:eastAsia="宋体" w:cs="宋体"/>
          <w:spacing w:val="-94"/>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5"/>
          <w:sz w:val="20"/>
          <w:szCs w:val="20"/>
        </w:rPr>
        <w:t>年；</w:t>
      </w:r>
    </w:p>
    <w:p w14:paraId="50AA7052">
      <w:pPr>
        <w:spacing w:before="43" w:line="228" w:lineRule="auto"/>
        <w:ind w:left="905"/>
        <w:rPr>
          <w:rFonts w:ascii="宋体" w:hAnsi="宋体" w:eastAsia="宋体" w:cs="宋体"/>
          <w:sz w:val="20"/>
          <w:szCs w:val="20"/>
        </w:rPr>
      </w:pPr>
      <w:r>
        <w:rPr>
          <w:rFonts w:ascii="宋体" w:hAnsi="宋体" w:eastAsia="宋体" w:cs="宋体"/>
          <w:spacing w:val="8"/>
          <w:sz w:val="20"/>
          <w:szCs w:val="20"/>
        </w:rPr>
        <w:t>4、电气管线、给排水管道、设备安装工程为</w:t>
      </w:r>
      <w:r>
        <w:rPr>
          <w:rFonts w:ascii="宋体" w:hAnsi="宋体" w:eastAsia="宋体" w:cs="宋体"/>
          <w:spacing w:val="-8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8"/>
          <w:sz w:val="20"/>
          <w:szCs w:val="20"/>
        </w:rPr>
        <w:t>年；</w:t>
      </w:r>
    </w:p>
    <w:p w14:paraId="6970103B">
      <w:pPr>
        <w:spacing w:before="44" w:line="227" w:lineRule="auto"/>
        <w:ind w:left="910"/>
        <w:rPr>
          <w:rFonts w:ascii="宋体" w:hAnsi="宋体" w:eastAsia="宋体" w:cs="宋体"/>
          <w:sz w:val="20"/>
          <w:szCs w:val="20"/>
        </w:rPr>
      </w:pPr>
      <w:r>
        <w:rPr>
          <w:rFonts w:ascii="宋体" w:hAnsi="宋体" w:eastAsia="宋体" w:cs="宋体"/>
          <w:spacing w:val="7"/>
          <w:sz w:val="20"/>
          <w:szCs w:val="20"/>
        </w:rPr>
        <w:t>5、供热与供冷系统为</w:t>
      </w:r>
      <w:r>
        <w:rPr>
          <w:rFonts w:ascii="宋体" w:hAnsi="宋体" w:eastAsia="宋体" w:cs="宋体"/>
          <w:spacing w:val="-81"/>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7"/>
          <w:sz w:val="20"/>
          <w:szCs w:val="20"/>
        </w:rPr>
        <w:t>个采暖期、供冷期；</w:t>
      </w:r>
    </w:p>
    <w:p w14:paraId="3308B571">
      <w:pPr>
        <w:spacing w:before="44" w:line="228" w:lineRule="auto"/>
        <w:ind w:left="907"/>
        <w:rPr>
          <w:rFonts w:ascii="宋体" w:hAnsi="宋体" w:eastAsia="宋体" w:cs="宋体"/>
          <w:sz w:val="20"/>
          <w:szCs w:val="20"/>
        </w:rPr>
      </w:pPr>
      <w:r>
        <w:rPr>
          <w:rFonts w:ascii="宋体" w:hAnsi="宋体" w:eastAsia="宋体" w:cs="宋体"/>
          <w:spacing w:val="8"/>
          <w:sz w:val="20"/>
          <w:szCs w:val="20"/>
        </w:rPr>
        <w:t>6、住宅小区内的给排水设施、道路等配套工程为</w:t>
      </w:r>
      <w:r>
        <w:rPr>
          <w:rFonts w:ascii="宋体" w:hAnsi="宋体" w:eastAsia="宋体" w:cs="宋体"/>
          <w:spacing w:val="-8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8"/>
          <w:sz w:val="20"/>
          <w:szCs w:val="20"/>
        </w:rPr>
        <w:t>年；</w:t>
      </w:r>
    </w:p>
    <w:p w14:paraId="4EF568B1">
      <w:pPr>
        <w:spacing w:before="41" w:line="228" w:lineRule="auto"/>
        <w:ind w:left="910"/>
        <w:rPr>
          <w:rFonts w:ascii="宋体" w:hAnsi="宋体" w:eastAsia="宋体" w:cs="宋体"/>
          <w:sz w:val="20"/>
          <w:szCs w:val="20"/>
        </w:rPr>
      </w:pPr>
      <w:r>
        <w:rPr>
          <w:rFonts w:ascii="宋体" w:hAnsi="宋体" w:eastAsia="宋体" w:cs="宋体"/>
          <w:spacing w:val="8"/>
          <w:sz w:val="20"/>
          <w:szCs w:val="20"/>
        </w:rPr>
        <w:t>7、其他项目保修期限约定如下：</w:t>
      </w:r>
    </w:p>
    <w:p w14:paraId="391A883B">
      <w:pPr>
        <w:tabs>
          <w:tab w:val="left" w:pos="8292"/>
        </w:tabs>
        <w:spacing w:before="51" w:line="266" w:lineRule="auto"/>
        <w:ind w:right="526"/>
        <w:rPr>
          <w:rFonts w:ascii="Arial" w:hAnsi="Arial" w:eastAsia="Arial" w:cs="Arial"/>
          <w:sz w:val="21"/>
          <w:szCs w:val="21"/>
        </w:rPr>
      </w:pP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p>
    <w:p w14:paraId="17732083">
      <w:pPr>
        <w:tabs>
          <w:tab w:val="left" w:pos="8292"/>
        </w:tabs>
        <w:spacing w:before="44"/>
        <w:rPr>
          <w:rFonts w:ascii="Arial"/>
          <w:sz w:val="21"/>
        </w:rPr>
      </w:pPr>
      <w:r>
        <w:rPr>
          <w:rFonts w:ascii="Arial" w:hAnsi="Arial" w:eastAsia="Arial" w:cs="Arial"/>
          <w:sz w:val="21"/>
          <w:szCs w:val="21"/>
          <w:u w:val="single" w:color="auto"/>
        </w:rPr>
        <w:tab/>
      </w:r>
    </w:p>
    <w:p w14:paraId="3BDC4D32">
      <w:pPr>
        <w:tabs>
          <w:tab w:val="left" w:pos="6824"/>
        </w:tabs>
        <w:spacing w:before="178"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2D85ACE">
      <w:pPr>
        <w:pStyle w:val="2"/>
        <w:spacing w:before="90" w:line="229" w:lineRule="auto"/>
        <w:ind w:left="432"/>
        <w:rPr>
          <w:sz w:val="20"/>
          <w:szCs w:val="20"/>
        </w:rPr>
      </w:pPr>
      <w:r>
        <w:rPr>
          <w:spacing w:val="7"/>
          <w:sz w:val="20"/>
          <w:szCs w:val="20"/>
        </w:rPr>
        <w:t>三、保修责任</w:t>
      </w:r>
    </w:p>
    <w:p w14:paraId="21C6D3D5">
      <w:pPr>
        <w:spacing w:before="40" w:line="268" w:lineRule="auto"/>
        <w:ind w:left="11" w:firstLine="432"/>
        <w:rPr>
          <w:rFonts w:ascii="宋体" w:hAnsi="宋体" w:eastAsia="宋体" w:cs="宋体"/>
          <w:sz w:val="20"/>
          <w:szCs w:val="20"/>
        </w:rPr>
      </w:pPr>
      <w:r>
        <w:rPr>
          <w:rFonts w:ascii="宋体" w:hAnsi="宋体" w:eastAsia="宋体" w:cs="宋体"/>
          <w:spacing w:val="6"/>
          <w:sz w:val="20"/>
          <w:szCs w:val="20"/>
        </w:rPr>
        <w:t>1、属于责任范围、内容的项目，承包人应当在接到保修通知之日起</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天内派人保修。</w:t>
      </w:r>
      <w:r>
        <w:rPr>
          <w:rFonts w:ascii="宋体" w:hAnsi="宋体" w:eastAsia="宋体" w:cs="宋体"/>
          <w:spacing w:val="5"/>
          <w:sz w:val="20"/>
          <w:szCs w:val="20"/>
        </w:rPr>
        <w:t>承包人</w:t>
      </w:r>
      <w:r>
        <w:rPr>
          <w:rFonts w:ascii="宋体" w:hAnsi="宋体" w:eastAsia="宋体" w:cs="宋体"/>
          <w:spacing w:val="9"/>
          <w:sz w:val="20"/>
          <w:szCs w:val="20"/>
        </w:rPr>
        <w:t>不在约定期限内派人保修的，发包人可以委托他人修理。</w:t>
      </w:r>
    </w:p>
    <w:p w14:paraId="04BBE73B">
      <w:pPr>
        <w:spacing w:before="1" w:line="227" w:lineRule="auto"/>
        <w:ind w:left="430"/>
        <w:rPr>
          <w:rFonts w:ascii="宋体" w:hAnsi="宋体" w:eastAsia="宋体" w:cs="宋体"/>
          <w:sz w:val="20"/>
          <w:szCs w:val="20"/>
        </w:rPr>
      </w:pPr>
      <w:r>
        <w:rPr>
          <w:rFonts w:ascii="宋体" w:hAnsi="宋体" w:eastAsia="宋体" w:cs="宋体"/>
          <w:spacing w:val="9"/>
          <w:sz w:val="20"/>
          <w:szCs w:val="20"/>
        </w:rPr>
        <w:t>2、发生紧急抢修事故的，承包人在接到事故通知后，应当立即到达事故现场抢修。</w:t>
      </w:r>
    </w:p>
    <w:p w14:paraId="365BEF2D">
      <w:pPr>
        <w:spacing w:before="45" w:line="267" w:lineRule="auto"/>
        <w:ind w:left="21" w:firstLine="411"/>
        <w:rPr>
          <w:rFonts w:ascii="宋体" w:hAnsi="宋体" w:eastAsia="宋体" w:cs="宋体"/>
          <w:sz w:val="20"/>
          <w:szCs w:val="20"/>
        </w:rPr>
      </w:pPr>
      <w:r>
        <w:rPr>
          <w:rFonts w:ascii="宋体" w:hAnsi="宋体" w:eastAsia="宋体" w:cs="宋体"/>
          <w:spacing w:val="7"/>
          <w:sz w:val="20"/>
          <w:szCs w:val="20"/>
        </w:rPr>
        <w:t>3、对于涉及结构安全的质量问题，应当按照《房屋建筑工程质量保修办法》的规定，立即向</w:t>
      </w:r>
      <w:r>
        <w:rPr>
          <w:rFonts w:ascii="宋体" w:hAnsi="宋体" w:eastAsia="宋体" w:cs="宋体"/>
          <w:spacing w:val="8"/>
          <w:sz w:val="20"/>
          <w:szCs w:val="20"/>
        </w:rPr>
        <w:t>当地建设行政主管部门报告，采取安全防范措施；</w:t>
      </w:r>
      <w:r>
        <w:rPr>
          <w:rFonts w:ascii="宋体" w:hAnsi="宋体" w:eastAsia="宋体" w:cs="宋体"/>
          <w:spacing w:val="-39"/>
          <w:sz w:val="20"/>
          <w:szCs w:val="20"/>
        </w:rPr>
        <w:t xml:space="preserve"> </w:t>
      </w:r>
      <w:r>
        <w:rPr>
          <w:rFonts w:ascii="宋体" w:hAnsi="宋体" w:eastAsia="宋体" w:cs="宋体"/>
          <w:spacing w:val="8"/>
          <w:sz w:val="20"/>
          <w:szCs w:val="20"/>
        </w:rPr>
        <w:t>由原设计人或者具有相应资质等级的设计人提</w:t>
      </w:r>
      <w:r>
        <w:rPr>
          <w:rFonts w:ascii="宋体" w:hAnsi="宋体" w:eastAsia="宋体" w:cs="宋体"/>
          <w:spacing w:val="7"/>
          <w:sz w:val="20"/>
          <w:szCs w:val="20"/>
        </w:rPr>
        <w:t>出保修方案，承包人实施保修。</w:t>
      </w:r>
    </w:p>
    <w:p w14:paraId="4999A442">
      <w:pPr>
        <w:spacing w:line="227" w:lineRule="auto"/>
        <w:ind w:left="427"/>
        <w:rPr>
          <w:rFonts w:ascii="宋体" w:hAnsi="宋体" w:eastAsia="宋体" w:cs="宋体"/>
          <w:sz w:val="20"/>
          <w:szCs w:val="20"/>
        </w:rPr>
      </w:pPr>
      <w:r>
        <w:rPr>
          <w:rFonts w:ascii="宋体" w:hAnsi="宋体" w:eastAsia="宋体" w:cs="宋体"/>
          <w:spacing w:val="8"/>
          <w:sz w:val="20"/>
          <w:szCs w:val="20"/>
        </w:rPr>
        <w:t>4、质量保修完成后，由发包人组织验收。</w:t>
      </w:r>
    </w:p>
    <w:p w14:paraId="376A3411">
      <w:pPr>
        <w:pStyle w:val="2"/>
        <w:spacing w:before="44" w:line="230" w:lineRule="auto"/>
        <w:ind w:left="440"/>
        <w:rPr>
          <w:sz w:val="20"/>
          <w:szCs w:val="20"/>
        </w:rPr>
      </w:pPr>
      <w:r>
        <w:rPr>
          <w:spacing w:val="6"/>
          <w:sz w:val="20"/>
          <w:szCs w:val="20"/>
        </w:rPr>
        <w:t>四、保修费用</w:t>
      </w:r>
    </w:p>
    <w:p w14:paraId="1FB8287A">
      <w:pPr>
        <w:spacing w:before="41" w:line="228" w:lineRule="auto"/>
        <w:ind w:left="429"/>
        <w:rPr>
          <w:rFonts w:ascii="宋体" w:hAnsi="宋体" w:eastAsia="宋体" w:cs="宋体"/>
          <w:sz w:val="20"/>
          <w:szCs w:val="20"/>
        </w:rPr>
      </w:pPr>
      <w:r>
        <w:rPr>
          <w:rFonts w:ascii="宋体" w:hAnsi="宋体" w:eastAsia="宋体" w:cs="宋体"/>
          <w:spacing w:val="8"/>
          <w:sz w:val="20"/>
          <w:szCs w:val="20"/>
        </w:rPr>
        <w:t>保修费用由造成质量缺陷的责任方承担。</w:t>
      </w:r>
    </w:p>
    <w:p w14:paraId="57F711E9">
      <w:pPr>
        <w:pStyle w:val="2"/>
        <w:spacing w:before="43" w:line="231" w:lineRule="auto"/>
        <w:ind w:left="433"/>
        <w:rPr>
          <w:sz w:val="20"/>
          <w:szCs w:val="20"/>
        </w:rPr>
      </w:pPr>
      <w:r>
        <w:rPr>
          <w:spacing w:val="5"/>
          <w:sz w:val="20"/>
          <w:szCs w:val="20"/>
        </w:rPr>
        <w:t>五、其他</w:t>
      </w:r>
    </w:p>
    <w:p w14:paraId="7429D655">
      <w:pPr>
        <w:spacing w:before="41" w:line="228" w:lineRule="auto"/>
        <w:ind w:left="428"/>
        <w:rPr>
          <w:rFonts w:ascii="宋体" w:hAnsi="宋体" w:eastAsia="宋体" w:cs="宋体"/>
          <w:sz w:val="20"/>
          <w:szCs w:val="20"/>
        </w:rPr>
      </w:pPr>
      <w:r>
        <w:rPr>
          <w:rFonts w:ascii="宋体" w:hAnsi="宋体" w:eastAsia="宋体" w:cs="宋体"/>
          <w:spacing w:val="8"/>
          <w:sz w:val="20"/>
          <w:szCs w:val="20"/>
        </w:rPr>
        <w:t>双方约定的其他工程保修责任事项：</w:t>
      </w:r>
    </w:p>
    <w:p w14:paraId="00857A26">
      <w:pPr>
        <w:tabs>
          <w:tab w:val="left" w:pos="8292"/>
        </w:tabs>
        <w:spacing w:before="49" w:line="268" w:lineRule="auto"/>
        <w:ind w:right="526"/>
        <w:rPr>
          <w:rFonts w:ascii="Arial" w:hAnsi="Arial" w:eastAsia="Arial" w:cs="Arial"/>
          <w:sz w:val="21"/>
          <w:szCs w:val="21"/>
        </w:rPr>
      </w:pP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p>
    <w:p w14:paraId="7AE63738">
      <w:pPr>
        <w:tabs>
          <w:tab w:val="left" w:pos="8292"/>
        </w:tabs>
        <w:spacing w:before="41"/>
        <w:rPr>
          <w:rFonts w:ascii="Arial"/>
          <w:sz w:val="21"/>
        </w:rPr>
      </w:pPr>
      <w:r>
        <w:rPr>
          <w:rFonts w:ascii="Arial" w:hAnsi="Arial" w:eastAsia="Arial" w:cs="Arial"/>
          <w:sz w:val="21"/>
          <w:szCs w:val="21"/>
          <w:u w:val="single" w:color="auto"/>
        </w:rPr>
        <w:tab/>
      </w:r>
    </w:p>
    <w:p w14:paraId="026D4E42">
      <w:pPr>
        <w:tabs>
          <w:tab w:val="left" w:pos="7139"/>
        </w:tabs>
        <w:spacing w:before="176"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183E8C6">
      <w:pPr>
        <w:spacing w:line="173" w:lineRule="auto"/>
        <w:rPr>
          <w:rFonts w:ascii="宋体" w:hAnsi="宋体" w:eastAsia="宋体" w:cs="宋体"/>
          <w:sz w:val="7"/>
          <w:szCs w:val="7"/>
        </w:rPr>
        <w:sectPr>
          <w:footerReference r:id="rId226" w:type="default"/>
          <w:pgSz w:w="11906" w:h="16839"/>
          <w:pgMar w:top="400" w:right="1554" w:bottom="1038" w:left="1531" w:header="0" w:footer="787" w:gutter="0"/>
          <w:cols w:space="720" w:num="1"/>
        </w:sectPr>
      </w:pPr>
    </w:p>
    <w:p w14:paraId="0015F0F8">
      <w:pPr>
        <w:spacing w:line="255" w:lineRule="auto"/>
        <w:rPr>
          <w:rFonts w:ascii="Arial"/>
          <w:sz w:val="21"/>
        </w:rPr>
      </w:pPr>
    </w:p>
    <w:p w14:paraId="0C055673">
      <w:pPr>
        <w:spacing w:line="256" w:lineRule="auto"/>
        <w:rPr>
          <w:rFonts w:ascii="Arial"/>
          <w:sz w:val="21"/>
        </w:rPr>
      </w:pPr>
    </w:p>
    <w:p w14:paraId="62618B52">
      <w:pPr>
        <w:spacing w:line="256" w:lineRule="auto"/>
        <w:rPr>
          <w:rFonts w:ascii="Arial"/>
          <w:sz w:val="21"/>
        </w:rPr>
      </w:pPr>
    </w:p>
    <w:p w14:paraId="413EB5F5">
      <w:pPr>
        <w:spacing w:line="256" w:lineRule="auto"/>
        <w:rPr>
          <w:rFonts w:ascii="Arial"/>
          <w:sz w:val="21"/>
        </w:rPr>
      </w:pPr>
    </w:p>
    <w:p w14:paraId="1187ADB2">
      <w:pPr>
        <w:spacing w:before="65" w:line="296" w:lineRule="auto"/>
        <w:ind w:firstLine="420"/>
        <w:rPr>
          <w:rFonts w:ascii="宋体" w:hAnsi="宋体" w:eastAsia="宋体" w:cs="宋体"/>
          <w:sz w:val="20"/>
          <w:szCs w:val="20"/>
        </w:rPr>
      </w:pPr>
      <w:r>
        <w:rPr>
          <w:rFonts w:ascii="宋体" w:hAnsi="宋体" w:eastAsia="宋体" w:cs="宋体"/>
          <w:spacing w:val="6"/>
          <w:sz w:val="20"/>
          <w:szCs w:val="20"/>
        </w:rPr>
        <w:t>本工程保修书，由施工合同发包人、承包人双方在竣工验收前共同签署，作为施工合</w:t>
      </w:r>
      <w:r>
        <w:rPr>
          <w:rFonts w:ascii="宋体" w:hAnsi="宋体" w:eastAsia="宋体" w:cs="宋体"/>
          <w:spacing w:val="5"/>
          <w:sz w:val="20"/>
          <w:szCs w:val="20"/>
        </w:rPr>
        <w:t>同附件，</w:t>
      </w:r>
      <w:r>
        <w:rPr>
          <w:rFonts w:ascii="宋体" w:hAnsi="宋体" w:eastAsia="宋体" w:cs="宋体"/>
          <w:spacing w:val="8"/>
          <w:sz w:val="20"/>
          <w:szCs w:val="20"/>
        </w:rPr>
        <w:t>其有效期限至保修期满。</w:t>
      </w:r>
    </w:p>
    <w:p w14:paraId="776A192A">
      <w:pPr>
        <w:spacing w:line="263" w:lineRule="auto"/>
        <w:rPr>
          <w:rFonts w:ascii="Arial"/>
          <w:sz w:val="21"/>
        </w:rPr>
      </w:pPr>
    </w:p>
    <w:p w14:paraId="36124F3F">
      <w:pPr>
        <w:spacing w:line="263" w:lineRule="auto"/>
        <w:rPr>
          <w:rFonts w:ascii="Arial"/>
          <w:sz w:val="21"/>
        </w:rPr>
      </w:pPr>
    </w:p>
    <w:p w14:paraId="273854E4">
      <w:pPr>
        <w:spacing w:line="263" w:lineRule="auto"/>
        <w:rPr>
          <w:rFonts w:ascii="Arial"/>
          <w:sz w:val="21"/>
        </w:rPr>
      </w:pPr>
    </w:p>
    <w:p w14:paraId="6F184A61">
      <w:pPr>
        <w:spacing w:line="263" w:lineRule="auto"/>
        <w:rPr>
          <w:rFonts w:ascii="Arial"/>
          <w:sz w:val="21"/>
        </w:rPr>
      </w:pPr>
    </w:p>
    <w:p w14:paraId="49895371">
      <w:pPr>
        <w:spacing w:line="263" w:lineRule="auto"/>
        <w:rPr>
          <w:rFonts w:ascii="Arial"/>
          <w:sz w:val="21"/>
        </w:rPr>
      </w:pPr>
    </w:p>
    <w:p w14:paraId="72249D59">
      <w:pPr>
        <w:spacing w:line="263" w:lineRule="auto"/>
        <w:rPr>
          <w:rFonts w:ascii="Arial"/>
          <w:sz w:val="21"/>
        </w:rPr>
      </w:pPr>
    </w:p>
    <w:p w14:paraId="260A4827">
      <w:pPr>
        <w:spacing w:line="264" w:lineRule="auto"/>
        <w:rPr>
          <w:rFonts w:ascii="Arial"/>
          <w:sz w:val="21"/>
        </w:rPr>
      </w:pPr>
    </w:p>
    <w:p w14:paraId="2DFF6AD5">
      <w:pPr>
        <w:spacing w:before="65" w:line="227" w:lineRule="auto"/>
        <w:ind w:left="422"/>
        <w:rPr>
          <w:rFonts w:ascii="宋体" w:hAnsi="宋体" w:eastAsia="宋体" w:cs="宋体"/>
          <w:sz w:val="20"/>
          <w:szCs w:val="20"/>
        </w:rPr>
      </w:pPr>
      <w:r>
        <w:rPr>
          <w:rFonts w:ascii="宋体" w:hAnsi="宋体" w:eastAsia="宋体" w:cs="宋体"/>
          <w:spacing w:val="11"/>
          <w:sz w:val="20"/>
          <w:szCs w:val="20"/>
        </w:rPr>
        <w:t>发包人</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公章）  承包人</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25"/>
          <w:sz w:val="20"/>
          <w:szCs w:val="20"/>
        </w:rPr>
        <w:t xml:space="preserve"> </w:t>
      </w:r>
      <w:r>
        <w:rPr>
          <w:rFonts w:ascii="宋体" w:hAnsi="宋体" w:eastAsia="宋体" w:cs="宋体"/>
          <w:spacing w:val="-5"/>
          <w:sz w:val="20"/>
          <w:szCs w:val="20"/>
        </w:rPr>
        <w:t>（</w:t>
      </w:r>
      <w:r>
        <w:rPr>
          <w:rFonts w:ascii="宋体" w:hAnsi="宋体" w:eastAsia="宋体" w:cs="宋体"/>
          <w:spacing w:val="11"/>
          <w:sz w:val="20"/>
          <w:szCs w:val="20"/>
        </w:rPr>
        <w:t>公章）</w:t>
      </w:r>
    </w:p>
    <w:p w14:paraId="27EE53EB">
      <w:pPr>
        <w:spacing w:before="73" w:line="228" w:lineRule="auto"/>
        <w:ind w:left="420"/>
        <w:rPr>
          <w:rFonts w:ascii="宋体" w:hAnsi="宋体" w:eastAsia="宋体" w:cs="宋体"/>
          <w:sz w:val="20"/>
          <w:szCs w:val="20"/>
        </w:rPr>
      </w:pPr>
      <w:r>
        <w:rPr>
          <w:rFonts w:ascii="宋体" w:hAnsi="宋体" w:eastAsia="宋体" w:cs="宋体"/>
          <w:spacing w:val="4"/>
          <w:sz w:val="20"/>
          <w:szCs w:val="20"/>
        </w:rPr>
        <w:t>法定地址：</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法定地址：</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44D17E92">
      <w:pPr>
        <w:spacing w:before="71" w:line="228" w:lineRule="auto"/>
        <w:ind w:left="420"/>
        <w:rPr>
          <w:rFonts w:ascii="宋体" w:hAnsi="宋体" w:eastAsia="宋体" w:cs="宋体"/>
          <w:sz w:val="20"/>
          <w:szCs w:val="20"/>
        </w:rPr>
      </w:pPr>
      <w:r>
        <w:rPr>
          <w:rFonts w:ascii="宋体" w:hAnsi="宋体" w:eastAsia="宋体" w:cs="宋体"/>
          <w:spacing w:val="7"/>
          <w:sz w:val="20"/>
          <w:szCs w:val="20"/>
        </w:rPr>
        <w:t xml:space="preserve">法定代表人或其            </w:t>
      </w:r>
      <w:r>
        <w:rPr>
          <w:rFonts w:ascii="宋体" w:hAnsi="宋体" w:eastAsia="宋体" w:cs="宋体"/>
          <w:spacing w:val="6"/>
          <w:sz w:val="20"/>
          <w:szCs w:val="20"/>
        </w:rPr>
        <w:t xml:space="preserve">             法定代表人或其</w:t>
      </w:r>
    </w:p>
    <w:p w14:paraId="16715CC2">
      <w:pPr>
        <w:spacing w:before="74" w:line="228" w:lineRule="auto"/>
        <w:ind w:left="418"/>
        <w:rPr>
          <w:rFonts w:ascii="宋体" w:hAnsi="宋体" w:eastAsia="宋体" w:cs="宋体"/>
          <w:sz w:val="20"/>
          <w:szCs w:val="20"/>
        </w:rPr>
      </w:pPr>
      <w:r>
        <w:rPr>
          <w:rFonts w:ascii="宋体" w:hAnsi="宋体" w:eastAsia="宋体" w:cs="宋体"/>
          <w:spacing w:val="11"/>
          <w:sz w:val="20"/>
          <w:szCs w:val="20"/>
        </w:rPr>
        <w:t>委托代理人</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签字）  委托代理人</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 xml:space="preserve"> </w:t>
      </w:r>
      <w:r>
        <w:rPr>
          <w:rFonts w:ascii="宋体" w:hAnsi="宋体" w:eastAsia="宋体" w:cs="宋体"/>
          <w:spacing w:val="-4"/>
          <w:sz w:val="20"/>
          <w:szCs w:val="20"/>
        </w:rPr>
        <w:t>（</w:t>
      </w:r>
      <w:r>
        <w:rPr>
          <w:rFonts w:ascii="宋体" w:hAnsi="宋体" w:eastAsia="宋体" w:cs="宋体"/>
          <w:spacing w:val="11"/>
          <w:sz w:val="20"/>
          <w:szCs w:val="20"/>
        </w:rPr>
        <w:t>签字）</w:t>
      </w:r>
    </w:p>
    <w:p w14:paraId="2D4DF757">
      <w:pPr>
        <w:spacing w:before="73" w:line="230" w:lineRule="auto"/>
        <w:ind w:left="443"/>
        <w:rPr>
          <w:rFonts w:ascii="宋体" w:hAnsi="宋体" w:eastAsia="宋体" w:cs="宋体"/>
          <w:sz w:val="20"/>
          <w:szCs w:val="20"/>
        </w:rPr>
      </w:pPr>
      <w:r>
        <w:rPr>
          <w:rFonts w:ascii="宋体" w:hAnsi="宋体" w:eastAsia="宋体" w:cs="宋体"/>
          <w:spacing w:val="-1"/>
          <w:sz w:val="20"/>
          <w:szCs w:val="20"/>
        </w:rPr>
        <w:t>电话：</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w:t>
      </w:r>
      <w:r>
        <w:rPr>
          <w:rFonts w:ascii="宋体" w:hAnsi="宋体" w:eastAsia="宋体" w:cs="宋体"/>
          <w:spacing w:val="-2"/>
          <w:sz w:val="20"/>
          <w:szCs w:val="20"/>
        </w:rPr>
        <w:t>电话：</w:t>
      </w:r>
      <w:r>
        <w:rPr>
          <w:rFonts w:ascii="宋体" w:hAnsi="宋体" w:eastAsia="宋体" w:cs="宋体"/>
          <w:spacing w:val="-2"/>
          <w:sz w:val="20"/>
          <w:szCs w:val="20"/>
          <w:u w:val="single" w:color="auto"/>
        </w:rPr>
        <w:t xml:space="preserve">                         </w:t>
      </w:r>
    </w:p>
    <w:p w14:paraId="6978DB9D">
      <w:pPr>
        <w:spacing w:before="70" w:line="227" w:lineRule="auto"/>
        <w:ind w:left="417"/>
        <w:rPr>
          <w:rFonts w:ascii="宋体" w:hAnsi="宋体" w:eastAsia="宋体" w:cs="宋体"/>
          <w:sz w:val="20"/>
          <w:szCs w:val="20"/>
        </w:rPr>
      </w:pPr>
      <w:r>
        <w:rPr>
          <w:rFonts w:ascii="宋体" w:hAnsi="宋体" w:eastAsia="宋体" w:cs="宋体"/>
          <w:spacing w:val="3"/>
          <w:sz w:val="20"/>
          <w:szCs w:val="20"/>
        </w:rPr>
        <w:t>传真：</w:t>
      </w:r>
      <w:r>
        <w:rPr>
          <w:rFonts w:ascii="宋体" w:hAnsi="宋体" w:eastAsia="宋体" w:cs="宋体"/>
          <w:spacing w:val="3"/>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3"/>
          <w:sz w:val="20"/>
          <w:szCs w:val="20"/>
        </w:rPr>
        <w:t>传真：</w:t>
      </w:r>
      <w:r>
        <w:rPr>
          <w:rFonts w:ascii="宋体" w:hAnsi="宋体" w:eastAsia="宋体" w:cs="宋体"/>
          <w:spacing w:val="3"/>
          <w:sz w:val="20"/>
          <w:szCs w:val="20"/>
          <w:u w:val="single" w:color="auto"/>
        </w:rPr>
        <w:t xml:space="preserve">                        </w:t>
      </w:r>
    </w:p>
    <w:p w14:paraId="2C23E499">
      <w:pPr>
        <w:spacing w:before="76" w:line="228" w:lineRule="auto"/>
        <w:ind w:left="443"/>
        <w:rPr>
          <w:rFonts w:ascii="宋体" w:hAnsi="宋体" w:eastAsia="宋体" w:cs="宋体"/>
          <w:sz w:val="20"/>
          <w:szCs w:val="20"/>
        </w:rPr>
      </w:pPr>
      <w:r>
        <w:rPr>
          <w:rFonts w:ascii="宋体" w:hAnsi="宋体" w:eastAsia="宋体" w:cs="宋体"/>
          <w:spacing w:val="3"/>
          <w:sz w:val="20"/>
          <w:szCs w:val="20"/>
        </w:rPr>
        <w:t>电子邮箱：</w:t>
      </w:r>
      <w:r>
        <w:rPr>
          <w:rFonts w:ascii="宋体" w:hAnsi="宋体" w:eastAsia="宋体" w:cs="宋体"/>
          <w:spacing w:val="5"/>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3"/>
          <w:sz w:val="20"/>
          <w:szCs w:val="20"/>
        </w:rPr>
        <w:t>电子邮箱：</w:t>
      </w:r>
      <w:r>
        <w:rPr>
          <w:rFonts w:ascii="宋体" w:hAnsi="宋体" w:eastAsia="宋体" w:cs="宋体"/>
          <w:sz w:val="20"/>
          <w:szCs w:val="20"/>
          <w:u w:val="single" w:color="auto"/>
        </w:rPr>
        <w:t xml:space="preserve">                    </w:t>
      </w:r>
    </w:p>
    <w:p w14:paraId="0FFA5E5A">
      <w:pPr>
        <w:spacing w:before="72" w:line="228" w:lineRule="auto"/>
        <w:ind w:left="420"/>
        <w:rPr>
          <w:rFonts w:ascii="宋体" w:hAnsi="宋体" w:eastAsia="宋体" w:cs="宋体"/>
          <w:sz w:val="20"/>
          <w:szCs w:val="20"/>
        </w:rPr>
      </w:pPr>
      <w:r>
        <w:rPr>
          <w:rFonts w:ascii="宋体" w:hAnsi="宋体" w:eastAsia="宋体" w:cs="宋体"/>
          <w:spacing w:val="4"/>
          <w:sz w:val="20"/>
          <w:szCs w:val="20"/>
        </w:rPr>
        <w:t>开户银行：</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开户银行：</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4419E594">
      <w:pPr>
        <w:spacing w:before="72" w:line="229" w:lineRule="auto"/>
        <w:ind w:left="422"/>
        <w:rPr>
          <w:rFonts w:ascii="宋体" w:hAnsi="宋体" w:eastAsia="宋体" w:cs="宋体"/>
          <w:sz w:val="20"/>
          <w:szCs w:val="20"/>
        </w:rPr>
      </w:pPr>
      <w:r>
        <w:rPr>
          <w:rFonts w:ascii="宋体" w:hAnsi="宋体" w:eastAsia="宋体" w:cs="宋体"/>
          <w:spacing w:val="6"/>
          <w:sz w:val="20"/>
          <w:szCs w:val="20"/>
        </w:rPr>
        <w:t>账号：</w:t>
      </w:r>
      <w:r>
        <w:rPr>
          <w:rFonts w:ascii="宋体" w:hAnsi="宋体" w:eastAsia="宋体" w:cs="宋体"/>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6"/>
          <w:sz w:val="20"/>
          <w:szCs w:val="20"/>
        </w:rPr>
        <w:t>账号：</w:t>
      </w:r>
      <w:r>
        <w:rPr>
          <w:rFonts w:ascii="宋体" w:hAnsi="宋体" w:eastAsia="宋体" w:cs="宋体"/>
          <w:sz w:val="20"/>
          <w:szCs w:val="20"/>
          <w:u w:val="single" w:color="auto"/>
        </w:rPr>
        <w:t xml:space="preserve">                         </w:t>
      </w:r>
    </w:p>
    <w:p w14:paraId="3E316E97">
      <w:pPr>
        <w:spacing w:before="73" w:line="228" w:lineRule="auto"/>
        <w:ind w:left="434"/>
        <w:rPr>
          <w:rFonts w:ascii="宋体" w:hAnsi="宋体" w:eastAsia="宋体" w:cs="宋体"/>
          <w:sz w:val="20"/>
          <w:szCs w:val="20"/>
        </w:rPr>
      </w:pPr>
      <w:r>
        <w:rPr>
          <w:rFonts w:ascii="宋体" w:hAnsi="宋体" w:eastAsia="宋体" w:cs="宋体"/>
          <w:spacing w:val="5"/>
          <w:sz w:val="20"/>
          <w:szCs w:val="20"/>
        </w:rPr>
        <w:t>邮政编码：</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5"/>
          <w:sz w:val="20"/>
          <w:szCs w:val="20"/>
        </w:rPr>
        <w:t>邮政编码：</w:t>
      </w:r>
      <w:r>
        <w:rPr>
          <w:rFonts w:ascii="宋体" w:hAnsi="宋体" w:eastAsia="宋体" w:cs="宋体"/>
          <w:sz w:val="20"/>
          <w:szCs w:val="20"/>
          <w:u w:val="single" w:color="auto"/>
        </w:rPr>
        <w:t xml:space="preserve">                    </w:t>
      </w:r>
    </w:p>
    <w:p w14:paraId="1E9A5645">
      <w:pPr>
        <w:spacing w:line="228" w:lineRule="auto"/>
        <w:rPr>
          <w:rFonts w:ascii="宋体" w:hAnsi="宋体" w:eastAsia="宋体" w:cs="宋体"/>
          <w:sz w:val="20"/>
          <w:szCs w:val="20"/>
        </w:rPr>
        <w:sectPr>
          <w:footerReference r:id="rId227" w:type="default"/>
          <w:pgSz w:w="11906" w:h="16839"/>
          <w:pgMar w:top="400" w:right="1502" w:bottom="1038" w:left="1540" w:header="0" w:footer="787" w:gutter="0"/>
          <w:cols w:space="720" w:num="1"/>
        </w:sectPr>
      </w:pPr>
    </w:p>
    <w:p w14:paraId="0CB4EF54">
      <w:pPr>
        <w:spacing w:line="261" w:lineRule="auto"/>
        <w:rPr>
          <w:rFonts w:ascii="Arial"/>
          <w:sz w:val="21"/>
        </w:rPr>
      </w:pPr>
    </w:p>
    <w:p w14:paraId="4B1DFA5F">
      <w:pPr>
        <w:spacing w:line="262" w:lineRule="auto"/>
        <w:rPr>
          <w:rFonts w:ascii="Arial"/>
          <w:sz w:val="21"/>
        </w:rPr>
      </w:pPr>
    </w:p>
    <w:p w14:paraId="68828347">
      <w:pPr>
        <w:spacing w:line="262" w:lineRule="auto"/>
        <w:rPr>
          <w:rFonts w:ascii="Arial"/>
          <w:sz w:val="21"/>
        </w:rPr>
      </w:pPr>
    </w:p>
    <w:p w14:paraId="3F6FAFB1">
      <w:pPr>
        <w:spacing w:line="262" w:lineRule="auto"/>
        <w:rPr>
          <w:rFonts w:ascii="Arial"/>
          <w:sz w:val="21"/>
        </w:rPr>
      </w:pPr>
    </w:p>
    <w:p w14:paraId="20789C38">
      <w:pPr>
        <w:pStyle w:val="2"/>
        <w:spacing w:before="78" w:line="221" w:lineRule="auto"/>
        <w:ind w:left="14"/>
        <w:rPr>
          <w:sz w:val="24"/>
          <w:szCs w:val="24"/>
        </w:rPr>
      </w:pPr>
      <w:r>
        <w:rPr>
          <w:spacing w:val="-3"/>
          <w:sz w:val="24"/>
          <w:szCs w:val="24"/>
        </w:rPr>
        <w:t>附件六：廉政责任书格式</w:t>
      </w:r>
    </w:p>
    <w:p w14:paraId="328194D3">
      <w:pPr>
        <w:spacing w:line="304" w:lineRule="auto"/>
        <w:rPr>
          <w:rFonts w:ascii="Arial"/>
          <w:sz w:val="21"/>
        </w:rPr>
      </w:pPr>
    </w:p>
    <w:p w14:paraId="1517166E">
      <w:pPr>
        <w:pStyle w:val="2"/>
        <w:spacing w:before="91" w:line="222" w:lineRule="auto"/>
        <w:ind w:left="3432"/>
        <w:rPr>
          <w:sz w:val="28"/>
          <w:szCs w:val="28"/>
        </w:rPr>
      </w:pPr>
      <w:r>
        <w:rPr>
          <w:spacing w:val="-2"/>
          <w:sz w:val="28"/>
          <w:szCs w:val="28"/>
        </w:rPr>
        <w:t>建设工程廉政责任书</w:t>
      </w:r>
    </w:p>
    <w:p w14:paraId="3B60C87C">
      <w:pPr>
        <w:spacing w:line="297" w:lineRule="auto"/>
        <w:rPr>
          <w:rFonts w:ascii="Arial"/>
          <w:sz w:val="21"/>
        </w:rPr>
      </w:pPr>
    </w:p>
    <w:p w14:paraId="79D75F67">
      <w:pPr>
        <w:spacing w:before="65" w:line="228" w:lineRule="auto"/>
        <w:ind w:left="423"/>
        <w:rPr>
          <w:rFonts w:ascii="宋体" w:hAnsi="宋体" w:eastAsia="宋体" w:cs="宋体"/>
          <w:sz w:val="20"/>
          <w:szCs w:val="20"/>
        </w:rPr>
      </w:pPr>
      <w:r>
        <w:rPr>
          <w:rFonts w:ascii="宋体" w:hAnsi="宋体" w:eastAsia="宋体" w:cs="宋体"/>
          <w:spacing w:val="3"/>
          <w:sz w:val="20"/>
          <w:szCs w:val="20"/>
        </w:rPr>
        <w:t>发包人：</w:t>
      </w:r>
      <w:r>
        <w:rPr>
          <w:rFonts w:ascii="宋体" w:hAnsi="宋体" w:eastAsia="宋体" w:cs="宋体"/>
          <w:spacing w:val="3"/>
          <w:sz w:val="20"/>
          <w:szCs w:val="20"/>
          <w:u w:val="single" w:color="auto"/>
        </w:rPr>
        <w:t xml:space="preserve">                                                </w:t>
      </w:r>
    </w:p>
    <w:p w14:paraId="1BCBFDAF">
      <w:pPr>
        <w:spacing w:before="52" w:line="228" w:lineRule="auto"/>
        <w:ind w:left="420"/>
        <w:rPr>
          <w:rFonts w:ascii="宋体" w:hAnsi="宋体" w:eastAsia="宋体" w:cs="宋体"/>
          <w:sz w:val="20"/>
          <w:szCs w:val="20"/>
        </w:rPr>
      </w:pPr>
      <w:r>
        <w:rPr>
          <w:rFonts w:ascii="宋体" w:hAnsi="宋体" w:eastAsia="宋体" w:cs="宋体"/>
          <w:spacing w:val="7"/>
          <w:sz w:val="20"/>
          <w:szCs w:val="20"/>
        </w:rPr>
        <w:t>承包人：</w:t>
      </w:r>
      <w:r>
        <w:rPr>
          <w:rFonts w:ascii="宋体" w:hAnsi="宋体" w:eastAsia="宋体" w:cs="宋体"/>
          <w:sz w:val="20"/>
          <w:szCs w:val="20"/>
          <w:u w:val="single" w:color="auto"/>
        </w:rPr>
        <w:t xml:space="preserve">                                                  </w:t>
      </w:r>
    </w:p>
    <w:p w14:paraId="1E588A88">
      <w:pPr>
        <w:spacing w:before="53" w:line="277" w:lineRule="auto"/>
        <w:ind w:left="4" w:right="71" w:firstLine="418"/>
        <w:rPr>
          <w:rFonts w:ascii="宋体" w:hAnsi="宋体" w:eastAsia="宋体" w:cs="宋体"/>
          <w:sz w:val="20"/>
          <w:szCs w:val="20"/>
        </w:rPr>
      </w:pPr>
      <w:r>
        <w:rPr>
          <w:rFonts w:ascii="宋体" w:hAnsi="宋体" w:eastAsia="宋体" w:cs="宋体"/>
          <w:spacing w:val="10"/>
          <w:sz w:val="20"/>
          <w:szCs w:val="20"/>
        </w:rPr>
        <w:t>为加强建设工程廉政建设，规范建设工程各项活动中发包人承包</w:t>
      </w:r>
      <w:r>
        <w:rPr>
          <w:rFonts w:ascii="宋体" w:hAnsi="宋体" w:eastAsia="宋体" w:cs="宋体"/>
          <w:spacing w:val="9"/>
          <w:sz w:val="20"/>
          <w:szCs w:val="20"/>
        </w:rPr>
        <w:t>人双方的行为，防止谋取不</w:t>
      </w:r>
      <w:r>
        <w:rPr>
          <w:rFonts w:ascii="宋体" w:hAnsi="宋体" w:eastAsia="宋体" w:cs="宋体"/>
          <w:spacing w:val="10"/>
          <w:sz w:val="20"/>
          <w:szCs w:val="20"/>
        </w:rPr>
        <w:t>正当利益的违法违纪现象的发生，保护国家、集体和当事人的合</w:t>
      </w:r>
      <w:r>
        <w:rPr>
          <w:rFonts w:ascii="宋体" w:hAnsi="宋体" w:eastAsia="宋体" w:cs="宋体"/>
          <w:spacing w:val="9"/>
          <w:sz w:val="20"/>
          <w:szCs w:val="20"/>
        </w:rPr>
        <w:t>法权益，根据国家有关工程建设的法律法规和廉政建设的有关规定，订立本廉政责任书。</w:t>
      </w:r>
    </w:p>
    <w:p w14:paraId="669B416B">
      <w:pPr>
        <w:pStyle w:val="2"/>
        <w:spacing w:line="229" w:lineRule="auto"/>
        <w:ind w:left="423"/>
        <w:rPr>
          <w:sz w:val="20"/>
          <w:szCs w:val="20"/>
        </w:rPr>
      </w:pPr>
      <w:r>
        <w:rPr>
          <w:spacing w:val="8"/>
          <w:sz w:val="20"/>
          <w:szCs w:val="20"/>
        </w:rPr>
        <w:t>一、双方的责任</w:t>
      </w:r>
    </w:p>
    <w:p w14:paraId="3A6D4229">
      <w:pPr>
        <w:spacing w:before="51" w:line="228" w:lineRule="auto"/>
        <w:jc w:val="right"/>
        <w:rPr>
          <w:rFonts w:ascii="宋体" w:hAnsi="宋体" w:eastAsia="宋体" w:cs="宋体"/>
          <w:sz w:val="20"/>
          <w:szCs w:val="20"/>
        </w:rPr>
      </w:pPr>
      <w:r>
        <w:rPr>
          <w:rFonts w:ascii="宋体" w:hAnsi="宋体" w:eastAsia="宋体" w:cs="宋体"/>
          <w:spacing w:val="7"/>
          <w:sz w:val="20"/>
          <w:szCs w:val="20"/>
        </w:rPr>
        <w:t>1.1</w:t>
      </w:r>
      <w:r>
        <w:rPr>
          <w:rFonts w:ascii="宋体" w:hAnsi="宋体" w:eastAsia="宋体" w:cs="宋体"/>
          <w:spacing w:val="-40"/>
          <w:sz w:val="20"/>
          <w:szCs w:val="20"/>
        </w:rPr>
        <w:t xml:space="preserve"> </w:t>
      </w:r>
      <w:r>
        <w:rPr>
          <w:rFonts w:ascii="宋体" w:hAnsi="宋体" w:eastAsia="宋体" w:cs="宋体"/>
          <w:spacing w:val="7"/>
          <w:sz w:val="20"/>
          <w:szCs w:val="20"/>
        </w:rPr>
        <w:t>应严格遵守国家关于建设工程的有关法律、法规，相关政策，以及廉政</w:t>
      </w:r>
      <w:r>
        <w:rPr>
          <w:rFonts w:ascii="宋体" w:hAnsi="宋体" w:eastAsia="宋体" w:cs="宋体"/>
          <w:spacing w:val="6"/>
          <w:sz w:val="20"/>
          <w:szCs w:val="20"/>
        </w:rPr>
        <w:t>建设的各项规定。</w:t>
      </w:r>
    </w:p>
    <w:p w14:paraId="2279FF77">
      <w:pPr>
        <w:spacing w:before="53" w:line="228" w:lineRule="auto"/>
        <w:ind w:left="435"/>
        <w:rPr>
          <w:rFonts w:ascii="宋体" w:hAnsi="宋体" w:eastAsia="宋体" w:cs="宋体"/>
          <w:sz w:val="20"/>
          <w:szCs w:val="20"/>
        </w:rPr>
      </w:pPr>
      <w:r>
        <w:rPr>
          <w:rFonts w:ascii="宋体" w:hAnsi="宋体" w:eastAsia="宋体" w:cs="宋体"/>
          <w:spacing w:val="5"/>
          <w:sz w:val="20"/>
          <w:szCs w:val="20"/>
        </w:rPr>
        <w:t>1.2</w:t>
      </w:r>
      <w:r>
        <w:rPr>
          <w:rFonts w:ascii="宋体" w:hAnsi="宋体" w:eastAsia="宋体" w:cs="宋体"/>
          <w:spacing w:val="-29"/>
          <w:sz w:val="20"/>
          <w:szCs w:val="20"/>
        </w:rPr>
        <w:t xml:space="preserve"> </w:t>
      </w:r>
      <w:r>
        <w:rPr>
          <w:rFonts w:ascii="宋体" w:hAnsi="宋体" w:eastAsia="宋体" w:cs="宋体"/>
          <w:spacing w:val="5"/>
          <w:sz w:val="20"/>
          <w:szCs w:val="20"/>
        </w:rPr>
        <w:t>严格执行建设工程合同文件，</w:t>
      </w:r>
      <w:r>
        <w:rPr>
          <w:rFonts w:ascii="宋体" w:hAnsi="宋体" w:eastAsia="宋体" w:cs="宋体"/>
          <w:spacing w:val="-51"/>
          <w:sz w:val="20"/>
          <w:szCs w:val="20"/>
        </w:rPr>
        <w:t xml:space="preserve"> </w:t>
      </w:r>
      <w:r>
        <w:rPr>
          <w:rFonts w:ascii="宋体" w:hAnsi="宋体" w:eastAsia="宋体" w:cs="宋体"/>
          <w:spacing w:val="5"/>
          <w:sz w:val="20"/>
          <w:szCs w:val="20"/>
        </w:rPr>
        <w:t>自觉按合同办事。</w:t>
      </w:r>
    </w:p>
    <w:p w14:paraId="66A9329A">
      <w:pPr>
        <w:spacing w:before="53" w:line="277" w:lineRule="auto"/>
        <w:ind w:left="3" w:right="71" w:firstLine="432"/>
        <w:rPr>
          <w:rFonts w:ascii="宋体" w:hAnsi="宋体" w:eastAsia="宋体" w:cs="宋体"/>
          <w:sz w:val="20"/>
          <w:szCs w:val="20"/>
        </w:rPr>
      </w:pPr>
      <w:r>
        <w:rPr>
          <w:rFonts w:ascii="宋体" w:hAnsi="宋体" w:eastAsia="宋体" w:cs="宋体"/>
          <w:spacing w:val="9"/>
          <w:sz w:val="20"/>
          <w:szCs w:val="20"/>
        </w:rPr>
        <w:t>1.3</w:t>
      </w:r>
      <w:r>
        <w:rPr>
          <w:rFonts w:ascii="宋体" w:hAnsi="宋体" w:eastAsia="宋体" w:cs="宋体"/>
          <w:spacing w:val="-37"/>
          <w:sz w:val="20"/>
          <w:szCs w:val="20"/>
        </w:rPr>
        <w:t xml:space="preserve"> </w:t>
      </w:r>
      <w:r>
        <w:rPr>
          <w:rFonts w:ascii="宋体" w:hAnsi="宋体" w:eastAsia="宋体" w:cs="宋体"/>
          <w:spacing w:val="9"/>
          <w:sz w:val="20"/>
          <w:szCs w:val="20"/>
        </w:rPr>
        <w:t>各项活动必须坚持公开、公平、公正、诚信、透明的原则（</w:t>
      </w:r>
      <w:r>
        <w:rPr>
          <w:rFonts w:ascii="宋体" w:hAnsi="宋体" w:eastAsia="宋体" w:cs="宋体"/>
          <w:spacing w:val="8"/>
          <w:sz w:val="20"/>
          <w:szCs w:val="20"/>
        </w:rPr>
        <w:t>除法律法规另有规定者外</w:t>
      </w:r>
      <w:r>
        <w:rPr>
          <w:rFonts w:ascii="宋体" w:hAnsi="宋体" w:eastAsia="宋体" w:cs="宋体"/>
          <w:spacing w:val="-47"/>
          <w:w w:val="89"/>
          <w:sz w:val="20"/>
          <w:szCs w:val="20"/>
        </w:rPr>
        <w:t>），</w:t>
      </w:r>
      <w:r>
        <w:rPr>
          <w:rFonts w:ascii="宋体" w:hAnsi="宋体" w:eastAsia="宋体" w:cs="宋体"/>
          <w:spacing w:val="9"/>
          <w:sz w:val="20"/>
          <w:szCs w:val="20"/>
        </w:rPr>
        <w:t>不得为获取不正当的利益，损害国家、集体和对方利益，不得违反建设工程管理的规章制度。</w:t>
      </w:r>
    </w:p>
    <w:p w14:paraId="60552476">
      <w:pPr>
        <w:spacing w:before="2" w:line="276" w:lineRule="auto"/>
        <w:ind w:left="21" w:right="73" w:firstLine="414"/>
        <w:rPr>
          <w:rFonts w:ascii="宋体" w:hAnsi="宋体" w:eastAsia="宋体" w:cs="宋体"/>
          <w:sz w:val="20"/>
          <w:szCs w:val="20"/>
        </w:rPr>
      </w:pPr>
      <w:r>
        <w:rPr>
          <w:rFonts w:ascii="宋体" w:hAnsi="宋体" w:eastAsia="宋体" w:cs="宋体"/>
          <w:spacing w:val="10"/>
          <w:sz w:val="20"/>
          <w:szCs w:val="20"/>
        </w:rPr>
        <w:t>1.4</w:t>
      </w:r>
      <w:r>
        <w:rPr>
          <w:rFonts w:ascii="宋体" w:hAnsi="宋体" w:eastAsia="宋体" w:cs="宋体"/>
          <w:spacing w:val="-37"/>
          <w:sz w:val="20"/>
          <w:szCs w:val="20"/>
        </w:rPr>
        <w:t xml:space="preserve"> </w:t>
      </w:r>
      <w:r>
        <w:rPr>
          <w:rFonts w:ascii="宋体" w:hAnsi="宋体" w:eastAsia="宋体" w:cs="宋体"/>
          <w:spacing w:val="10"/>
          <w:sz w:val="20"/>
          <w:szCs w:val="20"/>
        </w:rPr>
        <w:t>发现对方在业务活动中有违规、违纪、违法行为的，应及时提醒对方，情节严重的，应</w:t>
      </w:r>
      <w:r>
        <w:rPr>
          <w:rFonts w:ascii="宋体" w:hAnsi="宋体" w:eastAsia="宋体" w:cs="宋体"/>
          <w:spacing w:val="8"/>
          <w:sz w:val="20"/>
          <w:szCs w:val="20"/>
        </w:rPr>
        <w:t>向其上级主管部门或纪检监察、司法等有关机关举报。</w:t>
      </w:r>
    </w:p>
    <w:p w14:paraId="24F62E8B">
      <w:pPr>
        <w:pStyle w:val="2"/>
        <w:spacing w:before="1" w:line="229" w:lineRule="auto"/>
        <w:ind w:left="423"/>
        <w:rPr>
          <w:sz w:val="20"/>
          <w:szCs w:val="20"/>
        </w:rPr>
      </w:pPr>
      <w:r>
        <w:rPr>
          <w:spacing w:val="8"/>
          <w:sz w:val="20"/>
          <w:szCs w:val="20"/>
        </w:rPr>
        <w:t>二、发包人责任</w:t>
      </w:r>
    </w:p>
    <w:p w14:paraId="5D773FF6">
      <w:pPr>
        <w:spacing w:before="51" w:line="277" w:lineRule="auto"/>
        <w:ind w:left="6" w:right="71" w:firstLine="416"/>
        <w:rPr>
          <w:rFonts w:ascii="宋体" w:hAnsi="宋体" w:eastAsia="宋体" w:cs="宋体"/>
          <w:sz w:val="20"/>
          <w:szCs w:val="20"/>
        </w:rPr>
      </w:pPr>
      <w:r>
        <w:rPr>
          <w:rFonts w:ascii="宋体" w:hAnsi="宋体" w:eastAsia="宋体" w:cs="宋体"/>
          <w:spacing w:val="10"/>
          <w:sz w:val="20"/>
          <w:szCs w:val="20"/>
        </w:rPr>
        <w:t>发包人的领导和从事该建设工程项目的工作人员，在工程建设</w:t>
      </w:r>
      <w:r>
        <w:rPr>
          <w:rFonts w:ascii="宋体" w:hAnsi="宋体" w:eastAsia="宋体" w:cs="宋体"/>
          <w:spacing w:val="9"/>
          <w:sz w:val="20"/>
          <w:szCs w:val="20"/>
        </w:rPr>
        <w:t>的事前、事中、事后应遵守以</w:t>
      </w:r>
      <w:r>
        <w:rPr>
          <w:rFonts w:ascii="宋体" w:hAnsi="宋体" w:eastAsia="宋体" w:cs="宋体"/>
          <w:spacing w:val="3"/>
          <w:sz w:val="20"/>
          <w:szCs w:val="20"/>
        </w:rPr>
        <w:t>下规定：</w:t>
      </w:r>
    </w:p>
    <w:p w14:paraId="1CDF1717">
      <w:pPr>
        <w:spacing w:before="2" w:line="276" w:lineRule="auto"/>
        <w:ind w:left="11" w:right="73" w:firstLine="411"/>
        <w:rPr>
          <w:rFonts w:ascii="宋体" w:hAnsi="宋体" w:eastAsia="宋体" w:cs="宋体"/>
          <w:sz w:val="20"/>
          <w:szCs w:val="20"/>
        </w:rPr>
      </w:pPr>
      <w:r>
        <w:rPr>
          <w:rFonts w:ascii="宋体" w:hAnsi="宋体" w:eastAsia="宋体" w:cs="宋体"/>
          <w:spacing w:val="10"/>
          <w:sz w:val="20"/>
          <w:szCs w:val="20"/>
        </w:rPr>
        <w:t>2.1</w:t>
      </w:r>
      <w:r>
        <w:rPr>
          <w:rFonts w:ascii="宋体" w:hAnsi="宋体" w:eastAsia="宋体" w:cs="宋体"/>
          <w:spacing w:val="-25"/>
          <w:sz w:val="20"/>
          <w:szCs w:val="20"/>
        </w:rPr>
        <w:t xml:space="preserve"> </w:t>
      </w:r>
      <w:r>
        <w:rPr>
          <w:rFonts w:ascii="宋体" w:hAnsi="宋体" w:eastAsia="宋体" w:cs="宋体"/>
          <w:spacing w:val="10"/>
          <w:sz w:val="20"/>
          <w:szCs w:val="20"/>
        </w:rPr>
        <w:t>不得向承包人和相关单位索要或接受回扣、礼金、有价证券、贵重物品和好处费、感谢</w:t>
      </w:r>
      <w:r>
        <w:rPr>
          <w:rFonts w:ascii="宋体" w:hAnsi="宋体" w:eastAsia="宋体" w:cs="宋体"/>
          <w:spacing w:val="-1"/>
          <w:sz w:val="20"/>
          <w:szCs w:val="20"/>
        </w:rPr>
        <w:t>费等。</w:t>
      </w:r>
    </w:p>
    <w:p w14:paraId="00B5AF88">
      <w:pPr>
        <w:spacing w:before="1" w:line="227" w:lineRule="auto"/>
        <w:ind w:left="422"/>
        <w:rPr>
          <w:rFonts w:ascii="宋体" w:hAnsi="宋体" w:eastAsia="宋体" w:cs="宋体"/>
          <w:sz w:val="20"/>
          <w:szCs w:val="20"/>
        </w:rPr>
      </w:pPr>
      <w:r>
        <w:rPr>
          <w:rFonts w:ascii="宋体" w:hAnsi="宋体" w:eastAsia="宋体" w:cs="宋体"/>
          <w:spacing w:val="8"/>
          <w:sz w:val="20"/>
          <w:szCs w:val="20"/>
        </w:rPr>
        <w:t>2.2</w:t>
      </w:r>
      <w:r>
        <w:rPr>
          <w:rFonts w:ascii="宋体" w:hAnsi="宋体" w:eastAsia="宋体" w:cs="宋体"/>
          <w:spacing w:val="-23"/>
          <w:sz w:val="20"/>
          <w:szCs w:val="20"/>
        </w:rPr>
        <w:t xml:space="preserve"> </w:t>
      </w:r>
      <w:r>
        <w:rPr>
          <w:rFonts w:ascii="宋体" w:hAnsi="宋体" w:eastAsia="宋体" w:cs="宋体"/>
          <w:spacing w:val="8"/>
          <w:sz w:val="20"/>
          <w:szCs w:val="20"/>
        </w:rPr>
        <w:t>不得在承包人和相关单位报销任何应由发包人或个人支付的费用。</w:t>
      </w:r>
    </w:p>
    <w:p w14:paraId="35B2EA59">
      <w:pPr>
        <w:spacing w:before="53" w:line="277" w:lineRule="auto"/>
        <w:ind w:left="4" w:right="73" w:firstLine="418"/>
        <w:rPr>
          <w:rFonts w:ascii="宋体" w:hAnsi="宋体" w:eastAsia="宋体" w:cs="宋体"/>
          <w:sz w:val="20"/>
          <w:szCs w:val="20"/>
        </w:rPr>
      </w:pPr>
      <w:r>
        <w:rPr>
          <w:rFonts w:ascii="宋体" w:hAnsi="宋体" w:eastAsia="宋体" w:cs="宋体"/>
          <w:spacing w:val="10"/>
          <w:sz w:val="20"/>
          <w:szCs w:val="20"/>
        </w:rPr>
        <w:t>2.3</w:t>
      </w:r>
      <w:r>
        <w:rPr>
          <w:rFonts w:ascii="宋体" w:hAnsi="宋体" w:eastAsia="宋体" w:cs="宋体"/>
          <w:spacing w:val="-25"/>
          <w:sz w:val="20"/>
          <w:szCs w:val="20"/>
        </w:rPr>
        <w:t xml:space="preserve"> </w:t>
      </w:r>
      <w:r>
        <w:rPr>
          <w:rFonts w:ascii="宋体" w:hAnsi="宋体" w:eastAsia="宋体" w:cs="宋体"/>
          <w:spacing w:val="10"/>
          <w:sz w:val="20"/>
          <w:szCs w:val="20"/>
        </w:rPr>
        <w:t>不得要求、暗示或接受承包人和相关单位为个人装修住房、婚丧嫁娶、配偶子女的工作</w:t>
      </w:r>
      <w:r>
        <w:rPr>
          <w:rFonts w:ascii="宋体" w:hAnsi="宋体" w:eastAsia="宋体" w:cs="宋体"/>
          <w:spacing w:val="2"/>
          <w:sz w:val="20"/>
          <w:szCs w:val="20"/>
        </w:rPr>
        <w:t>安排以及出国（境）、旅游等提供方便。</w:t>
      </w:r>
    </w:p>
    <w:p w14:paraId="23F76A17">
      <w:pPr>
        <w:spacing w:before="1" w:line="227" w:lineRule="auto"/>
        <w:ind w:left="422"/>
        <w:rPr>
          <w:rFonts w:ascii="宋体" w:hAnsi="宋体" w:eastAsia="宋体" w:cs="宋体"/>
          <w:sz w:val="20"/>
          <w:szCs w:val="20"/>
        </w:rPr>
      </w:pPr>
      <w:r>
        <w:rPr>
          <w:rFonts w:ascii="宋体" w:hAnsi="宋体" w:eastAsia="宋体" w:cs="宋体"/>
          <w:spacing w:val="9"/>
          <w:sz w:val="20"/>
          <w:szCs w:val="20"/>
        </w:rPr>
        <w:t>2.4</w:t>
      </w:r>
      <w:r>
        <w:rPr>
          <w:rFonts w:ascii="宋体" w:hAnsi="宋体" w:eastAsia="宋体" w:cs="宋体"/>
          <w:spacing w:val="-37"/>
          <w:sz w:val="20"/>
          <w:szCs w:val="20"/>
        </w:rPr>
        <w:t xml:space="preserve"> </w:t>
      </w:r>
      <w:r>
        <w:rPr>
          <w:rFonts w:ascii="宋体" w:hAnsi="宋体" w:eastAsia="宋体" w:cs="宋体"/>
          <w:spacing w:val="9"/>
          <w:sz w:val="20"/>
          <w:szCs w:val="20"/>
        </w:rPr>
        <w:t>不得参加有可能影响公正执行公务的承包人和相关单位的宴请</w:t>
      </w:r>
      <w:r>
        <w:rPr>
          <w:rFonts w:ascii="宋体" w:hAnsi="宋体" w:eastAsia="宋体" w:cs="宋体"/>
          <w:spacing w:val="8"/>
          <w:sz w:val="20"/>
          <w:szCs w:val="20"/>
        </w:rPr>
        <w:t>、健身、娱乐等活动。</w:t>
      </w:r>
    </w:p>
    <w:p w14:paraId="3F45FB31">
      <w:pPr>
        <w:spacing w:before="53" w:line="277" w:lineRule="auto"/>
        <w:ind w:left="3" w:right="73" w:firstLine="419"/>
        <w:rPr>
          <w:rFonts w:ascii="宋体" w:hAnsi="宋体" w:eastAsia="宋体" w:cs="宋体"/>
          <w:sz w:val="20"/>
          <w:szCs w:val="20"/>
        </w:rPr>
      </w:pPr>
      <w:r>
        <w:rPr>
          <w:rFonts w:ascii="宋体" w:hAnsi="宋体" w:eastAsia="宋体" w:cs="宋体"/>
          <w:spacing w:val="10"/>
          <w:sz w:val="20"/>
          <w:szCs w:val="20"/>
        </w:rPr>
        <w:t>2.5</w:t>
      </w:r>
      <w:r>
        <w:rPr>
          <w:rFonts w:ascii="宋体" w:hAnsi="宋体" w:eastAsia="宋体" w:cs="宋体"/>
          <w:spacing w:val="-25"/>
          <w:sz w:val="20"/>
          <w:szCs w:val="20"/>
        </w:rPr>
        <w:t xml:space="preserve"> </w:t>
      </w:r>
      <w:r>
        <w:rPr>
          <w:rFonts w:ascii="宋体" w:hAnsi="宋体" w:eastAsia="宋体" w:cs="宋体"/>
          <w:spacing w:val="10"/>
          <w:sz w:val="20"/>
          <w:szCs w:val="20"/>
        </w:rPr>
        <w:t>不得向承包人和相关单位介绍或为配偶、子女、亲属参与同发包人工程建设管理合同有</w:t>
      </w:r>
      <w:r>
        <w:rPr>
          <w:rFonts w:ascii="宋体" w:hAnsi="宋体" w:eastAsia="宋体" w:cs="宋体"/>
          <w:spacing w:val="9"/>
          <w:sz w:val="20"/>
          <w:szCs w:val="20"/>
        </w:rPr>
        <w:t>关的业务活动；不得以任何理由要求承包人和相关单位使用某种产品、材料和设备。</w:t>
      </w:r>
    </w:p>
    <w:p w14:paraId="0C304262">
      <w:pPr>
        <w:pStyle w:val="2"/>
        <w:spacing w:line="229" w:lineRule="auto"/>
        <w:ind w:left="424"/>
        <w:rPr>
          <w:sz w:val="20"/>
          <w:szCs w:val="20"/>
        </w:rPr>
      </w:pPr>
      <w:r>
        <w:rPr>
          <w:spacing w:val="8"/>
          <w:sz w:val="20"/>
          <w:szCs w:val="20"/>
        </w:rPr>
        <w:t>三、承包人责任</w:t>
      </w:r>
    </w:p>
    <w:p w14:paraId="0FDB15DF">
      <w:pPr>
        <w:spacing w:before="52" w:line="277" w:lineRule="auto"/>
        <w:ind w:left="3" w:right="71" w:firstLine="416"/>
        <w:rPr>
          <w:rFonts w:ascii="宋体" w:hAnsi="宋体" w:eastAsia="宋体" w:cs="宋体"/>
          <w:sz w:val="20"/>
          <w:szCs w:val="20"/>
        </w:rPr>
      </w:pPr>
      <w:r>
        <w:rPr>
          <w:rFonts w:ascii="宋体" w:hAnsi="宋体" w:eastAsia="宋体" w:cs="宋体"/>
          <w:spacing w:val="10"/>
          <w:sz w:val="20"/>
          <w:szCs w:val="20"/>
        </w:rPr>
        <w:t>应与发包人保持正常的业务交往，按照有关法律法规和程序开展业务</w:t>
      </w:r>
      <w:r>
        <w:rPr>
          <w:rFonts w:ascii="宋体" w:hAnsi="宋体" w:eastAsia="宋体" w:cs="宋体"/>
          <w:spacing w:val="9"/>
          <w:sz w:val="20"/>
          <w:szCs w:val="20"/>
        </w:rPr>
        <w:t>工作，严格执行工程建设的有关方针、政策，执行工程建设强制性标准，并遵守以下规定：</w:t>
      </w:r>
    </w:p>
    <w:p w14:paraId="3A0452E6">
      <w:pPr>
        <w:spacing w:before="2" w:line="276" w:lineRule="auto"/>
        <w:ind w:left="20" w:right="73" w:firstLine="403"/>
        <w:rPr>
          <w:rFonts w:ascii="宋体" w:hAnsi="宋体" w:eastAsia="宋体" w:cs="宋体"/>
          <w:sz w:val="20"/>
          <w:szCs w:val="20"/>
        </w:rPr>
      </w:pPr>
      <w:r>
        <w:rPr>
          <w:rFonts w:ascii="宋体" w:hAnsi="宋体" w:eastAsia="宋体" w:cs="宋体"/>
          <w:spacing w:val="10"/>
          <w:sz w:val="20"/>
          <w:szCs w:val="20"/>
        </w:rPr>
        <w:t>3.1</w:t>
      </w:r>
      <w:r>
        <w:rPr>
          <w:rFonts w:ascii="宋体" w:hAnsi="宋体" w:eastAsia="宋体" w:cs="宋体"/>
          <w:spacing w:val="-26"/>
          <w:sz w:val="20"/>
          <w:szCs w:val="20"/>
        </w:rPr>
        <w:t xml:space="preserve"> </w:t>
      </w:r>
      <w:r>
        <w:rPr>
          <w:rFonts w:ascii="宋体" w:hAnsi="宋体" w:eastAsia="宋体" w:cs="宋体"/>
          <w:spacing w:val="10"/>
          <w:sz w:val="20"/>
          <w:szCs w:val="20"/>
        </w:rPr>
        <w:t>不得以任何理由向发包人及其工作人员索要、接受或赠送礼金、有价证券、贵重物品及</w:t>
      </w:r>
      <w:r>
        <w:rPr>
          <w:rFonts w:ascii="宋体" w:hAnsi="宋体" w:eastAsia="宋体" w:cs="宋体"/>
          <w:spacing w:val="6"/>
          <w:sz w:val="20"/>
          <w:szCs w:val="20"/>
        </w:rPr>
        <w:t>回扣、好处费、感谢费等。</w:t>
      </w:r>
    </w:p>
    <w:p w14:paraId="12D059AD">
      <w:pPr>
        <w:spacing w:line="227" w:lineRule="auto"/>
        <w:ind w:left="424"/>
        <w:rPr>
          <w:rFonts w:ascii="宋体" w:hAnsi="宋体" w:eastAsia="宋体" w:cs="宋体"/>
          <w:sz w:val="20"/>
          <w:szCs w:val="20"/>
        </w:rPr>
      </w:pPr>
      <w:r>
        <w:rPr>
          <w:rFonts w:ascii="宋体" w:hAnsi="宋体" w:eastAsia="宋体" w:cs="宋体"/>
          <w:spacing w:val="8"/>
          <w:sz w:val="20"/>
          <w:szCs w:val="20"/>
        </w:rPr>
        <w:t>3.2</w:t>
      </w:r>
      <w:r>
        <w:rPr>
          <w:rFonts w:ascii="宋体" w:hAnsi="宋体" w:eastAsia="宋体" w:cs="宋体"/>
          <w:spacing w:val="-21"/>
          <w:sz w:val="20"/>
          <w:szCs w:val="20"/>
        </w:rPr>
        <w:t xml:space="preserve"> </w:t>
      </w:r>
      <w:r>
        <w:rPr>
          <w:rFonts w:ascii="宋体" w:hAnsi="宋体" w:eastAsia="宋体" w:cs="宋体"/>
          <w:spacing w:val="8"/>
          <w:sz w:val="20"/>
          <w:szCs w:val="20"/>
        </w:rPr>
        <w:t>不得以任何理由为发包人和相关单位报销应由对方或个人支付的费用。</w:t>
      </w:r>
    </w:p>
    <w:p w14:paraId="1E195650">
      <w:pPr>
        <w:spacing w:before="54" w:line="277" w:lineRule="auto"/>
        <w:ind w:left="23" w:right="73" w:firstLine="400"/>
        <w:rPr>
          <w:rFonts w:ascii="宋体" w:hAnsi="宋体" w:eastAsia="宋体" w:cs="宋体"/>
          <w:sz w:val="20"/>
          <w:szCs w:val="20"/>
        </w:rPr>
      </w:pPr>
      <w:r>
        <w:rPr>
          <w:rFonts w:ascii="宋体" w:hAnsi="宋体" w:eastAsia="宋体" w:cs="宋体"/>
          <w:spacing w:val="10"/>
          <w:sz w:val="20"/>
          <w:szCs w:val="20"/>
        </w:rPr>
        <w:t>3.3</w:t>
      </w:r>
      <w:r>
        <w:rPr>
          <w:rFonts w:ascii="宋体" w:hAnsi="宋体" w:eastAsia="宋体" w:cs="宋体"/>
          <w:spacing w:val="-26"/>
          <w:sz w:val="20"/>
          <w:szCs w:val="20"/>
        </w:rPr>
        <w:t xml:space="preserve"> </w:t>
      </w:r>
      <w:r>
        <w:rPr>
          <w:rFonts w:ascii="宋体" w:hAnsi="宋体" w:eastAsia="宋体" w:cs="宋体"/>
          <w:spacing w:val="10"/>
          <w:sz w:val="20"/>
          <w:szCs w:val="20"/>
        </w:rPr>
        <w:t>不得接受或暗示为发包人、相关单位或个人装修住房、婚丧嫁娶、配偶子女的工作安排</w:t>
      </w:r>
      <w:r>
        <w:rPr>
          <w:rFonts w:ascii="宋体" w:hAnsi="宋体" w:eastAsia="宋体" w:cs="宋体"/>
          <w:sz w:val="20"/>
          <w:szCs w:val="20"/>
        </w:rPr>
        <w:t>以及出国（境）、旅游等提供方便。</w:t>
      </w:r>
    </w:p>
    <w:p w14:paraId="642A2E1F">
      <w:pPr>
        <w:spacing w:before="2" w:line="276" w:lineRule="auto"/>
        <w:ind w:firstLine="424"/>
        <w:rPr>
          <w:rFonts w:ascii="宋体" w:hAnsi="宋体" w:eastAsia="宋体" w:cs="宋体"/>
          <w:sz w:val="20"/>
          <w:szCs w:val="20"/>
        </w:rPr>
      </w:pPr>
      <w:r>
        <w:rPr>
          <w:rFonts w:ascii="宋体" w:hAnsi="宋体" w:eastAsia="宋体" w:cs="宋体"/>
          <w:spacing w:val="7"/>
          <w:sz w:val="20"/>
          <w:szCs w:val="20"/>
        </w:rPr>
        <w:t>3.4</w:t>
      </w:r>
      <w:r>
        <w:rPr>
          <w:rFonts w:ascii="宋体" w:hAnsi="宋体" w:eastAsia="宋体" w:cs="宋体"/>
          <w:spacing w:val="-37"/>
          <w:sz w:val="20"/>
          <w:szCs w:val="20"/>
        </w:rPr>
        <w:t xml:space="preserve"> </w:t>
      </w:r>
      <w:r>
        <w:rPr>
          <w:rFonts w:ascii="宋体" w:hAnsi="宋体" w:eastAsia="宋体" w:cs="宋体"/>
          <w:spacing w:val="7"/>
          <w:sz w:val="20"/>
          <w:szCs w:val="20"/>
        </w:rPr>
        <w:t>不得以任何理由为发包人、相关单位或个人组织有可能影响公正执行公务的宴请、健身、</w:t>
      </w:r>
      <w:r>
        <w:rPr>
          <w:rFonts w:ascii="宋体" w:hAnsi="宋体" w:eastAsia="宋体" w:cs="宋体"/>
          <w:spacing w:val="6"/>
          <w:sz w:val="20"/>
          <w:szCs w:val="20"/>
        </w:rPr>
        <w:t>娱乐等活动。</w:t>
      </w:r>
    </w:p>
    <w:p w14:paraId="734F06C9">
      <w:pPr>
        <w:pStyle w:val="2"/>
        <w:spacing w:line="229" w:lineRule="auto"/>
        <w:ind w:left="432"/>
        <w:rPr>
          <w:sz w:val="20"/>
          <w:szCs w:val="20"/>
        </w:rPr>
      </w:pPr>
      <w:r>
        <w:rPr>
          <w:spacing w:val="6"/>
          <w:sz w:val="20"/>
          <w:szCs w:val="20"/>
        </w:rPr>
        <w:t>四、违约责任</w:t>
      </w:r>
    </w:p>
    <w:p w14:paraId="768941F8">
      <w:pPr>
        <w:spacing w:before="51" w:line="277" w:lineRule="auto"/>
        <w:ind w:left="1" w:right="18" w:firstLine="417"/>
        <w:rPr>
          <w:rFonts w:ascii="宋体" w:hAnsi="宋体" w:eastAsia="宋体" w:cs="宋体"/>
          <w:sz w:val="20"/>
          <w:szCs w:val="20"/>
        </w:rPr>
      </w:pPr>
      <w:r>
        <w:rPr>
          <w:rFonts w:ascii="宋体" w:hAnsi="宋体" w:eastAsia="宋体" w:cs="宋体"/>
          <w:spacing w:val="7"/>
          <w:sz w:val="20"/>
          <w:szCs w:val="20"/>
        </w:rPr>
        <w:t>4.1</w:t>
      </w:r>
      <w:r>
        <w:rPr>
          <w:rFonts w:ascii="宋体" w:hAnsi="宋体" w:eastAsia="宋体" w:cs="宋体"/>
          <w:spacing w:val="-37"/>
          <w:sz w:val="20"/>
          <w:szCs w:val="20"/>
        </w:rPr>
        <w:t xml:space="preserve"> </w:t>
      </w:r>
      <w:r>
        <w:rPr>
          <w:rFonts w:ascii="宋体" w:hAnsi="宋体" w:eastAsia="宋体" w:cs="宋体"/>
          <w:spacing w:val="7"/>
          <w:sz w:val="20"/>
          <w:szCs w:val="20"/>
        </w:rPr>
        <w:t>发包人工作人员有违反本责任书第一、二条责任行为的，依</w:t>
      </w:r>
      <w:r>
        <w:rPr>
          <w:rFonts w:ascii="宋体" w:hAnsi="宋体" w:eastAsia="宋体" w:cs="宋体"/>
          <w:spacing w:val="6"/>
          <w:sz w:val="20"/>
          <w:szCs w:val="20"/>
        </w:rPr>
        <w:t>据有关法律、法规给予处理；</w:t>
      </w:r>
      <w:r>
        <w:rPr>
          <w:rFonts w:ascii="宋体" w:hAnsi="宋体" w:eastAsia="宋体" w:cs="宋体"/>
          <w:spacing w:val="9"/>
          <w:sz w:val="20"/>
          <w:szCs w:val="20"/>
        </w:rPr>
        <w:t>涉嫌犯罪的，移交司法机关追究刑事责任；给承包人单位造成经济损失的，应予以赔偿。</w:t>
      </w:r>
    </w:p>
    <w:p w14:paraId="3B7C8018">
      <w:pPr>
        <w:spacing w:before="2" w:line="276" w:lineRule="auto"/>
        <w:ind w:right="73" w:firstLine="418"/>
        <w:rPr>
          <w:rFonts w:ascii="宋体" w:hAnsi="宋体" w:eastAsia="宋体" w:cs="宋体"/>
          <w:sz w:val="20"/>
          <w:szCs w:val="20"/>
        </w:rPr>
      </w:pPr>
      <w:r>
        <w:rPr>
          <w:rFonts w:ascii="宋体" w:hAnsi="宋体" w:eastAsia="宋体" w:cs="宋体"/>
          <w:spacing w:val="11"/>
          <w:sz w:val="20"/>
          <w:szCs w:val="20"/>
        </w:rPr>
        <w:t>4.2</w:t>
      </w:r>
      <w:r>
        <w:rPr>
          <w:rFonts w:ascii="宋体" w:hAnsi="宋体" w:eastAsia="宋体" w:cs="宋体"/>
          <w:spacing w:val="-40"/>
          <w:sz w:val="20"/>
          <w:szCs w:val="20"/>
        </w:rPr>
        <w:t xml:space="preserve"> </w:t>
      </w:r>
      <w:r>
        <w:rPr>
          <w:rFonts w:ascii="宋体" w:hAnsi="宋体" w:eastAsia="宋体" w:cs="宋体"/>
          <w:spacing w:val="11"/>
          <w:sz w:val="20"/>
          <w:szCs w:val="20"/>
        </w:rPr>
        <w:t>承包人工作人员有违反本责任书第一</w:t>
      </w:r>
      <w:r>
        <w:rPr>
          <w:rFonts w:ascii="宋体" w:hAnsi="宋体" w:eastAsia="宋体" w:cs="宋体"/>
          <w:spacing w:val="10"/>
          <w:sz w:val="20"/>
          <w:szCs w:val="20"/>
        </w:rPr>
        <w:t>、三条责任行为的，依据有关法律法规处理；涉嫌</w:t>
      </w:r>
      <w:r>
        <w:rPr>
          <w:rFonts w:ascii="宋体" w:hAnsi="宋体" w:eastAsia="宋体" w:cs="宋体"/>
          <w:spacing w:val="9"/>
          <w:sz w:val="20"/>
          <w:szCs w:val="20"/>
        </w:rPr>
        <w:t>犯罪的，移交司法机关追究刑事责任；给发包人单位造成经济损失的，应予以赔偿。</w:t>
      </w:r>
    </w:p>
    <w:p w14:paraId="7978142E">
      <w:pPr>
        <w:spacing w:before="2" w:line="276" w:lineRule="auto"/>
        <w:ind w:right="73" w:firstLine="419"/>
        <w:rPr>
          <w:rFonts w:ascii="宋体" w:hAnsi="宋体" w:eastAsia="宋体" w:cs="宋体"/>
          <w:sz w:val="20"/>
          <w:szCs w:val="20"/>
        </w:rPr>
      </w:pPr>
      <w:r>
        <w:rPr>
          <w:rFonts w:ascii="宋体" w:hAnsi="宋体" w:eastAsia="宋体" w:cs="宋体"/>
          <w:spacing w:val="10"/>
          <w:sz w:val="20"/>
          <w:szCs w:val="20"/>
        </w:rPr>
        <w:t>4.3</w:t>
      </w:r>
      <w:r>
        <w:rPr>
          <w:rFonts w:ascii="宋体" w:hAnsi="宋体" w:eastAsia="宋体" w:cs="宋体"/>
          <w:spacing w:val="-21"/>
          <w:sz w:val="20"/>
          <w:szCs w:val="20"/>
        </w:rPr>
        <w:t xml:space="preserve"> </w:t>
      </w:r>
      <w:r>
        <w:rPr>
          <w:rFonts w:ascii="宋体" w:hAnsi="宋体" w:eastAsia="宋体" w:cs="宋体"/>
          <w:spacing w:val="10"/>
          <w:sz w:val="20"/>
          <w:szCs w:val="20"/>
        </w:rPr>
        <w:t>本责任书作为建设工程合同的组成部分，与建设工程合同具有同等法律效力。经双方签</w:t>
      </w:r>
      <w:r>
        <w:rPr>
          <w:rFonts w:ascii="宋体" w:hAnsi="宋体" w:eastAsia="宋体" w:cs="宋体"/>
          <w:spacing w:val="7"/>
          <w:sz w:val="20"/>
          <w:szCs w:val="20"/>
        </w:rPr>
        <w:t>署后立即生效。</w:t>
      </w:r>
    </w:p>
    <w:p w14:paraId="7A5FBA37">
      <w:pPr>
        <w:pStyle w:val="2"/>
        <w:spacing w:before="1" w:line="229" w:lineRule="auto"/>
        <w:ind w:left="425"/>
        <w:rPr>
          <w:sz w:val="20"/>
          <w:szCs w:val="20"/>
        </w:rPr>
      </w:pPr>
      <w:r>
        <w:rPr>
          <w:spacing w:val="7"/>
          <w:sz w:val="20"/>
          <w:szCs w:val="20"/>
        </w:rPr>
        <w:t>五、责任书有效期</w:t>
      </w:r>
    </w:p>
    <w:p w14:paraId="0B9242A9">
      <w:pPr>
        <w:spacing w:line="229" w:lineRule="auto"/>
        <w:rPr>
          <w:sz w:val="20"/>
          <w:szCs w:val="20"/>
        </w:rPr>
        <w:sectPr>
          <w:footerReference r:id="rId228" w:type="default"/>
          <w:pgSz w:w="11906" w:h="16839"/>
          <w:pgMar w:top="400" w:right="1483" w:bottom="1038" w:left="1539" w:header="0" w:footer="787" w:gutter="0"/>
          <w:cols w:space="720" w:num="1"/>
        </w:sectPr>
      </w:pPr>
    </w:p>
    <w:p w14:paraId="10FB35A5">
      <w:pPr>
        <w:spacing w:line="251" w:lineRule="auto"/>
        <w:rPr>
          <w:rFonts w:ascii="Arial"/>
          <w:sz w:val="21"/>
        </w:rPr>
      </w:pPr>
    </w:p>
    <w:p w14:paraId="591BD618">
      <w:pPr>
        <w:spacing w:line="251" w:lineRule="auto"/>
        <w:rPr>
          <w:rFonts w:ascii="Arial"/>
          <w:sz w:val="21"/>
        </w:rPr>
      </w:pPr>
    </w:p>
    <w:p w14:paraId="0CFCE88C">
      <w:pPr>
        <w:spacing w:line="252" w:lineRule="auto"/>
        <w:rPr>
          <w:rFonts w:ascii="Arial"/>
          <w:sz w:val="21"/>
        </w:rPr>
      </w:pPr>
    </w:p>
    <w:p w14:paraId="76ED71D1">
      <w:pPr>
        <w:spacing w:line="252" w:lineRule="auto"/>
        <w:rPr>
          <w:rFonts w:ascii="Arial"/>
          <w:sz w:val="21"/>
        </w:rPr>
      </w:pPr>
    </w:p>
    <w:p w14:paraId="0DEC23F9">
      <w:pPr>
        <w:spacing w:before="65" w:line="227" w:lineRule="auto"/>
        <w:ind w:left="174"/>
        <w:rPr>
          <w:rFonts w:ascii="宋体" w:hAnsi="宋体" w:eastAsia="宋体" w:cs="宋体"/>
          <w:sz w:val="20"/>
          <w:szCs w:val="20"/>
        </w:rPr>
      </w:pPr>
      <w:r>
        <w:rPr>
          <w:rFonts w:ascii="宋体" w:hAnsi="宋体" w:eastAsia="宋体" w:cs="宋体"/>
          <w:spacing w:val="9"/>
          <w:sz w:val="20"/>
          <w:szCs w:val="20"/>
        </w:rPr>
        <w:t>本责任书的有效期为双方签署之日起至该工程项目竣工验收合格时止。</w:t>
      </w:r>
    </w:p>
    <w:p w14:paraId="5B9FBE03">
      <w:pPr>
        <w:pStyle w:val="2"/>
        <w:spacing w:before="54" w:line="229" w:lineRule="auto"/>
        <w:ind w:left="179"/>
        <w:rPr>
          <w:sz w:val="20"/>
          <w:szCs w:val="20"/>
        </w:rPr>
      </w:pPr>
      <w:r>
        <w:rPr>
          <w:spacing w:val="7"/>
          <w:sz w:val="20"/>
          <w:szCs w:val="20"/>
        </w:rPr>
        <w:t>六、责任书份数</w:t>
      </w:r>
    </w:p>
    <w:p w14:paraId="371FF938">
      <w:pPr>
        <w:spacing w:before="51" w:line="227" w:lineRule="auto"/>
        <w:ind w:left="174"/>
        <w:rPr>
          <w:rFonts w:ascii="宋体" w:hAnsi="宋体" w:eastAsia="宋体" w:cs="宋体"/>
          <w:sz w:val="20"/>
          <w:szCs w:val="20"/>
        </w:rPr>
      </w:pPr>
      <w:r>
        <w:rPr>
          <w:rFonts w:ascii="宋体" w:hAnsi="宋体" w:eastAsia="宋体" w:cs="宋体"/>
          <w:spacing w:val="9"/>
          <w:sz w:val="20"/>
          <w:szCs w:val="20"/>
        </w:rPr>
        <w:t>本责任书一式二份，发包人承包人各执一份，具有同等效力。</w:t>
      </w:r>
    </w:p>
    <w:p w14:paraId="765CCCDA">
      <w:pPr>
        <w:spacing w:line="319" w:lineRule="auto"/>
        <w:rPr>
          <w:rFonts w:ascii="Arial"/>
          <w:sz w:val="21"/>
        </w:rPr>
      </w:pPr>
    </w:p>
    <w:p w14:paraId="27A7CBB9">
      <w:pPr>
        <w:spacing w:line="320" w:lineRule="auto"/>
        <w:rPr>
          <w:rFonts w:ascii="Arial"/>
          <w:sz w:val="21"/>
        </w:rPr>
      </w:pPr>
    </w:p>
    <w:p w14:paraId="34144343">
      <w:pPr>
        <w:spacing w:line="320" w:lineRule="auto"/>
        <w:rPr>
          <w:rFonts w:ascii="Arial"/>
          <w:sz w:val="21"/>
        </w:rPr>
      </w:pPr>
    </w:p>
    <w:p w14:paraId="49E0D04C">
      <w:pPr>
        <w:spacing w:before="65" w:line="227" w:lineRule="auto"/>
        <w:ind w:left="176"/>
        <w:rPr>
          <w:rFonts w:ascii="宋体" w:hAnsi="宋体" w:eastAsia="宋体" w:cs="宋体"/>
          <w:sz w:val="20"/>
          <w:szCs w:val="20"/>
        </w:rPr>
      </w:pPr>
      <w:r>
        <w:rPr>
          <w:rFonts w:ascii="宋体" w:hAnsi="宋体" w:eastAsia="宋体" w:cs="宋体"/>
          <w:spacing w:val="11"/>
          <w:sz w:val="20"/>
          <w:szCs w:val="20"/>
        </w:rPr>
        <w:t>发包人</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公章）  承包人</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25"/>
          <w:sz w:val="20"/>
          <w:szCs w:val="20"/>
        </w:rPr>
        <w:t xml:space="preserve"> </w:t>
      </w:r>
      <w:r>
        <w:rPr>
          <w:rFonts w:ascii="宋体" w:hAnsi="宋体" w:eastAsia="宋体" w:cs="宋体"/>
          <w:spacing w:val="-5"/>
          <w:sz w:val="20"/>
          <w:szCs w:val="20"/>
        </w:rPr>
        <w:t>（</w:t>
      </w:r>
      <w:r>
        <w:rPr>
          <w:rFonts w:ascii="宋体" w:hAnsi="宋体" w:eastAsia="宋体" w:cs="宋体"/>
          <w:spacing w:val="11"/>
          <w:sz w:val="20"/>
          <w:szCs w:val="20"/>
        </w:rPr>
        <w:t>公章）</w:t>
      </w:r>
    </w:p>
    <w:p w14:paraId="2E076730">
      <w:pPr>
        <w:spacing w:before="73" w:line="228" w:lineRule="auto"/>
        <w:ind w:left="174"/>
        <w:rPr>
          <w:rFonts w:ascii="宋体" w:hAnsi="宋体" w:eastAsia="宋体" w:cs="宋体"/>
          <w:sz w:val="20"/>
          <w:szCs w:val="20"/>
        </w:rPr>
      </w:pPr>
      <w:r>
        <w:rPr>
          <w:rFonts w:ascii="宋体" w:hAnsi="宋体" w:eastAsia="宋体" w:cs="宋体"/>
          <w:spacing w:val="4"/>
          <w:sz w:val="20"/>
          <w:szCs w:val="20"/>
        </w:rPr>
        <w:t>法定地址：</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法定地址：</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4B6C741C">
      <w:pPr>
        <w:spacing w:before="74" w:line="228" w:lineRule="auto"/>
        <w:ind w:left="174"/>
        <w:rPr>
          <w:rFonts w:ascii="宋体" w:hAnsi="宋体" w:eastAsia="宋体" w:cs="宋体"/>
          <w:sz w:val="20"/>
          <w:szCs w:val="20"/>
        </w:rPr>
      </w:pPr>
      <w:r>
        <w:rPr>
          <w:rFonts w:ascii="宋体" w:hAnsi="宋体" w:eastAsia="宋体" w:cs="宋体"/>
          <w:spacing w:val="7"/>
          <w:sz w:val="20"/>
          <w:szCs w:val="20"/>
        </w:rPr>
        <w:t xml:space="preserve">法定代表人或其            </w:t>
      </w:r>
      <w:r>
        <w:rPr>
          <w:rFonts w:ascii="宋体" w:hAnsi="宋体" w:eastAsia="宋体" w:cs="宋体"/>
          <w:spacing w:val="6"/>
          <w:sz w:val="20"/>
          <w:szCs w:val="20"/>
        </w:rPr>
        <w:t xml:space="preserve">             法定代表人或其</w:t>
      </w:r>
    </w:p>
    <w:p w14:paraId="2DAF2C2E">
      <w:pPr>
        <w:spacing w:before="72" w:line="228" w:lineRule="auto"/>
        <w:ind w:left="172"/>
        <w:rPr>
          <w:rFonts w:ascii="宋体" w:hAnsi="宋体" w:eastAsia="宋体" w:cs="宋体"/>
          <w:sz w:val="20"/>
          <w:szCs w:val="20"/>
        </w:rPr>
      </w:pPr>
      <w:r>
        <w:rPr>
          <w:rFonts w:ascii="宋体" w:hAnsi="宋体" w:eastAsia="宋体" w:cs="宋体"/>
          <w:spacing w:val="11"/>
          <w:sz w:val="20"/>
          <w:szCs w:val="20"/>
        </w:rPr>
        <w:t>委托代理人</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签字）  委托代理人</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 xml:space="preserve"> </w:t>
      </w:r>
      <w:r>
        <w:rPr>
          <w:rFonts w:ascii="宋体" w:hAnsi="宋体" w:eastAsia="宋体" w:cs="宋体"/>
          <w:spacing w:val="-4"/>
          <w:sz w:val="20"/>
          <w:szCs w:val="20"/>
        </w:rPr>
        <w:t>（</w:t>
      </w:r>
      <w:r>
        <w:rPr>
          <w:rFonts w:ascii="宋体" w:hAnsi="宋体" w:eastAsia="宋体" w:cs="宋体"/>
          <w:spacing w:val="11"/>
          <w:sz w:val="20"/>
          <w:szCs w:val="20"/>
        </w:rPr>
        <w:t>签字）</w:t>
      </w:r>
    </w:p>
    <w:p w14:paraId="2C4F12AE">
      <w:pPr>
        <w:spacing w:before="73" w:line="230" w:lineRule="auto"/>
        <w:ind w:left="197"/>
        <w:rPr>
          <w:rFonts w:ascii="宋体" w:hAnsi="宋体" w:eastAsia="宋体" w:cs="宋体"/>
          <w:sz w:val="20"/>
          <w:szCs w:val="20"/>
        </w:rPr>
      </w:pPr>
      <w:r>
        <w:rPr>
          <w:rFonts w:ascii="宋体" w:hAnsi="宋体" w:eastAsia="宋体" w:cs="宋体"/>
          <w:spacing w:val="-1"/>
          <w:sz w:val="20"/>
          <w:szCs w:val="20"/>
        </w:rPr>
        <w:t>电话：</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w:t>
      </w:r>
      <w:r>
        <w:rPr>
          <w:rFonts w:ascii="宋体" w:hAnsi="宋体" w:eastAsia="宋体" w:cs="宋体"/>
          <w:spacing w:val="-2"/>
          <w:sz w:val="20"/>
          <w:szCs w:val="20"/>
        </w:rPr>
        <w:t>电话：</w:t>
      </w:r>
      <w:r>
        <w:rPr>
          <w:rFonts w:ascii="宋体" w:hAnsi="宋体" w:eastAsia="宋体" w:cs="宋体"/>
          <w:spacing w:val="-2"/>
          <w:sz w:val="20"/>
          <w:szCs w:val="20"/>
          <w:u w:val="single" w:color="auto"/>
        </w:rPr>
        <w:t xml:space="preserve">                         </w:t>
      </w:r>
    </w:p>
    <w:p w14:paraId="6C7141DE">
      <w:pPr>
        <w:spacing w:before="72" w:line="227" w:lineRule="auto"/>
        <w:ind w:left="171"/>
        <w:rPr>
          <w:rFonts w:ascii="宋体" w:hAnsi="宋体" w:eastAsia="宋体" w:cs="宋体"/>
          <w:sz w:val="20"/>
          <w:szCs w:val="20"/>
        </w:rPr>
      </w:pPr>
      <w:r>
        <w:rPr>
          <w:rFonts w:ascii="宋体" w:hAnsi="宋体" w:eastAsia="宋体" w:cs="宋体"/>
          <w:spacing w:val="3"/>
          <w:sz w:val="20"/>
          <w:szCs w:val="20"/>
        </w:rPr>
        <w:t>传真：</w:t>
      </w:r>
      <w:r>
        <w:rPr>
          <w:rFonts w:ascii="宋体" w:hAnsi="宋体" w:eastAsia="宋体" w:cs="宋体"/>
          <w:spacing w:val="3"/>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3"/>
          <w:sz w:val="20"/>
          <w:szCs w:val="20"/>
        </w:rPr>
        <w:t>传真：</w:t>
      </w:r>
      <w:r>
        <w:rPr>
          <w:rFonts w:ascii="宋体" w:hAnsi="宋体" w:eastAsia="宋体" w:cs="宋体"/>
          <w:spacing w:val="3"/>
          <w:sz w:val="20"/>
          <w:szCs w:val="20"/>
          <w:u w:val="single" w:color="auto"/>
        </w:rPr>
        <w:t xml:space="preserve">                        </w:t>
      </w:r>
    </w:p>
    <w:p w14:paraId="50CE449A">
      <w:pPr>
        <w:spacing w:before="74" w:line="228" w:lineRule="auto"/>
        <w:ind w:left="197"/>
        <w:rPr>
          <w:rFonts w:ascii="宋体" w:hAnsi="宋体" w:eastAsia="宋体" w:cs="宋体"/>
          <w:sz w:val="20"/>
          <w:szCs w:val="20"/>
        </w:rPr>
      </w:pPr>
      <w:r>
        <w:rPr>
          <w:rFonts w:ascii="宋体" w:hAnsi="宋体" w:eastAsia="宋体" w:cs="宋体"/>
          <w:spacing w:val="3"/>
          <w:sz w:val="20"/>
          <w:szCs w:val="20"/>
        </w:rPr>
        <w:t>电子邮箱：</w:t>
      </w:r>
      <w:r>
        <w:rPr>
          <w:rFonts w:ascii="宋体" w:hAnsi="宋体" w:eastAsia="宋体" w:cs="宋体"/>
          <w:spacing w:val="5"/>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3"/>
          <w:sz w:val="20"/>
          <w:szCs w:val="20"/>
        </w:rPr>
        <w:t>电子邮箱：</w:t>
      </w:r>
      <w:r>
        <w:rPr>
          <w:rFonts w:ascii="宋体" w:hAnsi="宋体" w:eastAsia="宋体" w:cs="宋体"/>
          <w:sz w:val="20"/>
          <w:szCs w:val="20"/>
          <w:u w:val="single" w:color="auto"/>
        </w:rPr>
        <w:t xml:space="preserve">                    </w:t>
      </w:r>
    </w:p>
    <w:p w14:paraId="10AA2C9D">
      <w:pPr>
        <w:spacing w:before="72" w:line="228" w:lineRule="auto"/>
        <w:ind w:left="174"/>
        <w:rPr>
          <w:rFonts w:ascii="宋体" w:hAnsi="宋体" w:eastAsia="宋体" w:cs="宋体"/>
          <w:sz w:val="20"/>
          <w:szCs w:val="20"/>
        </w:rPr>
      </w:pPr>
      <w:r>
        <w:rPr>
          <w:rFonts w:ascii="宋体" w:hAnsi="宋体" w:eastAsia="宋体" w:cs="宋体"/>
          <w:spacing w:val="4"/>
          <w:sz w:val="20"/>
          <w:szCs w:val="20"/>
        </w:rPr>
        <w:t>开户银行：</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开户银行：</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297CAD89">
      <w:pPr>
        <w:spacing w:before="75" w:line="229" w:lineRule="auto"/>
        <w:ind w:left="176"/>
        <w:rPr>
          <w:rFonts w:ascii="宋体" w:hAnsi="宋体" w:eastAsia="宋体" w:cs="宋体"/>
          <w:sz w:val="20"/>
          <w:szCs w:val="20"/>
        </w:rPr>
      </w:pPr>
      <w:r>
        <w:rPr>
          <w:rFonts w:ascii="宋体" w:hAnsi="宋体" w:eastAsia="宋体" w:cs="宋体"/>
          <w:spacing w:val="6"/>
          <w:sz w:val="20"/>
          <w:szCs w:val="20"/>
        </w:rPr>
        <w:t>账号：</w:t>
      </w:r>
      <w:r>
        <w:rPr>
          <w:rFonts w:ascii="宋体" w:hAnsi="宋体" w:eastAsia="宋体" w:cs="宋体"/>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6"/>
          <w:sz w:val="20"/>
          <w:szCs w:val="20"/>
        </w:rPr>
        <w:t>账号：</w:t>
      </w:r>
      <w:r>
        <w:rPr>
          <w:rFonts w:ascii="宋体" w:hAnsi="宋体" w:eastAsia="宋体" w:cs="宋体"/>
          <w:sz w:val="20"/>
          <w:szCs w:val="20"/>
          <w:u w:val="single" w:color="auto"/>
        </w:rPr>
        <w:t xml:space="preserve">                         </w:t>
      </w:r>
    </w:p>
    <w:p w14:paraId="1AC6478A">
      <w:pPr>
        <w:spacing w:before="70" w:line="228" w:lineRule="auto"/>
        <w:ind w:left="188"/>
        <w:rPr>
          <w:rFonts w:ascii="宋体" w:hAnsi="宋体" w:eastAsia="宋体" w:cs="宋体"/>
          <w:sz w:val="20"/>
          <w:szCs w:val="20"/>
        </w:rPr>
      </w:pPr>
      <w:r>
        <w:rPr>
          <w:rFonts w:ascii="宋体" w:hAnsi="宋体" w:eastAsia="宋体" w:cs="宋体"/>
          <w:spacing w:val="5"/>
          <w:sz w:val="20"/>
          <w:szCs w:val="20"/>
        </w:rPr>
        <w:t>邮政编码：</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5"/>
          <w:sz w:val="20"/>
          <w:szCs w:val="20"/>
        </w:rPr>
        <w:t>邮政编码：</w:t>
      </w:r>
      <w:r>
        <w:rPr>
          <w:rFonts w:ascii="宋体" w:hAnsi="宋体" w:eastAsia="宋体" w:cs="宋体"/>
          <w:sz w:val="20"/>
          <w:szCs w:val="20"/>
          <w:u w:val="single" w:color="auto"/>
        </w:rPr>
        <w:t xml:space="preserve">                    </w:t>
      </w:r>
    </w:p>
    <w:p w14:paraId="4A71248C">
      <w:pPr>
        <w:spacing w:line="228" w:lineRule="auto"/>
        <w:rPr>
          <w:rFonts w:ascii="宋体" w:hAnsi="宋体" w:eastAsia="宋体" w:cs="宋体"/>
          <w:sz w:val="20"/>
          <w:szCs w:val="20"/>
        </w:rPr>
        <w:sectPr>
          <w:footerReference r:id="rId229" w:type="default"/>
          <w:pgSz w:w="11906" w:h="16839"/>
          <w:pgMar w:top="400" w:right="1785" w:bottom="1038" w:left="1785" w:header="0" w:footer="787" w:gutter="0"/>
          <w:cols w:space="720" w:num="1"/>
        </w:sectPr>
      </w:pPr>
    </w:p>
    <w:p w14:paraId="3C025251">
      <w:pPr>
        <w:spacing w:line="249" w:lineRule="auto"/>
        <w:rPr>
          <w:rFonts w:ascii="Arial"/>
          <w:sz w:val="21"/>
        </w:rPr>
      </w:pPr>
    </w:p>
    <w:p w14:paraId="28AEB928">
      <w:pPr>
        <w:spacing w:line="250" w:lineRule="auto"/>
        <w:rPr>
          <w:rFonts w:ascii="Arial"/>
          <w:sz w:val="21"/>
        </w:rPr>
      </w:pPr>
    </w:p>
    <w:p w14:paraId="212D0499">
      <w:pPr>
        <w:spacing w:line="250" w:lineRule="auto"/>
        <w:rPr>
          <w:rFonts w:ascii="Arial"/>
          <w:sz w:val="21"/>
        </w:rPr>
      </w:pPr>
    </w:p>
    <w:p w14:paraId="5BE97093">
      <w:pPr>
        <w:spacing w:line="250" w:lineRule="auto"/>
        <w:rPr>
          <w:rFonts w:ascii="Arial"/>
          <w:sz w:val="21"/>
        </w:rPr>
      </w:pPr>
    </w:p>
    <w:p w14:paraId="3C91E0AB">
      <w:pPr>
        <w:spacing w:line="250" w:lineRule="auto"/>
        <w:rPr>
          <w:rFonts w:ascii="Arial"/>
          <w:sz w:val="21"/>
        </w:rPr>
      </w:pPr>
    </w:p>
    <w:p w14:paraId="339229A9">
      <w:pPr>
        <w:spacing w:line="250" w:lineRule="auto"/>
        <w:rPr>
          <w:rFonts w:ascii="Arial"/>
          <w:sz w:val="21"/>
        </w:rPr>
      </w:pPr>
    </w:p>
    <w:p w14:paraId="15C3AAAB">
      <w:pPr>
        <w:spacing w:line="250" w:lineRule="auto"/>
        <w:rPr>
          <w:rFonts w:ascii="Arial"/>
          <w:sz w:val="21"/>
        </w:rPr>
      </w:pPr>
    </w:p>
    <w:p w14:paraId="5AAB3764">
      <w:pPr>
        <w:spacing w:line="250" w:lineRule="auto"/>
        <w:rPr>
          <w:rFonts w:ascii="Arial"/>
          <w:sz w:val="21"/>
        </w:rPr>
      </w:pPr>
    </w:p>
    <w:p w14:paraId="27A44E47">
      <w:pPr>
        <w:spacing w:line="250" w:lineRule="auto"/>
        <w:rPr>
          <w:rFonts w:ascii="Arial"/>
          <w:sz w:val="21"/>
        </w:rPr>
      </w:pPr>
    </w:p>
    <w:p w14:paraId="3D2DF2B5">
      <w:pPr>
        <w:spacing w:line="250" w:lineRule="auto"/>
        <w:rPr>
          <w:rFonts w:ascii="Arial"/>
          <w:sz w:val="21"/>
        </w:rPr>
      </w:pPr>
    </w:p>
    <w:p w14:paraId="5E02C9C4">
      <w:pPr>
        <w:spacing w:line="250" w:lineRule="auto"/>
        <w:rPr>
          <w:rFonts w:ascii="Arial"/>
          <w:sz w:val="21"/>
        </w:rPr>
      </w:pPr>
    </w:p>
    <w:p w14:paraId="79766AC2">
      <w:pPr>
        <w:spacing w:line="250" w:lineRule="auto"/>
        <w:rPr>
          <w:rFonts w:ascii="Arial"/>
          <w:sz w:val="21"/>
        </w:rPr>
      </w:pPr>
    </w:p>
    <w:p w14:paraId="1D9B8D8D">
      <w:pPr>
        <w:spacing w:line="250" w:lineRule="auto"/>
        <w:rPr>
          <w:rFonts w:ascii="Arial"/>
          <w:sz w:val="21"/>
        </w:rPr>
      </w:pPr>
    </w:p>
    <w:p w14:paraId="43FB5078">
      <w:pPr>
        <w:spacing w:line="250" w:lineRule="auto"/>
        <w:rPr>
          <w:rFonts w:ascii="Arial"/>
          <w:sz w:val="21"/>
        </w:rPr>
      </w:pPr>
    </w:p>
    <w:p w14:paraId="581C7AFE">
      <w:pPr>
        <w:spacing w:line="250" w:lineRule="auto"/>
        <w:rPr>
          <w:rFonts w:ascii="Arial"/>
          <w:sz w:val="21"/>
        </w:rPr>
      </w:pPr>
    </w:p>
    <w:p w14:paraId="3232A7F8">
      <w:pPr>
        <w:spacing w:line="250" w:lineRule="auto"/>
        <w:rPr>
          <w:rFonts w:ascii="Arial"/>
          <w:sz w:val="21"/>
        </w:rPr>
      </w:pPr>
    </w:p>
    <w:p w14:paraId="48B0621F">
      <w:pPr>
        <w:pStyle w:val="2"/>
        <w:spacing w:before="100" w:line="227" w:lineRule="auto"/>
        <w:ind w:left="2651"/>
        <w:outlineLvl w:val="0"/>
        <w:rPr>
          <w:sz w:val="31"/>
          <w:szCs w:val="31"/>
        </w:rPr>
      </w:pPr>
      <w:bookmarkStart w:id="260" w:name="bookmark242"/>
      <w:bookmarkEnd w:id="260"/>
      <w:r>
        <w:rPr>
          <w:spacing w:val="7"/>
          <w:sz w:val="31"/>
          <w:szCs w:val="31"/>
        </w:rPr>
        <w:t>第四章  合同条款及格式</w:t>
      </w:r>
    </w:p>
    <w:p w14:paraId="54948BAD">
      <w:pPr>
        <w:rPr>
          <w:rFonts w:ascii="Arial"/>
          <w:sz w:val="21"/>
        </w:rPr>
      </w:pPr>
    </w:p>
    <w:p w14:paraId="54371030">
      <w:pPr>
        <w:rPr>
          <w:rFonts w:ascii="Arial"/>
          <w:sz w:val="21"/>
        </w:rPr>
      </w:pPr>
    </w:p>
    <w:p w14:paraId="6F994D82">
      <w:pPr>
        <w:rPr>
          <w:rFonts w:ascii="Arial"/>
          <w:sz w:val="21"/>
        </w:rPr>
      </w:pPr>
    </w:p>
    <w:p w14:paraId="35324706">
      <w:pPr>
        <w:rPr>
          <w:rFonts w:ascii="Arial"/>
          <w:sz w:val="21"/>
        </w:rPr>
      </w:pPr>
    </w:p>
    <w:p w14:paraId="1E33C99F">
      <w:pPr>
        <w:rPr>
          <w:rFonts w:ascii="Arial"/>
          <w:sz w:val="21"/>
        </w:rPr>
      </w:pPr>
    </w:p>
    <w:p w14:paraId="0D6241CF">
      <w:pPr>
        <w:rPr>
          <w:rFonts w:ascii="Arial"/>
          <w:sz w:val="21"/>
        </w:rPr>
      </w:pPr>
    </w:p>
    <w:p w14:paraId="295FF2ED">
      <w:pPr>
        <w:rPr>
          <w:rFonts w:ascii="Arial"/>
          <w:sz w:val="21"/>
        </w:rPr>
      </w:pPr>
    </w:p>
    <w:p w14:paraId="7BB6D2AE">
      <w:pPr>
        <w:rPr>
          <w:rFonts w:ascii="Arial"/>
          <w:sz w:val="21"/>
        </w:rPr>
      </w:pPr>
    </w:p>
    <w:p w14:paraId="60C1E488">
      <w:pPr>
        <w:rPr>
          <w:rFonts w:ascii="Arial"/>
          <w:sz w:val="21"/>
        </w:rPr>
      </w:pPr>
    </w:p>
    <w:p w14:paraId="3773BD48">
      <w:pPr>
        <w:rPr>
          <w:rFonts w:ascii="Arial"/>
          <w:sz w:val="21"/>
        </w:rPr>
      </w:pPr>
    </w:p>
    <w:p w14:paraId="4B83AA35">
      <w:pPr>
        <w:rPr>
          <w:rFonts w:ascii="Arial"/>
          <w:sz w:val="21"/>
        </w:rPr>
      </w:pPr>
    </w:p>
    <w:p w14:paraId="6B7ED076">
      <w:pPr>
        <w:rPr>
          <w:rFonts w:ascii="Arial"/>
          <w:sz w:val="21"/>
        </w:rPr>
      </w:pPr>
    </w:p>
    <w:p w14:paraId="7CED2005">
      <w:pPr>
        <w:rPr>
          <w:rFonts w:ascii="Arial"/>
          <w:sz w:val="21"/>
        </w:rPr>
      </w:pPr>
    </w:p>
    <w:p w14:paraId="393CE806">
      <w:pPr>
        <w:rPr>
          <w:rFonts w:ascii="Arial"/>
          <w:sz w:val="21"/>
        </w:rPr>
      </w:pPr>
    </w:p>
    <w:p w14:paraId="1A7DFF57">
      <w:pPr>
        <w:rPr>
          <w:rFonts w:ascii="Arial"/>
          <w:sz w:val="21"/>
        </w:rPr>
      </w:pPr>
    </w:p>
    <w:p w14:paraId="4BAFAF9D">
      <w:pPr>
        <w:rPr>
          <w:rFonts w:ascii="Arial"/>
          <w:sz w:val="21"/>
        </w:rPr>
      </w:pPr>
    </w:p>
    <w:p w14:paraId="3DD994F5">
      <w:pPr>
        <w:rPr>
          <w:rFonts w:ascii="Arial"/>
          <w:sz w:val="21"/>
        </w:rPr>
      </w:pPr>
    </w:p>
    <w:p w14:paraId="24DE0CF6">
      <w:pPr>
        <w:rPr>
          <w:rFonts w:ascii="Arial"/>
          <w:sz w:val="21"/>
        </w:rPr>
      </w:pPr>
    </w:p>
    <w:p w14:paraId="0911C7BA">
      <w:pPr>
        <w:rPr>
          <w:rFonts w:ascii="Arial"/>
          <w:sz w:val="21"/>
        </w:rPr>
      </w:pPr>
    </w:p>
    <w:p w14:paraId="1996DC51">
      <w:pPr>
        <w:rPr>
          <w:rFonts w:ascii="Arial"/>
          <w:sz w:val="21"/>
        </w:rPr>
      </w:pPr>
    </w:p>
    <w:p w14:paraId="5EEB1DAD">
      <w:pPr>
        <w:rPr>
          <w:rFonts w:ascii="Arial"/>
          <w:sz w:val="21"/>
        </w:rPr>
      </w:pPr>
    </w:p>
    <w:p w14:paraId="11A468CF">
      <w:pPr>
        <w:rPr>
          <w:rFonts w:ascii="Arial"/>
          <w:sz w:val="21"/>
        </w:rPr>
      </w:pPr>
    </w:p>
    <w:p w14:paraId="2CA7E918">
      <w:pPr>
        <w:rPr>
          <w:rFonts w:ascii="Arial"/>
          <w:sz w:val="21"/>
        </w:rPr>
      </w:pPr>
    </w:p>
    <w:p w14:paraId="5D809E9B">
      <w:pPr>
        <w:rPr>
          <w:rFonts w:ascii="Arial"/>
          <w:sz w:val="21"/>
        </w:rPr>
      </w:pPr>
    </w:p>
    <w:p w14:paraId="2373545D">
      <w:pPr>
        <w:rPr>
          <w:rFonts w:ascii="Arial"/>
          <w:sz w:val="21"/>
        </w:rPr>
      </w:pPr>
    </w:p>
    <w:p w14:paraId="201FFAFE">
      <w:pPr>
        <w:rPr>
          <w:rFonts w:ascii="Arial"/>
          <w:sz w:val="21"/>
        </w:rPr>
      </w:pPr>
    </w:p>
    <w:p w14:paraId="47FD65E0">
      <w:pPr>
        <w:rPr>
          <w:rFonts w:ascii="Arial"/>
          <w:sz w:val="21"/>
        </w:rPr>
      </w:pPr>
    </w:p>
    <w:p w14:paraId="0A0A7048">
      <w:pPr>
        <w:rPr>
          <w:rFonts w:ascii="Arial"/>
          <w:sz w:val="21"/>
        </w:rPr>
      </w:pPr>
    </w:p>
    <w:p w14:paraId="71DD8D7F">
      <w:pPr>
        <w:rPr>
          <w:rFonts w:ascii="Arial"/>
          <w:sz w:val="21"/>
        </w:rPr>
      </w:pPr>
    </w:p>
    <w:p w14:paraId="21150D34">
      <w:pPr>
        <w:spacing w:line="241" w:lineRule="auto"/>
        <w:rPr>
          <w:rFonts w:ascii="Arial"/>
          <w:sz w:val="21"/>
        </w:rPr>
      </w:pPr>
    </w:p>
    <w:p w14:paraId="64518774">
      <w:pPr>
        <w:spacing w:line="241" w:lineRule="auto"/>
        <w:rPr>
          <w:rFonts w:ascii="Arial"/>
          <w:sz w:val="21"/>
        </w:rPr>
      </w:pPr>
    </w:p>
    <w:p w14:paraId="3DF8C54C">
      <w:pPr>
        <w:spacing w:line="241" w:lineRule="auto"/>
        <w:rPr>
          <w:rFonts w:ascii="Arial"/>
          <w:sz w:val="21"/>
        </w:rPr>
      </w:pPr>
    </w:p>
    <w:p w14:paraId="31FAD96B">
      <w:pPr>
        <w:spacing w:line="241" w:lineRule="auto"/>
        <w:rPr>
          <w:rFonts w:ascii="Arial"/>
          <w:sz w:val="21"/>
        </w:rPr>
      </w:pPr>
    </w:p>
    <w:p w14:paraId="12E19299">
      <w:pPr>
        <w:spacing w:line="241" w:lineRule="auto"/>
        <w:rPr>
          <w:rFonts w:ascii="Arial"/>
          <w:sz w:val="21"/>
        </w:rPr>
      </w:pPr>
    </w:p>
    <w:p w14:paraId="1D7CA8AF">
      <w:pPr>
        <w:spacing w:before="65" w:line="227" w:lineRule="auto"/>
        <w:rPr>
          <w:rFonts w:ascii="宋体" w:hAnsi="宋体" w:eastAsia="宋体" w:cs="宋体"/>
          <w:sz w:val="20"/>
          <w:szCs w:val="20"/>
        </w:rPr>
      </w:pPr>
      <w:r>
        <w:rPr>
          <w:rFonts w:ascii="宋体" w:hAnsi="宋体" w:eastAsia="宋体" w:cs="宋体"/>
          <w:spacing w:val="7"/>
          <w:sz w:val="20"/>
          <w:szCs w:val="20"/>
        </w:rPr>
        <w:t>备注：</w:t>
      </w:r>
      <w:r>
        <w:rPr>
          <w:rFonts w:ascii="宋体" w:hAnsi="宋体" w:eastAsia="宋体" w:cs="宋体"/>
          <w:spacing w:val="51"/>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本合同条款及格式采用</w:t>
      </w:r>
      <w:r>
        <w:rPr>
          <w:rFonts w:ascii="Times New Roman" w:hAnsi="Times New Roman" w:eastAsia="Times New Roman" w:cs="Times New Roman"/>
          <w:spacing w:val="7"/>
          <w:sz w:val="20"/>
          <w:szCs w:val="20"/>
        </w:rPr>
        <w:t xml:space="preserve">2017 </w:t>
      </w:r>
      <w:r>
        <w:rPr>
          <w:rFonts w:ascii="宋体" w:hAnsi="宋体" w:eastAsia="宋体" w:cs="宋体"/>
          <w:spacing w:val="7"/>
          <w:sz w:val="20"/>
          <w:szCs w:val="20"/>
        </w:rPr>
        <w:t>年</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9</w:t>
      </w:r>
      <w:r>
        <w:rPr>
          <w:rFonts w:ascii="Times New Roman" w:hAnsi="Times New Roman" w:eastAsia="Times New Roman" w:cs="Times New Roman"/>
          <w:spacing w:val="18"/>
          <w:sz w:val="20"/>
          <w:szCs w:val="20"/>
        </w:rPr>
        <w:t xml:space="preserve"> </w:t>
      </w:r>
      <w:r>
        <w:rPr>
          <w:rFonts w:ascii="宋体" w:hAnsi="宋体" w:eastAsia="宋体" w:cs="宋体"/>
          <w:spacing w:val="7"/>
          <w:sz w:val="20"/>
          <w:szCs w:val="20"/>
        </w:rPr>
        <w:t>月</w:t>
      </w:r>
      <w:r>
        <w:rPr>
          <w:rFonts w:ascii="宋体" w:hAnsi="宋体" w:eastAsia="宋体" w:cs="宋体"/>
          <w:spacing w:val="-41"/>
          <w:sz w:val="20"/>
          <w:szCs w:val="20"/>
        </w:rPr>
        <w:t xml:space="preserve"> </w:t>
      </w:r>
      <w:r>
        <w:rPr>
          <w:rFonts w:ascii="Times New Roman" w:hAnsi="Times New Roman" w:eastAsia="Times New Roman" w:cs="Times New Roman"/>
          <w:spacing w:val="7"/>
          <w:sz w:val="20"/>
          <w:szCs w:val="20"/>
        </w:rPr>
        <w:t xml:space="preserve">22  </w:t>
      </w:r>
      <w:r>
        <w:rPr>
          <w:rFonts w:ascii="宋体" w:hAnsi="宋体" w:eastAsia="宋体" w:cs="宋体"/>
          <w:spacing w:val="7"/>
          <w:sz w:val="20"/>
          <w:szCs w:val="20"/>
        </w:rPr>
        <w:t>日住房城乡建设部、工商总局以建市〔</w:t>
      </w:r>
      <w:r>
        <w:rPr>
          <w:rFonts w:ascii="Times New Roman" w:hAnsi="Times New Roman" w:eastAsia="Times New Roman" w:cs="Times New Roman"/>
          <w:spacing w:val="7"/>
          <w:sz w:val="20"/>
          <w:szCs w:val="20"/>
        </w:rPr>
        <w:t>2017</w:t>
      </w:r>
      <w:r>
        <w:rPr>
          <w:rFonts w:ascii="宋体" w:hAnsi="宋体" w:eastAsia="宋体" w:cs="宋体"/>
          <w:spacing w:val="7"/>
          <w:sz w:val="20"/>
          <w:szCs w:val="20"/>
        </w:rPr>
        <w:t>〕</w:t>
      </w:r>
    </w:p>
    <w:p w14:paraId="7957E631">
      <w:pPr>
        <w:spacing w:before="73" w:line="227" w:lineRule="auto"/>
        <w:ind w:left="1042"/>
        <w:rPr>
          <w:rFonts w:ascii="宋体" w:hAnsi="宋体" w:eastAsia="宋体" w:cs="宋体"/>
          <w:sz w:val="20"/>
          <w:szCs w:val="20"/>
        </w:rPr>
      </w:pPr>
      <w:r>
        <w:rPr>
          <w:rFonts w:ascii="Times New Roman" w:hAnsi="Times New Roman" w:eastAsia="Times New Roman" w:cs="Times New Roman"/>
          <w:sz w:val="20"/>
          <w:szCs w:val="20"/>
        </w:rPr>
        <w:t>214</w:t>
      </w:r>
      <w:r>
        <w:rPr>
          <w:rFonts w:ascii="Times New Roman" w:hAnsi="Times New Roman" w:eastAsia="Times New Roman" w:cs="Times New Roman"/>
          <w:spacing w:val="16"/>
          <w:sz w:val="20"/>
          <w:szCs w:val="20"/>
        </w:rPr>
        <w:t xml:space="preserve"> </w:t>
      </w:r>
      <w:r>
        <w:rPr>
          <w:rFonts w:ascii="宋体" w:hAnsi="宋体" w:eastAsia="宋体" w:cs="宋体"/>
          <w:sz w:val="20"/>
          <w:szCs w:val="20"/>
        </w:rPr>
        <w:t>号文发布的《建设工程施工合同（示范文本）》（</w:t>
      </w:r>
      <w:r>
        <w:rPr>
          <w:rFonts w:ascii="Times New Roman" w:hAnsi="Times New Roman" w:eastAsia="Times New Roman" w:cs="Times New Roman"/>
          <w:sz w:val="20"/>
          <w:szCs w:val="20"/>
        </w:rPr>
        <w:t>GF-2017-0201</w:t>
      </w:r>
      <w:r>
        <w:rPr>
          <w:rFonts w:ascii="宋体" w:hAnsi="宋体" w:eastAsia="宋体" w:cs="宋体"/>
          <w:sz w:val="20"/>
          <w:szCs w:val="20"/>
        </w:rPr>
        <w:t>）。</w:t>
      </w:r>
    </w:p>
    <w:p w14:paraId="56070A25">
      <w:pPr>
        <w:spacing w:before="74" w:line="296" w:lineRule="auto"/>
        <w:ind w:left="946" w:hanging="218"/>
        <w:rPr>
          <w:rFonts w:ascii="宋体" w:hAnsi="宋体" w:eastAsia="宋体" w:cs="宋体"/>
          <w:sz w:val="20"/>
          <w:szCs w:val="20"/>
        </w:rPr>
      </w:pPr>
      <w:r>
        <w:rPr>
          <w:rFonts w:ascii="Times New Roman" w:hAnsi="Times New Roman" w:eastAsia="Times New Roman" w:cs="Times New Roman"/>
          <w:spacing w:val="5"/>
          <w:sz w:val="20"/>
          <w:szCs w:val="20"/>
        </w:rPr>
        <w:t xml:space="preserve">2.  </w:t>
      </w:r>
      <w:r>
        <w:rPr>
          <w:rFonts w:ascii="宋体" w:hAnsi="宋体" w:eastAsia="宋体" w:cs="宋体"/>
          <w:spacing w:val="5"/>
          <w:sz w:val="20"/>
          <w:szCs w:val="20"/>
        </w:rPr>
        <w:t>根据《省人民政府办公厅关于印发持续深化一流营商环境建设若干措施的通知》（鄂政</w:t>
      </w:r>
      <w:r>
        <w:rPr>
          <w:rFonts w:ascii="宋体" w:hAnsi="宋体" w:eastAsia="宋体" w:cs="宋体"/>
          <w:spacing w:val="6"/>
          <w:sz w:val="20"/>
          <w:szCs w:val="20"/>
        </w:rPr>
        <w:t>办发〔</w:t>
      </w:r>
      <w:r>
        <w:rPr>
          <w:rFonts w:ascii="Times New Roman" w:hAnsi="Times New Roman" w:eastAsia="Times New Roman" w:cs="Times New Roman"/>
          <w:spacing w:val="6"/>
          <w:sz w:val="20"/>
          <w:szCs w:val="20"/>
        </w:rPr>
        <w:t>2022</w:t>
      </w:r>
      <w:r>
        <w:rPr>
          <w:rFonts w:ascii="宋体" w:hAnsi="宋体" w:eastAsia="宋体" w:cs="宋体"/>
          <w:spacing w:val="6"/>
          <w:sz w:val="20"/>
          <w:szCs w:val="20"/>
        </w:rPr>
        <w:t>〕</w:t>
      </w:r>
      <w:r>
        <w:rPr>
          <w:rFonts w:ascii="Times New Roman" w:hAnsi="Times New Roman" w:eastAsia="Times New Roman" w:cs="Times New Roman"/>
          <w:spacing w:val="6"/>
          <w:sz w:val="20"/>
          <w:szCs w:val="20"/>
        </w:rPr>
        <w:t xml:space="preserve">2  </w:t>
      </w:r>
      <w:r>
        <w:rPr>
          <w:rFonts w:ascii="宋体" w:hAnsi="宋体" w:eastAsia="宋体" w:cs="宋体"/>
          <w:spacing w:val="6"/>
          <w:sz w:val="20"/>
          <w:szCs w:val="20"/>
        </w:rPr>
        <w:t>号）的要求，预留工程质量保证金的，工程质量保证金预留比例不得高</w:t>
      </w:r>
      <w:r>
        <w:rPr>
          <w:rFonts w:ascii="宋体" w:hAnsi="宋体" w:eastAsia="宋体" w:cs="宋体"/>
          <w:spacing w:val="5"/>
          <w:sz w:val="20"/>
          <w:szCs w:val="20"/>
        </w:rPr>
        <w:t>于工程价款结算总额的</w:t>
      </w:r>
      <w:r>
        <w:rPr>
          <w:rFonts w:ascii="宋体" w:hAnsi="宋体" w:eastAsia="宋体" w:cs="宋体"/>
          <w:spacing w:val="-16"/>
          <w:sz w:val="20"/>
          <w:szCs w:val="20"/>
        </w:rPr>
        <w:t xml:space="preserve"> </w:t>
      </w:r>
      <w:r>
        <w:rPr>
          <w:rFonts w:ascii="Times New Roman" w:hAnsi="Times New Roman" w:eastAsia="Times New Roman" w:cs="Times New Roman"/>
          <w:spacing w:val="5"/>
          <w:sz w:val="20"/>
          <w:szCs w:val="20"/>
        </w:rPr>
        <w:t>1.5%</w:t>
      </w:r>
      <w:r>
        <w:rPr>
          <w:rFonts w:ascii="宋体" w:hAnsi="宋体" w:eastAsia="宋体" w:cs="宋体"/>
          <w:spacing w:val="5"/>
          <w:sz w:val="20"/>
          <w:szCs w:val="20"/>
        </w:rPr>
        <w:t>。</w:t>
      </w:r>
    </w:p>
    <w:p w14:paraId="43F0C542">
      <w:pPr>
        <w:spacing w:line="296" w:lineRule="auto"/>
        <w:rPr>
          <w:rFonts w:ascii="宋体" w:hAnsi="宋体" w:eastAsia="宋体" w:cs="宋体"/>
          <w:sz w:val="20"/>
          <w:szCs w:val="20"/>
        </w:rPr>
        <w:sectPr>
          <w:footerReference r:id="rId230" w:type="default"/>
          <w:pgSz w:w="11906" w:h="16839"/>
          <w:pgMar w:top="400" w:right="1557" w:bottom="1038" w:left="1541" w:header="0" w:footer="787" w:gutter="0"/>
          <w:cols w:space="720" w:num="1"/>
        </w:sectPr>
      </w:pPr>
    </w:p>
    <w:p w14:paraId="6C8FDA2D">
      <w:pPr>
        <w:spacing w:line="251" w:lineRule="auto"/>
        <w:rPr>
          <w:rFonts w:ascii="Arial"/>
          <w:sz w:val="21"/>
        </w:rPr>
      </w:pPr>
    </w:p>
    <w:p w14:paraId="72F41587">
      <w:pPr>
        <w:spacing w:line="251" w:lineRule="auto"/>
        <w:rPr>
          <w:rFonts w:ascii="Arial"/>
          <w:sz w:val="21"/>
        </w:rPr>
      </w:pPr>
    </w:p>
    <w:p w14:paraId="0D6D4BA2">
      <w:pPr>
        <w:spacing w:line="251" w:lineRule="auto"/>
        <w:rPr>
          <w:rFonts w:ascii="Arial"/>
          <w:sz w:val="21"/>
        </w:rPr>
      </w:pPr>
    </w:p>
    <w:p w14:paraId="55B8334B">
      <w:pPr>
        <w:spacing w:line="251" w:lineRule="auto"/>
        <w:rPr>
          <w:rFonts w:ascii="Arial"/>
          <w:sz w:val="21"/>
        </w:rPr>
      </w:pPr>
    </w:p>
    <w:p w14:paraId="0E5D943A">
      <w:pPr>
        <w:spacing w:line="252" w:lineRule="auto"/>
        <w:rPr>
          <w:rFonts w:ascii="Arial"/>
          <w:sz w:val="21"/>
        </w:rPr>
      </w:pPr>
    </w:p>
    <w:p w14:paraId="07A6B2E1">
      <w:pPr>
        <w:spacing w:line="252" w:lineRule="auto"/>
        <w:rPr>
          <w:rFonts w:ascii="Arial"/>
          <w:sz w:val="21"/>
        </w:rPr>
      </w:pPr>
    </w:p>
    <w:p w14:paraId="1891C3FB">
      <w:pPr>
        <w:spacing w:line="252" w:lineRule="auto"/>
        <w:rPr>
          <w:rFonts w:ascii="Arial"/>
          <w:sz w:val="21"/>
        </w:rPr>
      </w:pPr>
    </w:p>
    <w:p w14:paraId="4E88E30D">
      <w:pPr>
        <w:spacing w:line="252" w:lineRule="auto"/>
        <w:rPr>
          <w:rFonts w:ascii="Arial"/>
          <w:sz w:val="21"/>
        </w:rPr>
      </w:pPr>
    </w:p>
    <w:p w14:paraId="7179113C">
      <w:pPr>
        <w:spacing w:line="252" w:lineRule="auto"/>
        <w:rPr>
          <w:rFonts w:ascii="Arial"/>
          <w:sz w:val="21"/>
        </w:rPr>
      </w:pPr>
    </w:p>
    <w:p w14:paraId="386C0B70">
      <w:pPr>
        <w:spacing w:line="252" w:lineRule="auto"/>
        <w:rPr>
          <w:rFonts w:ascii="Arial"/>
          <w:sz w:val="21"/>
        </w:rPr>
      </w:pPr>
    </w:p>
    <w:p w14:paraId="2C78BB39">
      <w:pPr>
        <w:spacing w:line="252" w:lineRule="auto"/>
        <w:rPr>
          <w:rFonts w:ascii="Arial"/>
          <w:sz w:val="21"/>
        </w:rPr>
      </w:pPr>
    </w:p>
    <w:p w14:paraId="5C9CEAD9">
      <w:pPr>
        <w:spacing w:line="252" w:lineRule="auto"/>
        <w:rPr>
          <w:rFonts w:ascii="Arial"/>
          <w:sz w:val="21"/>
        </w:rPr>
      </w:pPr>
    </w:p>
    <w:p w14:paraId="27F0669C">
      <w:pPr>
        <w:spacing w:line="252" w:lineRule="auto"/>
        <w:rPr>
          <w:rFonts w:ascii="Arial"/>
          <w:sz w:val="21"/>
        </w:rPr>
      </w:pPr>
    </w:p>
    <w:p w14:paraId="2169781D">
      <w:pPr>
        <w:spacing w:line="252" w:lineRule="auto"/>
        <w:rPr>
          <w:rFonts w:ascii="Arial"/>
          <w:sz w:val="21"/>
        </w:rPr>
      </w:pPr>
    </w:p>
    <w:p w14:paraId="61EE8C65">
      <w:pPr>
        <w:spacing w:line="252" w:lineRule="auto"/>
        <w:rPr>
          <w:rFonts w:ascii="Arial"/>
          <w:sz w:val="21"/>
        </w:rPr>
      </w:pPr>
    </w:p>
    <w:p w14:paraId="1F5A3833">
      <w:pPr>
        <w:spacing w:line="252" w:lineRule="auto"/>
        <w:rPr>
          <w:rFonts w:ascii="Arial"/>
          <w:sz w:val="21"/>
        </w:rPr>
      </w:pPr>
    </w:p>
    <w:p w14:paraId="478DC0DE">
      <w:pPr>
        <w:spacing w:line="252" w:lineRule="auto"/>
        <w:rPr>
          <w:rFonts w:ascii="Arial"/>
          <w:sz w:val="21"/>
        </w:rPr>
      </w:pPr>
    </w:p>
    <w:p w14:paraId="35C98C8B">
      <w:pPr>
        <w:pStyle w:val="2"/>
        <w:spacing w:before="91" w:line="222" w:lineRule="auto"/>
        <w:ind w:left="2835"/>
        <w:outlineLvl w:val="1"/>
        <w:rPr>
          <w:sz w:val="28"/>
          <w:szCs w:val="28"/>
        </w:rPr>
      </w:pPr>
      <w:bookmarkStart w:id="261" w:name="bookmark243"/>
      <w:bookmarkEnd w:id="261"/>
      <w:r>
        <w:rPr>
          <w:spacing w:val="-1"/>
          <w:sz w:val="28"/>
          <w:szCs w:val="28"/>
        </w:rPr>
        <w:t>第一部分 合同协议书</w:t>
      </w:r>
    </w:p>
    <w:p w14:paraId="3E064EE0">
      <w:pPr>
        <w:spacing w:line="222" w:lineRule="auto"/>
        <w:rPr>
          <w:sz w:val="28"/>
          <w:szCs w:val="28"/>
        </w:rPr>
        <w:sectPr>
          <w:footerReference r:id="rId231" w:type="default"/>
          <w:pgSz w:w="11906" w:h="16839"/>
          <w:pgMar w:top="400" w:right="1785" w:bottom="1038" w:left="1785" w:header="0" w:footer="787" w:gutter="0"/>
          <w:cols w:space="720" w:num="1"/>
        </w:sectPr>
      </w:pPr>
    </w:p>
    <w:p w14:paraId="53B31F08">
      <w:pPr>
        <w:spacing w:line="250" w:lineRule="auto"/>
        <w:rPr>
          <w:rFonts w:ascii="Arial"/>
          <w:sz w:val="21"/>
        </w:rPr>
      </w:pPr>
    </w:p>
    <w:p w14:paraId="6DCFF29F">
      <w:pPr>
        <w:spacing w:line="250" w:lineRule="auto"/>
        <w:rPr>
          <w:rFonts w:ascii="Arial"/>
          <w:sz w:val="21"/>
        </w:rPr>
      </w:pPr>
    </w:p>
    <w:p w14:paraId="376B40A7">
      <w:pPr>
        <w:spacing w:line="250" w:lineRule="auto"/>
        <w:rPr>
          <w:rFonts w:ascii="Arial"/>
          <w:sz w:val="21"/>
        </w:rPr>
      </w:pPr>
    </w:p>
    <w:p w14:paraId="503BEB12">
      <w:pPr>
        <w:spacing w:line="250" w:lineRule="auto"/>
        <w:rPr>
          <w:rFonts w:ascii="Arial"/>
          <w:sz w:val="21"/>
        </w:rPr>
      </w:pPr>
    </w:p>
    <w:p w14:paraId="7D58038A">
      <w:pPr>
        <w:pStyle w:val="2"/>
        <w:spacing w:before="91" w:line="222" w:lineRule="auto"/>
        <w:ind w:left="3993"/>
        <w:rPr>
          <w:sz w:val="28"/>
          <w:szCs w:val="28"/>
        </w:rPr>
      </w:pPr>
      <w:r>
        <w:rPr>
          <w:spacing w:val="-3"/>
          <w:sz w:val="28"/>
          <w:szCs w:val="28"/>
        </w:rPr>
        <w:t>合同协议书</w:t>
      </w:r>
    </w:p>
    <w:p w14:paraId="1C54A8C7">
      <w:pPr>
        <w:spacing w:line="420" w:lineRule="auto"/>
        <w:rPr>
          <w:rFonts w:ascii="Arial"/>
          <w:sz w:val="21"/>
        </w:rPr>
      </w:pPr>
    </w:p>
    <w:p w14:paraId="52FC345D">
      <w:pPr>
        <w:spacing w:before="65" w:line="228" w:lineRule="auto"/>
        <w:ind w:left="4"/>
        <w:rPr>
          <w:rFonts w:ascii="宋体" w:hAnsi="宋体" w:eastAsia="宋体" w:cs="宋体"/>
          <w:sz w:val="20"/>
          <w:szCs w:val="20"/>
        </w:rPr>
      </w:pPr>
      <w:r>
        <w:rPr>
          <w:rFonts w:ascii="宋体" w:hAnsi="宋体" w:eastAsia="宋体" w:cs="宋体"/>
          <w:spacing w:val="7"/>
          <w:sz w:val="20"/>
          <w:szCs w:val="20"/>
        </w:rPr>
        <w:t>发包人（全称</w:t>
      </w:r>
      <w:r>
        <w:rPr>
          <w:rFonts w:ascii="宋体" w:hAnsi="宋体" w:eastAsia="宋体" w:cs="宋体"/>
          <w:spacing w:val="-52"/>
          <w:sz w:val="20"/>
          <w:szCs w:val="20"/>
        </w:rPr>
        <w:t>）：</w:t>
      </w:r>
      <w:r>
        <w:rPr>
          <w:rFonts w:ascii="宋体" w:hAnsi="宋体" w:eastAsia="宋体" w:cs="宋体"/>
          <w:spacing w:val="-77"/>
          <w:sz w:val="20"/>
          <w:szCs w:val="20"/>
        </w:rPr>
        <w:t xml:space="preserve"> </w:t>
      </w:r>
      <w:r>
        <w:rPr>
          <w:rFonts w:ascii="宋体" w:hAnsi="宋体" w:eastAsia="宋体" w:cs="宋体"/>
          <w:sz w:val="20"/>
          <w:szCs w:val="20"/>
          <w:u w:val="single" w:color="auto"/>
        </w:rPr>
        <w:t xml:space="preserve">                                      </w:t>
      </w:r>
    </w:p>
    <w:p w14:paraId="0C560D05">
      <w:pPr>
        <w:spacing w:before="131" w:line="228" w:lineRule="auto"/>
        <w:rPr>
          <w:rFonts w:ascii="宋体" w:hAnsi="宋体" w:eastAsia="宋体" w:cs="宋体"/>
          <w:sz w:val="20"/>
          <w:szCs w:val="20"/>
        </w:rPr>
      </w:pPr>
      <w:r>
        <w:rPr>
          <w:rFonts w:ascii="宋体" w:hAnsi="宋体" w:eastAsia="宋体" w:cs="宋体"/>
          <w:spacing w:val="8"/>
          <w:sz w:val="20"/>
          <w:szCs w:val="20"/>
        </w:rPr>
        <w:t>承包人（全称</w:t>
      </w:r>
      <w:r>
        <w:rPr>
          <w:rFonts w:ascii="宋体" w:hAnsi="宋体" w:eastAsia="宋体" w:cs="宋体"/>
          <w:spacing w:val="-54"/>
          <w:sz w:val="20"/>
          <w:szCs w:val="20"/>
        </w:rPr>
        <w:t>）：</w:t>
      </w:r>
      <w:r>
        <w:rPr>
          <w:rFonts w:ascii="宋体" w:hAnsi="宋体" w:eastAsia="宋体" w:cs="宋体"/>
          <w:spacing w:val="-76"/>
          <w:sz w:val="20"/>
          <w:szCs w:val="20"/>
        </w:rPr>
        <w:t xml:space="preserve"> </w:t>
      </w:r>
      <w:r>
        <w:rPr>
          <w:rFonts w:ascii="宋体" w:hAnsi="宋体" w:eastAsia="宋体" w:cs="宋体"/>
          <w:sz w:val="20"/>
          <w:szCs w:val="20"/>
          <w:u w:val="single" w:color="auto"/>
        </w:rPr>
        <w:t xml:space="preserve">                                      </w:t>
      </w:r>
    </w:p>
    <w:p w14:paraId="264E9978">
      <w:pPr>
        <w:spacing w:before="135" w:line="351" w:lineRule="auto"/>
        <w:ind w:firstLine="420"/>
        <w:jc w:val="both"/>
        <w:rPr>
          <w:rFonts w:ascii="宋体" w:hAnsi="宋体" w:eastAsia="宋体" w:cs="宋体"/>
          <w:sz w:val="20"/>
          <w:szCs w:val="20"/>
        </w:rPr>
      </w:pPr>
      <w:r>
        <w:rPr>
          <w:rFonts w:ascii="宋体" w:hAnsi="宋体" w:eastAsia="宋体" w:cs="宋体"/>
          <w:spacing w:val="3"/>
          <w:sz w:val="20"/>
          <w:szCs w:val="20"/>
        </w:rPr>
        <w:t>根据《中华人民共和国民法典》、《中华人民共和国建筑法》及有关法律规定，遵循平等、</w:t>
      </w:r>
      <w:r>
        <w:rPr>
          <w:rFonts w:ascii="宋体" w:hAnsi="宋体" w:eastAsia="宋体" w:cs="宋体"/>
          <w:spacing w:val="-33"/>
          <w:sz w:val="20"/>
          <w:szCs w:val="20"/>
        </w:rPr>
        <w:t xml:space="preserve"> </w:t>
      </w:r>
      <w:r>
        <w:rPr>
          <w:rFonts w:ascii="宋体" w:hAnsi="宋体" w:eastAsia="宋体" w:cs="宋体"/>
          <w:spacing w:val="3"/>
          <w:sz w:val="20"/>
          <w:szCs w:val="20"/>
        </w:rPr>
        <w:t>自</w:t>
      </w:r>
      <w:r>
        <w:rPr>
          <w:rFonts w:ascii="宋体" w:hAnsi="宋体" w:eastAsia="宋体" w:cs="宋体"/>
          <w:spacing w:val="6"/>
          <w:sz w:val="20"/>
          <w:szCs w:val="20"/>
        </w:rPr>
        <w:t>愿、公平和诚实信用的原则，双方就</w:t>
      </w:r>
      <w:r>
        <w:rPr>
          <w:rFonts w:ascii="宋体" w:hAnsi="宋体" w:eastAsia="宋体" w:cs="宋体"/>
          <w:spacing w:val="-97"/>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6"/>
          <w:sz w:val="20"/>
          <w:szCs w:val="20"/>
        </w:rPr>
        <w:t>工程施工及有关事项协商一致，共同</w:t>
      </w:r>
      <w:r>
        <w:rPr>
          <w:rFonts w:ascii="宋体" w:hAnsi="宋体" w:eastAsia="宋体" w:cs="宋体"/>
          <w:spacing w:val="7"/>
          <w:sz w:val="20"/>
          <w:szCs w:val="20"/>
        </w:rPr>
        <w:t>达成如下协议：</w:t>
      </w:r>
    </w:p>
    <w:p w14:paraId="7805B80B">
      <w:pPr>
        <w:pStyle w:val="2"/>
        <w:spacing w:before="80" w:line="229" w:lineRule="auto"/>
        <w:ind w:left="4"/>
        <w:rPr>
          <w:sz w:val="20"/>
          <w:szCs w:val="20"/>
        </w:rPr>
      </w:pPr>
      <w:r>
        <w:rPr>
          <w:b/>
          <w:bCs/>
          <w:spacing w:val="6"/>
          <w:sz w:val="20"/>
          <w:szCs w:val="20"/>
        </w:rPr>
        <w:t>一、工程概况</w:t>
      </w:r>
    </w:p>
    <w:p w14:paraId="7439BD5A">
      <w:pPr>
        <w:spacing w:before="295" w:line="228" w:lineRule="auto"/>
        <w:ind w:left="437"/>
        <w:rPr>
          <w:rFonts w:ascii="宋体" w:hAnsi="宋体" w:eastAsia="宋体" w:cs="宋体"/>
          <w:sz w:val="20"/>
          <w:szCs w:val="20"/>
        </w:rPr>
      </w:pPr>
      <w:r>
        <w:rPr>
          <w:rFonts w:ascii="Times New Roman" w:hAnsi="Times New Roman" w:eastAsia="Times New Roman" w:cs="Times New Roman"/>
          <w:spacing w:val="4"/>
          <w:sz w:val="20"/>
          <w:szCs w:val="20"/>
        </w:rPr>
        <w:t>1.</w:t>
      </w:r>
      <w:r>
        <w:rPr>
          <w:rFonts w:ascii="宋体" w:hAnsi="宋体" w:eastAsia="宋体" w:cs="宋体"/>
          <w:spacing w:val="4"/>
          <w:sz w:val="20"/>
          <w:szCs w:val="20"/>
        </w:rPr>
        <w:t>工程名称：</w:t>
      </w:r>
      <w:r>
        <w:rPr>
          <w:rFonts w:ascii="宋体" w:hAnsi="宋体" w:eastAsia="宋体" w:cs="宋体"/>
          <w:spacing w:val="1"/>
          <w:sz w:val="20"/>
          <w:szCs w:val="20"/>
          <w:u w:val="single" w:color="auto"/>
        </w:rPr>
        <w:t xml:space="preserve">                               </w:t>
      </w:r>
      <w:r>
        <w:rPr>
          <w:rFonts w:ascii="宋体" w:hAnsi="宋体" w:eastAsia="宋体" w:cs="宋体"/>
          <w:spacing w:val="4"/>
          <w:sz w:val="20"/>
          <w:szCs w:val="20"/>
        </w:rPr>
        <w:t>。</w:t>
      </w:r>
    </w:p>
    <w:p w14:paraId="03016536">
      <w:pPr>
        <w:spacing w:before="132" w:line="228" w:lineRule="auto"/>
        <w:ind w:left="417"/>
        <w:rPr>
          <w:rFonts w:ascii="宋体" w:hAnsi="宋体" w:eastAsia="宋体" w:cs="宋体"/>
          <w:sz w:val="20"/>
          <w:szCs w:val="20"/>
        </w:rPr>
      </w:pPr>
      <w:r>
        <w:rPr>
          <w:rFonts w:ascii="Times New Roman" w:hAnsi="Times New Roman" w:eastAsia="Times New Roman" w:cs="Times New Roman"/>
          <w:spacing w:val="5"/>
          <w:sz w:val="20"/>
          <w:szCs w:val="20"/>
        </w:rPr>
        <w:t>2.</w:t>
      </w:r>
      <w:r>
        <w:rPr>
          <w:rFonts w:ascii="宋体" w:hAnsi="宋体" w:eastAsia="宋体" w:cs="宋体"/>
          <w:spacing w:val="5"/>
          <w:sz w:val="20"/>
          <w:szCs w:val="20"/>
        </w:rPr>
        <w:t>工程地点：</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C023048">
      <w:pPr>
        <w:spacing w:before="132" w:line="228" w:lineRule="auto"/>
        <w:ind w:left="421"/>
        <w:rPr>
          <w:rFonts w:ascii="宋体" w:hAnsi="宋体" w:eastAsia="宋体" w:cs="宋体"/>
          <w:sz w:val="20"/>
          <w:szCs w:val="20"/>
        </w:rPr>
      </w:pPr>
      <w:r>
        <w:rPr>
          <w:rFonts w:ascii="Times New Roman" w:hAnsi="Times New Roman" w:eastAsia="Times New Roman" w:cs="Times New Roman"/>
          <w:spacing w:val="6"/>
          <w:sz w:val="20"/>
          <w:szCs w:val="20"/>
        </w:rPr>
        <w:t>3.</w:t>
      </w:r>
      <w:r>
        <w:rPr>
          <w:rFonts w:ascii="宋体" w:hAnsi="宋体" w:eastAsia="宋体" w:cs="宋体"/>
          <w:spacing w:val="6"/>
          <w:sz w:val="20"/>
          <w:szCs w:val="20"/>
        </w:rPr>
        <w:t>工程立项批准文号：</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EBC3560">
      <w:pPr>
        <w:spacing w:before="134" w:line="228" w:lineRule="auto"/>
        <w:ind w:left="416"/>
        <w:rPr>
          <w:rFonts w:ascii="宋体" w:hAnsi="宋体" w:eastAsia="宋体" w:cs="宋体"/>
          <w:sz w:val="20"/>
          <w:szCs w:val="20"/>
        </w:rPr>
      </w:pPr>
      <w:r>
        <w:rPr>
          <w:rFonts w:ascii="Times New Roman" w:hAnsi="Times New Roman" w:eastAsia="Times New Roman" w:cs="Times New Roman"/>
          <w:spacing w:val="5"/>
          <w:sz w:val="20"/>
          <w:szCs w:val="20"/>
        </w:rPr>
        <w:t>4.</w:t>
      </w:r>
      <w:r>
        <w:rPr>
          <w:rFonts w:ascii="宋体" w:hAnsi="宋体" w:eastAsia="宋体" w:cs="宋体"/>
          <w:spacing w:val="5"/>
          <w:sz w:val="20"/>
          <w:szCs w:val="20"/>
        </w:rPr>
        <w:t>资金来源：</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17755F6">
      <w:pPr>
        <w:spacing w:before="132" w:line="228" w:lineRule="auto"/>
        <w:ind w:left="422"/>
        <w:rPr>
          <w:rFonts w:ascii="宋体" w:hAnsi="宋体" w:eastAsia="宋体" w:cs="宋体"/>
          <w:sz w:val="20"/>
          <w:szCs w:val="20"/>
        </w:rPr>
      </w:pPr>
      <w:r>
        <w:rPr>
          <w:rFonts w:ascii="Times New Roman" w:hAnsi="Times New Roman" w:eastAsia="Times New Roman" w:cs="Times New Roman"/>
          <w:spacing w:val="5"/>
          <w:sz w:val="20"/>
          <w:szCs w:val="20"/>
        </w:rPr>
        <w:t>5.</w:t>
      </w:r>
      <w:r>
        <w:rPr>
          <w:rFonts w:ascii="宋体" w:hAnsi="宋体" w:eastAsia="宋体" w:cs="宋体"/>
          <w:spacing w:val="5"/>
          <w:sz w:val="20"/>
          <w:szCs w:val="20"/>
        </w:rPr>
        <w:t>工程内容：</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 xml:space="preserve"> 。</w:t>
      </w:r>
    </w:p>
    <w:p w14:paraId="32ABC67F">
      <w:pPr>
        <w:spacing w:before="133" w:line="227" w:lineRule="auto"/>
        <w:ind w:left="420"/>
        <w:rPr>
          <w:rFonts w:ascii="宋体" w:hAnsi="宋体" w:eastAsia="宋体" w:cs="宋体"/>
          <w:sz w:val="20"/>
          <w:szCs w:val="20"/>
        </w:rPr>
      </w:pPr>
      <w:r>
        <w:rPr>
          <w:rFonts w:ascii="宋体" w:hAnsi="宋体" w:eastAsia="宋体" w:cs="宋体"/>
          <w:spacing w:val="1"/>
          <w:sz w:val="20"/>
          <w:szCs w:val="20"/>
        </w:rPr>
        <w:t>群体工程应附《承包人承揽工程项目一览表》（附件</w:t>
      </w:r>
      <w:r>
        <w:rPr>
          <w:rFonts w:ascii="宋体" w:hAnsi="宋体" w:eastAsia="宋体" w:cs="宋体"/>
          <w:spacing w:val="-20"/>
          <w:sz w:val="20"/>
          <w:szCs w:val="20"/>
        </w:rPr>
        <w:t xml:space="preserve"> </w:t>
      </w:r>
      <w:r>
        <w:rPr>
          <w:rFonts w:ascii="Times New Roman" w:hAnsi="Times New Roman" w:eastAsia="Times New Roman" w:cs="Times New Roman"/>
          <w:spacing w:val="1"/>
          <w:sz w:val="20"/>
          <w:szCs w:val="20"/>
        </w:rPr>
        <w:t>1</w:t>
      </w:r>
      <w:r>
        <w:rPr>
          <w:rFonts w:ascii="宋体" w:hAnsi="宋体" w:eastAsia="宋体" w:cs="宋体"/>
          <w:spacing w:val="1"/>
          <w:sz w:val="20"/>
          <w:szCs w:val="20"/>
        </w:rPr>
        <w:t>）。</w:t>
      </w:r>
    </w:p>
    <w:p w14:paraId="5043EE51">
      <w:pPr>
        <w:spacing w:before="135" w:line="228" w:lineRule="auto"/>
        <w:ind w:left="421"/>
        <w:rPr>
          <w:rFonts w:ascii="宋体" w:hAnsi="宋体" w:eastAsia="宋体" w:cs="宋体"/>
          <w:sz w:val="20"/>
          <w:szCs w:val="20"/>
        </w:rPr>
      </w:pPr>
      <w:r>
        <w:rPr>
          <w:rFonts w:ascii="Times New Roman" w:hAnsi="Times New Roman" w:eastAsia="Times New Roman" w:cs="Times New Roman"/>
          <w:spacing w:val="6"/>
          <w:sz w:val="20"/>
          <w:szCs w:val="20"/>
        </w:rPr>
        <w:t>6.</w:t>
      </w:r>
      <w:r>
        <w:rPr>
          <w:rFonts w:ascii="宋体" w:hAnsi="宋体" w:eastAsia="宋体" w:cs="宋体"/>
          <w:spacing w:val="6"/>
          <w:sz w:val="20"/>
          <w:szCs w:val="20"/>
        </w:rPr>
        <w:t>工程承包范围：</w:t>
      </w:r>
    </w:p>
    <w:p w14:paraId="3BE08CAD">
      <w:pPr>
        <w:tabs>
          <w:tab w:val="left" w:pos="7552"/>
        </w:tabs>
        <w:spacing w:before="142"/>
        <w:ind w:left="412"/>
        <w:rPr>
          <w:rFonts w:ascii="Arial"/>
          <w:sz w:val="21"/>
        </w:rPr>
      </w:pPr>
      <w:r>
        <w:rPr>
          <w:rFonts w:ascii="Arial" w:hAnsi="Arial" w:eastAsia="Arial" w:cs="Arial"/>
          <w:sz w:val="21"/>
          <w:szCs w:val="21"/>
          <w:u w:val="single" w:color="auto"/>
        </w:rPr>
        <w:tab/>
      </w:r>
    </w:p>
    <w:p w14:paraId="3A3A09D7">
      <w:pPr>
        <w:tabs>
          <w:tab w:val="left" w:pos="7552"/>
        </w:tabs>
        <w:spacing w:before="263" w:line="95" w:lineRule="auto"/>
        <w:ind w:left="412"/>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rPr>
        <w:t>。</w:t>
      </w:r>
    </w:p>
    <w:p w14:paraId="461DE7D6">
      <w:pPr>
        <w:pStyle w:val="2"/>
        <w:spacing w:before="226" w:line="231" w:lineRule="auto"/>
        <w:ind w:left="4"/>
        <w:rPr>
          <w:sz w:val="20"/>
          <w:szCs w:val="20"/>
        </w:rPr>
      </w:pPr>
      <w:r>
        <w:rPr>
          <w:b/>
          <w:bCs/>
          <w:spacing w:val="6"/>
          <w:sz w:val="20"/>
          <w:szCs w:val="20"/>
        </w:rPr>
        <w:t>二、合同工期</w:t>
      </w:r>
    </w:p>
    <w:p w14:paraId="6ABF83B3">
      <w:pPr>
        <w:spacing w:before="291" w:line="228" w:lineRule="auto"/>
        <w:ind w:left="420"/>
        <w:rPr>
          <w:rFonts w:ascii="宋体" w:hAnsi="宋体" w:eastAsia="宋体" w:cs="宋体"/>
          <w:sz w:val="20"/>
          <w:szCs w:val="20"/>
        </w:rPr>
      </w:pPr>
      <w:r>
        <w:rPr>
          <w:rFonts w:ascii="宋体" w:hAnsi="宋体" w:eastAsia="宋体" w:cs="宋体"/>
          <w:spacing w:val="2"/>
          <w:sz w:val="20"/>
          <w:szCs w:val="20"/>
        </w:rPr>
        <w:t>计划开工日期：</w:t>
      </w:r>
      <w:r>
        <w:rPr>
          <w:rFonts w:ascii="宋体" w:hAnsi="宋体" w:eastAsia="宋体" w:cs="宋体"/>
          <w:spacing w:val="6"/>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41E3BEA5">
      <w:pPr>
        <w:spacing w:before="133" w:line="228" w:lineRule="auto"/>
        <w:ind w:left="420"/>
        <w:rPr>
          <w:rFonts w:ascii="宋体" w:hAnsi="宋体" w:eastAsia="宋体" w:cs="宋体"/>
          <w:sz w:val="20"/>
          <w:szCs w:val="20"/>
        </w:rPr>
      </w:pPr>
      <w:r>
        <w:rPr>
          <w:rFonts w:ascii="宋体" w:hAnsi="宋体" w:eastAsia="宋体" w:cs="宋体"/>
          <w:spacing w:val="2"/>
          <w:sz w:val="20"/>
          <w:szCs w:val="20"/>
        </w:rPr>
        <w:t>计划竣工日期：</w:t>
      </w:r>
      <w:r>
        <w:rPr>
          <w:rFonts w:ascii="宋体" w:hAnsi="宋体" w:eastAsia="宋体" w:cs="宋体"/>
          <w:spacing w:val="6"/>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39BCEDA0">
      <w:pPr>
        <w:spacing w:before="131" w:line="354" w:lineRule="auto"/>
        <w:ind w:left="4" w:firstLine="419"/>
        <w:rPr>
          <w:rFonts w:ascii="宋体" w:hAnsi="宋体" w:eastAsia="宋体" w:cs="宋体"/>
          <w:sz w:val="20"/>
          <w:szCs w:val="20"/>
        </w:rPr>
      </w:pPr>
      <w:r>
        <w:rPr>
          <w:rFonts w:ascii="宋体" w:hAnsi="宋体" w:eastAsia="宋体" w:cs="宋体"/>
          <w:spacing w:val="9"/>
          <w:sz w:val="20"/>
          <w:szCs w:val="20"/>
        </w:rPr>
        <w:t>工期总日历天数：</w:t>
      </w:r>
      <w:r>
        <w:rPr>
          <w:rFonts w:ascii="宋体" w:hAnsi="宋体" w:eastAsia="宋体" w:cs="宋体"/>
          <w:spacing w:val="9"/>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9"/>
          <w:sz w:val="20"/>
          <w:szCs w:val="20"/>
        </w:rPr>
        <w:t>天。工期总日历</w:t>
      </w:r>
      <w:r>
        <w:rPr>
          <w:rFonts w:ascii="宋体" w:hAnsi="宋体" w:eastAsia="宋体" w:cs="宋体"/>
          <w:spacing w:val="8"/>
          <w:sz w:val="20"/>
          <w:szCs w:val="20"/>
        </w:rPr>
        <w:t>天数与根据前述计划开竣工日期计算的工期天数不一致的，以工期总日历天数为准。</w:t>
      </w:r>
    </w:p>
    <w:p w14:paraId="7C0F8B95">
      <w:pPr>
        <w:pStyle w:val="2"/>
        <w:spacing w:before="79" w:line="231" w:lineRule="auto"/>
        <w:ind w:left="110"/>
        <w:rPr>
          <w:sz w:val="20"/>
          <w:szCs w:val="20"/>
        </w:rPr>
      </w:pPr>
      <w:r>
        <w:rPr>
          <w:b/>
          <w:bCs/>
          <w:spacing w:val="6"/>
          <w:sz w:val="20"/>
          <w:szCs w:val="20"/>
        </w:rPr>
        <w:t>三、质量标准</w:t>
      </w:r>
    </w:p>
    <w:p w14:paraId="1AB471C1">
      <w:pPr>
        <w:spacing w:before="289" w:line="228" w:lineRule="auto"/>
        <w:ind w:left="423"/>
        <w:rPr>
          <w:rFonts w:ascii="宋体" w:hAnsi="宋体" w:eastAsia="宋体" w:cs="宋体"/>
          <w:sz w:val="20"/>
          <w:szCs w:val="20"/>
        </w:rPr>
      </w:pPr>
      <w:r>
        <w:rPr>
          <w:rFonts w:ascii="宋体" w:hAnsi="宋体" w:eastAsia="宋体" w:cs="宋体"/>
          <w:spacing w:val="6"/>
          <w:sz w:val="20"/>
          <w:szCs w:val="20"/>
        </w:rPr>
        <w:t>工程质量符合</w:t>
      </w:r>
      <w:r>
        <w:rPr>
          <w:rFonts w:ascii="宋体" w:hAnsi="宋体" w:eastAsia="宋体" w:cs="宋体"/>
          <w:spacing w:val="-98"/>
          <w:sz w:val="20"/>
          <w:szCs w:val="20"/>
        </w:rPr>
        <w:t xml:space="preserve"> </w:t>
      </w:r>
      <w:r>
        <w:rPr>
          <w:rFonts w:ascii="宋体" w:hAnsi="宋体" w:eastAsia="宋体" w:cs="宋体"/>
          <w:spacing w:val="1"/>
          <w:sz w:val="20"/>
          <w:szCs w:val="20"/>
          <w:u w:val="single" w:color="auto"/>
        </w:rPr>
        <w:t xml:space="preserve">                              </w:t>
      </w:r>
      <w:r>
        <w:rPr>
          <w:rFonts w:ascii="宋体" w:hAnsi="宋体" w:eastAsia="宋体" w:cs="宋体"/>
          <w:spacing w:val="-75"/>
          <w:sz w:val="20"/>
          <w:szCs w:val="20"/>
        </w:rPr>
        <w:t xml:space="preserve"> </w:t>
      </w:r>
      <w:r>
        <w:rPr>
          <w:rFonts w:ascii="宋体" w:hAnsi="宋体" w:eastAsia="宋体" w:cs="宋体"/>
          <w:spacing w:val="6"/>
          <w:sz w:val="20"/>
          <w:szCs w:val="20"/>
        </w:rPr>
        <w:t>标准。</w:t>
      </w:r>
    </w:p>
    <w:p w14:paraId="49B4E5EB">
      <w:pPr>
        <w:pStyle w:val="2"/>
        <w:spacing w:before="217" w:line="230" w:lineRule="auto"/>
        <w:ind w:left="118"/>
        <w:rPr>
          <w:sz w:val="20"/>
          <w:szCs w:val="20"/>
        </w:rPr>
      </w:pPr>
      <w:r>
        <w:rPr>
          <w:b/>
          <w:bCs/>
          <w:spacing w:val="7"/>
          <w:sz w:val="20"/>
          <w:szCs w:val="20"/>
        </w:rPr>
        <w:t>四、签约合同价与合同价格形式</w:t>
      </w:r>
    </w:p>
    <w:p w14:paraId="182C6CA0">
      <w:pPr>
        <w:spacing w:before="291" w:line="226" w:lineRule="auto"/>
        <w:ind w:left="437"/>
        <w:rPr>
          <w:rFonts w:ascii="宋体" w:hAnsi="宋体" w:eastAsia="宋体" w:cs="宋体"/>
          <w:sz w:val="20"/>
          <w:szCs w:val="20"/>
        </w:rPr>
      </w:pPr>
      <w:r>
        <w:rPr>
          <w:rFonts w:ascii="Times New Roman" w:hAnsi="Times New Roman" w:eastAsia="Times New Roman" w:cs="Times New Roman"/>
          <w:spacing w:val="4"/>
          <w:sz w:val="20"/>
          <w:szCs w:val="20"/>
        </w:rPr>
        <w:t>1.</w:t>
      </w:r>
      <w:r>
        <w:rPr>
          <w:rFonts w:ascii="宋体" w:hAnsi="宋体" w:eastAsia="宋体" w:cs="宋体"/>
          <w:spacing w:val="4"/>
          <w:sz w:val="20"/>
          <w:szCs w:val="20"/>
        </w:rPr>
        <w:t>签约合同价为：</w:t>
      </w:r>
    </w:p>
    <w:p w14:paraId="5986CF17">
      <w:pPr>
        <w:spacing w:before="136" w:line="227" w:lineRule="auto"/>
        <w:ind w:left="631"/>
        <w:rPr>
          <w:rFonts w:ascii="宋体" w:hAnsi="宋体" w:eastAsia="宋体" w:cs="宋体"/>
          <w:sz w:val="20"/>
          <w:szCs w:val="20"/>
        </w:rPr>
      </w:pPr>
      <w:r>
        <w:rPr>
          <w:rFonts w:ascii="宋体" w:hAnsi="宋体" w:eastAsia="宋体" w:cs="宋体"/>
          <w:spacing w:val="3"/>
          <w:sz w:val="20"/>
          <w:szCs w:val="20"/>
        </w:rPr>
        <w:t>人民币（大写）</w:t>
      </w:r>
      <w:r>
        <w:rPr>
          <w:rFonts w:ascii="宋体" w:hAnsi="宋体" w:eastAsia="宋体" w:cs="宋体"/>
          <w:sz w:val="20"/>
          <w:szCs w:val="20"/>
          <w:u w:val="single" w:color="auto"/>
        </w:rPr>
        <w:t xml:space="preserve">                        </w:t>
      </w:r>
      <w:r>
        <w:rPr>
          <w:rFonts w:ascii="宋体" w:hAnsi="宋体" w:eastAsia="宋体" w:cs="宋体"/>
          <w:spacing w:val="20"/>
          <w:sz w:val="20"/>
          <w:szCs w:val="20"/>
        </w:rPr>
        <w:t xml:space="preserve">  </w:t>
      </w:r>
      <w:r>
        <w:rPr>
          <w:rFonts w:ascii="宋体" w:hAnsi="宋体" w:eastAsia="宋体" w:cs="宋体"/>
          <w:spacing w:val="3"/>
          <w:sz w:val="20"/>
          <w:szCs w:val="20"/>
        </w:rPr>
        <w:t>(</w:t>
      </w:r>
      <w:r>
        <w:rPr>
          <w:rFonts w:ascii="Times New Roman" w:hAnsi="Times New Roman" w:eastAsia="Times New Roman" w:cs="Times New Roman"/>
          <w:spacing w:val="3"/>
          <w:sz w:val="20"/>
          <w:szCs w:val="20"/>
        </w:rPr>
        <w:t xml:space="preserve">¥  </w:t>
      </w:r>
      <w:r>
        <w:rPr>
          <w:rFonts w:ascii="Times New Roman" w:hAnsi="Times New Roman" w:eastAsia="Times New Roman" w:cs="Times New Roman"/>
          <w:spacing w:val="3"/>
          <w:sz w:val="20"/>
          <w:szCs w:val="20"/>
          <w:u w:val="single" w:color="auto"/>
        </w:rPr>
        <w:t xml:space="preserve">                      </w:t>
      </w:r>
      <w:r>
        <w:rPr>
          <w:rFonts w:ascii="Times New Roman" w:hAnsi="Times New Roman" w:eastAsia="Times New Roman" w:cs="Times New Roman"/>
          <w:spacing w:val="-40"/>
          <w:sz w:val="20"/>
          <w:szCs w:val="20"/>
        </w:rPr>
        <w:t xml:space="preserve"> </w:t>
      </w:r>
      <w:r>
        <w:rPr>
          <w:rFonts w:ascii="宋体" w:hAnsi="宋体" w:eastAsia="宋体" w:cs="宋体"/>
          <w:spacing w:val="3"/>
          <w:sz w:val="20"/>
          <w:szCs w:val="20"/>
        </w:rPr>
        <w:t>元</w:t>
      </w:r>
      <w:r>
        <w:rPr>
          <w:rFonts w:ascii="宋体" w:hAnsi="宋体" w:eastAsia="宋体" w:cs="宋体"/>
          <w:spacing w:val="-48"/>
          <w:sz w:val="20"/>
          <w:szCs w:val="20"/>
        </w:rPr>
        <w:t>）；</w:t>
      </w:r>
    </w:p>
    <w:p w14:paraId="3BC73D45">
      <w:pPr>
        <w:spacing w:before="134" w:line="228" w:lineRule="auto"/>
        <w:ind w:left="630"/>
        <w:rPr>
          <w:rFonts w:ascii="宋体" w:hAnsi="宋体" w:eastAsia="宋体" w:cs="宋体"/>
          <w:sz w:val="20"/>
          <w:szCs w:val="20"/>
        </w:rPr>
      </w:pPr>
      <w:r>
        <w:rPr>
          <w:rFonts w:ascii="宋体" w:hAnsi="宋体" w:eastAsia="宋体" w:cs="宋体"/>
          <w:spacing w:val="2"/>
          <w:sz w:val="20"/>
          <w:szCs w:val="20"/>
        </w:rPr>
        <w:t>其中：</w:t>
      </w:r>
    </w:p>
    <w:p w14:paraId="5E82DDF4">
      <w:pPr>
        <w:spacing w:before="132"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）安全文明施工费：</w:t>
      </w:r>
    </w:p>
    <w:p w14:paraId="5D6ACE85">
      <w:pPr>
        <w:spacing w:before="134" w:line="227" w:lineRule="auto"/>
        <w:ind w:left="948"/>
        <w:rPr>
          <w:rFonts w:ascii="宋体" w:hAnsi="宋体" w:eastAsia="宋体" w:cs="宋体"/>
          <w:sz w:val="20"/>
          <w:szCs w:val="20"/>
        </w:rPr>
      </w:pPr>
      <w:r>
        <w:rPr>
          <w:rFonts w:ascii="宋体" w:hAnsi="宋体" w:eastAsia="宋体" w:cs="宋体"/>
          <w:spacing w:val="3"/>
          <w:sz w:val="20"/>
          <w:szCs w:val="20"/>
        </w:rPr>
        <w:t>人民币（大写）</w:t>
      </w:r>
      <w:r>
        <w:rPr>
          <w:rFonts w:ascii="宋体" w:hAnsi="宋体" w:eastAsia="宋体" w:cs="宋体"/>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3"/>
          <w:sz w:val="20"/>
          <w:szCs w:val="20"/>
        </w:rPr>
        <w:t>(</w:t>
      </w:r>
      <w:r>
        <w:rPr>
          <w:rFonts w:ascii="Times New Roman" w:hAnsi="Times New Roman" w:eastAsia="Times New Roman" w:cs="Times New Roman"/>
          <w:spacing w:val="3"/>
          <w:sz w:val="20"/>
          <w:szCs w:val="20"/>
        </w:rPr>
        <w:t xml:space="preserve">¥  </w:t>
      </w:r>
      <w:r>
        <w:rPr>
          <w:rFonts w:ascii="Times New Roman" w:hAnsi="Times New Roman" w:eastAsia="Times New Roman" w:cs="Times New Roman"/>
          <w:spacing w:val="3"/>
          <w:sz w:val="20"/>
          <w:szCs w:val="20"/>
          <w:u w:val="single" w:color="auto"/>
        </w:rPr>
        <w:t xml:space="preserve">                      </w:t>
      </w:r>
      <w:r>
        <w:rPr>
          <w:rFonts w:ascii="Times New Roman" w:hAnsi="Times New Roman" w:eastAsia="Times New Roman" w:cs="Times New Roman"/>
          <w:spacing w:val="-39"/>
          <w:sz w:val="20"/>
          <w:szCs w:val="20"/>
        </w:rPr>
        <w:t xml:space="preserve"> </w:t>
      </w:r>
      <w:r>
        <w:rPr>
          <w:rFonts w:ascii="宋体" w:hAnsi="宋体" w:eastAsia="宋体" w:cs="宋体"/>
          <w:spacing w:val="3"/>
          <w:sz w:val="20"/>
          <w:szCs w:val="20"/>
        </w:rPr>
        <w:t>元</w:t>
      </w:r>
      <w:r>
        <w:rPr>
          <w:rFonts w:ascii="宋体" w:hAnsi="宋体" w:eastAsia="宋体" w:cs="宋体"/>
          <w:spacing w:val="-49"/>
          <w:sz w:val="20"/>
          <w:szCs w:val="20"/>
        </w:rPr>
        <w:t>）；</w:t>
      </w:r>
    </w:p>
    <w:p w14:paraId="2A591B9F">
      <w:pPr>
        <w:spacing w:before="134" w:line="226"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）材料和工程设备暂估价金额：</w:t>
      </w:r>
    </w:p>
    <w:p w14:paraId="567D718F">
      <w:pPr>
        <w:spacing w:before="134" w:line="227" w:lineRule="auto"/>
        <w:ind w:left="948"/>
        <w:rPr>
          <w:rFonts w:ascii="宋体" w:hAnsi="宋体" w:eastAsia="宋体" w:cs="宋体"/>
          <w:sz w:val="20"/>
          <w:szCs w:val="20"/>
        </w:rPr>
      </w:pPr>
      <w:r>
        <w:rPr>
          <w:rFonts w:ascii="宋体" w:hAnsi="宋体" w:eastAsia="宋体" w:cs="宋体"/>
          <w:spacing w:val="5"/>
          <w:sz w:val="20"/>
          <w:szCs w:val="20"/>
        </w:rPr>
        <w:t>人民币（大写）</w:t>
      </w:r>
      <w:r>
        <w:rPr>
          <w:rFonts w:ascii="宋体" w:hAnsi="宋体" w:eastAsia="宋体" w:cs="宋体"/>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5"/>
          <w:sz w:val="20"/>
          <w:szCs w:val="20"/>
        </w:rPr>
        <w:t>(</w:t>
      </w:r>
      <w:r>
        <w:rPr>
          <w:rFonts w:ascii="Times New Roman" w:hAnsi="Times New Roman" w:eastAsia="Times New Roman" w:cs="Times New Roman"/>
          <w:spacing w:val="5"/>
          <w:sz w:val="20"/>
          <w:szCs w:val="20"/>
        </w:rPr>
        <w:t>¥</w:t>
      </w:r>
      <w:r>
        <w:rPr>
          <w:rFonts w:ascii="Times New Roman" w:hAnsi="Times New Roman" w:eastAsia="Times New Roman" w:cs="Times New Roman"/>
          <w:spacing w:val="-49"/>
          <w:sz w:val="20"/>
          <w:szCs w:val="20"/>
        </w:rPr>
        <w:t xml:space="preserve"> </w:t>
      </w:r>
      <w:r>
        <w:rPr>
          <w:rFonts w:ascii="Times New Roman" w:hAnsi="Times New Roman" w:eastAsia="Times New Roman" w:cs="Times New Roman"/>
          <w:sz w:val="20"/>
          <w:szCs w:val="20"/>
          <w:u w:val="single" w:color="auto"/>
        </w:rPr>
        <w:t xml:space="preserve">                         </w:t>
      </w:r>
      <w:r>
        <w:rPr>
          <w:rFonts w:ascii="Times New Roman" w:hAnsi="Times New Roman" w:eastAsia="Times New Roman" w:cs="Times New Roman"/>
          <w:spacing w:val="-30"/>
          <w:sz w:val="20"/>
          <w:szCs w:val="20"/>
        </w:rPr>
        <w:t xml:space="preserve"> </w:t>
      </w:r>
      <w:r>
        <w:rPr>
          <w:rFonts w:ascii="宋体" w:hAnsi="宋体" w:eastAsia="宋体" w:cs="宋体"/>
          <w:spacing w:val="5"/>
          <w:sz w:val="20"/>
          <w:szCs w:val="20"/>
        </w:rPr>
        <w:t>元</w:t>
      </w:r>
      <w:r>
        <w:rPr>
          <w:rFonts w:ascii="宋体" w:hAnsi="宋体" w:eastAsia="宋体" w:cs="宋体"/>
          <w:spacing w:val="-53"/>
          <w:sz w:val="20"/>
          <w:szCs w:val="20"/>
        </w:rPr>
        <w:t>）；</w:t>
      </w:r>
    </w:p>
    <w:p w14:paraId="10B0765C">
      <w:pPr>
        <w:spacing w:before="136" w:line="226"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）专业工程暂估价金额：</w:t>
      </w:r>
    </w:p>
    <w:p w14:paraId="31C14D7E">
      <w:pPr>
        <w:spacing w:before="134" w:line="227" w:lineRule="auto"/>
        <w:ind w:left="948"/>
        <w:rPr>
          <w:rFonts w:ascii="宋体" w:hAnsi="宋体" w:eastAsia="宋体" w:cs="宋体"/>
          <w:sz w:val="20"/>
          <w:szCs w:val="20"/>
        </w:rPr>
      </w:pPr>
      <w:r>
        <w:rPr>
          <w:rFonts w:ascii="宋体" w:hAnsi="宋体" w:eastAsia="宋体" w:cs="宋体"/>
          <w:spacing w:val="5"/>
          <w:sz w:val="20"/>
          <w:szCs w:val="20"/>
        </w:rPr>
        <w:t>人民币（大写）</w:t>
      </w:r>
      <w:r>
        <w:rPr>
          <w:rFonts w:ascii="宋体" w:hAnsi="宋体" w:eastAsia="宋体" w:cs="宋体"/>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5"/>
          <w:sz w:val="20"/>
          <w:szCs w:val="20"/>
        </w:rPr>
        <w:t>(</w:t>
      </w:r>
      <w:r>
        <w:rPr>
          <w:rFonts w:ascii="Times New Roman" w:hAnsi="Times New Roman" w:eastAsia="Times New Roman" w:cs="Times New Roman"/>
          <w:spacing w:val="5"/>
          <w:sz w:val="20"/>
          <w:szCs w:val="20"/>
        </w:rPr>
        <w:t>¥</w:t>
      </w:r>
      <w:r>
        <w:rPr>
          <w:rFonts w:ascii="Times New Roman" w:hAnsi="Times New Roman" w:eastAsia="Times New Roman" w:cs="Times New Roman"/>
          <w:spacing w:val="-49"/>
          <w:sz w:val="20"/>
          <w:szCs w:val="20"/>
        </w:rPr>
        <w:t xml:space="preserve"> </w:t>
      </w:r>
      <w:r>
        <w:rPr>
          <w:rFonts w:ascii="Times New Roman" w:hAnsi="Times New Roman" w:eastAsia="Times New Roman" w:cs="Times New Roman"/>
          <w:sz w:val="20"/>
          <w:szCs w:val="20"/>
          <w:u w:val="single" w:color="auto"/>
        </w:rPr>
        <w:t xml:space="preserve">                         </w:t>
      </w:r>
      <w:r>
        <w:rPr>
          <w:rFonts w:ascii="Times New Roman" w:hAnsi="Times New Roman" w:eastAsia="Times New Roman" w:cs="Times New Roman"/>
          <w:spacing w:val="-30"/>
          <w:sz w:val="20"/>
          <w:szCs w:val="20"/>
        </w:rPr>
        <w:t xml:space="preserve"> </w:t>
      </w:r>
      <w:r>
        <w:rPr>
          <w:rFonts w:ascii="宋体" w:hAnsi="宋体" w:eastAsia="宋体" w:cs="宋体"/>
          <w:spacing w:val="5"/>
          <w:sz w:val="20"/>
          <w:szCs w:val="20"/>
        </w:rPr>
        <w:t>元</w:t>
      </w:r>
      <w:r>
        <w:rPr>
          <w:rFonts w:ascii="宋体" w:hAnsi="宋体" w:eastAsia="宋体" w:cs="宋体"/>
          <w:spacing w:val="-53"/>
          <w:sz w:val="20"/>
          <w:szCs w:val="20"/>
        </w:rPr>
        <w:t>）；</w:t>
      </w:r>
    </w:p>
    <w:p w14:paraId="163409D8">
      <w:pPr>
        <w:spacing w:line="227" w:lineRule="auto"/>
        <w:rPr>
          <w:rFonts w:ascii="宋体" w:hAnsi="宋体" w:eastAsia="宋体" w:cs="宋体"/>
          <w:sz w:val="20"/>
          <w:szCs w:val="20"/>
        </w:rPr>
        <w:sectPr>
          <w:footerReference r:id="rId232" w:type="default"/>
          <w:pgSz w:w="11906" w:h="16839"/>
          <w:pgMar w:top="400" w:right="1554" w:bottom="1038" w:left="1538" w:header="0" w:footer="787" w:gutter="0"/>
          <w:cols w:space="720" w:num="1"/>
        </w:sectPr>
      </w:pPr>
    </w:p>
    <w:p w14:paraId="03A04EBC">
      <w:pPr>
        <w:spacing w:line="267" w:lineRule="auto"/>
        <w:rPr>
          <w:rFonts w:ascii="Arial"/>
          <w:sz w:val="21"/>
        </w:rPr>
      </w:pPr>
    </w:p>
    <w:p w14:paraId="52B8D57E">
      <w:pPr>
        <w:spacing w:line="267" w:lineRule="auto"/>
        <w:rPr>
          <w:rFonts w:ascii="Arial"/>
          <w:sz w:val="21"/>
        </w:rPr>
      </w:pPr>
    </w:p>
    <w:p w14:paraId="227E901D">
      <w:pPr>
        <w:spacing w:line="268" w:lineRule="auto"/>
        <w:rPr>
          <w:rFonts w:ascii="Arial"/>
          <w:sz w:val="21"/>
        </w:rPr>
      </w:pPr>
    </w:p>
    <w:p w14:paraId="080631F1">
      <w:pPr>
        <w:spacing w:line="268" w:lineRule="auto"/>
        <w:rPr>
          <w:rFonts w:ascii="Arial"/>
          <w:sz w:val="21"/>
        </w:rPr>
      </w:pPr>
    </w:p>
    <w:p w14:paraId="4D8FDA90">
      <w:pPr>
        <w:spacing w:before="65" w:line="228" w:lineRule="auto"/>
        <w:ind w:left="430"/>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4</w:t>
      </w:r>
      <w:r>
        <w:rPr>
          <w:rFonts w:ascii="宋体" w:hAnsi="宋体" w:eastAsia="宋体" w:cs="宋体"/>
          <w:spacing w:val="5"/>
          <w:sz w:val="20"/>
          <w:szCs w:val="20"/>
        </w:rPr>
        <w:t>）暂列金额：</w:t>
      </w:r>
    </w:p>
    <w:p w14:paraId="1BF700C4">
      <w:pPr>
        <w:spacing w:before="132" w:line="227" w:lineRule="auto"/>
        <w:ind w:left="948"/>
        <w:rPr>
          <w:rFonts w:ascii="宋体" w:hAnsi="宋体" w:eastAsia="宋体" w:cs="宋体"/>
          <w:sz w:val="20"/>
          <w:szCs w:val="20"/>
        </w:rPr>
      </w:pPr>
      <w:r>
        <w:rPr>
          <w:rFonts w:ascii="宋体" w:hAnsi="宋体" w:eastAsia="宋体" w:cs="宋体"/>
          <w:sz w:val="20"/>
          <w:szCs w:val="20"/>
        </w:rPr>
        <w:t>人民币（大写）</w:t>
      </w:r>
      <w:r>
        <w:rPr>
          <w:rFonts w:ascii="宋体" w:hAnsi="宋体" w:eastAsia="宋体" w:cs="宋体"/>
          <w:sz w:val="20"/>
          <w:szCs w:val="20"/>
          <w:u w:val="single" w:color="auto"/>
        </w:rPr>
        <w:t xml:space="preserve">                     </w:t>
      </w:r>
      <w:r>
        <w:rPr>
          <w:rFonts w:ascii="宋体" w:hAnsi="宋体" w:eastAsia="宋体" w:cs="宋体"/>
          <w:sz w:val="20"/>
          <w:szCs w:val="20"/>
        </w:rPr>
        <w:t xml:space="preserve">  (</w:t>
      </w:r>
      <w:r>
        <w:rPr>
          <w:rFonts w:ascii="Times New Roman" w:hAnsi="Times New Roman" w:eastAsia="Times New Roman" w:cs="Times New Roman"/>
          <w:sz w:val="20"/>
          <w:szCs w:val="20"/>
        </w:rPr>
        <w:t>¥</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z w:val="20"/>
          <w:szCs w:val="20"/>
          <w:u w:val="single" w:color="auto"/>
        </w:rPr>
        <w:t xml:space="preserve">                       </w:t>
      </w:r>
      <w:r>
        <w:rPr>
          <w:rFonts w:ascii="Times New Roman" w:hAnsi="Times New Roman" w:eastAsia="Times New Roman" w:cs="Times New Roman"/>
          <w:spacing w:val="-35"/>
          <w:sz w:val="20"/>
          <w:szCs w:val="20"/>
        </w:rPr>
        <w:t xml:space="preserve"> </w:t>
      </w:r>
      <w:r>
        <w:rPr>
          <w:rFonts w:ascii="宋体" w:hAnsi="宋体" w:eastAsia="宋体" w:cs="宋体"/>
          <w:sz w:val="20"/>
          <w:szCs w:val="20"/>
        </w:rPr>
        <w:t>元）。</w:t>
      </w:r>
    </w:p>
    <w:p w14:paraId="5359A258">
      <w:pPr>
        <w:spacing w:before="135" w:line="226" w:lineRule="auto"/>
        <w:ind w:left="417"/>
        <w:rPr>
          <w:rFonts w:ascii="宋体" w:hAnsi="宋体" w:eastAsia="宋体" w:cs="宋体"/>
          <w:sz w:val="20"/>
          <w:szCs w:val="20"/>
        </w:rPr>
      </w:pPr>
      <w:r>
        <w:rPr>
          <w:rFonts w:ascii="Times New Roman" w:hAnsi="Times New Roman" w:eastAsia="Times New Roman" w:cs="Times New Roman"/>
          <w:spacing w:val="6"/>
          <w:sz w:val="20"/>
          <w:szCs w:val="20"/>
        </w:rPr>
        <w:t>2.</w:t>
      </w:r>
      <w:r>
        <w:rPr>
          <w:rFonts w:ascii="宋体" w:hAnsi="宋体" w:eastAsia="宋体" w:cs="宋体"/>
          <w:spacing w:val="6"/>
          <w:sz w:val="20"/>
          <w:szCs w:val="20"/>
        </w:rPr>
        <w:t>合同价格形式：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2B93164">
      <w:pPr>
        <w:pStyle w:val="2"/>
        <w:spacing w:before="218" w:line="230" w:lineRule="auto"/>
        <w:ind w:left="6"/>
        <w:rPr>
          <w:sz w:val="20"/>
          <w:szCs w:val="20"/>
        </w:rPr>
      </w:pPr>
      <w:r>
        <w:rPr>
          <w:b/>
          <w:bCs/>
          <w:spacing w:val="6"/>
          <w:sz w:val="20"/>
          <w:szCs w:val="20"/>
        </w:rPr>
        <w:t>五、项目经理</w:t>
      </w:r>
    </w:p>
    <w:p w14:paraId="39614047">
      <w:pPr>
        <w:spacing w:before="290" w:line="228" w:lineRule="auto"/>
        <w:ind w:left="420"/>
        <w:rPr>
          <w:rFonts w:ascii="宋体" w:hAnsi="宋体" w:eastAsia="宋体" w:cs="宋体"/>
          <w:sz w:val="20"/>
          <w:szCs w:val="20"/>
        </w:rPr>
      </w:pPr>
      <w:r>
        <w:rPr>
          <w:rFonts w:ascii="宋体" w:hAnsi="宋体" w:eastAsia="宋体" w:cs="宋体"/>
          <w:spacing w:val="6"/>
          <w:sz w:val="20"/>
          <w:szCs w:val="20"/>
        </w:rPr>
        <w:t>承包人项目经理：</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80CF626">
      <w:pPr>
        <w:pStyle w:val="2"/>
        <w:spacing w:before="216" w:line="230" w:lineRule="auto"/>
        <w:ind w:left="7"/>
        <w:rPr>
          <w:sz w:val="20"/>
          <w:szCs w:val="20"/>
        </w:rPr>
      </w:pPr>
      <w:r>
        <w:rPr>
          <w:b/>
          <w:bCs/>
          <w:spacing w:val="6"/>
          <w:sz w:val="20"/>
          <w:szCs w:val="20"/>
        </w:rPr>
        <w:t>六、合同文件构成</w:t>
      </w:r>
    </w:p>
    <w:p w14:paraId="2B8CADA5">
      <w:pPr>
        <w:spacing w:before="291" w:line="227" w:lineRule="auto"/>
        <w:ind w:left="421"/>
        <w:rPr>
          <w:rFonts w:ascii="宋体" w:hAnsi="宋体" w:eastAsia="宋体" w:cs="宋体"/>
          <w:sz w:val="20"/>
          <w:szCs w:val="20"/>
        </w:rPr>
      </w:pPr>
      <w:r>
        <w:rPr>
          <w:rFonts w:ascii="宋体" w:hAnsi="宋体" w:eastAsia="宋体" w:cs="宋体"/>
          <w:spacing w:val="8"/>
          <w:sz w:val="20"/>
          <w:szCs w:val="20"/>
        </w:rPr>
        <w:t>本协议书与下列文件一起构成合同文件：</w:t>
      </w:r>
    </w:p>
    <w:p w14:paraId="1181C4A2">
      <w:pPr>
        <w:spacing w:before="136"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）中标通知书（如果有</w:t>
      </w:r>
      <w:r>
        <w:rPr>
          <w:rFonts w:ascii="宋体" w:hAnsi="宋体" w:eastAsia="宋体" w:cs="宋体"/>
          <w:spacing w:val="-50"/>
          <w:sz w:val="20"/>
          <w:szCs w:val="20"/>
        </w:rPr>
        <w:t>）；</w:t>
      </w:r>
    </w:p>
    <w:p w14:paraId="760AF775">
      <w:pPr>
        <w:spacing w:before="133"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）投标函及其附录（如果有</w:t>
      </w:r>
      <w:r>
        <w:rPr>
          <w:rFonts w:ascii="宋体" w:hAnsi="宋体" w:eastAsia="宋体" w:cs="宋体"/>
          <w:spacing w:val="-54"/>
          <w:sz w:val="20"/>
          <w:szCs w:val="20"/>
        </w:rPr>
        <w:t>）；</w:t>
      </w:r>
    </w:p>
    <w:p w14:paraId="1309FA66">
      <w:pPr>
        <w:spacing w:before="133"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）专用合同条款及其附件；</w:t>
      </w:r>
    </w:p>
    <w:p w14:paraId="2BBFE723">
      <w:pPr>
        <w:spacing w:before="136"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）通用合同条款；</w:t>
      </w:r>
    </w:p>
    <w:p w14:paraId="052D3DF4">
      <w:pPr>
        <w:spacing w:before="132"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5</w:t>
      </w:r>
      <w:r>
        <w:rPr>
          <w:rFonts w:ascii="宋体" w:hAnsi="宋体" w:eastAsia="宋体" w:cs="宋体"/>
          <w:spacing w:val="6"/>
          <w:sz w:val="20"/>
          <w:szCs w:val="20"/>
        </w:rPr>
        <w:t>）技术标准和要求；</w:t>
      </w:r>
    </w:p>
    <w:p w14:paraId="1A0659E9">
      <w:pPr>
        <w:spacing w:before="133" w:line="229" w:lineRule="auto"/>
        <w:ind w:left="430"/>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6</w:t>
      </w:r>
      <w:r>
        <w:rPr>
          <w:rFonts w:ascii="宋体" w:hAnsi="宋体" w:eastAsia="宋体" w:cs="宋体"/>
          <w:spacing w:val="4"/>
          <w:sz w:val="20"/>
          <w:szCs w:val="20"/>
        </w:rPr>
        <w:t>）图纸；</w:t>
      </w:r>
    </w:p>
    <w:p w14:paraId="0CEDFA5F">
      <w:pPr>
        <w:spacing w:before="133" w:line="226" w:lineRule="auto"/>
        <w:ind w:left="430"/>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7</w:t>
      </w:r>
      <w:r>
        <w:rPr>
          <w:rFonts w:ascii="宋体" w:hAnsi="宋体" w:eastAsia="宋体" w:cs="宋体"/>
          <w:spacing w:val="5"/>
          <w:sz w:val="20"/>
          <w:szCs w:val="20"/>
        </w:rPr>
        <w:t>）</w:t>
      </w:r>
      <w:r>
        <w:rPr>
          <w:rFonts w:ascii="宋体" w:hAnsi="宋体" w:eastAsia="宋体" w:cs="宋体"/>
          <w:spacing w:val="-56"/>
          <w:sz w:val="20"/>
          <w:szCs w:val="20"/>
        </w:rPr>
        <w:t xml:space="preserve"> </w:t>
      </w:r>
      <w:r>
        <w:rPr>
          <w:rFonts w:ascii="宋体" w:hAnsi="宋体" w:eastAsia="宋体" w:cs="宋体"/>
          <w:spacing w:val="5"/>
          <w:sz w:val="20"/>
          <w:szCs w:val="20"/>
        </w:rPr>
        <w:t>已标价工程量清单或预算书；</w:t>
      </w:r>
    </w:p>
    <w:p w14:paraId="5713F732">
      <w:pPr>
        <w:spacing w:before="134"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8</w:t>
      </w:r>
      <w:r>
        <w:rPr>
          <w:rFonts w:ascii="宋体" w:hAnsi="宋体" w:eastAsia="宋体" w:cs="宋体"/>
          <w:spacing w:val="6"/>
          <w:sz w:val="20"/>
          <w:szCs w:val="20"/>
        </w:rPr>
        <w:t>）其他合同文件。</w:t>
      </w:r>
    </w:p>
    <w:p w14:paraId="36BB9441">
      <w:pPr>
        <w:spacing w:before="132" w:line="228" w:lineRule="auto"/>
        <w:ind w:left="420"/>
        <w:rPr>
          <w:rFonts w:ascii="宋体" w:hAnsi="宋体" w:eastAsia="宋体" w:cs="宋体"/>
          <w:sz w:val="20"/>
          <w:szCs w:val="20"/>
        </w:rPr>
      </w:pPr>
      <w:r>
        <w:rPr>
          <w:rFonts w:ascii="宋体" w:hAnsi="宋体" w:eastAsia="宋体" w:cs="宋体"/>
          <w:spacing w:val="9"/>
          <w:sz w:val="20"/>
          <w:szCs w:val="20"/>
        </w:rPr>
        <w:t>在合同订立及履行过程中形成的与合同有关的文件均构成合同文件组成部分。</w:t>
      </w:r>
    </w:p>
    <w:p w14:paraId="3BAAC270">
      <w:pPr>
        <w:spacing w:before="135" w:line="351" w:lineRule="auto"/>
        <w:ind w:left="2" w:firstLine="420"/>
        <w:rPr>
          <w:rFonts w:ascii="宋体" w:hAnsi="宋体" w:eastAsia="宋体" w:cs="宋体"/>
          <w:sz w:val="20"/>
          <w:szCs w:val="20"/>
        </w:rPr>
      </w:pPr>
      <w:r>
        <w:rPr>
          <w:rFonts w:ascii="宋体" w:hAnsi="宋体" w:eastAsia="宋体" w:cs="宋体"/>
          <w:spacing w:val="10"/>
          <w:sz w:val="20"/>
          <w:szCs w:val="20"/>
        </w:rPr>
        <w:t>上述各项合同文件包括合同当事人就该项合同文件所作出的补充和</w:t>
      </w:r>
      <w:r>
        <w:rPr>
          <w:rFonts w:ascii="宋体" w:hAnsi="宋体" w:eastAsia="宋体" w:cs="宋体"/>
          <w:spacing w:val="9"/>
          <w:sz w:val="20"/>
          <w:szCs w:val="20"/>
        </w:rPr>
        <w:t>修改，属于同一类内容的文件，应以最新签署的为准。专用合同条款及其附件须经合同当事人签字或盖章。</w:t>
      </w:r>
    </w:p>
    <w:p w14:paraId="100ED5D3">
      <w:pPr>
        <w:pStyle w:val="2"/>
        <w:spacing w:before="82" w:line="231" w:lineRule="auto"/>
        <w:rPr>
          <w:sz w:val="20"/>
          <w:szCs w:val="20"/>
        </w:rPr>
      </w:pPr>
      <w:r>
        <w:rPr>
          <w:b/>
          <w:bCs/>
          <w:spacing w:val="6"/>
          <w:sz w:val="20"/>
          <w:szCs w:val="20"/>
        </w:rPr>
        <w:t>七、承诺</w:t>
      </w:r>
    </w:p>
    <w:p w14:paraId="0B1EDB4B">
      <w:pPr>
        <w:spacing w:before="290" w:line="351" w:lineRule="auto"/>
        <w:ind w:left="1" w:firstLine="435"/>
        <w:rPr>
          <w:rFonts w:ascii="宋体" w:hAnsi="宋体" w:eastAsia="宋体" w:cs="宋体"/>
          <w:sz w:val="20"/>
          <w:szCs w:val="20"/>
        </w:rPr>
      </w:pPr>
      <w:r>
        <w:rPr>
          <w:rFonts w:ascii="Times New Roman" w:hAnsi="Times New Roman" w:eastAsia="Times New Roman" w:cs="Times New Roman"/>
          <w:spacing w:val="10"/>
          <w:sz w:val="20"/>
          <w:szCs w:val="20"/>
        </w:rPr>
        <w:t>1.</w:t>
      </w:r>
      <w:r>
        <w:rPr>
          <w:rFonts w:ascii="宋体" w:hAnsi="宋体" w:eastAsia="宋体" w:cs="宋体"/>
          <w:spacing w:val="10"/>
          <w:sz w:val="20"/>
          <w:szCs w:val="20"/>
        </w:rPr>
        <w:t>发包人承诺按照法律规定履行项目审批手续、筹集工程建设资金并按照合同约定的期限和</w:t>
      </w:r>
      <w:r>
        <w:rPr>
          <w:rFonts w:ascii="宋体" w:hAnsi="宋体" w:eastAsia="宋体" w:cs="宋体"/>
          <w:spacing w:val="7"/>
          <w:sz w:val="20"/>
          <w:szCs w:val="20"/>
        </w:rPr>
        <w:t>方式支付合同价款。</w:t>
      </w:r>
    </w:p>
    <w:p w14:paraId="4C2CCA22">
      <w:pPr>
        <w:spacing w:before="1" w:line="351" w:lineRule="auto"/>
        <w:ind w:firstLine="416"/>
        <w:rPr>
          <w:rFonts w:ascii="宋体" w:hAnsi="宋体" w:eastAsia="宋体" w:cs="宋体"/>
          <w:sz w:val="20"/>
          <w:szCs w:val="20"/>
        </w:rPr>
      </w:pPr>
      <w:r>
        <w:rPr>
          <w:rFonts w:ascii="Times New Roman" w:hAnsi="Times New Roman" w:eastAsia="Times New Roman" w:cs="Times New Roman"/>
          <w:spacing w:val="11"/>
          <w:sz w:val="20"/>
          <w:szCs w:val="20"/>
        </w:rPr>
        <w:t>2.</w:t>
      </w:r>
      <w:r>
        <w:rPr>
          <w:rFonts w:ascii="宋体" w:hAnsi="宋体" w:eastAsia="宋体" w:cs="宋体"/>
          <w:spacing w:val="11"/>
          <w:sz w:val="20"/>
          <w:szCs w:val="20"/>
        </w:rPr>
        <w:t>承包人承诺按照法律规定及合同约定组织完成工程施工，确保工程质量和</w:t>
      </w:r>
      <w:r>
        <w:rPr>
          <w:rFonts w:ascii="宋体" w:hAnsi="宋体" w:eastAsia="宋体" w:cs="宋体"/>
          <w:spacing w:val="10"/>
          <w:sz w:val="20"/>
          <w:szCs w:val="20"/>
        </w:rPr>
        <w:t>安全，不进行转</w:t>
      </w:r>
      <w:r>
        <w:rPr>
          <w:rFonts w:ascii="宋体" w:hAnsi="宋体" w:eastAsia="宋体" w:cs="宋体"/>
          <w:spacing w:val="9"/>
          <w:sz w:val="20"/>
          <w:szCs w:val="20"/>
        </w:rPr>
        <w:t>包及违法分包，并在缺陷责任期及保修期内承担相应的工程维修责任。</w:t>
      </w:r>
    </w:p>
    <w:p w14:paraId="5ECE1A16">
      <w:pPr>
        <w:spacing w:line="351" w:lineRule="auto"/>
        <w:ind w:left="1" w:firstLine="419"/>
        <w:rPr>
          <w:rFonts w:ascii="宋体" w:hAnsi="宋体" w:eastAsia="宋体" w:cs="宋体"/>
          <w:sz w:val="20"/>
          <w:szCs w:val="20"/>
        </w:rPr>
      </w:pPr>
      <w:r>
        <w:rPr>
          <w:rFonts w:ascii="Times New Roman" w:hAnsi="Times New Roman" w:eastAsia="Times New Roman" w:cs="Times New Roman"/>
          <w:spacing w:val="11"/>
          <w:sz w:val="20"/>
          <w:szCs w:val="20"/>
        </w:rPr>
        <w:t>3.</w:t>
      </w:r>
      <w:r>
        <w:rPr>
          <w:rFonts w:ascii="宋体" w:hAnsi="宋体" w:eastAsia="宋体" w:cs="宋体"/>
          <w:spacing w:val="11"/>
          <w:sz w:val="20"/>
          <w:szCs w:val="20"/>
        </w:rPr>
        <w:t>发包人和承包人通过招投标形式签订合同的，双方理解并承诺不</w:t>
      </w:r>
      <w:r>
        <w:rPr>
          <w:rFonts w:ascii="宋体" w:hAnsi="宋体" w:eastAsia="宋体" w:cs="宋体"/>
          <w:spacing w:val="10"/>
          <w:sz w:val="20"/>
          <w:szCs w:val="20"/>
        </w:rPr>
        <w:t>再就同一工程另行签订与</w:t>
      </w:r>
      <w:r>
        <w:rPr>
          <w:rFonts w:ascii="宋体" w:hAnsi="宋体" w:eastAsia="宋体" w:cs="宋体"/>
          <w:spacing w:val="8"/>
          <w:sz w:val="20"/>
          <w:szCs w:val="20"/>
        </w:rPr>
        <w:t>合同实质性内容相背离的协议。</w:t>
      </w:r>
    </w:p>
    <w:p w14:paraId="72E54B7A">
      <w:pPr>
        <w:pStyle w:val="2"/>
        <w:spacing w:before="81" w:line="231" w:lineRule="auto"/>
        <w:rPr>
          <w:sz w:val="20"/>
          <w:szCs w:val="20"/>
        </w:rPr>
      </w:pPr>
      <w:r>
        <w:rPr>
          <w:b/>
          <w:bCs/>
          <w:spacing w:val="6"/>
          <w:sz w:val="20"/>
          <w:szCs w:val="20"/>
        </w:rPr>
        <w:t>八、词语含义</w:t>
      </w:r>
    </w:p>
    <w:p w14:paraId="033290E0">
      <w:pPr>
        <w:spacing w:before="290" w:line="227" w:lineRule="auto"/>
        <w:ind w:left="421"/>
        <w:rPr>
          <w:rFonts w:ascii="宋体" w:hAnsi="宋体" w:eastAsia="宋体" w:cs="宋体"/>
          <w:sz w:val="20"/>
          <w:szCs w:val="20"/>
        </w:rPr>
      </w:pPr>
      <w:r>
        <w:rPr>
          <w:rFonts w:ascii="宋体" w:hAnsi="宋体" w:eastAsia="宋体" w:cs="宋体"/>
          <w:spacing w:val="9"/>
          <w:sz w:val="20"/>
          <w:szCs w:val="20"/>
        </w:rPr>
        <w:t>本协议书中词语含义与第二部分通用合同条款中赋予的含义相同。</w:t>
      </w:r>
    </w:p>
    <w:p w14:paraId="0EA8218A">
      <w:pPr>
        <w:pStyle w:val="2"/>
        <w:spacing w:before="218" w:line="231" w:lineRule="auto"/>
        <w:ind w:left="5"/>
        <w:rPr>
          <w:sz w:val="20"/>
          <w:szCs w:val="20"/>
        </w:rPr>
      </w:pPr>
      <w:r>
        <w:rPr>
          <w:b/>
          <w:bCs/>
          <w:spacing w:val="6"/>
          <w:sz w:val="20"/>
          <w:szCs w:val="20"/>
        </w:rPr>
        <w:t>九、签订时间</w:t>
      </w:r>
    </w:p>
    <w:p w14:paraId="49672872">
      <w:pPr>
        <w:spacing w:before="292" w:line="227" w:lineRule="auto"/>
        <w:ind w:left="421"/>
        <w:rPr>
          <w:rFonts w:ascii="宋体" w:hAnsi="宋体" w:eastAsia="宋体" w:cs="宋体"/>
          <w:sz w:val="20"/>
          <w:szCs w:val="20"/>
        </w:rPr>
      </w:pPr>
      <w:r>
        <w:rPr>
          <w:rFonts w:ascii="宋体" w:hAnsi="宋体" w:eastAsia="宋体" w:cs="宋体"/>
          <w:sz w:val="20"/>
          <w:szCs w:val="20"/>
        </w:rPr>
        <w:t>本合同于</w:t>
      </w:r>
      <w:r>
        <w:rPr>
          <w:rFonts w:ascii="宋体" w:hAnsi="宋体" w:eastAsia="宋体" w:cs="宋体"/>
          <w:spacing w:val="-9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z w:val="20"/>
          <w:szCs w:val="20"/>
        </w:rPr>
        <w:t>日签订。</w:t>
      </w:r>
    </w:p>
    <w:p w14:paraId="549FFA25">
      <w:pPr>
        <w:pStyle w:val="2"/>
        <w:spacing w:before="217" w:line="231" w:lineRule="auto"/>
        <w:ind w:left="3"/>
        <w:rPr>
          <w:sz w:val="20"/>
          <w:szCs w:val="20"/>
        </w:rPr>
      </w:pPr>
      <w:r>
        <w:rPr>
          <w:b/>
          <w:bCs/>
          <w:spacing w:val="6"/>
          <w:sz w:val="20"/>
          <w:szCs w:val="20"/>
        </w:rPr>
        <w:t>十、签订地点</w:t>
      </w:r>
    </w:p>
    <w:p w14:paraId="2EF735A7">
      <w:pPr>
        <w:spacing w:before="290" w:line="227" w:lineRule="auto"/>
        <w:ind w:left="421"/>
        <w:rPr>
          <w:rFonts w:ascii="宋体" w:hAnsi="宋体" w:eastAsia="宋体" w:cs="宋体"/>
          <w:sz w:val="20"/>
          <w:szCs w:val="20"/>
        </w:rPr>
      </w:pPr>
      <w:r>
        <w:rPr>
          <w:rFonts w:ascii="宋体" w:hAnsi="宋体" w:eastAsia="宋体" w:cs="宋体"/>
          <w:spacing w:val="5"/>
          <w:sz w:val="20"/>
          <w:szCs w:val="20"/>
        </w:rPr>
        <w:t>本合同在</w:t>
      </w:r>
      <w:r>
        <w:rPr>
          <w:rFonts w:ascii="宋体" w:hAnsi="宋体" w:eastAsia="宋体" w:cs="宋体"/>
          <w:spacing w:val="-96"/>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签订。</w:t>
      </w:r>
    </w:p>
    <w:p w14:paraId="67A7EA82">
      <w:pPr>
        <w:pStyle w:val="2"/>
        <w:spacing w:before="217" w:line="230" w:lineRule="auto"/>
        <w:ind w:left="3"/>
        <w:rPr>
          <w:sz w:val="20"/>
          <w:szCs w:val="20"/>
        </w:rPr>
      </w:pPr>
      <w:r>
        <w:rPr>
          <w:b/>
          <w:bCs/>
          <w:spacing w:val="6"/>
          <w:sz w:val="20"/>
          <w:szCs w:val="20"/>
        </w:rPr>
        <w:t>十一、补充协议</w:t>
      </w:r>
    </w:p>
    <w:p w14:paraId="5380F17C">
      <w:pPr>
        <w:spacing w:line="230" w:lineRule="auto"/>
        <w:rPr>
          <w:sz w:val="20"/>
          <w:szCs w:val="20"/>
        </w:rPr>
        <w:sectPr>
          <w:footerReference r:id="rId233" w:type="default"/>
          <w:pgSz w:w="11906" w:h="16839"/>
          <w:pgMar w:top="400" w:right="1554" w:bottom="1038" w:left="1538" w:header="0" w:footer="787" w:gutter="0"/>
          <w:cols w:space="720" w:num="1"/>
        </w:sectPr>
      </w:pPr>
    </w:p>
    <w:p w14:paraId="1CA3BEFB">
      <w:pPr>
        <w:spacing w:line="267" w:lineRule="auto"/>
        <w:rPr>
          <w:rFonts w:ascii="Arial"/>
          <w:sz w:val="21"/>
        </w:rPr>
      </w:pPr>
    </w:p>
    <w:p w14:paraId="6683C786">
      <w:pPr>
        <w:spacing w:line="267" w:lineRule="auto"/>
        <w:rPr>
          <w:rFonts w:ascii="Arial"/>
          <w:sz w:val="21"/>
        </w:rPr>
      </w:pPr>
    </w:p>
    <w:p w14:paraId="26F6EB61">
      <w:pPr>
        <w:spacing w:line="268" w:lineRule="auto"/>
        <w:rPr>
          <w:rFonts w:ascii="Arial"/>
          <w:sz w:val="21"/>
        </w:rPr>
      </w:pPr>
    </w:p>
    <w:p w14:paraId="3A4B4977">
      <w:pPr>
        <w:spacing w:line="268" w:lineRule="auto"/>
        <w:rPr>
          <w:rFonts w:ascii="Arial"/>
          <w:sz w:val="21"/>
        </w:rPr>
      </w:pPr>
    </w:p>
    <w:p w14:paraId="7575CCA0">
      <w:pPr>
        <w:spacing w:before="65" w:line="228" w:lineRule="auto"/>
        <w:ind w:left="418"/>
        <w:rPr>
          <w:rFonts w:ascii="宋体" w:hAnsi="宋体" w:eastAsia="宋体" w:cs="宋体"/>
          <w:sz w:val="20"/>
          <w:szCs w:val="20"/>
        </w:rPr>
      </w:pPr>
      <w:r>
        <w:rPr>
          <w:rFonts w:ascii="宋体" w:hAnsi="宋体" w:eastAsia="宋体" w:cs="宋体"/>
          <w:spacing w:val="9"/>
          <w:sz w:val="20"/>
          <w:szCs w:val="20"/>
        </w:rPr>
        <w:t>合同未尽事宜，合同当事人另行签订补充协议，补充协议是合同的组成部分。</w:t>
      </w:r>
    </w:p>
    <w:p w14:paraId="32CA534D">
      <w:pPr>
        <w:pStyle w:val="2"/>
        <w:spacing w:before="216" w:line="229" w:lineRule="auto"/>
        <w:rPr>
          <w:sz w:val="20"/>
          <w:szCs w:val="20"/>
        </w:rPr>
      </w:pPr>
      <w:r>
        <w:rPr>
          <w:b/>
          <w:bCs/>
          <w:spacing w:val="6"/>
          <w:sz w:val="20"/>
          <w:szCs w:val="20"/>
        </w:rPr>
        <w:t>十二、合同生效</w:t>
      </w:r>
    </w:p>
    <w:p w14:paraId="494FB758">
      <w:pPr>
        <w:spacing w:before="291" w:line="227" w:lineRule="auto"/>
        <w:ind w:left="418"/>
        <w:rPr>
          <w:rFonts w:ascii="宋体" w:hAnsi="宋体" w:eastAsia="宋体" w:cs="宋体"/>
          <w:sz w:val="20"/>
          <w:szCs w:val="20"/>
        </w:rPr>
      </w:pPr>
      <w:r>
        <w:rPr>
          <w:rFonts w:ascii="宋体" w:hAnsi="宋体" w:eastAsia="宋体" w:cs="宋体"/>
          <w:spacing w:val="5"/>
          <w:sz w:val="20"/>
          <w:szCs w:val="20"/>
        </w:rPr>
        <w:t>本合同自</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5"/>
          <w:sz w:val="20"/>
          <w:szCs w:val="20"/>
        </w:rPr>
        <w:t>生效。</w:t>
      </w:r>
    </w:p>
    <w:p w14:paraId="1363199D">
      <w:pPr>
        <w:pStyle w:val="2"/>
        <w:spacing w:before="217" w:line="231" w:lineRule="auto"/>
        <w:rPr>
          <w:sz w:val="20"/>
          <w:szCs w:val="20"/>
        </w:rPr>
      </w:pPr>
      <w:r>
        <w:rPr>
          <w:b/>
          <w:bCs/>
          <w:spacing w:val="6"/>
          <w:sz w:val="20"/>
          <w:szCs w:val="20"/>
        </w:rPr>
        <w:t>十三、合同份数</w:t>
      </w:r>
    </w:p>
    <w:p w14:paraId="2C50446B">
      <w:pPr>
        <w:spacing w:before="292" w:line="227" w:lineRule="auto"/>
        <w:ind w:left="418"/>
        <w:rPr>
          <w:rFonts w:ascii="宋体" w:hAnsi="宋体" w:eastAsia="宋体" w:cs="宋体"/>
          <w:sz w:val="20"/>
          <w:szCs w:val="20"/>
        </w:rPr>
      </w:pPr>
      <w:r>
        <w:rPr>
          <w:rFonts w:ascii="宋体" w:hAnsi="宋体" w:eastAsia="宋体" w:cs="宋体"/>
          <w:spacing w:val="8"/>
          <w:sz w:val="20"/>
          <w:szCs w:val="20"/>
        </w:rPr>
        <w:t>本合同一式</w:t>
      </w:r>
      <w:r>
        <w:rPr>
          <w:rFonts w:ascii="宋体" w:hAnsi="宋体" w:eastAsia="宋体" w:cs="宋体"/>
          <w:spacing w:val="8"/>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份，均具有同等法律效力，发包人执</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w:t>
      </w:r>
      <w:r>
        <w:rPr>
          <w:rFonts w:ascii="宋体" w:hAnsi="宋体" w:eastAsia="宋体" w:cs="宋体"/>
          <w:spacing w:val="7"/>
          <w:sz w:val="20"/>
          <w:szCs w:val="20"/>
        </w:rPr>
        <w:t>承包人执</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7"/>
          <w:sz w:val="20"/>
          <w:szCs w:val="20"/>
        </w:rPr>
        <w:t>份。</w:t>
      </w:r>
    </w:p>
    <w:p w14:paraId="2CE66F33">
      <w:pPr>
        <w:spacing w:line="257" w:lineRule="auto"/>
        <w:rPr>
          <w:rFonts w:ascii="Arial"/>
          <w:sz w:val="21"/>
        </w:rPr>
      </w:pPr>
    </w:p>
    <w:p w14:paraId="4E86DDE8">
      <w:pPr>
        <w:spacing w:line="257" w:lineRule="auto"/>
        <w:rPr>
          <w:rFonts w:ascii="Arial"/>
          <w:sz w:val="21"/>
        </w:rPr>
      </w:pPr>
    </w:p>
    <w:p w14:paraId="7A1CC98B">
      <w:pPr>
        <w:spacing w:line="257" w:lineRule="auto"/>
        <w:rPr>
          <w:rFonts w:ascii="Arial"/>
          <w:sz w:val="21"/>
        </w:rPr>
      </w:pPr>
    </w:p>
    <w:p w14:paraId="04FCAFDA">
      <w:pPr>
        <w:spacing w:line="257" w:lineRule="auto"/>
        <w:rPr>
          <w:rFonts w:ascii="Arial"/>
          <w:sz w:val="21"/>
        </w:rPr>
      </w:pPr>
    </w:p>
    <w:p w14:paraId="0FF9B442">
      <w:pPr>
        <w:spacing w:line="257" w:lineRule="auto"/>
        <w:rPr>
          <w:rFonts w:ascii="Arial"/>
          <w:sz w:val="21"/>
        </w:rPr>
      </w:pPr>
    </w:p>
    <w:p w14:paraId="0988162B">
      <w:pPr>
        <w:spacing w:line="257" w:lineRule="auto"/>
        <w:rPr>
          <w:rFonts w:ascii="Arial"/>
          <w:sz w:val="21"/>
        </w:rPr>
      </w:pPr>
    </w:p>
    <w:p w14:paraId="6B36FE4A">
      <w:pPr>
        <w:spacing w:line="258" w:lineRule="auto"/>
        <w:rPr>
          <w:rFonts w:ascii="Arial"/>
          <w:sz w:val="21"/>
        </w:rPr>
      </w:pPr>
    </w:p>
    <w:p w14:paraId="7AAF49D5">
      <w:pPr>
        <w:spacing w:line="258" w:lineRule="auto"/>
        <w:rPr>
          <w:rFonts w:ascii="Arial"/>
          <w:sz w:val="21"/>
        </w:rPr>
      </w:pPr>
    </w:p>
    <w:p w14:paraId="518DAF9B">
      <w:pPr>
        <w:spacing w:line="258" w:lineRule="auto"/>
        <w:rPr>
          <w:rFonts w:ascii="Arial"/>
          <w:sz w:val="21"/>
        </w:rPr>
      </w:pPr>
    </w:p>
    <w:p w14:paraId="6035077A">
      <w:pPr>
        <w:spacing w:line="258" w:lineRule="auto"/>
        <w:rPr>
          <w:rFonts w:ascii="Arial"/>
          <w:sz w:val="21"/>
        </w:rPr>
      </w:pPr>
    </w:p>
    <w:p w14:paraId="4ED781AF">
      <w:pPr>
        <w:spacing w:line="258" w:lineRule="auto"/>
        <w:rPr>
          <w:rFonts w:ascii="Arial"/>
          <w:sz w:val="21"/>
        </w:rPr>
      </w:pPr>
    </w:p>
    <w:p w14:paraId="66769AAF">
      <w:pPr>
        <w:spacing w:line="258" w:lineRule="auto"/>
        <w:rPr>
          <w:rFonts w:ascii="Arial"/>
          <w:sz w:val="21"/>
        </w:rPr>
      </w:pPr>
    </w:p>
    <w:p w14:paraId="74473A62">
      <w:pPr>
        <w:spacing w:before="65" w:line="227" w:lineRule="auto"/>
        <w:ind w:left="420"/>
        <w:rPr>
          <w:rFonts w:ascii="宋体" w:hAnsi="宋体" w:eastAsia="宋体" w:cs="宋体"/>
          <w:sz w:val="20"/>
          <w:szCs w:val="20"/>
        </w:rPr>
      </w:pPr>
      <w:r>
        <w:rPr>
          <w:rFonts w:ascii="宋体" w:hAnsi="宋体" w:eastAsia="宋体" w:cs="宋体"/>
          <w:spacing w:val="8"/>
          <w:sz w:val="20"/>
          <w:szCs w:val="20"/>
        </w:rPr>
        <w:t>发包人</w:t>
      </w:r>
      <w:r>
        <w:rPr>
          <w:rFonts w:ascii="宋体" w:hAnsi="宋体" w:eastAsia="宋体" w:cs="宋体"/>
          <w:spacing w:val="-14"/>
          <w:sz w:val="20"/>
          <w:szCs w:val="20"/>
        </w:rPr>
        <w:t>：</w:t>
      </w:r>
      <w:r>
        <w:rPr>
          <w:rFonts w:ascii="宋体" w:hAnsi="宋体" w:eastAsia="宋体" w:cs="宋体"/>
          <w:spacing w:val="14"/>
          <w:sz w:val="20"/>
          <w:szCs w:val="20"/>
        </w:rPr>
        <w:t xml:space="preserve">  </w:t>
      </w:r>
      <w:r>
        <w:rPr>
          <w:rFonts w:ascii="宋体" w:hAnsi="宋体" w:eastAsia="宋体" w:cs="宋体"/>
          <w:spacing w:val="-14"/>
          <w:sz w:val="20"/>
          <w:szCs w:val="20"/>
        </w:rPr>
        <w:t>（</w:t>
      </w:r>
      <w:r>
        <w:rPr>
          <w:rFonts w:ascii="宋体" w:hAnsi="宋体" w:eastAsia="宋体" w:cs="宋体"/>
          <w:spacing w:val="8"/>
          <w:sz w:val="20"/>
          <w:szCs w:val="20"/>
        </w:rPr>
        <w:t>公章）                      承包</w:t>
      </w:r>
      <w:r>
        <w:rPr>
          <w:rFonts w:ascii="宋体" w:hAnsi="宋体" w:eastAsia="宋体" w:cs="宋体"/>
          <w:spacing w:val="7"/>
          <w:sz w:val="20"/>
          <w:szCs w:val="20"/>
        </w:rPr>
        <w:t>人</w:t>
      </w:r>
      <w:r>
        <w:rPr>
          <w:rFonts w:ascii="宋体" w:hAnsi="宋体" w:eastAsia="宋体" w:cs="宋体"/>
          <w:spacing w:val="-14"/>
          <w:sz w:val="20"/>
          <w:szCs w:val="20"/>
        </w:rPr>
        <w:t>：</w:t>
      </w:r>
      <w:r>
        <w:rPr>
          <w:rFonts w:ascii="宋体" w:hAnsi="宋体" w:eastAsia="宋体" w:cs="宋体"/>
          <w:spacing w:val="12"/>
          <w:sz w:val="20"/>
          <w:szCs w:val="20"/>
        </w:rPr>
        <w:t xml:space="preserve">  </w:t>
      </w:r>
      <w:r>
        <w:rPr>
          <w:rFonts w:ascii="宋体" w:hAnsi="宋体" w:eastAsia="宋体" w:cs="宋体"/>
          <w:spacing w:val="-14"/>
          <w:sz w:val="20"/>
          <w:szCs w:val="20"/>
        </w:rPr>
        <w:t>（</w:t>
      </w:r>
      <w:r>
        <w:rPr>
          <w:rFonts w:ascii="宋体" w:hAnsi="宋体" w:eastAsia="宋体" w:cs="宋体"/>
          <w:spacing w:val="7"/>
          <w:sz w:val="20"/>
          <w:szCs w:val="20"/>
        </w:rPr>
        <w:t>公章）</w:t>
      </w:r>
    </w:p>
    <w:p w14:paraId="79E14578">
      <w:pPr>
        <w:spacing w:line="444" w:lineRule="auto"/>
        <w:rPr>
          <w:rFonts w:ascii="Arial"/>
          <w:sz w:val="21"/>
        </w:rPr>
      </w:pPr>
    </w:p>
    <w:p w14:paraId="0A811C55">
      <w:pPr>
        <w:spacing w:before="65" w:line="228" w:lineRule="auto"/>
        <w:ind w:left="418"/>
        <w:rPr>
          <w:rFonts w:ascii="宋体" w:hAnsi="宋体" w:eastAsia="宋体" w:cs="宋体"/>
          <w:sz w:val="20"/>
          <w:szCs w:val="20"/>
        </w:rPr>
      </w:pPr>
      <w:r>
        <w:rPr>
          <w:rFonts w:ascii="宋体" w:hAnsi="宋体" w:eastAsia="宋体" w:cs="宋体"/>
          <w:spacing w:val="8"/>
          <w:sz w:val="20"/>
          <w:szCs w:val="20"/>
        </w:rPr>
        <w:t xml:space="preserve">法定代表人或其委托代理人：              </w:t>
      </w:r>
      <w:r>
        <w:rPr>
          <w:rFonts w:ascii="宋体" w:hAnsi="宋体" w:eastAsia="宋体" w:cs="宋体"/>
          <w:spacing w:val="7"/>
          <w:sz w:val="20"/>
          <w:szCs w:val="20"/>
        </w:rPr>
        <w:t>法定代表人或其委托代理人：</w:t>
      </w:r>
    </w:p>
    <w:p w14:paraId="618A8C9A">
      <w:pPr>
        <w:spacing w:before="135" w:line="228" w:lineRule="auto"/>
        <w:ind w:left="427"/>
        <w:rPr>
          <w:rFonts w:ascii="宋体" w:hAnsi="宋体" w:eastAsia="宋体" w:cs="宋体"/>
          <w:sz w:val="20"/>
          <w:szCs w:val="20"/>
        </w:rPr>
      </w:pPr>
      <w:r>
        <w:rPr>
          <w:rFonts w:ascii="宋体" w:hAnsi="宋体" w:eastAsia="宋体" w:cs="宋体"/>
          <w:spacing w:val="10"/>
          <w:sz w:val="20"/>
          <w:szCs w:val="20"/>
        </w:rPr>
        <w:t>（签字</w:t>
      </w:r>
      <w:r>
        <w:rPr>
          <w:rFonts w:ascii="宋体" w:hAnsi="宋体" w:eastAsia="宋体" w:cs="宋体"/>
          <w:spacing w:val="-14"/>
          <w:sz w:val="20"/>
          <w:szCs w:val="20"/>
        </w:rPr>
        <w:t>）</w:t>
      </w:r>
      <w:r>
        <w:rPr>
          <w:rFonts w:ascii="宋体" w:hAnsi="宋体" w:eastAsia="宋体" w:cs="宋体"/>
          <w:spacing w:val="2"/>
          <w:sz w:val="20"/>
          <w:szCs w:val="20"/>
        </w:rPr>
        <w:t xml:space="preserve">                                 </w:t>
      </w:r>
      <w:r>
        <w:rPr>
          <w:rFonts w:ascii="宋体" w:hAnsi="宋体" w:eastAsia="宋体" w:cs="宋体"/>
          <w:spacing w:val="-14"/>
          <w:sz w:val="20"/>
          <w:szCs w:val="20"/>
        </w:rPr>
        <w:t>（</w:t>
      </w:r>
      <w:r>
        <w:rPr>
          <w:rFonts w:ascii="宋体" w:hAnsi="宋体" w:eastAsia="宋体" w:cs="宋体"/>
          <w:spacing w:val="10"/>
          <w:sz w:val="20"/>
          <w:szCs w:val="20"/>
        </w:rPr>
        <w:t>签字）</w:t>
      </w:r>
    </w:p>
    <w:p w14:paraId="6AA21E3A">
      <w:pPr>
        <w:spacing w:line="443" w:lineRule="auto"/>
        <w:rPr>
          <w:rFonts w:ascii="Arial"/>
          <w:sz w:val="21"/>
        </w:rPr>
      </w:pPr>
    </w:p>
    <w:p w14:paraId="2844CB43">
      <w:pPr>
        <w:spacing w:before="66" w:line="227" w:lineRule="auto"/>
        <w:ind w:left="420"/>
        <w:rPr>
          <w:rFonts w:ascii="宋体" w:hAnsi="宋体" w:eastAsia="宋体" w:cs="宋体"/>
          <w:sz w:val="20"/>
          <w:szCs w:val="20"/>
        </w:rPr>
      </w:pPr>
      <w:r>
        <w:rPr>
          <w:rFonts w:ascii="宋体" w:hAnsi="宋体" w:eastAsia="宋体" w:cs="宋体"/>
          <w:spacing w:val="4"/>
          <w:sz w:val="20"/>
          <w:szCs w:val="20"/>
        </w:rPr>
        <w:t>组织机构代码：</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组织机构代码：</w:t>
      </w:r>
      <w:r>
        <w:rPr>
          <w:rFonts w:ascii="宋体" w:hAnsi="宋体" w:eastAsia="宋体" w:cs="宋体"/>
          <w:spacing w:val="4"/>
          <w:sz w:val="20"/>
          <w:szCs w:val="20"/>
          <w:u w:val="single" w:color="auto"/>
        </w:rPr>
        <w:t xml:space="preserve">                </w:t>
      </w:r>
    </w:p>
    <w:p w14:paraId="7895B6CB">
      <w:pPr>
        <w:spacing w:before="135" w:line="237" w:lineRule="auto"/>
        <w:ind w:left="417"/>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10"/>
          <w:sz w:val="20"/>
          <w:szCs w:val="20"/>
        </w:rPr>
        <w:t xml:space="preserve">  </w:t>
      </w:r>
      <w:r>
        <w:rPr>
          <w:rFonts w:ascii="宋体" w:hAnsi="宋体" w:eastAsia="宋体" w:cs="宋体"/>
          <w:spacing w:val="-5"/>
          <w:sz w:val="20"/>
          <w:szCs w:val="20"/>
        </w:rPr>
        <w:t>址</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 xml:space="preserve">            </w:t>
      </w:r>
      <w:r>
        <w:rPr>
          <w:rFonts w:ascii="宋体" w:hAnsi="宋体" w:eastAsia="宋体" w:cs="宋体"/>
          <w:spacing w:val="-5"/>
          <w:sz w:val="20"/>
          <w:szCs w:val="20"/>
        </w:rPr>
        <w:t>地</w:t>
      </w:r>
      <w:r>
        <w:rPr>
          <w:rFonts w:ascii="宋体" w:hAnsi="宋体" w:eastAsia="宋体" w:cs="宋体"/>
          <w:spacing w:val="14"/>
          <w:sz w:val="20"/>
          <w:szCs w:val="20"/>
        </w:rPr>
        <w:t xml:space="preserve">  </w:t>
      </w:r>
      <w:r>
        <w:rPr>
          <w:rFonts w:ascii="宋体" w:hAnsi="宋体" w:eastAsia="宋体" w:cs="宋体"/>
          <w:spacing w:val="-5"/>
          <w:sz w:val="20"/>
          <w:szCs w:val="20"/>
        </w:rPr>
        <w:t>址</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69F564CC">
      <w:pPr>
        <w:spacing w:before="123" w:line="228" w:lineRule="auto"/>
        <w:ind w:left="432"/>
        <w:rPr>
          <w:rFonts w:ascii="宋体" w:hAnsi="宋体" w:eastAsia="宋体" w:cs="宋体"/>
          <w:sz w:val="20"/>
          <w:szCs w:val="20"/>
        </w:rPr>
      </w:pPr>
      <w:r>
        <w:rPr>
          <w:rFonts w:ascii="宋体" w:hAnsi="宋体" w:eastAsia="宋体" w:cs="宋体"/>
          <w:spacing w:val="5"/>
          <w:sz w:val="20"/>
          <w:szCs w:val="20"/>
        </w:rPr>
        <w:t>邮政编码：</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5"/>
          <w:sz w:val="20"/>
          <w:szCs w:val="20"/>
        </w:rPr>
        <w:t>邮政编码：</w:t>
      </w:r>
      <w:r>
        <w:rPr>
          <w:rFonts w:ascii="宋体" w:hAnsi="宋体" w:eastAsia="宋体" w:cs="宋体"/>
          <w:sz w:val="20"/>
          <w:szCs w:val="20"/>
          <w:u w:val="single" w:color="auto"/>
        </w:rPr>
        <w:t xml:space="preserve">                    </w:t>
      </w:r>
    </w:p>
    <w:p w14:paraId="15F4AB6B">
      <w:pPr>
        <w:spacing w:before="132" w:line="228" w:lineRule="auto"/>
        <w:ind w:left="418"/>
        <w:rPr>
          <w:rFonts w:ascii="宋体" w:hAnsi="宋体" w:eastAsia="宋体" w:cs="宋体"/>
          <w:sz w:val="20"/>
          <w:szCs w:val="20"/>
        </w:rPr>
      </w:pPr>
      <w:r>
        <w:rPr>
          <w:rFonts w:ascii="宋体" w:hAnsi="宋体" w:eastAsia="宋体" w:cs="宋体"/>
          <w:spacing w:val="4"/>
          <w:sz w:val="20"/>
          <w:szCs w:val="20"/>
        </w:rPr>
        <w:t>法定代表人：</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法定代表人：</w:t>
      </w:r>
      <w:r>
        <w:rPr>
          <w:rFonts w:ascii="宋体" w:hAnsi="宋体" w:eastAsia="宋体" w:cs="宋体"/>
          <w:spacing w:val="4"/>
          <w:sz w:val="20"/>
          <w:szCs w:val="20"/>
          <w:u w:val="single" w:color="auto"/>
        </w:rPr>
        <w:t xml:space="preserve">                  </w:t>
      </w:r>
    </w:p>
    <w:p w14:paraId="4C86499D">
      <w:pPr>
        <w:spacing w:before="134" w:line="228" w:lineRule="auto"/>
        <w:ind w:left="416"/>
        <w:rPr>
          <w:rFonts w:ascii="宋体" w:hAnsi="宋体" w:eastAsia="宋体" w:cs="宋体"/>
          <w:sz w:val="20"/>
          <w:szCs w:val="20"/>
        </w:rPr>
      </w:pPr>
      <w:r>
        <w:rPr>
          <w:rFonts w:ascii="宋体" w:hAnsi="宋体" w:eastAsia="宋体" w:cs="宋体"/>
          <w:spacing w:val="6"/>
          <w:sz w:val="20"/>
          <w:szCs w:val="20"/>
        </w:rPr>
        <w:t>委托代理人：</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委托代理人：</w:t>
      </w:r>
      <w:r>
        <w:rPr>
          <w:rFonts w:ascii="宋体" w:hAnsi="宋体" w:eastAsia="宋体" w:cs="宋体"/>
          <w:sz w:val="20"/>
          <w:szCs w:val="20"/>
          <w:u w:val="single" w:color="auto"/>
        </w:rPr>
        <w:t xml:space="preserve">                  </w:t>
      </w:r>
    </w:p>
    <w:p w14:paraId="34EE85C9">
      <w:pPr>
        <w:spacing w:before="133" w:line="230" w:lineRule="auto"/>
        <w:ind w:left="441"/>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10"/>
          <w:sz w:val="20"/>
          <w:szCs w:val="20"/>
        </w:rPr>
        <w:t xml:space="preserve">  </w:t>
      </w:r>
      <w:r>
        <w:rPr>
          <w:rFonts w:ascii="宋体" w:hAnsi="宋体" w:eastAsia="宋体" w:cs="宋体"/>
          <w:spacing w:val="-13"/>
          <w:sz w:val="20"/>
          <w:szCs w:val="20"/>
        </w:rPr>
        <w:t>话</w:t>
      </w:r>
      <w:r>
        <w:rPr>
          <w:rFonts w:ascii="宋体" w:hAnsi="宋体" w:eastAsia="宋体" w:cs="宋体"/>
          <w:spacing w:val="-74"/>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13"/>
          <w:sz w:val="20"/>
          <w:szCs w:val="20"/>
        </w:rPr>
        <w:t>电</w:t>
      </w:r>
      <w:r>
        <w:rPr>
          <w:rFonts w:ascii="宋体" w:hAnsi="宋体" w:eastAsia="宋体" w:cs="宋体"/>
          <w:spacing w:val="14"/>
          <w:sz w:val="20"/>
          <w:szCs w:val="20"/>
        </w:rPr>
        <w:t xml:space="preserve">  </w:t>
      </w:r>
      <w:r>
        <w:rPr>
          <w:rFonts w:ascii="宋体" w:hAnsi="宋体" w:eastAsia="宋体" w:cs="宋体"/>
          <w:spacing w:val="-13"/>
          <w:sz w:val="20"/>
          <w:szCs w:val="20"/>
        </w:rPr>
        <w:t>话</w:t>
      </w:r>
      <w:r>
        <w:rPr>
          <w:rFonts w:ascii="宋体" w:hAnsi="宋体" w:eastAsia="宋体" w:cs="宋体"/>
          <w:spacing w:val="-74"/>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5AB13B47">
      <w:pPr>
        <w:spacing w:before="130" w:line="227" w:lineRule="auto"/>
        <w:ind w:left="415"/>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11"/>
          <w:sz w:val="20"/>
          <w:szCs w:val="20"/>
        </w:rPr>
        <w:t xml:space="preserve">  </w:t>
      </w:r>
      <w:r>
        <w:rPr>
          <w:rFonts w:ascii="宋体" w:hAnsi="宋体" w:eastAsia="宋体" w:cs="宋体"/>
          <w:spacing w:val="-5"/>
          <w:sz w:val="20"/>
          <w:szCs w:val="20"/>
        </w:rPr>
        <w:t>真</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 xml:space="preserve">            </w:t>
      </w:r>
      <w:r>
        <w:rPr>
          <w:rFonts w:ascii="宋体" w:hAnsi="宋体" w:eastAsia="宋体" w:cs="宋体"/>
          <w:spacing w:val="-5"/>
          <w:sz w:val="20"/>
          <w:szCs w:val="20"/>
        </w:rPr>
        <w:t>传</w:t>
      </w:r>
      <w:r>
        <w:rPr>
          <w:rFonts w:ascii="宋体" w:hAnsi="宋体" w:eastAsia="宋体" w:cs="宋体"/>
          <w:spacing w:val="14"/>
          <w:sz w:val="20"/>
          <w:szCs w:val="20"/>
        </w:rPr>
        <w:t xml:space="preserve">  </w:t>
      </w:r>
      <w:r>
        <w:rPr>
          <w:rFonts w:ascii="宋体" w:hAnsi="宋体" w:eastAsia="宋体" w:cs="宋体"/>
          <w:spacing w:val="-5"/>
          <w:sz w:val="20"/>
          <w:szCs w:val="20"/>
        </w:rPr>
        <w:t>真</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6311FB77">
      <w:pPr>
        <w:spacing w:before="135" w:line="228" w:lineRule="auto"/>
        <w:ind w:left="441"/>
        <w:rPr>
          <w:rFonts w:ascii="宋体" w:hAnsi="宋体" w:eastAsia="宋体" w:cs="宋体"/>
          <w:sz w:val="20"/>
          <w:szCs w:val="20"/>
        </w:rPr>
      </w:pPr>
      <w:r>
        <w:rPr>
          <w:rFonts w:ascii="宋体" w:hAnsi="宋体" w:eastAsia="宋体" w:cs="宋体"/>
          <w:spacing w:val="3"/>
          <w:sz w:val="20"/>
          <w:szCs w:val="20"/>
        </w:rPr>
        <w:t>电子信箱：</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3"/>
          <w:sz w:val="20"/>
          <w:szCs w:val="20"/>
        </w:rPr>
        <w:t>电子信箱：</w:t>
      </w:r>
      <w:r>
        <w:rPr>
          <w:rFonts w:ascii="宋体" w:hAnsi="宋体" w:eastAsia="宋体" w:cs="宋体"/>
          <w:sz w:val="20"/>
          <w:szCs w:val="20"/>
          <w:u w:val="single" w:color="auto"/>
        </w:rPr>
        <w:t xml:space="preserve">                    </w:t>
      </w:r>
    </w:p>
    <w:p w14:paraId="3D162198">
      <w:pPr>
        <w:spacing w:before="133" w:line="228" w:lineRule="auto"/>
        <w:ind w:left="418"/>
        <w:rPr>
          <w:rFonts w:ascii="宋体" w:hAnsi="宋体" w:eastAsia="宋体" w:cs="宋体"/>
          <w:sz w:val="20"/>
          <w:szCs w:val="20"/>
        </w:rPr>
      </w:pPr>
      <w:r>
        <w:rPr>
          <w:rFonts w:ascii="宋体" w:hAnsi="宋体" w:eastAsia="宋体" w:cs="宋体"/>
          <w:spacing w:val="4"/>
          <w:sz w:val="20"/>
          <w:szCs w:val="20"/>
        </w:rPr>
        <w:t>开户银行：</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开户银行：</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52E39937">
      <w:pPr>
        <w:spacing w:before="132" w:line="229" w:lineRule="auto"/>
        <w:ind w:left="420"/>
        <w:rPr>
          <w:rFonts w:ascii="宋体" w:hAnsi="宋体" w:eastAsia="宋体" w:cs="宋体"/>
          <w:sz w:val="20"/>
          <w:szCs w:val="20"/>
        </w:rPr>
      </w:pPr>
      <w:r>
        <w:rPr>
          <w:rFonts w:ascii="宋体" w:hAnsi="宋体" w:eastAsia="宋体" w:cs="宋体"/>
          <w:spacing w:val="-4"/>
          <w:sz w:val="20"/>
          <w:szCs w:val="20"/>
        </w:rPr>
        <w:t>账</w:t>
      </w:r>
      <w:r>
        <w:rPr>
          <w:rFonts w:ascii="宋体" w:hAnsi="宋体" w:eastAsia="宋体" w:cs="宋体"/>
          <w:spacing w:val="12"/>
          <w:sz w:val="20"/>
          <w:szCs w:val="20"/>
        </w:rPr>
        <w:t xml:space="preserve">  </w:t>
      </w:r>
      <w:r>
        <w:rPr>
          <w:rFonts w:ascii="宋体" w:hAnsi="宋体" w:eastAsia="宋体" w:cs="宋体"/>
          <w:spacing w:val="-4"/>
          <w:sz w:val="20"/>
          <w:szCs w:val="20"/>
        </w:rPr>
        <w:t>号</w:t>
      </w:r>
      <w:r>
        <w:rPr>
          <w:rFonts w:ascii="宋体" w:hAnsi="宋体" w:eastAsia="宋体" w:cs="宋体"/>
          <w:spacing w:val="-74"/>
          <w:sz w:val="20"/>
          <w:szCs w:val="20"/>
        </w:rPr>
        <w:t xml:space="preserve"> </w:t>
      </w:r>
      <w:r>
        <w:rPr>
          <w:rFonts w:ascii="宋体" w:hAnsi="宋体" w:eastAsia="宋体" w:cs="宋体"/>
          <w:spacing w:val="-4"/>
          <w:sz w:val="20"/>
          <w:szCs w:val="20"/>
        </w:rPr>
        <w:t>：</w:t>
      </w:r>
      <w:r>
        <w:rPr>
          <w:rFonts w:ascii="宋体" w:hAnsi="宋体" w:eastAsia="宋体" w:cs="宋体"/>
          <w:sz w:val="20"/>
          <w:szCs w:val="20"/>
          <w:u w:val="single" w:color="auto"/>
        </w:rPr>
        <w:t xml:space="preserve">                     </w:t>
      </w:r>
      <w:r>
        <w:rPr>
          <w:rFonts w:ascii="宋体" w:hAnsi="宋体" w:eastAsia="宋体" w:cs="宋体"/>
          <w:spacing w:val="-4"/>
          <w:sz w:val="20"/>
          <w:szCs w:val="20"/>
        </w:rPr>
        <w:t xml:space="preserve">             账</w:t>
      </w:r>
      <w:r>
        <w:rPr>
          <w:rFonts w:ascii="宋体" w:hAnsi="宋体" w:eastAsia="宋体" w:cs="宋体"/>
          <w:spacing w:val="12"/>
          <w:sz w:val="20"/>
          <w:szCs w:val="20"/>
        </w:rPr>
        <w:t xml:space="preserve">  </w:t>
      </w:r>
      <w:r>
        <w:rPr>
          <w:rFonts w:ascii="宋体" w:hAnsi="宋体" w:eastAsia="宋体" w:cs="宋体"/>
          <w:spacing w:val="-4"/>
          <w:sz w:val="20"/>
          <w:szCs w:val="20"/>
        </w:rPr>
        <w:t>号</w:t>
      </w:r>
      <w:r>
        <w:rPr>
          <w:rFonts w:ascii="宋体" w:hAnsi="宋体" w:eastAsia="宋体" w:cs="宋体"/>
          <w:spacing w:val="-74"/>
          <w:sz w:val="20"/>
          <w:szCs w:val="20"/>
        </w:rPr>
        <w:t xml:space="preserve"> </w:t>
      </w:r>
      <w:r>
        <w:rPr>
          <w:rFonts w:ascii="宋体" w:hAnsi="宋体" w:eastAsia="宋体" w:cs="宋体"/>
          <w:spacing w:val="-4"/>
          <w:sz w:val="20"/>
          <w:szCs w:val="20"/>
        </w:rPr>
        <w:t>：</w:t>
      </w:r>
      <w:r>
        <w:rPr>
          <w:rFonts w:ascii="宋体" w:hAnsi="宋体" w:eastAsia="宋体" w:cs="宋体"/>
          <w:spacing w:val="-4"/>
          <w:sz w:val="20"/>
          <w:szCs w:val="20"/>
          <w:u w:val="single" w:color="auto"/>
        </w:rPr>
        <w:t xml:space="preserve">                       </w:t>
      </w:r>
    </w:p>
    <w:p w14:paraId="7A867643">
      <w:pPr>
        <w:spacing w:line="229" w:lineRule="auto"/>
        <w:rPr>
          <w:rFonts w:ascii="宋体" w:hAnsi="宋体" w:eastAsia="宋体" w:cs="宋体"/>
          <w:sz w:val="20"/>
          <w:szCs w:val="20"/>
        </w:rPr>
        <w:sectPr>
          <w:footerReference r:id="rId234" w:type="default"/>
          <w:pgSz w:w="11906" w:h="16839"/>
          <w:pgMar w:top="400" w:right="1785" w:bottom="1038" w:left="1541" w:header="0" w:footer="787" w:gutter="0"/>
          <w:cols w:space="720" w:num="1"/>
        </w:sectPr>
      </w:pPr>
    </w:p>
    <w:p w14:paraId="3A17BAB9">
      <w:pPr>
        <w:spacing w:line="249" w:lineRule="auto"/>
        <w:rPr>
          <w:rFonts w:ascii="Arial"/>
          <w:sz w:val="21"/>
        </w:rPr>
      </w:pPr>
    </w:p>
    <w:p w14:paraId="5BDFD8B5">
      <w:pPr>
        <w:spacing w:line="249" w:lineRule="auto"/>
        <w:rPr>
          <w:rFonts w:ascii="Arial"/>
          <w:sz w:val="21"/>
        </w:rPr>
      </w:pPr>
    </w:p>
    <w:p w14:paraId="2977AE9B">
      <w:pPr>
        <w:spacing w:line="249" w:lineRule="auto"/>
        <w:rPr>
          <w:rFonts w:ascii="Arial"/>
          <w:sz w:val="21"/>
        </w:rPr>
      </w:pPr>
    </w:p>
    <w:p w14:paraId="69287CF0">
      <w:pPr>
        <w:spacing w:line="249" w:lineRule="auto"/>
        <w:rPr>
          <w:rFonts w:ascii="Arial"/>
          <w:sz w:val="21"/>
        </w:rPr>
      </w:pPr>
    </w:p>
    <w:p w14:paraId="32ACF87A">
      <w:pPr>
        <w:spacing w:line="249" w:lineRule="auto"/>
        <w:rPr>
          <w:rFonts w:ascii="Arial"/>
          <w:sz w:val="21"/>
        </w:rPr>
      </w:pPr>
    </w:p>
    <w:p w14:paraId="1A1A1C4D">
      <w:pPr>
        <w:spacing w:line="249" w:lineRule="auto"/>
        <w:rPr>
          <w:rFonts w:ascii="Arial"/>
          <w:sz w:val="21"/>
        </w:rPr>
      </w:pPr>
    </w:p>
    <w:p w14:paraId="211ABAC6">
      <w:pPr>
        <w:spacing w:line="249" w:lineRule="auto"/>
        <w:rPr>
          <w:rFonts w:ascii="Arial"/>
          <w:sz w:val="21"/>
        </w:rPr>
      </w:pPr>
    </w:p>
    <w:p w14:paraId="5BB7C3D7">
      <w:pPr>
        <w:spacing w:line="250" w:lineRule="auto"/>
        <w:rPr>
          <w:rFonts w:ascii="Arial"/>
          <w:sz w:val="21"/>
        </w:rPr>
      </w:pPr>
    </w:p>
    <w:p w14:paraId="7A601ABB">
      <w:pPr>
        <w:spacing w:line="250" w:lineRule="auto"/>
        <w:rPr>
          <w:rFonts w:ascii="Arial"/>
          <w:sz w:val="21"/>
        </w:rPr>
      </w:pPr>
    </w:p>
    <w:p w14:paraId="49268D33">
      <w:pPr>
        <w:spacing w:line="250" w:lineRule="auto"/>
        <w:rPr>
          <w:rFonts w:ascii="Arial"/>
          <w:sz w:val="21"/>
        </w:rPr>
      </w:pPr>
    </w:p>
    <w:p w14:paraId="0CCDA4E4">
      <w:pPr>
        <w:spacing w:line="250" w:lineRule="auto"/>
        <w:rPr>
          <w:rFonts w:ascii="Arial"/>
          <w:sz w:val="21"/>
        </w:rPr>
      </w:pPr>
    </w:p>
    <w:p w14:paraId="4F5FB842">
      <w:pPr>
        <w:spacing w:line="250" w:lineRule="auto"/>
        <w:rPr>
          <w:rFonts w:ascii="Arial"/>
          <w:sz w:val="21"/>
        </w:rPr>
      </w:pPr>
    </w:p>
    <w:p w14:paraId="7D5EF749">
      <w:pPr>
        <w:spacing w:line="250" w:lineRule="auto"/>
        <w:rPr>
          <w:rFonts w:ascii="Arial"/>
          <w:sz w:val="21"/>
        </w:rPr>
      </w:pPr>
    </w:p>
    <w:p w14:paraId="40421E5C">
      <w:pPr>
        <w:spacing w:line="250" w:lineRule="auto"/>
        <w:rPr>
          <w:rFonts w:ascii="Arial"/>
          <w:sz w:val="21"/>
        </w:rPr>
      </w:pPr>
    </w:p>
    <w:p w14:paraId="2C4DBBA2">
      <w:pPr>
        <w:spacing w:line="250" w:lineRule="auto"/>
        <w:rPr>
          <w:rFonts w:ascii="Arial"/>
          <w:sz w:val="21"/>
        </w:rPr>
      </w:pPr>
    </w:p>
    <w:p w14:paraId="5926D3F3">
      <w:pPr>
        <w:pStyle w:val="2"/>
        <w:spacing w:before="91" w:line="222" w:lineRule="auto"/>
        <w:ind w:left="2696"/>
        <w:outlineLvl w:val="1"/>
        <w:rPr>
          <w:sz w:val="28"/>
          <w:szCs w:val="28"/>
        </w:rPr>
      </w:pPr>
      <w:bookmarkStart w:id="262" w:name="bookmark244"/>
      <w:bookmarkEnd w:id="262"/>
      <w:r>
        <w:rPr>
          <w:spacing w:val="-1"/>
          <w:sz w:val="28"/>
          <w:szCs w:val="28"/>
        </w:rPr>
        <w:t>第二部分 通用合同条款</w:t>
      </w:r>
    </w:p>
    <w:p w14:paraId="6E3FFC26">
      <w:pPr>
        <w:spacing w:line="222" w:lineRule="auto"/>
        <w:rPr>
          <w:sz w:val="28"/>
          <w:szCs w:val="28"/>
        </w:rPr>
        <w:sectPr>
          <w:footerReference r:id="rId235" w:type="default"/>
          <w:pgSz w:w="11906" w:h="16839"/>
          <w:pgMar w:top="400" w:right="1785" w:bottom="1038" w:left="1785" w:header="0" w:footer="787" w:gutter="0"/>
          <w:cols w:space="720" w:num="1"/>
        </w:sectPr>
      </w:pPr>
    </w:p>
    <w:p w14:paraId="1614F80B">
      <w:pPr>
        <w:spacing w:line="249" w:lineRule="auto"/>
        <w:rPr>
          <w:rFonts w:ascii="Arial"/>
          <w:sz w:val="21"/>
        </w:rPr>
      </w:pPr>
    </w:p>
    <w:p w14:paraId="6B1B83F7">
      <w:pPr>
        <w:spacing w:line="250" w:lineRule="auto"/>
        <w:rPr>
          <w:rFonts w:ascii="Arial"/>
          <w:sz w:val="21"/>
        </w:rPr>
      </w:pPr>
    </w:p>
    <w:p w14:paraId="2005BAD2">
      <w:pPr>
        <w:spacing w:line="250" w:lineRule="auto"/>
        <w:rPr>
          <w:rFonts w:ascii="Arial"/>
          <w:sz w:val="21"/>
        </w:rPr>
      </w:pPr>
    </w:p>
    <w:p w14:paraId="6947BF68">
      <w:pPr>
        <w:spacing w:line="250" w:lineRule="auto"/>
        <w:rPr>
          <w:rFonts w:ascii="Arial"/>
          <w:sz w:val="21"/>
        </w:rPr>
      </w:pPr>
    </w:p>
    <w:p w14:paraId="6DD6DA9A">
      <w:pPr>
        <w:pStyle w:val="2"/>
        <w:spacing w:before="91" w:line="223" w:lineRule="auto"/>
        <w:ind w:left="3570"/>
        <w:rPr>
          <w:sz w:val="28"/>
          <w:szCs w:val="28"/>
        </w:rPr>
      </w:pPr>
      <w:r>
        <w:rPr>
          <w:spacing w:val="-2"/>
          <w:sz w:val="28"/>
          <w:szCs w:val="28"/>
        </w:rPr>
        <w:t>通用合同条款</w:t>
      </w:r>
    </w:p>
    <w:p w14:paraId="340D38F5">
      <w:pPr>
        <w:spacing w:line="448" w:lineRule="auto"/>
        <w:rPr>
          <w:rFonts w:ascii="Arial"/>
          <w:sz w:val="21"/>
        </w:rPr>
      </w:pPr>
    </w:p>
    <w:p w14:paraId="4B5B0A10">
      <w:pPr>
        <w:pStyle w:val="2"/>
        <w:spacing w:before="91" w:line="222" w:lineRule="auto"/>
        <w:ind w:left="11"/>
        <w:outlineLvl w:val="2"/>
        <w:rPr>
          <w:sz w:val="28"/>
          <w:szCs w:val="28"/>
        </w:rPr>
      </w:pPr>
      <w:bookmarkStart w:id="263" w:name="bookmark245"/>
      <w:bookmarkEnd w:id="263"/>
      <w:r>
        <w:rPr>
          <w:rFonts w:ascii="Times New Roman" w:hAnsi="Times New Roman" w:eastAsia="Times New Roman" w:cs="Times New Roman"/>
          <w:b/>
          <w:bCs/>
          <w:spacing w:val="-7"/>
          <w:sz w:val="28"/>
          <w:szCs w:val="28"/>
        </w:rPr>
        <w:t>1.</w:t>
      </w:r>
      <w:r>
        <w:rPr>
          <w:rFonts w:ascii="Times New Roman" w:hAnsi="Times New Roman" w:eastAsia="Times New Roman" w:cs="Times New Roman"/>
          <w:b/>
          <w:bCs/>
          <w:spacing w:val="7"/>
          <w:sz w:val="28"/>
          <w:szCs w:val="28"/>
        </w:rPr>
        <w:t xml:space="preserve">  </w:t>
      </w:r>
      <w:r>
        <w:rPr>
          <w:b/>
          <w:bCs/>
          <w:spacing w:val="-7"/>
          <w:sz w:val="28"/>
          <w:szCs w:val="28"/>
        </w:rPr>
        <w:t>一般约定</w:t>
      </w:r>
    </w:p>
    <w:p w14:paraId="5F2C88BD">
      <w:pPr>
        <w:pStyle w:val="2"/>
        <w:spacing w:before="98" w:line="222" w:lineRule="auto"/>
        <w:ind w:left="8"/>
        <w:rPr>
          <w:sz w:val="24"/>
          <w:szCs w:val="24"/>
        </w:rPr>
      </w:pPr>
      <w:r>
        <w:rPr>
          <w:rFonts w:ascii="Times New Roman" w:hAnsi="Times New Roman" w:eastAsia="Times New Roman" w:cs="Times New Roman"/>
          <w:b/>
          <w:bCs/>
          <w:spacing w:val="-3"/>
          <w:sz w:val="24"/>
          <w:szCs w:val="24"/>
        </w:rPr>
        <w:t xml:space="preserve">1.1 </w:t>
      </w:r>
      <w:r>
        <w:rPr>
          <w:b/>
          <w:bCs/>
          <w:spacing w:val="-3"/>
          <w:sz w:val="24"/>
          <w:szCs w:val="24"/>
        </w:rPr>
        <w:t>词语定义与解释</w:t>
      </w:r>
    </w:p>
    <w:p w14:paraId="7FBBA6AE">
      <w:pPr>
        <w:spacing w:before="138" w:line="227" w:lineRule="auto"/>
        <w:ind w:left="421"/>
        <w:rPr>
          <w:rFonts w:ascii="宋体" w:hAnsi="宋体" w:eastAsia="宋体" w:cs="宋体"/>
          <w:sz w:val="20"/>
          <w:szCs w:val="20"/>
        </w:rPr>
      </w:pPr>
      <w:r>
        <w:rPr>
          <w:rFonts w:ascii="宋体" w:hAnsi="宋体" w:eastAsia="宋体" w:cs="宋体"/>
          <w:spacing w:val="9"/>
          <w:sz w:val="20"/>
          <w:szCs w:val="20"/>
        </w:rPr>
        <w:t>合同协议书、通用合同条款、专用合同条款中的下列词语具有本款所赋予的含义：</w:t>
      </w:r>
    </w:p>
    <w:p w14:paraId="7A774DA5">
      <w:pPr>
        <w:spacing w:before="152" w:line="230" w:lineRule="auto"/>
        <w:ind w:left="437"/>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6"/>
          <w:sz w:val="20"/>
          <w:szCs w:val="20"/>
        </w:rPr>
        <w:t xml:space="preserve">  </w:t>
      </w:r>
      <w:r>
        <w:rPr>
          <w:rFonts w:ascii="宋体" w:hAnsi="宋体" w:eastAsia="宋体" w:cs="宋体"/>
          <w:spacing w:val="-7"/>
          <w:sz w:val="20"/>
          <w:szCs w:val="20"/>
        </w:rPr>
        <w:t>合同</w:t>
      </w:r>
    </w:p>
    <w:p w14:paraId="51B8A019">
      <w:pPr>
        <w:spacing w:before="152" w:line="369" w:lineRule="auto"/>
        <w:ind w:left="1" w:right="15" w:firstLine="435"/>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合同：是指根据法律规</w:t>
      </w:r>
      <w:r>
        <w:rPr>
          <w:rFonts w:ascii="宋体" w:hAnsi="宋体" w:eastAsia="宋体" w:cs="宋体"/>
          <w:spacing w:val="5"/>
          <w:sz w:val="20"/>
          <w:szCs w:val="20"/>
        </w:rPr>
        <w:t>定和合同当事人约定具有约束力的文件，构成合同的文件包括合同协议书、中标通知书（如果有）、投标函及其附录（如果有）、专用合同条款及其</w:t>
      </w:r>
      <w:r>
        <w:rPr>
          <w:rFonts w:ascii="宋体" w:hAnsi="宋体" w:eastAsia="宋体" w:cs="宋体"/>
          <w:spacing w:val="4"/>
          <w:sz w:val="20"/>
          <w:szCs w:val="20"/>
        </w:rPr>
        <w:t>附件、通用</w:t>
      </w:r>
      <w:r>
        <w:rPr>
          <w:rFonts w:ascii="宋体" w:hAnsi="宋体" w:eastAsia="宋体" w:cs="宋体"/>
          <w:spacing w:val="9"/>
          <w:sz w:val="20"/>
          <w:szCs w:val="20"/>
        </w:rPr>
        <w:t>合同条款、技术标准和要求、图纸、已标价工程量清单或预算书以及其他合同文件。</w:t>
      </w:r>
    </w:p>
    <w:p w14:paraId="6CEBC5C6">
      <w:pPr>
        <w:spacing w:before="2" w:line="368" w:lineRule="auto"/>
        <w:ind w:left="2" w:right="15" w:firstLine="43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  </w:t>
      </w:r>
      <w:r>
        <w:rPr>
          <w:rFonts w:ascii="宋体" w:hAnsi="宋体" w:eastAsia="宋体" w:cs="宋体"/>
          <w:spacing w:val="6"/>
          <w:sz w:val="20"/>
          <w:szCs w:val="20"/>
        </w:rPr>
        <w:t>合同协议书：是指构成合同的由发包人和承包人共同签署的</w:t>
      </w:r>
      <w:r>
        <w:rPr>
          <w:rFonts w:ascii="宋体" w:hAnsi="宋体" w:eastAsia="宋体" w:cs="宋体"/>
          <w:spacing w:val="5"/>
          <w:sz w:val="20"/>
          <w:szCs w:val="20"/>
        </w:rPr>
        <w:t>称为</w:t>
      </w:r>
      <w:r>
        <w:rPr>
          <w:rFonts w:ascii="Times New Roman" w:hAnsi="Times New Roman" w:eastAsia="Times New Roman" w:cs="Times New Roman"/>
          <w:spacing w:val="5"/>
          <w:sz w:val="20"/>
          <w:szCs w:val="20"/>
        </w:rPr>
        <w:t>“</w:t>
      </w:r>
      <w:r>
        <w:rPr>
          <w:rFonts w:ascii="宋体" w:hAnsi="宋体" w:eastAsia="宋体" w:cs="宋体"/>
          <w:spacing w:val="5"/>
          <w:sz w:val="20"/>
          <w:szCs w:val="20"/>
        </w:rPr>
        <w:t>合同协议书</w:t>
      </w:r>
      <w:r>
        <w:rPr>
          <w:rFonts w:ascii="Times New Roman" w:hAnsi="Times New Roman" w:eastAsia="Times New Roman" w:cs="Times New Roman"/>
          <w:spacing w:val="5"/>
          <w:sz w:val="20"/>
          <w:szCs w:val="20"/>
        </w:rPr>
        <w:t>”</w:t>
      </w:r>
      <w:r>
        <w:rPr>
          <w:rFonts w:ascii="Times New Roman" w:hAnsi="Times New Roman" w:eastAsia="Times New Roman" w:cs="Times New Roman"/>
          <w:spacing w:val="-23"/>
          <w:sz w:val="20"/>
          <w:szCs w:val="20"/>
        </w:rPr>
        <w:t xml:space="preserve"> </w:t>
      </w:r>
      <w:r>
        <w:rPr>
          <w:rFonts w:ascii="宋体" w:hAnsi="宋体" w:eastAsia="宋体" w:cs="宋体"/>
          <w:spacing w:val="5"/>
          <w:sz w:val="20"/>
          <w:szCs w:val="20"/>
        </w:rPr>
        <w:t>的书面</w:t>
      </w:r>
      <w:r>
        <w:rPr>
          <w:rFonts w:ascii="宋体" w:hAnsi="宋体" w:eastAsia="宋体" w:cs="宋体"/>
          <w:spacing w:val="2"/>
          <w:sz w:val="20"/>
          <w:szCs w:val="20"/>
        </w:rPr>
        <w:t>文件。</w:t>
      </w:r>
    </w:p>
    <w:p w14:paraId="3E7DF294">
      <w:pPr>
        <w:spacing w:before="1" w:line="226" w:lineRule="auto"/>
        <w:ind w:left="437"/>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1.3</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中标通知书：是指构成合同的由发包人通知承</w:t>
      </w:r>
      <w:r>
        <w:rPr>
          <w:rFonts w:ascii="宋体" w:hAnsi="宋体" w:eastAsia="宋体" w:cs="宋体"/>
          <w:spacing w:val="5"/>
          <w:sz w:val="20"/>
          <w:szCs w:val="20"/>
        </w:rPr>
        <w:t>包人中标的书面文件。</w:t>
      </w:r>
    </w:p>
    <w:p w14:paraId="4C84F37E">
      <w:pPr>
        <w:spacing w:before="154" w:line="228" w:lineRule="auto"/>
        <w:ind w:left="437"/>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投标函：是指构成合同的由承包人填写并签署的用于投标的称为</w:t>
      </w:r>
      <w:r>
        <w:rPr>
          <w:rFonts w:ascii="Times New Roman" w:hAnsi="Times New Roman" w:eastAsia="Times New Roman" w:cs="Times New Roman"/>
          <w:spacing w:val="6"/>
          <w:sz w:val="20"/>
          <w:szCs w:val="20"/>
        </w:rPr>
        <w:t>“</w:t>
      </w:r>
      <w:r>
        <w:rPr>
          <w:rFonts w:ascii="宋体" w:hAnsi="宋体" w:eastAsia="宋体" w:cs="宋体"/>
          <w:spacing w:val="6"/>
          <w:sz w:val="20"/>
          <w:szCs w:val="20"/>
        </w:rPr>
        <w:t>投标函</w:t>
      </w:r>
      <w:r>
        <w:rPr>
          <w:rFonts w:ascii="Times New Roman" w:hAnsi="Times New Roman" w:eastAsia="Times New Roman" w:cs="Times New Roman"/>
          <w:spacing w:val="6"/>
          <w:sz w:val="20"/>
          <w:szCs w:val="20"/>
        </w:rPr>
        <w:t>”</w:t>
      </w:r>
      <w:r>
        <w:rPr>
          <w:rFonts w:ascii="Times New Roman" w:hAnsi="Times New Roman" w:eastAsia="Times New Roman" w:cs="Times New Roman"/>
          <w:spacing w:val="-24"/>
          <w:sz w:val="20"/>
          <w:szCs w:val="20"/>
        </w:rPr>
        <w:t xml:space="preserve"> </w:t>
      </w:r>
      <w:r>
        <w:rPr>
          <w:rFonts w:ascii="宋体" w:hAnsi="宋体" w:eastAsia="宋体" w:cs="宋体"/>
          <w:spacing w:val="6"/>
          <w:sz w:val="20"/>
          <w:szCs w:val="20"/>
        </w:rPr>
        <w:t>的文件。</w:t>
      </w:r>
    </w:p>
    <w:p w14:paraId="26266F66">
      <w:pPr>
        <w:spacing w:before="155" w:line="227" w:lineRule="auto"/>
        <w:ind w:left="437"/>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投标函附录：是指构成合同的附在投标函</w:t>
      </w:r>
      <w:r>
        <w:rPr>
          <w:rFonts w:ascii="宋体" w:hAnsi="宋体" w:eastAsia="宋体" w:cs="宋体"/>
          <w:spacing w:val="5"/>
          <w:sz w:val="20"/>
          <w:szCs w:val="20"/>
        </w:rPr>
        <w:t>后的称为</w:t>
      </w:r>
      <w:r>
        <w:rPr>
          <w:rFonts w:ascii="Times New Roman" w:hAnsi="Times New Roman" w:eastAsia="Times New Roman" w:cs="Times New Roman"/>
          <w:spacing w:val="5"/>
          <w:sz w:val="20"/>
          <w:szCs w:val="20"/>
        </w:rPr>
        <w:t>“</w:t>
      </w:r>
      <w:r>
        <w:rPr>
          <w:rFonts w:ascii="宋体" w:hAnsi="宋体" w:eastAsia="宋体" w:cs="宋体"/>
          <w:spacing w:val="5"/>
          <w:sz w:val="20"/>
          <w:szCs w:val="20"/>
        </w:rPr>
        <w:t>投标函附录</w:t>
      </w:r>
      <w:r>
        <w:rPr>
          <w:rFonts w:ascii="Times New Roman" w:hAnsi="Times New Roman" w:eastAsia="Times New Roman" w:cs="Times New Roman"/>
          <w:spacing w:val="5"/>
          <w:sz w:val="20"/>
          <w:szCs w:val="20"/>
        </w:rPr>
        <w:t>”</w:t>
      </w:r>
      <w:r>
        <w:rPr>
          <w:rFonts w:ascii="Times New Roman" w:hAnsi="Times New Roman" w:eastAsia="Times New Roman" w:cs="Times New Roman"/>
          <w:spacing w:val="-24"/>
          <w:sz w:val="20"/>
          <w:szCs w:val="20"/>
        </w:rPr>
        <w:t xml:space="preserve"> </w:t>
      </w:r>
      <w:r>
        <w:rPr>
          <w:rFonts w:ascii="宋体" w:hAnsi="宋体" w:eastAsia="宋体" w:cs="宋体"/>
          <w:spacing w:val="5"/>
          <w:sz w:val="20"/>
          <w:szCs w:val="20"/>
        </w:rPr>
        <w:t>的文件。</w:t>
      </w:r>
    </w:p>
    <w:p w14:paraId="260179FB">
      <w:pPr>
        <w:spacing w:before="152" w:line="370" w:lineRule="auto"/>
        <w:ind w:left="1" w:right="18" w:firstLine="435"/>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1.6  </w:t>
      </w:r>
      <w:r>
        <w:rPr>
          <w:rFonts w:ascii="宋体" w:hAnsi="宋体" w:eastAsia="宋体" w:cs="宋体"/>
          <w:spacing w:val="6"/>
          <w:sz w:val="20"/>
          <w:szCs w:val="20"/>
        </w:rPr>
        <w:t>技术标准和要求：是指构成合同的施工应当遵守的或指导施工的国家、行业</w:t>
      </w:r>
      <w:r>
        <w:rPr>
          <w:rFonts w:ascii="宋体" w:hAnsi="宋体" w:eastAsia="宋体" w:cs="宋体"/>
          <w:spacing w:val="5"/>
          <w:sz w:val="20"/>
          <w:szCs w:val="20"/>
        </w:rPr>
        <w:t>或地方的</w:t>
      </w:r>
      <w:r>
        <w:rPr>
          <w:rFonts w:ascii="宋体" w:hAnsi="宋体" w:eastAsia="宋体" w:cs="宋体"/>
          <w:spacing w:val="7"/>
          <w:sz w:val="20"/>
          <w:szCs w:val="20"/>
        </w:rPr>
        <w:t>技术标准和要求，</w:t>
      </w:r>
      <w:r>
        <w:rPr>
          <w:rFonts w:ascii="宋体" w:hAnsi="宋体" w:eastAsia="宋体" w:cs="宋体"/>
          <w:spacing w:val="-54"/>
          <w:sz w:val="20"/>
          <w:szCs w:val="20"/>
        </w:rPr>
        <w:t xml:space="preserve"> </w:t>
      </w:r>
      <w:r>
        <w:rPr>
          <w:rFonts w:ascii="宋体" w:hAnsi="宋体" w:eastAsia="宋体" w:cs="宋体"/>
          <w:spacing w:val="7"/>
          <w:sz w:val="20"/>
          <w:szCs w:val="20"/>
        </w:rPr>
        <w:t>以及合同约定的技术标准和要求。</w:t>
      </w:r>
    </w:p>
    <w:p w14:paraId="14F9B81F">
      <w:pPr>
        <w:spacing w:before="1" w:line="369" w:lineRule="auto"/>
        <w:ind w:left="2" w:right="18" w:firstLine="43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1.7</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图纸：是指构成合同的图纸</w:t>
      </w:r>
      <w:r>
        <w:rPr>
          <w:rFonts w:ascii="宋体" w:hAnsi="宋体" w:eastAsia="宋体" w:cs="宋体"/>
          <w:spacing w:val="5"/>
          <w:sz w:val="20"/>
          <w:szCs w:val="20"/>
        </w:rPr>
        <w:t>，包括由发包人按照合同约定提供或经发包人批准的设计</w:t>
      </w:r>
      <w:r>
        <w:rPr>
          <w:rFonts w:ascii="宋体" w:hAnsi="宋体" w:eastAsia="宋体" w:cs="宋体"/>
          <w:spacing w:val="10"/>
          <w:sz w:val="20"/>
          <w:szCs w:val="20"/>
        </w:rPr>
        <w:t>文件、施工图、鸟瞰图及模型等，以及在合同履行过程中形成的</w:t>
      </w:r>
      <w:r>
        <w:rPr>
          <w:rFonts w:ascii="宋体" w:hAnsi="宋体" w:eastAsia="宋体" w:cs="宋体"/>
          <w:spacing w:val="9"/>
          <w:sz w:val="20"/>
          <w:szCs w:val="20"/>
        </w:rPr>
        <w:t>图纸文件。图纸应当按照法律规</w:t>
      </w:r>
      <w:r>
        <w:rPr>
          <w:rFonts w:ascii="宋体" w:hAnsi="宋体" w:eastAsia="宋体" w:cs="宋体"/>
          <w:spacing w:val="6"/>
          <w:sz w:val="20"/>
          <w:szCs w:val="20"/>
        </w:rPr>
        <w:t>定审查合格。</w:t>
      </w:r>
    </w:p>
    <w:p w14:paraId="1E871FEE">
      <w:pPr>
        <w:spacing w:before="2" w:line="368" w:lineRule="auto"/>
        <w:ind w:left="17" w:right="18" w:firstLine="419"/>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1.8</w:t>
      </w:r>
      <w:r>
        <w:rPr>
          <w:rFonts w:ascii="Times New Roman" w:hAnsi="Times New Roman" w:eastAsia="Times New Roman" w:cs="Times New Roman"/>
          <w:spacing w:val="18"/>
          <w:sz w:val="20"/>
          <w:szCs w:val="20"/>
        </w:rPr>
        <w:t xml:space="preserve">  </w:t>
      </w:r>
      <w:r>
        <w:rPr>
          <w:rFonts w:ascii="宋体" w:hAnsi="宋体" w:eastAsia="宋体" w:cs="宋体"/>
          <w:spacing w:val="5"/>
          <w:sz w:val="20"/>
          <w:szCs w:val="20"/>
        </w:rPr>
        <w:t>已标价工程量清单：是指构成合同的由承包人按照规定的格式和要求填写并标明价格</w:t>
      </w:r>
      <w:r>
        <w:rPr>
          <w:rFonts w:ascii="宋体" w:hAnsi="宋体" w:eastAsia="宋体" w:cs="宋体"/>
          <w:spacing w:val="7"/>
          <w:sz w:val="20"/>
          <w:szCs w:val="20"/>
        </w:rPr>
        <w:t>的工程量清单，包括说明和表格。</w:t>
      </w:r>
    </w:p>
    <w:p w14:paraId="2F2BC59B">
      <w:pPr>
        <w:spacing w:before="2" w:line="368" w:lineRule="auto"/>
        <w:ind w:right="15" w:firstLine="437"/>
        <w:rPr>
          <w:rFonts w:ascii="宋体" w:hAnsi="宋体" w:eastAsia="宋体" w:cs="宋体"/>
          <w:sz w:val="20"/>
          <w:szCs w:val="20"/>
        </w:rPr>
      </w:pPr>
      <w:r>
        <w:rPr>
          <w:rFonts w:ascii="Times New Roman" w:hAnsi="Times New Roman" w:eastAsia="Times New Roman" w:cs="Times New Roman"/>
          <w:spacing w:val="11"/>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1"/>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1"/>
          <w:sz w:val="20"/>
          <w:szCs w:val="20"/>
        </w:rPr>
        <w:t xml:space="preserve">1.9  </w:t>
      </w:r>
      <w:r>
        <w:rPr>
          <w:rFonts w:ascii="宋体" w:hAnsi="宋体" w:eastAsia="宋体" w:cs="宋体"/>
          <w:spacing w:val="11"/>
          <w:sz w:val="20"/>
          <w:szCs w:val="20"/>
        </w:rPr>
        <w:t>预算书：是指构成合同的由承包人</w:t>
      </w:r>
      <w:r>
        <w:rPr>
          <w:rFonts w:ascii="宋体" w:hAnsi="宋体" w:eastAsia="宋体" w:cs="宋体"/>
          <w:spacing w:val="10"/>
          <w:sz w:val="20"/>
          <w:szCs w:val="20"/>
        </w:rPr>
        <w:t>按照发包人规定的格式和要求编制的工程预算文</w:t>
      </w:r>
      <w:r>
        <w:rPr>
          <w:rFonts w:ascii="宋体" w:hAnsi="宋体" w:eastAsia="宋体" w:cs="宋体"/>
          <w:sz w:val="20"/>
          <w:szCs w:val="20"/>
        </w:rPr>
        <w:t>件。</w:t>
      </w:r>
    </w:p>
    <w:p w14:paraId="0B7A24C2">
      <w:pPr>
        <w:spacing w:before="2" w:line="369" w:lineRule="auto"/>
        <w:ind w:left="3" w:right="18" w:firstLine="433"/>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1.10  </w:t>
      </w:r>
      <w:r>
        <w:rPr>
          <w:rFonts w:ascii="宋体" w:hAnsi="宋体" w:eastAsia="宋体" w:cs="宋体"/>
          <w:spacing w:val="8"/>
          <w:sz w:val="20"/>
          <w:szCs w:val="20"/>
        </w:rPr>
        <w:t>其他合同文件：是指经合同当事人约定的与工程施工有关的具有合同约束力的文件</w:t>
      </w:r>
      <w:r>
        <w:rPr>
          <w:rFonts w:ascii="宋体" w:hAnsi="宋体" w:eastAsia="宋体" w:cs="宋体"/>
          <w:spacing w:val="9"/>
          <w:sz w:val="20"/>
          <w:szCs w:val="20"/>
        </w:rPr>
        <w:t>或书面协议。合同当事人可以在专用合同条款中进行约定。</w:t>
      </w:r>
    </w:p>
    <w:p w14:paraId="68835BC3">
      <w:pPr>
        <w:spacing w:line="228" w:lineRule="auto"/>
        <w:ind w:left="437"/>
        <w:rPr>
          <w:rFonts w:ascii="宋体" w:hAnsi="宋体" w:eastAsia="宋体" w:cs="宋体"/>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4"/>
          <w:sz w:val="20"/>
          <w:szCs w:val="20"/>
        </w:rPr>
        <w:t xml:space="preserve">1.2  </w:t>
      </w:r>
      <w:r>
        <w:rPr>
          <w:rFonts w:ascii="宋体" w:hAnsi="宋体" w:eastAsia="宋体" w:cs="宋体"/>
          <w:spacing w:val="4"/>
          <w:sz w:val="20"/>
          <w:szCs w:val="20"/>
        </w:rPr>
        <w:t>合同当事人及其他相关方</w:t>
      </w:r>
    </w:p>
    <w:p w14:paraId="7A56B669">
      <w:pPr>
        <w:spacing w:before="151" w:line="228" w:lineRule="auto"/>
        <w:ind w:left="437"/>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合同当事人：是指发包人和</w:t>
      </w:r>
      <w:r>
        <w:rPr>
          <w:rFonts w:ascii="宋体" w:hAnsi="宋体" w:eastAsia="宋体" w:cs="宋体"/>
          <w:spacing w:val="4"/>
          <w:sz w:val="20"/>
          <w:szCs w:val="20"/>
        </w:rPr>
        <w:t>（或）承包人。</w:t>
      </w:r>
    </w:p>
    <w:p w14:paraId="37124AFA">
      <w:pPr>
        <w:spacing w:before="154" w:line="227" w:lineRule="auto"/>
        <w:jc w:val="right"/>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1.2.2  </w:t>
      </w:r>
      <w:r>
        <w:rPr>
          <w:rFonts w:ascii="宋体" w:hAnsi="宋体" w:eastAsia="宋体" w:cs="宋体"/>
          <w:spacing w:val="7"/>
          <w:sz w:val="20"/>
          <w:szCs w:val="20"/>
        </w:rPr>
        <w:t>发包人：是指与承包人签订合同协议书的当事人及取得该当事人资格</w:t>
      </w:r>
      <w:r>
        <w:rPr>
          <w:rFonts w:ascii="宋体" w:hAnsi="宋体" w:eastAsia="宋体" w:cs="宋体"/>
          <w:spacing w:val="6"/>
          <w:sz w:val="20"/>
          <w:szCs w:val="20"/>
        </w:rPr>
        <w:t>的合法继承人。</w:t>
      </w:r>
    </w:p>
    <w:p w14:paraId="1438EA76">
      <w:pPr>
        <w:spacing w:before="154" w:line="369" w:lineRule="auto"/>
        <w:ind w:left="1" w:right="18" w:firstLine="435"/>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1.2.3  </w:t>
      </w:r>
      <w:r>
        <w:rPr>
          <w:rFonts w:ascii="宋体" w:hAnsi="宋体" w:eastAsia="宋体" w:cs="宋体"/>
          <w:spacing w:val="7"/>
          <w:sz w:val="20"/>
          <w:szCs w:val="20"/>
        </w:rPr>
        <w:t>承包人：是指与发包人签订</w:t>
      </w:r>
      <w:r>
        <w:rPr>
          <w:rFonts w:ascii="宋体" w:hAnsi="宋体" w:eastAsia="宋体" w:cs="宋体"/>
          <w:spacing w:val="6"/>
          <w:sz w:val="20"/>
          <w:szCs w:val="20"/>
        </w:rPr>
        <w:t>合同协议书的，具有相应工程施工承包资质的当事人及取</w:t>
      </w:r>
      <w:r>
        <w:rPr>
          <w:rFonts w:ascii="宋体" w:hAnsi="宋体" w:eastAsia="宋体" w:cs="宋体"/>
          <w:spacing w:val="8"/>
          <w:sz w:val="20"/>
          <w:szCs w:val="20"/>
        </w:rPr>
        <w:t>得该当事人资格的合法继承人。</w:t>
      </w:r>
    </w:p>
    <w:p w14:paraId="10A1E7E3">
      <w:pPr>
        <w:spacing w:before="2" w:line="368" w:lineRule="auto"/>
        <w:ind w:left="3" w:right="15" w:firstLine="4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1.2.4  </w:t>
      </w:r>
      <w:r>
        <w:rPr>
          <w:rFonts w:ascii="宋体" w:hAnsi="宋体" w:eastAsia="宋体" w:cs="宋体"/>
          <w:spacing w:val="7"/>
          <w:sz w:val="20"/>
          <w:szCs w:val="20"/>
        </w:rPr>
        <w:t>监理人：是指在专用合同条款中</w:t>
      </w:r>
      <w:r>
        <w:rPr>
          <w:rFonts w:ascii="宋体" w:hAnsi="宋体" w:eastAsia="宋体" w:cs="宋体"/>
          <w:spacing w:val="6"/>
          <w:sz w:val="20"/>
          <w:szCs w:val="20"/>
        </w:rPr>
        <w:t>指明的，受发包人委托按照法律规定进行工程监督管</w:t>
      </w:r>
      <w:r>
        <w:rPr>
          <w:rFonts w:ascii="宋体" w:hAnsi="宋体" w:eastAsia="宋体" w:cs="宋体"/>
          <w:spacing w:val="7"/>
          <w:sz w:val="20"/>
          <w:szCs w:val="20"/>
        </w:rPr>
        <w:t>理的法人或其他组织。</w:t>
      </w:r>
    </w:p>
    <w:p w14:paraId="5451B298">
      <w:pPr>
        <w:spacing w:before="2" w:line="371" w:lineRule="auto"/>
        <w:ind w:left="4" w:right="15" w:firstLine="432"/>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1.2.5  </w:t>
      </w:r>
      <w:r>
        <w:rPr>
          <w:rFonts w:ascii="宋体" w:hAnsi="宋体" w:eastAsia="宋体" w:cs="宋体"/>
          <w:spacing w:val="7"/>
          <w:sz w:val="20"/>
          <w:szCs w:val="20"/>
        </w:rPr>
        <w:t>设计人：是指在专用合同条款中</w:t>
      </w:r>
      <w:r>
        <w:rPr>
          <w:rFonts w:ascii="宋体" w:hAnsi="宋体" w:eastAsia="宋体" w:cs="宋体"/>
          <w:spacing w:val="6"/>
          <w:sz w:val="20"/>
          <w:szCs w:val="20"/>
        </w:rPr>
        <w:t>指明的，受发包人委托负责工程设计并具备相应工程</w:t>
      </w:r>
      <w:r>
        <w:rPr>
          <w:rFonts w:ascii="宋体" w:hAnsi="宋体" w:eastAsia="宋体" w:cs="宋体"/>
          <w:spacing w:val="8"/>
          <w:sz w:val="20"/>
          <w:szCs w:val="20"/>
        </w:rPr>
        <w:t>设计资质的法人或其他组织。</w:t>
      </w:r>
    </w:p>
    <w:p w14:paraId="1CC30A3A">
      <w:pPr>
        <w:spacing w:line="371" w:lineRule="auto"/>
        <w:rPr>
          <w:rFonts w:ascii="宋体" w:hAnsi="宋体" w:eastAsia="宋体" w:cs="宋体"/>
          <w:sz w:val="20"/>
          <w:szCs w:val="20"/>
        </w:rPr>
        <w:sectPr>
          <w:footerReference r:id="rId236" w:type="default"/>
          <w:pgSz w:w="11906" w:h="16839"/>
          <w:pgMar w:top="400" w:right="1539" w:bottom="1038" w:left="1538" w:header="0" w:footer="785" w:gutter="0"/>
          <w:cols w:space="720" w:num="1"/>
        </w:sectPr>
      </w:pPr>
    </w:p>
    <w:p w14:paraId="2F0D6FA7">
      <w:pPr>
        <w:spacing w:line="271" w:lineRule="auto"/>
        <w:rPr>
          <w:rFonts w:ascii="Arial"/>
          <w:sz w:val="21"/>
        </w:rPr>
      </w:pPr>
    </w:p>
    <w:p w14:paraId="5FF94F15">
      <w:pPr>
        <w:spacing w:line="272" w:lineRule="auto"/>
        <w:rPr>
          <w:rFonts w:ascii="Arial"/>
          <w:sz w:val="21"/>
        </w:rPr>
      </w:pPr>
    </w:p>
    <w:p w14:paraId="6E15C9CC">
      <w:pPr>
        <w:spacing w:line="272" w:lineRule="auto"/>
        <w:rPr>
          <w:rFonts w:ascii="Arial"/>
          <w:sz w:val="21"/>
        </w:rPr>
      </w:pPr>
    </w:p>
    <w:p w14:paraId="36325CA0">
      <w:pPr>
        <w:spacing w:line="272" w:lineRule="auto"/>
        <w:rPr>
          <w:rFonts w:ascii="Arial"/>
          <w:sz w:val="21"/>
        </w:rPr>
      </w:pPr>
    </w:p>
    <w:p w14:paraId="6364849F">
      <w:pPr>
        <w:spacing w:before="65" w:line="369" w:lineRule="auto"/>
        <w:ind w:right="2" w:firstLine="435"/>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1.2.6  </w:t>
      </w:r>
      <w:r>
        <w:rPr>
          <w:rFonts w:ascii="宋体" w:hAnsi="宋体" w:eastAsia="宋体" w:cs="宋体"/>
          <w:spacing w:val="7"/>
          <w:sz w:val="20"/>
          <w:szCs w:val="20"/>
        </w:rPr>
        <w:t>分包人：是指按照法律规定</w:t>
      </w:r>
      <w:r>
        <w:rPr>
          <w:rFonts w:ascii="宋体" w:hAnsi="宋体" w:eastAsia="宋体" w:cs="宋体"/>
          <w:spacing w:val="6"/>
          <w:sz w:val="20"/>
          <w:szCs w:val="20"/>
        </w:rPr>
        <w:t>和合同约定，分包部分工程或工作，并与承包人签订分包</w:t>
      </w:r>
      <w:r>
        <w:rPr>
          <w:rFonts w:ascii="宋体" w:hAnsi="宋体" w:eastAsia="宋体" w:cs="宋体"/>
          <w:spacing w:val="8"/>
          <w:sz w:val="20"/>
          <w:szCs w:val="20"/>
        </w:rPr>
        <w:t>合同的具有相应资质的法人。</w:t>
      </w:r>
    </w:p>
    <w:p w14:paraId="7D41EFA1">
      <w:pPr>
        <w:spacing w:before="1" w:line="368" w:lineRule="auto"/>
        <w:ind w:left="17" w:firstLine="419"/>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1.2.7  </w:t>
      </w:r>
      <w:r>
        <w:rPr>
          <w:rFonts w:ascii="宋体" w:hAnsi="宋体" w:eastAsia="宋体" w:cs="宋体"/>
          <w:spacing w:val="7"/>
          <w:sz w:val="20"/>
          <w:szCs w:val="20"/>
        </w:rPr>
        <w:t>发包人代表：是指由发包人任命</w:t>
      </w:r>
      <w:r>
        <w:rPr>
          <w:rFonts w:ascii="宋体" w:hAnsi="宋体" w:eastAsia="宋体" w:cs="宋体"/>
          <w:spacing w:val="6"/>
          <w:sz w:val="20"/>
          <w:szCs w:val="20"/>
        </w:rPr>
        <w:t>并派驻施工现场在发包人授权范围内行使发包人权利</w:t>
      </w:r>
      <w:r>
        <w:rPr>
          <w:rFonts w:ascii="宋体" w:hAnsi="宋体" w:eastAsia="宋体" w:cs="宋体"/>
          <w:spacing w:val="-3"/>
          <w:sz w:val="20"/>
          <w:szCs w:val="20"/>
        </w:rPr>
        <w:t>的人。</w:t>
      </w:r>
    </w:p>
    <w:p w14:paraId="56AA16CF">
      <w:pPr>
        <w:spacing w:before="2" w:line="369" w:lineRule="auto"/>
        <w:ind w:firstLine="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1.2.8  </w:t>
      </w:r>
      <w:r>
        <w:rPr>
          <w:rFonts w:ascii="宋体" w:hAnsi="宋体" w:eastAsia="宋体" w:cs="宋体"/>
          <w:spacing w:val="7"/>
          <w:sz w:val="20"/>
          <w:szCs w:val="20"/>
        </w:rPr>
        <w:t>项目经理：是指由承包人任命并</w:t>
      </w:r>
      <w:r>
        <w:rPr>
          <w:rFonts w:ascii="宋体" w:hAnsi="宋体" w:eastAsia="宋体" w:cs="宋体"/>
          <w:spacing w:val="6"/>
          <w:sz w:val="20"/>
          <w:szCs w:val="20"/>
        </w:rPr>
        <w:t>派驻施工现场，在承包人授权范围内负责合同履行，</w:t>
      </w:r>
      <w:r>
        <w:rPr>
          <w:rFonts w:ascii="宋体" w:hAnsi="宋体" w:eastAsia="宋体" w:cs="宋体"/>
          <w:spacing w:val="9"/>
          <w:sz w:val="20"/>
          <w:szCs w:val="20"/>
        </w:rPr>
        <w:t>且按照法律规定具有相应资格的项目负责人。</w:t>
      </w:r>
    </w:p>
    <w:p w14:paraId="1428C620">
      <w:pPr>
        <w:spacing w:line="227" w:lineRule="auto"/>
        <w:ind w:left="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7"/>
          <w:sz w:val="20"/>
          <w:szCs w:val="20"/>
        </w:rPr>
        <w:t xml:space="preserve">1.2.9  </w:t>
      </w:r>
      <w:r>
        <w:rPr>
          <w:rFonts w:ascii="宋体" w:hAnsi="宋体" w:eastAsia="宋体" w:cs="宋体"/>
          <w:spacing w:val="7"/>
          <w:sz w:val="20"/>
          <w:szCs w:val="20"/>
        </w:rPr>
        <w:t>总监理工程师：是指由监理人任命并派驻施工现场进行工程监理的总负责人。</w:t>
      </w:r>
    </w:p>
    <w:p w14:paraId="397538E4">
      <w:pPr>
        <w:spacing w:before="152" w:line="228" w:lineRule="auto"/>
        <w:ind w:left="436"/>
        <w:rPr>
          <w:rFonts w:ascii="宋体" w:hAnsi="宋体" w:eastAsia="宋体" w:cs="宋体"/>
          <w:sz w:val="20"/>
          <w:szCs w:val="20"/>
        </w:rPr>
      </w:pPr>
      <w:r>
        <w:rPr>
          <w:rFonts w:ascii="Times New Roman" w:hAnsi="Times New Roman" w:eastAsia="Times New Roman" w:cs="Times New Roman"/>
          <w:spacing w:val="1"/>
          <w:sz w:val="20"/>
          <w:szCs w:val="20"/>
        </w:rPr>
        <w:t>1.</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1"/>
          <w:sz w:val="20"/>
          <w:szCs w:val="20"/>
        </w:rPr>
        <w:t>1.3</w:t>
      </w:r>
      <w:r>
        <w:rPr>
          <w:rFonts w:ascii="Times New Roman" w:hAnsi="Times New Roman" w:eastAsia="Times New Roman" w:cs="Times New Roman"/>
          <w:spacing w:val="7"/>
          <w:sz w:val="20"/>
          <w:szCs w:val="20"/>
        </w:rPr>
        <w:t xml:space="preserve">  </w:t>
      </w:r>
      <w:r>
        <w:rPr>
          <w:rFonts w:ascii="宋体" w:hAnsi="宋体" w:eastAsia="宋体" w:cs="宋体"/>
          <w:spacing w:val="1"/>
          <w:sz w:val="20"/>
          <w:szCs w:val="20"/>
        </w:rPr>
        <w:t>工程和设备</w:t>
      </w:r>
    </w:p>
    <w:p w14:paraId="4C98EC16">
      <w:pPr>
        <w:spacing w:before="153" w:line="227" w:lineRule="auto"/>
        <w:ind w:left="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工程：是指与合同协议书中工程承包范</w:t>
      </w:r>
      <w:r>
        <w:rPr>
          <w:rFonts w:ascii="宋体" w:hAnsi="宋体" w:eastAsia="宋体" w:cs="宋体"/>
          <w:spacing w:val="6"/>
          <w:sz w:val="20"/>
          <w:szCs w:val="20"/>
        </w:rPr>
        <w:t>围对应的永久工程和（或）临时工程。</w:t>
      </w:r>
    </w:p>
    <w:p w14:paraId="1E039EDB">
      <w:pPr>
        <w:spacing w:before="154" w:line="228" w:lineRule="auto"/>
        <w:ind w:left="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7"/>
          <w:sz w:val="20"/>
          <w:szCs w:val="20"/>
        </w:rPr>
        <w:t xml:space="preserve">1.3.2  </w:t>
      </w:r>
      <w:r>
        <w:rPr>
          <w:rFonts w:ascii="宋体" w:hAnsi="宋体" w:eastAsia="宋体" w:cs="宋体"/>
          <w:spacing w:val="7"/>
          <w:sz w:val="20"/>
          <w:szCs w:val="20"/>
        </w:rPr>
        <w:t>永久工程：是指按合同约定建造并移交给发包人的工程，包括工程设备。</w:t>
      </w:r>
    </w:p>
    <w:p w14:paraId="4DAC315B">
      <w:pPr>
        <w:spacing w:before="152" w:line="370" w:lineRule="auto"/>
        <w:ind w:left="2" w:right="2" w:firstLine="4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1.3.3  </w:t>
      </w:r>
      <w:r>
        <w:rPr>
          <w:rFonts w:ascii="宋体" w:hAnsi="宋体" w:eastAsia="宋体" w:cs="宋体"/>
          <w:spacing w:val="7"/>
          <w:sz w:val="20"/>
          <w:szCs w:val="20"/>
        </w:rPr>
        <w:t>临时工程：是指为完成合同</w:t>
      </w:r>
      <w:r>
        <w:rPr>
          <w:rFonts w:ascii="宋体" w:hAnsi="宋体" w:eastAsia="宋体" w:cs="宋体"/>
          <w:spacing w:val="6"/>
          <w:sz w:val="20"/>
          <w:szCs w:val="20"/>
        </w:rPr>
        <w:t>约定的永久工程所修建的各类临时性工程，不包括施工设</w:t>
      </w:r>
      <w:r>
        <w:rPr>
          <w:rFonts w:ascii="宋体" w:hAnsi="宋体" w:eastAsia="宋体" w:cs="宋体"/>
          <w:spacing w:val="-1"/>
          <w:sz w:val="20"/>
          <w:szCs w:val="20"/>
        </w:rPr>
        <w:t>备。</w:t>
      </w:r>
    </w:p>
    <w:p w14:paraId="7E4CA372">
      <w:pPr>
        <w:spacing w:before="2" w:line="368" w:lineRule="auto"/>
        <w:ind w:left="1" w:firstLine="434"/>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1.3.4  </w:t>
      </w:r>
      <w:r>
        <w:rPr>
          <w:rFonts w:ascii="宋体" w:hAnsi="宋体" w:eastAsia="宋体" w:cs="宋体"/>
          <w:spacing w:val="7"/>
          <w:sz w:val="20"/>
          <w:szCs w:val="20"/>
        </w:rPr>
        <w:t>单位工程：是指在合同协议书中</w:t>
      </w:r>
      <w:r>
        <w:rPr>
          <w:rFonts w:ascii="宋体" w:hAnsi="宋体" w:eastAsia="宋体" w:cs="宋体"/>
          <w:spacing w:val="6"/>
          <w:sz w:val="20"/>
          <w:szCs w:val="20"/>
        </w:rPr>
        <w:t>指明的，具备独立施工条件并能形成独立使用功能的</w:t>
      </w:r>
      <w:r>
        <w:rPr>
          <w:rFonts w:ascii="宋体" w:hAnsi="宋体" w:eastAsia="宋体" w:cs="宋体"/>
          <w:spacing w:val="5"/>
          <w:sz w:val="20"/>
          <w:szCs w:val="20"/>
        </w:rPr>
        <w:t>永久工程。</w:t>
      </w:r>
    </w:p>
    <w:p w14:paraId="7CFD63C2">
      <w:pPr>
        <w:spacing w:before="2" w:line="368" w:lineRule="auto"/>
        <w:ind w:firstLine="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1.3.5  </w:t>
      </w:r>
      <w:r>
        <w:rPr>
          <w:rFonts w:ascii="宋体" w:hAnsi="宋体" w:eastAsia="宋体" w:cs="宋体"/>
          <w:spacing w:val="7"/>
          <w:sz w:val="20"/>
          <w:szCs w:val="20"/>
        </w:rPr>
        <w:t>工程设备：是指构成永久工程的</w:t>
      </w:r>
      <w:r>
        <w:rPr>
          <w:rFonts w:ascii="宋体" w:hAnsi="宋体" w:eastAsia="宋体" w:cs="宋体"/>
          <w:spacing w:val="6"/>
          <w:sz w:val="20"/>
          <w:szCs w:val="20"/>
        </w:rPr>
        <w:t>机电设备、金属结构设备、仪器及其他类似的设备和</w:t>
      </w:r>
      <w:r>
        <w:rPr>
          <w:rFonts w:ascii="宋体" w:hAnsi="宋体" w:eastAsia="宋体" w:cs="宋体"/>
          <w:spacing w:val="3"/>
          <w:sz w:val="20"/>
          <w:szCs w:val="20"/>
        </w:rPr>
        <w:t>装置。</w:t>
      </w:r>
    </w:p>
    <w:p w14:paraId="54DBF27F">
      <w:pPr>
        <w:spacing w:before="2" w:line="369" w:lineRule="auto"/>
        <w:ind w:left="2" w:right="2" w:firstLine="4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1.3.6  </w:t>
      </w:r>
      <w:r>
        <w:rPr>
          <w:rFonts w:ascii="宋体" w:hAnsi="宋体" w:eastAsia="宋体" w:cs="宋体"/>
          <w:spacing w:val="7"/>
          <w:sz w:val="20"/>
          <w:szCs w:val="20"/>
        </w:rPr>
        <w:t>施工设备：是指为完成合同</w:t>
      </w:r>
      <w:r>
        <w:rPr>
          <w:rFonts w:ascii="宋体" w:hAnsi="宋体" w:eastAsia="宋体" w:cs="宋体"/>
          <w:spacing w:val="6"/>
          <w:sz w:val="20"/>
          <w:szCs w:val="20"/>
        </w:rPr>
        <w:t>约定的各项工作所需的设备、器具和其他物品，但不包括</w:t>
      </w:r>
      <w:r>
        <w:rPr>
          <w:rFonts w:ascii="宋体" w:hAnsi="宋体" w:eastAsia="宋体" w:cs="宋体"/>
          <w:spacing w:val="8"/>
          <w:sz w:val="20"/>
          <w:szCs w:val="20"/>
        </w:rPr>
        <w:t>工程设备、临时工程和材料。</w:t>
      </w:r>
    </w:p>
    <w:p w14:paraId="7AC626A7">
      <w:pPr>
        <w:spacing w:before="2" w:line="368" w:lineRule="auto"/>
        <w:ind w:left="2" w:firstLine="4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1.3.7  </w:t>
      </w:r>
      <w:r>
        <w:rPr>
          <w:rFonts w:ascii="宋体" w:hAnsi="宋体" w:eastAsia="宋体" w:cs="宋体"/>
          <w:spacing w:val="7"/>
          <w:sz w:val="20"/>
          <w:szCs w:val="20"/>
        </w:rPr>
        <w:t>施工现场：是指用于工程施工的</w:t>
      </w:r>
      <w:r>
        <w:rPr>
          <w:rFonts w:ascii="宋体" w:hAnsi="宋体" w:eastAsia="宋体" w:cs="宋体"/>
          <w:spacing w:val="6"/>
          <w:sz w:val="20"/>
          <w:szCs w:val="20"/>
        </w:rPr>
        <w:t>场所，以及在专用合同条款中指明作为施工场所组成</w:t>
      </w:r>
      <w:r>
        <w:rPr>
          <w:rFonts w:ascii="宋体" w:hAnsi="宋体" w:eastAsia="宋体" w:cs="宋体"/>
          <w:spacing w:val="8"/>
          <w:sz w:val="20"/>
          <w:szCs w:val="20"/>
        </w:rPr>
        <w:t>部分的其他场所，包括永久占地和临时占地。</w:t>
      </w:r>
    </w:p>
    <w:p w14:paraId="58C98E40">
      <w:pPr>
        <w:spacing w:line="227" w:lineRule="auto"/>
        <w:ind w:left="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1.3.8</w:t>
      </w:r>
      <w:r>
        <w:rPr>
          <w:rFonts w:ascii="Times New Roman" w:hAnsi="Times New Roman" w:eastAsia="Times New Roman" w:cs="Times New Roman"/>
          <w:spacing w:val="22"/>
          <w:sz w:val="20"/>
          <w:szCs w:val="20"/>
        </w:rPr>
        <w:t xml:space="preserve"> </w:t>
      </w:r>
      <w:r>
        <w:rPr>
          <w:rFonts w:ascii="宋体" w:hAnsi="宋体" w:eastAsia="宋体" w:cs="宋体"/>
          <w:spacing w:val="7"/>
          <w:sz w:val="20"/>
          <w:szCs w:val="20"/>
        </w:rPr>
        <w:t>临时设施：是指为完成合同约定的各项工作所服务的临时性生产和生活设</w:t>
      </w:r>
      <w:r>
        <w:rPr>
          <w:rFonts w:ascii="宋体" w:hAnsi="宋体" w:eastAsia="宋体" w:cs="宋体"/>
          <w:spacing w:val="6"/>
          <w:sz w:val="20"/>
          <w:szCs w:val="20"/>
        </w:rPr>
        <w:t>施。</w:t>
      </w:r>
    </w:p>
    <w:p w14:paraId="1C64510A">
      <w:pPr>
        <w:spacing w:before="154" w:line="228" w:lineRule="auto"/>
        <w:ind w:left="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1.3.9  </w:t>
      </w:r>
      <w:r>
        <w:rPr>
          <w:rFonts w:ascii="宋体" w:hAnsi="宋体" w:eastAsia="宋体" w:cs="宋体"/>
          <w:spacing w:val="7"/>
          <w:sz w:val="20"/>
          <w:szCs w:val="20"/>
        </w:rPr>
        <w:t>永久占地：是指专用合同条款中指明为实施工程需永久占用</w:t>
      </w:r>
      <w:r>
        <w:rPr>
          <w:rFonts w:ascii="宋体" w:hAnsi="宋体" w:eastAsia="宋体" w:cs="宋体"/>
          <w:spacing w:val="6"/>
          <w:sz w:val="20"/>
          <w:szCs w:val="20"/>
        </w:rPr>
        <w:t>的土地。</w:t>
      </w:r>
    </w:p>
    <w:p w14:paraId="27F102EE">
      <w:pPr>
        <w:spacing w:before="152" w:line="228" w:lineRule="auto"/>
        <w:ind w:left="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1.3.10  </w:t>
      </w:r>
      <w:r>
        <w:rPr>
          <w:rFonts w:ascii="宋体" w:hAnsi="宋体" w:eastAsia="宋体" w:cs="宋体"/>
          <w:spacing w:val="7"/>
          <w:sz w:val="20"/>
          <w:szCs w:val="20"/>
        </w:rPr>
        <w:t>临时占地：是指专用合同条款中指明为实施工程需要临时占用的</w:t>
      </w:r>
      <w:r>
        <w:rPr>
          <w:rFonts w:ascii="宋体" w:hAnsi="宋体" w:eastAsia="宋体" w:cs="宋体"/>
          <w:spacing w:val="6"/>
          <w:sz w:val="20"/>
          <w:szCs w:val="20"/>
        </w:rPr>
        <w:t>土地。</w:t>
      </w:r>
    </w:p>
    <w:p w14:paraId="7449ADBD">
      <w:pPr>
        <w:spacing w:before="154" w:line="228" w:lineRule="auto"/>
        <w:ind w:left="436"/>
        <w:rPr>
          <w:rFonts w:ascii="宋体" w:hAnsi="宋体" w:eastAsia="宋体" w:cs="宋体"/>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 xml:space="preserve">1.4   </w:t>
      </w:r>
      <w:r>
        <w:rPr>
          <w:rFonts w:ascii="宋体" w:hAnsi="宋体" w:eastAsia="宋体" w:cs="宋体"/>
          <w:spacing w:val="-2"/>
          <w:sz w:val="20"/>
          <w:szCs w:val="20"/>
        </w:rPr>
        <w:t>日期和期限</w:t>
      </w:r>
    </w:p>
    <w:p w14:paraId="384FDD84">
      <w:pPr>
        <w:spacing w:before="154" w:line="369" w:lineRule="auto"/>
        <w:ind w:right="2" w:firstLine="436"/>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开工日期：包括计划开工日期和实际开工日期。计划开工日期是指合同协议</w:t>
      </w:r>
      <w:r>
        <w:rPr>
          <w:rFonts w:ascii="宋体" w:hAnsi="宋体" w:eastAsia="宋体" w:cs="宋体"/>
          <w:spacing w:val="5"/>
          <w:sz w:val="20"/>
          <w:szCs w:val="20"/>
        </w:rPr>
        <w:t>书约定的</w:t>
      </w:r>
      <w:r>
        <w:rPr>
          <w:rFonts w:ascii="宋体" w:hAnsi="宋体" w:eastAsia="宋体" w:cs="宋体"/>
          <w:spacing w:val="6"/>
          <w:sz w:val="20"/>
          <w:szCs w:val="20"/>
        </w:rPr>
        <w:t>开工日期；实际开工日期是指监理人按照第</w:t>
      </w:r>
      <w:r>
        <w:rPr>
          <w:rFonts w:ascii="宋体" w:hAnsi="宋体" w:eastAsia="宋体" w:cs="宋体"/>
          <w:spacing w:val="-27"/>
          <w:sz w:val="20"/>
          <w:szCs w:val="20"/>
        </w:rPr>
        <w:t xml:space="preserve"> </w:t>
      </w:r>
      <w:r>
        <w:rPr>
          <w:rFonts w:ascii="Times New Roman" w:hAnsi="Times New Roman" w:eastAsia="Times New Roman" w:cs="Times New Roman"/>
          <w:spacing w:val="6"/>
          <w:sz w:val="20"/>
          <w:szCs w:val="20"/>
        </w:rPr>
        <w:t>7.3.2</w:t>
      </w:r>
      <w:r>
        <w:rPr>
          <w:rFonts w:ascii="Times New Roman" w:hAnsi="Times New Roman" w:eastAsia="Times New Roman" w:cs="Times New Roman"/>
          <w:spacing w:val="15"/>
          <w:w w:val="101"/>
          <w:sz w:val="20"/>
          <w:szCs w:val="20"/>
        </w:rPr>
        <w:t xml:space="preserve"> </w:t>
      </w:r>
      <w:r>
        <w:rPr>
          <w:rFonts w:ascii="宋体" w:hAnsi="宋体" w:eastAsia="宋体" w:cs="宋体"/>
          <w:spacing w:val="6"/>
          <w:sz w:val="20"/>
          <w:szCs w:val="20"/>
        </w:rPr>
        <w:t>项〔开工通知〕约定发出的符合法律规定的开工</w:t>
      </w:r>
      <w:r>
        <w:rPr>
          <w:rFonts w:ascii="宋体" w:hAnsi="宋体" w:eastAsia="宋体" w:cs="宋体"/>
          <w:spacing w:val="8"/>
          <w:sz w:val="20"/>
          <w:szCs w:val="20"/>
        </w:rPr>
        <w:t>通知中载明的开工日期。</w:t>
      </w:r>
    </w:p>
    <w:p w14:paraId="2F775B97">
      <w:pPr>
        <w:spacing w:before="2" w:line="368" w:lineRule="auto"/>
        <w:ind w:right="2" w:firstLine="435"/>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1.4.2  </w:t>
      </w:r>
      <w:r>
        <w:rPr>
          <w:rFonts w:ascii="宋体" w:hAnsi="宋体" w:eastAsia="宋体" w:cs="宋体"/>
          <w:spacing w:val="7"/>
          <w:sz w:val="20"/>
          <w:szCs w:val="20"/>
        </w:rPr>
        <w:t>竣工日期：包括计划竣工日</w:t>
      </w:r>
      <w:r>
        <w:rPr>
          <w:rFonts w:ascii="宋体" w:hAnsi="宋体" w:eastAsia="宋体" w:cs="宋体"/>
          <w:spacing w:val="6"/>
          <w:sz w:val="20"/>
          <w:szCs w:val="20"/>
        </w:rPr>
        <w:t>期和实际竣工日期。计划竣工日期是指合同协议书约定的</w:t>
      </w:r>
      <w:r>
        <w:rPr>
          <w:rFonts w:ascii="宋体" w:hAnsi="宋体" w:eastAsia="宋体" w:cs="宋体"/>
          <w:spacing w:val="7"/>
          <w:sz w:val="20"/>
          <w:szCs w:val="20"/>
        </w:rPr>
        <w:t>竣工日期；实际竣工日期按照第</w:t>
      </w:r>
      <w:r>
        <w:rPr>
          <w:rFonts w:ascii="宋体" w:hAnsi="宋体" w:eastAsia="宋体" w:cs="宋体"/>
          <w:spacing w:val="-10"/>
          <w:sz w:val="20"/>
          <w:szCs w:val="20"/>
        </w:rPr>
        <w:t xml:space="preserve"> </w:t>
      </w:r>
      <w:r>
        <w:rPr>
          <w:rFonts w:ascii="Times New Roman" w:hAnsi="Times New Roman" w:eastAsia="Times New Roman" w:cs="Times New Roman"/>
          <w:spacing w:val="7"/>
          <w:sz w:val="20"/>
          <w:szCs w:val="20"/>
        </w:rPr>
        <w:t xml:space="preserve">13.2.3 </w:t>
      </w:r>
      <w:r>
        <w:rPr>
          <w:rFonts w:ascii="宋体" w:hAnsi="宋体" w:eastAsia="宋体" w:cs="宋体"/>
          <w:spacing w:val="7"/>
          <w:sz w:val="20"/>
          <w:szCs w:val="20"/>
        </w:rPr>
        <w:t>项〔竣工日期〕的约定确定。</w:t>
      </w:r>
    </w:p>
    <w:p w14:paraId="62DC9E43">
      <w:pPr>
        <w:spacing w:before="2" w:line="368" w:lineRule="auto"/>
        <w:ind w:left="17" w:right="2" w:firstLine="419"/>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1.4.3  </w:t>
      </w:r>
      <w:r>
        <w:rPr>
          <w:rFonts w:ascii="宋体" w:hAnsi="宋体" w:eastAsia="宋体" w:cs="宋体"/>
          <w:spacing w:val="7"/>
          <w:sz w:val="20"/>
          <w:szCs w:val="20"/>
        </w:rPr>
        <w:t>工期：是指在合同协议书约</w:t>
      </w:r>
      <w:r>
        <w:rPr>
          <w:rFonts w:ascii="宋体" w:hAnsi="宋体" w:eastAsia="宋体" w:cs="宋体"/>
          <w:spacing w:val="6"/>
          <w:sz w:val="20"/>
          <w:szCs w:val="20"/>
        </w:rPr>
        <w:t>定的承包人完成工程所需的期限，包括按照合同约定所作</w:t>
      </w:r>
      <w:r>
        <w:rPr>
          <w:rFonts w:ascii="宋体" w:hAnsi="宋体" w:eastAsia="宋体" w:cs="宋体"/>
          <w:spacing w:val="3"/>
          <w:sz w:val="20"/>
          <w:szCs w:val="20"/>
        </w:rPr>
        <w:t>的期限变更。</w:t>
      </w:r>
    </w:p>
    <w:p w14:paraId="50FCB7A2">
      <w:pPr>
        <w:spacing w:before="2" w:line="369" w:lineRule="auto"/>
        <w:ind w:left="10" w:right="2" w:firstLine="42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1.4.4  </w:t>
      </w:r>
      <w:r>
        <w:rPr>
          <w:rFonts w:ascii="宋体" w:hAnsi="宋体" w:eastAsia="宋体" w:cs="宋体"/>
          <w:spacing w:val="7"/>
          <w:sz w:val="20"/>
          <w:szCs w:val="20"/>
        </w:rPr>
        <w:t>缺陷责任期：是指承包人按</w:t>
      </w:r>
      <w:r>
        <w:rPr>
          <w:rFonts w:ascii="宋体" w:hAnsi="宋体" w:eastAsia="宋体" w:cs="宋体"/>
          <w:spacing w:val="6"/>
          <w:sz w:val="20"/>
          <w:szCs w:val="20"/>
        </w:rPr>
        <w:t>照合同约定承担缺陷修复义务，且发包人预留质量保证金</w:t>
      </w:r>
      <w:r>
        <w:rPr>
          <w:rFonts w:ascii="宋体" w:hAnsi="宋体" w:eastAsia="宋体" w:cs="宋体"/>
          <w:spacing w:val="7"/>
          <w:sz w:val="20"/>
          <w:szCs w:val="20"/>
        </w:rPr>
        <w:t>（已缴纳履约保证金的除外）的期限，</w:t>
      </w:r>
      <w:r>
        <w:rPr>
          <w:rFonts w:ascii="宋体" w:hAnsi="宋体" w:eastAsia="宋体" w:cs="宋体"/>
          <w:spacing w:val="-41"/>
          <w:sz w:val="20"/>
          <w:szCs w:val="20"/>
        </w:rPr>
        <w:t xml:space="preserve"> </w:t>
      </w:r>
      <w:r>
        <w:rPr>
          <w:rFonts w:ascii="宋体" w:hAnsi="宋体" w:eastAsia="宋体" w:cs="宋体"/>
          <w:spacing w:val="7"/>
          <w:sz w:val="20"/>
          <w:szCs w:val="20"/>
        </w:rPr>
        <w:t>自工程实际竣工日期起计算。</w:t>
      </w:r>
    </w:p>
    <w:p w14:paraId="35141631">
      <w:pPr>
        <w:spacing w:before="1" w:line="369" w:lineRule="auto"/>
        <w:ind w:left="1" w:firstLine="434"/>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1.4.5  </w:t>
      </w:r>
      <w:r>
        <w:rPr>
          <w:rFonts w:ascii="宋体" w:hAnsi="宋体" w:eastAsia="宋体" w:cs="宋体"/>
          <w:spacing w:val="7"/>
          <w:sz w:val="20"/>
          <w:szCs w:val="20"/>
        </w:rPr>
        <w:t>保修期：是指承包人按照合同约</w:t>
      </w:r>
      <w:r>
        <w:rPr>
          <w:rFonts w:ascii="宋体" w:hAnsi="宋体" w:eastAsia="宋体" w:cs="宋体"/>
          <w:spacing w:val="6"/>
          <w:sz w:val="20"/>
          <w:szCs w:val="20"/>
        </w:rPr>
        <w:t>定对工程承担保修责任的期限，从工程竣工验收合格之日起计算。</w:t>
      </w:r>
    </w:p>
    <w:p w14:paraId="1B8A3546">
      <w:pPr>
        <w:spacing w:line="369" w:lineRule="auto"/>
        <w:rPr>
          <w:rFonts w:ascii="宋体" w:hAnsi="宋体" w:eastAsia="宋体" w:cs="宋体"/>
          <w:sz w:val="20"/>
          <w:szCs w:val="20"/>
        </w:rPr>
        <w:sectPr>
          <w:footerReference r:id="rId237" w:type="default"/>
          <w:pgSz w:w="11906" w:h="16839"/>
          <w:pgMar w:top="400" w:right="1554" w:bottom="1038" w:left="1539" w:header="0" w:footer="785" w:gutter="0"/>
          <w:cols w:space="720" w:num="1"/>
        </w:sectPr>
      </w:pPr>
    </w:p>
    <w:p w14:paraId="679A66F3">
      <w:pPr>
        <w:spacing w:line="271" w:lineRule="auto"/>
        <w:rPr>
          <w:rFonts w:ascii="Arial"/>
          <w:sz w:val="21"/>
        </w:rPr>
      </w:pPr>
    </w:p>
    <w:p w14:paraId="76E415E6">
      <w:pPr>
        <w:spacing w:line="272" w:lineRule="auto"/>
        <w:rPr>
          <w:rFonts w:ascii="Arial"/>
          <w:sz w:val="21"/>
        </w:rPr>
      </w:pPr>
    </w:p>
    <w:p w14:paraId="0F3D3489">
      <w:pPr>
        <w:spacing w:line="272" w:lineRule="auto"/>
        <w:rPr>
          <w:rFonts w:ascii="Arial"/>
          <w:sz w:val="21"/>
        </w:rPr>
      </w:pPr>
    </w:p>
    <w:p w14:paraId="1C756232">
      <w:pPr>
        <w:spacing w:line="272" w:lineRule="auto"/>
        <w:rPr>
          <w:rFonts w:ascii="Arial"/>
          <w:sz w:val="21"/>
        </w:rPr>
      </w:pPr>
    </w:p>
    <w:p w14:paraId="3143A830">
      <w:pPr>
        <w:spacing w:before="65" w:line="369" w:lineRule="auto"/>
        <w:ind w:firstLine="437"/>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8"/>
          <w:sz w:val="20"/>
          <w:szCs w:val="20"/>
        </w:rPr>
        <w:t xml:space="preserve">1.4.6  </w:t>
      </w:r>
      <w:r>
        <w:rPr>
          <w:rFonts w:ascii="宋体" w:hAnsi="宋体" w:eastAsia="宋体" w:cs="宋体"/>
          <w:spacing w:val="8"/>
          <w:sz w:val="20"/>
          <w:szCs w:val="20"/>
        </w:rPr>
        <w:t>基准日期：招标发包的工程以投标截止日前</w:t>
      </w:r>
      <w:r>
        <w:rPr>
          <w:rFonts w:ascii="宋体" w:hAnsi="宋体" w:eastAsia="宋体" w:cs="宋体"/>
          <w:spacing w:val="-38"/>
          <w:sz w:val="20"/>
          <w:szCs w:val="20"/>
        </w:rPr>
        <w:t xml:space="preserve"> </w:t>
      </w:r>
      <w:r>
        <w:rPr>
          <w:rFonts w:ascii="Times New Roman" w:hAnsi="Times New Roman" w:eastAsia="Times New Roman" w:cs="Times New Roman"/>
          <w:spacing w:val="8"/>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天的日期为基准日期，直接发包的工</w:t>
      </w:r>
      <w:r>
        <w:rPr>
          <w:rFonts w:ascii="宋体" w:hAnsi="宋体" w:eastAsia="宋体" w:cs="宋体"/>
          <w:spacing w:val="7"/>
          <w:sz w:val="20"/>
          <w:szCs w:val="20"/>
        </w:rPr>
        <w:t>程以合同签订日前</w:t>
      </w:r>
      <w:r>
        <w:rPr>
          <w:rFonts w:ascii="宋体" w:hAnsi="宋体" w:eastAsia="宋体" w:cs="宋体"/>
          <w:spacing w:val="-22"/>
          <w:sz w:val="20"/>
          <w:szCs w:val="20"/>
        </w:rPr>
        <w:t xml:space="preserve"> </w:t>
      </w:r>
      <w:r>
        <w:rPr>
          <w:rFonts w:ascii="Times New Roman" w:hAnsi="Times New Roman" w:eastAsia="Times New Roman" w:cs="Times New Roman"/>
          <w:spacing w:val="7"/>
          <w:sz w:val="20"/>
          <w:szCs w:val="20"/>
        </w:rPr>
        <w:t xml:space="preserve">28 </w:t>
      </w:r>
      <w:r>
        <w:rPr>
          <w:rFonts w:ascii="宋体" w:hAnsi="宋体" w:eastAsia="宋体" w:cs="宋体"/>
          <w:spacing w:val="7"/>
          <w:sz w:val="20"/>
          <w:szCs w:val="20"/>
        </w:rPr>
        <w:t>天的日期为基准日期。</w:t>
      </w:r>
    </w:p>
    <w:p w14:paraId="5E3F5BA9">
      <w:pPr>
        <w:spacing w:before="1" w:line="368" w:lineRule="auto"/>
        <w:ind w:left="1" w:firstLine="435"/>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1.4.7  </w:t>
      </w:r>
      <w:r>
        <w:rPr>
          <w:rFonts w:ascii="宋体" w:hAnsi="宋体" w:eastAsia="宋体" w:cs="宋体"/>
          <w:spacing w:val="7"/>
          <w:sz w:val="20"/>
          <w:szCs w:val="20"/>
        </w:rPr>
        <w:t>天：除特别指明外，均指日历天</w:t>
      </w:r>
      <w:r>
        <w:rPr>
          <w:rFonts w:ascii="宋体" w:hAnsi="宋体" w:eastAsia="宋体" w:cs="宋体"/>
          <w:spacing w:val="6"/>
          <w:sz w:val="20"/>
          <w:szCs w:val="20"/>
        </w:rPr>
        <w:t>。合同中按天计算时间的，开始当天不计入，从次日</w:t>
      </w:r>
      <w:r>
        <w:rPr>
          <w:rFonts w:ascii="宋体" w:hAnsi="宋体" w:eastAsia="宋体" w:cs="宋体"/>
          <w:spacing w:val="7"/>
          <w:sz w:val="20"/>
          <w:szCs w:val="20"/>
        </w:rPr>
        <w:t>开始计算，期限最后一天的截止时间为当天</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24:00</w:t>
      </w:r>
      <w:r>
        <w:rPr>
          <w:rFonts w:ascii="Times New Roman" w:hAnsi="Times New Roman" w:eastAsia="Times New Roman" w:cs="Times New Roman"/>
          <w:spacing w:val="20"/>
          <w:sz w:val="20"/>
          <w:szCs w:val="20"/>
        </w:rPr>
        <w:t xml:space="preserve"> </w:t>
      </w:r>
      <w:r>
        <w:rPr>
          <w:rFonts w:ascii="宋体" w:hAnsi="宋体" w:eastAsia="宋体" w:cs="宋体"/>
          <w:spacing w:val="7"/>
          <w:sz w:val="20"/>
          <w:szCs w:val="20"/>
        </w:rPr>
        <w:t>时。</w:t>
      </w:r>
    </w:p>
    <w:p w14:paraId="35DDC089">
      <w:pPr>
        <w:spacing w:line="226" w:lineRule="auto"/>
        <w:ind w:left="437"/>
        <w:rPr>
          <w:rFonts w:ascii="宋体" w:hAnsi="宋体" w:eastAsia="宋体" w:cs="宋体"/>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3"/>
          <w:sz w:val="20"/>
          <w:szCs w:val="20"/>
        </w:rPr>
        <w:t xml:space="preserve">1.5  </w:t>
      </w:r>
      <w:r>
        <w:rPr>
          <w:rFonts w:ascii="宋体" w:hAnsi="宋体" w:eastAsia="宋体" w:cs="宋体"/>
          <w:spacing w:val="3"/>
          <w:sz w:val="20"/>
          <w:szCs w:val="20"/>
        </w:rPr>
        <w:t>合同价格和费用</w:t>
      </w:r>
    </w:p>
    <w:p w14:paraId="019FADAE">
      <w:pPr>
        <w:spacing w:before="155" w:line="369" w:lineRule="auto"/>
        <w:ind w:left="12" w:right="2" w:firstLine="42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签约合同价：是指发包人和承包人在合同协议书中确定的总金额，包括安全</w:t>
      </w:r>
      <w:r>
        <w:rPr>
          <w:rFonts w:ascii="宋体" w:hAnsi="宋体" w:eastAsia="宋体" w:cs="宋体"/>
          <w:spacing w:val="5"/>
          <w:sz w:val="20"/>
          <w:szCs w:val="20"/>
        </w:rPr>
        <w:t>文明施工</w:t>
      </w:r>
      <w:r>
        <w:rPr>
          <w:rFonts w:ascii="宋体" w:hAnsi="宋体" w:eastAsia="宋体" w:cs="宋体"/>
          <w:spacing w:val="7"/>
          <w:sz w:val="20"/>
          <w:szCs w:val="20"/>
        </w:rPr>
        <w:t>费、暂估价及暂列金额等。</w:t>
      </w:r>
    </w:p>
    <w:p w14:paraId="33E57397">
      <w:pPr>
        <w:spacing w:before="2" w:line="369" w:lineRule="auto"/>
        <w:ind w:firstLine="436"/>
        <w:rPr>
          <w:rFonts w:ascii="宋体" w:hAnsi="宋体" w:eastAsia="宋体" w:cs="宋体"/>
          <w:sz w:val="20"/>
          <w:szCs w:val="20"/>
        </w:rPr>
      </w:pPr>
      <w:r>
        <w:rPr>
          <w:rFonts w:ascii="Times New Roman" w:hAnsi="Times New Roman" w:eastAsia="Times New Roman" w:cs="Times New Roman"/>
          <w:spacing w:val="11"/>
          <w:sz w:val="20"/>
          <w:szCs w:val="20"/>
        </w:rPr>
        <w:t>1.</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11"/>
          <w:sz w:val="20"/>
          <w:szCs w:val="20"/>
        </w:rPr>
        <w:t xml:space="preserve">1.5.2  </w:t>
      </w:r>
      <w:r>
        <w:rPr>
          <w:rFonts w:ascii="宋体" w:hAnsi="宋体" w:eastAsia="宋体" w:cs="宋体"/>
          <w:spacing w:val="11"/>
          <w:sz w:val="20"/>
          <w:szCs w:val="20"/>
        </w:rPr>
        <w:t>合同价格：是指发包人用于支付承包人按照合同约定完成承包范围内全部工作的金</w:t>
      </w:r>
      <w:r>
        <w:rPr>
          <w:rFonts w:ascii="宋体" w:hAnsi="宋体" w:eastAsia="宋体" w:cs="宋体"/>
          <w:spacing w:val="9"/>
          <w:sz w:val="20"/>
          <w:szCs w:val="20"/>
        </w:rPr>
        <w:t>额，包括合同履行过程中按合同约定发生的价格变化。</w:t>
      </w:r>
    </w:p>
    <w:p w14:paraId="54C80F7F">
      <w:pPr>
        <w:spacing w:before="1" w:line="368" w:lineRule="auto"/>
        <w:ind w:left="17" w:firstLine="419"/>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1.5.3  </w:t>
      </w:r>
      <w:r>
        <w:rPr>
          <w:rFonts w:ascii="宋体" w:hAnsi="宋体" w:eastAsia="宋体" w:cs="宋体"/>
          <w:spacing w:val="7"/>
          <w:sz w:val="20"/>
          <w:szCs w:val="20"/>
        </w:rPr>
        <w:t>费用：是指为履行合同所发生的</w:t>
      </w:r>
      <w:r>
        <w:rPr>
          <w:rFonts w:ascii="宋体" w:hAnsi="宋体" w:eastAsia="宋体" w:cs="宋体"/>
          <w:spacing w:val="6"/>
          <w:sz w:val="20"/>
          <w:szCs w:val="20"/>
        </w:rPr>
        <w:t>或将要发生的所有必需的开支，包括管理费和应分摊</w:t>
      </w:r>
      <w:r>
        <w:rPr>
          <w:rFonts w:ascii="宋体" w:hAnsi="宋体" w:eastAsia="宋体" w:cs="宋体"/>
          <w:spacing w:val="7"/>
          <w:sz w:val="20"/>
          <w:szCs w:val="20"/>
        </w:rPr>
        <w:t>的其他费用，但不包括利润。</w:t>
      </w:r>
    </w:p>
    <w:p w14:paraId="34E8E0E8">
      <w:pPr>
        <w:spacing w:before="2" w:line="368" w:lineRule="auto"/>
        <w:ind w:left="5" w:firstLine="431"/>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1.5.4  </w:t>
      </w:r>
      <w:r>
        <w:rPr>
          <w:rFonts w:ascii="宋体" w:hAnsi="宋体" w:eastAsia="宋体" w:cs="宋体"/>
          <w:spacing w:val="7"/>
          <w:sz w:val="20"/>
          <w:szCs w:val="20"/>
        </w:rPr>
        <w:t>暂估价：是指发包人在工程量清</w:t>
      </w:r>
      <w:r>
        <w:rPr>
          <w:rFonts w:ascii="宋体" w:hAnsi="宋体" w:eastAsia="宋体" w:cs="宋体"/>
          <w:spacing w:val="6"/>
          <w:sz w:val="20"/>
          <w:szCs w:val="20"/>
        </w:rPr>
        <w:t>单或预算书中提供的用于支付必然发生但暂时不能确</w:t>
      </w:r>
      <w:r>
        <w:rPr>
          <w:rFonts w:ascii="宋体" w:hAnsi="宋体" w:eastAsia="宋体" w:cs="宋体"/>
          <w:spacing w:val="9"/>
          <w:sz w:val="20"/>
          <w:szCs w:val="20"/>
        </w:rPr>
        <w:t>定价格的材料、工程设备的单价、专业工程以及服务工作的金额。</w:t>
      </w:r>
    </w:p>
    <w:p w14:paraId="6454B9FB">
      <w:pPr>
        <w:spacing w:before="2" w:line="369" w:lineRule="auto"/>
        <w:ind w:left="4" w:firstLine="432"/>
        <w:rPr>
          <w:rFonts w:ascii="宋体" w:hAnsi="宋体" w:eastAsia="宋体" w:cs="宋体"/>
          <w:sz w:val="20"/>
          <w:szCs w:val="20"/>
        </w:rPr>
      </w:pPr>
      <w:r>
        <w:rPr>
          <w:rFonts w:ascii="Times New Roman" w:hAnsi="Times New Roman" w:eastAsia="Times New Roman" w:cs="Times New Roman"/>
          <w:spacing w:val="11"/>
          <w:sz w:val="20"/>
          <w:szCs w:val="20"/>
        </w:rPr>
        <w:t>1.</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11"/>
          <w:sz w:val="20"/>
          <w:szCs w:val="20"/>
        </w:rPr>
        <w:t xml:space="preserve">1.5.5  </w:t>
      </w:r>
      <w:r>
        <w:rPr>
          <w:rFonts w:ascii="宋体" w:hAnsi="宋体" w:eastAsia="宋体" w:cs="宋体"/>
          <w:spacing w:val="11"/>
          <w:sz w:val="20"/>
          <w:szCs w:val="20"/>
        </w:rPr>
        <w:t>暂列金额：是指发包人在工程量清单或预算书中暂定并包括在合同价格中的一笔款</w:t>
      </w:r>
      <w:r>
        <w:rPr>
          <w:rFonts w:ascii="宋体" w:hAnsi="宋体" w:eastAsia="宋体" w:cs="宋体"/>
          <w:spacing w:val="10"/>
          <w:sz w:val="20"/>
          <w:szCs w:val="20"/>
        </w:rPr>
        <w:t>项，用于工程合同签订时尚未确定或者不可预见的所需材料、工程</w:t>
      </w:r>
      <w:r>
        <w:rPr>
          <w:rFonts w:ascii="宋体" w:hAnsi="宋体" w:eastAsia="宋体" w:cs="宋体"/>
          <w:spacing w:val="9"/>
          <w:sz w:val="20"/>
          <w:szCs w:val="20"/>
        </w:rPr>
        <w:t>设备、服务的采购，施工中可</w:t>
      </w:r>
      <w:r>
        <w:rPr>
          <w:rFonts w:ascii="宋体" w:hAnsi="宋体" w:eastAsia="宋体" w:cs="宋体"/>
          <w:spacing w:val="10"/>
          <w:sz w:val="20"/>
          <w:szCs w:val="20"/>
        </w:rPr>
        <w:t>能发生的工程变更、合同约定调整因素出现时的合同价格调整以及</w:t>
      </w:r>
      <w:r>
        <w:rPr>
          <w:rFonts w:ascii="宋体" w:hAnsi="宋体" w:eastAsia="宋体" w:cs="宋体"/>
          <w:spacing w:val="9"/>
          <w:sz w:val="20"/>
          <w:szCs w:val="20"/>
        </w:rPr>
        <w:t>发生的索赔、现场签证确认等</w:t>
      </w:r>
      <w:r>
        <w:rPr>
          <w:rFonts w:ascii="宋体" w:hAnsi="宋体" w:eastAsia="宋体" w:cs="宋体"/>
          <w:spacing w:val="4"/>
          <w:sz w:val="20"/>
          <w:szCs w:val="20"/>
        </w:rPr>
        <w:t>的费用。</w:t>
      </w:r>
    </w:p>
    <w:p w14:paraId="069ECC4E">
      <w:pPr>
        <w:spacing w:before="2" w:line="368" w:lineRule="auto"/>
        <w:ind w:firstLine="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1.5.6  </w:t>
      </w:r>
      <w:r>
        <w:rPr>
          <w:rFonts w:ascii="宋体" w:hAnsi="宋体" w:eastAsia="宋体" w:cs="宋体"/>
          <w:spacing w:val="7"/>
          <w:sz w:val="20"/>
          <w:szCs w:val="20"/>
        </w:rPr>
        <w:t>计日工：是指合同履行过程中，</w:t>
      </w:r>
      <w:r>
        <w:rPr>
          <w:rFonts w:ascii="宋体" w:hAnsi="宋体" w:eastAsia="宋体" w:cs="宋体"/>
          <w:spacing w:val="6"/>
          <w:sz w:val="20"/>
          <w:szCs w:val="20"/>
        </w:rPr>
        <w:t>承包人完成发包人提出的零星工作或需要采用计日工</w:t>
      </w:r>
      <w:r>
        <w:rPr>
          <w:rFonts w:ascii="宋体" w:hAnsi="宋体" w:eastAsia="宋体" w:cs="宋体"/>
          <w:spacing w:val="9"/>
          <w:sz w:val="20"/>
          <w:szCs w:val="20"/>
        </w:rPr>
        <w:t>计价的变更工作时，按合同中约定的单价计价的一种方式。</w:t>
      </w:r>
    </w:p>
    <w:p w14:paraId="71B5289A">
      <w:pPr>
        <w:spacing w:before="2" w:line="369" w:lineRule="auto"/>
        <w:ind w:left="26" w:right="2" w:firstLine="411"/>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1.5.7  </w:t>
      </w:r>
      <w:r>
        <w:rPr>
          <w:rFonts w:ascii="宋体" w:hAnsi="宋体" w:eastAsia="宋体" w:cs="宋体"/>
          <w:spacing w:val="5"/>
          <w:sz w:val="20"/>
          <w:szCs w:val="20"/>
        </w:rPr>
        <w:t>质量保证金：是指按照第</w:t>
      </w:r>
      <w:r>
        <w:rPr>
          <w:rFonts w:ascii="宋体" w:hAnsi="宋体" w:eastAsia="宋体" w:cs="宋体"/>
          <w:spacing w:val="-20"/>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4"/>
          <w:sz w:val="20"/>
          <w:szCs w:val="20"/>
        </w:rPr>
        <w:t xml:space="preserve">5.3 </w:t>
      </w:r>
      <w:r>
        <w:rPr>
          <w:rFonts w:ascii="宋体" w:hAnsi="宋体" w:eastAsia="宋体" w:cs="宋体"/>
          <w:spacing w:val="4"/>
          <w:sz w:val="20"/>
          <w:szCs w:val="20"/>
        </w:rPr>
        <w:t>款〔质量保证金〕约定承包人用于保证其在缺陷责任期</w:t>
      </w:r>
      <w:r>
        <w:rPr>
          <w:rFonts w:ascii="宋体" w:hAnsi="宋体" w:eastAsia="宋体" w:cs="宋体"/>
          <w:spacing w:val="6"/>
          <w:sz w:val="20"/>
          <w:szCs w:val="20"/>
        </w:rPr>
        <w:t>内履行缺陷修补义务的担保。</w:t>
      </w:r>
    </w:p>
    <w:p w14:paraId="29DC15F5">
      <w:pPr>
        <w:spacing w:before="1" w:line="368" w:lineRule="auto"/>
        <w:ind w:left="1" w:right="2" w:firstLine="435"/>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1.5.8  </w:t>
      </w:r>
      <w:r>
        <w:rPr>
          <w:rFonts w:ascii="宋体" w:hAnsi="宋体" w:eastAsia="宋体" w:cs="宋体"/>
          <w:spacing w:val="7"/>
          <w:sz w:val="20"/>
          <w:szCs w:val="20"/>
        </w:rPr>
        <w:t>总价项目：是指在现行国家</w:t>
      </w:r>
      <w:r>
        <w:rPr>
          <w:rFonts w:ascii="宋体" w:hAnsi="宋体" w:eastAsia="宋体" w:cs="宋体"/>
          <w:spacing w:val="6"/>
          <w:sz w:val="20"/>
          <w:szCs w:val="20"/>
        </w:rPr>
        <w:t>、行业以及地方的计量规则中无工程量计算规则，在已标</w:t>
      </w:r>
      <w:r>
        <w:rPr>
          <w:rFonts w:ascii="宋体" w:hAnsi="宋体" w:eastAsia="宋体" w:cs="宋体"/>
          <w:spacing w:val="9"/>
          <w:sz w:val="20"/>
          <w:szCs w:val="20"/>
        </w:rPr>
        <w:t>价工程量清单或预算书中以总价或以费率形式计算的项目。</w:t>
      </w:r>
    </w:p>
    <w:p w14:paraId="2123B5E8">
      <w:pPr>
        <w:spacing w:before="1" w:line="228" w:lineRule="auto"/>
        <w:ind w:left="437"/>
        <w:rPr>
          <w:rFonts w:ascii="宋体" w:hAnsi="宋体" w:eastAsia="宋体" w:cs="宋体"/>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1.6</w:t>
      </w:r>
      <w:r>
        <w:rPr>
          <w:rFonts w:ascii="Times New Roman" w:hAnsi="Times New Roman" w:eastAsia="Times New Roman" w:cs="Times New Roman"/>
          <w:spacing w:val="6"/>
          <w:sz w:val="20"/>
          <w:szCs w:val="20"/>
        </w:rPr>
        <w:t xml:space="preserve">  </w:t>
      </w:r>
      <w:r>
        <w:rPr>
          <w:rFonts w:ascii="宋体" w:hAnsi="宋体" w:eastAsia="宋体" w:cs="宋体"/>
          <w:spacing w:val="-3"/>
          <w:sz w:val="20"/>
          <w:szCs w:val="20"/>
        </w:rPr>
        <w:t>其他</w:t>
      </w:r>
    </w:p>
    <w:p w14:paraId="1F8CE19B">
      <w:pPr>
        <w:spacing w:before="153" w:line="227" w:lineRule="auto"/>
        <w:ind w:left="437"/>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书面形式：是指合同文件、信函、电报、传真等可以有形</w:t>
      </w:r>
      <w:r>
        <w:rPr>
          <w:rFonts w:ascii="宋体" w:hAnsi="宋体" w:eastAsia="宋体" w:cs="宋体"/>
          <w:spacing w:val="6"/>
          <w:sz w:val="20"/>
          <w:szCs w:val="20"/>
        </w:rPr>
        <w:t>地表现所载内容的形式。</w:t>
      </w:r>
    </w:p>
    <w:p w14:paraId="3880ABC4">
      <w:pPr>
        <w:pStyle w:val="2"/>
        <w:spacing w:before="128" w:line="222" w:lineRule="auto"/>
        <w:ind w:left="8"/>
        <w:rPr>
          <w:sz w:val="24"/>
          <w:szCs w:val="24"/>
        </w:rPr>
      </w:pPr>
      <w:r>
        <w:rPr>
          <w:rFonts w:ascii="Times New Roman" w:hAnsi="Times New Roman" w:eastAsia="Times New Roman" w:cs="Times New Roman"/>
          <w:b/>
          <w:bCs/>
          <w:spacing w:val="-3"/>
          <w:sz w:val="24"/>
          <w:szCs w:val="24"/>
        </w:rPr>
        <w:t xml:space="preserve">1.2 </w:t>
      </w:r>
      <w:r>
        <w:rPr>
          <w:b/>
          <w:bCs/>
          <w:spacing w:val="-3"/>
          <w:sz w:val="24"/>
          <w:szCs w:val="24"/>
        </w:rPr>
        <w:t>语言文字</w:t>
      </w:r>
    </w:p>
    <w:p w14:paraId="64D2963F">
      <w:pPr>
        <w:spacing w:before="136" w:line="358" w:lineRule="auto"/>
        <w:ind w:left="24" w:firstLine="397"/>
        <w:rPr>
          <w:rFonts w:ascii="宋体" w:hAnsi="宋体" w:eastAsia="宋体" w:cs="宋体"/>
          <w:sz w:val="20"/>
          <w:szCs w:val="20"/>
        </w:rPr>
      </w:pPr>
      <w:r>
        <w:rPr>
          <w:rFonts w:ascii="宋体" w:hAnsi="宋体" w:eastAsia="宋体" w:cs="宋体"/>
          <w:spacing w:val="10"/>
          <w:sz w:val="20"/>
          <w:szCs w:val="20"/>
        </w:rPr>
        <w:t>合同以中国的汉语简体文字编写、解释和说明。合同当事人在专用</w:t>
      </w:r>
      <w:r>
        <w:rPr>
          <w:rFonts w:ascii="宋体" w:hAnsi="宋体" w:eastAsia="宋体" w:cs="宋体"/>
          <w:spacing w:val="9"/>
          <w:sz w:val="20"/>
          <w:szCs w:val="20"/>
        </w:rPr>
        <w:t>合同条款中约定使用两种</w:t>
      </w:r>
      <w:r>
        <w:rPr>
          <w:rFonts w:ascii="宋体" w:hAnsi="宋体" w:eastAsia="宋体" w:cs="宋体"/>
          <w:spacing w:val="8"/>
          <w:sz w:val="20"/>
          <w:szCs w:val="20"/>
        </w:rPr>
        <w:t>以上语言时，汉语为优先解释和说明合同的语言。</w:t>
      </w:r>
    </w:p>
    <w:p w14:paraId="4F57C6CF">
      <w:pPr>
        <w:pStyle w:val="2"/>
        <w:spacing w:before="1" w:line="222" w:lineRule="auto"/>
        <w:ind w:left="8"/>
        <w:rPr>
          <w:sz w:val="24"/>
          <w:szCs w:val="24"/>
        </w:rPr>
      </w:pPr>
      <w:r>
        <w:rPr>
          <w:rFonts w:ascii="Times New Roman" w:hAnsi="Times New Roman" w:eastAsia="Times New Roman" w:cs="Times New Roman"/>
          <w:b/>
          <w:bCs/>
          <w:spacing w:val="-7"/>
          <w:sz w:val="24"/>
          <w:szCs w:val="24"/>
        </w:rPr>
        <w:t>1.3</w:t>
      </w:r>
      <w:r>
        <w:rPr>
          <w:rFonts w:ascii="Times New Roman" w:hAnsi="Times New Roman" w:eastAsia="Times New Roman" w:cs="Times New Roman"/>
          <w:b/>
          <w:bCs/>
          <w:spacing w:val="13"/>
          <w:sz w:val="24"/>
          <w:szCs w:val="24"/>
        </w:rPr>
        <w:t xml:space="preserve"> </w:t>
      </w:r>
      <w:r>
        <w:rPr>
          <w:b/>
          <w:bCs/>
          <w:spacing w:val="-7"/>
          <w:sz w:val="24"/>
          <w:szCs w:val="24"/>
        </w:rPr>
        <w:t>法律</w:t>
      </w:r>
    </w:p>
    <w:p w14:paraId="360AB080">
      <w:pPr>
        <w:spacing w:before="135" w:line="369" w:lineRule="auto"/>
        <w:ind w:left="1" w:firstLine="420"/>
        <w:rPr>
          <w:rFonts w:ascii="宋体" w:hAnsi="宋体" w:eastAsia="宋体" w:cs="宋体"/>
          <w:sz w:val="20"/>
          <w:szCs w:val="20"/>
        </w:rPr>
      </w:pPr>
      <w:r>
        <w:rPr>
          <w:rFonts w:ascii="宋体" w:hAnsi="宋体" w:eastAsia="宋体" w:cs="宋体"/>
          <w:spacing w:val="10"/>
          <w:sz w:val="20"/>
          <w:szCs w:val="20"/>
        </w:rPr>
        <w:t>合同所称法律是指中华人民共和国法律、行政法规、部门规章，以</w:t>
      </w:r>
      <w:r>
        <w:rPr>
          <w:rFonts w:ascii="宋体" w:hAnsi="宋体" w:eastAsia="宋体" w:cs="宋体"/>
          <w:spacing w:val="9"/>
          <w:sz w:val="20"/>
          <w:szCs w:val="20"/>
        </w:rPr>
        <w:t>及工程所在地的地方性法</w:t>
      </w:r>
      <w:r>
        <w:rPr>
          <w:rFonts w:ascii="宋体" w:hAnsi="宋体" w:eastAsia="宋体" w:cs="宋体"/>
          <w:spacing w:val="6"/>
          <w:sz w:val="20"/>
          <w:szCs w:val="20"/>
        </w:rPr>
        <w:t>规、</w:t>
      </w:r>
      <w:r>
        <w:rPr>
          <w:rFonts w:ascii="宋体" w:hAnsi="宋体" w:eastAsia="宋体" w:cs="宋体"/>
          <w:spacing w:val="-42"/>
          <w:sz w:val="20"/>
          <w:szCs w:val="20"/>
        </w:rPr>
        <w:t xml:space="preserve"> </w:t>
      </w:r>
      <w:r>
        <w:rPr>
          <w:rFonts w:ascii="宋体" w:hAnsi="宋体" w:eastAsia="宋体" w:cs="宋体"/>
          <w:spacing w:val="6"/>
          <w:sz w:val="20"/>
          <w:szCs w:val="20"/>
        </w:rPr>
        <w:t>自治条例、单行条例和地方政府规章等。</w:t>
      </w:r>
    </w:p>
    <w:p w14:paraId="131F8748">
      <w:pPr>
        <w:spacing w:before="1" w:line="227" w:lineRule="auto"/>
        <w:ind w:left="421"/>
        <w:rPr>
          <w:rFonts w:ascii="宋体" w:hAnsi="宋体" w:eastAsia="宋体" w:cs="宋体"/>
          <w:sz w:val="20"/>
          <w:szCs w:val="20"/>
        </w:rPr>
      </w:pPr>
      <w:r>
        <w:rPr>
          <w:rFonts w:ascii="宋体" w:hAnsi="宋体" w:eastAsia="宋体" w:cs="宋体"/>
          <w:spacing w:val="9"/>
          <w:sz w:val="20"/>
          <w:szCs w:val="20"/>
        </w:rPr>
        <w:t>合同当事人可以在专用合同条款中约定合同适用的其他规范性文件。</w:t>
      </w:r>
    </w:p>
    <w:p w14:paraId="272DFE25">
      <w:pPr>
        <w:pStyle w:val="2"/>
        <w:spacing w:before="128" w:line="223" w:lineRule="auto"/>
        <w:ind w:left="8"/>
        <w:rPr>
          <w:sz w:val="24"/>
          <w:szCs w:val="24"/>
        </w:rPr>
      </w:pPr>
      <w:r>
        <w:rPr>
          <w:rFonts w:ascii="Times New Roman" w:hAnsi="Times New Roman" w:eastAsia="Times New Roman" w:cs="Times New Roman"/>
          <w:b/>
          <w:bCs/>
          <w:spacing w:val="-3"/>
          <w:sz w:val="24"/>
          <w:szCs w:val="24"/>
        </w:rPr>
        <w:t xml:space="preserve">1.4  </w:t>
      </w:r>
      <w:r>
        <w:rPr>
          <w:b/>
          <w:bCs/>
          <w:spacing w:val="-3"/>
          <w:sz w:val="24"/>
          <w:szCs w:val="24"/>
        </w:rPr>
        <w:t>标准和规范</w:t>
      </w:r>
    </w:p>
    <w:p w14:paraId="106DA7DC">
      <w:pPr>
        <w:spacing w:before="138" w:line="369" w:lineRule="auto"/>
        <w:ind w:left="2" w:right="2" w:firstLine="434"/>
        <w:rPr>
          <w:rFonts w:ascii="宋体" w:hAnsi="宋体" w:eastAsia="宋体" w:cs="宋体"/>
          <w:sz w:val="20"/>
          <w:szCs w:val="20"/>
        </w:rPr>
      </w:pPr>
      <w:r>
        <w:rPr>
          <w:rFonts w:ascii="Times New Roman" w:hAnsi="Times New Roman" w:eastAsia="Times New Roman" w:cs="Times New Roman"/>
          <w:spacing w:val="6"/>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适用于工程的国家标准、行业标准</w:t>
      </w:r>
      <w:r>
        <w:rPr>
          <w:rFonts w:ascii="宋体" w:hAnsi="宋体" w:eastAsia="宋体" w:cs="宋体"/>
          <w:spacing w:val="5"/>
          <w:sz w:val="20"/>
          <w:szCs w:val="20"/>
        </w:rPr>
        <w:t>、工程所在地的地方性标准，以及相应的规范、规程</w:t>
      </w:r>
      <w:r>
        <w:rPr>
          <w:rFonts w:ascii="宋体" w:hAnsi="宋体" w:eastAsia="宋体" w:cs="宋体"/>
          <w:spacing w:val="9"/>
          <w:sz w:val="20"/>
          <w:szCs w:val="20"/>
        </w:rPr>
        <w:t>等，合同当事人有特别要求的，应在专用合同条款中约定。</w:t>
      </w:r>
    </w:p>
    <w:p w14:paraId="2976EF93">
      <w:pPr>
        <w:spacing w:line="369" w:lineRule="auto"/>
        <w:rPr>
          <w:rFonts w:ascii="宋体" w:hAnsi="宋体" w:eastAsia="宋体" w:cs="宋体"/>
          <w:sz w:val="20"/>
          <w:szCs w:val="20"/>
        </w:rPr>
        <w:sectPr>
          <w:footerReference r:id="rId238" w:type="default"/>
          <w:pgSz w:w="11906" w:h="16839"/>
          <w:pgMar w:top="400" w:right="1554" w:bottom="1038" w:left="1538" w:header="0" w:footer="787" w:gutter="0"/>
          <w:cols w:space="720" w:num="1"/>
        </w:sectPr>
      </w:pPr>
    </w:p>
    <w:p w14:paraId="6B8050A3">
      <w:pPr>
        <w:spacing w:line="271" w:lineRule="auto"/>
        <w:rPr>
          <w:rFonts w:ascii="Arial"/>
          <w:sz w:val="21"/>
        </w:rPr>
      </w:pPr>
    </w:p>
    <w:p w14:paraId="6C94E06B">
      <w:pPr>
        <w:spacing w:line="271" w:lineRule="auto"/>
        <w:rPr>
          <w:rFonts w:ascii="Arial"/>
          <w:sz w:val="21"/>
        </w:rPr>
      </w:pPr>
    </w:p>
    <w:p w14:paraId="63AD418F">
      <w:pPr>
        <w:spacing w:line="272" w:lineRule="auto"/>
        <w:rPr>
          <w:rFonts w:ascii="Arial"/>
          <w:sz w:val="21"/>
        </w:rPr>
      </w:pPr>
    </w:p>
    <w:p w14:paraId="779E51E3">
      <w:pPr>
        <w:spacing w:line="272" w:lineRule="auto"/>
        <w:rPr>
          <w:rFonts w:ascii="Arial"/>
          <w:sz w:val="21"/>
        </w:rPr>
      </w:pPr>
    </w:p>
    <w:p w14:paraId="60F886B9">
      <w:pPr>
        <w:spacing w:before="65" w:line="369" w:lineRule="auto"/>
        <w:ind w:left="21" w:right="70" w:firstLine="415"/>
        <w:rPr>
          <w:rFonts w:ascii="宋体" w:hAnsi="宋体" w:eastAsia="宋体" w:cs="宋体"/>
          <w:sz w:val="20"/>
          <w:szCs w:val="20"/>
        </w:rPr>
      </w:pPr>
      <w:r>
        <w:rPr>
          <w:rFonts w:ascii="Times New Roman" w:hAnsi="Times New Roman" w:eastAsia="Times New Roman" w:cs="Times New Roman"/>
          <w:spacing w:val="6"/>
          <w:sz w:val="20"/>
          <w:szCs w:val="20"/>
        </w:rPr>
        <w:t xml:space="preserve">1.4.2  </w:t>
      </w:r>
      <w:r>
        <w:rPr>
          <w:rFonts w:ascii="宋体" w:hAnsi="宋体" w:eastAsia="宋体" w:cs="宋体"/>
          <w:spacing w:val="6"/>
          <w:sz w:val="20"/>
          <w:szCs w:val="20"/>
        </w:rPr>
        <w:t>发包人要求使用国外标准、规范的，发包人负责提供原文版本和中文译本，并在专用合</w:t>
      </w:r>
      <w:r>
        <w:rPr>
          <w:rFonts w:ascii="宋体" w:hAnsi="宋体" w:eastAsia="宋体" w:cs="宋体"/>
          <w:spacing w:val="8"/>
          <w:sz w:val="20"/>
          <w:szCs w:val="20"/>
        </w:rPr>
        <w:t>同条款中约定提供标准规范的名称、份数和时间。</w:t>
      </w:r>
    </w:p>
    <w:p w14:paraId="10E0501C">
      <w:pPr>
        <w:spacing w:line="361" w:lineRule="auto"/>
        <w:ind w:left="1" w:right="70" w:firstLine="435"/>
        <w:rPr>
          <w:rFonts w:ascii="宋体" w:hAnsi="宋体" w:eastAsia="宋体" w:cs="宋体"/>
          <w:sz w:val="20"/>
          <w:szCs w:val="20"/>
        </w:rPr>
      </w:pPr>
      <w:r>
        <w:rPr>
          <w:rFonts w:ascii="Times New Roman" w:hAnsi="Times New Roman" w:eastAsia="Times New Roman" w:cs="Times New Roman"/>
          <w:spacing w:val="6"/>
          <w:sz w:val="20"/>
          <w:szCs w:val="20"/>
        </w:rPr>
        <w:t xml:space="preserve">1.4.3  </w:t>
      </w:r>
      <w:r>
        <w:rPr>
          <w:rFonts w:ascii="宋体" w:hAnsi="宋体" w:eastAsia="宋体" w:cs="宋体"/>
          <w:spacing w:val="6"/>
          <w:sz w:val="20"/>
          <w:szCs w:val="20"/>
        </w:rPr>
        <w:t>发包人对工程的技术标准、功能要求高于或严于现行国家、行业或地方标准的，应当在</w:t>
      </w:r>
      <w:r>
        <w:rPr>
          <w:rFonts w:ascii="宋体" w:hAnsi="宋体" w:eastAsia="宋体" w:cs="宋体"/>
          <w:spacing w:val="10"/>
          <w:sz w:val="20"/>
          <w:szCs w:val="20"/>
        </w:rPr>
        <w:t>专用合同条款中予以明确。除专用合同条款另有约定外，应视为承</w:t>
      </w:r>
      <w:r>
        <w:rPr>
          <w:rFonts w:ascii="宋体" w:hAnsi="宋体" w:eastAsia="宋体" w:cs="宋体"/>
          <w:spacing w:val="9"/>
          <w:sz w:val="20"/>
          <w:szCs w:val="20"/>
        </w:rPr>
        <w:t>包人在签订合同前已充分预见前述技术标准和功能要求的复杂程度，签约合同价中已包含由此产生的费用。</w:t>
      </w:r>
    </w:p>
    <w:p w14:paraId="12299F0E">
      <w:pPr>
        <w:pStyle w:val="2"/>
        <w:spacing w:before="1" w:line="220" w:lineRule="auto"/>
        <w:ind w:left="8"/>
        <w:rPr>
          <w:sz w:val="24"/>
          <w:szCs w:val="24"/>
        </w:rPr>
      </w:pPr>
      <w:r>
        <w:rPr>
          <w:rFonts w:ascii="Times New Roman" w:hAnsi="Times New Roman" w:eastAsia="Times New Roman" w:cs="Times New Roman"/>
          <w:b/>
          <w:bCs/>
          <w:spacing w:val="-3"/>
          <w:sz w:val="24"/>
          <w:szCs w:val="24"/>
        </w:rPr>
        <w:t xml:space="preserve">1.5  </w:t>
      </w:r>
      <w:r>
        <w:rPr>
          <w:b/>
          <w:bCs/>
          <w:spacing w:val="-3"/>
          <w:sz w:val="24"/>
          <w:szCs w:val="24"/>
        </w:rPr>
        <w:t>合同文件的优先顺序</w:t>
      </w:r>
    </w:p>
    <w:p w14:paraId="43B341AD">
      <w:pPr>
        <w:spacing w:before="140" w:line="369" w:lineRule="auto"/>
        <w:ind w:right="71" w:firstLine="423"/>
        <w:rPr>
          <w:rFonts w:ascii="宋体" w:hAnsi="宋体" w:eastAsia="宋体" w:cs="宋体"/>
          <w:sz w:val="20"/>
          <w:szCs w:val="20"/>
        </w:rPr>
      </w:pPr>
      <w:r>
        <w:rPr>
          <w:rFonts w:ascii="宋体" w:hAnsi="宋体" w:eastAsia="宋体" w:cs="宋体"/>
          <w:spacing w:val="10"/>
          <w:sz w:val="20"/>
          <w:szCs w:val="20"/>
        </w:rPr>
        <w:t>组成合同的各项文件应互相解释，互为说明。除专用合同条款另</w:t>
      </w:r>
      <w:r>
        <w:rPr>
          <w:rFonts w:ascii="宋体" w:hAnsi="宋体" w:eastAsia="宋体" w:cs="宋体"/>
          <w:spacing w:val="9"/>
          <w:sz w:val="20"/>
          <w:szCs w:val="20"/>
        </w:rPr>
        <w:t>有约定外，解释合同文件的</w:t>
      </w:r>
      <w:r>
        <w:rPr>
          <w:rFonts w:ascii="宋体" w:hAnsi="宋体" w:eastAsia="宋体" w:cs="宋体"/>
          <w:spacing w:val="7"/>
          <w:sz w:val="20"/>
          <w:szCs w:val="20"/>
        </w:rPr>
        <w:t>优先顺序如下：</w:t>
      </w:r>
    </w:p>
    <w:p w14:paraId="2936D8EA">
      <w:pPr>
        <w:spacing w:line="226" w:lineRule="auto"/>
        <w:ind w:left="430"/>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1</w:t>
      </w:r>
      <w:r>
        <w:rPr>
          <w:rFonts w:ascii="宋体" w:hAnsi="宋体" w:eastAsia="宋体" w:cs="宋体"/>
          <w:spacing w:val="5"/>
          <w:sz w:val="20"/>
          <w:szCs w:val="20"/>
        </w:rPr>
        <w:t>）合同协议书；</w:t>
      </w:r>
    </w:p>
    <w:p w14:paraId="0477B423">
      <w:pPr>
        <w:spacing w:before="155"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）中标通知书（如果有</w:t>
      </w:r>
      <w:r>
        <w:rPr>
          <w:rFonts w:ascii="宋体" w:hAnsi="宋体" w:eastAsia="宋体" w:cs="宋体"/>
          <w:spacing w:val="-50"/>
          <w:sz w:val="20"/>
          <w:szCs w:val="20"/>
        </w:rPr>
        <w:t>）；</w:t>
      </w:r>
    </w:p>
    <w:p w14:paraId="19B9F6B3">
      <w:pPr>
        <w:spacing w:before="152"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）投标函及其附录（如果有</w:t>
      </w:r>
      <w:r>
        <w:rPr>
          <w:rFonts w:ascii="宋体" w:hAnsi="宋体" w:eastAsia="宋体" w:cs="宋体"/>
          <w:spacing w:val="-54"/>
          <w:sz w:val="20"/>
          <w:szCs w:val="20"/>
        </w:rPr>
        <w:t>）；</w:t>
      </w:r>
    </w:p>
    <w:p w14:paraId="2714924F">
      <w:pPr>
        <w:spacing w:before="155"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）专用合同条款及其附件；</w:t>
      </w:r>
    </w:p>
    <w:p w14:paraId="6F25CDC9">
      <w:pPr>
        <w:spacing w:before="155"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5</w:t>
      </w:r>
      <w:r>
        <w:rPr>
          <w:rFonts w:ascii="宋体" w:hAnsi="宋体" w:eastAsia="宋体" w:cs="宋体"/>
          <w:spacing w:val="6"/>
          <w:sz w:val="20"/>
          <w:szCs w:val="20"/>
        </w:rPr>
        <w:t>）通用合同条款；</w:t>
      </w:r>
    </w:p>
    <w:p w14:paraId="520521EC">
      <w:pPr>
        <w:spacing w:before="151"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6</w:t>
      </w:r>
      <w:r>
        <w:rPr>
          <w:rFonts w:ascii="宋体" w:hAnsi="宋体" w:eastAsia="宋体" w:cs="宋体"/>
          <w:spacing w:val="6"/>
          <w:sz w:val="20"/>
          <w:szCs w:val="20"/>
        </w:rPr>
        <w:t>）技术标准和要求；</w:t>
      </w:r>
    </w:p>
    <w:p w14:paraId="5E698FBE">
      <w:pPr>
        <w:spacing w:before="154" w:line="229" w:lineRule="auto"/>
        <w:ind w:left="430"/>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7</w:t>
      </w:r>
      <w:r>
        <w:rPr>
          <w:rFonts w:ascii="宋体" w:hAnsi="宋体" w:eastAsia="宋体" w:cs="宋体"/>
          <w:spacing w:val="4"/>
          <w:sz w:val="20"/>
          <w:szCs w:val="20"/>
        </w:rPr>
        <w:t>）图纸；</w:t>
      </w:r>
    </w:p>
    <w:p w14:paraId="6A3E3A35">
      <w:pPr>
        <w:spacing w:before="153" w:line="226" w:lineRule="auto"/>
        <w:ind w:left="430"/>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8</w:t>
      </w:r>
      <w:r>
        <w:rPr>
          <w:rFonts w:ascii="宋体" w:hAnsi="宋体" w:eastAsia="宋体" w:cs="宋体"/>
          <w:spacing w:val="5"/>
          <w:sz w:val="20"/>
          <w:szCs w:val="20"/>
        </w:rPr>
        <w:t>）</w:t>
      </w:r>
      <w:r>
        <w:rPr>
          <w:rFonts w:ascii="宋体" w:hAnsi="宋体" w:eastAsia="宋体" w:cs="宋体"/>
          <w:spacing w:val="-56"/>
          <w:sz w:val="20"/>
          <w:szCs w:val="20"/>
        </w:rPr>
        <w:t xml:space="preserve"> </w:t>
      </w:r>
      <w:r>
        <w:rPr>
          <w:rFonts w:ascii="宋体" w:hAnsi="宋体" w:eastAsia="宋体" w:cs="宋体"/>
          <w:spacing w:val="5"/>
          <w:sz w:val="20"/>
          <w:szCs w:val="20"/>
        </w:rPr>
        <w:t>已标价工程量清单或预算书；</w:t>
      </w:r>
    </w:p>
    <w:p w14:paraId="309F7EE5">
      <w:pPr>
        <w:spacing w:before="153"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9</w:t>
      </w:r>
      <w:r>
        <w:rPr>
          <w:rFonts w:ascii="宋体" w:hAnsi="宋体" w:eastAsia="宋体" w:cs="宋体"/>
          <w:spacing w:val="6"/>
          <w:sz w:val="20"/>
          <w:szCs w:val="20"/>
        </w:rPr>
        <w:t>）其他合同文件。</w:t>
      </w:r>
    </w:p>
    <w:p w14:paraId="01FDED6F">
      <w:pPr>
        <w:spacing w:before="154" w:line="369" w:lineRule="auto"/>
        <w:ind w:left="2" w:right="71" w:firstLine="420"/>
        <w:rPr>
          <w:rFonts w:ascii="宋体" w:hAnsi="宋体" w:eastAsia="宋体" w:cs="宋体"/>
          <w:sz w:val="20"/>
          <w:szCs w:val="20"/>
        </w:rPr>
      </w:pPr>
      <w:r>
        <w:rPr>
          <w:rFonts w:ascii="宋体" w:hAnsi="宋体" w:eastAsia="宋体" w:cs="宋体"/>
          <w:spacing w:val="10"/>
          <w:sz w:val="20"/>
          <w:szCs w:val="20"/>
        </w:rPr>
        <w:t>上述各项合同文件包括合同当事人就该项合同文件所作出的补充和</w:t>
      </w:r>
      <w:r>
        <w:rPr>
          <w:rFonts w:ascii="宋体" w:hAnsi="宋体" w:eastAsia="宋体" w:cs="宋体"/>
          <w:spacing w:val="9"/>
          <w:sz w:val="20"/>
          <w:szCs w:val="20"/>
        </w:rPr>
        <w:t>修改，属于同一类内容的</w:t>
      </w:r>
      <w:r>
        <w:rPr>
          <w:rFonts w:ascii="宋体" w:hAnsi="宋体" w:eastAsia="宋体" w:cs="宋体"/>
          <w:spacing w:val="8"/>
          <w:sz w:val="20"/>
          <w:szCs w:val="20"/>
        </w:rPr>
        <w:t>文件，应以最新签署的为准。</w:t>
      </w:r>
    </w:p>
    <w:p w14:paraId="5948A3D3">
      <w:pPr>
        <w:spacing w:before="1" w:line="357" w:lineRule="auto"/>
        <w:ind w:right="71" w:firstLine="419"/>
        <w:rPr>
          <w:rFonts w:ascii="宋体" w:hAnsi="宋体" w:eastAsia="宋体" w:cs="宋体"/>
          <w:sz w:val="20"/>
          <w:szCs w:val="20"/>
        </w:rPr>
      </w:pPr>
      <w:r>
        <w:rPr>
          <w:rFonts w:ascii="宋体" w:hAnsi="宋体" w:eastAsia="宋体" w:cs="宋体"/>
          <w:spacing w:val="10"/>
          <w:sz w:val="20"/>
          <w:szCs w:val="20"/>
        </w:rPr>
        <w:t>在合同订立及履行过程中形成的与合同有关的文件均构成合同文件组成</w:t>
      </w:r>
      <w:r>
        <w:rPr>
          <w:rFonts w:ascii="宋体" w:hAnsi="宋体" w:eastAsia="宋体" w:cs="宋体"/>
          <w:spacing w:val="9"/>
          <w:sz w:val="20"/>
          <w:szCs w:val="20"/>
        </w:rPr>
        <w:t>部分，并根据其性质</w:t>
      </w:r>
      <w:r>
        <w:rPr>
          <w:rFonts w:ascii="宋体" w:hAnsi="宋体" w:eastAsia="宋体" w:cs="宋体"/>
          <w:spacing w:val="7"/>
          <w:sz w:val="20"/>
          <w:szCs w:val="20"/>
        </w:rPr>
        <w:t>确定优先解释顺序。</w:t>
      </w:r>
    </w:p>
    <w:p w14:paraId="7812FD72">
      <w:pPr>
        <w:pStyle w:val="2"/>
        <w:spacing w:before="1" w:line="221" w:lineRule="auto"/>
        <w:ind w:left="8"/>
        <w:rPr>
          <w:sz w:val="24"/>
          <w:szCs w:val="24"/>
        </w:rPr>
      </w:pPr>
      <w:r>
        <w:rPr>
          <w:rFonts w:ascii="Times New Roman" w:hAnsi="Times New Roman" w:eastAsia="Times New Roman" w:cs="Times New Roman"/>
          <w:b/>
          <w:bCs/>
          <w:spacing w:val="-5"/>
          <w:sz w:val="24"/>
          <w:szCs w:val="24"/>
        </w:rPr>
        <w:t>1.6</w:t>
      </w:r>
      <w:r>
        <w:rPr>
          <w:rFonts w:ascii="Times New Roman" w:hAnsi="Times New Roman" w:eastAsia="Times New Roman" w:cs="Times New Roman"/>
          <w:b/>
          <w:bCs/>
          <w:spacing w:val="25"/>
          <w:sz w:val="24"/>
          <w:szCs w:val="24"/>
        </w:rPr>
        <w:t xml:space="preserve"> </w:t>
      </w:r>
      <w:r>
        <w:rPr>
          <w:b/>
          <w:bCs/>
          <w:spacing w:val="-5"/>
          <w:sz w:val="24"/>
          <w:szCs w:val="24"/>
        </w:rPr>
        <w:t>图纸和承包人文件</w:t>
      </w:r>
    </w:p>
    <w:p w14:paraId="0BE67456">
      <w:pPr>
        <w:spacing w:before="137" w:line="227" w:lineRule="auto"/>
        <w:ind w:left="437"/>
        <w:rPr>
          <w:rFonts w:ascii="宋体" w:hAnsi="宋体" w:eastAsia="宋体" w:cs="宋体"/>
          <w:sz w:val="20"/>
          <w:szCs w:val="20"/>
        </w:rPr>
      </w:pPr>
      <w:r>
        <w:rPr>
          <w:rFonts w:ascii="Times New Roman" w:hAnsi="Times New Roman" w:eastAsia="Times New Roman" w:cs="Times New Roman"/>
          <w:spacing w:val="1"/>
          <w:sz w:val="20"/>
          <w:szCs w:val="20"/>
        </w:rPr>
        <w:t>1.6.</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16"/>
          <w:w w:val="101"/>
          <w:sz w:val="20"/>
          <w:szCs w:val="20"/>
        </w:rPr>
        <w:t xml:space="preserve">  </w:t>
      </w:r>
      <w:r>
        <w:rPr>
          <w:rFonts w:ascii="宋体" w:hAnsi="宋体" w:eastAsia="宋体" w:cs="宋体"/>
          <w:spacing w:val="1"/>
          <w:sz w:val="20"/>
          <w:szCs w:val="20"/>
        </w:rPr>
        <w:t>图纸的提供和交底</w:t>
      </w:r>
    </w:p>
    <w:p w14:paraId="65436A98">
      <w:pPr>
        <w:spacing w:before="156" w:line="369" w:lineRule="auto"/>
        <w:ind w:left="1" w:firstLine="422"/>
        <w:rPr>
          <w:rFonts w:ascii="宋体" w:hAnsi="宋体" w:eastAsia="宋体" w:cs="宋体"/>
          <w:sz w:val="20"/>
          <w:szCs w:val="20"/>
        </w:rPr>
      </w:pPr>
      <w:r>
        <w:rPr>
          <w:rFonts w:ascii="宋体" w:hAnsi="宋体" w:eastAsia="宋体" w:cs="宋体"/>
          <w:spacing w:val="6"/>
          <w:sz w:val="20"/>
          <w:szCs w:val="20"/>
        </w:rPr>
        <w:t>发包人应按照专用合同条款约定的期限、数量和内容向承包人免费提供图纸，并组织承包人、监理人和设计人进行图纸会审和设计交底。发包人至迟不得晚于第</w:t>
      </w:r>
      <w:r>
        <w:rPr>
          <w:rFonts w:ascii="宋体" w:hAnsi="宋体" w:eastAsia="宋体" w:cs="宋体"/>
          <w:spacing w:val="-28"/>
          <w:sz w:val="20"/>
          <w:szCs w:val="20"/>
        </w:rPr>
        <w:t xml:space="preserve"> </w:t>
      </w:r>
      <w:r>
        <w:rPr>
          <w:rFonts w:ascii="Times New Roman" w:hAnsi="Times New Roman" w:eastAsia="Times New Roman" w:cs="Times New Roman"/>
          <w:spacing w:val="6"/>
          <w:sz w:val="20"/>
          <w:szCs w:val="20"/>
        </w:rPr>
        <w:t>7.3.2</w:t>
      </w:r>
      <w:r>
        <w:rPr>
          <w:rFonts w:ascii="Times New Roman" w:hAnsi="Times New Roman" w:eastAsia="Times New Roman" w:cs="Times New Roman"/>
          <w:spacing w:val="15"/>
          <w:w w:val="101"/>
          <w:sz w:val="20"/>
          <w:szCs w:val="20"/>
        </w:rPr>
        <w:t xml:space="preserve"> </w:t>
      </w:r>
      <w:r>
        <w:rPr>
          <w:rFonts w:ascii="宋体" w:hAnsi="宋体" w:eastAsia="宋体" w:cs="宋体"/>
          <w:spacing w:val="6"/>
          <w:sz w:val="20"/>
          <w:szCs w:val="20"/>
        </w:rPr>
        <w:t>项〔开工通知〕载明的开工日期前</w:t>
      </w:r>
      <w:r>
        <w:rPr>
          <w:rFonts w:ascii="宋体" w:hAnsi="宋体" w:eastAsia="宋体" w:cs="宋体"/>
          <w:spacing w:val="-19"/>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天向承包人提供图纸。</w:t>
      </w:r>
    </w:p>
    <w:p w14:paraId="4D59630A">
      <w:pPr>
        <w:spacing w:before="2" w:line="368" w:lineRule="auto"/>
        <w:ind w:left="4" w:right="70" w:firstLine="432"/>
        <w:rPr>
          <w:rFonts w:ascii="宋体" w:hAnsi="宋体" w:eastAsia="宋体" w:cs="宋体"/>
          <w:sz w:val="20"/>
          <w:szCs w:val="20"/>
        </w:rPr>
      </w:pPr>
      <w:r>
        <w:rPr>
          <w:rFonts w:ascii="宋体" w:hAnsi="宋体" w:eastAsia="宋体" w:cs="宋体"/>
          <w:spacing w:val="1"/>
          <w:sz w:val="20"/>
          <w:szCs w:val="20"/>
        </w:rPr>
        <w:t>因发包人未按合同约定提供图纸导致承包人费用增加</w:t>
      </w:r>
      <w:r>
        <w:rPr>
          <w:rFonts w:ascii="宋体" w:hAnsi="宋体" w:eastAsia="宋体" w:cs="宋体"/>
          <w:sz w:val="20"/>
          <w:szCs w:val="20"/>
        </w:rPr>
        <w:t>和（或）工期延误的，按照第</w:t>
      </w:r>
      <w:r>
        <w:rPr>
          <w:rFonts w:ascii="宋体" w:hAnsi="宋体" w:eastAsia="宋体" w:cs="宋体"/>
          <w:spacing w:val="-37"/>
          <w:sz w:val="20"/>
          <w:szCs w:val="20"/>
        </w:rPr>
        <w:t xml:space="preserve"> </w:t>
      </w:r>
      <w:r>
        <w:rPr>
          <w:rFonts w:ascii="Times New Roman" w:hAnsi="Times New Roman" w:eastAsia="Times New Roman" w:cs="Times New Roman"/>
          <w:sz w:val="20"/>
          <w:szCs w:val="20"/>
        </w:rPr>
        <w:t>7.5.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z w:val="20"/>
          <w:szCs w:val="20"/>
        </w:rPr>
        <w:t>1</w:t>
      </w:r>
      <w:r>
        <w:rPr>
          <w:rFonts w:ascii="Times New Roman" w:hAnsi="Times New Roman" w:eastAsia="Times New Roman" w:cs="Times New Roman"/>
          <w:spacing w:val="13"/>
          <w:w w:val="101"/>
          <w:sz w:val="20"/>
          <w:szCs w:val="20"/>
        </w:rPr>
        <w:t xml:space="preserve"> </w:t>
      </w:r>
      <w:r>
        <w:rPr>
          <w:rFonts w:ascii="宋体" w:hAnsi="宋体" w:eastAsia="宋体" w:cs="宋体"/>
          <w:sz w:val="20"/>
          <w:szCs w:val="20"/>
        </w:rPr>
        <w:t>项〔因</w:t>
      </w:r>
      <w:r>
        <w:rPr>
          <w:rFonts w:ascii="宋体" w:hAnsi="宋体" w:eastAsia="宋体" w:cs="宋体"/>
          <w:spacing w:val="8"/>
          <w:sz w:val="20"/>
          <w:szCs w:val="20"/>
        </w:rPr>
        <w:t>发包人原因导致工期延误〕约定办理。</w:t>
      </w:r>
    </w:p>
    <w:p w14:paraId="200FD485">
      <w:pPr>
        <w:spacing w:line="229" w:lineRule="auto"/>
        <w:ind w:left="437"/>
        <w:rPr>
          <w:rFonts w:ascii="宋体" w:hAnsi="宋体" w:eastAsia="宋体" w:cs="宋体"/>
          <w:sz w:val="20"/>
          <w:szCs w:val="20"/>
        </w:rPr>
      </w:pPr>
      <w:r>
        <w:rPr>
          <w:rFonts w:ascii="Times New Roman" w:hAnsi="Times New Roman" w:eastAsia="Times New Roman" w:cs="Times New Roman"/>
          <w:spacing w:val="1"/>
          <w:sz w:val="20"/>
          <w:szCs w:val="20"/>
        </w:rPr>
        <w:t>1.6.2</w:t>
      </w:r>
      <w:r>
        <w:rPr>
          <w:rFonts w:ascii="Times New Roman" w:hAnsi="Times New Roman" w:eastAsia="Times New Roman" w:cs="Times New Roman"/>
          <w:spacing w:val="19"/>
          <w:w w:val="101"/>
          <w:sz w:val="20"/>
          <w:szCs w:val="20"/>
        </w:rPr>
        <w:t xml:space="preserve">  </w:t>
      </w:r>
      <w:r>
        <w:rPr>
          <w:rFonts w:ascii="宋体" w:hAnsi="宋体" w:eastAsia="宋体" w:cs="宋体"/>
          <w:spacing w:val="1"/>
          <w:sz w:val="20"/>
          <w:szCs w:val="20"/>
        </w:rPr>
        <w:t>图纸的错误</w:t>
      </w:r>
    </w:p>
    <w:p w14:paraId="65C9BA1A">
      <w:pPr>
        <w:spacing w:before="154" w:line="369" w:lineRule="auto"/>
        <w:ind w:left="1" w:firstLine="419"/>
        <w:rPr>
          <w:rFonts w:ascii="宋体" w:hAnsi="宋体" w:eastAsia="宋体" w:cs="宋体"/>
          <w:sz w:val="20"/>
          <w:szCs w:val="20"/>
        </w:rPr>
      </w:pPr>
      <w:r>
        <w:rPr>
          <w:rFonts w:ascii="宋体" w:hAnsi="宋体" w:eastAsia="宋体" w:cs="宋体"/>
          <w:spacing w:val="6"/>
          <w:sz w:val="20"/>
          <w:szCs w:val="20"/>
        </w:rPr>
        <w:t>承包人在收到发包人提供的图纸后，发现图纸存在差错、遗漏或缺陷的，应及时通知监理人。</w:t>
      </w:r>
      <w:r>
        <w:rPr>
          <w:rFonts w:ascii="宋体" w:hAnsi="宋体" w:eastAsia="宋体" w:cs="宋体"/>
          <w:spacing w:val="10"/>
          <w:sz w:val="20"/>
          <w:szCs w:val="20"/>
        </w:rPr>
        <w:t>监理人接到该通知后，应附具相关意见并立即报送发包人，发包人应在</w:t>
      </w:r>
      <w:r>
        <w:rPr>
          <w:rFonts w:ascii="宋体" w:hAnsi="宋体" w:eastAsia="宋体" w:cs="宋体"/>
          <w:spacing w:val="9"/>
          <w:sz w:val="20"/>
          <w:szCs w:val="20"/>
        </w:rPr>
        <w:t>收到监理人报送的通知后</w:t>
      </w:r>
      <w:r>
        <w:rPr>
          <w:rFonts w:ascii="宋体" w:hAnsi="宋体" w:eastAsia="宋体" w:cs="宋体"/>
          <w:spacing w:val="10"/>
          <w:sz w:val="20"/>
          <w:szCs w:val="20"/>
        </w:rPr>
        <w:t>的合理时间内作出决定。合理时间是指发包人在收到监理人的报送</w:t>
      </w:r>
      <w:r>
        <w:rPr>
          <w:rFonts w:ascii="宋体" w:hAnsi="宋体" w:eastAsia="宋体" w:cs="宋体"/>
          <w:spacing w:val="9"/>
          <w:sz w:val="20"/>
          <w:szCs w:val="20"/>
        </w:rPr>
        <w:t>通知后，尽其努力且不懈怠地</w:t>
      </w:r>
      <w:r>
        <w:rPr>
          <w:rFonts w:ascii="宋体" w:hAnsi="宋体" w:eastAsia="宋体" w:cs="宋体"/>
          <w:spacing w:val="8"/>
          <w:sz w:val="20"/>
          <w:szCs w:val="20"/>
        </w:rPr>
        <w:t>完成图纸修改补充所需的时间。</w:t>
      </w:r>
    </w:p>
    <w:p w14:paraId="571E4C82">
      <w:pPr>
        <w:spacing w:before="1" w:line="227" w:lineRule="auto"/>
        <w:ind w:left="437"/>
        <w:rPr>
          <w:rFonts w:ascii="宋体" w:hAnsi="宋体" w:eastAsia="宋体" w:cs="宋体"/>
          <w:sz w:val="20"/>
          <w:szCs w:val="20"/>
        </w:rPr>
      </w:pPr>
      <w:r>
        <w:rPr>
          <w:rFonts w:ascii="Times New Roman" w:hAnsi="Times New Roman" w:eastAsia="Times New Roman" w:cs="Times New Roman"/>
          <w:spacing w:val="3"/>
          <w:sz w:val="20"/>
          <w:szCs w:val="20"/>
        </w:rPr>
        <w:t>1.6.3</w:t>
      </w:r>
      <w:r>
        <w:rPr>
          <w:rFonts w:ascii="Times New Roman" w:hAnsi="Times New Roman" w:eastAsia="Times New Roman" w:cs="Times New Roman"/>
          <w:spacing w:val="19"/>
          <w:sz w:val="20"/>
          <w:szCs w:val="20"/>
        </w:rPr>
        <w:t xml:space="preserve">  </w:t>
      </w:r>
      <w:r>
        <w:rPr>
          <w:rFonts w:ascii="宋体" w:hAnsi="宋体" w:eastAsia="宋体" w:cs="宋体"/>
          <w:spacing w:val="3"/>
          <w:sz w:val="20"/>
          <w:szCs w:val="20"/>
        </w:rPr>
        <w:t>图纸的修改和补充</w:t>
      </w:r>
    </w:p>
    <w:p w14:paraId="31E61130">
      <w:pPr>
        <w:spacing w:before="151" w:line="228" w:lineRule="auto"/>
        <w:ind w:left="441"/>
        <w:rPr>
          <w:rFonts w:ascii="宋体" w:hAnsi="宋体" w:eastAsia="宋体" w:cs="宋体"/>
          <w:sz w:val="20"/>
          <w:szCs w:val="20"/>
        </w:rPr>
      </w:pPr>
      <w:r>
        <w:rPr>
          <w:rFonts w:ascii="宋体" w:hAnsi="宋体" w:eastAsia="宋体" w:cs="宋体"/>
          <w:spacing w:val="9"/>
          <w:sz w:val="20"/>
          <w:szCs w:val="20"/>
        </w:rPr>
        <w:t>图纸需要修改和补充的，应经图纸原设计人及审批部门同意，并由监理人在工程或工程相应</w:t>
      </w:r>
    </w:p>
    <w:p w14:paraId="36BA84C6">
      <w:pPr>
        <w:spacing w:line="228" w:lineRule="auto"/>
        <w:rPr>
          <w:rFonts w:ascii="宋体" w:hAnsi="宋体" w:eastAsia="宋体" w:cs="宋体"/>
          <w:sz w:val="20"/>
          <w:szCs w:val="20"/>
        </w:rPr>
        <w:sectPr>
          <w:footerReference r:id="rId239" w:type="default"/>
          <w:pgSz w:w="11906" w:h="16839"/>
          <w:pgMar w:top="400" w:right="1483" w:bottom="1038" w:left="1538" w:header="0" w:footer="785" w:gutter="0"/>
          <w:cols w:space="720" w:num="1"/>
        </w:sectPr>
      </w:pPr>
    </w:p>
    <w:p w14:paraId="32A16A68">
      <w:pPr>
        <w:spacing w:line="271" w:lineRule="auto"/>
        <w:rPr>
          <w:rFonts w:ascii="Arial"/>
          <w:sz w:val="21"/>
        </w:rPr>
      </w:pPr>
    </w:p>
    <w:p w14:paraId="2C7B074B">
      <w:pPr>
        <w:spacing w:line="271" w:lineRule="auto"/>
        <w:rPr>
          <w:rFonts w:ascii="Arial"/>
          <w:sz w:val="21"/>
        </w:rPr>
      </w:pPr>
    </w:p>
    <w:p w14:paraId="31B911F5">
      <w:pPr>
        <w:spacing w:line="272" w:lineRule="auto"/>
        <w:rPr>
          <w:rFonts w:ascii="Arial"/>
          <w:sz w:val="21"/>
        </w:rPr>
      </w:pPr>
    </w:p>
    <w:p w14:paraId="1F9C3502">
      <w:pPr>
        <w:spacing w:line="272" w:lineRule="auto"/>
        <w:rPr>
          <w:rFonts w:ascii="Arial"/>
          <w:sz w:val="21"/>
        </w:rPr>
      </w:pPr>
    </w:p>
    <w:p w14:paraId="5D4BEE4A">
      <w:pPr>
        <w:spacing w:before="65" w:line="228" w:lineRule="auto"/>
        <w:ind w:left="2"/>
        <w:rPr>
          <w:rFonts w:ascii="宋体" w:hAnsi="宋体" w:eastAsia="宋体" w:cs="宋体"/>
          <w:sz w:val="20"/>
          <w:szCs w:val="20"/>
        </w:rPr>
      </w:pPr>
      <w:r>
        <w:rPr>
          <w:rFonts w:ascii="宋体" w:hAnsi="宋体" w:eastAsia="宋体" w:cs="宋体"/>
          <w:spacing w:val="9"/>
          <w:sz w:val="20"/>
          <w:szCs w:val="20"/>
        </w:rPr>
        <w:t>部位施工前将修改后的图纸或补充图纸提交给承包人，承包人应按修改或补充后的图纸施工。</w:t>
      </w:r>
    </w:p>
    <w:p w14:paraId="73D445FC">
      <w:pPr>
        <w:spacing w:before="151" w:line="228" w:lineRule="auto"/>
        <w:ind w:left="436"/>
        <w:rPr>
          <w:rFonts w:ascii="宋体" w:hAnsi="宋体" w:eastAsia="宋体" w:cs="宋体"/>
          <w:sz w:val="20"/>
          <w:szCs w:val="20"/>
        </w:rPr>
      </w:pPr>
      <w:r>
        <w:rPr>
          <w:rFonts w:ascii="Times New Roman" w:hAnsi="Times New Roman" w:eastAsia="Times New Roman" w:cs="Times New Roman"/>
          <w:spacing w:val="4"/>
          <w:sz w:val="20"/>
          <w:szCs w:val="20"/>
        </w:rPr>
        <w:t xml:space="preserve">1.6.4  </w:t>
      </w:r>
      <w:r>
        <w:rPr>
          <w:rFonts w:ascii="宋体" w:hAnsi="宋体" w:eastAsia="宋体" w:cs="宋体"/>
          <w:spacing w:val="4"/>
          <w:sz w:val="20"/>
          <w:szCs w:val="20"/>
        </w:rPr>
        <w:t>承包人文件</w:t>
      </w:r>
    </w:p>
    <w:p w14:paraId="02538698">
      <w:pPr>
        <w:spacing w:before="153" w:line="369" w:lineRule="auto"/>
        <w:ind w:firstLine="419"/>
        <w:rPr>
          <w:rFonts w:ascii="宋体" w:hAnsi="宋体" w:eastAsia="宋体" w:cs="宋体"/>
          <w:sz w:val="20"/>
          <w:szCs w:val="20"/>
        </w:rPr>
      </w:pPr>
      <w:r>
        <w:rPr>
          <w:rFonts w:ascii="宋体" w:hAnsi="宋体" w:eastAsia="宋体" w:cs="宋体"/>
          <w:spacing w:val="10"/>
          <w:sz w:val="20"/>
          <w:szCs w:val="20"/>
        </w:rPr>
        <w:t>承包人应按照专用合同条款的约定提供应当由其编制的与工程施工有</w:t>
      </w:r>
      <w:r>
        <w:rPr>
          <w:rFonts w:ascii="宋体" w:hAnsi="宋体" w:eastAsia="宋体" w:cs="宋体"/>
          <w:spacing w:val="9"/>
          <w:sz w:val="20"/>
          <w:szCs w:val="20"/>
        </w:rPr>
        <w:t>关的文件，并按照专用合同条款约定的期限、数量和形式提交监理人，并由监理人报送发包人。</w:t>
      </w:r>
    </w:p>
    <w:p w14:paraId="4F576D71">
      <w:pPr>
        <w:spacing w:before="1" w:line="369" w:lineRule="auto"/>
        <w:ind w:firstLine="432"/>
        <w:jc w:val="both"/>
        <w:rPr>
          <w:rFonts w:ascii="宋体" w:hAnsi="宋体" w:eastAsia="宋体" w:cs="宋体"/>
          <w:sz w:val="20"/>
          <w:szCs w:val="20"/>
        </w:rPr>
      </w:pPr>
      <w:r>
        <w:rPr>
          <w:rFonts w:ascii="宋体" w:hAnsi="宋体" w:eastAsia="宋体" w:cs="宋体"/>
          <w:spacing w:val="9"/>
          <w:sz w:val="20"/>
          <w:szCs w:val="20"/>
        </w:rPr>
        <w:t>除专用合同条款另有约定外，监理人应在收到承包人文件后</w:t>
      </w:r>
      <w:r>
        <w:rPr>
          <w:rFonts w:ascii="宋体" w:hAnsi="宋体" w:eastAsia="宋体" w:cs="宋体"/>
          <w:spacing w:val="-39"/>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天内审查完毕，监理</w:t>
      </w:r>
      <w:r>
        <w:rPr>
          <w:rFonts w:ascii="宋体" w:hAnsi="宋体" w:eastAsia="宋体" w:cs="宋体"/>
          <w:spacing w:val="8"/>
          <w:sz w:val="20"/>
          <w:szCs w:val="20"/>
        </w:rPr>
        <w:t>人对承包</w:t>
      </w:r>
      <w:r>
        <w:rPr>
          <w:rFonts w:ascii="宋体" w:hAnsi="宋体" w:eastAsia="宋体" w:cs="宋体"/>
          <w:spacing w:val="10"/>
          <w:sz w:val="20"/>
          <w:szCs w:val="20"/>
        </w:rPr>
        <w:t>人文件有异议的，承包人应予以修改，并重新报送监理人。监理人的审查</w:t>
      </w:r>
      <w:r>
        <w:rPr>
          <w:rFonts w:ascii="宋体" w:hAnsi="宋体" w:eastAsia="宋体" w:cs="宋体"/>
          <w:spacing w:val="9"/>
          <w:sz w:val="20"/>
          <w:szCs w:val="20"/>
        </w:rPr>
        <w:t>并不减轻或免除承包人</w:t>
      </w:r>
      <w:r>
        <w:rPr>
          <w:rFonts w:ascii="宋体" w:hAnsi="宋体" w:eastAsia="宋体" w:cs="宋体"/>
          <w:spacing w:val="8"/>
          <w:sz w:val="20"/>
          <w:szCs w:val="20"/>
        </w:rPr>
        <w:t>根据合同约定应当承担的责任。</w:t>
      </w:r>
    </w:p>
    <w:p w14:paraId="3354A4B3">
      <w:pPr>
        <w:spacing w:line="227" w:lineRule="auto"/>
        <w:ind w:left="436"/>
        <w:rPr>
          <w:rFonts w:ascii="宋体" w:hAnsi="宋体" w:eastAsia="宋体" w:cs="宋体"/>
          <w:sz w:val="20"/>
          <w:szCs w:val="20"/>
        </w:rPr>
      </w:pPr>
      <w:r>
        <w:rPr>
          <w:rFonts w:ascii="Times New Roman" w:hAnsi="Times New Roman" w:eastAsia="Times New Roman" w:cs="Times New Roman"/>
          <w:spacing w:val="4"/>
          <w:sz w:val="20"/>
          <w:szCs w:val="20"/>
        </w:rPr>
        <w:t>1.6.5</w:t>
      </w:r>
      <w:r>
        <w:rPr>
          <w:rFonts w:ascii="Times New Roman" w:hAnsi="Times New Roman" w:eastAsia="Times New Roman" w:cs="Times New Roman"/>
          <w:spacing w:val="22"/>
          <w:w w:val="101"/>
          <w:sz w:val="20"/>
          <w:szCs w:val="20"/>
        </w:rPr>
        <w:t xml:space="preserve">  </w:t>
      </w:r>
      <w:r>
        <w:rPr>
          <w:rFonts w:ascii="宋体" w:hAnsi="宋体" w:eastAsia="宋体" w:cs="宋体"/>
          <w:spacing w:val="4"/>
          <w:sz w:val="20"/>
          <w:szCs w:val="20"/>
        </w:rPr>
        <w:t>图纸和承包人文件的保管</w:t>
      </w:r>
    </w:p>
    <w:p w14:paraId="59A5852A">
      <w:pPr>
        <w:spacing w:before="154" w:line="358" w:lineRule="auto"/>
        <w:ind w:right="51" w:firstLine="432"/>
        <w:rPr>
          <w:rFonts w:ascii="宋体" w:hAnsi="宋体" w:eastAsia="宋体" w:cs="宋体"/>
          <w:sz w:val="20"/>
          <w:szCs w:val="20"/>
        </w:rPr>
      </w:pPr>
      <w:r>
        <w:rPr>
          <w:rFonts w:ascii="宋体" w:hAnsi="宋体" w:eastAsia="宋体" w:cs="宋体"/>
          <w:spacing w:val="8"/>
          <w:sz w:val="20"/>
          <w:szCs w:val="20"/>
        </w:rPr>
        <w:t>除专用合同条款另有约定外，承包人应在施工现场另外保存一套完整的图纸和承包人文件，</w:t>
      </w:r>
      <w:r>
        <w:rPr>
          <w:rFonts w:ascii="宋体" w:hAnsi="宋体" w:eastAsia="宋体" w:cs="宋体"/>
          <w:spacing w:val="9"/>
          <w:sz w:val="20"/>
          <w:szCs w:val="20"/>
        </w:rPr>
        <w:t>供发包人、监理人及有关人员进行工程检查时使用。</w:t>
      </w:r>
    </w:p>
    <w:p w14:paraId="7215B3DC">
      <w:pPr>
        <w:pStyle w:val="2"/>
        <w:spacing w:before="1" w:line="220" w:lineRule="auto"/>
        <w:ind w:left="7"/>
        <w:rPr>
          <w:sz w:val="24"/>
          <w:szCs w:val="24"/>
        </w:rPr>
      </w:pPr>
      <w:r>
        <w:rPr>
          <w:rFonts w:ascii="Times New Roman" w:hAnsi="Times New Roman" w:eastAsia="Times New Roman" w:cs="Times New Roman"/>
          <w:b/>
          <w:bCs/>
          <w:spacing w:val="-7"/>
          <w:sz w:val="24"/>
          <w:szCs w:val="24"/>
        </w:rPr>
        <w:t>1.7</w:t>
      </w:r>
      <w:r>
        <w:rPr>
          <w:rFonts w:ascii="Times New Roman" w:hAnsi="Times New Roman" w:eastAsia="Times New Roman" w:cs="Times New Roman"/>
          <w:b/>
          <w:bCs/>
          <w:spacing w:val="13"/>
          <w:sz w:val="24"/>
          <w:szCs w:val="24"/>
        </w:rPr>
        <w:t xml:space="preserve"> </w:t>
      </w:r>
      <w:r>
        <w:rPr>
          <w:b/>
          <w:bCs/>
          <w:spacing w:val="-7"/>
          <w:sz w:val="24"/>
          <w:szCs w:val="24"/>
        </w:rPr>
        <w:t>联络</w:t>
      </w:r>
    </w:p>
    <w:p w14:paraId="79B35F69">
      <w:pPr>
        <w:spacing w:before="137" w:line="369" w:lineRule="auto"/>
        <w:ind w:right="2" w:firstLine="435"/>
        <w:rPr>
          <w:rFonts w:ascii="宋体" w:hAnsi="宋体" w:eastAsia="宋体" w:cs="宋体"/>
          <w:sz w:val="20"/>
          <w:szCs w:val="20"/>
        </w:rPr>
      </w:pPr>
      <w:r>
        <w:rPr>
          <w:rFonts w:ascii="Times New Roman" w:hAnsi="Times New Roman" w:eastAsia="Times New Roman" w:cs="Times New Roman"/>
          <w:spacing w:val="6"/>
          <w:sz w:val="20"/>
          <w:szCs w:val="20"/>
        </w:rPr>
        <w:t>1.7.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与合同有关的通知、批准、证明、</w:t>
      </w:r>
      <w:r>
        <w:rPr>
          <w:rFonts w:ascii="宋体" w:hAnsi="宋体" w:eastAsia="宋体" w:cs="宋体"/>
          <w:spacing w:val="5"/>
          <w:sz w:val="20"/>
          <w:szCs w:val="20"/>
        </w:rPr>
        <w:t>证书、指示、指令、要求、请求、同意、意见、确定</w:t>
      </w:r>
      <w:r>
        <w:rPr>
          <w:rFonts w:ascii="宋体" w:hAnsi="宋体" w:eastAsia="宋体" w:cs="宋体"/>
          <w:spacing w:val="9"/>
          <w:sz w:val="20"/>
          <w:szCs w:val="20"/>
        </w:rPr>
        <w:t>和决定等，均应采用书面形式，并应在合同约定的期限内送达接收人和送达地点。</w:t>
      </w:r>
    </w:p>
    <w:p w14:paraId="174CD801">
      <w:pPr>
        <w:spacing w:before="3" w:line="369" w:lineRule="auto"/>
        <w:ind w:left="13" w:right="2" w:firstLine="423"/>
        <w:rPr>
          <w:rFonts w:ascii="宋体" w:hAnsi="宋体" w:eastAsia="宋体" w:cs="宋体"/>
          <w:sz w:val="20"/>
          <w:szCs w:val="20"/>
        </w:rPr>
      </w:pPr>
      <w:r>
        <w:rPr>
          <w:rFonts w:ascii="Times New Roman" w:hAnsi="Times New Roman" w:eastAsia="Times New Roman" w:cs="Times New Roman"/>
          <w:spacing w:val="6"/>
          <w:sz w:val="20"/>
          <w:szCs w:val="20"/>
        </w:rPr>
        <w:t xml:space="preserve">1.7.2  </w:t>
      </w:r>
      <w:r>
        <w:rPr>
          <w:rFonts w:ascii="宋体" w:hAnsi="宋体" w:eastAsia="宋体" w:cs="宋体"/>
          <w:spacing w:val="6"/>
          <w:sz w:val="20"/>
          <w:szCs w:val="20"/>
        </w:rPr>
        <w:t>发包人和承包人应在专用合同条款中约定各自的送达接收人和送达地点。任何一方合同</w:t>
      </w:r>
      <w:r>
        <w:rPr>
          <w:rFonts w:ascii="宋体" w:hAnsi="宋体" w:eastAsia="宋体" w:cs="宋体"/>
          <w:spacing w:val="8"/>
          <w:sz w:val="20"/>
          <w:szCs w:val="20"/>
        </w:rPr>
        <w:t>当事人指定的接收人或送达地点发生变动的，应提前</w:t>
      </w:r>
      <w:r>
        <w:rPr>
          <w:rFonts w:ascii="宋体" w:hAnsi="宋体" w:eastAsia="宋体" w:cs="宋体"/>
          <w:spacing w:val="-31"/>
          <w:sz w:val="20"/>
          <w:szCs w:val="20"/>
        </w:rPr>
        <w:t xml:space="preserve"> </w:t>
      </w:r>
      <w:r>
        <w:rPr>
          <w:rFonts w:ascii="Times New Roman" w:hAnsi="Times New Roman" w:eastAsia="Times New Roman" w:cs="Times New Roman"/>
          <w:spacing w:val="8"/>
          <w:sz w:val="20"/>
          <w:szCs w:val="20"/>
        </w:rPr>
        <w:t>3</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天以书面形式通知对方。</w:t>
      </w:r>
    </w:p>
    <w:p w14:paraId="057D26CF">
      <w:pPr>
        <w:spacing w:before="1" w:line="356" w:lineRule="auto"/>
        <w:ind w:left="7" w:firstLine="428"/>
        <w:rPr>
          <w:rFonts w:ascii="宋体" w:hAnsi="宋体" w:eastAsia="宋体" w:cs="宋体"/>
          <w:sz w:val="20"/>
          <w:szCs w:val="20"/>
        </w:rPr>
      </w:pPr>
      <w:r>
        <w:rPr>
          <w:rFonts w:ascii="Times New Roman" w:hAnsi="Times New Roman" w:eastAsia="Times New Roman" w:cs="Times New Roman"/>
          <w:spacing w:val="6"/>
          <w:sz w:val="20"/>
          <w:szCs w:val="20"/>
        </w:rPr>
        <w:t xml:space="preserve">1.7.3  </w:t>
      </w:r>
      <w:r>
        <w:rPr>
          <w:rFonts w:ascii="宋体" w:hAnsi="宋体" w:eastAsia="宋体" w:cs="宋体"/>
          <w:spacing w:val="6"/>
          <w:sz w:val="20"/>
          <w:szCs w:val="20"/>
        </w:rPr>
        <w:t>发包人和承包人应当及时签收另一方送达至送达地点和指定接收人的来往信函。拒不签</w:t>
      </w:r>
      <w:r>
        <w:rPr>
          <w:rFonts w:ascii="宋体" w:hAnsi="宋体" w:eastAsia="宋体" w:cs="宋体"/>
          <w:spacing w:val="9"/>
          <w:sz w:val="20"/>
          <w:szCs w:val="20"/>
        </w:rPr>
        <w:t>收的，由此增加的费用和（或）延误的工期由拒绝接收一方承担。</w:t>
      </w:r>
    </w:p>
    <w:p w14:paraId="75F2D112">
      <w:pPr>
        <w:pStyle w:val="2"/>
        <w:spacing w:before="1" w:line="221" w:lineRule="auto"/>
        <w:ind w:left="7"/>
        <w:rPr>
          <w:sz w:val="24"/>
          <w:szCs w:val="24"/>
        </w:rPr>
      </w:pPr>
      <w:r>
        <w:rPr>
          <w:rFonts w:ascii="Times New Roman" w:hAnsi="Times New Roman" w:eastAsia="Times New Roman" w:cs="Times New Roman"/>
          <w:b/>
          <w:bCs/>
          <w:spacing w:val="-3"/>
          <w:sz w:val="24"/>
          <w:szCs w:val="24"/>
        </w:rPr>
        <w:t xml:space="preserve">1.8 </w:t>
      </w:r>
      <w:r>
        <w:rPr>
          <w:b/>
          <w:bCs/>
          <w:spacing w:val="-3"/>
          <w:sz w:val="24"/>
          <w:szCs w:val="24"/>
        </w:rPr>
        <w:t>严禁贿赂</w:t>
      </w:r>
    </w:p>
    <w:p w14:paraId="040CBCF9">
      <w:pPr>
        <w:spacing w:before="139" w:line="369" w:lineRule="auto"/>
        <w:ind w:left="1" w:firstLine="419"/>
        <w:rPr>
          <w:rFonts w:ascii="宋体" w:hAnsi="宋体" w:eastAsia="宋体" w:cs="宋体"/>
          <w:sz w:val="20"/>
          <w:szCs w:val="20"/>
        </w:rPr>
      </w:pPr>
      <w:r>
        <w:rPr>
          <w:rFonts w:ascii="宋体" w:hAnsi="宋体" w:eastAsia="宋体" w:cs="宋体"/>
          <w:spacing w:val="10"/>
          <w:sz w:val="20"/>
          <w:szCs w:val="20"/>
        </w:rPr>
        <w:t>合同当事人不得以贿赂或变相贿赂的方式，谋取非法利益或损害对</w:t>
      </w:r>
      <w:r>
        <w:rPr>
          <w:rFonts w:ascii="宋体" w:hAnsi="宋体" w:eastAsia="宋体" w:cs="宋体"/>
          <w:spacing w:val="9"/>
          <w:sz w:val="20"/>
          <w:szCs w:val="20"/>
        </w:rPr>
        <w:t>方权益。因一方合同当事人的贿赂造成对方损失的，应赔偿损失，并承担相应的法律责任。</w:t>
      </w:r>
    </w:p>
    <w:p w14:paraId="70B79177">
      <w:pPr>
        <w:spacing w:line="361" w:lineRule="auto"/>
        <w:ind w:firstLine="420"/>
        <w:jc w:val="both"/>
        <w:rPr>
          <w:rFonts w:ascii="宋体" w:hAnsi="宋体" w:eastAsia="宋体" w:cs="宋体"/>
          <w:sz w:val="20"/>
          <w:szCs w:val="20"/>
        </w:rPr>
      </w:pPr>
      <w:r>
        <w:rPr>
          <w:rFonts w:ascii="宋体" w:hAnsi="宋体" w:eastAsia="宋体" w:cs="宋体"/>
          <w:spacing w:val="10"/>
          <w:sz w:val="20"/>
          <w:szCs w:val="20"/>
        </w:rPr>
        <w:t>承包人不得与监理人或发包人聘请的第三方串通损害发包人利益。未</w:t>
      </w:r>
      <w:r>
        <w:rPr>
          <w:rFonts w:ascii="宋体" w:hAnsi="宋体" w:eastAsia="宋体" w:cs="宋体"/>
          <w:spacing w:val="9"/>
          <w:sz w:val="20"/>
          <w:szCs w:val="20"/>
        </w:rPr>
        <w:t>经发包人书面同意，承</w:t>
      </w:r>
      <w:r>
        <w:rPr>
          <w:rFonts w:ascii="宋体" w:hAnsi="宋体" w:eastAsia="宋体" w:cs="宋体"/>
          <w:spacing w:val="10"/>
          <w:sz w:val="20"/>
          <w:szCs w:val="20"/>
        </w:rPr>
        <w:t>包人不得为监理人提供合同约定以外的通讯设备、交通工具及其他任何形</w:t>
      </w:r>
      <w:r>
        <w:rPr>
          <w:rFonts w:ascii="宋体" w:hAnsi="宋体" w:eastAsia="宋体" w:cs="宋体"/>
          <w:spacing w:val="9"/>
          <w:sz w:val="20"/>
          <w:szCs w:val="20"/>
        </w:rPr>
        <w:t>式的利益，不得向监理</w:t>
      </w:r>
      <w:r>
        <w:rPr>
          <w:rFonts w:ascii="宋体" w:hAnsi="宋体" w:eastAsia="宋体" w:cs="宋体"/>
          <w:spacing w:val="6"/>
          <w:sz w:val="20"/>
          <w:szCs w:val="20"/>
        </w:rPr>
        <w:t>人支付报酬。</w:t>
      </w:r>
    </w:p>
    <w:p w14:paraId="170254E0">
      <w:pPr>
        <w:pStyle w:val="2"/>
        <w:spacing w:line="221" w:lineRule="auto"/>
        <w:ind w:left="7"/>
        <w:rPr>
          <w:sz w:val="24"/>
          <w:szCs w:val="24"/>
        </w:rPr>
      </w:pPr>
      <w:r>
        <w:rPr>
          <w:rFonts w:ascii="Times New Roman" w:hAnsi="Times New Roman" w:eastAsia="Times New Roman" w:cs="Times New Roman"/>
          <w:b/>
          <w:bCs/>
          <w:spacing w:val="-3"/>
          <w:sz w:val="24"/>
          <w:szCs w:val="24"/>
        </w:rPr>
        <w:t xml:space="preserve">1.9 </w:t>
      </w:r>
      <w:r>
        <w:rPr>
          <w:b/>
          <w:bCs/>
          <w:spacing w:val="-3"/>
          <w:sz w:val="24"/>
          <w:szCs w:val="24"/>
        </w:rPr>
        <w:t>化石、文物</w:t>
      </w:r>
    </w:p>
    <w:p w14:paraId="12FE4160">
      <w:pPr>
        <w:spacing w:before="141" w:line="369" w:lineRule="auto"/>
        <w:ind w:firstLine="419"/>
        <w:jc w:val="both"/>
        <w:rPr>
          <w:rFonts w:ascii="宋体" w:hAnsi="宋体" w:eastAsia="宋体" w:cs="宋体"/>
          <w:sz w:val="20"/>
          <w:szCs w:val="20"/>
        </w:rPr>
      </w:pPr>
      <w:r>
        <w:rPr>
          <w:rFonts w:ascii="宋体" w:hAnsi="宋体" w:eastAsia="宋体" w:cs="宋体"/>
          <w:spacing w:val="10"/>
          <w:sz w:val="20"/>
          <w:szCs w:val="20"/>
        </w:rPr>
        <w:t>在施工现场发掘的所有文物、古迹以及具有地质研究或考古价值的其他</w:t>
      </w:r>
      <w:r>
        <w:rPr>
          <w:rFonts w:ascii="宋体" w:hAnsi="宋体" w:eastAsia="宋体" w:cs="宋体"/>
          <w:spacing w:val="9"/>
          <w:sz w:val="20"/>
          <w:szCs w:val="20"/>
        </w:rPr>
        <w:t>遗迹、化石、钱币或</w:t>
      </w:r>
      <w:r>
        <w:rPr>
          <w:rFonts w:ascii="宋体" w:hAnsi="宋体" w:eastAsia="宋体" w:cs="宋体"/>
          <w:spacing w:val="10"/>
          <w:sz w:val="20"/>
          <w:szCs w:val="20"/>
        </w:rPr>
        <w:t>物品属于国家所有。一旦发现上述文物，承包人应采取合理有效的保护措</w:t>
      </w:r>
      <w:r>
        <w:rPr>
          <w:rFonts w:ascii="宋体" w:hAnsi="宋体" w:eastAsia="宋体" w:cs="宋体"/>
          <w:spacing w:val="9"/>
          <w:sz w:val="20"/>
          <w:szCs w:val="20"/>
        </w:rPr>
        <w:t>施，防止任何人员移动或损坏上述物品，并立即报告有关政府行政管理部门，同时通知监理人。</w:t>
      </w:r>
    </w:p>
    <w:p w14:paraId="0A82347E">
      <w:pPr>
        <w:spacing w:before="1" w:line="368" w:lineRule="auto"/>
        <w:ind w:left="11" w:firstLine="411"/>
        <w:rPr>
          <w:rFonts w:ascii="宋体" w:hAnsi="宋体" w:eastAsia="宋体" w:cs="宋体"/>
          <w:sz w:val="20"/>
          <w:szCs w:val="20"/>
        </w:rPr>
      </w:pPr>
      <w:r>
        <w:rPr>
          <w:rFonts w:ascii="宋体" w:hAnsi="宋体" w:eastAsia="宋体" w:cs="宋体"/>
          <w:spacing w:val="9"/>
          <w:sz w:val="20"/>
          <w:szCs w:val="20"/>
        </w:rPr>
        <w:t>发包人、监理人和承包人应按有关政府行政管理部门要求</w:t>
      </w:r>
      <w:r>
        <w:rPr>
          <w:rFonts w:ascii="宋体" w:hAnsi="宋体" w:eastAsia="宋体" w:cs="宋体"/>
          <w:spacing w:val="8"/>
          <w:sz w:val="20"/>
          <w:szCs w:val="20"/>
        </w:rPr>
        <w:t>采取妥善的保护措施，</w:t>
      </w:r>
      <w:r>
        <w:rPr>
          <w:rFonts w:ascii="宋体" w:hAnsi="宋体" w:eastAsia="宋体" w:cs="宋体"/>
          <w:spacing w:val="-58"/>
          <w:sz w:val="20"/>
          <w:szCs w:val="20"/>
        </w:rPr>
        <w:t xml:space="preserve"> </w:t>
      </w:r>
      <w:r>
        <w:rPr>
          <w:rFonts w:ascii="宋体" w:hAnsi="宋体" w:eastAsia="宋体" w:cs="宋体"/>
          <w:spacing w:val="8"/>
          <w:sz w:val="20"/>
          <w:szCs w:val="20"/>
        </w:rPr>
        <w:t>由此增加的费用和（或）延误的工期由发包人承担。</w:t>
      </w:r>
    </w:p>
    <w:p w14:paraId="3B4E69F3">
      <w:pPr>
        <w:spacing w:before="2" w:line="357" w:lineRule="auto"/>
        <w:ind w:firstLine="420"/>
        <w:rPr>
          <w:rFonts w:ascii="宋体" w:hAnsi="宋体" w:eastAsia="宋体" w:cs="宋体"/>
          <w:sz w:val="20"/>
          <w:szCs w:val="20"/>
        </w:rPr>
      </w:pPr>
      <w:r>
        <w:rPr>
          <w:rFonts w:ascii="宋体" w:hAnsi="宋体" w:eastAsia="宋体" w:cs="宋体"/>
          <w:spacing w:val="10"/>
          <w:sz w:val="20"/>
          <w:szCs w:val="20"/>
        </w:rPr>
        <w:t>承包人发现文物后不及时报告或隐瞒不报，致使文物丢失或损坏的，</w:t>
      </w:r>
      <w:r>
        <w:rPr>
          <w:rFonts w:ascii="宋体" w:hAnsi="宋体" w:eastAsia="宋体" w:cs="宋体"/>
          <w:spacing w:val="9"/>
          <w:sz w:val="20"/>
          <w:szCs w:val="20"/>
        </w:rPr>
        <w:t>应赔偿损失，并承担相</w:t>
      </w:r>
      <w:r>
        <w:rPr>
          <w:rFonts w:ascii="宋体" w:hAnsi="宋体" w:eastAsia="宋体" w:cs="宋体"/>
          <w:spacing w:val="7"/>
          <w:sz w:val="20"/>
          <w:szCs w:val="20"/>
        </w:rPr>
        <w:t>应的法律责任。</w:t>
      </w:r>
    </w:p>
    <w:p w14:paraId="4C3C0D34">
      <w:pPr>
        <w:pStyle w:val="2"/>
        <w:spacing w:before="1" w:line="221" w:lineRule="auto"/>
        <w:ind w:left="7"/>
        <w:rPr>
          <w:sz w:val="24"/>
          <w:szCs w:val="24"/>
        </w:rPr>
      </w:pPr>
      <w:r>
        <w:rPr>
          <w:rFonts w:ascii="Times New Roman" w:hAnsi="Times New Roman" w:eastAsia="Times New Roman" w:cs="Times New Roman"/>
          <w:b/>
          <w:bCs/>
          <w:spacing w:val="-5"/>
          <w:sz w:val="24"/>
          <w:szCs w:val="24"/>
        </w:rPr>
        <w:t>1.10</w:t>
      </w:r>
      <w:r>
        <w:rPr>
          <w:rFonts w:ascii="Times New Roman" w:hAnsi="Times New Roman" w:eastAsia="Times New Roman" w:cs="Times New Roman"/>
          <w:b/>
          <w:bCs/>
          <w:spacing w:val="15"/>
          <w:sz w:val="24"/>
          <w:szCs w:val="24"/>
        </w:rPr>
        <w:t xml:space="preserve"> </w:t>
      </w:r>
      <w:r>
        <w:rPr>
          <w:b/>
          <w:bCs/>
          <w:spacing w:val="-5"/>
          <w:sz w:val="24"/>
          <w:szCs w:val="24"/>
        </w:rPr>
        <w:t>交通运输</w:t>
      </w:r>
    </w:p>
    <w:p w14:paraId="4F3EE9FB">
      <w:pPr>
        <w:spacing w:before="136" w:line="228" w:lineRule="auto"/>
        <w:ind w:left="436"/>
        <w:rPr>
          <w:rFonts w:ascii="宋体" w:hAnsi="宋体" w:eastAsia="宋体" w:cs="宋体"/>
          <w:sz w:val="20"/>
          <w:szCs w:val="20"/>
        </w:rPr>
      </w:pPr>
      <w:r>
        <w:rPr>
          <w:rFonts w:ascii="Times New Roman" w:hAnsi="Times New Roman" w:eastAsia="Times New Roman" w:cs="Times New Roman"/>
          <w:spacing w:val="3"/>
          <w:sz w:val="20"/>
          <w:szCs w:val="20"/>
        </w:rPr>
        <w:t>1.10.1</w:t>
      </w:r>
      <w:r>
        <w:rPr>
          <w:rFonts w:ascii="Times New Roman" w:hAnsi="Times New Roman" w:eastAsia="Times New Roman" w:cs="Times New Roman"/>
          <w:spacing w:val="16"/>
          <w:w w:val="101"/>
          <w:sz w:val="20"/>
          <w:szCs w:val="20"/>
        </w:rPr>
        <w:t xml:space="preserve">  </w:t>
      </w:r>
      <w:r>
        <w:rPr>
          <w:rFonts w:ascii="宋体" w:hAnsi="宋体" w:eastAsia="宋体" w:cs="宋体"/>
          <w:spacing w:val="3"/>
          <w:sz w:val="20"/>
          <w:szCs w:val="20"/>
        </w:rPr>
        <w:t>出入现场的权利</w:t>
      </w:r>
    </w:p>
    <w:p w14:paraId="1714E311">
      <w:pPr>
        <w:spacing w:before="155" w:line="369" w:lineRule="auto"/>
        <w:ind w:left="2" w:firstLine="429"/>
        <w:rPr>
          <w:rFonts w:ascii="宋体" w:hAnsi="宋体" w:eastAsia="宋体" w:cs="宋体"/>
          <w:sz w:val="20"/>
          <w:szCs w:val="20"/>
        </w:rPr>
      </w:pPr>
      <w:r>
        <w:rPr>
          <w:rFonts w:ascii="宋体" w:hAnsi="宋体" w:eastAsia="宋体" w:cs="宋体"/>
          <w:spacing w:val="9"/>
          <w:sz w:val="20"/>
          <w:szCs w:val="20"/>
        </w:rPr>
        <w:t>除专用合同条款另有约定外，发包人应根据施工需要，负责取得出入施工现场所需的批准手续和全部权利，</w:t>
      </w:r>
      <w:r>
        <w:rPr>
          <w:rFonts w:ascii="宋体" w:hAnsi="宋体" w:eastAsia="宋体" w:cs="宋体"/>
          <w:spacing w:val="-59"/>
          <w:sz w:val="20"/>
          <w:szCs w:val="20"/>
        </w:rPr>
        <w:t xml:space="preserve"> </w:t>
      </w:r>
      <w:r>
        <w:rPr>
          <w:rFonts w:ascii="宋体" w:hAnsi="宋体" w:eastAsia="宋体" w:cs="宋体"/>
          <w:spacing w:val="9"/>
          <w:sz w:val="20"/>
          <w:szCs w:val="20"/>
        </w:rPr>
        <w:t>以及取得因施工所需修建道路、桥梁以及其他基础设施</w:t>
      </w:r>
      <w:r>
        <w:rPr>
          <w:rFonts w:ascii="宋体" w:hAnsi="宋体" w:eastAsia="宋体" w:cs="宋体"/>
          <w:spacing w:val="8"/>
          <w:sz w:val="20"/>
          <w:szCs w:val="20"/>
        </w:rPr>
        <w:t>的权利，并承担相关手续</w:t>
      </w:r>
    </w:p>
    <w:p w14:paraId="040D81E2">
      <w:pPr>
        <w:spacing w:line="369" w:lineRule="auto"/>
        <w:rPr>
          <w:rFonts w:ascii="宋体" w:hAnsi="宋体" w:eastAsia="宋体" w:cs="宋体"/>
          <w:sz w:val="20"/>
          <w:szCs w:val="20"/>
        </w:rPr>
        <w:sectPr>
          <w:footerReference r:id="rId240" w:type="default"/>
          <w:pgSz w:w="11906" w:h="16839"/>
          <w:pgMar w:top="400" w:right="1554" w:bottom="1038" w:left="1539" w:header="0" w:footer="787" w:gutter="0"/>
          <w:cols w:space="720" w:num="1"/>
        </w:sectPr>
      </w:pPr>
    </w:p>
    <w:p w14:paraId="73BA7FAB">
      <w:pPr>
        <w:spacing w:line="271" w:lineRule="auto"/>
        <w:rPr>
          <w:rFonts w:ascii="Arial"/>
          <w:sz w:val="21"/>
        </w:rPr>
      </w:pPr>
    </w:p>
    <w:p w14:paraId="2D08F445">
      <w:pPr>
        <w:spacing w:line="271" w:lineRule="auto"/>
        <w:rPr>
          <w:rFonts w:ascii="Arial"/>
          <w:sz w:val="21"/>
        </w:rPr>
      </w:pPr>
    </w:p>
    <w:p w14:paraId="3D707328">
      <w:pPr>
        <w:spacing w:line="272" w:lineRule="auto"/>
        <w:rPr>
          <w:rFonts w:ascii="Arial"/>
          <w:sz w:val="21"/>
        </w:rPr>
      </w:pPr>
    </w:p>
    <w:p w14:paraId="48B292B6">
      <w:pPr>
        <w:spacing w:line="272" w:lineRule="auto"/>
        <w:rPr>
          <w:rFonts w:ascii="Arial"/>
          <w:sz w:val="21"/>
        </w:rPr>
      </w:pPr>
    </w:p>
    <w:p w14:paraId="3A70DF68">
      <w:pPr>
        <w:spacing w:before="65" w:line="228" w:lineRule="auto"/>
        <w:ind w:left="13"/>
        <w:rPr>
          <w:rFonts w:ascii="宋体" w:hAnsi="宋体" w:eastAsia="宋体" w:cs="宋体"/>
          <w:sz w:val="20"/>
          <w:szCs w:val="20"/>
        </w:rPr>
      </w:pPr>
      <w:r>
        <w:rPr>
          <w:rFonts w:ascii="宋体" w:hAnsi="宋体" w:eastAsia="宋体" w:cs="宋体"/>
          <w:spacing w:val="9"/>
          <w:sz w:val="20"/>
          <w:szCs w:val="20"/>
        </w:rPr>
        <w:t>费用和建设费用。承包人应协助发包人办理修建场内外道路、桥梁以及其他基础设施的手续。</w:t>
      </w:r>
    </w:p>
    <w:p w14:paraId="3EC7F4AF">
      <w:pPr>
        <w:spacing w:before="152" w:line="369" w:lineRule="auto"/>
        <w:ind w:firstLine="421"/>
        <w:jc w:val="both"/>
        <w:rPr>
          <w:rFonts w:ascii="宋体" w:hAnsi="宋体" w:eastAsia="宋体" w:cs="宋体"/>
          <w:sz w:val="20"/>
          <w:szCs w:val="20"/>
        </w:rPr>
      </w:pPr>
      <w:r>
        <w:rPr>
          <w:rFonts w:ascii="宋体" w:hAnsi="宋体" w:eastAsia="宋体" w:cs="宋体"/>
          <w:spacing w:val="10"/>
          <w:sz w:val="20"/>
          <w:szCs w:val="20"/>
        </w:rPr>
        <w:t>承包人应在订立合同前查勘施工现场，并根据工程规模及技术参数合</w:t>
      </w:r>
      <w:r>
        <w:rPr>
          <w:rFonts w:ascii="宋体" w:hAnsi="宋体" w:eastAsia="宋体" w:cs="宋体"/>
          <w:spacing w:val="9"/>
          <w:sz w:val="20"/>
          <w:szCs w:val="20"/>
        </w:rPr>
        <w:t>理预见工程施工所需的</w:t>
      </w:r>
      <w:r>
        <w:rPr>
          <w:rFonts w:ascii="宋体" w:hAnsi="宋体" w:eastAsia="宋体" w:cs="宋体"/>
          <w:spacing w:val="10"/>
          <w:sz w:val="20"/>
          <w:szCs w:val="20"/>
        </w:rPr>
        <w:t>进出施工现场的方式、手段、路径等。因承包人未合理预见所增加的费用和（</w:t>
      </w:r>
      <w:r>
        <w:rPr>
          <w:rFonts w:ascii="宋体" w:hAnsi="宋体" w:eastAsia="宋体" w:cs="宋体"/>
          <w:spacing w:val="9"/>
          <w:sz w:val="20"/>
          <w:szCs w:val="20"/>
        </w:rPr>
        <w:t>或）延误的工期由</w:t>
      </w:r>
      <w:r>
        <w:rPr>
          <w:rFonts w:ascii="宋体" w:hAnsi="宋体" w:eastAsia="宋体" w:cs="宋体"/>
          <w:spacing w:val="7"/>
          <w:sz w:val="20"/>
          <w:szCs w:val="20"/>
        </w:rPr>
        <w:t>承包人承担。</w:t>
      </w:r>
    </w:p>
    <w:p w14:paraId="25401272">
      <w:pPr>
        <w:spacing w:line="228"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1.10.2  </w:t>
      </w:r>
      <w:r>
        <w:rPr>
          <w:rFonts w:ascii="宋体" w:hAnsi="宋体" w:eastAsia="宋体" w:cs="宋体"/>
          <w:spacing w:val="3"/>
          <w:sz w:val="20"/>
          <w:szCs w:val="20"/>
        </w:rPr>
        <w:t>场外交通</w:t>
      </w:r>
    </w:p>
    <w:p w14:paraId="780F82CA">
      <w:pPr>
        <w:spacing w:before="154" w:line="369" w:lineRule="auto"/>
        <w:ind w:firstLine="424"/>
        <w:rPr>
          <w:rFonts w:ascii="宋体" w:hAnsi="宋体" w:eastAsia="宋体" w:cs="宋体"/>
          <w:sz w:val="20"/>
          <w:szCs w:val="20"/>
        </w:rPr>
      </w:pPr>
      <w:r>
        <w:rPr>
          <w:rFonts w:ascii="宋体" w:hAnsi="宋体" w:eastAsia="宋体" w:cs="宋体"/>
          <w:spacing w:val="10"/>
          <w:sz w:val="20"/>
          <w:szCs w:val="20"/>
        </w:rPr>
        <w:t>发包人应提供场外交通设施的技术参数和具体条件，承包人应</w:t>
      </w:r>
      <w:r>
        <w:rPr>
          <w:rFonts w:ascii="宋体" w:hAnsi="宋体" w:eastAsia="宋体" w:cs="宋体"/>
          <w:spacing w:val="9"/>
          <w:sz w:val="20"/>
          <w:szCs w:val="20"/>
        </w:rPr>
        <w:t>遵守有关交通法规，严格按照</w:t>
      </w:r>
      <w:r>
        <w:rPr>
          <w:rFonts w:ascii="宋体" w:hAnsi="宋体" w:eastAsia="宋体" w:cs="宋体"/>
          <w:spacing w:val="10"/>
          <w:sz w:val="20"/>
          <w:szCs w:val="20"/>
        </w:rPr>
        <w:t>道路和桥梁的限制荷载行驶，执行有关道路限速、限行、禁止超载的规定，</w:t>
      </w:r>
      <w:r>
        <w:rPr>
          <w:rFonts w:ascii="宋体" w:hAnsi="宋体" w:eastAsia="宋体" w:cs="宋体"/>
          <w:spacing w:val="9"/>
          <w:sz w:val="20"/>
          <w:szCs w:val="20"/>
        </w:rPr>
        <w:t>并配合交通管理部门</w:t>
      </w:r>
      <w:r>
        <w:rPr>
          <w:rFonts w:ascii="宋体" w:hAnsi="宋体" w:eastAsia="宋体" w:cs="宋体"/>
          <w:spacing w:val="10"/>
          <w:sz w:val="20"/>
          <w:szCs w:val="20"/>
        </w:rPr>
        <w:t>的监督和检查。场外交通设施无法满足工程施</w:t>
      </w:r>
      <w:r>
        <w:rPr>
          <w:rFonts w:ascii="宋体" w:hAnsi="宋体" w:eastAsia="宋体" w:cs="宋体"/>
          <w:spacing w:val="9"/>
          <w:sz w:val="20"/>
          <w:szCs w:val="20"/>
        </w:rPr>
        <w:t>工需要的，由发包人负责完善并承担相关费用。</w:t>
      </w:r>
    </w:p>
    <w:p w14:paraId="104370A1">
      <w:pPr>
        <w:spacing w:line="227"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1.10.3 </w:t>
      </w:r>
      <w:r>
        <w:rPr>
          <w:rFonts w:ascii="宋体" w:hAnsi="宋体" w:eastAsia="宋体" w:cs="宋体"/>
          <w:spacing w:val="3"/>
          <w:sz w:val="20"/>
          <w:szCs w:val="20"/>
        </w:rPr>
        <w:t>场内交通</w:t>
      </w:r>
    </w:p>
    <w:p w14:paraId="3FCAF4C7">
      <w:pPr>
        <w:spacing w:before="155" w:line="369" w:lineRule="auto"/>
        <w:ind w:left="6" w:firstLine="418"/>
        <w:rPr>
          <w:rFonts w:ascii="宋体" w:hAnsi="宋体" w:eastAsia="宋体" w:cs="宋体"/>
          <w:sz w:val="20"/>
          <w:szCs w:val="20"/>
        </w:rPr>
      </w:pPr>
      <w:r>
        <w:rPr>
          <w:rFonts w:ascii="宋体" w:hAnsi="宋体" w:eastAsia="宋体" w:cs="宋体"/>
          <w:spacing w:val="10"/>
          <w:sz w:val="20"/>
          <w:szCs w:val="20"/>
        </w:rPr>
        <w:t>发包人应提供场内交通设施的技术参数和具体条件，并应按照</w:t>
      </w:r>
      <w:r>
        <w:rPr>
          <w:rFonts w:ascii="宋体" w:hAnsi="宋体" w:eastAsia="宋体" w:cs="宋体"/>
          <w:spacing w:val="9"/>
          <w:sz w:val="20"/>
          <w:szCs w:val="20"/>
        </w:rPr>
        <w:t>专用合同条款的约定向承包人</w:t>
      </w:r>
      <w:r>
        <w:rPr>
          <w:rFonts w:ascii="宋体" w:hAnsi="宋体" w:eastAsia="宋体" w:cs="宋体"/>
          <w:spacing w:val="10"/>
          <w:sz w:val="20"/>
          <w:szCs w:val="20"/>
        </w:rPr>
        <w:t>免费提供满足工程施工所需的场内道路和交通设施。因承包人</w:t>
      </w:r>
      <w:r>
        <w:rPr>
          <w:rFonts w:ascii="宋体" w:hAnsi="宋体" w:eastAsia="宋体" w:cs="宋体"/>
          <w:spacing w:val="9"/>
          <w:sz w:val="20"/>
          <w:szCs w:val="20"/>
        </w:rPr>
        <w:t>原因造成上述道路或交通设施损坏</w:t>
      </w:r>
      <w:r>
        <w:rPr>
          <w:rFonts w:ascii="宋体" w:hAnsi="宋体" w:eastAsia="宋体" w:cs="宋体"/>
          <w:spacing w:val="8"/>
          <w:sz w:val="20"/>
          <w:szCs w:val="20"/>
        </w:rPr>
        <w:t>的，承包人负责修复并承担由此增加的费用。</w:t>
      </w:r>
    </w:p>
    <w:p w14:paraId="2ACFB8CA">
      <w:pPr>
        <w:spacing w:before="1" w:line="369" w:lineRule="auto"/>
        <w:ind w:firstLine="433"/>
        <w:jc w:val="both"/>
        <w:rPr>
          <w:rFonts w:ascii="宋体" w:hAnsi="宋体" w:eastAsia="宋体" w:cs="宋体"/>
          <w:sz w:val="20"/>
          <w:szCs w:val="20"/>
        </w:rPr>
      </w:pPr>
      <w:r>
        <w:rPr>
          <w:rFonts w:ascii="宋体" w:hAnsi="宋体" w:eastAsia="宋体" w:cs="宋体"/>
          <w:spacing w:val="9"/>
          <w:sz w:val="20"/>
          <w:szCs w:val="20"/>
        </w:rPr>
        <w:t>除发包人按照合同约定提供的场内道路和交通设施外，承包人负责修建、维修、养护和管理</w:t>
      </w:r>
      <w:r>
        <w:rPr>
          <w:rFonts w:ascii="宋体" w:hAnsi="宋体" w:eastAsia="宋体" w:cs="宋体"/>
          <w:spacing w:val="10"/>
          <w:sz w:val="20"/>
          <w:szCs w:val="20"/>
        </w:rPr>
        <w:t>施工所需的其他场内临时道路和交通设施。发包人和监理人可以为实现合同</w:t>
      </w:r>
      <w:r>
        <w:rPr>
          <w:rFonts w:ascii="宋体" w:hAnsi="宋体" w:eastAsia="宋体" w:cs="宋体"/>
          <w:spacing w:val="9"/>
          <w:sz w:val="20"/>
          <w:szCs w:val="20"/>
        </w:rPr>
        <w:t>目的使用承包人修建</w:t>
      </w:r>
      <w:r>
        <w:rPr>
          <w:rFonts w:ascii="宋体" w:hAnsi="宋体" w:eastAsia="宋体" w:cs="宋体"/>
          <w:spacing w:val="8"/>
          <w:sz w:val="20"/>
          <w:szCs w:val="20"/>
        </w:rPr>
        <w:t>的场内临时道路和交通设施。</w:t>
      </w:r>
    </w:p>
    <w:p w14:paraId="40279644">
      <w:pPr>
        <w:spacing w:before="1" w:line="227" w:lineRule="auto"/>
        <w:ind w:left="420"/>
        <w:rPr>
          <w:rFonts w:ascii="宋体" w:hAnsi="宋体" w:eastAsia="宋体" w:cs="宋体"/>
          <w:sz w:val="20"/>
          <w:szCs w:val="20"/>
        </w:rPr>
      </w:pPr>
      <w:r>
        <w:rPr>
          <w:rFonts w:ascii="宋体" w:hAnsi="宋体" w:eastAsia="宋体" w:cs="宋体"/>
          <w:spacing w:val="9"/>
          <w:sz w:val="20"/>
          <w:szCs w:val="20"/>
        </w:rPr>
        <w:t>场外交通和场内交通的边界由合同当事人在专用合同条款中约定。</w:t>
      </w:r>
    </w:p>
    <w:p w14:paraId="2C059C1A">
      <w:pPr>
        <w:spacing w:before="151" w:line="228"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1.10.4  </w:t>
      </w:r>
      <w:r>
        <w:rPr>
          <w:rFonts w:ascii="宋体" w:hAnsi="宋体" w:eastAsia="宋体" w:cs="宋体"/>
          <w:spacing w:val="5"/>
          <w:sz w:val="20"/>
          <w:szCs w:val="20"/>
        </w:rPr>
        <w:t>超大件和超重件的运输</w:t>
      </w:r>
    </w:p>
    <w:p w14:paraId="51813DAA">
      <w:pPr>
        <w:spacing w:before="155" w:line="369" w:lineRule="auto"/>
        <w:ind w:left="3" w:firstLine="443"/>
        <w:rPr>
          <w:rFonts w:ascii="宋体" w:hAnsi="宋体" w:eastAsia="宋体" w:cs="宋体"/>
          <w:sz w:val="20"/>
          <w:szCs w:val="20"/>
        </w:rPr>
      </w:pPr>
      <w:r>
        <w:rPr>
          <w:rFonts w:ascii="宋体" w:hAnsi="宋体" w:eastAsia="宋体" w:cs="宋体"/>
          <w:spacing w:val="9"/>
          <w:sz w:val="20"/>
          <w:szCs w:val="20"/>
        </w:rPr>
        <w:t>由承包人负责运输的超大件或超重件，应由承包人负责向交通管理部门办理申请手续，发包人给予协助。运输超大件或超重件所需的道路和桥梁临时加固改造费</w:t>
      </w:r>
      <w:r>
        <w:rPr>
          <w:rFonts w:ascii="宋体" w:hAnsi="宋体" w:eastAsia="宋体" w:cs="宋体"/>
          <w:spacing w:val="8"/>
          <w:sz w:val="20"/>
          <w:szCs w:val="20"/>
        </w:rPr>
        <w:t>用和其他有关费用，</w:t>
      </w:r>
      <w:r>
        <w:rPr>
          <w:rFonts w:ascii="宋体" w:hAnsi="宋体" w:eastAsia="宋体" w:cs="宋体"/>
          <w:spacing w:val="-57"/>
          <w:sz w:val="20"/>
          <w:szCs w:val="20"/>
        </w:rPr>
        <w:t xml:space="preserve"> </w:t>
      </w:r>
      <w:r>
        <w:rPr>
          <w:rFonts w:ascii="宋体" w:hAnsi="宋体" w:eastAsia="宋体" w:cs="宋体"/>
          <w:spacing w:val="8"/>
          <w:sz w:val="20"/>
          <w:szCs w:val="20"/>
        </w:rPr>
        <w:t>由承包人承担，但专用合同条款另有约定除外。</w:t>
      </w:r>
    </w:p>
    <w:p w14:paraId="3F2F0788">
      <w:pPr>
        <w:spacing w:before="1" w:line="227"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1.10.5  </w:t>
      </w:r>
      <w:r>
        <w:rPr>
          <w:rFonts w:ascii="宋体" w:hAnsi="宋体" w:eastAsia="宋体" w:cs="宋体"/>
          <w:spacing w:val="5"/>
          <w:sz w:val="20"/>
          <w:szCs w:val="20"/>
        </w:rPr>
        <w:t>道路和桥梁的损坏责任</w:t>
      </w:r>
    </w:p>
    <w:p w14:paraId="7C45626E">
      <w:pPr>
        <w:spacing w:before="154" w:line="369" w:lineRule="auto"/>
        <w:ind w:left="2" w:firstLine="435"/>
        <w:rPr>
          <w:rFonts w:ascii="宋体" w:hAnsi="宋体" w:eastAsia="宋体" w:cs="宋体"/>
          <w:sz w:val="20"/>
          <w:szCs w:val="20"/>
        </w:rPr>
      </w:pPr>
      <w:r>
        <w:rPr>
          <w:rFonts w:ascii="宋体" w:hAnsi="宋体" w:eastAsia="宋体" w:cs="宋体"/>
          <w:spacing w:val="8"/>
          <w:sz w:val="20"/>
          <w:szCs w:val="20"/>
        </w:rPr>
        <w:t>因承包人运输造成施工场地内外公共道路和桥梁损坏的，</w:t>
      </w:r>
      <w:r>
        <w:rPr>
          <w:rFonts w:ascii="宋体" w:hAnsi="宋体" w:eastAsia="宋体" w:cs="宋体"/>
          <w:spacing w:val="-46"/>
          <w:sz w:val="20"/>
          <w:szCs w:val="20"/>
        </w:rPr>
        <w:t xml:space="preserve"> </w:t>
      </w:r>
      <w:r>
        <w:rPr>
          <w:rFonts w:ascii="宋体" w:hAnsi="宋体" w:eastAsia="宋体" w:cs="宋体"/>
          <w:spacing w:val="8"/>
          <w:sz w:val="20"/>
          <w:szCs w:val="20"/>
        </w:rPr>
        <w:t>由承包人承担修复损坏的全部费用</w:t>
      </w:r>
      <w:r>
        <w:rPr>
          <w:rFonts w:ascii="宋体" w:hAnsi="宋体" w:eastAsia="宋体" w:cs="宋体"/>
          <w:spacing w:val="7"/>
          <w:sz w:val="20"/>
          <w:szCs w:val="20"/>
        </w:rPr>
        <w:t>和可能引起的赔偿。</w:t>
      </w:r>
    </w:p>
    <w:p w14:paraId="5C5A6DCA">
      <w:pPr>
        <w:spacing w:line="227"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1.10.6  </w:t>
      </w:r>
      <w:r>
        <w:rPr>
          <w:rFonts w:ascii="宋体" w:hAnsi="宋体" w:eastAsia="宋体" w:cs="宋体"/>
          <w:spacing w:val="4"/>
          <w:sz w:val="20"/>
          <w:szCs w:val="20"/>
        </w:rPr>
        <w:t>水路和航空运输</w:t>
      </w:r>
    </w:p>
    <w:p w14:paraId="6EBAE8A6">
      <w:pPr>
        <w:spacing w:before="155" w:line="361" w:lineRule="auto"/>
        <w:ind w:left="1" w:firstLine="420"/>
        <w:rPr>
          <w:rFonts w:ascii="宋体" w:hAnsi="宋体" w:eastAsia="宋体" w:cs="宋体"/>
          <w:sz w:val="20"/>
          <w:szCs w:val="20"/>
        </w:rPr>
      </w:pPr>
      <w:r>
        <w:rPr>
          <w:rFonts w:ascii="宋体" w:hAnsi="宋体" w:eastAsia="宋体" w:cs="宋体"/>
          <w:spacing w:val="10"/>
          <w:sz w:val="20"/>
          <w:szCs w:val="20"/>
        </w:rPr>
        <w:t>本款前述各项的内容适用于水路运输和航空运输，其中</w:t>
      </w:r>
      <w:r>
        <w:rPr>
          <w:rFonts w:ascii="Times New Roman" w:hAnsi="Times New Roman" w:eastAsia="Times New Roman" w:cs="Times New Roman"/>
          <w:spacing w:val="10"/>
          <w:sz w:val="20"/>
          <w:szCs w:val="20"/>
        </w:rPr>
        <w:t>“</w:t>
      </w:r>
      <w:r>
        <w:rPr>
          <w:rFonts w:ascii="宋体" w:hAnsi="宋体" w:eastAsia="宋体" w:cs="宋体"/>
          <w:spacing w:val="10"/>
          <w:sz w:val="20"/>
          <w:szCs w:val="20"/>
        </w:rPr>
        <w:t>道路</w:t>
      </w:r>
      <w:r>
        <w:rPr>
          <w:rFonts w:ascii="Times New Roman" w:hAnsi="Times New Roman" w:eastAsia="Times New Roman" w:cs="Times New Roman"/>
          <w:spacing w:val="10"/>
          <w:sz w:val="20"/>
          <w:szCs w:val="20"/>
        </w:rPr>
        <w:t>”</w:t>
      </w:r>
      <w:r>
        <w:rPr>
          <w:rFonts w:ascii="宋体" w:hAnsi="宋体" w:eastAsia="宋体" w:cs="宋体"/>
          <w:spacing w:val="10"/>
          <w:sz w:val="20"/>
          <w:szCs w:val="20"/>
        </w:rPr>
        <w:t>一词的涵义包括河道、航线、船闸、机场、码头、堤防以及水路或航空运输中其他相似结构物；</w:t>
      </w:r>
      <w:r>
        <w:rPr>
          <w:rFonts w:ascii="Times New Roman" w:hAnsi="Times New Roman" w:eastAsia="Times New Roman" w:cs="Times New Roman"/>
          <w:spacing w:val="10"/>
          <w:sz w:val="20"/>
          <w:szCs w:val="20"/>
        </w:rPr>
        <w:t>“</w:t>
      </w:r>
      <w:r>
        <w:rPr>
          <w:rFonts w:ascii="宋体" w:hAnsi="宋体" w:eastAsia="宋体" w:cs="宋体"/>
          <w:spacing w:val="10"/>
          <w:sz w:val="20"/>
          <w:szCs w:val="20"/>
        </w:rPr>
        <w:t>车辆</w:t>
      </w:r>
      <w:r>
        <w:rPr>
          <w:rFonts w:ascii="Times New Roman" w:hAnsi="Times New Roman" w:eastAsia="Times New Roman" w:cs="Times New Roman"/>
          <w:spacing w:val="10"/>
          <w:sz w:val="20"/>
          <w:szCs w:val="20"/>
        </w:rPr>
        <w:t>”</w:t>
      </w:r>
      <w:r>
        <w:rPr>
          <w:rFonts w:ascii="宋体" w:hAnsi="宋体" w:eastAsia="宋体" w:cs="宋体"/>
          <w:spacing w:val="10"/>
          <w:sz w:val="20"/>
          <w:szCs w:val="20"/>
        </w:rPr>
        <w:t>一词的涵义包括船舶和</w:t>
      </w:r>
      <w:r>
        <w:rPr>
          <w:rFonts w:ascii="宋体" w:hAnsi="宋体" w:eastAsia="宋体" w:cs="宋体"/>
          <w:spacing w:val="5"/>
          <w:sz w:val="20"/>
          <w:szCs w:val="20"/>
        </w:rPr>
        <w:t>飞机等。</w:t>
      </w:r>
    </w:p>
    <w:p w14:paraId="7A0E1A0F">
      <w:pPr>
        <w:pStyle w:val="2"/>
        <w:spacing w:line="222" w:lineRule="auto"/>
        <w:ind w:left="9"/>
        <w:rPr>
          <w:sz w:val="24"/>
          <w:szCs w:val="24"/>
        </w:rPr>
      </w:pPr>
      <w:r>
        <w:rPr>
          <w:rFonts w:ascii="Times New Roman" w:hAnsi="Times New Roman" w:eastAsia="Times New Roman" w:cs="Times New Roman"/>
          <w:b/>
          <w:bCs/>
          <w:spacing w:val="-5"/>
          <w:sz w:val="24"/>
          <w:szCs w:val="24"/>
        </w:rPr>
        <w:t xml:space="preserve">1.11 </w:t>
      </w:r>
      <w:r>
        <w:rPr>
          <w:b/>
          <w:bCs/>
          <w:spacing w:val="-5"/>
          <w:sz w:val="24"/>
          <w:szCs w:val="24"/>
        </w:rPr>
        <w:t>知识产权</w:t>
      </w:r>
    </w:p>
    <w:p w14:paraId="3EBF0F5B">
      <w:pPr>
        <w:spacing w:before="138" w:line="369" w:lineRule="auto"/>
        <w:ind w:left="1" w:firstLine="436"/>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11.1  </w:t>
      </w:r>
      <w:r>
        <w:rPr>
          <w:rFonts w:ascii="宋体" w:hAnsi="宋体" w:eastAsia="宋体" w:cs="宋体"/>
          <w:spacing w:val="8"/>
          <w:sz w:val="20"/>
          <w:szCs w:val="20"/>
        </w:rPr>
        <w:t>除专用合同条款另有约定外，发包人提供给承包人的图纸、</w:t>
      </w:r>
      <w:r>
        <w:rPr>
          <w:rFonts w:ascii="宋体" w:hAnsi="宋体" w:eastAsia="宋体" w:cs="宋体"/>
          <w:spacing w:val="7"/>
          <w:sz w:val="20"/>
          <w:szCs w:val="20"/>
        </w:rPr>
        <w:t>发包人为实施工程自行编</w:t>
      </w:r>
      <w:r>
        <w:rPr>
          <w:rFonts w:ascii="宋体" w:hAnsi="宋体" w:eastAsia="宋体" w:cs="宋体"/>
          <w:spacing w:val="10"/>
          <w:sz w:val="20"/>
          <w:szCs w:val="20"/>
        </w:rPr>
        <w:t>制或委托编制的技术规范以及反映发包人要求的或其他类似性质的文件的</w:t>
      </w:r>
      <w:r>
        <w:rPr>
          <w:rFonts w:ascii="宋体" w:hAnsi="宋体" w:eastAsia="宋体" w:cs="宋体"/>
          <w:spacing w:val="9"/>
          <w:sz w:val="20"/>
          <w:szCs w:val="20"/>
        </w:rPr>
        <w:t>著作权属于发包人，承</w:t>
      </w:r>
      <w:r>
        <w:rPr>
          <w:rFonts w:ascii="宋体" w:hAnsi="宋体" w:eastAsia="宋体" w:cs="宋体"/>
          <w:spacing w:val="10"/>
          <w:sz w:val="20"/>
          <w:szCs w:val="20"/>
        </w:rPr>
        <w:t>包人可以为实现合同目的而复制、使用此类文件，但不能用于与合同无关</w:t>
      </w:r>
      <w:r>
        <w:rPr>
          <w:rFonts w:ascii="宋体" w:hAnsi="宋体" w:eastAsia="宋体" w:cs="宋体"/>
          <w:spacing w:val="9"/>
          <w:sz w:val="20"/>
          <w:szCs w:val="20"/>
        </w:rPr>
        <w:t>的其他事项。未经发包</w:t>
      </w:r>
      <w:r>
        <w:rPr>
          <w:rFonts w:ascii="宋体" w:hAnsi="宋体" w:eastAsia="宋体" w:cs="宋体"/>
          <w:spacing w:val="10"/>
          <w:sz w:val="20"/>
          <w:szCs w:val="20"/>
        </w:rPr>
        <w:t>人书面同意，承包人不得为了合同以外的目的而</w:t>
      </w:r>
      <w:r>
        <w:rPr>
          <w:rFonts w:ascii="宋体" w:hAnsi="宋体" w:eastAsia="宋体" w:cs="宋体"/>
          <w:spacing w:val="9"/>
          <w:sz w:val="20"/>
          <w:szCs w:val="20"/>
        </w:rPr>
        <w:t>复制、使用上述文件或将之提供给任何第三方。</w:t>
      </w:r>
    </w:p>
    <w:p w14:paraId="2547B781">
      <w:pPr>
        <w:spacing w:before="2" w:line="369" w:lineRule="auto"/>
        <w:ind w:firstLine="437"/>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11.2  </w:t>
      </w:r>
      <w:r>
        <w:rPr>
          <w:rFonts w:ascii="宋体" w:hAnsi="宋体" w:eastAsia="宋体" w:cs="宋体"/>
          <w:spacing w:val="8"/>
          <w:sz w:val="20"/>
          <w:szCs w:val="20"/>
        </w:rPr>
        <w:t>除专用合同条款另有约定外，承包人为实施工程所编制的文</w:t>
      </w:r>
      <w:r>
        <w:rPr>
          <w:rFonts w:ascii="宋体" w:hAnsi="宋体" w:eastAsia="宋体" w:cs="宋体"/>
          <w:spacing w:val="7"/>
          <w:sz w:val="20"/>
          <w:szCs w:val="20"/>
        </w:rPr>
        <w:t>件，除署名权以外的著作</w:t>
      </w:r>
      <w:r>
        <w:rPr>
          <w:rFonts w:ascii="宋体" w:hAnsi="宋体" w:eastAsia="宋体" w:cs="宋体"/>
          <w:spacing w:val="10"/>
          <w:sz w:val="20"/>
          <w:szCs w:val="20"/>
        </w:rPr>
        <w:t>权属于发包人，承包人可因实施工程的运行、调试、维修、改造等目的而复制</w:t>
      </w:r>
      <w:r>
        <w:rPr>
          <w:rFonts w:ascii="宋体" w:hAnsi="宋体" w:eastAsia="宋体" w:cs="宋体"/>
          <w:spacing w:val="9"/>
          <w:sz w:val="20"/>
          <w:szCs w:val="20"/>
        </w:rPr>
        <w:t>、使用此类文件，</w:t>
      </w:r>
      <w:r>
        <w:rPr>
          <w:rFonts w:ascii="宋体" w:hAnsi="宋体" w:eastAsia="宋体" w:cs="宋体"/>
          <w:spacing w:val="10"/>
          <w:sz w:val="20"/>
          <w:szCs w:val="20"/>
        </w:rPr>
        <w:t>但不能用于与合同无关的其他事项。未经发包人书面同意，承包人不得为了合</w:t>
      </w:r>
      <w:r>
        <w:rPr>
          <w:rFonts w:ascii="宋体" w:hAnsi="宋体" w:eastAsia="宋体" w:cs="宋体"/>
          <w:spacing w:val="9"/>
          <w:sz w:val="20"/>
          <w:szCs w:val="20"/>
        </w:rPr>
        <w:t>同以外的目的而复</w:t>
      </w:r>
    </w:p>
    <w:p w14:paraId="2FCB462A">
      <w:pPr>
        <w:spacing w:line="369" w:lineRule="auto"/>
        <w:rPr>
          <w:rFonts w:ascii="宋体" w:hAnsi="宋体" w:eastAsia="宋体" w:cs="宋体"/>
          <w:sz w:val="20"/>
          <w:szCs w:val="20"/>
        </w:rPr>
        <w:sectPr>
          <w:footerReference r:id="rId241" w:type="default"/>
          <w:pgSz w:w="11906" w:h="16839"/>
          <w:pgMar w:top="400" w:right="1554" w:bottom="1038" w:left="1537" w:header="0" w:footer="787" w:gutter="0"/>
          <w:cols w:space="720" w:num="1"/>
        </w:sectPr>
      </w:pPr>
    </w:p>
    <w:p w14:paraId="0450DC77">
      <w:pPr>
        <w:spacing w:line="271" w:lineRule="auto"/>
        <w:rPr>
          <w:rFonts w:ascii="Arial"/>
          <w:sz w:val="21"/>
        </w:rPr>
      </w:pPr>
    </w:p>
    <w:p w14:paraId="259ADF5D">
      <w:pPr>
        <w:spacing w:line="272" w:lineRule="auto"/>
        <w:rPr>
          <w:rFonts w:ascii="Arial"/>
          <w:sz w:val="21"/>
        </w:rPr>
      </w:pPr>
    </w:p>
    <w:p w14:paraId="14DFC875">
      <w:pPr>
        <w:spacing w:line="272" w:lineRule="auto"/>
        <w:rPr>
          <w:rFonts w:ascii="Arial"/>
          <w:sz w:val="21"/>
        </w:rPr>
      </w:pPr>
    </w:p>
    <w:p w14:paraId="3AEE79E5">
      <w:pPr>
        <w:spacing w:line="272" w:lineRule="auto"/>
        <w:rPr>
          <w:rFonts w:ascii="Arial"/>
          <w:sz w:val="21"/>
        </w:rPr>
      </w:pPr>
    </w:p>
    <w:p w14:paraId="262E3F84">
      <w:pPr>
        <w:spacing w:before="65" w:line="227" w:lineRule="auto"/>
        <w:ind w:left="3"/>
        <w:rPr>
          <w:rFonts w:ascii="宋体" w:hAnsi="宋体" w:eastAsia="宋体" w:cs="宋体"/>
          <w:sz w:val="20"/>
          <w:szCs w:val="20"/>
        </w:rPr>
      </w:pPr>
      <w:r>
        <w:rPr>
          <w:rFonts w:ascii="宋体" w:hAnsi="宋体" w:eastAsia="宋体" w:cs="宋体"/>
          <w:spacing w:val="8"/>
          <w:sz w:val="20"/>
          <w:szCs w:val="20"/>
        </w:rPr>
        <w:t>制、使用上述文件或将之提供给任何第三方。</w:t>
      </w:r>
    </w:p>
    <w:p w14:paraId="611AB54D">
      <w:pPr>
        <w:spacing w:before="154" w:line="369" w:lineRule="auto"/>
        <w:ind w:left="2" w:right="32" w:firstLine="436"/>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11.3  </w:t>
      </w:r>
      <w:r>
        <w:rPr>
          <w:rFonts w:ascii="宋体" w:hAnsi="宋体" w:eastAsia="宋体" w:cs="宋体"/>
          <w:spacing w:val="8"/>
          <w:sz w:val="20"/>
          <w:szCs w:val="20"/>
        </w:rPr>
        <w:t>合同当事人保证在履行合同过程中不侵犯对方及第三方的知</w:t>
      </w:r>
      <w:r>
        <w:rPr>
          <w:rFonts w:ascii="宋体" w:hAnsi="宋体" w:eastAsia="宋体" w:cs="宋体"/>
          <w:spacing w:val="7"/>
          <w:sz w:val="20"/>
          <w:szCs w:val="20"/>
        </w:rPr>
        <w:t>识产权。承包人在使用材</w:t>
      </w:r>
      <w:r>
        <w:rPr>
          <w:rFonts w:ascii="宋体" w:hAnsi="宋体" w:eastAsia="宋体" w:cs="宋体"/>
          <w:spacing w:val="6"/>
          <w:sz w:val="20"/>
          <w:szCs w:val="20"/>
        </w:rPr>
        <w:t>料、施工设备、工程设备或采用施工工艺时，因侵犯他人的专利权或其他知识产权所引起的责任，</w:t>
      </w:r>
      <w:r>
        <w:rPr>
          <w:rFonts w:ascii="宋体" w:hAnsi="宋体" w:eastAsia="宋体" w:cs="宋体"/>
          <w:spacing w:val="9"/>
          <w:sz w:val="20"/>
          <w:szCs w:val="20"/>
        </w:rPr>
        <w:t>由承包人承担；因发包人提供的材料、施工设备、工程设备或施工工艺导</w:t>
      </w:r>
      <w:r>
        <w:rPr>
          <w:rFonts w:ascii="宋体" w:hAnsi="宋体" w:eastAsia="宋体" w:cs="宋体"/>
          <w:spacing w:val="8"/>
          <w:sz w:val="20"/>
          <w:szCs w:val="20"/>
        </w:rPr>
        <w:t>致侵权的，</w:t>
      </w:r>
      <w:r>
        <w:rPr>
          <w:rFonts w:ascii="宋体" w:hAnsi="宋体" w:eastAsia="宋体" w:cs="宋体"/>
          <w:spacing w:val="-58"/>
          <w:sz w:val="20"/>
          <w:szCs w:val="20"/>
        </w:rPr>
        <w:t xml:space="preserve"> </w:t>
      </w:r>
      <w:r>
        <w:rPr>
          <w:rFonts w:ascii="宋体" w:hAnsi="宋体" w:eastAsia="宋体" w:cs="宋体"/>
          <w:spacing w:val="8"/>
          <w:sz w:val="20"/>
          <w:szCs w:val="20"/>
        </w:rPr>
        <w:t>由发包人承</w:t>
      </w:r>
      <w:r>
        <w:rPr>
          <w:rFonts w:ascii="宋体" w:hAnsi="宋体" w:eastAsia="宋体" w:cs="宋体"/>
          <w:spacing w:val="5"/>
          <w:sz w:val="20"/>
          <w:szCs w:val="20"/>
        </w:rPr>
        <w:t>担责任。</w:t>
      </w:r>
    </w:p>
    <w:p w14:paraId="5DF948B0">
      <w:pPr>
        <w:spacing w:before="1" w:line="357" w:lineRule="auto"/>
        <w:ind w:left="3" w:right="87" w:firstLine="435"/>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11.4  </w:t>
      </w:r>
      <w:r>
        <w:rPr>
          <w:rFonts w:ascii="宋体" w:hAnsi="宋体" w:eastAsia="宋体" w:cs="宋体"/>
          <w:spacing w:val="8"/>
          <w:sz w:val="20"/>
          <w:szCs w:val="20"/>
        </w:rPr>
        <w:t>除专用合同条款另有约定外，承包人在合同签订前和签订时</w:t>
      </w:r>
      <w:r>
        <w:rPr>
          <w:rFonts w:ascii="宋体" w:hAnsi="宋体" w:eastAsia="宋体" w:cs="宋体"/>
          <w:spacing w:val="7"/>
          <w:sz w:val="20"/>
          <w:szCs w:val="20"/>
        </w:rPr>
        <w:t>已确定采用的专利、专有</w:t>
      </w:r>
      <w:r>
        <w:rPr>
          <w:rFonts w:ascii="宋体" w:hAnsi="宋体" w:eastAsia="宋体" w:cs="宋体"/>
          <w:spacing w:val="9"/>
          <w:sz w:val="20"/>
          <w:szCs w:val="20"/>
        </w:rPr>
        <w:t>技术、技术秘密的使用费已包含在签约合同价中。</w:t>
      </w:r>
    </w:p>
    <w:p w14:paraId="18C33899">
      <w:pPr>
        <w:pStyle w:val="2"/>
        <w:spacing w:before="1" w:line="220" w:lineRule="auto"/>
        <w:ind w:left="10"/>
        <w:rPr>
          <w:sz w:val="24"/>
          <w:szCs w:val="24"/>
        </w:rPr>
      </w:pPr>
      <w:r>
        <w:rPr>
          <w:rFonts w:ascii="Times New Roman" w:hAnsi="Times New Roman" w:eastAsia="Times New Roman" w:cs="Times New Roman"/>
          <w:b/>
          <w:bCs/>
          <w:spacing w:val="-5"/>
          <w:sz w:val="24"/>
          <w:szCs w:val="24"/>
        </w:rPr>
        <w:t>1.12</w:t>
      </w:r>
      <w:r>
        <w:rPr>
          <w:rFonts w:ascii="Times New Roman" w:hAnsi="Times New Roman" w:eastAsia="Times New Roman" w:cs="Times New Roman"/>
          <w:b/>
          <w:bCs/>
          <w:spacing w:val="8"/>
          <w:sz w:val="24"/>
          <w:szCs w:val="24"/>
        </w:rPr>
        <w:t xml:space="preserve"> </w:t>
      </w:r>
      <w:r>
        <w:rPr>
          <w:b/>
          <w:bCs/>
          <w:spacing w:val="-5"/>
          <w:sz w:val="24"/>
          <w:szCs w:val="24"/>
        </w:rPr>
        <w:t>保密</w:t>
      </w:r>
    </w:p>
    <w:p w14:paraId="2A7195D9">
      <w:pPr>
        <w:spacing w:before="137" w:line="369" w:lineRule="auto"/>
        <w:ind w:left="1" w:right="87" w:firstLine="433"/>
        <w:rPr>
          <w:rFonts w:ascii="宋体" w:hAnsi="宋体" w:eastAsia="宋体" w:cs="宋体"/>
          <w:sz w:val="20"/>
          <w:szCs w:val="20"/>
        </w:rPr>
      </w:pPr>
      <w:r>
        <w:rPr>
          <w:rFonts w:ascii="宋体" w:hAnsi="宋体" w:eastAsia="宋体" w:cs="宋体"/>
          <w:spacing w:val="9"/>
          <w:sz w:val="20"/>
          <w:szCs w:val="20"/>
        </w:rPr>
        <w:t>除法律规定或合同另有约定外，未经发包人同意，承包人不得将发包人提供的图纸、文件以及声明需要保密的资料信息等商业秘密泄露给第三方。</w:t>
      </w:r>
    </w:p>
    <w:p w14:paraId="093B78D8">
      <w:pPr>
        <w:spacing w:before="1" w:line="357" w:lineRule="auto"/>
        <w:ind w:left="22" w:right="87" w:firstLine="412"/>
        <w:rPr>
          <w:rFonts w:ascii="宋体" w:hAnsi="宋体" w:eastAsia="宋体" w:cs="宋体"/>
          <w:sz w:val="20"/>
          <w:szCs w:val="20"/>
        </w:rPr>
      </w:pPr>
      <w:r>
        <w:rPr>
          <w:rFonts w:ascii="宋体" w:hAnsi="宋体" w:eastAsia="宋体" w:cs="宋体"/>
          <w:spacing w:val="9"/>
          <w:sz w:val="20"/>
          <w:szCs w:val="20"/>
        </w:rPr>
        <w:t>除法律规定或合同另有约定外，未经承包人同意，发包人不得将承包人提供的技术秘密及声</w:t>
      </w:r>
      <w:r>
        <w:rPr>
          <w:rFonts w:ascii="宋体" w:hAnsi="宋体" w:eastAsia="宋体" w:cs="宋体"/>
          <w:spacing w:val="8"/>
          <w:sz w:val="20"/>
          <w:szCs w:val="20"/>
        </w:rPr>
        <w:t>明需要保密的资料信息等商业秘密泄露给第三方。</w:t>
      </w:r>
    </w:p>
    <w:p w14:paraId="71E4938E">
      <w:pPr>
        <w:pStyle w:val="2"/>
        <w:spacing w:before="1" w:line="221" w:lineRule="auto"/>
        <w:ind w:left="10"/>
        <w:rPr>
          <w:sz w:val="24"/>
          <w:szCs w:val="24"/>
        </w:rPr>
      </w:pPr>
      <w:r>
        <w:rPr>
          <w:rFonts w:ascii="Times New Roman" w:hAnsi="Times New Roman" w:eastAsia="Times New Roman" w:cs="Times New Roman"/>
          <w:b/>
          <w:bCs/>
          <w:spacing w:val="-3"/>
          <w:sz w:val="24"/>
          <w:szCs w:val="24"/>
        </w:rPr>
        <w:t xml:space="preserve">1.13 </w:t>
      </w:r>
      <w:r>
        <w:rPr>
          <w:b/>
          <w:bCs/>
          <w:spacing w:val="-3"/>
          <w:sz w:val="24"/>
          <w:szCs w:val="24"/>
        </w:rPr>
        <w:t>工程量清单错误的修正</w:t>
      </w:r>
    </w:p>
    <w:p w14:paraId="221AB309">
      <w:pPr>
        <w:spacing w:before="136" w:line="370" w:lineRule="auto"/>
        <w:ind w:left="8" w:right="89" w:firstLine="425"/>
        <w:rPr>
          <w:rFonts w:ascii="宋体" w:hAnsi="宋体" w:eastAsia="宋体" w:cs="宋体"/>
          <w:sz w:val="20"/>
          <w:szCs w:val="20"/>
        </w:rPr>
      </w:pPr>
      <w:r>
        <w:rPr>
          <w:rFonts w:ascii="宋体" w:hAnsi="宋体" w:eastAsia="宋体" w:cs="宋体"/>
          <w:spacing w:val="9"/>
          <w:sz w:val="20"/>
          <w:szCs w:val="20"/>
        </w:rPr>
        <w:t>除专用合同条款另有约定外，发包人提供的工程量清单，应被认为是准确的和完整的。出现下列情形之一时，发包人应予以修正，并相应调整合同价</w:t>
      </w:r>
      <w:r>
        <w:rPr>
          <w:rFonts w:ascii="宋体" w:hAnsi="宋体" w:eastAsia="宋体" w:cs="宋体"/>
          <w:spacing w:val="8"/>
          <w:sz w:val="20"/>
          <w:szCs w:val="20"/>
        </w:rPr>
        <w:t>格：</w:t>
      </w:r>
    </w:p>
    <w:p w14:paraId="691756BE">
      <w:pPr>
        <w:spacing w:before="1" w:line="227" w:lineRule="auto"/>
        <w:ind w:left="43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）工程量清单存在缺项、漏项的；</w:t>
      </w:r>
    </w:p>
    <w:p w14:paraId="5D138330">
      <w:pPr>
        <w:spacing w:before="152" w:line="228" w:lineRule="auto"/>
        <w:ind w:left="43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）工程量清单偏差超出专用合同条款约定的工程</w:t>
      </w:r>
      <w:r>
        <w:rPr>
          <w:rFonts w:ascii="宋体" w:hAnsi="宋体" w:eastAsia="宋体" w:cs="宋体"/>
          <w:spacing w:val="8"/>
          <w:sz w:val="20"/>
          <w:szCs w:val="20"/>
        </w:rPr>
        <w:t>量偏差范围的；</w:t>
      </w:r>
    </w:p>
    <w:p w14:paraId="576614DB">
      <w:pPr>
        <w:spacing w:before="153" w:line="228" w:lineRule="auto"/>
        <w:ind w:left="43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）未按照国家现行计量规范强制性规定计量的。</w:t>
      </w:r>
    </w:p>
    <w:p w14:paraId="3775B9E2">
      <w:pPr>
        <w:pStyle w:val="2"/>
        <w:spacing w:before="193" w:line="222" w:lineRule="auto"/>
        <w:outlineLvl w:val="2"/>
        <w:rPr>
          <w:sz w:val="28"/>
          <w:szCs w:val="28"/>
        </w:rPr>
      </w:pPr>
      <w:bookmarkStart w:id="264" w:name="bookmark246"/>
      <w:bookmarkEnd w:id="264"/>
      <w:r>
        <w:rPr>
          <w:rFonts w:ascii="Times New Roman" w:hAnsi="Times New Roman" w:eastAsia="Times New Roman" w:cs="Times New Roman"/>
          <w:b/>
          <w:bCs/>
          <w:spacing w:val="-5"/>
          <w:sz w:val="28"/>
          <w:szCs w:val="28"/>
        </w:rPr>
        <w:t>2.</w:t>
      </w:r>
      <w:r>
        <w:rPr>
          <w:rFonts w:ascii="Times New Roman" w:hAnsi="Times New Roman" w:eastAsia="Times New Roman" w:cs="Times New Roman"/>
          <w:b/>
          <w:bCs/>
          <w:spacing w:val="5"/>
          <w:sz w:val="28"/>
          <w:szCs w:val="28"/>
        </w:rPr>
        <w:t xml:space="preserve">  </w:t>
      </w:r>
      <w:r>
        <w:rPr>
          <w:b/>
          <w:bCs/>
          <w:spacing w:val="-5"/>
          <w:sz w:val="28"/>
          <w:szCs w:val="28"/>
        </w:rPr>
        <w:t>发包人</w:t>
      </w:r>
    </w:p>
    <w:p w14:paraId="1D58323F">
      <w:pPr>
        <w:pStyle w:val="2"/>
        <w:spacing w:before="97" w:line="222" w:lineRule="auto"/>
        <w:rPr>
          <w:sz w:val="24"/>
          <w:szCs w:val="24"/>
        </w:rPr>
      </w:pPr>
      <w:r>
        <w:rPr>
          <w:rFonts w:ascii="Times New Roman" w:hAnsi="Times New Roman" w:eastAsia="Times New Roman" w:cs="Times New Roman"/>
          <w:b/>
          <w:bCs/>
          <w:spacing w:val="-2"/>
          <w:sz w:val="24"/>
          <w:szCs w:val="24"/>
        </w:rPr>
        <w:t xml:space="preserve">2.1  </w:t>
      </w:r>
      <w:r>
        <w:rPr>
          <w:b/>
          <w:bCs/>
          <w:spacing w:val="-2"/>
          <w:sz w:val="24"/>
          <w:szCs w:val="24"/>
        </w:rPr>
        <w:t>许可或批准</w:t>
      </w:r>
    </w:p>
    <w:p w14:paraId="49C172B0">
      <w:pPr>
        <w:spacing w:before="139" w:line="369" w:lineRule="auto"/>
        <w:ind w:left="1" w:right="87" w:firstLine="424"/>
        <w:jc w:val="both"/>
        <w:rPr>
          <w:rFonts w:ascii="宋体" w:hAnsi="宋体" w:eastAsia="宋体" w:cs="宋体"/>
          <w:sz w:val="20"/>
          <w:szCs w:val="20"/>
        </w:rPr>
      </w:pPr>
      <w:r>
        <w:rPr>
          <w:rFonts w:ascii="宋体" w:hAnsi="宋体" w:eastAsia="宋体" w:cs="宋体"/>
          <w:spacing w:val="10"/>
          <w:sz w:val="20"/>
          <w:szCs w:val="20"/>
        </w:rPr>
        <w:t>发包人应遵守法律，并办理法律规定由其办理的许可、批准或</w:t>
      </w:r>
      <w:r>
        <w:rPr>
          <w:rFonts w:ascii="宋体" w:hAnsi="宋体" w:eastAsia="宋体" w:cs="宋体"/>
          <w:spacing w:val="9"/>
          <w:sz w:val="20"/>
          <w:szCs w:val="20"/>
        </w:rPr>
        <w:t>备案，包括但不限于建设用地</w:t>
      </w:r>
      <w:r>
        <w:rPr>
          <w:rFonts w:ascii="宋体" w:hAnsi="宋体" w:eastAsia="宋体" w:cs="宋体"/>
          <w:spacing w:val="10"/>
          <w:sz w:val="20"/>
          <w:szCs w:val="20"/>
        </w:rPr>
        <w:t>规划许可证、建设工程规划许可证、建设工程施工许可证、施工所需临时用</w:t>
      </w:r>
      <w:r>
        <w:rPr>
          <w:rFonts w:ascii="宋体" w:hAnsi="宋体" w:eastAsia="宋体" w:cs="宋体"/>
          <w:spacing w:val="9"/>
          <w:sz w:val="20"/>
          <w:szCs w:val="20"/>
        </w:rPr>
        <w:t>水、临时用电、中断</w:t>
      </w:r>
      <w:r>
        <w:rPr>
          <w:rFonts w:ascii="宋体" w:hAnsi="宋体" w:eastAsia="宋体" w:cs="宋体"/>
          <w:spacing w:val="10"/>
          <w:sz w:val="20"/>
          <w:szCs w:val="20"/>
        </w:rPr>
        <w:t>道路交通、临时占用土地等许可和批准。发包人应协助承包人办理法律规定</w:t>
      </w:r>
      <w:r>
        <w:rPr>
          <w:rFonts w:ascii="宋体" w:hAnsi="宋体" w:eastAsia="宋体" w:cs="宋体"/>
          <w:spacing w:val="9"/>
          <w:sz w:val="20"/>
          <w:szCs w:val="20"/>
        </w:rPr>
        <w:t>的有关施工证件和批</w:t>
      </w:r>
      <w:r>
        <w:rPr>
          <w:rFonts w:ascii="宋体" w:hAnsi="宋体" w:eastAsia="宋体" w:cs="宋体"/>
          <w:sz w:val="20"/>
          <w:szCs w:val="20"/>
        </w:rPr>
        <w:t>件。</w:t>
      </w:r>
    </w:p>
    <w:p w14:paraId="5B57E088">
      <w:pPr>
        <w:spacing w:before="1" w:line="357" w:lineRule="auto"/>
        <w:ind w:left="3" w:firstLine="435"/>
        <w:rPr>
          <w:rFonts w:ascii="宋体" w:hAnsi="宋体" w:eastAsia="宋体" w:cs="宋体"/>
          <w:sz w:val="20"/>
          <w:szCs w:val="20"/>
        </w:rPr>
      </w:pPr>
      <w:r>
        <w:rPr>
          <w:rFonts w:ascii="宋体" w:hAnsi="宋体" w:eastAsia="宋体" w:cs="宋体"/>
          <w:spacing w:val="2"/>
          <w:sz w:val="20"/>
          <w:szCs w:val="20"/>
        </w:rPr>
        <w:t>因发包人原因未能及时办理完毕前述许可、批</w:t>
      </w:r>
      <w:r>
        <w:rPr>
          <w:rFonts w:ascii="宋体" w:hAnsi="宋体" w:eastAsia="宋体" w:cs="宋体"/>
          <w:spacing w:val="1"/>
          <w:sz w:val="20"/>
          <w:szCs w:val="20"/>
        </w:rPr>
        <w:t>准或备案，由发包人承担由此增加的费用和（或）</w:t>
      </w:r>
      <w:r>
        <w:rPr>
          <w:rFonts w:ascii="宋体" w:hAnsi="宋体" w:eastAsia="宋体" w:cs="宋体"/>
          <w:spacing w:val="8"/>
          <w:sz w:val="20"/>
          <w:szCs w:val="20"/>
        </w:rPr>
        <w:t>延误的工期，并支付承包人合理的利润。</w:t>
      </w:r>
    </w:p>
    <w:p w14:paraId="5ECB972B">
      <w:pPr>
        <w:pStyle w:val="2"/>
        <w:spacing w:before="1" w:line="220" w:lineRule="auto"/>
        <w:rPr>
          <w:sz w:val="24"/>
          <w:szCs w:val="24"/>
        </w:rPr>
      </w:pPr>
      <w:r>
        <w:rPr>
          <w:rFonts w:ascii="Times New Roman" w:hAnsi="Times New Roman" w:eastAsia="Times New Roman" w:cs="Times New Roman"/>
          <w:b/>
          <w:bCs/>
          <w:spacing w:val="-2"/>
          <w:sz w:val="24"/>
          <w:szCs w:val="24"/>
        </w:rPr>
        <w:t xml:space="preserve">2.2  </w:t>
      </w:r>
      <w:r>
        <w:rPr>
          <w:b/>
          <w:bCs/>
          <w:spacing w:val="-2"/>
          <w:sz w:val="24"/>
          <w:szCs w:val="24"/>
        </w:rPr>
        <w:t>发包人代表</w:t>
      </w:r>
    </w:p>
    <w:p w14:paraId="7860EEDF">
      <w:pPr>
        <w:spacing w:before="140" w:line="369" w:lineRule="auto"/>
        <w:ind w:left="1" w:right="87" w:firstLine="424"/>
        <w:jc w:val="both"/>
        <w:rPr>
          <w:rFonts w:ascii="宋体" w:hAnsi="宋体" w:eastAsia="宋体" w:cs="宋体"/>
          <w:sz w:val="20"/>
          <w:szCs w:val="20"/>
        </w:rPr>
      </w:pPr>
      <w:r>
        <w:rPr>
          <w:rFonts w:ascii="宋体" w:hAnsi="宋体" w:eastAsia="宋体" w:cs="宋体"/>
          <w:spacing w:val="10"/>
          <w:sz w:val="20"/>
          <w:szCs w:val="20"/>
        </w:rPr>
        <w:t>发包人应在专用合同条款中明确其派驻施工现场的发包人代表</w:t>
      </w:r>
      <w:r>
        <w:rPr>
          <w:rFonts w:ascii="宋体" w:hAnsi="宋体" w:eastAsia="宋体" w:cs="宋体"/>
          <w:spacing w:val="9"/>
          <w:sz w:val="20"/>
          <w:szCs w:val="20"/>
        </w:rPr>
        <w:t>的姓名、职务、联系方式及授</w:t>
      </w:r>
      <w:r>
        <w:rPr>
          <w:rFonts w:ascii="宋体" w:hAnsi="宋体" w:eastAsia="宋体" w:cs="宋体"/>
          <w:spacing w:val="10"/>
          <w:sz w:val="20"/>
          <w:szCs w:val="20"/>
        </w:rPr>
        <w:t>权范围等事项。发包人代表在发包人的授权范围内，负责处理合同履行过程</w:t>
      </w:r>
      <w:r>
        <w:rPr>
          <w:rFonts w:ascii="宋体" w:hAnsi="宋体" w:eastAsia="宋体" w:cs="宋体"/>
          <w:spacing w:val="9"/>
          <w:sz w:val="20"/>
          <w:szCs w:val="20"/>
        </w:rPr>
        <w:t>中与发包人有关的具</w:t>
      </w:r>
      <w:r>
        <w:rPr>
          <w:rFonts w:ascii="宋体" w:hAnsi="宋体" w:eastAsia="宋体" w:cs="宋体"/>
          <w:spacing w:val="10"/>
          <w:sz w:val="20"/>
          <w:szCs w:val="20"/>
        </w:rPr>
        <w:t>体事宜。发包人代表在授权范围内的行为由发包人承担法律责任。发包人更</w:t>
      </w:r>
      <w:r>
        <w:rPr>
          <w:rFonts w:ascii="宋体" w:hAnsi="宋体" w:eastAsia="宋体" w:cs="宋体"/>
          <w:spacing w:val="9"/>
          <w:sz w:val="20"/>
          <w:szCs w:val="20"/>
        </w:rPr>
        <w:t>换发包人代表的，应</w:t>
      </w:r>
      <w:r>
        <w:rPr>
          <w:rFonts w:ascii="宋体" w:hAnsi="宋体" w:eastAsia="宋体" w:cs="宋体"/>
          <w:spacing w:val="6"/>
          <w:sz w:val="20"/>
          <w:szCs w:val="20"/>
        </w:rPr>
        <w:t>提前</w:t>
      </w:r>
      <w:r>
        <w:rPr>
          <w:rFonts w:ascii="宋体" w:hAnsi="宋体" w:eastAsia="宋体" w:cs="宋体"/>
          <w:spacing w:val="-30"/>
          <w:sz w:val="20"/>
          <w:szCs w:val="20"/>
        </w:rPr>
        <w:t xml:space="preserve"> </w:t>
      </w:r>
      <w:r>
        <w:rPr>
          <w:rFonts w:ascii="Times New Roman" w:hAnsi="Times New Roman" w:eastAsia="Times New Roman" w:cs="Times New Roman"/>
          <w:spacing w:val="6"/>
          <w:sz w:val="20"/>
          <w:szCs w:val="20"/>
        </w:rPr>
        <w:t xml:space="preserve">7 </w:t>
      </w:r>
      <w:r>
        <w:rPr>
          <w:rFonts w:ascii="宋体" w:hAnsi="宋体" w:eastAsia="宋体" w:cs="宋体"/>
          <w:spacing w:val="6"/>
          <w:sz w:val="20"/>
          <w:szCs w:val="20"/>
        </w:rPr>
        <w:t>天书面通知承包人。</w:t>
      </w:r>
    </w:p>
    <w:p w14:paraId="255EE764">
      <w:pPr>
        <w:spacing w:before="2" w:line="368" w:lineRule="auto"/>
        <w:ind w:left="4" w:right="87" w:firstLine="421"/>
        <w:rPr>
          <w:rFonts w:ascii="宋体" w:hAnsi="宋体" w:eastAsia="宋体" w:cs="宋体"/>
          <w:sz w:val="20"/>
          <w:szCs w:val="20"/>
        </w:rPr>
      </w:pPr>
      <w:r>
        <w:rPr>
          <w:rFonts w:ascii="宋体" w:hAnsi="宋体" w:eastAsia="宋体" w:cs="宋体"/>
          <w:spacing w:val="10"/>
          <w:sz w:val="20"/>
          <w:szCs w:val="20"/>
        </w:rPr>
        <w:t>发包人代表不能按照合同约定履行其职责及义务，并导致合同</w:t>
      </w:r>
      <w:r>
        <w:rPr>
          <w:rFonts w:ascii="宋体" w:hAnsi="宋体" w:eastAsia="宋体" w:cs="宋体"/>
          <w:spacing w:val="9"/>
          <w:sz w:val="20"/>
          <w:szCs w:val="20"/>
        </w:rPr>
        <w:t>无法继续正常履行的，承包人</w:t>
      </w:r>
      <w:r>
        <w:rPr>
          <w:rFonts w:ascii="宋体" w:hAnsi="宋体" w:eastAsia="宋体" w:cs="宋体"/>
          <w:spacing w:val="8"/>
          <w:sz w:val="20"/>
          <w:szCs w:val="20"/>
        </w:rPr>
        <w:t>可以要求发包人撤换发包人代表。</w:t>
      </w:r>
    </w:p>
    <w:p w14:paraId="2FFDF6AA">
      <w:pPr>
        <w:spacing w:before="1" w:line="227" w:lineRule="auto"/>
        <w:jc w:val="right"/>
        <w:rPr>
          <w:rFonts w:ascii="宋体" w:hAnsi="宋体" w:eastAsia="宋体" w:cs="宋体"/>
          <w:sz w:val="20"/>
          <w:szCs w:val="20"/>
        </w:rPr>
      </w:pPr>
      <w:r>
        <w:rPr>
          <w:rFonts w:ascii="宋体" w:hAnsi="宋体" w:eastAsia="宋体" w:cs="宋体"/>
          <w:spacing w:val="6"/>
          <w:sz w:val="20"/>
          <w:szCs w:val="20"/>
        </w:rPr>
        <w:t>不属于法定必须监理的工程，监理人的职权可以由发包人代表或发包人指定的其他人员行使。</w:t>
      </w:r>
    </w:p>
    <w:p w14:paraId="2B86CE79">
      <w:pPr>
        <w:spacing w:line="227" w:lineRule="auto"/>
        <w:rPr>
          <w:rFonts w:ascii="宋体" w:hAnsi="宋体" w:eastAsia="宋体" w:cs="宋体"/>
          <w:sz w:val="20"/>
          <w:szCs w:val="20"/>
        </w:rPr>
        <w:sectPr>
          <w:footerReference r:id="rId242" w:type="default"/>
          <w:pgSz w:w="11906" w:h="16839"/>
          <w:pgMar w:top="400" w:right="1467" w:bottom="1038" w:left="1536" w:header="0" w:footer="785" w:gutter="0"/>
          <w:cols w:space="720" w:num="1"/>
        </w:sectPr>
      </w:pPr>
    </w:p>
    <w:p w14:paraId="16AB2644">
      <w:pPr>
        <w:spacing w:line="261" w:lineRule="auto"/>
        <w:rPr>
          <w:rFonts w:ascii="Arial"/>
          <w:sz w:val="21"/>
        </w:rPr>
      </w:pPr>
    </w:p>
    <w:p w14:paraId="6C69C166">
      <w:pPr>
        <w:spacing w:line="262" w:lineRule="auto"/>
        <w:rPr>
          <w:rFonts w:ascii="Arial"/>
          <w:sz w:val="21"/>
        </w:rPr>
      </w:pPr>
    </w:p>
    <w:p w14:paraId="3378838B">
      <w:pPr>
        <w:spacing w:line="262" w:lineRule="auto"/>
        <w:rPr>
          <w:rFonts w:ascii="Arial"/>
          <w:sz w:val="21"/>
        </w:rPr>
      </w:pPr>
    </w:p>
    <w:p w14:paraId="70DCFFF6">
      <w:pPr>
        <w:spacing w:line="262" w:lineRule="auto"/>
        <w:rPr>
          <w:rFonts w:ascii="Arial"/>
          <w:sz w:val="21"/>
        </w:rPr>
      </w:pPr>
    </w:p>
    <w:p w14:paraId="1B03B114">
      <w:pPr>
        <w:pStyle w:val="2"/>
        <w:spacing w:before="78" w:line="221" w:lineRule="auto"/>
        <w:rPr>
          <w:sz w:val="24"/>
          <w:szCs w:val="24"/>
        </w:rPr>
      </w:pPr>
      <w:r>
        <w:rPr>
          <w:rFonts w:ascii="Times New Roman" w:hAnsi="Times New Roman" w:eastAsia="Times New Roman" w:cs="Times New Roman"/>
          <w:b/>
          <w:bCs/>
          <w:spacing w:val="-2"/>
          <w:sz w:val="24"/>
          <w:szCs w:val="24"/>
        </w:rPr>
        <w:t xml:space="preserve">2.3  </w:t>
      </w:r>
      <w:r>
        <w:rPr>
          <w:b/>
          <w:bCs/>
          <w:spacing w:val="-2"/>
          <w:sz w:val="24"/>
          <w:szCs w:val="24"/>
        </w:rPr>
        <w:t>发包人人员</w:t>
      </w:r>
    </w:p>
    <w:p w14:paraId="78B5470A">
      <w:pPr>
        <w:spacing w:before="137" w:line="370" w:lineRule="auto"/>
        <w:ind w:left="3" w:right="1" w:firstLine="422"/>
        <w:rPr>
          <w:rFonts w:ascii="宋体" w:hAnsi="宋体" w:eastAsia="宋体" w:cs="宋体"/>
          <w:sz w:val="20"/>
          <w:szCs w:val="20"/>
        </w:rPr>
      </w:pPr>
      <w:r>
        <w:rPr>
          <w:rFonts w:ascii="宋体" w:hAnsi="宋体" w:eastAsia="宋体" w:cs="宋体"/>
          <w:spacing w:val="10"/>
          <w:sz w:val="20"/>
          <w:szCs w:val="20"/>
        </w:rPr>
        <w:t>发包人应要求在施工现场的发包人人员遵守法律及有关安全、</w:t>
      </w:r>
      <w:r>
        <w:rPr>
          <w:rFonts w:ascii="宋体" w:hAnsi="宋体" w:eastAsia="宋体" w:cs="宋体"/>
          <w:spacing w:val="9"/>
          <w:sz w:val="20"/>
          <w:szCs w:val="20"/>
        </w:rPr>
        <w:t>质量、环境保护、文明施工等规定，并保障承包人免于承受因发包人人员未遵守上述要求给承包人造成的损失和责任。</w:t>
      </w:r>
    </w:p>
    <w:p w14:paraId="019746AC">
      <w:pPr>
        <w:spacing w:line="227" w:lineRule="auto"/>
        <w:ind w:left="425"/>
        <w:rPr>
          <w:rFonts w:ascii="宋体" w:hAnsi="宋体" w:eastAsia="宋体" w:cs="宋体"/>
          <w:sz w:val="20"/>
          <w:szCs w:val="20"/>
        </w:rPr>
      </w:pPr>
      <w:r>
        <w:rPr>
          <w:rFonts w:ascii="宋体" w:hAnsi="宋体" w:eastAsia="宋体" w:cs="宋体"/>
          <w:spacing w:val="9"/>
          <w:sz w:val="20"/>
          <w:szCs w:val="20"/>
        </w:rPr>
        <w:t>发包人人员包括发包人代表及其他由发包人派驻施工现场的人员。</w:t>
      </w:r>
    </w:p>
    <w:p w14:paraId="5FD0D50B">
      <w:pPr>
        <w:pStyle w:val="2"/>
        <w:spacing w:before="127" w:line="221" w:lineRule="auto"/>
        <w:rPr>
          <w:sz w:val="24"/>
          <w:szCs w:val="24"/>
        </w:rPr>
      </w:pPr>
      <w:r>
        <w:rPr>
          <w:rFonts w:ascii="Times New Roman" w:hAnsi="Times New Roman" w:eastAsia="Times New Roman" w:cs="Times New Roman"/>
          <w:b/>
          <w:bCs/>
          <w:spacing w:val="-2"/>
          <w:sz w:val="24"/>
          <w:szCs w:val="24"/>
        </w:rPr>
        <w:t xml:space="preserve">2.4  </w:t>
      </w:r>
      <w:r>
        <w:rPr>
          <w:b/>
          <w:bCs/>
          <w:spacing w:val="-2"/>
          <w:sz w:val="24"/>
          <w:szCs w:val="24"/>
        </w:rPr>
        <w:t>施工现场、施工条件和基础资料的提供</w:t>
      </w:r>
    </w:p>
    <w:p w14:paraId="3C9E0D91">
      <w:pPr>
        <w:spacing w:before="138" w:line="227" w:lineRule="auto"/>
        <w:ind w:left="418"/>
        <w:rPr>
          <w:rFonts w:ascii="宋体" w:hAnsi="宋体" w:eastAsia="宋体" w:cs="宋体"/>
          <w:sz w:val="20"/>
          <w:szCs w:val="20"/>
        </w:rPr>
      </w:pPr>
      <w:r>
        <w:rPr>
          <w:rFonts w:ascii="Times New Roman" w:hAnsi="Times New Roman" w:eastAsia="Times New Roman" w:cs="Times New Roman"/>
          <w:spacing w:val="4"/>
          <w:sz w:val="20"/>
          <w:szCs w:val="20"/>
        </w:rPr>
        <w:t>2.4.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提供施工现场</w:t>
      </w:r>
    </w:p>
    <w:p w14:paraId="327515FD">
      <w:pPr>
        <w:spacing w:before="155" w:line="228" w:lineRule="auto"/>
        <w:ind w:left="434"/>
        <w:rPr>
          <w:rFonts w:ascii="宋体" w:hAnsi="宋体" w:eastAsia="宋体" w:cs="宋体"/>
          <w:sz w:val="20"/>
          <w:szCs w:val="20"/>
        </w:rPr>
      </w:pPr>
      <w:r>
        <w:rPr>
          <w:rFonts w:ascii="宋体" w:hAnsi="宋体" w:eastAsia="宋体" w:cs="宋体"/>
          <w:spacing w:val="9"/>
          <w:sz w:val="20"/>
          <w:szCs w:val="20"/>
        </w:rPr>
        <w:t>除专用合同条款另有约定外，发包人应最迟于</w:t>
      </w:r>
      <w:r>
        <w:rPr>
          <w:rFonts w:ascii="宋体" w:hAnsi="宋体" w:eastAsia="宋体" w:cs="宋体"/>
          <w:spacing w:val="8"/>
          <w:sz w:val="20"/>
          <w:szCs w:val="20"/>
        </w:rPr>
        <w:t>开工日期</w:t>
      </w:r>
      <w:r>
        <w:rPr>
          <w:rFonts w:ascii="宋体" w:hAnsi="宋体" w:eastAsia="宋体" w:cs="宋体"/>
          <w:spacing w:val="-37"/>
          <w:sz w:val="20"/>
          <w:szCs w:val="20"/>
        </w:rPr>
        <w:t xml:space="preserve"> </w:t>
      </w:r>
      <w:r>
        <w:rPr>
          <w:rFonts w:ascii="Times New Roman" w:hAnsi="Times New Roman" w:eastAsia="Times New Roman" w:cs="Times New Roman"/>
          <w:spacing w:val="8"/>
          <w:sz w:val="20"/>
          <w:szCs w:val="20"/>
        </w:rPr>
        <w:t xml:space="preserve">7 </w:t>
      </w:r>
      <w:r>
        <w:rPr>
          <w:rFonts w:ascii="宋体" w:hAnsi="宋体" w:eastAsia="宋体" w:cs="宋体"/>
          <w:spacing w:val="8"/>
          <w:sz w:val="20"/>
          <w:szCs w:val="20"/>
        </w:rPr>
        <w:t>天前向承包人移交施工现场。</w:t>
      </w:r>
    </w:p>
    <w:p w14:paraId="584B7FB1">
      <w:pPr>
        <w:spacing w:before="151" w:line="227" w:lineRule="auto"/>
        <w:ind w:left="418"/>
        <w:rPr>
          <w:rFonts w:ascii="宋体" w:hAnsi="宋体" w:eastAsia="宋体" w:cs="宋体"/>
          <w:sz w:val="20"/>
          <w:szCs w:val="20"/>
        </w:rPr>
      </w:pPr>
      <w:r>
        <w:rPr>
          <w:rFonts w:ascii="Times New Roman" w:hAnsi="Times New Roman" w:eastAsia="Times New Roman" w:cs="Times New Roman"/>
          <w:spacing w:val="6"/>
          <w:sz w:val="20"/>
          <w:szCs w:val="20"/>
        </w:rPr>
        <w:t xml:space="preserve">2.4.2  </w:t>
      </w:r>
      <w:r>
        <w:rPr>
          <w:rFonts w:ascii="宋体" w:hAnsi="宋体" w:eastAsia="宋体" w:cs="宋体"/>
          <w:spacing w:val="6"/>
          <w:sz w:val="20"/>
          <w:szCs w:val="20"/>
        </w:rPr>
        <w:t>提供施工条件</w:t>
      </w:r>
    </w:p>
    <w:p w14:paraId="6C01EB8B">
      <w:pPr>
        <w:spacing w:before="155" w:line="227" w:lineRule="auto"/>
        <w:ind w:left="434"/>
        <w:rPr>
          <w:rFonts w:ascii="宋体" w:hAnsi="宋体" w:eastAsia="宋体" w:cs="宋体"/>
          <w:sz w:val="20"/>
          <w:szCs w:val="20"/>
        </w:rPr>
      </w:pPr>
      <w:r>
        <w:rPr>
          <w:rFonts w:ascii="宋体" w:hAnsi="宋体" w:eastAsia="宋体" w:cs="宋体"/>
          <w:spacing w:val="9"/>
          <w:sz w:val="20"/>
          <w:szCs w:val="20"/>
        </w:rPr>
        <w:t>除专用合同条款另有约定外，发包人应负责提供施工所需要的条件，包括：</w:t>
      </w:r>
    </w:p>
    <w:p w14:paraId="1BA88C66">
      <w:pPr>
        <w:spacing w:before="155" w:line="228" w:lineRule="auto"/>
        <w:ind w:left="43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）将施工用水、电力、通讯线路等施工所必需的条件接至施</w:t>
      </w:r>
      <w:r>
        <w:rPr>
          <w:rFonts w:ascii="宋体" w:hAnsi="宋体" w:eastAsia="宋体" w:cs="宋体"/>
          <w:spacing w:val="8"/>
          <w:sz w:val="20"/>
          <w:szCs w:val="20"/>
        </w:rPr>
        <w:t>工现场内；</w:t>
      </w:r>
    </w:p>
    <w:p w14:paraId="4808E6C6">
      <w:pPr>
        <w:spacing w:before="151" w:line="227" w:lineRule="auto"/>
        <w:ind w:left="43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）保证向承包人提供正常施工所需要的进入施工现</w:t>
      </w:r>
      <w:r>
        <w:rPr>
          <w:rFonts w:ascii="宋体" w:hAnsi="宋体" w:eastAsia="宋体" w:cs="宋体"/>
          <w:spacing w:val="8"/>
          <w:sz w:val="20"/>
          <w:szCs w:val="20"/>
        </w:rPr>
        <w:t>场的交通条件；</w:t>
      </w:r>
    </w:p>
    <w:p w14:paraId="3D9C21CE">
      <w:pPr>
        <w:spacing w:before="155" w:line="369" w:lineRule="auto"/>
        <w:ind w:left="2" w:right="1"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）协调处理施工现场周围地下管线和邻近建筑物、构筑物、古树名木的保</w:t>
      </w:r>
      <w:r>
        <w:rPr>
          <w:rFonts w:ascii="宋体" w:hAnsi="宋体" w:eastAsia="宋体" w:cs="宋体"/>
          <w:spacing w:val="6"/>
          <w:sz w:val="20"/>
          <w:szCs w:val="20"/>
        </w:rPr>
        <w:t>护工作，并承担</w:t>
      </w:r>
      <w:r>
        <w:rPr>
          <w:rFonts w:ascii="宋体" w:hAnsi="宋体" w:eastAsia="宋体" w:cs="宋体"/>
          <w:spacing w:val="5"/>
          <w:sz w:val="20"/>
          <w:szCs w:val="20"/>
        </w:rPr>
        <w:t>相关费用；</w:t>
      </w:r>
    </w:p>
    <w:p w14:paraId="03DCD7FF">
      <w:pPr>
        <w:spacing w:before="1" w:line="226" w:lineRule="auto"/>
        <w:ind w:left="43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）按照专用合同条款约定应提供的其他设施和条件。</w:t>
      </w:r>
    </w:p>
    <w:p w14:paraId="4455985B">
      <w:pPr>
        <w:spacing w:before="155" w:line="227" w:lineRule="auto"/>
        <w:ind w:left="418"/>
        <w:rPr>
          <w:rFonts w:ascii="宋体" w:hAnsi="宋体" w:eastAsia="宋体" w:cs="宋体"/>
          <w:sz w:val="20"/>
          <w:szCs w:val="20"/>
        </w:rPr>
      </w:pPr>
      <w:r>
        <w:rPr>
          <w:rFonts w:ascii="Times New Roman" w:hAnsi="Times New Roman" w:eastAsia="Times New Roman" w:cs="Times New Roman"/>
          <w:spacing w:val="6"/>
          <w:sz w:val="20"/>
          <w:szCs w:val="20"/>
        </w:rPr>
        <w:t xml:space="preserve">2.4.3  </w:t>
      </w:r>
      <w:r>
        <w:rPr>
          <w:rFonts w:ascii="宋体" w:hAnsi="宋体" w:eastAsia="宋体" w:cs="宋体"/>
          <w:spacing w:val="6"/>
          <w:sz w:val="20"/>
          <w:szCs w:val="20"/>
        </w:rPr>
        <w:t>提供基础资料</w:t>
      </w:r>
    </w:p>
    <w:p w14:paraId="747A2A01">
      <w:pPr>
        <w:spacing w:before="154" w:line="369" w:lineRule="auto"/>
        <w:ind w:left="2" w:right="1" w:firstLine="423"/>
        <w:rPr>
          <w:rFonts w:ascii="宋体" w:hAnsi="宋体" w:eastAsia="宋体" w:cs="宋体"/>
          <w:sz w:val="20"/>
          <w:szCs w:val="20"/>
        </w:rPr>
      </w:pPr>
      <w:r>
        <w:rPr>
          <w:rFonts w:ascii="宋体" w:hAnsi="宋体" w:eastAsia="宋体" w:cs="宋体"/>
          <w:spacing w:val="10"/>
          <w:sz w:val="20"/>
          <w:szCs w:val="20"/>
        </w:rPr>
        <w:t>发包人应当在移交施工现场前向承包人提供施工现场及工程施</w:t>
      </w:r>
      <w:r>
        <w:rPr>
          <w:rFonts w:ascii="宋体" w:hAnsi="宋体" w:eastAsia="宋体" w:cs="宋体"/>
          <w:spacing w:val="9"/>
          <w:sz w:val="20"/>
          <w:szCs w:val="20"/>
        </w:rPr>
        <w:t>工所必需的毗邻区域内供水、</w:t>
      </w:r>
      <w:r>
        <w:rPr>
          <w:rFonts w:ascii="宋体" w:hAnsi="宋体" w:eastAsia="宋体" w:cs="宋体"/>
          <w:spacing w:val="10"/>
          <w:sz w:val="20"/>
          <w:szCs w:val="20"/>
        </w:rPr>
        <w:t>排水、供电、供气、供热、通信、广播电视等地下管线资料，气象和水文</w:t>
      </w:r>
      <w:r>
        <w:rPr>
          <w:rFonts w:ascii="宋体" w:hAnsi="宋体" w:eastAsia="宋体" w:cs="宋体"/>
          <w:spacing w:val="9"/>
          <w:sz w:val="20"/>
          <w:szCs w:val="20"/>
        </w:rPr>
        <w:t>观测资料，地质勘察资</w:t>
      </w:r>
      <w:r>
        <w:rPr>
          <w:rFonts w:ascii="宋体" w:hAnsi="宋体" w:eastAsia="宋体" w:cs="宋体"/>
          <w:spacing w:val="10"/>
          <w:sz w:val="20"/>
          <w:szCs w:val="20"/>
        </w:rPr>
        <w:t>料，相邻建筑物、构筑物和地下工程等有关基础资料，并对所提供资料的</w:t>
      </w:r>
      <w:r>
        <w:rPr>
          <w:rFonts w:ascii="宋体" w:hAnsi="宋体" w:eastAsia="宋体" w:cs="宋体"/>
          <w:spacing w:val="9"/>
          <w:sz w:val="20"/>
          <w:szCs w:val="20"/>
        </w:rPr>
        <w:t>真实性、准确性和完整</w:t>
      </w:r>
      <w:r>
        <w:rPr>
          <w:rFonts w:ascii="宋体" w:hAnsi="宋体" w:eastAsia="宋体" w:cs="宋体"/>
          <w:spacing w:val="5"/>
          <w:sz w:val="20"/>
          <w:szCs w:val="20"/>
        </w:rPr>
        <w:t>性负责。</w:t>
      </w:r>
    </w:p>
    <w:p w14:paraId="0E99D1F5">
      <w:pPr>
        <w:spacing w:before="3" w:line="369" w:lineRule="auto"/>
        <w:ind w:left="5" w:right="1" w:firstLine="418"/>
        <w:rPr>
          <w:rFonts w:ascii="宋体" w:hAnsi="宋体" w:eastAsia="宋体" w:cs="宋体"/>
          <w:sz w:val="20"/>
          <w:szCs w:val="20"/>
        </w:rPr>
      </w:pPr>
      <w:r>
        <w:rPr>
          <w:rFonts w:ascii="宋体" w:hAnsi="宋体" w:eastAsia="宋体" w:cs="宋体"/>
          <w:spacing w:val="10"/>
          <w:sz w:val="20"/>
          <w:szCs w:val="20"/>
        </w:rPr>
        <w:t>按照法律规定确需在开工后方能提供的基础资料，发包人应尽其努</w:t>
      </w:r>
      <w:r>
        <w:rPr>
          <w:rFonts w:ascii="宋体" w:hAnsi="宋体" w:eastAsia="宋体" w:cs="宋体"/>
          <w:spacing w:val="9"/>
          <w:sz w:val="20"/>
          <w:szCs w:val="20"/>
        </w:rPr>
        <w:t>力及时地在相应工程施工前的合理期限内提供，合理期限应以不影响承包人的正常施工为限。</w:t>
      </w:r>
    </w:p>
    <w:p w14:paraId="322EB860">
      <w:pPr>
        <w:spacing w:before="1" w:line="226" w:lineRule="auto"/>
        <w:ind w:left="418"/>
        <w:rPr>
          <w:rFonts w:ascii="宋体" w:hAnsi="宋体" w:eastAsia="宋体" w:cs="宋体"/>
          <w:sz w:val="20"/>
          <w:szCs w:val="20"/>
        </w:rPr>
      </w:pPr>
      <w:r>
        <w:rPr>
          <w:rFonts w:ascii="Times New Roman" w:hAnsi="Times New Roman" w:eastAsia="Times New Roman" w:cs="Times New Roman"/>
          <w:spacing w:val="6"/>
          <w:sz w:val="20"/>
          <w:szCs w:val="20"/>
        </w:rPr>
        <w:t xml:space="preserve">2.4.4  </w:t>
      </w:r>
      <w:r>
        <w:rPr>
          <w:rFonts w:ascii="宋体" w:hAnsi="宋体" w:eastAsia="宋体" w:cs="宋体"/>
          <w:spacing w:val="6"/>
          <w:sz w:val="20"/>
          <w:szCs w:val="20"/>
        </w:rPr>
        <w:t>逾期提供的责任</w:t>
      </w:r>
    </w:p>
    <w:p w14:paraId="126B1C24">
      <w:pPr>
        <w:spacing w:before="151" w:line="358" w:lineRule="auto"/>
        <w:ind w:left="4" w:right="1" w:firstLine="434"/>
        <w:rPr>
          <w:rFonts w:ascii="宋体" w:hAnsi="宋体" w:eastAsia="宋体" w:cs="宋体"/>
          <w:sz w:val="20"/>
          <w:szCs w:val="20"/>
        </w:rPr>
      </w:pPr>
      <w:r>
        <w:rPr>
          <w:rFonts w:ascii="宋体" w:hAnsi="宋体" w:eastAsia="宋体" w:cs="宋体"/>
          <w:spacing w:val="8"/>
          <w:sz w:val="20"/>
          <w:szCs w:val="20"/>
        </w:rPr>
        <w:t>因发包人原因未能按合同约定及时向承包人提供施工现场、施工条件、基础资料的，</w:t>
      </w:r>
      <w:r>
        <w:rPr>
          <w:rFonts w:ascii="宋体" w:hAnsi="宋体" w:eastAsia="宋体" w:cs="宋体"/>
          <w:spacing w:val="-46"/>
          <w:sz w:val="20"/>
          <w:szCs w:val="20"/>
        </w:rPr>
        <w:t xml:space="preserve"> </w:t>
      </w:r>
      <w:r>
        <w:rPr>
          <w:rFonts w:ascii="宋体" w:hAnsi="宋体" w:eastAsia="宋体" w:cs="宋体"/>
          <w:spacing w:val="8"/>
          <w:sz w:val="20"/>
          <w:szCs w:val="20"/>
        </w:rPr>
        <w:t>由发包人承担由此增加的费用和（或）延误的工期。</w:t>
      </w:r>
    </w:p>
    <w:p w14:paraId="0146B114">
      <w:pPr>
        <w:pStyle w:val="2"/>
        <w:spacing w:before="1" w:line="220" w:lineRule="auto"/>
        <w:rPr>
          <w:sz w:val="24"/>
          <w:szCs w:val="24"/>
        </w:rPr>
      </w:pPr>
      <w:r>
        <w:rPr>
          <w:rFonts w:ascii="Times New Roman" w:hAnsi="Times New Roman" w:eastAsia="Times New Roman" w:cs="Times New Roman"/>
          <w:b/>
          <w:bCs/>
          <w:spacing w:val="-2"/>
          <w:sz w:val="24"/>
          <w:szCs w:val="24"/>
        </w:rPr>
        <w:t xml:space="preserve">2.5  </w:t>
      </w:r>
      <w:r>
        <w:rPr>
          <w:b/>
          <w:bCs/>
          <w:spacing w:val="-2"/>
          <w:sz w:val="24"/>
          <w:szCs w:val="24"/>
        </w:rPr>
        <w:t>资金来源证明及支付担保</w:t>
      </w:r>
    </w:p>
    <w:p w14:paraId="73384CF1">
      <w:pPr>
        <w:spacing w:before="138" w:line="370" w:lineRule="auto"/>
        <w:ind w:left="6" w:firstLine="428"/>
        <w:rPr>
          <w:rFonts w:ascii="宋体" w:hAnsi="宋体" w:eastAsia="宋体" w:cs="宋体"/>
          <w:sz w:val="20"/>
          <w:szCs w:val="20"/>
        </w:rPr>
      </w:pPr>
      <w:r>
        <w:rPr>
          <w:rFonts w:ascii="宋体" w:hAnsi="宋体" w:eastAsia="宋体" w:cs="宋体"/>
          <w:spacing w:val="8"/>
          <w:sz w:val="20"/>
          <w:szCs w:val="20"/>
        </w:rPr>
        <w:t>除专用合同条款另有约定外，发包人应在收到承包人要求提供资金来源证明</w:t>
      </w:r>
      <w:r>
        <w:rPr>
          <w:rFonts w:ascii="宋体" w:hAnsi="宋体" w:eastAsia="宋体" w:cs="宋体"/>
          <w:spacing w:val="7"/>
          <w:sz w:val="20"/>
          <w:szCs w:val="20"/>
        </w:rPr>
        <w:t>的书面通知后</w:t>
      </w:r>
      <w:r>
        <w:rPr>
          <w:rFonts w:ascii="宋体" w:hAnsi="宋体" w:eastAsia="宋体" w:cs="宋体"/>
          <w:spacing w:val="-41"/>
          <w:sz w:val="20"/>
          <w:szCs w:val="20"/>
        </w:rPr>
        <w:t xml:space="preserve"> </w:t>
      </w:r>
      <w:r>
        <w:rPr>
          <w:rFonts w:ascii="Times New Roman" w:hAnsi="Times New Roman" w:eastAsia="Times New Roman" w:cs="Times New Roman"/>
          <w:spacing w:val="7"/>
          <w:sz w:val="20"/>
          <w:szCs w:val="20"/>
        </w:rPr>
        <w:t>28</w:t>
      </w:r>
      <w:r>
        <w:rPr>
          <w:rFonts w:ascii="宋体" w:hAnsi="宋体" w:eastAsia="宋体" w:cs="宋体"/>
          <w:spacing w:val="9"/>
          <w:sz w:val="20"/>
          <w:szCs w:val="20"/>
        </w:rPr>
        <w:t>天内，向承包人提供能够按照合同约定支付合同价款的相应资金来源证明。</w:t>
      </w:r>
    </w:p>
    <w:p w14:paraId="6BF87E05">
      <w:pPr>
        <w:spacing w:line="361" w:lineRule="auto"/>
        <w:ind w:left="3" w:right="1" w:firstLine="431"/>
        <w:jc w:val="both"/>
        <w:rPr>
          <w:rFonts w:ascii="宋体" w:hAnsi="宋体" w:eastAsia="宋体" w:cs="宋体"/>
          <w:sz w:val="20"/>
          <w:szCs w:val="20"/>
        </w:rPr>
      </w:pPr>
      <w:r>
        <w:rPr>
          <w:rFonts w:ascii="宋体" w:hAnsi="宋体" w:eastAsia="宋体" w:cs="宋体"/>
          <w:spacing w:val="9"/>
          <w:sz w:val="20"/>
          <w:szCs w:val="20"/>
        </w:rPr>
        <w:t>除专用合同条款另有约定外，发包人要求承包人提供履约担保的，发包人应当向承包人提供</w:t>
      </w:r>
      <w:r>
        <w:rPr>
          <w:rFonts w:ascii="宋体" w:hAnsi="宋体" w:eastAsia="宋体" w:cs="宋体"/>
          <w:spacing w:val="10"/>
          <w:sz w:val="20"/>
          <w:szCs w:val="20"/>
        </w:rPr>
        <w:t>支付担保。支付担保可以采用银行保函或担保公司担保等形式，具体由</w:t>
      </w:r>
      <w:r>
        <w:rPr>
          <w:rFonts w:ascii="宋体" w:hAnsi="宋体" w:eastAsia="宋体" w:cs="宋体"/>
          <w:spacing w:val="9"/>
          <w:sz w:val="20"/>
          <w:szCs w:val="20"/>
        </w:rPr>
        <w:t>合同当事人在专用合同条</w:t>
      </w:r>
      <w:r>
        <w:rPr>
          <w:rFonts w:ascii="宋体" w:hAnsi="宋体" w:eastAsia="宋体" w:cs="宋体"/>
          <w:spacing w:val="5"/>
          <w:sz w:val="20"/>
          <w:szCs w:val="20"/>
        </w:rPr>
        <w:t>款中约定。</w:t>
      </w:r>
    </w:p>
    <w:p w14:paraId="016653DC">
      <w:pPr>
        <w:pStyle w:val="2"/>
        <w:spacing w:before="1" w:line="221" w:lineRule="auto"/>
        <w:rPr>
          <w:sz w:val="24"/>
          <w:szCs w:val="24"/>
        </w:rPr>
      </w:pPr>
      <w:r>
        <w:rPr>
          <w:rFonts w:ascii="Times New Roman" w:hAnsi="Times New Roman" w:eastAsia="Times New Roman" w:cs="Times New Roman"/>
          <w:b/>
          <w:bCs/>
          <w:spacing w:val="-4"/>
          <w:sz w:val="24"/>
          <w:szCs w:val="24"/>
        </w:rPr>
        <w:t>2.6</w:t>
      </w:r>
      <w:r>
        <w:rPr>
          <w:rFonts w:ascii="Times New Roman" w:hAnsi="Times New Roman" w:eastAsia="Times New Roman" w:cs="Times New Roman"/>
          <w:b/>
          <w:bCs/>
          <w:spacing w:val="9"/>
          <w:sz w:val="24"/>
          <w:szCs w:val="24"/>
        </w:rPr>
        <w:t xml:space="preserve">  </w:t>
      </w:r>
      <w:r>
        <w:rPr>
          <w:b/>
          <w:bCs/>
          <w:spacing w:val="-4"/>
          <w:sz w:val="24"/>
          <w:szCs w:val="24"/>
        </w:rPr>
        <w:t>支付合同价款</w:t>
      </w:r>
    </w:p>
    <w:p w14:paraId="60368A89">
      <w:pPr>
        <w:spacing w:before="137" w:line="226" w:lineRule="auto"/>
        <w:ind w:left="425"/>
        <w:rPr>
          <w:rFonts w:ascii="宋体" w:hAnsi="宋体" w:eastAsia="宋体" w:cs="宋体"/>
          <w:sz w:val="20"/>
          <w:szCs w:val="20"/>
        </w:rPr>
      </w:pPr>
      <w:r>
        <w:rPr>
          <w:rFonts w:ascii="宋体" w:hAnsi="宋体" w:eastAsia="宋体" w:cs="宋体"/>
          <w:spacing w:val="9"/>
          <w:sz w:val="20"/>
          <w:szCs w:val="20"/>
        </w:rPr>
        <w:t>发包人应按合同约定向承包人及时支付合同价</w:t>
      </w:r>
      <w:r>
        <w:rPr>
          <w:rFonts w:ascii="宋体" w:hAnsi="宋体" w:eastAsia="宋体" w:cs="宋体"/>
          <w:spacing w:val="8"/>
          <w:sz w:val="20"/>
          <w:szCs w:val="20"/>
        </w:rPr>
        <w:t>款。</w:t>
      </w:r>
    </w:p>
    <w:p w14:paraId="0EA1CAED">
      <w:pPr>
        <w:pStyle w:val="2"/>
        <w:spacing w:before="129" w:line="221" w:lineRule="auto"/>
        <w:rPr>
          <w:sz w:val="24"/>
          <w:szCs w:val="24"/>
        </w:rPr>
      </w:pPr>
      <w:r>
        <w:rPr>
          <w:rFonts w:ascii="Times New Roman" w:hAnsi="Times New Roman" w:eastAsia="Times New Roman" w:cs="Times New Roman"/>
          <w:b/>
          <w:bCs/>
          <w:spacing w:val="-2"/>
          <w:sz w:val="24"/>
          <w:szCs w:val="24"/>
        </w:rPr>
        <w:t xml:space="preserve">2.7  </w:t>
      </w:r>
      <w:r>
        <w:rPr>
          <w:b/>
          <w:bCs/>
          <w:spacing w:val="-2"/>
          <w:sz w:val="24"/>
          <w:szCs w:val="24"/>
        </w:rPr>
        <w:t>组织竣工验收</w:t>
      </w:r>
    </w:p>
    <w:p w14:paraId="2395750B">
      <w:pPr>
        <w:spacing w:before="140" w:line="228" w:lineRule="auto"/>
        <w:ind w:left="425"/>
        <w:rPr>
          <w:rFonts w:ascii="宋体" w:hAnsi="宋体" w:eastAsia="宋体" w:cs="宋体"/>
          <w:sz w:val="20"/>
          <w:szCs w:val="20"/>
        </w:rPr>
      </w:pPr>
      <w:r>
        <w:rPr>
          <w:rFonts w:ascii="宋体" w:hAnsi="宋体" w:eastAsia="宋体" w:cs="宋体"/>
          <w:spacing w:val="8"/>
          <w:sz w:val="20"/>
          <w:szCs w:val="20"/>
        </w:rPr>
        <w:t>发包人应按合同约定及时组织竣工验收。</w:t>
      </w:r>
    </w:p>
    <w:p w14:paraId="302FC38F">
      <w:pPr>
        <w:spacing w:line="228" w:lineRule="auto"/>
        <w:rPr>
          <w:rFonts w:ascii="宋体" w:hAnsi="宋体" w:eastAsia="宋体" w:cs="宋体"/>
          <w:sz w:val="20"/>
          <w:szCs w:val="20"/>
        </w:rPr>
        <w:sectPr>
          <w:footerReference r:id="rId243" w:type="default"/>
          <w:pgSz w:w="11906" w:h="16839"/>
          <w:pgMar w:top="400" w:right="1553" w:bottom="1038" w:left="1536" w:header="0" w:footer="787" w:gutter="0"/>
          <w:cols w:space="720" w:num="1"/>
        </w:sectPr>
      </w:pPr>
    </w:p>
    <w:p w14:paraId="5610DF59">
      <w:pPr>
        <w:spacing w:line="261" w:lineRule="auto"/>
        <w:rPr>
          <w:rFonts w:ascii="Arial"/>
          <w:sz w:val="21"/>
        </w:rPr>
      </w:pPr>
    </w:p>
    <w:p w14:paraId="09545D8C">
      <w:pPr>
        <w:spacing w:line="262" w:lineRule="auto"/>
        <w:rPr>
          <w:rFonts w:ascii="Arial"/>
          <w:sz w:val="21"/>
        </w:rPr>
      </w:pPr>
    </w:p>
    <w:p w14:paraId="10848A4C">
      <w:pPr>
        <w:spacing w:line="262" w:lineRule="auto"/>
        <w:rPr>
          <w:rFonts w:ascii="Arial"/>
          <w:sz w:val="21"/>
        </w:rPr>
      </w:pPr>
    </w:p>
    <w:p w14:paraId="54508FA1">
      <w:pPr>
        <w:spacing w:line="262" w:lineRule="auto"/>
        <w:rPr>
          <w:rFonts w:ascii="Arial"/>
          <w:sz w:val="21"/>
        </w:rPr>
      </w:pPr>
    </w:p>
    <w:p w14:paraId="18C41F47">
      <w:pPr>
        <w:pStyle w:val="2"/>
        <w:spacing w:before="78" w:line="221" w:lineRule="auto"/>
        <w:ind w:left="1"/>
        <w:rPr>
          <w:sz w:val="24"/>
          <w:szCs w:val="24"/>
        </w:rPr>
      </w:pPr>
      <w:r>
        <w:rPr>
          <w:rFonts w:ascii="Times New Roman" w:hAnsi="Times New Roman" w:eastAsia="Times New Roman" w:cs="Times New Roman"/>
          <w:b/>
          <w:bCs/>
          <w:spacing w:val="-2"/>
          <w:sz w:val="24"/>
          <w:szCs w:val="24"/>
        </w:rPr>
        <w:t xml:space="preserve">2.8  </w:t>
      </w:r>
      <w:r>
        <w:rPr>
          <w:b/>
          <w:bCs/>
          <w:spacing w:val="-2"/>
          <w:sz w:val="24"/>
          <w:szCs w:val="24"/>
        </w:rPr>
        <w:t>现场统一管理协议</w:t>
      </w:r>
    </w:p>
    <w:p w14:paraId="2A95DFEE">
      <w:pPr>
        <w:spacing w:before="137" w:line="371" w:lineRule="auto"/>
        <w:ind w:left="4" w:right="68" w:firstLine="423"/>
        <w:rPr>
          <w:rFonts w:ascii="宋体" w:hAnsi="宋体" w:eastAsia="宋体" w:cs="宋体"/>
          <w:sz w:val="20"/>
          <w:szCs w:val="20"/>
        </w:rPr>
      </w:pPr>
      <w:r>
        <w:rPr>
          <w:rFonts w:ascii="宋体" w:hAnsi="宋体" w:eastAsia="宋体" w:cs="宋体"/>
          <w:spacing w:val="9"/>
          <w:sz w:val="20"/>
          <w:szCs w:val="20"/>
        </w:rPr>
        <w:t>发包人应与承包人、</w:t>
      </w:r>
      <w:r>
        <w:rPr>
          <w:rFonts w:ascii="宋体" w:hAnsi="宋体" w:eastAsia="宋体" w:cs="宋体"/>
          <w:spacing w:val="-58"/>
          <w:sz w:val="20"/>
          <w:szCs w:val="20"/>
        </w:rPr>
        <w:t xml:space="preserve"> </w:t>
      </w:r>
      <w:r>
        <w:rPr>
          <w:rFonts w:ascii="宋体" w:hAnsi="宋体" w:eastAsia="宋体" w:cs="宋体"/>
          <w:spacing w:val="9"/>
          <w:sz w:val="20"/>
          <w:szCs w:val="20"/>
        </w:rPr>
        <w:t>由发包人直接发包的专业工程的承包</w:t>
      </w:r>
      <w:r>
        <w:rPr>
          <w:rFonts w:ascii="宋体" w:hAnsi="宋体" w:eastAsia="宋体" w:cs="宋体"/>
          <w:spacing w:val="8"/>
          <w:sz w:val="20"/>
          <w:szCs w:val="20"/>
        </w:rPr>
        <w:t>人签订施工现场统一管理协议，明</w:t>
      </w:r>
      <w:r>
        <w:rPr>
          <w:rFonts w:ascii="宋体" w:hAnsi="宋体" w:eastAsia="宋体" w:cs="宋体"/>
          <w:spacing w:val="9"/>
          <w:sz w:val="20"/>
          <w:szCs w:val="20"/>
        </w:rPr>
        <w:t>确各方的权利义务。施工现场统一管理协议作为专用合同条款的附件。</w:t>
      </w:r>
    </w:p>
    <w:p w14:paraId="0EF88512">
      <w:pPr>
        <w:pStyle w:val="2"/>
        <w:spacing w:before="36" w:line="223" w:lineRule="auto"/>
        <w:outlineLvl w:val="2"/>
        <w:rPr>
          <w:sz w:val="28"/>
          <w:szCs w:val="28"/>
        </w:rPr>
      </w:pPr>
      <w:bookmarkStart w:id="265" w:name="bookmark247"/>
      <w:bookmarkEnd w:id="265"/>
      <w:r>
        <w:rPr>
          <w:rFonts w:ascii="Times New Roman" w:hAnsi="Times New Roman" w:eastAsia="Times New Roman" w:cs="Times New Roman"/>
          <w:b/>
          <w:bCs/>
          <w:spacing w:val="-2"/>
          <w:sz w:val="28"/>
          <w:szCs w:val="28"/>
        </w:rPr>
        <w:t xml:space="preserve">3.  </w:t>
      </w:r>
      <w:r>
        <w:rPr>
          <w:b/>
          <w:bCs/>
          <w:spacing w:val="-2"/>
          <w:sz w:val="28"/>
          <w:szCs w:val="28"/>
        </w:rPr>
        <w:t>承包人</w:t>
      </w:r>
    </w:p>
    <w:p w14:paraId="1DDA5BC8">
      <w:pPr>
        <w:pStyle w:val="2"/>
        <w:spacing w:before="95" w:line="221" w:lineRule="auto"/>
        <w:rPr>
          <w:sz w:val="24"/>
          <w:szCs w:val="24"/>
        </w:rPr>
      </w:pPr>
      <w:r>
        <w:rPr>
          <w:rFonts w:ascii="Times New Roman" w:hAnsi="Times New Roman" w:eastAsia="Times New Roman" w:cs="Times New Roman"/>
          <w:b/>
          <w:bCs/>
          <w:spacing w:val="-2"/>
          <w:sz w:val="24"/>
          <w:szCs w:val="24"/>
        </w:rPr>
        <w:t xml:space="preserve">3.1  </w:t>
      </w:r>
      <w:r>
        <w:rPr>
          <w:b/>
          <w:bCs/>
          <w:spacing w:val="-2"/>
          <w:sz w:val="24"/>
          <w:szCs w:val="24"/>
        </w:rPr>
        <w:t>承包人的一般义务</w:t>
      </w:r>
    </w:p>
    <w:p w14:paraId="52F31E08">
      <w:pPr>
        <w:spacing w:before="140" w:line="228" w:lineRule="auto"/>
        <w:ind w:left="424"/>
        <w:rPr>
          <w:rFonts w:ascii="宋体" w:hAnsi="宋体" w:eastAsia="宋体" w:cs="宋体"/>
          <w:sz w:val="20"/>
          <w:szCs w:val="20"/>
        </w:rPr>
      </w:pPr>
      <w:r>
        <w:rPr>
          <w:rFonts w:ascii="宋体" w:hAnsi="宋体" w:eastAsia="宋体" w:cs="宋体"/>
          <w:spacing w:val="9"/>
          <w:sz w:val="20"/>
          <w:szCs w:val="20"/>
        </w:rPr>
        <w:t>承包人在履行合同过程中应遵守法律和工程建设标准规范，并履行以下义务：</w:t>
      </w:r>
    </w:p>
    <w:p w14:paraId="2376B033">
      <w:pPr>
        <w:spacing w:before="152" w:line="227" w:lineRule="auto"/>
        <w:ind w:left="434"/>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）办理法律规定应由承包人办理的许可和批准，并将办理结果书面报送发包人留存；</w:t>
      </w:r>
    </w:p>
    <w:p w14:paraId="1D3FC59E">
      <w:pPr>
        <w:spacing w:before="154" w:line="228" w:lineRule="auto"/>
        <w:ind w:left="434"/>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）按法律规定和合同约定完成工程，并在保修期内</w:t>
      </w:r>
      <w:r>
        <w:rPr>
          <w:rFonts w:ascii="宋体" w:hAnsi="宋体" w:eastAsia="宋体" w:cs="宋体"/>
          <w:spacing w:val="8"/>
          <w:sz w:val="20"/>
          <w:szCs w:val="20"/>
        </w:rPr>
        <w:t>承担保修义务；</w:t>
      </w:r>
    </w:p>
    <w:p w14:paraId="1D1FEE9F">
      <w:pPr>
        <w:spacing w:before="154" w:line="369" w:lineRule="auto"/>
        <w:ind w:left="4" w:firstLine="430"/>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3</w:t>
      </w:r>
      <w:r>
        <w:rPr>
          <w:rFonts w:ascii="宋体" w:hAnsi="宋体" w:eastAsia="宋体" w:cs="宋体"/>
          <w:spacing w:val="4"/>
          <w:sz w:val="20"/>
          <w:szCs w:val="20"/>
        </w:rPr>
        <w:t>）按法律规定和合同约定采取施工安全和环境保</w:t>
      </w:r>
      <w:r>
        <w:rPr>
          <w:rFonts w:ascii="宋体" w:hAnsi="宋体" w:eastAsia="宋体" w:cs="宋体"/>
          <w:spacing w:val="3"/>
          <w:sz w:val="20"/>
          <w:szCs w:val="20"/>
        </w:rPr>
        <w:t>护措施，办理工伤保险，确保工程及人员、</w:t>
      </w:r>
      <w:r>
        <w:rPr>
          <w:rFonts w:ascii="宋体" w:hAnsi="宋体" w:eastAsia="宋体" w:cs="宋体"/>
          <w:spacing w:val="8"/>
          <w:sz w:val="20"/>
          <w:szCs w:val="20"/>
        </w:rPr>
        <w:t>材料、设备和设施的安全；</w:t>
      </w:r>
    </w:p>
    <w:p w14:paraId="73E4EBF0">
      <w:pPr>
        <w:spacing w:before="2" w:line="368" w:lineRule="auto"/>
        <w:ind w:left="3" w:right="70"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）按合同约定的工作内容和施工进度要求，编制施工组织设计和施工</w:t>
      </w:r>
      <w:r>
        <w:rPr>
          <w:rFonts w:ascii="宋体" w:hAnsi="宋体" w:eastAsia="宋体" w:cs="宋体"/>
          <w:spacing w:val="6"/>
          <w:sz w:val="20"/>
          <w:szCs w:val="20"/>
        </w:rPr>
        <w:t>措施计划，并对所有</w:t>
      </w:r>
      <w:r>
        <w:rPr>
          <w:rFonts w:ascii="宋体" w:hAnsi="宋体" w:eastAsia="宋体" w:cs="宋体"/>
          <w:spacing w:val="9"/>
          <w:sz w:val="20"/>
          <w:szCs w:val="20"/>
        </w:rPr>
        <w:t>施工作业和施工方法的完备性和安全可靠性负责；</w:t>
      </w:r>
    </w:p>
    <w:p w14:paraId="4F4C7432">
      <w:pPr>
        <w:spacing w:before="1" w:line="369" w:lineRule="auto"/>
        <w:ind w:left="4" w:right="68"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）在进行合同约定的各项工作时，不得侵害发包人与他人使用公用道</w:t>
      </w:r>
      <w:r>
        <w:rPr>
          <w:rFonts w:ascii="宋体" w:hAnsi="宋体" w:eastAsia="宋体" w:cs="宋体"/>
          <w:spacing w:val="6"/>
          <w:sz w:val="20"/>
          <w:szCs w:val="20"/>
        </w:rPr>
        <w:t>路、水源、市政管网</w:t>
      </w:r>
      <w:r>
        <w:rPr>
          <w:rFonts w:ascii="宋体" w:hAnsi="宋体" w:eastAsia="宋体" w:cs="宋体"/>
          <w:spacing w:val="10"/>
          <w:sz w:val="20"/>
          <w:szCs w:val="20"/>
        </w:rPr>
        <w:t>等公共设施的权利，避免对邻近的公共设施产生干扰。承包人占用或使用</w:t>
      </w:r>
      <w:r>
        <w:rPr>
          <w:rFonts w:ascii="宋体" w:hAnsi="宋体" w:eastAsia="宋体" w:cs="宋体"/>
          <w:spacing w:val="9"/>
          <w:sz w:val="20"/>
          <w:szCs w:val="20"/>
        </w:rPr>
        <w:t>他人的施工场地，影响</w:t>
      </w:r>
      <w:r>
        <w:rPr>
          <w:rFonts w:ascii="宋体" w:hAnsi="宋体" w:eastAsia="宋体" w:cs="宋体"/>
          <w:spacing w:val="8"/>
          <w:sz w:val="20"/>
          <w:szCs w:val="20"/>
        </w:rPr>
        <w:t>他人作业或生活的，应承担相应责任；</w:t>
      </w:r>
    </w:p>
    <w:p w14:paraId="27D27E1D">
      <w:pPr>
        <w:spacing w:before="1" w:line="227" w:lineRule="auto"/>
        <w:ind w:left="434"/>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）按照第</w:t>
      </w:r>
      <w:r>
        <w:rPr>
          <w:rFonts w:ascii="宋体" w:hAnsi="宋体" w:eastAsia="宋体" w:cs="宋体"/>
          <w:spacing w:val="-29"/>
          <w:sz w:val="20"/>
          <w:szCs w:val="20"/>
        </w:rPr>
        <w:t xml:space="preserve"> </w:t>
      </w:r>
      <w:r>
        <w:rPr>
          <w:rFonts w:ascii="Times New Roman" w:hAnsi="Times New Roman" w:eastAsia="Times New Roman" w:cs="Times New Roman"/>
          <w:spacing w:val="8"/>
          <w:sz w:val="20"/>
          <w:szCs w:val="20"/>
        </w:rPr>
        <w:t xml:space="preserve">6.3 </w:t>
      </w:r>
      <w:r>
        <w:rPr>
          <w:rFonts w:ascii="宋体" w:hAnsi="宋体" w:eastAsia="宋体" w:cs="宋体"/>
          <w:spacing w:val="8"/>
          <w:sz w:val="20"/>
          <w:szCs w:val="20"/>
        </w:rPr>
        <w:t>款〔环境保护〕约定负责施工场地及其周边环境与生态的保护工作；</w:t>
      </w:r>
    </w:p>
    <w:p w14:paraId="65E68A01">
      <w:pPr>
        <w:spacing w:before="153" w:line="369" w:lineRule="auto"/>
        <w:ind w:left="5" w:right="70" w:firstLine="42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7</w:t>
      </w:r>
      <w:r>
        <w:rPr>
          <w:rFonts w:ascii="宋体" w:hAnsi="宋体" w:eastAsia="宋体" w:cs="宋体"/>
          <w:spacing w:val="7"/>
          <w:sz w:val="20"/>
          <w:szCs w:val="20"/>
        </w:rPr>
        <w:t>）按第</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款〔安全文明施工〕约定采取施工安全措施，确保</w:t>
      </w:r>
      <w:r>
        <w:rPr>
          <w:rFonts w:ascii="宋体" w:hAnsi="宋体" w:eastAsia="宋体" w:cs="宋体"/>
          <w:spacing w:val="6"/>
          <w:sz w:val="20"/>
          <w:szCs w:val="20"/>
        </w:rPr>
        <w:t>工程及其人员、材料、设备</w:t>
      </w:r>
      <w:r>
        <w:rPr>
          <w:rFonts w:ascii="宋体" w:hAnsi="宋体" w:eastAsia="宋体" w:cs="宋体"/>
          <w:spacing w:val="9"/>
          <w:sz w:val="20"/>
          <w:szCs w:val="20"/>
        </w:rPr>
        <w:t>和设施的安全，防止因工程施工造成的人身伤害和财产损失；</w:t>
      </w:r>
    </w:p>
    <w:p w14:paraId="35BA3CB3">
      <w:pPr>
        <w:spacing w:before="3" w:line="369" w:lineRule="auto"/>
        <w:ind w:left="9" w:right="16" w:firstLine="425"/>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8</w:t>
      </w:r>
      <w:r>
        <w:rPr>
          <w:rFonts w:ascii="宋体" w:hAnsi="宋体" w:eastAsia="宋体" w:cs="宋体"/>
          <w:spacing w:val="8"/>
          <w:sz w:val="20"/>
          <w:szCs w:val="20"/>
        </w:rPr>
        <w:t>）将发包人按合同约定支付的各项价款专用于合同工程，且应及时支付其雇用人员工资，并及时向分包人支付合同价款；</w:t>
      </w:r>
    </w:p>
    <w:p w14:paraId="71108739">
      <w:pPr>
        <w:spacing w:before="1" w:line="368" w:lineRule="auto"/>
        <w:ind w:left="9" w:right="70" w:firstLine="425"/>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9</w:t>
      </w:r>
      <w:r>
        <w:rPr>
          <w:rFonts w:ascii="宋体" w:hAnsi="宋体" w:eastAsia="宋体" w:cs="宋体"/>
          <w:spacing w:val="7"/>
          <w:sz w:val="20"/>
          <w:szCs w:val="20"/>
        </w:rPr>
        <w:t>）按照法律规定和合同约定编制竣工资料，完成竣工资料立卷及归档</w:t>
      </w:r>
      <w:r>
        <w:rPr>
          <w:rFonts w:ascii="宋体" w:hAnsi="宋体" w:eastAsia="宋体" w:cs="宋体"/>
          <w:spacing w:val="6"/>
          <w:sz w:val="20"/>
          <w:szCs w:val="20"/>
        </w:rPr>
        <w:t>，并按专用合同条款</w:t>
      </w:r>
      <w:r>
        <w:rPr>
          <w:rFonts w:ascii="宋体" w:hAnsi="宋体" w:eastAsia="宋体" w:cs="宋体"/>
          <w:spacing w:val="9"/>
          <w:sz w:val="20"/>
          <w:szCs w:val="20"/>
        </w:rPr>
        <w:t>约定的竣工资料的套数、内容、时间等要求移交发包</w:t>
      </w:r>
      <w:r>
        <w:rPr>
          <w:rFonts w:ascii="宋体" w:hAnsi="宋体" w:eastAsia="宋体" w:cs="宋体"/>
          <w:spacing w:val="8"/>
          <w:sz w:val="20"/>
          <w:szCs w:val="20"/>
        </w:rPr>
        <w:t>人；</w:t>
      </w:r>
    </w:p>
    <w:p w14:paraId="7C098D98">
      <w:pPr>
        <w:spacing w:before="1" w:line="227" w:lineRule="auto"/>
        <w:ind w:left="434"/>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10</w:t>
      </w:r>
      <w:r>
        <w:rPr>
          <w:rFonts w:ascii="宋体" w:hAnsi="宋体" w:eastAsia="宋体" w:cs="宋体"/>
          <w:spacing w:val="6"/>
          <w:sz w:val="20"/>
          <w:szCs w:val="20"/>
        </w:rPr>
        <w:t>）应履行的其他义务。</w:t>
      </w:r>
    </w:p>
    <w:p w14:paraId="313E9804">
      <w:pPr>
        <w:pStyle w:val="2"/>
        <w:spacing w:before="127" w:line="222" w:lineRule="auto"/>
        <w:rPr>
          <w:sz w:val="24"/>
          <w:szCs w:val="24"/>
        </w:rPr>
      </w:pPr>
      <w:r>
        <w:rPr>
          <w:rFonts w:ascii="Times New Roman" w:hAnsi="Times New Roman" w:eastAsia="Times New Roman" w:cs="Times New Roman"/>
          <w:b/>
          <w:bCs/>
          <w:spacing w:val="-2"/>
          <w:sz w:val="24"/>
          <w:szCs w:val="24"/>
        </w:rPr>
        <w:t xml:space="preserve">3.2  </w:t>
      </w:r>
      <w:r>
        <w:rPr>
          <w:b/>
          <w:bCs/>
          <w:spacing w:val="-2"/>
          <w:sz w:val="24"/>
          <w:szCs w:val="24"/>
        </w:rPr>
        <w:t>项目经理</w:t>
      </w:r>
    </w:p>
    <w:p w14:paraId="7E54DC33">
      <w:pPr>
        <w:spacing w:before="139" w:line="369" w:lineRule="auto"/>
        <w:ind w:left="3" w:right="68" w:firstLine="421"/>
        <w:jc w:val="both"/>
        <w:rPr>
          <w:rFonts w:ascii="宋体" w:hAnsi="宋体" w:eastAsia="宋体" w:cs="宋体"/>
          <w:sz w:val="20"/>
          <w:szCs w:val="20"/>
        </w:rPr>
      </w:pPr>
      <w:r>
        <w:rPr>
          <w:rFonts w:ascii="Times New Roman" w:hAnsi="Times New Roman" w:eastAsia="Times New Roman" w:cs="Times New Roman"/>
          <w:spacing w:val="6"/>
          <w:sz w:val="20"/>
          <w:szCs w:val="20"/>
        </w:rPr>
        <w:t>3.2.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项目经理应为合同当事人所确认的人选，并在专用合同条款中明确项目经理</w:t>
      </w:r>
      <w:r>
        <w:rPr>
          <w:rFonts w:ascii="宋体" w:hAnsi="宋体" w:eastAsia="宋体" w:cs="宋体"/>
          <w:spacing w:val="5"/>
          <w:sz w:val="20"/>
          <w:szCs w:val="20"/>
        </w:rPr>
        <w:t>的姓名、职</w:t>
      </w:r>
      <w:r>
        <w:rPr>
          <w:rFonts w:ascii="宋体" w:hAnsi="宋体" w:eastAsia="宋体" w:cs="宋体"/>
          <w:spacing w:val="10"/>
          <w:sz w:val="20"/>
          <w:szCs w:val="20"/>
        </w:rPr>
        <w:t>称、注册执业证书编号、联系方式及授权范围等事项，项目经理经承包人授</w:t>
      </w:r>
      <w:r>
        <w:rPr>
          <w:rFonts w:ascii="宋体" w:hAnsi="宋体" w:eastAsia="宋体" w:cs="宋体"/>
          <w:spacing w:val="9"/>
          <w:sz w:val="20"/>
          <w:szCs w:val="20"/>
        </w:rPr>
        <w:t>权后代表承包人负责</w:t>
      </w:r>
      <w:r>
        <w:rPr>
          <w:rFonts w:ascii="宋体" w:hAnsi="宋体" w:eastAsia="宋体" w:cs="宋体"/>
          <w:spacing w:val="10"/>
          <w:sz w:val="20"/>
          <w:szCs w:val="20"/>
        </w:rPr>
        <w:t>履行合同。项目经理应是承包人正式聘用的员工，承包人应向发包人提交项</w:t>
      </w:r>
      <w:r>
        <w:rPr>
          <w:rFonts w:ascii="宋体" w:hAnsi="宋体" w:eastAsia="宋体" w:cs="宋体"/>
          <w:spacing w:val="9"/>
          <w:sz w:val="20"/>
          <w:szCs w:val="20"/>
        </w:rPr>
        <w:t>目经理与承包人之间</w:t>
      </w:r>
      <w:r>
        <w:rPr>
          <w:rFonts w:ascii="宋体" w:hAnsi="宋体" w:eastAsia="宋体" w:cs="宋体"/>
          <w:spacing w:val="10"/>
          <w:sz w:val="20"/>
          <w:szCs w:val="20"/>
        </w:rPr>
        <w:t>的劳动合同，以及承包人为项目经理缴纳社会保险的有效证明。承包人不提</w:t>
      </w:r>
      <w:r>
        <w:rPr>
          <w:rFonts w:ascii="宋体" w:hAnsi="宋体" w:eastAsia="宋体" w:cs="宋体"/>
          <w:spacing w:val="9"/>
          <w:sz w:val="20"/>
          <w:szCs w:val="20"/>
        </w:rPr>
        <w:t>交上述文件的，项目经理无权履行职责，发包人有权要求更换项目经理，</w:t>
      </w:r>
      <w:r>
        <w:rPr>
          <w:rFonts w:ascii="宋体" w:hAnsi="宋体" w:eastAsia="宋体" w:cs="宋体"/>
          <w:spacing w:val="-58"/>
          <w:sz w:val="20"/>
          <w:szCs w:val="20"/>
        </w:rPr>
        <w:t xml:space="preserve"> </w:t>
      </w:r>
      <w:r>
        <w:rPr>
          <w:rFonts w:ascii="宋体" w:hAnsi="宋体" w:eastAsia="宋体" w:cs="宋体"/>
          <w:spacing w:val="9"/>
          <w:sz w:val="20"/>
          <w:szCs w:val="20"/>
        </w:rPr>
        <w:t>由此增加的费用和（或</w:t>
      </w:r>
      <w:r>
        <w:rPr>
          <w:rFonts w:ascii="宋体" w:hAnsi="宋体" w:eastAsia="宋体" w:cs="宋体"/>
          <w:spacing w:val="8"/>
          <w:sz w:val="20"/>
          <w:szCs w:val="20"/>
        </w:rPr>
        <w:t>）延误的工期由承包</w:t>
      </w:r>
      <w:r>
        <w:rPr>
          <w:rFonts w:ascii="宋体" w:hAnsi="宋体" w:eastAsia="宋体" w:cs="宋体"/>
          <w:spacing w:val="5"/>
          <w:sz w:val="20"/>
          <w:szCs w:val="20"/>
        </w:rPr>
        <w:t>人承担。</w:t>
      </w:r>
    </w:p>
    <w:p w14:paraId="7A8E1FD3">
      <w:pPr>
        <w:spacing w:before="4" w:line="369" w:lineRule="auto"/>
        <w:ind w:left="5" w:right="68" w:firstLine="421"/>
        <w:jc w:val="both"/>
        <w:rPr>
          <w:rFonts w:ascii="宋体" w:hAnsi="宋体" w:eastAsia="宋体" w:cs="宋体"/>
          <w:sz w:val="20"/>
          <w:szCs w:val="20"/>
        </w:rPr>
      </w:pPr>
      <w:r>
        <w:rPr>
          <w:rFonts w:ascii="宋体" w:hAnsi="宋体" w:eastAsia="宋体" w:cs="宋体"/>
          <w:spacing w:val="10"/>
          <w:sz w:val="20"/>
          <w:szCs w:val="20"/>
        </w:rPr>
        <w:t>项目经理应常驻施工现场，且每月在施工现场时间不得少于专</w:t>
      </w:r>
      <w:r>
        <w:rPr>
          <w:rFonts w:ascii="宋体" w:hAnsi="宋体" w:eastAsia="宋体" w:cs="宋体"/>
          <w:spacing w:val="9"/>
          <w:sz w:val="20"/>
          <w:szCs w:val="20"/>
        </w:rPr>
        <w:t>用合同条款约定的天数。项目</w:t>
      </w:r>
      <w:r>
        <w:rPr>
          <w:rFonts w:ascii="宋体" w:hAnsi="宋体" w:eastAsia="宋体" w:cs="宋体"/>
          <w:spacing w:val="10"/>
          <w:sz w:val="20"/>
          <w:szCs w:val="20"/>
        </w:rPr>
        <w:t>经理不得同时担任其他项目的项目经理。项目经理确需离开施工现场时</w:t>
      </w:r>
      <w:r>
        <w:rPr>
          <w:rFonts w:ascii="宋体" w:hAnsi="宋体" w:eastAsia="宋体" w:cs="宋体"/>
          <w:spacing w:val="9"/>
          <w:sz w:val="20"/>
          <w:szCs w:val="20"/>
        </w:rPr>
        <w:t>，应事先通知监理人，并</w:t>
      </w:r>
      <w:r>
        <w:rPr>
          <w:rFonts w:ascii="宋体" w:hAnsi="宋体" w:eastAsia="宋体" w:cs="宋体"/>
          <w:spacing w:val="10"/>
          <w:sz w:val="20"/>
          <w:szCs w:val="20"/>
        </w:rPr>
        <w:t>取得发包人的书面同意。项目经理的通知中应当载明临时代行其职责的</w:t>
      </w:r>
      <w:r>
        <w:rPr>
          <w:rFonts w:ascii="宋体" w:hAnsi="宋体" w:eastAsia="宋体" w:cs="宋体"/>
          <w:spacing w:val="9"/>
          <w:sz w:val="20"/>
          <w:szCs w:val="20"/>
        </w:rPr>
        <w:t>人员的注册执业资格、管理经验等资料，该人员应具备履行相应职责的能力。</w:t>
      </w:r>
    </w:p>
    <w:p w14:paraId="2A2A59F7">
      <w:pPr>
        <w:spacing w:line="369" w:lineRule="auto"/>
        <w:rPr>
          <w:rFonts w:ascii="宋体" w:hAnsi="宋体" w:eastAsia="宋体" w:cs="宋体"/>
          <w:sz w:val="20"/>
          <w:szCs w:val="20"/>
        </w:rPr>
        <w:sectPr>
          <w:footerReference r:id="rId244" w:type="default"/>
          <w:pgSz w:w="11906" w:h="16839"/>
          <w:pgMar w:top="400" w:right="1486" w:bottom="1038" w:left="1535" w:header="0" w:footer="787" w:gutter="0"/>
          <w:cols w:space="720" w:num="1"/>
        </w:sectPr>
      </w:pPr>
    </w:p>
    <w:p w14:paraId="3CD6569E">
      <w:pPr>
        <w:spacing w:line="271" w:lineRule="auto"/>
        <w:rPr>
          <w:rFonts w:ascii="Arial"/>
          <w:sz w:val="21"/>
        </w:rPr>
      </w:pPr>
    </w:p>
    <w:p w14:paraId="31AF7F64">
      <w:pPr>
        <w:spacing w:line="271" w:lineRule="auto"/>
        <w:rPr>
          <w:rFonts w:ascii="Arial"/>
          <w:sz w:val="21"/>
        </w:rPr>
      </w:pPr>
    </w:p>
    <w:p w14:paraId="5CDA7F5A">
      <w:pPr>
        <w:spacing w:line="272" w:lineRule="auto"/>
        <w:rPr>
          <w:rFonts w:ascii="Arial"/>
          <w:sz w:val="21"/>
        </w:rPr>
      </w:pPr>
    </w:p>
    <w:p w14:paraId="1E9AE82F">
      <w:pPr>
        <w:spacing w:line="272" w:lineRule="auto"/>
        <w:rPr>
          <w:rFonts w:ascii="Arial"/>
          <w:sz w:val="21"/>
        </w:rPr>
      </w:pPr>
    </w:p>
    <w:p w14:paraId="3383AC32">
      <w:pPr>
        <w:spacing w:before="65" w:line="228" w:lineRule="auto"/>
        <w:ind w:left="424"/>
        <w:rPr>
          <w:rFonts w:ascii="宋体" w:hAnsi="宋体" w:eastAsia="宋体" w:cs="宋体"/>
          <w:sz w:val="20"/>
          <w:szCs w:val="20"/>
        </w:rPr>
      </w:pPr>
      <w:r>
        <w:rPr>
          <w:rFonts w:ascii="宋体" w:hAnsi="宋体" w:eastAsia="宋体" w:cs="宋体"/>
          <w:spacing w:val="9"/>
          <w:sz w:val="20"/>
          <w:szCs w:val="20"/>
        </w:rPr>
        <w:t>承包人违反上述约定的，应按照专用合同条款的约定，承担违约责任。</w:t>
      </w:r>
    </w:p>
    <w:p w14:paraId="345253B4">
      <w:pPr>
        <w:spacing w:before="152" w:line="369" w:lineRule="auto"/>
        <w:ind w:left="5" w:right="2" w:firstLine="418"/>
        <w:rPr>
          <w:rFonts w:ascii="宋体" w:hAnsi="宋体" w:eastAsia="宋体" w:cs="宋体"/>
          <w:sz w:val="20"/>
          <w:szCs w:val="20"/>
        </w:rPr>
      </w:pPr>
      <w:r>
        <w:rPr>
          <w:rFonts w:ascii="Times New Roman" w:hAnsi="Times New Roman" w:eastAsia="Times New Roman" w:cs="Times New Roman"/>
          <w:spacing w:val="6"/>
          <w:sz w:val="20"/>
          <w:szCs w:val="20"/>
        </w:rPr>
        <w:t xml:space="preserve">3.2.2  </w:t>
      </w:r>
      <w:r>
        <w:rPr>
          <w:rFonts w:ascii="宋体" w:hAnsi="宋体" w:eastAsia="宋体" w:cs="宋体"/>
          <w:spacing w:val="6"/>
          <w:sz w:val="20"/>
          <w:szCs w:val="20"/>
        </w:rPr>
        <w:t>项目经理按合同约定组织工程实施。在紧急情况下为确保施工安全和人员安全，在无法</w:t>
      </w:r>
      <w:r>
        <w:rPr>
          <w:rFonts w:ascii="宋体" w:hAnsi="宋体" w:eastAsia="宋体" w:cs="宋体"/>
          <w:spacing w:val="10"/>
          <w:sz w:val="20"/>
          <w:szCs w:val="20"/>
        </w:rPr>
        <w:t>与发包人代表和总监理工程师及时取得联系时，项目经理有权采</w:t>
      </w:r>
      <w:r>
        <w:rPr>
          <w:rFonts w:ascii="宋体" w:hAnsi="宋体" w:eastAsia="宋体" w:cs="宋体"/>
          <w:spacing w:val="9"/>
          <w:sz w:val="20"/>
          <w:szCs w:val="20"/>
        </w:rPr>
        <w:t>取必要的措施保证与工程有关的人身、财产和工程的安全，但应在</w:t>
      </w:r>
      <w:r>
        <w:rPr>
          <w:rFonts w:ascii="宋体" w:hAnsi="宋体" w:eastAsia="宋体" w:cs="宋体"/>
          <w:spacing w:val="-44"/>
          <w:sz w:val="20"/>
          <w:szCs w:val="20"/>
        </w:rPr>
        <w:t xml:space="preserve"> </w:t>
      </w:r>
      <w:r>
        <w:rPr>
          <w:rFonts w:ascii="Times New Roman" w:hAnsi="Times New Roman" w:eastAsia="Times New Roman" w:cs="Times New Roman"/>
          <w:spacing w:val="9"/>
          <w:sz w:val="20"/>
          <w:szCs w:val="20"/>
        </w:rPr>
        <w:t>48</w:t>
      </w:r>
      <w:r>
        <w:rPr>
          <w:rFonts w:ascii="Times New Roman" w:hAnsi="Times New Roman" w:eastAsia="Times New Roman" w:cs="Times New Roman"/>
          <w:spacing w:val="18"/>
          <w:sz w:val="20"/>
          <w:szCs w:val="20"/>
        </w:rPr>
        <w:t xml:space="preserve"> </w:t>
      </w:r>
      <w:r>
        <w:rPr>
          <w:rFonts w:ascii="宋体" w:hAnsi="宋体" w:eastAsia="宋体" w:cs="宋体"/>
          <w:spacing w:val="9"/>
          <w:sz w:val="20"/>
          <w:szCs w:val="20"/>
        </w:rPr>
        <w:t>小时内向发包人代表和总</w:t>
      </w:r>
      <w:r>
        <w:rPr>
          <w:rFonts w:ascii="宋体" w:hAnsi="宋体" w:eastAsia="宋体" w:cs="宋体"/>
          <w:spacing w:val="8"/>
          <w:sz w:val="20"/>
          <w:szCs w:val="20"/>
        </w:rPr>
        <w:t>监理工程师提交书面报告。</w:t>
      </w:r>
    </w:p>
    <w:p w14:paraId="356CF72D">
      <w:pPr>
        <w:spacing w:before="1" w:line="369" w:lineRule="auto"/>
        <w:ind w:left="5" w:firstLine="419"/>
        <w:rPr>
          <w:rFonts w:ascii="宋体" w:hAnsi="宋体" w:eastAsia="宋体" w:cs="宋体"/>
          <w:sz w:val="20"/>
          <w:szCs w:val="20"/>
        </w:rPr>
      </w:pPr>
      <w:r>
        <w:rPr>
          <w:rFonts w:ascii="Times New Roman" w:hAnsi="Times New Roman" w:eastAsia="Times New Roman" w:cs="Times New Roman"/>
          <w:spacing w:val="8"/>
          <w:sz w:val="20"/>
          <w:szCs w:val="20"/>
        </w:rPr>
        <w:t xml:space="preserve">3.2.3  </w:t>
      </w:r>
      <w:r>
        <w:rPr>
          <w:rFonts w:ascii="宋体" w:hAnsi="宋体" w:eastAsia="宋体" w:cs="宋体"/>
          <w:spacing w:val="8"/>
          <w:sz w:val="20"/>
          <w:szCs w:val="20"/>
        </w:rPr>
        <w:t>承包人需要更换项目经理的，应提前</w:t>
      </w:r>
      <w:r>
        <w:rPr>
          <w:rFonts w:ascii="宋体" w:hAnsi="宋体" w:eastAsia="宋体" w:cs="宋体"/>
          <w:spacing w:val="-25"/>
          <w:sz w:val="20"/>
          <w:szCs w:val="20"/>
        </w:rPr>
        <w:t xml:space="preserve"> </w:t>
      </w:r>
      <w:r>
        <w:rPr>
          <w:rFonts w:ascii="Times New Roman" w:hAnsi="Times New Roman" w:eastAsia="Times New Roman" w:cs="Times New Roman"/>
          <w:spacing w:val="8"/>
          <w:sz w:val="20"/>
          <w:szCs w:val="20"/>
        </w:rPr>
        <w:t>14</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天书面通知发包人和</w:t>
      </w:r>
      <w:r>
        <w:rPr>
          <w:rFonts w:ascii="宋体" w:hAnsi="宋体" w:eastAsia="宋体" w:cs="宋体"/>
          <w:spacing w:val="7"/>
          <w:sz w:val="20"/>
          <w:szCs w:val="20"/>
        </w:rPr>
        <w:t>监理人，并征得发包人书</w:t>
      </w:r>
      <w:r>
        <w:rPr>
          <w:rFonts w:ascii="宋体" w:hAnsi="宋体" w:eastAsia="宋体" w:cs="宋体"/>
          <w:spacing w:val="10"/>
          <w:sz w:val="20"/>
          <w:szCs w:val="20"/>
        </w:rPr>
        <w:t>面同意。通知中应当载明继任项目经理的注册执业资格、管理经验等资</w:t>
      </w:r>
      <w:r>
        <w:rPr>
          <w:rFonts w:ascii="宋体" w:hAnsi="宋体" w:eastAsia="宋体" w:cs="宋体"/>
          <w:spacing w:val="9"/>
          <w:sz w:val="20"/>
          <w:szCs w:val="20"/>
        </w:rPr>
        <w:t>料，继任项目经理继续履</w:t>
      </w:r>
      <w:r>
        <w:rPr>
          <w:rFonts w:ascii="宋体" w:hAnsi="宋体" w:eastAsia="宋体" w:cs="宋体"/>
          <w:spacing w:val="6"/>
          <w:sz w:val="20"/>
          <w:szCs w:val="20"/>
        </w:rPr>
        <w:t>行第</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3.2.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15"/>
          <w:w w:val="101"/>
          <w:sz w:val="20"/>
          <w:szCs w:val="20"/>
        </w:rPr>
        <w:t xml:space="preserve"> </w:t>
      </w:r>
      <w:r>
        <w:rPr>
          <w:rFonts w:ascii="宋体" w:hAnsi="宋体" w:eastAsia="宋体" w:cs="宋体"/>
          <w:spacing w:val="6"/>
          <w:sz w:val="20"/>
          <w:szCs w:val="20"/>
        </w:rPr>
        <w:t>项约定的职责。未经发包人书面同意，承包人不</w:t>
      </w:r>
      <w:r>
        <w:rPr>
          <w:rFonts w:ascii="宋体" w:hAnsi="宋体" w:eastAsia="宋体" w:cs="宋体"/>
          <w:spacing w:val="5"/>
          <w:sz w:val="20"/>
          <w:szCs w:val="20"/>
        </w:rPr>
        <w:t>得擅自更换项目经理。承包人擅自更换</w:t>
      </w:r>
      <w:r>
        <w:rPr>
          <w:rFonts w:ascii="宋体" w:hAnsi="宋体" w:eastAsia="宋体" w:cs="宋体"/>
          <w:spacing w:val="9"/>
          <w:sz w:val="20"/>
          <w:szCs w:val="20"/>
        </w:rPr>
        <w:t>项目经理的，应按照专用合同条款的约定承担违约责任。</w:t>
      </w:r>
    </w:p>
    <w:p w14:paraId="4AB635BA">
      <w:pPr>
        <w:spacing w:line="369" w:lineRule="auto"/>
        <w:ind w:left="4" w:right="2" w:firstLine="420"/>
        <w:rPr>
          <w:rFonts w:ascii="宋体" w:hAnsi="宋体" w:eastAsia="宋体" w:cs="宋体"/>
          <w:sz w:val="20"/>
          <w:szCs w:val="20"/>
        </w:rPr>
      </w:pPr>
      <w:r>
        <w:rPr>
          <w:rFonts w:ascii="Times New Roman" w:hAnsi="Times New Roman" w:eastAsia="Times New Roman" w:cs="Times New Roman"/>
          <w:spacing w:val="6"/>
          <w:sz w:val="20"/>
          <w:szCs w:val="20"/>
        </w:rPr>
        <w:t xml:space="preserve">3.2.4  </w:t>
      </w:r>
      <w:r>
        <w:rPr>
          <w:rFonts w:ascii="宋体" w:hAnsi="宋体" w:eastAsia="宋体" w:cs="宋体"/>
          <w:spacing w:val="6"/>
          <w:sz w:val="20"/>
          <w:szCs w:val="20"/>
        </w:rPr>
        <w:t>发包人有权书面通知承包人更换其认为不称职的项目经理，通知中应当载明要求更换的理由。承包人应在接到更换通知后</w:t>
      </w:r>
      <w:r>
        <w:rPr>
          <w:rFonts w:ascii="宋体" w:hAnsi="宋体" w:eastAsia="宋体" w:cs="宋体"/>
          <w:spacing w:val="-16"/>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天内向发包人提出书面的改进报告。发包人收到改进报告后</w:t>
      </w:r>
      <w:r>
        <w:rPr>
          <w:rFonts w:ascii="宋体" w:hAnsi="宋体" w:eastAsia="宋体" w:cs="宋体"/>
          <w:spacing w:val="7"/>
          <w:sz w:val="20"/>
          <w:szCs w:val="20"/>
        </w:rPr>
        <w:t>仍要求更换的，承包人应在接到第二次更换通知的</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28 </w:t>
      </w:r>
      <w:r>
        <w:rPr>
          <w:rFonts w:ascii="宋体" w:hAnsi="宋体" w:eastAsia="宋体" w:cs="宋体"/>
          <w:spacing w:val="7"/>
          <w:sz w:val="20"/>
          <w:szCs w:val="20"/>
        </w:rPr>
        <w:t>天内进行更换，并将新任命</w:t>
      </w:r>
      <w:r>
        <w:rPr>
          <w:rFonts w:ascii="宋体" w:hAnsi="宋体" w:eastAsia="宋体" w:cs="宋体"/>
          <w:spacing w:val="6"/>
          <w:sz w:val="20"/>
          <w:szCs w:val="20"/>
        </w:rPr>
        <w:t>的项目经理的注册执业资格、管理经验等资料书面通知发包人。继任项目经理继续履行第</w:t>
      </w:r>
      <w:r>
        <w:rPr>
          <w:rFonts w:ascii="宋体" w:hAnsi="宋体" w:eastAsia="宋体" w:cs="宋体"/>
          <w:spacing w:val="-37"/>
          <w:sz w:val="20"/>
          <w:szCs w:val="20"/>
        </w:rPr>
        <w:t xml:space="preserve"> </w:t>
      </w:r>
      <w:r>
        <w:rPr>
          <w:rFonts w:ascii="Times New Roman" w:hAnsi="Times New Roman" w:eastAsia="Times New Roman" w:cs="Times New Roman"/>
          <w:spacing w:val="6"/>
          <w:sz w:val="20"/>
          <w:szCs w:val="20"/>
        </w:rPr>
        <w:t>3.2.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项约</w:t>
      </w:r>
      <w:r>
        <w:rPr>
          <w:rFonts w:ascii="宋体" w:hAnsi="宋体" w:eastAsia="宋体" w:cs="宋体"/>
          <w:spacing w:val="5"/>
          <w:sz w:val="20"/>
          <w:szCs w:val="20"/>
        </w:rPr>
        <w:t>定的职责。承</w:t>
      </w:r>
      <w:r>
        <w:rPr>
          <w:rFonts w:ascii="宋体" w:hAnsi="宋体" w:eastAsia="宋体" w:cs="宋体"/>
          <w:spacing w:val="9"/>
          <w:sz w:val="20"/>
          <w:szCs w:val="20"/>
        </w:rPr>
        <w:t>包人无正当理由拒绝更换项目经理的，应按照专用合同条款的约定承担违约责任。</w:t>
      </w:r>
    </w:p>
    <w:p w14:paraId="62384FD5">
      <w:pPr>
        <w:spacing w:before="3" w:line="361" w:lineRule="auto"/>
        <w:ind w:left="4" w:firstLine="420"/>
        <w:rPr>
          <w:rFonts w:ascii="宋体" w:hAnsi="宋体" w:eastAsia="宋体" w:cs="宋体"/>
          <w:sz w:val="20"/>
          <w:szCs w:val="20"/>
        </w:rPr>
      </w:pPr>
      <w:r>
        <w:rPr>
          <w:rFonts w:ascii="Times New Roman" w:hAnsi="Times New Roman" w:eastAsia="Times New Roman" w:cs="Times New Roman"/>
          <w:spacing w:val="7"/>
          <w:sz w:val="20"/>
          <w:szCs w:val="20"/>
        </w:rPr>
        <w:t xml:space="preserve">3.2.5  </w:t>
      </w:r>
      <w:r>
        <w:rPr>
          <w:rFonts w:ascii="宋体" w:hAnsi="宋体" w:eastAsia="宋体" w:cs="宋体"/>
          <w:spacing w:val="7"/>
          <w:sz w:val="20"/>
          <w:szCs w:val="20"/>
        </w:rPr>
        <w:t>项目经理因特殊情况授权其下</w:t>
      </w:r>
      <w:r>
        <w:rPr>
          <w:rFonts w:ascii="宋体" w:hAnsi="宋体" w:eastAsia="宋体" w:cs="宋体"/>
          <w:spacing w:val="6"/>
          <w:sz w:val="20"/>
          <w:szCs w:val="20"/>
        </w:rPr>
        <w:t>属人员履行其某项工作职责的，该下属人员应具备履行相</w:t>
      </w:r>
      <w:r>
        <w:rPr>
          <w:rFonts w:ascii="宋体" w:hAnsi="宋体" w:eastAsia="宋体" w:cs="宋体"/>
          <w:spacing w:val="9"/>
          <w:sz w:val="20"/>
          <w:szCs w:val="20"/>
        </w:rPr>
        <w:t>应职责的能力，并应提前</w:t>
      </w:r>
      <w:r>
        <w:rPr>
          <w:rFonts w:ascii="宋体" w:hAnsi="宋体" w:eastAsia="宋体" w:cs="宋体"/>
          <w:spacing w:val="-34"/>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天将上述人员的姓名和授权范围书面通知监理人，并征得发包人书面</w:t>
      </w:r>
      <w:r>
        <w:rPr>
          <w:rFonts w:ascii="宋体" w:hAnsi="宋体" w:eastAsia="宋体" w:cs="宋体"/>
          <w:spacing w:val="3"/>
          <w:sz w:val="20"/>
          <w:szCs w:val="20"/>
        </w:rPr>
        <w:t>同意。</w:t>
      </w:r>
    </w:p>
    <w:p w14:paraId="6C2B7BD2">
      <w:pPr>
        <w:pStyle w:val="2"/>
        <w:spacing w:before="1" w:line="220" w:lineRule="auto"/>
        <w:rPr>
          <w:sz w:val="24"/>
          <w:szCs w:val="24"/>
        </w:rPr>
      </w:pPr>
      <w:r>
        <w:rPr>
          <w:rFonts w:ascii="Times New Roman" w:hAnsi="Times New Roman" w:eastAsia="Times New Roman" w:cs="Times New Roman"/>
          <w:b/>
          <w:bCs/>
          <w:spacing w:val="-2"/>
          <w:sz w:val="24"/>
          <w:szCs w:val="24"/>
        </w:rPr>
        <w:t xml:space="preserve">3.3  </w:t>
      </w:r>
      <w:r>
        <w:rPr>
          <w:b/>
          <w:bCs/>
          <w:spacing w:val="-2"/>
          <w:sz w:val="24"/>
          <w:szCs w:val="24"/>
        </w:rPr>
        <w:t>承包人人员</w:t>
      </w:r>
    </w:p>
    <w:p w14:paraId="286BD61C">
      <w:pPr>
        <w:spacing w:before="140" w:line="369" w:lineRule="auto"/>
        <w:ind w:left="5" w:firstLine="418"/>
        <w:rPr>
          <w:rFonts w:ascii="宋体" w:hAnsi="宋体" w:eastAsia="宋体" w:cs="宋体"/>
          <w:sz w:val="20"/>
          <w:szCs w:val="20"/>
        </w:rPr>
      </w:pPr>
      <w:r>
        <w:rPr>
          <w:rFonts w:ascii="Times New Roman" w:hAnsi="Times New Roman" w:eastAsia="Times New Roman" w:cs="Times New Roman"/>
          <w:spacing w:val="5"/>
          <w:sz w:val="20"/>
          <w:szCs w:val="20"/>
        </w:rPr>
        <w:t>3.3.</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除专用合同条款另有约定外，承包人应在接到开工通知后</w:t>
      </w:r>
      <w:r>
        <w:rPr>
          <w:rFonts w:ascii="宋体" w:hAnsi="宋体" w:eastAsia="宋体" w:cs="宋体"/>
          <w:spacing w:val="-37"/>
          <w:sz w:val="20"/>
          <w:szCs w:val="20"/>
        </w:rPr>
        <w:t xml:space="preserve"> </w:t>
      </w:r>
      <w:r>
        <w:rPr>
          <w:rFonts w:ascii="Times New Roman" w:hAnsi="Times New Roman" w:eastAsia="Times New Roman" w:cs="Times New Roman"/>
          <w:spacing w:val="5"/>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5"/>
          <w:sz w:val="20"/>
          <w:szCs w:val="20"/>
        </w:rPr>
        <w:t>天内，向监理人提交承包人</w:t>
      </w:r>
      <w:r>
        <w:rPr>
          <w:rFonts w:ascii="宋体" w:hAnsi="宋体" w:eastAsia="宋体" w:cs="宋体"/>
          <w:spacing w:val="10"/>
          <w:sz w:val="20"/>
          <w:szCs w:val="20"/>
        </w:rPr>
        <w:t>项目管理机构及施工现场人员安排的报告，其内容应包括合同管理、施</w:t>
      </w:r>
      <w:r>
        <w:rPr>
          <w:rFonts w:ascii="宋体" w:hAnsi="宋体" w:eastAsia="宋体" w:cs="宋体"/>
          <w:spacing w:val="9"/>
          <w:sz w:val="20"/>
          <w:szCs w:val="20"/>
        </w:rPr>
        <w:t>工、技术、材料、质量、安全、财务等主要施工管理人员名单及其岗位、注册执业资格等，</w:t>
      </w:r>
      <w:r>
        <w:rPr>
          <w:rFonts w:ascii="宋体" w:hAnsi="宋体" w:eastAsia="宋体" w:cs="宋体"/>
          <w:spacing w:val="-59"/>
          <w:sz w:val="20"/>
          <w:szCs w:val="20"/>
        </w:rPr>
        <w:t xml:space="preserve"> </w:t>
      </w:r>
      <w:r>
        <w:rPr>
          <w:rFonts w:ascii="宋体" w:hAnsi="宋体" w:eastAsia="宋体" w:cs="宋体"/>
          <w:spacing w:val="9"/>
          <w:sz w:val="20"/>
          <w:szCs w:val="20"/>
        </w:rPr>
        <w:t>以及各</w:t>
      </w:r>
      <w:r>
        <w:rPr>
          <w:rFonts w:ascii="宋体" w:hAnsi="宋体" w:eastAsia="宋体" w:cs="宋体"/>
          <w:spacing w:val="8"/>
          <w:sz w:val="20"/>
          <w:szCs w:val="20"/>
        </w:rPr>
        <w:t>工种技术工人的安排情</w:t>
      </w:r>
      <w:r>
        <w:rPr>
          <w:rFonts w:ascii="宋体" w:hAnsi="宋体" w:eastAsia="宋体" w:cs="宋体"/>
          <w:spacing w:val="9"/>
          <w:sz w:val="20"/>
          <w:szCs w:val="20"/>
        </w:rPr>
        <w:t>况，并同时提交主要施工管理人员与承包人之间的劳动关系证明和缴纳社会保险的有效证明。</w:t>
      </w:r>
    </w:p>
    <w:p w14:paraId="7EAA364F">
      <w:pPr>
        <w:spacing w:before="3" w:line="368" w:lineRule="auto"/>
        <w:ind w:left="3" w:firstLine="421"/>
        <w:rPr>
          <w:rFonts w:ascii="宋体" w:hAnsi="宋体" w:eastAsia="宋体" w:cs="宋体"/>
          <w:sz w:val="20"/>
          <w:szCs w:val="20"/>
        </w:rPr>
      </w:pPr>
      <w:r>
        <w:rPr>
          <w:rFonts w:ascii="Times New Roman" w:hAnsi="Times New Roman" w:eastAsia="Times New Roman" w:cs="Times New Roman"/>
          <w:spacing w:val="7"/>
          <w:sz w:val="20"/>
          <w:szCs w:val="20"/>
        </w:rPr>
        <w:t xml:space="preserve">3.3.2  </w:t>
      </w:r>
      <w:r>
        <w:rPr>
          <w:rFonts w:ascii="宋体" w:hAnsi="宋体" w:eastAsia="宋体" w:cs="宋体"/>
          <w:spacing w:val="7"/>
          <w:sz w:val="20"/>
          <w:szCs w:val="20"/>
        </w:rPr>
        <w:t>承包人派驻到施工现场的主要</w:t>
      </w:r>
      <w:r>
        <w:rPr>
          <w:rFonts w:ascii="宋体" w:hAnsi="宋体" w:eastAsia="宋体" w:cs="宋体"/>
          <w:spacing w:val="6"/>
          <w:sz w:val="20"/>
          <w:szCs w:val="20"/>
        </w:rPr>
        <w:t>施工管理人员应相对稳定。施工过程中如有变动，承包人</w:t>
      </w:r>
      <w:r>
        <w:rPr>
          <w:rFonts w:ascii="宋体" w:hAnsi="宋体" w:eastAsia="宋体" w:cs="宋体"/>
          <w:spacing w:val="11"/>
          <w:sz w:val="20"/>
          <w:szCs w:val="20"/>
        </w:rPr>
        <w:t>应及时向监理人提交施工现场人员变动情况的报告。承包人更换主</w:t>
      </w:r>
      <w:r>
        <w:rPr>
          <w:rFonts w:ascii="宋体" w:hAnsi="宋体" w:eastAsia="宋体" w:cs="宋体"/>
          <w:spacing w:val="10"/>
          <w:sz w:val="20"/>
          <w:szCs w:val="20"/>
        </w:rPr>
        <w:t>要施工管理人员时，应提前</w:t>
      </w:r>
      <w:r>
        <w:rPr>
          <w:rFonts w:ascii="宋体" w:hAnsi="宋体" w:eastAsia="宋体" w:cs="宋体"/>
          <w:spacing w:val="-39"/>
          <w:sz w:val="20"/>
          <w:szCs w:val="20"/>
        </w:rPr>
        <w:t xml:space="preserve"> </w:t>
      </w:r>
      <w:r>
        <w:rPr>
          <w:rFonts w:ascii="Times New Roman" w:hAnsi="Times New Roman" w:eastAsia="Times New Roman" w:cs="Times New Roman"/>
          <w:spacing w:val="10"/>
          <w:sz w:val="20"/>
          <w:szCs w:val="20"/>
        </w:rPr>
        <w:t>7</w:t>
      </w:r>
      <w:r>
        <w:rPr>
          <w:rFonts w:ascii="宋体" w:hAnsi="宋体" w:eastAsia="宋体" w:cs="宋体"/>
          <w:spacing w:val="10"/>
          <w:sz w:val="20"/>
          <w:szCs w:val="20"/>
        </w:rPr>
        <w:t>天书面通知监理人，并征得发包人书面同意。通知中应当载明继任人员的注</w:t>
      </w:r>
      <w:r>
        <w:rPr>
          <w:rFonts w:ascii="宋体" w:hAnsi="宋体" w:eastAsia="宋体" w:cs="宋体"/>
          <w:spacing w:val="9"/>
          <w:sz w:val="20"/>
          <w:szCs w:val="20"/>
        </w:rPr>
        <w:t>册执业资格、管理经</w:t>
      </w:r>
      <w:r>
        <w:rPr>
          <w:rFonts w:ascii="宋体" w:hAnsi="宋体" w:eastAsia="宋体" w:cs="宋体"/>
          <w:spacing w:val="6"/>
          <w:sz w:val="20"/>
          <w:szCs w:val="20"/>
        </w:rPr>
        <w:t>验等资料。</w:t>
      </w:r>
    </w:p>
    <w:p w14:paraId="6D46D602">
      <w:pPr>
        <w:spacing w:before="1" w:line="227" w:lineRule="auto"/>
        <w:ind w:left="424"/>
        <w:rPr>
          <w:rFonts w:ascii="宋体" w:hAnsi="宋体" w:eastAsia="宋体" w:cs="宋体"/>
          <w:sz w:val="20"/>
          <w:szCs w:val="20"/>
        </w:rPr>
      </w:pPr>
      <w:r>
        <w:rPr>
          <w:rFonts w:ascii="宋体" w:hAnsi="宋体" w:eastAsia="宋体" w:cs="宋体"/>
          <w:spacing w:val="9"/>
          <w:sz w:val="20"/>
          <w:szCs w:val="20"/>
        </w:rPr>
        <w:t>特殊工种作业人员均应持有相应的资格证明，监理人可以随时检查。</w:t>
      </w:r>
    </w:p>
    <w:p w14:paraId="542986AE">
      <w:pPr>
        <w:spacing w:before="156" w:line="369" w:lineRule="auto"/>
        <w:ind w:left="5" w:firstLine="419"/>
        <w:rPr>
          <w:rFonts w:ascii="宋体" w:hAnsi="宋体" w:eastAsia="宋体" w:cs="宋体"/>
          <w:sz w:val="20"/>
          <w:szCs w:val="20"/>
        </w:rPr>
      </w:pPr>
      <w:r>
        <w:rPr>
          <w:rFonts w:ascii="Times New Roman" w:hAnsi="Times New Roman" w:eastAsia="Times New Roman" w:cs="Times New Roman"/>
          <w:spacing w:val="7"/>
          <w:sz w:val="20"/>
          <w:szCs w:val="20"/>
        </w:rPr>
        <w:t xml:space="preserve">3.3.3  </w:t>
      </w:r>
      <w:r>
        <w:rPr>
          <w:rFonts w:ascii="宋体" w:hAnsi="宋体" w:eastAsia="宋体" w:cs="宋体"/>
          <w:spacing w:val="7"/>
          <w:sz w:val="20"/>
          <w:szCs w:val="20"/>
        </w:rPr>
        <w:t>发包人对于承包人主要施工管</w:t>
      </w:r>
      <w:r>
        <w:rPr>
          <w:rFonts w:ascii="宋体" w:hAnsi="宋体" w:eastAsia="宋体" w:cs="宋体"/>
          <w:spacing w:val="6"/>
          <w:sz w:val="20"/>
          <w:szCs w:val="20"/>
        </w:rPr>
        <w:t>理人员的资格或能力有异议的，承包人应提供资料证明被</w:t>
      </w:r>
      <w:r>
        <w:rPr>
          <w:rFonts w:ascii="宋体" w:hAnsi="宋体" w:eastAsia="宋体" w:cs="宋体"/>
          <w:spacing w:val="10"/>
          <w:sz w:val="20"/>
          <w:szCs w:val="20"/>
        </w:rPr>
        <w:t>质疑人员有能力完成其岗位工作或不存在发包人所质疑的情形。发包人</w:t>
      </w:r>
      <w:r>
        <w:rPr>
          <w:rFonts w:ascii="宋体" w:hAnsi="宋体" w:eastAsia="宋体" w:cs="宋体"/>
          <w:spacing w:val="9"/>
          <w:sz w:val="20"/>
          <w:szCs w:val="20"/>
        </w:rPr>
        <w:t>要求撤换不能按照合同约</w:t>
      </w:r>
      <w:r>
        <w:rPr>
          <w:rFonts w:ascii="宋体" w:hAnsi="宋体" w:eastAsia="宋体" w:cs="宋体"/>
          <w:spacing w:val="10"/>
          <w:sz w:val="20"/>
          <w:szCs w:val="20"/>
        </w:rPr>
        <w:t>定履行职责及义务的主要施工管理人员的，承包人应当撤换。承包人无</w:t>
      </w:r>
      <w:r>
        <w:rPr>
          <w:rFonts w:ascii="宋体" w:hAnsi="宋体" w:eastAsia="宋体" w:cs="宋体"/>
          <w:spacing w:val="9"/>
          <w:sz w:val="20"/>
          <w:szCs w:val="20"/>
        </w:rPr>
        <w:t>正当理由拒绝撤换的，应</w:t>
      </w:r>
      <w:r>
        <w:rPr>
          <w:rFonts w:ascii="宋体" w:hAnsi="宋体" w:eastAsia="宋体" w:cs="宋体"/>
          <w:spacing w:val="8"/>
          <w:sz w:val="20"/>
          <w:szCs w:val="20"/>
        </w:rPr>
        <w:t>按照专用合同条款的约定承担违约责任。</w:t>
      </w:r>
    </w:p>
    <w:p w14:paraId="3E874726">
      <w:pPr>
        <w:spacing w:before="4" w:line="368" w:lineRule="auto"/>
        <w:ind w:left="5" w:firstLine="419"/>
        <w:rPr>
          <w:rFonts w:ascii="宋体" w:hAnsi="宋体" w:eastAsia="宋体" w:cs="宋体"/>
          <w:sz w:val="20"/>
          <w:szCs w:val="20"/>
        </w:rPr>
      </w:pPr>
      <w:r>
        <w:rPr>
          <w:rFonts w:ascii="Times New Roman" w:hAnsi="Times New Roman" w:eastAsia="Times New Roman" w:cs="Times New Roman"/>
          <w:spacing w:val="7"/>
          <w:sz w:val="20"/>
          <w:szCs w:val="20"/>
        </w:rPr>
        <w:t xml:space="preserve">3.3.4  </w:t>
      </w:r>
      <w:r>
        <w:rPr>
          <w:rFonts w:ascii="宋体" w:hAnsi="宋体" w:eastAsia="宋体" w:cs="宋体"/>
          <w:spacing w:val="7"/>
          <w:sz w:val="20"/>
          <w:szCs w:val="20"/>
        </w:rPr>
        <w:t>除专用合同条款另有约定外，</w:t>
      </w:r>
      <w:r>
        <w:rPr>
          <w:rFonts w:ascii="宋体" w:hAnsi="宋体" w:eastAsia="宋体" w:cs="宋体"/>
          <w:spacing w:val="6"/>
          <w:sz w:val="20"/>
          <w:szCs w:val="20"/>
        </w:rPr>
        <w:t>承包人的主要施工管理人员离开施工现场每月累计不超过</w:t>
      </w:r>
      <w:r>
        <w:rPr>
          <w:rFonts w:ascii="Times New Roman" w:hAnsi="Times New Roman" w:eastAsia="Times New Roman" w:cs="Times New Roman"/>
          <w:spacing w:val="10"/>
          <w:sz w:val="20"/>
          <w:szCs w:val="20"/>
        </w:rPr>
        <w:t>5</w:t>
      </w:r>
      <w:r>
        <w:rPr>
          <w:rFonts w:ascii="Times New Roman" w:hAnsi="Times New Roman" w:eastAsia="Times New Roman" w:cs="Times New Roman"/>
          <w:spacing w:val="16"/>
          <w:w w:val="101"/>
          <w:sz w:val="20"/>
          <w:szCs w:val="20"/>
        </w:rPr>
        <w:t xml:space="preserve"> </w:t>
      </w:r>
      <w:r>
        <w:rPr>
          <w:rFonts w:ascii="宋体" w:hAnsi="宋体" w:eastAsia="宋体" w:cs="宋体"/>
          <w:spacing w:val="10"/>
          <w:sz w:val="20"/>
          <w:szCs w:val="20"/>
        </w:rPr>
        <w:t>天的，应报监理人同意；离开施工现场每月累计超过</w:t>
      </w:r>
      <w:r>
        <w:rPr>
          <w:rFonts w:ascii="宋体" w:hAnsi="宋体" w:eastAsia="宋体" w:cs="宋体"/>
          <w:spacing w:val="-35"/>
          <w:sz w:val="20"/>
          <w:szCs w:val="20"/>
        </w:rPr>
        <w:t xml:space="preserve"> </w:t>
      </w:r>
      <w:r>
        <w:rPr>
          <w:rFonts w:ascii="Times New Roman" w:hAnsi="Times New Roman" w:eastAsia="Times New Roman" w:cs="Times New Roman"/>
          <w:spacing w:val="10"/>
          <w:sz w:val="20"/>
          <w:szCs w:val="20"/>
        </w:rPr>
        <w:t>5</w:t>
      </w:r>
      <w:r>
        <w:rPr>
          <w:rFonts w:ascii="Times New Roman" w:hAnsi="Times New Roman" w:eastAsia="Times New Roman" w:cs="Times New Roman"/>
          <w:spacing w:val="16"/>
          <w:w w:val="101"/>
          <w:sz w:val="20"/>
          <w:szCs w:val="20"/>
        </w:rPr>
        <w:t xml:space="preserve"> </w:t>
      </w:r>
      <w:r>
        <w:rPr>
          <w:rFonts w:ascii="宋体" w:hAnsi="宋体" w:eastAsia="宋体" w:cs="宋体"/>
          <w:spacing w:val="10"/>
          <w:sz w:val="20"/>
          <w:szCs w:val="20"/>
        </w:rPr>
        <w:t>天的，应通知监理人</w:t>
      </w:r>
      <w:r>
        <w:rPr>
          <w:rFonts w:ascii="宋体" w:hAnsi="宋体" w:eastAsia="宋体" w:cs="宋体"/>
          <w:spacing w:val="9"/>
          <w:sz w:val="20"/>
          <w:szCs w:val="20"/>
        </w:rPr>
        <w:t>，并征得发包人书</w:t>
      </w:r>
      <w:r>
        <w:rPr>
          <w:rFonts w:ascii="宋体" w:hAnsi="宋体" w:eastAsia="宋体" w:cs="宋体"/>
          <w:spacing w:val="10"/>
          <w:sz w:val="20"/>
          <w:szCs w:val="20"/>
        </w:rPr>
        <w:t>面同意。主要施工管理人员离开施工现场前应指定一名有经验的人员临</w:t>
      </w:r>
      <w:r>
        <w:rPr>
          <w:rFonts w:ascii="宋体" w:hAnsi="宋体" w:eastAsia="宋体" w:cs="宋体"/>
          <w:spacing w:val="9"/>
          <w:sz w:val="20"/>
          <w:szCs w:val="20"/>
        </w:rPr>
        <w:t>时代行其职责，该人员应具备履行相应职责的资格和能力，且应征得监理人或发包人的同意。</w:t>
      </w:r>
    </w:p>
    <w:p w14:paraId="248C4591">
      <w:pPr>
        <w:spacing w:line="227" w:lineRule="auto"/>
        <w:ind w:right="2"/>
        <w:jc w:val="right"/>
        <w:rPr>
          <w:rFonts w:ascii="宋体" w:hAnsi="宋体" w:eastAsia="宋体" w:cs="宋体"/>
          <w:sz w:val="20"/>
          <w:szCs w:val="20"/>
        </w:rPr>
      </w:pPr>
      <w:r>
        <w:rPr>
          <w:rFonts w:ascii="Times New Roman" w:hAnsi="Times New Roman" w:eastAsia="Times New Roman" w:cs="Times New Roman"/>
          <w:spacing w:val="6"/>
          <w:sz w:val="20"/>
          <w:szCs w:val="20"/>
        </w:rPr>
        <w:t xml:space="preserve">3.3.5  </w:t>
      </w:r>
      <w:r>
        <w:rPr>
          <w:rFonts w:ascii="宋体" w:hAnsi="宋体" w:eastAsia="宋体" w:cs="宋体"/>
          <w:spacing w:val="6"/>
          <w:sz w:val="20"/>
          <w:szCs w:val="20"/>
        </w:rPr>
        <w:t>承包人擅自更换主要施工管理人员，或前述人员未经监理人或发包人同意擅自离开施工</w:t>
      </w:r>
    </w:p>
    <w:p w14:paraId="2B4FBE2C">
      <w:pPr>
        <w:spacing w:line="227" w:lineRule="auto"/>
        <w:rPr>
          <w:rFonts w:ascii="宋体" w:hAnsi="宋体" w:eastAsia="宋体" w:cs="宋体"/>
          <w:sz w:val="20"/>
          <w:szCs w:val="20"/>
        </w:rPr>
        <w:sectPr>
          <w:footerReference r:id="rId245" w:type="default"/>
          <w:pgSz w:w="11906" w:h="16839"/>
          <w:pgMar w:top="400" w:right="1554" w:bottom="1038" w:left="1535" w:header="0" w:footer="787" w:gutter="0"/>
          <w:cols w:space="720" w:num="1"/>
        </w:sectPr>
      </w:pPr>
    </w:p>
    <w:p w14:paraId="29E54240">
      <w:pPr>
        <w:spacing w:line="271" w:lineRule="auto"/>
        <w:rPr>
          <w:rFonts w:ascii="Arial"/>
          <w:sz w:val="21"/>
        </w:rPr>
      </w:pPr>
    </w:p>
    <w:p w14:paraId="20D9FD17">
      <w:pPr>
        <w:spacing w:line="271" w:lineRule="auto"/>
        <w:rPr>
          <w:rFonts w:ascii="Arial"/>
          <w:sz w:val="21"/>
        </w:rPr>
      </w:pPr>
    </w:p>
    <w:p w14:paraId="5CF079F3">
      <w:pPr>
        <w:spacing w:line="272" w:lineRule="auto"/>
        <w:rPr>
          <w:rFonts w:ascii="Arial"/>
          <w:sz w:val="21"/>
        </w:rPr>
      </w:pPr>
    </w:p>
    <w:p w14:paraId="0CA288A0">
      <w:pPr>
        <w:spacing w:line="272" w:lineRule="auto"/>
        <w:rPr>
          <w:rFonts w:ascii="Arial"/>
          <w:sz w:val="21"/>
        </w:rPr>
      </w:pPr>
    </w:p>
    <w:p w14:paraId="283EDEBE">
      <w:pPr>
        <w:spacing w:before="65" w:line="228" w:lineRule="auto"/>
        <w:ind w:left="5"/>
        <w:rPr>
          <w:rFonts w:ascii="宋体" w:hAnsi="宋体" w:eastAsia="宋体" w:cs="宋体"/>
          <w:sz w:val="20"/>
          <w:szCs w:val="20"/>
        </w:rPr>
      </w:pPr>
      <w:r>
        <w:rPr>
          <w:rFonts w:ascii="宋体" w:hAnsi="宋体" w:eastAsia="宋体" w:cs="宋体"/>
          <w:spacing w:val="9"/>
          <w:sz w:val="20"/>
          <w:szCs w:val="20"/>
        </w:rPr>
        <w:t>现场的，应按照专用合同条款约定承担违约责任。</w:t>
      </w:r>
    </w:p>
    <w:p w14:paraId="189E40A8">
      <w:pPr>
        <w:pStyle w:val="2"/>
        <w:spacing w:before="127" w:line="222" w:lineRule="auto"/>
        <w:rPr>
          <w:sz w:val="24"/>
          <w:szCs w:val="24"/>
        </w:rPr>
      </w:pPr>
      <w:r>
        <w:rPr>
          <w:rFonts w:ascii="Times New Roman" w:hAnsi="Times New Roman" w:eastAsia="Times New Roman" w:cs="Times New Roman"/>
          <w:b/>
          <w:bCs/>
          <w:spacing w:val="-2"/>
          <w:sz w:val="24"/>
          <w:szCs w:val="24"/>
        </w:rPr>
        <w:t xml:space="preserve">3.4  </w:t>
      </w:r>
      <w:r>
        <w:rPr>
          <w:b/>
          <w:bCs/>
          <w:spacing w:val="-2"/>
          <w:sz w:val="24"/>
          <w:szCs w:val="24"/>
        </w:rPr>
        <w:t>承包人现场查勘</w:t>
      </w:r>
    </w:p>
    <w:p w14:paraId="61B9EB4A">
      <w:pPr>
        <w:spacing w:before="136" w:line="369" w:lineRule="auto"/>
        <w:ind w:left="12" w:right="2" w:firstLine="411"/>
        <w:rPr>
          <w:rFonts w:ascii="宋体" w:hAnsi="宋体" w:eastAsia="宋体" w:cs="宋体"/>
          <w:sz w:val="20"/>
          <w:szCs w:val="20"/>
        </w:rPr>
      </w:pPr>
      <w:r>
        <w:rPr>
          <w:rFonts w:ascii="宋体" w:hAnsi="宋体" w:eastAsia="宋体" w:cs="宋体"/>
          <w:spacing w:val="6"/>
          <w:sz w:val="20"/>
          <w:szCs w:val="20"/>
        </w:rPr>
        <w:t>承包人应对基于发包人按照第</w:t>
      </w:r>
      <w:r>
        <w:rPr>
          <w:rFonts w:ascii="宋体" w:hAnsi="宋体" w:eastAsia="宋体" w:cs="宋体"/>
          <w:spacing w:val="-26"/>
          <w:sz w:val="20"/>
          <w:szCs w:val="20"/>
        </w:rPr>
        <w:t xml:space="preserve"> </w:t>
      </w:r>
      <w:r>
        <w:rPr>
          <w:rFonts w:ascii="Times New Roman" w:hAnsi="Times New Roman" w:eastAsia="Times New Roman" w:cs="Times New Roman"/>
          <w:spacing w:val="6"/>
          <w:sz w:val="20"/>
          <w:szCs w:val="20"/>
        </w:rPr>
        <w:t xml:space="preserve">2.4.3 </w:t>
      </w:r>
      <w:r>
        <w:rPr>
          <w:rFonts w:ascii="宋体" w:hAnsi="宋体" w:eastAsia="宋体" w:cs="宋体"/>
          <w:spacing w:val="6"/>
          <w:sz w:val="20"/>
          <w:szCs w:val="20"/>
        </w:rPr>
        <w:t>项〔提供基础资料〕提交的基础资料所做出的解释和推断</w:t>
      </w:r>
      <w:r>
        <w:rPr>
          <w:rFonts w:ascii="宋体" w:hAnsi="宋体" w:eastAsia="宋体" w:cs="宋体"/>
          <w:spacing w:val="8"/>
          <w:sz w:val="20"/>
          <w:szCs w:val="20"/>
        </w:rPr>
        <w:t>负责，但因基础资料存在错误、遗漏导致承包人解释或推断失实的，</w:t>
      </w:r>
      <w:r>
        <w:rPr>
          <w:rFonts w:ascii="宋体" w:hAnsi="宋体" w:eastAsia="宋体" w:cs="宋体"/>
          <w:spacing w:val="-52"/>
          <w:sz w:val="20"/>
          <w:szCs w:val="20"/>
        </w:rPr>
        <w:t xml:space="preserve"> </w:t>
      </w:r>
      <w:r>
        <w:rPr>
          <w:rFonts w:ascii="宋体" w:hAnsi="宋体" w:eastAsia="宋体" w:cs="宋体"/>
          <w:spacing w:val="8"/>
          <w:sz w:val="20"/>
          <w:szCs w:val="20"/>
        </w:rPr>
        <w:t>由发包人承担责任。</w:t>
      </w:r>
    </w:p>
    <w:p w14:paraId="6DC978DF">
      <w:pPr>
        <w:spacing w:before="2" w:line="361" w:lineRule="auto"/>
        <w:ind w:left="5" w:firstLine="419"/>
        <w:rPr>
          <w:rFonts w:ascii="宋体" w:hAnsi="宋体" w:eastAsia="宋体" w:cs="宋体"/>
          <w:sz w:val="20"/>
          <w:szCs w:val="20"/>
        </w:rPr>
      </w:pPr>
      <w:r>
        <w:rPr>
          <w:rFonts w:ascii="宋体" w:hAnsi="宋体" w:eastAsia="宋体" w:cs="宋体"/>
          <w:spacing w:val="10"/>
          <w:sz w:val="20"/>
          <w:szCs w:val="20"/>
        </w:rPr>
        <w:t>承包人应对施工现场和施工条件进行查勘，并充分了解工程所在地的</w:t>
      </w:r>
      <w:r>
        <w:rPr>
          <w:rFonts w:ascii="宋体" w:hAnsi="宋体" w:eastAsia="宋体" w:cs="宋体"/>
          <w:spacing w:val="9"/>
          <w:sz w:val="20"/>
          <w:szCs w:val="20"/>
        </w:rPr>
        <w:t>气象条件、交通条件、</w:t>
      </w:r>
      <w:r>
        <w:rPr>
          <w:rFonts w:ascii="宋体" w:hAnsi="宋体" w:eastAsia="宋体" w:cs="宋体"/>
          <w:spacing w:val="10"/>
          <w:sz w:val="20"/>
          <w:szCs w:val="20"/>
        </w:rPr>
        <w:t>风俗习惯以及其他与完成合同工作有关的其他资料。因承包人未能充分</w:t>
      </w:r>
      <w:r>
        <w:rPr>
          <w:rFonts w:ascii="宋体" w:hAnsi="宋体" w:eastAsia="宋体" w:cs="宋体"/>
          <w:spacing w:val="9"/>
          <w:sz w:val="20"/>
          <w:szCs w:val="20"/>
        </w:rPr>
        <w:t>查勘、了解前述情况或未能充分估计前述情况所可能产生后果的，承包人承担由此增加的费用和（或）延误的工期。</w:t>
      </w:r>
    </w:p>
    <w:p w14:paraId="5D3416FF">
      <w:pPr>
        <w:pStyle w:val="2"/>
        <w:spacing w:line="222" w:lineRule="auto"/>
        <w:rPr>
          <w:sz w:val="24"/>
          <w:szCs w:val="24"/>
        </w:rPr>
      </w:pPr>
      <w:r>
        <w:rPr>
          <w:rFonts w:ascii="Times New Roman" w:hAnsi="Times New Roman" w:eastAsia="Times New Roman" w:cs="Times New Roman"/>
          <w:b/>
          <w:bCs/>
          <w:spacing w:val="-5"/>
          <w:sz w:val="24"/>
          <w:szCs w:val="24"/>
        </w:rPr>
        <w:t>3.5</w:t>
      </w:r>
      <w:r>
        <w:rPr>
          <w:rFonts w:ascii="Times New Roman" w:hAnsi="Times New Roman" w:eastAsia="Times New Roman" w:cs="Times New Roman"/>
          <w:b/>
          <w:bCs/>
          <w:spacing w:val="7"/>
          <w:sz w:val="24"/>
          <w:szCs w:val="24"/>
        </w:rPr>
        <w:t xml:space="preserve">  </w:t>
      </w:r>
      <w:r>
        <w:rPr>
          <w:b/>
          <w:bCs/>
          <w:spacing w:val="-5"/>
          <w:sz w:val="24"/>
          <w:szCs w:val="24"/>
        </w:rPr>
        <w:t>分包</w:t>
      </w:r>
    </w:p>
    <w:p w14:paraId="6BCA3B33">
      <w:pPr>
        <w:spacing w:before="137" w:line="228" w:lineRule="auto"/>
        <w:ind w:left="424"/>
        <w:rPr>
          <w:rFonts w:ascii="宋体" w:hAnsi="宋体" w:eastAsia="宋体" w:cs="宋体"/>
          <w:sz w:val="20"/>
          <w:szCs w:val="20"/>
        </w:rPr>
      </w:pPr>
      <w:r>
        <w:rPr>
          <w:rFonts w:ascii="Times New Roman" w:hAnsi="Times New Roman" w:eastAsia="Times New Roman" w:cs="Times New Roman"/>
          <w:spacing w:val="4"/>
          <w:sz w:val="20"/>
          <w:szCs w:val="20"/>
        </w:rPr>
        <w:t>3.5.</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分包的一般约定</w:t>
      </w:r>
    </w:p>
    <w:p w14:paraId="533F28D8">
      <w:pPr>
        <w:spacing w:before="152" w:line="369" w:lineRule="auto"/>
        <w:ind w:left="5" w:firstLine="419"/>
        <w:rPr>
          <w:rFonts w:ascii="宋体" w:hAnsi="宋体" w:eastAsia="宋体" w:cs="宋体"/>
          <w:sz w:val="20"/>
          <w:szCs w:val="20"/>
        </w:rPr>
      </w:pPr>
      <w:r>
        <w:rPr>
          <w:rFonts w:ascii="宋体" w:hAnsi="宋体" w:eastAsia="宋体" w:cs="宋体"/>
          <w:spacing w:val="10"/>
          <w:sz w:val="20"/>
          <w:szCs w:val="20"/>
        </w:rPr>
        <w:t>承包人不得将其承包的全部工程转包给第三人，或将其承包的全部工</w:t>
      </w:r>
      <w:r>
        <w:rPr>
          <w:rFonts w:ascii="宋体" w:hAnsi="宋体" w:eastAsia="宋体" w:cs="宋体"/>
          <w:spacing w:val="9"/>
          <w:sz w:val="20"/>
          <w:szCs w:val="20"/>
        </w:rPr>
        <w:t>程肢解后以分包的名义</w:t>
      </w:r>
      <w:r>
        <w:rPr>
          <w:rFonts w:ascii="宋体" w:hAnsi="宋体" w:eastAsia="宋体" w:cs="宋体"/>
          <w:spacing w:val="10"/>
          <w:sz w:val="20"/>
          <w:szCs w:val="20"/>
        </w:rPr>
        <w:t>转包给第三人。承包人不得将工程主体结构、关键性工作及专用合同条</w:t>
      </w:r>
      <w:r>
        <w:rPr>
          <w:rFonts w:ascii="宋体" w:hAnsi="宋体" w:eastAsia="宋体" w:cs="宋体"/>
          <w:spacing w:val="9"/>
          <w:sz w:val="20"/>
          <w:szCs w:val="20"/>
        </w:rPr>
        <w:t>款中禁止分包的专业工程</w:t>
      </w:r>
      <w:r>
        <w:rPr>
          <w:rFonts w:ascii="宋体" w:hAnsi="宋体" w:eastAsia="宋体" w:cs="宋体"/>
          <w:spacing w:val="10"/>
          <w:sz w:val="20"/>
          <w:szCs w:val="20"/>
        </w:rPr>
        <w:t>分包给第三人，主体结构、关键性工作的范围由合同当事人按照法律规</w:t>
      </w:r>
      <w:r>
        <w:rPr>
          <w:rFonts w:ascii="宋体" w:hAnsi="宋体" w:eastAsia="宋体" w:cs="宋体"/>
          <w:spacing w:val="9"/>
          <w:sz w:val="20"/>
          <w:szCs w:val="20"/>
        </w:rPr>
        <w:t>定在专用合同条款中予以</w:t>
      </w:r>
      <w:r>
        <w:rPr>
          <w:rFonts w:ascii="宋体" w:hAnsi="宋体" w:eastAsia="宋体" w:cs="宋体"/>
          <w:spacing w:val="2"/>
          <w:sz w:val="20"/>
          <w:szCs w:val="20"/>
        </w:rPr>
        <w:t>明确。</w:t>
      </w:r>
    </w:p>
    <w:p w14:paraId="32023A90">
      <w:pPr>
        <w:spacing w:before="1" w:line="227" w:lineRule="auto"/>
        <w:ind w:left="424"/>
        <w:rPr>
          <w:rFonts w:ascii="宋体" w:hAnsi="宋体" w:eastAsia="宋体" w:cs="宋体"/>
          <w:sz w:val="20"/>
          <w:szCs w:val="20"/>
        </w:rPr>
      </w:pPr>
      <w:r>
        <w:rPr>
          <w:rFonts w:ascii="宋体" w:hAnsi="宋体" w:eastAsia="宋体" w:cs="宋体"/>
          <w:spacing w:val="9"/>
          <w:sz w:val="20"/>
          <w:szCs w:val="20"/>
        </w:rPr>
        <w:t>承包人不得以劳务分包的名义转包或违法分包工程。</w:t>
      </w:r>
    </w:p>
    <w:p w14:paraId="000C9F16">
      <w:pPr>
        <w:spacing w:before="155" w:line="228" w:lineRule="auto"/>
        <w:ind w:left="424"/>
        <w:rPr>
          <w:rFonts w:ascii="宋体" w:hAnsi="宋体" w:eastAsia="宋体" w:cs="宋体"/>
          <w:sz w:val="20"/>
          <w:szCs w:val="20"/>
        </w:rPr>
      </w:pPr>
      <w:r>
        <w:rPr>
          <w:rFonts w:ascii="Times New Roman" w:hAnsi="Times New Roman" w:eastAsia="Times New Roman" w:cs="Times New Roman"/>
          <w:spacing w:val="5"/>
          <w:sz w:val="20"/>
          <w:szCs w:val="20"/>
        </w:rPr>
        <w:t xml:space="preserve">3.5.2  </w:t>
      </w:r>
      <w:r>
        <w:rPr>
          <w:rFonts w:ascii="宋体" w:hAnsi="宋体" w:eastAsia="宋体" w:cs="宋体"/>
          <w:spacing w:val="5"/>
          <w:sz w:val="20"/>
          <w:szCs w:val="20"/>
        </w:rPr>
        <w:t>分包的确定</w:t>
      </w:r>
    </w:p>
    <w:p w14:paraId="74C5BAE9">
      <w:pPr>
        <w:spacing w:before="153" w:line="369" w:lineRule="auto"/>
        <w:ind w:left="4" w:firstLine="420"/>
        <w:rPr>
          <w:rFonts w:ascii="宋体" w:hAnsi="宋体" w:eastAsia="宋体" w:cs="宋体"/>
          <w:sz w:val="20"/>
          <w:szCs w:val="20"/>
        </w:rPr>
      </w:pPr>
      <w:r>
        <w:rPr>
          <w:rFonts w:ascii="宋体" w:hAnsi="宋体" w:eastAsia="宋体" w:cs="宋体"/>
          <w:spacing w:val="10"/>
          <w:sz w:val="20"/>
          <w:szCs w:val="20"/>
        </w:rPr>
        <w:t>承包人应按专用合同条款的约定进行分包，确定分包人。已标价工程</w:t>
      </w:r>
      <w:r>
        <w:rPr>
          <w:rFonts w:ascii="宋体" w:hAnsi="宋体" w:eastAsia="宋体" w:cs="宋体"/>
          <w:spacing w:val="9"/>
          <w:sz w:val="20"/>
          <w:szCs w:val="20"/>
        </w:rPr>
        <w:t>量清单或预算书中给定</w:t>
      </w:r>
      <w:r>
        <w:rPr>
          <w:rFonts w:ascii="宋体" w:hAnsi="宋体" w:eastAsia="宋体" w:cs="宋体"/>
          <w:spacing w:val="7"/>
          <w:sz w:val="20"/>
          <w:szCs w:val="20"/>
        </w:rPr>
        <w:t>暂估价的专业工程，按照第</w:t>
      </w:r>
      <w:r>
        <w:rPr>
          <w:rFonts w:ascii="宋体" w:hAnsi="宋体" w:eastAsia="宋体" w:cs="宋体"/>
          <w:spacing w:val="-7"/>
          <w:sz w:val="20"/>
          <w:szCs w:val="20"/>
        </w:rPr>
        <w:t xml:space="preserve"> </w:t>
      </w:r>
      <w:r>
        <w:rPr>
          <w:rFonts w:ascii="Times New Roman" w:hAnsi="Times New Roman" w:eastAsia="Times New Roman" w:cs="Times New Roman"/>
          <w:spacing w:val="7"/>
          <w:sz w:val="20"/>
          <w:szCs w:val="20"/>
        </w:rPr>
        <w:t xml:space="preserve">10.7 </w:t>
      </w:r>
      <w:r>
        <w:rPr>
          <w:rFonts w:ascii="宋体" w:hAnsi="宋体" w:eastAsia="宋体" w:cs="宋体"/>
          <w:spacing w:val="7"/>
          <w:sz w:val="20"/>
          <w:szCs w:val="20"/>
        </w:rPr>
        <w:t>款〔暂估价〕确定分包人。按照合同约定进行分包的，承包人应</w:t>
      </w:r>
      <w:r>
        <w:rPr>
          <w:rFonts w:ascii="宋体" w:hAnsi="宋体" w:eastAsia="宋体" w:cs="宋体"/>
          <w:spacing w:val="10"/>
          <w:sz w:val="20"/>
          <w:szCs w:val="20"/>
        </w:rPr>
        <w:t>确保分包人具有相应的资质和能力。工程分包不减轻或免除承包人的责任</w:t>
      </w:r>
      <w:r>
        <w:rPr>
          <w:rFonts w:ascii="宋体" w:hAnsi="宋体" w:eastAsia="宋体" w:cs="宋体"/>
          <w:spacing w:val="9"/>
          <w:sz w:val="20"/>
          <w:szCs w:val="20"/>
        </w:rPr>
        <w:t>和义务，承包人和分包</w:t>
      </w:r>
      <w:r>
        <w:rPr>
          <w:rFonts w:ascii="宋体" w:hAnsi="宋体" w:eastAsia="宋体" w:cs="宋体"/>
          <w:spacing w:val="11"/>
          <w:sz w:val="20"/>
          <w:szCs w:val="20"/>
        </w:rPr>
        <w:t>人就分包工程向发包人承担连带责任。除合同另有约定外，承包</w:t>
      </w:r>
      <w:r>
        <w:rPr>
          <w:rFonts w:ascii="宋体" w:hAnsi="宋体" w:eastAsia="宋体" w:cs="宋体"/>
          <w:spacing w:val="10"/>
          <w:sz w:val="20"/>
          <w:szCs w:val="20"/>
        </w:rPr>
        <w:t>人应在分包合同签订后</w:t>
      </w:r>
      <w:r>
        <w:rPr>
          <w:rFonts w:ascii="Times New Roman" w:hAnsi="Times New Roman" w:eastAsia="Times New Roman" w:cs="Times New Roman"/>
          <w:spacing w:val="10"/>
          <w:sz w:val="20"/>
          <w:szCs w:val="20"/>
        </w:rPr>
        <w:t xml:space="preserve">7 </w:t>
      </w:r>
      <w:r>
        <w:rPr>
          <w:rFonts w:ascii="宋体" w:hAnsi="宋体" w:eastAsia="宋体" w:cs="宋体"/>
          <w:spacing w:val="10"/>
          <w:sz w:val="20"/>
          <w:szCs w:val="20"/>
        </w:rPr>
        <w:t>天内向</w:t>
      </w:r>
      <w:r>
        <w:rPr>
          <w:rFonts w:ascii="宋体" w:hAnsi="宋体" w:eastAsia="宋体" w:cs="宋体"/>
          <w:spacing w:val="8"/>
          <w:sz w:val="20"/>
          <w:szCs w:val="20"/>
        </w:rPr>
        <w:t>发包人和监理人提交分包合同副本。</w:t>
      </w:r>
    </w:p>
    <w:p w14:paraId="4193DF36">
      <w:pPr>
        <w:spacing w:before="1" w:line="227" w:lineRule="auto"/>
        <w:ind w:left="424"/>
        <w:rPr>
          <w:rFonts w:ascii="宋体" w:hAnsi="宋体" w:eastAsia="宋体" w:cs="宋体"/>
          <w:sz w:val="20"/>
          <w:szCs w:val="20"/>
        </w:rPr>
      </w:pPr>
      <w:r>
        <w:rPr>
          <w:rFonts w:ascii="Times New Roman" w:hAnsi="Times New Roman" w:eastAsia="Times New Roman" w:cs="Times New Roman"/>
          <w:spacing w:val="4"/>
          <w:sz w:val="20"/>
          <w:szCs w:val="20"/>
        </w:rPr>
        <w:t xml:space="preserve">3.5.3  </w:t>
      </w:r>
      <w:r>
        <w:rPr>
          <w:rFonts w:ascii="宋体" w:hAnsi="宋体" w:eastAsia="宋体" w:cs="宋体"/>
          <w:spacing w:val="4"/>
          <w:sz w:val="20"/>
          <w:szCs w:val="20"/>
        </w:rPr>
        <w:t>分包管理</w:t>
      </w:r>
    </w:p>
    <w:p w14:paraId="693007FF">
      <w:pPr>
        <w:spacing w:before="154" w:line="369" w:lineRule="auto"/>
        <w:ind w:left="6" w:firstLine="417"/>
        <w:rPr>
          <w:rFonts w:ascii="宋体" w:hAnsi="宋体" w:eastAsia="宋体" w:cs="宋体"/>
          <w:sz w:val="20"/>
          <w:szCs w:val="20"/>
        </w:rPr>
      </w:pPr>
      <w:r>
        <w:rPr>
          <w:rFonts w:ascii="宋体" w:hAnsi="宋体" w:eastAsia="宋体" w:cs="宋体"/>
          <w:spacing w:val="10"/>
          <w:sz w:val="20"/>
          <w:szCs w:val="20"/>
        </w:rPr>
        <w:t>承包人应向监理人提交分包人的主要施工管理人员表，并对分包人的</w:t>
      </w:r>
      <w:r>
        <w:rPr>
          <w:rFonts w:ascii="宋体" w:hAnsi="宋体" w:eastAsia="宋体" w:cs="宋体"/>
          <w:spacing w:val="9"/>
          <w:sz w:val="20"/>
          <w:szCs w:val="20"/>
        </w:rPr>
        <w:t>施工人员进行实名制管理，包括但不限于进出场管理、登记造册以及各种证照的办理。</w:t>
      </w:r>
    </w:p>
    <w:p w14:paraId="0BB38433">
      <w:pPr>
        <w:spacing w:line="226" w:lineRule="auto"/>
        <w:ind w:left="424"/>
        <w:rPr>
          <w:rFonts w:ascii="宋体" w:hAnsi="宋体" w:eastAsia="宋体" w:cs="宋体"/>
          <w:sz w:val="20"/>
          <w:szCs w:val="20"/>
        </w:rPr>
      </w:pPr>
      <w:r>
        <w:rPr>
          <w:rFonts w:ascii="Times New Roman" w:hAnsi="Times New Roman" w:eastAsia="Times New Roman" w:cs="Times New Roman"/>
          <w:spacing w:val="5"/>
          <w:sz w:val="20"/>
          <w:szCs w:val="20"/>
        </w:rPr>
        <w:t xml:space="preserve">3.5.4  </w:t>
      </w:r>
      <w:r>
        <w:rPr>
          <w:rFonts w:ascii="宋体" w:hAnsi="宋体" w:eastAsia="宋体" w:cs="宋体"/>
          <w:spacing w:val="5"/>
          <w:sz w:val="20"/>
          <w:szCs w:val="20"/>
        </w:rPr>
        <w:t>分包合同价款</w:t>
      </w:r>
    </w:p>
    <w:p w14:paraId="79DCA7E1">
      <w:pPr>
        <w:spacing w:before="157" w:line="368" w:lineRule="auto"/>
        <w:ind w:left="4"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）除本项第（</w:t>
      </w:r>
      <w:r>
        <w:rPr>
          <w:rFonts w:ascii="Times New Roman" w:hAnsi="Times New Roman" w:eastAsia="Times New Roman" w:cs="Times New Roman"/>
          <w:spacing w:val="8"/>
          <w:sz w:val="20"/>
          <w:szCs w:val="20"/>
        </w:rPr>
        <w:t>2</w:t>
      </w:r>
      <w:r>
        <w:rPr>
          <w:rFonts w:ascii="宋体" w:hAnsi="宋体" w:eastAsia="宋体" w:cs="宋体"/>
          <w:spacing w:val="8"/>
          <w:sz w:val="20"/>
          <w:szCs w:val="20"/>
        </w:rPr>
        <w:t>）</w:t>
      </w:r>
      <w:r>
        <w:rPr>
          <w:rFonts w:ascii="宋体" w:hAnsi="宋体" w:eastAsia="宋体" w:cs="宋体"/>
          <w:spacing w:val="-40"/>
          <w:sz w:val="20"/>
          <w:szCs w:val="20"/>
        </w:rPr>
        <w:t xml:space="preserve"> </w:t>
      </w:r>
      <w:r>
        <w:rPr>
          <w:rFonts w:ascii="宋体" w:hAnsi="宋体" w:eastAsia="宋体" w:cs="宋体"/>
          <w:spacing w:val="8"/>
          <w:sz w:val="20"/>
          <w:szCs w:val="20"/>
        </w:rPr>
        <w:t>目约定的情况或专用合同条款另有约定外，分包合同</w:t>
      </w:r>
      <w:r>
        <w:rPr>
          <w:rFonts w:ascii="宋体" w:hAnsi="宋体" w:eastAsia="宋体" w:cs="宋体"/>
          <w:spacing w:val="7"/>
          <w:sz w:val="20"/>
          <w:szCs w:val="20"/>
        </w:rPr>
        <w:t>价款由承包人与分</w:t>
      </w:r>
      <w:r>
        <w:rPr>
          <w:rFonts w:ascii="宋体" w:hAnsi="宋体" w:eastAsia="宋体" w:cs="宋体"/>
          <w:spacing w:val="9"/>
          <w:sz w:val="20"/>
          <w:szCs w:val="20"/>
        </w:rPr>
        <w:t>包人结算，未经承包人同意，发包人不得向分包人支付分包工程价款；</w:t>
      </w:r>
    </w:p>
    <w:p w14:paraId="515606BC">
      <w:pPr>
        <w:spacing w:before="1" w:line="369" w:lineRule="auto"/>
        <w:ind w:left="5" w:firstLine="42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）生效法律文书要求发包人向分包人支付分包合同价款的，发包人有权从</w:t>
      </w:r>
      <w:r>
        <w:rPr>
          <w:rFonts w:ascii="宋体" w:hAnsi="宋体" w:eastAsia="宋体" w:cs="宋体"/>
          <w:spacing w:val="6"/>
          <w:sz w:val="20"/>
          <w:szCs w:val="20"/>
        </w:rPr>
        <w:t>应付承包人工程</w:t>
      </w:r>
      <w:r>
        <w:rPr>
          <w:rFonts w:ascii="宋体" w:hAnsi="宋体" w:eastAsia="宋体" w:cs="宋体"/>
          <w:spacing w:val="7"/>
          <w:sz w:val="20"/>
          <w:szCs w:val="20"/>
        </w:rPr>
        <w:t>款中扣除该部分款项。</w:t>
      </w:r>
    </w:p>
    <w:p w14:paraId="2AEEE997">
      <w:pPr>
        <w:spacing w:line="227" w:lineRule="auto"/>
        <w:ind w:left="424"/>
        <w:rPr>
          <w:rFonts w:ascii="宋体" w:hAnsi="宋体" w:eastAsia="宋体" w:cs="宋体"/>
          <w:sz w:val="20"/>
          <w:szCs w:val="20"/>
        </w:rPr>
      </w:pPr>
      <w:r>
        <w:rPr>
          <w:rFonts w:ascii="Times New Roman" w:hAnsi="Times New Roman" w:eastAsia="Times New Roman" w:cs="Times New Roman"/>
          <w:spacing w:val="6"/>
          <w:sz w:val="20"/>
          <w:szCs w:val="20"/>
        </w:rPr>
        <w:t xml:space="preserve">3.5.5  </w:t>
      </w:r>
      <w:r>
        <w:rPr>
          <w:rFonts w:ascii="宋体" w:hAnsi="宋体" w:eastAsia="宋体" w:cs="宋体"/>
          <w:spacing w:val="6"/>
          <w:sz w:val="20"/>
          <w:szCs w:val="20"/>
        </w:rPr>
        <w:t>分包合同权益的转让</w:t>
      </w:r>
    </w:p>
    <w:p w14:paraId="0BEFED9B">
      <w:pPr>
        <w:spacing w:before="155" w:line="361" w:lineRule="auto"/>
        <w:ind w:left="7" w:firstLine="419"/>
        <w:rPr>
          <w:rFonts w:ascii="宋体" w:hAnsi="宋体" w:eastAsia="宋体" w:cs="宋体"/>
          <w:sz w:val="20"/>
          <w:szCs w:val="20"/>
        </w:rPr>
      </w:pPr>
      <w:r>
        <w:rPr>
          <w:rFonts w:ascii="宋体" w:hAnsi="宋体" w:eastAsia="宋体" w:cs="宋体"/>
          <w:spacing w:val="10"/>
          <w:sz w:val="20"/>
          <w:szCs w:val="20"/>
        </w:rPr>
        <w:t>分包人在分包合同项下的义务持续到缺陷责任期届满以后的，发</w:t>
      </w:r>
      <w:r>
        <w:rPr>
          <w:rFonts w:ascii="宋体" w:hAnsi="宋体" w:eastAsia="宋体" w:cs="宋体"/>
          <w:spacing w:val="9"/>
          <w:sz w:val="20"/>
          <w:szCs w:val="20"/>
        </w:rPr>
        <w:t>包人有权在缺陷责任期届满</w:t>
      </w:r>
      <w:r>
        <w:rPr>
          <w:rFonts w:ascii="宋体" w:hAnsi="宋体" w:eastAsia="宋体" w:cs="宋体"/>
          <w:spacing w:val="10"/>
          <w:sz w:val="20"/>
          <w:szCs w:val="20"/>
        </w:rPr>
        <w:t>前，要求承包人将其在分包合同项下的权益转让给发包人，承包人</w:t>
      </w:r>
      <w:r>
        <w:rPr>
          <w:rFonts w:ascii="宋体" w:hAnsi="宋体" w:eastAsia="宋体" w:cs="宋体"/>
          <w:spacing w:val="9"/>
          <w:sz w:val="20"/>
          <w:szCs w:val="20"/>
        </w:rPr>
        <w:t>应当转让。除转让合同另有约定外，转让合同生效后，由分包人向发包人履行义务。</w:t>
      </w:r>
    </w:p>
    <w:p w14:paraId="494ECB90">
      <w:pPr>
        <w:pStyle w:val="2"/>
        <w:spacing w:line="221" w:lineRule="auto"/>
        <w:rPr>
          <w:sz w:val="24"/>
          <w:szCs w:val="24"/>
        </w:rPr>
      </w:pPr>
      <w:r>
        <w:rPr>
          <w:rFonts w:ascii="Times New Roman" w:hAnsi="Times New Roman" w:eastAsia="Times New Roman" w:cs="Times New Roman"/>
          <w:b/>
          <w:bCs/>
          <w:spacing w:val="-2"/>
          <w:sz w:val="24"/>
          <w:szCs w:val="24"/>
        </w:rPr>
        <w:t xml:space="preserve">3.6  </w:t>
      </w:r>
      <w:r>
        <w:rPr>
          <w:b/>
          <w:bCs/>
          <w:spacing w:val="-2"/>
          <w:sz w:val="24"/>
          <w:szCs w:val="24"/>
        </w:rPr>
        <w:t>工程照管与成品、半成品保护</w:t>
      </w:r>
    </w:p>
    <w:p w14:paraId="11520249">
      <w:pPr>
        <w:spacing w:before="139" w:line="369" w:lineRule="auto"/>
        <w:ind w:left="9" w:right="2" w:firstLine="425"/>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）除专用合同条款另有约定外，自发包人向承包人移交施工现场之日</w:t>
      </w:r>
      <w:r>
        <w:rPr>
          <w:rFonts w:ascii="宋体" w:hAnsi="宋体" w:eastAsia="宋体" w:cs="宋体"/>
          <w:spacing w:val="6"/>
          <w:sz w:val="20"/>
          <w:szCs w:val="20"/>
        </w:rPr>
        <w:t>起，承包人应负责照</w:t>
      </w:r>
      <w:r>
        <w:rPr>
          <w:rFonts w:ascii="宋体" w:hAnsi="宋体" w:eastAsia="宋体" w:cs="宋体"/>
          <w:spacing w:val="9"/>
          <w:sz w:val="20"/>
          <w:szCs w:val="20"/>
        </w:rPr>
        <w:t>管工程及工程相关的材料、工程设备，直到颁发工程接收证书之日止。</w:t>
      </w:r>
    </w:p>
    <w:p w14:paraId="005C56FB">
      <w:pPr>
        <w:spacing w:line="369" w:lineRule="auto"/>
        <w:rPr>
          <w:rFonts w:ascii="宋体" w:hAnsi="宋体" w:eastAsia="宋体" w:cs="宋体"/>
          <w:sz w:val="20"/>
          <w:szCs w:val="20"/>
        </w:rPr>
        <w:sectPr>
          <w:footerReference r:id="rId246" w:type="default"/>
          <w:pgSz w:w="11906" w:h="16839"/>
          <w:pgMar w:top="400" w:right="1554" w:bottom="1038" w:left="1535" w:header="0" w:footer="785" w:gutter="0"/>
          <w:cols w:space="720" w:num="1"/>
        </w:sectPr>
      </w:pPr>
    </w:p>
    <w:p w14:paraId="582DE6DA">
      <w:pPr>
        <w:spacing w:line="271" w:lineRule="auto"/>
        <w:rPr>
          <w:rFonts w:ascii="Arial"/>
          <w:sz w:val="21"/>
        </w:rPr>
      </w:pPr>
    </w:p>
    <w:p w14:paraId="555D1743">
      <w:pPr>
        <w:spacing w:line="272" w:lineRule="auto"/>
        <w:rPr>
          <w:rFonts w:ascii="Arial"/>
          <w:sz w:val="21"/>
        </w:rPr>
      </w:pPr>
    </w:p>
    <w:p w14:paraId="76997D4A">
      <w:pPr>
        <w:spacing w:line="272" w:lineRule="auto"/>
        <w:rPr>
          <w:rFonts w:ascii="Arial"/>
          <w:sz w:val="21"/>
        </w:rPr>
      </w:pPr>
    </w:p>
    <w:p w14:paraId="46CC4404">
      <w:pPr>
        <w:spacing w:line="272" w:lineRule="auto"/>
        <w:rPr>
          <w:rFonts w:ascii="Arial"/>
          <w:sz w:val="21"/>
        </w:rPr>
      </w:pPr>
    </w:p>
    <w:p w14:paraId="5352ABBA">
      <w:pPr>
        <w:spacing w:before="65" w:line="369" w:lineRule="auto"/>
        <w:ind w:left="11" w:right="87" w:firstLine="42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）在承包人负责照管期间，因承包人原因造成工程、材料、工程设备损坏</w:t>
      </w:r>
      <w:r>
        <w:rPr>
          <w:rFonts w:ascii="宋体" w:hAnsi="宋体" w:eastAsia="宋体" w:cs="宋体"/>
          <w:spacing w:val="6"/>
          <w:sz w:val="20"/>
          <w:szCs w:val="20"/>
        </w:rPr>
        <w:t>的，由承包人负</w:t>
      </w:r>
      <w:r>
        <w:rPr>
          <w:rFonts w:ascii="宋体" w:hAnsi="宋体" w:eastAsia="宋体" w:cs="宋体"/>
          <w:spacing w:val="9"/>
          <w:sz w:val="20"/>
          <w:szCs w:val="20"/>
        </w:rPr>
        <w:t>责修复或更换，并承担由此增加的费用和（或）延误的工</w:t>
      </w:r>
      <w:r>
        <w:rPr>
          <w:rFonts w:ascii="宋体" w:hAnsi="宋体" w:eastAsia="宋体" w:cs="宋体"/>
          <w:spacing w:val="8"/>
          <w:sz w:val="20"/>
          <w:szCs w:val="20"/>
        </w:rPr>
        <w:t>期。</w:t>
      </w:r>
    </w:p>
    <w:p w14:paraId="0B94F456">
      <w:pPr>
        <w:spacing w:line="361" w:lineRule="auto"/>
        <w:ind w:left="5" w:firstLine="42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）对合同内分期完成的成品和半成品，在工程接收证书颁发前，</w:t>
      </w:r>
      <w:r>
        <w:rPr>
          <w:rFonts w:ascii="宋体" w:hAnsi="宋体" w:eastAsia="宋体" w:cs="宋体"/>
          <w:spacing w:val="-58"/>
          <w:sz w:val="20"/>
          <w:szCs w:val="20"/>
        </w:rPr>
        <w:t xml:space="preserve"> </w:t>
      </w:r>
      <w:r>
        <w:rPr>
          <w:rFonts w:ascii="宋体" w:hAnsi="宋体" w:eastAsia="宋体" w:cs="宋体"/>
          <w:spacing w:val="8"/>
          <w:sz w:val="20"/>
          <w:szCs w:val="20"/>
        </w:rPr>
        <w:t>由承包人承担保护责</w:t>
      </w:r>
      <w:r>
        <w:rPr>
          <w:rFonts w:ascii="宋体" w:hAnsi="宋体" w:eastAsia="宋体" w:cs="宋体"/>
          <w:spacing w:val="7"/>
          <w:sz w:val="20"/>
          <w:szCs w:val="20"/>
        </w:rPr>
        <w:t>任。</w:t>
      </w:r>
      <w:r>
        <w:rPr>
          <w:rFonts w:ascii="宋体" w:hAnsi="宋体" w:eastAsia="宋体" w:cs="宋体"/>
          <w:spacing w:val="2"/>
          <w:sz w:val="20"/>
          <w:szCs w:val="20"/>
        </w:rPr>
        <w:t>因承包人原因造成成品或半成品损坏的，由承包人负责修复或更换，并承担由此增加的费用和（或）</w:t>
      </w:r>
      <w:r>
        <w:rPr>
          <w:rFonts w:ascii="宋体" w:hAnsi="宋体" w:eastAsia="宋体" w:cs="宋体"/>
          <w:spacing w:val="6"/>
          <w:sz w:val="20"/>
          <w:szCs w:val="20"/>
        </w:rPr>
        <w:t>延误的工期。</w:t>
      </w:r>
    </w:p>
    <w:p w14:paraId="5F56E888">
      <w:pPr>
        <w:pStyle w:val="2"/>
        <w:spacing w:line="221" w:lineRule="auto"/>
        <w:rPr>
          <w:sz w:val="24"/>
          <w:szCs w:val="24"/>
        </w:rPr>
      </w:pPr>
      <w:r>
        <w:rPr>
          <w:rFonts w:ascii="Times New Roman" w:hAnsi="Times New Roman" w:eastAsia="Times New Roman" w:cs="Times New Roman"/>
          <w:b/>
          <w:bCs/>
          <w:spacing w:val="-2"/>
          <w:sz w:val="24"/>
          <w:szCs w:val="24"/>
        </w:rPr>
        <w:t xml:space="preserve">3.7  </w:t>
      </w:r>
      <w:r>
        <w:rPr>
          <w:b/>
          <w:bCs/>
          <w:spacing w:val="-2"/>
          <w:sz w:val="24"/>
          <w:szCs w:val="24"/>
        </w:rPr>
        <w:t>履约担保</w:t>
      </w:r>
    </w:p>
    <w:p w14:paraId="51DA2FB0">
      <w:pPr>
        <w:spacing w:before="140" w:line="369" w:lineRule="auto"/>
        <w:ind w:left="5" w:right="89" w:firstLine="421"/>
        <w:rPr>
          <w:rFonts w:ascii="宋体" w:hAnsi="宋体" w:eastAsia="宋体" w:cs="宋体"/>
          <w:sz w:val="20"/>
          <w:szCs w:val="20"/>
        </w:rPr>
      </w:pPr>
      <w:r>
        <w:rPr>
          <w:rFonts w:ascii="宋体" w:hAnsi="宋体" w:eastAsia="宋体" w:cs="宋体"/>
          <w:spacing w:val="10"/>
          <w:sz w:val="20"/>
          <w:szCs w:val="20"/>
        </w:rPr>
        <w:t>发包人需要承包人提供履约担保的，由合同当事人在专用</w:t>
      </w:r>
      <w:r>
        <w:rPr>
          <w:rFonts w:ascii="宋体" w:hAnsi="宋体" w:eastAsia="宋体" w:cs="宋体"/>
          <w:spacing w:val="9"/>
          <w:sz w:val="20"/>
          <w:szCs w:val="20"/>
        </w:rPr>
        <w:t>合同条款中约定履约担保的方式、</w:t>
      </w:r>
      <w:r>
        <w:rPr>
          <w:rFonts w:ascii="宋体" w:hAnsi="宋体" w:eastAsia="宋体" w:cs="宋体"/>
          <w:spacing w:val="10"/>
          <w:sz w:val="20"/>
          <w:szCs w:val="20"/>
        </w:rPr>
        <w:t>金额及期限等。履约担保可以采用银行保函或担保公司担保等形</w:t>
      </w:r>
      <w:r>
        <w:rPr>
          <w:rFonts w:ascii="宋体" w:hAnsi="宋体" w:eastAsia="宋体" w:cs="宋体"/>
          <w:spacing w:val="9"/>
          <w:sz w:val="20"/>
          <w:szCs w:val="20"/>
        </w:rPr>
        <w:t>式，具体由合同当事人在专用合</w:t>
      </w:r>
      <w:r>
        <w:rPr>
          <w:rFonts w:ascii="宋体" w:hAnsi="宋体" w:eastAsia="宋体" w:cs="宋体"/>
          <w:spacing w:val="6"/>
          <w:sz w:val="20"/>
          <w:szCs w:val="20"/>
        </w:rPr>
        <w:t>同条款中约定。</w:t>
      </w:r>
    </w:p>
    <w:p w14:paraId="0D5A8D25">
      <w:pPr>
        <w:spacing w:before="1" w:line="356" w:lineRule="auto"/>
        <w:ind w:left="9" w:right="87" w:firstLine="431"/>
        <w:rPr>
          <w:rFonts w:ascii="宋体" w:hAnsi="宋体" w:eastAsia="宋体" w:cs="宋体"/>
          <w:sz w:val="20"/>
          <w:szCs w:val="20"/>
        </w:rPr>
      </w:pPr>
      <w:r>
        <w:rPr>
          <w:rFonts w:ascii="宋体" w:hAnsi="宋体" w:eastAsia="宋体" w:cs="宋体"/>
          <w:spacing w:val="9"/>
          <w:sz w:val="20"/>
          <w:szCs w:val="20"/>
        </w:rPr>
        <w:t>因承包人原因导致工期延长的，继续提供履约担保所增加的费用由承包人承担；非因承包人原因导致工期延长的，继续提供履约担保所增加的费用由发包人承担。</w:t>
      </w:r>
    </w:p>
    <w:p w14:paraId="31FB490B">
      <w:pPr>
        <w:pStyle w:val="2"/>
        <w:spacing w:line="221" w:lineRule="auto"/>
        <w:rPr>
          <w:sz w:val="24"/>
          <w:szCs w:val="24"/>
        </w:rPr>
      </w:pPr>
      <w:r>
        <w:rPr>
          <w:rFonts w:ascii="Times New Roman" w:hAnsi="Times New Roman" w:eastAsia="Times New Roman" w:cs="Times New Roman"/>
          <w:b/>
          <w:bCs/>
          <w:spacing w:val="-4"/>
          <w:sz w:val="24"/>
          <w:szCs w:val="24"/>
        </w:rPr>
        <w:t>3.8</w:t>
      </w:r>
      <w:r>
        <w:rPr>
          <w:rFonts w:ascii="Times New Roman" w:hAnsi="Times New Roman" w:eastAsia="Times New Roman" w:cs="Times New Roman"/>
          <w:b/>
          <w:bCs/>
          <w:spacing w:val="6"/>
          <w:sz w:val="24"/>
          <w:szCs w:val="24"/>
        </w:rPr>
        <w:t xml:space="preserve">  </w:t>
      </w:r>
      <w:r>
        <w:rPr>
          <w:b/>
          <w:bCs/>
          <w:spacing w:val="-4"/>
          <w:sz w:val="24"/>
          <w:szCs w:val="24"/>
        </w:rPr>
        <w:t>联合体</w:t>
      </w:r>
    </w:p>
    <w:p w14:paraId="3F2465FB">
      <w:pPr>
        <w:spacing w:before="139" w:line="369" w:lineRule="auto"/>
        <w:ind w:left="9" w:right="87" w:firstLine="414"/>
        <w:rPr>
          <w:rFonts w:ascii="宋体" w:hAnsi="宋体" w:eastAsia="宋体" w:cs="宋体"/>
          <w:sz w:val="20"/>
          <w:szCs w:val="20"/>
        </w:rPr>
      </w:pPr>
      <w:r>
        <w:rPr>
          <w:rFonts w:ascii="Times New Roman" w:hAnsi="Times New Roman" w:eastAsia="Times New Roman" w:cs="Times New Roman"/>
          <w:spacing w:val="6"/>
          <w:sz w:val="20"/>
          <w:szCs w:val="20"/>
        </w:rPr>
        <w:t>3.8.</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联合体各方应共同与发包人签订合同协议书。联合体各方应为履行合同向发</w:t>
      </w:r>
      <w:r>
        <w:rPr>
          <w:rFonts w:ascii="宋体" w:hAnsi="宋体" w:eastAsia="宋体" w:cs="宋体"/>
          <w:spacing w:val="5"/>
          <w:sz w:val="20"/>
          <w:szCs w:val="20"/>
        </w:rPr>
        <w:t>包人承担连</w:t>
      </w:r>
      <w:r>
        <w:rPr>
          <w:rFonts w:ascii="宋体" w:hAnsi="宋体" w:eastAsia="宋体" w:cs="宋体"/>
          <w:spacing w:val="3"/>
          <w:sz w:val="20"/>
          <w:szCs w:val="20"/>
        </w:rPr>
        <w:t>带责任。</w:t>
      </w:r>
    </w:p>
    <w:p w14:paraId="33AF5532">
      <w:pPr>
        <w:spacing w:before="2" w:line="368" w:lineRule="auto"/>
        <w:ind w:left="4" w:right="89" w:firstLine="420"/>
        <w:rPr>
          <w:rFonts w:ascii="宋体" w:hAnsi="宋体" w:eastAsia="宋体" w:cs="宋体"/>
          <w:sz w:val="20"/>
          <w:szCs w:val="20"/>
        </w:rPr>
      </w:pPr>
      <w:r>
        <w:rPr>
          <w:rFonts w:ascii="Times New Roman" w:hAnsi="Times New Roman" w:eastAsia="Times New Roman" w:cs="Times New Roman"/>
          <w:spacing w:val="6"/>
          <w:sz w:val="20"/>
          <w:szCs w:val="20"/>
        </w:rPr>
        <w:t xml:space="preserve">3.8.2  </w:t>
      </w:r>
      <w:r>
        <w:rPr>
          <w:rFonts w:ascii="宋体" w:hAnsi="宋体" w:eastAsia="宋体" w:cs="宋体"/>
          <w:spacing w:val="6"/>
          <w:sz w:val="20"/>
          <w:szCs w:val="20"/>
        </w:rPr>
        <w:t>联合体协议经发包人确认后作为合同附件。在履行合同过程中，未经发包人同意，不得</w:t>
      </w:r>
      <w:r>
        <w:rPr>
          <w:rFonts w:ascii="宋体" w:hAnsi="宋体" w:eastAsia="宋体" w:cs="宋体"/>
          <w:spacing w:val="7"/>
          <w:sz w:val="20"/>
          <w:szCs w:val="20"/>
        </w:rPr>
        <w:t>修改联合体协议。</w:t>
      </w:r>
    </w:p>
    <w:p w14:paraId="3185BC7C">
      <w:pPr>
        <w:spacing w:before="1" w:line="371" w:lineRule="auto"/>
        <w:ind w:left="7" w:right="87" w:firstLine="417"/>
        <w:rPr>
          <w:rFonts w:ascii="宋体" w:hAnsi="宋体" w:eastAsia="宋体" w:cs="宋体"/>
          <w:sz w:val="20"/>
          <w:szCs w:val="20"/>
        </w:rPr>
      </w:pPr>
      <w:r>
        <w:rPr>
          <w:rFonts w:ascii="Times New Roman" w:hAnsi="Times New Roman" w:eastAsia="Times New Roman" w:cs="Times New Roman"/>
          <w:spacing w:val="7"/>
          <w:sz w:val="20"/>
          <w:szCs w:val="20"/>
        </w:rPr>
        <w:t xml:space="preserve">3.8.3  </w:t>
      </w:r>
      <w:r>
        <w:rPr>
          <w:rFonts w:ascii="宋体" w:hAnsi="宋体" w:eastAsia="宋体" w:cs="宋体"/>
          <w:spacing w:val="7"/>
          <w:sz w:val="20"/>
          <w:szCs w:val="20"/>
        </w:rPr>
        <w:t>联合体牵头人负责与发包人和</w:t>
      </w:r>
      <w:r>
        <w:rPr>
          <w:rFonts w:ascii="宋体" w:hAnsi="宋体" w:eastAsia="宋体" w:cs="宋体"/>
          <w:spacing w:val="6"/>
          <w:sz w:val="20"/>
          <w:szCs w:val="20"/>
        </w:rPr>
        <w:t>监理人联系，并接受指示，负责组织联合体各成员全面履</w:t>
      </w:r>
      <w:r>
        <w:rPr>
          <w:rFonts w:ascii="宋体" w:hAnsi="宋体" w:eastAsia="宋体" w:cs="宋体"/>
          <w:spacing w:val="4"/>
          <w:sz w:val="20"/>
          <w:szCs w:val="20"/>
        </w:rPr>
        <w:t>行合同。</w:t>
      </w:r>
    </w:p>
    <w:p w14:paraId="21B2AF2D">
      <w:pPr>
        <w:pStyle w:val="2"/>
        <w:spacing w:before="35" w:line="225" w:lineRule="auto"/>
        <w:ind w:left="3"/>
        <w:outlineLvl w:val="2"/>
        <w:rPr>
          <w:sz w:val="28"/>
          <w:szCs w:val="28"/>
        </w:rPr>
      </w:pPr>
      <w:bookmarkStart w:id="266" w:name="bookmark248"/>
      <w:bookmarkEnd w:id="266"/>
      <w:r>
        <w:rPr>
          <w:rFonts w:ascii="Times New Roman" w:hAnsi="Times New Roman" w:eastAsia="Times New Roman" w:cs="Times New Roman"/>
          <w:b/>
          <w:bCs/>
          <w:spacing w:val="-2"/>
          <w:sz w:val="28"/>
          <w:szCs w:val="28"/>
        </w:rPr>
        <w:t xml:space="preserve">4.  </w:t>
      </w:r>
      <w:r>
        <w:rPr>
          <w:b/>
          <w:bCs/>
          <w:spacing w:val="-2"/>
          <w:sz w:val="28"/>
          <w:szCs w:val="28"/>
        </w:rPr>
        <w:t>监理人</w:t>
      </w:r>
    </w:p>
    <w:p w14:paraId="255E44F5">
      <w:pPr>
        <w:pStyle w:val="2"/>
        <w:spacing w:before="92" w:line="221" w:lineRule="auto"/>
        <w:ind w:left="2"/>
        <w:rPr>
          <w:sz w:val="24"/>
          <w:szCs w:val="24"/>
        </w:rPr>
      </w:pPr>
      <w:r>
        <w:rPr>
          <w:rFonts w:ascii="Times New Roman" w:hAnsi="Times New Roman" w:eastAsia="Times New Roman" w:cs="Times New Roman"/>
          <w:b/>
          <w:bCs/>
          <w:spacing w:val="-2"/>
          <w:sz w:val="24"/>
          <w:szCs w:val="24"/>
        </w:rPr>
        <w:t xml:space="preserve">4.1 </w:t>
      </w:r>
      <w:r>
        <w:rPr>
          <w:b/>
          <w:bCs/>
          <w:spacing w:val="-2"/>
          <w:sz w:val="24"/>
          <w:szCs w:val="24"/>
        </w:rPr>
        <w:t>监理人的一般规定</w:t>
      </w:r>
    </w:p>
    <w:p w14:paraId="211E3944">
      <w:pPr>
        <w:spacing w:before="140" w:line="369" w:lineRule="auto"/>
        <w:ind w:left="3" w:right="18" w:firstLine="423"/>
        <w:jc w:val="both"/>
        <w:rPr>
          <w:rFonts w:ascii="宋体" w:hAnsi="宋体" w:eastAsia="宋体" w:cs="宋体"/>
          <w:sz w:val="20"/>
          <w:szCs w:val="20"/>
        </w:rPr>
      </w:pPr>
      <w:r>
        <w:rPr>
          <w:rFonts w:ascii="宋体" w:hAnsi="宋体" w:eastAsia="宋体" w:cs="宋体"/>
          <w:spacing w:val="10"/>
          <w:sz w:val="20"/>
          <w:szCs w:val="20"/>
        </w:rPr>
        <w:t>工程实行监理的，发包人和承包人应在专用合同条款中明确监理</w:t>
      </w:r>
      <w:r>
        <w:rPr>
          <w:rFonts w:ascii="宋体" w:hAnsi="宋体" w:eastAsia="宋体" w:cs="宋体"/>
          <w:spacing w:val="9"/>
          <w:sz w:val="20"/>
          <w:szCs w:val="20"/>
        </w:rPr>
        <w:t>人的监理内容及监理权限等</w:t>
      </w:r>
      <w:r>
        <w:rPr>
          <w:rFonts w:ascii="宋体" w:hAnsi="宋体" w:eastAsia="宋体" w:cs="宋体"/>
          <w:spacing w:val="7"/>
          <w:sz w:val="20"/>
          <w:szCs w:val="20"/>
        </w:rPr>
        <w:t>事项。监理人应当根据发包人授权及法律规定，代</w:t>
      </w:r>
      <w:r>
        <w:rPr>
          <w:rFonts w:ascii="宋体" w:hAnsi="宋体" w:eastAsia="宋体" w:cs="宋体"/>
          <w:spacing w:val="6"/>
          <w:sz w:val="20"/>
          <w:szCs w:val="20"/>
        </w:rPr>
        <w:t>表发包人对工程施工相关事项进行检查、查验、</w:t>
      </w:r>
      <w:r>
        <w:rPr>
          <w:rFonts w:ascii="宋体" w:hAnsi="宋体" w:eastAsia="宋体" w:cs="宋体"/>
          <w:spacing w:val="10"/>
          <w:sz w:val="20"/>
          <w:szCs w:val="20"/>
        </w:rPr>
        <w:t>审核、验收，并签发相关指示，但监理人无权修改合同，且无权减轻或免除</w:t>
      </w:r>
      <w:r>
        <w:rPr>
          <w:rFonts w:ascii="宋体" w:hAnsi="宋体" w:eastAsia="宋体" w:cs="宋体"/>
          <w:spacing w:val="9"/>
          <w:sz w:val="20"/>
          <w:szCs w:val="20"/>
        </w:rPr>
        <w:t>合同约定的承包人的</w:t>
      </w:r>
      <w:r>
        <w:rPr>
          <w:rFonts w:ascii="宋体" w:hAnsi="宋体" w:eastAsia="宋体" w:cs="宋体"/>
          <w:spacing w:val="7"/>
          <w:sz w:val="20"/>
          <w:szCs w:val="20"/>
        </w:rPr>
        <w:t>任何责任与义务。</w:t>
      </w:r>
    </w:p>
    <w:p w14:paraId="187253C6">
      <w:pPr>
        <w:spacing w:before="2" w:line="357" w:lineRule="auto"/>
        <w:ind w:left="5" w:right="87" w:firstLine="430"/>
        <w:rPr>
          <w:rFonts w:ascii="宋体" w:hAnsi="宋体" w:eastAsia="宋体" w:cs="宋体"/>
          <w:sz w:val="20"/>
          <w:szCs w:val="20"/>
        </w:rPr>
      </w:pPr>
      <w:r>
        <w:rPr>
          <w:rFonts w:ascii="宋体" w:hAnsi="宋体" w:eastAsia="宋体" w:cs="宋体"/>
          <w:spacing w:val="9"/>
          <w:sz w:val="20"/>
          <w:szCs w:val="20"/>
        </w:rPr>
        <w:t>除专用合同条款另有约定外，监理人在施工现场的办公场所、生活场所由承包人提供，所发</w:t>
      </w:r>
      <w:r>
        <w:rPr>
          <w:rFonts w:ascii="宋体" w:hAnsi="宋体" w:eastAsia="宋体" w:cs="宋体"/>
          <w:spacing w:val="7"/>
          <w:sz w:val="20"/>
          <w:szCs w:val="20"/>
        </w:rPr>
        <w:t>生的费用由发包人承担。</w:t>
      </w:r>
    </w:p>
    <w:p w14:paraId="0E77AD60">
      <w:pPr>
        <w:pStyle w:val="2"/>
        <w:spacing w:before="1" w:line="220" w:lineRule="auto"/>
        <w:ind w:left="2"/>
        <w:rPr>
          <w:sz w:val="24"/>
          <w:szCs w:val="24"/>
        </w:rPr>
      </w:pPr>
      <w:r>
        <w:rPr>
          <w:rFonts w:ascii="Times New Roman" w:hAnsi="Times New Roman" w:eastAsia="Times New Roman" w:cs="Times New Roman"/>
          <w:b/>
          <w:bCs/>
          <w:spacing w:val="-2"/>
          <w:sz w:val="24"/>
          <w:szCs w:val="24"/>
        </w:rPr>
        <w:t xml:space="preserve">4.2 </w:t>
      </w:r>
      <w:r>
        <w:rPr>
          <w:b/>
          <w:bCs/>
          <w:spacing w:val="-2"/>
          <w:sz w:val="24"/>
          <w:szCs w:val="24"/>
        </w:rPr>
        <w:t>监理人员</w:t>
      </w:r>
    </w:p>
    <w:p w14:paraId="04556E3F">
      <w:pPr>
        <w:spacing w:before="139" w:line="363" w:lineRule="auto"/>
        <w:ind w:left="4" w:right="87" w:firstLine="423"/>
        <w:jc w:val="both"/>
        <w:rPr>
          <w:rFonts w:ascii="宋体" w:hAnsi="宋体" w:eastAsia="宋体" w:cs="宋体"/>
          <w:sz w:val="20"/>
          <w:szCs w:val="20"/>
        </w:rPr>
      </w:pPr>
      <w:r>
        <w:rPr>
          <w:rFonts w:ascii="宋体" w:hAnsi="宋体" w:eastAsia="宋体" w:cs="宋体"/>
          <w:spacing w:val="10"/>
          <w:sz w:val="20"/>
          <w:szCs w:val="20"/>
        </w:rPr>
        <w:t>发包人授予监理人对工程实施监理的权利由监理人派驻施工现</w:t>
      </w:r>
      <w:r>
        <w:rPr>
          <w:rFonts w:ascii="宋体" w:hAnsi="宋体" w:eastAsia="宋体" w:cs="宋体"/>
          <w:spacing w:val="9"/>
          <w:sz w:val="20"/>
          <w:szCs w:val="20"/>
        </w:rPr>
        <w:t>场的监理人员行使，监理人员</w:t>
      </w:r>
      <w:r>
        <w:rPr>
          <w:rFonts w:ascii="宋体" w:hAnsi="宋体" w:eastAsia="宋体" w:cs="宋体"/>
          <w:spacing w:val="10"/>
          <w:sz w:val="20"/>
          <w:szCs w:val="20"/>
        </w:rPr>
        <w:t>包括总监理工程师及监理工程师。监理人应将授权的总监理工程师和监理</w:t>
      </w:r>
      <w:r>
        <w:rPr>
          <w:rFonts w:ascii="宋体" w:hAnsi="宋体" w:eastAsia="宋体" w:cs="宋体"/>
          <w:spacing w:val="9"/>
          <w:sz w:val="20"/>
          <w:szCs w:val="20"/>
        </w:rPr>
        <w:t>工程师的姓名及授权范围以书面形式提前通知承包人。更换总监理工程师的，监理人应提前</w:t>
      </w:r>
      <w:r>
        <w:rPr>
          <w:rFonts w:ascii="宋体" w:hAnsi="宋体" w:eastAsia="宋体" w:cs="宋体"/>
          <w:spacing w:val="-29"/>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天书面通知承包人；更换</w:t>
      </w:r>
      <w:r>
        <w:rPr>
          <w:rFonts w:ascii="宋体" w:hAnsi="宋体" w:eastAsia="宋体" w:cs="宋体"/>
          <w:spacing w:val="8"/>
          <w:sz w:val="20"/>
          <w:szCs w:val="20"/>
        </w:rPr>
        <w:t>其他监理人员，监理人应提前</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48</w:t>
      </w:r>
      <w:r>
        <w:rPr>
          <w:rFonts w:ascii="Times New Roman" w:hAnsi="Times New Roman" w:eastAsia="Times New Roman" w:cs="Times New Roman"/>
          <w:spacing w:val="18"/>
          <w:sz w:val="20"/>
          <w:szCs w:val="20"/>
        </w:rPr>
        <w:t xml:space="preserve"> </w:t>
      </w:r>
      <w:r>
        <w:rPr>
          <w:rFonts w:ascii="宋体" w:hAnsi="宋体" w:eastAsia="宋体" w:cs="宋体"/>
          <w:spacing w:val="8"/>
          <w:sz w:val="20"/>
          <w:szCs w:val="20"/>
        </w:rPr>
        <w:t>小时书面通知承包人。</w:t>
      </w:r>
    </w:p>
    <w:p w14:paraId="77F2FC68">
      <w:pPr>
        <w:pStyle w:val="2"/>
        <w:spacing w:before="1" w:line="221" w:lineRule="auto"/>
        <w:ind w:left="2"/>
        <w:rPr>
          <w:sz w:val="24"/>
          <w:szCs w:val="24"/>
        </w:rPr>
      </w:pPr>
      <w:r>
        <w:rPr>
          <w:rFonts w:ascii="Times New Roman" w:hAnsi="Times New Roman" w:eastAsia="Times New Roman" w:cs="Times New Roman"/>
          <w:b/>
          <w:bCs/>
          <w:spacing w:val="-2"/>
          <w:sz w:val="24"/>
          <w:szCs w:val="24"/>
        </w:rPr>
        <w:t xml:space="preserve">4.3 </w:t>
      </w:r>
      <w:r>
        <w:rPr>
          <w:b/>
          <w:bCs/>
          <w:spacing w:val="-2"/>
          <w:sz w:val="24"/>
          <w:szCs w:val="24"/>
        </w:rPr>
        <w:t>监理人的指示</w:t>
      </w:r>
    </w:p>
    <w:p w14:paraId="793AB06A">
      <w:pPr>
        <w:spacing w:before="139" w:line="369" w:lineRule="auto"/>
        <w:ind w:left="6" w:right="87" w:firstLine="418"/>
        <w:rPr>
          <w:rFonts w:ascii="宋体" w:hAnsi="宋体" w:eastAsia="宋体" w:cs="宋体"/>
          <w:sz w:val="20"/>
          <w:szCs w:val="20"/>
        </w:rPr>
      </w:pPr>
      <w:r>
        <w:rPr>
          <w:rFonts w:ascii="宋体" w:hAnsi="宋体" w:eastAsia="宋体" w:cs="宋体"/>
          <w:spacing w:val="10"/>
          <w:sz w:val="20"/>
          <w:szCs w:val="20"/>
        </w:rPr>
        <w:t>监理人应按照发包人的授权发出监理指示。监理人的指示应采用书</w:t>
      </w:r>
      <w:r>
        <w:rPr>
          <w:rFonts w:ascii="宋体" w:hAnsi="宋体" w:eastAsia="宋体" w:cs="宋体"/>
          <w:spacing w:val="9"/>
          <w:sz w:val="20"/>
          <w:szCs w:val="20"/>
        </w:rPr>
        <w:t>面形式，并经其授权的监</w:t>
      </w:r>
      <w:r>
        <w:rPr>
          <w:rFonts w:ascii="宋体" w:hAnsi="宋体" w:eastAsia="宋体" w:cs="宋体"/>
          <w:spacing w:val="10"/>
          <w:sz w:val="20"/>
          <w:szCs w:val="20"/>
        </w:rPr>
        <w:t>理人员签字。紧急情况下，为了保证施工人员的安全或避免工程受损</w:t>
      </w:r>
      <w:r>
        <w:rPr>
          <w:rFonts w:ascii="宋体" w:hAnsi="宋体" w:eastAsia="宋体" w:cs="宋体"/>
          <w:spacing w:val="9"/>
          <w:sz w:val="20"/>
          <w:szCs w:val="20"/>
        </w:rPr>
        <w:t>，监理人员可以口头形式发</w:t>
      </w:r>
    </w:p>
    <w:p w14:paraId="54B3A078">
      <w:pPr>
        <w:spacing w:line="369" w:lineRule="auto"/>
        <w:rPr>
          <w:rFonts w:ascii="宋体" w:hAnsi="宋体" w:eastAsia="宋体" w:cs="宋体"/>
          <w:sz w:val="20"/>
          <w:szCs w:val="20"/>
        </w:rPr>
        <w:sectPr>
          <w:footerReference r:id="rId247" w:type="default"/>
          <w:pgSz w:w="11906" w:h="16839"/>
          <w:pgMar w:top="400" w:right="1467" w:bottom="1038" w:left="1535" w:header="0" w:footer="785" w:gutter="0"/>
          <w:cols w:space="720" w:num="1"/>
        </w:sectPr>
      </w:pPr>
    </w:p>
    <w:p w14:paraId="35BB417C">
      <w:pPr>
        <w:spacing w:line="271" w:lineRule="auto"/>
        <w:rPr>
          <w:rFonts w:ascii="Arial"/>
          <w:sz w:val="21"/>
        </w:rPr>
      </w:pPr>
    </w:p>
    <w:p w14:paraId="538F8CE5">
      <w:pPr>
        <w:spacing w:line="271" w:lineRule="auto"/>
        <w:rPr>
          <w:rFonts w:ascii="Arial"/>
          <w:sz w:val="21"/>
        </w:rPr>
      </w:pPr>
    </w:p>
    <w:p w14:paraId="73440097">
      <w:pPr>
        <w:spacing w:line="272" w:lineRule="auto"/>
        <w:rPr>
          <w:rFonts w:ascii="Arial"/>
          <w:sz w:val="21"/>
        </w:rPr>
      </w:pPr>
    </w:p>
    <w:p w14:paraId="00CE4AAD">
      <w:pPr>
        <w:spacing w:line="272" w:lineRule="auto"/>
        <w:rPr>
          <w:rFonts w:ascii="Arial"/>
          <w:sz w:val="21"/>
        </w:rPr>
      </w:pPr>
    </w:p>
    <w:p w14:paraId="07149342">
      <w:pPr>
        <w:spacing w:before="65" w:line="369" w:lineRule="auto"/>
        <w:ind w:left="2" w:right="2" w:firstLine="17"/>
        <w:rPr>
          <w:rFonts w:ascii="宋体" w:hAnsi="宋体" w:eastAsia="宋体" w:cs="宋体"/>
          <w:sz w:val="20"/>
          <w:szCs w:val="20"/>
        </w:rPr>
      </w:pPr>
      <w:r>
        <w:rPr>
          <w:rFonts w:ascii="宋体" w:hAnsi="宋体" w:eastAsia="宋体" w:cs="宋体"/>
          <w:spacing w:val="6"/>
          <w:sz w:val="20"/>
          <w:szCs w:val="20"/>
        </w:rPr>
        <w:t>出指示，该指示与书面形式的指示具有同等法律效力，但必须在发出口头指示后</w:t>
      </w:r>
      <w:r>
        <w:rPr>
          <w:rFonts w:ascii="宋体" w:hAnsi="宋体" w:eastAsia="宋体" w:cs="宋体"/>
          <w:spacing w:val="-33"/>
          <w:sz w:val="20"/>
          <w:szCs w:val="20"/>
        </w:rPr>
        <w:t xml:space="preserve"> </w:t>
      </w:r>
      <w:r>
        <w:rPr>
          <w:rFonts w:ascii="Times New Roman" w:hAnsi="Times New Roman" w:eastAsia="Times New Roman" w:cs="Times New Roman"/>
          <w:spacing w:val="6"/>
          <w:sz w:val="20"/>
          <w:szCs w:val="20"/>
        </w:rPr>
        <w:t>24</w:t>
      </w:r>
      <w:r>
        <w:rPr>
          <w:rFonts w:ascii="Times New Roman" w:hAnsi="Times New Roman" w:eastAsia="Times New Roman" w:cs="Times New Roman"/>
          <w:spacing w:val="15"/>
          <w:w w:val="101"/>
          <w:sz w:val="20"/>
          <w:szCs w:val="20"/>
        </w:rPr>
        <w:t xml:space="preserve"> </w:t>
      </w:r>
      <w:r>
        <w:rPr>
          <w:rFonts w:ascii="宋体" w:hAnsi="宋体" w:eastAsia="宋体" w:cs="宋体"/>
          <w:spacing w:val="6"/>
          <w:sz w:val="20"/>
          <w:szCs w:val="20"/>
        </w:rPr>
        <w:t>小时内补发书</w:t>
      </w:r>
      <w:r>
        <w:rPr>
          <w:rFonts w:ascii="宋体" w:hAnsi="宋体" w:eastAsia="宋体" w:cs="宋体"/>
          <w:spacing w:val="9"/>
          <w:sz w:val="20"/>
          <w:szCs w:val="20"/>
        </w:rPr>
        <w:t>面监理指示，补发的书面监理指示应与口头指示一致。</w:t>
      </w:r>
    </w:p>
    <w:p w14:paraId="1079FA96">
      <w:pPr>
        <w:spacing w:before="1" w:line="369" w:lineRule="auto"/>
        <w:ind w:left="2" w:firstLine="420"/>
        <w:jc w:val="both"/>
        <w:rPr>
          <w:rFonts w:ascii="宋体" w:hAnsi="宋体" w:eastAsia="宋体" w:cs="宋体"/>
          <w:sz w:val="20"/>
          <w:szCs w:val="20"/>
        </w:rPr>
      </w:pPr>
      <w:r>
        <w:rPr>
          <w:rFonts w:ascii="宋体" w:hAnsi="宋体" w:eastAsia="宋体" w:cs="宋体"/>
          <w:spacing w:val="10"/>
          <w:sz w:val="20"/>
          <w:szCs w:val="20"/>
        </w:rPr>
        <w:t>监理人发出的指示应送达承包人项目经理或经项目经理授权接收的</w:t>
      </w:r>
      <w:r>
        <w:rPr>
          <w:rFonts w:ascii="宋体" w:hAnsi="宋体" w:eastAsia="宋体" w:cs="宋体"/>
          <w:spacing w:val="9"/>
          <w:sz w:val="20"/>
          <w:szCs w:val="20"/>
        </w:rPr>
        <w:t>人员。因监理人未能按合</w:t>
      </w:r>
      <w:r>
        <w:rPr>
          <w:rFonts w:ascii="宋体" w:hAnsi="宋体" w:eastAsia="宋体" w:cs="宋体"/>
          <w:spacing w:val="10"/>
          <w:sz w:val="20"/>
          <w:szCs w:val="20"/>
        </w:rPr>
        <w:t>同约定发出指示、指示延误或发出了错误指示而导致承包人费用增加和（</w:t>
      </w:r>
      <w:r>
        <w:rPr>
          <w:rFonts w:ascii="宋体" w:hAnsi="宋体" w:eastAsia="宋体" w:cs="宋体"/>
          <w:spacing w:val="9"/>
          <w:sz w:val="20"/>
          <w:szCs w:val="20"/>
        </w:rPr>
        <w:t>或）工期延误的，由发包人承担相应责任。除专用合同条款另有约定外，总监理工程师不应将第</w:t>
      </w:r>
      <w:r>
        <w:rPr>
          <w:rFonts w:ascii="宋体" w:hAnsi="宋体" w:eastAsia="宋体" w:cs="宋体"/>
          <w:spacing w:val="-27"/>
          <w:sz w:val="20"/>
          <w:szCs w:val="20"/>
        </w:rPr>
        <w:t xml:space="preserve"> </w:t>
      </w:r>
      <w:r>
        <w:rPr>
          <w:rFonts w:ascii="Times New Roman" w:hAnsi="Times New Roman" w:eastAsia="Times New Roman" w:cs="Times New Roman"/>
          <w:spacing w:val="9"/>
          <w:sz w:val="20"/>
          <w:szCs w:val="20"/>
        </w:rPr>
        <w:t xml:space="preserve">4.4 </w:t>
      </w:r>
      <w:r>
        <w:rPr>
          <w:rFonts w:ascii="宋体" w:hAnsi="宋体" w:eastAsia="宋体" w:cs="宋体"/>
          <w:spacing w:val="9"/>
          <w:sz w:val="20"/>
          <w:szCs w:val="20"/>
        </w:rPr>
        <w:t>款〔商定或确定〕约定应由总监理工程师作出确定的权力授权或委托给其他监理人员。</w:t>
      </w:r>
    </w:p>
    <w:p w14:paraId="1C8C2095">
      <w:pPr>
        <w:spacing w:before="1" w:line="368" w:lineRule="auto"/>
        <w:ind w:left="4" w:firstLine="417"/>
        <w:rPr>
          <w:rFonts w:ascii="宋体" w:hAnsi="宋体" w:eastAsia="宋体" w:cs="宋体"/>
          <w:sz w:val="20"/>
          <w:szCs w:val="20"/>
        </w:rPr>
      </w:pPr>
      <w:r>
        <w:rPr>
          <w:rFonts w:ascii="宋体" w:hAnsi="宋体" w:eastAsia="宋体" w:cs="宋体"/>
          <w:spacing w:val="7"/>
          <w:sz w:val="20"/>
          <w:szCs w:val="20"/>
        </w:rPr>
        <w:t>承包人对监理人发出的指示有疑问的，应向监理</w:t>
      </w:r>
      <w:r>
        <w:rPr>
          <w:rFonts w:ascii="宋体" w:hAnsi="宋体" w:eastAsia="宋体" w:cs="宋体"/>
          <w:spacing w:val="6"/>
          <w:sz w:val="20"/>
          <w:szCs w:val="20"/>
        </w:rPr>
        <w:t>人提出书面异议，监理人应在</w:t>
      </w:r>
      <w:r>
        <w:rPr>
          <w:rFonts w:ascii="宋体" w:hAnsi="宋体" w:eastAsia="宋体" w:cs="宋体"/>
          <w:spacing w:val="-44"/>
          <w:sz w:val="20"/>
          <w:szCs w:val="20"/>
        </w:rPr>
        <w:t xml:space="preserve"> </w:t>
      </w:r>
      <w:r>
        <w:rPr>
          <w:rFonts w:ascii="Times New Roman" w:hAnsi="Times New Roman" w:eastAsia="Times New Roman" w:cs="Times New Roman"/>
          <w:spacing w:val="6"/>
          <w:sz w:val="20"/>
          <w:szCs w:val="20"/>
        </w:rPr>
        <w:t>48</w:t>
      </w:r>
      <w:r>
        <w:rPr>
          <w:rFonts w:ascii="Times New Roman" w:hAnsi="Times New Roman" w:eastAsia="Times New Roman" w:cs="Times New Roman"/>
          <w:spacing w:val="18"/>
          <w:sz w:val="20"/>
          <w:szCs w:val="20"/>
        </w:rPr>
        <w:t xml:space="preserve"> </w:t>
      </w:r>
      <w:r>
        <w:rPr>
          <w:rFonts w:ascii="宋体" w:hAnsi="宋体" w:eastAsia="宋体" w:cs="宋体"/>
          <w:spacing w:val="6"/>
          <w:sz w:val="20"/>
          <w:szCs w:val="20"/>
        </w:rPr>
        <w:t>小时内对该</w:t>
      </w:r>
      <w:r>
        <w:rPr>
          <w:rFonts w:ascii="宋体" w:hAnsi="宋体" w:eastAsia="宋体" w:cs="宋体"/>
          <w:spacing w:val="9"/>
          <w:sz w:val="20"/>
          <w:szCs w:val="20"/>
        </w:rPr>
        <w:t>指示予以确认、更改或撤销，监理人逾期未回复的，承包人有权拒绝执行上述指示。</w:t>
      </w:r>
    </w:p>
    <w:p w14:paraId="1963338A">
      <w:pPr>
        <w:spacing w:line="361" w:lineRule="auto"/>
        <w:ind w:left="4" w:firstLine="418"/>
        <w:jc w:val="both"/>
        <w:rPr>
          <w:rFonts w:ascii="宋体" w:hAnsi="宋体" w:eastAsia="宋体" w:cs="宋体"/>
          <w:sz w:val="20"/>
          <w:szCs w:val="20"/>
        </w:rPr>
      </w:pPr>
      <w:r>
        <w:rPr>
          <w:rFonts w:ascii="宋体" w:hAnsi="宋体" w:eastAsia="宋体" w:cs="宋体"/>
          <w:spacing w:val="10"/>
          <w:sz w:val="20"/>
          <w:szCs w:val="20"/>
        </w:rPr>
        <w:t>监理人对承包人的任何工作、工程或其采用的材料和工程设备未在</w:t>
      </w:r>
      <w:r>
        <w:rPr>
          <w:rFonts w:ascii="宋体" w:hAnsi="宋体" w:eastAsia="宋体" w:cs="宋体"/>
          <w:spacing w:val="9"/>
          <w:sz w:val="20"/>
          <w:szCs w:val="20"/>
        </w:rPr>
        <w:t>约定的或合理期限内提出</w:t>
      </w:r>
      <w:r>
        <w:rPr>
          <w:rFonts w:ascii="宋体" w:hAnsi="宋体" w:eastAsia="宋体" w:cs="宋体"/>
          <w:spacing w:val="10"/>
          <w:sz w:val="20"/>
          <w:szCs w:val="20"/>
        </w:rPr>
        <w:t>意见的，视为批准，但不免除或减轻承包人对该工作、工程、材料、</w:t>
      </w:r>
      <w:r>
        <w:rPr>
          <w:rFonts w:ascii="宋体" w:hAnsi="宋体" w:eastAsia="宋体" w:cs="宋体"/>
          <w:spacing w:val="9"/>
          <w:sz w:val="20"/>
          <w:szCs w:val="20"/>
        </w:rPr>
        <w:t>工程设备等应承担的责任和</w:t>
      </w:r>
      <w:r>
        <w:rPr>
          <w:rFonts w:ascii="宋体" w:hAnsi="宋体" w:eastAsia="宋体" w:cs="宋体"/>
          <w:spacing w:val="2"/>
          <w:sz w:val="20"/>
          <w:szCs w:val="20"/>
        </w:rPr>
        <w:t>义务。</w:t>
      </w:r>
    </w:p>
    <w:p w14:paraId="23E11736">
      <w:pPr>
        <w:pStyle w:val="2"/>
        <w:spacing w:before="1" w:line="221" w:lineRule="auto"/>
        <w:rPr>
          <w:sz w:val="24"/>
          <w:szCs w:val="24"/>
        </w:rPr>
      </w:pPr>
      <w:r>
        <w:rPr>
          <w:rFonts w:ascii="Times New Roman" w:hAnsi="Times New Roman" w:eastAsia="Times New Roman" w:cs="Times New Roman"/>
          <w:b/>
          <w:bCs/>
          <w:spacing w:val="-4"/>
          <w:sz w:val="24"/>
          <w:szCs w:val="24"/>
        </w:rPr>
        <w:t>4.4</w:t>
      </w:r>
      <w:r>
        <w:rPr>
          <w:rFonts w:ascii="Times New Roman" w:hAnsi="Times New Roman" w:eastAsia="Times New Roman" w:cs="Times New Roman"/>
          <w:b/>
          <w:bCs/>
          <w:spacing w:val="8"/>
          <w:sz w:val="24"/>
          <w:szCs w:val="24"/>
        </w:rPr>
        <w:t xml:space="preserve">  </w:t>
      </w:r>
      <w:r>
        <w:rPr>
          <w:b/>
          <w:bCs/>
          <w:spacing w:val="-4"/>
          <w:sz w:val="24"/>
          <w:szCs w:val="24"/>
        </w:rPr>
        <w:t>商定或确定</w:t>
      </w:r>
    </w:p>
    <w:p w14:paraId="2300F347">
      <w:pPr>
        <w:spacing w:before="139" w:line="369" w:lineRule="auto"/>
        <w:ind w:left="5" w:right="53" w:firstLine="417"/>
        <w:rPr>
          <w:rFonts w:ascii="宋体" w:hAnsi="宋体" w:eastAsia="宋体" w:cs="宋体"/>
          <w:sz w:val="20"/>
          <w:szCs w:val="20"/>
        </w:rPr>
      </w:pPr>
      <w:r>
        <w:rPr>
          <w:rFonts w:ascii="宋体" w:hAnsi="宋体" w:eastAsia="宋体" w:cs="宋体"/>
          <w:spacing w:val="8"/>
          <w:sz w:val="20"/>
          <w:szCs w:val="20"/>
        </w:rPr>
        <w:t>合同当事人进行商定或确定时，总监理工程师应当会同合同当事人尽量通过协商达成一致，不能达成一致的，</w:t>
      </w:r>
      <w:r>
        <w:rPr>
          <w:rFonts w:ascii="宋体" w:hAnsi="宋体" w:eastAsia="宋体" w:cs="宋体"/>
          <w:spacing w:val="-57"/>
          <w:sz w:val="20"/>
          <w:szCs w:val="20"/>
        </w:rPr>
        <w:t xml:space="preserve"> </w:t>
      </w:r>
      <w:r>
        <w:rPr>
          <w:rFonts w:ascii="宋体" w:hAnsi="宋体" w:eastAsia="宋体" w:cs="宋体"/>
          <w:spacing w:val="8"/>
          <w:sz w:val="20"/>
          <w:szCs w:val="20"/>
        </w:rPr>
        <w:t>由总监理工程师按照合同约定审慎做出</w:t>
      </w:r>
      <w:r>
        <w:rPr>
          <w:rFonts w:ascii="宋体" w:hAnsi="宋体" w:eastAsia="宋体" w:cs="宋体"/>
          <w:spacing w:val="7"/>
          <w:sz w:val="20"/>
          <w:szCs w:val="20"/>
        </w:rPr>
        <w:t>公正的确定。</w:t>
      </w:r>
    </w:p>
    <w:p w14:paraId="4F96D587">
      <w:pPr>
        <w:spacing w:before="5" w:line="369" w:lineRule="auto"/>
        <w:ind w:left="2" w:firstLine="425"/>
        <w:jc w:val="both"/>
        <w:rPr>
          <w:rFonts w:ascii="宋体" w:hAnsi="宋体" w:eastAsia="宋体" w:cs="宋体"/>
          <w:sz w:val="20"/>
          <w:szCs w:val="20"/>
        </w:rPr>
      </w:pPr>
      <w:r>
        <w:rPr>
          <w:rFonts w:ascii="宋体" w:hAnsi="宋体" w:eastAsia="宋体" w:cs="宋体"/>
          <w:spacing w:val="10"/>
          <w:sz w:val="20"/>
          <w:szCs w:val="20"/>
        </w:rPr>
        <w:t>总监理工程师应将确定以书面形式通知发包人和承包人，</w:t>
      </w:r>
      <w:r>
        <w:rPr>
          <w:rFonts w:ascii="宋体" w:hAnsi="宋体" w:eastAsia="宋体" w:cs="宋体"/>
          <w:spacing w:val="9"/>
          <w:sz w:val="20"/>
          <w:szCs w:val="20"/>
        </w:rPr>
        <w:t>并附详细依据。合同当事人对总监</w:t>
      </w:r>
      <w:r>
        <w:rPr>
          <w:rFonts w:ascii="宋体" w:hAnsi="宋体" w:eastAsia="宋体" w:cs="宋体"/>
          <w:spacing w:val="10"/>
          <w:sz w:val="20"/>
          <w:szCs w:val="20"/>
        </w:rPr>
        <w:t>理工程师的确定没有异议的，按照总监理工程师的确定执行。任何一方合</w:t>
      </w:r>
      <w:r>
        <w:rPr>
          <w:rFonts w:ascii="宋体" w:hAnsi="宋体" w:eastAsia="宋体" w:cs="宋体"/>
          <w:spacing w:val="9"/>
          <w:sz w:val="20"/>
          <w:szCs w:val="20"/>
        </w:rPr>
        <w:t>同当事人有异议，按照</w:t>
      </w:r>
      <w:r>
        <w:rPr>
          <w:rFonts w:ascii="宋体" w:hAnsi="宋体" w:eastAsia="宋体" w:cs="宋体"/>
          <w:spacing w:val="7"/>
          <w:sz w:val="20"/>
          <w:szCs w:val="20"/>
        </w:rPr>
        <w:t>第</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20 </w:t>
      </w:r>
      <w:r>
        <w:rPr>
          <w:rFonts w:ascii="宋体" w:hAnsi="宋体" w:eastAsia="宋体" w:cs="宋体"/>
          <w:spacing w:val="7"/>
          <w:sz w:val="20"/>
          <w:szCs w:val="20"/>
        </w:rPr>
        <w:t>条〔争议解决〕约定处理。争议解决前，合同当事人暂按总监理工程师的确定执行</w:t>
      </w:r>
      <w:r>
        <w:rPr>
          <w:rFonts w:ascii="宋体" w:hAnsi="宋体" w:eastAsia="宋体" w:cs="宋体"/>
          <w:spacing w:val="6"/>
          <w:sz w:val="20"/>
          <w:szCs w:val="20"/>
        </w:rPr>
        <w:t>；争议解</w:t>
      </w:r>
      <w:r>
        <w:rPr>
          <w:rFonts w:ascii="宋体" w:hAnsi="宋体" w:eastAsia="宋体" w:cs="宋体"/>
          <w:spacing w:val="9"/>
          <w:sz w:val="20"/>
          <w:szCs w:val="20"/>
        </w:rPr>
        <w:t>决后，争议解决的结果与总监理工程师的确定不一致的，按照争议解决的</w:t>
      </w:r>
      <w:r>
        <w:rPr>
          <w:rFonts w:ascii="宋体" w:hAnsi="宋体" w:eastAsia="宋体" w:cs="宋体"/>
          <w:spacing w:val="8"/>
          <w:sz w:val="20"/>
          <w:szCs w:val="20"/>
        </w:rPr>
        <w:t>结果执行，</w:t>
      </w:r>
      <w:r>
        <w:rPr>
          <w:rFonts w:ascii="宋体" w:hAnsi="宋体" w:eastAsia="宋体" w:cs="宋体"/>
          <w:spacing w:val="-58"/>
          <w:sz w:val="20"/>
          <w:szCs w:val="20"/>
        </w:rPr>
        <w:t xml:space="preserve"> </w:t>
      </w:r>
      <w:r>
        <w:rPr>
          <w:rFonts w:ascii="宋体" w:hAnsi="宋体" w:eastAsia="宋体" w:cs="宋体"/>
          <w:spacing w:val="8"/>
          <w:sz w:val="20"/>
          <w:szCs w:val="20"/>
        </w:rPr>
        <w:t>由此造成的</w:t>
      </w:r>
      <w:r>
        <w:rPr>
          <w:rFonts w:ascii="宋体" w:hAnsi="宋体" w:eastAsia="宋体" w:cs="宋体"/>
          <w:spacing w:val="7"/>
          <w:sz w:val="20"/>
          <w:szCs w:val="20"/>
        </w:rPr>
        <w:t>损失由责任人承担。</w:t>
      </w:r>
    </w:p>
    <w:p w14:paraId="424AD495">
      <w:pPr>
        <w:pStyle w:val="2"/>
        <w:spacing w:before="35" w:line="222" w:lineRule="auto"/>
        <w:ind w:left="3"/>
        <w:outlineLvl w:val="2"/>
        <w:rPr>
          <w:sz w:val="28"/>
          <w:szCs w:val="28"/>
        </w:rPr>
      </w:pPr>
      <w:bookmarkStart w:id="267" w:name="bookmark249"/>
      <w:bookmarkEnd w:id="267"/>
      <w:r>
        <w:rPr>
          <w:rFonts w:ascii="Times New Roman" w:hAnsi="Times New Roman" w:eastAsia="Times New Roman" w:cs="Times New Roman"/>
          <w:b/>
          <w:bCs/>
          <w:spacing w:val="-3"/>
          <w:sz w:val="28"/>
          <w:szCs w:val="28"/>
        </w:rPr>
        <w:t xml:space="preserve">5.  </w:t>
      </w:r>
      <w:r>
        <w:rPr>
          <w:b/>
          <w:bCs/>
          <w:spacing w:val="-3"/>
          <w:sz w:val="28"/>
          <w:szCs w:val="28"/>
        </w:rPr>
        <w:t>工程质量</w:t>
      </w:r>
    </w:p>
    <w:p w14:paraId="6841B633">
      <w:pPr>
        <w:pStyle w:val="2"/>
        <w:spacing w:before="99" w:line="222" w:lineRule="auto"/>
        <w:ind w:left="2"/>
        <w:rPr>
          <w:sz w:val="24"/>
          <w:szCs w:val="24"/>
        </w:rPr>
      </w:pPr>
      <w:r>
        <w:rPr>
          <w:rFonts w:ascii="Times New Roman" w:hAnsi="Times New Roman" w:eastAsia="Times New Roman" w:cs="Times New Roman"/>
          <w:b/>
          <w:bCs/>
          <w:spacing w:val="-4"/>
          <w:sz w:val="24"/>
          <w:szCs w:val="24"/>
        </w:rPr>
        <w:t>5.1</w:t>
      </w:r>
      <w:r>
        <w:rPr>
          <w:rFonts w:ascii="Times New Roman" w:hAnsi="Times New Roman" w:eastAsia="Times New Roman" w:cs="Times New Roman"/>
          <w:b/>
          <w:bCs/>
          <w:spacing w:val="11"/>
          <w:sz w:val="24"/>
          <w:szCs w:val="24"/>
        </w:rPr>
        <w:t xml:space="preserve"> </w:t>
      </w:r>
      <w:r>
        <w:rPr>
          <w:b/>
          <w:bCs/>
          <w:spacing w:val="-4"/>
          <w:sz w:val="24"/>
          <w:szCs w:val="24"/>
        </w:rPr>
        <w:t>质量要求</w:t>
      </w:r>
    </w:p>
    <w:p w14:paraId="60E078BE">
      <w:pPr>
        <w:spacing w:before="136" w:line="370" w:lineRule="auto"/>
        <w:ind w:left="2" w:firstLine="421"/>
        <w:rPr>
          <w:rFonts w:ascii="宋体" w:hAnsi="宋体" w:eastAsia="宋体" w:cs="宋体"/>
          <w:sz w:val="20"/>
          <w:szCs w:val="20"/>
        </w:rPr>
      </w:pPr>
      <w:r>
        <w:rPr>
          <w:rFonts w:ascii="Times New Roman" w:hAnsi="Times New Roman" w:eastAsia="Times New Roman" w:cs="Times New Roman"/>
          <w:spacing w:val="5"/>
          <w:sz w:val="20"/>
          <w:szCs w:val="20"/>
        </w:rPr>
        <w:t>5.</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工程质量标准必须符合现行国家有关工程施工质量验收规范和标准的要求。有关工程质</w:t>
      </w:r>
      <w:r>
        <w:rPr>
          <w:rFonts w:ascii="宋体" w:hAnsi="宋体" w:eastAsia="宋体" w:cs="宋体"/>
          <w:spacing w:val="9"/>
          <w:sz w:val="20"/>
          <w:szCs w:val="20"/>
        </w:rPr>
        <w:t>量的特殊标准或要求由合同当事人在专用合同条款中约定。</w:t>
      </w:r>
    </w:p>
    <w:p w14:paraId="1A617817">
      <w:pPr>
        <w:spacing w:before="2" w:line="368" w:lineRule="auto"/>
        <w:ind w:left="12" w:right="2" w:firstLine="411"/>
        <w:rPr>
          <w:rFonts w:ascii="宋体" w:hAnsi="宋体" w:eastAsia="宋体" w:cs="宋体"/>
          <w:sz w:val="20"/>
          <w:szCs w:val="20"/>
        </w:rPr>
      </w:pPr>
      <w:r>
        <w:rPr>
          <w:rFonts w:ascii="Times New Roman" w:hAnsi="Times New Roman" w:eastAsia="Times New Roman" w:cs="Times New Roman"/>
          <w:spacing w:val="10"/>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1.2  </w:t>
      </w:r>
      <w:r>
        <w:rPr>
          <w:rFonts w:ascii="宋体" w:hAnsi="宋体" w:eastAsia="宋体" w:cs="宋体"/>
          <w:spacing w:val="10"/>
          <w:sz w:val="20"/>
          <w:szCs w:val="20"/>
        </w:rPr>
        <w:t>因发包人原因造成工程质量未</w:t>
      </w:r>
      <w:r>
        <w:rPr>
          <w:rFonts w:ascii="宋体" w:hAnsi="宋体" w:eastAsia="宋体" w:cs="宋体"/>
          <w:spacing w:val="9"/>
          <w:sz w:val="20"/>
          <w:szCs w:val="20"/>
        </w:rPr>
        <w:t>达到合同约定标准的，</w:t>
      </w:r>
      <w:r>
        <w:rPr>
          <w:rFonts w:ascii="宋体" w:hAnsi="宋体" w:eastAsia="宋体" w:cs="宋体"/>
          <w:spacing w:val="-55"/>
          <w:sz w:val="20"/>
          <w:szCs w:val="20"/>
        </w:rPr>
        <w:t xml:space="preserve"> </w:t>
      </w:r>
      <w:r>
        <w:rPr>
          <w:rFonts w:ascii="宋体" w:hAnsi="宋体" w:eastAsia="宋体" w:cs="宋体"/>
          <w:spacing w:val="9"/>
          <w:sz w:val="20"/>
          <w:szCs w:val="20"/>
        </w:rPr>
        <w:t>由发包人承担由此增加的费用和</w:t>
      </w:r>
      <w:r>
        <w:rPr>
          <w:rFonts w:ascii="宋体" w:hAnsi="宋体" w:eastAsia="宋体" w:cs="宋体"/>
          <w:spacing w:val="8"/>
          <w:sz w:val="20"/>
          <w:szCs w:val="20"/>
        </w:rPr>
        <w:t>（或）延误的工期，并支付承包人合理的利润。</w:t>
      </w:r>
    </w:p>
    <w:p w14:paraId="629F3FF6">
      <w:pPr>
        <w:spacing w:before="2" w:line="357" w:lineRule="auto"/>
        <w:ind w:left="1" w:firstLine="422"/>
        <w:rPr>
          <w:rFonts w:ascii="宋体" w:hAnsi="宋体" w:eastAsia="宋体" w:cs="宋体"/>
          <w:sz w:val="20"/>
          <w:szCs w:val="20"/>
        </w:rPr>
      </w:pPr>
      <w:r>
        <w:rPr>
          <w:rFonts w:ascii="Times New Roman" w:hAnsi="Times New Roman" w:eastAsia="Times New Roman" w:cs="Times New Roman"/>
          <w:spacing w:val="6"/>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1.3  </w:t>
      </w:r>
      <w:r>
        <w:rPr>
          <w:rFonts w:ascii="宋体" w:hAnsi="宋体" w:eastAsia="宋体" w:cs="宋体"/>
          <w:spacing w:val="6"/>
          <w:sz w:val="20"/>
          <w:szCs w:val="20"/>
        </w:rPr>
        <w:t>因承包人原因造成工程质量未达到合同约定标准的，发包人有权要求承包</w:t>
      </w:r>
      <w:r>
        <w:rPr>
          <w:rFonts w:ascii="宋体" w:hAnsi="宋体" w:eastAsia="宋体" w:cs="宋体"/>
          <w:spacing w:val="5"/>
          <w:sz w:val="20"/>
          <w:szCs w:val="20"/>
        </w:rPr>
        <w:t>人返工直至工</w:t>
      </w:r>
      <w:r>
        <w:rPr>
          <w:rFonts w:ascii="宋体" w:hAnsi="宋体" w:eastAsia="宋体" w:cs="宋体"/>
          <w:spacing w:val="9"/>
          <w:sz w:val="20"/>
          <w:szCs w:val="20"/>
        </w:rPr>
        <w:t>程质量达到合同约定的标准为止，并由承包人承担由此增加的费用和（或）延误的工期。</w:t>
      </w:r>
    </w:p>
    <w:p w14:paraId="670A1EAB">
      <w:pPr>
        <w:pStyle w:val="2"/>
        <w:spacing w:line="222" w:lineRule="auto"/>
        <w:ind w:left="2"/>
        <w:rPr>
          <w:sz w:val="24"/>
          <w:szCs w:val="24"/>
        </w:rPr>
      </w:pPr>
      <w:r>
        <w:rPr>
          <w:rFonts w:ascii="Times New Roman" w:hAnsi="Times New Roman" w:eastAsia="Times New Roman" w:cs="Times New Roman"/>
          <w:b/>
          <w:bCs/>
          <w:spacing w:val="-2"/>
          <w:sz w:val="24"/>
          <w:szCs w:val="24"/>
        </w:rPr>
        <w:t xml:space="preserve">5.2 </w:t>
      </w:r>
      <w:r>
        <w:rPr>
          <w:b/>
          <w:bCs/>
          <w:spacing w:val="-2"/>
          <w:sz w:val="24"/>
          <w:szCs w:val="24"/>
        </w:rPr>
        <w:t>质量保证措施</w:t>
      </w:r>
    </w:p>
    <w:p w14:paraId="7EFEEF84">
      <w:pPr>
        <w:spacing w:before="136" w:line="228" w:lineRule="auto"/>
        <w:ind w:left="424"/>
        <w:rPr>
          <w:rFonts w:ascii="宋体" w:hAnsi="宋体" w:eastAsia="宋体" w:cs="宋体"/>
          <w:sz w:val="20"/>
          <w:szCs w:val="20"/>
        </w:rPr>
      </w:pPr>
      <w:r>
        <w:rPr>
          <w:rFonts w:ascii="Times New Roman" w:hAnsi="Times New Roman" w:eastAsia="Times New Roman" w:cs="Times New Roman"/>
          <w:spacing w:val="4"/>
          <w:sz w:val="20"/>
          <w:szCs w:val="20"/>
        </w:rPr>
        <w:t>5.2.</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发包人的质量管理</w:t>
      </w:r>
    </w:p>
    <w:p w14:paraId="5091BC64">
      <w:pPr>
        <w:spacing w:before="153" w:line="228" w:lineRule="auto"/>
        <w:ind w:left="425"/>
        <w:rPr>
          <w:rFonts w:ascii="宋体" w:hAnsi="宋体" w:eastAsia="宋体" w:cs="宋体"/>
          <w:sz w:val="20"/>
          <w:szCs w:val="20"/>
        </w:rPr>
      </w:pPr>
      <w:r>
        <w:rPr>
          <w:rFonts w:ascii="宋体" w:hAnsi="宋体" w:eastAsia="宋体" w:cs="宋体"/>
          <w:spacing w:val="9"/>
          <w:sz w:val="20"/>
          <w:szCs w:val="20"/>
        </w:rPr>
        <w:t>发包人应按照法律规定及合同约定完成与工程质量有关的各项工作。</w:t>
      </w:r>
    </w:p>
    <w:p w14:paraId="71B45F10">
      <w:pPr>
        <w:spacing w:before="152" w:line="228" w:lineRule="auto"/>
        <w:ind w:left="424"/>
        <w:rPr>
          <w:rFonts w:ascii="宋体" w:hAnsi="宋体" w:eastAsia="宋体" w:cs="宋体"/>
          <w:sz w:val="20"/>
          <w:szCs w:val="20"/>
        </w:rPr>
      </w:pPr>
      <w:r>
        <w:rPr>
          <w:rFonts w:ascii="Times New Roman" w:hAnsi="Times New Roman" w:eastAsia="Times New Roman" w:cs="Times New Roman"/>
          <w:spacing w:val="6"/>
          <w:sz w:val="20"/>
          <w:szCs w:val="20"/>
        </w:rPr>
        <w:t xml:space="preserve">5.2.2  </w:t>
      </w:r>
      <w:r>
        <w:rPr>
          <w:rFonts w:ascii="宋体" w:hAnsi="宋体" w:eastAsia="宋体" w:cs="宋体"/>
          <w:spacing w:val="6"/>
          <w:sz w:val="20"/>
          <w:szCs w:val="20"/>
        </w:rPr>
        <w:t>承包人的质量管理</w:t>
      </w:r>
    </w:p>
    <w:p w14:paraId="15E9FCEC">
      <w:pPr>
        <w:spacing w:before="153" w:line="370" w:lineRule="auto"/>
        <w:ind w:left="3" w:firstLine="418"/>
        <w:rPr>
          <w:rFonts w:ascii="宋体" w:hAnsi="宋体" w:eastAsia="宋体" w:cs="宋体"/>
          <w:sz w:val="20"/>
          <w:szCs w:val="20"/>
        </w:rPr>
      </w:pPr>
      <w:r>
        <w:rPr>
          <w:rFonts w:ascii="宋体" w:hAnsi="宋体" w:eastAsia="宋体" w:cs="宋体"/>
          <w:spacing w:val="10"/>
          <w:sz w:val="20"/>
          <w:szCs w:val="20"/>
        </w:rPr>
        <w:t>承包人按照第</w:t>
      </w:r>
      <w:r>
        <w:rPr>
          <w:rFonts w:ascii="宋体" w:hAnsi="宋体" w:eastAsia="宋体" w:cs="宋体"/>
          <w:spacing w:val="-37"/>
          <w:sz w:val="20"/>
          <w:szCs w:val="20"/>
        </w:rPr>
        <w:t xml:space="preserve"> </w:t>
      </w:r>
      <w:r>
        <w:rPr>
          <w:rFonts w:ascii="Times New Roman" w:hAnsi="Times New Roman" w:eastAsia="Times New Roman" w:cs="Times New Roman"/>
          <w:spacing w:val="10"/>
          <w:sz w:val="20"/>
          <w:szCs w:val="20"/>
        </w:rPr>
        <w:t>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款〔施工组织设计〕约定向</w:t>
      </w:r>
      <w:r>
        <w:rPr>
          <w:rFonts w:ascii="宋体" w:hAnsi="宋体" w:eastAsia="宋体" w:cs="宋体"/>
          <w:spacing w:val="9"/>
          <w:sz w:val="20"/>
          <w:szCs w:val="20"/>
        </w:rPr>
        <w:t>发包人和监理人提交工程质量保证体系及措施</w:t>
      </w:r>
      <w:r>
        <w:rPr>
          <w:rFonts w:ascii="宋体" w:hAnsi="宋体" w:eastAsia="宋体" w:cs="宋体"/>
          <w:spacing w:val="10"/>
          <w:sz w:val="20"/>
          <w:szCs w:val="20"/>
        </w:rPr>
        <w:t>文件，建立完善的质量检查制度，并提交相应的工程质量文件。对于发</w:t>
      </w:r>
      <w:r>
        <w:rPr>
          <w:rFonts w:ascii="宋体" w:hAnsi="宋体" w:eastAsia="宋体" w:cs="宋体"/>
          <w:spacing w:val="9"/>
          <w:sz w:val="20"/>
          <w:szCs w:val="20"/>
        </w:rPr>
        <w:t>包人和监理人违反法律规定和合同约定的错误指示，承包人有权拒绝实施。</w:t>
      </w:r>
    </w:p>
    <w:p w14:paraId="5ACEECEA">
      <w:pPr>
        <w:spacing w:line="370" w:lineRule="auto"/>
        <w:rPr>
          <w:rFonts w:ascii="宋体" w:hAnsi="宋体" w:eastAsia="宋体" w:cs="宋体"/>
          <w:sz w:val="20"/>
          <w:szCs w:val="20"/>
        </w:rPr>
        <w:sectPr>
          <w:footerReference r:id="rId248" w:type="default"/>
          <w:pgSz w:w="11906" w:h="16839"/>
          <w:pgMar w:top="400" w:right="1554" w:bottom="1038" w:left="1537" w:header="0" w:footer="787" w:gutter="0"/>
          <w:cols w:space="720" w:num="1"/>
        </w:sectPr>
      </w:pPr>
    </w:p>
    <w:p w14:paraId="2BCF5544">
      <w:pPr>
        <w:spacing w:line="271" w:lineRule="auto"/>
        <w:rPr>
          <w:rFonts w:ascii="Arial"/>
          <w:sz w:val="21"/>
        </w:rPr>
      </w:pPr>
    </w:p>
    <w:p w14:paraId="75051716">
      <w:pPr>
        <w:spacing w:line="272" w:lineRule="auto"/>
        <w:rPr>
          <w:rFonts w:ascii="Arial"/>
          <w:sz w:val="21"/>
        </w:rPr>
      </w:pPr>
    </w:p>
    <w:p w14:paraId="065413AC">
      <w:pPr>
        <w:spacing w:line="272" w:lineRule="auto"/>
        <w:rPr>
          <w:rFonts w:ascii="Arial"/>
          <w:sz w:val="21"/>
        </w:rPr>
      </w:pPr>
    </w:p>
    <w:p w14:paraId="7B481BF1">
      <w:pPr>
        <w:spacing w:line="272" w:lineRule="auto"/>
        <w:rPr>
          <w:rFonts w:ascii="Arial"/>
          <w:sz w:val="21"/>
        </w:rPr>
      </w:pPr>
    </w:p>
    <w:p w14:paraId="7E048B3D">
      <w:pPr>
        <w:spacing w:before="65" w:line="369" w:lineRule="auto"/>
        <w:ind w:left="4" w:firstLine="417"/>
        <w:rPr>
          <w:rFonts w:ascii="宋体" w:hAnsi="宋体" w:eastAsia="宋体" w:cs="宋体"/>
          <w:sz w:val="20"/>
          <w:szCs w:val="20"/>
        </w:rPr>
      </w:pPr>
      <w:r>
        <w:rPr>
          <w:rFonts w:ascii="宋体" w:hAnsi="宋体" w:eastAsia="宋体" w:cs="宋体"/>
          <w:spacing w:val="10"/>
          <w:sz w:val="20"/>
          <w:szCs w:val="20"/>
        </w:rPr>
        <w:t>承包人应对施工人员进行质量教育和技术培训，定期考核施工人员的</w:t>
      </w:r>
      <w:r>
        <w:rPr>
          <w:rFonts w:ascii="宋体" w:hAnsi="宋体" w:eastAsia="宋体" w:cs="宋体"/>
          <w:spacing w:val="9"/>
          <w:sz w:val="20"/>
          <w:szCs w:val="20"/>
        </w:rPr>
        <w:t>劳动技能，严格执行施</w:t>
      </w:r>
      <w:r>
        <w:rPr>
          <w:rFonts w:ascii="宋体" w:hAnsi="宋体" w:eastAsia="宋体" w:cs="宋体"/>
          <w:spacing w:val="7"/>
          <w:sz w:val="20"/>
          <w:szCs w:val="20"/>
        </w:rPr>
        <w:t>工规范和操作规程。</w:t>
      </w:r>
    </w:p>
    <w:p w14:paraId="52816208">
      <w:pPr>
        <w:spacing w:before="1" w:line="369" w:lineRule="auto"/>
        <w:ind w:left="1" w:firstLine="420"/>
        <w:jc w:val="both"/>
        <w:rPr>
          <w:rFonts w:ascii="宋体" w:hAnsi="宋体" w:eastAsia="宋体" w:cs="宋体"/>
          <w:sz w:val="20"/>
          <w:szCs w:val="20"/>
        </w:rPr>
      </w:pPr>
      <w:r>
        <w:rPr>
          <w:rFonts w:ascii="宋体" w:hAnsi="宋体" w:eastAsia="宋体" w:cs="宋体"/>
          <w:spacing w:val="10"/>
          <w:sz w:val="20"/>
          <w:szCs w:val="20"/>
        </w:rPr>
        <w:t>承包人应按照法律规定和发包人的要求，对材料、工程设备以及工程</w:t>
      </w:r>
      <w:r>
        <w:rPr>
          <w:rFonts w:ascii="宋体" w:hAnsi="宋体" w:eastAsia="宋体" w:cs="宋体"/>
          <w:spacing w:val="9"/>
          <w:sz w:val="20"/>
          <w:szCs w:val="20"/>
        </w:rPr>
        <w:t>的所有部位及其施工工</w:t>
      </w:r>
      <w:r>
        <w:rPr>
          <w:rFonts w:ascii="宋体" w:hAnsi="宋体" w:eastAsia="宋体" w:cs="宋体"/>
          <w:spacing w:val="10"/>
          <w:sz w:val="20"/>
          <w:szCs w:val="20"/>
        </w:rPr>
        <w:t>艺进行全过程的质量检查和检验，并作详细记录，编制工程质量报表，报</w:t>
      </w:r>
      <w:r>
        <w:rPr>
          <w:rFonts w:ascii="宋体" w:hAnsi="宋体" w:eastAsia="宋体" w:cs="宋体"/>
          <w:spacing w:val="9"/>
          <w:sz w:val="20"/>
          <w:szCs w:val="20"/>
        </w:rPr>
        <w:t>送监理人审查。此外，</w:t>
      </w:r>
      <w:r>
        <w:rPr>
          <w:rFonts w:ascii="宋体" w:hAnsi="宋体" w:eastAsia="宋体" w:cs="宋体"/>
          <w:spacing w:val="10"/>
          <w:sz w:val="20"/>
          <w:szCs w:val="20"/>
        </w:rPr>
        <w:t>承包人还应按照法律规定和发包人的要求，进行施工现场取样试验、工程</w:t>
      </w:r>
      <w:r>
        <w:rPr>
          <w:rFonts w:ascii="宋体" w:hAnsi="宋体" w:eastAsia="宋体" w:cs="宋体"/>
          <w:spacing w:val="9"/>
          <w:sz w:val="20"/>
          <w:szCs w:val="20"/>
        </w:rPr>
        <w:t>复核测量和设备性能检测，提供试验样品、提交试验报告和测量成果以及其他工作。</w:t>
      </w:r>
    </w:p>
    <w:p w14:paraId="1BC8196E">
      <w:pPr>
        <w:spacing w:line="227" w:lineRule="auto"/>
        <w:ind w:left="423"/>
        <w:rPr>
          <w:rFonts w:ascii="宋体" w:hAnsi="宋体" w:eastAsia="宋体" w:cs="宋体"/>
          <w:sz w:val="20"/>
          <w:szCs w:val="20"/>
        </w:rPr>
      </w:pPr>
      <w:r>
        <w:rPr>
          <w:rFonts w:ascii="Times New Roman" w:hAnsi="Times New Roman" w:eastAsia="Times New Roman" w:cs="Times New Roman"/>
          <w:spacing w:val="6"/>
          <w:sz w:val="20"/>
          <w:szCs w:val="20"/>
        </w:rPr>
        <w:t xml:space="preserve">5.2.3  </w:t>
      </w:r>
      <w:r>
        <w:rPr>
          <w:rFonts w:ascii="宋体" w:hAnsi="宋体" w:eastAsia="宋体" w:cs="宋体"/>
          <w:spacing w:val="6"/>
          <w:sz w:val="20"/>
          <w:szCs w:val="20"/>
        </w:rPr>
        <w:t>监理人的质量检查和检验</w:t>
      </w:r>
    </w:p>
    <w:p w14:paraId="25B9CCA5">
      <w:pPr>
        <w:spacing w:before="153" w:line="369" w:lineRule="auto"/>
        <w:ind w:left="4" w:firstLine="418"/>
        <w:rPr>
          <w:rFonts w:ascii="宋体" w:hAnsi="宋体" w:eastAsia="宋体" w:cs="宋体"/>
          <w:sz w:val="20"/>
          <w:szCs w:val="20"/>
        </w:rPr>
      </w:pPr>
      <w:r>
        <w:rPr>
          <w:rFonts w:ascii="宋体" w:hAnsi="宋体" w:eastAsia="宋体" w:cs="宋体"/>
          <w:spacing w:val="10"/>
          <w:sz w:val="20"/>
          <w:szCs w:val="20"/>
        </w:rPr>
        <w:t>监理人按照法律规定和发包人授权对工程的所有部位及其施工工艺</w:t>
      </w:r>
      <w:r>
        <w:rPr>
          <w:rFonts w:ascii="宋体" w:hAnsi="宋体" w:eastAsia="宋体" w:cs="宋体"/>
          <w:spacing w:val="9"/>
          <w:sz w:val="20"/>
          <w:szCs w:val="20"/>
        </w:rPr>
        <w:t>、材料和工程设备进行检</w:t>
      </w:r>
      <w:r>
        <w:rPr>
          <w:rFonts w:ascii="宋体" w:hAnsi="宋体" w:eastAsia="宋体" w:cs="宋体"/>
          <w:spacing w:val="10"/>
          <w:sz w:val="20"/>
          <w:szCs w:val="20"/>
        </w:rPr>
        <w:t>查和检验。承包人应为监理人的检查和检验提供方便，包括监理人到</w:t>
      </w:r>
      <w:r>
        <w:rPr>
          <w:rFonts w:ascii="宋体" w:hAnsi="宋体" w:eastAsia="宋体" w:cs="宋体"/>
          <w:spacing w:val="9"/>
          <w:sz w:val="20"/>
          <w:szCs w:val="20"/>
        </w:rPr>
        <w:t>施工现场，或制造、加工地</w:t>
      </w:r>
      <w:r>
        <w:rPr>
          <w:rFonts w:ascii="宋体" w:hAnsi="宋体" w:eastAsia="宋体" w:cs="宋体"/>
          <w:spacing w:val="10"/>
          <w:sz w:val="20"/>
          <w:szCs w:val="20"/>
        </w:rPr>
        <w:t>点，或合同约定的其他地方进行察看和查阅施工原始记录。监理人为</w:t>
      </w:r>
      <w:r>
        <w:rPr>
          <w:rFonts w:ascii="宋体" w:hAnsi="宋体" w:eastAsia="宋体" w:cs="宋体"/>
          <w:spacing w:val="9"/>
          <w:sz w:val="20"/>
          <w:szCs w:val="20"/>
        </w:rPr>
        <w:t>此进行的检查和检验，不免</w:t>
      </w:r>
      <w:r>
        <w:rPr>
          <w:rFonts w:ascii="宋体" w:hAnsi="宋体" w:eastAsia="宋体" w:cs="宋体"/>
          <w:spacing w:val="8"/>
          <w:sz w:val="20"/>
          <w:szCs w:val="20"/>
        </w:rPr>
        <w:t>除或减轻承包人按照合同约定应当承担的责任。</w:t>
      </w:r>
    </w:p>
    <w:p w14:paraId="1FE58202">
      <w:pPr>
        <w:spacing w:line="361" w:lineRule="auto"/>
        <w:ind w:left="3" w:firstLine="419"/>
        <w:jc w:val="both"/>
        <w:rPr>
          <w:rFonts w:ascii="宋体" w:hAnsi="宋体" w:eastAsia="宋体" w:cs="宋体"/>
          <w:sz w:val="20"/>
          <w:szCs w:val="20"/>
        </w:rPr>
      </w:pPr>
      <w:r>
        <w:rPr>
          <w:rFonts w:ascii="宋体" w:hAnsi="宋体" w:eastAsia="宋体" w:cs="宋体"/>
          <w:spacing w:val="10"/>
          <w:sz w:val="20"/>
          <w:szCs w:val="20"/>
        </w:rPr>
        <w:t>监理人的检查和检验不应影响施工正常进行。监理人的检查和检验</w:t>
      </w:r>
      <w:r>
        <w:rPr>
          <w:rFonts w:ascii="宋体" w:hAnsi="宋体" w:eastAsia="宋体" w:cs="宋体"/>
          <w:spacing w:val="9"/>
          <w:sz w:val="20"/>
          <w:szCs w:val="20"/>
        </w:rPr>
        <w:t>影响施工正常进行的，且</w:t>
      </w:r>
      <w:r>
        <w:rPr>
          <w:rFonts w:ascii="宋体" w:hAnsi="宋体" w:eastAsia="宋体" w:cs="宋体"/>
          <w:spacing w:val="10"/>
          <w:sz w:val="20"/>
          <w:szCs w:val="20"/>
        </w:rPr>
        <w:t>经检查检验不合格的，影响正常施工的费用由承包人承担，工期不予顺</w:t>
      </w:r>
      <w:r>
        <w:rPr>
          <w:rFonts w:ascii="宋体" w:hAnsi="宋体" w:eastAsia="宋体" w:cs="宋体"/>
          <w:spacing w:val="9"/>
          <w:sz w:val="20"/>
          <w:szCs w:val="20"/>
        </w:rPr>
        <w:t>延；经检查检验合格的，由此增加的费用和（或）延误的工期由发包人承担。</w:t>
      </w:r>
    </w:p>
    <w:p w14:paraId="0EBC8127">
      <w:pPr>
        <w:pStyle w:val="2"/>
        <w:spacing w:before="1" w:line="221" w:lineRule="auto"/>
        <w:ind w:left="1"/>
        <w:rPr>
          <w:sz w:val="24"/>
          <w:szCs w:val="24"/>
        </w:rPr>
      </w:pPr>
      <w:r>
        <w:rPr>
          <w:rFonts w:ascii="Times New Roman" w:hAnsi="Times New Roman" w:eastAsia="Times New Roman" w:cs="Times New Roman"/>
          <w:b/>
          <w:bCs/>
          <w:spacing w:val="-4"/>
          <w:sz w:val="24"/>
          <w:szCs w:val="24"/>
        </w:rPr>
        <w:t>5.3</w:t>
      </w:r>
      <w:r>
        <w:rPr>
          <w:rFonts w:ascii="Times New Roman" w:hAnsi="Times New Roman" w:eastAsia="Times New Roman" w:cs="Times New Roman"/>
          <w:b/>
          <w:bCs/>
          <w:spacing w:val="8"/>
          <w:sz w:val="24"/>
          <w:szCs w:val="24"/>
        </w:rPr>
        <w:t xml:space="preserve">  </w:t>
      </w:r>
      <w:r>
        <w:rPr>
          <w:b/>
          <w:bCs/>
          <w:spacing w:val="-4"/>
          <w:sz w:val="24"/>
          <w:szCs w:val="24"/>
        </w:rPr>
        <w:t>隐蔽工程检查</w:t>
      </w:r>
    </w:p>
    <w:p w14:paraId="3724A081">
      <w:pPr>
        <w:spacing w:before="139" w:line="228" w:lineRule="auto"/>
        <w:ind w:left="423"/>
        <w:rPr>
          <w:rFonts w:ascii="宋体" w:hAnsi="宋体" w:eastAsia="宋体" w:cs="宋体"/>
          <w:sz w:val="20"/>
          <w:szCs w:val="20"/>
        </w:rPr>
      </w:pPr>
      <w:r>
        <w:rPr>
          <w:rFonts w:ascii="Times New Roman" w:hAnsi="Times New Roman" w:eastAsia="Times New Roman" w:cs="Times New Roman"/>
          <w:spacing w:val="3"/>
          <w:sz w:val="20"/>
          <w:szCs w:val="20"/>
        </w:rPr>
        <w:t>5.3.</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3"/>
          <w:sz w:val="20"/>
          <w:szCs w:val="20"/>
        </w:rPr>
        <w:t xml:space="preserve">1 </w:t>
      </w:r>
      <w:r>
        <w:rPr>
          <w:rFonts w:ascii="宋体" w:hAnsi="宋体" w:eastAsia="宋体" w:cs="宋体"/>
          <w:spacing w:val="3"/>
          <w:sz w:val="20"/>
          <w:szCs w:val="20"/>
        </w:rPr>
        <w:t>承包人自检</w:t>
      </w:r>
    </w:p>
    <w:p w14:paraId="28BD5674">
      <w:pPr>
        <w:spacing w:before="151" w:line="228" w:lineRule="auto"/>
        <w:ind w:left="421"/>
        <w:rPr>
          <w:rFonts w:ascii="宋体" w:hAnsi="宋体" w:eastAsia="宋体" w:cs="宋体"/>
          <w:sz w:val="20"/>
          <w:szCs w:val="20"/>
        </w:rPr>
      </w:pPr>
      <w:r>
        <w:rPr>
          <w:rFonts w:ascii="宋体" w:hAnsi="宋体" w:eastAsia="宋体" w:cs="宋体"/>
          <w:spacing w:val="9"/>
          <w:sz w:val="20"/>
          <w:szCs w:val="20"/>
        </w:rPr>
        <w:t>承包人应当对工程隐蔽部位进行自检，并经自检确认是否具备覆盖条件。</w:t>
      </w:r>
    </w:p>
    <w:p w14:paraId="1358D4BC">
      <w:pPr>
        <w:spacing w:before="154" w:line="228" w:lineRule="auto"/>
        <w:ind w:left="423"/>
        <w:rPr>
          <w:rFonts w:ascii="宋体" w:hAnsi="宋体" w:eastAsia="宋体" w:cs="宋体"/>
          <w:sz w:val="20"/>
          <w:szCs w:val="20"/>
        </w:rPr>
      </w:pPr>
      <w:r>
        <w:rPr>
          <w:rFonts w:ascii="Times New Roman" w:hAnsi="Times New Roman" w:eastAsia="Times New Roman" w:cs="Times New Roman"/>
          <w:spacing w:val="5"/>
          <w:sz w:val="20"/>
          <w:szCs w:val="20"/>
        </w:rPr>
        <w:t xml:space="preserve">5.3.2 </w:t>
      </w:r>
      <w:r>
        <w:rPr>
          <w:rFonts w:ascii="宋体" w:hAnsi="宋体" w:eastAsia="宋体" w:cs="宋体"/>
          <w:spacing w:val="5"/>
          <w:sz w:val="20"/>
          <w:szCs w:val="20"/>
        </w:rPr>
        <w:t>检查程序</w:t>
      </w:r>
    </w:p>
    <w:p w14:paraId="20F095C4">
      <w:pPr>
        <w:spacing w:before="155" w:line="369" w:lineRule="auto"/>
        <w:ind w:firstLine="433"/>
        <w:rPr>
          <w:rFonts w:ascii="宋体" w:hAnsi="宋体" w:eastAsia="宋体" w:cs="宋体"/>
          <w:sz w:val="20"/>
          <w:szCs w:val="20"/>
        </w:rPr>
      </w:pPr>
      <w:r>
        <w:rPr>
          <w:rFonts w:ascii="宋体" w:hAnsi="宋体" w:eastAsia="宋体" w:cs="宋体"/>
          <w:spacing w:val="9"/>
          <w:sz w:val="20"/>
          <w:szCs w:val="20"/>
        </w:rPr>
        <w:t>除专用合同条款另有约定外，工程隐蔽部位经承包人自检确认具备覆盖条件的，承包人应在</w:t>
      </w:r>
      <w:r>
        <w:rPr>
          <w:rFonts w:ascii="宋体" w:hAnsi="宋体" w:eastAsia="宋体" w:cs="宋体"/>
          <w:spacing w:val="7"/>
          <w:sz w:val="20"/>
          <w:szCs w:val="20"/>
        </w:rPr>
        <w:t>共同检查前</w:t>
      </w:r>
      <w:r>
        <w:rPr>
          <w:rFonts w:ascii="宋体" w:hAnsi="宋体" w:eastAsia="宋体" w:cs="宋体"/>
          <w:spacing w:val="-44"/>
          <w:sz w:val="20"/>
          <w:szCs w:val="20"/>
        </w:rPr>
        <w:t xml:space="preserve"> </w:t>
      </w:r>
      <w:r>
        <w:rPr>
          <w:rFonts w:ascii="Times New Roman" w:hAnsi="Times New Roman" w:eastAsia="Times New Roman" w:cs="Times New Roman"/>
          <w:spacing w:val="7"/>
          <w:sz w:val="20"/>
          <w:szCs w:val="20"/>
        </w:rPr>
        <w:t>48</w:t>
      </w:r>
      <w:r>
        <w:rPr>
          <w:rFonts w:ascii="Times New Roman" w:hAnsi="Times New Roman" w:eastAsia="Times New Roman" w:cs="Times New Roman"/>
          <w:spacing w:val="18"/>
          <w:sz w:val="20"/>
          <w:szCs w:val="20"/>
        </w:rPr>
        <w:t xml:space="preserve"> </w:t>
      </w:r>
      <w:r>
        <w:rPr>
          <w:rFonts w:ascii="宋体" w:hAnsi="宋体" w:eastAsia="宋体" w:cs="宋体"/>
          <w:spacing w:val="7"/>
          <w:sz w:val="20"/>
          <w:szCs w:val="20"/>
        </w:rPr>
        <w:t>小时书面通知监理人检查，通知中应载明隐蔽</w:t>
      </w:r>
      <w:r>
        <w:rPr>
          <w:rFonts w:ascii="宋体" w:hAnsi="宋体" w:eastAsia="宋体" w:cs="宋体"/>
          <w:spacing w:val="6"/>
          <w:sz w:val="20"/>
          <w:szCs w:val="20"/>
        </w:rPr>
        <w:t>检查的内容、时间和地点，并应附有</w:t>
      </w:r>
      <w:r>
        <w:rPr>
          <w:rFonts w:ascii="宋体" w:hAnsi="宋体" w:eastAsia="宋体" w:cs="宋体"/>
          <w:spacing w:val="8"/>
          <w:sz w:val="20"/>
          <w:szCs w:val="20"/>
        </w:rPr>
        <w:t>自检记录和必要的检查资料。</w:t>
      </w:r>
    </w:p>
    <w:p w14:paraId="48BCAED2">
      <w:pPr>
        <w:spacing w:before="3" w:line="368" w:lineRule="auto"/>
        <w:ind w:left="1" w:firstLine="420"/>
        <w:jc w:val="both"/>
        <w:rPr>
          <w:rFonts w:ascii="宋体" w:hAnsi="宋体" w:eastAsia="宋体" w:cs="宋体"/>
          <w:sz w:val="20"/>
          <w:szCs w:val="20"/>
        </w:rPr>
      </w:pPr>
      <w:r>
        <w:rPr>
          <w:rFonts w:ascii="宋体" w:hAnsi="宋体" w:eastAsia="宋体" w:cs="宋体"/>
          <w:spacing w:val="10"/>
          <w:sz w:val="20"/>
          <w:szCs w:val="20"/>
        </w:rPr>
        <w:t>监理人应按时到场并对隐蔽工程及其施工工艺、材料和工程设备进</w:t>
      </w:r>
      <w:r>
        <w:rPr>
          <w:rFonts w:ascii="宋体" w:hAnsi="宋体" w:eastAsia="宋体" w:cs="宋体"/>
          <w:spacing w:val="9"/>
          <w:sz w:val="20"/>
          <w:szCs w:val="20"/>
        </w:rPr>
        <w:t>行检查。经监理人检查确</w:t>
      </w:r>
      <w:r>
        <w:rPr>
          <w:rFonts w:ascii="宋体" w:hAnsi="宋体" w:eastAsia="宋体" w:cs="宋体"/>
          <w:spacing w:val="10"/>
          <w:sz w:val="20"/>
          <w:szCs w:val="20"/>
        </w:rPr>
        <w:t>认质量符合隐蔽要求，并在验收记录上签字后，承包人才能进行覆盖。经</w:t>
      </w:r>
      <w:r>
        <w:rPr>
          <w:rFonts w:ascii="宋体" w:hAnsi="宋体" w:eastAsia="宋体" w:cs="宋体"/>
          <w:spacing w:val="9"/>
          <w:sz w:val="20"/>
          <w:szCs w:val="20"/>
        </w:rPr>
        <w:t>监理人检查质量不合格</w:t>
      </w:r>
      <w:r>
        <w:rPr>
          <w:rFonts w:ascii="宋体" w:hAnsi="宋体" w:eastAsia="宋体" w:cs="宋体"/>
          <w:spacing w:val="8"/>
          <w:sz w:val="20"/>
          <w:szCs w:val="20"/>
        </w:rPr>
        <w:t>的，承包人应在监理人指示的时间内完成修复，并由监理人重新检查，</w:t>
      </w:r>
      <w:r>
        <w:rPr>
          <w:rFonts w:ascii="宋体" w:hAnsi="宋体" w:eastAsia="宋体" w:cs="宋体"/>
          <w:spacing w:val="-44"/>
          <w:sz w:val="20"/>
          <w:szCs w:val="20"/>
        </w:rPr>
        <w:t xml:space="preserve"> </w:t>
      </w:r>
      <w:r>
        <w:rPr>
          <w:rFonts w:ascii="宋体" w:hAnsi="宋体" w:eastAsia="宋体" w:cs="宋体"/>
          <w:spacing w:val="8"/>
          <w:sz w:val="20"/>
          <w:szCs w:val="20"/>
        </w:rPr>
        <w:t>由此增加的费用和（或）延误的工期由承包人承担。</w:t>
      </w:r>
    </w:p>
    <w:p w14:paraId="731C01BF">
      <w:pPr>
        <w:spacing w:before="3" w:line="369" w:lineRule="auto"/>
        <w:ind w:firstLine="434"/>
        <w:jc w:val="both"/>
        <w:rPr>
          <w:rFonts w:ascii="宋体" w:hAnsi="宋体" w:eastAsia="宋体" w:cs="宋体"/>
          <w:sz w:val="20"/>
          <w:szCs w:val="20"/>
        </w:rPr>
      </w:pPr>
      <w:r>
        <w:rPr>
          <w:rFonts w:ascii="宋体" w:hAnsi="宋体" w:eastAsia="宋体" w:cs="宋体"/>
          <w:spacing w:val="6"/>
          <w:sz w:val="20"/>
          <w:szCs w:val="20"/>
        </w:rPr>
        <w:t>除专用合同条款另有约定外，监理人不能按时进行检查的，应在检查前</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24</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小时向承包人提交</w:t>
      </w:r>
      <w:r>
        <w:rPr>
          <w:rFonts w:ascii="宋体" w:hAnsi="宋体" w:eastAsia="宋体" w:cs="宋体"/>
          <w:spacing w:val="7"/>
          <w:sz w:val="20"/>
          <w:szCs w:val="20"/>
        </w:rPr>
        <w:t>书面延期要求，但延期不能超过</w:t>
      </w:r>
      <w:r>
        <w:rPr>
          <w:rFonts w:ascii="宋体" w:hAnsi="宋体" w:eastAsia="宋体" w:cs="宋体"/>
          <w:spacing w:val="-44"/>
          <w:sz w:val="20"/>
          <w:szCs w:val="20"/>
        </w:rPr>
        <w:t xml:space="preserve"> </w:t>
      </w:r>
      <w:r>
        <w:rPr>
          <w:rFonts w:ascii="Times New Roman" w:hAnsi="Times New Roman" w:eastAsia="Times New Roman" w:cs="Times New Roman"/>
          <w:spacing w:val="7"/>
          <w:sz w:val="20"/>
          <w:szCs w:val="20"/>
        </w:rPr>
        <w:t>48</w:t>
      </w:r>
      <w:r>
        <w:rPr>
          <w:rFonts w:ascii="Times New Roman" w:hAnsi="Times New Roman" w:eastAsia="Times New Roman" w:cs="Times New Roman"/>
          <w:spacing w:val="15"/>
          <w:sz w:val="20"/>
          <w:szCs w:val="20"/>
        </w:rPr>
        <w:t xml:space="preserve"> </w:t>
      </w:r>
      <w:r>
        <w:rPr>
          <w:rFonts w:ascii="宋体" w:hAnsi="宋体" w:eastAsia="宋体" w:cs="宋体"/>
          <w:spacing w:val="7"/>
          <w:sz w:val="20"/>
          <w:szCs w:val="20"/>
        </w:rPr>
        <w:t>小时，由此导致工期延误的，工期</w:t>
      </w:r>
      <w:r>
        <w:rPr>
          <w:rFonts w:ascii="宋体" w:hAnsi="宋体" w:eastAsia="宋体" w:cs="宋体"/>
          <w:spacing w:val="6"/>
          <w:sz w:val="20"/>
          <w:szCs w:val="20"/>
        </w:rPr>
        <w:t>应予以顺延。监理人未按时</w:t>
      </w:r>
      <w:r>
        <w:rPr>
          <w:rFonts w:ascii="宋体" w:hAnsi="宋体" w:eastAsia="宋体" w:cs="宋体"/>
          <w:spacing w:val="10"/>
          <w:sz w:val="20"/>
          <w:szCs w:val="20"/>
        </w:rPr>
        <w:t>进行检查，也未提出延期要求的，视为隐蔽工程检查合格，承包人可自行完成</w:t>
      </w:r>
      <w:r>
        <w:rPr>
          <w:rFonts w:ascii="宋体" w:hAnsi="宋体" w:eastAsia="宋体" w:cs="宋体"/>
          <w:spacing w:val="9"/>
          <w:sz w:val="20"/>
          <w:szCs w:val="20"/>
        </w:rPr>
        <w:t>覆盖工作，并作相</w:t>
      </w:r>
      <w:r>
        <w:rPr>
          <w:rFonts w:ascii="宋体" w:hAnsi="宋体" w:eastAsia="宋体" w:cs="宋体"/>
          <w:spacing w:val="7"/>
          <w:sz w:val="20"/>
          <w:szCs w:val="20"/>
        </w:rPr>
        <w:t>应记录报送监理人，监理人应签字确认。监理人</w:t>
      </w:r>
      <w:r>
        <w:rPr>
          <w:rFonts w:ascii="宋体" w:hAnsi="宋体" w:eastAsia="宋体" w:cs="宋体"/>
          <w:spacing w:val="6"/>
          <w:sz w:val="20"/>
          <w:szCs w:val="20"/>
        </w:rPr>
        <w:t>事后对检查记录有疑问的，可按第</w:t>
      </w:r>
      <w:r>
        <w:rPr>
          <w:rFonts w:ascii="宋体" w:hAnsi="宋体" w:eastAsia="宋体" w:cs="宋体"/>
          <w:spacing w:val="-37"/>
          <w:sz w:val="20"/>
          <w:szCs w:val="20"/>
        </w:rPr>
        <w:t xml:space="preserve"> </w:t>
      </w:r>
      <w:r>
        <w:rPr>
          <w:rFonts w:ascii="Times New Roman" w:hAnsi="Times New Roman" w:eastAsia="Times New Roman" w:cs="Times New Roman"/>
          <w:spacing w:val="6"/>
          <w:sz w:val="20"/>
          <w:szCs w:val="20"/>
        </w:rPr>
        <w:t xml:space="preserve">5.3.3 </w:t>
      </w:r>
      <w:r>
        <w:rPr>
          <w:rFonts w:ascii="宋体" w:hAnsi="宋体" w:eastAsia="宋体" w:cs="宋体"/>
          <w:spacing w:val="6"/>
          <w:sz w:val="20"/>
          <w:szCs w:val="20"/>
        </w:rPr>
        <w:t>项〔重新</w:t>
      </w:r>
      <w:r>
        <w:rPr>
          <w:rFonts w:ascii="宋体" w:hAnsi="宋体" w:eastAsia="宋体" w:cs="宋体"/>
          <w:spacing w:val="8"/>
          <w:sz w:val="20"/>
          <w:szCs w:val="20"/>
        </w:rPr>
        <w:t>检查〕的约定重新检查。</w:t>
      </w:r>
    </w:p>
    <w:p w14:paraId="770945EB">
      <w:pPr>
        <w:spacing w:before="1" w:line="227" w:lineRule="auto"/>
        <w:ind w:left="423"/>
        <w:rPr>
          <w:rFonts w:ascii="宋体" w:hAnsi="宋体" w:eastAsia="宋体" w:cs="宋体"/>
          <w:sz w:val="20"/>
          <w:szCs w:val="20"/>
        </w:rPr>
      </w:pPr>
      <w:r>
        <w:rPr>
          <w:rFonts w:ascii="Times New Roman" w:hAnsi="Times New Roman" w:eastAsia="Times New Roman" w:cs="Times New Roman"/>
          <w:spacing w:val="4"/>
          <w:sz w:val="20"/>
          <w:szCs w:val="20"/>
        </w:rPr>
        <w:t xml:space="preserve">5.3.3  </w:t>
      </w:r>
      <w:r>
        <w:rPr>
          <w:rFonts w:ascii="宋体" w:hAnsi="宋体" w:eastAsia="宋体" w:cs="宋体"/>
          <w:spacing w:val="4"/>
          <w:sz w:val="20"/>
          <w:szCs w:val="20"/>
        </w:rPr>
        <w:t>重新检查</w:t>
      </w:r>
    </w:p>
    <w:p w14:paraId="1D159AB8">
      <w:pPr>
        <w:spacing w:before="151" w:line="370" w:lineRule="auto"/>
        <w:ind w:left="1" w:firstLine="420"/>
        <w:rPr>
          <w:rFonts w:ascii="宋体" w:hAnsi="宋体" w:eastAsia="宋体" w:cs="宋体"/>
          <w:sz w:val="20"/>
          <w:szCs w:val="20"/>
        </w:rPr>
      </w:pPr>
      <w:r>
        <w:rPr>
          <w:rFonts w:ascii="宋体" w:hAnsi="宋体" w:eastAsia="宋体" w:cs="宋体"/>
          <w:spacing w:val="10"/>
          <w:sz w:val="20"/>
          <w:szCs w:val="20"/>
        </w:rPr>
        <w:t>承包人覆盖工程隐蔽部位后，发包人或监理人对质量有疑问的，可要</w:t>
      </w:r>
      <w:r>
        <w:rPr>
          <w:rFonts w:ascii="宋体" w:hAnsi="宋体" w:eastAsia="宋体" w:cs="宋体"/>
          <w:spacing w:val="9"/>
          <w:sz w:val="20"/>
          <w:szCs w:val="20"/>
        </w:rPr>
        <w:t>求承包人对已覆盖的部</w:t>
      </w:r>
      <w:r>
        <w:rPr>
          <w:rFonts w:ascii="宋体" w:hAnsi="宋体" w:eastAsia="宋体" w:cs="宋体"/>
          <w:spacing w:val="10"/>
          <w:sz w:val="20"/>
          <w:szCs w:val="20"/>
        </w:rPr>
        <w:t>位进行钻孔探测或揭开重新检查，承包人应遵照执行，并在检查后重新覆</w:t>
      </w:r>
      <w:r>
        <w:rPr>
          <w:rFonts w:ascii="宋体" w:hAnsi="宋体" w:eastAsia="宋体" w:cs="宋体"/>
          <w:spacing w:val="9"/>
          <w:sz w:val="20"/>
          <w:szCs w:val="20"/>
        </w:rPr>
        <w:t>盖恢复原状。经检查证明工程质量符合合同要求的，</w:t>
      </w:r>
      <w:r>
        <w:rPr>
          <w:rFonts w:ascii="宋体" w:hAnsi="宋体" w:eastAsia="宋体" w:cs="宋体"/>
          <w:spacing w:val="-58"/>
          <w:sz w:val="20"/>
          <w:szCs w:val="20"/>
        </w:rPr>
        <w:t xml:space="preserve"> </w:t>
      </w:r>
      <w:r>
        <w:rPr>
          <w:rFonts w:ascii="宋体" w:hAnsi="宋体" w:eastAsia="宋体" w:cs="宋体"/>
          <w:spacing w:val="9"/>
          <w:sz w:val="20"/>
          <w:szCs w:val="20"/>
        </w:rPr>
        <w:t>由发包人承担由此增加的费用和（或）延误</w:t>
      </w:r>
      <w:r>
        <w:rPr>
          <w:rFonts w:ascii="宋体" w:hAnsi="宋体" w:eastAsia="宋体" w:cs="宋体"/>
          <w:spacing w:val="8"/>
          <w:sz w:val="20"/>
          <w:szCs w:val="20"/>
        </w:rPr>
        <w:t>的工期，并支付承包人</w:t>
      </w:r>
      <w:r>
        <w:rPr>
          <w:rFonts w:ascii="宋体" w:hAnsi="宋体" w:eastAsia="宋体" w:cs="宋体"/>
          <w:spacing w:val="10"/>
          <w:sz w:val="20"/>
          <w:szCs w:val="20"/>
        </w:rPr>
        <w:t>合理的利润；经检查证明工程质量不符合合同要求的，由此增加的费用和</w:t>
      </w:r>
      <w:r>
        <w:rPr>
          <w:rFonts w:ascii="宋体" w:hAnsi="宋体" w:eastAsia="宋体" w:cs="宋体"/>
          <w:spacing w:val="9"/>
          <w:sz w:val="20"/>
          <w:szCs w:val="20"/>
        </w:rPr>
        <w:t>（或）延误的工期由承</w:t>
      </w:r>
    </w:p>
    <w:p w14:paraId="30DA1873">
      <w:pPr>
        <w:spacing w:line="370" w:lineRule="auto"/>
        <w:rPr>
          <w:rFonts w:ascii="宋体" w:hAnsi="宋体" w:eastAsia="宋体" w:cs="宋体"/>
          <w:sz w:val="20"/>
          <w:szCs w:val="20"/>
        </w:rPr>
        <w:sectPr>
          <w:footerReference r:id="rId249" w:type="default"/>
          <w:pgSz w:w="11906" w:h="16839"/>
          <w:pgMar w:top="400" w:right="1554" w:bottom="1038" w:left="1537" w:header="0" w:footer="785" w:gutter="0"/>
          <w:cols w:space="720" w:num="1"/>
        </w:sectPr>
      </w:pPr>
    </w:p>
    <w:p w14:paraId="4072D7E5">
      <w:pPr>
        <w:spacing w:line="271" w:lineRule="auto"/>
        <w:rPr>
          <w:rFonts w:ascii="Arial"/>
          <w:sz w:val="21"/>
        </w:rPr>
      </w:pPr>
    </w:p>
    <w:p w14:paraId="51BFD5B2">
      <w:pPr>
        <w:spacing w:line="271" w:lineRule="auto"/>
        <w:rPr>
          <w:rFonts w:ascii="Arial"/>
          <w:sz w:val="21"/>
        </w:rPr>
      </w:pPr>
    </w:p>
    <w:p w14:paraId="38FE449F">
      <w:pPr>
        <w:spacing w:line="272" w:lineRule="auto"/>
        <w:rPr>
          <w:rFonts w:ascii="Arial"/>
          <w:sz w:val="21"/>
        </w:rPr>
      </w:pPr>
    </w:p>
    <w:p w14:paraId="3C27077D">
      <w:pPr>
        <w:spacing w:line="272" w:lineRule="auto"/>
        <w:rPr>
          <w:rFonts w:ascii="Arial"/>
          <w:sz w:val="21"/>
        </w:rPr>
      </w:pPr>
    </w:p>
    <w:p w14:paraId="0F34BBD2">
      <w:pPr>
        <w:spacing w:before="65" w:line="228" w:lineRule="auto"/>
        <w:ind w:left="4"/>
        <w:rPr>
          <w:rFonts w:ascii="宋体" w:hAnsi="宋体" w:eastAsia="宋体" w:cs="宋体"/>
          <w:sz w:val="20"/>
          <w:szCs w:val="20"/>
        </w:rPr>
      </w:pPr>
      <w:r>
        <w:rPr>
          <w:rFonts w:ascii="宋体" w:hAnsi="宋体" w:eastAsia="宋体" w:cs="宋体"/>
          <w:spacing w:val="5"/>
          <w:sz w:val="20"/>
          <w:szCs w:val="20"/>
        </w:rPr>
        <w:t>包人承担。</w:t>
      </w:r>
    </w:p>
    <w:p w14:paraId="5DE5E4AA">
      <w:pPr>
        <w:spacing w:before="151" w:line="228" w:lineRule="auto"/>
        <w:ind w:left="426"/>
        <w:rPr>
          <w:rFonts w:ascii="宋体" w:hAnsi="宋体" w:eastAsia="宋体" w:cs="宋体"/>
          <w:sz w:val="20"/>
          <w:szCs w:val="20"/>
        </w:rPr>
      </w:pPr>
      <w:r>
        <w:rPr>
          <w:rFonts w:ascii="Times New Roman" w:hAnsi="Times New Roman" w:eastAsia="Times New Roman" w:cs="Times New Roman"/>
          <w:spacing w:val="6"/>
          <w:sz w:val="20"/>
          <w:szCs w:val="20"/>
        </w:rPr>
        <w:t xml:space="preserve">5.3.4  </w:t>
      </w:r>
      <w:r>
        <w:rPr>
          <w:rFonts w:ascii="宋体" w:hAnsi="宋体" w:eastAsia="宋体" w:cs="宋体"/>
          <w:spacing w:val="6"/>
          <w:sz w:val="20"/>
          <w:szCs w:val="20"/>
        </w:rPr>
        <w:t>承包人私自覆盖</w:t>
      </w:r>
    </w:p>
    <w:p w14:paraId="705C899D">
      <w:pPr>
        <w:spacing w:before="154" w:line="361" w:lineRule="auto"/>
        <w:ind w:left="5" w:right="52" w:firstLine="419"/>
        <w:rPr>
          <w:rFonts w:ascii="宋体" w:hAnsi="宋体" w:eastAsia="宋体" w:cs="宋体"/>
          <w:sz w:val="20"/>
          <w:szCs w:val="20"/>
        </w:rPr>
      </w:pPr>
      <w:r>
        <w:rPr>
          <w:rFonts w:ascii="宋体" w:hAnsi="宋体" w:eastAsia="宋体" w:cs="宋体"/>
          <w:spacing w:val="10"/>
          <w:sz w:val="20"/>
          <w:szCs w:val="20"/>
        </w:rPr>
        <w:t>承包人未通知监理人到场检查，私自将工程隐蔽部位覆盖的，监理人</w:t>
      </w:r>
      <w:r>
        <w:rPr>
          <w:rFonts w:ascii="宋体" w:hAnsi="宋体" w:eastAsia="宋体" w:cs="宋体"/>
          <w:spacing w:val="9"/>
          <w:sz w:val="20"/>
          <w:szCs w:val="20"/>
        </w:rPr>
        <w:t>有权指示承包人钻孔探</w:t>
      </w:r>
      <w:r>
        <w:rPr>
          <w:rFonts w:ascii="宋体" w:hAnsi="宋体" w:eastAsia="宋体" w:cs="宋体"/>
          <w:spacing w:val="10"/>
          <w:sz w:val="20"/>
          <w:szCs w:val="20"/>
        </w:rPr>
        <w:t>测或揭开检查，无论工程隐蔽部位质量是否合格，由此增加的费用和（</w:t>
      </w:r>
      <w:r>
        <w:rPr>
          <w:rFonts w:ascii="宋体" w:hAnsi="宋体" w:eastAsia="宋体" w:cs="宋体"/>
          <w:spacing w:val="9"/>
          <w:sz w:val="20"/>
          <w:szCs w:val="20"/>
        </w:rPr>
        <w:t>或）延误的工期均由承包</w:t>
      </w:r>
      <w:r>
        <w:rPr>
          <w:rFonts w:ascii="宋体" w:hAnsi="宋体" w:eastAsia="宋体" w:cs="宋体"/>
          <w:spacing w:val="4"/>
          <w:sz w:val="20"/>
          <w:szCs w:val="20"/>
        </w:rPr>
        <w:t>人承担。</w:t>
      </w:r>
    </w:p>
    <w:p w14:paraId="33D5E26F">
      <w:pPr>
        <w:pStyle w:val="2"/>
        <w:spacing w:line="221" w:lineRule="auto"/>
        <w:ind w:left="4"/>
        <w:rPr>
          <w:sz w:val="24"/>
          <w:szCs w:val="24"/>
        </w:rPr>
      </w:pPr>
      <w:r>
        <w:rPr>
          <w:rFonts w:ascii="Times New Roman" w:hAnsi="Times New Roman" w:eastAsia="Times New Roman" w:cs="Times New Roman"/>
          <w:b/>
          <w:bCs/>
          <w:spacing w:val="-2"/>
          <w:sz w:val="24"/>
          <w:szCs w:val="24"/>
        </w:rPr>
        <w:t xml:space="preserve">5.4 </w:t>
      </w:r>
      <w:r>
        <w:rPr>
          <w:b/>
          <w:bCs/>
          <w:spacing w:val="-2"/>
          <w:sz w:val="24"/>
          <w:szCs w:val="24"/>
        </w:rPr>
        <w:t>不合格工程的处理</w:t>
      </w:r>
    </w:p>
    <w:p w14:paraId="5847629B">
      <w:pPr>
        <w:spacing w:before="140" w:line="369" w:lineRule="auto"/>
        <w:ind w:left="5" w:right="54" w:firstLine="421"/>
        <w:rPr>
          <w:rFonts w:ascii="宋体" w:hAnsi="宋体" w:eastAsia="宋体" w:cs="宋体"/>
          <w:sz w:val="20"/>
          <w:szCs w:val="20"/>
        </w:rPr>
      </w:pPr>
      <w:r>
        <w:rPr>
          <w:rFonts w:ascii="Times New Roman" w:hAnsi="Times New Roman" w:eastAsia="Times New Roman" w:cs="Times New Roman"/>
          <w:spacing w:val="6"/>
          <w:sz w:val="20"/>
          <w:szCs w:val="20"/>
        </w:rPr>
        <w:t>5.4.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因承包人原因造成工程不合格的，发包人有权随时要求承包人采取</w:t>
      </w:r>
      <w:r>
        <w:rPr>
          <w:rFonts w:ascii="宋体" w:hAnsi="宋体" w:eastAsia="宋体" w:cs="宋体"/>
          <w:spacing w:val="5"/>
          <w:sz w:val="20"/>
          <w:szCs w:val="20"/>
        </w:rPr>
        <w:t>补救措施，直至达到</w:t>
      </w:r>
      <w:r>
        <w:rPr>
          <w:rFonts w:ascii="宋体" w:hAnsi="宋体" w:eastAsia="宋体" w:cs="宋体"/>
          <w:spacing w:val="9"/>
          <w:sz w:val="20"/>
          <w:szCs w:val="20"/>
        </w:rPr>
        <w:t>合同要求的质量标准，</w:t>
      </w:r>
      <w:r>
        <w:rPr>
          <w:rFonts w:ascii="宋体" w:hAnsi="宋体" w:eastAsia="宋体" w:cs="宋体"/>
          <w:spacing w:val="-58"/>
          <w:sz w:val="20"/>
          <w:szCs w:val="20"/>
        </w:rPr>
        <w:t xml:space="preserve"> </w:t>
      </w:r>
      <w:r>
        <w:rPr>
          <w:rFonts w:ascii="宋体" w:hAnsi="宋体" w:eastAsia="宋体" w:cs="宋体"/>
          <w:spacing w:val="9"/>
          <w:sz w:val="20"/>
          <w:szCs w:val="20"/>
        </w:rPr>
        <w:t>由此增加的费用和（或）延误的工期由承包</w:t>
      </w:r>
      <w:r>
        <w:rPr>
          <w:rFonts w:ascii="宋体" w:hAnsi="宋体" w:eastAsia="宋体" w:cs="宋体"/>
          <w:spacing w:val="8"/>
          <w:sz w:val="20"/>
          <w:szCs w:val="20"/>
        </w:rPr>
        <w:t>人承担。无法补救的，按照第</w:t>
      </w:r>
      <w:r>
        <w:rPr>
          <w:rFonts w:ascii="Times New Roman" w:hAnsi="Times New Roman" w:eastAsia="Times New Roman" w:cs="Times New Roman"/>
          <w:spacing w:val="7"/>
          <w:sz w:val="20"/>
          <w:szCs w:val="20"/>
        </w:rPr>
        <w:t xml:space="preserve">13.2.4 </w:t>
      </w:r>
      <w:r>
        <w:rPr>
          <w:rFonts w:ascii="宋体" w:hAnsi="宋体" w:eastAsia="宋体" w:cs="宋体"/>
          <w:spacing w:val="7"/>
          <w:sz w:val="20"/>
          <w:szCs w:val="20"/>
        </w:rPr>
        <w:t>项〔拒绝接收全部或部分工程〕约定执行。</w:t>
      </w:r>
    </w:p>
    <w:p w14:paraId="61A0A437">
      <w:pPr>
        <w:spacing w:before="1" w:line="356" w:lineRule="auto"/>
        <w:ind w:left="9" w:firstLine="416"/>
        <w:rPr>
          <w:rFonts w:ascii="宋体" w:hAnsi="宋体" w:eastAsia="宋体" w:cs="宋体"/>
          <w:sz w:val="20"/>
          <w:szCs w:val="20"/>
        </w:rPr>
      </w:pPr>
      <w:r>
        <w:rPr>
          <w:rFonts w:ascii="Times New Roman" w:hAnsi="Times New Roman" w:eastAsia="Times New Roman" w:cs="Times New Roman"/>
          <w:spacing w:val="8"/>
          <w:sz w:val="20"/>
          <w:szCs w:val="20"/>
        </w:rPr>
        <w:t xml:space="preserve">5.4.2  </w:t>
      </w:r>
      <w:r>
        <w:rPr>
          <w:rFonts w:ascii="宋体" w:hAnsi="宋体" w:eastAsia="宋体" w:cs="宋体"/>
          <w:spacing w:val="8"/>
          <w:sz w:val="20"/>
          <w:szCs w:val="20"/>
        </w:rPr>
        <w:t>因发包人原因造成工程不合格的，由此增加</w:t>
      </w:r>
      <w:r>
        <w:rPr>
          <w:rFonts w:ascii="宋体" w:hAnsi="宋体" w:eastAsia="宋体" w:cs="宋体"/>
          <w:spacing w:val="7"/>
          <w:sz w:val="20"/>
          <w:szCs w:val="20"/>
        </w:rPr>
        <w:t>的费用和（或）延误的工期由发包人承担，并支付承包人合理的利润。</w:t>
      </w:r>
    </w:p>
    <w:p w14:paraId="76C765A7">
      <w:pPr>
        <w:pStyle w:val="2"/>
        <w:spacing w:before="1" w:line="221" w:lineRule="auto"/>
        <w:ind w:left="4"/>
        <w:rPr>
          <w:sz w:val="24"/>
          <w:szCs w:val="24"/>
        </w:rPr>
      </w:pPr>
      <w:r>
        <w:rPr>
          <w:rFonts w:ascii="Times New Roman" w:hAnsi="Times New Roman" w:eastAsia="Times New Roman" w:cs="Times New Roman"/>
          <w:b/>
          <w:bCs/>
          <w:spacing w:val="-2"/>
          <w:sz w:val="24"/>
          <w:szCs w:val="24"/>
        </w:rPr>
        <w:t xml:space="preserve">5.5  </w:t>
      </w:r>
      <w:r>
        <w:rPr>
          <w:b/>
          <w:bCs/>
          <w:spacing w:val="-2"/>
          <w:sz w:val="24"/>
          <w:szCs w:val="24"/>
        </w:rPr>
        <w:t>质量争议检测</w:t>
      </w:r>
    </w:p>
    <w:p w14:paraId="1C532403">
      <w:pPr>
        <w:spacing w:before="139" w:line="369" w:lineRule="auto"/>
        <w:ind w:left="6" w:right="52" w:firstLine="419"/>
        <w:rPr>
          <w:rFonts w:ascii="宋体" w:hAnsi="宋体" w:eastAsia="宋体" w:cs="宋体"/>
          <w:sz w:val="20"/>
          <w:szCs w:val="20"/>
        </w:rPr>
      </w:pPr>
      <w:r>
        <w:rPr>
          <w:rFonts w:ascii="宋体" w:hAnsi="宋体" w:eastAsia="宋体" w:cs="宋体"/>
          <w:spacing w:val="9"/>
          <w:sz w:val="20"/>
          <w:szCs w:val="20"/>
        </w:rPr>
        <w:t>合同当事人对工程质量有争议的，</w:t>
      </w:r>
      <w:r>
        <w:rPr>
          <w:rFonts w:ascii="宋体" w:hAnsi="宋体" w:eastAsia="宋体" w:cs="宋体"/>
          <w:spacing w:val="-58"/>
          <w:sz w:val="20"/>
          <w:szCs w:val="20"/>
        </w:rPr>
        <w:t xml:space="preserve"> </w:t>
      </w:r>
      <w:r>
        <w:rPr>
          <w:rFonts w:ascii="宋体" w:hAnsi="宋体" w:eastAsia="宋体" w:cs="宋体"/>
          <w:spacing w:val="9"/>
          <w:sz w:val="20"/>
          <w:szCs w:val="20"/>
        </w:rPr>
        <w:t>由双方协商确定的工程质量</w:t>
      </w:r>
      <w:r>
        <w:rPr>
          <w:rFonts w:ascii="宋体" w:hAnsi="宋体" w:eastAsia="宋体" w:cs="宋体"/>
          <w:spacing w:val="8"/>
          <w:sz w:val="20"/>
          <w:szCs w:val="20"/>
        </w:rPr>
        <w:t>检测机构鉴定，由此产生的费</w:t>
      </w:r>
      <w:r>
        <w:rPr>
          <w:rFonts w:ascii="宋体" w:hAnsi="宋体" w:eastAsia="宋体" w:cs="宋体"/>
          <w:spacing w:val="6"/>
          <w:sz w:val="20"/>
          <w:szCs w:val="20"/>
        </w:rPr>
        <w:t>用及因此造成的损失，</w:t>
      </w:r>
      <w:r>
        <w:rPr>
          <w:rFonts w:ascii="宋体" w:hAnsi="宋体" w:eastAsia="宋体" w:cs="宋体"/>
          <w:spacing w:val="-56"/>
          <w:sz w:val="20"/>
          <w:szCs w:val="20"/>
        </w:rPr>
        <w:t xml:space="preserve"> </w:t>
      </w:r>
      <w:r>
        <w:rPr>
          <w:rFonts w:ascii="宋体" w:hAnsi="宋体" w:eastAsia="宋体" w:cs="宋体"/>
          <w:spacing w:val="6"/>
          <w:sz w:val="20"/>
          <w:szCs w:val="20"/>
        </w:rPr>
        <w:t>由责任方承担。</w:t>
      </w:r>
    </w:p>
    <w:p w14:paraId="305B84E6">
      <w:pPr>
        <w:spacing w:before="1" w:line="227" w:lineRule="auto"/>
        <w:ind w:left="425"/>
        <w:rPr>
          <w:rFonts w:ascii="宋体" w:hAnsi="宋体" w:eastAsia="宋体" w:cs="宋体"/>
          <w:sz w:val="20"/>
          <w:szCs w:val="20"/>
        </w:rPr>
      </w:pPr>
      <w:r>
        <w:rPr>
          <w:rFonts w:ascii="宋体" w:hAnsi="宋体" w:eastAsia="宋体" w:cs="宋体"/>
          <w:spacing w:val="10"/>
          <w:sz w:val="20"/>
          <w:szCs w:val="20"/>
        </w:rPr>
        <w:t>合同当事人均有责任的，由双方根据其责任分别承担。合同当</w:t>
      </w:r>
      <w:r>
        <w:rPr>
          <w:rFonts w:ascii="宋体" w:hAnsi="宋体" w:eastAsia="宋体" w:cs="宋体"/>
          <w:spacing w:val="9"/>
          <w:sz w:val="20"/>
          <w:szCs w:val="20"/>
        </w:rPr>
        <w:t>事人无法达成一致的，按照第</w:t>
      </w:r>
    </w:p>
    <w:p w14:paraId="782DFAFE">
      <w:pPr>
        <w:spacing w:before="154" w:line="228" w:lineRule="auto"/>
        <w:rPr>
          <w:rFonts w:ascii="宋体" w:hAnsi="宋体" w:eastAsia="宋体" w:cs="宋体"/>
          <w:sz w:val="20"/>
          <w:szCs w:val="20"/>
        </w:rPr>
      </w:pPr>
      <w:r>
        <w:rPr>
          <w:rFonts w:ascii="Times New Roman" w:hAnsi="Times New Roman" w:eastAsia="Times New Roman" w:cs="Times New Roman"/>
          <w:spacing w:val="7"/>
          <w:sz w:val="20"/>
          <w:szCs w:val="20"/>
        </w:rPr>
        <w:t xml:space="preserve">4.4 </w:t>
      </w:r>
      <w:r>
        <w:rPr>
          <w:rFonts w:ascii="宋体" w:hAnsi="宋体" w:eastAsia="宋体" w:cs="宋体"/>
          <w:spacing w:val="7"/>
          <w:sz w:val="20"/>
          <w:szCs w:val="20"/>
        </w:rPr>
        <w:t>款〔商定或确定〕执行。</w:t>
      </w:r>
    </w:p>
    <w:p w14:paraId="38207EE2">
      <w:pPr>
        <w:pStyle w:val="2"/>
        <w:spacing w:before="190" w:line="222" w:lineRule="auto"/>
        <w:ind w:left="7"/>
        <w:outlineLvl w:val="2"/>
        <w:rPr>
          <w:sz w:val="28"/>
          <w:szCs w:val="28"/>
        </w:rPr>
      </w:pPr>
      <w:bookmarkStart w:id="268" w:name="bookmark250"/>
      <w:bookmarkEnd w:id="268"/>
      <w:r>
        <w:rPr>
          <w:rFonts w:ascii="Times New Roman" w:hAnsi="Times New Roman" w:eastAsia="Times New Roman" w:cs="Times New Roman"/>
          <w:b/>
          <w:bCs/>
          <w:spacing w:val="-3"/>
          <w:sz w:val="28"/>
          <w:szCs w:val="28"/>
        </w:rPr>
        <w:t xml:space="preserve">6.  </w:t>
      </w:r>
      <w:r>
        <w:rPr>
          <w:b/>
          <w:bCs/>
          <w:spacing w:val="-3"/>
          <w:sz w:val="28"/>
          <w:szCs w:val="28"/>
        </w:rPr>
        <w:t>安全文明施工与环境保护</w:t>
      </w:r>
    </w:p>
    <w:p w14:paraId="2758C4B6">
      <w:pPr>
        <w:pStyle w:val="2"/>
        <w:spacing w:before="99" w:line="221" w:lineRule="auto"/>
        <w:ind w:left="5"/>
        <w:rPr>
          <w:sz w:val="24"/>
          <w:szCs w:val="24"/>
        </w:rPr>
      </w:pPr>
      <w:r>
        <w:rPr>
          <w:rFonts w:ascii="Times New Roman" w:hAnsi="Times New Roman" w:eastAsia="Times New Roman" w:cs="Times New Roman"/>
          <w:b/>
          <w:bCs/>
          <w:spacing w:val="-5"/>
          <w:sz w:val="24"/>
          <w:szCs w:val="24"/>
        </w:rPr>
        <w:t>6.1</w:t>
      </w:r>
      <w:r>
        <w:rPr>
          <w:rFonts w:ascii="Times New Roman" w:hAnsi="Times New Roman" w:eastAsia="Times New Roman" w:cs="Times New Roman"/>
          <w:b/>
          <w:bCs/>
          <w:spacing w:val="24"/>
          <w:w w:val="101"/>
          <w:sz w:val="24"/>
          <w:szCs w:val="24"/>
        </w:rPr>
        <w:t xml:space="preserve"> </w:t>
      </w:r>
      <w:r>
        <w:rPr>
          <w:b/>
          <w:bCs/>
          <w:spacing w:val="-5"/>
          <w:sz w:val="24"/>
          <w:szCs w:val="24"/>
        </w:rPr>
        <w:t>安全文明施工</w:t>
      </w:r>
    </w:p>
    <w:p w14:paraId="204A4FD0">
      <w:pPr>
        <w:spacing w:before="138" w:line="228" w:lineRule="auto"/>
        <w:ind w:left="425"/>
        <w:rPr>
          <w:rFonts w:ascii="宋体" w:hAnsi="宋体" w:eastAsia="宋体" w:cs="宋体"/>
          <w:sz w:val="20"/>
          <w:szCs w:val="20"/>
        </w:rPr>
      </w:pPr>
      <w:r>
        <w:rPr>
          <w:rFonts w:ascii="Times New Roman" w:hAnsi="Times New Roman" w:eastAsia="Times New Roman" w:cs="Times New Roman"/>
          <w:sz w:val="20"/>
          <w:szCs w:val="20"/>
        </w:rPr>
        <w:t>6.</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z w:val="20"/>
          <w:szCs w:val="20"/>
        </w:rPr>
        <w:t>1</w:t>
      </w:r>
      <w:r>
        <w:rPr>
          <w:rFonts w:ascii="Times New Roman" w:hAnsi="Times New Roman" w:eastAsia="Times New Roman" w:cs="Times New Roman"/>
          <w:spacing w:val="14"/>
          <w:w w:val="101"/>
          <w:sz w:val="20"/>
          <w:szCs w:val="20"/>
        </w:rPr>
        <w:t xml:space="preserve"> </w:t>
      </w:r>
      <w:r>
        <w:rPr>
          <w:rFonts w:ascii="宋体" w:hAnsi="宋体" w:eastAsia="宋体" w:cs="宋体"/>
          <w:sz w:val="20"/>
          <w:szCs w:val="20"/>
        </w:rPr>
        <w:t>安全生产要求</w:t>
      </w:r>
    </w:p>
    <w:p w14:paraId="7452CF09">
      <w:pPr>
        <w:spacing w:before="155" w:line="369" w:lineRule="auto"/>
        <w:ind w:left="5" w:right="52" w:firstLine="420"/>
        <w:rPr>
          <w:rFonts w:ascii="宋体" w:hAnsi="宋体" w:eastAsia="宋体" w:cs="宋体"/>
          <w:sz w:val="20"/>
          <w:szCs w:val="20"/>
        </w:rPr>
      </w:pPr>
      <w:r>
        <w:rPr>
          <w:rFonts w:ascii="宋体" w:hAnsi="宋体" w:eastAsia="宋体" w:cs="宋体"/>
          <w:spacing w:val="10"/>
          <w:sz w:val="20"/>
          <w:szCs w:val="20"/>
        </w:rPr>
        <w:t>合同履行期间，合同当事人均应当遵守国家和工程所在地有关安全</w:t>
      </w:r>
      <w:r>
        <w:rPr>
          <w:rFonts w:ascii="宋体" w:hAnsi="宋体" w:eastAsia="宋体" w:cs="宋体"/>
          <w:spacing w:val="9"/>
          <w:sz w:val="20"/>
          <w:szCs w:val="20"/>
        </w:rPr>
        <w:t>生产的要求，合同当事人</w:t>
      </w:r>
      <w:r>
        <w:rPr>
          <w:rFonts w:ascii="宋体" w:hAnsi="宋体" w:eastAsia="宋体" w:cs="宋体"/>
          <w:spacing w:val="10"/>
          <w:sz w:val="20"/>
          <w:szCs w:val="20"/>
        </w:rPr>
        <w:t>有特别要求的，应在专用合同条款中明确施工项目安全生产标准化达标</w:t>
      </w:r>
      <w:r>
        <w:rPr>
          <w:rFonts w:ascii="宋体" w:hAnsi="宋体" w:eastAsia="宋体" w:cs="宋体"/>
          <w:spacing w:val="9"/>
          <w:sz w:val="20"/>
          <w:szCs w:val="20"/>
        </w:rPr>
        <w:t>目标及相应事项。承包人有权拒绝发包人及监理人强令承包人违章作业、冒险施工的任何指示。</w:t>
      </w:r>
    </w:p>
    <w:p w14:paraId="112EA92A">
      <w:pPr>
        <w:spacing w:before="1" w:line="369" w:lineRule="auto"/>
        <w:ind w:left="6" w:right="52" w:firstLine="417"/>
        <w:jc w:val="both"/>
        <w:rPr>
          <w:rFonts w:ascii="宋体" w:hAnsi="宋体" w:eastAsia="宋体" w:cs="宋体"/>
          <w:sz w:val="20"/>
          <w:szCs w:val="20"/>
        </w:rPr>
      </w:pPr>
      <w:r>
        <w:rPr>
          <w:rFonts w:ascii="宋体" w:hAnsi="宋体" w:eastAsia="宋体" w:cs="宋体"/>
          <w:spacing w:val="10"/>
          <w:sz w:val="20"/>
          <w:szCs w:val="20"/>
        </w:rPr>
        <w:t>在施工过程中，如遇到突发的地质变动、事先未知的地下施工障碍等影</w:t>
      </w:r>
      <w:r>
        <w:rPr>
          <w:rFonts w:ascii="宋体" w:hAnsi="宋体" w:eastAsia="宋体" w:cs="宋体"/>
          <w:spacing w:val="9"/>
          <w:sz w:val="20"/>
          <w:szCs w:val="20"/>
        </w:rPr>
        <w:t>响施工安全的紧急情</w:t>
      </w:r>
      <w:r>
        <w:rPr>
          <w:rFonts w:ascii="宋体" w:hAnsi="宋体" w:eastAsia="宋体" w:cs="宋体"/>
          <w:spacing w:val="10"/>
          <w:sz w:val="20"/>
          <w:szCs w:val="20"/>
        </w:rPr>
        <w:t>况，承包人应及时报告监理人和发包人，发包人应当及时下令停工并报</w:t>
      </w:r>
      <w:r>
        <w:rPr>
          <w:rFonts w:ascii="宋体" w:hAnsi="宋体" w:eastAsia="宋体" w:cs="宋体"/>
          <w:spacing w:val="9"/>
          <w:sz w:val="20"/>
          <w:szCs w:val="20"/>
        </w:rPr>
        <w:t>政府有关行政管理部门采</w:t>
      </w:r>
      <w:r>
        <w:rPr>
          <w:rFonts w:ascii="宋体" w:hAnsi="宋体" w:eastAsia="宋体" w:cs="宋体"/>
          <w:spacing w:val="6"/>
          <w:sz w:val="20"/>
          <w:szCs w:val="20"/>
        </w:rPr>
        <w:t>取应急措施。</w:t>
      </w:r>
    </w:p>
    <w:p w14:paraId="3330E3CC">
      <w:pPr>
        <w:spacing w:line="227" w:lineRule="auto"/>
        <w:ind w:left="441"/>
        <w:rPr>
          <w:rFonts w:ascii="宋体" w:hAnsi="宋体" w:eastAsia="宋体" w:cs="宋体"/>
          <w:sz w:val="20"/>
          <w:szCs w:val="20"/>
        </w:rPr>
      </w:pPr>
      <w:r>
        <w:rPr>
          <w:rFonts w:ascii="宋体" w:hAnsi="宋体" w:eastAsia="宋体" w:cs="宋体"/>
          <w:spacing w:val="8"/>
          <w:sz w:val="20"/>
          <w:szCs w:val="20"/>
        </w:rPr>
        <w:t>因安全生产需要暂停施工的，按照第</w:t>
      </w:r>
      <w:r>
        <w:rPr>
          <w:rFonts w:ascii="宋体" w:hAnsi="宋体" w:eastAsia="宋体" w:cs="宋体"/>
          <w:spacing w:val="-37"/>
          <w:sz w:val="20"/>
          <w:szCs w:val="20"/>
        </w:rPr>
        <w:t xml:space="preserve"> </w:t>
      </w:r>
      <w:r>
        <w:rPr>
          <w:rFonts w:ascii="Times New Roman" w:hAnsi="Times New Roman" w:eastAsia="Times New Roman" w:cs="Times New Roman"/>
          <w:spacing w:val="8"/>
          <w:sz w:val="20"/>
          <w:szCs w:val="20"/>
        </w:rPr>
        <w:t xml:space="preserve">7.8 </w:t>
      </w:r>
      <w:r>
        <w:rPr>
          <w:rFonts w:ascii="宋体" w:hAnsi="宋体" w:eastAsia="宋体" w:cs="宋体"/>
          <w:spacing w:val="8"/>
          <w:sz w:val="20"/>
          <w:szCs w:val="20"/>
        </w:rPr>
        <w:t>款〔暂停施</w:t>
      </w:r>
      <w:r>
        <w:rPr>
          <w:rFonts w:ascii="宋体" w:hAnsi="宋体" w:eastAsia="宋体" w:cs="宋体"/>
          <w:spacing w:val="7"/>
          <w:sz w:val="20"/>
          <w:szCs w:val="20"/>
        </w:rPr>
        <w:t>工〕的约定执行。</w:t>
      </w:r>
    </w:p>
    <w:p w14:paraId="40FA4D14">
      <w:pPr>
        <w:spacing w:before="154" w:line="228" w:lineRule="auto"/>
        <w:ind w:left="425"/>
        <w:rPr>
          <w:rFonts w:ascii="宋体" w:hAnsi="宋体" w:eastAsia="宋体" w:cs="宋体"/>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4"/>
          <w:sz w:val="20"/>
          <w:szCs w:val="20"/>
        </w:rPr>
        <w:t xml:space="preserve">1.2  </w:t>
      </w:r>
      <w:r>
        <w:rPr>
          <w:rFonts w:ascii="宋体" w:hAnsi="宋体" w:eastAsia="宋体" w:cs="宋体"/>
          <w:spacing w:val="4"/>
          <w:sz w:val="20"/>
          <w:szCs w:val="20"/>
        </w:rPr>
        <w:t>安全生产保证措施</w:t>
      </w:r>
    </w:p>
    <w:p w14:paraId="23BCA47E">
      <w:pPr>
        <w:spacing w:before="153" w:line="369" w:lineRule="auto"/>
        <w:ind w:left="5" w:right="52" w:firstLine="419"/>
        <w:rPr>
          <w:rFonts w:ascii="宋体" w:hAnsi="宋体" w:eastAsia="宋体" w:cs="宋体"/>
          <w:sz w:val="20"/>
          <w:szCs w:val="20"/>
        </w:rPr>
      </w:pPr>
      <w:r>
        <w:rPr>
          <w:rFonts w:ascii="宋体" w:hAnsi="宋体" w:eastAsia="宋体" w:cs="宋体"/>
          <w:spacing w:val="10"/>
          <w:sz w:val="20"/>
          <w:szCs w:val="20"/>
        </w:rPr>
        <w:t>承包人应当按照有关规定编制安全技术措施或者专项施工方案，建立</w:t>
      </w:r>
      <w:r>
        <w:rPr>
          <w:rFonts w:ascii="宋体" w:hAnsi="宋体" w:eastAsia="宋体" w:cs="宋体"/>
          <w:spacing w:val="9"/>
          <w:sz w:val="20"/>
          <w:szCs w:val="20"/>
        </w:rPr>
        <w:t>安全生产责任制度、治</w:t>
      </w:r>
      <w:r>
        <w:rPr>
          <w:rFonts w:ascii="宋体" w:hAnsi="宋体" w:eastAsia="宋体" w:cs="宋体"/>
          <w:spacing w:val="10"/>
          <w:sz w:val="20"/>
          <w:szCs w:val="20"/>
        </w:rPr>
        <w:t>安保卫制度及安全生产教育培训制度，并按安全生产法律规定及合同约定</w:t>
      </w:r>
      <w:r>
        <w:rPr>
          <w:rFonts w:ascii="宋体" w:hAnsi="宋体" w:eastAsia="宋体" w:cs="宋体"/>
          <w:spacing w:val="9"/>
          <w:sz w:val="20"/>
          <w:szCs w:val="20"/>
        </w:rPr>
        <w:t>履行安全职责，如实编制工程安全生产的有关记录，接受发包人、监理人及政府安全监督部门的检查与监督。</w:t>
      </w:r>
    </w:p>
    <w:p w14:paraId="1EDCB804">
      <w:pPr>
        <w:spacing w:line="227" w:lineRule="auto"/>
        <w:ind w:left="425"/>
        <w:rPr>
          <w:rFonts w:ascii="宋体" w:hAnsi="宋体" w:eastAsia="宋体" w:cs="宋体"/>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4"/>
          <w:sz w:val="20"/>
          <w:szCs w:val="20"/>
        </w:rPr>
        <w:t xml:space="preserve">1.3 </w:t>
      </w:r>
      <w:r>
        <w:rPr>
          <w:rFonts w:ascii="宋体" w:hAnsi="宋体" w:eastAsia="宋体" w:cs="宋体"/>
          <w:spacing w:val="4"/>
          <w:sz w:val="20"/>
          <w:szCs w:val="20"/>
        </w:rPr>
        <w:t>特别安全生产事项</w:t>
      </w:r>
    </w:p>
    <w:p w14:paraId="2F4F3A63">
      <w:pPr>
        <w:spacing w:before="153" w:line="370" w:lineRule="auto"/>
        <w:ind w:left="3" w:right="52" w:firstLine="420"/>
        <w:rPr>
          <w:rFonts w:ascii="宋体" w:hAnsi="宋体" w:eastAsia="宋体" w:cs="宋体"/>
          <w:sz w:val="20"/>
          <w:szCs w:val="20"/>
        </w:rPr>
      </w:pPr>
      <w:r>
        <w:rPr>
          <w:rFonts w:ascii="宋体" w:hAnsi="宋体" w:eastAsia="宋体" w:cs="宋体"/>
          <w:spacing w:val="10"/>
          <w:sz w:val="20"/>
          <w:szCs w:val="20"/>
        </w:rPr>
        <w:t>承包人应按照法律规定进行施工，开工前做好安全技术交底工作，施</w:t>
      </w:r>
      <w:r>
        <w:rPr>
          <w:rFonts w:ascii="宋体" w:hAnsi="宋体" w:eastAsia="宋体" w:cs="宋体"/>
          <w:spacing w:val="9"/>
          <w:sz w:val="20"/>
          <w:szCs w:val="20"/>
        </w:rPr>
        <w:t>工过程中做好各项安全</w:t>
      </w:r>
      <w:r>
        <w:rPr>
          <w:rFonts w:ascii="宋体" w:hAnsi="宋体" w:eastAsia="宋体" w:cs="宋体"/>
          <w:spacing w:val="10"/>
          <w:sz w:val="20"/>
          <w:szCs w:val="20"/>
        </w:rPr>
        <w:t>防护措施。承包人为实施合同而雇用的特殊工种的人员应受过专门的培训并</w:t>
      </w:r>
      <w:r>
        <w:rPr>
          <w:rFonts w:ascii="宋体" w:hAnsi="宋体" w:eastAsia="宋体" w:cs="宋体"/>
          <w:spacing w:val="9"/>
          <w:sz w:val="20"/>
          <w:szCs w:val="20"/>
        </w:rPr>
        <w:t>已取得政府有关管理</w:t>
      </w:r>
      <w:r>
        <w:rPr>
          <w:rFonts w:ascii="宋体" w:hAnsi="宋体" w:eastAsia="宋体" w:cs="宋体"/>
          <w:spacing w:val="8"/>
          <w:sz w:val="20"/>
          <w:szCs w:val="20"/>
        </w:rPr>
        <w:t>机构颁发的上岗证书。</w:t>
      </w:r>
    </w:p>
    <w:p w14:paraId="21E1A3BA">
      <w:pPr>
        <w:spacing w:line="370" w:lineRule="auto"/>
        <w:rPr>
          <w:rFonts w:ascii="宋体" w:hAnsi="宋体" w:eastAsia="宋体" w:cs="宋体"/>
          <w:sz w:val="20"/>
          <w:szCs w:val="20"/>
        </w:rPr>
        <w:sectPr>
          <w:footerReference r:id="rId250" w:type="default"/>
          <w:pgSz w:w="11906" w:h="16839"/>
          <w:pgMar w:top="400" w:right="1502" w:bottom="1038" w:left="1534" w:header="0" w:footer="787" w:gutter="0"/>
          <w:cols w:space="720" w:num="1"/>
        </w:sectPr>
      </w:pPr>
    </w:p>
    <w:p w14:paraId="1CD0A8CF">
      <w:pPr>
        <w:spacing w:line="271" w:lineRule="auto"/>
        <w:rPr>
          <w:rFonts w:ascii="Arial"/>
          <w:sz w:val="21"/>
        </w:rPr>
      </w:pPr>
    </w:p>
    <w:p w14:paraId="1E6E1500">
      <w:pPr>
        <w:spacing w:line="271" w:lineRule="auto"/>
        <w:rPr>
          <w:rFonts w:ascii="Arial"/>
          <w:sz w:val="21"/>
        </w:rPr>
      </w:pPr>
    </w:p>
    <w:p w14:paraId="239406E6">
      <w:pPr>
        <w:spacing w:line="272" w:lineRule="auto"/>
        <w:rPr>
          <w:rFonts w:ascii="Arial"/>
          <w:sz w:val="21"/>
        </w:rPr>
      </w:pPr>
    </w:p>
    <w:p w14:paraId="3537792E">
      <w:pPr>
        <w:spacing w:line="272" w:lineRule="auto"/>
        <w:rPr>
          <w:rFonts w:ascii="Arial"/>
          <w:sz w:val="21"/>
        </w:rPr>
      </w:pPr>
    </w:p>
    <w:p w14:paraId="3D3DC73B">
      <w:pPr>
        <w:spacing w:before="65" w:line="369" w:lineRule="auto"/>
        <w:ind w:left="17" w:right="54" w:firstLine="403"/>
        <w:rPr>
          <w:rFonts w:ascii="宋体" w:hAnsi="宋体" w:eastAsia="宋体" w:cs="宋体"/>
          <w:sz w:val="20"/>
          <w:szCs w:val="20"/>
        </w:rPr>
      </w:pPr>
      <w:r>
        <w:rPr>
          <w:rFonts w:ascii="宋体" w:hAnsi="宋体" w:eastAsia="宋体" w:cs="宋体"/>
          <w:spacing w:val="10"/>
          <w:sz w:val="20"/>
          <w:szCs w:val="20"/>
        </w:rPr>
        <w:t>承包人在动力设备、输电线路、地下管道、密封防震车间、易燃易爆</w:t>
      </w:r>
      <w:r>
        <w:rPr>
          <w:rFonts w:ascii="宋体" w:hAnsi="宋体" w:eastAsia="宋体" w:cs="宋体"/>
          <w:spacing w:val="9"/>
          <w:sz w:val="20"/>
          <w:szCs w:val="20"/>
        </w:rPr>
        <w:t>地段以及临街交通要道附近施工时，施工开始前应向发包人和监理人提出安全防护措施，经发包人认可后实施。</w:t>
      </w:r>
    </w:p>
    <w:p w14:paraId="4EE47A88">
      <w:pPr>
        <w:spacing w:line="369" w:lineRule="auto"/>
        <w:ind w:right="54" w:firstLine="425"/>
        <w:jc w:val="both"/>
        <w:rPr>
          <w:rFonts w:ascii="宋体" w:hAnsi="宋体" w:eastAsia="宋体" w:cs="宋体"/>
          <w:sz w:val="20"/>
          <w:szCs w:val="20"/>
        </w:rPr>
      </w:pPr>
      <w:r>
        <w:rPr>
          <w:rFonts w:ascii="宋体" w:hAnsi="宋体" w:eastAsia="宋体" w:cs="宋体"/>
          <w:spacing w:val="10"/>
          <w:sz w:val="20"/>
          <w:szCs w:val="20"/>
        </w:rPr>
        <w:t>实施爆破作业，在放射、毒害性环境中施工（含储存、运</w:t>
      </w:r>
      <w:r>
        <w:rPr>
          <w:rFonts w:ascii="宋体" w:hAnsi="宋体" w:eastAsia="宋体" w:cs="宋体"/>
          <w:spacing w:val="9"/>
          <w:sz w:val="20"/>
          <w:szCs w:val="20"/>
        </w:rPr>
        <w:t>输、使用）及使用毒害性、腐蚀性物品施工时，承包人应在施工前</w:t>
      </w:r>
      <w:r>
        <w:rPr>
          <w:rFonts w:ascii="宋体" w:hAnsi="宋体" w:eastAsia="宋体" w:cs="宋体"/>
          <w:spacing w:val="-27"/>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天以书面通知发包人和监理人，并报送相应的安全防护措施，</w:t>
      </w:r>
      <w:r>
        <w:rPr>
          <w:rFonts w:ascii="宋体" w:hAnsi="宋体" w:eastAsia="宋体" w:cs="宋体"/>
          <w:spacing w:val="8"/>
          <w:sz w:val="20"/>
          <w:szCs w:val="20"/>
        </w:rPr>
        <w:t>经发包人认可后实施。</w:t>
      </w:r>
    </w:p>
    <w:p w14:paraId="561D0EBA">
      <w:pPr>
        <w:spacing w:before="1" w:line="368" w:lineRule="auto"/>
        <w:ind w:left="17" w:right="54" w:firstLine="414"/>
        <w:rPr>
          <w:rFonts w:ascii="宋体" w:hAnsi="宋体" w:eastAsia="宋体" w:cs="宋体"/>
          <w:sz w:val="20"/>
          <w:szCs w:val="20"/>
        </w:rPr>
      </w:pPr>
      <w:r>
        <w:rPr>
          <w:rFonts w:ascii="宋体" w:hAnsi="宋体" w:eastAsia="宋体" w:cs="宋体"/>
          <w:spacing w:val="10"/>
          <w:sz w:val="20"/>
          <w:szCs w:val="20"/>
        </w:rPr>
        <w:t>需单独编制危险性较大分部分项专项工程施</w:t>
      </w:r>
      <w:r>
        <w:rPr>
          <w:rFonts w:ascii="宋体" w:hAnsi="宋体" w:eastAsia="宋体" w:cs="宋体"/>
          <w:spacing w:val="9"/>
          <w:sz w:val="20"/>
          <w:szCs w:val="20"/>
        </w:rPr>
        <w:t>工方案的，及要求进行专家论证的超过一定规模</w:t>
      </w:r>
      <w:r>
        <w:rPr>
          <w:rFonts w:ascii="宋体" w:hAnsi="宋体" w:eastAsia="宋体" w:cs="宋体"/>
          <w:spacing w:val="8"/>
          <w:sz w:val="20"/>
          <w:szCs w:val="20"/>
        </w:rPr>
        <w:t>的危险性较大的分部分项工程，承包人应及时编制和组织论证。</w:t>
      </w:r>
    </w:p>
    <w:p w14:paraId="7CD08148">
      <w:pPr>
        <w:spacing w:before="1" w:line="228" w:lineRule="auto"/>
        <w:ind w:left="421"/>
        <w:rPr>
          <w:rFonts w:ascii="宋体" w:hAnsi="宋体" w:eastAsia="宋体" w:cs="宋体"/>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
          <w:sz w:val="20"/>
          <w:szCs w:val="20"/>
        </w:rPr>
        <w:t>1.4</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治安保卫</w:t>
      </w:r>
    </w:p>
    <w:p w14:paraId="1032635E">
      <w:pPr>
        <w:spacing w:before="153" w:line="369" w:lineRule="auto"/>
        <w:ind w:left="14" w:right="54" w:firstLine="419"/>
        <w:rPr>
          <w:rFonts w:ascii="宋体" w:hAnsi="宋体" w:eastAsia="宋体" w:cs="宋体"/>
          <w:sz w:val="20"/>
          <w:szCs w:val="20"/>
        </w:rPr>
      </w:pPr>
      <w:r>
        <w:rPr>
          <w:rFonts w:ascii="宋体" w:hAnsi="宋体" w:eastAsia="宋体" w:cs="宋体"/>
          <w:spacing w:val="9"/>
          <w:sz w:val="20"/>
          <w:szCs w:val="20"/>
        </w:rPr>
        <w:t>除专用合同条款另有约定外，发包人应与当地公安部门协商，在现场建立治安管理机构或联防组织，统一管理施工场地的治安保卫事项，履行合同工程的治安保卫职责。</w:t>
      </w:r>
    </w:p>
    <w:p w14:paraId="747C4C93">
      <w:pPr>
        <w:spacing w:before="2" w:line="369" w:lineRule="auto"/>
        <w:ind w:right="54" w:firstLine="423"/>
        <w:rPr>
          <w:rFonts w:ascii="宋体" w:hAnsi="宋体" w:eastAsia="宋体" w:cs="宋体"/>
          <w:sz w:val="20"/>
          <w:szCs w:val="20"/>
        </w:rPr>
      </w:pPr>
      <w:r>
        <w:rPr>
          <w:rFonts w:ascii="宋体" w:hAnsi="宋体" w:eastAsia="宋体" w:cs="宋体"/>
          <w:spacing w:val="10"/>
          <w:sz w:val="20"/>
          <w:szCs w:val="20"/>
        </w:rPr>
        <w:t>发包人和承包人除应协助现场治安管理机构或联防组织维护施</w:t>
      </w:r>
      <w:r>
        <w:rPr>
          <w:rFonts w:ascii="宋体" w:hAnsi="宋体" w:eastAsia="宋体" w:cs="宋体"/>
          <w:spacing w:val="9"/>
          <w:sz w:val="20"/>
          <w:szCs w:val="20"/>
        </w:rPr>
        <w:t>工场地的社会治安外，还应做好包括生活区在内的各自管辖区的治安保卫工作。</w:t>
      </w:r>
    </w:p>
    <w:p w14:paraId="267F3C6E">
      <w:pPr>
        <w:spacing w:line="369" w:lineRule="auto"/>
        <w:ind w:right="54" w:firstLine="433"/>
        <w:jc w:val="both"/>
        <w:rPr>
          <w:rFonts w:ascii="宋体" w:hAnsi="宋体" w:eastAsia="宋体" w:cs="宋体"/>
          <w:sz w:val="20"/>
          <w:szCs w:val="20"/>
        </w:rPr>
      </w:pPr>
      <w:r>
        <w:rPr>
          <w:rFonts w:ascii="宋体" w:hAnsi="宋体" w:eastAsia="宋体" w:cs="宋体"/>
          <w:spacing w:val="9"/>
          <w:sz w:val="20"/>
          <w:szCs w:val="20"/>
        </w:rPr>
        <w:t>除专用合同条款另有约定外，发包人和承包人应在工程开工后</w:t>
      </w:r>
      <w:r>
        <w:rPr>
          <w:rFonts w:ascii="宋体" w:hAnsi="宋体" w:eastAsia="宋体" w:cs="宋体"/>
          <w:spacing w:val="-39"/>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天内共</w:t>
      </w:r>
      <w:r>
        <w:rPr>
          <w:rFonts w:ascii="宋体" w:hAnsi="宋体" w:eastAsia="宋体" w:cs="宋体"/>
          <w:spacing w:val="8"/>
          <w:sz w:val="20"/>
          <w:szCs w:val="20"/>
        </w:rPr>
        <w:t>同编制施工场地治安</w:t>
      </w:r>
      <w:r>
        <w:rPr>
          <w:rFonts w:ascii="宋体" w:hAnsi="宋体" w:eastAsia="宋体" w:cs="宋体"/>
          <w:spacing w:val="10"/>
          <w:sz w:val="20"/>
          <w:szCs w:val="20"/>
        </w:rPr>
        <w:t>管理计划，并制定应对突发治安事件的紧急预案。在工程施工过程中，发生</w:t>
      </w:r>
      <w:r>
        <w:rPr>
          <w:rFonts w:ascii="宋体" w:hAnsi="宋体" w:eastAsia="宋体" w:cs="宋体"/>
          <w:spacing w:val="9"/>
          <w:sz w:val="20"/>
          <w:szCs w:val="20"/>
        </w:rPr>
        <w:t>暴乱、爆炸等恐怖事</w:t>
      </w:r>
      <w:r>
        <w:rPr>
          <w:rFonts w:ascii="宋体" w:hAnsi="宋体" w:eastAsia="宋体" w:cs="宋体"/>
          <w:spacing w:val="10"/>
          <w:sz w:val="20"/>
          <w:szCs w:val="20"/>
        </w:rPr>
        <w:t>件，以及群殴、械斗等群体性突发治安事件的，发包人和承包人应立即向当</w:t>
      </w:r>
      <w:r>
        <w:rPr>
          <w:rFonts w:ascii="宋体" w:hAnsi="宋体" w:eastAsia="宋体" w:cs="宋体"/>
          <w:spacing w:val="9"/>
          <w:sz w:val="20"/>
          <w:szCs w:val="20"/>
        </w:rPr>
        <w:t>地政府报告。发包人</w:t>
      </w:r>
      <w:r>
        <w:rPr>
          <w:rFonts w:ascii="宋体" w:hAnsi="宋体" w:eastAsia="宋体" w:cs="宋体"/>
          <w:spacing w:val="10"/>
          <w:sz w:val="20"/>
          <w:szCs w:val="20"/>
        </w:rPr>
        <w:t>和承包人应积极协助当地有关部门采取措施平息事态，防止事态扩大，尽量</w:t>
      </w:r>
      <w:r>
        <w:rPr>
          <w:rFonts w:ascii="宋体" w:hAnsi="宋体" w:eastAsia="宋体" w:cs="宋体"/>
          <w:spacing w:val="9"/>
          <w:sz w:val="20"/>
          <w:szCs w:val="20"/>
        </w:rPr>
        <w:t>避免人员伤亡和财产</w:t>
      </w:r>
      <w:r>
        <w:rPr>
          <w:rFonts w:ascii="宋体" w:hAnsi="宋体" w:eastAsia="宋体" w:cs="宋体"/>
          <w:spacing w:val="3"/>
          <w:sz w:val="20"/>
          <w:szCs w:val="20"/>
        </w:rPr>
        <w:t>损失。</w:t>
      </w:r>
    </w:p>
    <w:p w14:paraId="1C9E85D0">
      <w:pPr>
        <w:spacing w:before="1" w:line="227" w:lineRule="auto"/>
        <w:ind w:left="421"/>
        <w:rPr>
          <w:rFonts w:ascii="宋体" w:hAnsi="宋体" w:eastAsia="宋体" w:cs="宋体"/>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1"/>
          <w:sz w:val="20"/>
          <w:szCs w:val="20"/>
        </w:rPr>
        <w:t>1.5</w:t>
      </w:r>
      <w:r>
        <w:rPr>
          <w:rFonts w:ascii="Times New Roman" w:hAnsi="Times New Roman" w:eastAsia="Times New Roman" w:cs="Times New Roman"/>
          <w:spacing w:val="7"/>
          <w:sz w:val="20"/>
          <w:szCs w:val="20"/>
        </w:rPr>
        <w:t xml:space="preserve">  </w:t>
      </w:r>
      <w:r>
        <w:rPr>
          <w:rFonts w:ascii="宋体" w:hAnsi="宋体" w:eastAsia="宋体" w:cs="宋体"/>
          <w:spacing w:val="1"/>
          <w:sz w:val="20"/>
          <w:szCs w:val="20"/>
        </w:rPr>
        <w:t>文明施工</w:t>
      </w:r>
    </w:p>
    <w:p w14:paraId="526A9D90">
      <w:pPr>
        <w:spacing w:before="155" w:line="369" w:lineRule="auto"/>
        <w:ind w:right="54" w:firstLine="420"/>
        <w:rPr>
          <w:rFonts w:ascii="宋体" w:hAnsi="宋体" w:eastAsia="宋体" w:cs="宋体"/>
          <w:sz w:val="20"/>
          <w:szCs w:val="20"/>
        </w:rPr>
      </w:pPr>
      <w:r>
        <w:rPr>
          <w:rFonts w:ascii="宋体" w:hAnsi="宋体" w:eastAsia="宋体" w:cs="宋体"/>
          <w:spacing w:val="10"/>
          <w:sz w:val="20"/>
          <w:szCs w:val="20"/>
        </w:rPr>
        <w:t>承包人在工程施工期间，应当采取措施保持施工现场平整，物料堆放</w:t>
      </w:r>
      <w:r>
        <w:rPr>
          <w:rFonts w:ascii="宋体" w:hAnsi="宋体" w:eastAsia="宋体" w:cs="宋体"/>
          <w:spacing w:val="9"/>
          <w:sz w:val="20"/>
          <w:szCs w:val="20"/>
        </w:rPr>
        <w:t>整齐。工程所在地有关</w:t>
      </w:r>
      <w:r>
        <w:rPr>
          <w:rFonts w:ascii="宋体" w:hAnsi="宋体" w:eastAsia="宋体" w:cs="宋体"/>
          <w:spacing w:val="10"/>
          <w:sz w:val="20"/>
          <w:szCs w:val="20"/>
        </w:rPr>
        <w:t>政府行政管理部门有特殊要求的，按照其要求执行。合同当事人对文明</w:t>
      </w:r>
      <w:r>
        <w:rPr>
          <w:rFonts w:ascii="宋体" w:hAnsi="宋体" w:eastAsia="宋体" w:cs="宋体"/>
          <w:spacing w:val="9"/>
          <w:sz w:val="20"/>
          <w:szCs w:val="20"/>
        </w:rPr>
        <w:t>施工有其他要求的，可以</w:t>
      </w:r>
      <w:r>
        <w:rPr>
          <w:rFonts w:ascii="宋体" w:hAnsi="宋体" w:eastAsia="宋体" w:cs="宋体"/>
          <w:spacing w:val="8"/>
          <w:sz w:val="20"/>
          <w:szCs w:val="20"/>
        </w:rPr>
        <w:t>在专用合同条款中明确。</w:t>
      </w:r>
    </w:p>
    <w:p w14:paraId="1BCB6B28">
      <w:pPr>
        <w:spacing w:before="1" w:line="369" w:lineRule="auto"/>
        <w:ind w:right="54" w:firstLine="419"/>
        <w:jc w:val="both"/>
        <w:rPr>
          <w:rFonts w:ascii="宋体" w:hAnsi="宋体" w:eastAsia="宋体" w:cs="宋体"/>
          <w:sz w:val="20"/>
          <w:szCs w:val="20"/>
        </w:rPr>
      </w:pPr>
      <w:r>
        <w:rPr>
          <w:rFonts w:ascii="宋体" w:hAnsi="宋体" w:eastAsia="宋体" w:cs="宋体"/>
          <w:spacing w:val="10"/>
          <w:sz w:val="20"/>
          <w:szCs w:val="20"/>
        </w:rPr>
        <w:t>在工程移交之前，承包人应当从施工现场清除承包人的全部工程设备、</w:t>
      </w:r>
      <w:r>
        <w:rPr>
          <w:rFonts w:ascii="宋体" w:hAnsi="宋体" w:eastAsia="宋体" w:cs="宋体"/>
          <w:spacing w:val="9"/>
          <w:sz w:val="20"/>
          <w:szCs w:val="20"/>
        </w:rPr>
        <w:t>多余材料、垃圾和各</w:t>
      </w:r>
      <w:r>
        <w:rPr>
          <w:rFonts w:ascii="宋体" w:hAnsi="宋体" w:eastAsia="宋体" w:cs="宋体"/>
          <w:spacing w:val="10"/>
          <w:sz w:val="20"/>
          <w:szCs w:val="20"/>
        </w:rPr>
        <w:t>种临时工程，并保持施工现场清洁整齐。经发包人书面同意，承包人可在</w:t>
      </w:r>
      <w:r>
        <w:rPr>
          <w:rFonts w:ascii="宋体" w:hAnsi="宋体" w:eastAsia="宋体" w:cs="宋体"/>
          <w:spacing w:val="9"/>
          <w:sz w:val="20"/>
          <w:szCs w:val="20"/>
        </w:rPr>
        <w:t>发包人指定的地点保留承包人履行保修期内的各项义务所需要的材料、施工设备和临时工程。</w:t>
      </w:r>
    </w:p>
    <w:p w14:paraId="704D8F73">
      <w:pPr>
        <w:spacing w:line="227" w:lineRule="auto"/>
        <w:ind w:left="421"/>
        <w:rPr>
          <w:rFonts w:ascii="宋体" w:hAnsi="宋体" w:eastAsia="宋体" w:cs="宋体"/>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4"/>
          <w:sz w:val="20"/>
          <w:szCs w:val="20"/>
        </w:rPr>
        <w:t xml:space="preserve">1.6  </w:t>
      </w:r>
      <w:r>
        <w:rPr>
          <w:rFonts w:ascii="宋体" w:hAnsi="宋体" w:eastAsia="宋体" w:cs="宋体"/>
          <w:spacing w:val="4"/>
          <w:sz w:val="20"/>
          <w:szCs w:val="20"/>
        </w:rPr>
        <w:t>安全文明施工费</w:t>
      </w:r>
    </w:p>
    <w:p w14:paraId="1DEF5044">
      <w:pPr>
        <w:spacing w:before="152" w:line="370" w:lineRule="auto"/>
        <w:ind w:right="54" w:firstLine="424"/>
        <w:rPr>
          <w:rFonts w:ascii="宋体" w:hAnsi="宋体" w:eastAsia="宋体" w:cs="宋体"/>
          <w:sz w:val="20"/>
          <w:szCs w:val="20"/>
        </w:rPr>
      </w:pPr>
      <w:r>
        <w:rPr>
          <w:rFonts w:ascii="宋体" w:hAnsi="宋体" w:eastAsia="宋体" w:cs="宋体"/>
          <w:spacing w:val="10"/>
          <w:sz w:val="20"/>
          <w:szCs w:val="20"/>
        </w:rPr>
        <w:t>安全文明施工费由发包人承担，发包人不得以任何形式扣减</w:t>
      </w:r>
      <w:r>
        <w:rPr>
          <w:rFonts w:ascii="宋体" w:hAnsi="宋体" w:eastAsia="宋体" w:cs="宋体"/>
          <w:spacing w:val="9"/>
          <w:sz w:val="20"/>
          <w:szCs w:val="20"/>
        </w:rPr>
        <w:t>该部分费用。因基准日期后合同所适用的法律或政府有关规定发生变化，增加的安全文明施工费由发包人承担。</w:t>
      </w:r>
    </w:p>
    <w:p w14:paraId="137D231F">
      <w:pPr>
        <w:spacing w:before="1" w:line="369" w:lineRule="auto"/>
        <w:ind w:left="2" w:right="54" w:firstLine="418"/>
        <w:jc w:val="both"/>
        <w:rPr>
          <w:rFonts w:ascii="宋体" w:hAnsi="宋体" w:eastAsia="宋体" w:cs="宋体"/>
          <w:sz w:val="20"/>
          <w:szCs w:val="20"/>
        </w:rPr>
      </w:pPr>
      <w:r>
        <w:rPr>
          <w:rFonts w:ascii="宋体" w:hAnsi="宋体" w:eastAsia="宋体" w:cs="宋体"/>
          <w:spacing w:val="9"/>
          <w:sz w:val="20"/>
          <w:szCs w:val="20"/>
        </w:rPr>
        <w:t>承包人经发包人同意采取合同约定以外的安全措施所产生的费用</w:t>
      </w:r>
      <w:r>
        <w:rPr>
          <w:rFonts w:ascii="宋体" w:hAnsi="宋体" w:eastAsia="宋体" w:cs="宋体"/>
          <w:spacing w:val="8"/>
          <w:sz w:val="20"/>
          <w:szCs w:val="20"/>
        </w:rPr>
        <w:t>，</w:t>
      </w:r>
      <w:r>
        <w:rPr>
          <w:rFonts w:ascii="宋体" w:hAnsi="宋体" w:eastAsia="宋体" w:cs="宋体"/>
          <w:spacing w:val="-58"/>
          <w:sz w:val="20"/>
          <w:szCs w:val="20"/>
        </w:rPr>
        <w:t xml:space="preserve"> </w:t>
      </w:r>
      <w:r>
        <w:rPr>
          <w:rFonts w:ascii="宋体" w:hAnsi="宋体" w:eastAsia="宋体" w:cs="宋体"/>
          <w:spacing w:val="8"/>
          <w:sz w:val="20"/>
          <w:szCs w:val="20"/>
        </w:rPr>
        <w:t>由发包人承担。未经发包</w:t>
      </w:r>
      <w:r>
        <w:rPr>
          <w:rFonts w:ascii="宋体" w:hAnsi="宋体" w:eastAsia="宋体" w:cs="宋体"/>
          <w:spacing w:val="10"/>
          <w:sz w:val="20"/>
          <w:szCs w:val="20"/>
        </w:rPr>
        <w:t>人同意的，如果该措施避免了发包人的损失，则发包人在避免损失的额</w:t>
      </w:r>
      <w:r>
        <w:rPr>
          <w:rFonts w:ascii="宋体" w:hAnsi="宋体" w:eastAsia="宋体" w:cs="宋体"/>
          <w:spacing w:val="9"/>
          <w:sz w:val="20"/>
          <w:szCs w:val="20"/>
        </w:rPr>
        <w:t>度内承担该措施费。如果该措施避免了承包人的损失，由承包人承担该措施费。</w:t>
      </w:r>
    </w:p>
    <w:p w14:paraId="0A5F8566">
      <w:pPr>
        <w:spacing w:before="4" w:line="368" w:lineRule="auto"/>
        <w:ind w:left="1" w:right="54" w:firstLine="431"/>
        <w:jc w:val="both"/>
        <w:rPr>
          <w:rFonts w:ascii="宋体" w:hAnsi="宋体" w:eastAsia="宋体" w:cs="宋体"/>
          <w:sz w:val="20"/>
          <w:szCs w:val="20"/>
        </w:rPr>
      </w:pPr>
      <w:r>
        <w:rPr>
          <w:rFonts w:ascii="宋体" w:hAnsi="宋体" w:eastAsia="宋体" w:cs="宋体"/>
          <w:spacing w:val="10"/>
          <w:sz w:val="20"/>
          <w:szCs w:val="20"/>
        </w:rPr>
        <w:t>除专用合同条款另有约定外，发包人应在开工后</w:t>
      </w:r>
      <w:r>
        <w:rPr>
          <w:rFonts w:ascii="宋体" w:hAnsi="宋体" w:eastAsia="宋体" w:cs="宋体"/>
          <w:spacing w:val="-41"/>
          <w:sz w:val="20"/>
          <w:szCs w:val="20"/>
        </w:rPr>
        <w:t xml:space="preserve"> </w:t>
      </w:r>
      <w:r>
        <w:rPr>
          <w:rFonts w:ascii="Times New Roman" w:hAnsi="Times New Roman" w:eastAsia="Times New Roman" w:cs="Times New Roman"/>
          <w:spacing w:val="10"/>
          <w:sz w:val="20"/>
          <w:szCs w:val="20"/>
        </w:rPr>
        <w:t>28</w:t>
      </w:r>
      <w:r>
        <w:rPr>
          <w:rFonts w:ascii="Times New Roman" w:hAnsi="Times New Roman" w:eastAsia="Times New Roman" w:cs="Times New Roman"/>
          <w:spacing w:val="17"/>
          <w:sz w:val="20"/>
          <w:szCs w:val="20"/>
        </w:rPr>
        <w:t xml:space="preserve"> </w:t>
      </w:r>
      <w:r>
        <w:rPr>
          <w:rFonts w:ascii="宋体" w:hAnsi="宋体" w:eastAsia="宋体" w:cs="宋体"/>
          <w:spacing w:val="9"/>
          <w:sz w:val="20"/>
          <w:szCs w:val="20"/>
        </w:rPr>
        <w:t>天内预付安全文明施工费总额的</w:t>
      </w:r>
      <w:r>
        <w:rPr>
          <w:rFonts w:ascii="宋体" w:hAnsi="宋体" w:eastAsia="宋体" w:cs="宋体"/>
          <w:spacing w:val="-33"/>
          <w:sz w:val="20"/>
          <w:szCs w:val="20"/>
        </w:rPr>
        <w:t xml:space="preserve"> </w:t>
      </w:r>
      <w:r>
        <w:rPr>
          <w:rFonts w:ascii="Times New Roman" w:hAnsi="Times New Roman" w:eastAsia="Times New Roman" w:cs="Times New Roman"/>
          <w:spacing w:val="9"/>
          <w:sz w:val="20"/>
          <w:szCs w:val="20"/>
        </w:rPr>
        <w:t>50%</w:t>
      </w:r>
      <w:r>
        <w:rPr>
          <w:rFonts w:ascii="Times New Roman" w:hAnsi="Times New Roman" w:eastAsia="Times New Roman" w:cs="Times New Roman"/>
          <w:spacing w:val="-23"/>
          <w:sz w:val="20"/>
          <w:szCs w:val="20"/>
        </w:rPr>
        <w:t xml:space="preserve"> </w:t>
      </w:r>
      <w:r>
        <w:rPr>
          <w:rFonts w:ascii="宋体" w:hAnsi="宋体" w:eastAsia="宋体" w:cs="宋体"/>
          <w:spacing w:val="9"/>
          <w:sz w:val="20"/>
          <w:szCs w:val="20"/>
        </w:rPr>
        <w:t>，其余部分与进度款同期支付。发包人逾期支付安全文明施工费超过</w:t>
      </w:r>
      <w:r>
        <w:rPr>
          <w:rFonts w:ascii="宋体" w:hAnsi="宋体" w:eastAsia="宋体" w:cs="宋体"/>
          <w:spacing w:val="-35"/>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9"/>
          <w:sz w:val="20"/>
          <w:szCs w:val="20"/>
        </w:rPr>
        <w:t>天的，承包人有权向发包人发出要求预付的催告通知，发包人收到通知后</w:t>
      </w:r>
      <w:r>
        <w:rPr>
          <w:rFonts w:ascii="宋体" w:hAnsi="宋体" w:eastAsia="宋体" w:cs="宋体"/>
          <w:spacing w:val="-30"/>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天内仍未支付的，承包人有权暂停施工，并按第</w:t>
      </w:r>
      <w:r>
        <w:rPr>
          <w:rFonts w:ascii="Times New Roman" w:hAnsi="Times New Roman" w:eastAsia="Times New Roman" w:cs="Times New Roman"/>
          <w:spacing w:val="5"/>
          <w:sz w:val="20"/>
          <w:szCs w:val="20"/>
        </w:rPr>
        <w:t>16.</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5"/>
          <w:sz w:val="20"/>
          <w:szCs w:val="20"/>
        </w:rPr>
        <w:t xml:space="preserve">1.1 </w:t>
      </w:r>
      <w:r>
        <w:rPr>
          <w:rFonts w:ascii="宋体" w:hAnsi="宋体" w:eastAsia="宋体" w:cs="宋体"/>
          <w:spacing w:val="5"/>
          <w:sz w:val="20"/>
          <w:szCs w:val="20"/>
        </w:rPr>
        <w:t>项〔发包人违约的情形〕执行。</w:t>
      </w:r>
    </w:p>
    <w:p w14:paraId="6ABA5E60">
      <w:pPr>
        <w:spacing w:line="227" w:lineRule="auto"/>
        <w:jc w:val="right"/>
        <w:rPr>
          <w:rFonts w:ascii="宋体" w:hAnsi="宋体" w:eastAsia="宋体" w:cs="宋体"/>
          <w:sz w:val="20"/>
          <w:szCs w:val="20"/>
        </w:rPr>
      </w:pPr>
      <w:r>
        <w:rPr>
          <w:rFonts w:ascii="宋体" w:hAnsi="宋体" w:eastAsia="宋体" w:cs="宋体"/>
          <w:spacing w:val="6"/>
          <w:sz w:val="20"/>
          <w:szCs w:val="20"/>
        </w:rPr>
        <w:t>承包人对安全文明施工费应专款专用，承包人应在财务账目中单独列项备查，不得挪作他用，</w:t>
      </w:r>
    </w:p>
    <w:p w14:paraId="49611C0D">
      <w:pPr>
        <w:spacing w:line="227" w:lineRule="auto"/>
        <w:rPr>
          <w:rFonts w:ascii="宋体" w:hAnsi="宋体" w:eastAsia="宋体" w:cs="宋体"/>
          <w:sz w:val="20"/>
          <w:szCs w:val="20"/>
        </w:rPr>
        <w:sectPr>
          <w:footerReference r:id="rId251" w:type="default"/>
          <w:pgSz w:w="11906" w:h="16839"/>
          <w:pgMar w:top="400" w:right="1500" w:bottom="1038" w:left="1538" w:header="0" w:footer="787" w:gutter="0"/>
          <w:cols w:space="720" w:num="1"/>
        </w:sectPr>
      </w:pPr>
    </w:p>
    <w:p w14:paraId="46496A22">
      <w:pPr>
        <w:spacing w:line="271" w:lineRule="auto"/>
        <w:rPr>
          <w:rFonts w:ascii="Arial"/>
          <w:sz w:val="21"/>
        </w:rPr>
      </w:pPr>
    </w:p>
    <w:p w14:paraId="5B94EF08">
      <w:pPr>
        <w:spacing w:line="272" w:lineRule="auto"/>
        <w:rPr>
          <w:rFonts w:ascii="Arial"/>
          <w:sz w:val="21"/>
        </w:rPr>
      </w:pPr>
    </w:p>
    <w:p w14:paraId="5E051924">
      <w:pPr>
        <w:spacing w:line="272" w:lineRule="auto"/>
        <w:rPr>
          <w:rFonts w:ascii="Arial"/>
          <w:sz w:val="21"/>
        </w:rPr>
      </w:pPr>
    </w:p>
    <w:p w14:paraId="196A608F">
      <w:pPr>
        <w:spacing w:line="272" w:lineRule="auto"/>
        <w:rPr>
          <w:rFonts w:ascii="Arial"/>
          <w:sz w:val="21"/>
        </w:rPr>
      </w:pPr>
    </w:p>
    <w:p w14:paraId="744ACD3C">
      <w:pPr>
        <w:spacing w:before="65" w:line="369" w:lineRule="auto"/>
        <w:ind w:left="1" w:firstLine="5"/>
        <w:rPr>
          <w:rFonts w:ascii="宋体" w:hAnsi="宋体" w:eastAsia="宋体" w:cs="宋体"/>
          <w:sz w:val="20"/>
          <w:szCs w:val="20"/>
        </w:rPr>
      </w:pPr>
      <w:r>
        <w:rPr>
          <w:rFonts w:ascii="宋体" w:hAnsi="宋体" w:eastAsia="宋体" w:cs="宋体"/>
          <w:spacing w:val="7"/>
          <w:sz w:val="20"/>
          <w:szCs w:val="20"/>
        </w:rPr>
        <w:t>否则发包人有权责令其限期改正；逾期未改正的，可以责令其暂停施工，由</w:t>
      </w:r>
      <w:r>
        <w:rPr>
          <w:rFonts w:ascii="宋体" w:hAnsi="宋体" w:eastAsia="宋体" w:cs="宋体"/>
          <w:spacing w:val="6"/>
          <w:sz w:val="20"/>
          <w:szCs w:val="20"/>
        </w:rPr>
        <w:t>此增加的费用和（或）</w:t>
      </w:r>
      <w:r>
        <w:rPr>
          <w:rFonts w:ascii="宋体" w:hAnsi="宋体" w:eastAsia="宋体" w:cs="宋体"/>
          <w:spacing w:val="8"/>
          <w:sz w:val="20"/>
          <w:szCs w:val="20"/>
        </w:rPr>
        <w:t>延误的工期由承包人承担。</w:t>
      </w:r>
    </w:p>
    <w:p w14:paraId="083BE0F2">
      <w:pPr>
        <w:spacing w:line="227" w:lineRule="auto"/>
        <w:ind w:left="421"/>
        <w:rPr>
          <w:rFonts w:ascii="宋体" w:hAnsi="宋体" w:eastAsia="宋体" w:cs="宋体"/>
          <w:sz w:val="20"/>
          <w:szCs w:val="20"/>
        </w:rPr>
      </w:pPr>
      <w:r>
        <w:rPr>
          <w:rFonts w:ascii="Times New Roman" w:hAnsi="Times New Roman" w:eastAsia="Times New Roman" w:cs="Times New Roman"/>
          <w:spacing w:val="2"/>
          <w:sz w:val="20"/>
          <w:szCs w:val="20"/>
        </w:rPr>
        <w:t>6.</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2"/>
          <w:sz w:val="20"/>
          <w:szCs w:val="20"/>
        </w:rPr>
        <w:t>1.7</w:t>
      </w:r>
      <w:r>
        <w:rPr>
          <w:rFonts w:ascii="Times New Roman" w:hAnsi="Times New Roman" w:eastAsia="Times New Roman" w:cs="Times New Roman"/>
          <w:spacing w:val="9"/>
          <w:sz w:val="20"/>
          <w:szCs w:val="20"/>
        </w:rPr>
        <w:t xml:space="preserve">  </w:t>
      </w:r>
      <w:r>
        <w:rPr>
          <w:rFonts w:ascii="宋体" w:hAnsi="宋体" w:eastAsia="宋体" w:cs="宋体"/>
          <w:spacing w:val="2"/>
          <w:sz w:val="20"/>
          <w:szCs w:val="20"/>
        </w:rPr>
        <w:t>紧急情况处理</w:t>
      </w:r>
    </w:p>
    <w:p w14:paraId="2DAAFF71">
      <w:pPr>
        <w:spacing w:before="154" w:line="369" w:lineRule="auto"/>
        <w:ind w:right="87" w:firstLine="419"/>
        <w:rPr>
          <w:rFonts w:ascii="宋体" w:hAnsi="宋体" w:eastAsia="宋体" w:cs="宋体"/>
          <w:sz w:val="20"/>
          <w:szCs w:val="20"/>
        </w:rPr>
      </w:pPr>
      <w:r>
        <w:rPr>
          <w:rFonts w:ascii="宋体" w:hAnsi="宋体" w:eastAsia="宋体" w:cs="宋体"/>
          <w:spacing w:val="10"/>
          <w:sz w:val="20"/>
          <w:szCs w:val="20"/>
        </w:rPr>
        <w:t>在工程实施期间或缺陷责任期内发生危及工程安全的事件，监理人通知</w:t>
      </w:r>
      <w:r>
        <w:rPr>
          <w:rFonts w:ascii="宋体" w:hAnsi="宋体" w:eastAsia="宋体" w:cs="宋体"/>
          <w:spacing w:val="9"/>
          <w:sz w:val="20"/>
          <w:szCs w:val="20"/>
        </w:rPr>
        <w:t>承包人进行抢救，承</w:t>
      </w:r>
      <w:r>
        <w:rPr>
          <w:rFonts w:ascii="宋体" w:hAnsi="宋体" w:eastAsia="宋体" w:cs="宋体"/>
          <w:spacing w:val="10"/>
          <w:sz w:val="20"/>
          <w:szCs w:val="20"/>
        </w:rPr>
        <w:t>包人声明无能力或不愿立即执行的，发包人有权雇佣其他人员进行抢救。</w:t>
      </w:r>
      <w:r>
        <w:rPr>
          <w:rFonts w:ascii="宋体" w:hAnsi="宋体" w:eastAsia="宋体" w:cs="宋体"/>
          <w:spacing w:val="9"/>
          <w:sz w:val="20"/>
          <w:szCs w:val="20"/>
        </w:rPr>
        <w:t>此类抢救按合同约定属</w:t>
      </w:r>
      <w:r>
        <w:rPr>
          <w:rFonts w:ascii="宋体" w:hAnsi="宋体" w:eastAsia="宋体" w:cs="宋体"/>
          <w:spacing w:val="8"/>
          <w:sz w:val="20"/>
          <w:szCs w:val="20"/>
        </w:rPr>
        <w:t>于承包人义务的，</w:t>
      </w:r>
      <w:r>
        <w:rPr>
          <w:rFonts w:ascii="宋体" w:hAnsi="宋体" w:eastAsia="宋体" w:cs="宋体"/>
          <w:spacing w:val="-58"/>
          <w:sz w:val="20"/>
          <w:szCs w:val="20"/>
        </w:rPr>
        <w:t xml:space="preserve"> </w:t>
      </w:r>
      <w:r>
        <w:rPr>
          <w:rFonts w:ascii="宋体" w:hAnsi="宋体" w:eastAsia="宋体" w:cs="宋体"/>
          <w:spacing w:val="8"/>
          <w:sz w:val="20"/>
          <w:szCs w:val="20"/>
        </w:rPr>
        <w:t>由此增加的费用和（或）延误的工期由承包人承</w:t>
      </w:r>
      <w:r>
        <w:rPr>
          <w:rFonts w:ascii="宋体" w:hAnsi="宋体" w:eastAsia="宋体" w:cs="宋体"/>
          <w:spacing w:val="7"/>
          <w:sz w:val="20"/>
          <w:szCs w:val="20"/>
        </w:rPr>
        <w:t>担。</w:t>
      </w:r>
    </w:p>
    <w:p w14:paraId="41069DBD">
      <w:pPr>
        <w:spacing w:line="228" w:lineRule="auto"/>
        <w:ind w:left="421"/>
        <w:rPr>
          <w:rFonts w:ascii="宋体" w:hAnsi="宋体" w:eastAsia="宋体" w:cs="宋体"/>
          <w:sz w:val="20"/>
          <w:szCs w:val="20"/>
        </w:rPr>
      </w:pPr>
      <w:r>
        <w:rPr>
          <w:rFonts w:ascii="Times New Roman" w:hAnsi="Times New Roman" w:eastAsia="Times New Roman" w:cs="Times New Roman"/>
          <w:spacing w:val="2"/>
          <w:sz w:val="20"/>
          <w:szCs w:val="20"/>
        </w:rPr>
        <w:t>6.</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2"/>
          <w:sz w:val="20"/>
          <w:szCs w:val="20"/>
        </w:rPr>
        <w:t xml:space="preserve">1.8  </w:t>
      </w:r>
      <w:r>
        <w:rPr>
          <w:rFonts w:ascii="宋体" w:hAnsi="宋体" w:eastAsia="宋体" w:cs="宋体"/>
          <w:spacing w:val="2"/>
          <w:sz w:val="20"/>
          <w:szCs w:val="20"/>
        </w:rPr>
        <w:t>事故处理</w:t>
      </w:r>
    </w:p>
    <w:p w14:paraId="31D0C465">
      <w:pPr>
        <w:spacing w:before="148" w:line="370" w:lineRule="auto"/>
        <w:ind w:right="32" w:firstLine="423"/>
        <w:rPr>
          <w:rFonts w:ascii="宋体" w:hAnsi="宋体" w:eastAsia="宋体" w:cs="宋体"/>
          <w:sz w:val="20"/>
          <w:szCs w:val="20"/>
        </w:rPr>
      </w:pPr>
      <w:r>
        <w:rPr>
          <w:rFonts w:ascii="宋体" w:hAnsi="宋体" w:eastAsia="宋体" w:cs="宋体"/>
          <w:spacing w:val="10"/>
          <w:sz w:val="20"/>
          <w:szCs w:val="20"/>
        </w:rPr>
        <w:t>工程施工过程中发生事故的，承包人应立即通知监理人，监理人</w:t>
      </w:r>
      <w:r>
        <w:rPr>
          <w:rFonts w:ascii="宋体" w:hAnsi="宋体" w:eastAsia="宋体" w:cs="宋体"/>
          <w:spacing w:val="9"/>
          <w:sz w:val="20"/>
          <w:szCs w:val="20"/>
        </w:rPr>
        <w:t>应立即通知发包人。发包人</w:t>
      </w:r>
      <w:r>
        <w:rPr>
          <w:rFonts w:ascii="宋体" w:hAnsi="宋体" w:eastAsia="宋体" w:cs="宋体"/>
          <w:spacing w:val="6"/>
          <w:sz w:val="20"/>
          <w:szCs w:val="20"/>
        </w:rPr>
        <w:t>和承包人应立即组织人员和设备进行紧急抢救和抢修，减少人员伤亡和财产损失，防止事故扩大，</w:t>
      </w:r>
      <w:r>
        <w:rPr>
          <w:rFonts w:ascii="宋体" w:hAnsi="宋体" w:eastAsia="宋体" w:cs="宋体"/>
          <w:spacing w:val="10"/>
          <w:sz w:val="20"/>
          <w:szCs w:val="20"/>
        </w:rPr>
        <w:t>并保护事故现场。需要移动现场物品时，应作出标记和书面记录，妥善保管</w:t>
      </w:r>
      <w:r>
        <w:rPr>
          <w:rFonts w:ascii="宋体" w:hAnsi="宋体" w:eastAsia="宋体" w:cs="宋体"/>
          <w:spacing w:val="9"/>
          <w:sz w:val="20"/>
          <w:szCs w:val="20"/>
        </w:rPr>
        <w:t>有关证据。发包人和</w:t>
      </w:r>
      <w:r>
        <w:rPr>
          <w:rFonts w:ascii="宋体" w:hAnsi="宋体" w:eastAsia="宋体" w:cs="宋体"/>
          <w:spacing w:val="10"/>
          <w:sz w:val="20"/>
          <w:szCs w:val="20"/>
        </w:rPr>
        <w:t>承包人应按国家有关规定，及时如实地向有关部门报告事故发生的情况，以</w:t>
      </w:r>
      <w:r>
        <w:rPr>
          <w:rFonts w:ascii="宋体" w:hAnsi="宋体" w:eastAsia="宋体" w:cs="宋体"/>
          <w:spacing w:val="9"/>
          <w:sz w:val="20"/>
          <w:szCs w:val="20"/>
        </w:rPr>
        <w:t>及正在采取的紧急措</w:t>
      </w:r>
      <w:r>
        <w:rPr>
          <w:rFonts w:ascii="宋体" w:hAnsi="宋体" w:eastAsia="宋体" w:cs="宋体"/>
          <w:spacing w:val="3"/>
          <w:sz w:val="20"/>
          <w:szCs w:val="20"/>
        </w:rPr>
        <w:t>施等。</w:t>
      </w:r>
    </w:p>
    <w:p w14:paraId="095BD831">
      <w:pPr>
        <w:spacing w:before="1" w:line="227" w:lineRule="auto"/>
        <w:ind w:left="421"/>
        <w:rPr>
          <w:rFonts w:ascii="宋体" w:hAnsi="宋体" w:eastAsia="宋体" w:cs="宋体"/>
          <w:sz w:val="20"/>
          <w:szCs w:val="20"/>
        </w:rPr>
      </w:pPr>
      <w:r>
        <w:rPr>
          <w:rFonts w:ascii="Times New Roman" w:hAnsi="Times New Roman" w:eastAsia="Times New Roman" w:cs="Times New Roman"/>
          <w:spacing w:val="3"/>
          <w:sz w:val="20"/>
          <w:szCs w:val="20"/>
        </w:rPr>
        <w:t>6.</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3"/>
          <w:sz w:val="20"/>
          <w:szCs w:val="20"/>
        </w:rPr>
        <w:t xml:space="preserve">1.9  </w:t>
      </w:r>
      <w:r>
        <w:rPr>
          <w:rFonts w:ascii="宋体" w:hAnsi="宋体" w:eastAsia="宋体" w:cs="宋体"/>
          <w:spacing w:val="3"/>
          <w:sz w:val="20"/>
          <w:szCs w:val="20"/>
        </w:rPr>
        <w:t>安全生产责任</w:t>
      </w:r>
    </w:p>
    <w:p w14:paraId="4F97E8E7">
      <w:pPr>
        <w:spacing w:before="151" w:line="228" w:lineRule="auto"/>
        <w:ind w:left="421"/>
        <w:rPr>
          <w:rFonts w:ascii="宋体" w:hAnsi="宋体" w:eastAsia="宋体" w:cs="宋体"/>
          <w:sz w:val="20"/>
          <w:szCs w:val="20"/>
        </w:rPr>
      </w:pPr>
      <w:r>
        <w:rPr>
          <w:rFonts w:ascii="Times New Roman" w:hAnsi="Times New Roman" w:eastAsia="Times New Roman" w:cs="Times New Roman"/>
          <w:spacing w:val="2"/>
          <w:sz w:val="20"/>
          <w:szCs w:val="20"/>
        </w:rPr>
        <w:t>6.</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2"/>
          <w:sz w:val="20"/>
          <w:szCs w:val="20"/>
        </w:rPr>
        <w:t>1.9.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 xml:space="preserve">1  </w:t>
      </w:r>
      <w:r>
        <w:rPr>
          <w:rFonts w:ascii="宋体" w:hAnsi="宋体" w:eastAsia="宋体" w:cs="宋体"/>
          <w:spacing w:val="2"/>
          <w:sz w:val="20"/>
          <w:szCs w:val="20"/>
        </w:rPr>
        <w:t>发包人的安全责任</w:t>
      </w:r>
    </w:p>
    <w:p w14:paraId="08E2683D">
      <w:pPr>
        <w:spacing w:before="154" w:line="228" w:lineRule="auto"/>
        <w:ind w:left="424"/>
        <w:rPr>
          <w:rFonts w:ascii="宋体" w:hAnsi="宋体" w:eastAsia="宋体" w:cs="宋体"/>
          <w:sz w:val="20"/>
          <w:szCs w:val="20"/>
        </w:rPr>
      </w:pPr>
      <w:r>
        <w:rPr>
          <w:rFonts w:ascii="宋体" w:hAnsi="宋体" w:eastAsia="宋体" w:cs="宋体"/>
          <w:spacing w:val="8"/>
          <w:sz w:val="20"/>
          <w:szCs w:val="20"/>
        </w:rPr>
        <w:t>发包人应负责赔偿以下各种情况造成的损失：</w:t>
      </w:r>
    </w:p>
    <w:p w14:paraId="7473B88A">
      <w:pPr>
        <w:spacing w:before="154"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）工程或工程的任何部分对土地的占用所造成的第</w:t>
      </w:r>
      <w:r>
        <w:rPr>
          <w:rFonts w:ascii="宋体" w:hAnsi="宋体" w:eastAsia="宋体" w:cs="宋体"/>
          <w:spacing w:val="8"/>
          <w:sz w:val="20"/>
          <w:szCs w:val="20"/>
        </w:rPr>
        <w:t>三者财产损失；</w:t>
      </w:r>
    </w:p>
    <w:p w14:paraId="405748BD">
      <w:pPr>
        <w:spacing w:before="151"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w:t>
      </w:r>
      <w:r>
        <w:rPr>
          <w:rFonts w:ascii="宋体" w:hAnsi="宋体" w:eastAsia="宋体" w:cs="宋体"/>
          <w:spacing w:val="-57"/>
          <w:sz w:val="20"/>
          <w:szCs w:val="20"/>
        </w:rPr>
        <w:t xml:space="preserve"> </w:t>
      </w:r>
      <w:r>
        <w:rPr>
          <w:rFonts w:ascii="宋体" w:hAnsi="宋体" w:eastAsia="宋体" w:cs="宋体"/>
          <w:spacing w:val="8"/>
          <w:sz w:val="20"/>
          <w:szCs w:val="20"/>
        </w:rPr>
        <w:t>由于发包人原因在施工场地及其毗邻地带造成的第三者人身伤</w:t>
      </w:r>
      <w:r>
        <w:rPr>
          <w:rFonts w:ascii="宋体" w:hAnsi="宋体" w:eastAsia="宋体" w:cs="宋体"/>
          <w:spacing w:val="7"/>
          <w:sz w:val="20"/>
          <w:szCs w:val="20"/>
        </w:rPr>
        <w:t>亡和财产损失；</w:t>
      </w:r>
    </w:p>
    <w:p w14:paraId="3E40FD69">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w:t>
      </w:r>
      <w:r>
        <w:rPr>
          <w:rFonts w:ascii="宋体" w:hAnsi="宋体" w:eastAsia="宋体" w:cs="宋体"/>
          <w:spacing w:val="-39"/>
          <w:sz w:val="20"/>
          <w:szCs w:val="20"/>
        </w:rPr>
        <w:t xml:space="preserve"> </w:t>
      </w:r>
      <w:r>
        <w:rPr>
          <w:rFonts w:ascii="宋体" w:hAnsi="宋体" w:eastAsia="宋体" w:cs="宋体"/>
          <w:spacing w:val="7"/>
          <w:sz w:val="20"/>
          <w:szCs w:val="20"/>
        </w:rPr>
        <w:t>由于发包人原因对承包人、监理人造成的人员人身伤亡和财产损失；</w:t>
      </w:r>
    </w:p>
    <w:p w14:paraId="13CCE805">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w:t>
      </w:r>
      <w:r>
        <w:rPr>
          <w:rFonts w:ascii="宋体" w:hAnsi="宋体" w:eastAsia="宋体" w:cs="宋体"/>
          <w:spacing w:val="-41"/>
          <w:sz w:val="20"/>
          <w:szCs w:val="20"/>
        </w:rPr>
        <w:t xml:space="preserve"> </w:t>
      </w:r>
      <w:r>
        <w:rPr>
          <w:rFonts w:ascii="宋体" w:hAnsi="宋体" w:eastAsia="宋体" w:cs="宋体"/>
          <w:spacing w:val="7"/>
          <w:sz w:val="20"/>
          <w:szCs w:val="20"/>
        </w:rPr>
        <w:t>由于发包人原因造成的发包人自身人员的人身伤害以及财产损失。</w:t>
      </w:r>
    </w:p>
    <w:p w14:paraId="6F68C5D2">
      <w:pPr>
        <w:spacing w:before="151" w:line="228" w:lineRule="auto"/>
        <w:ind w:left="421"/>
        <w:rPr>
          <w:rFonts w:ascii="宋体" w:hAnsi="宋体" w:eastAsia="宋体" w:cs="宋体"/>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4"/>
          <w:sz w:val="20"/>
          <w:szCs w:val="20"/>
        </w:rPr>
        <w:t xml:space="preserve">1.9.2  </w:t>
      </w:r>
      <w:r>
        <w:rPr>
          <w:rFonts w:ascii="宋体" w:hAnsi="宋体" w:eastAsia="宋体" w:cs="宋体"/>
          <w:spacing w:val="4"/>
          <w:sz w:val="20"/>
          <w:szCs w:val="20"/>
        </w:rPr>
        <w:t>承包人的安全责任</w:t>
      </w:r>
    </w:p>
    <w:p w14:paraId="2C67BABB">
      <w:pPr>
        <w:spacing w:before="154" w:line="358" w:lineRule="auto"/>
        <w:ind w:right="89" w:firstLine="445"/>
        <w:rPr>
          <w:rFonts w:ascii="宋体" w:hAnsi="宋体" w:eastAsia="宋体" w:cs="宋体"/>
          <w:sz w:val="20"/>
          <w:szCs w:val="20"/>
        </w:rPr>
      </w:pPr>
      <w:r>
        <w:rPr>
          <w:rFonts w:ascii="宋体" w:hAnsi="宋体" w:eastAsia="宋体" w:cs="宋体"/>
          <w:spacing w:val="9"/>
          <w:sz w:val="20"/>
          <w:szCs w:val="20"/>
        </w:rPr>
        <w:t>由于承包人原因在施工场地内及其毗邻地带造成的发包人、监理人以及第三者人员伤亡和财</w:t>
      </w:r>
      <w:r>
        <w:rPr>
          <w:rFonts w:ascii="宋体" w:hAnsi="宋体" w:eastAsia="宋体" w:cs="宋体"/>
          <w:spacing w:val="5"/>
          <w:sz w:val="20"/>
          <w:szCs w:val="20"/>
        </w:rPr>
        <w:t>产损失，</w:t>
      </w:r>
      <w:r>
        <w:rPr>
          <w:rFonts w:ascii="宋体" w:hAnsi="宋体" w:eastAsia="宋体" w:cs="宋体"/>
          <w:spacing w:val="-57"/>
          <w:sz w:val="20"/>
          <w:szCs w:val="20"/>
        </w:rPr>
        <w:t xml:space="preserve"> </w:t>
      </w:r>
      <w:r>
        <w:rPr>
          <w:rFonts w:ascii="宋体" w:hAnsi="宋体" w:eastAsia="宋体" w:cs="宋体"/>
          <w:spacing w:val="5"/>
          <w:sz w:val="20"/>
          <w:szCs w:val="20"/>
        </w:rPr>
        <w:t>由承包人负责赔偿。</w:t>
      </w:r>
    </w:p>
    <w:p w14:paraId="50D6AEA3">
      <w:pPr>
        <w:pStyle w:val="2"/>
        <w:spacing w:before="1" w:line="223" w:lineRule="auto"/>
        <w:ind w:left="1"/>
        <w:rPr>
          <w:sz w:val="24"/>
          <w:szCs w:val="24"/>
        </w:rPr>
      </w:pPr>
      <w:r>
        <w:rPr>
          <w:rFonts w:ascii="Times New Roman" w:hAnsi="Times New Roman" w:eastAsia="Times New Roman" w:cs="Times New Roman"/>
          <w:b/>
          <w:bCs/>
          <w:spacing w:val="-2"/>
          <w:sz w:val="24"/>
          <w:szCs w:val="24"/>
        </w:rPr>
        <w:t xml:space="preserve">6.2  </w:t>
      </w:r>
      <w:r>
        <w:rPr>
          <w:b/>
          <w:bCs/>
          <w:spacing w:val="-2"/>
          <w:sz w:val="24"/>
          <w:szCs w:val="24"/>
        </w:rPr>
        <w:t>职业健康</w:t>
      </w:r>
    </w:p>
    <w:p w14:paraId="5DB62C9C">
      <w:pPr>
        <w:spacing w:before="133" w:line="228" w:lineRule="auto"/>
        <w:ind w:left="421"/>
        <w:rPr>
          <w:rFonts w:ascii="宋体" w:hAnsi="宋体" w:eastAsia="宋体" w:cs="宋体"/>
          <w:sz w:val="20"/>
          <w:szCs w:val="20"/>
        </w:rPr>
      </w:pPr>
      <w:r>
        <w:rPr>
          <w:rFonts w:ascii="Times New Roman" w:hAnsi="Times New Roman" w:eastAsia="Times New Roman" w:cs="Times New Roman"/>
          <w:spacing w:val="1"/>
          <w:sz w:val="20"/>
          <w:szCs w:val="20"/>
        </w:rPr>
        <w:t>6.2.</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劳动保护</w:t>
      </w:r>
    </w:p>
    <w:p w14:paraId="566DD5DF">
      <w:pPr>
        <w:spacing w:before="155" w:line="369" w:lineRule="auto"/>
        <w:ind w:right="87" w:firstLine="420"/>
        <w:rPr>
          <w:rFonts w:ascii="宋体" w:hAnsi="宋体" w:eastAsia="宋体" w:cs="宋体"/>
          <w:sz w:val="20"/>
          <w:szCs w:val="20"/>
        </w:rPr>
      </w:pPr>
      <w:r>
        <w:rPr>
          <w:rFonts w:ascii="宋体" w:hAnsi="宋体" w:eastAsia="宋体" w:cs="宋体"/>
          <w:spacing w:val="10"/>
          <w:sz w:val="20"/>
          <w:szCs w:val="20"/>
        </w:rPr>
        <w:t>承包人应按照法律规定安排现场施工人员的劳动和休息时间，保障劳</w:t>
      </w:r>
      <w:r>
        <w:rPr>
          <w:rFonts w:ascii="宋体" w:hAnsi="宋体" w:eastAsia="宋体" w:cs="宋体"/>
          <w:spacing w:val="9"/>
          <w:sz w:val="20"/>
          <w:szCs w:val="20"/>
        </w:rPr>
        <w:t>动者的休息时间，并支</w:t>
      </w:r>
      <w:r>
        <w:rPr>
          <w:rFonts w:ascii="宋体" w:hAnsi="宋体" w:eastAsia="宋体" w:cs="宋体"/>
          <w:spacing w:val="10"/>
          <w:sz w:val="20"/>
          <w:szCs w:val="20"/>
        </w:rPr>
        <w:t>付合理的报酬和费用。承包人应依法为其履行合同所雇用的人员办理必要</w:t>
      </w:r>
      <w:r>
        <w:rPr>
          <w:rFonts w:ascii="宋体" w:hAnsi="宋体" w:eastAsia="宋体" w:cs="宋体"/>
          <w:spacing w:val="9"/>
          <w:sz w:val="20"/>
          <w:szCs w:val="20"/>
        </w:rPr>
        <w:t>的证件、许可、保险和</w:t>
      </w:r>
      <w:r>
        <w:rPr>
          <w:rFonts w:ascii="宋体" w:hAnsi="宋体" w:eastAsia="宋体" w:cs="宋体"/>
          <w:spacing w:val="10"/>
          <w:sz w:val="20"/>
          <w:szCs w:val="20"/>
        </w:rPr>
        <w:t>注册等，承包人应督促其分包人为分包人所雇用</w:t>
      </w:r>
      <w:r>
        <w:rPr>
          <w:rFonts w:ascii="宋体" w:hAnsi="宋体" w:eastAsia="宋体" w:cs="宋体"/>
          <w:spacing w:val="9"/>
          <w:sz w:val="20"/>
          <w:szCs w:val="20"/>
        </w:rPr>
        <w:t>的人员办理必要的证件、许可、保险和注册等。</w:t>
      </w:r>
    </w:p>
    <w:p w14:paraId="0FC73694">
      <w:pPr>
        <w:spacing w:before="4" w:line="368" w:lineRule="auto"/>
        <w:ind w:left="1" w:right="87" w:firstLine="419"/>
        <w:rPr>
          <w:rFonts w:ascii="宋体" w:hAnsi="宋体" w:eastAsia="宋体" w:cs="宋体"/>
          <w:sz w:val="20"/>
          <w:szCs w:val="20"/>
        </w:rPr>
      </w:pPr>
      <w:r>
        <w:rPr>
          <w:rFonts w:ascii="宋体" w:hAnsi="宋体" w:eastAsia="宋体" w:cs="宋体"/>
          <w:spacing w:val="8"/>
          <w:sz w:val="20"/>
          <w:szCs w:val="20"/>
        </w:rPr>
        <w:t>承包人应按照法律规定保障现场施工人员的劳动安全，并提供劳动保护</w:t>
      </w:r>
      <w:r>
        <w:rPr>
          <w:rFonts w:ascii="Times New Roman" w:hAnsi="Times New Roman" w:eastAsia="Times New Roman" w:cs="Times New Roman"/>
          <w:spacing w:val="8"/>
          <w:sz w:val="20"/>
          <w:szCs w:val="20"/>
        </w:rPr>
        <w:t>,</w:t>
      </w:r>
      <w:r>
        <w:rPr>
          <w:rFonts w:ascii="宋体" w:hAnsi="宋体" w:eastAsia="宋体" w:cs="宋体"/>
          <w:spacing w:val="8"/>
          <w:sz w:val="20"/>
          <w:szCs w:val="20"/>
        </w:rPr>
        <w:t>并应按国家有关劳动</w:t>
      </w:r>
      <w:r>
        <w:rPr>
          <w:rFonts w:ascii="宋体" w:hAnsi="宋体" w:eastAsia="宋体" w:cs="宋体"/>
          <w:spacing w:val="10"/>
          <w:sz w:val="20"/>
          <w:szCs w:val="20"/>
        </w:rPr>
        <w:t>保护的规定，采取有效的防止粉尘、降低噪声、控制有害气体和保障高</w:t>
      </w:r>
      <w:r>
        <w:rPr>
          <w:rFonts w:ascii="宋体" w:hAnsi="宋体" w:eastAsia="宋体" w:cs="宋体"/>
          <w:spacing w:val="9"/>
          <w:sz w:val="20"/>
          <w:szCs w:val="20"/>
        </w:rPr>
        <w:t>温、高寒、高空作业安全</w:t>
      </w:r>
      <w:r>
        <w:rPr>
          <w:rFonts w:ascii="宋体" w:hAnsi="宋体" w:eastAsia="宋体" w:cs="宋体"/>
          <w:spacing w:val="10"/>
          <w:sz w:val="20"/>
          <w:szCs w:val="20"/>
        </w:rPr>
        <w:t>等劳动保护措施。承包人雇佣人员在施工中受到伤害的，承包人应立即</w:t>
      </w:r>
      <w:r>
        <w:rPr>
          <w:rFonts w:ascii="宋体" w:hAnsi="宋体" w:eastAsia="宋体" w:cs="宋体"/>
          <w:spacing w:val="9"/>
          <w:sz w:val="20"/>
          <w:szCs w:val="20"/>
        </w:rPr>
        <w:t>采取有效措施进行抢救和</w:t>
      </w:r>
      <w:r>
        <w:rPr>
          <w:rFonts w:ascii="宋体" w:hAnsi="宋体" w:eastAsia="宋体" w:cs="宋体"/>
          <w:spacing w:val="2"/>
          <w:sz w:val="20"/>
          <w:szCs w:val="20"/>
        </w:rPr>
        <w:t>治疗。</w:t>
      </w:r>
    </w:p>
    <w:p w14:paraId="52FB913C">
      <w:pPr>
        <w:spacing w:before="1" w:line="369" w:lineRule="auto"/>
        <w:ind w:right="87" w:firstLine="420"/>
        <w:jc w:val="both"/>
        <w:rPr>
          <w:rFonts w:ascii="宋体" w:hAnsi="宋体" w:eastAsia="宋体" w:cs="宋体"/>
          <w:sz w:val="20"/>
          <w:szCs w:val="20"/>
        </w:rPr>
      </w:pPr>
      <w:r>
        <w:rPr>
          <w:rFonts w:ascii="宋体" w:hAnsi="宋体" w:eastAsia="宋体" w:cs="宋体"/>
          <w:spacing w:val="10"/>
          <w:sz w:val="20"/>
          <w:szCs w:val="20"/>
        </w:rPr>
        <w:t>承包人应按法律规定安排工作时间，保证其雇佣人员享有休息和</w:t>
      </w:r>
      <w:r>
        <w:rPr>
          <w:rFonts w:ascii="宋体" w:hAnsi="宋体" w:eastAsia="宋体" w:cs="宋体"/>
          <w:spacing w:val="9"/>
          <w:sz w:val="20"/>
          <w:szCs w:val="20"/>
        </w:rPr>
        <w:t>休假的权利。因工程施工的</w:t>
      </w:r>
      <w:r>
        <w:rPr>
          <w:rFonts w:ascii="宋体" w:hAnsi="宋体" w:eastAsia="宋体" w:cs="宋体"/>
          <w:spacing w:val="10"/>
          <w:sz w:val="20"/>
          <w:szCs w:val="20"/>
        </w:rPr>
        <w:t>特殊需要占用休假日或延长工作时间的，应不超过法律规定的限度，并按法</w:t>
      </w:r>
      <w:r>
        <w:rPr>
          <w:rFonts w:ascii="宋体" w:hAnsi="宋体" w:eastAsia="宋体" w:cs="宋体"/>
          <w:spacing w:val="9"/>
          <w:sz w:val="20"/>
          <w:szCs w:val="20"/>
        </w:rPr>
        <w:t>律规定给予补休或付</w:t>
      </w:r>
      <w:r>
        <w:rPr>
          <w:rFonts w:ascii="宋体" w:hAnsi="宋体" w:eastAsia="宋体" w:cs="宋体"/>
          <w:sz w:val="20"/>
          <w:szCs w:val="20"/>
        </w:rPr>
        <w:t>酬。</w:t>
      </w:r>
    </w:p>
    <w:p w14:paraId="7D7CB427">
      <w:pPr>
        <w:spacing w:line="227" w:lineRule="auto"/>
        <w:ind w:left="421"/>
        <w:rPr>
          <w:rFonts w:ascii="宋体" w:hAnsi="宋体" w:eastAsia="宋体" w:cs="宋体"/>
          <w:sz w:val="20"/>
          <w:szCs w:val="20"/>
        </w:rPr>
      </w:pPr>
      <w:r>
        <w:rPr>
          <w:rFonts w:ascii="Times New Roman" w:hAnsi="Times New Roman" w:eastAsia="Times New Roman" w:cs="Times New Roman"/>
          <w:spacing w:val="4"/>
          <w:sz w:val="20"/>
          <w:szCs w:val="20"/>
        </w:rPr>
        <w:t xml:space="preserve">6.2.2  </w:t>
      </w:r>
      <w:r>
        <w:rPr>
          <w:rFonts w:ascii="宋体" w:hAnsi="宋体" w:eastAsia="宋体" w:cs="宋体"/>
          <w:spacing w:val="4"/>
          <w:sz w:val="20"/>
          <w:szCs w:val="20"/>
        </w:rPr>
        <w:t>生活条件</w:t>
      </w:r>
    </w:p>
    <w:p w14:paraId="22968A8F">
      <w:pPr>
        <w:spacing w:line="227" w:lineRule="auto"/>
        <w:rPr>
          <w:rFonts w:ascii="宋体" w:hAnsi="宋体" w:eastAsia="宋体" w:cs="宋体"/>
          <w:sz w:val="20"/>
          <w:szCs w:val="20"/>
        </w:rPr>
        <w:sectPr>
          <w:footerReference r:id="rId252" w:type="default"/>
          <w:pgSz w:w="11906" w:h="16839"/>
          <w:pgMar w:top="400" w:right="1467" w:bottom="1038" w:left="1538" w:header="0" w:footer="785" w:gutter="0"/>
          <w:cols w:space="720" w:num="1"/>
        </w:sectPr>
      </w:pPr>
    </w:p>
    <w:p w14:paraId="15435E39">
      <w:pPr>
        <w:spacing w:line="272" w:lineRule="auto"/>
        <w:rPr>
          <w:rFonts w:ascii="Arial"/>
          <w:sz w:val="21"/>
        </w:rPr>
      </w:pPr>
    </w:p>
    <w:p w14:paraId="301667E9">
      <w:pPr>
        <w:spacing w:line="272" w:lineRule="auto"/>
        <w:rPr>
          <w:rFonts w:ascii="Arial"/>
          <w:sz w:val="21"/>
        </w:rPr>
      </w:pPr>
    </w:p>
    <w:p w14:paraId="3B53BA73">
      <w:pPr>
        <w:spacing w:line="272" w:lineRule="auto"/>
        <w:rPr>
          <w:rFonts w:ascii="Arial"/>
          <w:sz w:val="21"/>
        </w:rPr>
      </w:pPr>
    </w:p>
    <w:p w14:paraId="3DD801AA">
      <w:pPr>
        <w:spacing w:line="272" w:lineRule="auto"/>
        <w:rPr>
          <w:rFonts w:ascii="Arial"/>
          <w:sz w:val="21"/>
        </w:rPr>
      </w:pPr>
    </w:p>
    <w:p w14:paraId="2762CE8D">
      <w:pPr>
        <w:spacing w:before="65" w:line="363" w:lineRule="auto"/>
        <w:ind w:firstLine="420"/>
        <w:jc w:val="both"/>
        <w:rPr>
          <w:rFonts w:ascii="宋体" w:hAnsi="宋体" w:eastAsia="宋体" w:cs="宋体"/>
          <w:sz w:val="20"/>
          <w:szCs w:val="20"/>
        </w:rPr>
      </w:pPr>
      <w:r>
        <w:rPr>
          <w:rFonts w:ascii="宋体" w:hAnsi="宋体" w:eastAsia="宋体" w:cs="宋体"/>
          <w:spacing w:val="10"/>
          <w:sz w:val="20"/>
          <w:szCs w:val="20"/>
        </w:rPr>
        <w:t>承包人应为其履行合同所雇用的人员提供必要的膳宿条件和生活环境</w:t>
      </w:r>
      <w:r>
        <w:rPr>
          <w:rFonts w:ascii="宋体" w:hAnsi="宋体" w:eastAsia="宋体" w:cs="宋体"/>
          <w:spacing w:val="9"/>
          <w:sz w:val="20"/>
          <w:szCs w:val="20"/>
        </w:rPr>
        <w:t>；承包人应采取有效措</w:t>
      </w:r>
      <w:r>
        <w:rPr>
          <w:rFonts w:ascii="宋体" w:hAnsi="宋体" w:eastAsia="宋体" w:cs="宋体"/>
          <w:spacing w:val="10"/>
          <w:sz w:val="20"/>
          <w:szCs w:val="20"/>
        </w:rPr>
        <w:t>施预防传染病，保证施工人员的健康，并定期对施工现场、施工人员生活基</w:t>
      </w:r>
      <w:r>
        <w:rPr>
          <w:rFonts w:ascii="宋体" w:hAnsi="宋体" w:eastAsia="宋体" w:cs="宋体"/>
          <w:spacing w:val="9"/>
          <w:sz w:val="20"/>
          <w:szCs w:val="20"/>
        </w:rPr>
        <w:t>地和工程进行防疫和</w:t>
      </w:r>
      <w:r>
        <w:rPr>
          <w:rFonts w:ascii="宋体" w:hAnsi="宋体" w:eastAsia="宋体" w:cs="宋体"/>
          <w:spacing w:val="11"/>
          <w:sz w:val="20"/>
          <w:szCs w:val="20"/>
        </w:rPr>
        <w:t>卫生的专业检查和处理</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rPr>
        <w:t>在远离城镇的</w:t>
      </w:r>
      <w:r>
        <w:rPr>
          <w:rFonts w:ascii="宋体" w:hAnsi="宋体" w:eastAsia="宋体" w:cs="宋体"/>
          <w:spacing w:val="10"/>
          <w:sz w:val="20"/>
          <w:szCs w:val="20"/>
        </w:rPr>
        <w:t>施工场地，还应配备必要的伤病防治和急救的医务人员与</w:t>
      </w:r>
      <w:r>
        <w:rPr>
          <w:rFonts w:ascii="宋体" w:hAnsi="宋体" w:eastAsia="宋体" w:cs="宋体"/>
          <w:spacing w:val="6"/>
          <w:sz w:val="20"/>
          <w:szCs w:val="20"/>
        </w:rPr>
        <w:t>医疗设施。</w:t>
      </w:r>
    </w:p>
    <w:p w14:paraId="2C761958">
      <w:pPr>
        <w:pStyle w:val="2"/>
        <w:spacing w:line="221" w:lineRule="auto"/>
        <w:ind w:left="1"/>
        <w:rPr>
          <w:sz w:val="24"/>
          <w:szCs w:val="24"/>
        </w:rPr>
      </w:pPr>
      <w:r>
        <w:rPr>
          <w:rFonts w:ascii="Times New Roman" w:hAnsi="Times New Roman" w:eastAsia="Times New Roman" w:cs="Times New Roman"/>
          <w:b/>
          <w:bCs/>
          <w:spacing w:val="-2"/>
          <w:sz w:val="24"/>
          <w:szCs w:val="24"/>
        </w:rPr>
        <w:t xml:space="preserve">6.3  </w:t>
      </w:r>
      <w:r>
        <w:rPr>
          <w:b/>
          <w:bCs/>
          <w:spacing w:val="-2"/>
          <w:sz w:val="24"/>
          <w:szCs w:val="24"/>
        </w:rPr>
        <w:t>环境保护</w:t>
      </w:r>
    </w:p>
    <w:p w14:paraId="37AD7A94">
      <w:pPr>
        <w:spacing w:before="137" w:line="369" w:lineRule="auto"/>
        <w:ind w:firstLine="420"/>
        <w:jc w:val="both"/>
        <w:rPr>
          <w:rFonts w:ascii="宋体" w:hAnsi="宋体" w:eastAsia="宋体" w:cs="宋体"/>
          <w:sz w:val="20"/>
          <w:szCs w:val="20"/>
        </w:rPr>
      </w:pPr>
      <w:r>
        <w:rPr>
          <w:rFonts w:ascii="宋体" w:hAnsi="宋体" w:eastAsia="宋体" w:cs="宋体"/>
          <w:spacing w:val="10"/>
          <w:sz w:val="20"/>
          <w:szCs w:val="20"/>
        </w:rPr>
        <w:t>承包人应在施工组织设计中列明环境保护的具体措施。在合同履行期</w:t>
      </w:r>
      <w:r>
        <w:rPr>
          <w:rFonts w:ascii="宋体" w:hAnsi="宋体" w:eastAsia="宋体" w:cs="宋体"/>
          <w:spacing w:val="9"/>
          <w:sz w:val="20"/>
          <w:szCs w:val="20"/>
        </w:rPr>
        <w:t>间，承包人应采取合理</w:t>
      </w:r>
      <w:r>
        <w:rPr>
          <w:rFonts w:ascii="宋体" w:hAnsi="宋体" w:eastAsia="宋体" w:cs="宋体"/>
          <w:spacing w:val="10"/>
          <w:sz w:val="20"/>
          <w:szCs w:val="20"/>
        </w:rPr>
        <w:t>措施保护施工现场环境。对施工作业过程中可能引起的大气、水、噪音以</w:t>
      </w:r>
      <w:r>
        <w:rPr>
          <w:rFonts w:ascii="宋体" w:hAnsi="宋体" w:eastAsia="宋体" w:cs="宋体"/>
          <w:spacing w:val="9"/>
          <w:sz w:val="20"/>
          <w:szCs w:val="20"/>
        </w:rPr>
        <w:t>及固体废物污染采取具</w:t>
      </w:r>
      <w:r>
        <w:rPr>
          <w:rFonts w:ascii="宋体" w:hAnsi="宋体" w:eastAsia="宋体" w:cs="宋体"/>
          <w:spacing w:val="7"/>
          <w:sz w:val="20"/>
          <w:szCs w:val="20"/>
        </w:rPr>
        <w:t>体可行的防范措施。</w:t>
      </w:r>
    </w:p>
    <w:p w14:paraId="37755252">
      <w:pPr>
        <w:spacing w:line="371" w:lineRule="auto"/>
        <w:ind w:firstLine="420"/>
        <w:rPr>
          <w:rFonts w:ascii="宋体" w:hAnsi="宋体" w:eastAsia="宋体" w:cs="宋体"/>
          <w:sz w:val="20"/>
          <w:szCs w:val="20"/>
        </w:rPr>
      </w:pPr>
      <w:r>
        <w:rPr>
          <w:rFonts w:ascii="宋体" w:hAnsi="宋体" w:eastAsia="宋体" w:cs="宋体"/>
          <w:spacing w:val="10"/>
          <w:sz w:val="20"/>
          <w:szCs w:val="20"/>
        </w:rPr>
        <w:t>承包人应当承担因其原因引起的环境污染侵权损害赔偿责任，因上述</w:t>
      </w:r>
      <w:r>
        <w:rPr>
          <w:rFonts w:ascii="宋体" w:hAnsi="宋体" w:eastAsia="宋体" w:cs="宋体"/>
          <w:spacing w:val="9"/>
          <w:sz w:val="20"/>
          <w:szCs w:val="20"/>
        </w:rPr>
        <w:t>环境污染引起纠纷而导致暂停施工的，由此增加的费用和（或）延误的工期由承包人承担。</w:t>
      </w:r>
    </w:p>
    <w:p w14:paraId="2054571C">
      <w:pPr>
        <w:pStyle w:val="2"/>
        <w:spacing w:before="34" w:line="222" w:lineRule="auto"/>
        <w:ind w:left="2"/>
        <w:outlineLvl w:val="2"/>
        <w:rPr>
          <w:sz w:val="28"/>
          <w:szCs w:val="28"/>
        </w:rPr>
      </w:pPr>
      <w:bookmarkStart w:id="269" w:name="bookmark251"/>
      <w:bookmarkEnd w:id="269"/>
      <w:r>
        <w:rPr>
          <w:rFonts w:ascii="Times New Roman" w:hAnsi="Times New Roman" w:eastAsia="Times New Roman" w:cs="Times New Roman"/>
          <w:b/>
          <w:bCs/>
          <w:spacing w:val="-3"/>
          <w:sz w:val="28"/>
          <w:szCs w:val="28"/>
        </w:rPr>
        <w:t xml:space="preserve">7.  </w:t>
      </w:r>
      <w:r>
        <w:rPr>
          <w:b/>
          <w:bCs/>
          <w:spacing w:val="-3"/>
          <w:sz w:val="28"/>
          <w:szCs w:val="28"/>
        </w:rPr>
        <w:t>工期和进度</w:t>
      </w:r>
    </w:p>
    <w:p w14:paraId="2FD7A0F4">
      <w:pPr>
        <w:pStyle w:val="2"/>
        <w:spacing w:before="99" w:line="222" w:lineRule="auto"/>
        <w:rPr>
          <w:sz w:val="24"/>
          <w:szCs w:val="24"/>
        </w:rPr>
      </w:pPr>
      <w:r>
        <w:rPr>
          <w:rFonts w:ascii="Times New Roman" w:hAnsi="Times New Roman" w:eastAsia="Times New Roman" w:cs="Times New Roman"/>
          <w:b/>
          <w:bCs/>
          <w:spacing w:val="-2"/>
          <w:sz w:val="24"/>
          <w:szCs w:val="24"/>
        </w:rPr>
        <w:t xml:space="preserve">7.1 </w:t>
      </w:r>
      <w:r>
        <w:rPr>
          <w:b/>
          <w:bCs/>
          <w:spacing w:val="-2"/>
          <w:sz w:val="24"/>
          <w:szCs w:val="24"/>
        </w:rPr>
        <w:t>施工组织设计</w:t>
      </w:r>
    </w:p>
    <w:p w14:paraId="27923556">
      <w:pPr>
        <w:spacing w:before="136" w:line="228" w:lineRule="auto"/>
        <w:ind w:left="420"/>
        <w:rPr>
          <w:rFonts w:ascii="宋体" w:hAnsi="宋体" w:eastAsia="宋体" w:cs="宋体"/>
          <w:sz w:val="20"/>
          <w:szCs w:val="20"/>
        </w:rPr>
      </w:pPr>
      <w:r>
        <w:rPr>
          <w:rFonts w:ascii="Times New Roman" w:hAnsi="Times New Roman" w:eastAsia="Times New Roman" w:cs="Times New Roman"/>
          <w:spacing w:val="3"/>
          <w:sz w:val="20"/>
          <w:szCs w:val="20"/>
        </w:rPr>
        <w:t>7.</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 xml:space="preserve">1  </w:t>
      </w:r>
      <w:r>
        <w:rPr>
          <w:rFonts w:ascii="宋体" w:hAnsi="宋体" w:eastAsia="宋体" w:cs="宋体"/>
          <w:spacing w:val="3"/>
          <w:sz w:val="20"/>
          <w:szCs w:val="20"/>
        </w:rPr>
        <w:t>施工组织设计的内容</w:t>
      </w:r>
    </w:p>
    <w:p w14:paraId="16A524CF">
      <w:pPr>
        <w:spacing w:before="154" w:line="228" w:lineRule="auto"/>
        <w:ind w:left="420"/>
        <w:rPr>
          <w:rFonts w:ascii="宋体" w:hAnsi="宋体" w:eastAsia="宋体" w:cs="宋体"/>
          <w:sz w:val="20"/>
          <w:szCs w:val="20"/>
        </w:rPr>
      </w:pPr>
      <w:r>
        <w:rPr>
          <w:rFonts w:ascii="宋体" w:hAnsi="宋体" w:eastAsia="宋体" w:cs="宋体"/>
          <w:spacing w:val="8"/>
          <w:sz w:val="20"/>
          <w:szCs w:val="20"/>
        </w:rPr>
        <w:t>施工组织设计应包含以下内容：</w:t>
      </w:r>
    </w:p>
    <w:p w14:paraId="22C0FED6">
      <w:pPr>
        <w:spacing w:before="155" w:line="228" w:lineRule="auto"/>
        <w:ind w:left="430"/>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1</w:t>
      </w:r>
      <w:r>
        <w:rPr>
          <w:rFonts w:ascii="宋体" w:hAnsi="宋体" w:eastAsia="宋体" w:cs="宋体"/>
          <w:spacing w:val="5"/>
          <w:sz w:val="20"/>
          <w:szCs w:val="20"/>
        </w:rPr>
        <w:t>）施工方案；</w:t>
      </w:r>
    </w:p>
    <w:p w14:paraId="0473D889">
      <w:pPr>
        <w:spacing w:before="150"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）施工现场平面布置图；</w:t>
      </w:r>
    </w:p>
    <w:p w14:paraId="51137258">
      <w:pPr>
        <w:spacing w:before="156"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）施工进度计划和保证措施；</w:t>
      </w:r>
    </w:p>
    <w:p w14:paraId="4F6D49C8">
      <w:pPr>
        <w:spacing w:before="153"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）劳动力及材料供应计划；</w:t>
      </w:r>
    </w:p>
    <w:p w14:paraId="21AE40F1">
      <w:pPr>
        <w:spacing w:before="153"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）施工机械设备的选用；</w:t>
      </w:r>
    </w:p>
    <w:p w14:paraId="42BB5E78">
      <w:pPr>
        <w:spacing w:before="155"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6</w:t>
      </w:r>
      <w:r>
        <w:rPr>
          <w:rFonts w:ascii="宋体" w:hAnsi="宋体" w:eastAsia="宋体" w:cs="宋体"/>
          <w:spacing w:val="7"/>
          <w:sz w:val="20"/>
          <w:szCs w:val="20"/>
        </w:rPr>
        <w:t>）质量保证体系及措施；</w:t>
      </w:r>
    </w:p>
    <w:p w14:paraId="11198222">
      <w:pPr>
        <w:spacing w:before="153"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7</w:t>
      </w:r>
      <w:r>
        <w:rPr>
          <w:rFonts w:ascii="宋体" w:hAnsi="宋体" w:eastAsia="宋体" w:cs="宋体"/>
          <w:spacing w:val="7"/>
          <w:sz w:val="20"/>
          <w:szCs w:val="20"/>
        </w:rPr>
        <w:t>）安全生产、文明施工措施；</w:t>
      </w:r>
    </w:p>
    <w:p w14:paraId="51F65E3F">
      <w:pPr>
        <w:spacing w:before="152"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8</w:t>
      </w:r>
      <w:r>
        <w:rPr>
          <w:rFonts w:ascii="宋体" w:hAnsi="宋体" w:eastAsia="宋体" w:cs="宋体"/>
          <w:spacing w:val="7"/>
          <w:sz w:val="20"/>
          <w:szCs w:val="20"/>
        </w:rPr>
        <w:t>）环境保护、成本控制措施；</w:t>
      </w:r>
    </w:p>
    <w:p w14:paraId="34A5D276">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9</w:t>
      </w:r>
      <w:r>
        <w:rPr>
          <w:rFonts w:ascii="宋体" w:hAnsi="宋体" w:eastAsia="宋体" w:cs="宋体"/>
          <w:spacing w:val="7"/>
          <w:sz w:val="20"/>
          <w:szCs w:val="20"/>
        </w:rPr>
        <w:t>）合同当事人约定的其他内容。</w:t>
      </w:r>
    </w:p>
    <w:p w14:paraId="56C595E1">
      <w:pPr>
        <w:spacing w:before="154" w:line="228" w:lineRule="auto"/>
        <w:ind w:left="420"/>
        <w:rPr>
          <w:rFonts w:ascii="宋体" w:hAnsi="宋体" w:eastAsia="宋体" w:cs="宋体"/>
          <w:sz w:val="20"/>
          <w:szCs w:val="20"/>
        </w:rPr>
      </w:pPr>
      <w:r>
        <w:rPr>
          <w:rFonts w:ascii="Times New Roman" w:hAnsi="Times New Roman" w:eastAsia="Times New Roman" w:cs="Times New Roman"/>
          <w:spacing w:val="5"/>
          <w:sz w:val="20"/>
          <w:szCs w:val="20"/>
        </w:rPr>
        <w:t>7.</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5"/>
          <w:sz w:val="20"/>
          <w:szCs w:val="20"/>
        </w:rPr>
        <w:t xml:space="preserve">1.2  </w:t>
      </w:r>
      <w:r>
        <w:rPr>
          <w:rFonts w:ascii="宋体" w:hAnsi="宋体" w:eastAsia="宋体" w:cs="宋体"/>
          <w:spacing w:val="5"/>
          <w:sz w:val="20"/>
          <w:szCs w:val="20"/>
        </w:rPr>
        <w:t>施工组织设计的提交和修改</w:t>
      </w:r>
    </w:p>
    <w:p w14:paraId="2DE34458">
      <w:pPr>
        <w:spacing w:before="149" w:line="370" w:lineRule="auto"/>
        <w:ind w:firstLine="432"/>
        <w:rPr>
          <w:rFonts w:ascii="宋体" w:hAnsi="宋体" w:eastAsia="宋体" w:cs="宋体"/>
          <w:sz w:val="20"/>
          <w:szCs w:val="20"/>
        </w:rPr>
      </w:pPr>
      <w:r>
        <w:rPr>
          <w:rFonts w:ascii="宋体" w:hAnsi="宋体" w:eastAsia="宋体" w:cs="宋体"/>
          <w:spacing w:val="3"/>
          <w:sz w:val="20"/>
          <w:szCs w:val="20"/>
        </w:rPr>
        <w:t>除专用合同条款另有约定外，承包人应在合同签订后</w:t>
      </w:r>
      <w:r>
        <w:rPr>
          <w:rFonts w:ascii="宋体" w:hAnsi="宋体" w:eastAsia="宋体" w:cs="宋体"/>
          <w:spacing w:val="-20"/>
          <w:sz w:val="20"/>
          <w:szCs w:val="20"/>
        </w:rPr>
        <w:t xml:space="preserve"> </w:t>
      </w:r>
      <w:r>
        <w:rPr>
          <w:rFonts w:ascii="Times New Roman" w:hAnsi="Times New Roman" w:eastAsia="Times New Roman" w:cs="Times New Roman"/>
          <w:spacing w:val="3"/>
          <w:sz w:val="20"/>
          <w:szCs w:val="20"/>
        </w:rPr>
        <w:t>14</w:t>
      </w:r>
      <w:r>
        <w:rPr>
          <w:rFonts w:ascii="Times New Roman" w:hAnsi="Times New Roman" w:eastAsia="Times New Roman" w:cs="Times New Roman"/>
          <w:spacing w:val="13"/>
          <w:w w:val="101"/>
          <w:sz w:val="20"/>
          <w:szCs w:val="20"/>
        </w:rPr>
        <w:t xml:space="preserve"> </w:t>
      </w:r>
      <w:r>
        <w:rPr>
          <w:rFonts w:ascii="宋体" w:hAnsi="宋体" w:eastAsia="宋体" w:cs="宋体"/>
          <w:spacing w:val="3"/>
          <w:sz w:val="20"/>
          <w:szCs w:val="20"/>
        </w:rPr>
        <w:t>天内，但至迟不</w:t>
      </w:r>
      <w:r>
        <w:rPr>
          <w:rFonts w:ascii="宋体" w:hAnsi="宋体" w:eastAsia="宋体" w:cs="宋体"/>
          <w:spacing w:val="2"/>
          <w:sz w:val="20"/>
          <w:szCs w:val="20"/>
        </w:rPr>
        <w:t>得晚于第</w:t>
      </w:r>
      <w:r>
        <w:rPr>
          <w:rFonts w:ascii="宋体" w:hAnsi="宋体" w:eastAsia="宋体" w:cs="宋体"/>
          <w:spacing w:val="-37"/>
          <w:sz w:val="20"/>
          <w:szCs w:val="20"/>
        </w:rPr>
        <w:t xml:space="preserve"> </w:t>
      </w:r>
      <w:r>
        <w:rPr>
          <w:rFonts w:ascii="Times New Roman" w:hAnsi="Times New Roman" w:eastAsia="Times New Roman" w:cs="Times New Roman"/>
          <w:spacing w:val="2"/>
          <w:sz w:val="20"/>
          <w:szCs w:val="20"/>
        </w:rPr>
        <w:t xml:space="preserve">7.3.2 </w:t>
      </w:r>
      <w:r>
        <w:rPr>
          <w:rFonts w:ascii="宋体" w:hAnsi="宋体" w:eastAsia="宋体" w:cs="宋体"/>
          <w:spacing w:val="2"/>
          <w:sz w:val="20"/>
          <w:szCs w:val="20"/>
        </w:rPr>
        <w:t>项〔开</w:t>
      </w:r>
      <w:r>
        <w:rPr>
          <w:rFonts w:ascii="宋体" w:hAnsi="宋体" w:eastAsia="宋体" w:cs="宋体"/>
          <w:spacing w:val="9"/>
          <w:sz w:val="20"/>
          <w:szCs w:val="20"/>
        </w:rPr>
        <w:t>工通知〕载明的开工日期前</w:t>
      </w:r>
      <w:r>
        <w:rPr>
          <w:rFonts w:ascii="宋体" w:hAnsi="宋体" w:eastAsia="宋体" w:cs="宋体"/>
          <w:spacing w:val="-26"/>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天，向监理人提交详细的施工组织设计，并由监理人报送发包人。</w:t>
      </w:r>
      <w:r>
        <w:rPr>
          <w:rFonts w:ascii="宋体" w:hAnsi="宋体" w:eastAsia="宋体" w:cs="宋体"/>
          <w:spacing w:val="11"/>
          <w:sz w:val="20"/>
          <w:szCs w:val="20"/>
        </w:rPr>
        <w:t>除专用合同条款另有约定外，发包人和监理人应在监理人收到施</w:t>
      </w:r>
      <w:r>
        <w:rPr>
          <w:rFonts w:ascii="宋体" w:hAnsi="宋体" w:eastAsia="宋体" w:cs="宋体"/>
          <w:spacing w:val="10"/>
          <w:sz w:val="20"/>
          <w:szCs w:val="20"/>
        </w:rPr>
        <w:t>工组织设计后</w:t>
      </w:r>
      <w:r>
        <w:rPr>
          <w:rFonts w:ascii="Times New Roman" w:hAnsi="Times New Roman" w:eastAsia="Times New Roman" w:cs="Times New Roman"/>
          <w:spacing w:val="10"/>
          <w:sz w:val="20"/>
          <w:szCs w:val="20"/>
        </w:rPr>
        <w:t xml:space="preserve">7 </w:t>
      </w:r>
      <w:r>
        <w:rPr>
          <w:rFonts w:ascii="宋体" w:hAnsi="宋体" w:eastAsia="宋体" w:cs="宋体"/>
          <w:spacing w:val="10"/>
          <w:sz w:val="20"/>
          <w:szCs w:val="20"/>
        </w:rPr>
        <w:t>天内确认或提出修改意见。对发包人和监理人提出的合理意见和要求，承包人应自费修改</w:t>
      </w:r>
      <w:r>
        <w:rPr>
          <w:rFonts w:ascii="宋体" w:hAnsi="宋体" w:eastAsia="宋体" w:cs="宋体"/>
          <w:spacing w:val="9"/>
          <w:sz w:val="20"/>
          <w:szCs w:val="20"/>
        </w:rPr>
        <w:t>完善。根据工程实际情况需要修改施工组织设计的，承包人应向发包人和监理人提交修改后的施工组织设计。</w:t>
      </w:r>
    </w:p>
    <w:p w14:paraId="39C35A5A">
      <w:pPr>
        <w:spacing w:before="1" w:line="227" w:lineRule="auto"/>
        <w:ind w:left="420"/>
        <w:rPr>
          <w:rFonts w:ascii="宋体" w:hAnsi="宋体" w:eastAsia="宋体" w:cs="宋体"/>
          <w:sz w:val="20"/>
          <w:szCs w:val="20"/>
        </w:rPr>
      </w:pPr>
      <w:r>
        <w:rPr>
          <w:rFonts w:ascii="宋体" w:hAnsi="宋体" w:eastAsia="宋体" w:cs="宋体"/>
          <w:spacing w:val="8"/>
          <w:sz w:val="20"/>
          <w:szCs w:val="20"/>
        </w:rPr>
        <w:t>施工进度计划的编制和修改按照第</w:t>
      </w:r>
      <w:r>
        <w:rPr>
          <w:rFonts w:ascii="宋体" w:hAnsi="宋体" w:eastAsia="宋体" w:cs="宋体"/>
          <w:spacing w:val="-32"/>
          <w:sz w:val="20"/>
          <w:szCs w:val="20"/>
        </w:rPr>
        <w:t xml:space="preserve"> </w:t>
      </w:r>
      <w:r>
        <w:rPr>
          <w:rFonts w:ascii="Times New Roman" w:hAnsi="Times New Roman" w:eastAsia="Times New Roman" w:cs="Times New Roman"/>
          <w:spacing w:val="8"/>
          <w:sz w:val="20"/>
          <w:szCs w:val="20"/>
        </w:rPr>
        <w:t xml:space="preserve">7.2 </w:t>
      </w:r>
      <w:r>
        <w:rPr>
          <w:rFonts w:ascii="宋体" w:hAnsi="宋体" w:eastAsia="宋体" w:cs="宋体"/>
          <w:spacing w:val="8"/>
          <w:sz w:val="20"/>
          <w:szCs w:val="20"/>
        </w:rPr>
        <w:t>款〔施工进度计划〕执行。</w:t>
      </w:r>
    </w:p>
    <w:p w14:paraId="56BA2A08">
      <w:pPr>
        <w:pStyle w:val="2"/>
        <w:spacing w:before="127" w:line="222" w:lineRule="auto"/>
        <w:rPr>
          <w:sz w:val="24"/>
          <w:szCs w:val="24"/>
        </w:rPr>
      </w:pPr>
      <w:r>
        <w:rPr>
          <w:rFonts w:ascii="Times New Roman" w:hAnsi="Times New Roman" w:eastAsia="Times New Roman" w:cs="Times New Roman"/>
          <w:b/>
          <w:bCs/>
          <w:spacing w:val="-2"/>
          <w:sz w:val="24"/>
          <w:szCs w:val="24"/>
        </w:rPr>
        <w:t xml:space="preserve">7.2  </w:t>
      </w:r>
      <w:r>
        <w:rPr>
          <w:b/>
          <w:bCs/>
          <w:spacing w:val="-2"/>
          <w:sz w:val="24"/>
          <w:szCs w:val="24"/>
        </w:rPr>
        <w:t>施工进度计划</w:t>
      </w:r>
    </w:p>
    <w:p w14:paraId="14D4A01D">
      <w:pPr>
        <w:spacing w:before="137" w:line="228" w:lineRule="auto"/>
        <w:ind w:left="420"/>
        <w:rPr>
          <w:rFonts w:ascii="宋体" w:hAnsi="宋体" w:eastAsia="宋体" w:cs="宋体"/>
          <w:sz w:val="20"/>
          <w:szCs w:val="20"/>
        </w:rPr>
      </w:pPr>
      <w:r>
        <w:rPr>
          <w:rFonts w:ascii="Times New Roman" w:hAnsi="Times New Roman" w:eastAsia="Times New Roman" w:cs="Times New Roman"/>
          <w:spacing w:val="5"/>
          <w:sz w:val="20"/>
          <w:szCs w:val="20"/>
        </w:rPr>
        <w:t>7.2.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施工进度计划的编制</w:t>
      </w:r>
    </w:p>
    <w:p w14:paraId="17234FFC">
      <w:pPr>
        <w:spacing w:before="153" w:line="369" w:lineRule="auto"/>
        <w:ind w:left="1" w:firstLine="419"/>
        <w:rPr>
          <w:rFonts w:ascii="宋体" w:hAnsi="宋体" w:eastAsia="宋体" w:cs="宋体"/>
          <w:sz w:val="20"/>
          <w:szCs w:val="20"/>
        </w:rPr>
      </w:pPr>
      <w:r>
        <w:rPr>
          <w:rFonts w:ascii="宋体" w:hAnsi="宋体" w:eastAsia="宋体" w:cs="宋体"/>
          <w:spacing w:val="10"/>
          <w:sz w:val="20"/>
          <w:szCs w:val="20"/>
        </w:rPr>
        <w:t>承包人应按照第</w:t>
      </w:r>
      <w:r>
        <w:rPr>
          <w:rFonts w:ascii="宋体" w:hAnsi="宋体" w:eastAsia="宋体" w:cs="宋体"/>
          <w:spacing w:val="-38"/>
          <w:sz w:val="20"/>
          <w:szCs w:val="20"/>
        </w:rPr>
        <w:t xml:space="preserve"> </w:t>
      </w:r>
      <w:r>
        <w:rPr>
          <w:rFonts w:ascii="Times New Roman" w:hAnsi="Times New Roman" w:eastAsia="Times New Roman" w:cs="Times New Roman"/>
          <w:spacing w:val="10"/>
          <w:sz w:val="20"/>
          <w:szCs w:val="20"/>
        </w:rPr>
        <w:t>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款〔施工组织设计〕约定提交详</w:t>
      </w:r>
      <w:r>
        <w:rPr>
          <w:rFonts w:ascii="宋体" w:hAnsi="宋体" w:eastAsia="宋体" w:cs="宋体"/>
          <w:spacing w:val="9"/>
          <w:sz w:val="20"/>
          <w:szCs w:val="20"/>
        </w:rPr>
        <w:t>细的施工进度计划，施工进度计划的编</w:t>
      </w:r>
      <w:r>
        <w:rPr>
          <w:rFonts w:ascii="宋体" w:hAnsi="宋体" w:eastAsia="宋体" w:cs="宋体"/>
          <w:spacing w:val="10"/>
          <w:sz w:val="20"/>
          <w:szCs w:val="20"/>
        </w:rPr>
        <w:t>制应当符合国家法律规定和一般工程实践惯例，施工进度计划经发包人</w:t>
      </w:r>
      <w:r>
        <w:rPr>
          <w:rFonts w:ascii="宋体" w:hAnsi="宋体" w:eastAsia="宋体" w:cs="宋体"/>
          <w:spacing w:val="9"/>
          <w:sz w:val="20"/>
          <w:szCs w:val="20"/>
        </w:rPr>
        <w:t>批准后实施。施工进度计</w:t>
      </w:r>
    </w:p>
    <w:p w14:paraId="7104B0C7">
      <w:pPr>
        <w:spacing w:line="369" w:lineRule="auto"/>
        <w:rPr>
          <w:rFonts w:ascii="宋体" w:hAnsi="宋体" w:eastAsia="宋体" w:cs="宋体"/>
          <w:sz w:val="20"/>
          <w:szCs w:val="20"/>
        </w:rPr>
        <w:sectPr>
          <w:footerReference r:id="rId253" w:type="default"/>
          <w:pgSz w:w="11906" w:h="16839"/>
          <w:pgMar w:top="400" w:right="1554" w:bottom="1038" w:left="1538" w:header="0" w:footer="787" w:gutter="0"/>
          <w:cols w:space="720" w:num="1"/>
        </w:sectPr>
      </w:pPr>
    </w:p>
    <w:p w14:paraId="6110CAAA">
      <w:pPr>
        <w:spacing w:line="271" w:lineRule="auto"/>
        <w:rPr>
          <w:rFonts w:ascii="Arial"/>
          <w:sz w:val="21"/>
        </w:rPr>
      </w:pPr>
    </w:p>
    <w:p w14:paraId="22BAF8E3">
      <w:pPr>
        <w:spacing w:line="272" w:lineRule="auto"/>
        <w:rPr>
          <w:rFonts w:ascii="Arial"/>
          <w:sz w:val="21"/>
        </w:rPr>
      </w:pPr>
    </w:p>
    <w:p w14:paraId="3F71FD05">
      <w:pPr>
        <w:spacing w:line="272" w:lineRule="auto"/>
        <w:rPr>
          <w:rFonts w:ascii="Arial"/>
          <w:sz w:val="21"/>
        </w:rPr>
      </w:pPr>
    </w:p>
    <w:p w14:paraId="2568973A">
      <w:pPr>
        <w:spacing w:line="272" w:lineRule="auto"/>
        <w:rPr>
          <w:rFonts w:ascii="Arial"/>
          <w:sz w:val="21"/>
        </w:rPr>
      </w:pPr>
    </w:p>
    <w:p w14:paraId="79829712">
      <w:pPr>
        <w:spacing w:before="65" w:line="227" w:lineRule="auto"/>
        <w:rPr>
          <w:rFonts w:ascii="宋体" w:hAnsi="宋体" w:eastAsia="宋体" w:cs="宋体"/>
          <w:sz w:val="20"/>
          <w:szCs w:val="20"/>
        </w:rPr>
      </w:pPr>
      <w:r>
        <w:rPr>
          <w:rFonts w:ascii="宋体" w:hAnsi="宋体" w:eastAsia="宋体" w:cs="宋体"/>
          <w:spacing w:val="9"/>
          <w:sz w:val="20"/>
          <w:szCs w:val="20"/>
        </w:rPr>
        <w:t>划是控制工程进度的依据，发包人和监理人有权按照施工进度计划检查工程进度情况。</w:t>
      </w:r>
    </w:p>
    <w:p w14:paraId="270E7899">
      <w:pPr>
        <w:spacing w:before="152" w:line="228" w:lineRule="auto"/>
        <w:ind w:left="420"/>
        <w:rPr>
          <w:rFonts w:ascii="宋体" w:hAnsi="宋体" w:eastAsia="宋体" w:cs="宋体"/>
          <w:sz w:val="20"/>
          <w:szCs w:val="20"/>
        </w:rPr>
      </w:pPr>
      <w:r>
        <w:rPr>
          <w:rFonts w:ascii="Times New Roman" w:hAnsi="Times New Roman" w:eastAsia="Times New Roman" w:cs="Times New Roman"/>
          <w:spacing w:val="6"/>
          <w:sz w:val="20"/>
          <w:szCs w:val="20"/>
        </w:rPr>
        <w:t xml:space="preserve">7.2.2  </w:t>
      </w:r>
      <w:r>
        <w:rPr>
          <w:rFonts w:ascii="宋体" w:hAnsi="宋体" w:eastAsia="宋体" w:cs="宋体"/>
          <w:spacing w:val="6"/>
          <w:sz w:val="20"/>
          <w:szCs w:val="20"/>
        </w:rPr>
        <w:t>施工进度计划的修订</w:t>
      </w:r>
    </w:p>
    <w:p w14:paraId="1EABD6E2">
      <w:pPr>
        <w:spacing w:before="152" w:line="365" w:lineRule="auto"/>
        <w:ind w:firstLine="420"/>
        <w:rPr>
          <w:rFonts w:ascii="宋体" w:hAnsi="宋体" w:eastAsia="宋体" w:cs="宋体"/>
          <w:sz w:val="20"/>
          <w:szCs w:val="20"/>
        </w:rPr>
      </w:pPr>
      <w:r>
        <w:rPr>
          <w:rFonts w:ascii="宋体" w:hAnsi="宋体" w:eastAsia="宋体" w:cs="宋体"/>
          <w:spacing w:val="10"/>
          <w:sz w:val="20"/>
          <w:szCs w:val="20"/>
        </w:rPr>
        <w:t>施工进度计划不符合合同要求或与工程的实际进度不一致的，承包人应</w:t>
      </w:r>
      <w:r>
        <w:rPr>
          <w:rFonts w:ascii="宋体" w:hAnsi="宋体" w:eastAsia="宋体" w:cs="宋体"/>
          <w:spacing w:val="9"/>
          <w:sz w:val="20"/>
          <w:szCs w:val="20"/>
        </w:rPr>
        <w:t>向监理人提交修订的</w:t>
      </w:r>
      <w:r>
        <w:rPr>
          <w:rFonts w:ascii="宋体" w:hAnsi="宋体" w:eastAsia="宋体" w:cs="宋体"/>
          <w:spacing w:val="6"/>
          <w:sz w:val="20"/>
          <w:szCs w:val="20"/>
        </w:rPr>
        <w:t>施工进度计划，并附具有关措施和相关资料，由监理人报送发包人。除专用合同条款另有约定外，</w:t>
      </w:r>
      <w:r>
        <w:rPr>
          <w:rFonts w:ascii="宋体" w:hAnsi="宋体" w:eastAsia="宋体" w:cs="宋体"/>
          <w:spacing w:val="9"/>
          <w:sz w:val="20"/>
          <w:szCs w:val="20"/>
        </w:rPr>
        <w:t>发包人和监理人应在收到修订的施工进度计划后</w:t>
      </w:r>
      <w:r>
        <w:rPr>
          <w:rFonts w:ascii="宋体" w:hAnsi="宋体" w:eastAsia="宋体" w:cs="宋体"/>
          <w:spacing w:val="-33"/>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天内完成审核和批准或提出修改意见。发包人</w:t>
      </w:r>
      <w:r>
        <w:rPr>
          <w:rFonts w:ascii="宋体" w:hAnsi="宋体" w:eastAsia="宋体" w:cs="宋体"/>
          <w:spacing w:val="10"/>
          <w:sz w:val="20"/>
          <w:szCs w:val="20"/>
        </w:rPr>
        <w:t>和监理人对承包人提交的施工进度计划的确认，不能减轻或免除承包人根据</w:t>
      </w:r>
      <w:r>
        <w:rPr>
          <w:rFonts w:ascii="宋体" w:hAnsi="宋体" w:eastAsia="宋体" w:cs="宋体"/>
          <w:spacing w:val="9"/>
          <w:sz w:val="20"/>
          <w:szCs w:val="20"/>
        </w:rPr>
        <w:t>法律规定和合同约定</w:t>
      </w:r>
      <w:r>
        <w:rPr>
          <w:rFonts w:ascii="宋体" w:hAnsi="宋体" w:eastAsia="宋体" w:cs="宋体"/>
          <w:spacing w:val="8"/>
          <w:sz w:val="20"/>
          <w:szCs w:val="20"/>
        </w:rPr>
        <w:t>应承担的任何责任或义务。</w:t>
      </w:r>
    </w:p>
    <w:p w14:paraId="583DCA2E">
      <w:pPr>
        <w:pStyle w:val="2"/>
        <w:spacing w:line="224" w:lineRule="auto"/>
        <w:rPr>
          <w:sz w:val="24"/>
          <w:szCs w:val="24"/>
        </w:rPr>
      </w:pPr>
      <w:r>
        <w:rPr>
          <w:rFonts w:ascii="Times New Roman" w:hAnsi="Times New Roman" w:eastAsia="Times New Roman" w:cs="Times New Roman"/>
          <w:b/>
          <w:bCs/>
          <w:spacing w:val="-6"/>
          <w:sz w:val="24"/>
          <w:szCs w:val="24"/>
        </w:rPr>
        <w:t>7.3</w:t>
      </w:r>
      <w:r>
        <w:rPr>
          <w:rFonts w:ascii="Times New Roman" w:hAnsi="Times New Roman" w:eastAsia="Times New Roman" w:cs="Times New Roman"/>
          <w:b/>
          <w:bCs/>
          <w:spacing w:val="7"/>
          <w:sz w:val="24"/>
          <w:szCs w:val="24"/>
        </w:rPr>
        <w:t xml:space="preserve">  </w:t>
      </w:r>
      <w:r>
        <w:rPr>
          <w:b/>
          <w:bCs/>
          <w:spacing w:val="-6"/>
          <w:sz w:val="24"/>
          <w:szCs w:val="24"/>
        </w:rPr>
        <w:t>开工</w:t>
      </w:r>
    </w:p>
    <w:p w14:paraId="34F2BDE9">
      <w:pPr>
        <w:spacing w:before="133" w:line="229" w:lineRule="auto"/>
        <w:ind w:left="420"/>
        <w:rPr>
          <w:rFonts w:ascii="宋体" w:hAnsi="宋体" w:eastAsia="宋体" w:cs="宋体"/>
          <w:sz w:val="20"/>
          <w:szCs w:val="20"/>
        </w:rPr>
      </w:pPr>
      <w:r>
        <w:rPr>
          <w:rFonts w:ascii="Times New Roman" w:hAnsi="Times New Roman" w:eastAsia="Times New Roman" w:cs="Times New Roman"/>
          <w:spacing w:val="1"/>
          <w:sz w:val="20"/>
          <w:szCs w:val="20"/>
        </w:rPr>
        <w:t>7.3.</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6"/>
          <w:sz w:val="20"/>
          <w:szCs w:val="20"/>
        </w:rPr>
        <w:t xml:space="preserve">  </w:t>
      </w:r>
      <w:r>
        <w:rPr>
          <w:rFonts w:ascii="宋体" w:hAnsi="宋体" w:eastAsia="宋体" w:cs="宋体"/>
          <w:spacing w:val="1"/>
          <w:sz w:val="20"/>
          <w:szCs w:val="20"/>
        </w:rPr>
        <w:t>开工准备</w:t>
      </w:r>
    </w:p>
    <w:p w14:paraId="5DE353C7">
      <w:pPr>
        <w:spacing w:before="152" w:line="369" w:lineRule="auto"/>
        <w:ind w:right="54" w:firstLine="433"/>
        <w:rPr>
          <w:rFonts w:ascii="宋体" w:hAnsi="宋体" w:eastAsia="宋体" w:cs="宋体"/>
          <w:sz w:val="20"/>
          <w:szCs w:val="20"/>
        </w:rPr>
      </w:pPr>
      <w:r>
        <w:rPr>
          <w:rFonts w:ascii="宋体" w:hAnsi="宋体" w:eastAsia="宋体" w:cs="宋体"/>
          <w:spacing w:val="9"/>
          <w:sz w:val="20"/>
          <w:szCs w:val="20"/>
        </w:rPr>
        <w:t>除专用合同条款另有约定外，承包人应按照第</w:t>
      </w:r>
      <w:r>
        <w:rPr>
          <w:rFonts w:ascii="宋体" w:hAnsi="宋体" w:eastAsia="宋体" w:cs="宋体"/>
          <w:spacing w:val="-25"/>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款〔施工组织设计〕约定的期限，向监理</w:t>
      </w:r>
      <w:r>
        <w:rPr>
          <w:rFonts w:ascii="宋体" w:hAnsi="宋体" w:eastAsia="宋体" w:cs="宋体"/>
          <w:spacing w:val="10"/>
          <w:sz w:val="20"/>
          <w:szCs w:val="20"/>
        </w:rPr>
        <w:t>人提交工程开工报审表，经监理人报发包人批准后执行。开工报审表应详细</w:t>
      </w:r>
      <w:r>
        <w:rPr>
          <w:rFonts w:ascii="宋体" w:hAnsi="宋体" w:eastAsia="宋体" w:cs="宋体"/>
          <w:spacing w:val="9"/>
          <w:sz w:val="20"/>
          <w:szCs w:val="20"/>
        </w:rPr>
        <w:t>说明按施工进度计划</w:t>
      </w:r>
      <w:r>
        <w:rPr>
          <w:rFonts w:ascii="宋体" w:hAnsi="宋体" w:eastAsia="宋体" w:cs="宋体"/>
          <w:spacing w:val="10"/>
          <w:sz w:val="20"/>
          <w:szCs w:val="20"/>
        </w:rPr>
        <w:t>正常施工所需的施工道路、临时设施、材料、工程设备、施工设备、施工人</w:t>
      </w:r>
      <w:r>
        <w:rPr>
          <w:rFonts w:ascii="宋体" w:hAnsi="宋体" w:eastAsia="宋体" w:cs="宋体"/>
          <w:spacing w:val="9"/>
          <w:sz w:val="20"/>
          <w:szCs w:val="20"/>
        </w:rPr>
        <w:t>员等落实情况以及工</w:t>
      </w:r>
      <w:r>
        <w:rPr>
          <w:rFonts w:ascii="宋体" w:hAnsi="宋体" w:eastAsia="宋体" w:cs="宋体"/>
          <w:spacing w:val="7"/>
          <w:sz w:val="20"/>
          <w:szCs w:val="20"/>
        </w:rPr>
        <w:t>程的进度安排。</w:t>
      </w:r>
    </w:p>
    <w:p w14:paraId="082B9D48">
      <w:pPr>
        <w:spacing w:line="227" w:lineRule="auto"/>
        <w:ind w:left="433"/>
        <w:rPr>
          <w:rFonts w:ascii="宋体" w:hAnsi="宋体" w:eastAsia="宋体" w:cs="宋体"/>
          <w:sz w:val="20"/>
          <w:szCs w:val="20"/>
        </w:rPr>
      </w:pPr>
      <w:r>
        <w:rPr>
          <w:rFonts w:ascii="宋体" w:hAnsi="宋体" w:eastAsia="宋体" w:cs="宋体"/>
          <w:spacing w:val="9"/>
          <w:sz w:val="20"/>
          <w:szCs w:val="20"/>
        </w:rPr>
        <w:t>除专用合同条款另有约定外，合同当事人应按约定完成开工准备</w:t>
      </w:r>
      <w:r>
        <w:rPr>
          <w:rFonts w:ascii="宋体" w:hAnsi="宋体" w:eastAsia="宋体" w:cs="宋体"/>
          <w:spacing w:val="8"/>
          <w:sz w:val="20"/>
          <w:szCs w:val="20"/>
        </w:rPr>
        <w:t>工作。</w:t>
      </w:r>
    </w:p>
    <w:p w14:paraId="18382ADA">
      <w:pPr>
        <w:spacing w:before="154" w:line="229" w:lineRule="auto"/>
        <w:ind w:left="420"/>
        <w:rPr>
          <w:rFonts w:ascii="宋体" w:hAnsi="宋体" w:eastAsia="宋体" w:cs="宋体"/>
          <w:sz w:val="20"/>
          <w:szCs w:val="20"/>
        </w:rPr>
      </w:pPr>
      <w:r>
        <w:rPr>
          <w:rFonts w:ascii="Times New Roman" w:hAnsi="Times New Roman" w:eastAsia="Times New Roman" w:cs="Times New Roman"/>
          <w:spacing w:val="5"/>
          <w:sz w:val="20"/>
          <w:szCs w:val="20"/>
        </w:rPr>
        <w:t xml:space="preserve">7.3.2  </w:t>
      </w:r>
      <w:r>
        <w:rPr>
          <w:rFonts w:ascii="宋体" w:hAnsi="宋体" w:eastAsia="宋体" w:cs="宋体"/>
          <w:spacing w:val="5"/>
          <w:sz w:val="20"/>
          <w:szCs w:val="20"/>
        </w:rPr>
        <w:t>开工通知</w:t>
      </w:r>
    </w:p>
    <w:p w14:paraId="11100279">
      <w:pPr>
        <w:spacing w:before="153" w:line="369" w:lineRule="auto"/>
        <w:ind w:right="54" w:firstLine="423"/>
        <w:rPr>
          <w:rFonts w:ascii="宋体" w:hAnsi="宋体" w:eastAsia="宋体" w:cs="宋体"/>
          <w:sz w:val="20"/>
          <w:szCs w:val="20"/>
        </w:rPr>
      </w:pPr>
      <w:r>
        <w:rPr>
          <w:rFonts w:ascii="宋体" w:hAnsi="宋体" w:eastAsia="宋体" w:cs="宋体"/>
          <w:spacing w:val="10"/>
          <w:sz w:val="20"/>
          <w:szCs w:val="20"/>
        </w:rPr>
        <w:t>发包人应按照法律规定获得工程施工所需的许可。经发包人同</w:t>
      </w:r>
      <w:r>
        <w:rPr>
          <w:rFonts w:ascii="宋体" w:hAnsi="宋体" w:eastAsia="宋体" w:cs="宋体"/>
          <w:spacing w:val="9"/>
          <w:sz w:val="20"/>
          <w:szCs w:val="20"/>
        </w:rPr>
        <w:t>意后，监理人发出的开工通知应符合法律规定。监理人应在计划开工日期</w:t>
      </w:r>
      <w:r>
        <w:rPr>
          <w:rFonts w:ascii="宋体" w:hAnsi="宋体" w:eastAsia="宋体" w:cs="宋体"/>
          <w:spacing w:val="-34"/>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天前向承包人发出开工通知，工期自开工通知中载</w:t>
      </w:r>
      <w:r>
        <w:rPr>
          <w:rFonts w:ascii="宋体" w:hAnsi="宋体" w:eastAsia="宋体" w:cs="宋体"/>
          <w:spacing w:val="7"/>
          <w:sz w:val="20"/>
          <w:szCs w:val="20"/>
        </w:rPr>
        <w:t>明的开工日期起算。</w:t>
      </w:r>
    </w:p>
    <w:p w14:paraId="7633562B">
      <w:pPr>
        <w:spacing w:line="361" w:lineRule="auto"/>
        <w:ind w:left="1" w:right="54" w:firstLine="431"/>
        <w:jc w:val="both"/>
        <w:rPr>
          <w:rFonts w:ascii="宋体" w:hAnsi="宋体" w:eastAsia="宋体" w:cs="宋体"/>
          <w:sz w:val="20"/>
          <w:szCs w:val="20"/>
        </w:rPr>
      </w:pPr>
      <w:r>
        <w:rPr>
          <w:rFonts w:ascii="宋体" w:hAnsi="宋体" w:eastAsia="宋体" w:cs="宋体"/>
          <w:spacing w:val="6"/>
          <w:sz w:val="20"/>
          <w:szCs w:val="20"/>
        </w:rPr>
        <w:t>除专用合同条款另有约定外，因发包人原因造成监理人未能在计划开工日期之日起</w:t>
      </w:r>
      <w:r>
        <w:rPr>
          <w:rFonts w:ascii="宋体" w:hAnsi="宋体" w:eastAsia="宋体" w:cs="宋体"/>
          <w:spacing w:val="-34"/>
          <w:sz w:val="20"/>
          <w:szCs w:val="20"/>
        </w:rPr>
        <w:t xml:space="preserve"> </w:t>
      </w:r>
      <w:r>
        <w:rPr>
          <w:rFonts w:ascii="Times New Roman" w:hAnsi="Times New Roman" w:eastAsia="Times New Roman" w:cs="Times New Roman"/>
          <w:spacing w:val="6"/>
          <w:sz w:val="20"/>
          <w:szCs w:val="20"/>
        </w:rPr>
        <w:t>90</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天内发</w:t>
      </w:r>
      <w:r>
        <w:rPr>
          <w:rFonts w:ascii="宋体" w:hAnsi="宋体" w:eastAsia="宋体" w:cs="宋体"/>
          <w:spacing w:val="10"/>
          <w:sz w:val="20"/>
          <w:szCs w:val="20"/>
        </w:rPr>
        <w:t>出开工通知的，承包人有权提出价格调整要求，或者解除合同。发包人</w:t>
      </w:r>
      <w:r>
        <w:rPr>
          <w:rFonts w:ascii="宋体" w:hAnsi="宋体" w:eastAsia="宋体" w:cs="宋体"/>
          <w:spacing w:val="9"/>
          <w:sz w:val="20"/>
          <w:szCs w:val="20"/>
        </w:rPr>
        <w:t>应当承担由此增加的费用和（或）延误的工期，并向承包人支付合理利润。</w:t>
      </w:r>
    </w:p>
    <w:p w14:paraId="7CEA3019">
      <w:pPr>
        <w:pStyle w:val="2"/>
        <w:spacing w:before="1" w:line="219" w:lineRule="auto"/>
        <w:rPr>
          <w:sz w:val="24"/>
          <w:szCs w:val="24"/>
        </w:rPr>
      </w:pPr>
      <w:r>
        <w:rPr>
          <w:rFonts w:ascii="Times New Roman" w:hAnsi="Times New Roman" w:eastAsia="Times New Roman" w:cs="Times New Roman"/>
          <w:b/>
          <w:bCs/>
          <w:spacing w:val="-2"/>
          <w:sz w:val="24"/>
          <w:szCs w:val="24"/>
        </w:rPr>
        <w:t xml:space="preserve">7.4 </w:t>
      </w:r>
      <w:r>
        <w:rPr>
          <w:b/>
          <w:bCs/>
          <w:spacing w:val="-2"/>
          <w:sz w:val="24"/>
          <w:szCs w:val="24"/>
        </w:rPr>
        <w:t>测量放线</w:t>
      </w:r>
    </w:p>
    <w:p w14:paraId="1A5948CF">
      <w:pPr>
        <w:spacing w:before="141" w:line="369" w:lineRule="auto"/>
        <w:ind w:right="54" w:firstLine="420"/>
        <w:jc w:val="both"/>
        <w:rPr>
          <w:rFonts w:ascii="宋体" w:hAnsi="宋体" w:eastAsia="宋体" w:cs="宋体"/>
          <w:sz w:val="20"/>
          <w:szCs w:val="20"/>
        </w:rPr>
      </w:pPr>
      <w:r>
        <w:rPr>
          <w:rFonts w:ascii="Times New Roman" w:hAnsi="Times New Roman" w:eastAsia="Times New Roman" w:cs="Times New Roman"/>
          <w:spacing w:val="7"/>
          <w:sz w:val="20"/>
          <w:szCs w:val="20"/>
        </w:rPr>
        <w:t>7.4.</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除专用合同条款另有约定外，发包人应在至迟不得晚于第</w:t>
      </w:r>
      <w:r>
        <w:rPr>
          <w:rFonts w:ascii="宋体" w:hAnsi="宋体" w:eastAsia="宋体" w:cs="宋体"/>
          <w:spacing w:val="-39"/>
          <w:sz w:val="20"/>
          <w:szCs w:val="20"/>
        </w:rPr>
        <w:t xml:space="preserve"> </w:t>
      </w:r>
      <w:r>
        <w:rPr>
          <w:rFonts w:ascii="Times New Roman" w:hAnsi="Times New Roman" w:eastAsia="Times New Roman" w:cs="Times New Roman"/>
          <w:spacing w:val="7"/>
          <w:sz w:val="20"/>
          <w:szCs w:val="20"/>
        </w:rPr>
        <w:t xml:space="preserve">7.3.2 </w:t>
      </w:r>
      <w:r>
        <w:rPr>
          <w:rFonts w:ascii="宋体" w:hAnsi="宋体" w:eastAsia="宋体" w:cs="宋体"/>
          <w:spacing w:val="7"/>
          <w:sz w:val="20"/>
          <w:szCs w:val="20"/>
        </w:rPr>
        <w:t>项〔开工通知〕载明的</w:t>
      </w:r>
      <w:r>
        <w:rPr>
          <w:rFonts w:ascii="宋体" w:hAnsi="宋体" w:eastAsia="宋体" w:cs="宋体"/>
          <w:spacing w:val="9"/>
          <w:sz w:val="20"/>
          <w:szCs w:val="20"/>
        </w:rPr>
        <w:t>开工日期前</w:t>
      </w:r>
      <w:r>
        <w:rPr>
          <w:rFonts w:ascii="宋体" w:hAnsi="宋体" w:eastAsia="宋体" w:cs="宋体"/>
          <w:spacing w:val="-33"/>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天通过监理人向承包人提供测量基准点、基准线和水准点及其书面资料。发包人应对其提供的测量基准点、基准线和水准点及其书面资料的真实性、准确性和完整性负责。</w:t>
      </w:r>
    </w:p>
    <w:p w14:paraId="3FBC7051">
      <w:pPr>
        <w:spacing w:line="369" w:lineRule="auto"/>
        <w:ind w:right="54" w:firstLine="420"/>
        <w:jc w:val="both"/>
        <w:rPr>
          <w:rFonts w:ascii="宋体" w:hAnsi="宋体" w:eastAsia="宋体" w:cs="宋体"/>
          <w:sz w:val="20"/>
          <w:szCs w:val="20"/>
        </w:rPr>
      </w:pPr>
      <w:r>
        <w:rPr>
          <w:rFonts w:ascii="宋体" w:hAnsi="宋体" w:eastAsia="宋体" w:cs="宋体"/>
          <w:spacing w:val="10"/>
          <w:sz w:val="20"/>
          <w:szCs w:val="20"/>
        </w:rPr>
        <w:t>承包人发现发包人提供的测量基准点、基准线和水准点及其书面资料</w:t>
      </w:r>
      <w:r>
        <w:rPr>
          <w:rFonts w:ascii="宋体" w:hAnsi="宋体" w:eastAsia="宋体" w:cs="宋体"/>
          <w:spacing w:val="9"/>
          <w:sz w:val="20"/>
          <w:szCs w:val="20"/>
        </w:rPr>
        <w:t>存在错误或疏漏的，应</w:t>
      </w:r>
      <w:r>
        <w:rPr>
          <w:rFonts w:ascii="宋体" w:hAnsi="宋体" w:eastAsia="宋体" w:cs="宋体"/>
          <w:spacing w:val="10"/>
          <w:sz w:val="20"/>
          <w:szCs w:val="20"/>
        </w:rPr>
        <w:t>及时通知监理人。监理人应及时报告发包人，并会同发包人和承包人予以核</w:t>
      </w:r>
      <w:r>
        <w:rPr>
          <w:rFonts w:ascii="宋体" w:hAnsi="宋体" w:eastAsia="宋体" w:cs="宋体"/>
          <w:spacing w:val="9"/>
          <w:sz w:val="20"/>
          <w:szCs w:val="20"/>
        </w:rPr>
        <w:t>实。发包人应就如何处理和是否继续施工作出决定，并通知监理人和承包人。</w:t>
      </w:r>
    </w:p>
    <w:p w14:paraId="2E5ACB45">
      <w:pPr>
        <w:spacing w:before="1" w:line="369" w:lineRule="auto"/>
        <w:ind w:left="1" w:right="54" w:firstLine="418"/>
        <w:jc w:val="both"/>
        <w:rPr>
          <w:rFonts w:ascii="宋体" w:hAnsi="宋体" w:eastAsia="宋体" w:cs="宋体"/>
          <w:sz w:val="20"/>
          <w:szCs w:val="20"/>
        </w:rPr>
      </w:pPr>
      <w:r>
        <w:rPr>
          <w:rFonts w:ascii="Times New Roman" w:hAnsi="Times New Roman" w:eastAsia="Times New Roman" w:cs="Times New Roman"/>
          <w:spacing w:val="7"/>
          <w:sz w:val="20"/>
          <w:szCs w:val="20"/>
        </w:rPr>
        <w:t xml:space="preserve">7.4.2  </w:t>
      </w:r>
      <w:r>
        <w:rPr>
          <w:rFonts w:ascii="宋体" w:hAnsi="宋体" w:eastAsia="宋体" w:cs="宋体"/>
          <w:spacing w:val="7"/>
          <w:sz w:val="20"/>
          <w:szCs w:val="20"/>
        </w:rPr>
        <w:t>承包人负责施工过程中的全部施</w:t>
      </w:r>
      <w:r>
        <w:rPr>
          <w:rFonts w:ascii="宋体" w:hAnsi="宋体" w:eastAsia="宋体" w:cs="宋体"/>
          <w:spacing w:val="6"/>
          <w:sz w:val="20"/>
          <w:szCs w:val="20"/>
        </w:rPr>
        <w:t>工测量放线工作，并配置具有相应资质的人员、合格的</w:t>
      </w:r>
      <w:r>
        <w:rPr>
          <w:rFonts w:ascii="宋体" w:hAnsi="宋体" w:eastAsia="宋体" w:cs="宋体"/>
          <w:spacing w:val="10"/>
          <w:sz w:val="20"/>
          <w:szCs w:val="20"/>
        </w:rPr>
        <w:t>仪器、设备和其他物品。承包人应矫正工程的位置、标高、尺寸或准线</w:t>
      </w:r>
      <w:r>
        <w:rPr>
          <w:rFonts w:ascii="宋体" w:hAnsi="宋体" w:eastAsia="宋体" w:cs="宋体"/>
          <w:spacing w:val="9"/>
          <w:sz w:val="20"/>
          <w:szCs w:val="20"/>
        </w:rPr>
        <w:t>中出现的任何差错，并对</w:t>
      </w:r>
      <w:r>
        <w:rPr>
          <w:rFonts w:ascii="宋体" w:hAnsi="宋体" w:eastAsia="宋体" w:cs="宋体"/>
          <w:spacing w:val="8"/>
          <w:sz w:val="20"/>
          <w:szCs w:val="20"/>
        </w:rPr>
        <w:t>工程各部分的定位负责。</w:t>
      </w:r>
    </w:p>
    <w:p w14:paraId="4C5B8F83">
      <w:pPr>
        <w:spacing w:before="1" w:line="227" w:lineRule="auto"/>
        <w:ind w:left="420"/>
        <w:rPr>
          <w:rFonts w:ascii="宋体" w:hAnsi="宋体" w:eastAsia="宋体" w:cs="宋体"/>
          <w:sz w:val="20"/>
          <w:szCs w:val="20"/>
        </w:rPr>
      </w:pPr>
      <w:r>
        <w:rPr>
          <w:rFonts w:ascii="宋体" w:hAnsi="宋体" w:eastAsia="宋体" w:cs="宋体"/>
          <w:spacing w:val="9"/>
          <w:sz w:val="20"/>
          <w:szCs w:val="20"/>
        </w:rPr>
        <w:t>施工过程中对施工现场内水准点等测量标志物的保护工作由承包人负责。</w:t>
      </w:r>
    </w:p>
    <w:p w14:paraId="0CAE47BF">
      <w:pPr>
        <w:pStyle w:val="2"/>
        <w:spacing w:before="127" w:line="222" w:lineRule="auto"/>
        <w:rPr>
          <w:sz w:val="24"/>
          <w:szCs w:val="24"/>
        </w:rPr>
      </w:pPr>
      <w:r>
        <w:rPr>
          <w:rFonts w:ascii="Times New Roman" w:hAnsi="Times New Roman" w:eastAsia="Times New Roman" w:cs="Times New Roman"/>
          <w:b/>
          <w:bCs/>
          <w:spacing w:val="-2"/>
          <w:sz w:val="24"/>
          <w:szCs w:val="24"/>
        </w:rPr>
        <w:t xml:space="preserve">7.5  </w:t>
      </w:r>
      <w:r>
        <w:rPr>
          <w:b/>
          <w:bCs/>
          <w:spacing w:val="-2"/>
          <w:sz w:val="24"/>
          <w:szCs w:val="24"/>
        </w:rPr>
        <w:t>工期延误</w:t>
      </w:r>
    </w:p>
    <w:p w14:paraId="7D633AEF">
      <w:pPr>
        <w:spacing w:before="140" w:line="228" w:lineRule="auto"/>
        <w:ind w:left="420"/>
        <w:rPr>
          <w:rFonts w:ascii="宋体" w:hAnsi="宋体" w:eastAsia="宋体" w:cs="宋体"/>
          <w:sz w:val="20"/>
          <w:szCs w:val="20"/>
        </w:rPr>
      </w:pPr>
      <w:r>
        <w:rPr>
          <w:rFonts w:ascii="Times New Roman" w:hAnsi="Times New Roman" w:eastAsia="Times New Roman" w:cs="Times New Roman"/>
          <w:spacing w:val="5"/>
          <w:sz w:val="20"/>
          <w:szCs w:val="20"/>
        </w:rPr>
        <w:t>7.5.</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因发包人原因导致工期延误</w:t>
      </w:r>
    </w:p>
    <w:p w14:paraId="267DE813">
      <w:pPr>
        <w:spacing w:before="150" w:line="228" w:lineRule="auto"/>
        <w:ind w:left="420"/>
        <w:rPr>
          <w:rFonts w:ascii="宋体" w:hAnsi="宋体" w:eastAsia="宋体" w:cs="宋体"/>
          <w:sz w:val="20"/>
          <w:szCs w:val="20"/>
        </w:rPr>
      </w:pPr>
      <w:r>
        <w:rPr>
          <w:rFonts w:ascii="宋体" w:hAnsi="宋体" w:eastAsia="宋体" w:cs="宋体"/>
          <w:spacing w:val="10"/>
          <w:sz w:val="20"/>
          <w:szCs w:val="20"/>
        </w:rPr>
        <w:t>在合同履行过程中，因下列情况导致工期延误和（或）费用增加的，由</w:t>
      </w:r>
      <w:r>
        <w:rPr>
          <w:rFonts w:ascii="宋体" w:hAnsi="宋体" w:eastAsia="宋体" w:cs="宋体"/>
          <w:spacing w:val="9"/>
          <w:sz w:val="20"/>
          <w:szCs w:val="20"/>
        </w:rPr>
        <w:t>发包人承担由此延误</w:t>
      </w:r>
    </w:p>
    <w:p w14:paraId="06F1ADCA">
      <w:pPr>
        <w:spacing w:line="228" w:lineRule="auto"/>
        <w:rPr>
          <w:rFonts w:ascii="宋体" w:hAnsi="宋体" w:eastAsia="宋体" w:cs="宋体"/>
          <w:sz w:val="20"/>
          <w:szCs w:val="20"/>
        </w:rPr>
        <w:sectPr>
          <w:footerReference r:id="rId254" w:type="default"/>
          <w:pgSz w:w="11906" w:h="16839"/>
          <w:pgMar w:top="400" w:right="1500" w:bottom="1038" w:left="1538" w:header="0" w:footer="787" w:gutter="0"/>
          <w:cols w:space="720" w:num="1"/>
        </w:sectPr>
      </w:pPr>
    </w:p>
    <w:p w14:paraId="344B020C">
      <w:pPr>
        <w:spacing w:line="271" w:lineRule="auto"/>
        <w:rPr>
          <w:rFonts w:ascii="Arial"/>
          <w:sz w:val="21"/>
        </w:rPr>
      </w:pPr>
    </w:p>
    <w:p w14:paraId="111E5A14">
      <w:pPr>
        <w:spacing w:line="271" w:lineRule="auto"/>
        <w:rPr>
          <w:rFonts w:ascii="Arial"/>
          <w:sz w:val="21"/>
        </w:rPr>
      </w:pPr>
    </w:p>
    <w:p w14:paraId="63A4476E">
      <w:pPr>
        <w:spacing w:line="272" w:lineRule="auto"/>
        <w:rPr>
          <w:rFonts w:ascii="Arial"/>
          <w:sz w:val="21"/>
        </w:rPr>
      </w:pPr>
    </w:p>
    <w:p w14:paraId="2FD17F61">
      <w:pPr>
        <w:spacing w:line="272" w:lineRule="auto"/>
        <w:rPr>
          <w:rFonts w:ascii="Arial"/>
          <w:sz w:val="21"/>
        </w:rPr>
      </w:pPr>
    </w:p>
    <w:p w14:paraId="7E3520A7">
      <w:pPr>
        <w:spacing w:before="65" w:line="228" w:lineRule="auto"/>
        <w:ind w:left="17"/>
        <w:rPr>
          <w:rFonts w:ascii="宋体" w:hAnsi="宋体" w:eastAsia="宋体" w:cs="宋体"/>
          <w:sz w:val="20"/>
          <w:szCs w:val="20"/>
        </w:rPr>
      </w:pPr>
      <w:r>
        <w:rPr>
          <w:rFonts w:ascii="宋体" w:hAnsi="宋体" w:eastAsia="宋体" w:cs="宋体"/>
          <w:spacing w:val="9"/>
          <w:sz w:val="20"/>
          <w:szCs w:val="20"/>
        </w:rPr>
        <w:t>的工期和（或）增加的费用，且发包人应支</w:t>
      </w:r>
      <w:r>
        <w:rPr>
          <w:rFonts w:ascii="宋体" w:hAnsi="宋体" w:eastAsia="宋体" w:cs="宋体"/>
          <w:spacing w:val="8"/>
          <w:sz w:val="20"/>
          <w:szCs w:val="20"/>
        </w:rPr>
        <w:t>付承包人合理的利润：</w:t>
      </w:r>
    </w:p>
    <w:p w14:paraId="701C4F4D">
      <w:pPr>
        <w:spacing w:before="151" w:line="227"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）发包人未能按合同约定提供图纸或所提供图纸不符合合</w:t>
      </w:r>
      <w:r>
        <w:rPr>
          <w:rFonts w:ascii="宋体" w:hAnsi="宋体" w:eastAsia="宋体" w:cs="宋体"/>
          <w:spacing w:val="8"/>
          <w:sz w:val="20"/>
          <w:szCs w:val="20"/>
        </w:rPr>
        <w:t>同约定的；</w:t>
      </w:r>
    </w:p>
    <w:p w14:paraId="2B232BB2">
      <w:pPr>
        <w:spacing w:before="154" w:line="227" w:lineRule="auto"/>
        <w:jc w:val="right"/>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2</w:t>
      </w:r>
      <w:r>
        <w:rPr>
          <w:rFonts w:ascii="宋体" w:hAnsi="宋体" w:eastAsia="宋体" w:cs="宋体"/>
          <w:spacing w:val="3"/>
          <w:sz w:val="20"/>
          <w:szCs w:val="20"/>
        </w:rPr>
        <w:t>）发包人未能按合同约定提供施工现场、施工条件、基础资料、许可、批准等开工条件的；</w:t>
      </w:r>
    </w:p>
    <w:p w14:paraId="680530FE">
      <w:pPr>
        <w:spacing w:before="155" w:line="227"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）发包人提供的测量基准点、基准线和水准点及其书面资料存在错误或疏漏的；</w:t>
      </w:r>
    </w:p>
    <w:p w14:paraId="3C661A5F">
      <w:pPr>
        <w:spacing w:before="152"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）发包人未能在计划开工日期之日起</w:t>
      </w:r>
      <w:r>
        <w:rPr>
          <w:rFonts w:ascii="宋体" w:hAnsi="宋体" w:eastAsia="宋体" w:cs="宋体"/>
          <w:spacing w:val="-37"/>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天内同意下达开工通知</w:t>
      </w:r>
      <w:r>
        <w:rPr>
          <w:rFonts w:ascii="宋体" w:hAnsi="宋体" w:eastAsia="宋体" w:cs="宋体"/>
          <w:spacing w:val="7"/>
          <w:sz w:val="20"/>
          <w:szCs w:val="20"/>
        </w:rPr>
        <w:t>的；</w:t>
      </w:r>
    </w:p>
    <w:p w14:paraId="7C1C7CE9">
      <w:pPr>
        <w:spacing w:before="154"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5</w:t>
      </w:r>
      <w:r>
        <w:rPr>
          <w:rFonts w:ascii="宋体" w:hAnsi="宋体" w:eastAsia="宋体" w:cs="宋体"/>
          <w:spacing w:val="9"/>
          <w:sz w:val="20"/>
          <w:szCs w:val="20"/>
        </w:rPr>
        <w:t>）发包人未能按合同约定日期支付工程预付款、进度款或竣工结算</w:t>
      </w:r>
      <w:r>
        <w:rPr>
          <w:rFonts w:ascii="宋体" w:hAnsi="宋体" w:eastAsia="宋体" w:cs="宋体"/>
          <w:spacing w:val="8"/>
          <w:sz w:val="20"/>
          <w:szCs w:val="20"/>
        </w:rPr>
        <w:t>款的；</w:t>
      </w:r>
    </w:p>
    <w:p w14:paraId="3A16C6C7">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）监理人未按合同约定发出指示、批准等文件的；</w:t>
      </w:r>
    </w:p>
    <w:p w14:paraId="22BB5CCA">
      <w:pPr>
        <w:spacing w:before="151"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7</w:t>
      </w:r>
      <w:r>
        <w:rPr>
          <w:rFonts w:ascii="宋体" w:hAnsi="宋体" w:eastAsia="宋体" w:cs="宋体"/>
          <w:spacing w:val="8"/>
          <w:sz w:val="20"/>
          <w:szCs w:val="20"/>
        </w:rPr>
        <w:t>）专用合同条款中约定的其他情形。</w:t>
      </w:r>
    </w:p>
    <w:p w14:paraId="10BEA53F">
      <w:pPr>
        <w:spacing w:before="155" w:line="369" w:lineRule="auto"/>
        <w:ind w:left="2" w:right="52" w:firstLine="434"/>
        <w:jc w:val="both"/>
        <w:rPr>
          <w:rFonts w:ascii="宋体" w:hAnsi="宋体" w:eastAsia="宋体" w:cs="宋体"/>
          <w:sz w:val="20"/>
          <w:szCs w:val="20"/>
        </w:rPr>
      </w:pPr>
      <w:r>
        <w:rPr>
          <w:rFonts w:ascii="宋体" w:hAnsi="宋体" w:eastAsia="宋体" w:cs="宋体"/>
          <w:spacing w:val="9"/>
          <w:sz w:val="20"/>
          <w:szCs w:val="20"/>
        </w:rPr>
        <w:t>因发包人原因未按计划开工日期开工的，发包人应按实际开工日期顺延竣工日期，确保实际</w:t>
      </w:r>
      <w:r>
        <w:rPr>
          <w:rFonts w:ascii="宋体" w:hAnsi="宋体" w:eastAsia="宋体" w:cs="宋体"/>
          <w:spacing w:val="10"/>
          <w:sz w:val="20"/>
          <w:szCs w:val="20"/>
        </w:rPr>
        <w:t>工期不低于合同约定的工期总日历天数。因发包人原因导致工期延误需</w:t>
      </w:r>
      <w:r>
        <w:rPr>
          <w:rFonts w:ascii="宋体" w:hAnsi="宋体" w:eastAsia="宋体" w:cs="宋体"/>
          <w:spacing w:val="9"/>
          <w:sz w:val="20"/>
          <w:szCs w:val="20"/>
        </w:rPr>
        <w:t>要修订施工进度计划的，</w:t>
      </w:r>
      <w:r>
        <w:rPr>
          <w:rFonts w:ascii="宋体" w:hAnsi="宋体" w:eastAsia="宋体" w:cs="宋体"/>
          <w:spacing w:val="7"/>
          <w:sz w:val="20"/>
          <w:szCs w:val="20"/>
        </w:rPr>
        <w:t>按照第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7.2.2 </w:t>
      </w:r>
      <w:r>
        <w:rPr>
          <w:rFonts w:ascii="宋体" w:hAnsi="宋体" w:eastAsia="宋体" w:cs="宋体"/>
          <w:spacing w:val="7"/>
          <w:sz w:val="20"/>
          <w:szCs w:val="20"/>
        </w:rPr>
        <w:t>项〔施工进度计划的修订〕执行。</w:t>
      </w:r>
    </w:p>
    <w:p w14:paraId="61436637">
      <w:pPr>
        <w:spacing w:before="1" w:line="227" w:lineRule="auto"/>
        <w:ind w:left="420"/>
        <w:rPr>
          <w:rFonts w:ascii="宋体" w:hAnsi="宋体" w:eastAsia="宋体" w:cs="宋体"/>
          <w:sz w:val="20"/>
          <w:szCs w:val="20"/>
        </w:rPr>
      </w:pPr>
      <w:r>
        <w:rPr>
          <w:rFonts w:ascii="Times New Roman" w:hAnsi="Times New Roman" w:eastAsia="Times New Roman" w:cs="Times New Roman"/>
          <w:spacing w:val="7"/>
          <w:sz w:val="20"/>
          <w:szCs w:val="20"/>
        </w:rPr>
        <w:t xml:space="preserve">7.5.2  </w:t>
      </w:r>
      <w:r>
        <w:rPr>
          <w:rFonts w:ascii="宋体" w:hAnsi="宋体" w:eastAsia="宋体" w:cs="宋体"/>
          <w:spacing w:val="7"/>
          <w:sz w:val="20"/>
          <w:szCs w:val="20"/>
        </w:rPr>
        <w:t>因承包人原因导致工期延误</w:t>
      </w:r>
    </w:p>
    <w:p w14:paraId="1BF81054">
      <w:pPr>
        <w:spacing w:before="154" w:line="361" w:lineRule="auto"/>
        <w:ind w:left="3" w:right="52" w:firstLine="433"/>
        <w:rPr>
          <w:rFonts w:ascii="宋体" w:hAnsi="宋体" w:eastAsia="宋体" w:cs="宋体"/>
          <w:sz w:val="20"/>
          <w:szCs w:val="20"/>
        </w:rPr>
      </w:pPr>
      <w:r>
        <w:rPr>
          <w:rFonts w:ascii="宋体" w:hAnsi="宋体" w:eastAsia="宋体" w:cs="宋体"/>
          <w:spacing w:val="9"/>
          <w:sz w:val="20"/>
          <w:szCs w:val="20"/>
        </w:rPr>
        <w:t>因承包人原因造成工期延误的，可以在专用合同条款中约定逾期竣工违约金的计算方法和逾</w:t>
      </w:r>
      <w:r>
        <w:rPr>
          <w:rFonts w:ascii="宋体" w:hAnsi="宋体" w:eastAsia="宋体" w:cs="宋体"/>
          <w:spacing w:val="10"/>
          <w:sz w:val="20"/>
          <w:szCs w:val="20"/>
        </w:rPr>
        <w:t>期竣工违约金的上限。承包人支付逾期竣工违约金后，不免除承包人</w:t>
      </w:r>
      <w:r>
        <w:rPr>
          <w:rFonts w:ascii="宋体" w:hAnsi="宋体" w:eastAsia="宋体" w:cs="宋体"/>
          <w:spacing w:val="9"/>
          <w:sz w:val="20"/>
          <w:szCs w:val="20"/>
        </w:rPr>
        <w:t>继续完成工程及修补缺陷的</w:t>
      </w:r>
      <w:r>
        <w:rPr>
          <w:rFonts w:ascii="宋体" w:hAnsi="宋体" w:eastAsia="宋体" w:cs="宋体"/>
          <w:spacing w:val="2"/>
          <w:sz w:val="20"/>
          <w:szCs w:val="20"/>
        </w:rPr>
        <w:t>义务。</w:t>
      </w:r>
    </w:p>
    <w:p w14:paraId="368F5EF7">
      <w:pPr>
        <w:pStyle w:val="2"/>
        <w:spacing w:before="1" w:line="221" w:lineRule="auto"/>
        <w:rPr>
          <w:sz w:val="24"/>
          <w:szCs w:val="24"/>
        </w:rPr>
      </w:pPr>
      <w:r>
        <w:rPr>
          <w:rFonts w:ascii="Times New Roman" w:hAnsi="Times New Roman" w:eastAsia="Times New Roman" w:cs="Times New Roman"/>
          <w:b/>
          <w:bCs/>
          <w:spacing w:val="-2"/>
          <w:sz w:val="24"/>
          <w:szCs w:val="24"/>
        </w:rPr>
        <w:t xml:space="preserve">7.6  </w:t>
      </w:r>
      <w:r>
        <w:rPr>
          <w:b/>
          <w:bCs/>
          <w:spacing w:val="-2"/>
          <w:sz w:val="24"/>
          <w:szCs w:val="24"/>
        </w:rPr>
        <w:t>不利物质条件</w:t>
      </w:r>
    </w:p>
    <w:p w14:paraId="150CAA6D">
      <w:pPr>
        <w:spacing w:before="138" w:line="369" w:lineRule="auto"/>
        <w:ind w:right="52" w:firstLine="423"/>
        <w:jc w:val="both"/>
        <w:rPr>
          <w:rFonts w:ascii="宋体" w:hAnsi="宋体" w:eastAsia="宋体" w:cs="宋体"/>
          <w:sz w:val="20"/>
          <w:szCs w:val="20"/>
        </w:rPr>
      </w:pPr>
      <w:r>
        <w:rPr>
          <w:rFonts w:ascii="宋体" w:hAnsi="宋体" w:eastAsia="宋体" w:cs="宋体"/>
          <w:spacing w:val="10"/>
          <w:sz w:val="20"/>
          <w:szCs w:val="20"/>
        </w:rPr>
        <w:t>不利物质条件是指有经验的承包人在施工现场遇到的不可预见</w:t>
      </w:r>
      <w:r>
        <w:rPr>
          <w:rFonts w:ascii="宋体" w:hAnsi="宋体" w:eastAsia="宋体" w:cs="宋体"/>
          <w:spacing w:val="9"/>
          <w:sz w:val="20"/>
          <w:szCs w:val="20"/>
        </w:rPr>
        <w:t>的自然物质条件、非自然的物</w:t>
      </w:r>
      <w:r>
        <w:rPr>
          <w:rFonts w:ascii="宋体" w:hAnsi="宋体" w:eastAsia="宋体" w:cs="宋体"/>
          <w:spacing w:val="10"/>
          <w:sz w:val="20"/>
          <w:szCs w:val="20"/>
        </w:rPr>
        <w:t>质障碍和污染物，包括地表以下物质条件和水文条件以及专用合同条款约</w:t>
      </w:r>
      <w:r>
        <w:rPr>
          <w:rFonts w:ascii="宋体" w:hAnsi="宋体" w:eastAsia="宋体" w:cs="宋体"/>
          <w:spacing w:val="9"/>
          <w:sz w:val="20"/>
          <w:szCs w:val="20"/>
        </w:rPr>
        <w:t>定的其他情形，但不包</w:t>
      </w:r>
      <w:r>
        <w:rPr>
          <w:rFonts w:ascii="宋体" w:hAnsi="宋体" w:eastAsia="宋体" w:cs="宋体"/>
          <w:spacing w:val="6"/>
          <w:sz w:val="20"/>
          <w:szCs w:val="20"/>
        </w:rPr>
        <w:t>括气候条件。</w:t>
      </w:r>
    </w:p>
    <w:p w14:paraId="184F4FAC">
      <w:pPr>
        <w:spacing w:before="1" w:line="363" w:lineRule="auto"/>
        <w:ind w:right="52" w:firstLine="420"/>
        <w:jc w:val="both"/>
        <w:rPr>
          <w:rFonts w:ascii="宋体" w:hAnsi="宋体" w:eastAsia="宋体" w:cs="宋体"/>
          <w:sz w:val="20"/>
          <w:szCs w:val="20"/>
        </w:rPr>
      </w:pPr>
      <w:r>
        <w:rPr>
          <w:rFonts w:ascii="宋体" w:hAnsi="宋体" w:eastAsia="宋体" w:cs="宋体"/>
          <w:spacing w:val="10"/>
          <w:sz w:val="20"/>
          <w:szCs w:val="20"/>
        </w:rPr>
        <w:t>承包人遇到不利物质条件时，应采取克服不利物质条件的合理措施继</w:t>
      </w:r>
      <w:r>
        <w:rPr>
          <w:rFonts w:ascii="宋体" w:hAnsi="宋体" w:eastAsia="宋体" w:cs="宋体"/>
          <w:spacing w:val="9"/>
          <w:sz w:val="20"/>
          <w:szCs w:val="20"/>
        </w:rPr>
        <w:t>续施工，并及时通知发</w:t>
      </w:r>
      <w:r>
        <w:rPr>
          <w:rFonts w:ascii="宋体" w:hAnsi="宋体" w:eastAsia="宋体" w:cs="宋体"/>
          <w:spacing w:val="10"/>
          <w:sz w:val="20"/>
          <w:szCs w:val="20"/>
        </w:rPr>
        <w:t>包人和监理人。通知应载明不利物质条件的内容以及承包人认为不可预见</w:t>
      </w:r>
      <w:r>
        <w:rPr>
          <w:rFonts w:ascii="宋体" w:hAnsi="宋体" w:eastAsia="宋体" w:cs="宋体"/>
          <w:spacing w:val="9"/>
          <w:sz w:val="20"/>
          <w:szCs w:val="20"/>
        </w:rPr>
        <w:t>的理由。监理人经发包</w:t>
      </w:r>
      <w:r>
        <w:rPr>
          <w:rFonts w:ascii="宋体" w:hAnsi="宋体" w:eastAsia="宋体" w:cs="宋体"/>
          <w:spacing w:val="6"/>
          <w:sz w:val="20"/>
          <w:szCs w:val="20"/>
        </w:rPr>
        <w:t>人同意后应当及时发出指示，指示构成变更的，按第</w:t>
      </w:r>
      <w:r>
        <w:rPr>
          <w:rFonts w:ascii="宋体" w:hAnsi="宋体" w:eastAsia="宋体" w:cs="宋体"/>
          <w:spacing w:val="-6"/>
          <w:sz w:val="20"/>
          <w:szCs w:val="20"/>
        </w:rPr>
        <w:t xml:space="preserve"> </w:t>
      </w:r>
      <w:r>
        <w:rPr>
          <w:rFonts w:ascii="Times New Roman" w:hAnsi="Times New Roman" w:eastAsia="Times New Roman" w:cs="Times New Roman"/>
          <w:spacing w:val="6"/>
          <w:sz w:val="20"/>
          <w:szCs w:val="20"/>
        </w:rPr>
        <w:t xml:space="preserve">10 </w:t>
      </w:r>
      <w:r>
        <w:rPr>
          <w:rFonts w:ascii="宋体" w:hAnsi="宋体" w:eastAsia="宋体" w:cs="宋体"/>
          <w:spacing w:val="6"/>
          <w:sz w:val="20"/>
          <w:szCs w:val="20"/>
        </w:rPr>
        <w:t>条〔变更〕约定执行。承包人因采取合理</w:t>
      </w:r>
      <w:r>
        <w:rPr>
          <w:rFonts w:ascii="宋体" w:hAnsi="宋体" w:eastAsia="宋体" w:cs="宋体"/>
          <w:spacing w:val="9"/>
          <w:sz w:val="20"/>
          <w:szCs w:val="20"/>
        </w:rPr>
        <w:t>措施而增加的费用和（或）延误的工期由发包人承担。</w:t>
      </w:r>
    </w:p>
    <w:p w14:paraId="1ACD4DF0">
      <w:pPr>
        <w:pStyle w:val="2"/>
        <w:spacing w:before="1" w:line="220" w:lineRule="auto"/>
        <w:rPr>
          <w:sz w:val="24"/>
          <w:szCs w:val="24"/>
        </w:rPr>
      </w:pPr>
      <w:r>
        <w:rPr>
          <w:rFonts w:ascii="Times New Roman" w:hAnsi="Times New Roman" w:eastAsia="Times New Roman" w:cs="Times New Roman"/>
          <w:b/>
          <w:bCs/>
          <w:spacing w:val="-2"/>
          <w:sz w:val="24"/>
          <w:szCs w:val="24"/>
        </w:rPr>
        <w:t xml:space="preserve">7.7  </w:t>
      </w:r>
      <w:r>
        <w:rPr>
          <w:b/>
          <w:bCs/>
          <w:spacing w:val="-2"/>
          <w:sz w:val="24"/>
          <w:szCs w:val="24"/>
        </w:rPr>
        <w:t>异常恶劣的气候条件</w:t>
      </w:r>
    </w:p>
    <w:p w14:paraId="140BF3C3">
      <w:pPr>
        <w:spacing w:before="141" w:line="369" w:lineRule="auto"/>
        <w:ind w:right="52" w:firstLine="423"/>
        <w:jc w:val="both"/>
        <w:rPr>
          <w:rFonts w:ascii="宋体" w:hAnsi="宋体" w:eastAsia="宋体" w:cs="宋体"/>
          <w:sz w:val="20"/>
          <w:szCs w:val="20"/>
        </w:rPr>
      </w:pPr>
      <w:r>
        <w:rPr>
          <w:rFonts w:ascii="宋体" w:hAnsi="宋体" w:eastAsia="宋体" w:cs="宋体"/>
          <w:spacing w:val="10"/>
          <w:sz w:val="20"/>
          <w:szCs w:val="20"/>
        </w:rPr>
        <w:t>异常恶劣的气候条件是指在施工过程中遇到的，有经验的承包人</w:t>
      </w:r>
      <w:r>
        <w:rPr>
          <w:rFonts w:ascii="宋体" w:hAnsi="宋体" w:eastAsia="宋体" w:cs="宋体"/>
          <w:spacing w:val="9"/>
          <w:sz w:val="20"/>
          <w:szCs w:val="20"/>
        </w:rPr>
        <w:t>在签订合同时不可预见的，</w:t>
      </w:r>
      <w:r>
        <w:rPr>
          <w:rFonts w:ascii="宋体" w:hAnsi="宋体" w:eastAsia="宋体" w:cs="宋体"/>
          <w:spacing w:val="10"/>
          <w:sz w:val="20"/>
          <w:szCs w:val="20"/>
        </w:rPr>
        <w:t>对合同履行造成实质性影响的，但尚未构成不可抗力事件的恶劣气候条件。</w:t>
      </w:r>
      <w:r>
        <w:rPr>
          <w:rFonts w:ascii="宋体" w:hAnsi="宋体" w:eastAsia="宋体" w:cs="宋体"/>
          <w:spacing w:val="9"/>
          <w:sz w:val="20"/>
          <w:szCs w:val="20"/>
        </w:rPr>
        <w:t>合同当事人可以在专用合同条款中约定异常恶劣的气候条件的具体情形。</w:t>
      </w:r>
    </w:p>
    <w:p w14:paraId="0F03101C">
      <w:pPr>
        <w:spacing w:line="361" w:lineRule="auto"/>
        <w:ind w:left="1" w:right="54" w:firstLine="419"/>
        <w:rPr>
          <w:rFonts w:ascii="宋体" w:hAnsi="宋体" w:eastAsia="宋体" w:cs="宋体"/>
          <w:sz w:val="20"/>
          <w:szCs w:val="20"/>
        </w:rPr>
      </w:pPr>
      <w:r>
        <w:rPr>
          <w:rFonts w:ascii="宋体" w:hAnsi="宋体" w:eastAsia="宋体" w:cs="宋体"/>
          <w:spacing w:val="10"/>
          <w:sz w:val="20"/>
          <w:szCs w:val="20"/>
        </w:rPr>
        <w:t>承包人应采取克服异常恶劣的气候条件的合理措施继续施工，并</w:t>
      </w:r>
      <w:r>
        <w:rPr>
          <w:rFonts w:ascii="宋体" w:hAnsi="宋体" w:eastAsia="宋体" w:cs="宋体"/>
          <w:spacing w:val="9"/>
          <w:sz w:val="20"/>
          <w:szCs w:val="20"/>
        </w:rPr>
        <w:t>及时通知发包人和监理人。</w:t>
      </w:r>
      <w:r>
        <w:rPr>
          <w:rFonts w:ascii="宋体" w:hAnsi="宋体" w:eastAsia="宋体" w:cs="宋体"/>
          <w:spacing w:val="6"/>
          <w:sz w:val="20"/>
          <w:szCs w:val="20"/>
        </w:rPr>
        <w:t>监理人经发包人同意后应当及时发出指示，指示构成变更的，按第</w:t>
      </w:r>
      <w:r>
        <w:rPr>
          <w:rFonts w:ascii="宋体" w:hAnsi="宋体" w:eastAsia="宋体" w:cs="宋体"/>
          <w:spacing w:val="-7"/>
          <w:sz w:val="20"/>
          <w:szCs w:val="20"/>
        </w:rPr>
        <w:t xml:space="preserve"> </w:t>
      </w:r>
      <w:r>
        <w:rPr>
          <w:rFonts w:ascii="Times New Roman" w:hAnsi="Times New Roman" w:eastAsia="Times New Roman" w:cs="Times New Roman"/>
          <w:spacing w:val="6"/>
          <w:sz w:val="20"/>
          <w:szCs w:val="20"/>
        </w:rPr>
        <w:t xml:space="preserve">10 </w:t>
      </w:r>
      <w:r>
        <w:rPr>
          <w:rFonts w:ascii="宋体" w:hAnsi="宋体" w:eastAsia="宋体" w:cs="宋体"/>
          <w:spacing w:val="6"/>
          <w:sz w:val="20"/>
          <w:szCs w:val="20"/>
        </w:rPr>
        <w:t>条〔变更〕约定办理。承包</w:t>
      </w:r>
      <w:r>
        <w:rPr>
          <w:rFonts w:ascii="宋体" w:hAnsi="宋体" w:eastAsia="宋体" w:cs="宋体"/>
          <w:spacing w:val="9"/>
          <w:sz w:val="20"/>
          <w:szCs w:val="20"/>
        </w:rPr>
        <w:t>人因采取合理措施而增加的费用和（或）延误的工期由发包人承担。</w:t>
      </w:r>
    </w:p>
    <w:p w14:paraId="492B3B92">
      <w:pPr>
        <w:pStyle w:val="2"/>
        <w:spacing w:line="223" w:lineRule="auto"/>
        <w:rPr>
          <w:sz w:val="24"/>
          <w:szCs w:val="24"/>
        </w:rPr>
      </w:pPr>
      <w:r>
        <w:rPr>
          <w:rFonts w:ascii="Times New Roman" w:hAnsi="Times New Roman" w:eastAsia="Times New Roman" w:cs="Times New Roman"/>
          <w:b/>
          <w:bCs/>
          <w:spacing w:val="-5"/>
          <w:sz w:val="24"/>
          <w:szCs w:val="24"/>
        </w:rPr>
        <w:t>7.8</w:t>
      </w:r>
      <w:r>
        <w:rPr>
          <w:rFonts w:ascii="Times New Roman" w:hAnsi="Times New Roman" w:eastAsia="Times New Roman" w:cs="Times New Roman"/>
          <w:b/>
          <w:bCs/>
          <w:spacing w:val="9"/>
          <w:sz w:val="24"/>
          <w:szCs w:val="24"/>
        </w:rPr>
        <w:t xml:space="preserve">  </w:t>
      </w:r>
      <w:r>
        <w:rPr>
          <w:b/>
          <w:bCs/>
          <w:spacing w:val="-5"/>
          <w:sz w:val="24"/>
          <w:szCs w:val="24"/>
        </w:rPr>
        <w:t>暂停施工</w:t>
      </w:r>
    </w:p>
    <w:p w14:paraId="100D75F2">
      <w:pPr>
        <w:spacing w:before="136" w:line="228" w:lineRule="auto"/>
        <w:ind w:left="420"/>
        <w:rPr>
          <w:rFonts w:ascii="宋体" w:hAnsi="宋体" w:eastAsia="宋体" w:cs="宋体"/>
          <w:sz w:val="20"/>
          <w:szCs w:val="20"/>
        </w:rPr>
      </w:pPr>
      <w:r>
        <w:rPr>
          <w:rFonts w:ascii="Times New Roman" w:hAnsi="Times New Roman" w:eastAsia="Times New Roman" w:cs="Times New Roman"/>
          <w:spacing w:val="5"/>
          <w:sz w:val="20"/>
          <w:szCs w:val="20"/>
        </w:rPr>
        <w:t>7.8.</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发包人原因引起的暂停施工</w:t>
      </w:r>
    </w:p>
    <w:p w14:paraId="46767AB2">
      <w:pPr>
        <w:spacing w:before="153" w:line="369" w:lineRule="auto"/>
        <w:ind w:left="7" w:right="52" w:firstLine="429"/>
        <w:rPr>
          <w:rFonts w:ascii="宋体" w:hAnsi="宋体" w:eastAsia="宋体" w:cs="宋体"/>
          <w:sz w:val="20"/>
          <w:szCs w:val="20"/>
        </w:rPr>
      </w:pPr>
      <w:r>
        <w:rPr>
          <w:rFonts w:ascii="宋体" w:hAnsi="宋体" w:eastAsia="宋体" w:cs="宋体"/>
          <w:spacing w:val="9"/>
          <w:sz w:val="20"/>
          <w:szCs w:val="20"/>
        </w:rPr>
        <w:t>因发包人原因引起暂停施工的，监理人经发包人同意后，应及时下达暂停施工指示。情况紧</w:t>
      </w:r>
      <w:r>
        <w:rPr>
          <w:rFonts w:ascii="宋体" w:hAnsi="宋体" w:eastAsia="宋体" w:cs="宋体"/>
          <w:spacing w:val="8"/>
          <w:sz w:val="20"/>
          <w:szCs w:val="20"/>
        </w:rPr>
        <w:t>急且监理人未及时下达暂停施工指示的，按照第</w:t>
      </w:r>
      <w:r>
        <w:rPr>
          <w:rFonts w:ascii="宋体" w:hAnsi="宋体" w:eastAsia="宋体" w:cs="宋体"/>
          <w:spacing w:val="-27"/>
          <w:sz w:val="20"/>
          <w:szCs w:val="20"/>
        </w:rPr>
        <w:t xml:space="preserve"> </w:t>
      </w:r>
      <w:r>
        <w:rPr>
          <w:rFonts w:ascii="Times New Roman" w:hAnsi="Times New Roman" w:eastAsia="Times New Roman" w:cs="Times New Roman"/>
          <w:spacing w:val="8"/>
          <w:sz w:val="20"/>
          <w:szCs w:val="20"/>
        </w:rPr>
        <w:t xml:space="preserve">7.8.4 </w:t>
      </w:r>
      <w:r>
        <w:rPr>
          <w:rFonts w:ascii="宋体" w:hAnsi="宋体" w:eastAsia="宋体" w:cs="宋体"/>
          <w:spacing w:val="8"/>
          <w:sz w:val="20"/>
          <w:szCs w:val="20"/>
        </w:rPr>
        <w:t>项〔紧急情况下的暂停施工〕执行。</w:t>
      </w:r>
    </w:p>
    <w:p w14:paraId="6DFB6F10">
      <w:pPr>
        <w:spacing w:line="227" w:lineRule="auto"/>
        <w:ind w:left="437"/>
        <w:rPr>
          <w:rFonts w:ascii="宋体" w:hAnsi="宋体" w:eastAsia="宋体" w:cs="宋体"/>
          <w:sz w:val="20"/>
          <w:szCs w:val="20"/>
        </w:rPr>
      </w:pPr>
      <w:r>
        <w:rPr>
          <w:rFonts w:ascii="宋体" w:hAnsi="宋体" w:eastAsia="宋体" w:cs="宋体"/>
          <w:spacing w:val="9"/>
          <w:sz w:val="20"/>
          <w:szCs w:val="20"/>
        </w:rPr>
        <w:t>因发包人原因引起的暂停施工，发包人应承担由此增加的费用和（或）延误的工期，并支付</w:t>
      </w:r>
    </w:p>
    <w:p w14:paraId="66EAA458">
      <w:pPr>
        <w:spacing w:line="227" w:lineRule="auto"/>
        <w:rPr>
          <w:rFonts w:ascii="宋体" w:hAnsi="宋体" w:eastAsia="宋体" w:cs="宋体"/>
          <w:sz w:val="20"/>
          <w:szCs w:val="20"/>
        </w:rPr>
        <w:sectPr>
          <w:footerReference r:id="rId255" w:type="default"/>
          <w:pgSz w:w="11906" w:h="16839"/>
          <w:pgMar w:top="400" w:right="1502" w:bottom="1038" w:left="1538" w:header="0" w:footer="787" w:gutter="0"/>
          <w:cols w:space="720" w:num="1"/>
        </w:sectPr>
      </w:pPr>
    </w:p>
    <w:p w14:paraId="5C44E4C6">
      <w:pPr>
        <w:spacing w:line="271" w:lineRule="auto"/>
        <w:rPr>
          <w:rFonts w:ascii="Arial"/>
          <w:sz w:val="21"/>
        </w:rPr>
      </w:pPr>
    </w:p>
    <w:p w14:paraId="092E32B0">
      <w:pPr>
        <w:spacing w:line="271" w:lineRule="auto"/>
        <w:rPr>
          <w:rFonts w:ascii="Arial"/>
          <w:sz w:val="21"/>
        </w:rPr>
      </w:pPr>
    </w:p>
    <w:p w14:paraId="090C0568">
      <w:pPr>
        <w:spacing w:line="272" w:lineRule="auto"/>
        <w:rPr>
          <w:rFonts w:ascii="Arial"/>
          <w:sz w:val="21"/>
        </w:rPr>
      </w:pPr>
    </w:p>
    <w:p w14:paraId="53385AE4">
      <w:pPr>
        <w:spacing w:line="272" w:lineRule="auto"/>
        <w:rPr>
          <w:rFonts w:ascii="Arial"/>
          <w:sz w:val="21"/>
        </w:rPr>
      </w:pPr>
    </w:p>
    <w:p w14:paraId="5CA9202F">
      <w:pPr>
        <w:spacing w:before="65" w:line="228" w:lineRule="auto"/>
        <w:ind w:left="3"/>
        <w:rPr>
          <w:rFonts w:ascii="宋体" w:hAnsi="宋体" w:eastAsia="宋体" w:cs="宋体"/>
          <w:sz w:val="20"/>
          <w:szCs w:val="20"/>
        </w:rPr>
      </w:pPr>
      <w:r>
        <w:rPr>
          <w:rFonts w:ascii="宋体" w:hAnsi="宋体" w:eastAsia="宋体" w:cs="宋体"/>
          <w:spacing w:val="7"/>
          <w:sz w:val="20"/>
          <w:szCs w:val="20"/>
        </w:rPr>
        <w:t>承包人合理的利润。</w:t>
      </w:r>
    </w:p>
    <w:p w14:paraId="0F317325">
      <w:pPr>
        <w:spacing w:before="151" w:line="228" w:lineRule="auto"/>
        <w:ind w:left="423"/>
        <w:rPr>
          <w:rFonts w:ascii="宋体" w:hAnsi="宋体" w:eastAsia="宋体" w:cs="宋体"/>
          <w:sz w:val="20"/>
          <w:szCs w:val="20"/>
        </w:rPr>
      </w:pPr>
      <w:r>
        <w:rPr>
          <w:rFonts w:ascii="Times New Roman" w:hAnsi="Times New Roman" w:eastAsia="Times New Roman" w:cs="Times New Roman"/>
          <w:spacing w:val="7"/>
          <w:sz w:val="20"/>
          <w:szCs w:val="20"/>
        </w:rPr>
        <w:t xml:space="preserve">7.8.2  </w:t>
      </w:r>
      <w:r>
        <w:rPr>
          <w:rFonts w:ascii="宋体" w:hAnsi="宋体" w:eastAsia="宋体" w:cs="宋体"/>
          <w:spacing w:val="7"/>
          <w:sz w:val="20"/>
          <w:szCs w:val="20"/>
        </w:rPr>
        <w:t>承包人原因引起的暂停施工</w:t>
      </w:r>
    </w:p>
    <w:p w14:paraId="27088F60">
      <w:pPr>
        <w:spacing w:before="154" w:line="369" w:lineRule="auto"/>
        <w:ind w:left="5" w:right="71" w:firstLine="434"/>
        <w:rPr>
          <w:rFonts w:ascii="宋体" w:hAnsi="宋体" w:eastAsia="宋体" w:cs="宋体"/>
          <w:sz w:val="20"/>
          <w:szCs w:val="20"/>
        </w:rPr>
      </w:pPr>
      <w:r>
        <w:rPr>
          <w:rFonts w:ascii="宋体" w:hAnsi="宋体" w:eastAsia="宋体" w:cs="宋体"/>
          <w:spacing w:val="9"/>
          <w:sz w:val="20"/>
          <w:szCs w:val="20"/>
        </w:rPr>
        <w:t>因承包人原因引起的暂停施工，承包人应承担由此增加的费用和（或）延误的工期，且承包</w:t>
      </w:r>
      <w:r>
        <w:rPr>
          <w:rFonts w:ascii="宋体" w:hAnsi="宋体" w:eastAsia="宋体" w:cs="宋体"/>
          <w:spacing w:val="7"/>
          <w:sz w:val="20"/>
          <w:szCs w:val="20"/>
        </w:rPr>
        <w:t>人在收到监理人复工指示后</w:t>
      </w:r>
      <w:r>
        <w:rPr>
          <w:rFonts w:ascii="宋体" w:hAnsi="宋体" w:eastAsia="宋体" w:cs="宋体"/>
          <w:spacing w:val="-35"/>
          <w:sz w:val="20"/>
          <w:szCs w:val="20"/>
        </w:rPr>
        <w:t xml:space="preserve"> </w:t>
      </w:r>
      <w:r>
        <w:rPr>
          <w:rFonts w:ascii="Times New Roman" w:hAnsi="Times New Roman" w:eastAsia="Times New Roman" w:cs="Times New Roman"/>
          <w:spacing w:val="7"/>
          <w:sz w:val="20"/>
          <w:szCs w:val="20"/>
        </w:rPr>
        <w:t xml:space="preserve">84 </w:t>
      </w:r>
      <w:r>
        <w:rPr>
          <w:rFonts w:ascii="宋体" w:hAnsi="宋体" w:eastAsia="宋体" w:cs="宋体"/>
          <w:spacing w:val="7"/>
          <w:sz w:val="20"/>
          <w:szCs w:val="20"/>
        </w:rPr>
        <w:t>天内仍未复工的，视为第</w:t>
      </w:r>
      <w:r>
        <w:rPr>
          <w:rFonts w:ascii="宋体" w:hAnsi="宋体" w:eastAsia="宋体" w:cs="宋体"/>
          <w:spacing w:val="-20"/>
          <w:sz w:val="20"/>
          <w:szCs w:val="20"/>
        </w:rPr>
        <w:t xml:space="preserve"> </w:t>
      </w:r>
      <w:r>
        <w:rPr>
          <w:rFonts w:ascii="Times New Roman" w:hAnsi="Times New Roman" w:eastAsia="Times New Roman" w:cs="Times New Roman"/>
          <w:spacing w:val="7"/>
          <w:sz w:val="20"/>
          <w:szCs w:val="20"/>
        </w:rPr>
        <w:t>16.2.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项〔承包人违约的</w:t>
      </w:r>
      <w:r>
        <w:rPr>
          <w:rFonts w:ascii="宋体" w:hAnsi="宋体" w:eastAsia="宋体" w:cs="宋体"/>
          <w:spacing w:val="6"/>
          <w:sz w:val="20"/>
          <w:szCs w:val="20"/>
        </w:rPr>
        <w:t>情形〕第（</w:t>
      </w:r>
      <w:r>
        <w:rPr>
          <w:rFonts w:ascii="Times New Roman" w:hAnsi="Times New Roman" w:eastAsia="Times New Roman" w:cs="Times New Roman"/>
          <w:spacing w:val="6"/>
          <w:sz w:val="20"/>
          <w:szCs w:val="20"/>
        </w:rPr>
        <w:t>7</w:t>
      </w:r>
      <w:r>
        <w:rPr>
          <w:rFonts w:ascii="宋体" w:hAnsi="宋体" w:eastAsia="宋体" w:cs="宋体"/>
          <w:spacing w:val="6"/>
          <w:sz w:val="20"/>
          <w:szCs w:val="20"/>
        </w:rPr>
        <w:t>）</w:t>
      </w:r>
      <w:r>
        <w:rPr>
          <w:rFonts w:ascii="宋体" w:hAnsi="宋体" w:eastAsia="宋体" w:cs="宋体"/>
          <w:spacing w:val="8"/>
          <w:sz w:val="20"/>
          <w:szCs w:val="20"/>
        </w:rPr>
        <w:t>目约定的承包人无法继续履行合同的情形。</w:t>
      </w:r>
    </w:p>
    <w:p w14:paraId="109C5462">
      <w:pPr>
        <w:spacing w:line="228" w:lineRule="auto"/>
        <w:ind w:left="423"/>
        <w:rPr>
          <w:rFonts w:ascii="宋体" w:hAnsi="宋体" w:eastAsia="宋体" w:cs="宋体"/>
          <w:sz w:val="20"/>
          <w:szCs w:val="20"/>
        </w:rPr>
      </w:pPr>
      <w:r>
        <w:rPr>
          <w:rFonts w:ascii="Times New Roman" w:hAnsi="Times New Roman" w:eastAsia="Times New Roman" w:cs="Times New Roman"/>
          <w:spacing w:val="5"/>
          <w:sz w:val="20"/>
          <w:szCs w:val="20"/>
        </w:rPr>
        <w:t xml:space="preserve">7.8.3  </w:t>
      </w:r>
      <w:r>
        <w:rPr>
          <w:rFonts w:ascii="宋体" w:hAnsi="宋体" w:eastAsia="宋体" w:cs="宋体"/>
          <w:spacing w:val="5"/>
          <w:sz w:val="20"/>
          <w:szCs w:val="20"/>
        </w:rPr>
        <w:t>指示暂停施工</w:t>
      </w:r>
    </w:p>
    <w:p w14:paraId="230A49DD">
      <w:pPr>
        <w:spacing w:before="153" w:line="369" w:lineRule="auto"/>
        <w:ind w:left="6" w:right="71" w:firstLine="418"/>
        <w:rPr>
          <w:rFonts w:ascii="宋体" w:hAnsi="宋体" w:eastAsia="宋体" w:cs="宋体"/>
          <w:sz w:val="20"/>
          <w:szCs w:val="20"/>
        </w:rPr>
      </w:pPr>
      <w:r>
        <w:rPr>
          <w:rFonts w:ascii="宋体" w:hAnsi="宋体" w:eastAsia="宋体" w:cs="宋体"/>
          <w:spacing w:val="10"/>
          <w:sz w:val="20"/>
          <w:szCs w:val="20"/>
        </w:rPr>
        <w:t>监理人认为有必要时，并经发包人批准后，可向承包人作出暂停施</w:t>
      </w:r>
      <w:r>
        <w:rPr>
          <w:rFonts w:ascii="宋体" w:hAnsi="宋体" w:eastAsia="宋体" w:cs="宋体"/>
          <w:spacing w:val="9"/>
          <w:sz w:val="20"/>
          <w:szCs w:val="20"/>
        </w:rPr>
        <w:t>工的指示，承包人应按监</w:t>
      </w:r>
      <w:r>
        <w:rPr>
          <w:rFonts w:ascii="宋体" w:hAnsi="宋体" w:eastAsia="宋体" w:cs="宋体"/>
          <w:spacing w:val="7"/>
          <w:sz w:val="20"/>
          <w:szCs w:val="20"/>
        </w:rPr>
        <w:t>理人指示暂停施工。</w:t>
      </w:r>
    </w:p>
    <w:p w14:paraId="7022AF15">
      <w:pPr>
        <w:spacing w:before="1" w:line="227" w:lineRule="auto"/>
        <w:ind w:left="423"/>
        <w:rPr>
          <w:rFonts w:ascii="宋体" w:hAnsi="宋体" w:eastAsia="宋体" w:cs="宋体"/>
          <w:sz w:val="20"/>
          <w:szCs w:val="20"/>
        </w:rPr>
      </w:pPr>
      <w:r>
        <w:rPr>
          <w:rFonts w:ascii="Times New Roman" w:hAnsi="Times New Roman" w:eastAsia="Times New Roman" w:cs="Times New Roman"/>
          <w:spacing w:val="6"/>
          <w:sz w:val="20"/>
          <w:szCs w:val="20"/>
        </w:rPr>
        <w:t xml:space="preserve">7.8.4  </w:t>
      </w:r>
      <w:r>
        <w:rPr>
          <w:rFonts w:ascii="宋体" w:hAnsi="宋体" w:eastAsia="宋体" w:cs="宋体"/>
          <w:spacing w:val="6"/>
          <w:sz w:val="20"/>
          <w:szCs w:val="20"/>
        </w:rPr>
        <w:t>紧急情况下的暂停施工</w:t>
      </w:r>
    </w:p>
    <w:p w14:paraId="6264B8E7">
      <w:pPr>
        <w:spacing w:before="154" w:line="369" w:lineRule="auto"/>
        <w:ind w:right="71" w:firstLine="440"/>
        <w:rPr>
          <w:rFonts w:ascii="宋体" w:hAnsi="宋体" w:eastAsia="宋体" w:cs="宋体"/>
          <w:sz w:val="20"/>
          <w:szCs w:val="20"/>
        </w:rPr>
      </w:pPr>
      <w:r>
        <w:rPr>
          <w:rFonts w:ascii="宋体" w:hAnsi="宋体" w:eastAsia="宋体" w:cs="宋体"/>
          <w:spacing w:val="9"/>
          <w:sz w:val="20"/>
          <w:szCs w:val="20"/>
        </w:rPr>
        <w:t>因紧急情况需暂停施工，且监理人未及时下达暂停施工指示的，承包人可先暂停施工，并及</w:t>
      </w:r>
      <w:r>
        <w:rPr>
          <w:rFonts w:ascii="宋体" w:hAnsi="宋体" w:eastAsia="宋体" w:cs="宋体"/>
          <w:spacing w:val="7"/>
          <w:sz w:val="20"/>
          <w:szCs w:val="20"/>
        </w:rPr>
        <w:t>时通知监理人。监理人应在接到通知后</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24</w:t>
      </w:r>
      <w:r>
        <w:rPr>
          <w:rFonts w:ascii="Times New Roman" w:hAnsi="Times New Roman" w:eastAsia="Times New Roman" w:cs="Times New Roman"/>
          <w:spacing w:val="18"/>
          <w:sz w:val="20"/>
          <w:szCs w:val="20"/>
        </w:rPr>
        <w:t xml:space="preserve"> </w:t>
      </w:r>
      <w:r>
        <w:rPr>
          <w:rFonts w:ascii="宋体" w:hAnsi="宋体" w:eastAsia="宋体" w:cs="宋体"/>
          <w:spacing w:val="7"/>
          <w:sz w:val="20"/>
          <w:szCs w:val="20"/>
        </w:rPr>
        <w:t>小时内发出指示，逾期</w:t>
      </w:r>
      <w:r>
        <w:rPr>
          <w:rFonts w:ascii="宋体" w:hAnsi="宋体" w:eastAsia="宋体" w:cs="宋体"/>
          <w:spacing w:val="6"/>
          <w:sz w:val="20"/>
          <w:szCs w:val="20"/>
        </w:rPr>
        <w:t>未发出指示，视为同意承包人暂</w:t>
      </w:r>
      <w:r>
        <w:rPr>
          <w:rFonts w:ascii="宋体" w:hAnsi="宋体" w:eastAsia="宋体" w:cs="宋体"/>
          <w:spacing w:val="10"/>
          <w:sz w:val="20"/>
          <w:szCs w:val="20"/>
        </w:rPr>
        <w:t>停施工。监理人不同意承包人暂停施工的，应说明理由，承包人对监理人的答</w:t>
      </w:r>
      <w:r>
        <w:rPr>
          <w:rFonts w:ascii="宋体" w:hAnsi="宋体" w:eastAsia="宋体" w:cs="宋体"/>
          <w:spacing w:val="9"/>
          <w:sz w:val="20"/>
          <w:szCs w:val="20"/>
        </w:rPr>
        <w:t>复有异议，按照第</w:t>
      </w:r>
      <w:r>
        <w:rPr>
          <w:rFonts w:ascii="Times New Roman" w:hAnsi="Times New Roman" w:eastAsia="Times New Roman" w:cs="Times New Roman"/>
          <w:spacing w:val="7"/>
          <w:sz w:val="20"/>
          <w:szCs w:val="20"/>
        </w:rPr>
        <w:t xml:space="preserve">20 </w:t>
      </w:r>
      <w:r>
        <w:rPr>
          <w:rFonts w:ascii="宋体" w:hAnsi="宋体" w:eastAsia="宋体" w:cs="宋体"/>
          <w:spacing w:val="7"/>
          <w:sz w:val="20"/>
          <w:szCs w:val="20"/>
        </w:rPr>
        <w:t>条〔争议解决〕约定处理。</w:t>
      </w:r>
    </w:p>
    <w:p w14:paraId="0E781808">
      <w:pPr>
        <w:spacing w:line="228" w:lineRule="auto"/>
        <w:ind w:left="423"/>
        <w:rPr>
          <w:rFonts w:ascii="宋体" w:hAnsi="宋体" w:eastAsia="宋体" w:cs="宋体"/>
          <w:sz w:val="20"/>
          <w:szCs w:val="20"/>
        </w:rPr>
      </w:pPr>
      <w:r>
        <w:rPr>
          <w:rFonts w:ascii="Times New Roman" w:hAnsi="Times New Roman" w:eastAsia="Times New Roman" w:cs="Times New Roman"/>
          <w:spacing w:val="6"/>
          <w:sz w:val="20"/>
          <w:szCs w:val="20"/>
        </w:rPr>
        <w:t xml:space="preserve">7.8.5  </w:t>
      </w:r>
      <w:r>
        <w:rPr>
          <w:rFonts w:ascii="宋体" w:hAnsi="宋体" w:eastAsia="宋体" w:cs="宋体"/>
          <w:spacing w:val="6"/>
          <w:sz w:val="20"/>
          <w:szCs w:val="20"/>
        </w:rPr>
        <w:t>暂停施工后的复工</w:t>
      </w:r>
    </w:p>
    <w:p w14:paraId="388D001E">
      <w:pPr>
        <w:spacing w:before="154" w:line="369" w:lineRule="auto"/>
        <w:ind w:left="2" w:right="71" w:firstLine="427"/>
        <w:rPr>
          <w:rFonts w:ascii="宋体" w:hAnsi="宋体" w:eastAsia="宋体" w:cs="宋体"/>
          <w:sz w:val="20"/>
          <w:szCs w:val="20"/>
        </w:rPr>
      </w:pPr>
      <w:r>
        <w:rPr>
          <w:rFonts w:ascii="宋体" w:hAnsi="宋体" w:eastAsia="宋体" w:cs="宋体"/>
          <w:spacing w:val="10"/>
          <w:sz w:val="20"/>
          <w:szCs w:val="20"/>
        </w:rPr>
        <w:t>暂停施工后，发包人和承包人应采取有效措施积极消除</w:t>
      </w:r>
      <w:r>
        <w:rPr>
          <w:rFonts w:ascii="宋体" w:hAnsi="宋体" w:eastAsia="宋体" w:cs="宋体"/>
          <w:spacing w:val="9"/>
          <w:sz w:val="20"/>
          <w:szCs w:val="20"/>
        </w:rPr>
        <w:t>暂停施工的影响。在工程复工前，监</w:t>
      </w:r>
      <w:r>
        <w:rPr>
          <w:rFonts w:ascii="宋体" w:hAnsi="宋体" w:eastAsia="宋体" w:cs="宋体"/>
          <w:spacing w:val="10"/>
          <w:sz w:val="20"/>
          <w:szCs w:val="20"/>
        </w:rPr>
        <w:t>理人会同发包人和承包人确定因暂停施工造成的损失，并确定工程复工条件</w:t>
      </w:r>
      <w:r>
        <w:rPr>
          <w:rFonts w:ascii="宋体" w:hAnsi="宋体" w:eastAsia="宋体" w:cs="宋体"/>
          <w:spacing w:val="9"/>
          <w:sz w:val="20"/>
          <w:szCs w:val="20"/>
        </w:rPr>
        <w:t>。当工程具备复工条</w:t>
      </w:r>
      <w:r>
        <w:rPr>
          <w:rFonts w:ascii="宋体" w:hAnsi="宋体" w:eastAsia="宋体" w:cs="宋体"/>
          <w:spacing w:val="10"/>
          <w:sz w:val="20"/>
          <w:szCs w:val="20"/>
        </w:rPr>
        <w:t>件时，监理人应经发包人批准后向承包人发出</w:t>
      </w:r>
      <w:r>
        <w:rPr>
          <w:rFonts w:ascii="宋体" w:hAnsi="宋体" w:eastAsia="宋体" w:cs="宋体"/>
          <w:spacing w:val="9"/>
          <w:sz w:val="20"/>
          <w:szCs w:val="20"/>
        </w:rPr>
        <w:t>复工通知，承包人应按照复工通知要求复工。</w:t>
      </w:r>
    </w:p>
    <w:p w14:paraId="34EF31CB">
      <w:pPr>
        <w:spacing w:before="2" w:line="368" w:lineRule="auto"/>
        <w:ind w:left="8" w:right="71" w:firstLine="414"/>
        <w:rPr>
          <w:rFonts w:ascii="宋体" w:hAnsi="宋体" w:eastAsia="宋体" w:cs="宋体"/>
          <w:sz w:val="20"/>
          <w:szCs w:val="20"/>
        </w:rPr>
      </w:pPr>
      <w:r>
        <w:rPr>
          <w:rFonts w:ascii="宋体" w:hAnsi="宋体" w:eastAsia="宋体" w:cs="宋体"/>
          <w:spacing w:val="10"/>
          <w:sz w:val="20"/>
          <w:szCs w:val="20"/>
        </w:rPr>
        <w:t>承包人无故拖延和拒绝复工的，承包人承担由此增加的费用和（或）</w:t>
      </w:r>
      <w:r>
        <w:rPr>
          <w:rFonts w:ascii="宋体" w:hAnsi="宋体" w:eastAsia="宋体" w:cs="宋体"/>
          <w:spacing w:val="9"/>
          <w:sz w:val="20"/>
          <w:szCs w:val="20"/>
        </w:rPr>
        <w:t>延误的工期；因发包人</w:t>
      </w:r>
      <w:r>
        <w:rPr>
          <w:rFonts w:ascii="宋体" w:hAnsi="宋体" w:eastAsia="宋体" w:cs="宋体"/>
          <w:spacing w:val="8"/>
          <w:sz w:val="20"/>
          <w:szCs w:val="20"/>
        </w:rPr>
        <w:t>原因无法按时复工的，按照第</w:t>
      </w:r>
      <w:r>
        <w:rPr>
          <w:rFonts w:ascii="宋体" w:hAnsi="宋体" w:eastAsia="宋体" w:cs="宋体"/>
          <w:spacing w:val="-39"/>
          <w:sz w:val="20"/>
          <w:szCs w:val="20"/>
        </w:rPr>
        <w:t xml:space="preserve"> </w:t>
      </w:r>
      <w:r>
        <w:rPr>
          <w:rFonts w:ascii="Times New Roman" w:hAnsi="Times New Roman" w:eastAsia="Times New Roman" w:cs="Times New Roman"/>
          <w:spacing w:val="8"/>
          <w:sz w:val="20"/>
          <w:szCs w:val="20"/>
        </w:rPr>
        <w:t>7.5.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项</w:t>
      </w:r>
      <w:r>
        <w:rPr>
          <w:rFonts w:ascii="宋体" w:hAnsi="宋体" w:eastAsia="宋体" w:cs="宋体"/>
          <w:spacing w:val="7"/>
          <w:sz w:val="20"/>
          <w:szCs w:val="20"/>
        </w:rPr>
        <w:t>〔因发包人原因导致工期延误〕约定办理。</w:t>
      </w:r>
    </w:p>
    <w:p w14:paraId="04051C1F">
      <w:pPr>
        <w:spacing w:before="1" w:line="227" w:lineRule="auto"/>
        <w:ind w:left="423"/>
        <w:rPr>
          <w:rFonts w:ascii="宋体" w:hAnsi="宋体" w:eastAsia="宋体" w:cs="宋体"/>
          <w:sz w:val="20"/>
          <w:szCs w:val="20"/>
        </w:rPr>
      </w:pPr>
      <w:r>
        <w:rPr>
          <w:rFonts w:ascii="Times New Roman" w:hAnsi="Times New Roman" w:eastAsia="Times New Roman" w:cs="Times New Roman"/>
          <w:spacing w:val="5"/>
          <w:sz w:val="20"/>
          <w:szCs w:val="20"/>
        </w:rPr>
        <w:t xml:space="preserve">7.8.6  </w:t>
      </w:r>
      <w:r>
        <w:rPr>
          <w:rFonts w:ascii="宋体" w:hAnsi="宋体" w:eastAsia="宋体" w:cs="宋体"/>
          <w:spacing w:val="5"/>
          <w:sz w:val="20"/>
          <w:szCs w:val="20"/>
        </w:rPr>
        <w:t>暂停施工持续</w:t>
      </w:r>
      <w:r>
        <w:rPr>
          <w:rFonts w:ascii="宋体" w:hAnsi="宋体" w:eastAsia="宋体" w:cs="宋体"/>
          <w:spacing w:val="-36"/>
          <w:sz w:val="20"/>
          <w:szCs w:val="20"/>
        </w:rPr>
        <w:t xml:space="preserve"> </w:t>
      </w:r>
      <w:r>
        <w:rPr>
          <w:rFonts w:ascii="Times New Roman" w:hAnsi="Times New Roman" w:eastAsia="Times New Roman" w:cs="Times New Roman"/>
          <w:spacing w:val="5"/>
          <w:sz w:val="20"/>
          <w:szCs w:val="20"/>
        </w:rPr>
        <w:t>56</w:t>
      </w:r>
      <w:r>
        <w:rPr>
          <w:rFonts w:ascii="Times New Roman" w:hAnsi="Times New Roman" w:eastAsia="Times New Roman" w:cs="Times New Roman"/>
          <w:spacing w:val="16"/>
          <w:sz w:val="20"/>
          <w:szCs w:val="20"/>
        </w:rPr>
        <w:t xml:space="preserve"> </w:t>
      </w:r>
      <w:r>
        <w:rPr>
          <w:rFonts w:ascii="宋体" w:hAnsi="宋体" w:eastAsia="宋体" w:cs="宋体"/>
          <w:spacing w:val="5"/>
          <w:sz w:val="20"/>
          <w:szCs w:val="20"/>
        </w:rPr>
        <w:t>天以上</w:t>
      </w:r>
    </w:p>
    <w:p w14:paraId="670C6A5B">
      <w:pPr>
        <w:spacing w:before="154" w:line="369" w:lineRule="auto"/>
        <w:ind w:left="3" w:right="59" w:firstLine="420"/>
        <w:rPr>
          <w:rFonts w:ascii="宋体" w:hAnsi="宋体" w:eastAsia="宋体" w:cs="宋体"/>
          <w:sz w:val="20"/>
          <w:szCs w:val="20"/>
        </w:rPr>
      </w:pPr>
      <w:r>
        <w:rPr>
          <w:rFonts w:ascii="宋体" w:hAnsi="宋体" w:eastAsia="宋体" w:cs="宋体"/>
          <w:spacing w:val="3"/>
          <w:sz w:val="20"/>
          <w:szCs w:val="20"/>
        </w:rPr>
        <w:t>监理人发出暂停施工指示后</w:t>
      </w:r>
      <w:r>
        <w:rPr>
          <w:rFonts w:ascii="宋体" w:hAnsi="宋体" w:eastAsia="宋体" w:cs="宋体"/>
          <w:spacing w:val="-22"/>
          <w:sz w:val="20"/>
          <w:szCs w:val="20"/>
        </w:rPr>
        <w:t xml:space="preserve"> </w:t>
      </w:r>
      <w:r>
        <w:rPr>
          <w:rFonts w:ascii="Times New Roman" w:hAnsi="Times New Roman" w:eastAsia="Times New Roman" w:cs="Times New Roman"/>
          <w:spacing w:val="3"/>
          <w:sz w:val="20"/>
          <w:szCs w:val="20"/>
        </w:rPr>
        <w:t>56</w:t>
      </w:r>
      <w:r>
        <w:rPr>
          <w:rFonts w:ascii="Times New Roman" w:hAnsi="Times New Roman" w:eastAsia="Times New Roman" w:cs="Times New Roman"/>
          <w:spacing w:val="14"/>
          <w:sz w:val="20"/>
          <w:szCs w:val="20"/>
        </w:rPr>
        <w:t xml:space="preserve"> </w:t>
      </w:r>
      <w:r>
        <w:rPr>
          <w:rFonts w:ascii="宋体" w:hAnsi="宋体" w:eastAsia="宋体" w:cs="宋体"/>
          <w:spacing w:val="3"/>
          <w:sz w:val="20"/>
          <w:szCs w:val="20"/>
        </w:rPr>
        <w:t>天内未向承包人发出复工通知，除该项停工属于第</w:t>
      </w:r>
      <w:r>
        <w:rPr>
          <w:rFonts w:ascii="宋体" w:hAnsi="宋体" w:eastAsia="宋体" w:cs="宋体"/>
          <w:spacing w:val="-37"/>
          <w:sz w:val="20"/>
          <w:szCs w:val="20"/>
        </w:rPr>
        <w:t xml:space="preserve"> </w:t>
      </w:r>
      <w:r>
        <w:rPr>
          <w:rFonts w:ascii="Times New Roman" w:hAnsi="Times New Roman" w:eastAsia="Times New Roman" w:cs="Times New Roman"/>
          <w:spacing w:val="3"/>
          <w:sz w:val="20"/>
          <w:szCs w:val="20"/>
        </w:rPr>
        <w:t xml:space="preserve">7.8.2 </w:t>
      </w:r>
      <w:r>
        <w:rPr>
          <w:rFonts w:ascii="宋体" w:hAnsi="宋体" w:eastAsia="宋体" w:cs="宋体"/>
          <w:spacing w:val="3"/>
          <w:sz w:val="20"/>
          <w:szCs w:val="20"/>
        </w:rPr>
        <w:t>项〔承</w:t>
      </w:r>
      <w:r>
        <w:rPr>
          <w:rFonts w:ascii="宋体" w:hAnsi="宋体" w:eastAsia="宋体" w:cs="宋体"/>
          <w:spacing w:val="6"/>
          <w:sz w:val="20"/>
          <w:szCs w:val="20"/>
        </w:rPr>
        <w:t>包人原因引起的暂停施工〕及第</w:t>
      </w:r>
      <w:r>
        <w:rPr>
          <w:rFonts w:ascii="宋体" w:hAnsi="宋体" w:eastAsia="宋体" w:cs="宋体"/>
          <w:spacing w:val="-4"/>
          <w:sz w:val="20"/>
          <w:szCs w:val="20"/>
        </w:rPr>
        <w:t xml:space="preserve"> </w:t>
      </w:r>
      <w:r>
        <w:rPr>
          <w:rFonts w:ascii="Times New Roman" w:hAnsi="Times New Roman" w:eastAsia="Times New Roman" w:cs="Times New Roman"/>
          <w:spacing w:val="6"/>
          <w:sz w:val="20"/>
          <w:szCs w:val="20"/>
        </w:rPr>
        <w:t xml:space="preserve">17 </w:t>
      </w:r>
      <w:r>
        <w:rPr>
          <w:rFonts w:ascii="宋体" w:hAnsi="宋体" w:eastAsia="宋体" w:cs="宋体"/>
          <w:spacing w:val="6"/>
          <w:sz w:val="20"/>
          <w:szCs w:val="20"/>
        </w:rPr>
        <w:t>条〔不可抗力〕约定的情形外，承包人可向发包人提交书面通</w:t>
      </w:r>
      <w:r>
        <w:rPr>
          <w:rFonts w:ascii="宋体" w:hAnsi="宋体" w:eastAsia="宋体" w:cs="宋体"/>
          <w:spacing w:val="7"/>
          <w:sz w:val="20"/>
          <w:szCs w:val="20"/>
        </w:rPr>
        <w:t>知，要求发包人在收到书面通知后</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天内准许已暂停施工的</w:t>
      </w:r>
      <w:r>
        <w:rPr>
          <w:rFonts w:ascii="宋体" w:hAnsi="宋体" w:eastAsia="宋体" w:cs="宋体"/>
          <w:spacing w:val="6"/>
          <w:sz w:val="20"/>
          <w:szCs w:val="20"/>
        </w:rPr>
        <w:t>部分或全部工程继续施工。发包人逾</w:t>
      </w:r>
      <w:r>
        <w:rPr>
          <w:rFonts w:ascii="宋体" w:hAnsi="宋体" w:eastAsia="宋体" w:cs="宋体"/>
          <w:spacing w:val="8"/>
          <w:sz w:val="20"/>
          <w:szCs w:val="20"/>
        </w:rPr>
        <w:t>期不予批准的，则承包人可以通知发包人，将工程受影响的部</w:t>
      </w:r>
      <w:r>
        <w:rPr>
          <w:rFonts w:ascii="宋体" w:hAnsi="宋体" w:eastAsia="宋体" w:cs="宋体"/>
          <w:spacing w:val="7"/>
          <w:sz w:val="20"/>
          <w:szCs w:val="20"/>
        </w:rPr>
        <w:t>分视为按第</w:t>
      </w:r>
      <w:r>
        <w:rPr>
          <w:rFonts w:ascii="宋体" w:hAnsi="宋体" w:eastAsia="宋体" w:cs="宋体"/>
          <w:spacing w:val="-20"/>
          <w:sz w:val="20"/>
          <w:szCs w:val="20"/>
        </w:rPr>
        <w:t xml:space="preserve"> </w:t>
      </w:r>
      <w:r>
        <w:rPr>
          <w:rFonts w:ascii="Times New Roman" w:hAnsi="Times New Roman" w:eastAsia="Times New Roman" w:cs="Times New Roman"/>
          <w:spacing w:val="7"/>
          <w:sz w:val="20"/>
          <w:szCs w:val="20"/>
        </w:rPr>
        <w:t xml:space="preserve">10.1 </w:t>
      </w:r>
      <w:r>
        <w:rPr>
          <w:rFonts w:ascii="宋体" w:hAnsi="宋体" w:eastAsia="宋体" w:cs="宋体"/>
          <w:spacing w:val="7"/>
          <w:sz w:val="20"/>
          <w:szCs w:val="20"/>
        </w:rPr>
        <w:t>款〔变更的范围〕第（</w:t>
      </w:r>
      <w:r>
        <w:rPr>
          <w:rFonts w:ascii="Times New Roman" w:hAnsi="Times New Roman" w:eastAsia="Times New Roman" w:cs="Times New Roman"/>
          <w:spacing w:val="7"/>
          <w:sz w:val="20"/>
          <w:szCs w:val="20"/>
        </w:rPr>
        <w:t>2</w:t>
      </w:r>
      <w:r>
        <w:rPr>
          <w:rFonts w:ascii="宋体" w:hAnsi="宋体" w:eastAsia="宋体" w:cs="宋体"/>
          <w:spacing w:val="7"/>
          <w:sz w:val="20"/>
          <w:szCs w:val="20"/>
        </w:rPr>
        <w:t>）项的可取消工作。</w:t>
      </w:r>
    </w:p>
    <w:p w14:paraId="3B1D99D8">
      <w:pPr>
        <w:spacing w:before="1" w:line="369" w:lineRule="auto"/>
        <w:ind w:left="4" w:right="73" w:firstLine="425"/>
        <w:jc w:val="both"/>
        <w:rPr>
          <w:rFonts w:ascii="宋体" w:hAnsi="宋体" w:eastAsia="宋体" w:cs="宋体"/>
          <w:sz w:val="20"/>
          <w:szCs w:val="20"/>
        </w:rPr>
      </w:pPr>
      <w:r>
        <w:rPr>
          <w:rFonts w:ascii="宋体" w:hAnsi="宋体" w:eastAsia="宋体" w:cs="宋体"/>
          <w:spacing w:val="8"/>
          <w:sz w:val="20"/>
          <w:szCs w:val="20"/>
        </w:rPr>
        <w:t>暂停施工持续</w:t>
      </w:r>
      <w:r>
        <w:rPr>
          <w:rFonts w:ascii="宋体" w:hAnsi="宋体" w:eastAsia="宋体" w:cs="宋体"/>
          <w:spacing w:val="-32"/>
          <w:sz w:val="20"/>
          <w:szCs w:val="20"/>
        </w:rPr>
        <w:t xml:space="preserve"> </w:t>
      </w:r>
      <w:r>
        <w:rPr>
          <w:rFonts w:ascii="Times New Roman" w:hAnsi="Times New Roman" w:eastAsia="Times New Roman" w:cs="Times New Roman"/>
          <w:spacing w:val="8"/>
          <w:sz w:val="20"/>
          <w:szCs w:val="20"/>
        </w:rPr>
        <w:t xml:space="preserve">84 </w:t>
      </w:r>
      <w:r>
        <w:rPr>
          <w:rFonts w:ascii="宋体" w:hAnsi="宋体" w:eastAsia="宋体" w:cs="宋体"/>
          <w:spacing w:val="8"/>
          <w:sz w:val="20"/>
          <w:szCs w:val="20"/>
        </w:rPr>
        <w:t>天以上不复工的，且不属于第</w:t>
      </w:r>
      <w:r>
        <w:rPr>
          <w:rFonts w:ascii="宋体" w:hAnsi="宋体" w:eastAsia="宋体" w:cs="宋体"/>
          <w:spacing w:val="-39"/>
          <w:sz w:val="20"/>
          <w:szCs w:val="20"/>
        </w:rPr>
        <w:t xml:space="preserve"> </w:t>
      </w:r>
      <w:r>
        <w:rPr>
          <w:rFonts w:ascii="Times New Roman" w:hAnsi="Times New Roman" w:eastAsia="Times New Roman" w:cs="Times New Roman"/>
          <w:spacing w:val="8"/>
          <w:sz w:val="20"/>
          <w:szCs w:val="20"/>
        </w:rPr>
        <w:t xml:space="preserve">7.8.2 </w:t>
      </w:r>
      <w:r>
        <w:rPr>
          <w:rFonts w:ascii="宋体" w:hAnsi="宋体" w:eastAsia="宋体" w:cs="宋体"/>
          <w:spacing w:val="8"/>
          <w:sz w:val="20"/>
          <w:szCs w:val="20"/>
        </w:rPr>
        <w:t>项〔承包人原因引起的</w:t>
      </w:r>
      <w:r>
        <w:rPr>
          <w:rFonts w:ascii="宋体" w:hAnsi="宋体" w:eastAsia="宋体" w:cs="宋体"/>
          <w:spacing w:val="7"/>
          <w:sz w:val="20"/>
          <w:szCs w:val="20"/>
        </w:rPr>
        <w:t>暂停施工〕及第</w:t>
      </w:r>
      <w:r>
        <w:rPr>
          <w:rFonts w:ascii="Times New Roman" w:hAnsi="Times New Roman" w:eastAsia="Times New Roman" w:cs="Times New Roman"/>
          <w:spacing w:val="8"/>
          <w:sz w:val="20"/>
          <w:szCs w:val="20"/>
        </w:rPr>
        <w:t xml:space="preserve">17 </w:t>
      </w:r>
      <w:r>
        <w:rPr>
          <w:rFonts w:ascii="宋体" w:hAnsi="宋体" w:eastAsia="宋体" w:cs="宋体"/>
          <w:spacing w:val="8"/>
          <w:sz w:val="20"/>
          <w:szCs w:val="20"/>
        </w:rPr>
        <w:t>条〔不可抗力〕约定的情形，并影响到整个工程以及合同目的实现的，承包人有权提出价格调整要求，或者解除合同。解除合同的，按照第</w:t>
      </w:r>
      <w:r>
        <w:rPr>
          <w:rFonts w:ascii="宋体" w:hAnsi="宋体" w:eastAsia="宋体" w:cs="宋体"/>
          <w:spacing w:val="-21"/>
          <w:sz w:val="20"/>
          <w:szCs w:val="20"/>
        </w:rPr>
        <w:t xml:space="preserve"> </w:t>
      </w:r>
      <w:r>
        <w:rPr>
          <w:rFonts w:ascii="Times New Roman" w:hAnsi="Times New Roman" w:eastAsia="Times New Roman" w:cs="Times New Roman"/>
          <w:spacing w:val="8"/>
          <w:sz w:val="20"/>
          <w:szCs w:val="20"/>
        </w:rPr>
        <w:t xml:space="preserve">16.1.3 </w:t>
      </w:r>
      <w:r>
        <w:rPr>
          <w:rFonts w:ascii="宋体" w:hAnsi="宋体" w:eastAsia="宋体" w:cs="宋体"/>
          <w:spacing w:val="8"/>
          <w:sz w:val="20"/>
          <w:szCs w:val="20"/>
        </w:rPr>
        <w:t>项〔因发包人违约解除</w:t>
      </w:r>
      <w:r>
        <w:rPr>
          <w:rFonts w:ascii="宋体" w:hAnsi="宋体" w:eastAsia="宋体" w:cs="宋体"/>
          <w:spacing w:val="7"/>
          <w:sz w:val="20"/>
          <w:szCs w:val="20"/>
        </w:rPr>
        <w:t>合同〕执行。</w:t>
      </w:r>
    </w:p>
    <w:p w14:paraId="332D2EAA">
      <w:pPr>
        <w:spacing w:before="1" w:line="227" w:lineRule="auto"/>
        <w:ind w:left="423"/>
        <w:rPr>
          <w:rFonts w:ascii="宋体" w:hAnsi="宋体" w:eastAsia="宋体" w:cs="宋体"/>
          <w:sz w:val="20"/>
          <w:szCs w:val="20"/>
        </w:rPr>
      </w:pPr>
      <w:r>
        <w:rPr>
          <w:rFonts w:ascii="Times New Roman" w:hAnsi="Times New Roman" w:eastAsia="Times New Roman" w:cs="Times New Roman"/>
          <w:spacing w:val="7"/>
          <w:sz w:val="20"/>
          <w:szCs w:val="20"/>
        </w:rPr>
        <w:t xml:space="preserve">7.8.7  </w:t>
      </w:r>
      <w:r>
        <w:rPr>
          <w:rFonts w:ascii="宋体" w:hAnsi="宋体" w:eastAsia="宋体" w:cs="宋体"/>
          <w:spacing w:val="7"/>
          <w:sz w:val="20"/>
          <w:szCs w:val="20"/>
        </w:rPr>
        <w:t>暂停施工期间的工程照管</w:t>
      </w:r>
    </w:p>
    <w:p w14:paraId="41B46EFC">
      <w:pPr>
        <w:spacing w:before="154" w:line="227" w:lineRule="auto"/>
        <w:jc w:val="right"/>
        <w:rPr>
          <w:rFonts w:ascii="宋体" w:hAnsi="宋体" w:eastAsia="宋体" w:cs="宋体"/>
          <w:sz w:val="20"/>
          <w:szCs w:val="20"/>
        </w:rPr>
      </w:pPr>
      <w:r>
        <w:rPr>
          <w:rFonts w:ascii="宋体" w:hAnsi="宋体" w:eastAsia="宋体" w:cs="宋体"/>
          <w:spacing w:val="6"/>
          <w:sz w:val="20"/>
          <w:szCs w:val="20"/>
        </w:rPr>
        <w:t>暂停施工期间，承包人应负责妥善照管工程并提供安全保障，由此增加的费用由责任方承担。</w:t>
      </w:r>
    </w:p>
    <w:p w14:paraId="6B8DF1EB">
      <w:pPr>
        <w:spacing w:before="155" w:line="228" w:lineRule="auto"/>
        <w:ind w:left="423"/>
        <w:rPr>
          <w:rFonts w:ascii="宋体" w:hAnsi="宋体" w:eastAsia="宋体" w:cs="宋体"/>
          <w:sz w:val="20"/>
          <w:szCs w:val="20"/>
        </w:rPr>
      </w:pPr>
      <w:r>
        <w:rPr>
          <w:rFonts w:ascii="Times New Roman" w:hAnsi="Times New Roman" w:eastAsia="Times New Roman" w:cs="Times New Roman"/>
          <w:spacing w:val="6"/>
          <w:sz w:val="20"/>
          <w:szCs w:val="20"/>
        </w:rPr>
        <w:t xml:space="preserve">7.8.8  </w:t>
      </w:r>
      <w:r>
        <w:rPr>
          <w:rFonts w:ascii="宋体" w:hAnsi="宋体" w:eastAsia="宋体" w:cs="宋体"/>
          <w:spacing w:val="6"/>
          <w:sz w:val="20"/>
          <w:szCs w:val="20"/>
        </w:rPr>
        <w:t>暂停施工的措施</w:t>
      </w:r>
    </w:p>
    <w:p w14:paraId="0531A1A9">
      <w:pPr>
        <w:spacing w:before="151" w:line="358" w:lineRule="auto"/>
        <w:ind w:left="3" w:right="71" w:firstLine="426"/>
        <w:rPr>
          <w:rFonts w:ascii="宋体" w:hAnsi="宋体" w:eastAsia="宋体" w:cs="宋体"/>
          <w:sz w:val="20"/>
          <w:szCs w:val="20"/>
        </w:rPr>
      </w:pPr>
      <w:r>
        <w:rPr>
          <w:rFonts w:ascii="宋体" w:hAnsi="宋体" w:eastAsia="宋体" w:cs="宋体"/>
          <w:spacing w:val="10"/>
          <w:sz w:val="20"/>
          <w:szCs w:val="20"/>
        </w:rPr>
        <w:t>暂停施工期间，发包人和承包人均应采取必要的措施确</w:t>
      </w:r>
      <w:r>
        <w:rPr>
          <w:rFonts w:ascii="宋体" w:hAnsi="宋体" w:eastAsia="宋体" w:cs="宋体"/>
          <w:spacing w:val="9"/>
          <w:sz w:val="20"/>
          <w:szCs w:val="20"/>
        </w:rPr>
        <w:t>保工程质量及安全，防止因暂停施工</w:t>
      </w:r>
      <w:r>
        <w:rPr>
          <w:rFonts w:ascii="宋体" w:hAnsi="宋体" w:eastAsia="宋体" w:cs="宋体"/>
          <w:spacing w:val="5"/>
          <w:sz w:val="20"/>
          <w:szCs w:val="20"/>
        </w:rPr>
        <w:t>扩大损失。</w:t>
      </w:r>
    </w:p>
    <w:p w14:paraId="42CEC5D2">
      <w:pPr>
        <w:pStyle w:val="2"/>
        <w:spacing w:before="1" w:line="220" w:lineRule="auto"/>
        <w:ind w:left="3"/>
        <w:rPr>
          <w:sz w:val="24"/>
          <w:szCs w:val="24"/>
        </w:rPr>
      </w:pPr>
      <w:r>
        <w:rPr>
          <w:rFonts w:ascii="Times New Roman" w:hAnsi="Times New Roman" w:eastAsia="Times New Roman" w:cs="Times New Roman"/>
          <w:b/>
          <w:bCs/>
          <w:spacing w:val="-2"/>
          <w:sz w:val="24"/>
          <w:szCs w:val="24"/>
        </w:rPr>
        <w:t xml:space="preserve">7.9 </w:t>
      </w:r>
      <w:r>
        <w:rPr>
          <w:b/>
          <w:bCs/>
          <w:spacing w:val="-2"/>
          <w:sz w:val="24"/>
          <w:szCs w:val="24"/>
        </w:rPr>
        <w:t>提前竣工</w:t>
      </w:r>
    </w:p>
    <w:p w14:paraId="42A297AE">
      <w:pPr>
        <w:spacing w:before="137" w:line="228" w:lineRule="auto"/>
        <w:ind w:left="423"/>
        <w:rPr>
          <w:rFonts w:ascii="宋体" w:hAnsi="宋体" w:eastAsia="宋体" w:cs="宋体"/>
          <w:sz w:val="20"/>
          <w:szCs w:val="20"/>
        </w:rPr>
      </w:pPr>
      <w:r>
        <w:rPr>
          <w:rFonts w:ascii="Times New Roman" w:hAnsi="Times New Roman" w:eastAsia="Times New Roman" w:cs="Times New Roman"/>
          <w:spacing w:val="6"/>
          <w:sz w:val="20"/>
          <w:szCs w:val="20"/>
        </w:rPr>
        <w:t>7.9.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发包人要求承包人提前竣工的，发包人应通过监理人向承包人下达提前竣</w:t>
      </w:r>
      <w:r>
        <w:rPr>
          <w:rFonts w:ascii="宋体" w:hAnsi="宋体" w:eastAsia="宋体" w:cs="宋体"/>
          <w:spacing w:val="5"/>
          <w:sz w:val="20"/>
          <w:szCs w:val="20"/>
        </w:rPr>
        <w:t>工指示，承包</w:t>
      </w:r>
    </w:p>
    <w:p w14:paraId="6AEDEB97">
      <w:pPr>
        <w:spacing w:line="228" w:lineRule="auto"/>
        <w:rPr>
          <w:rFonts w:ascii="宋体" w:hAnsi="宋体" w:eastAsia="宋体" w:cs="宋体"/>
          <w:sz w:val="20"/>
          <w:szCs w:val="20"/>
        </w:rPr>
        <w:sectPr>
          <w:footerReference r:id="rId256" w:type="default"/>
          <w:pgSz w:w="11906" w:h="16839"/>
          <w:pgMar w:top="400" w:right="1483" w:bottom="1038" w:left="1535" w:header="0" w:footer="787" w:gutter="0"/>
          <w:cols w:space="720" w:num="1"/>
        </w:sectPr>
      </w:pPr>
    </w:p>
    <w:p w14:paraId="14DD8C5D">
      <w:pPr>
        <w:spacing w:line="271" w:lineRule="auto"/>
        <w:rPr>
          <w:rFonts w:ascii="Arial"/>
          <w:sz w:val="21"/>
        </w:rPr>
      </w:pPr>
    </w:p>
    <w:p w14:paraId="46D5C019">
      <w:pPr>
        <w:spacing w:line="272" w:lineRule="auto"/>
        <w:rPr>
          <w:rFonts w:ascii="Arial"/>
          <w:sz w:val="21"/>
        </w:rPr>
      </w:pPr>
    </w:p>
    <w:p w14:paraId="1CFF442E">
      <w:pPr>
        <w:spacing w:line="272" w:lineRule="auto"/>
        <w:rPr>
          <w:rFonts w:ascii="Arial"/>
          <w:sz w:val="21"/>
        </w:rPr>
      </w:pPr>
    </w:p>
    <w:p w14:paraId="4F475D49">
      <w:pPr>
        <w:spacing w:line="272" w:lineRule="auto"/>
        <w:rPr>
          <w:rFonts w:ascii="Arial"/>
          <w:sz w:val="21"/>
        </w:rPr>
      </w:pPr>
    </w:p>
    <w:p w14:paraId="5899A03A">
      <w:pPr>
        <w:spacing w:before="65" w:line="369" w:lineRule="auto"/>
        <w:ind w:right="70" w:firstLine="1"/>
        <w:rPr>
          <w:rFonts w:ascii="宋体" w:hAnsi="宋体" w:eastAsia="宋体" w:cs="宋体"/>
          <w:sz w:val="20"/>
          <w:szCs w:val="20"/>
        </w:rPr>
      </w:pPr>
      <w:r>
        <w:rPr>
          <w:rFonts w:ascii="宋体" w:hAnsi="宋体" w:eastAsia="宋体" w:cs="宋体"/>
          <w:spacing w:val="10"/>
          <w:sz w:val="20"/>
          <w:szCs w:val="20"/>
        </w:rPr>
        <w:t>人应向发包人和监理人提交提前竣工建议书，提前竣工建议书应包括实</w:t>
      </w:r>
      <w:r>
        <w:rPr>
          <w:rFonts w:ascii="宋体" w:hAnsi="宋体" w:eastAsia="宋体" w:cs="宋体"/>
          <w:spacing w:val="9"/>
          <w:sz w:val="20"/>
          <w:szCs w:val="20"/>
        </w:rPr>
        <w:t>施的方案、缩短的时间、</w:t>
      </w:r>
      <w:r>
        <w:rPr>
          <w:rFonts w:ascii="宋体" w:hAnsi="宋体" w:eastAsia="宋体" w:cs="宋体"/>
          <w:spacing w:val="10"/>
          <w:sz w:val="20"/>
          <w:szCs w:val="20"/>
        </w:rPr>
        <w:t>增加的合同价格等内容。发包人接受该提前竣工建议书的，监理人应与发</w:t>
      </w:r>
      <w:r>
        <w:rPr>
          <w:rFonts w:ascii="宋体" w:hAnsi="宋体" w:eastAsia="宋体" w:cs="宋体"/>
          <w:spacing w:val="9"/>
          <w:sz w:val="20"/>
          <w:szCs w:val="20"/>
        </w:rPr>
        <w:t>包人和承包人协商采取</w:t>
      </w:r>
      <w:r>
        <w:rPr>
          <w:rFonts w:ascii="宋体" w:hAnsi="宋体" w:eastAsia="宋体" w:cs="宋体"/>
          <w:spacing w:val="10"/>
          <w:sz w:val="20"/>
          <w:szCs w:val="20"/>
        </w:rPr>
        <w:t>加快工程进度的措施，并修订施工进度计划，由此增加的费用由发包人承</w:t>
      </w:r>
      <w:r>
        <w:rPr>
          <w:rFonts w:ascii="宋体" w:hAnsi="宋体" w:eastAsia="宋体" w:cs="宋体"/>
          <w:spacing w:val="9"/>
          <w:sz w:val="20"/>
          <w:szCs w:val="20"/>
        </w:rPr>
        <w:t>担。承包人认为提前竣</w:t>
      </w:r>
      <w:r>
        <w:rPr>
          <w:rFonts w:ascii="宋体" w:hAnsi="宋体" w:eastAsia="宋体" w:cs="宋体"/>
          <w:spacing w:val="11"/>
          <w:sz w:val="20"/>
          <w:szCs w:val="20"/>
        </w:rPr>
        <w:t>工指示无法执行的，应向监理人和发包人提出书面异议</w:t>
      </w:r>
      <w:r>
        <w:rPr>
          <w:rFonts w:ascii="宋体" w:hAnsi="宋体" w:eastAsia="宋体" w:cs="宋体"/>
          <w:spacing w:val="10"/>
          <w:sz w:val="20"/>
          <w:szCs w:val="20"/>
        </w:rPr>
        <w:t>，发包人和监理人应在收到异议后</w:t>
      </w:r>
      <w:r>
        <w:rPr>
          <w:rFonts w:ascii="Times New Roman" w:hAnsi="Times New Roman" w:eastAsia="Times New Roman" w:cs="Times New Roman"/>
          <w:spacing w:val="10"/>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10"/>
          <w:sz w:val="20"/>
          <w:szCs w:val="20"/>
        </w:rPr>
        <w:t>天内</w:t>
      </w:r>
      <w:r>
        <w:rPr>
          <w:rFonts w:ascii="宋体" w:hAnsi="宋体" w:eastAsia="宋体" w:cs="宋体"/>
          <w:spacing w:val="9"/>
          <w:sz w:val="20"/>
          <w:szCs w:val="20"/>
        </w:rPr>
        <w:t>予以答复。任何情况下，发包人不得压缩合理工期。</w:t>
      </w:r>
    </w:p>
    <w:p w14:paraId="138D3A4F">
      <w:pPr>
        <w:spacing w:line="371" w:lineRule="auto"/>
        <w:ind w:left="1" w:right="18" w:firstLine="418"/>
        <w:rPr>
          <w:rFonts w:ascii="宋体" w:hAnsi="宋体" w:eastAsia="宋体" w:cs="宋体"/>
          <w:sz w:val="20"/>
          <w:szCs w:val="20"/>
        </w:rPr>
      </w:pPr>
      <w:r>
        <w:rPr>
          <w:rFonts w:ascii="Times New Roman" w:hAnsi="Times New Roman" w:eastAsia="Times New Roman" w:cs="Times New Roman"/>
          <w:spacing w:val="8"/>
          <w:sz w:val="20"/>
          <w:szCs w:val="20"/>
        </w:rPr>
        <w:t xml:space="preserve">7.9.2  </w:t>
      </w:r>
      <w:r>
        <w:rPr>
          <w:rFonts w:ascii="宋体" w:hAnsi="宋体" w:eastAsia="宋体" w:cs="宋体"/>
          <w:spacing w:val="8"/>
          <w:sz w:val="20"/>
          <w:szCs w:val="20"/>
        </w:rPr>
        <w:t>发包人要求承包人提前竣工，或承包人提出提前</w:t>
      </w:r>
      <w:r>
        <w:rPr>
          <w:rFonts w:ascii="宋体" w:hAnsi="宋体" w:eastAsia="宋体" w:cs="宋体"/>
          <w:spacing w:val="7"/>
          <w:sz w:val="20"/>
          <w:szCs w:val="20"/>
        </w:rPr>
        <w:t>竣工的建议能够给发包人带来效益的，</w:t>
      </w:r>
      <w:r>
        <w:rPr>
          <w:rFonts w:ascii="宋体" w:hAnsi="宋体" w:eastAsia="宋体" w:cs="宋体"/>
          <w:spacing w:val="9"/>
          <w:sz w:val="20"/>
          <w:szCs w:val="20"/>
        </w:rPr>
        <w:t>合同当事人可以在专用合同条款中约定提前竣工的奖励。</w:t>
      </w:r>
    </w:p>
    <w:p w14:paraId="09D113CF">
      <w:pPr>
        <w:pStyle w:val="2"/>
        <w:spacing w:before="33" w:line="222" w:lineRule="auto"/>
        <w:ind w:left="2"/>
        <w:outlineLvl w:val="2"/>
        <w:rPr>
          <w:sz w:val="28"/>
          <w:szCs w:val="28"/>
        </w:rPr>
      </w:pPr>
      <w:bookmarkStart w:id="270" w:name="bookmark252"/>
      <w:bookmarkEnd w:id="270"/>
      <w:r>
        <w:rPr>
          <w:rFonts w:ascii="Times New Roman" w:hAnsi="Times New Roman" w:eastAsia="Times New Roman" w:cs="Times New Roman"/>
          <w:b/>
          <w:bCs/>
          <w:spacing w:val="-3"/>
          <w:sz w:val="28"/>
          <w:szCs w:val="28"/>
        </w:rPr>
        <w:t xml:space="preserve">8.  </w:t>
      </w:r>
      <w:r>
        <w:rPr>
          <w:b/>
          <w:bCs/>
          <w:spacing w:val="-3"/>
          <w:sz w:val="28"/>
          <w:szCs w:val="28"/>
        </w:rPr>
        <w:t>材料与设备</w:t>
      </w:r>
    </w:p>
    <w:p w14:paraId="72CFD711">
      <w:pPr>
        <w:pStyle w:val="2"/>
        <w:spacing w:before="99" w:line="221" w:lineRule="auto"/>
        <w:ind w:left="1"/>
        <w:rPr>
          <w:sz w:val="24"/>
          <w:szCs w:val="24"/>
        </w:rPr>
      </w:pPr>
      <w:r>
        <w:rPr>
          <w:rFonts w:ascii="Times New Roman" w:hAnsi="Times New Roman" w:eastAsia="Times New Roman" w:cs="Times New Roman"/>
          <w:b/>
          <w:bCs/>
          <w:spacing w:val="-2"/>
          <w:sz w:val="24"/>
          <w:szCs w:val="24"/>
        </w:rPr>
        <w:t xml:space="preserve">8.1 </w:t>
      </w:r>
      <w:r>
        <w:rPr>
          <w:b/>
          <w:bCs/>
          <w:spacing w:val="-2"/>
          <w:sz w:val="24"/>
          <w:szCs w:val="24"/>
        </w:rPr>
        <w:t>发包人供应材料与工程设备</w:t>
      </w:r>
    </w:p>
    <w:p w14:paraId="60F32893">
      <w:pPr>
        <w:spacing w:before="138" w:line="370" w:lineRule="auto"/>
        <w:ind w:firstLine="423"/>
        <w:rPr>
          <w:rFonts w:ascii="宋体" w:hAnsi="宋体" w:eastAsia="宋体" w:cs="宋体"/>
          <w:sz w:val="20"/>
          <w:szCs w:val="20"/>
        </w:rPr>
      </w:pPr>
      <w:r>
        <w:rPr>
          <w:rFonts w:ascii="宋体" w:hAnsi="宋体" w:eastAsia="宋体" w:cs="宋体"/>
          <w:spacing w:val="10"/>
          <w:sz w:val="20"/>
          <w:szCs w:val="20"/>
        </w:rPr>
        <w:t>发包人自行供应材料、工程设备的，应在签订合同时在专用合</w:t>
      </w:r>
      <w:r>
        <w:rPr>
          <w:rFonts w:ascii="宋体" w:hAnsi="宋体" w:eastAsia="宋体" w:cs="宋体"/>
          <w:spacing w:val="9"/>
          <w:sz w:val="20"/>
          <w:szCs w:val="20"/>
        </w:rPr>
        <w:t>同条款的附件《发包人供应材</w:t>
      </w:r>
      <w:r>
        <w:rPr>
          <w:rFonts w:ascii="宋体" w:hAnsi="宋体" w:eastAsia="宋体" w:cs="宋体"/>
          <w:spacing w:val="7"/>
          <w:sz w:val="20"/>
          <w:szCs w:val="20"/>
        </w:rPr>
        <w:t>料设备一览表》中明确材料、工程设备的品种、规格</w:t>
      </w:r>
      <w:r>
        <w:rPr>
          <w:rFonts w:ascii="宋体" w:hAnsi="宋体" w:eastAsia="宋体" w:cs="宋体"/>
          <w:spacing w:val="6"/>
          <w:sz w:val="20"/>
          <w:szCs w:val="20"/>
        </w:rPr>
        <w:t>、型号、数量、单价、质量等级和送达地点。</w:t>
      </w:r>
    </w:p>
    <w:p w14:paraId="52C08B9B">
      <w:pPr>
        <w:spacing w:line="361" w:lineRule="auto"/>
        <w:ind w:right="70" w:firstLine="420"/>
        <w:rPr>
          <w:rFonts w:ascii="宋体" w:hAnsi="宋体" w:eastAsia="宋体" w:cs="宋体"/>
          <w:sz w:val="20"/>
          <w:szCs w:val="20"/>
        </w:rPr>
      </w:pPr>
      <w:r>
        <w:rPr>
          <w:rFonts w:ascii="宋体" w:hAnsi="宋体" w:eastAsia="宋体" w:cs="宋体"/>
          <w:spacing w:val="7"/>
          <w:sz w:val="20"/>
          <w:szCs w:val="20"/>
        </w:rPr>
        <w:t>承包人应提前</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 xml:space="preserve">30 </w:t>
      </w:r>
      <w:r>
        <w:rPr>
          <w:rFonts w:ascii="宋体" w:hAnsi="宋体" w:eastAsia="宋体" w:cs="宋体"/>
          <w:spacing w:val="7"/>
          <w:sz w:val="20"/>
          <w:szCs w:val="20"/>
        </w:rPr>
        <w:t>天通过监理人以书面形式通知发包人</w:t>
      </w:r>
      <w:r>
        <w:rPr>
          <w:rFonts w:ascii="宋体" w:hAnsi="宋体" w:eastAsia="宋体" w:cs="宋体"/>
          <w:spacing w:val="6"/>
          <w:sz w:val="20"/>
          <w:szCs w:val="20"/>
        </w:rPr>
        <w:t>供应材料与工程设备进场。承包人按照</w:t>
      </w:r>
      <w:r>
        <w:rPr>
          <w:rFonts w:ascii="宋体" w:hAnsi="宋体" w:eastAsia="宋体" w:cs="宋体"/>
          <w:spacing w:val="7"/>
          <w:sz w:val="20"/>
          <w:szCs w:val="20"/>
        </w:rPr>
        <w:t>第</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 xml:space="preserve">7.2.2 </w:t>
      </w:r>
      <w:r>
        <w:rPr>
          <w:rFonts w:ascii="宋体" w:hAnsi="宋体" w:eastAsia="宋体" w:cs="宋体"/>
          <w:spacing w:val="7"/>
          <w:sz w:val="20"/>
          <w:szCs w:val="20"/>
        </w:rPr>
        <w:t>项〔施工进度计划的修订〕约定修订施</w:t>
      </w:r>
      <w:r>
        <w:rPr>
          <w:rFonts w:ascii="宋体" w:hAnsi="宋体" w:eastAsia="宋体" w:cs="宋体"/>
          <w:spacing w:val="6"/>
          <w:sz w:val="20"/>
          <w:szCs w:val="20"/>
        </w:rPr>
        <w:t>工进度计划时，需同时提交经修订后的发包人供应</w:t>
      </w:r>
      <w:r>
        <w:rPr>
          <w:rFonts w:ascii="宋体" w:hAnsi="宋体" w:eastAsia="宋体" w:cs="宋体"/>
          <w:spacing w:val="8"/>
          <w:sz w:val="20"/>
          <w:szCs w:val="20"/>
        </w:rPr>
        <w:t>材料与工程设备的进场计划。</w:t>
      </w:r>
    </w:p>
    <w:p w14:paraId="0F4190CF">
      <w:pPr>
        <w:pStyle w:val="2"/>
        <w:spacing w:line="221" w:lineRule="auto"/>
        <w:ind w:left="1"/>
        <w:rPr>
          <w:sz w:val="24"/>
          <w:szCs w:val="24"/>
        </w:rPr>
      </w:pPr>
      <w:r>
        <w:rPr>
          <w:rFonts w:ascii="Times New Roman" w:hAnsi="Times New Roman" w:eastAsia="Times New Roman" w:cs="Times New Roman"/>
          <w:b/>
          <w:bCs/>
          <w:spacing w:val="-2"/>
          <w:sz w:val="24"/>
          <w:szCs w:val="24"/>
        </w:rPr>
        <w:t xml:space="preserve">8.2 </w:t>
      </w:r>
      <w:r>
        <w:rPr>
          <w:b/>
          <w:bCs/>
          <w:spacing w:val="-2"/>
          <w:sz w:val="24"/>
          <w:szCs w:val="24"/>
        </w:rPr>
        <w:t>承包人采购材料与工程设备</w:t>
      </w:r>
    </w:p>
    <w:p w14:paraId="5870B3D7">
      <w:pPr>
        <w:spacing w:before="139" w:line="363" w:lineRule="auto"/>
        <w:ind w:right="71" w:firstLine="420"/>
        <w:jc w:val="both"/>
        <w:rPr>
          <w:rFonts w:ascii="宋体" w:hAnsi="宋体" w:eastAsia="宋体" w:cs="宋体"/>
          <w:sz w:val="20"/>
          <w:szCs w:val="20"/>
        </w:rPr>
      </w:pPr>
      <w:r>
        <w:rPr>
          <w:rFonts w:ascii="宋体" w:hAnsi="宋体" w:eastAsia="宋体" w:cs="宋体"/>
          <w:spacing w:val="10"/>
          <w:sz w:val="20"/>
          <w:szCs w:val="20"/>
        </w:rPr>
        <w:t>承包人负责采购材料、工程设备的，应按照设计和有关标准要求采购</w:t>
      </w:r>
      <w:r>
        <w:rPr>
          <w:rFonts w:ascii="宋体" w:hAnsi="宋体" w:eastAsia="宋体" w:cs="宋体"/>
          <w:spacing w:val="9"/>
          <w:sz w:val="20"/>
          <w:szCs w:val="20"/>
        </w:rPr>
        <w:t>，并提供产品合格证明</w:t>
      </w:r>
      <w:r>
        <w:rPr>
          <w:rFonts w:ascii="宋体" w:hAnsi="宋体" w:eastAsia="宋体" w:cs="宋体"/>
          <w:spacing w:val="10"/>
          <w:sz w:val="20"/>
          <w:szCs w:val="20"/>
        </w:rPr>
        <w:t>及出厂证明，对材料、工程设备质量负责。合同约定由承包人采购的材料、</w:t>
      </w:r>
      <w:r>
        <w:rPr>
          <w:rFonts w:ascii="宋体" w:hAnsi="宋体" w:eastAsia="宋体" w:cs="宋体"/>
          <w:spacing w:val="9"/>
          <w:sz w:val="20"/>
          <w:szCs w:val="20"/>
        </w:rPr>
        <w:t>工程设备，发包人不</w:t>
      </w:r>
      <w:r>
        <w:rPr>
          <w:rFonts w:ascii="宋体" w:hAnsi="宋体" w:eastAsia="宋体" w:cs="宋体"/>
          <w:spacing w:val="10"/>
          <w:sz w:val="20"/>
          <w:szCs w:val="20"/>
        </w:rPr>
        <w:t>得指定生产厂家或供应商，发包人违反本款约定指定生产厂家或供应商的，</w:t>
      </w:r>
      <w:r>
        <w:rPr>
          <w:rFonts w:ascii="宋体" w:hAnsi="宋体" w:eastAsia="宋体" w:cs="宋体"/>
          <w:spacing w:val="9"/>
          <w:sz w:val="20"/>
          <w:szCs w:val="20"/>
        </w:rPr>
        <w:t>承包人有权拒绝，并</w:t>
      </w:r>
      <w:r>
        <w:rPr>
          <w:rFonts w:ascii="宋体" w:hAnsi="宋体" w:eastAsia="宋体" w:cs="宋体"/>
          <w:spacing w:val="8"/>
          <w:sz w:val="20"/>
          <w:szCs w:val="20"/>
        </w:rPr>
        <w:t>由发包人承担相应责任。</w:t>
      </w:r>
    </w:p>
    <w:p w14:paraId="5BAAC1BD">
      <w:pPr>
        <w:pStyle w:val="2"/>
        <w:spacing w:line="221" w:lineRule="auto"/>
        <w:ind w:left="1"/>
        <w:rPr>
          <w:sz w:val="24"/>
          <w:szCs w:val="24"/>
        </w:rPr>
      </w:pPr>
      <w:r>
        <w:rPr>
          <w:rFonts w:ascii="Times New Roman" w:hAnsi="Times New Roman" w:eastAsia="Times New Roman" w:cs="Times New Roman"/>
          <w:b/>
          <w:bCs/>
          <w:spacing w:val="-2"/>
          <w:sz w:val="24"/>
          <w:szCs w:val="24"/>
        </w:rPr>
        <w:t xml:space="preserve">8.3 </w:t>
      </w:r>
      <w:r>
        <w:rPr>
          <w:b/>
          <w:bCs/>
          <w:spacing w:val="-2"/>
          <w:sz w:val="24"/>
          <w:szCs w:val="24"/>
        </w:rPr>
        <w:t>材料与工程设备的接收与拒收</w:t>
      </w:r>
    </w:p>
    <w:p w14:paraId="303F7CF0">
      <w:pPr>
        <w:spacing w:before="141" w:line="369" w:lineRule="auto"/>
        <w:ind w:left="1" w:right="2" w:firstLine="423"/>
        <w:jc w:val="both"/>
        <w:rPr>
          <w:rFonts w:ascii="宋体" w:hAnsi="宋体" w:eastAsia="宋体" w:cs="宋体"/>
          <w:sz w:val="20"/>
          <w:szCs w:val="20"/>
        </w:rPr>
      </w:pPr>
      <w:r>
        <w:rPr>
          <w:rFonts w:ascii="Times New Roman" w:hAnsi="Times New Roman" w:eastAsia="Times New Roman" w:cs="Times New Roman"/>
          <w:spacing w:val="6"/>
          <w:sz w:val="20"/>
          <w:szCs w:val="20"/>
        </w:rPr>
        <w:t>8.3.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发包人应按《发包人供应材料设备一览表》约定的内容提供材</w:t>
      </w:r>
      <w:r>
        <w:rPr>
          <w:rFonts w:ascii="宋体" w:hAnsi="宋体" w:eastAsia="宋体" w:cs="宋体"/>
          <w:spacing w:val="5"/>
          <w:sz w:val="20"/>
          <w:szCs w:val="20"/>
        </w:rPr>
        <w:t>料和工程设备，并向承包</w:t>
      </w:r>
      <w:r>
        <w:rPr>
          <w:rFonts w:ascii="宋体" w:hAnsi="宋体" w:eastAsia="宋体" w:cs="宋体"/>
          <w:spacing w:val="8"/>
          <w:sz w:val="20"/>
          <w:szCs w:val="20"/>
        </w:rPr>
        <w:t>人提供产品合格证明及出厂证明，对其质量负责。发包人应提前</w:t>
      </w:r>
      <w:r>
        <w:rPr>
          <w:rFonts w:ascii="宋体" w:hAnsi="宋体" w:eastAsia="宋体" w:cs="宋体"/>
          <w:spacing w:val="-31"/>
          <w:sz w:val="20"/>
          <w:szCs w:val="20"/>
        </w:rPr>
        <w:t xml:space="preserve"> </w:t>
      </w:r>
      <w:r>
        <w:rPr>
          <w:rFonts w:ascii="Times New Roman" w:hAnsi="Times New Roman" w:eastAsia="Times New Roman" w:cs="Times New Roman"/>
          <w:spacing w:val="8"/>
          <w:sz w:val="20"/>
          <w:szCs w:val="20"/>
        </w:rPr>
        <w:t>24</w:t>
      </w:r>
      <w:r>
        <w:rPr>
          <w:rFonts w:ascii="Times New Roman" w:hAnsi="Times New Roman" w:eastAsia="Times New Roman" w:cs="Times New Roman"/>
          <w:spacing w:val="15"/>
          <w:w w:val="101"/>
          <w:sz w:val="20"/>
          <w:szCs w:val="20"/>
        </w:rPr>
        <w:t xml:space="preserve"> </w:t>
      </w:r>
      <w:r>
        <w:rPr>
          <w:rFonts w:ascii="宋体" w:hAnsi="宋体" w:eastAsia="宋体" w:cs="宋体"/>
          <w:spacing w:val="8"/>
          <w:sz w:val="20"/>
          <w:szCs w:val="20"/>
        </w:rPr>
        <w:t>小时以书面形式通知承包人、</w:t>
      </w:r>
      <w:r>
        <w:rPr>
          <w:rFonts w:ascii="宋体" w:hAnsi="宋体" w:eastAsia="宋体" w:cs="宋体"/>
          <w:spacing w:val="9"/>
          <w:sz w:val="20"/>
          <w:szCs w:val="20"/>
        </w:rPr>
        <w:t>监理人材料和工程设备到货时间，承包人负责材料和工程设备的清点、检验和接收。</w:t>
      </w:r>
    </w:p>
    <w:p w14:paraId="69657E06">
      <w:pPr>
        <w:spacing w:before="1" w:line="368" w:lineRule="auto"/>
        <w:ind w:left="5" w:right="71" w:firstLine="419"/>
        <w:rPr>
          <w:rFonts w:ascii="宋体" w:hAnsi="宋体" w:eastAsia="宋体" w:cs="宋体"/>
          <w:sz w:val="20"/>
          <w:szCs w:val="20"/>
        </w:rPr>
      </w:pPr>
      <w:r>
        <w:rPr>
          <w:rFonts w:ascii="宋体" w:hAnsi="宋体" w:eastAsia="宋体" w:cs="宋体"/>
          <w:spacing w:val="10"/>
          <w:sz w:val="20"/>
          <w:szCs w:val="20"/>
        </w:rPr>
        <w:t>发包人提供的材料和工程设备的规格、数量或质量不符合合同</w:t>
      </w:r>
      <w:r>
        <w:rPr>
          <w:rFonts w:ascii="宋体" w:hAnsi="宋体" w:eastAsia="宋体" w:cs="宋体"/>
          <w:spacing w:val="9"/>
          <w:sz w:val="20"/>
          <w:szCs w:val="20"/>
        </w:rPr>
        <w:t>约定的，或因发包人原因导致</w:t>
      </w:r>
      <w:r>
        <w:rPr>
          <w:rFonts w:ascii="宋体" w:hAnsi="宋体" w:eastAsia="宋体" w:cs="宋体"/>
          <w:spacing w:val="7"/>
          <w:sz w:val="20"/>
          <w:szCs w:val="20"/>
        </w:rPr>
        <w:t>交货日期延误或交货地点变更等情况的，按照第</w:t>
      </w:r>
      <w:r>
        <w:rPr>
          <w:rFonts w:ascii="宋体" w:hAnsi="宋体" w:eastAsia="宋体" w:cs="宋体"/>
          <w:spacing w:val="-12"/>
          <w:sz w:val="20"/>
          <w:szCs w:val="20"/>
        </w:rPr>
        <w:t xml:space="preserve"> </w:t>
      </w:r>
      <w:r>
        <w:rPr>
          <w:rFonts w:ascii="Times New Roman" w:hAnsi="Times New Roman" w:eastAsia="Times New Roman" w:cs="Times New Roman"/>
          <w:spacing w:val="7"/>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款〔发包人违约〕约定办理。</w:t>
      </w:r>
    </w:p>
    <w:p w14:paraId="50115AD7">
      <w:pPr>
        <w:spacing w:before="1" w:line="369" w:lineRule="auto"/>
        <w:ind w:left="4" w:right="18" w:firstLine="421"/>
        <w:jc w:val="both"/>
        <w:rPr>
          <w:rFonts w:ascii="宋体" w:hAnsi="宋体" w:eastAsia="宋体" w:cs="宋体"/>
          <w:sz w:val="20"/>
          <w:szCs w:val="20"/>
        </w:rPr>
      </w:pPr>
      <w:r>
        <w:rPr>
          <w:rFonts w:ascii="Times New Roman" w:hAnsi="Times New Roman" w:eastAsia="Times New Roman" w:cs="Times New Roman"/>
          <w:spacing w:val="6"/>
          <w:sz w:val="20"/>
          <w:szCs w:val="20"/>
        </w:rPr>
        <w:t xml:space="preserve">8.3.2  </w:t>
      </w:r>
      <w:r>
        <w:rPr>
          <w:rFonts w:ascii="宋体" w:hAnsi="宋体" w:eastAsia="宋体" w:cs="宋体"/>
          <w:spacing w:val="6"/>
          <w:sz w:val="20"/>
          <w:szCs w:val="20"/>
        </w:rPr>
        <w:t>承包人采购的材料和工程设备，应保证产品质量合格，承包人应在材料和工程设备到货</w:t>
      </w:r>
      <w:r>
        <w:rPr>
          <w:rFonts w:ascii="宋体" w:hAnsi="宋体" w:eastAsia="宋体" w:cs="宋体"/>
          <w:spacing w:val="8"/>
          <w:sz w:val="20"/>
          <w:szCs w:val="20"/>
        </w:rPr>
        <w:t>前</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24</w:t>
      </w:r>
      <w:r>
        <w:rPr>
          <w:rFonts w:ascii="Times New Roman" w:hAnsi="Times New Roman" w:eastAsia="Times New Roman" w:cs="Times New Roman"/>
          <w:spacing w:val="17"/>
          <w:w w:val="101"/>
          <w:sz w:val="20"/>
          <w:szCs w:val="20"/>
        </w:rPr>
        <w:t xml:space="preserve"> </w:t>
      </w:r>
      <w:r>
        <w:rPr>
          <w:rFonts w:ascii="宋体" w:hAnsi="宋体" w:eastAsia="宋体" w:cs="宋体"/>
          <w:spacing w:val="8"/>
          <w:sz w:val="20"/>
          <w:szCs w:val="20"/>
        </w:rPr>
        <w:t>小时通知监理人检验。承包人进行永久设备、材料的制造和生产的，应</w:t>
      </w:r>
      <w:r>
        <w:rPr>
          <w:rFonts w:ascii="宋体" w:hAnsi="宋体" w:eastAsia="宋体" w:cs="宋体"/>
          <w:spacing w:val="7"/>
          <w:sz w:val="20"/>
          <w:szCs w:val="20"/>
        </w:rPr>
        <w:t>符合相关质量标准，</w:t>
      </w:r>
      <w:r>
        <w:rPr>
          <w:rFonts w:ascii="宋体" w:hAnsi="宋体" w:eastAsia="宋体" w:cs="宋体"/>
          <w:spacing w:val="9"/>
          <w:sz w:val="20"/>
          <w:szCs w:val="20"/>
        </w:rPr>
        <w:t>并向监理人提交材料的样本以及有关资料，并应在使用该材料或工程设备之前获得监理人同意。</w:t>
      </w:r>
    </w:p>
    <w:p w14:paraId="53515F0C">
      <w:pPr>
        <w:spacing w:line="361" w:lineRule="auto"/>
        <w:ind w:right="70" w:firstLine="525"/>
        <w:jc w:val="both"/>
        <w:rPr>
          <w:rFonts w:ascii="宋体" w:hAnsi="宋体" w:eastAsia="宋体" w:cs="宋体"/>
          <w:sz w:val="20"/>
          <w:szCs w:val="20"/>
        </w:rPr>
      </w:pPr>
      <w:r>
        <w:rPr>
          <w:rFonts w:ascii="宋体" w:hAnsi="宋体" w:eastAsia="宋体" w:cs="宋体"/>
          <w:spacing w:val="7"/>
          <w:sz w:val="20"/>
          <w:szCs w:val="20"/>
        </w:rPr>
        <w:t>承包人采购的材料和工程设备不符合设计或有关标准要求时，承包人应在监理人要求的合理</w:t>
      </w:r>
      <w:r>
        <w:rPr>
          <w:rFonts w:ascii="宋体" w:hAnsi="宋体" w:eastAsia="宋体" w:cs="宋体"/>
          <w:spacing w:val="10"/>
          <w:sz w:val="20"/>
          <w:szCs w:val="20"/>
        </w:rPr>
        <w:t>期限内将不符合设计或有关标准要求的材料、工程设备运出施工现场，并</w:t>
      </w:r>
      <w:r>
        <w:rPr>
          <w:rFonts w:ascii="宋体" w:hAnsi="宋体" w:eastAsia="宋体" w:cs="宋体"/>
          <w:spacing w:val="9"/>
          <w:sz w:val="20"/>
          <w:szCs w:val="20"/>
        </w:rPr>
        <w:t>重新采购符合要求的材</w:t>
      </w:r>
      <w:r>
        <w:rPr>
          <w:rFonts w:ascii="宋体" w:hAnsi="宋体" w:eastAsia="宋体" w:cs="宋体"/>
          <w:spacing w:val="8"/>
          <w:sz w:val="20"/>
          <w:szCs w:val="20"/>
        </w:rPr>
        <w:t>料、工程设备，由此增加的费用和（或）延误的工期，</w:t>
      </w:r>
      <w:r>
        <w:rPr>
          <w:rFonts w:ascii="宋体" w:hAnsi="宋体" w:eastAsia="宋体" w:cs="宋体"/>
          <w:spacing w:val="-58"/>
          <w:sz w:val="20"/>
          <w:szCs w:val="20"/>
        </w:rPr>
        <w:t xml:space="preserve"> </w:t>
      </w:r>
      <w:r>
        <w:rPr>
          <w:rFonts w:ascii="宋体" w:hAnsi="宋体" w:eastAsia="宋体" w:cs="宋体"/>
          <w:spacing w:val="8"/>
          <w:sz w:val="20"/>
          <w:szCs w:val="20"/>
        </w:rPr>
        <w:t>由承包人承</w:t>
      </w:r>
      <w:r>
        <w:rPr>
          <w:rFonts w:ascii="宋体" w:hAnsi="宋体" w:eastAsia="宋体" w:cs="宋体"/>
          <w:spacing w:val="7"/>
          <w:sz w:val="20"/>
          <w:szCs w:val="20"/>
        </w:rPr>
        <w:t>担。</w:t>
      </w:r>
    </w:p>
    <w:p w14:paraId="72B889F0">
      <w:pPr>
        <w:pStyle w:val="2"/>
        <w:spacing w:before="1" w:line="221" w:lineRule="auto"/>
        <w:ind w:left="1"/>
        <w:rPr>
          <w:sz w:val="24"/>
          <w:szCs w:val="24"/>
        </w:rPr>
      </w:pPr>
      <w:r>
        <w:rPr>
          <w:rFonts w:ascii="Times New Roman" w:hAnsi="Times New Roman" w:eastAsia="Times New Roman" w:cs="Times New Roman"/>
          <w:b/>
          <w:bCs/>
          <w:spacing w:val="-2"/>
          <w:sz w:val="24"/>
          <w:szCs w:val="24"/>
        </w:rPr>
        <w:t xml:space="preserve">8.4 </w:t>
      </w:r>
      <w:r>
        <w:rPr>
          <w:b/>
          <w:bCs/>
          <w:spacing w:val="-2"/>
          <w:sz w:val="24"/>
          <w:szCs w:val="24"/>
        </w:rPr>
        <w:t>材料与工程设备的保管与使用</w:t>
      </w:r>
    </w:p>
    <w:p w14:paraId="702C8353">
      <w:pPr>
        <w:spacing w:before="139" w:line="227" w:lineRule="auto"/>
        <w:ind w:left="425"/>
        <w:rPr>
          <w:rFonts w:ascii="宋体" w:hAnsi="宋体" w:eastAsia="宋体" w:cs="宋体"/>
          <w:sz w:val="20"/>
          <w:szCs w:val="20"/>
        </w:rPr>
      </w:pPr>
      <w:r>
        <w:rPr>
          <w:rFonts w:ascii="Times New Roman" w:hAnsi="Times New Roman" w:eastAsia="Times New Roman" w:cs="Times New Roman"/>
          <w:spacing w:val="6"/>
          <w:sz w:val="20"/>
          <w:szCs w:val="20"/>
        </w:rPr>
        <w:t>8.4.</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发包人供应材料与工程设备的保管与使用</w:t>
      </w:r>
    </w:p>
    <w:p w14:paraId="061A63B8">
      <w:pPr>
        <w:spacing w:before="153" w:line="227" w:lineRule="auto"/>
        <w:ind w:left="424"/>
        <w:rPr>
          <w:rFonts w:ascii="宋体" w:hAnsi="宋体" w:eastAsia="宋体" w:cs="宋体"/>
          <w:sz w:val="20"/>
          <w:szCs w:val="20"/>
        </w:rPr>
      </w:pPr>
      <w:r>
        <w:rPr>
          <w:rFonts w:ascii="宋体" w:hAnsi="宋体" w:eastAsia="宋体" w:cs="宋体"/>
          <w:spacing w:val="9"/>
          <w:sz w:val="20"/>
          <w:szCs w:val="20"/>
        </w:rPr>
        <w:t>发包人供应的材料和工程设备，承包人清点后由承包人妥善保管，保管费用由发包人承担，</w:t>
      </w:r>
    </w:p>
    <w:p w14:paraId="4BAD7DB1">
      <w:pPr>
        <w:spacing w:line="227" w:lineRule="auto"/>
        <w:rPr>
          <w:rFonts w:ascii="宋体" w:hAnsi="宋体" w:eastAsia="宋体" w:cs="宋体"/>
          <w:sz w:val="20"/>
          <w:szCs w:val="20"/>
        </w:rPr>
        <w:sectPr>
          <w:footerReference r:id="rId257" w:type="default"/>
          <w:pgSz w:w="11906" w:h="16839"/>
          <w:pgMar w:top="400" w:right="1483" w:bottom="1038" w:left="1538" w:header="0" w:footer="787" w:gutter="0"/>
          <w:cols w:space="720" w:num="1"/>
        </w:sectPr>
      </w:pPr>
    </w:p>
    <w:p w14:paraId="15B97D82">
      <w:pPr>
        <w:spacing w:line="272" w:lineRule="auto"/>
        <w:rPr>
          <w:rFonts w:ascii="Arial"/>
          <w:sz w:val="21"/>
        </w:rPr>
      </w:pPr>
    </w:p>
    <w:p w14:paraId="74FA47A6">
      <w:pPr>
        <w:spacing w:line="272" w:lineRule="auto"/>
        <w:rPr>
          <w:rFonts w:ascii="Arial"/>
          <w:sz w:val="21"/>
        </w:rPr>
      </w:pPr>
    </w:p>
    <w:p w14:paraId="55249ED7">
      <w:pPr>
        <w:spacing w:line="272" w:lineRule="auto"/>
        <w:rPr>
          <w:rFonts w:ascii="Arial"/>
          <w:sz w:val="21"/>
        </w:rPr>
      </w:pPr>
    </w:p>
    <w:p w14:paraId="611DC541">
      <w:pPr>
        <w:spacing w:line="272" w:lineRule="auto"/>
        <w:rPr>
          <w:rFonts w:ascii="Arial"/>
          <w:sz w:val="21"/>
        </w:rPr>
      </w:pPr>
    </w:p>
    <w:p w14:paraId="3553AF3E">
      <w:pPr>
        <w:spacing w:before="65" w:line="369" w:lineRule="auto"/>
        <w:ind w:left="1" w:hanging="1"/>
        <w:jc w:val="both"/>
        <w:rPr>
          <w:rFonts w:ascii="宋体" w:hAnsi="宋体" w:eastAsia="宋体" w:cs="宋体"/>
          <w:sz w:val="20"/>
          <w:szCs w:val="20"/>
        </w:rPr>
      </w:pPr>
      <w:r>
        <w:rPr>
          <w:rFonts w:ascii="宋体" w:hAnsi="宋体" w:eastAsia="宋体" w:cs="宋体"/>
          <w:spacing w:val="10"/>
          <w:sz w:val="20"/>
          <w:szCs w:val="20"/>
        </w:rPr>
        <w:t>但已标价工程量清单或预算书已经列支或专用合同条款另有约定除外。因承包</w:t>
      </w:r>
      <w:r>
        <w:rPr>
          <w:rFonts w:ascii="宋体" w:hAnsi="宋体" w:eastAsia="宋体" w:cs="宋体"/>
          <w:spacing w:val="9"/>
          <w:sz w:val="20"/>
          <w:szCs w:val="20"/>
        </w:rPr>
        <w:t>人原因发生丢失毁损的，</w:t>
      </w:r>
      <w:r>
        <w:rPr>
          <w:rFonts w:ascii="宋体" w:hAnsi="宋体" w:eastAsia="宋体" w:cs="宋体"/>
          <w:spacing w:val="-58"/>
          <w:sz w:val="20"/>
          <w:szCs w:val="20"/>
        </w:rPr>
        <w:t xml:space="preserve"> </w:t>
      </w:r>
      <w:r>
        <w:rPr>
          <w:rFonts w:ascii="宋体" w:hAnsi="宋体" w:eastAsia="宋体" w:cs="宋体"/>
          <w:spacing w:val="9"/>
          <w:sz w:val="20"/>
          <w:szCs w:val="20"/>
        </w:rPr>
        <w:t>由承包人负责赔偿；监理人未通知承包人清点的，承包人不负责材</w:t>
      </w:r>
      <w:r>
        <w:rPr>
          <w:rFonts w:ascii="宋体" w:hAnsi="宋体" w:eastAsia="宋体" w:cs="宋体"/>
          <w:spacing w:val="8"/>
          <w:sz w:val="20"/>
          <w:szCs w:val="20"/>
        </w:rPr>
        <w:t>料和工程设备的保管，由此导致丢失毁损的由发包人负责。</w:t>
      </w:r>
    </w:p>
    <w:p w14:paraId="7D968815">
      <w:pPr>
        <w:spacing w:before="1" w:line="368" w:lineRule="auto"/>
        <w:ind w:left="18" w:firstLine="406"/>
        <w:rPr>
          <w:rFonts w:ascii="宋体" w:hAnsi="宋体" w:eastAsia="宋体" w:cs="宋体"/>
          <w:sz w:val="20"/>
          <w:szCs w:val="20"/>
        </w:rPr>
      </w:pPr>
      <w:r>
        <w:rPr>
          <w:rFonts w:ascii="宋体" w:hAnsi="宋体" w:eastAsia="宋体" w:cs="宋体"/>
          <w:spacing w:val="9"/>
          <w:sz w:val="20"/>
          <w:szCs w:val="20"/>
        </w:rPr>
        <w:t>发包人供应的材料和工程设备使用前，</w:t>
      </w:r>
      <w:r>
        <w:rPr>
          <w:rFonts w:ascii="宋体" w:hAnsi="宋体" w:eastAsia="宋体" w:cs="宋体"/>
          <w:spacing w:val="-58"/>
          <w:sz w:val="20"/>
          <w:szCs w:val="20"/>
        </w:rPr>
        <w:t xml:space="preserve"> </w:t>
      </w:r>
      <w:r>
        <w:rPr>
          <w:rFonts w:ascii="宋体" w:hAnsi="宋体" w:eastAsia="宋体" w:cs="宋体"/>
          <w:spacing w:val="9"/>
          <w:sz w:val="20"/>
          <w:szCs w:val="20"/>
        </w:rPr>
        <w:t>由承包人负责检验</w:t>
      </w:r>
      <w:r>
        <w:rPr>
          <w:rFonts w:ascii="宋体" w:hAnsi="宋体" w:eastAsia="宋体" w:cs="宋体"/>
          <w:spacing w:val="8"/>
          <w:sz w:val="20"/>
          <w:szCs w:val="20"/>
        </w:rPr>
        <w:t>，检验费用由发包人承担，不合格</w:t>
      </w:r>
      <w:r>
        <w:rPr>
          <w:rFonts w:ascii="宋体" w:hAnsi="宋体" w:eastAsia="宋体" w:cs="宋体"/>
          <w:spacing w:val="3"/>
          <w:sz w:val="20"/>
          <w:szCs w:val="20"/>
        </w:rPr>
        <w:t>的不得使用。</w:t>
      </w:r>
    </w:p>
    <w:p w14:paraId="3624E588">
      <w:pPr>
        <w:spacing w:line="226" w:lineRule="auto"/>
        <w:ind w:left="426"/>
        <w:rPr>
          <w:rFonts w:ascii="宋体" w:hAnsi="宋体" w:eastAsia="宋体" w:cs="宋体"/>
          <w:sz w:val="20"/>
          <w:szCs w:val="20"/>
        </w:rPr>
      </w:pPr>
      <w:r>
        <w:rPr>
          <w:rFonts w:ascii="Times New Roman" w:hAnsi="Times New Roman" w:eastAsia="Times New Roman" w:cs="Times New Roman"/>
          <w:spacing w:val="7"/>
          <w:sz w:val="20"/>
          <w:szCs w:val="20"/>
        </w:rPr>
        <w:t xml:space="preserve">8.4.2  </w:t>
      </w:r>
      <w:r>
        <w:rPr>
          <w:rFonts w:ascii="宋体" w:hAnsi="宋体" w:eastAsia="宋体" w:cs="宋体"/>
          <w:spacing w:val="7"/>
          <w:sz w:val="20"/>
          <w:szCs w:val="20"/>
        </w:rPr>
        <w:t>承包人采购材料与工程设备的保管与使用</w:t>
      </w:r>
    </w:p>
    <w:p w14:paraId="2B142ECB">
      <w:pPr>
        <w:spacing w:before="155" w:line="369" w:lineRule="auto"/>
        <w:ind w:left="4" w:firstLine="417"/>
        <w:rPr>
          <w:rFonts w:ascii="宋体" w:hAnsi="宋体" w:eastAsia="宋体" w:cs="宋体"/>
          <w:sz w:val="20"/>
          <w:szCs w:val="20"/>
        </w:rPr>
      </w:pPr>
      <w:r>
        <w:rPr>
          <w:rFonts w:ascii="宋体" w:hAnsi="宋体" w:eastAsia="宋体" w:cs="宋体"/>
          <w:spacing w:val="10"/>
          <w:sz w:val="20"/>
          <w:szCs w:val="20"/>
        </w:rPr>
        <w:t>承包人采购的材料和工程设备由承包人妥善保管，保管费用由承包人</w:t>
      </w:r>
      <w:r>
        <w:rPr>
          <w:rFonts w:ascii="宋体" w:hAnsi="宋体" w:eastAsia="宋体" w:cs="宋体"/>
          <w:spacing w:val="9"/>
          <w:sz w:val="20"/>
          <w:szCs w:val="20"/>
        </w:rPr>
        <w:t>承担。法律规定材料和</w:t>
      </w:r>
      <w:r>
        <w:rPr>
          <w:rFonts w:ascii="宋体" w:hAnsi="宋体" w:eastAsia="宋体" w:cs="宋体"/>
          <w:spacing w:val="10"/>
          <w:sz w:val="20"/>
          <w:szCs w:val="20"/>
        </w:rPr>
        <w:t>工程设备使用前必须进行检验或试验的，承包人应按监理人的要求进</w:t>
      </w:r>
      <w:r>
        <w:rPr>
          <w:rFonts w:ascii="宋体" w:hAnsi="宋体" w:eastAsia="宋体" w:cs="宋体"/>
          <w:spacing w:val="9"/>
          <w:sz w:val="20"/>
          <w:szCs w:val="20"/>
        </w:rPr>
        <w:t>行检验或试验，检验或试验</w:t>
      </w:r>
      <w:r>
        <w:rPr>
          <w:rFonts w:ascii="宋体" w:hAnsi="宋体" w:eastAsia="宋体" w:cs="宋体"/>
          <w:spacing w:val="8"/>
          <w:sz w:val="20"/>
          <w:szCs w:val="20"/>
        </w:rPr>
        <w:t>费用由承包人承担，不合格的不得使用。</w:t>
      </w:r>
    </w:p>
    <w:p w14:paraId="65825FB9">
      <w:pPr>
        <w:spacing w:before="1" w:line="356" w:lineRule="auto"/>
        <w:ind w:left="1" w:firstLine="423"/>
        <w:rPr>
          <w:rFonts w:ascii="宋体" w:hAnsi="宋体" w:eastAsia="宋体" w:cs="宋体"/>
          <w:sz w:val="20"/>
          <w:szCs w:val="20"/>
        </w:rPr>
      </w:pPr>
      <w:r>
        <w:rPr>
          <w:rFonts w:ascii="宋体" w:hAnsi="宋体" w:eastAsia="宋体" w:cs="宋体"/>
          <w:spacing w:val="10"/>
          <w:sz w:val="20"/>
          <w:szCs w:val="20"/>
        </w:rPr>
        <w:t>发包人或监理人发现承包人使用不符合设计或有关标准要求的</w:t>
      </w:r>
      <w:r>
        <w:rPr>
          <w:rFonts w:ascii="宋体" w:hAnsi="宋体" w:eastAsia="宋体" w:cs="宋体"/>
          <w:spacing w:val="9"/>
          <w:sz w:val="20"/>
          <w:szCs w:val="20"/>
        </w:rPr>
        <w:t>材料和工程设备时，有权要求</w:t>
      </w:r>
      <w:r>
        <w:rPr>
          <w:rFonts w:ascii="宋体" w:hAnsi="宋体" w:eastAsia="宋体" w:cs="宋体"/>
          <w:spacing w:val="8"/>
          <w:sz w:val="20"/>
          <w:szCs w:val="20"/>
        </w:rPr>
        <w:t>承包人进行修复、拆除或重新采购，</w:t>
      </w:r>
      <w:r>
        <w:rPr>
          <w:rFonts w:ascii="宋体" w:hAnsi="宋体" w:eastAsia="宋体" w:cs="宋体"/>
          <w:spacing w:val="-41"/>
          <w:sz w:val="20"/>
          <w:szCs w:val="20"/>
        </w:rPr>
        <w:t xml:space="preserve"> </w:t>
      </w:r>
      <w:r>
        <w:rPr>
          <w:rFonts w:ascii="宋体" w:hAnsi="宋体" w:eastAsia="宋体" w:cs="宋体"/>
          <w:spacing w:val="8"/>
          <w:sz w:val="20"/>
          <w:szCs w:val="20"/>
        </w:rPr>
        <w:t>由此增加的费用和（或）延误的工期，由承包人承担。</w:t>
      </w:r>
    </w:p>
    <w:p w14:paraId="4B83DC10">
      <w:pPr>
        <w:pStyle w:val="2"/>
        <w:spacing w:before="1" w:line="221" w:lineRule="auto"/>
        <w:ind w:left="1"/>
        <w:rPr>
          <w:sz w:val="24"/>
          <w:szCs w:val="24"/>
        </w:rPr>
      </w:pPr>
      <w:r>
        <w:rPr>
          <w:rFonts w:ascii="Times New Roman" w:hAnsi="Times New Roman" w:eastAsia="Times New Roman" w:cs="Times New Roman"/>
          <w:b/>
          <w:bCs/>
          <w:spacing w:val="-2"/>
          <w:sz w:val="24"/>
          <w:szCs w:val="24"/>
        </w:rPr>
        <w:t xml:space="preserve">8.5 </w:t>
      </w:r>
      <w:r>
        <w:rPr>
          <w:b/>
          <w:bCs/>
          <w:spacing w:val="-2"/>
          <w:sz w:val="24"/>
          <w:szCs w:val="24"/>
        </w:rPr>
        <w:t>禁止使用不合格的材料和工程设备</w:t>
      </w:r>
    </w:p>
    <w:p w14:paraId="7BD9D710">
      <w:pPr>
        <w:spacing w:before="139" w:line="369" w:lineRule="auto"/>
        <w:ind w:left="4" w:firstLine="422"/>
        <w:rPr>
          <w:rFonts w:ascii="宋体" w:hAnsi="宋体" w:eastAsia="宋体" w:cs="宋体"/>
          <w:sz w:val="20"/>
          <w:szCs w:val="20"/>
        </w:rPr>
      </w:pPr>
      <w:r>
        <w:rPr>
          <w:rFonts w:ascii="Times New Roman" w:hAnsi="Times New Roman" w:eastAsia="Times New Roman" w:cs="Times New Roman"/>
          <w:spacing w:val="6"/>
          <w:sz w:val="20"/>
          <w:szCs w:val="20"/>
        </w:rPr>
        <w:t>8.5.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监理人有权拒绝承包人提供的不合格材料或工程设备，并要求承包</w:t>
      </w:r>
      <w:r>
        <w:rPr>
          <w:rFonts w:ascii="宋体" w:hAnsi="宋体" w:eastAsia="宋体" w:cs="宋体"/>
          <w:spacing w:val="5"/>
          <w:sz w:val="20"/>
          <w:szCs w:val="20"/>
        </w:rPr>
        <w:t>人立即进行更换。监</w:t>
      </w:r>
      <w:r>
        <w:rPr>
          <w:rFonts w:ascii="宋体" w:hAnsi="宋体" w:eastAsia="宋体" w:cs="宋体"/>
          <w:spacing w:val="9"/>
          <w:sz w:val="20"/>
          <w:szCs w:val="20"/>
        </w:rPr>
        <w:t>理人应在更换后再次进行检查和检验，由此增加的费用和（或）延误的工期由承包人承担。</w:t>
      </w:r>
    </w:p>
    <w:p w14:paraId="15F185FC">
      <w:pPr>
        <w:spacing w:before="2" w:line="368" w:lineRule="auto"/>
        <w:ind w:left="5" w:firstLine="420"/>
        <w:rPr>
          <w:rFonts w:ascii="宋体" w:hAnsi="宋体" w:eastAsia="宋体" w:cs="宋体"/>
          <w:sz w:val="20"/>
          <w:szCs w:val="20"/>
        </w:rPr>
      </w:pPr>
      <w:r>
        <w:rPr>
          <w:rFonts w:ascii="Times New Roman" w:hAnsi="Times New Roman" w:eastAsia="Times New Roman" w:cs="Times New Roman"/>
          <w:spacing w:val="6"/>
          <w:sz w:val="20"/>
          <w:szCs w:val="20"/>
        </w:rPr>
        <w:t xml:space="preserve">8.5.2  </w:t>
      </w:r>
      <w:r>
        <w:rPr>
          <w:rFonts w:ascii="宋体" w:hAnsi="宋体" w:eastAsia="宋体" w:cs="宋体"/>
          <w:spacing w:val="6"/>
          <w:sz w:val="20"/>
          <w:szCs w:val="20"/>
        </w:rPr>
        <w:t>监理人发现承包人使用了不合格的材料和工程设备，承包人应按照监理人的指示立即改</w:t>
      </w:r>
      <w:r>
        <w:rPr>
          <w:rFonts w:ascii="宋体" w:hAnsi="宋体" w:eastAsia="宋体" w:cs="宋体"/>
          <w:spacing w:val="9"/>
          <w:sz w:val="20"/>
          <w:szCs w:val="20"/>
        </w:rPr>
        <w:t>正，并禁止在工程中继续使用不合格的材料和工程设备。</w:t>
      </w:r>
    </w:p>
    <w:p w14:paraId="7B437C3C">
      <w:pPr>
        <w:spacing w:before="2" w:line="357" w:lineRule="auto"/>
        <w:ind w:left="3" w:right="2" w:firstLine="422"/>
        <w:rPr>
          <w:rFonts w:ascii="宋体" w:hAnsi="宋体" w:eastAsia="宋体" w:cs="宋体"/>
          <w:sz w:val="20"/>
          <w:szCs w:val="20"/>
        </w:rPr>
      </w:pPr>
      <w:r>
        <w:rPr>
          <w:rFonts w:ascii="Times New Roman" w:hAnsi="Times New Roman" w:eastAsia="Times New Roman" w:cs="Times New Roman"/>
          <w:spacing w:val="6"/>
          <w:sz w:val="20"/>
          <w:szCs w:val="20"/>
        </w:rPr>
        <w:t xml:space="preserve">8.5.3  </w:t>
      </w:r>
      <w:r>
        <w:rPr>
          <w:rFonts w:ascii="宋体" w:hAnsi="宋体" w:eastAsia="宋体" w:cs="宋体"/>
          <w:spacing w:val="6"/>
          <w:sz w:val="20"/>
          <w:szCs w:val="20"/>
        </w:rPr>
        <w:t>发包人提供的材料或工程设备不符合合同要求的，承包人有权拒绝，并可要求发包人更</w:t>
      </w:r>
      <w:r>
        <w:rPr>
          <w:rFonts w:ascii="宋体" w:hAnsi="宋体" w:eastAsia="宋体" w:cs="宋体"/>
          <w:spacing w:val="8"/>
          <w:sz w:val="20"/>
          <w:szCs w:val="20"/>
        </w:rPr>
        <w:t>换，</w:t>
      </w:r>
      <w:r>
        <w:rPr>
          <w:rFonts w:ascii="宋体" w:hAnsi="宋体" w:eastAsia="宋体" w:cs="宋体"/>
          <w:spacing w:val="-50"/>
          <w:sz w:val="20"/>
          <w:szCs w:val="20"/>
        </w:rPr>
        <w:t xml:space="preserve"> </w:t>
      </w:r>
      <w:r>
        <w:rPr>
          <w:rFonts w:ascii="宋体" w:hAnsi="宋体" w:eastAsia="宋体" w:cs="宋体"/>
          <w:spacing w:val="8"/>
          <w:sz w:val="20"/>
          <w:szCs w:val="20"/>
        </w:rPr>
        <w:t>由此增加的费用和（或）延误的工期由发包人承担，并支付承包人合理的利润。</w:t>
      </w:r>
    </w:p>
    <w:p w14:paraId="1AC5185B">
      <w:pPr>
        <w:pStyle w:val="2"/>
        <w:spacing w:before="1" w:line="223" w:lineRule="auto"/>
        <w:ind w:left="1"/>
        <w:rPr>
          <w:sz w:val="24"/>
          <w:szCs w:val="24"/>
        </w:rPr>
      </w:pPr>
      <w:r>
        <w:rPr>
          <w:rFonts w:ascii="Times New Roman" w:hAnsi="Times New Roman" w:eastAsia="Times New Roman" w:cs="Times New Roman"/>
          <w:b/>
          <w:bCs/>
          <w:spacing w:val="-5"/>
          <w:sz w:val="24"/>
          <w:szCs w:val="24"/>
        </w:rPr>
        <w:t>8.6</w:t>
      </w:r>
      <w:r>
        <w:rPr>
          <w:rFonts w:ascii="Times New Roman" w:hAnsi="Times New Roman" w:eastAsia="Times New Roman" w:cs="Times New Roman"/>
          <w:b/>
          <w:bCs/>
          <w:spacing w:val="5"/>
          <w:sz w:val="24"/>
          <w:szCs w:val="24"/>
        </w:rPr>
        <w:t xml:space="preserve">  </w:t>
      </w:r>
      <w:r>
        <w:rPr>
          <w:b/>
          <w:bCs/>
          <w:spacing w:val="-5"/>
          <w:sz w:val="24"/>
          <w:szCs w:val="24"/>
        </w:rPr>
        <w:t>样品</w:t>
      </w:r>
    </w:p>
    <w:p w14:paraId="260FA9F3">
      <w:pPr>
        <w:spacing w:before="133" w:line="228" w:lineRule="auto"/>
        <w:ind w:left="426"/>
        <w:rPr>
          <w:rFonts w:ascii="宋体" w:hAnsi="宋体" w:eastAsia="宋体" w:cs="宋体"/>
          <w:sz w:val="20"/>
          <w:szCs w:val="20"/>
        </w:rPr>
      </w:pPr>
      <w:r>
        <w:rPr>
          <w:rFonts w:ascii="Times New Roman" w:hAnsi="Times New Roman" w:eastAsia="Times New Roman" w:cs="Times New Roman"/>
          <w:spacing w:val="4"/>
          <w:sz w:val="20"/>
          <w:szCs w:val="20"/>
        </w:rPr>
        <w:t>8.6.</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样品的报送与封存</w:t>
      </w:r>
    </w:p>
    <w:p w14:paraId="34ACD934">
      <w:pPr>
        <w:spacing w:before="154" w:line="369" w:lineRule="auto"/>
        <w:ind w:left="2" w:firstLine="430"/>
        <w:rPr>
          <w:rFonts w:ascii="宋体" w:hAnsi="宋体" w:eastAsia="宋体" w:cs="宋体"/>
          <w:sz w:val="20"/>
          <w:szCs w:val="20"/>
        </w:rPr>
      </w:pPr>
      <w:r>
        <w:rPr>
          <w:rFonts w:ascii="宋体" w:hAnsi="宋体" w:eastAsia="宋体" w:cs="宋体"/>
          <w:spacing w:val="10"/>
          <w:sz w:val="20"/>
          <w:szCs w:val="20"/>
        </w:rPr>
        <w:t>需要承包人报送样品的材料或工程设备，样</w:t>
      </w:r>
      <w:r>
        <w:rPr>
          <w:rFonts w:ascii="宋体" w:hAnsi="宋体" w:eastAsia="宋体" w:cs="宋体"/>
          <w:spacing w:val="9"/>
          <w:sz w:val="20"/>
          <w:szCs w:val="20"/>
        </w:rPr>
        <w:t>品的种类、名称、规格、数量等要求均应在专用</w:t>
      </w:r>
      <w:r>
        <w:rPr>
          <w:rFonts w:ascii="宋体" w:hAnsi="宋体" w:eastAsia="宋体" w:cs="宋体"/>
          <w:spacing w:val="8"/>
          <w:sz w:val="20"/>
          <w:szCs w:val="20"/>
        </w:rPr>
        <w:t>合同条款中约定。样品的报送程序如下：</w:t>
      </w:r>
    </w:p>
    <w:p w14:paraId="2ACBD632">
      <w:pPr>
        <w:spacing w:before="1" w:line="369" w:lineRule="auto"/>
        <w:ind w:left="5" w:firstLine="425"/>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）承包人应在计划采购前</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天向监理人报送样品。承包人报</w:t>
      </w:r>
      <w:r>
        <w:rPr>
          <w:rFonts w:ascii="宋体" w:hAnsi="宋体" w:eastAsia="宋体" w:cs="宋体"/>
          <w:spacing w:val="8"/>
          <w:sz w:val="20"/>
          <w:szCs w:val="20"/>
        </w:rPr>
        <w:t>送的样品均应来自供应材料</w:t>
      </w:r>
      <w:r>
        <w:rPr>
          <w:rFonts w:ascii="宋体" w:hAnsi="宋体" w:eastAsia="宋体" w:cs="宋体"/>
          <w:spacing w:val="10"/>
          <w:sz w:val="20"/>
          <w:szCs w:val="20"/>
        </w:rPr>
        <w:t>的实际生产地，且提供的样品的规格、数量足以表明材料或工程</w:t>
      </w:r>
      <w:r>
        <w:rPr>
          <w:rFonts w:ascii="宋体" w:hAnsi="宋体" w:eastAsia="宋体" w:cs="宋体"/>
          <w:spacing w:val="9"/>
          <w:sz w:val="20"/>
          <w:szCs w:val="20"/>
        </w:rPr>
        <w:t>设备的质量、型号、颜色、表面</w:t>
      </w:r>
      <w:r>
        <w:rPr>
          <w:rFonts w:ascii="宋体" w:hAnsi="宋体" w:eastAsia="宋体" w:cs="宋体"/>
          <w:spacing w:val="8"/>
          <w:sz w:val="20"/>
          <w:szCs w:val="20"/>
        </w:rPr>
        <w:t>处理、质地、误差和其他要求的特征。</w:t>
      </w:r>
    </w:p>
    <w:p w14:paraId="0FA5DFDD">
      <w:pPr>
        <w:spacing w:before="1" w:line="369" w:lineRule="auto"/>
        <w:ind w:left="1"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）承包人每次报送样品时应随附申报单，申报单应载明报送样品的相</w:t>
      </w:r>
      <w:r>
        <w:rPr>
          <w:rFonts w:ascii="宋体" w:hAnsi="宋体" w:eastAsia="宋体" w:cs="宋体"/>
          <w:spacing w:val="6"/>
          <w:sz w:val="20"/>
          <w:szCs w:val="20"/>
        </w:rPr>
        <w:t>关数据和资料，并标</w:t>
      </w:r>
      <w:r>
        <w:rPr>
          <w:rFonts w:ascii="宋体" w:hAnsi="宋体" w:eastAsia="宋体" w:cs="宋体"/>
          <w:spacing w:val="11"/>
          <w:sz w:val="20"/>
          <w:szCs w:val="20"/>
        </w:rPr>
        <w:t>明每件样品对应的图纸号，预留监理人批复意见栏。监</w:t>
      </w:r>
      <w:r>
        <w:rPr>
          <w:rFonts w:ascii="宋体" w:hAnsi="宋体" w:eastAsia="宋体" w:cs="宋体"/>
          <w:spacing w:val="10"/>
          <w:sz w:val="20"/>
          <w:szCs w:val="20"/>
        </w:rPr>
        <w:t>理人应在收到承包人报送的样品后</w:t>
      </w:r>
      <w:r>
        <w:rPr>
          <w:rFonts w:ascii="Times New Roman" w:hAnsi="Times New Roman" w:eastAsia="Times New Roman" w:cs="Times New Roman"/>
          <w:spacing w:val="10"/>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10"/>
          <w:sz w:val="20"/>
          <w:szCs w:val="20"/>
        </w:rPr>
        <w:t>天向</w:t>
      </w:r>
      <w:r>
        <w:rPr>
          <w:rFonts w:ascii="宋体" w:hAnsi="宋体" w:eastAsia="宋体" w:cs="宋体"/>
          <w:spacing w:val="8"/>
          <w:sz w:val="20"/>
          <w:szCs w:val="20"/>
        </w:rPr>
        <w:t>承包人回复经发包人签认的样品审批意见。</w:t>
      </w:r>
    </w:p>
    <w:p w14:paraId="3D3354A0">
      <w:pPr>
        <w:spacing w:before="2" w:line="369" w:lineRule="auto"/>
        <w:ind w:left="4" w:right="2" w:firstLine="42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）经发包人和监理人审批确认的样品应按约定的方法封样，封存的样</w:t>
      </w:r>
      <w:r>
        <w:rPr>
          <w:rFonts w:ascii="宋体" w:hAnsi="宋体" w:eastAsia="宋体" w:cs="宋体"/>
          <w:spacing w:val="6"/>
          <w:sz w:val="20"/>
          <w:szCs w:val="20"/>
        </w:rPr>
        <w:t>品作为检验工程相关</w:t>
      </w:r>
      <w:r>
        <w:rPr>
          <w:rFonts w:ascii="宋体" w:hAnsi="宋体" w:eastAsia="宋体" w:cs="宋体"/>
          <w:spacing w:val="9"/>
          <w:sz w:val="20"/>
          <w:szCs w:val="20"/>
        </w:rPr>
        <w:t>部分的标准之一。承包人在施工过程中不得使用与样品不符的材料或工程设备。</w:t>
      </w:r>
    </w:p>
    <w:p w14:paraId="40939835">
      <w:pPr>
        <w:spacing w:before="1" w:line="369" w:lineRule="auto"/>
        <w:ind w:left="4" w:firstLine="42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）发包人和监理人对样品的审批确认仅为确认相关材料或工程设备的特征</w:t>
      </w:r>
      <w:r>
        <w:rPr>
          <w:rFonts w:ascii="宋体" w:hAnsi="宋体" w:eastAsia="宋体" w:cs="宋体"/>
          <w:spacing w:val="6"/>
          <w:sz w:val="20"/>
          <w:szCs w:val="20"/>
        </w:rPr>
        <w:t>或用途，不得被</w:t>
      </w:r>
      <w:r>
        <w:rPr>
          <w:rFonts w:ascii="宋体" w:hAnsi="宋体" w:eastAsia="宋体" w:cs="宋体"/>
          <w:spacing w:val="10"/>
          <w:sz w:val="20"/>
          <w:szCs w:val="20"/>
        </w:rPr>
        <w:t>理解为对合同的修改或改变，也并不减轻或免除承包人任何的责</w:t>
      </w:r>
      <w:r>
        <w:rPr>
          <w:rFonts w:ascii="宋体" w:hAnsi="宋体" w:eastAsia="宋体" w:cs="宋体"/>
          <w:spacing w:val="9"/>
          <w:sz w:val="20"/>
          <w:szCs w:val="20"/>
        </w:rPr>
        <w:t>任和义务。如果封存的样品修改或改变了合同约定，合同当事人应当以书面协议予以确认。</w:t>
      </w:r>
    </w:p>
    <w:p w14:paraId="2A3D5E36">
      <w:pPr>
        <w:spacing w:line="227" w:lineRule="auto"/>
        <w:ind w:left="426"/>
        <w:rPr>
          <w:rFonts w:ascii="宋体" w:hAnsi="宋体" w:eastAsia="宋体" w:cs="宋体"/>
          <w:sz w:val="20"/>
          <w:szCs w:val="20"/>
        </w:rPr>
      </w:pPr>
      <w:r>
        <w:rPr>
          <w:rFonts w:ascii="Times New Roman" w:hAnsi="Times New Roman" w:eastAsia="Times New Roman" w:cs="Times New Roman"/>
          <w:spacing w:val="5"/>
          <w:sz w:val="20"/>
          <w:szCs w:val="20"/>
        </w:rPr>
        <w:t xml:space="preserve">8.6.2  </w:t>
      </w:r>
      <w:r>
        <w:rPr>
          <w:rFonts w:ascii="宋体" w:hAnsi="宋体" w:eastAsia="宋体" w:cs="宋体"/>
          <w:spacing w:val="5"/>
          <w:sz w:val="20"/>
          <w:szCs w:val="20"/>
        </w:rPr>
        <w:t>样品的保管</w:t>
      </w:r>
    </w:p>
    <w:p w14:paraId="583ADD4F">
      <w:pPr>
        <w:spacing w:before="152" w:line="227" w:lineRule="auto"/>
        <w:jc w:val="right"/>
        <w:rPr>
          <w:rFonts w:ascii="宋体" w:hAnsi="宋体" w:eastAsia="宋体" w:cs="宋体"/>
          <w:sz w:val="20"/>
          <w:szCs w:val="20"/>
        </w:rPr>
      </w:pPr>
      <w:r>
        <w:rPr>
          <w:rFonts w:ascii="宋体" w:hAnsi="宋体" w:eastAsia="宋体" w:cs="宋体"/>
          <w:spacing w:val="10"/>
          <w:sz w:val="20"/>
          <w:szCs w:val="20"/>
        </w:rPr>
        <w:t>经批准的样品应由监理人负责封存于现场，承包人应在现场为保存</w:t>
      </w:r>
      <w:r>
        <w:rPr>
          <w:rFonts w:ascii="宋体" w:hAnsi="宋体" w:eastAsia="宋体" w:cs="宋体"/>
          <w:spacing w:val="9"/>
          <w:sz w:val="20"/>
          <w:szCs w:val="20"/>
        </w:rPr>
        <w:t>样品提供适当和固定的场</w:t>
      </w:r>
    </w:p>
    <w:p w14:paraId="574B05EF">
      <w:pPr>
        <w:spacing w:line="227" w:lineRule="auto"/>
        <w:rPr>
          <w:rFonts w:ascii="宋体" w:hAnsi="宋体" w:eastAsia="宋体" w:cs="宋体"/>
          <w:sz w:val="20"/>
          <w:szCs w:val="20"/>
        </w:rPr>
        <w:sectPr>
          <w:footerReference r:id="rId258" w:type="default"/>
          <w:pgSz w:w="11906" w:h="16839"/>
          <w:pgMar w:top="400" w:right="1554" w:bottom="1038" w:left="1537" w:header="0" w:footer="787" w:gutter="0"/>
          <w:cols w:space="720" w:num="1"/>
        </w:sectPr>
      </w:pPr>
    </w:p>
    <w:p w14:paraId="08F7850D">
      <w:pPr>
        <w:spacing w:line="271" w:lineRule="auto"/>
        <w:rPr>
          <w:rFonts w:ascii="Arial"/>
          <w:sz w:val="21"/>
        </w:rPr>
      </w:pPr>
    </w:p>
    <w:p w14:paraId="0637CF5D">
      <w:pPr>
        <w:spacing w:line="271" w:lineRule="auto"/>
        <w:rPr>
          <w:rFonts w:ascii="Arial"/>
          <w:sz w:val="21"/>
        </w:rPr>
      </w:pPr>
    </w:p>
    <w:p w14:paraId="10A7A8CD">
      <w:pPr>
        <w:spacing w:line="272" w:lineRule="auto"/>
        <w:rPr>
          <w:rFonts w:ascii="Arial"/>
          <w:sz w:val="21"/>
        </w:rPr>
      </w:pPr>
    </w:p>
    <w:p w14:paraId="6BF69098">
      <w:pPr>
        <w:spacing w:line="272" w:lineRule="auto"/>
        <w:rPr>
          <w:rFonts w:ascii="Arial"/>
          <w:sz w:val="21"/>
        </w:rPr>
      </w:pPr>
    </w:p>
    <w:p w14:paraId="39689421">
      <w:pPr>
        <w:spacing w:before="65" w:line="228" w:lineRule="auto"/>
        <w:rPr>
          <w:rFonts w:ascii="宋体" w:hAnsi="宋体" w:eastAsia="宋体" w:cs="宋体"/>
          <w:sz w:val="20"/>
          <w:szCs w:val="20"/>
        </w:rPr>
      </w:pPr>
      <w:r>
        <w:rPr>
          <w:rFonts w:ascii="宋体" w:hAnsi="宋体" w:eastAsia="宋体" w:cs="宋体"/>
          <w:spacing w:val="8"/>
          <w:sz w:val="20"/>
          <w:szCs w:val="20"/>
        </w:rPr>
        <w:t>所并保持适当和良好的存储环境条件。</w:t>
      </w:r>
    </w:p>
    <w:p w14:paraId="0534393F">
      <w:pPr>
        <w:pStyle w:val="2"/>
        <w:spacing w:before="127" w:line="222" w:lineRule="auto"/>
        <w:rPr>
          <w:sz w:val="24"/>
          <w:szCs w:val="24"/>
        </w:rPr>
      </w:pPr>
      <w:r>
        <w:rPr>
          <w:rFonts w:ascii="Times New Roman" w:hAnsi="Times New Roman" w:eastAsia="Times New Roman" w:cs="Times New Roman"/>
          <w:b/>
          <w:bCs/>
          <w:spacing w:val="-2"/>
          <w:sz w:val="24"/>
          <w:szCs w:val="24"/>
        </w:rPr>
        <w:t xml:space="preserve">8.7 </w:t>
      </w:r>
      <w:r>
        <w:rPr>
          <w:b/>
          <w:bCs/>
          <w:spacing w:val="-2"/>
          <w:sz w:val="24"/>
          <w:szCs w:val="24"/>
        </w:rPr>
        <w:t>材料与工程设备的替代</w:t>
      </w:r>
    </w:p>
    <w:p w14:paraId="03DD12D0">
      <w:pPr>
        <w:spacing w:before="136" w:line="369" w:lineRule="auto"/>
        <w:ind w:left="3" w:right="73" w:firstLine="421"/>
        <w:rPr>
          <w:rFonts w:ascii="宋体" w:hAnsi="宋体" w:eastAsia="宋体" w:cs="宋体"/>
          <w:sz w:val="20"/>
          <w:szCs w:val="20"/>
        </w:rPr>
      </w:pPr>
      <w:r>
        <w:rPr>
          <w:rFonts w:ascii="Times New Roman" w:hAnsi="Times New Roman" w:eastAsia="Times New Roman" w:cs="Times New Roman"/>
          <w:spacing w:val="7"/>
          <w:sz w:val="20"/>
          <w:szCs w:val="20"/>
        </w:rPr>
        <w:t>8.7.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15"/>
          <w:sz w:val="20"/>
          <w:szCs w:val="20"/>
        </w:rPr>
        <w:t xml:space="preserve">  </w:t>
      </w:r>
      <w:r>
        <w:rPr>
          <w:rFonts w:ascii="宋体" w:hAnsi="宋体" w:eastAsia="宋体" w:cs="宋体"/>
          <w:spacing w:val="7"/>
          <w:sz w:val="20"/>
          <w:szCs w:val="20"/>
        </w:rPr>
        <w:t>出现下列情况需要使用替代材料和工程设备的，承包人应按照第</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8.7.</w:t>
      </w:r>
      <w:r>
        <w:rPr>
          <w:rFonts w:ascii="Times New Roman" w:hAnsi="Times New Roman" w:eastAsia="Times New Roman" w:cs="Times New Roman"/>
          <w:spacing w:val="6"/>
          <w:sz w:val="20"/>
          <w:szCs w:val="20"/>
        </w:rPr>
        <w:t xml:space="preserve">2 </w:t>
      </w:r>
      <w:r>
        <w:rPr>
          <w:rFonts w:ascii="宋体" w:hAnsi="宋体" w:eastAsia="宋体" w:cs="宋体"/>
          <w:spacing w:val="6"/>
          <w:sz w:val="20"/>
          <w:szCs w:val="20"/>
        </w:rPr>
        <w:t>项约定的程序执</w:t>
      </w:r>
      <w:r>
        <w:rPr>
          <w:rFonts w:ascii="宋体" w:hAnsi="宋体" w:eastAsia="宋体" w:cs="宋体"/>
          <w:spacing w:val="-2"/>
          <w:sz w:val="20"/>
          <w:szCs w:val="20"/>
        </w:rPr>
        <w:t>行：</w:t>
      </w:r>
    </w:p>
    <w:p w14:paraId="293D5C7F">
      <w:pPr>
        <w:spacing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）基准日期后生效的法律规定禁止使用的；</w:t>
      </w:r>
    </w:p>
    <w:p w14:paraId="1C1332E8">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）发包人要求使用替代品的；</w:t>
      </w:r>
    </w:p>
    <w:p w14:paraId="5B647324">
      <w:pPr>
        <w:spacing w:before="153"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）因其他原因必须使用替代品的。</w:t>
      </w:r>
    </w:p>
    <w:p w14:paraId="02ED0994">
      <w:pPr>
        <w:spacing w:before="152" w:line="227" w:lineRule="auto"/>
        <w:ind w:left="424"/>
        <w:rPr>
          <w:rFonts w:ascii="宋体" w:hAnsi="宋体" w:eastAsia="宋体" w:cs="宋体"/>
          <w:sz w:val="20"/>
          <w:szCs w:val="20"/>
        </w:rPr>
      </w:pPr>
      <w:r>
        <w:rPr>
          <w:rFonts w:ascii="Times New Roman" w:hAnsi="Times New Roman" w:eastAsia="Times New Roman" w:cs="Times New Roman"/>
          <w:spacing w:val="8"/>
          <w:sz w:val="20"/>
          <w:szCs w:val="20"/>
        </w:rPr>
        <w:t xml:space="preserve">8.7.2  </w:t>
      </w:r>
      <w:r>
        <w:rPr>
          <w:rFonts w:ascii="宋体" w:hAnsi="宋体" w:eastAsia="宋体" w:cs="宋体"/>
          <w:spacing w:val="8"/>
          <w:sz w:val="20"/>
          <w:szCs w:val="20"/>
        </w:rPr>
        <w:t>承包人应在使用替代材料和工程设备</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w:t>
      </w:r>
      <w:r>
        <w:rPr>
          <w:rFonts w:ascii="宋体" w:hAnsi="宋体" w:eastAsia="宋体" w:cs="宋体"/>
          <w:spacing w:val="7"/>
          <w:sz w:val="20"/>
          <w:szCs w:val="20"/>
        </w:rPr>
        <w:t>前书面通知监理人，并附下列文件：</w:t>
      </w:r>
    </w:p>
    <w:p w14:paraId="4AF337CA">
      <w:pPr>
        <w:spacing w:before="155" w:line="369" w:lineRule="auto"/>
        <w:ind w:right="73"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）被替代的材料和工程设备的名称、数量、规格、型号、品牌、性能</w:t>
      </w:r>
      <w:r>
        <w:rPr>
          <w:rFonts w:ascii="宋体" w:hAnsi="宋体" w:eastAsia="宋体" w:cs="宋体"/>
          <w:spacing w:val="6"/>
          <w:sz w:val="20"/>
          <w:szCs w:val="20"/>
        </w:rPr>
        <w:t>、价格及其他相关资</w:t>
      </w:r>
      <w:r>
        <w:rPr>
          <w:rFonts w:ascii="宋体" w:hAnsi="宋体" w:eastAsia="宋体" w:cs="宋体"/>
          <w:sz w:val="20"/>
          <w:szCs w:val="20"/>
        </w:rPr>
        <w:t>料；</w:t>
      </w:r>
    </w:p>
    <w:p w14:paraId="0D1F683B">
      <w:pPr>
        <w:spacing w:line="226"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）替代品的名称、数量、规格、型号、品牌、性能、价格及其他相关</w:t>
      </w:r>
      <w:r>
        <w:rPr>
          <w:rFonts w:ascii="宋体" w:hAnsi="宋体" w:eastAsia="宋体" w:cs="宋体"/>
          <w:spacing w:val="8"/>
          <w:sz w:val="20"/>
          <w:szCs w:val="20"/>
        </w:rPr>
        <w:t>资料；</w:t>
      </w:r>
    </w:p>
    <w:p w14:paraId="487029A5">
      <w:pPr>
        <w:spacing w:before="155"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）替代品与被替代产品之间的差异以及使用替代品可能对工程产生的</w:t>
      </w:r>
      <w:r>
        <w:rPr>
          <w:rFonts w:ascii="宋体" w:hAnsi="宋体" w:eastAsia="宋体" w:cs="宋体"/>
          <w:spacing w:val="8"/>
          <w:sz w:val="20"/>
          <w:szCs w:val="20"/>
        </w:rPr>
        <w:t>影响；</w:t>
      </w:r>
    </w:p>
    <w:p w14:paraId="63E97DB0">
      <w:pPr>
        <w:spacing w:before="155" w:line="226"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）替代品与被替代产品的价格差异；</w:t>
      </w:r>
    </w:p>
    <w:p w14:paraId="7B060732">
      <w:pPr>
        <w:spacing w:before="153"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）使用替代品的理由和原因说明；</w:t>
      </w:r>
    </w:p>
    <w:p w14:paraId="7F082473">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6</w:t>
      </w:r>
      <w:r>
        <w:rPr>
          <w:rFonts w:ascii="宋体" w:hAnsi="宋体" w:eastAsia="宋体" w:cs="宋体"/>
          <w:spacing w:val="7"/>
          <w:sz w:val="20"/>
          <w:szCs w:val="20"/>
        </w:rPr>
        <w:t>）监理人要求的其他文件。</w:t>
      </w:r>
    </w:p>
    <w:p w14:paraId="40A2CF88">
      <w:pPr>
        <w:spacing w:before="153" w:line="369" w:lineRule="auto"/>
        <w:ind w:left="2" w:right="70" w:firstLine="418"/>
        <w:rPr>
          <w:rFonts w:ascii="宋体" w:hAnsi="宋体" w:eastAsia="宋体" w:cs="宋体"/>
          <w:sz w:val="20"/>
          <w:szCs w:val="20"/>
        </w:rPr>
      </w:pPr>
      <w:r>
        <w:rPr>
          <w:rFonts w:ascii="宋体" w:hAnsi="宋体" w:eastAsia="宋体" w:cs="宋体"/>
          <w:spacing w:val="6"/>
          <w:sz w:val="20"/>
          <w:szCs w:val="20"/>
        </w:rPr>
        <w:t>监理人应在收到通知后</w:t>
      </w:r>
      <w:r>
        <w:rPr>
          <w:rFonts w:ascii="宋体" w:hAnsi="宋体" w:eastAsia="宋体" w:cs="宋体"/>
          <w:spacing w:val="-12"/>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天内向承包人发出经发包人签认的书面指示；监理人逾期发出书面</w:t>
      </w:r>
      <w:r>
        <w:rPr>
          <w:rFonts w:ascii="宋体" w:hAnsi="宋体" w:eastAsia="宋体" w:cs="宋体"/>
          <w:spacing w:val="8"/>
          <w:sz w:val="20"/>
          <w:szCs w:val="20"/>
        </w:rPr>
        <w:t>指示的，视为发包人和监理人同意使用替代品。</w:t>
      </w:r>
    </w:p>
    <w:p w14:paraId="22722267">
      <w:pPr>
        <w:spacing w:before="2" w:line="363" w:lineRule="auto"/>
        <w:ind w:right="70" w:firstLine="424"/>
        <w:jc w:val="both"/>
        <w:rPr>
          <w:rFonts w:ascii="宋体" w:hAnsi="宋体" w:eastAsia="宋体" w:cs="宋体"/>
          <w:sz w:val="20"/>
          <w:szCs w:val="20"/>
        </w:rPr>
      </w:pPr>
      <w:r>
        <w:rPr>
          <w:rFonts w:ascii="Times New Roman" w:hAnsi="Times New Roman" w:eastAsia="Times New Roman" w:cs="Times New Roman"/>
          <w:spacing w:val="6"/>
          <w:sz w:val="20"/>
          <w:szCs w:val="20"/>
        </w:rPr>
        <w:t xml:space="preserve">8.7.3  </w:t>
      </w:r>
      <w:r>
        <w:rPr>
          <w:rFonts w:ascii="宋体" w:hAnsi="宋体" w:eastAsia="宋体" w:cs="宋体"/>
          <w:spacing w:val="6"/>
          <w:sz w:val="20"/>
          <w:szCs w:val="20"/>
        </w:rPr>
        <w:t>发包人认可使用替代材料和工程设备的，替代材料和工程设备的价格，按照已标价工程</w:t>
      </w:r>
      <w:r>
        <w:rPr>
          <w:rFonts w:ascii="宋体" w:hAnsi="宋体" w:eastAsia="宋体" w:cs="宋体"/>
          <w:spacing w:val="10"/>
          <w:sz w:val="20"/>
          <w:szCs w:val="20"/>
        </w:rPr>
        <w:t>量清单或预算书相同项目的价格认定；无相同项目的，参考相似项目价格认</w:t>
      </w:r>
      <w:r>
        <w:rPr>
          <w:rFonts w:ascii="宋体" w:hAnsi="宋体" w:eastAsia="宋体" w:cs="宋体"/>
          <w:spacing w:val="9"/>
          <w:sz w:val="20"/>
          <w:szCs w:val="20"/>
        </w:rPr>
        <w:t>定；既无相同项目也</w:t>
      </w:r>
      <w:r>
        <w:rPr>
          <w:rFonts w:ascii="宋体" w:hAnsi="宋体" w:eastAsia="宋体" w:cs="宋体"/>
          <w:spacing w:val="8"/>
          <w:sz w:val="20"/>
          <w:szCs w:val="20"/>
        </w:rPr>
        <w:t>无相似项目的，按照合理的成本与利润构成的原则，</w:t>
      </w:r>
      <w:r>
        <w:rPr>
          <w:rFonts w:ascii="宋体" w:hAnsi="宋体" w:eastAsia="宋体" w:cs="宋体"/>
          <w:spacing w:val="-41"/>
          <w:sz w:val="20"/>
          <w:szCs w:val="20"/>
        </w:rPr>
        <w:t xml:space="preserve"> </w:t>
      </w:r>
      <w:r>
        <w:rPr>
          <w:rFonts w:ascii="宋体" w:hAnsi="宋体" w:eastAsia="宋体" w:cs="宋体"/>
          <w:spacing w:val="8"/>
          <w:sz w:val="20"/>
          <w:szCs w:val="20"/>
        </w:rPr>
        <w:t>由合同当事人按照第</w:t>
      </w:r>
      <w:r>
        <w:rPr>
          <w:rFonts w:ascii="宋体" w:hAnsi="宋体" w:eastAsia="宋体" w:cs="宋体"/>
          <w:spacing w:val="-42"/>
          <w:sz w:val="20"/>
          <w:szCs w:val="20"/>
        </w:rPr>
        <w:t xml:space="preserve"> </w:t>
      </w:r>
      <w:r>
        <w:rPr>
          <w:rFonts w:ascii="Times New Roman" w:hAnsi="Times New Roman" w:eastAsia="Times New Roman" w:cs="Times New Roman"/>
          <w:spacing w:val="8"/>
          <w:sz w:val="20"/>
          <w:szCs w:val="20"/>
        </w:rPr>
        <w:t xml:space="preserve">4.4 </w:t>
      </w:r>
      <w:r>
        <w:rPr>
          <w:rFonts w:ascii="宋体" w:hAnsi="宋体" w:eastAsia="宋体" w:cs="宋体"/>
          <w:spacing w:val="8"/>
          <w:sz w:val="20"/>
          <w:szCs w:val="20"/>
        </w:rPr>
        <w:t>款〔商定或确定〕</w:t>
      </w:r>
      <w:r>
        <w:rPr>
          <w:rFonts w:ascii="宋体" w:hAnsi="宋体" w:eastAsia="宋体" w:cs="宋体"/>
          <w:spacing w:val="5"/>
          <w:sz w:val="20"/>
          <w:szCs w:val="20"/>
        </w:rPr>
        <w:t>确定价格。</w:t>
      </w:r>
    </w:p>
    <w:p w14:paraId="7C141E88">
      <w:pPr>
        <w:pStyle w:val="2"/>
        <w:spacing w:line="221" w:lineRule="auto"/>
        <w:rPr>
          <w:sz w:val="24"/>
          <w:szCs w:val="24"/>
        </w:rPr>
      </w:pPr>
      <w:r>
        <w:rPr>
          <w:rFonts w:ascii="Times New Roman" w:hAnsi="Times New Roman" w:eastAsia="Times New Roman" w:cs="Times New Roman"/>
          <w:b/>
          <w:bCs/>
          <w:spacing w:val="-2"/>
          <w:sz w:val="24"/>
          <w:szCs w:val="24"/>
        </w:rPr>
        <w:t xml:space="preserve">8.8 </w:t>
      </w:r>
      <w:r>
        <w:rPr>
          <w:b/>
          <w:bCs/>
          <w:spacing w:val="-2"/>
          <w:sz w:val="24"/>
          <w:szCs w:val="24"/>
        </w:rPr>
        <w:t>施工设备和临时设施</w:t>
      </w:r>
    </w:p>
    <w:p w14:paraId="2FCCDCC4">
      <w:pPr>
        <w:spacing w:before="137" w:line="227" w:lineRule="auto"/>
        <w:ind w:left="424"/>
        <w:rPr>
          <w:rFonts w:ascii="宋体" w:hAnsi="宋体" w:eastAsia="宋体" w:cs="宋体"/>
          <w:sz w:val="20"/>
          <w:szCs w:val="20"/>
        </w:rPr>
      </w:pPr>
      <w:r>
        <w:rPr>
          <w:rFonts w:ascii="Times New Roman" w:hAnsi="Times New Roman" w:eastAsia="Times New Roman" w:cs="Times New Roman"/>
          <w:spacing w:val="6"/>
          <w:sz w:val="20"/>
          <w:szCs w:val="20"/>
        </w:rPr>
        <w:t>8.8.</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承包人提供的施工设备和临时设施</w:t>
      </w:r>
    </w:p>
    <w:p w14:paraId="1FFDF238">
      <w:pPr>
        <w:spacing w:before="155" w:line="369" w:lineRule="auto"/>
        <w:ind w:left="1" w:firstLine="418"/>
        <w:rPr>
          <w:rFonts w:ascii="宋体" w:hAnsi="宋体" w:eastAsia="宋体" w:cs="宋体"/>
          <w:sz w:val="20"/>
          <w:szCs w:val="20"/>
        </w:rPr>
      </w:pPr>
      <w:r>
        <w:rPr>
          <w:rFonts w:ascii="宋体" w:hAnsi="宋体" w:eastAsia="宋体" w:cs="宋体"/>
          <w:spacing w:val="10"/>
          <w:sz w:val="20"/>
          <w:szCs w:val="20"/>
        </w:rPr>
        <w:t>承包人应按合同进度计划的要求，及时配置施工设备和修建临时设施</w:t>
      </w:r>
      <w:r>
        <w:rPr>
          <w:rFonts w:ascii="宋体" w:hAnsi="宋体" w:eastAsia="宋体" w:cs="宋体"/>
          <w:spacing w:val="9"/>
          <w:sz w:val="20"/>
          <w:szCs w:val="20"/>
        </w:rPr>
        <w:t>。进入施工场地的承包</w:t>
      </w:r>
      <w:r>
        <w:rPr>
          <w:rFonts w:ascii="宋体" w:hAnsi="宋体" w:eastAsia="宋体" w:cs="宋体"/>
          <w:spacing w:val="7"/>
          <w:sz w:val="20"/>
          <w:szCs w:val="20"/>
        </w:rPr>
        <w:t>人设备需经监理人核查后才能投入使用。承包人更</w:t>
      </w:r>
      <w:r>
        <w:rPr>
          <w:rFonts w:ascii="宋体" w:hAnsi="宋体" w:eastAsia="宋体" w:cs="宋体"/>
          <w:spacing w:val="6"/>
          <w:sz w:val="20"/>
          <w:szCs w:val="20"/>
        </w:rPr>
        <w:t>换合同约定的承包人设备的，应报监理人批准。</w:t>
      </w:r>
    </w:p>
    <w:p w14:paraId="02DF6FF2">
      <w:pPr>
        <w:spacing w:before="2" w:line="369" w:lineRule="auto"/>
        <w:ind w:left="25" w:right="71" w:firstLine="407"/>
        <w:rPr>
          <w:rFonts w:ascii="宋体" w:hAnsi="宋体" w:eastAsia="宋体" w:cs="宋体"/>
          <w:sz w:val="20"/>
          <w:szCs w:val="20"/>
        </w:rPr>
      </w:pPr>
      <w:r>
        <w:rPr>
          <w:rFonts w:ascii="宋体" w:hAnsi="宋体" w:eastAsia="宋体" w:cs="宋体"/>
          <w:spacing w:val="9"/>
          <w:sz w:val="20"/>
          <w:szCs w:val="20"/>
        </w:rPr>
        <w:t>除专用合同条款另有约定外，承包人应自行承担修建临时设施的费用，需要临时占地的，应</w:t>
      </w:r>
      <w:r>
        <w:rPr>
          <w:rFonts w:ascii="宋体" w:hAnsi="宋体" w:eastAsia="宋体" w:cs="宋体"/>
          <w:spacing w:val="7"/>
          <w:sz w:val="20"/>
          <w:szCs w:val="20"/>
        </w:rPr>
        <w:t>由发包人办理申请手续并承担相应费用。</w:t>
      </w:r>
    </w:p>
    <w:p w14:paraId="2FD02118">
      <w:pPr>
        <w:spacing w:before="1" w:line="226" w:lineRule="auto"/>
        <w:ind w:left="424"/>
        <w:rPr>
          <w:rFonts w:ascii="宋体" w:hAnsi="宋体" w:eastAsia="宋体" w:cs="宋体"/>
          <w:sz w:val="20"/>
          <w:szCs w:val="20"/>
        </w:rPr>
      </w:pPr>
      <w:r>
        <w:rPr>
          <w:rFonts w:ascii="Times New Roman" w:hAnsi="Times New Roman" w:eastAsia="Times New Roman" w:cs="Times New Roman"/>
          <w:spacing w:val="7"/>
          <w:sz w:val="20"/>
          <w:szCs w:val="20"/>
        </w:rPr>
        <w:t xml:space="preserve">8.8.2 </w:t>
      </w:r>
      <w:r>
        <w:rPr>
          <w:rFonts w:ascii="宋体" w:hAnsi="宋体" w:eastAsia="宋体" w:cs="宋体"/>
          <w:spacing w:val="7"/>
          <w:sz w:val="20"/>
          <w:szCs w:val="20"/>
        </w:rPr>
        <w:t>发包人提供的施工设备和临时设施</w:t>
      </w:r>
    </w:p>
    <w:p w14:paraId="478A8D2B">
      <w:pPr>
        <w:spacing w:before="153" w:line="227" w:lineRule="auto"/>
        <w:ind w:left="423"/>
        <w:rPr>
          <w:rFonts w:ascii="宋体" w:hAnsi="宋体" w:eastAsia="宋体" w:cs="宋体"/>
          <w:sz w:val="20"/>
          <w:szCs w:val="20"/>
        </w:rPr>
      </w:pPr>
      <w:r>
        <w:rPr>
          <w:rFonts w:ascii="宋体" w:hAnsi="宋体" w:eastAsia="宋体" w:cs="宋体"/>
          <w:spacing w:val="9"/>
          <w:sz w:val="20"/>
          <w:szCs w:val="20"/>
        </w:rPr>
        <w:t>发包人提供的施工设备或临时设施在专用合同条款中约定。</w:t>
      </w:r>
    </w:p>
    <w:p w14:paraId="1F0CD3C5">
      <w:pPr>
        <w:spacing w:before="154" w:line="228" w:lineRule="auto"/>
        <w:ind w:left="424"/>
        <w:rPr>
          <w:rFonts w:ascii="宋体" w:hAnsi="宋体" w:eastAsia="宋体" w:cs="宋体"/>
          <w:sz w:val="20"/>
          <w:szCs w:val="20"/>
        </w:rPr>
      </w:pPr>
      <w:r>
        <w:rPr>
          <w:rFonts w:ascii="Times New Roman" w:hAnsi="Times New Roman" w:eastAsia="Times New Roman" w:cs="Times New Roman"/>
          <w:spacing w:val="7"/>
          <w:sz w:val="20"/>
          <w:szCs w:val="20"/>
        </w:rPr>
        <w:t xml:space="preserve">8.8.3 </w:t>
      </w:r>
      <w:r>
        <w:rPr>
          <w:rFonts w:ascii="宋体" w:hAnsi="宋体" w:eastAsia="宋体" w:cs="宋体"/>
          <w:spacing w:val="7"/>
          <w:sz w:val="20"/>
          <w:szCs w:val="20"/>
        </w:rPr>
        <w:t>要求承包人增加或更换施工设备</w:t>
      </w:r>
    </w:p>
    <w:p w14:paraId="34CF02AB">
      <w:pPr>
        <w:spacing w:before="154" w:line="361" w:lineRule="auto"/>
        <w:ind w:right="71" w:firstLine="420"/>
        <w:rPr>
          <w:rFonts w:ascii="宋体" w:hAnsi="宋体" w:eastAsia="宋体" w:cs="宋体"/>
          <w:sz w:val="20"/>
          <w:szCs w:val="20"/>
        </w:rPr>
      </w:pPr>
      <w:r>
        <w:rPr>
          <w:rFonts w:ascii="宋体" w:hAnsi="宋体" w:eastAsia="宋体" w:cs="宋体"/>
          <w:spacing w:val="10"/>
          <w:sz w:val="20"/>
          <w:szCs w:val="20"/>
        </w:rPr>
        <w:t>承包人使用的施工设备不能满足合同进度计划和（或）质量要求时，</w:t>
      </w:r>
      <w:r>
        <w:rPr>
          <w:rFonts w:ascii="宋体" w:hAnsi="宋体" w:eastAsia="宋体" w:cs="宋体"/>
          <w:spacing w:val="9"/>
          <w:sz w:val="20"/>
          <w:szCs w:val="20"/>
        </w:rPr>
        <w:t>监理人有权要求承包人</w:t>
      </w:r>
      <w:r>
        <w:rPr>
          <w:rFonts w:ascii="宋体" w:hAnsi="宋体" w:eastAsia="宋体" w:cs="宋体"/>
          <w:spacing w:val="10"/>
          <w:sz w:val="20"/>
          <w:szCs w:val="20"/>
        </w:rPr>
        <w:t>增加或更换施工设备，承包人应及时增加或更换，由此增加的费用和（或</w:t>
      </w:r>
      <w:r>
        <w:rPr>
          <w:rFonts w:ascii="宋体" w:hAnsi="宋体" w:eastAsia="宋体" w:cs="宋体"/>
          <w:spacing w:val="9"/>
          <w:sz w:val="20"/>
          <w:szCs w:val="20"/>
        </w:rPr>
        <w:t>）延误的工期由承包人</w:t>
      </w:r>
      <w:r>
        <w:rPr>
          <w:rFonts w:ascii="宋体" w:hAnsi="宋体" w:eastAsia="宋体" w:cs="宋体"/>
          <w:spacing w:val="3"/>
          <w:sz w:val="20"/>
          <w:szCs w:val="20"/>
        </w:rPr>
        <w:t>承担。</w:t>
      </w:r>
    </w:p>
    <w:p w14:paraId="04A5FFA9">
      <w:pPr>
        <w:pStyle w:val="2"/>
        <w:spacing w:before="1" w:line="221" w:lineRule="auto"/>
        <w:rPr>
          <w:sz w:val="24"/>
          <w:szCs w:val="24"/>
        </w:rPr>
      </w:pPr>
      <w:r>
        <w:rPr>
          <w:rFonts w:ascii="Times New Roman" w:hAnsi="Times New Roman" w:eastAsia="Times New Roman" w:cs="Times New Roman"/>
          <w:b/>
          <w:bCs/>
          <w:spacing w:val="-3"/>
          <w:sz w:val="24"/>
          <w:szCs w:val="24"/>
        </w:rPr>
        <w:t xml:space="preserve">8.9 </w:t>
      </w:r>
      <w:r>
        <w:rPr>
          <w:b/>
          <w:bCs/>
          <w:spacing w:val="-3"/>
          <w:sz w:val="24"/>
          <w:szCs w:val="24"/>
        </w:rPr>
        <w:t>材料与设备专用要求</w:t>
      </w:r>
    </w:p>
    <w:p w14:paraId="199E43CB">
      <w:pPr>
        <w:spacing w:before="137" w:line="227" w:lineRule="auto"/>
        <w:ind w:left="420"/>
        <w:rPr>
          <w:rFonts w:ascii="宋体" w:hAnsi="宋体" w:eastAsia="宋体" w:cs="宋体"/>
          <w:sz w:val="20"/>
          <w:szCs w:val="20"/>
        </w:rPr>
      </w:pPr>
      <w:r>
        <w:rPr>
          <w:rFonts w:ascii="宋体" w:hAnsi="宋体" w:eastAsia="宋体" w:cs="宋体"/>
          <w:spacing w:val="10"/>
          <w:sz w:val="20"/>
          <w:szCs w:val="20"/>
        </w:rPr>
        <w:t>承包人运入施工现场的材料、工程设备、施工设备以及在施工场地建</w:t>
      </w:r>
      <w:r>
        <w:rPr>
          <w:rFonts w:ascii="宋体" w:hAnsi="宋体" w:eastAsia="宋体" w:cs="宋体"/>
          <w:spacing w:val="9"/>
          <w:sz w:val="20"/>
          <w:szCs w:val="20"/>
        </w:rPr>
        <w:t>设的临时设施，包括备</w:t>
      </w:r>
    </w:p>
    <w:p w14:paraId="08BAD681">
      <w:pPr>
        <w:spacing w:line="227" w:lineRule="auto"/>
        <w:rPr>
          <w:rFonts w:ascii="宋体" w:hAnsi="宋体" w:eastAsia="宋体" w:cs="宋体"/>
          <w:sz w:val="20"/>
          <w:szCs w:val="20"/>
        </w:rPr>
        <w:sectPr>
          <w:footerReference r:id="rId259" w:type="default"/>
          <w:pgSz w:w="11906" w:h="16839"/>
          <w:pgMar w:top="400" w:right="1483" w:bottom="1038" w:left="1539" w:header="0" w:footer="787" w:gutter="0"/>
          <w:cols w:space="720" w:num="1"/>
        </w:sectPr>
      </w:pPr>
    </w:p>
    <w:p w14:paraId="5C8920D0">
      <w:pPr>
        <w:spacing w:line="271" w:lineRule="auto"/>
        <w:rPr>
          <w:rFonts w:ascii="Arial"/>
          <w:sz w:val="21"/>
        </w:rPr>
      </w:pPr>
    </w:p>
    <w:p w14:paraId="6C95E7BB">
      <w:pPr>
        <w:spacing w:line="272" w:lineRule="auto"/>
        <w:rPr>
          <w:rFonts w:ascii="Arial"/>
          <w:sz w:val="21"/>
        </w:rPr>
      </w:pPr>
    </w:p>
    <w:p w14:paraId="7A2BC4AC">
      <w:pPr>
        <w:spacing w:line="272" w:lineRule="auto"/>
        <w:rPr>
          <w:rFonts w:ascii="Arial"/>
          <w:sz w:val="21"/>
        </w:rPr>
      </w:pPr>
    </w:p>
    <w:p w14:paraId="11B69F4E">
      <w:pPr>
        <w:spacing w:line="272" w:lineRule="auto"/>
        <w:rPr>
          <w:rFonts w:ascii="Arial"/>
          <w:sz w:val="21"/>
        </w:rPr>
      </w:pPr>
    </w:p>
    <w:p w14:paraId="632AD8AF">
      <w:pPr>
        <w:spacing w:before="65" w:line="369" w:lineRule="auto"/>
        <w:ind w:right="71" w:firstLine="17"/>
        <w:rPr>
          <w:rFonts w:ascii="宋体" w:hAnsi="宋体" w:eastAsia="宋体" w:cs="宋体"/>
          <w:sz w:val="20"/>
          <w:szCs w:val="20"/>
        </w:rPr>
      </w:pPr>
      <w:r>
        <w:rPr>
          <w:rFonts w:ascii="宋体" w:hAnsi="宋体" w:eastAsia="宋体" w:cs="宋体"/>
          <w:spacing w:val="9"/>
          <w:sz w:val="20"/>
          <w:szCs w:val="20"/>
        </w:rPr>
        <w:t>品备件、安装工具与资料，必须专用于工程。未经发包人批准，承包人不得运出施工现场或挪作他用；经发包人批准，承包人可以根据施工进度计划撤走闲置的施工设备和其他物品。</w:t>
      </w:r>
    </w:p>
    <w:p w14:paraId="28D4E005">
      <w:pPr>
        <w:pStyle w:val="2"/>
        <w:spacing w:before="37" w:line="222" w:lineRule="auto"/>
        <w:ind w:left="1"/>
        <w:outlineLvl w:val="2"/>
        <w:rPr>
          <w:sz w:val="28"/>
          <w:szCs w:val="28"/>
        </w:rPr>
      </w:pPr>
      <w:bookmarkStart w:id="271" w:name="bookmark253"/>
      <w:bookmarkEnd w:id="271"/>
      <w:r>
        <w:rPr>
          <w:rFonts w:ascii="Times New Roman" w:hAnsi="Times New Roman" w:eastAsia="Times New Roman" w:cs="Times New Roman"/>
          <w:b/>
          <w:bCs/>
          <w:spacing w:val="-3"/>
          <w:sz w:val="28"/>
          <w:szCs w:val="28"/>
        </w:rPr>
        <w:t xml:space="preserve">9.  </w:t>
      </w:r>
      <w:r>
        <w:rPr>
          <w:b/>
          <w:bCs/>
          <w:spacing w:val="-3"/>
          <w:sz w:val="28"/>
          <w:szCs w:val="28"/>
        </w:rPr>
        <w:t>试验与检验</w:t>
      </w:r>
    </w:p>
    <w:p w14:paraId="6084AF4A">
      <w:pPr>
        <w:pStyle w:val="2"/>
        <w:spacing w:before="99" w:line="221" w:lineRule="auto"/>
        <w:rPr>
          <w:sz w:val="24"/>
          <w:szCs w:val="24"/>
        </w:rPr>
      </w:pPr>
      <w:r>
        <w:rPr>
          <w:rFonts w:ascii="Times New Roman" w:hAnsi="Times New Roman" w:eastAsia="Times New Roman" w:cs="Times New Roman"/>
          <w:b/>
          <w:bCs/>
          <w:spacing w:val="-2"/>
          <w:sz w:val="24"/>
          <w:szCs w:val="24"/>
        </w:rPr>
        <w:t xml:space="preserve">9.1 </w:t>
      </w:r>
      <w:r>
        <w:rPr>
          <w:b/>
          <w:bCs/>
          <w:spacing w:val="-2"/>
          <w:sz w:val="24"/>
          <w:szCs w:val="24"/>
        </w:rPr>
        <w:t>试验设备与试验人员</w:t>
      </w:r>
    </w:p>
    <w:p w14:paraId="0DFBDCA7">
      <w:pPr>
        <w:spacing w:before="138" w:line="369" w:lineRule="auto"/>
        <w:ind w:right="70" w:firstLine="421"/>
        <w:rPr>
          <w:rFonts w:ascii="宋体" w:hAnsi="宋体" w:eastAsia="宋体" w:cs="宋体"/>
          <w:sz w:val="20"/>
          <w:szCs w:val="20"/>
        </w:rPr>
      </w:pPr>
      <w:r>
        <w:rPr>
          <w:rFonts w:ascii="Times New Roman" w:hAnsi="Times New Roman" w:eastAsia="Times New Roman" w:cs="Times New Roman"/>
          <w:spacing w:val="5"/>
          <w:sz w:val="20"/>
          <w:szCs w:val="20"/>
        </w:rPr>
        <w:t>9.</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承包人根据合同约定或监理人指示进行的现场材料试验，应由承包人提供试验场所、试</w:t>
      </w:r>
      <w:r>
        <w:rPr>
          <w:rFonts w:ascii="宋体" w:hAnsi="宋体" w:eastAsia="宋体" w:cs="宋体"/>
          <w:spacing w:val="10"/>
          <w:sz w:val="20"/>
          <w:szCs w:val="20"/>
        </w:rPr>
        <w:t>验人员、试验设备以及其他必要的试验条件。监理人在必要时可以使用承包</w:t>
      </w:r>
      <w:r>
        <w:rPr>
          <w:rFonts w:ascii="宋体" w:hAnsi="宋体" w:eastAsia="宋体" w:cs="宋体"/>
          <w:spacing w:val="9"/>
          <w:sz w:val="20"/>
          <w:szCs w:val="20"/>
        </w:rPr>
        <w:t>人提供的试验场所、</w:t>
      </w:r>
      <w:r>
        <w:rPr>
          <w:rFonts w:ascii="宋体" w:hAnsi="宋体" w:eastAsia="宋体" w:cs="宋体"/>
          <w:spacing w:val="10"/>
          <w:sz w:val="20"/>
          <w:szCs w:val="20"/>
        </w:rPr>
        <w:t>试验设备以及其他试验条件，进行以工程质量检查</w:t>
      </w:r>
      <w:r>
        <w:rPr>
          <w:rFonts w:ascii="宋体" w:hAnsi="宋体" w:eastAsia="宋体" w:cs="宋体"/>
          <w:spacing w:val="9"/>
          <w:sz w:val="20"/>
          <w:szCs w:val="20"/>
        </w:rPr>
        <w:t>为目的的材料复核试验，承包人应予以协助。</w:t>
      </w:r>
    </w:p>
    <w:p w14:paraId="2542265F">
      <w:pPr>
        <w:spacing w:before="2" w:line="368" w:lineRule="auto"/>
        <w:ind w:left="1" w:right="73" w:firstLine="419"/>
        <w:rPr>
          <w:rFonts w:ascii="宋体" w:hAnsi="宋体" w:eastAsia="宋体" w:cs="宋体"/>
          <w:sz w:val="20"/>
          <w:szCs w:val="20"/>
        </w:rPr>
      </w:pPr>
      <w:r>
        <w:rPr>
          <w:rFonts w:ascii="Times New Roman" w:hAnsi="Times New Roman" w:eastAsia="Times New Roman" w:cs="Times New Roman"/>
          <w:spacing w:val="6"/>
          <w:sz w:val="20"/>
          <w:szCs w:val="20"/>
        </w:rPr>
        <w:t>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  </w:t>
      </w:r>
      <w:r>
        <w:rPr>
          <w:rFonts w:ascii="宋体" w:hAnsi="宋体" w:eastAsia="宋体" w:cs="宋体"/>
          <w:spacing w:val="6"/>
          <w:sz w:val="20"/>
          <w:szCs w:val="20"/>
        </w:rPr>
        <w:t>承包人应按专用合同条款的约定提供试验设备、取样装置、试验场所和</w:t>
      </w:r>
      <w:r>
        <w:rPr>
          <w:rFonts w:ascii="宋体" w:hAnsi="宋体" w:eastAsia="宋体" w:cs="宋体"/>
          <w:spacing w:val="5"/>
          <w:sz w:val="20"/>
          <w:szCs w:val="20"/>
        </w:rPr>
        <w:t>试验条件，并向</w:t>
      </w:r>
      <w:r>
        <w:rPr>
          <w:rFonts w:ascii="宋体" w:hAnsi="宋体" w:eastAsia="宋体" w:cs="宋体"/>
          <w:spacing w:val="8"/>
          <w:sz w:val="20"/>
          <w:szCs w:val="20"/>
        </w:rPr>
        <w:t>监理人提交相应进场计划表。</w:t>
      </w:r>
    </w:p>
    <w:p w14:paraId="1D29ECE6">
      <w:pPr>
        <w:spacing w:before="2" w:line="369" w:lineRule="auto"/>
        <w:ind w:left="5" w:right="71" w:firstLine="415"/>
        <w:rPr>
          <w:rFonts w:ascii="宋体" w:hAnsi="宋体" w:eastAsia="宋体" w:cs="宋体"/>
          <w:sz w:val="20"/>
          <w:szCs w:val="20"/>
        </w:rPr>
      </w:pPr>
      <w:r>
        <w:rPr>
          <w:rFonts w:ascii="宋体" w:hAnsi="宋体" w:eastAsia="宋体" w:cs="宋体"/>
          <w:spacing w:val="10"/>
          <w:sz w:val="20"/>
          <w:szCs w:val="20"/>
        </w:rPr>
        <w:t>承包人配置的试验设备要符合相应试验规程的要求并经过具有资质的</w:t>
      </w:r>
      <w:r>
        <w:rPr>
          <w:rFonts w:ascii="宋体" w:hAnsi="宋体" w:eastAsia="宋体" w:cs="宋体"/>
          <w:spacing w:val="9"/>
          <w:sz w:val="20"/>
          <w:szCs w:val="20"/>
        </w:rPr>
        <w:t>检测单位检测，且在正式使用该试验设备前，需要经过监理人与承包人共同校定。</w:t>
      </w:r>
    </w:p>
    <w:p w14:paraId="19EF83E6">
      <w:pPr>
        <w:spacing w:before="2" w:line="356" w:lineRule="auto"/>
        <w:ind w:left="5" w:right="73" w:firstLine="416"/>
        <w:rPr>
          <w:rFonts w:ascii="宋体" w:hAnsi="宋体" w:eastAsia="宋体" w:cs="宋体"/>
          <w:sz w:val="20"/>
          <w:szCs w:val="20"/>
        </w:rPr>
      </w:pPr>
      <w:r>
        <w:rPr>
          <w:rFonts w:ascii="Times New Roman" w:hAnsi="Times New Roman" w:eastAsia="Times New Roman" w:cs="Times New Roman"/>
          <w:spacing w:val="6"/>
          <w:sz w:val="20"/>
          <w:szCs w:val="20"/>
        </w:rPr>
        <w:t>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1.3  </w:t>
      </w:r>
      <w:r>
        <w:rPr>
          <w:rFonts w:ascii="宋体" w:hAnsi="宋体" w:eastAsia="宋体" w:cs="宋体"/>
          <w:spacing w:val="6"/>
          <w:sz w:val="20"/>
          <w:szCs w:val="20"/>
        </w:rPr>
        <w:t>承包人应向监理人提交试验人员的名单及其岗位、资格等证明资料，试</w:t>
      </w:r>
      <w:r>
        <w:rPr>
          <w:rFonts w:ascii="宋体" w:hAnsi="宋体" w:eastAsia="宋体" w:cs="宋体"/>
          <w:spacing w:val="5"/>
          <w:sz w:val="20"/>
          <w:szCs w:val="20"/>
        </w:rPr>
        <w:t>验人员必须能够</w:t>
      </w:r>
      <w:r>
        <w:rPr>
          <w:rFonts w:ascii="宋体" w:hAnsi="宋体" w:eastAsia="宋体" w:cs="宋体"/>
          <w:spacing w:val="9"/>
          <w:sz w:val="20"/>
          <w:szCs w:val="20"/>
        </w:rPr>
        <w:t>熟练进行相应的检测试验，承包人对试验人员的试验程序和试验结果的正确性负责。</w:t>
      </w:r>
    </w:p>
    <w:p w14:paraId="6F9D2007">
      <w:pPr>
        <w:pStyle w:val="2"/>
        <w:spacing w:before="1" w:line="220" w:lineRule="auto"/>
        <w:rPr>
          <w:sz w:val="24"/>
          <w:szCs w:val="24"/>
        </w:rPr>
      </w:pPr>
      <w:r>
        <w:rPr>
          <w:rFonts w:ascii="Times New Roman" w:hAnsi="Times New Roman" w:eastAsia="Times New Roman" w:cs="Times New Roman"/>
          <w:b/>
          <w:bCs/>
          <w:spacing w:val="-6"/>
          <w:sz w:val="24"/>
          <w:szCs w:val="24"/>
        </w:rPr>
        <w:t>9.2</w:t>
      </w:r>
      <w:r>
        <w:rPr>
          <w:rFonts w:ascii="Times New Roman" w:hAnsi="Times New Roman" w:eastAsia="Times New Roman" w:cs="Times New Roman"/>
          <w:b/>
          <w:bCs/>
          <w:spacing w:val="16"/>
          <w:sz w:val="24"/>
          <w:szCs w:val="24"/>
        </w:rPr>
        <w:t xml:space="preserve"> </w:t>
      </w:r>
      <w:r>
        <w:rPr>
          <w:b/>
          <w:bCs/>
          <w:spacing w:val="-6"/>
          <w:sz w:val="24"/>
          <w:szCs w:val="24"/>
        </w:rPr>
        <w:t>取样</w:t>
      </w:r>
    </w:p>
    <w:p w14:paraId="6E9E4D99">
      <w:pPr>
        <w:spacing w:before="139" w:line="357" w:lineRule="auto"/>
        <w:ind w:left="5" w:right="18" w:firstLine="415"/>
        <w:rPr>
          <w:rFonts w:ascii="宋体" w:hAnsi="宋体" w:eastAsia="宋体" w:cs="宋体"/>
          <w:sz w:val="20"/>
          <w:szCs w:val="20"/>
        </w:rPr>
      </w:pPr>
      <w:r>
        <w:rPr>
          <w:rFonts w:ascii="宋体" w:hAnsi="宋体" w:eastAsia="宋体" w:cs="宋体"/>
          <w:spacing w:val="6"/>
          <w:sz w:val="20"/>
          <w:szCs w:val="20"/>
        </w:rPr>
        <w:t>试验属于自检性质的，承包人可以单独取样。试验属于监理人抽检性质的，可由监理人</w:t>
      </w:r>
      <w:r>
        <w:rPr>
          <w:rFonts w:ascii="宋体" w:hAnsi="宋体" w:eastAsia="宋体" w:cs="宋体"/>
          <w:spacing w:val="5"/>
          <w:sz w:val="20"/>
          <w:szCs w:val="20"/>
        </w:rPr>
        <w:t>取样，</w:t>
      </w:r>
      <w:r>
        <w:rPr>
          <w:rFonts w:ascii="宋体" w:hAnsi="宋体" w:eastAsia="宋体" w:cs="宋体"/>
          <w:spacing w:val="9"/>
          <w:sz w:val="20"/>
          <w:szCs w:val="20"/>
        </w:rPr>
        <w:t>也可由承包人的试验人员在监理人的监督下</w:t>
      </w:r>
      <w:r>
        <w:rPr>
          <w:rFonts w:ascii="宋体" w:hAnsi="宋体" w:eastAsia="宋体" w:cs="宋体"/>
          <w:spacing w:val="8"/>
          <w:sz w:val="20"/>
          <w:szCs w:val="20"/>
        </w:rPr>
        <w:t>取样。</w:t>
      </w:r>
    </w:p>
    <w:p w14:paraId="4F5F5DA0">
      <w:pPr>
        <w:pStyle w:val="2"/>
        <w:spacing w:before="1" w:line="220" w:lineRule="auto"/>
        <w:rPr>
          <w:sz w:val="24"/>
          <w:szCs w:val="24"/>
        </w:rPr>
      </w:pPr>
      <w:r>
        <w:rPr>
          <w:rFonts w:ascii="Times New Roman" w:hAnsi="Times New Roman" w:eastAsia="Times New Roman" w:cs="Times New Roman"/>
          <w:b/>
          <w:bCs/>
          <w:spacing w:val="-2"/>
          <w:sz w:val="24"/>
          <w:szCs w:val="24"/>
        </w:rPr>
        <w:t xml:space="preserve">9.3 </w:t>
      </w:r>
      <w:r>
        <w:rPr>
          <w:b/>
          <w:bCs/>
          <w:spacing w:val="-2"/>
          <w:sz w:val="24"/>
          <w:szCs w:val="24"/>
        </w:rPr>
        <w:t>材料、工程设备和工程的试验和检验</w:t>
      </w:r>
    </w:p>
    <w:p w14:paraId="0E956D29">
      <w:pPr>
        <w:spacing w:before="141" w:line="369" w:lineRule="auto"/>
        <w:ind w:left="3" w:firstLine="417"/>
        <w:rPr>
          <w:rFonts w:ascii="宋体" w:hAnsi="宋体" w:eastAsia="宋体" w:cs="宋体"/>
          <w:sz w:val="20"/>
          <w:szCs w:val="20"/>
        </w:rPr>
      </w:pPr>
      <w:r>
        <w:rPr>
          <w:rFonts w:ascii="Times New Roman" w:hAnsi="Times New Roman" w:eastAsia="Times New Roman" w:cs="Times New Roman"/>
          <w:spacing w:val="4"/>
          <w:sz w:val="20"/>
          <w:szCs w:val="20"/>
        </w:rPr>
        <w:t>9.3.</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承包人应按合同约定进行材料、工程设备和工程的试验和检验，并为监理人对上述材料、</w:t>
      </w:r>
      <w:r>
        <w:rPr>
          <w:rFonts w:ascii="宋体" w:hAnsi="宋体" w:eastAsia="宋体" w:cs="宋体"/>
          <w:spacing w:val="10"/>
          <w:sz w:val="20"/>
          <w:szCs w:val="20"/>
        </w:rPr>
        <w:t>工程设备和工程的质量检查提供必要的试验资料和原始记录。按合同</w:t>
      </w:r>
      <w:r>
        <w:rPr>
          <w:rFonts w:ascii="宋体" w:hAnsi="宋体" w:eastAsia="宋体" w:cs="宋体"/>
          <w:spacing w:val="9"/>
          <w:sz w:val="20"/>
          <w:szCs w:val="20"/>
        </w:rPr>
        <w:t>约定应由监理人与承包人共</w:t>
      </w:r>
      <w:r>
        <w:rPr>
          <w:rFonts w:ascii="宋体" w:hAnsi="宋体" w:eastAsia="宋体" w:cs="宋体"/>
          <w:spacing w:val="8"/>
          <w:sz w:val="20"/>
          <w:szCs w:val="20"/>
        </w:rPr>
        <w:t>同进行试验和检验的，</w:t>
      </w:r>
      <w:r>
        <w:rPr>
          <w:rFonts w:ascii="宋体" w:hAnsi="宋体" w:eastAsia="宋体" w:cs="宋体"/>
          <w:spacing w:val="-58"/>
          <w:sz w:val="20"/>
          <w:szCs w:val="20"/>
        </w:rPr>
        <w:t xml:space="preserve"> </w:t>
      </w:r>
      <w:r>
        <w:rPr>
          <w:rFonts w:ascii="宋体" w:hAnsi="宋体" w:eastAsia="宋体" w:cs="宋体"/>
          <w:spacing w:val="8"/>
          <w:sz w:val="20"/>
          <w:szCs w:val="20"/>
        </w:rPr>
        <w:t>由承包人负责提供必要的试验资料和</w:t>
      </w:r>
      <w:r>
        <w:rPr>
          <w:rFonts w:ascii="宋体" w:hAnsi="宋体" w:eastAsia="宋体" w:cs="宋体"/>
          <w:spacing w:val="7"/>
          <w:sz w:val="20"/>
          <w:szCs w:val="20"/>
        </w:rPr>
        <w:t>原始记录。</w:t>
      </w:r>
    </w:p>
    <w:p w14:paraId="45779388">
      <w:pPr>
        <w:spacing w:before="4" w:line="368" w:lineRule="auto"/>
        <w:ind w:right="70" w:firstLine="420"/>
        <w:rPr>
          <w:rFonts w:ascii="宋体" w:hAnsi="宋体" w:eastAsia="宋体" w:cs="宋体"/>
          <w:sz w:val="20"/>
          <w:szCs w:val="20"/>
        </w:rPr>
      </w:pPr>
      <w:r>
        <w:rPr>
          <w:rFonts w:ascii="Times New Roman" w:hAnsi="Times New Roman" w:eastAsia="Times New Roman" w:cs="Times New Roman"/>
          <w:spacing w:val="8"/>
          <w:sz w:val="20"/>
          <w:szCs w:val="20"/>
        </w:rPr>
        <w:t xml:space="preserve">9.3.2 </w:t>
      </w:r>
      <w:r>
        <w:rPr>
          <w:rFonts w:ascii="宋体" w:hAnsi="宋体" w:eastAsia="宋体" w:cs="宋体"/>
          <w:spacing w:val="8"/>
          <w:sz w:val="20"/>
          <w:szCs w:val="20"/>
        </w:rPr>
        <w:t>试验属于自检性质的，承包人可以单独进行试验。试验属于</w:t>
      </w:r>
      <w:r>
        <w:rPr>
          <w:rFonts w:ascii="宋体" w:hAnsi="宋体" w:eastAsia="宋体" w:cs="宋体"/>
          <w:spacing w:val="7"/>
          <w:sz w:val="20"/>
          <w:szCs w:val="20"/>
        </w:rPr>
        <w:t>监理人抽检性质的，监理人</w:t>
      </w:r>
      <w:r>
        <w:rPr>
          <w:rFonts w:ascii="宋体" w:hAnsi="宋体" w:eastAsia="宋体" w:cs="宋体"/>
          <w:spacing w:val="10"/>
          <w:sz w:val="20"/>
          <w:szCs w:val="20"/>
        </w:rPr>
        <w:t>可以单独进行试验，也可由承包人与监理人共同进行。承包人对由监理人</w:t>
      </w:r>
      <w:r>
        <w:rPr>
          <w:rFonts w:ascii="宋体" w:hAnsi="宋体" w:eastAsia="宋体" w:cs="宋体"/>
          <w:spacing w:val="9"/>
          <w:sz w:val="20"/>
          <w:szCs w:val="20"/>
        </w:rPr>
        <w:t>单独进行的试验结果有</w:t>
      </w:r>
      <w:r>
        <w:rPr>
          <w:rFonts w:ascii="宋体" w:hAnsi="宋体" w:eastAsia="宋体" w:cs="宋体"/>
          <w:spacing w:val="10"/>
          <w:sz w:val="20"/>
          <w:szCs w:val="20"/>
        </w:rPr>
        <w:t>异议的，可以申请重新共同进行试验。约定共同进行试验的，监理人未按</w:t>
      </w:r>
      <w:r>
        <w:rPr>
          <w:rFonts w:ascii="宋体" w:hAnsi="宋体" w:eastAsia="宋体" w:cs="宋体"/>
          <w:spacing w:val="9"/>
          <w:sz w:val="20"/>
          <w:szCs w:val="20"/>
        </w:rPr>
        <w:t>照约定参加试验的，承包人可自行试验，并将试验结果报送监理人，监理人应承认该试验结果。</w:t>
      </w:r>
    </w:p>
    <w:p w14:paraId="59C1ACE3">
      <w:pPr>
        <w:spacing w:before="3" w:line="364" w:lineRule="auto"/>
        <w:ind w:right="71" w:firstLine="420"/>
        <w:rPr>
          <w:rFonts w:ascii="宋体" w:hAnsi="宋体" w:eastAsia="宋体" w:cs="宋体"/>
          <w:sz w:val="20"/>
          <w:szCs w:val="20"/>
        </w:rPr>
      </w:pPr>
      <w:r>
        <w:rPr>
          <w:rFonts w:ascii="Times New Roman" w:hAnsi="Times New Roman" w:eastAsia="Times New Roman" w:cs="Times New Roman"/>
          <w:spacing w:val="8"/>
          <w:sz w:val="20"/>
          <w:szCs w:val="20"/>
        </w:rPr>
        <w:t xml:space="preserve">9.3.3 </w:t>
      </w:r>
      <w:r>
        <w:rPr>
          <w:rFonts w:ascii="宋体" w:hAnsi="宋体" w:eastAsia="宋体" w:cs="宋体"/>
          <w:spacing w:val="8"/>
          <w:sz w:val="20"/>
          <w:szCs w:val="20"/>
        </w:rPr>
        <w:t>监理人对承包人的试验和检验结果有异议的，或为查清</w:t>
      </w:r>
      <w:r>
        <w:rPr>
          <w:rFonts w:ascii="宋体" w:hAnsi="宋体" w:eastAsia="宋体" w:cs="宋体"/>
          <w:spacing w:val="7"/>
          <w:sz w:val="20"/>
          <w:szCs w:val="20"/>
        </w:rPr>
        <w:t>承包人试验和检验成果的可靠性</w:t>
      </w:r>
      <w:r>
        <w:rPr>
          <w:rFonts w:ascii="宋体" w:hAnsi="宋体" w:eastAsia="宋体" w:cs="宋体"/>
          <w:spacing w:val="10"/>
          <w:sz w:val="20"/>
          <w:szCs w:val="20"/>
        </w:rPr>
        <w:t>要求承包人重新试验和检验的，可由监理人与承包人共同进行。重新试验</w:t>
      </w:r>
      <w:r>
        <w:rPr>
          <w:rFonts w:ascii="宋体" w:hAnsi="宋体" w:eastAsia="宋体" w:cs="宋体"/>
          <w:spacing w:val="9"/>
          <w:sz w:val="20"/>
          <w:szCs w:val="20"/>
        </w:rPr>
        <w:t>和检验的结果证明该项</w:t>
      </w:r>
      <w:r>
        <w:rPr>
          <w:rFonts w:ascii="宋体" w:hAnsi="宋体" w:eastAsia="宋体" w:cs="宋体"/>
          <w:spacing w:val="10"/>
          <w:sz w:val="20"/>
          <w:szCs w:val="20"/>
        </w:rPr>
        <w:t>材料、工程设备或工程的质量不符合合同要求的，由此增加的费用和（或</w:t>
      </w:r>
      <w:r>
        <w:rPr>
          <w:rFonts w:ascii="宋体" w:hAnsi="宋体" w:eastAsia="宋体" w:cs="宋体"/>
          <w:spacing w:val="9"/>
          <w:sz w:val="20"/>
          <w:szCs w:val="20"/>
        </w:rPr>
        <w:t>）延误的工期由承包人</w:t>
      </w:r>
      <w:r>
        <w:rPr>
          <w:rFonts w:ascii="宋体" w:hAnsi="宋体" w:eastAsia="宋体" w:cs="宋体"/>
          <w:spacing w:val="10"/>
          <w:sz w:val="20"/>
          <w:szCs w:val="20"/>
        </w:rPr>
        <w:t>承担；重新试验和检验结果证明该项材料、工程设备和工程符合合同要求</w:t>
      </w:r>
      <w:r>
        <w:rPr>
          <w:rFonts w:ascii="宋体" w:hAnsi="宋体" w:eastAsia="宋体" w:cs="宋体"/>
          <w:spacing w:val="9"/>
          <w:sz w:val="20"/>
          <w:szCs w:val="20"/>
        </w:rPr>
        <w:t>的，由此增加的费用和</w:t>
      </w:r>
      <w:r>
        <w:rPr>
          <w:rFonts w:ascii="宋体" w:hAnsi="宋体" w:eastAsia="宋体" w:cs="宋体"/>
          <w:spacing w:val="8"/>
          <w:sz w:val="20"/>
          <w:szCs w:val="20"/>
        </w:rPr>
        <w:t>（或）延误的工期由发包人承担。</w:t>
      </w:r>
    </w:p>
    <w:p w14:paraId="73E7137B">
      <w:pPr>
        <w:pStyle w:val="2"/>
        <w:spacing w:before="1" w:line="220" w:lineRule="auto"/>
        <w:rPr>
          <w:sz w:val="24"/>
          <w:szCs w:val="24"/>
        </w:rPr>
      </w:pPr>
      <w:r>
        <w:rPr>
          <w:rFonts w:ascii="Times New Roman" w:hAnsi="Times New Roman" w:eastAsia="Times New Roman" w:cs="Times New Roman"/>
          <w:b/>
          <w:bCs/>
          <w:spacing w:val="-2"/>
          <w:sz w:val="24"/>
          <w:szCs w:val="24"/>
        </w:rPr>
        <w:t xml:space="preserve">9.4 </w:t>
      </w:r>
      <w:r>
        <w:rPr>
          <w:b/>
          <w:bCs/>
          <w:spacing w:val="-2"/>
          <w:sz w:val="24"/>
          <w:szCs w:val="24"/>
        </w:rPr>
        <w:t>现场工艺试验</w:t>
      </w:r>
    </w:p>
    <w:p w14:paraId="5FC848CA">
      <w:pPr>
        <w:spacing w:before="139" w:line="371" w:lineRule="auto"/>
        <w:ind w:left="4" w:right="71" w:firstLine="416"/>
        <w:rPr>
          <w:rFonts w:ascii="宋体" w:hAnsi="宋体" w:eastAsia="宋体" w:cs="宋体"/>
          <w:sz w:val="20"/>
          <w:szCs w:val="20"/>
        </w:rPr>
      </w:pPr>
      <w:r>
        <w:rPr>
          <w:rFonts w:ascii="宋体" w:hAnsi="宋体" w:eastAsia="宋体" w:cs="宋体"/>
          <w:spacing w:val="10"/>
          <w:sz w:val="20"/>
          <w:szCs w:val="20"/>
        </w:rPr>
        <w:t>承包人应按合同约定或监理人指示进行现场工艺试验。对大型的现场</w:t>
      </w:r>
      <w:r>
        <w:rPr>
          <w:rFonts w:ascii="宋体" w:hAnsi="宋体" w:eastAsia="宋体" w:cs="宋体"/>
          <w:spacing w:val="9"/>
          <w:sz w:val="20"/>
          <w:szCs w:val="20"/>
        </w:rPr>
        <w:t>工艺试验，监理人认为必要时，承包人应根据监理人提出的工艺试验要求，编制工艺试验措施计划，报送监理人审查。</w:t>
      </w:r>
    </w:p>
    <w:p w14:paraId="044E1F09">
      <w:pPr>
        <w:spacing w:line="371" w:lineRule="auto"/>
        <w:rPr>
          <w:rFonts w:ascii="宋体" w:hAnsi="宋体" w:eastAsia="宋体" w:cs="宋体"/>
          <w:sz w:val="20"/>
          <w:szCs w:val="20"/>
        </w:rPr>
        <w:sectPr>
          <w:footerReference r:id="rId260" w:type="default"/>
          <w:pgSz w:w="11906" w:h="16839"/>
          <w:pgMar w:top="400" w:right="1483" w:bottom="1038" w:left="1538" w:header="0" w:footer="787" w:gutter="0"/>
          <w:cols w:space="720" w:num="1"/>
        </w:sectPr>
      </w:pPr>
    </w:p>
    <w:p w14:paraId="047EF114">
      <w:pPr>
        <w:spacing w:line="250" w:lineRule="auto"/>
        <w:rPr>
          <w:rFonts w:ascii="Arial"/>
          <w:sz w:val="21"/>
        </w:rPr>
      </w:pPr>
    </w:p>
    <w:p w14:paraId="00646A66">
      <w:pPr>
        <w:spacing w:line="250" w:lineRule="auto"/>
        <w:rPr>
          <w:rFonts w:ascii="Arial"/>
          <w:sz w:val="21"/>
        </w:rPr>
      </w:pPr>
    </w:p>
    <w:p w14:paraId="69E4A47A">
      <w:pPr>
        <w:spacing w:line="250" w:lineRule="auto"/>
        <w:rPr>
          <w:rFonts w:ascii="Arial"/>
          <w:sz w:val="21"/>
        </w:rPr>
      </w:pPr>
    </w:p>
    <w:p w14:paraId="0604E2C7">
      <w:pPr>
        <w:spacing w:line="250" w:lineRule="auto"/>
        <w:rPr>
          <w:rFonts w:ascii="Arial"/>
          <w:sz w:val="21"/>
        </w:rPr>
      </w:pPr>
    </w:p>
    <w:p w14:paraId="57354892">
      <w:pPr>
        <w:pStyle w:val="2"/>
        <w:spacing w:before="91" w:line="222" w:lineRule="auto"/>
        <w:ind w:left="10"/>
        <w:outlineLvl w:val="2"/>
        <w:rPr>
          <w:sz w:val="28"/>
          <w:szCs w:val="28"/>
        </w:rPr>
      </w:pPr>
      <w:bookmarkStart w:id="272" w:name="bookmark254"/>
      <w:bookmarkEnd w:id="272"/>
      <w:r>
        <w:rPr>
          <w:rFonts w:ascii="Times New Roman" w:hAnsi="Times New Roman" w:eastAsia="Times New Roman" w:cs="Times New Roman"/>
          <w:b/>
          <w:bCs/>
          <w:spacing w:val="-8"/>
          <w:sz w:val="28"/>
          <w:szCs w:val="28"/>
        </w:rPr>
        <w:t>10.</w:t>
      </w:r>
      <w:r>
        <w:rPr>
          <w:rFonts w:ascii="Times New Roman" w:hAnsi="Times New Roman" w:eastAsia="Times New Roman" w:cs="Times New Roman"/>
          <w:b/>
          <w:bCs/>
          <w:spacing w:val="7"/>
          <w:sz w:val="28"/>
          <w:szCs w:val="28"/>
        </w:rPr>
        <w:t xml:space="preserve">  </w:t>
      </w:r>
      <w:r>
        <w:rPr>
          <w:b/>
          <w:bCs/>
          <w:spacing w:val="-8"/>
          <w:sz w:val="28"/>
          <w:szCs w:val="28"/>
        </w:rPr>
        <w:t>变更</w:t>
      </w:r>
    </w:p>
    <w:p w14:paraId="314BD8A8">
      <w:pPr>
        <w:pStyle w:val="2"/>
        <w:spacing w:before="98" w:line="222" w:lineRule="auto"/>
        <w:ind w:left="7"/>
        <w:rPr>
          <w:sz w:val="24"/>
          <w:szCs w:val="24"/>
        </w:rPr>
      </w:pPr>
      <w:r>
        <w:rPr>
          <w:rFonts w:ascii="Times New Roman" w:hAnsi="Times New Roman" w:eastAsia="Times New Roman" w:cs="Times New Roman"/>
          <w:b/>
          <w:bCs/>
          <w:spacing w:val="-3"/>
          <w:sz w:val="24"/>
          <w:szCs w:val="24"/>
        </w:rPr>
        <w:t xml:space="preserve">10.1 </w:t>
      </w:r>
      <w:r>
        <w:rPr>
          <w:b/>
          <w:bCs/>
          <w:spacing w:val="-3"/>
          <w:sz w:val="24"/>
          <w:szCs w:val="24"/>
        </w:rPr>
        <w:t>变更的范围</w:t>
      </w:r>
    </w:p>
    <w:p w14:paraId="584929EB">
      <w:pPr>
        <w:spacing w:before="136" w:line="227" w:lineRule="auto"/>
        <w:ind w:left="432"/>
        <w:rPr>
          <w:rFonts w:ascii="宋体" w:hAnsi="宋体" w:eastAsia="宋体" w:cs="宋体"/>
          <w:sz w:val="20"/>
          <w:szCs w:val="20"/>
        </w:rPr>
      </w:pPr>
      <w:r>
        <w:rPr>
          <w:rFonts w:ascii="宋体" w:hAnsi="宋体" w:eastAsia="宋体" w:cs="宋体"/>
          <w:spacing w:val="9"/>
          <w:sz w:val="20"/>
          <w:szCs w:val="20"/>
        </w:rPr>
        <w:t>除专用合同条款另有约定外，合同履行过程中发生以下情形的，应按照本条约定进行变更：</w:t>
      </w:r>
    </w:p>
    <w:p w14:paraId="292EA37B">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）增加或减少合同中任何工作，或追加额外的工作；</w:t>
      </w:r>
    </w:p>
    <w:p w14:paraId="20D25DAA">
      <w:pPr>
        <w:spacing w:before="151"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）取消合同中任何工作，但转由他人实施的工作除外；</w:t>
      </w:r>
    </w:p>
    <w:p w14:paraId="52E82AB5">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）改变合同中任何工作的质量标准或其他特性；</w:t>
      </w:r>
    </w:p>
    <w:p w14:paraId="092670B8">
      <w:pPr>
        <w:spacing w:before="154"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）改变工程的基线、标高、位置和尺寸；</w:t>
      </w:r>
    </w:p>
    <w:p w14:paraId="67B8B649">
      <w:pPr>
        <w:spacing w:before="152"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）改变工程的时间安排或实施顺序。</w:t>
      </w:r>
    </w:p>
    <w:p w14:paraId="73B21A99">
      <w:pPr>
        <w:pStyle w:val="2"/>
        <w:spacing w:before="127" w:line="222" w:lineRule="auto"/>
        <w:ind w:left="7"/>
        <w:rPr>
          <w:sz w:val="24"/>
          <w:szCs w:val="24"/>
        </w:rPr>
      </w:pPr>
      <w:r>
        <w:rPr>
          <w:rFonts w:ascii="Times New Roman" w:hAnsi="Times New Roman" w:eastAsia="Times New Roman" w:cs="Times New Roman"/>
          <w:b/>
          <w:bCs/>
          <w:spacing w:val="-6"/>
          <w:sz w:val="24"/>
          <w:szCs w:val="24"/>
        </w:rPr>
        <w:t>10.2</w:t>
      </w:r>
      <w:r>
        <w:rPr>
          <w:rFonts w:ascii="Times New Roman" w:hAnsi="Times New Roman" w:eastAsia="Times New Roman" w:cs="Times New Roman"/>
          <w:b/>
          <w:bCs/>
          <w:spacing w:val="19"/>
          <w:w w:val="101"/>
          <w:sz w:val="24"/>
          <w:szCs w:val="24"/>
        </w:rPr>
        <w:t xml:space="preserve"> </w:t>
      </w:r>
      <w:r>
        <w:rPr>
          <w:b/>
          <w:bCs/>
          <w:spacing w:val="-6"/>
          <w:sz w:val="24"/>
          <w:szCs w:val="24"/>
        </w:rPr>
        <w:t>变更权</w:t>
      </w:r>
    </w:p>
    <w:p w14:paraId="7B9912D5">
      <w:pPr>
        <w:spacing w:before="140" w:line="369" w:lineRule="auto"/>
        <w:ind w:right="52" w:firstLine="422"/>
        <w:jc w:val="both"/>
        <w:rPr>
          <w:rFonts w:ascii="宋体" w:hAnsi="宋体" w:eastAsia="宋体" w:cs="宋体"/>
          <w:sz w:val="20"/>
          <w:szCs w:val="20"/>
        </w:rPr>
      </w:pPr>
      <w:r>
        <w:rPr>
          <w:rFonts w:ascii="宋体" w:hAnsi="宋体" w:eastAsia="宋体" w:cs="宋体"/>
          <w:spacing w:val="10"/>
          <w:sz w:val="20"/>
          <w:szCs w:val="20"/>
        </w:rPr>
        <w:t>发包人和监理人均可以提出变更。变更指示均通过监理人发出</w:t>
      </w:r>
      <w:r>
        <w:rPr>
          <w:rFonts w:ascii="宋体" w:hAnsi="宋体" w:eastAsia="宋体" w:cs="宋体"/>
          <w:spacing w:val="9"/>
          <w:sz w:val="20"/>
          <w:szCs w:val="20"/>
        </w:rPr>
        <w:t>，监理人发出变更指示前应征</w:t>
      </w:r>
      <w:r>
        <w:rPr>
          <w:rFonts w:ascii="宋体" w:hAnsi="宋体" w:eastAsia="宋体" w:cs="宋体"/>
          <w:spacing w:val="10"/>
          <w:sz w:val="20"/>
          <w:szCs w:val="20"/>
        </w:rPr>
        <w:t>得发包人同意。承包人收到经发包人签认的变更指示后，方可实施变更</w:t>
      </w:r>
      <w:r>
        <w:rPr>
          <w:rFonts w:ascii="宋体" w:hAnsi="宋体" w:eastAsia="宋体" w:cs="宋体"/>
          <w:spacing w:val="9"/>
          <w:sz w:val="20"/>
          <w:szCs w:val="20"/>
        </w:rPr>
        <w:t>。未经许可，承包人不得</w:t>
      </w:r>
      <w:r>
        <w:rPr>
          <w:rFonts w:ascii="宋体" w:hAnsi="宋体" w:eastAsia="宋体" w:cs="宋体"/>
          <w:spacing w:val="8"/>
          <w:sz w:val="20"/>
          <w:szCs w:val="20"/>
        </w:rPr>
        <w:t>擅自对工程的任何部分进行变更。</w:t>
      </w:r>
    </w:p>
    <w:p w14:paraId="261CAD87">
      <w:pPr>
        <w:spacing w:before="2" w:line="356" w:lineRule="auto"/>
        <w:ind w:left="3" w:right="52" w:firstLine="418"/>
        <w:rPr>
          <w:rFonts w:ascii="宋体" w:hAnsi="宋体" w:eastAsia="宋体" w:cs="宋体"/>
          <w:sz w:val="20"/>
          <w:szCs w:val="20"/>
        </w:rPr>
      </w:pPr>
      <w:r>
        <w:rPr>
          <w:rFonts w:ascii="宋体" w:hAnsi="宋体" w:eastAsia="宋体" w:cs="宋体"/>
          <w:spacing w:val="10"/>
          <w:sz w:val="20"/>
          <w:szCs w:val="20"/>
        </w:rPr>
        <w:t>涉及设计变更的，应由设计人提供变更后的图纸和说明。如变更超</w:t>
      </w:r>
      <w:r>
        <w:rPr>
          <w:rFonts w:ascii="宋体" w:hAnsi="宋体" w:eastAsia="宋体" w:cs="宋体"/>
          <w:spacing w:val="9"/>
          <w:sz w:val="20"/>
          <w:szCs w:val="20"/>
        </w:rPr>
        <w:t>过原设计标准或批准的建设规模时，发包人应及时办理规划、设计变更等审批手续。</w:t>
      </w:r>
    </w:p>
    <w:p w14:paraId="1B42B76B">
      <w:pPr>
        <w:pStyle w:val="2"/>
        <w:spacing w:line="221" w:lineRule="auto"/>
        <w:ind w:left="7"/>
        <w:rPr>
          <w:sz w:val="24"/>
          <w:szCs w:val="24"/>
        </w:rPr>
      </w:pPr>
      <w:r>
        <w:rPr>
          <w:rFonts w:ascii="Times New Roman" w:hAnsi="Times New Roman" w:eastAsia="Times New Roman" w:cs="Times New Roman"/>
          <w:b/>
          <w:bCs/>
          <w:spacing w:val="-5"/>
          <w:sz w:val="24"/>
          <w:szCs w:val="24"/>
        </w:rPr>
        <w:t>10.3</w:t>
      </w:r>
      <w:r>
        <w:rPr>
          <w:rFonts w:ascii="Times New Roman" w:hAnsi="Times New Roman" w:eastAsia="Times New Roman" w:cs="Times New Roman"/>
          <w:b/>
          <w:bCs/>
          <w:spacing w:val="15"/>
          <w:sz w:val="24"/>
          <w:szCs w:val="24"/>
        </w:rPr>
        <w:t xml:space="preserve"> </w:t>
      </w:r>
      <w:r>
        <w:rPr>
          <w:b/>
          <w:bCs/>
          <w:spacing w:val="-5"/>
          <w:sz w:val="24"/>
          <w:szCs w:val="24"/>
        </w:rPr>
        <w:t>变更程序</w:t>
      </w:r>
    </w:p>
    <w:p w14:paraId="7E490F4E">
      <w:pPr>
        <w:spacing w:before="140" w:line="228" w:lineRule="auto"/>
        <w:ind w:left="436"/>
        <w:rPr>
          <w:rFonts w:ascii="宋体" w:hAnsi="宋体" w:eastAsia="宋体" w:cs="宋体"/>
          <w:sz w:val="20"/>
          <w:szCs w:val="20"/>
        </w:rPr>
      </w:pPr>
      <w:r>
        <w:rPr>
          <w:rFonts w:ascii="Times New Roman" w:hAnsi="Times New Roman" w:eastAsia="Times New Roman" w:cs="Times New Roman"/>
          <w:spacing w:val="4"/>
          <w:sz w:val="20"/>
          <w:szCs w:val="20"/>
        </w:rPr>
        <w:t xml:space="preserve">10.3.1  </w:t>
      </w:r>
      <w:r>
        <w:rPr>
          <w:rFonts w:ascii="宋体" w:hAnsi="宋体" w:eastAsia="宋体" w:cs="宋体"/>
          <w:spacing w:val="4"/>
          <w:sz w:val="20"/>
          <w:szCs w:val="20"/>
        </w:rPr>
        <w:t>发包人提出变更</w:t>
      </w:r>
    </w:p>
    <w:p w14:paraId="3279665F">
      <w:pPr>
        <w:spacing w:before="151" w:line="370" w:lineRule="auto"/>
        <w:ind w:left="5" w:right="52" w:firstLine="418"/>
        <w:rPr>
          <w:rFonts w:ascii="宋体" w:hAnsi="宋体" w:eastAsia="宋体" w:cs="宋体"/>
          <w:sz w:val="20"/>
          <w:szCs w:val="20"/>
        </w:rPr>
      </w:pPr>
      <w:r>
        <w:rPr>
          <w:rFonts w:ascii="宋体" w:hAnsi="宋体" w:eastAsia="宋体" w:cs="宋体"/>
          <w:spacing w:val="10"/>
          <w:sz w:val="20"/>
          <w:szCs w:val="20"/>
        </w:rPr>
        <w:t>发包人提出变更的，应通过监理人向承包人发出变更指示，变</w:t>
      </w:r>
      <w:r>
        <w:rPr>
          <w:rFonts w:ascii="宋体" w:hAnsi="宋体" w:eastAsia="宋体" w:cs="宋体"/>
          <w:spacing w:val="9"/>
          <w:sz w:val="20"/>
          <w:szCs w:val="20"/>
        </w:rPr>
        <w:t>更指示应说明计划变更的工程</w:t>
      </w:r>
      <w:r>
        <w:rPr>
          <w:rFonts w:ascii="宋体" w:hAnsi="宋体" w:eastAsia="宋体" w:cs="宋体"/>
          <w:spacing w:val="7"/>
          <w:sz w:val="20"/>
          <w:szCs w:val="20"/>
        </w:rPr>
        <w:t>范围和变更的内容。</w:t>
      </w:r>
    </w:p>
    <w:p w14:paraId="5385ADEA">
      <w:pPr>
        <w:spacing w:before="1" w:line="228" w:lineRule="auto"/>
        <w:ind w:left="436"/>
        <w:rPr>
          <w:rFonts w:ascii="宋体" w:hAnsi="宋体" w:eastAsia="宋体" w:cs="宋体"/>
          <w:sz w:val="20"/>
          <w:szCs w:val="20"/>
        </w:rPr>
      </w:pPr>
      <w:r>
        <w:rPr>
          <w:rFonts w:ascii="Times New Roman" w:hAnsi="Times New Roman" w:eastAsia="Times New Roman" w:cs="Times New Roman"/>
          <w:spacing w:val="5"/>
          <w:sz w:val="20"/>
          <w:szCs w:val="20"/>
        </w:rPr>
        <w:t xml:space="preserve">10.3.2  </w:t>
      </w:r>
      <w:r>
        <w:rPr>
          <w:rFonts w:ascii="宋体" w:hAnsi="宋体" w:eastAsia="宋体" w:cs="宋体"/>
          <w:spacing w:val="5"/>
          <w:sz w:val="20"/>
          <w:szCs w:val="20"/>
        </w:rPr>
        <w:t>监理人提出变更建议</w:t>
      </w:r>
    </w:p>
    <w:p w14:paraId="3999BA27">
      <w:pPr>
        <w:spacing w:before="151" w:line="369" w:lineRule="auto"/>
        <w:ind w:right="52" w:firstLine="420"/>
        <w:rPr>
          <w:rFonts w:ascii="宋体" w:hAnsi="宋体" w:eastAsia="宋体" w:cs="宋体"/>
          <w:sz w:val="20"/>
          <w:szCs w:val="20"/>
        </w:rPr>
      </w:pPr>
      <w:r>
        <w:rPr>
          <w:rFonts w:ascii="宋体" w:hAnsi="宋体" w:eastAsia="宋体" w:cs="宋体"/>
          <w:spacing w:val="10"/>
          <w:sz w:val="20"/>
          <w:szCs w:val="20"/>
        </w:rPr>
        <w:t>监理人提出变更建议的，需要向发包人以书面形式提出变更计划，</w:t>
      </w:r>
      <w:r>
        <w:rPr>
          <w:rFonts w:ascii="宋体" w:hAnsi="宋体" w:eastAsia="宋体" w:cs="宋体"/>
          <w:spacing w:val="9"/>
          <w:sz w:val="20"/>
          <w:szCs w:val="20"/>
        </w:rPr>
        <w:t>说明计划变更工程范围和</w:t>
      </w:r>
      <w:r>
        <w:rPr>
          <w:rFonts w:ascii="宋体" w:hAnsi="宋体" w:eastAsia="宋体" w:cs="宋体"/>
          <w:spacing w:val="8"/>
          <w:sz w:val="20"/>
          <w:szCs w:val="20"/>
        </w:rPr>
        <w:t>变更的内容、理由，</w:t>
      </w:r>
      <w:r>
        <w:rPr>
          <w:rFonts w:ascii="宋体" w:hAnsi="宋体" w:eastAsia="宋体" w:cs="宋体"/>
          <w:spacing w:val="-59"/>
          <w:sz w:val="20"/>
          <w:szCs w:val="20"/>
        </w:rPr>
        <w:t xml:space="preserve"> </w:t>
      </w:r>
      <w:r>
        <w:rPr>
          <w:rFonts w:ascii="宋体" w:hAnsi="宋体" w:eastAsia="宋体" w:cs="宋体"/>
          <w:spacing w:val="8"/>
          <w:sz w:val="20"/>
          <w:szCs w:val="20"/>
        </w:rPr>
        <w:t>以及实施该变更对合同价格和工期的影响。发包人同意</w:t>
      </w:r>
      <w:r>
        <w:rPr>
          <w:rFonts w:ascii="宋体" w:hAnsi="宋体" w:eastAsia="宋体" w:cs="宋体"/>
          <w:spacing w:val="7"/>
          <w:sz w:val="20"/>
          <w:szCs w:val="20"/>
        </w:rPr>
        <w:t>变更的，</w:t>
      </w:r>
      <w:r>
        <w:rPr>
          <w:rFonts w:ascii="宋体" w:hAnsi="宋体" w:eastAsia="宋体" w:cs="宋体"/>
          <w:spacing w:val="-58"/>
          <w:sz w:val="20"/>
          <w:szCs w:val="20"/>
        </w:rPr>
        <w:t xml:space="preserve"> </w:t>
      </w:r>
      <w:r>
        <w:rPr>
          <w:rFonts w:ascii="宋体" w:hAnsi="宋体" w:eastAsia="宋体" w:cs="宋体"/>
          <w:spacing w:val="7"/>
          <w:sz w:val="20"/>
          <w:szCs w:val="20"/>
        </w:rPr>
        <w:t>由监理人向</w:t>
      </w:r>
      <w:r>
        <w:rPr>
          <w:rFonts w:ascii="宋体" w:hAnsi="宋体" w:eastAsia="宋体" w:cs="宋体"/>
          <w:spacing w:val="9"/>
          <w:sz w:val="20"/>
          <w:szCs w:val="20"/>
        </w:rPr>
        <w:t>承包人发出变更指示。发包人不同意变更的，监理人无权擅自发出变更指示。</w:t>
      </w:r>
    </w:p>
    <w:p w14:paraId="5FB23CA7">
      <w:pPr>
        <w:spacing w:before="1" w:line="227" w:lineRule="auto"/>
        <w:ind w:left="436"/>
        <w:rPr>
          <w:rFonts w:ascii="宋体" w:hAnsi="宋体" w:eastAsia="宋体" w:cs="宋体"/>
          <w:sz w:val="20"/>
          <w:szCs w:val="20"/>
        </w:rPr>
      </w:pPr>
      <w:r>
        <w:rPr>
          <w:rFonts w:ascii="Times New Roman" w:hAnsi="Times New Roman" w:eastAsia="Times New Roman" w:cs="Times New Roman"/>
          <w:spacing w:val="3"/>
          <w:sz w:val="20"/>
          <w:szCs w:val="20"/>
        </w:rPr>
        <w:t xml:space="preserve">10.3.3  </w:t>
      </w:r>
      <w:r>
        <w:rPr>
          <w:rFonts w:ascii="宋体" w:hAnsi="宋体" w:eastAsia="宋体" w:cs="宋体"/>
          <w:spacing w:val="3"/>
          <w:sz w:val="20"/>
          <w:szCs w:val="20"/>
        </w:rPr>
        <w:t>变更执行</w:t>
      </w:r>
    </w:p>
    <w:p w14:paraId="22B82114">
      <w:pPr>
        <w:spacing w:before="154" w:line="361" w:lineRule="auto"/>
        <w:ind w:left="20" w:right="54" w:firstLine="399"/>
        <w:rPr>
          <w:rFonts w:ascii="宋体" w:hAnsi="宋体" w:eastAsia="宋体" w:cs="宋体"/>
          <w:sz w:val="20"/>
          <w:szCs w:val="20"/>
        </w:rPr>
      </w:pPr>
      <w:r>
        <w:rPr>
          <w:rFonts w:ascii="宋体" w:hAnsi="宋体" w:eastAsia="宋体" w:cs="宋体"/>
          <w:spacing w:val="10"/>
          <w:sz w:val="20"/>
          <w:szCs w:val="20"/>
        </w:rPr>
        <w:t>承包人收到监理人下达的变更指示后，认为不能执行，应立即提</w:t>
      </w:r>
      <w:r>
        <w:rPr>
          <w:rFonts w:ascii="宋体" w:hAnsi="宋体" w:eastAsia="宋体" w:cs="宋体"/>
          <w:spacing w:val="9"/>
          <w:sz w:val="20"/>
          <w:szCs w:val="20"/>
        </w:rPr>
        <w:t>出不能执行该变更指示的理由。承包人认为可以执行变更的，应当书面说明实施该变更指示对合同价格和工期的影响，且合</w:t>
      </w:r>
      <w:r>
        <w:rPr>
          <w:rFonts w:ascii="宋体" w:hAnsi="宋体" w:eastAsia="宋体" w:cs="宋体"/>
          <w:spacing w:val="7"/>
          <w:sz w:val="20"/>
          <w:szCs w:val="20"/>
        </w:rPr>
        <w:t>同当事人应当按照第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 xml:space="preserve">10.4 </w:t>
      </w:r>
      <w:r>
        <w:rPr>
          <w:rFonts w:ascii="宋体" w:hAnsi="宋体" w:eastAsia="宋体" w:cs="宋体"/>
          <w:spacing w:val="7"/>
          <w:sz w:val="20"/>
          <w:szCs w:val="20"/>
        </w:rPr>
        <w:t>款〔变更估价〕约定</w:t>
      </w:r>
      <w:r>
        <w:rPr>
          <w:rFonts w:ascii="宋体" w:hAnsi="宋体" w:eastAsia="宋体" w:cs="宋体"/>
          <w:spacing w:val="6"/>
          <w:sz w:val="20"/>
          <w:szCs w:val="20"/>
        </w:rPr>
        <w:t>确定变更估价。</w:t>
      </w:r>
    </w:p>
    <w:p w14:paraId="0AF6D552">
      <w:pPr>
        <w:pStyle w:val="2"/>
        <w:spacing w:before="1" w:line="221" w:lineRule="auto"/>
        <w:ind w:left="7"/>
        <w:rPr>
          <w:sz w:val="24"/>
          <w:szCs w:val="24"/>
        </w:rPr>
      </w:pPr>
      <w:r>
        <w:rPr>
          <w:rFonts w:ascii="Times New Roman" w:hAnsi="Times New Roman" w:eastAsia="Times New Roman" w:cs="Times New Roman"/>
          <w:b/>
          <w:bCs/>
          <w:spacing w:val="-5"/>
          <w:sz w:val="24"/>
          <w:szCs w:val="24"/>
        </w:rPr>
        <w:t>10.4</w:t>
      </w:r>
      <w:r>
        <w:rPr>
          <w:rFonts w:ascii="Times New Roman" w:hAnsi="Times New Roman" w:eastAsia="Times New Roman" w:cs="Times New Roman"/>
          <w:b/>
          <w:bCs/>
          <w:spacing w:val="15"/>
          <w:sz w:val="24"/>
          <w:szCs w:val="24"/>
        </w:rPr>
        <w:t xml:space="preserve"> </w:t>
      </w:r>
      <w:r>
        <w:rPr>
          <w:b/>
          <w:bCs/>
          <w:spacing w:val="-5"/>
          <w:sz w:val="24"/>
          <w:szCs w:val="24"/>
        </w:rPr>
        <w:t>变更估价</w:t>
      </w:r>
    </w:p>
    <w:p w14:paraId="33FD261C">
      <w:pPr>
        <w:spacing w:before="140" w:line="226" w:lineRule="auto"/>
        <w:ind w:left="436"/>
        <w:rPr>
          <w:rFonts w:ascii="宋体" w:hAnsi="宋体" w:eastAsia="宋体" w:cs="宋体"/>
          <w:sz w:val="20"/>
          <w:szCs w:val="20"/>
        </w:rPr>
      </w:pPr>
      <w:r>
        <w:rPr>
          <w:rFonts w:ascii="Times New Roman" w:hAnsi="Times New Roman" w:eastAsia="Times New Roman" w:cs="Times New Roman"/>
          <w:spacing w:val="4"/>
          <w:sz w:val="20"/>
          <w:szCs w:val="20"/>
        </w:rPr>
        <w:t xml:space="preserve">10.4.1  </w:t>
      </w:r>
      <w:r>
        <w:rPr>
          <w:rFonts w:ascii="宋体" w:hAnsi="宋体" w:eastAsia="宋体" w:cs="宋体"/>
          <w:spacing w:val="4"/>
          <w:sz w:val="20"/>
          <w:szCs w:val="20"/>
        </w:rPr>
        <w:t>变更估价原则</w:t>
      </w:r>
    </w:p>
    <w:p w14:paraId="2B3C905C">
      <w:pPr>
        <w:spacing w:before="153" w:line="226" w:lineRule="auto"/>
        <w:ind w:left="432"/>
        <w:rPr>
          <w:rFonts w:ascii="宋体" w:hAnsi="宋体" w:eastAsia="宋体" w:cs="宋体"/>
          <w:sz w:val="20"/>
          <w:szCs w:val="20"/>
        </w:rPr>
      </w:pPr>
      <w:r>
        <w:rPr>
          <w:rFonts w:ascii="宋体" w:hAnsi="宋体" w:eastAsia="宋体" w:cs="宋体"/>
          <w:spacing w:val="9"/>
          <w:sz w:val="20"/>
          <w:szCs w:val="20"/>
        </w:rPr>
        <w:t>除专用合同条款另有约定外，变更估价按照</w:t>
      </w:r>
      <w:r>
        <w:rPr>
          <w:rFonts w:ascii="宋体" w:hAnsi="宋体" w:eastAsia="宋体" w:cs="宋体"/>
          <w:spacing w:val="8"/>
          <w:sz w:val="20"/>
          <w:szCs w:val="20"/>
        </w:rPr>
        <w:t>本款约定处理：</w:t>
      </w:r>
    </w:p>
    <w:p w14:paraId="0C43E13F">
      <w:pPr>
        <w:spacing w:before="156" w:line="226"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w:t>
      </w:r>
      <w:r>
        <w:rPr>
          <w:rFonts w:ascii="宋体" w:hAnsi="宋体" w:eastAsia="宋体" w:cs="宋体"/>
          <w:spacing w:val="-59"/>
          <w:sz w:val="20"/>
          <w:szCs w:val="20"/>
        </w:rPr>
        <w:t xml:space="preserve"> </w:t>
      </w:r>
      <w:r>
        <w:rPr>
          <w:rFonts w:ascii="宋体" w:hAnsi="宋体" w:eastAsia="宋体" w:cs="宋体"/>
          <w:spacing w:val="8"/>
          <w:sz w:val="20"/>
          <w:szCs w:val="20"/>
        </w:rPr>
        <w:t>已标价工程量清单或预算书有相同项目</w:t>
      </w:r>
      <w:r>
        <w:rPr>
          <w:rFonts w:ascii="宋体" w:hAnsi="宋体" w:eastAsia="宋体" w:cs="宋体"/>
          <w:spacing w:val="7"/>
          <w:sz w:val="20"/>
          <w:szCs w:val="20"/>
        </w:rPr>
        <w:t>的，按照相同项目单价认定；</w:t>
      </w:r>
    </w:p>
    <w:p w14:paraId="60705F1C">
      <w:pPr>
        <w:spacing w:before="156" w:line="226" w:lineRule="auto"/>
        <w:jc w:val="right"/>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2</w:t>
      </w:r>
      <w:r>
        <w:rPr>
          <w:rFonts w:ascii="宋体" w:hAnsi="宋体" w:eastAsia="宋体" w:cs="宋体"/>
          <w:spacing w:val="3"/>
          <w:sz w:val="20"/>
          <w:szCs w:val="20"/>
        </w:rPr>
        <w:t>）已标价工程量清单或预算书中无相同项目，但有类似项目的，参照类似项目的单价认定；</w:t>
      </w:r>
    </w:p>
    <w:p w14:paraId="55B49CCE">
      <w:pPr>
        <w:spacing w:before="154" w:line="369" w:lineRule="auto"/>
        <w:ind w:right="54"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）变更导致实际完成的变更工程量与已标价工程量清单或预算书中列</w:t>
      </w:r>
      <w:r>
        <w:rPr>
          <w:rFonts w:ascii="宋体" w:hAnsi="宋体" w:eastAsia="宋体" w:cs="宋体"/>
          <w:spacing w:val="6"/>
          <w:sz w:val="20"/>
          <w:szCs w:val="20"/>
        </w:rPr>
        <w:t>明的该项目工程量的</w:t>
      </w:r>
      <w:r>
        <w:rPr>
          <w:rFonts w:ascii="宋体" w:hAnsi="宋体" w:eastAsia="宋体" w:cs="宋体"/>
          <w:spacing w:val="8"/>
          <w:sz w:val="20"/>
          <w:szCs w:val="20"/>
        </w:rPr>
        <w:t>变化幅度超过</w:t>
      </w:r>
      <w:r>
        <w:rPr>
          <w:rFonts w:ascii="宋体" w:hAnsi="宋体" w:eastAsia="宋体" w:cs="宋体"/>
          <w:spacing w:val="-2"/>
          <w:sz w:val="20"/>
          <w:szCs w:val="20"/>
        </w:rPr>
        <w:t xml:space="preserve"> </w:t>
      </w:r>
      <w:r>
        <w:rPr>
          <w:rFonts w:ascii="Times New Roman" w:hAnsi="Times New Roman" w:eastAsia="Times New Roman" w:cs="Times New Roman"/>
          <w:spacing w:val="8"/>
          <w:sz w:val="20"/>
          <w:szCs w:val="20"/>
        </w:rPr>
        <w:t>15%</w:t>
      </w:r>
      <w:r>
        <w:rPr>
          <w:rFonts w:ascii="宋体" w:hAnsi="宋体" w:eastAsia="宋体" w:cs="宋体"/>
          <w:spacing w:val="8"/>
          <w:sz w:val="20"/>
          <w:szCs w:val="20"/>
        </w:rPr>
        <w:t>的，或已标价工程量清单或预算书中无相同项目及类似项目单价的，按照合理的成本与利润构成的原则，</w:t>
      </w:r>
      <w:r>
        <w:rPr>
          <w:rFonts w:ascii="宋体" w:hAnsi="宋体" w:eastAsia="宋体" w:cs="宋体"/>
          <w:spacing w:val="-58"/>
          <w:sz w:val="20"/>
          <w:szCs w:val="20"/>
        </w:rPr>
        <w:t xml:space="preserve"> </w:t>
      </w:r>
      <w:r>
        <w:rPr>
          <w:rFonts w:ascii="宋体" w:hAnsi="宋体" w:eastAsia="宋体" w:cs="宋体"/>
          <w:spacing w:val="8"/>
          <w:sz w:val="20"/>
          <w:szCs w:val="20"/>
        </w:rPr>
        <w:t>由合同当事人按照第</w:t>
      </w:r>
      <w:r>
        <w:rPr>
          <w:rFonts w:ascii="宋体" w:hAnsi="宋体" w:eastAsia="宋体" w:cs="宋体"/>
          <w:spacing w:val="-44"/>
          <w:sz w:val="20"/>
          <w:szCs w:val="20"/>
        </w:rPr>
        <w:t xml:space="preserve"> </w:t>
      </w:r>
      <w:r>
        <w:rPr>
          <w:rFonts w:ascii="Times New Roman" w:hAnsi="Times New Roman" w:eastAsia="Times New Roman" w:cs="Times New Roman"/>
          <w:spacing w:val="8"/>
          <w:sz w:val="20"/>
          <w:szCs w:val="20"/>
        </w:rPr>
        <w:t xml:space="preserve">4.4 </w:t>
      </w:r>
      <w:r>
        <w:rPr>
          <w:rFonts w:ascii="宋体" w:hAnsi="宋体" w:eastAsia="宋体" w:cs="宋体"/>
          <w:spacing w:val="8"/>
          <w:sz w:val="20"/>
          <w:szCs w:val="20"/>
        </w:rPr>
        <w:t>款〔商定或确定〕确定变</w:t>
      </w:r>
      <w:r>
        <w:rPr>
          <w:rFonts w:ascii="宋体" w:hAnsi="宋体" w:eastAsia="宋体" w:cs="宋体"/>
          <w:spacing w:val="7"/>
          <w:sz w:val="20"/>
          <w:szCs w:val="20"/>
        </w:rPr>
        <w:t>更工作的单价。</w:t>
      </w:r>
    </w:p>
    <w:p w14:paraId="03A21444">
      <w:pPr>
        <w:spacing w:line="226" w:lineRule="auto"/>
        <w:ind w:left="436"/>
        <w:rPr>
          <w:rFonts w:ascii="宋体" w:hAnsi="宋体" w:eastAsia="宋体" w:cs="宋体"/>
          <w:sz w:val="20"/>
          <w:szCs w:val="20"/>
        </w:rPr>
      </w:pPr>
      <w:r>
        <w:rPr>
          <w:rFonts w:ascii="Times New Roman" w:hAnsi="Times New Roman" w:eastAsia="Times New Roman" w:cs="Times New Roman"/>
          <w:spacing w:val="4"/>
          <w:sz w:val="20"/>
          <w:szCs w:val="20"/>
        </w:rPr>
        <w:t xml:space="preserve">10.4.2  </w:t>
      </w:r>
      <w:r>
        <w:rPr>
          <w:rFonts w:ascii="宋体" w:hAnsi="宋体" w:eastAsia="宋体" w:cs="宋体"/>
          <w:spacing w:val="4"/>
          <w:sz w:val="20"/>
          <w:szCs w:val="20"/>
        </w:rPr>
        <w:t>变更估价程序</w:t>
      </w:r>
    </w:p>
    <w:p w14:paraId="0FEBBC40">
      <w:pPr>
        <w:spacing w:line="226" w:lineRule="auto"/>
        <w:rPr>
          <w:rFonts w:ascii="宋体" w:hAnsi="宋体" w:eastAsia="宋体" w:cs="宋体"/>
          <w:sz w:val="20"/>
          <w:szCs w:val="20"/>
        </w:rPr>
        <w:sectPr>
          <w:footerReference r:id="rId261" w:type="default"/>
          <w:pgSz w:w="11906" w:h="16839"/>
          <w:pgMar w:top="400" w:right="1502" w:bottom="1038" w:left="1539" w:header="0" w:footer="787" w:gutter="0"/>
          <w:cols w:space="720" w:num="1"/>
        </w:sectPr>
      </w:pPr>
    </w:p>
    <w:p w14:paraId="140D60E9">
      <w:pPr>
        <w:spacing w:line="271" w:lineRule="auto"/>
        <w:rPr>
          <w:rFonts w:ascii="Arial"/>
          <w:sz w:val="21"/>
        </w:rPr>
      </w:pPr>
    </w:p>
    <w:p w14:paraId="5050A8B5">
      <w:pPr>
        <w:spacing w:line="271" w:lineRule="auto"/>
        <w:rPr>
          <w:rFonts w:ascii="Arial"/>
          <w:sz w:val="21"/>
        </w:rPr>
      </w:pPr>
    </w:p>
    <w:p w14:paraId="6C3B9F2E">
      <w:pPr>
        <w:spacing w:line="272" w:lineRule="auto"/>
        <w:rPr>
          <w:rFonts w:ascii="Arial"/>
          <w:sz w:val="21"/>
        </w:rPr>
      </w:pPr>
    </w:p>
    <w:p w14:paraId="53663504">
      <w:pPr>
        <w:spacing w:line="272" w:lineRule="auto"/>
        <w:rPr>
          <w:rFonts w:ascii="Arial"/>
          <w:sz w:val="21"/>
        </w:rPr>
      </w:pPr>
    </w:p>
    <w:p w14:paraId="032AE2D3">
      <w:pPr>
        <w:spacing w:before="65" w:line="369" w:lineRule="auto"/>
        <w:ind w:firstLine="420"/>
        <w:jc w:val="both"/>
        <w:rPr>
          <w:rFonts w:ascii="宋体" w:hAnsi="宋体" w:eastAsia="宋体" w:cs="宋体"/>
          <w:sz w:val="20"/>
          <w:szCs w:val="20"/>
        </w:rPr>
      </w:pPr>
      <w:r>
        <w:rPr>
          <w:rFonts w:ascii="宋体" w:hAnsi="宋体" w:eastAsia="宋体" w:cs="宋体"/>
          <w:spacing w:val="6"/>
          <w:sz w:val="20"/>
          <w:szCs w:val="20"/>
        </w:rPr>
        <w:t>承包人应在收到变更指示后</w:t>
      </w:r>
      <w:r>
        <w:rPr>
          <w:rFonts w:ascii="宋体" w:hAnsi="宋体" w:eastAsia="宋体" w:cs="宋体"/>
          <w:spacing w:val="-12"/>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天内，向监理人提交变更估价申请。监理人应在收到承包人提</w:t>
      </w:r>
      <w:r>
        <w:rPr>
          <w:rFonts w:ascii="宋体" w:hAnsi="宋体" w:eastAsia="宋体" w:cs="宋体"/>
          <w:spacing w:val="9"/>
          <w:sz w:val="20"/>
          <w:szCs w:val="20"/>
        </w:rPr>
        <w:t>交的变更估价申请后</w:t>
      </w:r>
      <w:r>
        <w:rPr>
          <w:rFonts w:ascii="宋体" w:hAnsi="宋体" w:eastAsia="宋体" w:cs="宋体"/>
          <w:spacing w:val="-33"/>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天内审查完毕并报送发包人，监理人对变更估价申请有异议，通知承包人</w:t>
      </w:r>
      <w:r>
        <w:rPr>
          <w:rFonts w:ascii="宋体" w:hAnsi="宋体" w:eastAsia="宋体" w:cs="宋体"/>
          <w:spacing w:val="6"/>
          <w:sz w:val="20"/>
          <w:szCs w:val="20"/>
        </w:rPr>
        <w:t>修改后重新提交。发包人应在承包人提交变更估价申请后</w:t>
      </w:r>
      <w:r>
        <w:rPr>
          <w:rFonts w:ascii="宋体" w:hAnsi="宋体" w:eastAsia="宋体" w:cs="宋体"/>
          <w:spacing w:val="-13"/>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天内审批完毕。发包人逾期未完成审</w:t>
      </w:r>
      <w:r>
        <w:rPr>
          <w:rFonts w:ascii="宋体" w:hAnsi="宋体" w:eastAsia="宋体" w:cs="宋体"/>
          <w:spacing w:val="9"/>
          <w:sz w:val="20"/>
          <w:szCs w:val="20"/>
        </w:rPr>
        <w:t>批或未提出异议的，视为认可承包人提交的变更估价申请。</w:t>
      </w:r>
    </w:p>
    <w:p w14:paraId="500CF13F">
      <w:pPr>
        <w:spacing w:line="226" w:lineRule="auto"/>
        <w:ind w:left="437"/>
        <w:rPr>
          <w:rFonts w:ascii="宋体" w:hAnsi="宋体" w:eastAsia="宋体" w:cs="宋体"/>
          <w:sz w:val="20"/>
          <w:szCs w:val="20"/>
        </w:rPr>
      </w:pPr>
      <w:r>
        <w:rPr>
          <w:rFonts w:ascii="宋体" w:hAnsi="宋体" w:eastAsia="宋体" w:cs="宋体"/>
          <w:spacing w:val="8"/>
          <w:sz w:val="20"/>
          <w:szCs w:val="20"/>
        </w:rPr>
        <w:t>因变更引起的价格调整应计入最近一期的进度款中支付。</w:t>
      </w:r>
    </w:p>
    <w:p w14:paraId="086C841A">
      <w:pPr>
        <w:pStyle w:val="2"/>
        <w:spacing w:before="128" w:line="222" w:lineRule="auto"/>
        <w:ind w:left="9"/>
        <w:rPr>
          <w:sz w:val="24"/>
          <w:szCs w:val="24"/>
        </w:rPr>
      </w:pPr>
      <w:r>
        <w:rPr>
          <w:rFonts w:ascii="Times New Roman" w:hAnsi="Times New Roman" w:eastAsia="Times New Roman" w:cs="Times New Roman"/>
          <w:b/>
          <w:bCs/>
          <w:spacing w:val="-3"/>
          <w:sz w:val="24"/>
          <w:szCs w:val="24"/>
        </w:rPr>
        <w:t xml:space="preserve">10.5 </w:t>
      </w:r>
      <w:r>
        <w:rPr>
          <w:b/>
          <w:bCs/>
          <w:spacing w:val="-3"/>
          <w:sz w:val="24"/>
          <w:szCs w:val="24"/>
        </w:rPr>
        <w:t>承包人的合理化建议</w:t>
      </w:r>
    </w:p>
    <w:p w14:paraId="0B3CBB3A">
      <w:pPr>
        <w:spacing w:before="140" w:line="368" w:lineRule="auto"/>
        <w:ind w:left="6" w:firstLine="414"/>
        <w:rPr>
          <w:rFonts w:ascii="宋体" w:hAnsi="宋体" w:eastAsia="宋体" w:cs="宋体"/>
          <w:sz w:val="20"/>
          <w:szCs w:val="20"/>
        </w:rPr>
      </w:pPr>
      <w:r>
        <w:rPr>
          <w:rFonts w:ascii="宋体" w:hAnsi="宋体" w:eastAsia="宋体" w:cs="宋体"/>
          <w:spacing w:val="10"/>
          <w:sz w:val="20"/>
          <w:szCs w:val="20"/>
        </w:rPr>
        <w:t>承包人提出合理化建议的，应向监理人提交合理化建议说明，说明建</w:t>
      </w:r>
      <w:r>
        <w:rPr>
          <w:rFonts w:ascii="宋体" w:hAnsi="宋体" w:eastAsia="宋体" w:cs="宋体"/>
          <w:spacing w:val="9"/>
          <w:sz w:val="20"/>
          <w:szCs w:val="20"/>
        </w:rPr>
        <w:t>议的内容和理由，以及</w:t>
      </w:r>
      <w:r>
        <w:rPr>
          <w:rFonts w:ascii="宋体" w:hAnsi="宋体" w:eastAsia="宋体" w:cs="宋体"/>
          <w:spacing w:val="8"/>
          <w:sz w:val="20"/>
          <w:szCs w:val="20"/>
        </w:rPr>
        <w:t>实施该建议对合同价格和工期的影响。</w:t>
      </w:r>
    </w:p>
    <w:p w14:paraId="39BFC87C">
      <w:pPr>
        <w:spacing w:before="1" w:line="369" w:lineRule="auto"/>
        <w:ind w:firstLine="434"/>
        <w:jc w:val="both"/>
        <w:rPr>
          <w:rFonts w:ascii="宋体" w:hAnsi="宋体" w:eastAsia="宋体" w:cs="宋体"/>
          <w:sz w:val="20"/>
          <w:szCs w:val="20"/>
        </w:rPr>
      </w:pPr>
      <w:r>
        <w:rPr>
          <w:rFonts w:ascii="宋体" w:hAnsi="宋体" w:eastAsia="宋体" w:cs="宋体"/>
          <w:spacing w:val="10"/>
          <w:sz w:val="20"/>
          <w:szCs w:val="20"/>
        </w:rPr>
        <w:t>除专用合同条款另有约定外，监理人应在收到承包人提交的合理化建议后</w:t>
      </w:r>
      <w:r>
        <w:rPr>
          <w:rFonts w:ascii="Times New Roman" w:hAnsi="Times New Roman" w:eastAsia="Times New Roman" w:cs="Times New Roman"/>
          <w:spacing w:val="10"/>
          <w:sz w:val="20"/>
          <w:szCs w:val="20"/>
        </w:rPr>
        <w:t xml:space="preserve">7 </w:t>
      </w:r>
      <w:r>
        <w:rPr>
          <w:rFonts w:ascii="宋体" w:hAnsi="宋体" w:eastAsia="宋体" w:cs="宋体"/>
          <w:spacing w:val="10"/>
          <w:sz w:val="20"/>
          <w:szCs w:val="20"/>
        </w:rPr>
        <w:t>天内审查完毕并报送发包人，发现其中存在技术上的缺陷，应通知承包人修改。发包人应在收</w:t>
      </w:r>
      <w:r>
        <w:rPr>
          <w:rFonts w:ascii="宋体" w:hAnsi="宋体" w:eastAsia="宋体" w:cs="宋体"/>
          <w:spacing w:val="9"/>
          <w:sz w:val="20"/>
          <w:szCs w:val="20"/>
        </w:rPr>
        <w:t>到监理人报送的合</w:t>
      </w:r>
      <w:r>
        <w:rPr>
          <w:rFonts w:ascii="宋体" w:hAnsi="宋体" w:eastAsia="宋体" w:cs="宋体"/>
          <w:spacing w:val="8"/>
          <w:sz w:val="20"/>
          <w:szCs w:val="20"/>
        </w:rPr>
        <w:t>理化建议后</w:t>
      </w:r>
      <w:r>
        <w:rPr>
          <w:rFonts w:ascii="宋体" w:hAnsi="宋体" w:eastAsia="宋体" w:cs="宋体"/>
          <w:spacing w:val="-32"/>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天内审批完毕。合理化建议经发包人批准的，监理人应及时发出变更指示，</w:t>
      </w:r>
      <w:r>
        <w:rPr>
          <w:rFonts w:ascii="宋体" w:hAnsi="宋体" w:eastAsia="宋体" w:cs="宋体"/>
          <w:spacing w:val="-58"/>
          <w:sz w:val="20"/>
          <w:szCs w:val="20"/>
        </w:rPr>
        <w:t xml:space="preserve"> </w:t>
      </w:r>
      <w:r>
        <w:rPr>
          <w:rFonts w:ascii="宋体" w:hAnsi="宋体" w:eastAsia="宋体" w:cs="宋体"/>
          <w:spacing w:val="8"/>
          <w:sz w:val="20"/>
          <w:szCs w:val="20"/>
        </w:rPr>
        <w:t>由此引起的合同价格调整按照第</w:t>
      </w:r>
      <w:r>
        <w:rPr>
          <w:rFonts w:ascii="宋体" w:hAnsi="宋体" w:eastAsia="宋体" w:cs="宋体"/>
          <w:spacing w:val="-23"/>
          <w:sz w:val="20"/>
          <w:szCs w:val="20"/>
        </w:rPr>
        <w:t xml:space="preserve"> </w:t>
      </w:r>
      <w:r>
        <w:rPr>
          <w:rFonts w:ascii="Times New Roman" w:hAnsi="Times New Roman" w:eastAsia="Times New Roman" w:cs="Times New Roman"/>
          <w:spacing w:val="8"/>
          <w:sz w:val="20"/>
          <w:szCs w:val="20"/>
        </w:rPr>
        <w:t xml:space="preserve">10.4 </w:t>
      </w:r>
      <w:r>
        <w:rPr>
          <w:rFonts w:ascii="宋体" w:hAnsi="宋体" w:eastAsia="宋体" w:cs="宋体"/>
          <w:spacing w:val="8"/>
          <w:sz w:val="20"/>
          <w:szCs w:val="20"/>
        </w:rPr>
        <w:t>款〔变更</w:t>
      </w:r>
      <w:r>
        <w:rPr>
          <w:rFonts w:ascii="宋体" w:hAnsi="宋体" w:eastAsia="宋体" w:cs="宋体"/>
          <w:spacing w:val="7"/>
          <w:sz w:val="20"/>
          <w:szCs w:val="20"/>
        </w:rPr>
        <w:t>估价〕约定执行。发包人不同意变更的，监理人应书面通</w:t>
      </w:r>
      <w:r>
        <w:rPr>
          <w:rFonts w:ascii="宋体" w:hAnsi="宋体" w:eastAsia="宋体" w:cs="宋体"/>
          <w:spacing w:val="6"/>
          <w:sz w:val="20"/>
          <w:szCs w:val="20"/>
        </w:rPr>
        <w:t>知承包人。</w:t>
      </w:r>
    </w:p>
    <w:p w14:paraId="76831764">
      <w:pPr>
        <w:spacing w:before="1" w:line="357" w:lineRule="auto"/>
        <w:ind w:left="18" w:firstLine="403"/>
        <w:rPr>
          <w:rFonts w:ascii="宋体" w:hAnsi="宋体" w:eastAsia="宋体" w:cs="宋体"/>
          <w:sz w:val="20"/>
          <w:szCs w:val="20"/>
        </w:rPr>
      </w:pPr>
      <w:r>
        <w:rPr>
          <w:rFonts w:ascii="宋体" w:hAnsi="宋体" w:eastAsia="宋体" w:cs="宋体"/>
          <w:spacing w:val="10"/>
          <w:sz w:val="20"/>
          <w:szCs w:val="20"/>
        </w:rPr>
        <w:t>合理化建议降低了合同价格或者提高了工程经济效益的，发包人可</w:t>
      </w:r>
      <w:r>
        <w:rPr>
          <w:rFonts w:ascii="宋体" w:hAnsi="宋体" w:eastAsia="宋体" w:cs="宋体"/>
          <w:spacing w:val="9"/>
          <w:sz w:val="20"/>
          <w:szCs w:val="20"/>
        </w:rPr>
        <w:t>对承包人给予奖励，奖励</w:t>
      </w:r>
      <w:r>
        <w:rPr>
          <w:rFonts w:ascii="宋体" w:hAnsi="宋体" w:eastAsia="宋体" w:cs="宋体"/>
          <w:spacing w:val="7"/>
          <w:sz w:val="20"/>
          <w:szCs w:val="20"/>
        </w:rPr>
        <w:t>的方法和金额在专用合同条款中约定。</w:t>
      </w:r>
    </w:p>
    <w:p w14:paraId="4163D539">
      <w:pPr>
        <w:pStyle w:val="2"/>
        <w:spacing w:before="1" w:line="221" w:lineRule="auto"/>
        <w:ind w:left="9"/>
        <w:rPr>
          <w:sz w:val="24"/>
          <w:szCs w:val="24"/>
        </w:rPr>
      </w:pPr>
      <w:r>
        <w:rPr>
          <w:rFonts w:ascii="Times New Roman" w:hAnsi="Times New Roman" w:eastAsia="Times New Roman" w:cs="Times New Roman"/>
          <w:b/>
          <w:bCs/>
          <w:spacing w:val="-3"/>
          <w:sz w:val="24"/>
          <w:szCs w:val="24"/>
        </w:rPr>
        <w:t xml:space="preserve">10.6 </w:t>
      </w:r>
      <w:r>
        <w:rPr>
          <w:b/>
          <w:bCs/>
          <w:spacing w:val="-3"/>
          <w:sz w:val="24"/>
          <w:szCs w:val="24"/>
        </w:rPr>
        <w:t>变更引起的工期调整</w:t>
      </w:r>
    </w:p>
    <w:p w14:paraId="249A9F63">
      <w:pPr>
        <w:spacing w:before="136" w:line="358" w:lineRule="auto"/>
        <w:ind w:left="6" w:firstLine="431"/>
        <w:rPr>
          <w:rFonts w:ascii="宋体" w:hAnsi="宋体" w:eastAsia="宋体" w:cs="宋体"/>
          <w:sz w:val="20"/>
          <w:szCs w:val="20"/>
        </w:rPr>
      </w:pPr>
      <w:r>
        <w:rPr>
          <w:rFonts w:ascii="宋体" w:hAnsi="宋体" w:eastAsia="宋体" w:cs="宋体"/>
          <w:spacing w:val="5"/>
          <w:sz w:val="20"/>
          <w:szCs w:val="20"/>
        </w:rPr>
        <w:t>因变更引起工期变化的，合同当事人均可要求调整合同工期，由合同当事人按照第</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 xml:space="preserve">4.4 </w:t>
      </w:r>
      <w:r>
        <w:rPr>
          <w:rFonts w:ascii="宋体" w:hAnsi="宋体" w:eastAsia="宋体" w:cs="宋体"/>
          <w:spacing w:val="5"/>
          <w:sz w:val="20"/>
          <w:szCs w:val="20"/>
        </w:rPr>
        <w:t>款〔商</w:t>
      </w:r>
      <w:r>
        <w:rPr>
          <w:rFonts w:ascii="宋体" w:hAnsi="宋体" w:eastAsia="宋体" w:cs="宋体"/>
          <w:spacing w:val="9"/>
          <w:sz w:val="20"/>
          <w:szCs w:val="20"/>
        </w:rPr>
        <w:t>定或确定〕并参考工程所在地的工期定额标准确定增减工期天数。</w:t>
      </w:r>
    </w:p>
    <w:p w14:paraId="1FF2CF8A">
      <w:pPr>
        <w:pStyle w:val="2"/>
        <w:spacing w:before="1" w:line="221" w:lineRule="auto"/>
        <w:ind w:left="9"/>
        <w:rPr>
          <w:sz w:val="24"/>
          <w:szCs w:val="24"/>
        </w:rPr>
      </w:pPr>
      <w:r>
        <w:rPr>
          <w:rFonts w:ascii="Times New Roman" w:hAnsi="Times New Roman" w:eastAsia="Times New Roman" w:cs="Times New Roman"/>
          <w:b/>
          <w:bCs/>
          <w:spacing w:val="-6"/>
          <w:sz w:val="24"/>
          <w:szCs w:val="24"/>
        </w:rPr>
        <w:t>10.7</w:t>
      </w:r>
      <w:r>
        <w:rPr>
          <w:rFonts w:ascii="Times New Roman" w:hAnsi="Times New Roman" w:eastAsia="Times New Roman" w:cs="Times New Roman"/>
          <w:b/>
          <w:bCs/>
          <w:spacing w:val="19"/>
          <w:w w:val="101"/>
          <w:sz w:val="24"/>
          <w:szCs w:val="24"/>
        </w:rPr>
        <w:t xml:space="preserve"> </w:t>
      </w:r>
      <w:r>
        <w:rPr>
          <w:b/>
          <w:bCs/>
          <w:spacing w:val="-6"/>
          <w:sz w:val="24"/>
          <w:szCs w:val="24"/>
        </w:rPr>
        <w:t>暂估价</w:t>
      </w:r>
    </w:p>
    <w:p w14:paraId="26447FDA">
      <w:pPr>
        <w:spacing w:before="137" w:line="226" w:lineRule="auto"/>
        <w:ind w:right="13"/>
        <w:jc w:val="right"/>
        <w:rPr>
          <w:rFonts w:ascii="宋体" w:hAnsi="宋体" w:eastAsia="宋体" w:cs="宋体"/>
          <w:sz w:val="20"/>
          <w:szCs w:val="20"/>
        </w:rPr>
      </w:pPr>
      <w:r>
        <w:rPr>
          <w:rFonts w:ascii="宋体" w:hAnsi="宋体" w:eastAsia="宋体" w:cs="宋体"/>
          <w:spacing w:val="9"/>
          <w:sz w:val="20"/>
          <w:szCs w:val="20"/>
        </w:rPr>
        <w:t>暂估价专业分包工程、服务、材料和工程设备的明细由合同当事人在专用合同条款中约定。</w:t>
      </w:r>
    </w:p>
    <w:p w14:paraId="2B89CDD5">
      <w:pPr>
        <w:spacing w:before="156" w:line="226" w:lineRule="auto"/>
        <w:ind w:left="437"/>
        <w:rPr>
          <w:rFonts w:ascii="宋体" w:hAnsi="宋体" w:eastAsia="宋体" w:cs="宋体"/>
          <w:sz w:val="20"/>
          <w:szCs w:val="20"/>
        </w:rPr>
      </w:pPr>
      <w:r>
        <w:rPr>
          <w:rFonts w:ascii="Times New Roman" w:hAnsi="Times New Roman" w:eastAsia="Times New Roman" w:cs="Times New Roman"/>
          <w:spacing w:val="6"/>
          <w:sz w:val="20"/>
          <w:szCs w:val="20"/>
        </w:rPr>
        <w:t xml:space="preserve">10.7.1  </w:t>
      </w:r>
      <w:r>
        <w:rPr>
          <w:rFonts w:ascii="宋体" w:hAnsi="宋体" w:eastAsia="宋体" w:cs="宋体"/>
          <w:spacing w:val="6"/>
          <w:sz w:val="20"/>
          <w:szCs w:val="20"/>
        </w:rPr>
        <w:t>依法必须招标的暂估价项目</w:t>
      </w:r>
    </w:p>
    <w:p w14:paraId="11C76E51">
      <w:pPr>
        <w:spacing w:before="156" w:line="369" w:lineRule="auto"/>
        <w:ind w:left="3" w:firstLine="417"/>
        <w:rPr>
          <w:rFonts w:ascii="宋体" w:hAnsi="宋体" w:eastAsia="宋体" w:cs="宋体"/>
          <w:sz w:val="20"/>
          <w:szCs w:val="20"/>
        </w:rPr>
      </w:pPr>
      <w:r>
        <w:rPr>
          <w:rFonts w:ascii="宋体" w:hAnsi="宋体" w:eastAsia="宋体" w:cs="宋体"/>
          <w:spacing w:val="9"/>
          <w:sz w:val="20"/>
          <w:szCs w:val="20"/>
        </w:rPr>
        <w:t>对于依法必须招标的暂估价项目，采取以下第</w:t>
      </w:r>
      <w:r>
        <w:rPr>
          <w:rFonts w:ascii="宋体" w:hAnsi="宋体" w:eastAsia="宋体" w:cs="宋体"/>
          <w:spacing w:val="-23"/>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种方式确定。合同当事人也可以</w:t>
      </w:r>
      <w:r>
        <w:rPr>
          <w:rFonts w:ascii="宋体" w:hAnsi="宋体" w:eastAsia="宋体" w:cs="宋体"/>
          <w:spacing w:val="8"/>
          <w:sz w:val="20"/>
          <w:szCs w:val="20"/>
        </w:rPr>
        <w:t>在专用合同条款中选择其他招标方式。</w:t>
      </w:r>
    </w:p>
    <w:p w14:paraId="49704FD9">
      <w:pPr>
        <w:spacing w:before="1" w:line="368" w:lineRule="auto"/>
        <w:ind w:left="3" w:firstLine="418"/>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种方式：对于依法必须招标的暂估价项目，</w:t>
      </w:r>
      <w:r>
        <w:rPr>
          <w:rFonts w:ascii="宋体" w:hAnsi="宋体" w:eastAsia="宋体" w:cs="宋体"/>
          <w:spacing w:val="-58"/>
          <w:sz w:val="20"/>
          <w:szCs w:val="20"/>
        </w:rPr>
        <w:t xml:space="preserve"> </w:t>
      </w:r>
      <w:r>
        <w:rPr>
          <w:rFonts w:ascii="宋体" w:hAnsi="宋体" w:eastAsia="宋体" w:cs="宋体"/>
          <w:spacing w:val="8"/>
          <w:sz w:val="20"/>
          <w:szCs w:val="20"/>
        </w:rPr>
        <w:t>由承包人招标，对该暂估价</w:t>
      </w:r>
      <w:r>
        <w:rPr>
          <w:rFonts w:ascii="宋体" w:hAnsi="宋体" w:eastAsia="宋体" w:cs="宋体"/>
          <w:spacing w:val="7"/>
          <w:sz w:val="20"/>
          <w:szCs w:val="20"/>
        </w:rPr>
        <w:t>项目的确认和批准按照以下约定执行：</w:t>
      </w:r>
    </w:p>
    <w:p w14:paraId="673F057F">
      <w:pPr>
        <w:spacing w:before="1" w:line="369" w:lineRule="auto"/>
        <w:ind w:left="1"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）承包人应当根据施工进度计划，在招标工作启动前</w:t>
      </w:r>
      <w:r>
        <w:rPr>
          <w:rFonts w:ascii="宋体" w:hAnsi="宋体" w:eastAsia="宋体" w:cs="宋体"/>
          <w:spacing w:val="-6"/>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天将招标方案通过监理人报送发</w:t>
      </w:r>
      <w:r>
        <w:rPr>
          <w:rFonts w:ascii="宋体" w:hAnsi="宋体" w:eastAsia="宋体" w:cs="宋体"/>
          <w:spacing w:val="9"/>
          <w:sz w:val="20"/>
          <w:szCs w:val="20"/>
        </w:rPr>
        <w:t>包人审查，发包人应当在收到承包人报送的招标方案后</w:t>
      </w:r>
      <w:r>
        <w:rPr>
          <w:rFonts w:ascii="宋体" w:hAnsi="宋体" w:eastAsia="宋体" w:cs="宋体"/>
          <w:spacing w:val="-29"/>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天内批准或提出修改意见。承包人应当按照经过发包人批准的招标方案开展招标工作；</w:t>
      </w:r>
    </w:p>
    <w:p w14:paraId="0E3AFC51">
      <w:pPr>
        <w:spacing w:before="1" w:line="369" w:lineRule="auto"/>
        <w:ind w:left="1"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）承包人应当根据施工进度计划，提前</w:t>
      </w:r>
      <w:r>
        <w:rPr>
          <w:rFonts w:ascii="宋体" w:hAnsi="宋体" w:eastAsia="宋体" w:cs="宋体"/>
          <w:spacing w:val="-14"/>
          <w:sz w:val="20"/>
          <w:szCs w:val="20"/>
        </w:rPr>
        <w:t xml:space="preserve"> </w:t>
      </w:r>
      <w:r>
        <w:rPr>
          <w:rFonts w:ascii="Times New Roman" w:hAnsi="Times New Roman" w:eastAsia="Times New Roman" w:cs="Times New Roman"/>
          <w:spacing w:val="8"/>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天将招标文件通过监理人报送发包人审批，发</w:t>
      </w:r>
      <w:r>
        <w:rPr>
          <w:rFonts w:ascii="宋体" w:hAnsi="宋体" w:eastAsia="宋体" w:cs="宋体"/>
          <w:spacing w:val="9"/>
          <w:sz w:val="20"/>
          <w:szCs w:val="20"/>
        </w:rPr>
        <w:t>包人应当在收到承包人报送的相关文件后</w:t>
      </w:r>
      <w:r>
        <w:rPr>
          <w:rFonts w:ascii="宋体" w:hAnsi="宋体" w:eastAsia="宋体" w:cs="宋体"/>
          <w:spacing w:val="-26"/>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天内完成审批或提出修改意见；发包人有权确定最高</w:t>
      </w:r>
      <w:r>
        <w:rPr>
          <w:rFonts w:ascii="宋体" w:hAnsi="宋体" w:eastAsia="宋体" w:cs="宋体"/>
          <w:spacing w:val="8"/>
          <w:sz w:val="20"/>
          <w:szCs w:val="20"/>
        </w:rPr>
        <w:t>投标限价并按照法律规定参加评标；</w:t>
      </w:r>
    </w:p>
    <w:p w14:paraId="57C0E69C">
      <w:pPr>
        <w:spacing w:before="1" w:line="369" w:lineRule="auto"/>
        <w:ind w:left="1" w:right="2" w:firstLine="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）承包人与供应商、分包人在签订暂估价合同前，应当提前</w:t>
      </w:r>
      <w:r>
        <w:rPr>
          <w:rFonts w:ascii="宋体" w:hAnsi="宋体" w:eastAsia="宋体" w:cs="宋体"/>
          <w:spacing w:val="-34"/>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天将确定的中标候选供应商</w:t>
      </w:r>
      <w:r>
        <w:rPr>
          <w:rFonts w:ascii="宋体" w:hAnsi="宋体" w:eastAsia="宋体" w:cs="宋体"/>
          <w:spacing w:val="9"/>
          <w:sz w:val="20"/>
          <w:szCs w:val="20"/>
        </w:rPr>
        <w:t>或中标候选分包人的资料报送发包人，发包人应在收到资料后</w:t>
      </w:r>
      <w:r>
        <w:rPr>
          <w:rFonts w:ascii="宋体" w:hAnsi="宋体" w:eastAsia="宋体" w:cs="宋体"/>
          <w:spacing w:val="-39"/>
          <w:sz w:val="20"/>
          <w:szCs w:val="20"/>
        </w:rPr>
        <w:t xml:space="preserve"> </w:t>
      </w:r>
      <w:r>
        <w:rPr>
          <w:rFonts w:ascii="Times New Roman" w:hAnsi="Times New Roman" w:eastAsia="Times New Roman" w:cs="Times New Roman"/>
          <w:spacing w:val="9"/>
          <w:sz w:val="20"/>
          <w:szCs w:val="20"/>
        </w:rPr>
        <w:t>3</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天内与承包人共同</w:t>
      </w:r>
      <w:r>
        <w:rPr>
          <w:rFonts w:ascii="宋体" w:hAnsi="宋体" w:eastAsia="宋体" w:cs="宋体"/>
          <w:spacing w:val="8"/>
          <w:sz w:val="20"/>
          <w:szCs w:val="20"/>
        </w:rPr>
        <w:t>确定中标人；承包人应当在签订合同后</w:t>
      </w:r>
      <w:r>
        <w:rPr>
          <w:rFonts w:ascii="宋体" w:hAnsi="宋体" w:eastAsia="宋体" w:cs="宋体"/>
          <w:spacing w:val="-26"/>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天内，将暂估价合同副本报送发包人留存。</w:t>
      </w:r>
    </w:p>
    <w:p w14:paraId="54A44AD3">
      <w:pPr>
        <w:spacing w:line="226" w:lineRule="auto"/>
        <w:jc w:val="right"/>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30"/>
          <w:sz w:val="20"/>
          <w:szCs w:val="20"/>
        </w:rPr>
        <w:t xml:space="preserve"> </w:t>
      </w:r>
      <w:r>
        <w:rPr>
          <w:rFonts w:ascii="Times New Roman" w:hAnsi="Times New Roman" w:eastAsia="Times New Roman" w:cs="Times New Roman"/>
          <w:spacing w:val="8"/>
          <w:sz w:val="20"/>
          <w:szCs w:val="20"/>
        </w:rPr>
        <w:t xml:space="preserve">2 </w:t>
      </w:r>
      <w:r>
        <w:rPr>
          <w:rFonts w:ascii="宋体" w:hAnsi="宋体" w:eastAsia="宋体" w:cs="宋体"/>
          <w:spacing w:val="8"/>
          <w:sz w:val="20"/>
          <w:szCs w:val="20"/>
        </w:rPr>
        <w:t>种方式：对于依法必须招标的暂估价项目，</w:t>
      </w:r>
      <w:r>
        <w:rPr>
          <w:rFonts w:ascii="宋体" w:hAnsi="宋体" w:eastAsia="宋体" w:cs="宋体"/>
          <w:spacing w:val="-58"/>
          <w:sz w:val="20"/>
          <w:szCs w:val="20"/>
        </w:rPr>
        <w:t xml:space="preserve"> </w:t>
      </w:r>
      <w:r>
        <w:rPr>
          <w:rFonts w:ascii="宋体" w:hAnsi="宋体" w:eastAsia="宋体" w:cs="宋体"/>
          <w:spacing w:val="8"/>
          <w:sz w:val="20"/>
          <w:szCs w:val="20"/>
        </w:rPr>
        <w:t>由发包人和承包人共同招标确定暂估价供应</w:t>
      </w:r>
    </w:p>
    <w:p w14:paraId="40AB1884">
      <w:pPr>
        <w:spacing w:line="226" w:lineRule="auto"/>
        <w:rPr>
          <w:rFonts w:ascii="宋体" w:hAnsi="宋体" w:eastAsia="宋体" w:cs="宋体"/>
          <w:sz w:val="20"/>
          <w:szCs w:val="20"/>
        </w:rPr>
        <w:sectPr>
          <w:footerReference r:id="rId262" w:type="default"/>
          <w:pgSz w:w="11906" w:h="16839"/>
          <w:pgMar w:top="400" w:right="1554" w:bottom="1038" w:left="1537" w:header="0" w:footer="787" w:gutter="0"/>
          <w:cols w:space="720" w:num="1"/>
        </w:sectPr>
      </w:pPr>
    </w:p>
    <w:p w14:paraId="06AB6049">
      <w:pPr>
        <w:spacing w:line="272" w:lineRule="auto"/>
        <w:rPr>
          <w:rFonts w:ascii="Arial"/>
          <w:sz w:val="21"/>
        </w:rPr>
      </w:pPr>
    </w:p>
    <w:p w14:paraId="6A881228">
      <w:pPr>
        <w:spacing w:line="272" w:lineRule="auto"/>
        <w:rPr>
          <w:rFonts w:ascii="Arial"/>
          <w:sz w:val="21"/>
        </w:rPr>
      </w:pPr>
    </w:p>
    <w:p w14:paraId="7773FE87">
      <w:pPr>
        <w:spacing w:line="272" w:lineRule="auto"/>
        <w:rPr>
          <w:rFonts w:ascii="Arial"/>
          <w:sz w:val="21"/>
        </w:rPr>
      </w:pPr>
    </w:p>
    <w:p w14:paraId="5BAB7C6B">
      <w:pPr>
        <w:spacing w:line="272" w:lineRule="auto"/>
        <w:rPr>
          <w:rFonts w:ascii="Arial"/>
          <w:sz w:val="21"/>
        </w:rPr>
      </w:pPr>
    </w:p>
    <w:p w14:paraId="202B57D5">
      <w:pPr>
        <w:spacing w:before="65" w:line="369" w:lineRule="auto"/>
        <w:ind w:right="54" w:firstLine="3"/>
        <w:jc w:val="both"/>
        <w:rPr>
          <w:rFonts w:ascii="宋体" w:hAnsi="宋体" w:eastAsia="宋体" w:cs="宋体"/>
          <w:sz w:val="20"/>
          <w:szCs w:val="20"/>
        </w:rPr>
      </w:pPr>
      <w:r>
        <w:rPr>
          <w:rFonts w:ascii="宋体" w:hAnsi="宋体" w:eastAsia="宋体" w:cs="宋体"/>
          <w:spacing w:val="6"/>
          <w:sz w:val="20"/>
          <w:szCs w:val="20"/>
        </w:rPr>
        <w:t>商或分包人的，承包人应按照施工进度计划，在招标工作启动前</w:t>
      </w:r>
      <w:r>
        <w:rPr>
          <w:rFonts w:ascii="宋体" w:hAnsi="宋体" w:eastAsia="宋体" w:cs="宋体"/>
          <w:spacing w:val="-10"/>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天通知发包人，并提交暂估价</w:t>
      </w:r>
      <w:r>
        <w:rPr>
          <w:rFonts w:ascii="宋体" w:hAnsi="宋体" w:eastAsia="宋体" w:cs="宋体"/>
          <w:spacing w:val="9"/>
          <w:sz w:val="20"/>
          <w:szCs w:val="20"/>
        </w:rPr>
        <w:t>招标方案和工作分工。发包人应在收到后</w:t>
      </w:r>
      <w:r>
        <w:rPr>
          <w:rFonts w:ascii="宋体" w:hAnsi="宋体" w:eastAsia="宋体" w:cs="宋体"/>
          <w:spacing w:val="-30"/>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天内确认。确定中标人后，由发包人、承包人与中标</w:t>
      </w:r>
      <w:r>
        <w:rPr>
          <w:rFonts w:ascii="宋体" w:hAnsi="宋体" w:eastAsia="宋体" w:cs="宋体"/>
          <w:spacing w:val="8"/>
          <w:sz w:val="20"/>
          <w:szCs w:val="20"/>
        </w:rPr>
        <w:t>人共同签订暂估价合同。</w:t>
      </w:r>
    </w:p>
    <w:p w14:paraId="37F1CDE7">
      <w:pPr>
        <w:spacing w:line="226" w:lineRule="auto"/>
        <w:ind w:left="436"/>
        <w:rPr>
          <w:rFonts w:ascii="宋体" w:hAnsi="宋体" w:eastAsia="宋体" w:cs="宋体"/>
          <w:sz w:val="20"/>
          <w:szCs w:val="20"/>
        </w:rPr>
      </w:pPr>
      <w:r>
        <w:rPr>
          <w:rFonts w:ascii="Times New Roman" w:hAnsi="Times New Roman" w:eastAsia="Times New Roman" w:cs="Times New Roman"/>
          <w:spacing w:val="6"/>
          <w:sz w:val="20"/>
          <w:szCs w:val="20"/>
        </w:rPr>
        <w:t xml:space="preserve">10.7.2 </w:t>
      </w:r>
      <w:r>
        <w:rPr>
          <w:rFonts w:ascii="宋体" w:hAnsi="宋体" w:eastAsia="宋体" w:cs="宋体"/>
          <w:spacing w:val="6"/>
          <w:sz w:val="20"/>
          <w:szCs w:val="20"/>
        </w:rPr>
        <w:t>不属于依法必须招标的暂估价项目</w:t>
      </w:r>
    </w:p>
    <w:p w14:paraId="6ED4580F">
      <w:pPr>
        <w:spacing w:before="153" w:line="370" w:lineRule="auto"/>
        <w:ind w:right="54" w:firstLine="432"/>
        <w:rPr>
          <w:rFonts w:ascii="宋体" w:hAnsi="宋体" w:eastAsia="宋体" w:cs="宋体"/>
          <w:sz w:val="20"/>
          <w:szCs w:val="20"/>
        </w:rPr>
      </w:pPr>
      <w:r>
        <w:rPr>
          <w:rFonts w:ascii="宋体" w:hAnsi="宋体" w:eastAsia="宋体" w:cs="宋体"/>
          <w:spacing w:val="9"/>
          <w:sz w:val="20"/>
          <w:szCs w:val="20"/>
        </w:rPr>
        <w:t>除专用合同条款另有约定外，对于不属于依法</w:t>
      </w:r>
      <w:r>
        <w:rPr>
          <w:rFonts w:ascii="宋体" w:hAnsi="宋体" w:eastAsia="宋体" w:cs="宋体"/>
          <w:spacing w:val="8"/>
          <w:sz w:val="20"/>
          <w:szCs w:val="20"/>
        </w:rPr>
        <w:t>必须招标的暂估价项目，采取以下第</w:t>
      </w:r>
      <w:r>
        <w:rPr>
          <w:rFonts w:ascii="宋体" w:hAnsi="宋体" w:eastAsia="宋体" w:cs="宋体"/>
          <w:spacing w:val="-22"/>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种方式</w:t>
      </w:r>
      <w:r>
        <w:rPr>
          <w:rFonts w:ascii="宋体" w:hAnsi="宋体" w:eastAsia="宋体" w:cs="宋体"/>
          <w:spacing w:val="3"/>
          <w:sz w:val="20"/>
          <w:szCs w:val="20"/>
        </w:rPr>
        <w:t>确定：</w:t>
      </w:r>
    </w:p>
    <w:p w14:paraId="26246119">
      <w:pPr>
        <w:spacing w:line="226" w:lineRule="auto"/>
        <w:ind w:left="420"/>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10"/>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种方式：对于不属于依法必须招标的暂估价项目，按本项约定确认和批准：</w:t>
      </w:r>
    </w:p>
    <w:p w14:paraId="6DB22429">
      <w:pPr>
        <w:spacing w:before="154" w:line="369" w:lineRule="auto"/>
        <w:ind w:firstLine="429"/>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）承包人应根据施工进度计划，在签订暂估价项目的采购合同、分包合同前</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28 </w:t>
      </w:r>
      <w:r>
        <w:rPr>
          <w:rFonts w:ascii="宋体" w:hAnsi="宋体" w:eastAsia="宋体" w:cs="宋体"/>
          <w:spacing w:val="8"/>
          <w:sz w:val="20"/>
          <w:szCs w:val="20"/>
        </w:rPr>
        <w:t>天向监理</w:t>
      </w:r>
      <w:r>
        <w:rPr>
          <w:rFonts w:ascii="宋体" w:hAnsi="宋体" w:eastAsia="宋体" w:cs="宋体"/>
          <w:spacing w:val="6"/>
          <w:sz w:val="20"/>
          <w:szCs w:val="20"/>
        </w:rPr>
        <w:t>人提出书面申请。监理人应当在收到申请后</w:t>
      </w:r>
      <w:r>
        <w:rPr>
          <w:rFonts w:ascii="宋体" w:hAnsi="宋体" w:eastAsia="宋体" w:cs="宋体"/>
          <w:spacing w:val="-39"/>
          <w:sz w:val="20"/>
          <w:szCs w:val="20"/>
        </w:rPr>
        <w:t xml:space="preserve"> </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天内报送发包人，发包人应当</w:t>
      </w:r>
      <w:r>
        <w:rPr>
          <w:rFonts w:ascii="宋体" w:hAnsi="宋体" w:eastAsia="宋体" w:cs="宋体"/>
          <w:spacing w:val="5"/>
          <w:sz w:val="20"/>
          <w:szCs w:val="20"/>
        </w:rPr>
        <w:t>在收到申请后</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 xml:space="preserve">14 </w:t>
      </w:r>
      <w:r>
        <w:rPr>
          <w:rFonts w:ascii="宋体" w:hAnsi="宋体" w:eastAsia="宋体" w:cs="宋体"/>
          <w:spacing w:val="5"/>
          <w:sz w:val="20"/>
          <w:szCs w:val="20"/>
        </w:rPr>
        <w:t>天内</w:t>
      </w:r>
      <w:r>
        <w:rPr>
          <w:rFonts w:ascii="宋体" w:hAnsi="宋体" w:eastAsia="宋体" w:cs="宋体"/>
          <w:spacing w:val="6"/>
          <w:sz w:val="20"/>
          <w:szCs w:val="20"/>
        </w:rPr>
        <w:t>给予批准或提出修改意见，发包人逾期未予批准或提出修改意见的，视为该书面申请已获得同意；</w:t>
      </w:r>
    </w:p>
    <w:p w14:paraId="071036AE">
      <w:pPr>
        <w:spacing w:before="1" w:line="368" w:lineRule="auto"/>
        <w:ind w:right="54" w:firstLine="429"/>
        <w:rPr>
          <w:rFonts w:ascii="Times New Roman" w:hAnsi="Times New Roman" w:eastAsia="Times New Roman" w:cs="Times New Roman"/>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）发包人认为承包人确定的供应商、分包人无法满足工程质量或合同</w:t>
      </w:r>
      <w:r>
        <w:rPr>
          <w:rFonts w:ascii="宋体" w:hAnsi="宋体" w:eastAsia="宋体" w:cs="宋体"/>
          <w:spacing w:val="6"/>
          <w:sz w:val="20"/>
          <w:szCs w:val="20"/>
        </w:rPr>
        <w:t>要求的，发包人可以</w:t>
      </w:r>
      <w:r>
        <w:rPr>
          <w:rFonts w:ascii="宋体" w:hAnsi="宋体" w:eastAsia="宋体" w:cs="宋体"/>
          <w:spacing w:val="9"/>
          <w:sz w:val="20"/>
          <w:szCs w:val="20"/>
        </w:rPr>
        <w:t>要求承包人重新确定暂估价项目的供应商、分包人</w:t>
      </w:r>
      <w:r>
        <w:rPr>
          <w:rFonts w:ascii="Times New Roman" w:hAnsi="Times New Roman" w:eastAsia="Times New Roman" w:cs="Times New Roman"/>
          <w:spacing w:val="9"/>
          <w:sz w:val="20"/>
          <w:szCs w:val="20"/>
        </w:rPr>
        <w:t>;</w:t>
      </w:r>
    </w:p>
    <w:p w14:paraId="58E90EFF">
      <w:pPr>
        <w:spacing w:before="2" w:line="226"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）承包人应当在签订暂估价合同后</w:t>
      </w:r>
      <w:r>
        <w:rPr>
          <w:rFonts w:ascii="宋体" w:hAnsi="宋体" w:eastAsia="宋体" w:cs="宋体"/>
          <w:spacing w:val="-30"/>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天内，将暂估价合同副本报送发包人留存。</w:t>
      </w:r>
    </w:p>
    <w:p w14:paraId="5D0E6617">
      <w:pPr>
        <w:spacing w:before="153" w:line="370" w:lineRule="auto"/>
        <w:ind w:left="6" w:right="54" w:firstLine="413"/>
        <w:rPr>
          <w:rFonts w:ascii="宋体" w:hAnsi="宋体" w:eastAsia="宋体" w:cs="宋体"/>
          <w:sz w:val="20"/>
          <w:szCs w:val="20"/>
        </w:rPr>
      </w:pPr>
      <w:r>
        <w:rPr>
          <w:rFonts w:ascii="宋体" w:hAnsi="宋体" w:eastAsia="宋体" w:cs="宋体"/>
          <w:spacing w:val="7"/>
          <w:sz w:val="20"/>
          <w:szCs w:val="20"/>
        </w:rPr>
        <w:t>第</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 </w:t>
      </w:r>
      <w:r>
        <w:rPr>
          <w:rFonts w:ascii="宋体" w:hAnsi="宋体" w:eastAsia="宋体" w:cs="宋体"/>
          <w:spacing w:val="7"/>
          <w:sz w:val="20"/>
          <w:szCs w:val="20"/>
        </w:rPr>
        <w:t>种方式：承包人按照第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10.7.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项〔依法必须</w:t>
      </w:r>
      <w:r>
        <w:rPr>
          <w:rFonts w:ascii="宋体" w:hAnsi="宋体" w:eastAsia="宋体" w:cs="宋体"/>
          <w:spacing w:val="6"/>
          <w:sz w:val="20"/>
          <w:szCs w:val="20"/>
        </w:rPr>
        <w:t>招标的暂估价项目〕约定的第</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种方式确定</w:t>
      </w:r>
      <w:r>
        <w:rPr>
          <w:rFonts w:ascii="宋体" w:hAnsi="宋体" w:eastAsia="宋体" w:cs="宋体"/>
          <w:spacing w:val="5"/>
          <w:sz w:val="20"/>
          <w:szCs w:val="20"/>
        </w:rPr>
        <w:t>暂估价项目。</w:t>
      </w:r>
    </w:p>
    <w:p w14:paraId="08925856">
      <w:pPr>
        <w:spacing w:line="226" w:lineRule="auto"/>
        <w:ind w:left="420"/>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31"/>
          <w:sz w:val="20"/>
          <w:szCs w:val="20"/>
        </w:rPr>
        <w:t xml:space="preserve"> </w:t>
      </w: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种方式：承包人直接实施的暂估价项目</w:t>
      </w:r>
    </w:p>
    <w:p w14:paraId="5215286E">
      <w:pPr>
        <w:spacing w:before="154" w:line="370" w:lineRule="auto"/>
        <w:ind w:left="3" w:right="52" w:firstLine="416"/>
        <w:rPr>
          <w:rFonts w:ascii="宋体" w:hAnsi="宋体" w:eastAsia="宋体" w:cs="宋体"/>
          <w:sz w:val="20"/>
          <w:szCs w:val="20"/>
        </w:rPr>
      </w:pPr>
      <w:r>
        <w:rPr>
          <w:rFonts w:ascii="宋体" w:hAnsi="宋体" w:eastAsia="宋体" w:cs="宋体"/>
          <w:spacing w:val="10"/>
          <w:sz w:val="20"/>
          <w:szCs w:val="20"/>
        </w:rPr>
        <w:t>承包人具备实施暂估价项目的资格和条件的，经发包人和承包人协商</w:t>
      </w:r>
      <w:r>
        <w:rPr>
          <w:rFonts w:ascii="宋体" w:hAnsi="宋体" w:eastAsia="宋体" w:cs="宋体"/>
          <w:spacing w:val="9"/>
          <w:sz w:val="20"/>
          <w:szCs w:val="20"/>
        </w:rPr>
        <w:t>一致后，可由承包人自行实施暂估价项目，合同当事人可以在专用合同条款约定具体事项。</w:t>
      </w:r>
    </w:p>
    <w:p w14:paraId="1FFEF485">
      <w:pPr>
        <w:spacing w:line="361" w:lineRule="auto"/>
        <w:ind w:left="2" w:right="54" w:firstLine="433"/>
        <w:jc w:val="both"/>
        <w:rPr>
          <w:rFonts w:ascii="宋体" w:hAnsi="宋体" w:eastAsia="宋体" w:cs="宋体"/>
          <w:sz w:val="20"/>
          <w:szCs w:val="20"/>
        </w:rPr>
      </w:pPr>
      <w:r>
        <w:rPr>
          <w:rFonts w:ascii="Times New Roman" w:hAnsi="Times New Roman" w:eastAsia="Times New Roman" w:cs="Times New Roman"/>
          <w:spacing w:val="8"/>
          <w:sz w:val="20"/>
          <w:szCs w:val="20"/>
        </w:rPr>
        <w:t xml:space="preserve">10.7.3  </w:t>
      </w:r>
      <w:r>
        <w:rPr>
          <w:rFonts w:ascii="宋体" w:hAnsi="宋体" w:eastAsia="宋体" w:cs="宋体"/>
          <w:spacing w:val="8"/>
          <w:sz w:val="20"/>
          <w:szCs w:val="20"/>
        </w:rPr>
        <w:t>因发包人原因导致暂估价合同订立和履行迟延的，由此增加的费用和（或）延误的工</w:t>
      </w:r>
      <w:r>
        <w:rPr>
          <w:rFonts w:ascii="宋体" w:hAnsi="宋体" w:eastAsia="宋体" w:cs="宋体"/>
          <w:spacing w:val="10"/>
          <w:sz w:val="20"/>
          <w:szCs w:val="20"/>
        </w:rPr>
        <w:t>期由发包人承担，并支付承包人合理的利润。因承包人原因导</w:t>
      </w:r>
      <w:r>
        <w:rPr>
          <w:rFonts w:ascii="宋体" w:hAnsi="宋体" w:eastAsia="宋体" w:cs="宋体"/>
          <w:spacing w:val="9"/>
          <w:sz w:val="20"/>
          <w:szCs w:val="20"/>
        </w:rPr>
        <w:t>致暂估价合同订立和履行迟延的，由此增加的费用和（或）延误的工期由承包人承</w:t>
      </w:r>
      <w:r>
        <w:rPr>
          <w:rFonts w:ascii="宋体" w:hAnsi="宋体" w:eastAsia="宋体" w:cs="宋体"/>
          <w:spacing w:val="8"/>
          <w:sz w:val="20"/>
          <w:szCs w:val="20"/>
        </w:rPr>
        <w:t>担。</w:t>
      </w:r>
    </w:p>
    <w:p w14:paraId="346024EB">
      <w:pPr>
        <w:pStyle w:val="2"/>
        <w:spacing w:before="1" w:line="221" w:lineRule="auto"/>
        <w:ind w:left="7"/>
        <w:rPr>
          <w:sz w:val="24"/>
          <w:szCs w:val="24"/>
        </w:rPr>
      </w:pPr>
      <w:r>
        <w:rPr>
          <w:rFonts w:ascii="Times New Roman" w:hAnsi="Times New Roman" w:eastAsia="Times New Roman" w:cs="Times New Roman"/>
          <w:b/>
          <w:bCs/>
          <w:spacing w:val="-6"/>
          <w:sz w:val="24"/>
          <w:szCs w:val="24"/>
        </w:rPr>
        <w:t>10.8</w:t>
      </w:r>
      <w:r>
        <w:rPr>
          <w:rFonts w:ascii="Times New Roman" w:hAnsi="Times New Roman" w:eastAsia="Times New Roman" w:cs="Times New Roman"/>
          <w:b/>
          <w:bCs/>
          <w:spacing w:val="23"/>
          <w:sz w:val="24"/>
          <w:szCs w:val="24"/>
        </w:rPr>
        <w:t xml:space="preserve"> </w:t>
      </w:r>
      <w:r>
        <w:rPr>
          <w:b/>
          <w:bCs/>
          <w:spacing w:val="-6"/>
          <w:sz w:val="24"/>
          <w:szCs w:val="24"/>
        </w:rPr>
        <w:t>暂列金额</w:t>
      </w:r>
    </w:p>
    <w:p w14:paraId="2E3143B0">
      <w:pPr>
        <w:spacing w:before="136" w:line="358" w:lineRule="auto"/>
        <w:ind w:left="1" w:right="54" w:firstLine="424"/>
        <w:rPr>
          <w:rFonts w:ascii="宋体" w:hAnsi="宋体" w:eastAsia="宋体" w:cs="宋体"/>
          <w:sz w:val="20"/>
          <w:szCs w:val="20"/>
        </w:rPr>
      </w:pPr>
      <w:r>
        <w:rPr>
          <w:rFonts w:ascii="宋体" w:hAnsi="宋体" w:eastAsia="宋体" w:cs="宋体"/>
          <w:spacing w:val="10"/>
          <w:sz w:val="20"/>
          <w:szCs w:val="20"/>
        </w:rPr>
        <w:t>暂列金额应按照发包人的要求使用，发包人的要求</w:t>
      </w:r>
      <w:r>
        <w:rPr>
          <w:rFonts w:ascii="宋体" w:hAnsi="宋体" w:eastAsia="宋体" w:cs="宋体"/>
          <w:spacing w:val="9"/>
          <w:sz w:val="20"/>
          <w:szCs w:val="20"/>
        </w:rPr>
        <w:t>应通过监理人发出。合同当事人可以在专</w:t>
      </w:r>
      <w:r>
        <w:rPr>
          <w:rFonts w:ascii="宋体" w:hAnsi="宋体" w:eastAsia="宋体" w:cs="宋体"/>
          <w:spacing w:val="8"/>
          <w:sz w:val="20"/>
          <w:szCs w:val="20"/>
        </w:rPr>
        <w:t>用合同条款中协商确定有关事项。</w:t>
      </w:r>
    </w:p>
    <w:p w14:paraId="615FAF89">
      <w:pPr>
        <w:pStyle w:val="2"/>
        <w:spacing w:line="224" w:lineRule="auto"/>
        <w:ind w:left="7"/>
        <w:rPr>
          <w:sz w:val="24"/>
          <w:szCs w:val="24"/>
        </w:rPr>
      </w:pPr>
      <w:r>
        <w:rPr>
          <w:rFonts w:ascii="Times New Roman" w:hAnsi="Times New Roman" w:eastAsia="Times New Roman" w:cs="Times New Roman"/>
          <w:b/>
          <w:bCs/>
          <w:spacing w:val="-5"/>
          <w:sz w:val="24"/>
          <w:szCs w:val="24"/>
        </w:rPr>
        <w:t>10.9</w:t>
      </w:r>
      <w:r>
        <w:rPr>
          <w:rFonts w:ascii="Times New Roman" w:hAnsi="Times New Roman" w:eastAsia="Times New Roman" w:cs="Times New Roman"/>
          <w:b/>
          <w:bCs/>
          <w:spacing w:val="12"/>
          <w:sz w:val="24"/>
          <w:szCs w:val="24"/>
        </w:rPr>
        <w:t xml:space="preserve"> </w:t>
      </w:r>
      <w:r>
        <w:rPr>
          <w:b/>
          <w:bCs/>
          <w:spacing w:val="-5"/>
          <w:sz w:val="24"/>
          <w:szCs w:val="24"/>
        </w:rPr>
        <w:t>计日工</w:t>
      </w:r>
    </w:p>
    <w:p w14:paraId="604F24AD">
      <w:pPr>
        <w:spacing w:before="135" w:line="369" w:lineRule="auto"/>
        <w:ind w:right="52" w:firstLine="431"/>
        <w:jc w:val="both"/>
        <w:rPr>
          <w:rFonts w:ascii="宋体" w:hAnsi="宋体" w:eastAsia="宋体" w:cs="宋体"/>
          <w:sz w:val="20"/>
          <w:szCs w:val="20"/>
        </w:rPr>
      </w:pPr>
      <w:r>
        <w:rPr>
          <w:rFonts w:ascii="宋体" w:hAnsi="宋体" w:eastAsia="宋体" w:cs="宋体"/>
          <w:spacing w:val="8"/>
          <w:sz w:val="20"/>
          <w:szCs w:val="20"/>
        </w:rPr>
        <w:t>需要采用计日工方式的，经发包人同意后，</w:t>
      </w:r>
      <w:r>
        <w:rPr>
          <w:rFonts w:ascii="宋体" w:hAnsi="宋体" w:eastAsia="宋体" w:cs="宋体"/>
          <w:spacing w:val="-41"/>
          <w:sz w:val="20"/>
          <w:szCs w:val="20"/>
        </w:rPr>
        <w:t xml:space="preserve"> </w:t>
      </w:r>
      <w:r>
        <w:rPr>
          <w:rFonts w:ascii="宋体" w:hAnsi="宋体" w:eastAsia="宋体" w:cs="宋体"/>
          <w:spacing w:val="8"/>
          <w:sz w:val="20"/>
          <w:szCs w:val="20"/>
        </w:rPr>
        <w:t>由监理人通知承包人以计日工计价方式实施相应</w:t>
      </w:r>
      <w:r>
        <w:rPr>
          <w:rFonts w:ascii="宋体" w:hAnsi="宋体" w:eastAsia="宋体" w:cs="宋体"/>
          <w:spacing w:val="9"/>
          <w:sz w:val="20"/>
          <w:szCs w:val="20"/>
        </w:rPr>
        <w:t>的工作，其价款按列入已标价工程量清单或预算书中的计日工计价项目及</w:t>
      </w:r>
      <w:r>
        <w:rPr>
          <w:rFonts w:ascii="宋体" w:hAnsi="宋体" w:eastAsia="宋体" w:cs="宋体"/>
          <w:spacing w:val="8"/>
          <w:sz w:val="20"/>
          <w:szCs w:val="20"/>
        </w:rPr>
        <w:t>其单价进行计算；</w:t>
      </w:r>
      <w:r>
        <w:rPr>
          <w:rFonts w:ascii="宋体" w:hAnsi="宋体" w:eastAsia="宋体" w:cs="宋体"/>
          <w:spacing w:val="-58"/>
          <w:sz w:val="20"/>
          <w:szCs w:val="20"/>
        </w:rPr>
        <w:t xml:space="preserve"> </w:t>
      </w:r>
      <w:r>
        <w:rPr>
          <w:rFonts w:ascii="宋体" w:hAnsi="宋体" w:eastAsia="宋体" w:cs="宋体"/>
          <w:spacing w:val="8"/>
          <w:sz w:val="20"/>
          <w:szCs w:val="20"/>
        </w:rPr>
        <w:t>已标</w:t>
      </w:r>
      <w:r>
        <w:rPr>
          <w:rFonts w:ascii="宋体" w:hAnsi="宋体" w:eastAsia="宋体" w:cs="宋体"/>
          <w:spacing w:val="10"/>
          <w:sz w:val="20"/>
          <w:szCs w:val="20"/>
        </w:rPr>
        <w:t>价工程量清单或预算书中无相应的计日工单价的，按照合理的成本与利润</w:t>
      </w:r>
      <w:r>
        <w:rPr>
          <w:rFonts w:ascii="宋体" w:hAnsi="宋体" w:eastAsia="宋体" w:cs="宋体"/>
          <w:spacing w:val="9"/>
          <w:sz w:val="20"/>
          <w:szCs w:val="20"/>
        </w:rPr>
        <w:t>构成的原则，由合同当</w:t>
      </w:r>
      <w:r>
        <w:rPr>
          <w:rFonts w:ascii="宋体" w:hAnsi="宋体" w:eastAsia="宋体" w:cs="宋体"/>
          <w:spacing w:val="8"/>
          <w:sz w:val="20"/>
          <w:szCs w:val="20"/>
        </w:rPr>
        <w:t>事人按照第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4.4 </w:t>
      </w:r>
      <w:r>
        <w:rPr>
          <w:rFonts w:ascii="宋体" w:hAnsi="宋体" w:eastAsia="宋体" w:cs="宋体"/>
          <w:spacing w:val="8"/>
          <w:sz w:val="20"/>
          <w:szCs w:val="20"/>
        </w:rPr>
        <w:t>款〔商定或确定〕确定计日工的单价。</w:t>
      </w:r>
    </w:p>
    <w:p w14:paraId="5B8DF901">
      <w:pPr>
        <w:spacing w:before="2" w:line="368" w:lineRule="auto"/>
        <w:ind w:left="3" w:right="52" w:firstLine="415"/>
        <w:rPr>
          <w:rFonts w:ascii="宋体" w:hAnsi="宋体" w:eastAsia="宋体" w:cs="宋体"/>
          <w:sz w:val="20"/>
          <w:szCs w:val="20"/>
        </w:rPr>
      </w:pPr>
      <w:r>
        <w:rPr>
          <w:rFonts w:ascii="宋体" w:hAnsi="宋体" w:eastAsia="宋体" w:cs="宋体"/>
          <w:spacing w:val="10"/>
          <w:sz w:val="20"/>
          <w:szCs w:val="20"/>
        </w:rPr>
        <w:t>采用计日工计价的任何一项工作，承包人应在该项工作实施过程中，每</w:t>
      </w:r>
      <w:r>
        <w:rPr>
          <w:rFonts w:ascii="宋体" w:hAnsi="宋体" w:eastAsia="宋体" w:cs="宋体"/>
          <w:spacing w:val="9"/>
          <w:sz w:val="20"/>
          <w:szCs w:val="20"/>
        </w:rPr>
        <w:t>天提交以下报表和有</w:t>
      </w:r>
      <w:r>
        <w:rPr>
          <w:rFonts w:ascii="宋体" w:hAnsi="宋体" w:eastAsia="宋体" w:cs="宋体"/>
          <w:spacing w:val="7"/>
          <w:sz w:val="20"/>
          <w:szCs w:val="20"/>
        </w:rPr>
        <w:t>关凭证报送监理人审查：</w:t>
      </w:r>
    </w:p>
    <w:p w14:paraId="21C31B50">
      <w:pPr>
        <w:spacing w:before="1" w:line="227" w:lineRule="auto"/>
        <w:ind w:left="430"/>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1</w:t>
      </w:r>
      <w:r>
        <w:rPr>
          <w:rFonts w:ascii="宋体" w:hAnsi="宋体" w:eastAsia="宋体" w:cs="宋体"/>
          <w:spacing w:val="4"/>
          <w:sz w:val="20"/>
          <w:szCs w:val="20"/>
        </w:rPr>
        <w:t>）工作名称、</w:t>
      </w:r>
      <w:r>
        <w:rPr>
          <w:rFonts w:ascii="宋体" w:hAnsi="宋体" w:eastAsia="宋体" w:cs="宋体"/>
          <w:spacing w:val="-52"/>
          <w:sz w:val="20"/>
          <w:szCs w:val="20"/>
        </w:rPr>
        <w:t xml:space="preserve"> </w:t>
      </w:r>
      <w:r>
        <w:rPr>
          <w:rFonts w:ascii="宋体" w:hAnsi="宋体" w:eastAsia="宋体" w:cs="宋体"/>
          <w:spacing w:val="4"/>
          <w:sz w:val="20"/>
          <w:szCs w:val="20"/>
        </w:rPr>
        <w:t>内容和数量；</w:t>
      </w:r>
    </w:p>
    <w:p w14:paraId="2701CA3C">
      <w:pPr>
        <w:spacing w:before="154"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）投入该工作的所有人员的姓名、专业、工种、级</w:t>
      </w:r>
      <w:r>
        <w:rPr>
          <w:rFonts w:ascii="宋体" w:hAnsi="宋体" w:eastAsia="宋体" w:cs="宋体"/>
          <w:spacing w:val="8"/>
          <w:sz w:val="20"/>
          <w:szCs w:val="20"/>
        </w:rPr>
        <w:t>别和耗用工时；</w:t>
      </w:r>
    </w:p>
    <w:p w14:paraId="74480C1F">
      <w:pPr>
        <w:spacing w:before="154"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）投入该工作的材料类别和数量；</w:t>
      </w:r>
    </w:p>
    <w:p w14:paraId="46B6133F">
      <w:pPr>
        <w:spacing w:before="152"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）投入该工作的施工设备型号、台数和耗用台时；</w:t>
      </w:r>
    </w:p>
    <w:p w14:paraId="4F54B2A2">
      <w:pPr>
        <w:spacing w:line="228" w:lineRule="auto"/>
        <w:rPr>
          <w:rFonts w:ascii="宋体" w:hAnsi="宋体" w:eastAsia="宋体" w:cs="宋体"/>
          <w:sz w:val="20"/>
          <w:szCs w:val="20"/>
        </w:rPr>
        <w:sectPr>
          <w:footerReference r:id="rId263" w:type="default"/>
          <w:pgSz w:w="11906" w:h="16839"/>
          <w:pgMar w:top="400" w:right="1502" w:bottom="1038" w:left="1539" w:header="0" w:footer="787" w:gutter="0"/>
          <w:cols w:space="720" w:num="1"/>
        </w:sectPr>
      </w:pPr>
    </w:p>
    <w:p w14:paraId="2A7AB52D">
      <w:pPr>
        <w:spacing w:line="271" w:lineRule="auto"/>
        <w:rPr>
          <w:rFonts w:ascii="Arial"/>
          <w:sz w:val="21"/>
        </w:rPr>
      </w:pPr>
    </w:p>
    <w:p w14:paraId="615ACF4E">
      <w:pPr>
        <w:spacing w:line="271" w:lineRule="auto"/>
        <w:rPr>
          <w:rFonts w:ascii="Arial"/>
          <w:sz w:val="21"/>
        </w:rPr>
      </w:pPr>
    </w:p>
    <w:p w14:paraId="56F6A4CB">
      <w:pPr>
        <w:spacing w:line="272" w:lineRule="auto"/>
        <w:rPr>
          <w:rFonts w:ascii="Arial"/>
          <w:sz w:val="21"/>
        </w:rPr>
      </w:pPr>
    </w:p>
    <w:p w14:paraId="61C8E357">
      <w:pPr>
        <w:spacing w:line="272" w:lineRule="auto"/>
        <w:rPr>
          <w:rFonts w:ascii="Arial"/>
          <w:sz w:val="21"/>
        </w:rPr>
      </w:pPr>
    </w:p>
    <w:p w14:paraId="5BA91C67">
      <w:pPr>
        <w:spacing w:before="65" w:line="228" w:lineRule="auto"/>
        <w:ind w:left="434"/>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）其他有关资料和凭证。</w:t>
      </w:r>
    </w:p>
    <w:p w14:paraId="7C10FED0">
      <w:pPr>
        <w:spacing w:before="152" w:line="371" w:lineRule="auto"/>
        <w:ind w:left="3" w:right="70" w:firstLine="526"/>
        <w:rPr>
          <w:rFonts w:ascii="宋体" w:hAnsi="宋体" w:eastAsia="宋体" w:cs="宋体"/>
          <w:sz w:val="20"/>
          <w:szCs w:val="20"/>
        </w:rPr>
      </w:pPr>
      <w:r>
        <w:rPr>
          <w:rFonts w:ascii="宋体" w:hAnsi="宋体" w:eastAsia="宋体" w:cs="宋体"/>
          <w:spacing w:val="7"/>
          <w:sz w:val="20"/>
          <w:szCs w:val="20"/>
        </w:rPr>
        <w:t>计日工由承包人汇总后，列入最近一期进度付款申请单，由监理人审查并经发包人批准后列</w:t>
      </w:r>
      <w:r>
        <w:rPr>
          <w:rFonts w:ascii="宋体" w:hAnsi="宋体" w:eastAsia="宋体" w:cs="宋体"/>
          <w:spacing w:val="6"/>
          <w:sz w:val="20"/>
          <w:szCs w:val="20"/>
        </w:rPr>
        <w:t>入进度付款。</w:t>
      </w:r>
    </w:p>
    <w:p w14:paraId="3791D24A">
      <w:pPr>
        <w:pStyle w:val="2"/>
        <w:spacing w:before="36" w:line="222" w:lineRule="auto"/>
        <w:ind w:left="15"/>
        <w:outlineLvl w:val="2"/>
        <w:rPr>
          <w:sz w:val="28"/>
          <w:szCs w:val="28"/>
        </w:rPr>
      </w:pPr>
      <w:bookmarkStart w:id="273" w:name="bookmark255"/>
      <w:bookmarkEnd w:id="273"/>
      <w:r>
        <w:rPr>
          <w:rFonts w:ascii="Times New Roman" w:hAnsi="Times New Roman" w:eastAsia="Times New Roman" w:cs="Times New Roman"/>
          <w:b/>
          <w:bCs/>
          <w:spacing w:val="-5"/>
          <w:sz w:val="28"/>
          <w:szCs w:val="28"/>
        </w:rPr>
        <w:t xml:space="preserve">11.  </w:t>
      </w:r>
      <w:r>
        <w:rPr>
          <w:b/>
          <w:bCs/>
          <w:spacing w:val="-5"/>
          <w:sz w:val="28"/>
          <w:szCs w:val="28"/>
        </w:rPr>
        <w:t>价格调整</w:t>
      </w:r>
    </w:p>
    <w:p w14:paraId="7D424725">
      <w:pPr>
        <w:pStyle w:val="2"/>
        <w:spacing w:before="95" w:line="222" w:lineRule="auto"/>
        <w:ind w:left="12"/>
        <w:rPr>
          <w:sz w:val="24"/>
          <w:szCs w:val="24"/>
        </w:rPr>
      </w:pPr>
      <w:r>
        <w:rPr>
          <w:rFonts w:ascii="Times New Roman" w:hAnsi="Times New Roman" w:eastAsia="Times New Roman" w:cs="Times New Roman"/>
          <w:b/>
          <w:bCs/>
          <w:spacing w:val="-4"/>
          <w:sz w:val="24"/>
          <w:szCs w:val="24"/>
        </w:rPr>
        <w:t xml:space="preserve">11.1 </w:t>
      </w:r>
      <w:r>
        <w:rPr>
          <w:b/>
          <w:bCs/>
          <w:spacing w:val="-4"/>
          <w:sz w:val="24"/>
          <w:szCs w:val="24"/>
        </w:rPr>
        <w:t>市场价格波动引起的调整</w:t>
      </w:r>
    </w:p>
    <w:p w14:paraId="0F67C81E">
      <w:pPr>
        <w:spacing w:before="141" w:line="368" w:lineRule="auto"/>
        <w:ind w:left="5" w:firstLine="431"/>
        <w:rPr>
          <w:rFonts w:ascii="宋体" w:hAnsi="宋体" w:eastAsia="宋体" w:cs="宋体"/>
          <w:sz w:val="20"/>
          <w:szCs w:val="20"/>
        </w:rPr>
      </w:pPr>
      <w:r>
        <w:rPr>
          <w:rFonts w:ascii="宋体" w:hAnsi="宋体" w:eastAsia="宋体" w:cs="宋体"/>
          <w:spacing w:val="6"/>
          <w:sz w:val="20"/>
          <w:szCs w:val="20"/>
        </w:rPr>
        <w:t>除专用合同条款另有约定外，市场价格波动超过合同当事人约定的范围，合同价格应当调整。</w:t>
      </w:r>
      <w:r>
        <w:rPr>
          <w:rFonts w:ascii="宋体" w:hAnsi="宋体" w:eastAsia="宋体" w:cs="宋体"/>
          <w:spacing w:val="9"/>
          <w:sz w:val="20"/>
          <w:szCs w:val="20"/>
        </w:rPr>
        <w:t>合同当事人可以在专用合同条款中约定选择以下一种方式对合同价格进行调整：</w:t>
      </w:r>
    </w:p>
    <w:p w14:paraId="1405514D">
      <w:pPr>
        <w:spacing w:before="1" w:line="226" w:lineRule="auto"/>
        <w:ind w:left="424"/>
        <w:rPr>
          <w:rFonts w:ascii="宋体" w:hAnsi="宋体" w:eastAsia="宋体" w:cs="宋体"/>
          <w:sz w:val="20"/>
          <w:szCs w:val="20"/>
        </w:rPr>
      </w:pPr>
      <w:r>
        <w:rPr>
          <w:rFonts w:ascii="宋体" w:hAnsi="宋体" w:eastAsia="宋体" w:cs="宋体"/>
          <w:spacing w:val="7"/>
          <w:sz w:val="20"/>
          <w:szCs w:val="20"/>
        </w:rPr>
        <w:t>第</w:t>
      </w:r>
      <w:r>
        <w:rPr>
          <w:rFonts w:ascii="宋体" w:hAnsi="宋体" w:eastAsia="宋体" w:cs="宋体"/>
          <w:spacing w:val="-22"/>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种方式：采用价格指数进行价格调整。</w:t>
      </w:r>
    </w:p>
    <w:p w14:paraId="1A454728">
      <w:pPr>
        <w:spacing w:before="156" w:line="226" w:lineRule="auto"/>
        <w:ind w:left="434"/>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）价格调整公式</w:t>
      </w:r>
    </w:p>
    <w:p w14:paraId="3AE9D8BD">
      <w:pPr>
        <w:spacing w:before="153" w:line="353" w:lineRule="auto"/>
        <w:ind w:left="11" w:right="71" w:firstLine="429"/>
        <w:rPr>
          <w:rFonts w:ascii="宋体" w:hAnsi="宋体" w:eastAsia="宋体" w:cs="宋体"/>
          <w:sz w:val="20"/>
          <w:szCs w:val="20"/>
        </w:rPr>
      </w:pPr>
      <w:r>
        <w:rPr>
          <w:rFonts w:ascii="宋体" w:hAnsi="宋体" w:eastAsia="宋体" w:cs="宋体"/>
          <w:spacing w:val="9"/>
          <w:sz w:val="20"/>
          <w:szCs w:val="20"/>
        </w:rPr>
        <w:t>因人工、材料和设备等价格波动影响合同价格时，根据专用合同条款中约定的数据，按以下</w:t>
      </w:r>
      <w:r>
        <w:rPr>
          <w:rFonts w:ascii="宋体" w:hAnsi="宋体" w:eastAsia="宋体" w:cs="宋体"/>
          <w:spacing w:val="8"/>
          <w:sz w:val="20"/>
          <w:szCs w:val="20"/>
        </w:rPr>
        <w:t>公式计算差额并调整合同价格：</w:t>
      </w:r>
    </w:p>
    <w:p w14:paraId="39F6FE15">
      <w:pPr>
        <w:spacing w:line="748" w:lineRule="exact"/>
        <w:ind w:left="1086"/>
      </w:pPr>
      <w:r>
        <w:rPr>
          <w:position w:val="-15"/>
        </w:rPr>
        <w:drawing>
          <wp:inline distT="0" distB="0" distL="0" distR="0">
            <wp:extent cx="3876040" cy="47434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564"/>
                    <a:stretch>
                      <a:fillRect/>
                    </a:stretch>
                  </pic:blipFill>
                  <pic:spPr>
                    <a:xfrm>
                      <a:off x="0" y="0"/>
                      <a:ext cx="3876426" cy="474795"/>
                    </a:xfrm>
                    <a:prstGeom prst="rect">
                      <a:avLst/>
                    </a:prstGeom>
                  </pic:spPr>
                </pic:pic>
              </a:graphicData>
            </a:graphic>
          </wp:inline>
        </w:drawing>
      </w:r>
    </w:p>
    <w:p w14:paraId="6A5CB832">
      <w:pPr>
        <w:spacing w:before="225" w:line="226" w:lineRule="auto"/>
        <w:ind w:left="431"/>
        <w:rPr>
          <w:rFonts w:ascii="宋体" w:hAnsi="宋体" w:eastAsia="宋体" w:cs="宋体"/>
          <w:sz w:val="20"/>
          <w:szCs w:val="20"/>
        </w:rPr>
      </w:pPr>
      <w:r>
        <w:rPr>
          <w:rFonts w:ascii="宋体" w:hAnsi="宋体" w:eastAsia="宋体" w:cs="宋体"/>
          <w:spacing w:val="6"/>
          <w:sz w:val="20"/>
          <w:szCs w:val="20"/>
        </w:rPr>
        <w:t xml:space="preserve">公式中：    </w:t>
      </w:r>
      <w:r>
        <w:rPr>
          <w:rFonts w:ascii="Times New Roman" w:hAnsi="Times New Roman" w:eastAsia="Times New Roman" w:cs="Times New Roman"/>
          <w:spacing w:val="6"/>
          <w:sz w:val="20"/>
          <w:szCs w:val="20"/>
        </w:rPr>
        <w:t>ΔP——</w:t>
      </w:r>
      <w:r>
        <w:rPr>
          <w:rFonts w:ascii="宋体" w:hAnsi="宋体" w:eastAsia="宋体" w:cs="宋体"/>
          <w:spacing w:val="6"/>
          <w:sz w:val="20"/>
          <w:szCs w:val="20"/>
        </w:rPr>
        <w:t>需调整的价格差额；</w:t>
      </w:r>
    </w:p>
    <w:p w14:paraId="7EEB57AC">
      <w:pPr>
        <w:spacing w:before="154" w:line="369" w:lineRule="auto"/>
        <w:ind w:left="4" w:right="71" w:firstLine="1781"/>
        <w:jc w:val="both"/>
        <w:rPr>
          <w:rFonts w:ascii="宋体" w:hAnsi="宋体" w:eastAsia="宋体" w:cs="宋体"/>
          <w:sz w:val="20"/>
          <w:szCs w:val="20"/>
        </w:rPr>
      </w:pPr>
      <w:r>
        <w:rPr>
          <w:rFonts w:ascii="Times New Roman" w:hAnsi="Times New Roman" w:eastAsia="Times New Roman" w:cs="Times New Roman"/>
          <w:spacing w:val="7"/>
          <w:sz w:val="20"/>
          <w:szCs w:val="20"/>
        </w:rPr>
        <w:t>P</w:t>
      </w:r>
      <w:r>
        <w:rPr>
          <w:rFonts w:ascii="Times New Roman" w:hAnsi="Times New Roman" w:eastAsia="Times New Roman" w:cs="Times New Roman"/>
          <w:spacing w:val="7"/>
          <w:position w:val="-1"/>
          <w:sz w:val="13"/>
          <w:szCs w:val="13"/>
        </w:rPr>
        <w:t>0</w:t>
      </w:r>
      <w:r>
        <w:rPr>
          <w:rFonts w:ascii="Times New Roman" w:hAnsi="Times New Roman" w:eastAsia="Times New Roman" w:cs="Times New Roman"/>
          <w:spacing w:val="7"/>
          <w:sz w:val="20"/>
          <w:szCs w:val="20"/>
        </w:rPr>
        <w:t>——</w:t>
      </w:r>
      <w:r>
        <w:rPr>
          <w:rFonts w:ascii="宋体" w:hAnsi="宋体" w:eastAsia="宋体" w:cs="宋体"/>
          <w:spacing w:val="7"/>
          <w:sz w:val="20"/>
          <w:szCs w:val="20"/>
        </w:rPr>
        <w:t>约定的付款证书中承包人应得到的已完成工程量的金额。此项金额应不</w:t>
      </w:r>
      <w:r>
        <w:rPr>
          <w:rFonts w:ascii="宋体" w:hAnsi="宋体" w:eastAsia="宋体" w:cs="宋体"/>
          <w:spacing w:val="10"/>
          <w:sz w:val="20"/>
          <w:szCs w:val="20"/>
        </w:rPr>
        <w:t>包括价格调整、不计质量保证金的扣留和支付、预付款的支付和扣回。约</w:t>
      </w:r>
      <w:r>
        <w:rPr>
          <w:rFonts w:ascii="宋体" w:hAnsi="宋体" w:eastAsia="宋体" w:cs="宋体"/>
          <w:spacing w:val="9"/>
          <w:sz w:val="20"/>
          <w:szCs w:val="20"/>
        </w:rPr>
        <w:t>定的变更及其他金额已</w:t>
      </w:r>
      <w:r>
        <w:rPr>
          <w:rFonts w:ascii="宋体" w:hAnsi="宋体" w:eastAsia="宋体" w:cs="宋体"/>
          <w:spacing w:val="8"/>
          <w:sz w:val="20"/>
          <w:szCs w:val="20"/>
        </w:rPr>
        <w:t>按现行价格计价的，也不计在内；</w:t>
      </w:r>
    </w:p>
    <w:p w14:paraId="13DDDF73">
      <w:pPr>
        <w:spacing w:before="1" w:line="227" w:lineRule="auto"/>
        <w:ind w:left="1783"/>
        <w:rPr>
          <w:rFonts w:ascii="宋体" w:hAnsi="宋体" w:eastAsia="宋体" w:cs="宋体"/>
          <w:sz w:val="20"/>
          <w:szCs w:val="20"/>
        </w:rPr>
      </w:pPr>
      <w:r>
        <w:rPr>
          <w:rFonts w:ascii="Times New Roman" w:hAnsi="Times New Roman" w:eastAsia="Times New Roman" w:cs="Times New Roman"/>
          <w:spacing w:val="9"/>
          <w:sz w:val="20"/>
          <w:szCs w:val="20"/>
        </w:rPr>
        <w:t>A——</w:t>
      </w:r>
      <w:r>
        <w:rPr>
          <w:rFonts w:ascii="宋体" w:hAnsi="宋体" w:eastAsia="宋体" w:cs="宋体"/>
          <w:spacing w:val="9"/>
          <w:sz w:val="20"/>
          <w:szCs w:val="20"/>
        </w:rPr>
        <w:t>定值权重（即不调部分的权重</w:t>
      </w:r>
      <w:r>
        <w:rPr>
          <w:rFonts w:ascii="宋体" w:hAnsi="宋体" w:eastAsia="宋体" w:cs="宋体"/>
          <w:spacing w:val="-51"/>
          <w:sz w:val="20"/>
          <w:szCs w:val="20"/>
        </w:rPr>
        <w:t>）；</w:t>
      </w:r>
    </w:p>
    <w:p w14:paraId="2AFFCBCA">
      <w:pPr>
        <w:spacing w:before="154" w:line="367" w:lineRule="auto"/>
        <w:ind w:left="25" w:right="70" w:firstLine="394"/>
        <w:rPr>
          <w:rFonts w:ascii="宋体" w:hAnsi="宋体" w:eastAsia="宋体" w:cs="宋体"/>
          <w:sz w:val="20"/>
          <w:szCs w:val="20"/>
        </w:rPr>
      </w:pPr>
      <w:r>
        <w:rPr>
          <w:rFonts w:ascii="Times New Roman" w:hAnsi="Times New Roman" w:eastAsia="Times New Roman" w:cs="Times New Roman"/>
          <w:spacing w:val="-18"/>
          <w:sz w:val="20"/>
          <w:szCs w:val="20"/>
        </w:rPr>
        <w:t>B</w:t>
      </w:r>
      <w:r>
        <w:rPr>
          <w:rFonts w:ascii="Times New Roman" w:hAnsi="Times New Roman" w:eastAsia="Times New Roman" w:cs="Times New Roman"/>
          <w:spacing w:val="-18"/>
          <w:sz w:val="13"/>
          <w:szCs w:val="13"/>
        </w:rPr>
        <w:t>1</w:t>
      </w:r>
      <w:r>
        <w:rPr>
          <w:rFonts w:ascii="Times New Roman" w:hAnsi="Times New Roman" w:eastAsia="Times New Roman" w:cs="Times New Roman"/>
          <w:spacing w:val="-18"/>
          <w:sz w:val="14"/>
          <w:szCs w:val="14"/>
        </w:rPr>
        <w:t>;</w:t>
      </w:r>
      <w:r>
        <w:rPr>
          <w:rFonts w:ascii="Times New Roman" w:hAnsi="Times New Roman" w:eastAsia="Times New Roman" w:cs="Times New Roman"/>
          <w:spacing w:val="24"/>
          <w:sz w:val="14"/>
          <w:szCs w:val="14"/>
        </w:rPr>
        <w:t xml:space="preserve"> </w:t>
      </w:r>
      <w:r>
        <w:rPr>
          <w:rFonts w:ascii="Times New Roman" w:hAnsi="Times New Roman" w:eastAsia="Times New Roman" w:cs="Times New Roman"/>
          <w:spacing w:val="-18"/>
          <w:sz w:val="20"/>
          <w:szCs w:val="20"/>
        </w:rPr>
        <w:t>B</w:t>
      </w:r>
      <w:r>
        <w:rPr>
          <w:rFonts w:ascii="Times New Roman" w:hAnsi="Times New Roman" w:eastAsia="Times New Roman" w:cs="Times New Roman"/>
          <w:spacing w:val="-18"/>
          <w:position w:val="-1"/>
          <w:sz w:val="13"/>
          <w:szCs w:val="13"/>
        </w:rPr>
        <w:t>2</w:t>
      </w:r>
      <w:r>
        <w:rPr>
          <w:rFonts w:ascii="Times New Roman" w:hAnsi="Times New Roman" w:eastAsia="Times New Roman" w:cs="Times New Roman"/>
          <w:spacing w:val="1"/>
          <w:position w:val="-1"/>
          <w:sz w:val="13"/>
          <w:szCs w:val="13"/>
        </w:rPr>
        <w:t xml:space="preserve">  </w:t>
      </w:r>
      <w:r>
        <w:rPr>
          <w:rFonts w:ascii="Times New Roman" w:hAnsi="Times New Roman" w:eastAsia="Times New Roman" w:cs="Times New Roman"/>
          <w:spacing w:val="-18"/>
          <w:sz w:val="20"/>
          <w:szCs w:val="20"/>
        </w:rPr>
        <w:t>;B</w:t>
      </w:r>
      <w:r>
        <w:rPr>
          <w:rFonts w:ascii="Times New Roman" w:hAnsi="Times New Roman" w:eastAsia="Times New Roman" w:cs="Times New Roman"/>
          <w:spacing w:val="-18"/>
          <w:sz w:val="13"/>
          <w:szCs w:val="13"/>
        </w:rPr>
        <w:t>3</w:t>
      </w:r>
      <w:r>
        <w:rPr>
          <w:rFonts w:ascii="宋体" w:hAnsi="宋体" w:eastAsia="宋体" w:cs="宋体"/>
          <w:spacing w:val="-18"/>
          <w:sz w:val="14"/>
          <w:szCs w:val="14"/>
        </w:rPr>
        <w:t>·····</w:t>
      </w:r>
      <w:r>
        <w:rPr>
          <w:rFonts w:ascii="Times New Roman" w:hAnsi="Times New Roman" w:eastAsia="Times New Roman" w:cs="Times New Roman"/>
          <w:sz w:val="20"/>
          <w:szCs w:val="20"/>
        </w:rPr>
        <w:t>B</w:t>
      </w:r>
      <w:r>
        <w:rPr>
          <w:rFonts w:ascii="Times New Roman" w:hAnsi="Times New Roman" w:eastAsia="Times New Roman" w:cs="Times New Roman"/>
          <w:position w:val="-1"/>
          <w:sz w:val="13"/>
          <w:szCs w:val="13"/>
        </w:rPr>
        <w:t>n</w:t>
      </w:r>
      <w:r>
        <w:rPr>
          <w:rFonts w:ascii="Times New Roman" w:hAnsi="Times New Roman" w:eastAsia="Times New Roman" w:cs="Times New Roman"/>
          <w:spacing w:val="12"/>
          <w:sz w:val="20"/>
          <w:szCs w:val="20"/>
        </w:rPr>
        <w:t>——</w:t>
      </w:r>
      <w:r>
        <w:rPr>
          <w:rFonts w:ascii="宋体" w:hAnsi="宋体" w:eastAsia="宋体" w:cs="宋体"/>
          <w:spacing w:val="12"/>
          <w:sz w:val="20"/>
          <w:szCs w:val="20"/>
        </w:rPr>
        <w:t>各可调因子的变值权重（即可调部分的权重</w:t>
      </w:r>
      <w:r>
        <w:rPr>
          <w:rFonts w:ascii="宋体" w:hAnsi="宋体" w:eastAsia="宋体" w:cs="宋体"/>
          <w:spacing w:val="-29"/>
          <w:sz w:val="20"/>
          <w:szCs w:val="20"/>
        </w:rPr>
        <w:t>），</w:t>
      </w:r>
      <w:r>
        <w:rPr>
          <w:rFonts w:ascii="宋体" w:hAnsi="宋体" w:eastAsia="宋体" w:cs="宋体"/>
          <w:spacing w:val="12"/>
          <w:sz w:val="20"/>
          <w:szCs w:val="20"/>
        </w:rPr>
        <w:t>为各可调因子在签约合</w:t>
      </w:r>
      <w:r>
        <w:rPr>
          <w:rFonts w:ascii="宋体" w:hAnsi="宋体" w:eastAsia="宋体" w:cs="宋体"/>
          <w:spacing w:val="5"/>
          <w:sz w:val="20"/>
          <w:szCs w:val="20"/>
        </w:rPr>
        <w:t>同价中所占的比例；</w:t>
      </w:r>
    </w:p>
    <w:p w14:paraId="1E827676">
      <w:pPr>
        <w:spacing w:before="4" w:line="367" w:lineRule="auto"/>
        <w:ind w:right="70" w:firstLine="420"/>
        <w:rPr>
          <w:rFonts w:ascii="宋体" w:hAnsi="宋体" w:eastAsia="宋体" w:cs="宋体"/>
          <w:sz w:val="20"/>
          <w:szCs w:val="20"/>
        </w:rPr>
      </w:pPr>
      <w:r>
        <w:rPr>
          <w:rFonts w:ascii="Times New Roman" w:hAnsi="Times New Roman" w:eastAsia="Times New Roman" w:cs="Times New Roman"/>
          <w:spacing w:val="-14"/>
          <w:sz w:val="20"/>
          <w:szCs w:val="20"/>
        </w:rPr>
        <w:t>F</w:t>
      </w:r>
      <w:r>
        <w:rPr>
          <w:rFonts w:ascii="Times New Roman" w:hAnsi="Times New Roman" w:eastAsia="Times New Roman" w:cs="Times New Roman"/>
          <w:spacing w:val="-14"/>
          <w:position w:val="-1"/>
          <w:sz w:val="13"/>
          <w:szCs w:val="13"/>
        </w:rPr>
        <w:t xml:space="preserve">t1  </w:t>
      </w:r>
      <w:r>
        <w:rPr>
          <w:rFonts w:ascii="Times New Roman" w:hAnsi="Times New Roman" w:eastAsia="Times New Roman" w:cs="Times New Roman"/>
          <w:spacing w:val="-14"/>
          <w:sz w:val="20"/>
          <w:szCs w:val="20"/>
        </w:rPr>
        <w:t>;F</w:t>
      </w:r>
      <w:r>
        <w:rPr>
          <w:rFonts w:ascii="Times New Roman" w:hAnsi="Times New Roman" w:eastAsia="Times New Roman" w:cs="Times New Roman"/>
          <w:spacing w:val="-14"/>
          <w:position w:val="-1"/>
          <w:sz w:val="13"/>
          <w:szCs w:val="13"/>
        </w:rPr>
        <w:t>t2</w:t>
      </w:r>
      <w:r>
        <w:rPr>
          <w:rFonts w:ascii="Times New Roman" w:hAnsi="Times New Roman" w:eastAsia="Times New Roman" w:cs="Times New Roman"/>
          <w:spacing w:val="9"/>
          <w:w w:val="101"/>
          <w:position w:val="-1"/>
          <w:sz w:val="13"/>
          <w:szCs w:val="13"/>
        </w:rPr>
        <w:t xml:space="preserve">  </w:t>
      </w:r>
      <w:r>
        <w:rPr>
          <w:rFonts w:ascii="Times New Roman" w:hAnsi="Times New Roman" w:eastAsia="Times New Roman" w:cs="Times New Roman"/>
          <w:spacing w:val="-14"/>
          <w:sz w:val="20"/>
          <w:szCs w:val="20"/>
        </w:rPr>
        <w:t>;F</w:t>
      </w:r>
      <w:r>
        <w:rPr>
          <w:rFonts w:ascii="Times New Roman" w:hAnsi="Times New Roman" w:eastAsia="Times New Roman" w:cs="Times New Roman"/>
          <w:spacing w:val="-14"/>
          <w:sz w:val="13"/>
          <w:szCs w:val="13"/>
        </w:rPr>
        <w:t>t3</w:t>
      </w:r>
      <w:r>
        <w:rPr>
          <w:rFonts w:ascii="宋体" w:hAnsi="宋体" w:eastAsia="宋体" w:cs="宋体"/>
          <w:spacing w:val="-14"/>
          <w:sz w:val="14"/>
          <w:szCs w:val="14"/>
        </w:rPr>
        <w:t>·····</w:t>
      </w:r>
      <w:r>
        <w:rPr>
          <w:rFonts w:ascii="Times New Roman" w:hAnsi="Times New Roman" w:eastAsia="Times New Roman" w:cs="Times New Roman"/>
          <w:spacing w:val="-9"/>
          <w:w w:val="85"/>
          <w:sz w:val="20"/>
          <w:szCs w:val="20"/>
        </w:rPr>
        <w:t>F</w:t>
      </w:r>
      <w:r>
        <w:rPr>
          <w:rFonts w:ascii="Times New Roman" w:hAnsi="Times New Roman" w:eastAsia="Times New Roman" w:cs="Times New Roman"/>
          <w:position w:val="-1"/>
          <w:sz w:val="13"/>
          <w:szCs w:val="13"/>
        </w:rPr>
        <w:t>tn</w:t>
      </w:r>
      <w:r>
        <w:rPr>
          <w:rFonts w:ascii="Times New Roman" w:hAnsi="Times New Roman" w:eastAsia="Times New Roman" w:cs="Times New Roman"/>
          <w:spacing w:val="8"/>
          <w:sz w:val="20"/>
          <w:szCs w:val="20"/>
        </w:rPr>
        <w:t>——</w:t>
      </w:r>
      <w:r>
        <w:rPr>
          <w:rFonts w:ascii="宋体" w:hAnsi="宋体" w:eastAsia="宋体" w:cs="宋体"/>
          <w:spacing w:val="8"/>
          <w:sz w:val="20"/>
          <w:szCs w:val="20"/>
        </w:rPr>
        <w:t>各可调因子的现行价格指数，指约定的付款证书相关周期最后一天的前</w:t>
      </w:r>
      <w:r>
        <w:rPr>
          <w:rFonts w:ascii="Times New Roman" w:hAnsi="Times New Roman" w:eastAsia="Times New Roman" w:cs="Times New Roman"/>
          <w:spacing w:val="7"/>
          <w:sz w:val="20"/>
          <w:szCs w:val="20"/>
        </w:rPr>
        <w:t xml:space="preserve">42 </w:t>
      </w:r>
      <w:r>
        <w:rPr>
          <w:rFonts w:ascii="宋体" w:hAnsi="宋体" w:eastAsia="宋体" w:cs="宋体"/>
          <w:spacing w:val="7"/>
          <w:sz w:val="20"/>
          <w:szCs w:val="20"/>
        </w:rPr>
        <w:t>天的各可调因子的价格指数；</w:t>
      </w:r>
    </w:p>
    <w:p w14:paraId="4D20CBD6">
      <w:pPr>
        <w:spacing w:before="6" w:line="221" w:lineRule="auto"/>
        <w:ind w:left="420"/>
        <w:rPr>
          <w:rFonts w:ascii="宋体" w:hAnsi="宋体" w:eastAsia="宋体" w:cs="宋体"/>
          <w:sz w:val="20"/>
          <w:szCs w:val="20"/>
        </w:rPr>
      </w:pPr>
      <w:r>
        <w:rPr>
          <w:rFonts w:ascii="Times New Roman" w:hAnsi="Times New Roman" w:eastAsia="Times New Roman" w:cs="Times New Roman"/>
          <w:spacing w:val="-10"/>
          <w:sz w:val="20"/>
          <w:szCs w:val="20"/>
        </w:rPr>
        <w:t>F</w:t>
      </w:r>
      <w:r>
        <w:rPr>
          <w:rFonts w:ascii="Times New Roman" w:hAnsi="Times New Roman" w:eastAsia="Times New Roman" w:cs="Times New Roman"/>
          <w:spacing w:val="-10"/>
          <w:position w:val="-1"/>
          <w:sz w:val="13"/>
          <w:szCs w:val="13"/>
        </w:rPr>
        <w:t>o1</w:t>
      </w:r>
      <w:r>
        <w:rPr>
          <w:rFonts w:ascii="Times New Roman" w:hAnsi="Times New Roman" w:eastAsia="Times New Roman" w:cs="Times New Roman"/>
          <w:spacing w:val="-10"/>
          <w:sz w:val="20"/>
          <w:szCs w:val="20"/>
        </w:rPr>
        <w:t>; F</w:t>
      </w:r>
      <w:r>
        <w:rPr>
          <w:rFonts w:ascii="Times New Roman" w:hAnsi="Times New Roman" w:eastAsia="Times New Roman" w:cs="Times New Roman"/>
          <w:spacing w:val="-10"/>
          <w:sz w:val="13"/>
          <w:szCs w:val="13"/>
        </w:rPr>
        <w:t>o2</w:t>
      </w:r>
      <w:r>
        <w:rPr>
          <w:rFonts w:ascii="Times New Roman" w:hAnsi="Times New Roman" w:eastAsia="Times New Roman" w:cs="Times New Roman"/>
          <w:spacing w:val="-10"/>
          <w:sz w:val="14"/>
          <w:szCs w:val="14"/>
        </w:rPr>
        <w:t xml:space="preserve">;  </w:t>
      </w:r>
      <w:r>
        <w:rPr>
          <w:rFonts w:ascii="Times New Roman" w:hAnsi="Times New Roman" w:eastAsia="Times New Roman" w:cs="Times New Roman"/>
          <w:spacing w:val="-10"/>
          <w:sz w:val="20"/>
          <w:szCs w:val="20"/>
        </w:rPr>
        <w:t>F</w:t>
      </w:r>
      <w:r>
        <w:rPr>
          <w:rFonts w:ascii="Times New Roman" w:hAnsi="Times New Roman" w:eastAsia="Times New Roman" w:cs="Times New Roman"/>
          <w:spacing w:val="-10"/>
          <w:sz w:val="13"/>
          <w:szCs w:val="13"/>
        </w:rPr>
        <w:t>o3</w:t>
      </w:r>
      <w:r>
        <w:rPr>
          <w:rFonts w:ascii="宋体" w:hAnsi="宋体" w:eastAsia="宋体" w:cs="宋体"/>
          <w:spacing w:val="-10"/>
          <w:sz w:val="14"/>
          <w:szCs w:val="14"/>
        </w:rPr>
        <w:t>····</w:t>
      </w:r>
      <w:r>
        <w:rPr>
          <w:rFonts w:ascii="Times New Roman" w:hAnsi="Times New Roman" w:eastAsia="Times New Roman" w:cs="Times New Roman"/>
          <w:sz w:val="20"/>
          <w:szCs w:val="20"/>
        </w:rPr>
        <w:t>F</w:t>
      </w:r>
      <w:r>
        <w:rPr>
          <w:rFonts w:ascii="Times New Roman" w:hAnsi="Times New Roman" w:eastAsia="Times New Roman" w:cs="Times New Roman"/>
          <w:position w:val="-1"/>
          <w:sz w:val="13"/>
          <w:szCs w:val="13"/>
        </w:rPr>
        <w:t>on</w:t>
      </w:r>
      <w:r>
        <w:rPr>
          <w:rFonts w:ascii="Times New Roman" w:hAnsi="Times New Roman" w:eastAsia="Times New Roman" w:cs="Times New Roman"/>
          <w:spacing w:val="10"/>
          <w:sz w:val="20"/>
          <w:szCs w:val="20"/>
        </w:rPr>
        <w:t>——</w:t>
      </w:r>
      <w:r>
        <w:rPr>
          <w:rFonts w:ascii="宋体" w:hAnsi="宋体" w:eastAsia="宋体" w:cs="宋体"/>
          <w:spacing w:val="10"/>
          <w:sz w:val="20"/>
          <w:szCs w:val="20"/>
        </w:rPr>
        <w:t>各可调因子的基本价格指数，指基准日期的各可调因子的价格指数。</w:t>
      </w:r>
    </w:p>
    <w:p w14:paraId="07B7F557">
      <w:pPr>
        <w:spacing w:before="161" w:line="369" w:lineRule="auto"/>
        <w:ind w:left="7" w:right="71" w:firstLine="441"/>
        <w:rPr>
          <w:rFonts w:ascii="宋体" w:hAnsi="宋体" w:eastAsia="宋体" w:cs="宋体"/>
          <w:sz w:val="20"/>
          <w:szCs w:val="20"/>
        </w:rPr>
      </w:pPr>
      <w:r>
        <w:rPr>
          <w:rFonts w:ascii="宋体" w:hAnsi="宋体" w:eastAsia="宋体" w:cs="宋体"/>
          <w:spacing w:val="9"/>
          <w:sz w:val="20"/>
          <w:szCs w:val="20"/>
        </w:rPr>
        <w:t>以上价格调整公式中的各可调因子、定值和变值权重，以及基本价格指数及其来源在投标函附录价格指数和权重表中约定，非招标订立的合同，</w:t>
      </w:r>
      <w:r>
        <w:rPr>
          <w:rFonts w:ascii="宋体" w:hAnsi="宋体" w:eastAsia="宋体" w:cs="宋体"/>
          <w:spacing w:val="-58"/>
          <w:sz w:val="20"/>
          <w:szCs w:val="20"/>
        </w:rPr>
        <w:t xml:space="preserve"> </w:t>
      </w:r>
      <w:r>
        <w:rPr>
          <w:rFonts w:ascii="宋体" w:hAnsi="宋体" w:eastAsia="宋体" w:cs="宋体"/>
          <w:spacing w:val="9"/>
          <w:sz w:val="20"/>
          <w:szCs w:val="20"/>
        </w:rPr>
        <w:t>由合同当事人在</w:t>
      </w:r>
      <w:r>
        <w:rPr>
          <w:rFonts w:ascii="宋体" w:hAnsi="宋体" w:eastAsia="宋体" w:cs="宋体"/>
          <w:spacing w:val="8"/>
          <w:sz w:val="20"/>
          <w:szCs w:val="20"/>
        </w:rPr>
        <w:t>专用合同条款中约定。价格</w:t>
      </w:r>
      <w:r>
        <w:rPr>
          <w:rFonts w:ascii="宋体" w:hAnsi="宋体" w:eastAsia="宋体" w:cs="宋体"/>
          <w:spacing w:val="10"/>
          <w:sz w:val="20"/>
          <w:szCs w:val="20"/>
        </w:rPr>
        <w:t>指数应首先采用工程造价管理机构发布的价格指数，无前述价格指数</w:t>
      </w:r>
      <w:r>
        <w:rPr>
          <w:rFonts w:ascii="宋体" w:hAnsi="宋体" w:eastAsia="宋体" w:cs="宋体"/>
          <w:spacing w:val="9"/>
          <w:sz w:val="20"/>
          <w:szCs w:val="20"/>
        </w:rPr>
        <w:t>时，可采用工程造价管理机</w:t>
      </w:r>
      <w:r>
        <w:rPr>
          <w:rFonts w:ascii="宋体" w:hAnsi="宋体" w:eastAsia="宋体" w:cs="宋体"/>
          <w:spacing w:val="7"/>
          <w:sz w:val="20"/>
          <w:szCs w:val="20"/>
        </w:rPr>
        <w:t>构发布的价格代替。</w:t>
      </w:r>
    </w:p>
    <w:p w14:paraId="1E2E1C5C">
      <w:pPr>
        <w:spacing w:before="1" w:line="227" w:lineRule="auto"/>
        <w:ind w:left="434"/>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）暂时确定调整差额</w:t>
      </w:r>
    </w:p>
    <w:p w14:paraId="3C4B3A34">
      <w:pPr>
        <w:spacing w:before="154" w:line="369" w:lineRule="auto"/>
        <w:ind w:left="6" w:right="71" w:firstLine="417"/>
        <w:rPr>
          <w:rFonts w:ascii="宋体" w:hAnsi="宋体" w:eastAsia="宋体" w:cs="宋体"/>
          <w:sz w:val="20"/>
          <w:szCs w:val="20"/>
        </w:rPr>
      </w:pPr>
      <w:r>
        <w:rPr>
          <w:rFonts w:ascii="宋体" w:hAnsi="宋体" w:eastAsia="宋体" w:cs="宋体"/>
          <w:spacing w:val="10"/>
          <w:sz w:val="20"/>
          <w:szCs w:val="20"/>
        </w:rPr>
        <w:t>在计算调整差额时无现行价格指数的，合同当事人同意暂用前次价格指</w:t>
      </w:r>
      <w:r>
        <w:rPr>
          <w:rFonts w:ascii="宋体" w:hAnsi="宋体" w:eastAsia="宋体" w:cs="宋体"/>
          <w:spacing w:val="9"/>
          <w:sz w:val="20"/>
          <w:szCs w:val="20"/>
        </w:rPr>
        <w:t>数计算。实际价格指</w:t>
      </w:r>
      <w:r>
        <w:rPr>
          <w:rFonts w:ascii="宋体" w:hAnsi="宋体" w:eastAsia="宋体" w:cs="宋体"/>
          <w:spacing w:val="8"/>
          <w:sz w:val="20"/>
          <w:szCs w:val="20"/>
        </w:rPr>
        <w:t>数有调整的，合同当事人进行相应调整。</w:t>
      </w:r>
    </w:p>
    <w:p w14:paraId="3B263914">
      <w:pPr>
        <w:spacing w:before="1" w:line="227" w:lineRule="auto"/>
        <w:ind w:left="434"/>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）权重的调整</w:t>
      </w:r>
    </w:p>
    <w:p w14:paraId="0EBE73C1">
      <w:pPr>
        <w:spacing w:before="153" w:line="228" w:lineRule="auto"/>
        <w:ind w:left="441"/>
        <w:rPr>
          <w:rFonts w:ascii="宋体" w:hAnsi="宋体" w:eastAsia="宋体" w:cs="宋体"/>
          <w:sz w:val="20"/>
          <w:szCs w:val="20"/>
        </w:rPr>
      </w:pPr>
      <w:r>
        <w:rPr>
          <w:rFonts w:ascii="宋体" w:hAnsi="宋体" w:eastAsia="宋体" w:cs="宋体"/>
          <w:spacing w:val="8"/>
          <w:sz w:val="20"/>
          <w:szCs w:val="20"/>
        </w:rPr>
        <w:t>因变更导致合同约定的权重不合理时，按照第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4.4 </w:t>
      </w:r>
      <w:r>
        <w:rPr>
          <w:rFonts w:ascii="宋体" w:hAnsi="宋体" w:eastAsia="宋体" w:cs="宋体"/>
          <w:spacing w:val="8"/>
          <w:sz w:val="20"/>
          <w:szCs w:val="20"/>
        </w:rPr>
        <w:t>款〔商定或确定〕执行。</w:t>
      </w:r>
    </w:p>
    <w:p w14:paraId="76598CD7">
      <w:pPr>
        <w:spacing w:before="152" w:line="226" w:lineRule="auto"/>
        <w:ind w:left="434"/>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）因承包人原因工期延误后的价格调整</w:t>
      </w:r>
    </w:p>
    <w:p w14:paraId="335C9A7B">
      <w:pPr>
        <w:spacing w:before="156" w:line="226" w:lineRule="auto"/>
        <w:ind w:left="441"/>
        <w:rPr>
          <w:rFonts w:ascii="宋体" w:hAnsi="宋体" w:eastAsia="宋体" w:cs="宋体"/>
          <w:sz w:val="20"/>
          <w:szCs w:val="20"/>
        </w:rPr>
      </w:pPr>
      <w:r>
        <w:rPr>
          <w:rFonts w:ascii="宋体" w:hAnsi="宋体" w:eastAsia="宋体" w:cs="宋体"/>
          <w:spacing w:val="9"/>
          <w:sz w:val="20"/>
          <w:szCs w:val="20"/>
        </w:rPr>
        <w:t>因承包人原因未按期竣工的，对合同约定的竣工日期后继续施工的工程，在使用价格调整公</w:t>
      </w:r>
    </w:p>
    <w:p w14:paraId="344145E8">
      <w:pPr>
        <w:spacing w:line="226" w:lineRule="auto"/>
        <w:rPr>
          <w:rFonts w:ascii="宋体" w:hAnsi="宋体" w:eastAsia="宋体" w:cs="宋体"/>
          <w:sz w:val="20"/>
          <w:szCs w:val="20"/>
        </w:rPr>
        <w:sectPr>
          <w:footerReference r:id="rId264" w:type="default"/>
          <w:pgSz w:w="11906" w:h="16839"/>
          <w:pgMar w:top="400" w:right="1483" w:bottom="1038" w:left="1534" w:header="0" w:footer="787" w:gutter="0"/>
          <w:cols w:space="720" w:num="1"/>
        </w:sectPr>
      </w:pPr>
    </w:p>
    <w:p w14:paraId="1C7FECFB">
      <w:pPr>
        <w:spacing w:line="271" w:lineRule="auto"/>
        <w:rPr>
          <w:rFonts w:ascii="Arial"/>
          <w:sz w:val="21"/>
        </w:rPr>
      </w:pPr>
    </w:p>
    <w:p w14:paraId="1BD8D8CB">
      <w:pPr>
        <w:spacing w:line="272" w:lineRule="auto"/>
        <w:rPr>
          <w:rFonts w:ascii="Arial"/>
          <w:sz w:val="21"/>
        </w:rPr>
      </w:pPr>
    </w:p>
    <w:p w14:paraId="6574C4F0">
      <w:pPr>
        <w:spacing w:line="272" w:lineRule="auto"/>
        <w:rPr>
          <w:rFonts w:ascii="Arial"/>
          <w:sz w:val="21"/>
        </w:rPr>
      </w:pPr>
    </w:p>
    <w:p w14:paraId="201FF035">
      <w:pPr>
        <w:spacing w:line="272" w:lineRule="auto"/>
        <w:rPr>
          <w:rFonts w:ascii="Arial"/>
          <w:sz w:val="21"/>
        </w:rPr>
      </w:pPr>
    </w:p>
    <w:p w14:paraId="6C0911A5">
      <w:pPr>
        <w:spacing w:before="65" w:line="226" w:lineRule="auto"/>
        <w:ind w:left="8"/>
        <w:rPr>
          <w:rFonts w:ascii="宋体" w:hAnsi="宋体" w:eastAsia="宋体" w:cs="宋体"/>
          <w:sz w:val="20"/>
          <w:szCs w:val="20"/>
        </w:rPr>
      </w:pPr>
      <w:r>
        <w:rPr>
          <w:rFonts w:ascii="宋体" w:hAnsi="宋体" w:eastAsia="宋体" w:cs="宋体"/>
          <w:spacing w:val="9"/>
          <w:sz w:val="20"/>
          <w:szCs w:val="20"/>
        </w:rPr>
        <w:t>式时，应采用计划竣工日期与实际竣工日期的两个价格指数中较低的一个作为现行价格指数。</w:t>
      </w:r>
    </w:p>
    <w:p w14:paraId="0D175324">
      <w:pPr>
        <w:spacing w:before="153" w:line="226" w:lineRule="auto"/>
        <w:ind w:left="424"/>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42"/>
          <w:sz w:val="20"/>
          <w:szCs w:val="20"/>
        </w:rPr>
        <w:t xml:space="preserve"> </w:t>
      </w:r>
      <w:r>
        <w:rPr>
          <w:rFonts w:ascii="Times New Roman" w:hAnsi="Times New Roman" w:eastAsia="Times New Roman" w:cs="Times New Roman"/>
          <w:spacing w:val="8"/>
          <w:sz w:val="20"/>
          <w:szCs w:val="20"/>
        </w:rPr>
        <w:t xml:space="preserve">2 </w:t>
      </w:r>
      <w:r>
        <w:rPr>
          <w:rFonts w:ascii="宋体" w:hAnsi="宋体" w:eastAsia="宋体" w:cs="宋体"/>
          <w:spacing w:val="8"/>
          <w:sz w:val="20"/>
          <w:szCs w:val="20"/>
        </w:rPr>
        <w:t>种方式：采用造价信息进行价格调整。</w:t>
      </w:r>
    </w:p>
    <w:p w14:paraId="390E7711">
      <w:pPr>
        <w:spacing w:before="157" w:line="369" w:lineRule="auto"/>
        <w:ind w:left="4" w:right="71" w:firstLine="420"/>
        <w:rPr>
          <w:rFonts w:ascii="宋体" w:hAnsi="宋体" w:eastAsia="宋体" w:cs="宋体"/>
          <w:sz w:val="20"/>
          <w:szCs w:val="20"/>
        </w:rPr>
      </w:pPr>
      <w:r>
        <w:rPr>
          <w:rFonts w:ascii="宋体" w:hAnsi="宋体" w:eastAsia="宋体" w:cs="宋体"/>
          <w:spacing w:val="10"/>
          <w:sz w:val="20"/>
          <w:szCs w:val="20"/>
        </w:rPr>
        <w:t>合同履行期间，因人工、材料、工程设备和机械台班价格波动影响</w:t>
      </w:r>
      <w:r>
        <w:rPr>
          <w:rFonts w:ascii="宋体" w:hAnsi="宋体" w:eastAsia="宋体" w:cs="宋体"/>
          <w:spacing w:val="9"/>
          <w:sz w:val="20"/>
          <w:szCs w:val="20"/>
        </w:rPr>
        <w:t>合同价格时，人工、机械使用费按照国家或省、</w:t>
      </w:r>
      <w:r>
        <w:rPr>
          <w:rFonts w:ascii="宋体" w:hAnsi="宋体" w:eastAsia="宋体" w:cs="宋体"/>
          <w:spacing w:val="-52"/>
          <w:sz w:val="20"/>
          <w:szCs w:val="20"/>
        </w:rPr>
        <w:t xml:space="preserve"> </w:t>
      </w:r>
      <w:r>
        <w:rPr>
          <w:rFonts w:ascii="宋体" w:hAnsi="宋体" w:eastAsia="宋体" w:cs="宋体"/>
          <w:spacing w:val="9"/>
          <w:sz w:val="20"/>
          <w:szCs w:val="20"/>
        </w:rPr>
        <w:t>自治区、直辖市建设行政管理部门、</w:t>
      </w:r>
      <w:r>
        <w:rPr>
          <w:rFonts w:ascii="宋体" w:hAnsi="宋体" w:eastAsia="宋体" w:cs="宋体"/>
          <w:spacing w:val="8"/>
          <w:sz w:val="20"/>
          <w:szCs w:val="20"/>
        </w:rPr>
        <w:t>行业建设管理部门或其授权的工程造</w:t>
      </w:r>
      <w:r>
        <w:rPr>
          <w:rFonts w:ascii="宋体" w:hAnsi="宋体" w:eastAsia="宋体" w:cs="宋体"/>
          <w:spacing w:val="10"/>
          <w:sz w:val="20"/>
          <w:szCs w:val="20"/>
        </w:rPr>
        <w:t>价管理机构发布的人工、机械使用费系数进行调整；需要进行价格调整的</w:t>
      </w:r>
      <w:r>
        <w:rPr>
          <w:rFonts w:ascii="宋体" w:hAnsi="宋体" w:eastAsia="宋体" w:cs="宋体"/>
          <w:spacing w:val="9"/>
          <w:sz w:val="20"/>
          <w:szCs w:val="20"/>
        </w:rPr>
        <w:t>材料，其单价和采购数量应由发包人审批，发包人确认需调整的材料单价及数量，作为调整合同价格的依据。</w:t>
      </w:r>
    </w:p>
    <w:p w14:paraId="227FFF53">
      <w:pPr>
        <w:spacing w:line="369" w:lineRule="auto"/>
        <w:ind w:left="3" w:right="70" w:firstLine="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）人工单价发生变化且符合省级或行业建设主管部门发布的人工费调整规</w:t>
      </w:r>
      <w:r>
        <w:rPr>
          <w:rFonts w:ascii="宋体" w:hAnsi="宋体" w:eastAsia="宋体" w:cs="宋体"/>
          <w:spacing w:val="6"/>
          <w:sz w:val="20"/>
          <w:szCs w:val="20"/>
        </w:rPr>
        <w:t>定，合同当事人</w:t>
      </w:r>
      <w:r>
        <w:rPr>
          <w:rFonts w:ascii="宋体" w:hAnsi="宋体" w:eastAsia="宋体" w:cs="宋体"/>
          <w:spacing w:val="10"/>
          <w:sz w:val="20"/>
          <w:szCs w:val="20"/>
        </w:rPr>
        <w:t>应按省级或行业建设主管部门或其授权的工程造价管理机构发布的人工费等文</w:t>
      </w:r>
      <w:r>
        <w:rPr>
          <w:rFonts w:ascii="宋体" w:hAnsi="宋体" w:eastAsia="宋体" w:cs="宋体"/>
          <w:spacing w:val="9"/>
          <w:sz w:val="20"/>
          <w:szCs w:val="20"/>
        </w:rPr>
        <w:t>件调整合同价格，但承包人对人工费或人工单价的报价高于发布价格的除外。</w:t>
      </w:r>
    </w:p>
    <w:p w14:paraId="2EB9A0D1">
      <w:pPr>
        <w:spacing w:before="2" w:line="368" w:lineRule="auto"/>
        <w:ind w:left="4" w:right="73" w:firstLine="430"/>
        <w:rPr>
          <w:rFonts w:ascii="Times New Roman" w:hAnsi="Times New Roman" w:eastAsia="Times New Roman" w:cs="Times New Roman"/>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）材料、工程设备价格变化的价款调整按照发包人提供的基准价格，</w:t>
      </w:r>
      <w:r>
        <w:rPr>
          <w:rFonts w:ascii="宋体" w:hAnsi="宋体" w:eastAsia="宋体" w:cs="宋体"/>
          <w:spacing w:val="6"/>
          <w:sz w:val="20"/>
          <w:szCs w:val="20"/>
        </w:rPr>
        <w:t>按以下风险范围规定</w:t>
      </w:r>
      <w:r>
        <w:rPr>
          <w:rFonts w:ascii="宋体" w:hAnsi="宋体" w:eastAsia="宋体" w:cs="宋体"/>
          <w:spacing w:val="4"/>
          <w:sz w:val="20"/>
          <w:szCs w:val="20"/>
        </w:rPr>
        <w:t>执行</w:t>
      </w:r>
      <w:r>
        <w:rPr>
          <w:rFonts w:ascii="Times New Roman" w:hAnsi="Times New Roman" w:eastAsia="Times New Roman" w:cs="Times New Roman"/>
          <w:spacing w:val="4"/>
          <w:sz w:val="20"/>
          <w:szCs w:val="20"/>
        </w:rPr>
        <w:t>:</w:t>
      </w:r>
    </w:p>
    <w:p w14:paraId="1031D94C">
      <w:pPr>
        <w:spacing w:before="1" w:line="369" w:lineRule="auto"/>
        <w:ind w:left="5" w:right="70" w:firstLine="627"/>
        <w:rPr>
          <w:rFonts w:ascii="宋体" w:hAnsi="宋体" w:eastAsia="宋体" w:cs="宋体"/>
          <w:sz w:val="20"/>
          <w:szCs w:val="20"/>
        </w:rPr>
      </w:pPr>
      <w:r>
        <w:rPr>
          <w:rFonts w:ascii="宋体" w:hAnsi="宋体" w:eastAsia="宋体" w:cs="宋体"/>
          <w:spacing w:val="10"/>
          <w:sz w:val="20"/>
          <w:szCs w:val="20"/>
        </w:rPr>
        <w:t>①承包人在已标价工程量清单或预算书中载明材料单价低于基准价格的</w:t>
      </w:r>
      <w:r>
        <w:rPr>
          <w:rFonts w:ascii="宋体" w:hAnsi="宋体" w:eastAsia="宋体" w:cs="宋体"/>
          <w:spacing w:val="9"/>
          <w:sz w:val="20"/>
          <w:szCs w:val="20"/>
        </w:rPr>
        <w:t>：除专用合同条款</w:t>
      </w:r>
      <w:r>
        <w:rPr>
          <w:rFonts w:ascii="宋体" w:hAnsi="宋体" w:eastAsia="宋体" w:cs="宋体"/>
          <w:spacing w:val="11"/>
          <w:sz w:val="20"/>
          <w:szCs w:val="20"/>
        </w:rPr>
        <w:t>另有约定外，合同履行期间材料单价涨幅以基准价格为基础超过</w:t>
      </w:r>
      <w:r>
        <w:rPr>
          <w:rFonts w:ascii="宋体" w:hAnsi="宋体" w:eastAsia="宋体" w:cs="宋体"/>
          <w:spacing w:val="-19"/>
          <w:sz w:val="20"/>
          <w:szCs w:val="20"/>
        </w:rPr>
        <w:t xml:space="preserve"> </w:t>
      </w:r>
      <w:r>
        <w:rPr>
          <w:rFonts w:ascii="Times New Roman" w:hAnsi="Times New Roman" w:eastAsia="Times New Roman" w:cs="Times New Roman"/>
          <w:spacing w:val="11"/>
          <w:sz w:val="20"/>
          <w:szCs w:val="20"/>
        </w:rPr>
        <w:t>5%</w:t>
      </w:r>
      <w:r>
        <w:rPr>
          <w:rFonts w:ascii="宋体" w:hAnsi="宋体" w:eastAsia="宋体" w:cs="宋体"/>
          <w:spacing w:val="11"/>
          <w:sz w:val="20"/>
          <w:szCs w:val="20"/>
        </w:rPr>
        <w:t>时，或材料单价跌幅以在已</w:t>
      </w:r>
      <w:r>
        <w:rPr>
          <w:rFonts w:ascii="宋体" w:hAnsi="宋体" w:eastAsia="宋体" w:cs="宋体"/>
          <w:spacing w:val="9"/>
          <w:sz w:val="20"/>
          <w:szCs w:val="20"/>
        </w:rPr>
        <w:t>标价工程量清单或预算书中载明材料单价为基础超过</w:t>
      </w:r>
      <w:r>
        <w:rPr>
          <w:rFonts w:ascii="宋体" w:hAnsi="宋体" w:eastAsia="宋体" w:cs="宋体"/>
          <w:spacing w:val="-37"/>
          <w:sz w:val="20"/>
          <w:szCs w:val="20"/>
        </w:rPr>
        <w:t xml:space="preserve"> </w:t>
      </w:r>
      <w:r>
        <w:rPr>
          <w:rFonts w:ascii="Times New Roman" w:hAnsi="Times New Roman" w:eastAsia="Times New Roman" w:cs="Times New Roman"/>
          <w:spacing w:val="9"/>
          <w:sz w:val="20"/>
          <w:szCs w:val="20"/>
        </w:rPr>
        <w:t>5%</w:t>
      </w:r>
      <w:r>
        <w:rPr>
          <w:rFonts w:ascii="宋体" w:hAnsi="宋体" w:eastAsia="宋体" w:cs="宋体"/>
          <w:spacing w:val="9"/>
          <w:sz w:val="20"/>
          <w:szCs w:val="20"/>
        </w:rPr>
        <w:t>时，其超过部分据实调</w:t>
      </w:r>
      <w:r>
        <w:rPr>
          <w:rFonts w:ascii="宋体" w:hAnsi="宋体" w:eastAsia="宋体" w:cs="宋体"/>
          <w:spacing w:val="8"/>
          <w:sz w:val="20"/>
          <w:szCs w:val="20"/>
        </w:rPr>
        <w:t>整。</w:t>
      </w:r>
    </w:p>
    <w:p w14:paraId="42323718">
      <w:pPr>
        <w:spacing w:line="369" w:lineRule="auto"/>
        <w:ind w:left="5" w:right="70" w:firstLine="626"/>
        <w:rPr>
          <w:rFonts w:ascii="宋体" w:hAnsi="宋体" w:eastAsia="宋体" w:cs="宋体"/>
          <w:sz w:val="20"/>
          <w:szCs w:val="20"/>
        </w:rPr>
      </w:pPr>
      <w:r>
        <w:rPr>
          <w:rFonts w:ascii="宋体" w:hAnsi="宋体" w:eastAsia="宋体" w:cs="宋体"/>
          <w:spacing w:val="10"/>
          <w:sz w:val="20"/>
          <w:szCs w:val="20"/>
        </w:rPr>
        <w:t>②承包人在已标价工程量清单或预算书中载明材料单价高于基准价格的：</w:t>
      </w:r>
      <w:r>
        <w:rPr>
          <w:rFonts w:ascii="宋体" w:hAnsi="宋体" w:eastAsia="宋体" w:cs="宋体"/>
          <w:spacing w:val="9"/>
          <w:sz w:val="20"/>
          <w:szCs w:val="20"/>
        </w:rPr>
        <w:t>除专用合同条款</w:t>
      </w:r>
      <w:r>
        <w:rPr>
          <w:rFonts w:ascii="宋体" w:hAnsi="宋体" w:eastAsia="宋体" w:cs="宋体"/>
          <w:spacing w:val="11"/>
          <w:sz w:val="20"/>
          <w:szCs w:val="20"/>
        </w:rPr>
        <w:t>另有约定外，合同履行期间材料单价跌幅以基准价格为基础超过</w:t>
      </w:r>
      <w:r>
        <w:rPr>
          <w:rFonts w:ascii="宋体" w:hAnsi="宋体" w:eastAsia="宋体" w:cs="宋体"/>
          <w:spacing w:val="-19"/>
          <w:sz w:val="20"/>
          <w:szCs w:val="20"/>
        </w:rPr>
        <w:t xml:space="preserve"> </w:t>
      </w:r>
      <w:r>
        <w:rPr>
          <w:rFonts w:ascii="Times New Roman" w:hAnsi="Times New Roman" w:eastAsia="Times New Roman" w:cs="Times New Roman"/>
          <w:spacing w:val="11"/>
          <w:sz w:val="20"/>
          <w:szCs w:val="20"/>
        </w:rPr>
        <w:t>5%</w:t>
      </w:r>
      <w:r>
        <w:rPr>
          <w:rFonts w:ascii="宋体" w:hAnsi="宋体" w:eastAsia="宋体" w:cs="宋体"/>
          <w:spacing w:val="11"/>
          <w:sz w:val="20"/>
          <w:szCs w:val="20"/>
        </w:rPr>
        <w:t>时，材料单价涨幅以在已标</w:t>
      </w:r>
      <w:r>
        <w:rPr>
          <w:rFonts w:ascii="宋体" w:hAnsi="宋体" w:eastAsia="宋体" w:cs="宋体"/>
          <w:spacing w:val="9"/>
          <w:sz w:val="20"/>
          <w:szCs w:val="20"/>
        </w:rPr>
        <w:t>价工程量清单或预算书中载明材料单价为基础超过</w:t>
      </w:r>
      <w:r>
        <w:rPr>
          <w:rFonts w:ascii="宋体" w:hAnsi="宋体" w:eastAsia="宋体" w:cs="宋体"/>
          <w:spacing w:val="-35"/>
          <w:sz w:val="20"/>
          <w:szCs w:val="20"/>
        </w:rPr>
        <w:t xml:space="preserve"> </w:t>
      </w:r>
      <w:r>
        <w:rPr>
          <w:rFonts w:ascii="Times New Roman" w:hAnsi="Times New Roman" w:eastAsia="Times New Roman" w:cs="Times New Roman"/>
          <w:spacing w:val="9"/>
          <w:sz w:val="20"/>
          <w:szCs w:val="20"/>
        </w:rPr>
        <w:t>5%</w:t>
      </w:r>
      <w:r>
        <w:rPr>
          <w:rFonts w:ascii="宋体" w:hAnsi="宋体" w:eastAsia="宋体" w:cs="宋体"/>
          <w:spacing w:val="9"/>
          <w:sz w:val="20"/>
          <w:szCs w:val="20"/>
        </w:rPr>
        <w:t>时，其超过部</w:t>
      </w:r>
      <w:r>
        <w:rPr>
          <w:rFonts w:ascii="宋体" w:hAnsi="宋体" w:eastAsia="宋体" w:cs="宋体"/>
          <w:spacing w:val="8"/>
          <w:sz w:val="20"/>
          <w:szCs w:val="20"/>
        </w:rPr>
        <w:t>分据实调整。</w:t>
      </w:r>
    </w:p>
    <w:p w14:paraId="58C87440">
      <w:pPr>
        <w:spacing w:before="2" w:line="368" w:lineRule="auto"/>
        <w:ind w:left="9" w:firstLine="622"/>
        <w:rPr>
          <w:rFonts w:ascii="宋体" w:hAnsi="宋体" w:eastAsia="宋体" w:cs="宋体"/>
          <w:sz w:val="20"/>
          <w:szCs w:val="20"/>
        </w:rPr>
      </w:pPr>
      <w:r>
        <w:rPr>
          <w:rFonts w:ascii="宋体" w:hAnsi="宋体" w:eastAsia="宋体" w:cs="宋体"/>
          <w:spacing w:val="10"/>
          <w:sz w:val="20"/>
          <w:szCs w:val="20"/>
        </w:rPr>
        <w:t>③承包人在已标价工程量清单或预算书中载明材料单价等于基准价格的：</w:t>
      </w:r>
      <w:r>
        <w:rPr>
          <w:rFonts w:ascii="宋体" w:hAnsi="宋体" w:eastAsia="宋体" w:cs="宋体"/>
          <w:spacing w:val="9"/>
          <w:sz w:val="20"/>
          <w:szCs w:val="20"/>
        </w:rPr>
        <w:t>除专用合同条款</w:t>
      </w:r>
      <w:r>
        <w:rPr>
          <w:rFonts w:ascii="宋体" w:hAnsi="宋体" w:eastAsia="宋体" w:cs="宋体"/>
          <w:spacing w:val="7"/>
          <w:sz w:val="20"/>
          <w:szCs w:val="20"/>
        </w:rPr>
        <w:t>另有约定外，合同履行期间材料单价涨跌幅以基准价格为基础超过</w:t>
      </w:r>
      <w:r>
        <w:rPr>
          <w:rFonts w:ascii="Times New Roman" w:hAnsi="Times New Roman" w:eastAsia="Times New Roman" w:cs="Times New Roman"/>
          <w:spacing w:val="7"/>
          <w:sz w:val="20"/>
          <w:szCs w:val="20"/>
        </w:rPr>
        <w:t>±5%</w:t>
      </w:r>
      <w:r>
        <w:rPr>
          <w:rFonts w:ascii="宋体" w:hAnsi="宋体" w:eastAsia="宋体" w:cs="宋体"/>
          <w:spacing w:val="7"/>
          <w:sz w:val="20"/>
          <w:szCs w:val="20"/>
        </w:rPr>
        <w:t>时，其超</w:t>
      </w:r>
      <w:r>
        <w:rPr>
          <w:rFonts w:ascii="宋体" w:hAnsi="宋体" w:eastAsia="宋体" w:cs="宋体"/>
          <w:spacing w:val="6"/>
          <w:sz w:val="20"/>
          <w:szCs w:val="20"/>
        </w:rPr>
        <w:t>过部分据实调整。</w:t>
      </w:r>
    </w:p>
    <w:p w14:paraId="2D37DDFF">
      <w:pPr>
        <w:spacing w:before="2" w:line="369" w:lineRule="auto"/>
        <w:ind w:left="6" w:right="71" w:firstLine="625"/>
        <w:rPr>
          <w:rFonts w:ascii="宋体" w:hAnsi="宋体" w:eastAsia="宋体" w:cs="宋体"/>
          <w:sz w:val="20"/>
          <w:szCs w:val="20"/>
        </w:rPr>
      </w:pPr>
      <w:r>
        <w:rPr>
          <w:rFonts w:ascii="宋体" w:hAnsi="宋体" w:eastAsia="宋体" w:cs="宋体"/>
          <w:spacing w:val="10"/>
          <w:sz w:val="20"/>
          <w:szCs w:val="20"/>
        </w:rPr>
        <w:t>④承包人应在采购材料前将采购数量和新的材料单价报发包人核对，发包</w:t>
      </w:r>
      <w:r>
        <w:rPr>
          <w:rFonts w:ascii="宋体" w:hAnsi="宋体" w:eastAsia="宋体" w:cs="宋体"/>
          <w:spacing w:val="9"/>
          <w:sz w:val="20"/>
          <w:szCs w:val="20"/>
        </w:rPr>
        <w:t>人确认用于工程时，发包人应确认采购材料的数量和单价。发包人在收到承包人报送的确认资料后</w:t>
      </w:r>
      <w:r>
        <w:rPr>
          <w:rFonts w:ascii="宋体" w:hAnsi="宋体" w:eastAsia="宋体" w:cs="宋体"/>
          <w:spacing w:val="-31"/>
          <w:sz w:val="20"/>
          <w:szCs w:val="20"/>
        </w:rPr>
        <w:t xml:space="preserve"> </w:t>
      </w:r>
      <w:r>
        <w:rPr>
          <w:rFonts w:ascii="Times New Roman" w:hAnsi="Times New Roman" w:eastAsia="Times New Roman" w:cs="Times New Roman"/>
          <w:spacing w:val="9"/>
          <w:sz w:val="20"/>
          <w:szCs w:val="20"/>
        </w:rPr>
        <w:t xml:space="preserve">5 </w:t>
      </w:r>
      <w:r>
        <w:rPr>
          <w:rFonts w:ascii="宋体" w:hAnsi="宋体" w:eastAsia="宋体" w:cs="宋体"/>
          <w:spacing w:val="9"/>
          <w:sz w:val="20"/>
          <w:szCs w:val="20"/>
        </w:rPr>
        <w:t>天内不予答</w:t>
      </w:r>
      <w:r>
        <w:rPr>
          <w:rFonts w:ascii="宋体" w:hAnsi="宋体" w:eastAsia="宋体" w:cs="宋体"/>
          <w:spacing w:val="10"/>
          <w:sz w:val="20"/>
          <w:szCs w:val="20"/>
        </w:rPr>
        <w:t>复的视为认可，作为调整合同价格的依据。未经发包人事先核对，承包</w:t>
      </w:r>
      <w:r>
        <w:rPr>
          <w:rFonts w:ascii="宋体" w:hAnsi="宋体" w:eastAsia="宋体" w:cs="宋体"/>
          <w:spacing w:val="9"/>
          <w:sz w:val="20"/>
          <w:szCs w:val="20"/>
        </w:rPr>
        <w:t>人自行采购材料的，发包人有权不予调整合同价格。发包人同意的，可以调整合同价格。</w:t>
      </w:r>
    </w:p>
    <w:p w14:paraId="7D89578F">
      <w:pPr>
        <w:spacing w:before="2" w:line="368" w:lineRule="auto"/>
        <w:ind w:left="5" w:right="71" w:firstLine="422"/>
        <w:rPr>
          <w:rFonts w:ascii="宋体" w:hAnsi="宋体" w:eastAsia="宋体" w:cs="宋体"/>
          <w:sz w:val="20"/>
          <w:szCs w:val="20"/>
        </w:rPr>
      </w:pPr>
      <w:r>
        <w:rPr>
          <w:rFonts w:ascii="宋体" w:hAnsi="宋体" w:eastAsia="宋体" w:cs="宋体"/>
          <w:spacing w:val="10"/>
          <w:sz w:val="20"/>
          <w:szCs w:val="20"/>
        </w:rPr>
        <w:t>前述基准价格是指由发包人在招标文件或专用合同条款中给定</w:t>
      </w:r>
      <w:r>
        <w:rPr>
          <w:rFonts w:ascii="宋体" w:hAnsi="宋体" w:eastAsia="宋体" w:cs="宋体"/>
          <w:spacing w:val="9"/>
          <w:sz w:val="20"/>
          <w:szCs w:val="20"/>
        </w:rPr>
        <w:t>的材料、工程设备的价格，该</w:t>
      </w:r>
      <w:r>
        <w:rPr>
          <w:rFonts w:ascii="宋体" w:hAnsi="宋体" w:eastAsia="宋体" w:cs="宋体"/>
          <w:spacing w:val="10"/>
          <w:sz w:val="20"/>
          <w:szCs w:val="20"/>
        </w:rPr>
        <w:t>价格原则上应当按照省级或行业建设主管部门</w:t>
      </w:r>
      <w:r>
        <w:rPr>
          <w:rFonts w:ascii="宋体" w:hAnsi="宋体" w:eastAsia="宋体" w:cs="宋体"/>
          <w:spacing w:val="9"/>
          <w:sz w:val="20"/>
          <w:szCs w:val="20"/>
        </w:rPr>
        <w:t>或其授权的工程造价管理机构发布的信息价编制。</w:t>
      </w:r>
    </w:p>
    <w:p w14:paraId="499905FB">
      <w:pPr>
        <w:spacing w:before="2" w:line="369" w:lineRule="auto"/>
        <w:ind w:left="7" w:right="73" w:firstLine="42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）施工机械台班单价或施工机械使用费发生变化超过省级或行业建设</w:t>
      </w:r>
      <w:r>
        <w:rPr>
          <w:rFonts w:ascii="宋体" w:hAnsi="宋体" w:eastAsia="宋体" w:cs="宋体"/>
          <w:spacing w:val="6"/>
          <w:sz w:val="20"/>
          <w:szCs w:val="20"/>
        </w:rPr>
        <w:t>主管部门或其授权的</w:t>
      </w:r>
      <w:r>
        <w:rPr>
          <w:rFonts w:ascii="宋体" w:hAnsi="宋体" w:eastAsia="宋体" w:cs="宋体"/>
          <w:spacing w:val="9"/>
          <w:sz w:val="20"/>
          <w:szCs w:val="20"/>
        </w:rPr>
        <w:t>工程造价管理机构规定的范围时，按规定调整合同价格。</w:t>
      </w:r>
    </w:p>
    <w:p w14:paraId="288B0C40">
      <w:pPr>
        <w:spacing w:before="1" w:line="227" w:lineRule="auto"/>
        <w:ind w:left="424"/>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39"/>
          <w:sz w:val="20"/>
          <w:szCs w:val="20"/>
        </w:rPr>
        <w:t xml:space="preserve"> </w:t>
      </w: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种方式：专用合同条款约定的其他方式。</w:t>
      </w:r>
    </w:p>
    <w:p w14:paraId="5CF28749">
      <w:pPr>
        <w:pStyle w:val="2"/>
        <w:spacing w:before="127" w:line="222" w:lineRule="auto"/>
        <w:ind w:left="12"/>
        <w:rPr>
          <w:sz w:val="24"/>
          <w:szCs w:val="24"/>
        </w:rPr>
      </w:pPr>
      <w:r>
        <w:rPr>
          <w:rFonts w:ascii="Times New Roman" w:hAnsi="Times New Roman" w:eastAsia="Times New Roman" w:cs="Times New Roman"/>
          <w:b/>
          <w:bCs/>
          <w:spacing w:val="-4"/>
          <w:sz w:val="24"/>
          <w:szCs w:val="24"/>
        </w:rPr>
        <w:t xml:space="preserve">11.2 </w:t>
      </w:r>
      <w:r>
        <w:rPr>
          <w:b/>
          <w:bCs/>
          <w:spacing w:val="-4"/>
          <w:sz w:val="24"/>
          <w:szCs w:val="24"/>
        </w:rPr>
        <w:t>法律变化引起的调整</w:t>
      </w:r>
    </w:p>
    <w:p w14:paraId="5863EC37">
      <w:pPr>
        <w:spacing w:before="137" w:line="369" w:lineRule="auto"/>
        <w:ind w:left="4" w:right="71" w:firstLine="420"/>
        <w:jc w:val="both"/>
        <w:rPr>
          <w:rFonts w:ascii="宋体" w:hAnsi="宋体" w:eastAsia="宋体" w:cs="宋体"/>
          <w:sz w:val="20"/>
          <w:szCs w:val="20"/>
        </w:rPr>
      </w:pPr>
      <w:r>
        <w:rPr>
          <w:rFonts w:ascii="宋体" w:hAnsi="宋体" w:eastAsia="宋体" w:cs="宋体"/>
          <w:spacing w:val="7"/>
          <w:sz w:val="20"/>
          <w:szCs w:val="20"/>
        </w:rPr>
        <w:t>基准日期后，法律变化导致承包人在合同履行过程中所需要的费</w:t>
      </w:r>
      <w:r>
        <w:rPr>
          <w:rFonts w:ascii="宋体" w:hAnsi="宋体" w:eastAsia="宋体" w:cs="宋体"/>
          <w:spacing w:val="6"/>
          <w:sz w:val="20"/>
          <w:szCs w:val="20"/>
        </w:rPr>
        <w:t>用发生除第</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款〔市场价</w:t>
      </w:r>
      <w:r>
        <w:rPr>
          <w:rFonts w:ascii="宋体" w:hAnsi="宋体" w:eastAsia="宋体" w:cs="宋体"/>
          <w:spacing w:val="10"/>
          <w:sz w:val="20"/>
          <w:szCs w:val="20"/>
        </w:rPr>
        <w:t>格波动引起的调整〕约定以外的增加时，由发包人承担由此增加的费用；</w:t>
      </w:r>
      <w:r>
        <w:rPr>
          <w:rFonts w:ascii="宋体" w:hAnsi="宋体" w:eastAsia="宋体" w:cs="宋体"/>
          <w:spacing w:val="9"/>
          <w:sz w:val="20"/>
          <w:szCs w:val="20"/>
        </w:rPr>
        <w:t>减少时，应从合同价格中予以扣减。基准日期后，因法律变化造成工期延误时，工期应予以顺延。</w:t>
      </w:r>
    </w:p>
    <w:p w14:paraId="54B57EF8">
      <w:pPr>
        <w:spacing w:before="1" w:line="226" w:lineRule="auto"/>
        <w:ind w:left="441"/>
        <w:rPr>
          <w:rFonts w:ascii="宋体" w:hAnsi="宋体" w:eastAsia="宋体" w:cs="宋体"/>
          <w:sz w:val="20"/>
          <w:szCs w:val="20"/>
        </w:rPr>
      </w:pPr>
      <w:r>
        <w:rPr>
          <w:rFonts w:ascii="宋体" w:hAnsi="宋体" w:eastAsia="宋体" w:cs="宋体"/>
          <w:spacing w:val="9"/>
          <w:sz w:val="20"/>
          <w:szCs w:val="20"/>
        </w:rPr>
        <w:t>因法律变化引起的合同价格和工期调整，合同当事人无法达成一致的，由总监理工程师按第</w:t>
      </w:r>
    </w:p>
    <w:p w14:paraId="539242AD">
      <w:pPr>
        <w:spacing w:before="156" w:line="228" w:lineRule="auto"/>
        <w:rPr>
          <w:rFonts w:ascii="宋体" w:hAnsi="宋体" w:eastAsia="宋体" w:cs="宋体"/>
          <w:sz w:val="20"/>
          <w:szCs w:val="20"/>
        </w:rPr>
      </w:pPr>
      <w:r>
        <w:rPr>
          <w:rFonts w:ascii="Times New Roman" w:hAnsi="Times New Roman" w:eastAsia="Times New Roman" w:cs="Times New Roman"/>
          <w:spacing w:val="7"/>
          <w:sz w:val="20"/>
          <w:szCs w:val="20"/>
        </w:rPr>
        <w:t xml:space="preserve">4.4 </w:t>
      </w:r>
      <w:r>
        <w:rPr>
          <w:rFonts w:ascii="宋体" w:hAnsi="宋体" w:eastAsia="宋体" w:cs="宋体"/>
          <w:spacing w:val="7"/>
          <w:sz w:val="20"/>
          <w:szCs w:val="20"/>
        </w:rPr>
        <w:t>款〔商定或确定〕的约定处理。</w:t>
      </w:r>
    </w:p>
    <w:p w14:paraId="4328CC3D">
      <w:pPr>
        <w:spacing w:before="150" w:line="228" w:lineRule="auto"/>
        <w:ind w:left="441"/>
        <w:rPr>
          <w:rFonts w:ascii="宋体" w:hAnsi="宋体" w:eastAsia="宋体" w:cs="宋体"/>
          <w:sz w:val="20"/>
          <w:szCs w:val="20"/>
        </w:rPr>
      </w:pPr>
      <w:r>
        <w:rPr>
          <w:rFonts w:ascii="宋体" w:hAnsi="宋体" w:eastAsia="宋体" w:cs="宋体"/>
          <w:spacing w:val="9"/>
          <w:sz w:val="20"/>
          <w:szCs w:val="20"/>
        </w:rPr>
        <w:t>因承包人原因造成工期延误，在工期延误期间出现法律变化的，由此增加的费用和（或）延</w:t>
      </w:r>
    </w:p>
    <w:p w14:paraId="567FFB70">
      <w:pPr>
        <w:spacing w:line="228" w:lineRule="auto"/>
        <w:rPr>
          <w:rFonts w:ascii="宋体" w:hAnsi="宋体" w:eastAsia="宋体" w:cs="宋体"/>
          <w:sz w:val="20"/>
          <w:szCs w:val="20"/>
        </w:rPr>
        <w:sectPr>
          <w:footerReference r:id="rId265" w:type="default"/>
          <w:pgSz w:w="11906" w:h="16839"/>
          <w:pgMar w:top="400" w:right="1483" w:bottom="1038" w:left="1534" w:header="0" w:footer="787" w:gutter="0"/>
          <w:cols w:space="720" w:num="1"/>
        </w:sectPr>
      </w:pPr>
    </w:p>
    <w:p w14:paraId="1FE45C07">
      <w:pPr>
        <w:spacing w:line="271" w:lineRule="auto"/>
        <w:rPr>
          <w:rFonts w:ascii="Arial"/>
          <w:sz w:val="21"/>
        </w:rPr>
      </w:pPr>
    </w:p>
    <w:p w14:paraId="4D432799">
      <w:pPr>
        <w:spacing w:line="271" w:lineRule="auto"/>
        <w:rPr>
          <w:rFonts w:ascii="Arial"/>
          <w:sz w:val="21"/>
        </w:rPr>
      </w:pPr>
    </w:p>
    <w:p w14:paraId="4EB31D97">
      <w:pPr>
        <w:spacing w:line="272" w:lineRule="auto"/>
        <w:rPr>
          <w:rFonts w:ascii="Arial"/>
          <w:sz w:val="21"/>
        </w:rPr>
      </w:pPr>
    </w:p>
    <w:p w14:paraId="01672047">
      <w:pPr>
        <w:spacing w:line="272" w:lineRule="auto"/>
        <w:rPr>
          <w:rFonts w:ascii="Arial"/>
          <w:sz w:val="21"/>
        </w:rPr>
      </w:pPr>
    </w:p>
    <w:p w14:paraId="46911B99">
      <w:pPr>
        <w:spacing w:before="65" w:line="228" w:lineRule="auto"/>
        <w:ind w:left="2"/>
        <w:rPr>
          <w:rFonts w:ascii="宋体" w:hAnsi="宋体" w:eastAsia="宋体" w:cs="宋体"/>
          <w:sz w:val="20"/>
          <w:szCs w:val="20"/>
        </w:rPr>
      </w:pPr>
      <w:r>
        <w:rPr>
          <w:rFonts w:ascii="宋体" w:hAnsi="宋体" w:eastAsia="宋体" w:cs="宋体"/>
          <w:spacing w:val="7"/>
          <w:sz w:val="20"/>
          <w:szCs w:val="20"/>
        </w:rPr>
        <w:t>误的工期由承包人承担。</w:t>
      </w:r>
    </w:p>
    <w:p w14:paraId="5832A042">
      <w:pPr>
        <w:pStyle w:val="2"/>
        <w:spacing w:before="191" w:line="222" w:lineRule="auto"/>
        <w:ind w:left="10"/>
        <w:outlineLvl w:val="2"/>
        <w:rPr>
          <w:sz w:val="28"/>
          <w:szCs w:val="28"/>
        </w:rPr>
      </w:pPr>
      <w:bookmarkStart w:id="274" w:name="bookmark256"/>
      <w:bookmarkEnd w:id="274"/>
      <w:r>
        <w:rPr>
          <w:rFonts w:ascii="Times New Roman" w:hAnsi="Times New Roman" w:eastAsia="Times New Roman" w:cs="Times New Roman"/>
          <w:b/>
          <w:bCs/>
          <w:spacing w:val="-3"/>
          <w:sz w:val="28"/>
          <w:szCs w:val="28"/>
        </w:rPr>
        <w:t xml:space="preserve">12.  </w:t>
      </w:r>
      <w:r>
        <w:rPr>
          <w:b/>
          <w:bCs/>
          <w:spacing w:val="-3"/>
          <w:sz w:val="28"/>
          <w:szCs w:val="28"/>
        </w:rPr>
        <w:t>合同价格、计量与支付</w:t>
      </w:r>
    </w:p>
    <w:p w14:paraId="7B3EBE09">
      <w:pPr>
        <w:pStyle w:val="2"/>
        <w:spacing w:before="98" w:line="222" w:lineRule="auto"/>
        <w:ind w:left="7"/>
        <w:rPr>
          <w:sz w:val="24"/>
          <w:szCs w:val="24"/>
        </w:rPr>
      </w:pPr>
      <w:r>
        <w:rPr>
          <w:rFonts w:ascii="Times New Roman" w:hAnsi="Times New Roman" w:eastAsia="Times New Roman" w:cs="Times New Roman"/>
          <w:b/>
          <w:bCs/>
          <w:spacing w:val="-3"/>
          <w:sz w:val="24"/>
          <w:szCs w:val="24"/>
        </w:rPr>
        <w:t xml:space="preserve">12.1  </w:t>
      </w:r>
      <w:r>
        <w:rPr>
          <w:b/>
          <w:bCs/>
          <w:spacing w:val="-3"/>
          <w:sz w:val="24"/>
          <w:szCs w:val="24"/>
        </w:rPr>
        <w:t>合同价格形式</w:t>
      </w:r>
    </w:p>
    <w:p w14:paraId="2B05FEBE">
      <w:pPr>
        <w:spacing w:before="137" w:line="226" w:lineRule="auto"/>
        <w:ind w:left="423"/>
        <w:rPr>
          <w:rFonts w:ascii="宋体" w:hAnsi="宋体" w:eastAsia="宋体" w:cs="宋体"/>
          <w:sz w:val="20"/>
          <w:szCs w:val="20"/>
        </w:rPr>
      </w:pPr>
      <w:r>
        <w:rPr>
          <w:rFonts w:ascii="宋体" w:hAnsi="宋体" w:eastAsia="宋体" w:cs="宋体"/>
          <w:spacing w:val="9"/>
          <w:sz w:val="20"/>
          <w:szCs w:val="20"/>
        </w:rPr>
        <w:t>发包人和承包人应在合同协议书中选择下列一种合同价格形式：</w:t>
      </w:r>
    </w:p>
    <w:p w14:paraId="1AE94C03">
      <w:pPr>
        <w:spacing w:before="155" w:line="226" w:lineRule="auto"/>
        <w:ind w:left="436"/>
        <w:rPr>
          <w:rFonts w:ascii="宋体" w:hAnsi="宋体" w:eastAsia="宋体" w:cs="宋体"/>
          <w:sz w:val="20"/>
          <w:szCs w:val="20"/>
        </w:rPr>
      </w:pPr>
      <w:r>
        <w:rPr>
          <w:rFonts w:ascii="Times New Roman" w:hAnsi="Times New Roman" w:eastAsia="Times New Roman" w:cs="Times New Roman"/>
          <w:spacing w:val="3"/>
          <w:sz w:val="20"/>
          <w:szCs w:val="20"/>
        </w:rPr>
        <w:t>1.</w:t>
      </w:r>
      <w:r>
        <w:rPr>
          <w:rFonts w:ascii="宋体" w:hAnsi="宋体" w:eastAsia="宋体" w:cs="宋体"/>
          <w:spacing w:val="3"/>
          <w:sz w:val="20"/>
          <w:szCs w:val="20"/>
        </w:rPr>
        <w:t>单价合同</w:t>
      </w:r>
    </w:p>
    <w:p w14:paraId="4EF54C2C">
      <w:pPr>
        <w:spacing w:before="155" w:line="369" w:lineRule="auto"/>
        <w:ind w:right="71" w:firstLine="420"/>
        <w:rPr>
          <w:rFonts w:ascii="宋体" w:hAnsi="宋体" w:eastAsia="宋体" w:cs="宋体"/>
          <w:sz w:val="20"/>
          <w:szCs w:val="20"/>
        </w:rPr>
      </w:pPr>
      <w:r>
        <w:rPr>
          <w:rFonts w:ascii="宋体" w:hAnsi="宋体" w:eastAsia="宋体" w:cs="宋体"/>
          <w:spacing w:val="10"/>
          <w:sz w:val="20"/>
          <w:szCs w:val="20"/>
        </w:rPr>
        <w:t>单价合同是指合同当事人约定以工程量清单及其综合单价进行合同</w:t>
      </w:r>
      <w:r>
        <w:rPr>
          <w:rFonts w:ascii="宋体" w:hAnsi="宋体" w:eastAsia="宋体" w:cs="宋体"/>
          <w:spacing w:val="9"/>
          <w:sz w:val="20"/>
          <w:szCs w:val="20"/>
        </w:rPr>
        <w:t>价格计算、调整和确认的</w:t>
      </w:r>
      <w:r>
        <w:rPr>
          <w:rFonts w:ascii="宋体" w:hAnsi="宋体" w:eastAsia="宋体" w:cs="宋体"/>
          <w:spacing w:val="10"/>
          <w:sz w:val="20"/>
          <w:szCs w:val="20"/>
        </w:rPr>
        <w:t>建设工程施工合同，在约定的范围内合同单价不作调整。合同当事人应</w:t>
      </w:r>
      <w:r>
        <w:rPr>
          <w:rFonts w:ascii="宋体" w:hAnsi="宋体" w:eastAsia="宋体" w:cs="宋体"/>
          <w:spacing w:val="9"/>
          <w:sz w:val="20"/>
          <w:szCs w:val="20"/>
        </w:rPr>
        <w:t>在专用合同条款中约定综</w:t>
      </w:r>
      <w:r>
        <w:rPr>
          <w:rFonts w:ascii="宋体" w:hAnsi="宋体" w:eastAsia="宋体" w:cs="宋体"/>
          <w:spacing w:val="10"/>
          <w:sz w:val="20"/>
          <w:szCs w:val="20"/>
        </w:rPr>
        <w:t>合单价包含的风险范围和风险费用的计算方法，并约定风险范围以外的</w:t>
      </w:r>
      <w:r>
        <w:rPr>
          <w:rFonts w:ascii="宋体" w:hAnsi="宋体" w:eastAsia="宋体" w:cs="宋体"/>
          <w:spacing w:val="9"/>
          <w:sz w:val="20"/>
          <w:szCs w:val="20"/>
        </w:rPr>
        <w:t>合同价格的调整方法，其</w:t>
      </w:r>
      <w:r>
        <w:rPr>
          <w:rFonts w:ascii="宋体" w:hAnsi="宋体" w:eastAsia="宋体" w:cs="宋体"/>
          <w:spacing w:val="7"/>
          <w:sz w:val="20"/>
          <w:szCs w:val="20"/>
        </w:rPr>
        <w:t>中因市场价格波动引起的调整按第</w:t>
      </w:r>
      <w:r>
        <w:rPr>
          <w:rFonts w:ascii="宋体" w:hAnsi="宋体" w:eastAsia="宋体" w:cs="宋体"/>
          <w:spacing w:val="-16"/>
          <w:sz w:val="20"/>
          <w:szCs w:val="20"/>
        </w:rPr>
        <w:t xml:space="preserve"> </w:t>
      </w:r>
      <w:r>
        <w:rPr>
          <w:rFonts w:ascii="Times New Roman" w:hAnsi="Times New Roman" w:eastAsia="Times New Roman" w:cs="Times New Roman"/>
          <w:spacing w:val="7"/>
          <w:sz w:val="20"/>
          <w:szCs w:val="20"/>
        </w:rPr>
        <w:t>11.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款〔市场价格波动引起的调整〕约定执行。</w:t>
      </w:r>
    </w:p>
    <w:p w14:paraId="7D00F6EF">
      <w:pPr>
        <w:spacing w:before="1" w:line="226" w:lineRule="auto"/>
        <w:ind w:left="416"/>
        <w:rPr>
          <w:rFonts w:ascii="宋体" w:hAnsi="宋体" w:eastAsia="宋体" w:cs="宋体"/>
          <w:sz w:val="20"/>
          <w:szCs w:val="20"/>
        </w:rPr>
      </w:pPr>
      <w:r>
        <w:rPr>
          <w:rFonts w:ascii="Times New Roman" w:hAnsi="Times New Roman" w:eastAsia="Times New Roman" w:cs="Times New Roman"/>
          <w:spacing w:val="6"/>
          <w:sz w:val="20"/>
          <w:szCs w:val="20"/>
        </w:rPr>
        <w:t>2.</w:t>
      </w:r>
      <w:r>
        <w:rPr>
          <w:rFonts w:ascii="宋体" w:hAnsi="宋体" w:eastAsia="宋体" w:cs="宋体"/>
          <w:spacing w:val="6"/>
          <w:sz w:val="20"/>
          <w:szCs w:val="20"/>
        </w:rPr>
        <w:t>总价合同</w:t>
      </w:r>
    </w:p>
    <w:p w14:paraId="630E746B">
      <w:pPr>
        <w:spacing w:before="156" w:line="369" w:lineRule="auto"/>
        <w:ind w:right="71" w:firstLine="425"/>
        <w:rPr>
          <w:rFonts w:ascii="宋体" w:hAnsi="宋体" w:eastAsia="宋体" w:cs="宋体"/>
          <w:sz w:val="20"/>
          <w:szCs w:val="20"/>
        </w:rPr>
      </w:pPr>
      <w:r>
        <w:rPr>
          <w:rFonts w:ascii="宋体" w:hAnsi="宋体" w:eastAsia="宋体" w:cs="宋体"/>
          <w:spacing w:val="10"/>
          <w:sz w:val="20"/>
          <w:szCs w:val="20"/>
        </w:rPr>
        <w:t>总价合同是指合同当事人约定以施工图、已标价工程量清</w:t>
      </w:r>
      <w:r>
        <w:rPr>
          <w:rFonts w:ascii="宋体" w:hAnsi="宋体" w:eastAsia="宋体" w:cs="宋体"/>
          <w:spacing w:val="9"/>
          <w:sz w:val="20"/>
          <w:szCs w:val="20"/>
        </w:rPr>
        <w:t>单或预算书及有关条件进行合同价</w:t>
      </w:r>
      <w:r>
        <w:rPr>
          <w:rFonts w:ascii="宋体" w:hAnsi="宋体" w:eastAsia="宋体" w:cs="宋体"/>
          <w:spacing w:val="10"/>
          <w:sz w:val="20"/>
          <w:szCs w:val="20"/>
        </w:rPr>
        <w:t>格计算、调整和确认的建设工程施工合同，在约定的范围内合同总价不作</w:t>
      </w:r>
      <w:r>
        <w:rPr>
          <w:rFonts w:ascii="宋体" w:hAnsi="宋体" w:eastAsia="宋体" w:cs="宋体"/>
          <w:spacing w:val="9"/>
          <w:sz w:val="20"/>
          <w:szCs w:val="20"/>
        </w:rPr>
        <w:t>调整。合同当事人应在</w:t>
      </w:r>
      <w:r>
        <w:rPr>
          <w:rFonts w:ascii="宋体" w:hAnsi="宋体" w:eastAsia="宋体" w:cs="宋体"/>
          <w:spacing w:val="10"/>
          <w:sz w:val="20"/>
          <w:szCs w:val="20"/>
        </w:rPr>
        <w:t>专用合同条款中约定总价包含的风险范围和风险费用的计算方法，并约定</w:t>
      </w:r>
      <w:r>
        <w:rPr>
          <w:rFonts w:ascii="宋体" w:hAnsi="宋体" w:eastAsia="宋体" w:cs="宋体"/>
          <w:spacing w:val="9"/>
          <w:sz w:val="20"/>
          <w:szCs w:val="20"/>
        </w:rPr>
        <w:t>风险范围以外的合同价</w:t>
      </w:r>
      <w:r>
        <w:rPr>
          <w:rFonts w:ascii="宋体" w:hAnsi="宋体" w:eastAsia="宋体" w:cs="宋体"/>
          <w:spacing w:val="7"/>
          <w:sz w:val="20"/>
          <w:szCs w:val="20"/>
        </w:rPr>
        <w:t>格的调整方法，其中因市场价格波动引起的调整按第</w:t>
      </w:r>
      <w:r>
        <w:rPr>
          <w:rFonts w:ascii="宋体" w:hAnsi="宋体" w:eastAsia="宋体" w:cs="宋体"/>
          <w:spacing w:val="-7"/>
          <w:sz w:val="20"/>
          <w:szCs w:val="20"/>
        </w:rPr>
        <w:t xml:space="preserve"> </w:t>
      </w:r>
      <w:r>
        <w:rPr>
          <w:rFonts w:ascii="Times New Roman" w:hAnsi="Times New Roman" w:eastAsia="Times New Roman" w:cs="Times New Roman"/>
          <w:spacing w:val="7"/>
          <w:sz w:val="20"/>
          <w:szCs w:val="20"/>
        </w:rPr>
        <w:t xml:space="preserve">11.1 </w:t>
      </w:r>
      <w:r>
        <w:rPr>
          <w:rFonts w:ascii="宋体" w:hAnsi="宋体" w:eastAsia="宋体" w:cs="宋体"/>
          <w:spacing w:val="7"/>
          <w:sz w:val="20"/>
          <w:szCs w:val="20"/>
        </w:rPr>
        <w:t>款〔市场价格波动引起的调整〕、因法律变化引起的调整按第</w:t>
      </w:r>
      <w:r>
        <w:rPr>
          <w:rFonts w:ascii="宋体" w:hAnsi="宋体" w:eastAsia="宋体" w:cs="宋体"/>
          <w:spacing w:val="-13"/>
          <w:sz w:val="20"/>
          <w:szCs w:val="20"/>
        </w:rPr>
        <w:t xml:space="preserve"> </w:t>
      </w:r>
      <w:r>
        <w:rPr>
          <w:rFonts w:ascii="Times New Roman" w:hAnsi="Times New Roman" w:eastAsia="Times New Roman" w:cs="Times New Roman"/>
          <w:spacing w:val="7"/>
          <w:sz w:val="20"/>
          <w:szCs w:val="20"/>
        </w:rPr>
        <w:t xml:space="preserve">11.2 </w:t>
      </w:r>
      <w:r>
        <w:rPr>
          <w:rFonts w:ascii="宋体" w:hAnsi="宋体" w:eastAsia="宋体" w:cs="宋体"/>
          <w:spacing w:val="7"/>
          <w:sz w:val="20"/>
          <w:szCs w:val="20"/>
        </w:rPr>
        <w:t>款〔法律变化引起的调整〕约定执行。</w:t>
      </w:r>
    </w:p>
    <w:p w14:paraId="4911F260">
      <w:pPr>
        <w:spacing w:line="226" w:lineRule="auto"/>
        <w:ind w:left="420"/>
        <w:rPr>
          <w:rFonts w:ascii="宋体" w:hAnsi="宋体" w:eastAsia="宋体" w:cs="宋体"/>
          <w:sz w:val="20"/>
          <w:szCs w:val="20"/>
        </w:rPr>
      </w:pPr>
      <w:r>
        <w:rPr>
          <w:rFonts w:ascii="Times New Roman" w:hAnsi="Times New Roman" w:eastAsia="Times New Roman" w:cs="Times New Roman"/>
          <w:spacing w:val="6"/>
          <w:sz w:val="20"/>
          <w:szCs w:val="20"/>
        </w:rPr>
        <w:t>3.</w:t>
      </w:r>
      <w:r>
        <w:rPr>
          <w:rFonts w:ascii="宋体" w:hAnsi="宋体" w:eastAsia="宋体" w:cs="宋体"/>
          <w:spacing w:val="6"/>
          <w:sz w:val="20"/>
          <w:szCs w:val="20"/>
        </w:rPr>
        <w:t>其它价格形式</w:t>
      </w:r>
    </w:p>
    <w:p w14:paraId="57487526">
      <w:pPr>
        <w:spacing w:before="156" w:line="226" w:lineRule="auto"/>
        <w:ind w:left="420"/>
        <w:rPr>
          <w:rFonts w:ascii="宋体" w:hAnsi="宋体" w:eastAsia="宋体" w:cs="宋体"/>
          <w:sz w:val="20"/>
          <w:szCs w:val="20"/>
        </w:rPr>
      </w:pPr>
      <w:r>
        <w:rPr>
          <w:rFonts w:ascii="宋体" w:hAnsi="宋体" w:eastAsia="宋体" w:cs="宋体"/>
          <w:spacing w:val="9"/>
          <w:sz w:val="20"/>
          <w:szCs w:val="20"/>
        </w:rPr>
        <w:t>合同当事人可在专用合同条款中约定其他合同价格形式。</w:t>
      </w:r>
    </w:p>
    <w:p w14:paraId="236B9B5F">
      <w:pPr>
        <w:pStyle w:val="2"/>
        <w:spacing w:before="128" w:line="222" w:lineRule="auto"/>
        <w:ind w:left="7"/>
        <w:rPr>
          <w:sz w:val="24"/>
          <w:szCs w:val="24"/>
        </w:rPr>
      </w:pPr>
      <w:r>
        <w:rPr>
          <w:rFonts w:ascii="Times New Roman" w:hAnsi="Times New Roman" w:eastAsia="Times New Roman" w:cs="Times New Roman"/>
          <w:b/>
          <w:bCs/>
          <w:spacing w:val="-5"/>
          <w:sz w:val="24"/>
          <w:szCs w:val="24"/>
        </w:rPr>
        <w:t>12.2</w:t>
      </w:r>
      <w:r>
        <w:rPr>
          <w:rFonts w:ascii="Times New Roman" w:hAnsi="Times New Roman" w:eastAsia="Times New Roman" w:cs="Times New Roman"/>
          <w:b/>
          <w:bCs/>
          <w:spacing w:val="13"/>
          <w:sz w:val="24"/>
          <w:szCs w:val="24"/>
        </w:rPr>
        <w:t xml:space="preserve"> </w:t>
      </w:r>
      <w:r>
        <w:rPr>
          <w:b/>
          <w:bCs/>
          <w:spacing w:val="-5"/>
          <w:sz w:val="24"/>
          <w:szCs w:val="24"/>
        </w:rPr>
        <w:t>预付款</w:t>
      </w:r>
    </w:p>
    <w:p w14:paraId="4A6335DF">
      <w:pPr>
        <w:spacing w:before="137" w:line="228" w:lineRule="auto"/>
        <w:ind w:left="436"/>
        <w:rPr>
          <w:rFonts w:ascii="宋体" w:hAnsi="宋体" w:eastAsia="宋体" w:cs="宋体"/>
          <w:sz w:val="20"/>
          <w:szCs w:val="20"/>
        </w:rPr>
      </w:pPr>
      <w:r>
        <w:rPr>
          <w:rFonts w:ascii="Times New Roman" w:hAnsi="Times New Roman" w:eastAsia="Times New Roman" w:cs="Times New Roman"/>
          <w:spacing w:val="4"/>
          <w:sz w:val="20"/>
          <w:szCs w:val="20"/>
        </w:rPr>
        <w:t xml:space="preserve">12.2.1 </w:t>
      </w:r>
      <w:r>
        <w:rPr>
          <w:rFonts w:ascii="宋体" w:hAnsi="宋体" w:eastAsia="宋体" w:cs="宋体"/>
          <w:spacing w:val="4"/>
          <w:sz w:val="20"/>
          <w:szCs w:val="20"/>
        </w:rPr>
        <w:t>预付款的支付</w:t>
      </w:r>
    </w:p>
    <w:p w14:paraId="577F86CB">
      <w:pPr>
        <w:spacing w:before="154" w:line="369" w:lineRule="auto"/>
        <w:ind w:left="1" w:firstLine="420"/>
        <w:rPr>
          <w:rFonts w:ascii="宋体" w:hAnsi="宋体" w:eastAsia="宋体" w:cs="宋体"/>
          <w:sz w:val="20"/>
          <w:szCs w:val="20"/>
        </w:rPr>
      </w:pPr>
      <w:r>
        <w:rPr>
          <w:rFonts w:ascii="宋体" w:hAnsi="宋体" w:eastAsia="宋体" w:cs="宋体"/>
          <w:spacing w:val="6"/>
          <w:sz w:val="20"/>
          <w:szCs w:val="20"/>
        </w:rPr>
        <w:t>预付款的支付按照专用合同条款约定执行，但至迟应在开工</w:t>
      </w:r>
      <w:r>
        <w:rPr>
          <w:rFonts w:ascii="宋体" w:hAnsi="宋体" w:eastAsia="宋体" w:cs="宋体"/>
          <w:spacing w:val="5"/>
          <w:sz w:val="20"/>
          <w:szCs w:val="20"/>
        </w:rPr>
        <w:t>通知载明的开工日期</w:t>
      </w:r>
      <w:r>
        <w:rPr>
          <w:rFonts w:ascii="宋体" w:hAnsi="宋体" w:eastAsia="宋体" w:cs="宋体"/>
          <w:spacing w:val="-38"/>
          <w:sz w:val="20"/>
          <w:szCs w:val="20"/>
        </w:rPr>
        <w:t xml:space="preserve"> </w:t>
      </w:r>
      <w:r>
        <w:rPr>
          <w:rFonts w:ascii="Times New Roman" w:hAnsi="Times New Roman" w:eastAsia="Times New Roman" w:cs="Times New Roman"/>
          <w:spacing w:val="5"/>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5"/>
          <w:sz w:val="20"/>
          <w:szCs w:val="20"/>
        </w:rPr>
        <w:t>天前支付。</w:t>
      </w:r>
      <w:r>
        <w:rPr>
          <w:rFonts w:ascii="宋体" w:hAnsi="宋体" w:eastAsia="宋体" w:cs="宋体"/>
          <w:spacing w:val="9"/>
          <w:sz w:val="20"/>
          <w:szCs w:val="20"/>
        </w:rPr>
        <w:t>预付款应当用于材料、工程设备、施工设备的采购及修建临时工程、组织施工队伍进场等。</w:t>
      </w:r>
    </w:p>
    <w:p w14:paraId="1B37771D">
      <w:pPr>
        <w:spacing w:before="2" w:line="369" w:lineRule="auto"/>
        <w:ind w:left="3" w:right="71" w:firstLine="428"/>
        <w:rPr>
          <w:rFonts w:ascii="宋体" w:hAnsi="宋体" w:eastAsia="宋体" w:cs="宋体"/>
          <w:sz w:val="20"/>
          <w:szCs w:val="20"/>
        </w:rPr>
      </w:pPr>
      <w:r>
        <w:rPr>
          <w:rFonts w:ascii="宋体" w:hAnsi="宋体" w:eastAsia="宋体" w:cs="宋体"/>
          <w:spacing w:val="9"/>
          <w:sz w:val="20"/>
          <w:szCs w:val="20"/>
        </w:rPr>
        <w:t>除专用合同条款另有约定外，预付款在进度付款中同比例扣回。在颁发工程接收证书前，提前解除合同的，尚未扣完的预付款应与合同价款一并结算。</w:t>
      </w:r>
    </w:p>
    <w:p w14:paraId="44C0A09A">
      <w:pPr>
        <w:spacing w:before="1" w:line="369" w:lineRule="auto"/>
        <w:ind w:left="3" w:right="73" w:firstLine="420"/>
        <w:jc w:val="both"/>
        <w:rPr>
          <w:rFonts w:ascii="宋体" w:hAnsi="宋体" w:eastAsia="宋体" w:cs="宋体"/>
          <w:sz w:val="20"/>
          <w:szCs w:val="20"/>
        </w:rPr>
      </w:pPr>
      <w:r>
        <w:rPr>
          <w:rFonts w:ascii="宋体" w:hAnsi="宋体" w:eastAsia="宋体" w:cs="宋体"/>
          <w:spacing w:val="9"/>
          <w:sz w:val="20"/>
          <w:szCs w:val="20"/>
        </w:rPr>
        <w:t>发包人逾期支付预付款超过</w:t>
      </w:r>
      <w:r>
        <w:rPr>
          <w:rFonts w:ascii="宋体" w:hAnsi="宋体" w:eastAsia="宋体" w:cs="宋体"/>
          <w:spacing w:val="-34"/>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天的，承包人有权向发包人发出要求预付的催告通知，发包人</w:t>
      </w:r>
      <w:r>
        <w:rPr>
          <w:rFonts w:ascii="宋体" w:hAnsi="宋体" w:eastAsia="宋体" w:cs="宋体"/>
          <w:spacing w:val="7"/>
          <w:sz w:val="20"/>
          <w:szCs w:val="20"/>
        </w:rPr>
        <w:t>收到通知后</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天内仍未支付的，承包人有权暂停施工，并按第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1.1</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项〔发包人违约的</w:t>
      </w:r>
      <w:r>
        <w:rPr>
          <w:rFonts w:ascii="宋体" w:hAnsi="宋体" w:eastAsia="宋体" w:cs="宋体"/>
          <w:spacing w:val="6"/>
          <w:sz w:val="20"/>
          <w:szCs w:val="20"/>
        </w:rPr>
        <w:t>情形〕执</w:t>
      </w:r>
      <w:r>
        <w:rPr>
          <w:rFonts w:ascii="宋体" w:hAnsi="宋体" w:eastAsia="宋体" w:cs="宋体"/>
          <w:spacing w:val="-2"/>
          <w:sz w:val="20"/>
          <w:szCs w:val="20"/>
        </w:rPr>
        <w:t>行。</w:t>
      </w:r>
    </w:p>
    <w:p w14:paraId="3096EC2A">
      <w:pPr>
        <w:spacing w:line="227" w:lineRule="auto"/>
        <w:ind w:left="436"/>
        <w:rPr>
          <w:rFonts w:ascii="宋体" w:hAnsi="宋体" w:eastAsia="宋体" w:cs="宋体"/>
          <w:sz w:val="20"/>
          <w:szCs w:val="20"/>
        </w:rPr>
      </w:pPr>
      <w:r>
        <w:rPr>
          <w:rFonts w:ascii="Times New Roman" w:hAnsi="Times New Roman" w:eastAsia="Times New Roman" w:cs="Times New Roman"/>
          <w:spacing w:val="4"/>
          <w:sz w:val="20"/>
          <w:szCs w:val="20"/>
        </w:rPr>
        <w:t xml:space="preserve">12.2.2  </w:t>
      </w:r>
      <w:r>
        <w:rPr>
          <w:rFonts w:ascii="宋体" w:hAnsi="宋体" w:eastAsia="宋体" w:cs="宋体"/>
          <w:spacing w:val="4"/>
          <w:sz w:val="20"/>
          <w:szCs w:val="20"/>
        </w:rPr>
        <w:t>预付款担保</w:t>
      </w:r>
    </w:p>
    <w:p w14:paraId="6BEA7F50">
      <w:pPr>
        <w:spacing w:before="153" w:line="369" w:lineRule="auto"/>
        <w:ind w:right="16" w:firstLine="423"/>
        <w:rPr>
          <w:rFonts w:ascii="宋体" w:hAnsi="宋体" w:eastAsia="宋体" w:cs="宋体"/>
          <w:sz w:val="20"/>
          <w:szCs w:val="20"/>
        </w:rPr>
      </w:pPr>
      <w:r>
        <w:rPr>
          <w:rFonts w:ascii="宋体" w:hAnsi="宋体" w:eastAsia="宋体" w:cs="宋体"/>
          <w:spacing w:val="5"/>
          <w:sz w:val="20"/>
          <w:szCs w:val="20"/>
        </w:rPr>
        <w:t>发包人要求承包人提供预付款担保的，承包人应在发包人支付预付款</w:t>
      </w:r>
      <w:r>
        <w:rPr>
          <w:rFonts w:ascii="宋体" w:hAnsi="宋体" w:eastAsia="宋体" w:cs="宋体"/>
          <w:spacing w:val="-30"/>
          <w:sz w:val="20"/>
          <w:szCs w:val="20"/>
        </w:rPr>
        <w:t xml:space="preserve"> </w:t>
      </w:r>
      <w:r>
        <w:rPr>
          <w:rFonts w:ascii="Times New Roman" w:hAnsi="Times New Roman" w:eastAsia="Times New Roman" w:cs="Times New Roman"/>
          <w:spacing w:val="5"/>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5"/>
          <w:sz w:val="20"/>
          <w:szCs w:val="20"/>
        </w:rPr>
        <w:t>天前提供预付款担保，</w:t>
      </w:r>
      <w:r>
        <w:rPr>
          <w:rFonts w:ascii="宋体" w:hAnsi="宋体" w:eastAsia="宋体" w:cs="宋体"/>
          <w:spacing w:val="10"/>
          <w:sz w:val="20"/>
          <w:szCs w:val="20"/>
        </w:rPr>
        <w:t>专用合同条款另有约定除外。预付款担保可采用银行保函、担保公司</w:t>
      </w:r>
      <w:r>
        <w:rPr>
          <w:rFonts w:ascii="宋体" w:hAnsi="宋体" w:eastAsia="宋体" w:cs="宋体"/>
          <w:spacing w:val="9"/>
          <w:sz w:val="20"/>
          <w:szCs w:val="20"/>
        </w:rPr>
        <w:t>担保等形式，具体由合同当</w:t>
      </w:r>
      <w:r>
        <w:rPr>
          <w:rFonts w:ascii="宋体" w:hAnsi="宋体" w:eastAsia="宋体" w:cs="宋体"/>
          <w:spacing w:val="10"/>
          <w:sz w:val="20"/>
          <w:szCs w:val="20"/>
        </w:rPr>
        <w:t>事人在专用合同条款中约定。在预付款完全</w:t>
      </w:r>
      <w:r>
        <w:rPr>
          <w:rFonts w:ascii="宋体" w:hAnsi="宋体" w:eastAsia="宋体" w:cs="宋体"/>
          <w:spacing w:val="9"/>
          <w:sz w:val="20"/>
          <w:szCs w:val="20"/>
        </w:rPr>
        <w:t>扣回之前，承包人应保证预付款担保持续有效。</w:t>
      </w:r>
    </w:p>
    <w:p w14:paraId="628F4E26">
      <w:pPr>
        <w:spacing w:before="2" w:line="357" w:lineRule="auto"/>
        <w:ind w:right="71" w:firstLine="423"/>
        <w:rPr>
          <w:rFonts w:ascii="宋体" w:hAnsi="宋体" w:eastAsia="宋体" w:cs="宋体"/>
          <w:sz w:val="20"/>
          <w:szCs w:val="20"/>
        </w:rPr>
      </w:pPr>
      <w:r>
        <w:rPr>
          <w:rFonts w:ascii="宋体" w:hAnsi="宋体" w:eastAsia="宋体" w:cs="宋体"/>
          <w:spacing w:val="10"/>
          <w:sz w:val="20"/>
          <w:szCs w:val="20"/>
        </w:rPr>
        <w:t>发包人在工程款中逐期扣回预付款后，预付款担保额度应相应</w:t>
      </w:r>
      <w:r>
        <w:rPr>
          <w:rFonts w:ascii="宋体" w:hAnsi="宋体" w:eastAsia="宋体" w:cs="宋体"/>
          <w:spacing w:val="9"/>
          <w:sz w:val="20"/>
          <w:szCs w:val="20"/>
        </w:rPr>
        <w:t>减少，但剩余的预付款担保金</w:t>
      </w:r>
      <w:r>
        <w:rPr>
          <w:rFonts w:ascii="宋体" w:hAnsi="宋体" w:eastAsia="宋体" w:cs="宋体"/>
          <w:spacing w:val="8"/>
          <w:sz w:val="20"/>
          <w:szCs w:val="20"/>
        </w:rPr>
        <w:t>额不得低于未被扣回的预付款金额。</w:t>
      </w:r>
    </w:p>
    <w:p w14:paraId="6C293585">
      <w:pPr>
        <w:pStyle w:val="2"/>
        <w:spacing w:line="225" w:lineRule="auto"/>
        <w:ind w:left="7"/>
        <w:rPr>
          <w:sz w:val="24"/>
          <w:szCs w:val="24"/>
        </w:rPr>
      </w:pPr>
      <w:r>
        <w:rPr>
          <w:rFonts w:ascii="Times New Roman" w:hAnsi="Times New Roman" w:eastAsia="Times New Roman" w:cs="Times New Roman"/>
          <w:b/>
          <w:bCs/>
          <w:spacing w:val="-6"/>
          <w:sz w:val="24"/>
          <w:szCs w:val="24"/>
        </w:rPr>
        <w:t>12.3</w:t>
      </w:r>
      <w:r>
        <w:rPr>
          <w:rFonts w:ascii="Times New Roman" w:hAnsi="Times New Roman" w:eastAsia="Times New Roman" w:cs="Times New Roman"/>
          <w:b/>
          <w:bCs/>
          <w:spacing w:val="14"/>
          <w:sz w:val="24"/>
          <w:szCs w:val="24"/>
        </w:rPr>
        <w:t xml:space="preserve"> </w:t>
      </w:r>
      <w:r>
        <w:rPr>
          <w:b/>
          <w:bCs/>
          <w:spacing w:val="-6"/>
          <w:sz w:val="24"/>
          <w:szCs w:val="24"/>
        </w:rPr>
        <w:t>计量</w:t>
      </w:r>
    </w:p>
    <w:p w14:paraId="699D7A51">
      <w:pPr>
        <w:spacing w:before="132" w:line="228" w:lineRule="auto"/>
        <w:ind w:left="436"/>
        <w:rPr>
          <w:rFonts w:ascii="宋体" w:hAnsi="宋体" w:eastAsia="宋体" w:cs="宋体"/>
          <w:sz w:val="20"/>
          <w:szCs w:val="20"/>
        </w:rPr>
      </w:pPr>
      <w:r>
        <w:rPr>
          <w:rFonts w:ascii="Times New Roman" w:hAnsi="Times New Roman" w:eastAsia="Times New Roman" w:cs="Times New Roman"/>
          <w:spacing w:val="3"/>
          <w:sz w:val="20"/>
          <w:szCs w:val="20"/>
        </w:rPr>
        <w:t xml:space="preserve">12.3.1  </w:t>
      </w:r>
      <w:r>
        <w:rPr>
          <w:rFonts w:ascii="宋体" w:hAnsi="宋体" w:eastAsia="宋体" w:cs="宋体"/>
          <w:spacing w:val="3"/>
          <w:sz w:val="20"/>
          <w:szCs w:val="20"/>
        </w:rPr>
        <w:t>计量原则</w:t>
      </w:r>
    </w:p>
    <w:p w14:paraId="4C1250EA">
      <w:pPr>
        <w:spacing w:line="228" w:lineRule="auto"/>
        <w:rPr>
          <w:rFonts w:ascii="宋体" w:hAnsi="宋体" w:eastAsia="宋体" w:cs="宋体"/>
          <w:sz w:val="20"/>
          <w:szCs w:val="20"/>
        </w:rPr>
        <w:sectPr>
          <w:footerReference r:id="rId266" w:type="default"/>
          <w:pgSz w:w="11906" w:h="16839"/>
          <w:pgMar w:top="400" w:right="1483" w:bottom="1038" w:left="1539" w:header="0" w:footer="785" w:gutter="0"/>
          <w:cols w:space="720" w:num="1"/>
        </w:sectPr>
      </w:pPr>
    </w:p>
    <w:p w14:paraId="46B10E2F">
      <w:pPr>
        <w:spacing w:line="271" w:lineRule="auto"/>
        <w:rPr>
          <w:rFonts w:ascii="Arial"/>
          <w:sz w:val="21"/>
        </w:rPr>
      </w:pPr>
    </w:p>
    <w:p w14:paraId="3E345265">
      <w:pPr>
        <w:spacing w:line="271" w:lineRule="auto"/>
        <w:rPr>
          <w:rFonts w:ascii="Arial"/>
          <w:sz w:val="21"/>
        </w:rPr>
      </w:pPr>
    </w:p>
    <w:p w14:paraId="45DB5DAE">
      <w:pPr>
        <w:spacing w:line="272" w:lineRule="auto"/>
        <w:rPr>
          <w:rFonts w:ascii="Arial"/>
          <w:sz w:val="21"/>
        </w:rPr>
      </w:pPr>
    </w:p>
    <w:p w14:paraId="2D4783C2">
      <w:pPr>
        <w:spacing w:line="272" w:lineRule="auto"/>
        <w:rPr>
          <w:rFonts w:ascii="Arial"/>
          <w:sz w:val="21"/>
        </w:rPr>
      </w:pPr>
    </w:p>
    <w:p w14:paraId="668EEF25">
      <w:pPr>
        <w:spacing w:before="65" w:line="369" w:lineRule="auto"/>
        <w:ind w:left="1" w:firstLine="422"/>
        <w:rPr>
          <w:rFonts w:ascii="宋体" w:hAnsi="宋体" w:eastAsia="宋体" w:cs="宋体"/>
          <w:sz w:val="20"/>
          <w:szCs w:val="20"/>
        </w:rPr>
      </w:pPr>
      <w:r>
        <w:rPr>
          <w:rFonts w:ascii="宋体" w:hAnsi="宋体" w:eastAsia="宋体" w:cs="宋体"/>
          <w:spacing w:val="10"/>
          <w:sz w:val="20"/>
          <w:szCs w:val="20"/>
        </w:rPr>
        <w:t>工程量计量按照合同约定的工程量计算规则、图纸及变更指示等</w:t>
      </w:r>
      <w:r>
        <w:rPr>
          <w:rFonts w:ascii="宋体" w:hAnsi="宋体" w:eastAsia="宋体" w:cs="宋体"/>
          <w:spacing w:val="9"/>
          <w:sz w:val="20"/>
          <w:szCs w:val="20"/>
        </w:rPr>
        <w:t>进行计量。工程量计算规则</w:t>
      </w:r>
      <w:r>
        <w:rPr>
          <w:rFonts w:ascii="宋体" w:hAnsi="宋体" w:eastAsia="宋体" w:cs="宋体"/>
          <w:spacing w:val="8"/>
          <w:sz w:val="20"/>
          <w:szCs w:val="20"/>
        </w:rPr>
        <w:t>应以相关的国家标准、行业标准等为依据，</w:t>
      </w:r>
      <w:r>
        <w:rPr>
          <w:rFonts w:ascii="宋体" w:hAnsi="宋体" w:eastAsia="宋体" w:cs="宋体"/>
          <w:spacing w:val="-51"/>
          <w:sz w:val="20"/>
          <w:szCs w:val="20"/>
        </w:rPr>
        <w:t xml:space="preserve"> </w:t>
      </w:r>
      <w:r>
        <w:rPr>
          <w:rFonts w:ascii="宋体" w:hAnsi="宋体" w:eastAsia="宋体" w:cs="宋体"/>
          <w:spacing w:val="8"/>
          <w:sz w:val="20"/>
          <w:szCs w:val="20"/>
        </w:rPr>
        <w:t>由合同当事人在专用合同条款中约定。</w:t>
      </w:r>
    </w:p>
    <w:p w14:paraId="5C5631D8">
      <w:pPr>
        <w:spacing w:line="228"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12.3.2  </w:t>
      </w:r>
      <w:r>
        <w:rPr>
          <w:rFonts w:ascii="宋体" w:hAnsi="宋体" w:eastAsia="宋体" w:cs="宋体"/>
          <w:spacing w:val="3"/>
          <w:sz w:val="20"/>
          <w:szCs w:val="20"/>
        </w:rPr>
        <w:t>计量周期</w:t>
      </w:r>
    </w:p>
    <w:p w14:paraId="0D84717B">
      <w:pPr>
        <w:spacing w:before="153" w:line="228" w:lineRule="auto"/>
        <w:ind w:left="434"/>
        <w:rPr>
          <w:rFonts w:ascii="宋体" w:hAnsi="宋体" w:eastAsia="宋体" w:cs="宋体"/>
          <w:sz w:val="20"/>
          <w:szCs w:val="20"/>
        </w:rPr>
      </w:pPr>
      <w:r>
        <w:rPr>
          <w:rFonts w:ascii="宋体" w:hAnsi="宋体" w:eastAsia="宋体" w:cs="宋体"/>
          <w:spacing w:val="8"/>
          <w:sz w:val="20"/>
          <w:szCs w:val="20"/>
        </w:rPr>
        <w:t>除专用合同条款另有约定外，工程量的计量按月进行。</w:t>
      </w:r>
    </w:p>
    <w:p w14:paraId="3BD49706">
      <w:pPr>
        <w:spacing w:before="152" w:line="226"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12.3.3  </w:t>
      </w:r>
      <w:r>
        <w:rPr>
          <w:rFonts w:ascii="宋体" w:hAnsi="宋体" w:eastAsia="宋体" w:cs="宋体"/>
          <w:spacing w:val="4"/>
          <w:sz w:val="20"/>
          <w:szCs w:val="20"/>
        </w:rPr>
        <w:t>单价合同的计量</w:t>
      </w:r>
    </w:p>
    <w:p w14:paraId="5449D153">
      <w:pPr>
        <w:spacing w:before="155" w:line="226" w:lineRule="auto"/>
        <w:ind w:left="434"/>
        <w:rPr>
          <w:rFonts w:ascii="宋体" w:hAnsi="宋体" w:eastAsia="宋体" w:cs="宋体"/>
          <w:sz w:val="20"/>
          <w:szCs w:val="20"/>
        </w:rPr>
      </w:pPr>
      <w:r>
        <w:rPr>
          <w:rFonts w:ascii="宋体" w:hAnsi="宋体" w:eastAsia="宋体" w:cs="宋体"/>
          <w:spacing w:val="9"/>
          <w:sz w:val="20"/>
          <w:szCs w:val="20"/>
        </w:rPr>
        <w:t>除专用合同条款另有约定外，单价合同的计量按照本项</w:t>
      </w:r>
      <w:r>
        <w:rPr>
          <w:rFonts w:ascii="宋体" w:hAnsi="宋体" w:eastAsia="宋体" w:cs="宋体"/>
          <w:spacing w:val="8"/>
          <w:sz w:val="20"/>
          <w:szCs w:val="20"/>
        </w:rPr>
        <w:t>约定执行：</w:t>
      </w:r>
    </w:p>
    <w:p w14:paraId="7ED77FB9">
      <w:pPr>
        <w:spacing w:before="155" w:line="369" w:lineRule="auto"/>
        <w:ind w:left="5" w:right="2" w:firstLine="425"/>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1</w:t>
      </w:r>
      <w:r>
        <w:rPr>
          <w:rFonts w:ascii="宋体" w:hAnsi="宋体" w:eastAsia="宋体" w:cs="宋体"/>
          <w:spacing w:val="5"/>
          <w:sz w:val="20"/>
          <w:szCs w:val="20"/>
        </w:rPr>
        <w:t>）承包人应于每月</w:t>
      </w:r>
      <w:r>
        <w:rPr>
          <w:rFonts w:ascii="宋体" w:hAnsi="宋体" w:eastAsia="宋体" w:cs="宋体"/>
          <w:spacing w:val="-43"/>
          <w:sz w:val="20"/>
          <w:szCs w:val="20"/>
        </w:rPr>
        <w:t xml:space="preserve"> </w:t>
      </w:r>
      <w:r>
        <w:rPr>
          <w:rFonts w:ascii="Times New Roman" w:hAnsi="Times New Roman" w:eastAsia="Times New Roman" w:cs="Times New Roman"/>
          <w:spacing w:val="5"/>
          <w:sz w:val="20"/>
          <w:szCs w:val="20"/>
        </w:rPr>
        <w:t>25</w:t>
      </w:r>
      <w:r>
        <w:rPr>
          <w:rFonts w:ascii="Times New Roman" w:hAnsi="Times New Roman" w:eastAsia="Times New Roman" w:cs="Times New Roman"/>
          <w:spacing w:val="45"/>
          <w:w w:val="101"/>
          <w:sz w:val="20"/>
          <w:szCs w:val="20"/>
        </w:rPr>
        <w:t xml:space="preserve"> </w:t>
      </w:r>
      <w:r>
        <w:rPr>
          <w:rFonts w:ascii="宋体" w:hAnsi="宋体" w:eastAsia="宋体" w:cs="宋体"/>
          <w:spacing w:val="5"/>
          <w:sz w:val="20"/>
          <w:szCs w:val="20"/>
        </w:rPr>
        <w:t>日向监理人报送上月</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20</w:t>
      </w:r>
      <w:r>
        <w:rPr>
          <w:rFonts w:ascii="Times New Roman" w:hAnsi="Times New Roman" w:eastAsia="Times New Roman" w:cs="Times New Roman"/>
          <w:spacing w:val="46"/>
          <w:sz w:val="20"/>
          <w:szCs w:val="20"/>
        </w:rPr>
        <w:t xml:space="preserve"> </w:t>
      </w:r>
      <w:r>
        <w:rPr>
          <w:rFonts w:ascii="宋体" w:hAnsi="宋体" w:eastAsia="宋体" w:cs="宋体"/>
          <w:spacing w:val="5"/>
          <w:sz w:val="20"/>
          <w:szCs w:val="20"/>
        </w:rPr>
        <w:t>日至当月</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19</w:t>
      </w:r>
      <w:r>
        <w:rPr>
          <w:rFonts w:ascii="Times New Roman" w:hAnsi="Times New Roman" w:eastAsia="Times New Roman" w:cs="Times New Roman"/>
          <w:spacing w:val="45"/>
          <w:w w:val="101"/>
          <w:sz w:val="20"/>
          <w:szCs w:val="20"/>
        </w:rPr>
        <w:t xml:space="preserve"> </w:t>
      </w:r>
      <w:r>
        <w:rPr>
          <w:rFonts w:ascii="宋体" w:hAnsi="宋体" w:eastAsia="宋体" w:cs="宋体"/>
          <w:spacing w:val="5"/>
          <w:sz w:val="20"/>
          <w:szCs w:val="20"/>
        </w:rPr>
        <w:t>日</w:t>
      </w:r>
      <w:r>
        <w:rPr>
          <w:rFonts w:ascii="宋体" w:hAnsi="宋体" w:eastAsia="宋体" w:cs="宋体"/>
          <w:spacing w:val="4"/>
          <w:sz w:val="20"/>
          <w:szCs w:val="20"/>
        </w:rPr>
        <w:t>已完成的工程量报告，并附</w:t>
      </w:r>
      <w:r>
        <w:rPr>
          <w:rFonts w:ascii="宋体" w:hAnsi="宋体" w:eastAsia="宋体" w:cs="宋体"/>
          <w:spacing w:val="9"/>
          <w:sz w:val="20"/>
          <w:szCs w:val="20"/>
        </w:rPr>
        <w:t>具进度付款申请单、已完成工程量报表和有关</w:t>
      </w:r>
      <w:r>
        <w:rPr>
          <w:rFonts w:ascii="宋体" w:hAnsi="宋体" w:eastAsia="宋体" w:cs="宋体"/>
          <w:spacing w:val="8"/>
          <w:sz w:val="20"/>
          <w:szCs w:val="20"/>
        </w:rPr>
        <w:t>资料。</w:t>
      </w:r>
    </w:p>
    <w:p w14:paraId="755167AA">
      <w:pPr>
        <w:spacing w:before="1" w:line="369" w:lineRule="auto"/>
        <w:ind w:left="1" w:firstLine="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）监理人应在收到承包人提交的工程量报告后</w:t>
      </w:r>
      <w:r>
        <w:rPr>
          <w:rFonts w:ascii="宋体" w:hAnsi="宋体" w:eastAsia="宋体" w:cs="宋体"/>
          <w:spacing w:val="-34"/>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天内完成对承包人提交的工程量报表的审</w:t>
      </w:r>
      <w:r>
        <w:rPr>
          <w:rFonts w:ascii="宋体" w:hAnsi="宋体" w:eastAsia="宋体" w:cs="宋体"/>
          <w:spacing w:val="10"/>
          <w:sz w:val="20"/>
          <w:szCs w:val="20"/>
        </w:rPr>
        <w:t>核并报送发包人，以确定当月实际完成的工程量。监理人对工程量有异议</w:t>
      </w:r>
      <w:r>
        <w:rPr>
          <w:rFonts w:ascii="宋体" w:hAnsi="宋体" w:eastAsia="宋体" w:cs="宋体"/>
          <w:spacing w:val="9"/>
          <w:sz w:val="20"/>
          <w:szCs w:val="20"/>
        </w:rPr>
        <w:t>的，有权要求承包人进</w:t>
      </w:r>
      <w:r>
        <w:rPr>
          <w:rFonts w:ascii="宋体" w:hAnsi="宋体" w:eastAsia="宋体" w:cs="宋体"/>
          <w:spacing w:val="10"/>
          <w:sz w:val="20"/>
          <w:szCs w:val="20"/>
        </w:rPr>
        <w:t>行共同复核或抽样复测。承包人应协助监理人进行复核或抽样复测，并按</w:t>
      </w:r>
      <w:r>
        <w:rPr>
          <w:rFonts w:ascii="宋体" w:hAnsi="宋体" w:eastAsia="宋体" w:cs="宋体"/>
          <w:spacing w:val="9"/>
          <w:sz w:val="20"/>
          <w:szCs w:val="20"/>
        </w:rPr>
        <w:t>监理人要求提供补充计</w:t>
      </w:r>
      <w:r>
        <w:rPr>
          <w:rFonts w:ascii="宋体" w:hAnsi="宋体" w:eastAsia="宋体" w:cs="宋体"/>
          <w:spacing w:val="10"/>
          <w:sz w:val="20"/>
          <w:szCs w:val="20"/>
        </w:rPr>
        <w:t>量资料。承包人未按监理人要求参加复核或抽样复测的，监理人复核或修</w:t>
      </w:r>
      <w:r>
        <w:rPr>
          <w:rFonts w:ascii="宋体" w:hAnsi="宋体" w:eastAsia="宋体" w:cs="宋体"/>
          <w:spacing w:val="9"/>
          <w:sz w:val="20"/>
          <w:szCs w:val="20"/>
        </w:rPr>
        <w:t>正的工程量视为承包人</w:t>
      </w:r>
      <w:r>
        <w:rPr>
          <w:rFonts w:ascii="宋体" w:hAnsi="宋体" w:eastAsia="宋体" w:cs="宋体"/>
          <w:spacing w:val="7"/>
          <w:sz w:val="20"/>
          <w:szCs w:val="20"/>
        </w:rPr>
        <w:t>实际完成的工程量。</w:t>
      </w:r>
    </w:p>
    <w:p w14:paraId="0AEC6DDC">
      <w:pPr>
        <w:spacing w:before="2" w:line="369" w:lineRule="auto"/>
        <w:ind w:firstLine="431"/>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）监理人未在收到承包人提交的工程量报表后的</w:t>
      </w:r>
      <w:r>
        <w:rPr>
          <w:rFonts w:ascii="宋体" w:hAnsi="宋体" w:eastAsia="宋体" w:cs="宋体"/>
          <w:spacing w:val="-22"/>
          <w:sz w:val="20"/>
          <w:szCs w:val="20"/>
        </w:rPr>
        <w:t xml:space="preserve"> </w:t>
      </w:r>
      <w:r>
        <w:rPr>
          <w:rFonts w:ascii="Times New Roman" w:hAnsi="Times New Roman" w:eastAsia="Times New Roman" w:cs="Times New Roman"/>
          <w:spacing w:val="6"/>
          <w:sz w:val="20"/>
          <w:szCs w:val="20"/>
        </w:rPr>
        <w:t xml:space="preserve">7 </w:t>
      </w:r>
      <w:r>
        <w:rPr>
          <w:rFonts w:ascii="宋体" w:hAnsi="宋体" w:eastAsia="宋体" w:cs="宋体"/>
          <w:spacing w:val="6"/>
          <w:sz w:val="20"/>
          <w:szCs w:val="20"/>
        </w:rPr>
        <w:t>天内完成审核的，承包人报送的工程量</w:t>
      </w:r>
      <w:r>
        <w:rPr>
          <w:rFonts w:ascii="宋体" w:hAnsi="宋体" w:eastAsia="宋体" w:cs="宋体"/>
          <w:spacing w:val="9"/>
          <w:sz w:val="20"/>
          <w:szCs w:val="20"/>
        </w:rPr>
        <w:t>报告中的工程量视为承包人实际完成的工程量，据此计算工程价款。</w:t>
      </w:r>
    </w:p>
    <w:p w14:paraId="312E4162">
      <w:pPr>
        <w:spacing w:line="226"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12.3.4  </w:t>
      </w:r>
      <w:r>
        <w:rPr>
          <w:rFonts w:ascii="宋体" w:hAnsi="宋体" w:eastAsia="宋体" w:cs="宋体"/>
          <w:spacing w:val="4"/>
          <w:sz w:val="20"/>
          <w:szCs w:val="20"/>
        </w:rPr>
        <w:t>总价合同的计量</w:t>
      </w:r>
    </w:p>
    <w:p w14:paraId="4B0C069B">
      <w:pPr>
        <w:spacing w:before="154" w:line="226" w:lineRule="auto"/>
        <w:ind w:left="434"/>
        <w:rPr>
          <w:rFonts w:ascii="宋体" w:hAnsi="宋体" w:eastAsia="宋体" w:cs="宋体"/>
          <w:sz w:val="20"/>
          <w:szCs w:val="20"/>
        </w:rPr>
      </w:pPr>
      <w:r>
        <w:rPr>
          <w:rFonts w:ascii="宋体" w:hAnsi="宋体" w:eastAsia="宋体" w:cs="宋体"/>
          <w:spacing w:val="9"/>
          <w:sz w:val="20"/>
          <w:szCs w:val="20"/>
        </w:rPr>
        <w:t>除专用合同条款另有约定外，按月计量支付的总价合同，按照本项约定执行：</w:t>
      </w:r>
    </w:p>
    <w:p w14:paraId="240F731E">
      <w:pPr>
        <w:spacing w:before="155" w:line="369" w:lineRule="auto"/>
        <w:ind w:left="5" w:right="2" w:firstLine="425"/>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1</w:t>
      </w:r>
      <w:r>
        <w:rPr>
          <w:rFonts w:ascii="宋体" w:hAnsi="宋体" w:eastAsia="宋体" w:cs="宋体"/>
          <w:spacing w:val="5"/>
          <w:sz w:val="20"/>
          <w:szCs w:val="20"/>
        </w:rPr>
        <w:t>）承包人应于每月</w:t>
      </w:r>
      <w:r>
        <w:rPr>
          <w:rFonts w:ascii="宋体" w:hAnsi="宋体" w:eastAsia="宋体" w:cs="宋体"/>
          <w:spacing w:val="-43"/>
          <w:sz w:val="20"/>
          <w:szCs w:val="20"/>
        </w:rPr>
        <w:t xml:space="preserve"> </w:t>
      </w:r>
      <w:r>
        <w:rPr>
          <w:rFonts w:ascii="Times New Roman" w:hAnsi="Times New Roman" w:eastAsia="Times New Roman" w:cs="Times New Roman"/>
          <w:spacing w:val="5"/>
          <w:sz w:val="20"/>
          <w:szCs w:val="20"/>
        </w:rPr>
        <w:t>25</w:t>
      </w:r>
      <w:r>
        <w:rPr>
          <w:rFonts w:ascii="Times New Roman" w:hAnsi="Times New Roman" w:eastAsia="Times New Roman" w:cs="Times New Roman"/>
          <w:spacing w:val="45"/>
          <w:w w:val="101"/>
          <w:sz w:val="20"/>
          <w:szCs w:val="20"/>
        </w:rPr>
        <w:t xml:space="preserve"> </w:t>
      </w:r>
      <w:r>
        <w:rPr>
          <w:rFonts w:ascii="宋体" w:hAnsi="宋体" w:eastAsia="宋体" w:cs="宋体"/>
          <w:spacing w:val="5"/>
          <w:sz w:val="20"/>
          <w:szCs w:val="20"/>
        </w:rPr>
        <w:t>日向监理人报送上月</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20</w:t>
      </w:r>
      <w:r>
        <w:rPr>
          <w:rFonts w:ascii="Times New Roman" w:hAnsi="Times New Roman" w:eastAsia="Times New Roman" w:cs="Times New Roman"/>
          <w:spacing w:val="46"/>
          <w:sz w:val="20"/>
          <w:szCs w:val="20"/>
        </w:rPr>
        <w:t xml:space="preserve"> </w:t>
      </w:r>
      <w:r>
        <w:rPr>
          <w:rFonts w:ascii="宋体" w:hAnsi="宋体" w:eastAsia="宋体" w:cs="宋体"/>
          <w:spacing w:val="5"/>
          <w:sz w:val="20"/>
          <w:szCs w:val="20"/>
        </w:rPr>
        <w:t>日至当月</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19</w:t>
      </w:r>
      <w:r>
        <w:rPr>
          <w:rFonts w:ascii="Times New Roman" w:hAnsi="Times New Roman" w:eastAsia="Times New Roman" w:cs="Times New Roman"/>
          <w:spacing w:val="45"/>
          <w:w w:val="101"/>
          <w:sz w:val="20"/>
          <w:szCs w:val="20"/>
        </w:rPr>
        <w:t xml:space="preserve"> </w:t>
      </w:r>
      <w:r>
        <w:rPr>
          <w:rFonts w:ascii="宋体" w:hAnsi="宋体" w:eastAsia="宋体" w:cs="宋体"/>
          <w:spacing w:val="5"/>
          <w:sz w:val="20"/>
          <w:szCs w:val="20"/>
        </w:rPr>
        <w:t>日</w:t>
      </w:r>
      <w:r>
        <w:rPr>
          <w:rFonts w:ascii="宋体" w:hAnsi="宋体" w:eastAsia="宋体" w:cs="宋体"/>
          <w:spacing w:val="4"/>
          <w:sz w:val="20"/>
          <w:szCs w:val="20"/>
        </w:rPr>
        <w:t>已完成的工程量报告，并附</w:t>
      </w:r>
      <w:r>
        <w:rPr>
          <w:rFonts w:ascii="宋体" w:hAnsi="宋体" w:eastAsia="宋体" w:cs="宋体"/>
          <w:spacing w:val="9"/>
          <w:sz w:val="20"/>
          <w:szCs w:val="20"/>
        </w:rPr>
        <w:t>具进度付款申请单、已完成工程量报表和有关</w:t>
      </w:r>
      <w:r>
        <w:rPr>
          <w:rFonts w:ascii="宋体" w:hAnsi="宋体" w:eastAsia="宋体" w:cs="宋体"/>
          <w:spacing w:val="8"/>
          <w:sz w:val="20"/>
          <w:szCs w:val="20"/>
        </w:rPr>
        <w:t>资料。</w:t>
      </w:r>
    </w:p>
    <w:p w14:paraId="480D3758">
      <w:pPr>
        <w:spacing w:before="3" w:line="369" w:lineRule="auto"/>
        <w:ind w:left="4" w:firstLine="427"/>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）监理人应在收到承包人提交的工程量报告后</w:t>
      </w:r>
      <w:r>
        <w:rPr>
          <w:rFonts w:ascii="宋体" w:hAnsi="宋体" w:eastAsia="宋体" w:cs="宋体"/>
          <w:spacing w:val="-34"/>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天内完成对承包人提交的工程量报表的审</w:t>
      </w:r>
      <w:r>
        <w:rPr>
          <w:rFonts w:ascii="宋体" w:hAnsi="宋体" w:eastAsia="宋体" w:cs="宋体"/>
          <w:spacing w:val="10"/>
          <w:sz w:val="20"/>
          <w:szCs w:val="20"/>
        </w:rPr>
        <w:t>核并报送发包人，以确定当月实际完成的工程量。监理人对工程量有</w:t>
      </w:r>
      <w:r>
        <w:rPr>
          <w:rFonts w:ascii="宋体" w:hAnsi="宋体" w:eastAsia="宋体" w:cs="宋体"/>
          <w:spacing w:val="9"/>
          <w:sz w:val="20"/>
          <w:szCs w:val="20"/>
        </w:rPr>
        <w:t>异议的，有权要求承包人进</w:t>
      </w:r>
      <w:r>
        <w:rPr>
          <w:rFonts w:ascii="宋体" w:hAnsi="宋体" w:eastAsia="宋体" w:cs="宋体"/>
          <w:spacing w:val="10"/>
          <w:sz w:val="20"/>
          <w:szCs w:val="20"/>
        </w:rPr>
        <w:t>行共同复核或抽样复测。承包人应协助监理人进行复核或抽样复测并</w:t>
      </w:r>
      <w:r>
        <w:rPr>
          <w:rFonts w:ascii="宋体" w:hAnsi="宋体" w:eastAsia="宋体" w:cs="宋体"/>
          <w:spacing w:val="9"/>
          <w:sz w:val="20"/>
          <w:szCs w:val="20"/>
        </w:rPr>
        <w:t>按监理人要求提供补充计量</w:t>
      </w:r>
      <w:r>
        <w:rPr>
          <w:rFonts w:ascii="宋体" w:hAnsi="宋体" w:eastAsia="宋体" w:cs="宋体"/>
          <w:spacing w:val="10"/>
          <w:sz w:val="20"/>
          <w:szCs w:val="20"/>
        </w:rPr>
        <w:t>资料。承包人未按监理人要求参加复核或抽样复测的，监理人审核或</w:t>
      </w:r>
      <w:r>
        <w:rPr>
          <w:rFonts w:ascii="宋体" w:hAnsi="宋体" w:eastAsia="宋体" w:cs="宋体"/>
          <w:spacing w:val="9"/>
          <w:sz w:val="20"/>
          <w:szCs w:val="20"/>
        </w:rPr>
        <w:t>修正的工程量视为承包人实</w:t>
      </w:r>
      <w:r>
        <w:rPr>
          <w:rFonts w:ascii="宋体" w:hAnsi="宋体" w:eastAsia="宋体" w:cs="宋体"/>
          <w:spacing w:val="7"/>
          <w:sz w:val="20"/>
          <w:szCs w:val="20"/>
        </w:rPr>
        <w:t>际完成的工程量。</w:t>
      </w:r>
    </w:p>
    <w:p w14:paraId="6B76E6E4">
      <w:pPr>
        <w:spacing w:before="1" w:line="368" w:lineRule="auto"/>
        <w:ind w:firstLine="431"/>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）监理人未在收到承包人提交的工程量报表后的</w:t>
      </w:r>
      <w:r>
        <w:rPr>
          <w:rFonts w:ascii="宋体" w:hAnsi="宋体" w:eastAsia="宋体" w:cs="宋体"/>
          <w:spacing w:val="-22"/>
          <w:sz w:val="20"/>
          <w:szCs w:val="20"/>
        </w:rPr>
        <w:t xml:space="preserve"> </w:t>
      </w:r>
      <w:r>
        <w:rPr>
          <w:rFonts w:ascii="Times New Roman" w:hAnsi="Times New Roman" w:eastAsia="Times New Roman" w:cs="Times New Roman"/>
          <w:spacing w:val="6"/>
          <w:sz w:val="20"/>
          <w:szCs w:val="20"/>
        </w:rPr>
        <w:t xml:space="preserve">7 </w:t>
      </w:r>
      <w:r>
        <w:rPr>
          <w:rFonts w:ascii="宋体" w:hAnsi="宋体" w:eastAsia="宋体" w:cs="宋体"/>
          <w:spacing w:val="6"/>
          <w:sz w:val="20"/>
          <w:szCs w:val="20"/>
        </w:rPr>
        <w:t>天内完成复核的，承包人提交的工程量</w:t>
      </w:r>
      <w:r>
        <w:rPr>
          <w:rFonts w:ascii="宋体" w:hAnsi="宋体" w:eastAsia="宋体" w:cs="宋体"/>
          <w:spacing w:val="9"/>
          <w:sz w:val="20"/>
          <w:szCs w:val="20"/>
        </w:rPr>
        <w:t>报告中的工程量视为承包人实际完成的工程量。</w:t>
      </w:r>
    </w:p>
    <w:p w14:paraId="063C5F28">
      <w:pPr>
        <w:spacing w:before="1" w:line="369" w:lineRule="auto"/>
        <w:ind w:firstLine="437"/>
        <w:rPr>
          <w:rFonts w:ascii="宋体" w:hAnsi="宋体" w:eastAsia="宋体" w:cs="宋体"/>
          <w:sz w:val="20"/>
          <w:szCs w:val="20"/>
        </w:rPr>
      </w:pPr>
      <w:r>
        <w:rPr>
          <w:rFonts w:ascii="Times New Roman" w:hAnsi="Times New Roman" w:eastAsia="Times New Roman" w:cs="Times New Roman"/>
          <w:spacing w:val="7"/>
          <w:sz w:val="20"/>
          <w:szCs w:val="20"/>
        </w:rPr>
        <w:t xml:space="preserve">12.3.5  </w:t>
      </w:r>
      <w:r>
        <w:rPr>
          <w:rFonts w:ascii="宋体" w:hAnsi="宋体" w:eastAsia="宋体" w:cs="宋体"/>
          <w:spacing w:val="7"/>
          <w:sz w:val="20"/>
          <w:szCs w:val="20"/>
        </w:rPr>
        <w:t>总价合同采用支付分解表计量支付的，可以按照第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12.3.4</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项〔总价合同的计</w:t>
      </w:r>
      <w:r>
        <w:rPr>
          <w:rFonts w:ascii="宋体" w:hAnsi="宋体" w:eastAsia="宋体" w:cs="宋体"/>
          <w:spacing w:val="6"/>
          <w:sz w:val="20"/>
          <w:szCs w:val="20"/>
        </w:rPr>
        <w:t>量〕约定</w:t>
      </w:r>
      <w:r>
        <w:rPr>
          <w:rFonts w:ascii="宋体" w:hAnsi="宋体" w:eastAsia="宋体" w:cs="宋体"/>
          <w:spacing w:val="9"/>
          <w:sz w:val="20"/>
          <w:szCs w:val="20"/>
        </w:rPr>
        <w:t>进行计量，但合同价款按照支付分解表进行支付。</w:t>
      </w:r>
    </w:p>
    <w:p w14:paraId="2B55F374">
      <w:pPr>
        <w:spacing w:line="226"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12.3.6  </w:t>
      </w:r>
      <w:r>
        <w:rPr>
          <w:rFonts w:ascii="宋体" w:hAnsi="宋体" w:eastAsia="宋体" w:cs="宋体"/>
          <w:spacing w:val="5"/>
          <w:sz w:val="20"/>
          <w:szCs w:val="20"/>
        </w:rPr>
        <w:t>其他价格形式合同的计量</w:t>
      </w:r>
    </w:p>
    <w:p w14:paraId="26AF2593">
      <w:pPr>
        <w:spacing w:before="156" w:line="226" w:lineRule="auto"/>
        <w:ind w:left="422"/>
        <w:rPr>
          <w:rFonts w:ascii="宋体" w:hAnsi="宋体" w:eastAsia="宋体" w:cs="宋体"/>
          <w:sz w:val="20"/>
          <w:szCs w:val="20"/>
        </w:rPr>
      </w:pPr>
      <w:r>
        <w:rPr>
          <w:rFonts w:ascii="宋体" w:hAnsi="宋体" w:eastAsia="宋体" w:cs="宋体"/>
          <w:spacing w:val="9"/>
          <w:sz w:val="20"/>
          <w:szCs w:val="20"/>
        </w:rPr>
        <w:t>合同当事人可在专用合同条款中约定其他价格形式合同的计量方式和程序。</w:t>
      </w:r>
    </w:p>
    <w:p w14:paraId="57F478D7">
      <w:pPr>
        <w:pStyle w:val="2"/>
        <w:spacing w:before="128" w:line="222" w:lineRule="auto"/>
        <w:ind w:left="9"/>
        <w:rPr>
          <w:sz w:val="24"/>
          <w:szCs w:val="24"/>
        </w:rPr>
      </w:pPr>
      <w:r>
        <w:rPr>
          <w:rFonts w:ascii="Times New Roman" w:hAnsi="Times New Roman" w:eastAsia="Times New Roman" w:cs="Times New Roman"/>
          <w:b/>
          <w:bCs/>
          <w:spacing w:val="-3"/>
          <w:sz w:val="24"/>
          <w:szCs w:val="24"/>
        </w:rPr>
        <w:t xml:space="preserve">12.4 </w:t>
      </w:r>
      <w:r>
        <w:rPr>
          <w:b/>
          <w:bCs/>
          <w:spacing w:val="-3"/>
          <w:sz w:val="24"/>
          <w:szCs w:val="24"/>
        </w:rPr>
        <w:t>工程进度款支付</w:t>
      </w:r>
    </w:p>
    <w:p w14:paraId="74AAF4C1">
      <w:pPr>
        <w:spacing w:before="137" w:line="228"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12.4.1  </w:t>
      </w:r>
      <w:r>
        <w:rPr>
          <w:rFonts w:ascii="宋体" w:hAnsi="宋体" w:eastAsia="宋体" w:cs="宋体"/>
          <w:spacing w:val="3"/>
          <w:sz w:val="20"/>
          <w:szCs w:val="20"/>
        </w:rPr>
        <w:t>付款周期</w:t>
      </w:r>
    </w:p>
    <w:p w14:paraId="0121CA70">
      <w:pPr>
        <w:spacing w:before="154" w:line="369" w:lineRule="auto"/>
        <w:ind w:left="4" w:right="2" w:firstLine="429"/>
        <w:rPr>
          <w:rFonts w:ascii="宋体" w:hAnsi="宋体" w:eastAsia="宋体" w:cs="宋体"/>
          <w:sz w:val="20"/>
          <w:szCs w:val="20"/>
        </w:rPr>
      </w:pPr>
      <w:r>
        <w:rPr>
          <w:rFonts w:ascii="宋体" w:hAnsi="宋体" w:eastAsia="宋体" w:cs="宋体"/>
          <w:spacing w:val="8"/>
          <w:sz w:val="20"/>
          <w:szCs w:val="20"/>
        </w:rPr>
        <w:t>除专用合同条款另有约定外，付款周期应按照第</w:t>
      </w:r>
      <w:r>
        <w:rPr>
          <w:rFonts w:ascii="宋体" w:hAnsi="宋体" w:eastAsia="宋体" w:cs="宋体"/>
          <w:spacing w:val="-23"/>
          <w:sz w:val="20"/>
          <w:szCs w:val="20"/>
        </w:rPr>
        <w:t xml:space="preserve"> </w:t>
      </w:r>
      <w:r>
        <w:rPr>
          <w:rFonts w:ascii="Times New Roman" w:hAnsi="Times New Roman" w:eastAsia="Times New Roman" w:cs="Times New Roman"/>
          <w:spacing w:val="8"/>
          <w:sz w:val="20"/>
          <w:szCs w:val="20"/>
        </w:rPr>
        <w:t>12.3.2</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项〔计量周</w:t>
      </w:r>
      <w:r>
        <w:rPr>
          <w:rFonts w:ascii="宋体" w:hAnsi="宋体" w:eastAsia="宋体" w:cs="宋体"/>
          <w:spacing w:val="7"/>
          <w:sz w:val="20"/>
          <w:szCs w:val="20"/>
        </w:rPr>
        <w:t>期〕的约定与计量周期保</w:t>
      </w:r>
      <w:r>
        <w:rPr>
          <w:rFonts w:ascii="宋体" w:hAnsi="宋体" w:eastAsia="宋体" w:cs="宋体"/>
          <w:spacing w:val="4"/>
          <w:sz w:val="20"/>
          <w:szCs w:val="20"/>
        </w:rPr>
        <w:t>持一致。</w:t>
      </w:r>
    </w:p>
    <w:p w14:paraId="066BB7C4">
      <w:pPr>
        <w:spacing w:before="1" w:line="227"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12.4.2  </w:t>
      </w:r>
      <w:r>
        <w:rPr>
          <w:rFonts w:ascii="宋体" w:hAnsi="宋体" w:eastAsia="宋体" w:cs="宋体"/>
          <w:spacing w:val="5"/>
          <w:sz w:val="20"/>
          <w:szCs w:val="20"/>
        </w:rPr>
        <w:t>进度付款申请单的编制</w:t>
      </w:r>
    </w:p>
    <w:p w14:paraId="3BC5BC47">
      <w:pPr>
        <w:spacing w:line="227" w:lineRule="auto"/>
        <w:rPr>
          <w:rFonts w:ascii="宋体" w:hAnsi="宋体" w:eastAsia="宋体" w:cs="宋体"/>
          <w:sz w:val="20"/>
          <w:szCs w:val="20"/>
        </w:rPr>
        <w:sectPr>
          <w:footerReference r:id="rId267" w:type="default"/>
          <w:pgSz w:w="11906" w:h="16839"/>
          <w:pgMar w:top="400" w:right="1554" w:bottom="1038" w:left="1537" w:header="0" w:footer="785" w:gutter="0"/>
          <w:cols w:space="720" w:num="1"/>
        </w:sectPr>
      </w:pPr>
    </w:p>
    <w:p w14:paraId="15E96DC7">
      <w:pPr>
        <w:spacing w:line="271" w:lineRule="auto"/>
        <w:rPr>
          <w:rFonts w:ascii="Arial"/>
          <w:sz w:val="21"/>
        </w:rPr>
      </w:pPr>
    </w:p>
    <w:p w14:paraId="40BE5532">
      <w:pPr>
        <w:spacing w:line="271" w:lineRule="auto"/>
        <w:rPr>
          <w:rFonts w:ascii="Arial"/>
          <w:sz w:val="21"/>
        </w:rPr>
      </w:pPr>
    </w:p>
    <w:p w14:paraId="18354D1E">
      <w:pPr>
        <w:spacing w:line="272" w:lineRule="auto"/>
        <w:rPr>
          <w:rFonts w:ascii="Arial"/>
          <w:sz w:val="21"/>
        </w:rPr>
      </w:pPr>
    </w:p>
    <w:p w14:paraId="7656B9A8">
      <w:pPr>
        <w:spacing w:line="272" w:lineRule="auto"/>
        <w:rPr>
          <w:rFonts w:ascii="Arial"/>
          <w:sz w:val="21"/>
        </w:rPr>
      </w:pPr>
    </w:p>
    <w:p w14:paraId="6F7A8574">
      <w:pPr>
        <w:spacing w:before="65" w:line="228" w:lineRule="auto"/>
        <w:ind w:left="434"/>
        <w:rPr>
          <w:rFonts w:ascii="宋体" w:hAnsi="宋体" w:eastAsia="宋体" w:cs="宋体"/>
          <w:sz w:val="20"/>
          <w:szCs w:val="20"/>
        </w:rPr>
      </w:pPr>
      <w:r>
        <w:rPr>
          <w:rFonts w:ascii="宋体" w:hAnsi="宋体" w:eastAsia="宋体" w:cs="宋体"/>
          <w:spacing w:val="9"/>
          <w:sz w:val="20"/>
          <w:szCs w:val="20"/>
        </w:rPr>
        <w:t>除专用合同条款另有约定外，进度付款申请单应包括</w:t>
      </w:r>
      <w:r>
        <w:rPr>
          <w:rFonts w:ascii="宋体" w:hAnsi="宋体" w:eastAsia="宋体" w:cs="宋体"/>
          <w:spacing w:val="8"/>
          <w:sz w:val="20"/>
          <w:szCs w:val="20"/>
        </w:rPr>
        <w:t>下列内容：</w:t>
      </w:r>
    </w:p>
    <w:p w14:paraId="3BCEBF4B">
      <w:pPr>
        <w:spacing w:before="151" w:line="227"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）截至本次付款周期已完成工作对应的金额；</w:t>
      </w:r>
    </w:p>
    <w:p w14:paraId="27C1AEE4">
      <w:pPr>
        <w:spacing w:before="154" w:line="228" w:lineRule="auto"/>
        <w:ind w:left="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）根据第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10 </w:t>
      </w:r>
      <w:r>
        <w:rPr>
          <w:rFonts w:ascii="宋体" w:hAnsi="宋体" w:eastAsia="宋体" w:cs="宋体"/>
          <w:spacing w:val="7"/>
          <w:sz w:val="20"/>
          <w:szCs w:val="20"/>
        </w:rPr>
        <w:t>条〔变更〕应增加和扣减的变更金</w:t>
      </w:r>
      <w:r>
        <w:rPr>
          <w:rFonts w:ascii="宋体" w:hAnsi="宋体" w:eastAsia="宋体" w:cs="宋体"/>
          <w:spacing w:val="6"/>
          <w:sz w:val="20"/>
          <w:szCs w:val="20"/>
        </w:rPr>
        <w:t>额；</w:t>
      </w:r>
    </w:p>
    <w:p w14:paraId="662FFC8E">
      <w:pPr>
        <w:spacing w:before="154" w:line="228" w:lineRule="auto"/>
        <w:ind w:left="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）根据第</w:t>
      </w:r>
      <w:r>
        <w:rPr>
          <w:rFonts w:ascii="宋体" w:hAnsi="宋体" w:eastAsia="宋体" w:cs="宋体"/>
          <w:spacing w:val="-7"/>
          <w:sz w:val="20"/>
          <w:szCs w:val="20"/>
        </w:rPr>
        <w:t xml:space="preserve"> </w:t>
      </w:r>
      <w:r>
        <w:rPr>
          <w:rFonts w:ascii="Times New Roman" w:hAnsi="Times New Roman" w:eastAsia="Times New Roman" w:cs="Times New Roman"/>
          <w:spacing w:val="7"/>
          <w:sz w:val="20"/>
          <w:szCs w:val="20"/>
        </w:rPr>
        <w:t xml:space="preserve">12.2 </w:t>
      </w:r>
      <w:r>
        <w:rPr>
          <w:rFonts w:ascii="宋体" w:hAnsi="宋体" w:eastAsia="宋体" w:cs="宋体"/>
          <w:spacing w:val="7"/>
          <w:sz w:val="20"/>
          <w:szCs w:val="20"/>
        </w:rPr>
        <w:t>款〔预付款〕约定应支付的预付款和扣减的返还预付款；</w:t>
      </w:r>
    </w:p>
    <w:p w14:paraId="79D30A7D">
      <w:pPr>
        <w:spacing w:before="151" w:line="228" w:lineRule="auto"/>
        <w:ind w:left="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）根据第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15.3 </w:t>
      </w:r>
      <w:r>
        <w:rPr>
          <w:rFonts w:ascii="宋体" w:hAnsi="宋体" w:eastAsia="宋体" w:cs="宋体"/>
          <w:spacing w:val="7"/>
          <w:sz w:val="20"/>
          <w:szCs w:val="20"/>
        </w:rPr>
        <w:t>款〔质量保证金〕约定应扣减的质量保证金；</w:t>
      </w:r>
    </w:p>
    <w:p w14:paraId="526E58DB">
      <w:pPr>
        <w:spacing w:before="154" w:line="228" w:lineRule="auto"/>
        <w:ind w:left="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）根据第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19 </w:t>
      </w:r>
      <w:r>
        <w:rPr>
          <w:rFonts w:ascii="宋体" w:hAnsi="宋体" w:eastAsia="宋体" w:cs="宋体"/>
          <w:spacing w:val="7"/>
          <w:sz w:val="20"/>
          <w:szCs w:val="20"/>
        </w:rPr>
        <w:t>条〔索赔〕应增加和扣减的索赔金</w:t>
      </w:r>
      <w:r>
        <w:rPr>
          <w:rFonts w:ascii="宋体" w:hAnsi="宋体" w:eastAsia="宋体" w:cs="宋体"/>
          <w:spacing w:val="6"/>
          <w:sz w:val="20"/>
          <w:szCs w:val="20"/>
        </w:rPr>
        <w:t>额；</w:t>
      </w:r>
    </w:p>
    <w:p w14:paraId="1568896A">
      <w:pPr>
        <w:spacing w:before="154" w:line="227" w:lineRule="auto"/>
        <w:jc w:val="right"/>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6</w:t>
      </w:r>
      <w:r>
        <w:rPr>
          <w:rFonts w:ascii="宋体" w:hAnsi="宋体" w:eastAsia="宋体" w:cs="宋体"/>
          <w:spacing w:val="3"/>
          <w:sz w:val="20"/>
          <w:szCs w:val="20"/>
        </w:rPr>
        <w:t>）对已签发的进度款支付证书中出现错误的修正，应在本次进度付款中支付或扣除的金额；</w:t>
      </w:r>
    </w:p>
    <w:p w14:paraId="47EA1C46">
      <w:pPr>
        <w:spacing w:before="152" w:line="228"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7</w:t>
      </w:r>
      <w:r>
        <w:rPr>
          <w:rFonts w:ascii="宋体" w:hAnsi="宋体" w:eastAsia="宋体" w:cs="宋体"/>
          <w:spacing w:val="8"/>
          <w:sz w:val="20"/>
          <w:szCs w:val="20"/>
        </w:rPr>
        <w:t>）根据合同约定应增加和扣减的其他金额。</w:t>
      </w:r>
    </w:p>
    <w:p w14:paraId="3729A45B">
      <w:pPr>
        <w:spacing w:before="154" w:line="228"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12.4.3  </w:t>
      </w:r>
      <w:r>
        <w:rPr>
          <w:rFonts w:ascii="宋体" w:hAnsi="宋体" w:eastAsia="宋体" w:cs="宋体"/>
          <w:spacing w:val="5"/>
          <w:sz w:val="20"/>
          <w:szCs w:val="20"/>
        </w:rPr>
        <w:t>进度付款申请单的提交</w:t>
      </w:r>
    </w:p>
    <w:p w14:paraId="08F4E145">
      <w:pPr>
        <w:spacing w:before="154" w:line="226"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）单价合同进度付款申请单的提交</w:t>
      </w:r>
    </w:p>
    <w:p w14:paraId="572006BE">
      <w:pPr>
        <w:spacing w:before="154" w:line="369" w:lineRule="auto"/>
        <w:ind w:left="2" w:right="54" w:firstLine="420"/>
        <w:rPr>
          <w:rFonts w:ascii="宋体" w:hAnsi="宋体" w:eastAsia="宋体" w:cs="宋体"/>
          <w:sz w:val="20"/>
          <w:szCs w:val="20"/>
        </w:rPr>
      </w:pPr>
      <w:r>
        <w:rPr>
          <w:rFonts w:ascii="宋体" w:hAnsi="宋体" w:eastAsia="宋体" w:cs="宋体"/>
          <w:spacing w:val="8"/>
          <w:sz w:val="20"/>
          <w:szCs w:val="20"/>
        </w:rPr>
        <w:t>单价合同的进度付款申请单，按照第</w:t>
      </w:r>
      <w:r>
        <w:rPr>
          <w:rFonts w:ascii="宋体" w:hAnsi="宋体" w:eastAsia="宋体" w:cs="宋体"/>
          <w:spacing w:val="-16"/>
          <w:sz w:val="20"/>
          <w:szCs w:val="20"/>
        </w:rPr>
        <w:t xml:space="preserve"> </w:t>
      </w:r>
      <w:r>
        <w:rPr>
          <w:rFonts w:ascii="Times New Roman" w:hAnsi="Times New Roman" w:eastAsia="Times New Roman" w:cs="Times New Roman"/>
          <w:spacing w:val="8"/>
          <w:sz w:val="20"/>
          <w:szCs w:val="20"/>
        </w:rPr>
        <w:t xml:space="preserve">12.3.3 </w:t>
      </w:r>
      <w:r>
        <w:rPr>
          <w:rFonts w:ascii="宋体" w:hAnsi="宋体" w:eastAsia="宋体" w:cs="宋体"/>
          <w:spacing w:val="8"/>
          <w:sz w:val="20"/>
          <w:szCs w:val="20"/>
        </w:rPr>
        <w:t>项〔单价合同的计量〕约定的时间按月向监理人</w:t>
      </w:r>
      <w:r>
        <w:rPr>
          <w:rFonts w:ascii="宋体" w:hAnsi="宋体" w:eastAsia="宋体" w:cs="宋体"/>
          <w:spacing w:val="10"/>
          <w:sz w:val="20"/>
          <w:szCs w:val="20"/>
        </w:rPr>
        <w:t>提交，并附上已完成工程量报表和有关资料。单价合同中的总价项目按</w:t>
      </w:r>
      <w:r>
        <w:rPr>
          <w:rFonts w:ascii="宋体" w:hAnsi="宋体" w:eastAsia="宋体" w:cs="宋体"/>
          <w:spacing w:val="9"/>
          <w:sz w:val="20"/>
          <w:szCs w:val="20"/>
        </w:rPr>
        <w:t>月进行支付分解，并汇总</w:t>
      </w:r>
      <w:r>
        <w:rPr>
          <w:rFonts w:ascii="宋体" w:hAnsi="宋体" w:eastAsia="宋体" w:cs="宋体"/>
          <w:spacing w:val="8"/>
          <w:sz w:val="20"/>
          <w:szCs w:val="20"/>
        </w:rPr>
        <w:t>列入当期进度付款申请单。</w:t>
      </w:r>
    </w:p>
    <w:p w14:paraId="519E36C4">
      <w:pPr>
        <w:spacing w:before="1" w:line="226"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）总价合同进度付款申请单的提交</w:t>
      </w:r>
    </w:p>
    <w:p w14:paraId="6B570A46">
      <w:pPr>
        <w:spacing w:before="155" w:line="369" w:lineRule="auto"/>
        <w:ind w:left="4" w:right="56" w:firstLine="423"/>
        <w:rPr>
          <w:rFonts w:ascii="宋体" w:hAnsi="宋体" w:eastAsia="宋体" w:cs="宋体"/>
          <w:sz w:val="20"/>
          <w:szCs w:val="20"/>
        </w:rPr>
      </w:pPr>
      <w:r>
        <w:rPr>
          <w:rFonts w:ascii="宋体" w:hAnsi="宋体" w:eastAsia="宋体" w:cs="宋体"/>
          <w:spacing w:val="8"/>
          <w:sz w:val="20"/>
          <w:szCs w:val="20"/>
        </w:rPr>
        <w:t>总价合同按月计量支付的，承包人按照第</w:t>
      </w:r>
      <w:r>
        <w:rPr>
          <w:rFonts w:ascii="宋体" w:hAnsi="宋体" w:eastAsia="宋体" w:cs="宋体"/>
          <w:spacing w:val="-20"/>
          <w:sz w:val="20"/>
          <w:szCs w:val="20"/>
        </w:rPr>
        <w:t xml:space="preserve"> </w:t>
      </w:r>
      <w:r>
        <w:rPr>
          <w:rFonts w:ascii="Times New Roman" w:hAnsi="Times New Roman" w:eastAsia="Times New Roman" w:cs="Times New Roman"/>
          <w:spacing w:val="8"/>
          <w:sz w:val="20"/>
          <w:szCs w:val="20"/>
        </w:rPr>
        <w:t xml:space="preserve">12.3.4 </w:t>
      </w:r>
      <w:r>
        <w:rPr>
          <w:rFonts w:ascii="宋体" w:hAnsi="宋体" w:eastAsia="宋体" w:cs="宋体"/>
          <w:spacing w:val="8"/>
          <w:sz w:val="20"/>
          <w:szCs w:val="20"/>
        </w:rPr>
        <w:t>项〔总价合同的计量〕约定的时间按月向监</w:t>
      </w:r>
      <w:r>
        <w:rPr>
          <w:rFonts w:ascii="宋体" w:hAnsi="宋体" w:eastAsia="宋体" w:cs="宋体"/>
          <w:spacing w:val="9"/>
          <w:sz w:val="20"/>
          <w:szCs w:val="20"/>
        </w:rPr>
        <w:t>理人提交进度付款申请单，并附上已完成工程量报表和有关资料。</w:t>
      </w:r>
    </w:p>
    <w:p w14:paraId="5BDC9A65">
      <w:pPr>
        <w:spacing w:before="2" w:line="369" w:lineRule="auto"/>
        <w:ind w:right="56" w:firstLine="426"/>
        <w:rPr>
          <w:rFonts w:ascii="宋体" w:hAnsi="宋体" w:eastAsia="宋体" w:cs="宋体"/>
          <w:sz w:val="20"/>
          <w:szCs w:val="20"/>
        </w:rPr>
      </w:pPr>
      <w:r>
        <w:rPr>
          <w:rFonts w:ascii="宋体" w:hAnsi="宋体" w:eastAsia="宋体" w:cs="宋体"/>
          <w:spacing w:val="7"/>
          <w:sz w:val="20"/>
          <w:szCs w:val="20"/>
        </w:rPr>
        <w:t>总价合同按支付分解表支付的，承包人应按照第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12.4.6</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项〔支付</w:t>
      </w:r>
      <w:r>
        <w:rPr>
          <w:rFonts w:ascii="宋体" w:hAnsi="宋体" w:eastAsia="宋体" w:cs="宋体"/>
          <w:spacing w:val="6"/>
          <w:sz w:val="20"/>
          <w:szCs w:val="20"/>
        </w:rPr>
        <w:t>分解表〕及第</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 xml:space="preserve">12.4.2 </w:t>
      </w:r>
      <w:r>
        <w:rPr>
          <w:rFonts w:ascii="宋体" w:hAnsi="宋体" w:eastAsia="宋体" w:cs="宋体"/>
          <w:spacing w:val="6"/>
          <w:sz w:val="20"/>
          <w:szCs w:val="20"/>
        </w:rPr>
        <w:t>项〔进</w:t>
      </w:r>
      <w:r>
        <w:rPr>
          <w:rFonts w:ascii="宋体" w:hAnsi="宋体" w:eastAsia="宋体" w:cs="宋体"/>
          <w:spacing w:val="9"/>
          <w:sz w:val="20"/>
          <w:szCs w:val="20"/>
        </w:rPr>
        <w:t>度付款申请单的编制〕的约定向监理人提交进度付款申请单。</w:t>
      </w:r>
    </w:p>
    <w:p w14:paraId="5E9C3318">
      <w:pPr>
        <w:spacing w:line="226"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）其他价格形式合同的进度付款申请单的提交</w:t>
      </w:r>
    </w:p>
    <w:p w14:paraId="083F0EA7">
      <w:pPr>
        <w:spacing w:before="154" w:line="370" w:lineRule="auto"/>
        <w:ind w:right="54" w:firstLine="421"/>
        <w:rPr>
          <w:rFonts w:ascii="宋体" w:hAnsi="宋体" w:eastAsia="宋体" w:cs="宋体"/>
          <w:sz w:val="20"/>
          <w:szCs w:val="20"/>
        </w:rPr>
      </w:pPr>
      <w:r>
        <w:rPr>
          <w:rFonts w:ascii="宋体" w:hAnsi="宋体" w:eastAsia="宋体" w:cs="宋体"/>
          <w:spacing w:val="15"/>
          <w:sz w:val="20"/>
          <w:szCs w:val="20"/>
        </w:rPr>
        <w:t>合同当事人可在专用合同条款中约定其他价格形式合同的进度付款申请单的编制和提交程</w:t>
      </w:r>
      <w:r>
        <w:rPr>
          <w:rFonts w:ascii="宋体" w:hAnsi="宋体" w:eastAsia="宋体" w:cs="宋体"/>
          <w:sz w:val="20"/>
          <w:szCs w:val="20"/>
        </w:rPr>
        <w:t>序。</w:t>
      </w:r>
    </w:p>
    <w:p w14:paraId="781A5FDF">
      <w:pPr>
        <w:spacing w:line="227"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12.4.4  </w:t>
      </w:r>
      <w:r>
        <w:rPr>
          <w:rFonts w:ascii="宋体" w:hAnsi="宋体" w:eastAsia="宋体" w:cs="宋体"/>
          <w:spacing w:val="5"/>
          <w:sz w:val="20"/>
          <w:szCs w:val="20"/>
        </w:rPr>
        <w:t>进度款审核和支付</w:t>
      </w:r>
    </w:p>
    <w:p w14:paraId="646B3CB9">
      <w:pPr>
        <w:spacing w:before="153" w:line="369" w:lineRule="auto"/>
        <w:ind w:right="53" w:firstLine="431"/>
        <w:jc w:val="both"/>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）除专用合同条款另有约定外，监理人应在收到承包人进度付</w:t>
      </w:r>
      <w:r>
        <w:rPr>
          <w:rFonts w:ascii="宋体" w:hAnsi="宋体" w:eastAsia="宋体" w:cs="宋体"/>
          <w:spacing w:val="7"/>
          <w:sz w:val="20"/>
          <w:szCs w:val="20"/>
        </w:rPr>
        <w:t>款申请单以及相关资料后</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7</w:t>
      </w:r>
      <w:r>
        <w:rPr>
          <w:rFonts w:ascii="宋体" w:hAnsi="宋体" w:eastAsia="宋体" w:cs="宋体"/>
          <w:spacing w:val="9"/>
          <w:sz w:val="20"/>
          <w:szCs w:val="20"/>
        </w:rPr>
        <w:t>天内完成审查并报送发包人，发包人应在收到后</w:t>
      </w:r>
      <w:r>
        <w:rPr>
          <w:rFonts w:ascii="宋体" w:hAnsi="宋体" w:eastAsia="宋体" w:cs="宋体"/>
          <w:spacing w:val="-32"/>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天内完成审批并签发进度款支付证书。发包人逾期未完成审批且未提出异议的，视为已签发进度款支付证书。</w:t>
      </w:r>
    </w:p>
    <w:p w14:paraId="7AFD241C">
      <w:pPr>
        <w:spacing w:before="3" w:line="369" w:lineRule="auto"/>
        <w:ind w:left="1" w:firstLine="423"/>
        <w:jc w:val="both"/>
        <w:rPr>
          <w:rFonts w:ascii="宋体" w:hAnsi="宋体" w:eastAsia="宋体" w:cs="宋体"/>
          <w:sz w:val="20"/>
          <w:szCs w:val="20"/>
        </w:rPr>
      </w:pPr>
      <w:r>
        <w:rPr>
          <w:rFonts w:ascii="宋体" w:hAnsi="宋体" w:eastAsia="宋体" w:cs="宋体"/>
          <w:spacing w:val="6"/>
          <w:sz w:val="20"/>
          <w:szCs w:val="20"/>
        </w:rPr>
        <w:t>发包人和监理人对承包人的进度付款申请单有异议的，有权要求承包人修正和提供补</w:t>
      </w:r>
      <w:r>
        <w:rPr>
          <w:rFonts w:ascii="宋体" w:hAnsi="宋体" w:eastAsia="宋体" w:cs="宋体"/>
          <w:spacing w:val="5"/>
          <w:sz w:val="20"/>
          <w:szCs w:val="20"/>
        </w:rPr>
        <w:t>充资料，</w:t>
      </w:r>
      <w:r>
        <w:rPr>
          <w:rFonts w:ascii="宋体" w:hAnsi="宋体" w:eastAsia="宋体" w:cs="宋体"/>
          <w:spacing w:val="10"/>
          <w:sz w:val="20"/>
          <w:szCs w:val="20"/>
        </w:rPr>
        <w:t>承包人应提交修正后的进度付款申请单。监理人应在收到承包人修正后的</w:t>
      </w:r>
      <w:r>
        <w:rPr>
          <w:rFonts w:ascii="宋体" w:hAnsi="宋体" w:eastAsia="宋体" w:cs="宋体"/>
          <w:spacing w:val="9"/>
          <w:sz w:val="20"/>
          <w:szCs w:val="20"/>
        </w:rPr>
        <w:t>进度付款申请单及相关资料后</w:t>
      </w:r>
      <w:r>
        <w:rPr>
          <w:rFonts w:ascii="宋体" w:hAnsi="宋体" w:eastAsia="宋体" w:cs="宋体"/>
          <w:spacing w:val="-34"/>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天内完成审查并报送发包人，发包人应在收到监理人报送的进度付款申请单及相关资料</w:t>
      </w:r>
      <w:r>
        <w:rPr>
          <w:rFonts w:ascii="宋体" w:hAnsi="宋体" w:eastAsia="宋体" w:cs="宋体"/>
          <w:spacing w:val="6"/>
          <w:sz w:val="20"/>
          <w:szCs w:val="20"/>
        </w:rPr>
        <w:t>后</w:t>
      </w:r>
      <w:r>
        <w:rPr>
          <w:rFonts w:ascii="宋体" w:hAnsi="宋体" w:eastAsia="宋体" w:cs="宋体"/>
          <w:spacing w:val="-27"/>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6"/>
          <w:sz w:val="20"/>
          <w:szCs w:val="20"/>
        </w:rPr>
        <w:t>天内，向承包人签发无异议部分的临时进度款支付证书。存在争议的部分，按照第</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 xml:space="preserve">20 </w:t>
      </w:r>
      <w:r>
        <w:rPr>
          <w:rFonts w:ascii="宋体" w:hAnsi="宋体" w:eastAsia="宋体" w:cs="宋体"/>
          <w:spacing w:val="6"/>
          <w:sz w:val="20"/>
          <w:szCs w:val="20"/>
        </w:rPr>
        <w:t>条〔争</w:t>
      </w:r>
      <w:r>
        <w:rPr>
          <w:rFonts w:ascii="宋体" w:hAnsi="宋体" w:eastAsia="宋体" w:cs="宋体"/>
          <w:spacing w:val="8"/>
          <w:sz w:val="20"/>
          <w:szCs w:val="20"/>
        </w:rPr>
        <w:t>议解决〕的约定处理。</w:t>
      </w:r>
    </w:p>
    <w:p w14:paraId="5062C384">
      <w:pPr>
        <w:spacing w:line="369" w:lineRule="auto"/>
        <w:ind w:left="2" w:right="54" w:firstLine="42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）除专用合同条款另有约定外，发包人应在进度款支付证书或临时进度款</w:t>
      </w:r>
      <w:r>
        <w:rPr>
          <w:rFonts w:ascii="宋体" w:hAnsi="宋体" w:eastAsia="宋体" w:cs="宋体"/>
          <w:spacing w:val="6"/>
          <w:sz w:val="20"/>
          <w:szCs w:val="20"/>
        </w:rPr>
        <w:t>支付证书签发后</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天内完成支付，发包人逾期支付进度款的，应按照中国人民银行发布的同期同类贷款基准利率</w:t>
      </w:r>
      <w:r>
        <w:rPr>
          <w:rFonts w:ascii="宋体" w:hAnsi="宋体" w:eastAsia="宋体" w:cs="宋体"/>
          <w:spacing w:val="6"/>
          <w:sz w:val="20"/>
          <w:szCs w:val="20"/>
        </w:rPr>
        <w:t>支付违约金。</w:t>
      </w:r>
    </w:p>
    <w:p w14:paraId="676B45FD">
      <w:pPr>
        <w:spacing w:before="1" w:line="369" w:lineRule="auto"/>
        <w:ind w:left="20" w:right="56" w:firstLine="41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）发包人签发进度款支付证书或临时进度款支付证书，不表明发包人</w:t>
      </w:r>
      <w:r>
        <w:rPr>
          <w:rFonts w:ascii="宋体" w:hAnsi="宋体" w:eastAsia="宋体" w:cs="宋体"/>
          <w:spacing w:val="6"/>
          <w:sz w:val="20"/>
          <w:szCs w:val="20"/>
        </w:rPr>
        <w:t>已同意、批准或接受</w:t>
      </w:r>
      <w:r>
        <w:rPr>
          <w:rFonts w:ascii="宋体" w:hAnsi="宋体" w:eastAsia="宋体" w:cs="宋体"/>
          <w:spacing w:val="7"/>
          <w:sz w:val="20"/>
          <w:szCs w:val="20"/>
        </w:rPr>
        <w:t>了承包人完成的相应部分的工作。</w:t>
      </w:r>
    </w:p>
    <w:p w14:paraId="03A26790">
      <w:pPr>
        <w:spacing w:line="369" w:lineRule="auto"/>
        <w:rPr>
          <w:rFonts w:ascii="宋体" w:hAnsi="宋体" w:eastAsia="宋体" w:cs="宋体"/>
          <w:sz w:val="20"/>
          <w:szCs w:val="20"/>
        </w:rPr>
        <w:sectPr>
          <w:footerReference r:id="rId268" w:type="default"/>
          <w:pgSz w:w="11906" w:h="16839"/>
          <w:pgMar w:top="400" w:right="1500" w:bottom="1038" w:left="1537" w:header="0" w:footer="787" w:gutter="0"/>
          <w:cols w:space="720" w:num="1"/>
        </w:sectPr>
      </w:pPr>
    </w:p>
    <w:p w14:paraId="28E835AD">
      <w:pPr>
        <w:spacing w:line="271" w:lineRule="auto"/>
        <w:rPr>
          <w:rFonts w:ascii="Arial"/>
          <w:sz w:val="21"/>
        </w:rPr>
      </w:pPr>
    </w:p>
    <w:p w14:paraId="1A3FEFC9">
      <w:pPr>
        <w:spacing w:line="271" w:lineRule="auto"/>
        <w:rPr>
          <w:rFonts w:ascii="Arial"/>
          <w:sz w:val="21"/>
        </w:rPr>
      </w:pPr>
    </w:p>
    <w:p w14:paraId="4FF64461">
      <w:pPr>
        <w:spacing w:line="272" w:lineRule="auto"/>
        <w:rPr>
          <w:rFonts w:ascii="Arial"/>
          <w:sz w:val="21"/>
        </w:rPr>
      </w:pPr>
    </w:p>
    <w:p w14:paraId="10FF6329">
      <w:pPr>
        <w:spacing w:line="272" w:lineRule="auto"/>
        <w:rPr>
          <w:rFonts w:ascii="Arial"/>
          <w:sz w:val="21"/>
        </w:rPr>
      </w:pPr>
    </w:p>
    <w:p w14:paraId="3A1C1060">
      <w:pPr>
        <w:spacing w:before="65" w:line="228"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12.4.5  </w:t>
      </w:r>
      <w:r>
        <w:rPr>
          <w:rFonts w:ascii="宋体" w:hAnsi="宋体" w:eastAsia="宋体" w:cs="宋体"/>
          <w:spacing w:val="4"/>
          <w:sz w:val="20"/>
          <w:szCs w:val="20"/>
        </w:rPr>
        <w:t>进度付款的修正</w:t>
      </w:r>
    </w:p>
    <w:p w14:paraId="178CB24E">
      <w:pPr>
        <w:spacing w:before="151" w:line="370" w:lineRule="auto"/>
        <w:ind w:left="1" w:right="87" w:firstLine="419"/>
        <w:rPr>
          <w:rFonts w:ascii="宋体" w:hAnsi="宋体" w:eastAsia="宋体" w:cs="宋体"/>
          <w:sz w:val="20"/>
          <w:szCs w:val="20"/>
        </w:rPr>
      </w:pPr>
      <w:r>
        <w:rPr>
          <w:rFonts w:ascii="宋体" w:hAnsi="宋体" w:eastAsia="宋体" w:cs="宋体"/>
          <w:spacing w:val="10"/>
          <w:sz w:val="20"/>
          <w:szCs w:val="20"/>
        </w:rPr>
        <w:t>在对已签发的进度款支付证书进行阶段汇总和复核中发现错误、遗漏或</w:t>
      </w:r>
      <w:r>
        <w:rPr>
          <w:rFonts w:ascii="宋体" w:hAnsi="宋体" w:eastAsia="宋体" w:cs="宋体"/>
          <w:spacing w:val="9"/>
          <w:sz w:val="20"/>
          <w:szCs w:val="20"/>
        </w:rPr>
        <w:t>重复的，发包人和承</w:t>
      </w:r>
      <w:r>
        <w:rPr>
          <w:rFonts w:ascii="宋体" w:hAnsi="宋体" w:eastAsia="宋体" w:cs="宋体"/>
          <w:spacing w:val="10"/>
          <w:sz w:val="20"/>
          <w:szCs w:val="20"/>
        </w:rPr>
        <w:t>包人均有权提出修正申请。经发包人和承包</w:t>
      </w:r>
      <w:r>
        <w:rPr>
          <w:rFonts w:ascii="宋体" w:hAnsi="宋体" w:eastAsia="宋体" w:cs="宋体"/>
          <w:spacing w:val="9"/>
          <w:sz w:val="20"/>
          <w:szCs w:val="20"/>
        </w:rPr>
        <w:t>人同意的修正，应在下期进度付款中支付或扣除。</w:t>
      </w:r>
    </w:p>
    <w:p w14:paraId="48C0EE49">
      <w:pPr>
        <w:spacing w:line="227"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12.4.6  </w:t>
      </w:r>
      <w:r>
        <w:rPr>
          <w:rFonts w:ascii="宋体" w:hAnsi="宋体" w:eastAsia="宋体" w:cs="宋体"/>
          <w:spacing w:val="4"/>
          <w:sz w:val="20"/>
          <w:szCs w:val="20"/>
        </w:rPr>
        <w:t>支付分解表</w:t>
      </w:r>
    </w:p>
    <w:p w14:paraId="64877CAD">
      <w:pPr>
        <w:spacing w:before="151" w:line="228" w:lineRule="auto"/>
        <w:ind w:left="437"/>
        <w:rPr>
          <w:rFonts w:ascii="宋体" w:hAnsi="宋体" w:eastAsia="宋体" w:cs="宋体"/>
          <w:sz w:val="20"/>
          <w:szCs w:val="20"/>
        </w:rPr>
      </w:pPr>
      <w:r>
        <w:rPr>
          <w:rFonts w:ascii="Times New Roman" w:hAnsi="Times New Roman" w:eastAsia="Times New Roman" w:cs="Times New Roman"/>
          <w:spacing w:val="6"/>
          <w:sz w:val="20"/>
          <w:szCs w:val="20"/>
        </w:rPr>
        <w:t>1.</w:t>
      </w:r>
      <w:r>
        <w:rPr>
          <w:rFonts w:ascii="宋体" w:hAnsi="宋体" w:eastAsia="宋体" w:cs="宋体"/>
          <w:spacing w:val="6"/>
          <w:sz w:val="20"/>
          <w:szCs w:val="20"/>
        </w:rPr>
        <w:t>支付分解表的编制要求</w:t>
      </w:r>
    </w:p>
    <w:p w14:paraId="3C719030">
      <w:pPr>
        <w:spacing w:before="154" w:line="369" w:lineRule="auto"/>
        <w:ind w:left="41" w:firstLine="390"/>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1</w:t>
      </w:r>
      <w:r>
        <w:rPr>
          <w:rFonts w:ascii="宋体" w:hAnsi="宋体" w:eastAsia="宋体" w:cs="宋体"/>
          <w:spacing w:val="5"/>
          <w:sz w:val="20"/>
          <w:szCs w:val="20"/>
        </w:rPr>
        <w:t>）支付分解表中所列的每期付款金额，应为第</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12.4.2</w:t>
      </w:r>
      <w:r>
        <w:rPr>
          <w:rFonts w:ascii="Times New Roman" w:hAnsi="Times New Roman" w:eastAsia="Times New Roman" w:cs="Times New Roman"/>
          <w:spacing w:val="16"/>
          <w:sz w:val="20"/>
          <w:szCs w:val="20"/>
        </w:rPr>
        <w:t xml:space="preserve"> </w:t>
      </w:r>
      <w:r>
        <w:rPr>
          <w:rFonts w:ascii="宋体" w:hAnsi="宋体" w:eastAsia="宋体" w:cs="宋体"/>
          <w:spacing w:val="5"/>
          <w:sz w:val="20"/>
          <w:szCs w:val="20"/>
        </w:rPr>
        <w:t>项〔进度付款申请单的编制〕第（</w:t>
      </w:r>
      <w:r>
        <w:rPr>
          <w:rFonts w:ascii="Times New Roman" w:hAnsi="Times New Roman" w:eastAsia="Times New Roman" w:cs="Times New Roman"/>
          <w:spacing w:val="5"/>
          <w:sz w:val="20"/>
          <w:szCs w:val="20"/>
        </w:rPr>
        <w:t>1</w:t>
      </w:r>
      <w:r>
        <w:rPr>
          <w:rFonts w:ascii="宋体" w:hAnsi="宋体" w:eastAsia="宋体" w:cs="宋体"/>
          <w:spacing w:val="5"/>
          <w:sz w:val="20"/>
          <w:szCs w:val="20"/>
        </w:rPr>
        <w:t>）</w:t>
      </w:r>
      <w:r>
        <w:rPr>
          <w:rFonts w:ascii="宋体" w:hAnsi="宋体" w:eastAsia="宋体" w:cs="宋体"/>
          <w:spacing w:val="1"/>
          <w:sz w:val="20"/>
          <w:szCs w:val="20"/>
        </w:rPr>
        <w:t>目的估算金额；</w:t>
      </w:r>
    </w:p>
    <w:p w14:paraId="1BD6AD3C">
      <w:pPr>
        <w:spacing w:before="2" w:line="369" w:lineRule="auto"/>
        <w:ind w:left="1" w:right="87"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）实际进度与施工进度计划不一致的，合同当事</w:t>
      </w:r>
      <w:r>
        <w:rPr>
          <w:rFonts w:ascii="宋体" w:hAnsi="宋体" w:eastAsia="宋体" w:cs="宋体"/>
          <w:spacing w:val="7"/>
          <w:sz w:val="20"/>
          <w:szCs w:val="20"/>
        </w:rPr>
        <w:t>人可按照第</w:t>
      </w:r>
      <w:r>
        <w:rPr>
          <w:rFonts w:ascii="宋体" w:hAnsi="宋体" w:eastAsia="宋体" w:cs="宋体"/>
          <w:spacing w:val="-44"/>
          <w:sz w:val="20"/>
          <w:szCs w:val="20"/>
        </w:rPr>
        <w:t xml:space="preserve"> </w:t>
      </w:r>
      <w:r>
        <w:rPr>
          <w:rFonts w:ascii="Times New Roman" w:hAnsi="Times New Roman" w:eastAsia="Times New Roman" w:cs="Times New Roman"/>
          <w:spacing w:val="7"/>
          <w:sz w:val="20"/>
          <w:szCs w:val="20"/>
        </w:rPr>
        <w:t xml:space="preserve">4.4 </w:t>
      </w:r>
      <w:r>
        <w:rPr>
          <w:rFonts w:ascii="宋体" w:hAnsi="宋体" w:eastAsia="宋体" w:cs="宋体"/>
          <w:spacing w:val="7"/>
          <w:sz w:val="20"/>
          <w:szCs w:val="20"/>
        </w:rPr>
        <w:t>款〔商定或确定〕修改支</w:t>
      </w:r>
      <w:r>
        <w:rPr>
          <w:rFonts w:ascii="宋体" w:hAnsi="宋体" w:eastAsia="宋体" w:cs="宋体"/>
          <w:spacing w:val="5"/>
          <w:sz w:val="20"/>
          <w:szCs w:val="20"/>
        </w:rPr>
        <w:t>付分解表；</w:t>
      </w:r>
    </w:p>
    <w:p w14:paraId="44A113F4">
      <w:pPr>
        <w:spacing w:before="2" w:line="368" w:lineRule="auto"/>
        <w:ind w:left="3" w:right="35" w:firstLine="4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）不采用支付分解表的，承包人应向发包人和监理人提交按季度编制的支付估算分解表，</w:t>
      </w:r>
      <w:r>
        <w:rPr>
          <w:rFonts w:ascii="宋体" w:hAnsi="宋体" w:eastAsia="宋体" w:cs="宋体"/>
          <w:spacing w:val="6"/>
          <w:sz w:val="20"/>
          <w:szCs w:val="20"/>
        </w:rPr>
        <w:t>用于支付参考。</w:t>
      </w:r>
    </w:p>
    <w:p w14:paraId="11405B99">
      <w:pPr>
        <w:spacing w:line="226" w:lineRule="auto"/>
        <w:ind w:left="417"/>
        <w:rPr>
          <w:rFonts w:ascii="宋体" w:hAnsi="宋体" w:eastAsia="宋体" w:cs="宋体"/>
          <w:sz w:val="20"/>
          <w:szCs w:val="20"/>
        </w:rPr>
      </w:pPr>
      <w:r>
        <w:rPr>
          <w:rFonts w:ascii="Times New Roman" w:hAnsi="Times New Roman" w:eastAsia="Times New Roman" w:cs="Times New Roman"/>
          <w:spacing w:val="8"/>
          <w:sz w:val="20"/>
          <w:szCs w:val="20"/>
        </w:rPr>
        <w:t>2.</w:t>
      </w:r>
      <w:r>
        <w:rPr>
          <w:rFonts w:ascii="宋体" w:hAnsi="宋体" w:eastAsia="宋体" w:cs="宋体"/>
          <w:spacing w:val="8"/>
          <w:sz w:val="20"/>
          <w:szCs w:val="20"/>
        </w:rPr>
        <w:t>总价合同支付分解表的编制与审批</w:t>
      </w:r>
    </w:p>
    <w:p w14:paraId="0C35FE5D">
      <w:pPr>
        <w:spacing w:before="156" w:line="369" w:lineRule="auto"/>
        <w:ind w:right="87" w:firstLine="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）除专用合同条款另有约定外，承包人</w:t>
      </w:r>
      <w:r>
        <w:rPr>
          <w:rFonts w:ascii="宋体" w:hAnsi="宋体" w:eastAsia="宋体" w:cs="宋体"/>
          <w:spacing w:val="7"/>
          <w:sz w:val="20"/>
          <w:szCs w:val="20"/>
        </w:rPr>
        <w:t>应根据第</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 xml:space="preserve">7.2 </w:t>
      </w:r>
      <w:r>
        <w:rPr>
          <w:rFonts w:ascii="宋体" w:hAnsi="宋体" w:eastAsia="宋体" w:cs="宋体"/>
          <w:spacing w:val="7"/>
          <w:sz w:val="20"/>
          <w:szCs w:val="20"/>
        </w:rPr>
        <w:t>款〔施工进度计划〕约定的施工进度</w:t>
      </w:r>
      <w:r>
        <w:rPr>
          <w:rFonts w:ascii="宋体" w:hAnsi="宋体" w:eastAsia="宋体" w:cs="宋体"/>
          <w:spacing w:val="10"/>
          <w:sz w:val="20"/>
          <w:szCs w:val="20"/>
        </w:rPr>
        <w:t>计划、签约合同价和工程量等因素对总价合同按月进行分解，编制支付分解表</w:t>
      </w:r>
      <w:r>
        <w:rPr>
          <w:rFonts w:ascii="宋体" w:hAnsi="宋体" w:eastAsia="宋体" w:cs="宋体"/>
          <w:spacing w:val="9"/>
          <w:sz w:val="20"/>
          <w:szCs w:val="20"/>
        </w:rPr>
        <w:t>。承包人应当在收到监理人和发包人批准的施工进度计划后</w:t>
      </w:r>
      <w:r>
        <w:rPr>
          <w:rFonts w:ascii="宋体" w:hAnsi="宋体" w:eastAsia="宋体" w:cs="宋体"/>
          <w:spacing w:val="-27"/>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天内，将支付分解表及编制支付分解表的支持性资料</w:t>
      </w:r>
      <w:r>
        <w:rPr>
          <w:rFonts w:ascii="宋体" w:hAnsi="宋体" w:eastAsia="宋体" w:cs="宋体"/>
          <w:spacing w:val="7"/>
          <w:sz w:val="20"/>
          <w:szCs w:val="20"/>
        </w:rPr>
        <w:t>报送监理人。</w:t>
      </w:r>
    </w:p>
    <w:p w14:paraId="0A81F7E2">
      <w:pPr>
        <w:spacing w:before="2" w:line="369" w:lineRule="auto"/>
        <w:ind w:left="12" w:right="87" w:firstLine="419"/>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）监理人应在收到支付分解表后</w:t>
      </w:r>
      <w:r>
        <w:rPr>
          <w:rFonts w:ascii="宋体" w:hAnsi="宋体" w:eastAsia="宋体" w:cs="宋体"/>
          <w:spacing w:val="-32"/>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天内完成审核并报送发包人。发包人应在收到经监理人</w:t>
      </w:r>
      <w:r>
        <w:rPr>
          <w:rFonts w:ascii="宋体" w:hAnsi="宋体" w:eastAsia="宋体" w:cs="宋体"/>
          <w:spacing w:val="9"/>
          <w:sz w:val="20"/>
          <w:szCs w:val="20"/>
        </w:rPr>
        <w:t>审核的支付分解表后</w:t>
      </w:r>
      <w:r>
        <w:rPr>
          <w:rFonts w:ascii="宋体" w:hAnsi="宋体" w:eastAsia="宋体" w:cs="宋体"/>
          <w:spacing w:val="-40"/>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天内完成审批，经发包人批准</w:t>
      </w:r>
      <w:r>
        <w:rPr>
          <w:rFonts w:ascii="宋体" w:hAnsi="宋体" w:eastAsia="宋体" w:cs="宋体"/>
          <w:spacing w:val="8"/>
          <w:sz w:val="20"/>
          <w:szCs w:val="20"/>
        </w:rPr>
        <w:t>的支付分解表为有约束力的支付分解表。</w:t>
      </w:r>
    </w:p>
    <w:p w14:paraId="0383AED7">
      <w:pPr>
        <w:spacing w:before="1" w:line="368" w:lineRule="auto"/>
        <w:ind w:left="5" w:right="32" w:firstLine="425"/>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3</w:t>
      </w:r>
      <w:r>
        <w:rPr>
          <w:rFonts w:ascii="宋体" w:hAnsi="宋体" w:eastAsia="宋体" w:cs="宋体"/>
          <w:spacing w:val="3"/>
          <w:sz w:val="20"/>
          <w:szCs w:val="20"/>
        </w:rPr>
        <w:t>）发包人逾期未完成支付分解表审批的，也未及时要求承包人进行修正和提供补充资料的，</w:t>
      </w:r>
      <w:r>
        <w:rPr>
          <w:rFonts w:ascii="宋体" w:hAnsi="宋体" w:eastAsia="宋体" w:cs="宋体"/>
          <w:spacing w:val="9"/>
          <w:sz w:val="20"/>
          <w:szCs w:val="20"/>
        </w:rPr>
        <w:t>则承包人提交的支付分解表视为已经获得发包人批准。</w:t>
      </w:r>
    </w:p>
    <w:p w14:paraId="0B803F5D">
      <w:pPr>
        <w:spacing w:before="1" w:line="226" w:lineRule="auto"/>
        <w:ind w:left="422"/>
        <w:rPr>
          <w:rFonts w:ascii="宋体" w:hAnsi="宋体" w:eastAsia="宋体" w:cs="宋体"/>
          <w:sz w:val="20"/>
          <w:szCs w:val="20"/>
        </w:rPr>
      </w:pPr>
      <w:r>
        <w:rPr>
          <w:rFonts w:ascii="Times New Roman" w:hAnsi="Times New Roman" w:eastAsia="Times New Roman" w:cs="Times New Roman"/>
          <w:spacing w:val="8"/>
          <w:sz w:val="20"/>
          <w:szCs w:val="20"/>
        </w:rPr>
        <w:t>3.</w:t>
      </w:r>
      <w:r>
        <w:rPr>
          <w:rFonts w:ascii="宋体" w:hAnsi="宋体" w:eastAsia="宋体" w:cs="宋体"/>
          <w:spacing w:val="8"/>
          <w:sz w:val="20"/>
          <w:szCs w:val="20"/>
        </w:rPr>
        <w:t>单价合同的总价项目支付分解表的编制与审批</w:t>
      </w:r>
    </w:p>
    <w:p w14:paraId="501E0D25">
      <w:pPr>
        <w:spacing w:before="156" w:line="361" w:lineRule="auto"/>
        <w:ind w:left="3" w:right="87" w:firstLine="430"/>
        <w:rPr>
          <w:rFonts w:ascii="宋体" w:hAnsi="宋体" w:eastAsia="宋体" w:cs="宋体"/>
          <w:sz w:val="20"/>
          <w:szCs w:val="20"/>
        </w:rPr>
      </w:pPr>
      <w:r>
        <w:rPr>
          <w:rFonts w:ascii="宋体" w:hAnsi="宋体" w:eastAsia="宋体" w:cs="宋体"/>
          <w:spacing w:val="8"/>
          <w:sz w:val="20"/>
          <w:szCs w:val="20"/>
        </w:rPr>
        <w:t>除专用合同条款另有约定外，单价合同的总价项目，</w:t>
      </w:r>
      <w:r>
        <w:rPr>
          <w:rFonts w:ascii="宋体" w:hAnsi="宋体" w:eastAsia="宋体" w:cs="宋体"/>
          <w:spacing w:val="-42"/>
          <w:sz w:val="20"/>
          <w:szCs w:val="20"/>
        </w:rPr>
        <w:t xml:space="preserve"> </w:t>
      </w:r>
      <w:r>
        <w:rPr>
          <w:rFonts w:ascii="宋体" w:hAnsi="宋体" w:eastAsia="宋体" w:cs="宋体"/>
          <w:spacing w:val="8"/>
          <w:sz w:val="20"/>
          <w:szCs w:val="20"/>
        </w:rPr>
        <w:t>由承包人根据施工进度计划和总价项目</w:t>
      </w:r>
      <w:r>
        <w:rPr>
          <w:rFonts w:ascii="宋体" w:hAnsi="宋体" w:eastAsia="宋体" w:cs="宋体"/>
          <w:spacing w:val="10"/>
          <w:sz w:val="20"/>
          <w:szCs w:val="20"/>
        </w:rPr>
        <w:t>的总价构成、费用性质、计划发生时间和相应工程量等因素按月进行分</w:t>
      </w:r>
      <w:r>
        <w:rPr>
          <w:rFonts w:ascii="宋体" w:hAnsi="宋体" w:eastAsia="宋体" w:cs="宋体"/>
          <w:spacing w:val="9"/>
          <w:sz w:val="20"/>
          <w:szCs w:val="20"/>
        </w:rPr>
        <w:t>解，形成支付分解表，其编制与审批参照总价合同支付分解表的编制与审批执行。</w:t>
      </w:r>
    </w:p>
    <w:p w14:paraId="556DFD9D">
      <w:pPr>
        <w:pStyle w:val="2"/>
        <w:spacing w:before="1" w:line="220" w:lineRule="auto"/>
        <w:ind w:left="9"/>
        <w:rPr>
          <w:sz w:val="24"/>
          <w:szCs w:val="24"/>
        </w:rPr>
      </w:pPr>
      <w:r>
        <w:rPr>
          <w:rFonts w:ascii="Times New Roman" w:hAnsi="Times New Roman" w:eastAsia="Times New Roman" w:cs="Times New Roman"/>
          <w:b/>
          <w:bCs/>
          <w:spacing w:val="-6"/>
          <w:sz w:val="24"/>
          <w:szCs w:val="24"/>
        </w:rPr>
        <w:t>12.5</w:t>
      </w:r>
      <w:r>
        <w:rPr>
          <w:rFonts w:ascii="Times New Roman" w:hAnsi="Times New Roman" w:eastAsia="Times New Roman" w:cs="Times New Roman"/>
          <w:b/>
          <w:bCs/>
          <w:spacing w:val="23"/>
          <w:sz w:val="24"/>
          <w:szCs w:val="24"/>
        </w:rPr>
        <w:t xml:space="preserve"> </w:t>
      </w:r>
      <w:r>
        <w:rPr>
          <w:b/>
          <w:bCs/>
          <w:spacing w:val="-6"/>
          <w:sz w:val="24"/>
          <w:szCs w:val="24"/>
        </w:rPr>
        <w:t>支付账户</w:t>
      </w:r>
    </w:p>
    <w:p w14:paraId="0454D3FC">
      <w:pPr>
        <w:spacing w:before="138" w:line="226" w:lineRule="auto"/>
        <w:ind w:left="425"/>
        <w:rPr>
          <w:rFonts w:ascii="宋体" w:hAnsi="宋体" w:eastAsia="宋体" w:cs="宋体"/>
          <w:sz w:val="20"/>
          <w:szCs w:val="20"/>
        </w:rPr>
      </w:pPr>
      <w:r>
        <w:rPr>
          <w:rFonts w:ascii="宋体" w:hAnsi="宋体" w:eastAsia="宋体" w:cs="宋体"/>
          <w:spacing w:val="9"/>
          <w:sz w:val="20"/>
          <w:szCs w:val="20"/>
        </w:rPr>
        <w:t>发包人应将合同价款支付至合同协议书中约定的承包人账户。</w:t>
      </w:r>
    </w:p>
    <w:p w14:paraId="7DBA9151">
      <w:pPr>
        <w:pStyle w:val="2"/>
        <w:spacing w:before="194" w:line="222" w:lineRule="auto"/>
        <w:ind w:left="12"/>
        <w:outlineLvl w:val="2"/>
        <w:rPr>
          <w:sz w:val="28"/>
          <w:szCs w:val="28"/>
        </w:rPr>
      </w:pPr>
      <w:bookmarkStart w:id="275" w:name="bookmark257"/>
      <w:bookmarkEnd w:id="275"/>
      <w:r>
        <w:rPr>
          <w:rFonts w:ascii="Times New Roman" w:hAnsi="Times New Roman" w:eastAsia="Times New Roman" w:cs="Times New Roman"/>
          <w:b/>
          <w:bCs/>
          <w:spacing w:val="-3"/>
          <w:sz w:val="28"/>
          <w:szCs w:val="28"/>
        </w:rPr>
        <w:t xml:space="preserve">13.  </w:t>
      </w:r>
      <w:r>
        <w:rPr>
          <w:b/>
          <w:bCs/>
          <w:spacing w:val="-3"/>
          <w:sz w:val="28"/>
          <w:szCs w:val="28"/>
        </w:rPr>
        <w:t>验收和工程试车</w:t>
      </w:r>
    </w:p>
    <w:p w14:paraId="1A70C559">
      <w:pPr>
        <w:pStyle w:val="2"/>
        <w:spacing w:before="99" w:line="222" w:lineRule="auto"/>
        <w:ind w:left="9"/>
        <w:rPr>
          <w:sz w:val="24"/>
          <w:szCs w:val="24"/>
        </w:rPr>
      </w:pPr>
      <w:r>
        <w:rPr>
          <w:rFonts w:ascii="Times New Roman" w:hAnsi="Times New Roman" w:eastAsia="Times New Roman" w:cs="Times New Roman"/>
          <w:b/>
          <w:bCs/>
          <w:spacing w:val="-4"/>
          <w:sz w:val="24"/>
          <w:szCs w:val="24"/>
        </w:rPr>
        <w:t>13.1</w:t>
      </w:r>
      <w:r>
        <w:rPr>
          <w:rFonts w:ascii="Times New Roman" w:hAnsi="Times New Roman" w:eastAsia="Times New Roman" w:cs="Times New Roman"/>
          <w:b/>
          <w:bCs/>
          <w:spacing w:val="18"/>
          <w:sz w:val="24"/>
          <w:szCs w:val="24"/>
        </w:rPr>
        <w:t xml:space="preserve"> </w:t>
      </w:r>
      <w:r>
        <w:rPr>
          <w:b/>
          <w:bCs/>
          <w:spacing w:val="-4"/>
          <w:sz w:val="24"/>
          <w:szCs w:val="24"/>
        </w:rPr>
        <w:t>分部分项工程验收</w:t>
      </w:r>
    </w:p>
    <w:p w14:paraId="0CA6E6A8">
      <w:pPr>
        <w:spacing w:before="137" w:line="369" w:lineRule="auto"/>
        <w:ind w:left="8" w:right="89" w:firstLine="429"/>
        <w:rPr>
          <w:rFonts w:ascii="宋体" w:hAnsi="宋体" w:eastAsia="宋体" w:cs="宋体"/>
          <w:sz w:val="20"/>
          <w:szCs w:val="20"/>
        </w:rPr>
      </w:pPr>
      <w:r>
        <w:rPr>
          <w:rFonts w:ascii="Times New Roman" w:hAnsi="Times New Roman" w:eastAsia="Times New Roman" w:cs="Times New Roman"/>
          <w:spacing w:val="8"/>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  </w:t>
      </w:r>
      <w:r>
        <w:rPr>
          <w:rFonts w:ascii="宋体" w:hAnsi="宋体" w:eastAsia="宋体" w:cs="宋体"/>
          <w:spacing w:val="8"/>
          <w:sz w:val="20"/>
          <w:szCs w:val="20"/>
        </w:rPr>
        <w:t>分部分项工程质量应符合国家有关工程施工验收规范、</w:t>
      </w:r>
      <w:r>
        <w:rPr>
          <w:rFonts w:ascii="宋体" w:hAnsi="宋体" w:eastAsia="宋体" w:cs="宋体"/>
          <w:spacing w:val="7"/>
          <w:sz w:val="20"/>
          <w:szCs w:val="20"/>
        </w:rPr>
        <w:t>标准及合同约定，承包人应按</w:t>
      </w:r>
      <w:r>
        <w:rPr>
          <w:rFonts w:ascii="宋体" w:hAnsi="宋体" w:eastAsia="宋体" w:cs="宋体"/>
          <w:spacing w:val="8"/>
          <w:sz w:val="20"/>
          <w:szCs w:val="20"/>
        </w:rPr>
        <w:t>照施工组织设计的要求完成分部分项工程施工。</w:t>
      </w:r>
    </w:p>
    <w:p w14:paraId="31190101">
      <w:pPr>
        <w:spacing w:before="4" w:line="369" w:lineRule="auto"/>
        <w:ind w:left="1" w:right="35" w:firstLine="436"/>
        <w:jc w:val="both"/>
        <w:rPr>
          <w:rFonts w:ascii="宋体" w:hAnsi="宋体" w:eastAsia="宋体" w:cs="宋体"/>
          <w:sz w:val="20"/>
          <w:szCs w:val="20"/>
        </w:rPr>
      </w:pPr>
      <w:r>
        <w:rPr>
          <w:rFonts w:ascii="Times New Roman" w:hAnsi="Times New Roman" w:eastAsia="Times New Roman" w:cs="Times New Roman"/>
          <w:spacing w:val="8"/>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  </w:t>
      </w:r>
      <w:r>
        <w:rPr>
          <w:rFonts w:ascii="宋体" w:hAnsi="宋体" w:eastAsia="宋体" w:cs="宋体"/>
          <w:spacing w:val="8"/>
          <w:sz w:val="20"/>
          <w:szCs w:val="20"/>
        </w:rPr>
        <w:t>除专用合同条款另有约定外，分部分项工程经承包人自</w:t>
      </w:r>
      <w:r>
        <w:rPr>
          <w:rFonts w:ascii="宋体" w:hAnsi="宋体" w:eastAsia="宋体" w:cs="宋体"/>
          <w:spacing w:val="7"/>
          <w:sz w:val="20"/>
          <w:szCs w:val="20"/>
        </w:rPr>
        <w:t>检合格并具备验收条件的，承</w:t>
      </w:r>
      <w:r>
        <w:rPr>
          <w:rFonts w:ascii="宋体" w:hAnsi="宋体" w:eastAsia="宋体" w:cs="宋体"/>
          <w:spacing w:val="9"/>
          <w:sz w:val="20"/>
          <w:szCs w:val="20"/>
        </w:rPr>
        <w:t>包人应提前</w:t>
      </w:r>
      <w:r>
        <w:rPr>
          <w:rFonts w:ascii="宋体" w:hAnsi="宋体" w:eastAsia="宋体" w:cs="宋体"/>
          <w:spacing w:val="-44"/>
          <w:sz w:val="20"/>
          <w:szCs w:val="20"/>
        </w:rPr>
        <w:t xml:space="preserve"> </w:t>
      </w:r>
      <w:r>
        <w:rPr>
          <w:rFonts w:ascii="Times New Roman" w:hAnsi="Times New Roman" w:eastAsia="Times New Roman" w:cs="Times New Roman"/>
          <w:spacing w:val="9"/>
          <w:sz w:val="20"/>
          <w:szCs w:val="20"/>
        </w:rPr>
        <w:t>48</w:t>
      </w:r>
      <w:r>
        <w:rPr>
          <w:rFonts w:ascii="Times New Roman" w:hAnsi="Times New Roman" w:eastAsia="Times New Roman" w:cs="Times New Roman"/>
          <w:spacing w:val="17"/>
          <w:w w:val="101"/>
          <w:sz w:val="20"/>
          <w:szCs w:val="20"/>
        </w:rPr>
        <w:t xml:space="preserve"> </w:t>
      </w:r>
      <w:r>
        <w:rPr>
          <w:rFonts w:ascii="宋体" w:hAnsi="宋体" w:eastAsia="宋体" w:cs="宋体"/>
          <w:spacing w:val="9"/>
          <w:sz w:val="20"/>
          <w:szCs w:val="20"/>
        </w:rPr>
        <w:t>小时通知监理人进行验收。监理人不能按时进行</w:t>
      </w:r>
      <w:r>
        <w:rPr>
          <w:rFonts w:ascii="宋体" w:hAnsi="宋体" w:eastAsia="宋体" w:cs="宋体"/>
          <w:spacing w:val="8"/>
          <w:sz w:val="20"/>
          <w:szCs w:val="20"/>
        </w:rPr>
        <w:t>验收的，应在验收前</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小时向承</w:t>
      </w:r>
      <w:r>
        <w:rPr>
          <w:rFonts w:ascii="宋体" w:hAnsi="宋体" w:eastAsia="宋体" w:cs="宋体"/>
          <w:spacing w:val="3"/>
          <w:sz w:val="20"/>
          <w:szCs w:val="20"/>
        </w:rPr>
        <w:t>包人提交书面延期要求，但延期不能超过</w:t>
      </w:r>
      <w:r>
        <w:rPr>
          <w:rFonts w:ascii="宋体" w:hAnsi="宋体" w:eastAsia="宋体" w:cs="宋体"/>
          <w:spacing w:val="-37"/>
          <w:sz w:val="20"/>
          <w:szCs w:val="20"/>
        </w:rPr>
        <w:t xml:space="preserve"> </w:t>
      </w:r>
      <w:r>
        <w:rPr>
          <w:rFonts w:ascii="Times New Roman" w:hAnsi="Times New Roman" w:eastAsia="Times New Roman" w:cs="Times New Roman"/>
          <w:spacing w:val="3"/>
          <w:sz w:val="20"/>
          <w:szCs w:val="20"/>
        </w:rPr>
        <w:t>48</w:t>
      </w:r>
      <w:r>
        <w:rPr>
          <w:rFonts w:ascii="Times New Roman" w:hAnsi="Times New Roman" w:eastAsia="Times New Roman" w:cs="Times New Roman"/>
          <w:spacing w:val="18"/>
          <w:sz w:val="20"/>
          <w:szCs w:val="20"/>
        </w:rPr>
        <w:t xml:space="preserve"> </w:t>
      </w:r>
      <w:r>
        <w:rPr>
          <w:rFonts w:ascii="宋体" w:hAnsi="宋体" w:eastAsia="宋体" w:cs="宋体"/>
          <w:spacing w:val="3"/>
          <w:sz w:val="20"/>
          <w:szCs w:val="20"/>
        </w:rPr>
        <w:t>小时。监理人未按时进行验收，也未提出延期要求的，</w:t>
      </w:r>
      <w:r>
        <w:rPr>
          <w:rFonts w:ascii="宋体" w:hAnsi="宋体" w:eastAsia="宋体" w:cs="宋体"/>
          <w:spacing w:val="10"/>
          <w:sz w:val="20"/>
          <w:szCs w:val="20"/>
        </w:rPr>
        <w:t>承包人有权自行验收，监理人应认可验收结果。分部分项工程未经验收的</w:t>
      </w:r>
      <w:r>
        <w:rPr>
          <w:rFonts w:ascii="宋体" w:hAnsi="宋体" w:eastAsia="宋体" w:cs="宋体"/>
          <w:spacing w:val="9"/>
          <w:sz w:val="20"/>
          <w:szCs w:val="20"/>
        </w:rPr>
        <w:t>，不得进入下一道工序</w:t>
      </w:r>
    </w:p>
    <w:p w14:paraId="7BC23F38">
      <w:pPr>
        <w:spacing w:line="369" w:lineRule="auto"/>
        <w:rPr>
          <w:rFonts w:ascii="宋体" w:hAnsi="宋体" w:eastAsia="宋体" w:cs="宋体"/>
          <w:sz w:val="20"/>
          <w:szCs w:val="20"/>
        </w:rPr>
        <w:sectPr>
          <w:footerReference r:id="rId269" w:type="default"/>
          <w:pgSz w:w="11906" w:h="16839"/>
          <w:pgMar w:top="400" w:right="1467" w:bottom="1038" w:left="1537" w:header="0" w:footer="785" w:gutter="0"/>
          <w:cols w:space="720" w:num="1"/>
        </w:sectPr>
      </w:pPr>
    </w:p>
    <w:p w14:paraId="2225D145">
      <w:pPr>
        <w:spacing w:line="271" w:lineRule="auto"/>
        <w:rPr>
          <w:rFonts w:ascii="Arial"/>
          <w:sz w:val="21"/>
        </w:rPr>
      </w:pPr>
    </w:p>
    <w:p w14:paraId="29F0D1B5">
      <w:pPr>
        <w:spacing w:line="271" w:lineRule="auto"/>
        <w:rPr>
          <w:rFonts w:ascii="Arial"/>
          <w:sz w:val="21"/>
        </w:rPr>
      </w:pPr>
    </w:p>
    <w:p w14:paraId="0BE08B85">
      <w:pPr>
        <w:spacing w:line="272" w:lineRule="auto"/>
        <w:rPr>
          <w:rFonts w:ascii="Arial"/>
          <w:sz w:val="21"/>
        </w:rPr>
      </w:pPr>
    </w:p>
    <w:p w14:paraId="49314653">
      <w:pPr>
        <w:spacing w:line="272" w:lineRule="auto"/>
        <w:rPr>
          <w:rFonts w:ascii="Arial"/>
          <w:sz w:val="21"/>
        </w:rPr>
      </w:pPr>
    </w:p>
    <w:p w14:paraId="1A3CD399">
      <w:pPr>
        <w:spacing w:before="65" w:line="231" w:lineRule="auto"/>
        <w:rPr>
          <w:rFonts w:ascii="宋体" w:hAnsi="宋体" w:eastAsia="宋体" w:cs="宋体"/>
          <w:sz w:val="20"/>
          <w:szCs w:val="20"/>
        </w:rPr>
      </w:pPr>
      <w:r>
        <w:rPr>
          <w:rFonts w:ascii="宋体" w:hAnsi="宋体" w:eastAsia="宋体" w:cs="宋体"/>
          <w:spacing w:val="3"/>
          <w:sz w:val="20"/>
          <w:szCs w:val="20"/>
        </w:rPr>
        <w:t>施工。</w:t>
      </w:r>
    </w:p>
    <w:p w14:paraId="5133BAB2">
      <w:pPr>
        <w:spacing w:before="148" w:line="228" w:lineRule="auto"/>
        <w:ind w:left="424"/>
        <w:rPr>
          <w:rFonts w:ascii="宋体" w:hAnsi="宋体" w:eastAsia="宋体" w:cs="宋体"/>
          <w:sz w:val="20"/>
          <w:szCs w:val="20"/>
        </w:rPr>
      </w:pPr>
      <w:r>
        <w:rPr>
          <w:rFonts w:ascii="宋体" w:hAnsi="宋体" w:eastAsia="宋体" w:cs="宋体"/>
          <w:spacing w:val="9"/>
          <w:sz w:val="20"/>
          <w:szCs w:val="20"/>
        </w:rPr>
        <w:t>分部分项工程的验收资料应当作为竣工资料的组成部分。</w:t>
      </w:r>
    </w:p>
    <w:p w14:paraId="66A87C6A">
      <w:pPr>
        <w:pStyle w:val="2"/>
        <w:spacing w:before="127" w:line="221" w:lineRule="auto"/>
        <w:ind w:left="9"/>
        <w:rPr>
          <w:sz w:val="24"/>
          <w:szCs w:val="24"/>
        </w:rPr>
      </w:pPr>
      <w:r>
        <w:rPr>
          <w:rFonts w:ascii="Times New Roman" w:hAnsi="Times New Roman" w:eastAsia="Times New Roman" w:cs="Times New Roman"/>
          <w:b/>
          <w:bCs/>
          <w:spacing w:val="-3"/>
          <w:sz w:val="24"/>
          <w:szCs w:val="24"/>
        </w:rPr>
        <w:t xml:space="preserve">13.2 </w:t>
      </w:r>
      <w:r>
        <w:rPr>
          <w:b/>
          <w:bCs/>
          <w:spacing w:val="-3"/>
          <w:sz w:val="24"/>
          <w:szCs w:val="24"/>
        </w:rPr>
        <w:t>竣工验收</w:t>
      </w:r>
    </w:p>
    <w:p w14:paraId="1A4B3878">
      <w:pPr>
        <w:spacing w:before="139" w:line="228"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13.2.1 </w:t>
      </w:r>
      <w:r>
        <w:rPr>
          <w:rFonts w:ascii="宋体" w:hAnsi="宋体" w:eastAsia="宋体" w:cs="宋体"/>
          <w:spacing w:val="4"/>
          <w:sz w:val="20"/>
          <w:szCs w:val="20"/>
        </w:rPr>
        <w:t>竣工验收条件</w:t>
      </w:r>
    </w:p>
    <w:p w14:paraId="2D8B8891">
      <w:pPr>
        <w:spacing w:before="151" w:line="228" w:lineRule="auto"/>
        <w:ind w:left="424"/>
        <w:rPr>
          <w:rFonts w:ascii="宋体" w:hAnsi="宋体" w:eastAsia="宋体" w:cs="宋体"/>
          <w:sz w:val="20"/>
          <w:szCs w:val="20"/>
        </w:rPr>
      </w:pPr>
      <w:r>
        <w:rPr>
          <w:rFonts w:ascii="宋体" w:hAnsi="宋体" w:eastAsia="宋体" w:cs="宋体"/>
          <w:spacing w:val="9"/>
          <w:sz w:val="20"/>
          <w:szCs w:val="20"/>
        </w:rPr>
        <w:t>工程具备以下条件的，承包人可以申请竣工验收：</w:t>
      </w:r>
    </w:p>
    <w:p w14:paraId="5A2C01FF">
      <w:pPr>
        <w:spacing w:before="154" w:line="369" w:lineRule="auto"/>
        <w:ind w:left="1" w:right="70"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）除发包人同意的甩项工作和缺陷修补工作外，合同范围内的全部工</w:t>
      </w:r>
      <w:r>
        <w:rPr>
          <w:rFonts w:ascii="宋体" w:hAnsi="宋体" w:eastAsia="宋体" w:cs="宋体"/>
          <w:spacing w:val="6"/>
          <w:sz w:val="20"/>
          <w:szCs w:val="20"/>
        </w:rPr>
        <w:t>程以及有关工作，包</w:t>
      </w:r>
      <w:r>
        <w:rPr>
          <w:rFonts w:ascii="宋体" w:hAnsi="宋体" w:eastAsia="宋体" w:cs="宋体"/>
          <w:spacing w:val="9"/>
          <w:sz w:val="20"/>
          <w:szCs w:val="20"/>
        </w:rPr>
        <w:t>括合同要求的试验、试运行以及检验均已完成，并符合合同要求；</w:t>
      </w:r>
    </w:p>
    <w:p w14:paraId="63EDB000">
      <w:pPr>
        <w:spacing w:before="1" w:line="227"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w:t>
      </w:r>
      <w:r>
        <w:rPr>
          <w:rFonts w:ascii="宋体" w:hAnsi="宋体" w:eastAsia="宋体" w:cs="宋体"/>
          <w:spacing w:val="-59"/>
          <w:sz w:val="20"/>
          <w:szCs w:val="20"/>
        </w:rPr>
        <w:t xml:space="preserve"> </w:t>
      </w:r>
      <w:r>
        <w:rPr>
          <w:rFonts w:ascii="宋体" w:hAnsi="宋体" w:eastAsia="宋体" w:cs="宋体"/>
          <w:spacing w:val="8"/>
          <w:sz w:val="20"/>
          <w:szCs w:val="20"/>
        </w:rPr>
        <w:t>已按合同约定编制了甩项工作和缺陷修补工作清单以</w:t>
      </w:r>
      <w:r>
        <w:rPr>
          <w:rFonts w:ascii="宋体" w:hAnsi="宋体" w:eastAsia="宋体" w:cs="宋体"/>
          <w:spacing w:val="7"/>
          <w:sz w:val="20"/>
          <w:szCs w:val="20"/>
        </w:rPr>
        <w:t>及相应的施工计划；</w:t>
      </w:r>
    </w:p>
    <w:p w14:paraId="50EEF1BC">
      <w:pPr>
        <w:spacing w:before="154" w:line="228" w:lineRule="auto"/>
        <w:ind w:left="431"/>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w:t>
      </w:r>
      <w:r>
        <w:rPr>
          <w:rFonts w:ascii="宋体" w:hAnsi="宋体" w:eastAsia="宋体" w:cs="宋体"/>
          <w:spacing w:val="-49"/>
          <w:sz w:val="20"/>
          <w:szCs w:val="20"/>
        </w:rPr>
        <w:t xml:space="preserve"> </w:t>
      </w:r>
      <w:r>
        <w:rPr>
          <w:rFonts w:ascii="宋体" w:hAnsi="宋体" w:eastAsia="宋体" w:cs="宋体"/>
          <w:spacing w:val="6"/>
          <w:sz w:val="20"/>
          <w:szCs w:val="20"/>
        </w:rPr>
        <w:t>已按合同约定的内容和份数备齐竣工资料。</w:t>
      </w:r>
    </w:p>
    <w:p w14:paraId="71CD78B5">
      <w:pPr>
        <w:spacing w:before="154" w:line="228"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13.2.2 </w:t>
      </w:r>
      <w:r>
        <w:rPr>
          <w:rFonts w:ascii="宋体" w:hAnsi="宋体" w:eastAsia="宋体" w:cs="宋体"/>
          <w:spacing w:val="4"/>
          <w:sz w:val="20"/>
          <w:szCs w:val="20"/>
        </w:rPr>
        <w:t>竣工验收程序</w:t>
      </w:r>
    </w:p>
    <w:p w14:paraId="32BD677F">
      <w:pPr>
        <w:spacing w:before="151" w:line="228" w:lineRule="auto"/>
        <w:ind w:left="434"/>
        <w:rPr>
          <w:rFonts w:ascii="宋体" w:hAnsi="宋体" w:eastAsia="宋体" w:cs="宋体"/>
          <w:sz w:val="20"/>
          <w:szCs w:val="20"/>
        </w:rPr>
      </w:pPr>
      <w:r>
        <w:rPr>
          <w:rFonts w:ascii="宋体" w:hAnsi="宋体" w:eastAsia="宋体" w:cs="宋体"/>
          <w:spacing w:val="9"/>
          <w:sz w:val="20"/>
          <w:szCs w:val="20"/>
        </w:rPr>
        <w:t>除专用合同条款另有约定外，承包人申请竣工验收的，应当按照以下程序进行：</w:t>
      </w:r>
    </w:p>
    <w:p w14:paraId="45A0EF78">
      <w:pPr>
        <w:spacing w:before="156" w:line="369" w:lineRule="auto"/>
        <w:ind w:right="68" w:firstLine="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）承包人向监理人报送竣工验收申请报告，监理人应在收到竣工验收申请报告后</w:t>
      </w:r>
      <w:r>
        <w:rPr>
          <w:rFonts w:ascii="宋体" w:hAnsi="宋体" w:eastAsia="宋体" w:cs="宋体"/>
          <w:spacing w:val="-6"/>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w:t>
      </w:r>
      <w:r>
        <w:rPr>
          <w:rFonts w:ascii="宋体" w:hAnsi="宋体" w:eastAsia="宋体" w:cs="宋体"/>
          <w:spacing w:val="10"/>
          <w:sz w:val="20"/>
          <w:szCs w:val="20"/>
        </w:rPr>
        <w:t>完成审查并报送发包人。监理人审查后认为尚不具备验收条件的，应通知承包</w:t>
      </w:r>
      <w:r>
        <w:rPr>
          <w:rFonts w:ascii="宋体" w:hAnsi="宋体" w:eastAsia="宋体" w:cs="宋体"/>
          <w:spacing w:val="9"/>
          <w:sz w:val="20"/>
          <w:szCs w:val="20"/>
        </w:rPr>
        <w:t>人在竣工验收前承</w:t>
      </w:r>
      <w:r>
        <w:rPr>
          <w:rFonts w:ascii="宋体" w:hAnsi="宋体" w:eastAsia="宋体" w:cs="宋体"/>
          <w:spacing w:val="10"/>
          <w:sz w:val="20"/>
          <w:szCs w:val="20"/>
        </w:rPr>
        <w:t>包人还需完成的工作内容，承包人应在完成监理人通知的全部工作内容后，再</w:t>
      </w:r>
      <w:r>
        <w:rPr>
          <w:rFonts w:ascii="宋体" w:hAnsi="宋体" w:eastAsia="宋体" w:cs="宋体"/>
          <w:spacing w:val="9"/>
          <w:sz w:val="20"/>
          <w:szCs w:val="20"/>
        </w:rPr>
        <w:t>次提交竣工验收申</w:t>
      </w:r>
      <w:r>
        <w:rPr>
          <w:rFonts w:ascii="宋体" w:hAnsi="宋体" w:eastAsia="宋体" w:cs="宋体"/>
          <w:spacing w:val="5"/>
          <w:sz w:val="20"/>
          <w:szCs w:val="20"/>
        </w:rPr>
        <w:t>请报告。</w:t>
      </w:r>
    </w:p>
    <w:p w14:paraId="547F00FB">
      <w:pPr>
        <w:spacing w:before="1" w:line="369" w:lineRule="auto"/>
        <w:ind w:left="1" w:right="70"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）监理人审查后认为已具备竣工验收条件的，应将竣工验收申请报告</w:t>
      </w:r>
      <w:r>
        <w:rPr>
          <w:rFonts w:ascii="宋体" w:hAnsi="宋体" w:eastAsia="宋体" w:cs="宋体"/>
          <w:spacing w:val="6"/>
          <w:sz w:val="20"/>
          <w:szCs w:val="20"/>
        </w:rPr>
        <w:t>提交发包人，发包人</w:t>
      </w:r>
      <w:r>
        <w:rPr>
          <w:rFonts w:ascii="宋体" w:hAnsi="宋体" w:eastAsia="宋体" w:cs="宋体"/>
          <w:spacing w:val="7"/>
          <w:sz w:val="20"/>
          <w:szCs w:val="20"/>
        </w:rPr>
        <w:t>应在收到经监理人审核的竣工验收申请报告后</w:t>
      </w:r>
      <w:r>
        <w:rPr>
          <w:rFonts w:ascii="宋体" w:hAnsi="宋体" w:eastAsia="宋体" w:cs="宋体"/>
          <w:spacing w:val="-41"/>
          <w:sz w:val="20"/>
          <w:szCs w:val="20"/>
        </w:rPr>
        <w:t xml:space="preserve"> </w:t>
      </w:r>
      <w:r>
        <w:rPr>
          <w:rFonts w:ascii="Times New Roman" w:hAnsi="Times New Roman" w:eastAsia="Times New Roman" w:cs="Times New Roman"/>
          <w:spacing w:val="7"/>
          <w:sz w:val="20"/>
          <w:szCs w:val="20"/>
        </w:rPr>
        <w:t xml:space="preserve">28 </w:t>
      </w:r>
      <w:r>
        <w:rPr>
          <w:rFonts w:ascii="宋体" w:hAnsi="宋体" w:eastAsia="宋体" w:cs="宋体"/>
          <w:spacing w:val="7"/>
          <w:sz w:val="20"/>
          <w:szCs w:val="20"/>
        </w:rPr>
        <w:t>天内审批完毕并组织监理人</w:t>
      </w:r>
      <w:r>
        <w:rPr>
          <w:rFonts w:ascii="宋体" w:hAnsi="宋体" w:eastAsia="宋体" w:cs="宋体"/>
          <w:spacing w:val="6"/>
          <w:sz w:val="20"/>
          <w:szCs w:val="20"/>
        </w:rPr>
        <w:t>、承包人、设计人等</w:t>
      </w:r>
      <w:r>
        <w:rPr>
          <w:rFonts w:ascii="宋体" w:hAnsi="宋体" w:eastAsia="宋体" w:cs="宋体"/>
          <w:spacing w:val="8"/>
          <w:sz w:val="20"/>
          <w:szCs w:val="20"/>
        </w:rPr>
        <w:t>相关单位完成竣工验收。</w:t>
      </w:r>
    </w:p>
    <w:p w14:paraId="2BF7079C">
      <w:pPr>
        <w:spacing w:before="1" w:line="368" w:lineRule="auto"/>
        <w:ind w:left="3" w:right="68" w:firstLine="4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）竣工验收合格的，发包人应在验收合格后</w:t>
      </w:r>
      <w:r>
        <w:rPr>
          <w:rFonts w:ascii="宋体" w:hAnsi="宋体" w:eastAsia="宋体" w:cs="宋体"/>
          <w:spacing w:val="-6"/>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天内向承包人签发工程接收证书。发包人</w:t>
      </w:r>
      <w:r>
        <w:rPr>
          <w:rFonts w:ascii="宋体" w:hAnsi="宋体" w:eastAsia="宋体" w:cs="宋体"/>
          <w:spacing w:val="7"/>
          <w:sz w:val="20"/>
          <w:szCs w:val="20"/>
        </w:rPr>
        <w:t>无正当理由逾期不颁发工程接收证书的，</w:t>
      </w:r>
      <w:r>
        <w:rPr>
          <w:rFonts w:ascii="宋体" w:hAnsi="宋体" w:eastAsia="宋体" w:cs="宋体"/>
          <w:spacing w:val="-47"/>
          <w:sz w:val="20"/>
          <w:szCs w:val="20"/>
        </w:rPr>
        <w:t xml:space="preserve"> </w:t>
      </w:r>
      <w:r>
        <w:rPr>
          <w:rFonts w:ascii="宋体" w:hAnsi="宋体" w:eastAsia="宋体" w:cs="宋体"/>
          <w:spacing w:val="7"/>
          <w:sz w:val="20"/>
          <w:szCs w:val="20"/>
        </w:rPr>
        <w:t>自验收合格后第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15</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天起视为已颁发工程接收证书。</w:t>
      </w:r>
    </w:p>
    <w:p w14:paraId="041D9D1E">
      <w:pPr>
        <w:spacing w:before="2" w:line="369" w:lineRule="auto"/>
        <w:ind w:firstLine="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）竣工验收不合格的，监理人应按照验收意</w:t>
      </w:r>
      <w:r>
        <w:rPr>
          <w:rFonts w:ascii="宋体" w:hAnsi="宋体" w:eastAsia="宋体" w:cs="宋体"/>
          <w:spacing w:val="8"/>
          <w:sz w:val="20"/>
          <w:szCs w:val="20"/>
        </w:rPr>
        <w:t>见发出指示，要求承包人对不合格工程返工、</w:t>
      </w:r>
      <w:r>
        <w:rPr>
          <w:rFonts w:ascii="宋体" w:hAnsi="宋体" w:eastAsia="宋体" w:cs="宋体"/>
          <w:spacing w:val="10"/>
          <w:sz w:val="20"/>
          <w:szCs w:val="20"/>
        </w:rPr>
        <w:t>修复或采取其他补救措施，由此增加的费用和（或）延误的工期由承包人承</w:t>
      </w:r>
      <w:r>
        <w:rPr>
          <w:rFonts w:ascii="宋体" w:hAnsi="宋体" w:eastAsia="宋体" w:cs="宋体"/>
          <w:spacing w:val="9"/>
          <w:sz w:val="20"/>
          <w:szCs w:val="20"/>
        </w:rPr>
        <w:t>担。承包人在完成不</w:t>
      </w:r>
      <w:r>
        <w:rPr>
          <w:rFonts w:ascii="宋体" w:hAnsi="宋体" w:eastAsia="宋体" w:cs="宋体"/>
          <w:spacing w:val="10"/>
          <w:sz w:val="20"/>
          <w:szCs w:val="20"/>
        </w:rPr>
        <w:t>合格工程的返工、修复或采取其他补救措施后，应重新提交竣工验收申请报</w:t>
      </w:r>
      <w:r>
        <w:rPr>
          <w:rFonts w:ascii="宋体" w:hAnsi="宋体" w:eastAsia="宋体" w:cs="宋体"/>
          <w:spacing w:val="9"/>
          <w:sz w:val="20"/>
          <w:szCs w:val="20"/>
        </w:rPr>
        <w:t>告，并按本项约定的</w:t>
      </w:r>
      <w:r>
        <w:rPr>
          <w:rFonts w:ascii="宋体" w:hAnsi="宋体" w:eastAsia="宋体" w:cs="宋体"/>
          <w:spacing w:val="7"/>
          <w:sz w:val="20"/>
          <w:szCs w:val="20"/>
        </w:rPr>
        <w:t>程序重新进行验收。</w:t>
      </w:r>
    </w:p>
    <w:p w14:paraId="0F111868">
      <w:pPr>
        <w:spacing w:before="1" w:line="369" w:lineRule="auto"/>
        <w:ind w:left="1" w:right="70" w:firstLine="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5</w:t>
      </w:r>
      <w:r>
        <w:rPr>
          <w:rFonts w:ascii="宋体" w:hAnsi="宋体" w:eastAsia="宋体" w:cs="宋体"/>
          <w:spacing w:val="6"/>
          <w:sz w:val="20"/>
          <w:szCs w:val="20"/>
        </w:rPr>
        <w:t>）工程未经验收或验收不合格，发包人擅自使用的，应在转移占有工程后</w:t>
      </w:r>
      <w:r>
        <w:rPr>
          <w:rFonts w:ascii="宋体" w:hAnsi="宋体" w:eastAsia="宋体" w:cs="宋体"/>
          <w:spacing w:val="-34"/>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天内向承包人颁发工程接收证书；发包人无正当理由逾期不颁发工程接收证书的，自转移占有后第</w:t>
      </w:r>
      <w:r>
        <w:rPr>
          <w:rFonts w:ascii="宋体" w:hAnsi="宋体" w:eastAsia="宋体" w:cs="宋体"/>
          <w:spacing w:val="-6"/>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天起视为</w:t>
      </w:r>
      <w:r>
        <w:rPr>
          <w:rFonts w:ascii="宋体" w:hAnsi="宋体" w:eastAsia="宋体" w:cs="宋体"/>
          <w:spacing w:val="8"/>
          <w:sz w:val="20"/>
          <w:szCs w:val="20"/>
        </w:rPr>
        <w:t>已颁发工程接收证书。</w:t>
      </w:r>
    </w:p>
    <w:p w14:paraId="13BA242C">
      <w:pPr>
        <w:spacing w:before="1" w:line="369" w:lineRule="auto"/>
        <w:ind w:left="1" w:right="68" w:firstLine="432"/>
        <w:jc w:val="both"/>
        <w:rPr>
          <w:rFonts w:ascii="宋体" w:hAnsi="宋体" w:eastAsia="宋体" w:cs="宋体"/>
          <w:sz w:val="20"/>
          <w:szCs w:val="20"/>
        </w:rPr>
      </w:pPr>
      <w:r>
        <w:rPr>
          <w:rFonts w:ascii="宋体" w:hAnsi="宋体" w:eastAsia="宋体" w:cs="宋体"/>
          <w:spacing w:val="9"/>
          <w:sz w:val="20"/>
          <w:szCs w:val="20"/>
        </w:rPr>
        <w:t>除专用合同条款另有约定外，发包人不按照本项约定组织竣工验收、颁发工程接收证书的，</w:t>
      </w:r>
      <w:r>
        <w:rPr>
          <w:rFonts w:ascii="宋体" w:hAnsi="宋体" w:eastAsia="宋体" w:cs="宋体"/>
          <w:spacing w:val="10"/>
          <w:sz w:val="20"/>
          <w:szCs w:val="20"/>
        </w:rPr>
        <w:t>每逾期一天，应以签约合同价为基数，按照中国人民银行发布的同期同类</w:t>
      </w:r>
      <w:r>
        <w:rPr>
          <w:rFonts w:ascii="宋体" w:hAnsi="宋体" w:eastAsia="宋体" w:cs="宋体"/>
          <w:spacing w:val="9"/>
          <w:sz w:val="20"/>
          <w:szCs w:val="20"/>
        </w:rPr>
        <w:t>贷款基准利率支付违约</w:t>
      </w:r>
      <w:r>
        <w:rPr>
          <w:rFonts w:ascii="宋体" w:hAnsi="宋体" w:eastAsia="宋体" w:cs="宋体"/>
          <w:sz w:val="20"/>
          <w:szCs w:val="20"/>
        </w:rPr>
        <w:t>金。</w:t>
      </w:r>
    </w:p>
    <w:p w14:paraId="7BA23B5A">
      <w:pPr>
        <w:spacing w:before="1" w:line="227"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13.2.3 </w:t>
      </w:r>
      <w:r>
        <w:rPr>
          <w:rFonts w:ascii="宋体" w:hAnsi="宋体" w:eastAsia="宋体" w:cs="宋体"/>
          <w:spacing w:val="3"/>
          <w:sz w:val="20"/>
          <w:szCs w:val="20"/>
        </w:rPr>
        <w:t>竣工日期</w:t>
      </w:r>
    </w:p>
    <w:p w14:paraId="58665BB2">
      <w:pPr>
        <w:spacing w:before="151" w:line="370" w:lineRule="auto"/>
        <w:ind w:right="68" w:firstLine="423"/>
        <w:rPr>
          <w:rFonts w:ascii="宋体" w:hAnsi="宋体" w:eastAsia="宋体" w:cs="宋体"/>
          <w:sz w:val="20"/>
          <w:szCs w:val="20"/>
        </w:rPr>
      </w:pPr>
      <w:r>
        <w:rPr>
          <w:rFonts w:ascii="宋体" w:hAnsi="宋体" w:eastAsia="宋体" w:cs="宋体"/>
          <w:spacing w:val="9"/>
          <w:sz w:val="20"/>
          <w:szCs w:val="20"/>
        </w:rPr>
        <w:t>工程经竣工验收合格的，</w:t>
      </w:r>
      <w:r>
        <w:rPr>
          <w:rFonts w:ascii="宋体" w:hAnsi="宋体" w:eastAsia="宋体" w:cs="宋体"/>
          <w:spacing w:val="-59"/>
          <w:sz w:val="20"/>
          <w:szCs w:val="20"/>
        </w:rPr>
        <w:t xml:space="preserve"> </w:t>
      </w:r>
      <w:r>
        <w:rPr>
          <w:rFonts w:ascii="宋体" w:hAnsi="宋体" w:eastAsia="宋体" w:cs="宋体"/>
          <w:spacing w:val="9"/>
          <w:sz w:val="20"/>
          <w:szCs w:val="20"/>
        </w:rPr>
        <w:t>以承包人提交竣工验收申请报告之日</w:t>
      </w:r>
      <w:r>
        <w:rPr>
          <w:rFonts w:ascii="宋体" w:hAnsi="宋体" w:eastAsia="宋体" w:cs="宋体"/>
          <w:spacing w:val="8"/>
          <w:sz w:val="20"/>
          <w:szCs w:val="20"/>
        </w:rPr>
        <w:t>为实际竣工日期，并在工程接</w:t>
      </w:r>
      <w:r>
        <w:rPr>
          <w:rFonts w:ascii="宋体" w:hAnsi="宋体" w:eastAsia="宋体" w:cs="宋体"/>
          <w:spacing w:val="7"/>
          <w:sz w:val="20"/>
          <w:szCs w:val="20"/>
        </w:rPr>
        <w:t>收证书中载明；因发包人原因，未在监理人收到承包人提交的竣工验收申请报告</w:t>
      </w:r>
      <w:r>
        <w:rPr>
          <w:rFonts w:ascii="宋体" w:hAnsi="宋体" w:eastAsia="宋体" w:cs="宋体"/>
          <w:spacing w:val="-44"/>
          <w:sz w:val="20"/>
          <w:szCs w:val="20"/>
        </w:rPr>
        <w:t xml:space="preserve"> </w:t>
      </w:r>
      <w:r>
        <w:rPr>
          <w:rFonts w:ascii="Times New Roman" w:hAnsi="Times New Roman" w:eastAsia="Times New Roman" w:cs="Times New Roman"/>
          <w:spacing w:val="7"/>
          <w:sz w:val="20"/>
          <w:szCs w:val="20"/>
        </w:rPr>
        <w:t xml:space="preserve">42 </w:t>
      </w:r>
      <w:r>
        <w:rPr>
          <w:rFonts w:ascii="宋体" w:hAnsi="宋体" w:eastAsia="宋体" w:cs="宋体"/>
          <w:spacing w:val="7"/>
          <w:sz w:val="20"/>
          <w:szCs w:val="20"/>
        </w:rPr>
        <w:t>天</w:t>
      </w:r>
      <w:r>
        <w:rPr>
          <w:rFonts w:ascii="宋体" w:hAnsi="宋体" w:eastAsia="宋体" w:cs="宋体"/>
          <w:spacing w:val="6"/>
          <w:sz w:val="20"/>
          <w:szCs w:val="20"/>
        </w:rPr>
        <w:t>内完成竣工</w:t>
      </w:r>
      <w:r>
        <w:rPr>
          <w:rFonts w:ascii="宋体" w:hAnsi="宋体" w:eastAsia="宋体" w:cs="宋体"/>
          <w:spacing w:val="10"/>
          <w:sz w:val="20"/>
          <w:szCs w:val="20"/>
        </w:rPr>
        <w:t>验收，或完成竣工验收不予签发工程接收证书的，以提交竣工验收申请报告</w:t>
      </w:r>
      <w:r>
        <w:rPr>
          <w:rFonts w:ascii="宋体" w:hAnsi="宋体" w:eastAsia="宋体" w:cs="宋体"/>
          <w:spacing w:val="9"/>
          <w:sz w:val="20"/>
          <w:szCs w:val="20"/>
        </w:rPr>
        <w:t>的日期为实际竣工日</w:t>
      </w:r>
      <w:r>
        <w:rPr>
          <w:rFonts w:ascii="宋体" w:hAnsi="宋体" w:eastAsia="宋体" w:cs="宋体"/>
          <w:spacing w:val="8"/>
          <w:sz w:val="20"/>
          <w:szCs w:val="20"/>
        </w:rPr>
        <w:t>期；工程未经竣工验收，发包人擅自使用的，</w:t>
      </w:r>
      <w:r>
        <w:rPr>
          <w:rFonts w:ascii="宋体" w:hAnsi="宋体" w:eastAsia="宋体" w:cs="宋体"/>
          <w:spacing w:val="-47"/>
          <w:sz w:val="20"/>
          <w:szCs w:val="20"/>
        </w:rPr>
        <w:t xml:space="preserve"> </w:t>
      </w:r>
      <w:r>
        <w:rPr>
          <w:rFonts w:ascii="宋体" w:hAnsi="宋体" w:eastAsia="宋体" w:cs="宋体"/>
          <w:spacing w:val="8"/>
          <w:sz w:val="20"/>
          <w:szCs w:val="20"/>
        </w:rPr>
        <w:t>以转移占有工程之日为实际竣工日期。</w:t>
      </w:r>
    </w:p>
    <w:p w14:paraId="4B0FFD1F">
      <w:pPr>
        <w:spacing w:line="370" w:lineRule="auto"/>
        <w:rPr>
          <w:rFonts w:ascii="宋体" w:hAnsi="宋体" w:eastAsia="宋体" w:cs="宋体"/>
          <w:sz w:val="20"/>
          <w:szCs w:val="20"/>
        </w:rPr>
        <w:sectPr>
          <w:footerReference r:id="rId270" w:type="default"/>
          <w:pgSz w:w="11906" w:h="16839"/>
          <w:pgMar w:top="400" w:right="1486" w:bottom="1038" w:left="1537" w:header="0" w:footer="787" w:gutter="0"/>
          <w:cols w:space="720" w:num="1"/>
        </w:sectPr>
      </w:pPr>
    </w:p>
    <w:p w14:paraId="79766E9C">
      <w:pPr>
        <w:spacing w:line="271" w:lineRule="auto"/>
        <w:rPr>
          <w:rFonts w:ascii="Arial"/>
          <w:sz w:val="21"/>
        </w:rPr>
      </w:pPr>
    </w:p>
    <w:p w14:paraId="640D0781">
      <w:pPr>
        <w:spacing w:line="271" w:lineRule="auto"/>
        <w:rPr>
          <w:rFonts w:ascii="Arial"/>
          <w:sz w:val="21"/>
        </w:rPr>
      </w:pPr>
    </w:p>
    <w:p w14:paraId="0F0DD3EC">
      <w:pPr>
        <w:spacing w:line="272" w:lineRule="auto"/>
        <w:rPr>
          <w:rFonts w:ascii="Arial"/>
          <w:sz w:val="21"/>
        </w:rPr>
      </w:pPr>
    </w:p>
    <w:p w14:paraId="0BC30F4C">
      <w:pPr>
        <w:spacing w:line="272" w:lineRule="auto"/>
        <w:rPr>
          <w:rFonts w:ascii="Arial"/>
          <w:sz w:val="21"/>
        </w:rPr>
      </w:pPr>
    </w:p>
    <w:p w14:paraId="3861FEBF">
      <w:pPr>
        <w:spacing w:before="65" w:line="228"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13.2.4  </w:t>
      </w:r>
      <w:r>
        <w:rPr>
          <w:rFonts w:ascii="宋体" w:hAnsi="宋体" w:eastAsia="宋体" w:cs="宋体"/>
          <w:spacing w:val="5"/>
          <w:sz w:val="20"/>
          <w:szCs w:val="20"/>
        </w:rPr>
        <w:t>拒绝接收全部或部分工程</w:t>
      </w:r>
    </w:p>
    <w:p w14:paraId="7ECCCEB3">
      <w:pPr>
        <w:spacing w:before="153" w:line="369" w:lineRule="auto"/>
        <w:ind w:left="4" w:right="70" w:firstLine="416"/>
        <w:rPr>
          <w:rFonts w:ascii="宋体" w:hAnsi="宋体" w:eastAsia="宋体" w:cs="宋体"/>
          <w:sz w:val="20"/>
          <w:szCs w:val="20"/>
        </w:rPr>
      </w:pPr>
      <w:r>
        <w:rPr>
          <w:rFonts w:ascii="宋体" w:hAnsi="宋体" w:eastAsia="宋体" w:cs="宋体"/>
          <w:spacing w:val="10"/>
          <w:sz w:val="20"/>
          <w:szCs w:val="20"/>
        </w:rPr>
        <w:t>对于竣工验收不合格的工程，承包人完成整改后，应当重新进行竣工验</w:t>
      </w:r>
      <w:r>
        <w:rPr>
          <w:rFonts w:ascii="宋体" w:hAnsi="宋体" w:eastAsia="宋体" w:cs="宋体"/>
          <w:spacing w:val="9"/>
          <w:sz w:val="20"/>
          <w:szCs w:val="20"/>
        </w:rPr>
        <w:t>收，经重新组织验收</w:t>
      </w:r>
      <w:r>
        <w:rPr>
          <w:rFonts w:ascii="宋体" w:hAnsi="宋体" w:eastAsia="宋体" w:cs="宋体"/>
          <w:spacing w:val="10"/>
          <w:sz w:val="20"/>
          <w:szCs w:val="20"/>
        </w:rPr>
        <w:t>仍不合格的且无法采取措施补救的，则发包人可以拒绝接收不合格工</w:t>
      </w:r>
      <w:r>
        <w:rPr>
          <w:rFonts w:ascii="宋体" w:hAnsi="宋体" w:eastAsia="宋体" w:cs="宋体"/>
          <w:spacing w:val="9"/>
          <w:sz w:val="20"/>
          <w:szCs w:val="20"/>
        </w:rPr>
        <w:t>程，因不合格工程导致其他</w:t>
      </w:r>
      <w:r>
        <w:rPr>
          <w:rFonts w:ascii="宋体" w:hAnsi="宋体" w:eastAsia="宋体" w:cs="宋体"/>
          <w:spacing w:val="10"/>
          <w:sz w:val="20"/>
          <w:szCs w:val="20"/>
        </w:rPr>
        <w:t>工程不能正常使用的，承包人应采取措施确保相关工程的正常使用，</w:t>
      </w:r>
      <w:r>
        <w:rPr>
          <w:rFonts w:ascii="宋体" w:hAnsi="宋体" w:eastAsia="宋体" w:cs="宋体"/>
          <w:spacing w:val="9"/>
          <w:sz w:val="20"/>
          <w:szCs w:val="20"/>
        </w:rPr>
        <w:t>由此增加的费用和（或）延</w:t>
      </w:r>
      <w:r>
        <w:rPr>
          <w:rFonts w:ascii="宋体" w:hAnsi="宋体" w:eastAsia="宋体" w:cs="宋体"/>
          <w:spacing w:val="7"/>
          <w:sz w:val="20"/>
          <w:szCs w:val="20"/>
        </w:rPr>
        <w:t>误的工期由承包人承担。</w:t>
      </w:r>
    </w:p>
    <w:p w14:paraId="61D770C1">
      <w:pPr>
        <w:spacing w:line="227" w:lineRule="auto"/>
        <w:ind w:left="437"/>
        <w:rPr>
          <w:rFonts w:ascii="宋体" w:hAnsi="宋体" w:eastAsia="宋体" w:cs="宋体"/>
          <w:sz w:val="20"/>
          <w:szCs w:val="20"/>
        </w:rPr>
      </w:pPr>
      <w:r>
        <w:rPr>
          <w:rFonts w:ascii="Times New Roman" w:hAnsi="Times New Roman" w:eastAsia="Times New Roman" w:cs="Times New Roman"/>
          <w:spacing w:val="6"/>
          <w:sz w:val="20"/>
          <w:szCs w:val="20"/>
        </w:rPr>
        <w:t xml:space="preserve">13.2.5  </w:t>
      </w:r>
      <w:r>
        <w:rPr>
          <w:rFonts w:ascii="宋体" w:hAnsi="宋体" w:eastAsia="宋体" w:cs="宋体"/>
          <w:spacing w:val="6"/>
          <w:sz w:val="20"/>
          <w:szCs w:val="20"/>
        </w:rPr>
        <w:t>移交、接收全部与部分工程</w:t>
      </w:r>
    </w:p>
    <w:p w14:paraId="5E03A31F">
      <w:pPr>
        <w:spacing w:before="154" w:line="227" w:lineRule="auto"/>
        <w:jc w:val="right"/>
        <w:rPr>
          <w:rFonts w:ascii="宋体" w:hAnsi="宋体" w:eastAsia="宋体" w:cs="宋体"/>
          <w:sz w:val="20"/>
          <w:szCs w:val="20"/>
        </w:rPr>
      </w:pPr>
      <w:r>
        <w:rPr>
          <w:rFonts w:ascii="宋体" w:hAnsi="宋体" w:eastAsia="宋体" w:cs="宋体"/>
          <w:spacing w:val="5"/>
          <w:sz w:val="20"/>
          <w:szCs w:val="20"/>
        </w:rPr>
        <w:t>除专用合同条款另有约定外，合同当事人应当在颁发工程接收证书后</w:t>
      </w:r>
      <w:r>
        <w:rPr>
          <w:rFonts w:ascii="宋体" w:hAnsi="宋体" w:eastAsia="宋体" w:cs="宋体"/>
          <w:spacing w:val="-22"/>
          <w:sz w:val="20"/>
          <w:szCs w:val="20"/>
        </w:rPr>
        <w:t xml:space="preserve"> </w:t>
      </w:r>
      <w:r>
        <w:rPr>
          <w:rFonts w:ascii="Times New Roman" w:hAnsi="Times New Roman" w:eastAsia="Times New Roman" w:cs="Times New Roman"/>
          <w:spacing w:val="5"/>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5"/>
          <w:sz w:val="20"/>
          <w:szCs w:val="20"/>
        </w:rPr>
        <w:t>天内完成工程的移交。</w:t>
      </w:r>
    </w:p>
    <w:p w14:paraId="6F136090">
      <w:pPr>
        <w:spacing w:before="153" w:line="369" w:lineRule="auto"/>
        <w:ind w:left="2" w:firstLine="422"/>
        <w:rPr>
          <w:rFonts w:ascii="宋体" w:hAnsi="宋体" w:eastAsia="宋体" w:cs="宋体"/>
          <w:sz w:val="20"/>
          <w:szCs w:val="20"/>
        </w:rPr>
      </w:pPr>
      <w:r>
        <w:rPr>
          <w:rFonts w:ascii="宋体" w:hAnsi="宋体" w:eastAsia="宋体" w:cs="宋体"/>
          <w:spacing w:val="6"/>
          <w:sz w:val="20"/>
          <w:szCs w:val="20"/>
        </w:rPr>
        <w:t>发包人无正当理由不接收工程的，发包人自应当接收工程之日起，承担工程照管、成品保护、</w:t>
      </w:r>
      <w:r>
        <w:rPr>
          <w:rFonts w:ascii="宋体" w:hAnsi="宋体" w:eastAsia="宋体" w:cs="宋体"/>
          <w:spacing w:val="10"/>
          <w:sz w:val="20"/>
          <w:szCs w:val="20"/>
        </w:rPr>
        <w:t>保管等与工程有关的各项费用，合同当事人可以在专用合同条款中</w:t>
      </w:r>
      <w:r>
        <w:rPr>
          <w:rFonts w:ascii="宋体" w:hAnsi="宋体" w:eastAsia="宋体" w:cs="宋体"/>
          <w:spacing w:val="9"/>
          <w:sz w:val="20"/>
          <w:szCs w:val="20"/>
        </w:rPr>
        <w:t>另行约定发包人逾期接收工程</w:t>
      </w:r>
      <w:r>
        <w:rPr>
          <w:rFonts w:ascii="宋体" w:hAnsi="宋体" w:eastAsia="宋体" w:cs="宋体"/>
          <w:spacing w:val="6"/>
          <w:sz w:val="20"/>
          <w:szCs w:val="20"/>
        </w:rPr>
        <w:t>的违约责任。</w:t>
      </w:r>
    </w:p>
    <w:p w14:paraId="233D9E3B">
      <w:pPr>
        <w:spacing w:before="2" w:line="357" w:lineRule="auto"/>
        <w:ind w:left="4" w:firstLine="417"/>
        <w:rPr>
          <w:rFonts w:ascii="宋体" w:hAnsi="宋体" w:eastAsia="宋体" w:cs="宋体"/>
          <w:sz w:val="20"/>
          <w:szCs w:val="20"/>
        </w:rPr>
      </w:pPr>
      <w:r>
        <w:rPr>
          <w:rFonts w:ascii="宋体" w:hAnsi="宋体" w:eastAsia="宋体" w:cs="宋体"/>
          <w:spacing w:val="10"/>
          <w:sz w:val="20"/>
          <w:szCs w:val="20"/>
        </w:rPr>
        <w:t>承包人无正当理由不移交工程的，承包人应承担工程照管、成品</w:t>
      </w:r>
      <w:r>
        <w:rPr>
          <w:rFonts w:ascii="宋体" w:hAnsi="宋体" w:eastAsia="宋体" w:cs="宋体"/>
          <w:spacing w:val="9"/>
          <w:sz w:val="20"/>
          <w:szCs w:val="20"/>
        </w:rPr>
        <w:t>保护、保管等与工程有关的</w:t>
      </w:r>
      <w:r>
        <w:rPr>
          <w:rFonts w:ascii="宋体" w:hAnsi="宋体" w:eastAsia="宋体" w:cs="宋体"/>
          <w:spacing w:val="7"/>
          <w:sz w:val="20"/>
          <w:szCs w:val="20"/>
        </w:rPr>
        <w:t>各项费用，合同当事人可以在专用合同条款中另</w:t>
      </w:r>
      <w:r>
        <w:rPr>
          <w:rFonts w:ascii="宋体" w:hAnsi="宋体" w:eastAsia="宋体" w:cs="宋体"/>
          <w:spacing w:val="6"/>
          <w:sz w:val="20"/>
          <w:szCs w:val="20"/>
        </w:rPr>
        <w:t>行约定承包人无正当理由不移交工程的违约责任。</w:t>
      </w:r>
    </w:p>
    <w:p w14:paraId="5DF6D8DE">
      <w:pPr>
        <w:pStyle w:val="2"/>
        <w:spacing w:before="1" w:line="220" w:lineRule="auto"/>
        <w:ind w:left="9"/>
        <w:rPr>
          <w:sz w:val="24"/>
          <w:szCs w:val="24"/>
        </w:rPr>
      </w:pPr>
      <w:r>
        <w:rPr>
          <w:rFonts w:ascii="Times New Roman" w:hAnsi="Times New Roman" w:eastAsia="Times New Roman" w:cs="Times New Roman"/>
          <w:b/>
          <w:bCs/>
          <w:spacing w:val="-3"/>
          <w:sz w:val="24"/>
          <w:szCs w:val="24"/>
        </w:rPr>
        <w:t xml:space="preserve">13.3 </w:t>
      </w:r>
      <w:r>
        <w:rPr>
          <w:b/>
          <w:bCs/>
          <w:spacing w:val="-3"/>
          <w:sz w:val="24"/>
          <w:szCs w:val="24"/>
        </w:rPr>
        <w:t>工程试车</w:t>
      </w:r>
    </w:p>
    <w:p w14:paraId="71F80E34">
      <w:pPr>
        <w:spacing w:before="137" w:line="228"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13.3.1 </w:t>
      </w:r>
      <w:r>
        <w:rPr>
          <w:rFonts w:ascii="宋体" w:hAnsi="宋体" w:eastAsia="宋体" w:cs="宋体"/>
          <w:spacing w:val="3"/>
          <w:sz w:val="20"/>
          <w:szCs w:val="20"/>
        </w:rPr>
        <w:t>试车程序</w:t>
      </w:r>
    </w:p>
    <w:p w14:paraId="7185AAC3">
      <w:pPr>
        <w:spacing w:before="154" w:line="369" w:lineRule="auto"/>
        <w:ind w:left="13" w:right="71" w:firstLine="411"/>
        <w:rPr>
          <w:rFonts w:ascii="宋体" w:hAnsi="宋体" w:eastAsia="宋体" w:cs="宋体"/>
          <w:sz w:val="20"/>
          <w:szCs w:val="20"/>
        </w:rPr>
      </w:pPr>
      <w:r>
        <w:rPr>
          <w:rFonts w:ascii="宋体" w:hAnsi="宋体" w:eastAsia="宋体" w:cs="宋体"/>
          <w:spacing w:val="10"/>
          <w:sz w:val="20"/>
          <w:szCs w:val="20"/>
        </w:rPr>
        <w:t>工程需要试车的，除专用合同条款另有约定外，试车内容应与承</w:t>
      </w:r>
      <w:r>
        <w:rPr>
          <w:rFonts w:ascii="宋体" w:hAnsi="宋体" w:eastAsia="宋体" w:cs="宋体"/>
          <w:spacing w:val="9"/>
          <w:sz w:val="20"/>
          <w:szCs w:val="20"/>
        </w:rPr>
        <w:t>包人承包范围相一致，试车</w:t>
      </w:r>
      <w:r>
        <w:rPr>
          <w:rFonts w:ascii="宋体" w:hAnsi="宋体" w:eastAsia="宋体" w:cs="宋体"/>
          <w:spacing w:val="8"/>
          <w:sz w:val="20"/>
          <w:szCs w:val="20"/>
        </w:rPr>
        <w:t>费用由承包人承担。工程试车应按如下程序进行：</w:t>
      </w:r>
    </w:p>
    <w:p w14:paraId="1A977596">
      <w:pPr>
        <w:spacing w:before="2" w:line="369" w:lineRule="auto"/>
        <w:ind w:left="1" w:right="71" w:firstLine="430"/>
        <w:jc w:val="both"/>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）具备单机无负荷试车条件，承包人组织试车，并在试车前</w:t>
      </w:r>
      <w:r>
        <w:rPr>
          <w:rFonts w:ascii="宋体" w:hAnsi="宋体" w:eastAsia="宋体" w:cs="宋体"/>
          <w:spacing w:val="-44"/>
          <w:sz w:val="20"/>
          <w:szCs w:val="20"/>
        </w:rPr>
        <w:t xml:space="preserve"> </w:t>
      </w:r>
      <w:r>
        <w:rPr>
          <w:rFonts w:ascii="Times New Roman" w:hAnsi="Times New Roman" w:eastAsia="Times New Roman" w:cs="Times New Roman"/>
          <w:spacing w:val="9"/>
          <w:sz w:val="20"/>
          <w:szCs w:val="20"/>
        </w:rPr>
        <w:t xml:space="preserve">48 </w:t>
      </w:r>
      <w:r>
        <w:rPr>
          <w:rFonts w:ascii="宋体" w:hAnsi="宋体" w:eastAsia="宋体" w:cs="宋体"/>
          <w:spacing w:val="9"/>
          <w:sz w:val="20"/>
          <w:szCs w:val="20"/>
        </w:rPr>
        <w:t>小时书面通</w:t>
      </w:r>
      <w:r>
        <w:rPr>
          <w:rFonts w:ascii="宋体" w:hAnsi="宋体" w:eastAsia="宋体" w:cs="宋体"/>
          <w:spacing w:val="8"/>
          <w:sz w:val="20"/>
          <w:szCs w:val="20"/>
        </w:rPr>
        <w:t>知监理人，通</w:t>
      </w:r>
      <w:r>
        <w:rPr>
          <w:rFonts w:ascii="宋体" w:hAnsi="宋体" w:eastAsia="宋体" w:cs="宋体"/>
          <w:spacing w:val="10"/>
          <w:sz w:val="20"/>
          <w:szCs w:val="20"/>
        </w:rPr>
        <w:t>知中应载明试车内容、时间、地点。承包人准备试车记录，发包人根据承</w:t>
      </w:r>
      <w:r>
        <w:rPr>
          <w:rFonts w:ascii="宋体" w:hAnsi="宋体" w:eastAsia="宋体" w:cs="宋体"/>
          <w:spacing w:val="9"/>
          <w:sz w:val="20"/>
          <w:szCs w:val="20"/>
        </w:rPr>
        <w:t>包人要求为试车提供必要条件。试车合格的，监理人在试车记录上签字。监</w:t>
      </w:r>
      <w:r>
        <w:rPr>
          <w:rFonts w:ascii="宋体" w:hAnsi="宋体" w:eastAsia="宋体" w:cs="宋体"/>
          <w:spacing w:val="8"/>
          <w:sz w:val="20"/>
          <w:szCs w:val="20"/>
        </w:rPr>
        <w:t>理人在试车合格后不在试车记录上签字，</w:t>
      </w:r>
      <w:r>
        <w:rPr>
          <w:rFonts w:ascii="宋体" w:hAnsi="宋体" w:eastAsia="宋体" w:cs="宋体"/>
          <w:spacing w:val="-49"/>
          <w:sz w:val="20"/>
          <w:szCs w:val="20"/>
        </w:rPr>
        <w:t xml:space="preserve"> </w:t>
      </w:r>
      <w:r>
        <w:rPr>
          <w:rFonts w:ascii="宋体" w:hAnsi="宋体" w:eastAsia="宋体" w:cs="宋体"/>
          <w:spacing w:val="8"/>
          <w:sz w:val="20"/>
          <w:szCs w:val="20"/>
        </w:rPr>
        <w:t>自</w:t>
      </w:r>
      <w:r>
        <w:rPr>
          <w:rFonts w:ascii="宋体" w:hAnsi="宋体" w:eastAsia="宋体" w:cs="宋体"/>
          <w:spacing w:val="9"/>
          <w:sz w:val="20"/>
          <w:szCs w:val="20"/>
        </w:rPr>
        <w:t>试车结束满</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24</w:t>
      </w:r>
      <w:r>
        <w:rPr>
          <w:rFonts w:ascii="Times New Roman" w:hAnsi="Times New Roman" w:eastAsia="Times New Roman" w:cs="Times New Roman"/>
          <w:spacing w:val="18"/>
          <w:sz w:val="20"/>
          <w:szCs w:val="20"/>
        </w:rPr>
        <w:t xml:space="preserve"> </w:t>
      </w:r>
      <w:r>
        <w:rPr>
          <w:rFonts w:ascii="宋体" w:hAnsi="宋体" w:eastAsia="宋体" w:cs="宋体"/>
          <w:spacing w:val="9"/>
          <w:sz w:val="20"/>
          <w:szCs w:val="20"/>
        </w:rPr>
        <w:t>小时后视为监理人已经认可试车记录，承包人可继续施工或</w:t>
      </w:r>
      <w:r>
        <w:rPr>
          <w:rFonts w:ascii="宋体" w:hAnsi="宋体" w:eastAsia="宋体" w:cs="宋体"/>
          <w:spacing w:val="8"/>
          <w:sz w:val="20"/>
          <w:szCs w:val="20"/>
        </w:rPr>
        <w:t>办理竣工验收手续。</w:t>
      </w:r>
    </w:p>
    <w:p w14:paraId="21845AF2">
      <w:pPr>
        <w:spacing w:before="1" w:line="369" w:lineRule="auto"/>
        <w:ind w:left="3" w:right="16" w:firstLine="419"/>
        <w:jc w:val="both"/>
        <w:rPr>
          <w:rFonts w:ascii="宋体" w:hAnsi="宋体" w:eastAsia="宋体" w:cs="宋体"/>
          <w:sz w:val="20"/>
          <w:szCs w:val="20"/>
        </w:rPr>
      </w:pPr>
      <w:r>
        <w:rPr>
          <w:rFonts w:ascii="宋体" w:hAnsi="宋体" w:eastAsia="宋体" w:cs="宋体"/>
          <w:spacing w:val="6"/>
          <w:sz w:val="20"/>
          <w:szCs w:val="20"/>
        </w:rPr>
        <w:t>监理人不能按时参加试车，应在试车前</w:t>
      </w:r>
      <w:r>
        <w:rPr>
          <w:rFonts w:ascii="宋体" w:hAnsi="宋体" w:eastAsia="宋体" w:cs="宋体"/>
          <w:spacing w:val="-26"/>
          <w:sz w:val="20"/>
          <w:szCs w:val="20"/>
        </w:rPr>
        <w:t xml:space="preserve"> </w:t>
      </w:r>
      <w:r>
        <w:rPr>
          <w:rFonts w:ascii="Times New Roman" w:hAnsi="Times New Roman" w:eastAsia="Times New Roman" w:cs="Times New Roman"/>
          <w:spacing w:val="6"/>
          <w:sz w:val="20"/>
          <w:szCs w:val="20"/>
        </w:rPr>
        <w:t>24</w:t>
      </w:r>
      <w:r>
        <w:rPr>
          <w:rFonts w:ascii="Times New Roman" w:hAnsi="Times New Roman" w:eastAsia="Times New Roman" w:cs="Times New Roman"/>
          <w:spacing w:val="17"/>
          <w:w w:val="101"/>
          <w:sz w:val="20"/>
          <w:szCs w:val="20"/>
        </w:rPr>
        <w:t xml:space="preserve"> </w:t>
      </w:r>
      <w:r>
        <w:rPr>
          <w:rFonts w:ascii="宋体" w:hAnsi="宋体" w:eastAsia="宋体" w:cs="宋体"/>
          <w:spacing w:val="6"/>
          <w:sz w:val="20"/>
          <w:szCs w:val="20"/>
        </w:rPr>
        <w:t>小时以书面形式向承包人提出延期要求，但延期不</w:t>
      </w:r>
      <w:r>
        <w:rPr>
          <w:rFonts w:ascii="宋体" w:hAnsi="宋体" w:eastAsia="宋体" w:cs="宋体"/>
          <w:spacing w:val="3"/>
          <w:sz w:val="20"/>
          <w:szCs w:val="20"/>
        </w:rPr>
        <w:t>能超过</w:t>
      </w:r>
      <w:r>
        <w:rPr>
          <w:rFonts w:ascii="宋体" w:hAnsi="宋体" w:eastAsia="宋体" w:cs="宋体"/>
          <w:spacing w:val="-36"/>
          <w:sz w:val="20"/>
          <w:szCs w:val="20"/>
        </w:rPr>
        <w:t xml:space="preserve"> </w:t>
      </w:r>
      <w:r>
        <w:rPr>
          <w:rFonts w:ascii="Times New Roman" w:hAnsi="Times New Roman" w:eastAsia="Times New Roman" w:cs="Times New Roman"/>
          <w:spacing w:val="3"/>
          <w:sz w:val="20"/>
          <w:szCs w:val="20"/>
        </w:rPr>
        <w:t>48</w:t>
      </w:r>
      <w:r>
        <w:rPr>
          <w:rFonts w:ascii="Times New Roman" w:hAnsi="Times New Roman" w:eastAsia="Times New Roman" w:cs="Times New Roman"/>
          <w:spacing w:val="17"/>
          <w:w w:val="101"/>
          <w:sz w:val="20"/>
          <w:szCs w:val="20"/>
        </w:rPr>
        <w:t xml:space="preserve"> </w:t>
      </w:r>
      <w:r>
        <w:rPr>
          <w:rFonts w:ascii="宋体" w:hAnsi="宋体" w:eastAsia="宋体" w:cs="宋体"/>
          <w:spacing w:val="3"/>
          <w:sz w:val="20"/>
          <w:szCs w:val="20"/>
        </w:rPr>
        <w:t>小时，由此导致工期延误的，工期应予以顺延。监理人未能在前述期限内提出延期要求，</w:t>
      </w:r>
      <w:r>
        <w:rPr>
          <w:rFonts w:ascii="宋体" w:hAnsi="宋体" w:eastAsia="宋体" w:cs="宋体"/>
          <w:spacing w:val="8"/>
          <w:sz w:val="20"/>
          <w:szCs w:val="20"/>
        </w:rPr>
        <w:t>又不参加试车的，视为认可试车记录。</w:t>
      </w:r>
    </w:p>
    <w:p w14:paraId="2DF86A62">
      <w:pPr>
        <w:spacing w:line="369" w:lineRule="auto"/>
        <w:ind w:left="2" w:right="71" w:firstLine="429"/>
        <w:jc w:val="both"/>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）具备无负荷联动试车条件，发包人组织试车，并在试车前</w:t>
      </w:r>
      <w:r>
        <w:rPr>
          <w:rFonts w:ascii="宋体" w:hAnsi="宋体" w:eastAsia="宋体" w:cs="宋体"/>
          <w:spacing w:val="-44"/>
          <w:sz w:val="20"/>
          <w:szCs w:val="20"/>
        </w:rPr>
        <w:t xml:space="preserve"> </w:t>
      </w:r>
      <w:r>
        <w:rPr>
          <w:rFonts w:ascii="Times New Roman" w:hAnsi="Times New Roman" w:eastAsia="Times New Roman" w:cs="Times New Roman"/>
          <w:spacing w:val="9"/>
          <w:sz w:val="20"/>
          <w:szCs w:val="20"/>
        </w:rPr>
        <w:t xml:space="preserve">48 </w:t>
      </w:r>
      <w:r>
        <w:rPr>
          <w:rFonts w:ascii="宋体" w:hAnsi="宋体" w:eastAsia="宋体" w:cs="宋体"/>
          <w:spacing w:val="9"/>
          <w:sz w:val="20"/>
          <w:szCs w:val="20"/>
        </w:rPr>
        <w:t>小时以书面</w:t>
      </w:r>
      <w:r>
        <w:rPr>
          <w:rFonts w:ascii="宋体" w:hAnsi="宋体" w:eastAsia="宋体" w:cs="宋体"/>
          <w:spacing w:val="8"/>
          <w:sz w:val="20"/>
          <w:szCs w:val="20"/>
        </w:rPr>
        <w:t>形式通知承包</w:t>
      </w:r>
      <w:r>
        <w:rPr>
          <w:rFonts w:ascii="宋体" w:hAnsi="宋体" w:eastAsia="宋体" w:cs="宋体"/>
          <w:spacing w:val="10"/>
          <w:sz w:val="20"/>
          <w:szCs w:val="20"/>
        </w:rPr>
        <w:t>人。通知中应载明试车内容、时间、地点和对承包人的要求，承包人按</w:t>
      </w:r>
      <w:r>
        <w:rPr>
          <w:rFonts w:ascii="宋体" w:hAnsi="宋体" w:eastAsia="宋体" w:cs="宋体"/>
          <w:spacing w:val="9"/>
          <w:sz w:val="20"/>
          <w:szCs w:val="20"/>
        </w:rPr>
        <w:t>要求做好准备工作。试车合格，合同当事人在试车记录上签字。承包人无正当理由不参加试车的，视为认可试车记录。</w:t>
      </w:r>
    </w:p>
    <w:p w14:paraId="73117C7A">
      <w:pPr>
        <w:spacing w:before="1" w:line="227"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13.3.2  </w:t>
      </w:r>
      <w:r>
        <w:rPr>
          <w:rFonts w:ascii="宋体" w:hAnsi="宋体" w:eastAsia="宋体" w:cs="宋体"/>
          <w:spacing w:val="4"/>
          <w:sz w:val="20"/>
          <w:szCs w:val="20"/>
        </w:rPr>
        <w:t>试车中的责任</w:t>
      </w:r>
    </w:p>
    <w:p w14:paraId="69C1E6C6">
      <w:pPr>
        <w:spacing w:before="154" w:line="369" w:lineRule="auto"/>
        <w:ind w:left="1" w:right="16" w:firstLine="436"/>
        <w:rPr>
          <w:rFonts w:ascii="宋体" w:hAnsi="宋体" w:eastAsia="宋体" w:cs="宋体"/>
          <w:sz w:val="20"/>
          <w:szCs w:val="20"/>
        </w:rPr>
      </w:pPr>
      <w:r>
        <w:rPr>
          <w:rFonts w:ascii="宋体" w:hAnsi="宋体" w:eastAsia="宋体" w:cs="宋体"/>
          <w:spacing w:val="9"/>
          <w:sz w:val="20"/>
          <w:szCs w:val="20"/>
        </w:rPr>
        <w:t>因设计原因导致试车达不到验收要求，发包人应要求设计人修改设计，承包人按修改后的设</w:t>
      </w:r>
      <w:r>
        <w:rPr>
          <w:rFonts w:ascii="宋体" w:hAnsi="宋体" w:eastAsia="宋体" w:cs="宋体"/>
          <w:spacing w:val="10"/>
          <w:sz w:val="20"/>
          <w:szCs w:val="20"/>
        </w:rPr>
        <w:t>计重新安装。发包人承担修改设计、拆除及重新安装的全部费用，工期相</w:t>
      </w:r>
      <w:r>
        <w:rPr>
          <w:rFonts w:ascii="宋体" w:hAnsi="宋体" w:eastAsia="宋体" w:cs="宋体"/>
          <w:spacing w:val="9"/>
          <w:sz w:val="20"/>
          <w:szCs w:val="20"/>
        </w:rPr>
        <w:t>应顺延。因承包人原因</w:t>
      </w:r>
      <w:r>
        <w:rPr>
          <w:rFonts w:ascii="宋体" w:hAnsi="宋体" w:eastAsia="宋体" w:cs="宋体"/>
          <w:spacing w:val="6"/>
          <w:sz w:val="20"/>
          <w:szCs w:val="20"/>
        </w:rPr>
        <w:t>导致试车达不到验收要求，承包人按监理人要求重新安装和试车，并承担重新安装和试车的费用，</w:t>
      </w:r>
      <w:r>
        <w:rPr>
          <w:rFonts w:ascii="宋体" w:hAnsi="宋体" w:eastAsia="宋体" w:cs="宋体"/>
          <w:spacing w:val="7"/>
          <w:sz w:val="20"/>
          <w:szCs w:val="20"/>
        </w:rPr>
        <w:t>工期不予顺延。</w:t>
      </w:r>
    </w:p>
    <w:p w14:paraId="7D34A9B8">
      <w:pPr>
        <w:spacing w:before="1" w:line="369" w:lineRule="auto"/>
        <w:ind w:right="71" w:firstLine="437"/>
        <w:jc w:val="both"/>
        <w:rPr>
          <w:rFonts w:ascii="宋体" w:hAnsi="宋体" w:eastAsia="宋体" w:cs="宋体"/>
          <w:sz w:val="20"/>
          <w:szCs w:val="20"/>
        </w:rPr>
      </w:pPr>
      <w:r>
        <w:rPr>
          <w:rFonts w:ascii="宋体" w:hAnsi="宋体" w:eastAsia="宋体" w:cs="宋体"/>
          <w:spacing w:val="9"/>
          <w:sz w:val="20"/>
          <w:szCs w:val="20"/>
        </w:rPr>
        <w:t>因工程设备制造原因导致试车达不到验收要求的，由采购该工程设备的合同当事人负责重新购置或修理，承包人负责拆除和重新安装，</w:t>
      </w:r>
      <w:r>
        <w:rPr>
          <w:rFonts w:ascii="宋体" w:hAnsi="宋体" w:eastAsia="宋体" w:cs="宋体"/>
          <w:spacing w:val="-58"/>
          <w:sz w:val="20"/>
          <w:szCs w:val="20"/>
        </w:rPr>
        <w:t xml:space="preserve"> </w:t>
      </w:r>
      <w:r>
        <w:rPr>
          <w:rFonts w:ascii="宋体" w:hAnsi="宋体" w:eastAsia="宋体" w:cs="宋体"/>
          <w:spacing w:val="9"/>
          <w:sz w:val="20"/>
          <w:szCs w:val="20"/>
        </w:rPr>
        <w:t>由此增加的修理、重新购置、拆除</w:t>
      </w:r>
      <w:r>
        <w:rPr>
          <w:rFonts w:ascii="宋体" w:hAnsi="宋体" w:eastAsia="宋体" w:cs="宋体"/>
          <w:spacing w:val="8"/>
          <w:sz w:val="20"/>
          <w:szCs w:val="20"/>
        </w:rPr>
        <w:t>及重新安装的费用</w:t>
      </w:r>
      <w:r>
        <w:rPr>
          <w:rFonts w:ascii="宋体" w:hAnsi="宋体" w:eastAsia="宋体" w:cs="宋体"/>
          <w:spacing w:val="9"/>
          <w:sz w:val="20"/>
          <w:szCs w:val="20"/>
        </w:rPr>
        <w:t>及延误的工期由采购该工程设备的合同当事人承担。</w:t>
      </w:r>
    </w:p>
    <w:p w14:paraId="1675A004">
      <w:pPr>
        <w:spacing w:line="227" w:lineRule="auto"/>
        <w:ind w:left="437"/>
        <w:rPr>
          <w:rFonts w:ascii="宋体" w:hAnsi="宋体" w:eastAsia="宋体" w:cs="宋体"/>
          <w:sz w:val="20"/>
          <w:szCs w:val="20"/>
        </w:rPr>
      </w:pPr>
      <w:r>
        <w:rPr>
          <w:rFonts w:ascii="Times New Roman" w:hAnsi="Times New Roman" w:eastAsia="Times New Roman" w:cs="Times New Roman"/>
          <w:spacing w:val="2"/>
          <w:sz w:val="20"/>
          <w:szCs w:val="20"/>
        </w:rPr>
        <w:t>13.3.3</w:t>
      </w:r>
      <w:r>
        <w:rPr>
          <w:rFonts w:ascii="Times New Roman" w:hAnsi="Times New Roman" w:eastAsia="Times New Roman" w:cs="Times New Roman"/>
          <w:spacing w:val="10"/>
          <w:sz w:val="20"/>
          <w:szCs w:val="20"/>
        </w:rPr>
        <w:t xml:space="preserve">  </w:t>
      </w:r>
      <w:r>
        <w:rPr>
          <w:rFonts w:ascii="宋体" w:hAnsi="宋体" w:eastAsia="宋体" w:cs="宋体"/>
          <w:spacing w:val="2"/>
          <w:sz w:val="20"/>
          <w:szCs w:val="20"/>
        </w:rPr>
        <w:t>投料试车</w:t>
      </w:r>
    </w:p>
    <w:p w14:paraId="7AC512C4">
      <w:pPr>
        <w:spacing w:line="227" w:lineRule="auto"/>
        <w:rPr>
          <w:rFonts w:ascii="宋体" w:hAnsi="宋体" w:eastAsia="宋体" w:cs="宋体"/>
          <w:sz w:val="20"/>
          <w:szCs w:val="20"/>
        </w:rPr>
        <w:sectPr>
          <w:footerReference r:id="rId271" w:type="default"/>
          <w:pgSz w:w="11906" w:h="16839"/>
          <w:pgMar w:top="400" w:right="1483" w:bottom="1038" w:left="1537" w:header="0" w:footer="787" w:gutter="0"/>
          <w:cols w:space="720" w:num="1"/>
        </w:sectPr>
      </w:pPr>
    </w:p>
    <w:p w14:paraId="3B993A4F">
      <w:pPr>
        <w:spacing w:line="271" w:lineRule="auto"/>
        <w:rPr>
          <w:rFonts w:ascii="Arial"/>
          <w:sz w:val="21"/>
        </w:rPr>
      </w:pPr>
    </w:p>
    <w:p w14:paraId="2ECD518A">
      <w:pPr>
        <w:spacing w:line="272" w:lineRule="auto"/>
        <w:rPr>
          <w:rFonts w:ascii="Arial"/>
          <w:sz w:val="21"/>
        </w:rPr>
      </w:pPr>
    </w:p>
    <w:p w14:paraId="0B5D634A">
      <w:pPr>
        <w:spacing w:line="272" w:lineRule="auto"/>
        <w:rPr>
          <w:rFonts w:ascii="Arial"/>
          <w:sz w:val="21"/>
        </w:rPr>
      </w:pPr>
    </w:p>
    <w:p w14:paraId="3ECAEA56">
      <w:pPr>
        <w:spacing w:line="272" w:lineRule="auto"/>
        <w:rPr>
          <w:rFonts w:ascii="Arial"/>
          <w:sz w:val="21"/>
        </w:rPr>
      </w:pPr>
    </w:p>
    <w:p w14:paraId="79D5E3EA">
      <w:pPr>
        <w:spacing w:before="65" w:line="369" w:lineRule="auto"/>
        <w:ind w:left="8" w:right="73" w:firstLine="416"/>
        <w:rPr>
          <w:rFonts w:ascii="宋体" w:hAnsi="宋体" w:eastAsia="宋体" w:cs="宋体"/>
          <w:sz w:val="20"/>
          <w:szCs w:val="20"/>
        </w:rPr>
      </w:pPr>
      <w:r>
        <w:rPr>
          <w:rFonts w:ascii="宋体" w:hAnsi="宋体" w:eastAsia="宋体" w:cs="宋体"/>
          <w:spacing w:val="10"/>
          <w:sz w:val="20"/>
          <w:szCs w:val="20"/>
        </w:rPr>
        <w:t>如需进行投料试车的，发包人应在工程竣工验收后组织投</w:t>
      </w:r>
      <w:r>
        <w:rPr>
          <w:rFonts w:ascii="宋体" w:hAnsi="宋体" w:eastAsia="宋体" w:cs="宋体"/>
          <w:spacing w:val="9"/>
          <w:sz w:val="20"/>
          <w:szCs w:val="20"/>
        </w:rPr>
        <w:t>料试车。发包人要求在工程竣工验收前进行或需要承包人配合时，应征得承包人同意，并在专用合同条款中约定有关事项。</w:t>
      </w:r>
    </w:p>
    <w:p w14:paraId="6B9DE7B8">
      <w:pPr>
        <w:spacing w:line="361" w:lineRule="auto"/>
        <w:ind w:left="4" w:right="71" w:firstLine="419"/>
        <w:jc w:val="both"/>
        <w:rPr>
          <w:rFonts w:ascii="宋体" w:hAnsi="宋体" w:eastAsia="宋体" w:cs="宋体"/>
          <w:sz w:val="20"/>
          <w:szCs w:val="20"/>
        </w:rPr>
      </w:pPr>
      <w:r>
        <w:rPr>
          <w:rFonts w:ascii="宋体" w:hAnsi="宋体" w:eastAsia="宋体" w:cs="宋体"/>
          <w:spacing w:val="10"/>
          <w:sz w:val="20"/>
          <w:szCs w:val="20"/>
        </w:rPr>
        <w:t>投料试车合格的，费用由发包人承担；因承包人原因造成投料试</w:t>
      </w:r>
      <w:r>
        <w:rPr>
          <w:rFonts w:ascii="宋体" w:hAnsi="宋体" w:eastAsia="宋体" w:cs="宋体"/>
          <w:spacing w:val="9"/>
          <w:sz w:val="20"/>
          <w:szCs w:val="20"/>
        </w:rPr>
        <w:t>车不合格的，承包人应按照</w:t>
      </w:r>
      <w:r>
        <w:rPr>
          <w:rFonts w:ascii="宋体" w:hAnsi="宋体" w:eastAsia="宋体" w:cs="宋体"/>
          <w:spacing w:val="10"/>
          <w:sz w:val="20"/>
          <w:szCs w:val="20"/>
        </w:rPr>
        <w:t>发包人要求进行整改，由此产生的整改费用由承包人承担；非因承</w:t>
      </w:r>
      <w:r>
        <w:rPr>
          <w:rFonts w:ascii="宋体" w:hAnsi="宋体" w:eastAsia="宋体" w:cs="宋体"/>
          <w:spacing w:val="9"/>
          <w:sz w:val="20"/>
          <w:szCs w:val="20"/>
        </w:rPr>
        <w:t>包人原因导致投料试车不合格的，如发包人要求承包人进行整改的，由此产生的费用由发包人承担。</w:t>
      </w:r>
    </w:p>
    <w:p w14:paraId="3318481B">
      <w:pPr>
        <w:pStyle w:val="2"/>
        <w:spacing w:line="221" w:lineRule="auto"/>
        <w:ind w:left="8"/>
        <w:rPr>
          <w:sz w:val="24"/>
          <w:szCs w:val="24"/>
        </w:rPr>
      </w:pPr>
      <w:r>
        <w:rPr>
          <w:rFonts w:ascii="Times New Roman" w:hAnsi="Times New Roman" w:eastAsia="Times New Roman" w:cs="Times New Roman"/>
          <w:b/>
          <w:bCs/>
          <w:spacing w:val="-3"/>
          <w:sz w:val="24"/>
          <w:szCs w:val="24"/>
        </w:rPr>
        <w:t xml:space="preserve">13.4 </w:t>
      </w:r>
      <w:r>
        <w:rPr>
          <w:b/>
          <w:bCs/>
          <w:spacing w:val="-3"/>
          <w:sz w:val="24"/>
          <w:szCs w:val="24"/>
        </w:rPr>
        <w:t>提前交付单位工程的验收</w:t>
      </w:r>
    </w:p>
    <w:p w14:paraId="76C84790">
      <w:pPr>
        <w:spacing w:before="139" w:line="369" w:lineRule="auto"/>
        <w:ind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13.4.1  </w:t>
      </w:r>
      <w:r>
        <w:rPr>
          <w:rFonts w:ascii="宋体" w:hAnsi="宋体" w:eastAsia="宋体" w:cs="宋体"/>
          <w:spacing w:val="8"/>
          <w:sz w:val="20"/>
          <w:szCs w:val="20"/>
        </w:rPr>
        <w:t>发包人需要在工程竣工前使用单位工程的，或承包人提出提前交付已经竣工的单位工</w:t>
      </w:r>
      <w:r>
        <w:rPr>
          <w:rFonts w:ascii="宋体" w:hAnsi="宋体" w:eastAsia="宋体" w:cs="宋体"/>
          <w:spacing w:val="5"/>
          <w:sz w:val="20"/>
          <w:szCs w:val="20"/>
        </w:rPr>
        <w:t>程且经发包人同意的，可进行单位工程验收</w:t>
      </w:r>
      <w:r>
        <w:rPr>
          <w:rFonts w:ascii="宋体" w:hAnsi="宋体" w:eastAsia="宋体" w:cs="宋体"/>
          <w:spacing w:val="4"/>
          <w:sz w:val="20"/>
          <w:szCs w:val="20"/>
        </w:rPr>
        <w:t>，验收的程序按照第</w:t>
      </w:r>
      <w:r>
        <w:rPr>
          <w:rFonts w:ascii="宋体" w:hAnsi="宋体" w:eastAsia="宋体" w:cs="宋体"/>
          <w:spacing w:val="-21"/>
          <w:sz w:val="20"/>
          <w:szCs w:val="20"/>
        </w:rPr>
        <w:t xml:space="preserve"> </w:t>
      </w:r>
      <w:r>
        <w:rPr>
          <w:rFonts w:ascii="Times New Roman" w:hAnsi="Times New Roman" w:eastAsia="Times New Roman" w:cs="Times New Roman"/>
          <w:spacing w:val="4"/>
          <w:sz w:val="20"/>
          <w:szCs w:val="20"/>
        </w:rPr>
        <w:t xml:space="preserve">13.2 </w:t>
      </w:r>
      <w:r>
        <w:rPr>
          <w:rFonts w:ascii="宋体" w:hAnsi="宋体" w:eastAsia="宋体" w:cs="宋体"/>
          <w:spacing w:val="4"/>
          <w:sz w:val="20"/>
          <w:szCs w:val="20"/>
        </w:rPr>
        <w:t>款〔竣工验收〕的约定进行。</w:t>
      </w:r>
    </w:p>
    <w:p w14:paraId="6D48B476">
      <w:pPr>
        <w:spacing w:line="369" w:lineRule="auto"/>
        <w:ind w:left="5" w:right="71" w:firstLine="414"/>
        <w:rPr>
          <w:rFonts w:ascii="宋体" w:hAnsi="宋体" w:eastAsia="宋体" w:cs="宋体"/>
          <w:sz w:val="20"/>
          <w:szCs w:val="20"/>
        </w:rPr>
      </w:pPr>
      <w:r>
        <w:rPr>
          <w:rFonts w:ascii="宋体" w:hAnsi="宋体" w:eastAsia="宋体" w:cs="宋体"/>
          <w:spacing w:val="10"/>
          <w:sz w:val="20"/>
          <w:szCs w:val="20"/>
        </w:rPr>
        <w:t>验收合格后，由监理人向承包人出具经发包人签认的单位工程接收证书</w:t>
      </w:r>
      <w:r>
        <w:rPr>
          <w:rFonts w:ascii="宋体" w:hAnsi="宋体" w:eastAsia="宋体" w:cs="宋体"/>
          <w:spacing w:val="9"/>
          <w:sz w:val="20"/>
          <w:szCs w:val="20"/>
        </w:rPr>
        <w:t>。已签发单位工程接</w:t>
      </w:r>
      <w:r>
        <w:rPr>
          <w:rFonts w:ascii="宋体" w:hAnsi="宋体" w:eastAsia="宋体" w:cs="宋体"/>
          <w:spacing w:val="10"/>
          <w:sz w:val="20"/>
          <w:szCs w:val="20"/>
        </w:rPr>
        <w:t>收证书的单位工程由发包人负责照管。单位工程的验收成果和</w:t>
      </w:r>
      <w:r>
        <w:rPr>
          <w:rFonts w:ascii="宋体" w:hAnsi="宋体" w:eastAsia="宋体" w:cs="宋体"/>
          <w:spacing w:val="9"/>
          <w:sz w:val="20"/>
          <w:szCs w:val="20"/>
        </w:rPr>
        <w:t>结论作为整体工程竣工验收申请报</w:t>
      </w:r>
      <w:r>
        <w:rPr>
          <w:rFonts w:ascii="宋体" w:hAnsi="宋体" w:eastAsia="宋体" w:cs="宋体"/>
          <w:spacing w:val="4"/>
          <w:sz w:val="20"/>
          <w:szCs w:val="20"/>
        </w:rPr>
        <w:t>告的附件。</w:t>
      </w:r>
    </w:p>
    <w:p w14:paraId="684CCBCF">
      <w:pPr>
        <w:spacing w:before="1" w:line="357" w:lineRule="auto"/>
        <w:ind w:left="17" w:right="73" w:firstLine="419"/>
        <w:rPr>
          <w:rFonts w:ascii="宋体" w:hAnsi="宋体" w:eastAsia="宋体" w:cs="宋体"/>
          <w:sz w:val="20"/>
          <w:szCs w:val="20"/>
        </w:rPr>
      </w:pPr>
      <w:r>
        <w:rPr>
          <w:rFonts w:ascii="Times New Roman" w:hAnsi="Times New Roman" w:eastAsia="Times New Roman" w:cs="Times New Roman"/>
          <w:spacing w:val="8"/>
          <w:sz w:val="20"/>
          <w:szCs w:val="20"/>
        </w:rPr>
        <w:t xml:space="preserve">13.4.2  </w:t>
      </w:r>
      <w:r>
        <w:rPr>
          <w:rFonts w:ascii="宋体" w:hAnsi="宋体" w:eastAsia="宋体" w:cs="宋体"/>
          <w:spacing w:val="8"/>
          <w:sz w:val="20"/>
          <w:szCs w:val="20"/>
        </w:rPr>
        <w:t>发包人要求在工程竣工前交付单位工程，由此导致承包人费用增加和（或）工期延误的，</w:t>
      </w:r>
      <w:r>
        <w:rPr>
          <w:rFonts w:ascii="宋体" w:hAnsi="宋体" w:eastAsia="宋体" w:cs="宋体"/>
          <w:spacing w:val="-58"/>
          <w:sz w:val="20"/>
          <w:szCs w:val="20"/>
        </w:rPr>
        <w:t xml:space="preserve"> </w:t>
      </w:r>
      <w:r>
        <w:rPr>
          <w:rFonts w:ascii="宋体" w:hAnsi="宋体" w:eastAsia="宋体" w:cs="宋体"/>
          <w:spacing w:val="8"/>
          <w:sz w:val="20"/>
          <w:szCs w:val="20"/>
        </w:rPr>
        <w:t>由发包人承担由此增加的费用和（或）延误的工期，并支付承包</w:t>
      </w:r>
      <w:r>
        <w:rPr>
          <w:rFonts w:ascii="宋体" w:hAnsi="宋体" w:eastAsia="宋体" w:cs="宋体"/>
          <w:spacing w:val="7"/>
          <w:sz w:val="20"/>
          <w:szCs w:val="20"/>
        </w:rPr>
        <w:t>人合理的利润。</w:t>
      </w:r>
    </w:p>
    <w:p w14:paraId="4B5E4756">
      <w:pPr>
        <w:pStyle w:val="2"/>
        <w:spacing w:line="221" w:lineRule="auto"/>
        <w:ind w:left="8"/>
        <w:rPr>
          <w:sz w:val="24"/>
          <w:szCs w:val="24"/>
        </w:rPr>
      </w:pPr>
      <w:r>
        <w:rPr>
          <w:rFonts w:ascii="Times New Roman" w:hAnsi="Times New Roman" w:eastAsia="Times New Roman" w:cs="Times New Roman"/>
          <w:b/>
          <w:bCs/>
          <w:spacing w:val="-3"/>
          <w:sz w:val="24"/>
          <w:szCs w:val="24"/>
        </w:rPr>
        <w:t xml:space="preserve">13.5  </w:t>
      </w:r>
      <w:r>
        <w:rPr>
          <w:b/>
          <w:bCs/>
          <w:spacing w:val="-3"/>
          <w:sz w:val="24"/>
          <w:szCs w:val="24"/>
        </w:rPr>
        <w:t>施工期运行</w:t>
      </w:r>
    </w:p>
    <w:p w14:paraId="691FC756">
      <w:pPr>
        <w:spacing w:before="138" w:line="369" w:lineRule="auto"/>
        <w:ind w:left="3" w:right="73" w:firstLine="433"/>
        <w:rPr>
          <w:rFonts w:ascii="宋体" w:hAnsi="宋体" w:eastAsia="宋体" w:cs="宋体"/>
          <w:sz w:val="20"/>
          <w:szCs w:val="20"/>
        </w:rPr>
      </w:pPr>
      <w:r>
        <w:rPr>
          <w:rFonts w:ascii="Times New Roman" w:hAnsi="Times New Roman" w:eastAsia="Times New Roman" w:cs="Times New Roman"/>
          <w:spacing w:val="8"/>
          <w:sz w:val="20"/>
          <w:szCs w:val="20"/>
        </w:rPr>
        <w:t xml:space="preserve">13.5.1  </w:t>
      </w:r>
      <w:r>
        <w:rPr>
          <w:rFonts w:ascii="宋体" w:hAnsi="宋体" w:eastAsia="宋体" w:cs="宋体"/>
          <w:spacing w:val="8"/>
          <w:sz w:val="20"/>
          <w:szCs w:val="20"/>
        </w:rPr>
        <w:t>施工期运行是指合同工程尚未全部竣工，其中某项或某几项单位工程或工程设备安装</w:t>
      </w:r>
      <w:r>
        <w:rPr>
          <w:rFonts w:ascii="宋体" w:hAnsi="宋体" w:eastAsia="宋体" w:cs="宋体"/>
          <w:spacing w:val="7"/>
          <w:sz w:val="20"/>
          <w:szCs w:val="20"/>
        </w:rPr>
        <w:t>已竣工，根据专用合同条款约定，需要投入施工期运行的，经发包人按第</w:t>
      </w:r>
      <w:r>
        <w:rPr>
          <w:rFonts w:ascii="宋体" w:hAnsi="宋体" w:eastAsia="宋体" w:cs="宋体"/>
          <w:spacing w:val="-9"/>
          <w:sz w:val="20"/>
          <w:szCs w:val="20"/>
        </w:rPr>
        <w:t xml:space="preserve"> </w:t>
      </w:r>
      <w:r>
        <w:rPr>
          <w:rFonts w:ascii="Times New Roman" w:hAnsi="Times New Roman" w:eastAsia="Times New Roman" w:cs="Times New Roman"/>
          <w:spacing w:val="7"/>
          <w:sz w:val="20"/>
          <w:szCs w:val="20"/>
        </w:rPr>
        <w:t xml:space="preserve">13.4 </w:t>
      </w:r>
      <w:r>
        <w:rPr>
          <w:rFonts w:ascii="宋体" w:hAnsi="宋体" w:eastAsia="宋体" w:cs="宋体"/>
          <w:spacing w:val="7"/>
          <w:sz w:val="20"/>
          <w:szCs w:val="20"/>
        </w:rPr>
        <w:t>款〔提前交付单位</w:t>
      </w:r>
      <w:r>
        <w:rPr>
          <w:rFonts w:ascii="宋体" w:hAnsi="宋体" w:eastAsia="宋体" w:cs="宋体"/>
          <w:spacing w:val="9"/>
          <w:sz w:val="20"/>
          <w:szCs w:val="20"/>
        </w:rPr>
        <w:t>工程的验收〕的约定验收合格，证明能确保安全后，才能在施工期投入运行。</w:t>
      </w:r>
    </w:p>
    <w:p w14:paraId="026E97E5">
      <w:pPr>
        <w:spacing w:before="2" w:line="357" w:lineRule="auto"/>
        <w:ind w:left="8" w:right="73" w:firstLine="428"/>
        <w:rPr>
          <w:rFonts w:ascii="宋体" w:hAnsi="宋体" w:eastAsia="宋体" w:cs="宋体"/>
          <w:sz w:val="20"/>
          <w:szCs w:val="20"/>
        </w:rPr>
      </w:pPr>
      <w:r>
        <w:rPr>
          <w:rFonts w:ascii="Times New Roman" w:hAnsi="Times New Roman" w:eastAsia="Times New Roman" w:cs="Times New Roman"/>
          <w:spacing w:val="6"/>
          <w:sz w:val="20"/>
          <w:szCs w:val="20"/>
        </w:rPr>
        <w:t xml:space="preserve">13.5.2  </w:t>
      </w:r>
      <w:r>
        <w:rPr>
          <w:rFonts w:ascii="宋体" w:hAnsi="宋体" w:eastAsia="宋体" w:cs="宋体"/>
          <w:spacing w:val="6"/>
          <w:sz w:val="20"/>
          <w:szCs w:val="20"/>
        </w:rPr>
        <w:t>在施工期运行中发现工程或工程设备损坏或存在缺陷的，由承包人按第</w:t>
      </w:r>
      <w:r>
        <w:rPr>
          <w:rFonts w:ascii="宋体" w:hAnsi="宋体" w:eastAsia="宋体" w:cs="宋体"/>
          <w:spacing w:val="-16"/>
          <w:sz w:val="20"/>
          <w:szCs w:val="20"/>
        </w:rPr>
        <w:t xml:space="preserve"> </w:t>
      </w:r>
      <w:r>
        <w:rPr>
          <w:rFonts w:ascii="Times New Roman" w:hAnsi="Times New Roman" w:eastAsia="Times New Roman" w:cs="Times New Roman"/>
          <w:spacing w:val="6"/>
          <w:sz w:val="20"/>
          <w:szCs w:val="20"/>
        </w:rPr>
        <w:t xml:space="preserve">15.2 </w:t>
      </w:r>
      <w:r>
        <w:rPr>
          <w:rFonts w:ascii="宋体" w:hAnsi="宋体" w:eastAsia="宋体" w:cs="宋体"/>
          <w:spacing w:val="6"/>
          <w:sz w:val="20"/>
          <w:szCs w:val="20"/>
        </w:rPr>
        <w:t>款〔缺陷</w:t>
      </w:r>
      <w:r>
        <w:rPr>
          <w:rFonts w:ascii="宋体" w:hAnsi="宋体" w:eastAsia="宋体" w:cs="宋体"/>
          <w:spacing w:val="7"/>
          <w:sz w:val="20"/>
          <w:szCs w:val="20"/>
        </w:rPr>
        <w:t>责任期〕约定进行修复。</w:t>
      </w:r>
    </w:p>
    <w:p w14:paraId="1806EA72">
      <w:pPr>
        <w:pStyle w:val="2"/>
        <w:spacing w:before="1" w:line="220" w:lineRule="auto"/>
        <w:ind w:left="8"/>
        <w:rPr>
          <w:sz w:val="24"/>
          <w:szCs w:val="24"/>
        </w:rPr>
      </w:pPr>
      <w:r>
        <w:rPr>
          <w:rFonts w:ascii="Times New Roman" w:hAnsi="Times New Roman" w:eastAsia="Times New Roman" w:cs="Times New Roman"/>
          <w:b/>
          <w:bCs/>
          <w:spacing w:val="-3"/>
          <w:sz w:val="24"/>
          <w:szCs w:val="24"/>
        </w:rPr>
        <w:t xml:space="preserve">13.6  </w:t>
      </w:r>
      <w:r>
        <w:rPr>
          <w:b/>
          <w:bCs/>
          <w:spacing w:val="-3"/>
          <w:sz w:val="24"/>
          <w:szCs w:val="24"/>
        </w:rPr>
        <w:t>竣工退场</w:t>
      </w:r>
    </w:p>
    <w:p w14:paraId="61970280">
      <w:pPr>
        <w:spacing w:before="137" w:line="228"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13.6.1  </w:t>
      </w:r>
      <w:r>
        <w:rPr>
          <w:rFonts w:ascii="宋体" w:hAnsi="宋体" w:eastAsia="宋体" w:cs="宋体"/>
          <w:spacing w:val="3"/>
          <w:sz w:val="20"/>
          <w:szCs w:val="20"/>
        </w:rPr>
        <w:t>竣工退场</w:t>
      </w:r>
    </w:p>
    <w:p w14:paraId="2A59605F">
      <w:pPr>
        <w:spacing w:before="154" w:line="227" w:lineRule="auto"/>
        <w:ind w:left="420"/>
        <w:rPr>
          <w:rFonts w:ascii="宋体" w:hAnsi="宋体" w:eastAsia="宋体" w:cs="宋体"/>
          <w:sz w:val="20"/>
          <w:szCs w:val="20"/>
        </w:rPr>
      </w:pPr>
      <w:r>
        <w:rPr>
          <w:rFonts w:ascii="宋体" w:hAnsi="宋体" w:eastAsia="宋体" w:cs="宋体"/>
          <w:spacing w:val="9"/>
          <w:sz w:val="20"/>
          <w:szCs w:val="20"/>
        </w:rPr>
        <w:t>颁发工程接收证书后，承包人应按以下要求对施工现场进行清理：</w:t>
      </w:r>
    </w:p>
    <w:p w14:paraId="14AFD7EA">
      <w:pPr>
        <w:spacing w:before="153"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）施工现场内残留的垃圾已全部清除出场；</w:t>
      </w:r>
    </w:p>
    <w:p w14:paraId="5F0E9042">
      <w:pPr>
        <w:spacing w:before="153"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）临时工程已拆除，场地已进行清理、平整或复原；</w:t>
      </w:r>
    </w:p>
    <w:p w14:paraId="56BDF1F8">
      <w:pPr>
        <w:spacing w:before="154" w:line="369" w:lineRule="auto"/>
        <w:ind w:left="23" w:right="16" w:firstLine="407"/>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3</w:t>
      </w:r>
      <w:r>
        <w:rPr>
          <w:rFonts w:ascii="宋体" w:hAnsi="宋体" w:eastAsia="宋体" w:cs="宋体"/>
          <w:spacing w:val="3"/>
          <w:sz w:val="20"/>
          <w:szCs w:val="20"/>
        </w:rPr>
        <w:t>）按合同约定应撤离的人员、承包人施工设备和剩余的材料，包括废弃的施工设备和材料，</w:t>
      </w:r>
      <w:r>
        <w:rPr>
          <w:rFonts w:ascii="宋体" w:hAnsi="宋体" w:eastAsia="宋体" w:cs="宋体"/>
          <w:spacing w:val="6"/>
          <w:sz w:val="20"/>
          <w:szCs w:val="20"/>
        </w:rPr>
        <w:t>已按计划撤离施工现场；</w:t>
      </w:r>
    </w:p>
    <w:p w14:paraId="3E66CE13">
      <w:pPr>
        <w:spacing w:before="1" w:line="226"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）施工现场周边及其附近道路、河道的施工堆积物</w:t>
      </w:r>
      <w:r>
        <w:rPr>
          <w:rFonts w:ascii="宋体" w:hAnsi="宋体" w:eastAsia="宋体" w:cs="宋体"/>
          <w:spacing w:val="8"/>
          <w:sz w:val="20"/>
          <w:szCs w:val="20"/>
        </w:rPr>
        <w:t>，已全部清理；</w:t>
      </w:r>
    </w:p>
    <w:p w14:paraId="352327A3">
      <w:pPr>
        <w:spacing w:before="155"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）施工现场其他场地清理工作已全部完成。</w:t>
      </w:r>
    </w:p>
    <w:p w14:paraId="14474451">
      <w:pPr>
        <w:spacing w:before="152" w:line="369" w:lineRule="auto"/>
        <w:ind w:right="71" w:firstLine="420"/>
        <w:jc w:val="both"/>
        <w:rPr>
          <w:rFonts w:ascii="宋体" w:hAnsi="宋体" w:eastAsia="宋体" w:cs="宋体"/>
          <w:sz w:val="20"/>
          <w:szCs w:val="20"/>
        </w:rPr>
      </w:pPr>
      <w:r>
        <w:rPr>
          <w:rFonts w:ascii="宋体" w:hAnsi="宋体" w:eastAsia="宋体" w:cs="宋体"/>
          <w:spacing w:val="10"/>
          <w:sz w:val="20"/>
          <w:szCs w:val="20"/>
        </w:rPr>
        <w:t>施工现场的竣工退场费用由承包人承担。承包人应在专用合同条款约定</w:t>
      </w:r>
      <w:r>
        <w:rPr>
          <w:rFonts w:ascii="宋体" w:hAnsi="宋体" w:eastAsia="宋体" w:cs="宋体"/>
          <w:spacing w:val="9"/>
          <w:sz w:val="20"/>
          <w:szCs w:val="20"/>
        </w:rPr>
        <w:t>的期限内完成竣工退</w:t>
      </w:r>
      <w:r>
        <w:rPr>
          <w:rFonts w:ascii="宋体" w:hAnsi="宋体" w:eastAsia="宋体" w:cs="宋体"/>
          <w:spacing w:val="10"/>
          <w:sz w:val="20"/>
          <w:szCs w:val="20"/>
        </w:rPr>
        <w:t>场，逾期未完成的，发包人有权出售或另行处理承包人遗留的物品，由此支</w:t>
      </w:r>
      <w:r>
        <w:rPr>
          <w:rFonts w:ascii="宋体" w:hAnsi="宋体" w:eastAsia="宋体" w:cs="宋体"/>
          <w:spacing w:val="9"/>
          <w:sz w:val="20"/>
          <w:szCs w:val="20"/>
        </w:rPr>
        <w:t>出的费用由承包人承担，发包人出售承包人遗留物品所得款项在扣除必要费用后应返还承包人。</w:t>
      </w:r>
    </w:p>
    <w:p w14:paraId="219E941F">
      <w:pPr>
        <w:spacing w:before="1" w:line="229"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13.6.2  </w:t>
      </w:r>
      <w:r>
        <w:rPr>
          <w:rFonts w:ascii="宋体" w:hAnsi="宋体" w:eastAsia="宋体" w:cs="宋体"/>
          <w:spacing w:val="3"/>
          <w:sz w:val="20"/>
          <w:szCs w:val="20"/>
        </w:rPr>
        <w:t>地表还原</w:t>
      </w:r>
    </w:p>
    <w:p w14:paraId="0725DB1C">
      <w:pPr>
        <w:spacing w:before="151" w:line="370" w:lineRule="auto"/>
        <w:ind w:left="2" w:right="71" w:firstLine="418"/>
        <w:rPr>
          <w:rFonts w:ascii="宋体" w:hAnsi="宋体" w:eastAsia="宋体" w:cs="宋体"/>
          <w:sz w:val="20"/>
          <w:szCs w:val="20"/>
        </w:rPr>
      </w:pPr>
      <w:r>
        <w:rPr>
          <w:rFonts w:ascii="宋体" w:hAnsi="宋体" w:eastAsia="宋体" w:cs="宋体"/>
          <w:spacing w:val="10"/>
          <w:sz w:val="20"/>
          <w:szCs w:val="20"/>
        </w:rPr>
        <w:t>承包人应按发包人要求恢复临时占地及清理场地，承包人未按发包人</w:t>
      </w:r>
      <w:r>
        <w:rPr>
          <w:rFonts w:ascii="宋体" w:hAnsi="宋体" w:eastAsia="宋体" w:cs="宋体"/>
          <w:spacing w:val="9"/>
          <w:sz w:val="20"/>
          <w:szCs w:val="20"/>
        </w:rPr>
        <w:t>的要求恢复临时占地，</w:t>
      </w:r>
      <w:r>
        <w:rPr>
          <w:rFonts w:ascii="宋体" w:hAnsi="宋体" w:eastAsia="宋体" w:cs="宋体"/>
          <w:spacing w:val="10"/>
          <w:sz w:val="20"/>
          <w:szCs w:val="20"/>
        </w:rPr>
        <w:t>或者场地清理未达到合同约定要求的，发包人有权委托其他人恢复或清</w:t>
      </w:r>
      <w:r>
        <w:rPr>
          <w:rFonts w:ascii="宋体" w:hAnsi="宋体" w:eastAsia="宋体" w:cs="宋体"/>
          <w:spacing w:val="9"/>
          <w:sz w:val="20"/>
          <w:szCs w:val="20"/>
        </w:rPr>
        <w:t>理，所发生的费用由承包</w:t>
      </w:r>
      <w:r>
        <w:rPr>
          <w:rFonts w:ascii="宋体" w:hAnsi="宋体" w:eastAsia="宋体" w:cs="宋体"/>
          <w:spacing w:val="4"/>
          <w:sz w:val="20"/>
          <w:szCs w:val="20"/>
        </w:rPr>
        <w:t>人承担。</w:t>
      </w:r>
    </w:p>
    <w:p w14:paraId="1A2E8F19">
      <w:pPr>
        <w:spacing w:line="370" w:lineRule="auto"/>
        <w:rPr>
          <w:rFonts w:ascii="宋体" w:hAnsi="宋体" w:eastAsia="宋体" w:cs="宋体"/>
          <w:sz w:val="20"/>
          <w:szCs w:val="20"/>
        </w:rPr>
        <w:sectPr>
          <w:footerReference r:id="rId272" w:type="default"/>
          <w:pgSz w:w="11906" w:h="16839"/>
          <w:pgMar w:top="400" w:right="1483" w:bottom="1038" w:left="1538" w:header="0" w:footer="785" w:gutter="0"/>
          <w:cols w:space="720" w:num="1"/>
        </w:sectPr>
      </w:pPr>
    </w:p>
    <w:p w14:paraId="2803C708">
      <w:pPr>
        <w:spacing w:line="249" w:lineRule="auto"/>
        <w:rPr>
          <w:rFonts w:ascii="Arial"/>
          <w:sz w:val="21"/>
        </w:rPr>
      </w:pPr>
    </w:p>
    <w:p w14:paraId="74A6ECCB">
      <w:pPr>
        <w:spacing w:line="250" w:lineRule="auto"/>
        <w:rPr>
          <w:rFonts w:ascii="Arial"/>
          <w:sz w:val="21"/>
        </w:rPr>
      </w:pPr>
    </w:p>
    <w:p w14:paraId="263807E8">
      <w:pPr>
        <w:spacing w:line="250" w:lineRule="auto"/>
        <w:rPr>
          <w:rFonts w:ascii="Arial"/>
          <w:sz w:val="21"/>
        </w:rPr>
      </w:pPr>
    </w:p>
    <w:p w14:paraId="76363AB6">
      <w:pPr>
        <w:spacing w:line="250" w:lineRule="auto"/>
        <w:rPr>
          <w:rFonts w:ascii="Arial"/>
          <w:sz w:val="21"/>
        </w:rPr>
      </w:pPr>
    </w:p>
    <w:p w14:paraId="34243D3A">
      <w:pPr>
        <w:pStyle w:val="2"/>
        <w:spacing w:before="91" w:line="222" w:lineRule="auto"/>
        <w:ind w:left="12"/>
        <w:outlineLvl w:val="2"/>
        <w:rPr>
          <w:sz w:val="28"/>
          <w:szCs w:val="28"/>
        </w:rPr>
      </w:pPr>
      <w:bookmarkStart w:id="276" w:name="bookmark258"/>
      <w:bookmarkEnd w:id="276"/>
      <w:r>
        <w:rPr>
          <w:rFonts w:ascii="Times New Roman" w:hAnsi="Times New Roman" w:eastAsia="Times New Roman" w:cs="Times New Roman"/>
          <w:b/>
          <w:bCs/>
          <w:spacing w:val="-4"/>
          <w:sz w:val="28"/>
          <w:szCs w:val="28"/>
        </w:rPr>
        <w:t xml:space="preserve">14.  </w:t>
      </w:r>
      <w:r>
        <w:rPr>
          <w:b/>
          <w:bCs/>
          <w:spacing w:val="-4"/>
          <w:sz w:val="28"/>
          <w:szCs w:val="28"/>
        </w:rPr>
        <w:t>竣工结算</w:t>
      </w:r>
    </w:p>
    <w:p w14:paraId="16CEB01C">
      <w:pPr>
        <w:pStyle w:val="2"/>
        <w:spacing w:before="99" w:line="221" w:lineRule="auto"/>
        <w:ind w:left="9"/>
        <w:rPr>
          <w:sz w:val="24"/>
          <w:szCs w:val="24"/>
        </w:rPr>
      </w:pPr>
      <w:r>
        <w:rPr>
          <w:rFonts w:ascii="Times New Roman" w:hAnsi="Times New Roman" w:eastAsia="Times New Roman" w:cs="Times New Roman"/>
          <w:b/>
          <w:bCs/>
          <w:spacing w:val="-3"/>
          <w:sz w:val="24"/>
          <w:szCs w:val="24"/>
        </w:rPr>
        <w:t xml:space="preserve">14.1  </w:t>
      </w:r>
      <w:r>
        <w:rPr>
          <w:b/>
          <w:bCs/>
          <w:spacing w:val="-3"/>
          <w:sz w:val="24"/>
          <w:szCs w:val="24"/>
        </w:rPr>
        <w:t>竣工结算申请</w:t>
      </w:r>
    </w:p>
    <w:p w14:paraId="4FF2AE83">
      <w:pPr>
        <w:spacing w:before="138" w:line="369" w:lineRule="auto"/>
        <w:ind w:left="2" w:right="56" w:firstLine="431"/>
        <w:jc w:val="both"/>
        <w:rPr>
          <w:rFonts w:ascii="宋体" w:hAnsi="宋体" w:eastAsia="宋体" w:cs="宋体"/>
          <w:sz w:val="20"/>
          <w:szCs w:val="20"/>
        </w:rPr>
      </w:pPr>
      <w:r>
        <w:rPr>
          <w:rFonts w:ascii="宋体" w:hAnsi="宋体" w:eastAsia="宋体" w:cs="宋体"/>
          <w:spacing w:val="6"/>
          <w:sz w:val="20"/>
          <w:szCs w:val="20"/>
        </w:rPr>
        <w:t>除专用合同条款另有约定外，承包人应在工程竣工验收合格后</w:t>
      </w:r>
      <w:r>
        <w:rPr>
          <w:rFonts w:ascii="宋体" w:hAnsi="宋体" w:eastAsia="宋体" w:cs="宋体"/>
          <w:spacing w:val="-26"/>
          <w:sz w:val="20"/>
          <w:szCs w:val="20"/>
        </w:rPr>
        <w:t xml:space="preserve"> </w:t>
      </w:r>
      <w:r>
        <w:rPr>
          <w:rFonts w:ascii="Times New Roman" w:hAnsi="Times New Roman" w:eastAsia="Times New Roman" w:cs="Times New Roman"/>
          <w:spacing w:val="6"/>
          <w:sz w:val="20"/>
          <w:szCs w:val="20"/>
        </w:rPr>
        <w:t xml:space="preserve">28 </w:t>
      </w:r>
      <w:r>
        <w:rPr>
          <w:rFonts w:ascii="宋体" w:hAnsi="宋体" w:eastAsia="宋体" w:cs="宋体"/>
          <w:spacing w:val="6"/>
          <w:sz w:val="20"/>
          <w:szCs w:val="20"/>
        </w:rPr>
        <w:t>天内向发包人和监理人提交</w:t>
      </w:r>
      <w:r>
        <w:rPr>
          <w:rFonts w:ascii="宋体" w:hAnsi="宋体" w:eastAsia="宋体" w:cs="宋体"/>
          <w:spacing w:val="10"/>
          <w:sz w:val="20"/>
          <w:szCs w:val="20"/>
        </w:rPr>
        <w:t>竣工结算申请单，并提交完整的结算资料，有关竣工结算申请单的</w:t>
      </w:r>
      <w:r>
        <w:rPr>
          <w:rFonts w:ascii="宋体" w:hAnsi="宋体" w:eastAsia="宋体" w:cs="宋体"/>
          <w:spacing w:val="9"/>
          <w:sz w:val="20"/>
          <w:szCs w:val="20"/>
        </w:rPr>
        <w:t>资料清单和份数等要求由合同</w:t>
      </w:r>
      <w:r>
        <w:rPr>
          <w:rFonts w:ascii="宋体" w:hAnsi="宋体" w:eastAsia="宋体" w:cs="宋体"/>
          <w:spacing w:val="8"/>
          <w:sz w:val="20"/>
          <w:szCs w:val="20"/>
        </w:rPr>
        <w:t>当事人在专用合同条款中约定。</w:t>
      </w:r>
    </w:p>
    <w:p w14:paraId="7C3E1343">
      <w:pPr>
        <w:spacing w:line="227" w:lineRule="auto"/>
        <w:ind w:left="434"/>
        <w:rPr>
          <w:rFonts w:ascii="宋体" w:hAnsi="宋体" w:eastAsia="宋体" w:cs="宋体"/>
          <w:sz w:val="20"/>
          <w:szCs w:val="20"/>
        </w:rPr>
      </w:pPr>
      <w:r>
        <w:rPr>
          <w:rFonts w:ascii="宋体" w:hAnsi="宋体" w:eastAsia="宋体" w:cs="宋体"/>
          <w:spacing w:val="9"/>
          <w:sz w:val="20"/>
          <w:szCs w:val="20"/>
        </w:rPr>
        <w:t>除专用合同条款另有约定外，竣工结算申请单应包括</w:t>
      </w:r>
      <w:r>
        <w:rPr>
          <w:rFonts w:ascii="宋体" w:hAnsi="宋体" w:eastAsia="宋体" w:cs="宋体"/>
          <w:spacing w:val="8"/>
          <w:sz w:val="20"/>
          <w:szCs w:val="20"/>
        </w:rPr>
        <w:t>以下内容：</w:t>
      </w:r>
    </w:p>
    <w:p w14:paraId="6F8ECC58">
      <w:pPr>
        <w:spacing w:before="154" w:line="226" w:lineRule="auto"/>
        <w:ind w:left="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）竣工结算合同价格；</w:t>
      </w:r>
    </w:p>
    <w:p w14:paraId="48863B64">
      <w:pPr>
        <w:spacing w:before="153" w:line="228" w:lineRule="auto"/>
        <w:ind w:left="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）发包人已支付承包人的款项；</w:t>
      </w:r>
    </w:p>
    <w:p w14:paraId="4FEF015C">
      <w:pPr>
        <w:spacing w:before="155" w:line="227" w:lineRule="auto"/>
        <w:ind w:left="431"/>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）应扣留的质量保证金。已缴纳履约保证金的或提供其他工程质量担保方式的除外；</w:t>
      </w:r>
    </w:p>
    <w:p w14:paraId="0823BA8E">
      <w:pPr>
        <w:spacing w:before="155" w:line="226"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）发包人应支付承包人的合同价款。</w:t>
      </w:r>
    </w:p>
    <w:p w14:paraId="60D644D4">
      <w:pPr>
        <w:pStyle w:val="2"/>
        <w:spacing w:before="129" w:line="221" w:lineRule="auto"/>
        <w:ind w:left="9"/>
        <w:rPr>
          <w:sz w:val="24"/>
          <w:szCs w:val="24"/>
        </w:rPr>
      </w:pPr>
      <w:r>
        <w:rPr>
          <w:rFonts w:ascii="Times New Roman" w:hAnsi="Times New Roman" w:eastAsia="Times New Roman" w:cs="Times New Roman"/>
          <w:b/>
          <w:bCs/>
          <w:spacing w:val="-3"/>
          <w:sz w:val="24"/>
          <w:szCs w:val="24"/>
        </w:rPr>
        <w:t xml:space="preserve">14.2  </w:t>
      </w:r>
      <w:r>
        <w:rPr>
          <w:b/>
          <w:bCs/>
          <w:spacing w:val="-3"/>
          <w:sz w:val="24"/>
          <w:szCs w:val="24"/>
        </w:rPr>
        <w:t>竣工结算审核</w:t>
      </w:r>
    </w:p>
    <w:p w14:paraId="4BAA71AD">
      <w:pPr>
        <w:spacing w:before="139" w:line="369" w:lineRule="auto"/>
        <w:ind w:right="54" w:firstLine="431"/>
        <w:jc w:val="both"/>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）除专用合同条款另有约定外，监理人应在收到竣工结算申请单后</w:t>
      </w:r>
      <w:r>
        <w:rPr>
          <w:rFonts w:ascii="宋体" w:hAnsi="宋体" w:eastAsia="宋体" w:cs="宋体"/>
          <w:spacing w:val="-6"/>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天内完成核查并报</w:t>
      </w:r>
      <w:r>
        <w:rPr>
          <w:rFonts w:ascii="宋体" w:hAnsi="宋体" w:eastAsia="宋体" w:cs="宋体"/>
          <w:spacing w:val="7"/>
          <w:sz w:val="20"/>
          <w:szCs w:val="20"/>
        </w:rPr>
        <w:t>送发包人。发包人应在收到监理人提交的经</w:t>
      </w:r>
      <w:r>
        <w:rPr>
          <w:rFonts w:ascii="宋体" w:hAnsi="宋体" w:eastAsia="宋体" w:cs="宋体"/>
          <w:spacing w:val="6"/>
          <w:sz w:val="20"/>
          <w:szCs w:val="20"/>
        </w:rPr>
        <w:t>审核的竣工结算申请单后</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天内完成审批，并由监理</w:t>
      </w:r>
      <w:r>
        <w:rPr>
          <w:rFonts w:ascii="宋体" w:hAnsi="宋体" w:eastAsia="宋体" w:cs="宋体"/>
          <w:spacing w:val="10"/>
          <w:sz w:val="20"/>
          <w:szCs w:val="20"/>
        </w:rPr>
        <w:t>人向承包人签发经发包人签认的竣工付款证书。监理人或发包人对竣工结算申</w:t>
      </w:r>
      <w:r>
        <w:rPr>
          <w:rFonts w:ascii="宋体" w:hAnsi="宋体" w:eastAsia="宋体" w:cs="宋体"/>
          <w:spacing w:val="9"/>
          <w:sz w:val="20"/>
          <w:szCs w:val="20"/>
        </w:rPr>
        <w:t>请单有异议的，有权要求承包人进行修正和提供补充资料，承包人应提交修正后的竣工结算申请单。</w:t>
      </w:r>
    </w:p>
    <w:p w14:paraId="72480195">
      <w:pPr>
        <w:spacing w:before="1" w:line="369" w:lineRule="auto"/>
        <w:ind w:left="1" w:right="54" w:firstLine="423"/>
        <w:jc w:val="both"/>
        <w:rPr>
          <w:rFonts w:ascii="宋体" w:hAnsi="宋体" w:eastAsia="宋体" w:cs="宋体"/>
          <w:sz w:val="20"/>
          <w:szCs w:val="20"/>
        </w:rPr>
      </w:pPr>
      <w:r>
        <w:rPr>
          <w:rFonts w:ascii="宋体" w:hAnsi="宋体" w:eastAsia="宋体" w:cs="宋体"/>
          <w:spacing w:val="6"/>
          <w:sz w:val="20"/>
          <w:szCs w:val="20"/>
        </w:rPr>
        <w:t>发包人在收到承包人提交竣工结算申请书后</w:t>
      </w:r>
      <w:r>
        <w:rPr>
          <w:rFonts w:ascii="宋体" w:hAnsi="宋体" w:eastAsia="宋体" w:cs="宋体"/>
          <w:spacing w:val="-25"/>
          <w:sz w:val="20"/>
          <w:szCs w:val="20"/>
        </w:rPr>
        <w:t xml:space="preserve"> </w:t>
      </w:r>
      <w:r>
        <w:rPr>
          <w:rFonts w:ascii="Times New Roman" w:hAnsi="Times New Roman" w:eastAsia="Times New Roman" w:cs="Times New Roman"/>
          <w:spacing w:val="6"/>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天内未完成审批且未提出异议的，视为发包人</w:t>
      </w:r>
      <w:r>
        <w:rPr>
          <w:rFonts w:ascii="宋体" w:hAnsi="宋体" w:eastAsia="宋体" w:cs="宋体"/>
          <w:spacing w:val="7"/>
          <w:sz w:val="20"/>
          <w:szCs w:val="20"/>
        </w:rPr>
        <w:t>认可承包人提交的竣工结算申请单，并自发包人收到承包人提交的</w:t>
      </w:r>
      <w:r>
        <w:rPr>
          <w:rFonts w:ascii="宋体" w:hAnsi="宋体" w:eastAsia="宋体" w:cs="宋体"/>
          <w:spacing w:val="6"/>
          <w:sz w:val="20"/>
          <w:szCs w:val="20"/>
        </w:rPr>
        <w:t>竣工结算申请单后第</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29</w:t>
      </w:r>
      <w:r>
        <w:rPr>
          <w:rFonts w:ascii="Times New Roman" w:hAnsi="Times New Roman" w:eastAsia="Times New Roman" w:cs="Times New Roman"/>
          <w:spacing w:val="17"/>
          <w:sz w:val="20"/>
          <w:szCs w:val="20"/>
        </w:rPr>
        <w:t xml:space="preserve"> </w:t>
      </w:r>
      <w:r>
        <w:rPr>
          <w:rFonts w:ascii="宋体" w:hAnsi="宋体" w:eastAsia="宋体" w:cs="宋体"/>
          <w:spacing w:val="6"/>
          <w:sz w:val="20"/>
          <w:szCs w:val="20"/>
        </w:rPr>
        <w:t>天起视</w:t>
      </w:r>
      <w:r>
        <w:rPr>
          <w:rFonts w:ascii="宋体" w:hAnsi="宋体" w:eastAsia="宋体" w:cs="宋体"/>
          <w:spacing w:val="8"/>
          <w:sz w:val="20"/>
          <w:szCs w:val="20"/>
        </w:rPr>
        <w:t>为已签发竣工付款证书。</w:t>
      </w:r>
    </w:p>
    <w:p w14:paraId="029E7B58">
      <w:pPr>
        <w:spacing w:before="1" w:line="369" w:lineRule="auto"/>
        <w:ind w:right="2" w:firstLine="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）除专用合同条款另有约定外，发包人应在签发竣工付款证书后的</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 xml:space="preserve">14  </w:t>
      </w:r>
      <w:r>
        <w:rPr>
          <w:rFonts w:ascii="宋体" w:hAnsi="宋体" w:eastAsia="宋体" w:cs="宋体"/>
          <w:spacing w:val="7"/>
          <w:sz w:val="20"/>
          <w:szCs w:val="20"/>
        </w:rPr>
        <w:t>天内，完成对承包</w:t>
      </w:r>
      <w:r>
        <w:rPr>
          <w:rFonts w:ascii="宋体" w:hAnsi="宋体" w:eastAsia="宋体" w:cs="宋体"/>
          <w:spacing w:val="6"/>
          <w:sz w:val="20"/>
          <w:szCs w:val="20"/>
        </w:rPr>
        <w:t>人的竣工付款。发包人逾期支付的，按照中国人民银行发布的同期同类贷款基准利率支付违约金；</w:t>
      </w:r>
      <w:r>
        <w:rPr>
          <w:rFonts w:ascii="宋体" w:hAnsi="宋体" w:eastAsia="宋体" w:cs="宋体"/>
          <w:spacing w:val="9"/>
          <w:sz w:val="20"/>
          <w:szCs w:val="20"/>
        </w:rPr>
        <w:t>逾期支付超过</w:t>
      </w:r>
      <w:r>
        <w:rPr>
          <w:rFonts w:ascii="宋体" w:hAnsi="宋体" w:eastAsia="宋体" w:cs="宋体"/>
          <w:spacing w:val="-35"/>
          <w:sz w:val="20"/>
          <w:szCs w:val="20"/>
        </w:rPr>
        <w:t xml:space="preserve"> </w:t>
      </w:r>
      <w:r>
        <w:rPr>
          <w:rFonts w:ascii="Times New Roman" w:hAnsi="Times New Roman" w:eastAsia="Times New Roman" w:cs="Times New Roman"/>
          <w:spacing w:val="9"/>
          <w:sz w:val="20"/>
          <w:szCs w:val="20"/>
        </w:rPr>
        <w:t xml:space="preserve">56 </w:t>
      </w:r>
      <w:r>
        <w:rPr>
          <w:rFonts w:ascii="宋体" w:hAnsi="宋体" w:eastAsia="宋体" w:cs="宋体"/>
          <w:spacing w:val="9"/>
          <w:sz w:val="20"/>
          <w:szCs w:val="20"/>
        </w:rPr>
        <w:t>天的，按照中国人民银行发布的同期同类贷款基准利率</w:t>
      </w:r>
      <w:r>
        <w:rPr>
          <w:rFonts w:ascii="宋体" w:hAnsi="宋体" w:eastAsia="宋体" w:cs="宋体"/>
          <w:spacing w:val="8"/>
          <w:sz w:val="20"/>
          <w:szCs w:val="20"/>
        </w:rPr>
        <w:t>的两倍支付违约金。</w:t>
      </w:r>
    </w:p>
    <w:p w14:paraId="3447A2E1">
      <w:pPr>
        <w:spacing w:before="1" w:line="363" w:lineRule="auto"/>
        <w:ind w:left="2" w:firstLine="42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）承包人对发包人签认的竣工付款证书有异议的，对于有异议部分应在收</w:t>
      </w:r>
      <w:r>
        <w:rPr>
          <w:rFonts w:ascii="宋体" w:hAnsi="宋体" w:eastAsia="宋体" w:cs="宋体"/>
          <w:spacing w:val="6"/>
          <w:sz w:val="20"/>
          <w:szCs w:val="20"/>
        </w:rPr>
        <w:t>到发包人签认的竣工付款证书后</w:t>
      </w:r>
      <w:r>
        <w:rPr>
          <w:rFonts w:ascii="宋体" w:hAnsi="宋体" w:eastAsia="宋体" w:cs="宋体"/>
          <w:spacing w:val="-40"/>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天内提出异议，并由合同当事人按</w:t>
      </w:r>
      <w:r>
        <w:rPr>
          <w:rFonts w:ascii="宋体" w:hAnsi="宋体" w:eastAsia="宋体" w:cs="宋体"/>
          <w:spacing w:val="5"/>
          <w:sz w:val="20"/>
          <w:szCs w:val="20"/>
        </w:rPr>
        <w:t>照专用合同条款约定的方式和程序进行复核，</w:t>
      </w:r>
      <w:r>
        <w:rPr>
          <w:rFonts w:ascii="宋体" w:hAnsi="宋体" w:eastAsia="宋体" w:cs="宋体"/>
          <w:spacing w:val="7"/>
          <w:sz w:val="20"/>
          <w:szCs w:val="20"/>
        </w:rPr>
        <w:t>或按照第</w:t>
      </w:r>
      <w:r>
        <w:rPr>
          <w:rFonts w:ascii="宋体" w:hAnsi="宋体" w:eastAsia="宋体" w:cs="宋体"/>
          <w:spacing w:val="-41"/>
          <w:sz w:val="20"/>
          <w:szCs w:val="20"/>
        </w:rPr>
        <w:t xml:space="preserve"> </w:t>
      </w:r>
      <w:r>
        <w:rPr>
          <w:rFonts w:ascii="Times New Roman" w:hAnsi="Times New Roman" w:eastAsia="Times New Roman" w:cs="Times New Roman"/>
          <w:spacing w:val="7"/>
          <w:sz w:val="20"/>
          <w:szCs w:val="20"/>
        </w:rPr>
        <w:t xml:space="preserve">20 </w:t>
      </w:r>
      <w:r>
        <w:rPr>
          <w:rFonts w:ascii="宋体" w:hAnsi="宋体" w:eastAsia="宋体" w:cs="宋体"/>
          <w:spacing w:val="7"/>
          <w:sz w:val="20"/>
          <w:szCs w:val="20"/>
        </w:rPr>
        <w:t>条〔争议解决〕约定处理。对于无异议部分，发包人应签发临</w:t>
      </w:r>
      <w:r>
        <w:rPr>
          <w:rFonts w:ascii="宋体" w:hAnsi="宋体" w:eastAsia="宋体" w:cs="宋体"/>
          <w:spacing w:val="6"/>
          <w:sz w:val="20"/>
          <w:szCs w:val="20"/>
        </w:rPr>
        <w:t>时竣工付款证书，并按</w:t>
      </w:r>
      <w:r>
        <w:rPr>
          <w:rFonts w:ascii="宋体" w:hAnsi="宋体" w:eastAsia="宋体" w:cs="宋体"/>
          <w:spacing w:val="9"/>
          <w:sz w:val="20"/>
          <w:szCs w:val="20"/>
        </w:rPr>
        <w:t>本款第（</w:t>
      </w:r>
      <w:r>
        <w:rPr>
          <w:rFonts w:ascii="Times New Roman" w:hAnsi="Times New Roman" w:eastAsia="Times New Roman" w:cs="Times New Roman"/>
          <w:spacing w:val="9"/>
          <w:sz w:val="20"/>
          <w:szCs w:val="20"/>
        </w:rPr>
        <w:t>2</w:t>
      </w:r>
      <w:r>
        <w:rPr>
          <w:rFonts w:ascii="宋体" w:hAnsi="宋体" w:eastAsia="宋体" w:cs="宋体"/>
          <w:spacing w:val="9"/>
          <w:sz w:val="20"/>
          <w:szCs w:val="20"/>
        </w:rPr>
        <w:t>）项完成付款。承包人逾期未提出异议的，视为认可发包人的审批结果。</w:t>
      </w:r>
    </w:p>
    <w:p w14:paraId="723A5CE4">
      <w:pPr>
        <w:pStyle w:val="2"/>
        <w:spacing w:before="1" w:line="220" w:lineRule="auto"/>
        <w:ind w:left="9"/>
        <w:rPr>
          <w:sz w:val="24"/>
          <w:szCs w:val="24"/>
        </w:rPr>
      </w:pPr>
      <w:r>
        <w:rPr>
          <w:rFonts w:ascii="Times New Roman" w:hAnsi="Times New Roman" w:eastAsia="Times New Roman" w:cs="Times New Roman"/>
          <w:b/>
          <w:bCs/>
          <w:spacing w:val="-3"/>
          <w:sz w:val="24"/>
          <w:szCs w:val="24"/>
        </w:rPr>
        <w:t xml:space="preserve">14.3  </w:t>
      </w:r>
      <w:r>
        <w:rPr>
          <w:b/>
          <w:bCs/>
          <w:spacing w:val="-3"/>
          <w:sz w:val="24"/>
          <w:szCs w:val="24"/>
        </w:rPr>
        <w:t>甩项竣工协议</w:t>
      </w:r>
    </w:p>
    <w:p w14:paraId="723ACB1F">
      <w:pPr>
        <w:spacing w:before="138" w:line="361" w:lineRule="auto"/>
        <w:ind w:left="6" w:right="54" w:firstLine="418"/>
        <w:jc w:val="both"/>
        <w:rPr>
          <w:rFonts w:ascii="宋体" w:hAnsi="宋体" w:eastAsia="宋体" w:cs="宋体"/>
          <w:sz w:val="20"/>
          <w:szCs w:val="20"/>
        </w:rPr>
      </w:pPr>
      <w:r>
        <w:rPr>
          <w:rFonts w:ascii="宋体" w:hAnsi="宋体" w:eastAsia="宋体" w:cs="宋体"/>
          <w:spacing w:val="10"/>
          <w:sz w:val="20"/>
          <w:szCs w:val="20"/>
        </w:rPr>
        <w:t>发包人要求甩项竣工的，合同当事人应签订甩项竣工协议。在</w:t>
      </w:r>
      <w:r>
        <w:rPr>
          <w:rFonts w:ascii="宋体" w:hAnsi="宋体" w:eastAsia="宋体" w:cs="宋体"/>
          <w:spacing w:val="9"/>
          <w:sz w:val="20"/>
          <w:szCs w:val="20"/>
        </w:rPr>
        <w:t>甩项竣工协议中应明确，合同</w:t>
      </w:r>
      <w:r>
        <w:rPr>
          <w:rFonts w:ascii="宋体" w:hAnsi="宋体" w:eastAsia="宋体" w:cs="宋体"/>
          <w:spacing w:val="5"/>
          <w:sz w:val="20"/>
          <w:szCs w:val="20"/>
        </w:rPr>
        <w:t>当事人按照第</w:t>
      </w:r>
      <w:r>
        <w:rPr>
          <w:rFonts w:ascii="宋体" w:hAnsi="宋体" w:eastAsia="宋体" w:cs="宋体"/>
          <w:spacing w:val="-14"/>
          <w:sz w:val="20"/>
          <w:szCs w:val="20"/>
        </w:rPr>
        <w:t xml:space="preserve"> </w:t>
      </w:r>
      <w:r>
        <w:rPr>
          <w:rFonts w:ascii="Times New Roman" w:hAnsi="Times New Roman" w:eastAsia="Times New Roman" w:cs="Times New Roman"/>
          <w:spacing w:val="5"/>
          <w:sz w:val="20"/>
          <w:szCs w:val="20"/>
        </w:rPr>
        <w:t xml:space="preserve">14.1 </w:t>
      </w:r>
      <w:r>
        <w:rPr>
          <w:rFonts w:ascii="宋体" w:hAnsi="宋体" w:eastAsia="宋体" w:cs="宋体"/>
          <w:spacing w:val="5"/>
          <w:sz w:val="20"/>
          <w:szCs w:val="20"/>
        </w:rPr>
        <w:t>款〔竣工结算申请〕及</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 xml:space="preserve">14.2 </w:t>
      </w:r>
      <w:r>
        <w:rPr>
          <w:rFonts w:ascii="宋体" w:hAnsi="宋体" w:eastAsia="宋体" w:cs="宋体"/>
          <w:spacing w:val="5"/>
          <w:sz w:val="20"/>
          <w:szCs w:val="20"/>
        </w:rPr>
        <w:t>款〔竣工结算审核〕的约定，对已完合格工程进行</w:t>
      </w:r>
      <w:r>
        <w:rPr>
          <w:rFonts w:ascii="宋体" w:hAnsi="宋体" w:eastAsia="宋体" w:cs="宋体"/>
          <w:spacing w:val="8"/>
          <w:sz w:val="20"/>
          <w:szCs w:val="20"/>
        </w:rPr>
        <w:t>结算，并支付相应合同价款。</w:t>
      </w:r>
    </w:p>
    <w:p w14:paraId="3C18A5C9">
      <w:pPr>
        <w:pStyle w:val="2"/>
        <w:spacing w:line="223" w:lineRule="auto"/>
        <w:ind w:left="9"/>
        <w:rPr>
          <w:sz w:val="24"/>
          <w:szCs w:val="24"/>
        </w:rPr>
      </w:pPr>
      <w:r>
        <w:rPr>
          <w:rFonts w:ascii="Times New Roman" w:hAnsi="Times New Roman" w:eastAsia="Times New Roman" w:cs="Times New Roman"/>
          <w:b/>
          <w:bCs/>
          <w:spacing w:val="-5"/>
          <w:sz w:val="24"/>
          <w:szCs w:val="24"/>
        </w:rPr>
        <w:t>14.4</w:t>
      </w:r>
      <w:r>
        <w:rPr>
          <w:rFonts w:ascii="Times New Roman" w:hAnsi="Times New Roman" w:eastAsia="Times New Roman" w:cs="Times New Roman"/>
          <w:b/>
          <w:bCs/>
          <w:spacing w:val="7"/>
          <w:sz w:val="24"/>
          <w:szCs w:val="24"/>
        </w:rPr>
        <w:t xml:space="preserve">  </w:t>
      </w:r>
      <w:r>
        <w:rPr>
          <w:b/>
          <w:bCs/>
          <w:spacing w:val="-5"/>
          <w:sz w:val="24"/>
          <w:szCs w:val="24"/>
        </w:rPr>
        <w:t>最终结清</w:t>
      </w:r>
    </w:p>
    <w:p w14:paraId="4DC77283">
      <w:pPr>
        <w:spacing w:before="137" w:line="228"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14.4.1  </w:t>
      </w:r>
      <w:r>
        <w:rPr>
          <w:rFonts w:ascii="宋体" w:hAnsi="宋体" w:eastAsia="宋体" w:cs="宋体"/>
          <w:spacing w:val="4"/>
          <w:sz w:val="20"/>
          <w:szCs w:val="20"/>
        </w:rPr>
        <w:t>最终结清申请单</w:t>
      </w:r>
    </w:p>
    <w:p w14:paraId="6151260B">
      <w:pPr>
        <w:spacing w:before="152" w:line="370" w:lineRule="auto"/>
        <w:ind w:left="22" w:right="56" w:firstLine="409"/>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）除专用合同条款另有约定外，承包人应在缺陷责任期终止证书颁发后</w:t>
      </w:r>
      <w:r>
        <w:rPr>
          <w:rFonts w:ascii="宋体" w:hAnsi="宋体" w:eastAsia="宋体" w:cs="宋体"/>
          <w:spacing w:val="-24"/>
          <w:sz w:val="20"/>
          <w:szCs w:val="20"/>
        </w:rPr>
        <w:t xml:space="preserve"> </w:t>
      </w:r>
      <w:r>
        <w:rPr>
          <w:rFonts w:ascii="Times New Roman" w:hAnsi="Times New Roman" w:eastAsia="Times New Roman" w:cs="Times New Roman"/>
          <w:spacing w:val="6"/>
          <w:sz w:val="20"/>
          <w:szCs w:val="20"/>
        </w:rPr>
        <w:t xml:space="preserve">7 </w:t>
      </w:r>
      <w:r>
        <w:rPr>
          <w:rFonts w:ascii="宋体" w:hAnsi="宋体" w:eastAsia="宋体" w:cs="宋体"/>
          <w:spacing w:val="6"/>
          <w:sz w:val="20"/>
          <w:szCs w:val="20"/>
        </w:rPr>
        <w:t>天内，按专用合</w:t>
      </w:r>
      <w:r>
        <w:rPr>
          <w:rFonts w:ascii="宋体" w:hAnsi="宋体" w:eastAsia="宋体" w:cs="宋体"/>
          <w:spacing w:val="9"/>
          <w:sz w:val="20"/>
          <w:szCs w:val="20"/>
        </w:rPr>
        <w:t>同条款约定的份数向发包人提交最终结清申请单，并</w:t>
      </w:r>
      <w:r>
        <w:rPr>
          <w:rFonts w:ascii="宋体" w:hAnsi="宋体" w:eastAsia="宋体" w:cs="宋体"/>
          <w:spacing w:val="8"/>
          <w:sz w:val="20"/>
          <w:szCs w:val="20"/>
        </w:rPr>
        <w:t>提供相关证明材料。</w:t>
      </w:r>
    </w:p>
    <w:p w14:paraId="19062510">
      <w:pPr>
        <w:spacing w:line="369" w:lineRule="auto"/>
        <w:ind w:left="14" w:right="54" w:firstLine="419"/>
        <w:rPr>
          <w:rFonts w:ascii="宋体" w:hAnsi="宋体" w:eastAsia="宋体" w:cs="宋体"/>
          <w:sz w:val="20"/>
          <w:szCs w:val="20"/>
        </w:rPr>
      </w:pPr>
      <w:r>
        <w:rPr>
          <w:rFonts w:ascii="宋体" w:hAnsi="宋体" w:eastAsia="宋体" w:cs="宋体"/>
          <w:spacing w:val="9"/>
          <w:sz w:val="20"/>
          <w:szCs w:val="20"/>
        </w:rPr>
        <w:t>除专用合同条款另有约定外，最终结清申请单应列明质量保证金、应扣除的质量保证金、缺</w:t>
      </w:r>
      <w:r>
        <w:rPr>
          <w:rFonts w:ascii="宋体" w:hAnsi="宋体" w:eastAsia="宋体" w:cs="宋体"/>
          <w:spacing w:val="7"/>
          <w:sz w:val="20"/>
          <w:szCs w:val="20"/>
        </w:rPr>
        <w:t>陷责任期内发生的增减费用。</w:t>
      </w:r>
    </w:p>
    <w:p w14:paraId="305949FD">
      <w:pPr>
        <w:spacing w:line="369" w:lineRule="auto"/>
        <w:rPr>
          <w:rFonts w:ascii="宋体" w:hAnsi="宋体" w:eastAsia="宋体" w:cs="宋体"/>
          <w:sz w:val="20"/>
          <w:szCs w:val="20"/>
        </w:rPr>
        <w:sectPr>
          <w:footerReference r:id="rId273" w:type="default"/>
          <w:pgSz w:w="11906" w:h="16839"/>
          <w:pgMar w:top="400" w:right="1500" w:bottom="1038" w:left="1537" w:header="0" w:footer="787" w:gutter="0"/>
          <w:cols w:space="720" w:num="1"/>
        </w:sectPr>
      </w:pPr>
    </w:p>
    <w:p w14:paraId="7353B2F1">
      <w:pPr>
        <w:spacing w:line="271" w:lineRule="auto"/>
        <w:rPr>
          <w:rFonts w:ascii="Arial"/>
          <w:sz w:val="21"/>
        </w:rPr>
      </w:pPr>
    </w:p>
    <w:p w14:paraId="0BF2956C">
      <w:pPr>
        <w:spacing w:line="272" w:lineRule="auto"/>
        <w:rPr>
          <w:rFonts w:ascii="Arial"/>
          <w:sz w:val="21"/>
        </w:rPr>
      </w:pPr>
    </w:p>
    <w:p w14:paraId="76118669">
      <w:pPr>
        <w:spacing w:line="272" w:lineRule="auto"/>
        <w:rPr>
          <w:rFonts w:ascii="Arial"/>
          <w:sz w:val="21"/>
        </w:rPr>
      </w:pPr>
    </w:p>
    <w:p w14:paraId="355A3A8A">
      <w:pPr>
        <w:spacing w:line="272" w:lineRule="auto"/>
        <w:rPr>
          <w:rFonts w:ascii="Arial"/>
          <w:sz w:val="21"/>
        </w:rPr>
      </w:pPr>
    </w:p>
    <w:p w14:paraId="01BD5B5C">
      <w:pPr>
        <w:spacing w:before="65" w:line="369" w:lineRule="auto"/>
        <w:ind w:left="1" w:right="56"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）发包人对最终结清申请单内容有异议的，有权要求承包人进行修正</w:t>
      </w:r>
      <w:r>
        <w:rPr>
          <w:rFonts w:ascii="宋体" w:hAnsi="宋体" w:eastAsia="宋体" w:cs="宋体"/>
          <w:spacing w:val="6"/>
          <w:sz w:val="20"/>
          <w:szCs w:val="20"/>
        </w:rPr>
        <w:t>和提供补充资料，承</w:t>
      </w:r>
      <w:r>
        <w:rPr>
          <w:rFonts w:ascii="宋体" w:hAnsi="宋体" w:eastAsia="宋体" w:cs="宋体"/>
          <w:spacing w:val="9"/>
          <w:sz w:val="20"/>
          <w:szCs w:val="20"/>
        </w:rPr>
        <w:t>包人应向发包人提交修正后的最终结清申请单。</w:t>
      </w:r>
    </w:p>
    <w:p w14:paraId="46D93E9C">
      <w:pPr>
        <w:spacing w:line="226"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14.4.2  </w:t>
      </w:r>
      <w:r>
        <w:rPr>
          <w:rFonts w:ascii="宋体" w:hAnsi="宋体" w:eastAsia="宋体" w:cs="宋体"/>
          <w:spacing w:val="5"/>
          <w:sz w:val="20"/>
          <w:szCs w:val="20"/>
        </w:rPr>
        <w:t>最终结清证书和支付</w:t>
      </w:r>
    </w:p>
    <w:p w14:paraId="140F9CB7">
      <w:pPr>
        <w:spacing w:before="154" w:line="369" w:lineRule="auto"/>
        <w:ind w:right="54"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）除专用合同条款另有约定外，发包人应在收到承包人提交的最终结清申请单后</w:t>
      </w:r>
      <w:r>
        <w:rPr>
          <w:rFonts w:ascii="宋体" w:hAnsi="宋体" w:eastAsia="宋体" w:cs="宋体"/>
          <w:spacing w:val="-6"/>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w:t>
      </w:r>
      <w:r>
        <w:rPr>
          <w:rFonts w:ascii="宋体" w:hAnsi="宋体" w:eastAsia="宋体" w:cs="宋体"/>
          <w:spacing w:val="10"/>
          <w:sz w:val="20"/>
          <w:szCs w:val="20"/>
        </w:rPr>
        <w:t>完成审批并向承包人颁发最终结清证书。发包人逾期未完成审批，又未提出</w:t>
      </w:r>
      <w:r>
        <w:rPr>
          <w:rFonts w:ascii="宋体" w:hAnsi="宋体" w:eastAsia="宋体" w:cs="宋体"/>
          <w:spacing w:val="9"/>
          <w:sz w:val="20"/>
          <w:szCs w:val="20"/>
        </w:rPr>
        <w:t>修改意见的，视为发</w:t>
      </w:r>
      <w:r>
        <w:rPr>
          <w:rFonts w:ascii="宋体" w:hAnsi="宋体" w:eastAsia="宋体" w:cs="宋体"/>
          <w:spacing w:val="6"/>
          <w:sz w:val="20"/>
          <w:szCs w:val="20"/>
        </w:rPr>
        <w:t>包人同意承包人提交的最终结清申请单，且自发包人收到承包人提交的最终结清申请单后</w:t>
      </w:r>
      <w:r>
        <w:rPr>
          <w:rFonts w:ascii="宋体" w:hAnsi="宋体" w:eastAsia="宋体" w:cs="宋体"/>
          <w:spacing w:val="-5"/>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天起</w:t>
      </w:r>
      <w:r>
        <w:rPr>
          <w:rFonts w:ascii="宋体" w:hAnsi="宋体" w:eastAsia="宋体" w:cs="宋体"/>
          <w:spacing w:val="8"/>
          <w:sz w:val="20"/>
          <w:szCs w:val="20"/>
        </w:rPr>
        <w:t>视为已颁发最终结清证书。</w:t>
      </w:r>
    </w:p>
    <w:p w14:paraId="6F7D88E8">
      <w:pPr>
        <w:spacing w:line="369" w:lineRule="auto"/>
        <w:ind w:firstLine="431"/>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）除专用合同条款另有约定外，发包人应在颁发最终结清证书后</w:t>
      </w:r>
      <w:r>
        <w:rPr>
          <w:rFonts w:ascii="宋体" w:hAnsi="宋体" w:eastAsia="宋体" w:cs="宋体"/>
          <w:spacing w:val="-24"/>
          <w:sz w:val="20"/>
          <w:szCs w:val="20"/>
        </w:rPr>
        <w:t xml:space="preserve"> </w:t>
      </w:r>
      <w:r>
        <w:rPr>
          <w:rFonts w:ascii="Times New Roman" w:hAnsi="Times New Roman" w:eastAsia="Times New Roman" w:cs="Times New Roman"/>
          <w:spacing w:val="6"/>
          <w:sz w:val="20"/>
          <w:szCs w:val="20"/>
        </w:rPr>
        <w:t xml:space="preserve">7 </w:t>
      </w:r>
      <w:r>
        <w:rPr>
          <w:rFonts w:ascii="宋体" w:hAnsi="宋体" w:eastAsia="宋体" w:cs="宋体"/>
          <w:spacing w:val="6"/>
          <w:sz w:val="20"/>
          <w:szCs w:val="20"/>
        </w:rPr>
        <w:t>天内完成支付。发包人</w:t>
      </w:r>
      <w:r>
        <w:rPr>
          <w:rFonts w:ascii="宋体" w:hAnsi="宋体" w:eastAsia="宋体" w:cs="宋体"/>
          <w:spacing w:val="3"/>
          <w:sz w:val="20"/>
          <w:szCs w:val="20"/>
        </w:rPr>
        <w:t>逾期支付的，按照中国人民银行发布的同期同类贷款基准利率支付违约金；逾期支付超过</w:t>
      </w:r>
      <w:r>
        <w:rPr>
          <w:rFonts w:ascii="宋体" w:hAnsi="宋体" w:eastAsia="宋体" w:cs="宋体"/>
          <w:spacing w:val="-32"/>
          <w:sz w:val="20"/>
          <w:szCs w:val="20"/>
        </w:rPr>
        <w:t xml:space="preserve"> </w:t>
      </w:r>
      <w:r>
        <w:rPr>
          <w:rFonts w:ascii="Times New Roman" w:hAnsi="Times New Roman" w:eastAsia="Times New Roman" w:cs="Times New Roman"/>
          <w:spacing w:val="3"/>
          <w:sz w:val="20"/>
          <w:szCs w:val="20"/>
        </w:rPr>
        <w:t>56</w:t>
      </w:r>
      <w:r>
        <w:rPr>
          <w:rFonts w:ascii="Times New Roman" w:hAnsi="Times New Roman" w:eastAsia="Times New Roman" w:cs="Times New Roman"/>
          <w:spacing w:val="17"/>
          <w:sz w:val="20"/>
          <w:szCs w:val="20"/>
        </w:rPr>
        <w:t xml:space="preserve"> </w:t>
      </w:r>
      <w:r>
        <w:rPr>
          <w:rFonts w:ascii="宋体" w:hAnsi="宋体" w:eastAsia="宋体" w:cs="宋体"/>
          <w:spacing w:val="3"/>
          <w:sz w:val="20"/>
          <w:szCs w:val="20"/>
        </w:rPr>
        <w:t>天的，</w:t>
      </w:r>
      <w:r>
        <w:rPr>
          <w:rFonts w:ascii="宋体" w:hAnsi="宋体" w:eastAsia="宋体" w:cs="宋体"/>
          <w:spacing w:val="9"/>
          <w:sz w:val="20"/>
          <w:szCs w:val="20"/>
        </w:rPr>
        <w:t>按照中国人民银行发布的同期同类贷款基准利率的两倍支付违约金。</w:t>
      </w:r>
    </w:p>
    <w:p w14:paraId="24A06B7A">
      <w:pPr>
        <w:spacing w:before="1" w:line="226" w:lineRule="auto"/>
        <w:ind w:left="431"/>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）承包人对发包人颁发的最终结清证书有异议的，</w:t>
      </w:r>
      <w:r>
        <w:rPr>
          <w:rFonts w:ascii="宋体" w:hAnsi="宋体" w:eastAsia="宋体" w:cs="宋体"/>
          <w:spacing w:val="8"/>
          <w:sz w:val="20"/>
          <w:szCs w:val="20"/>
        </w:rPr>
        <w:t>按第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20 </w:t>
      </w:r>
      <w:r>
        <w:rPr>
          <w:rFonts w:ascii="宋体" w:hAnsi="宋体" w:eastAsia="宋体" w:cs="宋体"/>
          <w:spacing w:val="8"/>
          <w:sz w:val="20"/>
          <w:szCs w:val="20"/>
        </w:rPr>
        <w:t>条〔争议解决〕的约定办理。</w:t>
      </w:r>
    </w:p>
    <w:p w14:paraId="70F5A237">
      <w:pPr>
        <w:pStyle w:val="2"/>
        <w:spacing w:before="193" w:line="222" w:lineRule="auto"/>
        <w:ind w:left="12"/>
        <w:outlineLvl w:val="2"/>
        <w:rPr>
          <w:sz w:val="28"/>
          <w:szCs w:val="28"/>
        </w:rPr>
      </w:pPr>
      <w:bookmarkStart w:id="277" w:name="bookmark259"/>
      <w:bookmarkEnd w:id="277"/>
      <w:r>
        <w:rPr>
          <w:rFonts w:ascii="Times New Roman" w:hAnsi="Times New Roman" w:eastAsia="Times New Roman" w:cs="Times New Roman"/>
          <w:b/>
          <w:bCs/>
          <w:spacing w:val="-3"/>
          <w:sz w:val="28"/>
          <w:szCs w:val="28"/>
        </w:rPr>
        <w:t xml:space="preserve">15.  </w:t>
      </w:r>
      <w:r>
        <w:rPr>
          <w:b/>
          <w:bCs/>
          <w:spacing w:val="-3"/>
          <w:sz w:val="28"/>
          <w:szCs w:val="28"/>
        </w:rPr>
        <w:t>缺陷责任与保修</w:t>
      </w:r>
    </w:p>
    <w:p w14:paraId="5EAA6B6B">
      <w:pPr>
        <w:pStyle w:val="2"/>
        <w:spacing w:before="99" w:line="222" w:lineRule="auto"/>
        <w:ind w:left="9"/>
        <w:rPr>
          <w:sz w:val="24"/>
          <w:szCs w:val="24"/>
        </w:rPr>
      </w:pPr>
      <w:r>
        <w:rPr>
          <w:rFonts w:ascii="Times New Roman" w:hAnsi="Times New Roman" w:eastAsia="Times New Roman" w:cs="Times New Roman"/>
          <w:b/>
          <w:bCs/>
          <w:spacing w:val="-3"/>
          <w:sz w:val="24"/>
          <w:szCs w:val="24"/>
        </w:rPr>
        <w:t xml:space="preserve">15.1  </w:t>
      </w:r>
      <w:r>
        <w:rPr>
          <w:b/>
          <w:bCs/>
          <w:spacing w:val="-3"/>
          <w:sz w:val="24"/>
          <w:szCs w:val="24"/>
        </w:rPr>
        <w:t>工程保修的原则</w:t>
      </w:r>
    </w:p>
    <w:p w14:paraId="6EA5C745">
      <w:pPr>
        <w:spacing w:before="137" w:line="358" w:lineRule="auto"/>
        <w:ind w:left="3" w:right="54" w:firstLine="417"/>
        <w:rPr>
          <w:rFonts w:ascii="宋体" w:hAnsi="宋体" w:eastAsia="宋体" w:cs="宋体"/>
          <w:sz w:val="20"/>
          <w:szCs w:val="20"/>
        </w:rPr>
      </w:pPr>
      <w:r>
        <w:rPr>
          <w:rFonts w:ascii="宋体" w:hAnsi="宋体" w:eastAsia="宋体" w:cs="宋体"/>
          <w:spacing w:val="10"/>
          <w:sz w:val="20"/>
          <w:szCs w:val="20"/>
        </w:rPr>
        <w:t>在工程移交发包人后，因承包人原因产生的质量缺陷，承包人应承担质</w:t>
      </w:r>
      <w:r>
        <w:rPr>
          <w:rFonts w:ascii="宋体" w:hAnsi="宋体" w:eastAsia="宋体" w:cs="宋体"/>
          <w:spacing w:val="9"/>
          <w:sz w:val="20"/>
          <w:szCs w:val="20"/>
        </w:rPr>
        <w:t>量缺陷责任和保修义务。缺陷责任期届满，承包人仍应按合同约定的工程各部位保修年限承担保修义务。</w:t>
      </w:r>
    </w:p>
    <w:p w14:paraId="17FB8CC2">
      <w:pPr>
        <w:pStyle w:val="2"/>
        <w:spacing w:before="1" w:line="220" w:lineRule="auto"/>
        <w:ind w:left="9"/>
        <w:rPr>
          <w:sz w:val="24"/>
          <w:szCs w:val="24"/>
        </w:rPr>
      </w:pPr>
      <w:r>
        <w:rPr>
          <w:rFonts w:ascii="Times New Roman" w:hAnsi="Times New Roman" w:eastAsia="Times New Roman" w:cs="Times New Roman"/>
          <w:b/>
          <w:bCs/>
          <w:spacing w:val="-3"/>
          <w:sz w:val="24"/>
          <w:szCs w:val="24"/>
        </w:rPr>
        <w:t xml:space="preserve">15.2  </w:t>
      </w:r>
      <w:r>
        <w:rPr>
          <w:b/>
          <w:bCs/>
          <w:spacing w:val="-3"/>
          <w:sz w:val="24"/>
          <w:szCs w:val="24"/>
        </w:rPr>
        <w:t>缺陷责任期</w:t>
      </w:r>
    </w:p>
    <w:p w14:paraId="1ED613D5">
      <w:pPr>
        <w:spacing w:before="137" w:line="369" w:lineRule="auto"/>
        <w:ind w:left="8" w:right="57" w:firstLine="428"/>
        <w:rPr>
          <w:rFonts w:ascii="宋体" w:hAnsi="宋体" w:eastAsia="宋体" w:cs="宋体"/>
          <w:sz w:val="20"/>
          <w:szCs w:val="20"/>
        </w:rPr>
      </w:pPr>
      <w:r>
        <w:rPr>
          <w:rFonts w:ascii="Times New Roman" w:hAnsi="Times New Roman" w:eastAsia="Times New Roman" w:cs="Times New Roman"/>
          <w:spacing w:val="8"/>
          <w:sz w:val="20"/>
          <w:szCs w:val="20"/>
        </w:rPr>
        <w:t xml:space="preserve">15.2.1  </w:t>
      </w:r>
      <w:r>
        <w:rPr>
          <w:rFonts w:ascii="宋体" w:hAnsi="宋体" w:eastAsia="宋体" w:cs="宋体"/>
          <w:spacing w:val="8"/>
          <w:sz w:val="20"/>
          <w:szCs w:val="20"/>
        </w:rPr>
        <w:t>缺陷责任期从工程通过竣工验收之日起计算，合同当事人应在专用合同条款约定缺陷</w:t>
      </w:r>
      <w:r>
        <w:rPr>
          <w:rFonts w:ascii="宋体" w:hAnsi="宋体" w:eastAsia="宋体" w:cs="宋体"/>
          <w:spacing w:val="7"/>
          <w:sz w:val="20"/>
          <w:szCs w:val="20"/>
        </w:rPr>
        <w:t>责任期的具体期限，但该期限最长不超过</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 xml:space="preserve">24 </w:t>
      </w:r>
      <w:r>
        <w:rPr>
          <w:rFonts w:ascii="宋体" w:hAnsi="宋体" w:eastAsia="宋体" w:cs="宋体"/>
          <w:spacing w:val="7"/>
          <w:sz w:val="20"/>
          <w:szCs w:val="20"/>
        </w:rPr>
        <w:t>个月。</w:t>
      </w:r>
    </w:p>
    <w:p w14:paraId="11B84AB6">
      <w:pPr>
        <w:spacing w:before="3" w:line="369" w:lineRule="auto"/>
        <w:ind w:firstLine="422"/>
        <w:jc w:val="both"/>
        <w:rPr>
          <w:rFonts w:ascii="宋体" w:hAnsi="宋体" w:eastAsia="宋体" w:cs="宋体"/>
          <w:sz w:val="20"/>
          <w:szCs w:val="20"/>
        </w:rPr>
      </w:pPr>
      <w:r>
        <w:rPr>
          <w:rFonts w:ascii="宋体" w:hAnsi="宋体" w:eastAsia="宋体" w:cs="宋体"/>
          <w:spacing w:val="10"/>
          <w:sz w:val="20"/>
          <w:szCs w:val="20"/>
        </w:rPr>
        <w:t>单位工程先于全部工程进行验收，经验收合格并交付使用的，该单</w:t>
      </w:r>
      <w:r>
        <w:rPr>
          <w:rFonts w:ascii="宋体" w:hAnsi="宋体" w:eastAsia="宋体" w:cs="宋体"/>
          <w:spacing w:val="9"/>
          <w:sz w:val="20"/>
          <w:szCs w:val="20"/>
        </w:rPr>
        <w:t>位工程缺陷责任期自单位</w:t>
      </w:r>
      <w:r>
        <w:rPr>
          <w:rFonts w:ascii="宋体" w:hAnsi="宋体" w:eastAsia="宋体" w:cs="宋体"/>
          <w:spacing w:val="10"/>
          <w:sz w:val="20"/>
          <w:szCs w:val="20"/>
        </w:rPr>
        <w:t>工程验收合格之日起算。因承包人原因导致工程无法按合同约定期限进</w:t>
      </w:r>
      <w:r>
        <w:rPr>
          <w:rFonts w:ascii="宋体" w:hAnsi="宋体" w:eastAsia="宋体" w:cs="宋体"/>
          <w:spacing w:val="9"/>
          <w:sz w:val="20"/>
          <w:szCs w:val="20"/>
        </w:rPr>
        <w:t>行竣工验收的，缺陷责任</w:t>
      </w:r>
      <w:r>
        <w:rPr>
          <w:rFonts w:ascii="宋体" w:hAnsi="宋体" w:eastAsia="宋体" w:cs="宋体"/>
          <w:spacing w:val="6"/>
          <w:sz w:val="20"/>
          <w:szCs w:val="20"/>
        </w:rPr>
        <w:t>期从实际通过竣工验收之日起计算。因发包人原因导致工程无法按合同约定期限进行竣工验收的，</w:t>
      </w:r>
      <w:r>
        <w:rPr>
          <w:rFonts w:ascii="宋体" w:hAnsi="宋体" w:eastAsia="宋体" w:cs="宋体"/>
          <w:spacing w:val="7"/>
          <w:sz w:val="20"/>
          <w:szCs w:val="20"/>
        </w:rPr>
        <w:t>在承包人提交竣工验收报告</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 xml:space="preserve">90 </w:t>
      </w:r>
      <w:r>
        <w:rPr>
          <w:rFonts w:ascii="宋体" w:hAnsi="宋体" w:eastAsia="宋体" w:cs="宋体"/>
          <w:spacing w:val="7"/>
          <w:sz w:val="20"/>
          <w:szCs w:val="20"/>
        </w:rPr>
        <w:t>天后，工程自动进入缺陷责任期；发</w:t>
      </w:r>
      <w:r>
        <w:rPr>
          <w:rFonts w:ascii="宋体" w:hAnsi="宋体" w:eastAsia="宋体" w:cs="宋体"/>
          <w:spacing w:val="6"/>
          <w:sz w:val="20"/>
          <w:szCs w:val="20"/>
        </w:rPr>
        <w:t>包人未经竣工验收擅自使用工</w:t>
      </w:r>
      <w:r>
        <w:rPr>
          <w:rFonts w:ascii="宋体" w:hAnsi="宋体" w:eastAsia="宋体" w:cs="宋体"/>
          <w:spacing w:val="9"/>
          <w:sz w:val="20"/>
          <w:szCs w:val="20"/>
        </w:rPr>
        <w:t>程的，缺陷责任期自工程转移占有之日起开始计算。</w:t>
      </w:r>
    </w:p>
    <w:p w14:paraId="4B13F43A">
      <w:pPr>
        <w:spacing w:before="1" w:line="369" w:lineRule="auto"/>
        <w:ind w:left="2" w:right="54" w:firstLine="435"/>
        <w:jc w:val="both"/>
        <w:rPr>
          <w:rFonts w:ascii="宋体" w:hAnsi="宋体" w:eastAsia="宋体" w:cs="宋体"/>
          <w:sz w:val="20"/>
          <w:szCs w:val="20"/>
        </w:rPr>
      </w:pPr>
      <w:r>
        <w:rPr>
          <w:rFonts w:ascii="Times New Roman" w:hAnsi="Times New Roman" w:eastAsia="Times New Roman" w:cs="Times New Roman"/>
          <w:spacing w:val="9"/>
          <w:sz w:val="20"/>
          <w:szCs w:val="20"/>
        </w:rPr>
        <w:t xml:space="preserve">15.2.2 </w:t>
      </w:r>
      <w:r>
        <w:rPr>
          <w:rFonts w:ascii="宋体" w:hAnsi="宋体" w:eastAsia="宋体" w:cs="宋体"/>
          <w:spacing w:val="9"/>
          <w:sz w:val="20"/>
          <w:szCs w:val="20"/>
        </w:rPr>
        <w:t>缺陷责任期内，</w:t>
      </w:r>
      <w:r>
        <w:rPr>
          <w:rFonts w:ascii="宋体" w:hAnsi="宋体" w:eastAsia="宋体" w:cs="宋体"/>
          <w:spacing w:val="-58"/>
          <w:sz w:val="20"/>
          <w:szCs w:val="20"/>
        </w:rPr>
        <w:t xml:space="preserve"> </w:t>
      </w:r>
      <w:r>
        <w:rPr>
          <w:rFonts w:ascii="宋体" w:hAnsi="宋体" w:eastAsia="宋体" w:cs="宋体"/>
          <w:spacing w:val="9"/>
          <w:sz w:val="20"/>
          <w:szCs w:val="20"/>
        </w:rPr>
        <w:t>由承包人原因造成的缺陷，承</w:t>
      </w:r>
      <w:r>
        <w:rPr>
          <w:rFonts w:ascii="宋体" w:hAnsi="宋体" w:eastAsia="宋体" w:cs="宋体"/>
          <w:spacing w:val="8"/>
          <w:sz w:val="20"/>
          <w:szCs w:val="20"/>
        </w:rPr>
        <w:t>包人应负责维修，并承担鉴定及维修费</w:t>
      </w:r>
      <w:r>
        <w:rPr>
          <w:rFonts w:ascii="宋体" w:hAnsi="宋体" w:eastAsia="宋体" w:cs="宋体"/>
          <w:spacing w:val="10"/>
          <w:sz w:val="20"/>
          <w:szCs w:val="20"/>
        </w:rPr>
        <w:t>用。如承包人不维修也不承担费用，发包人可按合同约定从保证金或银</w:t>
      </w:r>
      <w:r>
        <w:rPr>
          <w:rFonts w:ascii="宋体" w:hAnsi="宋体" w:eastAsia="宋体" w:cs="宋体"/>
          <w:spacing w:val="9"/>
          <w:sz w:val="20"/>
          <w:szCs w:val="20"/>
        </w:rPr>
        <w:t>行保函中扣除，费用超出</w:t>
      </w:r>
      <w:r>
        <w:rPr>
          <w:rFonts w:ascii="宋体" w:hAnsi="宋体" w:eastAsia="宋体" w:cs="宋体"/>
          <w:spacing w:val="10"/>
          <w:sz w:val="20"/>
          <w:szCs w:val="20"/>
        </w:rPr>
        <w:t>保证金额的，发包人可按合同约定向承包人进行索赔。承包人维修并承</w:t>
      </w:r>
      <w:r>
        <w:rPr>
          <w:rFonts w:ascii="宋体" w:hAnsi="宋体" w:eastAsia="宋体" w:cs="宋体"/>
          <w:spacing w:val="9"/>
          <w:sz w:val="20"/>
          <w:szCs w:val="20"/>
        </w:rPr>
        <w:t>担相应费用后，不免除对</w:t>
      </w:r>
      <w:r>
        <w:rPr>
          <w:rFonts w:ascii="宋体" w:hAnsi="宋体" w:eastAsia="宋体" w:cs="宋体"/>
          <w:spacing w:val="10"/>
          <w:sz w:val="20"/>
          <w:szCs w:val="20"/>
        </w:rPr>
        <w:t>工程的损失赔偿责任。发包人有权要求承包人延长缺陷责任期，并应在</w:t>
      </w:r>
      <w:r>
        <w:rPr>
          <w:rFonts w:ascii="宋体" w:hAnsi="宋体" w:eastAsia="宋体" w:cs="宋体"/>
          <w:spacing w:val="9"/>
          <w:sz w:val="20"/>
          <w:szCs w:val="20"/>
        </w:rPr>
        <w:t>原缺陷责任期届满前发出</w:t>
      </w:r>
      <w:r>
        <w:rPr>
          <w:rFonts w:ascii="宋体" w:hAnsi="宋体" w:eastAsia="宋体" w:cs="宋体"/>
          <w:spacing w:val="8"/>
          <w:sz w:val="20"/>
          <w:szCs w:val="20"/>
        </w:rPr>
        <w:t>延长通知。但缺陷责任期（含延长部分）最长不能超过</w:t>
      </w:r>
      <w:r>
        <w:rPr>
          <w:rFonts w:ascii="宋体" w:hAnsi="宋体" w:eastAsia="宋体" w:cs="宋体"/>
          <w:spacing w:val="-28"/>
          <w:sz w:val="20"/>
          <w:szCs w:val="20"/>
        </w:rPr>
        <w:t xml:space="preserve"> </w:t>
      </w: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个月。</w:t>
      </w:r>
    </w:p>
    <w:p w14:paraId="7D0A1182">
      <w:pPr>
        <w:spacing w:before="2" w:line="368" w:lineRule="auto"/>
        <w:ind w:left="21" w:right="54" w:firstLine="425"/>
        <w:rPr>
          <w:rFonts w:ascii="宋体" w:hAnsi="宋体" w:eastAsia="宋体" w:cs="宋体"/>
          <w:sz w:val="20"/>
          <w:szCs w:val="20"/>
        </w:rPr>
      </w:pPr>
      <w:r>
        <w:rPr>
          <w:rFonts w:ascii="宋体" w:hAnsi="宋体" w:eastAsia="宋体" w:cs="宋体"/>
          <w:spacing w:val="9"/>
          <w:sz w:val="20"/>
          <w:szCs w:val="20"/>
        </w:rPr>
        <w:t>由他人原因造成的缺陷，发包人负责组织维修，承包人不承担费用，且发包人不得从保证金</w:t>
      </w:r>
      <w:r>
        <w:rPr>
          <w:rFonts w:ascii="宋体" w:hAnsi="宋体" w:eastAsia="宋体" w:cs="宋体"/>
          <w:spacing w:val="3"/>
          <w:sz w:val="20"/>
          <w:szCs w:val="20"/>
        </w:rPr>
        <w:t>中扣除费用。</w:t>
      </w:r>
    </w:p>
    <w:p w14:paraId="41917936">
      <w:pPr>
        <w:spacing w:before="2" w:line="369" w:lineRule="auto"/>
        <w:ind w:left="3" w:right="57" w:firstLine="434"/>
        <w:rPr>
          <w:rFonts w:ascii="宋体" w:hAnsi="宋体" w:eastAsia="宋体" w:cs="宋体"/>
          <w:sz w:val="20"/>
          <w:szCs w:val="20"/>
        </w:rPr>
      </w:pPr>
      <w:r>
        <w:rPr>
          <w:rFonts w:ascii="Times New Roman" w:hAnsi="Times New Roman" w:eastAsia="Times New Roman" w:cs="Times New Roman"/>
          <w:spacing w:val="8"/>
          <w:sz w:val="20"/>
          <w:szCs w:val="20"/>
        </w:rPr>
        <w:t xml:space="preserve">15.2.3  </w:t>
      </w:r>
      <w:r>
        <w:rPr>
          <w:rFonts w:ascii="宋体" w:hAnsi="宋体" w:eastAsia="宋体" w:cs="宋体"/>
          <w:spacing w:val="8"/>
          <w:sz w:val="20"/>
          <w:szCs w:val="20"/>
        </w:rPr>
        <w:t>任何一项缺陷或损坏修复后，经检查证明其影响了工程或工程设备的使用性能，承包</w:t>
      </w:r>
      <w:r>
        <w:rPr>
          <w:rFonts w:ascii="宋体" w:hAnsi="宋体" w:eastAsia="宋体" w:cs="宋体"/>
          <w:spacing w:val="9"/>
          <w:sz w:val="20"/>
          <w:szCs w:val="20"/>
        </w:rPr>
        <w:t>人应重新进行合同约定的试验和试运行，试验和试运行的全部费用应由责任方承担。</w:t>
      </w:r>
    </w:p>
    <w:p w14:paraId="4B6C936D">
      <w:pPr>
        <w:spacing w:line="369" w:lineRule="auto"/>
        <w:ind w:left="8" w:right="54" w:firstLine="428"/>
        <w:rPr>
          <w:rFonts w:ascii="宋体" w:hAnsi="宋体" w:eastAsia="宋体" w:cs="宋体"/>
          <w:sz w:val="20"/>
          <w:szCs w:val="20"/>
        </w:rPr>
      </w:pPr>
      <w:r>
        <w:rPr>
          <w:rFonts w:ascii="Times New Roman" w:hAnsi="Times New Roman" w:eastAsia="Times New Roman" w:cs="Times New Roman"/>
          <w:spacing w:val="8"/>
          <w:sz w:val="20"/>
          <w:szCs w:val="20"/>
        </w:rPr>
        <w:t xml:space="preserve">15.2.4  </w:t>
      </w:r>
      <w:r>
        <w:rPr>
          <w:rFonts w:ascii="宋体" w:hAnsi="宋体" w:eastAsia="宋体" w:cs="宋体"/>
          <w:spacing w:val="8"/>
          <w:sz w:val="20"/>
          <w:szCs w:val="20"/>
        </w:rPr>
        <w:t>除专用合同条款另有约定外，承包人应于缺陷责任期届</w:t>
      </w:r>
      <w:r>
        <w:rPr>
          <w:rFonts w:ascii="宋体" w:hAnsi="宋体" w:eastAsia="宋体" w:cs="宋体"/>
          <w:spacing w:val="7"/>
          <w:sz w:val="20"/>
          <w:szCs w:val="20"/>
        </w:rPr>
        <w:t>满后</w:t>
      </w:r>
      <w:r>
        <w:rPr>
          <w:rFonts w:ascii="宋体" w:hAnsi="宋体" w:eastAsia="宋体" w:cs="宋体"/>
          <w:spacing w:val="-39"/>
          <w:sz w:val="20"/>
          <w:szCs w:val="20"/>
        </w:rPr>
        <w:t xml:space="preserve"> </w:t>
      </w:r>
      <w:r>
        <w:rPr>
          <w:rFonts w:ascii="Times New Roman" w:hAnsi="Times New Roman" w:eastAsia="Times New Roman" w:cs="Times New Roman"/>
          <w:spacing w:val="7"/>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天内向发包人发出缺陷</w:t>
      </w:r>
      <w:r>
        <w:rPr>
          <w:rFonts w:ascii="宋体" w:hAnsi="宋体" w:eastAsia="宋体" w:cs="宋体"/>
          <w:spacing w:val="11"/>
          <w:sz w:val="20"/>
          <w:szCs w:val="20"/>
        </w:rPr>
        <w:t>责任期届满通知，发包人应在收到缺陷责任期满通知后</w:t>
      </w:r>
      <w:r>
        <w:rPr>
          <w:rFonts w:ascii="宋体" w:hAnsi="宋体" w:eastAsia="宋体" w:cs="宋体"/>
          <w:spacing w:val="-18"/>
          <w:sz w:val="20"/>
          <w:szCs w:val="20"/>
        </w:rPr>
        <w:t xml:space="preserve"> </w:t>
      </w:r>
      <w:r>
        <w:rPr>
          <w:rFonts w:ascii="Times New Roman" w:hAnsi="Times New Roman" w:eastAsia="Times New Roman" w:cs="Times New Roman"/>
          <w:spacing w:val="11"/>
          <w:sz w:val="20"/>
          <w:szCs w:val="20"/>
        </w:rPr>
        <w:t>14</w:t>
      </w:r>
      <w:r>
        <w:rPr>
          <w:rFonts w:ascii="Times New Roman" w:hAnsi="Times New Roman" w:eastAsia="Times New Roman" w:cs="Times New Roman"/>
          <w:spacing w:val="18"/>
          <w:w w:val="101"/>
          <w:sz w:val="20"/>
          <w:szCs w:val="20"/>
        </w:rPr>
        <w:t xml:space="preserve"> </w:t>
      </w:r>
      <w:r>
        <w:rPr>
          <w:rFonts w:ascii="宋体" w:hAnsi="宋体" w:eastAsia="宋体" w:cs="宋体"/>
          <w:spacing w:val="11"/>
          <w:sz w:val="20"/>
          <w:szCs w:val="20"/>
        </w:rPr>
        <w:t>天内核实承包人</w:t>
      </w:r>
      <w:r>
        <w:rPr>
          <w:rFonts w:ascii="宋体" w:hAnsi="宋体" w:eastAsia="宋体" w:cs="宋体"/>
          <w:spacing w:val="10"/>
          <w:sz w:val="20"/>
          <w:szCs w:val="20"/>
        </w:rPr>
        <w:t>是否履行缺陷修复义</w:t>
      </w:r>
    </w:p>
    <w:p w14:paraId="5B7126BE">
      <w:pPr>
        <w:spacing w:line="369" w:lineRule="auto"/>
        <w:rPr>
          <w:rFonts w:ascii="宋体" w:hAnsi="宋体" w:eastAsia="宋体" w:cs="宋体"/>
          <w:sz w:val="20"/>
          <w:szCs w:val="20"/>
        </w:rPr>
        <w:sectPr>
          <w:footerReference r:id="rId274" w:type="default"/>
          <w:pgSz w:w="11906" w:h="16839"/>
          <w:pgMar w:top="400" w:right="1500" w:bottom="1038" w:left="1537" w:header="0" w:footer="787" w:gutter="0"/>
          <w:cols w:space="720" w:num="1"/>
        </w:sectPr>
      </w:pPr>
    </w:p>
    <w:p w14:paraId="3E72A9C3">
      <w:pPr>
        <w:spacing w:line="271" w:lineRule="auto"/>
        <w:rPr>
          <w:rFonts w:ascii="Arial"/>
          <w:sz w:val="21"/>
        </w:rPr>
      </w:pPr>
    </w:p>
    <w:p w14:paraId="2B62215B">
      <w:pPr>
        <w:spacing w:line="271" w:lineRule="auto"/>
        <w:rPr>
          <w:rFonts w:ascii="Arial"/>
          <w:sz w:val="21"/>
        </w:rPr>
      </w:pPr>
    </w:p>
    <w:p w14:paraId="2530D3B6">
      <w:pPr>
        <w:spacing w:line="272" w:lineRule="auto"/>
        <w:rPr>
          <w:rFonts w:ascii="Arial"/>
          <w:sz w:val="21"/>
        </w:rPr>
      </w:pPr>
    </w:p>
    <w:p w14:paraId="73D128C7">
      <w:pPr>
        <w:spacing w:line="272" w:lineRule="auto"/>
        <w:rPr>
          <w:rFonts w:ascii="Arial"/>
          <w:sz w:val="21"/>
        </w:rPr>
      </w:pPr>
    </w:p>
    <w:p w14:paraId="6AEFE594">
      <w:pPr>
        <w:spacing w:before="65" w:line="357" w:lineRule="auto"/>
        <w:ind w:left="12" w:hanging="11"/>
        <w:rPr>
          <w:rFonts w:ascii="宋体" w:hAnsi="宋体" w:eastAsia="宋体" w:cs="宋体"/>
          <w:sz w:val="20"/>
          <w:szCs w:val="20"/>
        </w:rPr>
      </w:pPr>
      <w:r>
        <w:rPr>
          <w:rFonts w:ascii="宋体" w:hAnsi="宋体" w:eastAsia="宋体" w:cs="宋体"/>
          <w:spacing w:val="10"/>
          <w:sz w:val="20"/>
          <w:szCs w:val="20"/>
        </w:rPr>
        <w:t>务，承包人未能履行缺陷修复义务的，发包人有权扣除相应金额的维修</w:t>
      </w:r>
      <w:r>
        <w:rPr>
          <w:rFonts w:ascii="宋体" w:hAnsi="宋体" w:eastAsia="宋体" w:cs="宋体"/>
          <w:spacing w:val="9"/>
          <w:sz w:val="20"/>
          <w:szCs w:val="20"/>
        </w:rPr>
        <w:t>费用。发包人应在收到缺</w:t>
      </w:r>
      <w:r>
        <w:rPr>
          <w:rFonts w:ascii="宋体" w:hAnsi="宋体" w:eastAsia="宋体" w:cs="宋体"/>
          <w:spacing w:val="7"/>
          <w:sz w:val="20"/>
          <w:szCs w:val="20"/>
        </w:rPr>
        <w:t>陷责任期届满通知后</w:t>
      </w:r>
      <w:r>
        <w:rPr>
          <w:rFonts w:ascii="宋体" w:hAnsi="宋体" w:eastAsia="宋体" w:cs="宋体"/>
          <w:spacing w:val="-16"/>
          <w:sz w:val="20"/>
          <w:szCs w:val="20"/>
        </w:rPr>
        <w:t xml:space="preserve"> </w:t>
      </w:r>
      <w:r>
        <w:rPr>
          <w:rFonts w:ascii="Times New Roman" w:hAnsi="Times New Roman" w:eastAsia="Times New Roman" w:cs="Times New Roman"/>
          <w:spacing w:val="7"/>
          <w:sz w:val="20"/>
          <w:szCs w:val="20"/>
        </w:rPr>
        <w:t>14</w:t>
      </w:r>
      <w:r>
        <w:rPr>
          <w:rFonts w:ascii="Times New Roman" w:hAnsi="Times New Roman" w:eastAsia="Times New Roman" w:cs="Times New Roman"/>
          <w:spacing w:val="17"/>
          <w:sz w:val="20"/>
          <w:szCs w:val="20"/>
        </w:rPr>
        <w:t xml:space="preserve"> </w:t>
      </w:r>
      <w:r>
        <w:rPr>
          <w:rFonts w:ascii="宋体" w:hAnsi="宋体" w:eastAsia="宋体" w:cs="宋体"/>
          <w:spacing w:val="7"/>
          <w:sz w:val="20"/>
          <w:szCs w:val="20"/>
        </w:rPr>
        <w:t>天内，向承包人颁发缺陷责任期终止证书。</w:t>
      </w:r>
    </w:p>
    <w:p w14:paraId="242F0128">
      <w:pPr>
        <w:pStyle w:val="2"/>
        <w:spacing w:line="222" w:lineRule="auto"/>
        <w:ind w:left="7"/>
        <w:rPr>
          <w:sz w:val="24"/>
          <w:szCs w:val="24"/>
        </w:rPr>
      </w:pPr>
      <w:r>
        <w:rPr>
          <w:rFonts w:ascii="Times New Roman" w:hAnsi="Times New Roman" w:eastAsia="Times New Roman" w:cs="Times New Roman"/>
          <w:b/>
          <w:bCs/>
          <w:spacing w:val="-3"/>
          <w:sz w:val="24"/>
          <w:szCs w:val="24"/>
        </w:rPr>
        <w:t xml:space="preserve">15.3  </w:t>
      </w:r>
      <w:r>
        <w:rPr>
          <w:b/>
          <w:bCs/>
          <w:spacing w:val="-3"/>
          <w:sz w:val="24"/>
          <w:szCs w:val="24"/>
        </w:rPr>
        <w:t>质量保证金</w:t>
      </w:r>
    </w:p>
    <w:p w14:paraId="60FDEC86">
      <w:pPr>
        <w:spacing w:before="138" w:line="228" w:lineRule="auto"/>
        <w:ind w:left="421"/>
        <w:rPr>
          <w:rFonts w:ascii="宋体" w:hAnsi="宋体" w:eastAsia="宋体" w:cs="宋体"/>
          <w:sz w:val="20"/>
          <w:szCs w:val="20"/>
        </w:rPr>
      </w:pPr>
      <w:r>
        <w:rPr>
          <w:rFonts w:ascii="宋体" w:hAnsi="宋体" w:eastAsia="宋体" w:cs="宋体"/>
          <w:spacing w:val="9"/>
          <w:sz w:val="20"/>
          <w:szCs w:val="20"/>
        </w:rPr>
        <w:t>经合同当事人协商一致扣留质量保证金的，应在专用合同条款中予以明确。</w:t>
      </w:r>
    </w:p>
    <w:p w14:paraId="77AAA4BD">
      <w:pPr>
        <w:spacing w:before="151" w:line="227" w:lineRule="auto"/>
        <w:ind w:left="419"/>
        <w:rPr>
          <w:rFonts w:ascii="宋体" w:hAnsi="宋体" w:eastAsia="宋体" w:cs="宋体"/>
          <w:sz w:val="20"/>
          <w:szCs w:val="20"/>
        </w:rPr>
      </w:pPr>
      <w:r>
        <w:rPr>
          <w:rFonts w:ascii="宋体" w:hAnsi="宋体" w:eastAsia="宋体" w:cs="宋体"/>
          <w:spacing w:val="9"/>
          <w:sz w:val="20"/>
          <w:szCs w:val="20"/>
        </w:rPr>
        <w:t>在工程项目竣工前，承包人已经提供履约担保的，发包人不得同时预留工程质量保证金。</w:t>
      </w:r>
    </w:p>
    <w:p w14:paraId="1D39753E">
      <w:pPr>
        <w:spacing w:before="154" w:line="227" w:lineRule="auto"/>
        <w:ind w:left="436"/>
        <w:rPr>
          <w:rFonts w:ascii="宋体" w:hAnsi="宋体" w:eastAsia="宋体" w:cs="宋体"/>
          <w:sz w:val="20"/>
          <w:szCs w:val="20"/>
        </w:rPr>
      </w:pPr>
      <w:r>
        <w:rPr>
          <w:rFonts w:ascii="Times New Roman" w:hAnsi="Times New Roman" w:eastAsia="Times New Roman" w:cs="Times New Roman"/>
          <w:spacing w:val="6"/>
          <w:sz w:val="20"/>
          <w:szCs w:val="20"/>
        </w:rPr>
        <w:t xml:space="preserve">15.3.1  </w:t>
      </w:r>
      <w:r>
        <w:rPr>
          <w:rFonts w:ascii="宋体" w:hAnsi="宋体" w:eastAsia="宋体" w:cs="宋体"/>
          <w:spacing w:val="6"/>
          <w:sz w:val="20"/>
          <w:szCs w:val="20"/>
        </w:rPr>
        <w:t>承包人提供质量保证金的方式</w:t>
      </w:r>
    </w:p>
    <w:p w14:paraId="51B42C4B">
      <w:pPr>
        <w:spacing w:before="155" w:line="227" w:lineRule="auto"/>
        <w:ind w:left="420"/>
        <w:rPr>
          <w:rFonts w:ascii="宋体" w:hAnsi="宋体" w:eastAsia="宋体" w:cs="宋体"/>
          <w:sz w:val="20"/>
          <w:szCs w:val="20"/>
        </w:rPr>
      </w:pPr>
      <w:r>
        <w:rPr>
          <w:rFonts w:ascii="宋体" w:hAnsi="宋体" w:eastAsia="宋体" w:cs="宋体"/>
          <w:spacing w:val="8"/>
          <w:sz w:val="20"/>
          <w:szCs w:val="20"/>
        </w:rPr>
        <w:t>承包人提供质量保证金有以下三种方式：</w:t>
      </w:r>
    </w:p>
    <w:p w14:paraId="7DDE9D81">
      <w:pPr>
        <w:spacing w:before="153"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）质量保证金保函；</w:t>
      </w:r>
    </w:p>
    <w:p w14:paraId="06895973">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）相应比例的工程款；</w:t>
      </w:r>
    </w:p>
    <w:p w14:paraId="012757A8">
      <w:pPr>
        <w:spacing w:before="153"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）双方约定的其他方式。</w:t>
      </w:r>
    </w:p>
    <w:p w14:paraId="1E7885E3">
      <w:pPr>
        <w:spacing w:before="151" w:line="227" w:lineRule="auto"/>
        <w:ind w:left="432"/>
        <w:rPr>
          <w:rFonts w:ascii="宋体" w:hAnsi="宋体" w:eastAsia="宋体" w:cs="宋体"/>
          <w:sz w:val="20"/>
          <w:szCs w:val="20"/>
        </w:rPr>
      </w:pPr>
      <w:r>
        <w:rPr>
          <w:rFonts w:ascii="宋体" w:hAnsi="宋体" w:eastAsia="宋体" w:cs="宋体"/>
          <w:spacing w:val="9"/>
          <w:sz w:val="20"/>
          <w:szCs w:val="20"/>
        </w:rPr>
        <w:t>除专用合同条款另有约定外，质量保证金原则上采用上述第</w:t>
      </w: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）种方式。</w:t>
      </w:r>
    </w:p>
    <w:p w14:paraId="0B588225">
      <w:pPr>
        <w:spacing w:before="156" w:line="228" w:lineRule="auto"/>
        <w:ind w:left="436"/>
        <w:rPr>
          <w:rFonts w:ascii="宋体" w:hAnsi="宋体" w:eastAsia="宋体" w:cs="宋体"/>
          <w:sz w:val="20"/>
          <w:szCs w:val="20"/>
        </w:rPr>
      </w:pPr>
      <w:r>
        <w:rPr>
          <w:rFonts w:ascii="Times New Roman" w:hAnsi="Times New Roman" w:eastAsia="Times New Roman" w:cs="Times New Roman"/>
          <w:spacing w:val="5"/>
          <w:sz w:val="20"/>
          <w:szCs w:val="20"/>
        </w:rPr>
        <w:t xml:space="preserve">15.3.2  </w:t>
      </w:r>
      <w:r>
        <w:rPr>
          <w:rFonts w:ascii="宋体" w:hAnsi="宋体" w:eastAsia="宋体" w:cs="宋体"/>
          <w:spacing w:val="5"/>
          <w:sz w:val="20"/>
          <w:szCs w:val="20"/>
        </w:rPr>
        <w:t>质量保证金的扣留</w:t>
      </w:r>
    </w:p>
    <w:p w14:paraId="474701A0">
      <w:pPr>
        <w:spacing w:before="153" w:line="228" w:lineRule="auto"/>
        <w:ind w:left="420"/>
        <w:rPr>
          <w:rFonts w:ascii="宋体" w:hAnsi="宋体" w:eastAsia="宋体" w:cs="宋体"/>
          <w:sz w:val="20"/>
          <w:szCs w:val="20"/>
        </w:rPr>
      </w:pPr>
      <w:r>
        <w:rPr>
          <w:rFonts w:ascii="宋体" w:hAnsi="宋体" w:eastAsia="宋体" w:cs="宋体"/>
          <w:spacing w:val="8"/>
          <w:sz w:val="20"/>
          <w:szCs w:val="20"/>
        </w:rPr>
        <w:t>质量保证金的扣留有以下三种方式：</w:t>
      </w:r>
    </w:p>
    <w:p w14:paraId="02B0DD6F">
      <w:pPr>
        <w:spacing w:before="151" w:line="370" w:lineRule="auto"/>
        <w:ind w:right="2"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）在支付工程进度款时逐次扣留，在此情形下，质量保证金的计算基</w:t>
      </w:r>
      <w:r>
        <w:rPr>
          <w:rFonts w:ascii="宋体" w:hAnsi="宋体" w:eastAsia="宋体" w:cs="宋体"/>
          <w:spacing w:val="6"/>
          <w:sz w:val="20"/>
          <w:szCs w:val="20"/>
        </w:rPr>
        <w:t>数不包括预付款的支</w:t>
      </w:r>
      <w:r>
        <w:rPr>
          <w:rFonts w:ascii="宋体" w:hAnsi="宋体" w:eastAsia="宋体" w:cs="宋体"/>
          <w:spacing w:val="8"/>
          <w:sz w:val="20"/>
          <w:szCs w:val="20"/>
        </w:rPr>
        <w:t>付、扣回以及价格调整的金额；</w:t>
      </w:r>
    </w:p>
    <w:p w14:paraId="196D7625">
      <w:pPr>
        <w:spacing w:before="1"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）工程竣工结算时一次性扣留质量保证金；</w:t>
      </w:r>
    </w:p>
    <w:p w14:paraId="7FD2A482">
      <w:pPr>
        <w:spacing w:before="152"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）双方约定的其他扣留方式。</w:t>
      </w:r>
    </w:p>
    <w:p w14:paraId="51BC01F5">
      <w:pPr>
        <w:spacing w:before="154" w:line="227" w:lineRule="auto"/>
        <w:ind w:left="432"/>
        <w:rPr>
          <w:rFonts w:ascii="宋体" w:hAnsi="宋体" w:eastAsia="宋体" w:cs="宋体"/>
          <w:sz w:val="20"/>
          <w:szCs w:val="20"/>
        </w:rPr>
      </w:pPr>
      <w:r>
        <w:rPr>
          <w:rFonts w:ascii="宋体" w:hAnsi="宋体" w:eastAsia="宋体" w:cs="宋体"/>
          <w:spacing w:val="9"/>
          <w:sz w:val="20"/>
          <w:szCs w:val="20"/>
        </w:rPr>
        <w:t>除专用合同条款另有约定外，质量保证金的扣留原则上采用上述第（</w:t>
      </w:r>
      <w:r>
        <w:rPr>
          <w:rFonts w:ascii="Times New Roman" w:hAnsi="Times New Roman" w:eastAsia="Times New Roman" w:cs="Times New Roman"/>
          <w:spacing w:val="9"/>
          <w:sz w:val="20"/>
          <w:szCs w:val="20"/>
        </w:rPr>
        <w:t>1</w:t>
      </w:r>
      <w:r>
        <w:rPr>
          <w:rFonts w:ascii="宋体" w:hAnsi="宋体" w:eastAsia="宋体" w:cs="宋体"/>
          <w:spacing w:val="9"/>
          <w:sz w:val="20"/>
          <w:szCs w:val="20"/>
        </w:rPr>
        <w:t>）种</w:t>
      </w:r>
      <w:r>
        <w:rPr>
          <w:rFonts w:ascii="宋体" w:hAnsi="宋体" w:eastAsia="宋体" w:cs="宋体"/>
          <w:spacing w:val="8"/>
          <w:sz w:val="20"/>
          <w:szCs w:val="20"/>
        </w:rPr>
        <w:t>方式。</w:t>
      </w:r>
    </w:p>
    <w:p w14:paraId="123F8D6A">
      <w:pPr>
        <w:spacing w:before="155" w:line="369" w:lineRule="auto"/>
        <w:ind w:firstLine="422"/>
        <w:rPr>
          <w:rFonts w:ascii="宋体" w:hAnsi="宋体" w:eastAsia="宋体" w:cs="宋体"/>
          <w:sz w:val="20"/>
          <w:szCs w:val="20"/>
        </w:rPr>
      </w:pPr>
      <w:r>
        <w:rPr>
          <w:rFonts w:ascii="宋体" w:hAnsi="宋体" w:eastAsia="宋体" w:cs="宋体"/>
          <w:spacing w:val="10"/>
          <w:sz w:val="20"/>
          <w:szCs w:val="20"/>
        </w:rPr>
        <w:t>发包人累计扣留的质量保证金不得超过工程价款结算总额的</w:t>
      </w:r>
      <w:r>
        <w:rPr>
          <w:rFonts w:ascii="宋体" w:hAnsi="宋体" w:eastAsia="宋体" w:cs="宋体"/>
          <w:spacing w:val="-21"/>
          <w:sz w:val="20"/>
          <w:szCs w:val="20"/>
        </w:rPr>
        <w:t xml:space="preserve"> </w:t>
      </w:r>
      <w:r>
        <w:rPr>
          <w:rFonts w:ascii="Times New Roman" w:hAnsi="Times New Roman" w:eastAsia="Times New Roman" w:cs="Times New Roman"/>
          <w:spacing w:val="10"/>
          <w:sz w:val="20"/>
          <w:szCs w:val="20"/>
        </w:rPr>
        <w:t>1.5 %</w:t>
      </w:r>
      <w:r>
        <w:rPr>
          <w:rFonts w:ascii="Times New Roman" w:hAnsi="Times New Roman" w:eastAsia="Times New Roman" w:cs="Times New Roman"/>
          <w:spacing w:val="-17"/>
          <w:sz w:val="20"/>
          <w:szCs w:val="20"/>
        </w:rPr>
        <w:t xml:space="preserve"> </w:t>
      </w:r>
      <w:r>
        <w:rPr>
          <w:rFonts w:ascii="宋体" w:hAnsi="宋体" w:eastAsia="宋体" w:cs="宋体"/>
          <w:spacing w:val="9"/>
          <w:sz w:val="20"/>
          <w:szCs w:val="20"/>
        </w:rPr>
        <w:t>。如承包人在发包人签发</w:t>
      </w:r>
      <w:r>
        <w:rPr>
          <w:rFonts w:ascii="宋体" w:hAnsi="宋体" w:eastAsia="宋体" w:cs="宋体"/>
          <w:spacing w:val="7"/>
          <w:sz w:val="20"/>
          <w:szCs w:val="20"/>
        </w:rPr>
        <w:t>竣工付款证书后</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天内提交质量保证金保函，发包人应同</w:t>
      </w:r>
      <w:r>
        <w:rPr>
          <w:rFonts w:ascii="宋体" w:hAnsi="宋体" w:eastAsia="宋体" w:cs="宋体"/>
          <w:spacing w:val="6"/>
          <w:sz w:val="20"/>
          <w:szCs w:val="20"/>
        </w:rPr>
        <w:t>时退还扣留的作为质量保证金的工程价</w:t>
      </w:r>
      <w:r>
        <w:rPr>
          <w:rFonts w:ascii="宋体" w:hAnsi="宋体" w:eastAsia="宋体" w:cs="宋体"/>
          <w:spacing w:val="7"/>
          <w:sz w:val="20"/>
          <w:szCs w:val="20"/>
        </w:rPr>
        <w:t>款；保函金额不得超过工程价款结算总额的</w:t>
      </w:r>
      <w:r>
        <w:rPr>
          <w:rFonts w:ascii="宋体" w:hAnsi="宋体" w:eastAsia="宋体" w:cs="宋体"/>
          <w:spacing w:val="-22"/>
          <w:sz w:val="20"/>
          <w:szCs w:val="20"/>
        </w:rPr>
        <w:t xml:space="preserve"> </w:t>
      </w:r>
      <w:r>
        <w:rPr>
          <w:rFonts w:ascii="Times New Roman" w:hAnsi="Times New Roman" w:eastAsia="Times New Roman" w:cs="Times New Roman"/>
          <w:spacing w:val="7"/>
          <w:sz w:val="20"/>
          <w:szCs w:val="20"/>
        </w:rPr>
        <w:t>1.5 %</w:t>
      </w:r>
      <w:r>
        <w:rPr>
          <w:rFonts w:ascii="宋体" w:hAnsi="宋体" w:eastAsia="宋体" w:cs="宋体"/>
          <w:spacing w:val="7"/>
          <w:sz w:val="20"/>
          <w:szCs w:val="20"/>
        </w:rPr>
        <w:t>。</w:t>
      </w:r>
    </w:p>
    <w:p w14:paraId="7E720D0A">
      <w:pPr>
        <w:spacing w:before="1" w:line="226" w:lineRule="auto"/>
        <w:ind w:right="13"/>
        <w:jc w:val="right"/>
        <w:rPr>
          <w:rFonts w:ascii="宋体" w:hAnsi="宋体" w:eastAsia="宋体" w:cs="宋体"/>
          <w:sz w:val="20"/>
          <w:szCs w:val="20"/>
        </w:rPr>
      </w:pPr>
      <w:r>
        <w:rPr>
          <w:rFonts w:ascii="宋体" w:hAnsi="宋体" w:eastAsia="宋体" w:cs="宋体"/>
          <w:spacing w:val="9"/>
          <w:sz w:val="20"/>
          <w:szCs w:val="20"/>
        </w:rPr>
        <w:t>发包人在退还质量保证金的同时按照中国人民银行发布的同期同类贷款基准利率支付利息。</w:t>
      </w:r>
    </w:p>
    <w:p w14:paraId="74DBD22F">
      <w:pPr>
        <w:spacing w:before="153" w:line="228" w:lineRule="auto"/>
        <w:ind w:left="436"/>
        <w:rPr>
          <w:rFonts w:ascii="宋体" w:hAnsi="宋体" w:eastAsia="宋体" w:cs="宋体"/>
          <w:sz w:val="20"/>
          <w:szCs w:val="20"/>
        </w:rPr>
      </w:pPr>
      <w:r>
        <w:rPr>
          <w:rFonts w:ascii="Times New Roman" w:hAnsi="Times New Roman" w:eastAsia="Times New Roman" w:cs="Times New Roman"/>
          <w:spacing w:val="5"/>
          <w:sz w:val="20"/>
          <w:szCs w:val="20"/>
        </w:rPr>
        <w:t xml:space="preserve">15.3.3  </w:t>
      </w:r>
      <w:r>
        <w:rPr>
          <w:rFonts w:ascii="宋体" w:hAnsi="宋体" w:eastAsia="宋体" w:cs="宋体"/>
          <w:spacing w:val="5"/>
          <w:sz w:val="20"/>
          <w:szCs w:val="20"/>
        </w:rPr>
        <w:t>质量保证金的退还</w:t>
      </w:r>
    </w:p>
    <w:p w14:paraId="3FA4626E">
      <w:pPr>
        <w:spacing w:before="153" w:line="369" w:lineRule="auto"/>
        <w:ind w:left="1" w:firstLine="418"/>
        <w:rPr>
          <w:rFonts w:ascii="宋体" w:hAnsi="宋体" w:eastAsia="宋体" w:cs="宋体"/>
          <w:sz w:val="20"/>
          <w:szCs w:val="20"/>
        </w:rPr>
      </w:pPr>
      <w:r>
        <w:rPr>
          <w:rFonts w:ascii="宋体" w:hAnsi="宋体" w:eastAsia="宋体" w:cs="宋体"/>
          <w:spacing w:val="10"/>
          <w:sz w:val="20"/>
          <w:szCs w:val="20"/>
        </w:rPr>
        <w:t>缺陷责任期内，承包人认真履行合同约定的责任，到期后，承包人可</w:t>
      </w:r>
      <w:r>
        <w:rPr>
          <w:rFonts w:ascii="宋体" w:hAnsi="宋体" w:eastAsia="宋体" w:cs="宋体"/>
          <w:spacing w:val="9"/>
          <w:sz w:val="20"/>
          <w:szCs w:val="20"/>
        </w:rPr>
        <w:t>向发包人申请返还保证</w:t>
      </w:r>
      <w:r>
        <w:rPr>
          <w:rFonts w:ascii="宋体" w:hAnsi="宋体" w:eastAsia="宋体" w:cs="宋体"/>
          <w:spacing w:val="-1"/>
          <w:sz w:val="20"/>
          <w:szCs w:val="20"/>
        </w:rPr>
        <w:t>金。</w:t>
      </w:r>
    </w:p>
    <w:p w14:paraId="31FB2192">
      <w:pPr>
        <w:spacing w:before="3" w:line="369" w:lineRule="auto"/>
        <w:ind w:firstLine="423"/>
        <w:jc w:val="both"/>
        <w:rPr>
          <w:rFonts w:ascii="宋体" w:hAnsi="宋体" w:eastAsia="宋体" w:cs="宋体"/>
          <w:sz w:val="20"/>
          <w:szCs w:val="20"/>
        </w:rPr>
      </w:pPr>
      <w:r>
        <w:rPr>
          <w:rFonts w:ascii="宋体" w:hAnsi="宋体" w:eastAsia="宋体" w:cs="宋体"/>
          <w:spacing w:val="6"/>
          <w:sz w:val="20"/>
          <w:szCs w:val="20"/>
        </w:rPr>
        <w:t>发包人在接到承包人返还保证金申请后，应于</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天内会同承包人按照合同约定的内容进</w:t>
      </w:r>
      <w:r>
        <w:rPr>
          <w:rFonts w:ascii="宋体" w:hAnsi="宋体" w:eastAsia="宋体" w:cs="宋体"/>
          <w:spacing w:val="5"/>
          <w:sz w:val="20"/>
          <w:szCs w:val="20"/>
        </w:rPr>
        <w:t>行核</w:t>
      </w:r>
      <w:r>
        <w:rPr>
          <w:rFonts w:ascii="宋体" w:hAnsi="宋体" w:eastAsia="宋体" w:cs="宋体"/>
          <w:spacing w:val="10"/>
          <w:sz w:val="20"/>
          <w:szCs w:val="20"/>
        </w:rPr>
        <w:t>实。如无异议，发包人应当按照约定将保证金返还给承包人。对返还期限</w:t>
      </w:r>
      <w:r>
        <w:rPr>
          <w:rFonts w:ascii="宋体" w:hAnsi="宋体" w:eastAsia="宋体" w:cs="宋体"/>
          <w:spacing w:val="9"/>
          <w:sz w:val="20"/>
          <w:szCs w:val="20"/>
        </w:rPr>
        <w:t>没有约定或者约定不明</w:t>
      </w:r>
      <w:r>
        <w:rPr>
          <w:rFonts w:ascii="宋体" w:hAnsi="宋体" w:eastAsia="宋体" w:cs="宋体"/>
          <w:spacing w:val="7"/>
          <w:sz w:val="20"/>
          <w:szCs w:val="20"/>
        </w:rPr>
        <w:t>确的，发包人应当在核实后</w:t>
      </w:r>
      <w:r>
        <w:rPr>
          <w:rFonts w:ascii="宋体" w:hAnsi="宋体" w:eastAsia="宋体" w:cs="宋体"/>
          <w:spacing w:val="-22"/>
          <w:sz w:val="20"/>
          <w:szCs w:val="20"/>
        </w:rPr>
        <w:t xml:space="preserve"> </w:t>
      </w:r>
      <w:r>
        <w:rPr>
          <w:rFonts w:ascii="Times New Roman" w:hAnsi="Times New Roman" w:eastAsia="Times New Roman" w:cs="Times New Roman"/>
          <w:spacing w:val="7"/>
          <w:sz w:val="20"/>
          <w:szCs w:val="20"/>
        </w:rPr>
        <w:t xml:space="preserve">14 </w:t>
      </w:r>
      <w:r>
        <w:rPr>
          <w:rFonts w:ascii="宋体" w:hAnsi="宋体" w:eastAsia="宋体" w:cs="宋体"/>
          <w:spacing w:val="7"/>
          <w:sz w:val="20"/>
          <w:szCs w:val="20"/>
        </w:rPr>
        <w:t>天内将保</w:t>
      </w:r>
      <w:r>
        <w:rPr>
          <w:rFonts w:ascii="宋体" w:hAnsi="宋体" w:eastAsia="宋体" w:cs="宋体"/>
          <w:spacing w:val="6"/>
          <w:sz w:val="20"/>
          <w:szCs w:val="20"/>
        </w:rPr>
        <w:t>证金返还承包人，逾期未返还的，依法承担违约责任。发</w:t>
      </w:r>
      <w:r>
        <w:rPr>
          <w:rFonts w:ascii="宋体" w:hAnsi="宋体" w:eastAsia="宋体" w:cs="宋体"/>
          <w:spacing w:val="8"/>
          <w:sz w:val="20"/>
          <w:szCs w:val="20"/>
        </w:rPr>
        <w:t>包人在接到承包人返还保证金申请后</w:t>
      </w:r>
      <w:r>
        <w:rPr>
          <w:rFonts w:ascii="宋体" w:hAnsi="宋体" w:eastAsia="宋体" w:cs="宋体"/>
          <w:spacing w:val="-23"/>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天内不予答复，经催告后</w:t>
      </w:r>
      <w:r>
        <w:rPr>
          <w:rFonts w:ascii="宋体" w:hAnsi="宋体" w:eastAsia="宋体" w:cs="宋体"/>
          <w:spacing w:val="-21"/>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天内仍不予答</w:t>
      </w:r>
      <w:r>
        <w:rPr>
          <w:rFonts w:ascii="宋体" w:hAnsi="宋体" w:eastAsia="宋体" w:cs="宋体"/>
          <w:spacing w:val="7"/>
          <w:sz w:val="20"/>
          <w:szCs w:val="20"/>
        </w:rPr>
        <w:t>复，视同认可</w:t>
      </w:r>
      <w:r>
        <w:rPr>
          <w:rFonts w:ascii="宋体" w:hAnsi="宋体" w:eastAsia="宋体" w:cs="宋体"/>
          <w:spacing w:val="8"/>
          <w:sz w:val="20"/>
          <w:szCs w:val="20"/>
        </w:rPr>
        <w:t>承包人的返还保证金申请。</w:t>
      </w:r>
    </w:p>
    <w:p w14:paraId="16BDFA57">
      <w:pPr>
        <w:spacing w:before="2" w:line="356" w:lineRule="auto"/>
        <w:ind w:left="5" w:right="2" w:firstLine="418"/>
        <w:rPr>
          <w:rFonts w:ascii="宋体" w:hAnsi="宋体" w:eastAsia="宋体" w:cs="宋体"/>
          <w:sz w:val="20"/>
          <w:szCs w:val="20"/>
        </w:rPr>
      </w:pPr>
      <w:r>
        <w:rPr>
          <w:rFonts w:ascii="宋体" w:hAnsi="宋体" w:eastAsia="宋体" w:cs="宋体"/>
          <w:spacing w:val="7"/>
          <w:sz w:val="20"/>
          <w:szCs w:val="20"/>
        </w:rPr>
        <w:t>发包人和承包人对保证金预留、返还以及工程维修质量、费</w:t>
      </w:r>
      <w:r>
        <w:rPr>
          <w:rFonts w:ascii="宋体" w:hAnsi="宋体" w:eastAsia="宋体" w:cs="宋体"/>
          <w:spacing w:val="6"/>
          <w:sz w:val="20"/>
          <w:szCs w:val="20"/>
        </w:rPr>
        <w:t>用有争议的，按本合同第</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 xml:space="preserve">20 </w:t>
      </w:r>
      <w:r>
        <w:rPr>
          <w:rFonts w:ascii="宋体" w:hAnsi="宋体" w:eastAsia="宋体" w:cs="宋体"/>
          <w:spacing w:val="6"/>
          <w:sz w:val="20"/>
          <w:szCs w:val="20"/>
        </w:rPr>
        <w:t>条约</w:t>
      </w:r>
      <w:r>
        <w:rPr>
          <w:rFonts w:ascii="宋体" w:hAnsi="宋体" w:eastAsia="宋体" w:cs="宋体"/>
          <w:spacing w:val="8"/>
          <w:sz w:val="20"/>
          <w:szCs w:val="20"/>
        </w:rPr>
        <w:t>定的争议和纠纷解决程序处理。</w:t>
      </w:r>
    </w:p>
    <w:p w14:paraId="303B990F">
      <w:pPr>
        <w:pStyle w:val="2"/>
        <w:spacing w:line="221" w:lineRule="auto"/>
        <w:ind w:left="7"/>
        <w:rPr>
          <w:sz w:val="24"/>
          <w:szCs w:val="24"/>
        </w:rPr>
      </w:pPr>
      <w:r>
        <w:rPr>
          <w:rFonts w:ascii="Times New Roman" w:hAnsi="Times New Roman" w:eastAsia="Times New Roman" w:cs="Times New Roman"/>
          <w:b/>
          <w:bCs/>
          <w:spacing w:val="-5"/>
          <w:sz w:val="24"/>
          <w:szCs w:val="24"/>
        </w:rPr>
        <w:t>15.4</w:t>
      </w:r>
      <w:r>
        <w:rPr>
          <w:rFonts w:ascii="Times New Roman" w:hAnsi="Times New Roman" w:eastAsia="Times New Roman" w:cs="Times New Roman"/>
          <w:b/>
          <w:bCs/>
          <w:spacing w:val="4"/>
          <w:sz w:val="24"/>
          <w:szCs w:val="24"/>
        </w:rPr>
        <w:t xml:space="preserve">  </w:t>
      </w:r>
      <w:r>
        <w:rPr>
          <w:b/>
          <w:bCs/>
          <w:spacing w:val="-5"/>
          <w:sz w:val="24"/>
          <w:szCs w:val="24"/>
        </w:rPr>
        <w:t>保修</w:t>
      </w:r>
    </w:p>
    <w:p w14:paraId="4552BC32">
      <w:pPr>
        <w:spacing w:before="139" w:line="228" w:lineRule="auto"/>
        <w:ind w:left="436"/>
        <w:rPr>
          <w:rFonts w:ascii="宋体" w:hAnsi="宋体" w:eastAsia="宋体" w:cs="宋体"/>
          <w:sz w:val="20"/>
          <w:szCs w:val="20"/>
        </w:rPr>
      </w:pPr>
      <w:r>
        <w:rPr>
          <w:rFonts w:ascii="Times New Roman" w:hAnsi="Times New Roman" w:eastAsia="Times New Roman" w:cs="Times New Roman"/>
          <w:spacing w:val="3"/>
          <w:sz w:val="20"/>
          <w:szCs w:val="20"/>
        </w:rPr>
        <w:t xml:space="preserve">15.4.1 </w:t>
      </w:r>
      <w:r>
        <w:rPr>
          <w:rFonts w:ascii="宋体" w:hAnsi="宋体" w:eastAsia="宋体" w:cs="宋体"/>
          <w:spacing w:val="3"/>
          <w:sz w:val="20"/>
          <w:szCs w:val="20"/>
        </w:rPr>
        <w:t>保修责任</w:t>
      </w:r>
    </w:p>
    <w:p w14:paraId="112EB358">
      <w:pPr>
        <w:spacing w:before="152" w:line="228" w:lineRule="auto"/>
        <w:jc w:val="right"/>
        <w:rPr>
          <w:rFonts w:ascii="宋体" w:hAnsi="宋体" w:eastAsia="宋体" w:cs="宋体"/>
          <w:sz w:val="20"/>
          <w:szCs w:val="20"/>
        </w:rPr>
      </w:pPr>
      <w:r>
        <w:rPr>
          <w:rFonts w:ascii="宋体" w:hAnsi="宋体" w:eastAsia="宋体" w:cs="宋体"/>
          <w:spacing w:val="10"/>
          <w:sz w:val="20"/>
          <w:szCs w:val="20"/>
        </w:rPr>
        <w:t>工程保修期从工程竣工验收合格之日起算，具体分部分项工程的</w:t>
      </w:r>
      <w:r>
        <w:rPr>
          <w:rFonts w:ascii="宋体" w:hAnsi="宋体" w:eastAsia="宋体" w:cs="宋体"/>
          <w:spacing w:val="9"/>
          <w:sz w:val="20"/>
          <w:szCs w:val="20"/>
        </w:rPr>
        <w:t>保修期由合同当事人在专用</w:t>
      </w:r>
    </w:p>
    <w:p w14:paraId="057368E3">
      <w:pPr>
        <w:spacing w:line="228" w:lineRule="auto"/>
        <w:rPr>
          <w:rFonts w:ascii="宋体" w:hAnsi="宋体" w:eastAsia="宋体" w:cs="宋体"/>
          <w:sz w:val="20"/>
          <w:szCs w:val="20"/>
        </w:rPr>
        <w:sectPr>
          <w:footerReference r:id="rId275" w:type="default"/>
          <w:pgSz w:w="11906" w:h="16839"/>
          <w:pgMar w:top="400" w:right="1554" w:bottom="1038" w:left="1539" w:header="0" w:footer="787" w:gutter="0"/>
          <w:cols w:space="720" w:num="1"/>
        </w:sectPr>
      </w:pPr>
    </w:p>
    <w:p w14:paraId="0597798A">
      <w:pPr>
        <w:spacing w:line="271" w:lineRule="auto"/>
        <w:rPr>
          <w:rFonts w:ascii="Arial"/>
          <w:sz w:val="21"/>
        </w:rPr>
      </w:pPr>
    </w:p>
    <w:p w14:paraId="76562B1E">
      <w:pPr>
        <w:spacing w:line="272" w:lineRule="auto"/>
        <w:rPr>
          <w:rFonts w:ascii="Arial"/>
          <w:sz w:val="21"/>
        </w:rPr>
      </w:pPr>
    </w:p>
    <w:p w14:paraId="33EA20F9">
      <w:pPr>
        <w:spacing w:line="272" w:lineRule="auto"/>
        <w:rPr>
          <w:rFonts w:ascii="Arial"/>
          <w:sz w:val="21"/>
        </w:rPr>
      </w:pPr>
    </w:p>
    <w:p w14:paraId="0A7E7A4A">
      <w:pPr>
        <w:spacing w:line="272" w:lineRule="auto"/>
        <w:rPr>
          <w:rFonts w:ascii="Arial"/>
          <w:sz w:val="21"/>
        </w:rPr>
      </w:pPr>
    </w:p>
    <w:p w14:paraId="66001B09">
      <w:pPr>
        <w:spacing w:before="65" w:line="369" w:lineRule="auto"/>
        <w:ind w:left="4" w:right="54" w:hanging="4"/>
        <w:rPr>
          <w:rFonts w:ascii="宋体" w:hAnsi="宋体" w:eastAsia="宋体" w:cs="宋体"/>
          <w:sz w:val="20"/>
          <w:szCs w:val="20"/>
        </w:rPr>
      </w:pPr>
      <w:r>
        <w:rPr>
          <w:rFonts w:ascii="宋体" w:hAnsi="宋体" w:eastAsia="宋体" w:cs="宋体"/>
          <w:spacing w:val="10"/>
          <w:sz w:val="20"/>
          <w:szCs w:val="20"/>
        </w:rPr>
        <w:t>合同条款中约定，但不得低于法定最低保修年限。在工程保修期内，承</w:t>
      </w:r>
      <w:r>
        <w:rPr>
          <w:rFonts w:ascii="宋体" w:hAnsi="宋体" w:eastAsia="宋体" w:cs="宋体"/>
          <w:spacing w:val="9"/>
          <w:sz w:val="20"/>
          <w:szCs w:val="20"/>
        </w:rPr>
        <w:t>包人应当根据有关法律规</w:t>
      </w:r>
      <w:r>
        <w:rPr>
          <w:rFonts w:ascii="宋体" w:hAnsi="宋体" w:eastAsia="宋体" w:cs="宋体"/>
          <w:spacing w:val="8"/>
          <w:sz w:val="20"/>
          <w:szCs w:val="20"/>
        </w:rPr>
        <w:t>定以及合同约定承担保修责任。</w:t>
      </w:r>
    </w:p>
    <w:p w14:paraId="6C78D515">
      <w:pPr>
        <w:spacing w:line="227" w:lineRule="auto"/>
        <w:ind w:left="423"/>
        <w:rPr>
          <w:rFonts w:ascii="宋体" w:hAnsi="宋体" w:eastAsia="宋体" w:cs="宋体"/>
          <w:sz w:val="20"/>
          <w:szCs w:val="20"/>
        </w:rPr>
      </w:pPr>
      <w:r>
        <w:rPr>
          <w:rFonts w:ascii="宋体" w:hAnsi="宋体" w:eastAsia="宋体" w:cs="宋体"/>
          <w:spacing w:val="9"/>
          <w:sz w:val="20"/>
          <w:szCs w:val="20"/>
        </w:rPr>
        <w:t>发包人未经竣工验收擅自使用工程的，保修期自转移占有之日起算。</w:t>
      </w:r>
    </w:p>
    <w:p w14:paraId="023E068D">
      <w:pPr>
        <w:spacing w:before="153" w:line="228" w:lineRule="auto"/>
        <w:ind w:left="436"/>
        <w:rPr>
          <w:rFonts w:ascii="宋体" w:hAnsi="宋体" w:eastAsia="宋体" w:cs="宋体"/>
          <w:sz w:val="20"/>
          <w:szCs w:val="20"/>
        </w:rPr>
      </w:pPr>
      <w:r>
        <w:rPr>
          <w:rFonts w:ascii="Times New Roman" w:hAnsi="Times New Roman" w:eastAsia="Times New Roman" w:cs="Times New Roman"/>
          <w:spacing w:val="3"/>
          <w:sz w:val="20"/>
          <w:szCs w:val="20"/>
        </w:rPr>
        <w:t xml:space="preserve">15.4.2  </w:t>
      </w:r>
      <w:r>
        <w:rPr>
          <w:rFonts w:ascii="宋体" w:hAnsi="宋体" w:eastAsia="宋体" w:cs="宋体"/>
          <w:spacing w:val="3"/>
          <w:sz w:val="20"/>
          <w:szCs w:val="20"/>
        </w:rPr>
        <w:t>修复费用</w:t>
      </w:r>
    </w:p>
    <w:p w14:paraId="5F784850">
      <w:pPr>
        <w:spacing w:before="151" w:line="228" w:lineRule="auto"/>
        <w:ind w:left="420"/>
        <w:rPr>
          <w:rFonts w:ascii="宋体" w:hAnsi="宋体" w:eastAsia="宋体" w:cs="宋体"/>
          <w:sz w:val="20"/>
          <w:szCs w:val="20"/>
        </w:rPr>
      </w:pPr>
      <w:r>
        <w:rPr>
          <w:rFonts w:ascii="宋体" w:hAnsi="宋体" w:eastAsia="宋体" w:cs="宋体"/>
          <w:spacing w:val="8"/>
          <w:sz w:val="20"/>
          <w:szCs w:val="20"/>
        </w:rPr>
        <w:t>保修期内，修复的费用按照以下约定处理：</w:t>
      </w:r>
    </w:p>
    <w:p w14:paraId="54A6B809">
      <w:pPr>
        <w:spacing w:before="153" w:line="369" w:lineRule="auto"/>
        <w:ind w:left="1" w:right="54" w:firstLine="42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）保修期内，因承包人原因造成工程的缺陷、损坏，承包人应负责修复，</w:t>
      </w:r>
      <w:r>
        <w:rPr>
          <w:rFonts w:ascii="宋体" w:hAnsi="宋体" w:eastAsia="宋体" w:cs="宋体"/>
          <w:spacing w:val="6"/>
          <w:sz w:val="20"/>
          <w:szCs w:val="20"/>
        </w:rPr>
        <w:t>并承担修复的费</w:t>
      </w:r>
      <w:r>
        <w:rPr>
          <w:rFonts w:ascii="宋体" w:hAnsi="宋体" w:eastAsia="宋体" w:cs="宋体"/>
          <w:spacing w:val="9"/>
          <w:sz w:val="20"/>
          <w:szCs w:val="20"/>
        </w:rPr>
        <w:t>用以及因工程的缺陷、损坏造成的人身伤害和财产损失；</w:t>
      </w:r>
    </w:p>
    <w:p w14:paraId="052F93B2">
      <w:pPr>
        <w:spacing w:before="2" w:line="369" w:lineRule="auto"/>
        <w:ind w:right="56"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）保修期内，因发包人使用不当造成工程的缺陷、损坏，可以委托承</w:t>
      </w:r>
      <w:r>
        <w:rPr>
          <w:rFonts w:ascii="宋体" w:hAnsi="宋体" w:eastAsia="宋体" w:cs="宋体"/>
          <w:spacing w:val="6"/>
          <w:sz w:val="20"/>
          <w:szCs w:val="20"/>
        </w:rPr>
        <w:t>包人修复，但发包人</w:t>
      </w:r>
      <w:r>
        <w:rPr>
          <w:rFonts w:ascii="宋体" w:hAnsi="宋体" w:eastAsia="宋体" w:cs="宋体"/>
          <w:spacing w:val="9"/>
          <w:sz w:val="20"/>
          <w:szCs w:val="20"/>
        </w:rPr>
        <w:t>应承担修复的费用，并支付承包人合理利润；</w:t>
      </w:r>
    </w:p>
    <w:p w14:paraId="3B34373F">
      <w:pPr>
        <w:spacing w:before="2" w:line="368" w:lineRule="auto"/>
        <w:ind w:left="5" w:right="2" w:firstLine="425"/>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）因其他原因造成工程的缺陷、损坏，可以委托承包人修复，发包人应承担修复的费用，</w:t>
      </w:r>
      <w:r>
        <w:rPr>
          <w:rFonts w:ascii="宋体" w:hAnsi="宋体" w:eastAsia="宋体" w:cs="宋体"/>
          <w:spacing w:val="9"/>
          <w:sz w:val="20"/>
          <w:szCs w:val="20"/>
        </w:rPr>
        <w:t>并支付承包人合理的利润，因工程的缺陷、损坏造成的人身伤害和财产损失由责任方承担。</w:t>
      </w:r>
    </w:p>
    <w:p w14:paraId="23364622">
      <w:pPr>
        <w:spacing w:before="1" w:line="227" w:lineRule="auto"/>
        <w:ind w:left="436"/>
        <w:rPr>
          <w:rFonts w:ascii="宋体" w:hAnsi="宋体" w:eastAsia="宋体" w:cs="宋体"/>
          <w:sz w:val="20"/>
          <w:szCs w:val="20"/>
        </w:rPr>
      </w:pPr>
      <w:r>
        <w:rPr>
          <w:rFonts w:ascii="Times New Roman" w:hAnsi="Times New Roman" w:eastAsia="Times New Roman" w:cs="Times New Roman"/>
          <w:spacing w:val="3"/>
          <w:sz w:val="20"/>
          <w:szCs w:val="20"/>
        </w:rPr>
        <w:t xml:space="preserve">15.4.3  </w:t>
      </w:r>
      <w:r>
        <w:rPr>
          <w:rFonts w:ascii="宋体" w:hAnsi="宋体" w:eastAsia="宋体" w:cs="宋体"/>
          <w:spacing w:val="3"/>
          <w:sz w:val="20"/>
          <w:szCs w:val="20"/>
        </w:rPr>
        <w:t>修复通知</w:t>
      </w:r>
    </w:p>
    <w:p w14:paraId="24B2132D">
      <w:pPr>
        <w:spacing w:before="154" w:line="369" w:lineRule="auto"/>
        <w:ind w:right="54" w:firstLine="419"/>
        <w:rPr>
          <w:rFonts w:ascii="宋体" w:hAnsi="宋体" w:eastAsia="宋体" w:cs="宋体"/>
          <w:sz w:val="20"/>
          <w:szCs w:val="20"/>
        </w:rPr>
      </w:pPr>
      <w:r>
        <w:rPr>
          <w:rFonts w:ascii="宋体" w:hAnsi="宋体" w:eastAsia="宋体" w:cs="宋体"/>
          <w:spacing w:val="10"/>
          <w:sz w:val="20"/>
          <w:szCs w:val="20"/>
        </w:rPr>
        <w:t>在保修期内，发包人在使用过程中，发现已接收的工程存在缺陷或损坏</w:t>
      </w:r>
      <w:r>
        <w:rPr>
          <w:rFonts w:ascii="宋体" w:hAnsi="宋体" w:eastAsia="宋体" w:cs="宋体"/>
          <w:spacing w:val="9"/>
          <w:sz w:val="20"/>
          <w:szCs w:val="20"/>
        </w:rPr>
        <w:t>的，应书面通知承包</w:t>
      </w:r>
      <w:r>
        <w:rPr>
          <w:rFonts w:ascii="宋体" w:hAnsi="宋体" w:eastAsia="宋体" w:cs="宋体"/>
          <w:spacing w:val="10"/>
          <w:sz w:val="20"/>
          <w:szCs w:val="20"/>
        </w:rPr>
        <w:t>人予以修复，但情况紧急必须立即修复缺陷或损坏的，发包人可以口头通</w:t>
      </w:r>
      <w:r>
        <w:rPr>
          <w:rFonts w:ascii="宋体" w:hAnsi="宋体" w:eastAsia="宋体" w:cs="宋体"/>
          <w:spacing w:val="9"/>
          <w:sz w:val="20"/>
          <w:szCs w:val="20"/>
        </w:rPr>
        <w:t>知承包人并在口头通知</w:t>
      </w:r>
      <w:r>
        <w:rPr>
          <w:rFonts w:ascii="宋体" w:hAnsi="宋体" w:eastAsia="宋体" w:cs="宋体"/>
          <w:spacing w:val="7"/>
          <w:sz w:val="20"/>
          <w:szCs w:val="20"/>
        </w:rPr>
        <w:t>后</w:t>
      </w:r>
      <w:r>
        <w:rPr>
          <w:rFonts w:ascii="宋体" w:hAnsi="宋体" w:eastAsia="宋体" w:cs="宋体"/>
          <w:spacing w:val="-44"/>
          <w:sz w:val="20"/>
          <w:szCs w:val="20"/>
        </w:rPr>
        <w:t xml:space="preserve"> </w:t>
      </w:r>
      <w:r>
        <w:rPr>
          <w:rFonts w:ascii="Times New Roman" w:hAnsi="Times New Roman" w:eastAsia="Times New Roman" w:cs="Times New Roman"/>
          <w:spacing w:val="7"/>
          <w:sz w:val="20"/>
          <w:szCs w:val="20"/>
        </w:rPr>
        <w:t>48</w:t>
      </w:r>
      <w:r>
        <w:rPr>
          <w:rFonts w:ascii="Times New Roman" w:hAnsi="Times New Roman" w:eastAsia="Times New Roman" w:cs="Times New Roman"/>
          <w:spacing w:val="18"/>
          <w:sz w:val="20"/>
          <w:szCs w:val="20"/>
        </w:rPr>
        <w:t xml:space="preserve"> </w:t>
      </w:r>
      <w:r>
        <w:rPr>
          <w:rFonts w:ascii="宋体" w:hAnsi="宋体" w:eastAsia="宋体" w:cs="宋体"/>
          <w:spacing w:val="7"/>
          <w:sz w:val="20"/>
          <w:szCs w:val="20"/>
        </w:rPr>
        <w:t>小时内书面确认，承包人应在专用合同条款约定的合</w:t>
      </w:r>
      <w:r>
        <w:rPr>
          <w:rFonts w:ascii="宋体" w:hAnsi="宋体" w:eastAsia="宋体" w:cs="宋体"/>
          <w:spacing w:val="6"/>
          <w:sz w:val="20"/>
          <w:szCs w:val="20"/>
        </w:rPr>
        <w:t>理期限内到达工程现场并修复缺陷或损</w:t>
      </w:r>
      <w:r>
        <w:rPr>
          <w:rFonts w:ascii="宋体" w:hAnsi="宋体" w:eastAsia="宋体" w:cs="宋体"/>
          <w:sz w:val="20"/>
          <w:szCs w:val="20"/>
        </w:rPr>
        <w:t>坏。</w:t>
      </w:r>
    </w:p>
    <w:p w14:paraId="16F85A6C">
      <w:pPr>
        <w:spacing w:line="227" w:lineRule="auto"/>
        <w:ind w:left="436"/>
        <w:rPr>
          <w:rFonts w:ascii="宋体" w:hAnsi="宋体" w:eastAsia="宋体" w:cs="宋体"/>
          <w:sz w:val="20"/>
          <w:szCs w:val="20"/>
        </w:rPr>
      </w:pPr>
      <w:r>
        <w:rPr>
          <w:rFonts w:ascii="Times New Roman" w:hAnsi="Times New Roman" w:eastAsia="Times New Roman" w:cs="Times New Roman"/>
          <w:spacing w:val="2"/>
          <w:sz w:val="20"/>
          <w:szCs w:val="20"/>
        </w:rPr>
        <w:t>15.4.4</w:t>
      </w:r>
      <w:r>
        <w:rPr>
          <w:rFonts w:ascii="Times New Roman" w:hAnsi="Times New Roman" w:eastAsia="Times New Roman" w:cs="Times New Roman"/>
          <w:spacing w:val="10"/>
          <w:sz w:val="20"/>
          <w:szCs w:val="20"/>
        </w:rPr>
        <w:t xml:space="preserve">  </w:t>
      </w:r>
      <w:r>
        <w:rPr>
          <w:rFonts w:ascii="宋体" w:hAnsi="宋体" w:eastAsia="宋体" w:cs="宋体"/>
          <w:spacing w:val="2"/>
          <w:sz w:val="20"/>
          <w:szCs w:val="20"/>
        </w:rPr>
        <w:t>未能修复</w:t>
      </w:r>
    </w:p>
    <w:p w14:paraId="586F3A23">
      <w:pPr>
        <w:spacing w:before="155" w:line="369" w:lineRule="auto"/>
        <w:ind w:firstLine="436"/>
        <w:rPr>
          <w:rFonts w:ascii="宋体" w:hAnsi="宋体" w:eastAsia="宋体" w:cs="宋体"/>
          <w:sz w:val="20"/>
          <w:szCs w:val="20"/>
        </w:rPr>
      </w:pPr>
      <w:r>
        <w:rPr>
          <w:rFonts w:ascii="宋体" w:hAnsi="宋体" w:eastAsia="宋体" w:cs="宋体"/>
          <w:spacing w:val="6"/>
          <w:sz w:val="20"/>
          <w:szCs w:val="20"/>
        </w:rPr>
        <w:t>因承包人原因造成工程的缺陷或损坏，承包人拒绝维修</w:t>
      </w:r>
      <w:r>
        <w:rPr>
          <w:rFonts w:ascii="宋体" w:hAnsi="宋体" w:eastAsia="宋体" w:cs="宋体"/>
          <w:spacing w:val="5"/>
          <w:sz w:val="20"/>
          <w:szCs w:val="20"/>
        </w:rPr>
        <w:t>或未能在合理期限内修复缺陷或损坏，</w:t>
      </w:r>
      <w:r>
        <w:rPr>
          <w:rFonts w:ascii="宋体" w:hAnsi="宋体" w:eastAsia="宋体" w:cs="宋体"/>
          <w:spacing w:val="10"/>
          <w:sz w:val="20"/>
          <w:szCs w:val="20"/>
        </w:rPr>
        <w:t>且经发包人书面催告后仍未修复的，发包人有权自行修复或委托第三方修</w:t>
      </w:r>
      <w:r>
        <w:rPr>
          <w:rFonts w:ascii="宋体" w:hAnsi="宋体" w:eastAsia="宋体" w:cs="宋体"/>
          <w:spacing w:val="9"/>
          <w:sz w:val="20"/>
          <w:szCs w:val="20"/>
        </w:rPr>
        <w:t>复，所需费用由承包人承担。但修复范围超出缺陷或损坏范围的，超出范围部分的修复费用由发包人承担。</w:t>
      </w:r>
    </w:p>
    <w:p w14:paraId="2AFD6B55">
      <w:pPr>
        <w:spacing w:before="1" w:line="227" w:lineRule="auto"/>
        <w:ind w:left="436"/>
        <w:rPr>
          <w:rFonts w:ascii="宋体" w:hAnsi="宋体" w:eastAsia="宋体" w:cs="宋体"/>
          <w:sz w:val="20"/>
          <w:szCs w:val="20"/>
        </w:rPr>
      </w:pPr>
      <w:r>
        <w:rPr>
          <w:rFonts w:ascii="Times New Roman" w:hAnsi="Times New Roman" w:eastAsia="Times New Roman" w:cs="Times New Roman"/>
          <w:spacing w:val="4"/>
          <w:sz w:val="20"/>
          <w:szCs w:val="20"/>
        </w:rPr>
        <w:t xml:space="preserve">15.4.5  </w:t>
      </w:r>
      <w:r>
        <w:rPr>
          <w:rFonts w:ascii="宋体" w:hAnsi="宋体" w:eastAsia="宋体" w:cs="宋体"/>
          <w:spacing w:val="4"/>
          <w:sz w:val="20"/>
          <w:szCs w:val="20"/>
        </w:rPr>
        <w:t>承包人出入权</w:t>
      </w:r>
    </w:p>
    <w:p w14:paraId="404C2C36">
      <w:pPr>
        <w:spacing w:before="153" w:line="370" w:lineRule="auto"/>
        <w:ind w:right="54" w:firstLine="419"/>
        <w:rPr>
          <w:rFonts w:ascii="宋体" w:hAnsi="宋体" w:eastAsia="宋体" w:cs="宋体"/>
          <w:sz w:val="20"/>
          <w:szCs w:val="20"/>
        </w:rPr>
      </w:pPr>
      <w:r>
        <w:rPr>
          <w:rFonts w:ascii="宋体" w:hAnsi="宋体" w:eastAsia="宋体" w:cs="宋体"/>
          <w:spacing w:val="10"/>
          <w:sz w:val="20"/>
          <w:szCs w:val="20"/>
        </w:rPr>
        <w:t>在保修期内，为了修复缺陷或损坏，承包人有权出入工程现场，除情况</w:t>
      </w:r>
      <w:r>
        <w:rPr>
          <w:rFonts w:ascii="宋体" w:hAnsi="宋体" w:eastAsia="宋体" w:cs="宋体"/>
          <w:spacing w:val="9"/>
          <w:sz w:val="20"/>
          <w:szCs w:val="20"/>
        </w:rPr>
        <w:t>紧急必须立即修复缺</w:t>
      </w:r>
      <w:r>
        <w:rPr>
          <w:rFonts w:ascii="宋体" w:hAnsi="宋体" w:eastAsia="宋体" w:cs="宋体"/>
          <w:spacing w:val="7"/>
          <w:sz w:val="20"/>
          <w:szCs w:val="20"/>
        </w:rPr>
        <w:t>陷或损坏外，承包人应提前</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24</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小时通知发包人进场修复</w:t>
      </w:r>
      <w:r>
        <w:rPr>
          <w:rFonts w:ascii="宋体" w:hAnsi="宋体" w:eastAsia="宋体" w:cs="宋体"/>
          <w:spacing w:val="6"/>
          <w:sz w:val="20"/>
          <w:szCs w:val="20"/>
        </w:rPr>
        <w:t>的时间。承包人进入工程现场前应获得发</w:t>
      </w:r>
      <w:r>
        <w:rPr>
          <w:rFonts w:ascii="宋体" w:hAnsi="宋体" w:eastAsia="宋体" w:cs="宋体"/>
          <w:spacing w:val="9"/>
          <w:sz w:val="20"/>
          <w:szCs w:val="20"/>
        </w:rPr>
        <w:t>包人同意，且不应影响发包人正常的生产经营，并应遵守发包人有关保安和保密等规定。</w:t>
      </w:r>
    </w:p>
    <w:p w14:paraId="553BB13B">
      <w:pPr>
        <w:pStyle w:val="2"/>
        <w:spacing w:before="37" w:line="224" w:lineRule="auto"/>
        <w:ind w:left="10"/>
        <w:outlineLvl w:val="2"/>
        <w:rPr>
          <w:sz w:val="28"/>
          <w:szCs w:val="28"/>
        </w:rPr>
      </w:pPr>
      <w:bookmarkStart w:id="278" w:name="bookmark260"/>
      <w:bookmarkEnd w:id="278"/>
      <w:r>
        <w:rPr>
          <w:rFonts w:ascii="Times New Roman" w:hAnsi="Times New Roman" w:eastAsia="Times New Roman" w:cs="Times New Roman"/>
          <w:b/>
          <w:bCs/>
          <w:spacing w:val="-7"/>
          <w:sz w:val="28"/>
          <w:szCs w:val="28"/>
        </w:rPr>
        <w:t>16.</w:t>
      </w:r>
      <w:r>
        <w:rPr>
          <w:rFonts w:ascii="Times New Roman" w:hAnsi="Times New Roman" w:eastAsia="Times New Roman" w:cs="Times New Roman"/>
          <w:b/>
          <w:bCs/>
          <w:spacing w:val="5"/>
          <w:sz w:val="28"/>
          <w:szCs w:val="28"/>
        </w:rPr>
        <w:t xml:space="preserve">  </w:t>
      </w:r>
      <w:r>
        <w:rPr>
          <w:b/>
          <w:bCs/>
          <w:spacing w:val="-7"/>
          <w:sz w:val="28"/>
          <w:szCs w:val="28"/>
        </w:rPr>
        <w:t>违约</w:t>
      </w:r>
    </w:p>
    <w:p w14:paraId="3EE66101">
      <w:pPr>
        <w:pStyle w:val="2"/>
        <w:spacing w:before="94" w:line="221" w:lineRule="auto"/>
        <w:ind w:left="7"/>
        <w:rPr>
          <w:sz w:val="24"/>
          <w:szCs w:val="24"/>
        </w:rPr>
      </w:pPr>
      <w:r>
        <w:rPr>
          <w:rFonts w:ascii="Times New Roman" w:hAnsi="Times New Roman" w:eastAsia="Times New Roman" w:cs="Times New Roman"/>
          <w:b/>
          <w:bCs/>
          <w:spacing w:val="-3"/>
          <w:sz w:val="24"/>
          <w:szCs w:val="24"/>
        </w:rPr>
        <w:t xml:space="preserve">16.1  </w:t>
      </w:r>
      <w:r>
        <w:rPr>
          <w:b/>
          <w:bCs/>
          <w:spacing w:val="-3"/>
          <w:sz w:val="24"/>
          <w:szCs w:val="24"/>
        </w:rPr>
        <w:t>发包人违约</w:t>
      </w:r>
    </w:p>
    <w:p w14:paraId="67ED4D29">
      <w:pPr>
        <w:spacing w:before="141" w:line="228" w:lineRule="auto"/>
        <w:ind w:left="436"/>
        <w:rPr>
          <w:rFonts w:ascii="宋体" w:hAnsi="宋体" w:eastAsia="宋体" w:cs="宋体"/>
          <w:sz w:val="20"/>
          <w:szCs w:val="20"/>
        </w:rPr>
      </w:pPr>
      <w:r>
        <w:rPr>
          <w:rFonts w:ascii="Times New Roman" w:hAnsi="Times New Roman" w:eastAsia="Times New Roman" w:cs="Times New Roman"/>
          <w:spacing w:val="3"/>
          <w:sz w:val="20"/>
          <w:szCs w:val="20"/>
        </w:rPr>
        <w:t>16.</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3"/>
          <w:sz w:val="20"/>
          <w:szCs w:val="20"/>
        </w:rPr>
        <w:t xml:space="preserve">1.1  </w:t>
      </w:r>
      <w:r>
        <w:rPr>
          <w:rFonts w:ascii="宋体" w:hAnsi="宋体" w:eastAsia="宋体" w:cs="宋体"/>
          <w:spacing w:val="3"/>
          <w:sz w:val="20"/>
          <w:szCs w:val="20"/>
        </w:rPr>
        <w:t>发包人违约的情形</w:t>
      </w:r>
    </w:p>
    <w:p w14:paraId="628F55F3">
      <w:pPr>
        <w:spacing w:before="151" w:line="228" w:lineRule="auto"/>
        <w:ind w:left="419"/>
        <w:rPr>
          <w:rFonts w:ascii="宋体" w:hAnsi="宋体" w:eastAsia="宋体" w:cs="宋体"/>
          <w:sz w:val="20"/>
          <w:szCs w:val="20"/>
        </w:rPr>
      </w:pPr>
      <w:r>
        <w:rPr>
          <w:rFonts w:ascii="宋体" w:hAnsi="宋体" w:eastAsia="宋体" w:cs="宋体"/>
          <w:spacing w:val="9"/>
          <w:sz w:val="20"/>
          <w:szCs w:val="20"/>
        </w:rPr>
        <w:t>在合同履行过程中发生的下列情形，属于发包人违约：</w:t>
      </w:r>
    </w:p>
    <w:p w14:paraId="26CC2F8F">
      <w:pPr>
        <w:spacing w:before="153"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）因发包人原因未能在计划开工日期前</w:t>
      </w:r>
      <w:r>
        <w:rPr>
          <w:rFonts w:ascii="宋体" w:hAnsi="宋体" w:eastAsia="宋体" w:cs="宋体"/>
          <w:spacing w:val="-40"/>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天内下达开工通</w:t>
      </w:r>
      <w:r>
        <w:rPr>
          <w:rFonts w:ascii="宋体" w:hAnsi="宋体" w:eastAsia="宋体" w:cs="宋体"/>
          <w:spacing w:val="7"/>
          <w:sz w:val="20"/>
          <w:szCs w:val="20"/>
        </w:rPr>
        <w:t>知的；</w:t>
      </w:r>
    </w:p>
    <w:p w14:paraId="7AEF0DD4">
      <w:pPr>
        <w:spacing w:before="155" w:line="226"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）因发包人原因未能按合同约定支付合同价款的；</w:t>
      </w:r>
    </w:p>
    <w:p w14:paraId="5E1B54DC">
      <w:pPr>
        <w:spacing w:before="153" w:line="370" w:lineRule="auto"/>
        <w:ind w:left="1" w:right="57" w:firstLine="42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）发包人违反第</w:t>
      </w:r>
      <w:r>
        <w:rPr>
          <w:rFonts w:ascii="宋体" w:hAnsi="宋体" w:eastAsia="宋体" w:cs="宋体"/>
          <w:spacing w:val="-21"/>
          <w:sz w:val="20"/>
          <w:szCs w:val="20"/>
        </w:rPr>
        <w:t xml:space="preserve"> </w:t>
      </w:r>
      <w:r>
        <w:rPr>
          <w:rFonts w:ascii="Times New Roman" w:hAnsi="Times New Roman" w:eastAsia="Times New Roman" w:cs="Times New Roman"/>
          <w:spacing w:val="6"/>
          <w:sz w:val="20"/>
          <w:szCs w:val="20"/>
        </w:rPr>
        <w:t xml:space="preserve">10.1 </w:t>
      </w:r>
      <w:r>
        <w:rPr>
          <w:rFonts w:ascii="宋体" w:hAnsi="宋体" w:eastAsia="宋体" w:cs="宋体"/>
          <w:spacing w:val="6"/>
          <w:sz w:val="20"/>
          <w:szCs w:val="20"/>
        </w:rPr>
        <w:t>款〔变更的范围〕第（</w:t>
      </w:r>
      <w:r>
        <w:rPr>
          <w:rFonts w:ascii="Times New Roman" w:hAnsi="Times New Roman" w:eastAsia="Times New Roman" w:cs="Times New Roman"/>
          <w:spacing w:val="6"/>
          <w:sz w:val="20"/>
          <w:szCs w:val="20"/>
        </w:rPr>
        <w:t>2</w:t>
      </w:r>
      <w:r>
        <w:rPr>
          <w:rFonts w:ascii="宋体" w:hAnsi="宋体" w:eastAsia="宋体" w:cs="宋体"/>
          <w:spacing w:val="6"/>
          <w:sz w:val="20"/>
          <w:szCs w:val="20"/>
        </w:rPr>
        <w:t>）项约定，</w:t>
      </w:r>
      <w:r>
        <w:rPr>
          <w:rFonts w:ascii="宋体" w:hAnsi="宋体" w:eastAsia="宋体" w:cs="宋体"/>
          <w:spacing w:val="-58"/>
          <w:sz w:val="20"/>
          <w:szCs w:val="20"/>
        </w:rPr>
        <w:t xml:space="preserve"> </w:t>
      </w:r>
      <w:r>
        <w:rPr>
          <w:rFonts w:ascii="宋体" w:hAnsi="宋体" w:eastAsia="宋体" w:cs="宋体"/>
          <w:spacing w:val="6"/>
          <w:sz w:val="20"/>
          <w:szCs w:val="20"/>
        </w:rPr>
        <w:t>自行实施被取消</w:t>
      </w:r>
      <w:r>
        <w:rPr>
          <w:rFonts w:ascii="宋体" w:hAnsi="宋体" w:eastAsia="宋体" w:cs="宋体"/>
          <w:spacing w:val="5"/>
          <w:sz w:val="20"/>
          <w:szCs w:val="20"/>
        </w:rPr>
        <w:t>的工作或转由他人实施的；</w:t>
      </w:r>
    </w:p>
    <w:p w14:paraId="7C08B05A">
      <w:pPr>
        <w:spacing w:before="2" w:line="368" w:lineRule="auto"/>
        <w:ind w:right="56"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）发包人提供的材料、工程设备的规格、数量或质量不符合合同约定</w:t>
      </w:r>
      <w:r>
        <w:rPr>
          <w:rFonts w:ascii="宋体" w:hAnsi="宋体" w:eastAsia="宋体" w:cs="宋体"/>
          <w:spacing w:val="6"/>
          <w:sz w:val="20"/>
          <w:szCs w:val="20"/>
        </w:rPr>
        <w:t>，或因发包人原因导</w:t>
      </w:r>
      <w:r>
        <w:rPr>
          <w:rFonts w:ascii="宋体" w:hAnsi="宋体" w:eastAsia="宋体" w:cs="宋体"/>
          <w:spacing w:val="8"/>
          <w:sz w:val="20"/>
          <w:szCs w:val="20"/>
        </w:rPr>
        <w:t>致交货日期延误或交货地点变更等情况的；</w:t>
      </w:r>
    </w:p>
    <w:p w14:paraId="201C1F72">
      <w:pPr>
        <w:spacing w:line="368" w:lineRule="auto"/>
        <w:rPr>
          <w:rFonts w:ascii="宋体" w:hAnsi="宋体" w:eastAsia="宋体" w:cs="宋体"/>
          <w:sz w:val="20"/>
          <w:szCs w:val="20"/>
        </w:rPr>
        <w:sectPr>
          <w:footerReference r:id="rId276" w:type="default"/>
          <w:pgSz w:w="11906" w:h="16839"/>
          <w:pgMar w:top="400" w:right="1500" w:bottom="1038" w:left="1539" w:header="0" w:footer="787" w:gutter="0"/>
          <w:cols w:space="720" w:num="1"/>
        </w:sectPr>
      </w:pPr>
    </w:p>
    <w:p w14:paraId="169136E0">
      <w:pPr>
        <w:spacing w:line="271" w:lineRule="auto"/>
        <w:rPr>
          <w:rFonts w:ascii="Arial"/>
          <w:sz w:val="21"/>
        </w:rPr>
      </w:pPr>
    </w:p>
    <w:p w14:paraId="34598060">
      <w:pPr>
        <w:spacing w:line="272" w:lineRule="auto"/>
        <w:rPr>
          <w:rFonts w:ascii="Arial"/>
          <w:sz w:val="21"/>
        </w:rPr>
      </w:pPr>
    </w:p>
    <w:p w14:paraId="68871F7E">
      <w:pPr>
        <w:spacing w:line="272" w:lineRule="auto"/>
        <w:rPr>
          <w:rFonts w:ascii="Arial"/>
          <w:sz w:val="21"/>
        </w:rPr>
      </w:pPr>
    </w:p>
    <w:p w14:paraId="576D0F1F">
      <w:pPr>
        <w:spacing w:line="272" w:lineRule="auto"/>
        <w:rPr>
          <w:rFonts w:ascii="Arial"/>
          <w:sz w:val="21"/>
        </w:rPr>
      </w:pPr>
    </w:p>
    <w:p w14:paraId="43A742AA">
      <w:pPr>
        <w:spacing w:before="65"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）因发包人违反合同约定造成暂停施工的；</w:t>
      </w:r>
    </w:p>
    <w:p w14:paraId="697348B5">
      <w:pPr>
        <w:spacing w:before="150"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6</w:t>
      </w:r>
      <w:r>
        <w:rPr>
          <w:rFonts w:ascii="宋体" w:hAnsi="宋体" w:eastAsia="宋体" w:cs="宋体"/>
          <w:spacing w:val="9"/>
          <w:sz w:val="20"/>
          <w:szCs w:val="20"/>
        </w:rPr>
        <w:t>）发包人无正当理由没有在约定期限内发出复工指示，导致承包人无法复工的；</w:t>
      </w:r>
    </w:p>
    <w:p w14:paraId="1E2D56F7">
      <w:pPr>
        <w:spacing w:before="153"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7</w:t>
      </w:r>
      <w:r>
        <w:rPr>
          <w:rFonts w:ascii="宋体" w:hAnsi="宋体" w:eastAsia="宋体" w:cs="宋体"/>
          <w:spacing w:val="9"/>
          <w:sz w:val="20"/>
          <w:szCs w:val="20"/>
        </w:rPr>
        <w:t>）发包人明确表示或者以其行为表明不履</w:t>
      </w:r>
      <w:r>
        <w:rPr>
          <w:rFonts w:ascii="宋体" w:hAnsi="宋体" w:eastAsia="宋体" w:cs="宋体"/>
          <w:spacing w:val="8"/>
          <w:sz w:val="20"/>
          <w:szCs w:val="20"/>
        </w:rPr>
        <w:t>行合同主要义务的；</w:t>
      </w:r>
    </w:p>
    <w:p w14:paraId="34CB377B">
      <w:pPr>
        <w:spacing w:before="153"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8</w:t>
      </w:r>
      <w:r>
        <w:rPr>
          <w:rFonts w:ascii="宋体" w:hAnsi="宋体" w:eastAsia="宋体" w:cs="宋体"/>
          <w:spacing w:val="8"/>
          <w:sz w:val="20"/>
          <w:szCs w:val="20"/>
        </w:rPr>
        <w:t>）发包人未能按照合同约定履行其他义务的。</w:t>
      </w:r>
    </w:p>
    <w:p w14:paraId="654F3421">
      <w:pPr>
        <w:spacing w:before="153" w:line="369" w:lineRule="auto"/>
        <w:ind w:right="73" w:firstLine="422"/>
        <w:jc w:val="both"/>
        <w:rPr>
          <w:rFonts w:ascii="宋体" w:hAnsi="宋体" w:eastAsia="宋体" w:cs="宋体"/>
          <w:sz w:val="20"/>
          <w:szCs w:val="20"/>
        </w:rPr>
      </w:pPr>
      <w:r>
        <w:rPr>
          <w:rFonts w:ascii="宋体" w:hAnsi="宋体" w:eastAsia="宋体" w:cs="宋体"/>
          <w:spacing w:val="7"/>
          <w:sz w:val="20"/>
          <w:szCs w:val="20"/>
        </w:rPr>
        <w:t>发包人发生除本项第（</w:t>
      </w:r>
      <w:r>
        <w:rPr>
          <w:rFonts w:ascii="Times New Roman" w:hAnsi="Times New Roman" w:eastAsia="Times New Roman" w:cs="Times New Roman"/>
          <w:spacing w:val="7"/>
          <w:sz w:val="20"/>
          <w:szCs w:val="20"/>
        </w:rPr>
        <w:t>7</w:t>
      </w:r>
      <w:r>
        <w:rPr>
          <w:rFonts w:ascii="宋体" w:hAnsi="宋体" w:eastAsia="宋体" w:cs="宋体"/>
          <w:spacing w:val="7"/>
          <w:sz w:val="20"/>
          <w:szCs w:val="20"/>
        </w:rPr>
        <w:t>）目以外的违约情况时，承包人可向发包人发出通知，要求发包</w:t>
      </w:r>
      <w:r>
        <w:rPr>
          <w:rFonts w:ascii="宋体" w:hAnsi="宋体" w:eastAsia="宋体" w:cs="宋体"/>
          <w:spacing w:val="6"/>
          <w:sz w:val="20"/>
          <w:szCs w:val="20"/>
        </w:rPr>
        <w:t>人采</w:t>
      </w:r>
      <w:r>
        <w:rPr>
          <w:rFonts w:ascii="宋体" w:hAnsi="宋体" w:eastAsia="宋体" w:cs="宋体"/>
          <w:spacing w:val="7"/>
          <w:sz w:val="20"/>
          <w:szCs w:val="20"/>
        </w:rPr>
        <w:t>取有效措施纠正违约行为。发包人收到承包人通知后</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w:t>
      </w:r>
      <w:r>
        <w:rPr>
          <w:rFonts w:ascii="宋体" w:hAnsi="宋体" w:eastAsia="宋体" w:cs="宋体"/>
          <w:spacing w:val="6"/>
          <w:sz w:val="20"/>
          <w:szCs w:val="20"/>
        </w:rPr>
        <w:t>内仍不纠正违约行为的，承包人有权暂</w:t>
      </w:r>
      <w:r>
        <w:rPr>
          <w:rFonts w:ascii="宋体" w:hAnsi="宋体" w:eastAsia="宋体" w:cs="宋体"/>
          <w:spacing w:val="8"/>
          <w:sz w:val="20"/>
          <w:szCs w:val="20"/>
        </w:rPr>
        <w:t>停相应部位工程施工，并通知监理人。</w:t>
      </w:r>
    </w:p>
    <w:p w14:paraId="6C6E899B">
      <w:pPr>
        <w:spacing w:before="1" w:line="227" w:lineRule="auto"/>
        <w:ind w:left="436"/>
        <w:rPr>
          <w:rFonts w:ascii="宋体" w:hAnsi="宋体" w:eastAsia="宋体" w:cs="宋体"/>
          <w:sz w:val="20"/>
          <w:szCs w:val="20"/>
        </w:rPr>
      </w:pPr>
      <w:r>
        <w:rPr>
          <w:rFonts w:ascii="Times New Roman" w:hAnsi="Times New Roman" w:eastAsia="Times New Roman" w:cs="Times New Roman"/>
          <w:spacing w:val="3"/>
          <w:sz w:val="20"/>
          <w:szCs w:val="20"/>
        </w:rPr>
        <w:t>16.</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3"/>
          <w:sz w:val="20"/>
          <w:szCs w:val="20"/>
        </w:rPr>
        <w:t xml:space="preserve">1.2  </w:t>
      </w:r>
      <w:r>
        <w:rPr>
          <w:rFonts w:ascii="宋体" w:hAnsi="宋体" w:eastAsia="宋体" w:cs="宋体"/>
          <w:spacing w:val="3"/>
          <w:sz w:val="20"/>
          <w:szCs w:val="20"/>
        </w:rPr>
        <w:t>发包人违约的责任</w:t>
      </w:r>
    </w:p>
    <w:p w14:paraId="4AFD8C37">
      <w:pPr>
        <w:spacing w:before="154" w:line="369" w:lineRule="auto"/>
        <w:ind w:firstLine="422"/>
        <w:rPr>
          <w:rFonts w:ascii="宋体" w:hAnsi="宋体" w:eastAsia="宋体" w:cs="宋体"/>
          <w:sz w:val="20"/>
          <w:szCs w:val="20"/>
        </w:rPr>
      </w:pPr>
      <w:r>
        <w:rPr>
          <w:rFonts w:ascii="宋体" w:hAnsi="宋体" w:eastAsia="宋体" w:cs="宋体"/>
          <w:spacing w:val="6"/>
          <w:sz w:val="20"/>
          <w:szCs w:val="20"/>
        </w:rPr>
        <w:t>发包人应承担因其违约给承包人增加的费用和（或）延误的工期，并支付承包人合理的利润。</w:t>
      </w:r>
      <w:r>
        <w:rPr>
          <w:rFonts w:ascii="宋体" w:hAnsi="宋体" w:eastAsia="宋体" w:cs="宋体"/>
          <w:spacing w:val="9"/>
          <w:sz w:val="20"/>
          <w:szCs w:val="20"/>
        </w:rPr>
        <w:t>此外，合同当事人可在专用合同条款中另行约定发包人违约责任的承担方式和计算方法。</w:t>
      </w:r>
    </w:p>
    <w:p w14:paraId="171D81CD">
      <w:pPr>
        <w:spacing w:line="227" w:lineRule="auto"/>
        <w:ind w:left="436"/>
        <w:rPr>
          <w:rFonts w:ascii="宋体" w:hAnsi="宋体" w:eastAsia="宋体" w:cs="宋体"/>
          <w:sz w:val="20"/>
          <w:szCs w:val="20"/>
        </w:rPr>
      </w:pPr>
      <w:r>
        <w:rPr>
          <w:rFonts w:ascii="Times New Roman" w:hAnsi="Times New Roman" w:eastAsia="Times New Roman" w:cs="Times New Roman"/>
          <w:spacing w:val="3"/>
          <w:sz w:val="20"/>
          <w:szCs w:val="20"/>
        </w:rPr>
        <w:t>16.</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3"/>
          <w:sz w:val="20"/>
          <w:szCs w:val="20"/>
        </w:rPr>
        <w:t>1.3</w:t>
      </w:r>
      <w:r>
        <w:rPr>
          <w:rFonts w:ascii="Times New Roman" w:hAnsi="Times New Roman" w:eastAsia="Times New Roman" w:cs="Times New Roman"/>
          <w:spacing w:val="14"/>
          <w:w w:val="101"/>
          <w:sz w:val="20"/>
          <w:szCs w:val="20"/>
        </w:rPr>
        <w:t xml:space="preserve">  </w:t>
      </w:r>
      <w:r>
        <w:rPr>
          <w:rFonts w:ascii="宋体" w:hAnsi="宋体" w:eastAsia="宋体" w:cs="宋体"/>
          <w:spacing w:val="3"/>
          <w:sz w:val="20"/>
          <w:szCs w:val="20"/>
        </w:rPr>
        <w:t>因发包人违约解除合同</w:t>
      </w:r>
    </w:p>
    <w:p w14:paraId="77B65BCC">
      <w:pPr>
        <w:spacing w:before="156" w:line="369" w:lineRule="auto"/>
        <w:ind w:right="69" w:firstLine="432"/>
        <w:rPr>
          <w:rFonts w:ascii="宋体" w:hAnsi="宋体" w:eastAsia="宋体" w:cs="宋体"/>
          <w:sz w:val="20"/>
          <w:szCs w:val="20"/>
        </w:rPr>
      </w:pPr>
      <w:r>
        <w:rPr>
          <w:rFonts w:ascii="宋体" w:hAnsi="宋体" w:eastAsia="宋体" w:cs="宋体"/>
          <w:spacing w:val="6"/>
          <w:sz w:val="20"/>
          <w:szCs w:val="20"/>
        </w:rPr>
        <w:t>除专用合同条款另有约定外，承包人按第</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1.1</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项〔发包人违约的</w:t>
      </w:r>
      <w:r>
        <w:rPr>
          <w:rFonts w:ascii="宋体" w:hAnsi="宋体" w:eastAsia="宋体" w:cs="宋体"/>
          <w:spacing w:val="5"/>
          <w:sz w:val="20"/>
          <w:szCs w:val="20"/>
        </w:rPr>
        <w:t>情形〕约定暂停施工满</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28</w:t>
      </w:r>
      <w:r>
        <w:rPr>
          <w:rFonts w:ascii="宋体" w:hAnsi="宋体" w:eastAsia="宋体" w:cs="宋体"/>
          <w:spacing w:val="8"/>
          <w:sz w:val="20"/>
          <w:szCs w:val="20"/>
        </w:rPr>
        <w:t>天后，发包人仍不纠正其违约行为并致使合同目的不能实现的，或出现第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1.1 </w:t>
      </w:r>
      <w:r>
        <w:rPr>
          <w:rFonts w:ascii="宋体" w:hAnsi="宋体" w:eastAsia="宋体" w:cs="宋体"/>
          <w:spacing w:val="7"/>
          <w:sz w:val="20"/>
          <w:szCs w:val="20"/>
        </w:rPr>
        <w:t>项〔发包人违约</w:t>
      </w:r>
      <w:r>
        <w:rPr>
          <w:rFonts w:ascii="宋体" w:hAnsi="宋体" w:eastAsia="宋体" w:cs="宋体"/>
          <w:spacing w:val="6"/>
          <w:sz w:val="20"/>
          <w:szCs w:val="20"/>
        </w:rPr>
        <w:t>的情形〕第（</w:t>
      </w:r>
      <w:r>
        <w:rPr>
          <w:rFonts w:ascii="Times New Roman" w:hAnsi="Times New Roman" w:eastAsia="Times New Roman" w:cs="Times New Roman"/>
          <w:spacing w:val="6"/>
          <w:sz w:val="20"/>
          <w:szCs w:val="20"/>
        </w:rPr>
        <w:t>7</w:t>
      </w:r>
      <w:r>
        <w:rPr>
          <w:rFonts w:ascii="宋体" w:hAnsi="宋体" w:eastAsia="宋体" w:cs="宋体"/>
          <w:spacing w:val="6"/>
          <w:sz w:val="20"/>
          <w:szCs w:val="20"/>
        </w:rPr>
        <w:t>）</w:t>
      </w:r>
      <w:r>
        <w:rPr>
          <w:rFonts w:ascii="宋体" w:hAnsi="宋体" w:eastAsia="宋体" w:cs="宋体"/>
          <w:spacing w:val="-50"/>
          <w:sz w:val="20"/>
          <w:szCs w:val="20"/>
        </w:rPr>
        <w:t xml:space="preserve"> </w:t>
      </w:r>
      <w:r>
        <w:rPr>
          <w:rFonts w:ascii="宋体" w:hAnsi="宋体" w:eastAsia="宋体" w:cs="宋体"/>
          <w:spacing w:val="6"/>
          <w:sz w:val="20"/>
          <w:szCs w:val="20"/>
        </w:rPr>
        <w:t>目约定的违约情况，承包人有权解除合同，发包人应承担由此增加的费用，并支</w:t>
      </w:r>
      <w:r>
        <w:rPr>
          <w:rFonts w:ascii="宋体" w:hAnsi="宋体" w:eastAsia="宋体" w:cs="宋体"/>
          <w:spacing w:val="8"/>
          <w:sz w:val="20"/>
          <w:szCs w:val="20"/>
        </w:rPr>
        <w:t>付承包人合理的利润。</w:t>
      </w:r>
    </w:p>
    <w:p w14:paraId="6EA34E50">
      <w:pPr>
        <w:spacing w:before="1" w:line="227" w:lineRule="auto"/>
        <w:ind w:left="436"/>
        <w:rPr>
          <w:rFonts w:ascii="宋体" w:hAnsi="宋体" w:eastAsia="宋体" w:cs="宋体"/>
          <w:sz w:val="20"/>
          <w:szCs w:val="20"/>
        </w:rPr>
      </w:pPr>
      <w:r>
        <w:rPr>
          <w:rFonts w:ascii="Times New Roman" w:hAnsi="Times New Roman" w:eastAsia="Times New Roman" w:cs="Times New Roman"/>
          <w:spacing w:val="5"/>
          <w:sz w:val="20"/>
          <w:szCs w:val="20"/>
        </w:rPr>
        <w:t>16.</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5"/>
          <w:sz w:val="20"/>
          <w:szCs w:val="20"/>
        </w:rPr>
        <w:t xml:space="preserve">1.4  </w:t>
      </w:r>
      <w:r>
        <w:rPr>
          <w:rFonts w:ascii="宋体" w:hAnsi="宋体" w:eastAsia="宋体" w:cs="宋体"/>
          <w:spacing w:val="5"/>
          <w:sz w:val="20"/>
          <w:szCs w:val="20"/>
        </w:rPr>
        <w:t>因发包人违约解除合同后的付款</w:t>
      </w:r>
    </w:p>
    <w:p w14:paraId="3C112B74">
      <w:pPr>
        <w:spacing w:before="152" w:line="370" w:lineRule="auto"/>
        <w:ind w:right="70" w:firstLine="419"/>
        <w:rPr>
          <w:rFonts w:ascii="宋体" w:hAnsi="宋体" w:eastAsia="宋体" w:cs="宋体"/>
          <w:sz w:val="20"/>
          <w:szCs w:val="20"/>
        </w:rPr>
      </w:pPr>
      <w:r>
        <w:rPr>
          <w:rFonts w:ascii="宋体" w:hAnsi="宋体" w:eastAsia="宋体" w:cs="宋体"/>
          <w:spacing w:val="7"/>
          <w:sz w:val="20"/>
          <w:szCs w:val="20"/>
        </w:rPr>
        <w:t>承包人按照本款约定解除合同的，发包人应在解</w:t>
      </w:r>
      <w:r>
        <w:rPr>
          <w:rFonts w:ascii="宋体" w:hAnsi="宋体" w:eastAsia="宋体" w:cs="宋体"/>
          <w:spacing w:val="6"/>
          <w:sz w:val="20"/>
          <w:szCs w:val="20"/>
        </w:rPr>
        <w:t>除合同后</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28</w:t>
      </w:r>
      <w:r>
        <w:rPr>
          <w:rFonts w:ascii="Times New Roman" w:hAnsi="Times New Roman" w:eastAsia="Times New Roman" w:cs="Times New Roman"/>
          <w:spacing w:val="17"/>
          <w:sz w:val="20"/>
          <w:szCs w:val="20"/>
        </w:rPr>
        <w:t xml:space="preserve"> </w:t>
      </w:r>
      <w:r>
        <w:rPr>
          <w:rFonts w:ascii="宋体" w:hAnsi="宋体" w:eastAsia="宋体" w:cs="宋体"/>
          <w:spacing w:val="6"/>
          <w:sz w:val="20"/>
          <w:szCs w:val="20"/>
        </w:rPr>
        <w:t>天内支付下列款项，并解除履约</w:t>
      </w:r>
      <w:r>
        <w:rPr>
          <w:rFonts w:ascii="宋体" w:hAnsi="宋体" w:eastAsia="宋体" w:cs="宋体"/>
          <w:spacing w:val="2"/>
          <w:sz w:val="20"/>
          <w:szCs w:val="20"/>
        </w:rPr>
        <w:t>担保：</w:t>
      </w:r>
    </w:p>
    <w:p w14:paraId="5D100F62">
      <w:pPr>
        <w:spacing w:line="226"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）合同解除前所完成工作的价款；</w:t>
      </w:r>
    </w:p>
    <w:p w14:paraId="4E7C4A0B">
      <w:pPr>
        <w:spacing w:before="153" w:line="226"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）承包人为工程施工订购并已付款的材料、工程设备和其他物品的</w:t>
      </w:r>
      <w:r>
        <w:rPr>
          <w:rFonts w:ascii="宋体" w:hAnsi="宋体" w:eastAsia="宋体" w:cs="宋体"/>
          <w:spacing w:val="8"/>
          <w:sz w:val="20"/>
          <w:szCs w:val="20"/>
        </w:rPr>
        <w:t>价款；</w:t>
      </w:r>
    </w:p>
    <w:p w14:paraId="35EF7238">
      <w:pPr>
        <w:spacing w:before="156"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）承包人撤离施工现场以及遣散承包人人员的款项；</w:t>
      </w:r>
    </w:p>
    <w:p w14:paraId="5490BFD8">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）按照合同约定在合同解除前应支付的违约金；</w:t>
      </w:r>
    </w:p>
    <w:p w14:paraId="6CB49C30">
      <w:pPr>
        <w:spacing w:before="151"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）按照合同约定应当支付给承包人的其他款项；</w:t>
      </w:r>
    </w:p>
    <w:p w14:paraId="555746AA">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）按照合同约定应退还的质量保证金；</w:t>
      </w:r>
    </w:p>
    <w:p w14:paraId="2540695A">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7</w:t>
      </w:r>
      <w:r>
        <w:rPr>
          <w:rFonts w:ascii="宋体" w:hAnsi="宋体" w:eastAsia="宋体" w:cs="宋体"/>
          <w:spacing w:val="8"/>
          <w:sz w:val="20"/>
          <w:szCs w:val="20"/>
        </w:rPr>
        <w:t>）因解除合同给承包人造成的损失。</w:t>
      </w:r>
    </w:p>
    <w:p w14:paraId="7DFA75DC">
      <w:pPr>
        <w:spacing w:before="151" w:line="228" w:lineRule="auto"/>
        <w:ind w:left="420"/>
        <w:rPr>
          <w:rFonts w:ascii="宋体" w:hAnsi="宋体" w:eastAsia="宋体" w:cs="宋体"/>
          <w:sz w:val="20"/>
          <w:szCs w:val="20"/>
        </w:rPr>
      </w:pPr>
      <w:r>
        <w:rPr>
          <w:rFonts w:ascii="宋体" w:hAnsi="宋体" w:eastAsia="宋体" w:cs="宋体"/>
          <w:spacing w:val="9"/>
          <w:sz w:val="20"/>
          <w:szCs w:val="20"/>
        </w:rPr>
        <w:t>合同当事人未能就解除合同后的结清达成一致的，按照第</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20 </w:t>
      </w:r>
      <w:r>
        <w:rPr>
          <w:rFonts w:ascii="宋体" w:hAnsi="宋体" w:eastAsia="宋体" w:cs="宋体"/>
          <w:spacing w:val="9"/>
          <w:sz w:val="20"/>
          <w:szCs w:val="20"/>
        </w:rPr>
        <w:t>条〔争议解决〕的约定</w:t>
      </w:r>
      <w:r>
        <w:rPr>
          <w:rFonts w:ascii="宋体" w:hAnsi="宋体" w:eastAsia="宋体" w:cs="宋体"/>
          <w:spacing w:val="8"/>
          <w:sz w:val="20"/>
          <w:szCs w:val="20"/>
        </w:rPr>
        <w:t>处理。</w:t>
      </w:r>
    </w:p>
    <w:p w14:paraId="4AF9403C">
      <w:pPr>
        <w:spacing w:before="154" w:line="358" w:lineRule="auto"/>
        <w:ind w:left="2" w:right="71" w:firstLine="417"/>
        <w:rPr>
          <w:rFonts w:ascii="宋体" w:hAnsi="宋体" w:eastAsia="宋体" w:cs="宋体"/>
          <w:sz w:val="20"/>
          <w:szCs w:val="20"/>
        </w:rPr>
      </w:pPr>
      <w:r>
        <w:rPr>
          <w:rFonts w:ascii="宋体" w:hAnsi="宋体" w:eastAsia="宋体" w:cs="宋体"/>
          <w:spacing w:val="10"/>
          <w:sz w:val="20"/>
          <w:szCs w:val="20"/>
        </w:rPr>
        <w:t>承包人应妥善做好已完工程和与工程有关的已购材料、工程设备的保</w:t>
      </w:r>
      <w:r>
        <w:rPr>
          <w:rFonts w:ascii="宋体" w:hAnsi="宋体" w:eastAsia="宋体" w:cs="宋体"/>
          <w:spacing w:val="9"/>
          <w:sz w:val="20"/>
          <w:szCs w:val="20"/>
        </w:rPr>
        <w:t>护和移交工作，并将施工设备和人员撤出施工现场，发包人应为承包人撤出提供必要条件。</w:t>
      </w:r>
    </w:p>
    <w:p w14:paraId="6344DA89">
      <w:pPr>
        <w:pStyle w:val="2"/>
        <w:spacing w:line="222" w:lineRule="auto"/>
        <w:ind w:left="7"/>
        <w:rPr>
          <w:sz w:val="24"/>
          <w:szCs w:val="24"/>
        </w:rPr>
      </w:pPr>
      <w:r>
        <w:rPr>
          <w:rFonts w:ascii="Times New Roman" w:hAnsi="Times New Roman" w:eastAsia="Times New Roman" w:cs="Times New Roman"/>
          <w:b/>
          <w:bCs/>
          <w:spacing w:val="-3"/>
          <w:sz w:val="24"/>
          <w:szCs w:val="24"/>
        </w:rPr>
        <w:t xml:space="preserve">16.2  </w:t>
      </w:r>
      <w:r>
        <w:rPr>
          <w:b/>
          <w:bCs/>
          <w:spacing w:val="-3"/>
          <w:sz w:val="24"/>
          <w:szCs w:val="24"/>
        </w:rPr>
        <w:t>承包人违约</w:t>
      </w:r>
    </w:p>
    <w:p w14:paraId="27E10883">
      <w:pPr>
        <w:spacing w:before="136" w:line="228" w:lineRule="auto"/>
        <w:ind w:left="436"/>
        <w:rPr>
          <w:rFonts w:ascii="宋体" w:hAnsi="宋体" w:eastAsia="宋体" w:cs="宋体"/>
          <w:sz w:val="20"/>
          <w:szCs w:val="20"/>
        </w:rPr>
      </w:pPr>
      <w:r>
        <w:rPr>
          <w:rFonts w:ascii="Times New Roman" w:hAnsi="Times New Roman" w:eastAsia="Times New Roman" w:cs="Times New Roman"/>
          <w:spacing w:val="5"/>
          <w:sz w:val="20"/>
          <w:szCs w:val="20"/>
        </w:rPr>
        <w:t xml:space="preserve">16.2.1  </w:t>
      </w:r>
      <w:r>
        <w:rPr>
          <w:rFonts w:ascii="宋体" w:hAnsi="宋体" w:eastAsia="宋体" w:cs="宋体"/>
          <w:spacing w:val="5"/>
          <w:sz w:val="20"/>
          <w:szCs w:val="20"/>
        </w:rPr>
        <w:t>承包人违约的情形</w:t>
      </w:r>
    </w:p>
    <w:p w14:paraId="20E74F93">
      <w:pPr>
        <w:spacing w:before="153" w:line="228" w:lineRule="auto"/>
        <w:ind w:left="419"/>
        <w:rPr>
          <w:rFonts w:ascii="宋体" w:hAnsi="宋体" w:eastAsia="宋体" w:cs="宋体"/>
          <w:sz w:val="20"/>
          <w:szCs w:val="20"/>
        </w:rPr>
      </w:pPr>
      <w:r>
        <w:rPr>
          <w:rFonts w:ascii="宋体" w:hAnsi="宋体" w:eastAsia="宋体" w:cs="宋体"/>
          <w:spacing w:val="9"/>
          <w:sz w:val="20"/>
          <w:szCs w:val="20"/>
        </w:rPr>
        <w:t>在合同履行过程中发生的下列情形，属于承包人违约：</w:t>
      </w:r>
    </w:p>
    <w:p w14:paraId="5950C8AF">
      <w:pPr>
        <w:spacing w:before="152"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）承包人违反合同约定进行转包或违法分包的；</w:t>
      </w:r>
    </w:p>
    <w:p w14:paraId="7EE01CC4">
      <w:pPr>
        <w:spacing w:before="154" w:line="227"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）承包人违反合同约定采购和使用不合格的材料</w:t>
      </w:r>
      <w:r>
        <w:rPr>
          <w:rFonts w:ascii="宋体" w:hAnsi="宋体" w:eastAsia="宋体" w:cs="宋体"/>
          <w:spacing w:val="8"/>
          <w:sz w:val="20"/>
          <w:szCs w:val="20"/>
        </w:rPr>
        <w:t>和工程设备的；</w:t>
      </w:r>
    </w:p>
    <w:p w14:paraId="797A330E">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）因承包人原因导致工程质量不符合合同要求的；</w:t>
      </w:r>
    </w:p>
    <w:p w14:paraId="4D3D0E1A">
      <w:pPr>
        <w:spacing w:before="152"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）承包人违反第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8.9 </w:t>
      </w:r>
      <w:r>
        <w:rPr>
          <w:rFonts w:ascii="宋体" w:hAnsi="宋体" w:eastAsia="宋体" w:cs="宋体"/>
          <w:spacing w:val="7"/>
          <w:sz w:val="20"/>
          <w:szCs w:val="20"/>
        </w:rPr>
        <w:t>款〔材料与设备专用要求〕的约定，未经批准，私自将已按照合同约</w:t>
      </w:r>
    </w:p>
    <w:p w14:paraId="01A02014">
      <w:pPr>
        <w:spacing w:line="227" w:lineRule="auto"/>
        <w:rPr>
          <w:rFonts w:ascii="宋体" w:hAnsi="宋体" w:eastAsia="宋体" w:cs="宋体"/>
          <w:sz w:val="20"/>
          <w:szCs w:val="20"/>
        </w:rPr>
        <w:sectPr>
          <w:footerReference r:id="rId277" w:type="default"/>
          <w:pgSz w:w="11906" w:h="16839"/>
          <w:pgMar w:top="400" w:right="1483" w:bottom="1038" w:left="1539" w:header="0" w:footer="787" w:gutter="0"/>
          <w:cols w:space="720" w:num="1"/>
        </w:sectPr>
      </w:pPr>
    </w:p>
    <w:p w14:paraId="174595AC">
      <w:pPr>
        <w:spacing w:line="271" w:lineRule="auto"/>
        <w:rPr>
          <w:rFonts w:ascii="Arial"/>
          <w:sz w:val="21"/>
        </w:rPr>
      </w:pPr>
    </w:p>
    <w:p w14:paraId="5E389B9C">
      <w:pPr>
        <w:spacing w:line="272" w:lineRule="auto"/>
        <w:rPr>
          <w:rFonts w:ascii="Arial"/>
          <w:sz w:val="21"/>
        </w:rPr>
      </w:pPr>
    </w:p>
    <w:p w14:paraId="1920BEDB">
      <w:pPr>
        <w:spacing w:line="272" w:lineRule="auto"/>
        <w:rPr>
          <w:rFonts w:ascii="Arial"/>
          <w:sz w:val="21"/>
        </w:rPr>
      </w:pPr>
    </w:p>
    <w:p w14:paraId="1ADE6CCE">
      <w:pPr>
        <w:spacing w:line="272" w:lineRule="auto"/>
        <w:rPr>
          <w:rFonts w:ascii="Arial"/>
          <w:sz w:val="21"/>
        </w:rPr>
      </w:pPr>
    </w:p>
    <w:p w14:paraId="79F97807">
      <w:pPr>
        <w:spacing w:before="65" w:line="227" w:lineRule="auto"/>
        <w:ind w:left="6"/>
        <w:rPr>
          <w:rFonts w:ascii="宋体" w:hAnsi="宋体" w:eastAsia="宋体" w:cs="宋体"/>
          <w:sz w:val="20"/>
          <w:szCs w:val="20"/>
        </w:rPr>
      </w:pPr>
      <w:r>
        <w:rPr>
          <w:rFonts w:ascii="宋体" w:hAnsi="宋体" w:eastAsia="宋体" w:cs="宋体"/>
          <w:spacing w:val="8"/>
          <w:sz w:val="20"/>
          <w:szCs w:val="20"/>
        </w:rPr>
        <w:t>定进入施工现场的材料或设备撤离施工现场的；</w:t>
      </w:r>
    </w:p>
    <w:p w14:paraId="1E3A531A">
      <w:pPr>
        <w:spacing w:before="152" w:line="228" w:lineRule="auto"/>
        <w:ind w:left="431"/>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5</w:t>
      </w:r>
      <w:r>
        <w:rPr>
          <w:rFonts w:ascii="宋体" w:hAnsi="宋体" w:eastAsia="宋体" w:cs="宋体"/>
          <w:spacing w:val="9"/>
          <w:sz w:val="20"/>
          <w:szCs w:val="20"/>
        </w:rPr>
        <w:t>）承包人未能按施工进度计划及时完成合同约定的工作，造成工期延</w:t>
      </w:r>
      <w:r>
        <w:rPr>
          <w:rFonts w:ascii="宋体" w:hAnsi="宋体" w:eastAsia="宋体" w:cs="宋体"/>
          <w:spacing w:val="8"/>
          <w:sz w:val="20"/>
          <w:szCs w:val="20"/>
        </w:rPr>
        <w:t>误的；</w:t>
      </w:r>
    </w:p>
    <w:p w14:paraId="0BB12F13">
      <w:pPr>
        <w:spacing w:before="153" w:line="369" w:lineRule="auto"/>
        <w:ind w:left="3" w:right="56" w:firstLine="42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6</w:t>
      </w:r>
      <w:r>
        <w:rPr>
          <w:rFonts w:ascii="宋体" w:hAnsi="宋体" w:eastAsia="宋体" w:cs="宋体"/>
          <w:spacing w:val="7"/>
          <w:sz w:val="20"/>
          <w:szCs w:val="20"/>
        </w:rPr>
        <w:t>）承包人在缺陷责任期及保修期内，未能在合理期限对工程缺陷进行</w:t>
      </w:r>
      <w:r>
        <w:rPr>
          <w:rFonts w:ascii="宋体" w:hAnsi="宋体" w:eastAsia="宋体" w:cs="宋体"/>
          <w:spacing w:val="6"/>
          <w:sz w:val="20"/>
          <w:szCs w:val="20"/>
        </w:rPr>
        <w:t>修复，或拒绝按发包</w:t>
      </w:r>
      <w:r>
        <w:rPr>
          <w:rFonts w:ascii="宋体" w:hAnsi="宋体" w:eastAsia="宋体" w:cs="宋体"/>
          <w:spacing w:val="7"/>
          <w:sz w:val="20"/>
          <w:szCs w:val="20"/>
        </w:rPr>
        <w:t>人要求进行修复的；</w:t>
      </w:r>
    </w:p>
    <w:p w14:paraId="06338959">
      <w:pPr>
        <w:spacing w:line="227" w:lineRule="auto"/>
        <w:ind w:left="431"/>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7</w:t>
      </w:r>
      <w:r>
        <w:rPr>
          <w:rFonts w:ascii="宋体" w:hAnsi="宋体" w:eastAsia="宋体" w:cs="宋体"/>
          <w:spacing w:val="9"/>
          <w:sz w:val="20"/>
          <w:szCs w:val="20"/>
        </w:rPr>
        <w:t>）承包人明确表示或者以其行为表明不履</w:t>
      </w:r>
      <w:r>
        <w:rPr>
          <w:rFonts w:ascii="宋体" w:hAnsi="宋体" w:eastAsia="宋体" w:cs="宋体"/>
          <w:spacing w:val="8"/>
          <w:sz w:val="20"/>
          <w:szCs w:val="20"/>
        </w:rPr>
        <w:t>行合同主要义务的；</w:t>
      </w:r>
    </w:p>
    <w:p w14:paraId="0FA4AA26">
      <w:pPr>
        <w:spacing w:before="153" w:line="228"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8</w:t>
      </w:r>
      <w:r>
        <w:rPr>
          <w:rFonts w:ascii="宋体" w:hAnsi="宋体" w:eastAsia="宋体" w:cs="宋体"/>
          <w:spacing w:val="8"/>
          <w:sz w:val="20"/>
          <w:szCs w:val="20"/>
        </w:rPr>
        <w:t>）承包人未能按照合同约定履行其他义务的。</w:t>
      </w:r>
    </w:p>
    <w:p w14:paraId="6B27A977">
      <w:pPr>
        <w:spacing w:before="154" w:line="369" w:lineRule="auto"/>
        <w:ind w:left="2" w:right="2" w:firstLine="419"/>
        <w:rPr>
          <w:rFonts w:ascii="宋体" w:hAnsi="宋体" w:eastAsia="宋体" w:cs="宋体"/>
          <w:sz w:val="20"/>
          <w:szCs w:val="20"/>
        </w:rPr>
      </w:pPr>
      <w:r>
        <w:rPr>
          <w:rFonts w:ascii="宋体" w:hAnsi="宋体" w:eastAsia="宋体" w:cs="宋体"/>
          <w:spacing w:val="7"/>
          <w:sz w:val="20"/>
          <w:szCs w:val="20"/>
        </w:rPr>
        <w:t>承包人发生除本项第（</w:t>
      </w:r>
      <w:r>
        <w:rPr>
          <w:rFonts w:ascii="Times New Roman" w:hAnsi="Times New Roman" w:eastAsia="Times New Roman" w:cs="Times New Roman"/>
          <w:spacing w:val="7"/>
          <w:sz w:val="20"/>
          <w:szCs w:val="20"/>
        </w:rPr>
        <w:t>7</w:t>
      </w:r>
      <w:r>
        <w:rPr>
          <w:rFonts w:ascii="宋体" w:hAnsi="宋体" w:eastAsia="宋体" w:cs="宋体"/>
          <w:spacing w:val="7"/>
          <w:sz w:val="20"/>
          <w:szCs w:val="20"/>
        </w:rPr>
        <w:t>）</w:t>
      </w:r>
      <w:r>
        <w:rPr>
          <w:rFonts w:ascii="宋体" w:hAnsi="宋体" w:eastAsia="宋体" w:cs="宋体"/>
          <w:spacing w:val="-42"/>
          <w:sz w:val="20"/>
          <w:szCs w:val="20"/>
        </w:rPr>
        <w:t xml:space="preserve"> </w:t>
      </w:r>
      <w:r>
        <w:rPr>
          <w:rFonts w:ascii="宋体" w:hAnsi="宋体" w:eastAsia="宋体" w:cs="宋体"/>
          <w:spacing w:val="7"/>
          <w:sz w:val="20"/>
          <w:szCs w:val="20"/>
        </w:rPr>
        <w:t>目约定以外的其他违约情况时，监理人可向承包人发出整改通</w:t>
      </w:r>
      <w:r>
        <w:rPr>
          <w:rFonts w:ascii="宋体" w:hAnsi="宋体" w:eastAsia="宋体" w:cs="宋体"/>
          <w:spacing w:val="6"/>
          <w:sz w:val="20"/>
          <w:szCs w:val="20"/>
        </w:rPr>
        <w:t>知，</w:t>
      </w:r>
      <w:r>
        <w:rPr>
          <w:rFonts w:ascii="宋体" w:hAnsi="宋体" w:eastAsia="宋体" w:cs="宋体"/>
          <w:spacing w:val="8"/>
          <w:sz w:val="20"/>
          <w:szCs w:val="20"/>
        </w:rPr>
        <w:t>要求其在指定的期限内改正。</w:t>
      </w:r>
    </w:p>
    <w:p w14:paraId="164C6D40">
      <w:pPr>
        <w:spacing w:before="1" w:line="227"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16.2.2  </w:t>
      </w:r>
      <w:r>
        <w:rPr>
          <w:rFonts w:ascii="宋体" w:hAnsi="宋体" w:eastAsia="宋体" w:cs="宋体"/>
          <w:spacing w:val="5"/>
          <w:sz w:val="20"/>
          <w:szCs w:val="20"/>
        </w:rPr>
        <w:t>承包人违约的责任</w:t>
      </w:r>
    </w:p>
    <w:p w14:paraId="162C0B59">
      <w:pPr>
        <w:spacing w:before="154" w:line="369" w:lineRule="auto"/>
        <w:ind w:left="2" w:right="56" w:firstLine="419"/>
        <w:rPr>
          <w:rFonts w:ascii="宋体" w:hAnsi="宋体" w:eastAsia="宋体" w:cs="宋体"/>
          <w:sz w:val="20"/>
          <w:szCs w:val="20"/>
        </w:rPr>
      </w:pPr>
      <w:r>
        <w:rPr>
          <w:rFonts w:ascii="宋体" w:hAnsi="宋体" w:eastAsia="宋体" w:cs="宋体"/>
          <w:spacing w:val="10"/>
          <w:sz w:val="20"/>
          <w:szCs w:val="20"/>
        </w:rPr>
        <w:t>承包人应承担因其违约行为而增加的费用和（或）延误的工期。</w:t>
      </w:r>
      <w:r>
        <w:rPr>
          <w:rFonts w:ascii="宋体" w:hAnsi="宋体" w:eastAsia="宋体" w:cs="宋体"/>
          <w:spacing w:val="9"/>
          <w:sz w:val="20"/>
          <w:szCs w:val="20"/>
        </w:rPr>
        <w:t>此外，合同当事人可在专用合同条款中另行约定承包人违约责任的承担方式和计算方法。</w:t>
      </w:r>
    </w:p>
    <w:p w14:paraId="0DA216AA">
      <w:pPr>
        <w:spacing w:before="1" w:line="227" w:lineRule="auto"/>
        <w:ind w:left="437"/>
        <w:rPr>
          <w:rFonts w:ascii="宋体" w:hAnsi="宋体" w:eastAsia="宋体" w:cs="宋体"/>
          <w:sz w:val="20"/>
          <w:szCs w:val="20"/>
        </w:rPr>
      </w:pPr>
      <w:r>
        <w:rPr>
          <w:rFonts w:ascii="Times New Roman" w:hAnsi="Times New Roman" w:eastAsia="Times New Roman" w:cs="Times New Roman"/>
          <w:spacing w:val="4"/>
          <w:sz w:val="20"/>
          <w:szCs w:val="20"/>
        </w:rPr>
        <w:t>16.2.3</w:t>
      </w:r>
      <w:r>
        <w:rPr>
          <w:rFonts w:ascii="Times New Roman" w:hAnsi="Times New Roman" w:eastAsia="Times New Roman" w:cs="Times New Roman"/>
          <w:spacing w:val="18"/>
          <w:w w:val="101"/>
          <w:sz w:val="20"/>
          <w:szCs w:val="20"/>
        </w:rPr>
        <w:t xml:space="preserve">  </w:t>
      </w:r>
      <w:r>
        <w:rPr>
          <w:rFonts w:ascii="宋体" w:hAnsi="宋体" w:eastAsia="宋体" w:cs="宋体"/>
          <w:spacing w:val="4"/>
          <w:sz w:val="20"/>
          <w:szCs w:val="20"/>
        </w:rPr>
        <w:t>因承包人违约解除合同</w:t>
      </w:r>
    </w:p>
    <w:p w14:paraId="6F862C0D">
      <w:pPr>
        <w:spacing w:before="155" w:line="369" w:lineRule="auto"/>
        <w:ind w:left="3" w:right="54" w:firstLine="430"/>
        <w:rPr>
          <w:rFonts w:ascii="宋体" w:hAnsi="宋体" w:eastAsia="宋体" w:cs="宋体"/>
          <w:sz w:val="20"/>
          <w:szCs w:val="20"/>
        </w:rPr>
      </w:pPr>
      <w:r>
        <w:rPr>
          <w:rFonts w:ascii="宋体" w:hAnsi="宋体" w:eastAsia="宋体" w:cs="宋体"/>
          <w:spacing w:val="5"/>
          <w:sz w:val="20"/>
          <w:szCs w:val="20"/>
        </w:rPr>
        <w:t>除专用合同条款另有约定外，出现第</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16.2.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15"/>
          <w:w w:val="101"/>
          <w:sz w:val="20"/>
          <w:szCs w:val="20"/>
        </w:rPr>
        <w:t xml:space="preserve"> </w:t>
      </w:r>
      <w:r>
        <w:rPr>
          <w:rFonts w:ascii="宋体" w:hAnsi="宋体" w:eastAsia="宋体" w:cs="宋体"/>
          <w:spacing w:val="5"/>
          <w:sz w:val="20"/>
          <w:szCs w:val="20"/>
        </w:rPr>
        <w:t>项〔承包人违约的情形〕第（</w:t>
      </w:r>
      <w:r>
        <w:rPr>
          <w:rFonts w:ascii="Times New Roman" w:hAnsi="Times New Roman" w:eastAsia="Times New Roman" w:cs="Times New Roman"/>
          <w:spacing w:val="4"/>
          <w:sz w:val="20"/>
          <w:szCs w:val="20"/>
        </w:rPr>
        <w:t>7</w:t>
      </w:r>
      <w:r>
        <w:rPr>
          <w:rFonts w:ascii="宋体" w:hAnsi="宋体" w:eastAsia="宋体" w:cs="宋体"/>
          <w:spacing w:val="4"/>
          <w:sz w:val="20"/>
          <w:szCs w:val="20"/>
        </w:rPr>
        <w:t>）目约定的违约情</w:t>
      </w:r>
      <w:r>
        <w:rPr>
          <w:rFonts w:ascii="宋体" w:hAnsi="宋体" w:eastAsia="宋体" w:cs="宋体"/>
          <w:spacing w:val="10"/>
          <w:sz w:val="20"/>
          <w:szCs w:val="20"/>
        </w:rPr>
        <w:t>况时，或监理人发出整改通知后，承包人在指定的合理期限内仍不纠正</w:t>
      </w:r>
      <w:r>
        <w:rPr>
          <w:rFonts w:ascii="宋体" w:hAnsi="宋体" w:eastAsia="宋体" w:cs="宋体"/>
          <w:spacing w:val="9"/>
          <w:sz w:val="20"/>
          <w:szCs w:val="20"/>
        </w:rPr>
        <w:t>违约行为并致使合同目的</w:t>
      </w:r>
      <w:r>
        <w:rPr>
          <w:rFonts w:ascii="宋体" w:hAnsi="宋体" w:eastAsia="宋体" w:cs="宋体"/>
          <w:spacing w:val="10"/>
          <w:sz w:val="20"/>
          <w:szCs w:val="20"/>
        </w:rPr>
        <w:t>不能实现的，发包人有权解除合同。合同解除后，因继续完成工程的需</w:t>
      </w:r>
      <w:r>
        <w:rPr>
          <w:rFonts w:ascii="宋体" w:hAnsi="宋体" w:eastAsia="宋体" w:cs="宋体"/>
          <w:spacing w:val="9"/>
          <w:sz w:val="20"/>
          <w:szCs w:val="20"/>
        </w:rPr>
        <w:t>要，发包人有权使用承包</w:t>
      </w:r>
      <w:r>
        <w:rPr>
          <w:rFonts w:ascii="宋体" w:hAnsi="宋体" w:eastAsia="宋体" w:cs="宋体"/>
          <w:spacing w:val="10"/>
          <w:sz w:val="20"/>
          <w:szCs w:val="20"/>
        </w:rPr>
        <w:t>人在施工现场的材料、设备、临时工程、承包人文件和由承包人或以其</w:t>
      </w:r>
      <w:r>
        <w:rPr>
          <w:rFonts w:ascii="宋体" w:hAnsi="宋体" w:eastAsia="宋体" w:cs="宋体"/>
          <w:spacing w:val="9"/>
          <w:sz w:val="20"/>
          <w:szCs w:val="20"/>
        </w:rPr>
        <w:t>名义编制的其他文件，合</w:t>
      </w:r>
      <w:r>
        <w:rPr>
          <w:rFonts w:ascii="宋体" w:hAnsi="宋体" w:eastAsia="宋体" w:cs="宋体"/>
          <w:spacing w:val="10"/>
          <w:sz w:val="20"/>
          <w:szCs w:val="20"/>
        </w:rPr>
        <w:t>同当事人应在专用合同条款约定相应费用的承担方式。发包人继续使用</w:t>
      </w:r>
      <w:r>
        <w:rPr>
          <w:rFonts w:ascii="宋体" w:hAnsi="宋体" w:eastAsia="宋体" w:cs="宋体"/>
          <w:spacing w:val="9"/>
          <w:sz w:val="20"/>
          <w:szCs w:val="20"/>
        </w:rPr>
        <w:t>的行为不免除或减轻承包</w:t>
      </w:r>
      <w:r>
        <w:rPr>
          <w:rFonts w:ascii="宋体" w:hAnsi="宋体" w:eastAsia="宋体" w:cs="宋体"/>
          <w:spacing w:val="7"/>
          <w:sz w:val="20"/>
          <w:szCs w:val="20"/>
        </w:rPr>
        <w:t>人应承担的违约责任。</w:t>
      </w:r>
    </w:p>
    <w:p w14:paraId="46E4DE09">
      <w:pPr>
        <w:spacing w:before="1" w:line="227" w:lineRule="auto"/>
        <w:ind w:left="437"/>
        <w:rPr>
          <w:rFonts w:ascii="宋体" w:hAnsi="宋体" w:eastAsia="宋体" w:cs="宋体"/>
          <w:sz w:val="20"/>
          <w:szCs w:val="20"/>
        </w:rPr>
      </w:pPr>
      <w:r>
        <w:rPr>
          <w:rFonts w:ascii="Times New Roman" w:hAnsi="Times New Roman" w:eastAsia="Times New Roman" w:cs="Times New Roman"/>
          <w:spacing w:val="5"/>
          <w:sz w:val="20"/>
          <w:szCs w:val="20"/>
        </w:rPr>
        <w:t>16.2.4</w:t>
      </w:r>
      <w:r>
        <w:rPr>
          <w:rFonts w:ascii="Times New Roman" w:hAnsi="Times New Roman" w:eastAsia="Times New Roman" w:cs="Times New Roman"/>
          <w:spacing w:val="38"/>
          <w:sz w:val="20"/>
          <w:szCs w:val="20"/>
        </w:rPr>
        <w:t xml:space="preserve"> </w:t>
      </w:r>
      <w:r>
        <w:rPr>
          <w:rFonts w:ascii="宋体" w:hAnsi="宋体" w:eastAsia="宋体" w:cs="宋体"/>
          <w:spacing w:val="5"/>
          <w:sz w:val="20"/>
          <w:szCs w:val="20"/>
        </w:rPr>
        <w:t>因承包人违约解除合同后的处理</w:t>
      </w:r>
    </w:p>
    <w:p w14:paraId="0DFF1F5F">
      <w:pPr>
        <w:spacing w:before="152" w:line="370" w:lineRule="auto"/>
        <w:ind w:left="6" w:firstLine="431"/>
        <w:rPr>
          <w:rFonts w:ascii="宋体" w:hAnsi="宋体" w:eastAsia="宋体" w:cs="宋体"/>
          <w:sz w:val="20"/>
          <w:szCs w:val="20"/>
        </w:rPr>
      </w:pPr>
      <w:r>
        <w:rPr>
          <w:rFonts w:ascii="宋体" w:hAnsi="宋体" w:eastAsia="宋体" w:cs="宋体"/>
          <w:spacing w:val="3"/>
          <w:sz w:val="20"/>
          <w:szCs w:val="20"/>
        </w:rPr>
        <w:t>因承包人原因导致合同解除的，则合同当事人应</w:t>
      </w:r>
      <w:r>
        <w:rPr>
          <w:rFonts w:ascii="宋体" w:hAnsi="宋体" w:eastAsia="宋体" w:cs="宋体"/>
          <w:spacing w:val="2"/>
          <w:sz w:val="20"/>
          <w:szCs w:val="20"/>
        </w:rPr>
        <w:t>在合同解除后</w:t>
      </w:r>
      <w:r>
        <w:rPr>
          <w:rFonts w:ascii="宋体" w:hAnsi="宋体" w:eastAsia="宋体" w:cs="宋体"/>
          <w:spacing w:val="-40"/>
          <w:sz w:val="20"/>
          <w:szCs w:val="20"/>
        </w:rPr>
        <w:t xml:space="preserve"> </w:t>
      </w:r>
      <w:r>
        <w:rPr>
          <w:rFonts w:ascii="Times New Roman" w:hAnsi="Times New Roman" w:eastAsia="Times New Roman" w:cs="Times New Roman"/>
          <w:spacing w:val="2"/>
          <w:sz w:val="20"/>
          <w:szCs w:val="20"/>
        </w:rPr>
        <w:t>28</w:t>
      </w:r>
      <w:r>
        <w:rPr>
          <w:rFonts w:ascii="Times New Roman" w:hAnsi="Times New Roman" w:eastAsia="Times New Roman" w:cs="Times New Roman"/>
          <w:spacing w:val="14"/>
          <w:sz w:val="20"/>
          <w:szCs w:val="20"/>
        </w:rPr>
        <w:t xml:space="preserve"> </w:t>
      </w:r>
      <w:r>
        <w:rPr>
          <w:rFonts w:ascii="宋体" w:hAnsi="宋体" w:eastAsia="宋体" w:cs="宋体"/>
          <w:spacing w:val="2"/>
          <w:sz w:val="20"/>
          <w:szCs w:val="20"/>
        </w:rPr>
        <w:t>天内完成估价、付款和清算，</w:t>
      </w:r>
      <w:r>
        <w:rPr>
          <w:rFonts w:ascii="宋体" w:hAnsi="宋体" w:eastAsia="宋体" w:cs="宋体"/>
          <w:spacing w:val="7"/>
          <w:sz w:val="20"/>
          <w:szCs w:val="20"/>
        </w:rPr>
        <w:t>并按以下约定执行：</w:t>
      </w:r>
    </w:p>
    <w:p w14:paraId="671C14E9">
      <w:pPr>
        <w:spacing w:before="1" w:line="368" w:lineRule="auto"/>
        <w:ind w:left="2" w:right="57" w:firstLine="42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）合同解除后，按第</w:t>
      </w:r>
      <w:r>
        <w:rPr>
          <w:rFonts w:ascii="宋体" w:hAnsi="宋体" w:eastAsia="宋体" w:cs="宋体"/>
          <w:spacing w:val="-44"/>
          <w:sz w:val="20"/>
          <w:szCs w:val="20"/>
        </w:rPr>
        <w:t xml:space="preserve"> </w:t>
      </w:r>
      <w:r>
        <w:rPr>
          <w:rFonts w:ascii="Times New Roman" w:hAnsi="Times New Roman" w:eastAsia="Times New Roman" w:cs="Times New Roman"/>
          <w:spacing w:val="8"/>
          <w:sz w:val="20"/>
          <w:szCs w:val="20"/>
        </w:rPr>
        <w:t xml:space="preserve">4.4 </w:t>
      </w:r>
      <w:r>
        <w:rPr>
          <w:rFonts w:ascii="宋体" w:hAnsi="宋体" w:eastAsia="宋体" w:cs="宋体"/>
          <w:spacing w:val="8"/>
          <w:sz w:val="20"/>
          <w:szCs w:val="20"/>
        </w:rPr>
        <w:t>款〔商定或确</w:t>
      </w:r>
      <w:r>
        <w:rPr>
          <w:rFonts w:ascii="宋体" w:hAnsi="宋体" w:eastAsia="宋体" w:cs="宋体"/>
          <w:spacing w:val="7"/>
          <w:sz w:val="20"/>
          <w:szCs w:val="20"/>
        </w:rPr>
        <w:t>定〕商定或确定承包人实际完成工作对应的合同价</w:t>
      </w:r>
      <w:r>
        <w:rPr>
          <w:rFonts w:ascii="宋体" w:hAnsi="宋体" w:eastAsia="宋体" w:cs="宋体"/>
          <w:spacing w:val="8"/>
          <w:sz w:val="20"/>
          <w:szCs w:val="20"/>
        </w:rPr>
        <w:t>款，</w:t>
      </w:r>
      <w:r>
        <w:rPr>
          <w:rFonts w:ascii="宋体" w:hAnsi="宋体" w:eastAsia="宋体" w:cs="宋体"/>
          <w:spacing w:val="-57"/>
          <w:sz w:val="20"/>
          <w:szCs w:val="20"/>
        </w:rPr>
        <w:t xml:space="preserve"> </w:t>
      </w:r>
      <w:r>
        <w:rPr>
          <w:rFonts w:ascii="宋体" w:hAnsi="宋体" w:eastAsia="宋体" w:cs="宋体"/>
          <w:spacing w:val="8"/>
          <w:sz w:val="20"/>
          <w:szCs w:val="20"/>
        </w:rPr>
        <w:t>以及承包人已提供的材料、工程设备、施工设备和临时工程等的价值；</w:t>
      </w:r>
    </w:p>
    <w:p w14:paraId="2131E29B">
      <w:pPr>
        <w:spacing w:line="228"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）合同解除后，承包人应支付的违约金；</w:t>
      </w:r>
    </w:p>
    <w:p w14:paraId="6A6591A9">
      <w:pPr>
        <w:spacing w:before="154" w:line="228"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）合同解除后，因解除合同给发包人造成的损失；</w:t>
      </w:r>
    </w:p>
    <w:p w14:paraId="4C556198">
      <w:pPr>
        <w:spacing w:before="151" w:line="228" w:lineRule="auto"/>
        <w:ind w:left="431"/>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）合同解除后，承包人应按照发包人要求和监理人的指示完成现场的清理和撤离；</w:t>
      </w:r>
    </w:p>
    <w:p w14:paraId="014B9061">
      <w:pPr>
        <w:spacing w:before="154" w:line="227" w:lineRule="auto"/>
        <w:ind w:left="431"/>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5</w:t>
      </w:r>
      <w:r>
        <w:rPr>
          <w:rFonts w:ascii="宋体" w:hAnsi="宋体" w:eastAsia="宋体" w:cs="宋体"/>
          <w:spacing w:val="9"/>
          <w:sz w:val="20"/>
          <w:szCs w:val="20"/>
        </w:rPr>
        <w:t>）发包人和承包人应在合同解除后进行清算，出具最终结清付款证书，结清全部款项。</w:t>
      </w:r>
    </w:p>
    <w:p w14:paraId="300C0210">
      <w:pPr>
        <w:spacing w:before="156" w:line="369" w:lineRule="auto"/>
        <w:ind w:left="1" w:right="54" w:firstLine="436"/>
        <w:jc w:val="both"/>
        <w:rPr>
          <w:rFonts w:ascii="宋体" w:hAnsi="宋体" w:eastAsia="宋体" w:cs="宋体"/>
          <w:sz w:val="20"/>
          <w:szCs w:val="20"/>
        </w:rPr>
      </w:pPr>
      <w:r>
        <w:rPr>
          <w:rFonts w:ascii="宋体" w:hAnsi="宋体" w:eastAsia="宋体" w:cs="宋体"/>
          <w:spacing w:val="9"/>
          <w:sz w:val="20"/>
          <w:szCs w:val="20"/>
        </w:rPr>
        <w:t>因承包人违约解除合同的，发包人有权暂停对承包人的付款，查清各项付款和已扣款项。发</w:t>
      </w:r>
      <w:r>
        <w:rPr>
          <w:rFonts w:ascii="宋体" w:hAnsi="宋体" w:eastAsia="宋体" w:cs="宋体"/>
          <w:spacing w:val="7"/>
          <w:sz w:val="20"/>
          <w:szCs w:val="20"/>
        </w:rPr>
        <w:t>包人和承包人未能就合同解除后的清算和款项支付达成一致的，按照第</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20 </w:t>
      </w:r>
      <w:r>
        <w:rPr>
          <w:rFonts w:ascii="宋体" w:hAnsi="宋体" w:eastAsia="宋体" w:cs="宋体"/>
          <w:spacing w:val="7"/>
          <w:sz w:val="20"/>
          <w:szCs w:val="20"/>
        </w:rPr>
        <w:t>条〔争议解决</w:t>
      </w:r>
      <w:r>
        <w:rPr>
          <w:rFonts w:ascii="宋体" w:hAnsi="宋体" w:eastAsia="宋体" w:cs="宋体"/>
          <w:spacing w:val="6"/>
          <w:sz w:val="20"/>
          <w:szCs w:val="20"/>
        </w:rPr>
        <w:t>〕的约定</w:t>
      </w:r>
      <w:r>
        <w:rPr>
          <w:rFonts w:ascii="宋体" w:hAnsi="宋体" w:eastAsia="宋体" w:cs="宋体"/>
          <w:spacing w:val="3"/>
          <w:sz w:val="20"/>
          <w:szCs w:val="20"/>
        </w:rPr>
        <w:t>处理。</w:t>
      </w:r>
    </w:p>
    <w:p w14:paraId="1A4B3933">
      <w:pPr>
        <w:spacing w:before="1" w:line="226"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16.2.5 </w:t>
      </w:r>
      <w:r>
        <w:rPr>
          <w:rFonts w:ascii="宋体" w:hAnsi="宋体" w:eastAsia="宋体" w:cs="宋体"/>
          <w:spacing w:val="5"/>
          <w:sz w:val="20"/>
          <w:szCs w:val="20"/>
        </w:rPr>
        <w:t>采购合同权益转让</w:t>
      </w:r>
    </w:p>
    <w:p w14:paraId="7DE39FF2">
      <w:pPr>
        <w:spacing w:before="152" w:line="371" w:lineRule="auto"/>
        <w:ind w:right="54" w:firstLine="437"/>
        <w:rPr>
          <w:rFonts w:ascii="宋体" w:hAnsi="宋体" w:eastAsia="宋体" w:cs="宋体"/>
          <w:sz w:val="20"/>
          <w:szCs w:val="20"/>
        </w:rPr>
      </w:pPr>
      <w:r>
        <w:rPr>
          <w:rFonts w:ascii="宋体" w:hAnsi="宋体" w:eastAsia="宋体" w:cs="宋体"/>
          <w:spacing w:val="9"/>
          <w:sz w:val="20"/>
          <w:szCs w:val="20"/>
        </w:rPr>
        <w:t>因承包人违约解除合同的，发包人有权要求承包人将其为实施合同而签订的材料和设备的采</w:t>
      </w:r>
      <w:r>
        <w:rPr>
          <w:rFonts w:ascii="宋体" w:hAnsi="宋体" w:eastAsia="宋体" w:cs="宋体"/>
          <w:spacing w:val="6"/>
          <w:sz w:val="20"/>
          <w:szCs w:val="20"/>
        </w:rPr>
        <w:t>购合同的权益转让给发包人，承包人应在收到解除合同通知后</w:t>
      </w:r>
      <w:r>
        <w:rPr>
          <w:rFonts w:ascii="宋体" w:hAnsi="宋体" w:eastAsia="宋体" w:cs="宋体"/>
          <w:spacing w:val="-12"/>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天内，协助发包人与采购合同的</w:t>
      </w:r>
      <w:r>
        <w:rPr>
          <w:rFonts w:ascii="宋体" w:hAnsi="宋体" w:eastAsia="宋体" w:cs="宋体"/>
          <w:spacing w:val="8"/>
          <w:sz w:val="20"/>
          <w:szCs w:val="20"/>
        </w:rPr>
        <w:t>供应商达成相关的转让协议。</w:t>
      </w:r>
    </w:p>
    <w:p w14:paraId="6D32F6F5">
      <w:pPr>
        <w:spacing w:line="371" w:lineRule="auto"/>
        <w:rPr>
          <w:rFonts w:ascii="宋体" w:hAnsi="宋体" w:eastAsia="宋体" w:cs="宋体"/>
          <w:sz w:val="20"/>
          <w:szCs w:val="20"/>
        </w:rPr>
        <w:sectPr>
          <w:footerReference r:id="rId278" w:type="default"/>
          <w:pgSz w:w="11906" w:h="16839"/>
          <w:pgMar w:top="400" w:right="1500" w:bottom="1038" w:left="1537" w:header="0" w:footer="787" w:gutter="0"/>
          <w:cols w:space="720" w:num="1"/>
        </w:sectPr>
      </w:pPr>
    </w:p>
    <w:p w14:paraId="5ADC2F92">
      <w:pPr>
        <w:spacing w:line="261" w:lineRule="auto"/>
        <w:rPr>
          <w:rFonts w:ascii="Arial"/>
          <w:sz w:val="21"/>
        </w:rPr>
      </w:pPr>
    </w:p>
    <w:p w14:paraId="128DEA8C">
      <w:pPr>
        <w:spacing w:line="262" w:lineRule="auto"/>
        <w:rPr>
          <w:rFonts w:ascii="Arial"/>
          <w:sz w:val="21"/>
        </w:rPr>
      </w:pPr>
    </w:p>
    <w:p w14:paraId="3E6C950E">
      <w:pPr>
        <w:spacing w:line="262" w:lineRule="auto"/>
        <w:rPr>
          <w:rFonts w:ascii="Arial"/>
          <w:sz w:val="21"/>
        </w:rPr>
      </w:pPr>
    </w:p>
    <w:p w14:paraId="76459A9C">
      <w:pPr>
        <w:spacing w:line="262" w:lineRule="auto"/>
        <w:rPr>
          <w:rFonts w:ascii="Arial"/>
          <w:sz w:val="21"/>
        </w:rPr>
      </w:pPr>
    </w:p>
    <w:p w14:paraId="46A8D53E">
      <w:pPr>
        <w:pStyle w:val="2"/>
        <w:spacing w:before="78" w:line="222" w:lineRule="auto"/>
        <w:ind w:left="8"/>
        <w:rPr>
          <w:sz w:val="24"/>
          <w:szCs w:val="24"/>
        </w:rPr>
      </w:pPr>
      <w:r>
        <w:rPr>
          <w:rFonts w:ascii="Times New Roman" w:hAnsi="Times New Roman" w:eastAsia="Times New Roman" w:cs="Times New Roman"/>
          <w:b/>
          <w:bCs/>
          <w:spacing w:val="-3"/>
          <w:sz w:val="24"/>
          <w:szCs w:val="24"/>
        </w:rPr>
        <w:t xml:space="preserve">16.3  </w:t>
      </w:r>
      <w:r>
        <w:rPr>
          <w:b/>
          <w:bCs/>
          <w:spacing w:val="-3"/>
          <w:sz w:val="24"/>
          <w:szCs w:val="24"/>
        </w:rPr>
        <w:t>第三人造成的违约</w:t>
      </w:r>
    </w:p>
    <w:p w14:paraId="3089BCED">
      <w:pPr>
        <w:spacing w:before="136" w:line="371" w:lineRule="auto"/>
        <w:ind w:firstLine="420"/>
        <w:rPr>
          <w:rFonts w:ascii="宋体" w:hAnsi="宋体" w:eastAsia="宋体" w:cs="宋体"/>
          <w:sz w:val="20"/>
          <w:szCs w:val="20"/>
        </w:rPr>
      </w:pPr>
      <w:r>
        <w:rPr>
          <w:rFonts w:ascii="宋体" w:hAnsi="宋体" w:eastAsia="宋体" w:cs="宋体"/>
          <w:spacing w:val="10"/>
          <w:sz w:val="20"/>
          <w:szCs w:val="20"/>
        </w:rPr>
        <w:t>在履行合同过程中，一方当事人因第三人的原因造成违约的，应当向对</w:t>
      </w:r>
      <w:r>
        <w:rPr>
          <w:rFonts w:ascii="宋体" w:hAnsi="宋体" w:eastAsia="宋体" w:cs="宋体"/>
          <w:spacing w:val="9"/>
          <w:sz w:val="20"/>
          <w:szCs w:val="20"/>
        </w:rPr>
        <w:t>方当事人承担违约责任。一方当事人和第三人之间的纠纷，依照法律规定或者按照约定解决。</w:t>
      </w:r>
    </w:p>
    <w:p w14:paraId="6EAD037B">
      <w:pPr>
        <w:pStyle w:val="2"/>
        <w:spacing w:before="35" w:line="222" w:lineRule="auto"/>
        <w:ind w:left="11"/>
        <w:outlineLvl w:val="2"/>
        <w:rPr>
          <w:sz w:val="28"/>
          <w:szCs w:val="28"/>
        </w:rPr>
      </w:pPr>
      <w:bookmarkStart w:id="279" w:name="bookmark261"/>
      <w:bookmarkEnd w:id="279"/>
      <w:r>
        <w:rPr>
          <w:rFonts w:ascii="Times New Roman" w:hAnsi="Times New Roman" w:eastAsia="Times New Roman" w:cs="Times New Roman"/>
          <w:b/>
          <w:bCs/>
          <w:spacing w:val="-6"/>
          <w:sz w:val="28"/>
          <w:szCs w:val="28"/>
        </w:rPr>
        <w:t>17.</w:t>
      </w:r>
      <w:r>
        <w:rPr>
          <w:rFonts w:ascii="Times New Roman" w:hAnsi="Times New Roman" w:eastAsia="Times New Roman" w:cs="Times New Roman"/>
          <w:b/>
          <w:bCs/>
          <w:spacing w:val="6"/>
          <w:sz w:val="28"/>
          <w:szCs w:val="28"/>
        </w:rPr>
        <w:t xml:space="preserve">  </w:t>
      </w:r>
      <w:r>
        <w:rPr>
          <w:b/>
          <w:bCs/>
          <w:spacing w:val="-6"/>
          <w:sz w:val="28"/>
          <w:szCs w:val="28"/>
        </w:rPr>
        <w:t>不可抗力</w:t>
      </w:r>
    </w:p>
    <w:p w14:paraId="68A2E590">
      <w:pPr>
        <w:pStyle w:val="2"/>
        <w:spacing w:before="97" w:line="221" w:lineRule="auto"/>
        <w:ind w:left="8"/>
        <w:rPr>
          <w:sz w:val="24"/>
          <w:szCs w:val="24"/>
        </w:rPr>
      </w:pPr>
      <w:r>
        <w:rPr>
          <w:rFonts w:ascii="Times New Roman" w:hAnsi="Times New Roman" w:eastAsia="Times New Roman" w:cs="Times New Roman"/>
          <w:b/>
          <w:bCs/>
          <w:spacing w:val="-3"/>
          <w:sz w:val="24"/>
          <w:szCs w:val="24"/>
        </w:rPr>
        <w:t xml:space="preserve">17.1  </w:t>
      </w:r>
      <w:r>
        <w:rPr>
          <w:b/>
          <w:bCs/>
          <w:spacing w:val="-3"/>
          <w:sz w:val="24"/>
          <w:szCs w:val="24"/>
        </w:rPr>
        <w:t>不可抗力的确认</w:t>
      </w:r>
    </w:p>
    <w:p w14:paraId="6E19B69D">
      <w:pPr>
        <w:spacing w:before="141" w:line="369" w:lineRule="auto"/>
        <w:ind w:left="5" w:firstLine="418"/>
        <w:jc w:val="both"/>
        <w:rPr>
          <w:rFonts w:ascii="宋体" w:hAnsi="宋体" w:eastAsia="宋体" w:cs="宋体"/>
          <w:sz w:val="20"/>
          <w:szCs w:val="20"/>
        </w:rPr>
      </w:pPr>
      <w:r>
        <w:rPr>
          <w:rFonts w:ascii="宋体" w:hAnsi="宋体" w:eastAsia="宋体" w:cs="宋体"/>
          <w:spacing w:val="10"/>
          <w:sz w:val="20"/>
          <w:szCs w:val="20"/>
        </w:rPr>
        <w:t>不可抗力是指合同当事人在签订合同时不可预见，在合同履行</w:t>
      </w:r>
      <w:r>
        <w:rPr>
          <w:rFonts w:ascii="宋体" w:hAnsi="宋体" w:eastAsia="宋体" w:cs="宋体"/>
          <w:spacing w:val="9"/>
          <w:sz w:val="20"/>
          <w:szCs w:val="20"/>
        </w:rPr>
        <w:t>过程中不可避免且不能克服的</w:t>
      </w:r>
      <w:r>
        <w:rPr>
          <w:rFonts w:ascii="宋体" w:hAnsi="宋体" w:eastAsia="宋体" w:cs="宋体"/>
          <w:spacing w:val="10"/>
          <w:sz w:val="20"/>
          <w:szCs w:val="20"/>
        </w:rPr>
        <w:t>自然灾害和社会性突发事件，如地震、海啸、瘟疫、骚乱、戒</w:t>
      </w:r>
      <w:r>
        <w:rPr>
          <w:rFonts w:ascii="宋体" w:hAnsi="宋体" w:eastAsia="宋体" w:cs="宋体"/>
          <w:spacing w:val="9"/>
          <w:sz w:val="20"/>
          <w:szCs w:val="20"/>
        </w:rPr>
        <w:t>严、暴动、战争和专用合同条款中</w:t>
      </w:r>
      <w:r>
        <w:rPr>
          <w:rFonts w:ascii="宋体" w:hAnsi="宋体" w:eastAsia="宋体" w:cs="宋体"/>
          <w:spacing w:val="6"/>
          <w:sz w:val="20"/>
          <w:szCs w:val="20"/>
        </w:rPr>
        <w:t>约定的其他情形。</w:t>
      </w:r>
    </w:p>
    <w:p w14:paraId="5679FE88">
      <w:pPr>
        <w:spacing w:before="1" w:line="361" w:lineRule="auto"/>
        <w:ind w:firstLine="424"/>
        <w:jc w:val="both"/>
        <w:rPr>
          <w:rFonts w:ascii="宋体" w:hAnsi="宋体" w:eastAsia="宋体" w:cs="宋体"/>
          <w:sz w:val="20"/>
          <w:szCs w:val="20"/>
        </w:rPr>
      </w:pPr>
      <w:r>
        <w:rPr>
          <w:rFonts w:ascii="宋体" w:hAnsi="宋体" w:eastAsia="宋体" w:cs="宋体"/>
          <w:spacing w:val="10"/>
          <w:sz w:val="20"/>
          <w:szCs w:val="20"/>
        </w:rPr>
        <w:t>不可抗力发生后，发包人和承包人应收集证明不可抗力发生及</w:t>
      </w:r>
      <w:r>
        <w:rPr>
          <w:rFonts w:ascii="宋体" w:hAnsi="宋体" w:eastAsia="宋体" w:cs="宋体"/>
          <w:spacing w:val="9"/>
          <w:sz w:val="20"/>
          <w:szCs w:val="20"/>
        </w:rPr>
        <w:t>不可抗力造成损失的证据，并及时认真统计所造成的损失。合同当事人对是否属于不可抗力或其损失的意</w:t>
      </w:r>
      <w:r>
        <w:rPr>
          <w:rFonts w:ascii="宋体" w:hAnsi="宋体" w:eastAsia="宋体" w:cs="宋体"/>
          <w:spacing w:val="8"/>
          <w:sz w:val="20"/>
          <w:szCs w:val="20"/>
        </w:rPr>
        <w:t>见不一致的，</w:t>
      </w:r>
      <w:r>
        <w:rPr>
          <w:rFonts w:ascii="宋体" w:hAnsi="宋体" w:eastAsia="宋体" w:cs="宋体"/>
          <w:spacing w:val="-58"/>
          <w:sz w:val="20"/>
          <w:szCs w:val="20"/>
        </w:rPr>
        <w:t xml:space="preserve"> </w:t>
      </w:r>
      <w:r>
        <w:rPr>
          <w:rFonts w:ascii="宋体" w:hAnsi="宋体" w:eastAsia="宋体" w:cs="宋体"/>
          <w:spacing w:val="8"/>
          <w:sz w:val="20"/>
          <w:szCs w:val="20"/>
        </w:rPr>
        <w:t>由监理人按第</w:t>
      </w:r>
      <w:r>
        <w:rPr>
          <w:rFonts w:ascii="宋体" w:hAnsi="宋体" w:eastAsia="宋体" w:cs="宋体"/>
          <w:spacing w:val="-28"/>
          <w:sz w:val="20"/>
          <w:szCs w:val="20"/>
        </w:rPr>
        <w:t xml:space="preserve"> </w:t>
      </w:r>
      <w:r>
        <w:rPr>
          <w:rFonts w:ascii="Times New Roman" w:hAnsi="Times New Roman" w:eastAsia="Times New Roman" w:cs="Times New Roman"/>
          <w:spacing w:val="8"/>
          <w:sz w:val="20"/>
          <w:szCs w:val="20"/>
        </w:rPr>
        <w:t xml:space="preserve">4.4 </w:t>
      </w:r>
      <w:r>
        <w:rPr>
          <w:rFonts w:ascii="宋体" w:hAnsi="宋体" w:eastAsia="宋体" w:cs="宋体"/>
          <w:spacing w:val="8"/>
          <w:sz w:val="20"/>
          <w:szCs w:val="20"/>
        </w:rPr>
        <w:t>款〔商定或确定〕的约定处理。发生争议时，按第</w:t>
      </w:r>
      <w:r>
        <w:rPr>
          <w:rFonts w:ascii="宋体" w:hAnsi="宋体" w:eastAsia="宋体" w:cs="宋体"/>
          <w:spacing w:val="-40"/>
          <w:sz w:val="20"/>
          <w:szCs w:val="20"/>
        </w:rPr>
        <w:t xml:space="preserve"> </w:t>
      </w:r>
      <w:r>
        <w:rPr>
          <w:rFonts w:ascii="Times New Roman" w:hAnsi="Times New Roman" w:eastAsia="Times New Roman" w:cs="Times New Roman"/>
          <w:spacing w:val="8"/>
          <w:sz w:val="20"/>
          <w:szCs w:val="20"/>
        </w:rPr>
        <w:t xml:space="preserve">20 </w:t>
      </w:r>
      <w:r>
        <w:rPr>
          <w:rFonts w:ascii="宋体" w:hAnsi="宋体" w:eastAsia="宋体" w:cs="宋体"/>
          <w:spacing w:val="8"/>
          <w:sz w:val="20"/>
          <w:szCs w:val="20"/>
        </w:rPr>
        <w:t>条〔争议解决〕的约定处理。</w:t>
      </w:r>
    </w:p>
    <w:p w14:paraId="7980C9B4">
      <w:pPr>
        <w:pStyle w:val="2"/>
        <w:spacing w:before="1" w:line="220" w:lineRule="auto"/>
        <w:ind w:left="8"/>
        <w:rPr>
          <w:sz w:val="24"/>
          <w:szCs w:val="24"/>
        </w:rPr>
      </w:pPr>
      <w:r>
        <w:rPr>
          <w:rFonts w:ascii="Times New Roman" w:hAnsi="Times New Roman" w:eastAsia="Times New Roman" w:cs="Times New Roman"/>
          <w:b/>
          <w:bCs/>
          <w:spacing w:val="-3"/>
          <w:sz w:val="24"/>
          <w:szCs w:val="24"/>
        </w:rPr>
        <w:t xml:space="preserve">17.2  </w:t>
      </w:r>
      <w:r>
        <w:rPr>
          <w:b/>
          <w:bCs/>
          <w:spacing w:val="-3"/>
          <w:sz w:val="24"/>
          <w:szCs w:val="24"/>
        </w:rPr>
        <w:t>不可抗力的通知</w:t>
      </w:r>
    </w:p>
    <w:p w14:paraId="47515487">
      <w:pPr>
        <w:spacing w:before="138" w:line="370" w:lineRule="auto"/>
        <w:ind w:left="14" w:firstLine="407"/>
        <w:rPr>
          <w:rFonts w:ascii="宋体" w:hAnsi="宋体" w:eastAsia="宋体" w:cs="宋体"/>
          <w:sz w:val="20"/>
          <w:szCs w:val="20"/>
        </w:rPr>
      </w:pPr>
      <w:r>
        <w:rPr>
          <w:rFonts w:ascii="宋体" w:hAnsi="宋体" w:eastAsia="宋体" w:cs="宋体"/>
          <w:spacing w:val="10"/>
          <w:sz w:val="20"/>
          <w:szCs w:val="20"/>
        </w:rPr>
        <w:t>合同一方当事人遇到不可抗力事件，使其履行合同义务受到阻碍时</w:t>
      </w:r>
      <w:r>
        <w:rPr>
          <w:rFonts w:ascii="宋体" w:hAnsi="宋体" w:eastAsia="宋体" w:cs="宋体"/>
          <w:spacing w:val="9"/>
          <w:sz w:val="20"/>
          <w:szCs w:val="20"/>
        </w:rPr>
        <w:t>，应立即通知合同另一方当事人和监理人，书面说明不可抗力和受阻碍的详细情况，并提供必要的证明。</w:t>
      </w:r>
    </w:p>
    <w:p w14:paraId="0B939C7A">
      <w:pPr>
        <w:spacing w:line="361" w:lineRule="auto"/>
        <w:ind w:firstLine="423"/>
        <w:jc w:val="both"/>
        <w:rPr>
          <w:rFonts w:ascii="宋体" w:hAnsi="宋体" w:eastAsia="宋体" w:cs="宋体"/>
          <w:sz w:val="20"/>
          <w:szCs w:val="20"/>
        </w:rPr>
      </w:pPr>
      <w:r>
        <w:rPr>
          <w:rFonts w:ascii="宋体" w:hAnsi="宋体" w:eastAsia="宋体" w:cs="宋体"/>
          <w:spacing w:val="10"/>
          <w:sz w:val="20"/>
          <w:szCs w:val="20"/>
        </w:rPr>
        <w:t>不可抗力持续发生的，合同一方当事人应及时向合同另一方当</w:t>
      </w:r>
      <w:r>
        <w:rPr>
          <w:rFonts w:ascii="宋体" w:hAnsi="宋体" w:eastAsia="宋体" w:cs="宋体"/>
          <w:spacing w:val="9"/>
          <w:sz w:val="20"/>
          <w:szCs w:val="20"/>
        </w:rPr>
        <w:t>事人和监理人提交中间报告，</w:t>
      </w:r>
      <w:r>
        <w:rPr>
          <w:rFonts w:ascii="宋体" w:hAnsi="宋体" w:eastAsia="宋体" w:cs="宋体"/>
          <w:spacing w:val="12"/>
          <w:sz w:val="20"/>
          <w:szCs w:val="20"/>
        </w:rPr>
        <w:t>说明不可抗力和履行合同受阻的情况，并于不</w:t>
      </w:r>
      <w:r>
        <w:rPr>
          <w:rFonts w:ascii="宋体" w:hAnsi="宋体" w:eastAsia="宋体" w:cs="宋体"/>
          <w:spacing w:val="11"/>
          <w:sz w:val="20"/>
          <w:szCs w:val="20"/>
        </w:rPr>
        <w:t>可抗力事件结束后</w:t>
      </w:r>
      <w:r>
        <w:rPr>
          <w:rFonts w:ascii="宋体" w:hAnsi="宋体" w:eastAsia="宋体" w:cs="宋体"/>
          <w:spacing w:val="-40"/>
          <w:sz w:val="20"/>
          <w:szCs w:val="20"/>
        </w:rPr>
        <w:t xml:space="preserve"> </w:t>
      </w:r>
      <w:r>
        <w:rPr>
          <w:rFonts w:ascii="Times New Roman" w:hAnsi="Times New Roman" w:eastAsia="Times New Roman" w:cs="Times New Roman"/>
          <w:spacing w:val="11"/>
          <w:sz w:val="20"/>
          <w:szCs w:val="20"/>
        </w:rPr>
        <w:t>28</w:t>
      </w:r>
      <w:r>
        <w:rPr>
          <w:rFonts w:ascii="Times New Roman" w:hAnsi="Times New Roman" w:eastAsia="Times New Roman" w:cs="Times New Roman"/>
          <w:spacing w:val="18"/>
          <w:w w:val="101"/>
          <w:sz w:val="20"/>
          <w:szCs w:val="20"/>
        </w:rPr>
        <w:t xml:space="preserve"> </w:t>
      </w:r>
      <w:r>
        <w:rPr>
          <w:rFonts w:ascii="宋体" w:hAnsi="宋体" w:eastAsia="宋体" w:cs="宋体"/>
          <w:spacing w:val="11"/>
          <w:sz w:val="20"/>
          <w:szCs w:val="20"/>
        </w:rPr>
        <w:t>天内提交最终报告及有关资</w:t>
      </w:r>
      <w:r>
        <w:rPr>
          <w:rFonts w:ascii="宋体" w:hAnsi="宋体" w:eastAsia="宋体" w:cs="宋体"/>
          <w:sz w:val="20"/>
          <w:szCs w:val="20"/>
        </w:rPr>
        <w:t>料。</w:t>
      </w:r>
    </w:p>
    <w:p w14:paraId="6EF49C72">
      <w:pPr>
        <w:pStyle w:val="2"/>
        <w:spacing w:before="1" w:line="220" w:lineRule="auto"/>
        <w:ind w:left="8"/>
        <w:rPr>
          <w:sz w:val="24"/>
          <w:szCs w:val="24"/>
        </w:rPr>
      </w:pPr>
      <w:r>
        <w:rPr>
          <w:rFonts w:ascii="Times New Roman" w:hAnsi="Times New Roman" w:eastAsia="Times New Roman" w:cs="Times New Roman"/>
          <w:b/>
          <w:bCs/>
          <w:spacing w:val="-3"/>
          <w:sz w:val="24"/>
          <w:szCs w:val="24"/>
        </w:rPr>
        <w:t xml:space="preserve">17.3  </w:t>
      </w:r>
      <w:r>
        <w:rPr>
          <w:b/>
          <w:bCs/>
          <w:spacing w:val="-3"/>
          <w:sz w:val="24"/>
          <w:szCs w:val="24"/>
        </w:rPr>
        <w:t>不可抗力后果的承担</w:t>
      </w:r>
    </w:p>
    <w:p w14:paraId="5F72A70B">
      <w:pPr>
        <w:spacing w:before="138" w:line="370" w:lineRule="auto"/>
        <w:ind w:left="4" w:right="37" w:firstLine="432"/>
        <w:rPr>
          <w:rFonts w:ascii="宋体" w:hAnsi="宋体" w:eastAsia="宋体" w:cs="宋体"/>
          <w:sz w:val="20"/>
          <w:szCs w:val="20"/>
        </w:rPr>
      </w:pPr>
      <w:r>
        <w:rPr>
          <w:rFonts w:ascii="Times New Roman" w:hAnsi="Times New Roman" w:eastAsia="Times New Roman" w:cs="Times New Roman"/>
          <w:spacing w:val="8"/>
          <w:sz w:val="20"/>
          <w:szCs w:val="20"/>
        </w:rPr>
        <w:t xml:space="preserve">17.3.1  </w:t>
      </w:r>
      <w:r>
        <w:rPr>
          <w:rFonts w:ascii="宋体" w:hAnsi="宋体" w:eastAsia="宋体" w:cs="宋体"/>
          <w:spacing w:val="8"/>
          <w:sz w:val="20"/>
          <w:szCs w:val="20"/>
        </w:rPr>
        <w:t>不可抗力引起的后果及造成的损</w:t>
      </w:r>
      <w:r>
        <w:rPr>
          <w:rFonts w:ascii="宋体" w:hAnsi="宋体" w:eastAsia="宋体" w:cs="宋体"/>
          <w:spacing w:val="7"/>
          <w:sz w:val="20"/>
          <w:szCs w:val="20"/>
        </w:rPr>
        <w:t>失由合同当事人按照法律规定及合同约定各自承担。</w:t>
      </w:r>
      <w:r>
        <w:rPr>
          <w:rFonts w:ascii="宋体" w:hAnsi="宋体" w:eastAsia="宋体" w:cs="宋体"/>
          <w:spacing w:val="9"/>
          <w:sz w:val="20"/>
          <w:szCs w:val="20"/>
        </w:rPr>
        <w:t>不可抗力发生前已完成的工程应当按照合同约定进行计量支付。</w:t>
      </w:r>
    </w:p>
    <w:p w14:paraId="5EA041E0">
      <w:pPr>
        <w:spacing w:before="1" w:line="368" w:lineRule="auto"/>
        <w:ind w:right="2" w:firstLine="436"/>
        <w:rPr>
          <w:rFonts w:ascii="宋体" w:hAnsi="宋体" w:eastAsia="宋体" w:cs="宋体"/>
          <w:sz w:val="20"/>
          <w:szCs w:val="20"/>
        </w:rPr>
      </w:pPr>
      <w:r>
        <w:rPr>
          <w:rFonts w:ascii="Times New Roman" w:hAnsi="Times New Roman" w:eastAsia="Times New Roman" w:cs="Times New Roman"/>
          <w:spacing w:val="7"/>
          <w:sz w:val="20"/>
          <w:szCs w:val="20"/>
        </w:rPr>
        <w:t xml:space="preserve">17.3.2  </w:t>
      </w:r>
      <w:r>
        <w:rPr>
          <w:rFonts w:ascii="宋体" w:hAnsi="宋体" w:eastAsia="宋体" w:cs="宋体"/>
          <w:spacing w:val="7"/>
          <w:sz w:val="20"/>
          <w:szCs w:val="20"/>
        </w:rPr>
        <w:t>不可抗力导致的人员伤亡、财产损失、费用增加和（或）工期延误等后果，</w:t>
      </w:r>
      <w:r>
        <w:rPr>
          <w:rFonts w:ascii="宋体" w:hAnsi="宋体" w:eastAsia="宋体" w:cs="宋体"/>
          <w:spacing w:val="-43"/>
          <w:sz w:val="20"/>
          <w:szCs w:val="20"/>
        </w:rPr>
        <w:t xml:space="preserve"> </w:t>
      </w:r>
      <w:r>
        <w:rPr>
          <w:rFonts w:ascii="宋体" w:hAnsi="宋体" w:eastAsia="宋体" w:cs="宋体"/>
          <w:spacing w:val="7"/>
          <w:sz w:val="20"/>
          <w:szCs w:val="20"/>
        </w:rPr>
        <w:t>由合同当</w:t>
      </w:r>
      <w:r>
        <w:rPr>
          <w:rFonts w:ascii="宋体" w:hAnsi="宋体" w:eastAsia="宋体" w:cs="宋体"/>
          <w:spacing w:val="8"/>
          <w:sz w:val="20"/>
          <w:szCs w:val="20"/>
        </w:rPr>
        <w:t>事人按以下原则承担：</w:t>
      </w:r>
    </w:p>
    <w:p w14:paraId="00977381">
      <w:pPr>
        <w:spacing w:before="2" w:line="368" w:lineRule="auto"/>
        <w:ind w:left="8" w:right="2" w:firstLine="42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）永久工程、已运至施工现场的材料和工程设备的损坏，以及因工程</w:t>
      </w:r>
      <w:r>
        <w:rPr>
          <w:rFonts w:ascii="宋体" w:hAnsi="宋体" w:eastAsia="宋体" w:cs="宋体"/>
          <w:spacing w:val="6"/>
          <w:sz w:val="20"/>
          <w:szCs w:val="20"/>
        </w:rPr>
        <w:t>损坏造成的第三人人</w:t>
      </w:r>
      <w:r>
        <w:rPr>
          <w:rFonts w:ascii="宋体" w:hAnsi="宋体" w:eastAsia="宋体" w:cs="宋体"/>
          <w:spacing w:val="8"/>
          <w:sz w:val="20"/>
          <w:szCs w:val="20"/>
        </w:rPr>
        <w:t>员伤亡和财产损失由发包人承担；</w:t>
      </w:r>
    </w:p>
    <w:p w14:paraId="5930CBC5">
      <w:pPr>
        <w:spacing w:before="1"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）承包人施工设备的损坏由承包人承担；</w:t>
      </w:r>
    </w:p>
    <w:p w14:paraId="236DE514">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）发包人和承包人承担各自人员伤亡和财产的损失；</w:t>
      </w:r>
    </w:p>
    <w:p w14:paraId="58BCCA21">
      <w:pPr>
        <w:spacing w:before="155" w:line="369" w:lineRule="auto"/>
        <w:ind w:left="3" w:firstLine="42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）因不可抗力影响承包人履行合同约定的义务，已经引起或将引起工</w:t>
      </w:r>
      <w:r>
        <w:rPr>
          <w:rFonts w:ascii="宋体" w:hAnsi="宋体" w:eastAsia="宋体" w:cs="宋体"/>
          <w:spacing w:val="6"/>
          <w:sz w:val="20"/>
          <w:szCs w:val="20"/>
        </w:rPr>
        <w:t>期延误的，应当顺延</w:t>
      </w:r>
      <w:r>
        <w:rPr>
          <w:rFonts w:ascii="宋体" w:hAnsi="宋体" w:eastAsia="宋体" w:cs="宋体"/>
          <w:spacing w:val="9"/>
          <w:sz w:val="20"/>
          <w:szCs w:val="20"/>
        </w:rPr>
        <w:t>工期，</w:t>
      </w:r>
      <w:r>
        <w:rPr>
          <w:rFonts w:ascii="宋体" w:hAnsi="宋体" w:eastAsia="宋体" w:cs="宋体"/>
          <w:spacing w:val="-58"/>
          <w:sz w:val="20"/>
          <w:szCs w:val="20"/>
        </w:rPr>
        <w:t xml:space="preserve"> </w:t>
      </w:r>
      <w:r>
        <w:rPr>
          <w:rFonts w:ascii="宋体" w:hAnsi="宋体" w:eastAsia="宋体" w:cs="宋体"/>
          <w:spacing w:val="9"/>
          <w:sz w:val="20"/>
          <w:szCs w:val="20"/>
        </w:rPr>
        <w:t>由此导致承包人停工的费用损失由发包人和承包人合理分担，</w:t>
      </w:r>
      <w:r>
        <w:rPr>
          <w:rFonts w:ascii="宋体" w:hAnsi="宋体" w:eastAsia="宋体" w:cs="宋体"/>
          <w:spacing w:val="8"/>
          <w:sz w:val="20"/>
          <w:szCs w:val="20"/>
        </w:rPr>
        <w:t>停工期间必须支付的工人工</w:t>
      </w:r>
      <w:r>
        <w:rPr>
          <w:rFonts w:ascii="宋体" w:hAnsi="宋体" w:eastAsia="宋体" w:cs="宋体"/>
          <w:spacing w:val="7"/>
          <w:sz w:val="20"/>
          <w:szCs w:val="20"/>
        </w:rPr>
        <w:t>资由发包人承担；</w:t>
      </w:r>
    </w:p>
    <w:p w14:paraId="36497264">
      <w:pPr>
        <w:spacing w:before="2" w:line="368" w:lineRule="auto"/>
        <w:ind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）因不可抗力引起或将引起工期延误，发包人要求赶工的，由此增加的赶</w:t>
      </w:r>
      <w:r>
        <w:rPr>
          <w:rFonts w:ascii="宋体" w:hAnsi="宋体" w:eastAsia="宋体" w:cs="宋体"/>
          <w:spacing w:val="6"/>
          <w:sz w:val="20"/>
          <w:szCs w:val="20"/>
        </w:rPr>
        <w:t>工费用由发包人</w:t>
      </w:r>
      <w:r>
        <w:rPr>
          <w:rFonts w:ascii="宋体" w:hAnsi="宋体" w:eastAsia="宋体" w:cs="宋体"/>
          <w:spacing w:val="3"/>
          <w:sz w:val="20"/>
          <w:szCs w:val="20"/>
        </w:rPr>
        <w:t>承担；</w:t>
      </w:r>
    </w:p>
    <w:p w14:paraId="4E6733ED">
      <w:pPr>
        <w:spacing w:line="227"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6</w:t>
      </w:r>
      <w:r>
        <w:rPr>
          <w:rFonts w:ascii="宋体" w:hAnsi="宋体" w:eastAsia="宋体" w:cs="宋体"/>
          <w:spacing w:val="9"/>
          <w:sz w:val="20"/>
          <w:szCs w:val="20"/>
        </w:rPr>
        <w:t>）承包人在停工期间按照发包人要求照管、清理和修复工程的费用由发包人承担。</w:t>
      </w:r>
    </w:p>
    <w:p w14:paraId="624290B0">
      <w:pPr>
        <w:spacing w:before="154" w:line="369" w:lineRule="auto"/>
        <w:ind w:left="1" w:firstLine="422"/>
        <w:rPr>
          <w:rFonts w:ascii="宋体" w:hAnsi="宋体" w:eastAsia="宋体" w:cs="宋体"/>
          <w:sz w:val="20"/>
          <w:szCs w:val="20"/>
        </w:rPr>
      </w:pPr>
      <w:r>
        <w:rPr>
          <w:rFonts w:ascii="宋体" w:hAnsi="宋体" w:eastAsia="宋体" w:cs="宋体"/>
          <w:spacing w:val="10"/>
          <w:sz w:val="20"/>
          <w:szCs w:val="20"/>
        </w:rPr>
        <w:t>不可抗力发生后，合同当事人均应采取措施尽量避免和减少损</w:t>
      </w:r>
      <w:r>
        <w:rPr>
          <w:rFonts w:ascii="宋体" w:hAnsi="宋体" w:eastAsia="宋体" w:cs="宋体"/>
          <w:spacing w:val="9"/>
          <w:sz w:val="20"/>
          <w:szCs w:val="20"/>
        </w:rPr>
        <w:t>失的扩大，任何一方当事人没有采取有效措施导致损失扩大的，应对扩大的损失承担责任。</w:t>
      </w:r>
    </w:p>
    <w:p w14:paraId="40EB152C">
      <w:pPr>
        <w:spacing w:line="369" w:lineRule="auto"/>
        <w:rPr>
          <w:rFonts w:ascii="宋体" w:hAnsi="宋体" w:eastAsia="宋体" w:cs="宋体"/>
          <w:sz w:val="20"/>
          <w:szCs w:val="20"/>
        </w:rPr>
        <w:sectPr>
          <w:footerReference r:id="rId279" w:type="default"/>
          <w:pgSz w:w="11906" w:h="16839"/>
          <w:pgMar w:top="400" w:right="1554" w:bottom="1038" w:left="1538" w:header="0" w:footer="787" w:gutter="0"/>
          <w:cols w:space="720" w:num="1"/>
        </w:sectPr>
      </w:pPr>
    </w:p>
    <w:p w14:paraId="60AD8B35">
      <w:pPr>
        <w:spacing w:line="271" w:lineRule="auto"/>
        <w:rPr>
          <w:rFonts w:ascii="Arial"/>
          <w:sz w:val="21"/>
        </w:rPr>
      </w:pPr>
    </w:p>
    <w:p w14:paraId="2AA782FC">
      <w:pPr>
        <w:spacing w:line="271" w:lineRule="auto"/>
        <w:rPr>
          <w:rFonts w:ascii="Arial"/>
          <w:sz w:val="21"/>
        </w:rPr>
      </w:pPr>
    </w:p>
    <w:p w14:paraId="407AD292">
      <w:pPr>
        <w:spacing w:line="272" w:lineRule="auto"/>
        <w:rPr>
          <w:rFonts w:ascii="Arial"/>
          <w:sz w:val="21"/>
        </w:rPr>
      </w:pPr>
    </w:p>
    <w:p w14:paraId="65003C60">
      <w:pPr>
        <w:spacing w:line="272" w:lineRule="auto"/>
        <w:rPr>
          <w:rFonts w:ascii="Arial"/>
          <w:sz w:val="21"/>
        </w:rPr>
      </w:pPr>
    </w:p>
    <w:p w14:paraId="4D4B0BB2">
      <w:pPr>
        <w:spacing w:before="65" w:line="228" w:lineRule="auto"/>
        <w:ind w:left="437"/>
        <w:rPr>
          <w:rFonts w:ascii="宋体" w:hAnsi="宋体" w:eastAsia="宋体" w:cs="宋体"/>
          <w:sz w:val="20"/>
          <w:szCs w:val="20"/>
        </w:rPr>
      </w:pPr>
      <w:r>
        <w:rPr>
          <w:rFonts w:ascii="宋体" w:hAnsi="宋体" w:eastAsia="宋体" w:cs="宋体"/>
          <w:spacing w:val="9"/>
          <w:sz w:val="20"/>
          <w:szCs w:val="20"/>
        </w:rPr>
        <w:t>因合同一方迟延履行合同义务，在迟延履行期间遭遇不可抗力的，不免除其违约责任。</w:t>
      </w:r>
    </w:p>
    <w:p w14:paraId="7DAF9014">
      <w:pPr>
        <w:pStyle w:val="2"/>
        <w:spacing w:before="127" w:line="221" w:lineRule="auto"/>
        <w:ind w:left="8"/>
        <w:rPr>
          <w:sz w:val="24"/>
          <w:szCs w:val="24"/>
        </w:rPr>
      </w:pPr>
      <w:r>
        <w:rPr>
          <w:rFonts w:ascii="Times New Roman" w:hAnsi="Times New Roman" w:eastAsia="Times New Roman" w:cs="Times New Roman"/>
          <w:b/>
          <w:bCs/>
          <w:spacing w:val="-5"/>
          <w:sz w:val="24"/>
          <w:szCs w:val="24"/>
        </w:rPr>
        <w:t>17.4</w:t>
      </w:r>
      <w:r>
        <w:rPr>
          <w:rFonts w:ascii="Times New Roman" w:hAnsi="Times New Roman" w:eastAsia="Times New Roman" w:cs="Times New Roman"/>
          <w:b/>
          <w:bCs/>
          <w:spacing w:val="16"/>
          <w:sz w:val="24"/>
          <w:szCs w:val="24"/>
        </w:rPr>
        <w:t xml:space="preserve">  </w:t>
      </w:r>
      <w:r>
        <w:rPr>
          <w:b/>
          <w:bCs/>
          <w:spacing w:val="-5"/>
          <w:sz w:val="24"/>
          <w:szCs w:val="24"/>
        </w:rPr>
        <w:t>因不可抗力解除合同</w:t>
      </w:r>
    </w:p>
    <w:p w14:paraId="775CA9EA">
      <w:pPr>
        <w:spacing w:before="138" w:line="369" w:lineRule="auto"/>
        <w:ind w:left="4" w:firstLine="432"/>
        <w:jc w:val="both"/>
        <w:rPr>
          <w:rFonts w:ascii="宋体" w:hAnsi="宋体" w:eastAsia="宋体" w:cs="宋体"/>
          <w:sz w:val="20"/>
          <w:szCs w:val="20"/>
        </w:rPr>
      </w:pPr>
      <w:r>
        <w:rPr>
          <w:rFonts w:ascii="宋体" w:hAnsi="宋体" w:eastAsia="宋体" w:cs="宋体"/>
          <w:spacing w:val="5"/>
          <w:sz w:val="20"/>
          <w:szCs w:val="20"/>
        </w:rPr>
        <w:t>因不可抗力导致合同无法履行连续超过</w:t>
      </w:r>
      <w:r>
        <w:rPr>
          <w:rFonts w:ascii="宋体" w:hAnsi="宋体" w:eastAsia="宋体" w:cs="宋体"/>
          <w:spacing w:val="-34"/>
          <w:sz w:val="20"/>
          <w:szCs w:val="20"/>
        </w:rPr>
        <w:t xml:space="preserve"> </w:t>
      </w:r>
      <w:r>
        <w:rPr>
          <w:rFonts w:ascii="Times New Roman" w:hAnsi="Times New Roman" w:eastAsia="Times New Roman" w:cs="Times New Roman"/>
          <w:spacing w:val="5"/>
          <w:sz w:val="20"/>
          <w:szCs w:val="20"/>
        </w:rPr>
        <w:t>84</w:t>
      </w:r>
      <w:r>
        <w:rPr>
          <w:rFonts w:ascii="Times New Roman" w:hAnsi="Times New Roman" w:eastAsia="Times New Roman" w:cs="Times New Roman"/>
          <w:spacing w:val="16"/>
          <w:sz w:val="20"/>
          <w:szCs w:val="20"/>
        </w:rPr>
        <w:t xml:space="preserve"> </w:t>
      </w:r>
      <w:r>
        <w:rPr>
          <w:rFonts w:ascii="宋体" w:hAnsi="宋体" w:eastAsia="宋体" w:cs="宋体"/>
          <w:spacing w:val="5"/>
          <w:sz w:val="20"/>
          <w:szCs w:val="20"/>
        </w:rPr>
        <w:t>天或累计超过</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140</w:t>
      </w:r>
      <w:r>
        <w:rPr>
          <w:rFonts w:ascii="Times New Roman" w:hAnsi="Times New Roman" w:eastAsia="Times New Roman" w:cs="Times New Roman"/>
          <w:spacing w:val="16"/>
          <w:w w:val="101"/>
          <w:sz w:val="20"/>
          <w:szCs w:val="20"/>
        </w:rPr>
        <w:t xml:space="preserve"> </w:t>
      </w:r>
      <w:r>
        <w:rPr>
          <w:rFonts w:ascii="宋体" w:hAnsi="宋体" w:eastAsia="宋体" w:cs="宋体"/>
          <w:spacing w:val="5"/>
          <w:sz w:val="20"/>
          <w:szCs w:val="20"/>
        </w:rPr>
        <w:t>天的，</w:t>
      </w:r>
      <w:r>
        <w:rPr>
          <w:rFonts w:ascii="宋体" w:hAnsi="宋体" w:eastAsia="宋体" w:cs="宋体"/>
          <w:spacing w:val="4"/>
          <w:sz w:val="20"/>
          <w:szCs w:val="20"/>
        </w:rPr>
        <w:t>发包人和承包人均有权解</w:t>
      </w:r>
      <w:r>
        <w:rPr>
          <w:rFonts w:ascii="宋体" w:hAnsi="宋体" w:eastAsia="宋体" w:cs="宋体"/>
          <w:spacing w:val="9"/>
          <w:sz w:val="20"/>
          <w:szCs w:val="20"/>
        </w:rPr>
        <w:t>除合同。合同解除后，</w:t>
      </w:r>
      <w:r>
        <w:rPr>
          <w:rFonts w:ascii="宋体" w:hAnsi="宋体" w:eastAsia="宋体" w:cs="宋体"/>
          <w:spacing w:val="-45"/>
          <w:sz w:val="20"/>
          <w:szCs w:val="20"/>
        </w:rPr>
        <w:t xml:space="preserve"> </w:t>
      </w:r>
      <w:r>
        <w:rPr>
          <w:rFonts w:ascii="宋体" w:hAnsi="宋体" w:eastAsia="宋体" w:cs="宋体"/>
          <w:spacing w:val="9"/>
          <w:sz w:val="20"/>
          <w:szCs w:val="20"/>
        </w:rPr>
        <w:t>由双方当事人按照第</w:t>
      </w:r>
      <w:r>
        <w:rPr>
          <w:rFonts w:ascii="宋体" w:hAnsi="宋体" w:eastAsia="宋体" w:cs="宋体"/>
          <w:spacing w:val="-44"/>
          <w:sz w:val="20"/>
          <w:szCs w:val="20"/>
        </w:rPr>
        <w:t xml:space="preserve"> </w:t>
      </w:r>
      <w:r>
        <w:rPr>
          <w:rFonts w:ascii="Times New Roman" w:hAnsi="Times New Roman" w:eastAsia="Times New Roman" w:cs="Times New Roman"/>
          <w:spacing w:val="9"/>
          <w:sz w:val="20"/>
          <w:szCs w:val="20"/>
        </w:rPr>
        <w:t xml:space="preserve">4.4 </w:t>
      </w:r>
      <w:r>
        <w:rPr>
          <w:rFonts w:ascii="宋体" w:hAnsi="宋体" w:eastAsia="宋体" w:cs="宋体"/>
          <w:spacing w:val="9"/>
          <w:sz w:val="20"/>
          <w:szCs w:val="20"/>
        </w:rPr>
        <w:t>款〔商定或确定〕商定或确定发包人应支付的款</w:t>
      </w:r>
      <w:r>
        <w:rPr>
          <w:rFonts w:ascii="宋体" w:hAnsi="宋体" w:eastAsia="宋体" w:cs="宋体"/>
          <w:spacing w:val="7"/>
          <w:sz w:val="20"/>
          <w:szCs w:val="20"/>
        </w:rPr>
        <w:t>项，该款项包括：</w:t>
      </w:r>
    </w:p>
    <w:p w14:paraId="082B0DC9">
      <w:pPr>
        <w:spacing w:line="226"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）合同解除前承包人已完成工作的价款；</w:t>
      </w:r>
    </w:p>
    <w:p w14:paraId="04923E32">
      <w:pPr>
        <w:spacing w:before="156" w:line="368" w:lineRule="auto"/>
        <w:ind w:left="1" w:right="2" w:firstLine="42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）承包人为工程订购的并已交付给承包人，或承包人有责任接受交付</w:t>
      </w:r>
      <w:r>
        <w:rPr>
          <w:rFonts w:ascii="宋体" w:hAnsi="宋体" w:eastAsia="宋体" w:cs="宋体"/>
          <w:spacing w:val="6"/>
          <w:sz w:val="20"/>
          <w:szCs w:val="20"/>
        </w:rPr>
        <w:t>的材料、工程设备和</w:t>
      </w:r>
      <w:r>
        <w:rPr>
          <w:rFonts w:ascii="宋体" w:hAnsi="宋体" w:eastAsia="宋体" w:cs="宋体"/>
          <w:spacing w:val="7"/>
          <w:sz w:val="20"/>
          <w:szCs w:val="20"/>
        </w:rPr>
        <w:t>其他物品的价款；</w:t>
      </w:r>
    </w:p>
    <w:p w14:paraId="040A439C">
      <w:pPr>
        <w:spacing w:before="1" w:line="369" w:lineRule="auto"/>
        <w:ind w:left="17" w:right="2" w:firstLine="413"/>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）发包人要求承包人退货或解除订货合同而产生的费用，或因不能退</w:t>
      </w:r>
      <w:r>
        <w:rPr>
          <w:rFonts w:ascii="宋体" w:hAnsi="宋体" w:eastAsia="宋体" w:cs="宋体"/>
          <w:spacing w:val="6"/>
          <w:sz w:val="20"/>
          <w:szCs w:val="20"/>
        </w:rPr>
        <w:t>货或解除合同而产生</w:t>
      </w:r>
      <w:r>
        <w:rPr>
          <w:rFonts w:ascii="宋体" w:hAnsi="宋体" w:eastAsia="宋体" w:cs="宋体"/>
          <w:sz w:val="20"/>
          <w:szCs w:val="20"/>
        </w:rPr>
        <w:t>的损失；</w:t>
      </w:r>
    </w:p>
    <w:p w14:paraId="270B5B57">
      <w:pPr>
        <w:spacing w:before="1"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）承包人撤离施工现场以及遣散承包人人员的费用；</w:t>
      </w:r>
    </w:p>
    <w:p w14:paraId="01ABC030">
      <w:pPr>
        <w:spacing w:before="154"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5</w:t>
      </w:r>
      <w:r>
        <w:rPr>
          <w:rFonts w:ascii="宋体" w:hAnsi="宋体" w:eastAsia="宋体" w:cs="宋体"/>
          <w:spacing w:val="9"/>
          <w:sz w:val="20"/>
          <w:szCs w:val="20"/>
        </w:rPr>
        <w:t>）按照合同约定在合同解除前应支付给</w:t>
      </w:r>
      <w:r>
        <w:rPr>
          <w:rFonts w:ascii="宋体" w:hAnsi="宋体" w:eastAsia="宋体" w:cs="宋体"/>
          <w:spacing w:val="8"/>
          <w:sz w:val="20"/>
          <w:szCs w:val="20"/>
        </w:rPr>
        <w:t>承包人的其他款项；</w:t>
      </w:r>
    </w:p>
    <w:p w14:paraId="2DB6F733">
      <w:pPr>
        <w:spacing w:before="153"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）扣减承包人按照合同约定应向发包人支付的款项；</w:t>
      </w:r>
    </w:p>
    <w:p w14:paraId="1AB119DC">
      <w:pPr>
        <w:spacing w:before="153"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7</w:t>
      </w:r>
      <w:r>
        <w:rPr>
          <w:rFonts w:ascii="宋体" w:hAnsi="宋体" w:eastAsia="宋体" w:cs="宋体"/>
          <w:spacing w:val="7"/>
          <w:sz w:val="20"/>
          <w:szCs w:val="20"/>
        </w:rPr>
        <w:t>）双方商定或确定的其他款项。</w:t>
      </w:r>
    </w:p>
    <w:p w14:paraId="400A52D8">
      <w:pPr>
        <w:spacing w:before="154" w:line="371" w:lineRule="auto"/>
        <w:ind w:firstLine="432"/>
        <w:rPr>
          <w:rFonts w:ascii="宋体" w:hAnsi="宋体" w:eastAsia="宋体" w:cs="宋体"/>
          <w:sz w:val="20"/>
          <w:szCs w:val="20"/>
        </w:rPr>
      </w:pPr>
      <w:r>
        <w:rPr>
          <w:rFonts w:ascii="宋体" w:hAnsi="宋体" w:eastAsia="宋体" w:cs="宋体"/>
          <w:spacing w:val="6"/>
          <w:sz w:val="20"/>
          <w:szCs w:val="20"/>
        </w:rPr>
        <w:t>除专用合同条款另有约定外，合同解除后，发包人应在商定或确定上述款项后</w:t>
      </w:r>
      <w:r>
        <w:rPr>
          <w:rFonts w:ascii="宋体" w:hAnsi="宋体" w:eastAsia="宋体" w:cs="宋体"/>
          <w:spacing w:val="-34"/>
          <w:sz w:val="20"/>
          <w:szCs w:val="20"/>
        </w:rPr>
        <w:t xml:space="preserve"> </w:t>
      </w:r>
      <w:r>
        <w:rPr>
          <w:rFonts w:ascii="Times New Roman" w:hAnsi="Times New Roman" w:eastAsia="Times New Roman" w:cs="Times New Roman"/>
          <w:spacing w:val="6"/>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天内完成上</w:t>
      </w:r>
      <w:r>
        <w:rPr>
          <w:rFonts w:ascii="宋体" w:hAnsi="宋体" w:eastAsia="宋体" w:cs="宋体"/>
          <w:spacing w:val="7"/>
          <w:sz w:val="20"/>
          <w:szCs w:val="20"/>
        </w:rPr>
        <w:t>述款项的支付。</w:t>
      </w:r>
    </w:p>
    <w:p w14:paraId="2BAB789E">
      <w:pPr>
        <w:pStyle w:val="2"/>
        <w:spacing w:before="33" w:line="223" w:lineRule="auto"/>
        <w:ind w:left="11"/>
        <w:outlineLvl w:val="2"/>
        <w:rPr>
          <w:sz w:val="28"/>
          <w:szCs w:val="28"/>
        </w:rPr>
      </w:pPr>
      <w:bookmarkStart w:id="280" w:name="bookmark262"/>
      <w:bookmarkEnd w:id="280"/>
      <w:r>
        <w:rPr>
          <w:rFonts w:ascii="Times New Roman" w:hAnsi="Times New Roman" w:eastAsia="Times New Roman" w:cs="Times New Roman"/>
          <w:b/>
          <w:bCs/>
          <w:spacing w:val="-7"/>
          <w:sz w:val="28"/>
          <w:szCs w:val="28"/>
        </w:rPr>
        <w:t>18.</w:t>
      </w:r>
      <w:r>
        <w:rPr>
          <w:rFonts w:ascii="Times New Roman" w:hAnsi="Times New Roman" w:eastAsia="Times New Roman" w:cs="Times New Roman"/>
          <w:b/>
          <w:bCs/>
          <w:spacing w:val="5"/>
          <w:sz w:val="28"/>
          <w:szCs w:val="28"/>
        </w:rPr>
        <w:t xml:space="preserve">  </w:t>
      </w:r>
      <w:r>
        <w:rPr>
          <w:b/>
          <w:bCs/>
          <w:spacing w:val="-7"/>
          <w:sz w:val="28"/>
          <w:szCs w:val="28"/>
        </w:rPr>
        <w:t>保险</w:t>
      </w:r>
    </w:p>
    <w:p w14:paraId="4A7B3D39">
      <w:pPr>
        <w:pStyle w:val="2"/>
        <w:spacing w:before="97" w:line="222" w:lineRule="auto"/>
        <w:ind w:left="8"/>
        <w:rPr>
          <w:sz w:val="24"/>
          <w:szCs w:val="24"/>
        </w:rPr>
      </w:pPr>
      <w:r>
        <w:rPr>
          <w:rFonts w:ascii="Times New Roman" w:hAnsi="Times New Roman" w:eastAsia="Times New Roman" w:cs="Times New Roman"/>
          <w:b/>
          <w:bCs/>
          <w:spacing w:val="-3"/>
          <w:sz w:val="24"/>
          <w:szCs w:val="24"/>
        </w:rPr>
        <w:t xml:space="preserve">18.1  </w:t>
      </w:r>
      <w:r>
        <w:rPr>
          <w:b/>
          <w:bCs/>
          <w:spacing w:val="-3"/>
          <w:sz w:val="24"/>
          <w:szCs w:val="24"/>
        </w:rPr>
        <w:t>工程保险</w:t>
      </w:r>
    </w:p>
    <w:p w14:paraId="71DAFED6">
      <w:pPr>
        <w:spacing w:before="137" w:line="358" w:lineRule="auto"/>
        <w:ind w:firstLine="432"/>
        <w:rPr>
          <w:rFonts w:ascii="宋体" w:hAnsi="宋体" w:eastAsia="宋体" w:cs="宋体"/>
          <w:sz w:val="20"/>
          <w:szCs w:val="20"/>
        </w:rPr>
      </w:pPr>
      <w:r>
        <w:rPr>
          <w:rFonts w:ascii="宋体" w:hAnsi="宋体" w:eastAsia="宋体" w:cs="宋体"/>
          <w:spacing w:val="9"/>
          <w:sz w:val="20"/>
          <w:szCs w:val="20"/>
        </w:rPr>
        <w:t>除专用合同条款另有约定外，发包人应投保建筑工程一切险或安装工程一切险；发包人委托承包人投保的，因投保产生的保险费和其他相关费用由发包人承担。</w:t>
      </w:r>
    </w:p>
    <w:p w14:paraId="71DF2FBD">
      <w:pPr>
        <w:pStyle w:val="2"/>
        <w:spacing w:line="222" w:lineRule="auto"/>
        <w:ind w:left="8"/>
        <w:rPr>
          <w:sz w:val="24"/>
          <w:szCs w:val="24"/>
        </w:rPr>
      </w:pPr>
      <w:r>
        <w:rPr>
          <w:rFonts w:ascii="Times New Roman" w:hAnsi="Times New Roman" w:eastAsia="Times New Roman" w:cs="Times New Roman"/>
          <w:b/>
          <w:bCs/>
          <w:spacing w:val="-3"/>
          <w:sz w:val="24"/>
          <w:szCs w:val="24"/>
        </w:rPr>
        <w:t xml:space="preserve">18.2  </w:t>
      </w:r>
      <w:r>
        <w:rPr>
          <w:b/>
          <w:bCs/>
          <w:spacing w:val="-3"/>
          <w:sz w:val="24"/>
          <w:szCs w:val="24"/>
        </w:rPr>
        <w:t>工伤保险</w:t>
      </w:r>
    </w:p>
    <w:p w14:paraId="5EEF3769">
      <w:pPr>
        <w:spacing w:before="136" w:line="370" w:lineRule="auto"/>
        <w:ind w:left="2" w:right="2" w:firstLine="434"/>
        <w:rPr>
          <w:rFonts w:ascii="宋体" w:hAnsi="宋体" w:eastAsia="宋体" w:cs="宋体"/>
          <w:sz w:val="20"/>
          <w:szCs w:val="20"/>
        </w:rPr>
      </w:pPr>
      <w:r>
        <w:rPr>
          <w:rFonts w:ascii="Times New Roman" w:hAnsi="Times New Roman" w:eastAsia="Times New Roman" w:cs="Times New Roman"/>
          <w:spacing w:val="8"/>
          <w:sz w:val="20"/>
          <w:szCs w:val="20"/>
        </w:rPr>
        <w:t xml:space="preserve">18.2.1  </w:t>
      </w:r>
      <w:r>
        <w:rPr>
          <w:rFonts w:ascii="宋体" w:hAnsi="宋体" w:eastAsia="宋体" w:cs="宋体"/>
          <w:spacing w:val="8"/>
          <w:sz w:val="20"/>
          <w:szCs w:val="20"/>
        </w:rPr>
        <w:t>发包人应依照法律规定参加工伤保险，并为在施工现场的全部员工办理工伤保险，缴</w:t>
      </w:r>
      <w:r>
        <w:rPr>
          <w:rFonts w:ascii="宋体" w:hAnsi="宋体" w:eastAsia="宋体" w:cs="宋体"/>
          <w:spacing w:val="9"/>
          <w:sz w:val="20"/>
          <w:szCs w:val="20"/>
        </w:rPr>
        <w:t>纳工伤保险费，并要求监理人及由发包人为履行合同聘请的第三方依法参加工伤保险。</w:t>
      </w:r>
    </w:p>
    <w:p w14:paraId="37302CF9">
      <w:pPr>
        <w:spacing w:before="1" w:line="356" w:lineRule="auto"/>
        <w:ind w:left="2" w:right="2" w:firstLine="434"/>
        <w:rPr>
          <w:rFonts w:ascii="宋体" w:hAnsi="宋体" w:eastAsia="宋体" w:cs="宋体"/>
          <w:sz w:val="20"/>
          <w:szCs w:val="20"/>
        </w:rPr>
      </w:pPr>
      <w:r>
        <w:rPr>
          <w:rFonts w:ascii="Times New Roman" w:hAnsi="Times New Roman" w:eastAsia="Times New Roman" w:cs="Times New Roman"/>
          <w:spacing w:val="8"/>
          <w:sz w:val="20"/>
          <w:szCs w:val="20"/>
        </w:rPr>
        <w:t xml:space="preserve">18.2.2  </w:t>
      </w:r>
      <w:r>
        <w:rPr>
          <w:rFonts w:ascii="宋体" w:hAnsi="宋体" w:eastAsia="宋体" w:cs="宋体"/>
          <w:spacing w:val="8"/>
          <w:sz w:val="20"/>
          <w:szCs w:val="20"/>
        </w:rPr>
        <w:t>承包人应依照法律规定参加工伤保险，并为其履行合同的全部员工办理工伤保险，缴</w:t>
      </w:r>
      <w:r>
        <w:rPr>
          <w:rFonts w:ascii="宋体" w:hAnsi="宋体" w:eastAsia="宋体" w:cs="宋体"/>
          <w:spacing w:val="9"/>
          <w:sz w:val="20"/>
          <w:szCs w:val="20"/>
        </w:rPr>
        <w:t>纳工伤保险费，并要求分包人及由承包人为履行合同聘请的第三方依法参加工伤保险。</w:t>
      </w:r>
    </w:p>
    <w:p w14:paraId="33140126">
      <w:pPr>
        <w:pStyle w:val="2"/>
        <w:spacing w:before="1" w:line="222" w:lineRule="auto"/>
        <w:ind w:left="8"/>
        <w:rPr>
          <w:sz w:val="24"/>
          <w:szCs w:val="24"/>
        </w:rPr>
      </w:pPr>
      <w:r>
        <w:rPr>
          <w:rFonts w:ascii="Times New Roman" w:hAnsi="Times New Roman" w:eastAsia="Times New Roman" w:cs="Times New Roman"/>
          <w:b/>
          <w:bCs/>
          <w:spacing w:val="-5"/>
          <w:sz w:val="24"/>
          <w:szCs w:val="24"/>
        </w:rPr>
        <w:t>18.3</w:t>
      </w:r>
      <w:r>
        <w:rPr>
          <w:rFonts w:ascii="Times New Roman" w:hAnsi="Times New Roman" w:eastAsia="Times New Roman" w:cs="Times New Roman"/>
          <w:b/>
          <w:bCs/>
          <w:spacing w:val="15"/>
          <w:sz w:val="24"/>
          <w:szCs w:val="24"/>
        </w:rPr>
        <w:t xml:space="preserve"> </w:t>
      </w:r>
      <w:r>
        <w:rPr>
          <w:b/>
          <w:bCs/>
          <w:spacing w:val="-5"/>
          <w:sz w:val="24"/>
          <w:szCs w:val="24"/>
        </w:rPr>
        <w:t>其他保险</w:t>
      </w:r>
    </w:p>
    <w:p w14:paraId="7B591312">
      <w:pPr>
        <w:spacing w:before="138" w:line="369" w:lineRule="auto"/>
        <w:ind w:firstLine="424"/>
        <w:rPr>
          <w:rFonts w:ascii="宋体" w:hAnsi="宋体" w:eastAsia="宋体" w:cs="宋体"/>
          <w:sz w:val="20"/>
          <w:szCs w:val="20"/>
        </w:rPr>
      </w:pPr>
      <w:r>
        <w:rPr>
          <w:rFonts w:ascii="宋体" w:hAnsi="宋体" w:eastAsia="宋体" w:cs="宋体"/>
          <w:spacing w:val="10"/>
          <w:sz w:val="20"/>
          <w:szCs w:val="20"/>
        </w:rPr>
        <w:t>发包人和承包人可以为其施工现场的全部人员办理意外伤害保</w:t>
      </w:r>
      <w:r>
        <w:rPr>
          <w:rFonts w:ascii="宋体" w:hAnsi="宋体" w:eastAsia="宋体" w:cs="宋体"/>
          <w:spacing w:val="9"/>
          <w:sz w:val="20"/>
          <w:szCs w:val="20"/>
        </w:rPr>
        <w:t>险并支付保险费，包括其员工及为履行合同聘请的第三方的人员，具体事项由合同当事人在专用合同条款约定。</w:t>
      </w:r>
    </w:p>
    <w:p w14:paraId="1BFAA41D">
      <w:pPr>
        <w:spacing w:before="1" w:line="227" w:lineRule="auto"/>
        <w:ind w:left="433"/>
        <w:rPr>
          <w:rFonts w:ascii="宋体" w:hAnsi="宋体" w:eastAsia="宋体" w:cs="宋体"/>
          <w:sz w:val="20"/>
          <w:szCs w:val="20"/>
        </w:rPr>
      </w:pPr>
      <w:r>
        <w:rPr>
          <w:rFonts w:ascii="宋体" w:hAnsi="宋体" w:eastAsia="宋体" w:cs="宋体"/>
          <w:spacing w:val="9"/>
          <w:sz w:val="20"/>
          <w:szCs w:val="20"/>
        </w:rPr>
        <w:t>除专用合同条款另有约定外，承包人应为其施工设备等办理财产</w:t>
      </w:r>
      <w:r>
        <w:rPr>
          <w:rFonts w:ascii="宋体" w:hAnsi="宋体" w:eastAsia="宋体" w:cs="宋体"/>
          <w:spacing w:val="8"/>
          <w:sz w:val="20"/>
          <w:szCs w:val="20"/>
        </w:rPr>
        <w:t>保险。</w:t>
      </w:r>
    </w:p>
    <w:p w14:paraId="4210BCE3">
      <w:pPr>
        <w:pStyle w:val="2"/>
        <w:spacing w:before="128" w:line="222" w:lineRule="auto"/>
        <w:ind w:left="8"/>
        <w:rPr>
          <w:sz w:val="24"/>
          <w:szCs w:val="24"/>
        </w:rPr>
      </w:pPr>
      <w:r>
        <w:rPr>
          <w:rFonts w:ascii="Times New Roman" w:hAnsi="Times New Roman" w:eastAsia="Times New Roman" w:cs="Times New Roman"/>
          <w:b/>
          <w:bCs/>
          <w:spacing w:val="-3"/>
          <w:sz w:val="24"/>
          <w:szCs w:val="24"/>
        </w:rPr>
        <w:t xml:space="preserve">18.4 </w:t>
      </w:r>
      <w:r>
        <w:rPr>
          <w:b/>
          <w:bCs/>
          <w:spacing w:val="-3"/>
          <w:sz w:val="24"/>
          <w:szCs w:val="24"/>
        </w:rPr>
        <w:t>持续保险</w:t>
      </w:r>
    </w:p>
    <w:p w14:paraId="32CC852B">
      <w:pPr>
        <w:spacing w:before="135" w:line="358" w:lineRule="auto"/>
        <w:ind w:left="1" w:firstLine="420"/>
        <w:rPr>
          <w:rFonts w:ascii="宋体" w:hAnsi="宋体" w:eastAsia="宋体" w:cs="宋体"/>
          <w:sz w:val="20"/>
          <w:szCs w:val="20"/>
        </w:rPr>
      </w:pPr>
      <w:r>
        <w:rPr>
          <w:rFonts w:ascii="宋体" w:hAnsi="宋体" w:eastAsia="宋体" w:cs="宋体"/>
          <w:spacing w:val="10"/>
          <w:sz w:val="20"/>
          <w:szCs w:val="20"/>
        </w:rPr>
        <w:t>合同当事人应与保险人保持联系，使保险人能够随时了解工程实施</w:t>
      </w:r>
      <w:r>
        <w:rPr>
          <w:rFonts w:ascii="宋体" w:hAnsi="宋体" w:eastAsia="宋体" w:cs="宋体"/>
          <w:spacing w:val="9"/>
          <w:sz w:val="20"/>
          <w:szCs w:val="20"/>
        </w:rPr>
        <w:t>中的变动，并确保按保险</w:t>
      </w:r>
      <w:r>
        <w:rPr>
          <w:rFonts w:ascii="宋体" w:hAnsi="宋体" w:eastAsia="宋体" w:cs="宋体"/>
          <w:spacing w:val="8"/>
          <w:sz w:val="20"/>
          <w:szCs w:val="20"/>
        </w:rPr>
        <w:t>合同条款要求持续保险。</w:t>
      </w:r>
    </w:p>
    <w:p w14:paraId="62EB72F2">
      <w:pPr>
        <w:pStyle w:val="2"/>
        <w:spacing w:before="1" w:line="220" w:lineRule="auto"/>
        <w:ind w:left="8"/>
        <w:rPr>
          <w:sz w:val="24"/>
          <w:szCs w:val="24"/>
        </w:rPr>
      </w:pPr>
      <w:r>
        <w:rPr>
          <w:rFonts w:ascii="Times New Roman" w:hAnsi="Times New Roman" w:eastAsia="Times New Roman" w:cs="Times New Roman"/>
          <w:b/>
          <w:bCs/>
          <w:spacing w:val="-3"/>
          <w:sz w:val="24"/>
          <w:szCs w:val="24"/>
        </w:rPr>
        <w:t xml:space="preserve">18.5  </w:t>
      </w:r>
      <w:r>
        <w:rPr>
          <w:b/>
          <w:bCs/>
          <w:spacing w:val="-3"/>
          <w:sz w:val="24"/>
          <w:szCs w:val="24"/>
        </w:rPr>
        <w:t>保险凭证</w:t>
      </w:r>
    </w:p>
    <w:p w14:paraId="1BF7320F">
      <w:pPr>
        <w:spacing w:before="138" w:line="228" w:lineRule="auto"/>
        <w:ind w:left="421"/>
        <w:rPr>
          <w:rFonts w:ascii="宋体" w:hAnsi="宋体" w:eastAsia="宋体" w:cs="宋体"/>
          <w:sz w:val="20"/>
          <w:szCs w:val="20"/>
        </w:rPr>
      </w:pPr>
      <w:r>
        <w:rPr>
          <w:rFonts w:ascii="宋体" w:hAnsi="宋体" w:eastAsia="宋体" w:cs="宋体"/>
          <w:spacing w:val="9"/>
          <w:sz w:val="20"/>
          <w:szCs w:val="20"/>
        </w:rPr>
        <w:t>合同当事人应及时向另一方当事人提交其已投保的各项保险的凭证和保险单复印件。</w:t>
      </w:r>
    </w:p>
    <w:p w14:paraId="307D68D3">
      <w:pPr>
        <w:spacing w:line="228" w:lineRule="auto"/>
        <w:rPr>
          <w:rFonts w:ascii="宋体" w:hAnsi="宋体" w:eastAsia="宋体" w:cs="宋体"/>
          <w:sz w:val="20"/>
          <w:szCs w:val="20"/>
        </w:rPr>
        <w:sectPr>
          <w:footerReference r:id="rId280" w:type="default"/>
          <w:pgSz w:w="11906" w:h="16839"/>
          <w:pgMar w:top="400" w:right="1554" w:bottom="1038" w:left="1538" w:header="0" w:footer="787" w:gutter="0"/>
          <w:cols w:space="720" w:num="1"/>
        </w:sectPr>
      </w:pPr>
    </w:p>
    <w:p w14:paraId="70C35985">
      <w:pPr>
        <w:spacing w:line="262" w:lineRule="auto"/>
        <w:rPr>
          <w:rFonts w:ascii="Arial"/>
          <w:sz w:val="21"/>
        </w:rPr>
      </w:pPr>
    </w:p>
    <w:p w14:paraId="34D0168E">
      <w:pPr>
        <w:spacing w:line="262" w:lineRule="auto"/>
        <w:rPr>
          <w:rFonts w:ascii="Arial"/>
          <w:sz w:val="21"/>
        </w:rPr>
      </w:pPr>
    </w:p>
    <w:p w14:paraId="6084EC88">
      <w:pPr>
        <w:spacing w:line="262" w:lineRule="auto"/>
        <w:rPr>
          <w:rFonts w:ascii="Arial"/>
          <w:sz w:val="21"/>
        </w:rPr>
      </w:pPr>
    </w:p>
    <w:p w14:paraId="486205BF">
      <w:pPr>
        <w:spacing w:line="262" w:lineRule="auto"/>
        <w:rPr>
          <w:rFonts w:ascii="Arial"/>
          <w:sz w:val="21"/>
        </w:rPr>
      </w:pPr>
    </w:p>
    <w:p w14:paraId="7E271D6D">
      <w:pPr>
        <w:pStyle w:val="2"/>
        <w:spacing w:before="78" w:line="222" w:lineRule="auto"/>
        <w:ind w:left="7"/>
        <w:rPr>
          <w:sz w:val="24"/>
          <w:szCs w:val="24"/>
        </w:rPr>
      </w:pPr>
      <w:r>
        <w:rPr>
          <w:rFonts w:ascii="Times New Roman" w:hAnsi="Times New Roman" w:eastAsia="Times New Roman" w:cs="Times New Roman"/>
          <w:b/>
          <w:bCs/>
          <w:spacing w:val="-3"/>
          <w:sz w:val="24"/>
          <w:szCs w:val="24"/>
        </w:rPr>
        <w:t xml:space="preserve">18.6  </w:t>
      </w:r>
      <w:r>
        <w:rPr>
          <w:b/>
          <w:bCs/>
          <w:spacing w:val="-3"/>
          <w:sz w:val="24"/>
          <w:szCs w:val="24"/>
        </w:rPr>
        <w:t>未按约定投保的补救</w:t>
      </w:r>
    </w:p>
    <w:p w14:paraId="2A973C65">
      <w:pPr>
        <w:spacing w:before="136" w:line="369" w:lineRule="auto"/>
        <w:ind w:right="52" w:firstLine="436"/>
        <w:rPr>
          <w:rFonts w:ascii="宋体" w:hAnsi="宋体" w:eastAsia="宋体" w:cs="宋体"/>
          <w:sz w:val="20"/>
          <w:szCs w:val="20"/>
        </w:rPr>
      </w:pPr>
      <w:r>
        <w:rPr>
          <w:rFonts w:ascii="Times New Roman" w:hAnsi="Times New Roman" w:eastAsia="Times New Roman" w:cs="Times New Roman"/>
          <w:spacing w:val="10"/>
          <w:sz w:val="20"/>
          <w:szCs w:val="20"/>
        </w:rPr>
        <w:t xml:space="preserve">18.6.1 </w:t>
      </w:r>
      <w:r>
        <w:rPr>
          <w:rFonts w:ascii="宋体" w:hAnsi="宋体" w:eastAsia="宋体" w:cs="宋体"/>
          <w:spacing w:val="10"/>
          <w:sz w:val="20"/>
          <w:szCs w:val="20"/>
        </w:rPr>
        <w:t>发包人未按合同约定办理保险，或未能使</w:t>
      </w:r>
      <w:r>
        <w:rPr>
          <w:rFonts w:ascii="宋体" w:hAnsi="宋体" w:eastAsia="宋体" w:cs="宋体"/>
          <w:spacing w:val="9"/>
          <w:sz w:val="20"/>
          <w:szCs w:val="20"/>
        </w:rPr>
        <w:t>保险持续有效的，则承包人可代为办理，所</w:t>
      </w:r>
      <w:r>
        <w:rPr>
          <w:rFonts w:ascii="宋体" w:hAnsi="宋体" w:eastAsia="宋体" w:cs="宋体"/>
          <w:spacing w:val="10"/>
          <w:sz w:val="20"/>
          <w:szCs w:val="20"/>
        </w:rPr>
        <w:t>需费用由发包人承担。发包人未按合同约定办理保险，导致未能得到足额</w:t>
      </w:r>
      <w:r>
        <w:rPr>
          <w:rFonts w:ascii="宋体" w:hAnsi="宋体" w:eastAsia="宋体" w:cs="宋体"/>
          <w:spacing w:val="9"/>
          <w:sz w:val="20"/>
          <w:szCs w:val="20"/>
        </w:rPr>
        <w:t>赔偿的，由发包人负责</w:t>
      </w:r>
      <w:r>
        <w:rPr>
          <w:rFonts w:ascii="宋体" w:hAnsi="宋体" w:eastAsia="宋体" w:cs="宋体"/>
          <w:spacing w:val="3"/>
          <w:sz w:val="20"/>
          <w:szCs w:val="20"/>
        </w:rPr>
        <w:t>补足。</w:t>
      </w:r>
    </w:p>
    <w:p w14:paraId="57F82754">
      <w:pPr>
        <w:spacing w:before="2" w:line="361" w:lineRule="auto"/>
        <w:ind w:right="52" w:firstLine="436"/>
        <w:rPr>
          <w:rFonts w:ascii="宋体" w:hAnsi="宋体" w:eastAsia="宋体" w:cs="宋体"/>
          <w:sz w:val="20"/>
          <w:szCs w:val="20"/>
        </w:rPr>
      </w:pPr>
      <w:r>
        <w:rPr>
          <w:rFonts w:ascii="Times New Roman" w:hAnsi="Times New Roman" w:eastAsia="Times New Roman" w:cs="Times New Roman"/>
          <w:spacing w:val="10"/>
          <w:sz w:val="20"/>
          <w:szCs w:val="20"/>
        </w:rPr>
        <w:t xml:space="preserve">18.6.2 </w:t>
      </w:r>
      <w:r>
        <w:rPr>
          <w:rFonts w:ascii="宋体" w:hAnsi="宋体" w:eastAsia="宋体" w:cs="宋体"/>
          <w:spacing w:val="10"/>
          <w:sz w:val="20"/>
          <w:szCs w:val="20"/>
        </w:rPr>
        <w:t>承包人未按合同约定办理保险，或未能使</w:t>
      </w:r>
      <w:r>
        <w:rPr>
          <w:rFonts w:ascii="宋体" w:hAnsi="宋体" w:eastAsia="宋体" w:cs="宋体"/>
          <w:spacing w:val="9"/>
          <w:sz w:val="20"/>
          <w:szCs w:val="20"/>
        </w:rPr>
        <w:t>保险持续有效的，则发包人可代为办理，所</w:t>
      </w:r>
      <w:r>
        <w:rPr>
          <w:rFonts w:ascii="宋体" w:hAnsi="宋体" w:eastAsia="宋体" w:cs="宋体"/>
          <w:spacing w:val="10"/>
          <w:sz w:val="20"/>
          <w:szCs w:val="20"/>
        </w:rPr>
        <w:t>需费用由承包人承担。承包人未按合同约定办理保险，导致未能得到足额</w:t>
      </w:r>
      <w:r>
        <w:rPr>
          <w:rFonts w:ascii="宋体" w:hAnsi="宋体" w:eastAsia="宋体" w:cs="宋体"/>
          <w:spacing w:val="9"/>
          <w:sz w:val="20"/>
          <w:szCs w:val="20"/>
        </w:rPr>
        <w:t>赔偿的，由承包人负责</w:t>
      </w:r>
      <w:r>
        <w:rPr>
          <w:rFonts w:ascii="宋体" w:hAnsi="宋体" w:eastAsia="宋体" w:cs="宋体"/>
          <w:spacing w:val="3"/>
          <w:sz w:val="20"/>
          <w:szCs w:val="20"/>
        </w:rPr>
        <w:t>补足。</w:t>
      </w:r>
    </w:p>
    <w:p w14:paraId="1C27F381">
      <w:pPr>
        <w:pStyle w:val="2"/>
        <w:spacing w:before="1" w:line="220" w:lineRule="auto"/>
        <w:ind w:left="7"/>
        <w:rPr>
          <w:sz w:val="24"/>
          <w:szCs w:val="24"/>
        </w:rPr>
      </w:pPr>
      <w:r>
        <w:rPr>
          <w:rFonts w:ascii="Times New Roman" w:hAnsi="Times New Roman" w:eastAsia="Times New Roman" w:cs="Times New Roman"/>
          <w:b/>
          <w:bCs/>
          <w:spacing w:val="-3"/>
          <w:sz w:val="24"/>
          <w:szCs w:val="24"/>
        </w:rPr>
        <w:t xml:space="preserve">18.7  </w:t>
      </w:r>
      <w:r>
        <w:rPr>
          <w:b/>
          <w:bCs/>
          <w:spacing w:val="-3"/>
          <w:sz w:val="24"/>
          <w:szCs w:val="24"/>
        </w:rPr>
        <w:t>通知义务</w:t>
      </w:r>
    </w:p>
    <w:p w14:paraId="1E28D1F1">
      <w:pPr>
        <w:spacing w:before="138" w:line="369" w:lineRule="auto"/>
        <w:ind w:left="4" w:right="52" w:firstLine="428"/>
        <w:jc w:val="both"/>
        <w:rPr>
          <w:rFonts w:ascii="宋体" w:hAnsi="宋体" w:eastAsia="宋体" w:cs="宋体"/>
          <w:sz w:val="20"/>
          <w:szCs w:val="20"/>
        </w:rPr>
      </w:pPr>
      <w:r>
        <w:rPr>
          <w:rFonts w:ascii="宋体" w:hAnsi="宋体" w:eastAsia="宋体" w:cs="宋体"/>
          <w:spacing w:val="9"/>
          <w:sz w:val="20"/>
          <w:szCs w:val="20"/>
        </w:rPr>
        <w:t>除专用合同条款另有约定外，发包人变更除工伤保险之外的保险合同时，应事先征得承包人</w:t>
      </w:r>
      <w:r>
        <w:rPr>
          <w:rFonts w:ascii="宋体" w:hAnsi="宋体" w:eastAsia="宋体" w:cs="宋体"/>
          <w:spacing w:val="10"/>
          <w:sz w:val="20"/>
          <w:szCs w:val="20"/>
        </w:rPr>
        <w:t>同意，并通知监理人；承包人变更除工伤保险之外的保险合同时</w:t>
      </w:r>
      <w:r>
        <w:rPr>
          <w:rFonts w:ascii="宋体" w:hAnsi="宋体" w:eastAsia="宋体" w:cs="宋体"/>
          <w:spacing w:val="9"/>
          <w:sz w:val="20"/>
          <w:szCs w:val="20"/>
        </w:rPr>
        <w:t>，应事先征得发包人同意，并通</w:t>
      </w:r>
      <w:r>
        <w:rPr>
          <w:rFonts w:ascii="宋体" w:hAnsi="宋体" w:eastAsia="宋体" w:cs="宋体"/>
          <w:spacing w:val="5"/>
          <w:sz w:val="20"/>
          <w:szCs w:val="20"/>
        </w:rPr>
        <w:t>知监理人。</w:t>
      </w:r>
    </w:p>
    <w:p w14:paraId="65233354">
      <w:pPr>
        <w:spacing w:before="2" w:line="371" w:lineRule="auto"/>
        <w:ind w:right="52" w:firstLine="420"/>
        <w:rPr>
          <w:rFonts w:ascii="宋体" w:hAnsi="宋体" w:eastAsia="宋体" w:cs="宋体"/>
          <w:sz w:val="20"/>
          <w:szCs w:val="20"/>
        </w:rPr>
      </w:pPr>
      <w:r>
        <w:rPr>
          <w:rFonts w:ascii="宋体" w:hAnsi="宋体" w:eastAsia="宋体" w:cs="宋体"/>
          <w:spacing w:val="10"/>
          <w:sz w:val="20"/>
          <w:szCs w:val="20"/>
        </w:rPr>
        <w:t>保险事故发生时，投保人应按照保险合同规定的条件和期限及时向</w:t>
      </w:r>
      <w:r>
        <w:rPr>
          <w:rFonts w:ascii="宋体" w:hAnsi="宋体" w:eastAsia="宋体" w:cs="宋体"/>
          <w:spacing w:val="9"/>
          <w:sz w:val="20"/>
          <w:szCs w:val="20"/>
        </w:rPr>
        <w:t>保险人报告。发包人和承包人应当在知道保险事故发生后及时通知对方。</w:t>
      </w:r>
    </w:p>
    <w:p w14:paraId="74E8D0A4">
      <w:pPr>
        <w:pStyle w:val="2"/>
        <w:spacing w:before="33" w:line="222" w:lineRule="auto"/>
        <w:ind w:left="10"/>
        <w:outlineLvl w:val="2"/>
        <w:rPr>
          <w:sz w:val="28"/>
          <w:szCs w:val="28"/>
        </w:rPr>
      </w:pPr>
      <w:bookmarkStart w:id="281" w:name="bookmark263"/>
      <w:bookmarkEnd w:id="281"/>
      <w:r>
        <w:rPr>
          <w:rFonts w:ascii="Times New Roman" w:hAnsi="Times New Roman" w:eastAsia="Times New Roman" w:cs="Times New Roman"/>
          <w:b/>
          <w:bCs/>
          <w:spacing w:val="-8"/>
          <w:sz w:val="28"/>
          <w:szCs w:val="28"/>
        </w:rPr>
        <w:t>19.</w:t>
      </w:r>
      <w:r>
        <w:rPr>
          <w:rFonts w:ascii="Times New Roman" w:hAnsi="Times New Roman" w:eastAsia="Times New Roman" w:cs="Times New Roman"/>
          <w:b/>
          <w:bCs/>
          <w:spacing w:val="7"/>
          <w:sz w:val="28"/>
          <w:szCs w:val="28"/>
        </w:rPr>
        <w:t xml:space="preserve">  </w:t>
      </w:r>
      <w:r>
        <w:rPr>
          <w:b/>
          <w:bCs/>
          <w:spacing w:val="-8"/>
          <w:sz w:val="28"/>
          <w:szCs w:val="28"/>
        </w:rPr>
        <w:t>索赔</w:t>
      </w:r>
    </w:p>
    <w:p w14:paraId="2505A819">
      <w:pPr>
        <w:pStyle w:val="2"/>
        <w:spacing w:before="98" w:line="222" w:lineRule="auto"/>
        <w:ind w:left="7"/>
        <w:rPr>
          <w:sz w:val="24"/>
          <w:szCs w:val="24"/>
        </w:rPr>
      </w:pPr>
      <w:r>
        <w:rPr>
          <w:rFonts w:ascii="Times New Roman" w:hAnsi="Times New Roman" w:eastAsia="Times New Roman" w:cs="Times New Roman"/>
          <w:b/>
          <w:bCs/>
          <w:spacing w:val="-3"/>
          <w:sz w:val="24"/>
          <w:szCs w:val="24"/>
        </w:rPr>
        <w:t xml:space="preserve">19.1 </w:t>
      </w:r>
      <w:r>
        <w:rPr>
          <w:b/>
          <w:bCs/>
          <w:spacing w:val="-3"/>
          <w:sz w:val="24"/>
          <w:szCs w:val="24"/>
        </w:rPr>
        <w:t>承包人的索赔</w:t>
      </w:r>
    </w:p>
    <w:p w14:paraId="63EC6330">
      <w:pPr>
        <w:spacing w:before="137" w:line="370" w:lineRule="auto"/>
        <w:ind w:right="54" w:firstLine="419"/>
        <w:rPr>
          <w:rFonts w:ascii="宋体" w:hAnsi="宋体" w:eastAsia="宋体" w:cs="宋体"/>
          <w:sz w:val="20"/>
          <w:szCs w:val="20"/>
        </w:rPr>
      </w:pPr>
      <w:r>
        <w:rPr>
          <w:rFonts w:ascii="宋体" w:hAnsi="宋体" w:eastAsia="宋体" w:cs="宋体"/>
          <w:spacing w:val="10"/>
          <w:sz w:val="20"/>
          <w:szCs w:val="20"/>
        </w:rPr>
        <w:t>根据合同约定，承包人认为有权得到追加付款和（或）延长工期</w:t>
      </w:r>
      <w:r>
        <w:rPr>
          <w:rFonts w:ascii="宋体" w:hAnsi="宋体" w:eastAsia="宋体" w:cs="宋体"/>
          <w:spacing w:val="9"/>
          <w:sz w:val="20"/>
          <w:szCs w:val="20"/>
        </w:rPr>
        <w:t>的，应按以下程序向发包人</w:t>
      </w:r>
      <w:r>
        <w:rPr>
          <w:rFonts w:ascii="宋体" w:hAnsi="宋体" w:eastAsia="宋体" w:cs="宋体"/>
          <w:spacing w:val="5"/>
          <w:sz w:val="20"/>
          <w:szCs w:val="20"/>
        </w:rPr>
        <w:t>提出索赔：</w:t>
      </w:r>
    </w:p>
    <w:p w14:paraId="718C3AD2">
      <w:pPr>
        <w:spacing w:before="1" w:line="369" w:lineRule="auto"/>
        <w:ind w:right="54" w:firstLine="429"/>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）承包人应在知道或应当知道索赔事件发生后</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28 </w:t>
      </w:r>
      <w:r>
        <w:rPr>
          <w:rFonts w:ascii="宋体" w:hAnsi="宋体" w:eastAsia="宋体" w:cs="宋体"/>
          <w:spacing w:val="9"/>
          <w:sz w:val="20"/>
          <w:szCs w:val="20"/>
        </w:rPr>
        <w:t>天内，向监理人递交索</w:t>
      </w:r>
      <w:r>
        <w:rPr>
          <w:rFonts w:ascii="宋体" w:hAnsi="宋体" w:eastAsia="宋体" w:cs="宋体"/>
          <w:spacing w:val="8"/>
          <w:sz w:val="20"/>
          <w:szCs w:val="20"/>
        </w:rPr>
        <w:t>赔意向通知书，</w:t>
      </w:r>
      <w:r>
        <w:rPr>
          <w:rFonts w:ascii="宋体" w:hAnsi="宋体" w:eastAsia="宋体" w:cs="宋体"/>
          <w:spacing w:val="7"/>
          <w:sz w:val="20"/>
          <w:szCs w:val="20"/>
        </w:rPr>
        <w:t>并说明发生索赔事件的事由；承包人未在前述</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28 </w:t>
      </w:r>
      <w:r>
        <w:rPr>
          <w:rFonts w:ascii="宋体" w:hAnsi="宋体" w:eastAsia="宋体" w:cs="宋体"/>
          <w:spacing w:val="7"/>
          <w:sz w:val="20"/>
          <w:szCs w:val="20"/>
        </w:rPr>
        <w:t>天内发出索赔意向通知书的，</w:t>
      </w:r>
      <w:r>
        <w:rPr>
          <w:rFonts w:ascii="宋体" w:hAnsi="宋体" w:eastAsia="宋体" w:cs="宋体"/>
          <w:spacing w:val="6"/>
          <w:sz w:val="20"/>
          <w:szCs w:val="20"/>
        </w:rPr>
        <w:t>丧失要求追加付款</w:t>
      </w:r>
      <w:r>
        <w:rPr>
          <w:rFonts w:ascii="宋体" w:hAnsi="宋体" w:eastAsia="宋体" w:cs="宋体"/>
          <w:spacing w:val="8"/>
          <w:sz w:val="20"/>
          <w:szCs w:val="20"/>
        </w:rPr>
        <w:t>和（或）延长工期的权利；</w:t>
      </w:r>
    </w:p>
    <w:p w14:paraId="35E89C84">
      <w:pPr>
        <w:spacing w:before="1" w:line="368" w:lineRule="auto"/>
        <w:ind w:left="2" w:right="54" w:firstLine="427"/>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）承包人应在发出索赔意向通知书后</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28 </w:t>
      </w:r>
      <w:r>
        <w:rPr>
          <w:rFonts w:ascii="宋体" w:hAnsi="宋体" w:eastAsia="宋体" w:cs="宋体"/>
          <w:spacing w:val="9"/>
          <w:sz w:val="20"/>
          <w:szCs w:val="20"/>
        </w:rPr>
        <w:t>天内，向监理人正式递交索赔报</w:t>
      </w:r>
      <w:r>
        <w:rPr>
          <w:rFonts w:ascii="宋体" w:hAnsi="宋体" w:eastAsia="宋体" w:cs="宋体"/>
          <w:spacing w:val="8"/>
          <w:sz w:val="20"/>
          <w:szCs w:val="20"/>
        </w:rPr>
        <w:t>告；索赔报告应</w:t>
      </w:r>
      <w:r>
        <w:rPr>
          <w:rFonts w:ascii="宋体" w:hAnsi="宋体" w:eastAsia="宋体" w:cs="宋体"/>
          <w:spacing w:val="10"/>
          <w:sz w:val="20"/>
          <w:szCs w:val="20"/>
        </w:rPr>
        <w:t>详细说明索赔理由以及要求追加的付款金额</w:t>
      </w:r>
      <w:r>
        <w:rPr>
          <w:rFonts w:ascii="宋体" w:hAnsi="宋体" w:eastAsia="宋体" w:cs="宋体"/>
          <w:spacing w:val="9"/>
          <w:sz w:val="20"/>
          <w:szCs w:val="20"/>
        </w:rPr>
        <w:t>和（或）延长的工期，并附必要的记录和证明材料；</w:t>
      </w:r>
    </w:p>
    <w:p w14:paraId="6B8CEA6D">
      <w:pPr>
        <w:spacing w:before="2" w:line="368" w:lineRule="auto"/>
        <w:ind w:right="54"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）索赔事件具有持续影响的，承包人应按合理时间间隔继续递交延续</w:t>
      </w:r>
      <w:r>
        <w:rPr>
          <w:rFonts w:ascii="宋体" w:hAnsi="宋体" w:eastAsia="宋体" w:cs="宋体"/>
          <w:spacing w:val="6"/>
          <w:sz w:val="20"/>
          <w:szCs w:val="20"/>
        </w:rPr>
        <w:t>索赔通知，说明持续</w:t>
      </w:r>
      <w:r>
        <w:rPr>
          <w:rFonts w:ascii="宋体" w:hAnsi="宋体" w:eastAsia="宋体" w:cs="宋体"/>
          <w:spacing w:val="9"/>
          <w:sz w:val="20"/>
          <w:szCs w:val="20"/>
        </w:rPr>
        <w:t>影响的实际情况和记录，列出累计的追加付款金额和（或）工期延长天数；</w:t>
      </w:r>
    </w:p>
    <w:p w14:paraId="487E5F23">
      <w:pPr>
        <w:spacing w:before="2" w:line="357" w:lineRule="auto"/>
        <w:ind w:left="4" w:right="52" w:firstLine="425"/>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）在索赔事件影响结束后</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天内，承包人应向监理人递交最</w:t>
      </w:r>
      <w:r>
        <w:rPr>
          <w:rFonts w:ascii="宋体" w:hAnsi="宋体" w:eastAsia="宋体" w:cs="宋体"/>
          <w:spacing w:val="8"/>
          <w:sz w:val="20"/>
          <w:szCs w:val="20"/>
        </w:rPr>
        <w:t>终索赔报告，说明最终要求</w:t>
      </w:r>
      <w:r>
        <w:rPr>
          <w:rFonts w:ascii="宋体" w:hAnsi="宋体" w:eastAsia="宋体" w:cs="宋体"/>
          <w:spacing w:val="9"/>
          <w:sz w:val="20"/>
          <w:szCs w:val="20"/>
        </w:rPr>
        <w:t>索赔的追加付款金额和（或）延长的工期，并附必要的记录和证明材料。</w:t>
      </w:r>
    </w:p>
    <w:p w14:paraId="5B51D989">
      <w:pPr>
        <w:pStyle w:val="2"/>
        <w:spacing w:before="1" w:line="221" w:lineRule="auto"/>
        <w:ind w:left="7"/>
        <w:rPr>
          <w:sz w:val="24"/>
          <w:szCs w:val="24"/>
        </w:rPr>
      </w:pPr>
      <w:r>
        <w:rPr>
          <w:rFonts w:ascii="Times New Roman" w:hAnsi="Times New Roman" w:eastAsia="Times New Roman" w:cs="Times New Roman"/>
          <w:b/>
          <w:bCs/>
          <w:spacing w:val="-3"/>
          <w:sz w:val="24"/>
          <w:szCs w:val="24"/>
        </w:rPr>
        <w:t xml:space="preserve">19.2  </w:t>
      </w:r>
      <w:r>
        <w:rPr>
          <w:b/>
          <w:bCs/>
          <w:spacing w:val="-3"/>
          <w:sz w:val="24"/>
          <w:szCs w:val="24"/>
        </w:rPr>
        <w:t>对承包人索赔的处理</w:t>
      </w:r>
    </w:p>
    <w:p w14:paraId="635EB025">
      <w:pPr>
        <w:spacing w:before="136" w:line="228" w:lineRule="auto"/>
        <w:ind w:left="419"/>
        <w:rPr>
          <w:rFonts w:ascii="宋体" w:hAnsi="宋体" w:eastAsia="宋体" w:cs="宋体"/>
          <w:sz w:val="20"/>
          <w:szCs w:val="20"/>
        </w:rPr>
      </w:pPr>
      <w:r>
        <w:rPr>
          <w:rFonts w:ascii="宋体" w:hAnsi="宋体" w:eastAsia="宋体" w:cs="宋体"/>
          <w:spacing w:val="8"/>
          <w:sz w:val="20"/>
          <w:szCs w:val="20"/>
        </w:rPr>
        <w:t>对承包人索赔的处理如下：</w:t>
      </w:r>
    </w:p>
    <w:p w14:paraId="656553F4">
      <w:pPr>
        <w:spacing w:before="154" w:line="369" w:lineRule="auto"/>
        <w:ind w:left="1" w:right="52" w:firstLine="4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）监理人应在收到索赔报告后</w:t>
      </w:r>
      <w:r>
        <w:rPr>
          <w:rFonts w:ascii="宋体" w:hAnsi="宋体" w:eastAsia="宋体" w:cs="宋体"/>
          <w:spacing w:val="-14"/>
          <w:sz w:val="20"/>
          <w:szCs w:val="20"/>
        </w:rPr>
        <w:t xml:space="preserve"> </w:t>
      </w:r>
      <w:r>
        <w:rPr>
          <w:rFonts w:ascii="Times New Roman" w:hAnsi="Times New Roman" w:eastAsia="Times New Roman" w:cs="Times New Roman"/>
          <w:spacing w:val="8"/>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天内完成审查并报送发包人。监理人对索赔报告存在异议的，有权要求承包人提交全部原始记录副本；</w:t>
      </w:r>
    </w:p>
    <w:p w14:paraId="4B934347">
      <w:pPr>
        <w:spacing w:before="2" w:line="369" w:lineRule="auto"/>
        <w:ind w:left="21" w:firstLine="40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）发包人应在监理人收到索赔报告或有关索赔的进一步证明材料后的</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 xml:space="preserve">28 </w:t>
      </w:r>
      <w:r>
        <w:rPr>
          <w:rFonts w:ascii="宋体" w:hAnsi="宋体" w:eastAsia="宋体" w:cs="宋体"/>
          <w:spacing w:val="7"/>
          <w:sz w:val="20"/>
          <w:szCs w:val="20"/>
        </w:rPr>
        <w:t>天内，</w:t>
      </w:r>
      <w:r>
        <w:rPr>
          <w:rFonts w:ascii="宋体" w:hAnsi="宋体" w:eastAsia="宋体" w:cs="宋体"/>
          <w:spacing w:val="-58"/>
          <w:sz w:val="20"/>
          <w:szCs w:val="20"/>
        </w:rPr>
        <w:t xml:space="preserve"> </w:t>
      </w:r>
      <w:r>
        <w:rPr>
          <w:rFonts w:ascii="宋体" w:hAnsi="宋体" w:eastAsia="宋体" w:cs="宋体"/>
          <w:spacing w:val="7"/>
          <w:sz w:val="20"/>
          <w:szCs w:val="20"/>
        </w:rPr>
        <w:t>由监理人</w:t>
      </w:r>
      <w:r>
        <w:rPr>
          <w:rFonts w:ascii="宋体" w:hAnsi="宋体" w:eastAsia="宋体" w:cs="宋体"/>
          <w:spacing w:val="6"/>
          <w:sz w:val="20"/>
          <w:szCs w:val="20"/>
        </w:rPr>
        <w:t>向承包人出具经发包人签认的索赔处理结果。发包人逾期答</w:t>
      </w:r>
      <w:r>
        <w:rPr>
          <w:rFonts w:ascii="宋体" w:hAnsi="宋体" w:eastAsia="宋体" w:cs="宋体"/>
          <w:spacing w:val="5"/>
          <w:sz w:val="20"/>
          <w:szCs w:val="20"/>
        </w:rPr>
        <w:t>复的，则视为认可承包人的索赔要求；</w:t>
      </w:r>
    </w:p>
    <w:p w14:paraId="474694C2">
      <w:pPr>
        <w:spacing w:before="1" w:line="369" w:lineRule="auto"/>
        <w:ind w:left="2" w:right="54" w:firstLine="42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）承包人接受索赔处理结果的，索赔款项在当期进度款中进行支付；</w:t>
      </w:r>
      <w:r>
        <w:rPr>
          <w:rFonts w:ascii="宋体" w:hAnsi="宋体" w:eastAsia="宋体" w:cs="宋体"/>
          <w:spacing w:val="6"/>
          <w:sz w:val="20"/>
          <w:szCs w:val="20"/>
        </w:rPr>
        <w:t>承包人不接受索赔处</w:t>
      </w:r>
      <w:r>
        <w:rPr>
          <w:rFonts w:ascii="宋体" w:hAnsi="宋体" w:eastAsia="宋体" w:cs="宋体"/>
          <w:spacing w:val="8"/>
          <w:sz w:val="20"/>
          <w:szCs w:val="20"/>
        </w:rPr>
        <w:t>理结果的，按照第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20 </w:t>
      </w:r>
      <w:r>
        <w:rPr>
          <w:rFonts w:ascii="宋体" w:hAnsi="宋体" w:eastAsia="宋体" w:cs="宋体"/>
          <w:spacing w:val="8"/>
          <w:sz w:val="20"/>
          <w:szCs w:val="20"/>
        </w:rPr>
        <w:t>条〔争议解决〕约定处</w:t>
      </w:r>
      <w:r>
        <w:rPr>
          <w:rFonts w:ascii="宋体" w:hAnsi="宋体" w:eastAsia="宋体" w:cs="宋体"/>
          <w:spacing w:val="7"/>
          <w:sz w:val="20"/>
          <w:szCs w:val="20"/>
        </w:rPr>
        <w:t>理。</w:t>
      </w:r>
    </w:p>
    <w:p w14:paraId="41383D47">
      <w:pPr>
        <w:spacing w:line="369" w:lineRule="auto"/>
        <w:rPr>
          <w:rFonts w:ascii="宋体" w:hAnsi="宋体" w:eastAsia="宋体" w:cs="宋体"/>
          <w:sz w:val="20"/>
          <w:szCs w:val="20"/>
        </w:rPr>
        <w:sectPr>
          <w:footerReference r:id="rId281" w:type="default"/>
          <w:pgSz w:w="11906" w:h="16839"/>
          <w:pgMar w:top="400" w:right="1502" w:bottom="1038" w:left="1539" w:header="0" w:footer="787" w:gutter="0"/>
          <w:cols w:space="720" w:num="1"/>
        </w:sectPr>
      </w:pPr>
    </w:p>
    <w:p w14:paraId="77CF223B">
      <w:pPr>
        <w:spacing w:line="261" w:lineRule="auto"/>
        <w:rPr>
          <w:rFonts w:ascii="Arial"/>
          <w:sz w:val="21"/>
        </w:rPr>
      </w:pPr>
    </w:p>
    <w:p w14:paraId="55BAB7E2">
      <w:pPr>
        <w:spacing w:line="262" w:lineRule="auto"/>
        <w:rPr>
          <w:rFonts w:ascii="Arial"/>
          <w:sz w:val="21"/>
        </w:rPr>
      </w:pPr>
    </w:p>
    <w:p w14:paraId="09B755E6">
      <w:pPr>
        <w:spacing w:line="262" w:lineRule="auto"/>
        <w:rPr>
          <w:rFonts w:ascii="Arial"/>
          <w:sz w:val="21"/>
        </w:rPr>
      </w:pPr>
    </w:p>
    <w:p w14:paraId="22F44EF6">
      <w:pPr>
        <w:spacing w:line="262" w:lineRule="auto"/>
        <w:rPr>
          <w:rFonts w:ascii="Arial"/>
          <w:sz w:val="21"/>
        </w:rPr>
      </w:pPr>
    </w:p>
    <w:p w14:paraId="207593FE">
      <w:pPr>
        <w:pStyle w:val="2"/>
        <w:spacing w:before="78" w:line="221" w:lineRule="auto"/>
        <w:ind w:left="10"/>
        <w:rPr>
          <w:sz w:val="24"/>
          <w:szCs w:val="24"/>
        </w:rPr>
      </w:pPr>
      <w:r>
        <w:rPr>
          <w:rFonts w:ascii="Times New Roman" w:hAnsi="Times New Roman" w:eastAsia="Times New Roman" w:cs="Times New Roman"/>
          <w:b/>
          <w:bCs/>
          <w:spacing w:val="-3"/>
          <w:sz w:val="24"/>
          <w:szCs w:val="24"/>
        </w:rPr>
        <w:t xml:space="preserve">19.3 </w:t>
      </w:r>
      <w:r>
        <w:rPr>
          <w:b/>
          <w:bCs/>
          <w:spacing w:val="-3"/>
          <w:sz w:val="24"/>
          <w:szCs w:val="24"/>
        </w:rPr>
        <w:t>发包人的索赔</w:t>
      </w:r>
    </w:p>
    <w:p w14:paraId="603C72DA">
      <w:pPr>
        <w:spacing w:before="137" w:line="370" w:lineRule="auto"/>
        <w:ind w:left="4" w:firstLine="418"/>
        <w:rPr>
          <w:rFonts w:ascii="宋体" w:hAnsi="宋体" w:eastAsia="宋体" w:cs="宋体"/>
          <w:sz w:val="20"/>
          <w:szCs w:val="20"/>
        </w:rPr>
      </w:pPr>
      <w:r>
        <w:rPr>
          <w:rFonts w:ascii="宋体" w:hAnsi="宋体" w:eastAsia="宋体" w:cs="宋体"/>
          <w:spacing w:val="10"/>
          <w:sz w:val="20"/>
          <w:szCs w:val="20"/>
        </w:rPr>
        <w:t>根据合同约定，发包人认为有权得到赔付金额和（或）延长缺陷责任</w:t>
      </w:r>
      <w:r>
        <w:rPr>
          <w:rFonts w:ascii="宋体" w:hAnsi="宋体" w:eastAsia="宋体" w:cs="宋体"/>
          <w:spacing w:val="9"/>
          <w:sz w:val="20"/>
          <w:szCs w:val="20"/>
        </w:rPr>
        <w:t>期的，监理人应向承包</w:t>
      </w:r>
      <w:r>
        <w:rPr>
          <w:rFonts w:ascii="宋体" w:hAnsi="宋体" w:eastAsia="宋体" w:cs="宋体"/>
          <w:spacing w:val="8"/>
          <w:sz w:val="20"/>
          <w:szCs w:val="20"/>
        </w:rPr>
        <w:t>人发出通知并附有详细的证明。</w:t>
      </w:r>
    </w:p>
    <w:p w14:paraId="20BED900">
      <w:pPr>
        <w:spacing w:line="361" w:lineRule="auto"/>
        <w:ind w:left="6" w:firstLine="419"/>
        <w:jc w:val="both"/>
        <w:rPr>
          <w:rFonts w:ascii="宋体" w:hAnsi="宋体" w:eastAsia="宋体" w:cs="宋体"/>
          <w:sz w:val="20"/>
          <w:szCs w:val="20"/>
        </w:rPr>
      </w:pPr>
      <w:r>
        <w:rPr>
          <w:rFonts w:ascii="宋体" w:hAnsi="宋体" w:eastAsia="宋体" w:cs="宋体"/>
          <w:spacing w:val="12"/>
          <w:sz w:val="20"/>
          <w:szCs w:val="20"/>
        </w:rPr>
        <w:t>发包人应在知道或应当知道索赔事件发生后</w:t>
      </w:r>
      <w:r>
        <w:rPr>
          <w:rFonts w:ascii="宋体" w:hAnsi="宋体" w:eastAsia="宋体" w:cs="宋体"/>
          <w:spacing w:val="-41"/>
          <w:sz w:val="20"/>
          <w:szCs w:val="20"/>
        </w:rPr>
        <w:t xml:space="preserve"> </w:t>
      </w:r>
      <w:r>
        <w:rPr>
          <w:rFonts w:ascii="Times New Roman" w:hAnsi="Times New Roman" w:eastAsia="Times New Roman" w:cs="Times New Roman"/>
          <w:spacing w:val="11"/>
          <w:sz w:val="20"/>
          <w:szCs w:val="20"/>
        </w:rPr>
        <w:t>28</w:t>
      </w:r>
      <w:r>
        <w:rPr>
          <w:rFonts w:ascii="Times New Roman" w:hAnsi="Times New Roman" w:eastAsia="Times New Roman" w:cs="Times New Roman"/>
          <w:spacing w:val="19"/>
          <w:w w:val="101"/>
          <w:sz w:val="20"/>
          <w:szCs w:val="20"/>
        </w:rPr>
        <w:t xml:space="preserve"> </w:t>
      </w:r>
      <w:r>
        <w:rPr>
          <w:rFonts w:ascii="宋体" w:hAnsi="宋体" w:eastAsia="宋体" w:cs="宋体"/>
          <w:spacing w:val="11"/>
          <w:sz w:val="20"/>
          <w:szCs w:val="20"/>
        </w:rPr>
        <w:t>天内通过监理人向承包人提出索赔意向通知</w:t>
      </w:r>
      <w:r>
        <w:rPr>
          <w:rFonts w:ascii="宋体" w:hAnsi="宋体" w:eastAsia="宋体" w:cs="宋体"/>
          <w:spacing w:val="7"/>
          <w:sz w:val="20"/>
          <w:szCs w:val="20"/>
        </w:rPr>
        <w:t>书，发包人未在前述</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天内发出索赔意向通知书的，丧</w:t>
      </w:r>
      <w:r>
        <w:rPr>
          <w:rFonts w:ascii="宋体" w:hAnsi="宋体" w:eastAsia="宋体" w:cs="宋体"/>
          <w:spacing w:val="6"/>
          <w:sz w:val="20"/>
          <w:szCs w:val="20"/>
        </w:rPr>
        <w:t>失要求赔付金额和（或）延长缺陷责任期</w:t>
      </w:r>
      <w:r>
        <w:rPr>
          <w:rFonts w:ascii="宋体" w:hAnsi="宋体" w:eastAsia="宋体" w:cs="宋体"/>
          <w:spacing w:val="9"/>
          <w:sz w:val="20"/>
          <w:szCs w:val="20"/>
        </w:rPr>
        <w:t>的权利。发包人应在发出索赔意向通知书后</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天内，通过监理人向</w:t>
      </w:r>
      <w:r>
        <w:rPr>
          <w:rFonts w:ascii="宋体" w:hAnsi="宋体" w:eastAsia="宋体" w:cs="宋体"/>
          <w:spacing w:val="8"/>
          <w:sz w:val="20"/>
          <w:szCs w:val="20"/>
        </w:rPr>
        <w:t>承包人正式递交索赔报告。</w:t>
      </w:r>
    </w:p>
    <w:p w14:paraId="6A85307F">
      <w:pPr>
        <w:pStyle w:val="2"/>
        <w:spacing w:before="1" w:line="220" w:lineRule="auto"/>
        <w:ind w:left="10"/>
        <w:rPr>
          <w:sz w:val="24"/>
          <w:szCs w:val="24"/>
        </w:rPr>
      </w:pPr>
      <w:r>
        <w:rPr>
          <w:rFonts w:ascii="Times New Roman" w:hAnsi="Times New Roman" w:eastAsia="Times New Roman" w:cs="Times New Roman"/>
          <w:b/>
          <w:bCs/>
          <w:spacing w:val="-3"/>
          <w:sz w:val="24"/>
          <w:szCs w:val="24"/>
        </w:rPr>
        <w:t xml:space="preserve">19.4  </w:t>
      </w:r>
      <w:r>
        <w:rPr>
          <w:b/>
          <w:bCs/>
          <w:spacing w:val="-3"/>
          <w:sz w:val="24"/>
          <w:szCs w:val="24"/>
        </w:rPr>
        <w:t>对发包人索赔的处理</w:t>
      </w:r>
    </w:p>
    <w:p w14:paraId="623B1833">
      <w:pPr>
        <w:spacing w:before="137" w:line="228" w:lineRule="auto"/>
        <w:ind w:left="421"/>
        <w:rPr>
          <w:rFonts w:ascii="宋体" w:hAnsi="宋体" w:eastAsia="宋体" w:cs="宋体"/>
          <w:sz w:val="20"/>
          <w:szCs w:val="20"/>
        </w:rPr>
      </w:pPr>
      <w:r>
        <w:rPr>
          <w:rFonts w:ascii="宋体" w:hAnsi="宋体" w:eastAsia="宋体" w:cs="宋体"/>
          <w:spacing w:val="8"/>
          <w:sz w:val="20"/>
          <w:szCs w:val="20"/>
        </w:rPr>
        <w:t>对发包人索赔的处理如下：</w:t>
      </w:r>
    </w:p>
    <w:p w14:paraId="259BC3F7">
      <w:pPr>
        <w:spacing w:before="154" w:line="369" w:lineRule="auto"/>
        <w:ind w:left="2" w:right="2"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）承包人收到发包人提交的索赔报告后，应及时审查索赔报告的内容</w:t>
      </w:r>
      <w:r>
        <w:rPr>
          <w:rFonts w:ascii="宋体" w:hAnsi="宋体" w:eastAsia="宋体" w:cs="宋体"/>
          <w:spacing w:val="6"/>
          <w:sz w:val="20"/>
          <w:szCs w:val="20"/>
        </w:rPr>
        <w:t>、查验发包人证明材</w:t>
      </w:r>
      <w:r>
        <w:rPr>
          <w:rFonts w:ascii="宋体" w:hAnsi="宋体" w:eastAsia="宋体" w:cs="宋体"/>
          <w:sz w:val="20"/>
          <w:szCs w:val="20"/>
        </w:rPr>
        <w:t>料；</w:t>
      </w:r>
    </w:p>
    <w:p w14:paraId="5036F827">
      <w:pPr>
        <w:spacing w:before="2" w:line="369" w:lineRule="auto"/>
        <w:ind w:left="8" w:right="2" w:firstLine="424"/>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）承包人应在收到索赔报告或有关索赔的进一步证明材料后</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28 </w:t>
      </w:r>
      <w:r>
        <w:rPr>
          <w:rFonts w:ascii="宋体" w:hAnsi="宋体" w:eastAsia="宋体" w:cs="宋体"/>
          <w:spacing w:val="9"/>
          <w:sz w:val="20"/>
          <w:szCs w:val="20"/>
        </w:rPr>
        <w:t>天内，将</w:t>
      </w:r>
      <w:r>
        <w:rPr>
          <w:rFonts w:ascii="宋体" w:hAnsi="宋体" w:eastAsia="宋体" w:cs="宋体"/>
          <w:spacing w:val="8"/>
          <w:sz w:val="20"/>
          <w:szCs w:val="20"/>
        </w:rPr>
        <w:t>索赔处理结果答</w:t>
      </w:r>
      <w:r>
        <w:rPr>
          <w:rFonts w:ascii="宋体" w:hAnsi="宋体" w:eastAsia="宋体" w:cs="宋体"/>
          <w:spacing w:val="9"/>
          <w:sz w:val="20"/>
          <w:szCs w:val="20"/>
        </w:rPr>
        <w:t>复发包人。如果承包人未在上述期限内作出答复的，则视为对发包人索赔要求的认可；</w:t>
      </w:r>
    </w:p>
    <w:p w14:paraId="1F4FAE75">
      <w:pPr>
        <w:spacing w:before="1" w:line="356" w:lineRule="auto"/>
        <w:ind w:left="4" w:firstLine="42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）承包人接受索赔处理结果的，发包人可从应支付给承包人的合同价款中</w:t>
      </w:r>
      <w:r>
        <w:rPr>
          <w:rFonts w:ascii="宋体" w:hAnsi="宋体" w:eastAsia="宋体" w:cs="宋体"/>
          <w:spacing w:val="6"/>
          <w:sz w:val="20"/>
          <w:szCs w:val="20"/>
        </w:rPr>
        <w:t>扣除赔付的金额</w:t>
      </w:r>
      <w:r>
        <w:rPr>
          <w:rFonts w:ascii="宋体" w:hAnsi="宋体" w:eastAsia="宋体" w:cs="宋体"/>
          <w:spacing w:val="9"/>
          <w:sz w:val="20"/>
          <w:szCs w:val="20"/>
        </w:rPr>
        <w:t>或延长缺陷责任期；发包人不接受索赔处理结果的，按第</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20 </w:t>
      </w:r>
      <w:r>
        <w:rPr>
          <w:rFonts w:ascii="宋体" w:hAnsi="宋体" w:eastAsia="宋体" w:cs="宋体"/>
          <w:spacing w:val="9"/>
          <w:sz w:val="20"/>
          <w:szCs w:val="20"/>
        </w:rPr>
        <w:t>条〔争议解</w:t>
      </w:r>
      <w:r>
        <w:rPr>
          <w:rFonts w:ascii="宋体" w:hAnsi="宋体" w:eastAsia="宋体" w:cs="宋体"/>
          <w:spacing w:val="8"/>
          <w:sz w:val="20"/>
          <w:szCs w:val="20"/>
        </w:rPr>
        <w:t>决〕约定处理。</w:t>
      </w:r>
    </w:p>
    <w:p w14:paraId="4EFC673E">
      <w:pPr>
        <w:pStyle w:val="2"/>
        <w:spacing w:before="1" w:line="221" w:lineRule="auto"/>
        <w:ind w:left="10"/>
        <w:rPr>
          <w:sz w:val="24"/>
          <w:szCs w:val="24"/>
        </w:rPr>
      </w:pPr>
      <w:r>
        <w:rPr>
          <w:rFonts w:ascii="Times New Roman" w:hAnsi="Times New Roman" w:eastAsia="Times New Roman" w:cs="Times New Roman"/>
          <w:b/>
          <w:bCs/>
          <w:spacing w:val="-3"/>
          <w:sz w:val="24"/>
          <w:szCs w:val="24"/>
        </w:rPr>
        <w:t xml:space="preserve">19.5  </w:t>
      </w:r>
      <w:r>
        <w:rPr>
          <w:b/>
          <w:bCs/>
          <w:spacing w:val="-3"/>
          <w:sz w:val="24"/>
          <w:szCs w:val="24"/>
        </w:rPr>
        <w:t>提出索赔的期限</w:t>
      </w:r>
    </w:p>
    <w:p w14:paraId="7319D451">
      <w:pPr>
        <w:spacing w:before="139" w:line="369" w:lineRule="auto"/>
        <w:ind w:left="20" w:firstLine="41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）承包人按第</w:t>
      </w:r>
      <w:r>
        <w:rPr>
          <w:rFonts w:ascii="宋体" w:hAnsi="宋体" w:eastAsia="宋体" w:cs="宋体"/>
          <w:spacing w:val="-7"/>
          <w:sz w:val="20"/>
          <w:szCs w:val="20"/>
        </w:rPr>
        <w:t xml:space="preserve"> </w:t>
      </w:r>
      <w:r>
        <w:rPr>
          <w:rFonts w:ascii="Times New Roman" w:hAnsi="Times New Roman" w:eastAsia="Times New Roman" w:cs="Times New Roman"/>
          <w:spacing w:val="9"/>
          <w:sz w:val="20"/>
          <w:szCs w:val="20"/>
        </w:rPr>
        <w:t xml:space="preserve">14.2 </w:t>
      </w:r>
      <w:r>
        <w:rPr>
          <w:rFonts w:ascii="宋体" w:hAnsi="宋体" w:eastAsia="宋体" w:cs="宋体"/>
          <w:spacing w:val="9"/>
          <w:sz w:val="20"/>
          <w:szCs w:val="20"/>
        </w:rPr>
        <w:t>款〔竣工结算审核〕约定接收竣工付款证书后，应被视为已无权再提</w:t>
      </w:r>
      <w:r>
        <w:rPr>
          <w:rFonts w:ascii="宋体" w:hAnsi="宋体" w:eastAsia="宋体" w:cs="宋体"/>
          <w:spacing w:val="8"/>
          <w:sz w:val="20"/>
          <w:szCs w:val="20"/>
        </w:rPr>
        <w:t>出在工程接收证书颁发前所发生的任何索赔。</w:t>
      </w:r>
    </w:p>
    <w:p w14:paraId="0B27F475">
      <w:pPr>
        <w:spacing w:line="371" w:lineRule="auto"/>
        <w:ind w:left="2" w:right="2" w:firstLine="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）承包人按第</w:t>
      </w:r>
      <w:r>
        <w:rPr>
          <w:rFonts w:ascii="宋体" w:hAnsi="宋体" w:eastAsia="宋体" w:cs="宋体"/>
          <w:spacing w:val="-9"/>
          <w:sz w:val="20"/>
          <w:szCs w:val="20"/>
        </w:rPr>
        <w:t xml:space="preserve"> </w:t>
      </w:r>
      <w:r>
        <w:rPr>
          <w:rFonts w:ascii="Times New Roman" w:hAnsi="Times New Roman" w:eastAsia="Times New Roman" w:cs="Times New Roman"/>
          <w:spacing w:val="9"/>
          <w:sz w:val="20"/>
          <w:szCs w:val="20"/>
        </w:rPr>
        <w:t xml:space="preserve">14.4 </w:t>
      </w:r>
      <w:r>
        <w:rPr>
          <w:rFonts w:ascii="宋体" w:hAnsi="宋体" w:eastAsia="宋体" w:cs="宋体"/>
          <w:spacing w:val="9"/>
          <w:sz w:val="20"/>
          <w:szCs w:val="20"/>
        </w:rPr>
        <w:t>款〔最终结清〕提交的最终结清申请单中，只限于提出工程接收证书颁发后发生的索赔。提出索赔的期限自接受最终结清证书时终止。</w:t>
      </w:r>
    </w:p>
    <w:p w14:paraId="56FD282F">
      <w:pPr>
        <w:pStyle w:val="2"/>
        <w:spacing w:before="35" w:line="222" w:lineRule="auto"/>
        <w:outlineLvl w:val="2"/>
        <w:rPr>
          <w:sz w:val="28"/>
          <w:szCs w:val="28"/>
        </w:rPr>
      </w:pPr>
      <w:bookmarkStart w:id="282" w:name="bookmark264"/>
      <w:bookmarkEnd w:id="282"/>
      <w:r>
        <w:rPr>
          <w:rFonts w:ascii="Times New Roman" w:hAnsi="Times New Roman" w:eastAsia="Times New Roman" w:cs="Times New Roman"/>
          <w:b/>
          <w:bCs/>
          <w:spacing w:val="-5"/>
          <w:sz w:val="28"/>
          <w:szCs w:val="28"/>
        </w:rPr>
        <w:t>20.</w:t>
      </w:r>
      <w:r>
        <w:rPr>
          <w:rFonts w:ascii="Times New Roman" w:hAnsi="Times New Roman" w:eastAsia="Times New Roman" w:cs="Times New Roman"/>
          <w:b/>
          <w:bCs/>
          <w:spacing w:val="9"/>
          <w:sz w:val="28"/>
          <w:szCs w:val="28"/>
        </w:rPr>
        <w:t xml:space="preserve">  </w:t>
      </w:r>
      <w:r>
        <w:rPr>
          <w:b/>
          <w:bCs/>
          <w:spacing w:val="-5"/>
          <w:sz w:val="28"/>
          <w:szCs w:val="28"/>
        </w:rPr>
        <w:t>争议解决</w:t>
      </w:r>
    </w:p>
    <w:p w14:paraId="692DD939">
      <w:pPr>
        <w:pStyle w:val="2"/>
        <w:spacing w:before="99" w:line="222" w:lineRule="auto"/>
        <w:rPr>
          <w:sz w:val="24"/>
          <w:szCs w:val="24"/>
        </w:rPr>
      </w:pPr>
      <w:r>
        <w:rPr>
          <w:rFonts w:ascii="Times New Roman" w:hAnsi="Times New Roman" w:eastAsia="Times New Roman" w:cs="Times New Roman"/>
          <w:b/>
          <w:bCs/>
          <w:spacing w:val="-4"/>
          <w:sz w:val="24"/>
          <w:szCs w:val="24"/>
        </w:rPr>
        <w:t>20.1</w:t>
      </w:r>
      <w:r>
        <w:rPr>
          <w:rFonts w:ascii="Times New Roman" w:hAnsi="Times New Roman" w:eastAsia="Times New Roman" w:cs="Times New Roman"/>
          <w:b/>
          <w:bCs/>
          <w:spacing w:val="12"/>
          <w:sz w:val="24"/>
          <w:szCs w:val="24"/>
        </w:rPr>
        <w:t xml:space="preserve"> </w:t>
      </w:r>
      <w:r>
        <w:rPr>
          <w:b/>
          <w:bCs/>
          <w:spacing w:val="-4"/>
          <w:sz w:val="24"/>
          <w:szCs w:val="24"/>
        </w:rPr>
        <w:t>和解</w:t>
      </w:r>
    </w:p>
    <w:p w14:paraId="2991A2C4">
      <w:pPr>
        <w:spacing w:before="135" w:line="358" w:lineRule="auto"/>
        <w:ind w:left="1" w:firstLine="421"/>
        <w:rPr>
          <w:rFonts w:ascii="宋体" w:hAnsi="宋体" w:eastAsia="宋体" w:cs="宋体"/>
          <w:sz w:val="20"/>
          <w:szCs w:val="20"/>
        </w:rPr>
      </w:pPr>
      <w:r>
        <w:rPr>
          <w:rFonts w:ascii="宋体" w:hAnsi="宋体" w:eastAsia="宋体" w:cs="宋体"/>
          <w:spacing w:val="8"/>
          <w:sz w:val="20"/>
          <w:szCs w:val="20"/>
        </w:rPr>
        <w:t>合同当事人可以就争议自行和解，</w:t>
      </w:r>
      <w:r>
        <w:rPr>
          <w:rFonts w:ascii="宋体" w:hAnsi="宋体" w:eastAsia="宋体" w:cs="宋体"/>
          <w:spacing w:val="-31"/>
          <w:sz w:val="20"/>
          <w:szCs w:val="20"/>
        </w:rPr>
        <w:t xml:space="preserve"> </w:t>
      </w:r>
      <w:r>
        <w:rPr>
          <w:rFonts w:ascii="宋体" w:hAnsi="宋体" w:eastAsia="宋体" w:cs="宋体"/>
          <w:spacing w:val="8"/>
          <w:sz w:val="20"/>
          <w:szCs w:val="20"/>
        </w:rPr>
        <w:t>自行和解达成协议的经双方签字并盖章后作为合同补充文件，双方均应遵照执行。</w:t>
      </w:r>
    </w:p>
    <w:p w14:paraId="6972C361">
      <w:pPr>
        <w:pStyle w:val="2"/>
        <w:spacing w:before="1" w:line="222" w:lineRule="auto"/>
        <w:rPr>
          <w:sz w:val="24"/>
          <w:szCs w:val="24"/>
        </w:rPr>
      </w:pPr>
      <w:r>
        <w:rPr>
          <w:rFonts w:ascii="Times New Roman" w:hAnsi="Times New Roman" w:eastAsia="Times New Roman" w:cs="Times New Roman"/>
          <w:b/>
          <w:bCs/>
          <w:spacing w:val="-4"/>
          <w:sz w:val="24"/>
          <w:szCs w:val="24"/>
        </w:rPr>
        <w:t>20.2</w:t>
      </w:r>
      <w:r>
        <w:rPr>
          <w:rFonts w:ascii="Times New Roman" w:hAnsi="Times New Roman" w:eastAsia="Times New Roman" w:cs="Times New Roman"/>
          <w:b/>
          <w:bCs/>
          <w:spacing w:val="12"/>
          <w:sz w:val="24"/>
          <w:szCs w:val="24"/>
        </w:rPr>
        <w:t xml:space="preserve"> </w:t>
      </w:r>
      <w:r>
        <w:rPr>
          <w:b/>
          <w:bCs/>
          <w:spacing w:val="-4"/>
          <w:sz w:val="24"/>
          <w:szCs w:val="24"/>
        </w:rPr>
        <w:t>调解</w:t>
      </w:r>
    </w:p>
    <w:p w14:paraId="2E9F74B3">
      <w:pPr>
        <w:spacing w:before="135" w:line="358" w:lineRule="auto"/>
        <w:ind w:left="3" w:firstLine="420"/>
        <w:rPr>
          <w:rFonts w:ascii="宋体" w:hAnsi="宋体" w:eastAsia="宋体" w:cs="宋体"/>
          <w:sz w:val="20"/>
          <w:szCs w:val="20"/>
        </w:rPr>
      </w:pPr>
      <w:r>
        <w:rPr>
          <w:rFonts w:ascii="宋体" w:hAnsi="宋体" w:eastAsia="宋体" w:cs="宋体"/>
          <w:spacing w:val="10"/>
          <w:sz w:val="20"/>
          <w:szCs w:val="20"/>
        </w:rPr>
        <w:t>合同当事人可以就争议请求建设行政主管部门、行业协会或其他第三</w:t>
      </w:r>
      <w:r>
        <w:rPr>
          <w:rFonts w:ascii="宋体" w:hAnsi="宋体" w:eastAsia="宋体" w:cs="宋体"/>
          <w:spacing w:val="9"/>
          <w:sz w:val="20"/>
          <w:szCs w:val="20"/>
        </w:rPr>
        <w:t>方进行调解，调解达成协议的，经双方签字并盖章后作为合同补充文件，双方均应遵照执行。</w:t>
      </w:r>
    </w:p>
    <w:p w14:paraId="69273CFB">
      <w:pPr>
        <w:pStyle w:val="2"/>
        <w:spacing w:before="1" w:line="221" w:lineRule="auto"/>
        <w:rPr>
          <w:sz w:val="24"/>
          <w:szCs w:val="24"/>
        </w:rPr>
      </w:pPr>
      <w:r>
        <w:rPr>
          <w:rFonts w:ascii="Times New Roman" w:hAnsi="Times New Roman" w:eastAsia="Times New Roman" w:cs="Times New Roman"/>
          <w:b/>
          <w:bCs/>
          <w:spacing w:val="-4"/>
          <w:sz w:val="24"/>
          <w:szCs w:val="24"/>
        </w:rPr>
        <w:t>20.3</w:t>
      </w:r>
      <w:r>
        <w:rPr>
          <w:rFonts w:ascii="Times New Roman" w:hAnsi="Times New Roman" w:eastAsia="Times New Roman" w:cs="Times New Roman"/>
          <w:b/>
          <w:bCs/>
          <w:spacing w:val="17"/>
          <w:sz w:val="24"/>
          <w:szCs w:val="24"/>
        </w:rPr>
        <w:t xml:space="preserve"> </w:t>
      </w:r>
      <w:r>
        <w:rPr>
          <w:b/>
          <w:bCs/>
          <w:spacing w:val="-4"/>
          <w:sz w:val="24"/>
          <w:szCs w:val="24"/>
        </w:rPr>
        <w:t>争议评审</w:t>
      </w:r>
    </w:p>
    <w:p w14:paraId="55580E06">
      <w:pPr>
        <w:spacing w:before="137" w:line="370" w:lineRule="auto"/>
        <w:ind w:left="2" w:right="2" w:firstLine="420"/>
        <w:rPr>
          <w:rFonts w:ascii="宋体" w:hAnsi="宋体" w:eastAsia="宋体" w:cs="宋体"/>
          <w:sz w:val="20"/>
          <w:szCs w:val="20"/>
        </w:rPr>
      </w:pPr>
      <w:r>
        <w:rPr>
          <w:rFonts w:ascii="宋体" w:hAnsi="宋体" w:eastAsia="宋体" w:cs="宋体"/>
          <w:spacing w:val="10"/>
          <w:sz w:val="20"/>
          <w:szCs w:val="20"/>
        </w:rPr>
        <w:t>合同当事人在专用合同条款中约定采取争议评审方式解决争议</w:t>
      </w:r>
      <w:r>
        <w:rPr>
          <w:rFonts w:ascii="宋体" w:hAnsi="宋体" w:eastAsia="宋体" w:cs="宋体"/>
          <w:spacing w:val="9"/>
          <w:sz w:val="20"/>
          <w:szCs w:val="20"/>
        </w:rPr>
        <w:t>以及评审规则，并按下列约定</w:t>
      </w:r>
      <w:r>
        <w:rPr>
          <w:rFonts w:ascii="宋体" w:hAnsi="宋体" w:eastAsia="宋体" w:cs="宋体"/>
          <w:spacing w:val="3"/>
          <w:sz w:val="20"/>
          <w:szCs w:val="20"/>
        </w:rPr>
        <w:t>执行：</w:t>
      </w:r>
    </w:p>
    <w:p w14:paraId="6DF54D16">
      <w:pPr>
        <w:spacing w:line="227" w:lineRule="auto"/>
        <w:ind w:left="418"/>
        <w:rPr>
          <w:rFonts w:ascii="宋体" w:hAnsi="宋体" w:eastAsia="宋体" w:cs="宋体"/>
          <w:sz w:val="20"/>
          <w:szCs w:val="20"/>
        </w:rPr>
      </w:pPr>
      <w:r>
        <w:rPr>
          <w:rFonts w:ascii="Times New Roman" w:hAnsi="Times New Roman" w:eastAsia="Times New Roman" w:cs="Times New Roman"/>
          <w:spacing w:val="6"/>
          <w:sz w:val="20"/>
          <w:szCs w:val="20"/>
        </w:rPr>
        <w:t xml:space="preserve">20.3.1  </w:t>
      </w:r>
      <w:r>
        <w:rPr>
          <w:rFonts w:ascii="宋体" w:hAnsi="宋体" w:eastAsia="宋体" w:cs="宋体"/>
          <w:spacing w:val="6"/>
          <w:sz w:val="20"/>
          <w:szCs w:val="20"/>
        </w:rPr>
        <w:t>争议评审小组的确定</w:t>
      </w:r>
    </w:p>
    <w:p w14:paraId="193120BC">
      <w:pPr>
        <w:spacing w:before="152" w:line="370" w:lineRule="auto"/>
        <w:ind w:left="7" w:firstLine="415"/>
        <w:rPr>
          <w:rFonts w:ascii="宋体" w:hAnsi="宋体" w:eastAsia="宋体" w:cs="宋体"/>
          <w:sz w:val="20"/>
          <w:szCs w:val="20"/>
        </w:rPr>
      </w:pPr>
      <w:r>
        <w:rPr>
          <w:rFonts w:ascii="宋体" w:hAnsi="宋体" w:eastAsia="宋体" w:cs="宋体"/>
          <w:spacing w:val="10"/>
          <w:sz w:val="20"/>
          <w:szCs w:val="20"/>
        </w:rPr>
        <w:t>合同当事人可以共同选择一名或三名争议评审员，组成争议评审小</w:t>
      </w:r>
      <w:r>
        <w:rPr>
          <w:rFonts w:ascii="宋体" w:hAnsi="宋体" w:eastAsia="宋体" w:cs="宋体"/>
          <w:spacing w:val="9"/>
          <w:sz w:val="20"/>
          <w:szCs w:val="20"/>
        </w:rPr>
        <w:t>组。除专用合同条款另有</w:t>
      </w:r>
      <w:r>
        <w:rPr>
          <w:rFonts w:ascii="宋体" w:hAnsi="宋体" w:eastAsia="宋体" w:cs="宋体"/>
          <w:spacing w:val="8"/>
          <w:sz w:val="20"/>
          <w:szCs w:val="20"/>
        </w:rPr>
        <w:t>约定外，合同当事人应当自合同签订后</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28</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天内，</w:t>
      </w:r>
      <w:r>
        <w:rPr>
          <w:rFonts w:ascii="宋体" w:hAnsi="宋体" w:eastAsia="宋体" w:cs="宋体"/>
          <w:spacing w:val="7"/>
          <w:sz w:val="20"/>
          <w:szCs w:val="20"/>
        </w:rPr>
        <w:t>或者争议发生后</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天内，选定争议评审员。</w:t>
      </w:r>
    </w:p>
    <w:p w14:paraId="3E4E9545">
      <w:pPr>
        <w:spacing w:line="369" w:lineRule="auto"/>
        <w:ind w:left="2" w:firstLine="419"/>
        <w:rPr>
          <w:rFonts w:ascii="宋体" w:hAnsi="宋体" w:eastAsia="宋体" w:cs="宋体"/>
          <w:sz w:val="20"/>
          <w:szCs w:val="20"/>
        </w:rPr>
      </w:pPr>
      <w:r>
        <w:rPr>
          <w:rFonts w:ascii="宋体" w:hAnsi="宋体" w:eastAsia="宋体" w:cs="宋体"/>
          <w:spacing w:val="9"/>
          <w:sz w:val="20"/>
          <w:szCs w:val="20"/>
        </w:rPr>
        <w:t>选择一名争议评审员的，</w:t>
      </w:r>
      <w:r>
        <w:rPr>
          <w:rFonts w:ascii="宋体" w:hAnsi="宋体" w:eastAsia="宋体" w:cs="宋体"/>
          <w:spacing w:val="-58"/>
          <w:sz w:val="20"/>
          <w:szCs w:val="20"/>
        </w:rPr>
        <w:t xml:space="preserve"> </w:t>
      </w:r>
      <w:r>
        <w:rPr>
          <w:rFonts w:ascii="宋体" w:hAnsi="宋体" w:eastAsia="宋体" w:cs="宋体"/>
          <w:spacing w:val="9"/>
          <w:sz w:val="20"/>
          <w:szCs w:val="20"/>
        </w:rPr>
        <w:t>由合同当事人共同确定；选择三名争议评</w:t>
      </w:r>
      <w:r>
        <w:rPr>
          <w:rFonts w:ascii="宋体" w:hAnsi="宋体" w:eastAsia="宋体" w:cs="宋体"/>
          <w:spacing w:val="8"/>
          <w:sz w:val="20"/>
          <w:szCs w:val="20"/>
        </w:rPr>
        <w:t>审员的，各自选定一名，</w:t>
      </w:r>
      <w:r>
        <w:rPr>
          <w:rFonts w:ascii="宋体" w:hAnsi="宋体" w:eastAsia="宋体" w:cs="宋体"/>
          <w:spacing w:val="10"/>
          <w:sz w:val="20"/>
          <w:szCs w:val="20"/>
        </w:rPr>
        <w:t>第三名成员为首席争议评审员，由合同当事人共同确定或由合同当事人委</w:t>
      </w:r>
      <w:r>
        <w:rPr>
          <w:rFonts w:ascii="宋体" w:hAnsi="宋体" w:eastAsia="宋体" w:cs="宋体"/>
          <w:spacing w:val="9"/>
          <w:sz w:val="20"/>
          <w:szCs w:val="20"/>
        </w:rPr>
        <w:t>托已选定的争议评审员</w:t>
      </w:r>
    </w:p>
    <w:p w14:paraId="24F4EC75">
      <w:pPr>
        <w:spacing w:line="369" w:lineRule="auto"/>
        <w:rPr>
          <w:rFonts w:ascii="宋体" w:hAnsi="宋体" w:eastAsia="宋体" w:cs="宋体"/>
          <w:sz w:val="20"/>
          <w:szCs w:val="20"/>
        </w:rPr>
        <w:sectPr>
          <w:footerReference r:id="rId282" w:type="default"/>
          <w:pgSz w:w="11906" w:h="16839"/>
          <w:pgMar w:top="400" w:right="1554" w:bottom="1038" w:left="1536" w:header="0" w:footer="787" w:gutter="0"/>
          <w:cols w:space="720" w:num="1"/>
        </w:sectPr>
      </w:pPr>
    </w:p>
    <w:p w14:paraId="5E5FA612">
      <w:pPr>
        <w:spacing w:line="271" w:lineRule="auto"/>
        <w:rPr>
          <w:rFonts w:ascii="Arial"/>
          <w:sz w:val="21"/>
        </w:rPr>
      </w:pPr>
    </w:p>
    <w:p w14:paraId="07745274">
      <w:pPr>
        <w:spacing w:line="272" w:lineRule="auto"/>
        <w:rPr>
          <w:rFonts w:ascii="Arial"/>
          <w:sz w:val="21"/>
        </w:rPr>
      </w:pPr>
    </w:p>
    <w:p w14:paraId="0581A408">
      <w:pPr>
        <w:spacing w:line="272" w:lineRule="auto"/>
        <w:rPr>
          <w:rFonts w:ascii="Arial"/>
          <w:sz w:val="21"/>
        </w:rPr>
      </w:pPr>
    </w:p>
    <w:p w14:paraId="13805B59">
      <w:pPr>
        <w:spacing w:line="272" w:lineRule="auto"/>
        <w:rPr>
          <w:rFonts w:ascii="Arial"/>
          <w:sz w:val="21"/>
        </w:rPr>
      </w:pPr>
    </w:p>
    <w:p w14:paraId="53A98DC6">
      <w:pPr>
        <w:spacing w:before="65" w:line="227" w:lineRule="auto"/>
        <w:ind w:left="1"/>
        <w:rPr>
          <w:rFonts w:ascii="宋体" w:hAnsi="宋体" w:eastAsia="宋体" w:cs="宋体"/>
          <w:sz w:val="20"/>
          <w:szCs w:val="20"/>
        </w:rPr>
      </w:pPr>
      <w:r>
        <w:rPr>
          <w:rFonts w:ascii="宋体" w:hAnsi="宋体" w:eastAsia="宋体" w:cs="宋体"/>
          <w:spacing w:val="9"/>
          <w:sz w:val="20"/>
          <w:szCs w:val="20"/>
        </w:rPr>
        <w:t>共同确定，或由专用合同条款约定的评审机构指定第三名首席争议评审员。</w:t>
      </w:r>
    </w:p>
    <w:p w14:paraId="4CD9AE6A">
      <w:pPr>
        <w:spacing w:before="152" w:line="228" w:lineRule="auto"/>
        <w:ind w:left="434"/>
        <w:rPr>
          <w:rFonts w:ascii="宋体" w:hAnsi="宋体" w:eastAsia="宋体" w:cs="宋体"/>
          <w:sz w:val="20"/>
          <w:szCs w:val="20"/>
        </w:rPr>
      </w:pPr>
      <w:r>
        <w:rPr>
          <w:rFonts w:ascii="宋体" w:hAnsi="宋体" w:eastAsia="宋体" w:cs="宋体"/>
          <w:spacing w:val="9"/>
          <w:sz w:val="20"/>
          <w:szCs w:val="20"/>
        </w:rPr>
        <w:t>除专用合同条款另有约定外，评审员报酬由发包人和承包人各承担一半。</w:t>
      </w:r>
    </w:p>
    <w:p w14:paraId="3455E29E">
      <w:pPr>
        <w:spacing w:before="153" w:line="228" w:lineRule="auto"/>
        <w:ind w:left="418"/>
        <w:rPr>
          <w:rFonts w:ascii="宋体" w:hAnsi="宋体" w:eastAsia="宋体" w:cs="宋体"/>
          <w:sz w:val="20"/>
          <w:szCs w:val="20"/>
        </w:rPr>
      </w:pPr>
      <w:r>
        <w:rPr>
          <w:rFonts w:ascii="Times New Roman" w:hAnsi="Times New Roman" w:eastAsia="Times New Roman" w:cs="Times New Roman"/>
          <w:spacing w:val="6"/>
          <w:sz w:val="20"/>
          <w:szCs w:val="20"/>
        </w:rPr>
        <w:t xml:space="preserve">20.3.2  </w:t>
      </w:r>
      <w:r>
        <w:rPr>
          <w:rFonts w:ascii="宋体" w:hAnsi="宋体" w:eastAsia="宋体" w:cs="宋体"/>
          <w:spacing w:val="6"/>
          <w:sz w:val="20"/>
          <w:szCs w:val="20"/>
        </w:rPr>
        <w:t>争议评审小组的决定</w:t>
      </w:r>
    </w:p>
    <w:p w14:paraId="1B568AB3">
      <w:pPr>
        <w:spacing w:before="153" w:line="369" w:lineRule="auto"/>
        <w:ind w:left="4" w:firstLine="419"/>
        <w:rPr>
          <w:rFonts w:ascii="宋体" w:hAnsi="宋体" w:eastAsia="宋体" w:cs="宋体"/>
          <w:sz w:val="20"/>
          <w:szCs w:val="20"/>
        </w:rPr>
      </w:pPr>
      <w:r>
        <w:rPr>
          <w:rFonts w:ascii="宋体" w:hAnsi="宋体" w:eastAsia="宋体" w:cs="宋体"/>
          <w:spacing w:val="10"/>
          <w:sz w:val="20"/>
          <w:szCs w:val="20"/>
        </w:rPr>
        <w:t>合同当事人可在任何时间将与合同有关的任何争议共同提请争议评</w:t>
      </w:r>
      <w:r>
        <w:rPr>
          <w:rFonts w:ascii="宋体" w:hAnsi="宋体" w:eastAsia="宋体" w:cs="宋体"/>
          <w:spacing w:val="9"/>
          <w:sz w:val="20"/>
          <w:szCs w:val="20"/>
        </w:rPr>
        <w:t>审小组进行评审。争议评</w:t>
      </w:r>
      <w:r>
        <w:rPr>
          <w:rFonts w:ascii="宋体" w:hAnsi="宋体" w:eastAsia="宋体" w:cs="宋体"/>
          <w:spacing w:val="10"/>
          <w:sz w:val="20"/>
          <w:szCs w:val="20"/>
        </w:rPr>
        <w:t>审小组应秉持客观、公正原则，充分听取合同当事人的意见，依据相关</w:t>
      </w:r>
      <w:r>
        <w:rPr>
          <w:rFonts w:ascii="宋体" w:hAnsi="宋体" w:eastAsia="宋体" w:cs="宋体"/>
          <w:spacing w:val="9"/>
          <w:sz w:val="20"/>
          <w:szCs w:val="20"/>
        </w:rPr>
        <w:t>法律、规范、标准、案例</w:t>
      </w:r>
      <w:r>
        <w:rPr>
          <w:rFonts w:ascii="宋体" w:hAnsi="宋体" w:eastAsia="宋体" w:cs="宋体"/>
          <w:spacing w:val="6"/>
          <w:sz w:val="20"/>
          <w:szCs w:val="20"/>
        </w:rPr>
        <w:t>经验及商业惯例等，自收到争议评审申请报告后</w:t>
      </w:r>
      <w:r>
        <w:rPr>
          <w:rFonts w:ascii="宋体" w:hAnsi="宋体" w:eastAsia="宋体" w:cs="宋体"/>
          <w:spacing w:val="-18"/>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天内作出书面决定，并说明理由。合同当事人</w:t>
      </w:r>
      <w:r>
        <w:rPr>
          <w:rFonts w:ascii="宋体" w:hAnsi="宋体" w:eastAsia="宋体" w:cs="宋体"/>
          <w:spacing w:val="8"/>
          <w:sz w:val="20"/>
          <w:szCs w:val="20"/>
        </w:rPr>
        <w:t>可以在专用合同条款中对本项事项另行约定。</w:t>
      </w:r>
    </w:p>
    <w:p w14:paraId="093DD413">
      <w:pPr>
        <w:spacing w:line="227" w:lineRule="auto"/>
        <w:ind w:left="418"/>
        <w:rPr>
          <w:rFonts w:ascii="宋体" w:hAnsi="宋体" w:eastAsia="宋体" w:cs="宋体"/>
          <w:sz w:val="20"/>
          <w:szCs w:val="20"/>
        </w:rPr>
      </w:pPr>
      <w:r>
        <w:rPr>
          <w:rFonts w:ascii="Times New Roman" w:hAnsi="Times New Roman" w:eastAsia="Times New Roman" w:cs="Times New Roman"/>
          <w:spacing w:val="7"/>
          <w:sz w:val="20"/>
          <w:szCs w:val="20"/>
        </w:rPr>
        <w:t xml:space="preserve">20.3.3  </w:t>
      </w:r>
      <w:r>
        <w:rPr>
          <w:rFonts w:ascii="宋体" w:hAnsi="宋体" w:eastAsia="宋体" w:cs="宋体"/>
          <w:spacing w:val="7"/>
          <w:sz w:val="20"/>
          <w:szCs w:val="20"/>
        </w:rPr>
        <w:t>争议评审小组决定的效力</w:t>
      </w:r>
    </w:p>
    <w:p w14:paraId="21C7A502">
      <w:pPr>
        <w:spacing w:before="154" w:line="369" w:lineRule="auto"/>
        <w:ind w:left="5" w:firstLine="420"/>
        <w:rPr>
          <w:rFonts w:ascii="宋体" w:hAnsi="宋体" w:eastAsia="宋体" w:cs="宋体"/>
          <w:sz w:val="20"/>
          <w:szCs w:val="20"/>
        </w:rPr>
      </w:pPr>
      <w:r>
        <w:rPr>
          <w:rFonts w:ascii="宋体" w:hAnsi="宋体" w:eastAsia="宋体" w:cs="宋体"/>
          <w:spacing w:val="10"/>
          <w:sz w:val="20"/>
          <w:szCs w:val="20"/>
        </w:rPr>
        <w:t>争议评审小组作出的书面决定经合同当事人签字确认后，对</w:t>
      </w:r>
      <w:r>
        <w:rPr>
          <w:rFonts w:ascii="宋体" w:hAnsi="宋体" w:eastAsia="宋体" w:cs="宋体"/>
          <w:spacing w:val="9"/>
          <w:sz w:val="20"/>
          <w:szCs w:val="20"/>
        </w:rPr>
        <w:t>双方具有约束力，双方应遵照执</w:t>
      </w:r>
      <w:r>
        <w:rPr>
          <w:rFonts w:ascii="宋体" w:hAnsi="宋体" w:eastAsia="宋体" w:cs="宋体"/>
          <w:spacing w:val="-2"/>
          <w:sz w:val="20"/>
          <w:szCs w:val="20"/>
        </w:rPr>
        <w:t>行。</w:t>
      </w:r>
    </w:p>
    <w:p w14:paraId="5F0CA205">
      <w:pPr>
        <w:spacing w:before="1" w:line="357" w:lineRule="auto"/>
        <w:ind w:left="2" w:right="2" w:firstLine="419"/>
        <w:rPr>
          <w:rFonts w:ascii="宋体" w:hAnsi="宋体" w:eastAsia="宋体" w:cs="宋体"/>
          <w:sz w:val="20"/>
          <w:szCs w:val="20"/>
        </w:rPr>
      </w:pPr>
      <w:r>
        <w:rPr>
          <w:rFonts w:ascii="宋体" w:hAnsi="宋体" w:eastAsia="宋体" w:cs="宋体"/>
          <w:spacing w:val="10"/>
          <w:sz w:val="20"/>
          <w:szCs w:val="20"/>
        </w:rPr>
        <w:t>任何一方当事人不接受争议评审小组决定或不履行争议评审小组决</w:t>
      </w:r>
      <w:r>
        <w:rPr>
          <w:rFonts w:ascii="宋体" w:hAnsi="宋体" w:eastAsia="宋体" w:cs="宋体"/>
          <w:spacing w:val="9"/>
          <w:sz w:val="20"/>
          <w:szCs w:val="20"/>
        </w:rPr>
        <w:t>定的，双方可选择采用其</w:t>
      </w:r>
      <w:r>
        <w:rPr>
          <w:rFonts w:ascii="宋体" w:hAnsi="宋体" w:eastAsia="宋体" w:cs="宋体"/>
          <w:spacing w:val="7"/>
          <w:sz w:val="20"/>
          <w:szCs w:val="20"/>
        </w:rPr>
        <w:t>他争议解决方式。</w:t>
      </w:r>
    </w:p>
    <w:p w14:paraId="7226B1EB">
      <w:pPr>
        <w:pStyle w:val="2"/>
        <w:spacing w:before="1" w:line="220" w:lineRule="auto"/>
        <w:rPr>
          <w:sz w:val="24"/>
          <w:szCs w:val="24"/>
        </w:rPr>
      </w:pPr>
      <w:r>
        <w:rPr>
          <w:rFonts w:ascii="Times New Roman" w:hAnsi="Times New Roman" w:eastAsia="Times New Roman" w:cs="Times New Roman"/>
          <w:b/>
          <w:bCs/>
          <w:spacing w:val="-2"/>
          <w:sz w:val="24"/>
          <w:szCs w:val="24"/>
        </w:rPr>
        <w:t xml:space="preserve">20.4 </w:t>
      </w:r>
      <w:r>
        <w:rPr>
          <w:b/>
          <w:bCs/>
          <w:spacing w:val="-2"/>
          <w:sz w:val="24"/>
          <w:szCs w:val="24"/>
        </w:rPr>
        <w:t>仲裁或诉讼</w:t>
      </w:r>
    </w:p>
    <w:p w14:paraId="1E9DAF51">
      <w:pPr>
        <w:spacing w:before="138" w:line="370" w:lineRule="auto"/>
        <w:ind w:left="8" w:firstLine="429"/>
        <w:rPr>
          <w:rFonts w:ascii="宋体" w:hAnsi="宋体" w:eastAsia="宋体" w:cs="宋体"/>
          <w:sz w:val="20"/>
          <w:szCs w:val="20"/>
        </w:rPr>
      </w:pPr>
      <w:r>
        <w:rPr>
          <w:rFonts w:ascii="宋体" w:hAnsi="宋体" w:eastAsia="宋体" w:cs="宋体"/>
          <w:spacing w:val="9"/>
          <w:sz w:val="20"/>
          <w:szCs w:val="20"/>
        </w:rPr>
        <w:t>因合同及合同有关事项产生的争议，合同当事人可以在专用合同条款中约定以下一种方式解</w:t>
      </w:r>
      <w:r>
        <w:rPr>
          <w:rFonts w:ascii="宋体" w:hAnsi="宋体" w:eastAsia="宋体" w:cs="宋体"/>
          <w:spacing w:val="3"/>
          <w:sz w:val="20"/>
          <w:szCs w:val="20"/>
        </w:rPr>
        <w:t>决争议：</w:t>
      </w:r>
    </w:p>
    <w:p w14:paraId="7EE99D4F">
      <w:pPr>
        <w:spacing w:before="1" w:line="226" w:lineRule="auto"/>
        <w:ind w:left="43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）向约定的仲裁委员会申请仲裁；</w:t>
      </w:r>
    </w:p>
    <w:p w14:paraId="30CA5B66">
      <w:pPr>
        <w:spacing w:before="153" w:line="227" w:lineRule="auto"/>
        <w:ind w:left="43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）向有管辖权的人民法院起诉。</w:t>
      </w:r>
    </w:p>
    <w:p w14:paraId="40CB42A4">
      <w:pPr>
        <w:pStyle w:val="2"/>
        <w:spacing w:before="128" w:line="221" w:lineRule="auto"/>
        <w:rPr>
          <w:sz w:val="24"/>
          <w:szCs w:val="24"/>
        </w:rPr>
      </w:pPr>
      <w:r>
        <w:rPr>
          <w:rFonts w:ascii="Times New Roman" w:hAnsi="Times New Roman" w:eastAsia="Times New Roman" w:cs="Times New Roman"/>
          <w:b/>
          <w:bCs/>
          <w:spacing w:val="-3"/>
          <w:sz w:val="24"/>
          <w:szCs w:val="24"/>
        </w:rPr>
        <w:t>20.5</w:t>
      </w:r>
      <w:r>
        <w:rPr>
          <w:rFonts w:ascii="Times New Roman" w:hAnsi="Times New Roman" w:eastAsia="Times New Roman" w:cs="Times New Roman"/>
          <w:b/>
          <w:bCs/>
          <w:spacing w:val="16"/>
          <w:w w:val="101"/>
          <w:sz w:val="24"/>
          <w:szCs w:val="24"/>
        </w:rPr>
        <w:t xml:space="preserve"> </w:t>
      </w:r>
      <w:r>
        <w:rPr>
          <w:b/>
          <w:bCs/>
          <w:spacing w:val="-3"/>
          <w:sz w:val="24"/>
          <w:szCs w:val="24"/>
        </w:rPr>
        <w:t>争议解决条款效力</w:t>
      </w:r>
    </w:p>
    <w:p w14:paraId="51615B9F">
      <w:pPr>
        <w:spacing w:before="141" w:line="369" w:lineRule="auto"/>
        <w:ind w:left="7" w:firstLine="415"/>
        <w:rPr>
          <w:rFonts w:ascii="宋体" w:hAnsi="宋体" w:eastAsia="宋体" w:cs="宋体"/>
          <w:sz w:val="20"/>
          <w:szCs w:val="20"/>
        </w:rPr>
      </w:pPr>
      <w:r>
        <w:rPr>
          <w:rFonts w:ascii="宋体" w:hAnsi="宋体" w:eastAsia="宋体" w:cs="宋体"/>
          <w:spacing w:val="10"/>
          <w:sz w:val="20"/>
          <w:szCs w:val="20"/>
        </w:rPr>
        <w:t>合同有关争议解决的条款独立存在，合同的变更、解除、终止、无</w:t>
      </w:r>
      <w:r>
        <w:rPr>
          <w:rFonts w:ascii="宋体" w:hAnsi="宋体" w:eastAsia="宋体" w:cs="宋体"/>
          <w:spacing w:val="9"/>
          <w:sz w:val="20"/>
          <w:szCs w:val="20"/>
        </w:rPr>
        <w:t>效或者被撤销均不影响其</w:t>
      </w:r>
      <w:r>
        <w:rPr>
          <w:rFonts w:ascii="宋体" w:hAnsi="宋体" w:eastAsia="宋体" w:cs="宋体"/>
          <w:spacing w:val="1"/>
          <w:sz w:val="20"/>
          <w:szCs w:val="20"/>
        </w:rPr>
        <w:t>效力。</w:t>
      </w:r>
    </w:p>
    <w:p w14:paraId="6F407AB4">
      <w:pPr>
        <w:spacing w:line="369" w:lineRule="auto"/>
        <w:rPr>
          <w:rFonts w:ascii="宋体" w:hAnsi="宋体" w:eastAsia="宋体" w:cs="宋体"/>
          <w:sz w:val="20"/>
          <w:szCs w:val="20"/>
        </w:rPr>
        <w:sectPr>
          <w:footerReference r:id="rId283" w:type="default"/>
          <w:pgSz w:w="11906" w:h="16839"/>
          <w:pgMar w:top="400" w:right="1554" w:bottom="1038" w:left="1536" w:header="0" w:footer="787" w:gutter="0"/>
          <w:cols w:space="720" w:num="1"/>
        </w:sectPr>
      </w:pPr>
    </w:p>
    <w:p w14:paraId="1E75D3F0">
      <w:pPr>
        <w:spacing w:line="242" w:lineRule="auto"/>
        <w:rPr>
          <w:rFonts w:ascii="Arial"/>
          <w:sz w:val="21"/>
        </w:rPr>
      </w:pPr>
    </w:p>
    <w:p w14:paraId="366965FD">
      <w:pPr>
        <w:spacing w:line="242" w:lineRule="auto"/>
        <w:rPr>
          <w:rFonts w:ascii="Arial"/>
          <w:sz w:val="21"/>
        </w:rPr>
      </w:pPr>
    </w:p>
    <w:p w14:paraId="4A24B911">
      <w:pPr>
        <w:spacing w:line="242" w:lineRule="auto"/>
        <w:rPr>
          <w:rFonts w:ascii="Arial"/>
          <w:sz w:val="21"/>
        </w:rPr>
      </w:pPr>
    </w:p>
    <w:p w14:paraId="7B8C1B58">
      <w:pPr>
        <w:spacing w:line="242" w:lineRule="auto"/>
        <w:rPr>
          <w:rFonts w:ascii="Arial"/>
          <w:sz w:val="21"/>
        </w:rPr>
      </w:pPr>
    </w:p>
    <w:p w14:paraId="5AB6C510">
      <w:pPr>
        <w:spacing w:line="242" w:lineRule="auto"/>
        <w:rPr>
          <w:rFonts w:ascii="Arial"/>
          <w:sz w:val="21"/>
        </w:rPr>
      </w:pPr>
    </w:p>
    <w:p w14:paraId="0BD118D3">
      <w:pPr>
        <w:spacing w:line="242" w:lineRule="auto"/>
        <w:rPr>
          <w:rFonts w:ascii="Arial"/>
          <w:sz w:val="21"/>
        </w:rPr>
      </w:pPr>
    </w:p>
    <w:p w14:paraId="56BCC671">
      <w:pPr>
        <w:spacing w:line="242" w:lineRule="auto"/>
        <w:rPr>
          <w:rFonts w:ascii="Arial"/>
          <w:sz w:val="21"/>
        </w:rPr>
      </w:pPr>
    </w:p>
    <w:p w14:paraId="131176AD">
      <w:pPr>
        <w:spacing w:line="243" w:lineRule="auto"/>
        <w:rPr>
          <w:rFonts w:ascii="Arial"/>
          <w:sz w:val="21"/>
        </w:rPr>
      </w:pPr>
    </w:p>
    <w:p w14:paraId="0AC84F31">
      <w:pPr>
        <w:spacing w:line="243" w:lineRule="auto"/>
        <w:rPr>
          <w:rFonts w:ascii="Arial"/>
          <w:sz w:val="21"/>
        </w:rPr>
      </w:pPr>
    </w:p>
    <w:p w14:paraId="4A576C49">
      <w:pPr>
        <w:spacing w:line="243" w:lineRule="auto"/>
        <w:rPr>
          <w:rFonts w:ascii="Arial"/>
          <w:sz w:val="21"/>
        </w:rPr>
      </w:pPr>
    </w:p>
    <w:p w14:paraId="775FFD7B">
      <w:pPr>
        <w:spacing w:line="243" w:lineRule="auto"/>
        <w:rPr>
          <w:rFonts w:ascii="Arial"/>
          <w:sz w:val="21"/>
        </w:rPr>
      </w:pPr>
    </w:p>
    <w:p w14:paraId="1968B478">
      <w:pPr>
        <w:spacing w:line="243" w:lineRule="auto"/>
        <w:rPr>
          <w:rFonts w:ascii="Arial"/>
          <w:sz w:val="21"/>
        </w:rPr>
      </w:pPr>
    </w:p>
    <w:p w14:paraId="0A566921">
      <w:pPr>
        <w:spacing w:line="243" w:lineRule="auto"/>
        <w:rPr>
          <w:rFonts w:ascii="Arial"/>
          <w:sz w:val="21"/>
        </w:rPr>
      </w:pPr>
    </w:p>
    <w:p w14:paraId="48C7C7A6">
      <w:pPr>
        <w:spacing w:line="243" w:lineRule="auto"/>
        <w:rPr>
          <w:rFonts w:ascii="Arial"/>
          <w:sz w:val="21"/>
        </w:rPr>
      </w:pPr>
    </w:p>
    <w:p w14:paraId="4872BAFC">
      <w:pPr>
        <w:spacing w:line="243" w:lineRule="auto"/>
        <w:rPr>
          <w:rFonts w:ascii="Arial"/>
          <w:sz w:val="21"/>
        </w:rPr>
      </w:pPr>
    </w:p>
    <w:p w14:paraId="64F31F5E">
      <w:pPr>
        <w:spacing w:line="243" w:lineRule="auto"/>
        <w:rPr>
          <w:rFonts w:ascii="Arial"/>
          <w:sz w:val="21"/>
        </w:rPr>
      </w:pPr>
    </w:p>
    <w:p w14:paraId="3037A184">
      <w:pPr>
        <w:pStyle w:val="2"/>
        <w:spacing w:before="91" w:line="222" w:lineRule="auto"/>
        <w:ind w:left="2696"/>
        <w:outlineLvl w:val="1"/>
        <w:rPr>
          <w:sz w:val="28"/>
          <w:szCs w:val="28"/>
        </w:rPr>
      </w:pPr>
      <w:bookmarkStart w:id="283" w:name="bookmark265"/>
      <w:bookmarkEnd w:id="283"/>
      <w:r>
        <w:rPr>
          <w:spacing w:val="-1"/>
          <w:sz w:val="28"/>
          <w:szCs w:val="28"/>
        </w:rPr>
        <w:t>第三部分 专用合同条款</w:t>
      </w:r>
    </w:p>
    <w:p w14:paraId="4B4D06CD">
      <w:pPr>
        <w:spacing w:line="222" w:lineRule="auto"/>
        <w:rPr>
          <w:sz w:val="28"/>
          <w:szCs w:val="28"/>
        </w:rPr>
        <w:sectPr>
          <w:footerReference r:id="rId284" w:type="default"/>
          <w:pgSz w:w="11906" w:h="16839"/>
          <w:pgMar w:top="400" w:right="1785" w:bottom="1038" w:left="1785" w:header="0" w:footer="787" w:gutter="0"/>
          <w:cols w:space="720" w:num="1"/>
        </w:sectPr>
      </w:pPr>
    </w:p>
    <w:p w14:paraId="226080F1">
      <w:pPr>
        <w:spacing w:line="249" w:lineRule="auto"/>
        <w:rPr>
          <w:rFonts w:ascii="Arial"/>
          <w:sz w:val="21"/>
        </w:rPr>
      </w:pPr>
    </w:p>
    <w:p w14:paraId="1D35F232">
      <w:pPr>
        <w:spacing w:line="250" w:lineRule="auto"/>
        <w:rPr>
          <w:rFonts w:ascii="Arial"/>
          <w:sz w:val="21"/>
        </w:rPr>
      </w:pPr>
    </w:p>
    <w:p w14:paraId="0807E2D9">
      <w:pPr>
        <w:spacing w:line="250" w:lineRule="auto"/>
        <w:rPr>
          <w:rFonts w:ascii="Arial"/>
          <w:sz w:val="21"/>
        </w:rPr>
      </w:pPr>
    </w:p>
    <w:p w14:paraId="006D85C1">
      <w:pPr>
        <w:spacing w:line="250" w:lineRule="auto"/>
        <w:rPr>
          <w:rFonts w:ascii="Arial"/>
          <w:sz w:val="21"/>
        </w:rPr>
      </w:pPr>
    </w:p>
    <w:p w14:paraId="70E69550">
      <w:pPr>
        <w:pStyle w:val="2"/>
        <w:spacing w:before="91" w:line="224" w:lineRule="auto"/>
        <w:ind w:left="3569"/>
        <w:rPr>
          <w:sz w:val="28"/>
          <w:szCs w:val="28"/>
        </w:rPr>
      </w:pPr>
      <w:r>
        <w:rPr>
          <w:spacing w:val="-3"/>
          <w:sz w:val="28"/>
          <w:szCs w:val="28"/>
        </w:rPr>
        <w:t>专用合同条款</w:t>
      </w:r>
    </w:p>
    <w:p w14:paraId="23D56889">
      <w:pPr>
        <w:spacing w:line="466" w:lineRule="auto"/>
        <w:rPr>
          <w:rFonts w:ascii="Arial"/>
          <w:sz w:val="21"/>
        </w:rPr>
      </w:pPr>
    </w:p>
    <w:p w14:paraId="0D7BEF35">
      <w:pPr>
        <w:pStyle w:val="2"/>
        <w:spacing w:before="91" w:line="222" w:lineRule="auto"/>
        <w:ind w:left="2"/>
        <w:outlineLvl w:val="2"/>
        <w:rPr>
          <w:sz w:val="28"/>
          <w:szCs w:val="28"/>
        </w:rPr>
      </w:pPr>
      <w:bookmarkStart w:id="284" w:name="bookmark266"/>
      <w:bookmarkEnd w:id="284"/>
      <w:r>
        <w:rPr>
          <w:rFonts w:ascii="Times New Roman" w:hAnsi="Times New Roman" w:eastAsia="Times New Roman" w:cs="Times New Roman"/>
          <w:b/>
          <w:bCs/>
          <w:spacing w:val="-7"/>
          <w:sz w:val="28"/>
          <w:szCs w:val="28"/>
        </w:rPr>
        <w:t>1.</w:t>
      </w:r>
      <w:r>
        <w:rPr>
          <w:rFonts w:ascii="Times New Roman" w:hAnsi="Times New Roman" w:eastAsia="Times New Roman" w:cs="Times New Roman"/>
          <w:b/>
          <w:bCs/>
          <w:spacing w:val="7"/>
          <w:sz w:val="28"/>
          <w:szCs w:val="28"/>
        </w:rPr>
        <w:t xml:space="preserve">  </w:t>
      </w:r>
      <w:r>
        <w:rPr>
          <w:b/>
          <w:bCs/>
          <w:spacing w:val="-7"/>
          <w:sz w:val="28"/>
          <w:szCs w:val="28"/>
        </w:rPr>
        <w:t>一般约定</w:t>
      </w:r>
    </w:p>
    <w:p w14:paraId="198A7530">
      <w:pPr>
        <w:pStyle w:val="2"/>
        <w:spacing w:before="100" w:line="222" w:lineRule="auto"/>
        <w:rPr>
          <w:sz w:val="24"/>
          <w:szCs w:val="24"/>
        </w:rPr>
      </w:pPr>
      <w:r>
        <w:rPr>
          <w:rFonts w:ascii="Times New Roman" w:hAnsi="Times New Roman" w:eastAsia="Times New Roman" w:cs="Times New Roman"/>
          <w:b/>
          <w:bCs/>
          <w:spacing w:val="-6"/>
          <w:sz w:val="24"/>
          <w:szCs w:val="24"/>
        </w:rPr>
        <w:t>1.1</w:t>
      </w:r>
      <w:r>
        <w:rPr>
          <w:rFonts w:ascii="Times New Roman" w:hAnsi="Times New Roman" w:eastAsia="Times New Roman" w:cs="Times New Roman"/>
          <w:b/>
          <w:bCs/>
          <w:spacing w:val="8"/>
          <w:sz w:val="24"/>
          <w:szCs w:val="24"/>
        </w:rPr>
        <w:t xml:space="preserve">  </w:t>
      </w:r>
      <w:r>
        <w:rPr>
          <w:b/>
          <w:bCs/>
          <w:spacing w:val="-6"/>
          <w:sz w:val="24"/>
          <w:szCs w:val="24"/>
        </w:rPr>
        <w:t>词语定义</w:t>
      </w:r>
    </w:p>
    <w:p w14:paraId="6281C3C8">
      <w:pPr>
        <w:spacing w:before="135" w:line="230" w:lineRule="auto"/>
        <w:ind w:left="427"/>
        <w:rPr>
          <w:rFonts w:ascii="宋体" w:hAnsi="宋体" w:eastAsia="宋体" w:cs="宋体"/>
          <w:sz w:val="20"/>
          <w:szCs w:val="20"/>
        </w:rPr>
      </w:pPr>
      <w:r>
        <w:rPr>
          <w:rFonts w:ascii="宋体" w:hAnsi="宋体" w:eastAsia="宋体" w:cs="宋体"/>
          <w:spacing w:val="1"/>
          <w:sz w:val="20"/>
          <w:szCs w:val="20"/>
        </w:rPr>
        <w:t>1.1.1</w:t>
      </w:r>
      <w:r>
        <w:rPr>
          <w:rFonts w:ascii="宋体" w:hAnsi="宋体" w:eastAsia="宋体" w:cs="宋体"/>
          <w:spacing w:val="-38"/>
          <w:sz w:val="20"/>
          <w:szCs w:val="20"/>
        </w:rPr>
        <w:t xml:space="preserve"> </w:t>
      </w:r>
      <w:r>
        <w:rPr>
          <w:rFonts w:ascii="宋体" w:hAnsi="宋体" w:eastAsia="宋体" w:cs="宋体"/>
          <w:spacing w:val="1"/>
          <w:sz w:val="20"/>
          <w:szCs w:val="20"/>
        </w:rPr>
        <w:t>合同</w:t>
      </w:r>
    </w:p>
    <w:p w14:paraId="50132970">
      <w:pPr>
        <w:spacing w:before="151" w:line="228" w:lineRule="auto"/>
        <w:ind w:left="427"/>
        <w:rPr>
          <w:rFonts w:ascii="宋体" w:hAnsi="宋体" w:eastAsia="宋体" w:cs="宋体"/>
          <w:sz w:val="20"/>
          <w:szCs w:val="20"/>
        </w:rPr>
      </w:pPr>
      <w:r>
        <w:rPr>
          <w:rFonts w:ascii="宋体" w:hAnsi="宋体" w:eastAsia="宋体" w:cs="宋体"/>
          <w:spacing w:val="5"/>
          <w:sz w:val="20"/>
          <w:szCs w:val="20"/>
        </w:rPr>
        <w:t>1.1.1.10</w:t>
      </w:r>
      <w:r>
        <w:rPr>
          <w:rFonts w:ascii="宋体" w:hAnsi="宋体" w:eastAsia="宋体" w:cs="宋体"/>
          <w:spacing w:val="-29"/>
          <w:sz w:val="20"/>
          <w:szCs w:val="20"/>
        </w:rPr>
        <w:t xml:space="preserve"> </w:t>
      </w:r>
      <w:r>
        <w:rPr>
          <w:rFonts w:ascii="宋体" w:hAnsi="宋体" w:eastAsia="宋体" w:cs="宋体"/>
          <w:spacing w:val="5"/>
          <w:sz w:val="20"/>
          <w:szCs w:val="20"/>
        </w:rPr>
        <w:t>其他合同文件包括：</w:t>
      </w:r>
      <w:r>
        <w:rPr>
          <w:rFonts w:ascii="宋体" w:hAnsi="宋体" w:eastAsia="宋体" w:cs="宋体"/>
          <w:sz w:val="20"/>
          <w:szCs w:val="20"/>
          <w:u w:val="single" w:color="auto"/>
        </w:rPr>
        <w:t xml:space="preserve">                                                         </w:t>
      </w:r>
    </w:p>
    <w:p w14:paraId="53AC7A21">
      <w:pPr>
        <w:spacing w:line="262" w:lineRule="auto"/>
        <w:rPr>
          <w:rFonts w:ascii="Arial"/>
          <w:sz w:val="21"/>
        </w:rPr>
      </w:pPr>
    </w:p>
    <w:p w14:paraId="1B4230A2">
      <w:pPr>
        <w:tabs>
          <w:tab w:val="left" w:pos="8277"/>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A88B7F9">
      <w:pPr>
        <w:spacing w:before="201" w:line="228" w:lineRule="auto"/>
        <w:ind w:left="427"/>
        <w:rPr>
          <w:rFonts w:ascii="宋体" w:hAnsi="宋体" w:eastAsia="宋体" w:cs="宋体"/>
          <w:sz w:val="20"/>
          <w:szCs w:val="20"/>
        </w:rPr>
      </w:pPr>
      <w:r>
        <w:rPr>
          <w:rFonts w:ascii="宋体" w:hAnsi="宋体" w:eastAsia="宋体" w:cs="宋体"/>
          <w:spacing w:val="6"/>
          <w:sz w:val="20"/>
          <w:szCs w:val="20"/>
        </w:rPr>
        <w:t>1.1.2 合同当事人及其他相关方</w:t>
      </w:r>
    </w:p>
    <w:p w14:paraId="250AE52B">
      <w:pPr>
        <w:spacing w:before="153" w:line="231" w:lineRule="auto"/>
        <w:ind w:left="427"/>
        <w:rPr>
          <w:rFonts w:ascii="宋体" w:hAnsi="宋体" w:eastAsia="宋体" w:cs="宋体"/>
          <w:sz w:val="20"/>
          <w:szCs w:val="20"/>
        </w:rPr>
      </w:pPr>
      <w:r>
        <w:rPr>
          <w:rFonts w:ascii="宋体" w:hAnsi="宋体" w:eastAsia="宋体" w:cs="宋体"/>
          <w:spacing w:val="2"/>
          <w:sz w:val="20"/>
          <w:szCs w:val="20"/>
        </w:rPr>
        <w:t>1.1.2.4</w:t>
      </w:r>
      <w:r>
        <w:rPr>
          <w:rFonts w:ascii="宋体" w:hAnsi="宋体" w:eastAsia="宋体" w:cs="宋体"/>
          <w:spacing w:val="-31"/>
          <w:sz w:val="20"/>
          <w:szCs w:val="20"/>
        </w:rPr>
        <w:t xml:space="preserve"> </w:t>
      </w:r>
      <w:r>
        <w:rPr>
          <w:rFonts w:ascii="宋体" w:hAnsi="宋体" w:eastAsia="宋体" w:cs="宋体"/>
          <w:spacing w:val="2"/>
          <w:sz w:val="20"/>
          <w:szCs w:val="20"/>
        </w:rPr>
        <w:t>监理人：</w:t>
      </w:r>
    </w:p>
    <w:p w14:paraId="16E95130">
      <w:pPr>
        <w:spacing w:before="148" w:line="230" w:lineRule="auto"/>
        <w:ind w:left="414"/>
        <w:rPr>
          <w:rFonts w:ascii="宋体" w:hAnsi="宋体" w:eastAsia="宋体" w:cs="宋体"/>
          <w:sz w:val="20"/>
          <w:szCs w:val="20"/>
        </w:rPr>
      </w:pPr>
      <w:r>
        <w:rPr>
          <w:rFonts w:ascii="宋体" w:hAnsi="宋体" w:eastAsia="宋体" w:cs="宋体"/>
          <w:sz w:val="20"/>
          <w:szCs w:val="20"/>
        </w:rPr>
        <w:t>名</w:t>
      </w:r>
      <w:r>
        <w:rPr>
          <w:rFonts w:ascii="宋体" w:hAnsi="宋体" w:eastAsia="宋体" w:cs="宋体"/>
          <w:spacing w:val="6"/>
          <w:sz w:val="20"/>
          <w:szCs w:val="20"/>
        </w:rPr>
        <w:t xml:space="preserve">    </w:t>
      </w:r>
      <w:r>
        <w:rPr>
          <w:rFonts w:ascii="宋体" w:hAnsi="宋体" w:eastAsia="宋体" w:cs="宋体"/>
          <w:sz w:val="20"/>
          <w:szCs w:val="20"/>
        </w:rPr>
        <w:t>称</w:t>
      </w:r>
      <w:r>
        <w:rPr>
          <w:rFonts w:ascii="宋体" w:hAnsi="宋体" w:eastAsia="宋体" w:cs="宋体"/>
          <w:spacing w:val="-71"/>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8"/>
          <w:sz w:val="20"/>
          <w:szCs w:val="20"/>
        </w:rPr>
        <w:t>；</w:t>
      </w:r>
    </w:p>
    <w:p w14:paraId="10C3E0C6">
      <w:pPr>
        <w:spacing w:before="152" w:line="228" w:lineRule="auto"/>
        <w:ind w:left="421"/>
        <w:rPr>
          <w:rFonts w:ascii="宋体" w:hAnsi="宋体" w:eastAsia="宋体" w:cs="宋体"/>
          <w:sz w:val="20"/>
          <w:szCs w:val="20"/>
        </w:rPr>
      </w:pPr>
      <w:r>
        <w:rPr>
          <w:rFonts w:ascii="宋体" w:hAnsi="宋体" w:eastAsia="宋体" w:cs="宋体"/>
          <w:spacing w:val="7"/>
          <w:sz w:val="20"/>
          <w:szCs w:val="20"/>
        </w:rPr>
        <w:t>资质类别和等级</w:t>
      </w:r>
      <w:r>
        <w:rPr>
          <w:rFonts w:ascii="宋体" w:hAnsi="宋体" w:eastAsia="宋体" w:cs="宋体"/>
          <w:spacing w:val="6"/>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33F78ECD">
      <w:pPr>
        <w:spacing w:before="153" w:line="230" w:lineRule="auto"/>
        <w:ind w:left="413"/>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2D12482D">
      <w:pPr>
        <w:spacing w:before="150" w:line="228" w:lineRule="auto"/>
        <w:ind w:left="436"/>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36F17CD5">
      <w:pPr>
        <w:spacing w:before="153" w:line="228" w:lineRule="auto"/>
        <w:ind w:left="412"/>
        <w:rPr>
          <w:rFonts w:ascii="宋体" w:hAnsi="宋体" w:eastAsia="宋体" w:cs="宋体"/>
          <w:sz w:val="20"/>
          <w:szCs w:val="20"/>
        </w:rPr>
      </w:pPr>
      <w:r>
        <w:rPr>
          <w:rFonts w:ascii="宋体" w:hAnsi="宋体" w:eastAsia="宋体" w:cs="宋体"/>
          <w:spacing w:val="6"/>
          <w:sz w:val="20"/>
          <w:szCs w:val="20"/>
        </w:rPr>
        <w:t>通信地址：</w:t>
      </w:r>
      <w:r>
        <w:rPr>
          <w:rFonts w:ascii="宋体" w:hAnsi="宋体" w:eastAsia="宋体" w:cs="宋体"/>
          <w:spacing w:val="2"/>
          <w:sz w:val="20"/>
          <w:szCs w:val="20"/>
          <w:u w:val="single" w:color="auto"/>
        </w:rPr>
        <w:t xml:space="preserve">                                        </w:t>
      </w:r>
      <w:r>
        <w:rPr>
          <w:rFonts w:ascii="宋体" w:hAnsi="宋体" w:eastAsia="宋体" w:cs="宋体"/>
          <w:spacing w:val="6"/>
          <w:sz w:val="20"/>
          <w:szCs w:val="20"/>
        </w:rPr>
        <w:t>。</w:t>
      </w:r>
    </w:p>
    <w:p w14:paraId="739FBA61">
      <w:pPr>
        <w:spacing w:before="155" w:line="229" w:lineRule="auto"/>
        <w:ind w:left="427"/>
        <w:rPr>
          <w:rFonts w:ascii="宋体" w:hAnsi="宋体" w:eastAsia="宋体" w:cs="宋体"/>
          <w:sz w:val="20"/>
          <w:szCs w:val="20"/>
        </w:rPr>
      </w:pPr>
      <w:r>
        <w:rPr>
          <w:rFonts w:ascii="宋体" w:hAnsi="宋体" w:eastAsia="宋体" w:cs="宋体"/>
          <w:spacing w:val="3"/>
          <w:sz w:val="20"/>
          <w:szCs w:val="20"/>
        </w:rPr>
        <w:t>1.1.2.5 设计人：</w:t>
      </w:r>
    </w:p>
    <w:p w14:paraId="2D1FB433">
      <w:pPr>
        <w:spacing w:before="150" w:line="230" w:lineRule="auto"/>
        <w:ind w:left="414"/>
        <w:rPr>
          <w:rFonts w:ascii="宋体" w:hAnsi="宋体" w:eastAsia="宋体" w:cs="宋体"/>
          <w:sz w:val="20"/>
          <w:szCs w:val="20"/>
        </w:rPr>
      </w:pPr>
      <w:r>
        <w:rPr>
          <w:rFonts w:ascii="宋体" w:hAnsi="宋体" w:eastAsia="宋体" w:cs="宋体"/>
          <w:sz w:val="20"/>
          <w:szCs w:val="20"/>
        </w:rPr>
        <w:t>名</w:t>
      </w:r>
      <w:r>
        <w:rPr>
          <w:rFonts w:ascii="宋体" w:hAnsi="宋体" w:eastAsia="宋体" w:cs="宋体"/>
          <w:spacing w:val="6"/>
          <w:sz w:val="20"/>
          <w:szCs w:val="20"/>
        </w:rPr>
        <w:t xml:space="preserve">    </w:t>
      </w:r>
      <w:r>
        <w:rPr>
          <w:rFonts w:ascii="宋体" w:hAnsi="宋体" w:eastAsia="宋体" w:cs="宋体"/>
          <w:sz w:val="20"/>
          <w:szCs w:val="20"/>
        </w:rPr>
        <w:t>称</w:t>
      </w:r>
      <w:r>
        <w:rPr>
          <w:rFonts w:ascii="宋体" w:hAnsi="宋体" w:eastAsia="宋体" w:cs="宋体"/>
          <w:spacing w:val="-71"/>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8"/>
          <w:sz w:val="20"/>
          <w:szCs w:val="20"/>
        </w:rPr>
        <w:t>；</w:t>
      </w:r>
    </w:p>
    <w:p w14:paraId="10CFEB4A">
      <w:pPr>
        <w:spacing w:before="151" w:line="228" w:lineRule="auto"/>
        <w:ind w:left="421"/>
        <w:rPr>
          <w:rFonts w:ascii="宋体" w:hAnsi="宋体" w:eastAsia="宋体" w:cs="宋体"/>
          <w:sz w:val="20"/>
          <w:szCs w:val="20"/>
        </w:rPr>
      </w:pPr>
      <w:r>
        <w:rPr>
          <w:rFonts w:ascii="宋体" w:hAnsi="宋体" w:eastAsia="宋体" w:cs="宋体"/>
          <w:spacing w:val="7"/>
          <w:sz w:val="20"/>
          <w:szCs w:val="20"/>
        </w:rPr>
        <w:t>资质类别和等级</w:t>
      </w:r>
      <w:r>
        <w:rPr>
          <w:rFonts w:ascii="宋体" w:hAnsi="宋体" w:eastAsia="宋体" w:cs="宋体"/>
          <w:spacing w:val="6"/>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051EE628">
      <w:pPr>
        <w:spacing w:before="154" w:line="230" w:lineRule="auto"/>
        <w:ind w:left="413"/>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0A435341">
      <w:pPr>
        <w:spacing w:before="149" w:line="228" w:lineRule="auto"/>
        <w:ind w:left="436"/>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74940FF3">
      <w:pPr>
        <w:spacing w:before="154" w:line="228" w:lineRule="auto"/>
        <w:ind w:left="412"/>
        <w:rPr>
          <w:rFonts w:ascii="宋体" w:hAnsi="宋体" w:eastAsia="宋体" w:cs="宋体"/>
          <w:sz w:val="20"/>
          <w:szCs w:val="20"/>
        </w:rPr>
      </w:pPr>
      <w:r>
        <w:rPr>
          <w:rFonts w:ascii="宋体" w:hAnsi="宋体" w:eastAsia="宋体" w:cs="宋体"/>
          <w:spacing w:val="6"/>
          <w:sz w:val="20"/>
          <w:szCs w:val="20"/>
        </w:rPr>
        <w:t>通信地址：</w:t>
      </w:r>
      <w:r>
        <w:rPr>
          <w:rFonts w:ascii="宋体" w:hAnsi="宋体" w:eastAsia="宋体" w:cs="宋体"/>
          <w:spacing w:val="2"/>
          <w:sz w:val="20"/>
          <w:szCs w:val="20"/>
          <w:u w:val="single" w:color="auto"/>
        </w:rPr>
        <w:t xml:space="preserve">                                        </w:t>
      </w:r>
      <w:r>
        <w:rPr>
          <w:rFonts w:ascii="宋体" w:hAnsi="宋体" w:eastAsia="宋体" w:cs="宋体"/>
          <w:spacing w:val="6"/>
          <w:sz w:val="20"/>
          <w:szCs w:val="20"/>
        </w:rPr>
        <w:t>。</w:t>
      </w:r>
    </w:p>
    <w:p w14:paraId="0EA29DAD">
      <w:pPr>
        <w:spacing w:before="155" w:line="228" w:lineRule="auto"/>
        <w:ind w:left="427"/>
        <w:rPr>
          <w:rFonts w:ascii="宋体" w:hAnsi="宋体" w:eastAsia="宋体" w:cs="宋体"/>
          <w:sz w:val="20"/>
          <w:szCs w:val="20"/>
        </w:rPr>
      </w:pPr>
      <w:r>
        <w:rPr>
          <w:rFonts w:ascii="宋体" w:hAnsi="宋体" w:eastAsia="宋体" w:cs="宋体"/>
          <w:spacing w:val="4"/>
          <w:sz w:val="20"/>
          <w:szCs w:val="20"/>
        </w:rPr>
        <w:t>1.1.3 工程和设备</w:t>
      </w:r>
    </w:p>
    <w:p w14:paraId="4EDCAD80">
      <w:pPr>
        <w:spacing w:before="150" w:line="228" w:lineRule="auto"/>
        <w:ind w:left="427"/>
        <w:rPr>
          <w:rFonts w:ascii="宋体" w:hAnsi="宋体" w:eastAsia="宋体" w:cs="宋体"/>
          <w:sz w:val="20"/>
          <w:szCs w:val="20"/>
        </w:rPr>
      </w:pPr>
      <w:r>
        <w:rPr>
          <w:rFonts w:ascii="宋体" w:hAnsi="宋体" w:eastAsia="宋体" w:cs="宋体"/>
          <w:spacing w:val="5"/>
          <w:sz w:val="20"/>
          <w:szCs w:val="20"/>
        </w:rPr>
        <w:t>1.1.3.7 作为施工现场组成部分的其他场所</w:t>
      </w:r>
      <w:r>
        <w:rPr>
          <w:rFonts w:ascii="宋体" w:hAnsi="宋体" w:eastAsia="宋体" w:cs="宋体"/>
          <w:spacing w:val="4"/>
          <w:sz w:val="20"/>
          <w:szCs w:val="20"/>
        </w:rPr>
        <w:t>包括：</w:t>
      </w:r>
      <w:r>
        <w:rPr>
          <w:rFonts w:ascii="宋体" w:hAnsi="宋体" w:eastAsia="宋体" w:cs="宋体"/>
          <w:spacing w:val="4"/>
          <w:sz w:val="20"/>
          <w:szCs w:val="20"/>
          <w:u w:val="single" w:color="auto"/>
        </w:rPr>
        <w:t xml:space="preserve">                                     </w:t>
      </w:r>
    </w:p>
    <w:p w14:paraId="288936AA">
      <w:pPr>
        <w:spacing w:line="264" w:lineRule="auto"/>
        <w:rPr>
          <w:rFonts w:ascii="Arial"/>
          <w:sz w:val="21"/>
        </w:rPr>
      </w:pPr>
    </w:p>
    <w:p w14:paraId="07926F8E">
      <w:pPr>
        <w:tabs>
          <w:tab w:val="left" w:pos="817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229FCFD">
      <w:pPr>
        <w:spacing w:before="201" w:line="229" w:lineRule="auto"/>
        <w:ind w:left="427"/>
        <w:rPr>
          <w:rFonts w:ascii="宋体" w:hAnsi="宋体" w:eastAsia="宋体" w:cs="宋体"/>
          <w:sz w:val="20"/>
          <w:szCs w:val="20"/>
        </w:rPr>
      </w:pPr>
      <w:r>
        <w:rPr>
          <w:rFonts w:ascii="宋体" w:hAnsi="宋体" w:eastAsia="宋体" w:cs="宋体"/>
          <w:spacing w:val="5"/>
          <w:sz w:val="20"/>
          <w:szCs w:val="20"/>
        </w:rPr>
        <w:t>1.1.3.9 永久占地包括：</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163BEF99">
      <w:pPr>
        <w:spacing w:before="150" w:line="228" w:lineRule="auto"/>
        <w:ind w:left="427"/>
        <w:rPr>
          <w:rFonts w:ascii="宋体" w:hAnsi="宋体" w:eastAsia="宋体" w:cs="宋体"/>
          <w:sz w:val="20"/>
          <w:szCs w:val="20"/>
        </w:rPr>
      </w:pPr>
      <w:r>
        <w:rPr>
          <w:rFonts w:ascii="宋体" w:hAnsi="宋体" w:eastAsia="宋体" w:cs="宋体"/>
          <w:spacing w:val="5"/>
          <w:sz w:val="20"/>
          <w:szCs w:val="20"/>
        </w:rPr>
        <w:t>1.1.3.10 临时占地包括：</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72663C08">
      <w:pPr>
        <w:pStyle w:val="2"/>
        <w:spacing w:before="128" w:line="222" w:lineRule="auto"/>
        <w:rPr>
          <w:sz w:val="24"/>
          <w:szCs w:val="24"/>
        </w:rPr>
      </w:pPr>
      <w:r>
        <w:rPr>
          <w:rFonts w:ascii="Times New Roman" w:hAnsi="Times New Roman" w:eastAsia="Times New Roman" w:cs="Times New Roman"/>
          <w:b/>
          <w:bCs/>
          <w:spacing w:val="-7"/>
          <w:sz w:val="24"/>
          <w:szCs w:val="24"/>
        </w:rPr>
        <w:t>1.3</w:t>
      </w:r>
      <w:r>
        <w:rPr>
          <w:rFonts w:ascii="Times New Roman" w:hAnsi="Times New Roman" w:eastAsia="Times New Roman" w:cs="Times New Roman"/>
          <w:b/>
          <w:bCs/>
          <w:spacing w:val="13"/>
          <w:sz w:val="24"/>
          <w:szCs w:val="24"/>
        </w:rPr>
        <w:t xml:space="preserve"> </w:t>
      </w:r>
      <w:r>
        <w:rPr>
          <w:b/>
          <w:bCs/>
          <w:spacing w:val="-7"/>
          <w:sz w:val="24"/>
          <w:szCs w:val="24"/>
        </w:rPr>
        <w:t>法律</w:t>
      </w:r>
    </w:p>
    <w:p w14:paraId="72D99F04">
      <w:pPr>
        <w:spacing w:before="138" w:line="228" w:lineRule="auto"/>
        <w:ind w:left="412"/>
        <w:rPr>
          <w:rFonts w:ascii="宋体" w:hAnsi="宋体" w:eastAsia="宋体" w:cs="宋体"/>
          <w:sz w:val="20"/>
          <w:szCs w:val="20"/>
        </w:rPr>
      </w:pPr>
      <w:r>
        <w:rPr>
          <w:rFonts w:ascii="宋体" w:hAnsi="宋体" w:eastAsia="宋体" w:cs="宋体"/>
          <w:spacing w:val="9"/>
          <w:sz w:val="20"/>
          <w:szCs w:val="20"/>
        </w:rPr>
        <w:t>适用于合同的其他规范性文件：</w:t>
      </w:r>
      <w:r>
        <w:rPr>
          <w:rFonts w:ascii="宋体" w:hAnsi="宋体" w:eastAsia="宋体" w:cs="宋体"/>
          <w:sz w:val="20"/>
          <w:szCs w:val="20"/>
          <w:u w:val="single" w:color="auto"/>
        </w:rPr>
        <w:t xml:space="preserve">                                                       </w:t>
      </w:r>
    </w:p>
    <w:p w14:paraId="2D484E6B">
      <w:pPr>
        <w:spacing w:before="286" w:line="46" w:lineRule="exact"/>
        <w:ind w:left="8201"/>
        <w:rPr>
          <w:rFonts w:ascii="宋体" w:hAnsi="宋体" w:eastAsia="宋体" w:cs="宋体"/>
          <w:sz w:val="20"/>
          <w:szCs w:val="20"/>
        </w:rPr>
      </w:pPr>
      <w:r>
        <w:pict>
          <v:shape id="_x0000_s1039" o:spid="_x0000_s1039" o:spt="202" type="#_x0000_t202" style="position:absolute;left:0pt;margin-left:19.15pt;margin-top:7.05pt;height:14.1pt;width:390.5pt;z-index:251680768;mso-width-relative:page;mso-height-relative:page;" filled="f" stroked="f" coordsize="21600,21600">
            <v:path/>
            <v:fill on="f" focussize="0,0"/>
            <v:stroke on="f"/>
            <v:imagedata o:title=""/>
            <o:lock v:ext="edit" aspectratio="f"/>
            <v:textbox inset="0mm,0mm,0mm,0mm">
              <w:txbxContent>
                <w:p w14:paraId="0CB70DCF">
                  <w:pPr>
                    <w:tabs>
                      <w:tab w:val="left" w:pos="7787"/>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72D8F850">
      <w:pPr>
        <w:pStyle w:val="2"/>
        <w:spacing w:before="194" w:line="223" w:lineRule="auto"/>
        <w:rPr>
          <w:sz w:val="24"/>
          <w:szCs w:val="24"/>
        </w:rPr>
      </w:pPr>
      <w:r>
        <w:rPr>
          <w:rFonts w:ascii="Times New Roman" w:hAnsi="Times New Roman" w:eastAsia="Times New Roman" w:cs="Times New Roman"/>
          <w:b/>
          <w:bCs/>
          <w:spacing w:val="-3"/>
          <w:sz w:val="24"/>
          <w:szCs w:val="24"/>
        </w:rPr>
        <w:t xml:space="preserve">1.4  </w:t>
      </w:r>
      <w:r>
        <w:rPr>
          <w:b/>
          <w:bCs/>
          <w:spacing w:val="-3"/>
          <w:sz w:val="24"/>
          <w:szCs w:val="24"/>
        </w:rPr>
        <w:t>标准和规范</w:t>
      </w:r>
    </w:p>
    <w:p w14:paraId="4DC630CD">
      <w:pPr>
        <w:spacing w:before="138" w:line="228" w:lineRule="auto"/>
        <w:ind w:left="427"/>
        <w:rPr>
          <w:rFonts w:ascii="宋体" w:hAnsi="宋体" w:eastAsia="宋体" w:cs="宋体"/>
          <w:sz w:val="20"/>
          <w:szCs w:val="20"/>
        </w:rPr>
      </w:pPr>
      <w:r>
        <w:rPr>
          <w:rFonts w:ascii="宋体" w:hAnsi="宋体" w:eastAsia="宋体" w:cs="宋体"/>
          <w:spacing w:val="5"/>
          <w:sz w:val="20"/>
          <w:szCs w:val="20"/>
        </w:rPr>
        <w:t>1.4.1</w:t>
      </w:r>
      <w:r>
        <w:rPr>
          <w:rFonts w:ascii="宋体" w:hAnsi="宋体" w:eastAsia="宋体" w:cs="宋体"/>
          <w:spacing w:val="-40"/>
          <w:sz w:val="20"/>
          <w:szCs w:val="20"/>
        </w:rPr>
        <w:t xml:space="preserve"> </w:t>
      </w:r>
      <w:r>
        <w:rPr>
          <w:rFonts w:ascii="宋体" w:hAnsi="宋体" w:eastAsia="宋体" w:cs="宋体"/>
          <w:spacing w:val="5"/>
          <w:sz w:val="20"/>
          <w:szCs w:val="20"/>
        </w:rPr>
        <w:t>适用于工程的标准规范包括：</w:t>
      </w:r>
      <w:r>
        <w:rPr>
          <w:rFonts w:ascii="宋体" w:hAnsi="宋体" w:eastAsia="宋体" w:cs="宋体"/>
          <w:spacing w:val="5"/>
          <w:sz w:val="20"/>
          <w:szCs w:val="20"/>
          <w:u w:val="single" w:color="auto"/>
        </w:rPr>
        <w:t xml:space="preserve">                             </w:t>
      </w:r>
      <w:r>
        <w:rPr>
          <w:rFonts w:ascii="宋体" w:hAnsi="宋体" w:eastAsia="宋体" w:cs="宋体"/>
          <w:spacing w:val="4"/>
          <w:sz w:val="20"/>
          <w:szCs w:val="20"/>
          <w:u w:val="single" w:color="auto"/>
        </w:rPr>
        <w:t xml:space="preserve">                    </w:t>
      </w:r>
    </w:p>
    <w:p w14:paraId="6A90BB40">
      <w:pPr>
        <w:spacing w:line="261" w:lineRule="auto"/>
        <w:rPr>
          <w:rFonts w:ascii="Arial"/>
          <w:sz w:val="21"/>
        </w:rPr>
      </w:pPr>
    </w:p>
    <w:p w14:paraId="6FBE02CF">
      <w:pPr>
        <w:tabs>
          <w:tab w:val="left" w:pos="817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E0EF9A3">
      <w:pPr>
        <w:spacing w:before="200" w:line="227" w:lineRule="auto"/>
        <w:ind w:left="427"/>
        <w:rPr>
          <w:rFonts w:ascii="宋体" w:hAnsi="宋体" w:eastAsia="宋体" w:cs="宋体"/>
          <w:sz w:val="20"/>
          <w:szCs w:val="20"/>
        </w:rPr>
      </w:pPr>
      <w:r>
        <w:rPr>
          <w:rFonts w:ascii="宋体" w:hAnsi="宋体" w:eastAsia="宋体" w:cs="宋体"/>
          <w:spacing w:val="4"/>
          <w:sz w:val="20"/>
          <w:szCs w:val="20"/>
        </w:rPr>
        <w:t>1.4.2 发包人提供国外标准、规范的名称：</w:t>
      </w:r>
      <w:r>
        <w:rPr>
          <w:rFonts w:ascii="宋体" w:hAnsi="宋体" w:eastAsia="宋体" w:cs="宋体"/>
          <w:spacing w:val="4"/>
          <w:sz w:val="20"/>
          <w:szCs w:val="20"/>
          <w:u w:val="single" w:color="auto"/>
        </w:rPr>
        <w:t xml:space="preserve">                                           </w:t>
      </w:r>
    </w:p>
    <w:p w14:paraId="71F539A8">
      <w:pPr>
        <w:spacing w:line="265" w:lineRule="auto"/>
        <w:rPr>
          <w:rFonts w:ascii="Arial"/>
          <w:sz w:val="21"/>
        </w:rPr>
      </w:pPr>
    </w:p>
    <w:p w14:paraId="5E38BA7B">
      <w:pPr>
        <w:tabs>
          <w:tab w:val="left" w:pos="817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B406294">
      <w:pPr>
        <w:spacing w:line="173" w:lineRule="auto"/>
        <w:rPr>
          <w:rFonts w:ascii="宋体" w:hAnsi="宋体" w:eastAsia="宋体" w:cs="宋体"/>
          <w:sz w:val="7"/>
          <w:szCs w:val="7"/>
        </w:rPr>
        <w:sectPr>
          <w:footerReference r:id="rId285" w:type="default"/>
          <w:pgSz w:w="11906" w:h="16839"/>
          <w:pgMar w:top="400" w:right="1555" w:bottom="1038" w:left="1547" w:header="0" w:footer="787" w:gutter="0"/>
          <w:cols w:space="720" w:num="1"/>
        </w:sectPr>
      </w:pPr>
    </w:p>
    <w:p w14:paraId="4056678D">
      <w:pPr>
        <w:spacing w:line="271" w:lineRule="auto"/>
        <w:rPr>
          <w:rFonts w:ascii="Arial"/>
          <w:sz w:val="21"/>
        </w:rPr>
      </w:pPr>
    </w:p>
    <w:p w14:paraId="7CE136E4">
      <w:pPr>
        <w:spacing w:line="272" w:lineRule="auto"/>
        <w:rPr>
          <w:rFonts w:ascii="Arial"/>
          <w:sz w:val="21"/>
        </w:rPr>
      </w:pPr>
    </w:p>
    <w:p w14:paraId="56D905AA">
      <w:pPr>
        <w:spacing w:line="272" w:lineRule="auto"/>
        <w:rPr>
          <w:rFonts w:ascii="Arial"/>
          <w:sz w:val="21"/>
        </w:rPr>
      </w:pPr>
    </w:p>
    <w:p w14:paraId="2B24AF05">
      <w:pPr>
        <w:spacing w:line="272" w:lineRule="auto"/>
        <w:rPr>
          <w:rFonts w:ascii="Arial"/>
          <w:sz w:val="21"/>
        </w:rPr>
      </w:pPr>
    </w:p>
    <w:p w14:paraId="638EC152">
      <w:pPr>
        <w:spacing w:before="65" w:line="227" w:lineRule="auto"/>
        <w:ind w:left="431"/>
        <w:rPr>
          <w:rFonts w:ascii="宋体" w:hAnsi="宋体" w:eastAsia="宋体" w:cs="宋体"/>
          <w:sz w:val="20"/>
          <w:szCs w:val="20"/>
        </w:rPr>
      </w:pPr>
      <w:r>
        <w:rPr>
          <w:rFonts w:ascii="宋体" w:hAnsi="宋体" w:eastAsia="宋体" w:cs="宋体"/>
          <w:spacing w:val="9"/>
          <w:sz w:val="20"/>
          <w:szCs w:val="20"/>
        </w:rPr>
        <w:t>发包人提供国外标准、规范的份数</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6"/>
          <w:sz w:val="20"/>
          <w:szCs w:val="20"/>
        </w:rPr>
        <w:t xml:space="preserve"> ；</w:t>
      </w:r>
    </w:p>
    <w:p w14:paraId="1AA406BA">
      <w:pPr>
        <w:spacing w:before="152" w:line="227" w:lineRule="auto"/>
        <w:ind w:left="431"/>
        <w:rPr>
          <w:rFonts w:ascii="宋体" w:hAnsi="宋体" w:eastAsia="宋体" w:cs="宋体"/>
          <w:sz w:val="20"/>
          <w:szCs w:val="20"/>
        </w:rPr>
      </w:pPr>
      <w:r>
        <w:rPr>
          <w:rFonts w:ascii="宋体" w:hAnsi="宋体" w:eastAsia="宋体" w:cs="宋体"/>
          <w:spacing w:val="6"/>
          <w:sz w:val="20"/>
          <w:szCs w:val="20"/>
        </w:rPr>
        <w:t>发包人提供国外标准、规范的名称：</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w:t>
      </w:r>
    </w:p>
    <w:p w14:paraId="7D092426">
      <w:pPr>
        <w:spacing w:before="154" w:line="228" w:lineRule="auto"/>
        <w:ind w:left="443"/>
        <w:rPr>
          <w:rFonts w:ascii="宋体" w:hAnsi="宋体" w:eastAsia="宋体" w:cs="宋体"/>
          <w:sz w:val="20"/>
          <w:szCs w:val="20"/>
        </w:rPr>
      </w:pPr>
      <w:r>
        <w:rPr>
          <w:rFonts w:ascii="宋体" w:hAnsi="宋体" w:eastAsia="宋体" w:cs="宋体"/>
          <w:spacing w:val="7"/>
          <w:sz w:val="20"/>
          <w:szCs w:val="20"/>
        </w:rPr>
        <w:t>1.4.3</w:t>
      </w:r>
      <w:r>
        <w:rPr>
          <w:rFonts w:ascii="宋体" w:hAnsi="宋体" w:eastAsia="宋体" w:cs="宋体"/>
          <w:spacing w:val="-29"/>
          <w:sz w:val="20"/>
          <w:szCs w:val="20"/>
        </w:rPr>
        <w:t xml:space="preserve"> </w:t>
      </w:r>
      <w:r>
        <w:rPr>
          <w:rFonts w:ascii="宋体" w:hAnsi="宋体" w:eastAsia="宋体" w:cs="宋体"/>
          <w:spacing w:val="7"/>
          <w:sz w:val="20"/>
          <w:szCs w:val="20"/>
        </w:rPr>
        <w:t>发包人对工程的技术标准和功能要求的特殊要求：</w:t>
      </w:r>
    </w:p>
    <w:p w14:paraId="633030CD">
      <w:pPr>
        <w:spacing w:line="309" w:lineRule="auto"/>
        <w:rPr>
          <w:rFonts w:ascii="Arial"/>
          <w:sz w:val="21"/>
        </w:rPr>
      </w:pPr>
    </w:p>
    <w:p w14:paraId="151D4338">
      <w:pPr>
        <w:spacing w:line="309" w:lineRule="auto"/>
        <w:rPr>
          <w:rFonts w:ascii="Arial"/>
          <w:sz w:val="21"/>
        </w:rPr>
      </w:pPr>
      <w:r>
        <w:pict>
          <v:shape id="_x0000_s1040" o:spid="_x0000_s1040" style="position:absolute;left:0pt;margin-left:0.2pt;margin-top:2.25pt;height:0.5pt;width:441pt;z-index:251684864;mso-width-relative:page;mso-height-relative:page;" filled="f" stroked="t" coordsize="8820,10" path="m0,4l8820,4e">
            <v:fill on="f" focussize="0,0"/>
            <v:stroke weight="0.48pt" color="#000000" miterlimit="2" joinstyle="bevel"/>
            <v:imagedata o:title=""/>
            <o:lock v:ext="edit"/>
          </v:shape>
        </w:pict>
      </w:r>
    </w:p>
    <w:p w14:paraId="6625064D">
      <w:pPr>
        <w:spacing w:before="65" w:line="45" w:lineRule="exact"/>
        <w:jc w:val="right"/>
        <w:rPr>
          <w:rFonts w:ascii="宋体" w:hAnsi="宋体" w:eastAsia="宋体" w:cs="宋体"/>
          <w:sz w:val="20"/>
          <w:szCs w:val="20"/>
        </w:rPr>
      </w:pPr>
      <w:r>
        <w:pict>
          <v:shape id="_x0000_s1041" o:spid="_x0000_s1041" o:spt="202" type="#_x0000_t202" style="position:absolute;left:0pt;margin-left:-1pt;margin-top:-4.05pt;height:34.7pt;width:437.75pt;z-index:251681792;mso-width-relative:page;mso-height-relative:page;" filled="f" stroked="f" coordsize="21600,21600">
            <v:path/>
            <v:fill on="f" focussize="0,0"/>
            <v:stroke on="f"/>
            <v:imagedata o:title=""/>
            <o:lock v:ext="edit" aspectratio="f"/>
            <v:textbox inset="0mm,0mm,0mm,0mm">
              <w:txbxContent>
                <w:p w14:paraId="79746A12">
                  <w:pPr>
                    <w:tabs>
                      <w:tab w:val="left" w:pos="8732"/>
                    </w:tabs>
                    <w:spacing w:before="20"/>
                    <w:ind w:left="20"/>
                    <w:rPr>
                      <w:rFonts w:ascii="Arial"/>
                      <w:sz w:val="21"/>
                    </w:rPr>
                  </w:pPr>
                  <w:r>
                    <w:rPr>
                      <w:rFonts w:ascii="Arial" w:hAnsi="Arial" w:eastAsia="Arial" w:cs="Arial"/>
                      <w:sz w:val="21"/>
                      <w:szCs w:val="21"/>
                      <w:u w:val="single" w:color="auto"/>
                    </w:rPr>
                    <w:tab/>
                  </w:r>
                </w:p>
                <w:p w14:paraId="612A69F2">
                  <w:pPr>
                    <w:pStyle w:val="2"/>
                    <w:spacing w:before="124" w:line="221" w:lineRule="auto"/>
                    <w:ind w:left="36"/>
                    <w:rPr>
                      <w:sz w:val="24"/>
                      <w:szCs w:val="24"/>
                    </w:rPr>
                  </w:pPr>
                  <w:r>
                    <w:rPr>
                      <w:rFonts w:ascii="Times New Roman" w:hAnsi="Times New Roman" w:eastAsia="Times New Roman" w:cs="Times New Roman"/>
                      <w:b/>
                      <w:bCs/>
                      <w:spacing w:val="-3"/>
                      <w:sz w:val="24"/>
                      <w:szCs w:val="24"/>
                    </w:rPr>
                    <w:t xml:space="preserve">1.5  </w:t>
                  </w:r>
                  <w:r>
                    <w:rPr>
                      <w:b/>
                      <w:bCs/>
                      <w:spacing w:val="-3"/>
                      <w:sz w:val="24"/>
                      <w:szCs w:val="24"/>
                    </w:rPr>
                    <w:t>合同文件的优先顺序</w:t>
                  </w:r>
                </w:p>
              </w:txbxContent>
            </v:textbox>
          </v:shape>
        </w:pict>
      </w:r>
      <w:r>
        <w:rPr>
          <w:rFonts w:ascii="宋体" w:hAnsi="宋体" w:eastAsia="宋体" w:cs="宋体"/>
          <w:spacing w:val="-55"/>
          <w:position w:val="-1"/>
          <w:sz w:val="20"/>
          <w:szCs w:val="20"/>
        </w:rPr>
        <w:t>。</w:t>
      </w:r>
    </w:p>
    <w:p w14:paraId="0072F091">
      <w:pPr>
        <w:spacing w:line="276" w:lineRule="auto"/>
        <w:rPr>
          <w:rFonts w:ascii="Arial"/>
          <w:sz w:val="21"/>
        </w:rPr>
      </w:pPr>
    </w:p>
    <w:p w14:paraId="2265322F">
      <w:pPr>
        <w:spacing w:line="276" w:lineRule="auto"/>
        <w:rPr>
          <w:rFonts w:ascii="Arial"/>
          <w:sz w:val="21"/>
        </w:rPr>
      </w:pPr>
    </w:p>
    <w:p w14:paraId="0851D777">
      <w:pPr>
        <w:spacing w:before="65" w:line="228" w:lineRule="auto"/>
        <w:ind w:left="429"/>
        <w:rPr>
          <w:rFonts w:ascii="宋体" w:hAnsi="宋体" w:eastAsia="宋体" w:cs="宋体"/>
          <w:sz w:val="20"/>
          <w:szCs w:val="20"/>
        </w:rPr>
      </w:pPr>
      <w:r>
        <w:rPr>
          <w:rFonts w:ascii="宋体" w:hAnsi="宋体" w:eastAsia="宋体" w:cs="宋体"/>
          <w:spacing w:val="8"/>
          <w:sz w:val="20"/>
          <w:szCs w:val="20"/>
        </w:rPr>
        <w:t>合同文件组成及优先顺序为：</w:t>
      </w:r>
    </w:p>
    <w:p w14:paraId="5047B6AD">
      <w:pPr>
        <w:spacing w:line="309" w:lineRule="auto"/>
        <w:rPr>
          <w:rFonts w:ascii="Arial"/>
          <w:sz w:val="21"/>
        </w:rPr>
      </w:pPr>
    </w:p>
    <w:p w14:paraId="30EEC44E">
      <w:pPr>
        <w:spacing w:line="309" w:lineRule="auto"/>
        <w:rPr>
          <w:rFonts w:ascii="Arial"/>
          <w:sz w:val="21"/>
        </w:rPr>
      </w:pPr>
      <w:r>
        <w:pict>
          <v:shape id="_x0000_s1042" o:spid="_x0000_s1042" style="position:absolute;left:0pt;margin-left:0.2pt;margin-top:2.35pt;height:0.5pt;width:441pt;z-index:251683840;mso-width-relative:page;mso-height-relative:page;" filled="f" stroked="t" coordsize="8820,10" path="m0,4l8820,4e">
            <v:fill on="f" focussize="0,0"/>
            <v:stroke weight="0.48pt" color="#000000" miterlimit="2" joinstyle="bevel"/>
            <v:imagedata o:title=""/>
            <o:lock v:ext="edit"/>
          </v:shape>
        </w:pict>
      </w:r>
    </w:p>
    <w:p w14:paraId="47652AA4">
      <w:pPr>
        <w:spacing w:before="66" w:line="45" w:lineRule="exact"/>
        <w:ind w:left="3597"/>
        <w:rPr>
          <w:rFonts w:ascii="宋体" w:hAnsi="宋体" w:eastAsia="宋体" w:cs="宋体"/>
          <w:sz w:val="20"/>
          <w:szCs w:val="20"/>
        </w:rPr>
      </w:pPr>
      <w:r>
        <w:pict>
          <v:shape id="_x0000_s1043" o:spid="_x0000_s1043" o:spt="202" type="#_x0000_t202" style="position:absolute;left:0pt;margin-left:-1pt;margin-top:-3.95pt;height:34.65pt;width:180.45pt;z-index:251682816;mso-width-relative:page;mso-height-relative:page;" filled="f" stroked="f" coordsize="21600,21600">
            <v:path/>
            <v:fill on="f" focussize="0,0"/>
            <v:stroke on="f"/>
            <v:imagedata o:title=""/>
            <o:lock v:ext="edit" aspectratio="f"/>
            <v:textbox inset="0mm,0mm,0mm,0mm">
              <w:txbxContent>
                <w:p w14:paraId="662FBF75">
                  <w:pPr>
                    <w:tabs>
                      <w:tab w:val="left" w:pos="3587"/>
                    </w:tabs>
                    <w:spacing w:before="20"/>
                    <w:ind w:left="20"/>
                    <w:rPr>
                      <w:rFonts w:ascii="Arial"/>
                      <w:sz w:val="21"/>
                    </w:rPr>
                  </w:pPr>
                  <w:r>
                    <w:rPr>
                      <w:rFonts w:ascii="Arial" w:hAnsi="Arial" w:eastAsia="Arial" w:cs="Arial"/>
                      <w:sz w:val="21"/>
                      <w:szCs w:val="21"/>
                      <w:u w:val="single" w:color="auto"/>
                    </w:rPr>
                    <w:tab/>
                  </w:r>
                </w:p>
                <w:p w14:paraId="20C8F8D8">
                  <w:pPr>
                    <w:pStyle w:val="2"/>
                    <w:spacing w:before="122" w:line="222" w:lineRule="auto"/>
                    <w:ind w:left="36"/>
                    <w:rPr>
                      <w:sz w:val="24"/>
                      <w:szCs w:val="24"/>
                    </w:rPr>
                  </w:pPr>
                  <w:r>
                    <w:rPr>
                      <w:rFonts w:ascii="Times New Roman" w:hAnsi="Times New Roman" w:eastAsia="Times New Roman" w:cs="Times New Roman"/>
                      <w:b/>
                      <w:bCs/>
                      <w:spacing w:val="-5"/>
                      <w:sz w:val="24"/>
                      <w:szCs w:val="24"/>
                    </w:rPr>
                    <w:t>1.6</w:t>
                  </w:r>
                  <w:r>
                    <w:rPr>
                      <w:rFonts w:ascii="Times New Roman" w:hAnsi="Times New Roman" w:eastAsia="Times New Roman" w:cs="Times New Roman"/>
                      <w:b/>
                      <w:bCs/>
                      <w:spacing w:val="12"/>
                      <w:sz w:val="24"/>
                      <w:szCs w:val="24"/>
                    </w:rPr>
                    <w:t xml:space="preserve">  </w:t>
                  </w:r>
                  <w:r>
                    <w:rPr>
                      <w:b/>
                      <w:bCs/>
                      <w:spacing w:val="-5"/>
                      <w:sz w:val="24"/>
                      <w:szCs w:val="24"/>
                    </w:rPr>
                    <w:t>图纸和承包人文件</w:t>
                  </w:r>
                </w:p>
              </w:txbxContent>
            </v:textbox>
          </v:shape>
        </w:pict>
      </w:r>
      <w:r>
        <w:rPr>
          <w:rFonts w:ascii="宋体" w:hAnsi="宋体" w:eastAsia="宋体" w:cs="宋体"/>
          <w:position w:val="-1"/>
          <w:sz w:val="20"/>
          <w:szCs w:val="20"/>
        </w:rPr>
        <w:t>。</w:t>
      </w:r>
    </w:p>
    <w:p w14:paraId="3AB83CA6">
      <w:pPr>
        <w:spacing w:line="275" w:lineRule="auto"/>
        <w:rPr>
          <w:rFonts w:ascii="Arial"/>
          <w:sz w:val="21"/>
        </w:rPr>
      </w:pPr>
    </w:p>
    <w:p w14:paraId="4B9BBA33">
      <w:pPr>
        <w:spacing w:line="275" w:lineRule="auto"/>
        <w:rPr>
          <w:rFonts w:ascii="Arial"/>
          <w:sz w:val="21"/>
        </w:rPr>
      </w:pPr>
    </w:p>
    <w:p w14:paraId="3B3C9BF5">
      <w:pPr>
        <w:spacing w:before="66" w:line="227" w:lineRule="auto"/>
        <w:ind w:left="443"/>
        <w:rPr>
          <w:rFonts w:ascii="宋体" w:hAnsi="宋体" w:eastAsia="宋体" w:cs="宋体"/>
          <w:sz w:val="20"/>
          <w:szCs w:val="20"/>
        </w:rPr>
      </w:pPr>
      <w:r>
        <w:rPr>
          <w:rFonts w:ascii="宋体" w:hAnsi="宋体" w:eastAsia="宋体" w:cs="宋体"/>
          <w:spacing w:val="2"/>
          <w:sz w:val="20"/>
          <w:szCs w:val="20"/>
        </w:rPr>
        <w:t>1.6.1</w:t>
      </w:r>
      <w:r>
        <w:rPr>
          <w:rFonts w:ascii="宋体" w:hAnsi="宋体" w:eastAsia="宋体" w:cs="宋体"/>
          <w:spacing w:val="33"/>
          <w:sz w:val="20"/>
          <w:szCs w:val="20"/>
        </w:rPr>
        <w:t xml:space="preserve"> </w:t>
      </w:r>
      <w:r>
        <w:rPr>
          <w:rFonts w:ascii="宋体" w:hAnsi="宋体" w:eastAsia="宋体" w:cs="宋体"/>
          <w:spacing w:val="2"/>
          <w:sz w:val="20"/>
          <w:szCs w:val="20"/>
        </w:rPr>
        <w:t>图纸的提供</w:t>
      </w:r>
    </w:p>
    <w:p w14:paraId="4F0C99BE">
      <w:pPr>
        <w:spacing w:before="155" w:line="227" w:lineRule="auto"/>
        <w:ind w:left="431"/>
        <w:rPr>
          <w:rFonts w:ascii="宋体" w:hAnsi="宋体" w:eastAsia="宋体" w:cs="宋体"/>
          <w:sz w:val="20"/>
          <w:szCs w:val="20"/>
        </w:rPr>
      </w:pPr>
      <w:r>
        <w:rPr>
          <w:rFonts w:ascii="宋体" w:hAnsi="宋体" w:eastAsia="宋体" w:cs="宋体"/>
          <w:spacing w:val="9"/>
          <w:sz w:val="20"/>
          <w:szCs w:val="20"/>
        </w:rPr>
        <w:t>发包人向承包人提供图纸的期限</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6FD7FB9E">
      <w:pPr>
        <w:spacing w:before="155" w:line="227" w:lineRule="auto"/>
        <w:ind w:left="431"/>
        <w:rPr>
          <w:rFonts w:ascii="宋体" w:hAnsi="宋体" w:eastAsia="宋体" w:cs="宋体"/>
          <w:sz w:val="20"/>
          <w:szCs w:val="20"/>
        </w:rPr>
      </w:pPr>
      <w:r>
        <w:rPr>
          <w:rFonts w:ascii="宋体" w:hAnsi="宋体" w:eastAsia="宋体" w:cs="宋体"/>
          <w:spacing w:val="9"/>
          <w:sz w:val="20"/>
          <w:szCs w:val="20"/>
        </w:rPr>
        <w:t>发包人向承包人提供图纸的数量</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77FA1B80">
      <w:pPr>
        <w:spacing w:before="152" w:line="227" w:lineRule="auto"/>
        <w:ind w:left="431"/>
        <w:rPr>
          <w:rFonts w:ascii="宋体" w:hAnsi="宋体" w:eastAsia="宋体" w:cs="宋体"/>
          <w:sz w:val="20"/>
          <w:szCs w:val="20"/>
        </w:rPr>
      </w:pPr>
      <w:r>
        <w:rPr>
          <w:rFonts w:ascii="宋体" w:hAnsi="宋体" w:eastAsia="宋体" w:cs="宋体"/>
          <w:spacing w:val="7"/>
          <w:sz w:val="20"/>
          <w:szCs w:val="20"/>
        </w:rPr>
        <w:t>发包人向承包人提供图纸的内容：</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0266BBE">
      <w:pPr>
        <w:spacing w:before="155" w:line="228" w:lineRule="auto"/>
        <w:ind w:left="443"/>
        <w:rPr>
          <w:rFonts w:ascii="宋体" w:hAnsi="宋体" w:eastAsia="宋体" w:cs="宋体"/>
          <w:sz w:val="20"/>
          <w:szCs w:val="20"/>
        </w:rPr>
      </w:pPr>
      <w:r>
        <w:rPr>
          <w:rFonts w:ascii="宋体" w:hAnsi="宋体" w:eastAsia="宋体" w:cs="宋体"/>
          <w:spacing w:val="4"/>
          <w:sz w:val="20"/>
          <w:szCs w:val="20"/>
        </w:rPr>
        <w:t>1.6.4 承包人文件</w:t>
      </w:r>
    </w:p>
    <w:p w14:paraId="36FD37D6">
      <w:pPr>
        <w:tabs>
          <w:tab w:val="left" w:pos="7559"/>
        </w:tabs>
        <w:spacing w:before="154" w:line="369" w:lineRule="auto"/>
        <w:ind w:left="420" w:right="68" w:firstLine="19"/>
        <w:rPr>
          <w:rFonts w:ascii="宋体" w:hAnsi="宋体" w:eastAsia="宋体" w:cs="宋体"/>
          <w:sz w:val="20"/>
          <w:szCs w:val="20"/>
        </w:rPr>
      </w:pPr>
      <w:r>
        <w:rPr>
          <w:rFonts w:ascii="宋体" w:hAnsi="宋体" w:eastAsia="宋体" w:cs="宋体"/>
          <w:spacing w:val="6"/>
          <w:sz w:val="20"/>
          <w:szCs w:val="20"/>
        </w:rPr>
        <w:t>需要由承包人提供的文件，包括：</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z w:val="20"/>
          <w:szCs w:val="20"/>
          <w:u w:val="single" w:color="auto"/>
        </w:rPr>
        <w:tab/>
      </w:r>
      <w:r>
        <w:rPr>
          <w:rFonts w:ascii="宋体" w:hAnsi="宋体" w:eastAsia="宋体" w:cs="宋体"/>
          <w:spacing w:val="32"/>
          <w:sz w:val="20"/>
          <w:szCs w:val="20"/>
        </w:rPr>
        <w:t xml:space="preserve"> </w:t>
      </w:r>
      <w:r>
        <w:rPr>
          <w:rFonts w:ascii="宋体" w:hAnsi="宋体" w:eastAsia="宋体" w:cs="宋体"/>
          <w:sz w:val="20"/>
          <w:szCs w:val="20"/>
        </w:rPr>
        <w:t>;</w:t>
      </w:r>
    </w:p>
    <w:p w14:paraId="427F4628">
      <w:pPr>
        <w:spacing w:before="1" w:line="226" w:lineRule="auto"/>
        <w:ind w:left="428"/>
        <w:rPr>
          <w:rFonts w:ascii="宋体" w:hAnsi="宋体" w:eastAsia="宋体" w:cs="宋体"/>
          <w:sz w:val="20"/>
          <w:szCs w:val="20"/>
        </w:rPr>
      </w:pPr>
      <w:r>
        <w:rPr>
          <w:rFonts w:ascii="宋体" w:hAnsi="宋体" w:eastAsia="宋体" w:cs="宋体"/>
          <w:spacing w:val="9"/>
          <w:sz w:val="20"/>
          <w:szCs w:val="20"/>
        </w:rPr>
        <w:t>承包人提供的文件的期限为</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00DC02FD">
      <w:pPr>
        <w:spacing w:before="155" w:line="227" w:lineRule="auto"/>
        <w:ind w:left="428"/>
        <w:rPr>
          <w:rFonts w:ascii="宋体" w:hAnsi="宋体" w:eastAsia="宋体" w:cs="宋体"/>
          <w:sz w:val="20"/>
          <w:szCs w:val="20"/>
        </w:rPr>
      </w:pPr>
      <w:r>
        <w:rPr>
          <w:rFonts w:ascii="宋体" w:hAnsi="宋体" w:eastAsia="宋体" w:cs="宋体"/>
          <w:spacing w:val="9"/>
          <w:sz w:val="20"/>
          <w:szCs w:val="20"/>
        </w:rPr>
        <w:t>承包人提供的文件的数量为</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2E29DE56">
      <w:pPr>
        <w:spacing w:before="152" w:line="227" w:lineRule="auto"/>
        <w:ind w:left="428"/>
        <w:rPr>
          <w:rFonts w:ascii="宋体" w:hAnsi="宋体" w:eastAsia="宋体" w:cs="宋体"/>
          <w:sz w:val="20"/>
          <w:szCs w:val="20"/>
        </w:rPr>
      </w:pPr>
      <w:r>
        <w:rPr>
          <w:rFonts w:ascii="宋体" w:hAnsi="宋体" w:eastAsia="宋体" w:cs="宋体"/>
          <w:spacing w:val="9"/>
          <w:sz w:val="20"/>
          <w:szCs w:val="20"/>
        </w:rPr>
        <w:t>承包人提供的文件的形式为</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4AAC3531">
      <w:pPr>
        <w:spacing w:before="155" w:line="228" w:lineRule="auto"/>
        <w:ind w:left="431"/>
        <w:rPr>
          <w:rFonts w:ascii="宋体" w:hAnsi="宋体" w:eastAsia="宋体" w:cs="宋体"/>
          <w:sz w:val="20"/>
          <w:szCs w:val="20"/>
        </w:rPr>
      </w:pPr>
      <w:r>
        <w:rPr>
          <w:rFonts w:ascii="宋体" w:hAnsi="宋体" w:eastAsia="宋体" w:cs="宋体"/>
          <w:spacing w:val="6"/>
          <w:sz w:val="20"/>
          <w:szCs w:val="20"/>
        </w:rPr>
        <w:t>发包人审批承包人文件的期限：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0255FB6F">
      <w:pPr>
        <w:spacing w:before="154" w:line="228" w:lineRule="auto"/>
        <w:ind w:left="443"/>
        <w:rPr>
          <w:rFonts w:ascii="宋体" w:hAnsi="宋体" w:eastAsia="宋体" w:cs="宋体"/>
          <w:sz w:val="20"/>
          <w:szCs w:val="20"/>
        </w:rPr>
      </w:pPr>
      <w:r>
        <w:rPr>
          <w:rFonts w:ascii="宋体" w:hAnsi="宋体" w:eastAsia="宋体" w:cs="宋体"/>
          <w:spacing w:val="5"/>
          <w:sz w:val="20"/>
          <w:szCs w:val="20"/>
        </w:rPr>
        <w:t>1.6.5 现场图纸准备</w:t>
      </w:r>
    </w:p>
    <w:p w14:paraId="398D2663">
      <w:pPr>
        <w:spacing w:before="152" w:line="228" w:lineRule="auto"/>
        <w:ind w:left="431"/>
        <w:rPr>
          <w:rFonts w:ascii="宋体" w:hAnsi="宋体" w:eastAsia="宋体" w:cs="宋体"/>
          <w:sz w:val="20"/>
          <w:szCs w:val="20"/>
        </w:rPr>
      </w:pPr>
      <w:r>
        <w:rPr>
          <w:rFonts w:ascii="宋体" w:hAnsi="宋体" w:eastAsia="宋体" w:cs="宋体"/>
          <w:spacing w:val="6"/>
          <w:sz w:val="20"/>
          <w:szCs w:val="20"/>
        </w:rPr>
        <w:t>关于现场图纸准备的约定：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1AAE4AA2">
      <w:pPr>
        <w:pStyle w:val="2"/>
        <w:spacing w:before="126" w:line="221" w:lineRule="auto"/>
        <w:ind w:left="16"/>
        <w:rPr>
          <w:sz w:val="24"/>
          <w:szCs w:val="24"/>
        </w:rPr>
      </w:pPr>
      <w:r>
        <w:rPr>
          <w:rFonts w:ascii="Times New Roman" w:hAnsi="Times New Roman" w:eastAsia="Times New Roman" w:cs="Times New Roman"/>
          <w:b/>
          <w:bCs/>
          <w:spacing w:val="-7"/>
          <w:sz w:val="24"/>
          <w:szCs w:val="24"/>
        </w:rPr>
        <w:t>1.7</w:t>
      </w:r>
      <w:r>
        <w:rPr>
          <w:rFonts w:ascii="Times New Roman" w:hAnsi="Times New Roman" w:eastAsia="Times New Roman" w:cs="Times New Roman"/>
          <w:b/>
          <w:bCs/>
          <w:spacing w:val="6"/>
          <w:sz w:val="24"/>
          <w:szCs w:val="24"/>
        </w:rPr>
        <w:t xml:space="preserve">  </w:t>
      </w:r>
      <w:r>
        <w:rPr>
          <w:b/>
          <w:bCs/>
          <w:spacing w:val="-7"/>
          <w:sz w:val="24"/>
          <w:szCs w:val="24"/>
        </w:rPr>
        <w:t>联络</w:t>
      </w:r>
    </w:p>
    <w:p w14:paraId="618B25F8">
      <w:pPr>
        <w:spacing w:before="140" w:line="369" w:lineRule="auto"/>
        <w:ind w:left="9" w:right="68" w:firstLine="434"/>
        <w:rPr>
          <w:rFonts w:ascii="宋体" w:hAnsi="宋体" w:eastAsia="宋体" w:cs="宋体"/>
          <w:sz w:val="20"/>
          <w:szCs w:val="20"/>
        </w:rPr>
      </w:pPr>
      <w:r>
        <w:rPr>
          <w:rFonts w:ascii="宋体" w:hAnsi="宋体" w:eastAsia="宋体" w:cs="宋体"/>
          <w:spacing w:val="7"/>
          <w:sz w:val="20"/>
          <w:szCs w:val="20"/>
        </w:rPr>
        <w:t>1.7.1</w:t>
      </w:r>
      <w:r>
        <w:rPr>
          <w:rFonts w:ascii="宋体" w:hAnsi="宋体" w:eastAsia="宋体" w:cs="宋体"/>
          <w:spacing w:val="-37"/>
          <w:sz w:val="20"/>
          <w:szCs w:val="20"/>
        </w:rPr>
        <w:t xml:space="preserve"> </w:t>
      </w:r>
      <w:r>
        <w:rPr>
          <w:rFonts w:ascii="宋体" w:hAnsi="宋体" w:eastAsia="宋体" w:cs="宋体"/>
          <w:spacing w:val="7"/>
          <w:sz w:val="20"/>
          <w:szCs w:val="20"/>
        </w:rPr>
        <w:t>发包人和承包人应当在</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7"/>
          <w:sz w:val="20"/>
          <w:szCs w:val="20"/>
        </w:rPr>
        <w:t>天内将与合同有关的通知、批准、证明</w:t>
      </w:r>
      <w:r>
        <w:rPr>
          <w:rFonts w:ascii="宋体" w:hAnsi="宋体" w:eastAsia="宋体" w:cs="宋体"/>
          <w:spacing w:val="6"/>
          <w:sz w:val="20"/>
          <w:szCs w:val="20"/>
        </w:rPr>
        <w:t>、证书、指示、指</w:t>
      </w:r>
      <w:r>
        <w:rPr>
          <w:rFonts w:ascii="宋体" w:hAnsi="宋体" w:eastAsia="宋体" w:cs="宋体"/>
          <w:spacing w:val="9"/>
          <w:sz w:val="20"/>
          <w:szCs w:val="20"/>
        </w:rPr>
        <w:t>令、要求、请求、同意、意见、确定和决定等书面函件送达对方当事人。</w:t>
      </w:r>
    </w:p>
    <w:p w14:paraId="2016F923">
      <w:pPr>
        <w:spacing w:before="1" w:line="227" w:lineRule="auto"/>
        <w:ind w:left="443"/>
        <w:rPr>
          <w:rFonts w:ascii="宋体" w:hAnsi="宋体" w:eastAsia="宋体" w:cs="宋体"/>
          <w:sz w:val="20"/>
          <w:szCs w:val="20"/>
        </w:rPr>
      </w:pPr>
      <w:r>
        <w:rPr>
          <w:rFonts w:ascii="宋体" w:hAnsi="宋体" w:eastAsia="宋体" w:cs="宋体"/>
          <w:spacing w:val="6"/>
          <w:sz w:val="20"/>
          <w:szCs w:val="20"/>
        </w:rPr>
        <w:t>1.7.2 发包人接收文件的地点</w:t>
      </w:r>
      <w:r>
        <w:rPr>
          <w:rFonts w:ascii="宋体" w:hAnsi="宋体" w:eastAsia="宋体" w:cs="宋体"/>
          <w:spacing w:val="9"/>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9"/>
          <w:sz w:val="20"/>
          <w:szCs w:val="20"/>
        </w:rPr>
        <w:t>；</w:t>
      </w:r>
    </w:p>
    <w:p w14:paraId="261538B7">
      <w:pPr>
        <w:spacing w:before="154" w:line="228" w:lineRule="auto"/>
        <w:ind w:left="431"/>
        <w:rPr>
          <w:rFonts w:ascii="宋体" w:hAnsi="宋体" w:eastAsia="宋体" w:cs="宋体"/>
          <w:sz w:val="20"/>
          <w:szCs w:val="20"/>
        </w:rPr>
      </w:pPr>
      <w:r>
        <w:rPr>
          <w:rFonts w:ascii="宋体" w:hAnsi="宋体" w:eastAsia="宋体" w:cs="宋体"/>
          <w:spacing w:val="6"/>
          <w:sz w:val="20"/>
          <w:szCs w:val="20"/>
        </w:rPr>
        <w:t>发包人指定的接收人为：</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65B4AC0">
      <w:pPr>
        <w:spacing w:before="151" w:line="228" w:lineRule="auto"/>
        <w:ind w:left="428"/>
        <w:rPr>
          <w:rFonts w:ascii="宋体" w:hAnsi="宋体" w:eastAsia="宋体" w:cs="宋体"/>
          <w:sz w:val="20"/>
          <w:szCs w:val="20"/>
        </w:rPr>
      </w:pPr>
      <w:r>
        <w:rPr>
          <w:rFonts w:ascii="宋体" w:hAnsi="宋体" w:eastAsia="宋体" w:cs="宋体"/>
          <w:spacing w:val="8"/>
          <w:sz w:val="20"/>
          <w:szCs w:val="20"/>
        </w:rPr>
        <w:t>承包人接收文件的地点</w:t>
      </w:r>
      <w:r>
        <w:rPr>
          <w:rFonts w:ascii="宋体" w:hAnsi="宋体" w:eastAsia="宋体" w:cs="宋体"/>
          <w:spacing w:val="9"/>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9"/>
          <w:sz w:val="20"/>
          <w:szCs w:val="20"/>
        </w:rPr>
        <w:t>；</w:t>
      </w:r>
    </w:p>
    <w:p w14:paraId="10428446">
      <w:pPr>
        <w:spacing w:before="154" w:line="228" w:lineRule="auto"/>
        <w:ind w:left="428"/>
        <w:rPr>
          <w:rFonts w:ascii="宋体" w:hAnsi="宋体" w:eastAsia="宋体" w:cs="宋体"/>
          <w:sz w:val="20"/>
          <w:szCs w:val="20"/>
        </w:rPr>
      </w:pPr>
      <w:r>
        <w:rPr>
          <w:rFonts w:ascii="宋体" w:hAnsi="宋体" w:eastAsia="宋体" w:cs="宋体"/>
          <w:spacing w:val="6"/>
          <w:sz w:val="20"/>
          <w:szCs w:val="20"/>
        </w:rPr>
        <w:t>承包人指定的接收人为：</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B2394EB">
      <w:pPr>
        <w:spacing w:before="154" w:line="228" w:lineRule="auto"/>
        <w:ind w:left="429"/>
        <w:rPr>
          <w:rFonts w:ascii="宋体" w:hAnsi="宋体" w:eastAsia="宋体" w:cs="宋体"/>
          <w:sz w:val="20"/>
          <w:szCs w:val="20"/>
        </w:rPr>
      </w:pPr>
      <w:r>
        <w:rPr>
          <w:rFonts w:ascii="宋体" w:hAnsi="宋体" w:eastAsia="宋体" w:cs="宋体"/>
          <w:spacing w:val="8"/>
          <w:sz w:val="20"/>
          <w:szCs w:val="20"/>
        </w:rPr>
        <w:t>监理人接收文件的地点</w:t>
      </w:r>
      <w:r>
        <w:rPr>
          <w:rFonts w:ascii="宋体" w:hAnsi="宋体" w:eastAsia="宋体" w:cs="宋体"/>
          <w:spacing w:val="9"/>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9"/>
          <w:sz w:val="20"/>
          <w:szCs w:val="20"/>
        </w:rPr>
        <w:t>；</w:t>
      </w:r>
    </w:p>
    <w:p w14:paraId="036185DE">
      <w:pPr>
        <w:spacing w:before="151" w:line="228" w:lineRule="auto"/>
        <w:ind w:left="429"/>
        <w:rPr>
          <w:rFonts w:ascii="宋体" w:hAnsi="宋体" w:eastAsia="宋体" w:cs="宋体"/>
          <w:sz w:val="20"/>
          <w:szCs w:val="20"/>
        </w:rPr>
      </w:pPr>
      <w:r>
        <w:rPr>
          <w:rFonts w:ascii="宋体" w:hAnsi="宋体" w:eastAsia="宋体" w:cs="宋体"/>
          <w:spacing w:val="6"/>
          <w:sz w:val="20"/>
          <w:szCs w:val="20"/>
        </w:rPr>
        <w:t>监理人指定的接收人为：</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9C8606D">
      <w:pPr>
        <w:pStyle w:val="2"/>
        <w:spacing w:before="127" w:line="222" w:lineRule="auto"/>
        <w:ind w:left="16"/>
        <w:rPr>
          <w:sz w:val="24"/>
          <w:szCs w:val="24"/>
        </w:rPr>
      </w:pPr>
      <w:r>
        <w:rPr>
          <w:rFonts w:ascii="Times New Roman" w:hAnsi="Times New Roman" w:eastAsia="Times New Roman" w:cs="Times New Roman"/>
          <w:b/>
          <w:bCs/>
          <w:spacing w:val="-5"/>
          <w:sz w:val="24"/>
          <w:szCs w:val="24"/>
        </w:rPr>
        <w:t>1.10</w:t>
      </w:r>
      <w:r>
        <w:rPr>
          <w:rFonts w:ascii="Times New Roman" w:hAnsi="Times New Roman" w:eastAsia="Times New Roman" w:cs="Times New Roman"/>
          <w:b/>
          <w:bCs/>
          <w:spacing w:val="7"/>
          <w:sz w:val="24"/>
          <w:szCs w:val="24"/>
        </w:rPr>
        <w:t xml:space="preserve">  </w:t>
      </w:r>
      <w:r>
        <w:rPr>
          <w:b/>
          <w:bCs/>
          <w:spacing w:val="-5"/>
          <w:sz w:val="24"/>
          <w:szCs w:val="24"/>
        </w:rPr>
        <w:t>交通运输</w:t>
      </w:r>
    </w:p>
    <w:p w14:paraId="424DF54A">
      <w:pPr>
        <w:spacing w:before="139" w:line="228" w:lineRule="auto"/>
        <w:ind w:left="443"/>
        <w:rPr>
          <w:rFonts w:ascii="宋体" w:hAnsi="宋体" w:eastAsia="宋体" w:cs="宋体"/>
          <w:sz w:val="20"/>
          <w:szCs w:val="20"/>
        </w:rPr>
      </w:pPr>
      <w:r>
        <w:rPr>
          <w:rFonts w:ascii="宋体" w:hAnsi="宋体" w:eastAsia="宋体" w:cs="宋体"/>
          <w:spacing w:val="3"/>
          <w:sz w:val="20"/>
          <w:szCs w:val="20"/>
        </w:rPr>
        <w:t>1.10.1</w:t>
      </w:r>
      <w:r>
        <w:rPr>
          <w:rFonts w:ascii="宋体" w:hAnsi="宋体" w:eastAsia="宋体" w:cs="宋体"/>
          <w:spacing w:val="39"/>
          <w:sz w:val="20"/>
          <w:szCs w:val="20"/>
        </w:rPr>
        <w:t xml:space="preserve"> </w:t>
      </w:r>
      <w:r>
        <w:rPr>
          <w:rFonts w:ascii="宋体" w:hAnsi="宋体" w:eastAsia="宋体" w:cs="宋体"/>
          <w:spacing w:val="3"/>
          <w:sz w:val="20"/>
          <w:szCs w:val="20"/>
        </w:rPr>
        <w:t>出入现场的权利</w:t>
      </w:r>
    </w:p>
    <w:p w14:paraId="0E8B3BD5">
      <w:pPr>
        <w:spacing w:before="151" w:line="228" w:lineRule="auto"/>
        <w:ind w:left="431"/>
        <w:rPr>
          <w:rFonts w:ascii="宋体" w:hAnsi="宋体" w:eastAsia="宋体" w:cs="宋体"/>
          <w:sz w:val="20"/>
          <w:szCs w:val="20"/>
        </w:rPr>
      </w:pPr>
      <w:r>
        <w:rPr>
          <w:rFonts w:ascii="宋体" w:hAnsi="宋体" w:eastAsia="宋体" w:cs="宋体"/>
          <w:spacing w:val="8"/>
          <w:sz w:val="20"/>
          <w:szCs w:val="20"/>
        </w:rPr>
        <w:t>关于出入现场的权利的约定：</w:t>
      </w:r>
    </w:p>
    <w:p w14:paraId="68EBDD31">
      <w:pPr>
        <w:spacing w:line="228" w:lineRule="auto"/>
        <w:rPr>
          <w:rFonts w:ascii="宋体" w:hAnsi="宋体" w:eastAsia="宋体" w:cs="宋体"/>
          <w:sz w:val="20"/>
          <w:szCs w:val="20"/>
        </w:rPr>
        <w:sectPr>
          <w:footerReference r:id="rId286" w:type="default"/>
          <w:pgSz w:w="11906" w:h="16839"/>
          <w:pgMar w:top="400" w:right="1486" w:bottom="1038" w:left="1531" w:header="0" w:footer="787" w:gutter="0"/>
          <w:cols w:space="720" w:num="1"/>
        </w:sectPr>
      </w:pPr>
    </w:p>
    <w:p w14:paraId="13C3DF3E">
      <w:pPr>
        <w:spacing w:line="269" w:lineRule="auto"/>
        <w:rPr>
          <w:rFonts w:ascii="Arial"/>
          <w:sz w:val="21"/>
        </w:rPr>
      </w:pPr>
    </w:p>
    <w:p w14:paraId="5D0711CE">
      <w:pPr>
        <w:spacing w:line="269" w:lineRule="auto"/>
        <w:rPr>
          <w:rFonts w:ascii="Arial"/>
          <w:sz w:val="21"/>
        </w:rPr>
      </w:pPr>
    </w:p>
    <w:p w14:paraId="29DFD4B4">
      <w:pPr>
        <w:spacing w:line="269" w:lineRule="auto"/>
        <w:rPr>
          <w:rFonts w:ascii="Arial"/>
          <w:sz w:val="21"/>
        </w:rPr>
      </w:pPr>
    </w:p>
    <w:p w14:paraId="597B6133">
      <w:pPr>
        <w:spacing w:line="270" w:lineRule="auto"/>
        <w:rPr>
          <w:rFonts w:ascii="Arial"/>
          <w:sz w:val="21"/>
        </w:rPr>
      </w:pPr>
    </w:p>
    <w:p w14:paraId="782F627D">
      <w:pPr>
        <w:spacing w:line="270" w:lineRule="auto"/>
        <w:rPr>
          <w:rFonts w:ascii="Arial"/>
          <w:sz w:val="21"/>
        </w:rPr>
      </w:pPr>
    </w:p>
    <w:p w14:paraId="5905075F">
      <w:pPr>
        <w:spacing w:line="270" w:lineRule="auto"/>
        <w:rPr>
          <w:rFonts w:ascii="Arial"/>
          <w:sz w:val="21"/>
        </w:rPr>
      </w:pPr>
      <w:r>
        <w:pict>
          <v:shape id="_x0000_s1044" o:spid="_x0000_s1044" style="position:absolute;left:0pt;margin-left:20.8pt;margin-top:0.25pt;height:0.5pt;width:388.5pt;z-index:251695104;mso-width-relative:page;mso-height-relative:page;" filled="f" stroked="t" coordsize="7770,10" path="m0,4l7769,4e">
            <v:fill on="f" focussize="0,0"/>
            <v:stroke weight="0.48pt" color="#000000" miterlimit="2" joinstyle="bevel"/>
            <v:imagedata o:title=""/>
            <o:lock v:ext="edit"/>
          </v:shape>
        </w:pict>
      </w:r>
    </w:p>
    <w:p w14:paraId="160ED7C6">
      <w:pPr>
        <w:spacing w:before="65" w:line="103" w:lineRule="exact"/>
        <w:ind w:left="8209"/>
        <w:rPr>
          <w:rFonts w:ascii="宋体" w:hAnsi="宋体" w:eastAsia="宋体" w:cs="宋体"/>
          <w:sz w:val="20"/>
          <w:szCs w:val="20"/>
        </w:rPr>
      </w:pPr>
      <w:r>
        <w:pict>
          <v:shape id="_x0000_s1045" o:spid="_x0000_s1045" style="position:absolute;left:0pt;margin-left:20.8pt;margin-top:6.75pt;height:0.5pt;width:388.5pt;z-index:251696128;mso-width-relative:page;mso-height-relative:page;" filled="f" stroked="t" coordsize="7770,10" path="m0,4l7769,4e">
            <v:fill on="f" focussize="0,0"/>
            <v:stroke weight="0.48pt" color="#000000" miterlimit="2" joinstyle="bevel"/>
            <v:imagedata o:title=""/>
            <o:lock v:ext="edit"/>
          </v:shape>
        </w:pict>
      </w:r>
      <w:r>
        <w:rPr>
          <w:rFonts w:ascii="宋体" w:hAnsi="宋体" w:eastAsia="宋体" w:cs="宋体"/>
          <w:position w:val="1"/>
          <w:sz w:val="20"/>
          <w:szCs w:val="20"/>
        </w:rPr>
        <w:t>。</w:t>
      </w:r>
    </w:p>
    <w:p w14:paraId="2FEFCB9B">
      <w:pPr>
        <w:spacing w:before="162" w:line="228" w:lineRule="auto"/>
        <w:ind w:left="435"/>
        <w:rPr>
          <w:rFonts w:ascii="宋体" w:hAnsi="宋体" w:eastAsia="宋体" w:cs="宋体"/>
          <w:sz w:val="20"/>
          <w:szCs w:val="20"/>
        </w:rPr>
      </w:pPr>
      <w:r>
        <w:rPr>
          <w:rFonts w:ascii="宋体" w:hAnsi="宋体" w:eastAsia="宋体" w:cs="宋体"/>
          <w:spacing w:val="4"/>
          <w:sz w:val="20"/>
          <w:szCs w:val="20"/>
        </w:rPr>
        <w:t>1.10.3 场内交通</w:t>
      </w:r>
    </w:p>
    <w:p w14:paraId="26274EB6">
      <w:pPr>
        <w:spacing w:before="153" w:line="228" w:lineRule="auto"/>
        <w:ind w:left="423"/>
        <w:rPr>
          <w:rFonts w:ascii="宋体" w:hAnsi="宋体" w:eastAsia="宋体" w:cs="宋体"/>
          <w:sz w:val="20"/>
          <w:szCs w:val="20"/>
        </w:rPr>
      </w:pPr>
      <w:r>
        <w:rPr>
          <w:rFonts w:ascii="宋体" w:hAnsi="宋体" w:eastAsia="宋体" w:cs="宋体"/>
          <w:spacing w:val="8"/>
          <w:sz w:val="20"/>
          <w:szCs w:val="20"/>
        </w:rPr>
        <w:t>关于场外交通和场内交通的边界的约定：</w:t>
      </w:r>
    </w:p>
    <w:p w14:paraId="23BD5799">
      <w:pPr>
        <w:spacing w:line="330" w:lineRule="auto"/>
        <w:rPr>
          <w:rFonts w:ascii="Arial"/>
          <w:sz w:val="21"/>
        </w:rPr>
      </w:pPr>
    </w:p>
    <w:p w14:paraId="5F088552">
      <w:pPr>
        <w:spacing w:line="330" w:lineRule="auto"/>
        <w:rPr>
          <w:rFonts w:ascii="Arial"/>
          <w:sz w:val="21"/>
        </w:rPr>
      </w:pPr>
      <w:r>
        <w:pict>
          <v:shape id="_x0000_s1046" o:spid="_x0000_s1046" style="position:absolute;left:0pt;margin-left:20.8pt;margin-top:1.2pt;height:0.5pt;width:393.75pt;z-index:251692032;mso-width-relative:page;mso-height-relative:page;" filled="f" stroked="t" coordsize="7875,10" path="m0,4l7874,4e">
            <v:fill on="f" focussize="0,0"/>
            <v:stroke weight="0.48pt" color="#000000" miterlimit="2" joinstyle="bevel"/>
            <v:imagedata o:title=""/>
            <o:lock v:ext="edit"/>
          </v:shape>
        </w:pict>
      </w:r>
    </w:p>
    <w:p w14:paraId="234377AA">
      <w:pPr>
        <w:tabs>
          <w:tab w:val="left" w:pos="8285"/>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6BBE1FA">
      <w:pPr>
        <w:spacing w:before="200" w:line="227" w:lineRule="auto"/>
        <w:ind w:left="423"/>
        <w:rPr>
          <w:rFonts w:ascii="宋体" w:hAnsi="宋体" w:eastAsia="宋体" w:cs="宋体"/>
          <w:sz w:val="20"/>
          <w:szCs w:val="20"/>
        </w:rPr>
      </w:pPr>
      <w:r>
        <w:rPr>
          <w:rFonts w:ascii="宋体" w:hAnsi="宋体" w:eastAsia="宋体" w:cs="宋体"/>
          <w:spacing w:val="9"/>
          <w:sz w:val="20"/>
          <w:szCs w:val="20"/>
        </w:rPr>
        <w:t>关于发包人向承包人免费提供满足工程施工需要的场内道路和交通设施的约定：</w:t>
      </w:r>
    </w:p>
    <w:p w14:paraId="05F0831A">
      <w:pPr>
        <w:spacing w:line="309" w:lineRule="auto"/>
        <w:rPr>
          <w:rFonts w:ascii="Arial"/>
          <w:sz w:val="21"/>
        </w:rPr>
      </w:pPr>
    </w:p>
    <w:p w14:paraId="786252F0">
      <w:pPr>
        <w:spacing w:line="310" w:lineRule="auto"/>
        <w:rPr>
          <w:rFonts w:ascii="Arial"/>
          <w:sz w:val="21"/>
        </w:rPr>
      </w:pPr>
      <w:r>
        <w:pict>
          <v:shape id="_x0000_s1047" o:spid="_x0000_s1047" style="position:absolute;left:0pt;margin-left:20.8pt;margin-top:2.3pt;height:0.5pt;width:393.75pt;z-index:251693056;mso-width-relative:page;mso-height-relative:page;" filled="f" stroked="t" coordsize="7875,10" path="m0,4l7874,4e">
            <v:fill on="f" focussize="0,0"/>
            <v:stroke weight="0.48pt" color="#000000" miterlimit="2" joinstyle="bevel"/>
            <v:imagedata o:title=""/>
            <o:lock v:ext="edit"/>
          </v:shape>
        </w:pict>
      </w:r>
    </w:p>
    <w:p w14:paraId="63C7F1E1">
      <w:pPr>
        <w:spacing w:before="65" w:line="103" w:lineRule="exact"/>
        <w:ind w:left="8314"/>
        <w:rPr>
          <w:rFonts w:ascii="宋体" w:hAnsi="宋体" w:eastAsia="宋体" w:cs="宋体"/>
          <w:sz w:val="20"/>
          <w:szCs w:val="20"/>
        </w:rPr>
      </w:pPr>
      <w:r>
        <w:pict>
          <v:shape id="_x0000_s1048" o:spid="_x0000_s1048" style="position:absolute;left:0pt;margin-left:20.8pt;margin-top:6.6pt;height:0.5pt;width:393.75pt;z-index:251694080;mso-width-relative:page;mso-height-relative:page;" filled="f" stroked="t" coordsize="7875,10" path="m0,4l7874,4e">
            <v:fill on="f" focussize="0,0"/>
            <v:stroke weight="0.48pt" color="#000000" miterlimit="2" joinstyle="bevel"/>
            <v:imagedata o:title=""/>
            <o:lock v:ext="edit"/>
          </v:shape>
        </w:pict>
      </w:r>
      <w:r>
        <w:rPr>
          <w:rFonts w:ascii="宋体" w:hAnsi="宋体" w:eastAsia="宋体" w:cs="宋体"/>
          <w:position w:val="1"/>
          <w:sz w:val="20"/>
          <w:szCs w:val="20"/>
        </w:rPr>
        <w:t>。</w:t>
      </w:r>
    </w:p>
    <w:p w14:paraId="3528725B">
      <w:pPr>
        <w:spacing w:before="163" w:line="228" w:lineRule="auto"/>
        <w:ind w:left="435"/>
        <w:rPr>
          <w:rFonts w:ascii="宋体" w:hAnsi="宋体" w:eastAsia="宋体" w:cs="宋体"/>
          <w:sz w:val="20"/>
          <w:szCs w:val="20"/>
        </w:rPr>
      </w:pPr>
      <w:r>
        <w:rPr>
          <w:rFonts w:ascii="宋体" w:hAnsi="宋体" w:eastAsia="宋体" w:cs="宋体"/>
          <w:spacing w:val="6"/>
          <w:sz w:val="20"/>
          <w:szCs w:val="20"/>
        </w:rPr>
        <w:t>1.10.4</w:t>
      </w:r>
      <w:r>
        <w:rPr>
          <w:rFonts w:ascii="宋体" w:hAnsi="宋体" w:eastAsia="宋体" w:cs="宋体"/>
          <w:spacing w:val="-42"/>
          <w:sz w:val="20"/>
          <w:szCs w:val="20"/>
        </w:rPr>
        <w:t xml:space="preserve"> </w:t>
      </w:r>
      <w:r>
        <w:rPr>
          <w:rFonts w:ascii="宋体" w:hAnsi="宋体" w:eastAsia="宋体" w:cs="宋体"/>
          <w:spacing w:val="6"/>
          <w:sz w:val="20"/>
          <w:szCs w:val="20"/>
        </w:rPr>
        <w:t>超大件和超重件的运输</w:t>
      </w:r>
    </w:p>
    <w:p w14:paraId="362667ED">
      <w:pPr>
        <w:spacing w:before="151" w:line="358" w:lineRule="auto"/>
        <w:ind w:right="68" w:firstLine="420"/>
        <w:rPr>
          <w:rFonts w:ascii="宋体" w:hAnsi="宋体" w:eastAsia="宋体" w:cs="宋体"/>
          <w:sz w:val="20"/>
          <w:szCs w:val="20"/>
        </w:rPr>
      </w:pPr>
      <w:r>
        <w:rPr>
          <w:rFonts w:ascii="宋体" w:hAnsi="宋体" w:eastAsia="宋体" w:cs="宋体"/>
          <w:spacing w:val="22"/>
          <w:sz w:val="20"/>
          <w:szCs w:val="20"/>
        </w:rPr>
        <w:t>运输超大件或超重件所需的道路和桥梁临时加固改造费用和其他有关费用由</w:t>
      </w:r>
      <w:r>
        <w:rPr>
          <w:rFonts w:ascii="宋体" w:hAnsi="宋体" w:eastAsia="宋体" w:cs="宋体"/>
          <w:spacing w:val="-85"/>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3"/>
          <w:sz w:val="20"/>
          <w:szCs w:val="20"/>
        </w:rPr>
        <w:t>承担。</w:t>
      </w:r>
    </w:p>
    <w:p w14:paraId="0C5A749A">
      <w:pPr>
        <w:pStyle w:val="2"/>
        <w:spacing w:line="222" w:lineRule="auto"/>
        <w:ind w:left="7"/>
        <w:rPr>
          <w:sz w:val="24"/>
          <w:szCs w:val="24"/>
        </w:rPr>
      </w:pPr>
      <w:r>
        <w:rPr>
          <w:rFonts w:ascii="Times New Roman" w:hAnsi="Times New Roman" w:eastAsia="Times New Roman" w:cs="Times New Roman"/>
          <w:b/>
          <w:bCs/>
          <w:spacing w:val="-7"/>
          <w:sz w:val="24"/>
          <w:szCs w:val="24"/>
        </w:rPr>
        <w:t>1.11</w:t>
      </w:r>
      <w:r>
        <w:rPr>
          <w:rFonts w:ascii="Times New Roman" w:hAnsi="Times New Roman" w:eastAsia="Times New Roman" w:cs="Times New Roman"/>
          <w:b/>
          <w:bCs/>
          <w:spacing w:val="8"/>
          <w:sz w:val="24"/>
          <w:szCs w:val="24"/>
        </w:rPr>
        <w:t xml:space="preserve">  </w:t>
      </w:r>
      <w:r>
        <w:rPr>
          <w:b/>
          <w:bCs/>
          <w:spacing w:val="-7"/>
          <w:sz w:val="24"/>
          <w:szCs w:val="24"/>
        </w:rPr>
        <w:t>知识产权</w:t>
      </w:r>
    </w:p>
    <w:p w14:paraId="130C2C99">
      <w:pPr>
        <w:spacing w:before="137" w:line="371" w:lineRule="auto"/>
        <w:ind w:left="23" w:right="70" w:firstLine="411"/>
        <w:rPr>
          <w:rFonts w:ascii="宋体" w:hAnsi="宋体" w:eastAsia="宋体" w:cs="宋体"/>
          <w:sz w:val="20"/>
          <w:szCs w:val="20"/>
        </w:rPr>
      </w:pPr>
      <w:r>
        <w:rPr>
          <w:rFonts w:ascii="宋体" w:hAnsi="宋体" w:eastAsia="宋体" w:cs="宋体"/>
          <w:spacing w:val="7"/>
          <w:sz w:val="20"/>
          <w:szCs w:val="20"/>
        </w:rPr>
        <w:t>1.11.1</w:t>
      </w:r>
      <w:r>
        <w:rPr>
          <w:rFonts w:ascii="宋体" w:hAnsi="宋体" w:eastAsia="宋体" w:cs="宋体"/>
          <w:spacing w:val="-28"/>
          <w:sz w:val="20"/>
          <w:szCs w:val="20"/>
        </w:rPr>
        <w:t xml:space="preserve"> </w:t>
      </w:r>
      <w:r>
        <w:rPr>
          <w:rFonts w:ascii="宋体" w:hAnsi="宋体" w:eastAsia="宋体" w:cs="宋体"/>
          <w:spacing w:val="7"/>
          <w:sz w:val="20"/>
          <w:szCs w:val="20"/>
        </w:rPr>
        <w:t>关于发包人提供给承包人的图纸、发包人为实施工程自行编制或委托编制的技术规范</w:t>
      </w:r>
      <w:r>
        <w:rPr>
          <w:rFonts w:ascii="宋体" w:hAnsi="宋体" w:eastAsia="宋体" w:cs="宋体"/>
          <w:spacing w:val="8"/>
          <w:sz w:val="20"/>
          <w:szCs w:val="20"/>
        </w:rPr>
        <w:t>以及反映发包人关于合同要求或其他类似性质的文件的著作权的归属：</w:t>
      </w:r>
    </w:p>
    <w:p w14:paraId="3BB6C2F3">
      <w:pPr>
        <w:spacing w:line="252" w:lineRule="auto"/>
        <w:rPr>
          <w:rFonts w:ascii="Arial"/>
          <w:sz w:val="21"/>
        </w:rPr>
      </w:pPr>
      <w:r>
        <w:pict>
          <v:shape id="_x0000_s1049" o:spid="_x0000_s1049" style="position:absolute;left:0pt;margin-left:20.8pt;margin-top:9.9pt;height:0.5pt;width:420pt;z-index:251685888;mso-width-relative:page;mso-height-relative:page;" filled="f" stroked="t" coordsize="8400,10" path="m0,4l8400,4e">
            <v:fill on="f" focussize="0,0"/>
            <v:stroke weight="0.48pt" color="#000000" miterlimit="2" joinstyle="bevel"/>
            <v:imagedata o:title=""/>
            <o:lock v:ext="edit"/>
          </v:shape>
        </w:pict>
      </w:r>
    </w:p>
    <w:p w14:paraId="6DD4D8DD">
      <w:pPr>
        <w:spacing w:line="252" w:lineRule="auto"/>
        <w:rPr>
          <w:rFonts w:ascii="Arial"/>
          <w:sz w:val="21"/>
        </w:rPr>
      </w:pPr>
    </w:p>
    <w:p w14:paraId="49F891E5">
      <w:pPr>
        <w:tabs>
          <w:tab w:val="left" w:pos="8705"/>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36EA631">
      <w:pPr>
        <w:spacing w:before="201" w:line="227" w:lineRule="auto"/>
        <w:ind w:left="423"/>
        <w:rPr>
          <w:rFonts w:ascii="宋体" w:hAnsi="宋体" w:eastAsia="宋体" w:cs="宋体"/>
          <w:sz w:val="20"/>
          <w:szCs w:val="20"/>
        </w:rPr>
      </w:pPr>
      <w:r>
        <w:rPr>
          <w:rFonts w:ascii="宋体" w:hAnsi="宋体" w:eastAsia="宋体" w:cs="宋体"/>
          <w:spacing w:val="8"/>
          <w:sz w:val="20"/>
          <w:szCs w:val="20"/>
        </w:rPr>
        <w:t>关于发包人提供的上述文件的使用限制的要求：</w:t>
      </w:r>
    </w:p>
    <w:p w14:paraId="686B7184">
      <w:pPr>
        <w:spacing w:line="330" w:lineRule="auto"/>
        <w:rPr>
          <w:rFonts w:ascii="Arial"/>
          <w:sz w:val="21"/>
        </w:rPr>
      </w:pPr>
    </w:p>
    <w:p w14:paraId="1D40BE9F">
      <w:pPr>
        <w:spacing w:line="331" w:lineRule="auto"/>
        <w:rPr>
          <w:rFonts w:ascii="Arial"/>
          <w:sz w:val="21"/>
        </w:rPr>
      </w:pPr>
      <w:r>
        <w:pict>
          <v:shape id="_x0000_s1050" o:spid="_x0000_s1050" style="position:absolute;left:0pt;margin-left:20.8pt;margin-top:1.2pt;height:0.5pt;width:420pt;z-index:251686912;mso-width-relative:page;mso-height-relative:page;" filled="f" stroked="t" coordsize="8400,10" path="m0,4l8400,4e">
            <v:fill on="f" focussize="0,0"/>
            <v:stroke weight="0.48pt" color="#000000" miterlimit="2" joinstyle="bevel"/>
            <v:imagedata o:title=""/>
            <o:lock v:ext="edit"/>
          </v:shape>
        </w:pict>
      </w:r>
    </w:p>
    <w:p w14:paraId="56DC216C">
      <w:pPr>
        <w:tabs>
          <w:tab w:val="left" w:pos="8705"/>
        </w:tabs>
        <w:spacing w:before="22"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972B822">
      <w:pPr>
        <w:spacing w:before="201" w:line="228" w:lineRule="auto"/>
        <w:ind w:left="435"/>
        <w:rPr>
          <w:rFonts w:ascii="宋体" w:hAnsi="宋体" w:eastAsia="宋体" w:cs="宋体"/>
          <w:sz w:val="20"/>
          <w:szCs w:val="20"/>
        </w:rPr>
      </w:pPr>
      <w:r>
        <w:rPr>
          <w:rFonts w:ascii="宋体" w:hAnsi="宋体" w:eastAsia="宋体" w:cs="宋体"/>
          <w:spacing w:val="7"/>
          <w:sz w:val="20"/>
          <w:szCs w:val="20"/>
        </w:rPr>
        <w:t>1.11.2 关于承包人为实施工程所编制文件的著作权的归属：</w:t>
      </w:r>
    </w:p>
    <w:p w14:paraId="22763533">
      <w:pPr>
        <w:spacing w:line="330" w:lineRule="auto"/>
        <w:rPr>
          <w:rFonts w:ascii="Arial"/>
          <w:sz w:val="21"/>
        </w:rPr>
      </w:pPr>
    </w:p>
    <w:p w14:paraId="35A717C7">
      <w:pPr>
        <w:spacing w:line="330" w:lineRule="auto"/>
        <w:rPr>
          <w:rFonts w:ascii="Arial"/>
          <w:sz w:val="21"/>
        </w:rPr>
      </w:pPr>
      <w:r>
        <w:pict>
          <v:shape id="_x0000_s1051" o:spid="_x0000_s1051" style="position:absolute;left:0pt;margin-left:20.8pt;margin-top:1.15pt;height:0.5pt;width:420pt;z-index:251687936;mso-width-relative:page;mso-height-relative:page;" filled="f" stroked="t" coordsize="8400,10" path="m0,4l8400,4e">
            <v:fill on="f" focussize="0,0"/>
            <v:stroke weight="0.48pt" color="#000000" miterlimit="2" joinstyle="bevel"/>
            <v:imagedata o:title=""/>
            <o:lock v:ext="edit"/>
          </v:shape>
        </w:pict>
      </w:r>
    </w:p>
    <w:p w14:paraId="42B6B2D4">
      <w:pPr>
        <w:tabs>
          <w:tab w:val="left" w:pos="8705"/>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95D9BCE">
      <w:pPr>
        <w:spacing w:before="200" w:line="227" w:lineRule="auto"/>
        <w:ind w:left="423"/>
        <w:rPr>
          <w:rFonts w:ascii="宋体" w:hAnsi="宋体" w:eastAsia="宋体" w:cs="宋体"/>
          <w:sz w:val="20"/>
          <w:szCs w:val="20"/>
        </w:rPr>
      </w:pPr>
      <w:r>
        <w:rPr>
          <w:rFonts w:ascii="宋体" w:hAnsi="宋体" w:eastAsia="宋体" w:cs="宋体"/>
          <w:spacing w:val="8"/>
          <w:sz w:val="20"/>
          <w:szCs w:val="20"/>
        </w:rPr>
        <w:t>关于承包人提供的上述文件的使用限制的要求：</w:t>
      </w:r>
    </w:p>
    <w:p w14:paraId="6218AAD9">
      <w:pPr>
        <w:spacing w:line="330" w:lineRule="auto"/>
        <w:rPr>
          <w:rFonts w:ascii="Arial"/>
          <w:sz w:val="21"/>
        </w:rPr>
      </w:pPr>
    </w:p>
    <w:p w14:paraId="7AF30BF6">
      <w:pPr>
        <w:spacing w:line="331" w:lineRule="auto"/>
        <w:rPr>
          <w:rFonts w:ascii="Arial"/>
          <w:sz w:val="21"/>
        </w:rPr>
      </w:pPr>
      <w:r>
        <w:pict>
          <v:shape id="_x0000_s1052" o:spid="_x0000_s1052" style="position:absolute;left:0pt;margin-left:20.8pt;margin-top:1.2pt;height:0.5pt;width:420pt;z-index:251688960;mso-width-relative:page;mso-height-relative:page;" filled="f" stroked="t" coordsize="8400,10" path="m0,4l8400,4e">
            <v:fill on="f" focussize="0,0"/>
            <v:stroke weight="0.48pt" color="#000000" miterlimit="2" joinstyle="bevel"/>
            <v:imagedata o:title=""/>
            <o:lock v:ext="edit"/>
          </v:shape>
        </w:pict>
      </w:r>
    </w:p>
    <w:p w14:paraId="4CD03527">
      <w:pPr>
        <w:tabs>
          <w:tab w:val="left" w:pos="8705"/>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CE3F143">
      <w:pPr>
        <w:spacing w:before="201" w:line="227" w:lineRule="auto"/>
        <w:ind w:left="541"/>
        <w:rPr>
          <w:rFonts w:ascii="宋体" w:hAnsi="宋体" w:eastAsia="宋体" w:cs="宋体"/>
          <w:sz w:val="20"/>
          <w:szCs w:val="20"/>
        </w:rPr>
      </w:pPr>
      <w:r>
        <w:rPr>
          <w:rFonts w:ascii="宋体" w:hAnsi="宋体" w:eastAsia="宋体" w:cs="宋体"/>
          <w:spacing w:val="8"/>
          <w:sz w:val="20"/>
          <w:szCs w:val="20"/>
        </w:rPr>
        <w:t>1.11.4 承包人在施工过程中所采用的专利、专有技术、技术秘密的使用费的承担方式：</w:t>
      </w:r>
    </w:p>
    <w:p w14:paraId="6234F9E8">
      <w:pPr>
        <w:spacing w:line="265" w:lineRule="auto"/>
        <w:rPr>
          <w:rFonts w:ascii="Arial"/>
          <w:sz w:val="21"/>
        </w:rPr>
      </w:pPr>
    </w:p>
    <w:p w14:paraId="1B336D70">
      <w:pPr>
        <w:tabs>
          <w:tab w:val="left" w:pos="8705"/>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A886A44">
      <w:pPr>
        <w:pStyle w:val="2"/>
        <w:spacing w:before="173" w:line="222" w:lineRule="auto"/>
        <w:ind w:left="7"/>
        <w:rPr>
          <w:sz w:val="24"/>
          <w:szCs w:val="24"/>
        </w:rPr>
      </w:pPr>
      <w:r>
        <w:rPr>
          <w:rFonts w:ascii="Times New Roman" w:hAnsi="Times New Roman" w:eastAsia="Times New Roman" w:cs="Times New Roman"/>
          <w:b/>
          <w:bCs/>
          <w:spacing w:val="-3"/>
          <w:sz w:val="24"/>
          <w:szCs w:val="24"/>
        </w:rPr>
        <w:t xml:space="preserve">1.13 </w:t>
      </w:r>
      <w:r>
        <w:rPr>
          <w:b/>
          <w:bCs/>
          <w:spacing w:val="-3"/>
          <w:sz w:val="24"/>
          <w:szCs w:val="24"/>
        </w:rPr>
        <w:t>工程量清单错误的修正</w:t>
      </w:r>
    </w:p>
    <w:p w14:paraId="7E607DCA">
      <w:pPr>
        <w:spacing w:before="137" w:line="226" w:lineRule="auto"/>
        <w:ind w:left="437"/>
        <w:rPr>
          <w:rFonts w:ascii="宋体" w:hAnsi="宋体" w:eastAsia="宋体" w:cs="宋体"/>
          <w:sz w:val="20"/>
          <w:szCs w:val="20"/>
        </w:rPr>
      </w:pPr>
      <w:r>
        <w:rPr>
          <w:rFonts w:ascii="宋体" w:hAnsi="宋体" w:eastAsia="宋体" w:cs="宋体"/>
          <w:spacing w:val="8"/>
          <w:sz w:val="20"/>
          <w:szCs w:val="20"/>
        </w:rPr>
        <w:t>出现工程量清单错误时，是否调整合同价格：</w:t>
      </w:r>
    </w:p>
    <w:p w14:paraId="304298D5">
      <w:pPr>
        <w:spacing w:line="266" w:lineRule="auto"/>
        <w:rPr>
          <w:rFonts w:ascii="Arial"/>
          <w:sz w:val="21"/>
        </w:rPr>
      </w:pPr>
    </w:p>
    <w:p w14:paraId="79098BC7">
      <w:pPr>
        <w:tabs>
          <w:tab w:val="left" w:pos="8705"/>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1EE871A">
      <w:pPr>
        <w:spacing w:before="198" w:line="226" w:lineRule="auto"/>
        <w:ind w:left="427"/>
        <w:rPr>
          <w:rFonts w:ascii="宋体" w:hAnsi="宋体" w:eastAsia="宋体" w:cs="宋体"/>
          <w:sz w:val="20"/>
          <w:szCs w:val="20"/>
        </w:rPr>
      </w:pPr>
      <w:r>
        <w:rPr>
          <w:rFonts w:ascii="宋体" w:hAnsi="宋体" w:eastAsia="宋体" w:cs="宋体"/>
          <w:spacing w:val="8"/>
          <w:sz w:val="20"/>
          <w:szCs w:val="20"/>
        </w:rPr>
        <w:t>允许调整合同价格的工程量偏差范围：</w:t>
      </w:r>
    </w:p>
    <w:p w14:paraId="7B90A7A2">
      <w:pPr>
        <w:spacing w:line="311" w:lineRule="auto"/>
        <w:rPr>
          <w:rFonts w:ascii="Arial"/>
          <w:sz w:val="21"/>
        </w:rPr>
      </w:pPr>
    </w:p>
    <w:p w14:paraId="7D3ECC4A">
      <w:pPr>
        <w:spacing w:line="311" w:lineRule="auto"/>
        <w:rPr>
          <w:rFonts w:ascii="Arial"/>
          <w:sz w:val="21"/>
        </w:rPr>
      </w:pPr>
      <w:r>
        <w:pict>
          <v:shape id="_x0000_s1053" o:spid="_x0000_s1053" style="position:absolute;left:0pt;margin-left:20.8pt;margin-top:2.2pt;height:0.5pt;width:414.75pt;z-index:251689984;mso-width-relative:page;mso-height-relative:page;" filled="f" stroked="t" coordsize="8295,10" path="m0,4l8294,4e">
            <v:fill on="f" focussize="0,0"/>
            <v:stroke weight="0.48pt" color="#000000" miterlimit="2" joinstyle="bevel"/>
            <v:imagedata o:title=""/>
            <o:lock v:ext="edit"/>
          </v:shape>
        </w:pict>
      </w:r>
    </w:p>
    <w:p w14:paraId="667A9B1C">
      <w:pPr>
        <w:spacing w:before="66" w:line="103" w:lineRule="exact"/>
        <w:jc w:val="right"/>
        <w:rPr>
          <w:rFonts w:ascii="宋体" w:hAnsi="宋体" w:eastAsia="宋体" w:cs="宋体"/>
          <w:sz w:val="20"/>
          <w:szCs w:val="20"/>
        </w:rPr>
      </w:pPr>
      <w:r>
        <w:pict>
          <v:shape id="_x0000_s1054" o:spid="_x0000_s1054" style="position:absolute;left:0pt;margin-left:20.8pt;margin-top:6.6pt;height:0.5pt;width:409.5pt;z-index:251691008;mso-width-relative:page;mso-height-relative:page;" filled="f" stroked="t" coordsize="8190,10" path="m0,4l8189,4e">
            <v:fill on="f" focussize="0,0"/>
            <v:stroke weight="0.48pt" color="#000000" miterlimit="2" joinstyle="bevel"/>
            <v:imagedata o:title=""/>
            <o:lock v:ext="edit"/>
          </v:shape>
        </w:pict>
      </w:r>
      <w:r>
        <w:rPr>
          <w:rFonts w:ascii="宋体" w:hAnsi="宋体" w:eastAsia="宋体" w:cs="宋体"/>
          <w:spacing w:val="-55"/>
          <w:position w:val="1"/>
          <w:sz w:val="20"/>
          <w:szCs w:val="20"/>
        </w:rPr>
        <w:t>。</w:t>
      </w:r>
    </w:p>
    <w:p w14:paraId="271F1AF6">
      <w:pPr>
        <w:spacing w:line="103" w:lineRule="exact"/>
        <w:rPr>
          <w:rFonts w:ascii="宋体" w:hAnsi="宋体" w:eastAsia="宋体" w:cs="宋体"/>
          <w:sz w:val="20"/>
          <w:szCs w:val="20"/>
        </w:rPr>
        <w:sectPr>
          <w:footerReference r:id="rId287" w:type="default"/>
          <w:pgSz w:w="11906" w:h="16839"/>
          <w:pgMar w:top="400" w:right="1486" w:bottom="1038" w:left="1539" w:header="0" w:footer="787" w:gutter="0"/>
          <w:cols w:space="720" w:num="1"/>
        </w:sectPr>
      </w:pPr>
    </w:p>
    <w:p w14:paraId="78ED81D0">
      <w:pPr>
        <w:spacing w:line="249" w:lineRule="auto"/>
        <w:rPr>
          <w:rFonts w:ascii="Arial"/>
          <w:sz w:val="21"/>
        </w:rPr>
      </w:pPr>
    </w:p>
    <w:p w14:paraId="6665D871">
      <w:pPr>
        <w:spacing w:line="250" w:lineRule="auto"/>
        <w:rPr>
          <w:rFonts w:ascii="Arial"/>
          <w:sz w:val="21"/>
        </w:rPr>
      </w:pPr>
    </w:p>
    <w:p w14:paraId="77FB8BB0">
      <w:pPr>
        <w:spacing w:line="250" w:lineRule="auto"/>
        <w:rPr>
          <w:rFonts w:ascii="Arial"/>
          <w:sz w:val="21"/>
        </w:rPr>
      </w:pPr>
    </w:p>
    <w:p w14:paraId="5DC14DD5">
      <w:pPr>
        <w:spacing w:line="250" w:lineRule="auto"/>
        <w:rPr>
          <w:rFonts w:ascii="Arial"/>
          <w:sz w:val="21"/>
        </w:rPr>
      </w:pPr>
    </w:p>
    <w:p w14:paraId="343884CE">
      <w:pPr>
        <w:pStyle w:val="2"/>
        <w:spacing w:before="91" w:line="222" w:lineRule="auto"/>
        <w:ind w:left="2"/>
        <w:outlineLvl w:val="2"/>
        <w:rPr>
          <w:sz w:val="28"/>
          <w:szCs w:val="28"/>
        </w:rPr>
      </w:pPr>
      <w:bookmarkStart w:id="285" w:name="bookmark267"/>
      <w:bookmarkEnd w:id="285"/>
      <w:r>
        <w:rPr>
          <w:rFonts w:ascii="Times New Roman" w:hAnsi="Times New Roman" w:eastAsia="Times New Roman" w:cs="Times New Roman"/>
          <w:b/>
          <w:bCs/>
          <w:spacing w:val="-5"/>
          <w:sz w:val="28"/>
          <w:szCs w:val="28"/>
        </w:rPr>
        <w:t>2.</w:t>
      </w:r>
      <w:r>
        <w:rPr>
          <w:rFonts w:ascii="Times New Roman" w:hAnsi="Times New Roman" w:eastAsia="Times New Roman" w:cs="Times New Roman"/>
          <w:b/>
          <w:bCs/>
          <w:spacing w:val="5"/>
          <w:sz w:val="28"/>
          <w:szCs w:val="28"/>
        </w:rPr>
        <w:t xml:space="preserve">  </w:t>
      </w:r>
      <w:r>
        <w:rPr>
          <w:b/>
          <w:bCs/>
          <w:spacing w:val="-5"/>
          <w:sz w:val="28"/>
          <w:szCs w:val="28"/>
        </w:rPr>
        <w:t>发包人</w:t>
      </w:r>
    </w:p>
    <w:p w14:paraId="38B6836A">
      <w:pPr>
        <w:pStyle w:val="2"/>
        <w:spacing w:before="99" w:line="221" w:lineRule="auto"/>
        <w:ind w:left="1"/>
        <w:rPr>
          <w:sz w:val="24"/>
          <w:szCs w:val="24"/>
        </w:rPr>
      </w:pPr>
      <w:r>
        <w:rPr>
          <w:rFonts w:ascii="Times New Roman" w:hAnsi="Times New Roman" w:eastAsia="Times New Roman" w:cs="Times New Roman"/>
          <w:b/>
          <w:bCs/>
          <w:spacing w:val="-2"/>
          <w:sz w:val="24"/>
          <w:szCs w:val="24"/>
        </w:rPr>
        <w:t xml:space="preserve">2.2  </w:t>
      </w:r>
      <w:r>
        <w:rPr>
          <w:b/>
          <w:bCs/>
          <w:spacing w:val="-2"/>
          <w:sz w:val="24"/>
          <w:szCs w:val="24"/>
        </w:rPr>
        <w:t>发包人代表</w:t>
      </w:r>
    </w:p>
    <w:p w14:paraId="2EE723CF">
      <w:pPr>
        <w:spacing w:before="137" w:line="228" w:lineRule="auto"/>
        <w:ind w:left="427"/>
        <w:rPr>
          <w:rFonts w:ascii="宋体" w:hAnsi="宋体" w:eastAsia="宋体" w:cs="宋体"/>
          <w:sz w:val="20"/>
          <w:szCs w:val="20"/>
        </w:rPr>
      </w:pPr>
      <w:r>
        <w:rPr>
          <w:rFonts w:ascii="宋体" w:hAnsi="宋体" w:eastAsia="宋体" w:cs="宋体"/>
          <w:spacing w:val="6"/>
          <w:sz w:val="20"/>
          <w:szCs w:val="20"/>
        </w:rPr>
        <w:t>发包人代表：</w:t>
      </w:r>
    </w:p>
    <w:p w14:paraId="51F78471">
      <w:pPr>
        <w:spacing w:before="153" w:line="228" w:lineRule="auto"/>
        <w:ind w:left="424"/>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7"/>
          <w:sz w:val="20"/>
          <w:szCs w:val="20"/>
        </w:rPr>
        <w:t xml:space="preserve">    </w:t>
      </w:r>
      <w:r>
        <w:rPr>
          <w:rFonts w:ascii="宋体" w:hAnsi="宋体" w:eastAsia="宋体" w:cs="宋体"/>
          <w:spacing w:val="-1"/>
          <w:sz w:val="20"/>
          <w:szCs w:val="20"/>
        </w:rPr>
        <w:t>名</w:t>
      </w:r>
      <w:r>
        <w:rPr>
          <w:rFonts w:ascii="宋体" w:hAnsi="宋体" w:eastAsia="宋体" w:cs="宋体"/>
          <w:spacing w:val="-71"/>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8"/>
          <w:sz w:val="20"/>
          <w:szCs w:val="20"/>
        </w:rPr>
        <w:t>；</w:t>
      </w:r>
    </w:p>
    <w:p w14:paraId="21F84A74">
      <w:pPr>
        <w:spacing w:before="151" w:line="228" w:lineRule="auto"/>
        <w:ind w:left="429"/>
        <w:rPr>
          <w:rFonts w:ascii="宋体" w:hAnsi="宋体" w:eastAsia="宋体" w:cs="宋体"/>
          <w:sz w:val="20"/>
          <w:szCs w:val="20"/>
        </w:rPr>
      </w:pPr>
      <w:r>
        <w:rPr>
          <w:rFonts w:ascii="宋体" w:hAnsi="宋体" w:eastAsia="宋体" w:cs="宋体"/>
          <w:spacing w:val="5"/>
          <w:sz w:val="20"/>
          <w:szCs w:val="20"/>
        </w:rPr>
        <w:t>身份证号</w:t>
      </w:r>
      <w:r>
        <w:rPr>
          <w:rFonts w:ascii="宋体" w:hAnsi="宋体" w:eastAsia="宋体" w:cs="宋体"/>
          <w:spacing w:val="7"/>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7"/>
          <w:sz w:val="20"/>
          <w:szCs w:val="20"/>
        </w:rPr>
        <w:t>；</w:t>
      </w:r>
    </w:p>
    <w:p w14:paraId="27C02554">
      <w:pPr>
        <w:spacing w:before="154" w:line="228" w:lineRule="auto"/>
        <w:ind w:left="425"/>
        <w:rPr>
          <w:rFonts w:ascii="宋体" w:hAnsi="宋体" w:eastAsia="宋体" w:cs="宋体"/>
          <w:sz w:val="20"/>
          <w:szCs w:val="20"/>
        </w:rPr>
      </w:pPr>
      <w:r>
        <w:rPr>
          <w:rFonts w:ascii="宋体" w:hAnsi="宋体" w:eastAsia="宋体" w:cs="宋体"/>
          <w:spacing w:val="-1"/>
          <w:sz w:val="20"/>
          <w:szCs w:val="20"/>
        </w:rPr>
        <w:t>职</w:t>
      </w:r>
      <w:r>
        <w:rPr>
          <w:rFonts w:ascii="宋体" w:hAnsi="宋体" w:eastAsia="宋体" w:cs="宋体"/>
          <w:spacing w:val="7"/>
          <w:sz w:val="20"/>
          <w:szCs w:val="20"/>
        </w:rPr>
        <w:t xml:space="preserve">    </w:t>
      </w:r>
      <w:r>
        <w:rPr>
          <w:rFonts w:ascii="宋体" w:hAnsi="宋体" w:eastAsia="宋体" w:cs="宋体"/>
          <w:spacing w:val="-1"/>
          <w:sz w:val="20"/>
          <w:szCs w:val="20"/>
        </w:rPr>
        <w:t>务</w:t>
      </w:r>
      <w:r>
        <w:rPr>
          <w:rFonts w:ascii="宋体" w:hAnsi="宋体" w:eastAsia="宋体" w:cs="宋体"/>
          <w:spacing w:val="-72"/>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8"/>
          <w:sz w:val="20"/>
          <w:szCs w:val="20"/>
        </w:rPr>
        <w:t>；</w:t>
      </w:r>
    </w:p>
    <w:p w14:paraId="10B1EB33">
      <w:pPr>
        <w:spacing w:before="154" w:line="230" w:lineRule="auto"/>
        <w:ind w:left="425"/>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05657022">
      <w:pPr>
        <w:spacing w:before="149" w:line="228" w:lineRule="auto"/>
        <w:ind w:left="448"/>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40DC0216">
      <w:pPr>
        <w:spacing w:before="154" w:line="228" w:lineRule="auto"/>
        <w:ind w:left="424"/>
        <w:rPr>
          <w:rFonts w:ascii="宋体" w:hAnsi="宋体" w:eastAsia="宋体" w:cs="宋体"/>
          <w:sz w:val="20"/>
          <w:szCs w:val="20"/>
        </w:rPr>
      </w:pPr>
      <w:r>
        <w:rPr>
          <w:rFonts w:ascii="宋体" w:hAnsi="宋体" w:eastAsia="宋体" w:cs="宋体"/>
          <w:spacing w:val="6"/>
          <w:sz w:val="20"/>
          <w:szCs w:val="20"/>
        </w:rPr>
        <w:t>通信地址：</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6579D2A9">
      <w:pPr>
        <w:spacing w:before="154" w:line="228" w:lineRule="auto"/>
        <w:ind w:left="427"/>
        <w:rPr>
          <w:rFonts w:ascii="宋体" w:hAnsi="宋体" w:eastAsia="宋体" w:cs="宋体"/>
          <w:sz w:val="20"/>
          <w:szCs w:val="20"/>
        </w:rPr>
      </w:pPr>
      <w:r>
        <w:rPr>
          <w:rFonts w:ascii="宋体" w:hAnsi="宋体" w:eastAsia="宋体" w:cs="宋体"/>
          <w:spacing w:val="8"/>
          <w:sz w:val="20"/>
          <w:szCs w:val="20"/>
        </w:rPr>
        <w:t>发包人对发包人代表的授权范围如下：</w:t>
      </w:r>
    </w:p>
    <w:p w14:paraId="2B2C4E97">
      <w:pPr>
        <w:tabs>
          <w:tab w:val="left" w:pos="8604"/>
        </w:tabs>
        <w:spacing w:before="159"/>
        <w:ind w:left="415"/>
        <w:rPr>
          <w:rFonts w:ascii="Arial"/>
          <w:sz w:val="21"/>
        </w:rPr>
      </w:pPr>
      <w:r>
        <w:rPr>
          <w:rFonts w:ascii="Arial" w:hAnsi="Arial" w:eastAsia="Arial" w:cs="Arial"/>
          <w:sz w:val="21"/>
          <w:szCs w:val="21"/>
          <w:u w:val="single" w:color="auto"/>
        </w:rPr>
        <w:tab/>
      </w:r>
    </w:p>
    <w:p w14:paraId="721856F6">
      <w:pPr>
        <w:spacing w:line="262" w:lineRule="auto"/>
        <w:rPr>
          <w:rFonts w:ascii="Arial"/>
          <w:sz w:val="21"/>
        </w:rPr>
      </w:pPr>
    </w:p>
    <w:p w14:paraId="5B188661">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E43B905">
      <w:pPr>
        <w:pStyle w:val="2"/>
        <w:spacing w:before="174" w:line="221" w:lineRule="auto"/>
        <w:ind w:left="1"/>
        <w:rPr>
          <w:sz w:val="24"/>
          <w:szCs w:val="24"/>
        </w:rPr>
      </w:pPr>
      <w:r>
        <w:rPr>
          <w:rFonts w:ascii="Times New Roman" w:hAnsi="Times New Roman" w:eastAsia="Times New Roman" w:cs="Times New Roman"/>
          <w:b/>
          <w:bCs/>
          <w:spacing w:val="-2"/>
          <w:sz w:val="24"/>
          <w:szCs w:val="24"/>
        </w:rPr>
        <w:t xml:space="preserve">2.4  </w:t>
      </w:r>
      <w:r>
        <w:rPr>
          <w:b/>
          <w:bCs/>
          <w:spacing w:val="-2"/>
          <w:sz w:val="24"/>
          <w:szCs w:val="24"/>
        </w:rPr>
        <w:t>施工现场、施工条件和基础资料的提供</w:t>
      </w:r>
    </w:p>
    <w:p w14:paraId="32E8B2C0">
      <w:pPr>
        <w:spacing w:before="138" w:line="227" w:lineRule="auto"/>
        <w:ind w:left="426"/>
        <w:rPr>
          <w:rFonts w:ascii="宋体" w:hAnsi="宋体" w:eastAsia="宋体" w:cs="宋体"/>
          <w:sz w:val="20"/>
          <w:szCs w:val="20"/>
        </w:rPr>
      </w:pPr>
      <w:r>
        <w:rPr>
          <w:rFonts w:ascii="宋体" w:hAnsi="宋体" w:eastAsia="宋体" w:cs="宋体"/>
          <w:spacing w:val="6"/>
          <w:sz w:val="20"/>
          <w:szCs w:val="20"/>
        </w:rPr>
        <w:t>2.4.1 提供施工现场</w:t>
      </w:r>
    </w:p>
    <w:p w14:paraId="028B53F2">
      <w:pPr>
        <w:spacing w:before="155" w:line="228" w:lineRule="auto"/>
        <w:ind w:left="427"/>
        <w:rPr>
          <w:rFonts w:ascii="宋体" w:hAnsi="宋体" w:eastAsia="宋体" w:cs="宋体"/>
          <w:sz w:val="20"/>
          <w:szCs w:val="20"/>
        </w:rPr>
      </w:pPr>
      <w:r>
        <w:rPr>
          <w:rFonts w:ascii="宋体" w:hAnsi="宋体" w:eastAsia="宋体" w:cs="宋体"/>
          <w:spacing w:val="8"/>
          <w:sz w:val="20"/>
          <w:szCs w:val="20"/>
        </w:rPr>
        <w:t>关于发包人移交施工现场的期限要求：</w:t>
      </w:r>
    </w:p>
    <w:p w14:paraId="581C4A62">
      <w:pPr>
        <w:tabs>
          <w:tab w:val="left" w:pos="8604"/>
        </w:tabs>
        <w:spacing w:before="158"/>
        <w:ind w:left="415"/>
        <w:rPr>
          <w:rFonts w:ascii="Arial"/>
          <w:sz w:val="21"/>
        </w:rPr>
      </w:pPr>
      <w:r>
        <w:rPr>
          <w:rFonts w:ascii="Arial" w:hAnsi="Arial" w:eastAsia="Arial" w:cs="Arial"/>
          <w:sz w:val="21"/>
          <w:szCs w:val="21"/>
          <w:u w:val="single" w:color="auto"/>
        </w:rPr>
        <w:tab/>
      </w:r>
    </w:p>
    <w:p w14:paraId="26E21EC3">
      <w:pPr>
        <w:spacing w:line="262" w:lineRule="auto"/>
        <w:rPr>
          <w:rFonts w:ascii="Arial"/>
          <w:sz w:val="21"/>
        </w:rPr>
      </w:pPr>
    </w:p>
    <w:p w14:paraId="0B3ED0FB">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704486E">
      <w:pPr>
        <w:spacing w:before="201" w:line="227" w:lineRule="auto"/>
        <w:ind w:left="426"/>
        <w:rPr>
          <w:rFonts w:ascii="宋体" w:hAnsi="宋体" w:eastAsia="宋体" w:cs="宋体"/>
          <w:sz w:val="20"/>
          <w:szCs w:val="20"/>
        </w:rPr>
      </w:pPr>
      <w:r>
        <w:rPr>
          <w:rFonts w:ascii="宋体" w:hAnsi="宋体" w:eastAsia="宋体" w:cs="宋体"/>
          <w:spacing w:val="6"/>
          <w:sz w:val="20"/>
          <w:szCs w:val="20"/>
        </w:rPr>
        <w:t>2.4.2 提供施工条件</w:t>
      </w:r>
    </w:p>
    <w:p w14:paraId="01F12D2F">
      <w:pPr>
        <w:spacing w:before="155" w:line="227" w:lineRule="auto"/>
        <w:ind w:left="427"/>
        <w:rPr>
          <w:rFonts w:ascii="宋体" w:hAnsi="宋体" w:eastAsia="宋体" w:cs="宋体"/>
          <w:sz w:val="20"/>
          <w:szCs w:val="20"/>
        </w:rPr>
      </w:pPr>
      <w:r>
        <w:rPr>
          <w:rFonts w:ascii="宋体" w:hAnsi="宋体" w:eastAsia="宋体" w:cs="宋体"/>
          <w:spacing w:val="8"/>
          <w:sz w:val="20"/>
          <w:szCs w:val="20"/>
        </w:rPr>
        <w:t>关于发包人应负责提供施工所需要的条件，包括：</w:t>
      </w:r>
    </w:p>
    <w:p w14:paraId="21648433">
      <w:pPr>
        <w:tabs>
          <w:tab w:val="left" w:pos="8709"/>
        </w:tabs>
        <w:spacing w:before="160"/>
        <w:ind w:left="520"/>
        <w:rPr>
          <w:rFonts w:ascii="Arial"/>
          <w:sz w:val="21"/>
        </w:rPr>
      </w:pPr>
      <w:r>
        <w:rPr>
          <w:rFonts w:ascii="Arial" w:hAnsi="Arial" w:eastAsia="Arial" w:cs="Arial"/>
          <w:sz w:val="21"/>
          <w:szCs w:val="21"/>
          <w:u w:val="single" w:color="auto"/>
        </w:rPr>
        <w:tab/>
      </w:r>
    </w:p>
    <w:p w14:paraId="31C06F51">
      <w:pPr>
        <w:spacing w:line="262" w:lineRule="auto"/>
        <w:rPr>
          <w:rFonts w:ascii="Arial"/>
          <w:sz w:val="21"/>
        </w:rPr>
      </w:pPr>
    </w:p>
    <w:p w14:paraId="77824D0E">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01A72B1">
      <w:pPr>
        <w:pStyle w:val="2"/>
        <w:spacing w:before="173" w:line="221" w:lineRule="auto"/>
        <w:ind w:left="1"/>
        <w:rPr>
          <w:sz w:val="24"/>
          <w:szCs w:val="24"/>
        </w:rPr>
      </w:pPr>
      <w:r>
        <w:rPr>
          <w:rFonts w:ascii="Times New Roman" w:hAnsi="Times New Roman" w:eastAsia="Times New Roman" w:cs="Times New Roman"/>
          <w:b/>
          <w:bCs/>
          <w:spacing w:val="-2"/>
          <w:sz w:val="24"/>
          <w:szCs w:val="24"/>
        </w:rPr>
        <w:t xml:space="preserve">2.5  </w:t>
      </w:r>
      <w:r>
        <w:rPr>
          <w:b/>
          <w:bCs/>
          <w:spacing w:val="-2"/>
          <w:sz w:val="24"/>
          <w:szCs w:val="24"/>
        </w:rPr>
        <w:t>资金来源证明及支付担保</w:t>
      </w:r>
    </w:p>
    <w:p w14:paraId="22241324">
      <w:pPr>
        <w:spacing w:before="138" w:line="227" w:lineRule="auto"/>
        <w:ind w:left="427"/>
        <w:rPr>
          <w:rFonts w:ascii="宋体" w:hAnsi="宋体" w:eastAsia="宋体" w:cs="宋体"/>
          <w:sz w:val="20"/>
          <w:szCs w:val="20"/>
        </w:rPr>
      </w:pPr>
      <w:r>
        <w:rPr>
          <w:rFonts w:ascii="宋体" w:hAnsi="宋体" w:eastAsia="宋体" w:cs="宋体"/>
          <w:spacing w:val="7"/>
          <w:sz w:val="20"/>
          <w:szCs w:val="20"/>
        </w:rPr>
        <w:t>发包人提供资金来源证明的期限要求：</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09C7C61">
      <w:pPr>
        <w:spacing w:before="155" w:line="227" w:lineRule="auto"/>
        <w:ind w:left="427"/>
        <w:rPr>
          <w:rFonts w:ascii="宋体" w:hAnsi="宋体" w:eastAsia="宋体" w:cs="宋体"/>
          <w:sz w:val="20"/>
          <w:szCs w:val="20"/>
        </w:rPr>
      </w:pPr>
      <w:r>
        <w:rPr>
          <w:rFonts w:ascii="宋体" w:hAnsi="宋体" w:eastAsia="宋体" w:cs="宋体"/>
          <w:spacing w:val="6"/>
          <w:sz w:val="20"/>
          <w:szCs w:val="20"/>
        </w:rPr>
        <w:t>发包人是否提供支付担保：</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0C40C197">
      <w:pPr>
        <w:spacing w:before="155" w:line="227" w:lineRule="auto"/>
        <w:ind w:left="427"/>
        <w:rPr>
          <w:rFonts w:ascii="宋体" w:hAnsi="宋体" w:eastAsia="宋体" w:cs="宋体"/>
          <w:sz w:val="20"/>
          <w:szCs w:val="20"/>
        </w:rPr>
      </w:pPr>
      <w:r>
        <w:rPr>
          <w:rFonts w:ascii="宋体" w:hAnsi="宋体" w:eastAsia="宋体" w:cs="宋体"/>
          <w:spacing w:val="6"/>
          <w:sz w:val="20"/>
          <w:szCs w:val="20"/>
        </w:rPr>
        <w:t>发包人提供支付担保的形式：</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A08520C">
      <w:pPr>
        <w:pStyle w:val="2"/>
        <w:spacing w:before="191" w:line="223" w:lineRule="auto"/>
        <w:outlineLvl w:val="2"/>
        <w:rPr>
          <w:sz w:val="28"/>
          <w:szCs w:val="28"/>
        </w:rPr>
      </w:pPr>
      <w:bookmarkStart w:id="286" w:name="bookmark268"/>
      <w:bookmarkEnd w:id="286"/>
      <w:r>
        <w:rPr>
          <w:rFonts w:ascii="Times New Roman" w:hAnsi="Times New Roman" w:eastAsia="Times New Roman" w:cs="Times New Roman"/>
          <w:b/>
          <w:bCs/>
          <w:spacing w:val="-2"/>
          <w:sz w:val="28"/>
          <w:szCs w:val="28"/>
        </w:rPr>
        <w:t xml:space="preserve">3.  </w:t>
      </w:r>
      <w:r>
        <w:rPr>
          <w:b/>
          <w:bCs/>
          <w:spacing w:val="-2"/>
          <w:sz w:val="28"/>
          <w:szCs w:val="28"/>
        </w:rPr>
        <w:t>承包人</w:t>
      </w:r>
    </w:p>
    <w:p w14:paraId="51195326">
      <w:pPr>
        <w:pStyle w:val="2"/>
        <w:spacing w:before="98" w:line="221" w:lineRule="auto"/>
        <w:rPr>
          <w:sz w:val="24"/>
          <w:szCs w:val="24"/>
        </w:rPr>
      </w:pPr>
      <w:r>
        <w:rPr>
          <w:rFonts w:ascii="Times New Roman" w:hAnsi="Times New Roman" w:eastAsia="Times New Roman" w:cs="Times New Roman"/>
          <w:b/>
          <w:bCs/>
          <w:spacing w:val="-2"/>
          <w:sz w:val="24"/>
          <w:szCs w:val="24"/>
        </w:rPr>
        <w:t xml:space="preserve">3.1  </w:t>
      </w:r>
      <w:r>
        <w:rPr>
          <w:b/>
          <w:bCs/>
          <w:spacing w:val="-2"/>
          <w:sz w:val="24"/>
          <w:szCs w:val="24"/>
        </w:rPr>
        <w:t>承包人的一般义务</w:t>
      </w:r>
    </w:p>
    <w:p w14:paraId="3D0C681D">
      <w:pPr>
        <w:spacing w:before="138" w:line="228" w:lineRule="auto"/>
        <w:ind w:left="434"/>
        <w:rPr>
          <w:rFonts w:ascii="宋体" w:hAnsi="宋体" w:eastAsia="宋体" w:cs="宋体"/>
          <w:sz w:val="20"/>
          <w:szCs w:val="20"/>
        </w:rPr>
      </w:pPr>
      <w:r>
        <w:rPr>
          <w:rFonts w:ascii="宋体" w:hAnsi="宋体" w:eastAsia="宋体" w:cs="宋体"/>
          <w:spacing w:val="7"/>
          <w:sz w:val="20"/>
          <w:szCs w:val="20"/>
        </w:rPr>
        <w:t>（9）承包人提交的竣工资料的内容：</w:t>
      </w:r>
    </w:p>
    <w:p w14:paraId="60849EBF">
      <w:pPr>
        <w:tabs>
          <w:tab w:val="left" w:pos="8604"/>
        </w:tabs>
        <w:spacing w:before="159"/>
        <w:ind w:left="415"/>
        <w:rPr>
          <w:rFonts w:ascii="Arial"/>
          <w:sz w:val="21"/>
        </w:rPr>
      </w:pPr>
      <w:r>
        <w:rPr>
          <w:rFonts w:ascii="Arial" w:hAnsi="Arial" w:eastAsia="Arial" w:cs="Arial"/>
          <w:sz w:val="21"/>
          <w:szCs w:val="21"/>
          <w:u w:val="single" w:color="auto"/>
        </w:rPr>
        <w:tab/>
      </w:r>
    </w:p>
    <w:p w14:paraId="7CBC94D2">
      <w:pPr>
        <w:spacing w:line="264" w:lineRule="auto"/>
        <w:rPr>
          <w:rFonts w:ascii="Arial"/>
          <w:sz w:val="21"/>
        </w:rPr>
      </w:pPr>
    </w:p>
    <w:p w14:paraId="7506CF2D">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9A940C9">
      <w:pPr>
        <w:spacing w:before="198" w:line="228" w:lineRule="auto"/>
        <w:ind w:left="424"/>
        <w:rPr>
          <w:rFonts w:ascii="宋体" w:hAnsi="宋体" w:eastAsia="宋体" w:cs="宋体"/>
          <w:sz w:val="20"/>
          <w:szCs w:val="20"/>
        </w:rPr>
      </w:pPr>
      <w:r>
        <w:rPr>
          <w:rFonts w:ascii="宋体" w:hAnsi="宋体" w:eastAsia="宋体" w:cs="宋体"/>
          <w:spacing w:val="7"/>
          <w:sz w:val="20"/>
          <w:szCs w:val="20"/>
        </w:rPr>
        <w:t>承包人需要提交的竣工资料套数：</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A766501">
      <w:pPr>
        <w:spacing w:before="154" w:line="228" w:lineRule="auto"/>
        <w:ind w:left="424"/>
        <w:rPr>
          <w:rFonts w:ascii="宋体" w:hAnsi="宋体" w:eastAsia="宋体" w:cs="宋体"/>
          <w:sz w:val="20"/>
          <w:szCs w:val="20"/>
        </w:rPr>
      </w:pPr>
      <w:r>
        <w:rPr>
          <w:rFonts w:ascii="宋体" w:hAnsi="宋体" w:eastAsia="宋体" w:cs="宋体"/>
          <w:spacing w:val="7"/>
          <w:sz w:val="20"/>
          <w:szCs w:val="20"/>
        </w:rPr>
        <w:t>承包人提交的竣工资料的费用承担：</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CE0D3CC">
      <w:pPr>
        <w:spacing w:before="153" w:line="228" w:lineRule="auto"/>
        <w:ind w:left="424"/>
        <w:rPr>
          <w:rFonts w:ascii="宋体" w:hAnsi="宋体" w:eastAsia="宋体" w:cs="宋体"/>
          <w:sz w:val="20"/>
          <w:szCs w:val="20"/>
        </w:rPr>
      </w:pPr>
      <w:r>
        <w:rPr>
          <w:rFonts w:ascii="宋体" w:hAnsi="宋体" w:eastAsia="宋体" w:cs="宋体"/>
          <w:spacing w:val="7"/>
          <w:sz w:val="20"/>
          <w:szCs w:val="20"/>
        </w:rPr>
        <w:t>承包人提交的竣工资料移交时间：</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1C1B015">
      <w:pPr>
        <w:spacing w:before="152" w:line="228" w:lineRule="auto"/>
        <w:ind w:left="424"/>
        <w:rPr>
          <w:rFonts w:ascii="宋体" w:hAnsi="宋体" w:eastAsia="宋体" w:cs="宋体"/>
          <w:sz w:val="20"/>
          <w:szCs w:val="20"/>
        </w:rPr>
      </w:pPr>
      <w:r>
        <w:rPr>
          <w:rFonts w:ascii="宋体" w:hAnsi="宋体" w:eastAsia="宋体" w:cs="宋体"/>
          <w:spacing w:val="7"/>
          <w:sz w:val="20"/>
          <w:szCs w:val="20"/>
        </w:rPr>
        <w:t>承包人提交的竣工资料形式要求：</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2B576D30">
      <w:pPr>
        <w:spacing w:line="228" w:lineRule="auto"/>
        <w:rPr>
          <w:rFonts w:ascii="宋体" w:hAnsi="宋体" w:eastAsia="宋体" w:cs="宋体"/>
          <w:sz w:val="20"/>
          <w:szCs w:val="20"/>
        </w:rPr>
        <w:sectPr>
          <w:footerReference r:id="rId288" w:type="default"/>
          <w:pgSz w:w="11906" w:h="16839"/>
          <w:pgMar w:top="400" w:right="1660" w:bottom="1038" w:left="1535" w:header="0" w:footer="787" w:gutter="0"/>
          <w:cols w:space="720" w:num="1"/>
        </w:sectPr>
      </w:pPr>
    </w:p>
    <w:p w14:paraId="4E860CCB">
      <w:pPr>
        <w:spacing w:line="245" w:lineRule="auto"/>
        <w:rPr>
          <w:rFonts w:ascii="Arial"/>
          <w:sz w:val="21"/>
        </w:rPr>
      </w:pPr>
    </w:p>
    <w:p w14:paraId="1BB336C8">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BA5A5F5">
      <w:pPr>
        <w:pStyle w:val="2"/>
        <w:spacing w:before="173" w:line="222" w:lineRule="auto"/>
        <w:rPr>
          <w:sz w:val="24"/>
          <w:szCs w:val="24"/>
        </w:rPr>
      </w:pPr>
      <w:r>
        <w:rPr>
          <w:rFonts w:ascii="Times New Roman" w:hAnsi="Times New Roman" w:eastAsia="Times New Roman" w:cs="Times New Roman"/>
          <w:b/>
          <w:bCs/>
          <w:spacing w:val="-2"/>
          <w:sz w:val="24"/>
          <w:szCs w:val="24"/>
        </w:rPr>
        <w:t xml:space="preserve">3.2  </w:t>
      </w:r>
      <w:r>
        <w:rPr>
          <w:b/>
          <w:bCs/>
          <w:spacing w:val="-2"/>
          <w:sz w:val="24"/>
          <w:szCs w:val="24"/>
        </w:rPr>
        <w:t>项目经理</w:t>
      </w:r>
    </w:p>
    <w:p w14:paraId="7281566A">
      <w:pPr>
        <w:spacing w:before="137" w:line="228" w:lineRule="auto"/>
        <w:ind w:left="428"/>
        <w:rPr>
          <w:rFonts w:ascii="宋体" w:hAnsi="宋体" w:eastAsia="宋体" w:cs="宋体"/>
          <w:sz w:val="20"/>
          <w:szCs w:val="20"/>
        </w:rPr>
      </w:pPr>
      <w:r>
        <w:rPr>
          <w:rFonts w:ascii="宋体" w:hAnsi="宋体" w:eastAsia="宋体" w:cs="宋体"/>
          <w:spacing w:val="4"/>
          <w:sz w:val="20"/>
          <w:szCs w:val="20"/>
        </w:rPr>
        <w:t>3.2.1 项目经理：</w:t>
      </w:r>
    </w:p>
    <w:p w14:paraId="7C2177B2">
      <w:pPr>
        <w:spacing w:before="153" w:line="228" w:lineRule="auto"/>
        <w:ind w:left="424"/>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7"/>
          <w:sz w:val="20"/>
          <w:szCs w:val="20"/>
        </w:rPr>
        <w:t xml:space="preserve">    </w:t>
      </w:r>
      <w:r>
        <w:rPr>
          <w:rFonts w:ascii="宋体" w:hAnsi="宋体" w:eastAsia="宋体" w:cs="宋体"/>
          <w:spacing w:val="-1"/>
          <w:sz w:val="20"/>
          <w:szCs w:val="20"/>
        </w:rPr>
        <w:t>名</w:t>
      </w:r>
      <w:r>
        <w:rPr>
          <w:rFonts w:ascii="宋体" w:hAnsi="宋体" w:eastAsia="宋体" w:cs="宋体"/>
          <w:spacing w:val="-71"/>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8"/>
          <w:sz w:val="20"/>
          <w:szCs w:val="20"/>
        </w:rPr>
        <w:t>；</w:t>
      </w:r>
    </w:p>
    <w:p w14:paraId="1F684737">
      <w:pPr>
        <w:spacing w:before="153" w:line="228" w:lineRule="auto"/>
        <w:ind w:left="429"/>
        <w:rPr>
          <w:rFonts w:ascii="宋体" w:hAnsi="宋体" w:eastAsia="宋体" w:cs="宋体"/>
          <w:sz w:val="20"/>
          <w:szCs w:val="20"/>
        </w:rPr>
      </w:pPr>
      <w:r>
        <w:rPr>
          <w:rFonts w:ascii="宋体" w:hAnsi="宋体" w:eastAsia="宋体" w:cs="宋体"/>
          <w:spacing w:val="5"/>
          <w:sz w:val="20"/>
          <w:szCs w:val="20"/>
        </w:rPr>
        <w:t>身份证号</w:t>
      </w:r>
      <w:r>
        <w:rPr>
          <w:rFonts w:ascii="宋体" w:hAnsi="宋体" w:eastAsia="宋体" w:cs="宋体"/>
          <w:spacing w:val="7"/>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7"/>
          <w:sz w:val="20"/>
          <w:szCs w:val="20"/>
        </w:rPr>
        <w:t>；</w:t>
      </w:r>
    </w:p>
    <w:p w14:paraId="3EE09AF8">
      <w:pPr>
        <w:spacing w:before="151" w:line="228" w:lineRule="auto"/>
        <w:ind w:left="426"/>
        <w:rPr>
          <w:rFonts w:ascii="宋体" w:hAnsi="宋体" w:eastAsia="宋体" w:cs="宋体"/>
          <w:sz w:val="20"/>
          <w:szCs w:val="20"/>
        </w:rPr>
      </w:pPr>
      <w:r>
        <w:rPr>
          <w:rFonts w:ascii="宋体" w:hAnsi="宋体" w:eastAsia="宋体" w:cs="宋体"/>
          <w:spacing w:val="8"/>
          <w:sz w:val="20"/>
          <w:szCs w:val="20"/>
        </w:rPr>
        <w:t>建造师执业资格等级：</w:t>
      </w:r>
      <w:r>
        <w:rPr>
          <w:rFonts w:ascii="宋体" w:hAnsi="宋体" w:eastAsia="宋体" w:cs="宋体"/>
          <w:spacing w:val="1"/>
          <w:sz w:val="20"/>
          <w:szCs w:val="20"/>
          <w:u w:val="single" w:color="auto"/>
        </w:rPr>
        <w:t xml:space="preserve">                            </w:t>
      </w:r>
      <w:r>
        <w:rPr>
          <w:rFonts w:ascii="宋体" w:hAnsi="宋体" w:eastAsia="宋体" w:cs="宋体"/>
          <w:spacing w:val="8"/>
          <w:sz w:val="20"/>
          <w:szCs w:val="20"/>
        </w:rPr>
        <w:t>；</w:t>
      </w:r>
    </w:p>
    <w:p w14:paraId="12CFDAFA">
      <w:pPr>
        <w:spacing w:before="154" w:line="227" w:lineRule="auto"/>
        <w:ind w:left="426"/>
        <w:rPr>
          <w:rFonts w:ascii="宋体" w:hAnsi="宋体" w:eastAsia="宋体" w:cs="宋体"/>
          <w:sz w:val="20"/>
          <w:szCs w:val="20"/>
        </w:rPr>
      </w:pPr>
      <w:r>
        <w:rPr>
          <w:rFonts w:ascii="宋体" w:hAnsi="宋体" w:eastAsia="宋体" w:cs="宋体"/>
          <w:spacing w:val="8"/>
          <w:sz w:val="20"/>
          <w:szCs w:val="20"/>
        </w:rPr>
        <w:t>建造师注册证书号</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23A6DE3A">
      <w:pPr>
        <w:spacing w:before="155" w:line="227" w:lineRule="auto"/>
        <w:ind w:left="426"/>
        <w:rPr>
          <w:rFonts w:ascii="宋体" w:hAnsi="宋体" w:eastAsia="宋体" w:cs="宋体"/>
          <w:sz w:val="20"/>
          <w:szCs w:val="20"/>
        </w:rPr>
      </w:pPr>
      <w:r>
        <w:rPr>
          <w:rFonts w:ascii="宋体" w:hAnsi="宋体" w:eastAsia="宋体" w:cs="宋体"/>
          <w:spacing w:val="8"/>
          <w:sz w:val="20"/>
          <w:szCs w:val="20"/>
        </w:rPr>
        <w:t>建造师执业印章号</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00951E58">
      <w:pPr>
        <w:spacing w:before="152" w:line="227" w:lineRule="auto"/>
        <w:ind w:left="428"/>
        <w:rPr>
          <w:rFonts w:ascii="宋体" w:hAnsi="宋体" w:eastAsia="宋体" w:cs="宋体"/>
          <w:sz w:val="20"/>
          <w:szCs w:val="20"/>
        </w:rPr>
      </w:pPr>
      <w:r>
        <w:rPr>
          <w:rFonts w:ascii="宋体" w:hAnsi="宋体" w:eastAsia="宋体" w:cs="宋体"/>
          <w:spacing w:val="8"/>
          <w:sz w:val="20"/>
          <w:szCs w:val="20"/>
        </w:rPr>
        <w:t>安全生产考核合格证书号</w:t>
      </w:r>
      <w:r>
        <w:rPr>
          <w:rFonts w:ascii="宋体" w:hAnsi="宋体" w:eastAsia="宋体" w:cs="宋体"/>
          <w:spacing w:val="9"/>
          <w:sz w:val="20"/>
          <w:szCs w:val="20"/>
        </w:rPr>
        <w:t>：</w:t>
      </w:r>
      <w:r>
        <w:rPr>
          <w:rFonts w:ascii="宋体" w:hAnsi="宋体" w:eastAsia="宋体" w:cs="宋体"/>
          <w:sz w:val="20"/>
          <w:szCs w:val="20"/>
          <w:u w:val="single" w:color="auto"/>
        </w:rPr>
        <w:t xml:space="preserve">                        </w:t>
      </w:r>
      <w:r>
        <w:rPr>
          <w:rFonts w:ascii="宋体" w:hAnsi="宋体" w:eastAsia="宋体" w:cs="宋体"/>
          <w:spacing w:val="9"/>
          <w:sz w:val="20"/>
          <w:szCs w:val="20"/>
        </w:rPr>
        <w:t>；</w:t>
      </w:r>
    </w:p>
    <w:p w14:paraId="3320F875">
      <w:pPr>
        <w:spacing w:before="155" w:line="230" w:lineRule="auto"/>
        <w:ind w:left="425"/>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03E295D1">
      <w:pPr>
        <w:spacing w:before="151" w:line="228" w:lineRule="auto"/>
        <w:ind w:left="448"/>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1C43EEBA">
      <w:pPr>
        <w:spacing w:before="152" w:line="228" w:lineRule="auto"/>
        <w:ind w:left="424"/>
        <w:rPr>
          <w:rFonts w:ascii="宋体" w:hAnsi="宋体" w:eastAsia="宋体" w:cs="宋体"/>
          <w:sz w:val="20"/>
          <w:szCs w:val="20"/>
        </w:rPr>
      </w:pPr>
      <w:r>
        <w:rPr>
          <w:rFonts w:ascii="宋体" w:hAnsi="宋体" w:eastAsia="宋体" w:cs="宋体"/>
          <w:spacing w:val="7"/>
          <w:sz w:val="20"/>
          <w:szCs w:val="20"/>
        </w:rPr>
        <w:t>通信地址</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7F367285">
      <w:pPr>
        <w:spacing w:before="154" w:line="228" w:lineRule="auto"/>
        <w:ind w:left="424"/>
        <w:rPr>
          <w:rFonts w:ascii="宋体" w:hAnsi="宋体" w:eastAsia="宋体" w:cs="宋体"/>
          <w:sz w:val="20"/>
          <w:szCs w:val="20"/>
        </w:rPr>
      </w:pPr>
      <w:r>
        <w:rPr>
          <w:rFonts w:ascii="宋体" w:hAnsi="宋体" w:eastAsia="宋体" w:cs="宋体"/>
          <w:spacing w:val="8"/>
          <w:sz w:val="20"/>
          <w:szCs w:val="20"/>
        </w:rPr>
        <w:t>承包人对项目经理的授权范围如下：</w:t>
      </w:r>
    </w:p>
    <w:p w14:paraId="4ADAC351">
      <w:pPr>
        <w:tabs>
          <w:tab w:val="left" w:pos="8604"/>
        </w:tabs>
        <w:spacing w:before="159"/>
        <w:ind w:left="415"/>
        <w:rPr>
          <w:rFonts w:ascii="Arial"/>
          <w:sz w:val="21"/>
        </w:rPr>
      </w:pPr>
      <w:r>
        <w:rPr>
          <w:rFonts w:ascii="Arial" w:hAnsi="Arial" w:eastAsia="Arial" w:cs="Arial"/>
          <w:sz w:val="21"/>
          <w:szCs w:val="21"/>
          <w:u w:val="single" w:color="auto"/>
        </w:rPr>
        <w:tab/>
      </w:r>
    </w:p>
    <w:p w14:paraId="16671E48">
      <w:pPr>
        <w:spacing w:line="262" w:lineRule="auto"/>
        <w:rPr>
          <w:rFonts w:ascii="Arial"/>
          <w:sz w:val="21"/>
        </w:rPr>
      </w:pPr>
    </w:p>
    <w:p w14:paraId="6E71F77A">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56242E9">
      <w:pPr>
        <w:spacing w:before="200" w:line="228" w:lineRule="auto"/>
        <w:ind w:left="427"/>
        <w:rPr>
          <w:rFonts w:ascii="宋体" w:hAnsi="宋体" w:eastAsia="宋体" w:cs="宋体"/>
          <w:sz w:val="20"/>
          <w:szCs w:val="20"/>
        </w:rPr>
      </w:pPr>
      <w:r>
        <w:rPr>
          <w:rFonts w:ascii="宋体" w:hAnsi="宋体" w:eastAsia="宋体" w:cs="宋体"/>
          <w:spacing w:val="8"/>
          <w:sz w:val="20"/>
          <w:szCs w:val="20"/>
        </w:rPr>
        <w:t>关于项目经理每月在施工现场的时间要求：</w:t>
      </w:r>
    </w:p>
    <w:p w14:paraId="6B8980DB">
      <w:pPr>
        <w:tabs>
          <w:tab w:val="left" w:pos="8604"/>
        </w:tabs>
        <w:spacing w:before="159"/>
        <w:ind w:left="415"/>
        <w:rPr>
          <w:rFonts w:ascii="Arial"/>
          <w:sz w:val="21"/>
        </w:rPr>
      </w:pPr>
      <w:r>
        <w:rPr>
          <w:rFonts w:ascii="Arial" w:hAnsi="Arial" w:eastAsia="Arial" w:cs="Arial"/>
          <w:sz w:val="21"/>
          <w:szCs w:val="21"/>
          <w:u w:val="single" w:color="auto"/>
        </w:rPr>
        <w:tab/>
      </w:r>
    </w:p>
    <w:p w14:paraId="55F03DE0">
      <w:pPr>
        <w:spacing w:line="262" w:lineRule="auto"/>
        <w:rPr>
          <w:rFonts w:ascii="Arial"/>
          <w:sz w:val="21"/>
        </w:rPr>
      </w:pPr>
    </w:p>
    <w:p w14:paraId="1086F865">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2C11611">
      <w:pPr>
        <w:spacing w:before="200" w:line="227" w:lineRule="auto"/>
        <w:ind w:left="424"/>
        <w:rPr>
          <w:rFonts w:ascii="宋体" w:hAnsi="宋体" w:eastAsia="宋体" w:cs="宋体"/>
          <w:sz w:val="20"/>
          <w:szCs w:val="20"/>
        </w:rPr>
      </w:pPr>
      <w:r>
        <w:rPr>
          <w:rFonts w:ascii="宋体" w:hAnsi="宋体" w:eastAsia="宋体" w:cs="宋体"/>
          <w:spacing w:val="9"/>
          <w:sz w:val="20"/>
          <w:szCs w:val="20"/>
        </w:rPr>
        <w:t>承包人未提交劳动合同，以及没有为项目经理缴纳社会保险证明的违约责任：</w:t>
      </w:r>
    </w:p>
    <w:p w14:paraId="694594B8">
      <w:pPr>
        <w:tabs>
          <w:tab w:val="left" w:pos="8604"/>
        </w:tabs>
        <w:spacing w:before="160"/>
        <w:ind w:left="415"/>
        <w:rPr>
          <w:rFonts w:ascii="Arial"/>
          <w:sz w:val="21"/>
        </w:rPr>
      </w:pPr>
      <w:r>
        <w:rPr>
          <w:rFonts w:ascii="Arial" w:hAnsi="Arial" w:eastAsia="Arial" w:cs="Arial"/>
          <w:sz w:val="21"/>
          <w:szCs w:val="21"/>
          <w:u w:val="single" w:color="auto"/>
        </w:rPr>
        <w:tab/>
      </w:r>
    </w:p>
    <w:p w14:paraId="607E3BE9">
      <w:pPr>
        <w:spacing w:line="262" w:lineRule="auto"/>
        <w:rPr>
          <w:rFonts w:ascii="Arial"/>
          <w:sz w:val="21"/>
        </w:rPr>
      </w:pPr>
    </w:p>
    <w:p w14:paraId="0AC0CCF5">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2B9E87F">
      <w:pPr>
        <w:spacing w:before="201" w:line="228" w:lineRule="auto"/>
        <w:ind w:left="427"/>
        <w:rPr>
          <w:rFonts w:ascii="宋体" w:hAnsi="宋体" w:eastAsia="宋体" w:cs="宋体"/>
          <w:sz w:val="20"/>
          <w:szCs w:val="20"/>
        </w:rPr>
      </w:pPr>
      <w:r>
        <w:rPr>
          <w:rFonts w:ascii="宋体" w:hAnsi="宋体" w:eastAsia="宋体" w:cs="宋体"/>
          <w:spacing w:val="9"/>
          <w:sz w:val="20"/>
          <w:szCs w:val="20"/>
        </w:rPr>
        <w:t>项目经理未经批准，擅自离开施工现场的违约责</w:t>
      </w:r>
      <w:r>
        <w:rPr>
          <w:rFonts w:ascii="宋体" w:hAnsi="宋体" w:eastAsia="宋体" w:cs="宋体"/>
          <w:spacing w:val="8"/>
          <w:sz w:val="20"/>
          <w:szCs w:val="20"/>
        </w:rPr>
        <w:t>任：</w:t>
      </w:r>
    </w:p>
    <w:p w14:paraId="743C3E15">
      <w:pPr>
        <w:tabs>
          <w:tab w:val="left" w:pos="8604"/>
        </w:tabs>
        <w:spacing w:before="159"/>
        <w:ind w:left="415"/>
        <w:rPr>
          <w:rFonts w:ascii="Arial"/>
          <w:sz w:val="21"/>
        </w:rPr>
      </w:pPr>
      <w:r>
        <w:rPr>
          <w:rFonts w:ascii="Arial" w:hAnsi="Arial" w:eastAsia="Arial" w:cs="Arial"/>
          <w:sz w:val="21"/>
          <w:szCs w:val="21"/>
          <w:u w:val="single" w:color="auto"/>
        </w:rPr>
        <w:tab/>
      </w:r>
    </w:p>
    <w:p w14:paraId="39588E05">
      <w:pPr>
        <w:spacing w:line="262" w:lineRule="auto"/>
        <w:rPr>
          <w:rFonts w:ascii="Arial"/>
          <w:sz w:val="21"/>
        </w:rPr>
      </w:pPr>
    </w:p>
    <w:p w14:paraId="1F0B48D9">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35D1E6D">
      <w:pPr>
        <w:spacing w:before="200" w:line="228" w:lineRule="auto"/>
        <w:ind w:left="428"/>
        <w:rPr>
          <w:rFonts w:ascii="宋体" w:hAnsi="宋体" w:eastAsia="宋体" w:cs="宋体"/>
          <w:sz w:val="20"/>
          <w:szCs w:val="20"/>
        </w:rPr>
      </w:pPr>
      <w:r>
        <w:rPr>
          <w:rFonts w:ascii="宋体" w:hAnsi="宋体" w:eastAsia="宋体" w:cs="宋体"/>
          <w:spacing w:val="7"/>
          <w:sz w:val="20"/>
          <w:szCs w:val="20"/>
        </w:rPr>
        <w:t>3.2.3 承包人擅自更换项目经理的违约责任：</w:t>
      </w:r>
    </w:p>
    <w:p w14:paraId="67B88036">
      <w:pPr>
        <w:tabs>
          <w:tab w:val="left" w:pos="8604"/>
        </w:tabs>
        <w:spacing w:before="159"/>
        <w:ind w:left="415"/>
        <w:rPr>
          <w:rFonts w:ascii="Arial"/>
          <w:sz w:val="21"/>
        </w:rPr>
      </w:pPr>
      <w:r>
        <w:rPr>
          <w:rFonts w:ascii="Arial" w:hAnsi="Arial" w:eastAsia="Arial" w:cs="Arial"/>
          <w:sz w:val="21"/>
          <w:szCs w:val="21"/>
          <w:u w:val="single" w:color="auto"/>
        </w:rPr>
        <w:tab/>
      </w:r>
    </w:p>
    <w:p w14:paraId="6D6519B2">
      <w:pPr>
        <w:spacing w:line="262" w:lineRule="auto"/>
        <w:rPr>
          <w:rFonts w:ascii="Arial"/>
          <w:sz w:val="21"/>
        </w:rPr>
      </w:pPr>
    </w:p>
    <w:p w14:paraId="17BD0B45">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AB151E7">
      <w:pPr>
        <w:spacing w:before="200" w:line="228" w:lineRule="auto"/>
        <w:ind w:left="428"/>
        <w:rPr>
          <w:rFonts w:ascii="宋体" w:hAnsi="宋体" w:eastAsia="宋体" w:cs="宋体"/>
          <w:sz w:val="20"/>
          <w:szCs w:val="20"/>
        </w:rPr>
      </w:pPr>
      <w:r>
        <w:rPr>
          <w:rFonts w:ascii="宋体" w:hAnsi="宋体" w:eastAsia="宋体" w:cs="宋体"/>
          <w:spacing w:val="8"/>
          <w:sz w:val="20"/>
          <w:szCs w:val="20"/>
        </w:rPr>
        <w:t>3.2.4 承包人无正当理由拒绝更换项目经理的违约责任：</w:t>
      </w:r>
    </w:p>
    <w:p w14:paraId="17970462">
      <w:pPr>
        <w:tabs>
          <w:tab w:val="left" w:pos="8604"/>
        </w:tabs>
        <w:spacing w:before="159"/>
        <w:ind w:left="415"/>
        <w:rPr>
          <w:rFonts w:ascii="Arial"/>
          <w:sz w:val="21"/>
        </w:rPr>
      </w:pPr>
      <w:r>
        <w:rPr>
          <w:rFonts w:ascii="Arial" w:hAnsi="Arial" w:eastAsia="Arial" w:cs="Arial"/>
          <w:sz w:val="21"/>
          <w:szCs w:val="21"/>
          <w:u w:val="single" w:color="auto"/>
        </w:rPr>
        <w:tab/>
      </w:r>
    </w:p>
    <w:p w14:paraId="659D8ED0">
      <w:pPr>
        <w:spacing w:before="287" w:line="45" w:lineRule="exact"/>
        <w:jc w:val="right"/>
        <w:rPr>
          <w:rFonts w:ascii="宋体" w:hAnsi="宋体" w:eastAsia="宋体" w:cs="宋体"/>
          <w:sz w:val="20"/>
          <w:szCs w:val="20"/>
        </w:rPr>
      </w:pPr>
      <w:r>
        <w:pict>
          <v:shape id="_x0000_s1055" o:spid="_x0000_s1055" o:spt="202" type="#_x0000_t202" style="position:absolute;left:0pt;margin-left:19.75pt;margin-top:6.95pt;height:14.1pt;width:406.25pt;z-index:251697152;mso-width-relative:page;mso-height-relative:page;" filled="f" stroked="f" coordsize="21600,21600">
            <v:path/>
            <v:fill on="f" focussize="0,0"/>
            <v:stroke on="f"/>
            <v:imagedata o:title=""/>
            <o:lock v:ext="edit" aspectratio="f"/>
            <v:textbox inset="0mm,0mm,0mm,0mm">
              <w:txbxContent>
                <w:p w14:paraId="3219EFC3">
                  <w:pPr>
                    <w:tabs>
                      <w:tab w:val="left" w:pos="810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6F33AB68">
      <w:pPr>
        <w:pStyle w:val="2"/>
        <w:spacing w:before="194" w:line="221" w:lineRule="auto"/>
        <w:rPr>
          <w:sz w:val="24"/>
          <w:szCs w:val="24"/>
        </w:rPr>
      </w:pPr>
      <w:r>
        <w:rPr>
          <w:rFonts w:ascii="Times New Roman" w:hAnsi="Times New Roman" w:eastAsia="Times New Roman" w:cs="Times New Roman"/>
          <w:b/>
          <w:bCs/>
          <w:spacing w:val="-2"/>
          <w:sz w:val="24"/>
          <w:szCs w:val="24"/>
        </w:rPr>
        <w:t xml:space="preserve">3.3  </w:t>
      </w:r>
      <w:r>
        <w:rPr>
          <w:b/>
          <w:bCs/>
          <w:spacing w:val="-2"/>
          <w:sz w:val="24"/>
          <w:szCs w:val="24"/>
        </w:rPr>
        <w:t>承包人人员</w:t>
      </w:r>
    </w:p>
    <w:p w14:paraId="19597E07">
      <w:pPr>
        <w:spacing w:before="141" w:line="226" w:lineRule="auto"/>
        <w:ind w:left="428"/>
        <w:rPr>
          <w:rFonts w:ascii="宋体" w:hAnsi="宋体" w:eastAsia="宋体" w:cs="宋体"/>
          <w:sz w:val="20"/>
          <w:szCs w:val="20"/>
        </w:rPr>
      </w:pPr>
      <w:r>
        <w:rPr>
          <w:rFonts w:ascii="宋体" w:hAnsi="宋体" w:eastAsia="宋体" w:cs="宋体"/>
          <w:spacing w:val="8"/>
          <w:sz w:val="20"/>
          <w:szCs w:val="20"/>
        </w:rPr>
        <w:t>3.3.1 承包人提交项目管理机构及施工现场管理人员安排报告的期限：</w:t>
      </w:r>
    </w:p>
    <w:p w14:paraId="4AF0DDD1">
      <w:pPr>
        <w:spacing w:before="288" w:line="45" w:lineRule="exact"/>
        <w:jc w:val="right"/>
        <w:rPr>
          <w:rFonts w:ascii="宋体" w:hAnsi="宋体" w:eastAsia="宋体" w:cs="宋体"/>
          <w:sz w:val="20"/>
          <w:szCs w:val="20"/>
        </w:rPr>
      </w:pPr>
      <w:r>
        <w:pict>
          <v:shape id="_x0000_s1056" o:spid="_x0000_s1056" o:spt="202" type="#_x0000_t202" style="position:absolute;left:0pt;margin-left:19.75pt;margin-top:7pt;height:14.1pt;width:406.25pt;z-index:251698176;mso-width-relative:page;mso-height-relative:page;" filled="f" stroked="f" coordsize="21600,21600">
            <v:path/>
            <v:fill on="f" focussize="0,0"/>
            <v:stroke on="f"/>
            <v:imagedata o:title=""/>
            <o:lock v:ext="edit" aspectratio="f"/>
            <v:textbox inset="0mm,0mm,0mm,0mm">
              <w:txbxContent>
                <w:p w14:paraId="0F9577FC">
                  <w:pPr>
                    <w:tabs>
                      <w:tab w:val="left" w:pos="810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2E83BCD8">
      <w:pPr>
        <w:spacing w:line="45" w:lineRule="exact"/>
        <w:rPr>
          <w:rFonts w:ascii="宋体" w:hAnsi="宋体" w:eastAsia="宋体" w:cs="宋体"/>
          <w:sz w:val="20"/>
          <w:szCs w:val="20"/>
        </w:rPr>
        <w:sectPr>
          <w:headerReference r:id="rId289" w:type="default"/>
          <w:footerReference r:id="rId290" w:type="default"/>
          <w:pgSz w:w="11906" w:h="16839"/>
          <w:pgMar w:top="2223" w:right="1695" w:bottom="1038" w:left="1535" w:header="1502" w:footer="787" w:gutter="0"/>
          <w:cols w:space="720" w:num="1"/>
        </w:sectPr>
      </w:pPr>
    </w:p>
    <w:p w14:paraId="43C097E4">
      <w:pPr>
        <w:spacing w:before="13" w:line="228" w:lineRule="auto"/>
        <w:ind w:left="428"/>
        <w:rPr>
          <w:rFonts w:ascii="宋体" w:hAnsi="宋体" w:eastAsia="宋体" w:cs="宋体"/>
          <w:sz w:val="20"/>
          <w:szCs w:val="20"/>
        </w:rPr>
      </w:pPr>
      <w:r>
        <w:rPr>
          <w:rFonts w:ascii="宋体" w:hAnsi="宋体" w:eastAsia="宋体" w:cs="宋体"/>
          <w:spacing w:val="8"/>
          <w:sz w:val="20"/>
          <w:szCs w:val="20"/>
        </w:rPr>
        <w:t>3.3.4 承包人主要施工管理人员离开施工现场的批准要求：</w:t>
      </w:r>
    </w:p>
    <w:p w14:paraId="7D85F8AA">
      <w:pPr>
        <w:spacing w:line="264" w:lineRule="auto"/>
        <w:rPr>
          <w:rFonts w:ascii="Arial"/>
          <w:sz w:val="21"/>
        </w:rPr>
      </w:pPr>
    </w:p>
    <w:p w14:paraId="2E4781A8">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A4E89C4">
      <w:pPr>
        <w:spacing w:before="197" w:line="228" w:lineRule="auto"/>
        <w:ind w:left="428"/>
        <w:rPr>
          <w:rFonts w:ascii="宋体" w:hAnsi="宋体" w:eastAsia="宋体" w:cs="宋体"/>
          <w:sz w:val="20"/>
          <w:szCs w:val="20"/>
        </w:rPr>
      </w:pPr>
      <w:r>
        <w:rPr>
          <w:rFonts w:ascii="宋体" w:hAnsi="宋体" w:eastAsia="宋体" w:cs="宋体"/>
          <w:spacing w:val="7"/>
          <w:sz w:val="20"/>
          <w:szCs w:val="20"/>
        </w:rPr>
        <w:t>3.3.5</w:t>
      </w:r>
      <w:r>
        <w:rPr>
          <w:rFonts w:ascii="宋体" w:hAnsi="宋体" w:eastAsia="宋体" w:cs="宋体"/>
          <w:spacing w:val="-22"/>
          <w:sz w:val="20"/>
          <w:szCs w:val="20"/>
        </w:rPr>
        <w:t xml:space="preserve"> </w:t>
      </w:r>
      <w:r>
        <w:rPr>
          <w:rFonts w:ascii="宋体" w:hAnsi="宋体" w:eastAsia="宋体" w:cs="宋体"/>
          <w:spacing w:val="7"/>
          <w:sz w:val="20"/>
          <w:szCs w:val="20"/>
        </w:rPr>
        <w:t>承包人擅自更换主要施工管理人员的违约责任：</w:t>
      </w:r>
    </w:p>
    <w:p w14:paraId="26DFD9E4">
      <w:pPr>
        <w:spacing w:line="264" w:lineRule="auto"/>
        <w:rPr>
          <w:rFonts w:ascii="Arial"/>
          <w:sz w:val="21"/>
        </w:rPr>
      </w:pPr>
    </w:p>
    <w:p w14:paraId="0E65F31C">
      <w:pPr>
        <w:tabs>
          <w:tab w:val="left" w:pos="8395"/>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10"/>
          <w:sz w:val="7"/>
          <w:szCs w:val="7"/>
        </w:rPr>
        <w:t xml:space="preserve">   。</w:t>
      </w:r>
    </w:p>
    <w:p w14:paraId="5FEA9D68">
      <w:pPr>
        <w:spacing w:before="200" w:line="228" w:lineRule="auto"/>
        <w:ind w:left="424"/>
        <w:rPr>
          <w:rFonts w:ascii="宋体" w:hAnsi="宋体" w:eastAsia="宋体" w:cs="宋体"/>
          <w:sz w:val="20"/>
          <w:szCs w:val="20"/>
        </w:rPr>
      </w:pPr>
      <w:r>
        <w:rPr>
          <w:rFonts w:ascii="宋体" w:hAnsi="宋体" w:eastAsia="宋体" w:cs="宋体"/>
          <w:spacing w:val="9"/>
          <w:sz w:val="20"/>
          <w:szCs w:val="20"/>
        </w:rPr>
        <w:t>承包人主要施工管理人员擅自离开施工现场的违约责任：</w:t>
      </w:r>
    </w:p>
    <w:p w14:paraId="229BEDCA">
      <w:pPr>
        <w:spacing w:before="286" w:line="45" w:lineRule="exact"/>
        <w:jc w:val="right"/>
        <w:rPr>
          <w:rFonts w:ascii="宋体" w:hAnsi="宋体" w:eastAsia="宋体" w:cs="宋体"/>
          <w:sz w:val="20"/>
          <w:szCs w:val="20"/>
        </w:rPr>
      </w:pPr>
      <w:r>
        <w:pict>
          <v:shape id="_x0000_s1057" o:spid="_x0000_s1057" o:spt="202" type="#_x0000_t202" style="position:absolute;left:0pt;margin-left:19.75pt;margin-top:6.95pt;height:14.1pt;width:406.25pt;z-index:251699200;mso-width-relative:page;mso-height-relative:page;" filled="f" stroked="f" coordsize="21600,21600">
            <v:path/>
            <v:fill on="f" focussize="0,0"/>
            <v:stroke on="f"/>
            <v:imagedata o:title=""/>
            <o:lock v:ext="edit" aspectratio="f"/>
            <v:textbox inset="0mm,0mm,0mm,0mm">
              <w:txbxContent>
                <w:p w14:paraId="672E4EE3">
                  <w:pPr>
                    <w:tabs>
                      <w:tab w:val="left" w:pos="8104"/>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332D6FEA">
      <w:pPr>
        <w:pStyle w:val="2"/>
        <w:spacing w:before="194" w:line="222" w:lineRule="auto"/>
        <w:rPr>
          <w:sz w:val="24"/>
          <w:szCs w:val="24"/>
        </w:rPr>
      </w:pPr>
      <w:r>
        <w:rPr>
          <w:rFonts w:ascii="Times New Roman" w:hAnsi="Times New Roman" w:eastAsia="Times New Roman" w:cs="Times New Roman"/>
          <w:b/>
          <w:bCs/>
          <w:spacing w:val="-5"/>
          <w:sz w:val="24"/>
          <w:szCs w:val="24"/>
        </w:rPr>
        <w:t>3.5</w:t>
      </w:r>
      <w:r>
        <w:rPr>
          <w:rFonts w:ascii="Times New Roman" w:hAnsi="Times New Roman" w:eastAsia="Times New Roman" w:cs="Times New Roman"/>
          <w:b/>
          <w:bCs/>
          <w:spacing w:val="7"/>
          <w:sz w:val="24"/>
          <w:szCs w:val="24"/>
        </w:rPr>
        <w:t xml:space="preserve">  </w:t>
      </w:r>
      <w:r>
        <w:rPr>
          <w:b/>
          <w:bCs/>
          <w:spacing w:val="-5"/>
          <w:sz w:val="24"/>
          <w:szCs w:val="24"/>
        </w:rPr>
        <w:t>分包</w:t>
      </w:r>
    </w:p>
    <w:p w14:paraId="475FC3B7">
      <w:pPr>
        <w:spacing w:before="139" w:line="228" w:lineRule="auto"/>
        <w:ind w:left="428"/>
        <w:rPr>
          <w:rFonts w:ascii="宋体" w:hAnsi="宋体" w:eastAsia="宋体" w:cs="宋体"/>
          <w:sz w:val="20"/>
          <w:szCs w:val="20"/>
        </w:rPr>
      </w:pPr>
      <w:r>
        <w:rPr>
          <w:rFonts w:ascii="宋体" w:hAnsi="宋体" w:eastAsia="宋体" w:cs="宋体"/>
          <w:spacing w:val="6"/>
          <w:sz w:val="20"/>
          <w:szCs w:val="20"/>
        </w:rPr>
        <w:t>3.5.1 分包的一般约定</w:t>
      </w:r>
    </w:p>
    <w:p w14:paraId="170B4BB5">
      <w:pPr>
        <w:spacing w:before="151" w:line="228" w:lineRule="auto"/>
        <w:ind w:left="424"/>
        <w:rPr>
          <w:rFonts w:ascii="宋体" w:hAnsi="宋体" w:eastAsia="宋体" w:cs="宋体"/>
          <w:sz w:val="20"/>
          <w:szCs w:val="20"/>
        </w:rPr>
      </w:pPr>
      <w:r>
        <w:rPr>
          <w:rFonts w:ascii="宋体" w:hAnsi="宋体" w:eastAsia="宋体" w:cs="宋体"/>
          <w:spacing w:val="8"/>
          <w:sz w:val="20"/>
          <w:szCs w:val="20"/>
        </w:rPr>
        <w:t>禁止分包的工程包括：</w:t>
      </w:r>
    </w:p>
    <w:p w14:paraId="6630D7FB">
      <w:pPr>
        <w:spacing w:line="264" w:lineRule="auto"/>
        <w:rPr>
          <w:rFonts w:ascii="Arial"/>
          <w:sz w:val="21"/>
        </w:rPr>
      </w:pPr>
    </w:p>
    <w:p w14:paraId="3ACF0F8E">
      <w:pPr>
        <w:tabs>
          <w:tab w:val="left" w:pos="8395"/>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EFB5BA6">
      <w:pPr>
        <w:spacing w:before="201" w:line="228" w:lineRule="auto"/>
        <w:ind w:left="425"/>
        <w:rPr>
          <w:rFonts w:ascii="宋体" w:hAnsi="宋体" w:eastAsia="宋体" w:cs="宋体"/>
          <w:sz w:val="20"/>
          <w:szCs w:val="20"/>
        </w:rPr>
      </w:pPr>
      <w:r>
        <w:rPr>
          <w:rFonts w:ascii="宋体" w:hAnsi="宋体" w:eastAsia="宋体" w:cs="宋体"/>
          <w:spacing w:val="8"/>
          <w:sz w:val="20"/>
          <w:szCs w:val="20"/>
        </w:rPr>
        <w:t>主体结构、关键性工作的范围：</w:t>
      </w:r>
    </w:p>
    <w:p w14:paraId="0E5589A5">
      <w:pPr>
        <w:tabs>
          <w:tab w:val="left" w:pos="8604"/>
        </w:tabs>
        <w:spacing w:before="159"/>
        <w:ind w:left="415"/>
        <w:rPr>
          <w:rFonts w:ascii="Arial"/>
          <w:sz w:val="21"/>
        </w:rPr>
      </w:pPr>
      <w:r>
        <w:rPr>
          <w:rFonts w:ascii="Arial" w:hAnsi="Arial" w:eastAsia="Arial" w:cs="Arial"/>
          <w:sz w:val="21"/>
          <w:szCs w:val="21"/>
          <w:u w:val="single" w:color="auto"/>
        </w:rPr>
        <w:tab/>
      </w:r>
    </w:p>
    <w:p w14:paraId="4CA1892D">
      <w:pPr>
        <w:spacing w:line="262" w:lineRule="auto"/>
        <w:rPr>
          <w:rFonts w:ascii="Arial"/>
          <w:sz w:val="21"/>
        </w:rPr>
      </w:pPr>
    </w:p>
    <w:p w14:paraId="0B65CA2C">
      <w:pPr>
        <w:tabs>
          <w:tab w:val="left" w:pos="8395"/>
        </w:tabs>
        <w:spacing w:before="22"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3A1119C">
      <w:pPr>
        <w:spacing w:before="201" w:line="228" w:lineRule="auto"/>
        <w:ind w:left="428"/>
        <w:rPr>
          <w:rFonts w:ascii="宋体" w:hAnsi="宋体" w:eastAsia="宋体" w:cs="宋体"/>
          <w:sz w:val="20"/>
          <w:szCs w:val="20"/>
        </w:rPr>
      </w:pPr>
      <w:r>
        <w:rPr>
          <w:rFonts w:ascii="宋体" w:hAnsi="宋体" w:eastAsia="宋体" w:cs="宋体"/>
          <w:spacing w:val="5"/>
          <w:sz w:val="20"/>
          <w:szCs w:val="20"/>
        </w:rPr>
        <w:t>3.5.2</w:t>
      </w:r>
      <w:r>
        <w:rPr>
          <w:rFonts w:ascii="宋体" w:hAnsi="宋体" w:eastAsia="宋体" w:cs="宋体"/>
          <w:spacing w:val="-38"/>
          <w:sz w:val="20"/>
          <w:szCs w:val="20"/>
        </w:rPr>
        <w:t xml:space="preserve"> </w:t>
      </w:r>
      <w:r>
        <w:rPr>
          <w:rFonts w:ascii="宋体" w:hAnsi="宋体" w:eastAsia="宋体" w:cs="宋体"/>
          <w:spacing w:val="5"/>
          <w:sz w:val="20"/>
          <w:szCs w:val="20"/>
        </w:rPr>
        <w:t>分包的确定</w:t>
      </w:r>
    </w:p>
    <w:p w14:paraId="007A81BD">
      <w:pPr>
        <w:spacing w:before="151" w:line="228" w:lineRule="auto"/>
        <w:ind w:left="431"/>
        <w:rPr>
          <w:rFonts w:ascii="宋体" w:hAnsi="宋体" w:eastAsia="宋体" w:cs="宋体"/>
          <w:sz w:val="20"/>
          <w:szCs w:val="20"/>
        </w:rPr>
      </w:pPr>
      <w:r>
        <w:rPr>
          <w:rFonts w:ascii="宋体" w:hAnsi="宋体" w:eastAsia="宋体" w:cs="宋体"/>
          <w:spacing w:val="7"/>
          <w:sz w:val="20"/>
          <w:szCs w:val="20"/>
        </w:rPr>
        <w:t>允许分包的专业工程包括：</w:t>
      </w:r>
    </w:p>
    <w:p w14:paraId="7EEB6766">
      <w:pPr>
        <w:spacing w:line="264" w:lineRule="auto"/>
        <w:rPr>
          <w:rFonts w:ascii="Arial"/>
          <w:sz w:val="21"/>
        </w:rPr>
      </w:pPr>
    </w:p>
    <w:p w14:paraId="39E583DE">
      <w:pPr>
        <w:tabs>
          <w:tab w:val="left" w:pos="8395"/>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AAFC8E6">
      <w:pPr>
        <w:spacing w:before="201" w:line="228" w:lineRule="auto"/>
        <w:ind w:left="425"/>
        <w:rPr>
          <w:rFonts w:ascii="宋体" w:hAnsi="宋体" w:eastAsia="宋体" w:cs="宋体"/>
          <w:sz w:val="20"/>
          <w:szCs w:val="20"/>
        </w:rPr>
      </w:pPr>
      <w:r>
        <w:rPr>
          <w:rFonts w:ascii="宋体" w:hAnsi="宋体" w:eastAsia="宋体" w:cs="宋体"/>
          <w:spacing w:val="7"/>
          <w:sz w:val="20"/>
          <w:szCs w:val="20"/>
        </w:rPr>
        <w:t>其他关于分包的约定：</w:t>
      </w:r>
    </w:p>
    <w:p w14:paraId="2E070F9C">
      <w:pPr>
        <w:tabs>
          <w:tab w:val="left" w:pos="8500"/>
        </w:tabs>
        <w:spacing w:before="159"/>
        <w:ind w:left="309"/>
        <w:rPr>
          <w:rFonts w:ascii="Arial"/>
          <w:sz w:val="21"/>
        </w:rPr>
      </w:pPr>
      <w:r>
        <w:rPr>
          <w:rFonts w:ascii="Arial" w:hAnsi="Arial" w:eastAsia="Arial" w:cs="Arial"/>
          <w:sz w:val="21"/>
          <w:szCs w:val="21"/>
          <w:u w:val="single" w:color="auto"/>
        </w:rPr>
        <w:tab/>
      </w:r>
    </w:p>
    <w:p w14:paraId="5B2131F3">
      <w:pPr>
        <w:spacing w:line="262" w:lineRule="auto"/>
        <w:rPr>
          <w:rFonts w:ascii="Arial"/>
          <w:sz w:val="21"/>
        </w:rPr>
      </w:pPr>
    </w:p>
    <w:p w14:paraId="0C205F60">
      <w:pPr>
        <w:tabs>
          <w:tab w:val="left" w:pos="8395"/>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6414843">
      <w:pPr>
        <w:spacing w:before="200" w:line="226" w:lineRule="auto"/>
        <w:ind w:left="428"/>
        <w:rPr>
          <w:rFonts w:ascii="宋体" w:hAnsi="宋体" w:eastAsia="宋体" w:cs="宋体"/>
          <w:sz w:val="20"/>
          <w:szCs w:val="20"/>
        </w:rPr>
      </w:pPr>
      <w:r>
        <w:rPr>
          <w:rFonts w:ascii="宋体" w:hAnsi="宋体" w:eastAsia="宋体" w:cs="宋体"/>
          <w:spacing w:val="6"/>
          <w:sz w:val="20"/>
          <w:szCs w:val="20"/>
        </w:rPr>
        <w:t>3.5.4 分包合同价款</w:t>
      </w:r>
    </w:p>
    <w:p w14:paraId="67362A01">
      <w:pPr>
        <w:spacing w:before="154" w:line="226" w:lineRule="auto"/>
        <w:ind w:left="427"/>
        <w:rPr>
          <w:rFonts w:ascii="宋体" w:hAnsi="宋体" w:eastAsia="宋体" w:cs="宋体"/>
          <w:sz w:val="20"/>
          <w:szCs w:val="20"/>
        </w:rPr>
      </w:pPr>
      <w:r>
        <w:rPr>
          <w:rFonts w:ascii="宋体" w:hAnsi="宋体" w:eastAsia="宋体" w:cs="宋体"/>
          <w:spacing w:val="8"/>
          <w:sz w:val="20"/>
          <w:szCs w:val="20"/>
        </w:rPr>
        <w:t>关于分包合同价款支付的约定：</w:t>
      </w:r>
    </w:p>
    <w:p w14:paraId="1DD2F767">
      <w:pPr>
        <w:spacing w:line="266" w:lineRule="auto"/>
        <w:rPr>
          <w:rFonts w:ascii="Arial"/>
          <w:sz w:val="21"/>
        </w:rPr>
      </w:pPr>
    </w:p>
    <w:p w14:paraId="381E5AAA">
      <w:pPr>
        <w:tabs>
          <w:tab w:val="left" w:pos="8395"/>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EE60FAA">
      <w:pPr>
        <w:pStyle w:val="2"/>
        <w:spacing w:before="173" w:line="222" w:lineRule="auto"/>
        <w:rPr>
          <w:sz w:val="24"/>
          <w:szCs w:val="24"/>
        </w:rPr>
      </w:pPr>
      <w:r>
        <w:rPr>
          <w:rFonts w:ascii="Times New Roman" w:hAnsi="Times New Roman" w:eastAsia="Times New Roman" w:cs="Times New Roman"/>
          <w:b/>
          <w:bCs/>
          <w:spacing w:val="-2"/>
          <w:sz w:val="24"/>
          <w:szCs w:val="24"/>
        </w:rPr>
        <w:t xml:space="preserve">3.6  </w:t>
      </w:r>
      <w:r>
        <w:rPr>
          <w:b/>
          <w:bCs/>
          <w:spacing w:val="-2"/>
          <w:sz w:val="24"/>
          <w:szCs w:val="24"/>
        </w:rPr>
        <w:t>工程照管与成品、半成品保护</w:t>
      </w:r>
    </w:p>
    <w:p w14:paraId="69F4A4E2">
      <w:pPr>
        <w:spacing w:before="137" w:line="227" w:lineRule="auto"/>
        <w:ind w:left="424"/>
        <w:rPr>
          <w:rFonts w:ascii="宋体" w:hAnsi="宋体" w:eastAsia="宋体" w:cs="宋体"/>
          <w:sz w:val="20"/>
          <w:szCs w:val="20"/>
        </w:rPr>
      </w:pPr>
      <w:r>
        <w:rPr>
          <w:rFonts w:ascii="宋体" w:hAnsi="宋体" w:eastAsia="宋体" w:cs="宋体"/>
          <w:spacing w:val="9"/>
          <w:sz w:val="20"/>
          <w:szCs w:val="20"/>
        </w:rPr>
        <w:t>承包人负责照管工程及工程相关的材料、工程设备的起始时间：</w:t>
      </w:r>
    </w:p>
    <w:p w14:paraId="071C8FAF">
      <w:pPr>
        <w:spacing w:line="265" w:lineRule="auto"/>
        <w:rPr>
          <w:rFonts w:ascii="Arial"/>
          <w:sz w:val="21"/>
        </w:rPr>
      </w:pPr>
    </w:p>
    <w:p w14:paraId="34359D19">
      <w:pPr>
        <w:tabs>
          <w:tab w:val="left" w:pos="8395"/>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9518EAC">
      <w:pPr>
        <w:pStyle w:val="2"/>
        <w:spacing w:before="173" w:line="222" w:lineRule="auto"/>
        <w:rPr>
          <w:sz w:val="24"/>
          <w:szCs w:val="24"/>
        </w:rPr>
      </w:pPr>
      <w:r>
        <w:rPr>
          <w:rFonts w:ascii="Times New Roman" w:hAnsi="Times New Roman" w:eastAsia="Times New Roman" w:cs="Times New Roman"/>
          <w:b/>
          <w:bCs/>
          <w:spacing w:val="-2"/>
          <w:sz w:val="24"/>
          <w:szCs w:val="24"/>
        </w:rPr>
        <w:t xml:space="preserve">3.7  </w:t>
      </w:r>
      <w:r>
        <w:rPr>
          <w:b/>
          <w:bCs/>
          <w:spacing w:val="-2"/>
          <w:sz w:val="24"/>
          <w:szCs w:val="24"/>
        </w:rPr>
        <w:t>履约担保</w:t>
      </w:r>
    </w:p>
    <w:p w14:paraId="03886D70">
      <w:pPr>
        <w:spacing w:before="137" w:line="227" w:lineRule="auto"/>
        <w:ind w:left="424"/>
        <w:rPr>
          <w:rFonts w:ascii="宋体" w:hAnsi="宋体" w:eastAsia="宋体" w:cs="宋体"/>
          <w:sz w:val="20"/>
          <w:szCs w:val="20"/>
        </w:rPr>
      </w:pPr>
      <w:r>
        <w:rPr>
          <w:rFonts w:ascii="宋体" w:hAnsi="宋体" w:eastAsia="宋体" w:cs="宋体"/>
          <w:spacing w:val="8"/>
          <w:sz w:val="20"/>
          <w:szCs w:val="20"/>
        </w:rPr>
        <w:t>承包人是否提供履约担保：</w:t>
      </w:r>
    </w:p>
    <w:p w14:paraId="70E3F5D7">
      <w:pPr>
        <w:spacing w:line="265" w:lineRule="auto"/>
        <w:rPr>
          <w:rFonts w:ascii="Arial"/>
          <w:sz w:val="21"/>
        </w:rPr>
      </w:pPr>
    </w:p>
    <w:p w14:paraId="326F1E8E">
      <w:pPr>
        <w:tabs>
          <w:tab w:val="left" w:pos="8395"/>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55A0CDF">
      <w:pPr>
        <w:spacing w:before="201" w:line="227" w:lineRule="auto"/>
        <w:ind w:left="424"/>
        <w:rPr>
          <w:rFonts w:ascii="宋体" w:hAnsi="宋体" w:eastAsia="宋体" w:cs="宋体"/>
          <w:sz w:val="20"/>
          <w:szCs w:val="20"/>
        </w:rPr>
      </w:pPr>
      <w:r>
        <w:rPr>
          <w:rFonts w:ascii="宋体" w:hAnsi="宋体" w:eastAsia="宋体" w:cs="宋体"/>
          <w:spacing w:val="9"/>
          <w:sz w:val="20"/>
          <w:szCs w:val="20"/>
        </w:rPr>
        <w:t>承包人提供履约担保的形式、金额及期限的：</w:t>
      </w:r>
    </w:p>
    <w:p w14:paraId="25384E0B">
      <w:pPr>
        <w:spacing w:before="287" w:line="45" w:lineRule="exact"/>
        <w:ind w:left="8424"/>
        <w:rPr>
          <w:rFonts w:ascii="宋体" w:hAnsi="宋体" w:eastAsia="宋体" w:cs="宋体"/>
          <w:sz w:val="20"/>
          <w:szCs w:val="20"/>
        </w:rPr>
      </w:pPr>
      <w:r>
        <w:pict>
          <v:shape id="_x0000_s1058" o:spid="_x0000_s1058" o:spt="202" type="#_x0000_t202" style="position:absolute;left:0pt;margin-left:19.75pt;margin-top:7pt;height:14.1pt;width:401pt;z-index:251700224;mso-width-relative:page;mso-height-relative:page;" filled="f" stroked="f" coordsize="21600,21600">
            <v:path/>
            <v:fill on="f" focussize="0,0"/>
            <v:stroke on="f"/>
            <v:imagedata o:title=""/>
            <o:lock v:ext="edit" aspectratio="f"/>
            <v:textbox inset="0mm,0mm,0mm,0mm">
              <w:txbxContent>
                <w:p w14:paraId="19E0C3ED">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51B52F0C">
      <w:pPr>
        <w:spacing w:line="45" w:lineRule="exact"/>
        <w:rPr>
          <w:rFonts w:ascii="宋体" w:hAnsi="宋体" w:eastAsia="宋体" w:cs="宋体"/>
          <w:sz w:val="20"/>
          <w:szCs w:val="20"/>
        </w:rPr>
        <w:sectPr>
          <w:headerReference r:id="rId291" w:type="default"/>
          <w:footerReference r:id="rId292" w:type="default"/>
          <w:pgSz w:w="11906" w:h="16839"/>
          <w:pgMar w:top="2344" w:right="1695" w:bottom="1038" w:left="1535" w:header="1502" w:footer="787" w:gutter="0"/>
          <w:cols w:space="720" w:num="1"/>
        </w:sectPr>
      </w:pPr>
    </w:p>
    <w:p w14:paraId="12AE5B60">
      <w:pPr>
        <w:spacing w:line="250" w:lineRule="auto"/>
        <w:rPr>
          <w:rFonts w:ascii="Arial"/>
          <w:sz w:val="21"/>
        </w:rPr>
      </w:pPr>
    </w:p>
    <w:p w14:paraId="5E2D6810">
      <w:pPr>
        <w:spacing w:line="250" w:lineRule="auto"/>
        <w:rPr>
          <w:rFonts w:ascii="Arial"/>
          <w:sz w:val="21"/>
        </w:rPr>
      </w:pPr>
    </w:p>
    <w:p w14:paraId="46393887">
      <w:pPr>
        <w:spacing w:line="250" w:lineRule="auto"/>
        <w:rPr>
          <w:rFonts w:ascii="Arial"/>
          <w:sz w:val="21"/>
        </w:rPr>
      </w:pPr>
    </w:p>
    <w:p w14:paraId="73826417">
      <w:pPr>
        <w:spacing w:line="250" w:lineRule="auto"/>
        <w:rPr>
          <w:rFonts w:ascii="Arial"/>
          <w:sz w:val="21"/>
        </w:rPr>
      </w:pPr>
    </w:p>
    <w:p w14:paraId="742797D3">
      <w:pPr>
        <w:pStyle w:val="2"/>
        <w:spacing w:before="91" w:line="225" w:lineRule="auto"/>
        <w:ind w:left="1"/>
        <w:outlineLvl w:val="2"/>
        <w:rPr>
          <w:sz w:val="28"/>
          <w:szCs w:val="28"/>
        </w:rPr>
      </w:pPr>
      <w:bookmarkStart w:id="287" w:name="bookmark269"/>
      <w:bookmarkEnd w:id="287"/>
      <w:r>
        <w:rPr>
          <w:rFonts w:ascii="Times New Roman" w:hAnsi="Times New Roman" w:eastAsia="Times New Roman" w:cs="Times New Roman"/>
          <w:b/>
          <w:bCs/>
          <w:spacing w:val="-2"/>
          <w:sz w:val="28"/>
          <w:szCs w:val="28"/>
        </w:rPr>
        <w:t xml:space="preserve">4.  </w:t>
      </w:r>
      <w:r>
        <w:rPr>
          <w:b/>
          <w:bCs/>
          <w:spacing w:val="-2"/>
          <w:sz w:val="28"/>
          <w:szCs w:val="28"/>
        </w:rPr>
        <w:t>监理人</w:t>
      </w:r>
    </w:p>
    <w:p w14:paraId="6B1F01DC">
      <w:pPr>
        <w:pStyle w:val="2"/>
        <w:spacing w:before="94" w:line="221" w:lineRule="auto"/>
        <w:rPr>
          <w:sz w:val="24"/>
          <w:szCs w:val="24"/>
        </w:rPr>
      </w:pPr>
      <w:r>
        <w:rPr>
          <w:rFonts w:ascii="Times New Roman" w:hAnsi="Times New Roman" w:eastAsia="Times New Roman" w:cs="Times New Roman"/>
          <w:b/>
          <w:bCs/>
          <w:spacing w:val="-2"/>
          <w:sz w:val="24"/>
          <w:szCs w:val="24"/>
        </w:rPr>
        <w:t xml:space="preserve">4.1 </w:t>
      </w:r>
      <w:r>
        <w:rPr>
          <w:b/>
          <w:bCs/>
          <w:spacing w:val="-2"/>
          <w:sz w:val="24"/>
          <w:szCs w:val="24"/>
        </w:rPr>
        <w:t>监理人的一般规定</w:t>
      </w:r>
    </w:p>
    <w:p w14:paraId="409AA4AC">
      <w:pPr>
        <w:spacing w:before="137" w:line="228" w:lineRule="auto"/>
        <w:ind w:left="425"/>
        <w:rPr>
          <w:rFonts w:ascii="宋体" w:hAnsi="宋体" w:eastAsia="宋体" w:cs="宋体"/>
          <w:sz w:val="20"/>
          <w:szCs w:val="20"/>
        </w:rPr>
      </w:pPr>
      <w:r>
        <w:rPr>
          <w:rFonts w:ascii="宋体" w:hAnsi="宋体" w:eastAsia="宋体" w:cs="宋体"/>
          <w:spacing w:val="7"/>
          <w:sz w:val="20"/>
          <w:szCs w:val="20"/>
        </w:rPr>
        <w:t>关于监理人的监理内容：</w:t>
      </w:r>
    </w:p>
    <w:p w14:paraId="0EB7F71F">
      <w:pPr>
        <w:spacing w:line="264" w:lineRule="auto"/>
        <w:rPr>
          <w:rFonts w:ascii="Arial"/>
          <w:sz w:val="21"/>
        </w:rPr>
      </w:pPr>
    </w:p>
    <w:p w14:paraId="1AAC200A">
      <w:pPr>
        <w:tabs>
          <w:tab w:val="left" w:pos="8392"/>
        </w:tabs>
        <w:spacing w:before="23" w:line="173" w:lineRule="auto"/>
        <w:ind w:left="41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93D63F6">
      <w:pPr>
        <w:spacing w:before="197" w:line="228" w:lineRule="auto"/>
        <w:ind w:left="425"/>
        <w:rPr>
          <w:rFonts w:ascii="宋体" w:hAnsi="宋体" w:eastAsia="宋体" w:cs="宋体"/>
          <w:sz w:val="20"/>
          <w:szCs w:val="20"/>
        </w:rPr>
      </w:pPr>
      <w:r>
        <w:rPr>
          <w:rFonts w:ascii="宋体" w:hAnsi="宋体" w:eastAsia="宋体" w:cs="宋体"/>
          <w:spacing w:val="7"/>
          <w:sz w:val="20"/>
          <w:szCs w:val="20"/>
        </w:rPr>
        <w:t>关于监理人的监理权限：</w:t>
      </w:r>
    </w:p>
    <w:p w14:paraId="64860085">
      <w:pPr>
        <w:spacing w:line="264" w:lineRule="auto"/>
        <w:rPr>
          <w:rFonts w:ascii="Arial"/>
          <w:sz w:val="21"/>
        </w:rPr>
      </w:pPr>
    </w:p>
    <w:p w14:paraId="25DF4EF9">
      <w:pPr>
        <w:tabs>
          <w:tab w:val="left" w:pos="8392"/>
        </w:tabs>
        <w:spacing w:before="23" w:line="173" w:lineRule="auto"/>
        <w:ind w:left="41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723C041">
      <w:pPr>
        <w:spacing w:before="200" w:line="227" w:lineRule="auto"/>
        <w:ind w:left="425"/>
        <w:rPr>
          <w:rFonts w:ascii="宋体" w:hAnsi="宋体" w:eastAsia="宋体" w:cs="宋体"/>
          <w:sz w:val="20"/>
          <w:szCs w:val="20"/>
        </w:rPr>
      </w:pPr>
      <w:r>
        <w:rPr>
          <w:rFonts w:ascii="宋体" w:hAnsi="宋体" w:eastAsia="宋体" w:cs="宋体"/>
          <w:spacing w:val="9"/>
          <w:sz w:val="20"/>
          <w:szCs w:val="20"/>
        </w:rPr>
        <w:t>关于监理人在施工现场的办公场所、生活场所的提供和费用承担的约定：</w:t>
      </w:r>
    </w:p>
    <w:p w14:paraId="57F2A2CB">
      <w:pPr>
        <w:spacing w:before="288" w:line="45" w:lineRule="exact"/>
        <w:ind w:left="8422"/>
        <w:rPr>
          <w:rFonts w:ascii="宋体" w:hAnsi="宋体" w:eastAsia="宋体" w:cs="宋体"/>
          <w:sz w:val="20"/>
          <w:szCs w:val="20"/>
        </w:rPr>
      </w:pPr>
      <w:r>
        <w:pict>
          <v:shape id="_x0000_s1059" o:spid="_x0000_s1059" o:spt="202" type="#_x0000_t202" style="position:absolute;left:0pt;margin-left:19.65pt;margin-top:7pt;height:14.1pt;width:401pt;z-index:251701248;mso-width-relative:page;mso-height-relative:page;" filled="f" stroked="f" coordsize="21600,21600">
            <v:path/>
            <v:fill on="f" focussize="0,0"/>
            <v:stroke on="f"/>
            <v:imagedata o:title=""/>
            <o:lock v:ext="edit" aspectratio="f"/>
            <v:textbox inset="0mm,0mm,0mm,0mm">
              <w:txbxContent>
                <w:p w14:paraId="02E39980">
                  <w:pPr>
                    <w:tabs>
                      <w:tab w:val="left" w:pos="7999"/>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49AA039F">
      <w:pPr>
        <w:pStyle w:val="2"/>
        <w:spacing w:before="194" w:line="221" w:lineRule="auto"/>
        <w:rPr>
          <w:sz w:val="24"/>
          <w:szCs w:val="24"/>
        </w:rPr>
      </w:pPr>
      <w:r>
        <w:rPr>
          <w:rFonts w:ascii="Times New Roman" w:hAnsi="Times New Roman" w:eastAsia="Times New Roman" w:cs="Times New Roman"/>
          <w:b/>
          <w:bCs/>
          <w:spacing w:val="-2"/>
          <w:sz w:val="24"/>
          <w:szCs w:val="24"/>
        </w:rPr>
        <w:t xml:space="preserve">4.2  </w:t>
      </w:r>
      <w:r>
        <w:rPr>
          <w:b/>
          <w:bCs/>
          <w:spacing w:val="-2"/>
          <w:sz w:val="24"/>
          <w:szCs w:val="24"/>
        </w:rPr>
        <w:t>监理人员</w:t>
      </w:r>
    </w:p>
    <w:p w14:paraId="4A921877">
      <w:pPr>
        <w:spacing w:before="140" w:line="228" w:lineRule="auto"/>
        <w:ind w:left="427"/>
        <w:rPr>
          <w:rFonts w:ascii="宋体" w:hAnsi="宋体" w:eastAsia="宋体" w:cs="宋体"/>
          <w:sz w:val="20"/>
          <w:szCs w:val="20"/>
        </w:rPr>
      </w:pPr>
      <w:r>
        <w:rPr>
          <w:rFonts w:ascii="宋体" w:hAnsi="宋体" w:eastAsia="宋体" w:cs="宋体"/>
          <w:spacing w:val="6"/>
          <w:sz w:val="20"/>
          <w:szCs w:val="20"/>
        </w:rPr>
        <w:t>总监理工程师：</w:t>
      </w:r>
    </w:p>
    <w:p w14:paraId="5904B887">
      <w:pPr>
        <w:spacing w:before="151" w:line="228" w:lineRule="auto"/>
        <w:ind w:left="422"/>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7"/>
          <w:sz w:val="20"/>
          <w:szCs w:val="20"/>
        </w:rPr>
        <w:t xml:space="preserve">    </w:t>
      </w:r>
      <w:r>
        <w:rPr>
          <w:rFonts w:ascii="宋体" w:hAnsi="宋体" w:eastAsia="宋体" w:cs="宋体"/>
          <w:spacing w:val="-1"/>
          <w:sz w:val="20"/>
          <w:szCs w:val="20"/>
        </w:rPr>
        <w:t>名</w:t>
      </w:r>
      <w:r>
        <w:rPr>
          <w:rFonts w:ascii="宋体" w:hAnsi="宋体" w:eastAsia="宋体" w:cs="宋体"/>
          <w:spacing w:val="-71"/>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8"/>
          <w:sz w:val="20"/>
          <w:szCs w:val="20"/>
        </w:rPr>
        <w:t>；</w:t>
      </w:r>
    </w:p>
    <w:p w14:paraId="3CAB2949">
      <w:pPr>
        <w:spacing w:before="154" w:line="228" w:lineRule="auto"/>
        <w:ind w:left="422"/>
        <w:rPr>
          <w:rFonts w:ascii="宋体" w:hAnsi="宋体" w:eastAsia="宋体" w:cs="宋体"/>
          <w:sz w:val="20"/>
          <w:szCs w:val="20"/>
        </w:rPr>
      </w:pPr>
      <w:r>
        <w:rPr>
          <w:rFonts w:ascii="宋体" w:hAnsi="宋体" w:eastAsia="宋体" w:cs="宋体"/>
          <w:spacing w:val="-1"/>
          <w:sz w:val="20"/>
          <w:szCs w:val="20"/>
        </w:rPr>
        <w:t>职</w:t>
      </w:r>
      <w:r>
        <w:rPr>
          <w:rFonts w:ascii="宋体" w:hAnsi="宋体" w:eastAsia="宋体" w:cs="宋体"/>
          <w:spacing w:val="7"/>
          <w:sz w:val="20"/>
          <w:szCs w:val="20"/>
        </w:rPr>
        <w:t xml:space="preserve">    </w:t>
      </w:r>
      <w:r>
        <w:rPr>
          <w:rFonts w:ascii="宋体" w:hAnsi="宋体" w:eastAsia="宋体" w:cs="宋体"/>
          <w:spacing w:val="-1"/>
          <w:sz w:val="20"/>
          <w:szCs w:val="20"/>
        </w:rPr>
        <w:t>务</w:t>
      </w:r>
      <w:r>
        <w:rPr>
          <w:rFonts w:ascii="宋体" w:hAnsi="宋体" w:eastAsia="宋体" w:cs="宋体"/>
          <w:spacing w:val="-72"/>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8"/>
          <w:sz w:val="20"/>
          <w:szCs w:val="20"/>
        </w:rPr>
        <w:t>；</w:t>
      </w:r>
    </w:p>
    <w:p w14:paraId="69270F9C">
      <w:pPr>
        <w:spacing w:before="154" w:line="227" w:lineRule="auto"/>
        <w:ind w:left="422"/>
        <w:rPr>
          <w:rFonts w:ascii="宋体" w:hAnsi="宋体" w:eastAsia="宋体" w:cs="宋体"/>
          <w:sz w:val="20"/>
          <w:szCs w:val="20"/>
        </w:rPr>
      </w:pPr>
      <w:r>
        <w:rPr>
          <w:rFonts w:ascii="宋体" w:hAnsi="宋体" w:eastAsia="宋体" w:cs="宋体"/>
          <w:spacing w:val="9"/>
          <w:sz w:val="20"/>
          <w:szCs w:val="20"/>
        </w:rPr>
        <w:t>监理工程师执业资格证书号</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A91DB47">
      <w:pPr>
        <w:spacing w:before="152" w:line="230" w:lineRule="auto"/>
        <w:ind w:left="422"/>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23006D06">
      <w:pPr>
        <w:spacing w:before="152" w:line="228" w:lineRule="auto"/>
        <w:ind w:left="446"/>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21DB41FE">
      <w:pPr>
        <w:spacing w:before="154" w:line="228" w:lineRule="auto"/>
        <w:ind w:left="422"/>
        <w:rPr>
          <w:rFonts w:ascii="宋体" w:hAnsi="宋体" w:eastAsia="宋体" w:cs="宋体"/>
          <w:sz w:val="20"/>
          <w:szCs w:val="20"/>
        </w:rPr>
      </w:pPr>
      <w:r>
        <w:rPr>
          <w:rFonts w:ascii="宋体" w:hAnsi="宋体" w:eastAsia="宋体" w:cs="宋体"/>
          <w:spacing w:val="7"/>
          <w:sz w:val="20"/>
          <w:szCs w:val="20"/>
        </w:rPr>
        <w:t>通信地址</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66C3B551">
      <w:pPr>
        <w:spacing w:before="152" w:line="228" w:lineRule="auto"/>
        <w:ind w:left="425"/>
        <w:rPr>
          <w:rFonts w:ascii="宋体" w:hAnsi="宋体" w:eastAsia="宋体" w:cs="宋体"/>
          <w:sz w:val="20"/>
          <w:szCs w:val="20"/>
        </w:rPr>
      </w:pPr>
      <w:r>
        <w:rPr>
          <w:rFonts w:ascii="宋体" w:hAnsi="宋体" w:eastAsia="宋体" w:cs="宋体"/>
          <w:spacing w:val="6"/>
          <w:sz w:val="20"/>
          <w:szCs w:val="20"/>
        </w:rPr>
        <w:t>关于监理人的其他约定：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0A37F4C">
      <w:pPr>
        <w:pStyle w:val="2"/>
        <w:spacing w:before="126" w:line="222" w:lineRule="auto"/>
        <w:rPr>
          <w:sz w:val="24"/>
          <w:szCs w:val="24"/>
        </w:rPr>
      </w:pPr>
      <w:r>
        <w:rPr>
          <w:rFonts w:ascii="Times New Roman" w:hAnsi="Times New Roman" w:eastAsia="Times New Roman" w:cs="Times New Roman"/>
          <w:b/>
          <w:bCs/>
          <w:spacing w:val="-4"/>
          <w:sz w:val="24"/>
          <w:szCs w:val="24"/>
        </w:rPr>
        <w:t>4.4</w:t>
      </w:r>
      <w:r>
        <w:rPr>
          <w:rFonts w:ascii="Times New Roman" w:hAnsi="Times New Roman" w:eastAsia="Times New Roman" w:cs="Times New Roman"/>
          <w:b/>
          <w:bCs/>
          <w:spacing w:val="8"/>
          <w:sz w:val="24"/>
          <w:szCs w:val="24"/>
        </w:rPr>
        <w:t xml:space="preserve">  </w:t>
      </w:r>
      <w:r>
        <w:rPr>
          <w:b/>
          <w:bCs/>
          <w:spacing w:val="-4"/>
          <w:sz w:val="24"/>
          <w:szCs w:val="24"/>
        </w:rPr>
        <w:t>商定或确定</w:t>
      </w:r>
    </w:p>
    <w:p w14:paraId="1BF86A31">
      <w:pPr>
        <w:spacing w:before="139" w:line="228" w:lineRule="auto"/>
        <w:jc w:val="right"/>
        <w:rPr>
          <w:rFonts w:ascii="宋体" w:hAnsi="宋体" w:eastAsia="宋体" w:cs="宋体"/>
          <w:sz w:val="20"/>
          <w:szCs w:val="20"/>
        </w:rPr>
      </w:pPr>
      <w:r>
        <w:rPr>
          <w:rFonts w:ascii="宋体" w:hAnsi="宋体" w:eastAsia="宋体" w:cs="宋体"/>
          <w:spacing w:val="8"/>
          <w:sz w:val="20"/>
          <w:szCs w:val="20"/>
        </w:rPr>
        <w:t>在发包人和承包人不能通过协商达成一致意见时，发包人授权监理人对以下事项进行确定：</w:t>
      </w:r>
    </w:p>
    <w:p w14:paraId="6BEAB79C">
      <w:pPr>
        <w:spacing w:before="152" w:line="370" w:lineRule="auto"/>
        <w:ind w:left="432" w:right="3989"/>
        <w:rPr>
          <w:rFonts w:ascii="宋体" w:hAnsi="宋体" w:eastAsia="宋体" w:cs="宋体"/>
          <w:sz w:val="20"/>
          <w:szCs w:val="20"/>
        </w:rPr>
      </w:pPr>
      <w:r>
        <w:rPr>
          <w:rFonts w:ascii="宋体" w:hAnsi="宋体" w:eastAsia="宋体" w:cs="宋体"/>
          <w:spacing w:val="-3"/>
          <w:sz w:val="20"/>
          <w:szCs w:val="20"/>
        </w:rPr>
        <w:t>（1</w:t>
      </w:r>
      <w:r>
        <w:rPr>
          <w:rFonts w:ascii="宋体" w:hAnsi="宋体" w:eastAsia="宋体" w:cs="宋体"/>
          <w:spacing w:val="-17"/>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7"/>
          <w:sz w:val="20"/>
          <w:szCs w:val="20"/>
        </w:rPr>
        <w:t>；</w:t>
      </w:r>
      <w:r>
        <w:rPr>
          <w:rFonts w:ascii="宋体" w:hAnsi="宋体" w:eastAsia="宋体" w:cs="宋体"/>
          <w:spacing w:val="4"/>
          <w:sz w:val="20"/>
          <w:szCs w:val="20"/>
        </w:rPr>
        <w:t xml:space="preserve"> </w:t>
      </w:r>
      <w:r>
        <w:rPr>
          <w:rFonts w:ascii="宋体" w:hAnsi="宋体" w:eastAsia="宋体" w:cs="宋体"/>
          <w:spacing w:val="-3"/>
          <w:sz w:val="20"/>
          <w:szCs w:val="20"/>
        </w:rPr>
        <w:t>（2</w:t>
      </w:r>
      <w:r>
        <w:rPr>
          <w:rFonts w:ascii="宋体" w:hAnsi="宋体" w:eastAsia="宋体" w:cs="宋体"/>
          <w:spacing w:val="-17"/>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7"/>
          <w:sz w:val="20"/>
          <w:szCs w:val="20"/>
        </w:rPr>
        <w:t>；</w:t>
      </w:r>
    </w:p>
    <w:p w14:paraId="73F6704D">
      <w:pPr>
        <w:spacing w:before="1" w:line="239" w:lineRule="auto"/>
        <w:ind w:left="432"/>
        <w:rPr>
          <w:rFonts w:ascii="宋体" w:hAnsi="宋体" w:eastAsia="宋体" w:cs="宋体"/>
          <w:sz w:val="20"/>
          <w:szCs w:val="20"/>
        </w:rPr>
      </w:pPr>
      <w:r>
        <w:rPr>
          <w:rFonts w:ascii="宋体" w:hAnsi="宋体" w:eastAsia="宋体" w:cs="宋体"/>
          <w:spacing w:val="1"/>
          <w:sz w:val="20"/>
          <w:szCs w:val="20"/>
        </w:rPr>
        <w:t>（3）</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w:t>
      </w:r>
    </w:p>
    <w:p w14:paraId="4ACB2F3C">
      <w:pPr>
        <w:pStyle w:val="2"/>
        <w:spacing w:before="178" w:line="222" w:lineRule="auto"/>
        <w:ind w:left="3"/>
        <w:outlineLvl w:val="2"/>
        <w:rPr>
          <w:sz w:val="28"/>
          <w:szCs w:val="28"/>
        </w:rPr>
      </w:pPr>
      <w:bookmarkStart w:id="288" w:name="bookmark270"/>
      <w:bookmarkEnd w:id="288"/>
      <w:r>
        <w:rPr>
          <w:rFonts w:ascii="Times New Roman" w:hAnsi="Times New Roman" w:eastAsia="Times New Roman" w:cs="Times New Roman"/>
          <w:b/>
          <w:bCs/>
          <w:spacing w:val="-3"/>
          <w:sz w:val="28"/>
          <w:szCs w:val="28"/>
        </w:rPr>
        <w:t xml:space="preserve">5.  </w:t>
      </w:r>
      <w:r>
        <w:rPr>
          <w:b/>
          <w:bCs/>
          <w:spacing w:val="-3"/>
          <w:sz w:val="28"/>
          <w:szCs w:val="28"/>
        </w:rPr>
        <w:t>工程质量</w:t>
      </w:r>
    </w:p>
    <w:p w14:paraId="6242426E">
      <w:pPr>
        <w:pStyle w:val="2"/>
        <w:spacing w:before="99" w:line="222" w:lineRule="auto"/>
        <w:ind w:left="2"/>
        <w:rPr>
          <w:sz w:val="24"/>
          <w:szCs w:val="24"/>
        </w:rPr>
      </w:pPr>
      <w:r>
        <w:rPr>
          <w:rFonts w:ascii="Times New Roman" w:hAnsi="Times New Roman" w:eastAsia="Times New Roman" w:cs="Times New Roman"/>
          <w:b/>
          <w:bCs/>
          <w:spacing w:val="-4"/>
          <w:sz w:val="24"/>
          <w:szCs w:val="24"/>
        </w:rPr>
        <w:t>5.1</w:t>
      </w:r>
      <w:r>
        <w:rPr>
          <w:rFonts w:ascii="Times New Roman" w:hAnsi="Times New Roman" w:eastAsia="Times New Roman" w:cs="Times New Roman"/>
          <w:b/>
          <w:bCs/>
          <w:spacing w:val="5"/>
          <w:sz w:val="24"/>
          <w:szCs w:val="24"/>
        </w:rPr>
        <w:t xml:space="preserve">  </w:t>
      </w:r>
      <w:r>
        <w:rPr>
          <w:b/>
          <w:bCs/>
          <w:spacing w:val="-4"/>
          <w:sz w:val="24"/>
          <w:szCs w:val="24"/>
        </w:rPr>
        <w:t>质量要求</w:t>
      </w:r>
    </w:p>
    <w:p w14:paraId="736B698A">
      <w:pPr>
        <w:spacing w:before="136" w:line="228" w:lineRule="auto"/>
        <w:ind w:left="426"/>
        <w:rPr>
          <w:rFonts w:ascii="宋体" w:hAnsi="宋体" w:eastAsia="宋体" w:cs="宋体"/>
          <w:sz w:val="20"/>
          <w:szCs w:val="20"/>
        </w:rPr>
      </w:pPr>
      <w:r>
        <w:rPr>
          <w:rFonts w:ascii="宋体" w:hAnsi="宋体" w:eastAsia="宋体" w:cs="宋体"/>
          <w:spacing w:val="6"/>
          <w:sz w:val="20"/>
          <w:szCs w:val="20"/>
        </w:rPr>
        <w:t>5.1.1 特殊质量标准和要求：</w:t>
      </w:r>
    </w:p>
    <w:p w14:paraId="2A5EC527">
      <w:pPr>
        <w:spacing w:line="264" w:lineRule="auto"/>
        <w:rPr>
          <w:rFonts w:ascii="Arial"/>
          <w:sz w:val="21"/>
        </w:rPr>
      </w:pPr>
    </w:p>
    <w:p w14:paraId="33C7D010">
      <w:pPr>
        <w:tabs>
          <w:tab w:val="left" w:pos="8392"/>
        </w:tabs>
        <w:spacing w:before="23" w:line="173" w:lineRule="auto"/>
        <w:ind w:left="41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B455379">
      <w:pPr>
        <w:spacing w:before="201" w:line="228" w:lineRule="auto"/>
        <w:ind w:left="425"/>
        <w:rPr>
          <w:rFonts w:ascii="宋体" w:hAnsi="宋体" w:eastAsia="宋体" w:cs="宋体"/>
          <w:sz w:val="20"/>
          <w:szCs w:val="20"/>
        </w:rPr>
      </w:pPr>
      <w:r>
        <w:rPr>
          <w:rFonts w:ascii="宋体" w:hAnsi="宋体" w:eastAsia="宋体" w:cs="宋体"/>
          <w:spacing w:val="7"/>
          <w:sz w:val="20"/>
          <w:szCs w:val="20"/>
        </w:rPr>
        <w:t>关于工程奖项的约定：</w:t>
      </w:r>
    </w:p>
    <w:p w14:paraId="5DEF1CD3">
      <w:pPr>
        <w:spacing w:before="286" w:line="45" w:lineRule="exact"/>
        <w:ind w:left="8422"/>
        <w:rPr>
          <w:rFonts w:ascii="宋体" w:hAnsi="宋体" w:eastAsia="宋体" w:cs="宋体"/>
          <w:sz w:val="20"/>
          <w:szCs w:val="20"/>
        </w:rPr>
      </w:pPr>
      <w:r>
        <w:pict>
          <v:shape id="_x0000_s1060" o:spid="_x0000_s1060" o:spt="202" type="#_x0000_t202" style="position:absolute;left:0pt;margin-left:19.65pt;margin-top:6.9pt;height:14.1pt;width:401pt;z-index:251702272;mso-width-relative:page;mso-height-relative:page;" filled="f" stroked="f" coordsize="21600,21600">
            <v:path/>
            <v:fill on="f" focussize="0,0"/>
            <v:stroke on="f"/>
            <v:imagedata o:title=""/>
            <o:lock v:ext="edit" aspectratio="f"/>
            <v:textbox inset="0mm,0mm,0mm,0mm">
              <w:txbxContent>
                <w:p w14:paraId="37935AA0">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7715DECD">
      <w:pPr>
        <w:pStyle w:val="2"/>
        <w:spacing w:before="193" w:line="222" w:lineRule="auto"/>
        <w:ind w:left="2"/>
        <w:rPr>
          <w:sz w:val="24"/>
          <w:szCs w:val="24"/>
        </w:rPr>
      </w:pPr>
      <w:r>
        <w:rPr>
          <w:rFonts w:ascii="Times New Roman" w:hAnsi="Times New Roman" w:eastAsia="Times New Roman" w:cs="Times New Roman"/>
          <w:b/>
          <w:bCs/>
          <w:spacing w:val="-4"/>
          <w:sz w:val="24"/>
          <w:szCs w:val="24"/>
        </w:rPr>
        <w:t>5.3</w:t>
      </w:r>
      <w:r>
        <w:rPr>
          <w:rFonts w:ascii="Times New Roman" w:hAnsi="Times New Roman" w:eastAsia="Times New Roman" w:cs="Times New Roman"/>
          <w:b/>
          <w:bCs/>
          <w:spacing w:val="8"/>
          <w:sz w:val="24"/>
          <w:szCs w:val="24"/>
        </w:rPr>
        <w:t xml:space="preserve">  </w:t>
      </w:r>
      <w:r>
        <w:rPr>
          <w:b/>
          <w:bCs/>
          <w:spacing w:val="-4"/>
          <w:sz w:val="24"/>
          <w:szCs w:val="24"/>
        </w:rPr>
        <w:t>隐蔽工程检查</w:t>
      </w:r>
    </w:p>
    <w:p w14:paraId="228C902B">
      <w:pPr>
        <w:spacing w:before="139" w:line="228" w:lineRule="auto"/>
        <w:ind w:left="426"/>
        <w:rPr>
          <w:rFonts w:ascii="宋体" w:hAnsi="宋体" w:eastAsia="宋体" w:cs="宋体"/>
          <w:sz w:val="20"/>
          <w:szCs w:val="20"/>
        </w:rPr>
      </w:pPr>
      <w:r>
        <w:rPr>
          <w:rFonts w:ascii="宋体" w:hAnsi="宋体" w:eastAsia="宋体" w:cs="宋体"/>
          <w:spacing w:val="8"/>
          <w:sz w:val="20"/>
          <w:szCs w:val="20"/>
        </w:rPr>
        <w:t>5.3.2</w:t>
      </w:r>
      <w:r>
        <w:rPr>
          <w:rFonts w:ascii="宋体" w:hAnsi="宋体" w:eastAsia="宋体" w:cs="宋体"/>
          <w:spacing w:val="-40"/>
          <w:sz w:val="20"/>
          <w:szCs w:val="20"/>
        </w:rPr>
        <w:t xml:space="preserve"> </w:t>
      </w:r>
      <w:r>
        <w:rPr>
          <w:rFonts w:ascii="宋体" w:hAnsi="宋体" w:eastAsia="宋体" w:cs="宋体"/>
          <w:spacing w:val="8"/>
          <w:sz w:val="20"/>
          <w:szCs w:val="20"/>
        </w:rPr>
        <w:t>承包人提前通知监理人隐蔽工程检查的期限</w:t>
      </w:r>
      <w:r>
        <w:rPr>
          <w:rFonts w:ascii="宋体" w:hAnsi="宋体" w:eastAsia="宋体" w:cs="宋体"/>
          <w:spacing w:val="7"/>
          <w:sz w:val="20"/>
          <w:szCs w:val="20"/>
        </w:rPr>
        <w:t>的约定：</w:t>
      </w:r>
    </w:p>
    <w:p w14:paraId="226DE988">
      <w:pPr>
        <w:spacing w:line="262" w:lineRule="auto"/>
        <w:rPr>
          <w:rFonts w:ascii="Arial"/>
          <w:sz w:val="21"/>
        </w:rPr>
      </w:pPr>
    </w:p>
    <w:p w14:paraId="173D3990">
      <w:pPr>
        <w:tabs>
          <w:tab w:val="left" w:pos="8392"/>
        </w:tabs>
        <w:spacing w:before="23" w:line="173" w:lineRule="auto"/>
        <w:ind w:left="41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11DEA1C">
      <w:pPr>
        <w:spacing w:before="201" w:line="227" w:lineRule="auto"/>
        <w:ind w:left="422"/>
        <w:rPr>
          <w:rFonts w:ascii="宋体" w:hAnsi="宋体" w:eastAsia="宋体" w:cs="宋体"/>
          <w:sz w:val="20"/>
          <w:szCs w:val="20"/>
        </w:rPr>
      </w:pPr>
      <w:r>
        <w:rPr>
          <w:rFonts w:ascii="宋体" w:hAnsi="宋体" w:eastAsia="宋体" w:cs="宋体"/>
          <w:spacing w:val="8"/>
          <w:sz w:val="20"/>
          <w:szCs w:val="20"/>
        </w:rPr>
        <w:t>监理人不能按时进行检查时，应提前</w:t>
      </w:r>
      <w:r>
        <w:rPr>
          <w:rFonts w:ascii="宋体" w:hAnsi="宋体" w:eastAsia="宋体" w:cs="宋体"/>
          <w:spacing w:val="-83"/>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8"/>
          <w:sz w:val="20"/>
          <w:szCs w:val="20"/>
        </w:rPr>
        <w:t>小时提交书面延期要求。</w:t>
      </w:r>
    </w:p>
    <w:p w14:paraId="201A2B3F">
      <w:pPr>
        <w:spacing w:before="154" w:line="228" w:lineRule="auto"/>
        <w:ind w:left="425"/>
        <w:rPr>
          <w:rFonts w:ascii="宋体" w:hAnsi="宋体" w:eastAsia="宋体" w:cs="宋体"/>
          <w:sz w:val="20"/>
          <w:szCs w:val="20"/>
        </w:rPr>
      </w:pPr>
      <w:r>
        <w:rPr>
          <w:rFonts w:ascii="宋体" w:hAnsi="宋体" w:eastAsia="宋体" w:cs="宋体"/>
          <w:spacing w:val="6"/>
          <w:sz w:val="20"/>
          <w:szCs w:val="20"/>
        </w:rPr>
        <w:t>关于延期最长不得超过：</w:t>
      </w:r>
      <w:r>
        <w:rPr>
          <w:rFonts w:ascii="宋体" w:hAnsi="宋体" w:eastAsia="宋体" w:cs="宋体"/>
          <w:spacing w:val="6"/>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6"/>
          <w:sz w:val="20"/>
          <w:szCs w:val="20"/>
        </w:rPr>
        <w:t>小时。</w:t>
      </w:r>
    </w:p>
    <w:p w14:paraId="1F6A9377">
      <w:pPr>
        <w:spacing w:line="228" w:lineRule="auto"/>
        <w:rPr>
          <w:rFonts w:ascii="宋体" w:hAnsi="宋体" w:eastAsia="宋体" w:cs="宋体"/>
          <w:sz w:val="20"/>
          <w:szCs w:val="20"/>
        </w:rPr>
        <w:sectPr>
          <w:headerReference r:id="rId293" w:type="default"/>
          <w:footerReference r:id="rId294" w:type="default"/>
          <w:pgSz w:w="11906" w:h="16839"/>
          <w:pgMar w:top="400" w:right="1609" w:bottom="1038" w:left="1537" w:header="0" w:footer="787" w:gutter="0"/>
          <w:cols w:space="720" w:num="1"/>
        </w:sectPr>
      </w:pPr>
    </w:p>
    <w:p w14:paraId="206DB74E">
      <w:pPr>
        <w:spacing w:before="185" w:line="228" w:lineRule="auto"/>
        <w:ind w:left="421"/>
        <w:outlineLvl w:val="2"/>
        <w:rPr>
          <w:rFonts w:ascii="宋体" w:hAnsi="宋体" w:eastAsia="宋体" w:cs="宋体"/>
          <w:sz w:val="20"/>
          <w:szCs w:val="20"/>
        </w:rPr>
      </w:pPr>
      <w:bookmarkStart w:id="289" w:name="bookmark271"/>
      <w:bookmarkEnd w:id="289"/>
      <w:r>
        <w:rPr>
          <w:rFonts w:ascii="宋体" w:hAnsi="宋体" w:eastAsia="宋体" w:cs="宋体"/>
          <w:spacing w:val="7"/>
          <w:sz w:val="20"/>
          <w:szCs w:val="20"/>
        </w:rPr>
        <w:t>6.1.4 关于治安保卫的特别约定：</w:t>
      </w:r>
    </w:p>
    <w:p w14:paraId="3E879EF7">
      <w:pPr>
        <w:spacing w:line="264" w:lineRule="auto"/>
        <w:rPr>
          <w:rFonts w:ascii="Arial"/>
          <w:sz w:val="21"/>
        </w:rPr>
      </w:pPr>
    </w:p>
    <w:p w14:paraId="55C06E27">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1CBFDD9">
      <w:pPr>
        <w:spacing w:before="200" w:line="228" w:lineRule="auto"/>
        <w:ind w:left="423"/>
        <w:rPr>
          <w:rFonts w:ascii="宋体" w:hAnsi="宋体" w:eastAsia="宋体" w:cs="宋体"/>
          <w:sz w:val="20"/>
          <w:szCs w:val="20"/>
        </w:rPr>
      </w:pPr>
      <w:r>
        <w:rPr>
          <w:rFonts w:ascii="宋体" w:hAnsi="宋体" w:eastAsia="宋体" w:cs="宋体"/>
          <w:spacing w:val="8"/>
          <w:sz w:val="20"/>
          <w:szCs w:val="20"/>
        </w:rPr>
        <w:t>关于编制施工场地治安管理计划的约定：</w:t>
      </w:r>
    </w:p>
    <w:p w14:paraId="285723C9">
      <w:pPr>
        <w:spacing w:line="262" w:lineRule="auto"/>
        <w:rPr>
          <w:rFonts w:ascii="Arial"/>
          <w:sz w:val="21"/>
        </w:rPr>
      </w:pPr>
    </w:p>
    <w:p w14:paraId="618C9EF8">
      <w:pPr>
        <w:tabs>
          <w:tab w:val="left" w:pos="8390"/>
        </w:tabs>
        <w:spacing w:before="22"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806989D">
      <w:pPr>
        <w:spacing w:before="200" w:line="228" w:lineRule="auto"/>
        <w:ind w:left="421"/>
        <w:rPr>
          <w:rFonts w:ascii="宋体" w:hAnsi="宋体" w:eastAsia="宋体" w:cs="宋体"/>
          <w:sz w:val="20"/>
          <w:szCs w:val="20"/>
        </w:rPr>
      </w:pPr>
      <w:r>
        <w:rPr>
          <w:rFonts w:ascii="宋体" w:hAnsi="宋体" w:eastAsia="宋体" w:cs="宋体"/>
          <w:spacing w:val="5"/>
          <w:sz w:val="20"/>
          <w:szCs w:val="20"/>
        </w:rPr>
        <w:t>6.1.5 文明施工</w:t>
      </w:r>
    </w:p>
    <w:p w14:paraId="49F33681">
      <w:pPr>
        <w:spacing w:before="153" w:line="228" w:lineRule="auto"/>
        <w:ind w:left="420"/>
        <w:rPr>
          <w:rFonts w:ascii="宋体" w:hAnsi="宋体" w:eastAsia="宋体" w:cs="宋体"/>
          <w:sz w:val="20"/>
          <w:szCs w:val="20"/>
        </w:rPr>
      </w:pPr>
      <w:r>
        <w:rPr>
          <w:rFonts w:ascii="宋体" w:hAnsi="宋体" w:eastAsia="宋体" w:cs="宋体"/>
          <w:spacing w:val="8"/>
          <w:sz w:val="20"/>
          <w:szCs w:val="20"/>
        </w:rPr>
        <w:t>合同当事人对文明施工的要求：</w:t>
      </w:r>
    </w:p>
    <w:p w14:paraId="68DF3C2D">
      <w:pPr>
        <w:spacing w:line="262" w:lineRule="auto"/>
        <w:rPr>
          <w:rFonts w:ascii="Arial"/>
          <w:sz w:val="21"/>
        </w:rPr>
      </w:pPr>
    </w:p>
    <w:p w14:paraId="448DB3A3">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B56526A">
      <w:pPr>
        <w:spacing w:before="200" w:line="228" w:lineRule="auto"/>
        <w:ind w:left="421"/>
        <w:rPr>
          <w:rFonts w:ascii="宋体" w:hAnsi="宋体" w:eastAsia="宋体" w:cs="宋体"/>
          <w:sz w:val="20"/>
          <w:szCs w:val="20"/>
        </w:rPr>
      </w:pPr>
      <w:r>
        <w:rPr>
          <w:rFonts w:ascii="宋体" w:hAnsi="宋体" w:eastAsia="宋体" w:cs="宋体"/>
          <w:spacing w:val="8"/>
          <w:sz w:val="20"/>
          <w:szCs w:val="20"/>
        </w:rPr>
        <w:t>6.1.6 关于安全文明施工费支付比例和支付期限的约定：</w:t>
      </w:r>
    </w:p>
    <w:p w14:paraId="7C45E814">
      <w:pPr>
        <w:spacing w:line="264" w:lineRule="auto"/>
        <w:rPr>
          <w:rFonts w:ascii="Arial"/>
          <w:sz w:val="21"/>
        </w:rPr>
      </w:pPr>
    </w:p>
    <w:p w14:paraId="3A80B3F9">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C4BC54E">
      <w:pPr>
        <w:pStyle w:val="2"/>
        <w:spacing w:before="238" w:line="222" w:lineRule="auto"/>
        <w:ind w:left="1"/>
        <w:outlineLvl w:val="2"/>
        <w:rPr>
          <w:sz w:val="28"/>
          <w:szCs w:val="28"/>
        </w:rPr>
      </w:pPr>
      <w:bookmarkStart w:id="290" w:name="bookmark272"/>
      <w:bookmarkEnd w:id="290"/>
      <w:r>
        <w:rPr>
          <w:rFonts w:ascii="Times New Roman" w:hAnsi="Times New Roman" w:eastAsia="Times New Roman" w:cs="Times New Roman"/>
          <w:b/>
          <w:bCs/>
          <w:spacing w:val="-3"/>
          <w:sz w:val="28"/>
          <w:szCs w:val="28"/>
        </w:rPr>
        <w:t xml:space="preserve">7.  </w:t>
      </w:r>
      <w:r>
        <w:rPr>
          <w:b/>
          <w:bCs/>
          <w:spacing w:val="-3"/>
          <w:sz w:val="28"/>
          <w:szCs w:val="28"/>
        </w:rPr>
        <w:t>工期和进度</w:t>
      </w:r>
    </w:p>
    <w:p w14:paraId="5CE3803D">
      <w:pPr>
        <w:pStyle w:val="2"/>
        <w:spacing w:before="98" w:line="222" w:lineRule="auto"/>
        <w:rPr>
          <w:sz w:val="24"/>
          <w:szCs w:val="24"/>
        </w:rPr>
      </w:pPr>
      <w:r>
        <w:rPr>
          <w:rFonts w:ascii="Times New Roman" w:hAnsi="Times New Roman" w:eastAsia="Times New Roman" w:cs="Times New Roman"/>
          <w:b/>
          <w:bCs/>
          <w:spacing w:val="-2"/>
          <w:sz w:val="24"/>
          <w:szCs w:val="24"/>
        </w:rPr>
        <w:t xml:space="preserve">7.1  </w:t>
      </w:r>
      <w:r>
        <w:rPr>
          <w:b/>
          <w:bCs/>
          <w:spacing w:val="-2"/>
          <w:sz w:val="24"/>
          <w:szCs w:val="24"/>
        </w:rPr>
        <w:t>施工组织设计</w:t>
      </w:r>
    </w:p>
    <w:p w14:paraId="023D3DE4">
      <w:pPr>
        <w:spacing w:before="137" w:line="228" w:lineRule="auto"/>
        <w:ind w:left="425"/>
        <w:rPr>
          <w:rFonts w:ascii="宋体" w:hAnsi="宋体" w:eastAsia="宋体" w:cs="宋体"/>
          <w:sz w:val="20"/>
          <w:szCs w:val="20"/>
        </w:rPr>
      </w:pPr>
      <w:r>
        <w:rPr>
          <w:rFonts w:ascii="宋体" w:hAnsi="宋体" w:eastAsia="宋体" w:cs="宋体"/>
          <w:spacing w:val="8"/>
          <w:sz w:val="20"/>
          <w:szCs w:val="20"/>
        </w:rPr>
        <w:t>7.1.1 合同当事人约定的施工组织设计应包括的其他内容：</w:t>
      </w:r>
    </w:p>
    <w:p w14:paraId="5BCCE7FC">
      <w:pPr>
        <w:spacing w:line="264" w:lineRule="auto"/>
        <w:rPr>
          <w:rFonts w:ascii="Arial"/>
          <w:sz w:val="21"/>
        </w:rPr>
      </w:pPr>
    </w:p>
    <w:p w14:paraId="0120CD49">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13E8CED">
      <w:pPr>
        <w:spacing w:before="200" w:line="228" w:lineRule="auto"/>
        <w:ind w:left="425"/>
        <w:rPr>
          <w:rFonts w:ascii="宋体" w:hAnsi="宋体" w:eastAsia="宋体" w:cs="宋体"/>
          <w:sz w:val="20"/>
          <w:szCs w:val="20"/>
        </w:rPr>
      </w:pPr>
      <w:r>
        <w:rPr>
          <w:rFonts w:ascii="宋体" w:hAnsi="宋体" w:eastAsia="宋体" w:cs="宋体"/>
          <w:spacing w:val="7"/>
          <w:sz w:val="20"/>
          <w:szCs w:val="20"/>
        </w:rPr>
        <w:t>7.1.2 施工组织设计的提交和修改</w:t>
      </w:r>
    </w:p>
    <w:p w14:paraId="2BC771B0">
      <w:pPr>
        <w:spacing w:before="151" w:line="228" w:lineRule="auto"/>
        <w:ind w:left="419"/>
        <w:rPr>
          <w:rFonts w:ascii="宋体" w:hAnsi="宋体" w:eastAsia="宋体" w:cs="宋体"/>
          <w:sz w:val="20"/>
          <w:szCs w:val="20"/>
        </w:rPr>
      </w:pPr>
      <w:r>
        <w:rPr>
          <w:rFonts w:ascii="宋体" w:hAnsi="宋体" w:eastAsia="宋体" w:cs="宋体"/>
          <w:spacing w:val="9"/>
          <w:sz w:val="20"/>
          <w:szCs w:val="20"/>
        </w:rPr>
        <w:t>承包人提交详细施工组织设计的期限的约定：</w:t>
      </w:r>
    </w:p>
    <w:p w14:paraId="1E0A2CED">
      <w:pPr>
        <w:spacing w:line="264" w:lineRule="auto"/>
        <w:rPr>
          <w:rFonts w:ascii="Arial"/>
          <w:sz w:val="21"/>
        </w:rPr>
      </w:pPr>
    </w:p>
    <w:p w14:paraId="7A5DBF8E">
      <w:pPr>
        <w:tabs>
          <w:tab w:val="left" w:pos="8390"/>
        </w:tabs>
        <w:spacing w:before="24"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471DF0C">
      <w:pPr>
        <w:spacing w:before="200" w:line="228" w:lineRule="auto"/>
        <w:ind w:left="423"/>
        <w:rPr>
          <w:rFonts w:ascii="宋体" w:hAnsi="宋体" w:eastAsia="宋体" w:cs="宋体"/>
          <w:sz w:val="20"/>
          <w:szCs w:val="20"/>
        </w:rPr>
      </w:pPr>
      <w:r>
        <w:rPr>
          <w:rFonts w:ascii="宋体" w:hAnsi="宋体" w:eastAsia="宋体" w:cs="宋体"/>
          <w:spacing w:val="9"/>
          <w:sz w:val="20"/>
          <w:szCs w:val="20"/>
        </w:rPr>
        <w:t>发包人和监理人在收到详细的施工组织设计后确认或提出修改意见的期限：</w:t>
      </w:r>
    </w:p>
    <w:p w14:paraId="77ABD724">
      <w:pPr>
        <w:spacing w:before="286" w:line="46" w:lineRule="exact"/>
        <w:jc w:val="right"/>
        <w:rPr>
          <w:rFonts w:ascii="宋体" w:hAnsi="宋体" w:eastAsia="宋体" w:cs="宋体"/>
          <w:sz w:val="20"/>
          <w:szCs w:val="20"/>
        </w:rPr>
      </w:pPr>
      <w:r>
        <w:pict>
          <v:shape id="_x0000_s1061" o:spid="_x0000_s1061" o:spt="202" type="#_x0000_t202" style="position:absolute;left:0pt;margin-left:19.55pt;margin-top:6.95pt;height:14.1pt;width:401pt;z-index:251704320;mso-width-relative:page;mso-height-relative:page;" filled="f" stroked="f" coordsize="21600,21600">
            <v:path/>
            <v:fill on="f" focussize="0,0"/>
            <v:stroke on="f"/>
            <v:imagedata o:title=""/>
            <o:lock v:ext="edit" aspectratio="f"/>
            <v:textbox inset="0mm,0mm,0mm,0mm">
              <w:txbxContent>
                <w:p w14:paraId="0CA69957">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5B7BE5A3">
      <w:pPr>
        <w:pStyle w:val="2"/>
        <w:spacing w:before="193" w:line="222" w:lineRule="auto"/>
        <w:rPr>
          <w:sz w:val="24"/>
          <w:szCs w:val="24"/>
        </w:rPr>
      </w:pPr>
      <w:r>
        <w:rPr>
          <w:rFonts w:ascii="Times New Roman" w:hAnsi="Times New Roman" w:eastAsia="Times New Roman" w:cs="Times New Roman"/>
          <w:b/>
          <w:bCs/>
          <w:spacing w:val="-2"/>
          <w:sz w:val="24"/>
          <w:szCs w:val="24"/>
        </w:rPr>
        <w:t xml:space="preserve">7.2  </w:t>
      </w:r>
      <w:r>
        <w:rPr>
          <w:b/>
          <w:bCs/>
          <w:spacing w:val="-2"/>
          <w:sz w:val="24"/>
          <w:szCs w:val="24"/>
        </w:rPr>
        <w:t>施工进度计划</w:t>
      </w:r>
    </w:p>
    <w:p w14:paraId="51CD0DE7">
      <w:pPr>
        <w:spacing w:before="139" w:line="228" w:lineRule="auto"/>
        <w:ind w:left="425"/>
        <w:rPr>
          <w:rFonts w:ascii="宋体" w:hAnsi="宋体" w:eastAsia="宋体" w:cs="宋体"/>
          <w:sz w:val="20"/>
          <w:szCs w:val="20"/>
        </w:rPr>
      </w:pPr>
      <w:r>
        <w:rPr>
          <w:rFonts w:ascii="宋体" w:hAnsi="宋体" w:eastAsia="宋体" w:cs="宋体"/>
          <w:spacing w:val="6"/>
          <w:sz w:val="20"/>
          <w:szCs w:val="20"/>
        </w:rPr>
        <w:t>7.2.2 施工进度计划的修订</w:t>
      </w:r>
    </w:p>
    <w:p w14:paraId="0CF57ACA">
      <w:pPr>
        <w:spacing w:before="151" w:line="228" w:lineRule="auto"/>
        <w:ind w:left="423"/>
        <w:rPr>
          <w:rFonts w:ascii="宋体" w:hAnsi="宋体" w:eastAsia="宋体" w:cs="宋体"/>
          <w:sz w:val="20"/>
          <w:szCs w:val="20"/>
        </w:rPr>
      </w:pPr>
      <w:r>
        <w:rPr>
          <w:rFonts w:ascii="宋体" w:hAnsi="宋体" w:eastAsia="宋体" w:cs="宋体"/>
          <w:spacing w:val="9"/>
          <w:sz w:val="20"/>
          <w:szCs w:val="20"/>
        </w:rPr>
        <w:t>发包人和监理人在收到修订的施工进度计划后确认或提出修改意见的期限：</w:t>
      </w:r>
    </w:p>
    <w:p w14:paraId="023309E7">
      <w:pPr>
        <w:spacing w:line="264" w:lineRule="auto"/>
        <w:rPr>
          <w:rFonts w:ascii="Arial"/>
          <w:sz w:val="21"/>
        </w:rPr>
      </w:pPr>
    </w:p>
    <w:p w14:paraId="16A58DEF">
      <w:pPr>
        <w:tabs>
          <w:tab w:val="left" w:pos="8390"/>
        </w:tabs>
        <w:spacing w:before="24"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9F09228">
      <w:pPr>
        <w:pStyle w:val="2"/>
        <w:spacing w:before="174" w:line="224" w:lineRule="auto"/>
        <w:rPr>
          <w:sz w:val="24"/>
          <w:szCs w:val="24"/>
        </w:rPr>
      </w:pPr>
      <w:r>
        <w:rPr>
          <w:rFonts w:ascii="Times New Roman" w:hAnsi="Times New Roman" w:eastAsia="Times New Roman" w:cs="Times New Roman"/>
          <w:b/>
          <w:bCs/>
          <w:spacing w:val="-6"/>
          <w:sz w:val="24"/>
          <w:szCs w:val="24"/>
        </w:rPr>
        <w:t>7.3</w:t>
      </w:r>
      <w:r>
        <w:rPr>
          <w:rFonts w:ascii="Times New Roman" w:hAnsi="Times New Roman" w:eastAsia="Times New Roman" w:cs="Times New Roman"/>
          <w:b/>
          <w:bCs/>
          <w:spacing w:val="7"/>
          <w:sz w:val="24"/>
          <w:szCs w:val="24"/>
        </w:rPr>
        <w:t xml:space="preserve">  </w:t>
      </w:r>
      <w:r>
        <w:rPr>
          <w:b/>
          <w:bCs/>
          <w:spacing w:val="-6"/>
          <w:sz w:val="24"/>
          <w:szCs w:val="24"/>
        </w:rPr>
        <w:t>开工</w:t>
      </w:r>
    </w:p>
    <w:p w14:paraId="42B682DF">
      <w:pPr>
        <w:spacing w:before="134" w:line="229" w:lineRule="auto"/>
        <w:ind w:left="425"/>
        <w:rPr>
          <w:rFonts w:ascii="宋体" w:hAnsi="宋体" w:eastAsia="宋体" w:cs="宋体"/>
          <w:sz w:val="20"/>
          <w:szCs w:val="20"/>
        </w:rPr>
      </w:pPr>
      <w:r>
        <w:rPr>
          <w:rFonts w:ascii="宋体" w:hAnsi="宋体" w:eastAsia="宋体" w:cs="宋体"/>
          <w:spacing w:val="5"/>
          <w:sz w:val="20"/>
          <w:szCs w:val="20"/>
        </w:rPr>
        <w:t>7.3.1 开工准备</w:t>
      </w:r>
    </w:p>
    <w:p w14:paraId="59CE848D">
      <w:pPr>
        <w:spacing w:before="152" w:line="228" w:lineRule="auto"/>
        <w:ind w:left="423"/>
        <w:rPr>
          <w:rFonts w:ascii="宋体" w:hAnsi="宋体" w:eastAsia="宋体" w:cs="宋体"/>
          <w:sz w:val="20"/>
          <w:szCs w:val="20"/>
        </w:rPr>
      </w:pPr>
      <w:r>
        <w:rPr>
          <w:rFonts w:ascii="宋体" w:hAnsi="宋体" w:eastAsia="宋体" w:cs="宋体"/>
          <w:spacing w:val="8"/>
          <w:sz w:val="20"/>
          <w:szCs w:val="20"/>
        </w:rPr>
        <w:t>关于承包人提交工程开工报审表的期限：</w:t>
      </w:r>
    </w:p>
    <w:p w14:paraId="7F20C7BE">
      <w:pPr>
        <w:spacing w:line="264" w:lineRule="auto"/>
        <w:rPr>
          <w:rFonts w:ascii="Arial"/>
          <w:sz w:val="21"/>
        </w:rPr>
      </w:pPr>
    </w:p>
    <w:p w14:paraId="79B3C0FC">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8E76B69">
      <w:pPr>
        <w:spacing w:before="198" w:line="228" w:lineRule="auto"/>
        <w:ind w:left="423"/>
        <w:rPr>
          <w:rFonts w:ascii="宋体" w:hAnsi="宋体" w:eastAsia="宋体" w:cs="宋体"/>
          <w:sz w:val="20"/>
          <w:szCs w:val="20"/>
        </w:rPr>
      </w:pPr>
      <w:r>
        <w:rPr>
          <w:rFonts w:ascii="宋体" w:hAnsi="宋体" w:eastAsia="宋体" w:cs="宋体"/>
          <w:spacing w:val="8"/>
          <w:sz w:val="20"/>
          <w:szCs w:val="20"/>
        </w:rPr>
        <w:t>关于发包人应完成的其他开工准备工作及期限：</w:t>
      </w:r>
    </w:p>
    <w:p w14:paraId="46763271">
      <w:pPr>
        <w:spacing w:line="264" w:lineRule="auto"/>
        <w:rPr>
          <w:rFonts w:ascii="Arial"/>
          <w:sz w:val="21"/>
        </w:rPr>
      </w:pPr>
    </w:p>
    <w:p w14:paraId="6364AD60">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6F893FD">
      <w:pPr>
        <w:spacing w:before="200" w:line="228" w:lineRule="auto"/>
        <w:ind w:left="423"/>
        <w:rPr>
          <w:rFonts w:ascii="宋体" w:hAnsi="宋体" w:eastAsia="宋体" w:cs="宋体"/>
          <w:sz w:val="20"/>
          <w:szCs w:val="20"/>
        </w:rPr>
      </w:pPr>
      <w:r>
        <w:rPr>
          <w:rFonts w:ascii="宋体" w:hAnsi="宋体" w:eastAsia="宋体" w:cs="宋体"/>
          <w:spacing w:val="8"/>
          <w:sz w:val="20"/>
          <w:szCs w:val="20"/>
        </w:rPr>
        <w:t>关于承包人应完成的其他开工准备工作及期限：</w:t>
      </w:r>
    </w:p>
    <w:p w14:paraId="5A6B8C21">
      <w:pPr>
        <w:spacing w:before="287" w:line="45" w:lineRule="exact"/>
        <w:jc w:val="right"/>
        <w:rPr>
          <w:rFonts w:ascii="宋体" w:hAnsi="宋体" w:eastAsia="宋体" w:cs="宋体"/>
          <w:sz w:val="20"/>
          <w:szCs w:val="20"/>
        </w:rPr>
      </w:pPr>
      <w:r>
        <w:pict>
          <v:shape id="_x0000_s1062" o:spid="_x0000_s1062" o:spt="202" type="#_x0000_t202" style="position:absolute;left:0pt;margin-left:19.55pt;margin-top:6.95pt;height:14.1pt;width:401pt;z-index:251703296;mso-width-relative:page;mso-height-relative:page;" filled="f" stroked="f" coordsize="21600,21600">
            <v:path/>
            <v:fill on="f" focussize="0,0"/>
            <v:stroke on="f"/>
            <v:imagedata o:title=""/>
            <o:lock v:ext="edit" aspectratio="f"/>
            <v:textbox inset="0mm,0mm,0mm,0mm">
              <w:txbxContent>
                <w:p w14:paraId="60DEA407">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02CF2C77">
      <w:pPr>
        <w:spacing w:line="45" w:lineRule="exact"/>
        <w:rPr>
          <w:rFonts w:ascii="宋体" w:hAnsi="宋体" w:eastAsia="宋体" w:cs="宋体"/>
          <w:sz w:val="20"/>
          <w:szCs w:val="20"/>
        </w:rPr>
        <w:sectPr>
          <w:headerReference r:id="rId295" w:type="default"/>
          <w:footerReference r:id="rId296" w:type="default"/>
          <w:pgSz w:w="11906" w:h="16839"/>
          <w:pgMar w:top="2971" w:right="1785" w:bottom="1038" w:left="1539" w:header="1423" w:footer="787" w:gutter="0"/>
          <w:cols w:space="720" w:num="1"/>
        </w:sectPr>
      </w:pPr>
    </w:p>
    <w:p w14:paraId="497B44CC">
      <w:pPr>
        <w:spacing w:line="271" w:lineRule="auto"/>
        <w:rPr>
          <w:rFonts w:ascii="Arial"/>
          <w:sz w:val="21"/>
        </w:rPr>
      </w:pPr>
    </w:p>
    <w:p w14:paraId="65D58FFF">
      <w:pPr>
        <w:spacing w:line="272" w:lineRule="auto"/>
        <w:rPr>
          <w:rFonts w:ascii="Arial"/>
          <w:sz w:val="21"/>
        </w:rPr>
      </w:pPr>
    </w:p>
    <w:p w14:paraId="34F967C7">
      <w:pPr>
        <w:spacing w:line="272" w:lineRule="auto"/>
        <w:rPr>
          <w:rFonts w:ascii="Arial"/>
          <w:sz w:val="21"/>
        </w:rPr>
      </w:pPr>
    </w:p>
    <w:p w14:paraId="3F93ACF1">
      <w:pPr>
        <w:spacing w:line="272" w:lineRule="auto"/>
        <w:rPr>
          <w:rFonts w:ascii="Arial"/>
          <w:sz w:val="21"/>
        </w:rPr>
      </w:pPr>
    </w:p>
    <w:p w14:paraId="28864820">
      <w:pPr>
        <w:spacing w:before="65" w:line="229" w:lineRule="auto"/>
        <w:ind w:left="425"/>
        <w:rPr>
          <w:rFonts w:ascii="宋体" w:hAnsi="宋体" w:eastAsia="宋体" w:cs="宋体"/>
          <w:sz w:val="20"/>
          <w:szCs w:val="20"/>
        </w:rPr>
      </w:pPr>
      <w:r>
        <w:rPr>
          <w:rFonts w:ascii="宋体" w:hAnsi="宋体" w:eastAsia="宋体" w:cs="宋体"/>
          <w:spacing w:val="4"/>
          <w:sz w:val="20"/>
          <w:szCs w:val="20"/>
        </w:rPr>
        <w:t>7.3.2</w:t>
      </w:r>
      <w:r>
        <w:rPr>
          <w:rFonts w:ascii="宋体" w:hAnsi="宋体" w:eastAsia="宋体" w:cs="宋体"/>
          <w:spacing w:val="-37"/>
          <w:sz w:val="20"/>
          <w:szCs w:val="20"/>
        </w:rPr>
        <w:t xml:space="preserve"> </w:t>
      </w:r>
      <w:r>
        <w:rPr>
          <w:rFonts w:ascii="宋体" w:hAnsi="宋体" w:eastAsia="宋体" w:cs="宋体"/>
          <w:spacing w:val="4"/>
          <w:sz w:val="20"/>
          <w:szCs w:val="20"/>
        </w:rPr>
        <w:t>开工通知</w:t>
      </w:r>
    </w:p>
    <w:p w14:paraId="0502933A">
      <w:pPr>
        <w:spacing w:before="149" w:line="358" w:lineRule="auto"/>
        <w:ind w:right="3" w:firstLine="435"/>
        <w:rPr>
          <w:rFonts w:ascii="宋体" w:hAnsi="宋体" w:eastAsia="宋体" w:cs="宋体"/>
          <w:sz w:val="20"/>
          <w:szCs w:val="20"/>
        </w:rPr>
      </w:pPr>
      <w:r>
        <w:rPr>
          <w:rFonts w:ascii="宋体" w:hAnsi="宋体" w:eastAsia="宋体" w:cs="宋体"/>
          <w:spacing w:val="6"/>
          <w:sz w:val="20"/>
          <w:szCs w:val="20"/>
        </w:rPr>
        <w:t>因发包人原因造成监理人未能在计划开工日期之日起</w:t>
      </w:r>
      <w:r>
        <w:rPr>
          <w:rFonts w:ascii="宋体" w:hAnsi="宋体" w:eastAsia="宋体" w:cs="宋体"/>
          <w:spacing w:val="6"/>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6"/>
          <w:sz w:val="20"/>
          <w:szCs w:val="20"/>
        </w:rPr>
        <w:t>天内发出开工通知的，承包人有权</w:t>
      </w:r>
      <w:r>
        <w:rPr>
          <w:rFonts w:ascii="宋体" w:hAnsi="宋体" w:eastAsia="宋体" w:cs="宋体"/>
          <w:spacing w:val="8"/>
          <w:sz w:val="20"/>
          <w:szCs w:val="20"/>
        </w:rPr>
        <w:t>提出价格调整要求，或者解除合同。</w:t>
      </w:r>
    </w:p>
    <w:p w14:paraId="694856B6">
      <w:pPr>
        <w:pStyle w:val="2"/>
        <w:spacing w:line="219" w:lineRule="auto"/>
        <w:rPr>
          <w:sz w:val="24"/>
          <w:szCs w:val="24"/>
        </w:rPr>
      </w:pPr>
      <w:r>
        <w:rPr>
          <w:rFonts w:ascii="Times New Roman" w:hAnsi="Times New Roman" w:eastAsia="Times New Roman" w:cs="Times New Roman"/>
          <w:b/>
          <w:bCs/>
          <w:spacing w:val="-2"/>
          <w:sz w:val="24"/>
          <w:szCs w:val="24"/>
        </w:rPr>
        <w:t xml:space="preserve">7.4  </w:t>
      </w:r>
      <w:r>
        <w:rPr>
          <w:b/>
          <w:bCs/>
          <w:spacing w:val="-2"/>
          <w:sz w:val="24"/>
          <w:szCs w:val="24"/>
        </w:rPr>
        <w:t>测量放线</w:t>
      </w:r>
    </w:p>
    <w:p w14:paraId="613074F9">
      <w:pPr>
        <w:spacing w:before="139" w:line="227" w:lineRule="auto"/>
        <w:ind w:left="425"/>
        <w:rPr>
          <w:rFonts w:ascii="宋体" w:hAnsi="宋体" w:eastAsia="宋体" w:cs="宋体"/>
          <w:sz w:val="20"/>
          <w:szCs w:val="20"/>
        </w:rPr>
      </w:pPr>
      <w:r>
        <w:rPr>
          <w:rFonts w:ascii="宋体" w:hAnsi="宋体" w:eastAsia="宋体" w:cs="宋体"/>
          <w:spacing w:val="9"/>
          <w:sz w:val="20"/>
          <w:szCs w:val="20"/>
        </w:rPr>
        <w:t>7.4.1</w:t>
      </w:r>
      <w:r>
        <w:rPr>
          <w:rFonts w:ascii="宋体" w:hAnsi="宋体" w:eastAsia="宋体" w:cs="宋体"/>
          <w:spacing w:val="-37"/>
          <w:sz w:val="20"/>
          <w:szCs w:val="20"/>
        </w:rPr>
        <w:t xml:space="preserve"> </w:t>
      </w:r>
      <w:r>
        <w:rPr>
          <w:rFonts w:ascii="宋体" w:hAnsi="宋体" w:eastAsia="宋体" w:cs="宋体"/>
          <w:spacing w:val="9"/>
          <w:sz w:val="20"/>
          <w:szCs w:val="20"/>
        </w:rPr>
        <w:t>发包人通过监理人向承包人提供测</w:t>
      </w:r>
      <w:r>
        <w:rPr>
          <w:rFonts w:ascii="宋体" w:hAnsi="宋体" w:eastAsia="宋体" w:cs="宋体"/>
          <w:spacing w:val="8"/>
          <w:sz w:val="20"/>
          <w:szCs w:val="20"/>
        </w:rPr>
        <w:t>量基准点、基准线和水准点及其书面资料的期限：</w:t>
      </w:r>
    </w:p>
    <w:p w14:paraId="19E68F1D">
      <w:pPr>
        <w:spacing w:line="265" w:lineRule="auto"/>
        <w:rPr>
          <w:rFonts w:ascii="Arial"/>
          <w:sz w:val="21"/>
        </w:rPr>
      </w:pPr>
    </w:p>
    <w:p w14:paraId="72176CA1">
      <w:pPr>
        <w:tabs>
          <w:tab w:val="left" w:pos="8705"/>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44C19D8">
      <w:pPr>
        <w:pStyle w:val="2"/>
        <w:spacing w:before="173" w:line="222" w:lineRule="auto"/>
        <w:rPr>
          <w:sz w:val="24"/>
          <w:szCs w:val="24"/>
        </w:rPr>
      </w:pPr>
      <w:r>
        <w:rPr>
          <w:rFonts w:ascii="Times New Roman" w:hAnsi="Times New Roman" w:eastAsia="Times New Roman" w:cs="Times New Roman"/>
          <w:b/>
          <w:bCs/>
          <w:spacing w:val="-2"/>
          <w:sz w:val="24"/>
          <w:szCs w:val="24"/>
        </w:rPr>
        <w:t xml:space="preserve">7.5  </w:t>
      </w:r>
      <w:r>
        <w:rPr>
          <w:b/>
          <w:bCs/>
          <w:spacing w:val="-2"/>
          <w:sz w:val="24"/>
          <w:szCs w:val="24"/>
        </w:rPr>
        <w:t>工期延误</w:t>
      </w:r>
    </w:p>
    <w:p w14:paraId="6F663D38">
      <w:pPr>
        <w:spacing w:before="137" w:line="228" w:lineRule="auto"/>
        <w:ind w:left="425"/>
        <w:rPr>
          <w:rFonts w:ascii="宋体" w:hAnsi="宋体" w:eastAsia="宋体" w:cs="宋体"/>
          <w:sz w:val="20"/>
          <w:szCs w:val="20"/>
        </w:rPr>
      </w:pPr>
      <w:r>
        <w:rPr>
          <w:rFonts w:ascii="宋体" w:hAnsi="宋体" w:eastAsia="宋体" w:cs="宋体"/>
          <w:spacing w:val="7"/>
          <w:sz w:val="20"/>
          <w:szCs w:val="20"/>
        </w:rPr>
        <w:t>7.5.1 因发包人原因导致工期延误</w:t>
      </w:r>
    </w:p>
    <w:p w14:paraId="438749A5">
      <w:pPr>
        <w:spacing w:before="154" w:line="228" w:lineRule="auto"/>
        <w:ind w:left="430"/>
        <w:rPr>
          <w:rFonts w:ascii="宋体" w:hAnsi="宋体" w:eastAsia="宋体" w:cs="宋体"/>
          <w:sz w:val="20"/>
          <w:szCs w:val="20"/>
        </w:rPr>
      </w:pPr>
      <w:r>
        <w:rPr>
          <w:rFonts w:ascii="宋体" w:hAnsi="宋体" w:eastAsia="宋体" w:cs="宋体"/>
          <w:spacing w:val="8"/>
          <w:sz w:val="20"/>
          <w:szCs w:val="20"/>
        </w:rPr>
        <w:t>（7）因发包人原因导致工期延误的其他情形：</w:t>
      </w:r>
    </w:p>
    <w:p w14:paraId="60F35B11">
      <w:pPr>
        <w:spacing w:line="263" w:lineRule="auto"/>
        <w:rPr>
          <w:rFonts w:ascii="Arial"/>
          <w:sz w:val="21"/>
        </w:rPr>
      </w:pPr>
    </w:p>
    <w:p w14:paraId="5AC17128">
      <w:pPr>
        <w:tabs>
          <w:tab w:val="left" w:pos="8390"/>
        </w:tabs>
        <w:spacing w:before="24"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D374B68">
      <w:pPr>
        <w:spacing w:before="197" w:line="228" w:lineRule="auto"/>
        <w:ind w:left="425"/>
        <w:rPr>
          <w:rFonts w:ascii="宋体" w:hAnsi="宋体" w:eastAsia="宋体" w:cs="宋体"/>
          <w:sz w:val="20"/>
          <w:szCs w:val="20"/>
        </w:rPr>
      </w:pPr>
      <w:r>
        <w:rPr>
          <w:rFonts w:ascii="宋体" w:hAnsi="宋体" w:eastAsia="宋体" w:cs="宋体"/>
          <w:spacing w:val="7"/>
          <w:sz w:val="20"/>
          <w:szCs w:val="20"/>
        </w:rPr>
        <w:t>7.5.2 因承包人原因导致工期延误</w:t>
      </w:r>
    </w:p>
    <w:p w14:paraId="1E84642C">
      <w:pPr>
        <w:spacing w:before="154" w:line="228" w:lineRule="auto"/>
        <w:ind w:left="436"/>
        <w:rPr>
          <w:rFonts w:ascii="宋体" w:hAnsi="宋体" w:eastAsia="宋体" w:cs="宋体"/>
          <w:sz w:val="20"/>
          <w:szCs w:val="20"/>
        </w:rPr>
      </w:pPr>
      <w:r>
        <w:rPr>
          <w:rFonts w:ascii="宋体" w:hAnsi="宋体" w:eastAsia="宋体" w:cs="宋体"/>
          <w:spacing w:val="8"/>
          <w:sz w:val="20"/>
          <w:szCs w:val="20"/>
        </w:rPr>
        <w:t>因承包人原因造成工期延误，逾期竣工违约金的计算方法为：</w:t>
      </w:r>
    </w:p>
    <w:p w14:paraId="45C835EE">
      <w:pPr>
        <w:spacing w:line="264" w:lineRule="auto"/>
        <w:rPr>
          <w:rFonts w:ascii="Arial"/>
          <w:sz w:val="21"/>
        </w:rPr>
      </w:pPr>
    </w:p>
    <w:p w14:paraId="4D5A3517">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CD9EF06">
      <w:pPr>
        <w:spacing w:before="198" w:line="228" w:lineRule="auto"/>
        <w:ind w:left="436"/>
        <w:rPr>
          <w:rFonts w:ascii="宋体" w:hAnsi="宋体" w:eastAsia="宋体" w:cs="宋体"/>
          <w:sz w:val="20"/>
          <w:szCs w:val="20"/>
        </w:rPr>
      </w:pPr>
      <w:r>
        <w:rPr>
          <w:rFonts w:ascii="宋体" w:hAnsi="宋体" w:eastAsia="宋体" w:cs="宋体"/>
          <w:spacing w:val="8"/>
          <w:sz w:val="20"/>
          <w:szCs w:val="20"/>
        </w:rPr>
        <w:t>因承包人原因造成工期延误，逾期竣工违约金的上限：</w:t>
      </w:r>
    </w:p>
    <w:p w14:paraId="51E37332">
      <w:pPr>
        <w:spacing w:line="264" w:lineRule="auto"/>
        <w:rPr>
          <w:rFonts w:ascii="Arial"/>
          <w:sz w:val="21"/>
        </w:rPr>
      </w:pPr>
    </w:p>
    <w:p w14:paraId="31429538">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FADEC62">
      <w:pPr>
        <w:pStyle w:val="2"/>
        <w:spacing w:before="174" w:line="222" w:lineRule="auto"/>
        <w:rPr>
          <w:sz w:val="24"/>
          <w:szCs w:val="24"/>
        </w:rPr>
      </w:pPr>
      <w:r>
        <w:rPr>
          <w:rFonts w:ascii="Times New Roman" w:hAnsi="Times New Roman" w:eastAsia="Times New Roman" w:cs="Times New Roman"/>
          <w:b/>
          <w:bCs/>
          <w:spacing w:val="-2"/>
          <w:sz w:val="24"/>
          <w:szCs w:val="24"/>
        </w:rPr>
        <w:t xml:space="preserve">7.6  </w:t>
      </w:r>
      <w:r>
        <w:rPr>
          <w:b/>
          <w:bCs/>
          <w:spacing w:val="-2"/>
          <w:sz w:val="24"/>
          <w:szCs w:val="24"/>
        </w:rPr>
        <w:t>不利物质条件</w:t>
      </w:r>
    </w:p>
    <w:p w14:paraId="04960CA7">
      <w:pPr>
        <w:spacing w:before="136" w:line="228" w:lineRule="auto"/>
        <w:ind w:left="423"/>
        <w:rPr>
          <w:rFonts w:ascii="宋体" w:hAnsi="宋体" w:eastAsia="宋体" w:cs="宋体"/>
          <w:sz w:val="20"/>
          <w:szCs w:val="20"/>
        </w:rPr>
      </w:pPr>
      <w:r>
        <w:rPr>
          <w:rFonts w:ascii="宋体" w:hAnsi="宋体" w:eastAsia="宋体" w:cs="宋体"/>
          <w:spacing w:val="8"/>
          <w:sz w:val="20"/>
          <w:szCs w:val="20"/>
        </w:rPr>
        <w:t>不利物质条件的其他情形和有关约定：</w:t>
      </w:r>
    </w:p>
    <w:p w14:paraId="04235877">
      <w:pPr>
        <w:spacing w:line="264" w:lineRule="auto"/>
        <w:rPr>
          <w:rFonts w:ascii="Arial"/>
          <w:sz w:val="21"/>
        </w:rPr>
      </w:pPr>
    </w:p>
    <w:p w14:paraId="119025F8">
      <w:pPr>
        <w:tabs>
          <w:tab w:val="left" w:pos="8390"/>
        </w:tabs>
        <w:spacing w:before="24"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C227B83">
      <w:pPr>
        <w:pStyle w:val="2"/>
        <w:spacing w:before="173" w:line="221" w:lineRule="auto"/>
        <w:rPr>
          <w:sz w:val="24"/>
          <w:szCs w:val="24"/>
        </w:rPr>
      </w:pPr>
      <w:r>
        <w:rPr>
          <w:rFonts w:ascii="Times New Roman" w:hAnsi="Times New Roman" w:eastAsia="Times New Roman" w:cs="Times New Roman"/>
          <w:b/>
          <w:bCs/>
          <w:spacing w:val="-2"/>
          <w:sz w:val="24"/>
          <w:szCs w:val="24"/>
        </w:rPr>
        <w:t xml:space="preserve">7.7 </w:t>
      </w:r>
      <w:r>
        <w:rPr>
          <w:b/>
          <w:bCs/>
          <w:spacing w:val="-2"/>
          <w:sz w:val="24"/>
          <w:szCs w:val="24"/>
        </w:rPr>
        <w:t>异常恶劣的气候条件</w:t>
      </w:r>
    </w:p>
    <w:p w14:paraId="612B876B">
      <w:pPr>
        <w:spacing w:before="138" w:line="228" w:lineRule="auto"/>
        <w:ind w:left="423"/>
        <w:rPr>
          <w:rFonts w:ascii="宋体" w:hAnsi="宋体" w:eastAsia="宋体" w:cs="宋体"/>
          <w:sz w:val="20"/>
          <w:szCs w:val="20"/>
        </w:rPr>
      </w:pPr>
      <w:r>
        <w:rPr>
          <w:rFonts w:ascii="宋体" w:hAnsi="宋体" w:eastAsia="宋体" w:cs="宋体"/>
          <w:spacing w:val="9"/>
          <w:sz w:val="20"/>
          <w:szCs w:val="20"/>
        </w:rPr>
        <w:t>发包人和承包人同意以下情形视为异常恶劣的气候条件：</w:t>
      </w:r>
    </w:p>
    <w:p w14:paraId="131326FD">
      <w:pPr>
        <w:spacing w:before="154" w:line="361" w:lineRule="auto"/>
        <w:ind w:left="430" w:right="3189"/>
        <w:rPr>
          <w:rFonts w:ascii="宋体" w:hAnsi="宋体" w:eastAsia="宋体" w:cs="宋体"/>
          <w:sz w:val="20"/>
          <w:szCs w:val="20"/>
        </w:rPr>
      </w:pPr>
      <w:r>
        <w:rPr>
          <w:rFonts w:ascii="宋体" w:hAnsi="宋体" w:eastAsia="宋体" w:cs="宋体"/>
          <w:spacing w:val="-3"/>
          <w:sz w:val="20"/>
          <w:szCs w:val="20"/>
        </w:rPr>
        <w:t>（1</w:t>
      </w:r>
      <w:r>
        <w:rPr>
          <w:rFonts w:ascii="宋体" w:hAnsi="宋体" w:eastAsia="宋体" w:cs="宋体"/>
          <w:spacing w:val="-8"/>
          <w:sz w:val="20"/>
          <w:szCs w:val="20"/>
        </w:rPr>
        <w:t>）</w:t>
      </w:r>
      <w:r>
        <w:rPr>
          <w:rFonts w:ascii="宋体" w:hAnsi="宋体" w:eastAsia="宋体" w:cs="宋体"/>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16"/>
          <w:sz w:val="20"/>
          <w:szCs w:val="20"/>
        </w:rPr>
        <w:t xml:space="preserve"> </w:t>
      </w:r>
      <w:r>
        <w:rPr>
          <w:rFonts w:ascii="宋体" w:hAnsi="宋体" w:eastAsia="宋体" w:cs="宋体"/>
          <w:spacing w:val="-3"/>
          <w:sz w:val="20"/>
          <w:szCs w:val="20"/>
        </w:rPr>
        <w:t>（2</w:t>
      </w:r>
      <w:r>
        <w:rPr>
          <w:rFonts w:ascii="宋体" w:hAnsi="宋体" w:eastAsia="宋体" w:cs="宋体"/>
          <w:spacing w:val="-8"/>
          <w:sz w:val="20"/>
          <w:szCs w:val="20"/>
        </w:rPr>
        <w:t>）</w:t>
      </w:r>
      <w:r>
        <w:rPr>
          <w:rFonts w:ascii="宋体" w:hAnsi="宋体" w:eastAsia="宋体" w:cs="宋体"/>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16"/>
          <w:sz w:val="20"/>
          <w:szCs w:val="20"/>
        </w:rPr>
        <w:t xml:space="preserve"> </w:t>
      </w:r>
      <w:r>
        <w:rPr>
          <w:rFonts w:ascii="宋体" w:hAnsi="宋体" w:eastAsia="宋体" w:cs="宋体"/>
          <w:spacing w:val="-2"/>
          <w:sz w:val="20"/>
          <w:szCs w:val="20"/>
        </w:rPr>
        <w:t>（3）</w:t>
      </w:r>
      <w:r>
        <w:rPr>
          <w:rFonts w:ascii="宋体" w:hAnsi="宋体" w:eastAsia="宋体" w:cs="宋体"/>
          <w:spacing w:val="-2"/>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04947902">
      <w:pPr>
        <w:pStyle w:val="2"/>
        <w:spacing w:before="1" w:line="220" w:lineRule="auto"/>
        <w:rPr>
          <w:sz w:val="24"/>
          <w:szCs w:val="24"/>
        </w:rPr>
      </w:pPr>
      <w:r>
        <w:rPr>
          <w:rFonts w:ascii="Times New Roman" w:hAnsi="Times New Roman" w:eastAsia="Times New Roman" w:cs="Times New Roman"/>
          <w:b/>
          <w:bCs/>
          <w:spacing w:val="-2"/>
          <w:sz w:val="24"/>
          <w:szCs w:val="24"/>
        </w:rPr>
        <w:t xml:space="preserve">7.9  </w:t>
      </w:r>
      <w:r>
        <w:rPr>
          <w:b/>
          <w:bCs/>
          <w:spacing w:val="-2"/>
          <w:sz w:val="24"/>
          <w:szCs w:val="24"/>
        </w:rPr>
        <w:t>提前竣工的奖励</w:t>
      </w:r>
    </w:p>
    <w:p w14:paraId="312ACEDC">
      <w:pPr>
        <w:spacing w:before="140" w:line="228" w:lineRule="auto"/>
        <w:ind w:left="425"/>
        <w:rPr>
          <w:rFonts w:ascii="宋体" w:hAnsi="宋体" w:eastAsia="宋体" w:cs="宋体"/>
          <w:sz w:val="20"/>
          <w:szCs w:val="20"/>
        </w:rPr>
      </w:pPr>
      <w:r>
        <w:rPr>
          <w:rFonts w:ascii="宋体" w:hAnsi="宋体" w:eastAsia="宋体" w:cs="宋体"/>
          <w:spacing w:val="5"/>
          <w:sz w:val="20"/>
          <w:szCs w:val="20"/>
        </w:rPr>
        <w:t>7.9.2</w:t>
      </w:r>
      <w:r>
        <w:rPr>
          <w:rFonts w:ascii="宋体" w:hAnsi="宋体" w:eastAsia="宋体" w:cs="宋体"/>
          <w:spacing w:val="-35"/>
          <w:sz w:val="20"/>
          <w:szCs w:val="20"/>
        </w:rPr>
        <w:t xml:space="preserve"> </w:t>
      </w:r>
      <w:r>
        <w:rPr>
          <w:rFonts w:ascii="宋体" w:hAnsi="宋体" w:eastAsia="宋体" w:cs="宋体"/>
          <w:spacing w:val="5"/>
          <w:sz w:val="20"/>
          <w:szCs w:val="20"/>
        </w:rPr>
        <w:t>提前竣工的奖励：</w:t>
      </w:r>
    </w:p>
    <w:p w14:paraId="3102F0F3">
      <w:pPr>
        <w:spacing w:before="287" w:line="45" w:lineRule="exact"/>
        <w:ind w:left="8420"/>
        <w:rPr>
          <w:rFonts w:ascii="宋体" w:hAnsi="宋体" w:eastAsia="宋体" w:cs="宋体"/>
          <w:sz w:val="20"/>
          <w:szCs w:val="20"/>
        </w:rPr>
      </w:pPr>
      <w:r>
        <w:pict>
          <v:shape id="_x0000_s1063" o:spid="_x0000_s1063" o:spt="202" type="#_x0000_t202" style="position:absolute;left:0pt;margin-left:19.55pt;margin-top:6.95pt;height:14.1pt;width:401pt;z-index:251706368;mso-width-relative:page;mso-height-relative:page;" filled="f" stroked="f" coordsize="21600,21600">
            <v:path/>
            <v:fill on="f" focussize="0,0"/>
            <v:stroke on="f"/>
            <v:imagedata o:title=""/>
            <o:lock v:ext="edit" aspectratio="f"/>
            <v:textbox inset="0mm,0mm,0mm,0mm">
              <w:txbxContent>
                <w:p w14:paraId="29012F13">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4DB0ACE0">
      <w:pPr>
        <w:pStyle w:val="2"/>
        <w:spacing w:before="260" w:line="222" w:lineRule="auto"/>
        <w:ind w:left="1"/>
        <w:outlineLvl w:val="2"/>
        <w:rPr>
          <w:sz w:val="28"/>
          <w:szCs w:val="28"/>
        </w:rPr>
      </w:pPr>
      <w:bookmarkStart w:id="291" w:name="bookmark273"/>
      <w:bookmarkEnd w:id="291"/>
      <w:r>
        <w:rPr>
          <w:rFonts w:ascii="Times New Roman" w:hAnsi="Times New Roman" w:eastAsia="Times New Roman" w:cs="Times New Roman"/>
          <w:b/>
          <w:bCs/>
          <w:spacing w:val="-3"/>
          <w:sz w:val="28"/>
          <w:szCs w:val="28"/>
        </w:rPr>
        <w:t xml:space="preserve">8.  </w:t>
      </w:r>
      <w:r>
        <w:rPr>
          <w:b/>
          <w:bCs/>
          <w:spacing w:val="-3"/>
          <w:sz w:val="28"/>
          <w:szCs w:val="28"/>
        </w:rPr>
        <w:t>材料与设备</w:t>
      </w:r>
    </w:p>
    <w:p w14:paraId="2608482D">
      <w:pPr>
        <w:pStyle w:val="2"/>
        <w:spacing w:before="99" w:line="222" w:lineRule="auto"/>
        <w:rPr>
          <w:sz w:val="24"/>
          <w:szCs w:val="24"/>
        </w:rPr>
      </w:pPr>
      <w:r>
        <w:rPr>
          <w:rFonts w:ascii="Times New Roman" w:hAnsi="Times New Roman" w:eastAsia="Times New Roman" w:cs="Times New Roman"/>
          <w:b/>
          <w:bCs/>
          <w:spacing w:val="-2"/>
          <w:sz w:val="24"/>
          <w:szCs w:val="24"/>
        </w:rPr>
        <w:t xml:space="preserve">8.4 </w:t>
      </w:r>
      <w:r>
        <w:rPr>
          <w:b/>
          <w:bCs/>
          <w:spacing w:val="-2"/>
          <w:sz w:val="24"/>
          <w:szCs w:val="24"/>
        </w:rPr>
        <w:t>材料与工程设备的保管与使用</w:t>
      </w:r>
    </w:p>
    <w:p w14:paraId="20CAF605">
      <w:pPr>
        <w:spacing w:before="136" w:line="227" w:lineRule="auto"/>
        <w:ind w:left="420"/>
        <w:rPr>
          <w:rFonts w:ascii="宋体" w:hAnsi="宋体" w:eastAsia="宋体" w:cs="宋体"/>
          <w:sz w:val="20"/>
          <w:szCs w:val="20"/>
        </w:rPr>
      </w:pPr>
      <w:r>
        <w:rPr>
          <w:rFonts w:ascii="宋体" w:hAnsi="宋体" w:eastAsia="宋体" w:cs="宋体"/>
          <w:spacing w:val="7"/>
          <w:sz w:val="20"/>
          <w:szCs w:val="20"/>
        </w:rPr>
        <w:t>8.4.1</w:t>
      </w:r>
      <w:r>
        <w:rPr>
          <w:rFonts w:ascii="宋体" w:hAnsi="宋体" w:eastAsia="宋体" w:cs="宋体"/>
          <w:spacing w:val="-25"/>
          <w:sz w:val="20"/>
          <w:szCs w:val="20"/>
        </w:rPr>
        <w:t xml:space="preserve"> </w:t>
      </w:r>
      <w:r>
        <w:rPr>
          <w:rFonts w:ascii="宋体" w:hAnsi="宋体" w:eastAsia="宋体" w:cs="宋体"/>
          <w:spacing w:val="7"/>
          <w:sz w:val="20"/>
          <w:szCs w:val="20"/>
        </w:rPr>
        <w:t>发包人供应的材料设备的保管费用的承担：</w:t>
      </w:r>
    </w:p>
    <w:p w14:paraId="5C048B35">
      <w:pPr>
        <w:spacing w:line="265" w:lineRule="auto"/>
        <w:rPr>
          <w:rFonts w:ascii="Arial"/>
          <w:sz w:val="21"/>
        </w:rPr>
      </w:pPr>
    </w:p>
    <w:p w14:paraId="3F2FE09F">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A180541">
      <w:pPr>
        <w:pStyle w:val="2"/>
        <w:spacing w:before="174" w:line="224" w:lineRule="auto"/>
        <w:rPr>
          <w:sz w:val="24"/>
          <w:szCs w:val="24"/>
        </w:rPr>
      </w:pPr>
      <w:r>
        <w:rPr>
          <w:rFonts w:ascii="Times New Roman" w:hAnsi="Times New Roman" w:eastAsia="Times New Roman" w:cs="Times New Roman"/>
          <w:b/>
          <w:bCs/>
          <w:spacing w:val="-5"/>
          <w:sz w:val="24"/>
          <w:szCs w:val="24"/>
        </w:rPr>
        <w:t>8.6</w:t>
      </w:r>
      <w:r>
        <w:rPr>
          <w:rFonts w:ascii="Times New Roman" w:hAnsi="Times New Roman" w:eastAsia="Times New Roman" w:cs="Times New Roman"/>
          <w:b/>
          <w:bCs/>
          <w:spacing w:val="5"/>
          <w:sz w:val="24"/>
          <w:szCs w:val="24"/>
        </w:rPr>
        <w:t xml:space="preserve">  </w:t>
      </w:r>
      <w:r>
        <w:rPr>
          <w:b/>
          <w:bCs/>
          <w:spacing w:val="-5"/>
          <w:sz w:val="24"/>
          <w:szCs w:val="24"/>
        </w:rPr>
        <w:t>样品</w:t>
      </w:r>
    </w:p>
    <w:p w14:paraId="3F38DA91">
      <w:pPr>
        <w:spacing w:before="134" w:line="228" w:lineRule="auto"/>
        <w:ind w:left="420"/>
        <w:rPr>
          <w:rFonts w:ascii="宋体" w:hAnsi="宋体" w:eastAsia="宋体" w:cs="宋体"/>
          <w:sz w:val="20"/>
          <w:szCs w:val="20"/>
        </w:rPr>
      </w:pPr>
      <w:r>
        <w:rPr>
          <w:rFonts w:ascii="宋体" w:hAnsi="宋体" w:eastAsia="宋体" w:cs="宋体"/>
          <w:spacing w:val="6"/>
          <w:sz w:val="20"/>
          <w:szCs w:val="20"/>
        </w:rPr>
        <w:t>8.6.1</w:t>
      </w:r>
      <w:r>
        <w:rPr>
          <w:rFonts w:ascii="宋体" w:hAnsi="宋体" w:eastAsia="宋体" w:cs="宋体"/>
          <w:spacing w:val="-32"/>
          <w:sz w:val="20"/>
          <w:szCs w:val="20"/>
        </w:rPr>
        <w:t xml:space="preserve"> </w:t>
      </w:r>
      <w:r>
        <w:rPr>
          <w:rFonts w:ascii="宋体" w:hAnsi="宋体" w:eastAsia="宋体" w:cs="宋体"/>
          <w:spacing w:val="6"/>
          <w:sz w:val="20"/>
          <w:szCs w:val="20"/>
        </w:rPr>
        <w:t>样品的报送与封存</w:t>
      </w:r>
    </w:p>
    <w:p w14:paraId="2A06FD7F">
      <w:pPr>
        <w:spacing w:before="154" w:line="227" w:lineRule="auto"/>
        <w:ind w:left="431"/>
        <w:rPr>
          <w:rFonts w:ascii="宋体" w:hAnsi="宋体" w:eastAsia="宋体" w:cs="宋体"/>
          <w:sz w:val="20"/>
          <w:szCs w:val="20"/>
        </w:rPr>
      </w:pPr>
      <w:r>
        <w:rPr>
          <w:rFonts w:ascii="宋体" w:hAnsi="宋体" w:eastAsia="宋体" w:cs="宋体"/>
          <w:spacing w:val="9"/>
          <w:sz w:val="20"/>
          <w:szCs w:val="20"/>
        </w:rPr>
        <w:t>需要承包人报送样品的材料或工程设备，样品的种类、名称、规格、数量要求：</w:t>
      </w:r>
    </w:p>
    <w:p w14:paraId="6A814CEB">
      <w:pPr>
        <w:spacing w:before="287" w:line="46" w:lineRule="exact"/>
        <w:ind w:left="8420"/>
        <w:rPr>
          <w:rFonts w:ascii="宋体" w:hAnsi="宋体" w:eastAsia="宋体" w:cs="宋体"/>
          <w:sz w:val="20"/>
          <w:szCs w:val="20"/>
        </w:rPr>
      </w:pPr>
      <w:r>
        <w:pict>
          <v:shape id="_x0000_s1064" o:spid="_x0000_s1064" o:spt="202" type="#_x0000_t202" style="position:absolute;left:0pt;margin-left:19.55pt;margin-top:7pt;height:14.1pt;width:401pt;z-index:251705344;mso-width-relative:page;mso-height-relative:page;" filled="f" stroked="f" coordsize="21600,21600">
            <v:path/>
            <v:fill on="f" focussize="0,0"/>
            <v:stroke on="f"/>
            <v:imagedata o:title=""/>
            <o:lock v:ext="edit" aspectratio="f"/>
            <v:textbox inset="0mm,0mm,0mm,0mm">
              <w:txbxContent>
                <w:p w14:paraId="1EF7CC4A">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3811E81E">
      <w:pPr>
        <w:spacing w:line="46" w:lineRule="exact"/>
        <w:rPr>
          <w:rFonts w:ascii="宋体" w:hAnsi="宋体" w:eastAsia="宋体" w:cs="宋体"/>
          <w:sz w:val="20"/>
          <w:szCs w:val="20"/>
        </w:rPr>
        <w:sectPr>
          <w:headerReference r:id="rId297" w:type="default"/>
          <w:footerReference r:id="rId298" w:type="default"/>
          <w:pgSz w:w="11906" w:h="16839"/>
          <w:pgMar w:top="400" w:right="1551" w:bottom="1038" w:left="1539" w:header="0" w:footer="787" w:gutter="0"/>
          <w:cols w:space="720" w:num="1"/>
        </w:sectPr>
      </w:pPr>
    </w:p>
    <w:p w14:paraId="3E64CC1A">
      <w:pPr>
        <w:pStyle w:val="2"/>
        <w:spacing w:before="223" w:line="222" w:lineRule="auto"/>
        <w:ind w:left="1"/>
        <w:outlineLvl w:val="2"/>
        <w:rPr>
          <w:sz w:val="28"/>
          <w:szCs w:val="28"/>
        </w:rPr>
      </w:pPr>
      <w:bookmarkStart w:id="292" w:name="bookmark274"/>
      <w:bookmarkEnd w:id="292"/>
      <w:r>
        <w:rPr>
          <w:rFonts w:ascii="Times New Roman" w:hAnsi="Times New Roman" w:eastAsia="Times New Roman" w:cs="Times New Roman"/>
          <w:b/>
          <w:bCs/>
          <w:spacing w:val="-3"/>
          <w:sz w:val="28"/>
          <w:szCs w:val="28"/>
        </w:rPr>
        <w:t xml:space="preserve">9.  </w:t>
      </w:r>
      <w:r>
        <w:rPr>
          <w:b/>
          <w:bCs/>
          <w:spacing w:val="-3"/>
          <w:sz w:val="28"/>
          <w:szCs w:val="28"/>
        </w:rPr>
        <w:t>试验与检验</w:t>
      </w:r>
    </w:p>
    <w:p w14:paraId="046BA0BF">
      <w:pPr>
        <w:pStyle w:val="2"/>
        <w:spacing w:before="99" w:line="221" w:lineRule="auto"/>
        <w:rPr>
          <w:sz w:val="24"/>
          <w:szCs w:val="24"/>
        </w:rPr>
      </w:pPr>
      <w:r>
        <w:rPr>
          <w:rFonts w:ascii="Times New Roman" w:hAnsi="Times New Roman" w:eastAsia="Times New Roman" w:cs="Times New Roman"/>
          <w:b/>
          <w:bCs/>
          <w:spacing w:val="-2"/>
          <w:sz w:val="24"/>
          <w:szCs w:val="24"/>
        </w:rPr>
        <w:t xml:space="preserve">9.1 </w:t>
      </w:r>
      <w:r>
        <w:rPr>
          <w:b/>
          <w:bCs/>
          <w:spacing w:val="-2"/>
          <w:sz w:val="24"/>
          <w:szCs w:val="24"/>
        </w:rPr>
        <w:t>试验设备与试验人员</w:t>
      </w:r>
    </w:p>
    <w:p w14:paraId="246EE07D">
      <w:pPr>
        <w:spacing w:before="138" w:line="229" w:lineRule="auto"/>
        <w:ind w:left="421"/>
        <w:rPr>
          <w:rFonts w:ascii="宋体" w:hAnsi="宋体" w:eastAsia="宋体" w:cs="宋体"/>
          <w:sz w:val="20"/>
          <w:szCs w:val="20"/>
        </w:rPr>
      </w:pPr>
      <w:r>
        <w:rPr>
          <w:rFonts w:ascii="宋体" w:hAnsi="宋体" w:eastAsia="宋体" w:cs="宋体"/>
          <w:spacing w:val="5"/>
          <w:sz w:val="20"/>
          <w:szCs w:val="20"/>
        </w:rPr>
        <w:t>9.1.2 试验设备</w:t>
      </w:r>
    </w:p>
    <w:p w14:paraId="6519306B">
      <w:pPr>
        <w:spacing w:before="153" w:line="228" w:lineRule="auto"/>
        <w:ind w:left="419"/>
        <w:rPr>
          <w:rFonts w:ascii="宋体" w:hAnsi="宋体" w:eastAsia="宋体" w:cs="宋体"/>
          <w:sz w:val="20"/>
          <w:szCs w:val="20"/>
        </w:rPr>
      </w:pPr>
      <w:r>
        <w:rPr>
          <w:rFonts w:ascii="宋体" w:hAnsi="宋体" w:eastAsia="宋体" w:cs="宋体"/>
          <w:spacing w:val="8"/>
          <w:sz w:val="20"/>
          <w:szCs w:val="20"/>
        </w:rPr>
        <w:t>施工现场需要配置的试验场所：</w:t>
      </w:r>
    </w:p>
    <w:p w14:paraId="2E8CCF5B">
      <w:pPr>
        <w:spacing w:line="263" w:lineRule="auto"/>
        <w:rPr>
          <w:rFonts w:ascii="Arial"/>
          <w:sz w:val="21"/>
        </w:rPr>
      </w:pPr>
    </w:p>
    <w:p w14:paraId="0371DDF4">
      <w:pPr>
        <w:tabs>
          <w:tab w:val="left" w:pos="8392"/>
        </w:tabs>
        <w:spacing w:before="23" w:line="173" w:lineRule="auto"/>
        <w:ind w:left="41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7F1D333">
      <w:pPr>
        <w:spacing w:before="198" w:line="228" w:lineRule="auto"/>
        <w:ind w:left="419"/>
        <w:rPr>
          <w:rFonts w:ascii="宋体" w:hAnsi="宋体" w:eastAsia="宋体" w:cs="宋体"/>
          <w:sz w:val="20"/>
          <w:szCs w:val="20"/>
        </w:rPr>
      </w:pPr>
      <w:r>
        <w:rPr>
          <w:rFonts w:ascii="宋体" w:hAnsi="宋体" w:eastAsia="宋体" w:cs="宋体"/>
          <w:spacing w:val="8"/>
          <w:sz w:val="20"/>
          <w:szCs w:val="20"/>
        </w:rPr>
        <w:t>施工现场需要配备的试验设备：</w:t>
      </w:r>
    </w:p>
    <w:p w14:paraId="7F094333">
      <w:pPr>
        <w:spacing w:line="263" w:lineRule="auto"/>
        <w:rPr>
          <w:rFonts w:ascii="Arial"/>
          <w:sz w:val="21"/>
        </w:rPr>
      </w:pPr>
    </w:p>
    <w:p w14:paraId="183CCBB5">
      <w:pPr>
        <w:tabs>
          <w:tab w:val="left" w:pos="8392"/>
        </w:tabs>
        <w:spacing w:before="24" w:line="173" w:lineRule="auto"/>
        <w:ind w:left="41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C2B4824">
      <w:pPr>
        <w:spacing w:before="200" w:line="228" w:lineRule="auto"/>
        <w:ind w:left="419"/>
        <w:rPr>
          <w:rFonts w:ascii="宋体" w:hAnsi="宋体" w:eastAsia="宋体" w:cs="宋体"/>
          <w:sz w:val="20"/>
          <w:szCs w:val="20"/>
        </w:rPr>
      </w:pPr>
      <w:r>
        <w:rPr>
          <w:rFonts w:ascii="宋体" w:hAnsi="宋体" w:eastAsia="宋体" w:cs="宋体"/>
          <w:spacing w:val="8"/>
          <w:sz w:val="20"/>
          <w:szCs w:val="20"/>
        </w:rPr>
        <w:t>施工现场需要具备的其他试验条件：</w:t>
      </w:r>
    </w:p>
    <w:p w14:paraId="2C627EA0">
      <w:pPr>
        <w:spacing w:before="286" w:line="46" w:lineRule="exact"/>
        <w:ind w:left="8421"/>
        <w:rPr>
          <w:rFonts w:ascii="宋体" w:hAnsi="宋体" w:eastAsia="宋体" w:cs="宋体"/>
          <w:sz w:val="20"/>
          <w:szCs w:val="20"/>
        </w:rPr>
      </w:pPr>
      <w:r>
        <w:pict>
          <v:shape id="_x0000_s1065" o:spid="_x0000_s1065" o:spt="202" type="#_x0000_t202" style="position:absolute;left:0pt;margin-left:19.6pt;margin-top:6.95pt;height:14.1pt;width:401pt;z-index:251709440;mso-width-relative:page;mso-height-relative:page;" filled="f" stroked="f" coordsize="21600,21600">
            <v:path/>
            <v:fill on="f" focussize="0,0"/>
            <v:stroke on="f"/>
            <v:imagedata o:title=""/>
            <o:lock v:ext="edit" aspectratio="f"/>
            <v:textbox inset="0mm,0mm,0mm,0mm">
              <w:txbxContent>
                <w:p w14:paraId="57512FAE">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437A98D8">
      <w:pPr>
        <w:pStyle w:val="2"/>
        <w:spacing w:before="194" w:line="221" w:lineRule="auto"/>
        <w:rPr>
          <w:sz w:val="24"/>
          <w:szCs w:val="24"/>
        </w:rPr>
      </w:pPr>
      <w:r>
        <w:rPr>
          <w:rFonts w:ascii="Times New Roman" w:hAnsi="Times New Roman" w:eastAsia="Times New Roman" w:cs="Times New Roman"/>
          <w:b/>
          <w:bCs/>
          <w:spacing w:val="-2"/>
          <w:sz w:val="24"/>
          <w:szCs w:val="24"/>
        </w:rPr>
        <w:t xml:space="preserve">9.4  </w:t>
      </w:r>
      <w:r>
        <w:rPr>
          <w:b/>
          <w:bCs/>
          <w:spacing w:val="-2"/>
          <w:sz w:val="24"/>
          <w:szCs w:val="24"/>
        </w:rPr>
        <w:t>现场工艺试验</w:t>
      </w:r>
    </w:p>
    <w:p w14:paraId="1439687F">
      <w:pPr>
        <w:spacing w:before="140" w:line="228" w:lineRule="auto"/>
        <w:ind w:left="422"/>
        <w:rPr>
          <w:rFonts w:ascii="宋体" w:hAnsi="宋体" w:eastAsia="宋体" w:cs="宋体"/>
          <w:sz w:val="20"/>
          <w:szCs w:val="20"/>
        </w:rPr>
      </w:pPr>
      <w:r>
        <w:rPr>
          <w:rFonts w:ascii="宋体" w:hAnsi="宋体" w:eastAsia="宋体" w:cs="宋体"/>
          <w:spacing w:val="8"/>
          <w:sz w:val="20"/>
          <w:szCs w:val="20"/>
        </w:rPr>
        <w:t>现场工艺试验的有关约定：</w:t>
      </w:r>
    </w:p>
    <w:p w14:paraId="43565937">
      <w:pPr>
        <w:spacing w:before="286" w:line="45" w:lineRule="exact"/>
        <w:ind w:left="8421"/>
        <w:rPr>
          <w:rFonts w:ascii="宋体" w:hAnsi="宋体" w:eastAsia="宋体" w:cs="宋体"/>
          <w:sz w:val="20"/>
          <w:szCs w:val="20"/>
        </w:rPr>
      </w:pPr>
      <w:r>
        <w:pict>
          <v:shape id="_x0000_s1066" o:spid="_x0000_s1066" o:spt="202" type="#_x0000_t202" style="position:absolute;left:0pt;margin-left:19.6pt;margin-top:6.9pt;height:14.1pt;width:401pt;z-index:251708416;mso-width-relative:page;mso-height-relative:page;" filled="f" stroked="f" coordsize="21600,21600">
            <v:path/>
            <v:fill on="f" focussize="0,0"/>
            <v:stroke on="f"/>
            <v:imagedata o:title=""/>
            <o:lock v:ext="edit" aspectratio="f"/>
            <v:textbox inset="0mm,0mm,0mm,0mm">
              <w:txbxContent>
                <w:p w14:paraId="27ABD951">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4D3F448A">
      <w:pPr>
        <w:pStyle w:val="2"/>
        <w:spacing w:before="260" w:line="222" w:lineRule="auto"/>
        <w:ind w:left="11"/>
        <w:outlineLvl w:val="2"/>
        <w:rPr>
          <w:sz w:val="28"/>
          <w:szCs w:val="28"/>
        </w:rPr>
      </w:pPr>
      <w:bookmarkStart w:id="293" w:name="bookmark275"/>
      <w:bookmarkEnd w:id="293"/>
      <w:r>
        <w:rPr>
          <w:rFonts w:ascii="Times New Roman" w:hAnsi="Times New Roman" w:eastAsia="Times New Roman" w:cs="Times New Roman"/>
          <w:b/>
          <w:bCs/>
          <w:spacing w:val="-8"/>
          <w:sz w:val="28"/>
          <w:szCs w:val="28"/>
        </w:rPr>
        <w:t>10.</w:t>
      </w:r>
      <w:r>
        <w:rPr>
          <w:rFonts w:ascii="Times New Roman" w:hAnsi="Times New Roman" w:eastAsia="Times New Roman" w:cs="Times New Roman"/>
          <w:b/>
          <w:bCs/>
          <w:spacing w:val="7"/>
          <w:sz w:val="28"/>
          <w:szCs w:val="28"/>
        </w:rPr>
        <w:t xml:space="preserve">  </w:t>
      </w:r>
      <w:r>
        <w:rPr>
          <w:b/>
          <w:bCs/>
          <w:spacing w:val="-8"/>
          <w:sz w:val="28"/>
          <w:szCs w:val="28"/>
        </w:rPr>
        <w:t>变更</w:t>
      </w:r>
    </w:p>
    <w:p w14:paraId="1DDCA519">
      <w:pPr>
        <w:pStyle w:val="2"/>
        <w:spacing w:before="99" w:line="222" w:lineRule="auto"/>
        <w:ind w:left="8"/>
        <w:rPr>
          <w:sz w:val="24"/>
          <w:szCs w:val="24"/>
        </w:rPr>
      </w:pPr>
      <w:r>
        <w:rPr>
          <w:rFonts w:ascii="Times New Roman" w:hAnsi="Times New Roman" w:eastAsia="Times New Roman" w:cs="Times New Roman"/>
          <w:b/>
          <w:bCs/>
          <w:spacing w:val="-3"/>
          <w:sz w:val="24"/>
          <w:szCs w:val="24"/>
        </w:rPr>
        <w:t xml:space="preserve">10.1 </w:t>
      </w:r>
      <w:r>
        <w:rPr>
          <w:b/>
          <w:bCs/>
          <w:spacing w:val="-3"/>
          <w:sz w:val="24"/>
          <w:szCs w:val="24"/>
        </w:rPr>
        <w:t>变更的范围</w:t>
      </w:r>
    </w:p>
    <w:p w14:paraId="30065911">
      <w:pPr>
        <w:spacing w:before="137" w:line="228" w:lineRule="auto"/>
        <w:ind w:left="424"/>
        <w:rPr>
          <w:rFonts w:ascii="宋体" w:hAnsi="宋体" w:eastAsia="宋体" w:cs="宋体"/>
          <w:sz w:val="20"/>
          <w:szCs w:val="20"/>
        </w:rPr>
      </w:pPr>
      <w:r>
        <w:rPr>
          <w:rFonts w:ascii="宋体" w:hAnsi="宋体" w:eastAsia="宋体" w:cs="宋体"/>
          <w:spacing w:val="7"/>
          <w:sz w:val="20"/>
          <w:szCs w:val="20"/>
        </w:rPr>
        <w:t>关于变更的范围的约定：</w:t>
      </w:r>
    </w:p>
    <w:p w14:paraId="7B54EBA2">
      <w:pPr>
        <w:spacing w:line="263" w:lineRule="auto"/>
        <w:rPr>
          <w:rFonts w:ascii="Arial"/>
          <w:sz w:val="21"/>
        </w:rPr>
      </w:pPr>
    </w:p>
    <w:p w14:paraId="377087F6">
      <w:pPr>
        <w:tabs>
          <w:tab w:val="left" w:pos="8392"/>
        </w:tabs>
        <w:spacing w:before="24" w:line="173" w:lineRule="auto"/>
        <w:ind w:left="41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34AB343">
      <w:pPr>
        <w:pStyle w:val="2"/>
        <w:spacing w:before="173" w:line="222" w:lineRule="auto"/>
        <w:ind w:left="8"/>
        <w:rPr>
          <w:sz w:val="24"/>
          <w:szCs w:val="24"/>
        </w:rPr>
      </w:pPr>
      <w:r>
        <w:rPr>
          <w:rFonts w:ascii="Times New Roman" w:hAnsi="Times New Roman" w:eastAsia="Times New Roman" w:cs="Times New Roman"/>
          <w:b/>
          <w:bCs/>
          <w:spacing w:val="-5"/>
          <w:sz w:val="24"/>
          <w:szCs w:val="24"/>
        </w:rPr>
        <w:t>10.4</w:t>
      </w:r>
      <w:r>
        <w:rPr>
          <w:rFonts w:ascii="Times New Roman" w:hAnsi="Times New Roman" w:eastAsia="Times New Roman" w:cs="Times New Roman"/>
          <w:b/>
          <w:bCs/>
          <w:spacing w:val="7"/>
          <w:sz w:val="24"/>
          <w:szCs w:val="24"/>
        </w:rPr>
        <w:t xml:space="preserve">  </w:t>
      </w:r>
      <w:r>
        <w:rPr>
          <w:b/>
          <w:bCs/>
          <w:spacing w:val="-5"/>
          <w:sz w:val="24"/>
          <w:szCs w:val="24"/>
        </w:rPr>
        <w:t>变更估价</w:t>
      </w:r>
    </w:p>
    <w:p w14:paraId="682CE436">
      <w:pPr>
        <w:spacing w:before="137" w:line="226" w:lineRule="auto"/>
        <w:ind w:left="436"/>
        <w:rPr>
          <w:rFonts w:ascii="宋体" w:hAnsi="宋体" w:eastAsia="宋体" w:cs="宋体"/>
          <w:sz w:val="20"/>
          <w:szCs w:val="20"/>
        </w:rPr>
      </w:pPr>
      <w:r>
        <w:rPr>
          <w:rFonts w:ascii="宋体" w:hAnsi="宋体" w:eastAsia="宋体" w:cs="宋体"/>
          <w:spacing w:val="5"/>
          <w:sz w:val="20"/>
          <w:szCs w:val="20"/>
        </w:rPr>
        <w:t>10.4.1 变更估价原则</w:t>
      </w:r>
    </w:p>
    <w:p w14:paraId="2081188F">
      <w:pPr>
        <w:spacing w:before="156" w:line="226" w:lineRule="auto"/>
        <w:ind w:left="424"/>
        <w:rPr>
          <w:rFonts w:ascii="宋体" w:hAnsi="宋体" w:eastAsia="宋体" w:cs="宋体"/>
          <w:sz w:val="20"/>
          <w:szCs w:val="20"/>
        </w:rPr>
      </w:pPr>
      <w:r>
        <w:rPr>
          <w:rFonts w:ascii="宋体" w:hAnsi="宋体" w:eastAsia="宋体" w:cs="宋体"/>
          <w:spacing w:val="11"/>
          <w:sz w:val="20"/>
          <w:szCs w:val="20"/>
        </w:rPr>
        <w:t>关于变更估价的约定:</w:t>
      </w:r>
    </w:p>
    <w:p w14:paraId="79EBAC0B">
      <w:pPr>
        <w:spacing w:before="288" w:line="46" w:lineRule="exact"/>
        <w:ind w:left="8421"/>
        <w:rPr>
          <w:rFonts w:ascii="宋体" w:hAnsi="宋体" w:eastAsia="宋体" w:cs="宋体"/>
          <w:sz w:val="20"/>
          <w:szCs w:val="20"/>
        </w:rPr>
      </w:pPr>
      <w:r>
        <w:pict>
          <v:shape id="_x0000_s1067" o:spid="_x0000_s1067" o:spt="202" type="#_x0000_t202" style="position:absolute;left:0pt;margin-left:19.6pt;margin-top:7pt;height:14.1pt;width:401pt;z-index:251707392;mso-width-relative:page;mso-height-relative:page;" filled="f" stroked="f" coordsize="21600,21600">
            <v:path/>
            <v:fill on="f" focussize="0,0"/>
            <v:stroke on="f"/>
            <v:imagedata o:title=""/>
            <o:lock v:ext="edit" aspectratio="f"/>
            <v:textbox inset="0mm,0mm,0mm,0mm">
              <w:txbxContent>
                <w:p w14:paraId="3A84870F">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397351FE">
      <w:pPr>
        <w:pStyle w:val="2"/>
        <w:spacing w:before="193" w:line="222" w:lineRule="auto"/>
        <w:ind w:left="8"/>
        <w:rPr>
          <w:sz w:val="24"/>
          <w:szCs w:val="24"/>
        </w:rPr>
      </w:pPr>
      <w:r>
        <w:rPr>
          <w:rFonts w:ascii="Times New Roman" w:hAnsi="Times New Roman" w:eastAsia="Times New Roman" w:cs="Times New Roman"/>
          <w:b/>
          <w:bCs/>
          <w:spacing w:val="-3"/>
          <w:sz w:val="24"/>
          <w:szCs w:val="24"/>
        </w:rPr>
        <w:t xml:space="preserve">10.5 </w:t>
      </w:r>
      <w:r>
        <w:rPr>
          <w:b/>
          <w:bCs/>
          <w:spacing w:val="-3"/>
          <w:sz w:val="24"/>
          <w:szCs w:val="24"/>
        </w:rPr>
        <w:t>承包人的合理化建议</w:t>
      </w:r>
    </w:p>
    <w:p w14:paraId="3CF449A5">
      <w:pPr>
        <w:spacing w:before="139" w:line="228" w:lineRule="auto"/>
        <w:ind w:left="421"/>
        <w:rPr>
          <w:rFonts w:ascii="宋体" w:hAnsi="宋体" w:eastAsia="宋体" w:cs="宋体"/>
          <w:sz w:val="20"/>
          <w:szCs w:val="20"/>
        </w:rPr>
      </w:pPr>
      <w:r>
        <w:rPr>
          <w:rFonts w:ascii="宋体" w:hAnsi="宋体" w:eastAsia="宋体" w:cs="宋体"/>
          <w:spacing w:val="7"/>
          <w:sz w:val="20"/>
          <w:szCs w:val="20"/>
        </w:rPr>
        <w:t>监理人审查承包人合理化建议的期限：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083BB670">
      <w:pPr>
        <w:spacing w:before="151" w:line="228" w:lineRule="auto"/>
        <w:ind w:left="424"/>
        <w:rPr>
          <w:rFonts w:ascii="宋体" w:hAnsi="宋体" w:eastAsia="宋体" w:cs="宋体"/>
          <w:sz w:val="20"/>
          <w:szCs w:val="20"/>
        </w:rPr>
      </w:pPr>
      <w:r>
        <w:rPr>
          <w:rFonts w:ascii="宋体" w:hAnsi="宋体" w:eastAsia="宋体" w:cs="宋体"/>
          <w:spacing w:val="7"/>
          <w:sz w:val="20"/>
          <w:szCs w:val="20"/>
        </w:rPr>
        <w:t>发包人审批承包人合理化建议的期限：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2AED9360">
      <w:pPr>
        <w:spacing w:before="155" w:line="226" w:lineRule="auto"/>
        <w:jc w:val="right"/>
        <w:rPr>
          <w:rFonts w:ascii="宋体" w:hAnsi="宋体" w:eastAsia="宋体" w:cs="宋体"/>
          <w:sz w:val="20"/>
          <w:szCs w:val="20"/>
        </w:rPr>
      </w:pPr>
      <w:r>
        <w:rPr>
          <w:rFonts w:ascii="宋体" w:hAnsi="宋体" w:eastAsia="宋体" w:cs="宋体"/>
          <w:spacing w:val="8"/>
          <w:sz w:val="20"/>
          <w:szCs w:val="20"/>
        </w:rPr>
        <w:t>承包人提出的合理化建议降低了合同价格或者提高了工程经济效益的奖励的方法和金额为：</w:t>
      </w:r>
    </w:p>
    <w:p w14:paraId="6BECBF89">
      <w:pPr>
        <w:spacing w:line="266" w:lineRule="auto"/>
        <w:rPr>
          <w:rFonts w:ascii="Arial"/>
          <w:sz w:val="21"/>
        </w:rPr>
      </w:pPr>
    </w:p>
    <w:p w14:paraId="1A003009">
      <w:pPr>
        <w:tabs>
          <w:tab w:val="left" w:pos="8392"/>
        </w:tabs>
        <w:spacing w:before="23" w:line="173" w:lineRule="auto"/>
        <w:ind w:left="41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B93836E">
      <w:pPr>
        <w:pStyle w:val="2"/>
        <w:spacing w:before="173" w:line="222" w:lineRule="auto"/>
        <w:ind w:left="8"/>
        <w:rPr>
          <w:sz w:val="24"/>
          <w:szCs w:val="24"/>
        </w:rPr>
      </w:pPr>
      <w:r>
        <w:rPr>
          <w:rFonts w:ascii="Times New Roman" w:hAnsi="Times New Roman" w:eastAsia="Times New Roman" w:cs="Times New Roman"/>
          <w:b/>
          <w:bCs/>
          <w:spacing w:val="-6"/>
          <w:sz w:val="24"/>
          <w:szCs w:val="24"/>
        </w:rPr>
        <w:t>10.7</w:t>
      </w:r>
      <w:r>
        <w:rPr>
          <w:rFonts w:ascii="Times New Roman" w:hAnsi="Times New Roman" w:eastAsia="Times New Roman" w:cs="Times New Roman"/>
          <w:b/>
          <w:bCs/>
          <w:spacing w:val="9"/>
          <w:sz w:val="24"/>
          <w:szCs w:val="24"/>
        </w:rPr>
        <w:t xml:space="preserve">  </w:t>
      </w:r>
      <w:r>
        <w:rPr>
          <w:b/>
          <w:bCs/>
          <w:spacing w:val="-6"/>
          <w:sz w:val="24"/>
          <w:szCs w:val="24"/>
        </w:rPr>
        <w:t>暂估价</w:t>
      </w:r>
    </w:p>
    <w:p w14:paraId="6307901B">
      <w:pPr>
        <w:spacing w:before="137" w:line="226" w:lineRule="auto"/>
        <w:ind w:left="427"/>
        <w:rPr>
          <w:rFonts w:ascii="宋体" w:hAnsi="宋体" w:eastAsia="宋体" w:cs="宋体"/>
          <w:sz w:val="20"/>
          <w:szCs w:val="20"/>
        </w:rPr>
      </w:pPr>
      <w:r>
        <w:rPr>
          <w:rFonts w:ascii="宋体" w:hAnsi="宋体" w:eastAsia="宋体" w:cs="宋体"/>
          <w:spacing w:val="2"/>
          <w:sz w:val="20"/>
          <w:szCs w:val="20"/>
        </w:rPr>
        <w:t>暂估价材料和工程设备的明细详见附件</w:t>
      </w:r>
      <w:r>
        <w:rPr>
          <w:rFonts w:ascii="宋体" w:hAnsi="宋体" w:eastAsia="宋体" w:cs="宋体"/>
          <w:spacing w:val="-24"/>
          <w:sz w:val="20"/>
          <w:szCs w:val="20"/>
        </w:rPr>
        <w:t xml:space="preserve"> </w:t>
      </w:r>
      <w:r>
        <w:rPr>
          <w:rFonts w:ascii="宋体" w:hAnsi="宋体" w:eastAsia="宋体" w:cs="宋体"/>
          <w:spacing w:val="2"/>
          <w:sz w:val="20"/>
          <w:szCs w:val="20"/>
        </w:rPr>
        <w:t>11：</w:t>
      </w:r>
      <w:r>
        <w:rPr>
          <w:rFonts w:ascii="宋体" w:hAnsi="宋体" w:eastAsia="宋体" w:cs="宋体"/>
          <w:spacing w:val="1"/>
          <w:sz w:val="20"/>
          <w:szCs w:val="20"/>
        </w:rPr>
        <w:t>《暂估价一览表》。</w:t>
      </w:r>
    </w:p>
    <w:p w14:paraId="4F24A358">
      <w:pPr>
        <w:spacing w:before="156" w:line="226" w:lineRule="auto"/>
        <w:ind w:left="436"/>
        <w:rPr>
          <w:rFonts w:ascii="宋体" w:hAnsi="宋体" w:eastAsia="宋体" w:cs="宋体"/>
          <w:sz w:val="20"/>
          <w:szCs w:val="20"/>
        </w:rPr>
      </w:pPr>
      <w:r>
        <w:rPr>
          <w:rFonts w:ascii="宋体" w:hAnsi="宋体" w:eastAsia="宋体" w:cs="宋体"/>
          <w:spacing w:val="6"/>
          <w:sz w:val="20"/>
          <w:szCs w:val="20"/>
        </w:rPr>
        <w:t>10.7.1 依法必须招标的暂估价项目</w:t>
      </w:r>
    </w:p>
    <w:p w14:paraId="5781FED0">
      <w:pPr>
        <w:spacing w:before="154" w:line="226" w:lineRule="auto"/>
        <w:ind w:left="419"/>
        <w:rPr>
          <w:rFonts w:ascii="宋体" w:hAnsi="宋体" w:eastAsia="宋体" w:cs="宋体"/>
          <w:sz w:val="20"/>
          <w:szCs w:val="20"/>
        </w:rPr>
      </w:pPr>
      <w:r>
        <w:rPr>
          <w:rFonts w:ascii="宋体" w:hAnsi="宋体" w:eastAsia="宋体" w:cs="宋体"/>
          <w:spacing w:val="8"/>
          <w:sz w:val="20"/>
          <w:szCs w:val="20"/>
        </w:rPr>
        <w:t>对于依法必须招标的暂估价项目的确认和批准采取第</w:t>
      </w:r>
      <w:r>
        <w:rPr>
          <w:rFonts w:ascii="宋体" w:hAnsi="宋体" w:eastAsia="宋体" w:cs="宋体"/>
          <w:spacing w:val="8"/>
          <w:sz w:val="20"/>
          <w:szCs w:val="20"/>
          <w:u w:val="single" w:color="auto"/>
        </w:rPr>
        <w:t xml:space="preserve">      </w:t>
      </w:r>
      <w:r>
        <w:rPr>
          <w:rFonts w:ascii="宋体" w:hAnsi="宋体" w:eastAsia="宋体" w:cs="宋体"/>
          <w:spacing w:val="-80"/>
          <w:sz w:val="20"/>
          <w:szCs w:val="20"/>
        </w:rPr>
        <w:t xml:space="preserve"> </w:t>
      </w:r>
      <w:r>
        <w:rPr>
          <w:rFonts w:ascii="宋体" w:hAnsi="宋体" w:eastAsia="宋体" w:cs="宋体"/>
          <w:spacing w:val="8"/>
          <w:sz w:val="20"/>
          <w:szCs w:val="20"/>
        </w:rPr>
        <w:t>种方式确定。</w:t>
      </w:r>
    </w:p>
    <w:p w14:paraId="470B88F7">
      <w:pPr>
        <w:spacing w:before="156" w:line="226" w:lineRule="auto"/>
        <w:ind w:left="436"/>
        <w:rPr>
          <w:rFonts w:ascii="宋体" w:hAnsi="宋体" w:eastAsia="宋体" w:cs="宋体"/>
          <w:sz w:val="20"/>
          <w:szCs w:val="20"/>
        </w:rPr>
      </w:pPr>
      <w:r>
        <w:rPr>
          <w:rFonts w:ascii="宋体" w:hAnsi="宋体" w:eastAsia="宋体" w:cs="宋体"/>
          <w:spacing w:val="7"/>
          <w:sz w:val="20"/>
          <w:szCs w:val="20"/>
        </w:rPr>
        <w:t>10.7.2 不属于依法必须招标的暂估价项目</w:t>
      </w:r>
    </w:p>
    <w:p w14:paraId="5A7003CA">
      <w:pPr>
        <w:spacing w:line="226" w:lineRule="auto"/>
        <w:rPr>
          <w:rFonts w:ascii="宋体" w:hAnsi="宋体" w:eastAsia="宋体" w:cs="宋体"/>
          <w:sz w:val="20"/>
          <w:szCs w:val="20"/>
        </w:rPr>
        <w:sectPr>
          <w:headerReference r:id="rId299" w:type="default"/>
          <w:footerReference r:id="rId300" w:type="default"/>
          <w:pgSz w:w="11906" w:h="16839"/>
          <w:pgMar w:top="2971" w:right="1609" w:bottom="1038" w:left="1538" w:header="1469" w:footer="787" w:gutter="0"/>
          <w:cols w:space="720" w:num="1"/>
        </w:sectPr>
      </w:pPr>
    </w:p>
    <w:p w14:paraId="1235A15A">
      <w:pPr>
        <w:pStyle w:val="2"/>
        <w:spacing w:before="160" w:line="222" w:lineRule="auto"/>
        <w:ind w:left="6"/>
        <w:rPr>
          <w:sz w:val="24"/>
          <w:szCs w:val="24"/>
        </w:rPr>
      </w:pPr>
      <w:r>
        <w:rPr>
          <w:rFonts w:ascii="Times New Roman" w:hAnsi="Times New Roman" w:eastAsia="Times New Roman" w:cs="Times New Roman"/>
          <w:b/>
          <w:bCs/>
          <w:spacing w:val="-6"/>
          <w:sz w:val="24"/>
          <w:szCs w:val="24"/>
        </w:rPr>
        <w:t>10.8</w:t>
      </w:r>
      <w:r>
        <w:rPr>
          <w:rFonts w:ascii="Times New Roman" w:hAnsi="Times New Roman" w:eastAsia="Times New Roman" w:cs="Times New Roman"/>
          <w:b/>
          <w:bCs/>
          <w:spacing w:val="11"/>
          <w:sz w:val="24"/>
          <w:szCs w:val="24"/>
        </w:rPr>
        <w:t xml:space="preserve">  </w:t>
      </w:r>
      <w:r>
        <w:rPr>
          <w:b/>
          <w:bCs/>
          <w:spacing w:val="-6"/>
          <w:sz w:val="24"/>
          <w:szCs w:val="24"/>
        </w:rPr>
        <w:t>暂列金额</w:t>
      </w:r>
    </w:p>
    <w:p w14:paraId="7DEE5623">
      <w:pPr>
        <w:spacing w:before="136" w:line="228" w:lineRule="auto"/>
        <w:ind w:left="420"/>
        <w:rPr>
          <w:rFonts w:ascii="宋体" w:hAnsi="宋体" w:eastAsia="宋体" w:cs="宋体"/>
          <w:sz w:val="20"/>
          <w:szCs w:val="20"/>
        </w:rPr>
      </w:pPr>
      <w:r>
        <w:rPr>
          <w:rFonts w:ascii="宋体" w:hAnsi="宋体" w:eastAsia="宋体" w:cs="宋体"/>
          <w:spacing w:val="8"/>
          <w:sz w:val="20"/>
          <w:szCs w:val="20"/>
        </w:rPr>
        <w:t>合同当事人关于暂列金额使用的约定：</w:t>
      </w:r>
    </w:p>
    <w:p w14:paraId="783909D2">
      <w:pPr>
        <w:spacing w:line="264" w:lineRule="auto"/>
        <w:rPr>
          <w:rFonts w:ascii="Arial"/>
          <w:sz w:val="21"/>
        </w:rPr>
      </w:pPr>
    </w:p>
    <w:p w14:paraId="2B29E676">
      <w:pPr>
        <w:tabs>
          <w:tab w:val="left" w:pos="8390"/>
        </w:tabs>
        <w:spacing w:before="23" w:line="173" w:lineRule="auto"/>
        <w:ind w:left="41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B834473">
      <w:pPr>
        <w:pStyle w:val="2"/>
        <w:spacing w:before="237" w:line="222" w:lineRule="auto"/>
        <w:ind w:left="9"/>
        <w:outlineLvl w:val="2"/>
        <w:rPr>
          <w:sz w:val="28"/>
          <w:szCs w:val="28"/>
        </w:rPr>
      </w:pPr>
      <w:bookmarkStart w:id="294" w:name="bookmark276"/>
      <w:bookmarkEnd w:id="294"/>
      <w:r>
        <w:rPr>
          <w:rFonts w:ascii="Times New Roman" w:hAnsi="Times New Roman" w:eastAsia="Times New Roman" w:cs="Times New Roman"/>
          <w:b/>
          <w:bCs/>
          <w:spacing w:val="-5"/>
          <w:sz w:val="28"/>
          <w:szCs w:val="28"/>
        </w:rPr>
        <w:t xml:space="preserve">11.  </w:t>
      </w:r>
      <w:r>
        <w:rPr>
          <w:b/>
          <w:bCs/>
          <w:spacing w:val="-5"/>
          <w:sz w:val="28"/>
          <w:szCs w:val="28"/>
        </w:rPr>
        <w:t>价格调整</w:t>
      </w:r>
    </w:p>
    <w:p w14:paraId="77595E9B">
      <w:pPr>
        <w:pStyle w:val="2"/>
        <w:spacing w:before="98" w:line="222" w:lineRule="auto"/>
        <w:ind w:left="6"/>
        <w:rPr>
          <w:sz w:val="24"/>
          <w:szCs w:val="24"/>
        </w:rPr>
      </w:pPr>
      <w:r>
        <w:rPr>
          <w:rFonts w:ascii="Times New Roman" w:hAnsi="Times New Roman" w:eastAsia="Times New Roman" w:cs="Times New Roman"/>
          <w:b/>
          <w:bCs/>
          <w:spacing w:val="-3"/>
          <w:sz w:val="24"/>
          <w:szCs w:val="24"/>
        </w:rPr>
        <w:t xml:space="preserve">11.1  </w:t>
      </w:r>
      <w:r>
        <w:rPr>
          <w:b/>
          <w:bCs/>
          <w:spacing w:val="-3"/>
          <w:sz w:val="24"/>
          <w:szCs w:val="24"/>
        </w:rPr>
        <w:t>市场价格波动引起的调整</w:t>
      </w:r>
    </w:p>
    <w:p w14:paraId="2147B4B6">
      <w:pPr>
        <w:spacing w:before="137" w:line="226" w:lineRule="auto"/>
        <w:ind w:left="424"/>
        <w:rPr>
          <w:rFonts w:ascii="宋体" w:hAnsi="宋体" w:eastAsia="宋体" w:cs="宋体"/>
          <w:sz w:val="20"/>
          <w:szCs w:val="20"/>
        </w:rPr>
      </w:pPr>
      <w:r>
        <w:rPr>
          <w:rFonts w:ascii="宋体" w:hAnsi="宋体" w:eastAsia="宋体" w:cs="宋体"/>
          <w:spacing w:val="8"/>
          <w:sz w:val="20"/>
          <w:szCs w:val="20"/>
        </w:rPr>
        <w:t>市场价格波动是否调整合同价格的约定：</w:t>
      </w:r>
    </w:p>
    <w:p w14:paraId="04962200">
      <w:pPr>
        <w:spacing w:line="266" w:lineRule="auto"/>
        <w:rPr>
          <w:rFonts w:ascii="Arial"/>
          <w:sz w:val="21"/>
        </w:rPr>
      </w:pPr>
    </w:p>
    <w:p w14:paraId="70B68431">
      <w:pPr>
        <w:tabs>
          <w:tab w:val="left" w:pos="8390"/>
        </w:tabs>
        <w:spacing w:before="23" w:line="173" w:lineRule="auto"/>
        <w:ind w:left="41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9F7D97D">
      <w:pPr>
        <w:spacing w:before="201" w:line="226" w:lineRule="auto"/>
        <w:ind w:left="435"/>
        <w:rPr>
          <w:rFonts w:ascii="宋体" w:hAnsi="宋体" w:eastAsia="宋体" w:cs="宋体"/>
          <w:sz w:val="20"/>
          <w:szCs w:val="20"/>
        </w:rPr>
      </w:pPr>
      <w:r>
        <w:rPr>
          <w:rFonts w:ascii="宋体" w:hAnsi="宋体" w:eastAsia="宋体" w:cs="宋体"/>
          <w:spacing w:val="8"/>
          <w:sz w:val="20"/>
          <w:szCs w:val="20"/>
        </w:rPr>
        <w:t>因市场价格波动调整合同价格，采用以下第</w:t>
      </w:r>
      <w:r>
        <w:rPr>
          <w:rFonts w:ascii="宋体" w:hAnsi="宋体" w:eastAsia="宋体" w:cs="宋体"/>
          <w:spacing w:val="8"/>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8"/>
          <w:sz w:val="20"/>
          <w:szCs w:val="20"/>
        </w:rPr>
        <w:t>种方式对合同价格进</w:t>
      </w:r>
      <w:r>
        <w:rPr>
          <w:rFonts w:ascii="宋体" w:hAnsi="宋体" w:eastAsia="宋体" w:cs="宋体"/>
          <w:spacing w:val="7"/>
          <w:sz w:val="20"/>
          <w:szCs w:val="20"/>
        </w:rPr>
        <w:t>行调整：</w:t>
      </w:r>
    </w:p>
    <w:p w14:paraId="2253A945">
      <w:pPr>
        <w:spacing w:before="153" w:line="226" w:lineRule="auto"/>
        <w:ind w:left="419"/>
        <w:rPr>
          <w:rFonts w:ascii="宋体" w:hAnsi="宋体" w:eastAsia="宋体" w:cs="宋体"/>
          <w:sz w:val="20"/>
          <w:szCs w:val="20"/>
        </w:rPr>
      </w:pPr>
      <w:r>
        <w:rPr>
          <w:rFonts w:ascii="宋体" w:hAnsi="宋体" w:eastAsia="宋体" w:cs="宋体"/>
          <w:spacing w:val="6"/>
          <w:sz w:val="20"/>
          <w:szCs w:val="20"/>
        </w:rPr>
        <w:t>第</w:t>
      </w:r>
      <w:r>
        <w:rPr>
          <w:rFonts w:ascii="宋体" w:hAnsi="宋体" w:eastAsia="宋体" w:cs="宋体"/>
          <w:spacing w:val="-8"/>
          <w:sz w:val="20"/>
          <w:szCs w:val="20"/>
        </w:rPr>
        <w:t xml:space="preserve"> </w:t>
      </w:r>
      <w:r>
        <w:rPr>
          <w:rFonts w:ascii="宋体" w:hAnsi="宋体" w:eastAsia="宋体" w:cs="宋体"/>
          <w:spacing w:val="6"/>
          <w:sz w:val="20"/>
          <w:szCs w:val="20"/>
        </w:rPr>
        <w:t>1</w:t>
      </w:r>
      <w:r>
        <w:rPr>
          <w:rFonts w:ascii="宋体" w:hAnsi="宋体" w:eastAsia="宋体" w:cs="宋体"/>
          <w:spacing w:val="-38"/>
          <w:sz w:val="20"/>
          <w:szCs w:val="20"/>
        </w:rPr>
        <w:t xml:space="preserve"> </w:t>
      </w:r>
      <w:r>
        <w:rPr>
          <w:rFonts w:ascii="宋体" w:hAnsi="宋体" w:eastAsia="宋体" w:cs="宋体"/>
          <w:spacing w:val="6"/>
          <w:sz w:val="20"/>
          <w:szCs w:val="20"/>
        </w:rPr>
        <w:t>种方式：采用价格指数进行价格调整。</w:t>
      </w:r>
    </w:p>
    <w:p w14:paraId="0FB0430E">
      <w:pPr>
        <w:spacing w:before="156" w:line="226" w:lineRule="auto"/>
        <w:ind w:left="422"/>
        <w:rPr>
          <w:rFonts w:ascii="宋体" w:hAnsi="宋体" w:eastAsia="宋体" w:cs="宋体"/>
          <w:sz w:val="20"/>
          <w:szCs w:val="20"/>
        </w:rPr>
      </w:pPr>
      <w:r>
        <w:rPr>
          <w:rFonts w:ascii="宋体" w:hAnsi="宋体" w:eastAsia="宋体" w:cs="宋体"/>
          <w:spacing w:val="8"/>
          <w:sz w:val="20"/>
          <w:szCs w:val="20"/>
        </w:rPr>
        <w:t>关于各可调因子、定值和变值权重，</w:t>
      </w:r>
      <w:r>
        <w:rPr>
          <w:rFonts w:ascii="宋体" w:hAnsi="宋体" w:eastAsia="宋体" w:cs="宋体"/>
          <w:spacing w:val="-60"/>
          <w:sz w:val="20"/>
          <w:szCs w:val="20"/>
        </w:rPr>
        <w:t xml:space="preserve"> </w:t>
      </w:r>
      <w:r>
        <w:rPr>
          <w:rFonts w:ascii="宋体" w:hAnsi="宋体" w:eastAsia="宋体" w:cs="宋体"/>
          <w:spacing w:val="8"/>
          <w:sz w:val="20"/>
          <w:szCs w:val="20"/>
        </w:rPr>
        <w:t>以及基本价格指数及其来源的约定：</w:t>
      </w:r>
    </w:p>
    <w:p w14:paraId="6672F03A">
      <w:pPr>
        <w:tabs>
          <w:tab w:val="left" w:pos="8390"/>
        </w:tabs>
        <w:spacing w:before="156" w:line="230" w:lineRule="auto"/>
        <w:ind w:left="41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73"/>
          <w:sz w:val="20"/>
          <w:szCs w:val="20"/>
        </w:rPr>
        <w:t xml:space="preserve"> </w:t>
      </w:r>
      <w:r>
        <w:rPr>
          <w:rFonts w:ascii="宋体" w:hAnsi="宋体" w:eastAsia="宋体" w:cs="宋体"/>
          <w:sz w:val="20"/>
          <w:szCs w:val="20"/>
        </w:rPr>
        <w:t>;</w:t>
      </w:r>
    </w:p>
    <w:p w14:paraId="6913769B">
      <w:pPr>
        <w:spacing w:before="149" w:line="226" w:lineRule="auto"/>
        <w:ind w:left="419"/>
        <w:rPr>
          <w:rFonts w:ascii="宋体" w:hAnsi="宋体" w:eastAsia="宋体" w:cs="宋体"/>
          <w:sz w:val="20"/>
          <w:szCs w:val="20"/>
        </w:rPr>
      </w:pPr>
      <w:r>
        <w:rPr>
          <w:rFonts w:ascii="宋体" w:hAnsi="宋体" w:eastAsia="宋体" w:cs="宋体"/>
          <w:spacing w:val="7"/>
          <w:sz w:val="20"/>
          <w:szCs w:val="20"/>
        </w:rPr>
        <w:t>第</w:t>
      </w:r>
      <w:r>
        <w:rPr>
          <w:rFonts w:ascii="宋体" w:hAnsi="宋体" w:eastAsia="宋体" w:cs="宋体"/>
          <w:spacing w:val="-27"/>
          <w:sz w:val="20"/>
          <w:szCs w:val="20"/>
        </w:rPr>
        <w:t xml:space="preserve"> </w:t>
      </w:r>
      <w:r>
        <w:rPr>
          <w:rFonts w:ascii="宋体" w:hAnsi="宋体" w:eastAsia="宋体" w:cs="宋体"/>
          <w:spacing w:val="7"/>
          <w:sz w:val="20"/>
          <w:szCs w:val="20"/>
        </w:rPr>
        <w:t>2</w:t>
      </w:r>
      <w:r>
        <w:rPr>
          <w:rFonts w:ascii="宋体" w:hAnsi="宋体" w:eastAsia="宋体" w:cs="宋体"/>
          <w:spacing w:val="-38"/>
          <w:sz w:val="20"/>
          <w:szCs w:val="20"/>
        </w:rPr>
        <w:t xml:space="preserve"> </w:t>
      </w:r>
      <w:r>
        <w:rPr>
          <w:rFonts w:ascii="宋体" w:hAnsi="宋体" w:eastAsia="宋体" w:cs="宋体"/>
          <w:spacing w:val="7"/>
          <w:sz w:val="20"/>
          <w:szCs w:val="20"/>
        </w:rPr>
        <w:t>种方式：采用造价信息进行价格调整。</w:t>
      </w:r>
    </w:p>
    <w:p w14:paraId="7507A956">
      <w:pPr>
        <w:spacing w:before="156" w:line="226" w:lineRule="auto"/>
        <w:ind w:left="429"/>
        <w:rPr>
          <w:rFonts w:ascii="宋体" w:hAnsi="宋体" w:eastAsia="宋体" w:cs="宋体"/>
          <w:sz w:val="20"/>
          <w:szCs w:val="20"/>
        </w:rPr>
      </w:pPr>
      <w:r>
        <w:rPr>
          <w:rFonts w:ascii="宋体" w:hAnsi="宋体" w:eastAsia="宋体" w:cs="宋体"/>
          <w:spacing w:val="6"/>
          <w:sz w:val="20"/>
          <w:szCs w:val="20"/>
        </w:rPr>
        <w:t>（2）关于基准价格的约定：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w:t>
      </w:r>
    </w:p>
    <w:p w14:paraId="7689C8B2">
      <w:pPr>
        <w:spacing w:before="157" w:line="369" w:lineRule="auto"/>
        <w:ind w:firstLine="420"/>
        <w:rPr>
          <w:rFonts w:ascii="宋体" w:hAnsi="宋体" w:eastAsia="宋体" w:cs="宋体"/>
          <w:sz w:val="20"/>
          <w:szCs w:val="20"/>
        </w:rPr>
      </w:pPr>
      <w:r>
        <w:rPr>
          <w:rFonts w:ascii="宋体" w:hAnsi="宋体" w:eastAsia="宋体" w:cs="宋体"/>
          <w:spacing w:val="10"/>
          <w:sz w:val="20"/>
          <w:szCs w:val="20"/>
        </w:rPr>
        <w:t>专用合同条款①承包人在已标价工程量清单或预算书中载明的</w:t>
      </w:r>
      <w:r>
        <w:rPr>
          <w:rFonts w:ascii="宋体" w:hAnsi="宋体" w:eastAsia="宋体" w:cs="宋体"/>
          <w:spacing w:val="9"/>
          <w:sz w:val="20"/>
          <w:szCs w:val="20"/>
        </w:rPr>
        <w:t>材料单价低于基准价格的：专</w:t>
      </w:r>
      <w:r>
        <w:rPr>
          <w:rFonts w:ascii="宋体" w:hAnsi="宋体" w:eastAsia="宋体" w:cs="宋体"/>
          <w:spacing w:val="7"/>
          <w:sz w:val="20"/>
          <w:szCs w:val="20"/>
        </w:rPr>
        <w:t>用合同条款合同履行期间材料单价涨幅以基准价格为基础超过</w:t>
      </w:r>
      <w:r>
        <w:rPr>
          <w:rFonts w:ascii="宋体" w:hAnsi="宋体" w:eastAsia="宋体" w:cs="宋体"/>
          <w:spacing w:val="-10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7"/>
          <w:sz w:val="20"/>
          <w:szCs w:val="20"/>
        </w:rPr>
        <w:t xml:space="preserve"> </w:t>
      </w:r>
      <w:r>
        <w:rPr>
          <w:rFonts w:ascii="宋体" w:hAnsi="宋体" w:eastAsia="宋体" w:cs="宋体"/>
          <w:spacing w:val="7"/>
          <w:sz w:val="20"/>
          <w:szCs w:val="20"/>
        </w:rPr>
        <w:t>%时，或材料单</w:t>
      </w:r>
      <w:r>
        <w:rPr>
          <w:rFonts w:ascii="宋体" w:hAnsi="宋体" w:eastAsia="宋体" w:cs="宋体"/>
          <w:spacing w:val="6"/>
          <w:sz w:val="20"/>
          <w:szCs w:val="20"/>
        </w:rPr>
        <w:t>价跌幅以已标</w:t>
      </w:r>
      <w:r>
        <w:rPr>
          <w:rFonts w:ascii="宋体" w:hAnsi="宋体" w:eastAsia="宋体" w:cs="宋体"/>
          <w:spacing w:val="9"/>
          <w:sz w:val="20"/>
          <w:szCs w:val="20"/>
        </w:rPr>
        <w:t>价工程量清单或预算书中载明材料单价为基础超过</w:t>
      </w:r>
      <w:r>
        <w:rPr>
          <w:rFonts w:ascii="宋体" w:hAnsi="宋体" w:eastAsia="宋体" w:cs="宋体"/>
          <w:spacing w:val="-94"/>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9"/>
          <w:sz w:val="20"/>
          <w:szCs w:val="20"/>
        </w:rPr>
        <w:t>%时，其超过部分据实调整。</w:t>
      </w:r>
    </w:p>
    <w:p w14:paraId="78DB0AB0">
      <w:pPr>
        <w:spacing w:before="1" w:line="369" w:lineRule="auto"/>
        <w:ind w:firstLine="416"/>
        <w:rPr>
          <w:rFonts w:ascii="宋体" w:hAnsi="宋体" w:eastAsia="宋体" w:cs="宋体"/>
          <w:sz w:val="20"/>
          <w:szCs w:val="20"/>
        </w:rPr>
      </w:pPr>
      <w:r>
        <w:rPr>
          <w:rFonts w:ascii="宋体" w:hAnsi="宋体" w:eastAsia="宋体" w:cs="宋体"/>
          <w:spacing w:val="10"/>
          <w:sz w:val="20"/>
          <w:szCs w:val="20"/>
        </w:rPr>
        <w:t>②承包人在已标价工程量清单或预算书中载明的材料单价高于基准价</w:t>
      </w:r>
      <w:r>
        <w:rPr>
          <w:rFonts w:ascii="宋体" w:hAnsi="宋体" w:eastAsia="宋体" w:cs="宋体"/>
          <w:spacing w:val="9"/>
          <w:sz w:val="20"/>
          <w:szCs w:val="20"/>
        </w:rPr>
        <w:t>格的：专用合同条款合</w:t>
      </w:r>
      <w:r>
        <w:rPr>
          <w:rFonts w:ascii="宋体" w:hAnsi="宋体" w:eastAsia="宋体" w:cs="宋体"/>
          <w:spacing w:val="7"/>
          <w:sz w:val="20"/>
          <w:szCs w:val="20"/>
        </w:rPr>
        <w:t>同履行期间材料单价跌幅以基准价格为基础超过</w:t>
      </w:r>
      <w:r>
        <w:rPr>
          <w:rFonts w:ascii="宋体" w:hAnsi="宋体" w:eastAsia="宋体" w:cs="宋体"/>
          <w:spacing w:val="7"/>
          <w:sz w:val="20"/>
          <w:szCs w:val="20"/>
          <w:u w:val="single" w:color="auto"/>
        </w:rPr>
        <w:t xml:space="preserve">      </w:t>
      </w:r>
      <w:r>
        <w:rPr>
          <w:rFonts w:ascii="宋体" w:hAnsi="宋体" w:eastAsia="宋体" w:cs="宋体"/>
          <w:spacing w:val="-98"/>
          <w:sz w:val="20"/>
          <w:szCs w:val="20"/>
        </w:rPr>
        <w:t xml:space="preserve"> </w:t>
      </w:r>
      <w:r>
        <w:rPr>
          <w:rFonts w:ascii="宋体" w:hAnsi="宋体" w:eastAsia="宋体" w:cs="宋体"/>
          <w:spacing w:val="7"/>
          <w:sz w:val="20"/>
          <w:szCs w:val="20"/>
        </w:rPr>
        <w:t>%</w:t>
      </w:r>
      <w:r>
        <w:rPr>
          <w:rFonts w:ascii="宋体" w:hAnsi="宋体" w:eastAsia="宋体" w:cs="宋体"/>
          <w:spacing w:val="6"/>
          <w:sz w:val="20"/>
          <w:szCs w:val="20"/>
        </w:rPr>
        <w:t>时，材料单价涨幅以已标价工程量清单或</w:t>
      </w:r>
      <w:r>
        <w:rPr>
          <w:rFonts w:ascii="宋体" w:hAnsi="宋体" w:eastAsia="宋体" w:cs="宋体"/>
          <w:spacing w:val="8"/>
          <w:sz w:val="20"/>
          <w:szCs w:val="20"/>
        </w:rPr>
        <w:t>预算书中载明材料单价为基础超过</w:t>
      </w:r>
      <w:r>
        <w:rPr>
          <w:rFonts w:ascii="宋体" w:hAnsi="宋体" w:eastAsia="宋体" w:cs="宋体"/>
          <w:spacing w:val="8"/>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8"/>
          <w:sz w:val="20"/>
          <w:szCs w:val="20"/>
        </w:rPr>
        <w:t>%时，其超过部分据实调整。</w:t>
      </w:r>
    </w:p>
    <w:p w14:paraId="53223979">
      <w:pPr>
        <w:spacing w:before="1" w:line="368" w:lineRule="auto"/>
        <w:ind w:left="19" w:firstLine="397"/>
        <w:rPr>
          <w:rFonts w:ascii="宋体" w:hAnsi="宋体" w:eastAsia="宋体" w:cs="宋体"/>
          <w:sz w:val="20"/>
          <w:szCs w:val="20"/>
        </w:rPr>
      </w:pPr>
      <w:r>
        <w:rPr>
          <w:rFonts w:ascii="宋体" w:hAnsi="宋体" w:eastAsia="宋体" w:cs="宋体"/>
          <w:spacing w:val="10"/>
          <w:sz w:val="20"/>
          <w:szCs w:val="20"/>
        </w:rPr>
        <w:t>③承包人在已标价工程量清单或预算书中载明的材料单价等于基准单</w:t>
      </w:r>
      <w:r>
        <w:rPr>
          <w:rFonts w:ascii="宋体" w:hAnsi="宋体" w:eastAsia="宋体" w:cs="宋体"/>
          <w:spacing w:val="9"/>
          <w:sz w:val="20"/>
          <w:szCs w:val="20"/>
        </w:rPr>
        <w:t>价的：专用合同条款合</w:t>
      </w:r>
      <w:r>
        <w:rPr>
          <w:rFonts w:ascii="宋体" w:hAnsi="宋体" w:eastAsia="宋体" w:cs="宋体"/>
          <w:spacing w:val="8"/>
          <w:sz w:val="20"/>
          <w:szCs w:val="20"/>
        </w:rPr>
        <w:t>同履行期间材料单价涨跌幅以基准单价为基础超过±</w:t>
      </w:r>
      <w:r>
        <w:rPr>
          <w:rFonts w:ascii="宋体" w:hAnsi="宋体" w:eastAsia="宋体" w:cs="宋体"/>
          <w:spacing w:val="8"/>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%时，其超过部分据实调整。</w:t>
      </w:r>
    </w:p>
    <w:p w14:paraId="348C4771">
      <w:pPr>
        <w:spacing w:before="1" w:line="226" w:lineRule="auto"/>
        <w:ind w:left="419"/>
        <w:rPr>
          <w:rFonts w:ascii="宋体" w:hAnsi="宋体" w:eastAsia="宋体" w:cs="宋体"/>
          <w:sz w:val="20"/>
          <w:szCs w:val="20"/>
        </w:rPr>
      </w:pPr>
      <w:r>
        <w:rPr>
          <w:rFonts w:ascii="宋体" w:hAnsi="宋体" w:eastAsia="宋体" w:cs="宋体"/>
          <w:spacing w:val="6"/>
          <w:sz w:val="20"/>
          <w:szCs w:val="20"/>
        </w:rPr>
        <w:t>第</w:t>
      </w:r>
      <w:r>
        <w:rPr>
          <w:rFonts w:ascii="宋体" w:hAnsi="宋体" w:eastAsia="宋体" w:cs="宋体"/>
          <w:spacing w:val="-24"/>
          <w:sz w:val="20"/>
          <w:szCs w:val="20"/>
        </w:rPr>
        <w:t xml:space="preserve"> </w:t>
      </w:r>
      <w:r>
        <w:rPr>
          <w:rFonts w:ascii="宋体" w:hAnsi="宋体" w:eastAsia="宋体" w:cs="宋体"/>
          <w:spacing w:val="6"/>
          <w:sz w:val="20"/>
          <w:szCs w:val="20"/>
        </w:rPr>
        <w:t>3</w:t>
      </w:r>
      <w:r>
        <w:rPr>
          <w:rFonts w:ascii="宋体" w:hAnsi="宋体" w:eastAsia="宋体" w:cs="宋体"/>
          <w:spacing w:val="-38"/>
          <w:sz w:val="20"/>
          <w:szCs w:val="20"/>
        </w:rPr>
        <w:t xml:space="preserve"> </w:t>
      </w:r>
      <w:r>
        <w:rPr>
          <w:rFonts w:ascii="宋体" w:hAnsi="宋体" w:eastAsia="宋体" w:cs="宋体"/>
          <w:spacing w:val="6"/>
          <w:sz w:val="20"/>
          <w:szCs w:val="20"/>
        </w:rPr>
        <w:t>种方式：其他价格调整方式：</w:t>
      </w:r>
    </w:p>
    <w:p w14:paraId="7009E4FC">
      <w:pPr>
        <w:spacing w:line="266" w:lineRule="auto"/>
        <w:rPr>
          <w:rFonts w:ascii="Arial"/>
          <w:sz w:val="21"/>
        </w:rPr>
      </w:pPr>
    </w:p>
    <w:p w14:paraId="267D2A8E">
      <w:pPr>
        <w:tabs>
          <w:tab w:val="left" w:pos="8390"/>
        </w:tabs>
        <w:spacing w:before="22" w:line="173" w:lineRule="auto"/>
        <w:ind w:left="41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C9929C2">
      <w:pPr>
        <w:pStyle w:val="2"/>
        <w:spacing w:before="238" w:line="222" w:lineRule="auto"/>
        <w:ind w:left="9"/>
        <w:outlineLvl w:val="2"/>
        <w:rPr>
          <w:sz w:val="28"/>
          <w:szCs w:val="28"/>
        </w:rPr>
      </w:pPr>
      <w:bookmarkStart w:id="295" w:name="bookmark277"/>
      <w:bookmarkEnd w:id="295"/>
      <w:r>
        <w:rPr>
          <w:rFonts w:ascii="Times New Roman" w:hAnsi="Times New Roman" w:eastAsia="Times New Roman" w:cs="Times New Roman"/>
          <w:b/>
          <w:bCs/>
          <w:spacing w:val="-3"/>
          <w:sz w:val="28"/>
          <w:szCs w:val="28"/>
        </w:rPr>
        <w:t xml:space="preserve">12.  </w:t>
      </w:r>
      <w:r>
        <w:rPr>
          <w:b/>
          <w:bCs/>
          <w:spacing w:val="-3"/>
          <w:sz w:val="28"/>
          <w:szCs w:val="28"/>
        </w:rPr>
        <w:t>合同价格、计量与支付</w:t>
      </w:r>
    </w:p>
    <w:p w14:paraId="6E04D8CC">
      <w:pPr>
        <w:pStyle w:val="2"/>
        <w:spacing w:before="98" w:line="222" w:lineRule="auto"/>
        <w:ind w:left="6"/>
        <w:rPr>
          <w:sz w:val="24"/>
          <w:szCs w:val="24"/>
        </w:rPr>
      </w:pPr>
      <w:r>
        <w:rPr>
          <w:rFonts w:ascii="Times New Roman" w:hAnsi="Times New Roman" w:eastAsia="Times New Roman" w:cs="Times New Roman"/>
          <w:b/>
          <w:bCs/>
          <w:spacing w:val="-3"/>
          <w:sz w:val="24"/>
          <w:szCs w:val="24"/>
        </w:rPr>
        <w:t xml:space="preserve">12.1  </w:t>
      </w:r>
      <w:r>
        <w:rPr>
          <w:b/>
          <w:bCs/>
          <w:spacing w:val="-3"/>
          <w:sz w:val="24"/>
          <w:szCs w:val="24"/>
        </w:rPr>
        <w:t>合同价格形式</w:t>
      </w:r>
    </w:p>
    <w:p w14:paraId="63226387">
      <w:pPr>
        <w:spacing w:before="138" w:line="226" w:lineRule="auto"/>
        <w:ind w:left="434"/>
        <w:rPr>
          <w:rFonts w:ascii="宋体" w:hAnsi="宋体" w:eastAsia="宋体" w:cs="宋体"/>
          <w:sz w:val="20"/>
          <w:szCs w:val="20"/>
        </w:rPr>
      </w:pPr>
      <w:r>
        <w:rPr>
          <w:rFonts w:ascii="宋体" w:hAnsi="宋体" w:eastAsia="宋体" w:cs="宋体"/>
          <w:spacing w:val="4"/>
          <w:sz w:val="20"/>
          <w:szCs w:val="20"/>
        </w:rPr>
        <w:t>1、单价合同。</w:t>
      </w:r>
    </w:p>
    <w:p w14:paraId="12560188">
      <w:pPr>
        <w:spacing w:before="156" w:line="226" w:lineRule="auto"/>
        <w:ind w:left="421"/>
        <w:rPr>
          <w:rFonts w:ascii="宋体" w:hAnsi="宋体" w:eastAsia="宋体" w:cs="宋体"/>
          <w:sz w:val="20"/>
          <w:szCs w:val="20"/>
        </w:rPr>
      </w:pPr>
      <w:r>
        <w:rPr>
          <w:rFonts w:ascii="宋体" w:hAnsi="宋体" w:eastAsia="宋体" w:cs="宋体"/>
          <w:spacing w:val="8"/>
          <w:sz w:val="20"/>
          <w:szCs w:val="20"/>
        </w:rPr>
        <w:t>综合单价包含的风险范围：</w:t>
      </w:r>
    </w:p>
    <w:p w14:paraId="54145FEE">
      <w:pPr>
        <w:spacing w:line="266" w:lineRule="auto"/>
        <w:rPr>
          <w:rFonts w:ascii="Arial"/>
          <w:sz w:val="21"/>
        </w:rPr>
      </w:pPr>
    </w:p>
    <w:p w14:paraId="6A1031F6">
      <w:pPr>
        <w:tabs>
          <w:tab w:val="left" w:pos="8390"/>
        </w:tabs>
        <w:spacing w:before="22" w:line="173" w:lineRule="auto"/>
        <w:ind w:left="41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125840F">
      <w:pPr>
        <w:spacing w:before="198" w:line="228" w:lineRule="auto"/>
        <w:ind w:left="420"/>
        <w:rPr>
          <w:rFonts w:ascii="宋体" w:hAnsi="宋体" w:eastAsia="宋体" w:cs="宋体"/>
          <w:sz w:val="20"/>
          <w:szCs w:val="20"/>
        </w:rPr>
      </w:pPr>
      <w:r>
        <w:rPr>
          <w:rFonts w:ascii="宋体" w:hAnsi="宋体" w:eastAsia="宋体" w:cs="宋体"/>
          <w:spacing w:val="7"/>
          <w:sz w:val="20"/>
          <w:szCs w:val="20"/>
        </w:rPr>
        <w:t>风险费用的计算方法：</w:t>
      </w:r>
    </w:p>
    <w:p w14:paraId="33C7933D">
      <w:pPr>
        <w:spacing w:line="264" w:lineRule="auto"/>
        <w:rPr>
          <w:rFonts w:ascii="Arial"/>
          <w:sz w:val="21"/>
        </w:rPr>
      </w:pPr>
    </w:p>
    <w:p w14:paraId="10F87FA5">
      <w:pPr>
        <w:tabs>
          <w:tab w:val="left" w:pos="8390"/>
        </w:tabs>
        <w:spacing w:before="23" w:line="173" w:lineRule="auto"/>
        <w:ind w:left="41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27F183E">
      <w:pPr>
        <w:spacing w:line="173" w:lineRule="auto"/>
        <w:rPr>
          <w:rFonts w:ascii="宋体" w:hAnsi="宋体" w:eastAsia="宋体" w:cs="宋体"/>
          <w:sz w:val="7"/>
          <w:szCs w:val="7"/>
        </w:rPr>
        <w:sectPr>
          <w:headerReference r:id="rId301" w:type="default"/>
          <w:footerReference r:id="rId302" w:type="default"/>
          <w:pgSz w:w="11906" w:h="16839"/>
          <w:pgMar w:top="2971" w:right="1557" w:bottom="1038" w:left="1540" w:header="1502" w:footer="787" w:gutter="0"/>
          <w:cols w:space="720" w:num="1"/>
        </w:sectPr>
      </w:pPr>
    </w:p>
    <w:p w14:paraId="401C7870">
      <w:pPr>
        <w:spacing w:line="271" w:lineRule="auto"/>
        <w:rPr>
          <w:rFonts w:ascii="Arial"/>
          <w:sz w:val="21"/>
        </w:rPr>
      </w:pPr>
    </w:p>
    <w:p w14:paraId="7115217F">
      <w:pPr>
        <w:spacing w:line="272" w:lineRule="auto"/>
        <w:rPr>
          <w:rFonts w:ascii="Arial"/>
          <w:sz w:val="21"/>
        </w:rPr>
      </w:pPr>
    </w:p>
    <w:p w14:paraId="5677E1F3">
      <w:pPr>
        <w:spacing w:line="272" w:lineRule="auto"/>
        <w:rPr>
          <w:rFonts w:ascii="Arial"/>
          <w:sz w:val="21"/>
        </w:rPr>
      </w:pPr>
    </w:p>
    <w:p w14:paraId="3EDDAF0F">
      <w:pPr>
        <w:spacing w:line="272" w:lineRule="auto"/>
        <w:rPr>
          <w:rFonts w:ascii="Arial"/>
          <w:sz w:val="21"/>
        </w:rPr>
      </w:pPr>
    </w:p>
    <w:p w14:paraId="61B8E926">
      <w:pPr>
        <w:spacing w:before="65" w:line="226" w:lineRule="auto"/>
        <w:ind w:left="415"/>
        <w:rPr>
          <w:rFonts w:ascii="宋体" w:hAnsi="宋体" w:eastAsia="宋体" w:cs="宋体"/>
          <w:sz w:val="20"/>
          <w:szCs w:val="20"/>
        </w:rPr>
      </w:pPr>
      <w:r>
        <w:rPr>
          <w:rFonts w:ascii="宋体" w:hAnsi="宋体" w:eastAsia="宋体" w:cs="宋体"/>
          <w:spacing w:val="8"/>
          <w:sz w:val="20"/>
          <w:szCs w:val="20"/>
        </w:rPr>
        <w:t>风险范围以外合同价格的调整方法：</w:t>
      </w:r>
    </w:p>
    <w:p w14:paraId="1716643A">
      <w:pPr>
        <w:spacing w:line="263" w:lineRule="auto"/>
        <w:rPr>
          <w:rFonts w:ascii="Arial"/>
          <w:sz w:val="21"/>
        </w:rPr>
      </w:pPr>
    </w:p>
    <w:p w14:paraId="26842FE5">
      <w:pPr>
        <w:tabs>
          <w:tab w:val="left" w:pos="8385"/>
        </w:tabs>
        <w:spacing w:before="23" w:line="173" w:lineRule="auto"/>
        <w:ind w:left="40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E0F687E">
      <w:pPr>
        <w:spacing w:before="200" w:line="226" w:lineRule="auto"/>
        <w:ind w:left="417"/>
        <w:rPr>
          <w:rFonts w:ascii="宋体" w:hAnsi="宋体" w:eastAsia="宋体" w:cs="宋体"/>
          <w:sz w:val="20"/>
          <w:szCs w:val="20"/>
        </w:rPr>
      </w:pPr>
      <w:r>
        <w:rPr>
          <w:rFonts w:ascii="宋体" w:hAnsi="宋体" w:eastAsia="宋体" w:cs="宋体"/>
          <w:spacing w:val="6"/>
          <w:sz w:val="20"/>
          <w:szCs w:val="20"/>
        </w:rPr>
        <w:t>2、总价合同。</w:t>
      </w:r>
    </w:p>
    <w:p w14:paraId="6D77CA40">
      <w:pPr>
        <w:spacing w:before="155" w:line="226" w:lineRule="auto"/>
        <w:ind w:left="420"/>
        <w:rPr>
          <w:rFonts w:ascii="宋体" w:hAnsi="宋体" w:eastAsia="宋体" w:cs="宋体"/>
          <w:sz w:val="20"/>
          <w:szCs w:val="20"/>
        </w:rPr>
      </w:pPr>
      <w:r>
        <w:rPr>
          <w:rFonts w:ascii="宋体" w:hAnsi="宋体" w:eastAsia="宋体" w:cs="宋体"/>
          <w:spacing w:val="7"/>
          <w:sz w:val="20"/>
          <w:szCs w:val="20"/>
        </w:rPr>
        <w:t>总价包含的风险范围：</w:t>
      </w:r>
    </w:p>
    <w:p w14:paraId="21C3B421">
      <w:pPr>
        <w:spacing w:line="263" w:lineRule="auto"/>
        <w:rPr>
          <w:rFonts w:ascii="Arial"/>
          <w:sz w:val="21"/>
        </w:rPr>
      </w:pPr>
    </w:p>
    <w:p w14:paraId="7CC837F6">
      <w:pPr>
        <w:tabs>
          <w:tab w:val="left" w:pos="8385"/>
        </w:tabs>
        <w:spacing w:before="24" w:line="173" w:lineRule="auto"/>
        <w:ind w:left="40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77B7FD9">
      <w:pPr>
        <w:spacing w:before="200" w:line="228" w:lineRule="auto"/>
        <w:ind w:left="415"/>
        <w:rPr>
          <w:rFonts w:ascii="宋体" w:hAnsi="宋体" w:eastAsia="宋体" w:cs="宋体"/>
          <w:sz w:val="20"/>
          <w:szCs w:val="20"/>
        </w:rPr>
      </w:pPr>
      <w:r>
        <w:rPr>
          <w:rFonts w:ascii="宋体" w:hAnsi="宋体" w:eastAsia="宋体" w:cs="宋体"/>
          <w:spacing w:val="7"/>
          <w:sz w:val="20"/>
          <w:szCs w:val="20"/>
        </w:rPr>
        <w:t>风险费用的计算方法：</w:t>
      </w:r>
    </w:p>
    <w:p w14:paraId="1B150BD6">
      <w:pPr>
        <w:spacing w:line="264" w:lineRule="auto"/>
        <w:rPr>
          <w:rFonts w:ascii="Arial"/>
          <w:sz w:val="21"/>
        </w:rPr>
      </w:pPr>
    </w:p>
    <w:p w14:paraId="1833998D">
      <w:pPr>
        <w:tabs>
          <w:tab w:val="left" w:pos="8385"/>
        </w:tabs>
        <w:spacing w:before="23" w:line="173" w:lineRule="auto"/>
        <w:ind w:left="40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EDB1062">
      <w:pPr>
        <w:spacing w:before="198" w:line="226" w:lineRule="auto"/>
        <w:ind w:left="415"/>
        <w:rPr>
          <w:rFonts w:ascii="宋体" w:hAnsi="宋体" w:eastAsia="宋体" w:cs="宋体"/>
          <w:sz w:val="20"/>
          <w:szCs w:val="20"/>
        </w:rPr>
      </w:pPr>
      <w:r>
        <w:rPr>
          <w:rFonts w:ascii="宋体" w:hAnsi="宋体" w:eastAsia="宋体" w:cs="宋体"/>
          <w:spacing w:val="8"/>
          <w:sz w:val="20"/>
          <w:szCs w:val="20"/>
        </w:rPr>
        <w:t>风险范围以外合同价格的调整方法：</w:t>
      </w:r>
    </w:p>
    <w:p w14:paraId="5FB038D3">
      <w:pPr>
        <w:spacing w:line="266" w:lineRule="auto"/>
        <w:rPr>
          <w:rFonts w:ascii="Arial"/>
          <w:sz w:val="21"/>
        </w:rPr>
      </w:pPr>
    </w:p>
    <w:p w14:paraId="282EE4ED">
      <w:pPr>
        <w:tabs>
          <w:tab w:val="left" w:pos="8385"/>
        </w:tabs>
        <w:spacing w:before="23" w:line="173" w:lineRule="auto"/>
        <w:ind w:left="40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FE2ADC7">
      <w:pPr>
        <w:spacing w:before="201" w:line="226" w:lineRule="auto"/>
        <w:ind w:left="419"/>
        <w:rPr>
          <w:rFonts w:ascii="宋体" w:hAnsi="宋体" w:eastAsia="宋体" w:cs="宋体"/>
          <w:sz w:val="20"/>
          <w:szCs w:val="20"/>
        </w:rPr>
      </w:pPr>
      <w:r>
        <w:rPr>
          <w:rFonts w:ascii="宋体" w:hAnsi="宋体" w:eastAsia="宋体" w:cs="宋体"/>
          <w:spacing w:val="6"/>
          <w:sz w:val="20"/>
          <w:szCs w:val="20"/>
        </w:rPr>
        <w:t>3、其他价格方式：</w:t>
      </w:r>
    </w:p>
    <w:p w14:paraId="60F2F04F">
      <w:pPr>
        <w:spacing w:before="288" w:line="45" w:lineRule="exact"/>
        <w:ind w:left="8415"/>
        <w:rPr>
          <w:rFonts w:ascii="宋体" w:hAnsi="宋体" w:eastAsia="宋体" w:cs="宋体"/>
          <w:sz w:val="20"/>
          <w:szCs w:val="20"/>
        </w:rPr>
      </w:pPr>
      <w:r>
        <w:pict>
          <v:shape id="_x0000_s1068" o:spid="_x0000_s1068" o:spt="202" type="#_x0000_t202" style="position:absolute;left:0pt;margin-left:19.3pt;margin-top:7pt;height:14.1pt;width:401pt;z-index:251710464;mso-width-relative:page;mso-height-relative:page;" filled="f" stroked="f" coordsize="21600,21600">
            <v:path/>
            <v:fill on="f" focussize="0,0"/>
            <v:stroke on="f"/>
            <v:imagedata o:title=""/>
            <o:lock v:ext="edit" aspectratio="f"/>
            <v:textbox inset="0mm,0mm,0mm,0mm">
              <w:txbxContent>
                <w:p w14:paraId="4E9FC3FF">
                  <w:pPr>
                    <w:tabs>
                      <w:tab w:val="left" w:pos="7999"/>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76CA6893">
      <w:pPr>
        <w:pStyle w:val="2"/>
        <w:spacing w:before="194" w:line="222" w:lineRule="auto"/>
        <w:ind w:left="2"/>
        <w:rPr>
          <w:sz w:val="24"/>
          <w:szCs w:val="24"/>
        </w:rPr>
      </w:pPr>
      <w:r>
        <w:rPr>
          <w:rFonts w:ascii="Times New Roman" w:hAnsi="Times New Roman" w:eastAsia="Times New Roman" w:cs="Times New Roman"/>
          <w:b/>
          <w:bCs/>
          <w:spacing w:val="-5"/>
          <w:sz w:val="24"/>
          <w:szCs w:val="24"/>
        </w:rPr>
        <w:t>12.2</w:t>
      </w:r>
      <w:r>
        <w:rPr>
          <w:rFonts w:ascii="Times New Roman" w:hAnsi="Times New Roman" w:eastAsia="Times New Roman" w:cs="Times New Roman"/>
          <w:b/>
          <w:bCs/>
          <w:spacing w:val="6"/>
          <w:sz w:val="24"/>
          <w:szCs w:val="24"/>
        </w:rPr>
        <w:t xml:space="preserve">  </w:t>
      </w:r>
      <w:r>
        <w:rPr>
          <w:b/>
          <w:bCs/>
          <w:spacing w:val="-5"/>
          <w:sz w:val="24"/>
          <w:szCs w:val="24"/>
        </w:rPr>
        <w:t>预付款</w:t>
      </w:r>
    </w:p>
    <w:p w14:paraId="13055BE8">
      <w:pPr>
        <w:spacing w:before="139" w:line="228" w:lineRule="auto"/>
        <w:ind w:left="430"/>
        <w:rPr>
          <w:rFonts w:ascii="宋体" w:hAnsi="宋体" w:eastAsia="宋体" w:cs="宋体"/>
          <w:sz w:val="20"/>
          <w:szCs w:val="20"/>
        </w:rPr>
      </w:pPr>
      <w:r>
        <w:rPr>
          <w:rFonts w:ascii="宋体" w:hAnsi="宋体" w:eastAsia="宋体" w:cs="宋体"/>
          <w:spacing w:val="5"/>
          <w:sz w:val="20"/>
          <w:szCs w:val="20"/>
        </w:rPr>
        <w:t>12.2.1 预付款的支付</w:t>
      </w:r>
    </w:p>
    <w:p w14:paraId="3DD315EE">
      <w:pPr>
        <w:spacing w:before="151" w:line="228" w:lineRule="auto"/>
        <w:ind w:left="416"/>
        <w:rPr>
          <w:rFonts w:ascii="宋体" w:hAnsi="宋体" w:eastAsia="宋体" w:cs="宋体"/>
          <w:sz w:val="20"/>
          <w:szCs w:val="20"/>
        </w:rPr>
      </w:pPr>
      <w:r>
        <w:rPr>
          <w:rFonts w:ascii="宋体" w:hAnsi="宋体" w:eastAsia="宋体" w:cs="宋体"/>
          <w:spacing w:val="6"/>
          <w:sz w:val="20"/>
          <w:szCs w:val="20"/>
        </w:rPr>
        <w:t>预付款支付比例或金额：</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71B6D53">
      <w:pPr>
        <w:spacing w:before="154" w:line="228" w:lineRule="auto"/>
        <w:ind w:left="416"/>
        <w:rPr>
          <w:rFonts w:ascii="宋体" w:hAnsi="宋体" w:eastAsia="宋体" w:cs="宋体"/>
          <w:sz w:val="20"/>
          <w:szCs w:val="20"/>
        </w:rPr>
      </w:pPr>
      <w:r>
        <w:rPr>
          <w:rFonts w:ascii="宋体" w:hAnsi="宋体" w:eastAsia="宋体" w:cs="宋体"/>
          <w:spacing w:val="6"/>
          <w:sz w:val="20"/>
          <w:szCs w:val="20"/>
        </w:rPr>
        <w:t>预付款支付期限：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E86D64F">
      <w:pPr>
        <w:spacing w:before="154" w:line="228" w:lineRule="auto"/>
        <w:ind w:left="416"/>
        <w:rPr>
          <w:rFonts w:ascii="宋体" w:hAnsi="宋体" w:eastAsia="宋体" w:cs="宋体"/>
          <w:sz w:val="20"/>
          <w:szCs w:val="20"/>
        </w:rPr>
      </w:pPr>
      <w:r>
        <w:rPr>
          <w:rFonts w:ascii="宋体" w:hAnsi="宋体" w:eastAsia="宋体" w:cs="宋体"/>
          <w:spacing w:val="6"/>
          <w:sz w:val="20"/>
          <w:szCs w:val="20"/>
        </w:rPr>
        <w:t>预付款扣回的方式：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30179C7">
      <w:pPr>
        <w:spacing w:before="151" w:line="228" w:lineRule="auto"/>
        <w:ind w:left="430"/>
        <w:rPr>
          <w:rFonts w:ascii="宋体" w:hAnsi="宋体" w:eastAsia="宋体" w:cs="宋体"/>
          <w:sz w:val="20"/>
          <w:szCs w:val="20"/>
        </w:rPr>
      </w:pPr>
      <w:r>
        <w:rPr>
          <w:rFonts w:ascii="宋体" w:hAnsi="宋体" w:eastAsia="宋体" w:cs="宋体"/>
          <w:spacing w:val="4"/>
          <w:sz w:val="20"/>
          <w:szCs w:val="20"/>
        </w:rPr>
        <w:t>12.2.2 预付款担保</w:t>
      </w:r>
    </w:p>
    <w:p w14:paraId="1DA97E99">
      <w:pPr>
        <w:spacing w:before="154" w:line="228" w:lineRule="auto"/>
        <w:ind w:left="414"/>
        <w:rPr>
          <w:rFonts w:ascii="宋体" w:hAnsi="宋体" w:eastAsia="宋体" w:cs="宋体"/>
          <w:sz w:val="20"/>
          <w:szCs w:val="20"/>
        </w:rPr>
      </w:pPr>
      <w:r>
        <w:rPr>
          <w:rFonts w:ascii="宋体" w:hAnsi="宋体" w:eastAsia="宋体" w:cs="宋体"/>
          <w:spacing w:val="6"/>
          <w:sz w:val="20"/>
          <w:szCs w:val="20"/>
        </w:rPr>
        <w:t>承包人提交预付款担保的期限：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8654F4B">
      <w:pPr>
        <w:spacing w:before="154" w:line="228" w:lineRule="auto"/>
        <w:ind w:left="416"/>
        <w:rPr>
          <w:rFonts w:ascii="宋体" w:hAnsi="宋体" w:eastAsia="宋体" w:cs="宋体"/>
          <w:sz w:val="20"/>
          <w:szCs w:val="20"/>
        </w:rPr>
      </w:pPr>
      <w:r>
        <w:rPr>
          <w:rFonts w:ascii="宋体" w:hAnsi="宋体" w:eastAsia="宋体" w:cs="宋体"/>
          <w:spacing w:val="6"/>
          <w:sz w:val="20"/>
          <w:szCs w:val="20"/>
        </w:rPr>
        <w:t>预付款担保的形式为：</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3C6DA2C">
      <w:pPr>
        <w:pStyle w:val="2"/>
        <w:spacing w:before="128" w:line="225" w:lineRule="auto"/>
        <w:ind w:left="2"/>
        <w:rPr>
          <w:sz w:val="24"/>
          <w:szCs w:val="24"/>
        </w:rPr>
      </w:pPr>
      <w:r>
        <w:rPr>
          <w:rFonts w:ascii="Times New Roman" w:hAnsi="Times New Roman" w:eastAsia="Times New Roman" w:cs="Times New Roman"/>
          <w:b/>
          <w:bCs/>
          <w:spacing w:val="-6"/>
          <w:sz w:val="24"/>
          <w:szCs w:val="24"/>
        </w:rPr>
        <w:t>12.3</w:t>
      </w:r>
      <w:r>
        <w:rPr>
          <w:rFonts w:ascii="Times New Roman" w:hAnsi="Times New Roman" w:eastAsia="Times New Roman" w:cs="Times New Roman"/>
          <w:b/>
          <w:bCs/>
          <w:spacing w:val="7"/>
          <w:sz w:val="24"/>
          <w:szCs w:val="24"/>
        </w:rPr>
        <w:t xml:space="preserve">  </w:t>
      </w:r>
      <w:r>
        <w:rPr>
          <w:b/>
          <w:bCs/>
          <w:spacing w:val="-6"/>
          <w:sz w:val="24"/>
          <w:szCs w:val="24"/>
        </w:rPr>
        <w:t>计量</w:t>
      </w:r>
    </w:p>
    <w:p w14:paraId="6AB14F5A">
      <w:pPr>
        <w:spacing w:before="132" w:line="228" w:lineRule="auto"/>
        <w:ind w:left="430"/>
        <w:rPr>
          <w:rFonts w:ascii="宋体" w:hAnsi="宋体" w:eastAsia="宋体" w:cs="宋体"/>
          <w:sz w:val="20"/>
          <w:szCs w:val="20"/>
        </w:rPr>
      </w:pPr>
      <w:r>
        <w:rPr>
          <w:rFonts w:ascii="宋体" w:hAnsi="宋体" w:eastAsia="宋体" w:cs="宋体"/>
          <w:spacing w:val="4"/>
          <w:sz w:val="20"/>
          <w:szCs w:val="20"/>
        </w:rPr>
        <w:t>12.3.1 计量原则</w:t>
      </w:r>
    </w:p>
    <w:p w14:paraId="77CEFAF1">
      <w:pPr>
        <w:spacing w:before="153" w:line="228" w:lineRule="auto"/>
        <w:ind w:left="417"/>
        <w:rPr>
          <w:rFonts w:ascii="宋体" w:hAnsi="宋体" w:eastAsia="宋体" w:cs="宋体"/>
          <w:sz w:val="20"/>
          <w:szCs w:val="20"/>
        </w:rPr>
      </w:pPr>
      <w:r>
        <w:rPr>
          <w:rFonts w:ascii="宋体" w:hAnsi="宋体" w:eastAsia="宋体" w:cs="宋体"/>
          <w:spacing w:val="6"/>
          <w:sz w:val="20"/>
          <w:szCs w:val="20"/>
        </w:rPr>
        <w:t>工程量计算规则：</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F593773">
      <w:pPr>
        <w:spacing w:before="152" w:line="228" w:lineRule="auto"/>
        <w:ind w:left="430"/>
        <w:rPr>
          <w:rFonts w:ascii="宋体" w:hAnsi="宋体" w:eastAsia="宋体" w:cs="宋体"/>
          <w:sz w:val="20"/>
          <w:szCs w:val="20"/>
        </w:rPr>
      </w:pPr>
      <w:r>
        <w:rPr>
          <w:rFonts w:ascii="宋体" w:hAnsi="宋体" w:eastAsia="宋体" w:cs="宋体"/>
          <w:spacing w:val="4"/>
          <w:sz w:val="20"/>
          <w:szCs w:val="20"/>
        </w:rPr>
        <w:t>12.3.2 计量周期</w:t>
      </w:r>
    </w:p>
    <w:p w14:paraId="0CCB4122">
      <w:pPr>
        <w:spacing w:before="154" w:line="228" w:lineRule="auto"/>
        <w:ind w:left="418"/>
        <w:rPr>
          <w:rFonts w:ascii="宋体" w:hAnsi="宋体" w:eastAsia="宋体" w:cs="宋体"/>
          <w:sz w:val="20"/>
          <w:szCs w:val="20"/>
        </w:rPr>
      </w:pPr>
      <w:r>
        <w:rPr>
          <w:rFonts w:ascii="宋体" w:hAnsi="宋体" w:eastAsia="宋体" w:cs="宋体"/>
          <w:spacing w:val="6"/>
          <w:sz w:val="20"/>
          <w:szCs w:val="20"/>
        </w:rPr>
        <w:t>关于计量周期的约定：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EBFD1E8">
      <w:pPr>
        <w:spacing w:before="154" w:line="226" w:lineRule="auto"/>
        <w:ind w:left="430"/>
        <w:rPr>
          <w:rFonts w:ascii="宋体" w:hAnsi="宋体" w:eastAsia="宋体" w:cs="宋体"/>
          <w:sz w:val="20"/>
          <w:szCs w:val="20"/>
        </w:rPr>
      </w:pPr>
      <w:r>
        <w:rPr>
          <w:rFonts w:ascii="宋体" w:hAnsi="宋体" w:eastAsia="宋体" w:cs="宋体"/>
          <w:spacing w:val="5"/>
          <w:sz w:val="20"/>
          <w:szCs w:val="20"/>
        </w:rPr>
        <w:t>12.3.3 单价合同的计量</w:t>
      </w:r>
    </w:p>
    <w:p w14:paraId="5F947503">
      <w:pPr>
        <w:spacing w:before="153" w:line="226" w:lineRule="auto"/>
        <w:ind w:left="418"/>
        <w:rPr>
          <w:rFonts w:ascii="宋体" w:hAnsi="宋体" w:eastAsia="宋体" w:cs="宋体"/>
          <w:sz w:val="20"/>
          <w:szCs w:val="20"/>
        </w:rPr>
      </w:pPr>
      <w:r>
        <w:rPr>
          <w:rFonts w:ascii="宋体" w:hAnsi="宋体" w:eastAsia="宋体" w:cs="宋体"/>
          <w:spacing w:val="6"/>
          <w:sz w:val="20"/>
          <w:szCs w:val="20"/>
        </w:rPr>
        <w:t>关于单价合同计量的约定：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4EAF569">
      <w:pPr>
        <w:spacing w:before="156" w:line="226" w:lineRule="auto"/>
        <w:ind w:left="430"/>
        <w:rPr>
          <w:rFonts w:ascii="宋体" w:hAnsi="宋体" w:eastAsia="宋体" w:cs="宋体"/>
          <w:sz w:val="20"/>
          <w:szCs w:val="20"/>
        </w:rPr>
      </w:pPr>
      <w:r>
        <w:rPr>
          <w:rFonts w:ascii="宋体" w:hAnsi="宋体" w:eastAsia="宋体" w:cs="宋体"/>
          <w:spacing w:val="5"/>
          <w:sz w:val="20"/>
          <w:szCs w:val="20"/>
        </w:rPr>
        <w:t>12.3.4 总价合同的计量</w:t>
      </w:r>
    </w:p>
    <w:p w14:paraId="781A2B25">
      <w:pPr>
        <w:spacing w:before="156" w:line="226" w:lineRule="auto"/>
        <w:ind w:left="418"/>
        <w:rPr>
          <w:rFonts w:ascii="宋体" w:hAnsi="宋体" w:eastAsia="宋体" w:cs="宋体"/>
          <w:sz w:val="20"/>
          <w:szCs w:val="20"/>
        </w:rPr>
      </w:pPr>
      <w:r>
        <w:rPr>
          <w:rFonts w:ascii="宋体" w:hAnsi="宋体" w:eastAsia="宋体" w:cs="宋体"/>
          <w:spacing w:val="6"/>
          <w:sz w:val="20"/>
          <w:szCs w:val="20"/>
        </w:rPr>
        <w:t>关于总价合同计量的约定：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C8EE5C7">
      <w:pPr>
        <w:spacing w:before="154" w:line="370" w:lineRule="auto"/>
        <w:ind w:firstLine="430"/>
        <w:rPr>
          <w:rFonts w:ascii="宋体" w:hAnsi="宋体" w:eastAsia="宋体" w:cs="宋体"/>
          <w:sz w:val="20"/>
          <w:szCs w:val="20"/>
        </w:rPr>
      </w:pPr>
      <w:r>
        <w:rPr>
          <w:rFonts w:ascii="宋体" w:hAnsi="宋体" w:eastAsia="宋体" w:cs="宋体"/>
          <w:spacing w:val="7"/>
          <w:sz w:val="20"/>
          <w:szCs w:val="20"/>
        </w:rPr>
        <w:t>12.3.5</w:t>
      </w:r>
      <w:r>
        <w:rPr>
          <w:rFonts w:ascii="宋体" w:hAnsi="宋体" w:eastAsia="宋体" w:cs="宋体"/>
          <w:spacing w:val="-26"/>
          <w:sz w:val="20"/>
          <w:szCs w:val="20"/>
        </w:rPr>
        <w:t xml:space="preserve"> </w:t>
      </w:r>
      <w:r>
        <w:rPr>
          <w:rFonts w:ascii="宋体" w:hAnsi="宋体" w:eastAsia="宋体" w:cs="宋体"/>
          <w:spacing w:val="7"/>
          <w:sz w:val="20"/>
          <w:szCs w:val="20"/>
        </w:rPr>
        <w:t>总价合同采用支付分解表计量支付的，是否适用第</w:t>
      </w:r>
      <w:r>
        <w:rPr>
          <w:rFonts w:ascii="宋体" w:hAnsi="宋体" w:eastAsia="宋体" w:cs="宋体"/>
          <w:spacing w:val="-23"/>
          <w:sz w:val="20"/>
          <w:szCs w:val="20"/>
        </w:rPr>
        <w:t xml:space="preserve"> </w:t>
      </w:r>
      <w:r>
        <w:rPr>
          <w:rFonts w:ascii="宋体" w:hAnsi="宋体" w:eastAsia="宋体" w:cs="宋体"/>
          <w:spacing w:val="7"/>
          <w:sz w:val="20"/>
          <w:szCs w:val="20"/>
        </w:rPr>
        <w:t>12.3.4 项〔总价合同的计量〕约</w:t>
      </w:r>
      <w:r>
        <w:rPr>
          <w:rFonts w:ascii="宋体" w:hAnsi="宋体" w:eastAsia="宋体" w:cs="宋体"/>
          <w:spacing w:val="-10"/>
          <w:sz w:val="20"/>
          <w:szCs w:val="20"/>
        </w:rPr>
        <w:t>定进行计量：</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0"/>
          <w:sz w:val="20"/>
          <w:szCs w:val="20"/>
        </w:rPr>
        <w:t xml:space="preserve"> 。</w:t>
      </w:r>
    </w:p>
    <w:p w14:paraId="7D6936CA">
      <w:pPr>
        <w:spacing w:line="226" w:lineRule="auto"/>
        <w:ind w:left="430"/>
        <w:rPr>
          <w:rFonts w:ascii="宋体" w:hAnsi="宋体" w:eastAsia="宋体" w:cs="宋体"/>
          <w:sz w:val="20"/>
          <w:szCs w:val="20"/>
        </w:rPr>
      </w:pPr>
      <w:r>
        <w:rPr>
          <w:rFonts w:ascii="宋体" w:hAnsi="宋体" w:eastAsia="宋体" w:cs="宋体"/>
          <w:spacing w:val="6"/>
          <w:sz w:val="20"/>
          <w:szCs w:val="20"/>
        </w:rPr>
        <w:t>12.3.6 其他价格形式合同的计量</w:t>
      </w:r>
    </w:p>
    <w:p w14:paraId="0D5DBB8B">
      <w:pPr>
        <w:spacing w:before="153" w:line="226" w:lineRule="auto"/>
        <w:ind w:left="415"/>
        <w:rPr>
          <w:rFonts w:ascii="宋体" w:hAnsi="宋体" w:eastAsia="宋体" w:cs="宋体"/>
          <w:sz w:val="20"/>
          <w:szCs w:val="20"/>
        </w:rPr>
      </w:pPr>
      <w:r>
        <w:rPr>
          <w:rFonts w:ascii="宋体" w:hAnsi="宋体" w:eastAsia="宋体" w:cs="宋体"/>
          <w:spacing w:val="8"/>
          <w:sz w:val="20"/>
          <w:szCs w:val="20"/>
        </w:rPr>
        <w:t>其他价格形式的计量方式和程序：</w:t>
      </w:r>
    </w:p>
    <w:p w14:paraId="0BA373D0">
      <w:pPr>
        <w:spacing w:line="266" w:lineRule="auto"/>
        <w:rPr>
          <w:rFonts w:ascii="Arial"/>
          <w:sz w:val="21"/>
        </w:rPr>
      </w:pPr>
    </w:p>
    <w:p w14:paraId="22FB1D61">
      <w:pPr>
        <w:tabs>
          <w:tab w:val="left" w:pos="8385"/>
        </w:tabs>
        <w:spacing w:before="23" w:line="173" w:lineRule="auto"/>
        <w:ind w:left="40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A236C56">
      <w:pPr>
        <w:pStyle w:val="2"/>
        <w:spacing w:before="174" w:line="222" w:lineRule="auto"/>
        <w:ind w:left="2"/>
        <w:rPr>
          <w:sz w:val="24"/>
          <w:szCs w:val="24"/>
        </w:rPr>
      </w:pPr>
      <w:r>
        <w:rPr>
          <w:rFonts w:ascii="Times New Roman" w:hAnsi="Times New Roman" w:eastAsia="Times New Roman" w:cs="Times New Roman"/>
          <w:b/>
          <w:bCs/>
          <w:spacing w:val="-3"/>
          <w:sz w:val="24"/>
          <w:szCs w:val="24"/>
        </w:rPr>
        <w:t xml:space="preserve">12.4  </w:t>
      </w:r>
      <w:r>
        <w:rPr>
          <w:b/>
          <w:bCs/>
          <w:spacing w:val="-3"/>
          <w:sz w:val="24"/>
          <w:szCs w:val="24"/>
        </w:rPr>
        <w:t>工程进度款支付</w:t>
      </w:r>
    </w:p>
    <w:p w14:paraId="754AF905">
      <w:pPr>
        <w:spacing w:before="136" w:line="228" w:lineRule="auto"/>
        <w:ind w:left="430"/>
        <w:rPr>
          <w:rFonts w:ascii="宋体" w:hAnsi="宋体" w:eastAsia="宋体" w:cs="宋体"/>
          <w:sz w:val="20"/>
          <w:szCs w:val="20"/>
        </w:rPr>
      </w:pPr>
      <w:r>
        <w:rPr>
          <w:rFonts w:ascii="宋体" w:hAnsi="宋体" w:eastAsia="宋体" w:cs="宋体"/>
          <w:spacing w:val="4"/>
          <w:sz w:val="20"/>
          <w:szCs w:val="20"/>
        </w:rPr>
        <w:t>12.4.1 付款周期</w:t>
      </w:r>
    </w:p>
    <w:p w14:paraId="0B27E3CB">
      <w:pPr>
        <w:spacing w:line="228" w:lineRule="auto"/>
        <w:rPr>
          <w:rFonts w:ascii="宋体" w:hAnsi="宋体" w:eastAsia="宋体" w:cs="宋体"/>
          <w:sz w:val="20"/>
          <w:szCs w:val="20"/>
        </w:rPr>
        <w:sectPr>
          <w:headerReference r:id="rId303" w:type="default"/>
          <w:footerReference r:id="rId304" w:type="default"/>
          <w:pgSz w:w="11906" w:h="16839"/>
          <w:pgMar w:top="400" w:right="1483" w:bottom="1038" w:left="1544" w:header="0" w:footer="785" w:gutter="0"/>
          <w:cols w:space="720" w:num="1"/>
        </w:sectPr>
      </w:pPr>
    </w:p>
    <w:p w14:paraId="6D807375">
      <w:pPr>
        <w:spacing w:before="13" w:line="228" w:lineRule="auto"/>
        <w:ind w:left="427"/>
        <w:rPr>
          <w:rFonts w:ascii="宋体" w:hAnsi="宋体" w:eastAsia="宋体" w:cs="宋体"/>
          <w:sz w:val="20"/>
          <w:szCs w:val="20"/>
        </w:rPr>
      </w:pPr>
      <w:r>
        <w:rPr>
          <w:rFonts w:ascii="宋体" w:hAnsi="宋体" w:eastAsia="宋体" w:cs="宋体"/>
          <w:spacing w:val="6"/>
          <w:sz w:val="20"/>
          <w:szCs w:val="20"/>
        </w:rPr>
        <w:t>12.4.2 进度付款申请单的编制</w:t>
      </w:r>
    </w:p>
    <w:p w14:paraId="12D4C49F">
      <w:pPr>
        <w:spacing w:before="153" w:line="228" w:lineRule="auto"/>
        <w:ind w:left="415"/>
        <w:rPr>
          <w:rFonts w:ascii="宋体" w:hAnsi="宋体" w:eastAsia="宋体" w:cs="宋体"/>
          <w:sz w:val="20"/>
          <w:szCs w:val="20"/>
        </w:rPr>
      </w:pPr>
      <w:r>
        <w:rPr>
          <w:rFonts w:ascii="宋体" w:hAnsi="宋体" w:eastAsia="宋体" w:cs="宋体"/>
          <w:spacing w:val="8"/>
          <w:sz w:val="20"/>
          <w:szCs w:val="20"/>
        </w:rPr>
        <w:t>关于进度付款申请单编制的约定：</w:t>
      </w:r>
    </w:p>
    <w:p w14:paraId="365672F5">
      <w:pPr>
        <w:spacing w:line="262" w:lineRule="auto"/>
        <w:rPr>
          <w:rFonts w:ascii="Arial"/>
          <w:sz w:val="21"/>
        </w:rPr>
      </w:pPr>
    </w:p>
    <w:p w14:paraId="581920E2">
      <w:pPr>
        <w:tabs>
          <w:tab w:val="left" w:pos="8382"/>
        </w:tabs>
        <w:spacing w:before="22"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CE9D4E8">
      <w:pPr>
        <w:spacing w:before="200" w:line="228" w:lineRule="auto"/>
        <w:ind w:left="427"/>
        <w:rPr>
          <w:rFonts w:ascii="宋体" w:hAnsi="宋体" w:eastAsia="宋体" w:cs="宋体"/>
          <w:sz w:val="20"/>
          <w:szCs w:val="20"/>
        </w:rPr>
      </w:pPr>
      <w:r>
        <w:rPr>
          <w:rFonts w:ascii="宋体" w:hAnsi="宋体" w:eastAsia="宋体" w:cs="宋体"/>
          <w:spacing w:val="6"/>
          <w:sz w:val="20"/>
          <w:szCs w:val="20"/>
        </w:rPr>
        <w:t>12.4.3 进度付款申请单的提交</w:t>
      </w:r>
    </w:p>
    <w:p w14:paraId="41AD06FF">
      <w:pPr>
        <w:spacing w:before="154" w:line="226" w:lineRule="auto"/>
        <w:ind w:left="422"/>
        <w:rPr>
          <w:rFonts w:ascii="宋体" w:hAnsi="宋体" w:eastAsia="宋体" w:cs="宋体"/>
          <w:sz w:val="20"/>
          <w:szCs w:val="20"/>
        </w:rPr>
      </w:pPr>
      <w:r>
        <w:rPr>
          <w:rFonts w:ascii="宋体" w:hAnsi="宋体" w:eastAsia="宋体" w:cs="宋体"/>
          <w:spacing w:val="8"/>
          <w:sz w:val="20"/>
          <w:szCs w:val="20"/>
        </w:rPr>
        <w:t>（1）单价合同进度付款申请单提交的约定：</w:t>
      </w:r>
    </w:p>
    <w:p w14:paraId="7070404F">
      <w:pPr>
        <w:spacing w:line="263" w:lineRule="auto"/>
        <w:rPr>
          <w:rFonts w:ascii="Arial"/>
          <w:sz w:val="21"/>
        </w:rPr>
      </w:pPr>
    </w:p>
    <w:p w14:paraId="5EF6D2E3">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7C1C736">
      <w:pPr>
        <w:spacing w:before="201" w:line="226" w:lineRule="auto"/>
        <w:ind w:left="422"/>
        <w:rPr>
          <w:rFonts w:ascii="宋体" w:hAnsi="宋体" w:eastAsia="宋体" w:cs="宋体"/>
          <w:sz w:val="20"/>
          <w:szCs w:val="20"/>
        </w:rPr>
      </w:pPr>
      <w:r>
        <w:rPr>
          <w:rFonts w:ascii="宋体" w:hAnsi="宋体" w:eastAsia="宋体" w:cs="宋体"/>
          <w:spacing w:val="8"/>
          <w:sz w:val="20"/>
          <w:szCs w:val="20"/>
        </w:rPr>
        <w:t>（2）总价合同进度付款申请单提交的约定：</w:t>
      </w:r>
    </w:p>
    <w:p w14:paraId="4C6B7B0D">
      <w:pPr>
        <w:spacing w:line="266" w:lineRule="auto"/>
        <w:rPr>
          <w:rFonts w:ascii="Arial"/>
          <w:sz w:val="21"/>
        </w:rPr>
      </w:pPr>
    </w:p>
    <w:p w14:paraId="10C601DA">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1EA6A80">
      <w:pPr>
        <w:spacing w:before="198" w:line="226" w:lineRule="auto"/>
        <w:ind w:left="422"/>
        <w:rPr>
          <w:rFonts w:ascii="宋体" w:hAnsi="宋体" w:eastAsia="宋体" w:cs="宋体"/>
          <w:sz w:val="20"/>
          <w:szCs w:val="20"/>
        </w:rPr>
      </w:pPr>
      <w:r>
        <w:rPr>
          <w:rFonts w:ascii="宋体" w:hAnsi="宋体" w:eastAsia="宋体" w:cs="宋体"/>
          <w:spacing w:val="8"/>
          <w:sz w:val="20"/>
          <w:szCs w:val="20"/>
        </w:rPr>
        <w:t>（3）其他价格形式合同进度付款申请单提交的约定：</w:t>
      </w:r>
    </w:p>
    <w:p w14:paraId="4DC53A5C">
      <w:pPr>
        <w:spacing w:line="266" w:lineRule="auto"/>
        <w:rPr>
          <w:rFonts w:ascii="Arial"/>
          <w:sz w:val="21"/>
        </w:rPr>
      </w:pPr>
    </w:p>
    <w:p w14:paraId="64008277">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CD82AE5">
      <w:pPr>
        <w:spacing w:before="200" w:line="228" w:lineRule="auto"/>
        <w:ind w:left="427"/>
        <w:rPr>
          <w:rFonts w:ascii="宋体" w:hAnsi="宋体" w:eastAsia="宋体" w:cs="宋体"/>
          <w:sz w:val="20"/>
          <w:szCs w:val="20"/>
        </w:rPr>
      </w:pPr>
      <w:r>
        <w:rPr>
          <w:rFonts w:ascii="宋体" w:hAnsi="宋体" w:eastAsia="宋体" w:cs="宋体"/>
          <w:spacing w:val="5"/>
          <w:sz w:val="20"/>
          <w:szCs w:val="20"/>
        </w:rPr>
        <w:t>12.4.4 进度款审核和支付</w:t>
      </w:r>
    </w:p>
    <w:p w14:paraId="15E9520F">
      <w:pPr>
        <w:spacing w:before="152" w:line="228" w:lineRule="auto"/>
        <w:ind w:left="422"/>
        <w:rPr>
          <w:rFonts w:ascii="宋体" w:hAnsi="宋体" w:eastAsia="宋体" w:cs="宋体"/>
          <w:sz w:val="20"/>
          <w:szCs w:val="20"/>
        </w:rPr>
      </w:pPr>
      <w:r>
        <w:rPr>
          <w:rFonts w:ascii="宋体" w:hAnsi="宋体" w:eastAsia="宋体" w:cs="宋体"/>
          <w:spacing w:val="7"/>
          <w:sz w:val="20"/>
          <w:szCs w:val="20"/>
        </w:rPr>
        <w:t xml:space="preserve">（1）监理人审查并报送发包人的期限： </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094D25B1">
      <w:pPr>
        <w:spacing w:before="154" w:line="227" w:lineRule="auto"/>
        <w:ind w:left="415"/>
        <w:rPr>
          <w:rFonts w:ascii="宋体" w:hAnsi="宋体" w:eastAsia="宋体" w:cs="宋体"/>
          <w:sz w:val="20"/>
          <w:szCs w:val="20"/>
        </w:rPr>
      </w:pPr>
      <w:r>
        <w:rPr>
          <w:rFonts w:ascii="宋体" w:hAnsi="宋体" w:eastAsia="宋体" w:cs="宋体"/>
          <w:spacing w:val="8"/>
          <w:sz w:val="20"/>
          <w:szCs w:val="20"/>
        </w:rPr>
        <w:t>发包人完成审批并签发进度款支付证书的期限：</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627D39BE">
      <w:pPr>
        <w:spacing w:before="154" w:line="228" w:lineRule="auto"/>
        <w:ind w:left="422"/>
        <w:rPr>
          <w:rFonts w:ascii="宋体" w:hAnsi="宋体" w:eastAsia="宋体" w:cs="宋体"/>
          <w:sz w:val="20"/>
          <w:szCs w:val="20"/>
        </w:rPr>
      </w:pPr>
      <w:r>
        <w:rPr>
          <w:rFonts w:ascii="宋体" w:hAnsi="宋体" w:eastAsia="宋体" w:cs="宋体"/>
          <w:spacing w:val="6"/>
          <w:sz w:val="20"/>
          <w:szCs w:val="20"/>
        </w:rPr>
        <w:t>（2）发包人支付进度款的期限：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2C27AE2B">
      <w:pPr>
        <w:spacing w:before="152" w:line="228" w:lineRule="auto"/>
        <w:ind w:left="415"/>
        <w:rPr>
          <w:rFonts w:ascii="宋体" w:hAnsi="宋体" w:eastAsia="宋体" w:cs="宋体"/>
          <w:sz w:val="20"/>
          <w:szCs w:val="20"/>
        </w:rPr>
      </w:pPr>
      <w:r>
        <w:rPr>
          <w:rFonts w:ascii="宋体" w:hAnsi="宋体" w:eastAsia="宋体" w:cs="宋体"/>
          <w:spacing w:val="8"/>
          <w:sz w:val="20"/>
          <w:szCs w:val="20"/>
        </w:rPr>
        <w:t>发包人逾期支付进度款的违约金的计算方式：</w:t>
      </w:r>
    </w:p>
    <w:p w14:paraId="521FA9E7">
      <w:pPr>
        <w:spacing w:line="264" w:lineRule="auto"/>
        <w:rPr>
          <w:rFonts w:ascii="Arial"/>
          <w:sz w:val="21"/>
        </w:rPr>
      </w:pPr>
    </w:p>
    <w:p w14:paraId="4B2A2AEA">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A227246">
      <w:pPr>
        <w:spacing w:before="200" w:line="228" w:lineRule="auto"/>
        <w:ind w:left="427"/>
        <w:rPr>
          <w:rFonts w:ascii="宋体" w:hAnsi="宋体" w:eastAsia="宋体" w:cs="宋体"/>
          <w:sz w:val="20"/>
          <w:szCs w:val="20"/>
        </w:rPr>
      </w:pPr>
      <w:r>
        <w:rPr>
          <w:rFonts w:ascii="宋体" w:hAnsi="宋体" w:eastAsia="宋体" w:cs="宋体"/>
          <w:spacing w:val="5"/>
          <w:sz w:val="20"/>
          <w:szCs w:val="20"/>
        </w:rPr>
        <w:t>12.4.6 支付分解表的编制</w:t>
      </w:r>
    </w:p>
    <w:p w14:paraId="4C883149">
      <w:pPr>
        <w:spacing w:before="152" w:line="226" w:lineRule="auto"/>
        <w:ind w:left="414"/>
        <w:rPr>
          <w:rFonts w:ascii="宋体" w:hAnsi="宋体" w:eastAsia="宋体" w:cs="宋体"/>
          <w:sz w:val="20"/>
          <w:szCs w:val="20"/>
        </w:rPr>
      </w:pPr>
      <w:r>
        <w:rPr>
          <w:rFonts w:ascii="宋体" w:hAnsi="宋体" w:eastAsia="宋体" w:cs="宋体"/>
          <w:spacing w:val="8"/>
          <w:sz w:val="20"/>
          <w:szCs w:val="20"/>
        </w:rPr>
        <w:t>2、总价合同支付分解表的编制与审批：</w:t>
      </w:r>
    </w:p>
    <w:p w14:paraId="38623DF6">
      <w:pPr>
        <w:spacing w:line="266" w:lineRule="auto"/>
        <w:rPr>
          <w:rFonts w:ascii="Arial"/>
          <w:sz w:val="21"/>
        </w:rPr>
      </w:pPr>
    </w:p>
    <w:p w14:paraId="5624598C">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816E18C">
      <w:pPr>
        <w:spacing w:before="201" w:line="226" w:lineRule="auto"/>
        <w:ind w:left="416"/>
        <w:rPr>
          <w:rFonts w:ascii="宋体" w:hAnsi="宋体" w:eastAsia="宋体" w:cs="宋体"/>
          <w:sz w:val="20"/>
          <w:szCs w:val="20"/>
        </w:rPr>
      </w:pPr>
      <w:r>
        <w:rPr>
          <w:rFonts w:ascii="宋体" w:hAnsi="宋体" w:eastAsia="宋体" w:cs="宋体"/>
          <w:spacing w:val="8"/>
          <w:sz w:val="20"/>
          <w:szCs w:val="20"/>
        </w:rPr>
        <w:t>3、单价合同的总价项目支付分解表的编制与审批：</w:t>
      </w:r>
    </w:p>
    <w:p w14:paraId="16BE2E72">
      <w:pPr>
        <w:spacing w:before="288" w:line="45" w:lineRule="exact"/>
        <w:jc w:val="right"/>
        <w:rPr>
          <w:rFonts w:ascii="宋体" w:hAnsi="宋体" w:eastAsia="宋体" w:cs="宋体"/>
          <w:sz w:val="20"/>
          <w:szCs w:val="20"/>
        </w:rPr>
      </w:pPr>
      <w:r>
        <w:pict>
          <v:shape id="_x0000_s1069" o:spid="_x0000_s1069" o:spt="202" type="#_x0000_t202" style="position:absolute;left:0pt;margin-left:-1pt;margin-top:7pt;height:59.85pt;width:421.2pt;z-index:251711488;mso-width-relative:page;mso-height-relative:page;" filled="f" stroked="f" coordsize="21600,21600">
            <v:path/>
            <v:fill on="f" focussize="0,0"/>
            <v:stroke on="f"/>
            <v:imagedata o:title=""/>
            <o:lock v:ext="edit" aspectratio="f"/>
            <v:textbox inset="0mm,0mm,0mm,0mm">
              <w:txbxContent>
                <w:p w14:paraId="417CE0BB">
                  <w:pPr>
                    <w:tabs>
                      <w:tab w:val="left" w:pos="8402"/>
                    </w:tabs>
                    <w:spacing w:before="19"/>
                    <w:ind w:left="423"/>
                    <w:rPr>
                      <w:rFonts w:ascii="Arial"/>
                      <w:sz w:val="21"/>
                    </w:rPr>
                  </w:pPr>
                  <w:r>
                    <w:rPr>
                      <w:rFonts w:ascii="Arial" w:hAnsi="Arial" w:eastAsia="Arial" w:cs="Arial"/>
                      <w:sz w:val="21"/>
                      <w:szCs w:val="21"/>
                      <w:u w:val="single" w:color="auto"/>
                    </w:rPr>
                    <w:tab/>
                  </w:r>
                </w:p>
                <w:p w14:paraId="40C7E047">
                  <w:pPr>
                    <w:pStyle w:val="2"/>
                    <w:spacing w:before="189" w:line="222" w:lineRule="auto"/>
                    <w:ind w:left="22"/>
                    <w:outlineLvl w:val="2"/>
                    <w:rPr>
                      <w:sz w:val="28"/>
                      <w:szCs w:val="28"/>
                    </w:rPr>
                  </w:pPr>
                  <w:bookmarkStart w:id="465" w:name="bookmark278"/>
                  <w:bookmarkEnd w:id="465"/>
                  <w:r>
                    <w:rPr>
                      <w:rFonts w:ascii="Times New Roman" w:hAnsi="Times New Roman" w:eastAsia="Times New Roman" w:cs="Times New Roman"/>
                      <w:b/>
                      <w:bCs/>
                      <w:spacing w:val="-3"/>
                      <w:sz w:val="28"/>
                      <w:szCs w:val="28"/>
                    </w:rPr>
                    <w:t xml:space="preserve">13.  </w:t>
                  </w:r>
                  <w:r>
                    <w:rPr>
                      <w:b/>
                      <w:bCs/>
                      <w:spacing w:val="-3"/>
                      <w:sz w:val="28"/>
                      <w:szCs w:val="28"/>
                    </w:rPr>
                    <w:t>验收和工程试车</w:t>
                  </w:r>
                </w:p>
                <w:p w14:paraId="3E93C093">
                  <w:pPr>
                    <w:pStyle w:val="2"/>
                    <w:spacing w:before="99" w:line="222" w:lineRule="auto"/>
                    <w:ind w:left="20"/>
                    <w:rPr>
                      <w:sz w:val="24"/>
                      <w:szCs w:val="24"/>
                    </w:rPr>
                  </w:pPr>
                  <w:r>
                    <w:rPr>
                      <w:rFonts w:ascii="Times New Roman" w:hAnsi="Times New Roman" w:eastAsia="Times New Roman" w:cs="Times New Roman"/>
                      <w:b/>
                      <w:bCs/>
                      <w:spacing w:val="-3"/>
                      <w:sz w:val="24"/>
                      <w:szCs w:val="24"/>
                    </w:rPr>
                    <w:t xml:space="preserve">13.1  </w:t>
                  </w:r>
                  <w:r>
                    <w:rPr>
                      <w:b/>
                      <w:bCs/>
                      <w:spacing w:val="-3"/>
                      <w:sz w:val="24"/>
                      <w:szCs w:val="24"/>
                    </w:rPr>
                    <w:t>分部分项工程验收</w:t>
                  </w:r>
                </w:p>
              </w:txbxContent>
            </v:textbox>
          </v:shape>
        </w:pict>
      </w:r>
      <w:r>
        <w:rPr>
          <w:rFonts w:ascii="宋体" w:hAnsi="宋体" w:eastAsia="宋体" w:cs="宋体"/>
          <w:spacing w:val="-55"/>
          <w:position w:val="-1"/>
          <w:sz w:val="20"/>
          <w:szCs w:val="20"/>
        </w:rPr>
        <w:t>。</w:t>
      </w:r>
    </w:p>
    <w:p w14:paraId="7A084C8E">
      <w:pPr>
        <w:spacing w:line="262" w:lineRule="auto"/>
        <w:rPr>
          <w:rFonts w:ascii="Arial"/>
          <w:sz w:val="21"/>
        </w:rPr>
      </w:pPr>
    </w:p>
    <w:p w14:paraId="192BDEF6">
      <w:pPr>
        <w:spacing w:line="262" w:lineRule="auto"/>
        <w:rPr>
          <w:rFonts w:ascii="Arial"/>
          <w:sz w:val="21"/>
        </w:rPr>
      </w:pPr>
    </w:p>
    <w:p w14:paraId="5CF4FEC5">
      <w:pPr>
        <w:spacing w:line="262" w:lineRule="auto"/>
        <w:rPr>
          <w:rFonts w:ascii="Arial"/>
          <w:sz w:val="21"/>
        </w:rPr>
      </w:pPr>
    </w:p>
    <w:p w14:paraId="35DB8420">
      <w:pPr>
        <w:spacing w:line="263" w:lineRule="auto"/>
        <w:rPr>
          <w:rFonts w:ascii="Arial"/>
          <w:sz w:val="21"/>
        </w:rPr>
      </w:pPr>
    </w:p>
    <w:p w14:paraId="4AB68A2E">
      <w:pPr>
        <w:spacing w:before="65" w:line="227" w:lineRule="auto"/>
        <w:ind w:left="427"/>
        <w:rPr>
          <w:rFonts w:ascii="宋体" w:hAnsi="宋体" w:eastAsia="宋体" w:cs="宋体"/>
          <w:sz w:val="20"/>
          <w:szCs w:val="20"/>
        </w:rPr>
      </w:pPr>
      <w:r>
        <w:rPr>
          <w:rFonts w:ascii="宋体" w:hAnsi="宋体" w:eastAsia="宋体" w:cs="宋体"/>
          <w:spacing w:val="7"/>
          <w:sz w:val="20"/>
          <w:szCs w:val="20"/>
        </w:rPr>
        <w:t>13.1.2</w:t>
      </w:r>
      <w:r>
        <w:rPr>
          <w:rFonts w:ascii="宋体" w:hAnsi="宋体" w:eastAsia="宋体" w:cs="宋体"/>
          <w:spacing w:val="-33"/>
          <w:sz w:val="20"/>
          <w:szCs w:val="20"/>
        </w:rPr>
        <w:t xml:space="preserve"> </w:t>
      </w:r>
      <w:r>
        <w:rPr>
          <w:rFonts w:ascii="宋体" w:hAnsi="宋体" w:eastAsia="宋体" w:cs="宋体"/>
          <w:spacing w:val="7"/>
          <w:sz w:val="20"/>
          <w:szCs w:val="20"/>
        </w:rPr>
        <w:t>监理人不能按时进行验收时，应提前</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7"/>
          <w:sz w:val="20"/>
          <w:szCs w:val="20"/>
        </w:rPr>
        <w:t>小时提交书面延期要求。</w:t>
      </w:r>
    </w:p>
    <w:p w14:paraId="21A40C7A">
      <w:pPr>
        <w:spacing w:before="155" w:line="228" w:lineRule="auto"/>
        <w:ind w:left="415"/>
        <w:rPr>
          <w:rFonts w:ascii="宋体" w:hAnsi="宋体" w:eastAsia="宋体" w:cs="宋体"/>
          <w:sz w:val="20"/>
          <w:szCs w:val="20"/>
        </w:rPr>
      </w:pPr>
      <w:r>
        <w:rPr>
          <w:rFonts w:ascii="宋体" w:hAnsi="宋体" w:eastAsia="宋体" w:cs="宋体"/>
          <w:spacing w:val="6"/>
          <w:sz w:val="20"/>
          <w:szCs w:val="20"/>
        </w:rPr>
        <w:t>关于延期最长不得超过：</w:t>
      </w:r>
      <w:r>
        <w:rPr>
          <w:rFonts w:ascii="宋体" w:hAnsi="宋体" w:eastAsia="宋体" w:cs="宋体"/>
          <w:spacing w:val="6"/>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6"/>
          <w:sz w:val="20"/>
          <w:szCs w:val="20"/>
        </w:rPr>
        <w:t>小时。</w:t>
      </w:r>
    </w:p>
    <w:p w14:paraId="65383A13">
      <w:pPr>
        <w:pStyle w:val="2"/>
        <w:spacing w:before="127" w:line="221" w:lineRule="auto"/>
        <w:rPr>
          <w:sz w:val="24"/>
          <w:szCs w:val="24"/>
        </w:rPr>
      </w:pPr>
      <w:r>
        <w:rPr>
          <w:rFonts w:ascii="Times New Roman" w:hAnsi="Times New Roman" w:eastAsia="Times New Roman" w:cs="Times New Roman"/>
          <w:b/>
          <w:bCs/>
          <w:spacing w:val="-3"/>
          <w:sz w:val="24"/>
          <w:szCs w:val="24"/>
        </w:rPr>
        <w:t xml:space="preserve">13.2  </w:t>
      </w:r>
      <w:r>
        <w:rPr>
          <w:b/>
          <w:bCs/>
          <w:spacing w:val="-3"/>
          <w:sz w:val="24"/>
          <w:szCs w:val="24"/>
        </w:rPr>
        <w:t>竣工验收</w:t>
      </w:r>
    </w:p>
    <w:p w14:paraId="00FE1988">
      <w:pPr>
        <w:spacing w:before="138" w:line="228" w:lineRule="auto"/>
        <w:ind w:left="427"/>
        <w:rPr>
          <w:rFonts w:ascii="宋体" w:hAnsi="宋体" w:eastAsia="宋体" w:cs="宋体"/>
          <w:sz w:val="20"/>
          <w:szCs w:val="20"/>
        </w:rPr>
      </w:pPr>
      <w:r>
        <w:rPr>
          <w:rFonts w:ascii="宋体" w:hAnsi="宋体" w:eastAsia="宋体" w:cs="宋体"/>
          <w:spacing w:val="4"/>
          <w:sz w:val="20"/>
          <w:szCs w:val="20"/>
        </w:rPr>
        <w:t>13.2.2</w:t>
      </w:r>
      <w:r>
        <w:rPr>
          <w:rFonts w:ascii="宋体" w:hAnsi="宋体" w:eastAsia="宋体" w:cs="宋体"/>
          <w:spacing w:val="-34"/>
          <w:sz w:val="20"/>
          <w:szCs w:val="20"/>
        </w:rPr>
        <w:t xml:space="preserve"> </w:t>
      </w:r>
      <w:r>
        <w:rPr>
          <w:rFonts w:ascii="宋体" w:hAnsi="宋体" w:eastAsia="宋体" w:cs="宋体"/>
          <w:spacing w:val="4"/>
          <w:sz w:val="20"/>
          <w:szCs w:val="20"/>
        </w:rPr>
        <w:t>竣工验收程序</w:t>
      </w:r>
    </w:p>
    <w:p w14:paraId="0BDB04A7">
      <w:pPr>
        <w:spacing w:before="153" w:line="228" w:lineRule="auto"/>
        <w:ind w:left="415"/>
        <w:rPr>
          <w:rFonts w:ascii="宋体" w:hAnsi="宋体" w:eastAsia="宋体" w:cs="宋体"/>
          <w:sz w:val="20"/>
          <w:szCs w:val="20"/>
        </w:rPr>
      </w:pPr>
      <w:r>
        <w:rPr>
          <w:rFonts w:ascii="宋体" w:hAnsi="宋体" w:eastAsia="宋体" w:cs="宋体"/>
          <w:spacing w:val="8"/>
          <w:sz w:val="20"/>
          <w:szCs w:val="20"/>
        </w:rPr>
        <w:t>关于竣工验收程序的约定：</w:t>
      </w:r>
    </w:p>
    <w:p w14:paraId="25B06482">
      <w:pPr>
        <w:spacing w:line="262" w:lineRule="auto"/>
        <w:rPr>
          <w:rFonts w:ascii="Arial"/>
          <w:sz w:val="21"/>
        </w:rPr>
      </w:pPr>
    </w:p>
    <w:p w14:paraId="7A17F354">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2A4D5BD">
      <w:pPr>
        <w:spacing w:before="201" w:line="227" w:lineRule="auto"/>
        <w:ind w:left="415"/>
        <w:rPr>
          <w:rFonts w:ascii="宋体" w:hAnsi="宋体" w:eastAsia="宋体" w:cs="宋体"/>
          <w:sz w:val="20"/>
          <w:szCs w:val="20"/>
        </w:rPr>
      </w:pPr>
      <w:r>
        <w:rPr>
          <w:rFonts w:ascii="宋体" w:hAnsi="宋体" w:eastAsia="宋体" w:cs="宋体"/>
          <w:spacing w:val="9"/>
          <w:sz w:val="20"/>
          <w:szCs w:val="20"/>
        </w:rPr>
        <w:t>发包人不按照本项约定组织竣工验收、颁发工程接收证书的违约金的计算方法：</w:t>
      </w:r>
    </w:p>
    <w:p w14:paraId="0F746D42">
      <w:pPr>
        <w:spacing w:line="265" w:lineRule="auto"/>
        <w:rPr>
          <w:rFonts w:ascii="Arial"/>
          <w:sz w:val="21"/>
        </w:rPr>
      </w:pPr>
    </w:p>
    <w:p w14:paraId="183E9C81">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8ECFB4C">
      <w:pPr>
        <w:spacing w:before="197" w:line="228" w:lineRule="auto"/>
        <w:ind w:left="427"/>
        <w:rPr>
          <w:rFonts w:ascii="宋体" w:hAnsi="宋体" w:eastAsia="宋体" w:cs="宋体"/>
          <w:sz w:val="20"/>
          <w:szCs w:val="20"/>
        </w:rPr>
      </w:pPr>
      <w:r>
        <w:rPr>
          <w:rFonts w:ascii="宋体" w:hAnsi="宋体" w:eastAsia="宋体" w:cs="宋体"/>
          <w:spacing w:val="6"/>
          <w:sz w:val="20"/>
          <w:szCs w:val="20"/>
        </w:rPr>
        <w:t>13.2.5</w:t>
      </w:r>
      <w:r>
        <w:rPr>
          <w:rFonts w:ascii="宋体" w:hAnsi="宋体" w:eastAsia="宋体" w:cs="宋体"/>
          <w:spacing w:val="-34"/>
          <w:sz w:val="20"/>
          <w:szCs w:val="20"/>
        </w:rPr>
        <w:t xml:space="preserve"> </w:t>
      </w:r>
      <w:r>
        <w:rPr>
          <w:rFonts w:ascii="宋体" w:hAnsi="宋体" w:eastAsia="宋体" w:cs="宋体"/>
          <w:spacing w:val="6"/>
          <w:sz w:val="20"/>
          <w:szCs w:val="20"/>
        </w:rPr>
        <w:t>移交、接收全部与部分工程</w:t>
      </w:r>
    </w:p>
    <w:p w14:paraId="09AF7D14">
      <w:pPr>
        <w:spacing w:line="228" w:lineRule="auto"/>
        <w:rPr>
          <w:rFonts w:ascii="宋体" w:hAnsi="宋体" w:eastAsia="宋体" w:cs="宋体"/>
          <w:sz w:val="20"/>
          <w:szCs w:val="20"/>
        </w:rPr>
        <w:sectPr>
          <w:headerReference r:id="rId305" w:type="default"/>
          <w:footerReference r:id="rId306" w:type="default"/>
          <w:pgSz w:w="11906" w:h="16839"/>
          <w:pgMar w:top="2344" w:right="1785" w:bottom="1038" w:left="1547" w:header="1502" w:footer="785" w:gutter="0"/>
          <w:cols w:space="720" w:num="1"/>
        </w:sectPr>
      </w:pPr>
    </w:p>
    <w:p w14:paraId="4EF4176A">
      <w:pPr>
        <w:spacing w:before="13" w:line="227" w:lineRule="auto"/>
        <w:ind w:left="415"/>
        <w:rPr>
          <w:rFonts w:ascii="宋体" w:hAnsi="宋体" w:eastAsia="宋体" w:cs="宋体"/>
          <w:sz w:val="20"/>
          <w:szCs w:val="20"/>
        </w:rPr>
      </w:pPr>
      <w:r>
        <w:rPr>
          <w:rFonts w:ascii="宋体" w:hAnsi="宋体" w:eastAsia="宋体" w:cs="宋体"/>
          <w:spacing w:val="9"/>
          <w:sz w:val="20"/>
          <w:szCs w:val="20"/>
        </w:rPr>
        <w:t>发包人未按本合同约定接收全部或部分工程的，违约金的计算方法为：</w:t>
      </w:r>
    </w:p>
    <w:p w14:paraId="1A9B304F">
      <w:pPr>
        <w:spacing w:line="265" w:lineRule="auto"/>
        <w:rPr>
          <w:rFonts w:ascii="Arial"/>
          <w:sz w:val="21"/>
        </w:rPr>
      </w:pPr>
    </w:p>
    <w:p w14:paraId="153197BC">
      <w:pPr>
        <w:tabs>
          <w:tab w:val="left" w:pos="8382"/>
        </w:tabs>
        <w:spacing w:before="22"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5B1A70D">
      <w:pPr>
        <w:spacing w:before="197" w:line="228" w:lineRule="auto"/>
        <w:ind w:left="412"/>
        <w:rPr>
          <w:rFonts w:ascii="宋体" w:hAnsi="宋体" w:eastAsia="宋体" w:cs="宋体"/>
          <w:sz w:val="20"/>
          <w:szCs w:val="20"/>
        </w:rPr>
      </w:pPr>
      <w:r>
        <w:rPr>
          <w:rFonts w:ascii="宋体" w:hAnsi="宋体" w:eastAsia="宋体" w:cs="宋体"/>
          <w:spacing w:val="9"/>
          <w:sz w:val="20"/>
          <w:szCs w:val="20"/>
        </w:rPr>
        <w:t>承包人未按时移交工程的，违约金的计算方法为：</w:t>
      </w:r>
    </w:p>
    <w:p w14:paraId="78BBB58C">
      <w:pPr>
        <w:spacing w:line="264" w:lineRule="auto"/>
        <w:rPr>
          <w:rFonts w:ascii="Arial"/>
          <w:sz w:val="21"/>
        </w:rPr>
      </w:pPr>
    </w:p>
    <w:p w14:paraId="65D5DE79">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BD22CF5">
      <w:pPr>
        <w:pStyle w:val="2"/>
        <w:spacing w:before="174" w:line="221" w:lineRule="auto"/>
        <w:rPr>
          <w:sz w:val="24"/>
          <w:szCs w:val="24"/>
        </w:rPr>
      </w:pPr>
      <w:r>
        <w:rPr>
          <w:rFonts w:ascii="Times New Roman" w:hAnsi="Times New Roman" w:eastAsia="Times New Roman" w:cs="Times New Roman"/>
          <w:b/>
          <w:bCs/>
          <w:spacing w:val="-3"/>
          <w:sz w:val="24"/>
          <w:szCs w:val="24"/>
        </w:rPr>
        <w:t xml:space="preserve">13.3  </w:t>
      </w:r>
      <w:r>
        <w:rPr>
          <w:b/>
          <w:bCs/>
          <w:spacing w:val="-3"/>
          <w:sz w:val="24"/>
          <w:szCs w:val="24"/>
        </w:rPr>
        <w:t>工程试车</w:t>
      </w:r>
    </w:p>
    <w:p w14:paraId="564F45A3">
      <w:pPr>
        <w:spacing w:before="137" w:line="228" w:lineRule="auto"/>
        <w:ind w:left="427"/>
        <w:rPr>
          <w:rFonts w:ascii="宋体" w:hAnsi="宋体" w:eastAsia="宋体" w:cs="宋体"/>
          <w:sz w:val="20"/>
          <w:szCs w:val="20"/>
        </w:rPr>
      </w:pPr>
      <w:r>
        <w:rPr>
          <w:rFonts w:ascii="宋体" w:hAnsi="宋体" w:eastAsia="宋体" w:cs="宋体"/>
          <w:spacing w:val="4"/>
          <w:sz w:val="20"/>
          <w:szCs w:val="20"/>
        </w:rPr>
        <w:t>13.3.1 试车程序</w:t>
      </w:r>
    </w:p>
    <w:p w14:paraId="460D4A7E">
      <w:pPr>
        <w:spacing w:before="154" w:line="228" w:lineRule="auto"/>
        <w:ind w:left="414"/>
        <w:rPr>
          <w:rFonts w:ascii="宋体" w:hAnsi="宋体" w:eastAsia="宋体" w:cs="宋体"/>
          <w:sz w:val="20"/>
          <w:szCs w:val="20"/>
        </w:rPr>
      </w:pPr>
      <w:r>
        <w:rPr>
          <w:rFonts w:ascii="宋体" w:hAnsi="宋体" w:eastAsia="宋体" w:cs="宋体"/>
          <w:spacing w:val="6"/>
          <w:sz w:val="20"/>
          <w:szCs w:val="20"/>
        </w:rPr>
        <w:t>工程试车内容：</w:t>
      </w:r>
    </w:p>
    <w:p w14:paraId="3ACA4E8F">
      <w:pPr>
        <w:spacing w:line="264" w:lineRule="auto"/>
        <w:rPr>
          <w:rFonts w:ascii="Arial"/>
          <w:sz w:val="21"/>
        </w:rPr>
      </w:pPr>
    </w:p>
    <w:p w14:paraId="540085B4">
      <w:pPr>
        <w:tabs>
          <w:tab w:val="left" w:pos="8487"/>
        </w:tabs>
        <w:spacing w:before="23" w:line="173" w:lineRule="auto"/>
        <w:ind w:left="508"/>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48E9DDA">
      <w:pPr>
        <w:spacing w:before="198" w:line="227" w:lineRule="auto"/>
        <w:ind w:left="422"/>
        <w:rPr>
          <w:rFonts w:ascii="宋体" w:hAnsi="宋体" w:eastAsia="宋体" w:cs="宋体"/>
          <w:sz w:val="20"/>
          <w:szCs w:val="20"/>
        </w:rPr>
      </w:pPr>
      <w:r>
        <w:rPr>
          <w:rFonts w:ascii="宋体" w:hAnsi="宋体" w:eastAsia="宋体" w:cs="宋体"/>
          <w:spacing w:val="6"/>
          <w:sz w:val="20"/>
          <w:szCs w:val="20"/>
        </w:rPr>
        <w:t xml:space="preserve">（1）单机无负荷试车费用由 </w:t>
      </w:r>
      <w:r>
        <w:rPr>
          <w:rFonts w:ascii="宋体" w:hAnsi="宋体" w:eastAsia="宋体" w:cs="宋体"/>
          <w:spacing w:val="6"/>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5"/>
          <w:sz w:val="20"/>
          <w:szCs w:val="20"/>
        </w:rPr>
        <w:t>承担；</w:t>
      </w:r>
    </w:p>
    <w:p w14:paraId="0BBFBA76">
      <w:pPr>
        <w:spacing w:before="155" w:line="228" w:lineRule="auto"/>
        <w:ind w:left="422"/>
        <w:rPr>
          <w:rFonts w:ascii="宋体" w:hAnsi="宋体" w:eastAsia="宋体" w:cs="宋体"/>
          <w:sz w:val="20"/>
          <w:szCs w:val="20"/>
        </w:rPr>
      </w:pPr>
      <w:r>
        <w:rPr>
          <w:rFonts w:ascii="宋体" w:hAnsi="宋体" w:eastAsia="宋体" w:cs="宋体"/>
          <w:spacing w:val="7"/>
          <w:sz w:val="20"/>
          <w:szCs w:val="20"/>
        </w:rPr>
        <w:t>（2）无负荷联动试车费用由</w:t>
      </w:r>
      <w:r>
        <w:rPr>
          <w:rFonts w:ascii="宋体" w:hAnsi="宋体" w:eastAsia="宋体" w:cs="宋体"/>
          <w:spacing w:val="-97"/>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7"/>
          <w:sz w:val="20"/>
          <w:szCs w:val="20"/>
        </w:rPr>
        <w:t>承担。</w:t>
      </w:r>
    </w:p>
    <w:p w14:paraId="2E74CD0F">
      <w:pPr>
        <w:spacing w:before="154" w:line="228" w:lineRule="auto"/>
        <w:ind w:left="427"/>
        <w:rPr>
          <w:rFonts w:ascii="宋体" w:hAnsi="宋体" w:eastAsia="宋体" w:cs="宋体"/>
          <w:sz w:val="20"/>
          <w:szCs w:val="20"/>
        </w:rPr>
      </w:pPr>
      <w:r>
        <w:rPr>
          <w:rFonts w:ascii="宋体" w:hAnsi="宋体" w:eastAsia="宋体" w:cs="宋体"/>
          <w:spacing w:val="4"/>
          <w:sz w:val="20"/>
          <w:szCs w:val="20"/>
        </w:rPr>
        <w:t>13.3.3 投料试车</w:t>
      </w:r>
    </w:p>
    <w:p w14:paraId="37184E8A">
      <w:pPr>
        <w:spacing w:before="151" w:line="228" w:lineRule="auto"/>
        <w:ind w:left="415"/>
        <w:rPr>
          <w:rFonts w:ascii="宋体" w:hAnsi="宋体" w:eastAsia="宋体" w:cs="宋体"/>
          <w:sz w:val="20"/>
          <w:szCs w:val="20"/>
        </w:rPr>
      </w:pPr>
      <w:r>
        <w:rPr>
          <w:rFonts w:ascii="宋体" w:hAnsi="宋体" w:eastAsia="宋体" w:cs="宋体"/>
          <w:spacing w:val="8"/>
          <w:sz w:val="20"/>
          <w:szCs w:val="20"/>
        </w:rPr>
        <w:t>关于投料试车相关事项的约定：</w:t>
      </w:r>
    </w:p>
    <w:p w14:paraId="6EBDF807">
      <w:pPr>
        <w:spacing w:line="264" w:lineRule="auto"/>
        <w:rPr>
          <w:rFonts w:ascii="Arial"/>
          <w:sz w:val="21"/>
        </w:rPr>
      </w:pPr>
    </w:p>
    <w:p w14:paraId="54D1686B">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6C3D302">
      <w:pPr>
        <w:pStyle w:val="2"/>
        <w:spacing w:before="174" w:line="221" w:lineRule="auto"/>
        <w:rPr>
          <w:sz w:val="24"/>
          <w:szCs w:val="24"/>
        </w:rPr>
      </w:pPr>
      <w:r>
        <w:rPr>
          <w:rFonts w:ascii="Times New Roman" w:hAnsi="Times New Roman" w:eastAsia="Times New Roman" w:cs="Times New Roman"/>
          <w:b/>
          <w:bCs/>
          <w:spacing w:val="-3"/>
          <w:sz w:val="24"/>
          <w:szCs w:val="24"/>
        </w:rPr>
        <w:t xml:space="preserve">13.6  </w:t>
      </w:r>
      <w:r>
        <w:rPr>
          <w:b/>
          <w:bCs/>
          <w:spacing w:val="-3"/>
          <w:sz w:val="24"/>
          <w:szCs w:val="24"/>
        </w:rPr>
        <w:t>竣工退场</w:t>
      </w:r>
    </w:p>
    <w:p w14:paraId="46E63310">
      <w:pPr>
        <w:spacing w:before="138" w:line="228" w:lineRule="auto"/>
        <w:ind w:left="427"/>
        <w:rPr>
          <w:rFonts w:ascii="宋体" w:hAnsi="宋体" w:eastAsia="宋体" w:cs="宋体"/>
          <w:sz w:val="20"/>
          <w:szCs w:val="20"/>
        </w:rPr>
      </w:pPr>
      <w:r>
        <w:rPr>
          <w:rFonts w:ascii="宋体" w:hAnsi="宋体" w:eastAsia="宋体" w:cs="宋体"/>
          <w:spacing w:val="4"/>
          <w:sz w:val="20"/>
          <w:szCs w:val="20"/>
        </w:rPr>
        <w:t>13.6.1 竣工退场</w:t>
      </w:r>
    </w:p>
    <w:p w14:paraId="2B0465B1">
      <w:pPr>
        <w:spacing w:before="153" w:line="228" w:lineRule="auto"/>
        <w:ind w:left="412"/>
        <w:rPr>
          <w:rFonts w:ascii="宋体" w:hAnsi="宋体" w:eastAsia="宋体" w:cs="宋体"/>
          <w:sz w:val="20"/>
          <w:szCs w:val="20"/>
        </w:rPr>
      </w:pPr>
      <w:r>
        <w:rPr>
          <w:rFonts w:ascii="宋体" w:hAnsi="宋体" w:eastAsia="宋体" w:cs="宋体"/>
          <w:spacing w:val="6"/>
          <w:sz w:val="20"/>
          <w:szCs w:val="20"/>
        </w:rPr>
        <w:t>承包人完成竣工退场的期限：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0D9717F8">
      <w:pPr>
        <w:pStyle w:val="2"/>
        <w:spacing w:before="193" w:line="222" w:lineRule="auto"/>
        <w:ind w:left="2"/>
        <w:outlineLvl w:val="2"/>
        <w:rPr>
          <w:sz w:val="28"/>
          <w:szCs w:val="28"/>
        </w:rPr>
      </w:pPr>
      <w:bookmarkStart w:id="296" w:name="bookmark279"/>
      <w:bookmarkEnd w:id="296"/>
      <w:r>
        <w:rPr>
          <w:rFonts w:ascii="Times New Roman" w:hAnsi="Times New Roman" w:eastAsia="Times New Roman" w:cs="Times New Roman"/>
          <w:b/>
          <w:bCs/>
          <w:spacing w:val="-4"/>
          <w:sz w:val="28"/>
          <w:szCs w:val="28"/>
        </w:rPr>
        <w:t xml:space="preserve">14.  </w:t>
      </w:r>
      <w:r>
        <w:rPr>
          <w:b/>
          <w:bCs/>
          <w:spacing w:val="-4"/>
          <w:sz w:val="28"/>
          <w:szCs w:val="28"/>
        </w:rPr>
        <w:t>竣工结算</w:t>
      </w:r>
    </w:p>
    <w:p w14:paraId="03656A73">
      <w:pPr>
        <w:pStyle w:val="2"/>
        <w:spacing w:before="97" w:line="221" w:lineRule="auto"/>
        <w:rPr>
          <w:sz w:val="24"/>
          <w:szCs w:val="24"/>
        </w:rPr>
      </w:pPr>
      <w:r>
        <w:rPr>
          <w:rFonts w:ascii="Times New Roman" w:hAnsi="Times New Roman" w:eastAsia="Times New Roman" w:cs="Times New Roman"/>
          <w:b/>
          <w:bCs/>
          <w:spacing w:val="-3"/>
          <w:sz w:val="24"/>
          <w:szCs w:val="24"/>
        </w:rPr>
        <w:t xml:space="preserve">14.1  </w:t>
      </w:r>
      <w:r>
        <w:rPr>
          <w:b/>
          <w:bCs/>
          <w:spacing w:val="-3"/>
          <w:sz w:val="24"/>
          <w:szCs w:val="24"/>
        </w:rPr>
        <w:t>竣工结算申请</w:t>
      </w:r>
    </w:p>
    <w:p w14:paraId="7CB8EA8A">
      <w:pPr>
        <w:spacing w:before="140" w:line="228" w:lineRule="auto"/>
        <w:ind w:left="412"/>
        <w:rPr>
          <w:rFonts w:ascii="宋体" w:hAnsi="宋体" w:eastAsia="宋体" w:cs="宋体"/>
          <w:sz w:val="20"/>
          <w:szCs w:val="20"/>
        </w:rPr>
      </w:pPr>
      <w:r>
        <w:rPr>
          <w:rFonts w:ascii="宋体" w:hAnsi="宋体" w:eastAsia="宋体" w:cs="宋体"/>
          <w:spacing w:val="7"/>
          <w:sz w:val="20"/>
          <w:szCs w:val="20"/>
        </w:rPr>
        <w:t>承包人提交竣工结算申请单的期限：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w:t>
      </w:r>
    </w:p>
    <w:p w14:paraId="259D0FE6">
      <w:pPr>
        <w:spacing w:before="152" w:line="228" w:lineRule="auto"/>
        <w:ind w:left="413"/>
        <w:rPr>
          <w:rFonts w:ascii="宋体" w:hAnsi="宋体" w:eastAsia="宋体" w:cs="宋体"/>
          <w:sz w:val="20"/>
          <w:szCs w:val="20"/>
        </w:rPr>
      </w:pPr>
      <w:r>
        <w:rPr>
          <w:rFonts w:ascii="宋体" w:hAnsi="宋体" w:eastAsia="宋体" w:cs="宋体"/>
          <w:spacing w:val="8"/>
          <w:sz w:val="20"/>
          <w:szCs w:val="20"/>
        </w:rPr>
        <w:t>竣工结算申请单应包括的内容：</w:t>
      </w:r>
    </w:p>
    <w:p w14:paraId="0D621B4D">
      <w:pPr>
        <w:spacing w:line="264" w:lineRule="auto"/>
        <w:rPr>
          <w:rFonts w:ascii="Arial"/>
          <w:sz w:val="21"/>
        </w:rPr>
      </w:pPr>
    </w:p>
    <w:p w14:paraId="4C26F20F">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B298C8E">
      <w:pPr>
        <w:pStyle w:val="2"/>
        <w:spacing w:before="174" w:line="221" w:lineRule="auto"/>
        <w:rPr>
          <w:sz w:val="24"/>
          <w:szCs w:val="24"/>
        </w:rPr>
      </w:pPr>
      <w:r>
        <w:rPr>
          <w:rFonts w:ascii="Times New Roman" w:hAnsi="Times New Roman" w:eastAsia="Times New Roman" w:cs="Times New Roman"/>
          <w:b/>
          <w:bCs/>
          <w:spacing w:val="-3"/>
          <w:sz w:val="24"/>
          <w:szCs w:val="24"/>
        </w:rPr>
        <w:t xml:space="preserve">14.2  </w:t>
      </w:r>
      <w:r>
        <w:rPr>
          <w:b/>
          <w:bCs/>
          <w:spacing w:val="-3"/>
          <w:sz w:val="24"/>
          <w:szCs w:val="24"/>
        </w:rPr>
        <w:t>竣工结算审核</w:t>
      </w:r>
    </w:p>
    <w:p w14:paraId="67F878F2">
      <w:pPr>
        <w:spacing w:before="137" w:line="228" w:lineRule="auto"/>
        <w:ind w:left="415"/>
        <w:rPr>
          <w:rFonts w:ascii="宋体" w:hAnsi="宋体" w:eastAsia="宋体" w:cs="宋体"/>
          <w:sz w:val="20"/>
          <w:szCs w:val="20"/>
        </w:rPr>
      </w:pPr>
      <w:r>
        <w:rPr>
          <w:rFonts w:ascii="宋体" w:hAnsi="宋体" w:eastAsia="宋体" w:cs="宋体"/>
          <w:spacing w:val="7"/>
          <w:sz w:val="20"/>
          <w:szCs w:val="20"/>
        </w:rPr>
        <w:t>发包人审批竣工付款申请单的期限：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67F8842">
      <w:pPr>
        <w:spacing w:before="154" w:line="228" w:lineRule="auto"/>
        <w:ind w:left="415"/>
        <w:rPr>
          <w:rFonts w:ascii="宋体" w:hAnsi="宋体" w:eastAsia="宋体" w:cs="宋体"/>
          <w:sz w:val="20"/>
          <w:szCs w:val="20"/>
        </w:rPr>
      </w:pPr>
      <w:r>
        <w:rPr>
          <w:rFonts w:ascii="宋体" w:hAnsi="宋体" w:eastAsia="宋体" w:cs="宋体"/>
          <w:spacing w:val="6"/>
          <w:sz w:val="20"/>
          <w:szCs w:val="20"/>
        </w:rPr>
        <w:t>发包人完成竣工付款的期限：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5A592E8">
      <w:pPr>
        <w:spacing w:before="154" w:line="227" w:lineRule="auto"/>
        <w:ind w:left="415"/>
        <w:rPr>
          <w:rFonts w:ascii="宋体" w:hAnsi="宋体" w:eastAsia="宋体" w:cs="宋体"/>
          <w:sz w:val="20"/>
          <w:szCs w:val="20"/>
        </w:rPr>
      </w:pPr>
      <w:r>
        <w:rPr>
          <w:rFonts w:ascii="宋体" w:hAnsi="宋体" w:eastAsia="宋体" w:cs="宋体"/>
          <w:spacing w:val="8"/>
          <w:sz w:val="20"/>
          <w:szCs w:val="20"/>
        </w:rPr>
        <w:t>关于竣工付款证书异议部分复核的方式和程序：</w:t>
      </w:r>
    </w:p>
    <w:p w14:paraId="3D40483E">
      <w:pPr>
        <w:spacing w:before="287" w:line="46" w:lineRule="exact"/>
        <w:jc w:val="right"/>
        <w:rPr>
          <w:rFonts w:ascii="宋体" w:hAnsi="宋体" w:eastAsia="宋体" w:cs="宋体"/>
          <w:sz w:val="20"/>
          <w:szCs w:val="20"/>
        </w:rPr>
      </w:pPr>
      <w:r>
        <w:pict>
          <v:shape id="_x0000_s1070" o:spid="_x0000_s1070" o:spt="202" type="#_x0000_t202" style="position:absolute;left:0pt;margin-left:19.15pt;margin-top:7pt;height:14.1pt;width:401pt;z-index:251712512;mso-width-relative:page;mso-height-relative:page;" filled="f" stroked="f" coordsize="21600,21600">
            <v:path/>
            <v:fill on="f" focussize="0,0"/>
            <v:stroke on="f"/>
            <v:imagedata o:title=""/>
            <o:lock v:ext="edit" aspectratio="f"/>
            <v:textbox inset="0mm,0mm,0mm,0mm">
              <w:txbxContent>
                <w:p w14:paraId="0086727D">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5859EAFA">
      <w:pPr>
        <w:pStyle w:val="2"/>
        <w:spacing w:before="194" w:line="223" w:lineRule="auto"/>
        <w:rPr>
          <w:sz w:val="24"/>
          <w:szCs w:val="24"/>
        </w:rPr>
      </w:pPr>
      <w:r>
        <w:rPr>
          <w:rFonts w:ascii="Times New Roman" w:hAnsi="Times New Roman" w:eastAsia="Times New Roman" w:cs="Times New Roman"/>
          <w:b/>
          <w:bCs/>
          <w:spacing w:val="-5"/>
          <w:sz w:val="24"/>
          <w:szCs w:val="24"/>
        </w:rPr>
        <w:t>14.4</w:t>
      </w:r>
      <w:r>
        <w:rPr>
          <w:rFonts w:ascii="Times New Roman" w:hAnsi="Times New Roman" w:eastAsia="Times New Roman" w:cs="Times New Roman"/>
          <w:b/>
          <w:bCs/>
          <w:spacing w:val="7"/>
          <w:sz w:val="24"/>
          <w:szCs w:val="24"/>
        </w:rPr>
        <w:t xml:space="preserve">  </w:t>
      </w:r>
      <w:r>
        <w:rPr>
          <w:b/>
          <w:bCs/>
          <w:spacing w:val="-5"/>
          <w:sz w:val="24"/>
          <w:szCs w:val="24"/>
        </w:rPr>
        <w:t>最终结清</w:t>
      </w:r>
    </w:p>
    <w:p w14:paraId="6E16BFD7">
      <w:pPr>
        <w:spacing w:before="137" w:line="228" w:lineRule="auto"/>
        <w:ind w:left="427"/>
        <w:rPr>
          <w:rFonts w:ascii="宋体" w:hAnsi="宋体" w:eastAsia="宋体" w:cs="宋体"/>
          <w:sz w:val="20"/>
          <w:szCs w:val="20"/>
        </w:rPr>
      </w:pPr>
      <w:r>
        <w:rPr>
          <w:rFonts w:ascii="宋体" w:hAnsi="宋体" w:eastAsia="宋体" w:cs="宋体"/>
          <w:spacing w:val="5"/>
          <w:sz w:val="20"/>
          <w:szCs w:val="20"/>
        </w:rPr>
        <w:t>14.4.1 最终结清申请单</w:t>
      </w:r>
    </w:p>
    <w:p w14:paraId="464C9325">
      <w:pPr>
        <w:spacing w:before="151" w:line="228" w:lineRule="auto"/>
        <w:ind w:left="412"/>
        <w:rPr>
          <w:rFonts w:ascii="宋体" w:hAnsi="宋体" w:eastAsia="宋体" w:cs="宋体"/>
          <w:sz w:val="20"/>
          <w:szCs w:val="20"/>
        </w:rPr>
      </w:pPr>
      <w:r>
        <w:rPr>
          <w:rFonts w:ascii="宋体" w:hAnsi="宋体" w:eastAsia="宋体" w:cs="宋体"/>
          <w:spacing w:val="7"/>
          <w:sz w:val="20"/>
          <w:szCs w:val="20"/>
        </w:rPr>
        <w:t>承包人提交最终结清申请单的份数：</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56D06271">
      <w:pPr>
        <w:spacing w:before="154" w:line="228" w:lineRule="auto"/>
        <w:ind w:left="412"/>
        <w:rPr>
          <w:rFonts w:ascii="宋体" w:hAnsi="宋体" w:eastAsia="宋体" w:cs="宋体"/>
          <w:sz w:val="20"/>
          <w:szCs w:val="20"/>
        </w:rPr>
      </w:pPr>
      <w:r>
        <w:rPr>
          <w:rFonts w:ascii="宋体" w:hAnsi="宋体" w:eastAsia="宋体" w:cs="宋体"/>
          <w:spacing w:val="7"/>
          <w:sz w:val="20"/>
          <w:szCs w:val="20"/>
        </w:rPr>
        <w:t>承包人提交最终结算申请单的期限：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55942D97">
      <w:pPr>
        <w:spacing w:before="154" w:line="227" w:lineRule="auto"/>
        <w:ind w:left="427"/>
        <w:rPr>
          <w:rFonts w:ascii="宋体" w:hAnsi="宋体" w:eastAsia="宋体" w:cs="宋体"/>
          <w:sz w:val="20"/>
          <w:szCs w:val="20"/>
        </w:rPr>
      </w:pPr>
      <w:r>
        <w:rPr>
          <w:rFonts w:ascii="宋体" w:hAnsi="宋体" w:eastAsia="宋体" w:cs="宋体"/>
          <w:spacing w:val="6"/>
          <w:sz w:val="20"/>
          <w:szCs w:val="20"/>
        </w:rPr>
        <w:t>14.4.2 最终结清证书和支付</w:t>
      </w:r>
    </w:p>
    <w:p w14:paraId="1384DB53">
      <w:pPr>
        <w:spacing w:before="153" w:line="227" w:lineRule="auto"/>
        <w:ind w:left="422"/>
        <w:rPr>
          <w:rFonts w:ascii="宋体" w:hAnsi="宋体" w:eastAsia="宋体" w:cs="宋体"/>
          <w:sz w:val="20"/>
          <w:szCs w:val="20"/>
        </w:rPr>
      </w:pPr>
      <w:r>
        <w:rPr>
          <w:rFonts w:ascii="宋体" w:hAnsi="宋体" w:eastAsia="宋体" w:cs="宋体"/>
          <w:spacing w:val="9"/>
          <w:sz w:val="20"/>
          <w:szCs w:val="20"/>
        </w:rPr>
        <w:t>（1）发包人完成最终结清申请单的审批并颁发最终结</w:t>
      </w:r>
      <w:r>
        <w:rPr>
          <w:rFonts w:ascii="宋体" w:hAnsi="宋体" w:eastAsia="宋体" w:cs="宋体"/>
          <w:spacing w:val="8"/>
          <w:sz w:val="20"/>
          <w:szCs w:val="20"/>
        </w:rPr>
        <w:t>清证书的期限：</w:t>
      </w:r>
    </w:p>
    <w:p w14:paraId="64AE4374">
      <w:pPr>
        <w:spacing w:line="227" w:lineRule="auto"/>
        <w:rPr>
          <w:rFonts w:ascii="宋体" w:hAnsi="宋体" w:eastAsia="宋体" w:cs="宋体"/>
          <w:sz w:val="20"/>
          <w:szCs w:val="20"/>
        </w:rPr>
        <w:sectPr>
          <w:headerReference r:id="rId307" w:type="default"/>
          <w:footerReference r:id="rId308" w:type="default"/>
          <w:pgSz w:w="11906" w:h="16839"/>
          <w:pgMar w:top="2344" w:right="1760" w:bottom="1038" w:left="1547" w:header="1502" w:footer="787" w:gutter="0"/>
          <w:cols w:space="720" w:num="1"/>
        </w:sectPr>
      </w:pPr>
    </w:p>
    <w:p w14:paraId="58BB4374">
      <w:pPr>
        <w:spacing w:line="252" w:lineRule="auto"/>
        <w:rPr>
          <w:rFonts w:ascii="Arial"/>
          <w:sz w:val="21"/>
        </w:rPr>
      </w:pPr>
    </w:p>
    <w:p w14:paraId="1109E58F">
      <w:pPr>
        <w:spacing w:line="252" w:lineRule="auto"/>
        <w:rPr>
          <w:rFonts w:ascii="Arial"/>
          <w:sz w:val="21"/>
        </w:rPr>
      </w:pPr>
    </w:p>
    <w:p w14:paraId="79A637D1">
      <w:pPr>
        <w:spacing w:line="253" w:lineRule="auto"/>
        <w:rPr>
          <w:rFonts w:ascii="Arial"/>
          <w:sz w:val="21"/>
        </w:rPr>
      </w:pPr>
    </w:p>
    <w:p w14:paraId="5B030F58">
      <w:pPr>
        <w:spacing w:line="253" w:lineRule="auto"/>
        <w:rPr>
          <w:rFonts w:ascii="Arial"/>
          <w:sz w:val="21"/>
        </w:rPr>
      </w:pPr>
    </w:p>
    <w:p w14:paraId="6B667314">
      <w:pPr>
        <w:spacing w:line="253" w:lineRule="auto"/>
        <w:rPr>
          <w:rFonts w:ascii="Arial"/>
          <w:sz w:val="21"/>
        </w:rPr>
      </w:pPr>
    </w:p>
    <w:p w14:paraId="1F435D16">
      <w:pPr>
        <w:tabs>
          <w:tab w:val="left" w:pos="8390"/>
        </w:tabs>
        <w:spacing w:before="22"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227F9E4">
      <w:pPr>
        <w:spacing w:before="197" w:line="228" w:lineRule="auto"/>
        <w:ind w:left="430"/>
        <w:rPr>
          <w:rFonts w:ascii="宋体" w:hAnsi="宋体" w:eastAsia="宋体" w:cs="宋体"/>
          <w:sz w:val="20"/>
          <w:szCs w:val="20"/>
        </w:rPr>
      </w:pPr>
      <w:r>
        <w:rPr>
          <w:rFonts w:ascii="宋体" w:hAnsi="宋体" w:eastAsia="宋体" w:cs="宋体"/>
          <w:spacing w:val="7"/>
          <w:sz w:val="20"/>
          <w:szCs w:val="20"/>
        </w:rPr>
        <w:t>（2）发包人完成支付的期限：</w:t>
      </w:r>
    </w:p>
    <w:p w14:paraId="53099B33">
      <w:pPr>
        <w:spacing w:line="264" w:lineRule="auto"/>
        <w:rPr>
          <w:rFonts w:ascii="Arial"/>
          <w:sz w:val="21"/>
        </w:rPr>
      </w:pPr>
    </w:p>
    <w:p w14:paraId="5104F629">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57B90D8">
      <w:pPr>
        <w:pStyle w:val="2"/>
        <w:spacing w:before="238" w:line="222" w:lineRule="auto"/>
        <w:ind w:left="10"/>
        <w:outlineLvl w:val="2"/>
        <w:rPr>
          <w:sz w:val="28"/>
          <w:szCs w:val="28"/>
        </w:rPr>
      </w:pPr>
      <w:bookmarkStart w:id="297" w:name="bookmark280"/>
      <w:bookmarkEnd w:id="297"/>
      <w:r>
        <w:rPr>
          <w:rFonts w:ascii="Times New Roman" w:hAnsi="Times New Roman" w:eastAsia="Times New Roman" w:cs="Times New Roman"/>
          <w:b/>
          <w:bCs/>
          <w:spacing w:val="-3"/>
          <w:sz w:val="28"/>
          <w:szCs w:val="28"/>
        </w:rPr>
        <w:t xml:space="preserve">15.  </w:t>
      </w:r>
      <w:r>
        <w:rPr>
          <w:b/>
          <w:bCs/>
          <w:spacing w:val="-3"/>
          <w:sz w:val="28"/>
          <w:szCs w:val="28"/>
        </w:rPr>
        <w:t>缺陷责任期与保修</w:t>
      </w:r>
    </w:p>
    <w:p w14:paraId="7CC2225E">
      <w:pPr>
        <w:pStyle w:val="2"/>
        <w:spacing w:before="98" w:line="221" w:lineRule="auto"/>
        <w:ind w:left="7"/>
        <w:rPr>
          <w:sz w:val="24"/>
          <w:szCs w:val="24"/>
        </w:rPr>
      </w:pPr>
      <w:r>
        <w:rPr>
          <w:rFonts w:ascii="Times New Roman" w:hAnsi="Times New Roman" w:eastAsia="Times New Roman" w:cs="Times New Roman"/>
          <w:b/>
          <w:bCs/>
          <w:spacing w:val="-3"/>
          <w:sz w:val="24"/>
          <w:szCs w:val="24"/>
        </w:rPr>
        <w:t xml:space="preserve">15.2 </w:t>
      </w:r>
      <w:r>
        <w:rPr>
          <w:b/>
          <w:bCs/>
          <w:spacing w:val="-3"/>
          <w:sz w:val="24"/>
          <w:szCs w:val="24"/>
        </w:rPr>
        <w:t>缺陷责任期</w:t>
      </w:r>
    </w:p>
    <w:p w14:paraId="3B70CF5D">
      <w:pPr>
        <w:spacing w:before="140" w:line="228" w:lineRule="auto"/>
        <w:ind w:left="420"/>
        <w:rPr>
          <w:rFonts w:ascii="宋体" w:hAnsi="宋体" w:eastAsia="宋体" w:cs="宋体"/>
          <w:sz w:val="20"/>
          <w:szCs w:val="20"/>
        </w:rPr>
      </w:pPr>
      <w:r>
        <w:rPr>
          <w:rFonts w:ascii="宋体" w:hAnsi="宋体" w:eastAsia="宋体" w:cs="宋体"/>
          <w:spacing w:val="8"/>
          <w:sz w:val="20"/>
          <w:szCs w:val="20"/>
        </w:rPr>
        <w:t>缺陷责任期的具体期限：</w:t>
      </w:r>
    </w:p>
    <w:p w14:paraId="7579495A">
      <w:pPr>
        <w:spacing w:before="286" w:line="46" w:lineRule="exact"/>
        <w:ind w:left="8420"/>
        <w:rPr>
          <w:rFonts w:ascii="宋体" w:hAnsi="宋体" w:eastAsia="宋体" w:cs="宋体"/>
          <w:sz w:val="20"/>
          <w:szCs w:val="20"/>
        </w:rPr>
      </w:pPr>
      <w:r>
        <w:pict>
          <v:shape id="_x0000_s1071" o:spid="_x0000_s1071" o:spt="202" type="#_x0000_t202" style="position:absolute;left:0pt;margin-left:19.55pt;margin-top:6.95pt;height:14.1pt;width:401pt;z-index:251713536;mso-width-relative:page;mso-height-relative:page;" filled="f" stroked="f" coordsize="21600,21600">
            <v:path/>
            <v:fill on="f" focussize="0,0"/>
            <v:stroke on="f"/>
            <v:imagedata o:title=""/>
            <o:lock v:ext="edit" aspectratio="f"/>
            <v:textbox inset="0mm,0mm,0mm,0mm">
              <w:txbxContent>
                <w:p w14:paraId="71E2C200">
                  <w:pPr>
                    <w:tabs>
                      <w:tab w:val="left" w:pos="7999"/>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42F153B6">
      <w:pPr>
        <w:pStyle w:val="2"/>
        <w:spacing w:before="194" w:line="222" w:lineRule="auto"/>
        <w:ind w:left="7"/>
        <w:rPr>
          <w:sz w:val="24"/>
          <w:szCs w:val="24"/>
        </w:rPr>
      </w:pPr>
      <w:r>
        <w:rPr>
          <w:rFonts w:ascii="Times New Roman" w:hAnsi="Times New Roman" w:eastAsia="Times New Roman" w:cs="Times New Roman"/>
          <w:b/>
          <w:bCs/>
          <w:spacing w:val="-3"/>
          <w:sz w:val="24"/>
          <w:szCs w:val="24"/>
        </w:rPr>
        <w:t xml:space="preserve">15.3  </w:t>
      </w:r>
      <w:r>
        <w:rPr>
          <w:b/>
          <w:bCs/>
          <w:spacing w:val="-3"/>
          <w:sz w:val="24"/>
          <w:szCs w:val="24"/>
        </w:rPr>
        <w:t>质量保证金</w:t>
      </w:r>
    </w:p>
    <w:p w14:paraId="5FE28EDF">
      <w:pPr>
        <w:spacing w:before="139" w:line="228" w:lineRule="auto"/>
        <w:ind w:left="423"/>
        <w:rPr>
          <w:rFonts w:ascii="宋体" w:hAnsi="宋体" w:eastAsia="宋体" w:cs="宋体"/>
          <w:sz w:val="20"/>
          <w:szCs w:val="20"/>
        </w:rPr>
      </w:pPr>
      <w:r>
        <w:rPr>
          <w:rFonts w:ascii="宋体" w:hAnsi="宋体" w:eastAsia="宋体" w:cs="宋体"/>
          <w:spacing w:val="8"/>
          <w:sz w:val="20"/>
          <w:szCs w:val="20"/>
        </w:rPr>
        <w:t>关于是否扣留质量保证金的约定：</w:t>
      </w:r>
    </w:p>
    <w:p w14:paraId="7795020F">
      <w:pPr>
        <w:spacing w:line="261" w:lineRule="auto"/>
        <w:rPr>
          <w:rFonts w:ascii="Arial"/>
          <w:sz w:val="21"/>
        </w:rPr>
      </w:pPr>
    </w:p>
    <w:p w14:paraId="11AFA907">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D49B526">
      <w:pPr>
        <w:spacing w:before="200" w:line="369" w:lineRule="auto"/>
        <w:ind w:left="2" w:firstLine="416"/>
        <w:rPr>
          <w:rFonts w:ascii="宋体" w:hAnsi="宋体" w:eastAsia="宋体" w:cs="宋体"/>
          <w:sz w:val="20"/>
          <w:szCs w:val="20"/>
        </w:rPr>
      </w:pPr>
      <w:r>
        <w:rPr>
          <w:rFonts w:ascii="宋体" w:hAnsi="宋体" w:eastAsia="宋体" w:cs="宋体"/>
          <w:spacing w:val="9"/>
          <w:sz w:val="20"/>
          <w:szCs w:val="20"/>
        </w:rPr>
        <w:t>在工程项目竣工前，承包人按专用合同条款第</w:t>
      </w:r>
      <w:r>
        <w:rPr>
          <w:rFonts w:ascii="宋体" w:hAnsi="宋体" w:eastAsia="宋体" w:cs="宋体"/>
          <w:spacing w:val="-35"/>
          <w:sz w:val="20"/>
          <w:szCs w:val="20"/>
        </w:rPr>
        <w:t xml:space="preserve"> </w:t>
      </w:r>
      <w:r>
        <w:rPr>
          <w:rFonts w:ascii="宋体" w:hAnsi="宋体" w:eastAsia="宋体" w:cs="宋体"/>
          <w:spacing w:val="9"/>
          <w:sz w:val="20"/>
          <w:szCs w:val="20"/>
        </w:rPr>
        <w:t>3.7</w:t>
      </w:r>
      <w:r>
        <w:rPr>
          <w:rFonts w:ascii="宋体" w:hAnsi="宋体" w:eastAsia="宋体" w:cs="宋体"/>
          <w:spacing w:val="-39"/>
          <w:sz w:val="20"/>
          <w:szCs w:val="20"/>
        </w:rPr>
        <w:t xml:space="preserve"> </w:t>
      </w:r>
      <w:r>
        <w:rPr>
          <w:rFonts w:ascii="宋体" w:hAnsi="宋体" w:eastAsia="宋体" w:cs="宋体"/>
          <w:spacing w:val="9"/>
          <w:sz w:val="20"/>
          <w:szCs w:val="20"/>
        </w:rPr>
        <w:t>条提供履约担保的，发包人不得</w:t>
      </w:r>
      <w:r>
        <w:rPr>
          <w:rFonts w:ascii="宋体" w:hAnsi="宋体" w:eastAsia="宋体" w:cs="宋体"/>
          <w:spacing w:val="8"/>
          <w:sz w:val="20"/>
          <w:szCs w:val="20"/>
        </w:rPr>
        <w:t>同时预留</w:t>
      </w:r>
      <w:r>
        <w:rPr>
          <w:rFonts w:ascii="宋体" w:hAnsi="宋体" w:eastAsia="宋体" w:cs="宋体"/>
          <w:spacing w:val="7"/>
          <w:sz w:val="20"/>
          <w:szCs w:val="20"/>
        </w:rPr>
        <w:t>工程质量保证金。</w:t>
      </w:r>
    </w:p>
    <w:p w14:paraId="33FE67AE">
      <w:pPr>
        <w:spacing w:before="1" w:line="226" w:lineRule="auto"/>
        <w:ind w:left="435"/>
        <w:rPr>
          <w:rFonts w:ascii="宋体" w:hAnsi="宋体" w:eastAsia="宋体" w:cs="宋体"/>
          <w:sz w:val="20"/>
          <w:szCs w:val="20"/>
        </w:rPr>
      </w:pPr>
      <w:r>
        <w:rPr>
          <w:rFonts w:ascii="宋体" w:hAnsi="宋体" w:eastAsia="宋体" w:cs="宋体"/>
          <w:spacing w:val="6"/>
          <w:sz w:val="20"/>
          <w:szCs w:val="20"/>
        </w:rPr>
        <w:t>15.3.1 承包人提供质量保证金的方式</w:t>
      </w:r>
    </w:p>
    <w:p w14:paraId="031133CC">
      <w:pPr>
        <w:spacing w:before="155" w:line="227" w:lineRule="auto"/>
        <w:ind w:left="420"/>
        <w:rPr>
          <w:rFonts w:ascii="宋体" w:hAnsi="宋体" w:eastAsia="宋体" w:cs="宋体"/>
          <w:sz w:val="20"/>
          <w:szCs w:val="20"/>
        </w:rPr>
      </w:pPr>
      <w:r>
        <w:rPr>
          <w:rFonts w:ascii="宋体" w:hAnsi="宋体" w:eastAsia="宋体" w:cs="宋体"/>
          <w:spacing w:val="7"/>
          <w:sz w:val="20"/>
          <w:szCs w:val="20"/>
        </w:rPr>
        <w:t>质量保证金采用以下第</w:t>
      </w:r>
      <w:r>
        <w:rPr>
          <w:rFonts w:ascii="宋体" w:hAnsi="宋体" w:eastAsia="宋体" w:cs="宋体"/>
          <w:spacing w:val="-8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7"/>
          <w:sz w:val="20"/>
          <w:szCs w:val="20"/>
        </w:rPr>
        <w:t>种方式：</w:t>
      </w:r>
    </w:p>
    <w:p w14:paraId="7CF4C44E">
      <w:pPr>
        <w:spacing w:before="155" w:line="228" w:lineRule="auto"/>
        <w:ind w:left="430"/>
        <w:rPr>
          <w:rFonts w:ascii="宋体" w:hAnsi="宋体" w:eastAsia="宋体" w:cs="宋体"/>
          <w:sz w:val="20"/>
          <w:szCs w:val="20"/>
        </w:rPr>
      </w:pPr>
      <w:r>
        <w:rPr>
          <w:rFonts w:ascii="宋体" w:hAnsi="宋体" w:eastAsia="宋体" w:cs="宋体"/>
          <w:spacing w:val="8"/>
          <w:sz w:val="20"/>
          <w:szCs w:val="20"/>
        </w:rPr>
        <w:t>（1）质量保证金保函，保证金额为：</w:t>
      </w:r>
      <w:r>
        <w:rPr>
          <w:rFonts w:ascii="宋体" w:hAnsi="宋体" w:eastAsia="宋体" w:cs="宋体"/>
          <w:spacing w:val="5"/>
          <w:sz w:val="20"/>
          <w:szCs w:val="20"/>
          <w:u w:val="single" w:color="auto"/>
        </w:rPr>
        <w:t xml:space="preserve">                   </w:t>
      </w:r>
      <w:r>
        <w:rPr>
          <w:rFonts w:ascii="宋体" w:hAnsi="宋体" w:eastAsia="宋体" w:cs="宋体"/>
          <w:spacing w:val="8"/>
          <w:sz w:val="20"/>
          <w:szCs w:val="20"/>
        </w:rPr>
        <w:t>；</w:t>
      </w:r>
    </w:p>
    <w:p w14:paraId="7AD8223E">
      <w:pPr>
        <w:spacing w:before="152" w:line="228" w:lineRule="auto"/>
        <w:ind w:left="430"/>
        <w:rPr>
          <w:rFonts w:ascii="宋体" w:hAnsi="宋体" w:eastAsia="宋体" w:cs="宋体"/>
          <w:sz w:val="20"/>
          <w:szCs w:val="20"/>
        </w:rPr>
      </w:pPr>
      <w:r>
        <w:rPr>
          <w:rFonts w:ascii="宋体" w:hAnsi="宋体" w:eastAsia="宋体" w:cs="宋体"/>
          <w:spacing w:val="3"/>
          <w:sz w:val="20"/>
          <w:szCs w:val="20"/>
        </w:rPr>
        <w:t>（2）</w:t>
      </w:r>
      <w:r>
        <w:rPr>
          <w:rFonts w:ascii="宋体" w:hAnsi="宋体" w:eastAsia="宋体" w:cs="宋体"/>
          <w:spacing w:val="13"/>
          <w:sz w:val="20"/>
          <w:szCs w:val="20"/>
          <w:u w:val="single" w:color="auto"/>
        </w:rPr>
        <w:t xml:space="preserve">    </w:t>
      </w:r>
      <w:r>
        <w:rPr>
          <w:rFonts w:ascii="宋体" w:hAnsi="宋体" w:eastAsia="宋体" w:cs="宋体"/>
          <w:spacing w:val="3"/>
          <w:sz w:val="20"/>
          <w:szCs w:val="20"/>
          <w:u w:val="single" w:color="auto"/>
        </w:rPr>
        <w:t xml:space="preserve">1.5    </w:t>
      </w:r>
      <w:r>
        <w:rPr>
          <w:rFonts w:ascii="宋体" w:hAnsi="宋体" w:eastAsia="宋体" w:cs="宋体"/>
          <w:spacing w:val="-96"/>
          <w:sz w:val="20"/>
          <w:szCs w:val="20"/>
        </w:rPr>
        <w:t xml:space="preserve"> </w:t>
      </w:r>
      <w:r>
        <w:rPr>
          <w:rFonts w:ascii="宋体" w:hAnsi="宋体" w:eastAsia="宋体" w:cs="宋体"/>
          <w:spacing w:val="3"/>
          <w:sz w:val="20"/>
          <w:szCs w:val="20"/>
        </w:rPr>
        <w:t>%的工程款；</w:t>
      </w:r>
    </w:p>
    <w:p w14:paraId="0E52D177">
      <w:pPr>
        <w:spacing w:before="153" w:line="228" w:lineRule="auto"/>
        <w:ind w:left="430"/>
        <w:rPr>
          <w:rFonts w:ascii="宋体" w:hAnsi="宋体" w:eastAsia="宋体" w:cs="宋体"/>
          <w:sz w:val="20"/>
          <w:szCs w:val="20"/>
        </w:rPr>
      </w:pPr>
      <w:r>
        <w:rPr>
          <w:rFonts w:ascii="宋体" w:hAnsi="宋体" w:eastAsia="宋体" w:cs="宋体"/>
          <w:spacing w:val="1"/>
          <w:sz w:val="20"/>
          <w:szCs w:val="20"/>
        </w:rPr>
        <w:t>（3）其他方式</w:t>
      </w:r>
      <w:r>
        <w:rPr>
          <w:rFonts w:ascii="宋体" w:hAnsi="宋体" w:eastAsia="宋体" w:cs="宋体"/>
          <w:spacing w:val="-56"/>
          <w:sz w:val="20"/>
          <w:szCs w:val="20"/>
        </w:rPr>
        <w:t xml:space="preserve"> </w:t>
      </w:r>
      <w:r>
        <w:rPr>
          <w:rFonts w:ascii="宋体" w:hAnsi="宋体" w:eastAsia="宋体" w:cs="宋体"/>
          <w:spacing w:val="1"/>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w:t>
      </w:r>
    </w:p>
    <w:p w14:paraId="43308457">
      <w:pPr>
        <w:spacing w:before="154" w:line="228" w:lineRule="auto"/>
        <w:ind w:left="435"/>
        <w:rPr>
          <w:rFonts w:ascii="宋体" w:hAnsi="宋体" w:eastAsia="宋体" w:cs="宋体"/>
          <w:sz w:val="20"/>
          <w:szCs w:val="20"/>
        </w:rPr>
      </w:pPr>
      <w:r>
        <w:rPr>
          <w:rFonts w:ascii="宋体" w:hAnsi="宋体" w:eastAsia="宋体" w:cs="宋体"/>
          <w:spacing w:val="5"/>
          <w:sz w:val="20"/>
          <w:szCs w:val="20"/>
        </w:rPr>
        <w:t>15.3.2 质量保证金的扣留</w:t>
      </w:r>
    </w:p>
    <w:p w14:paraId="795D13C8">
      <w:pPr>
        <w:spacing w:before="151" w:line="227" w:lineRule="auto"/>
        <w:ind w:left="420"/>
        <w:rPr>
          <w:rFonts w:ascii="宋体" w:hAnsi="宋体" w:eastAsia="宋体" w:cs="宋体"/>
          <w:sz w:val="20"/>
          <w:szCs w:val="20"/>
        </w:rPr>
      </w:pPr>
      <w:r>
        <w:rPr>
          <w:rFonts w:ascii="宋体" w:hAnsi="宋体" w:eastAsia="宋体" w:cs="宋体"/>
          <w:spacing w:val="7"/>
          <w:sz w:val="20"/>
          <w:szCs w:val="20"/>
        </w:rPr>
        <w:t>质量保证金的扣留采取以下第</w:t>
      </w:r>
      <w:r>
        <w:rPr>
          <w:rFonts w:ascii="宋体" w:hAnsi="宋体" w:eastAsia="宋体" w:cs="宋体"/>
          <w:spacing w:val="7"/>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7"/>
          <w:sz w:val="20"/>
          <w:szCs w:val="20"/>
        </w:rPr>
        <w:t>种方式：</w:t>
      </w:r>
    </w:p>
    <w:p w14:paraId="72B55719">
      <w:pPr>
        <w:spacing w:before="155" w:line="369" w:lineRule="auto"/>
        <w:ind w:right="2" w:firstLine="430"/>
        <w:rPr>
          <w:rFonts w:ascii="宋体" w:hAnsi="宋体" w:eastAsia="宋体" w:cs="宋体"/>
          <w:sz w:val="20"/>
          <w:szCs w:val="20"/>
        </w:rPr>
      </w:pPr>
      <w:r>
        <w:rPr>
          <w:rFonts w:ascii="宋体" w:hAnsi="宋体" w:eastAsia="宋体" w:cs="宋体"/>
          <w:spacing w:val="7"/>
          <w:sz w:val="20"/>
          <w:szCs w:val="20"/>
        </w:rPr>
        <w:t>（1）在支付工程进度款时逐次扣留，在此情形下，质量保证金的计算基</w:t>
      </w:r>
      <w:r>
        <w:rPr>
          <w:rFonts w:ascii="宋体" w:hAnsi="宋体" w:eastAsia="宋体" w:cs="宋体"/>
          <w:spacing w:val="6"/>
          <w:sz w:val="20"/>
          <w:szCs w:val="20"/>
        </w:rPr>
        <w:t>数不包括预付款的支</w:t>
      </w:r>
      <w:r>
        <w:rPr>
          <w:rFonts w:ascii="宋体" w:hAnsi="宋体" w:eastAsia="宋体" w:cs="宋体"/>
          <w:spacing w:val="8"/>
          <w:sz w:val="20"/>
          <w:szCs w:val="20"/>
        </w:rPr>
        <w:t>付、扣回以及价格调整的金额；</w:t>
      </w:r>
    </w:p>
    <w:p w14:paraId="176A665C">
      <w:pPr>
        <w:spacing w:before="1" w:line="227" w:lineRule="auto"/>
        <w:ind w:left="430"/>
        <w:rPr>
          <w:rFonts w:ascii="宋体" w:hAnsi="宋体" w:eastAsia="宋体" w:cs="宋体"/>
          <w:sz w:val="20"/>
          <w:szCs w:val="20"/>
        </w:rPr>
      </w:pPr>
      <w:r>
        <w:rPr>
          <w:rFonts w:ascii="宋体" w:hAnsi="宋体" w:eastAsia="宋体" w:cs="宋体"/>
          <w:spacing w:val="8"/>
          <w:sz w:val="20"/>
          <w:szCs w:val="20"/>
        </w:rPr>
        <w:t>（2）工程竣工结算时一次性扣留质量保证金；</w:t>
      </w:r>
    </w:p>
    <w:p w14:paraId="049F4F0A">
      <w:pPr>
        <w:spacing w:before="154" w:line="228" w:lineRule="auto"/>
        <w:ind w:left="430"/>
        <w:rPr>
          <w:rFonts w:ascii="宋体" w:hAnsi="宋体" w:eastAsia="宋体" w:cs="宋体"/>
          <w:sz w:val="20"/>
          <w:szCs w:val="20"/>
        </w:rPr>
      </w:pPr>
      <w:r>
        <w:rPr>
          <w:rFonts w:ascii="宋体" w:hAnsi="宋体" w:eastAsia="宋体" w:cs="宋体"/>
          <w:spacing w:val="2"/>
          <w:sz w:val="20"/>
          <w:szCs w:val="20"/>
        </w:rPr>
        <w:t>（3）其他扣留方式</w:t>
      </w:r>
      <w:r>
        <w:rPr>
          <w:rFonts w:ascii="宋体" w:hAnsi="宋体" w:eastAsia="宋体" w:cs="宋体"/>
          <w:spacing w:val="-58"/>
          <w:sz w:val="20"/>
          <w:szCs w:val="20"/>
        </w:rPr>
        <w:t xml:space="preserve"> </w:t>
      </w:r>
      <w:r>
        <w:rPr>
          <w:rFonts w:ascii="宋体" w:hAnsi="宋体" w:eastAsia="宋体" w:cs="宋体"/>
          <w:spacing w:val="2"/>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w:t>
      </w:r>
    </w:p>
    <w:p w14:paraId="7910836C">
      <w:pPr>
        <w:spacing w:before="154" w:line="228" w:lineRule="auto"/>
        <w:ind w:left="423"/>
        <w:rPr>
          <w:rFonts w:ascii="宋体" w:hAnsi="宋体" w:eastAsia="宋体" w:cs="宋体"/>
          <w:sz w:val="20"/>
          <w:szCs w:val="20"/>
        </w:rPr>
      </w:pPr>
      <w:r>
        <w:rPr>
          <w:rFonts w:ascii="宋体" w:hAnsi="宋体" w:eastAsia="宋体" w:cs="宋体"/>
          <w:spacing w:val="8"/>
          <w:sz w:val="20"/>
          <w:szCs w:val="20"/>
        </w:rPr>
        <w:t>关于质量保证金的补充约定：</w:t>
      </w:r>
    </w:p>
    <w:p w14:paraId="437F4BC6">
      <w:pPr>
        <w:spacing w:before="286" w:line="45" w:lineRule="exact"/>
        <w:ind w:left="8420"/>
        <w:rPr>
          <w:rFonts w:ascii="宋体" w:hAnsi="宋体" w:eastAsia="宋体" w:cs="宋体"/>
          <w:sz w:val="20"/>
          <w:szCs w:val="20"/>
        </w:rPr>
      </w:pPr>
      <w:r>
        <w:pict>
          <v:shape id="_x0000_s1072" o:spid="_x0000_s1072" o:spt="202" type="#_x0000_t202" style="position:absolute;left:0pt;margin-left:19.55pt;margin-top:6.9pt;height:14.1pt;width:401pt;z-index:251714560;mso-width-relative:page;mso-height-relative:page;" filled="f" stroked="f" coordsize="21600,21600">
            <v:path/>
            <v:fill on="f" focussize="0,0"/>
            <v:stroke on="f"/>
            <v:imagedata o:title=""/>
            <o:lock v:ext="edit" aspectratio="f"/>
            <v:textbox inset="0mm,0mm,0mm,0mm">
              <w:txbxContent>
                <w:p w14:paraId="37D11529">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0E4AA00B">
      <w:pPr>
        <w:pStyle w:val="2"/>
        <w:spacing w:before="194" w:line="222" w:lineRule="auto"/>
        <w:ind w:left="7"/>
        <w:rPr>
          <w:sz w:val="24"/>
          <w:szCs w:val="24"/>
        </w:rPr>
      </w:pPr>
      <w:r>
        <w:rPr>
          <w:rFonts w:ascii="Times New Roman" w:hAnsi="Times New Roman" w:eastAsia="Times New Roman" w:cs="Times New Roman"/>
          <w:b/>
          <w:bCs/>
          <w:spacing w:val="-5"/>
          <w:sz w:val="24"/>
          <w:szCs w:val="24"/>
        </w:rPr>
        <w:t>15.4</w:t>
      </w:r>
      <w:r>
        <w:rPr>
          <w:rFonts w:ascii="Times New Roman" w:hAnsi="Times New Roman" w:eastAsia="Times New Roman" w:cs="Times New Roman"/>
          <w:b/>
          <w:bCs/>
          <w:spacing w:val="8"/>
          <w:sz w:val="24"/>
          <w:szCs w:val="24"/>
        </w:rPr>
        <w:t xml:space="preserve"> </w:t>
      </w:r>
      <w:r>
        <w:rPr>
          <w:b/>
          <w:bCs/>
          <w:spacing w:val="-5"/>
          <w:sz w:val="24"/>
          <w:szCs w:val="24"/>
        </w:rPr>
        <w:t>保修</w:t>
      </w:r>
    </w:p>
    <w:p w14:paraId="4C576C56">
      <w:pPr>
        <w:spacing w:before="139" w:line="228" w:lineRule="auto"/>
        <w:ind w:left="435"/>
        <w:rPr>
          <w:rFonts w:ascii="宋体" w:hAnsi="宋体" w:eastAsia="宋体" w:cs="宋体"/>
          <w:sz w:val="20"/>
          <w:szCs w:val="20"/>
        </w:rPr>
      </w:pPr>
      <w:r>
        <w:rPr>
          <w:rFonts w:ascii="宋体" w:hAnsi="宋体" w:eastAsia="宋体" w:cs="宋体"/>
          <w:spacing w:val="4"/>
          <w:sz w:val="20"/>
          <w:szCs w:val="20"/>
        </w:rPr>
        <w:t>15.4.1 保修责任</w:t>
      </w:r>
    </w:p>
    <w:p w14:paraId="1F97C4B3">
      <w:pPr>
        <w:spacing w:before="151" w:line="228" w:lineRule="auto"/>
        <w:ind w:left="422"/>
        <w:rPr>
          <w:rFonts w:ascii="宋体" w:hAnsi="宋体" w:eastAsia="宋体" w:cs="宋体"/>
          <w:sz w:val="20"/>
          <w:szCs w:val="20"/>
        </w:rPr>
      </w:pPr>
      <w:r>
        <w:rPr>
          <w:rFonts w:ascii="宋体" w:hAnsi="宋体" w:eastAsia="宋体" w:cs="宋体"/>
          <w:spacing w:val="6"/>
          <w:sz w:val="20"/>
          <w:szCs w:val="20"/>
        </w:rPr>
        <w:t>工程保修期为：</w:t>
      </w:r>
    </w:p>
    <w:p w14:paraId="18AE0235">
      <w:pPr>
        <w:spacing w:line="264" w:lineRule="auto"/>
        <w:rPr>
          <w:rFonts w:ascii="Arial"/>
          <w:sz w:val="21"/>
        </w:rPr>
      </w:pPr>
    </w:p>
    <w:p w14:paraId="2E481342">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50ACA7A">
      <w:pPr>
        <w:spacing w:before="200" w:line="228" w:lineRule="auto"/>
        <w:ind w:left="435"/>
        <w:rPr>
          <w:rFonts w:ascii="宋体" w:hAnsi="宋体" w:eastAsia="宋体" w:cs="宋体"/>
          <w:sz w:val="20"/>
          <w:szCs w:val="20"/>
        </w:rPr>
      </w:pPr>
      <w:r>
        <w:rPr>
          <w:rFonts w:ascii="宋体" w:hAnsi="宋体" w:eastAsia="宋体" w:cs="宋体"/>
          <w:spacing w:val="4"/>
          <w:sz w:val="20"/>
          <w:szCs w:val="20"/>
        </w:rPr>
        <w:t>15.4.3 修复通知</w:t>
      </w:r>
    </w:p>
    <w:p w14:paraId="601DD4D1">
      <w:pPr>
        <w:spacing w:before="152" w:line="228" w:lineRule="auto"/>
        <w:ind w:left="420"/>
        <w:rPr>
          <w:rFonts w:ascii="宋体" w:hAnsi="宋体" w:eastAsia="宋体" w:cs="宋体"/>
          <w:sz w:val="20"/>
          <w:szCs w:val="20"/>
        </w:rPr>
      </w:pPr>
      <w:r>
        <w:rPr>
          <w:rFonts w:ascii="宋体" w:hAnsi="宋体" w:eastAsia="宋体" w:cs="宋体"/>
          <w:spacing w:val="9"/>
          <w:sz w:val="20"/>
          <w:szCs w:val="20"/>
        </w:rPr>
        <w:t>承包人收到保修通知并到达工程现场的合理时间：</w:t>
      </w:r>
    </w:p>
    <w:p w14:paraId="0594427D">
      <w:pPr>
        <w:spacing w:line="264" w:lineRule="auto"/>
        <w:rPr>
          <w:rFonts w:ascii="Arial"/>
          <w:sz w:val="21"/>
        </w:rPr>
      </w:pPr>
    </w:p>
    <w:p w14:paraId="360E8404">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0BEF1F2">
      <w:pPr>
        <w:spacing w:line="173" w:lineRule="auto"/>
        <w:rPr>
          <w:rFonts w:ascii="宋体" w:hAnsi="宋体" w:eastAsia="宋体" w:cs="宋体"/>
          <w:sz w:val="7"/>
          <w:szCs w:val="7"/>
        </w:rPr>
        <w:sectPr>
          <w:headerReference r:id="rId309" w:type="default"/>
          <w:footerReference r:id="rId310" w:type="default"/>
          <w:pgSz w:w="11906" w:h="16839"/>
          <w:pgMar w:top="400" w:right="1554" w:bottom="1038" w:left="1539" w:header="0" w:footer="785" w:gutter="0"/>
          <w:cols w:space="720" w:num="1"/>
        </w:sectPr>
      </w:pPr>
    </w:p>
    <w:p w14:paraId="01D3C780">
      <w:pPr>
        <w:spacing w:line="249" w:lineRule="auto"/>
        <w:rPr>
          <w:rFonts w:ascii="Arial"/>
          <w:sz w:val="21"/>
        </w:rPr>
      </w:pPr>
    </w:p>
    <w:p w14:paraId="0CFB4A50">
      <w:pPr>
        <w:spacing w:line="250" w:lineRule="auto"/>
        <w:rPr>
          <w:rFonts w:ascii="Arial"/>
          <w:sz w:val="21"/>
        </w:rPr>
      </w:pPr>
    </w:p>
    <w:p w14:paraId="3FC01CB5">
      <w:pPr>
        <w:spacing w:line="250" w:lineRule="auto"/>
        <w:rPr>
          <w:rFonts w:ascii="Arial"/>
          <w:sz w:val="21"/>
        </w:rPr>
      </w:pPr>
    </w:p>
    <w:p w14:paraId="024883AB">
      <w:pPr>
        <w:spacing w:line="250" w:lineRule="auto"/>
        <w:rPr>
          <w:rFonts w:ascii="Arial"/>
          <w:sz w:val="21"/>
        </w:rPr>
      </w:pPr>
    </w:p>
    <w:p w14:paraId="6C7A8E58">
      <w:pPr>
        <w:pStyle w:val="2"/>
        <w:spacing w:before="91" w:line="224" w:lineRule="auto"/>
        <w:ind w:left="10"/>
        <w:outlineLvl w:val="2"/>
        <w:rPr>
          <w:sz w:val="28"/>
          <w:szCs w:val="28"/>
        </w:rPr>
      </w:pPr>
      <w:bookmarkStart w:id="298" w:name="bookmark281"/>
      <w:bookmarkEnd w:id="298"/>
      <w:r>
        <w:rPr>
          <w:rFonts w:ascii="Times New Roman" w:hAnsi="Times New Roman" w:eastAsia="Times New Roman" w:cs="Times New Roman"/>
          <w:b/>
          <w:bCs/>
          <w:spacing w:val="-7"/>
          <w:sz w:val="28"/>
          <w:szCs w:val="28"/>
        </w:rPr>
        <w:t>16.</w:t>
      </w:r>
      <w:r>
        <w:rPr>
          <w:rFonts w:ascii="Times New Roman" w:hAnsi="Times New Roman" w:eastAsia="Times New Roman" w:cs="Times New Roman"/>
          <w:b/>
          <w:bCs/>
          <w:spacing w:val="5"/>
          <w:sz w:val="28"/>
          <w:szCs w:val="28"/>
        </w:rPr>
        <w:t xml:space="preserve">  </w:t>
      </w:r>
      <w:r>
        <w:rPr>
          <w:b/>
          <w:bCs/>
          <w:spacing w:val="-7"/>
          <w:sz w:val="28"/>
          <w:szCs w:val="28"/>
        </w:rPr>
        <w:t>违约</w:t>
      </w:r>
    </w:p>
    <w:p w14:paraId="3CE9B7D1">
      <w:pPr>
        <w:pStyle w:val="2"/>
        <w:spacing w:before="96" w:line="221" w:lineRule="auto"/>
        <w:ind w:left="7"/>
        <w:rPr>
          <w:sz w:val="24"/>
          <w:szCs w:val="24"/>
        </w:rPr>
      </w:pPr>
      <w:r>
        <w:rPr>
          <w:rFonts w:ascii="Times New Roman" w:hAnsi="Times New Roman" w:eastAsia="Times New Roman" w:cs="Times New Roman"/>
          <w:b/>
          <w:bCs/>
          <w:spacing w:val="-3"/>
          <w:sz w:val="24"/>
          <w:szCs w:val="24"/>
        </w:rPr>
        <w:t xml:space="preserve">16.1  </w:t>
      </w:r>
      <w:r>
        <w:rPr>
          <w:b/>
          <w:bCs/>
          <w:spacing w:val="-3"/>
          <w:sz w:val="24"/>
          <w:szCs w:val="24"/>
        </w:rPr>
        <w:t>发包人违约</w:t>
      </w:r>
    </w:p>
    <w:p w14:paraId="0197197B">
      <w:pPr>
        <w:spacing w:before="138" w:line="228" w:lineRule="auto"/>
        <w:ind w:left="435"/>
        <w:rPr>
          <w:rFonts w:ascii="宋体" w:hAnsi="宋体" w:eastAsia="宋体" w:cs="宋体"/>
          <w:sz w:val="20"/>
          <w:szCs w:val="20"/>
        </w:rPr>
      </w:pPr>
      <w:r>
        <w:rPr>
          <w:rFonts w:ascii="宋体" w:hAnsi="宋体" w:eastAsia="宋体" w:cs="宋体"/>
          <w:spacing w:val="5"/>
          <w:sz w:val="20"/>
          <w:szCs w:val="20"/>
        </w:rPr>
        <w:t>16.1.1</w:t>
      </w:r>
      <w:r>
        <w:rPr>
          <w:rFonts w:ascii="宋体" w:hAnsi="宋体" w:eastAsia="宋体" w:cs="宋体"/>
          <w:spacing w:val="-36"/>
          <w:sz w:val="20"/>
          <w:szCs w:val="20"/>
        </w:rPr>
        <w:t xml:space="preserve"> </w:t>
      </w:r>
      <w:r>
        <w:rPr>
          <w:rFonts w:ascii="宋体" w:hAnsi="宋体" w:eastAsia="宋体" w:cs="宋体"/>
          <w:spacing w:val="5"/>
          <w:sz w:val="20"/>
          <w:szCs w:val="20"/>
        </w:rPr>
        <w:t>发包人违约的情形</w:t>
      </w:r>
    </w:p>
    <w:p w14:paraId="7B486FCE">
      <w:pPr>
        <w:spacing w:before="153" w:line="228" w:lineRule="auto"/>
        <w:ind w:left="423"/>
        <w:rPr>
          <w:rFonts w:ascii="宋体" w:hAnsi="宋体" w:eastAsia="宋体" w:cs="宋体"/>
          <w:sz w:val="20"/>
          <w:szCs w:val="20"/>
        </w:rPr>
      </w:pPr>
      <w:r>
        <w:rPr>
          <w:rFonts w:ascii="宋体" w:hAnsi="宋体" w:eastAsia="宋体" w:cs="宋体"/>
          <w:spacing w:val="7"/>
          <w:sz w:val="20"/>
          <w:szCs w:val="20"/>
        </w:rPr>
        <w:t>发包人违约的其他情形：</w:t>
      </w:r>
    </w:p>
    <w:p w14:paraId="549267C2">
      <w:pPr>
        <w:spacing w:line="261" w:lineRule="auto"/>
        <w:rPr>
          <w:rFonts w:ascii="Arial"/>
          <w:sz w:val="21"/>
        </w:rPr>
      </w:pPr>
    </w:p>
    <w:p w14:paraId="45A1DAAA">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E2AB203">
      <w:pPr>
        <w:spacing w:before="200" w:line="228" w:lineRule="auto"/>
        <w:ind w:left="435"/>
        <w:rPr>
          <w:rFonts w:ascii="宋体" w:hAnsi="宋体" w:eastAsia="宋体" w:cs="宋体"/>
          <w:sz w:val="20"/>
          <w:szCs w:val="20"/>
        </w:rPr>
      </w:pPr>
      <w:r>
        <w:rPr>
          <w:rFonts w:ascii="宋体" w:hAnsi="宋体" w:eastAsia="宋体" w:cs="宋体"/>
          <w:spacing w:val="5"/>
          <w:sz w:val="20"/>
          <w:szCs w:val="20"/>
        </w:rPr>
        <w:t>16.1.2 发包人违约的责任</w:t>
      </w:r>
    </w:p>
    <w:p w14:paraId="6FA17C21">
      <w:pPr>
        <w:spacing w:before="154" w:line="228" w:lineRule="auto"/>
        <w:ind w:left="423"/>
        <w:rPr>
          <w:rFonts w:ascii="宋体" w:hAnsi="宋体" w:eastAsia="宋体" w:cs="宋体"/>
          <w:sz w:val="20"/>
          <w:szCs w:val="20"/>
        </w:rPr>
      </w:pPr>
      <w:r>
        <w:rPr>
          <w:rFonts w:ascii="宋体" w:hAnsi="宋体" w:eastAsia="宋体" w:cs="宋体"/>
          <w:spacing w:val="8"/>
          <w:sz w:val="20"/>
          <w:szCs w:val="20"/>
        </w:rPr>
        <w:t>发包人违约责任的承担方式和计算方法：</w:t>
      </w:r>
    </w:p>
    <w:p w14:paraId="7A774061">
      <w:pPr>
        <w:spacing w:before="151" w:line="228" w:lineRule="auto"/>
        <w:ind w:left="430"/>
        <w:rPr>
          <w:rFonts w:ascii="宋体" w:hAnsi="宋体" w:eastAsia="宋体" w:cs="宋体"/>
          <w:sz w:val="20"/>
          <w:szCs w:val="20"/>
        </w:rPr>
      </w:pPr>
      <w:r>
        <w:rPr>
          <w:rFonts w:ascii="宋体" w:hAnsi="宋体" w:eastAsia="宋体" w:cs="宋体"/>
          <w:spacing w:val="8"/>
          <w:sz w:val="20"/>
          <w:szCs w:val="20"/>
        </w:rPr>
        <w:t>（1）因发包人原因未能在计划开工日期前</w:t>
      </w:r>
      <w:r>
        <w:rPr>
          <w:rFonts w:ascii="宋体" w:hAnsi="宋体" w:eastAsia="宋体" w:cs="宋体"/>
          <w:spacing w:val="-35"/>
          <w:sz w:val="20"/>
          <w:szCs w:val="20"/>
        </w:rPr>
        <w:t xml:space="preserve"> </w:t>
      </w:r>
      <w:r>
        <w:rPr>
          <w:rFonts w:ascii="宋体" w:hAnsi="宋体" w:eastAsia="宋体" w:cs="宋体"/>
          <w:spacing w:val="8"/>
          <w:sz w:val="20"/>
          <w:szCs w:val="20"/>
        </w:rPr>
        <w:t>7</w:t>
      </w:r>
      <w:r>
        <w:rPr>
          <w:rFonts w:ascii="宋体" w:hAnsi="宋体" w:eastAsia="宋体" w:cs="宋体"/>
          <w:spacing w:val="-33"/>
          <w:sz w:val="20"/>
          <w:szCs w:val="20"/>
        </w:rPr>
        <w:t xml:space="preserve"> </w:t>
      </w:r>
      <w:r>
        <w:rPr>
          <w:rFonts w:ascii="宋体" w:hAnsi="宋体" w:eastAsia="宋体" w:cs="宋体"/>
          <w:spacing w:val="8"/>
          <w:sz w:val="20"/>
          <w:szCs w:val="20"/>
        </w:rPr>
        <w:t>天内下达开工通知的违约责任：</w:t>
      </w:r>
    </w:p>
    <w:p w14:paraId="117478D5">
      <w:pPr>
        <w:spacing w:line="264" w:lineRule="auto"/>
        <w:rPr>
          <w:rFonts w:ascii="Arial"/>
          <w:sz w:val="21"/>
        </w:rPr>
      </w:pPr>
    </w:p>
    <w:p w14:paraId="643D2F52">
      <w:pPr>
        <w:tabs>
          <w:tab w:val="left" w:pos="8495"/>
        </w:tabs>
        <w:spacing w:before="23" w:line="173" w:lineRule="auto"/>
        <w:ind w:left="51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440B93E">
      <w:pPr>
        <w:spacing w:before="201" w:line="226" w:lineRule="auto"/>
        <w:ind w:left="430"/>
        <w:rPr>
          <w:rFonts w:ascii="宋体" w:hAnsi="宋体" w:eastAsia="宋体" w:cs="宋体"/>
          <w:sz w:val="20"/>
          <w:szCs w:val="20"/>
        </w:rPr>
      </w:pPr>
      <w:r>
        <w:rPr>
          <w:rFonts w:ascii="宋体" w:hAnsi="宋体" w:eastAsia="宋体" w:cs="宋体"/>
          <w:spacing w:val="9"/>
          <w:sz w:val="20"/>
          <w:szCs w:val="20"/>
        </w:rPr>
        <w:t>（2）因发包人原因未能按合同约定支付合</w:t>
      </w:r>
      <w:r>
        <w:rPr>
          <w:rFonts w:ascii="宋体" w:hAnsi="宋体" w:eastAsia="宋体" w:cs="宋体"/>
          <w:spacing w:val="8"/>
          <w:sz w:val="20"/>
          <w:szCs w:val="20"/>
        </w:rPr>
        <w:t>同价款的违约责任：</w:t>
      </w:r>
    </w:p>
    <w:p w14:paraId="150D79FD">
      <w:pPr>
        <w:spacing w:line="263" w:lineRule="auto"/>
        <w:rPr>
          <w:rFonts w:ascii="Arial"/>
          <w:sz w:val="21"/>
        </w:rPr>
      </w:pPr>
    </w:p>
    <w:p w14:paraId="4792EEF5">
      <w:pPr>
        <w:tabs>
          <w:tab w:val="left" w:pos="8390"/>
        </w:tabs>
        <w:spacing w:before="24"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D9AA784">
      <w:pPr>
        <w:spacing w:before="201" w:line="371" w:lineRule="auto"/>
        <w:ind w:left="1" w:right="53" w:firstLine="428"/>
        <w:rPr>
          <w:rFonts w:ascii="宋体" w:hAnsi="宋体" w:eastAsia="宋体" w:cs="宋体"/>
          <w:sz w:val="20"/>
          <w:szCs w:val="20"/>
        </w:rPr>
      </w:pPr>
      <w:r>
        <w:rPr>
          <w:rFonts w:ascii="宋体" w:hAnsi="宋体" w:eastAsia="宋体" w:cs="宋体"/>
          <w:spacing w:val="6"/>
          <w:sz w:val="20"/>
          <w:szCs w:val="20"/>
        </w:rPr>
        <w:t>（3）发包人违反第</w:t>
      </w:r>
      <w:r>
        <w:rPr>
          <w:rFonts w:ascii="宋体" w:hAnsi="宋体" w:eastAsia="宋体" w:cs="宋体"/>
          <w:spacing w:val="-22"/>
          <w:sz w:val="20"/>
          <w:szCs w:val="20"/>
        </w:rPr>
        <w:t xml:space="preserve"> </w:t>
      </w:r>
      <w:r>
        <w:rPr>
          <w:rFonts w:ascii="宋体" w:hAnsi="宋体" w:eastAsia="宋体" w:cs="宋体"/>
          <w:spacing w:val="6"/>
          <w:sz w:val="20"/>
          <w:szCs w:val="20"/>
        </w:rPr>
        <w:t>10.1</w:t>
      </w:r>
      <w:r>
        <w:rPr>
          <w:rFonts w:ascii="宋体" w:hAnsi="宋体" w:eastAsia="宋体" w:cs="宋体"/>
          <w:spacing w:val="-39"/>
          <w:sz w:val="20"/>
          <w:szCs w:val="20"/>
        </w:rPr>
        <w:t xml:space="preserve"> </w:t>
      </w:r>
      <w:r>
        <w:rPr>
          <w:rFonts w:ascii="宋体" w:hAnsi="宋体" w:eastAsia="宋体" w:cs="宋体"/>
          <w:spacing w:val="6"/>
          <w:sz w:val="20"/>
          <w:szCs w:val="20"/>
        </w:rPr>
        <w:t>款〔变更的范围〕第（2</w:t>
      </w:r>
      <w:r>
        <w:rPr>
          <w:rFonts w:ascii="宋体" w:hAnsi="宋体" w:eastAsia="宋体" w:cs="宋体"/>
          <w:spacing w:val="5"/>
          <w:sz w:val="20"/>
          <w:szCs w:val="20"/>
        </w:rPr>
        <w:t>）项约定，自行实施被取消的工作或转由他</w:t>
      </w:r>
      <w:r>
        <w:rPr>
          <w:rFonts w:ascii="宋体" w:hAnsi="宋体" w:eastAsia="宋体" w:cs="宋体"/>
          <w:spacing w:val="7"/>
          <w:sz w:val="20"/>
          <w:szCs w:val="20"/>
        </w:rPr>
        <w:t>人实施的违约责任：</w:t>
      </w:r>
    </w:p>
    <w:p w14:paraId="46E40587">
      <w:pPr>
        <w:tabs>
          <w:tab w:val="left" w:pos="8495"/>
        </w:tabs>
        <w:spacing w:before="129" w:line="173" w:lineRule="auto"/>
        <w:ind w:left="51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C57A401">
      <w:pPr>
        <w:spacing w:before="201" w:line="371" w:lineRule="auto"/>
        <w:ind w:right="53" w:firstLine="430"/>
        <w:rPr>
          <w:rFonts w:ascii="宋体" w:hAnsi="宋体" w:eastAsia="宋体" w:cs="宋体"/>
          <w:sz w:val="20"/>
          <w:szCs w:val="20"/>
        </w:rPr>
      </w:pPr>
      <w:r>
        <w:rPr>
          <w:rFonts w:ascii="宋体" w:hAnsi="宋体" w:eastAsia="宋体" w:cs="宋体"/>
          <w:spacing w:val="7"/>
          <w:sz w:val="20"/>
          <w:szCs w:val="20"/>
        </w:rPr>
        <w:t>（4）发包人提供的材料、工程设备的规格、数量或质量不符合合同约定</w:t>
      </w:r>
      <w:r>
        <w:rPr>
          <w:rFonts w:ascii="宋体" w:hAnsi="宋体" w:eastAsia="宋体" w:cs="宋体"/>
          <w:spacing w:val="6"/>
          <w:sz w:val="20"/>
          <w:szCs w:val="20"/>
        </w:rPr>
        <w:t>，或因发包人原因导</w:t>
      </w:r>
      <w:r>
        <w:rPr>
          <w:rFonts w:ascii="宋体" w:hAnsi="宋体" w:eastAsia="宋体" w:cs="宋体"/>
          <w:spacing w:val="9"/>
          <w:sz w:val="20"/>
          <w:szCs w:val="20"/>
        </w:rPr>
        <w:t>致交货日期延误或交货地点变更等情况的违约责任：</w:t>
      </w:r>
    </w:p>
    <w:p w14:paraId="30E0A976">
      <w:pPr>
        <w:tabs>
          <w:tab w:val="left" w:pos="8495"/>
        </w:tabs>
        <w:spacing w:before="130" w:line="173" w:lineRule="auto"/>
        <w:ind w:left="51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778A747">
      <w:pPr>
        <w:spacing w:before="200" w:line="228" w:lineRule="auto"/>
        <w:ind w:left="430"/>
        <w:rPr>
          <w:rFonts w:ascii="宋体" w:hAnsi="宋体" w:eastAsia="宋体" w:cs="宋体"/>
          <w:sz w:val="20"/>
          <w:szCs w:val="20"/>
        </w:rPr>
      </w:pPr>
      <w:r>
        <w:rPr>
          <w:rFonts w:ascii="宋体" w:hAnsi="宋体" w:eastAsia="宋体" w:cs="宋体"/>
          <w:spacing w:val="8"/>
          <w:sz w:val="20"/>
          <w:szCs w:val="20"/>
        </w:rPr>
        <w:t>（5）因发包人违反合同约定造成暂停施工的违约责任：</w:t>
      </w:r>
    </w:p>
    <w:p w14:paraId="7A38E73F">
      <w:pPr>
        <w:spacing w:line="264" w:lineRule="auto"/>
        <w:rPr>
          <w:rFonts w:ascii="Arial"/>
          <w:sz w:val="21"/>
        </w:rPr>
      </w:pPr>
    </w:p>
    <w:p w14:paraId="4C11D447">
      <w:pPr>
        <w:tabs>
          <w:tab w:val="left" w:pos="8495"/>
        </w:tabs>
        <w:spacing w:before="23" w:line="173" w:lineRule="auto"/>
        <w:ind w:left="51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174A89C">
      <w:pPr>
        <w:spacing w:before="198" w:line="228" w:lineRule="auto"/>
        <w:jc w:val="right"/>
        <w:rPr>
          <w:rFonts w:ascii="宋体" w:hAnsi="宋体" w:eastAsia="宋体" w:cs="宋体"/>
          <w:sz w:val="20"/>
          <w:szCs w:val="20"/>
        </w:rPr>
      </w:pPr>
      <w:r>
        <w:rPr>
          <w:rFonts w:ascii="宋体" w:hAnsi="宋体" w:eastAsia="宋体" w:cs="宋体"/>
          <w:spacing w:val="8"/>
          <w:sz w:val="20"/>
          <w:szCs w:val="20"/>
        </w:rPr>
        <w:t>（6）发包人无正当理由没有在约定期限内发出复工指示，导致承包人无法复工的违约责任：</w:t>
      </w:r>
    </w:p>
    <w:p w14:paraId="7FCDAC90">
      <w:pPr>
        <w:spacing w:line="264" w:lineRule="auto"/>
        <w:rPr>
          <w:rFonts w:ascii="Arial"/>
          <w:sz w:val="21"/>
        </w:rPr>
      </w:pPr>
    </w:p>
    <w:p w14:paraId="65EA1C0A">
      <w:pPr>
        <w:tabs>
          <w:tab w:val="left" w:pos="8495"/>
        </w:tabs>
        <w:spacing w:before="23" w:line="173" w:lineRule="auto"/>
        <w:ind w:left="51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D3CEE86">
      <w:pPr>
        <w:spacing w:before="201" w:line="228" w:lineRule="auto"/>
        <w:ind w:left="430"/>
        <w:rPr>
          <w:rFonts w:ascii="宋体" w:hAnsi="宋体" w:eastAsia="宋体" w:cs="宋体"/>
          <w:sz w:val="20"/>
          <w:szCs w:val="20"/>
        </w:rPr>
      </w:pPr>
      <w:r>
        <w:rPr>
          <w:rFonts w:ascii="宋体" w:hAnsi="宋体" w:eastAsia="宋体" w:cs="宋体"/>
          <w:spacing w:val="4"/>
          <w:sz w:val="20"/>
          <w:szCs w:val="20"/>
        </w:rPr>
        <w:t>（7）其他：</w:t>
      </w:r>
    </w:p>
    <w:p w14:paraId="08B4EA17">
      <w:pPr>
        <w:spacing w:line="261" w:lineRule="auto"/>
        <w:rPr>
          <w:rFonts w:ascii="Arial"/>
          <w:sz w:val="21"/>
        </w:rPr>
      </w:pPr>
    </w:p>
    <w:p w14:paraId="14EA95FF">
      <w:pPr>
        <w:tabs>
          <w:tab w:val="left" w:pos="8495"/>
        </w:tabs>
        <w:spacing w:before="23" w:line="173" w:lineRule="auto"/>
        <w:ind w:left="51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D8F6134">
      <w:pPr>
        <w:spacing w:before="200" w:line="228" w:lineRule="auto"/>
        <w:ind w:left="435"/>
        <w:rPr>
          <w:rFonts w:ascii="宋体" w:hAnsi="宋体" w:eastAsia="宋体" w:cs="宋体"/>
          <w:sz w:val="20"/>
          <w:szCs w:val="20"/>
        </w:rPr>
      </w:pPr>
      <w:r>
        <w:rPr>
          <w:rFonts w:ascii="宋体" w:hAnsi="宋体" w:eastAsia="宋体" w:cs="宋体"/>
          <w:spacing w:val="4"/>
          <w:sz w:val="20"/>
          <w:szCs w:val="20"/>
        </w:rPr>
        <w:t>16.1.3</w:t>
      </w:r>
      <w:r>
        <w:rPr>
          <w:rFonts w:ascii="宋体" w:hAnsi="宋体" w:eastAsia="宋体" w:cs="宋体"/>
          <w:spacing w:val="43"/>
          <w:sz w:val="20"/>
          <w:szCs w:val="20"/>
        </w:rPr>
        <w:t xml:space="preserve"> </w:t>
      </w:r>
      <w:r>
        <w:rPr>
          <w:rFonts w:ascii="宋体" w:hAnsi="宋体" w:eastAsia="宋体" w:cs="宋体"/>
          <w:spacing w:val="4"/>
          <w:sz w:val="20"/>
          <w:szCs w:val="20"/>
        </w:rPr>
        <w:t>因发包人违约解除合同</w:t>
      </w:r>
    </w:p>
    <w:p w14:paraId="49594AA8">
      <w:pPr>
        <w:spacing w:before="153" w:line="357" w:lineRule="auto"/>
        <w:ind w:left="3" w:right="53" w:firstLine="416"/>
        <w:rPr>
          <w:rFonts w:ascii="宋体" w:hAnsi="宋体" w:eastAsia="宋体" w:cs="宋体"/>
          <w:sz w:val="20"/>
          <w:szCs w:val="20"/>
        </w:rPr>
      </w:pPr>
      <w:r>
        <w:rPr>
          <w:rFonts w:ascii="宋体" w:hAnsi="宋体" w:eastAsia="宋体" w:cs="宋体"/>
          <w:spacing w:val="5"/>
          <w:sz w:val="20"/>
          <w:szCs w:val="20"/>
        </w:rPr>
        <w:t>承包人按</w:t>
      </w:r>
      <w:r>
        <w:rPr>
          <w:rFonts w:ascii="宋体" w:hAnsi="宋体" w:eastAsia="宋体" w:cs="宋体"/>
          <w:spacing w:val="-18"/>
          <w:sz w:val="20"/>
          <w:szCs w:val="20"/>
        </w:rPr>
        <w:t xml:space="preserve"> </w:t>
      </w:r>
      <w:r>
        <w:rPr>
          <w:rFonts w:ascii="宋体" w:hAnsi="宋体" w:eastAsia="宋体" w:cs="宋体"/>
          <w:spacing w:val="5"/>
          <w:sz w:val="20"/>
          <w:szCs w:val="20"/>
        </w:rPr>
        <w:t>16.1.1</w:t>
      </w:r>
      <w:r>
        <w:rPr>
          <w:rFonts w:ascii="宋体" w:hAnsi="宋体" w:eastAsia="宋体" w:cs="宋体"/>
          <w:spacing w:val="-37"/>
          <w:sz w:val="20"/>
          <w:szCs w:val="20"/>
        </w:rPr>
        <w:t xml:space="preserve"> </w:t>
      </w:r>
      <w:r>
        <w:rPr>
          <w:rFonts w:ascii="宋体" w:hAnsi="宋体" w:eastAsia="宋体" w:cs="宋体"/>
          <w:spacing w:val="5"/>
          <w:sz w:val="20"/>
          <w:szCs w:val="20"/>
        </w:rPr>
        <w:t>项〔发包人违约的情形〕约定暂停施工满</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5"/>
          <w:sz w:val="20"/>
          <w:szCs w:val="20"/>
        </w:rPr>
        <w:t>天后发包人仍不纠正其违约</w:t>
      </w:r>
      <w:r>
        <w:rPr>
          <w:rFonts w:ascii="宋体" w:hAnsi="宋体" w:eastAsia="宋体" w:cs="宋体"/>
          <w:spacing w:val="9"/>
          <w:sz w:val="20"/>
          <w:szCs w:val="20"/>
        </w:rPr>
        <w:t>行为并致使合同目的不能实现的，承包人有权解除合同。</w:t>
      </w:r>
    </w:p>
    <w:p w14:paraId="11E9013E">
      <w:pPr>
        <w:pStyle w:val="2"/>
        <w:spacing w:before="1" w:line="222" w:lineRule="auto"/>
        <w:ind w:left="7"/>
        <w:rPr>
          <w:sz w:val="24"/>
          <w:szCs w:val="24"/>
        </w:rPr>
      </w:pPr>
      <w:r>
        <w:rPr>
          <w:rFonts w:ascii="Times New Roman" w:hAnsi="Times New Roman" w:eastAsia="Times New Roman" w:cs="Times New Roman"/>
          <w:b/>
          <w:bCs/>
          <w:spacing w:val="-3"/>
          <w:sz w:val="24"/>
          <w:szCs w:val="24"/>
        </w:rPr>
        <w:t xml:space="preserve">16.2  </w:t>
      </w:r>
      <w:r>
        <w:rPr>
          <w:b/>
          <w:bCs/>
          <w:spacing w:val="-3"/>
          <w:sz w:val="24"/>
          <w:szCs w:val="24"/>
        </w:rPr>
        <w:t>承包人违约</w:t>
      </w:r>
    </w:p>
    <w:p w14:paraId="1E858F4B">
      <w:pPr>
        <w:spacing w:before="138" w:line="228" w:lineRule="auto"/>
        <w:ind w:left="435"/>
        <w:rPr>
          <w:rFonts w:ascii="宋体" w:hAnsi="宋体" w:eastAsia="宋体" w:cs="宋体"/>
          <w:sz w:val="20"/>
          <w:szCs w:val="20"/>
        </w:rPr>
      </w:pPr>
      <w:r>
        <w:rPr>
          <w:rFonts w:ascii="宋体" w:hAnsi="宋体" w:eastAsia="宋体" w:cs="宋体"/>
          <w:spacing w:val="5"/>
          <w:sz w:val="20"/>
          <w:szCs w:val="20"/>
        </w:rPr>
        <w:t>16.2.1 承包人违约的情形</w:t>
      </w:r>
    </w:p>
    <w:p w14:paraId="68E14943">
      <w:pPr>
        <w:spacing w:before="151" w:line="228" w:lineRule="auto"/>
        <w:ind w:left="420"/>
        <w:rPr>
          <w:rFonts w:ascii="宋体" w:hAnsi="宋体" w:eastAsia="宋体" w:cs="宋体"/>
          <w:sz w:val="20"/>
          <w:szCs w:val="20"/>
        </w:rPr>
      </w:pPr>
      <w:r>
        <w:rPr>
          <w:rFonts w:ascii="宋体" w:hAnsi="宋体" w:eastAsia="宋体" w:cs="宋体"/>
          <w:spacing w:val="8"/>
          <w:sz w:val="20"/>
          <w:szCs w:val="20"/>
        </w:rPr>
        <w:t>承包人违约的其他情形：</w:t>
      </w:r>
    </w:p>
    <w:p w14:paraId="2FADABA8">
      <w:pPr>
        <w:spacing w:line="264" w:lineRule="auto"/>
        <w:rPr>
          <w:rFonts w:ascii="Arial"/>
          <w:sz w:val="21"/>
        </w:rPr>
      </w:pPr>
    </w:p>
    <w:p w14:paraId="6A9FAFAF">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8EE1529">
      <w:pPr>
        <w:spacing w:before="201" w:line="228" w:lineRule="auto"/>
        <w:ind w:left="435"/>
        <w:rPr>
          <w:rFonts w:ascii="宋体" w:hAnsi="宋体" w:eastAsia="宋体" w:cs="宋体"/>
          <w:sz w:val="20"/>
          <w:szCs w:val="20"/>
        </w:rPr>
      </w:pPr>
      <w:r>
        <w:rPr>
          <w:rFonts w:ascii="宋体" w:hAnsi="宋体" w:eastAsia="宋体" w:cs="宋体"/>
          <w:spacing w:val="5"/>
          <w:sz w:val="20"/>
          <w:szCs w:val="20"/>
        </w:rPr>
        <w:t>16.2.2</w:t>
      </w:r>
      <w:r>
        <w:rPr>
          <w:rFonts w:ascii="宋体" w:hAnsi="宋体" w:eastAsia="宋体" w:cs="宋体"/>
          <w:spacing w:val="-36"/>
          <w:sz w:val="20"/>
          <w:szCs w:val="20"/>
        </w:rPr>
        <w:t xml:space="preserve"> </w:t>
      </w:r>
      <w:r>
        <w:rPr>
          <w:rFonts w:ascii="宋体" w:hAnsi="宋体" w:eastAsia="宋体" w:cs="宋体"/>
          <w:spacing w:val="5"/>
          <w:sz w:val="20"/>
          <w:szCs w:val="20"/>
        </w:rPr>
        <w:t>承包人违约的责任</w:t>
      </w:r>
    </w:p>
    <w:p w14:paraId="1AF4D404">
      <w:pPr>
        <w:spacing w:before="151" w:line="228" w:lineRule="auto"/>
        <w:ind w:left="420"/>
        <w:rPr>
          <w:rFonts w:ascii="宋体" w:hAnsi="宋体" w:eastAsia="宋体" w:cs="宋体"/>
          <w:sz w:val="20"/>
          <w:szCs w:val="20"/>
        </w:rPr>
      </w:pPr>
      <w:r>
        <w:rPr>
          <w:rFonts w:ascii="宋体" w:hAnsi="宋体" w:eastAsia="宋体" w:cs="宋体"/>
          <w:spacing w:val="8"/>
          <w:sz w:val="20"/>
          <w:szCs w:val="20"/>
        </w:rPr>
        <w:t>承包人违约责任的承担方式和计算方法：</w:t>
      </w:r>
    </w:p>
    <w:p w14:paraId="4521056D">
      <w:pPr>
        <w:spacing w:line="264" w:lineRule="auto"/>
        <w:rPr>
          <w:rFonts w:ascii="Arial"/>
          <w:sz w:val="21"/>
        </w:rPr>
      </w:pPr>
    </w:p>
    <w:p w14:paraId="0FCFA5E2">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A3EEEA6">
      <w:pPr>
        <w:spacing w:before="200" w:line="228" w:lineRule="auto"/>
        <w:ind w:left="435"/>
        <w:rPr>
          <w:rFonts w:ascii="宋体" w:hAnsi="宋体" w:eastAsia="宋体" w:cs="宋体"/>
          <w:sz w:val="20"/>
          <w:szCs w:val="20"/>
        </w:rPr>
      </w:pPr>
      <w:r>
        <w:rPr>
          <w:rFonts w:ascii="宋体" w:hAnsi="宋体" w:eastAsia="宋体" w:cs="宋体"/>
          <w:spacing w:val="4"/>
          <w:sz w:val="20"/>
          <w:szCs w:val="20"/>
        </w:rPr>
        <w:t>16.2.3</w:t>
      </w:r>
      <w:r>
        <w:rPr>
          <w:rFonts w:ascii="宋体" w:hAnsi="宋体" w:eastAsia="宋体" w:cs="宋体"/>
          <w:spacing w:val="43"/>
          <w:sz w:val="20"/>
          <w:szCs w:val="20"/>
        </w:rPr>
        <w:t xml:space="preserve"> </w:t>
      </w:r>
      <w:r>
        <w:rPr>
          <w:rFonts w:ascii="宋体" w:hAnsi="宋体" w:eastAsia="宋体" w:cs="宋体"/>
          <w:spacing w:val="4"/>
          <w:sz w:val="20"/>
          <w:szCs w:val="20"/>
        </w:rPr>
        <w:t>因承包人违约解除合同</w:t>
      </w:r>
    </w:p>
    <w:p w14:paraId="1DA37E9E">
      <w:pPr>
        <w:spacing w:before="152" w:line="228" w:lineRule="auto"/>
        <w:ind w:left="423"/>
        <w:rPr>
          <w:rFonts w:ascii="宋体" w:hAnsi="宋体" w:eastAsia="宋体" w:cs="宋体"/>
          <w:sz w:val="20"/>
          <w:szCs w:val="20"/>
        </w:rPr>
      </w:pPr>
      <w:r>
        <w:rPr>
          <w:rFonts w:ascii="宋体" w:hAnsi="宋体" w:eastAsia="宋体" w:cs="宋体"/>
          <w:spacing w:val="8"/>
          <w:sz w:val="20"/>
          <w:szCs w:val="20"/>
        </w:rPr>
        <w:t>关于承包人违约解除合同的特别约定：</w:t>
      </w:r>
    </w:p>
    <w:p w14:paraId="03F13771">
      <w:pPr>
        <w:spacing w:line="228" w:lineRule="auto"/>
        <w:rPr>
          <w:rFonts w:ascii="宋体" w:hAnsi="宋体" w:eastAsia="宋体" w:cs="宋体"/>
          <w:sz w:val="20"/>
          <w:szCs w:val="20"/>
        </w:rPr>
        <w:sectPr>
          <w:footerReference r:id="rId311" w:type="default"/>
          <w:pgSz w:w="11906" w:h="16839"/>
          <w:pgMar w:top="400" w:right="1503" w:bottom="1038" w:left="1539" w:header="0" w:footer="787" w:gutter="0"/>
          <w:cols w:space="720" w:num="1"/>
        </w:sectPr>
      </w:pPr>
    </w:p>
    <w:p w14:paraId="0117F0F6">
      <w:pPr>
        <w:spacing w:before="54" w:line="371" w:lineRule="auto"/>
        <w:ind w:left="4" w:firstLine="420"/>
        <w:rPr>
          <w:rFonts w:ascii="宋体" w:hAnsi="宋体" w:eastAsia="宋体" w:cs="宋体"/>
          <w:sz w:val="20"/>
          <w:szCs w:val="20"/>
        </w:rPr>
      </w:pPr>
      <w:r>
        <w:rPr>
          <w:rFonts w:ascii="宋体" w:hAnsi="宋体" w:eastAsia="宋体" w:cs="宋体"/>
          <w:spacing w:val="10"/>
          <w:sz w:val="20"/>
          <w:szCs w:val="20"/>
        </w:rPr>
        <w:t>发包人继续使用承包人在施工现场的材料、设备、临时工</w:t>
      </w:r>
      <w:r>
        <w:rPr>
          <w:rFonts w:ascii="宋体" w:hAnsi="宋体" w:eastAsia="宋体" w:cs="宋体"/>
          <w:spacing w:val="9"/>
          <w:sz w:val="20"/>
          <w:szCs w:val="20"/>
        </w:rPr>
        <w:t>程、承包人文件和由承包人或以其</w:t>
      </w:r>
      <w:r>
        <w:rPr>
          <w:rFonts w:ascii="宋体" w:hAnsi="宋体" w:eastAsia="宋体" w:cs="宋体"/>
          <w:spacing w:val="8"/>
          <w:sz w:val="20"/>
          <w:szCs w:val="20"/>
        </w:rPr>
        <w:t>名义编制的其他文件的费用承担方式：</w:t>
      </w:r>
    </w:p>
    <w:p w14:paraId="773ED0C7">
      <w:pPr>
        <w:tabs>
          <w:tab w:val="left" w:pos="8394"/>
        </w:tabs>
        <w:spacing w:before="131" w:line="173" w:lineRule="auto"/>
        <w:ind w:left="41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57E51ABF">
      <w:pPr>
        <w:pStyle w:val="2"/>
        <w:spacing w:before="236" w:line="222" w:lineRule="auto"/>
        <w:ind w:left="12"/>
        <w:outlineLvl w:val="2"/>
        <w:rPr>
          <w:sz w:val="28"/>
          <w:szCs w:val="28"/>
        </w:rPr>
      </w:pPr>
      <w:bookmarkStart w:id="299" w:name="bookmark282"/>
      <w:bookmarkEnd w:id="299"/>
      <w:r>
        <w:rPr>
          <w:rFonts w:ascii="Times New Roman" w:hAnsi="Times New Roman" w:eastAsia="Times New Roman" w:cs="Times New Roman"/>
          <w:b/>
          <w:bCs/>
          <w:spacing w:val="-6"/>
          <w:sz w:val="28"/>
          <w:szCs w:val="28"/>
        </w:rPr>
        <w:t>17.</w:t>
      </w:r>
      <w:r>
        <w:rPr>
          <w:rFonts w:ascii="Times New Roman" w:hAnsi="Times New Roman" w:eastAsia="Times New Roman" w:cs="Times New Roman"/>
          <w:b/>
          <w:bCs/>
          <w:spacing w:val="6"/>
          <w:sz w:val="28"/>
          <w:szCs w:val="28"/>
        </w:rPr>
        <w:t xml:space="preserve">  </w:t>
      </w:r>
      <w:r>
        <w:rPr>
          <w:b/>
          <w:bCs/>
          <w:spacing w:val="-6"/>
          <w:sz w:val="28"/>
          <w:szCs w:val="28"/>
        </w:rPr>
        <w:t>不可抗力</w:t>
      </w:r>
    </w:p>
    <w:p w14:paraId="3CB64021">
      <w:pPr>
        <w:pStyle w:val="2"/>
        <w:spacing w:before="99" w:line="221" w:lineRule="auto"/>
        <w:ind w:left="10"/>
        <w:rPr>
          <w:sz w:val="24"/>
          <w:szCs w:val="24"/>
        </w:rPr>
      </w:pPr>
      <w:r>
        <w:rPr>
          <w:rFonts w:ascii="Times New Roman" w:hAnsi="Times New Roman" w:eastAsia="Times New Roman" w:cs="Times New Roman"/>
          <w:b/>
          <w:bCs/>
          <w:spacing w:val="-3"/>
          <w:sz w:val="24"/>
          <w:szCs w:val="24"/>
        </w:rPr>
        <w:t xml:space="preserve">17.1  </w:t>
      </w:r>
      <w:r>
        <w:rPr>
          <w:b/>
          <w:bCs/>
          <w:spacing w:val="-3"/>
          <w:sz w:val="24"/>
          <w:szCs w:val="24"/>
        </w:rPr>
        <w:t>不可抗力的确认</w:t>
      </w:r>
    </w:p>
    <w:p w14:paraId="2DC43D51">
      <w:pPr>
        <w:spacing w:before="137" w:line="228" w:lineRule="auto"/>
        <w:ind w:left="434"/>
        <w:rPr>
          <w:rFonts w:ascii="宋体" w:hAnsi="宋体" w:eastAsia="宋体" w:cs="宋体"/>
          <w:sz w:val="20"/>
          <w:szCs w:val="20"/>
        </w:rPr>
      </w:pPr>
      <w:r>
        <w:rPr>
          <w:rFonts w:ascii="宋体" w:hAnsi="宋体" w:eastAsia="宋体" w:cs="宋体"/>
          <w:spacing w:val="9"/>
          <w:sz w:val="20"/>
          <w:szCs w:val="20"/>
        </w:rPr>
        <w:t>除通用合同条款约定的不可抗力事件之外，视为不可抗力的其他</w:t>
      </w:r>
      <w:r>
        <w:rPr>
          <w:rFonts w:ascii="宋体" w:hAnsi="宋体" w:eastAsia="宋体" w:cs="宋体"/>
          <w:spacing w:val="8"/>
          <w:sz w:val="20"/>
          <w:szCs w:val="20"/>
        </w:rPr>
        <w:t>情形：</w:t>
      </w:r>
    </w:p>
    <w:p w14:paraId="002D6A88">
      <w:pPr>
        <w:spacing w:line="264" w:lineRule="auto"/>
        <w:rPr>
          <w:rFonts w:ascii="Arial"/>
          <w:sz w:val="21"/>
        </w:rPr>
      </w:pPr>
    </w:p>
    <w:p w14:paraId="0CBCFC5C">
      <w:pPr>
        <w:tabs>
          <w:tab w:val="left" w:pos="8394"/>
        </w:tabs>
        <w:spacing w:before="23" w:line="173" w:lineRule="auto"/>
        <w:ind w:left="41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69F7E24E">
      <w:pPr>
        <w:pStyle w:val="2"/>
        <w:spacing w:before="174" w:line="221" w:lineRule="auto"/>
        <w:ind w:left="10"/>
        <w:rPr>
          <w:sz w:val="24"/>
          <w:szCs w:val="24"/>
        </w:rPr>
      </w:pPr>
      <w:r>
        <w:rPr>
          <w:rFonts w:ascii="Times New Roman" w:hAnsi="Times New Roman" w:eastAsia="Times New Roman" w:cs="Times New Roman"/>
          <w:b/>
          <w:bCs/>
          <w:spacing w:val="-5"/>
          <w:sz w:val="24"/>
          <w:szCs w:val="24"/>
        </w:rPr>
        <w:t>17.4</w:t>
      </w:r>
      <w:r>
        <w:rPr>
          <w:rFonts w:ascii="Times New Roman" w:hAnsi="Times New Roman" w:eastAsia="Times New Roman" w:cs="Times New Roman"/>
          <w:b/>
          <w:bCs/>
          <w:spacing w:val="16"/>
          <w:sz w:val="24"/>
          <w:szCs w:val="24"/>
        </w:rPr>
        <w:t xml:space="preserve">  </w:t>
      </w:r>
      <w:r>
        <w:rPr>
          <w:b/>
          <w:bCs/>
          <w:spacing w:val="-5"/>
          <w:sz w:val="24"/>
          <w:szCs w:val="24"/>
        </w:rPr>
        <w:t>因不可抗力解除合同</w:t>
      </w:r>
    </w:p>
    <w:p w14:paraId="3A18BFEC">
      <w:pPr>
        <w:spacing w:before="138" w:line="228" w:lineRule="auto"/>
        <w:ind w:left="423"/>
        <w:rPr>
          <w:rFonts w:ascii="宋体" w:hAnsi="宋体" w:eastAsia="宋体" w:cs="宋体"/>
          <w:sz w:val="20"/>
          <w:szCs w:val="20"/>
        </w:rPr>
      </w:pPr>
      <w:r>
        <w:rPr>
          <w:rFonts w:ascii="宋体" w:hAnsi="宋体" w:eastAsia="宋体" w:cs="宋体"/>
          <w:spacing w:val="9"/>
          <w:sz w:val="20"/>
          <w:szCs w:val="20"/>
        </w:rPr>
        <w:t>合同解除后，发包人应在商定或确定发包人应支付款项后</w:t>
      </w:r>
      <w:r>
        <w:rPr>
          <w:rFonts w:ascii="宋体" w:hAnsi="宋体" w:eastAsia="宋体" w:cs="宋体"/>
          <w:spacing w:val="-10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9"/>
          <w:sz w:val="20"/>
          <w:szCs w:val="20"/>
        </w:rPr>
        <w:t>天内完成款项的支付。</w:t>
      </w:r>
    </w:p>
    <w:p w14:paraId="4FE1835C">
      <w:pPr>
        <w:pStyle w:val="2"/>
        <w:spacing w:before="193" w:line="223" w:lineRule="auto"/>
        <w:ind w:left="12"/>
        <w:outlineLvl w:val="2"/>
        <w:rPr>
          <w:sz w:val="28"/>
          <w:szCs w:val="28"/>
        </w:rPr>
      </w:pPr>
      <w:bookmarkStart w:id="300" w:name="bookmark283"/>
      <w:bookmarkEnd w:id="300"/>
      <w:r>
        <w:rPr>
          <w:rFonts w:ascii="Times New Roman" w:hAnsi="Times New Roman" w:eastAsia="Times New Roman" w:cs="Times New Roman"/>
          <w:b/>
          <w:bCs/>
          <w:spacing w:val="-7"/>
          <w:sz w:val="28"/>
          <w:szCs w:val="28"/>
        </w:rPr>
        <w:t>18.</w:t>
      </w:r>
      <w:r>
        <w:rPr>
          <w:rFonts w:ascii="Times New Roman" w:hAnsi="Times New Roman" w:eastAsia="Times New Roman" w:cs="Times New Roman"/>
          <w:b/>
          <w:bCs/>
          <w:spacing w:val="5"/>
          <w:sz w:val="28"/>
          <w:szCs w:val="28"/>
        </w:rPr>
        <w:t xml:space="preserve">  </w:t>
      </w:r>
      <w:r>
        <w:rPr>
          <w:b/>
          <w:bCs/>
          <w:spacing w:val="-7"/>
          <w:sz w:val="28"/>
          <w:szCs w:val="28"/>
        </w:rPr>
        <w:t>保险</w:t>
      </w:r>
    </w:p>
    <w:p w14:paraId="691CC020">
      <w:pPr>
        <w:pStyle w:val="2"/>
        <w:spacing w:before="97" w:line="222" w:lineRule="auto"/>
        <w:ind w:left="10"/>
        <w:rPr>
          <w:sz w:val="24"/>
          <w:szCs w:val="24"/>
        </w:rPr>
      </w:pPr>
      <w:r>
        <w:rPr>
          <w:rFonts w:ascii="Times New Roman" w:hAnsi="Times New Roman" w:eastAsia="Times New Roman" w:cs="Times New Roman"/>
          <w:b/>
          <w:bCs/>
          <w:spacing w:val="-3"/>
          <w:sz w:val="24"/>
          <w:szCs w:val="24"/>
        </w:rPr>
        <w:t xml:space="preserve">18.1  </w:t>
      </w:r>
      <w:r>
        <w:rPr>
          <w:b/>
          <w:bCs/>
          <w:spacing w:val="-3"/>
          <w:sz w:val="24"/>
          <w:szCs w:val="24"/>
        </w:rPr>
        <w:t>工程保险</w:t>
      </w:r>
    </w:p>
    <w:p w14:paraId="7AA7CB27">
      <w:pPr>
        <w:spacing w:before="137" w:line="228" w:lineRule="auto"/>
        <w:ind w:left="425"/>
        <w:rPr>
          <w:rFonts w:ascii="宋体" w:hAnsi="宋体" w:eastAsia="宋体" w:cs="宋体"/>
          <w:sz w:val="20"/>
          <w:szCs w:val="20"/>
        </w:rPr>
      </w:pPr>
      <w:r>
        <w:rPr>
          <w:rFonts w:ascii="宋体" w:hAnsi="宋体" w:eastAsia="宋体" w:cs="宋体"/>
          <w:spacing w:val="8"/>
          <w:sz w:val="20"/>
          <w:szCs w:val="20"/>
        </w:rPr>
        <w:t>关于工程保险的特别约定：</w:t>
      </w:r>
    </w:p>
    <w:p w14:paraId="500A8501">
      <w:pPr>
        <w:spacing w:line="264" w:lineRule="auto"/>
        <w:rPr>
          <w:rFonts w:ascii="Arial"/>
          <w:sz w:val="21"/>
        </w:rPr>
      </w:pPr>
    </w:p>
    <w:p w14:paraId="45C025FA">
      <w:pPr>
        <w:tabs>
          <w:tab w:val="left" w:pos="8394"/>
        </w:tabs>
        <w:spacing w:before="23" w:line="173" w:lineRule="auto"/>
        <w:ind w:left="41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2AE0E9CC">
      <w:pPr>
        <w:pStyle w:val="2"/>
        <w:spacing w:before="174" w:line="222" w:lineRule="auto"/>
        <w:ind w:left="10"/>
        <w:rPr>
          <w:sz w:val="24"/>
          <w:szCs w:val="24"/>
        </w:rPr>
      </w:pPr>
      <w:r>
        <w:rPr>
          <w:rFonts w:ascii="Times New Roman" w:hAnsi="Times New Roman" w:eastAsia="Times New Roman" w:cs="Times New Roman"/>
          <w:b/>
          <w:bCs/>
          <w:spacing w:val="-5"/>
          <w:sz w:val="24"/>
          <w:szCs w:val="24"/>
        </w:rPr>
        <w:t>18.3</w:t>
      </w:r>
      <w:r>
        <w:rPr>
          <w:rFonts w:ascii="Times New Roman" w:hAnsi="Times New Roman" w:eastAsia="Times New Roman" w:cs="Times New Roman"/>
          <w:b/>
          <w:bCs/>
          <w:spacing w:val="7"/>
          <w:sz w:val="24"/>
          <w:szCs w:val="24"/>
        </w:rPr>
        <w:t xml:space="preserve">  </w:t>
      </w:r>
      <w:r>
        <w:rPr>
          <w:b/>
          <w:bCs/>
          <w:spacing w:val="-5"/>
          <w:sz w:val="24"/>
          <w:szCs w:val="24"/>
        </w:rPr>
        <w:t>其他保险</w:t>
      </w:r>
    </w:p>
    <w:p w14:paraId="1550EA8C">
      <w:pPr>
        <w:spacing w:before="137" w:line="228" w:lineRule="auto"/>
        <w:ind w:left="425"/>
        <w:rPr>
          <w:rFonts w:ascii="宋体" w:hAnsi="宋体" w:eastAsia="宋体" w:cs="宋体"/>
          <w:sz w:val="20"/>
          <w:szCs w:val="20"/>
        </w:rPr>
      </w:pPr>
      <w:r>
        <w:rPr>
          <w:rFonts w:ascii="宋体" w:hAnsi="宋体" w:eastAsia="宋体" w:cs="宋体"/>
          <w:spacing w:val="7"/>
          <w:sz w:val="20"/>
          <w:szCs w:val="20"/>
        </w:rPr>
        <w:t>关于其他保险的约定：</w:t>
      </w:r>
    </w:p>
    <w:p w14:paraId="17ED480D">
      <w:pPr>
        <w:spacing w:line="263" w:lineRule="auto"/>
        <w:rPr>
          <w:rFonts w:ascii="Arial"/>
          <w:sz w:val="21"/>
        </w:rPr>
      </w:pPr>
    </w:p>
    <w:p w14:paraId="0D1B20F4">
      <w:pPr>
        <w:tabs>
          <w:tab w:val="left" w:pos="8394"/>
        </w:tabs>
        <w:spacing w:before="23" w:line="173" w:lineRule="auto"/>
        <w:ind w:left="41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3363CA4A">
      <w:pPr>
        <w:spacing w:before="198" w:line="228" w:lineRule="auto"/>
        <w:ind w:left="422"/>
        <w:rPr>
          <w:rFonts w:ascii="宋体" w:hAnsi="宋体" w:eastAsia="宋体" w:cs="宋体"/>
          <w:sz w:val="20"/>
          <w:szCs w:val="20"/>
        </w:rPr>
      </w:pPr>
      <w:r>
        <w:rPr>
          <w:rFonts w:ascii="宋体" w:hAnsi="宋体" w:eastAsia="宋体" w:cs="宋体"/>
          <w:spacing w:val="9"/>
          <w:sz w:val="20"/>
          <w:szCs w:val="20"/>
        </w:rPr>
        <w:t>承包人是否应为其施工设备等办理财产保险：</w:t>
      </w:r>
    </w:p>
    <w:p w14:paraId="3D5F5F73">
      <w:pPr>
        <w:spacing w:line="264" w:lineRule="auto"/>
        <w:rPr>
          <w:rFonts w:ascii="Arial"/>
          <w:sz w:val="21"/>
        </w:rPr>
      </w:pPr>
    </w:p>
    <w:p w14:paraId="09408ED6">
      <w:pPr>
        <w:tabs>
          <w:tab w:val="left" w:pos="8394"/>
        </w:tabs>
        <w:spacing w:before="23" w:line="173" w:lineRule="auto"/>
        <w:ind w:left="41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2E96F83E">
      <w:pPr>
        <w:pStyle w:val="2"/>
        <w:spacing w:before="174" w:line="221" w:lineRule="auto"/>
        <w:ind w:left="10"/>
        <w:rPr>
          <w:sz w:val="24"/>
          <w:szCs w:val="24"/>
        </w:rPr>
      </w:pPr>
      <w:r>
        <w:rPr>
          <w:rFonts w:ascii="Times New Roman" w:hAnsi="Times New Roman" w:eastAsia="Times New Roman" w:cs="Times New Roman"/>
          <w:b/>
          <w:bCs/>
          <w:spacing w:val="-3"/>
          <w:sz w:val="24"/>
          <w:szCs w:val="24"/>
        </w:rPr>
        <w:t xml:space="preserve">18.7  </w:t>
      </w:r>
      <w:r>
        <w:rPr>
          <w:b/>
          <w:bCs/>
          <w:spacing w:val="-3"/>
          <w:sz w:val="24"/>
          <w:szCs w:val="24"/>
        </w:rPr>
        <w:t>通知义务</w:t>
      </w:r>
    </w:p>
    <w:p w14:paraId="5C1F7642">
      <w:pPr>
        <w:spacing w:before="137" w:line="228" w:lineRule="auto"/>
        <w:ind w:left="425"/>
        <w:rPr>
          <w:rFonts w:ascii="宋体" w:hAnsi="宋体" w:eastAsia="宋体" w:cs="宋体"/>
          <w:sz w:val="20"/>
          <w:szCs w:val="20"/>
        </w:rPr>
      </w:pPr>
      <w:r>
        <w:rPr>
          <w:rFonts w:ascii="宋体" w:hAnsi="宋体" w:eastAsia="宋体" w:cs="宋体"/>
          <w:spacing w:val="8"/>
          <w:sz w:val="20"/>
          <w:szCs w:val="20"/>
        </w:rPr>
        <w:t>关于变更保险合同时的通知义务的约定：</w:t>
      </w:r>
    </w:p>
    <w:p w14:paraId="0B6677FB">
      <w:pPr>
        <w:spacing w:line="264" w:lineRule="auto"/>
        <w:rPr>
          <w:rFonts w:ascii="Arial"/>
          <w:sz w:val="21"/>
        </w:rPr>
      </w:pPr>
    </w:p>
    <w:p w14:paraId="44EF9977">
      <w:pPr>
        <w:tabs>
          <w:tab w:val="left" w:pos="8394"/>
        </w:tabs>
        <w:spacing w:before="24" w:line="173" w:lineRule="auto"/>
        <w:ind w:left="41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25A0BDC9">
      <w:pPr>
        <w:pStyle w:val="2"/>
        <w:spacing w:before="239" w:line="222" w:lineRule="auto"/>
        <w:outlineLvl w:val="2"/>
        <w:rPr>
          <w:sz w:val="28"/>
          <w:szCs w:val="28"/>
        </w:rPr>
      </w:pPr>
      <w:bookmarkStart w:id="301" w:name="bookmark284"/>
      <w:bookmarkEnd w:id="301"/>
      <w:r>
        <w:rPr>
          <w:rFonts w:ascii="Times New Roman" w:hAnsi="Times New Roman" w:eastAsia="Times New Roman" w:cs="Times New Roman"/>
          <w:b/>
          <w:bCs/>
          <w:spacing w:val="-5"/>
          <w:sz w:val="28"/>
          <w:szCs w:val="28"/>
        </w:rPr>
        <w:t>20.</w:t>
      </w:r>
      <w:r>
        <w:rPr>
          <w:rFonts w:ascii="Times New Roman" w:hAnsi="Times New Roman" w:eastAsia="Times New Roman" w:cs="Times New Roman"/>
          <w:b/>
          <w:bCs/>
          <w:spacing w:val="9"/>
          <w:sz w:val="28"/>
          <w:szCs w:val="28"/>
        </w:rPr>
        <w:t xml:space="preserve">  </w:t>
      </w:r>
      <w:r>
        <w:rPr>
          <w:b/>
          <w:bCs/>
          <w:spacing w:val="-5"/>
          <w:sz w:val="28"/>
          <w:szCs w:val="28"/>
        </w:rPr>
        <w:t>争议解决</w:t>
      </w:r>
    </w:p>
    <w:p w14:paraId="6066735B">
      <w:pPr>
        <w:pStyle w:val="2"/>
        <w:spacing w:before="96" w:line="222" w:lineRule="auto"/>
        <w:rPr>
          <w:sz w:val="24"/>
          <w:szCs w:val="24"/>
        </w:rPr>
      </w:pPr>
      <w:r>
        <w:rPr>
          <w:rFonts w:ascii="Times New Roman" w:hAnsi="Times New Roman" w:eastAsia="Times New Roman" w:cs="Times New Roman"/>
          <w:b/>
          <w:bCs/>
          <w:spacing w:val="-4"/>
          <w:sz w:val="24"/>
          <w:szCs w:val="24"/>
        </w:rPr>
        <w:t>20.3</w:t>
      </w:r>
      <w:r>
        <w:rPr>
          <w:rFonts w:ascii="Times New Roman" w:hAnsi="Times New Roman" w:eastAsia="Times New Roman" w:cs="Times New Roman"/>
          <w:b/>
          <w:bCs/>
          <w:spacing w:val="8"/>
          <w:sz w:val="24"/>
          <w:szCs w:val="24"/>
        </w:rPr>
        <w:t xml:space="preserve">  </w:t>
      </w:r>
      <w:r>
        <w:rPr>
          <w:b/>
          <w:bCs/>
          <w:spacing w:val="-4"/>
          <w:sz w:val="24"/>
          <w:szCs w:val="24"/>
        </w:rPr>
        <w:t>争议评审</w:t>
      </w:r>
    </w:p>
    <w:p w14:paraId="08A6226D">
      <w:pPr>
        <w:spacing w:before="139" w:line="228" w:lineRule="auto"/>
        <w:ind w:left="423"/>
        <w:rPr>
          <w:rFonts w:ascii="宋体" w:hAnsi="宋体" w:eastAsia="宋体" w:cs="宋体"/>
          <w:sz w:val="20"/>
          <w:szCs w:val="20"/>
        </w:rPr>
      </w:pPr>
      <w:r>
        <w:rPr>
          <w:rFonts w:ascii="宋体" w:hAnsi="宋体" w:eastAsia="宋体" w:cs="宋体"/>
          <w:spacing w:val="9"/>
          <w:sz w:val="20"/>
          <w:szCs w:val="20"/>
        </w:rPr>
        <w:t>合同当事人是否同意将工程争议提交争议评审小组决定：</w:t>
      </w:r>
    </w:p>
    <w:p w14:paraId="1AAA5047">
      <w:pPr>
        <w:spacing w:line="262" w:lineRule="auto"/>
        <w:rPr>
          <w:rFonts w:ascii="Arial"/>
          <w:sz w:val="21"/>
        </w:rPr>
      </w:pPr>
    </w:p>
    <w:p w14:paraId="38FA766E">
      <w:pPr>
        <w:tabs>
          <w:tab w:val="left" w:pos="8394"/>
        </w:tabs>
        <w:spacing w:before="23" w:line="173" w:lineRule="auto"/>
        <w:ind w:left="41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3544C76C">
      <w:pPr>
        <w:spacing w:before="200" w:line="228" w:lineRule="auto"/>
        <w:ind w:left="424"/>
        <w:rPr>
          <w:rFonts w:ascii="宋体" w:hAnsi="宋体" w:eastAsia="宋体" w:cs="宋体"/>
          <w:sz w:val="20"/>
          <w:szCs w:val="20"/>
        </w:rPr>
      </w:pPr>
      <w:r>
        <w:rPr>
          <w:rFonts w:ascii="宋体" w:hAnsi="宋体" w:eastAsia="宋体" w:cs="宋体"/>
          <w:spacing w:val="7"/>
          <w:sz w:val="20"/>
          <w:szCs w:val="20"/>
        </w:rPr>
        <w:t>20.3.1 争议评审小组的确定</w:t>
      </w:r>
    </w:p>
    <w:p w14:paraId="23CE2DB8">
      <w:pPr>
        <w:spacing w:before="154" w:line="228" w:lineRule="auto"/>
        <w:ind w:left="426"/>
        <w:rPr>
          <w:rFonts w:ascii="宋体" w:hAnsi="宋体" w:eastAsia="宋体" w:cs="宋体"/>
          <w:sz w:val="20"/>
          <w:szCs w:val="20"/>
        </w:rPr>
      </w:pPr>
      <w:r>
        <w:rPr>
          <w:rFonts w:ascii="宋体" w:hAnsi="宋体" w:eastAsia="宋体" w:cs="宋体"/>
          <w:spacing w:val="6"/>
          <w:sz w:val="20"/>
          <w:szCs w:val="20"/>
        </w:rPr>
        <w:t>争议评审小组成员的确定：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232F1FB">
      <w:pPr>
        <w:spacing w:before="152" w:line="228" w:lineRule="auto"/>
        <w:ind w:left="421"/>
        <w:rPr>
          <w:rFonts w:ascii="宋体" w:hAnsi="宋体" w:eastAsia="宋体" w:cs="宋体"/>
          <w:sz w:val="20"/>
          <w:szCs w:val="20"/>
        </w:rPr>
      </w:pPr>
      <w:r>
        <w:rPr>
          <w:rFonts w:ascii="宋体" w:hAnsi="宋体" w:eastAsia="宋体" w:cs="宋体"/>
          <w:spacing w:val="6"/>
          <w:sz w:val="20"/>
          <w:szCs w:val="20"/>
        </w:rPr>
        <w:t>选定争议评审员的期限：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6F05A54">
      <w:pPr>
        <w:spacing w:before="153" w:line="228" w:lineRule="auto"/>
        <w:ind w:left="426"/>
        <w:rPr>
          <w:rFonts w:ascii="宋体" w:hAnsi="宋体" w:eastAsia="宋体" w:cs="宋体"/>
          <w:sz w:val="20"/>
          <w:szCs w:val="20"/>
        </w:rPr>
      </w:pPr>
      <w:r>
        <w:rPr>
          <w:rFonts w:ascii="宋体" w:hAnsi="宋体" w:eastAsia="宋体" w:cs="宋体"/>
          <w:spacing w:val="7"/>
          <w:sz w:val="20"/>
          <w:szCs w:val="20"/>
        </w:rPr>
        <w:t>争议评审小组成员的报酬承担方式：</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C0863F1">
      <w:pPr>
        <w:spacing w:before="155" w:line="228" w:lineRule="auto"/>
        <w:ind w:left="423"/>
        <w:rPr>
          <w:rFonts w:ascii="宋体" w:hAnsi="宋体" w:eastAsia="宋体" w:cs="宋体"/>
          <w:sz w:val="20"/>
          <w:szCs w:val="20"/>
        </w:rPr>
      </w:pPr>
      <w:r>
        <w:rPr>
          <w:rFonts w:ascii="宋体" w:hAnsi="宋体" w:eastAsia="宋体" w:cs="宋体"/>
          <w:spacing w:val="6"/>
          <w:sz w:val="20"/>
          <w:szCs w:val="20"/>
        </w:rPr>
        <w:t>其他事项的约定：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6A8F581">
      <w:pPr>
        <w:spacing w:before="151" w:line="228" w:lineRule="auto"/>
        <w:ind w:left="424"/>
        <w:rPr>
          <w:rFonts w:ascii="宋体" w:hAnsi="宋体" w:eastAsia="宋体" w:cs="宋体"/>
          <w:sz w:val="20"/>
          <w:szCs w:val="20"/>
        </w:rPr>
      </w:pPr>
      <w:r>
        <w:rPr>
          <w:rFonts w:ascii="宋体" w:hAnsi="宋体" w:eastAsia="宋体" w:cs="宋体"/>
          <w:spacing w:val="7"/>
          <w:sz w:val="20"/>
          <w:szCs w:val="20"/>
        </w:rPr>
        <w:t>20.3.2 争议评审小组的决定</w:t>
      </w:r>
    </w:p>
    <w:p w14:paraId="7A6396FB">
      <w:pPr>
        <w:spacing w:before="154" w:line="227" w:lineRule="auto"/>
        <w:ind w:left="423"/>
        <w:rPr>
          <w:rFonts w:ascii="宋体" w:hAnsi="宋体" w:eastAsia="宋体" w:cs="宋体"/>
          <w:sz w:val="20"/>
          <w:szCs w:val="20"/>
        </w:rPr>
      </w:pPr>
      <w:r>
        <w:rPr>
          <w:rFonts w:ascii="宋体" w:hAnsi="宋体" w:eastAsia="宋体" w:cs="宋体"/>
          <w:spacing w:val="6"/>
          <w:sz w:val="20"/>
          <w:szCs w:val="20"/>
        </w:rPr>
        <w:t>合同当事人关于本项的约定：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81CC156">
      <w:pPr>
        <w:spacing w:line="227" w:lineRule="auto"/>
        <w:rPr>
          <w:rFonts w:ascii="宋体" w:hAnsi="宋体" w:eastAsia="宋体" w:cs="宋体"/>
          <w:sz w:val="20"/>
          <w:szCs w:val="20"/>
        </w:rPr>
        <w:sectPr>
          <w:headerReference r:id="rId312" w:type="default"/>
          <w:footerReference r:id="rId313" w:type="default"/>
          <w:pgSz w:w="11906" w:h="16839"/>
          <w:pgMar w:top="1903" w:right="1557" w:bottom="1038" w:left="1536" w:header="1555" w:footer="787" w:gutter="0"/>
          <w:cols w:space="720" w:num="1"/>
        </w:sectPr>
      </w:pPr>
    </w:p>
    <w:p w14:paraId="523AF388">
      <w:pPr>
        <w:spacing w:line="262" w:lineRule="auto"/>
        <w:rPr>
          <w:rFonts w:ascii="Arial"/>
          <w:sz w:val="21"/>
        </w:rPr>
      </w:pPr>
    </w:p>
    <w:p w14:paraId="48EC3FF8">
      <w:pPr>
        <w:spacing w:line="262" w:lineRule="auto"/>
        <w:rPr>
          <w:rFonts w:ascii="Arial"/>
          <w:sz w:val="21"/>
        </w:rPr>
      </w:pPr>
    </w:p>
    <w:p w14:paraId="729E61DE">
      <w:pPr>
        <w:spacing w:line="262" w:lineRule="auto"/>
        <w:rPr>
          <w:rFonts w:ascii="Arial"/>
          <w:sz w:val="21"/>
        </w:rPr>
      </w:pPr>
    </w:p>
    <w:p w14:paraId="40985CE6">
      <w:pPr>
        <w:spacing w:line="262" w:lineRule="auto"/>
        <w:rPr>
          <w:rFonts w:ascii="Arial"/>
          <w:sz w:val="21"/>
        </w:rPr>
      </w:pPr>
    </w:p>
    <w:p w14:paraId="39E09FE4">
      <w:pPr>
        <w:pStyle w:val="2"/>
        <w:spacing w:before="78" w:line="220" w:lineRule="auto"/>
        <w:outlineLvl w:val="1"/>
        <w:rPr>
          <w:sz w:val="24"/>
          <w:szCs w:val="24"/>
        </w:rPr>
      </w:pPr>
      <w:r>
        <w:rPr>
          <w:rFonts w:ascii="Times New Roman" w:hAnsi="Times New Roman" w:eastAsia="Times New Roman" w:cs="Times New Roman"/>
          <w:b/>
          <w:bCs/>
          <w:spacing w:val="-2"/>
          <w:sz w:val="24"/>
          <w:szCs w:val="24"/>
        </w:rPr>
        <w:t xml:space="preserve">20.4 </w:t>
      </w:r>
      <w:r>
        <w:rPr>
          <w:b/>
          <w:bCs/>
          <w:spacing w:val="-2"/>
          <w:sz w:val="24"/>
          <w:szCs w:val="24"/>
        </w:rPr>
        <w:t>仲裁或诉讼</w:t>
      </w:r>
    </w:p>
    <w:p w14:paraId="6668E3B0">
      <w:pPr>
        <w:spacing w:before="138" w:line="228" w:lineRule="auto"/>
        <w:ind w:left="438"/>
        <w:rPr>
          <w:rFonts w:ascii="宋体" w:hAnsi="宋体" w:eastAsia="宋体" w:cs="宋体"/>
          <w:sz w:val="20"/>
          <w:szCs w:val="20"/>
        </w:rPr>
      </w:pPr>
      <w:r>
        <w:rPr>
          <w:rFonts w:ascii="宋体" w:hAnsi="宋体" w:eastAsia="宋体" w:cs="宋体"/>
          <w:spacing w:val="8"/>
          <w:sz w:val="20"/>
          <w:szCs w:val="20"/>
        </w:rPr>
        <w:t>因合同及合同有关事项发生的争议，按下列第</w:t>
      </w:r>
      <w:r>
        <w:rPr>
          <w:rFonts w:ascii="宋体" w:hAnsi="宋体" w:eastAsia="宋体" w:cs="宋体"/>
          <w:spacing w:val="-93"/>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8"/>
          <w:sz w:val="20"/>
          <w:szCs w:val="20"/>
        </w:rPr>
        <w:t>种方式解决：</w:t>
      </w:r>
    </w:p>
    <w:p w14:paraId="7F459DF9">
      <w:pPr>
        <w:spacing w:before="154" w:line="227" w:lineRule="auto"/>
        <w:ind w:left="432"/>
        <w:rPr>
          <w:rFonts w:ascii="宋体" w:hAnsi="宋体" w:eastAsia="宋体" w:cs="宋体"/>
          <w:sz w:val="20"/>
          <w:szCs w:val="20"/>
        </w:rPr>
      </w:pPr>
      <w:r>
        <w:rPr>
          <w:rFonts w:ascii="宋体" w:hAnsi="宋体" w:eastAsia="宋体" w:cs="宋体"/>
          <w:spacing w:val="6"/>
          <w:sz w:val="20"/>
          <w:szCs w:val="20"/>
        </w:rPr>
        <w:t>（1）向</w:t>
      </w:r>
      <w:r>
        <w:rPr>
          <w:rFonts w:ascii="宋体" w:hAnsi="宋体" w:eastAsia="宋体" w:cs="宋体"/>
          <w:spacing w:val="-88"/>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6"/>
          <w:sz w:val="20"/>
          <w:szCs w:val="20"/>
        </w:rPr>
        <w:t>仲裁委员会申请仲裁；</w:t>
      </w:r>
    </w:p>
    <w:p w14:paraId="3E65169D">
      <w:pPr>
        <w:spacing w:before="155" w:line="228" w:lineRule="auto"/>
        <w:ind w:left="432"/>
        <w:rPr>
          <w:rFonts w:ascii="宋体" w:hAnsi="宋体" w:eastAsia="宋体" w:cs="宋体"/>
          <w:sz w:val="20"/>
          <w:szCs w:val="20"/>
        </w:rPr>
      </w:pPr>
      <w:r>
        <w:rPr>
          <w:rFonts w:ascii="宋体" w:hAnsi="宋体" w:eastAsia="宋体" w:cs="宋体"/>
          <w:spacing w:val="5"/>
          <w:sz w:val="20"/>
          <w:szCs w:val="20"/>
        </w:rPr>
        <w:t>（2）向</w:t>
      </w:r>
      <w:r>
        <w:rPr>
          <w:rFonts w:ascii="宋体" w:hAnsi="宋体" w:eastAsia="宋体" w:cs="宋体"/>
          <w:spacing w:val="-93"/>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5"/>
          <w:sz w:val="20"/>
          <w:szCs w:val="20"/>
        </w:rPr>
        <w:t>人民法院起诉。</w:t>
      </w:r>
    </w:p>
    <w:p w14:paraId="5EAE3084">
      <w:pPr>
        <w:spacing w:line="228" w:lineRule="auto"/>
        <w:rPr>
          <w:rFonts w:ascii="宋体" w:hAnsi="宋体" w:eastAsia="宋体" w:cs="宋体"/>
          <w:sz w:val="20"/>
          <w:szCs w:val="20"/>
        </w:rPr>
        <w:sectPr>
          <w:headerReference r:id="rId314" w:type="default"/>
          <w:footerReference r:id="rId315" w:type="default"/>
          <w:pgSz w:w="11906" w:h="16839"/>
          <w:pgMar w:top="400" w:right="1785" w:bottom="1038" w:left="1536" w:header="0" w:footer="785" w:gutter="0"/>
          <w:cols w:space="720" w:num="1"/>
        </w:sectPr>
      </w:pPr>
    </w:p>
    <w:p w14:paraId="1A220540">
      <w:pPr>
        <w:spacing w:line="275" w:lineRule="auto"/>
        <w:rPr>
          <w:rFonts w:ascii="Arial"/>
          <w:sz w:val="21"/>
        </w:rPr>
      </w:pPr>
    </w:p>
    <w:p w14:paraId="16895C26">
      <w:pPr>
        <w:spacing w:line="275" w:lineRule="auto"/>
        <w:rPr>
          <w:rFonts w:ascii="Arial"/>
          <w:sz w:val="21"/>
        </w:rPr>
      </w:pPr>
    </w:p>
    <w:p w14:paraId="00D6A51D">
      <w:pPr>
        <w:spacing w:line="275" w:lineRule="auto"/>
        <w:rPr>
          <w:rFonts w:ascii="Arial"/>
          <w:sz w:val="21"/>
        </w:rPr>
      </w:pPr>
    </w:p>
    <w:p w14:paraId="7FE71F52">
      <w:pPr>
        <w:spacing w:line="275" w:lineRule="auto"/>
        <w:rPr>
          <w:rFonts w:ascii="Arial"/>
          <w:sz w:val="21"/>
        </w:rPr>
      </w:pPr>
    </w:p>
    <w:p w14:paraId="7C89DE7A">
      <w:pPr>
        <w:pStyle w:val="2"/>
        <w:spacing w:before="91" w:line="225" w:lineRule="auto"/>
        <w:rPr>
          <w:sz w:val="28"/>
          <w:szCs w:val="28"/>
        </w:rPr>
      </w:pPr>
      <w:bookmarkStart w:id="302" w:name="bookmark285"/>
      <w:bookmarkEnd w:id="302"/>
      <w:r>
        <w:rPr>
          <w:b/>
          <w:bCs/>
          <w:spacing w:val="-16"/>
          <w:sz w:val="28"/>
          <w:szCs w:val="28"/>
        </w:rPr>
        <w:t>附件</w:t>
      </w:r>
    </w:p>
    <w:p w14:paraId="29730093">
      <w:pPr>
        <w:spacing w:before="118" w:line="227" w:lineRule="auto"/>
        <w:ind w:left="402"/>
        <w:rPr>
          <w:rFonts w:ascii="宋体" w:hAnsi="宋体" w:eastAsia="宋体" w:cs="宋体"/>
          <w:sz w:val="20"/>
          <w:szCs w:val="20"/>
        </w:rPr>
      </w:pPr>
      <w:r>
        <w:rPr>
          <w:rFonts w:ascii="宋体" w:hAnsi="宋体" w:eastAsia="宋体" w:cs="宋体"/>
          <w:spacing w:val="6"/>
          <w:sz w:val="20"/>
          <w:szCs w:val="20"/>
        </w:rPr>
        <w:t>协议书附件：</w:t>
      </w:r>
    </w:p>
    <w:p w14:paraId="5A846561">
      <w:pPr>
        <w:spacing w:before="154" w:line="227" w:lineRule="auto"/>
        <w:ind w:left="418"/>
        <w:rPr>
          <w:rFonts w:ascii="宋体" w:hAnsi="宋体" w:eastAsia="宋体" w:cs="宋体"/>
          <w:sz w:val="20"/>
          <w:szCs w:val="20"/>
        </w:rPr>
      </w:pPr>
      <w:r>
        <w:rPr>
          <w:rFonts w:ascii="宋体" w:hAnsi="宋体" w:eastAsia="宋体" w:cs="宋体"/>
          <w:spacing w:val="4"/>
          <w:sz w:val="20"/>
          <w:szCs w:val="20"/>
        </w:rPr>
        <w:t>附件</w:t>
      </w:r>
      <w:r>
        <w:rPr>
          <w:rFonts w:ascii="宋体" w:hAnsi="宋体" w:eastAsia="宋体" w:cs="宋体"/>
          <w:spacing w:val="-10"/>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宋体" w:hAnsi="宋体" w:eastAsia="宋体" w:cs="宋体"/>
          <w:spacing w:val="4"/>
          <w:sz w:val="20"/>
          <w:szCs w:val="20"/>
        </w:rPr>
        <w:t>：承包人承揽工程项目一览表</w:t>
      </w:r>
    </w:p>
    <w:p w14:paraId="532EEC95">
      <w:pPr>
        <w:spacing w:line="242" w:lineRule="auto"/>
        <w:rPr>
          <w:rFonts w:ascii="Arial"/>
          <w:sz w:val="21"/>
        </w:rPr>
      </w:pPr>
    </w:p>
    <w:p w14:paraId="18BD3AB5">
      <w:pPr>
        <w:spacing w:line="243" w:lineRule="auto"/>
        <w:rPr>
          <w:rFonts w:ascii="Arial"/>
          <w:sz w:val="21"/>
        </w:rPr>
      </w:pPr>
    </w:p>
    <w:p w14:paraId="37BE13E8">
      <w:pPr>
        <w:spacing w:before="65" w:line="227" w:lineRule="auto"/>
        <w:ind w:left="402"/>
        <w:rPr>
          <w:rFonts w:ascii="宋体" w:hAnsi="宋体" w:eastAsia="宋体" w:cs="宋体"/>
          <w:sz w:val="20"/>
          <w:szCs w:val="20"/>
        </w:rPr>
      </w:pPr>
      <w:r>
        <w:rPr>
          <w:rFonts w:ascii="宋体" w:hAnsi="宋体" w:eastAsia="宋体" w:cs="宋体"/>
          <w:spacing w:val="7"/>
          <w:sz w:val="20"/>
          <w:szCs w:val="20"/>
        </w:rPr>
        <w:t>专用合同条款附件：</w:t>
      </w:r>
    </w:p>
    <w:p w14:paraId="7BE983FE">
      <w:pPr>
        <w:spacing w:before="155" w:line="227" w:lineRule="auto"/>
        <w:ind w:left="418"/>
        <w:rPr>
          <w:rFonts w:ascii="宋体" w:hAnsi="宋体" w:eastAsia="宋体" w:cs="宋体"/>
          <w:sz w:val="20"/>
          <w:szCs w:val="20"/>
        </w:rPr>
      </w:pPr>
      <w:r>
        <w:rPr>
          <w:rFonts w:ascii="宋体" w:hAnsi="宋体" w:eastAsia="宋体" w:cs="宋体"/>
          <w:spacing w:val="6"/>
          <w:sz w:val="20"/>
          <w:szCs w:val="20"/>
        </w:rPr>
        <w:t>附件</w:t>
      </w:r>
      <w:r>
        <w:rPr>
          <w:rFonts w:ascii="宋体" w:hAnsi="宋体" w:eastAsia="宋体" w:cs="宋体"/>
          <w:spacing w:val="-41"/>
          <w:sz w:val="20"/>
          <w:szCs w:val="20"/>
        </w:rPr>
        <w:t xml:space="preserve"> </w:t>
      </w:r>
      <w:r>
        <w:rPr>
          <w:rFonts w:ascii="Times New Roman" w:hAnsi="Times New Roman" w:eastAsia="Times New Roman" w:cs="Times New Roman"/>
          <w:spacing w:val="6"/>
          <w:sz w:val="20"/>
          <w:szCs w:val="20"/>
        </w:rPr>
        <w:t>2</w:t>
      </w:r>
      <w:r>
        <w:rPr>
          <w:rFonts w:ascii="Times New Roman" w:hAnsi="Times New Roman" w:eastAsia="Times New Roman" w:cs="Times New Roman"/>
          <w:spacing w:val="-26"/>
          <w:sz w:val="20"/>
          <w:szCs w:val="20"/>
        </w:rPr>
        <w:t xml:space="preserve"> </w:t>
      </w:r>
      <w:r>
        <w:rPr>
          <w:rFonts w:ascii="宋体" w:hAnsi="宋体" w:eastAsia="宋体" w:cs="宋体"/>
          <w:spacing w:val="6"/>
          <w:sz w:val="20"/>
          <w:szCs w:val="20"/>
        </w:rPr>
        <w:t>：发包人供应材料设备一览表</w:t>
      </w:r>
    </w:p>
    <w:p w14:paraId="35E37908">
      <w:pPr>
        <w:spacing w:before="152" w:line="227" w:lineRule="auto"/>
        <w:ind w:left="418"/>
        <w:rPr>
          <w:rFonts w:ascii="宋体" w:hAnsi="宋体" w:eastAsia="宋体" w:cs="宋体"/>
          <w:sz w:val="20"/>
          <w:szCs w:val="20"/>
        </w:rPr>
      </w:pPr>
      <w:r>
        <w:rPr>
          <w:rFonts w:ascii="宋体" w:hAnsi="宋体" w:eastAsia="宋体" w:cs="宋体"/>
          <w:spacing w:val="3"/>
          <w:sz w:val="20"/>
          <w:szCs w:val="20"/>
        </w:rPr>
        <w:t>附件</w:t>
      </w:r>
      <w:r>
        <w:rPr>
          <w:rFonts w:ascii="宋体" w:hAnsi="宋体" w:eastAsia="宋体" w:cs="宋体"/>
          <w:spacing w:val="-30"/>
          <w:sz w:val="20"/>
          <w:szCs w:val="20"/>
        </w:rPr>
        <w:t xml:space="preserve"> </w:t>
      </w:r>
      <w:r>
        <w:rPr>
          <w:rFonts w:ascii="Times New Roman" w:hAnsi="Times New Roman" w:eastAsia="Times New Roman" w:cs="Times New Roman"/>
          <w:spacing w:val="3"/>
          <w:sz w:val="20"/>
          <w:szCs w:val="20"/>
        </w:rPr>
        <w:t>3</w:t>
      </w:r>
      <w:r>
        <w:rPr>
          <w:rFonts w:ascii="Times New Roman" w:hAnsi="Times New Roman" w:eastAsia="Times New Roman" w:cs="Times New Roman"/>
          <w:spacing w:val="-25"/>
          <w:sz w:val="20"/>
          <w:szCs w:val="20"/>
        </w:rPr>
        <w:t xml:space="preserve"> </w:t>
      </w:r>
      <w:r>
        <w:rPr>
          <w:rFonts w:ascii="宋体" w:hAnsi="宋体" w:eastAsia="宋体" w:cs="宋体"/>
          <w:spacing w:val="3"/>
          <w:sz w:val="20"/>
          <w:szCs w:val="20"/>
        </w:rPr>
        <w:t>：工程质量保修书</w:t>
      </w:r>
    </w:p>
    <w:p w14:paraId="78498262">
      <w:pPr>
        <w:spacing w:before="155" w:line="227" w:lineRule="auto"/>
        <w:ind w:left="418"/>
        <w:rPr>
          <w:rFonts w:ascii="宋体" w:hAnsi="宋体" w:eastAsia="宋体" w:cs="宋体"/>
          <w:sz w:val="20"/>
          <w:szCs w:val="20"/>
        </w:rPr>
      </w:pPr>
      <w:r>
        <w:rPr>
          <w:rFonts w:ascii="宋体" w:hAnsi="宋体" w:eastAsia="宋体" w:cs="宋体"/>
          <w:spacing w:val="5"/>
          <w:sz w:val="20"/>
          <w:szCs w:val="20"/>
        </w:rPr>
        <w:t>附件</w:t>
      </w:r>
      <w:r>
        <w:rPr>
          <w:rFonts w:ascii="宋体" w:hAnsi="宋体" w:eastAsia="宋体" w:cs="宋体"/>
          <w:spacing w:val="-36"/>
          <w:sz w:val="20"/>
          <w:szCs w:val="20"/>
        </w:rPr>
        <w:t xml:space="preserve"> </w:t>
      </w:r>
      <w:r>
        <w:rPr>
          <w:rFonts w:ascii="Times New Roman" w:hAnsi="Times New Roman" w:eastAsia="Times New Roman" w:cs="Times New Roman"/>
          <w:spacing w:val="5"/>
          <w:sz w:val="20"/>
          <w:szCs w:val="20"/>
        </w:rPr>
        <w:t>4</w:t>
      </w:r>
      <w:r>
        <w:rPr>
          <w:rFonts w:ascii="Times New Roman" w:hAnsi="Times New Roman" w:eastAsia="Times New Roman" w:cs="Times New Roman"/>
          <w:spacing w:val="-25"/>
          <w:sz w:val="20"/>
          <w:szCs w:val="20"/>
        </w:rPr>
        <w:t xml:space="preserve"> </w:t>
      </w:r>
      <w:r>
        <w:rPr>
          <w:rFonts w:ascii="宋体" w:hAnsi="宋体" w:eastAsia="宋体" w:cs="宋体"/>
          <w:spacing w:val="5"/>
          <w:sz w:val="20"/>
          <w:szCs w:val="20"/>
        </w:rPr>
        <w:t>：主要建设工程文件目录</w:t>
      </w:r>
    </w:p>
    <w:p w14:paraId="3A7F79F3">
      <w:pPr>
        <w:spacing w:before="155" w:line="227" w:lineRule="auto"/>
        <w:ind w:left="418"/>
        <w:rPr>
          <w:rFonts w:ascii="宋体" w:hAnsi="宋体" w:eastAsia="宋体" w:cs="宋体"/>
          <w:sz w:val="20"/>
          <w:szCs w:val="20"/>
        </w:rPr>
      </w:pPr>
      <w:r>
        <w:rPr>
          <w:rFonts w:ascii="宋体" w:hAnsi="宋体" w:eastAsia="宋体" w:cs="宋体"/>
          <w:spacing w:val="6"/>
          <w:sz w:val="20"/>
          <w:szCs w:val="20"/>
        </w:rPr>
        <w:t>附件</w:t>
      </w:r>
      <w:r>
        <w:rPr>
          <w:rFonts w:ascii="宋体" w:hAnsi="宋体" w:eastAsia="宋体" w:cs="宋体"/>
          <w:spacing w:val="-26"/>
          <w:sz w:val="20"/>
          <w:szCs w:val="20"/>
        </w:rPr>
        <w:t xml:space="preserve"> </w:t>
      </w:r>
      <w:r>
        <w:rPr>
          <w:rFonts w:ascii="Times New Roman" w:hAnsi="Times New Roman" w:eastAsia="Times New Roman" w:cs="Times New Roman"/>
          <w:spacing w:val="6"/>
          <w:sz w:val="20"/>
          <w:szCs w:val="20"/>
        </w:rPr>
        <w:t>5</w:t>
      </w:r>
      <w:r>
        <w:rPr>
          <w:rFonts w:ascii="Times New Roman" w:hAnsi="Times New Roman" w:eastAsia="Times New Roman" w:cs="Times New Roman"/>
          <w:spacing w:val="-25"/>
          <w:sz w:val="20"/>
          <w:szCs w:val="20"/>
        </w:rPr>
        <w:t xml:space="preserve"> </w:t>
      </w:r>
      <w:r>
        <w:rPr>
          <w:rFonts w:ascii="宋体" w:hAnsi="宋体" w:eastAsia="宋体" w:cs="宋体"/>
          <w:spacing w:val="6"/>
          <w:sz w:val="20"/>
          <w:szCs w:val="20"/>
        </w:rPr>
        <w:t>：承包人用于本工程施工的机械设备表</w:t>
      </w:r>
    </w:p>
    <w:p w14:paraId="7FDB9111">
      <w:pPr>
        <w:spacing w:before="152" w:line="227" w:lineRule="auto"/>
        <w:ind w:left="418"/>
        <w:rPr>
          <w:rFonts w:ascii="宋体" w:hAnsi="宋体" w:eastAsia="宋体" w:cs="宋体"/>
          <w:sz w:val="20"/>
          <w:szCs w:val="20"/>
        </w:rPr>
      </w:pPr>
      <w:r>
        <w:rPr>
          <w:rFonts w:ascii="宋体" w:hAnsi="宋体" w:eastAsia="宋体" w:cs="宋体"/>
          <w:spacing w:val="5"/>
          <w:sz w:val="20"/>
          <w:szCs w:val="20"/>
        </w:rPr>
        <w:t>附件</w:t>
      </w:r>
      <w:r>
        <w:rPr>
          <w:rFonts w:ascii="宋体" w:hAnsi="宋体" w:eastAsia="宋体" w:cs="宋体"/>
          <w:spacing w:val="-26"/>
          <w:sz w:val="20"/>
          <w:szCs w:val="20"/>
        </w:rPr>
        <w:t xml:space="preserve"> </w:t>
      </w:r>
      <w:r>
        <w:rPr>
          <w:rFonts w:ascii="Times New Roman" w:hAnsi="Times New Roman" w:eastAsia="Times New Roman" w:cs="Times New Roman"/>
          <w:spacing w:val="5"/>
          <w:sz w:val="20"/>
          <w:szCs w:val="20"/>
        </w:rPr>
        <w:t>6</w:t>
      </w:r>
      <w:r>
        <w:rPr>
          <w:rFonts w:ascii="Times New Roman" w:hAnsi="Times New Roman" w:eastAsia="Times New Roman" w:cs="Times New Roman"/>
          <w:spacing w:val="-25"/>
          <w:sz w:val="20"/>
          <w:szCs w:val="20"/>
        </w:rPr>
        <w:t xml:space="preserve"> </w:t>
      </w:r>
      <w:r>
        <w:rPr>
          <w:rFonts w:ascii="宋体" w:hAnsi="宋体" w:eastAsia="宋体" w:cs="宋体"/>
          <w:spacing w:val="5"/>
          <w:sz w:val="20"/>
          <w:szCs w:val="20"/>
        </w:rPr>
        <w:t>：承包人主要施工管理人员表</w:t>
      </w:r>
    </w:p>
    <w:p w14:paraId="435AC879">
      <w:pPr>
        <w:spacing w:before="155" w:line="227" w:lineRule="auto"/>
        <w:ind w:left="418"/>
        <w:rPr>
          <w:rFonts w:ascii="宋体" w:hAnsi="宋体" w:eastAsia="宋体" w:cs="宋体"/>
          <w:sz w:val="20"/>
          <w:szCs w:val="20"/>
        </w:rPr>
      </w:pPr>
      <w:r>
        <w:rPr>
          <w:rFonts w:ascii="宋体" w:hAnsi="宋体" w:eastAsia="宋体" w:cs="宋体"/>
          <w:spacing w:val="5"/>
          <w:sz w:val="20"/>
          <w:szCs w:val="20"/>
        </w:rPr>
        <w:t>附件</w:t>
      </w:r>
      <w:r>
        <w:rPr>
          <w:rFonts w:ascii="宋体" w:hAnsi="宋体" w:eastAsia="宋体" w:cs="宋体"/>
          <w:spacing w:val="-26"/>
          <w:sz w:val="20"/>
          <w:szCs w:val="20"/>
        </w:rPr>
        <w:t xml:space="preserve"> </w:t>
      </w:r>
      <w:r>
        <w:rPr>
          <w:rFonts w:ascii="Times New Roman" w:hAnsi="Times New Roman" w:eastAsia="Times New Roman" w:cs="Times New Roman"/>
          <w:spacing w:val="5"/>
          <w:sz w:val="20"/>
          <w:szCs w:val="20"/>
        </w:rPr>
        <w:t>7</w:t>
      </w:r>
      <w:r>
        <w:rPr>
          <w:rFonts w:ascii="Times New Roman" w:hAnsi="Times New Roman" w:eastAsia="Times New Roman" w:cs="Times New Roman"/>
          <w:spacing w:val="-25"/>
          <w:sz w:val="20"/>
          <w:szCs w:val="20"/>
        </w:rPr>
        <w:t xml:space="preserve"> </w:t>
      </w:r>
      <w:r>
        <w:rPr>
          <w:rFonts w:ascii="宋体" w:hAnsi="宋体" w:eastAsia="宋体" w:cs="宋体"/>
          <w:spacing w:val="5"/>
          <w:sz w:val="20"/>
          <w:szCs w:val="20"/>
        </w:rPr>
        <w:t>：分包人主要施工管理人员表</w:t>
      </w:r>
    </w:p>
    <w:p w14:paraId="63BFEF9A">
      <w:pPr>
        <w:spacing w:before="155" w:line="227" w:lineRule="auto"/>
        <w:ind w:left="418"/>
        <w:rPr>
          <w:rFonts w:ascii="宋体" w:hAnsi="宋体" w:eastAsia="宋体" w:cs="宋体"/>
          <w:sz w:val="20"/>
          <w:szCs w:val="20"/>
        </w:rPr>
      </w:pPr>
      <w:r>
        <w:rPr>
          <w:rFonts w:ascii="宋体" w:hAnsi="宋体" w:eastAsia="宋体" w:cs="宋体"/>
          <w:spacing w:val="2"/>
          <w:sz w:val="20"/>
          <w:szCs w:val="20"/>
        </w:rPr>
        <w:t>附件</w:t>
      </w:r>
      <w:r>
        <w:rPr>
          <w:rFonts w:ascii="宋体" w:hAnsi="宋体" w:eastAsia="宋体" w:cs="宋体"/>
          <w:spacing w:val="-26"/>
          <w:sz w:val="20"/>
          <w:szCs w:val="20"/>
        </w:rPr>
        <w:t xml:space="preserve"> </w:t>
      </w:r>
      <w:r>
        <w:rPr>
          <w:rFonts w:ascii="Times New Roman" w:hAnsi="Times New Roman" w:eastAsia="Times New Roman" w:cs="Times New Roman"/>
          <w:spacing w:val="2"/>
          <w:sz w:val="20"/>
          <w:szCs w:val="20"/>
        </w:rPr>
        <w:t>8</w:t>
      </w:r>
      <w:r>
        <w:rPr>
          <w:rFonts w:ascii="Times New Roman" w:hAnsi="Times New Roman" w:eastAsia="Times New Roman" w:cs="Times New Roman"/>
          <w:spacing w:val="-25"/>
          <w:sz w:val="20"/>
          <w:szCs w:val="20"/>
        </w:rPr>
        <w:t xml:space="preserve"> </w:t>
      </w:r>
      <w:r>
        <w:rPr>
          <w:rFonts w:ascii="宋体" w:hAnsi="宋体" w:eastAsia="宋体" w:cs="宋体"/>
          <w:spacing w:val="2"/>
          <w:sz w:val="20"/>
          <w:szCs w:val="20"/>
        </w:rPr>
        <w:t>：履约担保格式</w:t>
      </w:r>
    </w:p>
    <w:p w14:paraId="74E03574">
      <w:pPr>
        <w:spacing w:before="153" w:line="227" w:lineRule="auto"/>
        <w:ind w:left="418"/>
        <w:rPr>
          <w:rFonts w:ascii="宋体" w:hAnsi="宋体" w:eastAsia="宋体" w:cs="宋体"/>
          <w:sz w:val="20"/>
          <w:szCs w:val="20"/>
        </w:rPr>
      </w:pPr>
      <w:r>
        <w:rPr>
          <w:rFonts w:ascii="宋体" w:hAnsi="宋体" w:eastAsia="宋体" w:cs="宋体"/>
          <w:spacing w:val="3"/>
          <w:sz w:val="20"/>
          <w:szCs w:val="20"/>
        </w:rPr>
        <w:t>附件</w:t>
      </w:r>
      <w:r>
        <w:rPr>
          <w:rFonts w:ascii="宋体" w:hAnsi="宋体" w:eastAsia="宋体" w:cs="宋体"/>
          <w:spacing w:val="-30"/>
          <w:sz w:val="20"/>
          <w:szCs w:val="20"/>
        </w:rPr>
        <w:t xml:space="preserve"> </w:t>
      </w:r>
      <w:r>
        <w:rPr>
          <w:rFonts w:ascii="Times New Roman" w:hAnsi="Times New Roman" w:eastAsia="Times New Roman" w:cs="Times New Roman"/>
          <w:spacing w:val="3"/>
          <w:sz w:val="20"/>
          <w:szCs w:val="20"/>
        </w:rPr>
        <w:t>9</w:t>
      </w:r>
      <w:r>
        <w:rPr>
          <w:rFonts w:ascii="Times New Roman" w:hAnsi="Times New Roman" w:eastAsia="Times New Roman" w:cs="Times New Roman"/>
          <w:spacing w:val="-25"/>
          <w:sz w:val="20"/>
          <w:szCs w:val="20"/>
        </w:rPr>
        <w:t xml:space="preserve"> </w:t>
      </w:r>
      <w:r>
        <w:rPr>
          <w:rFonts w:ascii="宋体" w:hAnsi="宋体" w:eastAsia="宋体" w:cs="宋体"/>
          <w:spacing w:val="3"/>
          <w:sz w:val="20"/>
          <w:szCs w:val="20"/>
        </w:rPr>
        <w:t>：预付款担保格式</w:t>
      </w:r>
    </w:p>
    <w:p w14:paraId="00B1AF4D">
      <w:pPr>
        <w:spacing w:before="155" w:line="227" w:lineRule="auto"/>
        <w:ind w:left="418"/>
        <w:rPr>
          <w:rFonts w:ascii="宋体" w:hAnsi="宋体" w:eastAsia="宋体" w:cs="宋体"/>
          <w:sz w:val="20"/>
          <w:szCs w:val="20"/>
        </w:rPr>
      </w:pPr>
      <w:r>
        <w:rPr>
          <w:rFonts w:ascii="宋体" w:hAnsi="宋体" w:eastAsia="宋体" w:cs="宋体"/>
          <w:spacing w:val="4"/>
          <w:sz w:val="20"/>
          <w:szCs w:val="20"/>
        </w:rPr>
        <w:t>附件</w:t>
      </w:r>
      <w:r>
        <w:rPr>
          <w:rFonts w:ascii="宋体" w:hAnsi="宋体" w:eastAsia="宋体" w:cs="宋体"/>
          <w:spacing w:val="-19"/>
          <w:sz w:val="20"/>
          <w:szCs w:val="20"/>
        </w:rPr>
        <w:t xml:space="preserve"> </w:t>
      </w:r>
      <w:r>
        <w:rPr>
          <w:rFonts w:ascii="Times New Roman" w:hAnsi="Times New Roman" w:eastAsia="Times New Roman" w:cs="Times New Roman"/>
          <w:spacing w:val="4"/>
          <w:sz w:val="20"/>
          <w:szCs w:val="20"/>
        </w:rPr>
        <w:t>10</w:t>
      </w:r>
      <w:r>
        <w:rPr>
          <w:rFonts w:ascii="宋体" w:hAnsi="宋体" w:eastAsia="宋体" w:cs="宋体"/>
          <w:spacing w:val="4"/>
          <w:sz w:val="20"/>
          <w:szCs w:val="20"/>
        </w:rPr>
        <w:t>：支付担保格式</w:t>
      </w:r>
    </w:p>
    <w:p w14:paraId="2753068B">
      <w:pPr>
        <w:spacing w:before="155" w:line="226" w:lineRule="auto"/>
        <w:ind w:left="418"/>
        <w:rPr>
          <w:rFonts w:ascii="宋体" w:hAnsi="宋体" w:eastAsia="宋体" w:cs="宋体"/>
          <w:sz w:val="20"/>
          <w:szCs w:val="20"/>
        </w:rPr>
      </w:pPr>
      <w:r>
        <w:rPr>
          <w:rFonts w:ascii="宋体" w:hAnsi="宋体" w:eastAsia="宋体" w:cs="宋体"/>
          <w:spacing w:val="3"/>
          <w:sz w:val="20"/>
          <w:szCs w:val="20"/>
        </w:rPr>
        <w:t>附件</w:t>
      </w:r>
      <w:r>
        <w:rPr>
          <w:rFonts w:ascii="宋体" w:hAnsi="宋体" w:eastAsia="宋体" w:cs="宋体"/>
          <w:spacing w:val="-16"/>
          <w:sz w:val="20"/>
          <w:szCs w:val="20"/>
        </w:rPr>
        <w:t xml:space="preserve"> </w:t>
      </w:r>
      <w:r>
        <w:rPr>
          <w:rFonts w:ascii="Times New Roman" w:hAnsi="Times New Roman" w:eastAsia="Times New Roman" w:cs="Times New Roman"/>
          <w:spacing w:val="3"/>
          <w:sz w:val="20"/>
          <w:szCs w:val="20"/>
        </w:rPr>
        <w:t>11</w:t>
      </w:r>
      <w:r>
        <w:rPr>
          <w:rFonts w:ascii="宋体" w:hAnsi="宋体" w:eastAsia="宋体" w:cs="宋体"/>
          <w:spacing w:val="3"/>
          <w:sz w:val="20"/>
          <w:szCs w:val="20"/>
        </w:rPr>
        <w:t>：暂估价一览表</w:t>
      </w:r>
    </w:p>
    <w:p w14:paraId="1AB77D6B">
      <w:pPr>
        <w:spacing w:line="226" w:lineRule="auto"/>
        <w:rPr>
          <w:rFonts w:ascii="宋体" w:hAnsi="宋体" w:eastAsia="宋体" w:cs="宋体"/>
          <w:sz w:val="20"/>
          <w:szCs w:val="20"/>
        </w:rPr>
        <w:sectPr>
          <w:footerReference r:id="rId316" w:type="default"/>
          <w:pgSz w:w="11906" w:h="16839"/>
          <w:pgMar w:top="400" w:right="1785" w:bottom="1038" w:left="1557" w:header="0" w:footer="787" w:gutter="0"/>
          <w:cols w:space="720" w:num="1"/>
        </w:sectPr>
      </w:pPr>
    </w:p>
    <w:p w14:paraId="61BE98E1">
      <w:pPr>
        <w:spacing w:line="273" w:lineRule="auto"/>
        <w:rPr>
          <w:rFonts w:ascii="Arial"/>
          <w:sz w:val="21"/>
        </w:rPr>
      </w:pPr>
    </w:p>
    <w:p w14:paraId="4F917EB2">
      <w:pPr>
        <w:spacing w:line="274" w:lineRule="auto"/>
        <w:rPr>
          <w:rFonts w:ascii="Arial"/>
          <w:sz w:val="21"/>
        </w:rPr>
      </w:pPr>
    </w:p>
    <w:p w14:paraId="0F72C527">
      <w:pPr>
        <w:spacing w:line="274" w:lineRule="auto"/>
        <w:rPr>
          <w:rFonts w:ascii="Arial"/>
          <w:sz w:val="21"/>
        </w:rPr>
      </w:pPr>
    </w:p>
    <w:p w14:paraId="42A63253">
      <w:pPr>
        <w:spacing w:line="274" w:lineRule="auto"/>
        <w:rPr>
          <w:rFonts w:ascii="Arial"/>
          <w:sz w:val="21"/>
        </w:rPr>
      </w:pPr>
    </w:p>
    <w:p w14:paraId="1F344C0F">
      <w:pPr>
        <w:spacing w:line="274" w:lineRule="auto"/>
        <w:rPr>
          <w:rFonts w:ascii="Arial"/>
          <w:sz w:val="21"/>
        </w:rPr>
      </w:pPr>
    </w:p>
    <w:p w14:paraId="1F4A4045">
      <w:pPr>
        <w:spacing w:before="78" w:line="219" w:lineRule="auto"/>
        <w:ind w:left="468"/>
        <w:rPr>
          <w:rFonts w:ascii="宋体" w:hAnsi="宋体" w:eastAsia="宋体" w:cs="宋体"/>
          <w:sz w:val="24"/>
          <w:szCs w:val="24"/>
        </w:rPr>
      </w:pPr>
      <w:r>
        <w:rPr>
          <w:rFonts w:ascii="宋体" w:hAnsi="宋体" w:eastAsia="宋体" w:cs="宋体"/>
          <w:spacing w:val="-14"/>
          <w:sz w:val="24"/>
          <w:szCs w:val="24"/>
        </w:rPr>
        <w:t>附件</w:t>
      </w:r>
      <w:r>
        <w:rPr>
          <w:rFonts w:ascii="宋体" w:hAnsi="宋体" w:eastAsia="宋体" w:cs="宋体"/>
          <w:spacing w:val="-33"/>
          <w:sz w:val="24"/>
          <w:szCs w:val="24"/>
        </w:rPr>
        <w:t xml:space="preserve"> </w:t>
      </w:r>
      <w:r>
        <w:rPr>
          <w:rFonts w:ascii="宋体" w:hAnsi="宋体" w:eastAsia="宋体" w:cs="宋体"/>
          <w:spacing w:val="-14"/>
          <w:sz w:val="24"/>
          <w:szCs w:val="24"/>
        </w:rPr>
        <w:t>1：</w:t>
      </w:r>
    </w:p>
    <w:p w14:paraId="181E8590">
      <w:pPr>
        <w:pStyle w:val="2"/>
        <w:spacing w:before="276" w:line="222" w:lineRule="auto"/>
        <w:ind w:left="5699"/>
        <w:rPr>
          <w:sz w:val="28"/>
          <w:szCs w:val="28"/>
        </w:rPr>
      </w:pPr>
      <w:r>
        <w:rPr>
          <w:spacing w:val="-1"/>
          <w:sz w:val="28"/>
          <w:szCs w:val="28"/>
        </w:rPr>
        <w:t>承包人承揽工程项目一览表</w:t>
      </w:r>
    </w:p>
    <w:p w14:paraId="7ED3E2F9">
      <w:pPr>
        <w:spacing w:line="148" w:lineRule="exact"/>
      </w:pPr>
    </w:p>
    <w:tbl>
      <w:tblPr>
        <w:tblStyle w:val="5"/>
        <w:tblW w:w="14604"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9"/>
        <w:gridCol w:w="1840"/>
        <w:gridCol w:w="1415"/>
        <w:gridCol w:w="2406"/>
        <w:gridCol w:w="848"/>
        <w:gridCol w:w="1557"/>
        <w:gridCol w:w="1981"/>
        <w:gridCol w:w="1415"/>
        <w:gridCol w:w="990"/>
        <w:gridCol w:w="863"/>
      </w:tblGrid>
      <w:tr w14:paraId="5A48A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1289" w:type="dxa"/>
            <w:tcBorders>
              <w:top w:val="single" w:color="000000" w:sz="10" w:space="0"/>
              <w:left w:val="single" w:color="000000" w:sz="10" w:space="0"/>
            </w:tcBorders>
            <w:vAlign w:val="top"/>
          </w:tcPr>
          <w:p w14:paraId="316B2FB4">
            <w:pPr>
              <w:pStyle w:val="6"/>
              <w:spacing w:before="178" w:line="228" w:lineRule="auto"/>
              <w:ind w:left="216"/>
            </w:pPr>
            <w:r>
              <w:rPr>
                <w:spacing w:val="6"/>
              </w:rPr>
              <w:t>单位工程</w:t>
            </w:r>
          </w:p>
          <w:p w14:paraId="1CA24570">
            <w:pPr>
              <w:pStyle w:val="6"/>
              <w:spacing w:before="191" w:line="230" w:lineRule="auto"/>
              <w:ind w:left="428"/>
            </w:pPr>
            <w:r>
              <w:rPr>
                <w:spacing w:val="3"/>
              </w:rPr>
              <w:t>名称</w:t>
            </w:r>
          </w:p>
        </w:tc>
        <w:tc>
          <w:tcPr>
            <w:tcW w:w="1840" w:type="dxa"/>
            <w:tcBorders>
              <w:top w:val="single" w:color="000000" w:sz="10" w:space="0"/>
            </w:tcBorders>
            <w:vAlign w:val="top"/>
          </w:tcPr>
          <w:p w14:paraId="4807688C">
            <w:pPr>
              <w:spacing w:line="331" w:lineRule="auto"/>
              <w:rPr>
                <w:rFonts w:ascii="Arial"/>
                <w:sz w:val="21"/>
              </w:rPr>
            </w:pPr>
          </w:p>
          <w:p w14:paraId="4394AA89">
            <w:pPr>
              <w:pStyle w:val="6"/>
              <w:spacing w:before="65" w:line="228" w:lineRule="auto"/>
              <w:ind w:left="496"/>
            </w:pPr>
            <w:r>
              <w:rPr>
                <w:spacing w:val="6"/>
              </w:rPr>
              <w:t>建设规模</w:t>
            </w:r>
          </w:p>
        </w:tc>
        <w:tc>
          <w:tcPr>
            <w:tcW w:w="1415" w:type="dxa"/>
            <w:tcBorders>
              <w:top w:val="single" w:color="000000" w:sz="10" w:space="0"/>
            </w:tcBorders>
            <w:vAlign w:val="top"/>
          </w:tcPr>
          <w:p w14:paraId="1FDDED3A">
            <w:pPr>
              <w:pStyle w:val="6"/>
              <w:spacing w:before="176" w:line="326" w:lineRule="auto"/>
              <w:ind w:left="190" w:right="202" w:firstLine="95"/>
            </w:pPr>
            <w:r>
              <w:rPr>
                <w:spacing w:val="6"/>
              </w:rPr>
              <w:t>建筑面积</w:t>
            </w:r>
            <w:r>
              <w:rPr>
                <w:spacing w:val="2"/>
              </w:rPr>
              <w:t>（平方米）</w:t>
            </w:r>
          </w:p>
        </w:tc>
        <w:tc>
          <w:tcPr>
            <w:tcW w:w="2406" w:type="dxa"/>
            <w:tcBorders>
              <w:top w:val="single" w:color="000000" w:sz="10" w:space="0"/>
            </w:tcBorders>
            <w:vAlign w:val="top"/>
          </w:tcPr>
          <w:p w14:paraId="63E4D52B">
            <w:pPr>
              <w:spacing w:line="331" w:lineRule="auto"/>
              <w:rPr>
                <w:rFonts w:ascii="Arial"/>
                <w:sz w:val="21"/>
              </w:rPr>
            </w:pPr>
          </w:p>
          <w:p w14:paraId="4D8726C8">
            <w:pPr>
              <w:pStyle w:val="6"/>
              <w:spacing w:before="65" w:line="228" w:lineRule="auto"/>
              <w:ind w:left="788"/>
            </w:pPr>
            <w:r>
              <w:rPr>
                <w:spacing w:val="6"/>
              </w:rPr>
              <w:t>结构形式</w:t>
            </w:r>
          </w:p>
        </w:tc>
        <w:tc>
          <w:tcPr>
            <w:tcW w:w="848" w:type="dxa"/>
            <w:tcBorders>
              <w:top w:val="single" w:color="000000" w:sz="10" w:space="0"/>
            </w:tcBorders>
            <w:vAlign w:val="top"/>
          </w:tcPr>
          <w:p w14:paraId="7A564638">
            <w:pPr>
              <w:spacing w:line="331" w:lineRule="auto"/>
              <w:rPr>
                <w:rFonts w:ascii="Arial"/>
                <w:sz w:val="21"/>
              </w:rPr>
            </w:pPr>
          </w:p>
          <w:p w14:paraId="097C6CEC">
            <w:pPr>
              <w:pStyle w:val="6"/>
              <w:spacing w:before="65" w:line="228" w:lineRule="auto"/>
              <w:ind w:left="215"/>
            </w:pPr>
            <w:r>
              <w:rPr>
                <w:spacing w:val="4"/>
              </w:rPr>
              <w:t>层数</w:t>
            </w:r>
          </w:p>
        </w:tc>
        <w:tc>
          <w:tcPr>
            <w:tcW w:w="1557" w:type="dxa"/>
            <w:tcBorders>
              <w:top w:val="single" w:color="000000" w:sz="10" w:space="0"/>
            </w:tcBorders>
            <w:vAlign w:val="top"/>
          </w:tcPr>
          <w:p w14:paraId="031A27BC">
            <w:pPr>
              <w:spacing w:line="331" w:lineRule="auto"/>
              <w:rPr>
                <w:rFonts w:ascii="Arial"/>
                <w:sz w:val="21"/>
              </w:rPr>
            </w:pPr>
          </w:p>
          <w:p w14:paraId="7A9024F3">
            <w:pPr>
              <w:pStyle w:val="6"/>
              <w:spacing w:before="65" w:line="228" w:lineRule="auto"/>
              <w:ind w:left="365"/>
            </w:pPr>
            <w:r>
              <w:rPr>
                <w:spacing w:val="6"/>
              </w:rPr>
              <w:t>生产能力</w:t>
            </w:r>
          </w:p>
        </w:tc>
        <w:tc>
          <w:tcPr>
            <w:tcW w:w="1981" w:type="dxa"/>
            <w:tcBorders>
              <w:top w:val="single" w:color="000000" w:sz="10" w:space="0"/>
            </w:tcBorders>
            <w:vAlign w:val="top"/>
          </w:tcPr>
          <w:p w14:paraId="153FE40E">
            <w:pPr>
              <w:spacing w:line="331" w:lineRule="auto"/>
              <w:rPr>
                <w:rFonts w:ascii="Arial"/>
                <w:sz w:val="21"/>
              </w:rPr>
            </w:pPr>
          </w:p>
          <w:p w14:paraId="32A6BDF8">
            <w:pPr>
              <w:pStyle w:val="6"/>
              <w:spacing w:before="65" w:line="228" w:lineRule="auto"/>
              <w:ind w:left="372"/>
            </w:pPr>
            <w:r>
              <w:rPr>
                <w:spacing w:val="7"/>
              </w:rPr>
              <w:t>设备安装内容</w:t>
            </w:r>
          </w:p>
        </w:tc>
        <w:tc>
          <w:tcPr>
            <w:tcW w:w="1415" w:type="dxa"/>
            <w:tcBorders>
              <w:top w:val="single" w:color="000000" w:sz="10" w:space="0"/>
            </w:tcBorders>
            <w:vAlign w:val="top"/>
          </w:tcPr>
          <w:p w14:paraId="0561F509">
            <w:pPr>
              <w:pStyle w:val="6"/>
              <w:spacing w:before="176" w:line="326" w:lineRule="auto"/>
              <w:ind w:left="413" w:right="276" w:hanging="114"/>
            </w:pPr>
            <w:r>
              <w:rPr>
                <w:spacing w:val="7"/>
              </w:rPr>
              <w:t>合同价格</w:t>
            </w:r>
            <w:r>
              <w:rPr>
                <w:spacing w:val="-1"/>
              </w:rPr>
              <w:t>（元）</w:t>
            </w:r>
          </w:p>
        </w:tc>
        <w:tc>
          <w:tcPr>
            <w:tcW w:w="990" w:type="dxa"/>
            <w:tcBorders>
              <w:top w:val="single" w:color="000000" w:sz="10" w:space="0"/>
            </w:tcBorders>
            <w:vAlign w:val="top"/>
          </w:tcPr>
          <w:p w14:paraId="3E91D0B7">
            <w:pPr>
              <w:pStyle w:val="6"/>
              <w:spacing w:before="177" w:line="229" w:lineRule="auto"/>
              <w:ind w:left="300"/>
            </w:pPr>
            <w:r>
              <w:rPr>
                <w:spacing w:val="4"/>
              </w:rPr>
              <w:t>开工</w:t>
            </w:r>
          </w:p>
          <w:p w14:paraId="4AD45475">
            <w:pPr>
              <w:pStyle w:val="6"/>
              <w:spacing w:before="191" w:line="228" w:lineRule="auto"/>
              <w:ind w:left="335"/>
            </w:pPr>
            <w:r>
              <w:rPr>
                <w:spacing w:val="-14"/>
              </w:rPr>
              <w:t>日期</w:t>
            </w:r>
          </w:p>
        </w:tc>
        <w:tc>
          <w:tcPr>
            <w:tcW w:w="863" w:type="dxa"/>
            <w:tcBorders>
              <w:top w:val="single" w:color="000000" w:sz="10" w:space="0"/>
              <w:right w:val="single" w:color="000000" w:sz="10" w:space="0"/>
            </w:tcBorders>
            <w:vAlign w:val="top"/>
          </w:tcPr>
          <w:p w14:paraId="601169D7">
            <w:pPr>
              <w:pStyle w:val="6"/>
              <w:spacing w:before="177" w:line="228" w:lineRule="auto"/>
              <w:ind w:left="229"/>
            </w:pPr>
            <w:r>
              <w:rPr>
                <w:spacing w:val="4"/>
              </w:rPr>
              <w:t>竣工</w:t>
            </w:r>
          </w:p>
          <w:p w14:paraId="1CB9F8BC">
            <w:pPr>
              <w:pStyle w:val="6"/>
              <w:spacing w:before="193" w:line="228" w:lineRule="auto"/>
              <w:ind w:left="264"/>
            </w:pPr>
            <w:r>
              <w:rPr>
                <w:spacing w:val="-14"/>
              </w:rPr>
              <w:t>日期</w:t>
            </w:r>
          </w:p>
        </w:tc>
      </w:tr>
      <w:tr w14:paraId="3E1F3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289" w:type="dxa"/>
            <w:tcBorders>
              <w:left w:val="single" w:color="000000" w:sz="10" w:space="0"/>
            </w:tcBorders>
            <w:vAlign w:val="top"/>
          </w:tcPr>
          <w:p w14:paraId="7161E989">
            <w:pPr>
              <w:rPr>
                <w:rFonts w:ascii="Arial"/>
                <w:sz w:val="21"/>
              </w:rPr>
            </w:pPr>
          </w:p>
        </w:tc>
        <w:tc>
          <w:tcPr>
            <w:tcW w:w="1840" w:type="dxa"/>
            <w:vAlign w:val="top"/>
          </w:tcPr>
          <w:p w14:paraId="7BC61FAD">
            <w:pPr>
              <w:rPr>
                <w:rFonts w:ascii="Arial"/>
                <w:sz w:val="21"/>
              </w:rPr>
            </w:pPr>
          </w:p>
        </w:tc>
        <w:tc>
          <w:tcPr>
            <w:tcW w:w="1415" w:type="dxa"/>
            <w:vAlign w:val="top"/>
          </w:tcPr>
          <w:p w14:paraId="793A92C9">
            <w:pPr>
              <w:rPr>
                <w:rFonts w:ascii="Arial"/>
                <w:sz w:val="21"/>
              </w:rPr>
            </w:pPr>
          </w:p>
        </w:tc>
        <w:tc>
          <w:tcPr>
            <w:tcW w:w="2406" w:type="dxa"/>
            <w:vAlign w:val="top"/>
          </w:tcPr>
          <w:p w14:paraId="4E25EDF4">
            <w:pPr>
              <w:rPr>
                <w:rFonts w:ascii="Arial"/>
                <w:sz w:val="21"/>
              </w:rPr>
            </w:pPr>
          </w:p>
        </w:tc>
        <w:tc>
          <w:tcPr>
            <w:tcW w:w="848" w:type="dxa"/>
            <w:vAlign w:val="top"/>
          </w:tcPr>
          <w:p w14:paraId="31EC5696">
            <w:pPr>
              <w:rPr>
                <w:rFonts w:ascii="Arial"/>
                <w:sz w:val="21"/>
              </w:rPr>
            </w:pPr>
          </w:p>
        </w:tc>
        <w:tc>
          <w:tcPr>
            <w:tcW w:w="1557" w:type="dxa"/>
            <w:vAlign w:val="top"/>
          </w:tcPr>
          <w:p w14:paraId="05617808">
            <w:pPr>
              <w:rPr>
                <w:rFonts w:ascii="Arial"/>
                <w:sz w:val="21"/>
              </w:rPr>
            </w:pPr>
          </w:p>
        </w:tc>
        <w:tc>
          <w:tcPr>
            <w:tcW w:w="1981" w:type="dxa"/>
            <w:vAlign w:val="top"/>
          </w:tcPr>
          <w:p w14:paraId="5B3DFD1C">
            <w:pPr>
              <w:rPr>
                <w:rFonts w:ascii="Arial"/>
                <w:sz w:val="21"/>
              </w:rPr>
            </w:pPr>
          </w:p>
        </w:tc>
        <w:tc>
          <w:tcPr>
            <w:tcW w:w="1415" w:type="dxa"/>
            <w:vAlign w:val="top"/>
          </w:tcPr>
          <w:p w14:paraId="1E2488F1">
            <w:pPr>
              <w:rPr>
                <w:rFonts w:ascii="Arial"/>
                <w:sz w:val="21"/>
              </w:rPr>
            </w:pPr>
          </w:p>
        </w:tc>
        <w:tc>
          <w:tcPr>
            <w:tcW w:w="990" w:type="dxa"/>
            <w:vAlign w:val="top"/>
          </w:tcPr>
          <w:p w14:paraId="2A83683D">
            <w:pPr>
              <w:rPr>
                <w:rFonts w:ascii="Arial"/>
                <w:sz w:val="21"/>
              </w:rPr>
            </w:pPr>
          </w:p>
        </w:tc>
        <w:tc>
          <w:tcPr>
            <w:tcW w:w="863" w:type="dxa"/>
            <w:tcBorders>
              <w:right w:val="single" w:color="000000" w:sz="10" w:space="0"/>
            </w:tcBorders>
            <w:vAlign w:val="top"/>
          </w:tcPr>
          <w:p w14:paraId="4D81E86E">
            <w:pPr>
              <w:rPr>
                <w:rFonts w:ascii="Arial"/>
                <w:sz w:val="21"/>
              </w:rPr>
            </w:pPr>
          </w:p>
        </w:tc>
      </w:tr>
      <w:tr w14:paraId="53B27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4B814D33">
            <w:pPr>
              <w:rPr>
                <w:rFonts w:ascii="Arial"/>
                <w:sz w:val="21"/>
              </w:rPr>
            </w:pPr>
          </w:p>
        </w:tc>
        <w:tc>
          <w:tcPr>
            <w:tcW w:w="1840" w:type="dxa"/>
            <w:vAlign w:val="top"/>
          </w:tcPr>
          <w:p w14:paraId="5F8B3D77">
            <w:pPr>
              <w:rPr>
                <w:rFonts w:ascii="Arial"/>
                <w:sz w:val="21"/>
              </w:rPr>
            </w:pPr>
          </w:p>
        </w:tc>
        <w:tc>
          <w:tcPr>
            <w:tcW w:w="1415" w:type="dxa"/>
            <w:vAlign w:val="top"/>
          </w:tcPr>
          <w:p w14:paraId="035CE8A0">
            <w:pPr>
              <w:rPr>
                <w:rFonts w:ascii="Arial"/>
                <w:sz w:val="21"/>
              </w:rPr>
            </w:pPr>
          </w:p>
        </w:tc>
        <w:tc>
          <w:tcPr>
            <w:tcW w:w="2406" w:type="dxa"/>
            <w:vAlign w:val="top"/>
          </w:tcPr>
          <w:p w14:paraId="4617BC1B">
            <w:pPr>
              <w:rPr>
                <w:rFonts w:ascii="Arial"/>
                <w:sz w:val="21"/>
              </w:rPr>
            </w:pPr>
          </w:p>
        </w:tc>
        <w:tc>
          <w:tcPr>
            <w:tcW w:w="848" w:type="dxa"/>
            <w:vAlign w:val="top"/>
          </w:tcPr>
          <w:p w14:paraId="01B9058B">
            <w:pPr>
              <w:rPr>
                <w:rFonts w:ascii="Arial"/>
                <w:sz w:val="21"/>
              </w:rPr>
            </w:pPr>
          </w:p>
        </w:tc>
        <w:tc>
          <w:tcPr>
            <w:tcW w:w="1557" w:type="dxa"/>
            <w:vAlign w:val="top"/>
          </w:tcPr>
          <w:p w14:paraId="408B2365">
            <w:pPr>
              <w:rPr>
                <w:rFonts w:ascii="Arial"/>
                <w:sz w:val="21"/>
              </w:rPr>
            </w:pPr>
          </w:p>
        </w:tc>
        <w:tc>
          <w:tcPr>
            <w:tcW w:w="1981" w:type="dxa"/>
            <w:vAlign w:val="top"/>
          </w:tcPr>
          <w:p w14:paraId="698A9F4E">
            <w:pPr>
              <w:rPr>
                <w:rFonts w:ascii="Arial"/>
                <w:sz w:val="21"/>
              </w:rPr>
            </w:pPr>
          </w:p>
        </w:tc>
        <w:tc>
          <w:tcPr>
            <w:tcW w:w="1415" w:type="dxa"/>
            <w:vAlign w:val="top"/>
          </w:tcPr>
          <w:p w14:paraId="2B812D5A">
            <w:pPr>
              <w:rPr>
                <w:rFonts w:ascii="Arial"/>
                <w:sz w:val="21"/>
              </w:rPr>
            </w:pPr>
          </w:p>
        </w:tc>
        <w:tc>
          <w:tcPr>
            <w:tcW w:w="990" w:type="dxa"/>
            <w:vAlign w:val="top"/>
          </w:tcPr>
          <w:p w14:paraId="56433414">
            <w:pPr>
              <w:rPr>
                <w:rFonts w:ascii="Arial"/>
                <w:sz w:val="21"/>
              </w:rPr>
            </w:pPr>
          </w:p>
        </w:tc>
        <w:tc>
          <w:tcPr>
            <w:tcW w:w="863" w:type="dxa"/>
            <w:tcBorders>
              <w:right w:val="single" w:color="000000" w:sz="10" w:space="0"/>
            </w:tcBorders>
            <w:vAlign w:val="top"/>
          </w:tcPr>
          <w:p w14:paraId="35E02FA1">
            <w:pPr>
              <w:rPr>
                <w:rFonts w:ascii="Arial"/>
                <w:sz w:val="21"/>
              </w:rPr>
            </w:pPr>
          </w:p>
        </w:tc>
      </w:tr>
      <w:tr w14:paraId="4A6D0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451E625C">
            <w:pPr>
              <w:rPr>
                <w:rFonts w:ascii="Arial"/>
                <w:sz w:val="21"/>
              </w:rPr>
            </w:pPr>
          </w:p>
        </w:tc>
        <w:tc>
          <w:tcPr>
            <w:tcW w:w="1840" w:type="dxa"/>
            <w:vAlign w:val="top"/>
          </w:tcPr>
          <w:p w14:paraId="1448CE26">
            <w:pPr>
              <w:rPr>
                <w:rFonts w:ascii="Arial"/>
                <w:sz w:val="21"/>
              </w:rPr>
            </w:pPr>
          </w:p>
        </w:tc>
        <w:tc>
          <w:tcPr>
            <w:tcW w:w="1415" w:type="dxa"/>
            <w:vAlign w:val="top"/>
          </w:tcPr>
          <w:p w14:paraId="0640AF66">
            <w:pPr>
              <w:rPr>
                <w:rFonts w:ascii="Arial"/>
                <w:sz w:val="21"/>
              </w:rPr>
            </w:pPr>
          </w:p>
        </w:tc>
        <w:tc>
          <w:tcPr>
            <w:tcW w:w="2406" w:type="dxa"/>
            <w:vAlign w:val="top"/>
          </w:tcPr>
          <w:p w14:paraId="3B07442E">
            <w:pPr>
              <w:rPr>
                <w:rFonts w:ascii="Arial"/>
                <w:sz w:val="21"/>
              </w:rPr>
            </w:pPr>
          </w:p>
        </w:tc>
        <w:tc>
          <w:tcPr>
            <w:tcW w:w="848" w:type="dxa"/>
            <w:vAlign w:val="top"/>
          </w:tcPr>
          <w:p w14:paraId="5D47DE7A">
            <w:pPr>
              <w:rPr>
                <w:rFonts w:ascii="Arial"/>
                <w:sz w:val="21"/>
              </w:rPr>
            </w:pPr>
          </w:p>
        </w:tc>
        <w:tc>
          <w:tcPr>
            <w:tcW w:w="1557" w:type="dxa"/>
            <w:vAlign w:val="top"/>
          </w:tcPr>
          <w:p w14:paraId="04A28E63">
            <w:pPr>
              <w:rPr>
                <w:rFonts w:ascii="Arial"/>
                <w:sz w:val="21"/>
              </w:rPr>
            </w:pPr>
          </w:p>
        </w:tc>
        <w:tc>
          <w:tcPr>
            <w:tcW w:w="1981" w:type="dxa"/>
            <w:vAlign w:val="top"/>
          </w:tcPr>
          <w:p w14:paraId="3219A275">
            <w:pPr>
              <w:rPr>
                <w:rFonts w:ascii="Arial"/>
                <w:sz w:val="21"/>
              </w:rPr>
            </w:pPr>
          </w:p>
        </w:tc>
        <w:tc>
          <w:tcPr>
            <w:tcW w:w="1415" w:type="dxa"/>
            <w:vAlign w:val="top"/>
          </w:tcPr>
          <w:p w14:paraId="45F992FD">
            <w:pPr>
              <w:rPr>
                <w:rFonts w:ascii="Arial"/>
                <w:sz w:val="21"/>
              </w:rPr>
            </w:pPr>
          </w:p>
        </w:tc>
        <w:tc>
          <w:tcPr>
            <w:tcW w:w="990" w:type="dxa"/>
            <w:vAlign w:val="top"/>
          </w:tcPr>
          <w:p w14:paraId="427C29E7">
            <w:pPr>
              <w:rPr>
                <w:rFonts w:ascii="Arial"/>
                <w:sz w:val="21"/>
              </w:rPr>
            </w:pPr>
          </w:p>
        </w:tc>
        <w:tc>
          <w:tcPr>
            <w:tcW w:w="863" w:type="dxa"/>
            <w:tcBorders>
              <w:right w:val="single" w:color="000000" w:sz="10" w:space="0"/>
            </w:tcBorders>
            <w:vAlign w:val="top"/>
          </w:tcPr>
          <w:p w14:paraId="21D2CCEC">
            <w:pPr>
              <w:rPr>
                <w:rFonts w:ascii="Arial"/>
                <w:sz w:val="21"/>
              </w:rPr>
            </w:pPr>
          </w:p>
        </w:tc>
      </w:tr>
      <w:tr w14:paraId="57E52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69374E21">
            <w:pPr>
              <w:rPr>
                <w:rFonts w:ascii="Arial"/>
                <w:sz w:val="21"/>
              </w:rPr>
            </w:pPr>
          </w:p>
        </w:tc>
        <w:tc>
          <w:tcPr>
            <w:tcW w:w="1840" w:type="dxa"/>
            <w:vAlign w:val="top"/>
          </w:tcPr>
          <w:p w14:paraId="49FFAB2B">
            <w:pPr>
              <w:rPr>
                <w:rFonts w:ascii="Arial"/>
                <w:sz w:val="21"/>
              </w:rPr>
            </w:pPr>
          </w:p>
        </w:tc>
        <w:tc>
          <w:tcPr>
            <w:tcW w:w="1415" w:type="dxa"/>
            <w:vAlign w:val="top"/>
          </w:tcPr>
          <w:p w14:paraId="44DEA69E">
            <w:pPr>
              <w:rPr>
                <w:rFonts w:ascii="Arial"/>
                <w:sz w:val="21"/>
              </w:rPr>
            </w:pPr>
          </w:p>
        </w:tc>
        <w:tc>
          <w:tcPr>
            <w:tcW w:w="2406" w:type="dxa"/>
            <w:vAlign w:val="top"/>
          </w:tcPr>
          <w:p w14:paraId="6E5BA2FA">
            <w:pPr>
              <w:rPr>
                <w:rFonts w:ascii="Arial"/>
                <w:sz w:val="21"/>
              </w:rPr>
            </w:pPr>
          </w:p>
        </w:tc>
        <w:tc>
          <w:tcPr>
            <w:tcW w:w="848" w:type="dxa"/>
            <w:vAlign w:val="top"/>
          </w:tcPr>
          <w:p w14:paraId="02C1FD20">
            <w:pPr>
              <w:rPr>
                <w:rFonts w:ascii="Arial"/>
                <w:sz w:val="21"/>
              </w:rPr>
            </w:pPr>
          </w:p>
        </w:tc>
        <w:tc>
          <w:tcPr>
            <w:tcW w:w="1557" w:type="dxa"/>
            <w:vAlign w:val="top"/>
          </w:tcPr>
          <w:p w14:paraId="2E24DED4">
            <w:pPr>
              <w:rPr>
                <w:rFonts w:ascii="Arial"/>
                <w:sz w:val="21"/>
              </w:rPr>
            </w:pPr>
          </w:p>
        </w:tc>
        <w:tc>
          <w:tcPr>
            <w:tcW w:w="1981" w:type="dxa"/>
            <w:vAlign w:val="top"/>
          </w:tcPr>
          <w:p w14:paraId="08FB8278">
            <w:pPr>
              <w:rPr>
                <w:rFonts w:ascii="Arial"/>
                <w:sz w:val="21"/>
              </w:rPr>
            </w:pPr>
          </w:p>
        </w:tc>
        <w:tc>
          <w:tcPr>
            <w:tcW w:w="1415" w:type="dxa"/>
            <w:vAlign w:val="top"/>
          </w:tcPr>
          <w:p w14:paraId="454DECD5">
            <w:pPr>
              <w:rPr>
                <w:rFonts w:ascii="Arial"/>
                <w:sz w:val="21"/>
              </w:rPr>
            </w:pPr>
          </w:p>
        </w:tc>
        <w:tc>
          <w:tcPr>
            <w:tcW w:w="990" w:type="dxa"/>
            <w:vAlign w:val="top"/>
          </w:tcPr>
          <w:p w14:paraId="7275B5D4">
            <w:pPr>
              <w:rPr>
                <w:rFonts w:ascii="Arial"/>
                <w:sz w:val="21"/>
              </w:rPr>
            </w:pPr>
          </w:p>
        </w:tc>
        <w:tc>
          <w:tcPr>
            <w:tcW w:w="863" w:type="dxa"/>
            <w:tcBorders>
              <w:right w:val="single" w:color="000000" w:sz="10" w:space="0"/>
            </w:tcBorders>
            <w:vAlign w:val="top"/>
          </w:tcPr>
          <w:p w14:paraId="5F1EDF0E">
            <w:pPr>
              <w:rPr>
                <w:rFonts w:ascii="Arial"/>
                <w:sz w:val="21"/>
              </w:rPr>
            </w:pPr>
          </w:p>
        </w:tc>
      </w:tr>
      <w:tr w14:paraId="33A49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19FE8142">
            <w:pPr>
              <w:rPr>
                <w:rFonts w:ascii="Arial"/>
                <w:sz w:val="21"/>
              </w:rPr>
            </w:pPr>
          </w:p>
        </w:tc>
        <w:tc>
          <w:tcPr>
            <w:tcW w:w="1840" w:type="dxa"/>
            <w:vAlign w:val="top"/>
          </w:tcPr>
          <w:p w14:paraId="076C6B6B">
            <w:pPr>
              <w:rPr>
                <w:rFonts w:ascii="Arial"/>
                <w:sz w:val="21"/>
              </w:rPr>
            </w:pPr>
          </w:p>
        </w:tc>
        <w:tc>
          <w:tcPr>
            <w:tcW w:w="1415" w:type="dxa"/>
            <w:vAlign w:val="top"/>
          </w:tcPr>
          <w:p w14:paraId="7D1E0C49">
            <w:pPr>
              <w:rPr>
                <w:rFonts w:ascii="Arial"/>
                <w:sz w:val="21"/>
              </w:rPr>
            </w:pPr>
          </w:p>
        </w:tc>
        <w:tc>
          <w:tcPr>
            <w:tcW w:w="2406" w:type="dxa"/>
            <w:vAlign w:val="top"/>
          </w:tcPr>
          <w:p w14:paraId="6311072B">
            <w:pPr>
              <w:rPr>
                <w:rFonts w:ascii="Arial"/>
                <w:sz w:val="21"/>
              </w:rPr>
            </w:pPr>
          </w:p>
        </w:tc>
        <w:tc>
          <w:tcPr>
            <w:tcW w:w="848" w:type="dxa"/>
            <w:vAlign w:val="top"/>
          </w:tcPr>
          <w:p w14:paraId="7B18CE78">
            <w:pPr>
              <w:rPr>
                <w:rFonts w:ascii="Arial"/>
                <w:sz w:val="21"/>
              </w:rPr>
            </w:pPr>
          </w:p>
        </w:tc>
        <w:tc>
          <w:tcPr>
            <w:tcW w:w="1557" w:type="dxa"/>
            <w:vAlign w:val="top"/>
          </w:tcPr>
          <w:p w14:paraId="7CEAA2B0">
            <w:pPr>
              <w:rPr>
                <w:rFonts w:ascii="Arial"/>
                <w:sz w:val="21"/>
              </w:rPr>
            </w:pPr>
          </w:p>
        </w:tc>
        <w:tc>
          <w:tcPr>
            <w:tcW w:w="1981" w:type="dxa"/>
            <w:vAlign w:val="top"/>
          </w:tcPr>
          <w:p w14:paraId="6DAA547D">
            <w:pPr>
              <w:rPr>
                <w:rFonts w:ascii="Arial"/>
                <w:sz w:val="21"/>
              </w:rPr>
            </w:pPr>
          </w:p>
        </w:tc>
        <w:tc>
          <w:tcPr>
            <w:tcW w:w="1415" w:type="dxa"/>
            <w:vAlign w:val="top"/>
          </w:tcPr>
          <w:p w14:paraId="611DB772">
            <w:pPr>
              <w:rPr>
                <w:rFonts w:ascii="Arial"/>
                <w:sz w:val="21"/>
              </w:rPr>
            </w:pPr>
          </w:p>
        </w:tc>
        <w:tc>
          <w:tcPr>
            <w:tcW w:w="990" w:type="dxa"/>
            <w:vAlign w:val="top"/>
          </w:tcPr>
          <w:p w14:paraId="0786839B">
            <w:pPr>
              <w:rPr>
                <w:rFonts w:ascii="Arial"/>
                <w:sz w:val="21"/>
              </w:rPr>
            </w:pPr>
          </w:p>
        </w:tc>
        <w:tc>
          <w:tcPr>
            <w:tcW w:w="863" w:type="dxa"/>
            <w:tcBorders>
              <w:right w:val="single" w:color="000000" w:sz="10" w:space="0"/>
            </w:tcBorders>
            <w:vAlign w:val="top"/>
          </w:tcPr>
          <w:p w14:paraId="45D1A36B">
            <w:pPr>
              <w:rPr>
                <w:rFonts w:ascii="Arial"/>
                <w:sz w:val="21"/>
              </w:rPr>
            </w:pPr>
          </w:p>
        </w:tc>
      </w:tr>
      <w:tr w14:paraId="6922F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11DA2857">
            <w:pPr>
              <w:rPr>
                <w:rFonts w:ascii="Arial"/>
                <w:sz w:val="21"/>
              </w:rPr>
            </w:pPr>
          </w:p>
        </w:tc>
        <w:tc>
          <w:tcPr>
            <w:tcW w:w="1840" w:type="dxa"/>
            <w:vAlign w:val="top"/>
          </w:tcPr>
          <w:p w14:paraId="5DA8FEBD">
            <w:pPr>
              <w:rPr>
                <w:rFonts w:ascii="Arial"/>
                <w:sz w:val="21"/>
              </w:rPr>
            </w:pPr>
          </w:p>
        </w:tc>
        <w:tc>
          <w:tcPr>
            <w:tcW w:w="1415" w:type="dxa"/>
            <w:vAlign w:val="top"/>
          </w:tcPr>
          <w:p w14:paraId="10962148">
            <w:pPr>
              <w:rPr>
                <w:rFonts w:ascii="Arial"/>
                <w:sz w:val="21"/>
              </w:rPr>
            </w:pPr>
          </w:p>
        </w:tc>
        <w:tc>
          <w:tcPr>
            <w:tcW w:w="2406" w:type="dxa"/>
            <w:vAlign w:val="top"/>
          </w:tcPr>
          <w:p w14:paraId="4771A7D6">
            <w:pPr>
              <w:rPr>
                <w:rFonts w:ascii="Arial"/>
                <w:sz w:val="21"/>
              </w:rPr>
            </w:pPr>
          </w:p>
        </w:tc>
        <w:tc>
          <w:tcPr>
            <w:tcW w:w="848" w:type="dxa"/>
            <w:vAlign w:val="top"/>
          </w:tcPr>
          <w:p w14:paraId="1838E78E">
            <w:pPr>
              <w:rPr>
                <w:rFonts w:ascii="Arial"/>
                <w:sz w:val="21"/>
              </w:rPr>
            </w:pPr>
          </w:p>
        </w:tc>
        <w:tc>
          <w:tcPr>
            <w:tcW w:w="1557" w:type="dxa"/>
            <w:vAlign w:val="top"/>
          </w:tcPr>
          <w:p w14:paraId="3CF81E92">
            <w:pPr>
              <w:rPr>
                <w:rFonts w:ascii="Arial"/>
                <w:sz w:val="21"/>
              </w:rPr>
            </w:pPr>
          </w:p>
        </w:tc>
        <w:tc>
          <w:tcPr>
            <w:tcW w:w="1981" w:type="dxa"/>
            <w:vAlign w:val="top"/>
          </w:tcPr>
          <w:p w14:paraId="416711BF">
            <w:pPr>
              <w:rPr>
                <w:rFonts w:ascii="Arial"/>
                <w:sz w:val="21"/>
              </w:rPr>
            </w:pPr>
          </w:p>
        </w:tc>
        <w:tc>
          <w:tcPr>
            <w:tcW w:w="1415" w:type="dxa"/>
            <w:vAlign w:val="top"/>
          </w:tcPr>
          <w:p w14:paraId="0921BA5E">
            <w:pPr>
              <w:rPr>
                <w:rFonts w:ascii="Arial"/>
                <w:sz w:val="21"/>
              </w:rPr>
            </w:pPr>
          </w:p>
        </w:tc>
        <w:tc>
          <w:tcPr>
            <w:tcW w:w="990" w:type="dxa"/>
            <w:vAlign w:val="top"/>
          </w:tcPr>
          <w:p w14:paraId="07BD675D">
            <w:pPr>
              <w:rPr>
                <w:rFonts w:ascii="Arial"/>
                <w:sz w:val="21"/>
              </w:rPr>
            </w:pPr>
          </w:p>
        </w:tc>
        <w:tc>
          <w:tcPr>
            <w:tcW w:w="863" w:type="dxa"/>
            <w:tcBorders>
              <w:right w:val="single" w:color="000000" w:sz="10" w:space="0"/>
            </w:tcBorders>
            <w:vAlign w:val="top"/>
          </w:tcPr>
          <w:p w14:paraId="3E1518D6">
            <w:pPr>
              <w:rPr>
                <w:rFonts w:ascii="Arial"/>
                <w:sz w:val="21"/>
              </w:rPr>
            </w:pPr>
          </w:p>
        </w:tc>
      </w:tr>
      <w:tr w14:paraId="64457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3A258521">
            <w:pPr>
              <w:rPr>
                <w:rFonts w:ascii="Arial"/>
                <w:sz w:val="21"/>
              </w:rPr>
            </w:pPr>
          </w:p>
        </w:tc>
        <w:tc>
          <w:tcPr>
            <w:tcW w:w="1840" w:type="dxa"/>
            <w:vAlign w:val="top"/>
          </w:tcPr>
          <w:p w14:paraId="55CA0DF5">
            <w:pPr>
              <w:rPr>
                <w:rFonts w:ascii="Arial"/>
                <w:sz w:val="21"/>
              </w:rPr>
            </w:pPr>
          </w:p>
        </w:tc>
        <w:tc>
          <w:tcPr>
            <w:tcW w:w="1415" w:type="dxa"/>
            <w:vAlign w:val="top"/>
          </w:tcPr>
          <w:p w14:paraId="353CFCB4">
            <w:pPr>
              <w:rPr>
                <w:rFonts w:ascii="Arial"/>
                <w:sz w:val="21"/>
              </w:rPr>
            </w:pPr>
          </w:p>
        </w:tc>
        <w:tc>
          <w:tcPr>
            <w:tcW w:w="2406" w:type="dxa"/>
            <w:vAlign w:val="top"/>
          </w:tcPr>
          <w:p w14:paraId="6857C8F4">
            <w:pPr>
              <w:rPr>
                <w:rFonts w:ascii="Arial"/>
                <w:sz w:val="21"/>
              </w:rPr>
            </w:pPr>
          </w:p>
        </w:tc>
        <w:tc>
          <w:tcPr>
            <w:tcW w:w="848" w:type="dxa"/>
            <w:vAlign w:val="top"/>
          </w:tcPr>
          <w:p w14:paraId="78AC285C">
            <w:pPr>
              <w:rPr>
                <w:rFonts w:ascii="Arial"/>
                <w:sz w:val="21"/>
              </w:rPr>
            </w:pPr>
          </w:p>
        </w:tc>
        <w:tc>
          <w:tcPr>
            <w:tcW w:w="1557" w:type="dxa"/>
            <w:vAlign w:val="top"/>
          </w:tcPr>
          <w:p w14:paraId="26DAA64E">
            <w:pPr>
              <w:rPr>
                <w:rFonts w:ascii="Arial"/>
                <w:sz w:val="21"/>
              </w:rPr>
            </w:pPr>
          </w:p>
        </w:tc>
        <w:tc>
          <w:tcPr>
            <w:tcW w:w="1981" w:type="dxa"/>
            <w:vAlign w:val="top"/>
          </w:tcPr>
          <w:p w14:paraId="6E0E6682">
            <w:pPr>
              <w:rPr>
                <w:rFonts w:ascii="Arial"/>
                <w:sz w:val="21"/>
              </w:rPr>
            </w:pPr>
          </w:p>
        </w:tc>
        <w:tc>
          <w:tcPr>
            <w:tcW w:w="1415" w:type="dxa"/>
            <w:vAlign w:val="top"/>
          </w:tcPr>
          <w:p w14:paraId="53A9EE3C">
            <w:pPr>
              <w:rPr>
                <w:rFonts w:ascii="Arial"/>
                <w:sz w:val="21"/>
              </w:rPr>
            </w:pPr>
          </w:p>
        </w:tc>
        <w:tc>
          <w:tcPr>
            <w:tcW w:w="990" w:type="dxa"/>
            <w:vAlign w:val="top"/>
          </w:tcPr>
          <w:p w14:paraId="38D4533D">
            <w:pPr>
              <w:rPr>
                <w:rFonts w:ascii="Arial"/>
                <w:sz w:val="21"/>
              </w:rPr>
            </w:pPr>
          </w:p>
        </w:tc>
        <w:tc>
          <w:tcPr>
            <w:tcW w:w="863" w:type="dxa"/>
            <w:tcBorders>
              <w:right w:val="single" w:color="000000" w:sz="10" w:space="0"/>
            </w:tcBorders>
            <w:vAlign w:val="top"/>
          </w:tcPr>
          <w:p w14:paraId="6C1896CD">
            <w:pPr>
              <w:rPr>
                <w:rFonts w:ascii="Arial"/>
                <w:sz w:val="21"/>
              </w:rPr>
            </w:pPr>
          </w:p>
        </w:tc>
      </w:tr>
      <w:tr w14:paraId="1749D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4ACDC830">
            <w:pPr>
              <w:rPr>
                <w:rFonts w:ascii="Arial"/>
                <w:sz w:val="21"/>
              </w:rPr>
            </w:pPr>
          </w:p>
        </w:tc>
        <w:tc>
          <w:tcPr>
            <w:tcW w:w="1840" w:type="dxa"/>
            <w:vAlign w:val="top"/>
          </w:tcPr>
          <w:p w14:paraId="372723C7">
            <w:pPr>
              <w:rPr>
                <w:rFonts w:ascii="Arial"/>
                <w:sz w:val="21"/>
              </w:rPr>
            </w:pPr>
          </w:p>
        </w:tc>
        <w:tc>
          <w:tcPr>
            <w:tcW w:w="1415" w:type="dxa"/>
            <w:vAlign w:val="top"/>
          </w:tcPr>
          <w:p w14:paraId="6AFA2CD8">
            <w:pPr>
              <w:rPr>
                <w:rFonts w:ascii="Arial"/>
                <w:sz w:val="21"/>
              </w:rPr>
            </w:pPr>
          </w:p>
        </w:tc>
        <w:tc>
          <w:tcPr>
            <w:tcW w:w="2406" w:type="dxa"/>
            <w:vAlign w:val="top"/>
          </w:tcPr>
          <w:p w14:paraId="7411F98F">
            <w:pPr>
              <w:rPr>
                <w:rFonts w:ascii="Arial"/>
                <w:sz w:val="21"/>
              </w:rPr>
            </w:pPr>
          </w:p>
        </w:tc>
        <w:tc>
          <w:tcPr>
            <w:tcW w:w="848" w:type="dxa"/>
            <w:vAlign w:val="top"/>
          </w:tcPr>
          <w:p w14:paraId="739C5377">
            <w:pPr>
              <w:rPr>
                <w:rFonts w:ascii="Arial"/>
                <w:sz w:val="21"/>
              </w:rPr>
            </w:pPr>
          </w:p>
        </w:tc>
        <w:tc>
          <w:tcPr>
            <w:tcW w:w="1557" w:type="dxa"/>
            <w:vAlign w:val="top"/>
          </w:tcPr>
          <w:p w14:paraId="0F6DCD4A">
            <w:pPr>
              <w:rPr>
                <w:rFonts w:ascii="Arial"/>
                <w:sz w:val="21"/>
              </w:rPr>
            </w:pPr>
          </w:p>
        </w:tc>
        <w:tc>
          <w:tcPr>
            <w:tcW w:w="1981" w:type="dxa"/>
            <w:vAlign w:val="top"/>
          </w:tcPr>
          <w:p w14:paraId="7C34CB4D">
            <w:pPr>
              <w:rPr>
                <w:rFonts w:ascii="Arial"/>
                <w:sz w:val="21"/>
              </w:rPr>
            </w:pPr>
          </w:p>
        </w:tc>
        <w:tc>
          <w:tcPr>
            <w:tcW w:w="1415" w:type="dxa"/>
            <w:vAlign w:val="top"/>
          </w:tcPr>
          <w:p w14:paraId="26E2C270">
            <w:pPr>
              <w:rPr>
                <w:rFonts w:ascii="Arial"/>
                <w:sz w:val="21"/>
              </w:rPr>
            </w:pPr>
          </w:p>
        </w:tc>
        <w:tc>
          <w:tcPr>
            <w:tcW w:w="990" w:type="dxa"/>
            <w:vAlign w:val="top"/>
          </w:tcPr>
          <w:p w14:paraId="61BF9516">
            <w:pPr>
              <w:rPr>
                <w:rFonts w:ascii="Arial"/>
                <w:sz w:val="21"/>
              </w:rPr>
            </w:pPr>
          </w:p>
        </w:tc>
        <w:tc>
          <w:tcPr>
            <w:tcW w:w="863" w:type="dxa"/>
            <w:tcBorders>
              <w:right w:val="single" w:color="000000" w:sz="10" w:space="0"/>
            </w:tcBorders>
            <w:vAlign w:val="top"/>
          </w:tcPr>
          <w:p w14:paraId="0A8414F9">
            <w:pPr>
              <w:rPr>
                <w:rFonts w:ascii="Arial"/>
                <w:sz w:val="21"/>
              </w:rPr>
            </w:pPr>
          </w:p>
        </w:tc>
      </w:tr>
      <w:tr w14:paraId="72ECE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125BB408">
            <w:pPr>
              <w:rPr>
                <w:rFonts w:ascii="Arial"/>
                <w:sz w:val="21"/>
              </w:rPr>
            </w:pPr>
          </w:p>
        </w:tc>
        <w:tc>
          <w:tcPr>
            <w:tcW w:w="1840" w:type="dxa"/>
            <w:vAlign w:val="top"/>
          </w:tcPr>
          <w:p w14:paraId="57C35D5A">
            <w:pPr>
              <w:rPr>
                <w:rFonts w:ascii="Arial"/>
                <w:sz w:val="21"/>
              </w:rPr>
            </w:pPr>
          </w:p>
        </w:tc>
        <w:tc>
          <w:tcPr>
            <w:tcW w:w="1415" w:type="dxa"/>
            <w:vAlign w:val="top"/>
          </w:tcPr>
          <w:p w14:paraId="7124B69F">
            <w:pPr>
              <w:rPr>
                <w:rFonts w:ascii="Arial"/>
                <w:sz w:val="21"/>
              </w:rPr>
            </w:pPr>
          </w:p>
        </w:tc>
        <w:tc>
          <w:tcPr>
            <w:tcW w:w="2406" w:type="dxa"/>
            <w:vAlign w:val="top"/>
          </w:tcPr>
          <w:p w14:paraId="5B354ED7">
            <w:pPr>
              <w:rPr>
                <w:rFonts w:ascii="Arial"/>
                <w:sz w:val="21"/>
              </w:rPr>
            </w:pPr>
          </w:p>
        </w:tc>
        <w:tc>
          <w:tcPr>
            <w:tcW w:w="848" w:type="dxa"/>
            <w:vAlign w:val="top"/>
          </w:tcPr>
          <w:p w14:paraId="17498AA0">
            <w:pPr>
              <w:rPr>
                <w:rFonts w:ascii="Arial"/>
                <w:sz w:val="21"/>
              </w:rPr>
            </w:pPr>
          </w:p>
        </w:tc>
        <w:tc>
          <w:tcPr>
            <w:tcW w:w="1557" w:type="dxa"/>
            <w:vAlign w:val="top"/>
          </w:tcPr>
          <w:p w14:paraId="223102B3">
            <w:pPr>
              <w:rPr>
                <w:rFonts w:ascii="Arial"/>
                <w:sz w:val="21"/>
              </w:rPr>
            </w:pPr>
          </w:p>
        </w:tc>
        <w:tc>
          <w:tcPr>
            <w:tcW w:w="1981" w:type="dxa"/>
            <w:vAlign w:val="top"/>
          </w:tcPr>
          <w:p w14:paraId="1595EB9F">
            <w:pPr>
              <w:rPr>
                <w:rFonts w:ascii="Arial"/>
                <w:sz w:val="21"/>
              </w:rPr>
            </w:pPr>
          </w:p>
        </w:tc>
        <w:tc>
          <w:tcPr>
            <w:tcW w:w="1415" w:type="dxa"/>
            <w:vAlign w:val="top"/>
          </w:tcPr>
          <w:p w14:paraId="670B8A83">
            <w:pPr>
              <w:rPr>
                <w:rFonts w:ascii="Arial"/>
                <w:sz w:val="21"/>
              </w:rPr>
            </w:pPr>
          </w:p>
        </w:tc>
        <w:tc>
          <w:tcPr>
            <w:tcW w:w="990" w:type="dxa"/>
            <w:vAlign w:val="top"/>
          </w:tcPr>
          <w:p w14:paraId="53D3AAE8">
            <w:pPr>
              <w:rPr>
                <w:rFonts w:ascii="Arial"/>
                <w:sz w:val="21"/>
              </w:rPr>
            </w:pPr>
          </w:p>
        </w:tc>
        <w:tc>
          <w:tcPr>
            <w:tcW w:w="863" w:type="dxa"/>
            <w:tcBorders>
              <w:right w:val="single" w:color="000000" w:sz="10" w:space="0"/>
            </w:tcBorders>
            <w:vAlign w:val="top"/>
          </w:tcPr>
          <w:p w14:paraId="55985C5A">
            <w:pPr>
              <w:rPr>
                <w:rFonts w:ascii="Arial"/>
                <w:sz w:val="21"/>
              </w:rPr>
            </w:pPr>
          </w:p>
        </w:tc>
      </w:tr>
      <w:tr w14:paraId="0BA24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1289" w:type="dxa"/>
            <w:tcBorders>
              <w:left w:val="single" w:color="000000" w:sz="10" w:space="0"/>
            </w:tcBorders>
            <w:vAlign w:val="top"/>
          </w:tcPr>
          <w:p w14:paraId="63C0935B">
            <w:pPr>
              <w:rPr>
                <w:rFonts w:ascii="Arial"/>
                <w:sz w:val="21"/>
              </w:rPr>
            </w:pPr>
          </w:p>
        </w:tc>
        <w:tc>
          <w:tcPr>
            <w:tcW w:w="1840" w:type="dxa"/>
            <w:vAlign w:val="top"/>
          </w:tcPr>
          <w:p w14:paraId="7A3F6B73">
            <w:pPr>
              <w:rPr>
                <w:rFonts w:ascii="Arial"/>
                <w:sz w:val="21"/>
              </w:rPr>
            </w:pPr>
          </w:p>
        </w:tc>
        <w:tc>
          <w:tcPr>
            <w:tcW w:w="1415" w:type="dxa"/>
            <w:vAlign w:val="top"/>
          </w:tcPr>
          <w:p w14:paraId="07369086">
            <w:pPr>
              <w:rPr>
                <w:rFonts w:ascii="Arial"/>
                <w:sz w:val="21"/>
              </w:rPr>
            </w:pPr>
          </w:p>
        </w:tc>
        <w:tc>
          <w:tcPr>
            <w:tcW w:w="2406" w:type="dxa"/>
            <w:vAlign w:val="top"/>
          </w:tcPr>
          <w:p w14:paraId="1178060A">
            <w:pPr>
              <w:rPr>
                <w:rFonts w:ascii="Arial"/>
                <w:sz w:val="21"/>
              </w:rPr>
            </w:pPr>
          </w:p>
        </w:tc>
        <w:tc>
          <w:tcPr>
            <w:tcW w:w="848" w:type="dxa"/>
            <w:vAlign w:val="top"/>
          </w:tcPr>
          <w:p w14:paraId="75664B10">
            <w:pPr>
              <w:rPr>
                <w:rFonts w:ascii="Arial"/>
                <w:sz w:val="21"/>
              </w:rPr>
            </w:pPr>
          </w:p>
        </w:tc>
        <w:tc>
          <w:tcPr>
            <w:tcW w:w="1557" w:type="dxa"/>
            <w:vAlign w:val="top"/>
          </w:tcPr>
          <w:p w14:paraId="7E1C8499">
            <w:pPr>
              <w:rPr>
                <w:rFonts w:ascii="Arial"/>
                <w:sz w:val="21"/>
              </w:rPr>
            </w:pPr>
          </w:p>
        </w:tc>
        <w:tc>
          <w:tcPr>
            <w:tcW w:w="1981" w:type="dxa"/>
            <w:vAlign w:val="top"/>
          </w:tcPr>
          <w:p w14:paraId="0FCCE32E">
            <w:pPr>
              <w:rPr>
                <w:rFonts w:ascii="Arial"/>
                <w:sz w:val="21"/>
              </w:rPr>
            </w:pPr>
          </w:p>
        </w:tc>
        <w:tc>
          <w:tcPr>
            <w:tcW w:w="1415" w:type="dxa"/>
            <w:vAlign w:val="top"/>
          </w:tcPr>
          <w:p w14:paraId="70A7110B">
            <w:pPr>
              <w:rPr>
                <w:rFonts w:ascii="Arial"/>
                <w:sz w:val="21"/>
              </w:rPr>
            </w:pPr>
          </w:p>
        </w:tc>
        <w:tc>
          <w:tcPr>
            <w:tcW w:w="990" w:type="dxa"/>
            <w:vAlign w:val="top"/>
          </w:tcPr>
          <w:p w14:paraId="06CA1737">
            <w:pPr>
              <w:rPr>
                <w:rFonts w:ascii="Arial"/>
                <w:sz w:val="21"/>
              </w:rPr>
            </w:pPr>
          </w:p>
        </w:tc>
        <w:tc>
          <w:tcPr>
            <w:tcW w:w="863" w:type="dxa"/>
            <w:tcBorders>
              <w:right w:val="single" w:color="000000" w:sz="10" w:space="0"/>
            </w:tcBorders>
            <w:vAlign w:val="top"/>
          </w:tcPr>
          <w:p w14:paraId="40FC2A8E">
            <w:pPr>
              <w:rPr>
                <w:rFonts w:ascii="Arial"/>
                <w:sz w:val="21"/>
              </w:rPr>
            </w:pPr>
          </w:p>
        </w:tc>
      </w:tr>
      <w:tr w14:paraId="0DDA2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1289" w:type="dxa"/>
            <w:tcBorders>
              <w:left w:val="single" w:color="000000" w:sz="10" w:space="0"/>
              <w:bottom w:val="single" w:color="000000" w:sz="10" w:space="0"/>
            </w:tcBorders>
            <w:vAlign w:val="top"/>
          </w:tcPr>
          <w:p w14:paraId="109E3E6E">
            <w:pPr>
              <w:rPr>
                <w:rFonts w:ascii="Arial"/>
                <w:sz w:val="21"/>
              </w:rPr>
            </w:pPr>
          </w:p>
        </w:tc>
        <w:tc>
          <w:tcPr>
            <w:tcW w:w="1840" w:type="dxa"/>
            <w:tcBorders>
              <w:bottom w:val="single" w:color="000000" w:sz="10" w:space="0"/>
            </w:tcBorders>
            <w:vAlign w:val="top"/>
          </w:tcPr>
          <w:p w14:paraId="365C7398">
            <w:pPr>
              <w:rPr>
                <w:rFonts w:ascii="Arial"/>
                <w:sz w:val="21"/>
              </w:rPr>
            </w:pPr>
          </w:p>
        </w:tc>
        <w:tc>
          <w:tcPr>
            <w:tcW w:w="1415" w:type="dxa"/>
            <w:tcBorders>
              <w:bottom w:val="single" w:color="000000" w:sz="10" w:space="0"/>
            </w:tcBorders>
            <w:vAlign w:val="top"/>
          </w:tcPr>
          <w:p w14:paraId="2A3D8D25">
            <w:pPr>
              <w:rPr>
                <w:rFonts w:ascii="Arial"/>
                <w:sz w:val="21"/>
              </w:rPr>
            </w:pPr>
          </w:p>
        </w:tc>
        <w:tc>
          <w:tcPr>
            <w:tcW w:w="2406" w:type="dxa"/>
            <w:tcBorders>
              <w:bottom w:val="single" w:color="000000" w:sz="10" w:space="0"/>
            </w:tcBorders>
            <w:vAlign w:val="top"/>
          </w:tcPr>
          <w:p w14:paraId="7AD1A843">
            <w:pPr>
              <w:rPr>
                <w:rFonts w:ascii="Arial"/>
                <w:sz w:val="21"/>
              </w:rPr>
            </w:pPr>
          </w:p>
        </w:tc>
        <w:tc>
          <w:tcPr>
            <w:tcW w:w="848" w:type="dxa"/>
            <w:tcBorders>
              <w:bottom w:val="single" w:color="000000" w:sz="10" w:space="0"/>
            </w:tcBorders>
            <w:vAlign w:val="top"/>
          </w:tcPr>
          <w:p w14:paraId="151E6236">
            <w:pPr>
              <w:rPr>
                <w:rFonts w:ascii="Arial"/>
                <w:sz w:val="21"/>
              </w:rPr>
            </w:pPr>
          </w:p>
        </w:tc>
        <w:tc>
          <w:tcPr>
            <w:tcW w:w="1557" w:type="dxa"/>
            <w:tcBorders>
              <w:bottom w:val="single" w:color="000000" w:sz="10" w:space="0"/>
            </w:tcBorders>
            <w:vAlign w:val="top"/>
          </w:tcPr>
          <w:p w14:paraId="5C2DAC85">
            <w:pPr>
              <w:rPr>
                <w:rFonts w:ascii="Arial"/>
                <w:sz w:val="21"/>
              </w:rPr>
            </w:pPr>
          </w:p>
        </w:tc>
        <w:tc>
          <w:tcPr>
            <w:tcW w:w="1981" w:type="dxa"/>
            <w:tcBorders>
              <w:bottom w:val="single" w:color="000000" w:sz="10" w:space="0"/>
            </w:tcBorders>
            <w:vAlign w:val="top"/>
          </w:tcPr>
          <w:p w14:paraId="2E44400D">
            <w:pPr>
              <w:rPr>
                <w:rFonts w:ascii="Arial"/>
                <w:sz w:val="21"/>
              </w:rPr>
            </w:pPr>
          </w:p>
        </w:tc>
        <w:tc>
          <w:tcPr>
            <w:tcW w:w="1415" w:type="dxa"/>
            <w:tcBorders>
              <w:bottom w:val="single" w:color="000000" w:sz="10" w:space="0"/>
            </w:tcBorders>
            <w:vAlign w:val="top"/>
          </w:tcPr>
          <w:p w14:paraId="37F9964C">
            <w:pPr>
              <w:rPr>
                <w:rFonts w:ascii="Arial"/>
                <w:sz w:val="21"/>
              </w:rPr>
            </w:pPr>
          </w:p>
        </w:tc>
        <w:tc>
          <w:tcPr>
            <w:tcW w:w="990" w:type="dxa"/>
            <w:tcBorders>
              <w:bottom w:val="single" w:color="000000" w:sz="10" w:space="0"/>
            </w:tcBorders>
            <w:vAlign w:val="top"/>
          </w:tcPr>
          <w:p w14:paraId="2B210579">
            <w:pPr>
              <w:rPr>
                <w:rFonts w:ascii="Arial"/>
                <w:sz w:val="21"/>
              </w:rPr>
            </w:pPr>
          </w:p>
        </w:tc>
        <w:tc>
          <w:tcPr>
            <w:tcW w:w="863" w:type="dxa"/>
            <w:tcBorders>
              <w:bottom w:val="single" w:color="000000" w:sz="10" w:space="0"/>
              <w:right w:val="single" w:color="000000" w:sz="10" w:space="0"/>
            </w:tcBorders>
            <w:vAlign w:val="top"/>
          </w:tcPr>
          <w:p w14:paraId="4409F411">
            <w:pPr>
              <w:rPr>
                <w:rFonts w:ascii="Arial"/>
                <w:sz w:val="21"/>
              </w:rPr>
            </w:pPr>
          </w:p>
        </w:tc>
      </w:tr>
    </w:tbl>
    <w:p w14:paraId="509823B8">
      <w:pPr>
        <w:rPr>
          <w:rFonts w:ascii="Arial"/>
          <w:sz w:val="21"/>
        </w:rPr>
      </w:pPr>
    </w:p>
    <w:p w14:paraId="6F0D6E77">
      <w:pPr>
        <w:rPr>
          <w:rFonts w:ascii="Arial" w:hAnsi="Arial" w:eastAsia="Arial" w:cs="Arial"/>
          <w:sz w:val="21"/>
          <w:szCs w:val="21"/>
        </w:rPr>
        <w:sectPr>
          <w:footerReference r:id="rId317" w:type="default"/>
          <w:pgSz w:w="16839" w:h="11906"/>
          <w:pgMar w:top="400" w:right="1230" w:bottom="1156" w:left="977" w:header="0" w:footer="994" w:gutter="0"/>
          <w:cols w:space="720" w:num="1"/>
        </w:sectPr>
      </w:pPr>
    </w:p>
    <w:p w14:paraId="05208981">
      <w:pPr>
        <w:spacing w:line="246" w:lineRule="auto"/>
        <w:rPr>
          <w:rFonts w:ascii="Arial"/>
          <w:sz w:val="21"/>
        </w:rPr>
      </w:pPr>
    </w:p>
    <w:p w14:paraId="0EBDCF78">
      <w:pPr>
        <w:spacing w:line="246" w:lineRule="auto"/>
        <w:rPr>
          <w:rFonts w:ascii="Arial"/>
          <w:sz w:val="21"/>
        </w:rPr>
      </w:pPr>
    </w:p>
    <w:p w14:paraId="761340C7">
      <w:pPr>
        <w:spacing w:line="246" w:lineRule="auto"/>
        <w:rPr>
          <w:rFonts w:ascii="Arial"/>
          <w:sz w:val="21"/>
        </w:rPr>
      </w:pPr>
    </w:p>
    <w:p w14:paraId="68196C15">
      <w:pPr>
        <w:spacing w:line="247" w:lineRule="auto"/>
        <w:rPr>
          <w:rFonts w:ascii="Arial"/>
          <w:sz w:val="21"/>
        </w:rPr>
      </w:pPr>
    </w:p>
    <w:p w14:paraId="6DDCDDE9">
      <w:pPr>
        <w:spacing w:line="247" w:lineRule="auto"/>
        <w:rPr>
          <w:rFonts w:ascii="Arial"/>
          <w:sz w:val="21"/>
        </w:rPr>
      </w:pPr>
    </w:p>
    <w:p w14:paraId="7485A125">
      <w:pPr>
        <w:spacing w:line="247" w:lineRule="auto"/>
        <w:rPr>
          <w:rFonts w:ascii="Arial"/>
          <w:sz w:val="21"/>
        </w:rPr>
      </w:pPr>
    </w:p>
    <w:p w14:paraId="1FFB6CA6">
      <w:pPr>
        <w:spacing w:before="78" w:line="219" w:lineRule="auto"/>
        <w:rPr>
          <w:rFonts w:ascii="宋体" w:hAnsi="宋体" w:eastAsia="宋体" w:cs="宋体"/>
          <w:sz w:val="24"/>
          <w:szCs w:val="24"/>
        </w:rPr>
      </w:pPr>
      <w:r>
        <w:rPr>
          <w:rFonts w:ascii="宋体" w:hAnsi="宋体" w:eastAsia="宋体" w:cs="宋体"/>
          <w:spacing w:val="-11"/>
          <w:sz w:val="24"/>
          <w:szCs w:val="24"/>
        </w:rPr>
        <w:t>附件</w:t>
      </w:r>
      <w:r>
        <w:rPr>
          <w:rFonts w:ascii="宋体" w:hAnsi="宋体" w:eastAsia="宋体" w:cs="宋体"/>
          <w:spacing w:val="-46"/>
          <w:sz w:val="24"/>
          <w:szCs w:val="24"/>
        </w:rPr>
        <w:t xml:space="preserve"> </w:t>
      </w:r>
      <w:r>
        <w:rPr>
          <w:rFonts w:ascii="宋体" w:hAnsi="宋体" w:eastAsia="宋体" w:cs="宋体"/>
          <w:spacing w:val="-11"/>
          <w:sz w:val="24"/>
          <w:szCs w:val="24"/>
        </w:rPr>
        <w:t>2：</w:t>
      </w:r>
    </w:p>
    <w:p w14:paraId="4FC79591">
      <w:pPr>
        <w:pStyle w:val="2"/>
        <w:spacing w:before="241" w:line="222" w:lineRule="auto"/>
        <w:ind w:left="2757"/>
        <w:rPr>
          <w:sz w:val="28"/>
          <w:szCs w:val="28"/>
        </w:rPr>
      </w:pPr>
      <w:r>
        <w:rPr>
          <w:spacing w:val="-1"/>
          <w:sz w:val="28"/>
          <w:szCs w:val="28"/>
        </w:rPr>
        <w:t>发包人供应材料设备一览表</w:t>
      </w:r>
    </w:p>
    <w:p w14:paraId="76410863">
      <w:pPr>
        <w:spacing w:line="111" w:lineRule="exact"/>
      </w:pPr>
    </w:p>
    <w:tbl>
      <w:tblPr>
        <w:tblStyle w:val="5"/>
        <w:tblW w:w="8743" w:type="dxa"/>
        <w:tblInd w:w="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9"/>
        <w:gridCol w:w="1131"/>
        <w:gridCol w:w="848"/>
        <w:gridCol w:w="706"/>
        <w:gridCol w:w="707"/>
        <w:gridCol w:w="848"/>
        <w:gridCol w:w="847"/>
        <w:gridCol w:w="801"/>
        <w:gridCol w:w="1461"/>
        <w:gridCol w:w="815"/>
      </w:tblGrid>
      <w:tr w14:paraId="2D787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579" w:type="dxa"/>
            <w:tcBorders>
              <w:top w:val="single" w:color="000000" w:sz="10" w:space="0"/>
              <w:left w:val="single" w:color="000000" w:sz="10" w:space="0"/>
            </w:tcBorders>
            <w:textDirection w:val="tbRlV"/>
            <w:vAlign w:val="top"/>
          </w:tcPr>
          <w:p w14:paraId="522F5F20">
            <w:pPr>
              <w:pStyle w:val="6"/>
              <w:spacing w:before="184" w:line="218" w:lineRule="auto"/>
              <w:ind w:left="177"/>
            </w:pPr>
            <w:r>
              <w:rPr>
                <w:spacing w:val="8"/>
              </w:rPr>
              <w:t>序</w:t>
            </w:r>
            <w:r>
              <w:rPr>
                <w:spacing w:val="15"/>
              </w:rPr>
              <w:t xml:space="preserve">  </w:t>
            </w:r>
            <w:r>
              <w:rPr>
                <w:spacing w:val="8"/>
              </w:rPr>
              <w:t>号</w:t>
            </w:r>
          </w:p>
        </w:tc>
        <w:tc>
          <w:tcPr>
            <w:tcW w:w="1131" w:type="dxa"/>
            <w:tcBorders>
              <w:top w:val="single" w:color="000000" w:sz="10" w:space="0"/>
            </w:tcBorders>
            <w:vAlign w:val="top"/>
          </w:tcPr>
          <w:p w14:paraId="1002F29F">
            <w:pPr>
              <w:pStyle w:val="6"/>
              <w:spacing w:before="176" w:line="326" w:lineRule="auto"/>
              <w:ind w:left="111" w:right="183" w:firstLine="236"/>
            </w:pPr>
            <w:r>
              <w:rPr>
                <w:spacing w:val="-4"/>
              </w:rPr>
              <w:t>材料、</w:t>
            </w:r>
            <w:r>
              <w:rPr>
                <w:spacing w:val="6"/>
              </w:rPr>
              <w:t>设备品种</w:t>
            </w:r>
          </w:p>
        </w:tc>
        <w:tc>
          <w:tcPr>
            <w:tcW w:w="848" w:type="dxa"/>
            <w:tcBorders>
              <w:top w:val="single" w:color="000000" w:sz="10" w:space="0"/>
            </w:tcBorders>
            <w:vAlign w:val="top"/>
          </w:tcPr>
          <w:p w14:paraId="746E8A9A">
            <w:pPr>
              <w:pStyle w:val="6"/>
              <w:spacing w:before="176" w:line="228" w:lineRule="auto"/>
              <w:ind w:left="211"/>
            </w:pPr>
            <w:r>
              <w:rPr>
                <w:spacing w:val="4"/>
              </w:rPr>
              <w:t>规格</w:t>
            </w:r>
          </w:p>
          <w:p w14:paraId="0036D844">
            <w:pPr>
              <w:pStyle w:val="6"/>
              <w:spacing w:before="192" w:line="229" w:lineRule="auto"/>
              <w:ind w:left="216"/>
            </w:pPr>
            <w:r>
              <w:rPr>
                <w:spacing w:val="1"/>
              </w:rPr>
              <w:t>型号</w:t>
            </w:r>
          </w:p>
        </w:tc>
        <w:tc>
          <w:tcPr>
            <w:tcW w:w="706" w:type="dxa"/>
            <w:tcBorders>
              <w:top w:val="single" w:color="000000" w:sz="10" w:space="0"/>
            </w:tcBorders>
            <w:vAlign w:val="top"/>
          </w:tcPr>
          <w:p w14:paraId="3C43DE4F">
            <w:pPr>
              <w:spacing w:line="331" w:lineRule="auto"/>
              <w:rPr>
                <w:rFonts w:ascii="Arial"/>
                <w:sz w:val="21"/>
              </w:rPr>
            </w:pPr>
          </w:p>
          <w:p w14:paraId="61F5E369">
            <w:pPr>
              <w:pStyle w:val="6"/>
              <w:spacing w:before="65" w:line="228" w:lineRule="auto"/>
              <w:ind w:left="144"/>
            </w:pPr>
            <w:r>
              <w:rPr>
                <w:spacing w:val="3"/>
              </w:rPr>
              <w:t>单位</w:t>
            </w:r>
          </w:p>
        </w:tc>
        <w:tc>
          <w:tcPr>
            <w:tcW w:w="707" w:type="dxa"/>
            <w:tcBorders>
              <w:top w:val="single" w:color="000000" w:sz="10" w:space="0"/>
            </w:tcBorders>
            <w:vAlign w:val="top"/>
          </w:tcPr>
          <w:p w14:paraId="6D951A55">
            <w:pPr>
              <w:spacing w:line="330" w:lineRule="auto"/>
              <w:rPr>
                <w:rFonts w:ascii="Arial"/>
                <w:sz w:val="21"/>
              </w:rPr>
            </w:pPr>
          </w:p>
          <w:p w14:paraId="1848E161">
            <w:pPr>
              <w:pStyle w:val="6"/>
              <w:spacing w:before="65" w:line="228" w:lineRule="auto"/>
              <w:ind w:left="146"/>
            </w:pPr>
            <w:r>
              <w:rPr>
                <w:spacing w:val="3"/>
              </w:rPr>
              <w:t>数量</w:t>
            </w:r>
          </w:p>
        </w:tc>
        <w:tc>
          <w:tcPr>
            <w:tcW w:w="848" w:type="dxa"/>
            <w:tcBorders>
              <w:top w:val="single" w:color="000000" w:sz="10" w:space="0"/>
            </w:tcBorders>
            <w:vAlign w:val="top"/>
          </w:tcPr>
          <w:p w14:paraId="25D34D16">
            <w:pPr>
              <w:pStyle w:val="6"/>
              <w:spacing w:before="176" w:line="326" w:lineRule="auto"/>
              <w:ind w:left="121" w:right="123" w:firstLine="97"/>
            </w:pPr>
            <w:r>
              <w:rPr>
                <w:spacing w:val="3"/>
              </w:rPr>
              <w:t>单价</w:t>
            </w:r>
            <w:r>
              <w:rPr>
                <w:spacing w:val="-3"/>
              </w:rPr>
              <w:t>（元）</w:t>
            </w:r>
          </w:p>
        </w:tc>
        <w:tc>
          <w:tcPr>
            <w:tcW w:w="847" w:type="dxa"/>
            <w:tcBorders>
              <w:top w:val="single" w:color="000000" w:sz="10" w:space="0"/>
            </w:tcBorders>
            <w:vAlign w:val="top"/>
          </w:tcPr>
          <w:p w14:paraId="1B649716">
            <w:pPr>
              <w:pStyle w:val="6"/>
              <w:spacing w:before="177" w:line="228" w:lineRule="auto"/>
              <w:ind w:left="219"/>
            </w:pPr>
            <w:r>
              <w:rPr>
                <w:spacing w:val="4"/>
              </w:rPr>
              <w:t>质量</w:t>
            </w:r>
          </w:p>
          <w:p w14:paraId="535B7330">
            <w:pPr>
              <w:pStyle w:val="6"/>
              <w:spacing w:before="191" w:line="228" w:lineRule="auto"/>
              <w:ind w:left="220"/>
            </w:pPr>
            <w:r>
              <w:rPr>
                <w:spacing w:val="3"/>
              </w:rPr>
              <w:t>等级</w:t>
            </w:r>
          </w:p>
        </w:tc>
        <w:tc>
          <w:tcPr>
            <w:tcW w:w="801" w:type="dxa"/>
            <w:tcBorders>
              <w:top w:val="single" w:color="000000" w:sz="10" w:space="0"/>
            </w:tcBorders>
            <w:vAlign w:val="top"/>
          </w:tcPr>
          <w:p w14:paraId="4D53EF18">
            <w:pPr>
              <w:pStyle w:val="6"/>
              <w:spacing w:before="176" w:line="227" w:lineRule="auto"/>
              <w:ind w:left="200"/>
            </w:pPr>
            <w:r>
              <w:rPr>
                <w:spacing w:val="4"/>
              </w:rPr>
              <w:t>供应</w:t>
            </w:r>
          </w:p>
          <w:p w14:paraId="2BE9FDC7">
            <w:pPr>
              <w:pStyle w:val="6"/>
              <w:spacing w:before="193" w:line="230" w:lineRule="auto"/>
              <w:ind w:left="209"/>
            </w:pPr>
            <w:r>
              <w:rPr>
                <w:spacing w:val="-1"/>
              </w:rPr>
              <w:t>时间</w:t>
            </w:r>
          </w:p>
        </w:tc>
        <w:tc>
          <w:tcPr>
            <w:tcW w:w="1461" w:type="dxa"/>
            <w:tcBorders>
              <w:top w:val="single" w:color="000000" w:sz="10" w:space="0"/>
            </w:tcBorders>
            <w:vAlign w:val="top"/>
          </w:tcPr>
          <w:p w14:paraId="723D644A">
            <w:pPr>
              <w:spacing w:line="330" w:lineRule="auto"/>
              <w:rPr>
                <w:rFonts w:ascii="Arial"/>
                <w:sz w:val="21"/>
              </w:rPr>
            </w:pPr>
          </w:p>
          <w:p w14:paraId="2CA06D4B">
            <w:pPr>
              <w:pStyle w:val="6"/>
              <w:spacing w:before="65" w:line="232" w:lineRule="auto"/>
              <w:ind w:left="321"/>
            </w:pPr>
            <w:r>
              <w:rPr>
                <w:spacing w:val="7"/>
              </w:rPr>
              <w:t>送达地点</w:t>
            </w:r>
          </w:p>
        </w:tc>
        <w:tc>
          <w:tcPr>
            <w:tcW w:w="815" w:type="dxa"/>
            <w:tcBorders>
              <w:top w:val="single" w:color="000000" w:sz="10" w:space="0"/>
              <w:right w:val="single" w:color="000000" w:sz="10" w:space="0"/>
            </w:tcBorders>
            <w:vAlign w:val="top"/>
          </w:tcPr>
          <w:p w14:paraId="430C2517">
            <w:pPr>
              <w:spacing w:line="330" w:lineRule="auto"/>
              <w:rPr>
                <w:rFonts w:ascii="Arial"/>
                <w:sz w:val="21"/>
              </w:rPr>
            </w:pPr>
          </w:p>
          <w:p w14:paraId="0494656F">
            <w:pPr>
              <w:pStyle w:val="6"/>
              <w:spacing w:before="65" w:line="229" w:lineRule="auto"/>
              <w:ind w:left="208"/>
            </w:pPr>
            <w:r>
              <w:rPr>
                <w:spacing w:val="3"/>
              </w:rPr>
              <w:t>备注</w:t>
            </w:r>
          </w:p>
        </w:tc>
      </w:tr>
      <w:tr w14:paraId="61BE7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579" w:type="dxa"/>
            <w:tcBorders>
              <w:left w:val="single" w:color="000000" w:sz="10" w:space="0"/>
            </w:tcBorders>
            <w:vAlign w:val="top"/>
          </w:tcPr>
          <w:p w14:paraId="53BF2A24">
            <w:pPr>
              <w:rPr>
                <w:rFonts w:ascii="Arial"/>
                <w:sz w:val="21"/>
              </w:rPr>
            </w:pPr>
          </w:p>
        </w:tc>
        <w:tc>
          <w:tcPr>
            <w:tcW w:w="1131" w:type="dxa"/>
            <w:vAlign w:val="top"/>
          </w:tcPr>
          <w:p w14:paraId="2CE1CEF6">
            <w:pPr>
              <w:rPr>
                <w:rFonts w:ascii="Arial"/>
                <w:sz w:val="21"/>
              </w:rPr>
            </w:pPr>
          </w:p>
        </w:tc>
        <w:tc>
          <w:tcPr>
            <w:tcW w:w="848" w:type="dxa"/>
            <w:vAlign w:val="top"/>
          </w:tcPr>
          <w:p w14:paraId="4D08AD74">
            <w:pPr>
              <w:rPr>
                <w:rFonts w:ascii="Arial"/>
                <w:sz w:val="21"/>
              </w:rPr>
            </w:pPr>
          </w:p>
        </w:tc>
        <w:tc>
          <w:tcPr>
            <w:tcW w:w="706" w:type="dxa"/>
            <w:vAlign w:val="top"/>
          </w:tcPr>
          <w:p w14:paraId="22AF72CF">
            <w:pPr>
              <w:rPr>
                <w:rFonts w:ascii="Arial"/>
                <w:sz w:val="21"/>
              </w:rPr>
            </w:pPr>
          </w:p>
        </w:tc>
        <w:tc>
          <w:tcPr>
            <w:tcW w:w="707" w:type="dxa"/>
            <w:vAlign w:val="top"/>
          </w:tcPr>
          <w:p w14:paraId="05006D07">
            <w:pPr>
              <w:rPr>
                <w:rFonts w:ascii="Arial"/>
                <w:sz w:val="21"/>
              </w:rPr>
            </w:pPr>
          </w:p>
        </w:tc>
        <w:tc>
          <w:tcPr>
            <w:tcW w:w="848" w:type="dxa"/>
            <w:vAlign w:val="top"/>
          </w:tcPr>
          <w:p w14:paraId="081FD0DA">
            <w:pPr>
              <w:rPr>
                <w:rFonts w:ascii="Arial"/>
                <w:sz w:val="21"/>
              </w:rPr>
            </w:pPr>
          </w:p>
        </w:tc>
        <w:tc>
          <w:tcPr>
            <w:tcW w:w="847" w:type="dxa"/>
            <w:vAlign w:val="top"/>
          </w:tcPr>
          <w:p w14:paraId="685FD42F">
            <w:pPr>
              <w:rPr>
                <w:rFonts w:ascii="Arial"/>
                <w:sz w:val="21"/>
              </w:rPr>
            </w:pPr>
          </w:p>
        </w:tc>
        <w:tc>
          <w:tcPr>
            <w:tcW w:w="801" w:type="dxa"/>
            <w:vAlign w:val="top"/>
          </w:tcPr>
          <w:p w14:paraId="27B9A970">
            <w:pPr>
              <w:rPr>
                <w:rFonts w:ascii="Arial"/>
                <w:sz w:val="21"/>
              </w:rPr>
            </w:pPr>
          </w:p>
        </w:tc>
        <w:tc>
          <w:tcPr>
            <w:tcW w:w="1461" w:type="dxa"/>
            <w:vAlign w:val="top"/>
          </w:tcPr>
          <w:p w14:paraId="338785F8">
            <w:pPr>
              <w:rPr>
                <w:rFonts w:ascii="Arial"/>
                <w:sz w:val="21"/>
              </w:rPr>
            </w:pPr>
          </w:p>
        </w:tc>
        <w:tc>
          <w:tcPr>
            <w:tcW w:w="815" w:type="dxa"/>
            <w:tcBorders>
              <w:right w:val="single" w:color="000000" w:sz="10" w:space="0"/>
            </w:tcBorders>
            <w:vAlign w:val="top"/>
          </w:tcPr>
          <w:p w14:paraId="1AB0697A">
            <w:pPr>
              <w:rPr>
                <w:rFonts w:ascii="Arial"/>
                <w:sz w:val="21"/>
              </w:rPr>
            </w:pPr>
          </w:p>
        </w:tc>
      </w:tr>
      <w:tr w14:paraId="5A043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4112EA88">
            <w:pPr>
              <w:rPr>
                <w:rFonts w:ascii="Arial"/>
                <w:sz w:val="21"/>
              </w:rPr>
            </w:pPr>
          </w:p>
        </w:tc>
        <w:tc>
          <w:tcPr>
            <w:tcW w:w="1131" w:type="dxa"/>
            <w:vAlign w:val="top"/>
          </w:tcPr>
          <w:p w14:paraId="526C2C8B">
            <w:pPr>
              <w:rPr>
                <w:rFonts w:ascii="Arial"/>
                <w:sz w:val="21"/>
              </w:rPr>
            </w:pPr>
          </w:p>
        </w:tc>
        <w:tc>
          <w:tcPr>
            <w:tcW w:w="848" w:type="dxa"/>
            <w:vAlign w:val="top"/>
          </w:tcPr>
          <w:p w14:paraId="6F63E950">
            <w:pPr>
              <w:rPr>
                <w:rFonts w:ascii="Arial"/>
                <w:sz w:val="21"/>
              </w:rPr>
            </w:pPr>
          </w:p>
        </w:tc>
        <w:tc>
          <w:tcPr>
            <w:tcW w:w="706" w:type="dxa"/>
            <w:vAlign w:val="top"/>
          </w:tcPr>
          <w:p w14:paraId="05ACAE59">
            <w:pPr>
              <w:rPr>
                <w:rFonts w:ascii="Arial"/>
                <w:sz w:val="21"/>
              </w:rPr>
            </w:pPr>
          </w:p>
        </w:tc>
        <w:tc>
          <w:tcPr>
            <w:tcW w:w="707" w:type="dxa"/>
            <w:vAlign w:val="top"/>
          </w:tcPr>
          <w:p w14:paraId="2F954A7A">
            <w:pPr>
              <w:rPr>
                <w:rFonts w:ascii="Arial"/>
                <w:sz w:val="21"/>
              </w:rPr>
            </w:pPr>
          </w:p>
        </w:tc>
        <w:tc>
          <w:tcPr>
            <w:tcW w:w="848" w:type="dxa"/>
            <w:vAlign w:val="top"/>
          </w:tcPr>
          <w:p w14:paraId="048385F2">
            <w:pPr>
              <w:rPr>
                <w:rFonts w:ascii="Arial"/>
                <w:sz w:val="21"/>
              </w:rPr>
            </w:pPr>
          </w:p>
        </w:tc>
        <w:tc>
          <w:tcPr>
            <w:tcW w:w="847" w:type="dxa"/>
            <w:vAlign w:val="top"/>
          </w:tcPr>
          <w:p w14:paraId="4AF86938">
            <w:pPr>
              <w:rPr>
                <w:rFonts w:ascii="Arial"/>
                <w:sz w:val="21"/>
              </w:rPr>
            </w:pPr>
          </w:p>
        </w:tc>
        <w:tc>
          <w:tcPr>
            <w:tcW w:w="801" w:type="dxa"/>
            <w:vAlign w:val="top"/>
          </w:tcPr>
          <w:p w14:paraId="4F99BFA4">
            <w:pPr>
              <w:rPr>
                <w:rFonts w:ascii="Arial"/>
                <w:sz w:val="21"/>
              </w:rPr>
            </w:pPr>
          </w:p>
        </w:tc>
        <w:tc>
          <w:tcPr>
            <w:tcW w:w="1461" w:type="dxa"/>
            <w:vAlign w:val="top"/>
          </w:tcPr>
          <w:p w14:paraId="54F16A2E">
            <w:pPr>
              <w:rPr>
                <w:rFonts w:ascii="Arial"/>
                <w:sz w:val="21"/>
              </w:rPr>
            </w:pPr>
          </w:p>
        </w:tc>
        <w:tc>
          <w:tcPr>
            <w:tcW w:w="815" w:type="dxa"/>
            <w:tcBorders>
              <w:right w:val="single" w:color="000000" w:sz="10" w:space="0"/>
            </w:tcBorders>
            <w:vAlign w:val="top"/>
          </w:tcPr>
          <w:p w14:paraId="4C7249FA">
            <w:pPr>
              <w:rPr>
                <w:rFonts w:ascii="Arial"/>
                <w:sz w:val="21"/>
              </w:rPr>
            </w:pPr>
          </w:p>
        </w:tc>
      </w:tr>
      <w:tr w14:paraId="7EC82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2B2AE6F3">
            <w:pPr>
              <w:rPr>
                <w:rFonts w:ascii="Arial"/>
                <w:sz w:val="21"/>
              </w:rPr>
            </w:pPr>
          </w:p>
        </w:tc>
        <w:tc>
          <w:tcPr>
            <w:tcW w:w="1131" w:type="dxa"/>
            <w:vAlign w:val="top"/>
          </w:tcPr>
          <w:p w14:paraId="5C900475">
            <w:pPr>
              <w:rPr>
                <w:rFonts w:ascii="Arial"/>
                <w:sz w:val="21"/>
              </w:rPr>
            </w:pPr>
          </w:p>
        </w:tc>
        <w:tc>
          <w:tcPr>
            <w:tcW w:w="848" w:type="dxa"/>
            <w:vAlign w:val="top"/>
          </w:tcPr>
          <w:p w14:paraId="74EAD4D0">
            <w:pPr>
              <w:rPr>
                <w:rFonts w:ascii="Arial"/>
                <w:sz w:val="21"/>
              </w:rPr>
            </w:pPr>
          </w:p>
        </w:tc>
        <w:tc>
          <w:tcPr>
            <w:tcW w:w="706" w:type="dxa"/>
            <w:vAlign w:val="top"/>
          </w:tcPr>
          <w:p w14:paraId="1A06BCF4">
            <w:pPr>
              <w:rPr>
                <w:rFonts w:ascii="Arial"/>
                <w:sz w:val="21"/>
              </w:rPr>
            </w:pPr>
          </w:p>
        </w:tc>
        <w:tc>
          <w:tcPr>
            <w:tcW w:w="707" w:type="dxa"/>
            <w:vAlign w:val="top"/>
          </w:tcPr>
          <w:p w14:paraId="70BF2EB5">
            <w:pPr>
              <w:rPr>
                <w:rFonts w:ascii="Arial"/>
                <w:sz w:val="21"/>
              </w:rPr>
            </w:pPr>
          </w:p>
        </w:tc>
        <w:tc>
          <w:tcPr>
            <w:tcW w:w="848" w:type="dxa"/>
            <w:vAlign w:val="top"/>
          </w:tcPr>
          <w:p w14:paraId="20A920BF">
            <w:pPr>
              <w:rPr>
                <w:rFonts w:ascii="Arial"/>
                <w:sz w:val="21"/>
              </w:rPr>
            </w:pPr>
          </w:p>
        </w:tc>
        <w:tc>
          <w:tcPr>
            <w:tcW w:w="847" w:type="dxa"/>
            <w:vAlign w:val="top"/>
          </w:tcPr>
          <w:p w14:paraId="03CFF7BC">
            <w:pPr>
              <w:rPr>
                <w:rFonts w:ascii="Arial"/>
                <w:sz w:val="21"/>
              </w:rPr>
            </w:pPr>
          </w:p>
        </w:tc>
        <w:tc>
          <w:tcPr>
            <w:tcW w:w="801" w:type="dxa"/>
            <w:vAlign w:val="top"/>
          </w:tcPr>
          <w:p w14:paraId="4CC8FB21">
            <w:pPr>
              <w:rPr>
                <w:rFonts w:ascii="Arial"/>
                <w:sz w:val="21"/>
              </w:rPr>
            </w:pPr>
          </w:p>
        </w:tc>
        <w:tc>
          <w:tcPr>
            <w:tcW w:w="1461" w:type="dxa"/>
            <w:vAlign w:val="top"/>
          </w:tcPr>
          <w:p w14:paraId="04FDF8AC">
            <w:pPr>
              <w:rPr>
                <w:rFonts w:ascii="Arial"/>
                <w:sz w:val="21"/>
              </w:rPr>
            </w:pPr>
          </w:p>
        </w:tc>
        <w:tc>
          <w:tcPr>
            <w:tcW w:w="815" w:type="dxa"/>
            <w:tcBorders>
              <w:right w:val="single" w:color="000000" w:sz="10" w:space="0"/>
            </w:tcBorders>
            <w:vAlign w:val="top"/>
          </w:tcPr>
          <w:p w14:paraId="09E344B1">
            <w:pPr>
              <w:rPr>
                <w:rFonts w:ascii="Arial"/>
                <w:sz w:val="21"/>
              </w:rPr>
            </w:pPr>
          </w:p>
        </w:tc>
      </w:tr>
      <w:tr w14:paraId="4DA33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7A0B93EC">
            <w:pPr>
              <w:rPr>
                <w:rFonts w:ascii="Arial"/>
                <w:sz w:val="21"/>
              </w:rPr>
            </w:pPr>
          </w:p>
        </w:tc>
        <w:tc>
          <w:tcPr>
            <w:tcW w:w="1131" w:type="dxa"/>
            <w:vAlign w:val="top"/>
          </w:tcPr>
          <w:p w14:paraId="6ECA620D">
            <w:pPr>
              <w:rPr>
                <w:rFonts w:ascii="Arial"/>
                <w:sz w:val="21"/>
              </w:rPr>
            </w:pPr>
          </w:p>
        </w:tc>
        <w:tc>
          <w:tcPr>
            <w:tcW w:w="848" w:type="dxa"/>
            <w:vAlign w:val="top"/>
          </w:tcPr>
          <w:p w14:paraId="3832D561">
            <w:pPr>
              <w:rPr>
                <w:rFonts w:ascii="Arial"/>
                <w:sz w:val="21"/>
              </w:rPr>
            </w:pPr>
          </w:p>
        </w:tc>
        <w:tc>
          <w:tcPr>
            <w:tcW w:w="706" w:type="dxa"/>
            <w:vAlign w:val="top"/>
          </w:tcPr>
          <w:p w14:paraId="5A663350">
            <w:pPr>
              <w:rPr>
                <w:rFonts w:ascii="Arial"/>
                <w:sz w:val="21"/>
              </w:rPr>
            </w:pPr>
          </w:p>
        </w:tc>
        <w:tc>
          <w:tcPr>
            <w:tcW w:w="707" w:type="dxa"/>
            <w:vAlign w:val="top"/>
          </w:tcPr>
          <w:p w14:paraId="1F660E7C">
            <w:pPr>
              <w:rPr>
                <w:rFonts w:ascii="Arial"/>
                <w:sz w:val="21"/>
              </w:rPr>
            </w:pPr>
          </w:p>
        </w:tc>
        <w:tc>
          <w:tcPr>
            <w:tcW w:w="848" w:type="dxa"/>
            <w:vAlign w:val="top"/>
          </w:tcPr>
          <w:p w14:paraId="5D695A8D">
            <w:pPr>
              <w:rPr>
                <w:rFonts w:ascii="Arial"/>
                <w:sz w:val="21"/>
              </w:rPr>
            </w:pPr>
          </w:p>
        </w:tc>
        <w:tc>
          <w:tcPr>
            <w:tcW w:w="847" w:type="dxa"/>
            <w:vAlign w:val="top"/>
          </w:tcPr>
          <w:p w14:paraId="75132AEF">
            <w:pPr>
              <w:rPr>
                <w:rFonts w:ascii="Arial"/>
                <w:sz w:val="21"/>
              </w:rPr>
            </w:pPr>
          </w:p>
        </w:tc>
        <w:tc>
          <w:tcPr>
            <w:tcW w:w="801" w:type="dxa"/>
            <w:vAlign w:val="top"/>
          </w:tcPr>
          <w:p w14:paraId="0F576671">
            <w:pPr>
              <w:rPr>
                <w:rFonts w:ascii="Arial"/>
                <w:sz w:val="21"/>
              </w:rPr>
            </w:pPr>
          </w:p>
        </w:tc>
        <w:tc>
          <w:tcPr>
            <w:tcW w:w="1461" w:type="dxa"/>
            <w:vAlign w:val="top"/>
          </w:tcPr>
          <w:p w14:paraId="016E2F49">
            <w:pPr>
              <w:rPr>
                <w:rFonts w:ascii="Arial"/>
                <w:sz w:val="21"/>
              </w:rPr>
            </w:pPr>
          </w:p>
        </w:tc>
        <w:tc>
          <w:tcPr>
            <w:tcW w:w="815" w:type="dxa"/>
            <w:tcBorders>
              <w:right w:val="single" w:color="000000" w:sz="10" w:space="0"/>
            </w:tcBorders>
            <w:vAlign w:val="top"/>
          </w:tcPr>
          <w:p w14:paraId="447E724B">
            <w:pPr>
              <w:rPr>
                <w:rFonts w:ascii="Arial"/>
                <w:sz w:val="21"/>
              </w:rPr>
            </w:pPr>
          </w:p>
        </w:tc>
      </w:tr>
      <w:tr w14:paraId="5678A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5FF6D745">
            <w:pPr>
              <w:rPr>
                <w:rFonts w:ascii="Arial"/>
                <w:sz w:val="21"/>
              </w:rPr>
            </w:pPr>
          </w:p>
        </w:tc>
        <w:tc>
          <w:tcPr>
            <w:tcW w:w="1131" w:type="dxa"/>
            <w:vAlign w:val="top"/>
          </w:tcPr>
          <w:p w14:paraId="293DA6F2">
            <w:pPr>
              <w:rPr>
                <w:rFonts w:ascii="Arial"/>
                <w:sz w:val="21"/>
              </w:rPr>
            </w:pPr>
          </w:p>
        </w:tc>
        <w:tc>
          <w:tcPr>
            <w:tcW w:w="848" w:type="dxa"/>
            <w:vAlign w:val="top"/>
          </w:tcPr>
          <w:p w14:paraId="612DF2DE">
            <w:pPr>
              <w:rPr>
                <w:rFonts w:ascii="Arial"/>
                <w:sz w:val="21"/>
              </w:rPr>
            </w:pPr>
          </w:p>
        </w:tc>
        <w:tc>
          <w:tcPr>
            <w:tcW w:w="706" w:type="dxa"/>
            <w:vAlign w:val="top"/>
          </w:tcPr>
          <w:p w14:paraId="03D94930">
            <w:pPr>
              <w:rPr>
                <w:rFonts w:ascii="Arial"/>
                <w:sz w:val="21"/>
              </w:rPr>
            </w:pPr>
          </w:p>
        </w:tc>
        <w:tc>
          <w:tcPr>
            <w:tcW w:w="707" w:type="dxa"/>
            <w:vAlign w:val="top"/>
          </w:tcPr>
          <w:p w14:paraId="6A1E1CBE">
            <w:pPr>
              <w:rPr>
                <w:rFonts w:ascii="Arial"/>
                <w:sz w:val="21"/>
              </w:rPr>
            </w:pPr>
          </w:p>
        </w:tc>
        <w:tc>
          <w:tcPr>
            <w:tcW w:w="848" w:type="dxa"/>
            <w:vAlign w:val="top"/>
          </w:tcPr>
          <w:p w14:paraId="0BDAF0C1">
            <w:pPr>
              <w:rPr>
                <w:rFonts w:ascii="Arial"/>
                <w:sz w:val="21"/>
              </w:rPr>
            </w:pPr>
          </w:p>
        </w:tc>
        <w:tc>
          <w:tcPr>
            <w:tcW w:w="847" w:type="dxa"/>
            <w:vAlign w:val="top"/>
          </w:tcPr>
          <w:p w14:paraId="32E86FEC">
            <w:pPr>
              <w:rPr>
                <w:rFonts w:ascii="Arial"/>
                <w:sz w:val="21"/>
              </w:rPr>
            </w:pPr>
          </w:p>
        </w:tc>
        <w:tc>
          <w:tcPr>
            <w:tcW w:w="801" w:type="dxa"/>
            <w:vAlign w:val="top"/>
          </w:tcPr>
          <w:p w14:paraId="26F99B17">
            <w:pPr>
              <w:rPr>
                <w:rFonts w:ascii="Arial"/>
                <w:sz w:val="21"/>
              </w:rPr>
            </w:pPr>
          </w:p>
        </w:tc>
        <w:tc>
          <w:tcPr>
            <w:tcW w:w="1461" w:type="dxa"/>
            <w:vAlign w:val="top"/>
          </w:tcPr>
          <w:p w14:paraId="1BD647C2">
            <w:pPr>
              <w:rPr>
                <w:rFonts w:ascii="Arial"/>
                <w:sz w:val="21"/>
              </w:rPr>
            </w:pPr>
          </w:p>
        </w:tc>
        <w:tc>
          <w:tcPr>
            <w:tcW w:w="815" w:type="dxa"/>
            <w:tcBorders>
              <w:right w:val="single" w:color="000000" w:sz="10" w:space="0"/>
            </w:tcBorders>
            <w:vAlign w:val="top"/>
          </w:tcPr>
          <w:p w14:paraId="2DCB4E01">
            <w:pPr>
              <w:rPr>
                <w:rFonts w:ascii="Arial"/>
                <w:sz w:val="21"/>
              </w:rPr>
            </w:pPr>
          </w:p>
        </w:tc>
      </w:tr>
      <w:tr w14:paraId="1176F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3BFA1CA3">
            <w:pPr>
              <w:rPr>
                <w:rFonts w:ascii="Arial"/>
                <w:sz w:val="21"/>
              </w:rPr>
            </w:pPr>
          </w:p>
        </w:tc>
        <w:tc>
          <w:tcPr>
            <w:tcW w:w="1131" w:type="dxa"/>
            <w:vAlign w:val="top"/>
          </w:tcPr>
          <w:p w14:paraId="475E51E3">
            <w:pPr>
              <w:rPr>
                <w:rFonts w:ascii="Arial"/>
                <w:sz w:val="21"/>
              </w:rPr>
            </w:pPr>
          </w:p>
        </w:tc>
        <w:tc>
          <w:tcPr>
            <w:tcW w:w="848" w:type="dxa"/>
            <w:vAlign w:val="top"/>
          </w:tcPr>
          <w:p w14:paraId="394E1E35">
            <w:pPr>
              <w:rPr>
                <w:rFonts w:ascii="Arial"/>
                <w:sz w:val="21"/>
              </w:rPr>
            </w:pPr>
          </w:p>
        </w:tc>
        <w:tc>
          <w:tcPr>
            <w:tcW w:w="706" w:type="dxa"/>
            <w:vAlign w:val="top"/>
          </w:tcPr>
          <w:p w14:paraId="2A9A910E">
            <w:pPr>
              <w:rPr>
                <w:rFonts w:ascii="Arial"/>
                <w:sz w:val="21"/>
              </w:rPr>
            </w:pPr>
          </w:p>
        </w:tc>
        <w:tc>
          <w:tcPr>
            <w:tcW w:w="707" w:type="dxa"/>
            <w:vAlign w:val="top"/>
          </w:tcPr>
          <w:p w14:paraId="52DC758D">
            <w:pPr>
              <w:rPr>
                <w:rFonts w:ascii="Arial"/>
                <w:sz w:val="21"/>
              </w:rPr>
            </w:pPr>
          </w:p>
        </w:tc>
        <w:tc>
          <w:tcPr>
            <w:tcW w:w="848" w:type="dxa"/>
            <w:vAlign w:val="top"/>
          </w:tcPr>
          <w:p w14:paraId="57B78ED9">
            <w:pPr>
              <w:rPr>
                <w:rFonts w:ascii="Arial"/>
                <w:sz w:val="21"/>
              </w:rPr>
            </w:pPr>
          </w:p>
        </w:tc>
        <w:tc>
          <w:tcPr>
            <w:tcW w:w="847" w:type="dxa"/>
            <w:vAlign w:val="top"/>
          </w:tcPr>
          <w:p w14:paraId="55BF3152">
            <w:pPr>
              <w:rPr>
                <w:rFonts w:ascii="Arial"/>
                <w:sz w:val="21"/>
              </w:rPr>
            </w:pPr>
          </w:p>
        </w:tc>
        <w:tc>
          <w:tcPr>
            <w:tcW w:w="801" w:type="dxa"/>
            <w:vAlign w:val="top"/>
          </w:tcPr>
          <w:p w14:paraId="3341A2AC">
            <w:pPr>
              <w:rPr>
                <w:rFonts w:ascii="Arial"/>
                <w:sz w:val="21"/>
              </w:rPr>
            </w:pPr>
          </w:p>
        </w:tc>
        <w:tc>
          <w:tcPr>
            <w:tcW w:w="1461" w:type="dxa"/>
            <w:vAlign w:val="top"/>
          </w:tcPr>
          <w:p w14:paraId="63C5FCE5">
            <w:pPr>
              <w:rPr>
                <w:rFonts w:ascii="Arial"/>
                <w:sz w:val="21"/>
              </w:rPr>
            </w:pPr>
          </w:p>
        </w:tc>
        <w:tc>
          <w:tcPr>
            <w:tcW w:w="815" w:type="dxa"/>
            <w:tcBorders>
              <w:right w:val="single" w:color="000000" w:sz="10" w:space="0"/>
            </w:tcBorders>
            <w:vAlign w:val="top"/>
          </w:tcPr>
          <w:p w14:paraId="35CBA000">
            <w:pPr>
              <w:rPr>
                <w:rFonts w:ascii="Arial"/>
                <w:sz w:val="21"/>
              </w:rPr>
            </w:pPr>
          </w:p>
        </w:tc>
      </w:tr>
      <w:tr w14:paraId="06249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5B94FF6E">
            <w:pPr>
              <w:rPr>
                <w:rFonts w:ascii="Arial"/>
                <w:sz w:val="21"/>
              </w:rPr>
            </w:pPr>
          </w:p>
        </w:tc>
        <w:tc>
          <w:tcPr>
            <w:tcW w:w="1131" w:type="dxa"/>
            <w:vAlign w:val="top"/>
          </w:tcPr>
          <w:p w14:paraId="537EC42E">
            <w:pPr>
              <w:rPr>
                <w:rFonts w:ascii="Arial"/>
                <w:sz w:val="21"/>
              </w:rPr>
            </w:pPr>
          </w:p>
        </w:tc>
        <w:tc>
          <w:tcPr>
            <w:tcW w:w="848" w:type="dxa"/>
            <w:vAlign w:val="top"/>
          </w:tcPr>
          <w:p w14:paraId="28D344A0">
            <w:pPr>
              <w:rPr>
                <w:rFonts w:ascii="Arial"/>
                <w:sz w:val="21"/>
              </w:rPr>
            </w:pPr>
          </w:p>
        </w:tc>
        <w:tc>
          <w:tcPr>
            <w:tcW w:w="706" w:type="dxa"/>
            <w:vAlign w:val="top"/>
          </w:tcPr>
          <w:p w14:paraId="57F31108">
            <w:pPr>
              <w:rPr>
                <w:rFonts w:ascii="Arial"/>
                <w:sz w:val="21"/>
              </w:rPr>
            </w:pPr>
          </w:p>
        </w:tc>
        <w:tc>
          <w:tcPr>
            <w:tcW w:w="707" w:type="dxa"/>
            <w:vAlign w:val="top"/>
          </w:tcPr>
          <w:p w14:paraId="5F111E44">
            <w:pPr>
              <w:rPr>
                <w:rFonts w:ascii="Arial"/>
                <w:sz w:val="21"/>
              </w:rPr>
            </w:pPr>
          </w:p>
        </w:tc>
        <w:tc>
          <w:tcPr>
            <w:tcW w:w="848" w:type="dxa"/>
            <w:vAlign w:val="top"/>
          </w:tcPr>
          <w:p w14:paraId="095FFF4C">
            <w:pPr>
              <w:rPr>
                <w:rFonts w:ascii="Arial"/>
                <w:sz w:val="21"/>
              </w:rPr>
            </w:pPr>
          </w:p>
        </w:tc>
        <w:tc>
          <w:tcPr>
            <w:tcW w:w="847" w:type="dxa"/>
            <w:vAlign w:val="top"/>
          </w:tcPr>
          <w:p w14:paraId="3EC00DDA">
            <w:pPr>
              <w:rPr>
                <w:rFonts w:ascii="Arial"/>
                <w:sz w:val="21"/>
              </w:rPr>
            </w:pPr>
          </w:p>
        </w:tc>
        <w:tc>
          <w:tcPr>
            <w:tcW w:w="801" w:type="dxa"/>
            <w:vAlign w:val="top"/>
          </w:tcPr>
          <w:p w14:paraId="701D8BA8">
            <w:pPr>
              <w:rPr>
                <w:rFonts w:ascii="Arial"/>
                <w:sz w:val="21"/>
              </w:rPr>
            </w:pPr>
          </w:p>
        </w:tc>
        <w:tc>
          <w:tcPr>
            <w:tcW w:w="1461" w:type="dxa"/>
            <w:vAlign w:val="top"/>
          </w:tcPr>
          <w:p w14:paraId="19287D21">
            <w:pPr>
              <w:rPr>
                <w:rFonts w:ascii="Arial"/>
                <w:sz w:val="21"/>
              </w:rPr>
            </w:pPr>
          </w:p>
        </w:tc>
        <w:tc>
          <w:tcPr>
            <w:tcW w:w="815" w:type="dxa"/>
            <w:tcBorders>
              <w:right w:val="single" w:color="000000" w:sz="10" w:space="0"/>
            </w:tcBorders>
            <w:vAlign w:val="top"/>
          </w:tcPr>
          <w:p w14:paraId="6F83ED42">
            <w:pPr>
              <w:rPr>
                <w:rFonts w:ascii="Arial"/>
                <w:sz w:val="21"/>
              </w:rPr>
            </w:pPr>
          </w:p>
        </w:tc>
      </w:tr>
      <w:tr w14:paraId="09C7A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7E0D9E6F">
            <w:pPr>
              <w:rPr>
                <w:rFonts w:ascii="Arial"/>
                <w:sz w:val="21"/>
              </w:rPr>
            </w:pPr>
          </w:p>
        </w:tc>
        <w:tc>
          <w:tcPr>
            <w:tcW w:w="1131" w:type="dxa"/>
            <w:vAlign w:val="top"/>
          </w:tcPr>
          <w:p w14:paraId="24DCAF12">
            <w:pPr>
              <w:rPr>
                <w:rFonts w:ascii="Arial"/>
                <w:sz w:val="21"/>
              </w:rPr>
            </w:pPr>
          </w:p>
        </w:tc>
        <w:tc>
          <w:tcPr>
            <w:tcW w:w="848" w:type="dxa"/>
            <w:vAlign w:val="top"/>
          </w:tcPr>
          <w:p w14:paraId="594DC1A6">
            <w:pPr>
              <w:rPr>
                <w:rFonts w:ascii="Arial"/>
                <w:sz w:val="21"/>
              </w:rPr>
            </w:pPr>
          </w:p>
        </w:tc>
        <w:tc>
          <w:tcPr>
            <w:tcW w:w="706" w:type="dxa"/>
            <w:vAlign w:val="top"/>
          </w:tcPr>
          <w:p w14:paraId="6C8CB813">
            <w:pPr>
              <w:rPr>
                <w:rFonts w:ascii="Arial"/>
                <w:sz w:val="21"/>
              </w:rPr>
            </w:pPr>
          </w:p>
        </w:tc>
        <w:tc>
          <w:tcPr>
            <w:tcW w:w="707" w:type="dxa"/>
            <w:vAlign w:val="top"/>
          </w:tcPr>
          <w:p w14:paraId="3FA87944">
            <w:pPr>
              <w:rPr>
                <w:rFonts w:ascii="Arial"/>
                <w:sz w:val="21"/>
              </w:rPr>
            </w:pPr>
          </w:p>
        </w:tc>
        <w:tc>
          <w:tcPr>
            <w:tcW w:w="848" w:type="dxa"/>
            <w:vAlign w:val="top"/>
          </w:tcPr>
          <w:p w14:paraId="46864CC3">
            <w:pPr>
              <w:rPr>
                <w:rFonts w:ascii="Arial"/>
                <w:sz w:val="21"/>
              </w:rPr>
            </w:pPr>
          </w:p>
        </w:tc>
        <w:tc>
          <w:tcPr>
            <w:tcW w:w="847" w:type="dxa"/>
            <w:vAlign w:val="top"/>
          </w:tcPr>
          <w:p w14:paraId="778D5865">
            <w:pPr>
              <w:rPr>
                <w:rFonts w:ascii="Arial"/>
                <w:sz w:val="21"/>
              </w:rPr>
            </w:pPr>
          </w:p>
        </w:tc>
        <w:tc>
          <w:tcPr>
            <w:tcW w:w="801" w:type="dxa"/>
            <w:vAlign w:val="top"/>
          </w:tcPr>
          <w:p w14:paraId="0CEAB7FF">
            <w:pPr>
              <w:rPr>
                <w:rFonts w:ascii="Arial"/>
                <w:sz w:val="21"/>
              </w:rPr>
            </w:pPr>
          </w:p>
        </w:tc>
        <w:tc>
          <w:tcPr>
            <w:tcW w:w="1461" w:type="dxa"/>
            <w:vAlign w:val="top"/>
          </w:tcPr>
          <w:p w14:paraId="2C37D54A">
            <w:pPr>
              <w:rPr>
                <w:rFonts w:ascii="Arial"/>
                <w:sz w:val="21"/>
              </w:rPr>
            </w:pPr>
          </w:p>
        </w:tc>
        <w:tc>
          <w:tcPr>
            <w:tcW w:w="815" w:type="dxa"/>
            <w:tcBorders>
              <w:right w:val="single" w:color="000000" w:sz="10" w:space="0"/>
            </w:tcBorders>
            <w:vAlign w:val="top"/>
          </w:tcPr>
          <w:p w14:paraId="544C21B7">
            <w:pPr>
              <w:rPr>
                <w:rFonts w:ascii="Arial"/>
                <w:sz w:val="21"/>
              </w:rPr>
            </w:pPr>
          </w:p>
        </w:tc>
      </w:tr>
      <w:tr w14:paraId="6D3103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7EFFB72A">
            <w:pPr>
              <w:rPr>
                <w:rFonts w:ascii="Arial"/>
                <w:sz w:val="21"/>
              </w:rPr>
            </w:pPr>
          </w:p>
        </w:tc>
        <w:tc>
          <w:tcPr>
            <w:tcW w:w="1131" w:type="dxa"/>
            <w:vAlign w:val="top"/>
          </w:tcPr>
          <w:p w14:paraId="4EFC778F">
            <w:pPr>
              <w:rPr>
                <w:rFonts w:ascii="Arial"/>
                <w:sz w:val="21"/>
              </w:rPr>
            </w:pPr>
          </w:p>
        </w:tc>
        <w:tc>
          <w:tcPr>
            <w:tcW w:w="848" w:type="dxa"/>
            <w:vAlign w:val="top"/>
          </w:tcPr>
          <w:p w14:paraId="3EBBE799">
            <w:pPr>
              <w:rPr>
                <w:rFonts w:ascii="Arial"/>
                <w:sz w:val="21"/>
              </w:rPr>
            </w:pPr>
          </w:p>
        </w:tc>
        <w:tc>
          <w:tcPr>
            <w:tcW w:w="706" w:type="dxa"/>
            <w:vAlign w:val="top"/>
          </w:tcPr>
          <w:p w14:paraId="02D785C5">
            <w:pPr>
              <w:rPr>
                <w:rFonts w:ascii="Arial"/>
                <w:sz w:val="21"/>
              </w:rPr>
            </w:pPr>
          </w:p>
        </w:tc>
        <w:tc>
          <w:tcPr>
            <w:tcW w:w="707" w:type="dxa"/>
            <w:vAlign w:val="top"/>
          </w:tcPr>
          <w:p w14:paraId="7B82DAC8">
            <w:pPr>
              <w:rPr>
                <w:rFonts w:ascii="Arial"/>
                <w:sz w:val="21"/>
              </w:rPr>
            </w:pPr>
          </w:p>
        </w:tc>
        <w:tc>
          <w:tcPr>
            <w:tcW w:w="848" w:type="dxa"/>
            <w:vAlign w:val="top"/>
          </w:tcPr>
          <w:p w14:paraId="06E763E9">
            <w:pPr>
              <w:rPr>
                <w:rFonts w:ascii="Arial"/>
                <w:sz w:val="21"/>
              </w:rPr>
            </w:pPr>
          </w:p>
        </w:tc>
        <w:tc>
          <w:tcPr>
            <w:tcW w:w="847" w:type="dxa"/>
            <w:vAlign w:val="top"/>
          </w:tcPr>
          <w:p w14:paraId="270C021E">
            <w:pPr>
              <w:rPr>
                <w:rFonts w:ascii="Arial"/>
                <w:sz w:val="21"/>
              </w:rPr>
            </w:pPr>
          </w:p>
        </w:tc>
        <w:tc>
          <w:tcPr>
            <w:tcW w:w="801" w:type="dxa"/>
            <w:vAlign w:val="top"/>
          </w:tcPr>
          <w:p w14:paraId="39AF4AF1">
            <w:pPr>
              <w:rPr>
                <w:rFonts w:ascii="Arial"/>
                <w:sz w:val="21"/>
              </w:rPr>
            </w:pPr>
          </w:p>
        </w:tc>
        <w:tc>
          <w:tcPr>
            <w:tcW w:w="1461" w:type="dxa"/>
            <w:vAlign w:val="top"/>
          </w:tcPr>
          <w:p w14:paraId="29FDE26B">
            <w:pPr>
              <w:rPr>
                <w:rFonts w:ascii="Arial"/>
                <w:sz w:val="21"/>
              </w:rPr>
            </w:pPr>
          </w:p>
        </w:tc>
        <w:tc>
          <w:tcPr>
            <w:tcW w:w="815" w:type="dxa"/>
            <w:tcBorders>
              <w:right w:val="single" w:color="000000" w:sz="10" w:space="0"/>
            </w:tcBorders>
            <w:vAlign w:val="top"/>
          </w:tcPr>
          <w:p w14:paraId="0807A229">
            <w:pPr>
              <w:rPr>
                <w:rFonts w:ascii="Arial"/>
                <w:sz w:val="21"/>
              </w:rPr>
            </w:pPr>
          </w:p>
        </w:tc>
      </w:tr>
      <w:tr w14:paraId="55582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78525796">
            <w:pPr>
              <w:rPr>
                <w:rFonts w:ascii="Arial"/>
                <w:sz w:val="21"/>
              </w:rPr>
            </w:pPr>
          </w:p>
        </w:tc>
        <w:tc>
          <w:tcPr>
            <w:tcW w:w="1131" w:type="dxa"/>
            <w:vAlign w:val="top"/>
          </w:tcPr>
          <w:p w14:paraId="54846A48">
            <w:pPr>
              <w:rPr>
                <w:rFonts w:ascii="Arial"/>
                <w:sz w:val="21"/>
              </w:rPr>
            </w:pPr>
          </w:p>
        </w:tc>
        <w:tc>
          <w:tcPr>
            <w:tcW w:w="848" w:type="dxa"/>
            <w:vAlign w:val="top"/>
          </w:tcPr>
          <w:p w14:paraId="3918876A">
            <w:pPr>
              <w:rPr>
                <w:rFonts w:ascii="Arial"/>
                <w:sz w:val="21"/>
              </w:rPr>
            </w:pPr>
          </w:p>
        </w:tc>
        <w:tc>
          <w:tcPr>
            <w:tcW w:w="706" w:type="dxa"/>
            <w:vAlign w:val="top"/>
          </w:tcPr>
          <w:p w14:paraId="5E7F1388">
            <w:pPr>
              <w:rPr>
                <w:rFonts w:ascii="Arial"/>
                <w:sz w:val="21"/>
              </w:rPr>
            </w:pPr>
          </w:p>
        </w:tc>
        <w:tc>
          <w:tcPr>
            <w:tcW w:w="707" w:type="dxa"/>
            <w:vAlign w:val="top"/>
          </w:tcPr>
          <w:p w14:paraId="08B6A216">
            <w:pPr>
              <w:rPr>
                <w:rFonts w:ascii="Arial"/>
                <w:sz w:val="21"/>
              </w:rPr>
            </w:pPr>
          </w:p>
        </w:tc>
        <w:tc>
          <w:tcPr>
            <w:tcW w:w="848" w:type="dxa"/>
            <w:vAlign w:val="top"/>
          </w:tcPr>
          <w:p w14:paraId="79110E27">
            <w:pPr>
              <w:rPr>
                <w:rFonts w:ascii="Arial"/>
                <w:sz w:val="21"/>
              </w:rPr>
            </w:pPr>
          </w:p>
        </w:tc>
        <w:tc>
          <w:tcPr>
            <w:tcW w:w="847" w:type="dxa"/>
            <w:vAlign w:val="top"/>
          </w:tcPr>
          <w:p w14:paraId="701BEF3F">
            <w:pPr>
              <w:rPr>
                <w:rFonts w:ascii="Arial"/>
                <w:sz w:val="21"/>
              </w:rPr>
            </w:pPr>
          </w:p>
        </w:tc>
        <w:tc>
          <w:tcPr>
            <w:tcW w:w="801" w:type="dxa"/>
            <w:vAlign w:val="top"/>
          </w:tcPr>
          <w:p w14:paraId="6345D33B">
            <w:pPr>
              <w:rPr>
                <w:rFonts w:ascii="Arial"/>
                <w:sz w:val="21"/>
              </w:rPr>
            </w:pPr>
          </w:p>
        </w:tc>
        <w:tc>
          <w:tcPr>
            <w:tcW w:w="1461" w:type="dxa"/>
            <w:vAlign w:val="top"/>
          </w:tcPr>
          <w:p w14:paraId="1AD939A0">
            <w:pPr>
              <w:rPr>
                <w:rFonts w:ascii="Arial"/>
                <w:sz w:val="21"/>
              </w:rPr>
            </w:pPr>
          </w:p>
        </w:tc>
        <w:tc>
          <w:tcPr>
            <w:tcW w:w="815" w:type="dxa"/>
            <w:tcBorders>
              <w:right w:val="single" w:color="000000" w:sz="10" w:space="0"/>
            </w:tcBorders>
            <w:vAlign w:val="top"/>
          </w:tcPr>
          <w:p w14:paraId="6CAD0716">
            <w:pPr>
              <w:rPr>
                <w:rFonts w:ascii="Arial"/>
                <w:sz w:val="21"/>
              </w:rPr>
            </w:pPr>
          </w:p>
        </w:tc>
      </w:tr>
      <w:tr w14:paraId="5BA61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7C0A8A6D">
            <w:pPr>
              <w:rPr>
                <w:rFonts w:ascii="Arial"/>
                <w:sz w:val="21"/>
              </w:rPr>
            </w:pPr>
          </w:p>
        </w:tc>
        <w:tc>
          <w:tcPr>
            <w:tcW w:w="1131" w:type="dxa"/>
            <w:vAlign w:val="top"/>
          </w:tcPr>
          <w:p w14:paraId="28F13B92">
            <w:pPr>
              <w:rPr>
                <w:rFonts w:ascii="Arial"/>
                <w:sz w:val="21"/>
              </w:rPr>
            </w:pPr>
          </w:p>
        </w:tc>
        <w:tc>
          <w:tcPr>
            <w:tcW w:w="848" w:type="dxa"/>
            <w:vAlign w:val="top"/>
          </w:tcPr>
          <w:p w14:paraId="69855C1B">
            <w:pPr>
              <w:rPr>
                <w:rFonts w:ascii="Arial"/>
                <w:sz w:val="21"/>
              </w:rPr>
            </w:pPr>
          </w:p>
        </w:tc>
        <w:tc>
          <w:tcPr>
            <w:tcW w:w="706" w:type="dxa"/>
            <w:vAlign w:val="top"/>
          </w:tcPr>
          <w:p w14:paraId="292D9F8D">
            <w:pPr>
              <w:rPr>
                <w:rFonts w:ascii="Arial"/>
                <w:sz w:val="21"/>
              </w:rPr>
            </w:pPr>
          </w:p>
        </w:tc>
        <w:tc>
          <w:tcPr>
            <w:tcW w:w="707" w:type="dxa"/>
            <w:vAlign w:val="top"/>
          </w:tcPr>
          <w:p w14:paraId="4670C0A3">
            <w:pPr>
              <w:rPr>
                <w:rFonts w:ascii="Arial"/>
                <w:sz w:val="21"/>
              </w:rPr>
            </w:pPr>
          </w:p>
        </w:tc>
        <w:tc>
          <w:tcPr>
            <w:tcW w:w="848" w:type="dxa"/>
            <w:vAlign w:val="top"/>
          </w:tcPr>
          <w:p w14:paraId="4C9AB488">
            <w:pPr>
              <w:rPr>
                <w:rFonts w:ascii="Arial"/>
                <w:sz w:val="21"/>
              </w:rPr>
            </w:pPr>
          </w:p>
        </w:tc>
        <w:tc>
          <w:tcPr>
            <w:tcW w:w="847" w:type="dxa"/>
            <w:vAlign w:val="top"/>
          </w:tcPr>
          <w:p w14:paraId="3500E18F">
            <w:pPr>
              <w:rPr>
                <w:rFonts w:ascii="Arial"/>
                <w:sz w:val="21"/>
              </w:rPr>
            </w:pPr>
          </w:p>
        </w:tc>
        <w:tc>
          <w:tcPr>
            <w:tcW w:w="801" w:type="dxa"/>
            <w:vAlign w:val="top"/>
          </w:tcPr>
          <w:p w14:paraId="538DDE75">
            <w:pPr>
              <w:rPr>
                <w:rFonts w:ascii="Arial"/>
                <w:sz w:val="21"/>
              </w:rPr>
            </w:pPr>
          </w:p>
        </w:tc>
        <w:tc>
          <w:tcPr>
            <w:tcW w:w="1461" w:type="dxa"/>
            <w:vAlign w:val="top"/>
          </w:tcPr>
          <w:p w14:paraId="579D917D">
            <w:pPr>
              <w:rPr>
                <w:rFonts w:ascii="Arial"/>
                <w:sz w:val="21"/>
              </w:rPr>
            </w:pPr>
          </w:p>
        </w:tc>
        <w:tc>
          <w:tcPr>
            <w:tcW w:w="815" w:type="dxa"/>
            <w:tcBorders>
              <w:right w:val="single" w:color="000000" w:sz="10" w:space="0"/>
            </w:tcBorders>
            <w:vAlign w:val="top"/>
          </w:tcPr>
          <w:p w14:paraId="654E03F5">
            <w:pPr>
              <w:rPr>
                <w:rFonts w:ascii="Arial"/>
                <w:sz w:val="21"/>
              </w:rPr>
            </w:pPr>
          </w:p>
        </w:tc>
      </w:tr>
      <w:tr w14:paraId="5132A3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610F8C3B">
            <w:pPr>
              <w:rPr>
                <w:rFonts w:ascii="Arial"/>
                <w:sz w:val="21"/>
              </w:rPr>
            </w:pPr>
          </w:p>
        </w:tc>
        <w:tc>
          <w:tcPr>
            <w:tcW w:w="1131" w:type="dxa"/>
            <w:vAlign w:val="top"/>
          </w:tcPr>
          <w:p w14:paraId="1D5D8977">
            <w:pPr>
              <w:rPr>
                <w:rFonts w:ascii="Arial"/>
                <w:sz w:val="21"/>
              </w:rPr>
            </w:pPr>
          </w:p>
        </w:tc>
        <w:tc>
          <w:tcPr>
            <w:tcW w:w="848" w:type="dxa"/>
            <w:vAlign w:val="top"/>
          </w:tcPr>
          <w:p w14:paraId="03195594">
            <w:pPr>
              <w:rPr>
                <w:rFonts w:ascii="Arial"/>
                <w:sz w:val="21"/>
              </w:rPr>
            </w:pPr>
          </w:p>
        </w:tc>
        <w:tc>
          <w:tcPr>
            <w:tcW w:w="706" w:type="dxa"/>
            <w:vAlign w:val="top"/>
          </w:tcPr>
          <w:p w14:paraId="6224D9EA">
            <w:pPr>
              <w:rPr>
                <w:rFonts w:ascii="Arial"/>
                <w:sz w:val="21"/>
              </w:rPr>
            </w:pPr>
          </w:p>
        </w:tc>
        <w:tc>
          <w:tcPr>
            <w:tcW w:w="707" w:type="dxa"/>
            <w:vAlign w:val="top"/>
          </w:tcPr>
          <w:p w14:paraId="7C33ED9C">
            <w:pPr>
              <w:rPr>
                <w:rFonts w:ascii="Arial"/>
                <w:sz w:val="21"/>
              </w:rPr>
            </w:pPr>
          </w:p>
        </w:tc>
        <w:tc>
          <w:tcPr>
            <w:tcW w:w="848" w:type="dxa"/>
            <w:vAlign w:val="top"/>
          </w:tcPr>
          <w:p w14:paraId="29AFFE85">
            <w:pPr>
              <w:rPr>
                <w:rFonts w:ascii="Arial"/>
                <w:sz w:val="21"/>
              </w:rPr>
            </w:pPr>
          </w:p>
        </w:tc>
        <w:tc>
          <w:tcPr>
            <w:tcW w:w="847" w:type="dxa"/>
            <w:vAlign w:val="top"/>
          </w:tcPr>
          <w:p w14:paraId="0A5D4281">
            <w:pPr>
              <w:rPr>
                <w:rFonts w:ascii="Arial"/>
                <w:sz w:val="21"/>
              </w:rPr>
            </w:pPr>
          </w:p>
        </w:tc>
        <w:tc>
          <w:tcPr>
            <w:tcW w:w="801" w:type="dxa"/>
            <w:vAlign w:val="top"/>
          </w:tcPr>
          <w:p w14:paraId="5A14222A">
            <w:pPr>
              <w:rPr>
                <w:rFonts w:ascii="Arial"/>
                <w:sz w:val="21"/>
              </w:rPr>
            </w:pPr>
          </w:p>
        </w:tc>
        <w:tc>
          <w:tcPr>
            <w:tcW w:w="1461" w:type="dxa"/>
            <w:vAlign w:val="top"/>
          </w:tcPr>
          <w:p w14:paraId="74634855">
            <w:pPr>
              <w:rPr>
                <w:rFonts w:ascii="Arial"/>
                <w:sz w:val="21"/>
              </w:rPr>
            </w:pPr>
          </w:p>
        </w:tc>
        <w:tc>
          <w:tcPr>
            <w:tcW w:w="815" w:type="dxa"/>
            <w:tcBorders>
              <w:right w:val="single" w:color="000000" w:sz="10" w:space="0"/>
            </w:tcBorders>
            <w:vAlign w:val="top"/>
          </w:tcPr>
          <w:p w14:paraId="51B2DD1A">
            <w:pPr>
              <w:rPr>
                <w:rFonts w:ascii="Arial"/>
                <w:sz w:val="21"/>
              </w:rPr>
            </w:pPr>
          </w:p>
        </w:tc>
      </w:tr>
      <w:tr w14:paraId="1DBC4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0685CBA1">
            <w:pPr>
              <w:rPr>
                <w:rFonts w:ascii="Arial"/>
                <w:sz w:val="21"/>
              </w:rPr>
            </w:pPr>
          </w:p>
        </w:tc>
        <w:tc>
          <w:tcPr>
            <w:tcW w:w="1131" w:type="dxa"/>
            <w:vAlign w:val="top"/>
          </w:tcPr>
          <w:p w14:paraId="5B0B2371">
            <w:pPr>
              <w:rPr>
                <w:rFonts w:ascii="Arial"/>
                <w:sz w:val="21"/>
              </w:rPr>
            </w:pPr>
          </w:p>
        </w:tc>
        <w:tc>
          <w:tcPr>
            <w:tcW w:w="848" w:type="dxa"/>
            <w:vAlign w:val="top"/>
          </w:tcPr>
          <w:p w14:paraId="1F4BC988">
            <w:pPr>
              <w:rPr>
                <w:rFonts w:ascii="Arial"/>
                <w:sz w:val="21"/>
              </w:rPr>
            </w:pPr>
          </w:p>
        </w:tc>
        <w:tc>
          <w:tcPr>
            <w:tcW w:w="706" w:type="dxa"/>
            <w:vAlign w:val="top"/>
          </w:tcPr>
          <w:p w14:paraId="5FACD5C5">
            <w:pPr>
              <w:rPr>
                <w:rFonts w:ascii="Arial"/>
                <w:sz w:val="21"/>
              </w:rPr>
            </w:pPr>
          </w:p>
        </w:tc>
        <w:tc>
          <w:tcPr>
            <w:tcW w:w="707" w:type="dxa"/>
            <w:vAlign w:val="top"/>
          </w:tcPr>
          <w:p w14:paraId="2BCC5127">
            <w:pPr>
              <w:rPr>
                <w:rFonts w:ascii="Arial"/>
                <w:sz w:val="21"/>
              </w:rPr>
            </w:pPr>
          </w:p>
        </w:tc>
        <w:tc>
          <w:tcPr>
            <w:tcW w:w="848" w:type="dxa"/>
            <w:vAlign w:val="top"/>
          </w:tcPr>
          <w:p w14:paraId="783D5BF7">
            <w:pPr>
              <w:rPr>
                <w:rFonts w:ascii="Arial"/>
                <w:sz w:val="21"/>
              </w:rPr>
            </w:pPr>
          </w:p>
        </w:tc>
        <w:tc>
          <w:tcPr>
            <w:tcW w:w="847" w:type="dxa"/>
            <w:vAlign w:val="top"/>
          </w:tcPr>
          <w:p w14:paraId="66E4D1E8">
            <w:pPr>
              <w:rPr>
                <w:rFonts w:ascii="Arial"/>
                <w:sz w:val="21"/>
              </w:rPr>
            </w:pPr>
          </w:p>
        </w:tc>
        <w:tc>
          <w:tcPr>
            <w:tcW w:w="801" w:type="dxa"/>
            <w:vAlign w:val="top"/>
          </w:tcPr>
          <w:p w14:paraId="4D2FD950">
            <w:pPr>
              <w:rPr>
                <w:rFonts w:ascii="Arial"/>
                <w:sz w:val="21"/>
              </w:rPr>
            </w:pPr>
          </w:p>
        </w:tc>
        <w:tc>
          <w:tcPr>
            <w:tcW w:w="1461" w:type="dxa"/>
            <w:vAlign w:val="top"/>
          </w:tcPr>
          <w:p w14:paraId="28106320">
            <w:pPr>
              <w:rPr>
                <w:rFonts w:ascii="Arial"/>
                <w:sz w:val="21"/>
              </w:rPr>
            </w:pPr>
          </w:p>
        </w:tc>
        <w:tc>
          <w:tcPr>
            <w:tcW w:w="815" w:type="dxa"/>
            <w:tcBorders>
              <w:right w:val="single" w:color="000000" w:sz="10" w:space="0"/>
            </w:tcBorders>
            <w:vAlign w:val="top"/>
          </w:tcPr>
          <w:p w14:paraId="232BAD6B">
            <w:pPr>
              <w:rPr>
                <w:rFonts w:ascii="Arial"/>
                <w:sz w:val="21"/>
              </w:rPr>
            </w:pPr>
          </w:p>
        </w:tc>
      </w:tr>
      <w:tr w14:paraId="7B12B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037661EE">
            <w:pPr>
              <w:rPr>
                <w:rFonts w:ascii="Arial"/>
                <w:sz w:val="21"/>
              </w:rPr>
            </w:pPr>
          </w:p>
        </w:tc>
        <w:tc>
          <w:tcPr>
            <w:tcW w:w="1131" w:type="dxa"/>
            <w:vAlign w:val="top"/>
          </w:tcPr>
          <w:p w14:paraId="293CED0B">
            <w:pPr>
              <w:rPr>
                <w:rFonts w:ascii="Arial"/>
                <w:sz w:val="21"/>
              </w:rPr>
            </w:pPr>
          </w:p>
        </w:tc>
        <w:tc>
          <w:tcPr>
            <w:tcW w:w="848" w:type="dxa"/>
            <w:vAlign w:val="top"/>
          </w:tcPr>
          <w:p w14:paraId="298D19BC">
            <w:pPr>
              <w:rPr>
                <w:rFonts w:ascii="Arial"/>
                <w:sz w:val="21"/>
              </w:rPr>
            </w:pPr>
          </w:p>
        </w:tc>
        <w:tc>
          <w:tcPr>
            <w:tcW w:w="706" w:type="dxa"/>
            <w:vAlign w:val="top"/>
          </w:tcPr>
          <w:p w14:paraId="7FAADBAB">
            <w:pPr>
              <w:rPr>
                <w:rFonts w:ascii="Arial"/>
                <w:sz w:val="21"/>
              </w:rPr>
            </w:pPr>
          </w:p>
        </w:tc>
        <w:tc>
          <w:tcPr>
            <w:tcW w:w="707" w:type="dxa"/>
            <w:vAlign w:val="top"/>
          </w:tcPr>
          <w:p w14:paraId="283163FC">
            <w:pPr>
              <w:rPr>
                <w:rFonts w:ascii="Arial"/>
                <w:sz w:val="21"/>
              </w:rPr>
            </w:pPr>
          </w:p>
        </w:tc>
        <w:tc>
          <w:tcPr>
            <w:tcW w:w="848" w:type="dxa"/>
            <w:vAlign w:val="top"/>
          </w:tcPr>
          <w:p w14:paraId="1A8DC51D">
            <w:pPr>
              <w:rPr>
                <w:rFonts w:ascii="Arial"/>
                <w:sz w:val="21"/>
              </w:rPr>
            </w:pPr>
          </w:p>
        </w:tc>
        <w:tc>
          <w:tcPr>
            <w:tcW w:w="847" w:type="dxa"/>
            <w:vAlign w:val="top"/>
          </w:tcPr>
          <w:p w14:paraId="7629A00C">
            <w:pPr>
              <w:rPr>
                <w:rFonts w:ascii="Arial"/>
                <w:sz w:val="21"/>
              </w:rPr>
            </w:pPr>
          </w:p>
        </w:tc>
        <w:tc>
          <w:tcPr>
            <w:tcW w:w="801" w:type="dxa"/>
            <w:vAlign w:val="top"/>
          </w:tcPr>
          <w:p w14:paraId="5934A1C9">
            <w:pPr>
              <w:rPr>
                <w:rFonts w:ascii="Arial"/>
                <w:sz w:val="21"/>
              </w:rPr>
            </w:pPr>
          </w:p>
        </w:tc>
        <w:tc>
          <w:tcPr>
            <w:tcW w:w="1461" w:type="dxa"/>
            <w:vAlign w:val="top"/>
          </w:tcPr>
          <w:p w14:paraId="3539E280">
            <w:pPr>
              <w:rPr>
                <w:rFonts w:ascii="Arial"/>
                <w:sz w:val="21"/>
              </w:rPr>
            </w:pPr>
          </w:p>
        </w:tc>
        <w:tc>
          <w:tcPr>
            <w:tcW w:w="815" w:type="dxa"/>
            <w:tcBorders>
              <w:right w:val="single" w:color="000000" w:sz="10" w:space="0"/>
            </w:tcBorders>
            <w:vAlign w:val="top"/>
          </w:tcPr>
          <w:p w14:paraId="1526F5E8">
            <w:pPr>
              <w:rPr>
                <w:rFonts w:ascii="Arial"/>
                <w:sz w:val="21"/>
              </w:rPr>
            </w:pPr>
          </w:p>
        </w:tc>
      </w:tr>
      <w:tr w14:paraId="20919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579" w:type="dxa"/>
            <w:tcBorders>
              <w:left w:val="single" w:color="000000" w:sz="10" w:space="0"/>
            </w:tcBorders>
            <w:vAlign w:val="top"/>
          </w:tcPr>
          <w:p w14:paraId="4EAC94DF">
            <w:pPr>
              <w:rPr>
                <w:rFonts w:ascii="Arial"/>
                <w:sz w:val="21"/>
              </w:rPr>
            </w:pPr>
          </w:p>
        </w:tc>
        <w:tc>
          <w:tcPr>
            <w:tcW w:w="1131" w:type="dxa"/>
            <w:vAlign w:val="top"/>
          </w:tcPr>
          <w:p w14:paraId="4AA0414F">
            <w:pPr>
              <w:rPr>
                <w:rFonts w:ascii="Arial"/>
                <w:sz w:val="21"/>
              </w:rPr>
            </w:pPr>
          </w:p>
        </w:tc>
        <w:tc>
          <w:tcPr>
            <w:tcW w:w="848" w:type="dxa"/>
            <w:vAlign w:val="top"/>
          </w:tcPr>
          <w:p w14:paraId="6F30208E">
            <w:pPr>
              <w:rPr>
                <w:rFonts w:ascii="Arial"/>
                <w:sz w:val="21"/>
              </w:rPr>
            </w:pPr>
          </w:p>
        </w:tc>
        <w:tc>
          <w:tcPr>
            <w:tcW w:w="706" w:type="dxa"/>
            <w:vAlign w:val="top"/>
          </w:tcPr>
          <w:p w14:paraId="128B3CD8">
            <w:pPr>
              <w:rPr>
                <w:rFonts w:ascii="Arial"/>
                <w:sz w:val="21"/>
              </w:rPr>
            </w:pPr>
          </w:p>
        </w:tc>
        <w:tc>
          <w:tcPr>
            <w:tcW w:w="707" w:type="dxa"/>
            <w:vAlign w:val="top"/>
          </w:tcPr>
          <w:p w14:paraId="0D0CE904">
            <w:pPr>
              <w:rPr>
                <w:rFonts w:ascii="Arial"/>
                <w:sz w:val="21"/>
              </w:rPr>
            </w:pPr>
          </w:p>
        </w:tc>
        <w:tc>
          <w:tcPr>
            <w:tcW w:w="848" w:type="dxa"/>
            <w:vAlign w:val="top"/>
          </w:tcPr>
          <w:p w14:paraId="3FDD3B56">
            <w:pPr>
              <w:rPr>
                <w:rFonts w:ascii="Arial"/>
                <w:sz w:val="21"/>
              </w:rPr>
            </w:pPr>
          </w:p>
        </w:tc>
        <w:tc>
          <w:tcPr>
            <w:tcW w:w="847" w:type="dxa"/>
            <w:vAlign w:val="top"/>
          </w:tcPr>
          <w:p w14:paraId="547F80FC">
            <w:pPr>
              <w:rPr>
                <w:rFonts w:ascii="Arial"/>
                <w:sz w:val="21"/>
              </w:rPr>
            </w:pPr>
          </w:p>
        </w:tc>
        <w:tc>
          <w:tcPr>
            <w:tcW w:w="801" w:type="dxa"/>
            <w:vAlign w:val="top"/>
          </w:tcPr>
          <w:p w14:paraId="743AEAA2">
            <w:pPr>
              <w:rPr>
                <w:rFonts w:ascii="Arial"/>
                <w:sz w:val="21"/>
              </w:rPr>
            </w:pPr>
          </w:p>
        </w:tc>
        <w:tc>
          <w:tcPr>
            <w:tcW w:w="1461" w:type="dxa"/>
            <w:vAlign w:val="top"/>
          </w:tcPr>
          <w:p w14:paraId="513D3F8C">
            <w:pPr>
              <w:rPr>
                <w:rFonts w:ascii="Arial"/>
                <w:sz w:val="21"/>
              </w:rPr>
            </w:pPr>
          </w:p>
        </w:tc>
        <w:tc>
          <w:tcPr>
            <w:tcW w:w="815" w:type="dxa"/>
            <w:tcBorders>
              <w:right w:val="single" w:color="000000" w:sz="10" w:space="0"/>
            </w:tcBorders>
            <w:vAlign w:val="top"/>
          </w:tcPr>
          <w:p w14:paraId="72C1E8C1">
            <w:pPr>
              <w:rPr>
                <w:rFonts w:ascii="Arial"/>
                <w:sz w:val="21"/>
              </w:rPr>
            </w:pPr>
          </w:p>
        </w:tc>
      </w:tr>
      <w:tr w14:paraId="01702A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04C4AD7C">
            <w:pPr>
              <w:rPr>
                <w:rFonts w:ascii="Arial"/>
                <w:sz w:val="21"/>
              </w:rPr>
            </w:pPr>
          </w:p>
        </w:tc>
        <w:tc>
          <w:tcPr>
            <w:tcW w:w="1131" w:type="dxa"/>
            <w:vAlign w:val="top"/>
          </w:tcPr>
          <w:p w14:paraId="2BF9C0C5">
            <w:pPr>
              <w:rPr>
                <w:rFonts w:ascii="Arial"/>
                <w:sz w:val="21"/>
              </w:rPr>
            </w:pPr>
          </w:p>
        </w:tc>
        <w:tc>
          <w:tcPr>
            <w:tcW w:w="848" w:type="dxa"/>
            <w:vAlign w:val="top"/>
          </w:tcPr>
          <w:p w14:paraId="43F9D7A9">
            <w:pPr>
              <w:rPr>
                <w:rFonts w:ascii="Arial"/>
                <w:sz w:val="21"/>
              </w:rPr>
            </w:pPr>
          </w:p>
        </w:tc>
        <w:tc>
          <w:tcPr>
            <w:tcW w:w="706" w:type="dxa"/>
            <w:vAlign w:val="top"/>
          </w:tcPr>
          <w:p w14:paraId="7F1B9D56">
            <w:pPr>
              <w:rPr>
                <w:rFonts w:ascii="Arial"/>
                <w:sz w:val="21"/>
              </w:rPr>
            </w:pPr>
          </w:p>
        </w:tc>
        <w:tc>
          <w:tcPr>
            <w:tcW w:w="707" w:type="dxa"/>
            <w:vAlign w:val="top"/>
          </w:tcPr>
          <w:p w14:paraId="0D3E4A22">
            <w:pPr>
              <w:rPr>
                <w:rFonts w:ascii="Arial"/>
                <w:sz w:val="21"/>
              </w:rPr>
            </w:pPr>
          </w:p>
        </w:tc>
        <w:tc>
          <w:tcPr>
            <w:tcW w:w="848" w:type="dxa"/>
            <w:vAlign w:val="top"/>
          </w:tcPr>
          <w:p w14:paraId="02B06071">
            <w:pPr>
              <w:rPr>
                <w:rFonts w:ascii="Arial"/>
                <w:sz w:val="21"/>
              </w:rPr>
            </w:pPr>
          </w:p>
        </w:tc>
        <w:tc>
          <w:tcPr>
            <w:tcW w:w="847" w:type="dxa"/>
            <w:vAlign w:val="top"/>
          </w:tcPr>
          <w:p w14:paraId="672E7218">
            <w:pPr>
              <w:rPr>
                <w:rFonts w:ascii="Arial"/>
                <w:sz w:val="21"/>
              </w:rPr>
            </w:pPr>
          </w:p>
        </w:tc>
        <w:tc>
          <w:tcPr>
            <w:tcW w:w="801" w:type="dxa"/>
            <w:vAlign w:val="top"/>
          </w:tcPr>
          <w:p w14:paraId="332C9C6B">
            <w:pPr>
              <w:rPr>
                <w:rFonts w:ascii="Arial"/>
                <w:sz w:val="21"/>
              </w:rPr>
            </w:pPr>
          </w:p>
        </w:tc>
        <w:tc>
          <w:tcPr>
            <w:tcW w:w="1461" w:type="dxa"/>
            <w:vAlign w:val="top"/>
          </w:tcPr>
          <w:p w14:paraId="610CB309">
            <w:pPr>
              <w:rPr>
                <w:rFonts w:ascii="Arial"/>
                <w:sz w:val="21"/>
              </w:rPr>
            </w:pPr>
          </w:p>
        </w:tc>
        <w:tc>
          <w:tcPr>
            <w:tcW w:w="815" w:type="dxa"/>
            <w:tcBorders>
              <w:right w:val="single" w:color="000000" w:sz="10" w:space="0"/>
            </w:tcBorders>
            <w:vAlign w:val="top"/>
          </w:tcPr>
          <w:p w14:paraId="6F583E16">
            <w:pPr>
              <w:rPr>
                <w:rFonts w:ascii="Arial"/>
                <w:sz w:val="21"/>
              </w:rPr>
            </w:pPr>
          </w:p>
        </w:tc>
      </w:tr>
      <w:tr w14:paraId="51547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27A30388">
            <w:pPr>
              <w:rPr>
                <w:rFonts w:ascii="Arial"/>
                <w:sz w:val="21"/>
              </w:rPr>
            </w:pPr>
          </w:p>
        </w:tc>
        <w:tc>
          <w:tcPr>
            <w:tcW w:w="1131" w:type="dxa"/>
            <w:vAlign w:val="top"/>
          </w:tcPr>
          <w:p w14:paraId="6753BE3A">
            <w:pPr>
              <w:rPr>
                <w:rFonts w:ascii="Arial"/>
                <w:sz w:val="21"/>
              </w:rPr>
            </w:pPr>
          </w:p>
        </w:tc>
        <w:tc>
          <w:tcPr>
            <w:tcW w:w="848" w:type="dxa"/>
            <w:vAlign w:val="top"/>
          </w:tcPr>
          <w:p w14:paraId="37215557">
            <w:pPr>
              <w:rPr>
                <w:rFonts w:ascii="Arial"/>
                <w:sz w:val="21"/>
              </w:rPr>
            </w:pPr>
          </w:p>
        </w:tc>
        <w:tc>
          <w:tcPr>
            <w:tcW w:w="706" w:type="dxa"/>
            <w:vAlign w:val="top"/>
          </w:tcPr>
          <w:p w14:paraId="487B6993">
            <w:pPr>
              <w:rPr>
                <w:rFonts w:ascii="Arial"/>
                <w:sz w:val="21"/>
              </w:rPr>
            </w:pPr>
          </w:p>
        </w:tc>
        <w:tc>
          <w:tcPr>
            <w:tcW w:w="707" w:type="dxa"/>
            <w:vAlign w:val="top"/>
          </w:tcPr>
          <w:p w14:paraId="16949AE7">
            <w:pPr>
              <w:rPr>
                <w:rFonts w:ascii="Arial"/>
                <w:sz w:val="21"/>
              </w:rPr>
            </w:pPr>
          </w:p>
        </w:tc>
        <w:tc>
          <w:tcPr>
            <w:tcW w:w="848" w:type="dxa"/>
            <w:vAlign w:val="top"/>
          </w:tcPr>
          <w:p w14:paraId="1E4D17AE">
            <w:pPr>
              <w:rPr>
                <w:rFonts w:ascii="Arial"/>
                <w:sz w:val="21"/>
              </w:rPr>
            </w:pPr>
          </w:p>
        </w:tc>
        <w:tc>
          <w:tcPr>
            <w:tcW w:w="847" w:type="dxa"/>
            <w:vAlign w:val="top"/>
          </w:tcPr>
          <w:p w14:paraId="5F986779">
            <w:pPr>
              <w:rPr>
                <w:rFonts w:ascii="Arial"/>
                <w:sz w:val="21"/>
              </w:rPr>
            </w:pPr>
          </w:p>
        </w:tc>
        <w:tc>
          <w:tcPr>
            <w:tcW w:w="801" w:type="dxa"/>
            <w:vAlign w:val="top"/>
          </w:tcPr>
          <w:p w14:paraId="77A2DF81">
            <w:pPr>
              <w:rPr>
                <w:rFonts w:ascii="Arial"/>
                <w:sz w:val="21"/>
              </w:rPr>
            </w:pPr>
          </w:p>
        </w:tc>
        <w:tc>
          <w:tcPr>
            <w:tcW w:w="1461" w:type="dxa"/>
            <w:vAlign w:val="top"/>
          </w:tcPr>
          <w:p w14:paraId="39BE6C48">
            <w:pPr>
              <w:rPr>
                <w:rFonts w:ascii="Arial"/>
                <w:sz w:val="21"/>
              </w:rPr>
            </w:pPr>
          </w:p>
        </w:tc>
        <w:tc>
          <w:tcPr>
            <w:tcW w:w="815" w:type="dxa"/>
            <w:tcBorders>
              <w:right w:val="single" w:color="000000" w:sz="10" w:space="0"/>
            </w:tcBorders>
            <w:vAlign w:val="top"/>
          </w:tcPr>
          <w:p w14:paraId="3EB9D3F6">
            <w:pPr>
              <w:rPr>
                <w:rFonts w:ascii="Arial"/>
                <w:sz w:val="21"/>
              </w:rPr>
            </w:pPr>
          </w:p>
        </w:tc>
      </w:tr>
      <w:tr w14:paraId="722D4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579" w:type="dxa"/>
            <w:tcBorders>
              <w:left w:val="single" w:color="000000" w:sz="10" w:space="0"/>
              <w:bottom w:val="single" w:color="000000" w:sz="10" w:space="0"/>
            </w:tcBorders>
            <w:vAlign w:val="top"/>
          </w:tcPr>
          <w:p w14:paraId="48C8FECE">
            <w:pPr>
              <w:rPr>
                <w:rFonts w:ascii="Arial"/>
                <w:sz w:val="21"/>
              </w:rPr>
            </w:pPr>
          </w:p>
        </w:tc>
        <w:tc>
          <w:tcPr>
            <w:tcW w:w="1131" w:type="dxa"/>
            <w:tcBorders>
              <w:bottom w:val="single" w:color="000000" w:sz="10" w:space="0"/>
            </w:tcBorders>
            <w:vAlign w:val="top"/>
          </w:tcPr>
          <w:p w14:paraId="2018FF8D">
            <w:pPr>
              <w:rPr>
                <w:rFonts w:ascii="Arial"/>
                <w:sz w:val="21"/>
              </w:rPr>
            </w:pPr>
          </w:p>
        </w:tc>
        <w:tc>
          <w:tcPr>
            <w:tcW w:w="848" w:type="dxa"/>
            <w:tcBorders>
              <w:bottom w:val="single" w:color="000000" w:sz="10" w:space="0"/>
            </w:tcBorders>
            <w:vAlign w:val="top"/>
          </w:tcPr>
          <w:p w14:paraId="3E982F38">
            <w:pPr>
              <w:rPr>
                <w:rFonts w:ascii="Arial"/>
                <w:sz w:val="21"/>
              </w:rPr>
            </w:pPr>
          </w:p>
        </w:tc>
        <w:tc>
          <w:tcPr>
            <w:tcW w:w="706" w:type="dxa"/>
            <w:tcBorders>
              <w:bottom w:val="single" w:color="000000" w:sz="10" w:space="0"/>
            </w:tcBorders>
            <w:vAlign w:val="top"/>
          </w:tcPr>
          <w:p w14:paraId="2ECF4C5F">
            <w:pPr>
              <w:rPr>
                <w:rFonts w:ascii="Arial"/>
                <w:sz w:val="21"/>
              </w:rPr>
            </w:pPr>
          </w:p>
        </w:tc>
        <w:tc>
          <w:tcPr>
            <w:tcW w:w="707" w:type="dxa"/>
            <w:tcBorders>
              <w:bottom w:val="single" w:color="000000" w:sz="10" w:space="0"/>
            </w:tcBorders>
            <w:vAlign w:val="top"/>
          </w:tcPr>
          <w:p w14:paraId="1278B408">
            <w:pPr>
              <w:rPr>
                <w:rFonts w:ascii="Arial"/>
                <w:sz w:val="21"/>
              </w:rPr>
            </w:pPr>
          </w:p>
        </w:tc>
        <w:tc>
          <w:tcPr>
            <w:tcW w:w="848" w:type="dxa"/>
            <w:tcBorders>
              <w:bottom w:val="single" w:color="000000" w:sz="10" w:space="0"/>
            </w:tcBorders>
            <w:vAlign w:val="top"/>
          </w:tcPr>
          <w:p w14:paraId="6BD1F181">
            <w:pPr>
              <w:rPr>
                <w:rFonts w:ascii="Arial"/>
                <w:sz w:val="21"/>
              </w:rPr>
            </w:pPr>
          </w:p>
        </w:tc>
        <w:tc>
          <w:tcPr>
            <w:tcW w:w="847" w:type="dxa"/>
            <w:tcBorders>
              <w:bottom w:val="single" w:color="000000" w:sz="10" w:space="0"/>
            </w:tcBorders>
            <w:vAlign w:val="top"/>
          </w:tcPr>
          <w:p w14:paraId="7C7561BA">
            <w:pPr>
              <w:rPr>
                <w:rFonts w:ascii="Arial"/>
                <w:sz w:val="21"/>
              </w:rPr>
            </w:pPr>
          </w:p>
        </w:tc>
        <w:tc>
          <w:tcPr>
            <w:tcW w:w="801" w:type="dxa"/>
            <w:tcBorders>
              <w:bottom w:val="single" w:color="000000" w:sz="10" w:space="0"/>
            </w:tcBorders>
            <w:vAlign w:val="top"/>
          </w:tcPr>
          <w:p w14:paraId="52CA00A3">
            <w:pPr>
              <w:rPr>
                <w:rFonts w:ascii="Arial"/>
                <w:sz w:val="21"/>
              </w:rPr>
            </w:pPr>
          </w:p>
        </w:tc>
        <w:tc>
          <w:tcPr>
            <w:tcW w:w="1461" w:type="dxa"/>
            <w:tcBorders>
              <w:bottom w:val="single" w:color="000000" w:sz="10" w:space="0"/>
            </w:tcBorders>
            <w:vAlign w:val="top"/>
          </w:tcPr>
          <w:p w14:paraId="5CD31AD5">
            <w:pPr>
              <w:rPr>
                <w:rFonts w:ascii="Arial"/>
                <w:sz w:val="21"/>
              </w:rPr>
            </w:pPr>
          </w:p>
        </w:tc>
        <w:tc>
          <w:tcPr>
            <w:tcW w:w="815" w:type="dxa"/>
            <w:tcBorders>
              <w:bottom w:val="single" w:color="000000" w:sz="10" w:space="0"/>
              <w:right w:val="single" w:color="000000" w:sz="10" w:space="0"/>
            </w:tcBorders>
            <w:vAlign w:val="top"/>
          </w:tcPr>
          <w:p w14:paraId="3AC4788A">
            <w:pPr>
              <w:rPr>
                <w:rFonts w:ascii="Arial"/>
                <w:sz w:val="21"/>
              </w:rPr>
            </w:pPr>
          </w:p>
        </w:tc>
      </w:tr>
    </w:tbl>
    <w:p w14:paraId="1DBDD62C">
      <w:pPr>
        <w:rPr>
          <w:rFonts w:ascii="Arial"/>
          <w:sz w:val="21"/>
        </w:rPr>
      </w:pPr>
    </w:p>
    <w:p w14:paraId="751E1E6F">
      <w:pPr>
        <w:rPr>
          <w:rFonts w:ascii="Arial" w:hAnsi="Arial" w:eastAsia="Arial" w:cs="Arial"/>
          <w:sz w:val="21"/>
          <w:szCs w:val="21"/>
        </w:rPr>
        <w:sectPr>
          <w:footerReference r:id="rId318" w:type="default"/>
          <w:pgSz w:w="11907" w:h="16840"/>
          <w:pgMar w:top="400" w:right="1597" w:bottom="1038" w:left="1501" w:header="0" w:footer="787" w:gutter="0"/>
          <w:cols w:space="720" w:num="1"/>
        </w:sectPr>
      </w:pPr>
    </w:p>
    <w:p w14:paraId="6DC04BC9">
      <w:pPr>
        <w:spacing w:line="271" w:lineRule="auto"/>
        <w:rPr>
          <w:rFonts w:ascii="Arial"/>
          <w:sz w:val="21"/>
        </w:rPr>
      </w:pPr>
    </w:p>
    <w:p w14:paraId="77851E3A">
      <w:pPr>
        <w:spacing w:line="272" w:lineRule="auto"/>
        <w:rPr>
          <w:rFonts w:ascii="Arial"/>
          <w:sz w:val="21"/>
        </w:rPr>
      </w:pPr>
    </w:p>
    <w:p w14:paraId="77533013">
      <w:pPr>
        <w:spacing w:line="272" w:lineRule="auto"/>
        <w:rPr>
          <w:rFonts w:ascii="Arial"/>
          <w:sz w:val="21"/>
        </w:rPr>
      </w:pPr>
    </w:p>
    <w:p w14:paraId="13F3A78D">
      <w:pPr>
        <w:spacing w:line="272" w:lineRule="auto"/>
        <w:rPr>
          <w:rFonts w:ascii="Arial"/>
          <w:sz w:val="21"/>
        </w:rPr>
      </w:pPr>
    </w:p>
    <w:p w14:paraId="4A3C5684">
      <w:pPr>
        <w:spacing w:line="272" w:lineRule="auto"/>
        <w:rPr>
          <w:rFonts w:ascii="Arial"/>
          <w:sz w:val="21"/>
        </w:rPr>
      </w:pPr>
    </w:p>
    <w:p w14:paraId="31E0B0E8">
      <w:pPr>
        <w:spacing w:before="78" w:line="219" w:lineRule="auto"/>
        <w:ind w:left="28"/>
        <w:rPr>
          <w:rFonts w:ascii="宋体" w:hAnsi="宋体" w:eastAsia="宋体" w:cs="宋体"/>
          <w:sz w:val="24"/>
          <w:szCs w:val="24"/>
        </w:rPr>
      </w:pPr>
      <w:r>
        <w:rPr>
          <w:rFonts w:ascii="宋体" w:hAnsi="宋体" w:eastAsia="宋体" w:cs="宋体"/>
          <w:spacing w:val="-11"/>
          <w:sz w:val="24"/>
          <w:szCs w:val="24"/>
        </w:rPr>
        <w:t>附件</w:t>
      </w:r>
      <w:r>
        <w:rPr>
          <w:rFonts w:ascii="宋体" w:hAnsi="宋体" w:eastAsia="宋体" w:cs="宋体"/>
          <w:spacing w:val="-46"/>
          <w:sz w:val="24"/>
          <w:szCs w:val="24"/>
        </w:rPr>
        <w:t xml:space="preserve"> </w:t>
      </w:r>
      <w:r>
        <w:rPr>
          <w:rFonts w:ascii="宋体" w:hAnsi="宋体" w:eastAsia="宋体" w:cs="宋体"/>
          <w:spacing w:val="-11"/>
          <w:sz w:val="24"/>
          <w:szCs w:val="24"/>
        </w:rPr>
        <w:t>3：</w:t>
      </w:r>
    </w:p>
    <w:p w14:paraId="4BD0D873">
      <w:pPr>
        <w:pStyle w:val="2"/>
        <w:spacing w:before="242" w:line="222" w:lineRule="auto"/>
        <w:ind w:left="3483"/>
        <w:rPr>
          <w:sz w:val="28"/>
          <w:szCs w:val="28"/>
        </w:rPr>
      </w:pPr>
      <w:r>
        <w:rPr>
          <w:spacing w:val="-2"/>
          <w:sz w:val="28"/>
          <w:szCs w:val="28"/>
        </w:rPr>
        <w:t>工程质量保修书</w:t>
      </w:r>
    </w:p>
    <w:p w14:paraId="657DF9F0">
      <w:pPr>
        <w:spacing w:before="284" w:line="228" w:lineRule="auto"/>
        <w:ind w:left="432"/>
        <w:rPr>
          <w:rFonts w:ascii="宋体" w:hAnsi="宋体" w:eastAsia="宋体" w:cs="宋体"/>
          <w:sz w:val="20"/>
          <w:szCs w:val="20"/>
        </w:rPr>
      </w:pPr>
      <w:r>
        <w:rPr>
          <w:rFonts w:ascii="宋体" w:hAnsi="宋体" w:eastAsia="宋体" w:cs="宋体"/>
          <w:spacing w:val="7"/>
          <w:sz w:val="20"/>
          <w:szCs w:val="20"/>
        </w:rPr>
        <w:t>发包人（全称</w:t>
      </w:r>
      <w:r>
        <w:rPr>
          <w:rFonts w:ascii="宋体" w:hAnsi="宋体" w:eastAsia="宋体" w:cs="宋体"/>
          <w:spacing w:val="-52"/>
          <w:sz w:val="20"/>
          <w:szCs w:val="20"/>
        </w:rPr>
        <w:t>）：</w:t>
      </w:r>
      <w:r>
        <w:rPr>
          <w:rFonts w:ascii="宋体" w:hAnsi="宋体" w:eastAsia="宋体" w:cs="宋体"/>
          <w:spacing w:val="-77"/>
          <w:sz w:val="20"/>
          <w:szCs w:val="20"/>
        </w:rPr>
        <w:t xml:space="preserve"> </w:t>
      </w:r>
      <w:r>
        <w:rPr>
          <w:rFonts w:ascii="宋体" w:hAnsi="宋体" w:eastAsia="宋体" w:cs="宋体"/>
          <w:sz w:val="20"/>
          <w:szCs w:val="20"/>
          <w:u w:val="single" w:color="auto"/>
        </w:rPr>
        <w:t xml:space="preserve">                                  </w:t>
      </w:r>
    </w:p>
    <w:p w14:paraId="234B570B">
      <w:pPr>
        <w:spacing w:before="191" w:line="228" w:lineRule="auto"/>
        <w:ind w:left="428"/>
        <w:rPr>
          <w:rFonts w:ascii="宋体" w:hAnsi="宋体" w:eastAsia="宋体" w:cs="宋体"/>
          <w:sz w:val="20"/>
          <w:szCs w:val="20"/>
        </w:rPr>
      </w:pPr>
      <w:r>
        <w:rPr>
          <w:rFonts w:ascii="宋体" w:hAnsi="宋体" w:eastAsia="宋体" w:cs="宋体"/>
          <w:spacing w:val="8"/>
          <w:sz w:val="20"/>
          <w:szCs w:val="20"/>
        </w:rPr>
        <w:t>承包人（全称</w:t>
      </w:r>
      <w:r>
        <w:rPr>
          <w:rFonts w:ascii="宋体" w:hAnsi="宋体" w:eastAsia="宋体" w:cs="宋体"/>
          <w:spacing w:val="-54"/>
          <w:sz w:val="20"/>
          <w:szCs w:val="20"/>
        </w:rPr>
        <w:t>）：</w:t>
      </w:r>
      <w:r>
        <w:rPr>
          <w:rFonts w:ascii="宋体" w:hAnsi="宋体" w:eastAsia="宋体" w:cs="宋体"/>
          <w:spacing w:val="-75"/>
          <w:sz w:val="20"/>
          <w:szCs w:val="20"/>
        </w:rPr>
        <w:t xml:space="preserve"> </w:t>
      </w:r>
      <w:r>
        <w:rPr>
          <w:rFonts w:ascii="宋体" w:hAnsi="宋体" w:eastAsia="宋体" w:cs="宋体"/>
          <w:sz w:val="20"/>
          <w:szCs w:val="20"/>
          <w:u w:val="single" w:color="auto"/>
        </w:rPr>
        <w:t xml:space="preserve">                                  </w:t>
      </w:r>
    </w:p>
    <w:p w14:paraId="025A6F7C">
      <w:pPr>
        <w:spacing w:line="424" w:lineRule="auto"/>
        <w:rPr>
          <w:rFonts w:ascii="Arial"/>
          <w:sz w:val="21"/>
        </w:rPr>
      </w:pPr>
    </w:p>
    <w:p w14:paraId="4C400093">
      <w:pPr>
        <w:spacing w:before="65" w:line="377" w:lineRule="auto"/>
        <w:ind w:left="18" w:right="2" w:firstLine="413"/>
        <w:rPr>
          <w:rFonts w:ascii="宋体" w:hAnsi="宋体" w:eastAsia="宋体" w:cs="宋体"/>
          <w:sz w:val="20"/>
          <w:szCs w:val="20"/>
        </w:rPr>
      </w:pPr>
      <w:r>
        <w:rPr>
          <w:rFonts w:ascii="宋体" w:hAnsi="宋体" w:eastAsia="宋体" w:cs="宋体"/>
          <w:spacing w:val="7"/>
          <w:sz w:val="20"/>
          <w:szCs w:val="20"/>
        </w:rPr>
        <w:t>发包人和承包人根据《中华人民共和国建筑法</w:t>
      </w:r>
      <w:r>
        <w:rPr>
          <w:rFonts w:ascii="宋体" w:hAnsi="宋体" w:eastAsia="宋体" w:cs="宋体"/>
          <w:spacing w:val="6"/>
          <w:sz w:val="20"/>
          <w:szCs w:val="20"/>
        </w:rPr>
        <w:t>》和《建设工程质量管理条例》，经协商一致就</w:t>
      </w:r>
      <w:r>
        <w:rPr>
          <w:rFonts w:ascii="宋体" w:hAnsi="宋体" w:eastAsia="宋体" w:cs="宋体"/>
          <w:spacing w:val="8"/>
          <w:sz w:val="20"/>
          <w:szCs w:val="20"/>
        </w:rPr>
        <w:t>（工程全称）签订工程质量保修书。</w:t>
      </w:r>
    </w:p>
    <w:p w14:paraId="3697412C">
      <w:pPr>
        <w:pStyle w:val="2"/>
        <w:spacing w:before="1" w:line="229" w:lineRule="auto"/>
        <w:ind w:left="432"/>
        <w:rPr>
          <w:sz w:val="20"/>
          <w:szCs w:val="20"/>
        </w:rPr>
      </w:pPr>
      <w:r>
        <w:rPr>
          <w:spacing w:val="9"/>
          <w:sz w:val="20"/>
          <w:szCs w:val="20"/>
        </w:rPr>
        <w:t>一、工程质量保修范围和内容</w:t>
      </w:r>
    </w:p>
    <w:p w14:paraId="24174A5E">
      <w:pPr>
        <w:spacing w:before="158" w:line="228" w:lineRule="auto"/>
        <w:ind w:left="428"/>
        <w:rPr>
          <w:rFonts w:ascii="宋体" w:hAnsi="宋体" w:eastAsia="宋体" w:cs="宋体"/>
          <w:sz w:val="20"/>
          <w:szCs w:val="20"/>
        </w:rPr>
      </w:pPr>
      <w:r>
        <w:rPr>
          <w:rFonts w:ascii="宋体" w:hAnsi="宋体" w:eastAsia="宋体" w:cs="宋体"/>
          <w:spacing w:val="9"/>
          <w:sz w:val="20"/>
          <w:szCs w:val="20"/>
        </w:rPr>
        <w:t>承包人在质量保修期内，按照有关法律规定和合同约定，承担工程质量保修责任。</w:t>
      </w:r>
    </w:p>
    <w:p w14:paraId="742044EA">
      <w:pPr>
        <w:spacing w:before="163" w:line="378" w:lineRule="auto"/>
        <w:ind w:left="9" w:firstLine="424"/>
        <w:rPr>
          <w:rFonts w:ascii="宋体" w:hAnsi="宋体" w:eastAsia="宋体" w:cs="宋体"/>
          <w:sz w:val="20"/>
          <w:szCs w:val="20"/>
        </w:rPr>
      </w:pPr>
      <w:r>
        <w:rPr>
          <w:rFonts w:ascii="宋体" w:hAnsi="宋体" w:eastAsia="宋体" w:cs="宋体"/>
          <w:spacing w:val="12"/>
          <w:sz w:val="20"/>
          <w:szCs w:val="20"/>
        </w:rPr>
        <w:t>质量保修范围包括地基基础工程、主体结构工程，屋面防水</w:t>
      </w:r>
      <w:r>
        <w:rPr>
          <w:rFonts w:ascii="宋体" w:hAnsi="宋体" w:eastAsia="宋体" w:cs="宋体"/>
          <w:spacing w:val="11"/>
          <w:sz w:val="20"/>
          <w:szCs w:val="20"/>
        </w:rPr>
        <w:t>工程、有防水要求的卫生间、房</w:t>
      </w:r>
      <w:r>
        <w:rPr>
          <w:rFonts w:ascii="宋体" w:hAnsi="宋体" w:eastAsia="宋体" w:cs="宋体"/>
          <w:spacing w:val="10"/>
          <w:sz w:val="20"/>
          <w:szCs w:val="20"/>
        </w:rPr>
        <w:t>间和外墙面的防渗漏，供热与供冷系统，</w:t>
      </w:r>
      <w:r>
        <w:rPr>
          <w:rFonts w:ascii="宋体" w:hAnsi="宋体" w:eastAsia="宋体" w:cs="宋体"/>
          <w:spacing w:val="-59"/>
          <w:sz w:val="20"/>
          <w:szCs w:val="20"/>
        </w:rPr>
        <w:t xml:space="preserve"> </w:t>
      </w:r>
      <w:r>
        <w:rPr>
          <w:rFonts w:ascii="宋体" w:hAnsi="宋体" w:eastAsia="宋体" w:cs="宋体"/>
          <w:spacing w:val="10"/>
          <w:sz w:val="20"/>
          <w:szCs w:val="20"/>
        </w:rPr>
        <w:t>电气管线、给排水管道、设备</w:t>
      </w:r>
      <w:r>
        <w:rPr>
          <w:rFonts w:ascii="宋体" w:hAnsi="宋体" w:eastAsia="宋体" w:cs="宋体"/>
          <w:spacing w:val="9"/>
          <w:sz w:val="20"/>
          <w:szCs w:val="20"/>
        </w:rPr>
        <w:t>安装和装修工程，</w:t>
      </w:r>
      <w:r>
        <w:rPr>
          <w:rFonts w:ascii="宋体" w:hAnsi="宋体" w:eastAsia="宋体" w:cs="宋体"/>
          <w:spacing w:val="-59"/>
          <w:sz w:val="20"/>
          <w:szCs w:val="20"/>
        </w:rPr>
        <w:t xml:space="preserve"> </w:t>
      </w:r>
      <w:r>
        <w:rPr>
          <w:rFonts w:ascii="宋体" w:hAnsi="宋体" w:eastAsia="宋体" w:cs="宋体"/>
          <w:spacing w:val="9"/>
          <w:sz w:val="20"/>
          <w:szCs w:val="20"/>
        </w:rPr>
        <w:t>以及双方约定的其他项目。具体保修的内容，双方约定如下：</w:t>
      </w:r>
    </w:p>
    <w:p w14:paraId="08DC76E9">
      <w:pPr>
        <w:spacing w:line="258" w:lineRule="auto"/>
        <w:rPr>
          <w:rFonts w:ascii="Arial"/>
          <w:sz w:val="21"/>
        </w:rPr>
      </w:pPr>
      <w:r>
        <w:pict>
          <v:shape id="_x0000_s1073" o:spid="_x0000_s1073" style="position:absolute;left:0pt;margin-left:0.2pt;margin-top:9.9pt;height:0.5pt;width:441pt;z-index:251715584;mso-width-relative:page;mso-height-relative:page;" filled="f" stroked="t" coordsize="8820,10" path="m0,4l8819,4e">
            <v:fill on="f" focussize="0,0"/>
            <v:stroke weight="0.48pt" color="#000000" miterlimit="2" joinstyle="bevel"/>
            <v:imagedata o:title=""/>
            <o:lock v:ext="edit"/>
          </v:shape>
        </w:pict>
      </w:r>
    </w:p>
    <w:p w14:paraId="080DB4D6">
      <w:pPr>
        <w:spacing w:line="258" w:lineRule="auto"/>
        <w:rPr>
          <w:rFonts w:ascii="Arial"/>
          <w:sz w:val="21"/>
        </w:rPr>
      </w:pPr>
    </w:p>
    <w:p w14:paraId="277B6E53">
      <w:pPr>
        <w:tabs>
          <w:tab w:val="left" w:pos="8714"/>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0848976">
      <w:pPr>
        <w:pStyle w:val="2"/>
        <w:spacing w:before="207" w:line="230" w:lineRule="auto"/>
        <w:ind w:left="434"/>
        <w:rPr>
          <w:sz w:val="20"/>
          <w:szCs w:val="20"/>
        </w:rPr>
      </w:pPr>
      <w:r>
        <w:rPr>
          <w:spacing w:val="8"/>
          <w:sz w:val="20"/>
          <w:szCs w:val="20"/>
        </w:rPr>
        <w:t>二、质量保修期</w:t>
      </w:r>
    </w:p>
    <w:p w14:paraId="20F14E94">
      <w:pPr>
        <w:spacing w:before="159" w:line="228" w:lineRule="auto"/>
        <w:ind w:left="428"/>
        <w:rPr>
          <w:rFonts w:ascii="宋体" w:hAnsi="宋体" w:eastAsia="宋体" w:cs="宋体"/>
          <w:sz w:val="20"/>
          <w:szCs w:val="20"/>
        </w:rPr>
      </w:pPr>
      <w:r>
        <w:rPr>
          <w:rFonts w:ascii="宋体" w:hAnsi="宋体" w:eastAsia="宋体" w:cs="宋体"/>
          <w:spacing w:val="9"/>
          <w:sz w:val="20"/>
          <w:szCs w:val="20"/>
        </w:rPr>
        <w:t>根据《建设工程质量管理条例》及有关规定，工程的质量保修期如下：</w:t>
      </w:r>
    </w:p>
    <w:p w14:paraId="35FF3D15">
      <w:pPr>
        <w:spacing w:before="161" w:line="228" w:lineRule="auto"/>
        <w:ind w:left="444"/>
        <w:rPr>
          <w:rFonts w:ascii="宋体" w:hAnsi="宋体" w:eastAsia="宋体" w:cs="宋体"/>
          <w:sz w:val="20"/>
          <w:szCs w:val="20"/>
        </w:rPr>
      </w:pPr>
      <w:r>
        <w:rPr>
          <w:rFonts w:ascii="宋体" w:hAnsi="宋体" w:eastAsia="宋体" w:cs="宋体"/>
          <w:spacing w:val="9"/>
          <w:sz w:val="20"/>
          <w:szCs w:val="20"/>
        </w:rPr>
        <w:t>1．地基基础工程和主体结构工程为设计文件规定</w:t>
      </w:r>
      <w:r>
        <w:rPr>
          <w:rFonts w:ascii="宋体" w:hAnsi="宋体" w:eastAsia="宋体" w:cs="宋体"/>
          <w:spacing w:val="8"/>
          <w:sz w:val="20"/>
          <w:szCs w:val="20"/>
        </w:rPr>
        <w:t>的工程合理使用年限；</w:t>
      </w:r>
    </w:p>
    <w:p w14:paraId="4B9C282D">
      <w:pPr>
        <w:spacing w:before="161" w:line="228" w:lineRule="auto"/>
        <w:ind w:left="431"/>
        <w:rPr>
          <w:rFonts w:ascii="宋体" w:hAnsi="宋体" w:eastAsia="宋体" w:cs="宋体"/>
          <w:sz w:val="20"/>
          <w:szCs w:val="20"/>
        </w:rPr>
      </w:pPr>
      <w:r>
        <w:rPr>
          <w:rFonts w:ascii="宋体" w:hAnsi="宋体" w:eastAsia="宋体" w:cs="宋体"/>
          <w:spacing w:val="9"/>
          <w:sz w:val="20"/>
          <w:szCs w:val="20"/>
        </w:rPr>
        <w:t>2．屋面防水工程、有防水要求的卫生间、房间和外</w:t>
      </w:r>
      <w:r>
        <w:rPr>
          <w:rFonts w:ascii="宋体" w:hAnsi="宋体" w:eastAsia="宋体" w:cs="宋体"/>
          <w:spacing w:val="8"/>
          <w:sz w:val="20"/>
          <w:szCs w:val="20"/>
        </w:rPr>
        <w:t>墙面的防渗为</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8"/>
          <w:sz w:val="20"/>
          <w:szCs w:val="20"/>
        </w:rPr>
        <w:t>年；</w:t>
      </w:r>
    </w:p>
    <w:p w14:paraId="2DEFDD2F">
      <w:pPr>
        <w:spacing w:before="161" w:line="228" w:lineRule="auto"/>
        <w:ind w:left="432"/>
        <w:rPr>
          <w:rFonts w:ascii="宋体" w:hAnsi="宋体" w:eastAsia="宋体" w:cs="宋体"/>
          <w:sz w:val="20"/>
          <w:szCs w:val="20"/>
        </w:rPr>
      </w:pPr>
      <w:r>
        <w:rPr>
          <w:rFonts w:ascii="宋体" w:hAnsi="宋体" w:eastAsia="宋体" w:cs="宋体"/>
          <w:spacing w:val="5"/>
          <w:sz w:val="20"/>
          <w:szCs w:val="20"/>
        </w:rPr>
        <w:t>3．装修工程为</w:t>
      </w:r>
      <w:r>
        <w:rPr>
          <w:rFonts w:ascii="宋体" w:hAnsi="宋体" w:eastAsia="宋体" w:cs="宋体"/>
          <w:spacing w:val="-93"/>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5"/>
          <w:sz w:val="20"/>
          <w:szCs w:val="20"/>
        </w:rPr>
        <w:t>年；</w:t>
      </w:r>
    </w:p>
    <w:p w14:paraId="03372D90">
      <w:pPr>
        <w:spacing w:before="163" w:line="228" w:lineRule="auto"/>
        <w:ind w:left="427"/>
        <w:rPr>
          <w:rFonts w:ascii="宋体" w:hAnsi="宋体" w:eastAsia="宋体" w:cs="宋体"/>
          <w:sz w:val="20"/>
          <w:szCs w:val="20"/>
        </w:rPr>
      </w:pPr>
      <w:r>
        <w:rPr>
          <w:rFonts w:ascii="宋体" w:hAnsi="宋体" w:eastAsia="宋体" w:cs="宋体"/>
          <w:spacing w:val="6"/>
          <w:sz w:val="20"/>
          <w:szCs w:val="20"/>
        </w:rPr>
        <w:t>4．</w:t>
      </w:r>
      <w:r>
        <w:rPr>
          <w:rFonts w:ascii="宋体" w:hAnsi="宋体" w:eastAsia="宋体" w:cs="宋体"/>
          <w:spacing w:val="-49"/>
          <w:sz w:val="20"/>
          <w:szCs w:val="20"/>
        </w:rPr>
        <w:t xml:space="preserve"> </w:t>
      </w:r>
      <w:r>
        <w:rPr>
          <w:rFonts w:ascii="宋体" w:hAnsi="宋体" w:eastAsia="宋体" w:cs="宋体"/>
          <w:spacing w:val="6"/>
          <w:sz w:val="20"/>
          <w:szCs w:val="20"/>
        </w:rPr>
        <w:t>电气管线、给排水管道、设备安装工程为</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6"/>
          <w:sz w:val="20"/>
          <w:szCs w:val="20"/>
        </w:rPr>
        <w:t>年；</w:t>
      </w:r>
    </w:p>
    <w:p w14:paraId="6BA5DAF8">
      <w:pPr>
        <w:spacing w:before="162" w:line="227" w:lineRule="auto"/>
        <w:ind w:left="432"/>
        <w:rPr>
          <w:rFonts w:ascii="宋体" w:hAnsi="宋体" w:eastAsia="宋体" w:cs="宋体"/>
          <w:sz w:val="20"/>
          <w:szCs w:val="20"/>
        </w:rPr>
      </w:pPr>
      <w:r>
        <w:rPr>
          <w:rFonts w:ascii="宋体" w:hAnsi="宋体" w:eastAsia="宋体" w:cs="宋体"/>
          <w:spacing w:val="7"/>
          <w:sz w:val="20"/>
          <w:szCs w:val="20"/>
        </w:rPr>
        <w:t>5．供热与供冷系统为</w:t>
      </w:r>
      <w:r>
        <w:rPr>
          <w:rFonts w:ascii="宋体" w:hAnsi="宋体" w:eastAsia="宋体" w:cs="宋体"/>
          <w:spacing w:val="-83"/>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7"/>
          <w:sz w:val="20"/>
          <w:szCs w:val="20"/>
        </w:rPr>
        <w:t>个采暖期、供冷期；</w:t>
      </w:r>
    </w:p>
    <w:p w14:paraId="71F88316">
      <w:pPr>
        <w:spacing w:before="161" w:line="228" w:lineRule="auto"/>
        <w:ind w:left="430"/>
        <w:rPr>
          <w:rFonts w:ascii="宋体" w:hAnsi="宋体" w:eastAsia="宋体" w:cs="宋体"/>
          <w:sz w:val="20"/>
          <w:szCs w:val="20"/>
        </w:rPr>
      </w:pPr>
      <w:r>
        <w:rPr>
          <w:rFonts w:ascii="宋体" w:hAnsi="宋体" w:eastAsia="宋体" w:cs="宋体"/>
          <w:spacing w:val="8"/>
          <w:sz w:val="20"/>
          <w:szCs w:val="20"/>
        </w:rPr>
        <w:t>6．住宅小区内的给排水设施、道路等配套工程为</w:t>
      </w:r>
      <w:r>
        <w:rPr>
          <w:rFonts w:ascii="宋体" w:hAnsi="宋体" w:eastAsia="宋体" w:cs="宋体"/>
          <w:spacing w:val="-8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8"/>
          <w:sz w:val="20"/>
          <w:szCs w:val="20"/>
        </w:rPr>
        <w:t>年；</w:t>
      </w:r>
    </w:p>
    <w:p w14:paraId="5ECC9142">
      <w:pPr>
        <w:spacing w:before="161" w:line="228" w:lineRule="auto"/>
        <w:ind w:left="433"/>
        <w:rPr>
          <w:rFonts w:ascii="宋体" w:hAnsi="宋体" w:eastAsia="宋体" w:cs="宋体"/>
          <w:sz w:val="20"/>
          <w:szCs w:val="20"/>
        </w:rPr>
      </w:pPr>
      <w:r>
        <w:rPr>
          <w:rFonts w:ascii="宋体" w:hAnsi="宋体" w:eastAsia="宋体" w:cs="宋体"/>
          <w:spacing w:val="7"/>
          <w:sz w:val="20"/>
          <w:szCs w:val="20"/>
        </w:rPr>
        <w:t>7．其他项目保修期限约定如下：</w:t>
      </w:r>
    </w:p>
    <w:p w14:paraId="545B5C07">
      <w:pPr>
        <w:tabs>
          <w:tab w:val="left" w:pos="8819"/>
        </w:tabs>
        <w:spacing w:before="169"/>
        <w:rPr>
          <w:rFonts w:ascii="Arial"/>
          <w:sz w:val="21"/>
        </w:rPr>
      </w:pPr>
      <w:r>
        <w:rPr>
          <w:rFonts w:ascii="Arial" w:hAnsi="Arial" w:eastAsia="Arial" w:cs="Arial"/>
          <w:sz w:val="21"/>
          <w:szCs w:val="21"/>
          <w:u w:val="single" w:color="auto"/>
        </w:rPr>
        <w:tab/>
      </w:r>
    </w:p>
    <w:p w14:paraId="048E2DFD">
      <w:pPr>
        <w:spacing w:line="271" w:lineRule="auto"/>
        <w:rPr>
          <w:rFonts w:ascii="Arial"/>
          <w:sz w:val="21"/>
        </w:rPr>
      </w:pPr>
    </w:p>
    <w:p w14:paraId="6093FF7C">
      <w:pPr>
        <w:tabs>
          <w:tab w:val="left" w:pos="8714"/>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8169075">
      <w:pPr>
        <w:spacing w:before="207" w:line="228" w:lineRule="auto"/>
        <w:ind w:left="429"/>
        <w:rPr>
          <w:rFonts w:ascii="宋体" w:hAnsi="宋体" w:eastAsia="宋体" w:cs="宋体"/>
          <w:sz w:val="20"/>
          <w:szCs w:val="20"/>
        </w:rPr>
      </w:pPr>
      <w:r>
        <w:rPr>
          <w:rFonts w:ascii="宋体" w:hAnsi="宋体" w:eastAsia="宋体" w:cs="宋体"/>
          <w:spacing w:val="8"/>
          <w:sz w:val="20"/>
          <w:szCs w:val="20"/>
        </w:rPr>
        <w:t>质量保修期自工程竣工验收合格之日起计算。</w:t>
      </w:r>
    </w:p>
    <w:p w14:paraId="24D3BBC4">
      <w:pPr>
        <w:pStyle w:val="2"/>
        <w:spacing w:before="162" w:line="229" w:lineRule="auto"/>
        <w:ind w:left="432"/>
        <w:rPr>
          <w:sz w:val="20"/>
          <w:szCs w:val="20"/>
        </w:rPr>
      </w:pPr>
      <w:r>
        <w:rPr>
          <w:spacing w:val="8"/>
          <w:sz w:val="20"/>
          <w:szCs w:val="20"/>
        </w:rPr>
        <w:t>三、缺陷责任期</w:t>
      </w:r>
    </w:p>
    <w:p w14:paraId="339F24BA">
      <w:pPr>
        <w:spacing w:before="159" w:line="378" w:lineRule="auto"/>
        <w:ind w:left="12" w:firstLine="419"/>
        <w:rPr>
          <w:rFonts w:ascii="宋体" w:hAnsi="宋体" w:eastAsia="宋体" w:cs="宋体"/>
          <w:sz w:val="20"/>
          <w:szCs w:val="20"/>
        </w:rPr>
      </w:pPr>
      <w:r>
        <w:rPr>
          <w:rFonts w:ascii="宋体" w:hAnsi="宋体" w:eastAsia="宋体" w:cs="宋体"/>
          <w:spacing w:val="9"/>
          <w:sz w:val="20"/>
          <w:szCs w:val="20"/>
        </w:rPr>
        <w:t>工程缺陷责任期为</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9"/>
          <w:sz w:val="20"/>
          <w:szCs w:val="20"/>
        </w:rPr>
        <w:t>个月，缺陷责任期自工程通过竣工验收之</w:t>
      </w:r>
      <w:r>
        <w:rPr>
          <w:rFonts w:ascii="宋体" w:hAnsi="宋体" w:eastAsia="宋体" w:cs="宋体"/>
          <w:spacing w:val="8"/>
          <w:sz w:val="20"/>
          <w:szCs w:val="20"/>
        </w:rPr>
        <w:t>日起计算。单位工程先</w:t>
      </w:r>
      <w:r>
        <w:rPr>
          <w:rFonts w:ascii="宋体" w:hAnsi="宋体" w:eastAsia="宋体" w:cs="宋体"/>
          <w:spacing w:val="9"/>
          <w:sz w:val="20"/>
          <w:szCs w:val="20"/>
        </w:rPr>
        <w:t>于全部工程进行验收，单位工程缺陷责任期自单位工程验收合格之日起算。</w:t>
      </w:r>
    </w:p>
    <w:p w14:paraId="72D3067B">
      <w:pPr>
        <w:spacing w:line="227" w:lineRule="auto"/>
        <w:ind w:left="428"/>
        <w:rPr>
          <w:rFonts w:ascii="宋体" w:hAnsi="宋体" w:eastAsia="宋体" w:cs="宋体"/>
          <w:sz w:val="20"/>
          <w:szCs w:val="20"/>
        </w:rPr>
      </w:pPr>
      <w:r>
        <w:rPr>
          <w:rFonts w:ascii="宋体" w:hAnsi="宋体" w:eastAsia="宋体" w:cs="宋体"/>
          <w:spacing w:val="9"/>
          <w:sz w:val="20"/>
          <w:szCs w:val="20"/>
        </w:rPr>
        <w:t>缺陷责任期终止后，发包人应退还剩余的质量保证金。</w:t>
      </w:r>
    </w:p>
    <w:p w14:paraId="50BC1576">
      <w:pPr>
        <w:pStyle w:val="2"/>
        <w:spacing w:before="162" w:line="229" w:lineRule="auto"/>
        <w:ind w:left="441"/>
        <w:rPr>
          <w:sz w:val="20"/>
          <w:szCs w:val="20"/>
        </w:rPr>
      </w:pPr>
      <w:r>
        <w:rPr>
          <w:spacing w:val="7"/>
          <w:sz w:val="20"/>
          <w:szCs w:val="20"/>
        </w:rPr>
        <w:t>四、质量保修责任</w:t>
      </w:r>
    </w:p>
    <w:p w14:paraId="394F3F9B">
      <w:pPr>
        <w:spacing w:before="159" w:line="228" w:lineRule="auto"/>
        <w:jc w:val="right"/>
        <w:rPr>
          <w:rFonts w:ascii="宋体" w:hAnsi="宋体" w:eastAsia="宋体" w:cs="宋体"/>
          <w:sz w:val="20"/>
          <w:szCs w:val="20"/>
        </w:rPr>
      </w:pPr>
      <w:r>
        <w:rPr>
          <w:rFonts w:ascii="宋体" w:hAnsi="宋体" w:eastAsia="宋体" w:cs="宋体"/>
          <w:spacing w:val="9"/>
          <w:sz w:val="20"/>
          <w:szCs w:val="20"/>
        </w:rPr>
        <w:t>1．属于保修范围、</w:t>
      </w:r>
      <w:r>
        <w:rPr>
          <w:rFonts w:ascii="宋体" w:hAnsi="宋体" w:eastAsia="宋体" w:cs="宋体"/>
          <w:spacing w:val="-56"/>
          <w:sz w:val="20"/>
          <w:szCs w:val="20"/>
        </w:rPr>
        <w:t xml:space="preserve"> </w:t>
      </w:r>
      <w:r>
        <w:rPr>
          <w:rFonts w:ascii="宋体" w:hAnsi="宋体" w:eastAsia="宋体" w:cs="宋体"/>
          <w:spacing w:val="9"/>
          <w:sz w:val="20"/>
          <w:szCs w:val="20"/>
        </w:rPr>
        <w:t>内容的项目，承包人应当在接到保修通知之日起</w:t>
      </w:r>
      <w:r>
        <w:rPr>
          <w:rFonts w:ascii="宋体" w:hAnsi="宋体" w:eastAsia="宋体" w:cs="宋体"/>
          <w:spacing w:val="-31"/>
          <w:sz w:val="20"/>
          <w:szCs w:val="20"/>
        </w:rPr>
        <w:t xml:space="preserve"> </w:t>
      </w:r>
      <w:r>
        <w:rPr>
          <w:rFonts w:ascii="宋体" w:hAnsi="宋体" w:eastAsia="宋体" w:cs="宋体"/>
          <w:spacing w:val="9"/>
          <w:sz w:val="20"/>
          <w:szCs w:val="20"/>
        </w:rPr>
        <w:t>7</w:t>
      </w:r>
      <w:r>
        <w:rPr>
          <w:rFonts w:ascii="宋体" w:hAnsi="宋体" w:eastAsia="宋体" w:cs="宋体"/>
          <w:spacing w:val="-32"/>
          <w:sz w:val="20"/>
          <w:szCs w:val="20"/>
        </w:rPr>
        <w:t xml:space="preserve"> </w:t>
      </w:r>
      <w:r>
        <w:rPr>
          <w:rFonts w:ascii="宋体" w:hAnsi="宋体" w:eastAsia="宋体" w:cs="宋体"/>
          <w:spacing w:val="9"/>
          <w:sz w:val="20"/>
          <w:szCs w:val="20"/>
        </w:rPr>
        <w:t>天内派人保修。承包</w:t>
      </w:r>
    </w:p>
    <w:p w14:paraId="652B88B4">
      <w:pPr>
        <w:spacing w:line="228" w:lineRule="auto"/>
        <w:rPr>
          <w:rFonts w:ascii="宋体" w:hAnsi="宋体" w:eastAsia="宋体" w:cs="宋体"/>
          <w:sz w:val="20"/>
          <w:szCs w:val="20"/>
        </w:rPr>
        <w:sectPr>
          <w:footerReference r:id="rId319" w:type="default"/>
          <w:pgSz w:w="11907" w:h="16840"/>
          <w:pgMar w:top="400" w:right="1531" w:bottom="1038" w:left="1473" w:header="0" w:footer="787" w:gutter="0"/>
          <w:cols w:space="720" w:num="1"/>
        </w:sectPr>
      </w:pPr>
    </w:p>
    <w:p w14:paraId="1FC54E10">
      <w:pPr>
        <w:spacing w:line="251" w:lineRule="auto"/>
        <w:rPr>
          <w:rFonts w:ascii="Arial"/>
          <w:sz w:val="21"/>
        </w:rPr>
      </w:pPr>
    </w:p>
    <w:p w14:paraId="2E7C4334">
      <w:pPr>
        <w:spacing w:line="251" w:lineRule="auto"/>
        <w:rPr>
          <w:rFonts w:ascii="Arial"/>
          <w:sz w:val="21"/>
        </w:rPr>
      </w:pPr>
    </w:p>
    <w:p w14:paraId="07788DA7">
      <w:pPr>
        <w:spacing w:line="252" w:lineRule="auto"/>
        <w:rPr>
          <w:rFonts w:ascii="Arial"/>
          <w:sz w:val="21"/>
        </w:rPr>
      </w:pPr>
    </w:p>
    <w:p w14:paraId="17A458B7">
      <w:pPr>
        <w:spacing w:line="252" w:lineRule="auto"/>
        <w:rPr>
          <w:rFonts w:ascii="Arial"/>
          <w:sz w:val="21"/>
        </w:rPr>
      </w:pPr>
    </w:p>
    <w:p w14:paraId="16FE4A1A">
      <w:pPr>
        <w:spacing w:line="252" w:lineRule="auto"/>
        <w:rPr>
          <w:rFonts w:ascii="Arial"/>
          <w:sz w:val="21"/>
        </w:rPr>
      </w:pPr>
    </w:p>
    <w:p w14:paraId="1B6CFD50">
      <w:pPr>
        <w:spacing w:before="65" w:line="228" w:lineRule="auto"/>
        <w:ind w:left="116"/>
        <w:rPr>
          <w:rFonts w:ascii="宋体" w:hAnsi="宋体" w:eastAsia="宋体" w:cs="宋体"/>
          <w:sz w:val="20"/>
          <w:szCs w:val="20"/>
        </w:rPr>
      </w:pPr>
      <w:r>
        <w:rPr>
          <w:rFonts w:ascii="宋体" w:hAnsi="宋体" w:eastAsia="宋体" w:cs="宋体"/>
          <w:spacing w:val="9"/>
          <w:sz w:val="20"/>
          <w:szCs w:val="20"/>
        </w:rPr>
        <w:t>人不在约定期限内派人保修的，发包人可以委托他人修理。</w:t>
      </w:r>
    </w:p>
    <w:p w14:paraId="44DD2FCC">
      <w:pPr>
        <w:spacing w:before="160" w:line="228" w:lineRule="auto"/>
        <w:ind w:left="546"/>
        <w:rPr>
          <w:rFonts w:ascii="宋体" w:hAnsi="宋体" w:eastAsia="宋体" w:cs="宋体"/>
          <w:sz w:val="20"/>
          <w:szCs w:val="20"/>
        </w:rPr>
      </w:pPr>
      <w:r>
        <w:rPr>
          <w:rFonts w:ascii="宋体" w:hAnsi="宋体" w:eastAsia="宋体" w:cs="宋体"/>
          <w:spacing w:val="9"/>
          <w:sz w:val="20"/>
          <w:szCs w:val="20"/>
        </w:rPr>
        <w:t>2．发生紧急事故需抢修的，承包人在接到事故通知后，应当立即到达事故现场抢修。</w:t>
      </w:r>
    </w:p>
    <w:p w14:paraId="71F61B93">
      <w:pPr>
        <w:spacing w:before="162" w:line="377" w:lineRule="auto"/>
        <w:ind w:left="114" w:firstLine="433"/>
        <w:rPr>
          <w:rFonts w:ascii="宋体" w:hAnsi="宋体" w:eastAsia="宋体" w:cs="宋体"/>
          <w:sz w:val="20"/>
          <w:szCs w:val="20"/>
        </w:rPr>
      </w:pPr>
      <w:r>
        <w:rPr>
          <w:rFonts w:ascii="宋体" w:hAnsi="宋体" w:eastAsia="宋体" w:cs="宋体"/>
          <w:spacing w:val="10"/>
          <w:sz w:val="20"/>
          <w:szCs w:val="20"/>
        </w:rPr>
        <w:t>3．对于涉及结构安全的质量问题，应当按照《建设工程质量管理条例》</w:t>
      </w:r>
      <w:r>
        <w:rPr>
          <w:rFonts w:ascii="宋体" w:hAnsi="宋体" w:eastAsia="宋体" w:cs="宋体"/>
          <w:spacing w:val="-48"/>
          <w:sz w:val="20"/>
          <w:szCs w:val="20"/>
        </w:rPr>
        <w:t xml:space="preserve"> </w:t>
      </w:r>
      <w:r>
        <w:rPr>
          <w:rFonts w:ascii="宋体" w:hAnsi="宋体" w:eastAsia="宋体" w:cs="宋体"/>
          <w:spacing w:val="10"/>
          <w:sz w:val="20"/>
          <w:szCs w:val="20"/>
        </w:rPr>
        <w:t>的规定，立即向当</w:t>
      </w:r>
      <w:r>
        <w:rPr>
          <w:rFonts w:ascii="宋体" w:hAnsi="宋体" w:eastAsia="宋体" w:cs="宋体"/>
          <w:spacing w:val="9"/>
          <w:sz w:val="20"/>
          <w:szCs w:val="20"/>
        </w:rPr>
        <w:t>地建设行政主管部门和有关部门报告，采取安全防范措施，并由原设计人或者具有相应资质等级</w:t>
      </w:r>
      <w:r>
        <w:rPr>
          <w:rFonts w:ascii="宋体" w:hAnsi="宋体" w:eastAsia="宋体" w:cs="宋体"/>
          <w:spacing w:val="8"/>
          <w:sz w:val="20"/>
          <w:szCs w:val="20"/>
        </w:rPr>
        <w:t>的设计人提出保修方案，承包人实施保修。</w:t>
      </w:r>
    </w:p>
    <w:p w14:paraId="24BD07B8">
      <w:pPr>
        <w:spacing w:line="227" w:lineRule="auto"/>
        <w:ind w:left="533"/>
        <w:rPr>
          <w:rFonts w:ascii="宋体" w:hAnsi="宋体" w:eastAsia="宋体" w:cs="宋体"/>
          <w:sz w:val="20"/>
          <w:szCs w:val="20"/>
        </w:rPr>
      </w:pPr>
      <w:r>
        <w:rPr>
          <w:rFonts w:ascii="宋体" w:hAnsi="宋体" w:eastAsia="宋体" w:cs="宋体"/>
          <w:spacing w:val="6"/>
          <w:sz w:val="20"/>
          <w:szCs w:val="20"/>
        </w:rPr>
        <w:t>4．质量保修完成后，</w:t>
      </w:r>
      <w:r>
        <w:rPr>
          <w:rFonts w:ascii="宋体" w:hAnsi="宋体" w:eastAsia="宋体" w:cs="宋体"/>
          <w:spacing w:val="-51"/>
          <w:sz w:val="20"/>
          <w:szCs w:val="20"/>
        </w:rPr>
        <w:t xml:space="preserve"> </w:t>
      </w:r>
      <w:r>
        <w:rPr>
          <w:rFonts w:ascii="宋体" w:hAnsi="宋体" w:eastAsia="宋体" w:cs="宋体"/>
          <w:spacing w:val="6"/>
          <w:sz w:val="20"/>
          <w:szCs w:val="20"/>
        </w:rPr>
        <w:t>由发包人组织验收。</w:t>
      </w:r>
    </w:p>
    <w:p w14:paraId="4CD98687">
      <w:pPr>
        <w:pStyle w:val="2"/>
        <w:spacing w:before="162" w:line="230" w:lineRule="auto"/>
        <w:ind w:left="434"/>
        <w:rPr>
          <w:sz w:val="20"/>
          <w:szCs w:val="20"/>
        </w:rPr>
      </w:pPr>
      <w:r>
        <w:rPr>
          <w:spacing w:val="7"/>
          <w:sz w:val="20"/>
          <w:szCs w:val="20"/>
        </w:rPr>
        <w:t>五、保修费用</w:t>
      </w:r>
    </w:p>
    <w:p w14:paraId="5186A6FC">
      <w:pPr>
        <w:spacing w:before="158" w:line="228" w:lineRule="auto"/>
        <w:ind w:left="429"/>
        <w:rPr>
          <w:rFonts w:ascii="宋体" w:hAnsi="宋体" w:eastAsia="宋体" w:cs="宋体"/>
          <w:sz w:val="20"/>
          <w:szCs w:val="20"/>
        </w:rPr>
      </w:pPr>
      <w:r>
        <w:rPr>
          <w:rFonts w:ascii="宋体" w:hAnsi="宋体" w:eastAsia="宋体" w:cs="宋体"/>
          <w:spacing w:val="8"/>
          <w:sz w:val="20"/>
          <w:szCs w:val="20"/>
        </w:rPr>
        <w:t>保修费用由造成质量缺陷的责任方承担。</w:t>
      </w:r>
    </w:p>
    <w:p w14:paraId="504D10C5">
      <w:pPr>
        <w:pStyle w:val="2"/>
        <w:spacing w:before="164" w:line="229" w:lineRule="auto"/>
        <w:ind w:left="435"/>
        <w:rPr>
          <w:sz w:val="20"/>
          <w:szCs w:val="20"/>
        </w:rPr>
      </w:pPr>
      <w:r>
        <w:rPr>
          <w:spacing w:val="8"/>
          <w:sz w:val="20"/>
          <w:szCs w:val="20"/>
        </w:rPr>
        <w:t>六、双方约定的其他工程质量保修事项：</w:t>
      </w:r>
    </w:p>
    <w:p w14:paraId="41837E67">
      <w:pPr>
        <w:spacing w:line="296" w:lineRule="auto"/>
        <w:rPr>
          <w:rFonts w:ascii="Arial"/>
          <w:sz w:val="21"/>
        </w:rPr>
      </w:pPr>
    </w:p>
    <w:p w14:paraId="37D6CB42">
      <w:pPr>
        <w:spacing w:line="297" w:lineRule="auto"/>
        <w:rPr>
          <w:rFonts w:ascii="Arial"/>
          <w:sz w:val="21"/>
        </w:rPr>
      </w:pPr>
      <w:r>
        <w:pict>
          <v:shape id="_x0000_s1074" o:spid="_x0000_s1074" style="position:absolute;left:0pt;margin-left:0.2pt;margin-top:2.6pt;height:0.5pt;width:441pt;z-index:251716608;mso-width-relative:page;mso-height-relative:page;" filled="f" stroked="t" coordsize="8820,10" path="m0,4l8819,4e">
            <v:fill on="f" focussize="0,0"/>
            <v:stroke weight="0.48pt" color="#000000" miterlimit="2" joinstyle="bevel"/>
            <v:imagedata o:title=""/>
            <o:lock v:ext="edit"/>
          </v:shape>
        </w:pict>
      </w:r>
    </w:p>
    <w:p w14:paraId="3D766805">
      <w:pPr>
        <w:tabs>
          <w:tab w:val="left" w:pos="8714"/>
        </w:tabs>
        <w:spacing w:before="66" w:line="90"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23"/>
          <w:sz w:val="20"/>
          <w:szCs w:val="20"/>
        </w:rPr>
        <w:t>。</w:t>
      </w:r>
    </w:p>
    <w:p w14:paraId="2BE8565F">
      <w:pPr>
        <w:spacing w:before="170" w:line="227" w:lineRule="auto"/>
        <w:ind w:right="2"/>
        <w:jc w:val="right"/>
        <w:rPr>
          <w:rFonts w:ascii="宋体" w:hAnsi="宋体" w:eastAsia="宋体" w:cs="宋体"/>
          <w:sz w:val="20"/>
          <w:szCs w:val="20"/>
        </w:rPr>
      </w:pPr>
      <w:r>
        <w:rPr>
          <w:rFonts w:ascii="宋体" w:hAnsi="宋体" w:eastAsia="宋体" w:cs="宋体"/>
          <w:spacing w:val="12"/>
          <w:sz w:val="20"/>
          <w:szCs w:val="20"/>
        </w:rPr>
        <w:t>工程质量保修书由发包人、承包人在工程竣工验收前共同签署，作为施工合同附件，其有效</w:t>
      </w:r>
    </w:p>
    <w:p w14:paraId="59CC2041">
      <w:pPr>
        <w:spacing w:before="162" w:line="228" w:lineRule="auto"/>
        <w:ind w:left="11"/>
        <w:rPr>
          <w:rFonts w:ascii="宋体" w:hAnsi="宋体" w:eastAsia="宋体" w:cs="宋体"/>
          <w:sz w:val="20"/>
          <w:szCs w:val="20"/>
        </w:rPr>
      </w:pPr>
      <w:r>
        <w:rPr>
          <w:rFonts w:ascii="宋体" w:hAnsi="宋体" w:eastAsia="宋体" w:cs="宋体"/>
          <w:spacing w:val="7"/>
          <w:sz w:val="20"/>
          <w:szCs w:val="20"/>
        </w:rPr>
        <w:t>期限至保修期满。</w:t>
      </w:r>
    </w:p>
    <w:p w14:paraId="02B865AA">
      <w:pPr>
        <w:spacing w:line="262" w:lineRule="auto"/>
        <w:rPr>
          <w:rFonts w:ascii="Arial"/>
          <w:sz w:val="21"/>
        </w:rPr>
      </w:pPr>
    </w:p>
    <w:p w14:paraId="058A96CB">
      <w:pPr>
        <w:spacing w:line="263" w:lineRule="auto"/>
        <w:rPr>
          <w:rFonts w:ascii="Arial"/>
          <w:sz w:val="21"/>
        </w:rPr>
      </w:pPr>
    </w:p>
    <w:p w14:paraId="23A8E08D">
      <w:pPr>
        <w:spacing w:line="263" w:lineRule="auto"/>
        <w:rPr>
          <w:rFonts w:ascii="Arial"/>
          <w:sz w:val="21"/>
        </w:rPr>
      </w:pPr>
    </w:p>
    <w:p w14:paraId="5BD4A548">
      <w:pPr>
        <w:spacing w:line="263" w:lineRule="auto"/>
        <w:rPr>
          <w:rFonts w:ascii="Arial"/>
          <w:sz w:val="21"/>
        </w:rPr>
      </w:pPr>
    </w:p>
    <w:p w14:paraId="22A598A5">
      <w:pPr>
        <w:spacing w:line="263" w:lineRule="auto"/>
        <w:rPr>
          <w:rFonts w:ascii="Arial"/>
          <w:sz w:val="21"/>
        </w:rPr>
      </w:pPr>
    </w:p>
    <w:p w14:paraId="030C1492">
      <w:pPr>
        <w:spacing w:before="66" w:line="227" w:lineRule="auto"/>
        <w:ind w:left="643"/>
        <w:rPr>
          <w:rFonts w:ascii="宋体" w:hAnsi="宋体" w:eastAsia="宋体" w:cs="宋体"/>
          <w:sz w:val="20"/>
          <w:szCs w:val="20"/>
        </w:rPr>
      </w:pPr>
      <w:r>
        <w:rPr>
          <w:rFonts w:ascii="宋体" w:hAnsi="宋体" w:eastAsia="宋体" w:cs="宋体"/>
          <w:spacing w:val="7"/>
          <w:sz w:val="20"/>
          <w:szCs w:val="20"/>
        </w:rPr>
        <w:t>发包人（公章</w:t>
      </w:r>
      <w:r>
        <w:rPr>
          <w:rFonts w:ascii="宋体" w:hAnsi="宋体" w:eastAsia="宋体" w:cs="宋体"/>
          <w:spacing w:val="-51"/>
          <w:sz w:val="20"/>
          <w:szCs w:val="20"/>
        </w:rPr>
        <w:t>）：</w:t>
      </w:r>
      <w:r>
        <w:rPr>
          <w:rFonts w:ascii="宋体" w:hAnsi="宋体" w:eastAsia="宋体" w:cs="宋体"/>
          <w:spacing w:val="-76"/>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7"/>
          <w:sz w:val="20"/>
          <w:szCs w:val="20"/>
        </w:rPr>
        <w:t xml:space="preserve">          承包人（公章</w:t>
      </w:r>
      <w:r>
        <w:rPr>
          <w:rFonts w:ascii="宋体" w:hAnsi="宋体" w:eastAsia="宋体" w:cs="宋体"/>
          <w:spacing w:val="-51"/>
          <w:sz w:val="20"/>
          <w:szCs w:val="20"/>
        </w:rPr>
        <w:t>）：</w:t>
      </w:r>
      <w:r>
        <w:rPr>
          <w:rFonts w:ascii="宋体" w:hAnsi="宋体" w:eastAsia="宋体" w:cs="宋体"/>
          <w:spacing w:val="-75"/>
          <w:sz w:val="20"/>
          <w:szCs w:val="20"/>
        </w:rPr>
        <w:t xml:space="preserve"> </w:t>
      </w:r>
      <w:r>
        <w:rPr>
          <w:rFonts w:ascii="宋体" w:hAnsi="宋体" w:eastAsia="宋体" w:cs="宋体"/>
          <w:sz w:val="20"/>
          <w:szCs w:val="20"/>
          <w:u w:val="single" w:color="auto"/>
        </w:rPr>
        <w:t xml:space="preserve">                </w:t>
      </w:r>
    </w:p>
    <w:p w14:paraId="523290E9">
      <w:pPr>
        <w:spacing w:before="162" w:line="237" w:lineRule="auto"/>
        <w:ind w:left="639"/>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9"/>
          <w:sz w:val="20"/>
          <w:szCs w:val="20"/>
        </w:rPr>
        <w:t xml:space="preserve">  </w:t>
      </w:r>
      <w:r>
        <w:rPr>
          <w:rFonts w:ascii="宋体" w:hAnsi="宋体" w:eastAsia="宋体" w:cs="宋体"/>
          <w:spacing w:val="-5"/>
          <w:sz w:val="20"/>
          <w:szCs w:val="20"/>
        </w:rPr>
        <w:t>址</w:t>
      </w:r>
      <w:r>
        <w:rPr>
          <w:rFonts w:ascii="宋体" w:hAnsi="宋体" w:eastAsia="宋体" w:cs="宋体"/>
          <w:spacing w:val="-73"/>
          <w:sz w:val="20"/>
          <w:szCs w:val="20"/>
        </w:rPr>
        <w:t xml:space="preserve"> </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w:t>
      </w:r>
      <w:r>
        <w:rPr>
          <w:rFonts w:ascii="宋体" w:hAnsi="宋体" w:eastAsia="宋体" w:cs="宋体"/>
          <w:spacing w:val="-5"/>
          <w:sz w:val="20"/>
          <w:szCs w:val="20"/>
        </w:rPr>
        <w:t>地</w:t>
      </w:r>
      <w:r>
        <w:rPr>
          <w:rFonts w:ascii="宋体" w:hAnsi="宋体" w:eastAsia="宋体" w:cs="宋体"/>
          <w:spacing w:val="14"/>
          <w:sz w:val="20"/>
          <w:szCs w:val="20"/>
        </w:rPr>
        <w:t xml:space="preserve">  </w:t>
      </w:r>
      <w:r>
        <w:rPr>
          <w:rFonts w:ascii="宋体" w:hAnsi="宋体" w:eastAsia="宋体" w:cs="宋体"/>
          <w:spacing w:val="-5"/>
          <w:sz w:val="20"/>
          <w:szCs w:val="20"/>
        </w:rPr>
        <w:t>址</w:t>
      </w:r>
      <w:r>
        <w:rPr>
          <w:rFonts w:ascii="宋体" w:hAnsi="宋体" w:eastAsia="宋体" w:cs="宋体"/>
          <w:spacing w:val="-73"/>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74B64D83">
      <w:pPr>
        <w:spacing w:before="151" w:line="228" w:lineRule="auto"/>
        <w:ind w:left="640"/>
        <w:rPr>
          <w:rFonts w:ascii="宋体" w:hAnsi="宋体" w:eastAsia="宋体" w:cs="宋体"/>
          <w:sz w:val="20"/>
          <w:szCs w:val="20"/>
        </w:rPr>
      </w:pPr>
      <w:r>
        <w:rPr>
          <w:rFonts w:ascii="宋体" w:hAnsi="宋体" w:eastAsia="宋体" w:cs="宋体"/>
          <w:spacing w:val="8"/>
          <w:sz w:val="20"/>
          <w:szCs w:val="20"/>
        </w:rPr>
        <w:t>法定代表人（签字</w:t>
      </w:r>
      <w:r>
        <w:rPr>
          <w:rFonts w:ascii="宋体" w:hAnsi="宋体" w:eastAsia="宋体" w:cs="宋体"/>
          <w:spacing w:val="-52"/>
          <w:sz w:val="20"/>
          <w:szCs w:val="20"/>
        </w:rPr>
        <w:t>）：</w:t>
      </w:r>
      <w:r>
        <w:rPr>
          <w:rFonts w:ascii="宋体" w:hAnsi="宋体" w:eastAsia="宋体" w:cs="宋体"/>
          <w:spacing w:val="-75"/>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8"/>
          <w:sz w:val="20"/>
          <w:szCs w:val="20"/>
        </w:rPr>
        <w:t>法定代表人（签字</w:t>
      </w:r>
      <w:r>
        <w:rPr>
          <w:rFonts w:ascii="宋体" w:hAnsi="宋体" w:eastAsia="宋体" w:cs="宋体"/>
          <w:spacing w:val="-52"/>
          <w:sz w:val="20"/>
          <w:szCs w:val="20"/>
        </w:rPr>
        <w:t>）：</w:t>
      </w:r>
      <w:r>
        <w:rPr>
          <w:rFonts w:ascii="宋体" w:hAnsi="宋体" w:eastAsia="宋体" w:cs="宋体"/>
          <w:spacing w:val="-77"/>
          <w:sz w:val="20"/>
          <w:szCs w:val="20"/>
        </w:rPr>
        <w:t xml:space="preserve"> </w:t>
      </w:r>
      <w:r>
        <w:rPr>
          <w:rFonts w:ascii="宋体" w:hAnsi="宋体" w:eastAsia="宋体" w:cs="宋体"/>
          <w:sz w:val="20"/>
          <w:szCs w:val="20"/>
          <w:u w:val="single" w:color="auto"/>
        </w:rPr>
        <w:t xml:space="preserve">            </w:t>
      </w:r>
    </w:p>
    <w:p w14:paraId="7904CA89">
      <w:pPr>
        <w:spacing w:before="163" w:line="228" w:lineRule="auto"/>
        <w:ind w:left="639"/>
        <w:rPr>
          <w:rFonts w:ascii="宋体" w:hAnsi="宋体" w:eastAsia="宋体" w:cs="宋体"/>
          <w:sz w:val="20"/>
          <w:szCs w:val="20"/>
        </w:rPr>
      </w:pPr>
      <w:r>
        <w:rPr>
          <w:rFonts w:ascii="宋体" w:hAnsi="宋体" w:eastAsia="宋体" w:cs="宋体"/>
          <w:spacing w:val="8"/>
          <w:sz w:val="20"/>
          <w:szCs w:val="20"/>
        </w:rPr>
        <w:t>委托代理人（签字</w:t>
      </w:r>
      <w:r>
        <w:rPr>
          <w:rFonts w:ascii="宋体" w:hAnsi="宋体" w:eastAsia="宋体" w:cs="宋体"/>
          <w:spacing w:val="-51"/>
          <w:sz w:val="20"/>
          <w:szCs w:val="20"/>
        </w:rPr>
        <w:t>）：</w:t>
      </w:r>
      <w:r>
        <w:rPr>
          <w:rFonts w:ascii="宋体" w:hAnsi="宋体" w:eastAsia="宋体" w:cs="宋体"/>
          <w:spacing w:val="-75"/>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8"/>
          <w:sz w:val="20"/>
          <w:szCs w:val="20"/>
        </w:rPr>
        <w:t>委托代理人（签字</w:t>
      </w:r>
      <w:r>
        <w:rPr>
          <w:rFonts w:ascii="宋体" w:hAnsi="宋体" w:eastAsia="宋体" w:cs="宋体"/>
          <w:spacing w:val="-51"/>
          <w:sz w:val="20"/>
          <w:szCs w:val="20"/>
        </w:rPr>
        <w:t>）：</w:t>
      </w:r>
      <w:r>
        <w:rPr>
          <w:rFonts w:ascii="宋体" w:hAnsi="宋体" w:eastAsia="宋体" w:cs="宋体"/>
          <w:spacing w:val="-70"/>
          <w:sz w:val="20"/>
          <w:szCs w:val="20"/>
        </w:rPr>
        <w:t xml:space="preserve"> </w:t>
      </w:r>
      <w:r>
        <w:rPr>
          <w:rFonts w:ascii="宋体" w:hAnsi="宋体" w:eastAsia="宋体" w:cs="宋体"/>
          <w:sz w:val="20"/>
          <w:szCs w:val="20"/>
          <w:u w:val="single" w:color="auto"/>
        </w:rPr>
        <w:t xml:space="preserve">            </w:t>
      </w:r>
    </w:p>
    <w:p w14:paraId="61438E7B">
      <w:pPr>
        <w:spacing w:before="161" w:line="230" w:lineRule="auto"/>
        <w:ind w:left="664"/>
        <w:rPr>
          <w:rFonts w:ascii="宋体" w:hAnsi="宋体" w:eastAsia="宋体" w:cs="宋体"/>
          <w:sz w:val="20"/>
          <w:szCs w:val="20"/>
        </w:rPr>
      </w:pPr>
      <w:r>
        <w:rPr>
          <w:rFonts w:ascii="宋体" w:hAnsi="宋体" w:eastAsia="宋体" w:cs="宋体"/>
          <w:spacing w:val="-7"/>
          <w:sz w:val="20"/>
          <w:szCs w:val="20"/>
        </w:rPr>
        <w:t>电</w:t>
      </w:r>
      <w:r>
        <w:rPr>
          <w:rFonts w:ascii="宋体" w:hAnsi="宋体" w:eastAsia="宋体" w:cs="宋体"/>
          <w:spacing w:val="11"/>
          <w:sz w:val="20"/>
          <w:szCs w:val="20"/>
        </w:rPr>
        <w:t xml:space="preserve">  </w:t>
      </w:r>
      <w:r>
        <w:rPr>
          <w:rFonts w:ascii="宋体" w:hAnsi="宋体" w:eastAsia="宋体" w:cs="宋体"/>
          <w:spacing w:val="-7"/>
          <w:sz w:val="20"/>
          <w:szCs w:val="20"/>
        </w:rPr>
        <w:t>话</w:t>
      </w:r>
      <w:r>
        <w:rPr>
          <w:rFonts w:ascii="宋体" w:hAnsi="宋体" w:eastAsia="宋体" w:cs="宋体"/>
          <w:spacing w:val="-74"/>
          <w:sz w:val="20"/>
          <w:szCs w:val="20"/>
        </w:rPr>
        <w:t xml:space="preserve"> </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 xml:space="preserve">              电  话</w:t>
      </w:r>
      <w:r>
        <w:rPr>
          <w:rFonts w:ascii="宋体" w:hAnsi="宋体" w:eastAsia="宋体" w:cs="宋体"/>
          <w:spacing w:val="-74"/>
          <w:sz w:val="20"/>
          <w:szCs w:val="20"/>
        </w:rPr>
        <w:t xml:space="preserve"> </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p>
    <w:p w14:paraId="1B181C13">
      <w:pPr>
        <w:spacing w:before="159" w:line="227" w:lineRule="auto"/>
        <w:ind w:left="638"/>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10"/>
          <w:sz w:val="20"/>
          <w:szCs w:val="20"/>
        </w:rPr>
        <w:t xml:space="preserve">  </w:t>
      </w:r>
      <w:r>
        <w:rPr>
          <w:rFonts w:ascii="宋体" w:hAnsi="宋体" w:eastAsia="宋体" w:cs="宋体"/>
          <w:spacing w:val="-5"/>
          <w:sz w:val="20"/>
          <w:szCs w:val="20"/>
        </w:rPr>
        <w:t>真</w:t>
      </w:r>
      <w:r>
        <w:rPr>
          <w:rFonts w:ascii="宋体" w:hAnsi="宋体" w:eastAsia="宋体" w:cs="宋体"/>
          <w:spacing w:val="-73"/>
          <w:sz w:val="20"/>
          <w:szCs w:val="20"/>
        </w:rPr>
        <w:t xml:space="preserve"> </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w:t>
      </w:r>
      <w:r>
        <w:rPr>
          <w:rFonts w:ascii="宋体" w:hAnsi="宋体" w:eastAsia="宋体" w:cs="宋体"/>
          <w:spacing w:val="-5"/>
          <w:sz w:val="20"/>
          <w:szCs w:val="20"/>
        </w:rPr>
        <w:t>传</w:t>
      </w:r>
      <w:r>
        <w:rPr>
          <w:rFonts w:ascii="宋体" w:hAnsi="宋体" w:eastAsia="宋体" w:cs="宋体"/>
          <w:spacing w:val="14"/>
          <w:sz w:val="20"/>
          <w:szCs w:val="20"/>
        </w:rPr>
        <w:t xml:space="preserve">  </w:t>
      </w:r>
      <w:r>
        <w:rPr>
          <w:rFonts w:ascii="宋体" w:hAnsi="宋体" w:eastAsia="宋体" w:cs="宋体"/>
          <w:spacing w:val="-5"/>
          <w:sz w:val="20"/>
          <w:szCs w:val="20"/>
        </w:rPr>
        <w:t>真</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745F33D8">
      <w:pPr>
        <w:spacing w:before="165" w:line="228" w:lineRule="auto"/>
        <w:ind w:left="640"/>
        <w:rPr>
          <w:rFonts w:ascii="宋体" w:hAnsi="宋体" w:eastAsia="宋体" w:cs="宋体"/>
          <w:sz w:val="20"/>
          <w:szCs w:val="20"/>
        </w:rPr>
      </w:pPr>
      <w:r>
        <w:rPr>
          <w:rFonts w:ascii="宋体" w:hAnsi="宋体" w:eastAsia="宋体" w:cs="宋体"/>
          <w:spacing w:val="4"/>
          <w:sz w:val="20"/>
          <w:szCs w:val="20"/>
        </w:rPr>
        <w:t>开户银行：</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开户银行：</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01A962F3">
      <w:pPr>
        <w:spacing w:before="161" w:line="229" w:lineRule="auto"/>
        <w:ind w:left="643"/>
        <w:rPr>
          <w:rFonts w:ascii="宋体" w:hAnsi="宋体" w:eastAsia="宋体" w:cs="宋体"/>
          <w:sz w:val="20"/>
          <w:szCs w:val="20"/>
        </w:rPr>
      </w:pPr>
      <w:r>
        <w:rPr>
          <w:rFonts w:ascii="宋体" w:hAnsi="宋体" w:eastAsia="宋体" w:cs="宋体"/>
          <w:spacing w:val="-4"/>
          <w:sz w:val="20"/>
          <w:szCs w:val="20"/>
        </w:rPr>
        <w:t>账</w:t>
      </w:r>
      <w:r>
        <w:rPr>
          <w:rFonts w:ascii="宋体" w:hAnsi="宋体" w:eastAsia="宋体" w:cs="宋体"/>
          <w:spacing w:val="12"/>
          <w:sz w:val="20"/>
          <w:szCs w:val="20"/>
        </w:rPr>
        <w:t xml:space="preserve">  </w:t>
      </w:r>
      <w:r>
        <w:rPr>
          <w:rFonts w:ascii="宋体" w:hAnsi="宋体" w:eastAsia="宋体" w:cs="宋体"/>
          <w:spacing w:val="-4"/>
          <w:sz w:val="20"/>
          <w:szCs w:val="20"/>
        </w:rPr>
        <w:t>号</w:t>
      </w:r>
      <w:r>
        <w:rPr>
          <w:rFonts w:ascii="宋体" w:hAnsi="宋体" w:eastAsia="宋体" w:cs="宋体"/>
          <w:spacing w:val="-75"/>
          <w:sz w:val="20"/>
          <w:szCs w:val="20"/>
        </w:rPr>
        <w:t xml:space="preserve"> </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 xml:space="preserve">             账</w:t>
      </w:r>
      <w:r>
        <w:rPr>
          <w:rFonts w:ascii="宋体" w:hAnsi="宋体" w:eastAsia="宋体" w:cs="宋体"/>
          <w:spacing w:val="12"/>
          <w:sz w:val="20"/>
          <w:szCs w:val="20"/>
        </w:rPr>
        <w:t xml:space="preserve">  </w:t>
      </w:r>
      <w:r>
        <w:rPr>
          <w:rFonts w:ascii="宋体" w:hAnsi="宋体" w:eastAsia="宋体" w:cs="宋体"/>
          <w:spacing w:val="-4"/>
          <w:sz w:val="20"/>
          <w:szCs w:val="20"/>
        </w:rPr>
        <w:t>号</w:t>
      </w:r>
      <w:r>
        <w:rPr>
          <w:rFonts w:ascii="宋体" w:hAnsi="宋体" w:eastAsia="宋体" w:cs="宋体"/>
          <w:spacing w:val="-74"/>
          <w:sz w:val="20"/>
          <w:szCs w:val="20"/>
        </w:rPr>
        <w:t xml:space="preserve"> </w:t>
      </w:r>
      <w:r>
        <w:rPr>
          <w:rFonts w:ascii="宋体" w:hAnsi="宋体" w:eastAsia="宋体" w:cs="宋体"/>
          <w:spacing w:val="-4"/>
          <w:sz w:val="20"/>
          <w:szCs w:val="20"/>
        </w:rPr>
        <w:t>：</w:t>
      </w:r>
      <w:r>
        <w:rPr>
          <w:rFonts w:ascii="宋体" w:hAnsi="宋体" w:eastAsia="宋体" w:cs="宋体"/>
          <w:spacing w:val="-4"/>
          <w:sz w:val="20"/>
          <w:szCs w:val="20"/>
          <w:u w:val="single" w:color="auto"/>
        </w:rPr>
        <w:t xml:space="preserve">                       </w:t>
      </w:r>
    </w:p>
    <w:p w14:paraId="610D848A">
      <w:pPr>
        <w:spacing w:before="159" w:line="228" w:lineRule="auto"/>
        <w:ind w:left="655"/>
        <w:rPr>
          <w:rFonts w:ascii="宋体" w:hAnsi="宋体" w:eastAsia="宋体" w:cs="宋体"/>
          <w:sz w:val="20"/>
          <w:szCs w:val="20"/>
        </w:rPr>
      </w:pPr>
      <w:r>
        <w:rPr>
          <w:rFonts w:ascii="宋体" w:hAnsi="宋体" w:eastAsia="宋体" w:cs="宋体"/>
          <w:spacing w:val="4"/>
          <w:sz w:val="20"/>
          <w:szCs w:val="20"/>
        </w:rPr>
        <w:t>邮政编码：</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4"/>
          <w:sz w:val="20"/>
          <w:szCs w:val="20"/>
        </w:rPr>
        <w:t>邮政编码：</w:t>
      </w:r>
      <w:r>
        <w:rPr>
          <w:rFonts w:ascii="宋体" w:hAnsi="宋体" w:eastAsia="宋体" w:cs="宋体"/>
          <w:sz w:val="20"/>
          <w:szCs w:val="20"/>
          <w:u w:val="single" w:color="auto"/>
        </w:rPr>
        <w:t xml:space="preserve">                    </w:t>
      </w:r>
    </w:p>
    <w:p w14:paraId="1E4856A4">
      <w:pPr>
        <w:spacing w:line="228" w:lineRule="auto"/>
        <w:rPr>
          <w:rFonts w:ascii="宋体" w:hAnsi="宋体" w:eastAsia="宋体" w:cs="宋体"/>
          <w:sz w:val="20"/>
          <w:szCs w:val="20"/>
        </w:rPr>
        <w:sectPr>
          <w:footerReference r:id="rId320" w:type="default"/>
          <w:pgSz w:w="11907" w:h="16840"/>
          <w:pgMar w:top="400" w:right="1531" w:bottom="1038" w:left="1473" w:header="0" w:footer="787" w:gutter="0"/>
          <w:cols w:space="720" w:num="1"/>
        </w:sectPr>
      </w:pPr>
    </w:p>
    <w:p w14:paraId="04266304">
      <w:pPr>
        <w:spacing w:line="246" w:lineRule="auto"/>
        <w:rPr>
          <w:rFonts w:ascii="Arial"/>
          <w:sz w:val="21"/>
        </w:rPr>
      </w:pPr>
    </w:p>
    <w:p w14:paraId="2CA85AE8">
      <w:pPr>
        <w:spacing w:line="246" w:lineRule="auto"/>
        <w:rPr>
          <w:rFonts w:ascii="Arial"/>
          <w:sz w:val="21"/>
        </w:rPr>
      </w:pPr>
    </w:p>
    <w:p w14:paraId="5EFD56A7">
      <w:pPr>
        <w:spacing w:line="246" w:lineRule="auto"/>
        <w:rPr>
          <w:rFonts w:ascii="Arial"/>
          <w:sz w:val="21"/>
        </w:rPr>
      </w:pPr>
    </w:p>
    <w:p w14:paraId="44DC3916">
      <w:pPr>
        <w:spacing w:line="247" w:lineRule="auto"/>
        <w:rPr>
          <w:rFonts w:ascii="Arial"/>
          <w:sz w:val="21"/>
        </w:rPr>
      </w:pPr>
    </w:p>
    <w:p w14:paraId="172B6834">
      <w:pPr>
        <w:spacing w:line="247" w:lineRule="auto"/>
        <w:rPr>
          <w:rFonts w:ascii="Arial"/>
          <w:sz w:val="21"/>
        </w:rPr>
      </w:pPr>
    </w:p>
    <w:p w14:paraId="5707D28D">
      <w:pPr>
        <w:spacing w:line="247" w:lineRule="auto"/>
        <w:rPr>
          <w:rFonts w:ascii="Arial"/>
          <w:sz w:val="21"/>
        </w:rPr>
      </w:pPr>
    </w:p>
    <w:p w14:paraId="04478B0A">
      <w:pPr>
        <w:spacing w:before="78" w:line="219" w:lineRule="auto"/>
        <w:ind w:left="111"/>
        <w:rPr>
          <w:rFonts w:ascii="宋体" w:hAnsi="宋体" w:eastAsia="宋体" w:cs="宋体"/>
          <w:sz w:val="24"/>
          <w:szCs w:val="24"/>
        </w:rPr>
      </w:pPr>
      <w:r>
        <w:rPr>
          <w:rFonts w:ascii="宋体" w:hAnsi="宋体" w:eastAsia="宋体" w:cs="宋体"/>
          <w:spacing w:val="-10"/>
          <w:sz w:val="24"/>
          <w:szCs w:val="24"/>
        </w:rPr>
        <w:t>附件</w:t>
      </w:r>
      <w:r>
        <w:rPr>
          <w:rFonts w:ascii="宋体" w:hAnsi="宋体" w:eastAsia="宋体" w:cs="宋体"/>
          <w:spacing w:val="-50"/>
          <w:sz w:val="24"/>
          <w:szCs w:val="24"/>
        </w:rPr>
        <w:t xml:space="preserve"> </w:t>
      </w:r>
      <w:r>
        <w:rPr>
          <w:rFonts w:ascii="宋体" w:hAnsi="宋体" w:eastAsia="宋体" w:cs="宋体"/>
          <w:spacing w:val="-10"/>
          <w:sz w:val="24"/>
          <w:szCs w:val="24"/>
        </w:rPr>
        <w:t>4：</w:t>
      </w:r>
    </w:p>
    <w:p w14:paraId="08220458">
      <w:pPr>
        <w:pStyle w:val="2"/>
        <w:spacing w:before="242" w:line="222" w:lineRule="auto"/>
        <w:ind w:left="3148"/>
        <w:rPr>
          <w:sz w:val="28"/>
          <w:szCs w:val="28"/>
        </w:rPr>
      </w:pPr>
      <w:r>
        <w:rPr>
          <w:spacing w:val="-2"/>
          <w:sz w:val="28"/>
          <w:szCs w:val="28"/>
        </w:rPr>
        <w:t>主要建设工程文件目录</w:t>
      </w:r>
    </w:p>
    <w:p w14:paraId="0F65864B">
      <w:pPr>
        <w:spacing w:line="110" w:lineRule="exact"/>
      </w:pPr>
    </w:p>
    <w:tbl>
      <w:tblPr>
        <w:tblStyle w:val="5"/>
        <w:tblW w:w="9042"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2"/>
        <w:gridCol w:w="1272"/>
        <w:gridCol w:w="1446"/>
        <w:gridCol w:w="1239"/>
        <w:gridCol w:w="1446"/>
        <w:gridCol w:w="1677"/>
      </w:tblGrid>
      <w:tr w14:paraId="74664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1962" w:type="dxa"/>
            <w:tcBorders>
              <w:top w:val="single" w:color="000000" w:sz="10" w:space="0"/>
              <w:left w:val="single" w:color="000000" w:sz="10" w:space="0"/>
            </w:tcBorders>
            <w:vAlign w:val="top"/>
          </w:tcPr>
          <w:p w14:paraId="20EDC299">
            <w:pPr>
              <w:pStyle w:val="6"/>
              <w:spacing w:before="176" w:line="228" w:lineRule="auto"/>
              <w:ind w:left="89"/>
            </w:pPr>
            <w:r>
              <w:rPr>
                <w:spacing w:val="6"/>
              </w:rPr>
              <w:t>文件名称</w:t>
            </w:r>
          </w:p>
        </w:tc>
        <w:tc>
          <w:tcPr>
            <w:tcW w:w="1272" w:type="dxa"/>
            <w:tcBorders>
              <w:top w:val="single" w:color="000000" w:sz="10" w:space="0"/>
            </w:tcBorders>
            <w:vAlign w:val="top"/>
          </w:tcPr>
          <w:p w14:paraId="3ED90A0A">
            <w:pPr>
              <w:pStyle w:val="6"/>
              <w:spacing w:before="176" w:line="228" w:lineRule="auto"/>
              <w:ind w:left="87"/>
            </w:pPr>
            <w:r>
              <w:rPr>
                <w:spacing w:val="4"/>
              </w:rPr>
              <w:t>套数</w:t>
            </w:r>
          </w:p>
        </w:tc>
        <w:tc>
          <w:tcPr>
            <w:tcW w:w="1446" w:type="dxa"/>
            <w:tcBorders>
              <w:top w:val="single" w:color="000000" w:sz="10" w:space="0"/>
            </w:tcBorders>
            <w:vAlign w:val="top"/>
          </w:tcPr>
          <w:p w14:paraId="76921403">
            <w:pPr>
              <w:pStyle w:val="6"/>
              <w:spacing w:before="177" w:line="228" w:lineRule="auto"/>
              <w:ind w:left="103"/>
            </w:pPr>
            <w:r>
              <w:rPr>
                <w:spacing w:val="3"/>
              </w:rPr>
              <w:t>费用（元）</w:t>
            </w:r>
          </w:p>
        </w:tc>
        <w:tc>
          <w:tcPr>
            <w:tcW w:w="1239" w:type="dxa"/>
            <w:tcBorders>
              <w:top w:val="single" w:color="000000" w:sz="10" w:space="0"/>
            </w:tcBorders>
            <w:vAlign w:val="top"/>
          </w:tcPr>
          <w:p w14:paraId="79CC538C">
            <w:pPr>
              <w:pStyle w:val="6"/>
              <w:spacing w:before="177" w:line="228" w:lineRule="auto"/>
              <w:ind w:left="96"/>
            </w:pPr>
            <w:r>
              <w:rPr>
                <w:spacing w:val="4"/>
              </w:rPr>
              <w:t>质量</w:t>
            </w:r>
          </w:p>
        </w:tc>
        <w:tc>
          <w:tcPr>
            <w:tcW w:w="1446" w:type="dxa"/>
            <w:tcBorders>
              <w:top w:val="single" w:color="000000" w:sz="10" w:space="0"/>
            </w:tcBorders>
            <w:vAlign w:val="top"/>
          </w:tcPr>
          <w:p w14:paraId="306EED37">
            <w:pPr>
              <w:pStyle w:val="6"/>
              <w:spacing w:before="177" w:line="229" w:lineRule="auto"/>
              <w:ind w:left="313"/>
            </w:pPr>
            <w:r>
              <w:rPr>
                <w:spacing w:val="7"/>
              </w:rPr>
              <w:t>移交时间</w:t>
            </w:r>
          </w:p>
        </w:tc>
        <w:tc>
          <w:tcPr>
            <w:tcW w:w="1677" w:type="dxa"/>
            <w:tcBorders>
              <w:top w:val="single" w:color="000000" w:sz="10" w:space="0"/>
              <w:right w:val="single" w:color="000000" w:sz="10" w:space="0"/>
            </w:tcBorders>
            <w:vAlign w:val="top"/>
          </w:tcPr>
          <w:p w14:paraId="3B71D89B">
            <w:pPr>
              <w:pStyle w:val="6"/>
              <w:spacing w:before="176" w:line="228" w:lineRule="auto"/>
              <w:ind w:left="537"/>
            </w:pPr>
            <w:r>
              <w:rPr>
                <w:spacing w:val="4"/>
              </w:rPr>
              <w:t>责任人</w:t>
            </w:r>
          </w:p>
        </w:tc>
      </w:tr>
      <w:tr w14:paraId="0CBE0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962" w:type="dxa"/>
            <w:tcBorders>
              <w:left w:val="single" w:color="000000" w:sz="10" w:space="0"/>
            </w:tcBorders>
            <w:vAlign w:val="top"/>
          </w:tcPr>
          <w:p w14:paraId="5CAD736A">
            <w:pPr>
              <w:rPr>
                <w:rFonts w:ascii="Arial"/>
                <w:sz w:val="21"/>
              </w:rPr>
            </w:pPr>
          </w:p>
        </w:tc>
        <w:tc>
          <w:tcPr>
            <w:tcW w:w="1272" w:type="dxa"/>
            <w:vAlign w:val="top"/>
          </w:tcPr>
          <w:p w14:paraId="106533FB">
            <w:pPr>
              <w:rPr>
                <w:rFonts w:ascii="Arial"/>
                <w:sz w:val="21"/>
              </w:rPr>
            </w:pPr>
          </w:p>
        </w:tc>
        <w:tc>
          <w:tcPr>
            <w:tcW w:w="1446" w:type="dxa"/>
            <w:vAlign w:val="top"/>
          </w:tcPr>
          <w:p w14:paraId="59E754D5">
            <w:pPr>
              <w:rPr>
                <w:rFonts w:ascii="Arial"/>
                <w:sz w:val="21"/>
              </w:rPr>
            </w:pPr>
          </w:p>
        </w:tc>
        <w:tc>
          <w:tcPr>
            <w:tcW w:w="1239" w:type="dxa"/>
            <w:vAlign w:val="top"/>
          </w:tcPr>
          <w:p w14:paraId="14673A48">
            <w:pPr>
              <w:rPr>
                <w:rFonts w:ascii="Arial"/>
                <w:sz w:val="21"/>
              </w:rPr>
            </w:pPr>
          </w:p>
        </w:tc>
        <w:tc>
          <w:tcPr>
            <w:tcW w:w="1446" w:type="dxa"/>
            <w:vAlign w:val="top"/>
          </w:tcPr>
          <w:p w14:paraId="43CB7827">
            <w:pPr>
              <w:rPr>
                <w:rFonts w:ascii="Arial"/>
                <w:sz w:val="21"/>
              </w:rPr>
            </w:pPr>
          </w:p>
        </w:tc>
        <w:tc>
          <w:tcPr>
            <w:tcW w:w="1677" w:type="dxa"/>
            <w:tcBorders>
              <w:right w:val="single" w:color="000000" w:sz="10" w:space="0"/>
            </w:tcBorders>
            <w:vAlign w:val="top"/>
          </w:tcPr>
          <w:p w14:paraId="435CE888">
            <w:pPr>
              <w:rPr>
                <w:rFonts w:ascii="Arial"/>
                <w:sz w:val="21"/>
              </w:rPr>
            </w:pPr>
          </w:p>
        </w:tc>
      </w:tr>
      <w:tr w14:paraId="44E8D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3713D734">
            <w:pPr>
              <w:rPr>
                <w:rFonts w:ascii="Arial"/>
                <w:sz w:val="21"/>
              </w:rPr>
            </w:pPr>
          </w:p>
        </w:tc>
        <w:tc>
          <w:tcPr>
            <w:tcW w:w="1272" w:type="dxa"/>
            <w:vAlign w:val="top"/>
          </w:tcPr>
          <w:p w14:paraId="64A2B302">
            <w:pPr>
              <w:rPr>
                <w:rFonts w:ascii="Arial"/>
                <w:sz w:val="21"/>
              </w:rPr>
            </w:pPr>
          </w:p>
        </w:tc>
        <w:tc>
          <w:tcPr>
            <w:tcW w:w="1446" w:type="dxa"/>
            <w:vAlign w:val="top"/>
          </w:tcPr>
          <w:p w14:paraId="7BD8E8BF">
            <w:pPr>
              <w:rPr>
                <w:rFonts w:ascii="Arial"/>
                <w:sz w:val="21"/>
              </w:rPr>
            </w:pPr>
          </w:p>
        </w:tc>
        <w:tc>
          <w:tcPr>
            <w:tcW w:w="1239" w:type="dxa"/>
            <w:vAlign w:val="top"/>
          </w:tcPr>
          <w:p w14:paraId="5E2B483C">
            <w:pPr>
              <w:rPr>
                <w:rFonts w:ascii="Arial"/>
                <w:sz w:val="21"/>
              </w:rPr>
            </w:pPr>
          </w:p>
        </w:tc>
        <w:tc>
          <w:tcPr>
            <w:tcW w:w="1446" w:type="dxa"/>
            <w:vAlign w:val="top"/>
          </w:tcPr>
          <w:p w14:paraId="43FFF97A">
            <w:pPr>
              <w:rPr>
                <w:rFonts w:ascii="Arial"/>
                <w:sz w:val="21"/>
              </w:rPr>
            </w:pPr>
          </w:p>
        </w:tc>
        <w:tc>
          <w:tcPr>
            <w:tcW w:w="1677" w:type="dxa"/>
            <w:tcBorders>
              <w:right w:val="single" w:color="000000" w:sz="10" w:space="0"/>
            </w:tcBorders>
            <w:vAlign w:val="top"/>
          </w:tcPr>
          <w:p w14:paraId="28AC527A">
            <w:pPr>
              <w:rPr>
                <w:rFonts w:ascii="Arial"/>
                <w:sz w:val="21"/>
              </w:rPr>
            </w:pPr>
          </w:p>
        </w:tc>
      </w:tr>
      <w:tr w14:paraId="7810F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5D9AABE6">
            <w:pPr>
              <w:rPr>
                <w:rFonts w:ascii="Arial"/>
                <w:sz w:val="21"/>
              </w:rPr>
            </w:pPr>
          </w:p>
        </w:tc>
        <w:tc>
          <w:tcPr>
            <w:tcW w:w="1272" w:type="dxa"/>
            <w:vAlign w:val="top"/>
          </w:tcPr>
          <w:p w14:paraId="4A8D5946">
            <w:pPr>
              <w:rPr>
                <w:rFonts w:ascii="Arial"/>
                <w:sz w:val="21"/>
              </w:rPr>
            </w:pPr>
          </w:p>
        </w:tc>
        <w:tc>
          <w:tcPr>
            <w:tcW w:w="1446" w:type="dxa"/>
            <w:vAlign w:val="top"/>
          </w:tcPr>
          <w:p w14:paraId="4EBCA3D6">
            <w:pPr>
              <w:rPr>
                <w:rFonts w:ascii="Arial"/>
                <w:sz w:val="21"/>
              </w:rPr>
            </w:pPr>
          </w:p>
        </w:tc>
        <w:tc>
          <w:tcPr>
            <w:tcW w:w="1239" w:type="dxa"/>
            <w:vAlign w:val="top"/>
          </w:tcPr>
          <w:p w14:paraId="7E745DDA">
            <w:pPr>
              <w:rPr>
                <w:rFonts w:ascii="Arial"/>
                <w:sz w:val="21"/>
              </w:rPr>
            </w:pPr>
          </w:p>
        </w:tc>
        <w:tc>
          <w:tcPr>
            <w:tcW w:w="1446" w:type="dxa"/>
            <w:vAlign w:val="top"/>
          </w:tcPr>
          <w:p w14:paraId="62949179">
            <w:pPr>
              <w:rPr>
                <w:rFonts w:ascii="Arial"/>
                <w:sz w:val="21"/>
              </w:rPr>
            </w:pPr>
          </w:p>
        </w:tc>
        <w:tc>
          <w:tcPr>
            <w:tcW w:w="1677" w:type="dxa"/>
            <w:tcBorders>
              <w:right w:val="single" w:color="000000" w:sz="10" w:space="0"/>
            </w:tcBorders>
            <w:vAlign w:val="top"/>
          </w:tcPr>
          <w:p w14:paraId="3DC27834">
            <w:pPr>
              <w:rPr>
                <w:rFonts w:ascii="Arial"/>
                <w:sz w:val="21"/>
              </w:rPr>
            </w:pPr>
          </w:p>
        </w:tc>
      </w:tr>
      <w:tr w14:paraId="3639D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0FA8971B">
            <w:pPr>
              <w:rPr>
                <w:rFonts w:ascii="Arial"/>
                <w:sz w:val="21"/>
              </w:rPr>
            </w:pPr>
          </w:p>
        </w:tc>
        <w:tc>
          <w:tcPr>
            <w:tcW w:w="1272" w:type="dxa"/>
            <w:vAlign w:val="top"/>
          </w:tcPr>
          <w:p w14:paraId="1925A608">
            <w:pPr>
              <w:rPr>
                <w:rFonts w:ascii="Arial"/>
                <w:sz w:val="21"/>
              </w:rPr>
            </w:pPr>
          </w:p>
        </w:tc>
        <w:tc>
          <w:tcPr>
            <w:tcW w:w="1446" w:type="dxa"/>
            <w:vAlign w:val="top"/>
          </w:tcPr>
          <w:p w14:paraId="1EE27065">
            <w:pPr>
              <w:rPr>
                <w:rFonts w:ascii="Arial"/>
                <w:sz w:val="21"/>
              </w:rPr>
            </w:pPr>
          </w:p>
        </w:tc>
        <w:tc>
          <w:tcPr>
            <w:tcW w:w="1239" w:type="dxa"/>
            <w:vAlign w:val="top"/>
          </w:tcPr>
          <w:p w14:paraId="59904817">
            <w:pPr>
              <w:rPr>
                <w:rFonts w:ascii="Arial"/>
                <w:sz w:val="21"/>
              </w:rPr>
            </w:pPr>
          </w:p>
        </w:tc>
        <w:tc>
          <w:tcPr>
            <w:tcW w:w="1446" w:type="dxa"/>
            <w:vAlign w:val="top"/>
          </w:tcPr>
          <w:p w14:paraId="47CD1D4B">
            <w:pPr>
              <w:rPr>
                <w:rFonts w:ascii="Arial"/>
                <w:sz w:val="21"/>
              </w:rPr>
            </w:pPr>
          </w:p>
        </w:tc>
        <w:tc>
          <w:tcPr>
            <w:tcW w:w="1677" w:type="dxa"/>
            <w:tcBorders>
              <w:right w:val="single" w:color="000000" w:sz="10" w:space="0"/>
            </w:tcBorders>
            <w:vAlign w:val="top"/>
          </w:tcPr>
          <w:p w14:paraId="6C212AC4">
            <w:pPr>
              <w:rPr>
                <w:rFonts w:ascii="Arial"/>
                <w:sz w:val="21"/>
              </w:rPr>
            </w:pPr>
          </w:p>
        </w:tc>
      </w:tr>
      <w:tr w14:paraId="44BDF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14660EF0">
            <w:pPr>
              <w:rPr>
                <w:rFonts w:ascii="Arial"/>
                <w:sz w:val="21"/>
              </w:rPr>
            </w:pPr>
          </w:p>
        </w:tc>
        <w:tc>
          <w:tcPr>
            <w:tcW w:w="1272" w:type="dxa"/>
            <w:vAlign w:val="top"/>
          </w:tcPr>
          <w:p w14:paraId="2C43CA1E">
            <w:pPr>
              <w:rPr>
                <w:rFonts w:ascii="Arial"/>
                <w:sz w:val="21"/>
              </w:rPr>
            </w:pPr>
          </w:p>
        </w:tc>
        <w:tc>
          <w:tcPr>
            <w:tcW w:w="1446" w:type="dxa"/>
            <w:vAlign w:val="top"/>
          </w:tcPr>
          <w:p w14:paraId="3D6708E4">
            <w:pPr>
              <w:rPr>
                <w:rFonts w:ascii="Arial"/>
                <w:sz w:val="21"/>
              </w:rPr>
            </w:pPr>
          </w:p>
        </w:tc>
        <w:tc>
          <w:tcPr>
            <w:tcW w:w="1239" w:type="dxa"/>
            <w:vAlign w:val="top"/>
          </w:tcPr>
          <w:p w14:paraId="0893B2EA">
            <w:pPr>
              <w:rPr>
                <w:rFonts w:ascii="Arial"/>
                <w:sz w:val="21"/>
              </w:rPr>
            </w:pPr>
          </w:p>
        </w:tc>
        <w:tc>
          <w:tcPr>
            <w:tcW w:w="1446" w:type="dxa"/>
            <w:vAlign w:val="top"/>
          </w:tcPr>
          <w:p w14:paraId="542C298F">
            <w:pPr>
              <w:rPr>
                <w:rFonts w:ascii="Arial"/>
                <w:sz w:val="21"/>
              </w:rPr>
            </w:pPr>
          </w:p>
        </w:tc>
        <w:tc>
          <w:tcPr>
            <w:tcW w:w="1677" w:type="dxa"/>
            <w:tcBorders>
              <w:right w:val="single" w:color="000000" w:sz="10" w:space="0"/>
            </w:tcBorders>
            <w:vAlign w:val="top"/>
          </w:tcPr>
          <w:p w14:paraId="70DFFD0F">
            <w:pPr>
              <w:rPr>
                <w:rFonts w:ascii="Arial"/>
                <w:sz w:val="21"/>
              </w:rPr>
            </w:pPr>
          </w:p>
        </w:tc>
      </w:tr>
      <w:tr w14:paraId="49A54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0878C328">
            <w:pPr>
              <w:rPr>
                <w:rFonts w:ascii="Arial"/>
                <w:sz w:val="21"/>
              </w:rPr>
            </w:pPr>
          </w:p>
        </w:tc>
        <w:tc>
          <w:tcPr>
            <w:tcW w:w="1272" w:type="dxa"/>
            <w:vAlign w:val="top"/>
          </w:tcPr>
          <w:p w14:paraId="5CF19E89">
            <w:pPr>
              <w:rPr>
                <w:rFonts w:ascii="Arial"/>
                <w:sz w:val="21"/>
              </w:rPr>
            </w:pPr>
          </w:p>
        </w:tc>
        <w:tc>
          <w:tcPr>
            <w:tcW w:w="1446" w:type="dxa"/>
            <w:vAlign w:val="top"/>
          </w:tcPr>
          <w:p w14:paraId="509C25E2">
            <w:pPr>
              <w:rPr>
                <w:rFonts w:ascii="Arial"/>
                <w:sz w:val="21"/>
              </w:rPr>
            </w:pPr>
          </w:p>
        </w:tc>
        <w:tc>
          <w:tcPr>
            <w:tcW w:w="1239" w:type="dxa"/>
            <w:vAlign w:val="top"/>
          </w:tcPr>
          <w:p w14:paraId="7E88ACDC">
            <w:pPr>
              <w:rPr>
                <w:rFonts w:ascii="Arial"/>
                <w:sz w:val="21"/>
              </w:rPr>
            </w:pPr>
          </w:p>
        </w:tc>
        <w:tc>
          <w:tcPr>
            <w:tcW w:w="1446" w:type="dxa"/>
            <w:vAlign w:val="top"/>
          </w:tcPr>
          <w:p w14:paraId="54229E47">
            <w:pPr>
              <w:rPr>
                <w:rFonts w:ascii="Arial"/>
                <w:sz w:val="21"/>
              </w:rPr>
            </w:pPr>
          </w:p>
        </w:tc>
        <w:tc>
          <w:tcPr>
            <w:tcW w:w="1677" w:type="dxa"/>
            <w:tcBorders>
              <w:right w:val="single" w:color="000000" w:sz="10" w:space="0"/>
            </w:tcBorders>
            <w:vAlign w:val="top"/>
          </w:tcPr>
          <w:p w14:paraId="68543B26">
            <w:pPr>
              <w:rPr>
                <w:rFonts w:ascii="Arial"/>
                <w:sz w:val="21"/>
              </w:rPr>
            </w:pPr>
          </w:p>
        </w:tc>
      </w:tr>
      <w:tr w14:paraId="17F82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1E5CC420">
            <w:pPr>
              <w:rPr>
                <w:rFonts w:ascii="Arial"/>
                <w:sz w:val="21"/>
              </w:rPr>
            </w:pPr>
          </w:p>
        </w:tc>
        <w:tc>
          <w:tcPr>
            <w:tcW w:w="1272" w:type="dxa"/>
            <w:vAlign w:val="top"/>
          </w:tcPr>
          <w:p w14:paraId="412D5A6B">
            <w:pPr>
              <w:rPr>
                <w:rFonts w:ascii="Arial"/>
                <w:sz w:val="21"/>
              </w:rPr>
            </w:pPr>
          </w:p>
        </w:tc>
        <w:tc>
          <w:tcPr>
            <w:tcW w:w="1446" w:type="dxa"/>
            <w:vAlign w:val="top"/>
          </w:tcPr>
          <w:p w14:paraId="2E6A9D79">
            <w:pPr>
              <w:rPr>
                <w:rFonts w:ascii="Arial"/>
                <w:sz w:val="21"/>
              </w:rPr>
            </w:pPr>
          </w:p>
        </w:tc>
        <w:tc>
          <w:tcPr>
            <w:tcW w:w="1239" w:type="dxa"/>
            <w:vAlign w:val="top"/>
          </w:tcPr>
          <w:p w14:paraId="2E61021B">
            <w:pPr>
              <w:rPr>
                <w:rFonts w:ascii="Arial"/>
                <w:sz w:val="21"/>
              </w:rPr>
            </w:pPr>
          </w:p>
        </w:tc>
        <w:tc>
          <w:tcPr>
            <w:tcW w:w="1446" w:type="dxa"/>
            <w:vAlign w:val="top"/>
          </w:tcPr>
          <w:p w14:paraId="6022D4E0">
            <w:pPr>
              <w:rPr>
                <w:rFonts w:ascii="Arial"/>
                <w:sz w:val="21"/>
              </w:rPr>
            </w:pPr>
          </w:p>
        </w:tc>
        <w:tc>
          <w:tcPr>
            <w:tcW w:w="1677" w:type="dxa"/>
            <w:tcBorders>
              <w:right w:val="single" w:color="000000" w:sz="10" w:space="0"/>
            </w:tcBorders>
            <w:vAlign w:val="top"/>
          </w:tcPr>
          <w:p w14:paraId="6A7E9C40">
            <w:pPr>
              <w:rPr>
                <w:rFonts w:ascii="Arial"/>
                <w:sz w:val="21"/>
              </w:rPr>
            </w:pPr>
          </w:p>
        </w:tc>
      </w:tr>
      <w:tr w14:paraId="6CFED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2D9CC482">
            <w:pPr>
              <w:rPr>
                <w:rFonts w:ascii="Arial"/>
                <w:sz w:val="21"/>
              </w:rPr>
            </w:pPr>
          </w:p>
        </w:tc>
        <w:tc>
          <w:tcPr>
            <w:tcW w:w="1272" w:type="dxa"/>
            <w:vAlign w:val="top"/>
          </w:tcPr>
          <w:p w14:paraId="3D7D8D73">
            <w:pPr>
              <w:rPr>
                <w:rFonts w:ascii="Arial"/>
                <w:sz w:val="21"/>
              </w:rPr>
            </w:pPr>
          </w:p>
        </w:tc>
        <w:tc>
          <w:tcPr>
            <w:tcW w:w="1446" w:type="dxa"/>
            <w:vAlign w:val="top"/>
          </w:tcPr>
          <w:p w14:paraId="46154B89">
            <w:pPr>
              <w:rPr>
                <w:rFonts w:ascii="Arial"/>
                <w:sz w:val="21"/>
              </w:rPr>
            </w:pPr>
          </w:p>
        </w:tc>
        <w:tc>
          <w:tcPr>
            <w:tcW w:w="1239" w:type="dxa"/>
            <w:vAlign w:val="top"/>
          </w:tcPr>
          <w:p w14:paraId="7BB869DF">
            <w:pPr>
              <w:rPr>
                <w:rFonts w:ascii="Arial"/>
                <w:sz w:val="21"/>
              </w:rPr>
            </w:pPr>
          </w:p>
        </w:tc>
        <w:tc>
          <w:tcPr>
            <w:tcW w:w="1446" w:type="dxa"/>
            <w:vAlign w:val="top"/>
          </w:tcPr>
          <w:p w14:paraId="322EFBD9">
            <w:pPr>
              <w:rPr>
                <w:rFonts w:ascii="Arial"/>
                <w:sz w:val="21"/>
              </w:rPr>
            </w:pPr>
          </w:p>
        </w:tc>
        <w:tc>
          <w:tcPr>
            <w:tcW w:w="1677" w:type="dxa"/>
            <w:tcBorders>
              <w:right w:val="single" w:color="000000" w:sz="10" w:space="0"/>
            </w:tcBorders>
            <w:vAlign w:val="top"/>
          </w:tcPr>
          <w:p w14:paraId="365ED476">
            <w:pPr>
              <w:rPr>
                <w:rFonts w:ascii="Arial"/>
                <w:sz w:val="21"/>
              </w:rPr>
            </w:pPr>
          </w:p>
        </w:tc>
      </w:tr>
      <w:tr w14:paraId="7A9B2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0B799CAB">
            <w:pPr>
              <w:rPr>
                <w:rFonts w:ascii="Arial"/>
                <w:sz w:val="21"/>
              </w:rPr>
            </w:pPr>
          </w:p>
        </w:tc>
        <w:tc>
          <w:tcPr>
            <w:tcW w:w="1272" w:type="dxa"/>
            <w:vAlign w:val="top"/>
          </w:tcPr>
          <w:p w14:paraId="62859CB0">
            <w:pPr>
              <w:rPr>
                <w:rFonts w:ascii="Arial"/>
                <w:sz w:val="21"/>
              </w:rPr>
            </w:pPr>
          </w:p>
        </w:tc>
        <w:tc>
          <w:tcPr>
            <w:tcW w:w="1446" w:type="dxa"/>
            <w:vAlign w:val="top"/>
          </w:tcPr>
          <w:p w14:paraId="74F95084">
            <w:pPr>
              <w:rPr>
                <w:rFonts w:ascii="Arial"/>
                <w:sz w:val="21"/>
              </w:rPr>
            </w:pPr>
          </w:p>
        </w:tc>
        <w:tc>
          <w:tcPr>
            <w:tcW w:w="1239" w:type="dxa"/>
            <w:vAlign w:val="top"/>
          </w:tcPr>
          <w:p w14:paraId="4E2973C3">
            <w:pPr>
              <w:rPr>
                <w:rFonts w:ascii="Arial"/>
                <w:sz w:val="21"/>
              </w:rPr>
            </w:pPr>
          </w:p>
        </w:tc>
        <w:tc>
          <w:tcPr>
            <w:tcW w:w="1446" w:type="dxa"/>
            <w:vAlign w:val="top"/>
          </w:tcPr>
          <w:p w14:paraId="2A9C52DD">
            <w:pPr>
              <w:rPr>
                <w:rFonts w:ascii="Arial"/>
                <w:sz w:val="21"/>
              </w:rPr>
            </w:pPr>
          </w:p>
        </w:tc>
        <w:tc>
          <w:tcPr>
            <w:tcW w:w="1677" w:type="dxa"/>
            <w:tcBorders>
              <w:right w:val="single" w:color="000000" w:sz="10" w:space="0"/>
            </w:tcBorders>
            <w:vAlign w:val="top"/>
          </w:tcPr>
          <w:p w14:paraId="055FE03A">
            <w:pPr>
              <w:rPr>
                <w:rFonts w:ascii="Arial"/>
                <w:sz w:val="21"/>
              </w:rPr>
            </w:pPr>
          </w:p>
        </w:tc>
      </w:tr>
      <w:tr w14:paraId="3181D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2E5CFBC3">
            <w:pPr>
              <w:rPr>
                <w:rFonts w:ascii="Arial"/>
                <w:sz w:val="21"/>
              </w:rPr>
            </w:pPr>
          </w:p>
        </w:tc>
        <w:tc>
          <w:tcPr>
            <w:tcW w:w="1272" w:type="dxa"/>
            <w:vAlign w:val="top"/>
          </w:tcPr>
          <w:p w14:paraId="449EEB57">
            <w:pPr>
              <w:rPr>
                <w:rFonts w:ascii="Arial"/>
                <w:sz w:val="21"/>
              </w:rPr>
            </w:pPr>
          </w:p>
        </w:tc>
        <w:tc>
          <w:tcPr>
            <w:tcW w:w="1446" w:type="dxa"/>
            <w:vAlign w:val="top"/>
          </w:tcPr>
          <w:p w14:paraId="642CD949">
            <w:pPr>
              <w:rPr>
                <w:rFonts w:ascii="Arial"/>
                <w:sz w:val="21"/>
              </w:rPr>
            </w:pPr>
          </w:p>
        </w:tc>
        <w:tc>
          <w:tcPr>
            <w:tcW w:w="1239" w:type="dxa"/>
            <w:vAlign w:val="top"/>
          </w:tcPr>
          <w:p w14:paraId="0AEC6692">
            <w:pPr>
              <w:rPr>
                <w:rFonts w:ascii="Arial"/>
                <w:sz w:val="21"/>
              </w:rPr>
            </w:pPr>
          </w:p>
        </w:tc>
        <w:tc>
          <w:tcPr>
            <w:tcW w:w="1446" w:type="dxa"/>
            <w:vAlign w:val="top"/>
          </w:tcPr>
          <w:p w14:paraId="01DF94B2">
            <w:pPr>
              <w:rPr>
                <w:rFonts w:ascii="Arial"/>
                <w:sz w:val="21"/>
              </w:rPr>
            </w:pPr>
          </w:p>
        </w:tc>
        <w:tc>
          <w:tcPr>
            <w:tcW w:w="1677" w:type="dxa"/>
            <w:tcBorders>
              <w:right w:val="single" w:color="000000" w:sz="10" w:space="0"/>
            </w:tcBorders>
            <w:vAlign w:val="top"/>
          </w:tcPr>
          <w:p w14:paraId="3E647F10">
            <w:pPr>
              <w:rPr>
                <w:rFonts w:ascii="Arial"/>
                <w:sz w:val="21"/>
              </w:rPr>
            </w:pPr>
          </w:p>
        </w:tc>
      </w:tr>
      <w:tr w14:paraId="59747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7DBA3369">
            <w:pPr>
              <w:rPr>
                <w:rFonts w:ascii="Arial"/>
                <w:sz w:val="21"/>
              </w:rPr>
            </w:pPr>
          </w:p>
        </w:tc>
        <w:tc>
          <w:tcPr>
            <w:tcW w:w="1272" w:type="dxa"/>
            <w:vAlign w:val="top"/>
          </w:tcPr>
          <w:p w14:paraId="18084E94">
            <w:pPr>
              <w:rPr>
                <w:rFonts w:ascii="Arial"/>
                <w:sz w:val="21"/>
              </w:rPr>
            </w:pPr>
          </w:p>
        </w:tc>
        <w:tc>
          <w:tcPr>
            <w:tcW w:w="1446" w:type="dxa"/>
            <w:vAlign w:val="top"/>
          </w:tcPr>
          <w:p w14:paraId="6CD8A9A1">
            <w:pPr>
              <w:rPr>
                <w:rFonts w:ascii="Arial"/>
                <w:sz w:val="21"/>
              </w:rPr>
            </w:pPr>
          </w:p>
        </w:tc>
        <w:tc>
          <w:tcPr>
            <w:tcW w:w="1239" w:type="dxa"/>
            <w:vAlign w:val="top"/>
          </w:tcPr>
          <w:p w14:paraId="4F72BCEA">
            <w:pPr>
              <w:rPr>
                <w:rFonts w:ascii="Arial"/>
                <w:sz w:val="21"/>
              </w:rPr>
            </w:pPr>
          </w:p>
        </w:tc>
        <w:tc>
          <w:tcPr>
            <w:tcW w:w="1446" w:type="dxa"/>
            <w:vAlign w:val="top"/>
          </w:tcPr>
          <w:p w14:paraId="426F1230">
            <w:pPr>
              <w:rPr>
                <w:rFonts w:ascii="Arial"/>
                <w:sz w:val="21"/>
              </w:rPr>
            </w:pPr>
          </w:p>
        </w:tc>
        <w:tc>
          <w:tcPr>
            <w:tcW w:w="1677" w:type="dxa"/>
            <w:tcBorders>
              <w:right w:val="single" w:color="000000" w:sz="10" w:space="0"/>
            </w:tcBorders>
            <w:vAlign w:val="top"/>
          </w:tcPr>
          <w:p w14:paraId="4791C4B3">
            <w:pPr>
              <w:rPr>
                <w:rFonts w:ascii="Arial"/>
                <w:sz w:val="21"/>
              </w:rPr>
            </w:pPr>
          </w:p>
        </w:tc>
      </w:tr>
      <w:tr w14:paraId="3EA8F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5B073D84">
            <w:pPr>
              <w:rPr>
                <w:rFonts w:ascii="Arial"/>
                <w:sz w:val="21"/>
              </w:rPr>
            </w:pPr>
          </w:p>
        </w:tc>
        <w:tc>
          <w:tcPr>
            <w:tcW w:w="1272" w:type="dxa"/>
            <w:vAlign w:val="top"/>
          </w:tcPr>
          <w:p w14:paraId="1C8F9C95">
            <w:pPr>
              <w:rPr>
                <w:rFonts w:ascii="Arial"/>
                <w:sz w:val="21"/>
              </w:rPr>
            </w:pPr>
          </w:p>
        </w:tc>
        <w:tc>
          <w:tcPr>
            <w:tcW w:w="1446" w:type="dxa"/>
            <w:vAlign w:val="top"/>
          </w:tcPr>
          <w:p w14:paraId="2C6B920C">
            <w:pPr>
              <w:rPr>
                <w:rFonts w:ascii="Arial"/>
                <w:sz w:val="21"/>
              </w:rPr>
            </w:pPr>
          </w:p>
        </w:tc>
        <w:tc>
          <w:tcPr>
            <w:tcW w:w="1239" w:type="dxa"/>
            <w:vAlign w:val="top"/>
          </w:tcPr>
          <w:p w14:paraId="5DC0C713">
            <w:pPr>
              <w:rPr>
                <w:rFonts w:ascii="Arial"/>
                <w:sz w:val="21"/>
              </w:rPr>
            </w:pPr>
          </w:p>
        </w:tc>
        <w:tc>
          <w:tcPr>
            <w:tcW w:w="1446" w:type="dxa"/>
            <w:vAlign w:val="top"/>
          </w:tcPr>
          <w:p w14:paraId="2860CBB2">
            <w:pPr>
              <w:rPr>
                <w:rFonts w:ascii="Arial"/>
                <w:sz w:val="21"/>
              </w:rPr>
            </w:pPr>
          </w:p>
        </w:tc>
        <w:tc>
          <w:tcPr>
            <w:tcW w:w="1677" w:type="dxa"/>
            <w:tcBorders>
              <w:right w:val="single" w:color="000000" w:sz="10" w:space="0"/>
            </w:tcBorders>
            <w:vAlign w:val="top"/>
          </w:tcPr>
          <w:p w14:paraId="1C8C1302">
            <w:pPr>
              <w:rPr>
                <w:rFonts w:ascii="Arial"/>
                <w:sz w:val="21"/>
              </w:rPr>
            </w:pPr>
          </w:p>
        </w:tc>
      </w:tr>
      <w:tr w14:paraId="33557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32BCACA9">
            <w:pPr>
              <w:rPr>
                <w:rFonts w:ascii="Arial"/>
                <w:sz w:val="21"/>
              </w:rPr>
            </w:pPr>
          </w:p>
        </w:tc>
        <w:tc>
          <w:tcPr>
            <w:tcW w:w="1272" w:type="dxa"/>
            <w:vAlign w:val="top"/>
          </w:tcPr>
          <w:p w14:paraId="525C393B">
            <w:pPr>
              <w:rPr>
                <w:rFonts w:ascii="Arial"/>
                <w:sz w:val="21"/>
              </w:rPr>
            </w:pPr>
          </w:p>
        </w:tc>
        <w:tc>
          <w:tcPr>
            <w:tcW w:w="1446" w:type="dxa"/>
            <w:vAlign w:val="top"/>
          </w:tcPr>
          <w:p w14:paraId="6A8BDEEC">
            <w:pPr>
              <w:rPr>
                <w:rFonts w:ascii="Arial"/>
                <w:sz w:val="21"/>
              </w:rPr>
            </w:pPr>
          </w:p>
        </w:tc>
        <w:tc>
          <w:tcPr>
            <w:tcW w:w="1239" w:type="dxa"/>
            <w:vAlign w:val="top"/>
          </w:tcPr>
          <w:p w14:paraId="43EC5560">
            <w:pPr>
              <w:rPr>
                <w:rFonts w:ascii="Arial"/>
                <w:sz w:val="21"/>
              </w:rPr>
            </w:pPr>
          </w:p>
        </w:tc>
        <w:tc>
          <w:tcPr>
            <w:tcW w:w="1446" w:type="dxa"/>
            <w:vAlign w:val="top"/>
          </w:tcPr>
          <w:p w14:paraId="5DA93E2B">
            <w:pPr>
              <w:rPr>
                <w:rFonts w:ascii="Arial"/>
                <w:sz w:val="21"/>
              </w:rPr>
            </w:pPr>
          </w:p>
        </w:tc>
        <w:tc>
          <w:tcPr>
            <w:tcW w:w="1677" w:type="dxa"/>
            <w:tcBorders>
              <w:right w:val="single" w:color="000000" w:sz="10" w:space="0"/>
            </w:tcBorders>
            <w:vAlign w:val="top"/>
          </w:tcPr>
          <w:p w14:paraId="45B849A8">
            <w:pPr>
              <w:rPr>
                <w:rFonts w:ascii="Arial"/>
                <w:sz w:val="21"/>
              </w:rPr>
            </w:pPr>
          </w:p>
        </w:tc>
      </w:tr>
      <w:tr w14:paraId="39721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470400D6">
            <w:pPr>
              <w:rPr>
                <w:rFonts w:ascii="Arial"/>
                <w:sz w:val="21"/>
              </w:rPr>
            </w:pPr>
          </w:p>
        </w:tc>
        <w:tc>
          <w:tcPr>
            <w:tcW w:w="1272" w:type="dxa"/>
            <w:vAlign w:val="top"/>
          </w:tcPr>
          <w:p w14:paraId="7E18A5AA">
            <w:pPr>
              <w:rPr>
                <w:rFonts w:ascii="Arial"/>
                <w:sz w:val="21"/>
              </w:rPr>
            </w:pPr>
          </w:p>
        </w:tc>
        <w:tc>
          <w:tcPr>
            <w:tcW w:w="1446" w:type="dxa"/>
            <w:vAlign w:val="top"/>
          </w:tcPr>
          <w:p w14:paraId="00313EAD">
            <w:pPr>
              <w:rPr>
                <w:rFonts w:ascii="Arial"/>
                <w:sz w:val="21"/>
              </w:rPr>
            </w:pPr>
          </w:p>
        </w:tc>
        <w:tc>
          <w:tcPr>
            <w:tcW w:w="1239" w:type="dxa"/>
            <w:vAlign w:val="top"/>
          </w:tcPr>
          <w:p w14:paraId="28B894E0">
            <w:pPr>
              <w:rPr>
                <w:rFonts w:ascii="Arial"/>
                <w:sz w:val="21"/>
              </w:rPr>
            </w:pPr>
          </w:p>
        </w:tc>
        <w:tc>
          <w:tcPr>
            <w:tcW w:w="1446" w:type="dxa"/>
            <w:vAlign w:val="top"/>
          </w:tcPr>
          <w:p w14:paraId="41F1FF03">
            <w:pPr>
              <w:rPr>
                <w:rFonts w:ascii="Arial"/>
                <w:sz w:val="21"/>
              </w:rPr>
            </w:pPr>
          </w:p>
        </w:tc>
        <w:tc>
          <w:tcPr>
            <w:tcW w:w="1677" w:type="dxa"/>
            <w:tcBorders>
              <w:right w:val="single" w:color="000000" w:sz="10" w:space="0"/>
            </w:tcBorders>
            <w:vAlign w:val="top"/>
          </w:tcPr>
          <w:p w14:paraId="41DBBC99">
            <w:pPr>
              <w:rPr>
                <w:rFonts w:ascii="Arial"/>
                <w:sz w:val="21"/>
              </w:rPr>
            </w:pPr>
          </w:p>
        </w:tc>
      </w:tr>
      <w:tr w14:paraId="6DF38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456562F0">
            <w:pPr>
              <w:rPr>
                <w:rFonts w:ascii="Arial"/>
                <w:sz w:val="21"/>
              </w:rPr>
            </w:pPr>
          </w:p>
        </w:tc>
        <w:tc>
          <w:tcPr>
            <w:tcW w:w="1272" w:type="dxa"/>
            <w:vAlign w:val="top"/>
          </w:tcPr>
          <w:p w14:paraId="1B441CE6">
            <w:pPr>
              <w:rPr>
                <w:rFonts w:ascii="Arial"/>
                <w:sz w:val="21"/>
              </w:rPr>
            </w:pPr>
          </w:p>
        </w:tc>
        <w:tc>
          <w:tcPr>
            <w:tcW w:w="1446" w:type="dxa"/>
            <w:vAlign w:val="top"/>
          </w:tcPr>
          <w:p w14:paraId="54C7A6A7">
            <w:pPr>
              <w:rPr>
                <w:rFonts w:ascii="Arial"/>
                <w:sz w:val="21"/>
              </w:rPr>
            </w:pPr>
          </w:p>
        </w:tc>
        <w:tc>
          <w:tcPr>
            <w:tcW w:w="1239" w:type="dxa"/>
            <w:vAlign w:val="top"/>
          </w:tcPr>
          <w:p w14:paraId="66AFD462">
            <w:pPr>
              <w:rPr>
                <w:rFonts w:ascii="Arial"/>
                <w:sz w:val="21"/>
              </w:rPr>
            </w:pPr>
          </w:p>
        </w:tc>
        <w:tc>
          <w:tcPr>
            <w:tcW w:w="1446" w:type="dxa"/>
            <w:vAlign w:val="top"/>
          </w:tcPr>
          <w:p w14:paraId="1571A29C">
            <w:pPr>
              <w:rPr>
                <w:rFonts w:ascii="Arial"/>
                <w:sz w:val="21"/>
              </w:rPr>
            </w:pPr>
          </w:p>
        </w:tc>
        <w:tc>
          <w:tcPr>
            <w:tcW w:w="1677" w:type="dxa"/>
            <w:tcBorders>
              <w:right w:val="single" w:color="000000" w:sz="10" w:space="0"/>
            </w:tcBorders>
            <w:vAlign w:val="top"/>
          </w:tcPr>
          <w:p w14:paraId="1258B3FA">
            <w:pPr>
              <w:rPr>
                <w:rFonts w:ascii="Arial"/>
                <w:sz w:val="21"/>
              </w:rPr>
            </w:pPr>
          </w:p>
        </w:tc>
      </w:tr>
      <w:tr w14:paraId="668A9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73A6EE77">
            <w:pPr>
              <w:rPr>
                <w:rFonts w:ascii="Arial"/>
                <w:sz w:val="21"/>
              </w:rPr>
            </w:pPr>
          </w:p>
        </w:tc>
        <w:tc>
          <w:tcPr>
            <w:tcW w:w="1272" w:type="dxa"/>
            <w:vAlign w:val="top"/>
          </w:tcPr>
          <w:p w14:paraId="069BFC4A">
            <w:pPr>
              <w:rPr>
                <w:rFonts w:ascii="Arial"/>
                <w:sz w:val="21"/>
              </w:rPr>
            </w:pPr>
          </w:p>
        </w:tc>
        <w:tc>
          <w:tcPr>
            <w:tcW w:w="1446" w:type="dxa"/>
            <w:vAlign w:val="top"/>
          </w:tcPr>
          <w:p w14:paraId="13C931FF">
            <w:pPr>
              <w:rPr>
                <w:rFonts w:ascii="Arial"/>
                <w:sz w:val="21"/>
              </w:rPr>
            </w:pPr>
          </w:p>
        </w:tc>
        <w:tc>
          <w:tcPr>
            <w:tcW w:w="1239" w:type="dxa"/>
            <w:vAlign w:val="top"/>
          </w:tcPr>
          <w:p w14:paraId="33CE7ECC">
            <w:pPr>
              <w:rPr>
                <w:rFonts w:ascii="Arial"/>
                <w:sz w:val="21"/>
              </w:rPr>
            </w:pPr>
          </w:p>
        </w:tc>
        <w:tc>
          <w:tcPr>
            <w:tcW w:w="1446" w:type="dxa"/>
            <w:vAlign w:val="top"/>
          </w:tcPr>
          <w:p w14:paraId="173AE460">
            <w:pPr>
              <w:rPr>
                <w:rFonts w:ascii="Arial"/>
                <w:sz w:val="21"/>
              </w:rPr>
            </w:pPr>
          </w:p>
        </w:tc>
        <w:tc>
          <w:tcPr>
            <w:tcW w:w="1677" w:type="dxa"/>
            <w:tcBorders>
              <w:right w:val="single" w:color="000000" w:sz="10" w:space="0"/>
            </w:tcBorders>
            <w:vAlign w:val="top"/>
          </w:tcPr>
          <w:p w14:paraId="4D2E6E9F">
            <w:pPr>
              <w:rPr>
                <w:rFonts w:ascii="Arial"/>
                <w:sz w:val="21"/>
              </w:rPr>
            </w:pPr>
          </w:p>
        </w:tc>
      </w:tr>
      <w:tr w14:paraId="631280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56744277">
            <w:pPr>
              <w:rPr>
                <w:rFonts w:ascii="Arial"/>
                <w:sz w:val="21"/>
              </w:rPr>
            </w:pPr>
          </w:p>
        </w:tc>
        <w:tc>
          <w:tcPr>
            <w:tcW w:w="1272" w:type="dxa"/>
            <w:vAlign w:val="top"/>
          </w:tcPr>
          <w:p w14:paraId="53BA3386">
            <w:pPr>
              <w:rPr>
                <w:rFonts w:ascii="Arial"/>
                <w:sz w:val="21"/>
              </w:rPr>
            </w:pPr>
          </w:p>
        </w:tc>
        <w:tc>
          <w:tcPr>
            <w:tcW w:w="1446" w:type="dxa"/>
            <w:vAlign w:val="top"/>
          </w:tcPr>
          <w:p w14:paraId="21098F56">
            <w:pPr>
              <w:rPr>
                <w:rFonts w:ascii="Arial"/>
                <w:sz w:val="21"/>
              </w:rPr>
            </w:pPr>
          </w:p>
        </w:tc>
        <w:tc>
          <w:tcPr>
            <w:tcW w:w="1239" w:type="dxa"/>
            <w:vAlign w:val="top"/>
          </w:tcPr>
          <w:p w14:paraId="3BCFA2EC">
            <w:pPr>
              <w:rPr>
                <w:rFonts w:ascii="Arial"/>
                <w:sz w:val="21"/>
              </w:rPr>
            </w:pPr>
          </w:p>
        </w:tc>
        <w:tc>
          <w:tcPr>
            <w:tcW w:w="1446" w:type="dxa"/>
            <w:vAlign w:val="top"/>
          </w:tcPr>
          <w:p w14:paraId="7F97240E">
            <w:pPr>
              <w:rPr>
                <w:rFonts w:ascii="Arial"/>
                <w:sz w:val="21"/>
              </w:rPr>
            </w:pPr>
          </w:p>
        </w:tc>
        <w:tc>
          <w:tcPr>
            <w:tcW w:w="1677" w:type="dxa"/>
            <w:tcBorders>
              <w:right w:val="single" w:color="000000" w:sz="10" w:space="0"/>
            </w:tcBorders>
            <w:vAlign w:val="top"/>
          </w:tcPr>
          <w:p w14:paraId="715F02E4">
            <w:pPr>
              <w:rPr>
                <w:rFonts w:ascii="Arial"/>
                <w:sz w:val="21"/>
              </w:rPr>
            </w:pPr>
          </w:p>
        </w:tc>
      </w:tr>
      <w:tr w14:paraId="181BE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1962" w:type="dxa"/>
            <w:tcBorders>
              <w:left w:val="single" w:color="000000" w:sz="10" w:space="0"/>
            </w:tcBorders>
            <w:vAlign w:val="top"/>
          </w:tcPr>
          <w:p w14:paraId="61ADD6FA">
            <w:pPr>
              <w:rPr>
                <w:rFonts w:ascii="Arial"/>
                <w:sz w:val="21"/>
              </w:rPr>
            </w:pPr>
          </w:p>
        </w:tc>
        <w:tc>
          <w:tcPr>
            <w:tcW w:w="1272" w:type="dxa"/>
            <w:vAlign w:val="top"/>
          </w:tcPr>
          <w:p w14:paraId="020EB319">
            <w:pPr>
              <w:rPr>
                <w:rFonts w:ascii="Arial"/>
                <w:sz w:val="21"/>
              </w:rPr>
            </w:pPr>
          </w:p>
        </w:tc>
        <w:tc>
          <w:tcPr>
            <w:tcW w:w="1446" w:type="dxa"/>
            <w:vAlign w:val="top"/>
          </w:tcPr>
          <w:p w14:paraId="5D9AA443">
            <w:pPr>
              <w:rPr>
                <w:rFonts w:ascii="Arial"/>
                <w:sz w:val="21"/>
              </w:rPr>
            </w:pPr>
          </w:p>
        </w:tc>
        <w:tc>
          <w:tcPr>
            <w:tcW w:w="1239" w:type="dxa"/>
            <w:vAlign w:val="top"/>
          </w:tcPr>
          <w:p w14:paraId="1E9EF58A">
            <w:pPr>
              <w:rPr>
                <w:rFonts w:ascii="Arial"/>
                <w:sz w:val="21"/>
              </w:rPr>
            </w:pPr>
          </w:p>
        </w:tc>
        <w:tc>
          <w:tcPr>
            <w:tcW w:w="1446" w:type="dxa"/>
            <w:vAlign w:val="top"/>
          </w:tcPr>
          <w:p w14:paraId="0D795093">
            <w:pPr>
              <w:rPr>
                <w:rFonts w:ascii="Arial"/>
                <w:sz w:val="21"/>
              </w:rPr>
            </w:pPr>
          </w:p>
        </w:tc>
        <w:tc>
          <w:tcPr>
            <w:tcW w:w="1677" w:type="dxa"/>
            <w:tcBorders>
              <w:right w:val="single" w:color="000000" w:sz="10" w:space="0"/>
            </w:tcBorders>
            <w:vAlign w:val="top"/>
          </w:tcPr>
          <w:p w14:paraId="4076AE4B">
            <w:pPr>
              <w:rPr>
                <w:rFonts w:ascii="Arial"/>
                <w:sz w:val="21"/>
              </w:rPr>
            </w:pPr>
          </w:p>
        </w:tc>
      </w:tr>
      <w:tr w14:paraId="52780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1962" w:type="dxa"/>
            <w:tcBorders>
              <w:left w:val="single" w:color="000000" w:sz="10" w:space="0"/>
              <w:bottom w:val="single" w:color="000000" w:sz="10" w:space="0"/>
            </w:tcBorders>
            <w:vAlign w:val="top"/>
          </w:tcPr>
          <w:p w14:paraId="2237DD99">
            <w:pPr>
              <w:rPr>
                <w:rFonts w:ascii="Arial"/>
                <w:sz w:val="21"/>
              </w:rPr>
            </w:pPr>
          </w:p>
        </w:tc>
        <w:tc>
          <w:tcPr>
            <w:tcW w:w="1272" w:type="dxa"/>
            <w:tcBorders>
              <w:bottom w:val="single" w:color="000000" w:sz="10" w:space="0"/>
            </w:tcBorders>
            <w:vAlign w:val="top"/>
          </w:tcPr>
          <w:p w14:paraId="1FA04D16">
            <w:pPr>
              <w:rPr>
                <w:rFonts w:ascii="Arial"/>
                <w:sz w:val="21"/>
              </w:rPr>
            </w:pPr>
          </w:p>
        </w:tc>
        <w:tc>
          <w:tcPr>
            <w:tcW w:w="1446" w:type="dxa"/>
            <w:tcBorders>
              <w:bottom w:val="single" w:color="000000" w:sz="10" w:space="0"/>
            </w:tcBorders>
            <w:vAlign w:val="top"/>
          </w:tcPr>
          <w:p w14:paraId="2421E919">
            <w:pPr>
              <w:rPr>
                <w:rFonts w:ascii="Arial"/>
                <w:sz w:val="21"/>
              </w:rPr>
            </w:pPr>
          </w:p>
        </w:tc>
        <w:tc>
          <w:tcPr>
            <w:tcW w:w="1239" w:type="dxa"/>
            <w:tcBorders>
              <w:bottom w:val="single" w:color="000000" w:sz="10" w:space="0"/>
            </w:tcBorders>
            <w:vAlign w:val="top"/>
          </w:tcPr>
          <w:p w14:paraId="47132979">
            <w:pPr>
              <w:rPr>
                <w:rFonts w:ascii="Arial"/>
                <w:sz w:val="21"/>
              </w:rPr>
            </w:pPr>
          </w:p>
        </w:tc>
        <w:tc>
          <w:tcPr>
            <w:tcW w:w="1446" w:type="dxa"/>
            <w:tcBorders>
              <w:bottom w:val="single" w:color="000000" w:sz="10" w:space="0"/>
            </w:tcBorders>
            <w:vAlign w:val="top"/>
          </w:tcPr>
          <w:p w14:paraId="69C911D3">
            <w:pPr>
              <w:rPr>
                <w:rFonts w:ascii="Arial"/>
                <w:sz w:val="21"/>
              </w:rPr>
            </w:pPr>
          </w:p>
        </w:tc>
        <w:tc>
          <w:tcPr>
            <w:tcW w:w="1677" w:type="dxa"/>
            <w:tcBorders>
              <w:bottom w:val="single" w:color="000000" w:sz="10" w:space="0"/>
              <w:right w:val="single" w:color="000000" w:sz="10" w:space="0"/>
            </w:tcBorders>
            <w:vAlign w:val="top"/>
          </w:tcPr>
          <w:p w14:paraId="1ED980D1">
            <w:pPr>
              <w:rPr>
                <w:rFonts w:ascii="Arial"/>
                <w:sz w:val="21"/>
              </w:rPr>
            </w:pPr>
          </w:p>
        </w:tc>
      </w:tr>
    </w:tbl>
    <w:p w14:paraId="639FC46E">
      <w:pPr>
        <w:rPr>
          <w:rFonts w:ascii="Arial"/>
          <w:sz w:val="21"/>
        </w:rPr>
      </w:pPr>
    </w:p>
    <w:p w14:paraId="34D198AD">
      <w:pPr>
        <w:rPr>
          <w:rFonts w:ascii="Arial" w:hAnsi="Arial" w:eastAsia="Arial" w:cs="Arial"/>
          <w:sz w:val="21"/>
          <w:szCs w:val="21"/>
        </w:rPr>
        <w:sectPr>
          <w:footerReference r:id="rId321" w:type="default"/>
          <w:pgSz w:w="11907" w:h="16840"/>
          <w:pgMar w:top="400" w:right="1448" w:bottom="1038" w:left="1390" w:header="0" w:footer="787" w:gutter="0"/>
          <w:cols w:space="720" w:num="1"/>
        </w:sectPr>
      </w:pPr>
    </w:p>
    <w:p w14:paraId="1D5B6EFF">
      <w:pPr>
        <w:spacing w:line="246" w:lineRule="auto"/>
        <w:rPr>
          <w:rFonts w:ascii="Arial"/>
          <w:sz w:val="21"/>
        </w:rPr>
      </w:pPr>
    </w:p>
    <w:p w14:paraId="594E7ED2">
      <w:pPr>
        <w:spacing w:line="246" w:lineRule="auto"/>
        <w:rPr>
          <w:rFonts w:ascii="Arial"/>
          <w:sz w:val="21"/>
        </w:rPr>
      </w:pPr>
    </w:p>
    <w:p w14:paraId="22018582">
      <w:pPr>
        <w:spacing w:line="246" w:lineRule="auto"/>
        <w:rPr>
          <w:rFonts w:ascii="Arial"/>
          <w:sz w:val="21"/>
        </w:rPr>
      </w:pPr>
    </w:p>
    <w:p w14:paraId="095D9BF6">
      <w:pPr>
        <w:spacing w:line="247" w:lineRule="auto"/>
        <w:rPr>
          <w:rFonts w:ascii="Arial"/>
          <w:sz w:val="21"/>
        </w:rPr>
      </w:pPr>
    </w:p>
    <w:p w14:paraId="439DCACC">
      <w:pPr>
        <w:spacing w:line="247" w:lineRule="auto"/>
        <w:rPr>
          <w:rFonts w:ascii="Arial"/>
          <w:sz w:val="21"/>
        </w:rPr>
      </w:pPr>
    </w:p>
    <w:p w14:paraId="71E94714">
      <w:pPr>
        <w:spacing w:line="247" w:lineRule="auto"/>
        <w:rPr>
          <w:rFonts w:ascii="Arial"/>
          <w:sz w:val="21"/>
        </w:rPr>
      </w:pPr>
    </w:p>
    <w:p w14:paraId="65327DDA">
      <w:pPr>
        <w:spacing w:before="78" w:line="219" w:lineRule="auto"/>
        <w:ind w:left="71"/>
        <w:rPr>
          <w:rFonts w:ascii="宋体" w:hAnsi="宋体" w:eastAsia="宋体" w:cs="宋体"/>
          <w:sz w:val="24"/>
          <w:szCs w:val="24"/>
        </w:rPr>
      </w:pPr>
      <w:r>
        <w:rPr>
          <w:rFonts w:ascii="宋体" w:hAnsi="宋体" w:eastAsia="宋体" w:cs="宋体"/>
          <w:spacing w:val="-11"/>
          <w:sz w:val="24"/>
          <w:szCs w:val="24"/>
        </w:rPr>
        <w:t>附件</w:t>
      </w:r>
      <w:r>
        <w:rPr>
          <w:rFonts w:ascii="宋体" w:hAnsi="宋体" w:eastAsia="宋体" w:cs="宋体"/>
          <w:spacing w:val="-46"/>
          <w:sz w:val="24"/>
          <w:szCs w:val="24"/>
        </w:rPr>
        <w:t xml:space="preserve"> </w:t>
      </w:r>
      <w:r>
        <w:rPr>
          <w:rFonts w:ascii="宋体" w:hAnsi="宋体" w:eastAsia="宋体" w:cs="宋体"/>
          <w:spacing w:val="-11"/>
          <w:sz w:val="24"/>
          <w:szCs w:val="24"/>
        </w:rPr>
        <w:t>5：</w:t>
      </w:r>
    </w:p>
    <w:p w14:paraId="454CE089">
      <w:pPr>
        <w:pStyle w:val="2"/>
        <w:spacing w:before="242" w:line="222" w:lineRule="auto"/>
        <w:ind w:left="2263"/>
        <w:rPr>
          <w:sz w:val="28"/>
          <w:szCs w:val="28"/>
        </w:rPr>
      </w:pPr>
      <w:r>
        <w:rPr>
          <w:spacing w:val="-1"/>
          <w:sz w:val="28"/>
          <w:szCs w:val="28"/>
        </w:rPr>
        <w:t>承包人用于本工程施工的机械设备表</w:t>
      </w:r>
    </w:p>
    <w:p w14:paraId="4F4F8C0A">
      <w:pPr>
        <w:spacing w:line="110" w:lineRule="exact"/>
      </w:pPr>
    </w:p>
    <w:tbl>
      <w:tblPr>
        <w:tblStyle w:val="5"/>
        <w:tblW w:w="8962"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0"/>
        <w:gridCol w:w="1413"/>
        <w:gridCol w:w="849"/>
        <w:gridCol w:w="707"/>
        <w:gridCol w:w="848"/>
        <w:gridCol w:w="849"/>
        <w:gridCol w:w="1272"/>
        <w:gridCol w:w="1271"/>
        <w:gridCol w:w="1003"/>
      </w:tblGrid>
      <w:tr w14:paraId="480B0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750" w:type="dxa"/>
            <w:tcBorders>
              <w:top w:val="single" w:color="000000" w:sz="10" w:space="0"/>
              <w:left w:val="single" w:color="000000" w:sz="10" w:space="0"/>
            </w:tcBorders>
            <w:vAlign w:val="top"/>
          </w:tcPr>
          <w:p w14:paraId="1F6A7F22">
            <w:pPr>
              <w:spacing w:line="330" w:lineRule="auto"/>
              <w:rPr>
                <w:rFonts w:ascii="Arial"/>
                <w:sz w:val="21"/>
              </w:rPr>
            </w:pPr>
          </w:p>
          <w:p w14:paraId="3E003BAF">
            <w:pPr>
              <w:pStyle w:val="6"/>
              <w:spacing w:before="65" w:line="229" w:lineRule="auto"/>
              <w:ind w:left="154"/>
            </w:pPr>
            <w:r>
              <w:rPr>
                <w:spacing w:val="5"/>
              </w:rPr>
              <w:t>序号</w:t>
            </w:r>
          </w:p>
        </w:tc>
        <w:tc>
          <w:tcPr>
            <w:tcW w:w="1413" w:type="dxa"/>
            <w:tcBorders>
              <w:top w:val="single" w:color="000000" w:sz="10" w:space="0"/>
            </w:tcBorders>
            <w:vAlign w:val="top"/>
          </w:tcPr>
          <w:p w14:paraId="098327AA">
            <w:pPr>
              <w:pStyle w:val="6"/>
              <w:spacing w:before="176" w:line="326" w:lineRule="auto"/>
              <w:ind w:left="492" w:right="185" w:hanging="317"/>
            </w:pPr>
            <w:r>
              <w:rPr>
                <w:spacing w:val="8"/>
              </w:rPr>
              <w:t>机械或设备</w:t>
            </w:r>
            <w:r>
              <w:rPr>
                <w:spacing w:val="3"/>
              </w:rPr>
              <w:t>名称</w:t>
            </w:r>
          </w:p>
        </w:tc>
        <w:tc>
          <w:tcPr>
            <w:tcW w:w="849" w:type="dxa"/>
            <w:tcBorders>
              <w:top w:val="single" w:color="000000" w:sz="10" w:space="0"/>
            </w:tcBorders>
            <w:vAlign w:val="top"/>
          </w:tcPr>
          <w:p w14:paraId="352C264D">
            <w:pPr>
              <w:pStyle w:val="6"/>
              <w:spacing w:before="176" w:line="228" w:lineRule="auto"/>
              <w:ind w:left="213"/>
            </w:pPr>
            <w:r>
              <w:rPr>
                <w:spacing w:val="4"/>
              </w:rPr>
              <w:t>规格</w:t>
            </w:r>
          </w:p>
          <w:p w14:paraId="3298C3B7">
            <w:pPr>
              <w:pStyle w:val="6"/>
              <w:spacing w:before="192" w:line="229" w:lineRule="auto"/>
              <w:ind w:left="219"/>
            </w:pPr>
            <w:r>
              <w:rPr>
                <w:spacing w:val="1"/>
              </w:rPr>
              <w:t>型号</w:t>
            </w:r>
          </w:p>
        </w:tc>
        <w:tc>
          <w:tcPr>
            <w:tcW w:w="707" w:type="dxa"/>
            <w:tcBorders>
              <w:top w:val="single" w:color="000000" w:sz="10" w:space="0"/>
            </w:tcBorders>
            <w:vAlign w:val="top"/>
          </w:tcPr>
          <w:p w14:paraId="3AED6ABC">
            <w:pPr>
              <w:spacing w:line="330" w:lineRule="auto"/>
              <w:rPr>
                <w:rFonts w:ascii="Arial"/>
                <w:sz w:val="21"/>
              </w:rPr>
            </w:pPr>
          </w:p>
          <w:p w14:paraId="28188A5E">
            <w:pPr>
              <w:pStyle w:val="6"/>
              <w:spacing w:before="65" w:line="228" w:lineRule="auto"/>
              <w:ind w:left="145"/>
            </w:pPr>
            <w:r>
              <w:rPr>
                <w:spacing w:val="3"/>
              </w:rPr>
              <w:t>数量</w:t>
            </w:r>
          </w:p>
        </w:tc>
        <w:tc>
          <w:tcPr>
            <w:tcW w:w="848" w:type="dxa"/>
            <w:tcBorders>
              <w:top w:val="single" w:color="000000" w:sz="10" w:space="0"/>
            </w:tcBorders>
            <w:vAlign w:val="top"/>
          </w:tcPr>
          <w:p w14:paraId="2024F865">
            <w:pPr>
              <w:spacing w:line="330" w:lineRule="auto"/>
              <w:rPr>
                <w:rFonts w:ascii="Arial"/>
                <w:sz w:val="21"/>
              </w:rPr>
            </w:pPr>
          </w:p>
          <w:p w14:paraId="666E0E65">
            <w:pPr>
              <w:pStyle w:val="6"/>
              <w:spacing w:before="65" w:line="228" w:lineRule="auto"/>
              <w:ind w:left="217"/>
            </w:pPr>
            <w:r>
              <w:rPr>
                <w:spacing w:val="4"/>
              </w:rPr>
              <w:t>产地</w:t>
            </w:r>
          </w:p>
        </w:tc>
        <w:tc>
          <w:tcPr>
            <w:tcW w:w="849" w:type="dxa"/>
            <w:tcBorders>
              <w:top w:val="single" w:color="000000" w:sz="10" w:space="0"/>
            </w:tcBorders>
            <w:vAlign w:val="top"/>
          </w:tcPr>
          <w:p w14:paraId="3E799216">
            <w:pPr>
              <w:pStyle w:val="6"/>
              <w:spacing w:before="177" w:line="228" w:lineRule="auto"/>
              <w:ind w:left="219"/>
            </w:pPr>
            <w:r>
              <w:rPr>
                <w:spacing w:val="4"/>
              </w:rPr>
              <w:t>制造</w:t>
            </w:r>
          </w:p>
          <w:p w14:paraId="54F8C803">
            <w:pPr>
              <w:pStyle w:val="6"/>
              <w:spacing w:before="191" w:line="228" w:lineRule="auto"/>
              <w:ind w:left="219"/>
            </w:pPr>
            <w:r>
              <w:rPr>
                <w:spacing w:val="4"/>
              </w:rPr>
              <w:t>年份</w:t>
            </w:r>
          </w:p>
        </w:tc>
        <w:tc>
          <w:tcPr>
            <w:tcW w:w="1272" w:type="dxa"/>
            <w:tcBorders>
              <w:top w:val="single" w:color="000000" w:sz="10" w:space="0"/>
            </w:tcBorders>
            <w:vAlign w:val="top"/>
          </w:tcPr>
          <w:p w14:paraId="09388EA0">
            <w:pPr>
              <w:pStyle w:val="6"/>
              <w:spacing w:before="176" w:line="228" w:lineRule="auto"/>
              <w:ind w:left="224"/>
            </w:pPr>
            <w:r>
              <w:rPr>
                <w:spacing w:val="7"/>
              </w:rPr>
              <w:t>额定功率</w:t>
            </w:r>
          </w:p>
          <w:p w14:paraId="01F6F729">
            <w:pPr>
              <w:pStyle w:val="6"/>
              <w:spacing w:before="192"/>
              <w:ind w:left="337"/>
            </w:pPr>
            <w:r>
              <w:rPr>
                <w:spacing w:val="1"/>
              </w:rPr>
              <w:t>（</w:t>
            </w:r>
            <w:r>
              <w:t>kW</w:t>
            </w:r>
            <w:r>
              <w:rPr>
                <w:spacing w:val="1"/>
              </w:rPr>
              <w:t>）</w:t>
            </w:r>
          </w:p>
        </w:tc>
        <w:tc>
          <w:tcPr>
            <w:tcW w:w="1271" w:type="dxa"/>
            <w:tcBorders>
              <w:top w:val="single" w:color="000000" w:sz="10" w:space="0"/>
            </w:tcBorders>
            <w:vAlign w:val="top"/>
          </w:tcPr>
          <w:p w14:paraId="06266FCB">
            <w:pPr>
              <w:spacing w:line="330" w:lineRule="auto"/>
              <w:rPr>
                <w:rFonts w:ascii="Arial"/>
                <w:sz w:val="21"/>
              </w:rPr>
            </w:pPr>
          </w:p>
          <w:p w14:paraId="5606E242">
            <w:pPr>
              <w:pStyle w:val="6"/>
              <w:spacing w:before="65" w:line="228" w:lineRule="auto"/>
              <w:ind w:left="228"/>
            </w:pPr>
            <w:r>
              <w:rPr>
                <w:spacing w:val="6"/>
              </w:rPr>
              <w:t>生产能力</w:t>
            </w:r>
          </w:p>
        </w:tc>
        <w:tc>
          <w:tcPr>
            <w:tcW w:w="1003" w:type="dxa"/>
            <w:tcBorders>
              <w:top w:val="single" w:color="000000" w:sz="10" w:space="0"/>
              <w:right w:val="single" w:color="000000" w:sz="10" w:space="0"/>
            </w:tcBorders>
            <w:vAlign w:val="top"/>
          </w:tcPr>
          <w:p w14:paraId="180720B6">
            <w:pPr>
              <w:spacing w:line="330" w:lineRule="auto"/>
              <w:rPr>
                <w:rFonts w:ascii="Arial"/>
                <w:sz w:val="21"/>
              </w:rPr>
            </w:pPr>
          </w:p>
          <w:p w14:paraId="7763BC16">
            <w:pPr>
              <w:pStyle w:val="6"/>
              <w:spacing w:before="65" w:line="229" w:lineRule="auto"/>
              <w:ind w:left="301"/>
            </w:pPr>
            <w:r>
              <w:rPr>
                <w:spacing w:val="3"/>
              </w:rPr>
              <w:t>备注</w:t>
            </w:r>
          </w:p>
        </w:tc>
      </w:tr>
      <w:tr w14:paraId="41AF2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50" w:type="dxa"/>
            <w:tcBorders>
              <w:left w:val="single" w:color="000000" w:sz="10" w:space="0"/>
            </w:tcBorders>
            <w:vAlign w:val="top"/>
          </w:tcPr>
          <w:p w14:paraId="3B4F187E">
            <w:pPr>
              <w:rPr>
                <w:rFonts w:ascii="Arial"/>
                <w:sz w:val="21"/>
              </w:rPr>
            </w:pPr>
          </w:p>
        </w:tc>
        <w:tc>
          <w:tcPr>
            <w:tcW w:w="1413" w:type="dxa"/>
            <w:vAlign w:val="top"/>
          </w:tcPr>
          <w:p w14:paraId="7B89393B">
            <w:pPr>
              <w:rPr>
                <w:rFonts w:ascii="Arial"/>
                <w:sz w:val="21"/>
              </w:rPr>
            </w:pPr>
          </w:p>
        </w:tc>
        <w:tc>
          <w:tcPr>
            <w:tcW w:w="849" w:type="dxa"/>
            <w:vAlign w:val="top"/>
          </w:tcPr>
          <w:p w14:paraId="5F91DBFD">
            <w:pPr>
              <w:rPr>
                <w:rFonts w:ascii="Arial"/>
                <w:sz w:val="21"/>
              </w:rPr>
            </w:pPr>
          </w:p>
        </w:tc>
        <w:tc>
          <w:tcPr>
            <w:tcW w:w="707" w:type="dxa"/>
            <w:vAlign w:val="top"/>
          </w:tcPr>
          <w:p w14:paraId="49F2CFCD">
            <w:pPr>
              <w:rPr>
                <w:rFonts w:ascii="Arial"/>
                <w:sz w:val="21"/>
              </w:rPr>
            </w:pPr>
          </w:p>
        </w:tc>
        <w:tc>
          <w:tcPr>
            <w:tcW w:w="848" w:type="dxa"/>
            <w:vAlign w:val="top"/>
          </w:tcPr>
          <w:p w14:paraId="2E524F8D">
            <w:pPr>
              <w:rPr>
                <w:rFonts w:ascii="Arial"/>
                <w:sz w:val="21"/>
              </w:rPr>
            </w:pPr>
          </w:p>
        </w:tc>
        <w:tc>
          <w:tcPr>
            <w:tcW w:w="849" w:type="dxa"/>
            <w:vAlign w:val="top"/>
          </w:tcPr>
          <w:p w14:paraId="5BD6D29B">
            <w:pPr>
              <w:rPr>
                <w:rFonts w:ascii="Arial"/>
                <w:sz w:val="21"/>
              </w:rPr>
            </w:pPr>
          </w:p>
        </w:tc>
        <w:tc>
          <w:tcPr>
            <w:tcW w:w="1272" w:type="dxa"/>
            <w:vAlign w:val="top"/>
          </w:tcPr>
          <w:p w14:paraId="396A88D9">
            <w:pPr>
              <w:rPr>
                <w:rFonts w:ascii="Arial"/>
                <w:sz w:val="21"/>
              </w:rPr>
            </w:pPr>
          </w:p>
        </w:tc>
        <w:tc>
          <w:tcPr>
            <w:tcW w:w="1271" w:type="dxa"/>
            <w:vAlign w:val="top"/>
          </w:tcPr>
          <w:p w14:paraId="1D23A02C">
            <w:pPr>
              <w:rPr>
                <w:rFonts w:ascii="Arial"/>
                <w:sz w:val="21"/>
              </w:rPr>
            </w:pPr>
          </w:p>
        </w:tc>
        <w:tc>
          <w:tcPr>
            <w:tcW w:w="1003" w:type="dxa"/>
            <w:tcBorders>
              <w:right w:val="single" w:color="000000" w:sz="10" w:space="0"/>
            </w:tcBorders>
            <w:vAlign w:val="top"/>
          </w:tcPr>
          <w:p w14:paraId="11A637B4">
            <w:pPr>
              <w:rPr>
                <w:rFonts w:ascii="Arial"/>
                <w:sz w:val="21"/>
              </w:rPr>
            </w:pPr>
          </w:p>
        </w:tc>
      </w:tr>
      <w:tr w14:paraId="36C58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68ACA2D3">
            <w:pPr>
              <w:rPr>
                <w:rFonts w:ascii="Arial"/>
                <w:sz w:val="21"/>
              </w:rPr>
            </w:pPr>
          </w:p>
        </w:tc>
        <w:tc>
          <w:tcPr>
            <w:tcW w:w="1413" w:type="dxa"/>
            <w:vAlign w:val="top"/>
          </w:tcPr>
          <w:p w14:paraId="775FA911">
            <w:pPr>
              <w:rPr>
                <w:rFonts w:ascii="Arial"/>
                <w:sz w:val="21"/>
              </w:rPr>
            </w:pPr>
          </w:p>
        </w:tc>
        <w:tc>
          <w:tcPr>
            <w:tcW w:w="849" w:type="dxa"/>
            <w:vAlign w:val="top"/>
          </w:tcPr>
          <w:p w14:paraId="7B3E3D66">
            <w:pPr>
              <w:rPr>
                <w:rFonts w:ascii="Arial"/>
                <w:sz w:val="21"/>
              </w:rPr>
            </w:pPr>
          </w:p>
        </w:tc>
        <w:tc>
          <w:tcPr>
            <w:tcW w:w="707" w:type="dxa"/>
            <w:vAlign w:val="top"/>
          </w:tcPr>
          <w:p w14:paraId="500B6B3C">
            <w:pPr>
              <w:rPr>
                <w:rFonts w:ascii="Arial"/>
                <w:sz w:val="21"/>
              </w:rPr>
            </w:pPr>
          </w:p>
        </w:tc>
        <w:tc>
          <w:tcPr>
            <w:tcW w:w="848" w:type="dxa"/>
            <w:vAlign w:val="top"/>
          </w:tcPr>
          <w:p w14:paraId="68A1BEAB">
            <w:pPr>
              <w:rPr>
                <w:rFonts w:ascii="Arial"/>
                <w:sz w:val="21"/>
              </w:rPr>
            </w:pPr>
          </w:p>
        </w:tc>
        <w:tc>
          <w:tcPr>
            <w:tcW w:w="849" w:type="dxa"/>
            <w:vAlign w:val="top"/>
          </w:tcPr>
          <w:p w14:paraId="382294C3">
            <w:pPr>
              <w:rPr>
                <w:rFonts w:ascii="Arial"/>
                <w:sz w:val="21"/>
              </w:rPr>
            </w:pPr>
          </w:p>
        </w:tc>
        <w:tc>
          <w:tcPr>
            <w:tcW w:w="1272" w:type="dxa"/>
            <w:vAlign w:val="top"/>
          </w:tcPr>
          <w:p w14:paraId="7B4285DB">
            <w:pPr>
              <w:rPr>
                <w:rFonts w:ascii="Arial"/>
                <w:sz w:val="21"/>
              </w:rPr>
            </w:pPr>
          </w:p>
        </w:tc>
        <w:tc>
          <w:tcPr>
            <w:tcW w:w="1271" w:type="dxa"/>
            <w:vAlign w:val="top"/>
          </w:tcPr>
          <w:p w14:paraId="4EF92337">
            <w:pPr>
              <w:rPr>
                <w:rFonts w:ascii="Arial"/>
                <w:sz w:val="21"/>
              </w:rPr>
            </w:pPr>
          </w:p>
        </w:tc>
        <w:tc>
          <w:tcPr>
            <w:tcW w:w="1003" w:type="dxa"/>
            <w:tcBorders>
              <w:right w:val="single" w:color="000000" w:sz="10" w:space="0"/>
            </w:tcBorders>
            <w:vAlign w:val="top"/>
          </w:tcPr>
          <w:p w14:paraId="366CA1C6">
            <w:pPr>
              <w:rPr>
                <w:rFonts w:ascii="Arial"/>
                <w:sz w:val="21"/>
              </w:rPr>
            </w:pPr>
          </w:p>
        </w:tc>
      </w:tr>
      <w:tr w14:paraId="74B4B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15C361FD">
            <w:pPr>
              <w:rPr>
                <w:rFonts w:ascii="Arial"/>
                <w:sz w:val="21"/>
              </w:rPr>
            </w:pPr>
          </w:p>
        </w:tc>
        <w:tc>
          <w:tcPr>
            <w:tcW w:w="1413" w:type="dxa"/>
            <w:vAlign w:val="top"/>
          </w:tcPr>
          <w:p w14:paraId="7BAEC59E">
            <w:pPr>
              <w:rPr>
                <w:rFonts w:ascii="Arial"/>
                <w:sz w:val="21"/>
              </w:rPr>
            </w:pPr>
          </w:p>
        </w:tc>
        <w:tc>
          <w:tcPr>
            <w:tcW w:w="849" w:type="dxa"/>
            <w:vAlign w:val="top"/>
          </w:tcPr>
          <w:p w14:paraId="35D435D8">
            <w:pPr>
              <w:rPr>
                <w:rFonts w:ascii="Arial"/>
                <w:sz w:val="21"/>
              </w:rPr>
            </w:pPr>
          </w:p>
        </w:tc>
        <w:tc>
          <w:tcPr>
            <w:tcW w:w="707" w:type="dxa"/>
            <w:vAlign w:val="top"/>
          </w:tcPr>
          <w:p w14:paraId="2081B8AB">
            <w:pPr>
              <w:rPr>
                <w:rFonts w:ascii="Arial"/>
                <w:sz w:val="21"/>
              </w:rPr>
            </w:pPr>
          </w:p>
        </w:tc>
        <w:tc>
          <w:tcPr>
            <w:tcW w:w="848" w:type="dxa"/>
            <w:vAlign w:val="top"/>
          </w:tcPr>
          <w:p w14:paraId="438CB603">
            <w:pPr>
              <w:rPr>
                <w:rFonts w:ascii="Arial"/>
                <w:sz w:val="21"/>
              </w:rPr>
            </w:pPr>
          </w:p>
        </w:tc>
        <w:tc>
          <w:tcPr>
            <w:tcW w:w="849" w:type="dxa"/>
            <w:vAlign w:val="top"/>
          </w:tcPr>
          <w:p w14:paraId="7D6B0176">
            <w:pPr>
              <w:rPr>
                <w:rFonts w:ascii="Arial"/>
                <w:sz w:val="21"/>
              </w:rPr>
            </w:pPr>
          </w:p>
        </w:tc>
        <w:tc>
          <w:tcPr>
            <w:tcW w:w="1272" w:type="dxa"/>
            <w:vAlign w:val="top"/>
          </w:tcPr>
          <w:p w14:paraId="19682A1A">
            <w:pPr>
              <w:rPr>
                <w:rFonts w:ascii="Arial"/>
                <w:sz w:val="21"/>
              </w:rPr>
            </w:pPr>
          </w:p>
        </w:tc>
        <w:tc>
          <w:tcPr>
            <w:tcW w:w="1271" w:type="dxa"/>
            <w:vAlign w:val="top"/>
          </w:tcPr>
          <w:p w14:paraId="197AF8B2">
            <w:pPr>
              <w:rPr>
                <w:rFonts w:ascii="Arial"/>
                <w:sz w:val="21"/>
              </w:rPr>
            </w:pPr>
          </w:p>
        </w:tc>
        <w:tc>
          <w:tcPr>
            <w:tcW w:w="1003" w:type="dxa"/>
            <w:tcBorders>
              <w:right w:val="single" w:color="000000" w:sz="10" w:space="0"/>
            </w:tcBorders>
            <w:vAlign w:val="top"/>
          </w:tcPr>
          <w:p w14:paraId="529D8869">
            <w:pPr>
              <w:rPr>
                <w:rFonts w:ascii="Arial"/>
                <w:sz w:val="21"/>
              </w:rPr>
            </w:pPr>
          </w:p>
        </w:tc>
      </w:tr>
      <w:tr w14:paraId="6B17C2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38606346">
            <w:pPr>
              <w:rPr>
                <w:rFonts w:ascii="Arial"/>
                <w:sz w:val="21"/>
              </w:rPr>
            </w:pPr>
          </w:p>
        </w:tc>
        <w:tc>
          <w:tcPr>
            <w:tcW w:w="1413" w:type="dxa"/>
            <w:vAlign w:val="top"/>
          </w:tcPr>
          <w:p w14:paraId="2DEA5975">
            <w:pPr>
              <w:rPr>
                <w:rFonts w:ascii="Arial"/>
                <w:sz w:val="21"/>
              </w:rPr>
            </w:pPr>
          </w:p>
        </w:tc>
        <w:tc>
          <w:tcPr>
            <w:tcW w:w="849" w:type="dxa"/>
            <w:vAlign w:val="top"/>
          </w:tcPr>
          <w:p w14:paraId="2D7C46BA">
            <w:pPr>
              <w:rPr>
                <w:rFonts w:ascii="Arial"/>
                <w:sz w:val="21"/>
              </w:rPr>
            </w:pPr>
          </w:p>
        </w:tc>
        <w:tc>
          <w:tcPr>
            <w:tcW w:w="707" w:type="dxa"/>
            <w:vAlign w:val="top"/>
          </w:tcPr>
          <w:p w14:paraId="04EBE9DE">
            <w:pPr>
              <w:rPr>
                <w:rFonts w:ascii="Arial"/>
                <w:sz w:val="21"/>
              </w:rPr>
            </w:pPr>
          </w:p>
        </w:tc>
        <w:tc>
          <w:tcPr>
            <w:tcW w:w="848" w:type="dxa"/>
            <w:vAlign w:val="top"/>
          </w:tcPr>
          <w:p w14:paraId="7512557D">
            <w:pPr>
              <w:rPr>
                <w:rFonts w:ascii="Arial"/>
                <w:sz w:val="21"/>
              </w:rPr>
            </w:pPr>
          </w:p>
        </w:tc>
        <w:tc>
          <w:tcPr>
            <w:tcW w:w="849" w:type="dxa"/>
            <w:vAlign w:val="top"/>
          </w:tcPr>
          <w:p w14:paraId="3AA0BD47">
            <w:pPr>
              <w:rPr>
                <w:rFonts w:ascii="Arial"/>
                <w:sz w:val="21"/>
              </w:rPr>
            </w:pPr>
          </w:p>
        </w:tc>
        <w:tc>
          <w:tcPr>
            <w:tcW w:w="1272" w:type="dxa"/>
            <w:vAlign w:val="top"/>
          </w:tcPr>
          <w:p w14:paraId="130BCA61">
            <w:pPr>
              <w:rPr>
                <w:rFonts w:ascii="Arial"/>
                <w:sz w:val="21"/>
              </w:rPr>
            </w:pPr>
          </w:p>
        </w:tc>
        <w:tc>
          <w:tcPr>
            <w:tcW w:w="1271" w:type="dxa"/>
            <w:vAlign w:val="top"/>
          </w:tcPr>
          <w:p w14:paraId="547610FC">
            <w:pPr>
              <w:rPr>
                <w:rFonts w:ascii="Arial"/>
                <w:sz w:val="21"/>
              </w:rPr>
            </w:pPr>
          </w:p>
        </w:tc>
        <w:tc>
          <w:tcPr>
            <w:tcW w:w="1003" w:type="dxa"/>
            <w:tcBorders>
              <w:right w:val="single" w:color="000000" w:sz="10" w:space="0"/>
            </w:tcBorders>
            <w:vAlign w:val="top"/>
          </w:tcPr>
          <w:p w14:paraId="0CA937AA">
            <w:pPr>
              <w:rPr>
                <w:rFonts w:ascii="Arial"/>
                <w:sz w:val="21"/>
              </w:rPr>
            </w:pPr>
          </w:p>
        </w:tc>
      </w:tr>
      <w:tr w14:paraId="69FC0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3066EAAA">
            <w:pPr>
              <w:rPr>
                <w:rFonts w:ascii="Arial"/>
                <w:sz w:val="21"/>
              </w:rPr>
            </w:pPr>
          </w:p>
        </w:tc>
        <w:tc>
          <w:tcPr>
            <w:tcW w:w="1413" w:type="dxa"/>
            <w:vAlign w:val="top"/>
          </w:tcPr>
          <w:p w14:paraId="0B2375CC">
            <w:pPr>
              <w:rPr>
                <w:rFonts w:ascii="Arial"/>
                <w:sz w:val="21"/>
              </w:rPr>
            </w:pPr>
          </w:p>
        </w:tc>
        <w:tc>
          <w:tcPr>
            <w:tcW w:w="849" w:type="dxa"/>
            <w:vAlign w:val="top"/>
          </w:tcPr>
          <w:p w14:paraId="0E4500E1">
            <w:pPr>
              <w:rPr>
                <w:rFonts w:ascii="Arial"/>
                <w:sz w:val="21"/>
              </w:rPr>
            </w:pPr>
          </w:p>
        </w:tc>
        <w:tc>
          <w:tcPr>
            <w:tcW w:w="707" w:type="dxa"/>
            <w:vAlign w:val="top"/>
          </w:tcPr>
          <w:p w14:paraId="35B15C7D">
            <w:pPr>
              <w:rPr>
                <w:rFonts w:ascii="Arial"/>
                <w:sz w:val="21"/>
              </w:rPr>
            </w:pPr>
          </w:p>
        </w:tc>
        <w:tc>
          <w:tcPr>
            <w:tcW w:w="848" w:type="dxa"/>
            <w:vAlign w:val="top"/>
          </w:tcPr>
          <w:p w14:paraId="7D399CE9">
            <w:pPr>
              <w:rPr>
                <w:rFonts w:ascii="Arial"/>
                <w:sz w:val="21"/>
              </w:rPr>
            </w:pPr>
          </w:p>
        </w:tc>
        <w:tc>
          <w:tcPr>
            <w:tcW w:w="849" w:type="dxa"/>
            <w:vAlign w:val="top"/>
          </w:tcPr>
          <w:p w14:paraId="76683C9D">
            <w:pPr>
              <w:rPr>
                <w:rFonts w:ascii="Arial"/>
                <w:sz w:val="21"/>
              </w:rPr>
            </w:pPr>
          </w:p>
        </w:tc>
        <w:tc>
          <w:tcPr>
            <w:tcW w:w="1272" w:type="dxa"/>
            <w:vAlign w:val="top"/>
          </w:tcPr>
          <w:p w14:paraId="0EF4125A">
            <w:pPr>
              <w:rPr>
                <w:rFonts w:ascii="Arial"/>
                <w:sz w:val="21"/>
              </w:rPr>
            </w:pPr>
          </w:p>
        </w:tc>
        <w:tc>
          <w:tcPr>
            <w:tcW w:w="1271" w:type="dxa"/>
            <w:vAlign w:val="top"/>
          </w:tcPr>
          <w:p w14:paraId="61BF2C34">
            <w:pPr>
              <w:rPr>
                <w:rFonts w:ascii="Arial"/>
                <w:sz w:val="21"/>
              </w:rPr>
            </w:pPr>
          </w:p>
        </w:tc>
        <w:tc>
          <w:tcPr>
            <w:tcW w:w="1003" w:type="dxa"/>
            <w:tcBorders>
              <w:right w:val="single" w:color="000000" w:sz="10" w:space="0"/>
            </w:tcBorders>
            <w:vAlign w:val="top"/>
          </w:tcPr>
          <w:p w14:paraId="3C6C4D7C">
            <w:pPr>
              <w:rPr>
                <w:rFonts w:ascii="Arial"/>
                <w:sz w:val="21"/>
              </w:rPr>
            </w:pPr>
          </w:p>
        </w:tc>
      </w:tr>
      <w:tr w14:paraId="0888516E">
        <w:tblPrEx>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4CA78603">
            <w:pPr>
              <w:rPr>
                <w:rFonts w:ascii="Arial"/>
                <w:sz w:val="21"/>
              </w:rPr>
            </w:pPr>
          </w:p>
        </w:tc>
        <w:tc>
          <w:tcPr>
            <w:tcW w:w="1413" w:type="dxa"/>
            <w:vAlign w:val="top"/>
          </w:tcPr>
          <w:p w14:paraId="7EB7215B">
            <w:pPr>
              <w:rPr>
                <w:rFonts w:ascii="Arial"/>
                <w:sz w:val="21"/>
              </w:rPr>
            </w:pPr>
          </w:p>
        </w:tc>
        <w:tc>
          <w:tcPr>
            <w:tcW w:w="849" w:type="dxa"/>
            <w:vAlign w:val="top"/>
          </w:tcPr>
          <w:p w14:paraId="1EA7ACCF">
            <w:pPr>
              <w:rPr>
                <w:rFonts w:ascii="Arial"/>
                <w:sz w:val="21"/>
              </w:rPr>
            </w:pPr>
          </w:p>
        </w:tc>
        <w:tc>
          <w:tcPr>
            <w:tcW w:w="707" w:type="dxa"/>
            <w:vAlign w:val="top"/>
          </w:tcPr>
          <w:p w14:paraId="6734A7AE">
            <w:pPr>
              <w:rPr>
                <w:rFonts w:ascii="Arial"/>
                <w:sz w:val="21"/>
              </w:rPr>
            </w:pPr>
          </w:p>
        </w:tc>
        <w:tc>
          <w:tcPr>
            <w:tcW w:w="848" w:type="dxa"/>
            <w:vAlign w:val="top"/>
          </w:tcPr>
          <w:p w14:paraId="31F82766">
            <w:pPr>
              <w:rPr>
                <w:rFonts w:ascii="Arial"/>
                <w:sz w:val="21"/>
              </w:rPr>
            </w:pPr>
          </w:p>
        </w:tc>
        <w:tc>
          <w:tcPr>
            <w:tcW w:w="849" w:type="dxa"/>
            <w:vAlign w:val="top"/>
          </w:tcPr>
          <w:p w14:paraId="5B1EB4E9">
            <w:pPr>
              <w:rPr>
                <w:rFonts w:ascii="Arial"/>
                <w:sz w:val="21"/>
              </w:rPr>
            </w:pPr>
          </w:p>
        </w:tc>
        <w:tc>
          <w:tcPr>
            <w:tcW w:w="1272" w:type="dxa"/>
            <w:vAlign w:val="top"/>
          </w:tcPr>
          <w:p w14:paraId="6CF149ED">
            <w:pPr>
              <w:rPr>
                <w:rFonts w:ascii="Arial"/>
                <w:sz w:val="21"/>
              </w:rPr>
            </w:pPr>
          </w:p>
        </w:tc>
        <w:tc>
          <w:tcPr>
            <w:tcW w:w="1271" w:type="dxa"/>
            <w:vAlign w:val="top"/>
          </w:tcPr>
          <w:p w14:paraId="338921E4">
            <w:pPr>
              <w:rPr>
                <w:rFonts w:ascii="Arial"/>
                <w:sz w:val="21"/>
              </w:rPr>
            </w:pPr>
          </w:p>
        </w:tc>
        <w:tc>
          <w:tcPr>
            <w:tcW w:w="1003" w:type="dxa"/>
            <w:tcBorders>
              <w:right w:val="single" w:color="000000" w:sz="10" w:space="0"/>
            </w:tcBorders>
            <w:vAlign w:val="top"/>
          </w:tcPr>
          <w:p w14:paraId="20FD0A48">
            <w:pPr>
              <w:rPr>
                <w:rFonts w:ascii="Arial"/>
                <w:sz w:val="21"/>
              </w:rPr>
            </w:pPr>
          </w:p>
        </w:tc>
      </w:tr>
      <w:tr w14:paraId="23413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4733FC17">
            <w:pPr>
              <w:rPr>
                <w:rFonts w:ascii="Arial"/>
                <w:sz w:val="21"/>
              </w:rPr>
            </w:pPr>
          </w:p>
        </w:tc>
        <w:tc>
          <w:tcPr>
            <w:tcW w:w="1413" w:type="dxa"/>
            <w:vAlign w:val="top"/>
          </w:tcPr>
          <w:p w14:paraId="689FD5FA">
            <w:pPr>
              <w:rPr>
                <w:rFonts w:ascii="Arial"/>
                <w:sz w:val="21"/>
              </w:rPr>
            </w:pPr>
          </w:p>
        </w:tc>
        <w:tc>
          <w:tcPr>
            <w:tcW w:w="849" w:type="dxa"/>
            <w:vAlign w:val="top"/>
          </w:tcPr>
          <w:p w14:paraId="6B171355">
            <w:pPr>
              <w:rPr>
                <w:rFonts w:ascii="Arial"/>
                <w:sz w:val="21"/>
              </w:rPr>
            </w:pPr>
          </w:p>
        </w:tc>
        <w:tc>
          <w:tcPr>
            <w:tcW w:w="707" w:type="dxa"/>
            <w:vAlign w:val="top"/>
          </w:tcPr>
          <w:p w14:paraId="0E3273ED">
            <w:pPr>
              <w:rPr>
                <w:rFonts w:ascii="Arial"/>
                <w:sz w:val="21"/>
              </w:rPr>
            </w:pPr>
          </w:p>
        </w:tc>
        <w:tc>
          <w:tcPr>
            <w:tcW w:w="848" w:type="dxa"/>
            <w:vAlign w:val="top"/>
          </w:tcPr>
          <w:p w14:paraId="43C1803B">
            <w:pPr>
              <w:rPr>
                <w:rFonts w:ascii="Arial"/>
                <w:sz w:val="21"/>
              </w:rPr>
            </w:pPr>
          </w:p>
        </w:tc>
        <w:tc>
          <w:tcPr>
            <w:tcW w:w="849" w:type="dxa"/>
            <w:vAlign w:val="top"/>
          </w:tcPr>
          <w:p w14:paraId="0ECC9042">
            <w:pPr>
              <w:rPr>
                <w:rFonts w:ascii="Arial"/>
                <w:sz w:val="21"/>
              </w:rPr>
            </w:pPr>
          </w:p>
        </w:tc>
        <w:tc>
          <w:tcPr>
            <w:tcW w:w="1272" w:type="dxa"/>
            <w:vAlign w:val="top"/>
          </w:tcPr>
          <w:p w14:paraId="31713E84">
            <w:pPr>
              <w:rPr>
                <w:rFonts w:ascii="Arial"/>
                <w:sz w:val="21"/>
              </w:rPr>
            </w:pPr>
          </w:p>
        </w:tc>
        <w:tc>
          <w:tcPr>
            <w:tcW w:w="1271" w:type="dxa"/>
            <w:vAlign w:val="top"/>
          </w:tcPr>
          <w:p w14:paraId="4BFF7D10">
            <w:pPr>
              <w:rPr>
                <w:rFonts w:ascii="Arial"/>
                <w:sz w:val="21"/>
              </w:rPr>
            </w:pPr>
          </w:p>
        </w:tc>
        <w:tc>
          <w:tcPr>
            <w:tcW w:w="1003" w:type="dxa"/>
            <w:tcBorders>
              <w:right w:val="single" w:color="000000" w:sz="10" w:space="0"/>
            </w:tcBorders>
            <w:vAlign w:val="top"/>
          </w:tcPr>
          <w:p w14:paraId="181D2522">
            <w:pPr>
              <w:rPr>
                <w:rFonts w:ascii="Arial"/>
                <w:sz w:val="21"/>
              </w:rPr>
            </w:pPr>
          </w:p>
        </w:tc>
      </w:tr>
      <w:tr w14:paraId="672CC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0B96448B">
            <w:pPr>
              <w:rPr>
                <w:rFonts w:ascii="Arial"/>
                <w:sz w:val="21"/>
              </w:rPr>
            </w:pPr>
          </w:p>
        </w:tc>
        <w:tc>
          <w:tcPr>
            <w:tcW w:w="1413" w:type="dxa"/>
            <w:vAlign w:val="top"/>
          </w:tcPr>
          <w:p w14:paraId="58F7BDC9">
            <w:pPr>
              <w:rPr>
                <w:rFonts w:ascii="Arial"/>
                <w:sz w:val="21"/>
              </w:rPr>
            </w:pPr>
          </w:p>
        </w:tc>
        <w:tc>
          <w:tcPr>
            <w:tcW w:w="849" w:type="dxa"/>
            <w:vAlign w:val="top"/>
          </w:tcPr>
          <w:p w14:paraId="734471FF">
            <w:pPr>
              <w:rPr>
                <w:rFonts w:ascii="Arial"/>
                <w:sz w:val="21"/>
              </w:rPr>
            </w:pPr>
          </w:p>
        </w:tc>
        <w:tc>
          <w:tcPr>
            <w:tcW w:w="707" w:type="dxa"/>
            <w:vAlign w:val="top"/>
          </w:tcPr>
          <w:p w14:paraId="6BBF678F">
            <w:pPr>
              <w:rPr>
                <w:rFonts w:ascii="Arial"/>
                <w:sz w:val="21"/>
              </w:rPr>
            </w:pPr>
          </w:p>
        </w:tc>
        <w:tc>
          <w:tcPr>
            <w:tcW w:w="848" w:type="dxa"/>
            <w:vAlign w:val="top"/>
          </w:tcPr>
          <w:p w14:paraId="23A985B2">
            <w:pPr>
              <w:rPr>
                <w:rFonts w:ascii="Arial"/>
                <w:sz w:val="21"/>
              </w:rPr>
            </w:pPr>
          </w:p>
        </w:tc>
        <w:tc>
          <w:tcPr>
            <w:tcW w:w="849" w:type="dxa"/>
            <w:vAlign w:val="top"/>
          </w:tcPr>
          <w:p w14:paraId="6AED62B6">
            <w:pPr>
              <w:rPr>
                <w:rFonts w:ascii="Arial"/>
                <w:sz w:val="21"/>
              </w:rPr>
            </w:pPr>
          </w:p>
        </w:tc>
        <w:tc>
          <w:tcPr>
            <w:tcW w:w="1272" w:type="dxa"/>
            <w:vAlign w:val="top"/>
          </w:tcPr>
          <w:p w14:paraId="037DCF65">
            <w:pPr>
              <w:rPr>
                <w:rFonts w:ascii="Arial"/>
                <w:sz w:val="21"/>
              </w:rPr>
            </w:pPr>
          </w:p>
        </w:tc>
        <w:tc>
          <w:tcPr>
            <w:tcW w:w="1271" w:type="dxa"/>
            <w:vAlign w:val="top"/>
          </w:tcPr>
          <w:p w14:paraId="4C8A9627">
            <w:pPr>
              <w:rPr>
                <w:rFonts w:ascii="Arial"/>
                <w:sz w:val="21"/>
              </w:rPr>
            </w:pPr>
          </w:p>
        </w:tc>
        <w:tc>
          <w:tcPr>
            <w:tcW w:w="1003" w:type="dxa"/>
            <w:tcBorders>
              <w:right w:val="single" w:color="000000" w:sz="10" w:space="0"/>
            </w:tcBorders>
            <w:vAlign w:val="top"/>
          </w:tcPr>
          <w:p w14:paraId="2E0DDE63">
            <w:pPr>
              <w:rPr>
                <w:rFonts w:ascii="Arial"/>
                <w:sz w:val="21"/>
              </w:rPr>
            </w:pPr>
          </w:p>
        </w:tc>
      </w:tr>
      <w:tr w14:paraId="41CFD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2B79AE6A">
            <w:pPr>
              <w:rPr>
                <w:rFonts w:ascii="Arial"/>
                <w:sz w:val="21"/>
              </w:rPr>
            </w:pPr>
          </w:p>
        </w:tc>
        <w:tc>
          <w:tcPr>
            <w:tcW w:w="1413" w:type="dxa"/>
            <w:vAlign w:val="top"/>
          </w:tcPr>
          <w:p w14:paraId="27E8B7B9">
            <w:pPr>
              <w:rPr>
                <w:rFonts w:ascii="Arial"/>
                <w:sz w:val="21"/>
              </w:rPr>
            </w:pPr>
          </w:p>
        </w:tc>
        <w:tc>
          <w:tcPr>
            <w:tcW w:w="849" w:type="dxa"/>
            <w:vAlign w:val="top"/>
          </w:tcPr>
          <w:p w14:paraId="2958440F">
            <w:pPr>
              <w:rPr>
                <w:rFonts w:ascii="Arial"/>
                <w:sz w:val="21"/>
              </w:rPr>
            </w:pPr>
          </w:p>
        </w:tc>
        <w:tc>
          <w:tcPr>
            <w:tcW w:w="707" w:type="dxa"/>
            <w:vAlign w:val="top"/>
          </w:tcPr>
          <w:p w14:paraId="4E765888">
            <w:pPr>
              <w:rPr>
                <w:rFonts w:ascii="Arial"/>
                <w:sz w:val="21"/>
              </w:rPr>
            </w:pPr>
          </w:p>
        </w:tc>
        <w:tc>
          <w:tcPr>
            <w:tcW w:w="848" w:type="dxa"/>
            <w:vAlign w:val="top"/>
          </w:tcPr>
          <w:p w14:paraId="785E0E33">
            <w:pPr>
              <w:rPr>
                <w:rFonts w:ascii="Arial"/>
                <w:sz w:val="21"/>
              </w:rPr>
            </w:pPr>
          </w:p>
        </w:tc>
        <w:tc>
          <w:tcPr>
            <w:tcW w:w="849" w:type="dxa"/>
            <w:vAlign w:val="top"/>
          </w:tcPr>
          <w:p w14:paraId="04ECC076">
            <w:pPr>
              <w:rPr>
                <w:rFonts w:ascii="Arial"/>
                <w:sz w:val="21"/>
              </w:rPr>
            </w:pPr>
          </w:p>
        </w:tc>
        <w:tc>
          <w:tcPr>
            <w:tcW w:w="1272" w:type="dxa"/>
            <w:vAlign w:val="top"/>
          </w:tcPr>
          <w:p w14:paraId="34D762DD">
            <w:pPr>
              <w:rPr>
                <w:rFonts w:ascii="Arial"/>
                <w:sz w:val="21"/>
              </w:rPr>
            </w:pPr>
          </w:p>
        </w:tc>
        <w:tc>
          <w:tcPr>
            <w:tcW w:w="1271" w:type="dxa"/>
            <w:vAlign w:val="top"/>
          </w:tcPr>
          <w:p w14:paraId="7C7B1A37">
            <w:pPr>
              <w:rPr>
                <w:rFonts w:ascii="Arial"/>
                <w:sz w:val="21"/>
              </w:rPr>
            </w:pPr>
          </w:p>
        </w:tc>
        <w:tc>
          <w:tcPr>
            <w:tcW w:w="1003" w:type="dxa"/>
            <w:tcBorders>
              <w:right w:val="single" w:color="000000" w:sz="10" w:space="0"/>
            </w:tcBorders>
            <w:vAlign w:val="top"/>
          </w:tcPr>
          <w:p w14:paraId="606AADCC">
            <w:pPr>
              <w:rPr>
                <w:rFonts w:ascii="Arial"/>
                <w:sz w:val="21"/>
              </w:rPr>
            </w:pPr>
          </w:p>
        </w:tc>
      </w:tr>
      <w:tr w14:paraId="457AF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11441F2E">
            <w:pPr>
              <w:rPr>
                <w:rFonts w:ascii="Arial"/>
                <w:sz w:val="21"/>
              </w:rPr>
            </w:pPr>
          </w:p>
        </w:tc>
        <w:tc>
          <w:tcPr>
            <w:tcW w:w="1413" w:type="dxa"/>
            <w:vAlign w:val="top"/>
          </w:tcPr>
          <w:p w14:paraId="1892A3D6">
            <w:pPr>
              <w:rPr>
                <w:rFonts w:ascii="Arial"/>
                <w:sz w:val="21"/>
              </w:rPr>
            </w:pPr>
          </w:p>
        </w:tc>
        <w:tc>
          <w:tcPr>
            <w:tcW w:w="849" w:type="dxa"/>
            <w:vAlign w:val="top"/>
          </w:tcPr>
          <w:p w14:paraId="702B1454">
            <w:pPr>
              <w:rPr>
                <w:rFonts w:ascii="Arial"/>
                <w:sz w:val="21"/>
              </w:rPr>
            </w:pPr>
          </w:p>
        </w:tc>
        <w:tc>
          <w:tcPr>
            <w:tcW w:w="707" w:type="dxa"/>
            <w:vAlign w:val="top"/>
          </w:tcPr>
          <w:p w14:paraId="0BFCABC6">
            <w:pPr>
              <w:rPr>
                <w:rFonts w:ascii="Arial"/>
                <w:sz w:val="21"/>
              </w:rPr>
            </w:pPr>
          </w:p>
        </w:tc>
        <w:tc>
          <w:tcPr>
            <w:tcW w:w="848" w:type="dxa"/>
            <w:vAlign w:val="top"/>
          </w:tcPr>
          <w:p w14:paraId="0F796113">
            <w:pPr>
              <w:rPr>
                <w:rFonts w:ascii="Arial"/>
                <w:sz w:val="21"/>
              </w:rPr>
            </w:pPr>
          </w:p>
        </w:tc>
        <w:tc>
          <w:tcPr>
            <w:tcW w:w="849" w:type="dxa"/>
            <w:vAlign w:val="top"/>
          </w:tcPr>
          <w:p w14:paraId="3EB44656">
            <w:pPr>
              <w:rPr>
                <w:rFonts w:ascii="Arial"/>
                <w:sz w:val="21"/>
              </w:rPr>
            </w:pPr>
          </w:p>
        </w:tc>
        <w:tc>
          <w:tcPr>
            <w:tcW w:w="1272" w:type="dxa"/>
            <w:vAlign w:val="top"/>
          </w:tcPr>
          <w:p w14:paraId="596B678E">
            <w:pPr>
              <w:rPr>
                <w:rFonts w:ascii="Arial"/>
                <w:sz w:val="21"/>
              </w:rPr>
            </w:pPr>
          </w:p>
        </w:tc>
        <w:tc>
          <w:tcPr>
            <w:tcW w:w="1271" w:type="dxa"/>
            <w:vAlign w:val="top"/>
          </w:tcPr>
          <w:p w14:paraId="7EE98189">
            <w:pPr>
              <w:rPr>
                <w:rFonts w:ascii="Arial"/>
                <w:sz w:val="21"/>
              </w:rPr>
            </w:pPr>
          </w:p>
        </w:tc>
        <w:tc>
          <w:tcPr>
            <w:tcW w:w="1003" w:type="dxa"/>
            <w:tcBorders>
              <w:right w:val="single" w:color="000000" w:sz="10" w:space="0"/>
            </w:tcBorders>
            <w:vAlign w:val="top"/>
          </w:tcPr>
          <w:p w14:paraId="1EB4BE44">
            <w:pPr>
              <w:rPr>
                <w:rFonts w:ascii="Arial"/>
                <w:sz w:val="21"/>
              </w:rPr>
            </w:pPr>
          </w:p>
        </w:tc>
      </w:tr>
      <w:tr w14:paraId="566A4A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284C9532">
            <w:pPr>
              <w:rPr>
                <w:rFonts w:ascii="Arial"/>
                <w:sz w:val="21"/>
              </w:rPr>
            </w:pPr>
          </w:p>
        </w:tc>
        <w:tc>
          <w:tcPr>
            <w:tcW w:w="1413" w:type="dxa"/>
            <w:vAlign w:val="top"/>
          </w:tcPr>
          <w:p w14:paraId="7F2E49F5">
            <w:pPr>
              <w:rPr>
                <w:rFonts w:ascii="Arial"/>
                <w:sz w:val="21"/>
              </w:rPr>
            </w:pPr>
          </w:p>
        </w:tc>
        <w:tc>
          <w:tcPr>
            <w:tcW w:w="849" w:type="dxa"/>
            <w:vAlign w:val="top"/>
          </w:tcPr>
          <w:p w14:paraId="0EDCC6AB">
            <w:pPr>
              <w:rPr>
                <w:rFonts w:ascii="Arial"/>
                <w:sz w:val="21"/>
              </w:rPr>
            </w:pPr>
          </w:p>
        </w:tc>
        <w:tc>
          <w:tcPr>
            <w:tcW w:w="707" w:type="dxa"/>
            <w:vAlign w:val="top"/>
          </w:tcPr>
          <w:p w14:paraId="05ED0D61">
            <w:pPr>
              <w:rPr>
                <w:rFonts w:ascii="Arial"/>
                <w:sz w:val="21"/>
              </w:rPr>
            </w:pPr>
          </w:p>
        </w:tc>
        <w:tc>
          <w:tcPr>
            <w:tcW w:w="848" w:type="dxa"/>
            <w:vAlign w:val="top"/>
          </w:tcPr>
          <w:p w14:paraId="7C290BCC">
            <w:pPr>
              <w:rPr>
                <w:rFonts w:ascii="Arial"/>
                <w:sz w:val="21"/>
              </w:rPr>
            </w:pPr>
          </w:p>
        </w:tc>
        <w:tc>
          <w:tcPr>
            <w:tcW w:w="849" w:type="dxa"/>
            <w:vAlign w:val="top"/>
          </w:tcPr>
          <w:p w14:paraId="5C7ED4A5">
            <w:pPr>
              <w:rPr>
                <w:rFonts w:ascii="Arial"/>
                <w:sz w:val="21"/>
              </w:rPr>
            </w:pPr>
          </w:p>
        </w:tc>
        <w:tc>
          <w:tcPr>
            <w:tcW w:w="1272" w:type="dxa"/>
            <w:vAlign w:val="top"/>
          </w:tcPr>
          <w:p w14:paraId="2EDE9BFE">
            <w:pPr>
              <w:rPr>
                <w:rFonts w:ascii="Arial"/>
                <w:sz w:val="21"/>
              </w:rPr>
            </w:pPr>
          </w:p>
        </w:tc>
        <w:tc>
          <w:tcPr>
            <w:tcW w:w="1271" w:type="dxa"/>
            <w:vAlign w:val="top"/>
          </w:tcPr>
          <w:p w14:paraId="5797A172">
            <w:pPr>
              <w:rPr>
                <w:rFonts w:ascii="Arial"/>
                <w:sz w:val="21"/>
              </w:rPr>
            </w:pPr>
          </w:p>
        </w:tc>
        <w:tc>
          <w:tcPr>
            <w:tcW w:w="1003" w:type="dxa"/>
            <w:tcBorders>
              <w:right w:val="single" w:color="000000" w:sz="10" w:space="0"/>
            </w:tcBorders>
            <w:vAlign w:val="top"/>
          </w:tcPr>
          <w:p w14:paraId="0589AC90">
            <w:pPr>
              <w:rPr>
                <w:rFonts w:ascii="Arial"/>
                <w:sz w:val="21"/>
              </w:rPr>
            </w:pPr>
          </w:p>
        </w:tc>
      </w:tr>
      <w:tr w14:paraId="162C9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35217C83">
            <w:pPr>
              <w:rPr>
                <w:rFonts w:ascii="Arial"/>
                <w:sz w:val="21"/>
              </w:rPr>
            </w:pPr>
          </w:p>
        </w:tc>
        <w:tc>
          <w:tcPr>
            <w:tcW w:w="1413" w:type="dxa"/>
            <w:vAlign w:val="top"/>
          </w:tcPr>
          <w:p w14:paraId="58FD309C">
            <w:pPr>
              <w:rPr>
                <w:rFonts w:ascii="Arial"/>
                <w:sz w:val="21"/>
              </w:rPr>
            </w:pPr>
          </w:p>
        </w:tc>
        <w:tc>
          <w:tcPr>
            <w:tcW w:w="849" w:type="dxa"/>
            <w:vAlign w:val="top"/>
          </w:tcPr>
          <w:p w14:paraId="70616BFA">
            <w:pPr>
              <w:rPr>
                <w:rFonts w:ascii="Arial"/>
                <w:sz w:val="21"/>
              </w:rPr>
            </w:pPr>
          </w:p>
        </w:tc>
        <w:tc>
          <w:tcPr>
            <w:tcW w:w="707" w:type="dxa"/>
            <w:vAlign w:val="top"/>
          </w:tcPr>
          <w:p w14:paraId="01C27A05">
            <w:pPr>
              <w:rPr>
                <w:rFonts w:ascii="Arial"/>
                <w:sz w:val="21"/>
              </w:rPr>
            </w:pPr>
          </w:p>
        </w:tc>
        <w:tc>
          <w:tcPr>
            <w:tcW w:w="848" w:type="dxa"/>
            <w:vAlign w:val="top"/>
          </w:tcPr>
          <w:p w14:paraId="55777686">
            <w:pPr>
              <w:rPr>
                <w:rFonts w:ascii="Arial"/>
                <w:sz w:val="21"/>
              </w:rPr>
            </w:pPr>
          </w:p>
        </w:tc>
        <w:tc>
          <w:tcPr>
            <w:tcW w:w="849" w:type="dxa"/>
            <w:vAlign w:val="top"/>
          </w:tcPr>
          <w:p w14:paraId="4B6521C6">
            <w:pPr>
              <w:rPr>
                <w:rFonts w:ascii="Arial"/>
                <w:sz w:val="21"/>
              </w:rPr>
            </w:pPr>
          </w:p>
        </w:tc>
        <w:tc>
          <w:tcPr>
            <w:tcW w:w="1272" w:type="dxa"/>
            <w:vAlign w:val="top"/>
          </w:tcPr>
          <w:p w14:paraId="5A2C4A00">
            <w:pPr>
              <w:rPr>
                <w:rFonts w:ascii="Arial"/>
                <w:sz w:val="21"/>
              </w:rPr>
            </w:pPr>
          </w:p>
        </w:tc>
        <w:tc>
          <w:tcPr>
            <w:tcW w:w="1271" w:type="dxa"/>
            <w:vAlign w:val="top"/>
          </w:tcPr>
          <w:p w14:paraId="42CF17F0">
            <w:pPr>
              <w:rPr>
                <w:rFonts w:ascii="Arial"/>
                <w:sz w:val="21"/>
              </w:rPr>
            </w:pPr>
          </w:p>
        </w:tc>
        <w:tc>
          <w:tcPr>
            <w:tcW w:w="1003" w:type="dxa"/>
            <w:tcBorders>
              <w:right w:val="single" w:color="000000" w:sz="10" w:space="0"/>
            </w:tcBorders>
            <w:vAlign w:val="top"/>
          </w:tcPr>
          <w:p w14:paraId="4F2CDC46">
            <w:pPr>
              <w:rPr>
                <w:rFonts w:ascii="Arial"/>
                <w:sz w:val="21"/>
              </w:rPr>
            </w:pPr>
          </w:p>
        </w:tc>
      </w:tr>
      <w:tr w14:paraId="3953B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43DAD4BE">
            <w:pPr>
              <w:rPr>
                <w:rFonts w:ascii="Arial"/>
                <w:sz w:val="21"/>
              </w:rPr>
            </w:pPr>
          </w:p>
        </w:tc>
        <w:tc>
          <w:tcPr>
            <w:tcW w:w="1413" w:type="dxa"/>
            <w:vAlign w:val="top"/>
          </w:tcPr>
          <w:p w14:paraId="12D49A51">
            <w:pPr>
              <w:rPr>
                <w:rFonts w:ascii="Arial"/>
                <w:sz w:val="21"/>
              </w:rPr>
            </w:pPr>
          </w:p>
        </w:tc>
        <w:tc>
          <w:tcPr>
            <w:tcW w:w="849" w:type="dxa"/>
            <w:vAlign w:val="top"/>
          </w:tcPr>
          <w:p w14:paraId="56202C11">
            <w:pPr>
              <w:rPr>
                <w:rFonts w:ascii="Arial"/>
                <w:sz w:val="21"/>
              </w:rPr>
            </w:pPr>
          </w:p>
        </w:tc>
        <w:tc>
          <w:tcPr>
            <w:tcW w:w="707" w:type="dxa"/>
            <w:vAlign w:val="top"/>
          </w:tcPr>
          <w:p w14:paraId="5C8846D2">
            <w:pPr>
              <w:rPr>
                <w:rFonts w:ascii="Arial"/>
                <w:sz w:val="21"/>
              </w:rPr>
            </w:pPr>
          </w:p>
        </w:tc>
        <w:tc>
          <w:tcPr>
            <w:tcW w:w="848" w:type="dxa"/>
            <w:vAlign w:val="top"/>
          </w:tcPr>
          <w:p w14:paraId="35E0B87C">
            <w:pPr>
              <w:rPr>
                <w:rFonts w:ascii="Arial"/>
                <w:sz w:val="21"/>
              </w:rPr>
            </w:pPr>
          </w:p>
        </w:tc>
        <w:tc>
          <w:tcPr>
            <w:tcW w:w="849" w:type="dxa"/>
            <w:vAlign w:val="top"/>
          </w:tcPr>
          <w:p w14:paraId="7E7291E5">
            <w:pPr>
              <w:rPr>
                <w:rFonts w:ascii="Arial"/>
                <w:sz w:val="21"/>
              </w:rPr>
            </w:pPr>
          </w:p>
        </w:tc>
        <w:tc>
          <w:tcPr>
            <w:tcW w:w="1272" w:type="dxa"/>
            <w:vAlign w:val="top"/>
          </w:tcPr>
          <w:p w14:paraId="10968242">
            <w:pPr>
              <w:rPr>
                <w:rFonts w:ascii="Arial"/>
                <w:sz w:val="21"/>
              </w:rPr>
            </w:pPr>
          </w:p>
        </w:tc>
        <w:tc>
          <w:tcPr>
            <w:tcW w:w="1271" w:type="dxa"/>
            <w:vAlign w:val="top"/>
          </w:tcPr>
          <w:p w14:paraId="45D97736">
            <w:pPr>
              <w:rPr>
                <w:rFonts w:ascii="Arial"/>
                <w:sz w:val="21"/>
              </w:rPr>
            </w:pPr>
          </w:p>
        </w:tc>
        <w:tc>
          <w:tcPr>
            <w:tcW w:w="1003" w:type="dxa"/>
            <w:tcBorders>
              <w:right w:val="single" w:color="000000" w:sz="10" w:space="0"/>
            </w:tcBorders>
            <w:vAlign w:val="top"/>
          </w:tcPr>
          <w:p w14:paraId="06A9E230">
            <w:pPr>
              <w:rPr>
                <w:rFonts w:ascii="Arial"/>
                <w:sz w:val="21"/>
              </w:rPr>
            </w:pPr>
          </w:p>
        </w:tc>
      </w:tr>
      <w:tr w14:paraId="4CC0F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6E765DF9">
            <w:pPr>
              <w:rPr>
                <w:rFonts w:ascii="Arial"/>
                <w:sz w:val="21"/>
              </w:rPr>
            </w:pPr>
          </w:p>
        </w:tc>
        <w:tc>
          <w:tcPr>
            <w:tcW w:w="1413" w:type="dxa"/>
            <w:vAlign w:val="top"/>
          </w:tcPr>
          <w:p w14:paraId="5C596E22">
            <w:pPr>
              <w:rPr>
                <w:rFonts w:ascii="Arial"/>
                <w:sz w:val="21"/>
              </w:rPr>
            </w:pPr>
          </w:p>
        </w:tc>
        <w:tc>
          <w:tcPr>
            <w:tcW w:w="849" w:type="dxa"/>
            <w:vAlign w:val="top"/>
          </w:tcPr>
          <w:p w14:paraId="4C13391F">
            <w:pPr>
              <w:rPr>
                <w:rFonts w:ascii="Arial"/>
                <w:sz w:val="21"/>
              </w:rPr>
            </w:pPr>
          </w:p>
        </w:tc>
        <w:tc>
          <w:tcPr>
            <w:tcW w:w="707" w:type="dxa"/>
            <w:vAlign w:val="top"/>
          </w:tcPr>
          <w:p w14:paraId="555F8947">
            <w:pPr>
              <w:rPr>
                <w:rFonts w:ascii="Arial"/>
                <w:sz w:val="21"/>
              </w:rPr>
            </w:pPr>
          </w:p>
        </w:tc>
        <w:tc>
          <w:tcPr>
            <w:tcW w:w="848" w:type="dxa"/>
            <w:vAlign w:val="top"/>
          </w:tcPr>
          <w:p w14:paraId="6A20383F">
            <w:pPr>
              <w:rPr>
                <w:rFonts w:ascii="Arial"/>
                <w:sz w:val="21"/>
              </w:rPr>
            </w:pPr>
          </w:p>
        </w:tc>
        <w:tc>
          <w:tcPr>
            <w:tcW w:w="849" w:type="dxa"/>
            <w:vAlign w:val="top"/>
          </w:tcPr>
          <w:p w14:paraId="0CD6693D">
            <w:pPr>
              <w:rPr>
                <w:rFonts w:ascii="Arial"/>
                <w:sz w:val="21"/>
              </w:rPr>
            </w:pPr>
          </w:p>
        </w:tc>
        <w:tc>
          <w:tcPr>
            <w:tcW w:w="1272" w:type="dxa"/>
            <w:vAlign w:val="top"/>
          </w:tcPr>
          <w:p w14:paraId="073E3DF4">
            <w:pPr>
              <w:rPr>
                <w:rFonts w:ascii="Arial"/>
                <w:sz w:val="21"/>
              </w:rPr>
            </w:pPr>
          </w:p>
        </w:tc>
        <w:tc>
          <w:tcPr>
            <w:tcW w:w="1271" w:type="dxa"/>
            <w:vAlign w:val="top"/>
          </w:tcPr>
          <w:p w14:paraId="4EADCEB9">
            <w:pPr>
              <w:rPr>
                <w:rFonts w:ascii="Arial"/>
                <w:sz w:val="21"/>
              </w:rPr>
            </w:pPr>
          </w:p>
        </w:tc>
        <w:tc>
          <w:tcPr>
            <w:tcW w:w="1003" w:type="dxa"/>
            <w:tcBorders>
              <w:right w:val="single" w:color="000000" w:sz="10" w:space="0"/>
            </w:tcBorders>
            <w:vAlign w:val="top"/>
          </w:tcPr>
          <w:p w14:paraId="5A8E1251">
            <w:pPr>
              <w:rPr>
                <w:rFonts w:ascii="Arial"/>
                <w:sz w:val="21"/>
              </w:rPr>
            </w:pPr>
          </w:p>
        </w:tc>
      </w:tr>
      <w:tr w14:paraId="64DD3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0B644573">
            <w:pPr>
              <w:rPr>
                <w:rFonts w:ascii="Arial"/>
                <w:sz w:val="21"/>
              </w:rPr>
            </w:pPr>
          </w:p>
        </w:tc>
        <w:tc>
          <w:tcPr>
            <w:tcW w:w="1413" w:type="dxa"/>
            <w:vAlign w:val="top"/>
          </w:tcPr>
          <w:p w14:paraId="292B568B">
            <w:pPr>
              <w:rPr>
                <w:rFonts w:ascii="Arial"/>
                <w:sz w:val="21"/>
              </w:rPr>
            </w:pPr>
          </w:p>
        </w:tc>
        <w:tc>
          <w:tcPr>
            <w:tcW w:w="849" w:type="dxa"/>
            <w:vAlign w:val="top"/>
          </w:tcPr>
          <w:p w14:paraId="20712509">
            <w:pPr>
              <w:rPr>
                <w:rFonts w:ascii="Arial"/>
                <w:sz w:val="21"/>
              </w:rPr>
            </w:pPr>
          </w:p>
        </w:tc>
        <w:tc>
          <w:tcPr>
            <w:tcW w:w="707" w:type="dxa"/>
            <w:vAlign w:val="top"/>
          </w:tcPr>
          <w:p w14:paraId="7DF29FA3">
            <w:pPr>
              <w:rPr>
                <w:rFonts w:ascii="Arial"/>
                <w:sz w:val="21"/>
              </w:rPr>
            </w:pPr>
          </w:p>
        </w:tc>
        <w:tc>
          <w:tcPr>
            <w:tcW w:w="848" w:type="dxa"/>
            <w:vAlign w:val="top"/>
          </w:tcPr>
          <w:p w14:paraId="45CFBCDC">
            <w:pPr>
              <w:rPr>
                <w:rFonts w:ascii="Arial"/>
                <w:sz w:val="21"/>
              </w:rPr>
            </w:pPr>
          </w:p>
        </w:tc>
        <w:tc>
          <w:tcPr>
            <w:tcW w:w="849" w:type="dxa"/>
            <w:vAlign w:val="top"/>
          </w:tcPr>
          <w:p w14:paraId="3DABEA2E">
            <w:pPr>
              <w:rPr>
                <w:rFonts w:ascii="Arial"/>
                <w:sz w:val="21"/>
              </w:rPr>
            </w:pPr>
          </w:p>
        </w:tc>
        <w:tc>
          <w:tcPr>
            <w:tcW w:w="1272" w:type="dxa"/>
            <w:vAlign w:val="top"/>
          </w:tcPr>
          <w:p w14:paraId="14AAA011">
            <w:pPr>
              <w:rPr>
                <w:rFonts w:ascii="Arial"/>
                <w:sz w:val="21"/>
              </w:rPr>
            </w:pPr>
          </w:p>
        </w:tc>
        <w:tc>
          <w:tcPr>
            <w:tcW w:w="1271" w:type="dxa"/>
            <w:vAlign w:val="top"/>
          </w:tcPr>
          <w:p w14:paraId="5EB275B2">
            <w:pPr>
              <w:rPr>
                <w:rFonts w:ascii="Arial"/>
                <w:sz w:val="21"/>
              </w:rPr>
            </w:pPr>
          </w:p>
        </w:tc>
        <w:tc>
          <w:tcPr>
            <w:tcW w:w="1003" w:type="dxa"/>
            <w:tcBorders>
              <w:right w:val="single" w:color="000000" w:sz="10" w:space="0"/>
            </w:tcBorders>
            <w:vAlign w:val="top"/>
          </w:tcPr>
          <w:p w14:paraId="57DF2968">
            <w:pPr>
              <w:rPr>
                <w:rFonts w:ascii="Arial"/>
                <w:sz w:val="21"/>
              </w:rPr>
            </w:pPr>
          </w:p>
        </w:tc>
      </w:tr>
      <w:tr w14:paraId="7F88C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46A6F781">
            <w:pPr>
              <w:rPr>
                <w:rFonts w:ascii="Arial"/>
                <w:sz w:val="21"/>
              </w:rPr>
            </w:pPr>
          </w:p>
        </w:tc>
        <w:tc>
          <w:tcPr>
            <w:tcW w:w="1413" w:type="dxa"/>
            <w:vAlign w:val="top"/>
          </w:tcPr>
          <w:p w14:paraId="4D2BC763">
            <w:pPr>
              <w:rPr>
                <w:rFonts w:ascii="Arial"/>
                <w:sz w:val="21"/>
              </w:rPr>
            </w:pPr>
          </w:p>
        </w:tc>
        <w:tc>
          <w:tcPr>
            <w:tcW w:w="849" w:type="dxa"/>
            <w:vAlign w:val="top"/>
          </w:tcPr>
          <w:p w14:paraId="03DCA7B9">
            <w:pPr>
              <w:rPr>
                <w:rFonts w:ascii="Arial"/>
                <w:sz w:val="21"/>
              </w:rPr>
            </w:pPr>
          </w:p>
        </w:tc>
        <w:tc>
          <w:tcPr>
            <w:tcW w:w="707" w:type="dxa"/>
            <w:vAlign w:val="top"/>
          </w:tcPr>
          <w:p w14:paraId="1E409BD7">
            <w:pPr>
              <w:rPr>
                <w:rFonts w:ascii="Arial"/>
                <w:sz w:val="21"/>
              </w:rPr>
            </w:pPr>
          </w:p>
        </w:tc>
        <w:tc>
          <w:tcPr>
            <w:tcW w:w="848" w:type="dxa"/>
            <w:vAlign w:val="top"/>
          </w:tcPr>
          <w:p w14:paraId="7EB0781A">
            <w:pPr>
              <w:rPr>
                <w:rFonts w:ascii="Arial"/>
                <w:sz w:val="21"/>
              </w:rPr>
            </w:pPr>
          </w:p>
        </w:tc>
        <w:tc>
          <w:tcPr>
            <w:tcW w:w="849" w:type="dxa"/>
            <w:vAlign w:val="top"/>
          </w:tcPr>
          <w:p w14:paraId="2F2257D4">
            <w:pPr>
              <w:rPr>
                <w:rFonts w:ascii="Arial"/>
                <w:sz w:val="21"/>
              </w:rPr>
            </w:pPr>
          </w:p>
        </w:tc>
        <w:tc>
          <w:tcPr>
            <w:tcW w:w="1272" w:type="dxa"/>
            <w:vAlign w:val="top"/>
          </w:tcPr>
          <w:p w14:paraId="425DF17C">
            <w:pPr>
              <w:rPr>
                <w:rFonts w:ascii="Arial"/>
                <w:sz w:val="21"/>
              </w:rPr>
            </w:pPr>
          </w:p>
        </w:tc>
        <w:tc>
          <w:tcPr>
            <w:tcW w:w="1271" w:type="dxa"/>
            <w:vAlign w:val="top"/>
          </w:tcPr>
          <w:p w14:paraId="39BD8C0C">
            <w:pPr>
              <w:rPr>
                <w:rFonts w:ascii="Arial"/>
                <w:sz w:val="21"/>
              </w:rPr>
            </w:pPr>
          </w:p>
        </w:tc>
        <w:tc>
          <w:tcPr>
            <w:tcW w:w="1003" w:type="dxa"/>
            <w:tcBorders>
              <w:right w:val="single" w:color="000000" w:sz="10" w:space="0"/>
            </w:tcBorders>
            <w:vAlign w:val="top"/>
          </w:tcPr>
          <w:p w14:paraId="7DBC5949">
            <w:pPr>
              <w:rPr>
                <w:rFonts w:ascii="Arial"/>
                <w:sz w:val="21"/>
              </w:rPr>
            </w:pPr>
          </w:p>
        </w:tc>
      </w:tr>
      <w:tr w14:paraId="1A7C91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02A9B475">
            <w:pPr>
              <w:rPr>
                <w:rFonts w:ascii="Arial"/>
                <w:sz w:val="21"/>
              </w:rPr>
            </w:pPr>
          </w:p>
        </w:tc>
        <w:tc>
          <w:tcPr>
            <w:tcW w:w="1413" w:type="dxa"/>
            <w:vAlign w:val="top"/>
          </w:tcPr>
          <w:p w14:paraId="4ED11659">
            <w:pPr>
              <w:rPr>
                <w:rFonts w:ascii="Arial"/>
                <w:sz w:val="21"/>
              </w:rPr>
            </w:pPr>
          </w:p>
        </w:tc>
        <w:tc>
          <w:tcPr>
            <w:tcW w:w="849" w:type="dxa"/>
            <w:vAlign w:val="top"/>
          </w:tcPr>
          <w:p w14:paraId="5B865F7B">
            <w:pPr>
              <w:rPr>
                <w:rFonts w:ascii="Arial"/>
                <w:sz w:val="21"/>
              </w:rPr>
            </w:pPr>
          </w:p>
        </w:tc>
        <w:tc>
          <w:tcPr>
            <w:tcW w:w="707" w:type="dxa"/>
            <w:vAlign w:val="top"/>
          </w:tcPr>
          <w:p w14:paraId="72AA9E7A">
            <w:pPr>
              <w:rPr>
                <w:rFonts w:ascii="Arial"/>
                <w:sz w:val="21"/>
              </w:rPr>
            </w:pPr>
          </w:p>
        </w:tc>
        <w:tc>
          <w:tcPr>
            <w:tcW w:w="848" w:type="dxa"/>
            <w:vAlign w:val="top"/>
          </w:tcPr>
          <w:p w14:paraId="2AE7E2B3">
            <w:pPr>
              <w:rPr>
                <w:rFonts w:ascii="Arial"/>
                <w:sz w:val="21"/>
              </w:rPr>
            </w:pPr>
          </w:p>
        </w:tc>
        <w:tc>
          <w:tcPr>
            <w:tcW w:w="849" w:type="dxa"/>
            <w:vAlign w:val="top"/>
          </w:tcPr>
          <w:p w14:paraId="2AE7B2D5">
            <w:pPr>
              <w:rPr>
                <w:rFonts w:ascii="Arial"/>
                <w:sz w:val="21"/>
              </w:rPr>
            </w:pPr>
          </w:p>
        </w:tc>
        <w:tc>
          <w:tcPr>
            <w:tcW w:w="1272" w:type="dxa"/>
            <w:vAlign w:val="top"/>
          </w:tcPr>
          <w:p w14:paraId="4E80036E">
            <w:pPr>
              <w:rPr>
                <w:rFonts w:ascii="Arial"/>
                <w:sz w:val="21"/>
              </w:rPr>
            </w:pPr>
          </w:p>
        </w:tc>
        <w:tc>
          <w:tcPr>
            <w:tcW w:w="1271" w:type="dxa"/>
            <w:vAlign w:val="top"/>
          </w:tcPr>
          <w:p w14:paraId="6344DB14">
            <w:pPr>
              <w:rPr>
                <w:rFonts w:ascii="Arial"/>
                <w:sz w:val="21"/>
              </w:rPr>
            </w:pPr>
          </w:p>
        </w:tc>
        <w:tc>
          <w:tcPr>
            <w:tcW w:w="1003" w:type="dxa"/>
            <w:tcBorders>
              <w:right w:val="single" w:color="000000" w:sz="10" w:space="0"/>
            </w:tcBorders>
            <w:vAlign w:val="top"/>
          </w:tcPr>
          <w:p w14:paraId="7B02B3E1">
            <w:pPr>
              <w:rPr>
                <w:rFonts w:ascii="Arial"/>
                <w:sz w:val="21"/>
              </w:rPr>
            </w:pPr>
          </w:p>
        </w:tc>
      </w:tr>
      <w:tr w14:paraId="16455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50" w:type="dxa"/>
            <w:tcBorders>
              <w:left w:val="single" w:color="000000" w:sz="10" w:space="0"/>
            </w:tcBorders>
            <w:vAlign w:val="top"/>
          </w:tcPr>
          <w:p w14:paraId="7592EE74">
            <w:pPr>
              <w:rPr>
                <w:rFonts w:ascii="Arial"/>
                <w:sz w:val="21"/>
              </w:rPr>
            </w:pPr>
          </w:p>
        </w:tc>
        <w:tc>
          <w:tcPr>
            <w:tcW w:w="1413" w:type="dxa"/>
            <w:vAlign w:val="top"/>
          </w:tcPr>
          <w:p w14:paraId="58284EB7">
            <w:pPr>
              <w:rPr>
                <w:rFonts w:ascii="Arial"/>
                <w:sz w:val="21"/>
              </w:rPr>
            </w:pPr>
          </w:p>
        </w:tc>
        <w:tc>
          <w:tcPr>
            <w:tcW w:w="849" w:type="dxa"/>
            <w:vAlign w:val="top"/>
          </w:tcPr>
          <w:p w14:paraId="3230D397">
            <w:pPr>
              <w:rPr>
                <w:rFonts w:ascii="Arial"/>
                <w:sz w:val="21"/>
              </w:rPr>
            </w:pPr>
          </w:p>
        </w:tc>
        <w:tc>
          <w:tcPr>
            <w:tcW w:w="707" w:type="dxa"/>
            <w:vAlign w:val="top"/>
          </w:tcPr>
          <w:p w14:paraId="51672467">
            <w:pPr>
              <w:rPr>
                <w:rFonts w:ascii="Arial"/>
                <w:sz w:val="21"/>
              </w:rPr>
            </w:pPr>
          </w:p>
        </w:tc>
        <w:tc>
          <w:tcPr>
            <w:tcW w:w="848" w:type="dxa"/>
            <w:vAlign w:val="top"/>
          </w:tcPr>
          <w:p w14:paraId="119F9AA5">
            <w:pPr>
              <w:rPr>
                <w:rFonts w:ascii="Arial"/>
                <w:sz w:val="21"/>
              </w:rPr>
            </w:pPr>
          </w:p>
        </w:tc>
        <w:tc>
          <w:tcPr>
            <w:tcW w:w="849" w:type="dxa"/>
            <w:vAlign w:val="top"/>
          </w:tcPr>
          <w:p w14:paraId="17D01B5E">
            <w:pPr>
              <w:rPr>
                <w:rFonts w:ascii="Arial"/>
                <w:sz w:val="21"/>
              </w:rPr>
            </w:pPr>
          </w:p>
        </w:tc>
        <w:tc>
          <w:tcPr>
            <w:tcW w:w="1272" w:type="dxa"/>
            <w:vAlign w:val="top"/>
          </w:tcPr>
          <w:p w14:paraId="2AEA4DBF">
            <w:pPr>
              <w:rPr>
                <w:rFonts w:ascii="Arial"/>
                <w:sz w:val="21"/>
              </w:rPr>
            </w:pPr>
          </w:p>
        </w:tc>
        <w:tc>
          <w:tcPr>
            <w:tcW w:w="1271" w:type="dxa"/>
            <w:vAlign w:val="top"/>
          </w:tcPr>
          <w:p w14:paraId="0324E868">
            <w:pPr>
              <w:rPr>
                <w:rFonts w:ascii="Arial"/>
                <w:sz w:val="21"/>
              </w:rPr>
            </w:pPr>
          </w:p>
        </w:tc>
        <w:tc>
          <w:tcPr>
            <w:tcW w:w="1003" w:type="dxa"/>
            <w:tcBorders>
              <w:right w:val="single" w:color="000000" w:sz="10" w:space="0"/>
            </w:tcBorders>
            <w:vAlign w:val="top"/>
          </w:tcPr>
          <w:p w14:paraId="19ECB7FD">
            <w:pPr>
              <w:rPr>
                <w:rFonts w:ascii="Arial"/>
                <w:sz w:val="21"/>
              </w:rPr>
            </w:pPr>
          </w:p>
        </w:tc>
      </w:tr>
      <w:tr w14:paraId="7897A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750" w:type="dxa"/>
            <w:tcBorders>
              <w:left w:val="single" w:color="000000" w:sz="10" w:space="0"/>
              <w:bottom w:val="single" w:color="000000" w:sz="10" w:space="0"/>
            </w:tcBorders>
            <w:vAlign w:val="top"/>
          </w:tcPr>
          <w:p w14:paraId="6FFD4858">
            <w:pPr>
              <w:rPr>
                <w:rFonts w:ascii="Arial"/>
                <w:sz w:val="21"/>
              </w:rPr>
            </w:pPr>
          </w:p>
        </w:tc>
        <w:tc>
          <w:tcPr>
            <w:tcW w:w="1413" w:type="dxa"/>
            <w:tcBorders>
              <w:bottom w:val="single" w:color="000000" w:sz="10" w:space="0"/>
            </w:tcBorders>
            <w:vAlign w:val="top"/>
          </w:tcPr>
          <w:p w14:paraId="0E8A329B">
            <w:pPr>
              <w:rPr>
                <w:rFonts w:ascii="Arial"/>
                <w:sz w:val="21"/>
              </w:rPr>
            </w:pPr>
          </w:p>
        </w:tc>
        <w:tc>
          <w:tcPr>
            <w:tcW w:w="849" w:type="dxa"/>
            <w:tcBorders>
              <w:bottom w:val="single" w:color="000000" w:sz="10" w:space="0"/>
            </w:tcBorders>
            <w:vAlign w:val="top"/>
          </w:tcPr>
          <w:p w14:paraId="26A9788D">
            <w:pPr>
              <w:rPr>
                <w:rFonts w:ascii="Arial"/>
                <w:sz w:val="21"/>
              </w:rPr>
            </w:pPr>
          </w:p>
        </w:tc>
        <w:tc>
          <w:tcPr>
            <w:tcW w:w="707" w:type="dxa"/>
            <w:tcBorders>
              <w:bottom w:val="single" w:color="000000" w:sz="10" w:space="0"/>
            </w:tcBorders>
            <w:vAlign w:val="top"/>
          </w:tcPr>
          <w:p w14:paraId="63367A16">
            <w:pPr>
              <w:rPr>
                <w:rFonts w:ascii="Arial"/>
                <w:sz w:val="21"/>
              </w:rPr>
            </w:pPr>
          </w:p>
        </w:tc>
        <w:tc>
          <w:tcPr>
            <w:tcW w:w="848" w:type="dxa"/>
            <w:tcBorders>
              <w:bottom w:val="single" w:color="000000" w:sz="10" w:space="0"/>
            </w:tcBorders>
            <w:vAlign w:val="top"/>
          </w:tcPr>
          <w:p w14:paraId="3CFD7A1C">
            <w:pPr>
              <w:rPr>
                <w:rFonts w:ascii="Arial"/>
                <w:sz w:val="21"/>
              </w:rPr>
            </w:pPr>
          </w:p>
        </w:tc>
        <w:tc>
          <w:tcPr>
            <w:tcW w:w="849" w:type="dxa"/>
            <w:tcBorders>
              <w:bottom w:val="single" w:color="000000" w:sz="10" w:space="0"/>
            </w:tcBorders>
            <w:vAlign w:val="top"/>
          </w:tcPr>
          <w:p w14:paraId="56C044C0">
            <w:pPr>
              <w:rPr>
                <w:rFonts w:ascii="Arial"/>
                <w:sz w:val="21"/>
              </w:rPr>
            </w:pPr>
          </w:p>
        </w:tc>
        <w:tc>
          <w:tcPr>
            <w:tcW w:w="1272" w:type="dxa"/>
            <w:tcBorders>
              <w:bottom w:val="single" w:color="000000" w:sz="10" w:space="0"/>
            </w:tcBorders>
            <w:vAlign w:val="top"/>
          </w:tcPr>
          <w:p w14:paraId="25AEF41F">
            <w:pPr>
              <w:rPr>
                <w:rFonts w:ascii="Arial"/>
                <w:sz w:val="21"/>
              </w:rPr>
            </w:pPr>
          </w:p>
        </w:tc>
        <w:tc>
          <w:tcPr>
            <w:tcW w:w="1271" w:type="dxa"/>
            <w:tcBorders>
              <w:bottom w:val="single" w:color="000000" w:sz="10" w:space="0"/>
            </w:tcBorders>
            <w:vAlign w:val="top"/>
          </w:tcPr>
          <w:p w14:paraId="2F90CE35">
            <w:pPr>
              <w:rPr>
                <w:rFonts w:ascii="Arial"/>
                <w:sz w:val="21"/>
              </w:rPr>
            </w:pPr>
          </w:p>
        </w:tc>
        <w:tc>
          <w:tcPr>
            <w:tcW w:w="1003" w:type="dxa"/>
            <w:tcBorders>
              <w:bottom w:val="single" w:color="000000" w:sz="10" w:space="0"/>
              <w:right w:val="single" w:color="000000" w:sz="10" w:space="0"/>
            </w:tcBorders>
            <w:vAlign w:val="top"/>
          </w:tcPr>
          <w:p w14:paraId="0AA9C920">
            <w:pPr>
              <w:rPr>
                <w:rFonts w:ascii="Arial"/>
                <w:sz w:val="21"/>
              </w:rPr>
            </w:pPr>
          </w:p>
        </w:tc>
      </w:tr>
    </w:tbl>
    <w:p w14:paraId="195355D8">
      <w:pPr>
        <w:rPr>
          <w:rFonts w:ascii="Arial"/>
          <w:sz w:val="21"/>
        </w:rPr>
      </w:pPr>
    </w:p>
    <w:p w14:paraId="61B5973D">
      <w:pPr>
        <w:rPr>
          <w:rFonts w:ascii="Arial" w:hAnsi="Arial" w:eastAsia="Arial" w:cs="Arial"/>
          <w:sz w:val="21"/>
          <w:szCs w:val="21"/>
        </w:rPr>
        <w:sectPr>
          <w:footerReference r:id="rId322" w:type="default"/>
          <w:pgSz w:w="11907" w:h="16840"/>
          <w:pgMar w:top="400" w:right="1488" w:bottom="1038" w:left="1430" w:header="0" w:footer="787" w:gutter="0"/>
          <w:cols w:space="720" w:num="1"/>
        </w:sectPr>
      </w:pPr>
    </w:p>
    <w:p w14:paraId="1AE0DB26">
      <w:pPr>
        <w:spacing w:line="271" w:lineRule="auto"/>
        <w:rPr>
          <w:rFonts w:ascii="Arial"/>
          <w:sz w:val="21"/>
        </w:rPr>
      </w:pPr>
    </w:p>
    <w:p w14:paraId="6DD9140F">
      <w:pPr>
        <w:spacing w:line="272" w:lineRule="auto"/>
        <w:rPr>
          <w:rFonts w:ascii="Arial"/>
          <w:sz w:val="21"/>
        </w:rPr>
      </w:pPr>
    </w:p>
    <w:p w14:paraId="729AD366">
      <w:pPr>
        <w:spacing w:line="272" w:lineRule="auto"/>
        <w:rPr>
          <w:rFonts w:ascii="Arial"/>
          <w:sz w:val="21"/>
        </w:rPr>
      </w:pPr>
    </w:p>
    <w:p w14:paraId="22F55E03">
      <w:pPr>
        <w:spacing w:line="272" w:lineRule="auto"/>
        <w:rPr>
          <w:rFonts w:ascii="Arial"/>
          <w:sz w:val="21"/>
        </w:rPr>
      </w:pPr>
    </w:p>
    <w:p w14:paraId="7E95438A">
      <w:pPr>
        <w:spacing w:line="272" w:lineRule="auto"/>
        <w:rPr>
          <w:rFonts w:ascii="Arial"/>
          <w:sz w:val="21"/>
        </w:rPr>
      </w:pPr>
    </w:p>
    <w:p w14:paraId="56D798E9">
      <w:pPr>
        <w:spacing w:before="78" w:line="219" w:lineRule="auto"/>
        <w:ind w:left="496"/>
        <w:rPr>
          <w:rFonts w:ascii="宋体" w:hAnsi="宋体" w:eastAsia="宋体" w:cs="宋体"/>
          <w:sz w:val="24"/>
          <w:szCs w:val="24"/>
        </w:rPr>
      </w:pPr>
      <w:r>
        <w:rPr>
          <w:rFonts w:ascii="宋体" w:hAnsi="宋体" w:eastAsia="宋体" w:cs="宋体"/>
          <w:spacing w:val="-10"/>
          <w:sz w:val="24"/>
          <w:szCs w:val="24"/>
        </w:rPr>
        <w:t>附件</w:t>
      </w:r>
      <w:r>
        <w:rPr>
          <w:rFonts w:ascii="宋体" w:hAnsi="宋体" w:eastAsia="宋体" w:cs="宋体"/>
          <w:spacing w:val="-49"/>
          <w:sz w:val="24"/>
          <w:szCs w:val="24"/>
        </w:rPr>
        <w:t xml:space="preserve"> </w:t>
      </w:r>
      <w:r>
        <w:rPr>
          <w:rFonts w:ascii="宋体" w:hAnsi="宋体" w:eastAsia="宋体" w:cs="宋体"/>
          <w:spacing w:val="-10"/>
          <w:sz w:val="24"/>
          <w:szCs w:val="24"/>
        </w:rPr>
        <w:t>6：</w:t>
      </w:r>
    </w:p>
    <w:p w14:paraId="0EBEFD8E">
      <w:pPr>
        <w:pStyle w:val="2"/>
        <w:spacing w:before="241" w:line="222" w:lineRule="auto"/>
        <w:ind w:left="3249"/>
        <w:rPr>
          <w:sz w:val="28"/>
          <w:szCs w:val="28"/>
        </w:rPr>
      </w:pPr>
      <w:r>
        <w:rPr>
          <w:spacing w:val="-1"/>
          <w:sz w:val="28"/>
          <w:szCs w:val="28"/>
        </w:rPr>
        <w:t>承包人主要施工管理人员表</w:t>
      </w:r>
    </w:p>
    <w:p w14:paraId="0D384B0B">
      <w:pPr>
        <w:spacing w:line="111" w:lineRule="exact"/>
      </w:pPr>
    </w:p>
    <w:tbl>
      <w:tblPr>
        <w:tblStyle w:val="5"/>
        <w:tblW w:w="9812"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1"/>
        <w:gridCol w:w="1414"/>
        <w:gridCol w:w="1131"/>
        <w:gridCol w:w="1131"/>
        <w:gridCol w:w="4255"/>
      </w:tblGrid>
      <w:tr w14:paraId="6D0C71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1881" w:type="dxa"/>
            <w:tcBorders>
              <w:top w:val="single" w:color="000000" w:sz="10" w:space="0"/>
              <w:left w:val="single" w:color="000000" w:sz="10" w:space="0"/>
            </w:tcBorders>
            <w:vAlign w:val="top"/>
          </w:tcPr>
          <w:p w14:paraId="7D47D66D">
            <w:pPr>
              <w:pStyle w:val="6"/>
              <w:spacing w:before="176" w:line="230" w:lineRule="auto"/>
              <w:ind w:left="516"/>
            </w:pPr>
            <w:r>
              <w:t>名</w:t>
            </w:r>
            <w:r>
              <w:rPr>
                <w:spacing w:val="6"/>
              </w:rPr>
              <w:t xml:space="preserve">    </w:t>
            </w:r>
            <w:r>
              <w:t>称</w:t>
            </w:r>
          </w:p>
        </w:tc>
        <w:tc>
          <w:tcPr>
            <w:tcW w:w="1414" w:type="dxa"/>
            <w:tcBorders>
              <w:top w:val="single" w:color="000000" w:sz="10" w:space="0"/>
            </w:tcBorders>
            <w:vAlign w:val="top"/>
          </w:tcPr>
          <w:p w14:paraId="6D0D8F49">
            <w:pPr>
              <w:pStyle w:val="6"/>
              <w:spacing w:before="176" w:line="228" w:lineRule="auto"/>
              <w:ind w:left="492"/>
            </w:pPr>
            <w:r>
              <w:rPr>
                <w:spacing w:val="4"/>
              </w:rPr>
              <w:t>姓名</w:t>
            </w:r>
          </w:p>
        </w:tc>
        <w:tc>
          <w:tcPr>
            <w:tcW w:w="1131" w:type="dxa"/>
            <w:tcBorders>
              <w:top w:val="single" w:color="000000" w:sz="10" w:space="0"/>
            </w:tcBorders>
            <w:vAlign w:val="top"/>
          </w:tcPr>
          <w:p w14:paraId="089FF4C7">
            <w:pPr>
              <w:pStyle w:val="6"/>
              <w:spacing w:before="176" w:line="228" w:lineRule="auto"/>
              <w:ind w:left="356"/>
            </w:pPr>
            <w:r>
              <w:rPr>
                <w:spacing w:val="4"/>
              </w:rPr>
              <w:t>职务</w:t>
            </w:r>
          </w:p>
        </w:tc>
        <w:tc>
          <w:tcPr>
            <w:tcW w:w="1131" w:type="dxa"/>
            <w:tcBorders>
              <w:top w:val="single" w:color="000000" w:sz="10" w:space="0"/>
            </w:tcBorders>
            <w:vAlign w:val="top"/>
          </w:tcPr>
          <w:p w14:paraId="2BFE09E6">
            <w:pPr>
              <w:pStyle w:val="6"/>
              <w:spacing w:before="176" w:line="230" w:lineRule="auto"/>
              <w:ind w:left="360"/>
            </w:pPr>
            <w:r>
              <w:rPr>
                <w:spacing w:val="4"/>
              </w:rPr>
              <w:t>职称</w:t>
            </w:r>
          </w:p>
        </w:tc>
        <w:tc>
          <w:tcPr>
            <w:tcW w:w="4255" w:type="dxa"/>
            <w:tcBorders>
              <w:top w:val="single" w:color="000000" w:sz="10" w:space="0"/>
              <w:right w:val="single" w:color="000000" w:sz="10" w:space="0"/>
            </w:tcBorders>
            <w:vAlign w:val="top"/>
          </w:tcPr>
          <w:p w14:paraId="4775EB40">
            <w:pPr>
              <w:pStyle w:val="6"/>
              <w:spacing w:before="176" w:line="228" w:lineRule="auto"/>
              <w:ind w:left="663"/>
            </w:pPr>
            <w:r>
              <w:rPr>
                <w:spacing w:val="9"/>
              </w:rPr>
              <w:t>主要资历、经验及承担过的项目</w:t>
            </w:r>
          </w:p>
        </w:tc>
      </w:tr>
      <w:tr w14:paraId="17B5E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9812" w:type="dxa"/>
            <w:gridSpan w:val="5"/>
            <w:tcBorders>
              <w:left w:val="single" w:color="000000" w:sz="10" w:space="0"/>
              <w:right w:val="single" w:color="000000" w:sz="10" w:space="0"/>
            </w:tcBorders>
            <w:vAlign w:val="top"/>
          </w:tcPr>
          <w:p w14:paraId="4FC31EFD">
            <w:pPr>
              <w:pStyle w:val="6"/>
              <w:spacing w:before="198" w:line="220" w:lineRule="auto"/>
              <w:ind w:left="4275"/>
            </w:pPr>
            <w:r>
              <w:rPr>
                <w:spacing w:val="7"/>
              </w:rPr>
              <w:t>一、总部人员</w:t>
            </w:r>
          </w:p>
        </w:tc>
      </w:tr>
      <w:tr w14:paraId="368C1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7326A875">
            <w:pPr>
              <w:pStyle w:val="6"/>
              <w:spacing w:before="197" w:line="219" w:lineRule="auto"/>
              <w:ind w:left="516"/>
            </w:pPr>
            <w:r>
              <w:rPr>
                <w:spacing w:val="6"/>
              </w:rPr>
              <w:t>项目主管</w:t>
            </w:r>
          </w:p>
        </w:tc>
        <w:tc>
          <w:tcPr>
            <w:tcW w:w="1414" w:type="dxa"/>
            <w:vAlign w:val="top"/>
          </w:tcPr>
          <w:p w14:paraId="77DC01B8">
            <w:pPr>
              <w:rPr>
                <w:rFonts w:ascii="Arial"/>
                <w:sz w:val="21"/>
              </w:rPr>
            </w:pPr>
          </w:p>
        </w:tc>
        <w:tc>
          <w:tcPr>
            <w:tcW w:w="1131" w:type="dxa"/>
            <w:vAlign w:val="top"/>
          </w:tcPr>
          <w:p w14:paraId="07A7095F">
            <w:pPr>
              <w:rPr>
                <w:rFonts w:ascii="Arial"/>
                <w:sz w:val="21"/>
              </w:rPr>
            </w:pPr>
          </w:p>
        </w:tc>
        <w:tc>
          <w:tcPr>
            <w:tcW w:w="1131" w:type="dxa"/>
            <w:vAlign w:val="top"/>
          </w:tcPr>
          <w:p w14:paraId="13B71D29">
            <w:pPr>
              <w:rPr>
                <w:rFonts w:ascii="Arial"/>
                <w:sz w:val="21"/>
              </w:rPr>
            </w:pPr>
          </w:p>
        </w:tc>
        <w:tc>
          <w:tcPr>
            <w:tcW w:w="4255" w:type="dxa"/>
            <w:tcBorders>
              <w:right w:val="single" w:color="000000" w:sz="10" w:space="0"/>
            </w:tcBorders>
            <w:vAlign w:val="top"/>
          </w:tcPr>
          <w:p w14:paraId="43715E70">
            <w:pPr>
              <w:rPr>
                <w:rFonts w:ascii="Arial"/>
                <w:sz w:val="21"/>
              </w:rPr>
            </w:pPr>
          </w:p>
        </w:tc>
      </w:tr>
      <w:tr w14:paraId="330E0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restart"/>
            <w:tcBorders>
              <w:left w:val="single" w:color="000000" w:sz="10" w:space="0"/>
              <w:bottom w:val="nil"/>
            </w:tcBorders>
            <w:vAlign w:val="top"/>
          </w:tcPr>
          <w:p w14:paraId="37F6A518">
            <w:pPr>
              <w:spacing w:line="292" w:lineRule="auto"/>
              <w:rPr>
                <w:rFonts w:ascii="Arial"/>
                <w:sz w:val="21"/>
              </w:rPr>
            </w:pPr>
          </w:p>
          <w:p w14:paraId="6E7214F4">
            <w:pPr>
              <w:spacing w:line="292" w:lineRule="auto"/>
              <w:rPr>
                <w:rFonts w:ascii="Arial"/>
                <w:sz w:val="21"/>
              </w:rPr>
            </w:pPr>
          </w:p>
          <w:p w14:paraId="4D7E6305">
            <w:pPr>
              <w:pStyle w:val="6"/>
              <w:spacing w:before="65" w:line="228" w:lineRule="auto"/>
              <w:ind w:left="514"/>
            </w:pPr>
            <w:r>
              <w:rPr>
                <w:spacing w:val="7"/>
              </w:rPr>
              <w:t>其他人员</w:t>
            </w:r>
          </w:p>
        </w:tc>
        <w:tc>
          <w:tcPr>
            <w:tcW w:w="1414" w:type="dxa"/>
            <w:vAlign w:val="top"/>
          </w:tcPr>
          <w:p w14:paraId="2ECC22C9">
            <w:pPr>
              <w:rPr>
                <w:rFonts w:ascii="Arial"/>
                <w:sz w:val="21"/>
              </w:rPr>
            </w:pPr>
          </w:p>
        </w:tc>
        <w:tc>
          <w:tcPr>
            <w:tcW w:w="1131" w:type="dxa"/>
            <w:vAlign w:val="top"/>
          </w:tcPr>
          <w:p w14:paraId="7212BBEE">
            <w:pPr>
              <w:rPr>
                <w:rFonts w:ascii="Arial"/>
                <w:sz w:val="21"/>
              </w:rPr>
            </w:pPr>
          </w:p>
        </w:tc>
        <w:tc>
          <w:tcPr>
            <w:tcW w:w="1131" w:type="dxa"/>
            <w:vAlign w:val="top"/>
          </w:tcPr>
          <w:p w14:paraId="7612F617">
            <w:pPr>
              <w:rPr>
                <w:rFonts w:ascii="Arial"/>
                <w:sz w:val="21"/>
              </w:rPr>
            </w:pPr>
          </w:p>
        </w:tc>
        <w:tc>
          <w:tcPr>
            <w:tcW w:w="4255" w:type="dxa"/>
            <w:tcBorders>
              <w:right w:val="single" w:color="000000" w:sz="10" w:space="0"/>
            </w:tcBorders>
            <w:vAlign w:val="top"/>
          </w:tcPr>
          <w:p w14:paraId="62C1DA66">
            <w:pPr>
              <w:rPr>
                <w:rFonts w:ascii="Arial"/>
                <w:sz w:val="21"/>
              </w:rPr>
            </w:pPr>
          </w:p>
        </w:tc>
      </w:tr>
      <w:tr w14:paraId="50D0B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791FDD19">
            <w:pPr>
              <w:rPr>
                <w:rFonts w:ascii="Arial"/>
                <w:sz w:val="21"/>
              </w:rPr>
            </w:pPr>
          </w:p>
        </w:tc>
        <w:tc>
          <w:tcPr>
            <w:tcW w:w="1414" w:type="dxa"/>
            <w:vAlign w:val="top"/>
          </w:tcPr>
          <w:p w14:paraId="49DEC63F">
            <w:pPr>
              <w:rPr>
                <w:rFonts w:ascii="Arial"/>
                <w:sz w:val="21"/>
              </w:rPr>
            </w:pPr>
          </w:p>
        </w:tc>
        <w:tc>
          <w:tcPr>
            <w:tcW w:w="1131" w:type="dxa"/>
            <w:vAlign w:val="top"/>
          </w:tcPr>
          <w:p w14:paraId="3FAE7790">
            <w:pPr>
              <w:rPr>
                <w:rFonts w:ascii="Arial"/>
                <w:sz w:val="21"/>
              </w:rPr>
            </w:pPr>
          </w:p>
        </w:tc>
        <w:tc>
          <w:tcPr>
            <w:tcW w:w="1131" w:type="dxa"/>
            <w:vAlign w:val="top"/>
          </w:tcPr>
          <w:p w14:paraId="16CC67F5">
            <w:pPr>
              <w:rPr>
                <w:rFonts w:ascii="Arial"/>
                <w:sz w:val="21"/>
              </w:rPr>
            </w:pPr>
          </w:p>
        </w:tc>
        <w:tc>
          <w:tcPr>
            <w:tcW w:w="4255" w:type="dxa"/>
            <w:tcBorders>
              <w:right w:val="single" w:color="000000" w:sz="10" w:space="0"/>
            </w:tcBorders>
            <w:vAlign w:val="top"/>
          </w:tcPr>
          <w:p w14:paraId="4D2F8A9C">
            <w:pPr>
              <w:rPr>
                <w:rFonts w:ascii="Arial"/>
                <w:sz w:val="21"/>
              </w:rPr>
            </w:pPr>
          </w:p>
        </w:tc>
      </w:tr>
      <w:tr w14:paraId="1DE9E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tcBorders>
            <w:vAlign w:val="top"/>
          </w:tcPr>
          <w:p w14:paraId="2EA67264">
            <w:pPr>
              <w:rPr>
                <w:rFonts w:ascii="Arial"/>
                <w:sz w:val="21"/>
              </w:rPr>
            </w:pPr>
          </w:p>
        </w:tc>
        <w:tc>
          <w:tcPr>
            <w:tcW w:w="1414" w:type="dxa"/>
            <w:vAlign w:val="top"/>
          </w:tcPr>
          <w:p w14:paraId="264018BD">
            <w:pPr>
              <w:rPr>
                <w:rFonts w:ascii="Arial"/>
                <w:sz w:val="21"/>
              </w:rPr>
            </w:pPr>
          </w:p>
        </w:tc>
        <w:tc>
          <w:tcPr>
            <w:tcW w:w="1131" w:type="dxa"/>
            <w:vAlign w:val="top"/>
          </w:tcPr>
          <w:p w14:paraId="6ADA8707">
            <w:pPr>
              <w:rPr>
                <w:rFonts w:ascii="Arial"/>
                <w:sz w:val="21"/>
              </w:rPr>
            </w:pPr>
          </w:p>
        </w:tc>
        <w:tc>
          <w:tcPr>
            <w:tcW w:w="1131" w:type="dxa"/>
            <w:vAlign w:val="top"/>
          </w:tcPr>
          <w:p w14:paraId="4DFA81B6">
            <w:pPr>
              <w:rPr>
                <w:rFonts w:ascii="Arial"/>
                <w:sz w:val="21"/>
              </w:rPr>
            </w:pPr>
          </w:p>
        </w:tc>
        <w:tc>
          <w:tcPr>
            <w:tcW w:w="4255" w:type="dxa"/>
            <w:tcBorders>
              <w:right w:val="single" w:color="000000" w:sz="10" w:space="0"/>
            </w:tcBorders>
            <w:vAlign w:val="top"/>
          </w:tcPr>
          <w:p w14:paraId="5CA64BD9">
            <w:pPr>
              <w:rPr>
                <w:rFonts w:ascii="Arial"/>
                <w:sz w:val="21"/>
              </w:rPr>
            </w:pPr>
          </w:p>
        </w:tc>
      </w:tr>
      <w:tr w14:paraId="1F123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812" w:type="dxa"/>
            <w:gridSpan w:val="5"/>
            <w:tcBorders>
              <w:left w:val="single" w:color="000000" w:sz="10" w:space="0"/>
              <w:right w:val="single" w:color="000000" w:sz="10" w:space="0"/>
            </w:tcBorders>
            <w:vAlign w:val="top"/>
          </w:tcPr>
          <w:p w14:paraId="4785B060">
            <w:pPr>
              <w:pStyle w:val="6"/>
              <w:spacing w:before="196" w:line="220" w:lineRule="auto"/>
              <w:ind w:left="4275"/>
            </w:pPr>
            <w:r>
              <w:rPr>
                <w:spacing w:val="7"/>
              </w:rPr>
              <w:t>二、现场人员</w:t>
            </w:r>
          </w:p>
        </w:tc>
      </w:tr>
      <w:tr w14:paraId="33466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4296F753">
            <w:pPr>
              <w:pStyle w:val="6"/>
              <w:spacing w:before="197" w:line="219" w:lineRule="auto"/>
              <w:ind w:left="516"/>
            </w:pPr>
            <w:r>
              <w:rPr>
                <w:spacing w:val="6"/>
              </w:rPr>
              <w:t>项目经理</w:t>
            </w:r>
          </w:p>
        </w:tc>
        <w:tc>
          <w:tcPr>
            <w:tcW w:w="1414" w:type="dxa"/>
            <w:vAlign w:val="top"/>
          </w:tcPr>
          <w:p w14:paraId="67A9F89C">
            <w:pPr>
              <w:rPr>
                <w:rFonts w:ascii="Arial"/>
                <w:sz w:val="21"/>
              </w:rPr>
            </w:pPr>
          </w:p>
        </w:tc>
        <w:tc>
          <w:tcPr>
            <w:tcW w:w="1131" w:type="dxa"/>
            <w:vAlign w:val="top"/>
          </w:tcPr>
          <w:p w14:paraId="1B5B497B">
            <w:pPr>
              <w:rPr>
                <w:rFonts w:ascii="Arial"/>
                <w:sz w:val="21"/>
              </w:rPr>
            </w:pPr>
          </w:p>
        </w:tc>
        <w:tc>
          <w:tcPr>
            <w:tcW w:w="1131" w:type="dxa"/>
            <w:vAlign w:val="top"/>
          </w:tcPr>
          <w:p w14:paraId="0423A7A4">
            <w:pPr>
              <w:rPr>
                <w:rFonts w:ascii="Arial"/>
                <w:sz w:val="21"/>
              </w:rPr>
            </w:pPr>
          </w:p>
        </w:tc>
        <w:tc>
          <w:tcPr>
            <w:tcW w:w="4255" w:type="dxa"/>
            <w:tcBorders>
              <w:right w:val="single" w:color="000000" w:sz="10" w:space="0"/>
            </w:tcBorders>
            <w:vAlign w:val="top"/>
          </w:tcPr>
          <w:p w14:paraId="591EE53A">
            <w:pPr>
              <w:rPr>
                <w:rFonts w:ascii="Arial"/>
                <w:sz w:val="21"/>
              </w:rPr>
            </w:pPr>
          </w:p>
        </w:tc>
      </w:tr>
      <w:tr w14:paraId="5082B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2B6FFA33">
            <w:pPr>
              <w:pStyle w:val="6"/>
              <w:spacing w:before="196" w:line="220" w:lineRule="auto"/>
              <w:ind w:left="411"/>
            </w:pPr>
            <w:r>
              <w:rPr>
                <w:spacing w:val="7"/>
              </w:rPr>
              <w:t>项目副经理</w:t>
            </w:r>
          </w:p>
        </w:tc>
        <w:tc>
          <w:tcPr>
            <w:tcW w:w="1414" w:type="dxa"/>
            <w:vAlign w:val="top"/>
          </w:tcPr>
          <w:p w14:paraId="66F650E2">
            <w:pPr>
              <w:rPr>
                <w:rFonts w:ascii="Arial"/>
                <w:sz w:val="21"/>
              </w:rPr>
            </w:pPr>
          </w:p>
        </w:tc>
        <w:tc>
          <w:tcPr>
            <w:tcW w:w="1131" w:type="dxa"/>
            <w:vAlign w:val="top"/>
          </w:tcPr>
          <w:p w14:paraId="5CC7EABF">
            <w:pPr>
              <w:rPr>
                <w:rFonts w:ascii="Arial"/>
                <w:sz w:val="21"/>
              </w:rPr>
            </w:pPr>
          </w:p>
        </w:tc>
        <w:tc>
          <w:tcPr>
            <w:tcW w:w="1131" w:type="dxa"/>
            <w:vAlign w:val="top"/>
          </w:tcPr>
          <w:p w14:paraId="3A4D9EB1">
            <w:pPr>
              <w:rPr>
                <w:rFonts w:ascii="Arial"/>
                <w:sz w:val="21"/>
              </w:rPr>
            </w:pPr>
          </w:p>
        </w:tc>
        <w:tc>
          <w:tcPr>
            <w:tcW w:w="4255" w:type="dxa"/>
            <w:tcBorders>
              <w:right w:val="single" w:color="000000" w:sz="10" w:space="0"/>
            </w:tcBorders>
            <w:vAlign w:val="top"/>
          </w:tcPr>
          <w:p w14:paraId="72C16B0A">
            <w:pPr>
              <w:rPr>
                <w:rFonts w:ascii="Arial"/>
                <w:sz w:val="21"/>
              </w:rPr>
            </w:pPr>
          </w:p>
        </w:tc>
      </w:tr>
      <w:tr w14:paraId="3ED1D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75FF5244">
            <w:pPr>
              <w:pStyle w:val="6"/>
              <w:spacing w:before="197" w:line="219" w:lineRule="auto"/>
              <w:ind w:left="408"/>
            </w:pPr>
            <w:r>
              <w:rPr>
                <w:spacing w:val="7"/>
              </w:rPr>
              <w:t>技术负责人</w:t>
            </w:r>
          </w:p>
        </w:tc>
        <w:tc>
          <w:tcPr>
            <w:tcW w:w="1414" w:type="dxa"/>
            <w:vAlign w:val="top"/>
          </w:tcPr>
          <w:p w14:paraId="2840B5ED">
            <w:pPr>
              <w:rPr>
                <w:rFonts w:ascii="Arial"/>
                <w:sz w:val="21"/>
              </w:rPr>
            </w:pPr>
          </w:p>
        </w:tc>
        <w:tc>
          <w:tcPr>
            <w:tcW w:w="1131" w:type="dxa"/>
            <w:vAlign w:val="top"/>
          </w:tcPr>
          <w:p w14:paraId="4569EBF3">
            <w:pPr>
              <w:rPr>
                <w:rFonts w:ascii="Arial"/>
                <w:sz w:val="21"/>
              </w:rPr>
            </w:pPr>
          </w:p>
        </w:tc>
        <w:tc>
          <w:tcPr>
            <w:tcW w:w="1131" w:type="dxa"/>
            <w:vAlign w:val="top"/>
          </w:tcPr>
          <w:p w14:paraId="0E8B8A0F">
            <w:pPr>
              <w:rPr>
                <w:rFonts w:ascii="Arial"/>
                <w:sz w:val="21"/>
              </w:rPr>
            </w:pPr>
          </w:p>
        </w:tc>
        <w:tc>
          <w:tcPr>
            <w:tcW w:w="4255" w:type="dxa"/>
            <w:tcBorders>
              <w:right w:val="single" w:color="000000" w:sz="10" w:space="0"/>
            </w:tcBorders>
            <w:vAlign w:val="top"/>
          </w:tcPr>
          <w:p w14:paraId="3DA91B6E">
            <w:pPr>
              <w:rPr>
                <w:rFonts w:ascii="Arial"/>
                <w:sz w:val="21"/>
              </w:rPr>
            </w:pPr>
          </w:p>
        </w:tc>
      </w:tr>
      <w:tr w14:paraId="140CC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7188F3EB">
            <w:pPr>
              <w:pStyle w:val="6"/>
              <w:spacing w:before="196" w:line="220" w:lineRule="auto"/>
              <w:ind w:left="512"/>
            </w:pPr>
            <w:r>
              <w:rPr>
                <w:spacing w:val="7"/>
              </w:rPr>
              <w:t>造价管理</w:t>
            </w:r>
          </w:p>
        </w:tc>
        <w:tc>
          <w:tcPr>
            <w:tcW w:w="1414" w:type="dxa"/>
            <w:vAlign w:val="top"/>
          </w:tcPr>
          <w:p w14:paraId="24F39360">
            <w:pPr>
              <w:rPr>
                <w:rFonts w:ascii="Arial"/>
                <w:sz w:val="21"/>
              </w:rPr>
            </w:pPr>
          </w:p>
        </w:tc>
        <w:tc>
          <w:tcPr>
            <w:tcW w:w="1131" w:type="dxa"/>
            <w:vAlign w:val="top"/>
          </w:tcPr>
          <w:p w14:paraId="51021AF8">
            <w:pPr>
              <w:rPr>
                <w:rFonts w:ascii="Arial"/>
                <w:sz w:val="21"/>
              </w:rPr>
            </w:pPr>
          </w:p>
        </w:tc>
        <w:tc>
          <w:tcPr>
            <w:tcW w:w="1131" w:type="dxa"/>
            <w:vAlign w:val="top"/>
          </w:tcPr>
          <w:p w14:paraId="10B4FAC6">
            <w:pPr>
              <w:rPr>
                <w:rFonts w:ascii="Arial"/>
                <w:sz w:val="21"/>
              </w:rPr>
            </w:pPr>
          </w:p>
        </w:tc>
        <w:tc>
          <w:tcPr>
            <w:tcW w:w="4255" w:type="dxa"/>
            <w:tcBorders>
              <w:right w:val="single" w:color="000000" w:sz="10" w:space="0"/>
            </w:tcBorders>
            <w:vAlign w:val="top"/>
          </w:tcPr>
          <w:p w14:paraId="0D2304D9">
            <w:pPr>
              <w:rPr>
                <w:rFonts w:ascii="Arial"/>
                <w:sz w:val="21"/>
              </w:rPr>
            </w:pPr>
          </w:p>
        </w:tc>
      </w:tr>
      <w:tr w14:paraId="119E8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5B192D5C">
            <w:pPr>
              <w:pStyle w:val="6"/>
              <w:spacing w:before="197" w:line="219" w:lineRule="auto"/>
              <w:ind w:left="514"/>
            </w:pPr>
            <w:r>
              <w:rPr>
                <w:spacing w:val="7"/>
              </w:rPr>
              <w:t>质量管理</w:t>
            </w:r>
          </w:p>
        </w:tc>
        <w:tc>
          <w:tcPr>
            <w:tcW w:w="1414" w:type="dxa"/>
            <w:vAlign w:val="top"/>
          </w:tcPr>
          <w:p w14:paraId="09BA22A4">
            <w:pPr>
              <w:rPr>
                <w:rFonts w:ascii="Arial"/>
                <w:sz w:val="21"/>
              </w:rPr>
            </w:pPr>
          </w:p>
        </w:tc>
        <w:tc>
          <w:tcPr>
            <w:tcW w:w="1131" w:type="dxa"/>
            <w:vAlign w:val="top"/>
          </w:tcPr>
          <w:p w14:paraId="65E4BAD8">
            <w:pPr>
              <w:rPr>
                <w:rFonts w:ascii="Arial"/>
                <w:sz w:val="21"/>
              </w:rPr>
            </w:pPr>
          </w:p>
        </w:tc>
        <w:tc>
          <w:tcPr>
            <w:tcW w:w="1131" w:type="dxa"/>
            <w:vAlign w:val="top"/>
          </w:tcPr>
          <w:p w14:paraId="1A7689B2">
            <w:pPr>
              <w:rPr>
                <w:rFonts w:ascii="Arial"/>
                <w:sz w:val="21"/>
              </w:rPr>
            </w:pPr>
          </w:p>
        </w:tc>
        <w:tc>
          <w:tcPr>
            <w:tcW w:w="4255" w:type="dxa"/>
            <w:tcBorders>
              <w:right w:val="single" w:color="000000" w:sz="10" w:space="0"/>
            </w:tcBorders>
            <w:vAlign w:val="top"/>
          </w:tcPr>
          <w:p w14:paraId="4EED8B7B">
            <w:pPr>
              <w:rPr>
                <w:rFonts w:ascii="Arial"/>
                <w:sz w:val="21"/>
              </w:rPr>
            </w:pPr>
          </w:p>
        </w:tc>
      </w:tr>
      <w:tr w14:paraId="10A44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2EC8BD37">
            <w:pPr>
              <w:pStyle w:val="6"/>
              <w:spacing w:before="197" w:line="219" w:lineRule="auto"/>
              <w:ind w:left="513"/>
            </w:pPr>
            <w:r>
              <w:rPr>
                <w:spacing w:val="7"/>
              </w:rPr>
              <w:t>材料管理</w:t>
            </w:r>
          </w:p>
        </w:tc>
        <w:tc>
          <w:tcPr>
            <w:tcW w:w="1414" w:type="dxa"/>
            <w:vAlign w:val="top"/>
          </w:tcPr>
          <w:p w14:paraId="2A796358">
            <w:pPr>
              <w:rPr>
                <w:rFonts w:ascii="Arial"/>
                <w:sz w:val="21"/>
              </w:rPr>
            </w:pPr>
          </w:p>
        </w:tc>
        <w:tc>
          <w:tcPr>
            <w:tcW w:w="1131" w:type="dxa"/>
            <w:vAlign w:val="top"/>
          </w:tcPr>
          <w:p w14:paraId="598C2AFD">
            <w:pPr>
              <w:rPr>
                <w:rFonts w:ascii="Arial"/>
                <w:sz w:val="21"/>
              </w:rPr>
            </w:pPr>
          </w:p>
        </w:tc>
        <w:tc>
          <w:tcPr>
            <w:tcW w:w="1131" w:type="dxa"/>
            <w:vAlign w:val="top"/>
          </w:tcPr>
          <w:p w14:paraId="76602CA2">
            <w:pPr>
              <w:rPr>
                <w:rFonts w:ascii="Arial"/>
                <w:sz w:val="21"/>
              </w:rPr>
            </w:pPr>
          </w:p>
        </w:tc>
        <w:tc>
          <w:tcPr>
            <w:tcW w:w="4255" w:type="dxa"/>
            <w:tcBorders>
              <w:right w:val="single" w:color="000000" w:sz="10" w:space="0"/>
            </w:tcBorders>
            <w:vAlign w:val="top"/>
          </w:tcPr>
          <w:p w14:paraId="0C53CE8A">
            <w:pPr>
              <w:rPr>
                <w:rFonts w:ascii="Arial"/>
                <w:sz w:val="21"/>
              </w:rPr>
            </w:pPr>
          </w:p>
        </w:tc>
      </w:tr>
      <w:tr w14:paraId="0C8E2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7D6B3035">
            <w:pPr>
              <w:pStyle w:val="6"/>
              <w:spacing w:before="196" w:line="220" w:lineRule="auto"/>
              <w:ind w:left="513"/>
            </w:pPr>
            <w:r>
              <w:rPr>
                <w:spacing w:val="7"/>
              </w:rPr>
              <w:t>计划管理</w:t>
            </w:r>
          </w:p>
        </w:tc>
        <w:tc>
          <w:tcPr>
            <w:tcW w:w="1414" w:type="dxa"/>
            <w:vAlign w:val="top"/>
          </w:tcPr>
          <w:p w14:paraId="5759136A">
            <w:pPr>
              <w:rPr>
                <w:rFonts w:ascii="Arial"/>
                <w:sz w:val="21"/>
              </w:rPr>
            </w:pPr>
          </w:p>
        </w:tc>
        <w:tc>
          <w:tcPr>
            <w:tcW w:w="1131" w:type="dxa"/>
            <w:vAlign w:val="top"/>
          </w:tcPr>
          <w:p w14:paraId="2FA45BC6">
            <w:pPr>
              <w:rPr>
                <w:rFonts w:ascii="Arial"/>
                <w:sz w:val="21"/>
              </w:rPr>
            </w:pPr>
          </w:p>
        </w:tc>
        <w:tc>
          <w:tcPr>
            <w:tcW w:w="1131" w:type="dxa"/>
            <w:vAlign w:val="top"/>
          </w:tcPr>
          <w:p w14:paraId="70A0EE82">
            <w:pPr>
              <w:rPr>
                <w:rFonts w:ascii="Arial"/>
                <w:sz w:val="21"/>
              </w:rPr>
            </w:pPr>
          </w:p>
        </w:tc>
        <w:tc>
          <w:tcPr>
            <w:tcW w:w="4255" w:type="dxa"/>
            <w:tcBorders>
              <w:right w:val="single" w:color="000000" w:sz="10" w:space="0"/>
            </w:tcBorders>
            <w:vAlign w:val="top"/>
          </w:tcPr>
          <w:p w14:paraId="3204831F">
            <w:pPr>
              <w:rPr>
                <w:rFonts w:ascii="Arial"/>
                <w:sz w:val="21"/>
              </w:rPr>
            </w:pPr>
          </w:p>
        </w:tc>
      </w:tr>
      <w:tr w14:paraId="17447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124B8CAF">
            <w:pPr>
              <w:pStyle w:val="6"/>
              <w:spacing w:before="197" w:line="219" w:lineRule="auto"/>
              <w:ind w:left="517"/>
            </w:pPr>
            <w:r>
              <w:rPr>
                <w:spacing w:val="6"/>
              </w:rPr>
              <w:t>安全管理</w:t>
            </w:r>
          </w:p>
        </w:tc>
        <w:tc>
          <w:tcPr>
            <w:tcW w:w="1414" w:type="dxa"/>
            <w:vAlign w:val="top"/>
          </w:tcPr>
          <w:p w14:paraId="12AD2E0F">
            <w:pPr>
              <w:rPr>
                <w:rFonts w:ascii="Arial"/>
                <w:sz w:val="21"/>
              </w:rPr>
            </w:pPr>
          </w:p>
        </w:tc>
        <w:tc>
          <w:tcPr>
            <w:tcW w:w="1131" w:type="dxa"/>
            <w:vAlign w:val="top"/>
          </w:tcPr>
          <w:p w14:paraId="76D2CACB">
            <w:pPr>
              <w:rPr>
                <w:rFonts w:ascii="Arial"/>
                <w:sz w:val="21"/>
              </w:rPr>
            </w:pPr>
          </w:p>
        </w:tc>
        <w:tc>
          <w:tcPr>
            <w:tcW w:w="1131" w:type="dxa"/>
            <w:vAlign w:val="top"/>
          </w:tcPr>
          <w:p w14:paraId="11D54468">
            <w:pPr>
              <w:rPr>
                <w:rFonts w:ascii="Arial"/>
                <w:sz w:val="21"/>
              </w:rPr>
            </w:pPr>
          </w:p>
        </w:tc>
        <w:tc>
          <w:tcPr>
            <w:tcW w:w="4255" w:type="dxa"/>
            <w:tcBorders>
              <w:right w:val="single" w:color="000000" w:sz="10" w:space="0"/>
            </w:tcBorders>
            <w:vAlign w:val="top"/>
          </w:tcPr>
          <w:p w14:paraId="5CADC061">
            <w:pPr>
              <w:rPr>
                <w:rFonts w:ascii="Arial"/>
                <w:sz w:val="21"/>
              </w:rPr>
            </w:pPr>
          </w:p>
        </w:tc>
      </w:tr>
      <w:tr w14:paraId="03B58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restart"/>
            <w:tcBorders>
              <w:left w:val="single" w:color="000000" w:sz="10" w:space="0"/>
              <w:bottom w:val="nil"/>
            </w:tcBorders>
            <w:vAlign w:val="top"/>
          </w:tcPr>
          <w:p w14:paraId="092EDFFD">
            <w:pPr>
              <w:spacing w:line="252" w:lineRule="auto"/>
              <w:rPr>
                <w:rFonts w:ascii="Arial"/>
                <w:sz w:val="21"/>
              </w:rPr>
            </w:pPr>
          </w:p>
          <w:p w14:paraId="42927C97">
            <w:pPr>
              <w:spacing w:line="252" w:lineRule="auto"/>
              <w:rPr>
                <w:rFonts w:ascii="Arial"/>
                <w:sz w:val="21"/>
              </w:rPr>
            </w:pPr>
          </w:p>
          <w:p w14:paraId="2A6E472A">
            <w:pPr>
              <w:spacing w:line="252" w:lineRule="auto"/>
              <w:rPr>
                <w:rFonts w:ascii="Arial"/>
                <w:sz w:val="21"/>
              </w:rPr>
            </w:pPr>
          </w:p>
          <w:p w14:paraId="17A40E18">
            <w:pPr>
              <w:spacing w:line="252" w:lineRule="auto"/>
              <w:rPr>
                <w:rFonts w:ascii="Arial"/>
                <w:sz w:val="21"/>
              </w:rPr>
            </w:pPr>
          </w:p>
          <w:p w14:paraId="5162CAD7">
            <w:pPr>
              <w:spacing w:line="253" w:lineRule="auto"/>
              <w:rPr>
                <w:rFonts w:ascii="Arial"/>
                <w:sz w:val="21"/>
              </w:rPr>
            </w:pPr>
          </w:p>
          <w:p w14:paraId="199A3036">
            <w:pPr>
              <w:pStyle w:val="6"/>
              <w:spacing w:before="65" w:line="228" w:lineRule="auto"/>
              <w:ind w:left="514"/>
            </w:pPr>
            <w:r>
              <w:rPr>
                <w:spacing w:val="7"/>
              </w:rPr>
              <w:t>其他人员</w:t>
            </w:r>
          </w:p>
        </w:tc>
        <w:tc>
          <w:tcPr>
            <w:tcW w:w="1414" w:type="dxa"/>
            <w:vAlign w:val="top"/>
          </w:tcPr>
          <w:p w14:paraId="23F1DCD0">
            <w:pPr>
              <w:rPr>
                <w:rFonts w:ascii="Arial"/>
                <w:sz w:val="21"/>
              </w:rPr>
            </w:pPr>
          </w:p>
        </w:tc>
        <w:tc>
          <w:tcPr>
            <w:tcW w:w="1131" w:type="dxa"/>
            <w:vAlign w:val="top"/>
          </w:tcPr>
          <w:p w14:paraId="5FB3E803">
            <w:pPr>
              <w:rPr>
                <w:rFonts w:ascii="Arial"/>
                <w:sz w:val="21"/>
              </w:rPr>
            </w:pPr>
          </w:p>
        </w:tc>
        <w:tc>
          <w:tcPr>
            <w:tcW w:w="1131" w:type="dxa"/>
            <w:vAlign w:val="top"/>
          </w:tcPr>
          <w:p w14:paraId="098DBB96">
            <w:pPr>
              <w:rPr>
                <w:rFonts w:ascii="Arial"/>
                <w:sz w:val="21"/>
              </w:rPr>
            </w:pPr>
          </w:p>
        </w:tc>
        <w:tc>
          <w:tcPr>
            <w:tcW w:w="4255" w:type="dxa"/>
            <w:tcBorders>
              <w:right w:val="single" w:color="000000" w:sz="10" w:space="0"/>
            </w:tcBorders>
            <w:vAlign w:val="top"/>
          </w:tcPr>
          <w:p w14:paraId="1315EA0B">
            <w:pPr>
              <w:rPr>
                <w:rFonts w:ascii="Arial"/>
                <w:sz w:val="21"/>
              </w:rPr>
            </w:pPr>
          </w:p>
        </w:tc>
      </w:tr>
      <w:tr w14:paraId="56D27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4E3C33D1">
            <w:pPr>
              <w:rPr>
                <w:rFonts w:ascii="Arial"/>
                <w:sz w:val="21"/>
              </w:rPr>
            </w:pPr>
          </w:p>
        </w:tc>
        <w:tc>
          <w:tcPr>
            <w:tcW w:w="1414" w:type="dxa"/>
            <w:vAlign w:val="top"/>
          </w:tcPr>
          <w:p w14:paraId="4B9BACF1">
            <w:pPr>
              <w:rPr>
                <w:rFonts w:ascii="Arial"/>
                <w:sz w:val="21"/>
              </w:rPr>
            </w:pPr>
          </w:p>
        </w:tc>
        <w:tc>
          <w:tcPr>
            <w:tcW w:w="1131" w:type="dxa"/>
            <w:vAlign w:val="top"/>
          </w:tcPr>
          <w:p w14:paraId="02FB8066">
            <w:pPr>
              <w:rPr>
                <w:rFonts w:ascii="Arial"/>
                <w:sz w:val="21"/>
              </w:rPr>
            </w:pPr>
          </w:p>
        </w:tc>
        <w:tc>
          <w:tcPr>
            <w:tcW w:w="1131" w:type="dxa"/>
            <w:vAlign w:val="top"/>
          </w:tcPr>
          <w:p w14:paraId="1ADBF864">
            <w:pPr>
              <w:rPr>
                <w:rFonts w:ascii="Arial"/>
                <w:sz w:val="21"/>
              </w:rPr>
            </w:pPr>
          </w:p>
        </w:tc>
        <w:tc>
          <w:tcPr>
            <w:tcW w:w="4255" w:type="dxa"/>
            <w:tcBorders>
              <w:right w:val="single" w:color="000000" w:sz="10" w:space="0"/>
            </w:tcBorders>
            <w:vAlign w:val="top"/>
          </w:tcPr>
          <w:p w14:paraId="7D435FA9">
            <w:pPr>
              <w:rPr>
                <w:rFonts w:ascii="Arial"/>
                <w:sz w:val="21"/>
              </w:rPr>
            </w:pPr>
          </w:p>
        </w:tc>
      </w:tr>
      <w:tr w14:paraId="1F7430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045E525B">
            <w:pPr>
              <w:rPr>
                <w:rFonts w:ascii="Arial"/>
                <w:sz w:val="21"/>
              </w:rPr>
            </w:pPr>
          </w:p>
        </w:tc>
        <w:tc>
          <w:tcPr>
            <w:tcW w:w="1414" w:type="dxa"/>
            <w:vAlign w:val="top"/>
          </w:tcPr>
          <w:p w14:paraId="150CFFCB">
            <w:pPr>
              <w:rPr>
                <w:rFonts w:ascii="Arial"/>
                <w:sz w:val="21"/>
              </w:rPr>
            </w:pPr>
          </w:p>
        </w:tc>
        <w:tc>
          <w:tcPr>
            <w:tcW w:w="1131" w:type="dxa"/>
            <w:vAlign w:val="top"/>
          </w:tcPr>
          <w:p w14:paraId="2E17FF40">
            <w:pPr>
              <w:rPr>
                <w:rFonts w:ascii="Arial"/>
                <w:sz w:val="21"/>
              </w:rPr>
            </w:pPr>
          </w:p>
        </w:tc>
        <w:tc>
          <w:tcPr>
            <w:tcW w:w="1131" w:type="dxa"/>
            <w:vAlign w:val="top"/>
          </w:tcPr>
          <w:p w14:paraId="1FEDBB56">
            <w:pPr>
              <w:rPr>
                <w:rFonts w:ascii="Arial"/>
                <w:sz w:val="21"/>
              </w:rPr>
            </w:pPr>
          </w:p>
        </w:tc>
        <w:tc>
          <w:tcPr>
            <w:tcW w:w="4255" w:type="dxa"/>
            <w:tcBorders>
              <w:right w:val="single" w:color="000000" w:sz="10" w:space="0"/>
            </w:tcBorders>
            <w:vAlign w:val="top"/>
          </w:tcPr>
          <w:p w14:paraId="0A5D2ACB">
            <w:pPr>
              <w:rPr>
                <w:rFonts w:ascii="Arial"/>
                <w:sz w:val="21"/>
              </w:rPr>
            </w:pPr>
          </w:p>
        </w:tc>
      </w:tr>
      <w:tr w14:paraId="579C4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881" w:type="dxa"/>
            <w:vMerge w:val="continue"/>
            <w:tcBorders>
              <w:top w:val="nil"/>
              <w:left w:val="single" w:color="000000" w:sz="10" w:space="0"/>
              <w:bottom w:val="nil"/>
            </w:tcBorders>
            <w:vAlign w:val="top"/>
          </w:tcPr>
          <w:p w14:paraId="24A973AE">
            <w:pPr>
              <w:rPr>
                <w:rFonts w:ascii="Arial"/>
                <w:sz w:val="21"/>
              </w:rPr>
            </w:pPr>
          </w:p>
        </w:tc>
        <w:tc>
          <w:tcPr>
            <w:tcW w:w="1414" w:type="dxa"/>
            <w:vAlign w:val="top"/>
          </w:tcPr>
          <w:p w14:paraId="0CC1D491">
            <w:pPr>
              <w:rPr>
                <w:rFonts w:ascii="Arial"/>
                <w:sz w:val="21"/>
              </w:rPr>
            </w:pPr>
          </w:p>
        </w:tc>
        <w:tc>
          <w:tcPr>
            <w:tcW w:w="1131" w:type="dxa"/>
            <w:vAlign w:val="top"/>
          </w:tcPr>
          <w:p w14:paraId="1A3FAA58">
            <w:pPr>
              <w:rPr>
                <w:rFonts w:ascii="Arial"/>
                <w:sz w:val="21"/>
              </w:rPr>
            </w:pPr>
          </w:p>
        </w:tc>
        <w:tc>
          <w:tcPr>
            <w:tcW w:w="1131" w:type="dxa"/>
            <w:vAlign w:val="top"/>
          </w:tcPr>
          <w:p w14:paraId="598348E5">
            <w:pPr>
              <w:rPr>
                <w:rFonts w:ascii="Arial"/>
                <w:sz w:val="21"/>
              </w:rPr>
            </w:pPr>
          </w:p>
        </w:tc>
        <w:tc>
          <w:tcPr>
            <w:tcW w:w="4255" w:type="dxa"/>
            <w:tcBorders>
              <w:right w:val="single" w:color="000000" w:sz="10" w:space="0"/>
            </w:tcBorders>
            <w:vAlign w:val="top"/>
          </w:tcPr>
          <w:p w14:paraId="0BDA7D2F">
            <w:pPr>
              <w:rPr>
                <w:rFonts w:ascii="Arial"/>
                <w:sz w:val="21"/>
              </w:rPr>
            </w:pPr>
          </w:p>
        </w:tc>
      </w:tr>
      <w:tr w14:paraId="45FC0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428362BF">
            <w:pPr>
              <w:rPr>
                <w:rFonts w:ascii="Arial"/>
                <w:sz w:val="21"/>
              </w:rPr>
            </w:pPr>
          </w:p>
        </w:tc>
        <w:tc>
          <w:tcPr>
            <w:tcW w:w="1414" w:type="dxa"/>
            <w:vAlign w:val="top"/>
          </w:tcPr>
          <w:p w14:paraId="416D8D26">
            <w:pPr>
              <w:rPr>
                <w:rFonts w:ascii="Arial"/>
                <w:sz w:val="21"/>
              </w:rPr>
            </w:pPr>
          </w:p>
        </w:tc>
        <w:tc>
          <w:tcPr>
            <w:tcW w:w="1131" w:type="dxa"/>
            <w:vAlign w:val="top"/>
          </w:tcPr>
          <w:p w14:paraId="69BA263F">
            <w:pPr>
              <w:rPr>
                <w:rFonts w:ascii="Arial"/>
                <w:sz w:val="21"/>
              </w:rPr>
            </w:pPr>
          </w:p>
        </w:tc>
        <w:tc>
          <w:tcPr>
            <w:tcW w:w="1131" w:type="dxa"/>
            <w:vAlign w:val="top"/>
          </w:tcPr>
          <w:p w14:paraId="728B0155">
            <w:pPr>
              <w:rPr>
                <w:rFonts w:ascii="Arial"/>
                <w:sz w:val="21"/>
              </w:rPr>
            </w:pPr>
          </w:p>
        </w:tc>
        <w:tc>
          <w:tcPr>
            <w:tcW w:w="4255" w:type="dxa"/>
            <w:tcBorders>
              <w:right w:val="single" w:color="000000" w:sz="10" w:space="0"/>
            </w:tcBorders>
            <w:vAlign w:val="top"/>
          </w:tcPr>
          <w:p w14:paraId="36D7E182">
            <w:pPr>
              <w:rPr>
                <w:rFonts w:ascii="Arial"/>
                <w:sz w:val="21"/>
              </w:rPr>
            </w:pPr>
          </w:p>
        </w:tc>
      </w:tr>
      <w:tr w14:paraId="21AB3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881" w:type="dxa"/>
            <w:vMerge w:val="continue"/>
            <w:tcBorders>
              <w:top w:val="nil"/>
              <w:left w:val="single" w:color="000000" w:sz="10" w:space="0"/>
              <w:bottom w:val="single" w:color="000000" w:sz="10" w:space="0"/>
            </w:tcBorders>
            <w:vAlign w:val="top"/>
          </w:tcPr>
          <w:p w14:paraId="6686C9DF">
            <w:pPr>
              <w:rPr>
                <w:rFonts w:ascii="Arial"/>
                <w:sz w:val="21"/>
              </w:rPr>
            </w:pPr>
          </w:p>
        </w:tc>
        <w:tc>
          <w:tcPr>
            <w:tcW w:w="1414" w:type="dxa"/>
            <w:tcBorders>
              <w:bottom w:val="single" w:color="000000" w:sz="10" w:space="0"/>
            </w:tcBorders>
            <w:vAlign w:val="top"/>
          </w:tcPr>
          <w:p w14:paraId="6FC99569">
            <w:pPr>
              <w:rPr>
                <w:rFonts w:ascii="Arial"/>
                <w:sz w:val="21"/>
              </w:rPr>
            </w:pPr>
          </w:p>
        </w:tc>
        <w:tc>
          <w:tcPr>
            <w:tcW w:w="1131" w:type="dxa"/>
            <w:tcBorders>
              <w:bottom w:val="single" w:color="000000" w:sz="10" w:space="0"/>
            </w:tcBorders>
            <w:vAlign w:val="top"/>
          </w:tcPr>
          <w:p w14:paraId="776FC728">
            <w:pPr>
              <w:rPr>
                <w:rFonts w:ascii="Arial"/>
                <w:sz w:val="21"/>
              </w:rPr>
            </w:pPr>
          </w:p>
        </w:tc>
        <w:tc>
          <w:tcPr>
            <w:tcW w:w="1131" w:type="dxa"/>
            <w:tcBorders>
              <w:bottom w:val="single" w:color="000000" w:sz="10" w:space="0"/>
            </w:tcBorders>
            <w:vAlign w:val="top"/>
          </w:tcPr>
          <w:p w14:paraId="7DDA2055">
            <w:pPr>
              <w:rPr>
                <w:rFonts w:ascii="Arial"/>
                <w:sz w:val="21"/>
              </w:rPr>
            </w:pPr>
          </w:p>
        </w:tc>
        <w:tc>
          <w:tcPr>
            <w:tcW w:w="4255" w:type="dxa"/>
            <w:tcBorders>
              <w:bottom w:val="single" w:color="000000" w:sz="10" w:space="0"/>
              <w:right w:val="single" w:color="000000" w:sz="10" w:space="0"/>
            </w:tcBorders>
            <w:vAlign w:val="top"/>
          </w:tcPr>
          <w:p w14:paraId="4E2373CA">
            <w:pPr>
              <w:rPr>
                <w:rFonts w:ascii="Arial"/>
                <w:sz w:val="21"/>
              </w:rPr>
            </w:pPr>
          </w:p>
        </w:tc>
      </w:tr>
    </w:tbl>
    <w:p w14:paraId="241D5091">
      <w:pPr>
        <w:rPr>
          <w:rFonts w:ascii="Arial"/>
          <w:sz w:val="21"/>
        </w:rPr>
      </w:pPr>
    </w:p>
    <w:p w14:paraId="1138F512">
      <w:pPr>
        <w:rPr>
          <w:rFonts w:ascii="Arial" w:hAnsi="Arial" w:eastAsia="Arial" w:cs="Arial"/>
          <w:sz w:val="21"/>
          <w:szCs w:val="21"/>
        </w:rPr>
        <w:sectPr>
          <w:footerReference r:id="rId323" w:type="default"/>
          <w:pgSz w:w="11907" w:h="16840"/>
          <w:pgMar w:top="400" w:right="1063" w:bottom="1038" w:left="1005" w:header="0" w:footer="787" w:gutter="0"/>
          <w:cols w:space="720" w:num="1"/>
        </w:sectPr>
      </w:pPr>
    </w:p>
    <w:p w14:paraId="058F2548">
      <w:pPr>
        <w:spacing w:line="246" w:lineRule="auto"/>
        <w:rPr>
          <w:rFonts w:ascii="Arial"/>
          <w:sz w:val="21"/>
        </w:rPr>
      </w:pPr>
    </w:p>
    <w:p w14:paraId="220DFE7F">
      <w:pPr>
        <w:spacing w:line="246" w:lineRule="auto"/>
        <w:rPr>
          <w:rFonts w:ascii="Arial"/>
          <w:sz w:val="21"/>
        </w:rPr>
      </w:pPr>
    </w:p>
    <w:p w14:paraId="200AA042">
      <w:pPr>
        <w:spacing w:line="246" w:lineRule="auto"/>
        <w:rPr>
          <w:rFonts w:ascii="Arial"/>
          <w:sz w:val="21"/>
        </w:rPr>
      </w:pPr>
    </w:p>
    <w:p w14:paraId="35E05D5F">
      <w:pPr>
        <w:spacing w:line="247" w:lineRule="auto"/>
        <w:rPr>
          <w:rFonts w:ascii="Arial"/>
          <w:sz w:val="21"/>
        </w:rPr>
      </w:pPr>
    </w:p>
    <w:p w14:paraId="773BB9FF">
      <w:pPr>
        <w:spacing w:line="247" w:lineRule="auto"/>
        <w:rPr>
          <w:rFonts w:ascii="Arial"/>
          <w:sz w:val="21"/>
        </w:rPr>
      </w:pPr>
    </w:p>
    <w:p w14:paraId="5C96D636">
      <w:pPr>
        <w:spacing w:line="247" w:lineRule="auto"/>
        <w:rPr>
          <w:rFonts w:ascii="Arial"/>
          <w:sz w:val="21"/>
        </w:rPr>
      </w:pPr>
    </w:p>
    <w:p w14:paraId="698AEB91">
      <w:pPr>
        <w:spacing w:before="78" w:line="219" w:lineRule="auto"/>
        <w:ind w:left="496"/>
        <w:rPr>
          <w:rFonts w:ascii="宋体" w:hAnsi="宋体" w:eastAsia="宋体" w:cs="宋体"/>
          <w:sz w:val="24"/>
          <w:szCs w:val="24"/>
        </w:rPr>
      </w:pPr>
      <w:r>
        <w:rPr>
          <w:rFonts w:ascii="宋体" w:hAnsi="宋体" w:eastAsia="宋体" w:cs="宋体"/>
          <w:spacing w:val="-11"/>
          <w:sz w:val="24"/>
          <w:szCs w:val="24"/>
        </w:rPr>
        <w:t>附件</w:t>
      </w:r>
      <w:r>
        <w:rPr>
          <w:rFonts w:ascii="宋体" w:hAnsi="宋体" w:eastAsia="宋体" w:cs="宋体"/>
          <w:spacing w:val="-45"/>
          <w:sz w:val="24"/>
          <w:szCs w:val="24"/>
        </w:rPr>
        <w:t xml:space="preserve"> </w:t>
      </w:r>
      <w:r>
        <w:rPr>
          <w:rFonts w:ascii="宋体" w:hAnsi="宋体" w:eastAsia="宋体" w:cs="宋体"/>
          <w:spacing w:val="-11"/>
          <w:sz w:val="24"/>
          <w:szCs w:val="24"/>
        </w:rPr>
        <w:t>7：</w:t>
      </w:r>
    </w:p>
    <w:p w14:paraId="063ED3E4">
      <w:pPr>
        <w:pStyle w:val="2"/>
        <w:spacing w:before="241" w:line="222" w:lineRule="auto"/>
        <w:ind w:left="3257"/>
        <w:rPr>
          <w:sz w:val="28"/>
          <w:szCs w:val="28"/>
        </w:rPr>
      </w:pPr>
      <w:r>
        <w:rPr>
          <w:spacing w:val="-2"/>
          <w:sz w:val="28"/>
          <w:szCs w:val="28"/>
        </w:rPr>
        <w:t>分包人主要施工管理人员表</w:t>
      </w:r>
    </w:p>
    <w:p w14:paraId="205DEB2D">
      <w:pPr>
        <w:spacing w:line="111" w:lineRule="exact"/>
      </w:pPr>
    </w:p>
    <w:tbl>
      <w:tblPr>
        <w:tblStyle w:val="5"/>
        <w:tblW w:w="9812"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1"/>
        <w:gridCol w:w="1414"/>
        <w:gridCol w:w="1131"/>
        <w:gridCol w:w="1131"/>
        <w:gridCol w:w="4255"/>
      </w:tblGrid>
      <w:tr w14:paraId="5BF64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1881" w:type="dxa"/>
            <w:tcBorders>
              <w:top w:val="single" w:color="000000" w:sz="10" w:space="0"/>
              <w:left w:val="single" w:color="000000" w:sz="10" w:space="0"/>
            </w:tcBorders>
            <w:vAlign w:val="top"/>
          </w:tcPr>
          <w:p w14:paraId="72C2D52F">
            <w:pPr>
              <w:pStyle w:val="6"/>
              <w:spacing w:before="176" w:line="230" w:lineRule="auto"/>
              <w:ind w:left="516"/>
            </w:pPr>
            <w:r>
              <w:t>名</w:t>
            </w:r>
            <w:r>
              <w:rPr>
                <w:spacing w:val="6"/>
              </w:rPr>
              <w:t xml:space="preserve">    </w:t>
            </w:r>
            <w:r>
              <w:t>称</w:t>
            </w:r>
          </w:p>
        </w:tc>
        <w:tc>
          <w:tcPr>
            <w:tcW w:w="1414" w:type="dxa"/>
            <w:tcBorders>
              <w:top w:val="single" w:color="000000" w:sz="10" w:space="0"/>
            </w:tcBorders>
            <w:vAlign w:val="top"/>
          </w:tcPr>
          <w:p w14:paraId="0537AC73">
            <w:pPr>
              <w:pStyle w:val="6"/>
              <w:spacing w:before="176" w:line="228" w:lineRule="auto"/>
              <w:ind w:left="492"/>
            </w:pPr>
            <w:r>
              <w:rPr>
                <w:spacing w:val="4"/>
              </w:rPr>
              <w:t>姓名</w:t>
            </w:r>
          </w:p>
        </w:tc>
        <w:tc>
          <w:tcPr>
            <w:tcW w:w="1131" w:type="dxa"/>
            <w:tcBorders>
              <w:top w:val="single" w:color="000000" w:sz="10" w:space="0"/>
            </w:tcBorders>
            <w:vAlign w:val="top"/>
          </w:tcPr>
          <w:p w14:paraId="3E8A8E28">
            <w:pPr>
              <w:pStyle w:val="6"/>
              <w:spacing w:before="176" w:line="228" w:lineRule="auto"/>
              <w:ind w:left="356"/>
            </w:pPr>
            <w:r>
              <w:rPr>
                <w:spacing w:val="4"/>
              </w:rPr>
              <w:t>职务</w:t>
            </w:r>
          </w:p>
        </w:tc>
        <w:tc>
          <w:tcPr>
            <w:tcW w:w="1131" w:type="dxa"/>
            <w:tcBorders>
              <w:top w:val="single" w:color="000000" w:sz="10" w:space="0"/>
            </w:tcBorders>
            <w:vAlign w:val="top"/>
          </w:tcPr>
          <w:p w14:paraId="787815C8">
            <w:pPr>
              <w:pStyle w:val="6"/>
              <w:spacing w:before="176" w:line="230" w:lineRule="auto"/>
              <w:ind w:left="360"/>
            </w:pPr>
            <w:r>
              <w:rPr>
                <w:spacing w:val="4"/>
              </w:rPr>
              <w:t>职称</w:t>
            </w:r>
          </w:p>
        </w:tc>
        <w:tc>
          <w:tcPr>
            <w:tcW w:w="4255" w:type="dxa"/>
            <w:tcBorders>
              <w:top w:val="single" w:color="000000" w:sz="10" w:space="0"/>
              <w:right w:val="single" w:color="000000" w:sz="10" w:space="0"/>
            </w:tcBorders>
            <w:vAlign w:val="top"/>
          </w:tcPr>
          <w:p w14:paraId="29CC02C0">
            <w:pPr>
              <w:pStyle w:val="6"/>
              <w:spacing w:before="176" w:line="228" w:lineRule="auto"/>
              <w:ind w:left="663"/>
            </w:pPr>
            <w:r>
              <w:rPr>
                <w:spacing w:val="9"/>
              </w:rPr>
              <w:t>主要资历、经验及承担过的项目</w:t>
            </w:r>
          </w:p>
        </w:tc>
      </w:tr>
      <w:tr w14:paraId="3C16D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9812" w:type="dxa"/>
            <w:gridSpan w:val="5"/>
            <w:tcBorders>
              <w:left w:val="single" w:color="000000" w:sz="10" w:space="0"/>
              <w:right w:val="single" w:color="000000" w:sz="10" w:space="0"/>
            </w:tcBorders>
            <w:vAlign w:val="top"/>
          </w:tcPr>
          <w:p w14:paraId="5D2929F3">
            <w:pPr>
              <w:pStyle w:val="6"/>
              <w:spacing w:before="198" w:line="220" w:lineRule="auto"/>
              <w:ind w:left="4275"/>
            </w:pPr>
            <w:r>
              <w:rPr>
                <w:spacing w:val="7"/>
              </w:rPr>
              <w:t>一、总部人员</w:t>
            </w:r>
          </w:p>
        </w:tc>
      </w:tr>
      <w:tr w14:paraId="2E94A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091E754E">
            <w:pPr>
              <w:pStyle w:val="6"/>
              <w:spacing w:before="197" w:line="219" w:lineRule="auto"/>
              <w:ind w:left="516"/>
            </w:pPr>
            <w:r>
              <w:rPr>
                <w:spacing w:val="6"/>
              </w:rPr>
              <w:t>项目主管</w:t>
            </w:r>
          </w:p>
        </w:tc>
        <w:tc>
          <w:tcPr>
            <w:tcW w:w="1414" w:type="dxa"/>
            <w:vAlign w:val="top"/>
          </w:tcPr>
          <w:p w14:paraId="0FF6AA50">
            <w:pPr>
              <w:rPr>
                <w:rFonts w:ascii="Arial"/>
                <w:sz w:val="21"/>
              </w:rPr>
            </w:pPr>
          </w:p>
        </w:tc>
        <w:tc>
          <w:tcPr>
            <w:tcW w:w="1131" w:type="dxa"/>
            <w:vAlign w:val="top"/>
          </w:tcPr>
          <w:p w14:paraId="1576F19B">
            <w:pPr>
              <w:rPr>
                <w:rFonts w:ascii="Arial"/>
                <w:sz w:val="21"/>
              </w:rPr>
            </w:pPr>
          </w:p>
        </w:tc>
        <w:tc>
          <w:tcPr>
            <w:tcW w:w="1131" w:type="dxa"/>
            <w:vAlign w:val="top"/>
          </w:tcPr>
          <w:p w14:paraId="3A515785">
            <w:pPr>
              <w:rPr>
                <w:rFonts w:ascii="Arial"/>
                <w:sz w:val="21"/>
              </w:rPr>
            </w:pPr>
          </w:p>
        </w:tc>
        <w:tc>
          <w:tcPr>
            <w:tcW w:w="4255" w:type="dxa"/>
            <w:tcBorders>
              <w:right w:val="single" w:color="000000" w:sz="10" w:space="0"/>
            </w:tcBorders>
            <w:vAlign w:val="top"/>
          </w:tcPr>
          <w:p w14:paraId="60E23450">
            <w:pPr>
              <w:rPr>
                <w:rFonts w:ascii="Arial"/>
                <w:sz w:val="21"/>
              </w:rPr>
            </w:pPr>
          </w:p>
        </w:tc>
      </w:tr>
      <w:tr w14:paraId="3E17F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restart"/>
            <w:tcBorders>
              <w:left w:val="single" w:color="000000" w:sz="10" w:space="0"/>
              <w:bottom w:val="nil"/>
            </w:tcBorders>
            <w:vAlign w:val="top"/>
          </w:tcPr>
          <w:p w14:paraId="35DECED5">
            <w:pPr>
              <w:spacing w:line="292" w:lineRule="auto"/>
              <w:rPr>
                <w:rFonts w:ascii="Arial"/>
                <w:sz w:val="21"/>
              </w:rPr>
            </w:pPr>
          </w:p>
          <w:p w14:paraId="71E46D37">
            <w:pPr>
              <w:spacing w:line="292" w:lineRule="auto"/>
              <w:rPr>
                <w:rFonts w:ascii="Arial"/>
                <w:sz w:val="21"/>
              </w:rPr>
            </w:pPr>
          </w:p>
          <w:p w14:paraId="02537381">
            <w:pPr>
              <w:pStyle w:val="6"/>
              <w:spacing w:before="65" w:line="228" w:lineRule="auto"/>
              <w:ind w:left="514"/>
            </w:pPr>
            <w:r>
              <w:rPr>
                <w:spacing w:val="7"/>
              </w:rPr>
              <w:t>其他人员</w:t>
            </w:r>
          </w:p>
        </w:tc>
        <w:tc>
          <w:tcPr>
            <w:tcW w:w="1414" w:type="dxa"/>
            <w:vAlign w:val="top"/>
          </w:tcPr>
          <w:p w14:paraId="1A061F41">
            <w:pPr>
              <w:rPr>
                <w:rFonts w:ascii="Arial"/>
                <w:sz w:val="21"/>
              </w:rPr>
            </w:pPr>
          </w:p>
        </w:tc>
        <w:tc>
          <w:tcPr>
            <w:tcW w:w="1131" w:type="dxa"/>
            <w:vAlign w:val="top"/>
          </w:tcPr>
          <w:p w14:paraId="1634D9AC">
            <w:pPr>
              <w:rPr>
                <w:rFonts w:ascii="Arial"/>
                <w:sz w:val="21"/>
              </w:rPr>
            </w:pPr>
          </w:p>
        </w:tc>
        <w:tc>
          <w:tcPr>
            <w:tcW w:w="1131" w:type="dxa"/>
            <w:vAlign w:val="top"/>
          </w:tcPr>
          <w:p w14:paraId="66E4430E">
            <w:pPr>
              <w:rPr>
                <w:rFonts w:ascii="Arial"/>
                <w:sz w:val="21"/>
              </w:rPr>
            </w:pPr>
          </w:p>
        </w:tc>
        <w:tc>
          <w:tcPr>
            <w:tcW w:w="4255" w:type="dxa"/>
            <w:tcBorders>
              <w:right w:val="single" w:color="000000" w:sz="10" w:space="0"/>
            </w:tcBorders>
            <w:vAlign w:val="top"/>
          </w:tcPr>
          <w:p w14:paraId="13C49F62">
            <w:pPr>
              <w:rPr>
                <w:rFonts w:ascii="Arial"/>
                <w:sz w:val="21"/>
              </w:rPr>
            </w:pPr>
          </w:p>
        </w:tc>
      </w:tr>
      <w:tr w14:paraId="386CC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31E8D2F6">
            <w:pPr>
              <w:rPr>
                <w:rFonts w:ascii="Arial"/>
                <w:sz w:val="21"/>
              </w:rPr>
            </w:pPr>
          </w:p>
        </w:tc>
        <w:tc>
          <w:tcPr>
            <w:tcW w:w="1414" w:type="dxa"/>
            <w:vAlign w:val="top"/>
          </w:tcPr>
          <w:p w14:paraId="60EA4FEA">
            <w:pPr>
              <w:rPr>
                <w:rFonts w:ascii="Arial"/>
                <w:sz w:val="21"/>
              </w:rPr>
            </w:pPr>
          </w:p>
        </w:tc>
        <w:tc>
          <w:tcPr>
            <w:tcW w:w="1131" w:type="dxa"/>
            <w:vAlign w:val="top"/>
          </w:tcPr>
          <w:p w14:paraId="2CB230C9">
            <w:pPr>
              <w:rPr>
                <w:rFonts w:ascii="Arial"/>
                <w:sz w:val="21"/>
              </w:rPr>
            </w:pPr>
          </w:p>
        </w:tc>
        <w:tc>
          <w:tcPr>
            <w:tcW w:w="1131" w:type="dxa"/>
            <w:vAlign w:val="top"/>
          </w:tcPr>
          <w:p w14:paraId="1B1530C5">
            <w:pPr>
              <w:rPr>
                <w:rFonts w:ascii="Arial"/>
                <w:sz w:val="21"/>
              </w:rPr>
            </w:pPr>
          </w:p>
        </w:tc>
        <w:tc>
          <w:tcPr>
            <w:tcW w:w="4255" w:type="dxa"/>
            <w:tcBorders>
              <w:right w:val="single" w:color="000000" w:sz="10" w:space="0"/>
            </w:tcBorders>
            <w:vAlign w:val="top"/>
          </w:tcPr>
          <w:p w14:paraId="76531C4A">
            <w:pPr>
              <w:rPr>
                <w:rFonts w:ascii="Arial"/>
                <w:sz w:val="21"/>
              </w:rPr>
            </w:pPr>
          </w:p>
        </w:tc>
      </w:tr>
      <w:tr w14:paraId="3CB9E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tcBorders>
            <w:vAlign w:val="top"/>
          </w:tcPr>
          <w:p w14:paraId="2A060767">
            <w:pPr>
              <w:rPr>
                <w:rFonts w:ascii="Arial"/>
                <w:sz w:val="21"/>
              </w:rPr>
            </w:pPr>
          </w:p>
        </w:tc>
        <w:tc>
          <w:tcPr>
            <w:tcW w:w="1414" w:type="dxa"/>
            <w:vAlign w:val="top"/>
          </w:tcPr>
          <w:p w14:paraId="4F6EA216">
            <w:pPr>
              <w:rPr>
                <w:rFonts w:ascii="Arial"/>
                <w:sz w:val="21"/>
              </w:rPr>
            </w:pPr>
          </w:p>
        </w:tc>
        <w:tc>
          <w:tcPr>
            <w:tcW w:w="1131" w:type="dxa"/>
            <w:vAlign w:val="top"/>
          </w:tcPr>
          <w:p w14:paraId="06FF72B9">
            <w:pPr>
              <w:rPr>
                <w:rFonts w:ascii="Arial"/>
                <w:sz w:val="21"/>
              </w:rPr>
            </w:pPr>
          </w:p>
        </w:tc>
        <w:tc>
          <w:tcPr>
            <w:tcW w:w="1131" w:type="dxa"/>
            <w:vAlign w:val="top"/>
          </w:tcPr>
          <w:p w14:paraId="1AFB4A14">
            <w:pPr>
              <w:rPr>
                <w:rFonts w:ascii="Arial"/>
                <w:sz w:val="21"/>
              </w:rPr>
            </w:pPr>
          </w:p>
        </w:tc>
        <w:tc>
          <w:tcPr>
            <w:tcW w:w="4255" w:type="dxa"/>
            <w:tcBorders>
              <w:right w:val="single" w:color="000000" w:sz="10" w:space="0"/>
            </w:tcBorders>
            <w:vAlign w:val="top"/>
          </w:tcPr>
          <w:p w14:paraId="18FB012D">
            <w:pPr>
              <w:rPr>
                <w:rFonts w:ascii="Arial"/>
                <w:sz w:val="21"/>
              </w:rPr>
            </w:pPr>
          </w:p>
        </w:tc>
      </w:tr>
      <w:tr w14:paraId="339A6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812" w:type="dxa"/>
            <w:gridSpan w:val="5"/>
            <w:tcBorders>
              <w:left w:val="single" w:color="000000" w:sz="10" w:space="0"/>
              <w:right w:val="single" w:color="000000" w:sz="10" w:space="0"/>
            </w:tcBorders>
            <w:vAlign w:val="top"/>
          </w:tcPr>
          <w:p w14:paraId="1D7C7AF8">
            <w:pPr>
              <w:pStyle w:val="6"/>
              <w:spacing w:before="196" w:line="220" w:lineRule="auto"/>
              <w:ind w:left="4275"/>
            </w:pPr>
            <w:r>
              <w:rPr>
                <w:spacing w:val="7"/>
              </w:rPr>
              <w:t>二、现场人员</w:t>
            </w:r>
          </w:p>
        </w:tc>
      </w:tr>
      <w:tr w14:paraId="6F736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466BF414">
            <w:pPr>
              <w:pStyle w:val="6"/>
              <w:spacing w:before="197" w:line="219" w:lineRule="auto"/>
              <w:ind w:left="516"/>
            </w:pPr>
            <w:r>
              <w:rPr>
                <w:spacing w:val="6"/>
              </w:rPr>
              <w:t>项目经理</w:t>
            </w:r>
          </w:p>
        </w:tc>
        <w:tc>
          <w:tcPr>
            <w:tcW w:w="1414" w:type="dxa"/>
            <w:vAlign w:val="top"/>
          </w:tcPr>
          <w:p w14:paraId="6B814BF6">
            <w:pPr>
              <w:rPr>
                <w:rFonts w:ascii="Arial"/>
                <w:sz w:val="21"/>
              </w:rPr>
            </w:pPr>
          </w:p>
        </w:tc>
        <w:tc>
          <w:tcPr>
            <w:tcW w:w="1131" w:type="dxa"/>
            <w:vAlign w:val="top"/>
          </w:tcPr>
          <w:p w14:paraId="166C7A3E">
            <w:pPr>
              <w:rPr>
                <w:rFonts w:ascii="Arial"/>
                <w:sz w:val="21"/>
              </w:rPr>
            </w:pPr>
          </w:p>
        </w:tc>
        <w:tc>
          <w:tcPr>
            <w:tcW w:w="1131" w:type="dxa"/>
            <w:vAlign w:val="top"/>
          </w:tcPr>
          <w:p w14:paraId="49DB9970">
            <w:pPr>
              <w:rPr>
                <w:rFonts w:ascii="Arial"/>
                <w:sz w:val="21"/>
              </w:rPr>
            </w:pPr>
          </w:p>
        </w:tc>
        <w:tc>
          <w:tcPr>
            <w:tcW w:w="4255" w:type="dxa"/>
            <w:tcBorders>
              <w:right w:val="single" w:color="000000" w:sz="10" w:space="0"/>
            </w:tcBorders>
            <w:vAlign w:val="top"/>
          </w:tcPr>
          <w:p w14:paraId="2E9DD26A">
            <w:pPr>
              <w:rPr>
                <w:rFonts w:ascii="Arial"/>
                <w:sz w:val="21"/>
              </w:rPr>
            </w:pPr>
          </w:p>
        </w:tc>
      </w:tr>
      <w:tr w14:paraId="7C0C7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36FAAD4C">
            <w:pPr>
              <w:pStyle w:val="6"/>
              <w:spacing w:before="196" w:line="220" w:lineRule="auto"/>
              <w:ind w:left="411"/>
            </w:pPr>
            <w:r>
              <w:rPr>
                <w:spacing w:val="7"/>
              </w:rPr>
              <w:t>项目副经理</w:t>
            </w:r>
          </w:p>
        </w:tc>
        <w:tc>
          <w:tcPr>
            <w:tcW w:w="1414" w:type="dxa"/>
            <w:vAlign w:val="top"/>
          </w:tcPr>
          <w:p w14:paraId="320B5655">
            <w:pPr>
              <w:rPr>
                <w:rFonts w:ascii="Arial"/>
                <w:sz w:val="21"/>
              </w:rPr>
            </w:pPr>
          </w:p>
        </w:tc>
        <w:tc>
          <w:tcPr>
            <w:tcW w:w="1131" w:type="dxa"/>
            <w:vAlign w:val="top"/>
          </w:tcPr>
          <w:p w14:paraId="6BB74B84">
            <w:pPr>
              <w:rPr>
                <w:rFonts w:ascii="Arial"/>
                <w:sz w:val="21"/>
              </w:rPr>
            </w:pPr>
          </w:p>
        </w:tc>
        <w:tc>
          <w:tcPr>
            <w:tcW w:w="1131" w:type="dxa"/>
            <w:vAlign w:val="top"/>
          </w:tcPr>
          <w:p w14:paraId="01B491FC">
            <w:pPr>
              <w:rPr>
                <w:rFonts w:ascii="Arial"/>
                <w:sz w:val="21"/>
              </w:rPr>
            </w:pPr>
          </w:p>
        </w:tc>
        <w:tc>
          <w:tcPr>
            <w:tcW w:w="4255" w:type="dxa"/>
            <w:tcBorders>
              <w:right w:val="single" w:color="000000" w:sz="10" w:space="0"/>
            </w:tcBorders>
            <w:vAlign w:val="top"/>
          </w:tcPr>
          <w:p w14:paraId="5E718C5B">
            <w:pPr>
              <w:rPr>
                <w:rFonts w:ascii="Arial"/>
                <w:sz w:val="21"/>
              </w:rPr>
            </w:pPr>
          </w:p>
        </w:tc>
      </w:tr>
      <w:tr w14:paraId="085F3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5F2A151A">
            <w:pPr>
              <w:pStyle w:val="6"/>
              <w:spacing w:before="197" w:line="219" w:lineRule="auto"/>
              <w:ind w:left="408"/>
            </w:pPr>
            <w:r>
              <w:rPr>
                <w:spacing w:val="7"/>
              </w:rPr>
              <w:t>技术负责人</w:t>
            </w:r>
          </w:p>
        </w:tc>
        <w:tc>
          <w:tcPr>
            <w:tcW w:w="1414" w:type="dxa"/>
            <w:vAlign w:val="top"/>
          </w:tcPr>
          <w:p w14:paraId="218B5BEB">
            <w:pPr>
              <w:rPr>
                <w:rFonts w:ascii="Arial"/>
                <w:sz w:val="21"/>
              </w:rPr>
            </w:pPr>
          </w:p>
        </w:tc>
        <w:tc>
          <w:tcPr>
            <w:tcW w:w="1131" w:type="dxa"/>
            <w:vAlign w:val="top"/>
          </w:tcPr>
          <w:p w14:paraId="1EF51BA1">
            <w:pPr>
              <w:rPr>
                <w:rFonts w:ascii="Arial"/>
                <w:sz w:val="21"/>
              </w:rPr>
            </w:pPr>
          </w:p>
        </w:tc>
        <w:tc>
          <w:tcPr>
            <w:tcW w:w="1131" w:type="dxa"/>
            <w:vAlign w:val="top"/>
          </w:tcPr>
          <w:p w14:paraId="1E8200F1">
            <w:pPr>
              <w:rPr>
                <w:rFonts w:ascii="Arial"/>
                <w:sz w:val="21"/>
              </w:rPr>
            </w:pPr>
          </w:p>
        </w:tc>
        <w:tc>
          <w:tcPr>
            <w:tcW w:w="4255" w:type="dxa"/>
            <w:tcBorders>
              <w:right w:val="single" w:color="000000" w:sz="10" w:space="0"/>
            </w:tcBorders>
            <w:vAlign w:val="top"/>
          </w:tcPr>
          <w:p w14:paraId="4F1C4C46">
            <w:pPr>
              <w:rPr>
                <w:rFonts w:ascii="Arial"/>
                <w:sz w:val="21"/>
              </w:rPr>
            </w:pPr>
          </w:p>
        </w:tc>
      </w:tr>
      <w:tr w14:paraId="3D589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6C7188EA">
            <w:pPr>
              <w:pStyle w:val="6"/>
              <w:spacing w:before="196" w:line="220" w:lineRule="auto"/>
              <w:ind w:left="512"/>
            </w:pPr>
            <w:r>
              <w:rPr>
                <w:spacing w:val="7"/>
              </w:rPr>
              <w:t>造价管理</w:t>
            </w:r>
          </w:p>
        </w:tc>
        <w:tc>
          <w:tcPr>
            <w:tcW w:w="1414" w:type="dxa"/>
            <w:vAlign w:val="top"/>
          </w:tcPr>
          <w:p w14:paraId="5D1255B4">
            <w:pPr>
              <w:rPr>
                <w:rFonts w:ascii="Arial"/>
                <w:sz w:val="21"/>
              </w:rPr>
            </w:pPr>
          </w:p>
        </w:tc>
        <w:tc>
          <w:tcPr>
            <w:tcW w:w="1131" w:type="dxa"/>
            <w:vAlign w:val="top"/>
          </w:tcPr>
          <w:p w14:paraId="055D26D2">
            <w:pPr>
              <w:rPr>
                <w:rFonts w:ascii="Arial"/>
                <w:sz w:val="21"/>
              </w:rPr>
            </w:pPr>
          </w:p>
        </w:tc>
        <w:tc>
          <w:tcPr>
            <w:tcW w:w="1131" w:type="dxa"/>
            <w:vAlign w:val="top"/>
          </w:tcPr>
          <w:p w14:paraId="31AD6BA1">
            <w:pPr>
              <w:rPr>
                <w:rFonts w:ascii="Arial"/>
                <w:sz w:val="21"/>
              </w:rPr>
            </w:pPr>
          </w:p>
        </w:tc>
        <w:tc>
          <w:tcPr>
            <w:tcW w:w="4255" w:type="dxa"/>
            <w:tcBorders>
              <w:right w:val="single" w:color="000000" w:sz="10" w:space="0"/>
            </w:tcBorders>
            <w:vAlign w:val="top"/>
          </w:tcPr>
          <w:p w14:paraId="5ABB37EC">
            <w:pPr>
              <w:rPr>
                <w:rFonts w:ascii="Arial"/>
                <w:sz w:val="21"/>
              </w:rPr>
            </w:pPr>
          </w:p>
        </w:tc>
      </w:tr>
      <w:tr w14:paraId="7AD9F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5F6C2C1A">
            <w:pPr>
              <w:pStyle w:val="6"/>
              <w:spacing w:before="197" w:line="219" w:lineRule="auto"/>
              <w:ind w:left="514"/>
            </w:pPr>
            <w:r>
              <w:rPr>
                <w:spacing w:val="7"/>
              </w:rPr>
              <w:t>质量管理</w:t>
            </w:r>
          </w:p>
        </w:tc>
        <w:tc>
          <w:tcPr>
            <w:tcW w:w="1414" w:type="dxa"/>
            <w:vAlign w:val="top"/>
          </w:tcPr>
          <w:p w14:paraId="3F3603B1">
            <w:pPr>
              <w:rPr>
                <w:rFonts w:ascii="Arial"/>
                <w:sz w:val="21"/>
              </w:rPr>
            </w:pPr>
          </w:p>
        </w:tc>
        <w:tc>
          <w:tcPr>
            <w:tcW w:w="1131" w:type="dxa"/>
            <w:vAlign w:val="top"/>
          </w:tcPr>
          <w:p w14:paraId="760DA649">
            <w:pPr>
              <w:rPr>
                <w:rFonts w:ascii="Arial"/>
                <w:sz w:val="21"/>
              </w:rPr>
            </w:pPr>
          </w:p>
        </w:tc>
        <w:tc>
          <w:tcPr>
            <w:tcW w:w="1131" w:type="dxa"/>
            <w:vAlign w:val="top"/>
          </w:tcPr>
          <w:p w14:paraId="228F7E0F">
            <w:pPr>
              <w:rPr>
                <w:rFonts w:ascii="Arial"/>
                <w:sz w:val="21"/>
              </w:rPr>
            </w:pPr>
          </w:p>
        </w:tc>
        <w:tc>
          <w:tcPr>
            <w:tcW w:w="4255" w:type="dxa"/>
            <w:tcBorders>
              <w:right w:val="single" w:color="000000" w:sz="10" w:space="0"/>
            </w:tcBorders>
            <w:vAlign w:val="top"/>
          </w:tcPr>
          <w:p w14:paraId="71F14386">
            <w:pPr>
              <w:rPr>
                <w:rFonts w:ascii="Arial"/>
                <w:sz w:val="21"/>
              </w:rPr>
            </w:pPr>
          </w:p>
        </w:tc>
      </w:tr>
      <w:tr w14:paraId="41306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441E91B3">
            <w:pPr>
              <w:pStyle w:val="6"/>
              <w:spacing w:before="197" w:line="219" w:lineRule="auto"/>
              <w:ind w:left="513"/>
            </w:pPr>
            <w:r>
              <w:rPr>
                <w:spacing w:val="7"/>
              </w:rPr>
              <w:t>材料管理</w:t>
            </w:r>
          </w:p>
        </w:tc>
        <w:tc>
          <w:tcPr>
            <w:tcW w:w="1414" w:type="dxa"/>
            <w:vAlign w:val="top"/>
          </w:tcPr>
          <w:p w14:paraId="056D4117">
            <w:pPr>
              <w:rPr>
                <w:rFonts w:ascii="Arial"/>
                <w:sz w:val="21"/>
              </w:rPr>
            </w:pPr>
          </w:p>
        </w:tc>
        <w:tc>
          <w:tcPr>
            <w:tcW w:w="1131" w:type="dxa"/>
            <w:vAlign w:val="top"/>
          </w:tcPr>
          <w:p w14:paraId="7A230300">
            <w:pPr>
              <w:rPr>
                <w:rFonts w:ascii="Arial"/>
                <w:sz w:val="21"/>
              </w:rPr>
            </w:pPr>
          </w:p>
        </w:tc>
        <w:tc>
          <w:tcPr>
            <w:tcW w:w="1131" w:type="dxa"/>
            <w:vAlign w:val="top"/>
          </w:tcPr>
          <w:p w14:paraId="4D23EB98">
            <w:pPr>
              <w:rPr>
                <w:rFonts w:ascii="Arial"/>
                <w:sz w:val="21"/>
              </w:rPr>
            </w:pPr>
          </w:p>
        </w:tc>
        <w:tc>
          <w:tcPr>
            <w:tcW w:w="4255" w:type="dxa"/>
            <w:tcBorders>
              <w:right w:val="single" w:color="000000" w:sz="10" w:space="0"/>
            </w:tcBorders>
            <w:vAlign w:val="top"/>
          </w:tcPr>
          <w:p w14:paraId="42D6315C">
            <w:pPr>
              <w:rPr>
                <w:rFonts w:ascii="Arial"/>
                <w:sz w:val="21"/>
              </w:rPr>
            </w:pPr>
          </w:p>
        </w:tc>
      </w:tr>
      <w:tr w14:paraId="25E80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04CA72FE">
            <w:pPr>
              <w:pStyle w:val="6"/>
              <w:spacing w:before="196" w:line="220" w:lineRule="auto"/>
              <w:ind w:left="513"/>
            </w:pPr>
            <w:r>
              <w:rPr>
                <w:spacing w:val="7"/>
              </w:rPr>
              <w:t>计划管理</w:t>
            </w:r>
          </w:p>
        </w:tc>
        <w:tc>
          <w:tcPr>
            <w:tcW w:w="1414" w:type="dxa"/>
            <w:vAlign w:val="top"/>
          </w:tcPr>
          <w:p w14:paraId="6CF78BDC">
            <w:pPr>
              <w:rPr>
                <w:rFonts w:ascii="Arial"/>
                <w:sz w:val="21"/>
              </w:rPr>
            </w:pPr>
          </w:p>
        </w:tc>
        <w:tc>
          <w:tcPr>
            <w:tcW w:w="1131" w:type="dxa"/>
            <w:vAlign w:val="top"/>
          </w:tcPr>
          <w:p w14:paraId="6FC95D71">
            <w:pPr>
              <w:rPr>
                <w:rFonts w:ascii="Arial"/>
                <w:sz w:val="21"/>
              </w:rPr>
            </w:pPr>
          </w:p>
        </w:tc>
        <w:tc>
          <w:tcPr>
            <w:tcW w:w="1131" w:type="dxa"/>
            <w:vAlign w:val="top"/>
          </w:tcPr>
          <w:p w14:paraId="1E6CCA5D">
            <w:pPr>
              <w:rPr>
                <w:rFonts w:ascii="Arial"/>
                <w:sz w:val="21"/>
              </w:rPr>
            </w:pPr>
          </w:p>
        </w:tc>
        <w:tc>
          <w:tcPr>
            <w:tcW w:w="4255" w:type="dxa"/>
            <w:tcBorders>
              <w:right w:val="single" w:color="000000" w:sz="10" w:space="0"/>
            </w:tcBorders>
            <w:vAlign w:val="top"/>
          </w:tcPr>
          <w:p w14:paraId="0B003BE9">
            <w:pPr>
              <w:rPr>
                <w:rFonts w:ascii="Arial"/>
                <w:sz w:val="21"/>
              </w:rPr>
            </w:pPr>
          </w:p>
        </w:tc>
      </w:tr>
      <w:tr w14:paraId="1181F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24CE7D75">
            <w:pPr>
              <w:pStyle w:val="6"/>
              <w:spacing w:before="197" w:line="219" w:lineRule="auto"/>
              <w:ind w:left="517"/>
            </w:pPr>
            <w:r>
              <w:rPr>
                <w:spacing w:val="6"/>
              </w:rPr>
              <w:t>安全管理</w:t>
            </w:r>
          </w:p>
        </w:tc>
        <w:tc>
          <w:tcPr>
            <w:tcW w:w="1414" w:type="dxa"/>
            <w:vAlign w:val="top"/>
          </w:tcPr>
          <w:p w14:paraId="21630ECC">
            <w:pPr>
              <w:rPr>
                <w:rFonts w:ascii="Arial"/>
                <w:sz w:val="21"/>
              </w:rPr>
            </w:pPr>
          </w:p>
        </w:tc>
        <w:tc>
          <w:tcPr>
            <w:tcW w:w="1131" w:type="dxa"/>
            <w:vAlign w:val="top"/>
          </w:tcPr>
          <w:p w14:paraId="59B3418D">
            <w:pPr>
              <w:rPr>
                <w:rFonts w:ascii="Arial"/>
                <w:sz w:val="21"/>
              </w:rPr>
            </w:pPr>
          </w:p>
        </w:tc>
        <w:tc>
          <w:tcPr>
            <w:tcW w:w="1131" w:type="dxa"/>
            <w:vAlign w:val="top"/>
          </w:tcPr>
          <w:p w14:paraId="768487A6">
            <w:pPr>
              <w:rPr>
                <w:rFonts w:ascii="Arial"/>
                <w:sz w:val="21"/>
              </w:rPr>
            </w:pPr>
          </w:p>
        </w:tc>
        <w:tc>
          <w:tcPr>
            <w:tcW w:w="4255" w:type="dxa"/>
            <w:tcBorders>
              <w:right w:val="single" w:color="000000" w:sz="10" w:space="0"/>
            </w:tcBorders>
            <w:vAlign w:val="top"/>
          </w:tcPr>
          <w:p w14:paraId="0BDB056F">
            <w:pPr>
              <w:rPr>
                <w:rFonts w:ascii="Arial"/>
                <w:sz w:val="21"/>
              </w:rPr>
            </w:pPr>
          </w:p>
        </w:tc>
      </w:tr>
      <w:tr w14:paraId="3071D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restart"/>
            <w:tcBorders>
              <w:left w:val="single" w:color="000000" w:sz="10" w:space="0"/>
              <w:bottom w:val="nil"/>
            </w:tcBorders>
            <w:vAlign w:val="top"/>
          </w:tcPr>
          <w:p w14:paraId="7B915D63">
            <w:pPr>
              <w:spacing w:line="252" w:lineRule="auto"/>
              <w:rPr>
                <w:rFonts w:ascii="Arial"/>
                <w:sz w:val="21"/>
              </w:rPr>
            </w:pPr>
          </w:p>
          <w:p w14:paraId="15038834">
            <w:pPr>
              <w:spacing w:line="252" w:lineRule="auto"/>
              <w:rPr>
                <w:rFonts w:ascii="Arial"/>
                <w:sz w:val="21"/>
              </w:rPr>
            </w:pPr>
          </w:p>
          <w:p w14:paraId="33837A58">
            <w:pPr>
              <w:spacing w:line="252" w:lineRule="auto"/>
              <w:rPr>
                <w:rFonts w:ascii="Arial"/>
                <w:sz w:val="21"/>
              </w:rPr>
            </w:pPr>
          </w:p>
          <w:p w14:paraId="1EA102C2">
            <w:pPr>
              <w:spacing w:line="252" w:lineRule="auto"/>
              <w:rPr>
                <w:rFonts w:ascii="Arial"/>
                <w:sz w:val="21"/>
              </w:rPr>
            </w:pPr>
          </w:p>
          <w:p w14:paraId="0CB4FE91">
            <w:pPr>
              <w:spacing w:line="253" w:lineRule="auto"/>
              <w:rPr>
                <w:rFonts w:ascii="Arial"/>
                <w:sz w:val="21"/>
              </w:rPr>
            </w:pPr>
          </w:p>
          <w:p w14:paraId="7C01DFA6">
            <w:pPr>
              <w:pStyle w:val="6"/>
              <w:spacing w:before="65" w:line="228" w:lineRule="auto"/>
              <w:ind w:left="514"/>
            </w:pPr>
            <w:r>
              <w:rPr>
                <w:spacing w:val="7"/>
              </w:rPr>
              <w:t>其他人员</w:t>
            </w:r>
          </w:p>
        </w:tc>
        <w:tc>
          <w:tcPr>
            <w:tcW w:w="1414" w:type="dxa"/>
            <w:vAlign w:val="top"/>
          </w:tcPr>
          <w:p w14:paraId="6D7A8847">
            <w:pPr>
              <w:rPr>
                <w:rFonts w:ascii="Arial"/>
                <w:sz w:val="21"/>
              </w:rPr>
            </w:pPr>
          </w:p>
        </w:tc>
        <w:tc>
          <w:tcPr>
            <w:tcW w:w="1131" w:type="dxa"/>
            <w:vAlign w:val="top"/>
          </w:tcPr>
          <w:p w14:paraId="1A1A53DF">
            <w:pPr>
              <w:rPr>
                <w:rFonts w:ascii="Arial"/>
                <w:sz w:val="21"/>
              </w:rPr>
            </w:pPr>
          </w:p>
        </w:tc>
        <w:tc>
          <w:tcPr>
            <w:tcW w:w="1131" w:type="dxa"/>
            <w:vAlign w:val="top"/>
          </w:tcPr>
          <w:p w14:paraId="7CF3EDB2">
            <w:pPr>
              <w:rPr>
                <w:rFonts w:ascii="Arial"/>
                <w:sz w:val="21"/>
              </w:rPr>
            </w:pPr>
          </w:p>
        </w:tc>
        <w:tc>
          <w:tcPr>
            <w:tcW w:w="4255" w:type="dxa"/>
            <w:tcBorders>
              <w:right w:val="single" w:color="000000" w:sz="10" w:space="0"/>
            </w:tcBorders>
            <w:vAlign w:val="top"/>
          </w:tcPr>
          <w:p w14:paraId="51211DEE">
            <w:pPr>
              <w:rPr>
                <w:rFonts w:ascii="Arial"/>
                <w:sz w:val="21"/>
              </w:rPr>
            </w:pPr>
          </w:p>
        </w:tc>
      </w:tr>
      <w:tr w14:paraId="78749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00A3232B">
            <w:pPr>
              <w:rPr>
                <w:rFonts w:ascii="Arial"/>
                <w:sz w:val="21"/>
              </w:rPr>
            </w:pPr>
          </w:p>
        </w:tc>
        <w:tc>
          <w:tcPr>
            <w:tcW w:w="1414" w:type="dxa"/>
            <w:vAlign w:val="top"/>
          </w:tcPr>
          <w:p w14:paraId="6D2FA58C">
            <w:pPr>
              <w:rPr>
                <w:rFonts w:ascii="Arial"/>
                <w:sz w:val="21"/>
              </w:rPr>
            </w:pPr>
          </w:p>
        </w:tc>
        <w:tc>
          <w:tcPr>
            <w:tcW w:w="1131" w:type="dxa"/>
            <w:vAlign w:val="top"/>
          </w:tcPr>
          <w:p w14:paraId="6BB871CB">
            <w:pPr>
              <w:rPr>
                <w:rFonts w:ascii="Arial"/>
                <w:sz w:val="21"/>
              </w:rPr>
            </w:pPr>
          </w:p>
        </w:tc>
        <w:tc>
          <w:tcPr>
            <w:tcW w:w="1131" w:type="dxa"/>
            <w:vAlign w:val="top"/>
          </w:tcPr>
          <w:p w14:paraId="4F51F03C">
            <w:pPr>
              <w:rPr>
                <w:rFonts w:ascii="Arial"/>
                <w:sz w:val="21"/>
              </w:rPr>
            </w:pPr>
          </w:p>
        </w:tc>
        <w:tc>
          <w:tcPr>
            <w:tcW w:w="4255" w:type="dxa"/>
            <w:tcBorders>
              <w:right w:val="single" w:color="000000" w:sz="10" w:space="0"/>
            </w:tcBorders>
            <w:vAlign w:val="top"/>
          </w:tcPr>
          <w:p w14:paraId="0306CA7B">
            <w:pPr>
              <w:rPr>
                <w:rFonts w:ascii="Arial"/>
                <w:sz w:val="21"/>
              </w:rPr>
            </w:pPr>
          </w:p>
        </w:tc>
      </w:tr>
      <w:tr w14:paraId="059261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102F1454">
            <w:pPr>
              <w:rPr>
                <w:rFonts w:ascii="Arial"/>
                <w:sz w:val="21"/>
              </w:rPr>
            </w:pPr>
          </w:p>
        </w:tc>
        <w:tc>
          <w:tcPr>
            <w:tcW w:w="1414" w:type="dxa"/>
            <w:vAlign w:val="top"/>
          </w:tcPr>
          <w:p w14:paraId="02DD5235">
            <w:pPr>
              <w:rPr>
                <w:rFonts w:ascii="Arial"/>
                <w:sz w:val="21"/>
              </w:rPr>
            </w:pPr>
          </w:p>
        </w:tc>
        <w:tc>
          <w:tcPr>
            <w:tcW w:w="1131" w:type="dxa"/>
            <w:vAlign w:val="top"/>
          </w:tcPr>
          <w:p w14:paraId="3B0C22A0">
            <w:pPr>
              <w:rPr>
                <w:rFonts w:ascii="Arial"/>
                <w:sz w:val="21"/>
              </w:rPr>
            </w:pPr>
          </w:p>
        </w:tc>
        <w:tc>
          <w:tcPr>
            <w:tcW w:w="1131" w:type="dxa"/>
            <w:vAlign w:val="top"/>
          </w:tcPr>
          <w:p w14:paraId="22BCEC06">
            <w:pPr>
              <w:rPr>
                <w:rFonts w:ascii="Arial"/>
                <w:sz w:val="21"/>
              </w:rPr>
            </w:pPr>
          </w:p>
        </w:tc>
        <w:tc>
          <w:tcPr>
            <w:tcW w:w="4255" w:type="dxa"/>
            <w:tcBorders>
              <w:right w:val="single" w:color="000000" w:sz="10" w:space="0"/>
            </w:tcBorders>
            <w:vAlign w:val="top"/>
          </w:tcPr>
          <w:p w14:paraId="56A2ADB2">
            <w:pPr>
              <w:rPr>
                <w:rFonts w:ascii="Arial"/>
                <w:sz w:val="21"/>
              </w:rPr>
            </w:pPr>
          </w:p>
        </w:tc>
      </w:tr>
      <w:tr w14:paraId="75A09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881" w:type="dxa"/>
            <w:vMerge w:val="continue"/>
            <w:tcBorders>
              <w:top w:val="nil"/>
              <w:left w:val="single" w:color="000000" w:sz="10" w:space="0"/>
              <w:bottom w:val="nil"/>
            </w:tcBorders>
            <w:vAlign w:val="top"/>
          </w:tcPr>
          <w:p w14:paraId="032EDF34">
            <w:pPr>
              <w:rPr>
                <w:rFonts w:ascii="Arial"/>
                <w:sz w:val="21"/>
              </w:rPr>
            </w:pPr>
          </w:p>
        </w:tc>
        <w:tc>
          <w:tcPr>
            <w:tcW w:w="1414" w:type="dxa"/>
            <w:vAlign w:val="top"/>
          </w:tcPr>
          <w:p w14:paraId="4DB54AC4">
            <w:pPr>
              <w:rPr>
                <w:rFonts w:ascii="Arial"/>
                <w:sz w:val="21"/>
              </w:rPr>
            </w:pPr>
          </w:p>
        </w:tc>
        <w:tc>
          <w:tcPr>
            <w:tcW w:w="1131" w:type="dxa"/>
            <w:vAlign w:val="top"/>
          </w:tcPr>
          <w:p w14:paraId="3F621F7A">
            <w:pPr>
              <w:rPr>
                <w:rFonts w:ascii="Arial"/>
                <w:sz w:val="21"/>
              </w:rPr>
            </w:pPr>
          </w:p>
        </w:tc>
        <w:tc>
          <w:tcPr>
            <w:tcW w:w="1131" w:type="dxa"/>
            <w:vAlign w:val="top"/>
          </w:tcPr>
          <w:p w14:paraId="4307276A">
            <w:pPr>
              <w:rPr>
                <w:rFonts w:ascii="Arial"/>
                <w:sz w:val="21"/>
              </w:rPr>
            </w:pPr>
          </w:p>
        </w:tc>
        <w:tc>
          <w:tcPr>
            <w:tcW w:w="4255" w:type="dxa"/>
            <w:tcBorders>
              <w:right w:val="single" w:color="000000" w:sz="10" w:space="0"/>
            </w:tcBorders>
            <w:vAlign w:val="top"/>
          </w:tcPr>
          <w:p w14:paraId="1A59AC0B">
            <w:pPr>
              <w:rPr>
                <w:rFonts w:ascii="Arial"/>
                <w:sz w:val="21"/>
              </w:rPr>
            </w:pPr>
          </w:p>
        </w:tc>
      </w:tr>
      <w:tr w14:paraId="799E5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3F596989">
            <w:pPr>
              <w:rPr>
                <w:rFonts w:ascii="Arial"/>
                <w:sz w:val="21"/>
              </w:rPr>
            </w:pPr>
          </w:p>
        </w:tc>
        <w:tc>
          <w:tcPr>
            <w:tcW w:w="1414" w:type="dxa"/>
            <w:vAlign w:val="top"/>
          </w:tcPr>
          <w:p w14:paraId="7947CE8E">
            <w:pPr>
              <w:rPr>
                <w:rFonts w:ascii="Arial"/>
                <w:sz w:val="21"/>
              </w:rPr>
            </w:pPr>
          </w:p>
        </w:tc>
        <w:tc>
          <w:tcPr>
            <w:tcW w:w="1131" w:type="dxa"/>
            <w:vAlign w:val="top"/>
          </w:tcPr>
          <w:p w14:paraId="1BC9DE67">
            <w:pPr>
              <w:rPr>
                <w:rFonts w:ascii="Arial"/>
                <w:sz w:val="21"/>
              </w:rPr>
            </w:pPr>
          </w:p>
        </w:tc>
        <w:tc>
          <w:tcPr>
            <w:tcW w:w="1131" w:type="dxa"/>
            <w:vAlign w:val="top"/>
          </w:tcPr>
          <w:p w14:paraId="216A0821">
            <w:pPr>
              <w:rPr>
                <w:rFonts w:ascii="Arial"/>
                <w:sz w:val="21"/>
              </w:rPr>
            </w:pPr>
          </w:p>
        </w:tc>
        <w:tc>
          <w:tcPr>
            <w:tcW w:w="4255" w:type="dxa"/>
            <w:tcBorders>
              <w:right w:val="single" w:color="000000" w:sz="10" w:space="0"/>
            </w:tcBorders>
            <w:vAlign w:val="top"/>
          </w:tcPr>
          <w:p w14:paraId="57AEBAF5">
            <w:pPr>
              <w:rPr>
                <w:rFonts w:ascii="Arial"/>
                <w:sz w:val="21"/>
              </w:rPr>
            </w:pPr>
          </w:p>
        </w:tc>
      </w:tr>
      <w:tr w14:paraId="30121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881" w:type="dxa"/>
            <w:vMerge w:val="continue"/>
            <w:tcBorders>
              <w:top w:val="nil"/>
              <w:left w:val="single" w:color="000000" w:sz="10" w:space="0"/>
              <w:bottom w:val="single" w:color="000000" w:sz="10" w:space="0"/>
            </w:tcBorders>
            <w:vAlign w:val="top"/>
          </w:tcPr>
          <w:p w14:paraId="04B0CCED">
            <w:pPr>
              <w:rPr>
                <w:rFonts w:ascii="Arial"/>
                <w:sz w:val="21"/>
              </w:rPr>
            </w:pPr>
          </w:p>
        </w:tc>
        <w:tc>
          <w:tcPr>
            <w:tcW w:w="1414" w:type="dxa"/>
            <w:tcBorders>
              <w:bottom w:val="single" w:color="000000" w:sz="10" w:space="0"/>
            </w:tcBorders>
            <w:vAlign w:val="top"/>
          </w:tcPr>
          <w:p w14:paraId="4BB03077">
            <w:pPr>
              <w:rPr>
                <w:rFonts w:ascii="Arial"/>
                <w:sz w:val="21"/>
              </w:rPr>
            </w:pPr>
          </w:p>
        </w:tc>
        <w:tc>
          <w:tcPr>
            <w:tcW w:w="1131" w:type="dxa"/>
            <w:tcBorders>
              <w:bottom w:val="single" w:color="000000" w:sz="10" w:space="0"/>
            </w:tcBorders>
            <w:vAlign w:val="top"/>
          </w:tcPr>
          <w:p w14:paraId="48D8EDB9">
            <w:pPr>
              <w:rPr>
                <w:rFonts w:ascii="Arial"/>
                <w:sz w:val="21"/>
              </w:rPr>
            </w:pPr>
          </w:p>
        </w:tc>
        <w:tc>
          <w:tcPr>
            <w:tcW w:w="1131" w:type="dxa"/>
            <w:tcBorders>
              <w:bottom w:val="single" w:color="000000" w:sz="10" w:space="0"/>
            </w:tcBorders>
            <w:vAlign w:val="top"/>
          </w:tcPr>
          <w:p w14:paraId="0C905CE8">
            <w:pPr>
              <w:rPr>
                <w:rFonts w:ascii="Arial"/>
                <w:sz w:val="21"/>
              </w:rPr>
            </w:pPr>
          </w:p>
        </w:tc>
        <w:tc>
          <w:tcPr>
            <w:tcW w:w="4255" w:type="dxa"/>
            <w:tcBorders>
              <w:bottom w:val="single" w:color="000000" w:sz="10" w:space="0"/>
              <w:right w:val="single" w:color="000000" w:sz="10" w:space="0"/>
            </w:tcBorders>
            <w:vAlign w:val="top"/>
          </w:tcPr>
          <w:p w14:paraId="411C37C5">
            <w:pPr>
              <w:rPr>
                <w:rFonts w:ascii="Arial"/>
                <w:sz w:val="21"/>
              </w:rPr>
            </w:pPr>
          </w:p>
        </w:tc>
      </w:tr>
    </w:tbl>
    <w:p w14:paraId="37AE59FC">
      <w:pPr>
        <w:rPr>
          <w:rFonts w:ascii="Arial"/>
          <w:sz w:val="21"/>
        </w:rPr>
      </w:pPr>
    </w:p>
    <w:p w14:paraId="2FDF96FE">
      <w:pPr>
        <w:rPr>
          <w:rFonts w:ascii="Arial" w:hAnsi="Arial" w:eastAsia="Arial" w:cs="Arial"/>
          <w:sz w:val="21"/>
          <w:szCs w:val="21"/>
        </w:rPr>
        <w:sectPr>
          <w:footerReference r:id="rId324" w:type="default"/>
          <w:pgSz w:w="11907" w:h="16840"/>
          <w:pgMar w:top="400" w:right="1063" w:bottom="1038" w:left="1005" w:header="0" w:footer="787" w:gutter="0"/>
          <w:cols w:space="720" w:num="1"/>
        </w:sectPr>
      </w:pPr>
    </w:p>
    <w:p w14:paraId="7787D884">
      <w:pPr>
        <w:spacing w:line="246" w:lineRule="auto"/>
        <w:rPr>
          <w:rFonts w:ascii="Arial"/>
          <w:sz w:val="21"/>
        </w:rPr>
      </w:pPr>
    </w:p>
    <w:p w14:paraId="7077035C">
      <w:pPr>
        <w:spacing w:line="246" w:lineRule="auto"/>
        <w:rPr>
          <w:rFonts w:ascii="Arial"/>
          <w:sz w:val="21"/>
        </w:rPr>
      </w:pPr>
    </w:p>
    <w:p w14:paraId="07832D1E">
      <w:pPr>
        <w:spacing w:line="246" w:lineRule="auto"/>
        <w:rPr>
          <w:rFonts w:ascii="Arial"/>
          <w:sz w:val="21"/>
        </w:rPr>
      </w:pPr>
    </w:p>
    <w:p w14:paraId="3C304FCA">
      <w:pPr>
        <w:spacing w:line="247" w:lineRule="auto"/>
        <w:rPr>
          <w:rFonts w:ascii="Arial"/>
          <w:sz w:val="21"/>
        </w:rPr>
      </w:pPr>
    </w:p>
    <w:p w14:paraId="7D1A7249">
      <w:pPr>
        <w:spacing w:line="247" w:lineRule="auto"/>
        <w:rPr>
          <w:rFonts w:ascii="Arial"/>
          <w:sz w:val="21"/>
        </w:rPr>
      </w:pPr>
    </w:p>
    <w:p w14:paraId="322887C1">
      <w:pPr>
        <w:spacing w:line="247" w:lineRule="auto"/>
        <w:rPr>
          <w:rFonts w:ascii="Arial"/>
          <w:sz w:val="21"/>
        </w:rPr>
      </w:pPr>
    </w:p>
    <w:p w14:paraId="6863AF75">
      <w:pPr>
        <w:spacing w:before="78" w:line="219" w:lineRule="auto"/>
        <w:ind w:left="28"/>
        <w:rPr>
          <w:rFonts w:ascii="宋体" w:hAnsi="宋体" w:eastAsia="宋体" w:cs="宋体"/>
          <w:sz w:val="24"/>
          <w:szCs w:val="24"/>
        </w:rPr>
      </w:pPr>
      <w:r>
        <w:rPr>
          <w:rFonts w:ascii="宋体" w:hAnsi="宋体" w:eastAsia="宋体" w:cs="宋体"/>
          <w:spacing w:val="-10"/>
          <w:sz w:val="24"/>
          <w:szCs w:val="24"/>
        </w:rPr>
        <w:t>附件</w:t>
      </w:r>
      <w:r>
        <w:rPr>
          <w:rFonts w:ascii="宋体" w:hAnsi="宋体" w:eastAsia="宋体" w:cs="宋体"/>
          <w:spacing w:val="-50"/>
          <w:sz w:val="24"/>
          <w:szCs w:val="24"/>
        </w:rPr>
        <w:t xml:space="preserve"> </w:t>
      </w:r>
      <w:r>
        <w:rPr>
          <w:rFonts w:ascii="宋体" w:hAnsi="宋体" w:eastAsia="宋体" w:cs="宋体"/>
          <w:spacing w:val="-10"/>
          <w:sz w:val="24"/>
          <w:szCs w:val="24"/>
        </w:rPr>
        <w:t>8：</w:t>
      </w:r>
    </w:p>
    <w:p w14:paraId="08EF6400">
      <w:pPr>
        <w:pStyle w:val="2"/>
        <w:spacing w:before="242" w:line="222" w:lineRule="auto"/>
        <w:ind w:left="3900"/>
        <w:rPr>
          <w:sz w:val="28"/>
          <w:szCs w:val="28"/>
        </w:rPr>
      </w:pPr>
      <w:r>
        <w:rPr>
          <w:spacing w:val="-3"/>
          <w:sz w:val="28"/>
          <w:szCs w:val="28"/>
        </w:rPr>
        <w:t>履约担保</w:t>
      </w:r>
    </w:p>
    <w:p w14:paraId="3C9514BD">
      <w:pPr>
        <w:spacing w:line="327" w:lineRule="auto"/>
        <w:rPr>
          <w:rFonts w:ascii="Arial"/>
          <w:sz w:val="21"/>
        </w:rPr>
      </w:pPr>
    </w:p>
    <w:p w14:paraId="685D33E8">
      <w:pPr>
        <w:spacing w:line="327" w:lineRule="auto"/>
        <w:rPr>
          <w:rFonts w:ascii="Arial"/>
          <w:sz w:val="21"/>
        </w:rPr>
      </w:pPr>
    </w:p>
    <w:p w14:paraId="0BB5AD83">
      <w:pPr>
        <w:tabs>
          <w:tab w:val="left" w:pos="1680"/>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（发包人名称</w:t>
      </w:r>
      <w:r>
        <w:rPr>
          <w:rFonts w:ascii="宋体" w:hAnsi="宋体" w:eastAsia="宋体" w:cs="宋体"/>
          <w:spacing w:val="-52"/>
          <w:sz w:val="20"/>
          <w:szCs w:val="20"/>
        </w:rPr>
        <w:t>）：</w:t>
      </w:r>
    </w:p>
    <w:p w14:paraId="4FCEE739">
      <w:pPr>
        <w:spacing w:line="424" w:lineRule="auto"/>
        <w:rPr>
          <w:rFonts w:ascii="Arial"/>
          <w:sz w:val="21"/>
        </w:rPr>
      </w:pPr>
    </w:p>
    <w:p w14:paraId="49227CA2">
      <w:pPr>
        <w:spacing w:before="65" w:line="377" w:lineRule="auto"/>
        <w:ind w:left="9" w:firstLine="421"/>
        <w:jc w:val="both"/>
        <w:rPr>
          <w:rFonts w:ascii="宋体" w:hAnsi="宋体" w:eastAsia="宋体" w:cs="宋体"/>
          <w:sz w:val="20"/>
          <w:szCs w:val="20"/>
        </w:rPr>
      </w:pPr>
      <w:r>
        <w:rPr>
          <w:rFonts w:ascii="宋体" w:hAnsi="宋体" w:eastAsia="宋体" w:cs="宋体"/>
          <w:spacing w:val="6"/>
          <w:sz w:val="20"/>
          <w:szCs w:val="20"/>
        </w:rPr>
        <w:t>鉴于</w:t>
      </w:r>
      <w:r>
        <w:rPr>
          <w:rFonts w:ascii="宋体" w:hAnsi="宋体" w:eastAsia="宋体" w:cs="宋体"/>
          <w:spacing w:val="-99"/>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（发包人名称，以下简称“发包人</w:t>
      </w:r>
      <w:r>
        <w:rPr>
          <w:rFonts w:ascii="宋体" w:hAnsi="宋体" w:eastAsia="宋体" w:cs="宋体"/>
          <w:spacing w:val="-70"/>
          <w:sz w:val="20"/>
          <w:szCs w:val="20"/>
        </w:rPr>
        <w:t xml:space="preserve"> </w:t>
      </w:r>
      <w:r>
        <w:rPr>
          <w:rFonts w:ascii="宋体" w:hAnsi="宋体" w:eastAsia="宋体" w:cs="宋体"/>
          <w:spacing w:val="6"/>
          <w:sz w:val="20"/>
          <w:szCs w:val="20"/>
        </w:rPr>
        <w:t>”）与</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（承包人</w:t>
      </w:r>
      <w:r>
        <w:rPr>
          <w:rFonts w:ascii="宋体" w:hAnsi="宋体" w:eastAsia="宋体" w:cs="宋体"/>
          <w:spacing w:val="6"/>
          <w:sz w:val="20"/>
          <w:szCs w:val="20"/>
        </w:rPr>
        <w:t>名称</w:t>
      </w:r>
      <w:r>
        <w:rPr>
          <w:rFonts w:ascii="宋体" w:hAnsi="宋体" w:eastAsia="宋体" w:cs="宋体"/>
          <w:spacing w:val="-58"/>
          <w:w w:val="99"/>
          <w:sz w:val="20"/>
          <w:szCs w:val="20"/>
        </w:rPr>
        <w:t>）（</w:t>
      </w:r>
      <w:r>
        <w:rPr>
          <w:rFonts w:ascii="宋体" w:hAnsi="宋体" w:eastAsia="宋体" w:cs="宋体"/>
          <w:spacing w:val="6"/>
          <w:sz w:val="20"/>
          <w:szCs w:val="20"/>
        </w:rPr>
        <w:t>以下称“承包人</w:t>
      </w:r>
      <w:r>
        <w:rPr>
          <w:rFonts w:ascii="宋体" w:hAnsi="宋体" w:eastAsia="宋体" w:cs="宋体"/>
          <w:spacing w:val="-70"/>
          <w:sz w:val="20"/>
          <w:szCs w:val="20"/>
        </w:rPr>
        <w:t xml:space="preserve"> </w:t>
      </w:r>
      <w:r>
        <w:rPr>
          <w:rFonts w:ascii="宋体" w:hAnsi="宋体" w:eastAsia="宋体" w:cs="宋体"/>
          <w:spacing w:val="6"/>
          <w:sz w:val="20"/>
          <w:szCs w:val="20"/>
        </w:rPr>
        <w:t>”）于</w:t>
      </w:r>
      <w:r>
        <w:rPr>
          <w:rFonts w:ascii="宋体" w:hAnsi="宋体" w:eastAsia="宋体" w:cs="宋体"/>
          <w:spacing w:val="6"/>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6"/>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6"/>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6"/>
          <w:sz w:val="20"/>
          <w:szCs w:val="20"/>
        </w:rPr>
        <w:t>日就</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（工程名称）施工及</w:t>
      </w:r>
      <w:r>
        <w:rPr>
          <w:rFonts w:ascii="宋体" w:hAnsi="宋体" w:eastAsia="宋体" w:cs="宋体"/>
          <w:spacing w:val="7"/>
          <w:sz w:val="20"/>
          <w:szCs w:val="20"/>
        </w:rPr>
        <w:t>有关事项协商一致共同签订《建设工程施工合同》。我方愿意无条件地、不</w:t>
      </w:r>
      <w:r>
        <w:rPr>
          <w:rFonts w:ascii="宋体" w:hAnsi="宋体" w:eastAsia="宋体" w:cs="宋体"/>
          <w:spacing w:val="6"/>
          <w:sz w:val="20"/>
          <w:szCs w:val="20"/>
        </w:rPr>
        <w:t>可撤销地就承包人履行</w:t>
      </w:r>
      <w:r>
        <w:rPr>
          <w:rFonts w:ascii="宋体" w:hAnsi="宋体" w:eastAsia="宋体" w:cs="宋体"/>
          <w:spacing w:val="9"/>
          <w:sz w:val="20"/>
          <w:szCs w:val="20"/>
        </w:rPr>
        <w:t>与你方签订的合同，向你方提供连带责任担</w:t>
      </w:r>
      <w:r>
        <w:rPr>
          <w:rFonts w:ascii="宋体" w:hAnsi="宋体" w:eastAsia="宋体" w:cs="宋体"/>
          <w:spacing w:val="8"/>
          <w:sz w:val="20"/>
          <w:szCs w:val="20"/>
        </w:rPr>
        <w:t>保。</w:t>
      </w:r>
    </w:p>
    <w:p w14:paraId="448C2F8F">
      <w:pPr>
        <w:spacing w:line="227" w:lineRule="auto"/>
        <w:ind w:left="444"/>
        <w:rPr>
          <w:rFonts w:ascii="宋体" w:hAnsi="宋体" w:eastAsia="宋体" w:cs="宋体"/>
          <w:sz w:val="20"/>
          <w:szCs w:val="20"/>
        </w:rPr>
      </w:pPr>
      <w:r>
        <w:rPr>
          <w:rFonts w:ascii="宋体" w:hAnsi="宋体" w:eastAsia="宋体" w:cs="宋体"/>
          <w:spacing w:val="3"/>
          <w:sz w:val="20"/>
          <w:szCs w:val="20"/>
        </w:rPr>
        <w:t>1. 担保金额人民币（大写）</w:t>
      </w:r>
      <w:r>
        <w:rPr>
          <w:rFonts w:ascii="宋体" w:hAnsi="宋体" w:eastAsia="宋体" w:cs="宋体"/>
          <w:spacing w:val="5"/>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3"/>
          <w:sz w:val="20"/>
          <w:szCs w:val="20"/>
        </w:rPr>
        <w:t>元 (¥</w:t>
      </w:r>
      <w:r>
        <w:rPr>
          <w:rFonts w:ascii="宋体" w:hAnsi="宋体" w:eastAsia="宋体" w:cs="宋体"/>
          <w:spacing w:val="4"/>
          <w:sz w:val="20"/>
          <w:szCs w:val="20"/>
          <w:u w:val="single" w:color="auto"/>
        </w:rPr>
        <w:t xml:space="preserve">             </w:t>
      </w:r>
      <w:r>
        <w:rPr>
          <w:rFonts w:ascii="宋体" w:hAnsi="宋体" w:eastAsia="宋体" w:cs="宋体"/>
          <w:spacing w:val="-57"/>
          <w:sz w:val="20"/>
          <w:szCs w:val="20"/>
        </w:rPr>
        <w:t xml:space="preserve"> </w:t>
      </w:r>
      <w:r>
        <w:rPr>
          <w:rFonts w:ascii="宋体" w:hAnsi="宋体" w:eastAsia="宋体" w:cs="宋体"/>
          <w:spacing w:val="3"/>
          <w:sz w:val="20"/>
          <w:szCs w:val="20"/>
        </w:rPr>
        <w:t>)。</w:t>
      </w:r>
    </w:p>
    <w:p w14:paraId="2726FB7F">
      <w:pPr>
        <w:spacing w:before="161" w:line="377" w:lineRule="auto"/>
        <w:ind w:left="44" w:right="2" w:firstLine="386"/>
        <w:rPr>
          <w:rFonts w:ascii="宋体" w:hAnsi="宋体" w:eastAsia="宋体" w:cs="宋体"/>
          <w:sz w:val="20"/>
          <w:szCs w:val="20"/>
        </w:rPr>
      </w:pPr>
      <w:r>
        <w:rPr>
          <w:rFonts w:ascii="宋体" w:hAnsi="宋体" w:eastAsia="宋体" w:cs="宋体"/>
          <w:spacing w:val="14"/>
          <w:sz w:val="20"/>
          <w:szCs w:val="20"/>
        </w:rPr>
        <w:t>2. 担保有效期自你方与承包人签订的合同生效之日起至你方签发或应签发</w:t>
      </w:r>
      <w:r>
        <w:rPr>
          <w:rFonts w:ascii="宋体" w:hAnsi="宋体" w:eastAsia="宋体" w:cs="宋体"/>
          <w:spacing w:val="13"/>
          <w:sz w:val="20"/>
          <w:szCs w:val="20"/>
        </w:rPr>
        <w:t>工程接收证书之</w:t>
      </w:r>
      <w:r>
        <w:rPr>
          <w:rFonts w:ascii="宋体" w:hAnsi="宋体" w:eastAsia="宋体" w:cs="宋体"/>
          <w:spacing w:val="-9"/>
          <w:sz w:val="20"/>
          <w:szCs w:val="20"/>
        </w:rPr>
        <w:t>日止。</w:t>
      </w:r>
    </w:p>
    <w:p w14:paraId="160F2B65">
      <w:pPr>
        <w:spacing w:before="2" w:line="377" w:lineRule="auto"/>
        <w:ind w:left="9" w:right="2" w:firstLine="423"/>
        <w:rPr>
          <w:rFonts w:ascii="宋体" w:hAnsi="宋体" w:eastAsia="宋体" w:cs="宋体"/>
          <w:sz w:val="20"/>
          <w:szCs w:val="20"/>
        </w:rPr>
      </w:pPr>
      <w:r>
        <w:rPr>
          <w:rFonts w:ascii="宋体" w:hAnsi="宋体" w:eastAsia="宋体" w:cs="宋体"/>
          <w:spacing w:val="9"/>
          <w:sz w:val="20"/>
          <w:szCs w:val="20"/>
        </w:rPr>
        <w:t>3. 在本担保有效期内，因承包人违反合同约定的义务给你方造成</w:t>
      </w:r>
      <w:r>
        <w:rPr>
          <w:rFonts w:ascii="宋体" w:hAnsi="宋体" w:eastAsia="宋体" w:cs="宋体"/>
          <w:spacing w:val="8"/>
          <w:sz w:val="20"/>
          <w:szCs w:val="20"/>
        </w:rPr>
        <w:t>经济损失时，我方在收到你方以书面形式提出的在担保金额内的赔偿要求后，在</w:t>
      </w:r>
      <w:r>
        <w:rPr>
          <w:rFonts w:ascii="宋体" w:hAnsi="宋体" w:eastAsia="宋体" w:cs="宋体"/>
          <w:spacing w:val="-24"/>
          <w:sz w:val="20"/>
          <w:szCs w:val="20"/>
        </w:rPr>
        <w:t xml:space="preserve"> </w:t>
      </w:r>
      <w:r>
        <w:rPr>
          <w:rFonts w:ascii="宋体" w:hAnsi="宋体" w:eastAsia="宋体" w:cs="宋体"/>
          <w:spacing w:val="8"/>
          <w:sz w:val="20"/>
          <w:szCs w:val="20"/>
        </w:rPr>
        <w:t>7</w:t>
      </w:r>
      <w:r>
        <w:rPr>
          <w:rFonts w:ascii="宋体" w:hAnsi="宋体" w:eastAsia="宋体" w:cs="宋体"/>
          <w:spacing w:val="-34"/>
          <w:sz w:val="20"/>
          <w:szCs w:val="20"/>
        </w:rPr>
        <w:t xml:space="preserve"> </w:t>
      </w:r>
      <w:r>
        <w:rPr>
          <w:rFonts w:ascii="宋体" w:hAnsi="宋体" w:eastAsia="宋体" w:cs="宋体"/>
          <w:spacing w:val="8"/>
          <w:sz w:val="20"/>
          <w:szCs w:val="20"/>
        </w:rPr>
        <w:t>天内无条件支付。</w:t>
      </w:r>
    </w:p>
    <w:p w14:paraId="7B2C42E9">
      <w:pPr>
        <w:spacing w:before="1" w:line="226" w:lineRule="auto"/>
        <w:ind w:left="427"/>
        <w:rPr>
          <w:rFonts w:ascii="宋体" w:hAnsi="宋体" w:eastAsia="宋体" w:cs="宋体"/>
          <w:sz w:val="20"/>
          <w:szCs w:val="20"/>
        </w:rPr>
      </w:pPr>
      <w:r>
        <w:rPr>
          <w:rFonts w:ascii="宋体" w:hAnsi="宋体" w:eastAsia="宋体" w:cs="宋体"/>
          <w:spacing w:val="9"/>
          <w:sz w:val="20"/>
          <w:szCs w:val="20"/>
        </w:rPr>
        <w:t>4. 你方和承包人按合同约定变更合同时，我方承担本担保规定的义务不变。</w:t>
      </w:r>
    </w:p>
    <w:p w14:paraId="5026B86F">
      <w:pPr>
        <w:spacing w:before="161" w:line="377" w:lineRule="auto"/>
        <w:ind w:left="7" w:right="2" w:firstLine="425"/>
        <w:rPr>
          <w:rFonts w:ascii="宋体" w:hAnsi="宋体" w:eastAsia="宋体" w:cs="宋体"/>
          <w:sz w:val="20"/>
          <w:szCs w:val="20"/>
        </w:rPr>
      </w:pPr>
      <w:r>
        <w:rPr>
          <w:rFonts w:ascii="宋体" w:hAnsi="宋体" w:eastAsia="宋体" w:cs="宋体"/>
          <w:spacing w:val="8"/>
          <w:sz w:val="20"/>
          <w:szCs w:val="20"/>
        </w:rPr>
        <w:t>5. 因本保函发生的纠纷，可由双方协商解决，协商不成的，任何一方均可提请</w:t>
      </w:r>
      <w:r>
        <w:rPr>
          <w:rFonts w:ascii="宋体" w:hAnsi="宋体" w:eastAsia="宋体" w:cs="宋体"/>
          <w:spacing w:val="-86"/>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仲裁</w:t>
      </w:r>
      <w:r>
        <w:rPr>
          <w:rFonts w:ascii="宋体" w:hAnsi="宋体" w:eastAsia="宋体" w:cs="宋体"/>
          <w:spacing w:val="6"/>
          <w:sz w:val="20"/>
          <w:szCs w:val="20"/>
        </w:rPr>
        <w:t>委员会仲裁。</w:t>
      </w:r>
    </w:p>
    <w:p w14:paraId="5B266977">
      <w:pPr>
        <w:spacing w:before="1" w:line="226" w:lineRule="auto"/>
        <w:ind w:left="430"/>
        <w:rPr>
          <w:rFonts w:ascii="宋体" w:hAnsi="宋体" w:eastAsia="宋体" w:cs="宋体"/>
          <w:sz w:val="20"/>
          <w:szCs w:val="20"/>
        </w:rPr>
      </w:pPr>
      <w:r>
        <w:rPr>
          <w:rFonts w:ascii="宋体" w:hAnsi="宋体" w:eastAsia="宋体" w:cs="宋体"/>
          <w:spacing w:val="9"/>
          <w:sz w:val="20"/>
          <w:szCs w:val="20"/>
        </w:rPr>
        <w:t>6. 本保函自我方法定代表人（或其授权代理人）签字并加盖公章之日起</w:t>
      </w:r>
      <w:r>
        <w:rPr>
          <w:rFonts w:ascii="宋体" w:hAnsi="宋体" w:eastAsia="宋体" w:cs="宋体"/>
          <w:spacing w:val="8"/>
          <w:sz w:val="20"/>
          <w:szCs w:val="20"/>
        </w:rPr>
        <w:t>生效。</w:t>
      </w:r>
    </w:p>
    <w:p w14:paraId="2B891FF3">
      <w:pPr>
        <w:spacing w:line="263" w:lineRule="auto"/>
        <w:rPr>
          <w:rFonts w:ascii="Arial"/>
          <w:sz w:val="21"/>
        </w:rPr>
      </w:pPr>
    </w:p>
    <w:p w14:paraId="017CAEF8">
      <w:pPr>
        <w:spacing w:line="263" w:lineRule="auto"/>
        <w:rPr>
          <w:rFonts w:ascii="Arial"/>
          <w:sz w:val="21"/>
        </w:rPr>
      </w:pPr>
    </w:p>
    <w:p w14:paraId="55E4E795">
      <w:pPr>
        <w:spacing w:line="263" w:lineRule="auto"/>
        <w:rPr>
          <w:rFonts w:ascii="Arial"/>
          <w:sz w:val="21"/>
        </w:rPr>
      </w:pPr>
    </w:p>
    <w:p w14:paraId="5FA8280D">
      <w:pPr>
        <w:spacing w:line="263" w:lineRule="auto"/>
        <w:rPr>
          <w:rFonts w:ascii="Arial"/>
          <w:sz w:val="21"/>
        </w:rPr>
      </w:pPr>
    </w:p>
    <w:p w14:paraId="7EE6B1DE">
      <w:pPr>
        <w:spacing w:line="263" w:lineRule="auto"/>
        <w:rPr>
          <w:rFonts w:ascii="Arial"/>
          <w:sz w:val="21"/>
        </w:rPr>
      </w:pPr>
    </w:p>
    <w:p w14:paraId="7A0F3B07">
      <w:pPr>
        <w:spacing w:before="65" w:line="227" w:lineRule="auto"/>
        <w:ind w:left="2843"/>
        <w:rPr>
          <w:rFonts w:ascii="宋体" w:hAnsi="宋体" w:eastAsia="宋体" w:cs="宋体"/>
          <w:sz w:val="20"/>
          <w:szCs w:val="20"/>
        </w:rPr>
      </w:pPr>
      <w:r>
        <w:rPr>
          <w:rFonts w:ascii="宋体" w:hAnsi="宋体" w:eastAsia="宋体" w:cs="宋体"/>
          <w:spacing w:val="12"/>
          <w:sz w:val="20"/>
          <w:szCs w:val="20"/>
        </w:rPr>
        <w:t>担 保</w:t>
      </w:r>
      <w:r>
        <w:rPr>
          <w:rFonts w:ascii="宋体" w:hAnsi="宋体" w:eastAsia="宋体" w:cs="宋体"/>
          <w:spacing w:val="16"/>
          <w:sz w:val="20"/>
          <w:szCs w:val="20"/>
        </w:rPr>
        <w:t xml:space="preserve"> </w:t>
      </w:r>
      <w:r>
        <w:rPr>
          <w:rFonts w:ascii="宋体" w:hAnsi="宋体" w:eastAsia="宋体" w:cs="宋体"/>
          <w:spacing w:val="12"/>
          <w:sz w:val="20"/>
          <w:szCs w:val="20"/>
        </w:rPr>
        <w:t>人</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17"/>
          <w:sz w:val="20"/>
          <w:szCs w:val="20"/>
        </w:rPr>
        <w:t>（</w:t>
      </w:r>
      <w:r>
        <w:rPr>
          <w:rFonts w:ascii="宋体" w:hAnsi="宋体" w:eastAsia="宋体" w:cs="宋体"/>
          <w:spacing w:val="12"/>
          <w:sz w:val="20"/>
          <w:szCs w:val="20"/>
        </w:rPr>
        <w:t>盖单位章）</w:t>
      </w:r>
    </w:p>
    <w:p w14:paraId="02CFAEB8">
      <w:pPr>
        <w:spacing w:before="162" w:line="228" w:lineRule="auto"/>
        <w:ind w:left="2843"/>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z w:val="20"/>
          <w:szCs w:val="20"/>
        </w:rPr>
        <w:t>：</w:t>
      </w:r>
      <w:r>
        <w:rPr>
          <w:rFonts w:ascii="宋体" w:hAnsi="宋体" w:eastAsia="宋体" w:cs="宋体"/>
          <w:spacing w:val="4"/>
          <w:sz w:val="20"/>
          <w:szCs w:val="20"/>
          <w:u w:val="single" w:color="auto"/>
        </w:rPr>
        <w:t xml:space="preserve">               </w:t>
      </w:r>
      <w:r>
        <w:rPr>
          <w:rFonts w:ascii="宋体" w:hAnsi="宋体" w:eastAsia="宋体" w:cs="宋体"/>
          <w:sz w:val="20"/>
          <w:szCs w:val="20"/>
        </w:rPr>
        <w:t>（</w:t>
      </w:r>
      <w:r>
        <w:rPr>
          <w:rFonts w:ascii="宋体" w:hAnsi="宋体" w:eastAsia="宋体" w:cs="宋体"/>
          <w:spacing w:val="10"/>
          <w:sz w:val="20"/>
          <w:szCs w:val="20"/>
        </w:rPr>
        <w:t>签字）</w:t>
      </w:r>
    </w:p>
    <w:p w14:paraId="364A96B5">
      <w:pPr>
        <w:spacing w:before="164" w:line="237" w:lineRule="auto"/>
        <w:ind w:left="2843"/>
        <w:rPr>
          <w:rFonts w:ascii="宋体" w:hAnsi="宋体" w:eastAsia="宋体" w:cs="宋体"/>
          <w:sz w:val="20"/>
          <w:szCs w:val="20"/>
        </w:rPr>
      </w:pPr>
      <w:r>
        <w:rPr>
          <w:rFonts w:ascii="宋体" w:hAnsi="宋体" w:eastAsia="宋体" w:cs="宋体"/>
          <w:spacing w:val="-3"/>
          <w:sz w:val="20"/>
          <w:szCs w:val="20"/>
        </w:rPr>
        <w:t>地</w:t>
      </w:r>
      <w:r>
        <w:rPr>
          <w:rFonts w:ascii="宋体" w:hAnsi="宋体" w:eastAsia="宋体" w:cs="宋体"/>
          <w:spacing w:val="9"/>
          <w:sz w:val="20"/>
          <w:szCs w:val="20"/>
        </w:rPr>
        <w:t xml:space="preserve">    </w:t>
      </w:r>
      <w:r>
        <w:rPr>
          <w:rFonts w:ascii="宋体" w:hAnsi="宋体" w:eastAsia="宋体" w:cs="宋体"/>
          <w:spacing w:val="-3"/>
          <w:sz w:val="20"/>
          <w:szCs w:val="20"/>
        </w:rPr>
        <w:t>址</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535B550B">
      <w:pPr>
        <w:spacing w:before="151" w:line="228" w:lineRule="auto"/>
        <w:ind w:left="2858"/>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p>
    <w:p w14:paraId="260B492E">
      <w:pPr>
        <w:spacing w:before="161" w:line="230" w:lineRule="auto"/>
        <w:ind w:left="2867"/>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7"/>
          <w:sz w:val="20"/>
          <w:szCs w:val="20"/>
        </w:rPr>
        <w:t xml:space="preserve">    </w:t>
      </w:r>
      <w:r>
        <w:rPr>
          <w:rFonts w:ascii="宋体" w:hAnsi="宋体" w:eastAsia="宋体" w:cs="宋体"/>
          <w:spacing w:val="-13"/>
          <w:sz w:val="20"/>
          <w:szCs w:val="20"/>
        </w:rPr>
        <w:t>话</w:t>
      </w:r>
      <w:r>
        <w:rPr>
          <w:rFonts w:ascii="宋体" w:hAnsi="宋体" w:eastAsia="宋体" w:cs="宋体"/>
          <w:spacing w:val="-72"/>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65BE3714">
      <w:pPr>
        <w:spacing w:before="159" w:line="227" w:lineRule="auto"/>
        <w:ind w:left="2841"/>
        <w:rPr>
          <w:rFonts w:ascii="宋体" w:hAnsi="宋体" w:eastAsia="宋体" w:cs="宋体"/>
          <w:sz w:val="20"/>
          <w:szCs w:val="20"/>
        </w:rPr>
      </w:pPr>
      <w:r>
        <w:rPr>
          <w:rFonts w:ascii="宋体" w:hAnsi="宋体" w:eastAsia="宋体" w:cs="宋体"/>
          <w:spacing w:val="-3"/>
          <w:sz w:val="20"/>
          <w:szCs w:val="20"/>
        </w:rPr>
        <w:t>传</w:t>
      </w:r>
      <w:r>
        <w:rPr>
          <w:rFonts w:ascii="宋体" w:hAnsi="宋体" w:eastAsia="宋体" w:cs="宋体"/>
          <w:spacing w:val="9"/>
          <w:sz w:val="20"/>
          <w:szCs w:val="20"/>
        </w:rPr>
        <w:t xml:space="preserve">    </w:t>
      </w:r>
      <w:r>
        <w:rPr>
          <w:rFonts w:ascii="宋体" w:hAnsi="宋体" w:eastAsia="宋体" w:cs="宋体"/>
          <w:spacing w:val="-3"/>
          <w:sz w:val="20"/>
          <w:szCs w:val="20"/>
        </w:rPr>
        <w:t>真</w:t>
      </w:r>
      <w:r>
        <w:rPr>
          <w:rFonts w:ascii="宋体" w:hAnsi="宋体" w:eastAsia="宋体" w:cs="宋体"/>
          <w:spacing w:val="-72"/>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222BC691">
      <w:pPr>
        <w:spacing w:line="250" w:lineRule="auto"/>
        <w:rPr>
          <w:rFonts w:ascii="Arial"/>
          <w:sz w:val="21"/>
        </w:rPr>
      </w:pPr>
    </w:p>
    <w:p w14:paraId="0142127B">
      <w:pPr>
        <w:spacing w:line="251" w:lineRule="auto"/>
        <w:rPr>
          <w:rFonts w:ascii="Arial"/>
          <w:sz w:val="21"/>
        </w:rPr>
      </w:pPr>
    </w:p>
    <w:p w14:paraId="645159D4">
      <w:pPr>
        <w:tabs>
          <w:tab w:val="left" w:pos="5354"/>
        </w:tabs>
        <w:spacing w:before="66" w:line="228" w:lineRule="auto"/>
        <w:ind w:left="420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48"/>
          <w:sz w:val="20"/>
          <w:szCs w:val="20"/>
        </w:rPr>
        <w:t xml:space="preserve"> </w:t>
      </w:r>
      <w:r>
        <w:rPr>
          <w:rFonts w:ascii="宋体" w:hAnsi="宋体" w:eastAsia="宋体" w:cs="宋体"/>
          <w:spacing w:val="-2"/>
          <w:sz w:val="20"/>
          <w:szCs w:val="20"/>
        </w:rPr>
        <w:t>日</w:t>
      </w:r>
    </w:p>
    <w:p w14:paraId="207E2C08">
      <w:pPr>
        <w:spacing w:line="228" w:lineRule="auto"/>
        <w:rPr>
          <w:rFonts w:ascii="宋体" w:hAnsi="宋体" w:eastAsia="宋体" w:cs="宋体"/>
          <w:sz w:val="20"/>
          <w:szCs w:val="20"/>
        </w:rPr>
        <w:sectPr>
          <w:footerReference r:id="rId325" w:type="default"/>
          <w:pgSz w:w="11907" w:h="16840"/>
          <w:pgMar w:top="400" w:right="1531" w:bottom="1038" w:left="1473" w:header="0" w:footer="787" w:gutter="0"/>
          <w:cols w:space="720" w:num="1"/>
        </w:sectPr>
      </w:pPr>
    </w:p>
    <w:p w14:paraId="7024D9D3">
      <w:pPr>
        <w:spacing w:line="271" w:lineRule="auto"/>
        <w:rPr>
          <w:rFonts w:ascii="Arial"/>
          <w:sz w:val="21"/>
        </w:rPr>
      </w:pPr>
    </w:p>
    <w:p w14:paraId="1BA99B6A">
      <w:pPr>
        <w:spacing w:line="272" w:lineRule="auto"/>
        <w:rPr>
          <w:rFonts w:ascii="Arial"/>
          <w:sz w:val="21"/>
        </w:rPr>
      </w:pPr>
    </w:p>
    <w:p w14:paraId="6D76F1D7">
      <w:pPr>
        <w:spacing w:line="272" w:lineRule="auto"/>
        <w:rPr>
          <w:rFonts w:ascii="Arial"/>
          <w:sz w:val="21"/>
        </w:rPr>
      </w:pPr>
    </w:p>
    <w:p w14:paraId="4C930989">
      <w:pPr>
        <w:spacing w:line="272" w:lineRule="auto"/>
        <w:rPr>
          <w:rFonts w:ascii="Arial"/>
          <w:sz w:val="21"/>
        </w:rPr>
      </w:pPr>
    </w:p>
    <w:p w14:paraId="51AC350D">
      <w:pPr>
        <w:spacing w:line="272" w:lineRule="auto"/>
        <w:rPr>
          <w:rFonts w:ascii="Arial"/>
          <w:sz w:val="21"/>
        </w:rPr>
      </w:pPr>
    </w:p>
    <w:p w14:paraId="307F3FE9">
      <w:pPr>
        <w:spacing w:before="78" w:line="219" w:lineRule="auto"/>
        <w:ind w:left="28"/>
        <w:rPr>
          <w:rFonts w:ascii="宋体" w:hAnsi="宋体" w:eastAsia="宋体" w:cs="宋体"/>
          <w:sz w:val="24"/>
          <w:szCs w:val="24"/>
        </w:rPr>
      </w:pPr>
      <w:r>
        <w:rPr>
          <w:rFonts w:ascii="宋体" w:hAnsi="宋体" w:eastAsia="宋体" w:cs="宋体"/>
          <w:spacing w:val="-10"/>
          <w:sz w:val="24"/>
          <w:szCs w:val="24"/>
        </w:rPr>
        <w:t>附件</w:t>
      </w:r>
      <w:r>
        <w:rPr>
          <w:rFonts w:ascii="宋体" w:hAnsi="宋体" w:eastAsia="宋体" w:cs="宋体"/>
          <w:spacing w:val="-50"/>
          <w:sz w:val="24"/>
          <w:szCs w:val="24"/>
        </w:rPr>
        <w:t xml:space="preserve"> </w:t>
      </w:r>
      <w:r>
        <w:rPr>
          <w:rFonts w:ascii="宋体" w:hAnsi="宋体" w:eastAsia="宋体" w:cs="宋体"/>
          <w:spacing w:val="-10"/>
          <w:sz w:val="24"/>
          <w:szCs w:val="24"/>
        </w:rPr>
        <w:t>9：</w:t>
      </w:r>
    </w:p>
    <w:p w14:paraId="7B134BBE">
      <w:pPr>
        <w:pStyle w:val="2"/>
        <w:spacing w:before="242" w:line="222" w:lineRule="auto"/>
        <w:ind w:left="3767"/>
        <w:rPr>
          <w:sz w:val="28"/>
          <w:szCs w:val="28"/>
        </w:rPr>
      </w:pPr>
      <w:r>
        <w:rPr>
          <w:spacing w:val="-3"/>
          <w:sz w:val="28"/>
          <w:szCs w:val="28"/>
        </w:rPr>
        <w:t>预付款担保</w:t>
      </w:r>
    </w:p>
    <w:p w14:paraId="056BFAF2">
      <w:pPr>
        <w:spacing w:line="241" w:lineRule="auto"/>
        <w:rPr>
          <w:rFonts w:ascii="Arial"/>
          <w:sz w:val="21"/>
        </w:rPr>
      </w:pPr>
    </w:p>
    <w:p w14:paraId="7ED01653">
      <w:pPr>
        <w:spacing w:line="241" w:lineRule="auto"/>
        <w:rPr>
          <w:rFonts w:ascii="Arial"/>
          <w:sz w:val="21"/>
        </w:rPr>
      </w:pPr>
    </w:p>
    <w:p w14:paraId="2A11C711">
      <w:pPr>
        <w:tabs>
          <w:tab w:val="left" w:pos="2205"/>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2"/>
          <w:sz w:val="20"/>
          <w:szCs w:val="20"/>
        </w:rPr>
        <w:t xml:space="preserve"> </w:t>
      </w:r>
      <w:r>
        <w:rPr>
          <w:rFonts w:ascii="宋体" w:hAnsi="宋体" w:eastAsia="宋体" w:cs="宋体"/>
          <w:spacing w:val="8"/>
          <w:sz w:val="20"/>
          <w:szCs w:val="20"/>
        </w:rPr>
        <w:t>（发包人名称</w:t>
      </w:r>
      <w:r>
        <w:rPr>
          <w:rFonts w:ascii="宋体" w:hAnsi="宋体" w:eastAsia="宋体" w:cs="宋体"/>
          <w:spacing w:val="-52"/>
          <w:sz w:val="20"/>
          <w:szCs w:val="20"/>
        </w:rPr>
        <w:t>）：</w:t>
      </w:r>
    </w:p>
    <w:p w14:paraId="7D9C90F9">
      <w:pPr>
        <w:spacing w:line="250" w:lineRule="auto"/>
        <w:rPr>
          <w:rFonts w:ascii="Arial"/>
          <w:sz w:val="21"/>
        </w:rPr>
      </w:pPr>
    </w:p>
    <w:p w14:paraId="0F4D1CF8">
      <w:pPr>
        <w:spacing w:line="251" w:lineRule="auto"/>
        <w:rPr>
          <w:rFonts w:ascii="Arial"/>
          <w:sz w:val="21"/>
        </w:rPr>
      </w:pPr>
    </w:p>
    <w:p w14:paraId="5718D81C">
      <w:pPr>
        <w:spacing w:before="65" w:line="377" w:lineRule="auto"/>
        <w:ind w:left="7" w:firstLine="420"/>
        <w:jc w:val="both"/>
        <w:rPr>
          <w:rFonts w:ascii="宋体" w:hAnsi="宋体" w:eastAsia="宋体" w:cs="宋体"/>
          <w:sz w:val="20"/>
          <w:szCs w:val="20"/>
        </w:rPr>
      </w:pPr>
      <w:r>
        <w:rPr>
          <w:rFonts w:ascii="宋体" w:hAnsi="宋体" w:eastAsia="宋体" w:cs="宋体"/>
          <w:spacing w:val="-2"/>
          <w:sz w:val="20"/>
          <w:szCs w:val="20"/>
        </w:rPr>
        <w:t>根据</w:t>
      </w:r>
      <w:r>
        <w:rPr>
          <w:rFonts w:ascii="宋体" w:hAnsi="宋体" w:eastAsia="宋体" w:cs="宋体"/>
          <w:spacing w:val="-96"/>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（承包人名称</w:t>
      </w:r>
      <w:r>
        <w:rPr>
          <w:rFonts w:ascii="宋体" w:hAnsi="宋体" w:eastAsia="宋体" w:cs="宋体"/>
          <w:spacing w:val="-48"/>
          <w:w w:val="83"/>
          <w:sz w:val="20"/>
          <w:szCs w:val="20"/>
        </w:rPr>
        <w:t>）（</w:t>
      </w:r>
      <w:r>
        <w:rPr>
          <w:rFonts w:ascii="宋体" w:hAnsi="宋体" w:eastAsia="宋体" w:cs="宋体"/>
          <w:spacing w:val="-2"/>
          <w:sz w:val="20"/>
          <w:szCs w:val="20"/>
        </w:rPr>
        <w:t>以</w:t>
      </w:r>
      <w:r>
        <w:rPr>
          <w:rFonts w:ascii="宋体" w:hAnsi="宋体" w:eastAsia="宋体" w:cs="宋体"/>
          <w:spacing w:val="-3"/>
          <w:sz w:val="20"/>
          <w:szCs w:val="20"/>
        </w:rPr>
        <w:t>下称“承包人”）与</w:t>
      </w:r>
      <w:r>
        <w:rPr>
          <w:rFonts w:ascii="宋体" w:hAnsi="宋体" w:eastAsia="宋体" w:cs="宋体"/>
          <w:sz w:val="20"/>
          <w:szCs w:val="20"/>
          <w:u w:val="single" w:color="auto"/>
        </w:rPr>
        <w:t xml:space="preserve">                         </w:t>
      </w:r>
      <w:r>
        <w:rPr>
          <w:rFonts w:ascii="宋体" w:hAnsi="宋体" w:eastAsia="宋体" w:cs="宋体"/>
          <w:spacing w:val="-3"/>
          <w:sz w:val="20"/>
          <w:szCs w:val="20"/>
        </w:rPr>
        <w:t>（发</w:t>
      </w:r>
      <w:r>
        <w:rPr>
          <w:rFonts w:ascii="宋体" w:hAnsi="宋体" w:eastAsia="宋体" w:cs="宋体"/>
          <w:spacing w:val="5"/>
          <w:sz w:val="20"/>
          <w:szCs w:val="20"/>
        </w:rPr>
        <w:t>包人名称</w:t>
      </w:r>
      <w:r>
        <w:rPr>
          <w:rFonts w:ascii="宋体" w:hAnsi="宋体" w:eastAsia="宋体" w:cs="宋体"/>
          <w:spacing w:val="-56"/>
          <w:sz w:val="20"/>
          <w:szCs w:val="20"/>
        </w:rPr>
        <w:t>）（</w:t>
      </w:r>
      <w:r>
        <w:rPr>
          <w:rFonts w:ascii="宋体" w:hAnsi="宋体" w:eastAsia="宋体" w:cs="宋体"/>
          <w:spacing w:val="5"/>
          <w:sz w:val="20"/>
          <w:szCs w:val="20"/>
        </w:rPr>
        <w:t>以下简称“发包人”）于</w:t>
      </w:r>
      <w:r>
        <w:rPr>
          <w:rFonts w:ascii="宋体" w:hAnsi="宋体" w:eastAsia="宋体" w:cs="宋体"/>
          <w:spacing w:val="-97"/>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5"/>
          <w:sz w:val="20"/>
          <w:szCs w:val="20"/>
        </w:rPr>
        <w:t>年</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月</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52"/>
          <w:sz w:val="20"/>
          <w:szCs w:val="20"/>
        </w:rPr>
        <w:t xml:space="preserve"> </w:t>
      </w:r>
      <w:r>
        <w:rPr>
          <w:rFonts w:ascii="宋体" w:hAnsi="宋体" w:eastAsia="宋体" w:cs="宋体"/>
          <w:spacing w:val="5"/>
          <w:sz w:val="20"/>
          <w:szCs w:val="20"/>
        </w:rPr>
        <w:t>日签订的</w:t>
      </w:r>
      <w:r>
        <w:rPr>
          <w:rFonts w:ascii="宋体" w:hAnsi="宋体" w:eastAsia="宋体" w:cs="宋体"/>
          <w:spacing w:val="-98"/>
          <w:sz w:val="20"/>
          <w:szCs w:val="20"/>
        </w:rPr>
        <w:t xml:space="preserve"> </w:t>
      </w:r>
      <w:r>
        <w:rPr>
          <w:rFonts w:ascii="宋体" w:hAnsi="宋体" w:eastAsia="宋体" w:cs="宋体"/>
          <w:spacing w:val="1"/>
          <w:sz w:val="20"/>
          <w:szCs w:val="20"/>
          <w:u w:val="single" w:color="auto"/>
        </w:rPr>
        <w:t xml:space="preserve">                    </w:t>
      </w:r>
      <w:r>
        <w:rPr>
          <w:rFonts w:ascii="宋体" w:hAnsi="宋体" w:eastAsia="宋体" w:cs="宋体"/>
          <w:spacing w:val="4"/>
          <w:sz w:val="20"/>
          <w:szCs w:val="20"/>
        </w:rPr>
        <w:t>（工程名</w:t>
      </w:r>
      <w:r>
        <w:rPr>
          <w:rFonts w:ascii="宋体" w:hAnsi="宋体" w:eastAsia="宋体" w:cs="宋体"/>
          <w:spacing w:val="7"/>
          <w:sz w:val="20"/>
          <w:szCs w:val="20"/>
        </w:rPr>
        <w:t>称）《建设工程施工合同》，承包人按约定的金额向你方提交一份预付款担</w:t>
      </w:r>
      <w:r>
        <w:rPr>
          <w:rFonts w:ascii="宋体" w:hAnsi="宋体" w:eastAsia="宋体" w:cs="宋体"/>
          <w:spacing w:val="6"/>
          <w:sz w:val="20"/>
          <w:szCs w:val="20"/>
        </w:rPr>
        <w:t>保，即有权得到你方支</w:t>
      </w:r>
      <w:r>
        <w:rPr>
          <w:rFonts w:ascii="宋体" w:hAnsi="宋体" w:eastAsia="宋体" w:cs="宋体"/>
          <w:spacing w:val="10"/>
          <w:sz w:val="20"/>
          <w:szCs w:val="20"/>
        </w:rPr>
        <w:t>付相等金额的预付款。我方愿意就你方提供给</w:t>
      </w:r>
      <w:r>
        <w:rPr>
          <w:rFonts w:ascii="宋体" w:hAnsi="宋体" w:eastAsia="宋体" w:cs="宋体"/>
          <w:spacing w:val="9"/>
          <w:sz w:val="20"/>
          <w:szCs w:val="20"/>
        </w:rPr>
        <w:t>承包人的预付款为承包人提供连带责任担保。</w:t>
      </w:r>
    </w:p>
    <w:p w14:paraId="2F3FF874">
      <w:pPr>
        <w:spacing w:before="1" w:line="226" w:lineRule="auto"/>
        <w:ind w:left="444"/>
        <w:rPr>
          <w:rFonts w:ascii="宋体" w:hAnsi="宋体" w:eastAsia="宋体" w:cs="宋体"/>
          <w:sz w:val="20"/>
          <w:szCs w:val="20"/>
        </w:rPr>
      </w:pPr>
      <w:r>
        <w:rPr>
          <w:rFonts w:ascii="宋体" w:hAnsi="宋体" w:eastAsia="宋体" w:cs="宋体"/>
          <w:spacing w:val="3"/>
          <w:sz w:val="20"/>
          <w:szCs w:val="20"/>
        </w:rPr>
        <w:t>1. 担保金额人民币（大写）</w:t>
      </w:r>
      <w:r>
        <w:rPr>
          <w:rFonts w:ascii="宋体" w:hAnsi="宋体" w:eastAsia="宋体" w:cs="宋体"/>
          <w:spacing w:val="5"/>
          <w:sz w:val="20"/>
          <w:szCs w:val="20"/>
          <w:u w:val="single" w:color="auto"/>
        </w:rPr>
        <w:t xml:space="preserve">                </w:t>
      </w:r>
      <w:r>
        <w:rPr>
          <w:rFonts w:ascii="宋体" w:hAnsi="宋体" w:eastAsia="宋体" w:cs="宋体"/>
          <w:spacing w:val="-75"/>
          <w:sz w:val="20"/>
          <w:szCs w:val="20"/>
        </w:rPr>
        <w:t xml:space="preserve"> </w:t>
      </w:r>
      <w:r>
        <w:rPr>
          <w:rFonts w:ascii="宋体" w:hAnsi="宋体" w:eastAsia="宋体" w:cs="宋体"/>
          <w:spacing w:val="3"/>
          <w:sz w:val="20"/>
          <w:szCs w:val="20"/>
        </w:rPr>
        <w:t>元 (¥</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8"/>
          <w:sz w:val="20"/>
          <w:szCs w:val="20"/>
        </w:rPr>
        <w:t xml:space="preserve"> </w:t>
      </w:r>
      <w:r>
        <w:rPr>
          <w:rFonts w:ascii="宋体" w:hAnsi="宋体" w:eastAsia="宋体" w:cs="宋体"/>
          <w:spacing w:val="3"/>
          <w:sz w:val="20"/>
          <w:szCs w:val="20"/>
        </w:rPr>
        <w:t>)。</w:t>
      </w:r>
    </w:p>
    <w:p w14:paraId="2DB6B985">
      <w:pPr>
        <w:spacing w:before="164" w:line="377" w:lineRule="auto"/>
        <w:ind w:left="9" w:firstLine="421"/>
        <w:rPr>
          <w:rFonts w:ascii="宋体" w:hAnsi="宋体" w:eastAsia="宋体" w:cs="宋体"/>
          <w:sz w:val="20"/>
          <w:szCs w:val="20"/>
        </w:rPr>
      </w:pPr>
      <w:r>
        <w:rPr>
          <w:rFonts w:ascii="宋体" w:hAnsi="宋体" w:eastAsia="宋体" w:cs="宋体"/>
          <w:spacing w:val="9"/>
          <w:sz w:val="20"/>
          <w:szCs w:val="20"/>
        </w:rPr>
        <w:t>2. 担保有效期自预付款支付给承包人起生效，至你方签发的进度款支付证</w:t>
      </w:r>
      <w:r>
        <w:rPr>
          <w:rFonts w:ascii="宋体" w:hAnsi="宋体" w:eastAsia="宋体" w:cs="宋体"/>
          <w:spacing w:val="8"/>
          <w:sz w:val="20"/>
          <w:szCs w:val="20"/>
        </w:rPr>
        <w:t>书说明已完全扣清</w:t>
      </w:r>
      <w:r>
        <w:rPr>
          <w:rFonts w:ascii="宋体" w:hAnsi="宋体" w:eastAsia="宋体" w:cs="宋体"/>
          <w:sz w:val="20"/>
          <w:szCs w:val="20"/>
        </w:rPr>
        <w:t>止。</w:t>
      </w:r>
    </w:p>
    <w:p w14:paraId="53F6364C">
      <w:pPr>
        <w:spacing w:before="2" w:line="376" w:lineRule="auto"/>
        <w:ind w:left="12" w:firstLine="420"/>
        <w:rPr>
          <w:rFonts w:ascii="宋体" w:hAnsi="宋体" w:eastAsia="宋体" w:cs="宋体"/>
          <w:sz w:val="20"/>
          <w:szCs w:val="20"/>
        </w:rPr>
      </w:pPr>
      <w:r>
        <w:rPr>
          <w:rFonts w:ascii="宋体" w:hAnsi="宋体" w:eastAsia="宋体" w:cs="宋体"/>
          <w:spacing w:val="9"/>
          <w:sz w:val="20"/>
          <w:szCs w:val="20"/>
        </w:rPr>
        <w:t>3. 在本保函有效期内，因承包人违反合同约定的义务而要求收回预付</w:t>
      </w:r>
      <w:r>
        <w:rPr>
          <w:rFonts w:ascii="宋体" w:hAnsi="宋体" w:eastAsia="宋体" w:cs="宋体"/>
          <w:spacing w:val="8"/>
          <w:sz w:val="20"/>
          <w:szCs w:val="20"/>
        </w:rPr>
        <w:t>款时，我方在收到你方</w:t>
      </w:r>
      <w:r>
        <w:rPr>
          <w:rFonts w:ascii="宋体" w:hAnsi="宋体" w:eastAsia="宋体" w:cs="宋体"/>
          <w:spacing w:val="14"/>
          <w:sz w:val="20"/>
          <w:szCs w:val="20"/>
        </w:rPr>
        <w:t>的书面通知后，在7天内无条件支付。但本保函的担保金额，在任何时候不应超过预付款金额减</w:t>
      </w:r>
      <w:r>
        <w:rPr>
          <w:rFonts w:ascii="宋体" w:hAnsi="宋体" w:eastAsia="宋体" w:cs="宋体"/>
          <w:spacing w:val="9"/>
          <w:sz w:val="20"/>
          <w:szCs w:val="20"/>
        </w:rPr>
        <w:t>去你方按合同约定在向承包人签发的进度款支付证书中扣除的金额。</w:t>
      </w:r>
    </w:p>
    <w:p w14:paraId="0A5996EE">
      <w:pPr>
        <w:spacing w:before="1" w:line="226" w:lineRule="auto"/>
        <w:ind w:left="427"/>
        <w:rPr>
          <w:rFonts w:ascii="宋体" w:hAnsi="宋体" w:eastAsia="宋体" w:cs="宋体"/>
          <w:sz w:val="20"/>
          <w:szCs w:val="20"/>
        </w:rPr>
      </w:pPr>
      <w:r>
        <w:rPr>
          <w:rFonts w:ascii="宋体" w:hAnsi="宋体" w:eastAsia="宋体" w:cs="宋体"/>
          <w:spacing w:val="9"/>
          <w:sz w:val="20"/>
          <w:szCs w:val="20"/>
        </w:rPr>
        <w:t>4. 你方和承包人按合同约定变更合同时，我方承担本保函规定的义务不变。</w:t>
      </w:r>
    </w:p>
    <w:p w14:paraId="04F76C7B">
      <w:pPr>
        <w:spacing w:before="164" w:line="377" w:lineRule="auto"/>
        <w:ind w:left="7" w:right="2" w:firstLine="425"/>
        <w:rPr>
          <w:rFonts w:ascii="宋体" w:hAnsi="宋体" w:eastAsia="宋体" w:cs="宋体"/>
          <w:sz w:val="20"/>
          <w:szCs w:val="20"/>
        </w:rPr>
      </w:pPr>
      <w:r>
        <w:rPr>
          <w:rFonts w:ascii="宋体" w:hAnsi="宋体" w:eastAsia="宋体" w:cs="宋体"/>
          <w:spacing w:val="8"/>
          <w:sz w:val="20"/>
          <w:szCs w:val="20"/>
        </w:rPr>
        <w:t>5. 因本保函发生的纠纷，可由双方协商解决，协商不成的，任何一方均可提请</w:t>
      </w:r>
      <w:r>
        <w:rPr>
          <w:rFonts w:ascii="宋体" w:hAnsi="宋体" w:eastAsia="宋体" w:cs="宋体"/>
          <w:spacing w:val="-86"/>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仲裁</w:t>
      </w:r>
      <w:r>
        <w:rPr>
          <w:rFonts w:ascii="宋体" w:hAnsi="宋体" w:eastAsia="宋体" w:cs="宋体"/>
          <w:spacing w:val="6"/>
          <w:sz w:val="20"/>
          <w:szCs w:val="20"/>
        </w:rPr>
        <w:t>委员会仲裁。</w:t>
      </w:r>
    </w:p>
    <w:p w14:paraId="09F3FD69">
      <w:pPr>
        <w:spacing w:before="1" w:line="226" w:lineRule="auto"/>
        <w:ind w:left="430"/>
        <w:rPr>
          <w:rFonts w:ascii="宋体" w:hAnsi="宋体" w:eastAsia="宋体" w:cs="宋体"/>
          <w:sz w:val="20"/>
          <w:szCs w:val="20"/>
        </w:rPr>
      </w:pPr>
      <w:r>
        <w:rPr>
          <w:rFonts w:ascii="宋体" w:hAnsi="宋体" w:eastAsia="宋体" w:cs="宋体"/>
          <w:spacing w:val="9"/>
          <w:sz w:val="20"/>
          <w:szCs w:val="20"/>
        </w:rPr>
        <w:t>6. 本保函自我方法定代表人（或其授权代理人）签字并加盖公章之日起</w:t>
      </w:r>
      <w:r>
        <w:rPr>
          <w:rFonts w:ascii="宋体" w:hAnsi="宋体" w:eastAsia="宋体" w:cs="宋体"/>
          <w:spacing w:val="8"/>
          <w:sz w:val="20"/>
          <w:szCs w:val="20"/>
        </w:rPr>
        <w:t>生效。</w:t>
      </w:r>
    </w:p>
    <w:p w14:paraId="5642B838">
      <w:pPr>
        <w:spacing w:line="303" w:lineRule="auto"/>
        <w:rPr>
          <w:rFonts w:ascii="Arial"/>
          <w:sz w:val="21"/>
        </w:rPr>
      </w:pPr>
    </w:p>
    <w:p w14:paraId="73C264CC">
      <w:pPr>
        <w:spacing w:line="303" w:lineRule="auto"/>
        <w:rPr>
          <w:rFonts w:ascii="Arial"/>
          <w:sz w:val="21"/>
        </w:rPr>
      </w:pPr>
    </w:p>
    <w:p w14:paraId="67AF4995">
      <w:pPr>
        <w:spacing w:line="303" w:lineRule="auto"/>
        <w:rPr>
          <w:rFonts w:ascii="Arial"/>
          <w:sz w:val="21"/>
        </w:rPr>
      </w:pPr>
    </w:p>
    <w:p w14:paraId="69CA56F0">
      <w:pPr>
        <w:spacing w:before="65" w:line="227" w:lineRule="auto"/>
        <w:ind w:left="3055"/>
        <w:rPr>
          <w:rFonts w:ascii="宋体" w:hAnsi="宋体" w:eastAsia="宋体" w:cs="宋体"/>
          <w:sz w:val="20"/>
          <w:szCs w:val="20"/>
        </w:rPr>
      </w:pPr>
      <w:r>
        <w:rPr>
          <w:rFonts w:ascii="宋体" w:hAnsi="宋体" w:eastAsia="宋体" w:cs="宋体"/>
          <w:spacing w:val="11"/>
          <w:sz w:val="20"/>
          <w:szCs w:val="20"/>
        </w:rPr>
        <w:t>担保人</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盖单位章）</w:t>
      </w:r>
    </w:p>
    <w:p w14:paraId="6E9E121C">
      <w:pPr>
        <w:spacing w:before="162" w:line="228" w:lineRule="auto"/>
        <w:ind w:left="3055"/>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pacing w:val="-2"/>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签字）</w:t>
      </w:r>
    </w:p>
    <w:p w14:paraId="693AB5C4">
      <w:pPr>
        <w:spacing w:before="162" w:line="237" w:lineRule="auto"/>
        <w:ind w:left="3054"/>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320756AA">
      <w:pPr>
        <w:spacing w:before="150" w:line="228" w:lineRule="auto"/>
        <w:ind w:left="3069"/>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p>
    <w:p w14:paraId="04BC53EF">
      <w:pPr>
        <w:spacing w:before="162" w:line="230" w:lineRule="auto"/>
        <w:ind w:left="3078"/>
        <w:rPr>
          <w:rFonts w:ascii="宋体" w:hAnsi="宋体" w:eastAsia="宋体" w:cs="宋体"/>
          <w:sz w:val="20"/>
          <w:szCs w:val="20"/>
        </w:rPr>
      </w:pPr>
      <w:r>
        <w:rPr>
          <w:rFonts w:ascii="宋体" w:hAnsi="宋体" w:eastAsia="宋体" w:cs="宋体"/>
          <w:spacing w:val="-7"/>
          <w:sz w:val="20"/>
          <w:szCs w:val="20"/>
        </w:rPr>
        <w:t>电</w:t>
      </w:r>
      <w:r>
        <w:rPr>
          <w:rFonts w:ascii="宋体" w:hAnsi="宋体" w:eastAsia="宋体" w:cs="宋体"/>
          <w:spacing w:val="9"/>
          <w:sz w:val="20"/>
          <w:szCs w:val="20"/>
        </w:rPr>
        <w:t xml:space="preserve">    </w:t>
      </w:r>
      <w:r>
        <w:rPr>
          <w:rFonts w:ascii="宋体" w:hAnsi="宋体" w:eastAsia="宋体" w:cs="宋体"/>
          <w:spacing w:val="-7"/>
          <w:sz w:val="20"/>
          <w:szCs w:val="20"/>
        </w:rPr>
        <w:t>话</w:t>
      </w:r>
      <w:r>
        <w:rPr>
          <w:rFonts w:ascii="宋体" w:hAnsi="宋体" w:eastAsia="宋体" w:cs="宋体"/>
          <w:spacing w:val="-73"/>
          <w:sz w:val="20"/>
          <w:szCs w:val="20"/>
        </w:rPr>
        <w:t xml:space="preserve"> </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p>
    <w:p w14:paraId="44BD418B">
      <w:pPr>
        <w:spacing w:before="161" w:line="227" w:lineRule="auto"/>
        <w:ind w:left="3052"/>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7"/>
          <w:sz w:val="20"/>
          <w:szCs w:val="20"/>
        </w:rPr>
        <w:t xml:space="preserve">    </w:t>
      </w:r>
      <w:r>
        <w:rPr>
          <w:rFonts w:ascii="宋体" w:hAnsi="宋体" w:eastAsia="宋体" w:cs="宋体"/>
          <w:spacing w:val="-5"/>
          <w:sz w:val="20"/>
          <w:szCs w:val="20"/>
        </w:rPr>
        <w:t>真</w:t>
      </w:r>
      <w:r>
        <w:rPr>
          <w:rFonts w:ascii="宋体" w:hAnsi="宋体" w:eastAsia="宋体" w:cs="宋体"/>
          <w:spacing w:val="-72"/>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002E2BF7">
      <w:pPr>
        <w:spacing w:line="302" w:lineRule="auto"/>
        <w:rPr>
          <w:rFonts w:ascii="Arial"/>
          <w:sz w:val="21"/>
        </w:rPr>
      </w:pPr>
    </w:p>
    <w:p w14:paraId="7F806BD4">
      <w:pPr>
        <w:spacing w:line="302" w:lineRule="auto"/>
        <w:rPr>
          <w:rFonts w:ascii="Arial"/>
          <w:sz w:val="21"/>
        </w:rPr>
      </w:pPr>
    </w:p>
    <w:p w14:paraId="10B42C4F">
      <w:pPr>
        <w:spacing w:line="303" w:lineRule="auto"/>
        <w:rPr>
          <w:rFonts w:ascii="Arial"/>
          <w:sz w:val="21"/>
        </w:rPr>
      </w:pPr>
    </w:p>
    <w:p w14:paraId="3AD6021D">
      <w:pPr>
        <w:tabs>
          <w:tab w:val="left" w:pos="5985"/>
        </w:tabs>
        <w:spacing w:before="65" w:line="228" w:lineRule="auto"/>
        <w:ind w:left="4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35D0702E">
      <w:pPr>
        <w:spacing w:line="228" w:lineRule="auto"/>
        <w:rPr>
          <w:rFonts w:ascii="宋体" w:hAnsi="宋体" w:eastAsia="宋体" w:cs="宋体"/>
          <w:sz w:val="20"/>
          <w:szCs w:val="20"/>
        </w:rPr>
        <w:sectPr>
          <w:footerReference r:id="rId326" w:type="default"/>
          <w:pgSz w:w="11907" w:h="16840"/>
          <w:pgMar w:top="400" w:right="1531" w:bottom="1038" w:left="1473" w:header="0" w:footer="787" w:gutter="0"/>
          <w:cols w:space="720" w:num="1"/>
        </w:sectPr>
      </w:pPr>
    </w:p>
    <w:p w14:paraId="5D690C24">
      <w:pPr>
        <w:spacing w:line="246" w:lineRule="auto"/>
        <w:rPr>
          <w:rFonts w:ascii="Arial"/>
          <w:sz w:val="21"/>
        </w:rPr>
      </w:pPr>
    </w:p>
    <w:p w14:paraId="2B318C17">
      <w:pPr>
        <w:spacing w:line="246" w:lineRule="auto"/>
        <w:rPr>
          <w:rFonts w:ascii="Arial"/>
          <w:sz w:val="21"/>
        </w:rPr>
      </w:pPr>
    </w:p>
    <w:p w14:paraId="39C76564">
      <w:pPr>
        <w:spacing w:line="246" w:lineRule="auto"/>
        <w:rPr>
          <w:rFonts w:ascii="Arial"/>
          <w:sz w:val="21"/>
        </w:rPr>
      </w:pPr>
    </w:p>
    <w:p w14:paraId="0550BDAE">
      <w:pPr>
        <w:spacing w:line="247" w:lineRule="auto"/>
        <w:rPr>
          <w:rFonts w:ascii="Arial"/>
          <w:sz w:val="21"/>
        </w:rPr>
      </w:pPr>
    </w:p>
    <w:p w14:paraId="44F9020E">
      <w:pPr>
        <w:spacing w:line="247" w:lineRule="auto"/>
        <w:rPr>
          <w:rFonts w:ascii="Arial"/>
          <w:sz w:val="21"/>
        </w:rPr>
      </w:pPr>
    </w:p>
    <w:p w14:paraId="17EBEF2B">
      <w:pPr>
        <w:spacing w:line="247" w:lineRule="auto"/>
        <w:rPr>
          <w:rFonts w:ascii="Arial"/>
          <w:sz w:val="21"/>
        </w:rPr>
      </w:pPr>
    </w:p>
    <w:p w14:paraId="0607C3B1">
      <w:pPr>
        <w:spacing w:before="78" w:line="219" w:lineRule="auto"/>
        <w:ind w:left="28"/>
        <w:rPr>
          <w:rFonts w:ascii="宋体" w:hAnsi="宋体" w:eastAsia="宋体" w:cs="宋体"/>
          <w:sz w:val="24"/>
          <w:szCs w:val="24"/>
        </w:rPr>
      </w:pPr>
      <w:r>
        <w:rPr>
          <w:rFonts w:ascii="宋体" w:hAnsi="宋体" w:eastAsia="宋体" w:cs="宋体"/>
          <w:spacing w:val="-12"/>
          <w:sz w:val="24"/>
          <w:szCs w:val="24"/>
        </w:rPr>
        <w:t>附件</w:t>
      </w:r>
      <w:r>
        <w:rPr>
          <w:rFonts w:ascii="宋体" w:hAnsi="宋体" w:eastAsia="宋体" w:cs="宋体"/>
          <w:spacing w:val="-30"/>
          <w:sz w:val="24"/>
          <w:szCs w:val="24"/>
        </w:rPr>
        <w:t xml:space="preserve"> </w:t>
      </w:r>
      <w:r>
        <w:rPr>
          <w:rFonts w:ascii="宋体" w:hAnsi="宋体" w:eastAsia="宋体" w:cs="宋体"/>
          <w:spacing w:val="-12"/>
          <w:sz w:val="24"/>
          <w:szCs w:val="24"/>
        </w:rPr>
        <w:t>10：</w:t>
      </w:r>
    </w:p>
    <w:p w14:paraId="5E9DCB09">
      <w:pPr>
        <w:pStyle w:val="2"/>
        <w:spacing w:before="242" w:line="224" w:lineRule="auto"/>
        <w:ind w:left="3910"/>
        <w:rPr>
          <w:sz w:val="28"/>
          <w:szCs w:val="28"/>
        </w:rPr>
      </w:pPr>
      <w:r>
        <w:rPr>
          <w:spacing w:val="-5"/>
          <w:sz w:val="28"/>
          <w:szCs w:val="28"/>
        </w:rPr>
        <w:t>支付担保</w:t>
      </w:r>
    </w:p>
    <w:p w14:paraId="496D81C0">
      <w:pPr>
        <w:tabs>
          <w:tab w:val="left" w:pos="1365"/>
        </w:tabs>
        <w:spacing w:before="280"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（承包人</w:t>
      </w:r>
      <w:r>
        <w:rPr>
          <w:rFonts w:ascii="宋体" w:hAnsi="宋体" w:eastAsia="宋体" w:cs="宋体"/>
          <w:spacing w:val="-53"/>
          <w:sz w:val="20"/>
          <w:szCs w:val="20"/>
        </w:rPr>
        <w:t>）：</w:t>
      </w:r>
    </w:p>
    <w:p w14:paraId="40EE03B0">
      <w:pPr>
        <w:spacing w:line="423" w:lineRule="auto"/>
        <w:rPr>
          <w:rFonts w:ascii="Arial"/>
          <w:sz w:val="21"/>
        </w:rPr>
      </w:pPr>
    </w:p>
    <w:p w14:paraId="13E57C33">
      <w:pPr>
        <w:spacing w:before="65" w:line="377" w:lineRule="auto"/>
        <w:ind w:left="8" w:right="54" w:firstLine="422"/>
        <w:jc w:val="both"/>
        <w:rPr>
          <w:rFonts w:ascii="宋体" w:hAnsi="宋体" w:eastAsia="宋体" w:cs="宋体"/>
          <w:sz w:val="20"/>
          <w:szCs w:val="20"/>
        </w:rPr>
      </w:pPr>
      <w:r>
        <w:rPr>
          <w:rFonts w:ascii="宋体" w:hAnsi="宋体" w:eastAsia="宋体" w:cs="宋体"/>
          <w:spacing w:val="-2"/>
          <w:sz w:val="20"/>
          <w:szCs w:val="20"/>
        </w:rPr>
        <w:t>鉴于你方作为承包人已经与</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2"/>
          <w:sz w:val="20"/>
          <w:szCs w:val="20"/>
        </w:rPr>
        <w:t>（发包人名称</w:t>
      </w:r>
      <w:r>
        <w:rPr>
          <w:rFonts w:ascii="宋体" w:hAnsi="宋体" w:eastAsia="宋体" w:cs="宋体"/>
          <w:spacing w:val="-41"/>
          <w:w w:val="71"/>
          <w:sz w:val="20"/>
          <w:szCs w:val="20"/>
        </w:rPr>
        <w:t>）（</w:t>
      </w:r>
      <w:r>
        <w:rPr>
          <w:rFonts w:ascii="宋体" w:hAnsi="宋体" w:eastAsia="宋体" w:cs="宋体"/>
          <w:spacing w:val="-2"/>
          <w:sz w:val="20"/>
          <w:szCs w:val="20"/>
        </w:rPr>
        <w:t>以下称“发包人”）于</w:t>
      </w:r>
      <w:r>
        <w:rPr>
          <w:rFonts w:ascii="宋体" w:hAnsi="宋体" w:eastAsia="宋体" w:cs="宋体"/>
          <w:spacing w:val="-2"/>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2"/>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r>
        <w:rPr>
          <w:rFonts w:ascii="宋体" w:hAnsi="宋体" w:eastAsia="宋体" w:cs="宋体"/>
          <w:spacing w:val="4"/>
          <w:sz w:val="20"/>
          <w:szCs w:val="20"/>
        </w:rPr>
        <w:t>签订了</w:t>
      </w:r>
      <w:r>
        <w:rPr>
          <w:rFonts w:ascii="宋体" w:hAnsi="宋体" w:eastAsia="宋体" w:cs="宋体"/>
          <w:spacing w:val="-96"/>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（工程名称）《建设工程</w:t>
      </w:r>
      <w:r>
        <w:rPr>
          <w:rFonts w:ascii="宋体" w:hAnsi="宋体" w:eastAsia="宋体" w:cs="宋体"/>
          <w:spacing w:val="3"/>
          <w:sz w:val="20"/>
          <w:szCs w:val="20"/>
        </w:rPr>
        <w:t>施工合同》（以下称“主合同”</w:t>
      </w:r>
      <w:r>
        <w:rPr>
          <w:rFonts w:ascii="宋体" w:hAnsi="宋体" w:eastAsia="宋体" w:cs="宋体"/>
          <w:spacing w:val="-39"/>
          <w:w w:val="73"/>
          <w:sz w:val="20"/>
          <w:szCs w:val="20"/>
        </w:rPr>
        <w:t>），</w:t>
      </w:r>
      <w:r>
        <w:rPr>
          <w:rFonts w:ascii="宋体" w:hAnsi="宋体" w:eastAsia="宋体" w:cs="宋体"/>
          <w:spacing w:val="3"/>
          <w:sz w:val="20"/>
          <w:szCs w:val="20"/>
        </w:rPr>
        <w:t>应发包人的申请，</w:t>
      </w:r>
      <w:r>
        <w:rPr>
          <w:rFonts w:ascii="宋体" w:hAnsi="宋体" w:eastAsia="宋体" w:cs="宋体"/>
          <w:spacing w:val="9"/>
          <w:sz w:val="20"/>
          <w:szCs w:val="20"/>
        </w:rPr>
        <w:t>我方愿就发包人履行主合同约定的工程款支付义务以保证的方式向你方提供如下担保：</w:t>
      </w:r>
    </w:p>
    <w:p w14:paraId="6177308F">
      <w:pPr>
        <w:pStyle w:val="2"/>
        <w:spacing w:before="1" w:line="229" w:lineRule="auto"/>
        <w:ind w:left="432"/>
        <w:rPr>
          <w:sz w:val="20"/>
          <w:szCs w:val="20"/>
        </w:rPr>
      </w:pPr>
      <w:r>
        <w:rPr>
          <w:spacing w:val="8"/>
          <w:sz w:val="20"/>
          <w:szCs w:val="20"/>
        </w:rPr>
        <w:t>一、保证的范围及保证金额</w:t>
      </w:r>
    </w:p>
    <w:p w14:paraId="71056E32">
      <w:pPr>
        <w:spacing w:before="159" w:line="228" w:lineRule="auto"/>
        <w:ind w:left="444"/>
        <w:rPr>
          <w:rFonts w:ascii="宋体" w:hAnsi="宋体" w:eastAsia="宋体" w:cs="宋体"/>
          <w:sz w:val="20"/>
          <w:szCs w:val="20"/>
        </w:rPr>
      </w:pPr>
      <w:r>
        <w:rPr>
          <w:rFonts w:ascii="宋体" w:hAnsi="宋体" w:eastAsia="宋体" w:cs="宋体"/>
          <w:spacing w:val="7"/>
          <w:sz w:val="20"/>
          <w:szCs w:val="20"/>
        </w:rPr>
        <w:t>1. 我方的保证范围是主合同约定的工程款。</w:t>
      </w:r>
    </w:p>
    <w:p w14:paraId="54A8A9EB">
      <w:pPr>
        <w:spacing w:before="161" w:line="226" w:lineRule="auto"/>
        <w:ind w:left="431"/>
        <w:rPr>
          <w:rFonts w:ascii="宋体" w:hAnsi="宋体" w:eastAsia="宋体" w:cs="宋体"/>
          <w:sz w:val="20"/>
          <w:szCs w:val="20"/>
        </w:rPr>
      </w:pPr>
      <w:r>
        <w:rPr>
          <w:rFonts w:ascii="宋体" w:hAnsi="宋体" w:eastAsia="宋体" w:cs="宋体"/>
          <w:spacing w:val="9"/>
          <w:sz w:val="20"/>
          <w:szCs w:val="20"/>
        </w:rPr>
        <w:t>2. 本保函所称主合同约定的工程款是指主合同约定的除工程质量保证金以外的合同价款。</w:t>
      </w:r>
    </w:p>
    <w:p w14:paraId="1B440A0E">
      <w:pPr>
        <w:spacing w:before="164" w:line="377" w:lineRule="auto"/>
        <w:ind w:left="14" w:right="767" w:firstLine="418"/>
        <w:rPr>
          <w:rFonts w:ascii="宋体" w:hAnsi="宋体" w:eastAsia="宋体" w:cs="宋体"/>
          <w:sz w:val="20"/>
          <w:szCs w:val="20"/>
        </w:rPr>
      </w:pPr>
      <w:r>
        <w:rPr>
          <w:rFonts w:ascii="宋体" w:hAnsi="宋体" w:eastAsia="宋体" w:cs="宋体"/>
          <w:spacing w:val="9"/>
          <w:sz w:val="20"/>
          <w:szCs w:val="20"/>
        </w:rPr>
        <w:t>3. 我方保证的金额是主合同约定的工程款的</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9"/>
          <w:sz w:val="20"/>
          <w:szCs w:val="20"/>
        </w:rPr>
        <w:t>%，数额最高不超过人</w:t>
      </w:r>
      <w:r>
        <w:rPr>
          <w:rFonts w:ascii="宋体" w:hAnsi="宋体" w:eastAsia="宋体" w:cs="宋体"/>
          <w:spacing w:val="8"/>
          <w:sz w:val="20"/>
          <w:szCs w:val="20"/>
        </w:rPr>
        <w:t>民币元（大</w:t>
      </w:r>
      <w:r>
        <w:rPr>
          <w:rFonts w:ascii="宋体" w:hAnsi="宋体" w:eastAsia="宋体" w:cs="宋体"/>
          <w:spacing w:val="10"/>
          <w:sz w:val="20"/>
          <w:szCs w:val="20"/>
        </w:rPr>
        <w:t>写</w:t>
      </w:r>
      <w:r>
        <w:rPr>
          <w:rFonts w:ascii="宋体" w:hAnsi="宋体" w:eastAsia="宋体" w:cs="宋体"/>
          <w:spacing w:val="-41"/>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1"/>
          <w:sz w:val="20"/>
          <w:szCs w:val="20"/>
        </w:rPr>
        <w:t>）</w:t>
      </w:r>
      <w:r>
        <w:rPr>
          <w:rFonts w:ascii="宋体" w:hAnsi="宋体" w:eastAsia="宋体" w:cs="宋体"/>
          <w:spacing w:val="10"/>
          <w:sz w:val="20"/>
          <w:szCs w:val="20"/>
        </w:rPr>
        <w:t>。</w:t>
      </w:r>
    </w:p>
    <w:p w14:paraId="1AC12D4B">
      <w:pPr>
        <w:pStyle w:val="2"/>
        <w:spacing w:line="229" w:lineRule="auto"/>
        <w:ind w:left="432"/>
        <w:rPr>
          <w:sz w:val="20"/>
          <w:szCs w:val="20"/>
        </w:rPr>
      </w:pPr>
      <w:r>
        <w:rPr>
          <w:spacing w:val="8"/>
          <w:sz w:val="20"/>
          <w:szCs w:val="20"/>
        </w:rPr>
        <w:t>二、保证的方式及保证期间</w:t>
      </w:r>
    </w:p>
    <w:p w14:paraId="1DFE0BBE">
      <w:pPr>
        <w:spacing w:before="160" w:line="228" w:lineRule="auto"/>
        <w:ind w:left="444"/>
        <w:rPr>
          <w:rFonts w:ascii="宋体" w:hAnsi="宋体" w:eastAsia="宋体" w:cs="宋体"/>
          <w:sz w:val="20"/>
          <w:szCs w:val="20"/>
        </w:rPr>
      </w:pPr>
      <w:r>
        <w:rPr>
          <w:rFonts w:ascii="宋体" w:hAnsi="宋体" w:eastAsia="宋体" w:cs="宋体"/>
          <w:spacing w:val="7"/>
          <w:sz w:val="20"/>
          <w:szCs w:val="20"/>
        </w:rPr>
        <w:t>1. 我方保证的方式为：连带责任保证。</w:t>
      </w:r>
    </w:p>
    <w:p w14:paraId="5B3031EE">
      <w:pPr>
        <w:spacing w:before="163" w:line="377" w:lineRule="auto"/>
        <w:ind w:left="34" w:right="241" w:firstLine="397"/>
        <w:rPr>
          <w:rFonts w:ascii="宋体" w:hAnsi="宋体" w:eastAsia="宋体" w:cs="宋体"/>
          <w:sz w:val="20"/>
          <w:szCs w:val="20"/>
        </w:rPr>
      </w:pPr>
      <w:r>
        <w:rPr>
          <w:rFonts w:ascii="宋体" w:hAnsi="宋体" w:eastAsia="宋体" w:cs="宋体"/>
          <w:spacing w:val="7"/>
          <w:sz w:val="20"/>
          <w:szCs w:val="20"/>
        </w:rPr>
        <w:t>2. 我方保证的期间为：</w:t>
      </w:r>
      <w:r>
        <w:rPr>
          <w:rFonts w:ascii="宋体" w:hAnsi="宋体" w:eastAsia="宋体" w:cs="宋体"/>
          <w:spacing w:val="-46"/>
          <w:sz w:val="20"/>
          <w:szCs w:val="20"/>
        </w:rPr>
        <w:t xml:space="preserve"> </w:t>
      </w:r>
      <w:r>
        <w:rPr>
          <w:rFonts w:ascii="宋体" w:hAnsi="宋体" w:eastAsia="宋体" w:cs="宋体"/>
          <w:spacing w:val="7"/>
          <w:sz w:val="20"/>
          <w:szCs w:val="20"/>
        </w:rPr>
        <w:t>自本合同生效之日起至主合同约定的</w:t>
      </w:r>
      <w:r>
        <w:rPr>
          <w:rFonts w:ascii="宋体" w:hAnsi="宋体" w:eastAsia="宋体" w:cs="宋体"/>
          <w:spacing w:val="6"/>
          <w:sz w:val="20"/>
          <w:szCs w:val="20"/>
        </w:rPr>
        <w:t>工程款支付完毕之日后</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6"/>
          <w:sz w:val="20"/>
          <w:szCs w:val="20"/>
        </w:rPr>
        <w:t>日</w:t>
      </w:r>
      <w:r>
        <w:rPr>
          <w:rFonts w:ascii="宋体" w:hAnsi="宋体" w:eastAsia="宋体" w:cs="宋体"/>
          <w:spacing w:val="-13"/>
          <w:sz w:val="20"/>
          <w:szCs w:val="20"/>
        </w:rPr>
        <w:t>内。</w:t>
      </w:r>
    </w:p>
    <w:p w14:paraId="7E130D58">
      <w:pPr>
        <w:spacing w:before="1" w:line="376" w:lineRule="auto"/>
        <w:ind w:left="8" w:right="54" w:firstLine="424"/>
        <w:rPr>
          <w:rFonts w:ascii="宋体" w:hAnsi="宋体" w:eastAsia="宋体" w:cs="宋体"/>
          <w:sz w:val="20"/>
          <w:szCs w:val="20"/>
        </w:rPr>
      </w:pPr>
      <w:r>
        <w:rPr>
          <w:rFonts w:ascii="宋体" w:hAnsi="宋体" w:eastAsia="宋体" w:cs="宋体"/>
          <w:spacing w:val="9"/>
          <w:sz w:val="20"/>
          <w:szCs w:val="20"/>
        </w:rPr>
        <w:t>3. 你方与发包人协议变更工程款支付日期的，经我方书面同意后，保</w:t>
      </w:r>
      <w:r>
        <w:rPr>
          <w:rFonts w:ascii="宋体" w:hAnsi="宋体" w:eastAsia="宋体" w:cs="宋体"/>
          <w:spacing w:val="8"/>
          <w:sz w:val="20"/>
          <w:szCs w:val="20"/>
        </w:rPr>
        <w:t>证期间按照变更后的支</w:t>
      </w:r>
      <w:r>
        <w:rPr>
          <w:rFonts w:ascii="宋体" w:hAnsi="宋体" w:eastAsia="宋体" w:cs="宋体"/>
          <w:spacing w:val="7"/>
          <w:sz w:val="20"/>
          <w:szCs w:val="20"/>
        </w:rPr>
        <w:t>付日期做相应调整。</w:t>
      </w:r>
    </w:p>
    <w:p w14:paraId="20470004">
      <w:pPr>
        <w:pStyle w:val="2"/>
        <w:spacing w:line="229" w:lineRule="auto"/>
        <w:ind w:left="432"/>
        <w:rPr>
          <w:sz w:val="20"/>
          <w:szCs w:val="20"/>
        </w:rPr>
      </w:pPr>
      <w:r>
        <w:rPr>
          <w:spacing w:val="8"/>
          <w:sz w:val="20"/>
          <w:szCs w:val="20"/>
        </w:rPr>
        <w:t>三、承担保证责任的形式</w:t>
      </w:r>
    </w:p>
    <w:p w14:paraId="7FABAB7F">
      <w:pPr>
        <w:spacing w:before="159" w:line="378" w:lineRule="auto"/>
        <w:ind w:left="7" w:right="138" w:firstLine="422"/>
        <w:rPr>
          <w:rFonts w:ascii="宋体" w:hAnsi="宋体" w:eastAsia="宋体" w:cs="宋体"/>
          <w:sz w:val="20"/>
          <w:szCs w:val="20"/>
        </w:rPr>
      </w:pPr>
      <w:r>
        <w:rPr>
          <w:rFonts w:ascii="宋体" w:hAnsi="宋体" w:eastAsia="宋体" w:cs="宋体"/>
          <w:spacing w:val="10"/>
          <w:sz w:val="20"/>
          <w:szCs w:val="20"/>
        </w:rPr>
        <w:t>我方承担保证责任的形式是代为支付。发包人未按主合同约</w:t>
      </w:r>
      <w:r>
        <w:rPr>
          <w:rFonts w:ascii="宋体" w:hAnsi="宋体" w:eastAsia="宋体" w:cs="宋体"/>
          <w:spacing w:val="9"/>
          <w:sz w:val="20"/>
          <w:szCs w:val="20"/>
        </w:rPr>
        <w:t>定向你方支付工程款的，由我方</w:t>
      </w:r>
      <w:r>
        <w:rPr>
          <w:rFonts w:ascii="宋体" w:hAnsi="宋体" w:eastAsia="宋体" w:cs="宋体"/>
          <w:spacing w:val="8"/>
          <w:sz w:val="20"/>
          <w:szCs w:val="20"/>
        </w:rPr>
        <w:t>在保证金额内代为支付。</w:t>
      </w:r>
    </w:p>
    <w:p w14:paraId="41CB78CA">
      <w:pPr>
        <w:pStyle w:val="2"/>
        <w:spacing w:before="1" w:line="230" w:lineRule="auto"/>
        <w:ind w:left="441"/>
        <w:rPr>
          <w:sz w:val="20"/>
          <w:szCs w:val="20"/>
        </w:rPr>
      </w:pPr>
      <w:r>
        <w:rPr>
          <w:spacing w:val="6"/>
          <w:sz w:val="20"/>
          <w:szCs w:val="20"/>
        </w:rPr>
        <w:t>四、代偿的安排</w:t>
      </w:r>
    </w:p>
    <w:p w14:paraId="169FABDE">
      <w:pPr>
        <w:spacing w:before="157" w:line="378" w:lineRule="auto"/>
        <w:ind w:left="7" w:right="54" w:firstLine="436"/>
        <w:rPr>
          <w:rFonts w:ascii="宋体" w:hAnsi="宋体" w:eastAsia="宋体" w:cs="宋体"/>
          <w:sz w:val="20"/>
          <w:szCs w:val="20"/>
        </w:rPr>
      </w:pPr>
      <w:r>
        <w:rPr>
          <w:rFonts w:ascii="宋体" w:hAnsi="宋体" w:eastAsia="宋体" w:cs="宋体"/>
          <w:spacing w:val="9"/>
          <w:sz w:val="20"/>
          <w:szCs w:val="20"/>
        </w:rPr>
        <w:t>1. 你方要求我方承担保证责任的，应向我方</w:t>
      </w:r>
      <w:r>
        <w:rPr>
          <w:rFonts w:ascii="宋体" w:hAnsi="宋体" w:eastAsia="宋体" w:cs="宋体"/>
          <w:spacing w:val="8"/>
          <w:sz w:val="20"/>
          <w:szCs w:val="20"/>
        </w:rPr>
        <w:t>发出书面索赔通知及发包人未支付主合同约定工</w:t>
      </w:r>
      <w:r>
        <w:rPr>
          <w:rFonts w:ascii="宋体" w:hAnsi="宋体" w:eastAsia="宋体" w:cs="宋体"/>
          <w:spacing w:val="9"/>
          <w:sz w:val="20"/>
          <w:szCs w:val="20"/>
        </w:rPr>
        <w:t>程款的证明材料。索赔通知应写明要求索赔的金额，支付款项应到达的账号。</w:t>
      </w:r>
    </w:p>
    <w:p w14:paraId="5D812BF7">
      <w:pPr>
        <w:spacing w:before="3" w:line="376" w:lineRule="auto"/>
        <w:ind w:left="9" w:right="56" w:firstLine="421"/>
        <w:rPr>
          <w:rFonts w:ascii="宋体" w:hAnsi="宋体" w:eastAsia="宋体" w:cs="宋体"/>
          <w:sz w:val="20"/>
          <w:szCs w:val="20"/>
        </w:rPr>
      </w:pPr>
      <w:r>
        <w:rPr>
          <w:rFonts w:ascii="宋体" w:hAnsi="宋体" w:eastAsia="宋体" w:cs="宋体"/>
          <w:spacing w:val="9"/>
          <w:sz w:val="20"/>
          <w:szCs w:val="20"/>
        </w:rPr>
        <w:t>2. 在出现你方与发包人因工程质量发生争议，发包人拒绝向你方支</w:t>
      </w:r>
      <w:r>
        <w:rPr>
          <w:rFonts w:ascii="宋体" w:hAnsi="宋体" w:eastAsia="宋体" w:cs="宋体"/>
          <w:spacing w:val="8"/>
          <w:sz w:val="20"/>
          <w:szCs w:val="20"/>
        </w:rPr>
        <w:t>付工程款的情形时，你方</w:t>
      </w:r>
      <w:r>
        <w:rPr>
          <w:rFonts w:ascii="宋体" w:hAnsi="宋体" w:eastAsia="宋体" w:cs="宋体"/>
          <w:spacing w:val="10"/>
          <w:sz w:val="20"/>
          <w:szCs w:val="20"/>
        </w:rPr>
        <w:t>要求我方履行保证责任代为支付的，需提供符合相应条件要求的工</w:t>
      </w:r>
      <w:r>
        <w:rPr>
          <w:rFonts w:ascii="宋体" w:hAnsi="宋体" w:eastAsia="宋体" w:cs="宋体"/>
          <w:spacing w:val="9"/>
          <w:sz w:val="20"/>
          <w:szCs w:val="20"/>
        </w:rPr>
        <w:t>程质量检测机构出具的质量说</w:t>
      </w:r>
      <w:r>
        <w:rPr>
          <w:rFonts w:ascii="宋体" w:hAnsi="宋体" w:eastAsia="宋体" w:cs="宋体"/>
          <w:spacing w:val="4"/>
          <w:sz w:val="20"/>
          <w:szCs w:val="20"/>
        </w:rPr>
        <w:t>明材料。</w:t>
      </w:r>
    </w:p>
    <w:p w14:paraId="3AEA5F46">
      <w:pPr>
        <w:spacing w:before="1" w:line="226" w:lineRule="auto"/>
        <w:ind w:left="432"/>
        <w:rPr>
          <w:rFonts w:ascii="宋体" w:hAnsi="宋体" w:eastAsia="宋体" w:cs="宋体"/>
          <w:sz w:val="20"/>
          <w:szCs w:val="20"/>
        </w:rPr>
      </w:pPr>
      <w:r>
        <w:rPr>
          <w:rFonts w:ascii="宋体" w:hAnsi="宋体" w:eastAsia="宋体" w:cs="宋体"/>
          <w:spacing w:val="12"/>
          <w:sz w:val="20"/>
          <w:szCs w:val="20"/>
        </w:rPr>
        <w:t>3. 我方收到你方的书面索赔通知及相应的证明材料</w:t>
      </w:r>
      <w:r>
        <w:rPr>
          <w:rFonts w:ascii="宋体" w:hAnsi="宋体" w:eastAsia="宋体" w:cs="宋体"/>
          <w:spacing w:val="11"/>
          <w:sz w:val="20"/>
          <w:szCs w:val="20"/>
        </w:rPr>
        <w:t>后7天内无条件支付。</w:t>
      </w:r>
    </w:p>
    <w:p w14:paraId="65C9556E">
      <w:pPr>
        <w:pStyle w:val="2"/>
        <w:spacing w:before="164" w:line="229" w:lineRule="auto"/>
        <w:ind w:left="434"/>
        <w:rPr>
          <w:sz w:val="20"/>
          <w:szCs w:val="20"/>
        </w:rPr>
      </w:pPr>
      <w:r>
        <w:rPr>
          <w:spacing w:val="8"/>
          <w:sz w:val="20"/>
          <w:szCs w:val="20"/>
        </w:rPr>
        <w:t>五、保证责任的解除</w:t>
      </w:r>
    </w:p>
    <w:p w14:paraId="41C72A9F">
      <w:pPr>
        <w:spacing w:before="159" w:line="377" w:lineRule="auto"/>
        <w:ind w:left="10" w:firstLine="433"/>
        <w:rPr>
          <w:rFonts w:ascii="宋体" w:hAnsi="宋体" w:eastAsia="宋体" w:cs="宋体"/>
          <w:sz w:val="20"/>
          <w:szCs w:val="20"/>
        </w:rPr>
      </w:pPr>
      <w:r>
        <w:rPr>
          <w:rFonts w:ascii="宋体" w:hAnsi="宋体" w:eastAsia="宋体" w:cs="宋体"/>
          <w:spacing w:val="5"/>
          <w:sz w:val="20"/>
          <w:szCs w:val="20"/>
        </w:rPr>
        <w:t>1. 在本保函承诺的保证期间内，你方未书面向我方主张保证责任的，自保证期间届满</w:t>
      </w:r>
      <w:r>
        <w:rPr>
          <w:rFonts w:ascii="宋体" w:hAnsi="宋体" w:eastAsia="宋体" w:cs="宋体"/>
          <w:spacing w:val="4"/>
          <w:sz w:val="20"/>
          <w:szCs w:val="20"/>
        </w:rPr>
        <w:t>次日起，</w:t>
      </w:r>
      <w:r>
        <w:rPr>
          <w:rFonts w:ascii="宋体" w:hAnsi="宋体" w:eastAsia="宋体" w:cs="宋体"/>
          <w:spacing w:val="7"/>
          <w:sz w:val="20"/>
          <w:szCs w:val="20"/>
        </w:rPr>
        <w:t>我方保证责任解除。</w:t>
      </w:r>
    </w:p>
    <w:p w14:paraId="1FCC09E4">
      <w:pPr>
        <w:spacing w:before="1" w:line="226" w:lineRule="auto"/>
        <w:ind w:left="431"/>
        <w:rPr>
          <w:rFonts w:ascii="宋体" w:hAnsi="宋体" w:eastAsia="宋体" w:cs="宋体"/>
          <w:sz w:val="20"/>
          <w:szCs w:val="20"/>
        </w:rPr>
      </w:pPr>
      <w:r>
        <w:rPr>
          <w:rFonts w:ascii="宋体" w:hAnsi="宋体" w:eastAsia="宋体" w:cs="宋体"/>
          <w:spacing w:val="9"/>
          <w:sz w:val="20"/>
          <w:szCs w:val="20"/>
        </w:rPr>
        <w:t>2. 发包人按主合同约定履行了工程款的全部支付义务的，自本保函承诺的</w:t>
      </w:r>
      <w:r>
        <w:rPr>
          <w:rFonts w:ascii="宋体" w:hAnsi="宋体" w:eastAsia="宋体" w:cs="宋体"/>
          <w:spacing w:val="8"/>
          <w:sz w:val="20"/>
          <w:szCs w:val="20"/>
        </w:rPr>
        <w:t>保证期间届满次日</w:t>
      </w:r>
    </w:p>
    <w:p w14:paraId="0A598D26">
      <w:pPr>
        <w:spacing w:line="226" w:lineRule="auto"/>
        <w:rPr>
          <w:rFonts w:ascii="宋体" w:hAnsi="宋体" w:eastAsia="宋体" w:cs="宋体"/>
          <w:sz w:val="20"/>
          <w:szCs w:val="20"/>
        </w:rPr>
        <w:sectPr>
          <w:footerReference r:id="rId327" w:type="default"/>
          <w:pgSz w:w="11907" w:h="16840"/>
          <w:pgMar w:top="400" w:right="1477" w:bottom="1038" w:left="1473" w:header="0" w:footer="787" w:gutter="0"/>
          <w:cols w:space="720" w:num="1"/>
        </w:sectPr>
      </w:pPr>
    </w:p>
    <w:p w14:paraId="52275DCF">
      <w:pPr>
        <w:spacing w:line="251" w:lineRule="auto"/>
        <w:rPr>
          <w:rFonts w:ascii="Arial"/>
          <w:sz w:val="21"/>
        </w:rPr>
      </w:pPr>
    </w:p>
    <w:p w14:paraId="40ADAFFB">
      <w:pPr>
        <w:spacing w:line="251" w:lineRule="auto"/>
        <w:rPr>
          <w:rFonts w:ascii="Arial"/>
          <w:sz w:val="21"/>
        </w:rPr>
      </w:pPr>
    </w:p>
    <w:p w14:paraId="3F5E8E71">
      <w:pPr>
        <w:spacing w:line="252" w:lineRule="auto"/>
        <w:rPr>
          <w:rFonts w:ascii="Arial"/>
          <w:sz w:val="21"/>
        </w:rPr>
      </w:pPr>
    </w:p>
    <w:p w14:paraId="18ACEB3A">
      <w:pPr>
        <w:spacing w:line="252" w:lineRule="auto"/>
        <w:rPr>
          <w:rFonts w:ascii="Arial"/>
          <w:sz w:val="21"/>
        </w:rPr>
      </w:pPr>
    </w:p>
    <w:p w14:paraId="595184E4">
      <w:pPr>
        <w:spacing w:line="252" w:lineRule="auto"/>
        <w:rPr>
          <w:rFonts w:ascii="Arial"/>
          <w:sz w:val="21"/>
        </w:rPr>
      </w:pPr>
    </w:p>
    <w:p w14:paraId="0A7A2700">
      <w:pPr>
        <w:spacing w:before="65" w:line="228" w:lineRule="auto"/>
        <w:ind w:left="1"/>
        <w:rPr>
          <w:rFonts w:ascii="宋体" w:hAnsi="宋体" w:eastAsia="宋体" w:cs="宋体"/>
          <w:sz w:val="20"/>
          <w:szCs w:val="20"/>
        </w:rPr>
      </w:pPr>
      <w:r>
        <w:rPr>
          <w:rFonts w:ascii="宋体" w:hAnsi="宋体" w:eastAsia="宋体" w:cs="宋体"/>
          <w:spacing w:val="8"/>
          <w:sz w:val="20"/>
          <w:szCs w:val="20"/>
        </w:rPr>
        <w:t>起，我方保证责任解除。</w:t>
      </w:r>
    </w:p>
    <w:p w14:paraId="2D537AF2">
      <w:pPr>
        <w:spacing w:before="160" w:line="378" w:lineRule="auto"/>
        <w:ind w:firstLine="424"/>
        <w:rPr>
          <w:rFonts w:ascii="宋体" w:hAnsi="宋体" w:eastAsia="宋体" w:cs="宋体"/>
          <w:sz w:val="20"/>
          <w:szCs w:val="20"/>
        </w:rPr>
      </w:pPr>
      <w:r>
        <w:rPr>
          <w:rFonts w:ascii="宋体" w:hAnsi="宋体" w:eastAsia="宋体" w:cs="宋体"/>
          <w:spacing w:val="9"/>
          <w:sz w:val="20"/>
          <w:szCs w:val="20"/>
        </w:rPr>
        <w:t>3. 我方按照本保函向你方履行保证责任所支付金额达到本保函保证金</w:t>
      </w:r>
      <w:r>
        <w:rPr>
          <w:rFonts w:ascii="宋体" w:hAnsi="宋体" w:eastAsia="宋体" w:cs="宋体"/>
          <w:spacing w:val="8"/>
          <w:sz w:val="20"/>
          <w:szCs w:val="20"/>
        </w:rPr>
        <w:t>额时，自我方向你方支</w:t>
      </w:r>
      <w:r>
        <w:rPr>
          <w:rFonts w:ascii="宋体" w:hAnsi="宋体" w:eastAsia="宋体" w:cs="宋体"/>
          <w:spacing w:val="9"/>
          <w:sz w:val="20"/>
          <w:szCs w:val="20"/>
        </w:rPr>
        <w:t>付（支付款项从我方账户划出）之日起，保证责任即解除。</w:t>
      </w:r>
    </w:p>
    <w:p w14:paraId="4331ADF5">
      <w:pPr>
        <w:spacing w:line="378" w:lineRule="auto"/>
        <w:ind w:left="8" w:firstLine="411"/>
        <w:rPr>
          <w:rFonts w:ascii="宋体" w:hAnsi="宋体" w:eastAsia="宋体" w:cs="宋体"/>
          <w:sz w:val="20"/>
          <w:szCs w:val="20"/>
        </w:rPr>
      </w:pPr>
      <w:r>
        <w:rPr>
          <w:rFonts w:ascii="宋体" w:hAnsi="宋体" w:eastAsia="宋体" w:cs="宋体"/>
          <w:spacing w:val="9"/>
          <w:sz w:val="20"/>
          <w:szCs w:val="20"/>
        </w:rPr>
        <w:t>4. 按照法律法规的规定或出现应解除我方保证责任的其他情形的，我方在本保函</w:t>
      </w:r>
      <w:r>
        <w:rPr>
          <w:rFonts w:ascii="宋体" w:hAnsi="宋体" w:eastAsia="宋体" w:cs="宋体"/>
          <w:spacing w:val="8"/>
          <w:sz w:val="20"/>
          <w:szCs w:val="20"/>
        </w:rPr>
        <w:t>项下的保证</w:t>
      </w:r>
      <w:r>
        <w:rPr>
          <w:rFonts w:ascii="宋体" w:hAnsi="宋体" w:eastAsia="宋体" w:cs="宋体"/>
          <w:spacing w:val="5"/>
          <w:sz w:val="20"/>
          <w:szCs w:val="20"/>
        </w:rPr>
        <w:t>责任亦解除。</w:t>
      </w:r>
    </w:p>
    <w:p w14:paraId="3B273C64">
      <w:pPr>
        <w:spacing w:line="337" w:lineRule="auto"/>
        <w:rPr>
          <w:rFonts w:ascii="Arial"/>
          <w:sz w:val="21"/>
        </w:rPr>
      </w:pPr>
    </w:p>
    <w:p w14:paraId="7D9168E1">
      <w:pPr>
        <w:spacing w:before="65" w:line="378" w:lineRule="auto"/>
        <w:ind w:firstLine="425"/>
        <w:rPr>
          <w:rFonts w:ascii="宋体" w:hAnsi="宋体" w:eastAsia="宋体" w:cs="宋体"/>
          <w:sz w:val="20"/>
          <w:szCs w:val="20"/>
        </w:rPr>
      </w:pPr>
      <w:r>
        <w:rPr>
          <w:rFonts w:ascii="宋体" w:hAnsi="宋体" w:eastAsia="宋体" w:cs="宋体"/>
          <w:spacing w:val="9"/>
          <w:sz w:val="20"/>
          <w:szCs w:val="20"/>
        </w:rPr>
        <w:t>5. 我方解除保证责任后，你方应自我方保证</w:t>
      </w:r>
      <w:r>
        <w:rPr>
          <w:rFonts w:ascii="宋体" w:hAnsi="宋体" w:eastAsia="宋体" w:cs="宋体"/>
          <w:spacing w:val="8"/>
          <w:sz w:val="20"/>
          <w:szCs w:val="20"/>
        </w:rPr>
        <w:t>责任解除之日起</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8"/>
          <w:sz w:val="20"/>
          <w:szCs w:val="20"/>
        </w:rPr>
        <w:t>个工作日内，将本保函原件返</w:t>
      </w:r>
      <w:r>
        <w:rPr>
          <w:rFonts w:ascii="宋体" w:hAnsi="宋体" w:eastAsia="宋体" w:cs="宋体"/>
          <w:spacing w:val="5"/>
          <w:sz w:val="20"/>
          <w:szCs w:val="20"/>
        </w:rPr>
        <w:t>还我方。</w:t>
      </w:r>
    </w:p>
    <w:p w14:paraId="65142254">
      <w:pPr>
        <w:pStyle w:val="2"/>
        <w:spacing w:line="229" w:lineRule="auto"/>
        <w:ind w:left="427"/>
        <w:rPr>
          <w:sz w:val="20"/>
          <w:szCs w:val="20"/>
        </w:rPr>
      </w:pPr>
      <w:r>
        <w:rPr>
          <w:spacing w:val="7"/>
          <w:sz w:val="20"/>
          <w:szCs w:val="20"/>
        </w:rPr>
        <w:t>六、免责条款</w:t>
      </w:r>
    </w:p>
    <w:p w14:paraId="24301CCA">
      <w:pPr>
        <w:spacing w:before="159" w:line="228" w:lineRule="auto"/>
        <w:ind w:left="436"/>
        <w:rPr>
          <w:rFonts w:ascii="宋体" w:hAnsi="宋体" w:eastAsia="宋体" w:cs="宋体"/>
          <w:sz w:val="20"/>
          <w:szCs w:val="20"/>
        </w:rPr>
      </w:pPr>
      <w:r>
        <w:rPr>
          <w:rFonts w:ascii="宋体" w:hAnsi="宋体" w:eastAsia="宋体" w:cs="宋体"/>
          <w:spacing w:val="8"/>
          <w:sz w:val="20"/>
          <w:szCs w:val="20"/>
        </w:rPr>
        <w:t>1. 因你方违约致使发包人不能履行义务的，我方不承担保证责任。</w:t>
      </w:r>
    </w:p>
    <w:p w14:paraId="1EE80A4A">
      <w:pPr>
        <w:spacing w:before="161" w:line="378" w:lineRule="auto"/>
        <w:ind w:left="5" w:firstLine="417"/>
        <w:rPr>
          <w:rFonts w:ascii="宋体" w:hAnsi="宋体" w:eastAsia="宋体" w:cs="宋体"/>
          <w:sz w:val="20"/>
          <w:szCs w:val="20"/>
        </w:rPr>
      </w:pPr>
      <w:r>
        <w:rPr>
          <w:rFonts w:ascii="宋体" w:hAnsi="宋体" w:eastAsia="宋体" w:cs="宋体"/>
          <w:spacing w:val="9"/>
          <w:sz w:val="20"/>
          <w:szCs w:val="20"/>
        </w:rPr>
        <w:t>2. 依照法律法规的规定或你方与发包人的另行约定，免除发包人部分或全</w:t>
      </w:r>
      <w:r>
        <w:rPr>
          <w:rFonts w:ascii="宋体" w:hAnsi="宋体" w:eastAsia="宋体" w:cs="宋体"/>
          <w:spacing w:val="8"/>
          <w:sz w:val="20"/>
          <w:szCs w:val="20"/>
        </w:rPr>
        <w:t>部义务的，我方亦</w:t>
      </w:r>
      <w:r>
        <w:rPr>
          <w:rFonts w:ascii="宋体" w:hAnsi="宋体" w:eastAsia="宋体" w:cs="宋体"/>
          <w:spacing w:val="7"/>
          <w:sz w:val="20"/>
          <w:szCs w:val="20"/>
        </w:rPr>
        <w:t>免除其相应的保证责任。</w:t>
      </w:r>
    </w:p>
    <w:p w14:paraId="7857FEB1">
      <w:pPr>
        <w:spacing w:before="2" w:line="376" w:lineRule="auto"/>
        <w:ind w:left="1" w:right="2" w:firstLine="423"/>
        <w:rPr>
          <w:rFonts w:ascii="宋体" w:hAnsi="宋体" w:eastAsia="宋体" w:cs="宋体"/>
          <w:sz w:val="20"/>
          <w:szCs w:val="20"/>
        </w:rPr>
      </w:pPr>
      <w:r>
        <w:rPr>
          <w:rFonts w:ascii="宋体" w:hAnsi="宋体" w:eastAsia="宋体" w:cs="宋体"/>
          <w:spacing w:val="9"/>
          <w:sz w:val="20"/>
          <w:szCs w:val="20"/>
        </w:rPr>
        <w:t>3. 你方与发包人协议变更主合同的，如加重发包人责任致使我方</w:t>
      </w:r>
      <w:r>
        <w:rPr>
          <w:rFonts w:ascii="宋体" w:hAnsi="宋体" w:eastAsia="宋体" w:cs="宋体"/>
          <w:spacing w:val="8"/>
          <w:sz w:val="20"/>
          <w:szCs w:val="20"/>
        </w:rPr>
        <w:t>保证责任加重的，需征得我方书面同意，否则我方不再承担因此而加重部分的保证责任，但主合同第</w:t>
      </w:r>
      <w:r>
        <w:rPr>
          <w:rFonts w:ascii="宋体" w:hAnsi="宋体" w:eastAsia="宋体" w:cs="宋体"/>
          <w:spacing w:val="-16"/>
          <w:sz w:val="20"/>
          <w:szCs w:val="20"/>
        </w:rPr>
        <w:t xml:space="preserve"> </w:t>
      </w:r>
      <w:r>
        <w:rPr>
          <w:rFonts w:ascii="宋体" w:hAnsi="宋体" w:eastAsia="宋体" w:cs="宋体"/>
          <w:spacing w:val="8"/>
          <w:sz w:val="20"/>
          <w:szCs w:val="20"/>
        </w:rPr>
        <w:t>10</w:t>
      </w:r>
      <w:r>
        <w:rPr>
          <w:rFonts w:ascii="宋体" w:hAnsi="宋体" w:eastAsia="宋体" w:cs="宋体"/>
          <w:spacing w:val="-39"/>
          <w:sz w:val="20"/>
          <w:szCs w:val="20"/>
        </w:rPr>
        <w:t xml:space="preserve"> </w:t>
      </w:r>
      <w:r>
        <w:rPr>
          <w:rFonts w:ascii="宋体" w:hAnsi="宋体" w:eastAsia="宋体" w:cs="宋体"/>
          <w:spacing w:val="8"/>
          <w:sz w:val="20"/>
          <w:szCs w:val="20"/>
        </w:rPr>
        <w:t>条〔变更〕约定的变</w:t>
      </w:r>
      <w:r>
        <w:rPr>
          <w:rFonts w:ascii="宋体" w:hAnsi="宋体" w:eastAsia="宋体" w:cs="宋体"/>
          <w:spacing w:val="7"/>
          <w:sz w:val="20"/>
          <w:szCs w:val="20"/>
        </w:rPr>
        <w:t>更不受本款限制。</w:t>
      </w:r>
    </w:p>
    <w:p w14:paraId="426B5A81">
      <w:pPr>
        <w:spacing w:line="227" w:lineRule="auto"/>
        <w:ind w:left="420"/>
        <w:rPr>
          <w:rFonts w:ascii="宋体" w:hAnsi="宋体" w:eastAsia="宋体" w:cs="宋体"/>
          <w:sz w:val="20"/>
          <w:szCs w:val="20"/>
        </w:rPr>
      </w:pPr>
      <w:r>
        <w:rPr>
          <w:rFonts w:ascii="宋体" w:hAnsi="宋体" w:eastAsia="宋体" w:cs="宋体"/>
          <w:spacing w:val="9"/>
          <w:sz w:val="20"/>
          <w:szCs w:val="20"/>
        </w:rPr>
        <w:t>4. 因不可抗力造成发包人不能履行义务的，我方不承担</w:t>
      </w:r>
      <w:r>
        <w:rPr>
          <w:rFonts w:ascii="宋体" w:hAnsi="宋体" w:eastAsia="宋体" w:cs="宋体"/>
          <w:spacing w:val="8"/>
          <w:sz w:val="20"/>
          <w:szCs w:val="20"/>
        </w:rPr>
        <w:t>保证责任。</w:t>
      </w:r>
    </w:p>
    <w:p w14:paraId="3D93B43B">
      <w:pPr>
        <w:pStyle w:val="2"/>
        <w:spacing w:before="164" w:line="230" w:lineRule="auto"/>
        <w:ind w:left="420"/>
        <w:rPr>
          <w:sz w:val="20"/>
          <w:szCs w:val="20"/>
        </w:rPr>
      </w:pPr>
      <w:r>
        <w:rPr>
          <w:spacing w:val="8"/>
          <w:sz w:val="20"/>
          <w:szCs w:val="20"/>
        </w:rPr>
        <w:t>七、争议解决</w:t>
      </w:r>
    </w:p>
    <w:p w14:paraId="0D9859E4">
      <w:pPr>
        <w:spacing w:before="159" w:line="378" w:lineRule="auto"/>
        <w:ind w:left="1" w:firstLine="435"/>
        <w:rPr>
          <w:rFonts w:ascii="宋体" w:hAnsi="宋体" w:eastAsia="宋体" w:cs="宋体"/>
          <w:sz w:val="20"/>
          <w:szCs w:val="20"/>
        </w:rPr>
      </w:pPr>
      <w:r>
        <w:rPr>
          <w:rFonts w:ascii="宋体" w:hAnsi="宋体" w:eastAsia="宋体" w:cs="宋体"/>
          <w:spacing w:val="8"/>
          <w:sz w:val="20"/>
          <w:szCs w:val="20"/>
        </w:rPr>
        <w:t>因本保函或本保函相关事项发生的纠纷，可由双方协商解决，协商不成的，按下列第</w:t>
      </w:r>
      <w:r>
        <w:rPr>
          <w:rFonts w:ascii="宋体" w:hAnsi="宋体" w:eastAsia="宋体" w:cs="宋体"/>
          <w:spacing w:val="-83"/>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8"/>
          <w:sz w:val="20"/>
          <w:szCs w:val="20"/>
        </w:rPr>
        <w:t>种</w:t>
      </w:r>
      <w:r>
        <w:rPr>
          <w:rFonts w:ascii="宋体" w:hAnsi="宋体" w:eastAsia="宋体" w:cs="宋体"/>
          <w:spacing w:val="6"/>
          <w:sz w:val="20"/>
          <w:szCs w:val="20"/>
        </w:rPr>
        <w:t>方式解决：</w:t>
      </w:r>
    </w:p>
    <w:p w14:paraId="08584569">
      <w:pPr>
        <w:spacing w:before="117" w:line="227" w:lineRule="auto"/>
        <w:ind w:left="430"/>
        <w:rPr>
          <w:rFonts w:ascii="宋体" w:hAnsi="宋体" w:eastAsia="宋体" w:cs="宋体"/>
          <w:sz w:val="20"/>
          <w:szCs w:val="20"/>
        </w:rPr>
      </w:pPr>
      <w:r>
        <w:rPr>
          <w:rFonts w:ascii="宋体" w:hAnsi="宋体" w:eastAsia="宋体" w:cs="宋体"/>
          <w:spacing w:val="6"/>
          <w:sz w:val="20"/>
          <w:szCs w:val="20"/>
        </w:rPr>
        <w:t>（1）向</w:t>
      </w:r>
      <w:r>
        <w:rPr>
          <w:rFonts w:ascii="宋体" w:hAnsi="宋体" w:eastAsia="宋体" w:cs="宋体"/>
          <w:spacing w:val="-88"/>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6"/>
          <w:sz w:val="20"/>
          <w:szCs w:val="20"/>
        </w:rPr>
        <w:t>仲裁委员会申请仲裁；</w:t>
      </w:r>
    </w:p>
    <w:p w14:paraId="23B7A6AB">
      <w:pPr>
        <w:spacing w:before="162" w:line="228" w:lineRule="auto"/>
        <w:ind w:left="430"/>
        <w:rPr>
          <w:rFonts w:ascii="宋体" w:hAnsi="宋体" w:eastAsia="宋体" w:cs="宋体"/>
          <w:sz w:val="20"/>
          <w:szCs w:val="20"/>
        </w:rPr>
      </w:pPr>
      <w:r>
        <w:rPr>
          <w:rFonts w:ascii="宋体" w:hAnsi="宋体" w:eastAsia="宋体" w:cs="宋体"/>
          <w:spacing w:val="5"/>
          <w:sz w:val="20"/>
          <w:szCs w:val="20"/>
        </w:rPr>
        <w:t>（2）向</w:t>
      </w:r>
      <w:r>
        <w:rPr>
          <w:rFonts w:ascii="宋体" w:hAnsi="宋体" w:eastAsia="宋体" w:cs="宋体"/>
          <w:spacing w:val="-92"/>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5"/>
          <w:sz w:val="20"/>
          <w:szCs w:val="20"/>
        </w:rPr>
        <w:t>人民法院起诉。</w:t>
      </w:r>
    </w:p>
    <w:p w14:paraId="71778FB2">
      <w:pPr>
        <w:pStyle w:val="2"/>
        <w:spacing w:before="161" w:line="229" w:lineRule="auto"/>
        <w:ind w:left="420"/>
        <w:rPr>
          <w:sz w:val="20"/>
          <w:szCs w:val="20"/>
        </w:rPr>
      </w:pPr>
      <w:r>
        <w:rPr>
          <w:spacing w:val="8"/>
          <w:sz w:val="20"/>
          <w:szCs w:val="20"/>
        </w:rPr>
        <w:t>八、保函的生效</w:t>
      </w:r>
    </w:p>
    <w:p w14:paraId="13122FE1">
      <w:pPr>
        <w:spacing w:before="162" w:line="227" w:lineRule="auto"/>
        <w:ind w:left="421"/>
        <w:rPr>
          <w:rFonts w:ascii="宋体" w:hAnsi="宋体" w:eastAsia="宋体" w:cs="宋体"/>
          <w:sz w:val="20"/>
          <w:szCs w:val="20"/>
        </w:rPr>
      </w:pPr>
      <w:r>
        <w:rPr>
          <w:rFonts w:ascii="宋体" w:hAnsi="宋体" w:eastAsia="宋体" w:cs="宋体"/>
          <w:spacing w:val="9"/>
          <w:sz w:val="20"/>
          <w:szCs w:val="20"/>
        </w:rPr>
        <w:t>本保函自我方法定代表人（或其授权代理人）签字并加盖公章之日起生效。</w:t>
      </w:r>
    </w:p>
    <w:p w14:paraId="749A469B">
      <w:pPr>
        <w:spacing w:line="302" w:lineRule="auto"/>
        <w:rPr>
          <w:rFonts w:ascii="Arial"/>
          <w:sz w:val="21"/>
        </w:rPr>
      </w:pPr>
    </w:p>
    <w:p w14:paraId="15D1E223">
      <w:pPr>
        <w:spacing w:line="302" w:lineRule="auto"/>
        <w:rPr>
          <w:rFonts w:ascii="Arial"/>
          <w:sz w:val="21"/>
        </w:rPr>
      </w:pPr>
    </w:p>
    <w:p w14:paraId="22BF2264">
      <w:pPr>
        <w:spacing w:line="303" w:lineRule="auto"/>
        <w:rPr>
          <w:rFonts w:ascii="Arial"/>
          <w:sz w:val="21"/>
        </w:rPr>
      </w:pPr>
    </w:p>
    <w:p w14:paraId="7D08D7A8">
      <w:pPr>
        <w:spacing w:before="66" w:line="227" w:lineRule="auto"/>
        <w:ind w:left="2627"/>
        <w:rPr>
          <w:rFonts w:ascii="宋体" w:hAnsi="宋体" w:eastAsia="宋体" w:cs="宋体"/>
          <w:sz w:val="20"/>
          <w:szCs w:val="20"/>
        </w:rPr>
      </w:pPr>
      <w:r>
        <w:rPr>
          <w:rFonts w:ascii="宋体" w:hAnsi="宋体" w:eastAsia="宋体" w:cs="宋体"/>
          <w:spacing w:val="11"/>
          <w:sz w:val="20"/>
          <w:szCs w:val="20"/>
        </w:rPr>
        <w:t>担保人</w:t>
      </w:r>
      <w:r>
        <w:rPr>
          <w:rFonts w:ascii="宋体" w:hAnsi="宋体" w:eastAsia="宋体" w:cs="宋体"/>
          <w:spacing w:val="-4"/>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盖章）</w:t>
      </w:r>
    </w:p>
    <w:p w14:paraId="1DF70368">
      <w:pPr>
        <w:spacing w:before="164" w:line="228" w:lineRule="auto"/>
        <w:ind w:left="2627"/>
        <w:rPr>
          <w:rFonts w:ascii="宋体" w:hAnsi="宋体" w:eastAsia="宋体" w:cs="宋体"/>
          <w:sz w:val="20"/>
          <w:szCs w:val="20"/>
        </w:rPr>
      </w:pPr>
      <w:r>
        <w:rPr>
          <w:rFonts w:ascii="宋体" w:hAnsi="宋体" w:eastAsia="宋体" w:cs="宋体"/>
          <w:spacing w:val="10"/>
          <w:sz w:val="20"/>
          <w:szCs w:val="20"/>
        </w:rPr>
        <w:t>法定代表人或委托代理人</w:t>
      </w:r>
      <w:r>
        <w:rPr>
          <w:rFonts w:ascii="宋体" w:hAnsi="宋体" w:eastAsia="宋体" w:cs="宋体"/>
          <w:spacing w:val="-41"/>
          <w:w w:val="7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1"/>
          <w:w w:val="76"/>
          <w:sz w:val="20"/>
          <w:szCs w:val="20"/>
        </w:rPr>
        <w:t>（</w:t>
      </w:r>
      <w:r>
        <w:rPr>
          <w:rFonts w:ascii="宋体" w:hAnsi="宋体" w:eastAsia="宋体" w:cs="宋体"/>
          <w:spacing w:val="10"/>
          <w:sz w:val="20"/>
          <w:szCs w:val="20"/>
        </w:rPr>
        <w:t>签字）</w:t>
      </w:r>
    </w:p>
    <w:p w14:paraId="25FA2F70">
      <w:pPr>
        <w:spacing w:before="161" w:line="237" w:lineRule="auto"/>
        <w:ind w:left="2626"/>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33A30EEB">
      <w:pPr>
        <w:spacing w:before="151" w:line="228" w:lineRule="auto"/>
        <w:ind w:left="2641"/>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p>
    <w:p w14:paraId="1A3AF926">
      <w:pPr>
        <w:spacing w:before="162" w:line="227" w:lineRule="auto"/>
        <w:ind w:left="2624"/>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7"/>
          <w:sz w:val="20"/>
          <w:szCs w:val="20"/>
        </w:rPr>
        <w:t xml:space="preserve">    </w:t>
      </w:r>
      <w:r>
        <w:rPr>
          <w:rFonts w:ascii="宋体" w:hAnsi="宋体" w:eastAsia="宋体" w:cs="宋体"/>
          <w:spacing w:val="-5"/>
          <w:sz w:val="20"/>
          <w:szCs w:val="20"/>
        </w:rPr>
        <w:t>真</w:t>
      </w:r>
      <w:r>
        <w:rPr>
          <w:rFonts w:ascii="宋体" w:hAnsi="宋体" w:eastAsia="宋体" w:cs="宋体"/>
          <w:spacing w:val="-72"/>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7A697933">
      <w:pPr>
        <w:spacing w:line="250" w:lineRule="auto"/>
        <w:rPr>
          <w:rFonts w:ascii="Arial"/>
          <w:sz w:val="21"/>
        </w:rPr>
      </w:pPr>
    </w:p>
    <w:p w14:paraId="1B4DDA94">
      <w:pPr>
        <w:spacing w:line="251" w:lineRule="auto"/>
        <w:rPr>
          <w:rFonts w:ascii="Arial"/>
          <w:sz w:val="21"/>
        </w:rPr>
      </w:pPr>
    </w:p>
    <w:p w14:paraId="478D932D">
      <w:pPr>
        <w:tabs>
          <w:tab w:val="left" w:pos="5557"/>
        </w:tabs>
        <w:spacing w:before="65" w:line="228" w:lineRule="auto"/>
        <w:ind w:left="3983"/>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1AA138C3">
      <w:pPr>
        <w:spacing w:line="228" w:lineRule="auto"/>
        <w:rPr>
          <w:rFonts w:ascii="宋体" w:hAnsi="宋体" w:eastAsia="宋体" w:cs="宋体"/>
          <w:sz w:val="20"/>
          <w:szCs w:val="20"/>
        </w:rPr>
        <w:sectPr>
          <w:footerReference r:id="rId328" w:type="default"/>
          <w:pgSz w:w="11907" w:h="16840"/>
          <w:pgMar w:top="400" w:right="1531" w:bottom="1038" w:left="1480" w:header="0" w:footer="787" w:gutter="0"/>
          <w:cols w:space="720" w:num="1"/>
        </w:sectPr>
      </w:pPr>
    </w:p>
    <w:p w14:paraId="7B0A55EA">
      <w:pPr>
        <w:spacing w:line="246" w:lineRule="auto"/>
        <w:rPr>
          <w:rFonts w:ascii="Arial"/>
          <w:sz w:val="21"/>
        </w:rPr>
      </w:pPr>
    </w:p>
    <w:p w14:paraId="3F1F19F3">
      <w:pPr>
        <w:spacing w:line="246" w:lineRule="auto"/>
        <w:rPr>
          <w:rFonts w:ascii="Arial"/>
          <w:sz w:val="21"/>
        </w:rPr>
      </w:pPr>
    </w:p>
    <w:p w14:paraId="49C09147">
      <w:pPr>
        <w:spacing w:line="246" w:lineRule="auto"/>
        <w:rPr>
          <w:rFonts w:ascii="Arial"/>
          <w:sz w:val="21"/>
        </w:rPr>
      </w:pPr>
    </w:p>
    <w:p w14:paraId="7AD3C7EA">
      <w:pPr>
        <w:spacing w:line="247" w:lineRule="auto"/>
        <w:rPr>
          <w:rFonts w:ascii="Arial"/>
          <w:sz w:val="21"/>
        </w:rPr>
      </w:pPr>
    </w:p>
    <w:p w14:paraId="4972AD94">
      <w:pPr>
        <w:spacing w:line="247" w:lineRule="auto"/>
        <w:rPr>
          <w:rFonts w:ascii="Arial"/>
          <w:sz w:val="21"/>
        </w:rPr>
      </w:pPr>
    </w:p>
    <w:p w14:paraId="5C7D886E">
      <w:pPr>
        <w:spacing w:line="247" w:lineRule="auto"/>
        <w:rPr>
          <w:rFonts w:ascii="Arial"/>
          <w:sz w:val="21"/>
        </w:rPr>
      </w:pPr>
    </w:p>
    <w:p w14:paraId="5CA6561B">
      <w:pPr>
        <w:spacing w:before="78" w:line="219" w:lineRule="auto"/>
        <w:ind w:left="184"/>
        <w:rPr>
          <w:rFonts w:ascii="宋体" w:hAnsi="宋体" w:eastAsia="宋体" w:cs="宋体"/>
          <w:sz w:val="24"/>
          <w:szCs w:val="24"/>
        </w:rPr>
      </w:pPr>
      <w:r>
        <w:rPr>
          <w:rFonts w:ascii="宋体" w:hAnsi="宋体" w:eastAsia="宋体" w:cs="宋体"/>
          <w:spacing w:val="-12"/>
          <w:sz w:val="24"/>
          <w:szCs w:val="24"/>
        </w:rPr>
        <w:t>附件</w:t>
      </w:r>
      <w:r>
        <w:rPr>
          <w:rFonts w:ascii="宋体" w:hAnsi="宋体" w:eastAsia="宋体" w:cs="宋体"/>
          <w:spacing w:val="-30"/>
          <w:sz w:val="24"/>
          <w:szCs w:val="24"/>
        </w:rPr>
        <w:t xml:space="preserve"> </w:t>
      </w:r>
      <w:r>
        <w:rPr>
          <w:rFonts w:ascii="宋体" w:hAnsi="宋体" w:eastAsia="宋体" w:cs="宋体"/>
          <w:spacing w:val="-12"/>
          <w:sz w:val="24"/>
          <w:szCs w:val="24"/>
        </w:rPr>
        <w:t>11：</w:t>
      </w:r>
    </w:p>
    <w:p w14:paraId="7AFD8E86">
      <w:pPr>
        <w:pStyle w:val="2"/>
        <w:spacing w:before="242" w:line="222" w:lineRule="auto"/>
        <w:ind w:left="3407"/>
        <w:rPr>
          <w:sz w:val="28"/>
          <w:szCs w:val="28"/>
        </w:rPr>
      </w:pPr>
      <w:r>
        <w:rPr>
          <w:rFonts w:ascii="Times New Roman" w:hAnsi="Times New Roman" w:eastAsia="Times New Roman" w:cs="Times New Roman"/>
          <w:spacing w:val="-7"/>
          <w:sz w:val="28"/>
          <w:szCs w:val="28"/>
        </w:rPr>
        <w:t>11-</w:t>
      </w:r>
      <w:r>
        <w:rPr>
          <w:rFonts w:ascii="Times New Roman" w:hAnsi="Times New Roman" w:eastAsia="Times New Roman" w:cs="Times New Roman"/>
          <w:spacing w:val="-36"/>
          <w:sz w:val="28"/>
          <w:szCs w:val="28"/>
        </w:rPr>
        <w:t xml:space="preserve"> </w:t>
      </w:r>
      <w:r>
        <w:rPr>
          <w:rFonts w:ascii="Times New Roman" w:hAnsi="Times New Roman" w:eastAsia="Times New Roman" w:cs="Times New Roman"/>
          <w:spacing w:val="-7"/>
          <w:sz w:val="28"/>
          <w:szCs w:val="28"/>
        </w:rPr>
        <w:t>1</w:t>
      </w:r>
      <w:r>
        <w:rPr>
          <w:spacing w:val="-7"/>
          <w:sz w:val="28"/>
          <w:szCs w:val="28"/>
        </w:rPr>
        <w:t>：材料暂估价表</w:t>
      </w:r>
    </w:p>
    <w:p w14:paraId="37FFF805">
      <w:pPr>
        <w:spacing w:line="110" w:lineRule="exact"/>
      </w:pPr>
    </w:p>
    <w:tbl>
      <w:tblPr>
        <w:tblStyle w:val="5"/>
        <w:tblW w:w="9076"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4"/>
        <w:gridCol w:w="1978"/>
        <w:gridCol w:w="849"/>
        <w:gridCol w:w="772"/>
        <w:gridCol w:w="1348"/>
        <w:gridCol w:w="1414"/>
        <w:gridCol w:w="1711"/>
      </w:tblGrid>
      <w:tr w14:paraId="7A40F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1004" w:type="dxa"/>
            <w:tcBorders>
              <w:top w:val="single" w:color="000000" w:sz="10" w:space="0"/>
              <w:left w:val="single" w:color="000000" w:sz="10" w:space="0"/>
            </w:tcBorders>
            <w:vAlign w:val="top"/>
          </w:tcPr>
          <w:p w14:paraId="060E8EC9">
            <w:pPr>
              <w:pStyle w:val="6"/>
              <w:spacing w:before="177" w:line="229" w:lineRule="auto"/>
              <w:ind w:left="282"/>
            </w:pPr>
            <w:r>
              <w:rPr>
                <w:spacing w:val="5"/>
              </w:rPr>
              <w:t>序号</w:t>
            </w:r>
          </w:p>
        </w:tc>
        <w:tc>
          <w:tcPr>
            <w:tcW w:w="1978" w:type="dxa"/>
            <w:tcBorders>
              <w:top w:val="single" w:color="000000" w:sz="10" w:space="0"/>
            </w:tcBorders>
            <w:vAlign w:val="top"/>
          </w:tcPr>
          <w:p w14:paraId="24CB0950">
            <w:pPr>
              <w:pStyle w:val="6"/>
              <w:spacing w:before="176" w:line="230" w:lineRule="auto"/>
              <w:ind w:left="779"/>
            </w:pPr>
            <w:r>
              <w:rPr>
                <w:spacing w:val="3"/>
              </w:rPr>
              <w:t>名称</w:t>
            </w:r>
          </w:p>
        </w:tc>
        <w:tc>
          <w:tcPr>
            <w:tcW w:w="849" w:type="dxa"/>
            <w:tcBorders>
              <w:top w:val="single" w:color="000000" w:sz="10" w:space="0"/>
            </w:tcBorders>
            <w:vAlign w:val="top"/>
          </w:tcPr>
          <w:p w14:paraId="5DAA86B0">
            <w:pPr>
              <w:pStyle w:val="6"/>
              <w:spacing w:before="177" w:line="228" w:lineRule="auto"/>
              <w:ind w:left="216"/>
            </w:pPr>
            <w:r>
              <w:rPr>
                <w:spacing w:val="3"/>
              </w:rPr>
              <w:t>单位</w:t>
            </w:r>
          </w:p>
        </w:tc>
        <w:tc>
          <w:tcPr>
            <w:tcW w:w="772" w:type="dxa"/>
            <w:tcBorders>
              <w:top w:val="single" w:color="000000" w:sz="10" w:space="0"/>
            </w:tcBorders>
            <w:vAlign w:val="top"/>
          </w:tcPr>
          <w:p w14:paraId="3B1F3919">
            <w:pPr>
              <w:pStyle w:val="6"/>
              <w:spacing w:before="176" w:line="228" w:lineRule="auto"/>
              <w:ind w:left="181"/>
            </w:pPr>
            <w:r>
              <w:rPr>
                <w:spacing w:val="3"/>
              </w:rPr>
              <w:t>数量</w:t>
            </w:r>
          </w:p>
        </w:tc>
        <w:tc>
          <w:tcPr>
            <w:tcW w:w="1348" w:type="dxa"/>
            <w:tcBorders>
              <w:top w:val="single" w:color="000000" w:sz="10" w:space="0"/>
            </w:tcBorders>
            <w:vAlign w:val="top"/>
          </w:tcPr>
          <w:p w14:paraId="374C323F">
            <w:pPr>
              <w:pStyle w:val="6"/>
              <w:spacing w:before="177" w:line="226" w:lineRule="auto"/>
              <w:ind w:left="155"/>
            </w:pPr>
            <w:r>
              <w:rPr>
                <w:spacing w:val="5"/>
              </w:rPr>
              <w:t>单价（元）</w:t>
            </w:r>
          </w:p>
        </w:tc>
        <w:tc>
          <w:tcPr>
            <w:tcW w:w="1414" w:type="dxa"/>
            <w:tcBorders>
              <w:top w:val="single" w:color="000000" w:sz="10" w:space="0"/>
            </w:tcBorders>
            <w:vAlign w:val="top"/>
          </w:tcPr>
          <w:p w14:paraId="6C31387D">
            <w:pPr>
              <w:pStyle w:val="6"/>
              <w:spacing w:before="177" w:line="226" w:lineRule="auto"/>
              <w:ind w:left="191"/>
            </w:pPr>
            <w:r>
              <w:rPr>
                <w:spacing w:val="5"/>
              </w:rPr>
              <w:t>合价（元）</w:t>
            </w:r>
          </w:p>
        </w:tc>
        <w:tc>
          <w:tcPr>
            <w:tcW w:w="1711" w:type="dxa"/>
            <w:tcBorders>
              <w:top w:val="single" w:color="000000" w:sz="10" w:space="0"/>
              <w:right w:val="single" w:color="000000" w:sz="10" w:space="0"/>
            </w:tcBorders>
            <w:vAlign w:val="top"/>
          </w:tcPr>
          <w:p w14:paraId="63C19F70">
            <w:pPr>
              <w:pStyle w:val="6"/>
              <w:spacing w:before="177" w:line="229" w:lineRule="auto"/>
              <w:ind w:left="653"/>
            </w:pPr>
            <w:r>
              <w:rPr>
                <w:spacing w:val="3"/>
              </w:rPr>
              <w:t>备注</w:t>
            </w:r>
          </w:p>
        </w:tc>
      </w:tr>
      <w:tr w14:paraId="5B416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1004" w:type="dxa"/>
            <w:tcBorders>
              <w:left w:val="single" w:color="000000" w:sz="10" w:space="0"/>
            </w:tcBorders>
            <w:vAlign w:val="top"/>
          </w:tcPr>
          <w:p w14:paraId="3F4EFC3D">
            <w:pPr>
              <w:rPr>
                <w:rFonts w:ascii="Arial"/>
                <w:sz w:val="21"/>
              </w:rPr>
            </w:pPr>
          </w:p>
        </w:tc>
        <w:tc>
          <w:tcPr>
            <w:tcW w:w="1978" w:type="dxa"/>
            <w:vAlign w:val="top"/>
          </w:tcPr>
          <w:p w14:paraId="6E575704">
            <w:pPr>
              <w:rPr>
                <w:rFonts w:ascii="Arial"/>
                <w:sz w:val="21"/>
              </w:rPr>
            </w:pPr>
          </w:p>
        </w:tc>
        <w:tc>
          <w:tcPr>
            <w:tcW w:w="849" w:type="dxa"/>
            <w:vAlign w:val="top"/>
          </w:tcPr>
          <w:p w14:paraId="54FF3DCB">
            <w:pPr>
              <w:rPr>
                <w:rFonts w:ascii="Arial"/>
                <w:sz w:val="21"/>
              </w:rPr>
            </w:pPr>
          </w:p>
        </w:tc>
        <w:tc>
          <w:tcPr>
            <w:tcW w:w="772" w:type="dxa"/>
            <w:vAlign w:val="top"/>
          </w:tcPr>
          <w:p w14:paraId="40BFDA4A">
            <w:pPr>
              <w:rPr>
                <w:rFonts w:ascii="Arial"/>
                <w:sz w:val="21"/>
              </w:rPr>
            </w:pPr>
          </w:p>
        </w:tc>
        <w:tc>
          <w:tcPr>
            <w:tcW w:w="1348" w:type="dxa"/>
            <w:vAlign w:val="top"/>
          </w:tcPr>
          <w:p w14:paraId="4F99FB0F">
            <w:pPr>
              <w:rPr>
                <w:rFonts w:ascii="Arial"/>
                <w:sz w:val="21"/>
              </w:rPr>
            </w:pPr>
          </w:p>
        </w:tc>
        <w:tc>
          <w:tcPr>
            <w:tcW w:w="1414" w:type="dxa"/>
            <w:vAlign w:val="top"/>
          </w:tcPr>
          <w:p w14:paraId="4AFCF675">
            <w:pPr>
              <w:rPr>
                <w:rFonts w:ascii="Arial"/>
                <w:sz w:val="21"/>
              </w:rPr>
            </w:pPr>
          </w:p>
        </w:tc>
        <w:tc>
          <w:tcPr>
            <w:tcW w:w="1711" w:type="dxa"/>
            <w:tcBorders>
              <w:right w:val="single" w:color="000000" w:sz="10" w:space="0"/>
            </w:tcBorders>
            <w:vAlign w:val="top"/>
          </w:tcPr>
          <w:p w14:paraId="2B31C496">
            <w:pPr>
              <w:rPr>
                <w:rFonts w:ascii="Arial"/>
                <w:sz w:val="21"/>
              </w:rPr>
            </w:pPr>
          </w:p>
        </w:tc>
      </w:tr>
      <w:tr w14:paraId="1EFD6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756FCD9E">
            <w:pPr>
              <w:rPr>
                <w:rFonts w:ascii="Arial"/>
                <w:sz w:val="21"/>
              </w:rPr>
            </w:pPr>
          </w:p>
        </w:tc>
        <w:tc>
          <w:tcPr>
            <w:tcW w:w="1978" w:type="dxa"/>
            <w:vAlign w:val="top"/>
          </w:tcPr>
          <w:p w14:paraId="20DF8803">
            <w:pPr>
              <w:rPr>
                <w:rFonts w:ascii="Arial"/>
                <w:sz w:val="21"/>
              </w:rPr>
            </w:pPr>
          </w:p>
        </w:tc>
        <w:tc>
          <w:tcPr>
            <w:tcW w:w="849" w:type="dxa"/>
            <w:vAlign w:val="top"/>
          </w:tcPr>
          <w:p w14:paraId="7DCCD66D">
            <w:pPr>
              <w:rPr>
                <w:rFonts w:ascii="Arial"/>
                <w:sz w:val="21"/>
              </w:rPr>
            </w:pPr>
          </w:p>
        </w:tc>
        <w:tc>
          <w:tcPr>
            <w:tcW w:w="772" w:type="dxa"/>
            <w:vAlign w:val="top"/>
          </w:tcPr>
          <w:p w14:paraId="0455C9D7">
            <w:pPr>
              <w:rPr>
                <w:rFonts w:ascii="Arial"/>
                <w:sz w:val="21"/>
              </w:rPr>
            </w:pPr>
          </w:p>
        </w:tc>
        <w:tc>
          <w:tcPr>
            <w:tcW w:w="1348" w:type="dxa"/>
            <w:vAlign w:val="top"/>
          </w:tcPr>
          <w:p w14:paraId="0ED08546">
            <w:pPr>
              <w:rPr>
                <w:rFonts w:ascii="Arial"/>
                <w:sz w:val="21"/>
              </w:rPr>
            </w:pPr>
          </w:p>
        </w:tc>
        <w:tc>
          <w:tcPr>
            <w:tcW w:w="1414" w:type="dxa"/>
            <w:vAlign w:val="top"/>
          </w:tcPr>
          <w:p w14:paraId="59497978">
            <w:pPr>
              <w:rPr>
                <w:rFonts w:ascii="Arial"/>
                <w:sz w:val="21"/>
              </w:rPr>
            </w:pPr>
          </w:p>
        </w:tc>
        <w:tc>
          <w:tcPr>
            <w:tcW w:w="1711" w:type="dxa"/>
            <w:tcBorders>
              <w:right w:val="single" w:color="000000" w:sz="10" w:space="0"/>
            </w:tcBorders>
            <w:vAlign w:val="top"/>
          </w:tcPr>
          <w:p w14:paraId="007439FE">
            <w:pPr>
              <w:rPr>
                <w:rFonts w:ascii="Arial"/>
                <w:sz w:val="21"/>
              </w:rPr>
            </w:pPr>
          </w:p>
        </w:tc>
      </w:tr>
      <w:tr w14:paraId="49A1E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67B7B1E">
            <w:pPr>
              <w:rPr>
                <w:rFonts w:ascii="Arial"/>
                <w:sz w:val="21"/>
              </w:rPr>
            </w:pPr>
          </w:p>
        </w:tc>
        <w:tc>
          <w:tcPr>
            <w:tcW w:w="1978" w:type="dxa"/>
            <w:vAlign w:val="top"/>
          </w:tcPr>
          <w:p w14:paraId="2D185822">
            <w:pPr>
              <w:rPr>
                <w:rFonts w:ascii="Arial"/>
                <w:sz w:val="21"/>
              </w:rPr>
            </w:pPr>
          </w:p>
        </w:tc>
        <w:tc>
          <w:tcPr>
            <w:tcW w:w="849" w:type="dxa"/>
            <w:vAlign w:val="top"/>
          </w:tcPr>
          <w:p w14:paraId="493ADBE5">
            <w:pPr>
              <w:rPr>
                <w:rFonts w:ascii="Arial"/>
                <w:sz w:val="21"/>
              </w:rPr>
            </w:pPr>
          </w:p>
        </w:tc>
        <w:tc>
          <w:tcPr>
            <w:tcW w:w="772" w:type="dxa"/>
            <w:vAlign w:val="top"/>
          </w:tcPr>
          <w:p w14:paraId="40CF29FA">
            <w:pPr>
              <w:rPr>
                <w:rFonts w:ascii="Arial"/>
                <w:sz w:val="21"/>
              </w:rPr>
            </w:pPr>
          </w:p>
        </w:tc>
        <w:tc>
          <w:tcPr>
            <w:tcW w:w="1348" w:type="dxa"/>
            <w:vAlign w:val="top"/>
          </w:tcPr>
          <w:p w14:paraId="5EFA9B52">
            <w:pPr>
              <w:rPr>
                <w:rFonts w:ascii="Arial"/>
                <w:sz w:val="21"/>
              </w:rPr>
            </w:pPr>
          </w:p>
        </w:tc>
        <w:tc>
          <w:tcPr>
            <w:tcW w:w="1414" w:type="dxa"/>
            <w:vAlign w:val="top"/>
          </w:tcPr>
          <w:p w14:paraId="72BDDE8B">
            <w:pPr>
              <w:rPr>
                <w:rFonts w:ascii="Arial"/>
                <w:sz w:val="21"/>
              </w:rPr>
            </w:pPr>
          </w:p>
        </w:tc>
        <w:tc>
          <w:tcPr>
            <w:tcW w:w="1711" w:type="dxa"/>
            <w:tcBorders>
              <w:right w:val="single" w:color="000000" w:sz="10" w:space="0"/>
            </w:tcBorders>
            <w:vAlign w:val="top"/>
          </w:tcPr>
          <w:p w14:paraId="5D8272BF">
            <w:pPr>
              <w:rPr>
                <w:rFonts w:ascii="Arial"/>
                <w:sz w:val="21"/>
              </w:rPr>
            </w:pPr>
          </w:p>
        </w:tc>
      </w:tr>
      <w:tr w14:paraId="15698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44DBA2E">
            <w:pPr>
              <w:rPr>
                <w:rFonts w:ascii="Arial"/>
                <w:sz w:val="21"/>
              </w:rPr>
            </w:pPr>
          </w:p>
        </w:tc>
        <w:tc>
          <w:tcPr>
            <w:tcW w:w="1978" w:type="dxa"/>
            <w:vAlign w:val="top"/>
          </w:tcPr>
          <w:p w14:paraId="4B485DAB">
            <w:pPr>
              <w:rPr>
                <w:rFonts w:ascii="Arial"/>
                <w:sz w:val="21"/>
              </w:rPr>
            </w:pPr>
          </w:p>
        </w:tc>
        <w:tc>
          <w:tcPr>
            <w:tcW w:w="849" w:type="dxa"/>
            <w:vAlign w:val="top"/>
          </w:tcPr>
          <w:p w14:paraId="35115164">
            <w:pPr>
              <w:rPr>
                <w:rFonts w:ascii="Arial"/>
                <w:sz w:val="21"/>
              </w:rPr>
            </w:pPr>
          </w:p>
        </w:tc>
        <w:tc>
          <w:tcPr>
            <w:tcW w:w="772" w:type="dxa"/>
            <w:vAlign w:val="top"/>
          </w:tcPr>
          <w:p w14:paraId="7518605A">
            <w:pPr>
              <w:rPr>
                <w:rFonts w:ascii="Arial"/>
                <w:sz w:val="21"/>
              </w:rPr>
            </w:pPr>
          </w:p>
        </w:tc>
        <w:tc>
          <w:tcPr>
            <w:tcW w:w="1348" w:type="dxa"/>
            <w:vAlign w:val="top"/>
          </w:tcPr>
          <w:p w14:paraId="4A539F42">
            <w:pPr>
              <w:rPr>
                <w:rFonts w:ascii="Arial"/>
                <w:sz w:val="21"/>
              </w:rPr>
            </w:pPr>
          </w:p>
        </w:tc>
        <w:tc>
          <w:tcPr>
            <w:tcW w:w="1414" w:type="dxa"/>
            <w:vAlign w:val="top"/>
          </w:tcPr>
          <w:p w14:paraId="797B3EB6">
            <w:pPr>
              <w:rPr>
                <w:rFonts w:ascii="Arial"/>
                <w:sz w:val="21"/>
              </w:rPr>
            </w:pPr>
          </w:p>
        </w:tc>
        <w:tc>
          <w:tcPr>
            <w:tcW w:w="1711" w:type="dxa"/>
            <w:tcBorders>
              <w:right w:val="single" w:color="000000" w:sz="10" w:space="0"/>
            </w:tcBorders>
            <w:vAlign w:val="top"/>
          </w:tcPr>
          <w:p w14:paraId="72DA37C1">
            <w:pPr>
              <w:rPr>
                <w:rFonts w:ascii="Arial"/>
                <w:sz w:val="21"/>
              </w:rPr>
            </w:pPr>
          </w:p>
        </w:tc>
      </w:tr>
      <w:tr w14:paraId="6DEF1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798D9DB4">
            <w:pPr>
              <w:rPr>
                <w:rFonts w:ascii="Arial"/>
                <w:sz w:val="21"/>
              </w:rPr>
            </w:pPr>
          </w:p>
        </w:tc>
        <w:tc>
          <w:tcPr>
            <w:tcW w:w="1978" w:type="dxa"/>
            <w:vAlign w:val="top"/>
          </w:tcPr>
          <w:p w14:paraId="08BC4BE6">
            <w:pPr>
              <w:rPr>
                <w:rFonts w:ascii="Arial"/>
                <w:sz w:val="21"/>
              </w:rPr>
            </w:pPr>
          </w:p>
        </w:tc>
        <w:tc>
          <w:tcPr>
            <w:tcW w:w="849" w:type="dxa"/>
            <w:vAlign w:val="top"/>
          </w:tcPr>
          <w:p w14:paraId="6BA62FD8">
            <w:pPr>
              <w:rPr>
                <w:rFonts w:ascii="Arial"/>
                <w:sz w:val="21"/>
              </w:rPr>
            </w:pPr>
          </w:p>
        </w:tc>
        <w:tc>
          <w:tcPr>
            <w:tcW w:w="772" w:type="dxa"/>
            <w:vAlign w:val="top"/>
          </w:tcPr>
          <w:p w14:paraId="478C1BA6">
            <w:pPr>
              <w:rPr>
                <w:rFonts w:ascii="Arial"/>
                <w:sz w:val="21"/>
              </w:rPr>
            </w:pPr>
          </w:p>
        </w:tc>
        <w:tc>
          <w:tcPr>
            <w:tcW w:w="1348" w:type="dxa"/>
            <w:vAlign w:val="top"/>
          </w:tcPr>
          <w:p w14:paraId="274794B8">
            <w:pPr>
              <w:rPr>
                <w:rFonts w:ascii="Arial"/>
                <w:sz w:val="21"/>
              </w:rPr>
            </w:pPr>
          </w:p>
        </w:tc>
        <w:tc>
          <w:tcPr>
            <w:tcW w:w="1414" w:type="dxa"/>
            <w:vAlign w:val="top"/>
          </w:tcPr>
          <w:p w14:paraId="265AFF4F">
            <w:pPr>
              <w:rPr>
                <w:rFonts w:ascii="Arial"/>
                <w:sz w:val="21"/>
              </w:rPr>
            </w:pPr>
          </w:p>
        </w:tc>
        <w:tc>
          <w:tcPr>
            <w:tcW w:w="1711" w:type="dxa"/>
            <w:tcBorders>
              <w:right w:val="single" w:color="000000" w:sz="10" w:space="0"/>
            </w:tcBorders>
            <w:vAlign w:val="top"/>
          </w:tcPr>
          <w:p w14:paraId="289EA29B">
            <w:pPr>
              <w:rPr>
                <w:rFonts w:ascii="Arial"/>
                <w:sz w:val="21"/>
              </w:rPr>
            </w:pPr>
          </w:p>
        </w:tc>
      </w:tr>
      <w:tr w14:paraId="24553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132B4816">
            <w:pPr>
              <w:rPr>
                <w:rFonts w:ascii="Arial"/>
                <w:sz w:val="21"/>
              </w:rPr>
            </w:pPr>
          </w:p>
        </w:tc>
        <w:tc>
          <w:tcPr>
            <w:tcW w:w="1978" w:type="dxa"/>
            <w:vAlign w:val="top"/>
          </w:tcPr>
          <w:p w14:paraId="470CEC98">
            <w:pPr>
              <w:rPr>
                <w:rFonts w:ascii="Arial"/>
                <w:sz w:val="21"/>
              </w:rPr>
            </w:pPr>
          </w:p>
        </w:tc>
        <w:tc>
          <w:tcPr>
            <w:tcW w:w="849" w:type="dxa"/>
            <w:vAlign w:val="top"/>
          </w:tcPr>
          <w:p w14:paraId="6F641402">
            <w:pPr>
              <w:rPr>
                <w:rFonts w:ascii="Arial"/>
                <w:sz w:val="21"/>
              </w:rPr>
            </w:pPr>
          </w:p>
        </w:tc>
        <w:tc>
          <w:tcPr>
            <w:tcW w:w="772" w:type="dxa"/>
            <w:vAlign w:val="top"/>
          </w:tcPr>
          <w:p w14:paraId="334F930C">
            <w:pPr>
              <w:rPr>
                <w:rFonts w:ascii="Arial"/>
                <w:sz w:val="21"/>
              </w:rPr>
            </w:pPr>
          </w:p>
        </w:tc>
        <w:tc>
          <w:tcPr>
            <w:tcW w:w="1348" w:type="dxa"/>
            <w:vAlign w:val="top"/>
          </w:tcPr>
          <w:p w14:paraId="70811AE4">
            <w:pPr>
              <w:rPr>
                <w:rFonts w:ascii="Arial"/>
                <w:sz w:val="21"/>
              </w:rPr>
            </w:pPr>
          </w:p>
        </w:tc>
        <w:tc>
          <w:tcPr>
            <w:tcW w:w="1414" w:type="dxa"/>
            <w:vAlign w:val="top"/>
          </w:tcPr>
          <w:p w14:paraId="2C2D2DBC">
            <w:pPr>
              <w:rPr>
                <w:rFonts w:ascii="Arial"/>
                <w:sz w:val="21"/>
              </w:rPr>
            </w:pPr>
          </w:p>
        </w:tc>
        <w:tc>
          <w:tcPr>
            <w:tcW w:w="1711" w:type="dxa"/>
            <w:tcBorders>
              <w:right w:val="single" w:color="000000" w:sz="10" w:space="0"/>
            </w:tcBorders>
            <w:vAlign w:val="top"/>
          </w:tcPr>
          <w:p w14:paraId="2C334A49">
            <w:pPr>
              <w:rPr>
                <w:rFonts w:ascii="Arial"/>
                <w:sz w:val="21"/>
              </w:rPr>
            </w:pPr>
          </w:p>
        </w:tc>
      </w:tr>
      <w:tr w14:paraId="160AE3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5FE3778D">
            <w:pPr>
              <w:rPr>
                <w:rFonts w:ascii="Arial"/>
                <w:sz w:val="21"/>
              </w:rPr>
            </w:pPr>
          </w:p>
        </w:tc>
        <w:tc>
          <w:tcPr>
            <w:tcW w:w="1978" w:type="dxa"/>
            <w:vAlign w:val="top"/>
          </w:tcPr>
          <w:p w14:paraId="7E388843">
            <w:pPr>
              <w:rPr>
                <w:rFonts w:ascii="Arial"/>
                <w:sz w:val="21"/>
              </w:rPr>
            </w:pPr>
          </w:p>
        </w:tc>
        <w:tc>
          <w:tcPr>
            <w:tcW w:w="849" w:type="dxa"/>
            <w:vAlign w:val="top"/>
          </w:tcPr>
          <w:p w14:paraId="668FDDD1">
            <w:pPr>
              <w:rPr>
                <w:rFonts w:ascii="Arial"/>
                <w:sz w:val="21"/>
              </w:rPr>
            </w:pPr>
          </w:p>
        </w:tc>
        <w:tc>
          <w:tcPr>
            <w:tcW w:w="772" w:type="dxa"/>
            <w:vAlign w:val="top"/>
          </w:tcPr>
          <w:p w14:paraId="7CB6E45E">
            <w:pPr>
              <w:rPr>
                <w:rFonts w:ascii="Arial"/>
                <w:sz w:val="21"/>
              </w:rPr>
            </w:pPr>
          </w:p>
        </w:tc>
        <w:tc>
          <w:tcPr>
            <w:tcW w:w="1348" w:type="dxa"/>
            <w:vAlign w:val="top"/>
          </w:tcPr>
          <w:p w14:paraId="2F51262D">
            <w:pPr>
              <w:rPr>
                <w:rFonts w:ascii="Arial"/>
                <w:sz w:val="21"/>
              </w:rPr>
            </w:pPr>
          </w:p>
        </w:tc>
        <w:tc>
          <w:tcPr>
            <w:tcW w:w="1414" w:type="dxa"/>
            <w:vAlign w:val="top"/>
          </w:tcPr>
          <w:p w14:paraId="16FF0689">
            <w:pPr>
              <w:rPr>
                <w:rFonts w:ascii="Arial"/>
                <w:sz w:val="21"/>
              </w:rPr>
            </w:pPr>
          </w:p>
        </w:tc>
        <w:tc>
          <w:tcPr>
            <w:tcW w:w="1711" w:type="dxa"/>
            <w:tcBorders>
              <w:right w:val="single" w:color="000000" w:sz="10" w:space="0"/>
            </w:tcBorders>
            <w:vAlign w:val="top"/>
          </w:tcPr>
          <w:p w14:paraId="6329A11F">
            <w:pPr>
              <w:rPr>
                <w:rFonts w:ascii="Arial"/>
                <w:sz w:val="21"/>
              </w:rPr>
            </w:pPr>
          </w:p>
        </w:tc>
      </w:tr>
      <w:tr w14:paraId="2A22B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191CCD96">
            <w:pPr>
              <w:rPr>
                <w:rFonts w:ascii="Arial"/>
                <w:sz w:val="21"/>
              </w:rPr>
            </w:pPr>
          </w:p>
        </w:tc>
        <w:tc>
          <w:tcPr>
            <w:tcW w:w="1978" w:type="dxa"/>
            <w:vAlign w:val="top"/>
          </w:tcPr>
          <w:p w14:paraId="5BF4D0D8">
            <w:pPr>
              <w:rPr>
                <w:rFonts w:ascii="Arial"/>
                <w:sz w:val="21"/>
              </w:rPr>
            </w:pPr>
          </w:p>
        </w:tc>
        <w:tc>
          <w:tcPr>
            <w:tcW w:w="849" w:type="dxa"/>
            <w:vAlign w:val="top"/>
          </w:tcPr>
          <w:p w14:paraId="6ED2CF29">
            <w:pPr>
              <w:rPr>
                <w:rFonts w:ascii="Arial"/>
                <w:sz w:val="21"/>
              </w:rPr>
            </w:pPr>
          </w:p>
        </w:tc>
        <w:tc>
          <w:tcPr>
            <w:tcW w:w="772" w:type="dxa"/>
            <w:vAlign w:val="top"/>
          </w:tcPr>
          <w:p w14:paraId="2A0F16DF">
            <w:pPr>
              <w:rPr>
                <w:rFonts w:ascii="Arial"/>
                <w:sz w:val="21"/>
              </w:rPr>
            </w:pPr>
          </w:p>
        </w:tc>
        <w:tc>
          <w:tcPr>
            <w:tcW w:w="1348" w:type="dxa"/>
            <w:vAlign w:val="top"/>
          </w:tcPr>
          <w:p w14:paraId="2CDA7750">
            <w:pPr>
              <w:rPr>
                <w:rFonts w:ascii="Arial"/>
                <w:sz w:val="21"/>
              </w:rPr>
            </w:pPr>
          </w:p>
        </w:tc>
        <w:tc>
          <w:tcPr>
            <w:tcW w:w="1414" w:type="dxa"/>
            <w:vAlign w:val="top"/>
          </w:tcPr>
          <w:p w14:paraId="5191ABF4">
            <w:pPr>
              <w:rPr>
                <w:rFonts w:ascii="Arial"/>
                <w:sz w:val="21"/>
              </w:rPr>
            </w:pPr>
          </w:p>
        </w:tc>
        <w:tc>
          <w:tcPr>
            <w:tcW w:w="1711" w:type="dxa"/>
            <w:tcBorders>
              <w:right w:val="single" w:color="000000" w:sz="10" w:space="0"/>
            </w:tcBorders>
            <w:vAlign w:val="top"/>
          </w:tcPr>
          <w:p w14:paraId="2457FEBA">
            <w:pPr>
              <w:rPr>
                <w:rFonts w:ascii="Arial"/>
                <w:sz w:val="21"/>
              </w:rPr>
            </w:pPr>
          </w:p>
        </w:tc>
      </w:tr>
      <w:tr w14:paraId="7C882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33B2DF3">
            <w:pPr>
              <w:rPr>
                <w:rFonts w:ascii="Arial"/>
                <w:sz w:val="21"/>
              </w:rPr>
            </w:pPr>
          </w:p>
        </w:tc>
        <w:tc>
          <w:tcPr>
            <w:tcW w:w="1978" w:type="dxa"/>
            <w:vAlign w:val="top"/>
          </w:tcPr>
          <w:p w14:paraId="79E4121C">
            <w:pPr>
              <w:rPr>
                <w:rFonts w:ascii="Arial"/>
                <w:sz w:val="21"/>
              </w:rPr>
            </w:pPr>
          </w:p>
        </w:tc>
        <w:tc>
          <w:tcPr>
            <w:tcW w:w="849" w:type="dxa"/>
            <w:vAlign w:val="top"/>
          </w:tcPr>
          <w:p w14:paraId="0CAB0EED">
            <w:pPr>
              <w:rPr>
                <w:rFonts w:ascii="Arial"/>
                <w:sz w:val="21"/>
              </w:rPr>
            </w:pPr>
          </w:p>
        </w:tc>
        <w:tc>
          <w:tcPr>
            <w:tcW w:w="772" w:type="dxa"/>
            <w:vAlign w:val="top"/>
          </w:tcPr>
          <w:p w14:paraId="232003BA">
            <w:pPr>
              <w:rPr>
                <w:rFonts w:ascii="Arial"/>
                <w:sz w:val="21"/>
              </w:rPr>
            </w:pPr>
          </w:p>
        </w:tc>
        <w:tc>
          <w:tcPr>
            <w:tcW w:w="1348" w:type="dxa"/>
            <w:vAlign w:val="top"/>
          </w:tcPr>
          <w:p w14:paraId="0F9D1F85">
            <w:pPr>
              <w:rPr>
                <w:rFonts w:ascii="Arial"/>
                <w:sz w:val="21"/>
              </w:rPr>
            </w:pPr>
          </w:p>
        </w:tc>
        <w:tc>
          <w:tcPr>
            <w:tcW w:w="1414" w:type="dxa"/>
            <w:vAlign w:val="top"/>
          </w:tcPr>
          <w:p w14:paraId="51898DF8">
            <w:pPr>
              <w:rPr>
                <w:rFonts w:ascii="Arial"/>
                <w:sz w:val="21"/>
              </w:rPr>
            </w:pPr>
          </w:p>
        </w:tc>
        <w:tc>
          <w:tcPr>
            <w:tcW w:w="1711" w:type="dxa"/>
            <w:tcBorders>
              <w:right w:val="single" w:color="000000" w:sz="10" w:space="0"/>
            </w:tcBorders>
            <w:vAlign w:val="top"/>
          </w:tcPr>
          <w:p w14:paraId="368CBDB3">
            <w:pPr>
              <w:rPr>
                <w:rFonts w:ascii="Arial"/>
                <w:sz w:val="21"/>
              </w:rPr>
            </w:pPr>
          </w:p>
        </w:tc>
      </w:tr>
      <w:tr w14:paraId="054A9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6ADB900C">
            <w:pPr>
              <w:rPr>
                <w:rFonts w:ascii="Arial"/>
                <w:sz w:val="21"/>
              </w:rPr>
            </w:pPr>
          </w:p>
        </w:tc>
        <w:tc>
          <w:tcPr>
            <w:tcW w:w="1978" w:type="dxa"/>
            <w:vAlign w:val="top"/>
          </w:tcPr>
          <w:p w14:paraId="5ED616F5">
            <w:pPr>
              <w:rPr>
                <w:rFonts w:ascii="Arial"/>
                <w:sz w:val="21"/>
              </w:rPr>
            </w:pPr>
          </w:p>
        </w:tc>
        <w:tc>
          <w:tcPr>
            <w:tcW w:w="849" w:type="dxa"/>
            <w:vAlign w:val="top"/>
          </w:tcPr>
          <w:p w14:paraId="76C14FED">
            <w:pPr>
              <w:rPr>
                <w:rFonts w:ascii="Arial"/>
                <w:sz w:val="21"/>
              </w:rPr>
            </w:pPr>
          </w:p>
        </w:tc>
        <w:tc>
          <w:tcPr>
            <w:tcW w:w="772" w:type="dxa"/>
            <w:vAlign w:val="top"/>
          </w:tcPr>
          <w:p w14:paraId="66CD8B3D">
            <w:pPr>
              <w:rPr>
                <w:rFonts w:ascii="Arial"/>
                <w:sz w:val="21"/>
              </w:rPr>
            </w:pPr>
          </w:p>
        </w:tc>
        <w:tc>
          <w:tcPr>
            <w:tcW w:w="1348" w:type="dxa"/>
            <w:vAlign w:val="top"/>
          </w:tcPr>
          <w:p w14:paraId="49128FDF">
            <w:pPr>
              <w:rPr>
                <w:rFonts w:ascii="Arial"/>
                <w:sz w:val="21"/>
              </w:rPr>
            </w:pPr>
          </w:p>
        </w:tc>
        <w:tc>
          <w:tcPr>
            <w:tcW w:w="1414" w:type="dxa"/>
            <w:vAlign w:val="top"/>
          </w:tcPr>
          <w:p w14:paraId="4C925B74">
            <w:pPr>
              <w:rPr>
                <w:rFonts w:ascii="Arial"/>
                <w:sz w:val="21"/>
              </w:rPr>
            </w:pPr>
          </w:p>
        </w:tc>
        <w:tc>
          <w:tcPr>
            <w:tcW w:w="1711" w:type="dxa"/>
            <w:tcBorders>
              <w:right w:val="single" w:color="000000" w:sz="10" w:space="0"/>
            </w:tcBorders>
            <w:vAlign w:val="top"/>
          </w:tcPr>
          <w:p w14:paraId="3969B96E">
            <w:pPr>
              <w:rPr>
                <w:rFonts w:ascii="Arial"/>
                <w:sz w:val="21"/>
              </w:rPr>
            </w:pPr>
          </w:p>
        </w:tc>
      </w:tr>
      <w:tr w14:paraId="45512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33575013">
            <w:pPr>
              <w:rPr>
                <w:rFonts w:ascii="Arial"/>
                <w:sz w:val="21"/>
              </w:rPr>
            </w:pPr>
          </w:p>
        </w:tc>
        <w:tc>
          <w:tcPr>
            <w:tcW w:w="1978" w:type="dxa"/>
            <w:vAlign w:val="top"/>
          </w:tcPr>
          <w:p w14:paraId="3C347F1D">
            <w:pPr>
              <w:rPr>
                <w:rFonts w:ascii="Arial"/>
                <w:sz w:val="21"/>
              </w:rPr>
            </w:pPr>
          </w:p>
        </w:tc>
        <w:tc>
          <w:tcPr>
            <w:tcW w:w="849" w:type="dxa"/>
            <w:vAlign w:val="top"/>
          </w:tcPr>
          <w:p w14:paraId="1B8FA004">
            <w:pPr>
              <w:rPr>
                <w:rFonts w:ascii="Arial"/>
                <w:sz w:val="21"/>
              </w:rPr>
            </w:pPr>
          </w:p>
        </w:tc>
        <w:tc>
          <w:tcPr>
            <w:tcW w:w="772" w:type="dxa"/>
            <w:vAlign w:val="top"/>
          </w:tcPr>
          <w:p w14:paraId="66A348E3">
            <w:pPr>
              <w:rPr>
                <w:rFonts w:ascii="Arial"/>
                <w:sz w:val="21"/>
              </w:rPr>
            </w:pPr>
          </w:p>
        </w:tc>
        <w:tc>
          <w:tcPr>
            <w:tcW w:w="1348" w:type="dxa"/>
            <w:vAlign w:val="top"/>
          </w:tcPr>
          <w:p w14:paraId="60E42E31">
            <w:pPr>
              <w:rPr>
                <w:rFonts w:ascii="Arial"/>
                <w:sz w:val="21"/>
              </w:rPr>
            </w:pPr>
          </w:p>
        </w:tc>
        <w:tc>
          <w:tcPr>
            <w:tcW w:w="1414" w:type="dxa"/>
            <w:vAlign w:val="top"/>
          </w:tcPr>
          <w:p w14:paraId="2A91ADA9">
            <w:pPr>
              <w:rPr>
                <w:rFonts w:ascii="Arial"/>
                <w:sz w:val="21"/>
              </w:rPr>
            </w:pPr>
          </w:p>
        </w:tc>
        <w:tc>
          <w:tcPr>
            <w:tcW w:w="1711" w:type="dxa"/>
            <w:tcBorders>
              <w:right w:val="single" w:color="000000" w:sz="10" w:space="0"/>
            </w:tcBorders>
            <w:vAlign w:val="top"/>
          </w:tcPr>
          <w:p w14:paraId="385ED245">
            <w:pPr>
              <w:rPr>
                <w:rFonts w:ascii="Arial"/>
                <w:sz w:val="21"/>
              </w:rPr>
            </w:pPr>
          </w:p>
        </w:tc>
      </w:tr>
      <w:tr w14:paraId="59F63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220FBFE4">
            <w:pPr>
              <w:rPr>
                <w:rFonts w:ascii="Arial"/>
                <w:sz w:val="21"/>
              </w:rPr>
            </w:pPr>
          </w:p>
        </w:tc>
        <w:tc>
          <w:tcPr>
            <w:tcW w:w="1978" w:type="dxa"/>
            <w:vAlign w:val="top"/>
          </w:tcPr>
          <w:p w14:paraId="0E3C6B26">
            <w:pPr>
              <w:rPr>
                <w:rFonts w:ascii="Arial"/>
                <w:sz w:val="21"/>
              </w:rPr>
            </w:pPr>
          </w:p>
        </w:tc>
        <w:tc>
          <w:tcPr>
            <w:tcW w:w="849" w:type="dxa"/>
            <w:vAlign w:val="top"/>
          </w:tcPr>
          <w:p w14:paraId="74F37235">
            <w:pPr>
              <w:rPr>
                <w:rFonts w:ascii="Arial"/>
                <w:sz w:val="21"/>
              </w:rPr>
            </w:pPr>
          </w:p>
        </w:tc>
        <w:tc>
          <w:tcPr>
            <w:tcW w:w="772" w:type="dxa"/>
            <w:vAlign w:val="top"/>
          </w:tcPr>
          <w:p w14:paraId="3BB5566D">
            <w:pPr>
              <w:rPr>
                <w:rFonts w:ascii="Arial"/>
                <w:sz w:val="21"/>
              </w:rPr>
            </w:pPr>
          </w:p>
        </w:tc>
        <w:tc>
          <w:tcPr>
            <w:tcW w:w="1348" w:type="dxa"/>
            <w:vAlign w:val="top"/>
          </w:tcPr>
          <w:p w14:paraId="0171ED32">
            <w:pPr>
              <w:rPr>
                <w:rFonts w:ascii="Arial"/>
                <w:sz w:val="21"/>
              </w:rPr>
            </w:pPr>
          </w:p>
        </w:tc>
        <w:tc>
          <w:tcPr>
            <w:tcW w:w="1414" w:type="dxa"/>
            <w:vAlign w:val="top"/>
          </w:tcPr>
          <w:p w14:paraId="3DD4E1A6">
            <w:pPr>
              <w:rPr>
                <w:rFonts w:ascii="Arial"/>
                <w:sz w:val="21"/>
              </w:rPr>
            </w:pPr>
          </w:p>
        </w:tc>
        <w:tc>
          <w:tcPr>
            <w:tcW w:w="1711" w:type="dxa"/>
            <w:tcBorders>
              <w:right w:val="single" w:color="000000" w:sz="10" w:space="0"/>
            </w:tcBorders>
            <w:vAlign w:val="top"/>
          </w:tcPr>
          <w:p w14:paraId="6BE4EB61">
            <w:pPr>
              <w:rPr>
                <w:rFonts w:ascii="Arial"/>
                <w:sz w:val="21"/>
              </w:rPr>
            </w:pPr>
          </w:p>
        </w:tc>
      </w:tr>
      <w:tr w14:paraId="5B5CD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4F92E88">
            <w:pPr>
              <w:rPr>
                <w:rFonts w:ascii="Arial"/>
                <w:sz w:val="21"/>
              </w:rPr>
            </w:pPr>
          </w:p>
        </w:tc>
        <w:tc>
          <w:tcPr>
            <w:tcW w:w="1978" w:type="dxa"/>
            <w:vAlign w:val="top"/>
          </w:tcPr>
          <w:p w14:paraId="72CF670B">
            <w:pPr>
              <w:rPr>
                <w:rFonts w:ascii="Arial"/>
                <w:sz w:val="21"/>
              </w:rPr>
            </w:pPr>
          </w:p>
        </w:tc>
        <w:tc>
          <w:tcPr>
            <w:tcW w:w="849" w:type="dxa"/>
            <w:vAlign w:val="top"/>
          </w:tcPr>
          <w:p w14:paraId="235740A3">
            <w:pPr>
              <w:rPr>
                <w:rFonts w:ascii="Arial"/>
                <w:sz w:val="21"/>
              </w:rPr>
            </w:pPr>
          </w:p>
        </w:tc>
        <w:tc>
          <w:tcPr>
            <w:tcW w:w="772" w:type="dxa"/>
            <w:vAlign w:val="top"/>
          </w:tcPr>
          <w:p w14:paraId="3C88E30D">
            <w:pPr>
              <w:rPr>
                <w:rFonts w:ascii="Arial"/>
                <w:sz w:val="21"/>
              </w:rPr>
            </w:pPr>
          </w:p>
        </w:tc>
        <w:tc>
          <w:tcPr>
            <w:tcW w:w="1348" w:type="dxa"/>
            <w:vAlign w:val="top"/>
          </w:tcPr>
          <w:p w14:paraId="6160F50B">
            <w:pPr>
              <w:rPr>
                <w:rFonts w:ascii="Arial"/>
                <w:sz w:val="21"/>
              </w:rPr>
            </w:pPr>
          </w:p>
        </w:tc>
        <w:tc>
          <w:tcPr>
            <w:tcW w:w="1414" w:type="dxa"/>
            <w:vAlign w:val="top"/>
          </w:tcPr>
          <w:p w14:paraId="6D60AF98">
            <w:pPr>
              <w:rPr>
                <w:rFonts w:ascii="Arial"/>
                <w:sz w:val="21"/>
              </w:rPr>
            </w:pPr>
          </w:p>
        </w:tc>
        <w:tc>
          <w:tcPr>
            <w:tcW w:w="1711" w:type="dxa"/>
            <w:tcBorders>
              <w:right w:val="single" w:color="000000" w:sz="10" w:space="0"/>
            </w:tcBorders>
            <w:vAlign w:val="top"/>
          </w:tcPr>
          <w:p w14:paraId="145D2ACF">
            <w:pPr>
              <w:rPr>
                <w:rFonts w:ascii="Arial"/>
                <w:sz w:val="21"/>
              </w:rPr>
            </w:pPr>
          </w:p>
        </w:tc>
      </w:tr>
      <w:tr w14:paraId="48878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4A7EF102">
            <w:pPr>
              <w:rPr>
                <w:rFonts w:ascii="Arial"/>
                <w:sz w:val="21"/>
              </w:rPr>
            </w:pPr>
          </w:p>
        </w:tc>
        <w:tc>
          <w:tcPr>
            <w:tcW w:w="1978" w:type="dxa"/>
            <w:vAlign w:val="top"/>
          </w:tcPr>
          <w:p w14:paraId="1E96B10C">
            <w:pPr>
              <w:rPr>
                <w:rFonts w:ascii="Arial"/>
                <w:sz w:val="21"/>
              </w:rPr>
            </w:pPr>
          </w:p>
        </w:tc>
        <w:tc>
          <w:tcPr>
            <w:tcW w:w="849" w:type="dxa"/>
            <w:vAlign w:val="top"/>
          </w:tcPr>
          <w:p w14:paraId="18A9BC13">
            <w:pPr>
              <w:rPr>
                <w:rFonts w:ascii="Arial"/>
                <w:sz w:val="21"/>
              </w:rPr>
            </w:pPr>
          </w:p>
        </w:tc>
        <w:tc>
          <w:tcPr>
            <w:tcW w:w="772" w:type="dxa"/>
            <w:vAlign w:val="top"/>
          </w:tcPr>
          <w:p w14:paraId="33A9EF16">
            <w:pPr>
              <w:rPr>
                <w:rFonts w:ascii="Arial"/>
                <w:sz w:val="21"/>
              </w:rPr>
            </w:pPr>
          </w:p>
        </w:tc>
        <w:tc>
          <w:tcPr>
            <w:tcW w:w="1348" w:type="dxa"/>
            <w:vAlign w:val="top"/>
          </w:tcPr>
          <w:p w14:paraId="7A7EC702">
            <w:pPr>
              <w:rPr>
                <w:rFonts w:ascii="Arial"/>
                <w:sz w:val="21"/>
              </w:rPr>
            </w:pPr>
          </w:p>
        </w:tc>
        <w:tc>
          <w:tcPr>
            <w:tcW w:w="1414" w:type="dxa"/>
            <w:vAlign w:val="top"/>
          </w:tcPr>
          <w:p w14:paraId="4CC4303D">
            <w:pPr>
              <w:rPr>
                <w:rFonts w:ascii="Arial"/>
                <w:sz w:val="21"/>
              </w:rPr>
            </w:pPr>
          </w:p>
        </w:tc>
        <w:tc>
          <w:tcPr>
            <w:tcW w:w="1711" w:type="dxa"/>
            <w:tcBorders>
              <w:right w:val="single" w:color="000000" w:sz="10" w:space="0"/>
            </w:tcBorders>
            <w:vAlign w:val="top"/>
          </w:tcPr>
          <w:p w14:paraId="70749F09">
            <w:pPr>
              <w:rPr>
                <w:rFonts w:ascii="Arial"/>
                <w:sz w:val="21"/>
              </w:rPr>
            </w:pPr>
          </w:p>
        </w:tc>
      </w:tr>
      <w:tr w14:paraId="5E90A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5FAC1CD7">
            <w:pPr>
              <w:rPr>
                <w:rFonts w:ascii="Arial"/>
                <w:sz w:val="21"/>
              </w:rPr>
            </w:pPr>
          </w:p>
        </w:tc>
        <w:tc>
          <w:tcPr>
            <w:tcW w:w="1978" w:type="dxa"/>
            <w:vAlign w:val="top"/>
          </w:tcPr>
          <w:p w14:paraId="58AE5F7E">
            <w:pPr>
              <w:rPr>
                <w:rFonts w:ascii="Arial"/>
                <w:sz w:val="21"/>
              </w:rPr>
            </w:pPr>
          </w:p>
        </w:tc>
        <w:tc>
          <w:tcPr>
            <w:tcW w:w="849" w:type="dxa"/>
            <w:vAlign w:val="top"/>
          </w:tcPr>
          <w:p w14:paraId="1284D7BE">
            <w:pPr>
              <w:rPr>
                <w:rFonts w:ascii="Arial"/>
                <w:sz w:val="21"/>
              </w:rPr>
            </w:pPr>
          </w:p>
        </w:tc>
        <w:tc>
          <w:tcPr>
            <w:tcW w:w="772" w:type="dxa"/>
            <w:vAlign w:val="top"/>
          </w:tcPr>
          <w:p w14:paraId="6895CDD7">
            <w:pPr>
              <w:rPr>
                <w:rFonts w:ascii="Arial"/>
                <w:sz w:val="21"/>
              </w:rPr>
            </w:pPr>
          </w:p>
        </w:tc>
        <w:tc>
          <w:tcPr>
            <w:tcW w:w="1348" w:type="dxa"/>
            <w:vAlign w:val="top"/>
          </w:tcPr>
          <w:p w14:paraId="3F761C2D">
            <w:pPr>
              <w:rPr>
                <w:rFonts w:ascii="Arial"/>
                <w:sz w:val="21"/>
              </w:rPr>
            </w:pPr>
          </w:p>
        </w:tc>
        <w:tc>
          <w:tcPr>
            <w:tcW w:w="1414" w:type="dxa"/>
            <w:vAlign w:val="top"/>
          </w:tcPr>
          <w:p w14:paraId="34A0BE91">
            <w:pPr>
              <w:rPr>
                <w:rFonts w:ascii="Arial"/>
                <w:sz w:val="21"/>
              </w:rPr>
            </w:pPr>
          </w:p>
        </w:tc>
        <w:tc>
          <w:tcPr>
            <w:tcW w:w="1711" w:type="dxa"/>
            <w:tcBorders>
              <w:right w:val="single" w:color="000000" w:sz="10" w:space="0"/>
            </w:tcBorders>
            <w:vAlign w:val="top"/>
          </w:tcPr>
          <w:p w14:paraId="4DF5C91F">
            <w:pPr>
              <w:rPr>
                <w:rFonts w:ascii="Arial"/>
                <w:sz w:val="21"/>
              </w:rPr>
            </w:pPr>
          </w:p>
        </w:tc>
      </w:tr>
      <w:tr w14:paraId="1BC60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7FA013BE">
            <w:pPr>
              <w:rPr>
                <w:rFonts w:ascii="Arial"/>
                <w:sz w:val="21"/>
              </w:rPr>
            </w:pPr>
          </w:p>
        </w:tc>
        <w:tc>
          <w:tcPr>
            <w:tcW w:w="1978" w:type="dxa"/>
            <w:vAlign w:val="top"/>
          </w:tcPr>
          <w:p w14:paraId="695EC8F8">
            <w:pPr>
              <w:rPr>
                <w:rFonts w:ascii="Arial"/>
                <w:sz w:val="21"/>
              </w:rPr>
            </w:pPr>
          </w:p>
        </w:tc>
        <w:tc>
          <w:tcPr>
            <w:tcW w:w="849" w:type="dxa"/>
            <w:vAlign w:val="top"/>
          </w:tcPr>
          <w:p w14:paraId="3D0436DF">
            <w:pPr>
              <w:rPr>
                <w:rFonts w:ascii="Arial"/>
                <w:sz w:val="21"/>
              </w:rPr>
            </w:pPr>
          </w:p>
        </w:tc>
        <w:tc>
          <w:tcPr>
            <w:tcW w:w="772" w:type="dxa"/>
            <w:vAlign w:val="top"/>
          </w:tcPr>
          <w:p w14:paraId="6F948A6E">
            <w:pPr>
              <w:rPr>
                <w:rFonts w:ascii="Arial"/>
                <w:sz w:val="21"/>
              </w:rPr>
            </w:pPr>
          </w:p>
        </w:tc>
        <w:tc>
          <w:tcPr>
            <w:tcW w:w="1348" w:type="dxa"/>
            <w:vAlign w:val="top"/>
          </w:tcPr>
          <w:p w14:paraId="0D651ADD">
            <w:pPr>
              <w:rPr>
                <w:rFonts w:ascii="Arial"/>
                <w:sz w:val="21"/>
              </w:rPr>
            </w:pPr>
          </w:p>
        </w:tc>
        <w:tc>
          <w:tcPr>
            <w:tcW w:w="1414" w:type="dxa"/>
            <w:vAlign w:val="top"/>
          </w:tcPr>
          <w:p w14:paraId="3BE8C08B">
            <w:pPr>
              <w:rPr>
                <w:rFonts w:ascii="Arial"/>
                <w:sz w:val="21"/>
              </w:rPr>
            </w:pPr>
          </w:p>
        </w:tc>
        <w:tc>
          <w:tcPr>
            <w:tcW w:w="1711" w:type="dxa"/>
            <w:tcBorders>
              <w:right w:val="single" w:color="000000" w:sz="10" w:space="0"/>
            </w:tcBorders>
            <w:vAlign w:val="top"/>
          </w:tcPr>
          <w:p w14:paraId="09206843">
            <w:pPr>
              <w:rPr>
                <w:rFonts w:ascii="Arial"/>
                <w:sz w:val="21"/>
              </w:rPr>
            </w:pPr>
          </w:p>
        </w:tc>
      </w:tr>
      <w:tr w14:paraId="7B160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77CE65B3">
            <w:pPr>
              <w:rPr>
                <w:rFonts w:ascii="Arial"/>
                <w:sz w:val="21"/>
              </w:rPr>
            </w:pPr>
          </w:p>
        </w:tc>
        <w:tc>
          <w:tcPr>
            <w:tcW w:w="1978" w:type="dxa"/>
            <w:vAlign w:val="top"/>
          </w:tcPr>
          <w:p w14:paraId="79F6E39D">
            <w:pPr>
              <w:rPr>
                <w:rFonts w:ascii="Arial"/>
                <w:sz w:val="21"/>
              </w:rPr>
            </w:pPr>
          </w:p>
        </w:tc>
        <w:tc>
          <w:tcPr>
            <w:tcW w:w="849" w:type="dxa"/>
            <w:vAlign w:val="top"/>
          </w:tcPr>
          <w:p w14:paraId="2417522E">
            <w:pPr>
              <w:rPr>
                <w:rFonts w:ascii="Arial"/>
                <w:sz w:val="21"/>
              </w:rPr>
            </w:pPr>
          </w:p>
        </w:tc>
        <w:tc>
          <w:tcPr>
            <w:tcW w:w="772" w:type="dxa"/>
            <w:vAlign w:val="top"/>
          </w:tcPr>
          <w:p w14:paraId="4A285DAE">
            <w:pPr>
              <w:rPr>
                <w:rFonts w:ascii="Arial"/>
                <w:sz w:val="21"/>
              </w:rPr>
            </w:pPr>
          </w:p>
        </w:tc>
        <w:tc>
          <w:tcPr>
            <w:tcW w:w="1348" w:type="dxa"/>
            <w:vAlign w:val="top"/>
          </w:tcPr>
          <w:p w14:paraId="5F55D1DA">
            <w:pPr>
              <w:rPr>
                <w:rFonts w:ascii="Arial"/>
                <w:sz w:val="21"/>
              </w:rPr>
            </w:pPr>
          </w:p>
        </w:tc>
        <w:tc>
          <w:tcPr>
            <w:tcW w:w="1414" w:type="dxa"/>
            <w:vAlign w:val="top"/>
          </w:tcPr>
          <w:p w14:paraId="6558B30A">
            <w:pPr>
              <w:rPr>
                <w:rFonts w:ascii="Arial"/>
                <w:sz w:val="21"/>
              </w:rPr>
            </w:pPr>
          </w:p>
        </w:tc>
        <w:tc>
          <w:tcPr>
            <w:tcW w:w="1711" w:type="dxa"/>
            <w:tcBorders>
              <w:right w:val="single" w:color="000000" w:sz="10" w:space="0"/>
            </w:tcBorders>
            <w:vAlign w:val="top"/>
          </w:tcPr>
          <w:p w14:paraId="40AED45A">
            <w:pPr>
              <w:rPr>
                <w:rFonts w:ascii="Arial"/>
                <w:sz w:val="21"/>
              </w:rPr>
            </w:pPr>
          </w:p>
        </w:tc>
      </w:tr>
      <w:tr w14:paraId="29A0A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4A76A299">
            <w:pPr>
              <w:rPr>
                <w:rFonts w:ascii="Arial"/>
                <w:sz w:val="21"/>
              </w:rPr>
            </w:pPr>
          </w:p>
        </w:tc>
        <w:tc>
          <w:tcPr>
            <w:tcW w:w="1978" w:type="dxa"/>
            <w:vAlign w:val="top"/>
          </w:tcPr>
          <w:p w14:paraId="38F0EEDC">
            <w:pPr>
              <w:rPr>
                <w:rFonts w:ascii="Arial"/>
                <w:sz w:val="21"/>
              </w:rPr>
            </w:pPr>
          </w:p>
        </w:tc>
        <w:tc>
          <w:tcPr>
            <w:tcW w:w="849" w:type="dxa"/>
            <w:vAlign w:val="top"/>
          </w:tcPr>
          <w:p w14:paraId="0F7D32A4">
            <w:pPr>
              <w:rPr>
                <w:rFonts w:ascii="Arial"/>
                <w:sz w:val="21"/>
              </w:rPr>
            </w:pPr>
          </w:p>
        </w:tc>
        <w:tc>
          <w:tcPr>
            <w:tcW w:w="772" w:type="dxa"/>
            <w:vAlign w:val="top"/>
          </w:tcPr>
          <w:p w14:paraId="6B545386">
            <w:pPr>
              <w:rPr>
                <w:rFonts w:ascii="Arial"/>
                <w:sz w:val="21"/>
              </w:rPr>
            </w:pPr>
          </w:p>
        </w:tc>
        <w:tc>
          <w:tcPr>
            <w:tcW w:w="1348" w:type="dxa"/>
            <w:vAlign w:val="top"/>
          </w:tcPr>
          <w:p w14:paraId="7E1B528C">
            <w:pPr>
              <w:rPr>
                <w:rFonts w:ascii="Arial"/>
                <w:sz w:val="21"/>
              </w:rPr>
            </w:pPr>
          </w:p>
        </w:tc>
        <w:tc>
          <w:tcPr>
            <w:tcW w:w="1414" w:type="dxa"/>
            <w:vAlign w:val="top"/>
          </w:tcPr>
          <w:p w14:paraId="6C70B19B">
            <w:pPr>
              <w:rPr>
                <w:rFonts w:ascii="Arial"/>
                <w:sz w:val="21"/>
              </w:rPr>
            </w:pPr>
          </w:p>
        </w:tc>
        <w:tc>
          <w:tcPr>
            <w:tcW w:w="1711" w:type="dxa"/>
            <w:tcBorders>
              <w:right w:val="single" w:color="000000" w:sz="10" w:space="0"/>
            </w:tcBorders>
            <w:vAlign w:val="top"/>
          </w:tcPr>
          <w:p w14:paraId="4597223B">
            <w:pPr>
              <w:rPr>
                <w:rFonts w:ascii="Arial"/>
                <w:sz w:val="21"/>
              </w:rPr>
            </w:pPr>
          </w:p>
        </w:tc>
      </w:tr>
      <w:tr w14:paraId="216A0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9A794B4">
            <w:pPr>
              <w:rPr>
                <w:rFonts w:ascii="Arial"/>
                <w:sz w:val="21"/>
              </w:rPr>
            </w:pPr>
          </w:p>
        </w:tc>
        <w:tc>
          <w:tcPr>
            <w:tcW w:w="1978" w:type="dxa"/>
            <w:vAlign w:val="top"/>
          </w:tcPr>
          <w:p w14:paraId="0178CBB2">
            <w:pPr>
              <w:rPr>
                <w:rFonts w:ascii="Arial"/>
                <w:sz w:val="21"/>
              </w:rPr>
            </w:pPr>
          </w:p>
        </w:tc>
        <w:tc>
          <w:tcPr>
            <w:tcW w:w="849" w:type="dxa"/>
            <w:vAlign w:val="top"/>
          </w:tcPr>
          <w:p w14:paraId="6BFEBC77">
            <w:pPr>
              <w:rPr>
                <w:rFonts w:ascii="Arial"/>
                <w:sz w:val="21"/>
              </w:rPr>
            </w:pPr>
          </w:p>
        </w:tc>
        <w:tc>
          <w:tcPr>
            <w:tcW w:w="772" w:type="dxa"/>
            <w:vAlign w:val="top"/>
          </w:tcPr>
          <w:p w14:paraId="0542E84B">
            <w:pPr>
              <w:rPr>
                <w:rFonts w:ascii="Arial"/>
                <w:sz w:val="21"/>
              </w:rPr>
            </w:pPr>
          </w:p>
        </w:tc>
        <w:tc>
          <w:tcPr>
            <w:tcW w:w="1348" w:type="dxa"/>
            <w:vAlign w:val="top"/>
          </w:tcPr>
          <w:p w14:paraId="46CB0ABA">
            <w:pPr>
              <w:rPr>
                <w:rFonts w:ascii="Arial"/>
                <w:sz w:val="21"/>
              </w:rPr>
            </w:pPr>
          </w:p>
        </w:tc>
        <w:tc>
          <w:tcPr>
            <w:tcW w:w="1414" w:type="dxa"/>
            <w:vAlign w:val="top"/>
          </w:tcPr>
          <w:p w14:paraId="1CE5B172">
            <w:pPr>
              <w:rPr>
                <w:rFonts w:ascii="Arial"/>
                <w:sz w:val="21"/>
              </w:rPr>
            </w:pPr>
          </w:p>
        </w:tc>
        <w:tc>
          <w:tcPr>
            <w:tcW w:w="1711" w:type="dxa"/>
            <w:tcBorders>
              <w:right w:val="single" w:color="000000" w:sz="10" w:space="0"/>
            </w:tcBorders>
            <w:vAlign w:val="top"/>
          </w:tcPr>
          <w:p w14:paraId="7AAF9B26">
            <w:pPr>
              <w:rPr>
                <w:rFonts w:ascii="Arial"/>
                <w:sz w:val="21"/>
              </w:rPr>
            </w:pPr>
          </w:p>
        </w:tc>
      </w:tr>
      <w:tr w14:paraId="75C8B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285FF0D2">
            <w:pPr>
              <w:rPr>
                <w:rFonts w:ascii="Arial"/>
                <w:sz w:val="21"/>
              </w:rPr>
            </w:pPr>
          </w:p>
        </w:tc>
        <w:tc>
          <w:tcPr>
            <w:tcW w:w="1978" w:type="dxa"/>
            <w:vAlign w:val="top"/>
          </w:tcPr>
          <w:p w14:paraId="68A1A331">
            <w:pPr>
              <w:rPr>
                <w:rFonts w:ascii="Arial"/>
                <w:sz w:val="21"/>
              </w:rPr>
            </w:pPr>
          </w:p>
        </w:tc>
        <w:tc>
          <w:tcPr>
            <w:tcW w:w="849" w:type="dxa"/>
            <w:vAlign w:val="top"/>
          </w:tcPr>
          <w:p w14:paraId="43687E39">
            <w:pPr>
              <w:rPr>
                <w:rFonts w:ascii="Arial"/>
                <w:sz w:val="21"/>
              </w:rPr>
            </w:pPr>
          </w:p>
        </w:tc>
        <w:tc>
          <w:tcPr>
            <w:tcW w:w="772" w:type="dxa"/>
            <w:vAlign w:val="top"/>
          </w:tcPr>
          <w:p w14:paraId="18B5EFCD">
            <w:pPr>
              <w:rPr>
                <w:rFonts w:ascii="Arial"/>
                <w:sz w:val="21"/>
              </w:rPr>
            </w:pPr>
          </w:p>
        </w:tc>
        <w:tc>
          <w:tcPr>
            <w:tcW w:w="1348" w:type="dxa"/>
            <w:vAlign w:val="top"/>
          </w:tcPr>
          <w:p w14:paraId="1AD0252D">
            <w:pPr>
              <w:rPr>
                <w:rFonts w:ascii="Arial"/>
                <w:sz w:val="21"/>
              </w:rPr>
            </w:pPr>
          </w:p>
        </w:tc>
        <w:tc>
          <w:tcPr>
            <w:tcW w:w="1414" w:type="dxa"/>
            <w:vAlign w:val="top"/>
          </w:tcPr>
          <w:p w14:paraId="784356BC">
            <w:pPr>
              <w:rPr>
                <w:rFonts w:ascii="Arial"/>
                <w:sz w:val="21"/>
              </w:rPr>
            </w:pPr>
          </w:p>
        </w:tc>
        <w:tc>
          <w:tcPr>
            <w:tcW w:w="1711" w:type="dxa"/>
            <w:tcBorders>
              <w:right w:val="single" w:color="000000" w:sz="10" w:space="0"/>
            </w:tcBorders>
            <w:vAlign w:val="top"/>
          </w:tcPr>
          <w:p w14:paraId="45FD3125">
            <w:pPr>
              <w:rPr>
                <w:rFonts w:ascii="Arial"/>
                <w:sz w:val="21"/>
              </w:rPr>
            </w:pPr>
          </w:p>
        </w:tc>
      </w:tr>
      <w:tr w14:paraId="669BB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28DEAF32">
            <w:pPr>
              <w:rPr>
                <w:rFonts w:ascii="Arial"/>
                <w:sz w:val="21"/>
              </w:rPr>
            </w:pPr>
          </w:p>
        </w:tc>
        <w:tc>
          <w:tcPr>
            <w:tcW w:w="1978" w:type="dxa"/>
            <w:vAlign w:val="top"/>
          </w:tcPr>
          <w:p w14:paraId="3C0004D6">
            <w:pPr>
              <w:rPr>
                <w:rFonts w:ascii="Arial"/>
                <w:sz w:val="21"/>
              </w:rPr>
            </w:pPr>
          </w:p>
        </w:tc>
        <w:tc>
          <w:tcPr>
            <w:tcW w:w="849" w:type="dxa"/>
            <w:vAlign w:val="top"/>
          </w:tcPr>
          <w:p w14:paraId="5E1C5338">
            <w:pPr>
              <w:rPr>
                <w:rFonts w:ascii="Arial"/>
                <w:sz w:val="21"/>
              </w:rPr>
            </w:pPr>
          </w:p>
        </w:tc>
        <w:tc>
          <w:tcPr>
            <w:tcW w:w="772" w:type="dxa"/>
            <w:vAlign w:val="top"/>
          </w:tcPr>
          <w:p w14:paraId="434DB51E">
            <w:pPr>
              <w:rPr>
                <w:rFonts w:ascii="Arial"/>
                <w:sz w:val="21"/>
              </w:rPr>
            </w:pPr>
          </w:p>
        </w:tc>
        <w:tc>
          <w:tcPr>
            <w:tcW w:w="1348" w:type="dxa"/>
            <w:vAlign w:val="top"/>
          </w:tcPr>
          <w:p w14:paraId="01DEA6A9">
            <w:pPr>
              <w:rPr>
                <w:rFonts w:ascii="Arial"/>
                <w:sz w:val="21"/>
              </w:rPr>
            </w:pPr>
          </w:p>
        </w:tc>
        <w:tc>
          <w:tcPr>
            <w:tcW w:w="1414" w:type="dxa"/>
            <w:vAlign w:val="top"/>
          </w:tcPr>
          <w:p w14:paraId="6E4FFDAE">
            <w:pPr>
              <w:rPr>
                <w:rFonts w:ascii="Arial"/>
                <w:sz w:val="21"/>
              </w:rPr>
            </w:pPr>
          </w:p>
        </w:tc>
        <w:tc>
          <w:tcPr>
            <w:tcW w:w="1711" w:type="dxa"/>
            <w:tcBorders>
              <w:right w:val="single" w:color="000000" w:sz="10" w:space="0"/>
            </w:tcBorders>
            <w:vAlign w:val="top"/>
          </w:tcPr>
          <w:p w14:paraId="2A9A8235">
            <w:pPr>
              <w:rPr>
                <w:rFonts w:ascii="Arial"/>
                <w:sz w:val="21"/>
              </w:rPr>
            </w:pPr>
          </w:p>
        </w:tc>
      </w:tr>
      <w:tr w14:paraId="0D5F8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4" w:type="dxa"/>
            <w:tcBorders>
              <w:left w:val="single" w:color="000000" w:sz="10" w:space="0"/>
            </w:tcBorders>
            <w:vAlign w:val="top"/>
          </w:tcPr>
          <w:p w14:paraId="3CB6AC18">
            <w:pPr>
              <w:rPr>
                <w:rFonts w:ascii="Arial"/>
                <w:sz w:val="21"/>
              </w:rPr>
            </w:pPr>
          </w:p>
        </w:tc>
        <w:tc>
          <w:tcPr>
            <w:tcW w:w="1978" w:type="dxa"/>
            <w:vAlign w:val="top"/>
          </w:tcPr>
          <w:p w14:paraId="721F42FE">
            <w:pPr>
              <w:rPr>
                <w:rFonts w:ascii="Arial"/>
                <w:sz w:val="21"/>
              </w:rPr>
            </w:pPr>
          </w:p>
        </w:tc>
        <w:tc>
          <w:tcPr>
            <w:tcW w:w="849" w:type="dxa"/>
            <w:vAlign w:val="top"/>
          </w:tcPr>
          <w:p w14:paraId="1CC0B9AC">
            <w:pPr>
              <w:rPr>
                <w:rFonts w:ascii="Arial"/>
                <w:sz w:val="21"/>
              </w:rPr>
            </w:pPr>
          </w:p>
        </w:tc>
        <w:tc>
          <w:tcPr>
            <w:tcW w:w="772" w:type="dxa"/>
            <w:vAlign w:val="top"/>
          </w:tcPr>
          <w:p w14:paraId="11E84FE4">
            <w:pPr>
              <w:rPr>
                <w:rFonts w:ascii="Arial"/>
                <w:sz w:val="21"/>
              </w:rPr>
            </w:pPr>
          </w:p>
        </w:tc>
        <w:tc>
          <w:tcPr>
            <w:tcW w:w="1348" w:type="dxa"/>
            <w:vAlign w:val="top"/>
          </w:tcPr>
          <w:p w14:paraId="417B85EB">
            <w:pPr>
              <w:rPr>
                <w:rFonts w:ascii="Arial"/>
                <w:sz w:val="21"/>
              </w:rPr>
            </w:pPr>
          </w:p>
        </w:tc>
        <w:tc>
          <w:tcPr>
            <w:tcW w:w="1414" w:type="dxa"/>
            <w:vAlign w:val="top"/>
          </w:tcPr>
          <w:p w14:paraId="4A08D504">
            <w:pPr>
              <w:rPr>
                <w:rFonts w:ascii="Arial"/>
                <w:sz w:val="21"/>
              </w:rPr>
            </w:pPr>
          </w:p>
        </w:tc>
        <w:tc>
          <w:tcPr>
            <w:tcW w:w="1711" w:type="dxa"/>
            <w:tcBorders>
              <w:right w:val="single" w:color="000000" w:sz="10" w:space="0"/>
            </w:tcBorders>
            <w:vAlign w:val="top"/>
          </w:tcPr>
          <w:p w14:paraId="6328AD45">
            <w:pPr>
              <w:rPr>
                <w:rFonts w:ascii="Arial"/>
                <w:sz w:val="21"/>
              </w:rPr>
            </w:pPr>
          </w:p>
        </w:tc>
      </w:tr>
      <w:tr w14:paraId="1BFAF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004" w:type="dxa"/>
            <w:tcBorders>
              <w:left w:val="single" w:color="000000" w:sz="10" w:space="0"/>
              <w:bottom w:val="single" w:color="000000" w:sz="10" w:space="0"/>
            </w:tcBorders>
            <w:vAlign w:val="top"/>
          </w:tcPr>
          <w:p w14:paraId="2E39A851">
            <w:pPr>
              <w:rPr>
                <w:rFonts w:ascii="Arial"/>
                <w:sz w:val="21"/>
              </w:rPr>
            </w:pPr>
          </w:p>
        </w:tc>
        <w:tc>
          <w:tcPr>
            <w:tcW w:w="1978" w:type="dxa"/>
            <w:tcBorders>
              <w:bottom w:val="single" w:color="000000" w:sz="10" w:space="0"/>
            </w:tcBorders>
            <w:vAlign w:val="top"/>
          </w:tcPr>
          <w:p w14:paraId="0789610D">
            <w:pPr>
              <w:rPr>
                <w:rFonts w:ascii="Arial"/>
                <w:sz w:val="21"/>
              </w:rPr>
            </w:pPr>
          </w:p>
        </w:tc>
        <w:tc>
          <w:tcPr>
            <w:tcW w:w="849" w:type="dxa"/>
            <w:tcBorders>
              <w:bottom w:val="single" w:color="000000" w:sz="10" w:space="0"/>
            </w:tcBorders>
            <w:vAlign w:val="top"/>
          </w:tcPr>
          <w:p w14:paraId="3DFC0D8C">
            <w:pPr>
              <w:rPr>
                <w:rFonts w:ascii="Arial"/>
                <w:sz w:val="21"/>
              </w:rPr>
            </w:pPr>
          </w:p>
        </w:tc>
        <w:tc>
          <w:tcPr>
            <w:tcW w:w="772" w:type="dxa"/>
            <w:tcBorders>
              <w:bottom w:val="single" w:color="000000" w:sz="10" w:space="0"/>
            </w:tcBorders>
            <w:vAlign w:val="top"/>
          </w:tcPr>
          <w:p w14:paraId="485900BC">
            <w:pPr>
              <w:rPr>
                <w:rFonts w:ascii="Arial"/>
                <w:sz w:val="21"/>
              </w:rPr>
            </w:pPr>
          </w:p>
        </w:tc>
        <w:tc>
          <w:tcPr>
            <w:tcW w:w="1348" w:type="dxa"/>
            <w:tcBorders>
              <w:bottom w:val="single" w:color="000000" w:sz="10" w:space="0"/>
            </w:tcBorders>
            <w:vAlign w:val="top"/>
          </w:tcPr>
          <w:p w14:paraId="5CDA5E36">
            <w:pPr>
              <w:rPr>
                <w:rFonts w:ascii="Arial"/>
                <w:sz w:val="21"/>
              </w:rPr>
            </w:pPr>
          </w:p>
        </w:tc>
        <w:tc>
          <w:tcPr>
            <w:tcW w:w="1414" w:type="dxa"/>
            <w:tcBorders>
              <w:bottom w:val="single" w:color="000000" w:sz="10" w:space="0"/>
            </w:tcBorders>
            <w:vAlign w:val="top"/>
          </w:tcPr>
          <w:p w14:paraId="6BC2D822">
            <w:pPr>
              <w:rPr>
                <w:rFonts w:ascii="Arial"/>
                <w:sz w:val="21"/>
              </w:rPr>
            </w:pPr>
          </w:p>
        </w:tc>
        <w:tc>
          <w:tcPr>
            <w:tcW w:w="1711" w:type="dxa"/>
            <w:tcBorders>
              <w:bottom w:val="single" w:color="000000" w:sz="10" w:space="0"/>
              <w:right w:val="single" w:color="000000" w:sz="10" w:space="0"/>
            </w:tcBorders>
            <w:vAlign w:val="top"/>
          </w:tcPr>
          <w:p w14:paraId="24C6AA14">
            <w:pPr>
              <w:rPr>
                <w:rFonts w:ascii="Arial"/>
                <w:sz w:val="21"/>
              </w:rPr>
            </w:pPr>
          </w:p>
        </w:tc>
      </w:tr>
    </w:tbl>
    <w:p w14:paraId="51E13BFA">
      <w:pPr>
        <w:rPr>
          <w:rFonts w:ascii="Arial"/>
          <w:sz w:val="21"/>
        </w:rPr>
      </w:pPr>
    </w:p>
    <w:p w14:paraId="61D5EE14">
      <w:pPr>
        <w:rPr>
          <w:rFonts w:ascii="Arial" w:hAnsi="Arial" w:eastAsia="Arial" w:cs="Arial"/>
          <w:sz w:val="21"/>
          <w:szCs w:val="21"/>
        </w:rPr>
        <w:sectPr>
          <w:footerReference r:id="rId329" w:type="default"/>
          <w:pgSz w:w="11907" w:h="16840"/>
          <w:pgMar w:top="400" w:right="1487" w:bottom="1038" w:left="1317" w:header="0" w:footer="787" w:gutter="0"/>
          <w:cols w:space="720" w:num="1"/>
        </w:sectPr>
      </w:pPr>
    </w:p>
    <w:p w14:paraId="2393BF95">
      <w:pPr>
        <w:spacing w:line="262" w:lineRule="auto"/>
        <w:rPr>
          <w:rFonts w:ascii="Arial"/>
          <w:sz w:val="21"/>
        </w:rPr>
      </w:pPr>
    </w:p>
    <w:p w14:paraId="60762553">
      <w:pPr>
        <w:spacing w:line="262" w:lineRule="auto"/>
        <w:rPr>
          <w:rFonts w:ascii="Arial"/>
          <w:sz w:val="21"/>
        </w:rPr>
      </w:pPr>
    </w:p>
    <w:p w14:paraId="7F2D5B7C">
      <w:pPr>
        <w:spacing w:line="262" w:lineRule="auto"/>
        <w:rPr>
          <w:rFonts w:ascii="Arial"/>
          <w:sz w:val="21"/>
        </w:rPr>
      </w:pPr>
    </w:p>
    <w:p w14:paraId="516657AA">
      <w:pPr>
        <w:spacing w:line="263" w:lineRule="auto"/>
        <w:rPr>
          <w:rFonts w:ascii="Arial"/>
          <w:sz w:val="21"/>
        </w:rPr>
      </w:pPr>
    </w:p>
    <w:p w14:paraId="316D21BB">
      <w:pPr>
        <w:spacing w:line="263" w:lineRule="auto"/>
        <w:rPr>
          <w:rFonts w:ascii="Arial"/>
          <w:sz w:val="21"/>
        </w:rPr>
      </w:pPr>
    </w:p>
    <w:p w14:paraId="23399DB9">
      <w:pPr>
        <w:pStyle w:val="2"/>
        <w:spacing w:before="91" w:line="222" w:lineRule="auto"/>
        <w:ind w:left="3128"/>
        <w:rPr>
          <w:sz w:val="28"/>
          <w:szCs w:val="28"/>
        </w:rPr>
      </w:pPr>
      <w:r>
        <w:rPr>
          <w:rFonts w:ascii="Times New Roman" w:hAnsi="Times New Roman" w:eastAsia="Times New Roman" w:cs="Times New Roman"/>
          <w:spacing w:val="-8"/>
          <w:sz w:val="28"/>
          <w:szCs w:val="28"/>
        </w:rPr>
        <w:t>11-2</w:t>
      </w:r>
      <w:r>
        <w:rPr>
          <w:rFonts w:ascii="Times New Roman" w:hAnsi="Times New Roman" w:eastAsia="Times New Roman" w:cs="Times New Roman"/>
          <w:spacing w:val="-10"/>
          <w:sz w:val="28"/>
          <w:szCs w:val="28"/>
        </w:rPr>
        <w:t xml:space="preserve"> </w:t>
      </w:r>
      <w:r>
        <w:rPr>
          <w:spacing w:val="-8"/>
          <w:sz w:val="28"/>
          <w:szCs w:val="28"/>
        </w:rPr>
        <w:t>：工程设备暂估价表</w:t>
      </w:r>
    </w:p>
    <w:p w14:paraId="59B8615E">
      <w:pPr>
        <w:spacing w:line="112" w:lineRule="exact"/>
      </w:pPr>
    </w:p>
    <w:tbl>
      <w:tblPr>
        <w:tblStyle w:val="5"/>
        <w:tblW w:w="9076"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4"/>
        <w:gridCol w:w="1978"/>
        <w:gridCol w:w="849"/>
        <w:gridCol w:w="772"/>
        <w:gridCol w:w="1348"/>
        <w:gridCol w:w="1414"/>
        <w:gridCol w:w="1711"/>
      </w:tblGrid>
      <w:tr w14:paraId="7737A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1004" w:type="dxa"/>
            <w:tcBorders>
              <w:top w:val="single" w:color="000000" w:sz="10" w:space="0"/>
              <w:left w:val="single" w:color="000000" w:sz="10" w:space="0"/>
            </w:tcBorders>
            <w:vAlign w:val="top"/>
          </w:tcPr>
          <w:p w14:paraId="692AACD1">
            <w:pPr>
              <w:pStyle w:val="6"/>
              <w:spacing w:before="177" w:line="229" w:lineRule="auto"/>
              <w:ind w:left="282"/>
            </w:pPr>
            <w:r>
              <w:rPr>
                <w:spacing w:val="5"/>
              </w:rPr>
              <w:t>序号</w:t>
            </w:r>
          </w:p>
        </w:tc>
        <w:tc>
          <w:tcPr>
            <w:tcW w:w="1978" w:type="dxa"/>
            <w:tcBorders>
              <w:top w:val="single" w:color="000000" w:sz="10" w:space="0"/>
            </w:tcBorders>
            <w:vAlign w:val="top"/>
          </w:tcPr>
          <w:p w14:paraId="7188A2A2">
            <w:pPr>
              <w:pStyle w:val="6"/>
              <w:spacing w:before="177" w:line="230" w:lineRule="auto"/>
              <w:ind w:left="779"/>
            </w:pPr>
            <w:r>
              <w:rPr>
                <w:spacing w:val="3"/>
              </w:rPr>
              <w:t>名称</w:t>
            </w:r>
          </w:p>
        </w:tc>
        <w:tc>
          <w:tcPr>
            <w:tcW w:w="849" w:type="dxa"/>
            <w:tcBorders>
              <w:top w:val="single" w:color="000000" w:sz="10" w:space="0"/>
            </w:tcBorders>
            <w:vAlign w:val="top"/>
          </w:tcPr>
          <w:p w14:paraId="5D768C27">
            <w:pPr>
              <w:pStyle w:val="6"/>
              <w:spacing w:before="178" w:line="228" w:lineRule="auto"/>
              <w:ind w:left="216"/>
            </w:pPr>
            <w:r>
              <w:rPr>
                <w:spacing w:val="3"/>
              </w:rPr>
              <w:t>单位</w:t>
            </w:r>
          </w:p>
        </w:tc>
        <w:tc>
          <w:tcPr>
            <w:tcW w:w="772" w:type="dxa"/>
            <w:tcBorders>
              <w:top w:val="single" w:color="000000" w:sz="10" w:space="0"/>
            </w:tcBorders>
            <w:vAlign w:val="top"/>
          </w:tcPr>
          <w:p w14:paraId="6EB22C65">
            <w:pPr>
              <w:pStyle w:val="6"/>
              <w:spacing w:before="177" w:line="228" w:lineRule="auto"/>
              <w:ind w:left="181"/>
            </w:pPr>
            <w:r>
              <w:rPr>
                <w:spacing w:val="3"/>
              </w:rPr>
              <w:t>数量</w:t>
            </w:r>
          </w:p>
        </w:tc>
        <w:tc>
          <w:tcPr>
            <w:tcW w:w="1348" w:type="dxa"/>
            <w:tcBorders>
              <w:top w:val="single" w:color="000000" w:sz="10" w:space="0"/>
            </w:tcBorders>
            <w:vAlign w:val="top"/>
          </w:tcPr>
          <w:p w14:paraId="4374EBC3">
            <w:pPr>
              <w:pStyle w:val="6"/>
              <w:spacing w:before="178" w:line="226" w:lineRule="auto"/>
              <w:ind w:left="155"/>
            </w:pPr>
            <w:r>
              <w:rPr>
                <w:spacing w:val="5"/>
              </w:rPr>
              <w:t>单价（元）</w:t>
            </w:r>
          </w:p>
        </w:tc>
        <w:tc>
          <w:tcPr>
            <w:tcW w:w="1414" w:type="dxa"/>
            <w:tcBorders>
              <w:top w:val="single" w:color="000000" w:sz="10" w:space="0"/>
            </w:tcBorders>
            <w:vAlign w:val="top"/>
          </w:tcPr>
          <w:p w14:paraId="104FFD34">
            <w:pPr>
              <w:pStyle w:val="6"/>
              <w:spacing w:before="178" w:line="226" w:lineRule="auto"/>
              <w:ind w:left="191"/>
            </w:pPr>
            <w:r>
              <w:rPr>
                <w:spacing w:val="5"/>
              </w:rPr>
              <w:t>合价（元）</w:t>
            </w:r>
          </w:p>
        </w:tc>
        <w:tc>
          <w:tcPr>
            <w:tcW w:w="1711" w:type="dxa"/>
            <w:tcBorders>
              <w:top w:val="single" w:color="000000" w:sz="10" w:space="0"/>
              <w:right w:val="single" w:color="000000" w:sz="10" w:space="0"/>
            </w:tcBorders>
            <w:vAlign w:val="top"/>
          </w:tcPr>
          <w:p w14:paraId="4D10356E">
            <w:pPr>
              <w:pStyle w:val="6"/>
              <w:spacing w:before="177" w:line="229" w:lineRule="auto"/>
              <w:ind w:left="653"/>
            </w:pPr>
            <w:r>
              <w:rPr>
                <w:spacing w:val="3"/>
              </w:rPr>
              <w:t>备注</w:t>
            </w:r>
          </w:p>
        </w:tc>
      </w:tr>
      <w:tr w14:paraId="0FD7F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1004" w:type="dxa"/>
            <w:tcBorders>
              <w:left w:val="single" w:color="000000" w:sz="10" w:space="0"/>
            </w:tcBorders>
            <w:vAlign w:val="top"/>
          </w:tcPr>
          <w:p w14:paraId="0A7AB929">
            <w:pPr>
              <w:rPr>
                <w:rFonts w:ascii="Arial"/>
                <w:sz w:val="21"/>
              </w:rPr>
            </w:pPr>
          </w:p>
        </w:tc>
        <w:tc>
          <w:tcPr>
            <w:tcW w:w="1978" w:type="dxa"/>
            <w:vAlign w:val="top"/>
          </w:tcPr>
          <w:p w14:paraId="28BB1C36">
            <w:pPr>
              <w:rPr>
                <w:rFonts w:ascii="Arial"/>
                <w:sz w:val="21"/>
              </w:rPr>
            </w:pPr>
          </w:p>
        </w:tc>
        <w:tc>
          <w:tcPr>
            <w:tcW w:w="849" w:type="dxa"/>
            <w:vAlign w:val="top"/>
          </w:tcPr>
          <w:p w14:paraId="681E2471">
            <w:pPr>
              <w:rPr>
                <w:rFonts w:ascii="Arial"/>
                <w:sz w:val="21"/>
              </w:rPr>
            </w:pPr>
          </w:p>
        </w:tc>
        <w:tc>
          <w:tcPr>
            <w:tcW w:w="772" w:type="dxa"/>
            <w:vAlign w:val="top"/>
          </w:tcPr>
          <w:p w14:paraId="0297D159">
            <w:pPr>
              <w:rPr>
                <w:rFonts w:ascii="Arial"/>
                <w:sz w:val="21"/>
              </w:rPr>
            </w:pPr>
          </w:p>
        </w:tc>
        <w:tc>
          <w:tcPr>
            <w:tcW w:w="1348" w:type="dxa"/>
            <w:vAlign w:val="top"/>
          </w:tcPr>
          <w:p w14:paraId="0DD9D89D">
            <w:pPr>
              <w:rPr>
                <w:rFonts w:ascii="Arial"/>
                <w:sz w:val="21"/>
              </w:rPr>
            </w:pPr>
          </w:p>
        </w:tc>
        <w:tc>
          <w:tcPr>
            <w:tcW w:w="1414" w:type="dxa"/>
            <w:vAlign w:val="top"/>
          </w:tcPr>
          <w:p w14:paraId="4E099861">
            <w:pPr>
              <w:rPr>
                <w:rFonts w:ascii="Arial"/>
                <w:sz w:val="21"/>
              </w:rPr>
            </w:pPr>
          </w:p>
        </w:tc>
        <w:tc>
          <w:tcPr>
            <w:tcW w:w="1711" w:type="dxa"/>
            <w:tcBorders>
              <w:right w:val="single" w:color="000000" w:sz="10" w:space="0"/>
            </w:tcBorders>
            <w:vAlign w:val="top"/>
          </w:tcPr>
          <w:p w14:paraId="76FDC124">
            <w:pPr>
              <w:rPr>
                <w:rFonts w:ascii="Arial"/>
                <w:sz w:val="21"/>
              </w:rPr>
            </w:pPr>
          </w:p>
        </w:tc>
      </w:tr>
      <w:tr w14:paraId="4CE79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250FBF59">
            <w:pPr>
              <w:rPr>
                <w:rFonts w:ascii="Arial"/>
                <w:sz w:val="21"/>
              </w:rPr>
            </w:pPr>
          </w:p>
        </w:tc>
        <w:tc>
          <w:tcPr>
            <w:tcW w:w="1978" w:type="dxa"/>
            <w:vAlign w:val="top"/>
          </w:tcPr>
          <w:p w14:paraId="796629EE">
            <w:pPr>
              <w:rPr>
                <w:rFonts w:ascii="Arial"/>
                <w:sz w:val="21"/>
              </w:rPr>
            </w:pPr>
          </w:p>
        </w:tc>
        <w:tc>
          <w:tcPr>
            <w:tcW w:w="849" w:type="dxa"/>
            <w:vAlign w:val="top"/>
          </w:tcPr>
          <w:p w14:paraId="40FA999A">
            <w:pPr>
              <w:rPr>
                <w:rFonts w:ascii="Arial"/>
                <w:sz w:val="21"/>
              </w:rPr>
            </w:pPr>
          </w:p>
        </w:tc>
        <w:tc>
          <w:tcPr>
            <w:tcW w:w="772" w:type="dxa"/>
            <w:vAlign w:val="top"/>
          </w:tcPr>
          <w:p w14:paraId="1A8662E1">
            <w:pPr>
              <w:rPr>
                <w:rFonts w:ascii="Arial"/>
                <w:sz w:val="21"/>
              </w:rPr>
            </w:pPr>
          </w:p>
        </w:tc>
        <w:tc>
          <w:tcPr>
            <w:tcW w:w="1348" w:type="dxa"/>
            <w:vAlign w:val="top"/>
          </w:tcPr>
          <w:p w14:paraId="14D90155">
            <w:pPr>
              <w:rPr>
                <w:rFonts w:ascii="Arial"/>
                <w:sz w:val="21"/>
              </w:rPr>
            </w:pPr>
          </w:p>
        </w:tc>
        <w:tc>
          <w:tcPr>
            <w:tcW w:w="1414" w:type="dxa"/>
            <w:vAlign w:val="top"/>
          </w:tcPr>
          <w:p w14:paraId="26D091E8">
            <w:pPr>
              <w:rPr>
                <w:rFonts w:ascii="Arial"/>
                <w:sz w:val="21"/>
              </w:rPr>
            </w:pPr>
          </w:p>
        </w:tc>
        <w:tc>
          <w:tcPr>
            <w:tcW w:w="1711" w:type="dxa"/>
            <w:tcBorders>
              <w:right w:val="single" w:color="000000" w:sz="10" w:space="0"/>
            </w:tcBorders>
            <w:vAlign w:val="top"/>
          </w:tcPr>
          <w:p w14:paraId="4F351FE2">
            <w:pPr>
              <w:rPr>
                <w:rFonts w:ascii="Arial"/>
                <w:sz w:val="21"/>
              </w:rPr>
            </w:pPr>
          </w:p>
        </w:tc>
      </w:tr>
      <w:tr w14:paraId="748FC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3E225316">
            <w:pPr>
              <w:rPr>
                <w:rFonts w:ascii="Arial"/>
                <w:sz w:val="21"/>
              </w:rPr>
            </w:pPr>
          </w:p>
        </w:tc>
        <w:tc>
          <w:tcPr>
            <w:tcW w:w="1978" w:type="dxa"/>
            <w:vAlign w:val="top"/>
          </w:tcPr>
          <w:p w14:paraId="06383661">
            <w:pPr>
              <w:rPr>
                <w:rFonts w:ascii="Arial"/>
                <w:sz w:val="21"/>
              </w:rPr>
            </w:pPr>
          </w:p>
        </w:tc>
        <w:tc>
          <w:tcPr>
            <w:tcW w:w="849" w:type="dxa"/>
            <w:vAlign w:val="top"/>
          </w:tcPr>
          <w:p w14:paraId="02508E7C">
            <w:pPr>
              <w:rPr>
                <w:rFonts w:ascii="Arial"/>
                <w:sz w:val="21"/>
              </w:rPr>
            </w:pPr>
          </w:p>
        </w:tc>
        <w:tc>
          <w:tcPr>
            <w:tcW w:w="772" w:type="dxa"/>
            <w:vAlign w:val="top"/>
          </w:tcPr>
          <w:p w14:paraId="3BA199E8">
            <w:pPr>
              <w:rPr>
                <w:rFonts w:ascii="Arial"/>
                <w:sz w:val="21"/>
              </w:rPr>
            </w:pPr>
          </w:p>
        </w:tc>
        <w:tc>
          <w:tcPr>
            <w:tcW w:w="1348" w:type="dxa"/>
            <w:vAlign w:val="top"/>
          </w:tcPr>
          <w:p w14:paraId="4E7B1065">
            <w:pPr>
              <w:rPr>
                <w:rFonts w:ascii="Arial"/>
                <w:sz w:val="21"/>
              </w:rPr>
            </w:pPr>
          </w:p>
        </w:tc>
        <w:tc>
          <w:tcPr>
            <w:tcW w:w="1414" w:type="dxa"/>
            <w:vAlign w:val="top"/>
          </w:tcPr>
          <w:p w14:paraId="30A9D2DB">
            <w:pPr>
              <w:rPr>
                <w:rFonts w:ascii="Arial"/>
                <w:sz w:val="21"/>
              </w:rPr>
            </w:pPr>
          </w:p>
        </w:tc>
        <w:tc>
          <w:tcPr>
            <w:tcW w:w="1711" w:type="dxa"/>
            <w:tcBorders>
              <w:right w:val="single" w:color="000000" w:sz="10" w:space="0"/>
            </w:tcBorders>
            <w:vAlign w:val="top"/>
          </w:tcPr>
          <w:p w14:paraId="792C4FA9">
            <w:pPr>
              <w:rPr>
                <w:rFonts w:ascii="Arial"/>
                <w:sz w:val="21"/>
              </w:rPr>
            </w:pPr>
          </w:p>
        </w:tc>
      </w:tr>
      <w:tr w14:paraId="7C915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7DCC67F">
            <w:pPr>
              <w:rPr>
                <w:rFonts w:ascii="Arial"/>
                <w:sz w:val="21"/>
              </w:rPr>
            </w:pPr>
          </w:p>
        </w:tc>
        <w:tc>
          <w:tcPr>
            <w:tcW w:w="1978" w:type="dxa"/>
            <w:vAlign w:val="top"/>
          </w:tcPr>
          <w:p w14:paraId="167DB800">
            <w:pPr>
              <w:rPr>
                <w:rFonts w:ascii="Arial"/>
                <w:sz w:val="21"/>
              </w:rPr>
            </w:pPr>
          </w:p>
        </w:tc>
        <w:tc>
          <w:tcPr>
            <w:tcW w:w="849" w:type="dxa"/>
            <w:vAlign w:val="top"/>
          </w:tcPr>
          <w:p w14:paraId="6A157220">
            <w:pPr>
              <w:rPr>
                <w:rFonts w:ascii="Arial"/>
                <w:sz w:val="21"/>
              </w:rPr>
            </w:pPr>
          </w:p>
        </w:tc>
        <w:tc>
          <w:tcPr>
            <w:tcW w:w="772" w:type="dxa"/>
            <w:vAlign w:val="top"/>
          </w:tcPr>
          <w:p w14:paraId="29935624">
            <w:pPr>
              <w:rPr>
                <w:rFonts w:ascii="Arial"/>
                <w:sz w:val="21"/>
              </w:rPr>
            </w:pPr>
          </w:p>
        </w:tc>
        <w:tc>
          <w:tcPr>
            <w:tcW w:w="1348" w:type="dxa"/>
            <w:vAlign w:val="top"/>
          </w:tcPr>
          <w:p w14:paraId="758CAD62">
            <w:pPr>
              <w:rPr>
                <w:rFonts w:ascii="Arial"/>
                <w:sz w:val="21"/>
              </w:rPr>
            </w:pPr>
          </w:p>
        </w:tc>
        <w:tc>
          <w:tcPr>
            <w:tcW w:w="1414" w:type="dxa"/>
            <w:vAlign w:val="top"/>
          </w:tcPr>
          <w:p w14:paraId="57FF94C0">
            <w:pPr>
              <w:rPr>
                <w:rFonts w:ascii="Arial"/>
                <w:sz w:val="21"/>
              </w:rPr>
            </w:pPr>
          </w:p>
        </w:tc>
        <w:tc>
          <w:tcPr>
            <w:tcW w:w="1711" w:type="dxa"/>
            <w:tcBorders>
              <w:right w:val="single" w:color="000000" w:sz="10" w:space="0"/>
            </w:tcBorders>
            <w:vAlign w:val="top"/>
          </w:tcPr>
          <w:p w14:paraId="4DCD5C74">
            <w:pPr>
              <w:rPr>
                <w:rFonts w:ascii="Arial"/>
                <w:sz w:val="21"/>
              </w:rPr>
            </w:pPr>
          </w:p>
        </w:tc>
      </w:tr>
      <w:tr w14:paraId="231ED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A2661A9">
            <w:pPr>
              <w:rPr>
                <w:rFonts w:ascii="Arial"/>
                <w:sz w:val="21"/>
              </w:rPr>
            </w:pPr>
          </w:p>
        </w:tc>
        <w:tc>
          <w:tcPr>
            <w:tcW w:w="1978" w:type="dxa"/>
            <w:vAlign w:val="top"/>
          </w:tcPr>
          <w:p w14:paraId="4157C462">
            <w:pPr>
              <w:rPr>
                <w:rFonts w:ascii="Arial"/>
                <w:sz w:val="21"/>
              </w:rPr>
            </w:pPr>
          </w:p>
        </w:tc>
        <w:tc>
          <w:tcPr>
            <w:tcW w:w="849" w:type="dxa"/>
            <w:vAlign w:val="top"/>
          </w:tcPr>
          <w:p w14:paraId="10EF97A9">
            <w:pPr>
              <w:rPr>
                <w:rFonts w:ascii="Arial"/>
                <w:sz w:val="21"/>
              </w:rPr>
            </w:pPr>
          </w:p>
        </w:tc>
        <w:tc>
          <w:tcPr>
            <w:tcW w:w="772" w:type="dxa"/>
            <w:vAlign w:val="top"/>
          </w:tcPr>
          <w:p w14:paraId="42538215">
            <w:pPr>
              <w:rPr>
                <w:rFonts w:ascii="Arial"/>
                <w:sz w:val="21"/>
              </w:rPr>
            </w:pPr>
          </w:p>
        </w:tc>
        <w:tc>
          <w:tcPr>
            <w:tcW w:w="1348" w:type="dxa"/>
            <w:vAlign w:val="top"/>
          </w:tcPr>
          <w:p w14:paraId="2DA21F78">
            <w:pPr>
              <w:rPr>
                <w:rFonts w:ascii="Arial"/>
                <w:sz w:val="21"/>
              </w:rPr>
            </w:pPr>
          </w:p>
        </w:tc>
        <w:tc>
          <w:tcPr>
            <w:tcW w:w="1414" w:type="dxa"/>
            <w:vAlign w:val="top"/>
          </w:tcPr>
          <w:p w14:paraId="42B9AE10">
            <w:pPr>
              <w:rPr>
                <w:rFonts w:ascii="Arial"/>
                <w:sz w:val="21"/>
              </w:rPr>
            </w:pPr>
          </w:p>
        </w:tc>
        <w:tc>
          <w:tcPr>
            <w:tcW w:w="1711" w:type="dxa"/>
            <w:tcBorders>
              <w:right w:val="single" w:color="000000" w:sz="10" w:space="0"/>
            </w:tcBorders>
            <w:vAlign w:val="top"/>
          </w:tcPr>
          <w:p w14:paraId="51FA3C53">
            <w:pPr>
              <w:rPr>
                <w:rFonts w:ascii="Arial"/>
                <w:sz w:val="21"/>
              </w:rPr>
            </w:pPr>
          </w:p>
        </w:tc>
      </w:tr>
      <w:tr w14:paraId="49290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6760DE8A">
            <w:pPr>
              <w:rPr>
                <w:rFonts w:ascii="Arial"/>
                <w:sz w:val="21"/>
              </w:rPr>
            </w:pPr>
          </w:p>
        </w:tc>
        <w:tc>
          <w:tcPr>
            <w:tcW w:w="1978" w:type="dxa"/>
            <w:vAlign w:val="top"/>
          </w:tcPr>
          <w:p w14:paraId="59C2B3BE">
            <w:pPr>
              <w:rPr>
                <w:rFonts w:ascii="Arial"/>
                <w:sz w:val="21"/>
              </w:rPr>
            </w:pPr>
          </w:p>
        </w:tc>
        <w:tc>
          <w:tcPr>
            <w:tcW w:w="849" w:type="dxa"/>
            <w:vAlign w:val="top"/>
          </w:tcPr>
          <w:p w14:paraId="642CE36B">
            <w:pPr>
              <w:rPr>
                <w:rFonts w:ascii="Arial"/>
                <w:sz w:val="21"/>
              </w:rPr>
            </w:pPr>
          </w:p>
        </w:tc>
        <w:tc>
          <w:tcPr>
            <w:tcW w:w="772" w:type="dxa"/>
            <w:vAlign w:val="top"/>
          </w:tcPr>
          <w:p w14:paraId="5F60B18E">
            <w:pPr>
              <w:rPr>
                <w:rFonts w:ascii="Arial"/>
                <w:sz w:val="21"/>
              </w:rPr>
            </w:pPr>
          </w:p>
        </w:tc>
        <w:tc>
          <w:tcPr>
            <w:tcW w:w="1348" w:type="dxa"/>
            <w:vAlign w:val="top"/>
          </w:tcPr>
          <w:p w14:paraId="526FF89A">
            <w:pPr>
              <w:rPr>
                <w:rFonts w:ascii="Arial"/>
                <w:sz w:val="21"/>
              </w:rPr>
            </w:pPr>
          </w:p>
        </w:tc>
        <w:tc>
          <w:tcPr>
            <w:tcW w:w="1414" w:type="dxa"/>
            <w:vAlign w:val="top"/>
          </w:tcPr>
          <w:p w14:paraId="18E4095D">
            <w:pPr>
              <w:rPr>
                <w:rFonts w:ascii="Arial"/>
                <w:sz w:val="21"/>
              </w:rPr>
            </w:pPr>
          </w:p>
        </w:tc>
        <w:tc>
          <w:tcPr>
            <w:tcW w:w="1711" w:type="dxa"/>
            <w:tcBorders>
              <w:right w:val="single" w:color="000000" w:sz="10" w:space="0"/>
            </w:tcBorders>
            <w:vAlign w:val="top"/>
          </w:tcPr>
          <w:p w14:paraId="4567718F">
            <w:pPr>
              <w:rPr>
                <w:rFonts w:ascii="Arial"/>
                <w:sz w:val="21"/>
              </w:rPr>
            </w:pPr>
          </w:p>
        </w:tc>
      </w:tr>
      <w:tr w14:paraId="1F4A3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387CF319">
            <w:pPr>
              <w:rPr>
                <w:rFonts w:ascii="Arial"/>
                <w:sz w:val="21"/>
              </w:rPr>
            </w:pPr>
          </w:p>
        </w:tc>
        <w:tc>
          <w:tcPr>
            <w:tcW w:w="1978" w:type="dxa"/>
            <w:vAlign w:val="top"/>
          </w:tcPr>
          <w:p w14:paraId="69AC6E4E">
            <w:pPr>
              <w:rPr>
                <w:rFonts w:ascii="Arial"/>
                <w:sz w:val="21"/>
              </w:rPr>
            </w:pPr>
          </w:p>
        </w:tc>
        <w:tc>
          <w:tcPr>
            <w:tcW w:w="849" w:type="dxa"/>
            <w:vAlign w:val="top"/>
          </w:tcPr>
          <w:p w14:paraId="08FDD2BC">
            <w:pPr>
              <w:rPr>
                <w:rFonts w:ascii="Arial"/>
                <w:sz w:val="21"/>
              </w:rPr>
            </w:pPr>
          </w:p>
        </w:tc>
        <w:tc>
          <w:tcPr>
            <w:tcW w:w="772" w:type="dxa"/>
            <w:vAlign w:val="top"/>
          </w:tcPr>
          <w:p w14:paraId="6A6C2D94">
            <w:pPr>
              <w:rPr>
                <w:rFonts w:ascii="Arial"/>
                <w:sz w:val="21"/>
              </w:rPr>
            </w:pPr>
          </w:p>
        </w:tc>
        <w:tc>
          <w:tcPr>
            <w:tcW w:w="1348" w:type="dxa"/>
            <w:vAlign w:val="top"/>
          </w:tcPr>
          <w:p w14:paraId="168DF42C">
            <w:pPr>
              <w:rPr>
                <w:rFonts w:ascii="Arial"/>
                <w:sz w:val="21"/>
              </w:rPr>
            </w:pPr>
          </w:p>
        </w:tc>
        <w:tc>
          <w:tcPr>
            <w:tcW w:w="1414" w:type="dxa"/>
            <w:vAlign w:val="top"/>
          </w:tcPr>
          <w:p w14:paraId="3837F6D1">
            <w:pPr>
              <w:rPr>
                <w:rFonts w:ascii="Arial"/>
                <w:sz w:val="21"/>
              </w:rPr>
            </w:pPr>
          </w:p>
        </w:tc>
        <w:tc>
          <w:tcPr>
            <w:tcW w:w="1711" w:type="dxa"/>
            <w:tcBorders>
              <w:right w:val="single" w:color="000000" w:sz="10" w:space="0"/>
            </w:tcBorders>
            <w:vAlign w:val="top"/>
          </w:tcPr>
          <w:p w14:paraId="5243A272">
            <w:pPr>
              <w:rPr>
                <w:rFonts w:ascii="Arial"/>
                <w:sz w:val="21"/>
              </w:rPr>
            </w:pPr>
          </w:p>
        </w:tc>
      </w:tr>
      <w:tr w14:paraId="38266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228EAFDA">
            <w:pPr>
              <w:rPr>
                <w:rFonts w:ascii="Arial"/>
                <w:sz w:val="21"/>
              </w:rPr>
            </w:pPr>
          </w:p>
        </w:tc>
        <w:tc>
          <w:tcPr>
            <w:tcW w:w="1978" w:type="dxa"/>
            <w:vAlign w:val="top"/>
          </w:tcPr>
          <w:p w14:paraId="48198512">
            <w:pPr>
              <w:rPr>
                <w:rFonts w:ascii="Arial"/>
                <w:sz w:val="21"/>
              </w:rPr>
            </w:pPr>
          </w:p>
        </w:tc>
        <w:tc>
          <w:tcPr>
            <w:tcW w:w="849" w:type="dxa"/>
            <w:vAlign w:val="top"/>
          </w:tcPr>
          <w:p w14:paraId="11703178">
            <w:pPr>
              <w:rPr>
                <w:rFonts w:ascii="Arial"/>
                <w:sz w:val="21"/>
              </w:rPr>
            </w:pPr>
          </w:p>
        </w:tc>
        <w:tc>
          <w:tcPr>
            <w:tcW w:w="772" w:type="dxa"/>
            <w:vAlign w:val="top"/>
          </w:tcPr>
          <w:p w14:paraId="54588BAD">
            <w:pPr>
              <w:rPr>
                <w:rFonts w:ascii="Arial"/>
                <w:sz w:val="21"/>
              </w:rPr>
            </w:pPr>
          </w:p>
        </w:tc>
        <w:tc>
          <w:tcPr>
            <w:tcW w:w="1348" w:type="dxa"/>
            <w:vAlign w:val="top"/>
          </w:tcPr>
          <w:p w14:paraId="531DBA11">
            <w:pPr>
              <w:rPr>
                <w:rFonts w:ascii="Arial"/>
                <w:sz w:val="21"/>
              </w:rPr>
            </w:pPr>
          </w:p>
        </w:tc>
        <w:tc>
          <w:tcPr>
            <w:tcW w:w="1414" w:type="dxa"/>
            <w:vAlign w:val="top"/>
          </w:tcPr>
          <w:p w14:paraId="13FA600A">
            <w:pPr>
              <w:rPr>
                <w:rFonts w:ascii="Arial"/>
                <w:sz w:val="21"/>
              </w:rPr>
            </w:pPr>
          </w:p>
        </w:tc>
        <w:tc>
          <w:tcPr>
            <w:tcW w:w="1711" w:type="dxa"/>
            <w:tcBorders>
              <w:right w:val="single" w:color="000000" w:sz="10" w:space="0"/>
            </w:tcBorders>
            <w:vAlign w:val="top"/>
          </w:tcPr>
          <w:p w14:paraId="52D5E8A7">
            <w:pPr>
              <w:rPr>
                <w:rFonts w:ascii="Arial"/>
                <w:sz w:val="21"/>
              </w:rPr>
            </w:pPr>
          </w:p>
        </w:tc>
      </w:tr>
      <w:tr w14:paraId="6D91E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4FA37741">
            <w:pPr>
              <w:rPr>
                <w:rFonts w:ascii="Arial"/>
                <w:sz w:val="21"/>
              </w:rPr>
            </w:pPr>
          </w:p>
        </w:tc>
        <w:tc>
          <w:tcPr>
            <w:tcW w:w="1978" w:type="dxa"/>
            <w:vAlign w:val="top"/>
          </w:tcPr>
          <w:p w14:paraId="6C0BCF53">
            <w:pPr>
              <w:rPr>
                <w:rFonts w:ascii="Arial"/>
                <w:sz w:val="21"/>
              </w:rPr>
            </w:pPr>
          </w:p>
        </w:tc>
        <w:tc>
          <w:tcPr>
            <w:tcW w:w="849" w:type="dxa"/>
            <w:vAlign w:val="top"/>
          </w:tcPr>
          <w:p w14:paraId="6431D170">
            <w:pPr>
              <w:rPr>
                <w:rFonts w:ascii="Arial"/>
                <w:sz w:val="21"/>
              </w:rPr>
            </w:pPr>
          </w:p>
        </w:tc>
        <w:tc>
          <w:tcPr>
            <w:tcW w:w="772" w:type="dxa"/>
            <w:vAlign w:val="top"/>
          </w:tcPr>
          <w:p w14:paraId="261D9845">
            <w:pPr>
              <w:rPr>
                <w:rFonts w:ascii="Arial"/>
                <w:sz w:val="21"/>
              </w:rPr>
            </w:pPr>
          </w:p>
        </w:tc>
        <w:tc>
          <w:tcPr>
            <w:tcW w:w="1348" w:type="dxa"/>
            <w:vAlign w:val="top"/>
          </w:tcPr>
          <w:p w14:paraId="064CD983">
            <w:pPr>
              <w:rPr>
                <w:rFonts w:ascii="Arial"/>
                <w:sz w:val="21"/>
              </w:rPr>
            </w:pPr>
          </w:p>
        </w:tc>
        <w:tc>
          <w:tcPr>
            <w:tcW w:w="1414" w:type="dxa"/>
            <w:vAlign w:val="top"/>
          </w:tcPr>
          <w:p w14:paraId="7DB4E7FC">
            <w:pPr>
              <w:rPr>
                <w:rFonts w:ascii="Arial"/>
                <w:sz w:val="21"/>
              </w:rPr>
            </w:pPr>
          </w:p>
        </w:tc>
        <w:tc>
          <w:tcPr>
            <w:tcW w:w="1711" w:type="dxa"/>
            <w:tcBorders>
              <w:right w:val="single" w:color="000000" w:sz="10" w:space="0"/>
            </w:tcBorders>
            <w:vAlign w:val="top"/>
          </w:tcPr>
          <w:p w14:paraId="7CF17545">
            <w:pPr>
              <w:rPr>
                <w:rFonts w:ascii="Arial"/>
                <w:sz w:val="21"/>
              </w:rPr>
            </w:pPr>
          </w:p>
        </w:tc>
      </w:tr>
      <w:tr w14:paraId="5EF9E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28633442">
            <w:pPr>
              <w:rPr>
                <w:rFonts w:ascii="Arial"/>
                <w:sz w:val="21"/>
              </w:rPr>
            </w:pPr>
          </w:p>
        </w:tc>
        <w:tc>
          <w:tcPr>
            <w:tcW w:w="1978" w:type="dxa"/>
            <w:vAlign w:val="top"/>
          </w:tcPr>
          <w:p w14:paraId="7C260662">
            <w:pPr>
              <w:rPr>
                <w:rFonts w:ascii="Arial"/>
                <w:sz w:val="21"/>
              </w:rPr>
            </w:pPr>
          </w:p>
        </w:tc>
        <w:tc>
          <w:tcPr>
            <w:tcW w:w="849" w:type="dxa"/>
            <w:vAlign w:val="top"/>
          </w:tcPr>
          <w:p w14:paraId="7D4E1B00">
            <w:pPr>
              <w:rPr>
                <w:rFonts w:ascii="Arial"/>
                <w:sz w:val="21"/>
              </w:rPr>
            </w:pPr>
          </w:p>
        </w:tc>
        <w:tc>
          <w:tcPr>
            <w:tcW w:w="772" w:type="dxa"/>
            <w:vAlign w:val="top"/>
          </w:tcPr>
          <w:p w14:paraId="5856BDC9">
            <w:pPr>
              <w:rPr>
                <w:rFonts w:ascii="Arial"/>
                <w:sz w:val="21"/>
              </w:rPr>
            </w:pPr>
          </w:p>
        </w:tc>
        <w:tc>
          <w:tcPr>
            <w:tcW w:w="1348" w:type="dxa"/>
            <w:vAlign w:val="top"/>
          </w:tcPr>
          <w:p w14:paraId="65CCD1CA">
            <w:pPr>
              <w:rPr>
                <w:rFonts w:ascii="Arial"/>
                <w:sz w:val="21"/>
              </w:rPr>
            </w:pPr>
          </w:p>
        </w:tc>
        <w:tc>
          <w:tcPr>
            <w:tcW w:w="1414" w:type="dxa"/>
            <w:vAlign w:val="top"/>
          </w:tcPr>
          <w:p w14:paraId="2313CF76">
            <w:pPr>
              <w:rPr>
                <w:rFonts w:ascii="Arial"/>
                <w:sz w:val="21"/>
              </w:rPr>
            </w:pPr>
          </w:p>
        </w:tc>
        <w:tc>
          <w:tcPr>
            <w:tcW w:w="1711" w:type="dxa"/>
            <w:tcBorders>
              <w:right w:val="single" w:color="000000" w:sz="10" w:space="0"/>
            </w:tcBorders>
            <w:vAlign w:val="top"/>
          </w:tcPr>
          <w:p w14:paraId="6C6DCA3A">
            <w:pPr>
              <w:rPr>
                <w:rFonts w:ascii="Arial"/>
                <w:sz w:val="21"/>
              </w:rPr>
            </w:pPr>
          </w:p>
        </w:tc>
      </w:tr>
      <w:tr w14:paraId="6D609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893CA8B">
            <w:pPr>
              <w:rPr>
                <w:rFonts w:ascii="Arial"/>
                <w:sz w:val="21"/>
              </w:rPr>
            </w:pPr>
          </w:p>
        </w:tc>
        <w:tc>
          <w:tcPr>
            <w:tcW w:w="1978" w:type="dxa"/>
            <w:vAlign w:val="top"/>
          </w:tcPr>
          <w:p w14:paraId="59DDA099">
            <w:pPr>
              <w:rPr>
                <w:rFonts w:ascii="Arial"/>
                <w:sz w:val="21"/>
              </w:rPr>
            </w:pPr>
          </w:p>
        </w:tc>
        <w:tc>
          <w:tcPr>
            <w:tcW w:w="849" w:type="dxa"/>
            <w:vAlign w:val="top"/>
          </w:tcPr>
          <w:p w14:paraId="06B75BFE">
            <w:pPr>
              <w:rPr>
                <w:rFonts w:ascii="Arial"/>
                <w:sz w:val="21"/>
              </w:rPr>
            </w:pPr>
          </w:p>
        </w:tc>
        <w:tc>
          <w:tcPr>
            <w:tcW w:w="772" w:type="dxa"/>
            <w:vAlign w:val="top"/>
          </w:tcPr>
          <w:p w14:paraId="1C6DE759">
            <w:pPr>
              <w:rPr>
                <w:rFonts w:ascii="Arial"/>
                <w:sz w:val="21"/>
              </w:rPr>
            </w:pPr>
          </w:p>
        </w:tc>
        <w:tc>
          <w:tcPr>
            <w:tcW w:w="1348" w:type="dxa"/>
            <w:vAlign w:val="top"/>
          </w:tcPr>
          <w:p w14:paraId="2D3C8444">
            <w:pPr>
              <w:rPr>
                <w:rFonts w:ascii="Arial"/>
                <w:sz w:val="21"/>
              </w:rPr>
            </w:pPr>
          </w:p>
        </w:tc>
        <w:tc>
          <w:tcPr>
            <w:tcW w:w="1414" w:type="dxa"/>
            <w:vAlign w:val="top"/>
          </w:tcPr>
          <w:p w14:paraId="49B2F129">
            <w:pPr>
              <w:rPr>
                <w:rFonts w:ascii="Arial"/>
                <w:sz w:val="21"/>
              </w:rPr>
            </w:pPr>
          </w:p>
        </w:tc>
        <w:tc>
          <w:tcPr>
            <w:tcW w:w="1711" w:type="dxa"/>
            <w:tcBorders>
              <w:right w:val="single" w:color="000000" w:sz="10" w:space="0"/>
            </w:tcBorders>
            <w:vAlign w:val="top"/>
          </w:tcPr>
          <w:p w14:paraId="27B9B683">
            <w:pPr>
              <w:rPr>
                <w:rFonts w:ascii="Arial"/>
                <w:sz w:val="21"/>
              </w:rPr>
            </w:pPr>
          </w:p>
        </w:tc>
      </w:tr>
      <w:tr w14:paraId="05E8D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3C3BA9B">
            <w:pPr>
              <w:rPr>
                <w:rFonts w:ascii="Arial"/>
                <w:sz w:val="21"/>
              </w:rPr>
            </w:pPr>
          </w:p>
        </w:tc>
        <w:tc>
          <w:tcPr>
            <w:tcW w:w="1978" w:type="dxa"/>
            <w:vAlign w:val="top"/>
          </w:tcPr>
          <w:p w14:paraId="53363AC9">
            <w:pPr>
              <w:rPr>
                <w:rFonts w:ascii="Arial"/>
                <w:sz w:val="21"/>
              </w:rPr>
            </w:pPr>
          </w:p>
        </w:tc>
        <w:tc>
          <w:tcPr>
            <w:tcW w:w="849" w:type="dxa"/>
            <w:vAlign w:val="top"/>
          </w:tcPr>
          <w:p w14:paraId="53D7C170">
            <w:pPr>
              <w:rPr>
                <w:rFonts w:ascii="Arial"/>
                <w:sz w:val="21"/>
              </w:rPr>
            </w:pPr>
          </w:p>
        </w:tc>
        <w:tc>
          <w:tcPr>
            <w:tcW w:w="772" w:type="dxa"/>
            <w:vAlign w:val="top"/>
          </w:tcPr>
          <w:p w14:paraId="62009BF8">
            <w:pPr>
              <w:rPr>
                <w:rFonts w:ascii="Arial"/>
                <w:sz w:val="21"/>
              </w:rPr>
            </w:pPr>
          </w:p>
        </w:tc>
        <w:tc>
          <w:tcPr>
            <w:tcW w:w="1348" w:type="dxa"/>
            <w:vAlign w:val="top"/>
          </w:tcPr>
          <w:p w14:paraId="437D4ACA">
            <w:pPr>
              <w:rPr>
                <w:rFonts w:ascii="Arial"/>
                <w:sz w:val="21"/>
              </w:rPr>
            </w:pPr>
          </w:p>
        </w:tc>
        <w:tc>
          <w:tcPr>
            <w:tcW w:w="1414" w:type="dxa"/>
            <w:vAlign w:val="top"/>
          </w:tcPr>
          <w:p w14:paraId="1E32F667">
            <w:pPr>
              <w:rPr>
                <w:rFonts w:ascii="Arial"/>
                <w:sz w:val="21"/>
              </w:rPr>
            </w:pPr>
          </w:p>
        </w:tc>
        <w:tc>
          <w:tcPr>
            <w:tcW w:w="1711" w:type="dxa"/>
            <w:tcBorders>
              <w:right w:val="single" w:color="000000" w:sz="10" w:space="0"/>
            </w:tcBorders>
            <w:vAlign w:val="top"/>
          </w:tcPr>
          <w:p w14:paraId="5106D31E">
            <w:pPr>
              <w:rPr>
                <w:rFonts w:ascii="Arial"/>
                <w:sz w:val="21"/>
              </w:rPr>
            </w:pPr>
          </w:p>
        </w:tc>
      </w:tr>
      <w:tr w14:paraId="076BB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646F0912">
            <w:pPr>
              <w:rPr>
                <w:rFonts w:ascii="Arial"/>
                <w:sz w:val="21"/>
              </w:rPr>
            </w:pPr>
          </w:p>
        </w:tc>
        <w:tc>
          <w:tcPr>
            <w:tcW w:w="1978" w:type="dxa"/>
            <w:vAlign w:val="top"/>
          </w:tcPr>
          <w:p w14:paraId="18D00876">
            <w:pPr>
              <w:rPr>
                <w:rFonts w:ascii="Arial"/>
                <w:sz w:val="21"/>
              </w:rPr>
            </w:pPr>
          </w:p>
        </w:tc>
        <w:tc>
          <w:tcPr>
            <w:tcW w:w="849" w:type="dxa"/>
            <w:vAlign w:val="top"/>
          </w:tcPr>
          <w:p w14:paraId="3F9CC3A8">
            <w:pPr>
              <w:rPr>
                <w:rFonts w:ascii="Arial"/>
                <w:sz w:val="21"/>
              </w:rPr>
            </w:pPr>
          </w:p>
        </w:tc>
        <w:tc>
          <w:tcPr>
            <w:tcW w:w="772" w:type="dxa"/>
            <w:vAlign w:val="top"/>
          </w:tcPr>
          <w:p w14:paraId="272B5EFB">
            <w:pPr>
              <w:rPr>
                <w:rFonts w:ascii="Arial"/>
                <w:sz w:val="21"/>
              </w:rPr>
            </w:pPr>
          </w:p>
        </w:tc>
        <w:tc>
          <w:tcPr>
            <w:tcW w:w="1348" w:type="dxa"/>
            <w:vAlign w:val="top"/>
          </w:tcPr>
          <w:p w14:paraId="5D62A665">
            <w:pPr>
              <w:rPr>
                <w:rFonts w:ascii="Arial"/>
                <w:sz w:val="21"/>
              </w:rPr>
            </w:pPr>
          </w:p>
        </w:tc>
        <w:tc>
          <w:tcPr>
            <w:tcW w:w="1414" w:type="dxa"/>
            <w:vAlign w:val="top"/>
          </w:tcPr>
          <w:p w14:paraId="19811E71">
            <w:pPr>
              <w:rPr>
                <w:rFonts w:ascii="Arial"/>
                <w:sz w:val="21"/>
              </w:rPr>
            </w:pPr>
          </w:p>
        </w:tc>
        <w:tc>
          <w:tcPr>
            <w:tcW w:w="1711" w:type="dxa"/>
            <w:tcBorders>
              <w:right w:val="single" w:color="000000" w:sz="10" w:space="0"/>
            </w:tcBorders>
            <w:vAlign w:val="top"/>
          </w:tcPr>
          <w:p w14:paraId="76D0063C">
            <w:pPr>
              <w:rPr>
                <w:rFonts w:ascii="Arial"/>
                <w:sz w:val="21"/>
              </w:rPr>
            </w:pPr>
          </w:p>
        </w:tc>
      </w:tr>
      <w:tr w14:paraId="10D9C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41B077F3">
            <w:pPr>
              <w:rPr>
                <w:rFonts w:ascii="Arial"/>
                <w:sz w:val="21"/>
              </w:rPr>
            </w:pPr>
          </w:p>
        </w:tc>
        <w:tc>
          <w:tcPr>
            <w:tcW w:w="1978" w:type="dxa"/>
            <w:vAlign w:val="top"/>
          </w:tcPr>
          <w:p w14:paraId="57F937DD">
            <w:pPr>
              <w:rPr>
                <w:rFonts w:ascii="Arial"/>
                <w:sz w:val="21"/>
              </w:rPr>
            </w:pPr>
          </w:p>
        </w:tc>
        <w:tc>
          <w:tcPr>
            <w:tcW w:w="849" w:type="dxa"/>
            <w:vAlign w:val="top"/>
          </w:tcPr>
          <w:p w14:paraId="0CB651C4">
            <w:pPr>
              <w:rPr>
                <w:rFonts w:ascii="Arial"/>
                <w:sz w:val="21"/>
              </w:rPr>
            </w:pPr>
          </w:p>
        </w:tc>
        <w:tc>
          <w:tcPr>
            <w:tcW w:w="772" w:type="dxa"/>
            <w:vAlign w:val="top"/>
          </w:tcPr>
          <w:p w14:paraId="35697CF0">
            <w:pPr>
              <w:rPr>
                <w:rFonts w:ascii="Arial"/>
                <w:sz w:val="21"/>
              </w:rPr>
            </w:pPr>
          </w:p>
        </w:tc>
        <w:tc>
          <w:tcPr>
            <w:tcW w:w="1348" w:type="dxa"/>
            <w:vAlign w:val="top"/>
          </w:tcPr>
          <w:p w14:paraId="054EBD58">
            <w:pPr>
              <w:rPr>
                <w:rFonts w:ascii="Arial"/>
                <w:sz w:val="21"/>
              </w:rPr>
            </w:pPr>
          </w:p>
        </w:tc>
        <w:tc>
          <w:tcPr>
            <w:tcW w:w="1414" w:type="dxa"/>
            <w:vAlign w:val="top"/>
          </w:tcPr>
          <w:p w14:paraId="36309C0D">
            <w:pPr>
              <w:rPr>
                <w:rFonts w:ascii="Arial"/>
                <w:sz w:val="21"/>
              </w:rPr>
            </w:pPr>
          </w:p>
        </w:tc>
        <w:tc>
          <w:tcPr>
            <w:tcW w:w="1711" w:type="dxa"/>
            <w:tcBorders>
              <w:right w:val="single" w:color="000000" w:sz="10" w:space="0"/>
            </w:tcBorders>
            <w:vAlign w:val="top"/>
          </w:tcPr>
          <w:p w14:paraId="438CE11B">
            <w:pPr>
              <w:rPr>
                <w:rFonts w:ascii="Arial"/>
                <w:sz w:val="21"/>
              </w:rPr>
            </w:pPr>
          </w:p>
        </w:tc>
      </w:tr>
      <w:tr w14:paraId="33691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2954898E">
            <w:pPr>
              <w:rPr>
                <w:rFonts w:ascii="Arial"/>
                <w:sz w:val="21"/>
              </w:rPr>
            </w:pPr>
          </w:p>
        </w:tc>
        <w:tc>
          <w:tcPr>
            <w:tcW w:w="1978" w:type="dxa"/>
            <w:vAlign w:val="top"/>
          </w:tcPr>
          <w:p w14:paraId="0066D24B">
            <w:pPr>
              <w:rPr>
                <w:rFonts w:ascii="Arial"/>
                <w:sz w:val="21"/>
              </w:rPr>
            </w:pPr>
          </w:p>
        </w:tc>
        <w:tc>
          <w:tcPr>
            <w:tcW w:w="849" w:type="dxa"/>
            <w:vAlign w:val="top"/>
          </w:tcPr>
          <w:p w14:paraId="27A95892">
            <w:pPr>
              <w:rPr>
                <w:rFonts w:ascii="Arial"/>
                <w:sz w:val="21"/>
              </w:rPr>
            </w:pPr>
          </w:p>
        </w:tc>
        <w:tc>
          <w:tcPr>
            <w:tcW w:w="772" w:type="dxa"/>
            <w:vAlign w:val="top"/>
          </w:tcPr>
          <w:p w14:paraId="58871D8F">
            <w:pPr>
              <w:rPr>
                <w:rFonts w:ascii="Arial"/>
                <w:sz w:val="21"/>
              </w:rPr>
            </w:pPr>
          </w:p>
        </w:tc>
        <w:tc>
          <w:tcPr>
            <w:tcW w:w="1348" w:type="dxa"/>
            <w:vAlign w:val="top"/>
          </w:tcPr>
          <w:p w14:paraId="3D984A83">
            <w:pPr>
              <w:rPr>
                <w:rFonts w:ascii="Arial"/>
                <w:sz w:val="21"/>
              </w:rPr>
            </w:pPr>
          </w:p>
        </w:tc>
        <w:tc>
          <w:tcPr>
            <w:tcW w:w="1414" w:type="dxa"/>
            <w:vAlign w:val="top"/>
          </w:tcPr>
          <w:p w14:paraId="3A03084B">
            <w:pPr>
              <w:rPr>
                <w:rFonts w:ascii="Arial"/>
                <w:sz w:val="21"/>
              </w:rPr>
            </w:pPr>
          </w:p>
        </w:tc>
        <w:tc>
          <w:tcPr>
            <w:tcW w:w="1711" w:type="dxa"/>
            <w:tcBorders>
              <w:right w:val="single" w:color="000000" w:sz="10" w:space="0"/>
            </w:tcBorders>
            <w:vAlign w:val="top"/>
          </w:tcPr>
          <w:p w14:paraId="39219AD3">
            <w:pPr>
              <w:rPr>
                <w:rFonts w:ascii="Arial"/>
                <w:sz w:val="21"/>
              </w:rPr>
            </w:pPr>
          </w:p>
        </w:tc>
      </w:tr>
      <w:tr w14:paraId="6D451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60916110">
            <w:pPr>
              <w:rPr>
                <w:rFonts w:ascii="Arial"/>
                <w:sz w:val="21"/>
              </w:rPr>
            </w:pPr>
          </w:p>
        </w:tc>
        <w:tc>
          <w:tcPr>
            <w:tcW w:w="1978" w:type="dxa"/>
            <w:vAlign w:val="top"/>
          </w:tcPr>
          <w:p w14:paraId="7D37196D">
            <w:pPr>
              <w:rPr>
                <w:rFonts w:ascii="Arial"/>
                <w:sz w:val="21"/>
              </w:rPr>
            </w:pPr>
          </w:p>
        </w:tc>
        <w:tc>
          <w:tcPr>
            <w:tcW w:w="849" w:type="dxa"/>
            <w:vAlign w:val="top"/>
          </w:tcPr>
          <w:p w14:paraId="29C92D5B">
            <w:pPr>
              <w:rPr>
                <w:rFonts w:ascii="Arial"/>
                <w:sz w:val="21"/>
              </w:rPr>
            </w:pPr>
          </w:p>
        </w:tc>
        <w:tc>
          <w:tcPr>
            <w:tcW w:w="772" w:type="dxa"/>
            <w:vAlign w:val="top"/>
          </w:tcPr>
          <w:p w14:paraId="45DCF397">
            <w:pPr>
              <w:rPr>
                <w:rFonts w:ascii="Arial"/>
                <w:sz w:val="21"/>
              </w:rPr>
            </w:pPr>
          </w:p>
        </w:tc>
        <w:tc>
          <w:tcPr>
            <w:tcW w:w="1348" w:type="dxa"/>
            <w:vAlign w:val="top"/>
          </w:tcPr>
          <w:p w14:paraId="4DD57AFC">
            <w:pPr>
              <w:rPr>
                <w:rFonts w:ascii="Arial"/>
                <w:sz w:val="21"/>
              </w:rPr>
            </w:pPr>
          </w:p>
        </w:tc>
        <w:tc>
          <w:tcPr>
            <w:tcW w:w="1414" w:type="dxa"/>
            <w:vAlign w:val="top"/>
          </w:tcPr>
          <w:p w14:paraId="5E7538E9">
            <w:pPr>
              <w:rPr>
                <w:rFonts w:ascii="Arial"/>
                <w:sz w:val="21"/>
              </w:rPr>
            </w:pPr>
          </w:p>
        </w:tc>
        <w:tc>
          <w:tcPr>
            <w:tcW w:w="1711" w:type="dxa"/>
            <w:tcBorders>
              <w:right w:val="single" w:color="000000" w:sz="10" w:space="0"/>
            </w:tcBorders>
            <w:vAlign w:val="top"/>
          </w:tcPr>
          <w:p w14:paraId="7464A8FD">
            <w:pPr>
              <w:rPr>
                <w:rFonts w:ascii="Arial"/>
                <w:sz w:val="21"/>
              </w:rPr>
            </w:pPr>
          </w:p>
        </w:tc>
      </w:tr>
      <w:tr w14:paraId="277A6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38E6467C">
            <w:pPr>
              <w:rPr>
                <w:rFonts w:ascii="Arial"/>
                <w:sz w:val="21"/>
              </w:rPr>
            </w:pPr>
          </w:p>
        </w:tc>
        <w:tc>
          <w:tcPr>
            <w:tcW w:w="1978" w:type="dxa"/>
            <w:vAlign w:val="top"/>
          </w:tcPr>
          <w:p w14:paraId="0186709E">
            <w:pPr>
              <w:rPr>
                <w:rFonts w:ascii="Arial"/>
                <w:sz w:val="21"/>
              </w:rPr>
            </w:pPr>
          </w:p>
        </w:tc>
        <w:tc>
          <w:tcPr>
            <w:tcW w:w="849" w:type="dxa"/>
            <w:vAlign w:val="top"/>
          </w:tcPr>
          <w:p w14:paraId="79631A08">
            <w:pPr>
              <w:rPr>
                <w:rFonts w:ascii="Arial"/>
                <w:sz w:val="21"/>
              </w:rPr>
            </w:pPr>
          </w:p>
        </w:tc>
        <w:tc>
          <w:tcPr>
            <w:tcW w:w="772" w:type="dxa"/>
            <w:vAlign w:val="top"/>
          </w:tcPr>
          <w:p w14:paraId="637B04DD">
            <w:pPr>
              <w:rPr>
                <w:rFonts w:ascii="Arial"/>
                <w:sz w:val="21"/>
              </w:rPr>
            </w:pPr>
          </w:p>
        </w:tc>
        <w:tc>
          <w:tcPr>
            <w:tcW w:w="1348" w:type="dxa"/>
            <w:vAlign w:val="top"/>
          </w:tcPr>
          <w:p w14:paraId="183A7AC3">
            <w:pPr>
              <w:rPr>
                <w:rFonts w:ascii="Arial"/>
                <w:sz w:val="21"/>
              </w:rPr>
            </w:pPr>
          </w:p>
        </w:tc>
        <w:tc>
          <w:tcPr>
            <w:tcW w:w="1414" w:type="dxa"/>
            <w:vAlign w:val="top"/>
          </w:tcPr>
          <w:p w14:paraId="3F3957AC">
            <w:pPr>
              <w:rPr>
                <w:rFonts w:ascii="Arial"/>
                <w:sz w:val="21"/>
              </w:rPr>
            </w:pPr>
          </w:p>
        </w:tc>
        <w:tc>
          <w:tcPr>
            <w:tcW w:w="1711" w:type="dxa"/>
            <w:tcBorders>
              <w:right w:val="single" w:color="000000" w:sz="10" w:space="0"/>
            </w:tcBorders>
            <w:vAlign w:val="top"/>
          </w:tcPr>
          <w:p w14:paraId="77271504">
            <w:pPr>
              <w:rPr>
                <w:rFonts w:ascii="Arial"/>
                <w:sz w:val="21"/>
              </w:rPr>
            </w:pPr>
          </w:p>
        </w:tc>
      </w:tr>
      <w:tr w14:paraId="1782E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15E98C64">
            <w:pPr>
              <w:rPr>
                <w:rFonts w:ascii="Arial"/>
                <w:sz w:val="21"/>
              </w:rPr>
            </w:pPr>
          </w:p>
        </w:tc>
        <w:tc>
          <w:tcPr>
            <w:tcW w:w="1978" w:type="dxa"/>
            <w:vAlign w:val="top"/>
          </w:tcPr>
          <w:p w14:paraId="19BA4422">
            <w:pPr>
              <w:rPr>
                <w:rFonts w:ascii="Arial"/>
                <w:sz w:val="21"/>
              </w:rPr>
            </w:pPr>
          </w:p>
        </w:tc>
        <w:tc>
          <w:tcPr>
            <w:tcW w:w="849" w:type="dxa"/>
            <w:vAlign w:val="top"/>
          </w:tcPr>
          <w:p w14:paraId="6DD94D02">
            <w:pPr>
              <w:rPr>
                <w:rFonts w:ascii="Arial"/>
                <w:sz w:val="21"/>
              </w:rPr>
            </w:pPr>
          </w:p>
        </w:tc>
        <w:tc>
          <w:tcPr>
            <w:tcW w:w="772" w:type="dxa"/>
            <w:vAlign w:val="top"/>
          </w:tcPr>
          <w:p w14:paraId="13BCBA4B">
            <w:pPr>
              <w:rPr>
                <w:rFonts w:ascii="Arial"/>
                <w:sz w:val="21"/>
              </w:rPr>
            </w:pPr>
          </w:p>
        </w:tc>
        <w:tc>
          <w:tcPr>
            <w:tcW w:w="1348" w:type="dxa"/>
            <w:vAlign w:val="top"/>
          </w:tcPr>
          <w:p w14:paraId="1983B583">
            <w:pPr>
              <w:rPr>
                <w:rFonts w:ascii="Arial"/>
                <w:sz w:val="21"/>
              </w:rPr>
            </w:pPr>
          </w:p>
        </w:tc>
        <w:tc>
          <w:tcPr>
            <w:tcW w:w="1414" w:type="dxa"/>
            <w:vAlign w:val="top"/>
          </w:tcPr>
          <w:p w14:paraId="00DD129D">
            <w:pPr>
              <w:rPr>
                <w:rFonts w:ascii="Arial"/>
                <w:sz w:val="21"/>
              </w:rPr>
            </w:pPr>
          </w:p>
        </w:tc>
        <w:tc>
          <w:tcPr>
            <w:tcW w:w="1711" w:type="dxa"/>
            <w:tcBorders>
              <w:right w:val="single" w:color="000000" w:sz="10" w:space="0"/>
            </w:tcBorders>
            <w:vAlign w:val="top"/>
          </w:tcPr>
          <w:p w14:paraId="2AF6D7E2">
            <w:pPr>
              <w:rPr>
                <w:rFonts w:ascii="Arial"/>
                <w:sz w:val="21"/>
              </w:rPr>
            </w:pPr>
          </w:p>
        </w:tc>
      </w:tr>
      <w:tr w14:paraId="76803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695C5CAE">
            <w:pPr>
              <w:rPr>
                <w:rFonts w:ascii="Arial"/>
                <w:sz w:val="21"/>
              </w:rPr>
            </w:pPr>
          </w:p>
        </w:tc>
        <w:tc>
          <w:tcPr>
            <w:tcW w:w="1978" w:type="dxa"/>
            <w:vAlign w:val="top"/>
          </w:tcPr>
          <w:p w14:paraId="7D5299AB">
            <w:pPr>
              <w:rPr>
                <w:rFonts w:ascii="Arial"/>
                <w:sz w:val="21"/>
              </w:rPr>
            </w:pPr>
          </w:p>
        </w:tc>
        <w:tc>
          <w:tcPr>
            <w:tcW w:w="849" w:type="dxa"/>
            <w:vAlign w:val="top"/>
          </w:tcPr>
          <w:p w14:paraId="59F2DEB1">
            <w:pPr>
              <w:rPr>
                <w:rFonts w:ascii="Arial"/>
                <w:sz w:val="21"/>
              </w:rPr>
            </w:pPr>
          </w:p>
        </w:tc>
        <w:tc>
          <w:tcPr>
            <w:tcW w:w="772" w:type="dxa"/>
            <w:vAlign w:val="top"/>
          </w:tcPr>
          <w:p w14:paraId="0DE4197A">
            <w:pPr>
              <w:rPr>
                <w:rFonts w:ascii="Arial"/>
                <w:sz w:val="21"/>
              </w:rPr>
            </w:pPr>
          </w:p>
        </w:tc>
        <w:tc>
          <w:tcPr>
            <w:tcW w:w="1348" w:type="dxa"/>
            <w:vAlign w:val="top"/>
          </w:tcPr>
          <w:p w14:paraId="019096EC">
            <w:pPr>
              <w:rPr>
                <w:rFonts w:ascii="Arial"/>
                <w:sz w:val="21"/>
              </w:rPr>
            </w:pPr>
          </w:p>
        </w:tc>
        <w:tc>
          <w:tcPr>
            <w:tcW w:w="1414" w:type="dxa"/>
            <w:vAlign w:val="top"/>
          </w:tcPr>
          <w:p w14:paraId="2B02C999">
            <w:pPr>
              <w:rPr>
                <w:rFonts w:ascii="Arial"/>
                <w:sz w:val="21"/>
              </w:rPr>
            </w:pPr>
          </w:p>
        </w:tc>
        <w:tc>
          <w:tcPr>
            <w:tcW w:w="1711" w:type="dxa"/>
            <w:tcBorders>
              <w:right w:val="single" w:color="000000" w:sz="10" w:space="0"/>
            </w:tcBorders>
            <w:vAlign w:val="top"/>
          </w:tcPr>
          <w:p w14:paraId="3B6492BB">
            <w:pPr>
              <w:rPr>
                <w:rFonts w:ascii="Arial"/>
                <w:sz w:val="21"/>
              </w:rPr>
            </w:pPr>
          </w:p>
        </w:tc>
      </w:tr>
      <w:tr w14:paraId="7B4A7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4F65D7B0">
            <w:pPr>
              <w:rPr>
                <w:rFonts w:ascii="Arial"/>
                <w:sz w:val="21"/>
              </w:rPr>
            </w:pPr>
          </w:p>
        </w:tc>
        <w:tc>
          <w:tcPr>
            <w:tcW w:w="1978" w:type="dxa"/>
            <w:vAlign w:val="top"/>
          </w:tcPr>
          <w:p w14:paraId="147BEEC2">
            <w:pPr>
              <w:rPr>
                <w:rFonts w:ascii="Arial"/>
                <w:sz w:val="21"/>
              </w:rPr>
            </w:pPr>
          </w:p>
        </w:tc>
        <w:tc>
          <w:tcPr>
            <w:tcW w:w="849" w:type="dxa"/>
            <w:vAlign w:val="top"/>
          </w:tcPr>
          <w:p w14:paraId="396FA0AF">
            <w:pPr>
              <w:rPr>
                <w:rFonts w:ascii="Arial"/>
                <w:sz w:val="21"/>
              </w:rPr>
            </w:pPr>
          </w:p>
        </w:tc>
        <w:tc>
          <w:tcPr>
            <w:tcW w:w="772" w:type="dxa"/>
            <w:vAlign w:val="top"/>
          </w:tcPr>
          <w:p w14:paraId="0677493F">
            <w:pPr>
              <w:rPr>
                <w:rFonts w:ascii="Arial"/>
                <w:sz w:val="21"/>
              </w:rPr>
            </w:pPr>
          </w:p>
        </w:tc>
        <w:tc>
          <w:tcPr>
            <w:tcW w:w="1348" w:type="dxa"/>
            <w:vAlign w:val="top"/>
          </w:tcPr>
          <w:p w14:paraId="0A3A8046">
            <w:pPr>
              <w:rPr>
                <w:rFonts w:ascii="Arial"/>
                <w:sz w:val="21"/>
              </w:rPr>
            </w:pPr>
          </w:p>
        </w:tc>
        <w:tc>
          <w:tcPr>
            <w:tcW w:w="1414" w:type="dxa"/>
            <w:vAlign w:val="top"/>
          </w:tcPr>
          <w:p w14:paraId="0DC7425E">
            <w:pPr>
              <w:rPr>
                <w:rFonts w:ascii="Arial"/>
                <w:sz w:val="21"/>
              </w:rPr>
            </w:pPr>
          </w:p>
        </w:tc>
        <w:tc>
          <w:tcPr>
            <w:tcW w:w="1711" w:type="dxa"/>
            <w:tcBorders>
              <w:right w:val="single" w:color="000000" w:sz="10" w:space="0"/>
            </w:tcBorders>
            <w:vAlign w:val="top"/>
          </w:tcPr>
          <w:p w14:paraId="3148BFC5">
            <w:pPr>
              <w:rPr>
                <w:rFonts w:ascii="Arial"/>
                <w:sz w:val="21"/>
              </w:rPr>
            </w:pPr>
          </w:p>
        </w:tc>
      </w:tr>
      <w:tr w14:paraId="377E9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DDD6584">
            <w:pPr>
              <w:rPr>
                <w:rFonts w:ascii="Arial"/>
                <w:sz w:val="21"/>
              </w:rPr>
            </w:pPr>
          </w:p>
        </w:tc>
        <w:tc>
          <w:tcPr>
            <w:tcW w:w="1978" w:type="dxa"/>
            <w:vAlign w:val="top"/>
          </w:tcPr>
          <w:p w14:paraId="4E662483">
            <w:pPr>
              <w:rPr>
                <w:rFonts w:ascii="Arial"/>
                <w:sz w:val="21"/>
              </w:rPr>
            </w:pPr>
          </w:p>
        </w:tc>
        <w:tc>
          <w:tcPr>
            <w:tcW w:w="849" w:type="dxa"/>
            <w:vAlign w:val="top"/>
          </w:tcPr>
          <w:p w14:paraId="2D16475C">
            <w:pPr>
              <w:rPr>
                <w:rFonts w:ascii="Arial"/>
                <w:sz w:val="21"/>
              </w:rPr>
            </w:pPr>
          </w:p>
        </w:tc>
        <w:tc>
          <w:tcPr>
            <w:tcW w:w="772" w:type="dxa"/>
            <w:vAlign w:val="top"/>
          </w:tcPr>
          <w:p w14:paraId="61356AB4">
            <w:pPr>
              <w:rPr>
                <w:rFonts w:ascii="Arial"/>
                <w:sz w:val="21"/>
              </w:rPr>
            </w:pPr>
          </w:p>
        </w:tc>
        <w:tc>
          <w:tcPr>
            <w:tcW w:w="1348" w:type="dxa"/>
            <w:vAlign w:val="top"/>
          </w:tcPr>
          <w:p w14:paraId="5F0F9122">
            <w:pPr>
              <w:rPr>
                <w:rFonts w:ascii="Arial"/>
                <w:sz w:val="21"/>
              </w:rPr>
            </w:pPr>
          </w:p>
        </w:tc>
        <w:tc>
          <w:tcPr>
            <w:tcW w:w="1414" w:type="dxa"/>
            <w:vAlign w:val="top"/>
          </w:tcPr>
          <w:p w14:paraId="3C87C2CF">
            <w:pPr>
              <w:rPr>
                <w:rFonts w:ascii="Arial"/>
                <w:sz w:val="21"/>
              </w:rPr>
            </w:pPr>
          </w:p>
        </w:tc>
        <w:tc>
          <w:tcPr>
            <w:tcW w:w="1711" w:type="dxa"/>
            <w:tcBorders>
              <w:right w:val="single" w:color="000000" w:sz="10" w:space="0"/>
            </w:tcBorders>
            <w:vAlign w:val="top"/>
          </w:tcPr>
          <w:p w14:paraId="5B521478">
            <w:pPr>
              <w:rPr>
                <w:rFonts w:ascii="Arial"/>
                <w:sz w:val="21"/>
              </w:rPr>
            </w:pPr>
          </w:p>
        </w:tc>
      </w:tr>
      <w:tr w14:paraId="736CB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18F57DA">
            <w:pPr>
              <w:rPr>
                <w:rFonts w:ascii="Arial"/>
                <w:sz w:val="21"/>
              </w:rPr>
            </w:pPr>
          </w:p>
        </w:tc>
        <w:tc>
          <w:tcPr>
            <w:tcW w:w="1978" w:type="dxa"/>
            <w:vAlign w:val="top"/>
          </w:tcPr>
          <w:p w14:paraId="6A917022">
            <w:pPr>
              <w:rPr>
                <w:rFonts w:ascii="Arial"/>
                <w:sz w:val="21"/>
              </w:rPr>
            </w:pPr>
          </w:p>
        </w:tc>
        <w:tc>
          <w:tcPr>
            <w:tcW w:w="849" w:type="dxa"/>
            <w:vAlign w:val="top"/>
          </w:tcPr>
          <w:p w14:paraId="70A55771">
            <w:pPr>
              <w:rPr>
                <w:rFonts w:ascii="Arial"/>
                <w:sz w:val="21"/>
              </w:rPr>
            </w:pPr>
          </w:p>
        </w:tc>
        <w:tc>
          <w:tcPr>
            <w:tcW w:w="772" w:type="dxa"/>
            <w:vAlign w:val="top"/>
          </w:tcPr>
          <w:p w14:paraId="0AC5ABDE">
            <w:pPr>
              <w:rPr>
                <w:rFonts w:ascii="Arial"/>
                <w:sz w:val="21"/>
              </w:rPr>
            </w:pPr>
          </w:p>
        </w:tc>
        <w:tc>
          <w:tcPr>
            <w:tcW w:w="1348" w:type="dxa"/>
            <w:vAlign w:val="top"/>
          </w:tcPr>
          <w:p w14:paraId="549929BE">
            <w:pPr>
              <w:rPr>
                <w:rFonts w:ascii="Arial"/>
                <w:sz w:val="21"/>
              </w:rPr>
            </w:pPr>
          </w:p>
        </w:tc>
        <w:tc>
          <w:tcPr>
            <w:tcW w:w="1414" w:type="dxa"/>
            <w:vAlign w:val="top"/>
          </w:tcPr>
          <w:p w14:paraId="3D11CE4D">
            <w:pPr>
              <w:rPr>
                <w:rFonts w:ascii="Arial"/>
                <w:sz w:val="21"/>
              </w:rPr>
            </w:pPr>
          </w:p>
        </w:tc>
        <w:tc>
          <w:tcPr>
            <w:tcW w:w="1711" w:type="dxa"/>
            <w:tcBorders>
              <w:right w:val="single" w:color="000000" w:sz="10" w:space="0"/>
            </w:tcBorders>
            <w:vAlign w:val="top"/>
          </w:tcPr>
          <w:p w14:paraId="46B5AA6B">
            <w:pPr>
              <w:rPr>
                <w:rFonts w:ascii="Arial"/>
                <w:sz w:val="21"/>
              </w:rPr>
            </w:pPr>
          </w:p>
        </w:tc>
      </w:tr>
      <w:tr w14:paraId="4D76C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C5421FA">
            <w:pPr>
              <w:rPr>
                <w:rFonts w:ascii="Arial"/>
                <w:sz w:val="21"/>
              </w:rPr>
            </w:pPr>
          </w:p>
        </w:tc>
        <w:tc>
          <w:tcPr>
            <w:tcW w:w="1978" w:type="dxa"/>
            <w:vAlign w:val="top"/>
          </w:tcPr>
          <w:p w14:paraId="2EC9328E">
            <w:pPr>
              <w:rPr>
                <w:rFonts w:ascii="Arial"/>
                <w:sz w:val="21"/>
              </w:rPr>
            </w:pPr>
          </w:p>
        </w:tc>
        <w:tc>
          <w:tcPr>
            <w:tcW w:w="849" w:type="dxa"/>
            <w:vAlign w:val="top"/>
          </w:tcPr>
          <w:p w14:paraId="2CB6BF12">
            <w:pPr>
              <w:rPr>
                <w:rFonts w:ascii="Arial"/>
                <w:sz w:val="21"/>
              </w:rPr>
            </w:pPr>
          </w:p>
        </w:tc>
        <w:tc>
          <w:tcPr>
            <w:tcW w:w="772" w:type="dxa"/>
            <w:vAlign w:val="top"/>
          </w:tcPr>
          <w:p w14:paraId="37A75092">
            <w:pPr>
              <w:rPr>
                <w:rFonts w:ascii="Arial"/>
                <w:sz w:val="21"/>
              </w:rPr>
            </w:pPr>
          </w:p>
        </w:tc>
        <w:tc>
          <w:tcPr>
            <w:tcW w:w="1348" w:type="dxa"/>
            <w:vAlign w:val="top"/>
          </w:tcPr>
          <w:p w14:paraId="458C4D37">
            <w:pPr>
              <w:rPr>
                <w:rFonts w:ascii="Arial"/>
                <w:sz w:val="21"/>
              </w:rPr>
            </w:pPr>
          </w:p>
        </w:tc>
        <w:tc>
          <w:tcPr>
            <w:tcW w:w="1414" w:type="dxa"/>
            <w:vAlign w:val="top"/>
          </w:tcPr>
          <w:p w14:paraId="436BAF0F">
            <w:pPr>
              <w:rPr>
                <w:rFonts w:ascii="Arial"/>
                <w:sz w:val="21"/>
              </w:rPr>
            </w:pPr>
          </w:p>
        </w:tc>
        <w:tc>
          <w:tcPr>
            <w:tcW w:w="1711" w:type="dxa"/>
            <w:tcBorders>
              <w:right w:val="single" w:color="000000" w:sz="10" w:space="0"/>
            </w:tcBorders>
            <w:vAlign w:val="top"/>
          </w:tcPr>
          <w:p w14:paraId="03A540AC">
            <w:pPr>
              <w:rPr>
                <w:rFonts w:ascii="Arial"/>
                <w:sz w:val="21"/>
              </w:rPr>
            </w:pPr>
          </w:p>
        </w:tc>
      </w:tr>
      <w:tr w14:paraId="75859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4" w:type="dxa"/>
            <w:tcBorders>
              <w:left w:val="single" w:color="000000" w:sz="10" w:space="0"/>
            </w:tcBorders>
            <w:vAlign w:val="top"/>
          </w:tcPr>
          <w:p w14:paraId="7C2A949E">
            <w:pPr>
              <w:rPr>
                <w:rFonts w:ascii="Arial"/>
                <w:sz w:val="21"/>
              </w:rPr>
            </w:pPr>
          </w:p>
        </w:tc>
        <w:tc>
          <w:tcPr>
            <w:tcW w:w="1978" w:type="dxa"/>
            <w:vAlign w:val="top"/>
          </w:tcPr>
          <w:p w14:paraId="2EA51A9C">
            <w:pPr>
              <w:rPr>
                <w:rFonts w:ascii="Arial"/>
                <w:sz w:val="21"/>
              </w:rPr>
            </w:pPr>
          </w:p>
        </w:tc>
        <w:tc>
          <w:tcPr>
            <w:tcW w:w="849" w:type="dxa"/>
            <w:vAlign w:val="top"/>
          </w:tcPr>
          <w:p w14:paraId="6D135A39">
            <w:pPr>
              <w:rPr>
                <w:rFonts w:ascii="Arial"/>
                <w:sz w:val="21"/>
              </w:rPr>
            </w:pPr>
          </w:p>
        </w:tc>
        <w:tc>
          <w:tcPr>
            <w:tcW w:w="772" w:type="dxa"/>
            <w:vAlign w:val="top"/>
          </w:tcPr>
          <w:p w14:paraId="571E51CF">
            <w:pPr>
              <w:rPr>
                <w:rFonts w:ascii="Arial"/>
                <w:sz w:val="21"/>
              </w:rPr>
            </w:pPr>
          </w:p>
        </w:tc>
        <w:tc>
          <w:tcPr>
            <w:tcW w:w="1348" w:type="dxa"/>
            <w:vAlign w:val="top"/>
          </w:tcPr>
          <w:p w14:paraId="35E2F65D">
            <w:pPr>
              <w:rPr>
                <w:rFonts w:ascii="Arial"/>
                <w:sz w:val="21"/>
              </w:rPr>
            </w:pPr>
          </w:p>
        </w:tc>
        <w:tc>
          <w:tcPr>
            <w:tcW w:w="1414" w:type="dxa"/>
            <w:vAlign w:val="top"/>
          </w:tcPr>
          <w:p w14:paraId="6FDE5915">
            <w:pPr>
              <w:rPr>
                <w:rFonts w:ascii="Arial"/>
                <w:sz w:val="21"/>
              </w:rPr>
            </w:pPr>
          </w:p>
        </w:tc>
        <w:tc>
          <w:tcPr>
            <w:tcW w:w="1711" w:type="dxa"/>
            <w:tcBorders>
              <w:right w:val="single" w:color="000000" w:sz="10" w:space="0"/>
            </w:tcBorders>
            <w:vAlign w:val="top"/>
          </w:tcPr>
          <w:p w14:paraId="08BC3A5F">
            <w:pPr>
              <w:rPr>
                <w:rFonts w:ascii="Arial"/>
                <w:sz w:val="21"/>
              </w:rPr>
            </w:pPr>
          </w:p>
        </w:tc>
      </w:tr>
      <w:tr w14:paraId="5E5FB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004" w:type="dxa"/>
            <w:tcBorders>
              <w:left w:val="single" w:color="000000" w:sz="10" w:space="0"/>
              <w:bottom w:val="single" w:color="000000" w:sz="10" w:space="0"/>
            </w:tcBorders>
            <w:vAlign w:val="top"/>
          </w:tcPr>
          <w:p w14:paraId="1ABA5F7F">
            <w:pPr>
              <w:rPr>
                <w:rFonts w:ascii="Arial"/>
                <w:sz w:val="21"/>
              </w:rPr>
            </w:pPr>
          </w:p>
        </w:tc>
        <w:tc>
          <w:tcPr>
            <w:tcW w:w="1978" w:type="dxa"/>
            <w:tcBorders>
              <w:bottom w:val="single" w:color="000000" w:sz="10" w:space="0"/>
            </w:tcBorders>
            <w:vAlign w:val="top"/>
          </w:tcPr>
          <w:p w14:paraId="73496AFA">
            <w:pPr>
              <w:rPr>
                <w:rFonts w:ascii="Arial"/>
                <w:sz w:val="21"/>
              </w:rPr>
            </w:pPr>
          </w:p>
        </w:tc>
        <w:tc>
          <w:tcPr>
            <w:tcW w:w="849" w:type="dxa"/>
            <w:tcBorders>
              <w:bottom w:val="single" w:color="000000" w:sz="10" w:space="0"/>
            </w:tcBorders>
            <w:vAlign w:val="top"/>
          </w:tcPr>
          <w:p w14:paraId="3F76DA7C">
            <w:pPr>
              <w:rPr>
                <w:rFonts w:ascii="Arial"/>
                <w:sz w:val="21"/>
              </w:rPr>
            </w:pPr>
          </w:p>
        </w:tc>
        <w:tc>
          <w:tcPr>
            <w:tcW w:w="772" w:type="dxa"/>
            <w:tcBorders>
              <w:bottom w:val="single" w:color="000000" w:sz="10" w:space="0"/>
            </w:tcBorders>
            <w:vAlign w:val="top"/>
          </w:tcPr>
          <w:p w14:paraId="64E60AC1">
            <w:pPr>
              <w:rPr>
                <w:rFonts w:ascii="Arial"/>
                <w:sz w:val="21"/>
              </w:rPr>
            </w:pPr>
          </w:p>
        </w:tc>
        <w:tc>
          <w:tcPr>
            <w:tcW w:w="1348" w:type="dxa"/>
            <w:tcBorders>
              <w:bottom w:val="single" w:color="000000" w:sz="10" w:space="0"/>
            </w:tcBorders>
            <w:vAlign w:val="top"/>
          </w:tcPr>
          <w:p w14:paraId="78421536">
            <w:pPr>
              <w:rPr>
                <w:rFonts w:ascii="Arial"/>
                <w:sz w:val="21"/>
              </w:rPr>
            </w:pPr>
          </w:p>
        </w:tc>
        <w:tc>
          <w:tcPr>
            <w:tcW w:w="1414" w:type="dxa"/>
            <w:tcBorders>
              <w:bottom w:val="single" w:color="000000" w:sz="10" w:space="0"/>
            </w:tcBorders>
            <w:vAlign w:val="top"/>
          </w:tcPr>
          <w:p w14:paraId="67D45138">
            <w:pPr>
              <w:rPr>
                <w:rFonts w:ascii="Arial"/>
                <w:sz w:val="21"/>
              </w:rPr>
            </w:pPr>
          </w:p>
        </w:tc>
        <w:tc>
          <w:tcPr>
            <w:tcW w:w="1711" w:type="dxa"/>
            <w:tcBorders>
              <w:bottom w:val="single" w:color="000000" w:sz="10" w:space="0"/>
              <w:right w:val="single" w:color="000000" w:sz="10" w:space="0"/>
            </w:tcBorders>
            <w:vAlign w:val="top"/>
          </w:tcPr>
          <w:p w14:paraId="7910B49E">
            <w:pPr>
              <w:rPr>
                <w:rFonts w:ascii="Arial"/>
                <w:sz w:val="21"/>
              </w:rPr>
            </w:pPr>
          </w:p>
        </w:tc>
      </w:tr>
    </w:tbl>
    <w:p w14:paraId="4F35AF17">
      <w:pPr>
        <w:rPr>
          <w:rFonts w:ascii="Arial"/>
          <w:sz w:val="21"/>
        </w:rPr>
      </w:pPr>
    </w:p>
    <w:p w14:paraId="66EB2829">
      <w:pPr>
        <w:rPr>
          <w:rFonts w:ascii="Arial" w:hAnsi="Arial" w:eastAsia="Arial" w:cs="Arial"/>
          <w:sz w:val="21"/>
          <w:szCs w:val="21"/>
        </w:rPr>
        <w:sectPr>
          <w:footerReference r:id="rId330" w:type="default"/>
          <w:pgSz w:w="11907" w:h="16840"/>
          <w:pgMar w:top="400" w:right="1487" w:bottom="1038" w:left="1317" w:header="0" w:footer="787" w:gutter="0"/>
          <w:cols w:space="720" w:num="1"/>
        </w:sectPr>
      </w:pPr>
    </w:p>
    <w:p w14:paraId="1C2F8D98">
      <w:pPr>
        <w:spacing w:line="286" w:lineRule="auto"/>
        <w:rPr>
          <w:rFonts w:ascii="Arial"/>
          <w:sz w:val="21"/>
        </w:rPr>
      </w:pPr>
    </w:p>
    <w:p w14:paraId="00839E36">
      <w:pPr>
        <w:spacing w:line="286" w:lineRule="auto"/>
        <w:rPr>
          <w:rFonts w:ascii="Arial"/>
          <w:sz w:val="21"/>
        </w:rPr>
      </w:pPr>
    </w:p>
    <w:p w14:paraId="4F1F035A">
      <w:pPr>
        <w:spacing w:line="286" w:lineRule="auto"/>
        <w:rPr>
          <w:rFonts w:ascii="Arial"/>
          <w:sz w:val="21"/>
        </w:rPr>
      </w:pPr>
    </w:p>
    <w:p w14:paraId="16AB3C63">
      <w:pPr>
        <w:spacing w:line="287" w:lineRule="auto"/>
        <w:rPr>
          <w:rFonts w:ascii="Arial"/>
          <w:sz w:val="21"/>
        </w:rPr>
      </w:pPr>
    </w:p>
    <w:p w14:paraId="39444FD1">
      <w:pPr>
        <w:spacing w:line="287" w:lineRule="auto"/>
        <w:rPr>
          <w:rFonts w:ascii="Arial"/>
          <w:sz w:val="21"/>
        </w:rPr>
      </w:pPr>
    </w:p>
    <w:p w14:paraId="1A5763D8">
      <w:pPr>
        <w:pStyle w:val="2"/>
        <w:spacing w:before="91" w:line="222" w:lineRule="auto"/>
        <w:ind w:left="3014"/>
        <w:rPr>
          <w:sz w:val="28"/>
          <w:szCs w:val="28"/>
        </w:rPr>
      </w:pPr>
      <w:r>
        <w:rPr>
          <w:rFonts w:ascii="Times New Roman" w:hAnsi="Times New Roman" w:eastAsia="Times New Roman" w:cs="Times New Roman"/>
          <w:spacing w:val="-8"/>
          <w:sz w:val="28"/>
          <w:szCs w:val="28"/>
        </w:rPr>
        <w:t>11-3</w:t>
      </w:r>
      <w:r>
        <w:rPr>
          <w:rFonts w:ascii="Times New Roman" w:hAnsi="Times New Roman" w:eastAsia="Times New Roman" w:cs="Times New Roman"/>
          <w:spacing w:val="-10"/>
          <w:sz w:val="28"/>
          <w:szCs w:val="28"/>
        </w:rPr>
        <w:t xml:space="preserve"> </w:t>
      </w:r>
      <w:r>
        <w:rPr>
          <w:spacing w:val="-8"/>
          <w:sz w:val="28"/>
          <w:szCs w:val="28"/>
        </w:rPr>
        <w:t>：专业工程暂估价表</w:t>
      </w:r>
    </w:p>
    <w:p w14:paraId="5BDE32C0">
      <w:pPr>
        <w:spacing w:line="112" w:lineRule="exact"/>
      </w:pPr>
    </w:p>
    <w:tbl>
      <w:tblPr>
        <w:tblStyle w:val="5"/>
        <w:tblW w:w="8820"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1"/>
        <w:gridCol w:w="1978"/>
        <w:gridCol w:w="4665"/>
        <w:gridCol w:w="1286"/>
      </w:tblGrid>
      <w:tr w14:paraId="0E4E9C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1" w:type="dxa"/>
            <w:tcBorders>
              <w:top w:val="single" w:color="000000" w:sz="10" w:space="0"/>
              <w:left w:val="single" w:color="000000" w:sz="10" w:space="0"/>
            </w:tcBorders>
            <w:vAlign w:val="top"/>
          </w:tcPr>
          <w:p w14:paraId="1EB92CE9">
            <w:pPr>
              <w:pStyle w:val="6"/>
              <w:spacing w:before="177" w:line="229" w:lineRule="auto"/>
              <w:ind w:left="225"/>
            </w:pPr>
            <w:r>
              <w:rPr>
                <w:spacing w:val="5"/>
              </w:rPr>
              <w:t>序号</w:t>
            </w:r>
          </w:p>
        </w:tc>
        <w:tc>
          <w:tcPr>
            <w:tcW w:w="1978" w:type="dxa"/>
            <w:tcBorders>
              <w:top w:val="single" w:color="000000" w:sz="10" w:space="0"/>
            </w:tcBorders>
            <w:vAlign w:val="top"/>
          </w:tcPr>
          <w:p w14:paraId="609FBE5A">
            <w:pPr>
              <w:pStyle w:val="6"/>
              <w:spacing w:before="178" w:line="228" w:lineRule="auto"/>
              <w:ind w:left="356"/>
            </w:pPr>
            <w:r>
              <w:rPr>
                <w:spacing w:val="8"/>
              </w:rPr>
              <w:t>专业工程名称</w:t>
            </w:r>
          </w:p>
        </w:tc>
        <w:tc>
          <w:tcPr>
            <w:tcW w:w="4665" w:type="dxa"/>
            <w:tcBorders>
              <w:top w:val="single" w:color="000000" w:sz="10" w:space="0"/>
            </w:tcBorders>
            <w:vAlign w:val="top"/>
          </w:tcPr>
          <w:p w14:paraId="1EF987F0">
            <w:pPr>
              <w:pStyle w:val="6"/>
              <w:spacing w:before="177" w:line="228" w:lineRule="auto"/>
              <w:ind w:left="1920"/>
            </w:pPr>
            <w:r>
              <w:rPr>
                <w:spacing w:val="6"/>
              </w:rPr>
              <w:t>工程内容</w:t>
            </w:r>
          </w:p>
        </w:tc>
        <w:tc>
          <w:tcPr>
            <w:tcW w:w="1286" w:type="dxa"/>
            <w:tcBorders>
              <w:top w:val="single" w:color="000000" w:sz="10" w:space="0"/>
              <w:right w:val="single" w:color="000000" w:sz="10" w:space="0"/>
            </w:tcBorders>
            <w:vAlign w:val="top"/>
          </w:tcPr>
          <w:p w14:paraId="4D785F5C">
            <w:pPr>
              <w:pStyle w:val="6"/>
              <w:spacing w:before="177" w:line="228" w:lineRule="auto"/>
              <w:ind w:left="441"/>
            </w:pPr>
            <w:r>
              <w:rPr>
                <w:spacing w:val="3"/>
              </w:rPr>
              <w:t>金额</w:t>
            </w:r>
          </w:p>
        </w:tc>
      </w:tr>
      <w:tr w14:paraId="5310D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891" w:type="dxa"/>
            <w:tcBorders>
              <w:left w:val="single" w:color="000000" w:sz="10" w:space="0"/>
            </w:tcBorders>
            <w:vAlign w:val="top"/>
          </w:tcPr>
          <w:p w14:paraId="22103AA5">
            <w:pPr>
              <w:rPr>
                <w:rFonts w:ascii="Arial"/>
                <w:sz w:val="21"/>
              </w:rPr>
            </w:pPr>
          </w:p>
        </w:tc>
        <w:tc>
          <w:tcPr>
            <w:tcW w:w="1978" w:type="dxa"/>
            <w:vAlign w:val="top"/>
          </w:tcPr>
          <w:p w14:paraId="4E5FCBD1">
            <w:pPr>
              <w:rPr>
                <w:rFonts w:ascii="Arial"/>
                <w:sz w:val="21"/>
              </w:rPr>
            </w:pPr>
          </w:p>
        </w:tc>
        <w:tc>
          <w:tcPr>
            <w:tcW w:w="4665" w:type="dxa"/>
            <w:vAlign w:val="top"/>
          </w:tcPr>
          <w:p w14:paraId="61B5A018">
            <w:pPr>
              <w:rPr>
                <w:rFonts w:ascii="Arial"/>
                <w:sz w:val="21"/>
              </w:rPr>
            </w:pPr>
          </w:p>
        </w:tc>
        <w:tc>
          <w:tcPr>
            <w:tcW w:w="1286" w:type="dxa"/>
            <w:tcBorders>
              <w:right w:val="single" w:color="000000" w:sz="10" w:space="0"/>
            </w:tcBorders>
            <w:vAlign w:val="top"/>
          </w:tcPr>
          <w:p w14:paraId="0D2C0EF0">
            <w:pPr>
              <w:rPr>
                <w:rFonts w:ascii="Arial"/>
                <w:sz w:val="21"/>
              </w:rPr>
            </w:pPr>
          </w:p>
        </w:tc>
      </w:tr>
      <w:tr w14:paraId="43240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35DBE383">
            <w:pPr>
              <w:rPr>
                <w:rFonts w:ascii="Arial"/>
                <w:sz w:val="21"/>
              </w:rPr>
            </w:pPr>
          </w:p>
        </w:tc>
        <w:tc>
          <w:tcPr>
            <w:tcW w:w="1978" w:type="dxa"/>
            <w:vAlign w:val="top"/>
          </w:tcPr>
          <w:p w14:paraId="625A985D">
            <w:pPr>
              <w:rPr>
                <w:rFonts w:ascii="Arial"/>
                <w:sz w:val="21"/>
              </w:rPr>
            </w:pPr>
          </w:p>
        </w:tc>
        <w:tc>
          <w:tcPr>
            <w:tcW w:w="4665" w:type="dxa"/>
            <w:vAlign w:val="top"/>
          </w:tcPr>
          <w:p w14:paraId="2510C86D">
            <w:pPr>
              <w:rPr>
                <w:rFonts w:ascii="Arial"/>
                <w:sz w:val="21"/>
              </w:rPr>
            </w:pPr>
          </w:p>
        </w:tc>
        <w:tc>
          <w:tcPr>
            <w:tcW w:w="1286" w:type="dxa"/>
            <w:tcBorders>
              <w:right w:val="single" w:color="000000" w:sz="10" w:space="0"/>
            </w:tcBorders>
            <w:vAlign w:val="top"/>
          </w:tcPr>
          <w:p w14:paraId="1DBC6096">
            <w:pPr>
              <w:rPr>
                <w:rFonts w:ascii="Arial"/>
                <w:sz w:val="21"/>
              </w:rPr>
            </w:pPr>
          </w:p>
        </w:tc>
      </w:tr>
      <w:tr w14:paraId="6F9C20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7E6D2A77">
            <w:pPr>
              <w:rPr>
                <w:rFonts w:ascii="Arial"/>
                <w:sz w:val="21"/>
              </w:rPr>
            </w:pPr>
          </w:p>
        </w:tc>
        <w:tc>
          <w:tcPr>
            <w:tcW w:w="1978" w:type="dxa"/>
            <w:vAlign w:val="top"/>
          </w:tcPr>
          <w:p w14:paraId="29B1065F">
            <w:pPr>
              <w:rPr>
                <w:rFonts w:ascii="Arial"/>
                <w:sz w:val="21"/>
              </w:rPr>
            </w:pPr>
          </w:p>
        </w:tc>
        <w:tc>
          <w:tcPr>
            <w:tcW w:w="4665" w:type="dxa"/>
            <w:vAlign w:val="top"/>
          </w:tcPr>
          <w:p w14:paraId="0E3E9B84">
            <w:pPr>
              <w:rPr>
                <w:rFonts w:ascii="Arial"/>
                <w:sz w:val="21"/>
              </w:rPr>
            </w:pPr>
          </w:p>
        </w:tc>
        <w:tc>
          <w:tcPr>
            <w:tcW w:w="1286" w:type="dxa"/>
            <w:tcBorders>
              <w:right w:val="single" w:color="000000" w:sz="10" w:space="0"/>
            </w:tcBorders>
            <w:vAlign w:val="top"/>
          </w:tcPr>
          <w:p w14:paraId="30CB06ED">
            <w:pPr>
              <w:rPr>
                <w:rFonts w:ascii="Arial"/>
                <w:sz w:val="21"/>
              </w:rPr>
            </w:pPr>
          </w:p>
        </w:tc>
      </w:tr>
      <w:tr w14:paraId="38FD7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5170C181">
            <w:pPr>
              <w:rPr>
                <w:rFonts w:ascii="Arial"/>
                <w:sz w:val="21"/>
              </w:rPr>
            </w:pPr>
          </w:p>
        </w:tc>
        <w:tc>
          <w:tcPr>
            <w:tcW w:w="1978" w:type="dxa"/>
            <w:vAlign w:val="top"/>
          </w:tcPr>
          <w:p w14:paraId="1B2A319A">
            <w:pPr>
              <w:rPr>
                <w:rFonts w:ascii="Arial"/>
                <w:sz w:val="21"/>
              </w:rPr>
            </w:pPr>
          </w:p>
        </w:tc>
        <w:tc>
          <w:tcPr>
            <w:tcW w:w="4665" w:type="dxa"/>
            <w:vAlign w:val="top"/>
          </w:tcPr>
          <w:p w14:paraId="24BF449C">
            <w:pPr>
              <w:rPr>
                <w:rFonts w:ascii="Arial"/>
                <w:sz w:val="21"/>
              </w:rPr>
            </w:pPr>
          </w:p>
        </w:tc>
        <w:tc>
          <w:tcPr>
            <w:tcW w:w="1286" w:type="dxa"/>
            <w:tcBorders>
              <w:right w:val="single" w:color="000000" w:sz="10" w:space="0"/>
            </w:tcBorders>
            <w:vAlign w:val="top"/>
          </w:tcPr>
          <w:p w14:paraId="67788E68">
            <w:pPr>
              <w:rPr>
                <w:rFonts w:ascii="Arial"/>
                <w:sz w:val="21"/>
              </w:rPr>
            </w:pPr>
          </w:p>
        </w:tc>
      </w:tr>
      <w:tr w14:paraId="3BB528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60C9E015">
            <w:pPr>
              <w:rPr>
                <w:rFonts w:ascii="Arial"/>
                <w:sz w:val="21"/>
              </w:rPr>
            </w:pPr>
          </w:p>
        </w:tc>
        <w:tc>
          <w:tcPr>
            <w:tcW w:w="1978" w:type="dxa"/>
            <w:vAlign w:val="top"/>
          </w:tcPr>
          <w:p w14:paraId="18A6320A">
            <w:pPr>
              <w:rPr>
                <w:rFonts w:ascii="Arial"/>
                <w:sz w:val="21"/>
              </w:rPr>
            </w:pPr>
          </w:p>
        </w:tc>
        <w:tc>
          <w:tcPr>
            <w:tcW w:w="4665" w:type="dxa"/>
            <w:vAlign w:val="top"/>
          </w:tcPr>
          <w:p w14:paraId="51A539FA">
            <w:pPr>
              <w:rPr>
                <w:rFonts w:ascii="Arial"/>
                <w:sz w:val="21"/>
              </w:rPr>
            </w:pPr>
          </w:p>
        </w:tc>
        <w:tc>
          <w:tcPr>
            <w:tcW w:w="1286" w:type="dxa"/>
            <w:tcBorders>
              <w:right w:val="single" w:color="000000" w:sz="10" w:space="0"/>
            </w:tcBorders>
            <w:vAlign w:val="top"/>
          </w:tcPr>
          <w:p w14:paraId="55E0B3C2">
            <w:pPr>
              <w:rPr>
                <w:rFonts w:ascii="Arial"/>
                <w:sz w:val="21"/>
              </w:rPr>
            </w:pPr>
          </w:p>
        </w:tc>
      </w:tr>
      <w:tr w14:paraId="617A5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2C5237DC">
            <w:pPr>
              <w:rPr>
                <w:rFonts w:ascii="Arial"/>
                <w:sz w:val="21"/>
              </w:rPr>
            </w:pPr>
          </w:p>
        </w:tc>
        <w:tc>
          <w:tcPr>
            <w:tcW w:w="1978" w:type="dxa"/>
            <w:vAlign w:val="top"/>
          </w:tcPr>
          <w:p w14:paraId="5CB38F55">
            <w:pPr>
              <w:rPr>
                <w:rFonts w:ascii="Arial"/>
                <w:sz w:val="21"/>
              </w:rPr>
            </w:pPr>
          </w:p>
        </w:tc>
        <w:tc>
          <w:tcPr>
            <w:tcW w:w="4665" w:type="dxa"/>
            <w:vAlign w:val="top"/>
          </w:tcPr>
          <w:p w14:paraId="324BF82A">
            <w:pPr>
              <w:rPr>
                <w:rFonts w:ascii="Arial"/>
                <w:sz w:val="21"/>
              </w:rPr>
            </w:pPr>
          </w:p>
        </w:tc>
        <w:tc>
          <w:tcPr>
            <w:tcW w:w="1286" w:type="dxa"/>
            <w:tcBorders>
              <w:right w:val="single" w:color="000000" w:sz="10" w:space="0"/>
            </w:tcBorders>
            <w:vAlign w:val="top"/>
          </w:tcPr>
          <w:p w14:paraId="6F24A1ED">
            <w:pPr>
              <w:rPr>
                <w:rFonts w:ascii="Arial"/>
                <w:sz w:val="21"/>
              </w:rPr>
            </w:pPr>
          </w:p>
        </w:tc>
      </w:tr>
      <w:tr w14:paraId="416404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4E82B347">
            <w:pPr>
              <w:rPr>
                <w:rFonts w:ascii="Arial"/>
                <w:sz w:val="21"/>
              </w:rPr>
            </w:pPr>
          </w:p>
        </w:tc>
        <w:tc>
          <w:tcPr>
            <w:tcW w:w="1978" w:type="dxa"/>
            <w:vAlign w:val="top"/>
          </w:tcPr>
          <w:p w14:paraId="7910903E">
            <w:pPr>
              <w:rPr>
                <w:rFonts w:ascii="Arial"/>
                <w:sz w:val="21"/>
              </w:rPr>
            </w:pPr>
          </w:p>
        </w:tc>
        <w:tc>
          <w:tcPr>
            <w:tcW w:w="4665" w:type="dxa"/>
            <w:vAlign w:val="top"/>
          </w:tcPr>
          <w:p w14:paraId="51C8E0DB">
            <w:pPr>
              <w:rPr>
                <w:rFonts w:ascii="Arial"/>
                <w:sz w:val="21"/>
              </w:rPr>
            </w:pPr>
          </w:p>
        </w:tc>
        <w:tc>
          <w:tcPr>
            <w:tcW w:w="1286" w:type="dxa"/>
            <w:tcBorders>
              <w:right w:val="single" w:color="000000" w:sz="10" w:space="0"/>
            </w:tcBorders>
            <w:vAlign w:val="top"/>
          </w:tcPr>
          <w:p w14:paraId="348A3B13">
            <w:pPr>
              <w:rPr>
                <w:rFonts w:ascii="Arial"/>
                <w:sz w:val="21"/>
              </w:rPr>
            </w:pPr>
          </w:p>
        </w:tc>
      </w:tr>
      <w:tr w14:paraId="5D8B5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4EFD6283">
            <w:pPr>
              <w:rPr>
                <w:rFonts w:ascii="Arial"/>
                <w:sz w:val="21"/>
              </w:rPr>
            </w:pPr>
          </w:p>
        </w:tc>
        <w:tc>
          <w:tcPr>
            <w:tcW w:w="1978" w:type="dxa"/>
            <w:vAlign w:val="top"/>
          </w:tcPr>
          <w:p w14:paraId="58CE636A">
            <w:pPr>
              <w:rPr>
                <w:rFonts w:ascii="Arial"/>
                <w:sz w:val="21"/>
              </w:rPr>
            </w:pPr>
          </w:p>
        </w:tc>
        <w:tc>
          <w:tcPr>
            <w:tcW w:w="4665" w:type="dxa"/>
            <w:vAlign w:val="top"/>
          </w:tcPr>
          <w:p w14:paraId="37B89F1A">
            <w:pPr>
              <w:rPr>
                <w:rFonts w:ascii="Arial"/>
                <w:sz w:val="21"/>
              </w:rPr>
            </w:pPr>
          </w:p>
        </w:tc>
        <w:tc>
          <w:tcPr>
            <w:tcW w:w="1286" w:type="dxa"/>
            <w:tcBorders>
              <w:right w:val="single" w:color="000000" w:sz="10" w:space="0"/>
            </w:tcBorders>
            <w:vAlign w:val="top"/>
          </w:tcPr>
          <w:p w14:paraId="1F11F001">
            <w:pPr>
              <w:rPr>
                <w:rFonts w:ascii="Arial"/>
                <w:sz w:val="21"/>
              </w:rPr>
            </w:pPr>
          </w:p>
        </w:tc>
      </w:tr>
      <w:tr w14:paraId="72659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49DBBD35">
            <w:pPr>
              <w:rPr>
                <w:rFonts w:ascii="Arial"/>
                <w:sz w:val="21"/>
              </w:rPr>
            </w:pPr>
          </w:p>
        </w:tc>
        <w:tc>
          <w:tcPr>
            <w:tcW w:w="1978" w:type="dxa"/>
            <w:vAlign w:val="top"/>
          </w:tcPr>
          <w:p w14:paraId="2DCEA90D">
            <w:pPr>
              <w:rPr>
                <w:rFonts w:ascii="Arial"/>
                <w:sz w:val="21"/>
              </w:rPr>
            </w:pPr>
          </w:p>
        </w:tc>
        <w:tc>
          <w:tcPr>
            <w:tcW w:w="4665" w:type="dxa"/>
            <w:vAlign w:val="top"/>
          </w:tcPr>
          <w:p w14:paraId="65C32A75">
            <w:pPr>
              <w:rPr>
                <w:rFonts w:ascii="Arial"/>
                <w:sz w:val="21"/>
              </w:rPr>
            </w:pPr>
          </w:p>
        </w:tc>
        <w:tc>
          <w:tcPr>
            <w:tcW w:w="1286" w:type="dxa"/>
            <w:tcBorders>
              <w:right w:val="single" w:color="000000" w:sz="10" w:space="0"/>
            </w:tcBorders>
            <w:vAlign w:val="top"/>
          </w:tcPr>
          <w:p w14:paraId="654BDE4E">
            <w:pPr>
              <w:rPr>
                <w:rFonts w:ascii="Arial"/>
                <w:sz w:val="21"/>
              </w:rPr>
            </w:pPr>
          </w:p>
        </w:tc>
      </w:tr>
      <w:tr w14:paraId="25A68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0CD90ADE">
            <w:pPr>
              <w:rPr>
                <w:rFonts w:ascii="Arial"/>
                <w:sz w:val="21"/>
              </w:rPr>
            </w:pPr>
          </w:p>
        </w:tc>
        <w:tc>
          <w:tcPr>
            <w:tcW w:w="1978" w:type="dxa"/>
            <w:vAlign w:val="top"/>
          </w:tcPr>
          <w:p w14:paraId="561B833E">
            <w:pPr>
              <w:rPr>
                <w:rFonts w:ascii="Arial"/>
                <w:sz w:val="21"/>
              </w:rPr>
            </w:pPr>
          </w:p>
        </w:tc>
        <w:tc>
          <w:tcPr>
            <w:tcW w:w="4665" w:type="dxa"/>
            <w:vAlign w:val="top"/>
          </w:tcPr>
          <w:p w14:paraId="3CE6C5B3">
            <w:pPr>
              <w:rPr>
                <w:rFonts w:ascii="Arial"/>
                <w:sz w:val="21"/>
              </w:rPr>
            </w:pPr>
          </w:p>
        </w:tc>
        <w:tc>
          <w:tcPr>
            <w:tcW w:w="1286" w:type="dxa"/>
            <w:tcBorders>
              <w:right w:val="single" w:color="000000" w:sz="10" w:space="0"/>
            </w:tcBorders>
            <w:vAlign w:val="top"/>
          </w:tcPr>
          <w:p w14:paraId="3152CD51">
            <w:pPr>
              <w:rPr>
                <w:rFonts w:ascii="Arial"/>
                <w:sz w:val="21"/>
              </w:rPr>
            </w:pPr>
          </w:p>
        </w:tc>
      </w:tr>
      <w:tr w14:paraId="4ED05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304E6474">
            <w:pPr>
              <w:rPr>
                <w:rFonts w:ascii="Arial"/>
                <w:sz w:val="21"/>
              </w:rPr>
            </w:pPr>
          </w:p>
        </w:tc>
        <w:tc>
          <w:tcPr>
            <w:tcW w:w="1978" w:type="dxa"/>
            <w:vAlign w:val="top"/>
          </w:tcPr>
          <w:p w14:paraId="5CB70422">
            <w:pPr>
              <w:rPr>
                <w:rFonts w:ascii="Arial"/>
                <w:sz w:val="21"/>
              </w:rPr>
            </w:pPr>
          </w:p>
        </w:tc>
        <w:tc>
          <w:tcPr>
            <w:tcW w:w="4665" w:type="dxa"/>
            <w:vAlign w:val="top"/>
          </w:tcPr>
          <w:p w14:paraId="4C6548D0">
            <w:pPr>
              <w:rPr>
                <w:rFonts w:ascii="Arial"/>
                <w:sz w:val="21"/>
              </w:rPr>
            </w:pPr>
          </w:p>
        </w:tc>
        <w:tc>
          <w:tcPr>
            <w:tcW w:w="1286" w:type="dxa"/>
            <w:tcBorders>
              <w:right w:val="single" w:color="000000" w:sz="10" w:space="0"/>
            </w:tcBorders>
            <w:vAlign w:val="top"/>
          </w:tcPr>
          <w:p w14:paraId="639E5458">
            <w:pPr>
              <w:rPr>
                <w:rFonts w:ascii="Arial"/>
                <w:sz w:val="21"/>
              </w:rPr>
            </w:pPr>
          </w:p>
        </w:tc>
      </w:tr>
      <w:tr w14:paraId="22E49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46BEF0DA">
            <w:pPr>
              <w:rPr>
                <w:rFonts w:ascii="Arial"/>
                <w:sz w:val="21"/>
              </w:rPr>
            </w:pPr>
          </w:p>
        </w:tc>
        <w:tc>
          <w:tcPr>
            <w:tcW w:w="1978" w:type="dxa"/>
            <w:vAlign w:val="top"/>
          </w:tcPr>
          <w:p w14:paraId="203B33DA">
            <w:pPr>
              <w:rPr>
                <w:rFonts w:ascii="Arial"/>
                <w:sz w:val="21"/>
              </w:rPr>
            </w:pPr>
          </w:p>
        </w:tc>
        <w:tc>
          <w:tcPr>
            <w:tcW w:w="4665" w:type="dxa"/>
            <w:vAlign w:val="top"/>
          </w:tcPr>
          <w:p w14:paraId="28E592F3">
            <w:pPr>
              <w:rPr>
                <w:rFonts w:ascii="Arial"/>
                <w:sz w:val="21"/>
              </w:rPr>
            </w:pPr>
          </w:p>
        </w:tc>
        <w:tc>
          <w:tcPr>
            <w:tcW w:w="1286" w:type="dxa"/>
            <w:tcBorders>
              <w:right w:val="single" w:color="000000" w:sz="10" w:space="0"/>
            </w:tcBorders>
            <w:vAlign w:val="top"/>
          </w:tcPr>
          <w:p w14:paraId="1A44C670">
            <w:pPr>
              <w:rPr>
                <w:rFonts w:ascii="Arial"/>
                <w:sz w:val="21"/>
              </w:rPr>
            </w:pPr>
          </w:p>
        </w:tc>
      </w:tr>
      <w:tr w14:paraId="6AA76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03FDC83E">
            <w:pPr>
              <w:rPr>
                <w:rFonts w:ascii="Arial"/>
                <w:sz w:val="21"/>
              </w:rPr>
            </w:pPr>
          </w:p>
        </w:tc>
        <w:tc>
          <w:tcPr>
            <w:tcW w:w="1978" w:type="dxa"/>
            <w:vAlign w:val="top"/>
          </w:tcPr>
          <w:p w14:paraId="21552FAE">
            <w:pPr>
              <w:rPr>
                <w:rFonts w:ascii="Arial"/>
                <w:sz w:val="21"/>
              </w:rPr>
            </w:pPr>
          </w:p>
        </w:tc>
        <w:tc>
          <w:tcPr>
            <w:tcW w:w="4665" w:type="dxa"/>
            <w:vAlign w:val="top"/>
          </w:tcPr>
          <w:p w14:paraId="7EE49A24">
            <w:pPr>
              <w:rPr>
                <w:rFonts w:ascii="Arial"/>
                <w:sz w:val="21"/>
              </w:rPr>
            </w:pPr>
          </w:p>
        </w:tc>
        <w:tc>
          <w:tcPr>
            <w:tcW w:w="1286" w:type="dxa"/>
            <w:tcBorders>
              <w:right w:val="single" w:color="000000" w:sz="10" w:space="0"/>
            </w:tcBorders>
            <w:vAlign w:val="top"/>
          </w:tcPr>
          <w:p w14:paraId="19B6AE5F">
            <w:pPr>
              <w:rPr>
                <w:rFonts w:ascii="Arial"/>
                <w:sz w:val="21"/>
              </w:rPr>
            </w:pPr>
          </w:p>
        </w:tc>
      </w:tr>
      <w:tr w14:paraId="1CDDA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656CC9B0">
            <w:pPr>
              <w:rPr>
                <w:rFonts w:ascii="Arial"/>
                <w:sz w:val="21"/>
              </w:rPr>
            </w:pPr>
          </w:p>
        </w:tc>
        <w:tc>
          <w:tcPr>
            <w:tcW w:w="1978" w:type="dxa"/>
            <w:vAlign w:val="top"/>
          </w:tcPr>
          <w:p w14:paraId="5A8A69BA">
            <w:pPr>
              <w:rPr>
                <w:rFonts w:ascii="Arial"/>
                <w:sz w:val="21"/>
              </w:rPr>
            </w:pPr>
          </w:p>
        </w:tc>
        <w:tc>
          <w:tcPr>
            <w:tcW w:w="4665" w:type="dxa"/>
            <w:vAlign w:val="top"/>
          </w:tcPr>
          <w:p w14:paraId="6060D2E5">
            <w:pPr>
              <w:rPr>
                <w:rFonts w:ascii="Arial"/>
                <w:sz w:val="21"/>
              </w:rPr>
            </w:pPr>
          </w:p>
        </w:tc>
        <w:tc>
          <w:tcPr>
            <w:tcW w:w="1286" w:type="dxa"/>
            <w:tcBorders>
              <w:right w:val="single" w:color="000000" w:sz="10" w:space="0"/>
            </w:tcBorders>
            <w:vAlign w:val="top"/>
          </w:tcPr>
          <w:p w14:paraId="24E616BE">
            <w:pPr>
              <w:rPr>
                <w:rFonts w:ascii="Arial"/>
                <w:sz w:val="21"/>
              </w:rPr>
            </w:pPr>
          </w:p>
        </w:tc>
      </w:tr>
      <w:tr w14:paraId="54F2A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03131237">
            <w:pPr>
              <w:rPr>
                <w:rFonts w:ascii="Arial"/>
                <w:sz w:val="21"/>
              </w:rPr>
            </w:pPr>
          </w:p>
        </w:tc>
        <w:tc>
          <w:tcPr>
            <w:tcW w:w="1978" w:type="dxa"/>
            <w:vAlign w:val="top"/>
          </w:tcPr>
          <w:p w14:paraId="64C33792">
            <w:pPr>
              <w:rPr>
                <w:rFonts w:ascii="Arial"/>
                <w:sz w:val="21"/>
              </w:rPr>
            </w:pPr>
          </w:p>
        </w:tc>
        <w:tc>
          <w:tcPr>
            <w:tcW w:w="4665" w:type="dxa"/>
            <w:vAlign w:val="top"/>
          </w:tcPr>
          <w:p w14:paraId="269C7B7E">
            <w:pPr>
              <w:rPr>
                <w:rFonts w:ascii="Arial"/>
                <w:sz w:val="21"/>
              </w:rPr>
            </w:pPr>
          </w:p>
        </w:tc>
        <w:tc>
          <w:tcPr>
            <w:tcW w:w="1286" w:type="dxa"/>
            <w:tcBorders>
              <w:right w:val="single" w:color="000000" w:sz="10" w:space="0"/>
            </w:tcBorders>
            <w:vAlign w:val="top"/>
          </w:tcPr>
          <w:p w14:paraId="7F7C1B4E">
            <w:pPr>
              <w:rPr>
                <w:rFonts w:ascii="Arial"/>
                <w:sz w:val="21"/>
              </w:rPr>
            </w:pPr>
          </w:p>
        </w:tc>
      </w:tr>
      <w:tr w14:paraId="6982E4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26D131F5">
            <w:pPr>
              <w:rPr>
                <w:rFonts w:ascii="Arial"/>
                <w:sz w:val="21"/>
              </w:rPr>
            </w:pPr>
          </w:p>
        </w:tc>
        <w:tc>
          <w:tcPr>
            <w:tcW w:w="1978" w:type="dxa"/>
            <w:vAlign w:val="top"/>
          </w:tcPr>
          <w:p w14:paraId="0EA82475">
            <w:pPr>
              <w:rPr>
                <w:rFonts w:ascii="Arial"/>
                <w:sz w:val="21"/>
              </w:rPr>
            </w:pPr>
          </w:p>
        </w:tc>
        <w:tc>
          <w:tcPr>
            <w:tcW w:w="4665" w:type="dxa"/>
            <w:vAlign w:val="top"/>
          </w:tcPr>
          <w:p w14:paraId="5B4413EF">
            <w:pPr>
              <w:rPr>
                <w:rFonts w:ascii="Arial"/>
                <w:sz w:val="21"/>
              </w:rPr>
            </w:pPr>
          </w:p>
        </w:tc>
        <w:tc>
          <w:tcPr>
            <w:tcW w:w="1286" w:type="dxa"/>
            <w:tcBorders>
              <w:right w:val="single" w:color="000000" w:sz="10" w:space="0"/>
            </w:tcBorders>
            <w:vAlign w:val="top"/>
          </w:tcPr>
          <w:p w14:paraId="41CAF552">
            <w:pPr>
              <w:rPr>
                <w:rFonts w:ascii="Arial"/>
                <w:sz w:val="21"/>
              </w:rPr>
            </w:pPr>
          </w:p>
        </w:tc>
      </w:tr>
      <w:tr w14:paraId="4D0B9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6724FAFA">
            <w:pPr>
              <w:rPr>
                <w:rFonts w:ascii="Arial"/>
                <w:sz w:val="21"/>
              </w:rPr>
            </w:pPr>
          </w:p>
        </w:tc>
        <w:tc>
          <w:tcPr>
            <w:tcW w:w="1978" w:type="dxa"/>
            <w:vAlign w:val="top"/>
          </w:tcPr>
          <w:p w14:paraId="3D221FBB">
            <w:pPr>
              <w:rPr>
                <w:rFonts w:ascii="Arial"/>
                <w:sz w:val="21"/>
              </w:rPr>
            </w:pPr>
          </w:p>
        </w:tc>
        <w:tc>
          <w:tcPr>
            <w:tcW w:w="4665" w:type="dxa"/>
            <w:vAlign w:val="top"/>
          </w:tcPr>
          <w:p w14:paraId="3E4357A7">
            <w:pPr>
              <w:rPr>
                <w:rFonts w:ascii="Arial"/>
                <w:sz w:val="21"/>
              </w:rPr>
            </w:pPr>
          </w:p>
        </w:tc>
        <w:tc>
          <w:tcPr>
            <w:tcW w:w="1286" w:type="dxa"/>
            <w:tcBorders>
              <w:right w:val="single" w:color="000000" w:sz="10" w:space="0"/>
            </w:tcBorders>
            <w:vAlign w:val="top"/>
          </w:tcPr>
          <w:p w14:paraId="44C9B7C6">
            <w:pPr>
              <w:rPr>
                <w:rFonts w:ascii="Arial"/>
                <w:sz w:val="21"/>
              </w:rPr>
            </w:pPr>
          </w:p>
        </w:tc>
      </w:tr>
      <w:tr w14:paraId="4C7C4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0354023C">
            <w:pPr>
              <w:rPr>
                <w:rFonts w:ascii="Arial"/>
                <w:sz w:val="21"/>
              </w:rPr>
            </w:pPr>
          </w:p>
        </w:tc>
        <w:tc>
          <w:tcPr>
            <w:tcW w:w="1978" w:type="dxa"/>
            <w:vAlign w:val="top"/>
          </w:tcPr>
          <w:p w14:paraId="79252A84">
            <w:pPr>
              <w:rPr>
                <w:rFonts w:ascii="Arial"/>
                <w:sz w:val="21"/>
              </w:rPr>
            </w:pPr>
          </w:p>
        </w:tc>
        <w:tc>
          <w:tcPr>
            <w:tcW w:w="4665" w:type="dxa"/>
            <w:vAlign w:val="top"/>
          </w:tcPr>
          <w:p w14:paraId="1ACA0FC8">
            <w:pPr>
              <w:rPr>
                <w:rFonts w:ascii="Arial"/>
                <w:sz w:val="21"/>
              </w:rPr>
            </w:pPr>
          </w:p>
        </w:tc>
        <w:tc>
          <w:tcPr>
            <w:tcW w:w="1286" w:type="dxa"/>
            <w:tcBorders>
              <w:right w:val="single" w:color="000000" w:sz="10" w:space="0"/>
            </w:tcBorders>
            <w:vAlign w:val="top"/>
          </w:tcPr>
          <w:p w14:paraId="020A9D19">
            <w:pPr>
              <w:rPr>
                <w:rFonts w:ascii="Arial"/>
                <w:sz w:val="21"/>
              </w:rPr>
            </w:pPr>
          </w:p>
        </w:tc>
      </w:tr>
      <w:tr w14:paraId="707CD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2CD26F69">
            <w:pPr>
              <w:rPr>
                <w:rFonts w:ascii="Arial"/>
                <w:sz w:val="21"/>
              </w:rPr>
            </w:pPr>
          </w:p>
        </w:tc>
        <w:tc>
          <w:tcPr>
            <w:tcW w:w="1978" w:type="dxa"/>
            <w:vAlign w:val="top"/>
          </w:tcPr>
          <w:p w14:paraId="6059270C">
            <w:pPr>
              <w:rPr>
                <w:rFonts w:ascii="Arial"/>
                <w:sz w:val="21"/>
              </w:rPr>
            </w:pPr>
          </w:p>
        </w:tc>
        <w:tc>
          <w:tcPr>
            <w:tcW w:w="4665" w:type="dxa"/>
            <w:vAlign w:val="top"/>
          </w:tcPr>
          <w:p w14:paraId="11767ACC">
            <w:pPr>
              <w:rPr>
                <w:rFonts w:ascii="Arial"/>
                <w:sz w:val="21"/>
              </w:rPr>
            </w:pPr>
          </w:p>
        </w:tc>
        <w:tc>
          <w:tcPr>
            <w:tcW w:w="1286" w:type="dxa"/>
            <w:tcBorders>
              <w:right w:val="single" w:color="000000" w:sz="10" w:space="0"/>
            </w:tcBorders>
            <w:vAlign w:val="top"/>
          </w:tcPr>
          <w:p w14:paraId="6F2B42EB">
            <w:pPr>
              <w:rPr>
                <w:rFonts w:ascii="Arial"/>
                <w:sz w:val="21"/>
              </w:rPr>
            </w:pPr>
          </w:p>
        </w:tc>
      </w:tr>
      <w:tr w14:paraId="10C49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4AC4D5DF">
            <w:pPr>
              <w:rPr>
                <w:rFonts w:ascii="Arial"/>
                <w:sz w:val="21"/>
              </w:rPr>
            </w:pPr>
          </w:p>
        </w:tc>
        <w:tc>
          <w:tcPr>
            <w:tcW w:w="1978" w:type="dxa"/>
            <w:vAlign w:val="top"/>
          </w:tcPr>
          <w:p w14:paraId="40C28CE3">
            <w:pPr>
              <w:rPr>
                <w:rFonts w:ascii="Arial"/>
                <w:sz w:val="21"/>
              </w:rPr>
            </w:pPr>
          </w:p>
        </w:tc>
        <w:tc>
          <w:tcPr>
            <w:tcW w:w="4665" w:type="dxa"/>
            <w:vAlign w:val="top"/>
          </w:tcPr>
          <w:p w14:paraId="0ED065A4">
            <w:pPr>
              <w:rPr>
                <w:rFonts w:ascii="Arial"/>
                <w:sz w:val="21"/>
              </w:rPr>
            </w:pPr>
          </w:p>
        </w:tc>
        <w:tc>
          <w:tcPr>
            <w:tcW w:w="1286" w:type="dxa"/>
            <w:tcBorders>
              <w:right w:val="single" w:color="000000" w:sz="10" w:space="0"/>
            </w:tcBorders>
            <w:vAlign w:val="top"/>
          </w:tcPr>
          <w:p w14:paraId="2D524F0B">
            <w:pPr>
              <w:rPr>
                <w:rFonts w:ascii="Arial"/>
                <w:sz w:val="21"/>
              </w:rPr>
            </w:pPr>
          </w:p>
        </w:tc>
      </w:tr>
      <w:tr w14:paraId="59DB8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24B27FEB">
            <w:pPr>
              <w:rPr>
                <w:rFonts w:ascii="Arial"/>
                <w:sz w:val="21"/>
              </w:rPr>
            </w:pPr>
          </w:p>
        </w:tc>
        <w:tc>
          <w:tcPr>
            <w:tcW w:w="1978" w:type="dxa"/>
            <w:vAlign w:val="top"/>
          </w:tcPr>
          <w:p w14:paraId="3799BD2C">
            <w:pPr>
              <w:rPr>
                <w:rFonts w:ascii="Arial"/>
                <w:sz w:val="21"/>
              </w:rPr>
            </w:pPr>
          </w:p>
        </w:tc>
        <w:tc>
          <w:tcPr>
            <w:tcW w:w="4665" w:type="dxa"/>
            <w:vAlign w:val="top"/>
          </w:tcPr>
          <w:p w14:paraId="3C0620A7">
            <w:pPr>
              <w:rPr>
                <w:rFonts w:ascii="Arial"/>
                <w:sz w:val="21"/>
              </w:rPr>
            </w:pPr>
          </w:p>
        </w:tc>
        <w:tc>
          <w:tcPr>
            <w:tcW w:w="1286" w:type="dxa"/>
            <w:tcBorders>
              <w:right w:val="single" w:color="000000" w:sz="10" w:space="0"/>
            </w:tcBorders>
            <w:vAlign w:val="top"/>
          </w:tcPr>
          <w:p w14:paraId="152829ED">
            <w:pPr>
              <w:rPr>
                <w:rFonts w:ascii="Arial"/>
                <w:sz w:val="21"/>
              </w:rPr>
            </w:pPr>
          </w:p>
        </w:tc>
      </w:tr>
      <w:tr w14:paraId="7B2C3A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4A6FECF3">
            <w:pPr>
              <w:rPr>
                <w:rFonts w:ascii="Arial"/>
                <w:sz w:val="21"/>
              </w:rPr>
            </w:pPr>
          </w:p>
        </w:tc>
        <w:tc>
          <w:tcPr>
            <w:tcW w:w="1978" w:type="dxa"/>
            <w:vAlign w:val="top"/>
          </w:tcPr>
          <w:p w14:paraId="3808AD58">
            <w:pPr>
              <w:rPr>
                <w:rFonts w:ascii="Arial"/>
                <w:sz w:val="21"/>
              </w:rPr>
            </w:pPr>
          </w:p>
        </w:tc>
        <w:tc>
          <w:tcPr>
            <w:tcW w:w="4665" w:type="dxa"/>
            <w:vAlign w:val="top"/>
          </w:tcPr>
          <w:p w14:paraId="760D72EB">
            <w:pPr>
              <w:rPr>
                <w:rFonts w:ascii="Arial"/>
                <w:sz w:val="21"/>
              </w:rPr>
            </w:pPr>
          </w:p>
        </w:tc>
        <w:tc>
          <w:tcPr>
            <w:tcW w:w="1286" w:type="dxa"/>
            <w:tcBorders>
              <w:right w:val="single" w:color="000000" w:sz="10" w:space="0"/>
            </w:tcBorders>
            <w:vAlign w:val="top"/>
          </w:tcPr>
          <w:p w14:paraId="5127AF68">
            <w:pPr>
              <w:rPr>
                <w:rFonts w:ascii="Arial"/>
                <w:sz w:val="21"/>
              </w:rPr>
            </w:pPr>
          </w:p>
        </w:tc>
      </w:tr>
      <w:tr w14:paraId="57C83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62F9689C">
            <w:pPr>
              <w:rPr>
                <w:rFonts w:ascii="Arial"/>
                <w:sz w:val="21"/>
              </w:rPr>
            </w:pPr>
          </w:p>
        </w:tc>
        <w:tc>
          <w:tcPr>
            <w:tcW w:w="1978" w:type="dxa"/>
            <w:vAlign w:val="top"/>
          </w:tcPr>
          <w:p w14:paraId="36701478">
            <w:pPr>
              <w:rPr>
                <w:rFonts w:ascii="Arial"/>
                <w:sz w:val="21"/>
              </w:rPr>
            </w:pPr>
          </w:p>
        </w:tc>
        <w:tc>
          <w:tcPr>
            <w:tcW w:w="4665" w:type="dxa"/>
            <w:vAlign w:val="top"/>
          </w:tcPr>
          <w:p w14:paraId="57D85A9C">
            <w:pPr>
              <w:rPr>
                <w:rFonts w:ascii="Arial"/>
                <w:sz w:val="21"/>
              </w:rPr>
            </w:pPr>
          </w:p>
        </w:tc>
        <w:tc>
          <w:tcPr>
            <w:tcW w:w="1286" w:type="dxa"/>
            <w:tcBorders>
              <w:right w:val="single" w:color="000000" w:sz="10" w:space="0"/>
            </w:tcBorders>
            <w:vAlign w:val="top"/>
          </w:tcPr>
          <w:p w14:paraId="63152B61">
            <w:pPr>
              <w:rPr>
                <w:rFonts w:ascii="Arial"/>
                <w:sz w:val="21"/>
              </w:rPr>
            </w:pPr>
          </w:p>
        </w:tc>
      </w:tr>
      <w:tr w14:paraId="78CF2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91" w:type="dxa"/>
            <w:tcBorders>
              <w:left w:val="single" w:color="000000" w:sz="10" w:space="0"/>
            </w:tcBorders>
            <w:vAlign w:val="top"/>
          </w:tcPr>
          <w:p w14:paraId="49B1E397">
            <w:pPr>
              <w:rPr>
                <w:rFonts w:ascii="Arial"/>
                <w:sz w:val="21"/>
              </w:rPr>
            </w:pPr>
          </w:p>
        </w:tc>
        <w:tc>
          <w:tcPr>
            <w:tcW w:w="1978" w:type="dxa"/>
            <w:vAlign w:val="top"/>
          </w:tcPr>
          <w:p w14:paraId="789EBE9E">
            <w:pPr>
              <w:rPr>
                <w:rFonts w:ascii="Arial"/>
                <w:sz w:val="21"/>
              </w:rPr>
            </w:pPr>
          </w:p>
        </w:tc>
        <w:tc>
          <w:tcPr>
            <w:tcW w:w="4665" w:type="dxa"/>
            <w:vAlign w:val="top"/>
          </w:tcPr>
          <w:p w14:paraId="23F8AED4">
            <w:pPr>
              <w:rPr>
                <w:rFonts w:ascii="Arial"/>
                <w:sz w:val="21"/>
              </w:rPr>
            </w:pPr>
          </w:p>
        </w:tc>
        <w:tc>
          <w:tcPr>
            <w:tcW w:w="1286" w:type="dxa"/>
            <w:tcBorders>
              <w:right w:val="single" w:color="000000" w:sz="10" w:space="0"/>
            </w:tcBorders>
            <w:vAlign w:val="top"/>
          </w:tcPr>
          <w:p w14:paraId="28EF8E73">
            <w:pPr>
              <w:rPr>
                <w:rFonts w:ascii="Arial"/>
                <w:sz w:val="21"/>
              </w:rPr>
            </w:pPr>
          </w:p>
        </w:tc>
      </w:tr>
      <w:tr w14:paraId="3DA5F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820" w:type="dxa"/>
            <w:gridSpan w:val="4"/>
            <w:tcBorders>
              <w:left w:val="single" w:color="000000" w:sz="10" w:space="0"/>
              <w:bottom w:val="single" w:color="000000" w:sz="10" w:space="0"/>
              <w:right w:val="single" w:color="000000" w:sz="10" w:space="0"/>
            </w:tcBorders>
            <w:vAlign w:val="top"/>
          </w:tcPr>
          <w:p w14:paraId="72A40046">
            <w:pPr>
              <w:spacing w:before="135" w:line="212" w:lineRule="auto"/>
              <w:ind w:left="97"/>
              <w:rPr>
                <w:rFonts w:ascii="仿宋" w:hAnsi="仿宋" w:eastAsia="仿宋" w:cs="仿宋"/>
                <w:sz w:val="28"/>
                <w:szCs w:val="28"/>
              </w:rPr>
            </w:pPr>
            <w:r>
              <w:rPr>
                <w:rFonts w:ascii="仿宋" w:hAnsi="仿宋" w:eastAsia="仿宋" w:cs="仿宋"/>
                <w:spacing w:val="-6"/>
                <w:sz w:val="28"/>
                <w:szCs w:val="28"/>
              </w:rPr>
              <w:t>小计：</w:t>
            </w:r>
          </w:p>
        </w:tc>
      </w:tr>
    </w:tbl>
    <w:p w14:paraId="2321AB4F">
      <w:pPr>
        <w:rPr>
          <w:rFonts w:ascii="Arial"/>
          <w:sz w:val="21"/>
        </w:rPr>
      </w:pPr>
    </w:p>
    <w:p w14:paraId="3BDECA97">
      <w:pPr>
        <w:rPr>
          <w:rFonts w:ascii="Arial" w:hAnsi="Arial" w:eastAsia="Arial" w:cs="Arial"/>
          <w:sz w:val="21"/>
          <w:szCs w:val="21"/>
        </w:rPr>
        <w:sectPr>
          <w:footerReference r:id="rId331" w:type="default"/>
          <w:pgSz w:w="11907" w:h="16840"/>
          <w:pgMar w:top="400" w:right="1629" w:bottom="1038" w:left="1431" w:header="0" w:footer="787" w:gutter="0"/>
          <w:cols w:space="720" w:num="1"/>
        </w:sectPr>
      </w:pPr>
    </w:p>
    <w:p w14:paraId="096DDF8D">
      <w:pPr>
        <w:spacing w:line="251" w:lineRule="auto"/>
        <w:rPr>
          <w:rFonts w:ascii="Arial"/>
          <w:sz w:val="21"/>
        </w:rPr>
      </w:pPr>
    </w:p>
    <w:p w14:paraId="1752B593">
      <w:pPr>
        <w:spacing w:line="251" w:lineRule="auto"/>
        <w:rPr>
          <w:rFonts w:ascii="Arial"/>
          <w:sz w:val="21"/>
        </w:rPr>
      </w:pPr>
    </w:p>
    <w:p w14:paraId="0E8E4C8E">
      <w:pPr>
        <w:spacing w:line="251" w:lineRule="auto"/>
        <w:rPr>
          <w:rFonts w:ascii="Arial"/>
          <w:sz w:val="21"/>
        </w:rPr>
      </w:pPr>
    </w:p>
    <w:p w14:paraId="7B089B86">
      <w:pPr>
        <w:spacing w:line="251" w:lineRule="auto"/>
        <w:rPr>
          <w:rFonts w:ascii="Arial"/>
          <w:sz w:val="21"/>
        </w:rPr>
      </w:pPr>
    </w:p>
    <w:p w14:paraId="6001DE32">
      <w:pPr>
        <w:spacing w:line="252" w:lineRule="auto"/>
        <w:rPr>
          <w:rFonts w:ascii="Arial"/>
          <w:sz w:val="21"/>
        </w:rPr>
      </w:pPr>
    </w:p>
    <w:p w14:paraId="619FC800">
      <w:pPr>
        <w:spacing w:line="252" w:lineRule="auto"/>
        <w:rPr>
          <w:rFonts w:ascii="Arial"/>
          <w:sz w:val="21"/>
        </w:rPr>
      </w:pPr>
    </w:p>
    <w:p w14:paraId="5E7C8FC1">
      <w:pPr>
        <w:spacing w:line="252" w:lineRule="auto"/>
        <w:rPr>
          <w:rFonts w:ascii="Arial"/>
          <w:sz w:val="21"/>
        </w:rPr>
      </w:pPr>
    </w:p>
    <w:p w14:paraId="59AB5D4B">
      <w:pPr>
        <w:spacing w:line="252" w:lineRule="auto"/>
        <w:rPr>
          <w:rFonts w:ascii="Arial"/>
          <w:sz w:val="21"/>
        </w:rPr>
      </w:pPr>
    </w:p>
    <w:p w14:paraId="08271065">
      <w:pPr>
        <w:spacing w:line="252" w:lineRule="auto"/>
        <w:rPr>
          <w:rFonts w:ascii="Arial"/>
          <w:sz w:val="21"/>
        </w:rPr>
      </w:pPr>
    </w:p>
    <w:p w14:paraId="5BCA5B90">
      <w:pPr>
        <w:spacing w:line="252" w:lineRule="auto"/>
        <w:rPr>
          <w:rFonts w:ascii="Arial"/>
          <w:sz w:val="21"/>
        </w:rPr>
      </w:pPr>
    </w:p>
    <w:p w14:paraId="04CCA744">
      <w:pPr>
        <w:spacing w:line="252" w:lineRule="auto"/>
        <w:rPr>
          <w:rFonts w:ascii="Arial"/>
          <w:sz w:val="21"/>
        </w:rPr>
      </w:pPr>
    </w:p>
    <w:p w14:paraId="5E927148">
      <w:pPr>
        <w:spacing w:line="252" w:lineRule="auto"/>
        <w:rPr>
          <w:rFonts w:ascii="Arial"/>
          <w:sz w:val="21"/>
        </w:rPr>
      </w:pPr>
    </w:p>
    <w:p w14:paraId="179B3D20">
      <w:pPr>
        <w:spacing w:line="252" w:lineRule="auto"/>
        <w:rPr>
          <w:rFonts w:ascii="Arial"/>
          <w:sz w:val="21"/>
        </w:rPr>
      </w:pPr>
    </w:p>
    <w:p w14:paraId="0C04FC01">
      <w:pPr>
        <w:spacing w:line="252" w:lineRule="auto"/>
        <w:rPr>
          <w:rFonts w:ascii="Arial"/>
          <w:sz w:val="21"/>
        </w:rPr>
      </w:pPr>
    </w:p>
    <w:p w14:paraId="3EDA57A8">
      <w:pPr>
        <w:spacing w:line="252" w:lineRule="auto"/>
        <w:rPr>
          <w:rFonts w:ascii="Arial"/>
          <w:sz w:val="21"/>
        </w:rPr>
      </w:pPr>
    </w:p>
    <w:p w14:paraId="0AF139ED">
      <w:pPr>
        <w:spacing w:line="252" w:lineRule="auto"/>
        <w:rPr>
          <w:rFonts w:ascii="Arial"/>
          <w:sz w:val="21"/>
        </w:rPr>
      </w:pPr>
    </w:p>
    <w:p w14:paraId="4E2D3471">
      <w:pPr>
        <w:spacing w:line="252" w:lineRule="auto"/>
        <w:rPr>
          <w:rFonts w:ascii="Arial"/>
          <w:sz w:val="21"/>
        </w:rPr>
      </w:pPr>
    </w:p>
    <w:p w14:paraId="2ABEC8BF">
      <w:pPr>
        <w:pStyle w:val="2"/>
        <w:spacing w:before="101" w:line="227" w:lineRule="auto"/>
        <w:ind w:left="2692"/>
        <w:outlineLvl w:val="0"/>
        <w:rPr>
          <w:sz w:val="31"/>
          <w:szCs w:val="31"/>
        </w:rPr>
      </w:pPr>
      <w:bookmarkStart w:id="303" w:name="bookmark286"/>
      <w:bookmarkEnd w:id="303"/>
      <w:r>
        <w:rPr>
          <w:spacing w:val="8"/>
          <w:sz w:val="31"/>
          <w:szCs w:val="31"/>
        </w:rPr>
        <w:t>第四章  合同条款及格式</w:t>
      </w:r>
    </w:p>
    <w:p w14:paraId="13592C4C">
      <w:pPr>
        <w:spacing w:line="241" w:lineRule="auto"/>
        <w:rPr>
          <w:rFonts w:ascii="Arial"/>
          <w:sz w:val="21"/>
        </w:rPr>
      </w:pPr>
    </w:p>
    <w:p w14:paraId="5CD128ED">
      <w:pPr>
        <w:spacing w:line="241" w:lineRule="auto"/>
        <w:rPr>
          <w:rFonts w:ascii="Arial"/>
          <w:sz w:val="21"/>
        </w:rPr>
      </w:pPr>
    </w:p>
    <w:p w14:paraId="3A633417">
      <w:pPr>
        <w:spacing w:line="241" w:lineRule="auto"/>
        <w:rPr>
          <w:rFonts w:ascii="Arial"/>
          <w:sz w:val="21"/>
        </w:rPr>
      </w:pPr>
    </w:p>
    <w:p w14:paraId="5FE3617B">
      <w:pPr>
        <w:spacing w:line="242" w:lineRule="auto"/>
        <w:rPr>
          <w:rFonts w:ascii="Arial"/>
          <w:sz w:val="21"/>
        </w:rPr>
      </w:pPr>
    </w:p>
    <w:p w14:paraId="127D4F0C">
      <w:pPr>
        <w:spacing w:line="242" w:lineRule="auto"/>
        <w:rPr>
          <w:rFonts w:ascii="Arial"/>
          <w:sz w:val="21"/>
        </w:rPr>
      </w:pPr>
    </w:p>
    <w:p w14:paraId="7B9244EE">
      <w:pPr>
        <w:spacing w:line="242" w:lineRule="auto"/>
        <w:rPr>
          <w:rFonts w:ascii="Arial"/>
          <w:sz w:val="21"/>
        </w:rPr>
      </w:pPr>
    </w:p>
    <w:p w14:paraId="6D96406B">
      <w:pPr>
        <w:spacing w:line="242" w:lineRule="auto"/>
        <w:rPr>
          <w:rFonts w:ascii="Arial"/>
          <w:sz w:val="21"/>
        </w:rPr>
      </w:pPr>
    </w:p>
    <w:p w14:paraId="7BA0059A">
      <w:pPr>
        <w:spacing w:line="242" w:lineRule="auto"/>
        <w:rPr>
          <w:rFonts w:ascii="Arial"/>
          <w:sz w:val="21"/>
        </w:rPr>
      </w:pPr>
    </w:p>
    <w:p w14:paraId="59E788EC">
      <w:pPr>
        <w:spacing w:line="242" w:lineRule="auto"/>
        <w:rPr>
          <w:rFonts w:ascii="Arial"/>
          <w:sz w:val="21"/>
        </w:rPr>
      </w:pPr>
    </w:p>
    <w:p w14:paraId="67CB8E5B">
      <w:pPr>
        <w:spacing w:line="242" w:lineRule="auto"/>
        <w:rPr>
          <w:rFonts w:ascii="Arial"/>
          <w:sz w:val="21"/>
        </w:rPr>
      </w:pPr>
    </w:p>
    <w:p w14:paraId="44BB893B">
      <w:pPr>
        <w:spacing w:line="242" w:lineRule="auto"/>
        <w:rPr>
          <w:rFonts w:ascii="Arial"/>
          <w:sz w:val="21"/>
        </w:rPr>
      </w:pPr>
    </w:p>
    <w:p w14:paraId="06109C61">
      <w:pPr>
        <w:spacing w:line="242" w:lineRule="auto"/>
        <w:rPr>
          <w:rFonts w:ascii="Arial"/>
          <w:sz w:val="21"/>
        </w:rPr>
      </w:pPr>
    </w:p>
    <w:p w14:paraId="272A5120">
      <w:pPr>
        <w:spacing w:line="242" w:lineRule="auto"/>
        <w:rPr>
          <w:rFonts w:ascii="Arial"/>
          <w:sz w:val="21"/>
        </w:rPr>
      </w:pPr>
    </w:p>
    <w:p w14:paraId="7CD58060">
      <w:pPr>
        <w:spacing w:line="242" w:lineRule="auto"/>
        <w:rPr>
          <w:rFonts w:ascii="Arial"/>
          <w:sz w:val="21"/>
        </w:rPr>
      </w:pPr>
    </w:p>
    <w:p w14:paraId="174BE529">
      <w:pPr>
        <w:spacing w:line="242" w:lineRule="auto"/>
        <w:rPr>
          <w:rFonts w:ascii="Arial"/>
          <w:sz w:val="21"/>
        </w:rPr>
      </w:pPr>
    </w:p>
    <w:p w14:paraId="0717C969">
      <w:pPr>
        <w:spacing w:line="242" w:lineRule="auto"/>
        <w:rPr>
          <w:rFonts w:ascii="Arial"/>
          <w:sz w:val="21"/>
        </w:rPr>
      </w:pPr>
    </w:p>
    <w:p w14:paraId="217F316B">
      <w:pPr>
        <w:spacing w:line="242" w:lineRule="auto"/>
        <w:rPr>
          <w:rFonts w:ascii="Arial"/>
          <w:sz w:val="21"/>
        </w:rPr>
      </w:pPr>
    </w:p>
    <w:p w14:paraId="58DB67E5">
      <w:pPr>
        <w:spacing w:line="242" w:lineRule="auto"/>
        <w:rPr>
          <w:rFonts w:ascii="Arial"/>
          <w:sz w:val="21"/>
        </w:rPr>
      </w:pPr>
    </w:p>
    <w:p w14:paraId="69AA8D88">
      <w:pPr>
        <w:spacing w:line="242" w:lineRule="auto"/>
        <w:rPr>
          <w:rFonts w:ascii="Arial"/>
          <w:sz w:val="21"/>
        </w:rPr>
      </w:pPr>
    </w:p>
    <w:p w14:paraId="75358E9F">
      <w:pPr>
        <w:spacing w:line="242" w:lineRule="auto"/>
        <w:rPr>
          <w:rFonts w:ascii="Arial"/>
          <w:sz w:val="21"/>
        </w:rPr>
      </w:pPr>
    </w:p>
    <w:p w14:paraId="66515C0A">
      <w:pPr>
        <w:spacing w:line="242" w:lineRule="auto"/>
        <w:rPr>
          <w:rFonts w:ascii="Arial"/>
          <w:sz w:val="21"/>
        </w:rPr>
      </w:pPr>
    </w:p>
    <w:p w14:paraId="1922EC19">
      <w:pPr>
        <w:spacing w:line="242" w:lineRule="auto"/>
        <w:rPr>
          <w:rFonts w:ascii="Arial"/>
          <w:sz w:val="21"/>
        </w:rPr>
      </w:pPr>
    </w:p>
    <w:p w14:paraId="1B78C3FD">
      <w:pPr>
        <w:spacing w:line="242" w:lineRule="auto"/>
        <w:rPr>
          <w:rFonts w:ascii="Arial"/>
          <w:sz w:val="21"/>
        </w:rPr>
      </w:pPr>
    </w:p>
    <w:p w14:paraId="1E18CF05">
      <w:pPr>
        <w:spacing w:line="242" w:lineRule="auto"/>
        <w:rPr>
          <w:rFonts w:ascii="Arial"/>
          <w:sz w:val="21"/>
        </w:rPr>
      </w:pPr>
    </w:p>
    <w:p w14:paraId="398F98AD">
      <w:pPr>
        <w:spacing w:line="242" w:lineRule="auto"/>
        <w:rPr>
          <w:rFonts w:ascii="Arial"/>
          <w:sz w:val="21"/>
        </w:rPr>
      </w:pPr>
    </w:p>
    <w:p w14:paraId="235ABCA6">
      <w:pPr>
        <w:spacing w:line="242" w:lineRule="auto"/>
        <w:rPr>
          <w:rFonts w:ascii="Arial"/>
          <w:sz w:val="21"/>
        </w:rPr>
      </w:pPr>
    </w:p>
    <w:p w14:paraId="0E18049B">
      <w:pPr>
        <w:spacing w:before="65" w:line="295" w:lineRule="auto"/>
        <w:ind w:left="1049" w:right="2" w:hanging="1049"/>
        <w:rPr>
          <w:rFonts w:ascii="宋体" w:hAnsi="宋体" w:eastAsia="宋体" w:cs="宋体"/>
          <w:sz w:val="20"/>
          <w:szCs w:val="20"/>
        </w:rPr>
      </w:pPr>
      <w:r>
        <w:rPr>
          <w:rFonts w:ascii="宋体" w:hAnsi="宋体" w:eastAsia="宋体" w:cs="宋体"/>
          <w:spacing w:val="5"/>
          <w:sz w:val="20"/>
          <w:szCs w:val="20"/>
        </w:rPr>
        <w:t xml:space="preserve">备注：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本合同条款及格式采用</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 xml:space="preserve">2023 </w:t>
      </w:r>
      <w:r>
        <w:rPr>
          <w:rFonts w:ascii="宋体" w:hAnsi="宋体" w:eastAsia="宋体" w:cs="宋体"/>
          <w:spacing w:val="5"/>
          <w:sz w:val="20"/>
          <w:szCs w:val="20"/>
        </w:rPr>
        <w:t>年</w:t>
      </w:r>
      <w:r>
        <w:rPr>
          <w:rFonts w:ascii="宋体" w:hAnsi="宋体" w:eastAsia="宋体" w:cs="宋体"/>
          <w:spacing w:val="-32"/>
          <w:sz w:val="20"/>
          <w:szCs w:val="20"/>
        </w:rPr>
        <w:t xml:space="preserve"> </w:t>
      </w:r>
      <w:r>
        <w:rPr>
          <w:rFonts w:ascii="Times New Roman" w:hAnsi="Times New Roman" w:eastAsia="Times New Roman" w:cs="Times New Roman"/>
          <w:spacing w:val="5"/>
          <w:sz w:val="20"/>
          <w:szCs w:val="20"/>
        </w:rPr>
        <w:t>8</w:t>
      </w:r>
      <w:r>
        <w:rPr>
          <w:rFonts w:ascii="Times New Roman" w:hAnsi="Times New Roman" w:eastAsia="Times New Roman" w:cs="Times New Roman"/>
          <w:spacing w:val="15"/>
          <w:sz w:val="20"/>
          <w:szCs w:val="20"/>
        </w:rPr>
        <w:t xml:space="preserve"> </w:t>
      </w:r>
      <w:r>
        <w:rPr>
          <w:rFonts w:ascii="宋体" w:hAnsi="宋体" w:eastAsia="宋体" w:cs="宋体"/>
          <w:spacing w:val="5"/>
          <w:sz w:val="20"/>
          <w:szCs w:val="20"/>
        </w:rPr>
        <w:t>月</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 xml:space="preserve">25  </w:t>
      </w:r>
      <w:r>
        <w:rPr>
          <w:rFonts w:ascii="宋体" w:hAnsi="宋体" w:eastAsia="宋体" w:cs="宋体"/>
          <w:spacing w:val="5"/>
          <w:sz w:val="20"/>
          <w:szCs w:val="20"/>
        </w:rPr>
        <w:t>日湖</w:t>
      </w:r>
      <w:r>
        <w:rPr>
          <w:rFonts w:ascii="宋体" w:hAnsi="宋体" w:eastAsia="宋体" w:cs="宋体"/>
          <w:spacing w:val="4"/>
          <w:sz w:val="20"/>
          <w:szCs w:val="20"/>
        </w:rPr>
        <w:t>北省住房和城乡建设厅、湖北省市场监督管</w:t>
      </w:r>
      <w:r>
        <w:rPr>
          <w:rFonts w:ascii="宋体" w:hAnsi="宋体" w:eastAsia="宋体" w:cs="宋体"/>
          <w:spacing w:val="3"/>
          <w:sz w:val="20"/>
          <w:szCs w:val="20"/>
        </w:rPr>
        <w:t>理局以鄂建文〔</w:t>
      </w:r>
      <w:r>
        <w:rPr>
          <w:rFonts w:ascii="Times New Roman" w:hAnsi="Times New Roman" w:eastAsia="Times New Roman" w:cs="Times New Roman"/>
          <w:spacing w:val="3"/>
          <w:sz w:val="20"/>
          <w:szCs w:val="20"/>
        </w:rPr>
        <w:t>2023</w:t>
      </w:r>
      <w:r>
        <w:rPr>
          <w:rFonts w:ascii="宋体" w:hAnsi="宋体" w:eastAsia="宋体" w:cs="宋体"/>
          <w:spacing w:val="3"/>
          <w:sz w:val="20"/>
          <w:szCs w:val="20"/>
        </w:rPr>
        <w:t>〕</w:t>
      </w:r>
      <w:r>
        <w:rPr>
          <w:rFonts w:ascii="Times New Roman" w:hAnsi="Times New Roman" w:eastAsia="Times New Roman" w:cs="Times New Roman"/>
          <w:spacing w:val="3"/>
          <w:sz w:val="20"/>
          <w:szCs w:val="20"/>
        </w:rPr>
        <w:t>29</w:t>
      </w:r>
      <w:r>
        <w:rPr>
          <w:rFonts w:ascii="Times New Roman" w:hAnsi="Times New Roman" w:eastAsia="Times New Roman" w:cs="Times New Roman"/>
          <w:spacing w:val="31"/>
          <w:w w:val="101"/>
          <w:sz w:val="20"/>
          <w:szCs w:val="20"/>
        </w:rPr>
        <w:t xml:space="preserve"> </w:t>
      </w:r>
      <w:r>
        <w:rPr>
          <w:rFonts w:ascii="宋体" w:hAnsi="宋体" w:eastAsia="宋体" w:cs="宋体"/>
          <w:spacing w:val="3"/>
          <w:sz w:val="20"/>
          <w:szCs w:val="20"/>
        </w:rPr>
        <w:t>号文发布的《湖北省建设工程施工合同（示范文本）》（</w:t>
      </w:r>
      <w:r>
        <w:rPr>
          <w:rFonts w:ascii="Times New Roman" w:hAnsi="Times New Roman" w:eastAsia="Times New Roman" w:cs="Times New Roman"/>
          <w:spacing w:val="3"/>
          <w:sz w:val="20"/>
          <w:szCs w:val="20"/>
        </w:rPr>
        <w:t>2023</w:t>
      </w:r>
      <w:r>
        <w:rPr>
          <w:rFonts w:ascii="宋体" w:hAnsi="宋体" w:eastAsia="宋体" w:cs="宋体"/>
          <w:spacing w:val="-7"/>
          <w:sz w:val="20"/>
          <w:szCs w:val="20"/>
        </w:rPr>
        <w:t>年修订版）。</w:t>
      </w:r>
    </w:p>
    <w:p w14:paraId="2E5DE4BA">
      <w:pPr>
        <w:spacing w:line="296" w:lineRule="auto"/>
        <w:ind w:left="946" w:hanging="218"/>
        <w:rPr>
          <w:rFonts w:ascii="宋体" w:hAnsi="宋体" w:eastAsia="宋体" w:cs="宋体"/>
          <w:sz w:val="20"/>
          <w:szCs w:val="20"/>
        </w:rPr>
      </w:pPr>
      <w:r>
        <w:rPr>
          <w:rFonts w:ascii="Times New Roman" w:hAnsi="Times New Roman" w:eastAsia="Times New Roman" w:cs="Times New Roman"/>
          <w:spacing w:val="7"/>
          <w:sz w:val="20"/>
          <w:szCs w:val="20"/>
        </w:rPr>
        <w:t xml:space="preserve">2.  </w:t>
      </w:r>
      <w:r>
        <w:rPr>
          <w:rFonts w:ascii="宋体" w:hAnsi="宋体" w:eastAsia="宋体" w:cs="宋体"/>
          <w:spacing w:val="7"/>
          <w:sz w:val="20"/>
          <w:szCs w:val="20"/>
        </w:rPr>
        <w:t>根据《省人民政府办公厅关于印发持续深化一流营商环境建设若干措施的通知》（鄂政</w:t>
      </w:r>
      <w:r>
        <w:rPr>
          <w:rFonts w:ascii="宋体" w:hAnsi="宋体" w:eastAsia="宋体" w:cs="宋体"/>
          <w:spacing w:val="8"/>
          <w:sz w:val="20"/>
          <w:szCs w:val="20"/>
        </w:rPr>
        <w:t>办发〔</w:t>
      </w:r>
      <w:r>
        <w:rPr>
          <w:rFonts w:ascii="Times New Roman" w:hAnsi="Times New Roman" w:eastAsia="Times New Roman" w:cs="Times New Roman"/>
          <w:spacing w:val="8"/>
          <w:sz w:val="20"/>
          <w:szCs w:val="20"/>
        </w:rPr>
        <w:t>2022</w:t>
      </w:r>
      <w:r>
        <w:rPr>
          <w:rFonts w:ascii="宋体" w:hAnsi="宋体" w:eastAsia="宋体" w:cs="宋体"/>
          <w:spacing w:val="8"/>
          <w:sz w:val="20"/>
          <w:szCs w:val="20"/>
        </w:rPr>
        <w:t>〕</w:t>
      </w:r>
      <w:r>
        <w:rPr>
          <w:rFonts w:ascii="Times New Roman" w:hAnsi="Times New Roman" w:eastAsia="Times New Roman" w:cs="Times New Roman"/>
          <w:spacing w:val="8"/>
          <w:sz w:val="20"/>
          <w:szCs w:val="20"/>
        </w:rPr>
        <w:t xml:space="preserve">2  </w:t>
      </w:r>
      <w:r>
        <w:rPr>
          <w:rFonts w:ascii="宋体" w:hAnsi="宋体" w:eastAsia="宋体" w:cs="宋体"/>
          <w:spacing w:val="8"/>
          <w:sz w:val="20"/>
          <w:szCs w:val="20"/>
        </w:rPr>
        <w:t>号）的要求，预留工程质量保证金的，工程质量保证金预留比例不得高</w:t>
      </w:r>
      <w:r>
        <w:rPr>
          <w:rFonts w:ascii="宋体" w:hAnsi="宋体" w:eastAsia="宋体" w:cs="宋体"/>
          <w:spacing w:val="5"/>
          <w:sz w:val="20"/>
          <w:szCs w:val="20"/>
        </w:rPr>
        <w:t>于工程价款结算总额的</w:t>
      </w:r>
      <w:r>
        <w:rPr>
          <w:rFonts w:ascii="宋体" w:hAnsi="宋体" w:eastAsia="宋体" w:cs="宋体"/>
          <w:spacing w:val="-16"/>
          <w:sz w:val="20"/>
          <w:szCs w:val="20"/>
        </w:rPr>
        <w:t xml:space="preserve"> </w:t>
      </w:r>
      <w:r>
        <w:rPr>
          <w:rFonts w:ascii="Times New Roman" w:hAnsi="Times New Roman" w:eastAsia="Times New Roman" w:cs="Times New Roman"/>
          <w:spacing w:val="5"/>
          <w:sz w:val="20"/>
          <w:szCs w:val="20"/>
        </w:rPr>
        <w:t>1.5%</w:t>
      </w:r>
      <w:r>
        <w:rPr>
          <w:rFonts w:ascii="宋体" w:hAnsi="宋体" w:eastAsia="宋体" w:cs="宋体"/>
          <w:spacing w:val="5"/>
          <w:sz w:val="20"/>
          <w:szCs w:val="20"/>
        </w:rPr>
        <w:t>。</w:t>
      </w:r>
    </w:p>
    <w:p w14:paraId="38E948B6">
      <w:pPr>
        <w:spacing w:line="296" w:lineRule="auto"/>
        <w:rPr>
          <w:rFonts w:ascii="宋体" w:hAnsi="宋体" w:eastAsia="宋体" w:cs="宋体"/>
          <w:sz w:val="20"/>
          <w:szCs w:val="20"/>
        </w:rPr>
        <w:sectPr>
          <w:footerReference r:id="rId332" w:type="default"/>
          <w:pgSz w:w="11907" w:h="16840"/>
          <w:pgMar w:top="400" w:right="1531" w:bottom="1038" w:left="1484" w:header="0" w:footer="787" w:gutter="0"/>
          <w:cols w:space="720" w:num="1"/>
        </w:sectPr>
      </w:pPr>
    </w:p>
    <w:p w14:paraId="12B36AB6">
      <w:pPr>
        <w:spacing w:line="262" w:lineRule="auto"/>
        <w:rPr>
          <w:rFonts w:ascii="Arial"/>
          <w:sz w:val="21"/>
        </w:rPr>
      </w:pPr>
    </w:p>
    <w:p w14:paraId="7D3227E1">
      <w:pPr>
        <w:spacing w:line="262" w:lineRule="auto"/>
        <w:rPr>
          <w:rFonts w:ascii="Arial"/>
          <w:sz w:val="21"/>
        </w:rPr>
      </w:pPr>
    </w:p>
    <w:p w14:paraId="24CBC8E1">
      <w:pPr>
        <w:spacing w:line="262" w:lineRule="auto"/>
        <w:rPr>
          <w:rFonts w:ascii="Arial"/>
          <w:sz w:val="21"/>
        </w:rPr>
      </w:pPr>
    </w:p>
    <w:p w14:paraId="41D8705F">
      <w:pPr>
        <w:spacing w:line="262" w:lineRule="auto"/>
        <w:rPr>
          <w:rFonts w:ascii="Arial"/>
          <w:sz w:val="21"/>
        </w:rPr>
      </w:pPr>
    </w:p>
    <w:p w14:paraId="55621E3B">
      <w:pPr>
        <w:spacing w:line="262" w:lineRule="auto"/>
        <w:rPr>
          <w:rFonts w:ascii="Arial"/>
          <w:sz w:val="21"/>
        </w:rPr>
      </w:pPr>
    </w:p>
    <w:p w14:paraId="6B3B58C6">
      <w:pPr>
        <w:spacing w:line="262" w:lineRule="auto"/>
        <w:rPr>
          <w:rFonts w:ascii="Arial"/>
          <w:sz w:val="21"/>
        </w:rPr>
      </w:pPr>
    </w:p>
    <w:p w14:paraId="33F3BF76">
      <w:pPr>
        <w:pStyle w:val="2"/>
        <w:spacing w:before="91" w:line="222" w:lineRule="auto"/>
        <w:ind w:left="3032"/>
        <w:outlineLvl w:val="1"/>
        <w:rPr>
          <w:sz w:val="28"/>
          <w:szCs w:val="28"/>
        </w:rPr>
      </w:pPr>
      <w:bookmarkStart w:id="304" w:name="bookmark287"/>
      <w:bookmarkEnd w:id="304"/>
      <w:r>
        <w:rPr>
          <w:spacing w:val="-1"/>
          <w:sz w:val="28"/>
          <w:szCs w:val="28"/>
        </w:rPr>
        <w:t>第一部分  合同协议书</w:t>
      </w:r>
    </w:p>
    <w:p w14:paraId="72C91F30">
      <w:pPr>
        <w:spacing w:line="279" w:lineRule="auto"/>
        <w:rPr>
          <w:rFonts w:ascii="Arial"/>
          <w:sz w:val="21"/>
        </w:rPr>
      </w:pPr>
    </w:p>
    <w:p w14:paraId="6B82D7C8">
      <w:pPr>
        <w:spacing w:line="280" w:lineRule="auto"/>
        <w:rPr>
          <w:rFonts w:ascii="Arial"/>
          <w:sz w:val="21"/>
        </w:rPr>
      </w:pPr>
    </w:p>
    <w:p w14:paraId="2E7B1812">
      <w:pPr>
        <w:spacing w:before="65" w:line="228" w:lineRule="auto"/>
        <w:ind w:left="431"/>
        <w:rPr>
          <w:rFonts w:ascii="宋体" w:hAnsi="宋体" w:eastAsia="宋体" w:cs="宋体"/>
          <w:sz w:val="20"/>
          <w:szCs w:val="20"/>
        </w:rPr>
      </w:pPr>
      <w:r>
        <w:rPr>
          <w:rFonts w:ascii="宋体" w:hAnsi="宋体" w:eastAsia="宋体" w:cs="宋体"/>
          <w:spacing w:val="7"/>
          <w:sz w:val="20"/>
          <w:szCs w:val="20"/>
        </w:rPr>
        <w:t>发包人（全称</w:t>
      </w:r>
      <w:r>
        <w:rPr>
          <w:rFonts w:ascii="宋体" w:hAnsi="宋体" w:eastAsia="宋体" w:cs="宋体"/>
          <w:spacing w:val="-52"/>
          <w:sz w:val="20"/>
          <w:szCs w:val="20"/>
        </w:rPr>
        <w:t>）：</w:t>
      </w:r>
      <w:r>
        <w:rPr>
          <w:rFonts w:ascii="宋体" w:hAnsi="宋体" w:eastAsia="宋体" w:cs="宋体"/>
          <w:spacing w:val="-77"/>
          <w:sz w:val="20"/>
          <w:szCs w:val="20"/>
        </w:rPr>
        <w:t xml:space="preserve"> </w:t>
      </w:r>
      <w:r>
        <w:rPr>
          <w:rFonts w:ascii="宋体" w:hAnsi="宋体" w:eastAsia="宋体" w:cs="宋体"/>
          <w:sz w:val="20"/>
          <w:szCs w:val="20"/>
          <w:u w:val="single" w:color="auto"/>
        </w:rPr>
        <w:t xml:space="preserve">                                                            </w:t>
      </w:r>
    </w:p>
    <w:p w14:paraId="01FD2B82">
      <w:pPr>
        <w:spacing w:before="191" w:line="228" w:lineRule="auto"/>
        <w:ind w:left="428"/>
        <w:rPr>
          <w:rFonts w:ascii="宋体" w:hAnsi="宋体" w:eastAsia="宋体" w:cs="宋体"/>
          <w:sz w:val="20"/>
          <w:szCs w:val="20"/>
        </w:rPr>
      </w:pPr>
      <w:r>
        <w:rPr>
          <w:rFonts w:ascii="宋体" w:hAnsi="宋体" w:eastAsia="宋体" w:cs="宋体"/>
          <w:spacing w:val="8"/>
          <w:sz w:val="20"/>
          <w:szCs w:val="20"/>
        </w:rPr>
        <w:t>承包人（全称</w:t>
      </w:r>
      <w:r>
        <w:rPr>
          <w:rFonts w:ascii="宋体" w:hAnsi="宋体" w:eastAsia="宋体" w:cs="宋体"/>
          <w:spacing w:val="-54"/>
          <w:sz w:val="20"/>
          <w:szCs w:val="20"/>
        </w:rPr>
        <w:t>）：</w:t>
      </w:r>
      <w:r>
        <w:rPr>
          <w:rFonts w:ascii="宋体" w:hAnsi="宋体" w:eastAsia="宋体" w:cs="宋体"/>
          <w:spacing w:val="-76"/>
          <w:sz w:val="20"/>
          <w:szCs w:val="20"/>
        </w:rPr>
        <w:t xml:space="preserve"> </w:t>
      </w:r>
      <w:r>
        <w:rPr>
          <w:rFonts w:ascii="宋体" w:hAnsi="宋体" w:eastAsia="宋体" w:cs="宋体"/>
          <w:sz w:val="20"/>
          <w:szCs w:val="20"/>
          <w:u w:val="single" w:color="auto"/>
        </w:rPr>
        <w:t xml:space="preserve">                                                            </w:t>
      </w:r>
    </w:p>
    <w:p w14:paraId="18A6B3A1">
      <w:pPr>
        <w:spacing w:before="195" w:line="405" w:lineRule="auto"/>
        <w:ind w:left="14" w:firstLine="413"/>
        <w:rPr>
          <w:rFonts w:ascii="宋体" w:hAnsi="宋体" w:eastAsia="宋体" w:cs="宋体"/>
          <w:sz w:val="20"/>
          <w:szCs w:val="20"/>
        </w:rPr>
      </w:pPr>
      <w:r>
        <w:rPr>
          <w:rFonts w:ascii="宋体" w:hAnsi="宋体" w:eastAsia="宋体" w:cs="宋体"/>
          <w:spacing w:val="2"/>
          <w:sz w:val="20"/>
          <w:szCs w:val="20"/>
        </w:rPr>
        <w:t>根据《中华人民共和国民法典》《中华人民共和国建筑法》及有关法律规定，遵循平等、自愿、</w:t>
      </w:r>
      <w:r>
        <w:rPr>
          <w:rFonts w:ascii="宋体" w:hAnsi="宋体" w:eastAsia="宋体" w:cs="宋体"/>
          <w:spacing w:val="8"/>
          <w:sz w:val="20"/>
          <w:szCs w:val="20"/>
        </w:rPr>
        <w:t>公平和诚实信用的原则，双方就</w:t>
      </w:r>
    </w:p>
    <w:p w14:paraId="1BA5DAF8">
      <w:pPr>
        <w:tabs>
          <w:tab w:val="left" w:pos="1260"/>
        </w:tabs>
        <w:spacing w:before="1" w:line="227"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9"/>
          <w:sz w:val="20"/>
          <w:szCs w:val="20"/>
        </w:rPr>
        <w:t>工程施工及有关事项协商一致，共同达成如下协</w:t>
      </w:r>
      <w:r>
        <w:rPr>
          <w:rFonts w:ascii="宋体" w:hAnsi="宋体" w:eastAsia="宋体" w:cs="宋体"/>
          <w:spacing w:val="8"/>
          <w:sz w:val="20"/>
          <w:szCs w:val="20"/>
        </w:rPr>
        <w:t>议：</w:t>
      </w:r>
    </w:p>
    <w:p w14:paraId="7980BF8A">
      <w:pPr>
        <w:spacing w:before="194" w:line="228" w:lineRule="auto"/>
        <w:ind w:left="431"/>
        <w:rPr>
          <w:rFonts w:ascii="宋体" w:hAnsi="宋体" w:eastAsia="宋体" w:cs="宋体"/>
          <w:sz w:val="20"/>
          <w:szCs w:val="20"/>
        </w:rPr>
      </w:pPr>
      <w:r>
        <w:rPr>
          <w:rFonts w:ascii="宋体" w:hAnsi="宋体" w:eastAsia="宋体" w:cs="宋体"/>
          <w:b/>
          <w:bCs/>
          <w:spacing w:val="6"/>
          <w:sz w:val="20"/>
          <w:szCs w:val="20"/>
        </w:rPr>
        <w:t>一、工程概况</w:t>
      </w:r>
    </w:p>
    <w:p w14:paraId="37DD0926">
      <w:pPr>
        <w:spacing w:before="193" w:line="228" w:lineRule="auto"/>
        <w:ind w:left="443"/>
        <w:rPr>
          <w:rFonts w:ascii="宋体" w:hAnsi="宋体" w:eastAsia="宋体" w:cs="宋体"/>
          <w:sz w:val="20"/>
          <w:szCs w:val="20"/>
        </w:rPr>
      </w:pPr>
      <w:r>
        <w:rPr>
          <w:rFonts w:ascii="宋体" w:hAnsi="宋体" w:eastAsia="宋体" w:cs="宋体"/>
          <w:spacing w:val="4"/>
          <w:sz w:val="20"/>
          <w:szCs w:val="20"/>
        </w:rPr>
        <w:t>1.工程名称：</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232B76BF">
      <w:pPr>
        <w:spacing w:before="192" w:line="228" w:lineRule="auto"/>
        <w:ind w:left="430"/>
        <w:rPr>
          <w:rFonts w:ascii="宋体" w:hAnsi="宋体" w:eastAsia="宋体" w:cs="宋体"/>
          <w:sz w:val="20"/>
          <w:szCs w:val="20"/>
        </w:rPr>
      </w:pPr>
      <w:r>
        <w:rPr>
          <w:rFonts w:ascii="宋体" w:hAnsi="宋体" w:eastAsia="宋体" w:cs="宋体"/>
          <w:spacing w:val="6"/>
          <w:sz w:val="20"/>
          <w:szCs w:val="20"/>
        </w:rPr>
        <w:t>2.工程地点：</w:t>
      </w:r>
      <w:r>
        <w:rPr>
          <w:rFonts w:ascii="宋体" w:hAnsi="宋体" w:eastAsia="宋体" w:cs="宋体"/>
          <w:sz w:val="20"/>
          <w:szCs w:val="20"/>
          <w:u w:val="single" w:color="auto"/>
        </w:rPr>
        <w:t xml:space="preserve">                                                               </w:t>
      </w:r>
      <w:r>
        <w:rPr>
          <w:rFonts w:ascii="宋体" w:hAnsi="宋体" w:eastAsia="宋体" w:cs="宋体"/>
          <w:spacing w:val="6"/>
          <w:sz w:val="20"/>
          <w:szCs w:val="20"/>
        </w:rPr>
        <w:t>。</w:t>
      </w:r>
    </w:p>
    <w:p w14:paraId="5F3DCCAA">
      <w:pPr>
        <w:spacing w:before="195" w:line="228" w:lineRule="auto"/>
        <w:ind w:left="432"/>
        <w:rPr>
          <w:rFonts w:ascii="宋体" w:hAnsi="宋体" w:eastAsia="宋体" w:cs="宋体"/>
          <w:sz w:val="20"/>
          <w:szCs w:val="20"/>
        </w:rPr>
      </w:pPr>
      <w:r>
        <w:rPr>
          <w:rFonts w:ascii="宋体" w:hAnsi="宋体" w:eastAsia="宋体" w:cs="宋体"/>
          <w:spacing w:val="6"/>
          <w:sz w:val="20"/>
          <w:szCs w:val="20"/>
        </w:rPr>
        <w:t>3.工程立项批准文号：</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DA3A505">
      <w:pPr>
        <w:spacing w:before="191" w:line="228" w:lineRule="auto"/>
        <w:ind w:left="427"/>
        <w:rPr>
          <w:rFonts w:ascii="宋体" w:hAnsi="宋体" w:eastAsia="宋体" w:cs="宋体"/>
          <w:sz w:val="20"/>
          <w:szCs w:val="20"/>
        </w:rPr>
      </w:pPr>
      <w:r>
        <w:rPr>
          <w:rFonts w:ascii="宋体" w:hAnsi="宋体" w:eastAsia="宋体" w:cs="宋体"/>
          <w:spacing w:val="6"/>
          <w:sz w:val="20"/>
          <w:szCs w:val="20"/>
        </w:rPr>
        <w:t>4.资金来源：</w:t>
      </w:r>
      <w:r>
        <w:rPr>
          <w:rFonts w:ascii="宋体" w:hAnsi="宋体" w:eastAsia="宋体" w:cs="宋体"/>
          <w:sz w:val="20"/>
          <w:szCs w:val="20"/>
          <w:u w:val="single" w:color="auto"/>
        </w:rPr>
        <w:t xml:space="preserve">                                                               </w:t>
      </w:r>
      <w:r>
        <w:rPr>
          <w:rFonts w:ascii="宋体" w:hAnsi="宋体" w:eastAsia="宋体" w:cs="宋体"/>
          <w:spacing w:val="6"/>
          <w:sz w:val="20"/>
          <w:szCs w:val="20"/>
        </w:rPr>
        <w:t>。</w:t>
      </w:r>
    </w:p>
    <w:p w14:paraId="1014B2B2">
      <w:pPr>
        <w:spacing w:before="192" w:line="228" w:lineRule="auto"/>
        <w:ind w:left="432"/>
        <w:rPr>
          <w:rFonts w:ascii="宋体" w:hAnsi="宋体" w:eastAsia="宋体" w:cs="宋体"/>
          <w:sz w:val="20"/>
          <w:szCs w:val="20"/>
        </w:rPr>
      </w:pPr>
      <w:r>
        <w:rPr>
          <w:rFonts w:ascii="宋体" w:hAnsi="宋体" w:eastAsia="宋体" w:cs="宋体"/>
          <w:spacing w:val="5"/>
          <w:sz w:val="20"/>
          <w:szCs w:val="20"/>
        </w:rPr>
        <w:t>5.工程内容：</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5F637197">
      <w:pPr>
        <w:spacing w:before="196" w:line="228" w:lineRule="auto"/>
        <w:ind w:left="430"/>
        <w:rPr>
          <w:rFonts w:ascii="宋体" w:hAnsi="宋体" w:eastAsia="宋体" w:cs="宋体"/>
          <w:sz w:val="20"/>
          <w:szCs w:val="20"/>
        </w:rPr>
      </w:pPr>
      <w:r>
        <w:rPr>
          <w:rFonts w:ascii="宋体" w:hAnsi="宋体" w:eastAsia="宋体" w:cs="宋体"/>
          <w:spacing w:val="6"/>
          <w:sz w:val="20"/>
          <w:szCs w:val="20"/>
        </w:rPr>
        <w:t>6.建筑面积：</w:t>
      </w:r>
      <w:r>
        <w:rPr>
          <w:rFonts w:ascii="宋体" w:hAnsi="宋体" w:eastAsia="宋体" w:cs="宋体"/>
          <w:sz w:val="20"/>
          <w:szCs w:val="20"/>
          <w:u w:val="single" w:color="auto"/>
        </w:rPr>
        <w:t xml:space="preserve">                                                               </w:t>
      </w:r>
      <w:r>
        <w:rPr>
          <w:rFonts w:ascii="宋体" w:hAnsi="宋体" w:eastAsia="宋体" w:cs="宋体"/>
          <w:spacing w:val="6"/>
          <w:sz w:val="20"/>
          <w:szCs w:val="20"/>
        </w:rPr>
        <w:t>。</w:t>
      </w:r>
    </w:p>
    <w:p w14:paraId="6A1D2B43">
      <w:pPr>
        <w:spacing w:before="192" w:line="227" w:lineRule="auto"/>
        <w:ind w:left="428"/>
        <w:rPr>
          <w:rFonts w:ascii="宋体" w:hAnsi="宋体" w:eastAsia="宋体" w:cs="宋体"/>
          <w:sz w:val="20"/>
          <w:szCs w:val="20"/>
        </w:rPr>
      </w:pPr>
      <w:r>
        <w:rPr>
          <w:rFonts w:ascii="宋体" w:hAnsi="宋体" w:eastAsia="宋体" w:cs="宋体"/>
          <w:spacing w:val="1"/>
          <w:sz w:val="20"/>
          <w:szCs w:val="20"/>
        </w:rPr>
        <w:t>群体工程应附《承包人承揽工程项目一览表》（附件</w:t>
      </w:r>
      <w:r>
        <w:rPr>
          <w:rFonts w:ascii="宋体" w:hAnsi="宋体" w:eastAsia="宋体" w:cs="宋体"/>
          <w:spacing w:val="-20"/>
          <w:sz w:val="20"/>
          <w:szCs w:val="20"/>
        </w:rPr>
        <w:t xml:space="preserve"> </w:t>
      </w:r>
      <w:r>
        <w:rPr>
          <w:rFonts w:ascii="宋体" w:hAnsi="宋体" w:eastAsia="宋体" w:cs="宋体"/>
          <w:spacing w:val="1"/>
          <w:sz w:val="20"/>
          <w:szCs w:val="20"/>
        </w:rPr>
        <w:t>1）。</w:t>
      </w:r>
    </w:p>
    <w:p w14:paraId="289768CC">
      <w:pPr>
        <w:spacing w:before="193" w:line="228" w:lineRule="auto"/>
        <w:ind w:left="433"/>
        <w:rPr>
          <w:rFonts w:ascii="宋体" w:hAnsi="宋体" w:eastAsia="宋体" w:cs="宋体"/>
          <w:sz w:val="20"/>
          <w:szCs w:val="20"/>
        </w:rPr>
      </w:pPr>
      <w:r>
        <w:rPr>
          <w:rFonts w:ascii="宋体" w:hAnsi="宋体" w:eastAsia="宋体" w:cs="宋体"/>
          <w:spacing w:val="5"/>
          <w:sz w:val="20"/>
          <w:szCs w:val="20"/>
        </w:rPr>
        <w:t>7.工程承包范围：</w:t>
      </w:r>
    </w:p>
    <w:p w14:paraId="278956C0">
      <w:pPr>
        <w:tabs>
          <w:tab w:val="left" w:pos="7979"/>
        </w:tabs>
        <w:spacing w:before="199"/>
        <w:ind w:left="420"/>
        <w:rPr>
          <w:rFonts w:ascii="Arial"/>
          <w:sz w:val="21"/>
        </w:rPr>
      </w:pPr>
      <w:r>
        <w:rPr>
          <w:rFonts w:ascii="Arial" w:hAnsi="Arial" w:eastAsia="Arial" w:cs="Arial"/>
          <w:sz w:val="21"/>
          <w:szCs w:val="21"/>
          <w:u w:val="single" w:color="auto"/>
        </w:rPr>
        <w:tab/>
      </w:r>
    </w:p>
    <w:p w14:paraId="7A8F8975">
      <w:pPr>
        <w:spacing w:line="302" w:lineRule="auto"/>
        <w:rPr>
          <w:rFonts w:ascii="Arial"/>
          <w:sz w:val="21"/>
        </w:rPr>
      </w:pPr>
    </w:p>
    <w:p w14:paraId="1624716C">
      <w:pPr>
        <w:tabs>
          <w:tab w:val="left" w:pos="7979"/>
        </w:tabs>
        <w:spacing w:before="24" w:line="173" w:lineRule="auto"/>
        <w:ind w:left="42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9A52CA8">
      <w:pPr>
        <w:spacing w:before="239" w:line="228" w:lineRule="auto"/>
        <w:ind w:left="431"/>
        <w:rPr>
          <w:rFonts w:ascii="宋体" w:hAnsi="宋体" w:eastAsia="宋体" w:cs="宋体"/>
          <w:sz w:val="20"/>
          <w:szCs w:val="20"/>
        </w:rPr>
      </w:pPr>
      <w:r>
        <w:rPr>
          <w:rFonts w:ascii="宋体" w:hAnsi="宋体" w:eastAsia="宋体" w:cs="宋体"/>
          <w:b/>
          <w:bCs/>
          <w:spacing w:val="6"/>
          <w:sz w:val="20"/>
          <w:szCs w:val="20"/>
        </w:rPr>
        <w:t>二、合同工期</w:t>
      </w:r>
    </w:p>
    <w:p w14:paraId="28A70500">
      <w:pPr>
        <w:spacing w:before="194" w:line="228" w:lineRule="auto"/>
        <w:ind w:left="428"/>
        <w:rPr>
          <w:rFonts w:ascii="宋体" w:hAnsi="宋体" w:eastAsia="宋体" w:cs="宋体"/>
          <w:sz w:val="20"/>
          <w:szCs w:val="20"/>
        </w:rPr>
      </w:pPr>
      <w:r>
        <w:rPr>
          <w:rFonts w:ascii="宋体" w:hAnsi="宋体" w:eastAsia="宋体" w:cs="宋体"/>
          <w:spacing w:val="3"/>
          <w:sz w:val="20"/>
          <w:szCs w:val="20"/>
        </w:rPr>
        <w:t>计划开工日期：</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3"/>
          <w:sz w:val="20"/>
          <w:szCs w:val="20"/>
        </w:rPr>
        <w:t>年</w:t>
      </w:r>
      <w:r>
        <w:rPr>
          <w:rFonts w:ascii="宋体" w:hAnsi="宋体" w:eastAsia="宋体" w:cs="宋体"/>
          <w:spacing w:val="3"/>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3"/>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3"/>
          <w:sz w:val="20"/>
          <w:szCs w:val="20"/>
        </w:rPr>
        <w:t>日。</w:t>
      </w:r>
    </w:p>
    <w:p w14:paraId="1B7F37BB">
      <w:pPr>
        <w:spacing w:before="192" w:line="228" w:lineRule="auto"/>
        <w:ind w:left="428"/>
        <w:rPr>
          <w:rFonts w:ascii="宋体" w:hAnsi="宋体" w:eastAsia="宋体" w:cs="宋体"/>
          <w:sz w:val="20"/>
          <w:szCs w:val="20"/>
        </w:rPr>
      </w:pPr>
      <w:r>
        <w:rPr>
          <w:rFonts w:ascii="宋体" w:hAnsi="宋体" w:eastAsia="宋体" w:cs="宋体"/>
          <w:spacing w:val="3"/>
          <w:sz w:val="20"/>
          <w:szCs w:val="20"/>
        </w:rPr>
        <w:t>计划竣工日期：</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3"/>
          <w:sz w:val="20"/>
          <w:szCs w:val="20"/>
        </w:rPr>
        <w:t>年</w:t>
      </w:r>
      <w:r>
        <w:rPr>
          <w:rFonts w:ascii="宋体" w:hAnsi="宋体" w:eastAsia="宋体" w:cs="宋体"/>
          <w:spacing w:val="3"/>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3"/>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3"/>
          <w:sz w:val="20"/>
          <w:szCs w:val="20"/>
        </w:rPr>
        <w:t>日。</w:t>
      </w:r>
    </w:p>
    <w:p w14:paraId="3659E912">
      <w:pPr>
        <w:spacing w:before="192" w:line="407" w:lineRule="auto"/>
        <w:ind w:left="10" w:right="68" w:firstLine="420"/>
        <w:rPr>
          <w:rFonts w:ascii="宋体" w:hAnsi="宋体" w:eastAsia="宋体" w:cs="宋体"/>
          <w:sz w:val="20"/>
          <w:szCs w:val="20"/>
        </w:rPr>
      </w:pPr>
      <w:r>
        <w:rPr>
          <w:rFonts w:ascii="宋体" w:hAnsi="宋体" w:eastAsia="宋体" w:cs="宋体"/>
          <w:spacing w:val="9"/>
          <w:sz w:val="20"/>
          <w:szCs w:val="20"/>
        </w:rPr>
        <w:t>工期总日历天数：</w:t>
      </w:r>
      <w:r>
        <w:rPr>
          <w:rFonts w:ascii="宋体" w:hAnsi="宋体" w:eastAsia="宋体" w:cs="宋体"/>
          <w:spacing w:val="9"/>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9"/>
          <w:sz w:val="20"/>
          <w:szCs w:val="20"/>
        </w:rPr>
        <w:t>天。工期总日历天数与根据前述计划开竣工日期</w:t>
      </w:r>
      <w:r>
        <w:rPr>
          <w:rFonts w:ascii="宋体" w:hAnsi="宋体" w:eastAsia="宋体" w:cs="宋体"/>
          <w:spacing w:val="8"/>
          <w:sz w:val="20"/>
          <w:szCs w:val="20"/>
        </w:rPr>
        <w:t>计算的工期天</w:t>
      </w:r>
      <w:r>
        <w:rPr>
          <w:rFonts w:ascii="宋体" w:hAnsi="宋体" w:eastAsia="宋体" w:cs="宋体"/>
          <w:spacing w:val="6"/>
          <w:sz w:val="20"/>
          <w:szCs w:val="20"/>
        </w:rPr>
        <w:t>数不一致的，</w:t>
      </w:r>
      <w:r>
        <w:rPr>
          <w:rFonts w:ascii="宋体" w:hAnsi="宋体" w:eastAsia="宋体" w:cs="宋体"/>
          <w:spacing w:val="-56"/>
          <w:sz w:val="20"/>
          <w:szCs w:val="20"/>
        </w:rPr>
        <w:t xml:space="preserve"> </w:t>
      </w:r>
      <w:r>
        <w:rPr>
          <w:rFonts w:ascii="宋体" w:hAnsi="宋体" w:eastAsia="宋体" w:cs="宋体"/>
          <w:spacing w:val="6"/>
          <w:sz w:val="20"/>
          <w:szCs w:val="20"/>
        </w:rPr>
        <w:t>以工期总日历天数为准。</w:t>
      </w:r>
    </w:p>
    <w:p w14:paraId="2718EFFF">
      <w:pPr>
        <w:spacing w:line="228" w:lineRule="auto"/>
        <w:ind w:left="428"/>
        <w:rPr>
          <w:rFonts w:ascii="宋体" w:hAnsi="宋体" w:eastAsia="宋体" w:cs="宋体"/>
          <w:sz w:val="20"/>
          <w:szCs w:val="20"/>
        </w:rPr>
      </w:pPr>
      <w:r>
        <w:rPr>
          <w:rFonts w:ascii="宋体" w:hAnsi="宋体" w:eastAsia="宋体" w:cs="宋体"/>
          <w:b/>
          <w:bCs/>
          <w:spacing w:val="6"/>
          <w:sz w:val="20"/>
          <w:szCs w:val="20"/>
        </w:rPr>
        <w:t>三、质量标准</w:t>
      </w:r>
    </w:p>
    <w:p w14:paraId="4C33E58E">
      <w:pPr>
        <w:spacing w:before="192" w:line="228" w:lineRule="auto"/>
        <w:ind w:left="430"/>
        <w:rPr>
          <w:rFonts w:ascii="宋体" w:hAnsi="宋体" w:eastAsia="宋体" w:cs="宋体"/>
          <w:sz w:val="20"/>
          <w:szCs w:val="20"/>
        </w:rPr>
      </w:pPr>
      <w:r>
        <w:rPr>
          <w:rFonts w:ascii="宋体" w:hAnsi="宋体" w:eastAsia="宋体" w:cs="宋体"/>
          <w:spacing w:val="6"/>
          <w:sz w:val="20"/>
          <w:szCs w:val="20"/>
        </w:rPr>
        <w:t>工程质量符合</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6"/>
          <w:sz w:val="20"/>
          <w:szCs w:val="20"/>
        </w:rPr>
        <w:t>标准。</w:t>
      </w:r>
    </w:p>
    <w:p w14:paraId="0DD75450">
      <w:pPr>
        <w:spacing w:before="195" w:line="226" w:lineRule="auto"/>
        <w:ind w:left="447"/>
        <w:rPr>
          <w:rFonts w:ascii="宋体" w:hAnsi="宋体" w:eastAsia="宋体" w:cs="宋体"/>
          <w:sz w:val="20"/>
          <w:szCs w:val="20"/>
        </w:rPr>
      </w:pPr>
      <w:r>
        <w:rPr>
          <w:rFonts w:ascii="宋体" w:hAnsi="宋体" w:eastAsia="宋体" w:cs="宋体"/>
          <w:b/>
          <w:bCs/>
          <w:spacing w:val="6"/>
          <w:sz w:val="20"/>
          <w:szCs w:val="20"/>
        </w:rPr>
        <w:t>四、签约合同价与合同价格形式</w:t>
      </w:r>
    </w:p>
    <w:p w14:paraId="1FD0F912">
      <w:pPr>
        <w:spacing w:before="194" w:line="226" w:lineRule="auto"/>
        <w:ind w:left="443"/>
        <w:rPr>
          <w:rFonts w:ascii="宋体" w:hAnsi="宋体" w:eastAsia="宋体" w:cs="宋体"/>
          <w:sz w:val="20"/>
          <w:szCs w:val="20"/>
        </w:rPr>
      </w:pPr>
      <w:r>
        <w:rPr>
          <w:rFonts w:ascii="宋体" w:hAnsi="宋体" w:eastAsia="宋体" w:cs="宋体"/>
          <w:spacing w:val="4"/>
          <w:sz w:val="20"/>
          <w:szCs w:val="20"/>
        </w:rPr>
        <w:t>1.签约合同价为：</w:t>
      </w:r>
    </w:p>
    <w:p w14:paraId="2F5FA415">
      <w:pPr>
        <w:spacing w:before="194" w:line="227" w:lineRule="auto"/>
        <w:ind w:left="430"/>
        <w:rPr>
          <w:rFonts w:ascii="宋体" w:hAnsi="宋体" w:eastAsia="宋体" w:cs="宋体"/>
          <w:sz w:val="20"/>
          <w:szCs w:val="20"/>
        </w:rPr>
      </w:pPr>
      <w:r>
        <w:rPr>
          <w:rFonts w:ascii="宋体" w:hAnsi="宋体" w:eastAsia="宋体" w:cs="宋体"/>
          <w:spacing w:val="6"/>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91"/>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6"/>
          <w:sz w:val="20"/>
          <w:szCs w:val="20"/>
        </w:rPr>
        <w:t>元</w:t>
      </w:r>
      <w:r>
        <w:rPr>
          <w:rFonts w:ascii="宋体" w:hAnsi="宋体" w:eastAsia="宋体" w:cs="宋体"/>
          <w:spacing w:val="-53"/>
          <w:sz w:val="20"/>
          <w:szCs w:val="20"/>
        </w:rPr>
        <w:t>）；</w:t>
      </w:r>
    </w:p>
    <w:p w14:paraId="4513994D">
      <w:pPr>
        <w:spacing w:line="227" w:lineRule="auto"/>
        <w:rPr>
          <w:rFonts w:ascii="宋体" w:hAnsi="宋体" w:eastAsia="宋体" w:cs="宋体"/>
          <w:sz w:val="20"/>
          <w:szCs w:val="20"/>
        </w:rPr>
        <w:sectPr>
          <w:footerReference r:id="rId333" w:type="default"/>
          <w:pgSz w:w="11906" w:h="16839"/>
          <w:pgMar w:top="400" w:right="1462" w:bottom="1446" w:left="1531" w:header="0" w:footer="1284" w:gutter="0"/>
          <w:cols w:space="720" w:num="1"/>
        </w:sectPr>
      </w:pPr>
    </w:p>
    <w:p w14:paraId="59BCC949">
      <w:pPr>
        <w:spacing w:line="261" w:lineRule="auto"/>
        <w:rPr>
          <w:rFonts w:ascii="Arial"/>
          <w:sz w:val="21"/>
        </w:rPr>
      </w:pPr>
    </w:p>
    <w:p w14:paraId="794DCEC8">
      <w:pPr>
        <w:spacing w:line="261" w:lineRule="auto"/>
        <w:rPr>
          <w:rFonts w:ascii="Arial"/>
          <w:sz w:val="21"/>
        </w:rPr>
      </w:pPr>
    </w:p>
    <w:p w14:paraId="1AF123A3">
      <w:pPr>
        <w:spacing w:line="262" w:lineRule="auto"/>
        <w:rPr>
          <w:rFonts w:ascii="Arial"/>
          <w:sz w:val="21"/>
        </w:rPr>
      </w:pPr>
    </w:p>
    <w:p w14:paraId="166A8AC5">
      <w:pPr>
        <w:spacing w:line="262" w:lineRule="auto"/>
        <w:rPr>
          <w:rFonts w:ascii="Arial"/>
          <w:sz w:val="21"/>
        </w:rPr>
      </w:pPr>
    </w:p>
    <w:p w14:paraId="273B85E2">
      <w:pPr>
        <w:spacing w:line="262" w:lineRule="auto"/>
        <w:rPr>
          <w:rFonts w:ascii="Arial"/>
          <w:sz w:val="21"/>
        </w:rPr>
      </w:pPr>
    </w:p>
    <w:p w14:paraId="5631D738">
      <w:pPr>
        <w:spacing w:line="262" w:lineRule="auto"/>
        <w:rPr>
          <w:rFonts w:ascii="Arial"/>
          <w:sz w:val="21"/>
        </w:rPr>
      </w:pPr>
    </w:p>
    <w:p w14:paraId="3D809161">
      <w:pPr>
        <w:spacing w:before="65" w:line="405" w:lineRule="auto"/>
        <w:ind w:left="108" w:firstLine="309"/>
        <w:rPr>
          <w:rFonts w:ascii="宋体" w:hAnsi="宋体" w:eastAsia="宋体" w:cs="宋体"/>
          <w:sz w:val="20"/>
          <w:szCs w:val="20"/>
        </w:rPr>
      </w:pPr>
      <w:r>
        <w:rPr>
          <w:rFonts w:ascii="宋体" w:hAnsi="宋体" w:eastAsia="宋体" w:cs="宋体"/>
          <w:spacing w:val="14"/>
          <w:sz w:val="20"/>
          <w:szCs w:val="20"/>
        </w:rPr>
        <w:t>采用</w:t>
      </w:r>
      <w:r>
        <w:rPr>
          <w:rFonts w:ascii="宋体" w:hAnsi="宋体" w:eastAsia="宋体" w:cs="宋体"/>
          <w:spacing w:val="-84"/>
          <w:sz w:val="20"/>
          <w:szCs w:val="20"/>
        </w:rPr>
        <w:t xml:space="preserve"> </w:t>
      </w:r>
      <w:r>
        <w:rPr>
          <w:rFonts w:ascii="宋体" w:hAnsi="宋体" w:eastAsia="宋体" w:cs="宋体"/>
          <w:spacing w:val="14"/>
          <w:sz w:val="20"/>
          <w:szCs w:val="20"/>
          <w:u w:val="single" w:color="auto"/>
        </w:rPr>
        <w:t xml:space="preserve">    </w:t>
      </w:r>
      <w:r>
        <w:rPr>
          <w:rFonts w:ascii="宋体" w:hAnsi="宋体" w:eastAsia="宋体" w:cs="宋体"/>
          <w:spacing w:val="14"/>
          <w:sz w:val="20"/>
          <w:szCs w:val="20"/>
        </w:rPr>
        <w:t>（一般或简易）计税法，适用增值税税率为</w:t>
      </w:r>
      <w:r>
        <w:rPr>
          <w:rFonts w:ascii="宋体" w:hAnsi="宋体" w:eastAsia="宋体" w:cs="宋体"/>
          <w:spacing w:val="-93"/>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95"/>
          <w:sz w:val="20"/>
          <w:szCs w:val="20"/>
        </w:rPr>
        <w:t xml:space="preserve"> </w:t>
      </w:r>
      <w:r>
        <w:rPr>
          <w:rFonts w:ascii="宋体" w:hAnsi="宋体" w:eastAsia="宋体" w:cs="宋体"/>
          <w:spacing w:val="14"/>
          <w:sz w:val="20"/>
          <w:szCs w:val="20"/>
        </w:rPr>
        <w:t>%，不含税价款为人民币（大写）</w:t>
      </w:r>
      <w:r>
        <w:rPr>
          <w:position w:val="-3"/>
          <w:sz w:val="20"/>
          <w:szCs w:val="20"/>
        </w:rPr>
        <w:drawing>
          <wp:inline distT="0" distB="0" distL="0" distR="0">
            <wp:extent cx="1905" cy="571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565"/>
                    <a:stretch>
                      <a:fillRect/>
                    </a:stretch>
                  </pic:blipFill>
                  <pic:spPr>
                    <a:xfrm>
                      <a:off x="0" y="0"/>
                      <a:ext cx="1905" cy="6095"/>
                    </a:xfrm>
                    <a:prstGeom prst="rect">
                      <a:avLst/>
                    </a:prstGeom>
                  </pic:spPr>
                </pic:pic>
              </a:graphicData>
            </a:graphic>
          </wp:inline>
        </w:drawing>
      </w:r>
      <w:r>
        <w:rPr>
          <w:rFonts w:ascii="宋体" w:hAnsi="宋体" w:eastAsia="宋体" w:cs="宋体"/>
          <w:sz w:val="20"/>
          <w:szCs w:val="20"/>
        </w:rPr>
        <w:t xml:space="preserve"> </w:t>
      </w:r>
      <w:r>
        <w:rPr>
          <w:rFonts w:ascii="宋体" w:hAnsi="宋体" w:eastAsia="宋体" w:cs="宋体"/>
          <w:spacing w:val="3"/>
          <w:sz w:val="20"/>
          <w:szCs w:val="20"/>
        </w:rPr>
        <w:t>(¥</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3"/>
          <w:sz w:val="20"/>
          <w:szCs w:val="20"/>
        </w:rPr>
        <w:t>元</w:t>
      </w:r>
      <w:r>
        <w:rPr>
          <w:rFonts w:ascii="宋体" w:hAnsi="宋体" w:eastAsia="宋体" w:cs="宋体"/>
          <w:spacing w:val="-30"/>
          <w:sz w:val="20"/>
          <w:szCs w:val="20"/>
        </w:rPr>
        <w:t>），</w:t>
      </w:r>
      <w:r>
        <w:rPr>
          <w:rFonts w:ascii="宋体" w:hAnsi="宋体" w:eastAsia="宋体" w:cs="宋体"/>
          <w:spacing w:val="3"/>
          <w:sz w:val="20"/>
          <w:szCs w:val="20"/>
        </w:rPr>
        <w:t>应缴增值税税金为人民币（大写）</w:t>
      </w:r>
      <w:r>
        <w:rPr>
          <w:rFonts w:ascii="宋体" w:hAnsi="宋体" w:eastAsia="宋体" w:cs="宋体"/>
          <w:spacing w:val="3"/>
          <w:sz w:val="20"/>
          <w:szCs w:val="20"/>
          <w:u w:val="single" w:color="auto"/>
        </w:rPr>
        <w:t xml:space="preserve">         </w:t>
      </w:r>
      <w:r>
        <w:rPr>
          <w:rFonts w:ascii="宋体" w:hAnsi="宋体" w:eastAsia="宋体" w:cs="宋体"/>
          <w:spacing w:val="19"/>
          <w:sz w:val="20"/>
          <w:szCs w:val="20"/>
        </w:rPr>
        <w:t xml:space="preserve"> </w:t>
      </w:r>
      <w:r>
        <w:rPr>
          <w:rFonts w:ascii="宋体" w:hAnsi="宋体" w:eastAsia="宋体" w:cs="宋体"/>
          <w:spacing w:val="3"/>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80"/>
          <w:sz w:val="20"/>
          <w:szCs w:val="20"/>
        </w:rPr>
        <w:t xml:space="preserve"> </w:t>
      </w:r>
      <w:r>
        <w:rPr>
          <w:rFonts w:ascii="宋体" w:hAnsi="宋体" w:eastAsia="宋体" w:cs="宋体"/>
          <w:spacing w:val="3"/>
          <w:sz w:val="20"/>
          <w:szCs w:val="20"/>
        </w:rPr>
        <w:t>元）。</w:t>
      </w:r>
    </w:p>
    <w:p w14:paraId="1119142F">
      <w:pPr>
        <w:spacing w:line="228" w:lineRule="auto"/>
        <w:ind w:left="419"/>
        <w:rPr>
          <w:rFonts w:ascii="宋体" w:hAnsi="宋体" w:eastAsia="宋体" w:cs="宋体"/>
          <w:sz w:val="20"/>
          <w:szCs w:val="20"/>
        </w:rPr>
      </w:pPr>
      <w:r>
        <w:rPr>
          <w:rFonts w:ascii="宋体" w:hAnsi="宋体" w:eastAsia="宋体" w:cs="宋体"/>
          <w:spacing w:val="2"/>
          <w:sz w:val="20"/>
          <w:szCs w:val="20"/>
        </w:rPr>
        <w:t>其中：</w:t>
      </w:r>
    </w:p>
    <w:p w14:paraId="2AA4B9C8">
      <w:pPr>
        <w:spacing w:before="193" w:line="228" w:lineRule="auto"/>
        <w:ind w:left="428"/>
        <w:rPr>
          <w:rFonts w:ascii="宋体" w:hAnsi="宋体" w:eastAsia="宋体" w:cs="宋体"/>
          <w:sz w:val="20"/>
          <w:szCs w:val="20"/>
        </w:rPr>
      </w:pPr>
      <w:r>
        <w:rPr>
          <w:rFonts w:ascii="宋体" w:hAnsi="宋体" w:eastAsia="宋体" w:cs="宋体"/>
          <w:spacing w:val="8"/>
          <w:sz w:val="20"/>
          <w:szCs w:val="20"/>
        </w:rPr>
        <w:t>（1）安全文明施工费（含税</w:t>
      </w:r>
      <w:r>
        <w:rPr>
          <w:rFonts w:ascii="宋体" w:hAnsi="宋体" w:eastAsia="宋体" w:cs="宋体"/>
          <w:spacing w:val="-54"/>
          <w:sz w:val="20"/>
          <w:szCs w:val="20"/>
        </w:rPr>
        <w:t>）：</w:t>
      </w:r>
    </w:p>
    <w:p w14:paraId="00702350">
      <w:pPr>
        <w:spacing w:before="192" w:line="227" w:lineRule="auto"/>
        <w:ind w:left="945"/>
        <w:rPr>
          <w:rFonts w:ascii="宋体" w:hAnsi="宋体" w:eastAsia="宋体" w:cs="宋体"/>
          <w:sz w:val="20"/>
          <w:szCs w:val="20"/>
        </w:rPr>
      </w:pPr>
      <w:r>
        <w:rPr>
          <w:rFonts w:ascii="宋体" w:hAnsi="宋体" w:eastAsia="宋体" w:cs="宋体"/>
          <w:spacing w:val="6"/>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97"/>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6"/>
          <w:sz w:val="20"/>
          <w:szCs w:val="20"/>
        </w:rPr>
        <w:t>元</w:t>
      </w:r>
      <w:r>
        <w:rPr>
          <w:rFonts w:ascii="宋体" w:hAnsi="宋体" w:eastAsia="宋体" w:cs="宋体"/>
          <w:spacing w:val="-52"/>
          <w:sz w:val="20"/>
          <w:szCs w:val="20"/>
        </w:rPr>
        <w:t>）；</w:t>
      </w:r>
    </w:p>
    <w:p w14:paraId="747D0BE3">
      <w:pPr>
        <w:spacing w:before="193" w:line="226" w:lineRule="auto"/>
        <w:ind w:left="428"/>
        <w:rPr>
          <w:rFonts w:ascii="宋体" w:hAnsi="宋体" w:eastAsia="宋体" w:cs="宋体"/>
          <w:sz w:val="20"/>
          <w:szCs w:val="20"/>
        </w:rPr>
      </w:pPr>
      <w:r>
        <w:rPr>
          <w:rFonts w:ascii="宋体" w:hAnsi="宋体" w:eastAsia="宋体" w:cs="宋体"/>
          <w:spacing w:val="8"/>
          <w:sz w:val="20"/>
          <w:szCs w:val="20"/>
        </w:rPr>
        <w:t>（2）材料和工程设备暂估价金额（含税</w:t>
      </w:r>
      <w:r>
        <w:rPr>
          <w:rFonts w:ascii="宋体" w:hAnsi="宋体" w:eastAsia="宋体" w:cs="宋体"/>
          <w:spacing w:val="-50"/>
          <w:sz w:val="20"/>
          <w:szCs w:val="20"/>
        </w:rPr>
        <w:t>）：</w:t>
      </w:r>
    </w:p>
    <w:p w14:paraId="325D8BD4">
      <w:pPr>
        <w:spacing w:before="196" w:line="227" w:lineRule="auto"/>
        <w:ind w:left="945"/>
        <w:rPr>
          <w:rFonts w:ascii="宋体" w:hAnsi="宋体" w:eastAsia="宋体" w:cs="宋体"/>
          <w:sz w:val="20"/>
          <w:szCs w:val="20"/>
        </w:rPr>
      </w:pPr>
      <w:r>
        <w:rPr>
          <w:rFonts w:ascii="宋体" w:hAnsi="宋体" w:eastAsia="宋体" w:cs="宋体"/>
          <w:spacing w:val="6"/>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97"/>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6"/>
          <w:sz w:val="20"/>
          <w:szCs w:val="20"/>
        </w:rPr>
        <w:t>元</w:t>
      </w:r>
      <w:r>
        <w:rPr>
          <w:rFonts w:ascii="宋体" w:hAnsi="宋体" w:eastAsia="宋体" w:cs="宋体"/>
          <w:spacing w:val="-52"/>
          <w:sz w:val="20"/>
          <w:szCs w:val="20"/>
        </w:rPr>
        <w:t>）；</w:t>
      </w:r>
    </w:p>
    <w:p w14:paraId="64E92369">
      <w:pPr>
        <w:spacing w:before="194" w:line="226" w:lineRule="auto"/>
        <w:ind w:left="428"/>
        <w:rPr>
          <w:rFonts w:ascii="宋体" w:hAnsi="宋体" w:eastAsia="宋体" w:cs="宋体"/>
          <w:sz w:val="20"/>
          <w:szCs w:val="20"/>
        </w:rPr>
      </w:pPr>
      <w:r>
        <w:rPr>
          <w:rFonts w:ascii="宋体" w:hAnsi="宋体" w:eastAsia="宋体" w:cs="宋体"/>
          <w:spacing w:val="8"/>
          <w:sz w:val="20"/>
          <w:szCs w:val="20"/>
        </w:rPr>
        <w:t>（3）专业工程暂估价金额（含税</w:t>
      </w:r>
      <w:r>
        <w:rPr>
          <w:rFonts w:ascii="宋体" w:hAnsi="宋体" w:eastAsia="宋体" w:cs="宋体"/>
          <w:spacing w:val="-52"/>
          <w:sz w:val="20"/>
          <w:szCs w:val="20"/>
        </w:rPr>
        <w:t>）：</w:t>
      </w:r>
    </w:p>
    <w:p w14:paraId="00B16803">
      <w:pPr>
        <w:spacing w:before="194" w:line="227" w:lineRule="auto"/>
        <w:ind w:left="945"/>
        <w:rPr>
          <w:rFonts w:ascii="宋体" w:hAnsi="宋体" w:eastAsia="宋体" w:cs="宋体"/>
          <w:sz w:val="20"/>
          <w:szCs w:val="20"/>
        </w:rPr>
      </w:pPr>
      <w:r>
        <w:rPr>
          <w:rFonts w:ascii="宋体" w:hAnsi="宋体" w:eastAsia="宋体" w:cs="宋体"/>
          <w:spacing w:val="6"/>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97"/>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6"/>
          <w:sz w:val="20"/>
          <w:szCs w:val="20"/>
        </w:rPr>
        <w:t>元</w:t>
      </w:r>
      <w:r>
        <w:rPr>
          <w:rFonts w:ascii="宋体" w:hAnsi="宋体" w:eastAsia="宋体" w:cs="宋体"/>
          <w:spacing w:val="-52"/>
          <w:sz w:val="20"/>
          <w:szCs w:val="20"/>
        </w:rPr>
        <w:t>）；</w:t>
      </w:r>
    </w:p>
    <w:p w14:paraId="00DEADAD">
      <w:pPr>
        <w:spacing w:before="195" w:line="228" w:lineRule="auto"/>
        <w:ind w:left="428"/>
        <w:rPr>
          <w:rFonts w:ascii="宋体" w:hAnsi="宋体" w:eastAsia="宋体" w:cs="宋体"/>
          <w:sz w:val="20"/>
          <w:szCs w:val="20"/>
        </w:rPr>
      </w:pPr>
      <w:r>
        <w:rPr>
          <w:rFonts w:ascii="宋体" w:hAnsi="宋体" w:eastAsia="宋体" w:cs="宋体"/>
          <w:spacing w:val="7"/>
          <w:sz w:val="20"/>
          <w:szCs w:val="20"/>
        </w:rPr>
        <w:t>（4）暂列金额（含税</w:t>
      </w:r>
      <w:r>
        <w:rPr>
          <w:rFonts w:ascii="宋体" w:hAnsi="宋体" w:eastAsia="宋体" w:cs="宋体"/>
          <w:spacing w:val="-53"/>
          <w:sz w:val="20"/>
          <w:szCs w:val="20"/>
        </w:rPr>
        <w:t>）：</w:t>
      </w:r>
    </w:p>
    <w:p w14:paraId="4993A9E3">
      <w:pPr>
        <w:spacing w:before="193" w:line="227" w:lineRule="auto"/>
        <w:ind w:left="945"/>
        <w:rPr>
          <w:rFonts w:ascii="宋体" w:hAnsi="宋体" w:eastAsia="宋体" w:cs="宋体"/>
          <w:sz w:val="20"/>
          <w:szCs w:val="20"/>
        </w:rPr>
      </w:pPr>
      <w:r>
        <w:rPr>
          <w:rFonts w:ascii="宋体" w:hAnsi="宋体" w:eastAsia="宋体" w:cs="宋体"/>
          <w:spacing w:val="6"/>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97"/>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6"/>
          <w:sz w:val="20"/>
          <w:szCs w:val="20"/>
        </w:rPr>
        <w:t>元</w:t>
      </w:r>
      <w:r>
        <w:rPr>
          <w:rFonts w:ascii="宋体" w:hAnsi="宋体" w:eastAsia="宋体" w:cs="宋体"/>
          <w:spacing w:val="-52"/>
          <w:sz w:val="20"/>
          <w:szCs w:val="20"/>
        </w:rPr>
        <w:t>）；</w:t>
      </w:r>
    </w:p>
    <w:p w14:paraId="0C1DA84A">
      <w:pPr>
        <w:spacing w:before="193" w:line="227" w:lineRule="auto"/>
        <w:ind w:left="419"/>
        <w:rPr>
          <w:rFonts w:ascii="宋体" w:hAnsi="宋体" w:eastAsia="宋体" w:cs="宋体"/>
          <w:sz w:val="20"/>
          <w:szCs w:val="20"/>
        </w:rPr>
      </w:pPr>
      <w:r>
        <w:rPr>
          <w:rFonts w:ascii="宋体" w:hAnsi="宋体" w:eastAsia="宋体" w:cs="宋体"/>
          <w:spacing w:val="9"/>
          <w:sz w:val="20"/>
          <w:szCs w:val="20"/>
        </w:rPr>
        <w:t>若本合同履行期间发生增值税税率调整，则调整方式按国家有关规定执行。</w:t>
      </w:r>
    </w:p>
    <w:p w14:paraId="779F6DB5">
      <w:pPr>
        <w:spacing w:before="196" w:line="226" w:lineRule="auto"/>
        <w:ind w:left="420"/>
        <w:rPr>
          <w:rFonts w:ascii="宋体" w:hAnsi="宋体" w:eastAsia="宋体" w:cs="宋体"/>
          <w:sz w:val="20"/>
          <w:szCs w:val="20"/>
        </w:rPr>
      </w:pPr>
      <w:r>
        <w:rPr>
          <w:rFonts w:ascii="宋体" w:hAnsi="宋体" w:eastAsia="宋体" w:cs="宋体"/>
          <w:spacing w:val="6"/>
          <w:sz w:val="20"/>
          <w:szCs w:val="20"/>
        </w:rPr>
        <w:t>2、合同价格形式：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337C947">
      <w:pPr>
        <w:spacing w:before="195" w:line="228" w:lineRule="auto"/>
        <w:ind w:left="421"/>
        <w:rPr>
          <w:rFonts w:ascii="宋体" w:hAnsi="宋体" w:eastAsia="宋体" w:cs="宋体"/>
          <w:sz w:val="20"/>
          <w:szCs w:val="20"/>
        </w:rPr>
      </w:pPr>
      <w:r>
        <w:rPr>
          <w:rFonts w:ascii="宋体" w:hAnsi="宋体" w:eastAsia="宋体" w:cs="宋体"/>
          <w:b/>
          <w:bCs/>
          <w:spacing w:val="6"/>
          <w:sz w:val="20"/>
          <w:szCs w:val="20"/>
        </w:rPr>
        <w:t>五、项目经理</w:t>
      </w:r>
    </w:p>
    <w:p w14:paraId="5632F75E">
      <w:pPr>
        <w:spacing w:before="191" w:line="228" w:lineRule="auto"/>
        <w:ind w:left="418"/>
        <w:rPr>
          <w:rFonts w:ascii="宋体" w:hAnsi="宋体" w:eastAsia="宋体" w:cs="宋体"/>
          <w:sz w:val="20"/>
          <w:szCs w:val="20"/>
        </w:rPr>
      </w:pPr>
      <w:r>
        <w:rPr>
          <w:rFonts w:ascii="宋体" w:hAnsi="宋体" w:eastAsia="宋体" w:cs="宋体"/>
          <w:spacing w:val="6"/>
          <w:sz w:val="20"/>
          <w:szCs w:val="20"/>
        </w:rPr>
        <w:t>承包人项目经理：</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DD59452">
      <w:pPr>
        <w:spacing w:before="195" w:line="228" w:lineRule="auto"/>
        <w:ind w:left="420"/>
        <w:rPr>
          <w:rFonts w:ascii="宋体" w:hAnsi="宋体" w:eastAsia="宋体" w:cs="宋体"/>
          <w:sz w:val="20"/>
          <w:szCs w:val="20"/>
        </w:rPr>
      </w:pPr>
      <w:r>
        <w:rPr>
          <w:rFonts w:ascii="宋体" w:hAnsi="宋体" w:eastAsia="宋体" w:cs="宋体"/>
          <w:b/>
          <w:bCs/>
          <w:spacing w:val="7"/>
          <w:sz w:val="20"/>
          <w:szCs w:val="20"/>
        </w:rPr>
        <w:t>六、合同文件构成</w:t>
      </w:r>
    </w:p>
    <w:p w14:paraId="0138A168">
      <w:pPr>
        <w:spacing w:before="192" w:line="227" w:lineRule="auto"/>
        <w:ind w:left="419"/>
        <w:rPr>
          <w:rFonts w:ascii="宋体" w:hAnsi="宋体" w:eastAsia="宋体" w:cs="宋体"/>
          <w:sz w:val="20"/>
          <w:szCs w:val="20"/>
        </w:rPr>
      </w:pPr>
      <w:r>
        <w:rPr>
          <w:rFonts w:ascii="宋体" w:hAnsi="宋体" w:eastAsia="宋体" w:cs="宋体"/>
          <w:spacing w:val="8"/>
          <w:sz w:val="20"/>
          <w:szCs w:val="20"/>
        </w:rPr>
        <w:t>本协议书与下列文件一起构成合同文件：</w:t>
      </w:r>
    </w:p>
    <w:p w14:paraId="70847ABB">
      <w:pPr>
        <w:spacing w:before="193" w:line="227" w:lineRule="auto"/>
        <w:ind w:left="428"/>
        <w:rPr>
          <w:rFonts w:ascii="宋体" w:hAnsi="宋体" w:eastAsia="宋体" w:cs="宋体"/>
          <w:sz w:val="20"/>
          <w:szCs w:val="20"/>
        </w:rPr>
      </w:pPr>
      <w:r>
        <w:rPr>
          <w:rFonts w:ascii="宋体" w:hAnsi="宋体" w:eastAsia="宋体" w:cs="宋体"/>
          <w:spacing w:val="7"/>
          <w:sz w:val="20"/>
          <w:szCs w:val="20"/>
        </w:rPr>
        <w:t>（1）中标通知书（如果有</w:t>
      </w:r>
      <w:r>
        <w:rPr>
          <w:rFonts w:ascii="宋体" w:hAnsi="宋体" w:eastAsia="宋体" w:cs="宋体"/>
          <w:spacing w:val="-50"/>
          <w:sz w:val="20"/>
          <w:szCs w:val="20"/>
        </w:rPr>
        <w:t>）；</w:t>
      </w:r>
    </w:p>
    <w:p w14:paraId="130618BB">
      <w:pPr>
        <w:spacing w:before="196" w:line="227" w:lineRule="auto"/>
        <w:ind w:left="428"/>
        <w:rPr>
          <w:rFonts w:ascii="宋体" w:hAnsi="宋体" w:eastAsia="宋体" w:cs="宋体"/>
          <w:sz w:val="20"/>
          <w:szCs w:val="20"/>
        </w:rPr>
      </w:pPr>
      <w:r>
        <w:rPr>
          <w:rFonts w:ascii="宋体" w:hAnsi="宋体" w:eastAsia="宋体" w:cs="宋体"/>
          <w:spacing w:val="8"/>
          <w:sz w:val="20"/>
          <w:szCs w:val="20"/>
        </w:rPr>
        <w:t>（2）投标函及其附录（如果有</w:t>
      </w:r>
      <w:r>
        <w:rPr>
          <w:rFonts w:ascii="宋体" w:hAnsi="宋体" w:eastAsia="宋体" w:cs="宋体"/>
          <w:spacing w:val="-54"/>
          <w:sz w:val="20"/>
          <w:szCs w:val="20"/>
        </w:rPr>
        <w:t>）；</w:t>
      </w:r>
    </w:p>
    <w:p w14:paraId="262379F9">
      <w:pPr>
        <w:spacing w:before="193" w:line="227" w:lineRule="auto"/>
        <w:ind w:left="428"/>
        <w:rPr>
          <w:rFonts w:ascii="宋体" w:hAnsi="宋体" w:eastAsia="宋体" w:cs="宋体"/>
          <w:sz w:val="20"/>
          <w:szCs w:val="20"/>
        </w:rPr>
      </w:pPr>
      <w:r>
        <w:rPr>
          <w:rFonts w:ascii="宋体" w:hAnsi="宋体" w:eastAsia="宋体" w:cs="宋体"/>
          <w:spacing w:val="7"/>
          <w:sz w:val="20"/>
          <w:szCs w:val="20"/>
        </w:rPr>
        <w:t>（3）专用合同条款及其附件；</w:t>
      </w:r>
    </w:p>
    <w:p w14:paraId="2D50AF52">
      <w:pPr>
        <w:spacing w:before="193" w:line="228" w:lineRule="auto"/>
        <w:ind w:left="428"/>
        <w:rPr>
          <w:rFonts w:ascii="宋体" w:hAnsi="宋体" w:eastAsia="宋体" w:cs="宋体"/>
          <w:sz w:val="20"/>
          <w:szCs w:val="20"/>
        </w:rPr>
      </w:pPr>
      <w:r>
        <w:rPr>
          <w:rFonts w:ascii="宋体" w:hAnsi="宋体" w:eastAsia="宋体" w:cs="宋体"/>
          <w:spacing w:val="6"/>
          <w:sz w:val="20"/>
          <w:szCs w:val="20"/>
        </w:rPr>
        <w:t>（4）通用合同条款；</w:t>
      </w:r>
    </w:p>
    <w:p w14:paraId="5D35374D">
      <w:pPr>
        <w:spacing w:before="195" w:line="228" w:lineRule="auto"/>
        <w:ind w:left="428"/>
        <w:rPr>
          <w:rFonts w:ascii="宋体" w:hAnsi="宋体" w:eastAsia="宋体" w:cs="宋体"/>
          <w:sz w:val="20"/>
          <w:szCs w:val="20"/>
        </w:rPr>
      </w:pPr>
      <w:r>
        <w:rPr>
          <w:rFonts w:ascii="宋体" w:hAnsi="宋体" w:eastAsia="宋体" w:cs="宋体"/>
          <w:spacing w:val="6"/>
          <w:sz w:val="20"/>
          <w:szCs w:val="20"/>
        </w:rPr>
        <w:t>（5）技术标准和要求；</w:t>
      </w:r>
    </w:p>
    <w:p w14:paraId="289BCD46">
      <w:pPr>
        <w:spacing w:before="193" w:line="229" w:lineRule="auto"/>
        <w:ind w:left="428"/>
        <w:rPr>
          <w:rFonts w:ascii="宋体" w:hAnsi="宋体" w:eastAsia="宋体" w:cs="宋体"/>
          <w:sz w:val="20"/>
          <w:szCs w:val="20"/>
        </w:rPr>
      </w:pPr>
      <w:r>
        <w:rPr>
          <w:rFonts w:ascii="宋体" w:hAnsi="宋体" w:eastAsia="宋体" w:cs="宋体"/>
          <w:spacing w:val="4"/>
          <w:sz w:val="20"/>
          <w:szCs w:val="20"/>
        </w:rPr>
        <w:t>（6）图纸；</w:t>
      </w:r>
    </w:p>
    <w:p w14:paraId="5274BBDF">
      <w:pPr>
        <w:spacing w:before="191" w:line="226" w:lineRule="auto"/>
        <w:ind w:left="428"/>
        <w:rPr>
          <w:rFonts w:ascii="宋体" w:hAnsi="宋体" w:eastAsia="宋体" w:cs="宋体"/>
          <w:sz w:val="20"/>
          <w:szCs w:val="20"/>
        </w:rPr>
      </w:pPr>
      <w:r>
        <w:rPr>
          <w:rFonts w:ascii="宋体" w:hAnsi="宋体" w:eastAsia="宋体" w:cs="宋体"/>
          <w:spacing w:val="5"/>
          <w:sz w:val="20"/>
          <w:szCs w:val="20"/>
        </w:rPr>
        <w:t>（7）</w:t>
      </w:r>
      <w:r>
        <w:rPr>
          <w:rFonts w:ascii="宋体" w:hAnsi="宋体" w:eastAsia="宋体" w:cs="宋体"/>
          <w:spacing w:val="-56"/>
          <w:sz w:val="20"/>
          <w:szCs w:val="20"/>
        </w:rPr>
        <w:t xml:space="preserve"> </w:t>
      </w:r>
      <w:r>
        <w:rPr>
          <w:rFonts w:ascii="宋体" w:hAnsi="宋体" w:eastAsia="宋体" w:cs="宋体"/>
          <w:spacing w:val="5"/>
          <w:sz w:val="20"/>
          <w:szCs w:val="20"/>
        </w:rPr>
        <w:t>已标价工程量清单或预算书；</w:t>
      </w:r>
    </w:p>
    <w:p w14:paraId="7B3D3A34">
      <w:pPr>
        <w:spacing w:before="196" w:line="228" w:lineRule="auto"/>
        <w:ind w:left="428"/>
        <w:rPr>
          <w:rFonts w:ascii="宋体" w:hAnsi="宋体" w:eastAsia="宋体" w:cs="宋体"/>
          <w:sz w:val="20"/>
          <w:szCs w:val="20"/>
        </w:rPr>
      </w:pPr>
      <w:r>
        <w:rPr>
          <w:rFonts w:ascii="宋体" w:hAnsi="宋体" w:eastAsia="宋体" w:cs="宋体"/>
          <w:spacing w:val="6"/>
          <w:sz w:val="20"/>
          <w:szCs w:val="20"/>
        </w:rPr>
        <w:t>（8）其他合同文件。</w:t>
      </w:r>
    </w:p>
    <w:p w14:paraId="5DAD7DBF">
      <w:pPr>
        <w:spacing w:before="192" w:line="228" w:lineRule="auto"/>
        <w:ind w:left="417"/>
        <w:rPr>
          <w:rFonts w:ascii="宋体" w:hAnsi="宋体" w:eastAsia="宋体" w:cs="宋体"/>
          <w:sz w:val="20"/>
          <w:szCs w:val="20"/>
        </w:rPr>
      </w:pPr>
      <w:r>
        <w:rPr>
          <w:rFonts w:ascii="宋体" w:hAnsi="宋体" w:eastAsia="宋体" w:cs="宋体"/>
          <w:spacing w:val="9"/>
          <w:sz w:val="20"/>
          <w:szCs w:val="20"/>
        </w:rPr>
        <w:t>在合同订立及履行过程中形成的与合同有关的文件均构成合同文件组成部分。</w:t>
      </w:r>
    </w:p>
    <w:p w14:paraId="0BBB7D14">
      <w:pPr>
        <w:spacing w:before="192" w:line="409" w:lineRule="auto"/>
        <w:ind w:right="2" w:firstLine="420"/>
        <w:rPr>
          <w:rFonts w:ascii="宋体" w:hAnsi="宋体" w:eastAsia="宋体" w:cs="宋体"/>
          <w:sz w:val="20"/>
          <w:szCs w:val="20"/>
        </w:rPr>
      </w:pPr>
      <w:r>
        <w:rPr>
          <w:rFonts w:ascii="宋体" w:hAnsi="宋体" w:eastAsia="宋体" w:cs="宋体"/>
          <w:spacing w:val="10"/>
          <w:sz w:val="20"/>
          <w:szCs w:val="20"/>
        </w:rPr>
        <w:t>上述各项合同文件包括合同当事人就该项合同文件所作出的补充和修改，属于同一类内容的</w:t>
      </w:r>
      <w:r>
        <w:rPr>
          <w:rFonts w:ascii="宋体" w:hAnsi="宋体" w:eastAsia="宋体" w:cs="宋体"/>
          <w:spacing w:val="9"/>
          <w:sz w:val="20"/>
          <w:szCs w:val="20"/>
        </w:rPr>
        <w:t>文件，应以最新签署的为准。专用合同条款及其附件须经合同当事人签字或盖章。</w:t>
      </w:r>
    </w:p>
    <w:p w14:paraId="03861266">
      <w:pPr>
        <w:spacing w:line="409" w:lineRule="auto"/>
        <w:rPr>
          <w:rFonts w:ascii="宋体" w:hAnsi="宋体" w:eastAsia="宋体" w:cs="宋体"/>
          <w:sz w:val="20"/>
          <w:szCs w:val="20"/>
        </w:rPr>
        <w:sectPr>
          <w:footerReference r:id="rId334" w:type="default"/>
          <w:pgSz w:w="11906" w:h="16839"/>
          <w:pgMar w:top="400" w:right="1530" w:bottom="1446" w:left="1541" w:header="0" w:footer="1284" w:gutter="0"/>
          <w:cols w:space="720" w:num="1"/>
        </w:sectPr>
      </w:pPr>
    </w:p>
    <w:p w14:paraId="2336B3F5">
      <w:pPr>
        <w:spacing w:line="261" w:lineRule="auto"/>
        <w:rPr>
          <w:rFonts w:ascii="Arial"/>
          <w:sz w:val="21"/>
        </w:rPr>
      </w:pPr>
    </w:p>
    <w:p w14:paraId="28234D2B">
      <w:pPr>
        <w:spacing w:line="261" w:lineRule="auto"/>
        <w:rPr>
          <w:rFonts w:ascii="Arial"/>
          <w:sz w:val="21"/>
        </w:rPr>
      </w:pPr>
    </w:p>
    <w:p w14:paraId="715C7C5D">
      <w:pPr>
        <w:spacing w:line="261" w:lineRule="auto"/>
        <w:rPr>
          <w:rFonts w:ascii="Arial"/>
          <w:sz w:val="21"/>
        </w:rPr>
      </w:pPr>
    </w:p>
    <w:p w14:paraId="20475FAE">
      <w:pPr>
        <w:spacing w:line="261" w:lineRule="auto"/>
        <w:rPr>
          <w:rFonts w:ascii="Arial"/>
          <w:sz w:val="21"/>
        </w:rPr>
      </w:pPr>
    </w:p>
    <w:p w14:paraId="5E943123">
      <w:pPr>
        <w:spacing w:line="262" w:lineRule="auto"/>
        <w:rPr>
          <w:rFonts w:ascii="Arial"/>
          <w:sz w:val="21"/>
        </w:rPr>
      </w:pPr>
    </w:p>
    <w:p w14:paraId="00C2A474">
      <w:pPr>
        <w:spacing w:line="262" w:lineRule="auto"/>
        <w:rPr>
          <w:rFonts w:ascii="Arial"/>
          <w:sz w:val="21"/>
        </w:rPr>
      </w:pPr>
    </w:p>
    <w:p w14:paraId="2D93D2D6">
      <w:pPr>
        <w:spacing w:before="65" w:line="228" w:lineRule="auto"/>
        <w:ind w:left="420"/>
        <w:rPr>
          <w:rFonts w:ascii="宋体" w:hAnsi="宋体" w:eastAsia="宋体" w:cs="宋体"/>
          <w:sz w:val="20"/>
          <w:szCs w:val="20"/>
        </w:rPr>
      </w:pPr>
      <w:r>
        <w:rPr>
          <w:rFonts w:ascii="宋体" w:hAnsi="宋体" w:eastAsia="宋体" w:cs="宋体"/>
          <w:b/>
          <w:bCs/>
          <w:spacing w:val="6"/>
          <w:sz w:val="20"/>
          <w:szCs w:val="20"/>
        </w:rPr>
        <w:t>七、承诺</w:t>
      </w:r>
    </w:p>
    <w:p w14:paraId="361F1D0B">
      <w:pPr>
        <w:spacing w:before="192" w:line="406" w:lineRule="auto"/>
        <w:ind w:left="2" w:firstLine="434"/>
        <w:rPr>
          <w:rFonts w:ascii="宋体" w:hAnsi="宋体" w:eastAsia="宋体" w:cs="宋体"/>
          <w:sz w:val="20"/>
          <w:szCs w:val="20"/>
        </w:rPr>
      </w:pPr>
      <w:r>
        <w:rPr>
          <w:rFonts w:ascii="宋体" w:hAnsi="宋体" w:eastAsia="宋体" w:cs="宋体"/>
          <w:spacing w:val="10"/>
          <w:sz w:val="20"/>
          <w:szCs w:val="20"/>
        </w:rPr>
        <w:t>1.发包人承诺按照法律规定履行项目审批手续、筹集工程建</w:t>
      </w:r>
      <w:r>
        <w:rPr>
          <w:rFonts w:ascii="宋体" w:hAnsi="宋体" w:eastAsia="宋体" w:cs="宋体"/>
          <w:spacing w:val="9"/>
          <w:sz w:val="20"/>
          <w:szCs w:val="20"/>
        </w:rPr>
        <w:t>设资金并按照合同约定的期限和</w:t>
      </w:r>
      <w:r>
        <w:rPr>
          <w:rFonts w:ascii="宋体" w:hAnsi="宋体" w:eastAsia="宋体" w:cs="宋体"/>
          <w:spacing w:val="7"/>
          <w:sz w:val="20"/>
          <w:szCs w:val="20"/>
        </w:rPr>
        <w:t>方式支付合同价款。</w:t>
      </w:r>
    </w:p>
    <w:p w14:paraId="58BAC6DF">
      <w:pPr>
        <w:spacing w:before="1" w:line="405" w:lineRule="auto"/>
        <w:ind w:left="1" w:firstLine="422"/>
        <w:rPr>
          <w:rFonts w:ascii="宋体" w:hAnsi="宋体" w:eastAsia="宋体" w:cs="宋体"/>
          <w:sz w:val="20"/>
          <w:szCs w:val="20"/>
        </w:rPr>
      </w:pPr>
      <w:r>
        <w:rPr>
          <w:rFonts w:ascii="宋体" w:hAnsi="宋体" w:eastAsia="宋体" w:cs="宋体"/>
          <w:spacing w:val="10"/>
          <w:sz w:val="20"/>
          <w:szCs w:val="20"/>
        </w:rPr>
        <w:t>2.承包人承诺按照法律规定及合同约定组织完成工程施工，确保工程质量和安全，不进行转</w:t>
      </w:r>
      <w:r>
        <w:rPr>
          <w:rFonts w:ascii="宋体" w:hAnsi="宋体" w:eastAsia="宋体" w:cs="宋体"/>
          <w:spacing w:val="9"/>
          <w:sz w:val="20"/>
          <w:szCs w:val="20"/>
        </w:rPr>
        <w:t>包及违法分包，并在缺陷责任期及保修期内承担相应的工程维修责任。</w:t>
      </w:r>
    </w:p>
    <w:p w14:paraId="45524E53">
      <w:pPr>
        <w:spacing w:before="1" w:line="406" w:lineRule="auto"/>
        <w:ind w:left="2" w:firstLine="423"/>
        <w:rPr>
          <w:rFonts w:ascii="宋体" w:hAnsi="宋体" w:eastAsia="宋体" w:cs="宋体"/>
          <w:sz w:val="20"/>
          <w:szCs w:val="20"/>
        </w:rPr>
      </w:pPr>
      <w:r>
        <w:rPr>
          <w:rFonts w:ascii="宋体" w:hAnsi="宋体" w:eastAsia="宋体" w:cs="宋体"/>
          <w:spacing w:val="10"/>
          <w:sz w:val="20"/>
          <w:szCs w:val="20"/>
        </w:rPr>
        <w:t>3.发包人和承包人通过招投标形式签订合同的，双方理解并承诺不再就同一工程另行签</w:t>
      </w:r>
      <w:r>
        <w:rPr>
          <w:rFonts w:ascii="宋体" w:hAnsi="宋体" w:eastAsia="宋体" w:cs="宋体"/>
          <w:spacing w:val="9"/>
          <w:sz w:val="20"/>
          <w:szCs w:val="20"/>
        </w:rPr>
        <w:t>订与</w:t>
      </w:r>
      <w:r>
        <w:rPr>
          <w:rFonts w:ascii="宋体" w:hAnsi="宋体" w:eastAsia="宋体" w:cs="宋体"/>
          <w:spacing w:val="8"/>
          <w:sz w:val="20"/>
          <w:szCs w:val="20"/>
        </w:rPr>
        <w:t>合同实质性内容相背离的协议。</w:t>
      </w:r>
    </w:p>
    <w:p w14:paraId="413E2113">
      <w:pPr>
        <w:spacing w:before="1" w:line="227" w:lineRule="auto"/>
        <w:ind w:left="425"/>
        <w:rPr>
          <w:rFonts w:ascii="宋体" w:hAnsi="宋体" w:eastAsia="宋体" w:cs="宋体"/>
          <w:sz w:val="20"/>
          <w:szCs w:val="20"/>
        </w:rPr>
      </w:pPr>
      <w:r>
        <w:rPr>
          <w:rFonts w:ascii="宋体" w:hAnsi="宋体" w:eastAsia="宋体" w:cs="宋体"/>
          <w:b/>
          <w:bCs/>
          <w:spacing w:val="6"/>
          <w:sz w:val="20"/>
          <w:szCs w:val="20"/>
        </w:rPr>
        <w:t>八、词语含义</w:t>
      </w:r>
    </w:p>
    <w:p w14:paraId="54766461">
      <w:pPr>
        <w:spacing w:before="192" w:line="227" w:lineRule="auto"/>
        <w:ind w:left="422"/>
        <w:rPr>
          <w:rFonts w:ascii="宋体" w:hAnsi="宋体" w:eastAsia="宋体" w:cs="宋体"/>
          <w:sz w:val="20"/>
          <w:szCs w:val="20"/>
        </w:rPr>
      </w:pPr>
      <w:r>
        <w:rPr>
          <w:rFonts w:ascii="宋体" w:hAnsi="宋体" w:eastAsia="宋体" w:cs="宋体"/>
          <w:spacing w:val="9"/>
          <w:sz w:val="20"/>
          <w:szCs w:val="20"/>
        </w:rPr>
        <w:t>本协议书中词语含义与第二部分通用合同条款中赋予的含义相同。</w:t>
      </w:r>
    </w:p>
    <w:p w14:paraId="56CDC56C">
      <w:pPr>
        <w:spacing w:before="196" w:line="230" w:lineRule="auto"/>
        <w:ind w:left="426"/>
        <w:rPr>
          <w:rFonts w:ascii="宋体" w:hAnsi="宋体" w:eastAsia="宋体" w:cs="宋体"/>
          <w:sz w:val="20"/>
          <w:szCs w:val="20"/>
        </w:rPr>
      </w:pPr>
      <w:r>
        <w:rPr>
          <w:rFonts w:ascii="宋体" w:hAnsi="宋体" w:eastAsia="宋体" w:cs="宋体"/>
          <w:b/>
          <w:bCs/>
          <w:spacing w:val="6"/>
          <w:sz w:val="20"/>
          <w:szCs w:val="20"/>
        </w:rPr>
        <w:t>九、签订时间</w:t>
      </w:r>
    </w:p>
    <w:p w14:paraId="1F6C6D90">
      <w:pPr>
        <w:spacing w:before="190" w:line="227" w:lineRule="auto"/>
        <w:ind w:left="422"/>
        <w:rPr>
          <w:rFonts w:ascii="宋体" w:hAnsi="宋体" w:eastAsia="宋体" w:cs="宋体"/>
          <w:sz w:val="20"/>
          <w:szCs w:val="20"/>
        </w:rPr>
      </w:pPr>
      <w:r>
        <w:rPr>
          <w:rFonts w:ascii="宋体" w:hAnsi="宋体" w:eastAsia="宋体" w:cs="宋体"/>
          <w:spacing w:val="2"/>
          <w:sz w:val="20"/>
          <w:szCs w:val="20"/>
        </w:rPr>
        <w:t>本合同于</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日签订。</w:t>
      </w:r>
    </w:p>
    <w:p w14:paraId="1BF7A6FF">
      <w:pPr>
        <w:spacing w:before="193" w:line="229" w:lineRule="auto"/>
        <w:ind w:left="422"/>
        <w:rPr>
          <w:rFonts w:ascii="宋体" w:hAnsi="宋体" w:eastAsia="宋体" w:cs="宋体"/>
          <w:sz w:val="20"/>
          <w:szCs w:val="20"/>
        </w:rPr>
      </w:pPr>
      <w:r>
        <w:rPr>
          <w:rFonts w:ascii="宋体" w:hAnsi="宋体" w:eastAsia="宋体" w:cs="宋体"/>
          <w:b/>
          <w:bCs/>
          <w:spacing w:val="6"/>
          <w:sz w:val="20"/>
          <w:szCs w:val="20"/>
        </w:rPr>
        <w:t>十、签订地点</w:t>
      </w:r>
    </w:p>
    <w:p w14:paraId="2DA1B8EA">
      <w:pPr>
        <w:spacing w:before="194" w:line="227" w:lineRule="auto"/>
        <w:ind w:left="422"/>
        <w:rPr>
          <w:rFonts w:ascii="宋体" w:hAnsi="宋体" w:eastAsia="宋体" w:cs="宋体"/>
          <w:sz w:val="20"/>
          <w:szCs w:val="20"/>
        </w:rPr>
      </w:pPr>
      <w:r>
        <w:rPr>
          <w:rFonts w:ascii="宋体" w:hAnsi="宋体" w:eastAsia="宋体" w:cs="宋体"/>
          <w:spacing w:val="5"/>
          <w:sz w:val="20"/>
          <w:szCs w:val="20"/>
        </w:rPr>
        <w:t>本合同在</w:t>
      </w:r>
      <w:r>
        <w:rPr>
          <w:rFonts w:ascii="宋体" w:hAnsi="宋体" w:eastAsia="宋体" w:cs="宋体"/>
          <w:spacing w:val="-96"/>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签订。</w:t>
      </w:r>
    </w:p>
    <w:p w14:paraId="35FE99B1">
      <w:pPr>
        <w:spacing w:before="194" w:line="228" w:lineRule="auto"/>
        <w:ind w:left="422"/>
        <w:rPr>
          <w:rFonts w:ascii="宋体" w:hAnsi="宋体" w:eastAsia="宋体" w:cs="宋体"/>
          <w:sz w:val="20"/>
          <w:szCs w:val="20"/>
        </w:rPr>
      </w:pPr>
      <w:r>
        <w:rPr>
          <w:rFonts w:ascii="宋体" w:hAnsi="宋体" w:eastAsia="宋体" w:cs="宋体"/>
          <w:b/>
          <w:bCs/>
          <w:spacing w:val="7"/>
          <w:sz w:val="20"/>
          <w:szCs w:val="20"/>
        </w:rPr>
        <w:t>十一、补充协议</w:t>
      </w:r>
    </w:p>
    <w:p w14:paraId="160275B7">
      <w:pPr>
        <w:spacing w:before="191" w:line="228" w:lineRule="auto"/>
        <w:ind w:left="422"/>
        <w:rPr>
          <w:rFonts w:ascii="宋体" w:hAnsi="宋体" w:eastAsia="宋体" w:cs="宋体"/>
          <w:sz w:val="20"/>
          <w:szCs w:val="20"/>
        </w:rPr>
      </w:pPr>
      <w:r>
        <w:rPr>
          <w:rFonts w:ascii="宋体" w:hAnsi="宋体" w:eastAsia="宋体" w:cs="宋体"/>
          <w:spacing w:val="9"/>
          <w:sz w:val="20"/>
          <w:szCs w:val="20"/>
        </w:rPr>
        <w:t>合同未尽事宜，合同当事人另行签订补充协议，补充协议是合同的组成部分。</w:t>
      </w:r>
    </w:p>
    <w:p w14:paraId="32553A83">
      <w:pPr>
        <w:spacing w:before="195" w:line="228" w:lineRule="auto"/>
        <w:ind w:left="422"/>
        <w:rPr>
          <w:rFonts w:ascii="宋体" w:hAnsi="宋体" w:eastAsia="宋体" w:cs="宋体"/>
          <w:sz w:val="20"/>
          <w:szCs w:val="20"/>
        </w:rPr>
      </w:pPr>
      <w:r>
        <w:rPr>
          <w:rFonts w:ascii="宋体" w:hAnsi="宋体" w:eastAsia="宋体" w:cs="宋体"/>
          <w:b/>
          <w:bCs/>
          <w:spacing w:val="7"/>
          <w:sz w:val="20"/>
          <w:szCs w:val="20"/>
        </w:rPr>
        <w:t>十二、合同生效</w:t>
      </w:r>
    </w:p>
    <w:p w14:paraId="6EA4F51B">
      <w:pPr>
        <w:spacing w:before="192" w:line="227" w:lineRule="auto"/>
        <w:ind w:left="422"/>
        <w:rPr>
          <w:rFonts w:ascii="宋体" w:hAnsi="宋体" w:eastAsia="宋体" w:cs="宋体"/>
          <w:sz w:val="20"/>
          <w:szCs w:val="20"/>
        </w:rPr>
      </w:pPr>
      <w:r>
        <w:rPr>
          <w:rFonts w:ascii="宋体" w:hAnsi="宋体" w:eastAsia="宋体" w:cs="宋体"/>
          <w:spacing w:val="5"/>
          <w:sz w:val="20"/>
          <w:szCs w:val="20"/>
        </w:rPr>
        <w:t>本合同自</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5"/>
          <w:sz w:val="20"/>
          <w:szCs w:val="20"/>
        </w:rPr>
        <w:t>生效。</w:t>
      </w:r>
    </w:p>
    <w:p w14:paraId="30653065">
      <w:pPr>
        <w:spacing w:before="193" w:line="228" w:lineRule="auto"/>
        <w:ind w:left="422"/>
        <w:rPr>
          <w:rFonts w:ascii="宋体" w:hAnsi="宋体" w:eastAsia="宋体" w:cs="宋体"/>
          <w:sz w:val="20"/>
          <w:szCs w:val="20"/>
        </w:rPr>
      </w:pPr>
      <w:r>
        <w:rPr>
          <w:rFonts w:ascii="宋体" w:hAnsi="宋体" w:eastAsia="宋体" w:cs="宋体"/>
          <w:b/>
          <w:bCs/>
          <w:spacing w:val="7"/>
          <w:sz w:val="20"/>
          <w:szCs w:val="20"/>
        </w:rPr>
        <w:t>十三、合同份数</w:t>
      </w:r>
    </w:p>
    <w:p w14:paraId="2BD11E47">
      <w:pPr>
        <w:spacing w:before="195" w:line="227" w:lineRule="auto"/>
        <w:ind w:left="422"/>
        <w:rPr>
          <w:rFonts w:ascii="宋体" w:hAnsi="宋体" w:eastAsia="宋体" w:cs="宋体"/>
          <w:sz w:val="20"/>
          <w:szCs w:val="20"/>
        </w:rPr>
      </w:pPr>
      <w:r>
        <w:rPr>
          <w:rFonts w:ascii="宋体" w:hAnsi="宋体" w:eastAsia="宋体" w:cs="宋体"/>
          <w:spacing w:val="8"/>
          <w:sz w:val="20"/>
          <w:szCs w:val="20"/>
        </w:rPr>
        <w:t>本合同一式</w:t>
      </w:r>
      <w:r>
        <w:rPr>
          <w:rFonts w:ascii="宋体" w:hAnsi="宋体" w:eastAsia="宋体" w:cs="宋体"/>
          <w:spacing w:val="8"/>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份，发包人执</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份，承包人执</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份，每份均具有同等法律效</w:t>
      </w:r>
      <w:r>
        <w:rPr>
          <w:rFonts w:ascii="宋体" w:hAnsi="宋体" w:eastAsia="宋体" w:cs="宋体"/>
          <w:spacing w:val="7"/>
          <w:sz w:val="20"/>
          <w:szCs w:val="20"/>
        </w:rPr>
        <w:t>力。</w:t>
      </w:r>
    </w:p>
    <w:p w14:paraId="3B6B707F">
      <w:pPr>
        <w:spacing w:line="282" w:lineRule="auto"/>
        <w:rPr>
          <w:rFonts w:ascii="Arial"/>
          <w:sz w:val="21"/>
        </w:rPr>
      </w:pPr>
    </w:p>
    <w:p w14:paraId="6DB6D393">
      <w:pPr>
        <w:spacing w:line="282" w:lineRule="auto"/>
        <w:rPr>
          <w:rFonts w:ascii="Arial"/>
          <w:sz w:val="21"/>
        </w:rPr>
      </w:pPr>
    </w:p>
    <w:p w14:paraId="3AD09BE8">
      <w:pPr>
        <w:spacing w:before="65" w:line="227" w:lineRule="auto"/>
        <w:ind w:left="5"/>
        <w:rPr>
          <w:rFonts w:ascii="宋体" w:hAnsi="宋体" w:eastAsia="宋体" w:cs="宋体"/>
          <w:sz w:val="20"/>
          <w:szCs w:val="20"/>
        </w:rPr>
      </w:pPr>
      <w:r>
        <w:rPr>
          <w:rFonts w:ascii="宋体" w:hAnsi="宋体" w:eastAsia="宋体" w:cs="宋体"/>
          <w:spacing w:val="8"/>
          <w:sz w:val="20"/>
          <w:szCs w:val="20"/>
        </w:rPr>
        <w:t>发包人</w:t>
      </w:r>
      <w:r>
        <w:rPr>
          <w:rFonts w:ascii="宋体" w:hAnsi="宋体" w:eastAsia="宋体" w:cs="宋体"/>
          <w:spacing w:val="-52"/>
          <w:w w:val="97"/>
          <w:sz w:val="20"/>
          <w:szCs w:val="20"/>
        </w:rPr>
        <w:t>：（</w:t>
      </w:r>
      <w:r>
        <w:rPr>
          <w:rFonts w:ascii="宋体" w:hAnsi="宋体" w:eastAsia="宋体" w:cs="宋体"/>
          <w:spacing w:val="8"/>
          <w:sz w:val="20"/>
          <w:szCs w:val="20"/>
        </w:rPr>
        <w:t>盖章）                    承包人</w:t>
      </w:r>
      <w:r>
        <w:rPr>
          <w:rFonts w:ascii="宋体" w:hAnsi="宋体" w:eastAsia="宋体" w:cs="宋体"/>
          <w:spacing w:val="-52"/>
          <w:w w:val="97"/>
          <w:sz w:val="20"/>
          <w:szCs w:val="20"/>
        </w:rPr>
        <w:t>：（</w:t>
      </w:r>
      <w:r>
        <w:rPr>
          <w:rFonts w:ascii="宋体" w:hAnsi="宋体" w:eastAsia="宋体" w:cs="宋体"/>
          <w:spacing w:val="8"/>
          <w:sz w:val="20"/>
          <w:szCs w:val="20"/>
        </w:rPr>
        <w:t>盖章）</w:t>
      </w:r>
    </w:p>
    <w:p w14:paraId="1CE1A6D4">
      <w:pPr>
        <w:spacing w:before="195" w:line="228" w:lineRule="auto"/>
        <w:ind w:left="2"/>
        <w:rPr>
          <w:rFonts w:ascii="宋体" w:hAnsi="宋体" w:eastAsia="宋体" w:cs="宋体"/>
          <w:sz w:val="20"/>
          <w:szCs w:val="20"/>
        </w:rPr>
      </w:pPr>
      <w:r>
        <w:rPr>
          <w:rFonts w:ascii="宋体" w:hAnsi="宋体" w:eastAsia="宋体" w:cs="宋体"/>
          <w:spacing w:val="8"/>
          <w:sz w:val="20"/>
          <w:szCs w:val="20"/>
        </w:rPr>
        <w:t>法定代表人或其委托代理人：          法定代表人或其委托代理人：</w:t>
      </w:r>
    </w:p>
    <w:p w14:paraId="639E61DF">
      <w:pPr>
        <w:spacing w:before="193" w:line="227" w:lineRule="auto"/>
        <w:ind w:left="11"/>
        <w:rPr>
          <w:rFonts w:ascii="宋体" w:hAnsi="宋体" w:eastAsia="宋体" w:cs="宋体"/>
          <w:sz w:val="20"/>
          <w:szCs w:val="20"/>
        </w:rPr>
      </w:pPr>
      <w:r>
        <w:rPr>
          <w:rFonts w:ascii="宋体" w:hAnsi="宋体" w:eastAsia="宋体" w:cs="宋体"/>
          <w:spacing w:val="10"/>
          <w:sz w:val="20"/>
          <w:szCs w:val="20"/>
        </w:rPr>
        <w:t>（签章</w:t>
      </w:r>
      <w:r>
        <w:rPr>
          <w:rFonts w:ascii="宋体" w:hAnsi="宋体" w:eastAsia="宋体" w:cs="宋体"/>
          <w:spacing w:val="-14"/>
          <w:sz w:val="20"/>
          <w:szCs w:val="20"/>
        </w:rPr>
        <w:t>）</w:t>
      </w:r>
      <w:r>
        <w:rPr>
          <w:rFonts w:ascii="宋体" w:hAnsi="宋体" w:eastAsia="宋体" w:cs="宋体"/>
          <w:spacing w:val="2"/>
          <w:sz w:val="20"/>
          <w:szCs w:val="20"/>
        </w:rPr>
        <w:t xml:space="preserve">                           </w:t>
      </w:r>
      <w:r>
        <w:rPr>
          <w:rFonts w:ascii="宋体" w:hAnsi="宋体" w:eastAsia="宋体" w:cs="宋体"/>
          <w:spacing w:val="1"/>
          <w:sz w:val="20"/>
          <w:szCs w:val="20"/>
        </w:rPr>
        <w:t xml:space="preserve">  </w:t>
      </w:r>
      <w:r>
        <w:rPr>
          <w:rFonts w:ascii="宋体" w:hAnsi="宋体" w:eastAsia="宋体" w:cs="宋体"/>
          <w:spacing w:val="-14"/>
          <w:sz w:val="20"/>
          <w:szCs w:val="20"/>
        </w:rPr>
        <w:t>（</w:t>
      </w:r>
      <w:r>
        <w:rPr>
          <w:rFonts w:ascii="宋体" w:hAnsi="宋体" w:eastAsia="宋体" w:cs="宋体"/>
          <w:spacing w:val="10"/>
          <w:sz w:val="20"/>
          <w:szCs w:val="20"/>
        </w:rPr>
        <w:t>签章）</w:t>
      </w:r>
    </w:p>
    <w:p w14:paraId="4C09851D">
      <w:pPr>
        <w:spacing w:line="328" w:lineRule="auto"/>
        <w:rPr>
          <w:rFonts w:ascii="Arial"/>
          <w:sz w:val="21"/>
        </w:rPr>
      </w:pPr>
    </w:p>
    <w:p w14:paraId="47845E61">
      <w:pPr>
        <w:spacing w:line="329" w:lineRule="auto"/>
        <w:rPr>
          <w:rFonts w:ascii="Arial"/>
          <w:sz w:val="21"/>
        </w:rPr>
      </w:pPr>
    </w:p>
    <w:p w14:paraId="589410BA">
      <w:pPr>
        <w:spacing w:before="65" w:line="227" w:lineRule="auto"/>
        <w:ind w:left="6"/>
        <w:rPr>
          <w:rFonts w:ascii="宋体" w:hAnsi="宋体" w:eastAsia="宋体" w:cs="宋体"/>
          <w:sz w:val="20"/>
          <w:szCs w:val="20"/>
        </w:rPr>
      </w:pPr>
      <w:r>
        <w:rPr>
          <w:rFonts w:ascii="宋体" w:hAnsi="宋体" w:eastAsia="宋体" w:cs="宋体"/>
          <w:spacing w:val="5"/>
          <w:sz w:val="20"/>
          <w:szCs w:val="20"/>
        </w:rPr>
        <w:t>统一社会信用代码：</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统一</w:t>
      </w:r>
      <w:r>
        <w:rPr>
          <w:rFonts w:ascii="宋体" w:hAnsi="宋体" w:eastAsia="宋体" w:cs="宋体"/>
          <w:spacing w:val="4"/>
          <w:sz w:val="20"/>
          <w:szCs w:val="20"/>
        </w:rPr>
        <w:t>社会信用代码：</w:t>
      </w:r>
      <w:r>
        <w:rPr>
          <w:rFonts w:ascii="宋体" w:hAnsi="宋体" w:eastAsia="宋体" w:cs="宋体"/>
          <w:spacing w:val="4"/>
          <w:sz w:val="20"/>
          <w:szCs w:val="20"/>
          <w:u w:val="single" w:color="auto"/>
        </w:rPr>
        <w:t xml:space="preserve">                       </w:t>
      </w:r>
    </w:p>
    <w:p w14:paraId="5F5C9DF3">
      <w:pPr>
        <w:spacing w:line="241" w:lineRule="auto"/>
        <w:rPr>
          <w:rFonts w:ascii="Arial"/>
          <w:sz w:val="21"/>
        </w:rPr>
      </w:pPr>
    </w:p>
    <w:p w14:paraId="60CDFC66">
      <w:pPr>
        <w:spacing w:before="66" w:line="235" w:lineRule="auto"/>
        <w:rPr>
          <w:rFonts w:ascii="宋体" w:hAnsi="宋体" w:eastAsia="宋体" w:cs="宋体"/>
          <w:sz w:val="20"/>
          <w:szCs w:val="20"/>
        </w:rPr>
      </w:pPr>
      <w:r>
        <w:rPr>
          <w:rFonts w:ascii="宋体" w:hAnsi="宋体" w:eastAsia="宋体" w:cs="宋体"/>
          <w:spacing w:val="4"/>
          <w:sz w:val="20"/>
          <w:szCs w:val="20"/>
        </w:rPr>
        <w:t>送达地址：</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送达地址：</w:t>
      </w:r>
      <w:r>
        <w:rPr>
          <w:rFonts w:ascii="宋体" w:hAnsi="宋体" w:eastAsia="宋体" w:cs="宋体"/>
          <w:spacing w:val="4"/>
          <w:sz w:val="20"/>
          <w:szCs w:val="20"/>
          <w:u w:val="single" w:color="auto"/>
        </w:rPr>
        <w:t xml:space="preserve">                               </w:t>
      </w:r>
    </w:p>
    <w:p w14:paraId="6191E82A">
      <w:pPr>
        <w:spacing w:before="297" w:line="228" w:lineRule="auto"/>
        <w:ind w:left="17"/>
        <w:rPr>
          <w:rFonts w:ascii="宋体" w:hAnsi="宋体" w:eastAsia="宋体" w:cs="宋体"/>
          <w:sz w:val="20"/>
          <w:szCs w:val="20"/>
        </w:rPr>
      </w:pPr>
      <w:r>
        <w:rPr>
          <w:rFonts w:ascii="宋体" w:hAnsi="宋体" w:eastAsia="宋体" w:cs="宋体"/>
          <w:spacing w:val="2"/>
          <w:sz w:val="20"/>
          <w:szCs w:val="20"/>
        </w:rPr>
        <w:t>邮政编码：</w:t>
      </w:r>
      <w:r>
        <w:rPr>
          <w:rFonts w:ascii="宋体" w:hAnsi="宋体" w:eastAsia="宋体" w:cs="宋体"/>
          <w:spacing w:val="2"/>
          <w:sz w:val="20"/>
          <w:szCs w:val="20"/>
          <w:u w:val="single" w:color="auto"/>
        </w:rPr>
        <w:t xml:space="preserve">                             </w:t>
      </w:r>
      <w:r>
        <w:rPr>
          <w:rFonts w:ascii="宋体" w:hAnsi="宋体" w:eastAsia="宋体" w:cs="宋体"/>
          <w:spacing w:val="17"/>
          <w:sz w:val="20"/>
          <w:szCs w:val="20"/>
        </w:rPr>
        <w:t xml:space="preserve">  </w:t>
      </w:r>
      <w:r>
        <w:rPr>
          <w:rFonts w:ascii="宋体" w:hAnsi="宋体" w:eastAsia="宋体" w:cs="宋体"/>
          <w:spacing w:val="2"/>
          <w:sz w:val="20"/>
          <w:szCs w:val="20"/>
        </w:rPr>
        <w:t>邮政编码：</w:t>
      </w:r>
      <w:r>
        <w:rPr>
          <w:rFonts w:ascii="宋体" w:hAnsi="宋体" w:eastAsia="宋体" w:cs="宋体"/>
          <w:spacing w:val="2"/>
          <w:sz w:val="20"/>
          <w:szCs w:val="20"/>
          <w:u w:val="single" w:color="auto"/>
        </w:rPr>
        <w:t xml:space="preserve">                               </w:t>
      </w:r>
    </w:p>
    <w:p w14:paraId="217FF05C">
      <w:pPr>
        <w:spacing w:line="228" w:lineRule="auto"/>
        <w:rPr>
          <w:rFonts w:ascii="宋体" w:hAnsi="宋体" w:eastAsia="宋体" w:cs="宋体"/>
          <w:sz w:val="20"/>
          <w:szCs w:val="20"/>
        </w:rPr>
        <w:sectPr>
          <w:footerReference r:id="rId335" w:type="default"/>
          <w:pgSz w:w="11906" w:h="16839"/>
          <w:pgMar w:top="400" w:right="1533" w:bottom="1446" w:left="1537" w:header="0" w:footer="1284" w:gutter="0"/>
          <w:cols w:space="720" w:num="1"/>
        </w:sectPr>
      </w:pPr>
    </w:p>
    <w:p w14:paraId="6FD02B51">
      <w:pPr>
        <w:spacing w:line="276" w:lineRule="auto"/>
        <w:rPr>
          <w:rFonts w:ascii="Arial"/>
          <w:sz w:val="21"/>
        </w:rPr>
      </w:pPr>
    </w:p>
    <w:p w14:paraId="45438206">
      <w:pPr>
        <w:spacing w:line="276" w:lineRule="auto"/>
        <w:rPr>
          <w:rFonts w:ascii="Arial"/>
          <w:sz w:val="21"/>
        </w:rPr>
      </w:pPr>
    </w:p>
    <w:p w14:paraId="151392A9">
      <w:pPr>
        <w:spacing w:line="276" w:lineRule="auto"/>
        <w:rPr>
          <w:rFonts w:ascii="Arial"/>
          <w:sz w:val="21"/>
        </w:rPr>
      </w:pPr>
    </w:p>
    <w:p w14:paraId="2C1CF244">
      <w:pPr>
        <w:spacing w:line="277" w:lineRule="auto"/>
        <w:rPr>
          <w:rFonts w:ascii="Arial"/>
          <w:sz w:val="21"/>
        </w:rPr>
      </w:pPr>
    </w:p>
    <w:p w14:paraId="71D0B942">
      <w:pPr>
        <w:spacing w:line="277" w:lineRule="auto"/>
        <w:rPr>
          <w:rFonts w:ascii="Arial"/>
          <w:sz w:val="21"/>
        </w:rPr>
      </w:pPr>
    </w:p>
    <w:p w14:paraId="77386975">
      <w:pPr>
        <w:spacing w:line="277" w:lineRule="auto"/>
        <w:rPr>
          <w:rFonts w:ascii="Arial"/>
          <w:sz w:val="21"/>
        </w:rPr>
      </w:pPr>
    </w:p>
    <w:p w14:paraId="4B5C5C35">
      <w:pPr>
        <w:spacing w:before="65" w:line="228" w:lineRule="auto"/>
        <w:ind w:left="2"/>
        <w:rPr>
          <w:rFonts w:ascii="宋体" w:hAnsi="宋体" w:eastAsia="宋体" w:cs="宋体"/>
          <w:sz w:val="20"/>
          <w:szCs w:val="20"/>
        </w:rPr>
      </w:pPr>
      <w:r>
        <w:rPr>
          <w:rFonts w:ascii="宋体" w:hAnsi="宋体" w:eastAsia="宋体" w:cs="宋体"/>
          <w:spacing w:val="4"/>
          <w:sz w:val="20"/>
          <w:szCs w:val="20"/>
        </w:rPr>
        <w:t xml:space="preserve">法定代表人：  </w:t>
      </w:r>
      <w:r>
        <w:rPr>
          <w:rFonts w:ascii="宋体" w:hAnsi="宋体" w:eastAsia="宋体" w:cs="宋体"/>
          <w:spacing w:val="4"/>
          <w:sz w:val="20"/>
          <w:szCs w:val="20"/>
          <w:u w:val="single" w:color="auto"/>
        </w:rPr>
        <w:t xml:space="preserve">                        </w:t>
      </w:r>
      <w:r>
        <w:rPr>
          <w:rFonts w:ascii="宋体" w:hAnsi="宋体" w:eastAsia="宋体" w:cs="宋体"/>
          <w:spacing w:val="10"/>
          <w:sz w:val="20"/>
          <w:szCs w:val="20"/>
        </w:rPr>
        <w:t xml:space="preserve">  </w:t>
      </w:r>
      <w:r>
        <w:rPr>
          <w:rFonts w:ascii="宋体" w:hAnsi="宋体" w:eastAsia="宋体" w:cs="宋体"/>
          <w:spacing w:val="4"/>
          <w:sz w:val="20"/>
          <w:szCs w:val="20"/>
        </w:rPr>
        <w:t>法定代表人：</w:t>
      </w:r>
      <w:r>
        <w:rPr>
          <w:rFonts w:ascii="宋体" w:hAnsi="宋体" w:eastAsia="宋体" w:cs="宋体"/>
          <w:spacing w:val="4"/>
          <w:sz w:val="20"/>
          <w:szCs w:val="20"/>
          <w:u w:val="single" w:color="auto"/>
        </w:rPr>
        <w:t xml:space="preserve">                             </w:t>
      </w:r>
    </w:p>
    <w:p w14:paraId="3BFF3FE8">
      <w:pPr>
        <w:rPr>
          <w:rFonts w:ascii="Arial"/>
          <w:sz w:val="21"/>
        </w:rPr>
      </w:pPr>
    </w:p>
    <w:p w14:paraId="27CD22D0">
      <w:pPr>
        <w:spacing w:before="65" w:line="228" w:lineRule="auto"/>
        <w:rPr>
          <w:rFonts w:ascii="宋体" w:hAnsi="宋体" w:eastAsia="宋体" w:cs="宋体"/>
          <w:sz w:val="20"/>
          <w:szCs w:val="20"/>
        </w:rPr>
      </w:pPr>
      <w:r>
        <w:rPr>
          <w:rFonts w:ascii="宋体" w:hAnsi="宋体" w:eastAsia="宋体" w:cs="宋体"/>
          <w:spacing w:val="4"/>
          <w:sz w:val="20"/>
          <w:szCs w:val="20"/>
        </w:rPr>
        <w:t>委托代理人：</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委托代理人：</w:t>
      </w:r>
      <w:r>
        <w:rPr>
          <w:rFonts w:ascii="宋体" w:hAnsi="宋体" w:eastAsia="宋体" w:cs="宋体"/>
          <w:spacing w:val="4"/>
          <w:sz w:val="20"/>
          <w:szCs w:val="20"/>
          <w:u w:val="single" w:color="auto"/>
        </w:rPr>
        <w:t xml:space="preserve">                             </w:t>
      </w:r>
    </w:p>
    <w:p w14:paraId="23F4BC87">
      <w:pPr>
        <w:spacing w:before="305" w:line="230" w:lineRule="auto"/>
        <w:ind w:left="26"/>
        <w:rPr>
          <w:rFonts w:ascii="宋体" w:hAnsi="宋体" w:eastAsia="宋体" w:cs="宋体"/>
          <w:sz w:val="20"/>
          <w:szCs w:val="20"/>
        </w:rPr>
      </w:pPr>
      <w:r>
        <w:rPr>
          <w:rFonts w:ascii="宋体" w:hAnsi="宋体" w:eastAsia="宋体" w:cs="宋体"/>
          <w:spacing w:val="-7"/>
          <w:sz w:val="20"/>
          <w:szCs w:val="20"/>
        </w:rPr>
        <w:t>电</w:t>
      </w:r>
      <w:r>
        <w:rPr>
          <w:rFonts w:ascii="宋体" w:hAnsi="宋体" w:eastAsia="宋体" w:cs="宋体"/>
          <w:spacing w:val="9"/>
          <w:sz w:val="20"/>
          <w:szCs w:val="20"/>
        </w:rPr>
        <w:t xml:space="preserve">  </w:t>
      </w:r>
      <w:r>
        <w:rPr>
          <w:rFonts w:ascii="宋体" w:hAnsi="宋体" w:eastAsia="宋体" w:cs="宋体"/>
          <w:spacing w:val="-7"/>
          <w:sz w:val="20"/>
          <w:szCs w:val="20"/>
        </w:rPr>
        <w:t>话</w:t>
      </w:r>
      <w:r>
        <w:rPr>
          <w:rFonts w:ascii="宋体" w:hAnsi="宋体" w:eastAsia="宋体" w:cs="宋体"/>
          <w:spacing w:val="-73"/>
          <w:sz w:val="20"/>
          <w:szCs w:val="20"/>
        </w:rPr>
        <w:t xml:space="preserve"> </w:t>
      </w:r>
      <w:r>
        <w:rPr>
          <w:rFonts w:ascii="宋体" w:hAnsi="宋体" w:eastAsia="宋体" w:cs="宋体"/>
          <w:spacing w:val="-7"/>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31"/>
          <w:sz w:val="20"/>
          <w:szCs w:val="20"/>
        </w:rPr>
        <w:t xml:space="preserve">  </w:t>
      </w:r>
      <w:r>
        <w:rPr>
          <w:rFonts w:ascii="宋体" w:hAnsi="宋体" w:eastAsia="宋体" w:cs="宋体"/>
          <w:spacing w:val="-7"/>
          <w:sz w:val="20"/>
          <w:szCs w:val="20"/>
        </w:rPr>
        <w:t>电</w:t>
      </w:r>
      <w:r>
        <w:rPr>
          <w:rFonts w:ascii="宋体" w:hAnsi="宋体" w:eastAsia="宋体" w:cs="宋体"/>
          <w:spacing w:val="9"/>
          <w:sz w:val="20"/>
          <w:szCs w:val="20"/>
        </w:rPr>
        <w:t xml:space="preserve">  </w:t>
      </w:r>
      <w:r>
        <w:rPr>
          <w:rFonts w:ascii="宋体" w:hAnsi="宋体" w:eastAsia="宋体" w:cs="宋体"/>
          <w:spacing w:val="-7"/>
          <w:sz w:val="20"/>
          <w:szCs w:val="20"/>
        </w:rPr>
        <w:t>话</w:t>
      </w:r>
      <w:r>
        <w:rPr>
          <w:rFonts w:ascii="宋体" w:hAnsi="宋体" w:eastAsia="宋体" w:cs="宋体"/>
          <w:spacing w:val="-73"/>
          <w:sz w:val="20"/>
          <w:szCs w:val="20"/>
        </w:rPr>
        <w:t xml:space="preserve"> </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8"/>
          <w:sz w:val="20"/>
          <w:szCs w:val="20"/>
          <w:u w:val="single" w:color="auto"/>
        </w:rPr>
        <w:t xml:space="preserve">                       </w:t>
      </w:r>
    </w:p>
    <w:p w14:paraId="5C6939E1">
      <w:pPr>
        <w:spacing w:before="305" w:line="227" w:lineRule="auto"/>
        <w:rPr>
          <w:rFonts w:ascii="宋体" w:hAnsi="宋体" w:eastAsia="宋体" w:cs="宋体"/>
          <w:sz w:val="20"/>
          <w:szCs w:val="20"/>
        </w:rPr>
      </w:pPr>
      <w:r>
        <w:rPr>
          <w:rFonts w:ascii="宋体" w:hAnsi="宋体" w:eastAsia="宋体" w:cs="宋体"/>
          <w:spacing w:val="-3"/>
          <w:sz w:val="20"/>
          <w:szCs w:val="20"/>
        </w:rPr>
        <w:t>传</w:t>
      </w:r>
      <w:r>
        <w:rPr>
          <w:rFonts w:ascii="宋体" w:hAnsi="宋体" w:eastAsia="宋体" w:cs="宋体"/>
          <w:spacing w:val="11"/>
          <w:sz w:val="20"/>
          <w:szCs w:val="20"/>
        </w:rPr>
        <w:t xml:space="preserve">  </w:t>
      </w:r>
      <w:r>
        <w:rPr>
          <w:rFonts w:ascii="宋体" w:hAnsi="宋体" w:eastAsia="宋体" w:cs="宋体"/>
          <w:spacing w:val="-3"/>
          <w:sz w:val="20"/>
          <w:szCs w:val="20"/>
        </w:rPr>
        <w:t>真</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3"/>
          <w:sz w:val="20"/>
          <w:szCs w:val="20"/>
        </w:rPr>
        <w:t>传</w:t>
      </w:r>
      <w:r>
        <w:rPr>
          <w:rFonts w:ascii="宋体" w:hAnsi="宋体" w:eastAsia="宋体" w:cs="宋体"/>
          <w:spacing w:val="11"/>
          <w:sz w:val="20"/>
          <w:szCs w:val="20"/>
        </w:rPr>
        <w:t xml:space="preserve">  </w:t>
      </w:r>
      <w:r>
        <w:rPr>
          <w:rFonts w:ascii="宋体" w:hAnsi="宋体" w:eastAsia="宋体" w:cs="宋体"/>
          <w:spacing w:val="-3"/>
          <w:sz w:val="20"/>
          <w:szCs w:val="20"/>
        </w:rPr>
        <w:t>真</w:t>
      </w:r>
      <w:r>
        <w:rPr>
          <w:rFonts w:ascii="宋体" w:hAnsi="宋体" w:eastAsia="宋体" w:cs="宋体"/>
          <w:spacing w:val="-73"/>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r>
        <w:rPr>
          <w:rFonts w:ascii="宋体" w:hAnsi="宋体" w:eastAsia="宋体" w:cs="宋体"/>
          <w:spacing w:val="-4"/>
          <w:sz w:val="20"/>
          <w:szCs w:val="20"/>
          <w:u w:val="single" w:color="auto"/>
        </w:rPr>
        <w:t xml:space="preserve">  </w:t>
      </w:r>
    </w:p>
    <w:p w14:paraId="322657CF">
      <w:pPr>
        <w:spacing w:line="241" w:lineRule="auto"/>
        <w:rPr>
          <w:rFonts w:ascii="Arial"/>
          <w:sz w:val="21"/>
        </w:rPr>
      </w:pPr>
    </w:p>
    <w:p w14:paraId="10F92B70">
      <w:pPr>
        <w:spacing w:before="65" w:line="228" w:lineRule="auto"/>
        <w:ind w:left="26"/>
        <w:rPr>
          <w:rFonts w:ascii="宋体" w:hAnsi="宋体" w:eastAsia="宋体" w:cs="宋体"/>
          <w:sz w:val="20"/>
          <w:szCs w:val="20"/>
        </w:rPr>
      </w:pPr>
      <w:r>
        <w:rPr>
          <w:rFonts w:ascii="宋体" w:hAnsi="宋体" w:eastAsia="宋体" w:cs="宋体"/>
          <w:spacing w:val="3"/>
          <w:sz w:val="20"/>
          <w:szCs w:val="20"/>
        </w:rPr>
        <w:t>电子信箱：</w:t>
      </w:r>
      <w:r>
        <w:rPr>
          <w:rFonts w:ascii="宋体" w:hAnsi="宋体" w:eastAsia="宋体" w:cs="宋体"/>
          <w:spacing w:val="1"/>
          <w:sz w:val="20"/>
          <w:szCs w:val="20"/>
          <w:u w:val="single" w:color="auto"/>
        </w:rPr>
        <w:t xml:space="preserve">                             </w:t>
      </w:r>
      <w:r>
        <w:rPr>
          <w:rFonts w:ascii="宋体" w:hAnsi="宋体" w:eastAsia="宋体" w:cs="宋体"/>
          <w:spacing w:val="28"/>
          <w:sz w:val="20"/>
          <w:szCs w:val="20"/>
        </w:rPr>
        <w:t xml:space="preserve">  </w:t>
      </w:r>
      <w:r>
        <w:rPr>
          <w:rFonts w:ascii="宋体" w:hAnsi="宋体" w:eastAsia="宋体" w:cs="宋体"/>
          <w:spacing w:val="3"/>
          <w:sz w:val="20"/>
          <w:szCs w:val="20"/>
        </w:rPr>
        <w:t>电子信箱：</w:t>
      </w:r>
      <w:r>
        <w:rPr>
          <w:rFonts w:ascii="宋体" w:hAnsi="宋体" w:eastAsia="宋体" w:cs="宋体"/>
          <w:sz w:val="20"/>
          <w:szCs w:val="20"/>
          <w:u w:val="single" w:color="auto"/>
        </w:rPr>
        <w:t xml:space="preserve">                                </w:t>
      </w:r>
    </w:p>
    <w:p w14:paraId="00079CA2">
      <w:pPr>
        <w:spacing w:line="241" w:lineRule="auto"/>
        <w:rPr>
          <w:rFonts w:ascii="Arial"/>
          <w:sz w:val="21"/>
        </w:rPr>
      </w:pPr>
    </w:p>
    <w:p w14:paraId="726D3508">
      <w:pPr>
        <w:spacing w:before="66" w:line="228" w:lineRule="auto"/>
        <w:ind w:left="2"/>
        <w:outlineLvl w:val="1"/>
        <w:rPr>
          <w:rFonts w:ascii="宋体" w:hAnsi="宋体" w:eastAsia="宋体" w:cs="宋体"/>
          <w:sz w:val="20"/>
          <w:szCs w:val="20"/>
        </w:rPr>
      </w:pPr>
      <w:r>
        <w:rPr>
          <w:rFonts w:ascii="宋体" w:hAnsi="宋体" w:eastAsia="宋体" w:cs="宋体"/>
          <w:spacing w:val="4"/>
          <w:sz w:val="20"/>
          <w:szCs w:val="20"/>
        </w:rPr>
        <w:t>开户银行：</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开户银行：</w:t>
      </w:r>
      <w:r>
        <w:rPr>
          <w:rFonts w:ascii="宋体" w:hAnsi="宋体" w:eastAsia="宋体" w:cs="宋体"/>
          <w:spacing w:val="4"/>
          <w:sz w:val="20"/>
          <w:szCs w:val="20"/>
          <w:u w:val="single" w:color="auto"/>
        </w:rPr>
        <w:t xml:space="preserve">                               </w:t>
      </w:r>
    </w:p>
    <w:p w14:paraId="38B206B3">
      <w:pPr>
        <w:rPr>
          <w:rFonts w:ascii="Arial"/>
          <w:sz w:val="21"/>
        </w:rPr>
      </w:pPr>
    </w:p>
    <w:p w14:paraId="58F07456">
      <w:pPr>
        <w:spacing w:before="65" w:line="229" w:lineRule="auto"/>
        <w:ind w:left="5"/>
        <w:rPr>
          <w:rFonts w:ascii="宋体" w:hAnsi="宋体" w:eastAsia="宋体" w:cs="宋体"/>
          <w:sz w:val="20"/>
          <w:szCs w:val="20"/>
        </w:rPr>
      </w:pPr>
      <w:r>
        <w:rPr>
          <w:rFonts w:ascii="宋体" w:hAnsi="宋体" w:eastAsia="宋体" w:cs="宋体"/>
          <w:spacing w:val="-4"/>
          <w:sz w:val="20"/>
          <w:szCs w:val="20"/>
        </w:rPr>
        <w:t>账</w:t>
      </w:r>
      <w:r>
        <w:rPr>
          <w:rFonts w:ascii="宋体" w:hAnsi="宋体" w:eastAsia="宋体" w:cs="宋体"/>
          <w:spacing w:val="12"/>
          <w:sz w:val="20"/>
          <w:szCs w:val="20"/>
        </w:rPr>
        <w:t xml:space="preserve">  </w:t>
      </w:r>
      <w:r>
        <w:rPr>
          <w:rFonts w:ascii="宋体" w:hAnsi="宋体" w:eastAsia="宋体" w:cs="宋体"/>
          <w:spacing w:val="-4"/>
          <w:sz w:val="20"/>
          <w:szCs w:val="20"/>
        </w:rPr>
        <w:t>号</w:t>
      </w:r>
      <w:r>
        <w:rPr>
          <w:rFonts w:ascii="宋体" w:hAnsi="宋体" w:eastAsia="宋体" w:cs="宋体"/>
          <w:spacing w:val="-74"/>
          <w:sz w:val="20"/>
          <w:szCs w:val="20"/>
        </w:rPr>
        <w:t xml:space="preserve"> </w:t>
      </w:r>
      <w:r>
        <w:rPr>
          <w:rFonts w:ascii="宋体" w:hAnsi="宋体" w:eastAsia="宋体" w:cs="宋体"/>
          <w:spacing w:val="-4"/>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0"/>
          <w:sz w:val="20"/>
          <w:szCs w:val="20"/>
        </w:rPr>
        <w:t xml:space="preserve">  </w:t>
      </w:r>
      <w:r>
        <w:rPr>
          <w:rFonts w:ascii="宋体" w:hAnsi="宋体" w:eastAsia="宋体" w:cs="宋体"/>
          <w:spacing w:val="-4"/>
          <w:sz w:val="20"/>
          <w:szCs w:val="20"/>
        </w:rPr>
        <w:t>账</w:t>
      </w:r>
      <w:r>
        <w:rPr>
          <w:rFonts w:ascii="宋体" w:hAnsi="宋体" w:eastAsia="宋体" w:cs="宋体"/>
          <w:spacing w:val="12"/>
          <w:sz w:val="20"/>
          <w:szCs w:val="20"/>
        </w:rPr>
        <w:t xml:space="preserve">  </w:t>
      </w:r>
      <w:r>
        <w:rPr>
          <w:rFonts w:ascii="宋体" w:hAnsi="宋体" w:eastAsia="宋体" w:cs="宋体"/>
          <w:spacing w:val="-4"/>
          <w:sz w:val="20"/>
          <w:szCs w:val="20"/>
        </w:rPr>
        <w:t>号</w:t>
      </w:r>
      <w:r>
        <w:rPr>
          <w:rFonts w:ascii="宋体" w:hAnsi="宋体" w:eastAsia="宋体" w:cs="宋体"/>
          <w:spacing w:val="-73"/>
          <w:sz w:val="20"/>
          <w:szCs w:val="20"/>
        </w:rPr>
        <w:t xml:space="preserve"> </w:t>
      </w:r>
      <w:r>
        <w:rPr>
          <w:rFonts w:ascii="宋体" w:hAnsi="宋体" w:eastAsia="宋体" w:cs="宋体"/>
          <w:spacing w:val="-4"/>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5"/>
          <w:sz w:val="20"/>
          <w:szCs w:val="20"/>
          <w:u w:val="single" w:color="auto"/>
        </w:rPr>
        <w:t xml:space="preserve">                     </w:t>
      </w:r>
    </w:p>
    <w:p w14:paraId="7F731A65">
      <w:pPr>
        <w:spacing w:line="229" w:lineRule="auto"/>
        <w:rPr>
          <w:rFonts w:ascii="宋体" w:hAnsi="宋体" w:eastAsia="宋体" w:cs="宋体"/>
          <w:sz w:val="20"/>
          <w:szCs w:val="20"/>
        </w:rPr>
        <w:sectPr>
          <w:footerReference r:id="rId336" w:type="default"/>
          <w:pgSz w:w="11906" w:h="16839"/>
          <w:pgMar w:top="400" w:right="1785" w:bottom="1446" w:left="1537" w:header="0" w:footer="1284" w:gutter="0"/>
          <w:cols w:space="720" w:num="1"/>
        </w:sectPr>
      </w:pPr>
    </w:p>
    <w:p w14:paraId="6418C149">
      <w:pPr>
        <w:spacing w:line="262" w:lineRule="auto"/>
        <w:rPr>
          <w:rFonts w:ascii="Arial"/>
          <w:sz w:val="21"/>
        </w:rPr>
      </w:pPr>
    </w:p>
    <w:p w14:paraId="13F09208">
      <w:pPr>
        <w:spacing w:line="262" w:lineRule="auto"/>
        <w:rPr>
          <w:rFonts w:ascii="Arial"/>
          <w:sz w:val="21"/>
        </w:rPr>
      </w:pPr>
    </w:p>
    <w:p w14:paraId="73D32C4C">
      <w:pPr>
        <w:spacing w:line="262" w:lineRule="auto"/>
        <w:rPr>
          <w:rFonts w:ascii="Arial"/>
          <w:sz w:val="21"/>
        </w:rPr>
      </w:pPr>
    </w:p>
    <w:p w14:paraId="2ED5D65A">
      <w:pPr>
        <w:spacing w:line="262" w:lineRule="auto"/>
        <w:rPr>
          <w:rFonts w:ascii="Arial"/>
          <w:sz w:val="21"/>
        </w:rPr>
      </w:pPr>
    </w:p>
    <w:p w14:paraId="1E1E18A4">
      <w:pPr>
        <w:spacing w:line="262" w:lineRule="auto"/>
        <w:rPr>
          <w:rFonts w:ascii="Arial"/>
          <w:sz w:val="21"/>
        </w:rPr>
      </w:pPr>
    </w:p>
    <w:p w14:paraId="7F4700E8">
      <w:pPr>
        <w:spacing w:line="262" w:lineRule="auto"/>
        <w:rPr>
          <w:rFonts w:ascii="Arial"/>
          <w:sz w:val="21"/>
        </w:rPr>
      </w:pPr>
    </w:p>
    <w:p w14:paraId="36DB3775">
      <w:pPr>
        <w:pStyle w:val="2"/>
        <w:spacing w:before="91" w:line="222" w:lineRule="auto"/>
        <w:ind w:left="2886"/>
        <w:outlineLvl w:val="1"/>
        <w:rPr>
          <w:sz w:val="28"/>
          <w:szCs w:val="28"/>
        </w:rPr>
      </w:pPr>
      <w:bookmarkStart w:id="305" w:name="bookmark288"/>
      <w:bookmarkEnd w:id="305"/>
      <w:r>
        <w:rPr>
          <w:spacing w:val="-1"/>
          <w:sz w:val="28"/>
          <w:szCs w:val="28"/>
        </w:rPr>
        <w:t>第二部分  通用合同条款</w:t>
      </w:r>
    </w:p>
    <w:p w14:paraId="23D978CA">
      <w:pPr>
        <w:spacing w:line="291" w:lineRule="auto"/>
        <w:rPr>
          <w:rFonts w:ascii="Arial"/>
          <w:sz w:val="21"/>
        </w:rPr>
      </w:pPr>
    </w:p>
    <w:p w14:paraId="2E3DD015">
      <w:pPr>
        <w:spacing w:line="291" w:lineRule="auto"/>
        <w:rPr>
          <w:rFonts w:ascii="Arial"/>
          <w:sz w:val="21"/>
        </w:rPr>
      </w:pPr>
    </w:p>
    <w:p w14:paraId="6AC0489F">
      <w:pPr>
        <w:spacing w:before="65" w:line="228" w:lineRule="auto"/>
        <w:ind w:left="436"/>
        <w:outlineLvl w:val="2"/>
        <w:rPr>
          <w:rFonts w:ascii="宋体" w:hAnsi="宋体" w:eastAsia="宋体" w:cs="宋体"/>
          <w:sz w:val="20"/>
          <w:szCs w:val="20"/>
        </w:rPr>
      </w:pPr>
      <w:bookmarkStart w:id="306" w:name="bookmark289"/>
      <w:bookmarkEnd w:id="306"/>
      <w:r>
        <w:rPr>
          <w:rFonts w:ascii="宋体" w:hAnsi="宋体" w:eastAsia="宋体" w:cs="宋体"/>
          <w:b/>
          <w:bCs/>
          <w:spacing w:val="1"/>
          <w:sz w:val="20"/>
          <w:szCs w:val="20"/>
        </w:rPr>
        <w:t>1.</w:t>
      </w:r>
      <w:r>
        <w:rPr>
          <w:rFonts w:ascii="宋体" w:hAnsi="宋体" w:eastAsia="宋体" w:cs="宋体"/>
          <w:spacing w:val="16"/>
          <w:sz w:val="20"/>
          <w:szCs w:val="20"/>
        </w:rPr>
        <w:t xml:space="preserve"> </w:t>
      </w:r>
      <w:r>
        <w:rPr>
          <w:rFonts w:ascii="宋体" w:hAnsi="宋体" w:eastAsia="宋体" w:cs="宋体"/>
          <w:b/>
          <w:bCs/>
          <w:spacing w:val="1"/>
          <w:sz w:val="20"/>
          <w:szCs w:val="20"/>
        </w:rPr>
        <w:t>一般约定</w:t>
      </w:r>
    </w:p>
    <w:p w14:paraId="11F48AF0">
      <w:pPr>
        <w:spacing w:before="126" w:line="228" w:lineRule="auto"/>
        <w:ind w:left="436"/>
        <w:rPr>
          <w:rFonts w:ascii="宋体" w:hAnsi="宋体" w:eastAsia="宋体" w:cs="宋体"/>
          <w:sz w:val="20"/>
          <w:szCs w:val="20"/>
        </w:rPr>
      </w:pPr>
      <w:r>
        <w:rPr>
          <w:rFonts w:ascii="宋体" w:hAnsi="宋体" w:eastAsia="宋体" w:cs="宋体"/>
          <w:b/>
          <w:bCs/>
          <w:spacing w:val="3"/>
          <w:sz w:val="20"/>
          <w:szCs w:val="20"/>
        </w:rPr>
        <w:t>1.1</w:t>
      </w:r>
      <w:r>
        <w:rPr>
          <w:rFonts w:ascii="宋体" w:hAnsi="宋体" w:eastAsia="宋体" w:cs="宋体"/>
          <w:spacing w:val="-33"/>
          <w:sz w:val="20"/>
          <w:szCs w:val="20"/>
        </w:rPr>
        <w:t xml:space="preserve"> </w:t>
      </w:r>
      <w:r>
        <w:rPr>
          <w:rFonts w:ascii="宋体" w:hAnsi="宋体" w:eastAsia="宋体" w:cs="宋体"/>
          <w:b/>
          <w:bCs/>
          <w:spacing w:val="3"/>
          <w:sz w:val="20"/>
          <w:szCs w:val="20"/>
        </w:rPr>
        <w:t>词语定义与解释</w:t>
      </w:r>
    </w:p>
    <w:p w14:paraId="1206B75D">
      <w:pPr>
        <w:spacing w:before="128" w:line="227" w:lineRule="auto"/>
        <w:ind w:left="421"/>
        <w:rPr>
          <w:rFonts w:ascii="宋体" w:hAnsi="宋体" w:eastAsia="宋体" w:cs="宋体"/>
          <w:sz w:val="20"/>
          <w:szCs w:val="20"/>
        </w:rPr>
      </w:pPr>
      <w:r>
        <w:rPr>
          <w:rFonts w:ascii="宋体" w:hAnsi="宋体" w:eastAsia="宋体" w:cs="宋体"/>
          <w:spacing w:val="9"/>
          <w:sz w:val="20"/>
          <w:szCs w:val="20"/>
        </w:rPr>
        <w:t>合同协议书、通用合同条款、专用合同条款中的下列词语具有本款所赋予的含义：</w:t>
      </w:r>
    </w:p>
    <w:p w14:paraId="1D5E8C05">
      <w:pPr>
        <w:spacing w:before="128" w:line="230" w:lineRule="auto"/>
        <w:ind w:left="436"/>
        <w:rPr>
          <w:rFonts w:ascii="宋体" w:hAnsi="宋体" w:eastAsia="宋体" w:cs="宋体"/>
          <w:sz w:val="20"/>
          <w:szCs w:val="20"/>
        </w:rPr>
      </w:pPr>
      <w:r>
        <w:rPr>
          <w:rFonts w:ascii="宋体" w:hAnsi="宋体" w:eastAsia="宋体" w:cs="宋体"/>
          <w:b/>
          <w:bCs/>
          <w:sz w:val="20"/>
          <w:szCs w:val="20"/>
        </w:rPr>
        <w:t>1.1.1</w:t>
      </w:r>
      <w:r>
        <w:rPr>
          <w:rFonts w:ascii="宋体" w:hAnsi="宋体" w:eastAsia="宋体" w:cs="宋体"/>
          <w:spacing w:val="14"/>
          <w:sz w:val="20"/>
          <w:szCs w:val="20"/>
        </w:rPr>
        <w:t xml:space="preserve"> </w:t>
      </w:r>
      <w:r>
        <w:rPr>
          <w:rFonts w:ascii="宋体" w:hAnsi="宋体" w:eastAsia="宋体" w:cs="宋体"/>
          <w:b/>
          <w:bCs/>
          <w:sz w:val="20"/>
          <w:szCs w:val="20"/>
        </w:rPr>
        <w:t>合同</w:t>
      </w:r>
    </w:p>
    <w:p w14:paraId="1E721AB3">
      <w:pPr>
        <w:spacing w:before="124" w:line="346" w:lineRule="auto"/>
        <w:ind w:right="70" w:firstLine="435"/>
        <w:rPr>
          <w:rFonts w:ascii="宋体" w:hAnsi="宋体" w:eastAsia="宋体" w:cs="宋体"/>
          <w:sz w:val="20"/>
          <w:szCs w:val="20"/>
        </w:rPr>
      </w:pPr>
      <w:r>
        <w:rPr>
          <w:rFonts w:ascii="宋体" w:hAnsi="宋体" w:eastAsia="宋体" w:cs="宋体"/>
          <w:spacing w:val="9"/>
          <w:sz w:val="20"/>
          <w:szCs w:val="20"/>
        </w:rPr>
        <w:t>1.1.1.1 合同：是指根据法律规定和合同当事人约定具有约束力的文件，构成合同的文件包</w:t>
      </w:r>
      <w:r>
        <w:rPr>
          <w:rFonts w:ascii="宋体" w:hAnsi="宋体" w:eastAsia="宋体" w:cs="宋体"/>
          <w:spacing w:val="5"/>
          <w:sz w:val="20"/>
          <w:szCs w:val="20"/>
        </w:rPr>
        <w:t>括合同协议书、中标通知书（如果有）、投标函及其附录（如果有）、专用合同条款及其附件、通</w:t>
      </w:r>
      <w:r>
        <w:rPr>
          <w:rFonts w:ascii="宋体" w:hAnsi="宋体" w:eastAsia="宋体" w:cs="宋体"/>
          <w:spacing w:val="9"/>
          <w:sz w:val="20"/>
          <w:szCs w:val="20"/>
        </w:rPr>
        <w:t>用合同条款、技术标准和要求、图纸、已标价工程量清单或预算书以及其他合同文件。</w:t>
      </w:r>
    </w:p>
    <w:p w14:paraId="37F9EA93">
      <w:pPr>
        <w:spacing w:before="2" w:line="345" w:lineRule="auto"/>
        <w:ind w:left="5" w:right="70" w:firstLine="431"/>
        <w:rPr>
          <w:rFonts w:ascii="宋体" w:hAnsi="宋体" w:eastAsia="宋体" w:cs="宋体"/>
          <w:sz w:val="20"/>
          <w:szCs w:val="20"/>
        </w:rPr>
      </w:pPr>
      <w:r>
        <w:rPr>
          <w:rFonts w:ascii="宋体" w:hAnsi="宋体" w:eastAsia="宋体" w:cs="宋体"/>
          <w:spacing w:val="8"/>
          <w:sz w:val="20"/>
          <w:szCs w:val="20"/>
        </w:rPr>
        <w:t>1.1.1.2 合同协议书：是指构成合同的由发包人和承包人共同签署的称为“合同协议书</w:t>
      </w:r>
      <w:r>
        <w:rPr>
          <w:rFonts w:ascii="宋体" w:hAnsi="宋体" w:eastAsia="宋体" w:cs="宋体"/>
          <w:spacing w:val="-55"/>
          <w:sz w:val="20"/>
          <w:szCs w:val="20"/>
        </w:rPr>
        <w:t xml:space="preserve"> </w:t>
      </w:r>
      <w:r>
        <w:rPr>
          <w:rFonts w:ascii="宋体" w:hAnsi="宋体" w:eastAsia="宋体" w:cs="宋体"/>
          <w:spacing w:val="8"/>
          <w:sz w:val="20"/>
          <w:szCs w:val="20"/>
        </w:rPr>
        <w:t>”的</w:t>
      </w:r>
      <w:r>
        <w:rPr>
          <w:rFonts w:ascii="宋体" w:hAnsi="宋体" w:eastAsia="宋体" w:cs="宋体"/>
          <w:spacing w:val="5"/>
          <w:sz w:val="20"/>
          <w:szCs w:val="20"/>
        </w:rPr>
        <w:t>书面文件。</w:t>
      </w:r>
    </w:p>
    <w:p w14:paraId="3CFC5259">
      <w:pPr>
        <w:spacing w:line="226" w:lineRule="auto"/>
        <w:ind w:left="436"/>
        <w:rPr>
          <w:rFonts w:ascii="宋体" w:hAnsi="宋体" w:eastAsia="宋体" w:cs="宋体"/>
          <w:sz w:val="20"/>
          <w:szCs w:val="20"/>
        </w:rPr>
      </w:pPr>
      <w:r>
        <w:rPr>
          <w:rFonts w:ascii="宋体" w:hAnsi="宋体" w:eastAsia="宋体" w:cs="宋体"/>
          <w:spacing w:val="7"/>
          <w:sz w:val="20"/>
          <w:szCs w:val="20"/>
        </w:rPr>
        <w:t>1.1.1.3</w:t>
      </w:r>
      <w:r>
        <w:rPr>
          <w:rFonts w:ascii="宋体" w:hAnsi="宋体" w:eastAsia="宋体" w:cs="宋体"/>
          <w:spacing w:val="45"/>
          <w:sz w:val="20"/>
          <w:szCs w:val="20"/>
        </w:rPr>
        <w:t xml:space="preserve"> </w:t>
      </w:r>
      <w:r>
        <w:rPr>
          <w:rFonts w:ascii="宋体" w:hAnsi="宋体" w:eastAsia="宋体" w:cs="宋体"/>
          <w:spacing w:val="7"/>
          <w:sz w:val="20"/>
          <w:szCs w:val="20"/>
        </w:rPr>
        <w:t>中标通知书：是指构成合同的由发包人通知承包人中标的书面文件。</w:t>
      </w:r>
    </w:p>
    <w:p w14:paraId="08C0139C">
      <w:pPr>
        <w:spacing w:before="129" w:line="228" w:lineRule="auto"/>
        <w:jc w:val="right"/>
        <w:rPr>
          <w:rFonts w:ascii="宋体" w:hAnsi="宋体" w:eastAsia="宋体" w:cs="宋体"/>
          <w:sz w:val="20"/>
          <w:szCs w:val="20"/>
        </w:rPr>
      </w:pPr>
      <w:r>
        <w:rPr>
          <w:rFonts w:ascii="宋体" w:hAnsi="宋体" w:eastAsia="宋体" w:cs="宋体"/>
          <w:spacing w:val="5"/>
          <w:sz w:val="20"/>
          <w:szCs w:val="20"/>
        </w:rPr>
        <w:t>1.1.1.4 投标函：是指构成合同的由承包人填写并签署的用于投标的称为“投标函</w:t>
      </w:r>
      <w:r>
        <w:rPr>
          <w:rFonts w:ascii="宋体" w:hAnsi="宋体" w:eastAsia="宋体" w:cs="宋体"/>
          <w:spacing w:val="-58"/>
          <w:sz w:val="20"/>
          <w:szCs w:val="20"/>
        </w:rPr>
        <w:t xml:space="preserve"> </w:t>
      </w:r>
      <w:r>
        <w:rPr>
          <w:rFonts w:ascii="宋体" w:hAnsi="宋体" w:eastAsia="宋体" w:cs="宋体"/>
          <w:spacing w:val="5"/>
          <w:sz w:val="20"/>
          <w:szCs w:val="20"/>
        </w:rPr>
        <w:t>”的文件。</w:t>
      </w:r>
    </w:p>
    <w:p w14:paraId="6B62E539">
      <w:pPr>
        <w:spacing w:before="127" w:line="227" w:lineRule="auto"/>
        <w:ind w:left="436"/>
        <w:rPr>
          <w:rFonts w:ascii="宋体" w:hAnsi="宋体" w:eastAsia="宋体" w:cs="宋体"/>
          <w:sz w:val="20"/>
          <w:szCs w:val="20"/>
        </w:rPr>
      </w:pPr>
      <w:r>
        <w:rPr>
          <w:rFonts w:ascii="宋体" w:hAnsi="宋体" w:eastAsia="宋体" w:cs="宋体"/>
          <w:spacing w:val="7"/>
          <w:sz w:val="20"/>
          <w:szCs w:val="20"/>
        </w:rPr>
        <w:t>1.1.1.5 投标函附录：是指构成合同的附在投标函后的称为“投标函附录</w:t>
      </w:r>
      <w:r>
        <w:rPr>
          <w:rFonts w:ascii="宋体" w:hAnsi="宋体" w:eastAsia="宋体" w:cs="宋体"/>
          <w:spacing w:val="-54"/>
          <w:sz w:val="20"/>
          <w:szCs w:val="20"/>
        </w:rPr>
        <w:t xml:space="preserve"> </w:t>
      </w:r>
      <w:r>
        <w:rPr>
          <w:rFonts w:ascii="宋体" w:hAnsi="宋体" w:eastAsia="宋体" w:cs="宋体"/>
          <w:spacing w:val="7"/>
          <w:sz w:val="20"/>
          <w:szCs w:val="20"/>
        </w:rPr>
        <w:t>”的文件。</w:t>
      </w:r>
    </w:p>
    <w:p w14:paraId="11C76BE7">
      <w:pPr>
        <w:spacing w:before="128" w:line="346" w:lineRule="auto"/>
        <w:ind w:left="17" w:right="71" w:firstLine="418"/>
        <w:rPr>
          <w:rFonts w:ascii="宋体" w:hAnsi="宋体" w:eastAsia="宋体" w:cs="宋体"/>
          <w:sz w:val="20"/>
          <w:szCs w:val="20"/>
        </w:rPr>
      </w:pPr>
      <w:r>
        <w:rPr>
          <w:rFonts w:ascii="宋体" w:hAnsi="宋体" w:eastAsia="宋体" w:cs="宋体"/>
          <w:spacing w:val="9"/>
          <w:sz w:val="20"/>
          <w:szCs w:val="20"/>
        </w:rPr>
        <w:t>1.1.1.6 技术标准和要求：是指构成合同的施工应当遵守的或指导施工的国家、行业或地方</w:t>
      </w:r>
      <w:r>
        <w:rPr>
          <w:rFonts w:ascii="宋体" w:hAnsi="宋体" w:eastAsia="宋体" w:cs="宋体"/>
          <w:spacing w:val="8"/>
          <w:sz w:val="20"/>
          <w:szCs w:val="20"/>
        </w:rPr>
        <w:t>的技术标准和要求，以及合同约定的技术标准和要求。</w:t>
      </w:r>
    </w:p>
    <w:p w14:paraId="482721BB">
      <w:pPr>
        <w:spacing w:before="2" w:line="345" w:lineRule="auto"/>
        <w:ind w:right="71" w:firstLine="435"/>
        <w:rPr>
          <w:rFonts w:ascii="宋体" w:hAnsi="宋体" w:eastAsia="宋体" w:cs="宋体"/>
          <w:sz w:val="20"/>
          <w:szCs w:val="20"/>
        </w:rPr>
      </w:pPr>
      <w:r>
        <w:rPr>
          <w:rFonts w:ascii="宋体" w:hAnsi="宋体" w:eastAsia="宋体" w:cs="宋体"/>
          <w:spacing w:val="9"/>
          <w:sz w:val="20"/>
          <w:szCs w:val="20"/>
        </w:rPr>
        <w:t>1.1.1.7</w:t>
      </w:r>
      <w:r>
        <w:rPr>
          <w:rFonts w:ascii="宋体" w:hAnsi="宋体" w:eastAsia="宋体" w:cs="宋体"/>
          <w:spacing w:val="33"/>
          <w:sz w:val="20"/>
          <w:szCs w:val="20"/>
        </w:rPr>
        <w:t xml:space="preserve"> </w:t>
      </w:r>
      <w:r>
        <w:rPr>
          <w:rFonts w:ascii="宋体" w:hAnsi="宋体" w:eastAsia="宋体" w:cs="宋体"/>
          <w:spacing w:val="9"/>
          <w:sz w:val="20"/>
          <w:szCs w:val="20"/>
        </w:rPr>
        <w:t>图纸：是指构成合同的图纸</w:t>
      </w:r>
      <w:r>
        <w:rPr>
          <w:rFonts w:ascii="宋体" w:hAnsi="宋体" w:eastAsia="宋体" w:cs="宋体"/>
          <w:spacing w:val="8"/>
          <w:sz w:val="20"/>
          <w:szCs w:val="20"/>
        </w:rPr>
        <w:t>，包括由发包人按照合同约定提供或经发包人批准的设</w:t>
      </w:r>
      <w:r>
        <w:rPr>
          <w:rFonts w:ascii="宋体" w:hAnsi="宋体" w:eastAsia="宋体" w:cs="宋体"/>
          <w:spacing w:val="9"/>
          <w:sz w:val="20"/>
          <w:szCs w:val="20"/>
        </w:rPr>
        <w:t>计文件、施工图、鸟瞰图及模型等，</w:t>
      </w:r>
      <w:r>
        <w:rPr>
          <w:rFonts w:ascii="宋体" w:hAnsi="宋体" w:eastAsia="宋体" w:cs="宋体"/>
          <w:spacing w:val="-46"/>
          <w:sz w:val="20"/>
          <w:szCs w:val="20"/>
        </w:rPr>
        <w:t xml:space="preserve"> </w:t>
      </w:r>
      <w:r>
        <w:rPr>
          <w:rFonts w:ascii="宋体" w:hAnsi="宋体" w:eastAsia="宋体" w:cs="宋体"/>
          <w:spacing w:val="9"/>
          <w:sz w:val="20"/>
          <w:szCs w:val="20"/>
        </w:rPr>
        <w:t>以及在合同履行过程中形成的图纸文件。图纸应当按照法律</w:t>
      </w:r>
      <w:r>
        <w:rPr>
          <w:rFonts w:ascii="宋体" w:hAnsi="宋体" w:eastAsia="宋体" w:cs="宋体"/>
          <w:spacing w:val="7"/>
          <w:sz w:val="20"/>
          <w:szCs w:val="20"/>
        </w:rPr>
        <w:t>规定审查合格。</w:t>
      </w:r>
    </w:p>
    <w:p w14:paraId="68C6E1B6">
      <w:pPr>
        <w:spacing w:before="1" w:line="345" w:lineRule="auto"/>
        <w:ind w:right="71" w:firstLine="435"/>
        <w:rPr>
          <w:rFonts w:ascii="宋体" w:hAnsi="宋体" w:eastAsia="宋体" w:cs="宋体"/>
          <w:sz w:val="20"/>
          <w:szCs w:val="20"/>
        </w:rPr>
      </w:pPr>
      <w:r>
        <w:rPr>
          <w:rFonts w:ascii="宋体" w:hAnsi="宋体" w:eastAsia="宋体" w:cs="宋体"/>
          <w:spacing w:val="8"/>
          <w:sz w:val="20"/>
          <w:szCs w:val="20"/>
        </w:rPr>
        <w:t>1.1.1.8</w:t>
      </w:r>
      <w:r>
        <w:rPr>
          <w:rFonts w:ascii="宋体" w:hAnsi="宋体" w:eastAsia="宋体" w:cs="宋体"/>
          <w:spacing w:val="52"/>
          <w:sz w:val="20"/>
          <w:szCs w:val="20"/>
        </w:rPr>
        <w:t xml:space="preserve"> </w:t>
      </w:r>
      <w:r>
        <w:rPr>
          <w:rFonts w:ascii="宋体" w:hAnsi="宋体" w:eastAsia="宋体" w:cs="宋体"/>
          <w:spacing w:val="8"/>
          <w:sz w:val="20"/>
          <w:szCs w:val="20"/>
        </w:rPr>
        <w:t>已标价工程量清单：是指构成合同的由承包人按照规定的格式和要求填写并标明价格的工程量清单，包括说明和表格。</w:t>
      </w:r>
    </w:p>
    <w:p w14:paraId="42476C25">
      <w:pPr>
        <w:spacing w:before="2" w:line="345" w:lineRule="auto"/>
        <w:ind w:right="71" w:firstLine="436"/>
        <w:rPr>
          <w:rFonts w:ascii="宋体" w:hAnsi="宋体" w:eastAsia="宋体" w:cs="宋体"/>
          <w:sz w:val="20"/>
          <w:szCs w:val="20"/>
        </w:rPr>
      </w:pPr>
      <w:r>
        <w:rPr>
          <w:rFonts w:ascii="宋体" w:hAnsi="宋体" w:eastAsia="宋体" w:cs="宋体"/>
          <w:spacing w:val="9"/>
          <w:sz w:val="20"/>
          <w:szCs w:val="20"/>
        </w:rPr>
        <w:t>1.1.1.9 预算书：是指构成合同的由承包人按照发包人规定的格式和要求编制的工程预算文</w:t>
      </w:r>
      <w:r>
        <w:rPr>
          <w:rFonts w:ascii="宋体" w:hAnsi="宋体" w:eastAsia="宋体" w:cs="宋体"/>
          <w:sz w:val="20"/>
          <w:szCs w:val="20"/>
        </w:rPr>
        <w:t>件。</w:t>
      </w:r>
    </w:p>
    <w:p w14:paraId="46B59842">
      <w:pPr>
        <w:spacing w:before="1" w:line="345" w:lineRule="auto"/>
        <w:ind w:left="3" w:right="71" w:firstLine="432"/>
        <w:rPr>
          <w:rFonts w:ascii="宋体" w:hAnsi="宋体" w:eastAsia="宋体" w:cs="宋体"/>
          <w:sz w:val="20"/>
          <w:szCs w:val="20"/>
        </w:rPr>
      </w:pPr>
      <w:r>
        <w:rPr>
          <w:rFonts w:ascii="宋体" w:hAnsi="宋体" w:eastAsia="宋体" w:cs="宋体"/>
          <w:spacing w:val="7"/>
          <w:sz w:val="20"/>
          <w:szCs w:val="20"/>
        </w:rPr>
        <w:t>1.1.1.10 其他合同文件：是指经合同当事人约定</w:t>
      </w:r>
      <w:r>
        <w:rPr>
          <w:rFonts w:ascii="宋体" w:hAnsi="宋体" w:eastAsia="宋体" w:cs="宋体"/>
          <w:spacing w:val="6"/>
          <w:sz w:val="20"/>
          <w:szCs w:val="20"/>
        </w:rPr>
        <w:t>的与工程施工有关的具有合同约束力的文件</w:t>
      </w:r>
      <w:r>
        <w:rPr>
          <w:rFonts w:ascii="宋体" w:hAnsi="宋体" w:eastAsia="宋体" w:cs="宋体"/>
          <w:spacing w:val="9"/>
          <w:sz w:val="20"/>
          <w:szCs w:val="20"/>
        </w:rPr>
        <w:t>或书面协议。合同当事人可以在专用合同条款中进行约定。</w:t>
      </w:r>
    </w:p>
    <w:p w14:paraId="7BF35602">
      <w:pPr>
        <w:spacing w:line="228" w:lineRule="auto"/>
        <w:ind w:left="436"/>
        <w:rPr>
          <w:rFonts w:ascii="宋体" w:hAnsi="宋体" w:eastAsia="宋体" w:cs="宋体"/>
          <w:sz w:val="20"/>
          <w:szCs w:val="20"/>
        </w:rPr>
      </w:pPr>
      <w:r>
        <w:rPr>
          <w:rFonts w:ascii="宋体" w:hAnsi="宋体" w:eastAsia="宋体" w:cs="宋体"/>
          <w:b/>
          <w:bCs/>
          <w:spacing w:val="5"/>
          <w:sz w:val="20"/>
          <w:szCs w:val="20"/>
        </w:rPr>
        <w:t>1.1.2</w:t>
      </w:r>
      <w:r>
        <w:rPr>
          <w:rFonts w:ascii="宋体" w:hAnsi="宋体" w:eastAsia="宋体" w:cs="宋体"/>
          <w:spacing w:val="5"/>
          <w:sz w:val="20"/>
          <w:szCs w:val="20"/>
        </w:rPr>
        <w:t xml:space="preserve"> </w:t>
      </w:r>
      <w:r>
        <w:rPr>
          <w:rFonts w:ascii="宋体" w:hAnsi="宋体" w:eastAsia="宋体" w:cs="宋体"/>
          <w:b/>
          <w:bCs/>
          <w:spacing w:val="5"/>
          <w:sz w:val="20"/>
          <w:szCs w:val="20"/>
        </w:rPr>
        <w:t>合同当事人及其他相关方</w:t>
      </w:r>
    </w:p>
    <w:p w14:paraId="5DBB7C95">
      <w:pPr>
        <w:spacing w:before="127" w:line="228" w:lineRule="auto"/>
        <w:ind w:left="436"/>
        <w:rPr>
          <w:rFonts w:ascii="宋体" w:hAnsi="宋体" w:eastAsia="宋体" w:cs="宋体"/>
          <w:sz w:val="20"/>
          <w:szCs w:val="20"/>
        </w:rPr>
      </w:pPr>
      <w:r>
        <w:rPr>
          <w:rFonts w:ascii="宋体" w:hAnsi="宋体" w:eastAsia="宋体" w:cs="宋体"/>
          <w:spacing w:val="7"/>
          <w:sz w:val="20"/>
          <w:szCs w:val="20"/>
        </w:rPr>
        <w:t>1.1.2.1 合同当事人：是指发包人和（或）承包人。</w:t>
      </w:r>
    </w:p>
    <w:p w14:paraId="7FFC23B2">
      <w:pPr>
        <w:spacing w:before="128" w:line="227" w:lineRule="auto"/>
        <w:jc w:val="right"/>
        <w:rPr>
          <w:rFonts w:ascii="宋体" w:hAnsi="宋体" w:eastAsia="宋体" w:cs="宋体"/>
          <w:sz w:val="20"/>
          <w:szCs w:val="20"/>
        </w:rPr>
      </w:pPr>
      <w:r>
        <w:rPr>
          <w:rFonts w:ascii="宋体" w:hAnsi="宋体" w:eastAsia="宋体" w:cs="宋体"/>
          <w:spacing w:val="6"/>
          <w:sz w:val="20"/>
          <w:szCs w:val="20"/>
        </w:rPr>
        <w:t>1.1.2.2 发包人：是指与承包人签订合同协议书的当事人及取得该当事人资格的合法继</w:t>
      </w:r>
      <w:r>
        <w:rPr>
          <w:rFonts w:ascii="宋体" w:hAnsi="宋体" w:eastAsia="宋体" w:cs="宋体"/>
          <w:spacing w:val="5"/>
          <w:sz w:val="20"/>
          <w:szCs w:val="20"/>
        </w:rPr>
        <w:t>承人。</w:t>
      </w:r>
    </w:p>
    <w:p w14:paraId="5828B7B5">
      <w:pPr>
        <w:spacing w:before="127" w:line="346" w:lineRule="auto"/>
        <w:ind w:left="3" w:right="71" w:firstLine="432"/>
        <w:rPr>
          <w:rFonts w:ascii="宋体" w:hAnsi="宋体" w:eastAsia="宋体" w:cs="宋体"/>
          <w:sz w:val="20"/>
          <w:szCs w:val="20"/>
        </w:rPr>
      </w:pPr>
      <w:r>
        <w:rPr>
          <w:rFonts w:ascii="宋体" w:hAnsi="宋体" w:eastAsia="宋体" w:cs="宋体"/>
          <w:spacing w:val="9"/>
          <w:sz w:val="20"/>
          <w:szCs w:val="20"/>
        </w:rPr>
        <w:t>1.1.2.3 承包人：是指与发包人签订合同协议书的，具有相应工程施工承包资质的当事人及</w:t>
      </w:r>
      <w:r>
        <w:rPr>
          <w:rFonts w:ascii="宋体" w:hAnsi="宋体" w:eastAsia="宋体" w:cs="宋体"/>
          <w:spacing w:val="8"/>
          <w:sz w:val="20"/>
          <w:szCs w:val="20"/>
        </w:rPr>
        <w:t>取得该当事人资格的合法继承人。</w:t>
      </w:r>
    </w:p>
    <w:p w14:paraId="26910E35">
      <w:pPr>
        <w:spacing w:before="2" w:line="345" w:lineRule="auto"/>
        <w:ind w:left="5" w:right="71" w:firstLine="430"/>
        <w:rPr>
          <w:rFonts w:ascii="宋体" w:hAnsi="宋体" w:eastAsia="宋体" w:cs="宋体"/>
          <w:sz w:val="20"/>
          <w:szCs w:val="20"/>
        </w:rPr>
      </w:pPr>
      <w:r>
        <w:rPr>
          <w:rFonts w:ascii="宋体" w:hAnsi="宋体" w:eastAsia="宋体" w:cs="宋体"/>
          <w:spacing w:val="9"/>
          <w:sz w:val="20"/>
          <w:szCs w:val="20"/>
        </w:rPr>
        <w:t>1.1.2.4 监理人：是指在专用合同条款中指明的，受发包人委托按照法律规定进行工程监督</w:t>
      </w:r>
      <w:r>
        <w:rPr>
          <w:rFonts w:ascii="宋体" w:hAnsi="宋体" w:eastAsia="宋体" w:cs="宋体"/>
          <w:spacing w:val="7"/>
          <w:sz w:val="20"/>
          <w:szCs w:val="20"/>
        </w:rPr>
        <w:t>管理的法人或其他组织。</w:t>
      </w:r>
    </w:p>
    <w:p w14:paraId="118EB790">
      <w:pPr>
        <w:spacing w:line="227" w:lineRule="auto"/>
        <w:ind w:left="436"/>
        <w:rPr>
          <w:rFonts w:ascii="宋体" w:hAnsi="宋体" w:eastAsia="宋体" w:cs="宋体"/>
          <w:sz w:val="20"/>
          <w:szCs w:val="20"/>
        </w:rPr>
      </w:pPr>
      <w:r>
        <w:rPr>
          <w:rFonts w:ascii="宋体" w:hAnsi="宋体" w:eastAsia="宋体" w:cs="宋体"/>
          <w:spacing w:val="9"/>
          <w:sz w:val="20"/>
          <w:szCs w:val="20"/>
        </w:rPr>
        <w:t>1.1.2.5 设计人：是指在专用合同条款中指明的，受发包人委托负责工程设计并具备相应工</w:t>
      </w:r>
    </w:p>
    <w:p w14:paraId="77E98C35">
      <w:pPr>
        <w:spacing w:line="227" w:lineRule="auto"/>
        <w:rPr>
          <w:rFonts w:ascii="宋体" w:hAnsi="宋体" w:eastAsia="宋体" w:cs="宋体"/>
          <w:sz w:val="20"/>
          <w:szCs w:val="20"/>
        </w:rPr>
        <w:sectPr>
          <w:footerReference r:id="rId337" w:type="default"/>
          <w:pgSz w:w="11906" w:h="16839"/>
          <w:pgMar w:top="400" w:right="1462" w:bottom="1446" w:left="1538" w:header="0" w:footer="1284" w:gutter="0"/>
          <w:cols w:space="720" w:num="1"/>
        </w:sectPr>
      </w:pPr>
    </w:p>
    <w:p w14:paraId="5CF04273">
      <w:pPr>
        <w:spacing w:line="246" w:lineRule="auto"/>
        <w:rPr>
          <w:rFonts w:ascii="Arial"/>
          <w:sz w:val="21"/>
        </w:rPr>
      </w:pPr>
    </w:p>
    <w:p w14:paraId="6AA8864A">
      <w:pPr>
        <w:spacing w:line="246" w:lineRule="auto"/>
        <w:rPr>
          <w:rFonts w:ascii="Arial"/>
          <w:sz w:val="21"/>
        </w:rPr>
      </w:pPr>
    </w:p>
    <w:p w14:paraId="50800FCA">
      <w:pPr>
        <w:spacing w:line="246" w:lineRule="auto"/>
        <w:rPr>
          <w:rFonts w:ascii="Arial"/>
          <w:sz w:val="21"/>
        </w:rPr>
      </w:pPr>
    </w:p>
    <w:p w14:paraId="0018B32F">
      <w:pPr>
        <w:spacing w:line="246" w:lineRule="auto"/>
        <w:rPr>
          <w:rFonts w:ascii="Arial"/>
          <w:sz w:val="21"/>
        </w:rPr>
      </w:pPr>
    </w:p>
    <w:p w14:paraId="130CAA72">
      <w:pPr>
        <w:spacing w:line="247" w:lineRule="auto"/>
        <w:rPr>
          <w:rFonts w:ascii="Arial"/>
          <w:sz w:val="21"/>
        </w:rPr>
      </w:pPr>
    </w:p>
    <w:p w14:paraId="088F51DF">
      <w:pPr>
        <w:spacing w:line="247" w:lineRule="auto"/>
        <w:rPr>
          <w:rFonts w:ascii="Arial"/>
          <w:sz w:val="21"/>
        </w:rPr>
      </w:pPr>
    </w:p>
    <w:p w14:paraId="3F379167">
      <w:pPr>
        <w:spacing w:before="65" w:line="228" w:lineRule="auto"/>
        <w:rPr>
          <w:rFonts w:ascii="宋体" w:hAnsi="宋体" w:eastAsia="宋体" w:cs="宋体"/>
          <w:sz w:val="20"/>
          <w:szCs w:val="20"/>
        </w:rPr>
      </w:pPr>
      <w:r>
        <w:rPr>
          <w:rFonts w:ascii="宋体" w:hAnsi="宋体" w:eastAsia="宋体" w:cs="宋体"/>
          <w:spacing w:val="8"/>
          <w:sz w:val="20"/>
          <w:szCs w:val="20"/>
        </w:rPr>
        <w:t>程设计资质的法人或其他组织。</w:t>
      </w:r>
    </w:p>
    <w:p w14:paraId="766109EE">
      <w:pPr>
        <w:spacing w:before="126" w:line="346" w:lineRule="auto"/>
        <w:ind w:left="1" w:right="54" w:firstLine="435"/>
        <w:rPr>
          <w:rFonts w:ascii="宋体" w:hAnsi="宋体" w:eastAsia="宋体" w:cs="宋体"/>
          <w:sz w:val="20"/>
          <w:szCs w:val="20"/>
        </w:rPr>
      </w:pPr>
      <w:r>
        <w:rPr>
          <w:rFonts w:ascii="宋体" w:hAnsi="宋体" w:eastAsia="宋体" w:cs="宋体"/>
          <w:spacing w:val="9"/>
          <w:sz w:val="20"/>
          <w:szCs w:val="20"/>
        </w:rPr>
        <w:t>1.1.2.6 分包人：是指按照法律规定和合同约定，分包部分工程或工作，并与承包人签订分</w:t>
      </w:r>
      <w:r>
        <w:rPr>
          <w:rFonts w:ascii="宋体" w:hAnsi="宋体" w:eastAsia="宋体" w:cs="宋体"/>
          <w:spacing w:val="8"/>
          <w:sz w:val="20"/>
          <w:szCs w:val="20"/>
        </w:rPr>
        <w:t>包合同的具有相应资质的法人。</w:t>
      </w:r>
    </w:p>
    <w:p w14:paraId="6BC24EF0">
      <w:pPr>
        <w:spacing w:before="1" w:line="345" w:lineRule="auto"/>
        <w:ind w:left="2" w:right="54" w:firstLine="434"/>
        <w:rPr>
          <w:rFonts w:ascii="宋体" w:hAnsi="宋体" w:eastAsia="宋体" w:cs="宋体"/>
          <w:sz w:val="20"/>
          <w:szCs w:val="20"/>
        </w:rPr>
      </w:pPr>
      <w:r>
        <w:rPr>
          <w:rFonts w:ascii="宋体" w:hAnsi="宋体" w:eastAsia="宋体" w:cs="宋体"/>
          <w:spacing w:val="9"/>
          <w:sz w:val="20"/>
          <w:szCs w:val="20"/>
        </w:rPr>
        <w:t>1.1.2.7 发包人代表：是指由发包人任命并派驻施工现场在发包人授权范围内行使发包人权</w:t>
      </w:r>
      <w:r>
        <w:rPr>
          <w:rFonts w:ascii="宋体" w:hAnsi="宋体" w:eastAsia="宋体" w:cs="宋体"/>
          <w:spacing w:val="4"/>
          <w:sz w:val="20"/>
          <w:szCs w:val="20"/>
        </w:rPr>
        <w:t>利的人。</w:t>
      </w:r>
    </w:p>
    <w:p w14:paraId="3DC22CD5">
      <w:pPr>
        <w:spacing w:before="1" w:line="345" w:lineRule="auto"/>
        <w:ind w:left="1" w:firstLine="435"/>
        <w:rPr>
          <w:rFonts w:ascii="宋体" w:hAnsi="宋体" w:eastAsia="宋体" w:cs="宋体"/>
          <w:sz w:val="20"/>
          <w:szCs w:val="20"/>
        </w:rPr>
      </w:pPr>
      <w:r>
        <w:rPr>
          <w:rFonts w:ascii="宋体" w:hAnsi="宋体" w:eastAsia="宋体" w:cs="宋体"/>
          <w:spacing w:val="6"/>
          <w:sz w:val="20"/>
          <w:szCs w:val="20"/>
        </w:rPr>
        <w:t>1.1.2.8 项目经理：是指由承包人任命并派驻施工</w:t>
      </w:r>
      <w:r>
        <w:rPr>
          <w:rFonts w:ascii="宋体" w:hAnsi="宋体" w:eastAsia="宋体" w:cs="宋体"/>
          <w:spacing w:val="5"/>
          <w:sz w:val="20"/>
          <w:szCs w:val="20"/>
        </w:rPr>
        <w:t>现场，在承包人授权范围内负责合同履行，</w:t>
      </w:r>
      <w:r>
        <w:rPr>
          <w:rFonts w:ascii="宋体" w:hAnsi="宋体" w:eastAsia="宋体" w:cs="宋体"/>
          <w:spacing w:val="9"/>
          <w:sz w:val="20"/>
          <w:szCs w:val="20"/>
        </w:rPr>
        <w:t>且按照法律规定具有相应资格的项目负责人。</w:t>
      </w:r>
    </w:p>
    <w:p w14:paraId="6BE98442">
      <w:pPr>
        <w:spacing w:line="227" w:lineRule="auto"/>
        <w:ind w:left="437"/>
        <w:rPr>
          <w:rFonts w:ascii="宋体" w:hAnsi="宋体" w:eastAsia="宋体" w:cs="宋体"/>
          <w:sz w:val="20"/>
          <w:szCs w:val="20"/>
        </w:rPr>
      </w:pPr>
      <w:r>
        <w:rPr>
          <w:rFonts w:ascii="宋体" w:hAnsi="宋体" w:eastAsia="宋体" w:cs="宋体"/>
          <w:spacing w:val="8"/>
          <w:sz w:val="20"/>
          <w:szCs w:val="20"/>
        </w:rPr>
        <w:t>1.1.2.9 总监理工程师：是指由监理人任命并派驻施工现场进行工程监理的总负责人。</w:t>
      </w:r>
    </w:p>
    <w:p w14:paraId="27C912BC">
      <w:pPr>
        <w:spacing w:before="128" w:line="228" w:lineRule="auto"/>
        <w:ind w:left="437"/>
        <w:rPr>
          <w:rFonts w:ascii="宋体" w:hAnsi="宋体" w:eastAsia="宋体" w:cs="宋体"/>
          <w:sz w:val="20"/>
          <w:szCs w:val="20"/>
        </w:rPr>
      </w:pPr>
      <w:r>
        <w:rPr>
          <w:rFonts w:ascii="宋体" w:hAnsi="宋体" w:eastAsia="宋体" w:cs="宋体"/>
          <w:b/>
          <w:bCs/>
          <w:spacing w:val="3"/>
          <w:sz w:val="20"/>
          <w:szCs w:val="20"/>
        </w:rPr>
        <w:t>1.1.3</w:t>
      </w:r>
      <w:r>
        <w:rPr>
          <w:rFonts w:ascii="宋体" w:hAnsi="宋体" w:eastAsia="宋体" w:cs="宋体"/>
          <w:spacing w:val="3"/>
          <w:sz w:val="20"/>
          <w:szCs w:val="20"/>
        </w:rPr>
        <w:t xml:space="preserve"> </w:t>
      </w:r>
      <w:r>
        <w:rPr>
          <w:rFonts w:ascii="宋体" w:hAnsi="宋体" w:eastAsia="宋体" w:cs="宋体"/>
          <w:b/>
          <w:bCs/>
          <w:spacing w:val="3"/>
          <w:sz w:val="20"/>
          <w:szCs w:val="20"/>
        </w:rPr>
        <w:t>工程和设备</w:t>
      </w:r>
    </w:p>
    <w:p w14:paraId="59E1DB84">
      <w:pPr>
        <w:spacing w:before="127" w:line="227" w:lineRule="auto"/>
        <w:ind w:left="437"/>
        <w:rPr>
          <w:rFonts w:ascii="宋体" w:hAnsi="宋体" w:eastAsia="宋体" w:cs="宋体"/>
          <w:sz w:val="20"/>
          <w:szCs w:val="20"/>
        </w:rPr>
      </w:pPr>
      <w:r>
        <w:rPr>
          <w:rFonts w:ascii="宋体" w:hAnsi="宋体" w:eastAsia="宋体" w:cs="宋体"/>
          <w:spacing w:val="8"/>
          <w:sz w:val="20"/>
          <w:szCs w:val="20"/>
        </w:rPr>
        <w:t>1.1.3.1 工程：是指与合同协议书中工程承包范围对应的永久工程和（或）临时工程。</w:t>
      </w:r>
    </w:p>
    <w:p w14:paraId="56E4628A">
      <w:pPr>
        <w:spacing w:before="128" w:line="228" w:lineRule="auto"/>
        <w:ind w:left="437"/>
        <w:rPr>
          <w:rFonts w:ascii="宋体" w:hAnsi="宋体" w:eastAsia="宋体" w:cs="宋体"/>
          <w:sz w:val="20"/>
          <w:szCs w:val="20"/>
        </w:rPr>
      </w:pPr>
      <w:r>
        <w:rPr>
          <w:rFonts w:ascii="宋体" w:hAnsi="宋体" w:eastAsia="宋体" w:cs="宋体"/>
          <w:spacing w:val="8"/>
          <w:sz w:val="20"/>
          <w:szCs w:val="20"/>
        </w:rPr>
        <w:t>1.1.3.2 永久工程：是指按合同约定建造并移交给发包人的工程，包括工程设备。</w:t>
      </w:r>
    </w:p>
    <w:p w14:paraId="1EC4DA56">
      <w:pPr>
        <w:spacing w:before="127" w:line="346" w:lineRule="auto"/>
        <w:ind w:left="5" w:right="54" w:firstLine="432"/>
        <w:rPr>
          <w:rFonts w:ascii="宋体" w:hAnsi="宋体" w:eastAsia="宋体" w:cs="宋体"/>
          <w:sz w:val="20"/>
          <w:szCs w:val="20"/>
        </w:rPr>
      </w:pPr>
      <w:r>
        <w:rPr>
          <w:rFonts w:ascii="宋体" w:hAnsi="宋体" w:eastAsia="宋体" w:cs="宋体"/>
          <w:spacing w:val="9"/>
          <w:sz w:val="20"/>
          <w:szCs w:val="20"/>
        </w:rPr>
        <w:t>1.1.3.3 临时工程：是指为完成合同约定的永久工程所修建的各类临时性工程，不包括施工</w:t>
      </w:r>
      <w:r>
        <w:rPr>
          <w:rFonts w:ascii="宋体" w:hAnsi="宋体" w:eastAsia="宋体" w:cs="宋体"/>
          <w:spacing w:val="2"/>
          <w:sz w:val="20"/>
          <w:szCs w:val="20"/>
        </w:rPr>
        <w:t>设备。</w:t>
      </w:r>
    </w:p>
    <w:p w14:paraId="7B5FF4BF">
      <w:pPr>
        <w:spacing w:before="1" w:line="345" w:lineRule="auto"/>
        <w:ind w:right="105" w:firstLine="437"/>
        <w:rPr>
          <w:rFonts w:ascii="宋体" w:hAnsi="宋体" w:eastAsia="宋体" w:cs="宋体"/>
          <w:sz w:val="20"/>
          <w:szCs w:val="20"/>
        </w:rPr>
      </w:pPr>
      <w:r>
        <w:rPr>
          <w:rFonts w:ascii="宋体" w:hAnsi="宋体" w:eastAsia="宋体" w:cs="宋体"/>
          <w:spacing w:val="8"/>
          <w:sz w:val="20"/>
          <w:szCs w:val="20"/>
        </w:rPr>
        <w:t>1.1.3.4 单位工程：是指在合同协议书中指明的，有独立的设计文件，能够</w:t>
      </w:r>
      <w:r>
        <w:rPr>
          <w:rFonts w:ascii="宋体" w:hAnsi="宋体" w:eastAsia="宋体" w:cs="宋体"/>
          <w:spacing w:val="7"/>
          <w:sz w:val="20"/>
          <w:szCs w:val="20"/>
        </w:rPr>
        <w:t>独立组织施工，</w:t>
      </w:r>
      <w:r>
        <w:rPr>
          <w:rFonts w:ascii="宋体" w:hAnsi="宋体" w:eastAsia="宋体" w:cs="宋体"/>
          <w:spacing w:val="9"/>
          <w:sz w:val="20"/>
          <w:szCs w:val="20"/>
        </w:rPr>
        <w:t>但不能独立发挥生产能力或使用功能的工程。</w:t>
      </w:r>
    </w:p>
    <w:p w14:paraId="536E183F">
      <w:pPr>
        <w:spacing w:before="2" w:line="345" w:lineRule="auto"/>
        <w:ind w:left="2" w:right="54" w:firstLine="434"/>
        <w:rPr>
          <w:rFonts w:ascii="宋体" w:hAnsi="宋体" w:eastAsia="宋体" w:cs="宋体"/>
          <w:sz w:val="20"/>
          <w:szCs w:val="20"/>
        </w:rPr>
      </w:pPr>
      <w:r>
        <w:rPr>
          <w:rFonts w:ascii="宋体" w:hAnsi="宋体" w:eastAsia="宋体" w:cs="宋体"/>
          <w:spacing w:val="9"/>
          <w:sz w:val="20"/>
          <w:szCs w:val="20"/>
        </w:rPr>
        <w:t>1.1.3.5 工程设备：是指构成永久工程的机电设备、金属结构设备、仪器及其他类似的设备</w:t>
      </w:r>
      <w:r>
        <w:rPr>
          <w:rFonts w:ascii="宋体" w:hAnsi="宋体" w:eastAsia="宋体" w:cs="宋体"/>
          <w:spacing w:val="4"/>
          <w:sz w:val="20"/>
          <w:szCs w:val="20"/>
        </w:rPr>
        <w:t>和装置。</w:t>
      </w:r>
    </w:p>
    <w:p w14:paraId="691FAEE6">
      <w:pPr>
        <w:spacing w:before="1" w:line="345" w:lineRule="auto"/>
        <w:ind w:left="1" w:right="54" w:firstLine="435"/>
        <w:rPr>
          <w:rFonts w:ascii="宋体" w:hAnsi="宋体" w:eastAsia="宋体" w:cs="宋体"/>
          <w:sz w:val="20"/>
          <w:szCs w:val="20"/>
        </w:rPr>
      </w:pPr>
      <w:r>
        <w:rPr>
          <w:rFonts w:ascii="宋体" w:hAnsi="宋体" w:eastAsia="宋体" w:cs="宋体"/>
          <w:spacing w:val="9"/>
          <w:sz w:val="20"/>
          <w:szCs w:val="20"/>
        </w:rPr>
        <w:t>1.1.3.6 施工设备：是指为完成合同约定的各项工作所需的设备、器具和其他物品，但不包</w:t>
      </w:r>
      <w:r>
        <w:rPr>
          <w:rFonts w:ascii="宋体" w:hAnsi="宋体" w:eastAsia="宋体" w:cs="宋体"/>
          <w:spacing w:val="8"/>
          <w:sz w:val="20"/>
          <w:szCs w:val="20"/>
        </w:rPr>
        <w:t>括工程设备、临时工程和材料。</w:t>
      </w:r>
    </w:p>
    <w:p w14:paraId="05CECB41">
      <w:pPr>
        <w:spacing w:before="1" w:line="345" w:lineRule="auto"/>
        <w:ind w:left="3" w:right="54" w:firstLine="433"/>
        <w:rPr>
          <w:rFonts w:ascii="宋体" w:hAnsi="宋体" w:eastAsia="宋体" w:cs="宋体"/>
          <w:sz w:val="20"/>
          <w:szCs w:val="20"/>
        </w:rPr>
      </w:pPr>
      <w:r>
        <w:rPr>
          <w:rFonts w:ascii="宋体" w:hAnsi="宋体" w:eastAsia="宋体" w:cs="宋体"/>
          <w:spacing w:val="8"/>
          <w:sz w:val="20"/>
          <w:szCs w:val="20"/>
        </w:rPr>
        <w:t>1.1.3.7 施工现场：是指用于工程施工的场所，</w:t>
      </w:r>
      <w:r>
        <w:rPr>
          <w:rFonts w:ascii="宋体" w:hAnsi="宋体" w:eastAsia="宋体" w:cs="宋体"/>
          <w:spacing w:val="-56"/>
          <w:sz w:val="20"/>
          <w:szCs w:val="20"/>
        </w:rPr>
        <w:t xml:space="preserve"> </w:t>
      </w:r>
      <w:r>
        <w:rPr>
          <w:rFonts w:ascii="宋体" w:hAnsi="宋体" w:eastAsia="宋体" w:cs="宋体"/>
          <w:spacing w:val="8"/>
          <w:sz w:val="20"/>
          <w:szCs w:val="20"/>
        </w:rPr>
        <w:t>以及在专用合同条款中指明作为施工场所组成部分的其他场所，包括永久占地和临时占地。</w:t>
      </w:r>
    </w:p>
    <w:p w14:paraId="6AA2D278">
      <w:pPr>
        <w:spacing w:before="1" w:line="227" w:lineRule="auto"/>
        <w:ind w:left="437"/>
        <w:rPr>
          <w:rFonts w:ascii="宋体" w:hAnsi="宋体" w:eastAsia="宋体" w:cs="宋体"/>
          <w:sz w:val="20"/>
          <w:szCs w:val="20"/>
        </w:rPr>
      </w:pPr>
      <w:r>
        <w:rPr>
          <w:rFonts w:ascii="宋体" w:hAnsi="宋体" w:eastAsia="宋体" w:cs="宋体"/>
          <w:spacing w:val="8"/>
          <w:sz w:val="20"/>
          <w:szCs w:val="20"/>
        </w:rPr>
        <w:t>1.1.3.8 临时设施：是指为完成合同约定的各项工作所服务的临时性生产和生活设施。</w:t>
      </w:r>
    </w:p>
    <w:p w14:paraId="0D1B047A">
      <w:pPr>
        <w:spacing w:before="127" w:line="228" w:lineRule="auto"/>
        <w:ind w:left="437"/>
        <w:rPr>
          <w:rFonts w:ascii="宋体" w:hAnsi="宋体" w:eastAsia="宋体" w:cs="宋体"/>
          <w:sz w:val="20"/>
          <w:szCs w:val="20"/>
        </w:rPr>
      </w:pPr>
      <w:r>
        <w:rPr>
          <w:rFonts w:ascii="宋体" w:hAnsi="宋体" w:eastAsia="宋体" w:cs="宋体"/>
          <w:spacing w:val="8"/>
          <w:sz w:val="20"/>
          <w:szCs w:val="20"/>
        </w:rPr>
        <w:t>1.1.3.9 永久占地：是指专用合同条款中指明为实施工程需永久占用的土地。</w:t>
      </w:r>
    </w:p>
    <w:p w14:paraId="7A72BDDF">
      <w:pPr>
        <w:spacing w:before="128" w:line="228" w:lineRule="auto"/>
        <w:ind w:left="437"/>
        <w:rPr>
          <w:rFonts w:ascii="宋体" w:hAnsi="宋体" w:eastAsia="宋体" w:cs="宋体"/>
          <w:sz w:val="20"/>
          <w:szCs w:val="20"/>
        </w:rPr>
      </w:pPr>
      <w:r>
        <w:rPr>
          <w:rFonts w:ascii="宋体" w:hAnsi="宋体" w:eastAsia="宋体" w:cs="宋体"/>
          <w:spacing w:val="8"/>
          <w:sz w:val="20"/>
          <w:szCs w:val="20"/>
        </w:rPr>
        <w:t>1.1.3.10 临时占地：是指专用合同条款中指明为实施工程需要临时占用的土</w:t>
      </w:r>
      <w:r>
        <w:rPr>
          <w:rFonts w:ascii="宋体" w:hAnsi="宋体" w:eastAsia="宋体" w:cs="宋体"/>
          <w:spacing w:val="7"/>
          <w:sz w:val="20"/>
          <w:szCs w:val="20"/>
        </w:rPr>
        <w:t>地。</w:t>
      </w:r>
    </w:p>
    <w:p w14:paraId="55256E22">
      <w:pPr>
        <w:spacing w:before="128" w:line="228" w:lineRule="auto"/>
        <w:ind w:left="437"/>
        <w:rPr>
          <w:rFonts w:ascii="宋体" w:hAnsi="宋体" w:eastAsia="宋体" w:cs="宋体"/>
          <w:sz w:val="20"/>
          <w:szCs w:val="20"/>
        </w:rPr>
      </w:pPr>
      <w:r>
        <w:rPr>
          <w:rFonts w:ascii="宋体" w:hAnsi="宋体" w:eastAsia="宋体" w:cs="宋体"/>
          <w:b/>
          <w:bCs/>
          <w:spacing w:val="-1"/>
          <w:sz w:val="20"/>
          <w:szCs w:val="20"/>
        </w:rPr>
        <w:t>1.1.4</w:t>
      </w:r>
      <w:r>
        <w:rPr>
          <w:rFonts w:ascii="宋体" w:hAnsi="宋体" w:eastAsia="宋体" w:cs="宋体"/>
          <w:spacing w:val="49"/>
          <w:sz w:val="20"/>
          <w:szCs w:val="20"/>
        </w:rPr>
        <w:t xml:space="preserve"> </w:t>
      </w:r>
      <w:r>
        <w:rPr>
          <w:rFonts w:ascii="宋体" w:hAnsi="宋体" w:eastAsia="宋体" w:cs="宋体"/>
          <w:b/>
          <w:bCs/>
          <w:spacing w:val="-1"/>
          <w:sz w:val="20"/>
          <w:szCs w:val="20"/>
        </w:rPr>
        <w:t>日期和期限</w:t>
      </w:r>
    </w:p>
    <w:p w14:paraId="7AD455E4">
      <w:pPr>
        <w:spacing w:before="126" w:line="346" w:lineRule="auto"/>
        <w:ind w:left="2" w:right="54" w:firstLine="434"/>
        <w:rPr>
          <w:rFonts w:ascii="宋体" w:hAnsi="宋体" w:eastAsia="宋体" w:cs="宋体"/>
          <w:sz w:val="20"/>
          <w:szCs w:val="20"/>
        </w:rPr>
      </w:pPr>
      <w:r>
        <w:rPr>
          <w:rFonts w:ascii="宋体" w:hAnsi="宋体" w:eastAsia="宋体" w:cs="宋体"/>
          <w:spacing w:val="9"/>
          <w:sz w:val="20"/>
          <w:szCs w:val="20"/>
        </w:rPr>
        <w:t>1.1.4.1 开工日期：包括计划开工日期和实际开工日期。计划开工日期是指合同协议书约定的开工日期；实际开工日期是指监理人按照第</w:t>
      </w:r>
      <w:r>
        <w:rPr>
          <w:rFonts w:ascii="宋体" w:hAnsi="宋体" w:eastAsia="宋体" w:cs="宋体"/>
          <w:spacing w:val="-28"/>
          <w:sz w:val="20"/>
          <w:szCs w:val="20"/>
        </w:rPr>
        <w:t xml:space="preserve"> </w:t>
      </w:r>
      <w:r>
        <w:rPr>
          <w:rFonts w:ascii="宋体" w:hAnsi="宋体" w:eastAsia="宋体" w:cs="宋体"/>
          <w:spacing w:val="9"/>
          <w:sz w:val="20"/>
          <w:szCs w:val="20"/>
        </w:rPr>
        <w:t>7.3.2</w:t>
      </w:r>
      <w:r>
        <w:rPr>
          <w:rFonts w:ascii="宋体" w:hAnsi="宋体" w:eastAsia="宋体" w:cs="宋体"/>
          <w:spacing w:val="-37"/>
          <w:sz w:val="20"/>
          <w:szCs w:val="20"/>
        </w:rPr>
        <w:t xml:space="preserve"> </w:t>
      </w:r>
      <w:r>
        <w:rPr>
          <w:rFonts w:ascii="宋体" w:hAnsi="宋体" w:eastAsia="宋体" w:cs="宋体"/>
          <w:spacing w:val="9"/>
          <w:sz w:val="20"/>
          <w:szCs w:val="20"/>
        </w:rPr>
        <w:t>项〔开工通知〕约定发出的符合法律规定的</w:t>
      </w:r>
      <w:r>
        <w:rPr>
          <w:rFonts w:ascii="宋体" w:hAnsi="宋体" w:eastAsia="宋体" w:cs="宋体"/>
          <w:spacing w:val="8"/>
          <w:sz w:val="20"/>
          <w:szCs w:val="20"/>
        </w:rPr>
        <w:t>开工通知中载明的开工日期。</w:t>
      </w:r>
    </w:p>
    <w:p w14:paraId="032541BB">
      <w:pPr>
        <w:spacing w:before="1" w:line="345" w:lineRule="auto"/>
        <w:ind w:left="18" w:right="54" w:firstLine="418"/>
        <w:rPr>
          <w:rFonts w:ascii="宋体" w:hAnsi="宋体" w:eastAsia="宋体" w:cs="宋体"/>
          <w:sz w:val="20"/>
          <w:szCs w:val="20"/>
        </w:rPr>
      </w:pPr>
      <w:r>
        <w:rPr>
          <w:rFonts w:ascii="宋体" w:hAnsi="宋体" w:eastAsia="宋体" w:cs="宋体"/>
          <w:spacing w:val="9"/>
          <w:sz w:val="20"/>
          <w:szCs w:val="20"/>
        </w:rPr>
        <w:t>1.1.4.2 竣工日期：包括计划竣工日期和实际竣工日期。计划竣工日期是指合同协议书约定</w:t>
      </w:r>
      <w:r>
        <w:rPr>
          <w:rFonts w:ascii="宋体" w:hAnsi="宋体" w:eastAsia="宋体" w:cs="宋体"/>
          <w:spacing w:val="7"/>
          <w:sz w:val="20"/>
          <w:szCs w:val="20"/>
        </w:rPr>
        <w:t>的竣工日期；实际竣工日期按照第</w:t>
      </w:r>
      <w:r>
        <w:rPr>
          <w:rFonts w:ascii="宋体" w:hAnsi="宋体" w:eastAsia="宋体" w:cs="宋体"/>
          <w:spacing w:val="-24"/>
          <w:sz w:val="20"/>
          <w:szCs w:val="20"/>
        </w:rPr>
        <w:t xml:space="preserve"> </w:t>
      </w:r>
      <w:r>
        <w:rPr>
          <w:rFonts w:ascii="宋体" w:hAnsi="宋体" w:eastAsia="宋体" w:cs="宋体"/>
          <w:spacing w:val="7"/>
          <w:sz w:val="20"/>
          <w:szCs w:val="20"/>
        </w:rPr>
        <w:t>13.2.3</w:t>
      </w:r>
      <w:r>
        <w:rPr>
          <w:rFonts w:ascii="宋体" w:hAnsi="宋体" w:eastAsia="宋体" w:cs="宋体"/>
          <w:spacing w:val="-34"/>
          <w:sz w:val="20"/>
          <w:szCs w:val="20"/>
        </w:rPr>
        <w:t xml:space="preserve"> </w:t>
      </w:r>
      <w:r>
        <w:rPr>
          <w:rFonts w:ascii="宋体" w:hAnsi="宋体" w:eastAsia="宋体" w:cs="宋体"/>
          <w:spacing w:val="7"/>
          <w:sz w:val="20"/>
          <w:szCs w:val="20"/>
        </w:rPr>
        <w:t>项〔竣工日期〕的约定</w:t>
      </w:r>
      <w:r>
        <w:rPr>
          <w:rFonts w:ascii="宋体" w:hAnsi="宋体" w:eastAsia="宋体" w:cs="宋体"/>
          <w:spacing w:val="6"/>
          <w:sz w:val="20"/>
          <w:szCs w:val="20"/>
        </w:rPr>
        <w:t>确定。</w:t>
      </w:r>
    </w:p>
    <w:p w14:paraId="72774014">
      <w:pPr>
        <w:spacing w:before="1" w:line="345" w:lineRule="auto"/>
        <w:ind w:left="2" w:right="54" w:firstLine="434"/>
        <w:rPr>
          <w:rFonts w:ascii="宋体" w:hAnsi="宋体" w:eastAsia="宋体" w:cs="宋体"/>
          <w:sz w:val="20"/>
          <w:szCs w:val="20"/>
        </w:rPr>
      </w:pPr>
      <w:r>
        <w:rPr>
          <w:rFonts w:ascii="宋体" w:hAnsi="宋体" w:eastAsia="宋体" w:cs="宋体"/>
          <w:spacing w:val="9"/>
          <w:sz w:val="20"/>
          <w:szCs w:val="20"/>
        </w:rPr>
        <w:t>1.1.4.3 工期：是指在合同协议书约定的承包人完成工程所需的期限，包括按照合同约定所</w:t>
      </w:r>
      <w:r>
        <w:rPr>
          <w:rFonts w:ascii="宋体" w:hAnsi="宋体" w:eastAsia="宋体" w:cs="宋体"/>
          <w:spacing w:val="6"/>
          <w:sz w:val="20"/>
          <w:szCs w:val="20"/>
        </w:rPr>
        <w:t>作的期限变更。</w:t>
      </w:r>
    </w:p>
    <w:p w14:paraId="0F7D936B">
      <w:pPr>
        <w:spacing w:before="2" w:line="346" w:lineRule="auto"/>
        <w:ind w:left="3" w:right="54" w:firstLine="433"/>
        <w:rPr>
          <w:rFonts w:ascii="宋体" w:hAnsi="宋体" w:eastAsia="宋体" w:cs="宋体"/>
          <w:sz w:val="20"/>
          <w:szCs w:val="20"/>
        </w:rPr>
      </w:pPr>
      <w:r>
        <w:rPr>
          <w:rFonts w:ascii="宋体" w:hAnsi="宋体" w:eastAsia="宋体" w:cs="宋体"/>
          <w:spacing w:val="9"/>
          <w:sz w:val="20"/>
          <w:szCs w:val="20"/>
        </w:rPr>
        <w:t>1.1.4.4 缺陷责任期：是指承包人按照合同约定承担缺陷修复义务，且发包人预留质量保证</w:t>
      </w:r>
      <w:r>
        <w:rPr>
          <w:rFonts w:ascii="宋体" w:hAnsi="宋体" w:eastAsia="宋体" w:cs="宋体"/>
          <w:spacing w:val="6"/>
          <w:sz w:val="20"/>
          <w:szCs w:val="20"/>
        </w:rPr>
        <w:t>金的期限，</w:t>
      </w:r>
      <w:r>
        <w:rPr>
          <w:rFonts w:ascii="宋体" w:hAnsi="宋体" w:eastAsia="宋体" w:cs="宋体"/>
          <w:spacing w:val="-50"/>
          <w:sz w:val="20"/>
          <w:szCs w:val="20"/>
        </w:rPr>
        <w:t xml:space="preserve"> </w:t>
      </w:r>
      <w:r>
        <w:rPr>
          <w:rFonts w:ascii="宋体" w:hAnsi="宋体" w:eastAsia="宋体" w:cs="宋体"/>
          <w:spacing w:val="6"/>
          <w:sz w:val="20"/>
          <w:szCs w:val="20"/>
        </w:rPr>
        <w:t>自工程实际竣工日期起计算。</w:t>
      </w:r>
    </w:p>
    <w:p w14:paraId="4BE96C03">
      <w:pPr>
        <w:spacing w:line="346" w:lineRule="auto"/>
        <w:rPr>
          <w:rFonts w:ascii="宋体" w:hAnsi="宋体" w:eastAsia="宋体" w:cs="宋体"/>
          <w:sz w:val="20"/>
          <w:szCs w:val="20"/>
        </w:rPr>
        <w:sectPr>
          <w:footerReference r:id="rId338" w:type="default"/>
          <w:pgSz w:w="11906" w:h="16839"/>
          <w:pgMar w:top="400" w:right="1478" w:bottom="1446" w:left="1537" w:header="0" w:footer="1284" w:gutter="0"/>
          <w:cols w:space="720" w:num="1"/>
        </w:sectPr>
      </w:pPr>
    </w:p>
    <w:p w14:paraId="2F7743D4">
      <w:pPr>
        <w:spacing w:line="246" w:lineRule="auto"/>
        <w:rPr>
          <w:rFonts w:ascii="Arial"/>
          <w:sz w:val="21"/>
        </w:rPr>
      </w:pPr>
    </w:p>
    <w:p w14:paraId="44641578">
      <w:pPr>
        <w:spacing w:line="246" w:lineRule="auto"/>
        <w:rPr>
          <w:rFonts w:ascii="Arial"/>
          <w:sz w:val="21"/>
        </w:rPr>
      </w:pPr>
    </w:p>
    <w:p w14:paraId="78609A01">
      <w:pPr>
        <w:spacing w:line="246" w:lineRule="auto"/>
        <w:rPr>
          <w:rFonts w:ascii="Arial"/>
          <w:sz w:val="21"/>
        </w:rPr>
      </w:pPr>
    </w:p>
    <w:p w14:paraId="099EA245">
      <w:pPr>
        <w:spacing w:line="246" w:lineRule="auto"/>
        <w:rPr>
          <w:rFonts w:ascii="Arial"/>
          <w:sz w:val="21"/>
        </w:rPr>
      </w:pPr>
    </w:p>
    <w:p w14:paraId="7FB32947">
      <w:pPr>
        <w:spacing w:line="246" w:lineRule="auto"/>
        <w:rPr>
          <w:rFonts w:ascii="Arial"/>
          <w:sz w:val="21"/>
        </w:rPr>
      </w:pPr>
    </w:p>
    <w:p w14:paraId="7547013A">
      <w:pPr>
        <w:spacing w:line="247" w:lineRule="auto"/>
        <w:rPr>
          <w:rFonts w:ascii="Arial"/>
          <w:sz w:val="21"/>
        </w:rPr>
      </w:pPr>
    </w:p>
    <w:p w14:paraId="1B7C4B6E">
      <w:pPr>
        <w:spacing w:before="65" w:line="346" w:lineRule="auto"/>
        <w:ind w:firstLine="435"/>
        <w:rPr>
          <w:rFonts w:ascii="宋体" w:hAnsi="宋体" w:eastAsia="宋体" w:cs="宋体"/>
          <w:sz w:val="20"/>
          <w:szCs w:val="20"/>
        </w:rPr>
      </w:pPr>
      <w:r>
        <w:rPr>
          <w:rFonts w:ascii="宋体" w:hAnsi="宋体" w:eastAsia="宋体" w:cs="宋体"/>
          <w:spacing w:val="9"/>
          <w:sz w:val="20"/>
          <w:szCs w:val="20"/>
        </w:rPr>
        <w:t>1.1.4.5 保修期：是指承包人按照合同约定对工程承担保修责任的期限，从工程竣工验收合</w:t>
      </w:r>
      <w:r>
        <w:rPr>
          <w:rFonts w:ascii="宋体" w:hAnsi="宋体" w:eastAsia="宋体" w:cs="宋体"/>
          <w:spacing w:val="7"/>
          <w:sz w:val="20"/>
          <w:szCs w:val="20"/>
        </w:rPr>
        <w:t>格之日起计算。</w:t>
      </w:r>
    </w:p>
    <w:p w14:paraId="3794F499">
      <w:pPr>
        <w:spacing w:before="1" w:line="345" w:lineRule="auto"/>
        <w:ind w:firstLine="436"/>
        <w:rPr>
          <w:rFonts w:ascii="宋体" w:hAnsi="宋体" w:eastAsia="宋体" w:cs="宋体"/>
          <w:sz w:val="20"/>
          <w:szCs w:val="20"/>
        </w:rPr>
      </w:pPr>
      <w:r>
        <w:rPr>
          <w:rFonts w:ascii="宋体" w:hAnsi="宋体" w:eastAsia="宋体" w:cs="宋体"/>
          <w:spacing w:val="6"/>
          <w:sz w:val="20"/>
          <w:szCs w:val="20"/>
        </w:rPr>
        <w:t>1.1.4.6 基准日期：招标发包的工程以投标截止日前</w:t>
      </w:r>
      <w:r>
        <w:rPr>
          <w:rFonts w:ascii="宋体" w:hAnsi="宋体" w:eastAsia="宋体" w:cs="宋体"/>
          <w:spacing w:val="-35"/>
          <w:sz w:val="20"/>
          <w:szCs w:val="20"/>
        </w:rPr>
        <w:t xml:space="preserve"> </w:t>
      </w:r>
      <w:r>
        <w:rPr>
          <w:rFonts w:ascii="宋体" w:hAnsi="宋体" w:eastAsia="宋体" w:cs="宋体"/>
          <w:spacing w:val="6"/>
          <w:sz w:val="20"/>
          <w:szCs w:val="20"/>
        </w:rPr>
        <w:t>28</w:t>
      </w:r>
      <w:r>
        <w:rPr>
          <w:rFonts w:ascii="宋体" w:hAnsi="宋体" w:eastAsia="宋体" w:cs="宋体"/>
          <w:spacing w:val="-33"/>
          <w:sz w:val="20"/>
          <w:szCs w:val="20"/>
        </w:rPr>
        <w:t xml:space="preserve"> </w:t>
      </w:r>
      <w:r>
        <w:rPr>
          <w:rFonts w:ascii="宋体" w:hAnsi="宋体" w:eastAsia="宋体" w:cs="宋体"/>
          <w:spacing w:val="6"/>
          <w:sz w:val="20"/>
          <w:szCs w:val="20"/>
        </w:rPr>
        <w:t>天的日期为基准日期，直</w:t>
      </w:r>
      <w:r>
        <w:rPr>
          <w:rFonts w:ascii="宋体" w:hAnsi="宋体" w:eastAsia="宋体" w:cs="宋体"/>
          <w:spacing w:val="5"/>
          <w:sz w:val="20"/>
          <w:szCs w:val="20"/>
        </w:rPr>
        <w:t>接发包的工</w:t>
      </w:r>
      <w:r>
        <w:rPr>
          <w:rFonts w:ascii="宋体" w:hAnsi="宋体" w:eastAsia="宋体" w:cs="宋体"/>
          <w:spacing w:val="7"/>
          <w:sz w:val="20"/>
          <w:szCs w:val="20"/>
        </w:rPr>
        <w:t>程以合同签订日前</w:t>
      </w:r>
      <w:r>
        <w:rPr>
          <w:rFonts w:ascii="宋体" w:hAnsi="宋体" w:eastAsia="宋体" w:cs="宋体"/>
          <w:spacing w:val="-29"/>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天的日期为基准日期。</w:t>
      </w:r>
    </w:p>
    <w:p w14:paraId="25D87BAB">
      <w:pPr>
        <w:spacing w:before="1" w:line="345" w:lineRule="auto"/>
        <w:ind w:left="36" w:firstLine="399"/>
        <w:rPr>
          <w:rFonts w:ascii="宋体" w:hAnsi="宋体" w:eastAsia="宋体" w:cs="宋体"/>
          <w:sz w:val="20"/>
          <w:szCs w:val="20"/>
        </w:rPr>
      </w:pPr>
      <w:r>
        <w:rPr>
          <w:rFonts w:ascii="宋体" w:hAnsi="宋体" w:eastAsia="宋体" w:cs="宋体"/>
          <w:spacing w:val="9"/>
          <w:sz w:val="20"/>
          <w:szCs w:val="20"/>
        </w:rPr>
        <w:t>1.1.4.7 天：除特别指明外，均指日历天。合同中按天计算时间的，开始当天不计入，从次</w:t>
      </w:r>
      <w:r>
        <w:rPr>
          <w:rFonts w:ascii="宋体" w:hAnsi="宋体" w:eastAsia="宋体" w:cs="宋体"/>
          <w:spacing w:val="6"/>
          <w:sz w:val="20"/>
          <w:szCs w:val="20"/>
        </w:rPr>
        <w:t>日开始计算，期限最后一天的截止时间为当天</w:t>
      </w:r>
      <w:r>
        <w:rPr>
          <w:rFonts w:ascii="宋体" w:hAnsi="宋体" w:eastAsia="宋体" w:cs="宋体"/>
          <w:spacing w:val="-34"/>
          <w:sz w:val="20"/>
          <w:szCs w:val="20"/>
        </w:rPr>
        <w:t xml:space="preserve"> </w:t>
      </w:r>
      <w:r>
        <w:rPr>
          <w:rFonts w:ascii="宋体" w:hAnsi="宋体" w:eastAsia="宋体" w:cs="宋体"/>
          <w:spacing w:val="6"/>
          <w:sz w:val="20"/>
          <w:szCs w:val="20"/>
        </w:rPr>
        <w:t>24：00</w:t>
      </w:r>
      <w:r>
        <w:rPr>
          <w:rFonts w:ascii="宋体" w:hAnsi="宋体" w:eastAsia="宋体" w:cs="宋体"/>
          <w:spacing w:val="-30"/>
          <w:sz w:val="20"/>
          <w:szCs w:val="20"/>
        </w:rPr>
        <w:t xml:space="preserve"> </w:t>
      </w:r>
      <w:r>
        <w:rPr>
          <w:rFonts w:ascii="宋体" w:hAnsi="宋体" w:eastAsia="宋体" w:cs="宋体"/>
          <w:spacing w:val="6"/>
          <w:sz w:val="20"/>
          <w:szCs w:val="20"/>
        </w:rPr>
        <w:t>时。</w:t>
      </w:r>
    </w:p>
    <w:p w14:paraId="7D6FA1C0">
      <w:pPr>
        <w:spacing w:line="226" w:lineRule="auto"/>
        <w:ind w:left="436"/>
        <w:rPr>
          <w:rFonts w:ascii="宋体" w:hAnsi="宋体" w:eastAsia="宋体" w:cs="宋体"/>
          <w:sz w:val="20"/>
          <w:szCs w:val="20"/>
        </w:rPr>
      </w:pPr>
      <w:r>
        <w:rPr>
          <w:rFonts w:ascii="宋体" w:hAnsi="宋体" w:eastAsia="宋体" w:cs="宋体"/>
          <w:b/>
          <w:bCs/>
          <w:spacing w:val="4"/>
          <w:sz w:val="20"/>
          <w:szCs w:val="20"/>
        </w:rPr>
        <w:t>1.1.5</w:t>
      </w:r>
      <w:r>
        <w:rPr>
          <w:rFonts w:ascii="宋体" w:hAnsi="宋体" w:eastAsia="宋体" w:cs="宋体"/>
          <w:spacing w:val="4"/>
          <w:sz w:val="20"/>
          <w:szCs w:val="20"/>
        </w:rPr>
        <w:t xml:space="preserve"> </w:t>
      </w:r>
      <w:r>
        <w:rPr>
          <w:rFonts w:ascii="宋体" w:hAnsi="宋体" w:eastAsia="宋体" w:cs="宋体"/>
          <w:b/>
          <w:bCs/>
          <w:spacing w:val="4"/>
          <w:sz w:val="20"/>
          <w:szCs w:val="20"/>
        </w:rPr>
        <w:t>合同价格和费用</w:t>
      </w:r>
    </w:p>
    <w:p w14:paraId="68B62362">
      <w:pPr>
        <w:spacing w:before="128" w:line="346" w:lineRule="auto"/>
        <w:ind w:left="3" w:firstLine="432"/>
        <w:rPr>
          <w:rFonts w:ascii="宋体" w:hAnsi="宋体" w:eastAsia="宋体" w:cs="宋体"/>
          <w:sz w:val="20"/>
          <w:szCs w:val="20"/>
        </w:rPr>
      </w:pPr>
      <w:r>
        <w:rPr>
          <w:rFonts w:ascii="宋体" w:hAnsi="宋体" w:eastAsia="宋体" w:cs="宋体"/>
          <w:spacing w:val="9"/>
          <w:sz w:val="20"/>
          <w:szCs w:val="20"/>
        </w:rPr>
        <w:t>1.1.5.1 签约合同价：是指发包人和承包人在合同协议书中确定的总金额，包括安全文明施</w:t>
      </w:r>
      <w:r>
        <w:rPr>
          <w:rFonts w:ascii="宋体" w:hAnsi="宋体" w:eastAsia="宋体" w:cs="宋体"/>
          <w:spacing w:val="8"/>
          <w:sz w:val="20"/>
          <w:szCs w:val="20"/>
        </w:rPr>
        <w:t>工费、暂估价及暂列金额等。</w:t>
      </w:r>
    </w:p>
    <w:p w14:paraId="310DCF03">
      <w:pPr>
        <w:spacing w:before="1" w:line="345" w:lineRule="auto"/>
        <w:ind w:firstLine="435"/>
        <w:rPr>
          <w:rFonts w:ascii="宋体" w:hAnsi="宋体" w:eastAsia="宋体" w:cs="宋体"/>
          <w:sz w:val="20"/>
          <w:szCs w:val="20"/>
        </w:rPr>
      </w:pPr>
      <w:r>
        <w:rPr>
          <w:rFonts w:ascii="宋体" w:hAnsi="宋体" w:eastAsia="宋体" w:cs="宋体"/>
          <w:spacing w:val="9"/>
          <w:sz w:val="20"/>
          <w:szCs w:val="20"/>
        </w:rPr>
        <w:t>1.1.5.2 合同价格：是指发包人用于支付承包人按照合同约定完成承包范围内全部工作的金额，包括合同履行过程中按合同约定或其他政策性文件及法律法规等发生的价格变化。</w:t>
      </w:r>
    </w:p>
    <w:p w14:paraId="4B38E505">
      <w:pPr>
        <w:spacing w:before="1" w:line="345" w:lineRule="auto"/>
        <w:ind w:firstLine="436"/>
        <w:rPr>
          <w:rFonts w:ascii="宋体" w:hAnsi="宋体" w:eastAsia="宋体" w:cs="宋体"/>
          <w:sz w:val="20"/>
          <w:szCs w:val="20"/>
        </w:rPr>
      </w:pPr>
      <w:r>
        <w:rPr>
          <w:rFonts w:ascii="宋体" w:hAnsi="宋体" w:eastAsia="宋体" w:cs="宋体"/>
          <w:spacing w:val="9"/>
          <w:sz w:val="20"/>
          <w:szCs w:val="20"/>
        </w:rPr>
        <w:t>1.1.5.3 费用：是指为履行合同所发生的或将要发生的所有必需的开支，包括管理费和应分</w:t>
      </w:r>
      <w:r>
        <w:rPr>
          <w:rFonts w:ascii="宋体" w:hAnsi="宋体" w:eastAsia="宋体" w:cs="宋体"/>
          <w:spacing w:val="8"/>
          <w:sz w:val="20"/>
          <w:szCs w:val="20"/>
        </w:rPr>
        <w:t>摊的其他费用，但不包括利润。</w:t>
      </w:r>
    </w:p>
    <w:p w14:paraId="22B6CE0C">
      <w:pPr>
        <w:spacing w:before="1" w:line="345" w:lineRule="auto"/>
        <w:ind w:firstLine="435"/>
        <w:rPr>
          <w:rFonts w:ascii="宋体" w:hAnsi="宋体" w:eastAsia="宋体" w:cs="宋体"/>
          <w:sz w:val="20"/>
          <w:szCs w:val="20"/>
        </w:rPr>
      </w:pPr>
      <w:r>
        <w:rPr>
          <w:rFonts w:ascii="宋体" w:hAnsi="宋体" w:eastAsia="宋体" w:cs="宋体"/>
          <w:spacing w:val="9"/>
          <w:sz w:val="20"/>
          <w:szCs w:val="20"/>
        </w:rPr>
        <w:t>1.1.5.4 暂估价：是指发包人在工程量清单或预算书中提供的用于支付必然发生但暂时不能确定价格的材料、工程设备的单价、专业工程以及服务工作的金额。</w:t>
      </w:r>
    </w:p>
    <w:p w14:paraId="4023A8EA">
      <w:pPr>
        <w:spacing w:before="3" w:line="345" w:lineRule="auto"/>
        <w:ind w:left="4" w:firstLine="432"/>
        <w:rPr>
          <w:rFonts w:ascii="宋体" w:hAnsi="宋体" w:eastAsia="宋体" w:cs="宋体"/>
          <w:sz w:val="20"/>
          <w:szCs w:val="20"/>
        </w:rPr>
      </w:pPr>
      <w:r>
        <w:rPr>
          <w:rFonts w:ascii="宋体" w:hAnsi="宋体" w:eastAsia="宋体" w:cs="宋体"/>
          <w:spacing w:val="9"/>
          <w:sz w:val="20"/>
          <w:szCs w:val="20"/>
        </w:rPr>
        <w:t>1.1.5.5 暂列金额：是指发包人在工程量清单或预算书中暂定并包括在合同价格中的一笔款</w:t>
      </w:r>
      <w:r>
        <w:rPr>
          <w:rFonts w:ascii="宋体" w:hAnsi="宋体" w:eastAsia="宋体" w:cs="宋体"/>
          <w:spacing w:val="10"/>
          <w:sz w:val="20"/>
          <w:szCs w:val="20"/>
        </w:rPr>
        <w:t>项，用于工程合同签订时尚未确定或者不可预见的所需材料、工程设备、服务的采购，施工中可能发生的工程变更、合同约定调整因素出现时的合同价格调整以及发生的索赔、现场签证确认等</w:t>
      </w:r>
      <w:r>
        <w:rPr>
          <w:rFonts w:ascii="宋体" w:hAnsi="宋体" w:eastAsia="宋体" w:cs="宋体"/>
          <w:spacing w:val="4"/>
          <w:sz w:val="20"/>
          <w:szCs w:val="20"/>
        </w:rPr>
        <w:t>的费用。</w:t>
      </w:r>
    </w:p>
    <w:p w14:paraId="34A938AD">
      <w:pPr>
        <w:spacing w:before="1" w:line="345" w:lineRule="auto"/>
        <w:ind w:left="3" w:firstLine="432"/>
        <w:rPr>
          <w:rFonts w:ascii="宋体" w:hAnsi="宋体" w:eastAsia="宋体" w:cs="宋体"/>
          <w:sz w:val="20"/>
          <w:szCs w:val="20"/>
        </w:rPr>
      </w:pPr>
      <w:r>
        <w:rPr>
          <w:rFonts w:ascii="宋体" w:hAnsi="宋体" w:eastAsia="宋体" w:cs="宋体"/>
          <w:spacing w:val="9"/>
          <w:sz w:val="20"/>
          <w:szCs w:val="20"/>
        </w:rPr>
        <w:t>1.1.5.6 计日工：是指合同履行过程中，承包人完成发包人提出的零星工作或需要采用计日工计价的变更工作时，按合同中约定的单价计价的一种方式。</w:t>
      </w:r>
    </w:p>
    <w:p w14:paraId="4B0A338C">
      <w:pPr>
        <w:spacing w:before="2" w:line="345" w:lineRule="auto"/>
        <w:ind w:left="3" w:firstLine="432"/>
        <w:rPr>
          <w:rFonts w:ascii="宋体" w:hAnsi="宋体" w:eastAsia="宋体" w:cs="宋体"/>
          <w:sz w:val="20"/>
          <w:szCs w:val="20"/>
        </w:rPr>
      </w:pPr>
      <w:r>
        <w:rPr>
          <w:rFonts w:ascii="宋体" w:hAnsi="宋体" w:eastAsia="宋体" w:cs="宋体"/>
          <w:spacing w:val="6"/>
          <w:sz w:val="20"/>
          <w:szCs w:val="20"/>
        </w:rPr>
        <w:t>1.1.5.7 质量保证金：是指按照第</w:t>
      </w:r>
      <w:r>
        <w:rPr>
          <w:rFonts w:ascii="宋体" w:hAnsi="宋体" w:eastAsia="宋体" w:cs="宋体"/>
          <w:spacing w:val="-24"/>
          <w:sz w:val="20"/>
          <w:szCs w:val="20"/>
        </w:rPr>
        <w:t xml:space="preserve"> </w:t>
      </w:r>
      <w:r>
        <w:rPr>
          <w:rFonts w:ascii="宋体" w:hAnsi="宋体" w:eastAsia="宋体" w:cs="宋体"/>
          <w:spacing w:val="6"/>
          <w:sz w:val="20"/>
          <w:szCs w:val="20"/>
        </w:rPr>
        <w:t>15.3</w:t>
      </w:r>
      <w:r>
        <w:rPr>
          <w:rFonts w:ascii="宋体" w:hAnsi="宋体" w:eastAsia="宋体" w:cs="宋体"/>
          <w:spacing w:val="-39"/>
          <w:sz w:val="20"/>
          <w:szCs w:val="20"/>
        </w:rPr>
        <w:t xml:space="preserve"> </w:t>
      </w:r>
      <w:r>
        <w:rPr>
          <w:rFonts w:ascii="宋体" w:hAnsi="宋体" w:eastAsia="宋体" w:cs="宋体"/>
          <w:spacing w:val="6"/>
          <w:sz w:val="20"/>
          <w:szCs w:val="20"/>
        </w:rPr>
        <w:t>款〔质量保证金</w:t>
      </w:r>
      <w:r>
        <w:rPr>
          <w:rFonts w:ascii="宋体" w:hAnsi="宋体" w:eastAsia="宋体" w:cs="宋体"/>
          <w:spacing w:val="5"/>
          <w:sz w:val="20"/>
          <w:szCs w:val="20"/>
        </w:rPr>
        <w:t>〕约定承包人用于保证其在缺陷责任</w:t>
      </w:r>
      <w:r>
        <w:rPr>
          <w:rFonts w:ascii="宋体" w:hAnsi="宋体" w:eastAsia="宋体" w:cs="宋体"/>
          <w:spacing w:val="8"/>
          <w:sz w:val="20"/>
          <w:szCs w:val="20"/>
        </w:rPr>
        <w:t>期内履行缺陷修补义务的担保。</w:t>
      </w:r>
    </w:p>
    <w:p w14:paraId="212DB21F">
      <w:pPr>
        <w:spacing w:before="1" w:line="345" w:lineRule="auto"/>
        <w:ind w:left="1" w:firstLine="434"/>
        <w:rPr>
          <w:rFonts w:ascii="宋体" w:hAnsi="宋体" w:eastAsia="宋体" w:cs="宋体"/>
          <w:sz w:val="20"/>
          <w:szCs w:val="20"/>
        </w:rPr>
      </w:pPr>
      <w:r>
        <w:rPr>
          <w:rFonts w:ascii="宋体" w:hAnsi="宋体" w:eastAsia="宋体" w:cs="宋体"/>
          <w:spacing w:val="9"/>
          <w:sz w:val="20"/>
          <w:szCs w:val="20"/>
        </w:rPr>
        <w:t>1.1.5.8 单价项目：是指在现行国家、行业以及地方的计量规则中有工程量计算规则，在已标价工程量清单或预算书中以单价形式计算的项目。</w:t>
      </w:r>
    </w:p>
    <w:p w14:paraId="370DD121">
      <w:pPr>
        <w:spacing w:before="1" w:line="345" w:lineRule="auto"/>
        <w:ind w:left="1" w:firstLine="434"/>
        <w:rPr>
          <w:rFonts w:ascii="宋体" w:hAnsi="宋体" w:eastAsia="宋体" w:cs="宋体"/>
          <w:sz w:val="20"/>
          <w:szCs w:val="20"/>
        </w:rPr>
      </w:pPr>
      <w:r>
        <w:rPr>
          <w:rFonts w:ascii="宋体" w:hAnsi="宋体" w:eastAsia="宋体" w:cs="宋体"/>
          <w:spacing w:val="9"/>
          <w:sz w:val="20"/>
          <w:szCs w:val="20"/>
        </w:rPr>
        <w:t>1.1.5.9 总价项目：是指在现行国家、行业以及地方的计量规则中无工程量计算规则，在已标价工程量清单或预算书中以总价或以费率形式计算的项目。</w:t>
      </w:r>
    </w:p>
    <w:p w14:paraId="1AD51F09">
      <w:pPr>
        <w:spacing w:before="1" w:line="228" w:lineRule="auto"/>
        <w:ind w:left="436"/>
        <w:rPr>
          <w:rFonts w:ascii="宋体" w:hAnsi="宋体" w:eastAsia="宋体" w:cs="宋体"/>
          <w:sz w:val="20"/>
          <w:szCs w:val="20"/>
        </w:rPr>
      </w:pPr>
      <w:r>
        <w:rPr>
          <w:rFonts w:ascii="宋体" w:hAnsi="宋体" w:eastAsia="宋体" w:cs="宋体"/>
          <w:b/>
          <w:bCs/>
          <w:sz w:val="20"/>
          <w:szCs w:val="20"/>
        </w:rPr>
        <w:t>1.1.6</w:t>
      </w:r>
      <w:r>
        <w:rPr>
          <w:rFonts w:ascii="宋体" w:hAnsi="宋体" w:eastAsia="宋体" w:cs="宋体"/>
          <w:spacing w:val="14"/>
          <w:sz w:val="20"/>
          <w:szCs w:val="20"/>
        </w:rPr>
        <w:t xml:space="preserve"> </w:t>
      </w:r>
      <w:r>
        <w:rPr>
          <w:rFonts w:ascii="宋体" w:hAnsi="宋体" w:eastAsia="宋体" w:cs="宋体"/>
          <w:b/>
          <w:bCs/>
          <w:sz w:val="20"/>
          <w:szCs w:val="20"/>
        </w:rPr>
        <w:t>其他</w:t>
      </w:r>
    </w:p>
    <w:p w14:paraId="255731E8">
      <w:pPr>
        <w:spacing w:before="125" w:line="346" w:lineRule="auto"/>
        <w:ind w:left="2" w:firstLine="433"/>
        <w:jc w:val="both"/>
        <w:rPr>
          <w:rFonts w:ascii="宋体" w:hAnsi="宋体" w:eastAsia="宋体" w:cs="宋体"/>
          <w:sz w:val="20"/>
          <w:szCs w:val="20"/>
        </w:rPr>
      </w:pPr>
      <w:r>
        <w:rPr>
          <w:rFonts w:ascii="宋体" w:hAnsi="宋体" w:eastAsia="宋体" w:cs="宋体"/>
          <w:spacing w:val="7"/>
          <w:sz w:val="20"/>
          <w:szCs w:val="20"/>
        </w:rPr>
        <w:t>1.1.6.1 书面形式：是指合同书、信件、</w:t>
      </w:r>
      <w:r>
        <w:rPr>
          <w:rFonts w:ascii="宋体" w:hAnsi="宋体" w:eastAsia="宋体" w:cs="宋体"/>
          <w:spacing w:val="-52"/>
          <w:sz w:val="20"/>
          <w:szCs w:val="20"/>
        </w:rPr>
        <w:t xml:space="preserve"> </w:t>
      </w:r>
      <w:r>
        <w:rPr>
          <w:rFonts w:ascii="宋体" w:hAnsi="宋体" w:eastAsia="宋体" w:cs="宋体"/>
          <w:spacing w:val="7"/>
          <w:sz w:val="20"/>
          <w:szCs w:val="20"/>
        </w:rPr>
        <w:t>电报、</w:t>
      </w:r>
      <w:r>
        <w:rPr>
          <w:rFonts w:ascii="宋体" w:hAnsi="宋体" w:eastAsia="宋体" w:cs="宋体"/>
          <w:spacing w:val="-60"/>
          <w:sz w:val="20"/>
          <w:szCs w:val="20"/>
        </w:rPr>
        <w:t xml:space="preserve"> </w:t>
      </w:r>
      <w:r>
        <w:rPr>
          <w:rFonts w:ascii="宋体" w:hAnsi="宋体" w:eastAsia="宋体" w:cs="宋体"/>
          <w:spacing w:val="7"/>
          <w:sz w:val="20"/>
          <w:szCs w:val="20"/>
        </w:rPr>
        <w:t>电传、传真等可以有形地表现所载内容的形</w:t>
      </w:r>
      <w:r>
        <w:rPr>
          <w:rFonts w:ascii="宋体" w:hAnsi="宋体" w:eastAsia="宋体" w:cs="宋体"/>
          <w:spacing w:val="10"/>
          <w:sz w:val="20"/>
          <w:szCs w:val="20"/>
        </w:rPr>
        <w:t>式。以电子数据交换、电子邮件等方式能够有形地表现所载内容，并可以随时调取查用的数据电</w:t>
      </w:r>
      <w:r>
        <w:rPr>
          <w:rFonts w:ascii="宋体" w:hAnsi="宋体" w:eastAsia="宋体" w:cs="宋体"/>
          <w:spacing w:val="7"/>
          <w:sz w:val="20"/>
          <w:szCs w:val="20"/>
        </w:rPr>
        <w:t>文，视为书面形式。</w:t>
      </w:r>
    </w:p>
    <w:p w14:paraId="633F86CF">
      <w:pPr>
        <w:spacing w:before="1" w:line="227" w:lineRule="auto"/>
        <w:ind w:left="436"/>
        <w:rPr>
          <w:rFonts w:ascii="宋体" w:hAnsi="宋体" w:eastAsia="宋体" w:cs="宋体"/>
          <w:sz w:val="20"/>
          <w:szCs w:val="20"/>
        </w:rPr>
      </w:pPr>
      <w:r>
        <w:rPr>
          <w:rFonts w:ascii="宋体" w:hAnsi="宋体" w:eastAsia="宋体" w:cs="宋体"/>
          <w:b/>
          <w:bCs/>
          <w:spacing w:val="3"/>
          <w:sz w:val="20"/>
          <w:szCs w:val="20"/>
        </w:rPr>
        <w:t>1.2</w:t>
      </w:r>
      <w:r>
        <w:rPr>
          <w:rFonts w:ascii="宋体" w:hAnsi="宋体" w:eastAsia="宋体" w:cs="宋体"/>
          <w:spacing w:val="3"/>
          <w:sz w:val="20"/>
          <w:szCs w:val="20"/>
        </w:rPr>
        <w:t xml:space="preserve"> </w:t>
      </w:r>
      <w:r>
        <w:rPr>
          <w:rFonts w:ascii="宋体" w:hAnsi="宋体" w:eastAsia="宋体" w:cs="宋体"/>
          <w:b/>
          <w:bCs/>
          <w:spacing w:val="3"/>
          <w:sz w:val="20"/>
          <w:szCs w:val="20"/>
        </w:rPr>
        <w:t>语言文字</w:t>
      </w:r>
    </w:p>
    <w:p w14:paraId="6811BF64">
      <w:pPr>
        <w:spacing w:before="128" w:line="347" w:lineRule="auto"/>
        <w:ind w:left="24" w:firstLine="397"/>
        <w:rPr>
          <w:rFonts w:ascii="宋体" w:hAnsi="宋体" w:eastAsia="宋体" w:cs="宋体"/>
          <w:sz w:val="20"/>
          <w:szCs w:val="20"/>
        </w:rPr>
      </w:pPr>
      <w:r>
        <w:rPr>
          <w:rFonts w:ascii="宋体" w:hAnsi="宋体" w:eastAsia="宋体" w:cs="宋体"/>
          <w:spacing w:val="10"/>
          <w:sz w:val="20"/>
          <w:szCs w:val="20"/>
        </w:rPr>
        <w:t>合同以中国的汉语简体文字编写、解释和说明。合同当事人在专用合同条款中约定使用两种</w:t>
      </w:r>
      <w:r>
        <w:rPr>
          <w:rFonts w:ascii="宋体" w:hAnsi="宋体" w:eastAsia="宋体" w:cs="宋体"/>
          <w:spacing w:val="8"/>
          <w:sz w:val="20"/>
          <w:szCs w:val="20"/>
        </w:rPr>
        <w:t>以上语言时，汉语为优先解释和说明合同的语言。</w:t>
      </w:r>
    </w:p>
    <w:p w14:paraId="3EC6558E">
      <w:pPr>
        <w:spacing w:line="347" w:lineRule="auto"/>
        <w:rPr>
          <w:rFonts w:ascii="宋体" w:hAnsi="宋体" w:eastAsia="宋体" w:cs="宋体"/>
          <w:sz w:val="20"/>
          <w:szCs w:val="20"/>
        </w:rPr>
        <w:sectPr>
          <w:footerReference r:id="rId339" w:type="default"/>
          <w:pgSz w:w="11906" w:h="16839"/>
          <w:pgMar w:top="400" w:right="1533" w:bottom="1446" w:left="1538" w:header="0" w:footer="1284" w:gutter="0"/>
          <w:cols w:space="720" w:num="1"/>
        </w:sectPr>
      </w:pPr>
    </w:p>
    <w:p w14:paraId="3A6179D0">
      <w:pPr>
        <w:spacing w:line="246" w:lineRule="auto"/>
        <w:rPr>
          <w:rFonts w:ascii="Arial"/>
          <w:sz w:val="21"/>
        </w:rPr>
      </w:pPr>
    </w:p>
    <w:p w14:paraId="118939D9">
      <w:pPr>
        <w:spacing w:line="246" w:lineRule="auto"/>
        <w:rPr>
          <w:rFonts w:ascii="Arial"/>
          <w:sz w:val="21"/>
        </w:rPr>
      </w:pPr>
    </w:p>
    <w:p w14:paraId="45500C7C">
      <w:pPr>
        <w:spacing w:line="246" w:lineRule="auto"/>
        <w:rPr>
          <w:rFonts w:ascii="Arial"/>
          <w:sz w:val="21"/>
        </w:rPr>
      </w:pPr>
    </w:p>
    <w:p w14:paraId="7F7A6FA5">
      <w:pPr>
        <w:spacing w:line="246" w:lineRule="auto"/>
        <w:rPr>
          <w:rFonts w:ascii="Arial"/>
          <w:sz w:val="21"/>
        </w:rPr>
      </w:pPr>
    </w:p>
    <w:p w14:paraId="140F1548">
      <w:pPr>
        <w:spacing w:line="247" w:lineRule="auto"/>
        <w:rPr>
          <w:rFonts w:ascii="Arial"/>
          <w:sz w:val="21"/>
        </w:rPr>
      </w:pPr>
    </w:p>
    <w:p w14:paraId="4B03C410">
      <w:pPr>
        <w:spacing w:line="247" w:lineRule="auto"/>
        <w:rPr>
          <w:rFonts w:ascii="Arial"/>
          <w:sz w:val="21"/>
        </w:rPr>
      </w:pPr>
    </w:p>
    <w:p w14:paraId="6292FE85">
      <w:pPr>
        <w:spacing w:before="65" w:line="228" w:lineRule="auto"/>
        <w:ind w:left="436"/>
        <w:rPr>
          <w:rFonts w:ascii="宋体" w:hAnsi="宋体" w:eastAsia="宋体" w:cs="宋体"/>
          <w:sz w:val="20"/>
          <w:szCs w:val="20"/>
        </w:rPr>
      </w:pPr>
      <w:r>
        <w:rPr>
          <w:rFonts w:ascii="宋体" w:hAnsi="宋体" w:eastAsia="宋体" w:cs="宋体"/>
          <w:b/>
          <w:bCs/>
          <w:spacing w:val="-1"/>
          <w:sz w:val="20"/>
          <w:szCs w:val="20"/>
        </w:rPr>
        <w:t>1.3</w:t>
      </w:r>
      <w:r>
        <w:rPr>
          <w:rFonts w:ascii="宋体" w:hAnsi="宋体" w:eastAsia="宋体" w:cs="宋体"/>
          <w:spacing w:val="13"/>
          <w:sz w:val="20"/>
          <w:szCs w:val="20"/>
        </w:rPr>
        <w:t xml:space="preserve"> </w:t>
      </w:r>
      <w:r>
        <w:rPr>
          <w:rFonts w:ascii="宋体" w:hAnsi="宋体" w:eastAsia="宋体" w:cs="宋体"/>
          <w:b/>
          <w:bCs/>
          <w:spacing w:val="-1"/>
          <w:sz w:val="20"/>
          <w:szCs w:val="20"/>
        </w:rPr>
        <w:t>法律</w:t>
      </w:r>
    </w:p>
    <w:p w14:paraId="79CF3662">
      <w:pPr>
        <w:spacing w:before="126" w:line="346" w:lineRule="auto"/>
        <w:ind w:left="1" w:firstLine="420"/>
        <w:rPr>
          <w:rFonts w:ascii="宋体" w:hAnsi="宋体" w:eastAsia="宋体" w:cs="宋体"/>
          <w:sz w:val="20"/>
          <w:szCs w:val="20"/>
        </w:rPr>
      </w:pPr>
      <w:r>
        <w:rPr>
          <w:rFonts w:ascii="宋体" w:hAnsi="宋体" w:eastAsia="宋体" w:cs="宋体"/>
          <w:spacing w:val="9"/>
          <w:sz w:val="20"/>
          <w:szCs w:val="20"/>
        </w:rPr>
        <w:t>合同所称法律是指中华人民共和国法律、行政法规、部门规章，</w:t>
      </w:r>
      <w:r>
        <w:rPr>
          <w:rFonts w:ascii="宋体" w:hAnsi="宋体" w:eastAsia="宋体" w:cs="宋体"/>
          <w:spacing w:val="-49"/>
          <w:sz w:val="20"/>
          <w:szCs w:val="20"/>
        </w:rPr>
        <w:t xml:space="preserve"> </w:t>
      </w:r>
      <w:r>
        <w:rPr>
          <w:rFonts w:ascii="宋体" w:hAnsi="宋体" w:eastAsia="宋体" w:cs="宋体"/>
          <w:spacing w:val="9"/>
          <w:sz w:val="20"/>
          <w:szCs w:val="20"/>
        </w:rPr>
        <w:t>以及工程所在地的地方性法</w:t>
      </w:r>
      <w:r>
        <w:rPr>
          <w:rFonts w:ascii="宋体" w:hAnsi="宋体" w:eastAsia="宋体" w:cs="宋体"/>
          <w:spacing w:val="6"/>
          <w:sz w:val="20"/>
          <w:szCs w:val="20"/>
        </w:rPr>
        <w:t>规、</w:t>
      </w:r>
      <w:r>
        <w:rPr>
          <w:rFonts w:ascii="宋体" w:hAnsi="宋体" w:eastAsia="宋体" w:cs="宋体"/>
          <w:spacing w:val="-42"/>
          <w:sz w:val="20"/>
          <w:szCs w:val="20"/>
        </w:rPr>
        <w:t xml:space="preserve"> </w:t>
      </w:r>
      <w:r>
        <w:rPr>
          <w:rFonts w:ascii="宋体" w:hAnsi="宋体" w:eastAsia="宋体" w:cs="宋体"/>
          <w:spacing w:val="6"/>
          <w:sz w:val="20"/>
          <w:szCs w:val="20"/>
        </w:rPr>
        <w:t>自治条例、单行条例和地方政府规章等。</w:t>
      </w:r>
    </w:p>
    <w:p w14:paraId="653721C3">
      <w:pPr>
        <w:spacing w:line="227" w:lineRule="auto"/>
        <w:ind w:left="421"/>
        <w:rPr>
          <w:rFonts w:ascii="宋体" w:hAnsi="宋体" w:eastAsia="宋体" w:cs="宋体"/>
          <w:sz w:val="20"/>
          <w:szCs w:val="20"/>
        </w:rPr>
      </w:pPr>
      <w:r>
        <w:rPr>
          <w:rFonts w:ascii="宋体" w:hAnsi="宋体" w:eastAsia="宋体" w:cs="宋体"/>
          <w:spacing w:val="9"/>
          <w:sz w:val="20"/>
          <w:szCs w:val="20"/>
        </w:rPr>
        <w:t>合同当事人可以在专用合同条款中约定合同适用的其他规范性文件。</w:t>
      </w:r>
    </w:p>
    <w:p w14:paraId="4F959DC8">
      <w:pPr>
        <w:spacing w:before="128" w:line="228" w:lineRule="auto"/>
        <w:ind w:left="436"/>
        <w:rPr>
          <w:rFonts w:ascii="宋体" w:hAnsi="宋体" w:eastAsia="宋体" w:cs="宋体"/>
          <w:sz w:val="20"/>
          <w:szCs w:val="20"/>
        </w:rPr>
      </w:pPr>
      <w:r>
        <w:rPr>
          <w:rFonts w:ascii="宋体" w:hAnsi="宋体" w:eastAsia="宋体" w:cs="宋体"/>
          <w:b/>
          <w:bCs/>
          <w:spacing w:val="3"/>
          <w:sz w:val="20"/>
          <w:szCs w:val="20"/>
        </w:rPr>
        <w:t>1.4</w:t>
      </w:r>
      <w:r>
        <w:rPr>
          <w:rFonts w:ascii="宋体" w:hAnsi="宋体" w:eastAsia="宋体" w:cs="宋体"/>
          <w:spacing w:val="3"/>
          <w:sz w:val="20"/>
          <w:szCs w:val="20"/>
        </w:rPr>
        <w:t xml:space="preserve"> </w:t>
      </w:r>
      <w:r>
        <w:rPr>
          <w:rFonts w:ascii="宋体" w:hAnsi="宋体" w:eastAsia="宋体" w:cs="宋体"/>
          <w:b/>
          <w:bCs/>
          <w:spacing w:val="3"/>
          <w:sz w:val="20"/>
          <w:szCs w:val="20"/>
        </w:rPr>
        <w:t>标准和规范</w:t>
      </w:r>
    </w:p>
    <w:p w14:paraId="11BD5466">
      <w:pPr>
        <w:spacing w:before="126" w:line="346" w:lineRule="auto"/>
        <w:ind w:firstLine="436"/>
        <w:rPr>
          <w:rFonts w:ascii="宋体" w:hAnsi="宋体" w:eastAsia="宋体" w:cs="宋体"/>
          <w:sz w:val="20"/>
          <w:szCs w:val="20"/>
        </w:rPr>
      </w:pPr>
      <w:r>
        <w:rPr>
          <w:rFonts w:ascii="宋体" w:hAnsi="宋体" w:eastAsia="宋体" w:cs="宋体"/>
          <w:spacing w:val="8"/>
          <w:sz w:val="20"/>
          <w:szCs w:val="20"/>
        </w:rPr>
        <w:t>1.4.1 适用于工程的国家标准、行业标准、工程所在地的地方性标准，</w:t>
      </w:r>
      <w:r>
        <w:rPr>
          <w:rFonts w:ascii="宋体" w:hAnsi="宋体" w:eastAsia="宋体" w:cs="宋体"/>
          <w:spacing w:val="-48"/>
          <w:sz w:val="20"/>
          <w:szCs w:val="20"/>
        </w:rPr>
        <w:t xml:space="preserve"> </w:t>
      </w:r>
      <w:r>
        <w:rPr>
          <w:rFonts w:ascii="宋体" w:hAnsi="宋体" w:eastAsia="宋体" w:cs="宋体"/>
          <w:spacing w:val="8"/>
          <w:sz w:val="20"/>
          <w:szCs w:val="20"/>
        </w:rPr>
        <w:t>以及相应的规范、规</w:t>
      </w:r>
      <w:r>
        <w:rPr>
          <w:rFonts w:ascii="宋体" w:hAnsi="宋体" w:eastAsia="宋体" w:cs="宋体"/>
          <w:spacing w:val="9"/>
          <w:sz w:val="20"/>
          <w:szCs w:val="20"/>
        </w:rPr>
        <w:t>程等，合同当事人有特别要求的，应在专用合同条款中约定。</w:t>
      </w:r>
    </w:p>
    <w:p w14:paraId="1E69954B">
      <w:pPr>
        <w:spacing w:before="2" w:line="345" w:lineRule="auto"/>
        <w:ind w:left="1" w:firstLine="434"/>
        <w:rPr>
          <w:rFonts w:ascii="宋体" w:hAnsi="宋体" w:eastAsia="宋体" w:cs="宋体"/>
          <w:sz w:val="20"/>
          <w:szCs w:val="20"/>
        </w:rPr>
      </w:pPr>
      <w:r>
        <w:rPr>
          <w:rFonts w:ascii="宋体" w:hAnsi="宋体" w:eastAsia="宋体" w:cs="宋体"/>
          <w:spacing w:val="9"/>
          <w:sz w:val="20"/>
          <w:szCs w:val="20"/>
        </w:rPr>
        <w:t>1.4.2 发包人要求使用国外标准、规范的，发包人负责提供原文版本和中文译本，并在专用</w:t>
      </w:r>
      <w:r>
        <w:rPr>
          <w:rFonts w:ascii="宋体" w:hAnsi="宋体" w:eastAsia="宋体" w:cs="宋体"/>
          <w:spacing w:val="10"/>
          <w:sz w:val="20"/>
          <w:szCs w:val="20"/>
        </w:rPr>
        <w:t>合同条款中约定提供标准规范的名称、份数和时间。原文版本和中文译本有出入时，应以中文译</w:t>
      </w:r>
      <w:r>
        <w:rPr>
          <w:rFonts w:ascii="宋体" w:hAnsi="宋体" w:eastAsia="宋体" w:cs="宋体"/>
          <w:spacing w:val="4"/>
          <w:sz w:val="20"/>
          <w:szCs w:val="20"/>
        </w:rPr>
        <w:t>本为准。</w:t>
      </w:r>
    </w:p>
    <w:p w14:paraId="652D6384">
      <w:pPr>
        <w:spacing w:before="2" w:line="345" w:lineRule="auto"/>
        <w:ind w:firstLine="436"/>
        <w:rPr>
          <w:rFonts w:ascii="宋体" w:hAnsi="宋体" w:eastAsia="宋体" w:cs="宋体"/>
          <w:sz w:val="20"/>
          <w:szCs w:val="20"/>
        </w:rPr>
      </w:pPr>
      <w:r>
        <w:rPr>
          <w:rFonts w:ascii="宋体" w:hAnsi="宋体" w:eastAsia="宋体" w:cs="宋体"/>
          <w:spacing w:val="9"/>
          <w:sz w:val="20"/>
          <w:szCs w:val="20"/>
        </w:rPr>
        <w:t>1.4.3 发包人对工程的技术标准、功能要求高于或严于现行国家、行业或地方标准的，应当</w:t>
      </w:r>
      <w:r>
        <w:rPr>
          <w:rFonts w:ascii="宋体" w:hAnsi="宋体" w:eastAsia="宋体" w:cs="宋体"/>
          <w:spacing w:val="10"/>
          <w:sz w:val="20"/>
          <w:szCs w:val="20"/>
        </w:rPr>
        <w:t>在专用合同条款中予以明确。除专用合同条款另有约定外，应视为承包人在签订合同前已充分预</w:t>
      </w:r>
      <w:r>
        <w:rPr>
          <w:rFonts w:ascii="宋体" w:hAnsi="宋体" w:eastAsia="宋体" w:cs="宋体"/>
          <w:spacing w:val="9"/>
          <w:sz w:val="20"/>
          <w:szCs w:val="20"/>
        </w:rPr>
        <w:t>见前述技术标准和功能要求的复杂程度，签约合同价中已包含由此产生的费用。</w:t>
      </w:r>
    </w:p>
    <w:p w14:paraId="359CB7D7">
      <w:pPr>
        <w:spacing w:line="227" w:lineRule="auto"/>
        <w:ind w:left="436"/>
        <w:rPr>
          <w:rFonts w:ascii="宋体" w:hAnsi="宋体" w:eastAsia="宋体" w:cs="宋体"/>
          <w:sz w:val="20"/>
          <w:szCs w:val="20"/>
        </w:rPr>
      </w:pPr>
      <w:r>
        <w:rPr>
          <w:rFonts w:ascii="宋体" w:hAnsi="宋体" w:eastAsia="宋体" w:cs="宋体"/>
          <w:spacing w:val="7"/>
          <w:sz w:val="20"/>
          <w:szCs w:val="20"/>
        </w:rPr>
        <w:t>1.4.3.1 建筑信息模型技术（</w:t>
      </w:r>
      <w:r>
        <w:rPr>
          <w:rFonts w:ascii="宋体" w:hAnsi="宋体" w:eastAsia="宋体" w:cs="宋体"/>
          <w:sz w:val="20"/>
          <w:szCs w:val="20"/>
        </w:rPr>
        <w:t>BIM</w:t>
      </w:r>
      <w:r>
        <w:rPr>
          <w:rFonts w:ascii="宋体" w:hAnsi="宋体" w:eastAsia="宋体" w:cs="宋体"/>
          <w:spacing w:val="7"/>
          <w:sz w:val="20"/>
          <w:szCs w:val="20"/>
        </w:rPr>
        <w:t>）的应用</w:t>
      </w:r>
    </w:p>
    <w:p w14:paraId="29D2A9B0">
      <w:pPr>
        <w:spacing w:before="126" w:line="346" w:lineRule="auto"/>
        <w:ind w:firstLine="424"/>
        <w:rPr>
          <w:rFonts w:ascii="宋体" w:hAnsi="宋体" w:eastAsia="宋体" w:cs="宋体"/>
          <w:sz w:val="20"/>
          <w:szCs w:val="20"/>
        </w:rPr>
      </w:pPr>
      <w:r>
        <w:rPr>
          <w:rFonts w:ascii="宋体" w:hAnsi="宋体" w:eastAsia="宋体" w:cs="宋体"/>
          <w:spacing w:val="8"/>
          <w:sz w:val="20"/>
          <w:szCs w:val="20"/>
        </w:rPr>
        <w:t>项目采用建筑信息模型技术（</w:t>
      </w:r>
      <w:r>
        <w:rPr>
          <w:rFonts w:ascii="宋体" w:hAnsi="宋体" w:eastAsia="宋体" w:cs="宋体"/>
          <w:sz w:val="20"/>
          <w:szCs w:val="20"/>
        </w:rPr>
        <w:t>BIM</w:t>
      </w:r>
      <w:r>
        <w:rPr>
          <w:rFonts w:ascii="宋体" w:hAnsi="宋体" w:eastAsia="宋体" w:cs="宋体"/>
          <w:spacing w:val="8"/>
          <w:sz w:val="20"/>
          <w:szCs w:val="20"/>
        </w:rPr>
        <w:t>）时，合同双方应遵守国家现行相关标准的规定，并</w:t>
      </w:r>
      <w:r>
        <w:rPr>
          <w:rFonts w:ascii="宋体" w:hAnsi="宋体" w:eastAsia="宋体" w:cs="宋体"/>
          <w:spacing w:val="7"/>
          <w:sz w:val="20"/>
          <w:szCs w:val="20"/>
        </w:rPr>
        <w:t>符合项</w:t>
      </w:r>
      <w:r>
        <w:rPr>
          <w:rFonts w:ascii="宋体" w:hAnsi="宋体" w:eastAsia="宋体" w:cs="宋体"/>
          <w:spacing w:val="10"/>
          <w:sz w:val="20"/>
          <w:szCs w:val="20"/>
        </w:rPr>
        <w:t>目所在地的相关地方标准或指南。合同双方应在专用合同条款中就建筑信息模型的开发、使用、存储、传输、交付及费用等相关内容进行约定。除专用合同条款另有约定外，承包人应负责与本</w:t>
      </w:r>
      <w:r>
        <w:rPr>
          <w:rFonts w:ascii="宋体" w:hAnsi="宋体" w:eastAsia="宋体" w:cs="宋体"/>
          <w:spacing w:val="8"/>
          <w:sz w:val="20"/>
          <w:szCs w:val="20"/>
        </w:rPr>
        <w:t>项目中其他使用方协商。</w:t>
      </w:r>
    </w:p>
    <w:p w14:paraId="6B5B3CDA">
      <w:pPr>
        <w:spacing w:before="1" w:line="227" w:lineRule="auto"/>
        <w:ind w:left="436"/>
        <w:rPr>
          <w:rFonts w:ascii="宋体" w:hAnsi="宋体" w:eastAsia="宋体" w:cs="宋体"/>
          <w:sz w:val="20"/>
          <w:szCs w:val="20"/>
        </w:rPr>
      </w:pPr>
      <w:r>
        <w:rPr>
          <w:rFonts w:ascii="宋体" w:hAnsi="宋体" w:eastAsia="宋体" w:cs="宋体"/>
          <w:b/>
          <w:bCs/>
          <w:spacing w:val="5"/>
          <w:sz w:val="20"/>
          <w:szCs w:val="20"/>
        </w:rPr>
        <w:t>1.5</w:t>
      </w:r>
      <w:r>
        <w:rPr>
          <w:rFonts w:ascii="宋体" w:hAnsi="宋体" w:eastAsia="宋体" w:cs="宋体"/>
          <w:spacing w:val="5"/>
          <w:sz w:val="20"/>
          <w:szCs w:val="20"/>
        </w:rPr>
        <w:t xml:space="preserve"> </w:t>
      </w:r>
      <w:r>
        <w:rPr>
          <w:rFonts w:ascii="宋体" w:hAnsi="宋体" w:eastAsia="宋体" w:cs="宋体"/>
          <w:b/>
          <w:bCs/>
          <w:spacing w:val="5"/>
          <w:sz w:val="20"/>
          <w:szCs w:val="20"/>
        </w:rPr>
        <w:t>合同文件的优先顺序</w:t>
      </w:r>
    </w:p>
    <w:p w14:paraId="0F09153E">
      <w:pPr>
        <w:spacing w:before="127" w:line="346" w:lineRule="auto"/>
        <w:ind w:firstLine="423"/>
        <w:rPr>
          <w:rFonts w:ascii="宋体" w:hAnsi="宋体" w:eastAsia="宋体" w:cs="宋体"/>
          <w:sz w:val="20"/>
          <w:szCs w:val="20"/>
        </w:rPr>
      </w:pPr>
      <w:r>
        <w:rPr>
          <w:rFonts w:ascii="宋体" w:hAnsi="宋体" w:eastAsia="宋体" w:cs="宋体"/>
          <w:spacing w:val="10"/>
          <w:sz w:val="20"/>
          <w:szCs w:val="20"/>
        </w:rPr>
        <w:t>组成合同的各项文件应互相解释，互为说明。除专用合同条款另有约定外，解释合同文件的</w:t>
      </w:r>
      <w:r>
        <w:rPr>
          <w:rFonts w:ascii="宋体" w:hAnsi="宋体" w:eastAsia="宋体" w:cs="宋体"/>
          <w:spacing w:val="7"/>
          <w:sz w:val="20"/>
          <w:szCs w:val="20"/>
        </w:rPr>
        <w:t>优先顺序如下：</w:t>
      </w:r>
    </w:p>
    <w:p w14:paraId="1E4DC72F">
      <w:pPr>
        <w:spacing w:before="1" w:line="226" w:lineRule="auto"/>
        <w:ind w:left="430"/>
        <w:rPr>
          <w:rFonts w:ascii="宋体" w:hAnsi="宋体" w:eastAsia="宋体" w:cs="宋体"/>
          <w:sz w:val="20"/>
          <w:szCs w:val="20"/>
        </w:rPr>
      </w:pPr>
      <w:r>
        <w:rPr>
          <w:rFonts w:ascii="宋体" w:hAnsi="宋体" w:eastAsia="宋体" w:cs="宋体"/>
          <w:spacing w:val="5"/>
          <w:sz w:val="20"/>
          <w:szCs w:val="20"/>
        </w:rPr>
        <w:t>（1）合同协议书；</w:t>
      </w:r>
    </w:p>
    <w:p w14:paraId="3114F87D">
      <w:pPr>
        <w:spacing w:before="128" w:line="227" w:lineRule="auto"/>
        <w:ind w:left="430"/>
        <w:rPr>
          <w:rFonts w:ascii="宋体" w:hAnsi="宋体" w:eastAsia="宋体" w:cs="宋体"/>
          <w:sz w:val="20"/>
          <w:szCs w:val="20"/>
        </w:rPr>
      </w:pPr>
      <w:r>
        <w:rPr>
          <w:rFonts w:ascii="宋体" w:hAnsi="宋体" w:eastAsia="宋体" w:cs="宋体"/>
          <w:spacing w:val="7"/>
          <w:sz w:val="20"/>
          <w:szCs w:val="20"/>
        </w:rPr>
        <w:t>（2）中标通知书（如果有</w:t>
      </w:r>
      <w:r>
        <w:rPr>
          <w:rFonts w:ascii="宋体" w:hAnsi="宋体" w:eastAsia="宋体" w:cs="宋体"/>
          <w:spacing w:val="-50"/>
          <w:sz w:val="20"/>
          <w:szCs w:val="20"/>
        </w:rPr>
        <w:t>）；</w:t>
      </w:r>
    </w:p>
    <w:p w14:paraId="3CB61985">
      <w:pPr>
        <w:spacing w:before="129" w:line="227" w:lineRule="auto"/>
        <w:ind w:left="430"/>
        <w:rPr>
          <w:rFonts w:ascii="宋体" w:hAnsi="宋体" w:eastAsia="宋体" w:cs="宋体"/>
          <w:sz w:val="20"/>
          <w:szCs w:val="20"/>
        </w:rPr>
      </w:pPr>
      <w:r>
        <w:rPr>
          <w:rFonts w:ascii="宋体" w:hAnsi="宋体" w:eastAsia="宋体" w:cs="宋体"/>
          <w:spacing w:val="8"/>
          <w:sz w:val="20"/>
          <w:szCs w:val="20"/>
        </w:rPr>
        <w:t>（3）投标函及其附录（如果有</w:t>
      </w:r>
      <w:r>
        <w:rPr>
          <w:rFonts w:ascii="宋体" w:hAnsi="宋体" w:eastAsia="宋体" w:cs="宋体"/>
          <w:spacing w:val="-54"/>
          <w:sz w:val="20"/>
          <w:szCs w:val="20"/>
        </w:rPr>
        <w:t>）；</w:t>
      </w:r>
    </w:p>
    <w:p w14:paraId="55422E72">
      <w:pPr>
        <w:spacing w:before="128" w:line="227" w:lineRule="auto"/>
        <w:ind w:left="430"/>
        <w:rPr>
          <w:rFonts w:ascii="宋体" w:hAnsi="宋体" w:eastAsia="宋体" w:cs="宋体"/>
          <w:sz w:val="20"/>
          <w:szCs w:val="20"/>
        </w:rPr>
      </w:pPr>
      <w:r>
        <w:rPr>
          <w:rFonts w:ascii="宋体" w:hAnsi="宋体" w:eastAsia="宋体" w:cs="宋体"/>
          <w:spacing w:val="7"/>
          <w:sz w:val="20"/>
          <w:szCs w:val="20"/>
        </w:rPr>
        <w:t>（4）专用合同条款及其附件；</w:t>
      </w:r>
    </w:p>
    <w:p w14:paraId="5E0492F3">
      <w:pPr>
        <w:spacing w:before="128" w:line="228" w:lineRule="auto"/>
        <w:ind w:left="430"/>
        <w:rPr>
          <w:rFonts w:ascii="宋体" w:hAnsi="宋体" w:eastAsia="宋体" w:cs="宋体"/>
          <w:sz w:val="20"/>
          <w:szCs w:val="20"/>
        </w:rPr>
      </w:pPr>
      <w:r>
        <w:rPr>
          <w:rFonts w:ascii="宋体" w:hAnsi="宋体" w:eastAsia="宋体" w:cs="宋体"/>
          <w:spacing w:val="6"/>
          <w:sz w:val="20"/>
          <w:szCs w:val="20"/>
        </w:rPr>
        <w:t>（5）通用合同条款；</w:t>
      </w:r>
    </w:p>
    <w:p w14:paraId="06311998">
      <w:pPr>
        <w:spacing w:before="128" w:line="228" w:lineRule="auto"/>
        <w:ind w:left="430"/>
        <w:rPr>
          <w:rFonts w:ascii="宋体" w:hAnsi="宋体" w:eastAsia="宋体" w:cs="宋体"/>
          <w:sz w:val="20"/>
          <w:szCs w:val="20"/>
        </w:rPr>
      </w:pPr>
      <w:r>
        <w:rPr>
          <w:rFonts w:ascii="宋体" w:hAnsi="宋体" w:eastAsia="宋体" w:cs="宋体"/>
          <w:spacing w:val="6"/>
          <w:sz w:val="20"/>
          <w:szCs w:val="20"/>
        </w:rPr>
        <w:t>（6）技术标准和要求；</w:t>
      </w:r>
    </w:p>
    <w:p w14:paraId="1F0F0405">
      <w:pPr>
        <w:spacing w:before="128" w:line="229" w:lineRule="auto"/>
        <w:ind w:left="430"/>
        <w:rPr>
          <w:rFonts w:ascii="宋体" w:hAnsi="宋体" w:eastAsia="宋体" w:cs="宋体"/>
          <w:sz w:val="20"/>
          <w:szCs w:val="20"/>
        </w:rPr>
      </w:pPr>
      <w:r>
        <w:rPr>
          <w:rFonts w:ascii="宋体" w:hAnsi="宋体" w:eastAsia="宋体" w:cs="宋体"/>
          <w:spacing w:val="4"/>
          <w:sz w:val="20"/>
          <w:szCs w:val="20"/>
        </w:rPr>
        <w:t>（7）图纸；</w:t>
      </w:r>
    </w:p>
    <w:p w14:paraId="4C7CF6CC">
      <w:pPr>
        <w:spacing w:before="126" w:line="226" w:lineRule="auto"/>
        <w:ind w:left="430"/>
        <w:rPr>
          <w:rFonts w:ascii="宋体" w:hAnsi="宋体" w:eastAsia="宋体" w:cs="宋体"/>
          <w:sz w:val="20"/>
          <w:szCs w:val="20"/>
        </w:rPr>
      </w:pPr>
      <w:r>
        <w:rPr>
          <w:rFonts w:ascii="宋体" w:hAnsi="宋体" w:eastAsia="宋体" w:cs="宋体"/>
          <w:spacing w:val="5"/>
          <w:sz w:val="20"/>
          <w:szCs w:val="20"/>
        </w:rPr>
        <w:t>（8）</w:t>
      </w:r>
      <w:r>
        <w:rPr>
          <w:rFonts w:ascii="宋体" w:hAnsi="宋体" w:eastAsia="宋体" w:cs="宋体"/>
          <w:spacing w:val="-56"/>
          <w:sz w:val="20"/>
          <w:szCs w:val="20"/>
        </w:rPr>
        <w:t xml:space="preserve"> </w:t>
      </w:r>
      <w:r>
        <w:rPr>
          <w:rFonts w:ascii="宋体" w:hAnsi="宋体" w:eastAsia="宋体" w:cs="宋体"/>
          <w:spacing w:val="5"/>
          <w:sz w:val="20"/>
          <w:szCs w:val="20"/>
        </w:rPr>
        <w:t>已标价工程量清单或预算书；</w:t>
      </w:r>
    </w:p>
    <w:p w14:paraId="0017F854">
      <w:pPr>
        <w:spacing w:before="129" w:line="228" w:lineRule="auto"/>
        <w:ind w:left="430"/>
        <w:rPr>
          <w:rFonts w:ascii="宋体" w:hAnsi="宋体" w:eastAsia="宋体" w:cs="宋体"/>
          <w:sz w:val="20"/>
          <w:szCs w:val="20"/>
        </w:rPr>
      </w:pPr>
      <w:r>
        <w:rPr>
          <w:rFonts w:ascii="宋体" w:hAnsi="宋体" w:eastAsia="宋体" w:cs="宋体"/>
          <w:spacing w:val="6"/>
          <w:sz w:val="20"/>
          <w:szCs w:val="20"/>
        </w:rPr>
        <w:t>（9）其他合同文件。</w:t>
      </w:r>
    </w:p>
    <w:p w14:paraId="61BBE2BE">
      <w:pPr>
        <w:spacing w:before="127" w:line="346" w:lineRule="auto"/>
        <w:ind w:left="2" w:firstLine="420"/>
        <w:rPr>
          <w:rFonts w:ascii="宋体" w:hAnsi="宋体" w:eastAsia="宋体" w:cs="宋体"/>
          <w:sz w:val="20"/>
          <w:szCs w:val="20"/>
        </w:rPr>
      </w:pPr>
      <w:r>
        <w:rPr>
          <w:rFonts w:ascii="宋体" w:hAnsi="宋体" w:eastAsia="宋体" w:cs="宋体"/>
          <w:spacing w:val="10"/>
          <w:sz w:val="20"/>
          <w:szCs w:val="20"/>
        </w:rPr>
        <w:t>上述各项合同文件包括合同当事人就该项合同文件所作出的补充和修改，属于同一类内容的</w:t>
      </w:r>
      <w:r>
        <w:rPr>
          <w:rFonts w:ascii="宋体" w:hAnsi="宋体" w:eastAsia="宋体" w:cs="宋体"/>
          <w:spacing w:val="8"/>
          <w:sz w:val="20"/>
          <w:szCs w:val="20"/>
        </w:rPr>
        <w:t>文件，应以最新签署的为准。</w:t>
      </w:r>
    </w:p>
    <w:p w14:paraId="45AC5432">
      <w:pPr>
        <w:spacing w:before="2" w:line="346" w:lineRule="auto"/>
        <w:ind w:firstLine="419"/>
        <w:rPr>
          <w:rFonts w:ascii="宋体" w:hAnsi="宋体" w:eastAsia="宋体" w:cs="宋体"/>
          <w:sz w:val="20"/>
          <w:szCs w:val="20"/>
        </w:rPr>
      </w:pPr>
      <w:r>
        <w:rPr>
          <w:rFonts w:ascii="宋体" w:hAnsi="宋体" w:eastAsia="宋体" w:cs="宋体"/>
          <w:spacing w:val="10"/>
          <w:sz w:val="20"/>
          <w:szCs w:val="20"/>
        </w:rPr>
        <w:t>在合同订立及履行过程中形成的与合同有关的文件均构成合同文件组成部分，并根据其性质</w:t>
      </w:r>
      <w:r>
        <w:rPr>
          <w:rFonts w:ascii="宋体" w:hAnsi="宋体" w:eastAsia="宋体" w:cs="宋体"/>
          <w:spacing w:val="7"/>
          <w:sz w:val="20"/>
          <w:szCs w:val="20"/>
        </w:rPr>
        <w:t>确定优先解释顺序。</w:t>
      </w:r>
    </w:p>
    <w:p w14:paraId="73285383">
      <w:pPr>
        <w:spacing w:line="346" w:lineRule="auto"/>
        <w:rPr>
          <w:rFonts w:ascii="宋体" w:hAnsi="宋体" w:eastAsia="宋体" w:cs="宋体"/>
          <w:sz w:val="20"/>
          <w:szCs w:val="20"/>
        </w:rPr>
        <w:sectPr>
          <w:footerReference r:id="rId340" w:type="default"/>
          <w:pgSz w:w="11906" w:h="16839"/>
          <w:pgMar w:top="400" w:right="1533" w:bottom="1446" w:left="1538" w:header="0" w:footer="1284" w:gutter="0"/>
          <w:cols w:space="720" w:num="1"/>
        </w:sectPr>
      </w:pPr>
    </w:p>
    <w:p w14:paraId="711A0EFE">
      <w:pPr>
        <w:spacing w:line="246" w:lineRule="auto"/>
        <w:rPr>
          <w:rFonts w:ascii="Arial"/>
          <w:sz w:val="21"/>
        </w:rPr>
      </w:pPr>
    </w:p>
    <w:p w14:paraId="480C5A6E">
      <w:pPr>
        <w:spacing w:line="246" w:lineRule="auto"/>
        <w:rPr>
          <w:rFonts w:ascii="Arial"/>
          <w:sz w:val="21"/>
        </w:rPr>
      </w:pPr>
    </w:p>
    <w:p w14:paraId="779E5DDB">
      <w:pPr>
        <w:spacing w:line="246" w:lineRule="auto"/>
        <w:rPr>
          <w:rFonts w:ascii="Arial"/>
          <w:sz w:val="21"/>
        </w:rPr>
      </w:pPr>
    </w:p>
    <w:p w14:paraId="1A33B094">
      <w:pPr>
        <w:spacing w:line="246" w:lineRule="auto"/>
        <w:rPr>
          <w:rFonts w:ascii="Arial"/>
          <w:sz w:val="21"/>
        </w:rPr>
      </w:pPr>
    </w:p>
    <w:p w14:paraId="6FEDB724">
      <w:pPr>
        <w:spacing w:line="247" w:lineRule="auto"/>
        <w:rPr>
          <w:rFonts w:ascii="Arial"/>
          <w:sz w:val="21"/>
        </w:rPr>
      </w:pPr>
    </w:p>
    <w:p w14:paraId="04DDB5BB">
      <w:pPr>
        <w:spacing w:line="247" w:lineRule="auto"/>
        <w:rPr>
          <w:rFonts w:ascii="Arial"/>
          <w:sz w:val="21"/>
        </w:rPr>
      </w:pPr>
    </w:p>
    <w:p w14:paraId="286E4B93">
      <w:pPr>
        <w:spacing w:before="65" w:line="228" w:lineRule="auto"/>
        <w:ind w:left="435"/>
        <w:rPr>
          <w:rFonts w:ascii="宋体" w:hAnsi="宋体" w:eastAsia="宋体" w:cs="宋体"/>
          <w:sz w:val="20"/>
          <w:szCs w:val="20"/>
        </w:rPr>
      </w:pPr>
      <w:r>
        <w:rPr>
          <w:rFonts w:ascii="宋体" w:hAnsi="宋体" w:eastAsia="宋体" w:cs="宋体"/>
          <w:b/>
          <w:bCs/>
          <w:spacing w:val="2"/>
          <w:sz w:val="20"/>
          <w:szCs w:val="20"/>
        </w:rPr>
        <w:t>1.6</w:t>
      </w:r>
      <w:r>
        <w:rPr>
          <w:rFonts w:ascii="宋体" w:hAnsi="宋体" w:eastAsia="宋体" w:cs="宋体"/>
          <w:spacing w:val="37"/>
          <w:sz w:val="20"/>
          <w:szCs w:val="20"/>
        </w:rPr>
        <w:t xml:space="preserve"> </w:t>
      </w:r>
      <w:r>
        <w:rPr>
          <w:rFonts w:ascii="宋体" w:hAnsi="宋体" w:eastAsia="宋体" w:cs="宋体"/>
          <w:b/>
          <w:bCs/>
          <w:spacing w:val="2"/>
          <w:sz w:val="20"/>
          <w:szCs w:val="20"/>
        </w:rPr>
        <w:t>图纸和承包人文件</w:t>
      </w:r>
    </w:p>
    <w:p w14:paraId="3030DA66">
      <w:pPr>
        <w:spacing w:before="127" w:line="227" w:lineRule="auto"/>
        <w:ind w:left="435"/>
        <w:rPr>
          <w:rFonts w:ascii="宋体" w:hAnsi="宋体" w:eastAsia="宋体" w:cs="宋体"/>
          <w:sz w:val="20"/>
          <w:szCs w:val="20"/>
        </w:rPr>
      </w:pPr>
      <w:r>
        <w:rPr>
          <w:rFonts w:ascii="宋体" w:hAnsi="宋体" w:eastAsia="宋体" w:cs="宋体"/>
          <w:b/>
          <w:bCs/>
          <w:spacing w:val="2"/>
          <w:sz w:val="20"/>
          <w:szCs w:val="20"/>
        </w:rPr>
        <w:t>1.6.1</w:t>
      </w:r>
      <w:r>
        <w:rPr>
          <w:rFonts w:ascii="宋体" w:hAnsi="宋体" w:eastAsia="宋体" w:cs="宋体"/>
          <w:spacing w:val="40"/>
          <w:sz w:val="20"/>
          <w:szCs w:val="20"/>
        </w:rPr>
        <w:t xml:space="preserve"> </w:t>
      </w:r>
      <w:r>
        <w:rPr>
          <w:rFonts w:ascii="宋体" w:hAnsi="宋体" w:eastAsia="宋体" w:cs="宋体"/>
          <w:b/>
          <w:bCs/>
          <w:spacing w:val="2"/>
          <w:sz w:val="20"/>
          <w:szCs w:val="20"/>
        </w:rPr>
        <w:t>图纸的提供和交底</w:t>
      </w:r>
    </w:p>
    <w:p w14:paraId="4747C3FB">
      <w:pPr>
        <w:spacing w:before="127" w:line="346" w:lineRule="auto"/>
        <w:ind w:firstLine="422"/>
        <w:jc w:val="both"/>
        <w:rPr>
          <w:rFonts w:ascii="宋体" w:hAnsi="宋体" w:eastAsia="宋体" w:cs="宋体"/>
          <w:sz w:val="20"/>
          <w:szCs w:val="20"/>
        </w:rPr>
      </w:pPr>
      <w:r>
        <w:rPr>
          <w:rFonts w:ascii="宋体" w:hAnsi="宋体" w:eastAsia="宋体" w:cs="宋体"/>
          <w:spacing w:val="7"/>
          <w:sz w:val="20"/>
          <w:szCs w:val="20"/>
        </w:rPr>
        <w:t>发包人应按照专用合同条款约定的期限、数量和内容向承包人免费提供图纸，</w:t>
      </w:r>
      <w:r>
        <w:rPr>
          <w:rFonts w:ascii="宋体" w:hAnsi="宋体" w:eastAsia="宋体" w:cs="宋体"/>
          <w:spacing w:val="6"/>
          <w:sz w:val="20"/>
          <w:szCs w:val="20"/>
        </w:rPr>
        <w:t>并组织承包人、</w:t>
      </w:r>
      <w:r>
        <w:rPr>
          <w:rFonts w:ascii="宋体" w:hAnsi="宋体" w:eastAsia="宋体" w:cs="宋体"/>
          <w:spacing w:val="9"/>
          <w:sz w:val="20"/>
          <w:szCs w:val="20"/>
        </w:rPr>
        <w:t>监理人和设计人进行图纸会审和设计交底。发包人至迟不得晚于第</w:t>
      </w:r>
      <w:r>
        <w:rPr>
          <w:rFonts w:ascii="宋体" w:hAnsi="宋体" w:eastAsia="宋体" w:cs="宋体"/>
          <w:spacing w:val="-28"/>
          <w:sz w:val="20"/>
          <w:szCs w:val="20"/>
        </w:rPr>
        <w:t xml:space="preserve"> </w:t>
      </w:r>
      <w:r>
        <w:rPr>
          <w:rFonts w:ascii="宋体" w:hAnsi="宋体" w:eastAsia="宋体" w:cs="宋体"/>
          <w:spacing w:val="9"/>
          <w:sz w:val="20"/>
          <w:szCs w:val="20"/>
        </w:rPr>
        <w:t>7.3.2</w:t>
      </w:r>
      <w:r>
        <w:rPr>
          <w:rFonts w:ascii="宋体" w:hAnsi="宋体" w:eastAsia="宋体" w:cs="宋体"/>
          <w:spacing w:val="-37"/>
          <w:sz w:val="20"/>
          <w:szCs w:val="20"/>
        </w:rPr>
        <w:t xml:space="preserve"> </w:t>
      </w:r>
      <w:r>
        <w:rPr>
          <w:rFonts w:ascii="宋体" w:hAnsi="宋体" w:eastAsia="宋体" w:cs="宋体"/>
          <w:spacing w:val="9"/>
          <w:sz w:val="20"/>
          <w:szCs w:val="20"/>
        </w:rPr>
        <w:t>项〔开工通知〕载明的</w:t>
      </w:r>
      <w:r>
        <w:rPr>
          <w:rFonts w:ascii="宋体" w:hAnsi="宋体" w:eastAsia="宋体" w:cs="宋体"/>
          <w:spacing w:val="6"/>
          <w:sz w:val="20"/>
          <w:szCs w:val="20"/>
        </w:rPr>
        <w:t>开工日期前</w:t>
      </w:r>
      <w:r>
        <w:rPr>
          <w:rFonts w:ascii="宋体" w:hAnsi="宋体" w:eastAsia="宋体" w:cs="宋体"/>
          <w:spacing w:val="-24"/>
          <w:sz w:val="20"/>
          <w:szCs w:val="20"/>
        </w:rPr>
        <w:t xml:space="preserve"> </w:t>
      </w:r>
      <w:r>
        <w:rPr>
          <w:rFonts w:ascii="宋体" w:hAnsi="宋体" w:eastAsia="宋体" w:cs="宋体"/>
          <w:spacing w:val="6"/>
          <w:sz w:val="20"/>
          <w:szCs w:val="20"/>
        </w:rPr>
        <w:t>14</w:t>
      </w:r>
      <w:r>
        <w:rPr>
          <w:rFonts w:ascii="宋体" w:hAnsi="宋体" w:eastAsia="宋体" w:cs="宋体"/>
          <w:spacing w:val="-34"/>
          <w:sz w:val="20"/>
          <w:szCs w:val="20"/>
        </w:rPr>
        <w:t xml:space="preserve"> </w:t>
      </w:r>
      <w:r>
        <w:rPr>
          <w:rFonts w:ascii="宋体" w:hAnsi="宋体" w:eastAsia="宋体" w:cs="宋体"/>
          <w:spacing w:val="6"/>
          <w:sz w:val="20"/>
          <w:szCs w:val="20"/>
        </w:rPr>
        <w:t>天向承包人提供图纸。</w:t>
      </w:r>
    </w:p>
    <w:p w14:paraId="341B2FB5">
      <w:pPr>
        <w:spacing w:before="1" w:line="345" w:lineRule="auto"/>
        <w:ind w:left="28" w:right="70" w:firstLine="408"/>
        <w:rPr>
          <w:rFonts w:ascii="宋体" w:hAnsi="宋体" w:eastAsia="宋体" w:cs="宋体"/>
          <w:sz w:val="20"/>
          <w:szCs w:val="20"/>
        </w:rPr>
      </w:pPr>
      <w:r>
        <w:rPr>
          <w:rFonts w:ascii="宋体" w:hAnsi="宋体" w:eastAsia="宋体" w:cs="宋体"/>
          <w:spacing w:val="9"/>
          <w:sz w:val="20"/>
          <w:szCs w:val="20"/>
        </w:rPr>
        <w:t>因发包人未按合同约定提供图纸导致承包人费用增加和（或）工</w:t>
      </w:r>
      <w:r>
        <w:rPr>
          <w:rFonts w:ascii="宋体" w:hAnsi="宋体" w:eastAsia="宋体" w:cs="宋体"/>
          <w:spacing w:val="8"/>
          <w:sz w:val="20"/>
          <w:szCs w:val="20"/>
        </w:rPr>
        <w:t>期延误的，按照第</w:t>
      </w:r>
      <w:r>
        <w:rPr>
          <w:rFonts w:ascii="宋体" w:hAnsi="宋体" w:eastAsia="宋体" w:cs="宋体"/>
          <w:spacing w:val="-34"/>
          <w:sz w:val="20"/>
          <w:szCs w:val="20"/>
        </w:rPr>
        <w:t xml:space="preserve"> </w:t>
      </w:r>
      <w:r>
        <w:rPr>
          <w:rFonts w:ascii="宋体" w:hAnsi="宋体" w:eastAsia="宋体" w:cs="宋体"/>
          <w:spacing w:val="8"/>
          <w:sz w:val="20"/>
          <w:szCs w:val="20"/>
        </w:rPr>
        <w:t>7.5.1</w:t>
      </w:r>
      <w:r>
        <w:rPr>
          <w:rFonts w:ascii="宋体" w:hAnsi="宋体" w:eastAsia="宋体" w:cs="宋体"/>
          <w:spacing w:val="-34"/>
          <w:sz w:val="20"/>
          <w:szCs w:val="20"/>
        </w:rPr>
        <w:t xml:space="preserve"> </w:t>
      </w:r>
      <w:r>
        <w:rPr>
          <w:rFonts w:ascii="宋体" w:hAnsi="宋体" w:eastAsia="宋体" w:cs="宋体"/>
          <w:spacing w:val="8"/>
          <w:sz w:val="20"/>
          <w:szCs w:val="20"/>
        </w:rPr>
        <w:t>项</w:t>
      </w:r>
      <w:r>
        <w:rPr>
          <w:rFonts w:ascii="宋体" w:hAnsi="宋体" w:eastAsia="宋体" w:cs="宋体"/>
          <w:spacing w:val="7"/>
          <w:sz w:val="20"/>
          <w:szCs w:val="20"/>
        </w:rPr>
        <w:t>〔因发包人原因导致工期延误〕约定办理。</w:t>
      </w:r>
    </w:p>
    <w:p w14:paraId="3F5D713D">
      <w:pPr>
        <w:spacing w:line="229" w:lineRule="auto"/>
        <w:ind w:left="435"/>
        <w:rPr>
          <w:rFonts w:ascii="宋体" w:hAnsi="宋体" w:eastAsia="宋体" w:cs="宋体"/>
          <w:sz w:val="20"/>
          <w:szCs w:val="20"/>
        </w:rPr>
      </w:pPr>
      <w:r>
        <w:rPr>
          <w:rFonts w:ascii="宋体" w:hAnsi="宋体" w:eastAsia="宋体" w:cs="宋体"/>
          <w:b/>
          <w:bCs/>
          <w:sz w:val="20"/>
          <w:szCs w:val="20"/>
        </w:rPr>
        <w:t>1.6.2</w:t>
      </w:r>
      <w:r>
        <w:rPr>
          <w:rFonts w:ascii="宋体" w:hAnsi="宋体" w:eastAsia="宋体" w:cs="宋体"/>
          <w:spacing w:val="39"/>
          <w:sz w:val="20"/>
          <w:szCs w:val="20"/>
        </w:rPr>
        <w:t xml:space="preserve"> </w:t>
      </w:r>
      <w:r>
        <w:rPr>
          <w:rFonts w:ascii="宋体" w:hAnsi="宋体" w:eastAsia="宋体" w:cs="宋体"/>
          <w:b/>
          <w:bCs/>
          <w:sz w:val="20"/>
          <w:szCs w:val="20"/>
        </w:rPr>
        <w:t>图纸的错误</w:t>
      </w:r>
    </w:p>
    <w:p w14:paraId="4B93D058">
      <w:pPr>
        <w:spacing w:before="124" w:line="346" w:lineRule="auto"/>
        <w:ind w:firstLine="419"/>
        <w:jc w:val="both"/>
        <w:rPr>
          <w:rFonts w:ascii="宋体" w:hAnsi="宋体" w:eastAsia="宋体" w:cs="宋体"/>
          <w:sz w:val="20"/>
          <w:szCs w:val="20"/>
        </w:rPr>
      </w:pPr>
      <w:r>
        <w:rPr>
          <w:rFonts w:ascii="宋体" w:hAnsi="宋体" w:eastAsia="宋体" w:cs="宋体"/>
          <w:spacing w:val="7"/>
          <w:sz w:val="20"/>
          <w:szCs w:val="20"/>
        </w:rPr>
        <w:t>承包人在收到发包人提供的图纸后，发现图纸存在差错、遗漏或缺陷的，应及时通知</w:t>
      </w:r>
      <w:r>
        <w:rPr>
          <w:rFonts w:ascii="宋体" w:hAnsi="宋体" w:eastAsia="宋体" w:cs="宋体"/>
          <w:spacing w:val="6"/>
          <w:sz w:val="20"/>
          <w:szCs w:val="20"/>
        </w:rPr>
        <w:t>监理人。</w:t>
      </w:r>
      <w:r>
        <w:rPr>
          <w:rFonts w:ascii="宋体" w:hAnsi="宋体" w:eastAsia="宋体" w:cs="宋体"/>
          <w:spacing w:val="10"/>
          <w:sz w:val="20"/>
          <w:szCs w:val="20"/>
        </w:rPr>
        <w:t>监理人接到该通知后，应附具相关意见并立即报送发包人，发包人应在收到监理人报送的通知后的合理时间内作出决定。合理时间是指发包人在收到监理人的报送通知后，尽其努力且不懈怠地</w:t>
      </w:r>
      <w:r>
        <w:rPr>
          <w:rFonts w:ascii="宋体" w:hAnsi="宋体" w:eastAsia="宋体" w:cs="宋体"/>
          <w:spacing w:val="8"/>
          <w:sz w:val="20"/>
          <w:szCs w:val="20"/>
        </w:rPr>
        <w:t>完成图纸修改补充所需的时间。</w:t>
      </w:r>
    </w:p>
    <w:p w14:paraId="1BA06C67">
      <w:pPr>
        <w:spacing w:before="1" w:line="345" w:lineRule="auto"/>
        <w:ind w:left="20" w:firstLine="424"/>
        <w:rPr>
          <w:rFonts w:ascii="宋体" w:hAnsi="宋体" w:eastAsia="宋体" w:cs="宋体"/>
          <w:sz w:val="20"/>
          <w:szCs w:val="20"/>
        </w:rPr>
      </w:pPr>
      <w:r>
        <w:rPr>
          <w:rFonts w:ascii="宋体" w:hAnsi="宋体" w:eastAsia="宋体" w:cs="宋体"/>
          <w:spacing w:val="10"/>
          <w:sz w:val="20"/>
          <w:szCs w:val="20"/>
        </w:rPr>
        <w:t>由图纸错误引起招标工程量清单缺项或项目特征描述不准确</w:t>
      </w:r>
      <w:r>
        <w:rPr>
          <w:rFonts w:ascii="宋体" w:hAnsi="宋体" w:eastAsia="宋体" w:cs="宋体"/>
          <w:spacing w:val="9"/>
          <w:sz w:val="20"/>
          <w:szCs w:val="20"/>
        </w:rPr>
        <w:t>的，发承包双方应当据实调整合</w:t>
      </w:r>
      <w:r>
        <w:rPr>
          <w:rFonts w:ascii="宋体" w:hAnsi="宋体" w:eastAsia="宋体" w:cs="宋体"/>
          <w:spacing w:val="7"/>
          <w:sz w:val="20"/>
          <w:szCs w:val="20"/>
        </w:rPr>
        <w:t>同价款。发包人不得以有经验的承包人未发现或未提出</w:t>
      </w:r>
      <w:r>
        <w:rPr>
          <w:rFonts w:ascii="宋体" w:hAnsi="宋体" w:eastAsia="宋体" w:cs="宋体"/>
          <w:spacing w:val="6"/>
          <w:sz w:val="20"/>
          <w:szCs w:val="20"/>
        </w:rPr>
        <w:t>图纸错误要求承包人承担图纸错误的责任。</w:t>
      </w:r>
    </w:p>
    <w:p w14:paraId="5076456E">
      <w:pPr>
        <w:spacing w:before="1" w:line="227" w:lineRule="auto"/>
        <w:ind w:left="435"/>
        <w:rPr>
          <w:rFonts w:ascii="宋体" w:hAnsi="宋体" w:eastAsia="宋体" w:cs="宋体"/>
          <w:sz w:val="20"/>
          <w:szCs w:val="20"/>
        </w:rPr>
      </w:pPr>
      <w:r>
        <w:rPr>
          <w:rFonts w:ascii="宋体" w:hAnsi="宋体" w:eastAsia="宋体" w:cs="宋体"/>
          <w:b/>
          <w:bCs/>
          <w:spacing w:val="2"/>
          <w:sz w:val="20"/>
          <w:szCs w:val="20"/>
        </w:rPr>
        <w:t>1.6.3</w:t>
      </w:r>
      <w:r>
        <w:rPr>
          <w:rFonts w:ascii="宋体" w:hAnsi="宋体" w:eastAsia="宋体" w:cs="宋体"/>
          <w:spacing w:val="40"/>
          <w:sz w:val="20"/>
          <w:szCs w:val="20"/>
        </w:rPr>
        <w:t xml:space="preserve"> </w:t>
      </w:r>
      <w:r>
        <w:rPr>
          <w:rFonts w:ascii="宋体" w:hAnsi="宋体" w:eastAsia="宋体" w:cs="宋体"/>
          <w:b/>
          <w:bCs/>
          <w:spacing w:val="2"/>
          <w:sz w:val="20"/>
          <w:szCs w:val="20"/>
        </w:rPr>
        <w:t>图纸的修改和补充</w:t>
      </w:r>
    </w:p>
    <w:p w14:paraId="57EF26E3">
      <w:pPr>
        <w:spacing w:before="126" w:line="346" w:lineRule="auto"/>
        <w:ind w:left="2" w:right="71" w:firstLine="437"/>
        <w:rPr>
          <w:rFonts w:ascii="宋体" w:hAnsi="宋体" w:eastAsia="宋体" w:cs="宋体"/>
          <w:sz w:val="20"/>
          <w:szCs w:val="20"/>
        </w:rPr>
      </w:pPr>
      <w:r>
        <w:rPr>
          <w:rFonts w:ascii="宋体" w:hAnsi="宋体" w:eastAsia="宋体" w:cs="宋体"/>
          <w:spacing w:val="10"/>
          <w:sz w:val="20"/>
          <w:szCs w:val="20"/>
        </w:rPr>
        <w:t>图纸需要修改和补充的，应经图纸原设计人及审批部门同意，并由监理</w:t>
      </w:r>
      <w:r>
        <w:rPr>
          <w:rFonts w:ascii="宋体" w:hAnsi="宋体" w:eastAsia="宋体" w:cs="宋体"/>
          <w:spacing w:val="9"/>
          <w:sz w:val="20"/>
          <w:szCs w:val="20"/>
        </w:rPr>
        <w:t>人在工程或工程相应部位施工前将修改后的图纸或补充图纸提交给承包人，承包人应按修改或补充后的图纸施工。</w:t>
      </w:r>
    </w:p>
    <w:p w14:paraId="0BD9AA77">
      <w:pPr>
        <w:spacing w:before="1" w:line="227" w:lineRule="auto"/>
        <w:ind w:left="435"/>
        <w:rPr>
          <w:rFonts w:ascii="宋体" w:hAnsi="宋体" w:eastAsia="宋体" w:cs="宋体"/>
          <w:sz w:val="20"/>
          <w:szCs w:val="20"/>
        </w:rPr>
      </w:pPr>
      <w:r>
        <w:rPr>
          <w:rFonts w:ascii="宋体" w:hAnsi="宋体" w:eastAsia="宋体" w:cs="宋体"/>
          <w:b/>
          <w:bCs/>
          <w:spacing w:val="3"/>
          <w:sz w:val="20"/>
          <w:szCs w:val="20"/>
        </w:rPr>
        <w:t>1.6.4</w:t>
      </w:r>
      <w:r>
        <w:rPr>
          <w:rFonts w:ascii="宋体" w:hAnsi="宋体" w:eastAsia="宋体" w:cs="宋体"/>
          <w:spacing w:val="3"/>
          <w:sz w:val="20"/>
          <w:szCs w:val="20"/>
        </w:rPr>
        <w:t xml:space="preserve"> </w:t>
      </w:r>
      <w:r>
        <w:rPr>
          <w:rFonts w:ascii="宋体" w:hAnsi="宋体" w:eastAsia="宋体" w:cs="宋体"/>
          <w:b/>
          <w:bCs/>
          <w:spacing w:val="3"/>
          <w:sz w:val="20"/>
          <w:szCs w:val="20"/>
        </w:rPr>
        <w:t>承包人文件</w:t>
      </w:r>
    </w:p>
    <w:p w14:paraId="2C90426D">
      <w:pPr>
        <w:spacing w:before="127" w:line="346" w:lineRule="auto"/>
        <w:ind w:right="71" w:firstLine="419"/>
        <w:rPr>
          <w:rFonts w:ascii="宋体" w:hAnsi="宋体" w:eastAsia="宋体" w:cs="宋体"/>
          <w:sz w:val="20"/>
          <w:szCs w:val="20"/>
        </w:rPr>
      </w:pPr>
      <w:r>
        <w:rPr>
          <w:rFonts w:ascii="宋体" w:hAnsi="宋体" w:eastAsia="宋体" w:cs="宋体"/>
          <w:spacing w:val="10"/>
          <w:sz w:val="20"/>
          <w:szCs w:val="20"/>
        </w:rPr>
        <w:t>承包人应按照专用合同条款的约定提供应当由其编制的与工程施工有关的文件，并按照专用</w:t>
      </w:r>
      <w:r>
        <w:rPr>
          <w:rFonts w:ascii="宋体" w:hAnsi="宋体" w:eastAsia="宋体" w:cs="宋体"/>
          <w:spacing w:val="9"/>
          <w:sz w:val="20"/>
          <w:szCs w:val="20"/>
        </w:rPr>
        <w:t>合同条款约定的期限、数量和形式提交监理人，并由监理人报送发包人。</w:t>
      </w:r>
    </w:p>
    <w:p w14:paraId="60C6DD22">
      <w:pPr>
        <w:spacing w:before="2" w:line="345" w:lineRule="auto"/>
        <w:ind w:right="70" w:firstLine="432"/>
        <w:jc w:val="both"/>
        <w:rPr>
          <w:rFonts w:ascii="宋体" w:hAnsi="宋体" w:eastAsia="宋体" w:cs="宋体"/>
          <w:sz w:val="20"/>
          <w:szCs w:val="20"/>
        </w:rPr>
      </w:pPr>
      <w:r>
        <w:rPr>
          <w:rFonts w:ascii="宋体" w:hAnsi="宋体" w:eastAsia="宋体" w:cs="宋体"/>
          <w:spacing w:val="9"/>
          <w:sz w:val="20"/>
          <w:szCs w:val="20"/>
        </w:rPr>
        <w:t>除专用合同条款另有约定外，监理人应在收到承包人文件后</w:t>
      </w:r>
      <w:r>
        <w:rPr>
          <w:rFonts w:ascii="宋体" w:hAnsi="宋体" w:eastAsia="宋体" w:cs="宋体"/>
          <w:spacing w:val="-27"/>
          <w:sz w:val="20"/>
          <w:szCs w:val="20"/>
        </w:rPr>
        <w:t xml:space="preserve"> </w:t>
      </w:r>
      <w:r>
        <w:rPr>
          <w:rFonts w:ascii="宋体" w:hAnsi="宋体" w:eastAsia="宋体" w:cs="宋体"/>
          <w:spacing w:val="9"/>
          <w:sz w:val="20"/>
          <w:szCs w:val="20"/>
        </w:rPr>
        <w:t>7</w:t>
      </w:r>
      <w:r>
        <w:rPr>
          <w:rFonts w:ascii="宋体" w:hAnsi="宋体" w:eastAsia="宋体" w:cs="宋体"/>
          <w:spacing w:val="-33"/>
          <w:sz w:val="20"/>
          <w:szCs w:val="20"/>
        </w:rPr>
        <w:t xml:space="preserve"> </w:t>
      </w:r>
      <w:r>
        <w:rPr>
          <w:rFonts w:ascii="宋体" w:hAnsi="宋体" w:eastAsia="宋体" w:cs="宋体"/>
          <w:spacing w:val="9"/>
          <w:sz w:val="20"/>
          <w:szCs w:val="20"/>
        </w:rPr>
        <w:t>天内审查完毕，监理人对承包</w:t>
      </w:r>
      <w:r>
        <w:rPr>
          <w:rFonts w:ascii="宋体" w:hAnsi="宋体" w:eastAsia="宋体" w:cs="宋体"/>
          <w:spacing w:val="10"/>
          <w:sz w:val="20"/>
          <w:szCs w:val="20"/>
        </w:rPr>
        <w:t>人文件有异议的，承包人应予以修改，并重新报送监理人。监理人的审查并不减轻或免除承包人</w:t>
      </w:r>
      <w:r>
        <w:rPr>
          <w:rFonts w:ascii="宋体" w:hAnsi="宋体" w:eastAsia="宋体" w:cs="宋体"/>
          <w:spacing w:val="8"/>
          <w:sz w:val="20"/>
          <w:szCs w:val="20"/>
        </w:rPr>
        <w:t>根据合同约定应当承担的责任。</w:t>
      </w:r>
    </w:p>
    <w:p w14:paraId="324ED7BC">
      <w:pPr>
        <w:spacing w:before="1" w:line="227" w:lineRule="auto"/>
        <w:ind w:left="435"/>
        <w:rPr>
          <w:rFonts w:ascii="宋体" w:hAnsi="宋体" w:eastAsia="宋体" w:cs="宋体"/>
          <w:sz w:val="20"/>
          <w:szCs w:val="20"/>
        </w:rPr>
      </w:pPr>
      <w:r>
        <w:rPr>
          <w:rFonts w:ascii="宋体" w:hAnsi="宋体" w:eastAsia="宋体" w:cs="宋体"/>
          <w:b/>
          <w:bCs/>
          <w:spacing w:val="3"/>
          <w:sz w:val="20"/>
          <w:szCs w:val="20"/>
        </w:rPr>
        <w:t>1.6.5</w:t>
      </w:r>
      <w:r>
        <w:rPr>
          <w:rFonts w:ascii="宋体" w:hAnsi="宋体" w:eastAsia="宋体" w:cs="宋体"/>
          <w:spacing w:val="43"/>
          <w:sz w:val="20"/>
          <w:szCs w:val="20"/>
        </w:rPr>
        <w:t xml:space="preserve"> </w:t>
      </w:r>
      <w:r>
        <w:rPr>
          <w:rFonts w:ascii="宋体" w:hAnsi="宋体" w:eastAsia="宋体" w:cs="宋体"/>
          <w:b/>
          <w:bCs/>
          <w:spacing w:val="3"/>
          <w:sz w:val="20"/>
          <w:szCs w:val="20"/>
        </w:rPr>
        <w:t>图纸和承包人文件的保管</w:t>
      </w:r>
    </w:p>
    <w:p w14:paraId="155E031B">
      <w:pPr>
        <w:spacing w:before="127" w:line="346" w:lineRule="auto"/>
        <w:ind w:right="122" w:firstLine="432"/>
        <w:rPr>
          <w:rFonts w:ascii="宋体" w:hAnsi="宋体" w:eastAsia="宋体" w:cs="宋体"/>
          <w:sz w:val="20"/>
          <w:szCs w:val="20"/>
        </w:rPr>
      </w:pPr>
      <w:r>
        <w:rPr>
          <w:rFonts w:ascii="宋体" w:hAnsi="宋体" w:eastAsia="宋体" w:cs="宋体"/>
          <w:spacing w:val="9"/>
          <w:sz w:val="20"/>
          <w:szCs w:val="20"/>
        </w:rPr>
        <w:t>除专用合同条款另有约定外，承包人应在施工现场另外保存一套</w:t>
      </w:r>
      <w:r>
        <w:rPr>
          <w:rFonts w:ascii="宋体" w:hAnsi="宋体" w:eastAsia="宋体" w:cs="宋体"/>
          <w:spacing w:val="8"/>
          <w:sz w:val="20"/>
          <w:szCs w:val="20"/>
        </w:rPr>
        <w:t>完整的图纸和承包人文件，</w:t>
      </w:r>
      <w:r>
        <w:rPr>
          <w:rFonts w:ascii="宋体" w:hAnsi="宋体" w:eastAsia="宋体" w:cs="宋体"/>
          <w:spacing w:val="9"/>
          <w:sz w:val="20"/>
          <w:szCs w:val="20"/>
        </w:rPr>
        <w:t>供发包人、监理人及有关人员进行工程检查时使用。</w:t>
      </w:r>
    </w:p>
    <w:p w14:paraId="34BC62AA">
      <w:pPr>
        <w:spacing w:line="229" w:lineRule="auto"/>
        <w:ind w:left="435"/>
        <w:rPr>
          <w:rFonts w:ascii="宋体" w:hAnsi="宋体" w:eastAsia="宋体" w:cs="宋体"/>
          <w:sz w:val="20"/>
          <w:szCs w:val="20"/>
        </w:rPr>
      </w:pPr>
      <w:r>
        <w:rPr>
          <w:rFonts w:ascii="宋体" w:hAnsi="宋体" w:eastAsia="宋体" w:cs="宋体"/>
          <w:b/>
          <w:bCs/>
          <w:spacing w:val="-1"/>
          <w:sz w:val="20"/>
          <w:szCs w:val="20"/>
        </w:rPr>
        <w:t>1.7</w:t>
      </w:r>
      <w:r>
        <w:rPr>
          <w:rFonts w:ascii="宋体" w:hAnsi="宋体" w:eastAsia="宋体" w:cs="宋体"/>
          <w:spacing w:val="13"/>
          <w:sz w:val="20"/>
          <w:szCs w:val="20"/>
        </w:rPr>
        <w:t xml:space="preserve"> </w:t>
      </w:r>
      <w:r>
        <w:rPr>
          <w:rFonts w:ascii="宋体" w:hAnsi="宋体" w:eastAsia="宋体" w:cs="宋体"/>
          <w:b/>
          <w:bCs/>
          <w:spacing w:val="-1"/>
          <w:sz w:val="20"/>
          <w:szCs w:val="20"/>
        </w:rPr>
        <w:t>联络</w:t>
      </w:r>
    </w:p>
    <w:p w14:paraId="610D4008">
      <w:pPr>
        <w:spacing w:before="125" w:line="346" w:lineRule="auto"/>
        <w:ind w:left="5" w:right="71" w:firstLine="430"/>
        <w:rPr>
          <w:rFonts w:ascii="宋体" w:hAnsi="宋体" w:eastAsia="宋体" w:cs="宋体"/>
          <w:sz w:val="20"/>
          <w:szCs w:val="20"/>
        </w:rPr>
      </w:pPr>
      <w:r>
        <w:rPr>
          <w:rFonts w:ascii="宋体" w:hAnsi="宋体" w:eastAsia="宋体" w:cs="宋体"/>
          <w:spacing w:val="9"/>
          <w:sz w:val="20"/>
          <w:szCs w:val="20"/>
        </w:rPr>
        <w:t>1.7.1 与合同有关的通知、批准、证明、证书、指示、指令、要求、请求、同意、意见、确定和决定等，均应采用书面形式，并应在合同约定的期限内送达合同约定的接收人和送达地点。</w:t>
      </w:r>
    </w:p>
    <w:p w14:paraId="72A7250C">
      <w:pPr>
        <w:spacing w:before="1" w:line="345" w:lineRule="auto"/>
        <w:ind w:left="20" w:right="71" w:firstLine="414"/>
        <w:rPr>
          <w:rFonts w:ascii="宋体" w:hAnsi="宋体" w:eastAsia="宋体" w:cs="宋体"/>
          <w:sz w:val="20"/>
          <w:szCs w:val="20"/>
        </w:rPr>
      </w:pPr>
      <w:r>
        <w:rPr>
          <w:rFonts w:ascii="宋体" w:hAnsi="宋体" w:eastAsia="宋体" w:cs="宋体"/>
          <w:spacing w:val="9"/>
          <w:sz w:val="20"/>
          <w:szCs w:val="20"/>
        </w:rPr>
        <w:t>1.7.2 发包人和承包人应在专用合同条款中约定各自的送达接收人和送达地点。任何一方合</w:t>
      </w:r>
      <w:r>
        <w:rPr>
          <w:rFonts w:ascii="宋体" w:hAnsi="宋体" w:eastAsia="宋体" w:cs="宋体"/>
          <w:spacing w:val="8"/>
          <w:sz w:val="20"/>
          <w:szCs w:val="20"/>
        </w:rPr>
        <w:t>同当事人指定的接收人或送达地点发生变动的，应提前</w:t>
      </w:r>
      <w:r>
        <w:rPr>
          <w:rFonts w:ascii="宋体" w:hAnsi="宋体" w:eastAsia="宋体" w:cs="宋体"/>
          <w:spacing w:val="-32"/>
          <w:sz w:val="20"/>
          <w:szCs w:val="20"/>
        </w:rPr>
        <w:t xml:space="preserve"> </w:t>
      </w:r>
      <w:r>
        <w:rPr>
          <w:rFonts w:ascii="宋体" w:hAnsi="宋体" w:eastAsia="宋体" w:cs="宋体"/>
          <w:spacing w:val="8"/>
          <w:sz w:val="20"/>
          <w:szCs w:val="20"/>
        </w:rPr>
        <w:t>3</w:t>
      </w:r>
      <w:r>
        <w:rPr>
          <w:rFonts w:ascii="宋体" w:hAnsi="宋体" w:eastAsia="宋体" w:cs="宋体"/>
          <w:spacing w:val="-37"/>
          <w:sz w:val="20"/>
          <w:szCs w:val="20"/>
        </w:rPr>
        <w:t xml:space="preserve"> </w:t>
      </w:r>
      <w:r>
        <w:rPr>
          <w:rFonts w:ascii="宋体" w:hAnsi="宋体" w:eastAsia="宋体" w:cs="宋体"/>
          <w:spacing w:val="8"/>
          <w:sz w:val="20"/>
          <w:szCs w:val="20"/>
        </w:rPr>
        <w:t>天以书面形式通知</w:t>
      </w:r>
      <w:r>
        <w:rPr>
          <w:rFonts w:ascii="宋体" w:hAnsi="宋体" w:eastAsia="宋体" w:cs="宋体"/>
          <w:spacing w:val="7"/>
          <w:sz w:val="20"/>
          <w:szCs w:val="20"/>
        </w:rPr>
        <w:t>对方。</w:t>
      </w:r>
    </w:p>
    <w:p w14:paraId="1B4C2975">
      <w:pPr>
        <w:spacing w:before="2" w:line="345" w:lineRule="auto"/>
        <w:ind w:right="71" w:firstLine="435"/>
        <w:rPr>
          <w:rFonts w:ascii="宋体" w:hAnsi="宋体" w:eastAsia="宋体" w:cs="宋体"/>
          <w:sz w:val="20"/>
          <w:szCs w:val="20"/>
        </w:rPr>
      </w:pPr>
      <w:r>
        <w:rPr>
          <w:rFonts w:ascii="宋体" w:hAnsi="宋体" w:eastAsia="宋体" w:cs="宋体"/>
          <w:spacing w:val="9"/>
          <w:sz w:val="20"/>
          <w:szCs w:val="20"/>
        </w:rPr>
        <w:t>1.7.3 发包人和承包人应当及时签收另一方送达至送达地点和指定接收人的来往信函。拒不</w:t>
      </w:r>
      <w:r>
        <w:rPr>
          <w:rFonts w:ascii="宋体" w:hAnsi="宋体" w:eastAsia="宋体" w:cs="宋体"/>
          <w:spacing w:val="8"/>
          <w:sz w:val="20"/>
          <w:szCs w:val="20"/>
        </w:rPr>
        <w:t>签收的，</w:t>
      </w:r>
      <w:r>
        <w:rPr>
          <w:rFonts w:ascii="宋体" w:hAnsi="宋体" w:eastAsia="宋体" w:cs="宋体"/>
          <w:spacing w:val="-58"/>
          <w:sz w:val="20"/>
          <w:szCs w:val="20"/>
        </w:rPr>
        <w:t xml:space="preserve"> </w:t>
      </w:r>
      <w:r>
        <w:rPr>
          <w:rFonts w:ascii="宋体" w:hAnsi="宋体" w:eastAsia="宋体" w:cs="宋体"/>
          <w:spacing w:val="8"/>
          <w:sz w:val="20"/>
          <w:szCs w:val="20"/>
        </w:rPr>
        <w:t>由此增加的费用和（或）延误的工期由拒绝接收一方</w:t>
      </w:r>
      <w:r>
        <w:rPr>
          <w:rFonts w:ascii="宋体" w:hAnsi="宋体" w:eastAsia="宋体" w:cs="宋体"/>
          <w:spacing w:val="7"/>
          <w:sz w:val="20"/>
          <w:szCs w:val="20"/>
        </w:rPr>
        <w:t>承担。</w:t>
      </w:r>
    </w:p>
    <w:p w14:paraId="6138DC0B">
      <w:pPr>
        <w:spacing w:line="227" w:lineRule="auto"/>
        <w:ind w:left="435"/>
        <w:rPr>
          <w:rFonts w:ascii="宋体" w:hAnsi="宋体" w:eastAsia="宋体" w:cs="宋体"/>
          <w:sz w:val="20"/>
          <w:szCs w:val="20"/>
        </w:rPr>
      </w:pPr>
      <w:r>
        <w:rPr>
          <w:rFonts w:ascii="宋体" w:hAnsi="宋体" w:eastAsia="宋体" w:cs="宋体"/>
          <w:b/>
          <w:bCs/>
          <w:spacing w:val="3"/>
          <w:sz w:val="20"/>
          <w:szCs w:val="20"/>
        </w:rPr>
        <w:t>1.8</w:t>
      </w:r>
      <w:r>
        <w:rPr>
          <w:rFonts w:ascii="宋体" w:hAnsi="宋体" w:eastAsia="宋体" w:cs="宋体"/>
          <w:spacing w:val="3"/>
          <w:sz w:val="20"/>
          <w:szCs w:val="20"/>
        </w:rPr>
        <w:t xml:space="preserve"> </w:t>
      </w:r>
      <w:r>
        <w:rPr>
          <w:rFonts w:ascii="宋体" w:hAnsi="宋体" w:eastAsia="宋体" w:cs="宋体"/>
          <w:b/>
          <w:bCs/>
          <w:spacing w:val="3"/>
          <w:sz w:val="20"/>
          <w:szCs w:val="20"/>
        </w:rPr>
        <w:t>严禁贿赂</w:t>
      </w:r>
    </w:p>
    <w:p w14:paraId="5F4C47C1">
      <w:pPr>
        <w:spacing w:line="227" w:lineRule="auto"/>
        <w:rPr>
          <w:rFonts w:ascii="宋体" w:hAnsi="宋体" w:eastAsia="宋体" w:cs="宋体"/>
          <w:sz w:val="20"/>
          <w:szCs w:val="20"/>
        </w:rPr>
        <w:sectPr>
          <w:footerReference r:id="rId341" w:type="default"/>
          <w:pgSz w:w="11906" w:h="16839"/>
          <w:pgMar w:top="400" w:right="1462" w:bottom="1446" w:left="1539" w:header="0" w:footer="1284" w:gutter="0"/>
          <w:cols w:space="720" w:num="1"/>
        </w:sectPr>
      </w:pPr>
    </w:p>
    <w:p w14:paraId="4E3937FD">
      <w:pPr>
        <w:spacing w:line="246" w:lineRule="auto"/>
        <w:rPr>
          <w:rFonts w:ascii="Arial"/>
          <w:sz w:val="21"/>
        </w:rPr>
      </w:pPr>
    </w:p>
    <w:p w14:paraId="4845F2EB">
      <w:pPr>
        <w:spacing w:line="246" w:lineRule="auto"/>
        <w:rPr>
          <w:rFonts w:ascii="Arial"/>
          <w:sz w:val="21"/>
        </w:rPr>
      </w:pPr>
    </w:p>
    <w:p w14:paraId="0C93B9D3">
      <w:pPr>
        <w:spacing w:line="246" w:lineRule="auto"/>
        <w:rPr>
          <w:rFonts w:ascii="Arial"/>
          <w:sz w:val="21"/>
        </w:rPr>
      </w:pPr>
    </w:p>
    <w:p w14:paraId="1D843D77">
      <w:pPr>
        <w:spacing w:line="246" w:lineRule="auto"/>
        <w:rPr>
          <w:rFonts w:ascii="Arial"/>
          <w:sz w:val="21"/>
        </w:rPr>
      </w:pPr>
    </w:p>
    <w:p w14:paraId="0D5B3EAA">
      <w:pPr>
        <w:spacing w:line="246" w:lineRule="auto"/>
        <w:rPr>
          <w:rFonts w:ascii="Arial"/>
          <w:sz w:val="21"/>
        </w:rPr>
      </w:pPr>
    </w:p>
    <w:p w14:paraId="040AA4BB">
      <w:pPr>
        <w:spacing w:line="247" w:lineRule="auto"/>
        <w:rPr>
          <w:rFonts w:ascii="Arial"/>
          <w:sz w:val="21"/>
        </w:rPr>
      </w:pPr>
    </w:p>
    <w:p w14:paraId="1310CE29">
      <w:pPr>
        <w:spacing w:before="65" w:line="346" w:lineRule="auto"/>
        <w:ind w:left="3" w:firstLine="419"/>
        <w:rPr>
          <w:rFonts w:ascii="宋体" w:hAnsi="宋体" w:eastAsia="宋体" w:cs="宋体"/>
          <w:sz w:val="20"/>
          <w:szCs w:val="20"/>
        </w:rPr>
      </w:pPr>
      <w:r>
        <w:rPr>
          <w:rFonts w:ascii="宋体" w:hAnsi="宋体" w:eastAsia="宋体" w:cs="宋体"/>
          <w:spacing w:val="10"/>
          <w:sz w:val="20"/>
          <w:szCs w:val="20"/>
        </w:rPr>
        <w:t>合同当事人不得以贿赂或变相贿赂的方式，谋取非法利益或损害对方权益。因一方合同当事</w:t>
      </w:r>
      <w:r>
        <w:rPr>
          <w:rFonts w:ascii="宋体" w:hAnsi="宋体" w:eastAsia="宋体" w:cs="宋体"/>
          <w:spacing w:val="9"/>
          <w:sz w:val="20"/>
          <w:szCs w:val="20"/>
        </w:rPr>
        <w:t>人的贿赂造成对方损失的，应赔偿损失，并承担相应的法律责任。</w:t>
      </w:r>
    </w:p>
    <w:p w14:paraId="004DB63B">
      <w:pPr>
        <w:spacing w:before="1" w:line="345" w:lineRule="auto"/>
        <w:ind w:left="1" w:firstLine="420"/>
        <w:jc w:val="both"/>
        <w:rPr>
          <w:rFonts w:ascii="宋体" w:hAnsi="宋体" w:eastAsia="宋体" w:cs="宋体"/>
          <w:sz w:val="20"/>
          <w:szCs w:val="20"/>
        </w:rPr>
      </w:pPr>
      <w:r>
        <w:rPr>
          <w:rFonts w:ascii="宋体" w:hAnsi="宋体" w:eastAsia="宋体" w:cs="宋体"/>
          <w:spacing w:val="10"/>
          <w:sz w:val="20"/>
          <w:szCs w:val="20"/>
        </w:rPr>
        <w:t>承包人不得与监理人或发包人聘请的第三方串通损害发包人利益。未经发包人书面同意，承包人不得为监理人提供合同约定以外的通讯设备、交通工具及其他任何形式的利益，不得向监理</w:t>
      </w:r>
      <w:r>
        <w:rPr>
          <w:rFonts w:ascii="宋体" w:hAnsi="宋体" w:eastAsia="宋体" w:cs="宋体"/>
          <w:spacing w:val="6"/>
          <w:sz w:val="20"/>
          <w:szCs w:val="20"/>
        </w:rPr>
        <w:t>人支付报酬。</w:t>
      </w:r>
    </w:p>
    <w:p w14:paraId="758EF7C1">
      <w:pPr>
        <w:spacing w:line="229" w:lineRule="auto"/>
        <w:ind w:left="437"/>
        <w:rPr>
          <w:rFonts w:ascii="宋体" w:hAnsi="宋体" w:eastAsia="宋体" w:cs="宋体"/>
          <w:sz w:val="20"/>
          <w:szCs w:val="20"/>
        </w:rPr>
      </w:pPr>
      <w:r>
        <w:rPr>
          <w:rFonts w:ascii="宋体" w:hAnsi="宋体" w:eastAsia="宋体" w:cs="宋体"/>
          <w:b/>
          <w:bCs/>
          <w:spacing w:val="3"/>
          <w:sz w:val="20"/>
          <w:szCs w:val="20"/>
        </w:rPr>
        <w:t>1.9</w:t>
      </w:r>
      <w:r>
        <w:rPr>
          <w:rFonts w:ascii="宋体" w:hAnsi="宋体" w:eastAsia="宋体" w:cs="宋体"/>
          <w:spacing w:val="3"/>
          <w:sz w:val="20"/>
          <w:szCs w:val="20"/>
        </w:rPr>
        <w:t xml:space="preserve"> </w:t>
      </w:r>
      <w:r>
        <w:rPr>
          <w:rFonts w:ascii="宋体" w:hAnsi="宋体" w:eastAsia="宋体" w:cs="宋体"/>
          <w:b/>
          <w:bCs/>
          <w:spacing w:val="3"/>
          <w:sz w:val="20"/>
          <w:szCs w:val="20"/>
        </w:rPr>
        <w:t>化石、文物</w:t>
      </w:r>
    </w:p>
    <w:p w14:paraId="6352B4E2">
      <w:pPr>
        <w:spacing w:before="124" w:line="346" w:lineRule="auto"/>
        <w:ind w:left="1" w:firstLine="419"/>
        <w:jc w:val="both"/>
        <w:rPr>
          <w:rFonts w:ascii="宋体" w:hAnsi="宋体" w:eastAsia="宋体" w:cs="宋体"/>
          <w:sz w:val="20"/>
          <w:szCs w:val="20"/>
        </w:rPr>
      </w:pPr>
      <w:r>
        <w:rPr>
          <w:rFonts w:ascii="宋体" w:hAnsi="宋体" w:eastAsia="宋体" w:cs="宋体"/>
          <w:spacing w:val="10"/>
          <w:sz w:val="20"/>
          <w:szCs w:val="20"/>
        </w:rPr>
        <w:t>在施工现场发掘的所有文物、古迹以及具有地质研究或考古价值的其他遗迹、化石、钱币或物品属于国家所有。一旦发现上述文物，承包人应采取合理有效的保护措施，防止任何人员移动</w:t>
      </w:r>
      <w:r>
        <w:rPr>
          <w:rFonts w:ascii="宋体" w:hAnsi="宋体" w:eastAsia="宋体" w:cs="宋体"/>
          <w:spacing w:val="9"/>
          <w:sz w:val="20"/>
          <w:szCs w:val="20"/>
        </w:rPr>
        <w:t>或损坏上述物品，并立即报告有关政府行政管理部门，同时通知监理人。</w:t>
      </w:r>
    </w:p>
    <w:p w14:paraId="7F993510">
      <w:pPr>
        <w:spacing w:before="1" w:line="345" w:lineRule="auto"/>
        <w:ind w:left="13" w:firstLine="411"/>
        <w:rPr>
          <w:rFonts w:ascii="宋体" w:hAnsi="宋体" w:eastAsia="宋体" w:cs="宋体"/>
          <w:sz w:val="20"/>
          <w:szCs w:val="20"/>
        </w:rPr>
      </w:pPr>
      <w:r>
        <w:rPr>
          <w:rFonts w:ascii="宋体" w:hAnsi="宋体" w:eastAsia="宋体" w:cs="宋体"/>
          <w:spacing w:val="10"/>
          <w:sz w:val="20"/>
          <w:szCs w:val="20"/>
        </w:rPr>
        <w:t>发包人、监理人和承包人应按有关政府行政管理部门要求采取妥善的保护措施，由此增加的</w:t>
      </w:r>
      <w:r>
        <w:rPr>
          <w:rFonts w:ascii="宋体" w:hAnsi="宋体" w:eastAsia="宋体" w:cs="宋体"/>
          <w:spacing w:val="8"/>
          <w:sz w:val="20"/>
          <w:szCs w:val="20"/>
        </w:rPr>
        <w:t>费用和（或）延误的工期由发包人承担。</w:t>
      </w:r>
    </w:p>
    <w:p w14:paraId="2F81F0D7">
      <w:pPr>
        <w:spacing w:before="2" w:line="345" w:lineRule="auto"/>
        <w:ind w:left="1" w:firstLine="420"/>
        <w:rPr>
          <w:rFonts w:ascii="宋体" w:hAnsi="宋体" w:eastAsia="宋体" w:cs="宋体"/>
          <w:sz w:val="20"/>
          <w:szCs w:val="20"/>
        </w:rPr>
      </w:pPr>
      <w:r>
        <w:rPr>
          <w:rFonts w:ascii="宋体" w:hAnsi="宋体" w:eastAsia="宋体" w:cs="宋体"/>
          <w:spacing w:val="10"/>
          <w:sz w:val="20"/>
          <w:szCs w:val="20"/>
        </w:rPr>
        <w:t>承包人发现文物后不及时报告或隐瞒不报，致使文物丢失或损坏的，应赔偿损失，并承担相</w:t>
      </w:r>
      <w:r>
        <w:rPr>
          <w:rFonts w:ascii="宋体" w:hAnsi="宋体" w:eastAsia="宋体" w:cs="宋体"/>
          <w:spacing w:val="7"/>
          <w:sz w:val="20"/>
          <w:szCs w:val="20"/>
        </w:rPr>
        <w:t>应的法律责任。</w:t>
      </w:r>
    </w:p>
    <w:p w14:paraId="3F9F0E97">
      <w:pPr>
        <w:spacing w:line="227" w:lineRule="auto"/>
        <w:ind w:left="437"/>
        <w:rPr>
          <w:rFonts w:ascii="宋体" w:hAnsi="宋体" w:eastAsia="宋体" w:cs="宋体"/>
          <w:sz w:val="20"/>
          <w:szCs w:val="20"/>
        </w:rPr>
      </w:pPr>
      <w:r>
        <w:rPr>
          <w:rFonts w:ascii="宋体" w:hAnsi="宋体" w:eastAsia="宋体" w:cs="宋体"/>
          <w:b/>
          <w:bCs/>
          <w:spacing w:val="1"/>
          <w:sz w:val="20"/>
          <w:szCs w:val="20"/>
        </w:rPr>
        <w:t>1.10</w:t>
      </w:r>
      <w:r>
        <w:rPr>
          <w:rFonts w:ascii="宋体" w:hAnsi="宋体" w:eastAsia="宋体" w:cs="宋体"/>
          <w:spacing w:val="21"/>
          <w:sz w:val="20"/>
          <w:szCs w:val="20"/>
        </w:rPr>
        <w:t xml:space="preserve"> </w:t>
      </w:r>
      <w:r>
        <w:rPr>
          <w:rFonts w:ascii="宋体" w:hAnsi="宋体" w:eastAsia="宋体" w:cs="宋体"/>
          <w:b/>
          <w:bCs/>
          <w:spacing w:val="1"/>
          <w:sz w:val="20"/>
          <w:szCs w:val="20"/>
        </w:rPr>
        <w:t>交通运输</w:t>
      </w:r>
    </w:p>
    <w:p w14:paraId="7871F99C">
      <w:pPr>
        <w:spacing w:before="128" w:line="228" w:lineRule="auto"/>
        <w:ind w:left="437"/>
        <w:rPr>
          <w:rFonts w:ascii="宋体" w:hAnsi="宋体" w:eastAsia="宋体" w:cs="宋体"/>
          <w:sz w:val="20"/>
          <w:szCs w:val="20"/>
        </w:rPr>
      </w:pPr>
      <w:r>
        <w:rPr>
          <w:rFonts w:ascii="宋体" w:hAnsi="宋体" w:eastAsia="宋体" w:cs="宋体"/>
          <w:b/>
          <w:bCs/>
          <w:spacing w:val="2"/>
          <w:sz w:val="20"/>
          <w:szCs w:val="20"/>
        </w:rPr>
        <w:t>1.10.1</w:t>
      </w:r>
      <w:r>
        <w:rPr>
          <w:rFonts w:ascii="宋体" w:hAnsi="宋体" w:eastAsia="宋体" w:cs="宋体"/>
          <w:spacing w:val="35"/>
          <w:sz w:val="20"/>
          <w:szCs w:val="20"/>
        </w:rPr>
        <w:t xml:space="preserve"> </w:t>
      </w:r>
      <w:r>
        <w:rPr>
          <w:rFonts w:ascii="宋体" w:hAnsi="宋体" w:eastAsia="宋体" w:cs="宋体"/>
          <w:b/>
          <w:bCs/>
          <w:spacing w:val="2"/>
          <w:sz w:val="20"/>
          <w:szCs w:val="20"/>
        </w:rPr>
        <w:t>出入现场的权利</w:t>
      </w:r>
    </w:p>
    <w:p w14:paraId="04641277">
      <w:pPr>
        <w:spacing w:before="126" w:line="346" w:lineRule="auto"/>
        <w:ind w:left="4" w:firstLine="429"/>
        <w:jc w:val="both"/>
        <w:rPr>
          <w:rFonts w:ascii="宋体" w:hAnsi="宋体" w:eastAsia="宋体" w:cs="宋体"/>
          <w:sz w:val="20"/>
          <w:szCs w:val="20"/>
        </w:rPr>
      </w:pPr>
      <w:r>
        <w:rPr>
          <w:rFonts w:ascii="宋体" w:hAnsi="宋体" w:eastAsia="宋体" w:cs="宋体"/>
          <w:spacing w:val="10"/>
          <w:sz w:val="20"/>
          <w:szCs w:val="20"/>
        </w:rPr>
        <w:t>除专用合同条款另有约定外，发包人应根据施工需要，负责取得出入施工现场所需的批准手</w:t>
      </w:r>
      <w:r>
        <w:rPr>
          <w:rFonts w:ascii="宋体" w:hAnsi="宋体" w:eastAsia="宋体" w:cs="宋体"/>
          <w:spacing w:val="9"/>
          <w:sz w:val="20"/>
          <w:szCs w:val="20"/>
        </w:rPr>
        <w:t>续和全部权利，</w:t>
      </w:r>
      <w:r>
        <w:rPr>
          <w:rFonts w:ascii="宋体" w:hAnsi="宋体" w:eastAsia="宋体" w:cs="宋体"/>
          <w:spacing w:val="-49"/>
          <w:sz w:val="20"/>
          <w:szCs w:val="20"/>
        </w:rPr>
        <w:t xml:space="preserve"> </w:t>
      </w:r>
      <w:r>
        <w:rPr>
          <w:rFonts w:ascii="宋体" w:hAnsi="宋体" w:eastAsia="宋体" w:cs="宋体"/>
          <w:spacing w:val="9"/>
          <w:sz w:val="20"/>
          <w:szCs w:val="20"/>
        </w:rPr>
        <w:t>以及取得因施工所需修建道路、桥梁以及其他基础设施的权利，并承担相关手续费用和建设费用。承包人应协助发包人办理修建场内外道路、桥梁以及其他基础设施的手续。</w:t>
      </w:r>
    </w:p>
    <w:p w14:paraId="445FC784">
      <w:pPr>
        <w:spacing w:before="3" w:line="345" w:lineRule="auto"/>
        <w:ind w:firstLine="421"/>
        <w:jc w:val="both"/>
        <w:rPr>
          <w:rFonts w:ascii="宋体" w:hAnsi="宋体" w:eastAsia="宋体" w:cs="宋体"/>
          <w:sz w:val="20"/>
          <w:szCs w:val="20"/>
        </w:rPr>
      </w:pPr>
      <w:r>
        <w:rPr>
          <w:rFonts w:ascii="宋体" w:hAnsi="宋体" w:eastAsia="宋体" w:cs="宋体"/>
          <w:spacing w:val="10"/>
          <w:sz w:val="20"/>
          <w:szCs w:val="20"/>
        </w:rPr>
        <w:t>承包人应在订立合同前查勘施工现场，并根据工程规模及技术参数合理预见工程施工所需的进出施工现场的方式、手段、路径等。因承包人未合理预见所增加的费用和（或）延误的工期由承包人承担。发包人对施工现场有特殊管制要求的，应当如实告知承包人，否则由此增加的费用</w:t>
      </w:r>
      <w:r>
        <w:rPr>
          <w:rFonts w:ascii="宋体" w:hAnsi="宋体" w:eastAsia="宋体" w:cs="宋体"/>
          <w:spacing w:val="7"/>
          <w:sz w:val="20"/>
          <w:szCs w:val="20"/>
        </w:rPr>
        <w:t>由发包人承担。</w:t>
      </w:r>
    </w:p>
    <w:p w14:paraId="7A67DB06">
      <w:pPr>
        <w:spacing w:line="228" w:lineRule="auto"/>
        <w:ind w:left="437"/>
        <w:rPr>
          <w:rFonts w:ascii="宋体" w:hAnsi="宋体" w:eastAsia="宋体" w:cs="宋体"/>
          <w:sz w:val="20"/>
          <w:szCs w:val="20"/>
        </w:rPr>
      </w:pPr>
      <w:r>
        <w:rPr>
          <w:rFonts w:ascii="宋体" w:hAnsi="宋体" w:eastAsia="宋体" w:cs="宋体"/>
          <w:b/>
          <w:bCs/>
          <w:spacing w:val="3"/>
          <w:sz w:val="20"/>
          <w:szCs w:val="20"/>
        </w:rPr>
        <w:t>1.10.2</w:t>
      </w:r>
      <w:r>
        <w:rPr>
          <w:rFonts w:ascii="宋体" w:hAnsi="宋体" w:eastAsia="宋体" w:cs="宋体"/>
          <w:spacing w:val="3"/>
          <w:sz w:val="20"/>
          <w:szCs w:val="20"/>
        </w:rPr>
        <w:t xml:space="preserve"> </w:t>
      </w:r>
      <w:r>
        <w:rPr>
          <w:rFonts w:ascii="宋体" w:hAnsi="宋体" w:eastAsia="宋体" w:cs="宋体"/>
          <w:b/>
          <w:bCs/>
          <w:spacing w:val="3"/>
          <w:sz w:val="20"/>
          <w:szCs w:val="20"/>
        </w:rPr>
        <w:t>场外交通</w:t>
      </w:r>
    </w:p>
    <w:p w14:paraId="1F55BBDB">
      <w:pPr>
        <w:spacing w:before="126" w:line="346" w:lineRule="auto"/>
        <w:ind w:firstLine="424"/>
        <w:jc w:val="both"/>
        <w:rPr>
          <w:rFonts w:ascii="宋体" w:hAnsi="宋体" w:eastAsia="宋体" w:cs="宋体"/>
          <w:sz w:val="20"/>
          <w:szCs w:val="20"/>
        </w:rPr>
      </w:pPr>
      <w:r>
        <w:rPr>
          <w:rFonts w:ascii="宋体" w:hAnsi="宋体" w:eastAsia="宋体" w:cs="宋体"/>
          <w:spacing w:val="10"/>
          <w:sz w:val="20"/>
          <w:szCs w:val="20"/>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w:t>
      </w:r>
      <w:r>
        <w:rPr>
          <w:rFonts w:ascii="宋体" w:hAnsi="宋体" w:eastAsia="宋体" w:cs="宋体"/>
          <w:spacing w:val="9"/>
          <w:sz w:val="20"/>
          <w:szCs w:val="20"/>
        </w:rPr>
        <w:t>工需要的，由发包人负责完善并承担相关费用。</w:t>
      </w:r>
    </w:p>
    <w:p w14:paraId="02249DA7">
      <w:pPr>
        <w:spacing w:before="1" w:line="227" w:lineRule="auto"/>
        <w:ind w:left="437"/>
        <w:rPr>
          <w:rFonts w:ascii="宋体" w:hAnsi="宋体" w:eastAsia="宋体" w:cs="宋体"/>
          <w:sz w:val="20"/>
          <w:szCs w:val="20"/>
        </w:rPr>
      </w:pPr>
      <w:r>
        <w:rPr>
          <w:rFonts w:ascii="宋体" w:hAnsi="宋体" w:eastAsia="宋体" w:cs="宋体"/>
          <w:b/>
          <w:bCs/>
          <w:spacing w:val="3"/>
          <w:sz w:val="20"/>
          <w:szCs w:val="20"/>
        </w:rPr>
        <w:t>1.10.3</w:t>
      </w:r>
      <w:r>
        <w:rPr>
          <w:rFonts w:ascii="宋体" w:hAnsi="宋体" w:eastAsia="宋体" w:cs="宋体"/>
          <w:spacing w:val="3"/>
          <w:sz w:val="20"/>
          <w:szCs w:val="20"/>
        </w:rPr>
        <w:t xml:space="preserve"> </w:t>
      </w:r>
      <w:r>
        <w:rPr>
          <w:rFonts w:ascii="宋体" w:hAnsi="宋体" w:eastAsia="宋体" w:cs="宋体"/>
          <w:b/>
          <w:bCs/>
          <w:spacing w:val="3"/>
          <w:sz w:val="20"/>
          <w:szCs w:val="20"/>
        </w:rPr>
        <w:t>场内交通</w:t>
      </w:r>
    </w:p>
    <w:p w14:paraId="5B98B99C">
      <w:pPr>
        <w:spacing w:before="126" w:line="346" w:lineRule="auto"/>
        <w:ind w:left="6" w:firstLine="418"/>
        <w:jc w:val="both"/>
        <w:rPr>
          <w:rFonts w:ascii="宋体" w:hAnsi="宋体" w:eastAsia="宋体" w:cs="宋体"/>
          <w:sz w:val="20"/>
          <w:szCs w:val="20"/>
        </w:rPr>
      </w:pPr>
      <w:r>
        <w:rPr>
          <w:rFonts w:ascii="宋体" w:hAnsi="宋体" w:eastAsia="宋体" w:cs="宋体"/>
          <w:spacing w:val="10"/>
          <w:sz w:val="20"/>
          <w:szCs w:val="20"/>
        </w:rPr>
        <w:t>发包人应提供场内交通设施的技术参数和具体条件，并应按照专用合同条款的约定向承包人免费提供满足工程施工所需的场内道路和交通设施。因承包人原因造成上述道路或交通设施损坏</w:t>
      </w:r>
      <w:r>
        <w:rPr>
          <w:rFonts w:ascii="宋体" w:hAnsi="宋体" w:eastAsia="宋体" w:cs="宋体"/>
          <w:spacing w:val="8"/>
          <w:sz w:val="20"/>
          <w:szCs w:val="20"/>
        </w:rPr>
        <w:t>的，承包人负责修复并承担由此增加的费用。</w:t>
      </w:r>
    </w:p>
    <w:p w14:paraId="1E47A8BD">
      <w:pPr>
        <w:spacing w:before="1" w:line="346" w:lineRule="auto"/>
        <w:ind w:right="6" w:firstLine="449"/>
        <w:jc w:val="both"/>
        <w:rPr>
          <w:rFonts w:ascii="宋体" w:hAnsi="宋体" w:eastAsia="宋体" w:cs="宋体"/>
          <w:sz w:val="20"/>
          <w:szCs w:val="20"/>
        </w:rPr>
      </w:pPr>
      <w:r>
        <w:rPr>
          <w:rFonts w:ascii="宋体" w:hAnsi="宋体" w:eastAsia="宋体" w:cs="宋体"/>
          <w:spacing w:val="15"/>
          <w:sz w:val="20"/>
          <w:szCs w:val="20"/>
        </w:rPr>
        <w:t>除发包人按照合同约定提供的场内道路和交通设施外，承包人负责修</w:t>
      </w:r>
      <w:r>
        <w:rPr>
          <w:rFonts w:ascii="宋体" w:hAnsi="宋体" w:eastAsia="宋体" w:cs="宋体"/>
          <w:spacing w:val="14"/>
          <w:sz w:val="20"/>
          <w:szCs w:val="20"/>
        </w:rPr>
        <w:t>建、维修、养护和管</w:t>
      </w:r>
      <w:r>
        <w:rPr>
          <w:rFonts w:ascii="宋体" w:hAnsi="宋体" w:eastAsia="宋体" w:cs="宋体"/>
          <w:spacing w:val="15"/>
          <w:sz w:val="20"/>
          <w:szCs w:val="20"/>
        </w:rPr>
        <w:t>理施工所需的其他场内临时道路和交通设施。发包人和监理人可以为实现合同目的使用承包人修建的场内临时道路和交通设施。因发包人变更施工条件或提出新的施工要求，需要新增临时</w:t>
      </w:r>
      <w:r>
        <w:rPr>
          <w:rFonts w:ascii="宋体" w:hAnsi="宋体" w:eastAsia="宋体" w:cs="宋体"/>
          <w:spacing w:val="16"/>
          <w:sz w:val="20"/>
          <w:szCs w:val="20"/>
        </w:rPr>
        <w:t>道路和交通设施产生变更的费用由发包人承担。</w:t>
      </w:r>
    </w:p>
    <w:p w14:paraId="0F9D450D">
      <w:pPr>
        <w:spacing w:line="346" w:lineRule="auto"/>
        <w:rPr>
          <w:rFonts w:ascii="宋体" w:hAnsi="宋体" w:eastAsia="宋体" w:cs="宋体"/>
          <w:sz w:val="20"/>
          <w:szCs w:val="20"/>
        </w:rPr>
        <w:sectPr>
          <w:footerReference r:id="rId342" w:type="default"/>
          <w:pgSz w:w="11906" w:h="16839"/>
          <w:pgMar w:top="400" w:right="1533" w:bottom="1446" w:left="1537" w:header="0" w:footer="1284" w:gutter="0"/>
          <w:cols w:space="720" w:num="1"/>
        </w:sectPr>
      </w:pPr>
    </w:p>
    <w:p w14:paraId="15207B86">
      <w:pPr>
        <w:spacing w:line="246" w:lineRule="auto"/>
        <w:rPr>
          <w:rFonts w:ascii="Arial"/>
          <w:sz w:val="21"/>
        </w:rPr>
      </w:pPr>
    </w:p>
    <w:p w14:paraId="16B54051">
      <w:pPr>
        <w:spacing w:line="246" w:lineRule="auto"/>
        <w:rPr>
          <w:rFonts w:ascii="Arial"/>
          <w:sz w:val="21"/>
        </w:rPr>
      </w:pPr>
    </w:p>
    <w:p w14:paraId="730A92EF">
      <w:pPr>
        <w:spacing w:line="246" w:lineRule="auto"/>
        <w:rPr>
          <w:rFonts w:ascii="Arial"/>
          <w:sz w:val="21"/>
        </w:rPr>
      </w:pPr>
    </w:p>
    <w:p w14:paraId="252FDE1C">
      <w:pPr>
        <w:spacing w:line="246" w:lineRule="auto"/>
        <w:rPr>
          <w:rFonts w:ascii="Arial"/>
          <w:sz w:val="21"/>
        </w:rPr>
      </w:pPr>
    </w:p>
    <w:p w14:paraId="2C600ED0">
      <w:pPr>
        <w:spacing w:line="247" w:lineRule="auto"/>
        <w:rPr>
          <w:rFonts w:ascii="Arial"/>
          <w:sz w:val="21"/>
        </w:rPr>
      </w:pPr>
    </w:p>
    <w:p w14:paraId="481FF851">
      <w:pPr>
        <w:spacing w:line="247" w:lineRule="auto"/>
        <w:rPr>
          <w:rFonts w:ascii="Arial"/>
          <w:sz w:val="21"/>
        </w:rPr>
      </w:pPr>
    </w:p>
    <w:p w14:paraId="31F98DDF">
      <w:pPr>
        <w:spacing w:before="65" w:line="228" w:lineRule="auto"/>
        <w:ind w:left="420"/>
        <w:rPr>
          <w:rFonts w:ascii="宋体" w:hAnsi="宋体" w:eastAsia="宋体" w:cs="宋体"/>
          <w:sz w:val="20"/>
          <w:szCs w:val="20"/>
        </w:rPr>
      </w:pPr>
      <w:r>
        <w:rPr>
          <w:rFonts w:ascii="宋体" w:hAnsi="宋体" w:eastAsia="宋体" w:cs="宋体"/>
          <w:spacing w:val="9"/>
          <w:sz w:val="20"/>
          <w:szCs w:val="20"/>
        </w:rPr>
        <w:t>场外交通和场内交通的边界由合同当事人在专用合同条款中约定。</w:t>
      </w:r>
    </w:p>
    <w:p w14:paraId="2B1F91C9">
      <w:pPr>
        <w:spacing w:before="127" w:line="228" w:lineRule="auto"/>
        <w:ind w:left="437"/>
        <w:rPr>
          <w:rFonts w:ascii="宋体" w:hAnsi="宋体" w:eastAsia="宋体" w:cs="宋体"/>
          <w:sz w:val="20"/>
          <w:szCs w:val="20"/>
        </w:rPr>
      </w:pPr>
      <w:r>
        <w:rPr>
          <w:rFonts w:ascii="宋体" w:hAnsi="宋体" w:eastAsia="宋体" w:cs="宋体"/>
          <w:b/>
          <w:bCs/>
          <w:spacing w:val="5"/>
          <w:sz w:val="20"/>
          <w:szCs w:val="20"/>
        </w:rPr>
        <w:t>1.10.4</w:t>
      </w:r>
      <w:r>
        <w:rPr>
          <w:rFonts w:ascii="宋体" w:hAnsi="宋体" w:eastAsia="宋体" w:cs="宋体"/>
          <w:spacing w:val="5"/>
          <w:sz w:val="20"/>
          <w:szCs w:val="20"/>
        </w:rPr>
        <w:t xml:space="preserve"> </w:t>
      </w:r>
      <w:r>
        <w:rPr>
          <w:rFonts w:ascii="宋体" w:hAnsi="宋体" w:eastAsia="宋体" w:cs="宋体"/>
          <w:b/>
          <w:bCs/>
          <w:spacing w:val="5"/>
          <w:sz w:val="20"/>
          <w:szCs w:val="20"/>
        </w:rPr>
        <w:t>超大件和超重件的运输</w:t>
      </w:r>
    </w:p>
    <w:p w14:paraId="475A3457">
      <w:pPr>
        <w:spacing w:before="126" w:line="346" w:lineRule="auto"/>
        <w:ind w:left="3" w:right="71" w:firstLine="443"/>
        <w:jc w:val="both"/>
        <w:rPr>
          <w:rFonts w:ascii="宋体" w:hAnsi="宋体" w:eastAsia="宋体" w:cs="宋体"/>
          <w:sz w:val="20"/>
          <w:szCs w:val="20"/>
        </w:rPr>
      </w:pPr>
      <w:r>
        <w:rPr>
          <w:rFonts w:ascii="宋体" w:hAnsi="宋体" w:eastAsia="宋体" w:cs="宋体"/>
          <w:spacing w:val="10"/>
          <w:sz w:val="20"/>
          <w:szCs w:val="20"/>
        </w:rPr>
        <w:t>由承包人负责运输的超大件或超重件，应由承包人负责向交</w:t>
      </w:r>
      <w:r>
        <w:rPr>
          <w:rFonts w:ascii="宋体" w:hAnsi="宋体" w:eastAsia="宋体" w:cs="宋体"/>
          <w:spacing w:val="9"/>
          <w:sz w:val="20"/>
          <w:szCs w:val="20"/>
        </w:rPr>
        <w:t>通管理部门办理申请手续，发包人给予协助。运输超大件或超重件所需的道路和桥梁临时加固改造费用和其他有关费用，</w:t>
      </w:r>
      <w:r>
        <w:rPr>
          <w:rFonts w:ascii="宋体" w:hAnsi="宋体" w:eastAsia="宋体" w:cs="宋体"/>
          <w:spacing w:val="-48"/>
          <w:sz w:val="20"/>
          <w:szCs w:val="20"/>
        </w:rPr>
        <w:t xml:space="preserve"> </w:t>
      </w:r>
      <w:r>
        <w:rPr>
          <w:rFonts w:ascii="宋体" w:hAnsi="宋体" w:eastAsia="宋体" w:cs="宋体"/>
          <w:spacing w:val="9"/>
          <w:sz w:val="20"/>
          <w:szCs w:val="20"/>
        </w:rPr>
        <w:t>由承包</w:t>
      </w:r>
      <w:r>
        <w:rPr>
          <w:rFonts w:ascii="宋体" w:hAnsi="宋体" w:eastAsia="宋体" w:cs="宋体"/>
          <w:spacing w:val="8"/>
          <w:sz w:val="20"/>
          <w:szCs w:val="20"/>
        </w:rPr>
        <w:t>人承担，但专用合同条款另有约定除外。</w:t>
      </w:r>
    </w:p>
    <w:p w14:paraId="58806E6D">
      <w:pPr>
        <w:spacing w:line="227" w:lineRule="auto"/>
        <w:ind w:left="437"/>
        <w:rPr>
          <w:rFonts w:ascii="宋体" w:hAnsi="宋体" w:eastAsia="宋体" w:cs="宋体"/>
          <w:sz w:val="20"/>
          <w:szCs w:val="20"/>
        </w:rPr>
      </w:pPr>
      <w:r>
        <w:rPr>
          <w:rFonts w:ascii="宋体" w:hAnsi="宋体" w:eastAsia="宋体" w:cs="宋体"/>
          <w:b/>
          <w:bCs/>
          <w:spacing w:val="5"/>
          <w:sz w:val="20"/>
          <w:szCs w:val="20"/>
        </w:rPr>
        <w:t>1.10.5</w:t>
      </w:r>
      <w:r>
        <w:rPr>
          <w:rFonts w:ascii="宋体" w:hAnsi="宋体" w:eastAsia="宋体" w:cs="宋体"/>
          <w:spacing w:val="5"/>
          <w:sz w:val="20"/>
          <w:szCs w:val="20"/>
        </w:rPr>
        <w:t xml:space="preserve"> </w:t>
      </w:r>
      <w:r>
        <w:rPr>
          <w:rFonts w:ascii="宋体" w:hAnsi="宋体" w:eastAsia="宋体" w:cs="宋体"/>
          <w:b/>
          <w:bCs/>
          <w:spacing w:val="5"/>
          <w:sz w:val="20"/>
          <w:szCs w:val="20"/>
        </w:rPr>
        <w:t>道路和桥梁的损坏责任</w:t>
      </w:r>
    </w:p>
    <w:p w14:paraId="471EFA47">
      <w:pPr>
        <w:spacing w:before="126" w:line="346" w:lineRule="auto"/>
        <w:ind w:left="2" w:right="71" w:firstLine="435"/>
        <w:rPr>
          <w:rFonts w:ascii="宋体" w:hAnsi="宋体" w:eastAsia="宋体" w:cs="宋体"/>
          <w:sz w:val="20"/>
          <w:szCs w:val="20"/>
        </w:rPr>
      </w:pPr>
      <w:r>
        <w:rPr>
          <w:rFonts w:ascii="宋体" w:hAnsi="宋体" w:eastAsia="宋体" w:cs="宋体"/>
          <w:spacing w:val="9"/>
          <w:sz w:val="20"/>
          <w:szCs w:val="20"/>
        </w:rPr>
        <w:t>因承包人运输造成施工场地内外公共道路和桥梁损坏的，</w:t>
      </w:r>
      <w:r>
        <w:rPr>
          <w:rFonts w:ascii="宋体" w:hAnsi="宋体" w:eastAsia="宋体" w:cs="宋体"/>
          <w:spacing w:val="-58"/>
          <w:sz w:val="20"/>
          <w:szCs w:val="20"/>
        </w:rPr>
        <w:t xml:space="preserve"> </w:t>
      </w:r>
      <w:r>
        <w:rPr>
          <w:rFonts w:ascii="宋体" w:hAnsi="宋体" w:eastAsia="宋体" w:cs="宋体"/>
          <w:spacing w:val="9"/>
          <w:sz w:val="20"/>
          <w:szCs w:val="20"/>
        </w:rPr>
        <w:t>由承包人承担修复</w:t>
      </w:r>
      <w:r>
        <w:rPr>
          <w:rFonts w:ascii="宋体" w:hAnsi="宋体" w:eastAsia="宋体" w:cs="宋体"/>
          <w:spacing w:val="8"/>
          <w:sz w:val="20"/>
          <w:szCs w:val="20"/>
        </w:rPr>
        <w:t>损坏的全部费用</w:t>
      </w:r>
      <w:r>
        <w:rPr>
          <w:rFonts w:ascii="宋体" w:hAnsi="宋体" w:eastAsia="宋体" w:cs="宋体"/>
          <w:spacing w:val="7"/>
          <w:sz w:val="20"/>
          <w:szCs w:val="20"/>
        </w:rPr>
        <w:t>和可能引起的赔偿。</w:t>
      </w:r>
    </w:p>
    <w:p w14:paraId="748A0EDA">
      <w:pPr>
        <w:spacing w:before="1" w:line="227" w:lineRule="auto"/>
        <w:ind w:left="437"/>
        <w:rPr>
          <w:rFonts w:ascii="宋体" w:hAnsi="宋体" w:eastAsia="宋体" w:cs="宋体"/>
          <w:sz w:val="20"/>
          <w:szCs w:val="20"/>
        </w:rPr>
      </w:pPr>
      <w:r>
        <w:rPr>
          <w:rFonts w:ascii="宋体" w:hAnsi="宋体" w:eastAsia="宋体" w:cs="宋体"/>
          <w:b/>
          <w:bCs/>
          <w:spacing w:val="4"/>
          <w:sz w:val="20"/>
          <w:szCs w:val="20"/>
        </w:rPr>
        <w:t>1.10.6</w:t>
      </w:r>
      <w:r>
        <w:rPr>
          <w:rFonts w:ascii="宋体" w:hAnsi="宋体" w:eastAsia="宋体" w:cs="宋体"/>
          <w:spacing w:val="4"/>
          <w:sz w:val="20"/>
          <w:szCs w:val="20"/>
        </w:rPr>
        <w:t xml:space="preserve"> </w:t>
      </w:r>
      <w:r>
        <w:rPr>
          <w:rFonts w:ascii="宋体" w:hAnsi="宋体" w:eastAsia="宋体" w:cs="宋体"/>
          <w:b/>
          <w:bCs/>
          <w:spacing w:val="4"/>
          <w:sz w:val="20"/>
          <w:szCs w:val="20"/>
        </w:rPr>
        <w:t>水路和航空运输</w:t>
      </w:r>
    </w:p>
    <w:p w14:paraId="34E0D110">
      <w:pPr>
        <w:spacing w:before="126" w:line="346" w:lineRule="auto"/>
        <w:ind w:left="1" w:firstLine="420"/>
        <w:jc w:val="both"/>
        <w:rPr>
          <w:rFonts w:ascii="宋体" w:hAnsi="宋体" w:eastAsia="宋体" w:cs="宋体"/>
          <w:sz w:val="20"/>
          <w:szCs w:val="20"/>
        </w:rPr>
      </w:pPr>
      <w:r>
        <w:rPr>
          <w:rFonts w:ascii="宋体" w:hAnsi="宋体" w:eastAsia="宋体" w:cs="宋体"/>
          <w:spacing w:val="6"/>
          <w:sz w:val="20"/>
          <w:szCs w:val="20"/>
        </w:rPr>
        <w:t>本款前述各项的内容适用于水路运输和航空运输，其中“道路</w:t>
      </w:r>
      <w:r>
        <w:rPr>
          <w:rFonts w:ascii="宋体" w:hAnsi="宋体" w:eastAsia="宋体" w:cs="宋体"/>
          <w:spacing w:val="-64"/>
          <w:sz w:val="20"/>
          <w:szCs w:val="20"/>
        </w:rPr>
        <w:t xml:space="preserve"> </w:t>
      </w:r>
      <w:r>
        <w:rPr>
          <w:rFonts w:ascii="宋体" w:hAnsi="宋体" w:eastAsia="宋体" w:cs="宋体"/>
          <w:spacing w:val="6"/>
          <w:sz w:val="20"/>
          <w:szCs w:val="20"/>
        </w:rPr>
        <w:t>”一词的涵义包括河道、航线、</w:t>
      </w:r>
      <w:r>
        <w:rPr>
          <w:rFonts w:ascii="宋体" w:hAnsi="宋体" w:eastAsia="宋体" w:cs="宋体"/>
          <w:spacing w:val="5"/>
          <w:sz w:val="20"/>
          <w:szCs w:val="20"/>
        </w:rPr>
        <w:t>船闸、机场、码头、堤防以及水路或航空运输中其他相似结构物；“</w:t>
      </w:r>
      <w:r>
        <w:rPr>
          <w:rFonts w:ascii="宋体" w:hAnsi="宋体" w:eastAsia="宋体" w:cs="宋体"/>
          <w:spacing w:val="4"/>
          <w:sz w:val="20"/>
          <w:szCs w:val="20"/>
        </w:rPr>
        <w:t>车辆</w:t>
      </w:r>
      <w:r>
        <w:rPr>
          <w:rFonts w:ascii="宋体" w:hAnsi="宋体" w:eastAsia="宋体" w:cs="宋体"/>
          <w:spacing w:val="-70"/>
          <w:sz w:val="20"/>
          <w:szCs w:val="20"/>
        </w:rPr>
        <w:t xml:space="preserve"> </w:t>
      </w:r>
      <w:r>
        <w:rPr>
          <w:rFonts w:ascii="宋体" w:hAnsi="宋体" w:eastAsia="宋体" w:cs="宋体"/>
          <w:spacing w:val="4"/>
          <w:sz w:val="20"/>
          <w:szCs w:val="20"/>
        </w:rPr>
        <w:t>”一词的涵义包括船舶和</w:t>
      </w:r>
      <w:r>
        <w:rPr>
          <w:rFonts w:ascii="宋体" w:hAnsi="宋体" w:eastAsia="宋体" w:cs="宋体"/>
          <w:spacing w:val="5"/>
          <w:sz w:val="20"/>
          <w:szCs w:val="20"/>
        </w:rPr>
        <w:t>飞机等。</w:t>
      </w:r>
    </w:p>
    <w:p w14:paraId="72FCA8CD">
      <w:pPr>
        <w:spacing w:before="1" w:line="227" w:lineRule="auto"/>
        <w:ind w:left="437"/>
        <w:rPr>
          <w:rFonts w:ascii="宋体" w:hAnsi="宋体" w:eastAsia="宋体" w:cs="宋体"/>
          <w:sz w:val="20"/>
          <w:szCs w:val="20"/>
        </w:rPr>
      </w:pPr>
      <w:r>
        <w:rPr>
          <w:rFonts w:ascii="宋体" w:hAnsi="宋体" w:eastAsia="宋体" w:cs="宋体"/>
          <w:b/>
          <w:bCs/>
          <w:spacing w:val="1"/>
          <w:sz w:val="20"/>
          <w:szCs w:val="20"/>
        </w:rPr>
        <w:t>1.11</w:t>
      </w:r>
      <w:r>
        <w:rPr>
          <w:rFonts w:ascii="宋体" w:hAnsi="宋体" w:eastAsia="宋体" w:cs="宋体"/>
          <w:spacing w:val="21"/>
          <w:sz w:val="20"/>
          <w:szCs w:val="20"/>
        </w:rPr>
        <w:t xml:space="preserve"> </w:t>
      </w:r>
      <w:r>
        <w:rPr>
          <w:rFonts w:ascii="宋体" w:hAnsi="宋体" w:eastAsia="宋体" w:cs="宋体"/>
          <w:b/>
          <w:bCs/>
          <w:spacing w:val="1"/>
          <w:sz w:val="20"/>
          <w:szCs w:val="20"/>
        </w:rPr>
        <w:t>知识产权</w:t>
      </w:r>
    </w:p>
    <w:p w14:paraId="673A28B1">
      <w:pPr>
        <w:spacing w:before="126" w:line="346" w:lineRule="auto"/>
        <w:ind w:left="1" w:right="70" w:firstLine="435"/>
        <w:rPr>
          <w:rFonts w:ascii="宋体" w:hAnsi="宋体" w:eastAsia="宋体" w:cs="宋体"/>
          <w:sz w:val="20"/>
          <w:szCs w:val="20"/>
        </w:rPr>
      </w:pPr>
      <w:r>
        <w:rPr>
          <w:rFonts w:ascii="宋体" w:hAnsi="宋体" w:eastAsia="宋体" w:cs="宋体"/>
          <w:spacing w:val="7"/>
          <w:sz w:val="20"/>
          <w:szCs w:val="20"/>
        </w:rPr>
        <w:t>1.11.1 除专用合同条款另有约定外，发包人提供给承包人的图纸、</w:t>
      </w:r>
      <w:r>
        <w:rPr>
          <w:rFonts w:ascii="宋体" w:hAnsi="宋体" w:eastAsia="宋体" w:cs="宋体"/>
          <w:spacing w:val="6"/>
          <w:sz w:val="20"/>
          <w:szCs w:val="20"/>
        </w:rPr>
        <w:t>发包人为实施工程自行编</w:t>
      </w:r>
      <w:r>
        <w:rPr>
          <w:rFonts w:ascii="宋体" w:hAnsi="宋体" w:eastAsia="宋体" w:cs="宋体"/>
          <w:spacing w:val="10"/>
          <w:sz w:val="20"/>
          <w:szCs w:val="20"/>
        </w:rPr>
        <w:t>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w:t>
      </w:r>
      <w:r>
        <w:rPr>
          <w:rFonts w:ascii="宋体" w:hAnsi="宋体" w:eastAsia="宋体" w:cs="宋体"/>
          <w:spacing w:val="9"/>
          <w:sz w:val="20"/>
          <w:szCs w:val="20"/>
        </w:rPr>
        <w:t>复制、使用上述文件或将之提供给任何第三方。</w:t>
      </w:r>
    </w:p>
    <w:p w14:paraId="5E28E647">
      <w:pPr>
        <w:spacing w:before="3" w:line="345" w:lineRule="auto"/>
        <w:ind w:right="70" w:firstLine="437"/>
        <w:rPr>
          <w:rFonts w:ascii="宋体" w:hAnsi="宋体" w:eastAsia="宋体" w:cs="宋体"/>
          <w:sz w:val="20"/>
          <w:szCs w:val="20"/>
        </w:rPr>
      </w:pPr>
      <w:r>
        <w:rPr>
          <w:rFonts w:ascii="宋体" w:hAnsi="宋体" w:eastAsia="宋体" w:cs="宋体"/>
          <w:spacing w:val="7"/>
          <w:sz w:val="20"/>
          <w:szCs w:val="20"/>
        </w:rPr>
        <w:t>1.11.2 除专用合同条款另有约定外，承包人为实施工程所编制的文</w:t>
      </w:r>
      <w:r>
        <w:rPr>
          <w:rFonts w:ascii="宋体" w:hAnsi="宋体" w:eastAsia="宋体" w:cs="宋体"/>
          <w:spacing w:val="6"/>
          <w:sz w:val="20"/>
          <w:szCs w:val="20"/>
        </w:rPr>
        <w:t>件，除署名权以外的著作</w:t>
      </w:r>
      <w:r>
        <w:rPr>
          <w:rFonts w:ascii="宋体" w:hAnsi="宋体" w:eastAsia="宋体" w:cs="宋体"/>
          <w:spacing w:val="10"/>
          <w:sz w:val="20"/>
          <w:szCs w:val="20"/>
        </w:rPr>
        <w:t>权属于发包人，承包人可因实施工程的运行、调试、维修、改造等目的而复制、使用此类文件，但不能用于与合同无关的其他事项。未经发包人书面同意，承包人不得为了合同以外的目的而复</w:t>
      </w:r>
      <w:r>
        <w:rPr>
          <w:rFonts w:ascii="宋体" w:hAnsi="宋体" w:eastAsia="宋体" w:cs="宋体"/>
          <w:spacing w:val="9"/>
          <w:sz w:val="20"/>
          <w:szCs w:val="20"/>
        </w:rPr>
        <w:t>制、使用上述文件或将之提供给任何第三方。</w:t>
      </w:r>
    </w:p>
    <w:p w14:paraId="009C9615">
      <w:pPr>
        <w:spacing w:before="2" w:line="345" w:lineRule="auto"/>
        <w:ind w:left="1" w:right="16" w:firstLine="435"/>
        <w:rPr>
          <w:rFonts w:ascii="宋体" w:hAnsi="宋体" w:eastAsia="宋体" w:cs="宋体"/>
          <w:sz w:val="20"/>
          <w:szCs w:val="20"/>
        </w:rPr>
      </w:pPr>
      <w:r>
        <w:rPr>
          <w:rFonts w:ascii="宋体" w:hAnsi="宋体" w:eastAsia="宋体" w:cs="宋体"/>
          <w:spacing w:val="7"/>
          <w:sz w:val="20"/>
          <w:szCs w:val="20"/>
        </w:rPr>
        <w:t>1.11.3 合同当事人保证在履行合同过程中不侵犯对方及第三方的知</w:t>
      </w:r>
      <w:r>
        <w:rPr>
          <w:rFonts w:ascii="宋体" w:hAnsi="宋体" w:eastAsia="宋体" w:cs="宋体"/>
          <w:spacing w:val="6"/>
          <w:sz w:val="20"/>
          <w:szCs w:val="20"/>
        </w:rPr>
        <w:t>识产权。承包人在使用材</w:t>
      </w:r>
      <w:r>
        <w:rPr>
          <w:rFonts w:ascii="宋体" w:hAnsi="宋体" w:eastAsia="宋体" w:cs="宋体"/>
          <w:spacing w:val="7"/>
          <w:sz w:val="20"/>
          <w:szCs w:val="20"/>
        </w:rPr>
        <w:t>料、施工设备、工程设备或采用施工工艺时，因侵犯他人的专利权</w:t>
      </w:r>
      <w:r>
        <w:rPr>
          <w:rFonts w:ascii="宋体" w:hAnsi="宋体" w:eastAsia="宋体" w:cs="宋体"/>
          <w:spacing w:val="6"/>
          <w:sz w:val="20"/>
          <w:szCs w:val="20"/>
        </w:rPr>
        <w:t>或其他知识产权所引起的责任，</w:t>
      </w:r>
      <w:r>
        <w:rPr>
          <w:rFonts w:ascii="宋体" w:hAnsi="宋体" w:eastAsia="宋体" w:cs="宋体"/>
          <w:spacing w:val="9"/>
          <w:sz w:val="20"/>
          <w:szCs w:val="20"/>
        </w:rPr>
        <w:t>由承包人承担；因发包人提供的材料、施工设备、工程设备或施工工艺导致侵权的，</w:t>
      </w:r>
      <w:r>
        <w:rPr>
          <w:rFonts w:ascii="宋体" w:hAnsi="宋体" w:eastAsia="宋体" w:cs="宋体"/>
          <w:spacing w:val="-46"/>
          <w:sz w:val="20"/>
          <w:szCs w:val="20"/>
        </w:rPr>
        <w:t xml:space="preserve"> </w:t>
      </w:r>
      <w:r>
        <w:rPr>
          <w:rFonts w:ascii="宋体" w:hAnsi="宋体" w:eastAsia="宋体" w:cs="宋体"/>
          <w:spacing w:val="9"/>
          <w:sz w:val="20"/>
          <w:szCs w:val="20"/>
        </w:rPr>
        <w:t>由发包人承</w:t>
      </w:r>
      <w:r>
        <w:rPr>
          <w:rFonts w:ascii="宋体" w:hAnsi="宋体" w:eastAsia="宋体" w:cs="宋体"/>
          <w:spacing w:val="5"/>
          <w:sz w:val="20"/>
          <w:szCs w:val="20"/>
        </w:rPr>
        <w:t>担责任。</w:t>
      </w:r>
    </w:p>
    <w:p w14:paraId="21483A61">
      <w:pPr>
        <w:spacing w:before="2" w:line="345" w:lineRule="auto"/>
        <w:ind w:left="2" w:right="70" w:firstLine="434"/>
        <w:rPr>
          <w:rFonts w:ascii="宋体" w:hAnsi="宋体" w:eastAsia="宋体" w:cs="宋体"/>
          <w:sz w:val="20"/>
          <w:szCs w:val="20"/>
        </w:rPr>
      </w:pPr>
      <w:r>
        <w:rPr>
          <w:rFonts w:ascii="宋体" w:hAnsi="宋体" w:eastAsia="宋体" w:cs="宋体"/>
          <w:spacing w:val="7"/>
          <w:sz w:val="20"/>
          <w:szCs w:val="20"/>
        </w:rPr>
        <w:t>1.11.4 除专用合同条款另有约定外，承包人在合同签订前和签订时</w:t>
      </w:r>
      <w:r>
        <w:rPr>
          <w:rFonts w:ascii="宋体" w:hAnsi="宋体" w:eastAsia="宋体" w:cs="宋体"/>
          <w:spacing w:val="6"/>
          <w:sz w:val="20"/>
          <w:szCs w:val="20"/>
        </w:rPr>
        <w:t>已确定采用的专利、专有</w:t>
      </w:r>
      <w:r>
        <w:rPr>
          <w:rFonts w:ascii="宋体" w:hAnsi="宋体" w:eastAsia="宋体" w:cs="宋体"/>
          <w:spacing w:val="9"/>
          <w:sz w:val="20"/>
          <w:szCs w:val="20"/>
        </w:rPr>
        <w:t>技术、技术秘密的使用费已包含在签约合同价中。</w:t>
      </w:r>
    </w:p>
    <w:p w14:paraId="77D28E5B">
      <w:pPr>
        <w:spacing w:line="228" w:lineRule="auto"/>
        <w:ind w:left="437"/>
        <w:rPr>
          <w:rFonts w:ascii="宋体" w:hAnsi="宋体" w:eastAsia="宋体" w:cs="宋体"/>
          <w:sz w:val="20"/>
          <w:szCs w:val="20"/>
        </w:rPr>
      </w:pPr>
      <w:r>
        <w:rPr>
          <w:rFonts w:ascii="宋体" w:hAnsi="宋体" w:eastAsia="宋体" w:cs="宋体"/>
          <w:b/>
          <w:bCs/>
          <w:spacing w:val="-1"/>
          <w:sz w:val="20"/>
          <w:szCs w:val="20"/>
        </w:rPr>
        <w:t>1.12</w:t>
      </w:r>
      <w:r>
        <w:rPr>
          <w:rFonts w:ascii="宋体" w:hAnsi="宋体" w:eastAsia="宋体" w:cs="宋体"/>
          <w:spacing w:val="16"/>
          <w:sz w:val="20"/>
          <w:szCs w:val="20"/>
        </w:rPr>
        <w:t xml:space="preserve"> </w:t>
      </w:r>
      <w:r>
        <w:rPr>
          <w:rFonts w:ascii="宋体" w:hAnsi="宋体" w:eastAsia="宋体" w:cs="宋体"/>
          <w:b/>
          <w:bCs/>
          <w:spacing w:val="-1"/>
          <w:sz w:val="20"/>
          <w:szCs w:val="20"/>
        </w:rPr>
        <w:t>保密</w:t>
      </w:r>
    </w:p>
    <w:p w14:paraId="386E78F4">
      <w:pPr>
        <w:spacing w:before="126" w:line="346" w:lineRule="auto"/>
        <w:ind w:right="71" w:firstLine="433"/>
        <w:rPr>
          <w:rFonts w:ascii="宋体" w:hAnsi="宋体" w:eastAsia="宋体" w:cs="宋体"/>
          <w:sz w:val="20"/>
          <w:szCs w:val="20"/>
        </w:rPr>
      </w:pPr>
      <w:r>
        <w:rPr>
          <w:rFonts w:ascii="宋体" w:hAnsi="宋体" w:eastAsia="宋体" w:cs="宋体"/>
          <w:spacing w:val="10"/>
          <w:sz w:val="20"/>
          <w:szCs w:val="20"/>
        </w:rPr>
        <w:t>除法律规定或合同另有约定外，未经发包人同意，承包人不得将发包人提供的图纸、文件以</w:t>
      </w:r>
      <w:r>
        <w:rPr>
          <w:rFonts w:ascii="宋体" w:hAnsi="宋体" w:eastAsia="宋体" w:cs="宋体"/>
          <w:spacing w:val="9"/>
          <w:sz w:val="20"/>
          <w:szCs w:val="20"/>
        </w:rPr>
        <w:t>及声明需要保密的资料信息等商业秘密泄露给第三方。</w:t>
      </w:r>
    </w:p>
    <w:p w14:paraId="7EED22B9">
      <w:pPr>
        <w:spacing w:before="1" w:line="345" w:lineRule="auto"/>
        <w:ind w:left="21" w:right="71" w:firstLine="412"/>
        <w:rPr>
          <w:rFonts w:ascii="宋体" w:hAnsi="宋体" w:eastAsia="宋体" w:cs="宋体"/>
          <w:sz w:val="20"/>
          <w:szCs w:val="20"/>
        </w:rPr>
      </w:pPr>
      <w:r>
        <w:rPr>
          <w:rFonts w:ascii="宋体" w:hAnsi="宋体" w:eastAsia="宋体" w:cs="宋体"/>
          <w:spacing w:val="10"/>
          <w:sz w:val="20"/>
          <w:szCs w:val="20"/>
        </w:rPr>
        <w:t>除法律规定或合同另有约定外，未经承包人同意，发包人不得将承包人提供的技术秘密及声</w:t>
      </w:r>
      <w:r>
        <w:rPr>
          <w:rFonts w:ascii="宋体" w:hAnsi="宋体" w:eastAsia="宋体" w:cs="宋体"/>
          <w:spacing w:val="8"/>
          <w:sz w:val="20"/>
          <w:szCs w:val="20"/>
        </w:rPr>
        <w:t>明需要保密的资料信息等商业秘密泄露给第三方。</w:t>
      </w:r>
    </w:p>
    <w:p w14:paraId="0AC43747">
      <w:pPr>
        <w:spacing w:before="1" w:line="227" w:lineRule="auto"/>
        <w:ind w:left="437"/>
        <w:rPr>
          <w:rFonts w:ascii="宋体" w:hAnsi="宋体" w:eastAsia="宋体" w:cs="宋体"/>
          <w:sz w:val="20"/>
          <w:szCs w:val="20"/>
        </w:rPr>
      </w:pPr>
      <w:r>
        <w:rPr>
          <w:rFonts w:ascii="宋体" w:hAnsi="宋体" w:eastAsia="宋体" w:cs="宋体"/>
          <w:b/>
          <w:bCs/>
          <w:spacing w:val="5"/>
          <w:sz w:val="20"/>
          <w:szCs w:val="20"/>
        </w:rPr>
        <w:t>1.13</w:t>
      </w:r>
      <w:r>
        <w:rPr>
          <w:rFonts w:ascii="宋体" w:hAnsi="宋体" w:eastAsia="宋体" w:cs="宋体"/>
          <w:spacing w:val="5"/>
          <w:sz w:val="20"/>
          <w:szCs w:val="20"/>
        </w:rPr>
        <w:t xml:space="preserve"> </w:t>
      </w:r>
      <w:r>
        <w:rPr>
          <w:rFonts w:ascii="宋体" w:hAnsi="宋体" w:eastAsia="宋体" w:cs="宋体"/>
          <w:b/>
          <w:bCs/>
          <w:spacing w:val="5"/>
          <w:sz w:val="20"/>
          <w:szCs w:val="20"/>
        </w:rPr>
        <w:t>工程量清单错误的修正</w:t>
      </w:r>
    </w:p>
    <w:p w14:paraId="5E29C6EE">
      <w:pPr>
        <w:spacing w:before="128" w:line="227" w:lineRule="auto"/>
        <w:ind w:left="434"/>
        <w:rPr>
          <w:rFonts w:ascii="宋体" w:hAnsi="宋体" w:eastAsia="宋体" w:cs="宋体"/>
          <w:sz w:val="20"/>
          <w:szCs w:val="20"/>
        </w:rPr>
      </w:pPr>
      <w:r>
        <w:rPr>
          <w:rFonts w:ascii="宋体" w:hAnsi="宋体" w:eastAsia="宋体" w:cs="宋体"/>
          <w:spacing w:val="10"/>
          <w:sz w:val="20"/>
          <w:szCs w:val="20"/>
        </w:rPr>
        <w:t>除专用合同条款另有约定外，发包人提供的工程量清单，应被认为是准确的和完整的。出现</w:t>
      </w:r>
    </w:p>
    <w:p w14:paraId="0782BA0B">
      <w:pPr>
        <w:spacing w:line="227" w:lineRule="auto"/>
        <w:rPr>
          <w:rFonts w:ascii="宋体" w:hAnsi="宋体" w:eastAsia="宋体" w:cs="宋体"/>
          <w:sz w:val="20"/>
          <w:szCs w:val="20"/>
        </w:rPr>
        <w:sectPr>
          <w:footerReference r:id="rId343" w:type="default"/>
          <w:pgSz w:w="11906" w:h="16839"/>
          <w:pgMar w:top="400" w:right="1462" w:bottom="1446" w:left="1537" w:header="0" w:footer="1284" w:gutter="0"/>
          <w:cols w:space="720" w:num="1"/>
        </w:sectPr>
      </w:pPr>
    </w:p>
    <w:p w14:paraId="5FA244C7">
      <w:pPr>
        <w:spacing w:line="246" w:lineRule="auto"/>
        <w:rPr>
          <w:rFonts w:ascii="Arial"/>
          <w:sz w:val="21"/>
        </w:rPr>
      </w:pPr>
    </w:p>
    <w:p w14:paraId="1B960845">
      <w:pPr>
        <w:spacing w:line="246" w:lineRule="auto"/>
        <w:rPr>
          <w:rFonts w:ascii="Arial"/>
          <w:sz w:val="21"/>
        </w:rPr>
      </w:pPr>
    </w:p>
    <w:p w14:paraId="1CD6CC25">
      <w:pPr>
        <w:spacing w:line="246" w:lineRule="auto"/>
        <w:rPr>
          <w:rFonts w:ascii="Arial"/>
          <w:sz w:val="21"/>
        </w:rPr>
      </w:pPr>
    </w:p>
    <w:p w14:paraId="3BFD3F60">
      <w:pPr>
        <w:spacing w:line="246" w:lineRule="auto"/>
        <w:rPr>
          <w:rFonts w:ascii="Arial"/>
          <w:sz w:val="21"/>
        </w:rPr>
      </w:pPr>
    </w:p>
    <w:p w14:paraId="109A7EA7">
      <w:pPr>
        <w:spacing w:line="247" w:lineRule="auto"/>
        <w:rPr>
          <w:rFonts w:ascii="Arial"/>
          <w:sz w:val="21"/>
        </w:rPr>
      </w:pPr>
    </w:p>
    <w:p w14:paraId="67145C88">
      <w:pPr>
        <w:spacing w:line="247" w:lineRule="auto"/>
        <w:rPr>
          <w:rFonts w:ascii="Arial"/>
          <w:sz w:val="21"/>
        </w:rPr>
      </w:pPr>
    </w:p>
    <w:p w14:paraId="292D0829">
      <w:pPr>
        <w:spacing w:before="65" w:line="226" w:lineRule="auto"/>
        <w:ind w:left="7"/>
        <w:rPr>
          <w:rFonts w:ascii="宋体" w:hAnsi="宋体" w:eastAsia="宋体" w:cs="宋体"/>
          <w:sz w:val="20"/>
          <w:szCs w:val="20"/>
        </w:rPr>
      </w:pPr>
      <w:r>
        <w:rPr>
          <w:rFonts w:ascii="宋体" w:hAnsi="宋体" w:eastAsia="宋体" w:cs="宋体"/>
          <w:spacing w:val="9"/>
          <w:sz w:val="20"/>
          <w:szCs w:val="20"/>
        </w:rPr>
        <w:t>下列情形之一时，发包人应予以修正，并相应调整合同价</w:t>
      </w:r>
      <w:r>
        <w:rPr>
          <w:rFonts w:ascii="宋体" w:hAnsi="宋体" w:eastAsia="宋体" w:cs="宋体"/>
          <w:spacing w:val="8"/>
          <w:sz w:val="20"/>
          <w:szCs w:val="20"/>
        </w:rPr>
        <w:t>格：</w:t>
      </w:r>
    </w:p>
    <w:p w14:paraId="5F35CC1C">
      <w:pPr>
        <w:spacing w:before="128" w:line="228" w:lineRule="auto"/>
        <w:ind w:left="430"/>
        <w:rPr>
          <w:rFonts w:ascii="宋体" w:hAnsi="宋体" w:eastAsia="宋体" w:cs="宋体"/>
          <w:sz w:val="20"/>
          <w:szCs w:val="20"/>
        </w:rPr>
      </w:pPr>
      <w:r>
        <w:rPr>
          <w:rFonts w:ascii="宋体" w:hAnsi="宋体" w:eastAsia="宋体" w:cs="宋体"/>
          <w:spacing w:val="7"/>
          <w:sz w:val="20"/>
          <w:szCs w:val="20"/>
        </w:rPr>
        <w:t>（1）工程量清单存在缺项、漏项的；</w:t>
      </w:r>
    </w:p>
    <w:p w14:paraId="26F0F2EC">
      <w:pPr>
        <w:spacing w:before="127" w:line="228" w:lineRule="auto"/>
        <w:ind w:left="430"/>
        <w:rPr>
          <w:rFonts w:ascii="宋体" w:hAnsi="宋体" w:eastAsia="宋体" w:cs="宋体"/>
          <w:sz w:val="20"/>
          <w:szCs w:val="20"/>
        </w:rPr>
      </w:pPr>
      <w:r>
        <w:rPr>
          <w:rFonts w:ascii="宋体" w:hAnsi="宋体" w:eastAsia="宋体" w:cs="宋体"/>
          <w:spacing w:val="9"/>
          <w:sz w:val="20"/>
          <w:szCs w:val="20"/>
        </w:rPr>
        <w:t>（2）工程量清单偏差超出专用合同条款约定的工程</w:t>
      </w:r>
      <w:r>
        <w:rPr>
          <w:rFonts w:ascii="宋体" w:hAnsi="宋体" w:eastAsia="宋体" w:cs="宋体"/>
          <w:spacing w:val="8"/>
          <w:sz w:val="20"/>
          <w:szCs w:val="20"/>
        </w:rPr>
        <w:t>量偏差范围的；</w:t>
      </w:r>
    </w:p>
    <w:p w14:paraId="358ADA38">
      <w:pPr>
        <w:spacing w:before="127" w:line="228" w:lineRule="auto"/>
        <w:ind w:left="430"/>
        <w:rPr>
          <w:rFonts w:ascii="宋体" w:hAnsi="宋体" w:eastAsia="宋体" w:cs="宋体"/>
          <w:sz w:val="20"/>
          <w:szCs w:val="20"/>
        </w:rPr>
      </w:pPr>
      <w:r>
        <w:rPr>
          <w:rFonts w:ascii="宋体" w:hAnsi="宋体" w:eastAsia="宋体" w:cs="宋体"/>
          <w:spacing w:val="8"/>
          <w:sz w:val="20"/>
          <w:szCs w:val="20"/>
        </w:rPr>
        <w:t>（3）未按照国家现行计量规范强制性规定计量的；</w:t>
      </w:r>
    </w:p>
    <w:p w14:paraId="77E8593F">
      <w:pPr>
        <w:spacing w:before="127" w:line="228" w:lineRule="auto"/>
        <w:ind w:left="430"/>
        <w:rPr>
          <w:rFonts w:ascii="宋体" w:hAnsi="宋体" w:eastAsia="宋体" w:cs="宋体"/>
          <w:sz w:val="20"/>
          <w:szCs w:val="20"/>
        </w:rPr>
      </w:pPr>
      <w:r>
        <w:rPr>
          <w:rFonts w:ascii="宋体" w:hAnsi="宋体" w:eastAsia="宋体" w:cs="宋体"/>
          <w:spacing w:val="7"/>
          <w:sz w:val="20"/>
          <w:szCs w:val="20"/>
        </w:rPr>
        <w:t>（4）项目特征描述错误或不完整的。</w:t>
      </w:r>
    </w:p>
    <w:p w14:paraId="5A335A90">
      <w:pPr>
        <w:spacing w:line="434" w:lineRule="auto"/>
        <w:rPr>
          <w:rFonts w:ascii="Arial"/>
          <w:sz w:val="21"/>
        </w:rPr>
      </w:pPr>
    </w:p>
    <w:p w14:paraId="2CBF1154">
      <w:pPr>
        <w:spacing w:before="66" w:line="228" w:lineRule="auto"/>
        <w:ind w:left="423"/>
        <w:outlineLvl w:val="2"/>
        <w:rPr>
          <w:rFonts w:ascii="宋体" w:hAnsi="宋体" w:eastAsia="宋体" w:cs="宋体"/>
          <w:sz w:val="20"/>
          <w:szCs w:val="20"/>
        </w:rPr>
      </w:pPr>
      <w:bookmarkStart w:id="307" w:name="bookmark290"/>
      <w:bookmarkEnd w:id="307"/>
      <w:r>
        <w:rPr>
          <w:rFonts w:ascii="宋体" w:hAnsi="宋体" w:eastAsia="宋体" w:cs="宋体"/>
          <w:b/>
          <w:bCs/>
          <w:spacing w:val="2"/>
          <w:sz w:val="20"/>
          <w:szCs w:val="20"/>
        </w:rPr>
        <w:t>2.</w:t>
      </w:r>
      <w:r>
        <w:rPr>
          <w:rFonts w:ascii="宋体" w:hAnsi="宋体" w:eastAsia="宋体" w:cs="宋体"/>
          <w:spacing w:val="16"/>
          <w:sz w:val="20"/>
          <w:szCs w:val="20"/>
        </w:rPr>
        <w:t xml:space="preserve"> </w:t>
      </w:r>
      <w:r>
        <w:rPr>
          <w:rFonts w:ascii="宋体" w:hAnsi="宋体" w:eastAsia="宋体" w:cs="宋体"/>
          <w:b/>
          <w:bCs/>
          <w:spacing w:val="2"/>
          <w:sz w:val="20"/>
          <w:szCs w:val="20"/>
        </w:rPr>
        <w:t>发包人</w:t>
      </w:r>
    </w:p>
    <w:p w14:paraId="27991BF2">
      <w:pPr>
        <w:spacing w:before="128" w:line="228" w:lineRule="auto"/>
        <w:ind w:left="423"/>
        <w:rPr>
          <w:rFonts w:ascii="宋体" w:hAnsi="宋体" w:eastAsia="宋体" w:cs="宋体"/>
          <w:sz w:val="20"/>
          <w:szCs w:val="20"/>
        </w:rPr>
      </w:pPr>
      <w:r>
        <w:rPr>
          <w:rFonts w:ascii="宋体" w:hAnsi="宋体" w:eastAsia="宋体" w:cs="宋体"/>
          <w:b/>
          <w:bCs/>
          <w:spacing w:val="5"/>
          <w:sz w:val="20"/>
          <w:szCs w:val="20"/>
        </w:rPr>
        <w:t>2.1</w:t>
      </w:r>
      <w:r>
        <w:rPr>
          <w:rFonts w:ascii="宋体" w:hAnsi="宋体" w:eastAsia="宋体" w:cs="宋体"/>
          <w:spacing w:val="5"/>
          <w:sz w:val="20"/>
          <w:szCs w:val="20"/>
        </w:rPr>
        <w:t xml:space="preserve"> </w:t>
      </w:r>
      <w:r>
        <w:rPr>
          <w:rFonts w:ascii="宋体" w:hAnsi="宋体" w:eastAsia="宋体" w:cs="宋体"/>
          <w:b/>
          <w:bCs/>
          <w:spacing w:val="5"/>
          <w:sz w:val="20"/>
          <w:szCs w:val="20"/>
        </w:rPr>
        <w:t>许可或批准</w:t>
      </w:r>
    </w:p>
    <w:p w14:paraId="7B08420C">
      <w:pPr>
        <w:spacing w:before="125" w:line="346" w:lineRule="auto"/>
        <w:ind w:right="87" w:firstLine="424"/>
        <w:jc w:val="both"/>
        <w:rPr>
          <w:rFonts w:ascii="宋体" w:hAnsi="宋体" w:eastAsia="宋体" w:cs="宋体"/>
          <w:sz w:val="20"/>
          <w:szCs w:val="20"/>
        </w:rPr>
      </w:pPr>
      <w:r>
        <w:rPr>
          <w:rFonts w:ascii="宋体" w:hAnsi="宋体" w:eastAsia="宋体" w:cs="宋体"/>
          <w:spacing w:val="10"/>
          <w:sz w:val="20"/>
          <w:szCs w:val="20"/>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w:t>
      </w:r>
      <w:r>
        <w:rPr>
          <w:rFonts w:ascii="宋体" w:hAnsi="宋体" w:eastAsia="宋体" w:cs="宋体"/>
          <w:sz w:val="20"/>
          <w:szCs w:val="20"/>
        </w:rPr>
        <w:t>件。</w:t>
      </w:r>
    </w:p>
    <w:p w14:paraId="7E104E55">
      <w:pPr>
        <w:spacing w:before="1" w:line="345" w:lineRule="auto"/>
        <w:ind w:left="1" w:firstLine="435"/>
        <w:rPr>
          <w:rFonts w:ascii="宋体" w:hAnsi="宋体" w:eastAsia="宋体" w:cs="宋体"/>
          <w:sz w:val="20"/>
          <w:szCs w:val="20"/>
        </w:rPr>
      </w:pPr>
      <w:r>
        <w:rPr>
          <w:rFonts w:ascii="宋体" w:hAnsi="宋体" w:eastAsia="宋体" w:cs="宋体"/>
          <w:spacing w:val="2"/>
          <w:sz w:val="20"/>
          <w:szCs w:val="20"/>
        </w:rPr>
        <w:t>因发包人原因未能及时办理完毕前述许可、批准或备案，由发包人承担由此增加的费用和（或）</w:t>
      </w:r>
      <w:r>
        <w:rPr>
          <w:rFonts w:ascii="宋体" w:hAnsi="宋体" w:eastAsia="宋体" w:cs="宋体"/>
          <w:spacing w:val="8"/>
          <w:sz w:val="20"/>
          <w:szCs w:val="20"/>
        </w:rPr>
        <w:t>延误的工期，并支付承包人合理的利润。</w:t>
      </w:r>
    </w:p>
    <w:p w14:paraId="1AE1A90A">
      <w:pPr>
        <w:spacing w:before="1" w:line="227" w:lineRule="auto"/>
        <w:ind w:left="423"/>
        <w:rPr>
          <w:rFonts w:ascii="宋体" w:hAnsi="宋体" w:eastAsia="宋体" w:cs="宋体"/>
          <w:sz w:val="20"/>
          <w:szCs w:val="20"/>
        </w:rPr>
      </w:pPr>
      <w:r>
        <w:rPr>
          <w:rFonts w:ascii="宋体" w:hAnsi="宋体" w:eastAsia="宋体" w:cs="宋体"/>
          <w:b/>
          <w:bCs/>
          <w:spacing w:val="5"/>
          <w:sz w:val="20"/>
          <w:szCs w:val="20"/>
        </w:rPr>
        <w:t>2.2</w:t>
      </w:r>
      <w:r>
        <w:rPr>
          <w:rFonts w:ascii="宋体" w:hAnsi="宋体" w:eastAsia="宋体" w:cs="宋体"/>
          <w:spacing w:val="5"/>
          <w:sz w:val="20"/>
          <w:szCs w:val="20"/>
        </w:rPr>
        <w:t xml:space="preserve"> </w:t>
      </w:r>
      <w:r>
        <w:rPr>
          <w:rFonts w:ascii="宋体" w:hAnsi="宋体" w:eastAsia="宋体" w:cs="宋体"/>
          <w:b/>
          <w:bCs/>
          <w:spacing w:val="5"/>
          <w:sz w:val="20"/>
          <w:szCs w:val="20"/>
        </w:rPr>
        <w:t>发包人代表</w:t>
      </w:r>
    </w:p>
    <w:p w14:paraId="73E377F6">
      <w:pPr>
        <w:spacing w:before="126" w:line="346" w:lineRule="auto"/>
        <w:ind w:right="87" w:firstLine="424"/>
        <w:jc w:val="both"/>
        <w:rPr>
          <w:rFonts w:ascii="宋体" w:hAnsi="宋体" w:eastAsia="宋体" w:cs="宋体"/>
          <w:sz w:val="20"/>
          <w:szCs w:val="20"/>
        </w:rPr>
      </w:pPr>
      <w:r>
        <w:rPr>
          <w:rFonts w:ascii="宋体" w:hAnsi="宋体" w:eastAsia="宋体" w:cs="宋体"/>
          <w:spacing w:val="10"/>
          <w:sz w:val="20"/>
          <w:szCs w:val="20"/>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w:t>
      </w:r>
      <w:r>
        <w:rPr>
          <w:rFonts w:ascii="宋体" w:hAnsi="宋体" w:eastAsia="宋体" w:cs="宋体"/>
          <w:spacing w:val="5"/>
          <w:sz w:val="20"/>
          <w:szCs w:val="20"/>
        </w:rPr>
        <w:t>提前</w:t>
      </w:r>
      <w:r>
        <w:rPr>
          <w:rFonts w:ascii="宋体" w:hAnsi="宋体" w:eastAsia="宋体" w:cs="宋体"/>
          <w:spacing w:val="-26"/>
          <w:sz w:val="20"/>
          <w:szCs w:val="20"/>
        </w:rPr>
        <w:t xml:space="preserve"> </w:t>
      </w:r>
      <w:r>
        <w:rPr>
          <w:rFonts w:ascii="宋体" w:hAnsi="宋体" w:eastAsia="宋体" w:cs="宋体"/>
          <w:spacing w:val="5"/>
          <w:sz w:val="20"/>
          <w:szCs w:val="20"/>
        </w:rPr>
        <w:t>7</w:t>
      </w:r>
      <w:r>
        <w:rPr>
          <w:rFonts w:ascii="宋体" w:hAnsi="宋体" w:eastAsia="宋体" w:cs="宋体"/>
          <w:spacing w:val="-36"/>
          <w:sz w:val="20"/>
          <w:szCs w:val="20"/>
        </w:rPr>
        <w:t xml:space="preserve"> </w:t>
      </w:r>
      <w:r>
        <w:rPr>
          <w:rFonts w:ascii="宋体" w:hAnsi="宋体" w:eastAsia="宋体" w:cs="宋体"/>
          <w:spacing w:val="5"/>
          <w:sz w:val="20"/>
          <w:szCs w:val="20"/>
        </w:rPr>
        <w:t>天书面通知承包人。</w:t>
      </w:r>
    </w:p>
    <w:p w14:paraId="080A19DD">
      <w:pPr>
        <w:spacing w:before="1" w:line="345" w:lineRule="auto"/>
        <w:ind w:left="2" w:right="87" w:firstLine="421"/>
        <w:rPr>
          <w:rFonts w:ascii="宋体" w:hAnsi="宋体" w:eastAsia="宋体" w:cs="宋体"/>
          <w:sz w:val="20"/>
          <w:szCs w:val="20"/>
        </w:rPr>
      </w:pPr>
      <w:r>
        <w:rPr>
          <w:rFonts w:ascii="宋体" w:hAnsi="宋体" w:eastAsia="宋体" w:cs="宋体"/>
          <w:spacing w:val="10"/>
          <w:sz w:val="20"/>
          <w:szCs w:val="20"/>
        </w:rPr>
        <w:t>发包人代表不能按照合同约定履行其职责及义务，并导致合同无法继续正常履行的，承包人</w:t>
      </w:r>
      <w:r>
        <w:rPr>
          <w:rFonts w:ascii="宋体" w:hAnsi="宋体" w:eastAsia="宋体" w:cs="宋体"/>
          <w:spacing w:val="8"/>
          <w:sz w:val="20"/>
          <w:szCs w:val="20"/>
        </w:rPr>
        <w:t>可以要求发包人撤换发包人代表。</w:t>
      </w:r>
    </w:p>
    <w:p w14:paraId="2DA6256B">
      <w:pPr>
        <w:spacing w:before="1" w:line="227" w:lineRule="auto"/>
        <w:jc w:val="right"/>
        <w:rPr>
          <w:rFonts w:ascii="宋体" w:hAnsi="宋体" w:eastAsia="宋体" w:cs="宋体"/>
          <w:sz w:val="20"/>
          <w:szCs w:val="20"/>
        </w:rPr>
      </w:pPr>
      <w:r>
        <w:rPr>
          <w:rFonts w:ascii="宋体" w:hAnsi="宋体" w:eastAsia="宋体" w:cs="宋体"/>
          <w:spacing w:val="7"/>
          <w:sz w:val="20"/>
          <w:szCs w:val="20"/>
        </w:rPr>
        <w:t>不属于法定必须监理的工程，监理人的职权可以由发包人代表或发包人指定的</w:t>
      </w:r>
      <w:r>
        <w:rPr>
          <w:rFonts w:ascii="宋体" w:hAnsi="宋体" w:eastAsia="宋体" w:cs="宋体"/>
          <w:spacing w:val="6"/>
          <w:sz w:val="20"/>
          <w:szCs w:val="20"/>
        </w:rPr>
        <w:t>其他人员行使。</w:t>
      </w:r>
    </w:p>
    <w:p w14:paraId="31A93F26">
      <w:pPr>
        <w:spacing w:before="128" w:line="228" w:lineRule="auto"/>
        <w:ind w:left="423"/>
        <w:rPr>
          <w:rFonts w:ascii="宋体" w:hAnsi="宋体" w:eastAsia="宋体" w:cs="宋体"/>
          <w:sz w:val="20"/>
          <w:szCs w:val="20"/>
        </w:rPr>
      </w:pPr>
      <w:r>
        <w:rPr>
          <w:rFonts w:ascii="宋体" w:hAnsi="宋体" w:eastAsia="宋体" w:cs="宋体"/>
          <w:b/>
          <w:bCs/>
          <w:spacing w:val="5"/>
          <w:sz w:val="20"/>
          <w:szCs w:val="20"/>
        </w:rPr>
        <w:t>2.3</w:t>
      </w:r>
      <w:r>
        <w:rPr>
          <w:rFonts w:ascii="宋体" w:hAnsi="宋体" w:eastAsia="宋体" w:cs="宋体"/>
          <w:spacing w:val="5"/>
          <w:sz w:val="20"/>
          <w:szCs w:val="20"/>
        </w:rPr>
        <w:t xml:space="preserve"> </w:t>
      </w:r>
      <w:r>
        <w:rPr>
          <w:rFonts w:ascii="宋体" w:hAnsi="宋体" w:eastAsia="宋体" w:cs="宋体"/>
          <w:b/>
          <w:bCs/>
          <w:spacing w:val="5"/>
          <w:sz w:val="20"/>
          <w:szCs w:val="20"/>
        </w:rPr>
        <w:t>发包人人员</w:t>
      </w:r>
    </w:p>
    <w:p w14:paraId="26BD9AC8">
      <w:pPr>
        <w:spacing w:before="126" w:line="346" w:lineRule="auto"/>
        <w:ind w:left="1" w:right="87" w:firstLine="422"/>
        <w:rPr>
          <w:rFonts w:ascii="宋体" w:hAnsi="宋体" w:eastAsia="宋体" w:cs="宋体"/>
          <w:sz w:val="20"/>
          <w:szCs w:val="20"/>
        </w:rPr>
      </w:pPr>
      <w:r>
        <w:rPr>
          <w:rFonts w:ascii="宋体" w:hAnsi="宋体" w:eastAsia="宋体" w:cs="宋体"/>
          <w:spacing w:val="10"/>
          <w:sz w:val="20"/>
          <w:szCs w:val="20"/>
        </w:rPr>
        <w:t>发包人应要求在施工现场的发包人人员遵守法律及有关安全、质量、环境保护、文明施工等</w:t>
      </w:r>
      <w:r>
        <w:rPr>
          <w:rFonts w:ascii="宋体" w:hAnsi="宋体" w:eastAsia="宋体" w:cs="宋体"/>
          <w:spacing w:val="9"/>
          <w:sz w:val="20"/>
          <w:szCs w:val="20"/>
        </w:rPr>
        <w:t>规定，并保障承包人免于承受因发包人人员未遵守上述要求给承包人造成的损失和责任。</w:t>
      </w:r>
    </w:p>
    <w:p w14:paraId="46918C97">
      <w:pPr>
        <w:spacing w:before="1" w:line="227" w:lineRule="auto"/>
        <w:ind w:left="424"/>
        <w:rPr>
          <w:rFonts w:ascii="宋体" w:hAnsi="宋体" w:eastAsia="宋体" w:cs="宋体"/>
          <w:sz w:val="20"/>
          <w:szCs w:val="20"/>
        </w:rPr>
      </w:pPr>
      <w:r>
        <w:rPr>
          <w:rFonts w:ascii="宋体" w:hAnsi="宋体" w:eastAsia="宋体" w:cs="宋体"/>
          <w:spacing w:val="9"/>
          <w:sz w:val="20"/>
          <w:szCs w:val="20"/>
        </w:rPr>
        <w:t>发包人人员包括发包人代表及其他由发包人派驻施工现场的人员。</w:t>
      </w:r>
    </w:p>
    <w:p w14:paraId="05A64C6D">
      <w:pPr>
        <w:spacing w:before="128" w:line="227" w:lineRule="auto"/>
        <w:ind w:left="423"/>
        <w:rPr>
          <w:rFonts w:ascii="宋体" w:hAnsi="宋体" w:eastAsia="宋体" w:cs="宋体"/>
          <w:sz w:val="20"/>
          <w:szCs w:val="20"/>
        </w:rPr>
      </w:pPr>
      <w:r>
        <w:rPr>
          <w:rFonts w:ascii="宋体" w:hAnsi="宋体" w:eastAsia="宋体" w:cs="宋体"/>
          <w:b/>
          <w:bCs/>
          <w:spacing w:val="7"/>
          <w:sz w:val="20"/>
          <w:szCs w:val="20"/>
        </w:rPr>
        <w:t>2.4</w:t>
      </w:r>
      <w:r>
        <w:rPr>
          <w:rFonts w:ascii="宋体" w:hAnsi="宋体" w:eastAsia="宋体" w:cs="宋体"/>
          <w:spacing w:val="7"/>
          <w:sz w:val="20"/>
          <w:szCs w:val="20"/>
        </w:rPr>
        <w:t xml:space="preserve"> </w:t>
      </w:r>
      <w:r>
        <w:rPr>
          <w:rFonts w:ascii="宋体" w:hAnsi="宋体" w:eastAsia="宋体" w:cs="宋体"/>
          <w:b/>
          <w:bCs/>
          <w:spacing w:val="7"/>
          <w:sz w:val="20"/>
          <w:szCs w:val="20"/>
        </w:rPr>
        <w:t>施工现场、施工条件和基础资料的提供</w:t>
      </w:r>
    </w:p>
    <w:p w14:paraId="71AA859E">
      <w:pPr>
        <w:spacing w:before="128" w:line="227" w:lineRule="auto"/>
        <w:ind w:left="423"/>
        <w:rPr>
          <w:rFonts w:ascii="宋体" w:hAnsi="宋体" w:eastAsia="宋体" w:cs="宋体"/>
          <w:sz w:val="20"/>
          <w:szCs w:val="20"/>
        </w:rPr>
      </w:pPr>
      <w:r>
        <w:rPr>
          <w:rFonts w:ascii="宋体" w:hAnsi="宋体" w:eastAsia="宋体" w:cs="宋体"/>
          <w:b/>
          <w:bCs/>
          <w:spacing w:val="5"/>
          <w:sz w:val="20"/>
          <w:szCs w:val="20"/>
        </w:rPr>
        <w:t>2.4.1</w:t>
      </w:r>
      <w:r>
        <w:rPr>
          <w:rFonts w:ascii="宋体" w:hAnsi="宋体" w:eastAsia="宋体" w:cs="宋体"/>
          <w:spacing w:val="5"/>
          <w:sz w:val="20"/>
          <w:szCs w:val="20"/>
        </w:rPr>
        <w:t xml:space="preserve"> </w:t>
      </w:r>
      <w:r>
        <w:rPr>
          <w:rFonts w:ascii="宋体" w:hAnsi="宋体" w:eastAsia="宋体" w:cs="宋体"/>
          <w:b/>
          <w:bCs/>
          <w:spacing w:val="5"/>
          <w:sz w:val="20"/>
          <w:szCs w:val="20"/>
        </w:rPr>
        <w:t>提供施工现场</w:t>
      </w:r>
    </w:p>
    <w:p w14:paraId="681D2018">
      <w:pPr>
        <w:spacing w:before="128" w:line="228" w:lineRule="auto"/>
        <w:ind w:left="433"/>
        <w:rPr>
          <w:rFonts w:ascii="宋体" w:hAnsi="宋体" w:eastAsia="宋体" w:cs="宋体"/>
          <w:sz w:val="20"/>
          <w:szCs w:val="20"/>
        </w:rPr>
      </w:pPr>
      <w:r>
        <w:rPr>
          <w:rFonts w:ascii="宋体" w:hAnsi="宋体" w:eastAsia="宋体" w:cs="宋体"/>
          <w:spacing w:val="8"/>
          <w:sz w:val="20"/>
          <w:szCs w:val="20"/>
        </w:rPr>
        <w:t>除专用合同条款另有约定外，发包人应最迟于开工日期</w:t>
      </w:r>
      <w:r>
        <w:rPr>
          <w:rFonts w:ascii="宋体" w:hAnsi="宋体" w:eastAsia="宋体" w:cs="宋体"/>
          <w:spacing w:val="-23"/>
          <w:sz w:val="20"/>
          <w:szCs w:val="20"/>
        </w:rPr>
        <w:t xml:space="preserve"> </w:t>
      </w:r>
      <w:r>
        <w:rPr>
          <w:rFonts w:ascii="宋体" w:hAnsi="宋体" w:eastAsia="宋体" w:cs="宋体"/>
          <w:spacing w:val="8"/>
          <w:sz w:val="20"/>
          <w:szCs w:val="20"/>
        </w:rPr>
        <w:t>7</w:t>
      </w:r>
      <w:r>
        <w:rPr>
          <w:rFonts w:ascii="宋体" w:hAnsi="宋体" w:eastAsia="宋体" w:cs="宋体"/>
          <w:spacing w:val="-36"/>
          <w:sz w:val="20"/>
          <w:szCs w:val="20"/>
        </w:rPr>
        <w:t xml:space="preserve"> </w:t>
      </w:r>
      <w:r>
        <w:rPr>
          <w:rFonts w:ascii="宋体" w:hAnsi="宋体" w:eastAsia="宋体" w:cs="宋体"/>
          <w:spacing w:val="8"/>
          <w:sz w:val="20"/>
          <w:szCs w:val="20"/>
        </w:rPr>
        <w:t>天前向承包人移交施工现场。</w:t>
      </w:r>
    </w:p>
    <w:p w14:paraId="36C5DB0B">
      <w:pPr>
        <w:spacing w:before="128" w:line="227" w:lineRule="auto"/>
        <w:ind w:left="423"/>
        <w:rPr>
          <w:rFonts w:ascii="宋体" w:hAnsi="宋体" w:eastAsia="宋体" w:cs="宋体"/>
          <w:sz w:val="20"/>
          <w:szCs w:val="20"/>
        </w:rPr>
      </w:pPr>
      <w:r>
        <w:rPr>
          <w:rFonts w:ascii="宋体" w:hAnsi="宋体" w:eastAsia="宋体" w:cs="宋体"/>
          <w:b/>
          <w:bCs/>
          <w:spacing w:val="5"/>
          <w:sz w:val="20"/>
          <w:szCs w:val="20"/>
        </w:rPr>
        <w:t>2.4.2</w:t>
      </w:r>
      <w:r>
        <w:rPr>
          <w:rFonts w:ascii="宋体" w:hAnsi="宋体" w:eastAsia="宋体" w:cs="宋体"/>
          <w:spacing w:val="5"/>
          <w:sz w:val="20"/>
          <w:szCs w:val="20"/>
        </w:rPr>
        <w:t xml:space="preserve"> </w:t>
      </w:r>
      <w:r>
        <w:rPr>
          <w:rFonts w:ascii="宋体" w:hAnsi="宋体" w:eastAsia="宋体" w:cs="宋体"/>
          <w:b/>
          <w:bCs/>
          <w:spacing w:val="5"/>
          <w:sz w:val="20"/>
          <w:szCs w:val="20"/>
        </w:rPr>
        <w:t>提供施工条件</w:t>
      </w:r>
    </w:p>
    <w:p w14:paraId="6ECE4080">
      <w:pPr>
        <w:spacing w:before="129" w:line="227" w:lineRule="auto"/>
        <w:ind w:left="433"/>
        <w:rPr>
          <w:rFonts w:ascii="宋体" w:hAnsi="宋体" w:eastAsia="宋体" w:cs="宋体"/>
          <w:sz w:val="20"/>
          <w:szCs w:val="20"/>
        </w:rPr>
      </w:pPr>
      <w:r>
        <w:rPr>
          <w:rFonts w:ascii="宋体" w:hAnsi="宋体" w:eastAsia="宋体" w:cs="宋体"/>
          <w:spacing w:val="9"/>
          <w:sz w:val="20"/>
          <w:szCs w:val="20"/>
        </w:rPr>
        <w:t>除专用合同条款另有约定外，发包人应负责提供施工所需要的条件，包括：</w:t>
      </w:r>
    </w:p>
    <w:p w14:paraId="7739FA70">
      <w:pPr>
        <w:spacing w:before="128" w:line="228" w:lineRule="auto"/>
        <w:ind w:left="430"/>
        <w:rPr>
          <w:rFonts w:ascii="宋体" w:hAnsi="宋体" w:eastAsia="宋体" w:cs="宋体"/>
          <w:sz w:val="20"/>
          <w:szCs w:val="20"/>
        </w:rPr>
      </w:pPr>
      <w:r>
        <w:rPr>
          <w:rFonts w:ascii="宋体" w:hAnsi="宋体" w:eastAsia="宋体" w:cs="宋体"/>
          <w:spacing w:val="9"/>
          <w:sz w:val="20"/>
          <w:szCs w:val="20"/>
        </w:rPr>
        <w:t>（1）将施工用水、电力、通讯线路等施工所必需的条件接至施</w:t>
      </w:r>
      <w:r>
        <w:rPr>
          <w:rFonts w:ascii="宋体" w:hAnsi="宋体" w:eastAsia="宋体" w:cs="宋体"/>
          <w:spacing w:val="8"/>
          <w:sz w:val="20"/>
          <w:szCs w:val="20"/>
        </w:rPr>
        <w:t>工现场内；</w:t>
      </w:r>
    </w:p>
    <w:p w14:paraId="501E54FE">
      <w:pPr>
        <w:spacing w:before="128" w:line="227" w:lineRule="auto"/>
        <w:ind w:left="430"/>
        <w:rPr>
          <w:rFonts w:ascii="宋体" w:hAnsi="宋体" w:eastAsia="宋体" w:cs="宋体"/>
          <w:sz w:val="20"/>
          <w:szCs w:val="20"/>
        </w:rPr>
      </w:pPr>
      <w:r>
        <w:rPr>
          <w:rFonts w:ascii="宋体" w:hAnsi="宋体" w:eastAsia="宋体" w:cs="宋体"/>
          <w:spacing w:val="9"/>
          <w:sz w:val="20"/>
          <w:szCs w:val="20"/>
        </w:rPr>
        <w:t>（2）保证向承包人提供正常施工所需要的进入施工现</w:t>
      </w:r>
      <w:r>
        <w:rPr>
          <w:rFonts w:ascii="宋体" w:hAnsi="宋体" w:eastAsia="宋体" w:cs="宋体"/>
          <w:spacing w:val="8"/>
          <w:sz w:val="20"/>
          <w:szCs w:val="20"/>
        </w:rPr>
        <w:t>场的交通条件；</w:t>
      </w:r>
    </w:p>
    <w:p w14:paraId="2311C409">
      <w:pPr>
        <w:spacing w:before="128" w:line="228" w:lineRule="auto"/>
        <w:ind w:left="430"/>
        <w:rPr>
          <w:rFonts w:ascii="宋体" w:hAnsi="宋体" w:eastAsia="宋体" w:cs="宋体"/>
          <w:sz w:val="20"/>
          <w:szCs w:val="20"/>
        </w:rPr>
      </w:pPr>
      <w:r>
        <w:rPr>
          <w:rFonts w:ascii="宋体" w:hAnsi="宋体" w:eastAsia="宋体" w:cs="宋体"/>
          <w:spacing w:val="7"/>
          <w:sz w:val="20"/>
          <w:szCs w:val="20"/>
        </w:rPr>
        <w:t>（3）协调处理施工现场周围地下管线和邻近建筑物、构筑物、古树名木的保护工作，并承担</w:t>
      </w:r>
    </w:p>
    <w:p w14:paraId="1A039133">
      <w:pPr>
        <w:spacing w:line="228" w:lineRule="auto"/>
        <w:rPr>
          <w:rFonts w:ascii="宋体" w:hAnsi="宋体" w:eastAsia="宋体" w:cs="宋体"/>
          <w:sz w:val="20"/>
          <w:szCs w:val="20"/>
        </w:rPr>
        <w:sectPr>
          <w:footerReference r:id="rId344" w:type="default"/>
          <w:pgSz w:w="11906" w:h="16839"/>
          <w:pgMar w:top="400" w:right="1445" w:bottom="1446" w:left="1538" w:header="0" w:footer="1284" w:gutter="0"/>
          <w:cols w:space="720" w:num="1"/>
        </w:sectPr>
      </w:pPr>
    </w:p>
    <w:p w14:paraId="6B8FC073">
      <w:pPr>
        <w:spacing w:line="246" w:lineRule="auto"/>
        <w:rPr>
          <w:rFonts w:ascii="Arial"/>
          <w:sz w:val="21"/>
        </w:rPr>
      </w:pPr>
    </w:p>
    <w:p w14:paraId="04E66246">
      <w:pPr>
        <w:spacing w:line="246" w:lineRule="auto"/>
        <w:rPr>
          <w:rFonts w:ascii="Arial"/>
          <w:sz w:val="21"/>
        </w:rPr>
      </w:pPr>
    </w:p>
    <w:p w14:paraId="4CCDEE5B">
      <w:pPr>
        <w:spacing w:line="246" w:lineRule="auto"/>
        <w:rPr>
          <w:rFonts w:ascii="Arial"/>
          <w:sz w:val="21"/>
        </w:rPr>
      </w:pPr>
    </w:p>
    <w:p w14:paraId="71D0D285">
      <w:pPr>
        <w:spacing w:line="246" w:lineRule="auto"/>
        <w:rPr>
          <w:rFonts w:ascii="Arial"/>
          <w:sz w:val="21"/>
        </w:rPr>
      </w:pPr>
    </w:p>
    <w:p w14:paraId="4A516084">
      <w:pPr>
        <w:spacing w:line="247" w:lineRule="auto"/>
        <w:rPr>
          <w:rFonts w:ascii="Arial"/>
          <w:sz w:val="21"/>
        </w:rPr>
      </w:pPr>
    </w:p>
    <w:p w14:paraId="25D7B091">
      <w:pPr>
        <w:spacing w:line="247" w:lineRule="auto"/>
        <w:rPr>
          <w:rFonts w:ascii="Arial"/>
          <w:sz w:val="21"/>
        </w:rPr>
      </w:pPr>
    </w:p>
    <w:p w14:paraId="4CEC6D94">
      <w:pPr>
        <w:spacing w:before="65" w:line="228" w:lineRule="auto"/>
        <w:rPr>
          <w:rFonts w:ascii="宋体" w:hAnsi="宋体" w:eastAsia="宋体" w:cs="宋体"/>
          <w:sz w:val="20"/>
          <w:szCs w:val="20"/>
        </w:rPr>
      </w:pPr>
      <w:r>
        <w:rPr>
          <w:rFonts w:ascii="宋体" w:hAnsi="宋体" w:eastAsia="宋体" w:cs="宋体"/>
          <w:spacing w:val="5"/>
          <w:sz w:val="20"/>
          <w:szCs w:val="20"/>
        </w:rPr>
        <w:t>相关费用；</w:t>
      </w:r>
    </w:p>
    <w:p w14:paraId="6C217FEE">
      <w:pPr>
        <w:spacing w:before="126" w:line="227" w:lineRule="auto"/>
        <w:ind w:left="430"/>
        <w:rPr>
          <w:rFonts w:ascii="宋体" w:hAnsi="宋体" w:eastAsia="宋体" w:cs="宋体"/>
          <w:sz w:val="20"/>
          <w:szCs w:val="20"/>
        </w:rPr>
      </w:pPr>
      <w:r>
        <w:rPr>
          <w:rFonts w:ascii="宋体" w:hAnsi="宋体" w:eastAsia="宋体" w:cs="宋体"/>
          <w:spacing w:val="8"/>
          <w:sz w:val="20"/>
          <w:szCs w:val="20"/>
        </w:rPr>
        <w:t>（4）按照专用合同条款约定应提供的其他设施和条件。</w:t>
      </w:r>
    </w:p>
    <w:p w14:paraId="0941294F">
      <w:pPr>
        <w:spacing w:before="128" w:line="227" w:lineRule="auto"/>
        <w:ind w:left="423"/>
        <w:rPr>
          <w:rFonts w:ascii="宋体" w:hAnsi="宋体" w:eastAsia="宋体" w:cs="宋体"/>
          <w:sz w:val="20"/>
          <w:szCs w:val="20"/>
        </w:rPr>
      </w:pPr>
      <w:r>
        <w:rPr>
          <w:rFonts w:ascii="宋体" w:hAnsi="宋体" w:eastAsia="宋体" w:cs="宋体"/>
          <w:b/>
          <w:bCs/>
          <w:spacing w:val="5"/>
          <w:sz w:val="20"/>
          <w:szCs w:val="20"/>
        </w:rPr>
        <w:t>2.4.3</w:t>
      </w:r>
      <w:r>
        <w:rPr>
          <w:rFonts w:ascii="宋体" w:hAnsi="宋体" w:eastAsia="宋体" w:cs="宋体"/>
          <w:spacing w:val="5"/>
          <w:sz w:val="20"/>
          <w:szCs w:val="20"/>
        </w:rPr>
        <w:t xml:space="preserve"> </w:t>
      </w:r>
      <w:r>
        <w:rPr>
          <w:rFonts w:ascii="宋体" w:hAnsi="宋体" w:eastAsia="宋体" w:cs="宋体"/>
          <w:b/>
          <w:bCs/>
          <w:spacing w:val="5"/>
          <w:sz w:val="20"/>
          <w:szCs w:val="20"/>
        </w:rPr>
        <w:t>提供基础资料</w:t>
      </w:r>
    </w:p>
    <w:p w14:paraId="5ED6F8EF">
      <w:pPr>
        <w:spacing w:before="127" w:line="346" w:lineRule="auto"/>
        <w:ind w:right="78" w:firstLine="423"/>
        <w:rPr>
          <w:rFonts w:ascii="宋体" w:hAnsi="宋体" w:eastAsia="宋体" w:cs="宋体"/>
          <w:sz w:val="20"/>
          <w:szCs w:val="20"/>
        </w:rPr>
      </w:pPr>
      <w:r>
        <w:rPr>
          <w:rFonts w:ascii="宋体" w:hAnsi="宋体" w:eastAsia="宋体" w:cs="宋体"/>
          <w:spacing w:val="10"/>
          <w:sz w:val="20"/>
          <w:szCs w:val="20"/>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w:t>
      </w:r>
      <w:r>
        <w:rPr>
          <w:rFonts w:ascii="宋体" w:hAnsi="宋体" w:eastAsia="宋体" w:cs="宋体"/>
          <w:spacing w:val="5"/>
          <w:sz w:val="20"/>
          <w:szCs w:val="20"/>
        </w:rPr>
        <w:t>性负责。</w:t>
      </w:r>
    </w:p>
    <w:p w14:paraId="48A00CB4">
      <w:pPr>
        <w:spacing w:before="1" w:line="345" w:lineRule="auto"/>
        <w:ind w:left="4" w:right="78" w:firstLine="418"/>
        <w:rPr>
          <w:rFonts w:ascii="宋体" w:hAnsi="宋体" w:eastAsia="宋体" w:cs="宋体"/>
          <w:sz w:val="20"/>
          <w:szCs w:val="20"/>
        </w:rPr>
      </w:pPr>
      <w:r>
        <w:rPr>
          <w:rFonts w:ascii="宋体" w:hAnsi="宋体" w:eastAsia="宋体" w:cs="宋体"/>
          <w:spacing w:val="10"/>
          <w:sz w:val="20"/>
          <w:szCs w:val="20"/>
        </w:rPr>
        <w:t>按照法律规定确需在开工后方能提供的基础资料，发包人应尽其努力及时地在相应工程施工</w:t>
      </w:r>
      <w:r>
        <w:rPr>
          <w:rFonts w:ascii="宋体" w:hAnsi="宋体" w:eastAsia="宋体" w:cs="宋体"/>
          <w:spacing w:val="9"/>
          <w:sz w:val="20"/>
          <w:szCs w:val="20"/>
        </w:rPr>
        <w:t>前的合理期限内提供，合理期限应以不影响承包人的正常施工为限。</w:t>
      </w:r>
    </w:p>
    <w:p w14:paraId="66BC87A6">
      <w:pPr>
        <w:spacing w:before="1" w:line="226" w:lineRule="auto"/>
        <w:ind w:left="423"/>
        <w:rPr>
          <w:rFonts w:ascii="宋体" w:hAnsi="宋体" w:eastAsia="宋体" w:cs="宋体"/>
          <w:sz w:val="20"/>
          <w:szCs w:val="20"/>
        </w:rPr>
      </w:pPr>
      <w:r>
        <w:rPr>
          <w:rFonts w:ascii="宋体" w:hAnsi="宋体" w:eastAsia="宋体" w:cs="宋体"/>
          <w:b/>
          <w:bCs/>
          <w:spacing w:val="5"/>
          <w:sz w:val="20"/>
          <w:szCs w:val="20"/>
        </w:rPr>
        <w:t>2.4.4</w:t>
      </w:r>
      <w:r>
        <w:rPr>
          <w:rFonts w:ascii="宋体" w:hAnsi="宋体" w:eastAsia="宋体" w:cs="宋体"/>
          <w:spacing w:val="5"/>
          <w:sz w:val="20"/>
          <w:szCs w:val="20"/>
        </w:rPr>
        <w:t xml:space="preserve"> </w:t>
      </w:r>
      <w:r>
        <w:rPr>
          <w:rFonts w:ascii="宋体" w:hAnsi="宋体" w:eastAsia="宋体" w:cs="宋体"/>
          <w:b/>
          <w:bCs/>
          <w:spacing w:val="5"/>
          <w:sz w:val="20"/>
          <w:szCs w:val="20"/>
        </w:rPr>
        <w:t>逾期提供的责任</w:t>
      </w:r>
    </w:p>
    <w:p w14:paraId="71F99322">
      <w:pPr>
        <w:spacing w:before="128" w:line="346" w:lineRule="auto"/>
        <w:ind w:left="2" w:right="78" w:firstLine="434"/>
        <w:rPr>
          <w:rFonts w:ascii="宋体" w:hAnsi="宋体" w:eastAsia="宋体" w:cs="宋体"/>
          <w:sz w:val="20"/>
          <w:szCs w:val="20"/>
        </w:rPr>
      </w:pPr>
      <w:r>
        <w:rPr>
          <w:rFonts w:ascii="宋体" w:hAnsi="宋体" w:eastAsia="宋体" w:cs="宋体"/>
          <w:spacing w:val="9"/>
          <w:sz w:val="20"/>
          <w:szCs w:val="20"/>
        </w:rPr>
        <w:t>因发包人原因未能按合同约定及时向承包人提供施工现场、施工条件、基础</w:t>
      </w:r>
      <w:r>
        <w:rPr>
          <w:rFonts w:ascii="宋体" w:hAnsi="宋体" w:eastAsia="宋体" w:cs="宋体"/>
          <w:spacing w:val="8"/>
          <w:sz w:val="20"/>
          <w:szCs w:val="20"/>
        </w:rPr>
        <w:t>资料的，</w:t>
      </w:r>
      <w:r>
        <w:rPr>
          <w:rFonts w:ascii="宋体" w:hAnsi="宋体" w:eastAsia="宋体" w:cs="宋体"/>
          <w:spacing w:val="-58"/>
          <w:sz w:val="20"/>
          <w:szCs w:val="20"/>
        </w:rPr>
        <w:t xml:space="preserve"> </w:t>
      </w:r>
      <w:r>
        <w:rPr>
          <w:rFonts w:ascii="宋体" w:hAnsi="宋体" w:eastAsia="宋体" w:cs="宋体"/>
          <w:spacing w:val="8"/>
          <w:sz w:val="20"/>
          <w:szCs w:val="20"/>
        </w:rPr>
        <w:t>由发包人承担由此增加的费用和（或）延误的工期。</w:t>
      </w:r>
    </w:p>
    <w:p w14:paraId="5BC3E928">
      <w:pPr>
        <w:spacing w:line="227" w:lineRule="auto"/>
        <w:ind w:left="423"/>
        <w:rPr>
          <w:rFonts w:ascii="宋体" w:hAnsi="宋体" w:eastAsia="宋体" w:cs="宋体"/>
          <w:sz w:val="20"/>
          <w:szCs w:val="20"/>
        </w:rPr>
      </w:pPr>
      <w:r>
        <w:rPr>
          <w:rFonts w:ascii="宋体" w:hAnsi="宋体" w:eastAsia="宋体" w:cs="宋体"/>
          <w:b/>
          <w:bCs/>
          <w:spacing w:val="6"/>
          <w:sz w:val="20"/>
          <w:szCs w:val="20"/>
        </w:rPr>
        <w:t>2.5</w:t>
      </w:r>
      <w:r>
        <w:rPr>
          <w:rFonts w:ascii="宋体" w:hAnsi="宋体" w:eastAsia="宋体" w:cs="宋体"/>
          <w:spacing w:val="6"/>
          <w:sz w:val="20"/>
          <w:szCs w:val="20"/>
        </w:rPr>
        <w:t xml:space="preserve"> </w:t>
      </w:r>
      <w:r>
        <w:rPr>
          <w:rFonts w:ascii="宋体" w:hAnsi="宋体" w:eastAsia="宋体" w:cs="宋体"/>
          <w:b/>
          <w:bCs/>
          <w:spacing w:val="6"/>
          <w:sz w:val="20"/>
          <w:szCs w:val="20"/>
        </w:rPr>
        <w:t>资金来源证明及支付担保</w:t>
      </w:r>
    </w:p>
    <w:p w14:paraId="1BECA24E">
      <w:pPr>
        <w:spacing w:before="127" w:line="346" w:lineRule="auto"/>
        <w:ind w:left="1" w:right="78" w:firstLine="422"/>
        <w:rPr>
          <w:rFonts w:ascii="宋体" w:hAnsi="宋体" w:eastAsia="宋体" w:cs="宋体"/>
          <w:sz w:val="20"/>
          <w:szCs w:val="20"/>
        </w:rPr>
      </w:pPr>
      <w:r>
        <w:rPr>
          <w:rFonts w:ascii="宋体" w:hAnsi="宋体" w:eastAsia="宋体" w:cs="宋体"/>
          <w:spacing w:val="7"/>
          <w:sz w:val="20"/>
          <w:szCs w:val="20"/>
        </w:rPr>
        <w:t>发包人应在收到承包人要求提供资金来源证明的书面通知后</w:t>
      </w:r>
      <w:r>
        <w:rPr>
          <w:rFonts w:ascii="宋体" w:hAnsi="宋体" w:eastAsia="宋体" w:cs="宋体"/>
          <w:spacing w:val="-34"/>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天内，向承</w:t>
      </w:r>
      <w:r>
        <w:rPr>
          <w:rFonts w:ascii="宋体" w:hAnsi="宋体" w:eastAsia="宋体" w:cs="宋体"/>
          <w:spacing w:val="6"/>
          <w:sz w:val="20"/>
          <w:szCs w:val="20"/>
        </w:rPr>
        <w:t>包人提供能够按照</w:t>
      </w:r>
      <w:r>
        <w:rPr>
          <w:rFonts w:ascii="宋体" w:hAnsi="宋体" w:eastAsia="宋体" w:cs="宋体"/>
          <w:spacing w:val="8"/>
          <w:sz w:val="20"/>
          <w:szCs w:val="20"/>
        </w:rPr>
        <w:t>合同约定支付合同价款的相应资金来源证明。</w:t>
      </w:r>
    </w:p>
    <w:p w14:paraId="0C41BCEC">
      <w:pPr>
        <w:spacing w:before="2" w:line="345" w:lineRule="auto"/>
        <w:ind w:left="4" w:firstLine="388"/>
        <w:rPr>
          <w:rFonts w:ascii="宋体" w:hAnsi="宋体" w:eastAsia="宋体" w:cs="宋体"/>
          <w:sz w:val="20"/>
          <w:szCs w:val="20"/>
        </w:rPr>
      </w:pPr>
      <w:r>
        <w:rPr>
          <w:rFonts w:ascii="宋体" w:hAnsi="宋体" w:eastAsia="宋体" w:cs="宋体"/>
          <w:spacing w:val="-8"/>
          <w:sz w:val="20"/>
          <w:szCs w:val="20"/>
        </w:rPr>
        <w:t>发包人要求承包人提供履约担保的，发包人应当先向承包人提供支付担保，否则承包人有权拒绝提供</w:t>
      </w:r>
      <w:r>
        <w:rPr>
          <w:rFonts w:ascii="宋体" w:hAnsi="宋体" w:eastAsia="宋体" w:cs="宋体"/>
          <w:spacing w:val="-10"/>
          <w:sz w:val="20"/>
          <w:szCs w:val="20"/>
        </w:rPr>
        <w:t>履约担保。支付担保可以采用银行保函或担保公司担保</w:t>
      </w:r>
      <w:r>
        <w:rPr>
          <w:rFonts w:ascii="宋体" w:hAnsi="宋体" w:eastAsia="宋体" w:cs="宋体"/>
          <w:spacing w:val="-11"/>
          <w:sz w:val="20"/>
          <w:szCs w:val="20"/>
        </w:rPr>
        <w:t>等形式，具体由合同当事人在专用合同条款中约定。</w:t>
      </w:r>
    </w:p>
    <w:p w14:paraId="494D8FBC">
      <w:pPr>
        <w:spacing w:line="226" w:lineRule="auto"/>
        <w:ind w:left="423"/>
        <w:rPr>
          <w:rFonts w:ascii="宋体" w:hAnsi="宋体" w:eastAsia="宋体" w:cs="宋体"/>
          <w:sz w:val="20"/>
          <w:szCs w:val="20"/>
        </w:rPr>
      </w:pPr>
      <w:r>
        <w:rPr>
          <w:rFonts w:ascii="宋体" w:hAnsi="宋体" w:eastAsia="宋体" w:cs="宋体"/>
          <w:b/>
          <w:bCs/>
          <w:spacing w:val="5"/>
          <w:sz w:val="20"/>
          <w:szCs w:val="20"/>
        </w:rPr>
        <w:t>2.6</w:t>
      </w:r>
      <w:r>
        <w:rPr>
          <w:rFonts w:ascii="宋体" w:hAnsi="宋体" w:eastAsia="宋体" w:cs="宋体"/>
          <w:spacing w:val="5"/>
          <w:sz w:val="20"/>
          <w:szCs w:val="20"/>
        </w:rPr>
        <w:t xml:space="preserve"> </w:t>
      </w:r>
      <w:r>
        <w:rPr>
          <w:rFonts w:ascii="宋体" w:hAnsi="宋体" w:eastAsia="宋体" w:cs="宋体"/>
          <w:b/>
          <w:bCs/>
          <w:spacing w:val="5"/>
          <w:sz w:val="20"/>
          <w:szCs w:val="20"/>
        </w:rPr>
        <w:t>支付合同价款</w:t>
      </w:r>
    </w:p>
    <w:p w14:paraId="310A1400">
      <w:pPr>
        <w:spacing w:before="129" w:line="226" w:lineRule="auto"/>
        <w:ind w:left="424"/>
        <w:rPr>
          <w:rFonts w:ascii="宋体" w:hAnsi="宋体" w:eastAsia="宋体" w:cs="宋体"/>
          <w:sz w:val="20"/>
          <w:szCs w:val="20"/>
        </w:rPr>
      </w:pPr>
      <w:r>
        <w:rPr>
          <w:rFonts w:ascii="宋体" w:hAnsi="宋体" w:eastAsia="宋体" w:cs="宋体"/>
          <w:spacing w:val="9"/>
          <w:sz w:val="20"/>
          <w:szCs w:val="20"/>
        </w:rPr>
        <w:t>发包人应按合同约定向承包人及时支付合同价</w:t>
      </w:r>
      <w:r>
        <w:rPr>
          <w:rFonts w:ascii="宋体" w:hAnsi="宋体" w:eastAsia="宋体" w:cs="宋体"/>
          <w:spacing w:val="8"/>
          <w:sz w:val="20"/>
          <w:szCs w:val="20"/>
        </w:rPr>
        <w:t>款。</w:t>
      </w:r>
    </w:p>
    <w:p w14:paraId="41B1C767">
      <w:pPr>
        <w:spacing w:before="129" w:line="228" w:lineRule="auto"/>
        <w:ind w:left="423"/>
        <w:rPr>
          <w:rFonts w:ascii="宋体" w:hAnsi="宋体" w:eastAsia="宋体" w:cs="宋体"/>
          <w:sz w:val="20"/>
          <w:szCs w:val="20"/>
        </w:rPr>
      </w:pPr>
      <w:r>
        <w:rPr>
          <w:rFonts w:ascii="宋体" w:hAnsi="宋体" w:eastAsia="宋体" w:cs="宋体"/>
          <w:b/>
          <w:bCs/>
          <w:spacing w:val="5"/>
          <w:sz w:val="20"/>
          <w:szCs w:val="20"/>
        </w:rPr>
        <w:t>2.7</w:t>
      </w:r>
      <w:r>
        <w:rPr>
          <w:rFonts w:ascii="宋体" w:hAnsi="宋体" w:eastAsia="宋体" w:cs="宋体"/>
          <w:spacing w:val="5"/>
          <w:sz w:val="20"/>
          <w:szCs w:val="20"/>
        </w:rPr>
        <w:t xml:space="preserve"> </w:t>
      </w:r>
      <w:r>
        <w:rPr>
          <w:rFonts w:ascii="宋体" w:hAnsi="宋体" w:eastAsia="宋体" w:cs="宋体"/>
          <w:b/>
          <w:bCs/>
          <w:spacing w:val="5"/>
          <w:sz w:val="20"/>
          <w:szCs w:val="20"/>
        </w:rPr>
        <w:t>组织竣工验收</w:t>
      </w:r>
    </w:p>
    <w:p w14:paraId="788632A3">
      <w:pPr>
        <w:spacing w:before="128" w:line="228" w:lineRule="auto"/>
        <w:ind w:left="424"/>
        <w:rPr>
          <w:rFonts w:ascii="宋体" w:hAnsi="宋体" w:eastAsia="宋体" w:cs="宋体"/>
          <w:sz w:val="20"/>
          <w:szCs w:val="20"/>
        </w:rPr>
      </w:pPr>
      <w:r>
        <w:rPr>
          <w:rFonts w:ascii="宋体" w:hAnsi="宋体" w:eastAsia="宋体" w:cs="宋体"/>
          <w:spacing w:val="8"/>
          <w:sz w:val="20"/>
          <w:szCs w:val="20"/>
        </w:rPr>
        <w:t>发包人应按合同约定及时组织竣工验收。</w:t>
      </w:r>
    </w:p>
    <w:p w14:paraId="0AE91621">
      <w:pPr>
        <w:spacing w:before="127" w:line="228" w:lineRule="auto"/>
        <w:ind w:left="423"/>
        <w:rPr>
          <w:rFonts w:ascii="宋体" w:hAnsi="宋体" w:eastAsia="宋体" w:cs="宋体"/>
          <w:sz w:val="20"/>
          <w:szCs w:val="20"/>
        </w:rPr>
      </w:pPr>
      <w:r>
        <w:rPr>
          <w:rFonts w:ascii="宋体" w:hAnsi="宋体" w:eastAsia="宋体" w:cs="宋体"/>
          <w:b/>
          <w:bCs/>
          <w:spacing w:val="6"/>
          <w:sz w:val="20"/>
          <w:szCs w:val="20"/>
        </w:rPr>
        <w:t>2.8</w:t>
      </w:r>
      <w:r>
        <w:rPr>
          <w:rFonts w:ascii="宋体" w:hAnsi="宋体" w:eastAsia="宋体" w:cs="宋体"/>
          <w:spacing w:val="6"/>
          <w:sz w:val="20"/>
          <w:szCs w:val="20"/>
        </w:rPr>
        <w:t xml:space="preserve"> </w:t>
      </w:r>
      <w:r>
        <w:rPr>
          <w:rFonts w:ascii="宋体" w:hAnsi="宋体" w:eastAsia="宋体" w:cs="宋体"/>
          <w:b/>
          <w:bCs/>
          <w:spacing w:val="6"/>
          <w:sz w:val="20"/>
          <w:szCs w:val="20"/>
        </w:rPr>
        <w:t>现场统一管理协议</w:t>
      </w:r>
    </w:p>
    <w:p w14:paraId="5B304D76">
      <w:pPr>
        <w:spacing w:before="127" w:line="347" w:lineRule="auto"/>
        <w:ind w:right="78" w:firstLine="423"/>
        <w:rPr>
          <w:rFonts w:ascii="宋体" w:hAnsi="宋体" w:eastAsia="宋体" w:cs="宋体"/>
          <w:sz w:val="20"/>
          <w:szCs w:val="20"/>
        </w:rPr>
      </w:pPr>
      <w:r>
        <w:rPr>
          <w:rFonts w:ascii="宋体" w:hAnsi="宋体" w:eastAsia="宋体" w:cs="宋体"/>
          <w:spacing w:val="9"/>
          <w:sz w:val="20"/>
          <w:szCs w:val="20"/>
        </w:rPr>
        <w:t>发包人应与承包人、</w:t>
      </w:r>
      <w:r>
        <w:rPr>
          <w:rFonts w:ascii="宋体" w:hAnsi="宋体" w:eastAsia="宋体" w:cs="宋体"/>
          <w:spacing w:val="-52"/>
          <w:sz w:val="20"/>
          <w:szCs w:val="20"/>
        </w:rPr>
        <w:t xml:space="preserve"> </w:t>
      </w:r>
      <w:r>
        <w:rPr>
          <w:rFonts w:ascii="宋体" w:hAnsi="宋体" w:eastAsia="宋体" w:cs="宋体"/>
          <w:spacing w:val="9"/>
          <w:sz w:val="20"/>
          <w:szCs w:val="20"/>
        </w:rPr>
        <w:t>由发包人直接发包的专业工程的承包人签订施工现场统一管理协议，明确各方的权利义务。施工现场统一管理协议作为专用合同条款的附件。</w:t>
      </w:r>
    </w:p>
    <w:p w14:paraId="046CA18D">
      <w:pPr>
        <w:spacing w:line="304" w:lineRule="auto"/>
        <w:rPr>
          <w:rFonts w:ascii="Arial"/>
          <w:sz w:val="21"/>
        </w:rPr>
      </w:pPr>
    </w:p>
    <w:p w14:paraId="47973C80">
      <w:pPr>
        <w:spacing w:before="66" w:line="228" w:lineRule="auto"/>
        <w:ind w:left="425"/>
        <w:outlineLvl w:val="2"/>
        <w:rPr>
          <w:rFonts w:ascii="宋体" w:hAnsi="宋体" w:eastAsia="宋体" w:cs="宋体"/>
          <w:sz w:val="20"/>
          <w:szCs w:val="20"/>
        </w:rPr>
      </w:pPr>
      <w:bookmarkStart w:id="308" w:name="bookmark291"/>
      <w:bookmarkEnd w:id="308"/>
      <w:r>
        <w:rPr>
          <w:rFonts w:ascii="宋体" w:hAnsi="宋体" w:eastAsia="宋体" w:cs="宋体"/>
          <w:b/>
          <w:bCs/>
          <w:spacing w:val="2"/>
          <w:sz w:val="20"/>
          <w:szCs w:val="20"/>
        </w:rPr>
        <w:t>3.</w:t>
      </w:r>
      <w:r>
        <w:rPr>
          <w:rFonts w:ascii="宋体" w:hAnsi="宋体" w:eastAsia="宋体" w:cs="宋体"/>
          <w:spacing w:val="14"/>
          <w:sz w:val="20"/>
          <w:szCs w:val="20"/>
        </w:rPr>
        <w:t xml:space="preserve"> </w:t>
      </w:r>
      <w:r>
        <w:rPr>
          <w:rFonts w:ascii="宋体" w:hAnsi="宋体" w:eastAsia="宋体" w:cs="宋体"/>
          <w:b/>
          <w:bCs/>
          <w:spacing w:val="2"/>
          <w:sz w:val="20"/>
          <w:szCs w:val="20"/>
        </w:rPr>
        <w:t>承包人</w:t>
      </w:r>
    </w:p>
    <w:p w14:paraId="5405F90A">
      <w:pPr>
        <w:spacing w:before="127" w:line="228" w:lineRule="auto"/>
        <w:ind w:left="425"/>
        <w:rPr>
          <w:rFonts w:ascii="宋体" w:hAnsi="宋体" w:eastAsia="宋体" w:cs="宋体"/>
          <w:sz w:val="20"/>
          <w:szCs w:val="20"/>
        </w:rPr>
      </w:pPr>
      <w:r>
        <w:rPr>
          <w:rFonts w:ascii="宋体" w:hAnsi="宋体" w:eastAsia="宋体" w:cs="宋体"/>
          <w:b/>
          <w:bCs/>
          <w:spacing w:val="5"/>
          <w:sz w:val="20"/>
          <w:szCs w:val="20"/>
        </w:rPr>
        <w:t>3.1</w:t>
      </w:r>
      <w:r>
        <w:rPr>
          <w:rFonts w:ascii="宋体" w:hAnsi="宋体" w:eastAsia="宋体" w:cs="宋体"/>
          <w:spacing w:val="5"/>
          <w:sz w:val="20"/>
          <w:szCs w:val="20"/>
        </w:rPr>
        <w:t xml:space="preserve"> </w:t>
      </w:r>
      <w:r>
        <w:rPr>
          <w:rFonts w:ascii="宋体" w:hAnsi="宋体" w:eastAsia="宋体" w:cs="宋体"/>
          <w:b/>
          <w:bCs/>
          <w:spacing w:val="5"/>
          <w:sz w:val="20"/>
          <w:szCs w:val="20"/>
        </w:rPr>
        <w:t>承包人的一般义务</w:t>
      </w:r>
    </w:p>
    <w:p w14:paraId="225E1661">
      <w:pPr>
        <w:spacing w:before="128" w:line="228" w:lineRule="auto"/>
        <w:ind w:left="420"/>
        <w:rPr>
          <w:rFonts w:ascii="宋体" w:hAnsi="宋体" w:eastAsia="宋体" w:cs="宋体"/>
          <w:sz w:val="20"/>
          <w:szCs w:val="20"/>
        </w:rPr>
      </w:pPr>
      <w:r>
        <w:rPr>
          <w:rFonts w:ascii="宋体" w:hAnsi="宋体" w:eastAsia="宋体" w:cs="宋体"/>
          <w:spacing w:val="9"/>
          <w:sz w:val="20"/>
          <w:szCs w:val="20"/>
        </w:rPr>
        <w:t>承包人在履行合同过程中应遵守法律和工程建设标准规范，并履行以下义务：</w:t>
      </w:r>
    </w:p>
    <w:p w14:paraId="45BD7DCD">
      <w:pPr>
        <w:spacing w:before="128" w:line="227" w:lineRule="auto"/>
        <w:ind w:left="430"/>
        <w:rPr>
          <w:rFonts w:ascii="宋体" w:hAnsi="宋体" w:eastAsia="宋体" w:cs="宋体"/>
          <w:sz w:val="20"/>
          <w:szCs w:val="20"/>
        </w:rPr>
      </w:pPr>
      <w:r>
        <w:rPr>
          <w:rFonts w:ascii="宋体" w:hAnsi="宋体" w:eastAsia="宋体" w:cs="宋体"/>
          <w:spacing w:val="9"/>
          <w:sz w:val="20"/>
          <w:szCs w:val="20"/>
        </w:rPr>
        <w:t>（1）办理法律规定应由承包人办理的许可和批准，并将办理结果书面报送发包人留存；</w:t>
      </w:r>
    </w:p>
    <w:p w14:paraId="484A25DA">
      <w:pPr>
        <w:spacing w:before="128" w:line="228" w:lineRule="auto"/>
        <w:ind w:left="430"/>
        <w:rPr>
          <w:rFonts w:ascii="宋体" w:hAnsi="宋体" w:eastAsia="宋体" w:cs="宋体"/>
          <w:sz w:val="20"/>
          <w:szCs w:val="20"/>
        </w:rPr>
      </w:pPr>
      <w:r>
        <w:rPr>
          <w:rFonts w:ascii="宋体" w:hAnsi="宋体" w:eastAsia="宋体" w:cs="宋体"/>
          <w:spacing w:val="9"/>
          <w:sz w:val="20"/>
          <w:szCs w:val="20"/>
        </w:rPr>
        <w:t>（2）按法律规定和合同约定完成工程，并在保修期内</w:t>
      </w:r>
      <w:r>
        <w:rPr>
          <w:rFonts w:ascii="宋体" w:hAnsi="宋体" w:eastAsia="宋体" w:cs="宋体"/>
          <w:spacing w:val="8"/>
          <w:sz w:val="20"/>
          <w:szCs w:val="20"/>
        </w:rPr>
        <w:t>承担保修义务；</w:t>
      </w:r>
    </w:p>
    <w:p w14:paraId="3911788C">
      <w:pPr>
        <w:spacing w:before="127" w:line="346" w:lineRule="auto"/>
        <w:ind w:right="7" w:firstLine="430"/>
        <w:rPr>
          <w:rFonts w:ascii="宋体" w:hAnsi="宋体" w:eastAsia="宋体" w:cs="宋体"/>
          <w:sz w:val="20"/>
          <w:szCs w:val="20"/>
        </w:rPr>
      </w:pPr>
      <w:r>
        <w:rPr>
          <w:rFonts w:ascii="宋体" w:hAnsi="宋体" w:eastAsia="宋体" w:cs="宋体"/>
          <w:spacing w:val="4"/>
          <w:sz w:val="20"/>
          <w:szCs w:val="20"/>
        </w:rPr>
        <w:t>（3）按法律规定和合同约定采取施工安全和环境保护措施，办理工伤保险，确保工程及人员、</w:t>
      </w:r>
      <w:r>
        <w:rPr>
          <w:rFonts w:ascii="宋体" w:hAnsi="宋体" w:eastAsia="宋体" w:cs="宋体"/>
          <w:spacing w:val="8"/>
          <w:sz w:val="20"/>
          <w:szCs w:val="20"/>
        </w:rPr>
        <w:t>材料、设备和设施的安全；</w:t>
      </w:r>
    </w:p>
    <w:p w14:paraId="010E206C">
      <w:pPr>
        <w:spacing w:before="2" w:line="346" w:lineRule="auto"/>
        <w:ind w:right="78" w:firstLine="430"/>
        <w:rPr>
          <w:rFonts w:ascii="宋体" w:hAnsi="宋体" w:eastAsia="宋体" w:cs="宋体"/>
          <w:sz w:val="20"/>
          <w:szCs w:val="20"/>
        </w:rPr>
      </w:pPr>
      <w:r>
        <w:rPr>
          <w:rFonts w:ascii="宋体" w:hAnsi="宋体" w:eastAsia="宋体" w:cs="宋体"/>
          <w:spacing w:val="7"/>
          <w:sz w:val="20"/>
          <w:szCs w:val="20"/>
        </w:rPr>
        <w:t>（4）按合同约定的工作内容和施工进度要求，编制施工组织设计和施工措施计划，并对所有</w:t>
      </w:r>
      <w:r>
        <w:rPr>
          <w:rFonts w:ascii="宋体" w:hAnsi="宋体" w:eastAsia="宋体" w:cs="宋体"/>
          <w:spacing w:val="9"/>
          <w:sz w:val="20"/>
          <w:szCs w:val="20"/>
        </w:rPr>
        <w:t>施工作业和施工方法的完备性和安全可靠性负责；</w:t>
      </w:r>
    </w:p>
    <w:p w14:paraId="0DEBD326">
      <w:pPr>
        <w:spacing w:line="346" w:lineRule="auto"/>
        <w:rPr>
          <w:rFonts w:ascii="宋体" w:hAnsi="宋体" w:eastAsia="宋体" w:cs="宋体"/>
          <w:sz w:val="20"/>
          <w:szCs w:val="20"/>
        </w:rPr>
        <w:sectPr>
          <w:footerReference r:id="rId345" w:type="default"/>
          <w:pgSz w:w="11906" w:h="16839"/>
          <w:pgMar w:top="400" w:right="1455" w:bottom="1446" w:left="1538" w:header="0" w:footer="1284" w:gutter="0"/>
          <w:cols w:space="720" w:num="1"/>
        </w:sectPr>
      </w:pPr>
    </w:p>
    <w:p w14:paraId="69273B5F">
      <w:pPr>
        <w:spacing w:line="246" w:lineRule="auto"/>
        <w:rPr>
          <w:rFonts w:ascii="Arial"/>
          <w:sz w:val="21"/>
        </w:rPr>
      </w:pPr>
    </w:p>
    <w:p w14:paraId="0E752FA0">
      <w:pPr>
        <w:spacing w:line="246" w:lineRule="auto"/>
        <w:rPr>
          <w:rFonts w:ascii="Arial"/>
          <w:sz w:val="21"/>
        </w:rPr>
      </w:pPr>
    </w:p>
    <w:p w14:paraId="25759CC5">
      <w:pPr>
        <w:spacing w:line="246" w:lineRule="auto"/>
        <w:rPr>
          <w:rFonts w:ascii="Arial"/>
          <w:sz w:val="21"/>
        </w:rPr>
      </w:pPr>
    </w:p>
    <w:p w14:paraId="3F2CC66E">
      <w:pPr>
        <w:spacing w:line="246" w:lineRule="auto"/>
        <w:rPr>
          <w:rFonts w:ascii="Arial"/>
          <w:sz w:val="21"/>
        </w:rPr>
      </w:pPr>
    </w:p>
    <w:p w14:paraId="70EE1D45">
      <w:pPr>
        <w:spacing w:line="246" w:lineRule="auto"/>
        <w:rPr>
          <w:rFonts w:ascii="Arial"/>
          <w:sz w:val="21"/>
        </w:rPr>
      </w:pPr>
    </w:p>
    <w:p w14:paraId="19F54FE7">
      <w:pPr>
        <w:spacing w:line="247" w:lineRule="auto"/>
        <w:rPr>
          <w:rFonts w:ascii="Arial"/>
          <w:sz w:val="21"/>
        </w:rPr>
      </w:pPr>
    </w:p>
    <w:p w14:paraId="251B5E9D">
      <w:pPr>
        <w:spacing w:before="65" w:line="346" w:lineRule="auto"/>
        <w:ind w:right="30" w:firstLine="430"/>
        <w:rPr>
          <w:rFonts w:ascii="宋体" w:hAnsi="宋体" w:eastAsia="宋体" w:cs="宋体"/>
          <w:sz w:val="20"/>
          <w:szCs w:val="20"/>
        </w:rPr>
      </w:pPr>
      <w:r>
        <w:rPr>
          <w:rFonts w:ascii="宋体" w:hAnsi="宋体" w:eastAsia="宋体" w:cs="宋体"/>
          <w:spacing w:val="7"/>
          <w:sz w:val="20"/>
          <w:szCs w:val="20"/>
        </w:rPr>
        <w:t>（5）在进行合同约定的各项工作时，不得侵害发包人与他人使用公用道路、水源、市政管网</w:t>
      </w:r>
      <w:r>
        <w:rPr>
          <w:rFonts w:ascii="宋体" w:hAnsi="宋体" w:eastAsia="宋体" w:cs="宋体"/>
          <w:spacing w:val="10"/>
          <w:sz w:val="20"/>
          <w:szCs w:val="20"/>
        </w:rPr>
        <w:t>等公共设施的权利，避免对邻近的公共设施产生干扰。承包人占用或使用他人的施工场地，影响</w:t>
      </w:r>
      <w:r>
        <w:rPr>
          <w:rFonts w:ascii="宋体" w:hAnsi="宋体" w:eastAsia="宋体" w:cs="宋体"/>
          <w:spacing w:val="8"/>
          <w:sz w:val="20"/>
          <w:szCs w:val="20"/>
        </w:rPr>
        <w:t>他人作业或生活的，应承担相应责任；</w:t>
      </w:r>
    </w:p>
    <w:p w14:paraId="595F7A3E">
      <w:pPr>
        <w:spacing w:line="227" w:lineRule="auto"/>
        <w:ind w:left="430"/>
        <w:rPr>
          <w:rFonts w:ascii="宋体" w:hAnsi="宋体" w:eastAsia="宋体" w:cs="宋体"/>
          <w:sz w:val="20"/>
          <w:szCs w:val="20"/>
        </w:rPr>
      </w:pPr>
      <w:r>
        <w:rPr>
          <w:rFonts w:ascii="宋体" w:hAnsi="宋体" w:eastAsia="宋体" w:cs="宋体"/>
          <w:spacing w:val="8"/>
          <w:sz w:val="20"/>
          <w:szCs w:val="20"/>
        </w:rPr>
        <w:t>（6）按照第</w:t>
      </w:r>
      <w:r>
        <w:rPr>
          <w:rFonts w:ascii="宋体" w:hAnsi="宋体" w:eastAsia="宋体" w:cs="宋体"/>
          <w:spacing w:val="-29"/>
          <w:sz w:val="20"/>
          <w:szCs w:val="20"/>
        </w:rPr>
        <w:t xml:space="preserve"> </w:t>
      </w:r>
      <w:r>
        <w:rPr>
          <w:rFonts w:ascii="宋体" w:hAnsi="宋体" w:eastAsia="宋体" w:cs="宋体"/>
          <w:spacing w:val="8"/>
          <w:sz w:val="20"/>
          <w:szCs w:val="20"/>
        </w:rPr>
        <w:t>6.3</w:t>
      </w:r>
      <w:r>
        <w:rPr>
          <w:rFonts w:ascii="宋体" w:hAnsi="宋体" w:eastAsia="宋体" w:cs="宋体"/>
          <w:spacing w:val="-40"/>
          <w:sz w:val="20"/>
          <w:szCs w:val="20"/>
        </w:rPr>
        <w:t xml:space="preserve"> </w:t>
      </w:r>
      <w:r>
        <w:rPr>
          <w:rFonts w:ascii="宋体" w:hAnsi="宋体" w:eastAsia="宋体" w:cs="宋体"/>
          <w:spacing w:val="8"/>
          <w:sz w:val="20"/>
          <w:szCs w:val="20"/>
        </w:rPr>
        <w:t>款〔环境保护〕约定负责施工场地及其周边环境与生态的保护工作；</w:t>
      </w:r>
    </w:p>
    <w:p w14:paraId="216D810D">
      <w:pPr>
        <w:spacing w:before="126" w:line="346" w:lineRule="auto"/>
        <w:ind w:right="30" w:firstLine="429"/>
        <w:rPr>
          <w:rFonts w:ascii="宋体" w:hAnsi="宋体" w:eastAsia="宋体" w:cs="宋体"/>
          <w:sz w:val="20"/>
          <w:szCs w:val="20"/>
        </w:rPr>
      </w:pPr>
      <w:r>
        <w:rPr>
          <w:rFonts w:ascii="宋体" w:hAnsi="宋体" w:eastAsia="宋体" w:cs="宋体"/>
          <w:spacing w:val="7"/>
          <w:sz w:val="20"/>
          <w:szCs w:val="20"/>
        </w:rPr>
        <w:t>（7）按第</w:t>
      </w:r>
      <w:r>
        <w:rPr>
          <w:rFonts w:ascii="宋体" w:hAnsi="宋体" w:eastAsia="宋体" w:cs="宋体"/>
          <w:spacing w:val="-36"/>
          <w:sz w:val="20"/>
          <w:szCs w:val="20"/>
        </w:rPr>
        <w:t xml:space="preserve"> </w:t>
      </w:r>
      <w:r>
        <w:rPr>
          <w:rFonts w:ascii="宋体" w:hAnsi="宋体" w:eastAsia="宋体" w:cs="宋体"/>
          <w:spacing w:val="7"/>
          <w:sz w:val="20"/>
          <w:szCs w:val="20"/>
        </w:rPr>
        <w:t>6.1</w:t>
      </w:r>
      <w:r>
        <w:rPr>
          <w:rFonts w:ascii="宋体" w:hAnsi="宋体" w:eastAsia="宋体" w:cs="宋体"/>
          <w:spacing w:val="-39"/>
          <w:sz w:val="20"/>
          <w:szCs w:val="20"/>
        </w:rPr>
        <w:t xml:space="preserve"> </w:t>
      </w:r>
      <w:r>
        <w:rPr>
          <w:rFonts w:ascii="宋体" w:hAnsi="宋体" w:eastAsia="宋体" w:cs="宋体"/>
          <w:spacing w:val="7"/>
          <w:sz w:val="20"/>
          <w:szCs w:val="20"/>
        </w:rPr>
        <w:t>款〔安全文明施工〕约定采取施工安全</w:t>
      </w:r>
      <w:r>
        <w:rPr>
          <w:rFonts w:ascii="宋体" w:hAnsi="宋体" w:eastAsia="宋体" w:cs="宋体"/>
          <w:spacing w:val="6"/>
          <w:sz w:val="20"/>
          <w:szCs w:val="20"/>
        </w:rPr>
        <w:t>措施，确保工程及其人员、材料、设备</w:t>
      </w:r>
      <w:r>
        <w:rPr>
          <w:rFonts w:ascii="宋体" w:hAnsi="宋体" w:eastAsia="宋体" w:cs="宋体"/>
          <w:spacing w:val="9"/>
          <w:sz w:val="20"/>
          <w:szCs w:val="20"/>
        </w:rPr>
        <w:t>和设施的安全，防止因工程施工造成的人身伤害和财产损失；</w:t>
      </w:r>
    </w:p>
    <w:p w14:paraId="2935B727">
      <w:pPr>
        <w:spacing w:before="1" w:line="345" w:lineRule="auto"/>
        <w:ind w:left="5" w:firstLine="425"/>
        <w:rPr>
          <w:rFonts w:ascii="宋体" w:hAnsi="宋体" w:eastAsia="宋体" w:cs="宋体"/>
          <w:sz w:val="20"/>
          <w:szCs w:val="20"/>
        </w:rPr>
      </w:pPr>
      <w:r>
        <w:rPr>
          <w:rFonts w:ascii="宋体" w:hAnsi="宋体" w:eastAsia="宋体" w:cs="宋体"/>
          <w:spacing w:val="8"/>
          <w:sz w:val="20"/>
          <w:szCs w:val="20"/>
        </w:rPr>
        <w:t>（8）将发包人按合同约定支付的各项价款专用于合同工程，且应及时支付其雇用人员工资，并及时向分包人支付合同价款；</w:t>
      </w:r>
    </w:p>
    <w:p w14:paraId="5D0E9DA6">
      <w:pPr>
        <w:spacing w:before="1" w:line="226" w:lineRule="auto"/>
        <w:ind w:left="430"/>
        <w:rPr>
          <w:rFonts w:ascii="宋体" w:hAnsi="宋体" w:eastAsia="宋体" w:cs="宋体"/>
          <w:sz w:val="20"/>
          <w:szCs w:val="20"/>
        </w:rPr>
      </w:pPr>
      <w:r>
        <w:rPr>
          <w:rFonts w:ascii="宋体" w:hAnsi="宋体" w:eastAsia="宋体" w:cs="宋体"/>
          <w:spacing w:val="9"/>
          <w:sz w:val="20"/>
          <w:szCs w:val="20"/>
        </w:rPr>
        <w:t>（9）按照有关规定开设农民工工资专用账户，专项用于支付本项目农民工工资；</w:t>
      </w:r>
    </w:p>
    <w:p w14:paraId="08482DE3">
      <w:pPr>
        <w:spacing w:before="128" w:line="227" w:lineRule="auto"/>
        <w:ind w:left="430"/>
        <w:rPr>
          <w:rFonts w:ascii="宋体" w:hAnsi="宋体" w:eastAsia="宋体" w:cs="宋体"/>
          <w:sz w:val="20"/>
          <w:szCs w:val="20"/>
        </w:rPr>
      </w:pPr>
      <w:r>
        <w:rPr>
          <w:rFonts w:ascii="宋体" w:hAnsi="宋体" w:eastAsia="宋体" w:cs="宋体"/>
          <w:spacing w:val="9"/>
          <w:sz w:val="20"/>
          <w:szCs w:val="20"/>
        </w:rPr>
        <w:t>（10）依法进行用工实名登记，并根据相关规定对施工现场及人</w:t>
      </w:r>
      <w:r>
        <w:rPr>
          <w:rFonts w:ascii="宋体" w:hAnsi="宋体" w:eastAsia="宋体" w:cs="宋体"/>
          <w:spacing w:val="8"/>
          <w:sz w:val="20"/>
          <w:szCs w:val="20"/>
        </w:rPr>
        <w:t>员进行管理；</w:t>
      </w:r>
    </w:p>
    <w:p w14:paraId="1D492BA5">
      <w:pPr>
        <w:spacing w:before="128" w:line="346" w:lineRule="auto"/>
        <w:ind w:left="14" w:right="30" w:firstLine="415"/>
        <w:rPr>
          <w:rFonts w:ascii="宋体" w:hAnsi="宋体" w:eastAsia="宋体" w:cs="宋体"/>
          <w:sz w:val="20"/>
          <w:szCs w:val="20"/>
        </w:rPr>
      </w:pPr>
      <w:r>
        <w:rPr>
          <w:rFonts w:ascii="宋体" w:hAnsi="宋体" w:eastAsia="宋体" w:cs="宋体"/>
          <w:spacing w:val="10"/>
          <w:sz w:val="20"/>
          <w:szCs w:val="20"/>
        </w:rPr>
        <w:t>（11）按合同约定的施工过程结算节点要求，完成施工过程结算文件编制</w:t>
      </w:r>
      <w:r>
        <w:rPr>
          <w:rFonts w:ascii="宋体" w:hAnsi="宋体" w:eastAsia="宋体" w:cs="宋体"/>
          <w:spacing w:val="9"/>
          <w:sz w:val="20"/>
          <w:szCs w:val="20"/>
        </w:rPr>
        <w:t>工作，并在约定期</w:t>
      </w:r>
      <w:r>
        <w:rPr>
          <w:rFonts w:ascii="宋体" w:hAnsi="宋体" w:eastAsia="宋体" w:cs="宋体"/>
          <w:spacing w:val="8"/>
          <w:sz w:val="20"/>
          <w:szCs w:val="20"/>
        </w:rPr>
        <w:t>限内向发包人递交施工过程结算文件及相关资料；</w:t>
      </w:r>
    </w:p>
    <w:p w14:paraId="37FAD416">
      <w:pPr>
        <w:spacing w:before="1" w:line="345" w:lineRule="auto"/>
        <w:ind w:right="30" w:firstLine="429"/>
        <w:rPr>
          <w:rFonts w:ascii="宋体" w:hAnsi="宋体" w:eastAsia="宋体" w:cs="宋体"/>
          <w:sz w:val="20"/>
          <w:szCs w:val="20"/>
        </w:rPr>
      </w:pPr>
      <w:r>
        <w:rPr>
          <w:rFonts w:ascii="宋体" w:hAnsi="宋体" w:eastAsia="宋体" w:cs="宋体"/>
          <w:spacing w:val="10"/>
          <w:sz w:val="20"/>
          <w:szCs w:val="20"/>
        </w:rPr>
        <w:t>（12）按照法律规定和合同约定编制竣工资料，完成竣工资料立卷及归档</w:t>
      </w:r>
      <w:r>
        <w:rPr>
          <w:rFonts w:ascii="宋体" w:hAnsi="宋体" w:eastAsia="宋体" w:cs="宋体"/>
          <w:spacing w:val="9"/>
          <w:sz w:val="20"/>
          <w:szCs w:val="20"/>
        </w:rPr>
        <w:t>，并按专用合同条</w:t>
      </w:r>
      <w:r>
        <w:rPr>
          <w:rFonts w:ascii="宋体" w:hAnsi="宋体" w:eastAsia="宋体" w:cs="宋体"/>
          <w:spacing w:val="7"/>
          <w:sz w:val="20"/>
          <w:szCs w:val="20"/>
        </w:rPr>
        <w:t>款约定的竣工资料的套数、</w:t>
      </w:r>
      <w:r>
        <w:rPr>
          <w:rFonts w:ascii="宋体" w:hAnsi="宋体" w:eastAsia="宋体" w:cs="宋体"/>
          <w:spacing w:val="-44"/>
          <w:sz w:val="20"/>
          <w:szCs w:val="20"/>
        </w:rPr>
        <w:t xml:space="preserve"> </w:t>
      </w:r>
      <w:r>
        <w:rPr>
          <w:rFonts w:ascii="宋体" w:hAnsi="宋体" w:eastAsia="宋体" w:cs="宋体"/>
          <w:spacing w:val="7"/>
          <w:sz w:val="20"/>
          <w:szCs w:val="20"/>
        </w:rPr>
        <w:t>内容、时间等要求移交发包人；</w:t>
      </w:r>
    </w:p>
    <w:p w14:paraId="7D983DC4">
      <w:pPr>
        <w:spacing w:before="1" w:line="227" w:lineRule="auto"/>
        <w:ind w:left="430"/>
        <w:rPr>
          <w:rFonts w:ascii="宋体" w:hAnsi="宋体" w:eastAsia="宋体" w:cs="宋体"/>
          <w:sz w:val="20"/>
          <w:szCs w:val="20"/>
        </w:rPr>
      </w:pPr>
      <w:r>
        <w:rPr>
          <w:rFonts w:ascii="宋体" w:hAnsi="宋体" w:eastAsia="宋体" w:cs="宋体"/>
          <w:spacing w:val="6"/>
          <w:sz w:val="20"/>
          <w:szCs w:val="20"/>
        </w:rPr>
        <w:t>（13）应履行的其他义务。</w:t>
      </w:r>
    </w:p>
    <w:p w14:paraId="672487A0">
      <w:pPr>
        <w:spacing w:before="128" w:line="228" w:lineRule="auto"/>
        <w:ind w:left="424"/>
        <w:rPr>
          <w:rFonts w:ascii="宋体" w:hAnsi="宋体" w:eastAsia="宋体" w:cs="宋体"/>
          <w:sz w:val="20"/>
          <w:szCs w:val="20"/>
        </w:rPr>
      </w:pPr>
      <w:r>
        <w:rPr>
          <w:rFonts w:ascii="宋体" w:hAnsi="宋体" w:eastAsia="宋体" w:cs="宋体"/>
          <w:b/>
          <w:bCs/>
          <w:spacing w:val="3"/>
          <w:sz w:val="20"/>
          <w:szCs w:val="20"/>
        </w:rPr>
        <w:t>3.2</w:t>
      </w:r>
      <w:r>
        <w:rPr>
          <w:rFonts w:ascii="宋体" w:hAnsi="宋体" w:eastAsia="宋体" w:cs="宋体"/>
          <w:spacing w:val="15"/>
          <w:sz w:val="20"/>
          <w:szCs w:val="20"/>
        </w:rPr>
        <w:t xml:space="preserve"> </w:t>
      </w:r>
      <w:r>
        <w:rPr>
          <w:rFonts w:ascii="宋体" w:hAnsi="宋体" w:eastAsia="宋体" w:cs="宋体"/>
          <w:b/>
          <w:bCs/>
          <w:spacing w:val="3"/>
          <w:sz w:val="20"/>
          <w:szCs w:val="20"/>
        </w:rPr>
        <w:t>项目经理</w:t>
      </w:r>
    </w:p>
    <w:p w14:paraId="54CA1B70">
      <w:pPr>
        <w:spacing w:before="124" w:line="346" w:lineRule="auto"/>
        <w:ind w:right="30" w:firstLine="424"/>
        <w:rPr>
          <w:rFonts w:ascii="宋体" w:hAnsi="宋体" w:eastAsia="宋体" w:cs="宋体"/>
          <w:sz w:val="20"/>
          <w:szCs w:val="20"/>
        </w:rPr>
      </w:pPr>
      <w:r>
        <w:rPr>
          <w:rFonts w:ascii="宋体" w:hAnsi="宋体" w:eastAsia="宋体" w:cs="宋体"/>
          <w:spacing w:val="10"/>
          <w:sz w:val="20"/>
          <w:szCs w:val="20"/>
        </w:rPr>
        <w:t>3.2.1 项目经理应为合同当事人所确认的</w:t>
      </w:r>
      <w:r>
        <w:rPr>
          <w:rFonts w:ascii="宋体" w:hAnsi="宋体" w:eastAsia="宋体" w:cs="宋体"/>
          <w:spacing w:val="9"/>
          <w:sz w:val="20"/>
          <w:szCs w:val="20"/>
        </w:rPr>
        <w:t>人选，并在专用合同条款中明确项目经理的姓名、</w:t>
      </w:r>
      <w:r>
        <w:rPr>
          <w:rFonts w:ascii="宋体" w:hAnsi="宋体" w:eastAsia="宋体" w:cs="宋体"/>
          <w:spacing w:val="10"/>
          <w:sz w:val="20"/>
          <w:szCs w:val="20"/>
        </w:rPr>
        <w:t>职称、注册执业证书编号、联系方式及授权范围等事项，项目经理经承包人授权后代表承包人负责履行合同。项目经理应是承包人正式聘用的员工，承包人应向发包人提交项目经理与承包人之</w:t>
      </w:r>
      <w:r>
        <w:rPr>
          <w:rFonts w:ascii="宋体" w:hAnsi="宋体" w:eastAsia="宋体" w:cs="宋体"/>
          <w:spacing w:val="9"/>
          <w:sz w:val="20"/>
          <w:szCs w:val="20"/>
        </w:rPr>
        <w:t>间的劳动合同，</w:t>
      </w:r>
      <w:r>
        <w:rPr>
          <w:rFonts w:ascii="宋体" w:hAnsi="宋体" w:eastAsia="宋体" w:cs="宋体"/>
          <w:spacing w:val="-46"/>
          <w:sz w:val="20"/>
          <w:szCs w:val="20"/>
        </w:rPr>
        <w:t xml:space="preserve"> </w:t>
      </w:r>
      <w:r>
        <w:rPr>
          <w:rFonts w:ascii="宋体" w:hAnsi="宋体" w:eastAsia="宋体" w:cs="宋体"/>
          <w:spacing w:val="9"/>
          <w:sz w:val="20"/>
          <w:szCs w:val="20"/>
        </w:rPr>
        <w:t>以及承包人为项目经理缴纳社会保险的有效证明。承包人不提交上述文件的，项目经理无权履行职责，发包人有权要求更换项目经理，</w:t>
      </w:r>
      <w:r>
        <w:rPr>
          <w:rFonts w:ascii="宋体" w:hAnsi="宋体" w:eastAsia="宋体" w:cs="宋体"/>
          <w:spacing w:val="-46"/>
          <w:sz w:val="20"/>
          <w:szCs w:val="20"/>
        </w:rPr>
        <w:t xml:space="preserve"> </w:t>
      </w:r>
      <w:r>
        <w:rPr>
          <w:rFonts w:ascii="宋体" w:hAnsi="宋体" w:eastAsia="宋体" w:cs="宋体"/>
          <w:spacing w:val="9"/>
          <w:sz w:val="20"/>
          <w:szCs w:val="20"/>
        </w:rPr>
        <w:t>由此增加的费用和（或）延误的工期由承</w:t>
      </w:r>
      <w:r>
        <w:rPr>
          <w:rFonts w:ascii="宋体" w:hAnsi="宋体" w:eastAsia="宋体" w:cs="宋体"/>
          <w:spacing w:val="5"/>
          <w:sz w:val="20"/>
          <w:szCs w:val="20"/>
        </w:rPr>
        <w:t>包人承担。</w:t>
      </w:r>
    </w:p>
    <w:p w14:paraId="3E0AFBCB">
      <w:pPr>
        <w:spacing w:before="3" w:line="345" w:lineRule="auto"/>
        <w:ind w:left="1" w:right="30" w:firstLine="421"/>
        <w:jc w:val="both"/>
        <w:rPr>
          <w:rFonts w:ascii="宋体" w:hAnsi="宋体" w:eastAsia="宋体" w:cs="宋体"/>
          <w:sz w:val="20"/>
          <w:szCs w:val="20"/>
        </w:rPr>
      </w:pPr>
      <w:r>
        <w:rPr>
          <w:rFonts w:ascii="宋体" w:hAnsi="宋体" w:eastAsia="宋体" w:cs="宋体"/>
          <w:spacing w:val="10"/>
          <w:sz w:val="20"/>
          <w:szCs w:val="20"/>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w:t>
      </w:r>
      <w:r>
        <w:rPr>
          <w:rFonts w:ascii="宋体" w:hAnsi="宋体" w:eastAsia="宋体" w:cs="宋体"/>
          <w:spacing w:val="9"/>
          <w:sz w:val="20"/>
          <w:szCs w:val="20"/>
        </w:rPr>
        <w:t>理经验等资料，该人员应具备履行相应职责的能力。</w:t>
      </w:r>
    </w:p>
    <w:p w14:paraId="0DE8B861">
      <w:pPr>
        <w:spacing w:before="1" w:line="227" w:lineRule="auto"/>
        <w:ind w:left="420"/>
        <w:rPr>
          <w:rFonts w:ascii="宋体" w:hAnsi="宋体" w:eastAsia="宋体" w:cs="宋体"/>
          <w:sz w:val="20"/>
          <w:szCs w:val="20"/>
        </w:rPr>
      </w:pPr>
      <w:r>
        <w:rPr>
          <w:rFonts w:ascii="宋体" w:hAnsi="宋体" w:eastAsia="宋体" w:cs="宋体"/>
          <w:spacing w:val="9"/>
          <w:sz w:val="20"/>
          <w:szCs w:val="20"/>
        </w:rPr>
        <w:t>承包人违反上述约定的，应按照专用合同条款的约定，承担违约责任。</w:t>
      </w:r>
    </w:p>
    <w:p w14:paraId="61EF29E6">
      <w:pPr>
        <w:spacing w:before="126" w:line="346" w:lineRule="auto"/>
        <w:ind w:right="30" w:firstLine="423"/>
        <w:rPr>
          <w:rFonts w:ascii="宋体" w:hAnsi="宋体" w:eastAsia="宋体" w:cs="宋体"/>
          <w:sz w:val="20"/>
          <w:szCs w:val="20"/>
        </w:rPr>
      </w:pPr>
      <w:r>
        <w:rPr>
          <w:rFonts w:ascii="宋体" w:hAnsi="宋体" w:eastAsia="宋体" w:cs="宋体"/>
          <w:spacing w:val="10"/>
          <w:sz w:val="20"/>
          <w:szCs w:val="20"/>
        </w:rPr>
        <w:t>3.2.2 项目经理按合同约定组织工程实施</w:t>
      </w:r>
      <w:r>
        <w:rPr>
          <w:rFonts w:ascii="宋体" w:hAnsi="宋体" w:eastAsia="宋体" w:cs="宋体"/>
          <w:spacing w:val="9"/>
          <w:sz w:val="20"/>
          <w:szCs w:val="20"/>
        </w:rPr>
        <w:t>。在紧急情况下为确保施工安全和人员安全，在无</w:t>
      </w:r>
      <w:r>
        <w:rPr>
          <w:rFonts w:ascii="宋体" w:hAnsi="宋体" w:eastAsia="宋体" w:cs="宋体"/>
          <w:spacing w:val="10"/>
          <w:sz w:val="20"/>
          <w:szCs w:val="20"/>
        </w:rPr>
        <w:t>法与发包人代表和总监理工程师及时取得联系时，项目经理有权采取必要的措施保证与工程有关的人身、财产和工程的安全，但应在48</w:t>
      </w:r>
      <w:r>
        <w:rPr>
          <w:rFonts w:ascii="宋体" w:hAnsi="宋体" w:eastAsia="宋体" w:cs="宋体"/>
          <w:spacing w:val="-28"/>
          <w:sz w:val="20"/>
          <w:szCs w:val="20"/>
        </w:rPr>
        <w:t xml:space="preserve"> </w:t>
      </w:r>
      <w:r>
        <w:rPr>
          <w:rFonts w:ascii="宋体" w:hAnsi="宋体" w:eastAsia="宋体" w:cs="宋体"/>
          <w:spacing w:val="10"/>
          <w:sz w:val="20"/>
          <w:szCs w:val="20"/>
        </w:rPr>
        <w:t>小时内向发包人代表和总监理工程师提交书面报告。</w:t>
      </w:r>
    </w:p>
    <w:p w14:paraId="52EA7C87">
      <w:pPr>
        <w:spacing w:before="1" w:line="346" w:lineRule="auto"/>
        <w:ind w:right="30" w:firstLine="423"/>
        <w:rPr>
          <w:rFonts w:ascii="宋体" w:hAnsi="宋体" w:eastAsia="宋体" w:cs="宋体"/>
          <w:sz w:val="20"/>
          <w:szCs w:val="20"/>
        </w:rPr>
      </w:pPr>
      <w:r>
        <w:rPr>
          <w:rFonts w:ascii="宋体" w:hAnsi="宋体" w:eastAsia="宋体" w:cs="宋体"/>
          <w:spacing w:val="6"/>
          <w:sz w:val="20"/>
          <w:szCs w:val="20"/>
        </w:rPr>
        <w:t>3.2.3 承包人需要更换项目经理的，应提前</w:t>
      </w:r>
      <w:r>
        <w:rPr>
          <w:rFonts w:ascii="宋体" w:hAnsi="宋体" w:eastAsia="宋体" w:cs="宋体"/>
          <w:spacing w:val="-22"/>
          <w:sz w:val="20"/>
          <w:szCs w:val="20"/>
        </w:rPr>
        <w:t xml:space="preserve"> </w:t>
      </w:r>
      <w:r>
        <w:rPr>
          <w:rFonts w:ascii="宋体" w:hAnsi="宋体" w:eastAsia="宋体" w:cs="宋体"/>
          <w:spacing w:val="6"/>
          <w:sz w:val="20"/>
          <w:szCs w:val="20"/>
        </w:rPr>
        <w:t>14</w:t>
      </w:r>
      <w:r>
        <w:rPr>
          <w:rFonts w:ascii="宋体" w:hAnsi="宋体" w:eastAsia="宋体" w:cs="宋体"/>
          <w:spacing w:val="-34"/>
          <w:sz w:val="20"/>
          <w:szCs w:val="20"/>
        </w:rPr>
        <w:t xml:space="preserve"> </w:t>
      </w:r>
      <w:r>
        <w:rPr>
          <w:rFonts w:ascii="宋体" w:hAnsi="宋体" w:eastAsia="宋体" w:cs="宋体"/>
          <w:spacing w:val="6"/>
          <w:sz w:val="20"/>
          <w:szCs w:val="20"/>
        </w:rPr>
        <w:t>天书面通知发包人和监理人，并征得发包人书</w:t>
      </w:r>
      <w:r>
        <w:rPr>
          <w:rFonts w:ascii="宋体" w:hAnsi="宋体" w:eastAsia="宋体" w:cs="宋体"/>
          <w:spacing w:val="10"/>
          <w:sz w:val="20"/>
          <w:szCs w:val="20"/>
        </w:rPr>
        <w:t>面同意。通知中应当载明继任项目经理的注册执业资格、管理经验等资料，继任项目经理继续履</w:t>
      </w:r>
      <w:r>
        <w:rPr>
          <w:rFonts w:ascii="宋体" w:hAnsi="宋体" w:eastAsia="宋体" w:cs="宋体"/>
          <w:spacing w:val="9"/>
          <w:sz w:val="20"/>
          <w:szCs w:val="20"/>
        </w:rPr>
        <w:t>行第</w:t>
      </w:r>
      <w:r>
        <w:rPr>
          <w:rFonts w:ascii="宋体" w:hAnsi="宋体" w:eastAsia="宋体" w:cs="宋体"/>
          <w:spacing w:val="-30"/>
          <w:sz w:val="20"/>
          <w:szCs w:val="20"/>
        </w:rPr>
        <w:t xml:space="preserve"> </w:t>
      </w:r>
      <w:r>
        <w:rPr>
          <w:rFonts w:ascii="宋体" w:hAnsi="宋体" w:eastAsia="宋体" w:cs="宋体"/>
          <w:spacing w:val="9"/>
          <w:sz w:val="20"/>
          <w:szCs w:val="20"/>
        </w:rPr>
        <w:t>3.2.1</w:t>
      </w:r>
      <w:r>
        <w:rPr>
          <w:rFonts w:ascii="宋体" w:hAnsi="宋体" w:eastAsia="宋体" w:cs="宋体"/>
          <w:spacing w:val="-35"/>
          <w:sz w:val="20"/>
          <w:szCs w:val="20"/>
        </w:rPr>
        <w:t xml:space="preserve"> </w:t>
      </w:r>
      <w:r>
        <w:rPr>
          <w:rFonts w:ascii="宋体" w:hAnsi="宋体" w:eastAsia="宋体" w:cs="宋体"/>
          <w:spacing w:val="9"/>
          <w:sz w:val="20"/>
          <w:szCs w:val="20"/>
        </w:rPr>
        <w:t>项约定的职责。未经发包人书面同意，承包人不得擅自更换项目经理。承包人擅自更</w:t>
      </w:r>
      <w:r>
        <w:rPr>
          <w:rFonts w:ascii="宋体" w:hAnsi="宋体" w:eastAsia="宋体" w:cs="宋体"/>
          <w:spacing w:val="10"/>
          <w:sz w:val="20"/>
          <w:szCs w:val="20"/>
        </w:rPr>
        <w:t>换项目经理的，应按照专用合同条款的约定承担违约责任。项目经理因突发状况丧失履行职务能</w:t>
      </w:r>
    </w:p>
    <w:p w14:paraId="15934A1D">
      <w:pPr>
        <w:spacing w:line="346" w:lineRule="auto"/>
        <w:rPr>
          <w:rFonts w:ascii="宋体" w:hAnsi="宋体" w:eastAsia="宋体" w:cs="宋体"/>
          <w:sz w:val="20"/>
          <w:szCs w:val="20"/>
        </w:rPr>
        <w:sectPr>
          <w:footerReference r:id="rId346" w:type="default"/>
          <w:pgSz w:w="11906" w:h="16839"/>
          <w:pgMar w:top="400" w:right="1502" w:bottom="1446" w:left="1539" w:header="0" w:footer="1284" w:gutter="0"/>
          <w:cols w:space="720" w:num="1"/>
        </w:sectPr>
      </w:pPr>
    </w:p>
    <w:p w14:paraId="3BD5D772">
      <w:pPr>
        <w:spacing w:line="246" w:lineRule="auto"/>
        <w:rPr>
          <w:rFonts w:ascii="Arial"/>
          <w:sz w:val="21"/>
        </w:rPr>
      </w:pPr>
    </w:p>
    <w:p w14:paraId="2962E741">
      <w:pPr>
        <w:spacing w:line="246" w:lineRule="auto"/>
        <w:rPr>
          <w:rFonts w:ascii="Arial"/>
          <w:sz w:val="21"/>
        </w:rPr>
      </w:pPr>
    </w:p>
    <w:p w14:paraId="3256AA0B">
      <w:pPr>
        <w:spacing w:line="246" w:lineRule="auto"/>
        <w:rPr>
          <w:rFonts w:ascii="Arial"/>
          <w:sz w:val="21"/>
        </w:rPr>
      </w:pPr>
    </w:p>
    <w:p w14:paraId="07BD829C">
      <w:pPr>
        <w:spacing w:line="246" w:lineRule="auto"/>
        <w:rPr>
          <w:rFonts w:ascii="Arial"/>
          <w:sz w:val="21"/>
        </w:rPr>
      </w:pPr>
    </w:p>
    <w:p w14:paraId="35131F86">
      <w:pPr>
        <w:spacing w:line="247" w:lineRule="auto"/>
        <w:rPr>
          <w:rFonts w:ascii="Arial"/>
          <w:sz w:val="21"/>
        </w:rPr>
      </w:pPr>
    </w:p>
    <w:p w14:paraId="0D56E6F6">
      <w:pPr>
        <w:spacing w:line="247" w:lineRule="auto"/>
        <w:rPr>
          <w:rFonts w:ascii="Arial"/>
          <w:sz w:val="21"/>
        </w:rPr>
      </w:pPr>
    </w:p>
    <w:p w14:paraId="341DAD17">
      <w:pPr>
        <w:spacing w:before="65" w:line="228" w:lineRule="auto"/>
        <w:jc w:val="right"/>
        <w:rPr>
          <w:rFonts w:ascii="宋体" w:hAnsi="宋体" w:eastAsia="宋体" w:cs="宋体"/>
          <w:sz w:val="20"/>
          <w:szCs w:val="20"/>
        </w:rPr>
      </w:pPr>
      <w:r>
        <w:rPr>
          <w:rFonts w:ascii="宋体" w:hAnsi="宋体" w:eastAsia="宋体" w:cs="宋体"/>
          <w:spacing w:val="7"/>
          <w:sz w:val="20"/>
          <w:szCs w:val="20"/>
        </w:rPr>
        <w:t>力的，承包人应当及时委派一位具有相应资格能力的人员担任临时项目经理，并及时通知发包人。</w:t>
      </w:r>
    </w:p>
    <w:p w14:paraId="3A398937">
      <w:pPr>
        <w:spacing w:before="125" w:line="346" w:lineRule="auto"/>
        <w:ind w:firstLine="424"/>
        <w:rPr>
          <w:rFonts w:ascii="宋体" w:hAnsi="宋体" w:eastAsia="宋体" w:cs="宋体"/>
          <w:sz w:val="20"/>
          <w:szCs w:val="20"/>
        </w:rPr>
      </w:pPr>
      <w:r>
        <w:rPr>
          <w:rFonts w:ascii="宋体" w:hAnsi="宋体" w:eastAsia="宋体" w:cs="宋体"/>
          <w:spacing w:val="10"/>
          <w:sz w:val="20"/>
          <w:szCs w:val="20"/>
        </w:rPr>
        <w:t>3.2.4 发包人有权书面通知承包人更换其</w:t>
      </w:r>
      <w:r>
        <w:rPr>
          <w:rFonts w:ascii="宋体" w:hAnsi="宋体" w:eastAsia="宋体" w:cs="宋体"/>
          <w:spacing w:val="9"/>
          <w:sz w:val="20"/>
          <w:szCs w:val="20"/>
        </w:rPr>
        <w:t>认为不称职的项目经理，通知中应当载明要求更换</w:t>
      </w:r>
      <w:r>
        <w:rPr>
          <w:rFonts w:ascii="宋体" w:hAnsi="宋体" w:eastAsia="宋体" w:cs="宋体"/>
          <w:spacing w:val="7"/>
          <w:sz w:val="20"/>
          <w:szCs w:val="20"/>
        </w:rPr>
        <w:t>的理由。承包人应在接到更换通知后</w:t>
      </w:r>
      <w:r>
        <w:rPr>
          <w:rFonts w:ascii="宋体" w:hAnsi="宋体" w:eastAsia="宋体" w:cs="宋体"/>
          <w:spacing w:val="-22"/>
          <w:sz w:val="20"/>
          <w:szCs w:val="20"/>
        </w:rPr>
        <w:t xml:space="preserve"> </w:t>
      </w:r>
      <w:r>
        <w:rPr>
          <w:rFonts w:ascii="宋体" w:hAnsi="宋体" w:eastAsia="宋体" w:cs="宋体"/>
          <w:spacing w:val="7"/>
          <w:sz w:val="20"/>
          <w:szCs w:val="20"/>
        </w:rPr>
        <w:t>14</w:t>
      </w:r>
      <w:r>
        <w:rPr>
          <w:rFonts w:ascii="宋体" w:hAnsi="宋体" w:eastAsia="宋体" w:cs="宋体"/>
          <w:spacing w:val="-36"/>
          <w:sz w:val="20"/>
          <w:szCs w:val="20"/>
        </w:rPr>
        <w:t xml:space="preserve"> </w:t>
      </w:r>
      <w:r>
        <w:rPr>
          <w:rFonts w:ascii="宋体" w:hAnsi="宋体" w:eastAsia="宋体" w:cs="宋体"/>
          <w:spacing w:val="7"/>
          <w:sz w:val="20"/>
          <w:szCs w:val="20"/>
        </w:rPr>
        <w:t>天内向发包人提出书面的改进报</w:t>
      </w:r>
      <w:r>
        <w:rPr>
          <w:rFonts w:ascii="宋体" w:hAnsi="宋体" w:eastAsia="宋体" w:cs="宋体"/>
          <w:spacing w:val="6"/>
          <w:sz w:val="20"/>
          <w:szCs w:val="20"/>
        </w:rPr>
        <w:t>告。发包人收到改进报告</w:t>
      </w:r>
      <w:r>
        <w:rPr>
          <w:rFonts w:ascii="宋体" w:hAnsi="宋体" w:eastAsia="宋体" w:cs="宋体"/>
          <w:spacing w:val="7"/>
          <w:sz w:val="20"/>
          <w:szCs w:val="20"/>
        </w:rPr>
        <w:t>后仍要求更换的，承包人应在接到第二次更换通知的</w:t>
      </w:r>
      <w:r>
        <w:rPr>
          <w:rFonts w:ascii="宋体" w:hAnsi="宋体" w:eastAsia="宋体" w:cs="宋体"/>
          <w:spacing w:val="-35"/>
          <w:sz w:val="20"/>
          <w:szCs w:val="20"/>
        </w:rPr>
        <w:t xml:space="preserve"> </w:t>
      </w:r>
      <w:r>
        <w:rPr>
          <w:rFonts w:ascii="宋体" w:hAnsi="宋体" w:eastAsia="宋体" w:cs="宋体"/>
          <w:spacing w:val="7"/>
          <w:sz w:val="20"/>
          <w:szCs w:val="20"/>
        </w:rPr>
        <w:t>28</w:t>
      </w:r>
      <w:r>
        <w:rPr>
          <w:rFonts w:ascii="宋体" w:hAnsi="宋体" w:eastAsia="宋体" w:cs="宋体"/>
          <w:spacing w:val="-34"/>
          <w:sz w:val="20"/>
          <w:szCs w:val="20"/>
        </w:rPr>
        <w:t xml:space="preserve"> </w:t>
      </w:r>
      <w:r>
        <w:rPr>
          <w:rFonts w:ascii="宋体" w:hAnsi="宋体" w:eastAsia="宋体" w:cs="宋体"/>
          <w:spacing w:val="7"/>
          <w:sz w:val="20"/>
          <w:szCs w:val="20"/>
        </w:rPr>
        <w:t>天内进行更换，并将新任命的项目经理的</w:t>
      </w:r>
      <w:r>
        <w:rPr>
          <w:rFonts w:ascii="宋体" w:hAnsi="宋体" w:eastAsia="宋体" w:cs="宋体"/>
          <w:spacing w:val="6"/>
          <w:sz w:val="20"/>
          <w:szCs w:val="20"/>
        </w:rPr>
        <w:t>注册执业资格、管理经验等资料书面通知发包人。继任项目经理继续履行第</w:t>
      </w:r>
      <w:r>
        <w:rPr>
          <w:rFonts w:ascii="宋体" w:hAnsi="宋体" w:eastAsia="宋体" w:cs="宋体"/>
          <w:spacing w:val="-32"/>
          <w:sz w:val="20"/>
          <w:szCs w:val="20"/>
        </w:rPr>
        <w:t xml:space="preserve"> </w:t>
      </w:r>
      <w:r>
        <w:rPr>
          <w:rFonts w:ascii="宋体" w:hAnsi="宋体" w:eastAsia="宋体" w:cs="宋体"/>
          <w:spacing w:val="6"/>
          <w:sz w:val="20"/>
          <w:szCs w:val="20"/>
        </w:rPr>
        <w:t>3.2.1</w:t>
      </w:r>
      <w:r>
        <w:rPr>
          <w:rFonts w:ascii="宋体" w:hAnsi="宋体" w:eastAsia="宋体" w:cs="宋体"/>
          <w:spacing w:val="-35"/>
          <w:sz w:val="20"/>
          <w:szCs w:val="20"/>
        </w:rPr>
        <w:t xml:space="preserve"> </w:t>
      </w:r>
      <w:r>
        <w:rPr>
          <w:rFonts w:ascii="宋体" w:hAnsi="宋体" w:eastAsia="宋体" w:cs="宋体"/>
          <w:spacing w:val="6"/>
          <w:sz w:val="20"/>
          <w:szCs w:val="20"/>
        </w:rPr>
        <w:t>项约定的职责。</w:t>
      </w:r>
      <w:r>
        <w:rPr>
          <w:rFonts w:ascii="宋体" w:hAnsi="宋体" w:eastAsia="宋体" w:cs="宋体"/>
          <w:spacing w:val="9"/>
          <w:sz w:val="20"/>
          <w:szCs w:val="20"/>
        </w:rPr>
        <w:t>承包人无正当理由拒绝更换项目经理的，应按照专用合同条款的约定承担违约责任。</w:t>
      </w:r>
    </w:p>
    <w:p w14:paraId="1E261EC4">
      <w:pPr>
        <w:spacing w:before="1" w:line="345" w:lineRule="auto"/>
        <w:ind w:right="71" w:firstLine="424"/>
        <w:rPr>
          <w:rFonts w:ascii="宋体" w:hAnsi="宋体" w:eastAsia="宋体" w:cs="宋体"/>
          <w:sz w:val="20"/>
          <w:szCs w:val="20"/>
        </w:rPr>
      </w:pPr>
      <w:r>
        <w:rPr>
          <w:rFonts w:ascii="宋体" w:hAnsi="宋体" w:eastAsia="宋体" w:cs="宋体"/>
          <w:spacing w:val="10"/>
          <w:sz w:val="20"/>
          <w:szCs w:val="20"/>
        </w:rPr>
        <w:t>3.2.5 项目经理因特殊情况授权其下属人</w:t>
      </w:r>
      <w:r>
        <w:rPr>
          <w:rFonts w:ascii="宋体" w:hAnsi="宋体" w:eastAsia="宋体" w:cs="宋体"/>
          <w:spacing w:val="9"/>
          <w:sz w:val="20"/>
          <w:szCs w:val="20"/>
        </w:rPr>
        <w:t>员履行其某项工作职责的，该下属人员应具备履行</w:t>
      </w:r>
      <w:r>
        <w:rPr>
          <w:rFonts w:ascii="宋体" w:hAnsi="宋体" w:eastAsia="宋体" w:cs="宋体"/>
          <w:spacing w:val="10"/>
          <w:sz w:val="20"/>
          <w:szCs w:val="20"/>
        </w:rPr>
        <w:t>相应职责的能力，并应提前</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4"/>
          <w:sz w:val="20"/>
          <w:szCs w:val="20"/>
        </w:rPr>
        <w:t xml:space="preserve"> </w:t>
      </w:r>
      <w:r>
        <w:rPr>
          <w:rFonts w:ascii="宋体" w:hAnsi="宋体" w:eastAsia="宋体" w:cs="宋体"/>
          <w:spacing w:val="10"/>
          <w:sz w:val="20"/>
          <w:szCs w:val="20"/>
        </w:rPr>
        <w:t>天将上述人员的姓名</w:t>
      </w:r>
      <w:r>
        <w:rPr>
          <w:rFonts w:ascii="宋体" w:hAnsi="宋体" w:eastAsia="宋体" w:cs="宋体"/>
          <w:spacing w:val="9"/>
          <w:sz w:val="20"/>
          <w:szCs w:val="20"/>
        </w:rPr>
        <w:t>和授权范围书面通知监理人，并征得发包人书</w:t>
      </w:r>
      <w:r>
        <w:rPr>
          <w:rFonts w:ascii="宋体" w:hAnsi="宋体" w:eastAsia="宋体" w:cs="宋体"/>
          <w:spacing w:val="5"/>
          <w:sz w:val="20"/>
          <w:szCs w:val="20"/>
        </w:rPr>
        <w:t>面同意。</w:t>
      </w:r>
    </w:p>
    <w:p w14:paraId="6F18C936">
      <w:pPr>
        <w:spacing w:line="227" w:lineRule="auto"/>
        <w:ind w:left="424"/>
        <w:rPr>
          <w:rFonts w:ascii="宋体" w:hAnsi="宋体" w:eastAsia="宋体" w:cs="宋体"/>
          <w:sz w:val="20"/>
          <w:szCs w:val="20"/>
        </w:rPr>
      </w:pPr>
      <w:r>
        <w:rPr>
          <w:rFonts w:ascii="宋体" w:hAnsi="宋体" w:eastAsia="宋体" w:cs="宋体"/>
          <w:b/>
          <w:bCs/>
          <w:spacing w:val="4"/>
          <w:sz w:val="20"/>
          <w:szCs w:val="20"/>
        </w:rPr>
        <w:t>3.3</w:t>
      </w:r>
      <w:r>
        <w:rPr>
          <w:rFonts w:ascii="宋体" w:hAnsi="宋体" w:eastAsia="宋体" w:cs="宋体"/>
          <w:spacing w:val="4"/>
          <w:sz w:val="20"/>
          <w:szCs w:val="20"/>
        </w:rPr>
        <w:t xml:space="preserve"> </w:t>
      </w:r>
      <w:r>
        <w:rPr>
          <w:rFonts w:ascii="宋体" w:hAnsi="宋体" w:eastAsia="宋体" w:cs="宋体"/>
          <w:b/>
          <w:bCs/>
          <w:spacing w:val="4"/>
          <w:sz w:val="20"/>
          <w:szCs w:val="20"/>
        </w:rPr>
        <w:t>承包人人员</w:t>
      </w:r>
    </w:p>
    <w:p w14:paraId="46FE44ED">
      <w:pPr>
        <w:spacing w:before="126" w:line="346" w:lineRule="auto"/>
        <w:ind w:left="1" w:firstLine="422"/>
        <w:rPr>
          <w:rFonts w:ascii="宋体" w:hAnsi="宋体" w:eastAsia="宋体" w:cs="宋体"/>
          <w:sz w:val="20"/>
          <w:szCs w:val="20"/>
        </w:rPr>
      </w:pPr>
      <w:r>
        <w:rPr>
          <w:rFonts w:ascii="宋体" w:hAnsi="宋体" w:eastAsia="宋体" w:cs="宋体"/>
          <w:spacing w:val="9"/>
          <w:sz w:val="20"/>
          <w:szCs w:val="20"/>
        </w:rPr>
        <w:t>3.3.1 除专用合同条款另有约定外，承包人应在接到开工通</w:t>
      </w:r>
      <w:r>
        <w:rPr>
          <w:rFonts w:ascii="宋体" w:hAnsi="宋体" w:eastAsia="宋体" w:cs="宋体"/>
          <w:spacing w:val="8"/>
          <w:sz w:val="20"/>
          <w:szCs w:val="20"/>
        </w:rPr>
        <w:t>知后</w:t>
      </w:r>
      <w:r>
        <w:rPr>
          <w:rFonts w:ascii="宋体" w:hAnsi="宋体" w:eastAsia="宋体" w:cs="宋体"/>
          <w:spacing w:val="-29"/>
          <w:sz w:val="20"/>
          <w:szCs w:val="20"/>
        </w:rPr>
        <w:t xml:space="preserve"> </w:t>
      </w:r>
      <w:r>
        <w:rPr>
          <w:rFonts w:ascii="宋体" w:hAnsi="宋体" w:eastAsia="宋体" w:cs="宋体"/>
          <w:spacing w:val="8"/>
          <w:sz w:val="20"/>
          <w:szCs w:val="20"/>
        </w:rPr>
        <w:t>7</w:t>
      </w:r>
      <w:r>
        <w:rPr>
          <w:rFonts w:ascii="宋体" w:hAnsi="宋体" w:eastAsia="宋体" w:cs="宋体"/>
          <w:spacing w:val="-36"/>
          <w:sz w:val="20"/>
          <w:szCs w:val="20"/>
        </w:rPr>
        <w:t xml:space="preserve"> </w:t>
      </w:r>
      <w:r>
        <w:rPr>
          <w:rFonts w:ascii="宋体" w:hAnsi="宋体" w:eastAsia="宋体" w:cs="宋体"/>
          <w:spacing w:val="8"/>
          <w:sz w:val="20"/>
          <w:szCs w:val="20"/>
        </w:rPr>
        <w:t>天内，向监理人提交承包</w:t>
      </w:r>
      <w:r>
        <w:rPr>
          <w:rFonts w:ascii="宋体" w:hAnsi="宋体" w:eastAsia="宋体" w:cs="宋体"/>
          <w:spacing w:val="7"/>
          <w:sz w:val="20"/>
          <w:szCs w:val="20"/>
        </w:rPr>
        <w:t>人项目管理机构及施工现场人员安排的报告，其内容应包括合同管理、施工、技术、材料、质量、</w:t>
      </w:r>
      <w:r>
        <w:rPr>
          <w:rFonts w:ascii="宋体" w:hAnsi="宋体" w:eastAsia="宋体" w:cs="宋体"/>
          <w:spacing w:val="9"/>
          <w:sz w:val="20"/>
          <w:szCs w:val="20"/>
        </w:rPr>
        <w:t>安全、财务等主要施工管理人员名单及其岗位、注册执业资格等，</w:t>
      </w:r>
      <w:r>
        <w:rPr>
          <w:rFonts w:ascii="宋体" w:hAnsi="宋体" w:eastAsia="宋体" w:cs="宋体"/>
          <w:spacing w:val="-48"/>
          <w:sz w:val="20"/>
          <w:szCs w:val="20"/>
        </w:rPr>
        <w:t xml:space="preserve"> </w:t>
      </w:r>
      <w:r>
        <w:rPr>
          <w:rFonts w:ascii="宋体" w:hAnsi="宋体" w:eastAsia="宋体" w:cs="宋体"/>
          <w:spacing w:val="9"/>
          <w:sz w:val="20"/>
          <w:szCs w:val="20"/>
        </w:rPr>
        <w:t>以及各工种技术工人的安排情况，并同时提交主要施工管理人员与承包人之间的劳动关系证明和缴纳社会保险的有效证明。</w:t>
      </w:r>
    </w:p>
    <w:p w14:paraId="18990609">
      <w:pPr>
        <w:spacing w:before="3" w:line="345" w:lineRule="auto"/>
        <w:ind w:left="1" w:right="71" w:firstLine="422"/>
        <w:rPr>
          <w:rFonts w:ascii="宋体" w:hAnsi="宋体" w:eastAsia="宋体" w:cs="宋体"/>
          <w:sz w:val="20"/>
          <w:szCs w:val="20"/>
        </w:rPr>
      </w:pPr>
      <w:r>
        <w:rPr>
          <w:rFonts w:ascii="宋体" w:hAnsi="宋体" w:eastAsia="宋体" w:cs="宋体"/>
          <w:spacing w:val="10"/>
          <w:sz w:val="20"/>
          <w:szCs w:val="20"/>
        </w:rPr>
        <w:t>3.3.2 承包人派驻到施工现场的主要施工</w:t>
      </w:r>
      <w:r>
        <w:rPr>
          <w:rFonts w:ascii="宋体" w:hAnsi="宋体" w:eastAsia="宋体" w:cs="宋体"/>
          <w:spacing w:val="9"/>
          <w:sz w:val="20"/>
          <w:szCs w:val="20"/>
        </w:rPr>
        <w:t>管理人员应相对稳定。施工过程中如有变动，承包</w:t>
      </w:r>
      <w:r>
        <w:rPr>
          <w:rFonts w:ascii="宋体" w:hAnsi="宋体" w:eastAsia="宋体" w:cs="宋体"/>
          <w:spacing w:val="10"/>
          <w:sz w:val="20"/>
          <w:szCs w:val="20"/>
        </w:rPr>
        <w:t>人应及时向监理人提交施工现场人员变动情况的报告。承包人更</w:t>
      </w:r>
      <w:r>
        <w:rPr>
          <w:rFonts w:ascii="宋体" w:hAnsi="宋体" w:eastAsia="宋体" w:cs="宋体"/>
          <w:spacing w:val="9"/>
          <w:sz w:val="20"/>
          <w:szCs w:val="20"/>
        </w:rPr>
        <w:t>换主要施工管理人员时，应提前</w:t>
      </w:r>
      <w:r>
        <w:rPr>
          <w:rFonts w:ascii="宋体" w:hAnsi="宋体" w:eastAsia="宋体" w:cs="宋体"/>
          <w:spacing w:val="11"/>
          <w:sz w:val="20"/>
          <w:szCs w:val="20"/>
        </w:rPr>
        <w:t>7</w:t>
      </w:r>
      <w:r>
        <w:rPr>
          <w:rFonts w:ascii="宋体" w:hAnsi="宋体" w:eastAsia="宋体" w:cs="宋体"/>
          <w:spacing w:val="-32"/>
          <w:sz w:val="20"/>
          <w:szCs w:val="20"/>
        </w:rPr>
        <w:t xml:space="preserve"> </w:t>
      </w:r>
      <w:r>
        <w:rPr>
          <w:rFonts w:ascii="宋体" w:hAnsi="宋体" w:eastAsia="宋体" w:cs="宋体"/>
          <w:spacing w:val="11"/>
          <w:sz w:val="20"/>
          <w:szCs w:val="20"/>
        </w:rPr>
        <w:t>天书面通知监理人，并征得发包人书面同意。通知中应当载明继任人员的注册执业资格、管理</w:t>
      </w:r>
      <w:r>
        <w:rPr>
          <w:rFonts w:ascii="宋体" w:hAnsi="宋体" w:eastAsia="宋体" w:cs="宋体"/>
          <w:spacing w:val="6"/>
          <w:sz w:val="20"/>
          <w:szCs w:val="20"/>
        </w:rPr>
        <w:t>经验等资料。</w:t>
      </w:r>
    </w:p>
    <w:p w14:paraId="2B5A5639">
      <w:pPr>
        <w:spacing w:line="227" w:lineRule="auto"/>
        <w:ind w:left="420"/>
        <w:rPr>
          <w:rFonts w:ascii="宋体" w:hAnsi="宋体" w:eastAsia="宋体" w:cs="宋体"/>
          <w:sz w:val="20"/>
          <w:szCs w:val="20"/>
        </w:rPr>
      </w:pPr>
      <w:r>
        <w:rPr>
          <w:rFonts w:ascii="宋体" w:hAnsi="宋体" w:eastAsia="宋体" w:cs="宋体"/>
          <w:spacing w:val="9"/>
          <w:sz w:val="20"/>
          <w:szCs w:val="20"/>
        </w:rPr>
        <w:t>特殊工种作业人员均应持有相应的资格证明，监理人可以随时检查。</w:t>
      </w:r>
    </w:p>
    <w:p w14:paraId="3A1B3F58">
      <w:pPr>
        <w:spacing w:before="126" w:line="346" w:lineRule="auto"/>
        <w:ind w:right="71" w:firstLine="424"/>
        <w:rPr>
          <w:rFonts w:ascii="宋体" w:hAnsi="宋体" w:eastAsia="宋体" w:cs="宋体"/>
          <w:sz w:val="20"/>
          <w:szCs w:val="20"/>
        </w:rPr>
      </w:pPr>
      <w:r>
        <w:rPr>
          <w:rFonts w:ascii="宋体" w:hAnsi="宋体" w:eastAsia="宋体" w:cs="宋体"/>
          <w:spacing w:val="10"/>
          <w:sz w:val="20"/>
          <w:szCs w:val="20"/>
        </w:rPr>
        <w:t>3.3.3 发包人对于承包人主要施工管理人</w:t>
      </w:r>
      <w:r>
        <w:rPr>
          <w:rFonts w:ascii="宋体" w:hAnsi="宋体" w:eastAsia="宋体" w:cs="宋体"/>
          <w:spacing w:val="9"/>
          <w:sz w:val="20"/>
          <w:szCs w:val="20"/>
        </w:rPr>
        <w:t>员的资格或能力有异议的，承包人应提供资料证明</w:t>
      </w:r>
      <w:r>
        <w:rPr>
          <w:rFonts w:ascii="宋体" w:hAnsi="宋体" w:eastAsia="宋体" w:cs="宋体"/>
          <w:spacing w:val="10"/>
          <w:sz w:val="20"/>
          <w:szCs w:val="20"/>
        </w:rPr>
        <w:t>被质疑人员有能力完成其岗位工作或不存在发包人所质疑的情形。发包人要求撤换不能按照合同约定履行职责及义务的主要施工管理人员的，承包人应当撤换。承包人无正当理由拒绝撤换的，</w:t>
      </w:r>
      <w:r>
        <w:rPr>
          <w:rFonts w:ascii="宋体" w:hAnsi="宋体" w:eastAsia="宋体" w:cs="宋体"/>
          <w:spacing w:val="8"/>
          <w:sz w:val="20"/>
          <w:szCs w:val="20"/>
        </w:rPr>
        <w:t>应按照专用合同条款的约定承担违约责任。</w:t>
      </w:r>
    </w:p>
    <w:p w14:paraId="12BACB2C">
      <w:pPr>
        <w:spacing w:before="3" w:line="345" w:lineRule="auto"/>
        <w:ind w:right="70" w:firstLine="424"/>
        <w:rPr>
          <w:rFonts w:ascii="宋体" w:hAnsi="宋体" w:eastAsia="宋体" w:cs="宋体"/>
          <w:sz w:val="20"/>
          <w:szCs w:val="20"/>
        </w:rPr>
      </w:pPr>
      <w:r>
        <w:rPr>
          <w:rFonts w:ascii="宋体" w:hAnsi="宋体" w:eastAsia="宋体" w:cs="宋体"/>
          <w:spacing w:val="10"/>
          <w:sz w:val="20"/>
          <w:szCs w:val="20"/>
        </w:rPr>
        <w:t>3.3.4 除专用合同条款另有约定外，承包</w:t>
      </w:r>
      <w:r>
        <w:rPr>
          <w:rFonts w:ascii="宋体" w:hAnsi="宋体" w:eastAsia="宋体" w:cs="宋体"/>
          <w:spacing w:val="9"/>
          <w:sz w:val="20"/>
          <w:szCs w:val="20"/>
        </w:rPr>
        <w:t>人的主要施工管理人员离开施工现场每月累计不超过</w:t>
      </w:r>
      <w:r>
        <w:rPr>
          <w:rFonts w:ascii="宋体" w:hAnsi="宋体" w:eastAsia="宋体" w:cs="宋体"/>
          <w:spacing w:val="-35"/>
          <w:sz w:val="20"/>
          <w:szCs w:val="20"/>
        </w:rPr>
        <w:t xml:space="preserve"> </w:t>
      </w:r>
      <w:r>
        <w:rPr>
          <w:rFonts w:ascii="宋体" w:hAnsi="宋体" w:eastAsia="宋体" w:cs="宋体"/>
          <w:spacing w:val="9"/>
          <w:sz w:val="20"/>
          <w:szCs w:val="20"/>
        </w:rPr>
        <w:t>5</w:t>
      </w:r>
      <w:r>
        <w:rPr>
          <w:rFonts w:ascii="宋体" w:hAnsi="宋体" w:eastAsia="宋体" w:cs="宋体"/>
          <w:spacing w:val="-34"/>
          <w:sz w:val="20"/>
          <w:szCs w:val="20"/>
        </w:rPr>
        <w:t xml:space="preserve"> </w:t>
      </w:r>
      <w:r>
        <w:rPr>
          <w:rFonts w:ascii="宋体" w:hAnsi="宋体" w:eastAsia="宋体" w:cs="宋体"/>
          <w:spacing w:val="9"/>
          <w:sz w:val="20"/>
          <w:szCs w:val="20"/>
        </w:rPr>
        <w:t>天的，应报监理人同意；离开施工现场每月累计超过</w:t>
      </w:r>
      <w:r>
        <w:rPr>
          <w:rFonts w:ascii="宋体" w:hAnsi="宋体" w:eastAsia="宋体" w:cs="宋体"/>
          <w:spacing w:val="-32"/>
          <w:sz w:val="20"/>
          <w:szCs w:val="20"/>
        </w:rPr>
        <w:t xml:space="preserve"> </w:t>
      </w:r>
      <w:r>
        <w:rPr>
          <w:rFonts w:ascii="宋体" w:hAnsi="宋体" w:eastAsia="宋体" w:cs="宋体"/>
          <w:spacing w:val="9"/>
          <w:sz w:val="20"/>
          <w:szCs w:val="20"/>
        </w:rPr>
        <w:t>5</w:t>
      </w:r>
      <w:r>
        <w:rPr>
          <w:rFonts w:ascii="宋体" w:hAnsi="宋体" w:eastAsia="宋体" w:cs="宋体"/>
          <w:spacing w:val="-34"/>
          <w:sz w:val="20"/>
          <w:szCs w:val="20"/>
        </w:rPr>
        <w:t xml:space="preserve"> </w:t>
      </w:r>
      <w:r>
        <w:rPr>
          <w:rFonts w:ascii="宋体" w:hAnsi="宋体" w:eastAsia="宋体" w:cs="宋体"/>
          <w:spacing w:val="9"/>
          <w:sz w:val="20"/>
          <w:szCs w:val="20"/>
        </w:rPr>
        <w:t>天的，应通</w:t>
      </w:r>
      <w:r>
        <w:rPr>
          <w:rFonts w:ascii="宋体" w:hAnsi="宋体" w:eastAsia="宋体" w:cs="宋体"/>
          <w:spacing w:val="8"/>
          <w:sz w:val="20"/>
          <w:szCs w:val="20"/>
        </w:rPr>
        <w:t>知监理人，并征得发包人</w:t>
      </w:r>
      <w:r>
        <w:rPr>
          <w:rFonts w:ascii="宋体" w:hAnsi="宋体" w:eastAsia="宋体" w:cs="宋体"/>
          <w:spacing w:val="10"/>
          <w:sz w:val="20"/>
          <w:szCs w:val="20"/>
        </w:rPr>
        <w:t>书面同意。主要施工管理人员离开施工现场前应指定一名有经验的人员临时代行其职责，该人员</w:t>
      </w:r>
      <w:r>
        <w:rPr>
          <w:rFonts w:ascii="宋体" w:hAnsi="宋体" w:eastAsia="宋体" w:cs="宋体"/>
          <w:spacing w:val="9"/>
          <w:sz w:val="20"/>
          <w:szCs w:val="20"/>
        </w:rPr>
        <w:t>应具备履行相应职责的资格和能力，且应征得监理人或发包人的同意。</w:t>
      </w:r>
    </w:p>
    <w:p w14:paraId="4F431153">
      <w:pPr>
        <w:spacing w:before="1" w:line="345" w:lineRule="auto"/>
        <w:ind w:left="2" w:right="71" w:firstLine="421"/>
        <w:rPr>
          <w:rFonts w:ascii="宋体" w:hAnsi="宋体" w:eastAsia="宋体" w:cs="宋体"/>
          <w:sz w:val="20"/>
          <w:szCs w:val="20"/>
        </w:rPr>
      </w:pPr>
      <w:r>
        <w:rPr>
          <w:rFonts w:ascii="宋体" w:hAnsi="宋体" w:eastAsia="宋体" w:cs="宋体"/>
          <w:spacing w:val="10"/>
          <w:sz w:val="20"/>
          <w:szCs w:val="20"/>
        </w:rPr>
        <w:t>3.3.5 承包人擅自更换主要施工管理人员</w:t>
      </w:r>
      <w:r>
        <w:rPr>
          <w:rFonts w:ascii="宋体" w:hAnsi="宋体" w:eastAsia="宋体" w:cs="宋体"/>
          <w:spacing w:val="9"/>
          <w:sz w:val="20"/>
          <w:szCs w:val="20"/>
        </w:rPr>
        <w:t>，或前述人员未经监理人或发包人同意擅自离开施工现场的，应按照专用合同条款约定承担违约责</w:t>
      </w:r>
      <w:r>
        <w:rPr>
          <w:rFonts w:ascii="宋体" w:hAnsi="宋体" w:eastAsia="宋体" w:cs="宋体"/>
          <w:spacing w:val="8"/>
          <w:sz w:val="20"/>
          <w:szCs w:val="20"/>
        </w:rPr>
        <w:t>任。</w:t>
      </w:r>
    </w:p>
    <w:p w14:paraId="21C1FF39">
      <w:pPr>
        <w:spacing w:before="1" w:line="227" w:lineRule="auto"/>
        <w:ind w:left="424"/>
        <w:rPr>
          <w:rFonts w:ascii="宋体" w:hAnsi="宋体" w:eastAsia="宋体" w:cs="宋体"/>
          <w:sz w:val="20"/>
          <w:szCs w:val="20"/>
        </w:rPr>
      </w:pPr>
      <w:r>
        <w:rPr>
          <w:rFonts w:ascii="宋体" w:hAnsi="宋体" w:eastAsia="宋体" w:cs="宋体"/>
          <w:b/>
          <w:bCs/>
          <w:spacing w:val="5"/>
          <w:sz w:val="20"/>
          <w:szCs w:val="20"/>
        </w:rPr>
        <w:t>3.4</w:t>
      </w:r>
      <w:r>
        <w:rPr>
          <w:rFonts w:ascii="宋体" w:hAnsi="宋体" w:eastAsia="宋体" w:cs="宋体"/>
          <w:spacing w:val="5"/>
          <w:sz w:val="20"/>
          <w:szCs w:val="20"/>
        </w:rPr>
        <w:t xml:space="preserve"> </w:t>
      </w:r>
      <w:r>
        <w:rPr>
          <w:rFonts w:ascii="宋体" w:hAnsi="宋体" w:eastAsia="宋体" w:cs="宋体"/>
          <w:b/>
          <w:bCs/>
          <w:spacing w:val="5"/>
          <w:sz w:val="20"/>
          <w:szCs w:val="20"/>
        </w:rPr>
        <w:t>承包人现场查勘</w:t>
      </w:r>
    </w:p>
    <w:p w14:paraId="7462DC1C">
      <w:pPr>
        <w:spacing w:before="127" w:line="346" w:lineRule="auto"/>
        <w:ind w:left="8" w:right="68" w:firstLine="411"/>
        <w:rPr>
          <w:rFonts w:ascii="宋体" w:hAnsi="宋体" w:eastAsia="宋体" w:cs="宋体"/>
          <w:sz w:val="20"/>
          <w:szCs w:val="20"/>
        </w:rPr>
      </w:pPr>
      <w:r>
        <w:rPr>
          <w:rFonts w:ascii="宋体" w:hAnsi="宋体" w:eastAsia="宋体" w:cs="宋体"/>
          <w:spacing w:val="9"/>
          <w:sz w:val="20"/>
          <w:szCs w:val="20"/>
        </w:rPr>
        <w:t>承包人应对基于发包人按照第</w:t>
      </w:r>
      <w:r>
        <w:rPr>
          <w:rFonts w:ascii="宋体" w:hAnsi="宋体" w:eastAsia="宋体" w:cs="宋体"/>
          <w:spacing w:val="-31"/>
          <w:sz w:val="20"/>
          <w:szCs w:val="20"/>
        </w:rPr>
        <w:t xml:space="preserve"> </w:t>
      </w:r>
      <w:r>
        <w:rPr>
          <w:rFonts w:ascii="宋体" w:hAnsi="宋体" w:eastAsia="宋体" w:cs="宋体"/>
          <w:spacing w:val="9"/>
          <w:sz w:val="20"/>
          <w:szCs w:val="20"/>
        </w:rPr>
        <w:t>2.4.3</w:t>
      </w:r>
      <w:r>
        <w:rPr>
          <w:rFonts w:ascii="宋体" w:hAnsi="宋体" w:eastAsia="宋体" w:cs="宋体"/>
          <w:spacing w:val="-33"/>
          <w:sz w:val="20"/>
          <w:szCs w:val="20"/>
        </w:rPr>
        <w:t xml:space="preserve"> </w:t>
      </w:r>
      <w:r>
        <w:rPr>
          <w:rFonts w:ascii="宋体" w:hAnsi="宋体" w:eastAsia="宋体" w:cs="宋体"/>
          <w:spacing w:val="9"/>
          <w:sz w:val="20"/>
          <w:szCs w:val="20"/>
        </w:rPr>
        <w:t>项〔提供基础资料〕提交的基础资料所做出的解释和推断负责，但因基础资料存在错误、遗漏导致承包人解释或推断失实的，由发包人承担责任。</w:t>
      </w:r>
    </w:p>
    <w:p w14:paraId="13516D74">
      <w:pPr>
        <w:spacing w:before="1" w:line="346" w:lineRule="auto"/>
        <w:ind w:right="71" w:firstLine="419"/>
        <w:rPr>
          <w:rFonts w:ascii="宋体" w:hAnsi="宋体" w:eastAsia="宋体" w:cs="宋体"/>
          <w:sz w:val="20"/>
          <w:szCs w:val="20"/>
        </w:rPr>
      </w:pPr>
      <w:r>
        <w:rPr>
          <w:rFonts w:ascii="宋体" w:hAnsi="宋体" w:eastAsia="宋体" w:cs="宋体"/>
          <w:spacing w:val="10"/>
          <w:sz w:val="20"/>
          <w:szCs w:val="20"/>
        </w:rPr>
        <w:t>承包人应对施工现场和施工条件进行查勘，并充分了解工程所在地的气象条件、交通条件、风俗习惯以及其他与完成合同工作有关的其他资料。因承包人未能充分查勘、了解前述情况或未</w:t>
      </w:r>
    </w:p>
    <w:p w14:paraId="2FC0A5D0">
      <w:pPr>
        <w:spacing w:line="346" w:lineRule="auto"/>
        <w:rPr>
          <w:rFonts w:ascii="宋体" w:hAnsi="宋体" w:eastAsia="宋体" w:cs="宋体"/>
          <w:sz w:val="20"/>
          <w:szCs w:val="20"/>
        </w:rPr>
        <w:sectPr>
          <w:footerReference r:id="rId347" w:type="default"/>
          <w:pgSz w:w="11906" w:h="16839"/>
          <w:pgMar w:top="400" w:right="1462" w:bottom="1446" w:left="1539" w:header="0" w:footer="1284" w:gutter="0"/>
          <w:cols w:space="720" w:num="1"/>
        </w:sectPr>
      </w:pPr>
    </w:p>
    <w:p w14:paraId="064683AE">
      <w:pPr>
        <w:spacing w:line="246" w:lineRule="auto"/>
        <w:rPr>
          <w:rFonts w:ascii="Arial"/>
          <w:sz w:val="21"/>
        </w:rPr>
      </w:pPr>
    </w:p>
    <w:p w14:paraId="3F444F7B">
      <w:pPr>
        <w:spacing w:line="246" w:lineRule="auto"/>
        <w:rPr>
          <w:rFonts w:ascii="Arial"/>
          <w:sz w:val="21"/>
        </w:rPr>
      </w:pPr>
    </w:p>
    <w:p w14:paraId="6FAC517C">
      <w:pPr>
        <w:spacing w:line="246" w:lineRule="auto"/>
        <w:rPr>
          <w:rFonts w:ascii="Arial"/>
          <w:sz w:val="21"/>
        </w:rPr>
      </w:pPr>
    </w:p>
    <w:p w14:paraId="37641FDD">
      <w:pPr>
        <w:spacing w:line="246" w:lineRule="auto"/>
        <w:rPr>
          <w:rFonts w:ascii="Arial"/>
          <w:sz w:val="21"/>
        </w:rPr>
      </w:pPr>
    </w:p>
    <w:p w14:paraId="2782CB4F">
      <w:pPr>
        <w:spacing w:line="247" w:lineRule="auto"/>
        <w:rPr>
          <w:rFonts w:ascii="Arial"/>
          <w:sz w:val="21"/>
        </w:rPr>
      </w:pPr>
    </w:p>
    <w:p w14:paraId="3FBDDF8B">
      <w:pPr>
        <w:spacing w:line="247" w:lineRule="auto"/>
        <w:rPr>
          <w:rFonts w:ascii="Arial"/>
          <w:sz w:val="21"/>
        </w:rPr>
      </w:pPr>
    </w:p>
    <w:p w14:paraId="28DCBD7C">
      <w:pPr>
        <w:spacing w:before="65" w:line="226" w:lineRule="auto"/>
        <w:ind w:left="8"/>
        <w:rPr>
          <w:rFonts w:ascii="宋体" w:hAnsi="宋体" w:eastAsia="宋体" w:cs="宋体"/>
          <w:sz w:val="20"/>
          <w:szCs w:val="20"/>
        </w:rPr>
      </w:pPr>
      <w:r>
        <w:rPr>
          <w:rFonts w:ascii="宋体" w:hAnsi="宋体" w:eastAsia="宋体" w:cs="宋体"/>
          <w:spacing w:val="9"/>
          <w:sz w:val="20"/>
          <w:szCs w:val="20"/>
        </w:rPr>
        <w:t>能充分估计前述情况所可能产生后果的，承包人承担由此增加的费用和（或）延误的工期。</w:t>
      </w:r>
    </w:p>
    <w:p w14:paraId="1D6FA61E">
      <w:pPr>
        <w:spacing w:before="129" w:line="228" w:lineRule="auto"/>
        <w:ind w:left="424"/>
        <w:rPr>
          <w:rFonts w:ascii="宋体" w:hAnsi="宋体" w:eastAsia="宋体" w:cs="宋体"/>
          <w:sz w:val="20"/>
          <w:szCs w:val="20"/>
        </w:rPr>
      </w:pPr>
      <w:r>
        <w:rPr>
          <w:rFonts w:ascii="宋体" w:hAnsi="宋体" w:eastAsia="宋体" w:cs="宋体"/>
          <w:b/>
          <w:bCs/>
          <w:sz w:val="20"/>
          <w:szCs w:val="20"/>
        </w:rPr>
        <w:t>3.5</w:t>
      </w:r>
      <w:r>
        <w:rPr>
          <w:rFonts w:ascii="宋体" w:hAnsi="宋体" w:eastAsia="宋体" w:cs="宋体"/>
          <w:spacing w:val="18"/>
          <w:sz w:val="20"/>
          <w:szCs w:val="20"/>
        </w:rPr>
        <w:t xml:space="preserve"> </w:t>
      </w:r>
      <w:r>
        <w:rPr>
          <w:rFonts w:ascii="宋体" w:hAnsi="宋体" w:eastAsia="宋体" w:cs="宋体"/>
          <w:b/>
          <w:bCs/>
          <w:sz w:val="20"/>
          <w:szCs w:val="20"/>
        </w:rPr>
        <w:t>分包</w:t>
      </w:r>
    </w:p>
    <w:p w14:paraId="77C7E400">
      <w:pPr>
        <w:spacing w:before="127" w:line="228" w:lineRule="auto"/>
        <w:ind w:left="424"/>
        <w:rPr>
          <w:rFonts w:ascii="宋体" w:hAnsi="宋体" w:eastAsia="宋体" w:cs="宋体"/>
          <w:sz w:val="20"/>
          <w:szCs w:val="20"/>
        </w:rPr>
      </w:pPr>
      <w:r>
        <w:rPr>
          <w:rFonts w:ascii="宋体" w:hAnsi="宋体" w:eastAsia="宋体" w:cs="宋体"/>
          <w:b/>
          <w:bCs/>
          <w:spacing w:val="5"/>
          <w:sz w:val="20"/>
          <w:szCs w:val="20"/>
        </w:rPr>
        <w:t>3.5.1</w:t>
      </w:r>
      <w:r>
        <w:rPr>
          <w:rFonts w:ascii="宋体" w:hAnsi="宋体" w:eastAsia="宋体" w:cs="宋体"/>
          <w:spacing w:val="5"/>
          <w:sz w:val="20"/>
          <w:szCs w:val="20"/>
        </w:rPr>
        <w:t xml:space="preserve"> </w:t>
      </w:r>
      <w:r>
        <w:rPr>
          <w:rFonts w:ascii="宋体" w:hAnsi="宋体" w:eastAsia="宋体" w:cs="宋体"/>
          <w:b/>
          <w:bCs/>
          <w:spacing w:val="5"/>
          <w:sz w:val="20"/>
          <w:szCs w:val="20"/>
        </w:rPr>
        <w:t>分包的一般约定</w:t>
      </w:r>
    </w:p>
    <w:p w14:paraId="0A8CF173">
      <w:pPr>
        <w:spacing w:before="125" w:line="346" w:lineRule="auto"/>
        <w:ind w:right="87" w:firstLine="419"/>
        <w:jc w:val="both"/>
        <w:rPr>
          <w:rFonts w:ascii="宋体" w:hAnsi="宋体" w:eastAsia="宋体" w:cs="宋体"/>
          <w:sz w:val="20"/>
          <w:szCs w:val="20"/>
        </w:rPr>
      </w:pPr>
      <w:r>
        <w:rPr>
          <w:rFonts w:ascii="宋体" w:hAnsi="宋体" w:eastAsia="宋体" w:cs="宋体"/>
          <w:spacing w:val="10"/>
          <w:sz w:val="20"/>
          <w:szCs w:val="20"/>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w:t>
      </w:r>
      <w:r>
        <w:rPr>
          <w:rFonts w:ascii="宋体" w:hAnsi="宋体" w:eastAsia="宋体" w:cs="宋体"/>
          <w:spacing w:val="2"/>
          <w:sz w:val="20"/>
          <w:szCs w:val="20"/>
        </w:rPr>
        <w:t>明确。</w:t>
      </w:r>
    </w:p>
    <w:p w14:paraId="54D1C07B">
      <w:pPr>
        <w:spacing w:line="227" w:lineRule="auto"/>
        <w:ind w:left="420"/>
        <w:rPr>
          <w:rFonts w:ascii="宋体" w:hAnsi="宋体" w:eastAsia="宋体" w:cs="宋体"/>
          <w:sz w:val="20"/>
          <w:szCs w:val="20"/>
        </w:rPr>
      </w:pPr>
      <w:r>
        <w:rPr>
          <w:rFonts w:ascii="宋体" w:hAnsi="宋体" w:eastAsia="宋体" w:cs="宋体"/>
          <w:spacing w:val="9"/>
          <w:sz w:val="20"/>
          <w:szCs w:val="20"/>
        </w:rPr>
        <w:t>承包人不得以劳务分包的名义转包或违法分包工程。</w:t>
      </w:r>
    </w:p>
    <w:p w14:paraId="00C96670">
      <w:pPr>
        <w:spacing w:before="129" w:line="228" w:lineRule="auto"/>
        <w:ind w:left="424"/>
        <w:rPr>
          <w:rFonts w:ascii="宋体" w:hAnsi="宋体" w:eastAsia="宋体" w:cs="宋体"/>
          <w:sz w:val="20"/>
          <w:szCs w:val="20"/>
        </w:rPr>
      </w:pPr>
      <w:r>
        <w:rPr>
          <w:rFonts w:ascii="宋体" w:hAnsi="宋体" w:eastAsia="宋体" w:cs="宋体"/>
          <w:b/>
          <w:bCs/>
          <w:spacing w:val="4"/>
          <w:sz w:val="20"/>
          <w:szCs w:val="20"/>
        </w:rPr>
        <w:t>3.5.2</w:t>
      </w:r>
      <w:r>
        <w:rPr>
          <w:rFonts w:ascii="宋体" w:hAnsi="宋体" w:eastAsia="宋体" w:cs="宋体"/>
          <w:spacing w:val="4"/>
          <w:sz w:val="20"/>
          <w:szCs w:val="20"/>
        </w:rPr>
        <w:t xml:space="preserve"> </w:t>
      </w:r>
      <w:r>
        <w:rPr>
          <w:rFonts w:ascii="宋体" w:hAnsi="宋体" w:eastAsia="宋体" w:cs="宋体"/>
          <w:b/>
          <w:bCs/>
          <w:spacing w:val="4"/>
          <w:sz w:val="20"/>
          <w:szCs w:val="20"/>
        </w:rPr>
        <w:t>分包的确定</w:t>
      </w:r>
    </w:p>
    <w:p w14:paraId="2B946D1F">
      <w:pPr>
        <w:spacing w:before="125" w:line="346" w:lineRule="auto"/>
        <w:ind w:right="77" w:firstLine="403"/>
        <w:jc w:val="both"/>
        <w:rPr>
          <w:rFonts w:ascii="宋体" w:hAnsi="宋体" w:eastAsia="宋体" w:cs="宋体"/>
          <w:sz w:val="20"/>
          <w:szCs w:val="20"/>
        </w:rPr>
      </w:pPr>
      <w:r>
        <w:rPr>
          <w:rFonts w:ascii="宋体" w:hAnsi="宋体" w:eastAsia="宋体" w:cs="宋体"/>
          <w:spacing w:val="1"/>
          <w:sz w:val="20"/>
          <w:szCs w:val="20"/>
        </w:rPr>
        <w:t>承包人应按专用合同条款的约定进行分包，确定分包人。已标价工程量清单或预算书中</w:t>
      </w:r>
      <w:r>
        <w:rPr>
          <w:rFonts w:ascii="宋体" w:hAnsi="宋体" w:eastAsia="宋体" w:cs="宋体"/>
          <w:sz w:val="20"/>
          <w:szCs w:val="20"/>
        </w:rPr>
        <w:t>给定暂估</w:t>
      </w:r>
      <w:r>
        <w:rPr>
          <w:rFonts w:ascii="宋体" w:hAnsi="宋体" w:eastAsia="宋体" w:cs="宋体"/>
          <w:spacing w:val="3"/>
          <w:sz w:val="20"/>
          <w:szCs w:val="20"/>
        </w:rPr>
        <w:t>价的专业工程，按照第</w:t>
      </w:r>
      <w:r>
        <w:rPr>
          <w:rFonts w:ascii="宋体" w:hAnsi="宋体" w:eastAsia="宋体" w:cs="宋体"/>
          <w:spacing w:val="-33"/>
          <w:sz w:val="20"/>
          <w:szCs w:val="20"/>
        </w:rPr>
        <w:t xml:space="preserve"> </w:t>
      </w:r>
      <w:r>
        <w:rPr>
          <w:rFonts w:ascii="宋体" w:hAnsi="宋体" w:eastAsia="宋体" w:cs="宋体"/>
          <w:spacing w:val="3"/>
          <w:sz w:val="20"/>
          <w:szCs w:val="20"/>
        </w:rPr>
        <w:t>10.7</w:t>
      </w:r>
      <w:r>
        <w:rPr>
          <w:rFonts w:ascii="宋体" w:hAnsi="宋体" w:eastAsia="宋体" w:cs="宋体"/>
          <w:spacing w:val="-47"/>
          <w:sz w:val="20"/>
          <w:szCs w:val="20"/>
        </w:rPr>
        <w:t xml:space="preserve"> </w:t>
      </w:r>
      <w:r>
        <w:rPr>
          <w:rFonts w:ascii="宋体" w:hAnsi="宋体" w:eastAsia="宋体" w:cs="宋体"/>
          <w:spacing w:val="3"/>
          <w:sz w:val="20"/>
          <w:szCs w:val="20"/>
        </w:rPr>
        <w:t>款〔暂估价〕确定分包人。按照合</w:t>
      </w:r>
      <w:r>
        <w:rPr>
          <w:rFonts w:ascii="宋体" w:hAnsi="宋体" w:eastAsia="宋体" w:cs="宋体"/>
          <w:spacing w:val="2"/>
          <w:sz w:val="20"/>
          <w:szCs w:val="20"/>
        </w:rPr>
        <w:t>同约定由承包人进行分包的，承包人</w:t>
      </w:r>
      <w:r>
        <w:rPr>
          <w:rFonts w:ascii="宋体" w:hAnsi="宋体" w:eastAsia="宋体" w:cs="宋体"/>
          <w:spacing w:val="1"/>
          <w:sz w:val="20"/>
          <w:szCs w:val="20"/>
        </w:rPr>
        <w:t>应确保分包人具有相应的资质和能力。工程分包不减轻或免除承包人的责任和义务，承包人和分</w:t>
      </w:r>
      <w:r>
        <w:rPr>
          <w:rFonts w:ascii="宋体" w:hAnsi="宋体" w:eastAsia="宋体" w:cs="宋体"/>
          <w:sz w:val="20"/>
          <w:szCs w:val="20"/>
        </w:rPr>
        <w:t>包人</w:t>
      </w:r>
      <w:r>
        <w:rPr>
          <w:rFonts w:ascii="宋体" w:hAnsi="宋体" w:eastAsia="宋体" w:cs="宋体"/>
          <w:spacing w:val="1"/>
          <w:sz w:val="20"/>
          <w:szCs w:val="20"/>
        </w:rPr>
        <w:t>就分包工程向发包人承担连带责任。</w:t>
      </w:r>
    </w:p>
    <w:p w14:paraId="6A417EFD">
      <w:pPr>
        <w:spacing w:before="1" w:line="227" w:lineRule="auto"/>
        <w:ind w:left="424"/>
        <w:rPr>
          <w:rFonts w:ascii="宋体" w:hAnsi="宋体" w:eastAsia="宋体" w:cs="宋体"/>
          <w:sz w:val="20"/>
          <w:szCs w:val="20"/>
        </w:rPr>
      </w:pPr>
      <w:r>
        <w:rPr>
          <w:rFonts w:ascii="宋体" w:hAnsi="宋体" w:eastAsia="宋体" w:cs="宋体"/>
          <w:b/>
          <w:bCs/>
          <w:spacing w:val="4"/>
          <w:sz w:val="20"/>
          <w:szCs w:val="20"/>
        </w:rPr>
        <w:t>3.5.3</w:t>
      </w:r>
      <w:r>
        <w:rPr>
          <w:rFonts w:ascii="宋体" w:hAnsi="宋体" w:eastAsia="宋体" w:cs="宋体"/>
          <w:spacing w:val="4"/>
          <w:sz w:val="20"/>
          <w:szCs w:val="20"/>
        </w:rPr>
        <w:t xml:space="preserve"> </w:t>
      </w:r>
      <w:r>
        <w:rPr>
          <w:rFonts w:ascii="宋体" w:hAnsi="宋体" w:eastAsia="宋体" w:cs="宋体"/>
          <w:b/>
          <w:bCs/>
          <w:spacing w:val="4"/>
          <w:sz w:val="20"/>
          <w:szCs w:val="20"/>
        </w:rPr>
        <w:t>分包管理</w:t>
      </w:r>
    </w:p>
    <w:p w14:paraId="4A760EEA">
      <w:pPr>
        <w:spacing w:before="126" w:line="346" w:lineRule="auto"/>
        <w:ind w:left="2" w:right="87" w:firstLine="417"/>
        <w:rPr>
          <w:rFonts w:ascii="宋体" w:hAnsi="宋体" w:eastAsia="宋体" w:cs="宋体"/>
          <w:sz w:val="20"/>
          <w:szCs w:val="20"/>
        </w:rPr>
      </w:pPr>
      <w:r>
        <w:rPr>
          <w:rFonts w:ascii="宋体" w:hAnsi="宋体" w:eastAsia="宋体" w:cs="宋体"/>
          <w:spacing w:val="10"/>
          <w:sz w:val="20"/>
          <w:szCs w:val="20"/>
        </w:rPr>
        <w:t>承包人应向监理人提交分包人的主要施工管理人员表，并对分包人的施工人员进行实名制管</w:t>
      </w:r>
      <w:r>
        <w:rPr>
          <w:rFonts w:ascii="宋体" w:hAnsi="宋体" w:eastAsia="宋体" w:cs="宋体"/>
          <w:spacing w:val="9"/>
          <w:sz w:val="20"/>
          <w:szCs w:val="20"/>
        </w:rPr>
        <w:t>理，包括但不限于进出场管理、登记造册以及各种证照的办理。</w:t>
      </w:r>
    </w:p>
    <w:p w14:paraId="0B22FF3C">
      <w:pPr>
        <w:spacing w:before="1" w:line="226" w:lineRule="auto"/>
        <w:ind w:left="424"/>
        <w:rPr>
          <w:rFonts w:ascii="宋体" w:hAnsi="宋体" w:eastAsia="宋体" w:cs="宋体"/>
          <w:sz w:val="20"/>
          <w:szCs w:val="20"/>
        </w:rPr>
      </w:pPr>
      <w:r>
        <w:rPr>
          <w:rFonts w:ascii="宋体" w:hAnsi="宋体" w:eastAsia="宋体" w:cs="宋体"/>
          <w:b/>
          <w:bCs/>
          <w:spacing w:val="5"/>
          <w:sz w:val="20"/>
          <w:szCs w:val="20"/>
        </w:rPr>
        <w:t>3.5.4</w:t>
      </w:r>
      <w:r>
        <w:rPr>
          <w:rFonts w:ascii="宋体" w:hAnsi="宋体" w:eastAsia="宋体" w:cs="宋体"/>
          <w:spacing w:val="5"/>
          <w:sz w:val="20"/>
          <w:szCs w:val="20"/>
        </w:rPr>
        <w:t xml:space="preserve"> </w:t>
      </w:r>
      <w:r>
        <w:rPr>
          <w:rFonts w:ascii="宋体" w:hAnsi="宋体" w:eastAsia="宋体" w:cs="宋体"/>
          <w:b/>
          <w:bCs/>
          <w:spacing w:val="5"/>
          <w:sz w:val="20"/>
          <w:szCs w:val="20"/>
        </w:rPr>
        <w:t>分包合同价款</w:t>
      </w:r>
    </w:p>
    <w:p w14:paraId="325DB45D">
      <w:pPr>
        <w:spacing w:before="128" w:line="346" w:lineRule="auto"/>
        <w:ind w:right="87" w:firstLine="430"/>
        <w:rPr>
          <w:rFonts w:ascii="宋体" w:hAnsi="宋体" w:eastAsia="宋体" w:cs="宋体"/>
          <w:sz w:val="20"/>
          <w:szCs w:val="20"/>
        </w:rPr>
      </w:pPr>
      <w:r>
        <w:rPr>
          <w:rFonts w:ascii="宋体" w:hAnsi="宋体" w:eastAsia="宋体" w:cs="宋体"/>
          <w:spacing w:val="8"/>
          <w:sz w:val="20"/>
          <w:szCs w:val="20"/>
        </w:rPr>
        <w:t>（1）除本项第（2）</w:t>
      </w:r>
      <w:r>
        <w:rPr>
          <w:rFonts w:ascii="宋体" w:hAnsi="宋体" w:eastAsia="宋体" w:cs="宋体"/>
          <w:spacing w:val="-26"/>
          <w:sz w:val="20"/>
          <w:szCs w:val="20"/>
        </w:rPr>
        <w:t xml:space="preserve"> </w:t>
      </w:r>
      <w:r>
        <w:rPr>
          <w:rFonts w:ascii="宋体" w:hAnsi="宋体" w:eastAsia="宋体" w:cs="宋体"/>
          <w:spacing w:val="8"/>
          <w:sz w:val="20"/>
          <w:szCs w:val="20"/>
        </w:rPr>
        <w:t>目约定的情况或专用合同条款另有约定外，分包合同价款由承包人与分</w:t>
      </w:r>
      <w:r>
        <w:rPr>
          <w:rFonts w:ascii="宋体" w:hAnsi="宋体" w:eastAsia="宋体" w:cs="宋体"/>
          <w:spacing w:val="9"/>
          <w:sz w:val="20"/>
          <w:szCs w:val="20"/>
        </w:rPr>
        <w:t>包人结算，未经承包人同意，发包人不得向分包人支付分包工程价款；</w:t>
      </w:r>
    </w:p>
    <w:p w14:paraId="78703BF3">
      <w:pPr>
        <w:spacing w:before="1" w:line="345" w:lineRule="auto"/>
        <w:ind w:right="87" w:firstLine="429"/>
        <w:rPr>
          <w:rFonts w:ascii="宋体" w:hAnsi="宋体" w:eastAsia="宋体" w:cs="宋体"/>
          <w:sz w:val="20"/>
          <w:szCs w:val="20"/>
        </w:rPr>
      </w:pPr>
      <w:r>
        <w:rPr>
          <w:rFonts w:ascii="宋体" w:hAnsi="宋体" w:eastAsia="宋体" w:cs="宋体"/>
          <w:spacing w:val="7"/>
          <w:sz w:val="20"/>
          <w:szCs w:val="20"/>
        </w:rPr>
        <w:t>（2）生效法律文书要求发包人向分包人支付分包合同价款的，发包人有权从应付承包人工程款中扣除该部分款项。</w:t>
      </w:r>
    </w:p>
    <w:p w14:paraId="4F218476">
      <w:pPr>
        <w:spacing w:before="1" w:line="227" w:lineRule="auto"/>
        <w:ind w:left="424"/>
        <w:rPr>
          <w:rFonts w:ascii="宋体" w:hAnsi="宋体" w:eastAsia="宋体" w:cs="宋体"/>
          <w:sz w:val="20"/>
          <w:szCs w:val="20"/>
        </w:rPr>
      </w:pPr>
      <w:r>
        <w:rPr>
          <w:rFonts w:ascii="宋体" w:hAnsi="宋体" w:eastAsia="宋体" w:cs="宋体"/>
          <w:b/>
          <w:bCs/>
          <w:spacing w:val="5"/>
          <w:sz w:val="20"/>
          <w:szCs w:val="20"/>
        </w:rPr>
        <w:t>3.5.5</w:t>
      </w:r>
      <w:r>
        <w:rPr>
          <w:rFonts w:ascii="宋体" w:hAnsi="宋体" w:eastAsia="宋体" w:cs="宋体"/>
          <w:spacing w:val="5"/>
          <w:sz w:val="20"/>
          <w:szCs w:val="20"/>
        </w:rPr>
        <w:t xml:space="preserve"> </w:t>
      </w:r>
      <w:r>
        <w:rPr>
          <w:rFonts w:ascii="宋体" w:hAnsi="宋体" w:eastAsia="宋体" w:cs="宋体"/>
          <w:b/>
          <w:bCs/>
          <w:spacing w:val="5"/>
          <w:sz w:val="20"/>
          <w:szCs w:val="20"/>
        </w:rPr>
        <w:t>分包合同权益的转让</w:t>
      </w:r>
    </w:p>
    <w:p w14:paraId="660AD664">
      <w:pPr>
        <w:spacing w:before="127" w:line="346" w:lineRule="auto"/>
        <w:ind w:left="3" w:right="87" w:firstLine="419"/>
        <w:jc w:val="both"/>
        <w:rPr>
          <w:rFonts w:ascii="宋体" w:hAnsi="宋体" w:eastAsia="宋体" w:cs="宋体"/>
          <w:sz w:val="20"/>
          <w:szCs w:val="20"/>
        </w:rPr>
      </w:pPr>
      <w:r>
        <w:rPr>
          <w:rFonts w:ascii="宋体" w:hAnsi="宋体" w:eastAsia="宋体" w:cs="宋体"/>
          <w:spacing w:val="10"/>
          <w:sz w:val="20"/>
          <w:szCs w:val="20"/>
        </w:rPr>
        <w:t>分包人在分包合同项下的义务持续到缺陷责任期届满以后的，发包人有权在缺陷责任期届满前，要求承包人将其在分包合同项下的权益转让给发包人，承包人应当转让。除转让合同另有约</w:t>
      </w:r>
      <w:r>
        <w:rPr>
          <w:rFonts w:ascii="宋体" w:hAnsi="宋体" w:eastAsia="宋体" w:cs="宋体"/>
          <w:spacing w:val="9"/>
          <w:sz w:val="20"/>
          <w:szCs w:val="20"/>
        </w:rPr>
        <w:t>定外，转让合同生效后，由分包人向发包人履行义务。</w:t>
      </w:r>
    </w:p>
    <w:p w14:paraId="7F6454AE">
      <w:pPr>
        <w:spacing w:line="227" w:lineRule="auto"/>
        <w:ind w:left="424"/>
        <w:rPr>
          <w:rFonts w:ascii="宋体" w:hAnsi="宋体" w:eastAsia="宋体" w:cs="宋体"/>
          <w:sz w:val="20"/>
          <w:szCs w:val="20"/>
        </w:rPr>
      </w:pPr>
      <w:r>
        <w:rPr>
          <w:rFonts w:ascii="宋体" w:hAnsi="宋体" w:eastAsia="宋体" w:cs="宋体"/>
          <w:b/>
          <w:bCs/>
          <w:spacing w:val="6"/>
          <w:sz w:val="20"/>
          <w:szCs w:val="20"/>
        </w:rPr>
        <w:t>3.6</w:t>
      </w:r>
      <w:r>
        <w:rPr>
          <w:rFonts w:ascii="宋体" w:hAnsi="宋体" w:eastAsia="宋体" w:cs="宋体"/>
          <w:spacing w:val="6"/>
          <w:sz w:val="20"/>
          <w:szCs w:val="20"/>
        </w:rPr>
        <w:t xml:space="preserve"> </w:t>
      </w:r>
      <w:r>
        <w:rPr>
          <w:rFonts w:ascii="宋体" w:hAnsi="宋体" w:eastAsia="宋体" w:cs="宋体"/>
          <w:b/>
          <w:bCs/>
          <w:spacing w:val="6"/>
          <w:sz w:val="20"/>
          <w:szCs w:val="20"/>
        </w:rPr>
        <w:t>工程照管与成品、半成品保护</w:t>
      </w:r>
    </w:p>
    <w:p w14:paraId="4E8F59D6">
      <w:pPr>
        <w:spacing w:before="127" w:line="346" w:lineRule="auto"/>
        <w:ind w:left="5" w:right="87" w:firstLine="425"/>
        <w:rPr>
          <w:rFonts w:ascii="宋体" w:hAnsi="宋体" w:eastAsia="宋体" w:cs="宋体"/>
          <w:sz w:val="20"/>
          <w:szCs w:val="20"/>
        </w:rPr>
      </w:pPr>
      <w:r>
        <w:rPr>
          <w:rFonts w:ascii="宋体" w:hAnsi="宋体" w:eastAsia="宋体" w:cs="宋体"/>
          <w:spacing w:val="7"/>
          <w:sz w:val="20"/>
          <w:szCs w:val="20"/>
        </w:rPr>
        <w:t>（1）除专用合同条款另有约定外，自发包人向承包人移交施工现场之日起，承包人应负责照</w:t>
      </w:r>
      <w:r>
        <w:rPr>
          <w:rFonts w:ascii="宋体" w:hAnsi="宋体" w:eastAsia="宋体" w:cs="宋体"/>
          <w:spacing w:val="9"/>
          <w:sz w:val="20"/>
          <w:szCs w:val="20"/>
        </w:rPr>
        <w:t>管工程及工程相关的材料、工程设备，直到颁发工程接收证书之日止。</w:t>
      </w:r>
    </w:p>
    <w:p w14:paraId="798C66CA">
      <w:pPr>
        <w:spacing w:before="2" w:line="345" w:lineRule="auto"/>
        <w:ind w:left="7" w:right="87" w:firstLine="422"/>
        <w:rPr>
          <w:rFonts w:ascii="宋体" w:hAnsi="宋体" w:eastAsia="宋体" w:cs="宋体"/>
          <w:sz w:val="20"/>
          <w:szCs w:val="20"/>
        </w:rPr>
      </w:pPr>
      <w:r>
        <w:rPr>
          <w:rFonts w:ascii="宋体" w:hAnsi="宋体" w:eastAsia="宋体" w:cs="宋体"/>
          <w:spacing w:val="7"/>
          <w:sz w:val="20"/>
          <w:szCs w:val="20"/>
        </w:rPr>
        <w:t>（2）在承包人负责照管期间，因承包人原因造成工程、材料、工程设备损坏的，由承包人负</w:t>
      </w:r>
      <w:r>
        <w:rPr>
          <w:rFonts w:ascii="宋体" w:hAnsi="宋体" w:eastAsia="宋体" w:cs="宋体"/>
          <w:spacing w:val="9"/>
          <w:sz w:val="20"/>
          <w:szCs w:val="20"/>
        </w:rPr>
        <w:t>责修复或更换，并承担由此增加的费用和（或）延误的工</w:t>
      </w:r>
      <w:r>
        <w:rPr>
          <w:rFonts w:ascii="宋体" w:hAnsi="宋体" w:eastAsia="宋体" w:cs="宋体"/>
          <w:spacing w:val="8"/>
          <w:sz w:val="20"/>
          <w:szCs w:val="20"/>
        </w:rPr>
        <w:t>期。</w:t>
      </w:r>
    </w:p>
    <w:p w14:paraId="54621E8D">
      <w:pPr>
        <w:spacing w:before="1" w:line="345" w:lineRule="auto"/>
        <w:ind w:firstLine="429"/>
        <w:rPr>
          <w:rFonts w:ascii="宋体" w:hAnsi="宋体" w:eastAsia="宋体" w:cs="宋体"/>
          <w:sz w:val="20"/>
          <w:szCs w:val="20"/>
        </w:rPr>
      </w:pPr>
      <w:r>
        <w:rPr>
          <w:rFonts w:ascii="宋体" w:hAnsi="宋体" w:eastAsia="宋体" w:cs="宋体"/>
          <w:spacing w:val="9"/>
          <w:sz w:val="20"/>
          <w:szCs w:val="20"/>
        </w:rPr>
        <w:t>（3）对合同内分期完成的成品和半成品，</w:t>
      </w:r>
      <w:r>
        <w:rPr>
          <w:rFonts w:ascii="宋体" w:hAnsi="宋体" w:eastAsia="宋体" w:cs="宋体"/>
          <w:spacing w:val="8"/>
          <w:sz w:val="20"/>
          <w:szCs w:val="20"/>
        </w:rPr>
        <w:t>在工程接收证书颁发前，</w:t>
      </w:r>
      <w:r>
        <w:rPr>
          <w:rFonts w:ascii="宋体" w:hAnsi="宋体" w:eastAsia="宋体" w:cs="宋体"/>
          <w:spacing w:val="-58"/>
          <w:sz w:val="20"/>
          <w:szCs w:val="20"/>
        </w:rPr>
        <w:t xml:space="preserve"> </w:t>
      </w:r>
      <w:r>
        <w:rPr>
          <w:rFonts w:ascii="宋体" w:hAnsi="宋体" w:eastAsia="宋体" w:cs="宋体"/>
          <w:spacing w:val="8"/>
          <w:sz w:val="20"/>
          <w:szCs w:val="20"/>
        </w:rPr>
        <w:t>由承包人承担保护责任。</w:t>
      </w:r>
      <w:r>
        <w:rPr>
          <w:rFonts w:ascii="宋体" w:hAnsi="宋体" w:eastAsia="宋体" w:cs="宋体"/>
          <w:spacing w:val="3"/>
          <w:sz w:val="20"/>
          <w:szCs w:val="20"/>
        </w:rPr>
        <w:t>因承包人原因造成成品或半成品损坏的，由承包人负责修复或更换，并</w:t>
      </w:r>
      <w:r>
        <w:rPr>
          <w:rFonts w:ascii="宋体" w:hAnsi="宋体" w:eastAsia="宋体" w:cs="宋体"/>
          <w:spacing w:val="2"/>
          <w:sz w:val="20"/>
          <w:szCs w:val="20"/>
        </w:rPr>
        <w:t>承担由此增加的费用和（或）</w:t>
      </w:r>
      <w:r>
        <w:rPr>
          <w:rFonts w:ascii="宋体" w:hAnsi="宋体" w:eastAsia="宋体" w:cs="宋体"/>
          <w:spacing w:val="6"/>
          <w:sz w:val="20"/>
          <w:szCs w:val="20"/>
        </w:rPr>
        <w:t>延误的工期。</w:t>
      </w:r>
    </w:p>
    <w:p w14:paraId="5F8C0C9C">
      <w:pPr>
        <w:spacing w:before="1" w:line="228" w:lineRule="auto"/>
        <w:ind w:left="424"/>
        <w:rPr>
          <w:rFonts w:ascii="宋体" w:hAnsi="宋体" w:eastAsia="宋体" w:cs="宋体"/>
          <w:sz w:val="20"/>
          <w:szCs w:val="20"/>
        </w:rPr>
      </w:pPr>
      <w:r>
        <w:rPr>
          <w:rFonts w:ascii="宋体" w:hAnsi="宋体" w:eastAsia="宋体" w:cs="宋体"/>
          <w:b/>
          <w:bCs/>
          <w:spacing w:val="3"/>
          <w:sz w:val="20"/>
          <w:szCs w:val="20"/>
        </w:rPr>
        <w:t>3.7</w:t>
      </w:r>
      <w:r>
        <w:rPr>
          <w:rFonts w:ascii="宋体" w:hAnsi="宋体" w:eastAsia="宋体" w:cs="宋体"/>
          <w:spacing w:val="15"/>
          <w:sz w:val="20"/>
          <w:szCs w:val="20"/>
        </w:rPr>
        <w:t xml:space="preserve"> </w:t>
      </w:r>
      <w:r>
        <w:rPr>
          <w:rFonts w:ascii="宋体" w:hAnsi="宋体" w:eastAsia="宋体" w:cs="宋体"/>
          <w:b/>
          <w:bCs/>
          <w:spacing w:val="3"/>
          <w:sz w:val="20"/>
          <w:szCs w:val="20"/>
        </w:rPr>
        <w:t>履约担保</w:t>
      </w:r>
    </w:p>
    <w:p w14:paraId="53F84FE6">
      <w:pPr>
        <w:spacing w:line="228" w:lineRule="auto"/>
        <w:rPr>
          <w:rFonts w:ascii="宋体" w:hAnsi="宋体" w:eastAsia="宋体" w:cs="宋体"/>
          <w:sz w:val="20"/>
          <w:szCs w:val="20"/>
        </w:rPr>
        <w:sectPr>
          <w:footerReference r:id="rId348" w:type="default"/>
          <w:pgSz w:w="11906" w:h="16839"/>
          <w:pgMar w:top="400" w:right="1445" w:bottom="1446" w:left="1539" w:header="0" w:footer="1284" w:gutter="0"/>
          <w:cols w:space="720" w:num="1"/>
        </w:sectPr>
      </w:pPr>
    </w:p>
    <w:p w14:paraId="74C234D9">
      <w:pPr>
        <w:spacing w:line="246" w:lineRule="auto"/>
        <w:rPr>
          <w:rFonts w:ascii="Arial"/>
          <w:sz w:val="21"/>
        </w:rPr>
      </w:pPr>
    </w:p>
    <w:p w14:paraId="2F966EAD">
      <w:pPr>
        <w:spacing w:line="246" w:lineRule="auto"/>
        <w:rPr>
          <w:rFonts w:ascii="Arial"/>
          <w:sz w:val="21"/>
        </w:rPr>
      </w:pPr>
    </w:p>
    <w:p w14:paraId="4FED032D">
      <w:pPr>
        <w:spacing w:line="246" w:lineRule="auto"/>
        <w:rPr>
          <w:rFonts w:ascii="Arial"/>
          <w:sz w:val="21"/>
        </w:rPr>
      </w:pPr>
    </w:p>
    <w:p w14:paraId="1AA24353">
      <w:pPr>
        <w:spacing w:line="246" w:lineRule="auto"/>
        <w:rPr>
          <w:rFonts w:ascii="Arial"/>
          <w:sz w:val="21"/>
        </w:rPr>
      </w:pPr>
    </w:p>
    <w:p w14:paraId="36F2D051">
      <w:pPr>
        <w:spacing w:line="246" w:lineRule="auto"/>
        <w:rPr>
          <w:rFonts w:ascii="Arial"/>
          <w:sz w:val="21"/>
        </w:rPr>
      </w:pPr>
    </w:p>
    <w:p w14:paraId="239A1AFA">
      <w:pPr>
        <w:spacing w:line="247" w:lineRule="auto"/>
        <w:rPr>
          <w:rFonts w:ascii="Arial"/>
          <w:sz w:val="21"/>
        </w:rPr>
      </w:pPr>
    </w:p>
    <w:p w14:paraId="7467A947">
      <w:pPr>
        <w:spacing w:before="65" w:line="346" w:lineRule="auto"/>
        <w:ind w:left="2" w:right="71" w:firstLine="421"/>
        <w:rPr>
          <w:rFonts w:ascii="宋体" w:hAnsi="宋体" w:eastAsia="宋体" w:cs="宋体"/>
          <w:sz w:val="20"/>
          <w:szCs w:val="20"/>
        </w:rPr>
      </w:pPr>
      <w:r>
        <w:rPr>
          <w:rFonts w:ascii="宋体" w:hAnsi="宋体" w:eastAsia="宋体" w:cs="宋体"/>
          <w:spacing w:val="9"/>
          <w:sz w:val="20"/>
          <w:szCs w:val="20"/>
        </w:rPr>
        <w:t>发包人需要承包人提供履约担保的，</w:t>
      </w:r>
      <w:r>
        <w:rPr>
          <w:rFonts w:ascii="宋体" w:hAnsi="宋体" w:eastAsia="宋体" w:cs="宋体"/>
          <w:spacing w:val="-52"/>
          <w:sz w:val="20"/>
          <w:szCs w:val="20"/>
        </w:rPr>
        <w:t xml:space="preserve"> </w:t>
      </w:r>
      <w:r>
        <w:rPr>
          <w:rFonts w:ascii="宋体" w:hAnsi="宋体" w:eastAsia="宋体" w:cs="宋体"/>
          <w:spacing w:val="9"/>
          <w:sz w:val="20"/>
          <w:szCs w:val="20"/>
        </w:rPr>
        <w:t>由合同当事人在专用合同条款中约定履约担保的方式、</w:t>
      </w:r>
      <w:r>
        <w:rPr>
          <w:rFonts w:ascii="宋体" w:hAnsi="宋体" w:eastAsia="宋体" w:cs="宋体"/>
          <w:spacing w:val="10"/>
          <w:sz w:val="20"/>
          <w:szCs w:val="20"/>
        </w:rPr>
        <w:t>金额及期限等。履约担保可以采用银行保函或担保公司担保等形式，具体由合同当事人在专用合</w:t>
      </w:r>
      <w:r>
        <w:rPr>
          <w:rFonts w:ascii="宋体" w:hAnsi="宋体" w:eastAsia="宋体" w:cs="宋体"/>
          <w:spacing w:val="6"/>
          <w:sz w:val="20"/>
          <w:szCs w:val="20"/>
        </w:rPr>
        <w:t>同条款中约定。</w:t>
      </w:r>
    </w:p>
    <w:p w14:paraId="027D0509">
      <w:pPr>
        <w:spacing w:before="1" w:line="345" w:lineRule="auto"/>
        <w:ind w:left="5" w:right="71" w:firstLine="431"/>
        <w:rPr>
          <w:rFonts w:ascii="宋体" w:hAnsi="宋体" w:eastAsia="宋体" w:cs="宋体"/>
          <w:sz w:val="20"/>
          <w:szCs w:val="20"/>
        </w:rPr>
      </w:pPr>
      <w:r>
        <w:rPr>
          <w:rFonts w:ascii="宋体" w:hAnsi="宋体" w:eastAsia="宋体" w:cs="宋体"/>
          <w:spacing w:val="10"/>
          <w:sz w:val="20"/>
          <w:szCs w:val="20"/>
        </w:rPr>
        <w:t>因承包人原因导致工期延长的，继续提供履约担保所增加的费用由承包人承担；</w:t>
      </w:r>
      <w:r>
        <w:rPr>
          <w:rFonts w:ascii="宋体" w:hAnsi="宋体" w:eastAsia="宋体" w:cs="宋体"/>
          <w:spacing w:val="9"/>
          <w:sz w:val="20"/>
          <w:szCs w:val="20"/>
        </w:rPr>
        <w:t>非因承包人原因导致工期延长的，继续提供履约担保所增加的费用由发包人承担。</w:t>
      </w:r>
    </w:p>
    <w:p w14:paraId="5F4877D1">
      <w:pPr>
        <w:spacing w:line="229" w:lineRule="auto"/>
        <w:ind w:left="425"/>
        <w:rPr>
          <w:rFonts w:ascii="宋体" w:hAnsi="宋体" w:eastAsia="宋体" w:cs="宋体"/>
          <w:sz w:val="20"/>
          <w:szCs w:val="20"/>
        </w:rPr>
      </w:pPr>
      <w:r>
        <w:rPr>
          <w:rFonts w:ascii="宋体" w:hAnsi="宋体" w:eastAsia="宋体" w:cs="宋体"/>
          <w:b/>
          <w:bCs/>
          <w:spacing w:val="2"/>
          <w:sz w:val="20"/>
          <w:szCs w:val="20"/>
        </w:rPr>
        <w:t>3.8</w:t>
      </w:r>
      <w:r>
        <w:rPr>
          <w:rFonts w:ascii="宋体" w:hAnsi="宋体" w:eastAsia="宋体" w:cs="宋体"/>
          <w:spacing w:val="15"/>
          <w:sz w:val="20"/>
          <w:szCs w:val="20"/>
        </w:rPr>
        <w:t xml:space="preserve"> </w:t>
      </w:r>
      <w:r>
        <w:rPr>
          <w:rFonts w:ascii="宋体" w:hAnsi="宋体" w:eastAsia="宋体" w:cs="宋体"/>
          <w:b/>
          <w:bCs/>
          <w:spacing w:val="2"/>
          <w:sz w:val="20"/>
          <w:szCs w:val="20"/>
        </w:rPr>
        <w:t>联合体</w:t>
      </w:r>
    </w:p>
    <w:p w14:paraId="29DB514D">
      <w:pPr>
        <w:spacing w:before="125" w:line="346" w:lineRule="auto"/>
        <w:ind w:left="1" w:right="71" w:firstLine="423"/>
        <w:rPr>
          <w:rFonts w:ascii="宋体" w:hAnsi="宋体" w:eastAsia="宋体" w:cs="宋体"/>
          <w:sz w:val="20"/>
          <w:szCs w:val="20"/>
        </w:rPr>
      </w:pPr>
      <w:r>
        <w:rPr>
          <w:rFonts w:ascii="宋体" w:hAnsi="宋体" w:eastAsia="宋体" w:cs="宋体"/>
          <w:spacing w:val="10"/>
          <w:sz w:val="20"/>
          <w:szCs w:val="20"/>
        </w:rPr>
        <w:t>3.8.1 联合体各方应共同与发包人签订合</w:t>
      </w:r>
      <w:r>
        <w:rPr>
          <w:rFonts w:ascii="宋体" w:hAnsi="宋体" w:eastAsia="宋体" w:cs="宋体"/>
          <w:spacing w:val="9"/>
          <w:sz w:val="20"/>
          <w:szCs w:val="20"/>
        </w:rPr>
        <w:t>同协议书。联合体各方应为履行合同向发包人承担</w:t>
      </w:r>
      <w:r>
        <w:rPr>
          <w:rFonts w:ascii="宋体" w:hAnsi="宋体" w:eastAsia="宋体" w:cs="宋体"/>
          <w:spacing w:val="5"/>
          <w:sz w:val="20"/>
          <w:szCs w:val="20"/>
        </w:rPr>
        <w:t>连带责任。</w:t>
      </w:r>
    </w:p>
    <w:p w14:paraId="46D2951D">
      <w:pPr>
        <w:spacing w:before="1" w:line="345" w:lineRule="auto"/>
        <w:ind w:left="1" w:right="71" w:firstLine="423"/>
        <w:rPr>
          <w:rFonts w:ascii="宋体" w:hAnsi="宋体" w:eastAsia="宋体" w:cs="宋体"/>
          <w:sz w:val="20"/>
          <w:szCs w:val="20"/>
        </w:rPr>
      </w:pPr>
      <w:r>
        <w:rPr>
          <w:rFonts w:ascii="宋体" w:hAnsi="宋体" w:eastAsia="宋体" w:cs="宋体"/>
          <w:spacing w:val="10"/>
          <w:sz w:val="20"/>
          <w:szCs w:val="20"/>
        </w:rPr>
        <w:t>3.8.2 联合体协议经发包人确认后作为合</w:t>
      </w:r>
      <w:r>
        <w:rPr>
          <w:rFonts w:ascii="宋体" w:hAnsi="宋体" w:eastAsia="宋体" w:cs="宋体"/>
          <w:spacing w:val="9"/>
          <w:sz w:val="20"/>
          <w:szCs w:val="20"/>
        </w:rPr>
        <w:t>同附件。在履行合同过程中，未经发包人同意，不</w:t>
      </w:r>
      <w:r>
        <w:rPr>
          <w:rFonts w:ascii="宋体" w:hAnsi="宋体" w:eastAsia="宋体" w:cs="宋体"/>
          <w:spacing w:val="7"/>
          <w:sz w:val="20"/>
          <w:szCs w:val="20"/>
        </w:rPr>
        <w:t>得修改联合体协议。</w:t>
      </w:r>
    </w:p>
    <w:p w14:paraId="1412F87C">
      <w:pPr>
        <w:spacing w:line="347" w:lineRule="auto"/>
        <w:ind w:left="4" w:right="71" w:firstLine="420"/>
        <w:rPr>
          <w:rFonts w:ascii="宋体" w:hAnsi="宋体" w:eastAsia="宋体" w:cs="宋体"/>
          <w:sz w:val="20"/>
          <w:szCs w:val="20"/>
        </w:rPr>
      </w:pPr>
      <w:r>
        <w:rPr>
          <w:rFonts w:ascii="宋体" w:hAnsi="宋体" w:eastAsia="宋体" w:cs="宋体"/>
          <w:spacing w:val="10"/>
          <w:sz w:val="20"/>
          <w:szCs w:val="20"/>
        </w:rPr>
        <w:t>3.8.3 联合体牵头人负责与发包人和监理</w:t>
      </w:r>
      <w:r>
        <w:rPr>
          <w:rFonts w:ascii="宋体" w:hAnsi="宋体" w:eastAsia="宋体" w:cs="宋体"/>
          <w:spacing w:val="9"/>
          <w:sz w:val="20"/>
          <w:szCs w:val="20"/>
        </w:rPr>
        <w:t>人联系，并接受指示，负责组织联合体各成员全面</w:t>
      </w:r>
      <w:r>
        <w:rPr>
          <w:rFonts w:ascii="宋体" w:hAnsi="宋体" w:eastAsia="宋体" w:cs="宋体"/>
          <w:spacing w:val="5"/>
          <w:sz w:val="20"/>
          <w:szCs w:val="20"/>
        </w:rPr>
        <w:t>履行合同。</w:t>
      </w:r>
    </w:p>
    <w:p w14:paraId="79085F8C">
      <w:pPr>
        <w:spacing w:line="303" w:lineRule="auto"/>
        <w:rPr>
          <w:rFonts w:ascii="Arial"/>
          <w:sz w:val="21"/>
        </w:rPr>
      </w:pPr>
    </w:p>
    <w:p w14:paraId="6068CA25">
      <w:pPr>
        <w:spacing w:before="65" w:line="231" w:lineRule="auto"/>
        <w:ind w:left="420"/>
        <w:outlineLvl w:val="2"/>
        <w:rPr>
          <w:rFonts w:ascii="宋体" w:hAnsi="宋体" w:eastAsia="宋体" w:cs="宋体"/>
          <w:sz w:val="20"/>
          <w:szCs w:val="20"/>
        </w:rPr>
      </w:pPr>
      <w:bookmarkStart w:id="309" w:name="bookmark292"/>
      <w:bookmarkEnd w:id="309"/>
      <w:r>
        <w:rPr>
          <w:rFonts w:ascii="宋体" w:hAnsi="宋体" w:eastAsia="宋体" w:cs="宋体"/>
          <w:b/>
          <w:bCs/>
          <w:spacing w:val="3"/>
          <w:sz w:val="20"/>
          <w:szCs w:val="20"/>
        </w:rPr>
        <w:t>4.</w:t>
      </w:r>
      <w:r>
        <w:rPr>
          <w:rFonts w:ascii="宋体" w:hAnsi="宋体" w:eastAsia="宋体" w:cs="宋体"/>
          <w:spacing w:val="14"/>
          <w:sz w:val="20"/>
          <w:szCs w:val="20"/>
        </w:rPr>
        <w:t xml:space="preserve"> </w:t>
      </w:r>
      <w:r>
        <w:rPr>
          <w:rFonts w:ascii="宋体" w:hAnsi="宋体" w:eastAsia="宋体" w:cs="宋体"/>
          <w:b/>
          <w:bCs/>
          <w:spacing w:val="3"/>
          <w:sz w:val="20"/>
          <w:szCs w:val="20"/>
        </w:rPr>
        <w:t>监理人</w:t>
      </w:r>
    </w:p>
    <w:p w14:paraId="1EADE191">
      <w:pPr>
        <w:spacing w:before="125" w:line="228" w:lineRule="auto"/>
        <w:ind w:left="420"/>
        <w:rPr>
          <w:rFonts w:ascii="宋体" w:hAnsi="宋体" w:eastAsia="宋体" w:cs="宋体"/>
          <w:sz w:val="20"/>
          <w:szCs w:val="20"/>
        </w:rPr>
      </w:pPr>
      <w:r>
        <w:rPr>
          <w:rFonts w:ascii="宋体" w:hAnsi="宋体" w:eastAsia="宋体" w:cs="宋体"/>
          <w:b/>
          <w:bCs/>
          <w:spacing w:val="6"/>
          <w:sz w:val="20"/>
          <w:szCs w:val="20"/>
        </w:rPr>
        <w:t>4.1</w:t>
      </w:r>
      <w:r>
        <w:rPr>
          <w:rFonts w:ascii="宋体" w:hAnsi="宋体" w:eastAsia="宋体" w:cs="宋体"/>
          <w:spacing w:val="6"/>
          <w:sz w:val="20"/>
          <w:szCs w:val="20"/>
        </w:rPr>
        <w:t xml:space="preserve"> </w:t>
      </w:r>
      <w:r>
        <w:rPr>
          <w:rFonts w:ascii="宋体" w:hAnsi="宋体" w:eastAsia="宋体" w:cs="宋体"/>
          <w:b/>
          <w:bCs/>
          <w:spacing w:val="6"/>
          <w:sz w:val="20"/>
          <w:szCs w:val="20"/>
        </w:rPr>
        <w:t>监理人的一般规定</w:t>
      </w:r>
    </w:p>
    <w:p w14:paraId="78E71541">
      <w:pPr>
        <w:spacing w:before="125" w:line="346" w:lineRule="auto"/>
        <w:ind w:firstLine="423"/>
        <w:jc w:val="both"/>
        <w:rPr>
          <w:rFonts w:ascii="宋体" w:hAnsi="宋体" w:eastAsia="宋体" w:cs="宋体"/>
          <w:sz w:val="20"/>
          <w:szCs w:val="20"/>
        </w:rPr>
      </w:pPr>
      <w:r>
        <w:rPr>
          <w:rFonts w:ascii="宋体" w:hAnsi="宋体" w:eastAsia="宋体" w:cs="宋体"/>
          <w:spacing w:val="10"/>
          <w:sz w:val="20"/>
          <w:szCs w:val="20"/>
        </w:rPr>
        <w:t>工程实行监理的，发包人和承包人应在专用合同条款中明确监理人的监理内容及监理权限等</w:t>
      </w:r>
      <w:r>
        <w:rPr>
          <w:rFonts w:ascii="宋体" w:hAnsi="宋体" w:eastAsia="宋体" w:cs="宋体"/>
          <w:spacing w:val="7"/>
          <w:sz w:val="20"/>
          <w:szCs w:val="20"/>
        </w:rPr>
        <w:t>事项。监理人应当根据发包人授权及法律规定，代表发包人对工程施工相关事项进行检查、查验、</w:t>
      </w:r>
      <w:r>
        <w:rPr>
          <w:rFonts w:ascii="宋体" w:hAnsi="宋体" w:eastAsia="宋体" w:cs="宋体"/>
          <w:spacing w:val="10"/>
          <w:sz w:val="20"/>
          <w:szCs w:val="20"/>
        </w:rPr>
        <w:t>审核、验收，并签发相关指示，但监理人无权修改合同，且无权减轻或免除合同约定的承包人的</w:t>
      </w:r>
      <w:r>
        <w:rPr>
          <w:rFonts w:ascii="宋体" w:hAnsi="宋体" w:eastAsia="宋体" w:cs="宋体"/>
          <w:spacing w:val="7"/>
          <w:sz w:val="20"/>
          <w:szCs w:val="20"/>
        </w:rPr>
        <w:t>任何责任与义务。</w:t>
      </w:r>
    </w:p>
    <w:p w14:paraId="467022E9">
      <w:pPr>
        <w:spacing w:before="1" w:line="345" w:lineRule="auto"/>
        <w:ind w:left="2" w:right="71" w:firstLine="430"/>
        <w:rPr>
          <w:rFonts w:ascii="宋体" w:hAnsi="宋体" w:eastAsia="宋体" w:cs="宋体"/>
          <w:sz w:val="20"/>
          <w:szCs w:val="20"/>
        </w:rPr>
      </w:pPr>
      <w:r>
        <w:rPr>
          <w:rFonts w:ascii="宋体" w:hAnsi="宋体" w:eastAsia="宋体" w:cs="宋体"/>
          <w:spacing w:val="10"/>
          <w:sz w:val="20"/>
          <w:szCs w:val="20"/>
        </w:rPr>
        <w:t>除专用合同条款另有约定外，监理人在施工现场的办公场所、生活场所由承包人提供，所发</w:t>
      </w:r>
      <w:r>
        <w:rPr>
          <w:rFonts w:ascii="宋体" w:hAnsi="宋体" w:eastAsia="宋体" w:cs="宋体"/>
          <w:spacing w:val="7"/>
          <w:sz w:val="20"/>
          <w:szCs w:val="20"/>
        </w:rPr>
        <w:t>生的费用由发包人承担。</w:t>
      </w:r>
    </w:p>
    <w:p w14:paraId="74D50D9E">
      <w:pPr>
        <w:spacing w:before="1" w:line="229" w:lineRule="auto"/>
        <w:ind w:left="420"/>
        <w:rPr>
          <w:rFonts w:ascii="宋体" w:hAnsi="宋体" w:eastAsia="宋体" w:cs="宋体"/>
          <w:sz w:val="20"/>
          <w:szCs w:val="20"/>
        </w:rPr>
      </w:pPr>
      <w:r>
        <w:rPr>
          <w:rFonts w:ascii="宋体" w:hAnsi="宋体" w:eastAsia="宋体" w:cs="宋体"/>
          <w:b/>
          <w:bCs/>
          <w:spacing w:val="5"/>
          <w:sz w:val="20"/>
          <w:szCs w:val="20"/>
        </w:rPr>
        <w:t>4.2</w:t>
      </w:r>
      <w:r>
        <w:rPr>
          <w:rFonts w:ascii="宋体" w:hAnsi="宋体" w:eastAsia="宋体" w:cs="宋体"/>
          <w:spacing w:val="5"/>
          <w:sz w:val="20"/>
          <w:szCs w:val="20"/>
        </w:rPr>
        <w:t xml:space="preserve"> </w:t>
      </w:r>
      <w:r>
        <w:rPr>
          <w:rFonts w:ascii="宋体" w:hAnsi="宋体" w:eastAsia="宋体" w:cs="宋体"/>
          <w:b/>
          <w:bCs/>
          <w:spacing w:val="5"/>
          <w:sz w:val="20"/>
          <w:szCs w:val="20"/>
        </w:rPr>
        <w:t>监理人员</w:t>
      </w:r>
    </w:p>
    <w:p w14:paraId="2AA9013F">
      <w:pPr>
        <w:spacing w:before="124" w:line="346" w:lineRule="auto"/>
        <w:ind w:left="1" w:right="58" w:firstLine="398"/>
        <w:jc w:val="both"/>
        <w:rPr>
          <w:rFonts w:ascii="宋体" w:hAnsi="宋体" w:eastAsia="宋体" w:cs="宋体"/>
          <w:sz w:val="20"/>
          <w:szCs w:val="20"/>
        </w:rPr>
      </w:pPr>
      <w:r>
        <w:rPr>
          <w:rFonts w:ascii="宋体" w:hAnsi="宋体" w:eastAsia="宋体" w:cs="宋体"/>
          <w:spacing w:val="-4"/>
          <w:sz w:val="20"/>
          <w:szCs w:val="20"/>
        </w:rPr>
        <w:t>发包人授予监理人对工程实施监理的权利由监理人派驻施工现场的监理人员行使，监理人员包括总</w:t>
      </w:r>
      <w:r>
        <w:rPr>
          <w:rFonts w:ascii="宋体" w:hAnsi="宋体" w:eastAsia="宋体" w:cs="宋体"/>
          <w:spacing w:val="-3"/>
          <w:sz w:val="20"/>
          <w:szCs w:val="20"/>
        </w:rPr>
        <w:t>监理工程师及监理工程师。监理人应将授权的总监理</w:t>
      </w:r>
      <w:r>
        <w:rPr>
          <w:rFonts w:ascii="宋体" w:hAnsi="宋体" w:eastAsia="宋体" w:cs="宋体"/>
          <w:spacing w:val="-4"/>
          <w:sz w:val="20"/>
          <w:szCs w:val="20"/>
        </w:rPr>
        <w:t>工程师和监理工程师的姓名及授权范围以书面形式提前通知承包人。更换总监理工程师的，监理人应提前</w:t>
      </w:r>
      <w:r>
        <w:rPr>
          <w:rFonts w:ascii="宋体" w:hAnsi="宋体" w:eastAsia="宋体" w:cs="宋体"/>
          <w:spacing w:val="-33"/>
          <w:sz w:val="20"/>
          <w:szCs w:val="20"/>
        </w:rPr>
        <w:t xml:space="preserve"> </w:t>
      </w:r>
      <w:r>
        <w:rPr>
          <w:rFonts w:ascii="宋体" w:hAnsi="宋体" w:eastAsia="宋体" w:cs="宋体"/>
          <w:spacing w:val="-4"/>
          <w:sz w:val="20"/>
          <w:szCs w:val="20"/>
        </w:rPr>
        <w:t>7</w:t>
      </w:r>
      <w:r>
        <w:rPr>
          <w:rFonts w:ascii="宋体" w:hAnsi="宋体" w:eastAsia="宋体" w:cs="宋体"/>
          <w:spacing w:val="-44"/>
          <w:sz w:val="20"/>
          <w:szCs w:val="20"/>
        </w:rPr>
        <w:t xml:space="preserve"> </w:t>
      </w:r>
      <w:r>
        <w:rPr>
          <w:rFonts w:ascii="宋体" w:hAnsi="宋体" w:eastAsia="宋体" w:cs="宋体"/>
          <w:spacing w:val="-4"/>
          <w:sz w:val="20"/>
          <w:szCs w:val="20"/>
        </w:rPr>
        <w:t>天书面通知承包人；更换其他监理人员，监理</w:t>
      </w:r>
      <w:r>
        <w:rPr>
          <w:rFonts w:ascii="宋体" w:hAnsi="宋体" w:eastAsia="宋体" w:cs="宋体"/>
          <w:spacing w:val="-2"/>
          <w:sz w:val="20"/>
          <w:szCs w:val="20"/>
        </w:rPr>
        <w:t>人应提前</w:t>
      </w:r>
      <w:r>
        <w:rPr>
          <w:rFonts w:ascii="宋体" w:hAnsi="宋体" w:eastAsia="宋体" w:cs="宋体"/>
          <w:spacing w:val="-52"/>
          <w:sz w:val="20"/>
          <w:szCs w:val="20"/>
        </w:rPr>
        <w:t xml:space="preserve"> </w:t>
      </w:r>
      <w:r>
        <w:rPr>
          <w:rFonts w:ascii="宋体" w:hAnsi="宋体" w:eastAsia="宋体" w:cs="宋体"/>
          <w:spacing w:val="-2"/>
          <w:sz w:val="20"/>
          <w:szCs w:val="20"/>
        </w:rPr>
        <w:t>48</w:t>
      </w:r>
      <w:r>
        <w:rPr>
          <w:rFonts w:ascii="宋体" w:hAnsi="宋体" w:eastAsia="宋体" w:cs="宋体"/>
          <w:spacing w:val="-44"/>
          <w:sz w:val="20"/>
          <w:szCs w:val="20"/>
        </w:rPr>
        <w:t xml:space="preserve"> </w:t>
      </w:r>
      <w:r>
        <w:rPr>
          <w:rFonts w:ascii="宋体" w:hAnsi="宋体" w:eastAsia="宋体" w:cs="宋体"/>
          <w:spacing w:val="-2"/>
          <w:sz w:val="20"/>
          <w:szCs w:val="20"/>
        </w:rPr>
        <w:t>小时书面通知承包人。</w:t>
      </w:r>
    </w:p>
    <w:p w14:paraId="2ACD5CF1">
      <w:pPr>
        <w:spacing w:line="229" w:lineRule="auto"/>
        <w:ind w:left="420"/>
        <w:rPr>
          <w:rFonts w:ascii="宋体" w:hAnsi="宋体" w:eastAsia="宋体" w:cs="宋体"/>
          <w:sz w:val="20"/>
          <w:szCs w:val="20"/>
        </w:rPr>
      </w:pPr>
      <w:r>
        <w:rPr>
          <w:rFonts w:ascii="宋体" w:hAnsi="宋体" w:eastAsia="宋体" w:cs="宋体"/>
          <w:b/>
          <w:bCs/>
          <w:spacing w:val="5"/>
          <w:sz w:val="20"/>
          <w:szCs w:val="20"/>
        </w:rPr>
        <w:t>4.3</w:t>
      </w:r>
      <w:r>
        <w:rPr>
          <w:rFonts w:ascii="宋体" w:hAnsi="宋体" w:eastAsia="宋体" w:cs="宋体"/>
          <w:spacing w:val="5"/>
          <w:sz w:val="20"/>
          <w:szCs w:val="20"/>
        </w:rPr>
        <w:t xml:space="preserve"> </w:t>
      </w:r>
      <w:r>
        <w:rPr>
          <w:rFonts w:ascii="宋体" w:hAnsi="宋体" w:eastAsia="宋体" w:cs="宋体"/>
          <w:b/>
          <w:bCs/>
          <w:spacing w:val="5"/>
          <w:sz w:val="20"/>
          <w:szCs w:val="20"/>
        </w:rPr>
        <w:t>监理人的指示</w:t>
      </w:r>
    </w:p>
    <w:p w14:paraId="141AE5DF">
      <w:pPr>
        <w:spacing w:before="125" w:line="346" w:lineRule="auto"/>
        <w:ind w:left="1" w:right="70" w:firstLine="420"/>
        <w:jc w:val="both"/>
        <w:rPr>
          <w:rFonts w:ascii="宋体" w:hAnsi="宋体" w:eastAsia="宋体" w:cs="宋体"/>
          <w:sz w:val="20"/>
          <w:szCs w:val="20"/>
        </w:rPr>
      </w:pPr>
      <w:r>
        <w:rPr>
          <w:rFonts w:ascii="宋体" w:hAnsi="宋体" w:eastAsia="宋体" w:cs="宋体"/>
          <w:spacing w:val="10"/>
          <w:sz w:val="20"/>
          <w:szCs w:val="20"/>
        </w:rPr>
        <w:t>监理人应按照发包人的授权发出监理指示。监理人的指示应采用书面形式，并经其授权的监理人员签字。紧急情况下，为了保证施工人员的安全或避免工程受损，监理人员可以口头形式发</w:t>
      </w:r>
      <w:r>
        <w:rPr>
          <w:rFonts w:ascii="宋体" w:hAnsi="宋体" w:eastAsia="宋体" w:cs="宋体"/>
          <w:spacing w:val="7"/>
          <w:sz w:val="20"/>
          <w:szCs w:val="20"/>
        </w:rPr>
        <w:t>出指示，该指示与书面形式的指示具有同等法律效力，但必须在发出口头指示后</w:t>
      </w:r>
      <w:r>
        <w:rPr>
          <w:rFonts w:ascii="宋体" w:hAnsi="宋体" w:eastAsia="宋体" w:cs="宋体"/>
          <w:spacing w:val="-37"/>
          <w:sz w:val="20"/>
          <w:szCs w:val="20"/>
        </w:rPr>
        <w:t xml:space="preserve"> </w:t>
      </w:r>
      <w:r>
        <w:rPr>
          <w:rFonts w:ascii="宋体" w:hAnsi="宋体" w:eastAsia="宋体" w:cs="宋体"/>
          <w:spacing w:val="7"/>
          <w:sz w:val="20"/>
          <w:szCs w:val="20"/>
        </w:rPr>
        <w:t>24</w:t>
      </w:r>
      <w:r>
        <w:rPr>
          <w:rFonts w:ascii="宋体" w:hAnsi="宋体" w:eastAsia="宋体" w:cs="宋体"/>
          <w:spacing w:val="-33"/>
          <w:sz w:val="20"/>
          <w:szCs w:val="20"/>
        </w:rPr>
        <w:t xml:space="preserve"> </w:t>
      </w:r>
      <w:r>
        <w:rPr>
          <w:rFonts w:ascii="宋体" w:hAnsi="宋体" w:eastAsia="宋体" w:cs="宋体"/>
          <w:spacing w:val="7"/>
          <w:sz w:val="20"/>
          <w:szCs w:val="20"/>
        </w:rPr>
        <w:t>小时内补发书</w:t>
      </w:r>
      <w:r>
        <w:rPr>
          <w:rFonts w:ascii="宋体" w:hAnsi="宋体" w:eastAsia="宋体" w:cs="宋体"/>
          <w:spacing w:val="9"/>
          <w:sz w:val="20"/>
          <w:szCs w:val="20"/>
        </w:rPr>
        <w:t>面监理指示，补发的书面监理指示应与口头指示一致。</w:t>
      </w:r>
    </w:p>
    <w:p w14:paraId="6EB748BB">
      <w:pPr>
        <w:spacing w:before="1" w:line="346" w:lineRule="auto"/>
        <w:ind w:right="71" w:firstLine="420"/>
        <w:jc w:val="both"/>
        <w:rPr>
          <w:rFonts w:ascii="宋体" w:hAnsi="宋体" w:eastAsia="宋体" w:cs="宋体"/>
          <w:sz w:val="20"/>
          <w:szCs w:val="20"/>
        </w:rPr>
      </w:pPr>
      <w:r>
        <w:rPr>
          <w:rFonts w:ascii="宋体" w:hAnsi="宋体" w:eastAsia="宋体" w:cs="宋体"/>
          <w:spacing w:val="10"/>
          <w:sz w:val="20"/>
          <w:szCs w:val="20"/>
        </w:rPr>
        <w:t>监理人发出的指示应送达承包人项目经理或经项目经理授权接收的人员。因监理人未能按合</w:t>
      </w:r>
      <w:r>
        <w:rPr>
          <w:rFonts w:ascii="宋体" w:hAnsi="宋体" w:eastAsia="宋体" w:cs="宋体"/>
          <w:spacing w:val="9"/>
          <w:sz w:val="20"/>
          <w:szCs w:val="20"/>
        </w:rPr>
        <w:t>同约定发出指示、指示延误或发出了错误指示而导致承包人费用增加和（或）工期延误的，</w:t>
      </w:r>
      <w:r>
        <w:rPr>
          <w:rFonts w:ascii="宋体" w:hAnsi="宋体" w:eastAsia="宋体" w:cs="宋体"/>
          <w:spacing w:val="-46"/>
          <w:sz w:val="20"/>
          <w:szCs w:val="20"/>
        </w:rPr>
        <w:t xml:space="preserve"> </w:t>
      </w:r>
      <w:r>
        <w:rPr>
          <w:rFonts w:ascii="宋体" w:hAnsi="宋体" w:eastAsia="宋体" w:cs="宋体"/>
          <w:spacing w:val="9"/>
          <w:sz w:val="20"/>
          <w:szCs w:val="20"/>
        </w:rPr>
        <w:t>由发包人承担相应责任。除专用合同条款另有约定外，总监理工程师不应将第</w:t>
      </w:r>
      <w:r>
        <w:rPr>
          <w:rFonts w:ascii="宋体" w:hAnsi="宋体" w:eastAsia="宋体" w:cs="宋体"/>
          <w:spacing w:val="-29"/>
          <w:sz w:val="20"/>
          <w:szCs w:val="20"/>
        </w:rPr>
        <w:t xml:space="preserve"> </w:t>
      </w:r>
      <w:r>
        <w:rPr>
          <w:rFonts w:ascii="宋体" w:hAnsi="宋体" w:eastAsia="宋体" w:cs="宋体"/>
          <w:spacing w:val="9"/>
          <w:sz w:val="20"/>
          <w:szCs w:val="20"/>
        </w:rPr>
        <w:t>4.4</w:t>
      </w:r>
      <w:r>
        <w:rPr>
          <w:rFonts w:ascii="宋体" w:hAnsi="宋体" w:eastAsia="宋体" w:cs="宋体"/>
          <w:spacing w:val="-37"/>
          <w:sz w:val="20"/>
          <w:szCs w:val="20"/>
        </w:rPr>
        <w:t xml:space="preserve"> </w:t>
      </w:r>
      <w:r>
        <w:rPr>
          <w:rFonts w:ascii="宋体" w:hAnsi="宋体" w:eastAsia="宋体" w:cs="宋体"/>
          <w:spacing w:val="9"/>
          <w:sz w:val="20"/>
          <w:szCs w:val="20"/>
        </w:rPr>
        <w:t>款〔商定或确定〕</w:t>
      </w:r>
    </w:p>
    <w:p w14:paraId="5401836A">
      <w:pPr>
        <w:spacing w:line="346" w:lineRule="auto"/>
        <w:rPr>
          <w:rFonts w:ascii="宋体" w:hAnsi="宋体" w:eastAsia="宋体" w:cs="宋体"/>
          <w:sz w:val="20"/>
          <w:szCs w:val="20"/>
        </w:rPr>
        <w:sectPr>
          <w:footerReference r:id="rId349" w:type="default"/>
          <w:pgSz w:w="11906" w:h="16839"/>
          <w:pgMar w:top="400" w:right="1462" w:bottom="1446" w:left="1538" w:header="0" w:footer="1284" w:gutter="0"/>
          <w:cols w:space="720" w:num="1"/>
        </w:sectPr>
      </w:pPr>
    </w:p>
    <w:p w14:paraId="3F3C52D7">
      <w:pPr>
        <w:spacing w:line="246" w:lineRule="auto"/>
        <w:rPr>
          <w:rFonts w:ascii="Arial"/>
          <w:sz w:val="21"/>
        </w:rPr>
      </w:pPr>
    </w:p>
    <w:p w14:paraId="5D34736C">
      <w:pPr>
        <w:spacing w:line="246" w:lineRule="auto"/>
        <w:rPr>
          <w:rFonts w:ascii="Arial"/>
          <w:sz w:val="21"/>
        </w:rPr>
      </w:pPr>
    </w:p>
    <w:p w14:paraId="31AE6891">
      <w:pPr>
        <w:spacing w:line="246" w:lineRule="auto"/>
        <w:rPr>
          <w:rFonts w:ascii="Arial"/>
          <w:sz w:val="21"/>
        </w:rPr>
      </w:pPr>
    </w:p>
    <w:p w14:paraId="1DF152ED">
      <w:pPr>
        <w:spacing w:line="246" w:lineRule="auto"/>
        <w:rPr>
          <w:rFonts w:ascii="Arial"/>
          <w:sz w:val="21"/>
        </w:rPr>
      </w:pPr>
    </w:p>
    <w:p w14:paraId="2CA44ADA">
      <w:pPr>
        <w:spacing w:line="247" w:lineRule="auto"/>
        <w:rPr>
          <w:rFonts w:ascii="Arial"/>
          <w:sz w:val="21"/>
        </w:rPr>
      </w:pPr>
    </w:p>
    <w:p w14:paraId="71D26A55">
      <w:pPr>
        <w:spacing w:line="247" w:lineRule="auto"/>
        <w:rPr>
          <w:rFonts w:ascii="Arial"/>
          <w:sz w:val="21"/>
        </w:rPr>
      </w:pPr>
    </w:p>
    <w:p w14:paraId="449098BA">
      <w:pPr>
        <w:spacing w:before="65" w:line="228" w:lineRule="auto"/>
        <w:ind w:left="5"/>
        <w:rPr>
          <w:rFonts w:ascii="宋体" w:hAnsi="宋体" w:eastAsia="宋体" w:cs="宋体"/>
          <w:sz w:val="20"/>
          <w:szCs w:val="20"/>
        </w:rPr>
      </w:pPr>
      <w:r>
        <w:rPr>
          <w:rFonts w:ascii="宋体" w:hAnsi="宋体" w:eastAsia="宋体" w:cs="宋体"/>
          <w:spacing w:val="9"/>
          <w:sz w:val="20"/>
          <w:szCs w:val="20"/>
        </w:rPr>
        <w:t>约定应由总监理工程师作出确定的权力授权或委托给其他监理人员。</w:t>
      </w:r>
    </w:p>
    <w:p w14:paraId="01D9789B">
      <w:pPr>
        <w:spacing w:before="126" w:line="346" w:lineRule="auto"/>
        <w:ind w:left="3" w:firstLine="417"/>
        <w:rPr>
          <w:rFonts w:ascii="宋体" w:hAnsi="宋体" w:eastAsia="宋体" w:cs="宋体"/>
          <w:sz w:val="20"/>
          <w:szCs w:val="20"/>
        </w:rPr>
      </w:pPr>
      <w:r>
        <w:rPr>
          <w:rFonts w:ascii="宋体" w:hAnsi="宋体" w:eastAsia="宋体" w:cs="宋体"/>
          <w:spacing w:val="9"/>
          <w:sz w:val="20"/>
          <w:szCs w:val="20"/>
        </w:rPr>
        <w:t>承包人对监理人发出的指示有疑问的，应向</w:t>
      </w:r>
      <w:r>
        <w:rPr>
          <w:rFonts w:ascii="宋体" w:hAnsi="宋体" w:eastAsia="宋体" w:cs="宋体"/>
          <w:spacing w:val="8"/>
          <w:sz w:val="20"/>
          <w:szCs w:val="20"/>
        </w:rPr>
        <w:t>监理人提出书面异议，监理人应在48</w:t>
      </w:r>
      <w:r>
        <w:rPr>
          <w:rFonts w:ascii="宋体" w:hAnsi="宋体" w:eastAsia="宋体" w:cs="宋体"/>
          <w:spacing w:val="-35"/>
          <w:sz w:val="20"/>
          <w:szCs w:val="20"/>
        </w:rPr>
        <w:t xml:space="preserve"> </w:t>
      </w:r>
      <w:r>
        <w:rPr>
          <w:rFonts w:ascii="宋体" w:hAnsi="宋体" w:eastAsia="宋体" w:cs="宋体"/>
          <w:spacing w:val="8"/>
          <w:sz w:val="20"/>
          <w:szCs w:val="20"/>
        </w:rPr>
        <w:t>小时内对该</w:t>
      </w:r>
      <w:r>
        <w:rPr>
          <w:rFonts w:ascii="宋体" w:hAnsi="宋体" w:eastAsia="宋体" w:cs="宋体"/>
          <w:spacing w:val="9"/>
          <w:sz w:val="20"/>
          <w:szCs w:val="20"/>
        </w:rPr>
        <w:t>指示予以确认、更改或撤销，监理人逾期未回复的，承包人有权拒绝执行上述指示。</w:t>
      </w:r>
    </w:p>
    <w:p w14:paraId="6FFF2839">
      <w:pPr>
        <w:spacing w:before="1" w:line="345" w:lineRule="auto"/>
        <w:ind w:left="3" w:firstLine="418"/>
        <w:jc w:val="both"/>
        <w:rPr>
          <w:rFonts w:ascii="宋体" w:hAnsi="宋体" w:eastAsia="宋体" w:cs="宋体"/>
          <w:sz w:val="20"/>
          <w:szCs w:val="20"/>
        </w:rPr>
      </w:pPr>
      <w:r>
        <w:rPr>
          <w:rFonts w:ascii="宋体" w:hAnsi="宋体" w:eastAsia="宋体" w:cs="宋体"/>
          <w:spacing w:val="10"/>
          <w:sz w:val="20"/>
          <w:szCs w:val="20"/>
        </w:rPr>
        <w:t>监理人对承包人的任何工作、工程或其采用的材料和工程设备未在约定的或合理期限内提出意见的，视为批准，但不免除或减轻承包人对该工作、工程、材料、工程设备等应承担的责任和</w:t>
      </w:r>
      <w:r>
        <w:rPr>
          <w:rFonts w:ascii="宋体" w:hAnsi="宋体" w:eastAsia="宋体" w:cs="宋体"/>
          <w:spacing w:val="2"/>
          <w:sz w:val="20"/>
          <w:szCs w:val="20"/>
        </w:rPr>
        <w:t>义务。</w:t>
      </w:r>
    </w:p>
    <w:p w14:paraId="427F35C9">
      <w:pPr>
        <w:spacing w:line="228" w:lineRule="auto"/>
        <w:ind w:left="420"/>
        <w:rPr>
          <w:rFonts w:ascii="宋体" w:hAnsi="宋体" w:eastAsia="宋体" w:cs="宋体"/>
          <w:sz w:val="20"/>
          <w:szCs w:val="20"/>
        </w:rPr>
      </w:pPr>
      <w:r>
        <w:rPr>
          <w:rFonts w:ascii="宋体" w:hAnsi="宋体" w:eastAsia="宋体" w:cs="宋体"/>
          <w:b/>
          <w:bCs/>
          <w:spacing w:val="4"/>
          <w:sz w:val="20"/>
          <w:szCs w:val="20"/>
        </w:rPr>
        <w:t>4.4</w:t>
      </w:r>
      <w:r>
        <w:rPr>
          <w:rFonts w:ascii="宋体" w:hAnsi="宋体" w:eastAsia="宋体" w:cs="宋体"/>
          <w:spacing w:val="16"/>
          <w:sz w:val="20"/>
          <w:szCs w:val="20"/>
        </w:rPr>
        <w:t xml:space="preserve"> </w:t>
      </w:r>
      <w:r>
        <w:rPr>
          <w:rFonts w:ascii="宋体" w:hAnsi="宋体" w:eastAsia="宋体" w:cs="宋体"/>
          <w:b/>
          <w:bCs/>
          <w:spacing w:val="4"/>
          <w:sz w:val="20"/>
          <w:szCs w:val="20"/>
        </w:rPr>
        <w:t>商定或确定</w:t>
      </w:r>
    </w:p>
    <w:p w14:paraId="7E01175E">
      <w:pPr>
        <w:spacing w:before="126" w:line="346" w:lineRule="auto"/>
        <w:ind w:left="4" w:right="51" w:firstLine="417"/>
        <w:rPr>
          <w:rFonts w:ascii="宋体" w:hAnsi="宋体" w:eastAsia="宋体" w:cs="宋体"/>
          <w:sz w:val="20"/>
          <w:szCs w:val="20"/>
        </w:rPr>
      </w:pPr>
      <w:r>
        <w:rPr>
          <w:rFonts w:ascii="宋体" w:hAnsi="宋体" w:eastAsia="宋体" w:cs="宋体"/>
          <w:spacing w:val="9"/>
          <w:sz w:val="20"/>
          <w:szCs w:val="20"/>
        </w:rPr>
        <w:t>合同当事人进行商定或确定时，总监理工程师应当会同合同当事人尽量通过协商达成一致，</w:t>
      </w:r>
      <w:r>
        <w:rPr>
          <w:rFonts w:ascii="宋体" w:hAnsi="宋体" w:eastAsia="宋体" w:cs="宋体"/>
          <w:spacing w:val="8"/>
          <w:sz w:val="20"/>
          <w:szCs w:val="20"/>
        </w:rPr>
        <w:t>不能达成一致的，</w:t>
      </w:r>
      <w:r>
        <w:rPr>
          <w:rFonts w:ascii="宋体" w:hAnsi="宋体" w:eastAsia="宋体" w:cs="宋体"/>
          <w:spacing w:val="-57"/>
          <w:sz w:val="20"/>
          <w:szCs w:val="20"/>
        </w:rPr>
        <w:t xml:space="preserve"> </w:t>
      </w:r>
      <w:r>
        <w:rPr>
          <w:rFonts w:ascii="宋体" w:hAnsi="宋体" w:eastAsia="宋体" w:cs="宋体"/>
          <w:spacing w:val="8"/>
          <w:sz w:val="20"/>
          <w:szCs w:val="20"/>
        </w:rPr>
        <w:t>由总监理工程师按照合同约定审慎做出</w:t>
      </w:r>
      <w:r>
        <w:rPr>
          <w:rFonts w:ascii="宋体" w:hAnsi="宋体" w:eastAsia="宋体" w:cs="宋体"/>
          <w:spacing w:val="7"/>
          <w:sz w:val="20"/>
          <w:szCs w:val="20"/>
        </w:rPr>
        <w:t>公正的确定。</w:t>
      </w:r>
    </w:p>
    <w:p w14:paraId="0874DF4A">
      <w:pPr>
        <w:spacing w:before="1" w:line="346" w:lineRule="auto"/>
        <w:ind w:firstLine="425"/>
        <w:jc w:val="both"/>
        <w:rPr>
          <w:rFonts w:ascii="宋体" w:hAnsi="宋体" w:eastAsia="宋体" w:cs="宋体"/>
          <w:sz w:val="20"/>
          <w:szCs w:val="20"/>
        </w:rPr>
      </w:pPr>
      <w:r>
        <w:rPr>
          <w:rFonts w:ascii="宋体" w:hAnsi="宋体" w:eastAsia="宋体" w:cs="宋体"/>
          <w:spacing w:val="10"/>
          <w:sz w:val="20"/>
          <w:szCs w:val="20"/>
        </w:rPr>
        <w:t>总监理工程师应将确定以书面形式通知发包人和承包人，并附详细依据。合同当事人对总监理工程师的确定没有异议的，按照总监理工程师的确定执行。任何一方合同当事人有异议，按照</w:t>
      </w:r>
      <w:r>
        <w:rPr>
          <w:rFonts w:ascii="宋体" w:hAnsi="宋体" w:eastAsia="宋体" w:cs="宋体"/>
          <w:spacing w:val="7"/>
          <w:sz w:val="20"/>
          <w:szCs w:val="20"/>
        </w:rPr>
        <w:t>第</w:t>
      </w:r>
      <w:r>
        <w:rPr>
          <w:rFonts w:ascii="宋体" w:hAnsi="宋体" w:eastAsia="宋体" w:cs="宋体"/>
          <w:spacing w:val="-33"/>
          <w:sz w:val="20"/>
          <w:szCs w:val="20"/>
        </w:rPr>
        <w:t xml:space="preserve"> </w:t>
      </w:r>
      <w:r>
        <w:rPr>
          <w:rFonts w:ascii="宋体" w:hAnsi="宋体" w:eastAsia="宋体" w:cs="宋体"/>
          <w:spacing w:val="7"/>
          <w:sz w:val="20"/>
          <w:szCs w:val="20"/>
        </w:rPr>
        <w:t>20</w:t>
      </w:r>
      <w:r>
        <w:rPr>
          <w:rFonts w:ascii="宋体" w:hAnsi="宋体" w:eastAsia="宋体" w:cs="宋体"/>
          <w:spacing w:val="-36"/>
          <w:sz w:val="20"/>
          <w:szCs w:val="20"/>
        </w:rPr>
        <w:t xml:space="preserve"> </w:t>
      </w:r>
      <w:r>
        <w:rPr>
          <w:rFonts w:ascii="宋体" w:hAnsi="宋体" w:eastAsia="宋体" w:cs="宋体"/>
          <w:spacing w:val="7"/>
          <w:sz w:val="20"/>
          <w:szCs w:val="20"/>
        </w:rPr>
        <w:t>条〔争议解决〕约定处理。争议解决前，合同当事人暂按总监理工程师的确定执行；争议解</w:t>
      </w:r>
      <w:r>
        <w:rPr>
          <w:rFonts w:ascii="宋体" w:hAnsi="宋体" w:eastAsia="宋体" w:cs="宋体"/>
          <w:spacing w:val="9"/>
          <w:sz w:val="20"/>
          <w:szCs w:val="20"/>
        </w:rPr>
        <w:t>决后，争议解决的结果与总监理工程师的确定不一致的，按照争议解决的结果执行，</w:t>
      </w:r>
      <w:r>
        <w:rPr>
          <w:rFonts w:ascii="宋体" w:hAnsi="宋体" w:eastAsia="宋体" w:cs="宋体"/>
          <w:spacing w:val="-46"/>
          <w:sz w:val="20"/>
          <w:szCs w:val="20"/>
        </w:rPr>
        <w:t xml:space="preserve"> </w:t>
      </w:r>
      <w:r>
        <w:rPr>
          <w:rFonts w:ascii="宋体" w:hAnsi="宋体" w:eastAsia="宋体" w:cs="宋体"/>
          <w:spacing w:val="9"/>
          <w:sz w:val="20"/>
          <w:szCs w:val="20"/>
        </w:rPr>
        <w:t>由此造成的</w:t>
      </w:r>
      <w:r>
        <w:rPr>
          <w:rFonts w:ascii="宋体" w:hAnsi="宋体" w:eastAsia="宋体" w:cs="宋体"/>
          <w:spacing w:val="7"/>
          <w:sz w:val="20"/>
          <w:szCs w:val="20"/>
        </w:rPr>
        <w:t>损失由责任人承担。</w:t>
      </w:r>
    </w:p>
    <w:p w14:paraId="0081AA9B">
      <w:pPr>
        <w:spacing w:line="304" w:lineRule="auto"/>
        <w:rPr>
          <w:rFonts w:ascii="Arial"/>
          <w:sz w:val="21"/>
        </w:rPr>
      </w:pPr>
    </w:p>
    <w:p w14:paraId="71964DE2">
      <w:pPr>
        <w:spacing w:before="66" w:line="228" w:lineRule="auto"/>
        <w:ind w:left="425"/>
        <w:outlineLvl w:val="2"/>
        <w:rPr>
          <w:rFonts w:ascii="宋体" w:hAnsi="宋体" w:eastAsia="宋体" w:cs="宋体"/>
          <w:sz w:val="20"/>
          <w:szCs w:val="20"/>
        </w:rPr>
      </w:pPr>
      <w:bookmarkStart w:id="310" w:name="bookmark293"/>
      <w:bookmarkEnd w:id="310"/>
      <w:r>
        <w:rPr>
          <w:rFonts w:ascii="宋体" w:hAnsi="宋体" w:eastAsia="宋体" w:cs="宋体"/>
          <w:b/>
          <w:bCs/>
          <w:spacing w:val="3"/>
          <w:sz w:val="20"/>
          <w:szCs w:val="20"/>
        </w:rPr>
        <w:t>5.</w:t>
      </w:r>
      <w:r>
        <w:rPr>
          <w:rFonts w:ascii="宋体" w:hAnsi="宋体" w:eastAsia="宋体" w:cs="宋体"/>
          <w:spacing w:val="15"/>
          <w:sz w:val="20"/>
          <w:szCs w:val="20"/>
        </w:rPr>
        <w:t xml:space="preserve"> </w:t>
      </w:r>
      <w:r>
        <w:rPr>
          <w:rFonts w:ascii="宋体" w:hAnsi="宋体" w:eastAsia="宋体" w:cs="宋体"/>
          <w:b/>
          <w:bCs/>
          <w:spacing w:val="3"/>
          <w:sz w:val="20"/>
          <w:szCs w:val="20"/>
        </w:rPr>
        <w:t>工程质量</w:t>
      </w:r>
    </w:p>
    <w:p w14:paraId="4E792C2D">
      <w:pPr>
        <w:spacing w:before="127" w:line="228" w:lineRule="auto"/>
        <w:ind w:left="425"/>
        <w:rPr>
          <w:rFonts w:ascii="宋体" w:hAnsi="宋体" w:eastAsia="宋体" w:cs="宋体"/>
          <w:sz w:val="20"/>
          <w:szCs w:val="20"/>
        </w:rPr>
      </w:pPr>
      <w:r>
        <w:rPr>
          <w:rFonts w:ascii="宋体" w:hAnsi="宋体" w:eastAsia="宋体" w:cs="宋体"/>
          <w:b/>
          <w:bCs/>
          <w:spacing w:val="4"/>
          <w:sz w:val="20"/>
          <w:szCs w:val="20"/>
        </w:rPr>
        <w:t>5.1</w:t>
      </w:r>
      <w:r>
        <w:rPr>
          <w:rFonts w:ascii="宋体" w:hAnsi="宋体" w:eastAsia="宋体" w:cs="宋体"/>
          <w:spacing w:val="4"/>
          <w:sz w:val="20"/>
          <w:szCs w:val="20"/>
        </w:rPr>
        <w:t xml:space="preserve"> </w:t>
      </w:r>
      <w:r>
        <w:rPr>
          <w:rFonts w:ascii="宋体" w:hAnsi="宋体" w:eastAsia="宋体" w:cs="宋体"/>
          <w:b/>
          <w:bCs/>
          <w:spacing w:val="4"/>
          <w:sz w:val="20"/>
          <w:szCs w:val="20"/>
        </w:rPr>
        <w:t>质量要求</w:t>
      </w:r>
    </w:p>
    <w:p w14:paraId="128C1056">
      <w:pPr>
        <w:spacing w:before="126" w:line="346" w:lineRule="auto"/>
        <w:ind w:firstLine="425"/>
        <w:rPr>
          <w:rFonts w:ascii="宋体" w:hAnsi="宋体" w:eastAsia="宋体" w:cs="宋体"/>
          <w:sz w:val="20"/>
          <w:szCs w:val="20"/>
        </w:rPr>
      </w:pPr>
      <w:r>
        <w:rPr>
          <w:rFonts w:ascii="宋体" w:hAnsi="宋体" w:eastAsia="宋体" w:cs="宋体"/>
          <w:spacing w:val="10"/>
          <w:sz w:val="20"/>
          <w:szCs w:val="20"/>
        </w:rPr>
        <w:t>5.1.1 工程质量标准必须符合现行国家有</w:t>
      </w:r>
      <w:r>
        <w:rPr>
          <w:rFonts w:ascii="宋体" w:hAnsi="宋体" w:eastAsia="宋体" w:cs="宋体"/>
          <w:spacing w:val="9"/>
          <w:sz w:val="20"/>
          <w:szCs w:val="20"/>
        </w:rPr>
        <w:t>关工程施工质量验收规范和标准的要求。有关工程</w:t>
      </w:r>
      <w:r>
        <w:rPr>
          <w:rFonts w:ascii="宋体" w:hAnsi="宋体" w:eastAsia="宋体" w:cs="宋体"/>
          <w:spacing w:val="10"/>
          <w:sz w:val="20"/>
          <w:szCs w:val="20"/>
        </w:rPr>
        <w:t>质量的特殊标准或要求由合同当事人在专用合同条款中约定。承包人中标后，发包人要求提高工程项目质量目标，并获得优质工程奖的，可按照《湖北省建设工程质量创优奖励实施办法》或工</w:t>
      </w:r>
      <w:r>
        <w:rPr>
          <w:rFonts w:ascii="宋体" w:hAnsi="宋体" w:eastAsia="宋体" w:cs="宋体"/>
          <w:spacing w:val="8"/>
          <w:sz w:val="20"/>
          <w:szCs w:val="20"/>
        </w:rPr>
        <w:t>程所在地的地方性文件向承包人支付奖励。</w:t>
      </w:r>
    </w:p>
    <w:p w14:paraId="6AAAA25F">
      <w:pPr>
        <w:spacing w:before="1" w:line="345" w:lineRule="auto"/>
        <w:ind w:left="10" w:firstLine="414"/>
        <w:rPr>
          <w:rFonts w:ascii="宋体" w:hAnsi="宋体" w:eastAsia="宋体" w:cs="宋体"/>
          <w:sz w:val="20"/>
          <w:szCs w:val="20"/>
        </w:rPr>
      </w:pPr>
      <w:r>
        <w:rPr>
          <w:rFonts w:ascii="宋体" w:hAnsi="宋体" w:eastAsia="宋体" w:cs="宋体"/>
          <w:spacing w:val="9"/>
          <w:sz w:val="20"/>
          <w:szCs w:val="20"/>
        </w:rPr>
        <w:t>5.1.2 因发包人原因造成工程质量未达到</w:t>
      </w:r>
      <w:r>
        <w:rPr>
          <w:rFonts w:ascii="宋体" w:hAnsi="宋体" w:eastAsia="宋体" w:cs="宋体"/>
          <w:spacing w:val="8"/>
          <w:sz w:val="20"/>
          <w:szCs w:val="20"/>
        </w:rPr>
        <w:t>合同约定标准的，</w:t>
      </w:r>
      <w:r>
        <w:rPr>
          <w:rFonts w:ascii="宋体" w:hAnsi="宋体" w:eastAsia="宋体" w:cs="宋体"/>
          <w:spacing w:val="-57"/>
          <w:sz w:val="20"/>
          <w:szCs w:val="20"/>
        </w:rPr>
        <w:t xml:space="preserve"> </w:t>
      </w:r>
      <w:r>
        <w:rPr>
          <w:rFonts w:ascii="宋体" w:hAnsi="宋体" w:eastAsia="宋体" w:cs="宋体"/>
          <w:spacing w:val="8"/>
          <w:sz w:val="20"/>
          <w:szCs w:val="20"/>
        </w:rPr>
        <w:t>由发包人承担由此增加的费用和（或）延误的工期，并支付承包人合理的利润。</w:t>
      </w:r>
    </w:p>
    <w:p w14:paraId="49508AC7">
      <w:pPr>
        <w:spacing w:before="1" w:line="345" w:lineRule="auto"/>
        <w:ind w:left="3" w:firstLine="421"/>
        <w:rPr>
          <w:rFonts w:ascii="宋体" w:hAnsi="宋体" w:eastAsia="宋体" w:cs="宋体"/>
          <w:sz w:val="20"/>
          <w:szCs w:val="20"/>
        </w:rPr>
      </w:pPr>
      <w:r>
        <w:rPr>
          <w:rFonts w:ascii="宋体" w:hAnsi="宋体" w:eastAsia="宋体" w:cs="宋体"/>
          <w:spacing w:val="10"/>
          <w:sz w:val="20"/>
          <w:szCs w:val="20"/>
        </w:rPr>
        <w:t>5.1.3 因承包人原因造成工程质量未达到</w:t>
      </w:r>
      <w:r>
        <w:rPr>
          <w:rFonts w:ascii="宋体" w:hAnsi="宋体" w:eastAsia="宋体" w:cs="宋体"/>
          <w:spacing w:val="9"/>
          <w:sz w:val="20"/>
          <w:szCs w:val="20"/>
        </w:rPr>
        <w:t>合同约定标准的，发包人有权要求承包人返工直至工程质量达到合同约定的标准为止，并由承包人承担由此增加的费用和（或）延误的工期。</w:t>
      </w:r>
    </w:p>
    <w:p w14:paraId="4D5091D2">
      <w:pPr>
        <w:spacing w:line="228" w:lineRule="auto"/>
        <w:ind w:left="425"/>
        <w:rPr>
          <w:rFonts w:ascii="宋体" w:hAnsi="宋体" w:eastAsia="宋体" w:cs="宋体"/>
          <w:sz w:val="20"/>
          <w:szCs w:val="20"/>
        </w:rPr>
      </w:pPr>
      <w:r>
        <w:rPr>
          <w:rFonts w:ascii="宋体" w:hAnsi="宋体" w:eastAsia="宋体" w:cs="宋体"/>
          <w:b/>
          <w:bCs/>
          <w:spacing w:val="5"/>
          <w:sz w:val="20"/>
          <w:szCs w:val="20"/>
        </w:rPr>
        <w:t>5.2</w:t>
      </w:r>
      <w:r>
        <w:rPr>
          <w:rFonts w:ascii="宋体" w:hAnsi="宋体" w:eastAsia="宋体" w:cs="宋体"/>
          <w:spacing w:val="5"/>
          <w:sz w:val="20"/>
          <w:szCs w:val="20"/>
        </w:rPr>
        <w:t xml:space="preserve"> </w:t>
      </w:r>
      <w:r>
        <w:rPr>
          <w:rFonts w:ascii="宋体" w:hAnsi="宋体" w:eastAsia="宋体" w:cs="宋体"/>
          <w:b/>
          <w:bCs/>
          <w:spacing w:val="5"/>
          <w:sz w:val="20"/>
          <w:szCs w:val="20"/>
        </w:rPr>
        <w:t>质量保证措施</w:t>
      </w:r>
    </w:p>
    <w:p w14:paraId="33B7D3D5">
      <w:pPr>
        <w:spacing w:before="127" w:line="228" w:lineRule="auto"/>
        <w:ind w:left="425"/>
        <w:rPr>
          <w:rFonts w:ascii="宋体" w:hAnsi="宋体" w:eastAsia="宋体" w:cs="宋体"/>
          <w:sz w:val="20"/>
          <w:szCs w:val="20"/>
        </w:rPr>
      </w:pPr>
      <w:r>
        <w:rPr>
          <w:rFonts w:ascii="宋体" w:hAnsi="宋体" w:eastAsia="宋体" w:cs="宋体"/>
          <w:b/>
          <w:bCs/>
          <w:spacing w:val="5"/>
          <w:sz w:val="20"/>
          <w:szCs w:val="20"/>
        </w:rPr>
        <w:t>5.2.1</w:t>
      </w:r>
      <w:r>
        <w:rPr>
          <w:rFonts w:ascii="宋体" w:hAnsi="宋体" w:eastAsia="宋体" w:cs="宋体"/>
          <w:spacing w:val="5"/>
          <w:sz w:val="20"/>
          <w:szCs w:val="20"/>
        </w:rPr>
        <w:t xml:space="preserve"> </w:t>
      </w:r>
      <w:r>
        <w:rPr>
          <w:rFonts w:ascii="宋体" w:hAnsi="宋体" w:eastAsia="宋体" w:cs="宋体"/>
          <w:b/>
          <w:bCs/>
          <w:spacing w:val="5"/>
          <w:sz w:val="20"/>
          <w:szCs w:val="20"/>
        </w:rPr>
        <w:t>发包人的质量管理</w:t>
      </w:r>
    </w:p>
    <w:p w14:paraId="074F9E2D">
      <w:pPr>
        <w:spacing w:before="128" w:line="228" w:lineRule="auto"/>
        <w:ind w:left="424"/>
        <w:rPr>
          <w:rFonts w:ascii="宋体" w:hAnsi="宋体" w:eastAsia="宋体" w:cs="宋体"/>
          <w:sz w:val="20"/>
          <w:szCs w:val="20"/>
        </w:rPr>
      </w:pPr>
      <w:r>
        <w:rPr>
          <w:rFonts w:ascii="宋体" w:hAnsi="宋体" w:eastAsia="宋体" w:cs="宋体"/>
          <w:spacing w:val="9"/>
          <w:sz w:val="20"/>
          <w:szCs w:val="20"/>
        </w:rPr>
        <w:t>发包人应按照法律规定及合同约定完成与工程质量有关的各项工作。</w:t>
      </w:r>
    </w:p>
    <w:p w14:paraId="1E009401">
      <w:pPr>
        <w:spacing w:before="126" w:line="346" w:lineRule="auto"/>
        <w:ind w:left="17" w:firstLine="406"/>
        <w:rPr>
          <w:rFonts w:ascii="宋体" w:hAnsi="宋体" w:eastAsia="宋体" w:cs="宋体"/>
          <w:sz w:val="20"/>
          <w:szCs w:val="20"/>
        </w:rPr>
      </w:pPr>
      <w:r>
        <w:rPr>
          <w:rFonts w:ascii="宋体" w:hAnsi="宋体" w:eastAsia="宋体" w:cs="宋体"/>
          <w:spacing w:val="10"/>
          <w:sz w:val="20"/>
          <w:szCs w:val="20"/>
        </w:rPr>
        <w:t>发包人依法对工程质量承担全面责任。对因工程质量给工程所有权人、使用人或第三方造成</w:t>
      </w:r>
      <w:r>
        <w:rPr>
          <w:rFonts w:ascii="宋体" w:hAnsi="宋体" w:eastAsia="宋体" w:cs="宋体"/>
          <w:spacing w:val="9"/>
          <w:sz w:val="20"/>
          <w:szCs w:val="20"/>
        </w:rPr>
        <w:t>的损失，发包人依法承担赔偿责任，有其他责任人的，可以向其他责任</w:t>
      </w:r>
      <w:r>
        <w:rPr>
          <w:rFonts w:ascii="宋体" w:hAnsi="宋体" w:eastAsia="宋体" w:cs="宋体"/>
          <w:spacing w:val="8"/>
          <w:sz w:val="20"/>
          <w:szCs w:val="20"/>
        </w:rPr>
        <w:t>人追偿。</w:t>
      </w:r>
    </w:p>
    <w:p w14:paraId="4314DE34">
      <w:pPr>
        <w:spacing w:before="2" w:line="345" w:lineRule="auto"/>
        <w:ind w:left="21" w:firstLine="402"/>
        <w:rPr>
          <w:rFonts w:ascii="宋体" w:hAnsi="宋体" w:eastAsia="宋体" w:cs="宋体"/>
          <w:sz w:val="20"/>
          <w:szCs w:val="20"/>
        </w:rPr>
      </w:pPr>
      <w:r>
        <w:rPr>
          <w:rFonts w:ascii="宋体" w:hAnsi="宋体" w:eastAsia="宋体" w:cs="宋体"/>
          <w:spacing w:val="10"/>
          <w:sz w:val="20"/>
          <w:szCs w:val="20"/>
        </w:rPr>
        <w:t>发包人要严格落实项目法人责任制，依法开工建设，全面履行管理职责，确保工程质量符合</w:t>
      </w:r>
      <w:r>
        <w:rPr>
          <w:rFonts w:ascii="宋体" w:hAnsi="宋体" w:eastAsia="宋体" w:cs="宋体"/>
          <w:spacing w:val="8"/>
          <w:sz w:val="20"/>
          <w:szCs w:val="20"/>
        </w:rPr>
        <w:t>国家法律法规、工程建设强制性标准和本合同约定。</w:t>
      </w:r>
    </w:p>
    <w:p w14:paraId="68613900">
      <w:pPr>
        <w:spacing w:before="1" w:line="346" w:lineRule="auto"/>
        <w:ind w:left="2" w:firstLine="421"/>
        <w:rPr>
          <w:rFonts w:ascii="宋体" w:hAnsi="宋体" w:eastAsia="宋体" w:cs="宋体"/>
          <w:sz w:val="20"/>
          <w:szCs w:val="20"/>
        </w:rPr>
      </w:pPr>
      <w:r>
        <w:rPr>
          <w:rFonts w:ascii="宋体" w:hAnsi="宋体" w:eastAsia="宋体" w:cs="宋体"/>
          <w:spacing w:val="10"/>
          <w:sz w:val="20"/>
          <w:szCs w:val="20"/>
        </w:rPr>
        <w:t>发包人要健全工程项目质量管理体系，配备专职人员并明确其质量管理职责，不具备条件的可聘用专业机构或人员。加强对按照合同约定自行采购的建筑材料、构配件和设备等的质量检查</w:t>
      </w:r>
    </w:p>
    <w:p w14:paraId="3867EF69">
      <w:pPr>
        <w:spacing w:line="346" w:lineRule="auto"/>
        <w:rPr>
          <w:rFonts w:ascii="宋体" w:hAnsi="宋体" w:eastAsia="宋体" w:cs="宋体"/>
          <w:sz w:val="20"/>
          <w:szCs w:val="20"/>
        </w:rPr>
        <w:sectPr>
          <w:footerReference r:id="rId350" w:type="default"/>
          <w:pgSz w:w="11906" w:h="16839"/>
          <w:pgMar w:top="400" w:right="1533" w:bottom="1446" w:left="1538" w:header="0" w:footer="1284" w:gutter="0"/>
          <w:cols w:space="720" w:num="1"/>
        </w:sectPr>
      </w:pPr>
    </w:p>
    <w:p w14:paraId="26684663">
      <w:pPr>
        <w:spacing w:line="246" w:lineRule="auto"/>
        <w:rPr>
          <w:rFonts w:ascii="Arial"/>
          <w:sz w:val="21"/>
        </w:rPr>
      </w:pPr>
    </w:p>
    <w:p w14:paraId="51C7AC04">
      <w:pPr>
        <w:spacing w:line="246" w:lineRule="auto"/>
        <w:rPr>
          <w:rFonts w:ascii="Arial"/>
          <w:sz w:val="21"/>
        </w:rPr>
      </w:pPr>
    </w:p>
    <w:p w14:paraId="7A0D9B35">
      <w:pPr>
        <w:spacing w:line="246" w:lineRule="auto"/>
        <w:rPr>
          <w:rFonts w:ascii="Arial"/>
          <w:sz w:val="21"/>
        </w:rPr>
      </w:pPr>
    </w:p>
    <w:p w14:paraId="7680136D">
      <w:pPr>
        <w:spacing w:line="246" w:lineRule="auto"/>
        <w:rPr>
          <w:rFonts w:ascii="Arial"/>
          <w:sz w:val="21"/>
        </w:rPr>
      </w:pPr>
    </w:p>
    <w:p w14:paraId="6179D17C">
      <w:pPr>
        <w:spacing w:line="247" w:lineRule="auto"/>
        <w:rPr>
          <w:rFonts w:ascii="Arial"/>
          <w:sz w:val="21"/>
        </w:rPr>
      </w:pPr>
    </w:p>
    <w:p w14:paraId="1EF18A15">
      <w:pPr>
        <w:spacing w:line="247" w:lineRule="auto"/>
        <w:rPr>
          <w:rFonts w:ascii="Arial"/>
          <w:sz w:val="21"/>
        </w:rPr>
      </w:pPr>
    </w:p>
    <w:p w14:paraId="7DDFD51C">
      <w:pPr>
        <w:spacing w:before="65" w:line="228" w:lineRule="auto"/>
        <w:ind w:left="2"/>
        <w:rPr>
          <w:rFonts w:ascii="宋体" w:hAnsi="宋体" w:eastAsia="宋体" w:cs="宋体"/>
          <w:sz w:val="20"/>
          <w:szCs w:val="20"/>
        </w:rPr>
      </w:pPr>
      <w:r>
        <w:rPr>
          <w:rFonts w:ascii="宋体" w:hAnsi="宋体" w:eastAsia="宋体" w:cs="宋体"/>
          <w:spacing w:val="8"/>
          <w:sz w:val="20"/>
          <w:szCs w:val="20"/>
        </w:rPr>
        <w:t>和检验，并承担相应的质量责任。</w:t>
      </w:r>
    </w:p>
    <w:p w14:paraId="3D25FAC7">
      <w:pPr>
        <w:spacing w:before="127" w:line="228" w:lineRule="auto"/>
        <w:ind w:left="425"/>
        <w:rPr>
          <w:rFonts w:ascii="宋体" w:hAnsi="宋体" w:eastAsia="宋体" w:cs="宋体"/>
          <w:sz w:val="20"/>
          <w:szCs w:val="20"/>
        </w:rPr>
      </w:pPr>
      <w:r>
        <w:rPr>
          <w:rFonts w:ascii="宋体" w:hAnsi="宋体" w:eastAsia="宋体" w:cs="宋体"/>
          <w:b/>
          <w:bCs/>
          <w:spacing w:val="5"/>
          <w:sz w:val="20"/>
          <w:szCs w:val="20"/>
        </w:rPr>
        <w:t>5.2.2</w:t>
      </w:r>
      <w:r>
        <w:rPr>
          <w:rFonts w:ascii="宋体" w:hAnsi="宋体" w:eastAsia="宋体" w:cs="宋体"/>
          <w:spacing w:val="5"/>
          <w:sz w:val="20"/>
          <w:szCs w:val="20"/>
        </w:rPr>
        <w:t xml:space="preserve"> </w:t>
      </w:r>
      <w:r>
        <w:rPr>
          <w:rFonts w:ascii="宋体" w:hAnsi="宋体" w:eastAsia="宋体" w:cs="宋体"/>
          <w:b/>
          <w:bCs/>
          <w:spacing w:val="5"/>
          <w:sz w:val="20"/>
          <w:szCs w:val="20"/>
        </w:rPr>
        <w:t>承包人的质量管理</w:t>
      </w:r>
    </w:p>
    <w:p w14:paraId="5B295C74">
      <w:pPr>
        <w:spacing w:before="126" w:line="346" w:lineRule="auto"/>
        <w:ind w:left="3" w:firstLine="418"/>
        <w:jc w:val="both"/>
        <w:rPr>
          <w:rFonts w:ascii="宋体" w:hAnsi="宋体" w:eastAsia="宋体" w:cs="宋体"/>
          <w:sz w:val="20"/>
          <w:szCs w:val="20"/>
        </w:rPr>
      </w:pPr>
      <w:r>
        <w:rPr>
          <w:rFonts w:ascii="宋体" w:hAnsi="宋体" w:eastAsia="宋体" w:cs="宋体"/>
          <w:spacing w:val="9"/>
          <w:sz w:val="20"/>
          <w:szCs w:val="20"/>
        </w:rPr>
        <w:t>承包人按照第</w:t>
      </w:r>
      <w:r>
        <w:rPr>
          <w:rFonts w:ascii="宋体" w:hAnsi="宋体" w:eastAsia="宋体" w:cs="宋体"/>
          <w:spacing w:val="-18"/>
          <w:sz w:val="20"/>
          <w:szCs w:val="20"/>
        </w:rPr>
        <w:t xml:space="preserve"> </w:t>
      </w:r>
      <w:r>
        <w:rPr>
          <w:rFonts w:ascii="宋体" w:hAnsi="宋体" w:eastAsia="宋体" w:cs="宋体"/>
          <w:spacing w:val="9"/>
          <w:sz w:val="20"/>
          <w:szCs w:val="20"/>
        </w:rPr>
        <w:t>7.1</w:t>
      </w:r>
      <w:r>
        <w:rPr>
          <w:rFonts w:ascii="宋体" w:hAnsi="宋体" w:eastAsia="宋体" w:cs="宋体"/>
          <w:spacing w:val="-37"/>
          <w:sz w:val="20"/>
          <w:szCs w:val="20"/>
        </w:rPr>
        <w:t xml:space="preserve"> </w:t>
      </w:r>
      <w:r>
        <w:rPr>
          <w:rFonts w:ascii="宋体" w:hAnsi="宋体" w:eastAsia="宋体" w:cs="宋体"/>
          <w:spacing w:val="9"/>
          <w:sz w:val="20"/>
          <w:szCs w:val="20"/>
        </w:rPr>
        <w:t>款〔施工组织设计〕约定向发包人和监理人提交工程质量保证体系及措施</w:t>
      </w:r>
      <w:r>
        <w:rPr>
          <w:rFonts w:ascii="宋体" w:hAnsi="宋体" w:eastAsia="宋体" w:cs="宋体"/>
          <w:spacing w:val="10"/>
          <w:sz w:val="20"/>
          <w:szCs w:val="20"/>
        </w:rPr>
        <w:t>文件，建立完善的质量检查制度，并提交相应的工程质量文件。对于发包人和监理人违反法律规</w:t>
      </w:r>
      <w:r>
        <w:rPr>
          <w:rFonts w:ascii="宋体" w:hAnsi="宋体" w:eastAsia="宋体" w:cs="宋体"/>
          <w:spacing w:val="9"/>
          <w:sz w:val="20"/>
          <w:szCs w:val="20"/>
        </w:rPr>
        <w:t>定和合同约定的错误指示，承包人有权拒绝实施。</w:t>
      </w:r>
    </w:p>
    <w:p w14:paraId="360A3920">
      <w:pPr>
        <w:spacing w:before="1" w:line="345" w:lineRule="auto"/>
        <w:ind w:left="4" w:right="2" w:firstLine="417"/>
        <w:rPr>
          <w:rFonts w:ascii="宋体" w:hAnsi="宋体" w:eastAsia="宋体" w:cs="宋体"/>
          <w:sz w:val="20"/>
          <w:szCs w:val="20"/>
        </w:rPr>
      </w:pPr>
      <w:r>
        <w:rPr>
          <w:rFonts w:ascii="宋体" w:hAnsi="宋体" w:eastAsia="宋体" w:cs="宋体"/>
          <w:spacing w:val="10"/>
          <w:sz w:val="20"/>
          <w:szCs w:val="20"/>
        </w:rPr>
        <w:t>承包人应对施工人员进行质量教育和技术培训，定期考核施工人员的劳动技能，严格执行施</w:t>
      </w:r>
      <w:r>
        <w:rPr>
          <w:rFonts w:ascii="宋体" w:hAnsi="宋体" w:eastAsia="宋体" w:cs="宋体"/>
          <w:spacing w:val="7"/>
          <w:sz w:val="20"/>
          <w:szCs w:val="20"/>
        </w:rPr>
        <w:t>工规范和操作规程。</w:t>
      </w:r>
    </w:p>
    <w:p w14:paraId="64B4F523">
      <w:pPr>
        <w:spacing w:before="2" w:line="345" w:lineRule="auto"/>
        <w:ind w:left="1" w:right="2" w:firstLine="420"/>
        <w:jc w:val="both"/>
        <w:rPr>
          <w:rFonts w:ascii="宋体" w:hAnsi="宋体" w:eastAsia="宋体" w:cs="宋体"/>
          <w:sz w:val="20"/>
          <w:szCs w:val="20"/>
        </w:rPr>
      </w:pPr>
      <w:r>
        <w:rPr>
          <w:rFonts w:ascii="宋体" w:hAnsi="宋体" w:eastAsia="宋体" w:cs="宋体"/>
          <w:spacing w:val="10"/>
          <w:sz w:val="20"/>
          <w:szCs w:val="20"/>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w:t>
      </w:r>
      <w:r>
        <w:rPr>
          <w:rFonts w:ascii="宋体" w:hAnsi="宋体" w:eastAsia="宋体" w:cs="宋体"/>
          <w:spacing w:val="9"/>
          <w:sz w:val="20"/>
          <w:szCs w:val="20"/>
        </w:rPr>
        <w:t>测，提供试验样品、提交试验报告和测量成果以及其他工作。</w:t>
      </w:r>
    </w:p>
    <w:p w14:paraId="3D386882">
      <w:pPr>
        <w:spacing w:line="227" w:lineRule="auto"/>
        <w:ind w:left="425"/>
        <w:rPr>
          <w:rFonts w:ascii="宋体" w:hAnsi="宋体" w:eastAsia="宋体" w:cs="宋体"/>
          <w:sz w:val="20"/>
          <w:szCs w:val="20"/>
        </w:rPr>
      </w:pPr>
      <w:r>
        <w:rPr>
          <w:rFonts w:ascii="宋体" w:hAnsi="宋体" w:eastAsia="宋体" w:cs="宋体"/>
          <w:b/>
          <w:bCs/>
          <w:spacing w:val="6"/>
          <w:sz w:val="20"/>
          <w:szCs w:val="20"/>
        </w:rPr>
        <w:t>5.2.3</w:t>
      </w:r>
      <w:r>
        <w:rPr>
          <w:rFonts w:ascii="宋体" w:hAnsi="宋体" w:eastAsia="宋体" w:cs="宋体"/>
          <w:spacing w:val="6"/>
          <w:sz w:val="20"/>
          <w:szCs w:val="20"/>
        </w:rPr>
        <w:t xml:space="preserve"> </w:t>
      </w:r>
      <w:r>
        <w:rPr>
          <w:rFonts w:ascii="宋体" w:hAnsi="宋体" w:eastAsia="宋体" w:cs="宋体"/>
          <w:b/>
          <w:bCs/>
          <w:spacing w:val="6"/>
          <w:sz w:val="20"/>
          <w:szCs w:val="20"/>
        </w:rPr>
        <w:t>监理人的质量检查和检验</w:t>
      </w:r>
    </w:p>
    <w:p w14:paraId="43226E71">
      <w:pPr>
        <w:spacing w:before="126" w:line="346" w:lineRule="auto"/>
        <w:ind w:left="4" w:right="2" w:firstLine="418"/>
        <w:jc w:val="both"/>
        <w:rPr>
          <w:rFonts w:ascii="宋体" w:hAnsi="宋体" w:eastAsia="宋体" w:cs="宋体"/>
          <w:sz w:val="20"/>
          <w:szCs w:val="20"/>
        </w:rPr>
      </w:pPr>
      <w:r>
        <w:rPr>
          <w:rFonts w:ascii="宋体" w:hAnsi="宋体" w:eastAsia="宋体" w:cs="宋体"/>
          <w:spacing w:val="10"/>
          <w:sz w:val="20"/>
          <w:szCs w:val="20"/>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w:t>
      </w:r>
      <w:r>
        <w:rPr>
          <w:rFonts w:ascii="宋体" w:hAnsi="宋体" w:eastAsia="宋体" w:cs="宋体"/>
          <w:spacing w:val="8"/>
          <w:sz w:val="20"/>
          <w:szCs w:val="20"/>
        </w:rPr>
        <w:t>除或减轻承包人按照合同约定应当承担的责任。</w:t>
      </w:r>
    </w:p>
    <w:p w14:paraId="449FBFD9">
      <w:pPr>
        <w:spacing w:before="2" w:line="345" w:lineRule="auto"/>
        <w:ind w:left="3" w:right="2" w:firstLine="419"/>
        <w:jc w:val="both"/>
        <w:rPr>
          <w:rFonts w:ascii="宋体" w:hAnsi="宋体" w:eastAsia="宋体" w:cs="宋体"/>
          <w:sz w:val="20"/>
          <w:szCs w:val="20"/>
        </w:rPr>
      </w:pPr>
      <w:r>
        <w:rPr>
          <w:rFonts w:ascii="宋体" w:hAnsi="宋体" w:eastAsia="宋体" w:cs="宋体"/>
          <w:spacing w:val="10"/>
          <w:sz w:val="20"/>
          <w:szCs w:val="20"/>
        </w:rPr>
        <w:t>监理人的检查和检验不应影响施工正常进行。监理人的检查和检验影响施工正常进行的，且经检查检验不合格的，影响正常施工的费用由承包人承担，工期不予顺延；经检查检验合格的，</w:t>
      </w:r>
      <w:r>
        <w:rPr>
          <w:rFonts w:ascii="宋体" w:hAnsi="宋体" w:eastAsia="宋体" w:cs="宋体"/>
          <w:spacing w:val="9"/>
          <w:sz w:val="20"/>
          <w:szCs w:val="20"/>
        </w:rPr>
        <w:t>由此增加的费用和（或）延误的工期由发包人承担。</w:t>
      </w:r>
    </w:p>
    <w:p w14:paraId="1F895F3B">
      <w:pPr>
        <w:spacing w:before="1" w:line="227" w:lineRule="auto"/>
        <w:ind w:left="425"/>
        <w:rPr>
          <w:rFonts w:ascii="宋体" w:hAnsi="宋体" w:eastAsia="宋体" w:cs="宋体"/>
          <w:sz w:val="20"/>
          <w:szCs w:val="20"/>
        </w:rPr>
      </w:pPr>
      <w:r>
        <w:rPr>
          <w:rFonts w:ascii="宋体" w:hAnsi="宋体" w:eastAsia="宋体" w:cs="宋体"/>
          <w:b/>
          <w:bCs/>
          <w:spacing w:val="3"/>
          <w:sz w:val="20"/>
          <w:szCs w:val="20"/>
        </w:rPr>
        <w:t>5.3</w:t>
      </w:r>
      <w:r>
        <w:rPr>
          <w:rFonts w:ascii="宋体" w:hAnsi="宋体" w:eastAsia="宋体" w:cs="宋体"/>
          <w:spacing w:val="25"/>
          <w:sz w:val="20"/>
          <w:szCs w:val="20"/>
        </w:rPr>
        <w:t xml:space="preserve"> </w:t>
      </w:r>
      <w:r>
        <w:rPr>
          <w:rFonts w:ascii="宋体" w:hAnsi="宋体" w:eastAsia="宋体" w:cs="宋体"/>
          <w:b/>
          <w:bCs/>
          <w:spacing w:val="3"/>
          <w:sz w:val="20"/>
          <w:szCs w:val="20"/>
        </w:rPr>
        <w:t>隐蔽工程检查</w:t>
      </w:r>
    </w:p>
    <w:p w14:paraId="1EE8DCBF">
      <w:pPr>
        <w:spacing w:before="127" w:line="228" w:lineRule="auto"/>
        <w:ind w:left="425"/>
        <w:rPr>
          <w:rFonts w:ascii="宋体" w:hAnsi="宋体" w:eastAsia="宋体" w:cs="宋体"/>
          <w:sz w:val="20"/>
          <w:szCs w:val="20"/>
        </w:rPr>
      </w:pPr>
      <w:r>
        <w:rPr>
          <w:rFonts w:ascii="宋体" w:hAnsi="宋体" w:eastAsia="宋体" w:cs="宋体"/>
          <w:b/>
          <w:bCs/>
          <w:spacing w:val="4"/>
          <w:sz w:val="20"/>
          <w:szCs w:val="20"/>
        </w:rPr>
        <w:t>5.3.1</w:t>
      </w:r>
      <w:r>
        <w:rPr>
          <w:rFonts w:ascii="宋体" w:hAnsi="宋体" w:eastAsia="宋体" w:cs="宋体"/>
          <w:spacing w:val="4"/>
          <w:sz w:val="20"/>
          <w:szCs w:val="20"/>
        </w:rPr>
        <w:t xml:space="preserve"> </w:t>
      </w:r>
      <w:r>
        <w:rPr>
          <w:rFonts w:ascii="宋体" w:hAnsi="宋体" w:eastAsia="宋体" w:cs="宋体"/>
          <w:b/>
          <w:bCs/>
          <w:spacing w:val="4"/>
          <w:sz w:val="20"/>
          <w:szCs w:val="20"/>
        </w:rPr>
        <w:t>承包人自检</w:t>
      </w:r>
    </w:p>
    <w:p w14:paraId="3804311C">
      <w:pPr>
        <w:spacing w:before="128" w:line="228" w:lineRule="auto"/>
        <w:ind w:left="421"/>
        <w:rPr>
          <w:rFonts w:ascii="宋体" w:hAnsi="宋体" w:eastAsia="宋体" w:cs="宋体"/>
          <w:sz w:val="20"/>
          <w:szCs w:val="20"/>
        </w:rPr>
      </w:pPr>
      <w:r>
        <w:rPr>
          <w:rFonts w:ascii="宋体" w:hAnsi="宋体" w:eastAsia="宋体" w:cs="宋体"/>
          <w:spacing w:val="9"/>
          <w:sz w:val="20"/>
          <w:szCs w:val="20"/>
        </w:rPr>
        <w:t>承包人应当对工程隐蔽部位进行自检，并经自检确认是否具备覆盖条件。</w:t>
      </w:r>
    </w:p>
    <w:p w14:paraId="1F8801AF">
      <w:pPr>
        <w:spacing w:before="127" w:line="228" w:lineRule="auto"/>
        <w:ind w:left="425"/>
        <w:rPr>
          <w:rFonts w:ascii="宋体" w:hAnsi="宋体" w:eastAsia="宋体" w:cs="宋体"/>
          <w:sz w:val="20"/>
          <w:szCs w:val="20"/>
        </w:rPr>
      </w:pPr>
      <w:r>
        <w:rPr>
          <w:rFonts w:ascii="宋体" w:hAnsi="宋体" w:eastAsia="宋体" w:cs="宋体"/>
          <w:b/>
          <w:bCs/>
          <w:spacing w:val="4"/>
          <w:sz w:val="20"/>
          <w:szCs w:val="20"/>
        </w:rPr>
        <w:t>5.3.2</w:t>
      </w:r>
      <w:r>
        <w:rPr>
          <w:rFonts w:ascii="宋体" w:hAnsi="宋体" w:eastAsia="宋体" w:cs="宋体"/>
          <w:spacing w:val="4"/>
          <w:sz w:val="20"/>
          <w:szCs w:val="20"/>
        </w:rPr>
        <w:t xml:space="preserve"> </w:t>
      </w:r>
      <w:r>
        <w:rPr>
          <w:rFonts w:ascii="宋体" w:hAnsi="宋体" w:eastAsia="宋体" w:cs="宋体"/>
          <w:b/>
          <w:bCs/>
          <w:spacing w:val="4"/>
          <w:sz w:val="20"/>
          <w:szCs w:val="20"/>
        </w:rPr>
        <w:t>检查程序</w:t>
      </w:r>
    </w:p>
    <w:p w14:paraId="1289D772">
      <w:pPr>
        <w:spacing w:before="127" w:line="346" w:lineRule="auto"/>
        <w:ind w:right="2" w:firstLine="433"/>
        <w:jc w:val="both"/>
        <w:rPr>
          <w:rFonts w:ascii="宋体" w:hAnsi="宋体" w:eastAsia="宋体" w:cs="宋体"/>
          <w:sz w:val="20"/>
          <w:szCs w:val="20"/>
        </w:rPr>
      </w:pPr>
      <w:r>
        <w:rPr>
          <w:rFonts w:ascii="宋体" w:hAnsi="宋体" w:eastAsia="宋体" w:cs="宋体"/>
          <w:spacing w:val="10"/>
          <w:sz w:val="20"/>
          <w:szCs w:val="20"/>
        </w:rPr>
        <w:t>除专用合同条款另有约定外，工程隐蔽部位经承包人自检确认具备覆盖条件的，承包人应在</w:t>
      </w:r>
      <w:r>
        <w:rPr>
          <w:rFonts w:ascii="宋体" w:hAnsi="宋体" w:eastAsia="宋体" w:cs="宋体"/>
          <w:spacing w:val="9"/>
          <w:sz w:val="20"/>
          <w:szCs w:val="20"/>
        </w:rPr>
        <w:t>共同检查前48</w:t>
      </w:r>
      <w:r>
        <w:rPr>
          <w:rFonts w:ascii="宋体" w:hAnsi="宋体" w:eastAsia="宋体" w:cs="宋体"/>
          <w:spacing w:val="-32"/>
          <w:sz w:val="20"/>
          <w:szCs w:val="20"/>
        </w:rPr>
        <w:t xml:space="preserve"> </w:t>
      </w:r>
      <w:r>
        <w:rPr>
          <w:rFonts w:ascii="宋体" w:hAnsi="宋体" w:eastAsia="宋体" w:cs="宋体"/>
          <w:spacing w:val="9"/>
          <w:sz w:val="20"/>
          <w:szCs w:val="20"/>
        </w:rPr>
        <w:t>小时书面通知监理人检查，通知</w:t>
      </w:r>
      <w:r>
        <w:rPr>
          <w:rFonts w:ascii="宋体" w:hAnsi="宋体" w:eastAsia="宋体" w:cs="宋体"/>
          <w:spacing w:val="8"/>
          <w:sz w:val="20"/>
          <w:szCs w:val="20"/>
        </w:rPr>
        <w:t>中应载明隐蔽检查的内容、时间和地点，并应附有自检记录和必要的检查资料。</w:t>
      </w:r>
    </w:p>
    <w:p w14:paraId="56A7B8C8">
      <w:pPr>
        <w:spacing w:before="2" w:line="345" w:lineRule="auto"/>
        <w:ind w:left="1" w:right="2" w:firstLine="420"/>
        <w:jc w:val="both"/>
        <w:rPr>
          <w:rFonts w:ascii="宋体" w:hAnsi="宋体" w:eastAsia="宋体" w:cs="宋体"/>
          <w:sz w:val="20"/>
          <w:szCs w:val="20"/>
        </w:rPr>
      </w:pPr>
      <w:r>
        <w:rPr>
          <w:rFonts w:ascii="宋体" w:hAnsi="宋体" w:eastAsia="宋体" w:cs="宋体"/>
          <w:spacing w:val="10"/>
          <w:sz w:val="20"/>
          <w:szCs w:val="20"/>
        </w:rPr>
        <w:t>监理人应按时到场并对隐蔽工程及其施工工艺、材料和工程设备进行检查。经监理人检查确认质量符合隐蔽要求，并在验收记录上签字后，承包人才能进行覆盖。经监理人检查质量不合格</w:t>
      </w:r>
      <w:r>
        <w:rPr>
          <w:rFonts w:ascii="宋体" w:hAnsi="宋体" w:eastAsia="宋体" w:cs="宋体"/>
          <w:spacing w:val="9"/>
          <w:sz w:val="20"/>
          <w:szCs w:val="20"/>
        </w:rPr>
        <w:t>的，承包人应在监理人指示的时间内完成修复，并由监理人重新检查，</w:t>
      </w:r>
      <w:r>
        <w:rPr>
          <w:rFonts w:ascii="宋体" w:hAnsi="宋体" w:eastAsia="宋体" w:cs="宋体"/>
          <w:spacing w:val="-58"/>
          <w:sz w:val="20"/>
          <w:szCs w:val="20"/>
        </w:rPr>
        <w:t xml:space="preserve"> </w:t>
      </w:r>
      <w:r>
        <w:rPr>
          <w:rFonts w:ascii="宋体" w:hAnsi="宋体" w:eastAsia="宋体" w:cs="宋体"/>
          <w:spacing w:val="9"/>
          <w:sz w:val="20"/>
          <w:szCs w:val="20"/>
        </w:rPr>
        <w:t>由此增加</w:t>
      </w:r>
      <w:r>
        <w:rPr>
          <w:rFonts w:ascii="宋体" w:hAnsi="宋体" w:eastAsia="宋体" w:cs="宋体"/>
          <w:spacing w:val="8"/>
          <w:sz w:val="20"/>
          <w:szCs w:val="20"/>
        </w:rPr>
        <w:t>的费用和（或）延误的工期由承包人承担。</w:t>
      </w:r>
    </w:p>
    <w:p w14:paraId="4227A58E">
      <w:pPr>
        <w:spacing w:before="1" w:line="346" w:lineRule="auto"/>
        <w:ind w:firstLine="434"/>
        <w:jc w:val="both"/>
        <w:rPr>
          <w:rFonts w:ascii="宋体" w:hAnsi="宋体" w:eastAsia="宋体" w:cs="宋体"/>
          <w:sz w:val="20"/>
          <w:szCs w:val="20"/>
        </w:rPr>
      </w:pPr>
      <w:r>
        <w:rPr>
          <w:rFonts w:ascii="宋体" w:hAnsi="宋体" w:eastAsia="宋体" w:cs="宋体"/>
          <w:spacing w:val="7"/>
          <w:sz w:val="20"/>
          <w:szCs w:val="20"/>
        </w:rPr>
        <w:t>除专用合同条款另有约定外，监理人不能按时进行检</w:t>
      </w:r>
      <w:r>
        <w:rPr>
          <w:rFonts w:ascii="宋体" w:hAnsi="宋体" w:eastAsia="宋体" w:cs="宋体"/>
          <w:spacing w:val="6"/>
          <w:sz w:val="20"/>
          <w:szCs w:val="20"/>
        </w:rPr>
        <w:t>查的，应在检查前</w:t>
      </w:r>
      <w:r>
        <w:rPr>
          <w:rFonts w:ascii="宋体" w:hAnsi="宋体" w:eastAsia="宋体" w:cs="宋体"/>
          <w:spacing w:val="-37"/>
          <w:sz w:val="20"/>
          <w:szCs w:val="20"/>
        </w:rPr>
        <w:t xml:space="preserve"> </w:t>
      </w:r>
      <w:r>
        <w:rPr>
          <w:rFonts w:ascii="宋体" w:hAnsi="宋体" w:eastAsia="宋体" w:cs="宋体"/>
          <w:spacing w:val="6"/>
          <w:sz w:val="20"/>
          <w:szCs w:val="20"/>
        </w:rPr>
        <w:t>24</w:t>
      </w:r>
      <w:r>
        <w:rPr>
          <w:rFonts w:ascii="宋体" w:hAnsi="宋体" w:eastAsia="宋体" w:cs="宋体"/>
          <w:spacing w:val="-32"/>
          <w:sz w:val="20"/>
          <w:szCs w:val="20"/>
        </w:rPr>
        <w:t xml:space="preserve"> </w:t>
      </w:r>
      <w:r>
        <w:rPr>
          <w:rFonts w:ascii="宋体" w:hAnsi="宋体" w:eastAsia="宋体" w:cs="宋体"/>
          <w:spacing w:val="6"/>
          <w:sz w:val="20"/>
          <w:szCs w:val="20"/>
        </w:rPr>
        <w:t>小时向承包人提交</w:t>
      </w:r>
      <w:r>
        <w:rPr>
          <w:rFonts w:ascii="宋体" w:hAnsi="宋体" w:eastAsia="宋体" w:cs="宋体"/>
          <w:spacing w:val="9"/>
          <w:sz w:val="20"/>
          <w:szCs w:val="20"/>
        </w:rPr>
        <w:t>书面延期要求，但延期不能超过48</w:t>
      </w:r>
      <w:r>
        <w:rPr>
          <w:rFonts w:ascii="宋体" w:hAnsi="宋体" w:eastAsia="宋体" w:cs="宋体"/>
          <w:spacing w:val="-34"/>
          <w:sz w:val="20"/>
          <w:szCs w:val="20"/>
        </w:rPr>
        <w:t xml:space="preserve"> </w:t>
      </w:r>
      <w:r>
        <w:rPr>
          <w:rFonts w:ascii="宋体" w:hAnsi="宋体" w:eastAsia="宋体" w:cs="宋体"/>
          <w:spacing w:val="9"/>
          <w:sz w:val="20"/>
          <w:szCs w:val="20"/>
        </w:rPr>
        <w:t>小时，由此导致工</w:t>
      </w:r>
      <w:r>
        <w:rPr>
          <w:rFonts w:ascii="宋体" w:hAnsi="宋体" w:eastAsia="宋体" w:cs="宋体"/>
          <w:spacing w:val="8"/>
          <w:sz w:val="20"/>
          <w:szCs w:val="20"/>
        </w:rPr>
        <w:t>期延误的，工期应予以顺延。监理人未按时</w:t>
      </w:r>
      <w:r>
        <w:rPr>
          <w:rFonts w:ascii="宋体" w:hAnsi="宋体" w:eastAsia="宋体" w:cs="宋体"/>
          <w:spacing w:val="10"/>
          <w:sz w:val="20"/>
          <w:szCs w:val="20"/>
        </w:rPr>
        <w:t>进行检查，也未提出延期要求的，视为隐蔽工程检查合格，承包人可自行完成覆盖工作，并作相</w:t>
      </w:r>
      <w:r>
        <w:rPr>
          <w:rFonts w:ascii="宋体" w:hAnsi="宋体" w:eastAsia="宋体" w:cs="宋体"/>
          <w:spacing w:val="9"/>
          <w:sz w:val="20"/>
          <w:szCs w:val="20"/>
        </w:rPr>
        <w:t>应记录报送监理人，监理人应签字确认。监理人事后对检查记录有疑问的，可按第</w:t>
      </w:r>
      <w:r>
        <w:rPr>
          <w:rFonts w:ascii="宋体" w:hAnsi="宋体" w:eastAsia="宋体" w:cs="宋体"/>
          <w:spacing w:val="-25"/>
          <w:sz w:val="20"/>
          <w:szCs w:val="20"/>
        </w:rPr>
        <w:t xml:space="preserve"> </w:t>
      </w:r>
      <w:r>
        <w:rPr>
          <w:rFonts w:ascii="宋体" w:hAnsi="宋体" w:eastAsia="宋体" w:cs="宋体"/>
          <w:spacing w:val="9"/>
          <w:sz w:val="20"/>
          <w:szCs w:val="20"/>
        </w:rPr>
        <w:t>5.3.3</w:t>
      </w:r>
      <w:r>
        <w:rPr>
          <w:rFonts w:ascii="宋体" w:hAnsi="宋体" w:eastAsia="宋体" w:cs="宋体"/>
          <w:spacing w:val="-35"/>
          <w:sz w:val="20"/>
          <w:szCs w:val="20"/>
        </w:rPr>
        <w:t xml:space="preserve"> </w:t>
      </w:r>
      <w:r>
        <w:rPr>
          <w:rFonts w:ascii="宋体" w:hAnsi="宋体" w:eastAsia="宋体" w:cs="宋体"/>
          <w:spacing w:val="9"/>
          <w:sz w:val="20"/>
          <w:szCs w:val="20"/>
        </w:rPr>
        <w:t>项〔重</w:t>
      </w:r>
    </w:p>
    <w:p w14:paraId="1FE1A758">
      <w:pPr>
        <w:spacing w:line="346" w:lineRule="auto"/>
        <w:rPr>
          <w:rFonts w:ascii="宋体" w:hAnsi="宋体" w:eastAsia="宋体" w:cs="宋体"/>
          <w:sz w:val="20"/>
          <w:szCs w:val="20"/>
        </w:rPr>
        <w:sectPr>
          <w:footerReference r:id="rId351" w:type="default"/>
          <w:pgSz w:w="11906" w:h="16839"/>
          <w:pgMar w:top="400" w:right="1530" w:bottom="1446" w:left="1537" w:header="0" w:footer="1284" w:gutter="0"/>
          <w:cols w:space="720" w:num="1"/>
        </w:sectPr>
      </w:pPr>
    </w:p>
    <w:p w14:paraId="6E8E93B8">
      <w:pPr>
        <w:spacing w:line="246" w:lineRule="auto"/>
        <w:rPr>
          <w:rFonts w:ascii="Arial"/>
          <w:sz w:val="21"/>
        </w:rPr>
      </w:pPr>
    </w:p>
    <w:p w14:paraId="1BB8BF31">
      <w:pPr>
        <w:spacing w:line="246" w:lineRule="auto"/>
        <w:rPr>
          <w:rFonts w:ascii="Arial"/>
          <w:sz w:val="21"/>
        </w:rPr>
      </w:pPr>
    </w:p>
    <w:p w14:paraId="0084055F">
      <w:pPr>
        <w:spacing w:line="246" w:lineRule="auto"/>
        <w:rPr>
          <w:rFonts w:ascii="Arial"/>
          <w:sz w:val="21"/>
        </w:rPr>
      </w:pPr>
    </w:p>
    <w:p w14:paraId="2283FC24">
      <w:pPr>
        <w:spacing w:line="246" w:lineRule="auto"/>
        <w:rPr>
          <w:rFonts w:ascii="Arial"/>
          <w:sz w:val="21"/>
        </w:rPr>
      </w:pPr>
    </w:p>
    <w:p w14:paraId="366B3D8E">
      <w:pPr>
        <w:spacing w:line="247" w:lineRule="auto"/>
        <w:rPr>
          <w:rFonts w:ascii="Arial"/>
          <w:sz w:val="21"/>
        </w:rPr>
      </w:pPr>
    </w:p>
    <w:p w14:paraId="21635C96">
      <w:pPr>
        <w:spacing w:line="247" w:lineRule="auto"/>
        <w:rPr>
          <w:rFonts w:ascii="Arial"/>
          <w:sz w:val="21"/>
        </w:rPr>
      </w:pPr>
    </w:p>
    <w:p w14:paraId="250A563A">
      <w:pPr>
        <w:spacing w:before="65" w:line="228" w:lineRule="auto"/>
        <w:ind w:left="1"/>
        <w:rPr>
          <w:rFonts w:ascii="宋体" w:hAnsi="宋体" w:eastAsia="宋体" w:cs="宋体"/>
          <w:sz w:val="20"/>
          <w:szCs w:val="20"/>
        </w:rPr>
      </w:pPr>
      <w:r>
        <w:rPr>
          <w:rFonts w:ascii="宋体" w:hAnsi="宋体" w:eastAsia="宋体" w:cs="宋体"/>
          <w:spacing w:val="8"/>
          <w:sz w:val="20"/>
          <w:szCs w:val="20"/>
        </w:rPr>
        <w:t>新检查〕的约定重新检查。</w:t>
      </w:r>
    </w:p>
    <w:p w14:paraId="64407696">
      <w:pPr>
        <w:spacing w:before="127" w:line="228" w:lineRule="auto"/>
        <w:ind w:left="425"/>
        <w:rPr>
          <w:rFonts w:ascii="宋体" w:hAnsi="宋体" w:eastAsia="宋体" w:cs="宋体"/>
          <w:sz w:val="20"/>
          <w:szCs w:val="20"/>
        </w:rPr>
      </w:pPr>
      <w:r>
        <w:rPr>
          <w:rFonts w:ascii="宋体" w:hAnsi="宋体" w:eastAsia="宋体" w:cs="宋体"/>
          <w:b/>
          <w:bCs/>
          <w:spacing w:val="4"/>
          <w:sz w:val="20"/>
          <w:szCs w:val="20"/>
        </w:rPr>
        <w:t>5.3.3</w:t>
      </w:r>
      <w:r>
        <w:rPr>
          <w:rFonts w:ascii="宋体" w:hAnsi="宋体" w:eastAsia="宋体" w:cs="宋体"/>
          <w:spacing w:val="4"/>
          <w:sz w:val="20"/>
          <w:szCs w:val="20"/>
        </w:rPr>
        <w:t xml:space="preserve"> </w:t>
      </w:r>
      <w:r>
        <w:rPr>
          <w:rFonts w:ascii="宋体" w:hAnsi="宋体" w:eastAsia="宋体" w:cs="宋体"/>
          <w:b/>
          <w:bCs/>
          <w:spacing w:val="4"/>
          <w:sz w:val="20"/>
          <w:szCs w:val="20"/>
        </w:rPr>
        <w:t>重新检查</w:t>
      </w:r>
    </w:p>
    <w:p w14:paraId="2B731203">
      <w:pPr>
        <w:spacing w:before="125" w:line="346" w:lineRule="auto"/>
        <w:ind w:right="54" w:firstLine="420"/>
        <w:jc w:val="both"/>
        <w:rPr>
          <w:rFonts w:ascii="宋体" w:hAnsi="宋体" w:eastAsia="宋体" w:cs="宋体"/>
          <w:sz w:val="20"/>
          <w:szCs w:val="20"/>
        </w:rPr>
      </w:pPr>
      <w:r>
        <w:rPr>
          <w:rFonts w:ascii="宋体" w:hAnsi="宋体" w:eastAsia="宋体" w:cs="宋体"/>
          <w:spacing w:val="10"/>
          <w:sz w:val="20"/>
          <w:szCs w:val="20"/>
        </w:rPr>
        <w:t>承包人覆盖工程隐蔽部位后，发包人或监理人对质量有疑问的，可要求承包人对已覆盖的部位进行钻孔探测或揭开重新检查，承包人应遵照执行，并在检查后重新覆盖恢复原状。经检查证</w:t>
      </w:r>
      <w:r>
        <w:rPr>
          <w:rFonts w:ascii="宋体" w:hAnsi="宋体" w:eastAsia="宋体" w:cs="宋体"/>
          <w:spacing w:val="9"/>
          <w:sz w:val="20"/>
          <w:szCs w:val="20"/>
        </w:rPr>
        <w:t>明工程质量符合合同要求的，</w:t>
      </w:r>
      <w:r>
        <w:rPr>
          <w:rFonts w:ascii="宋体" w:hAnsi="宋体" w:eastAsia="宋体" w:cs="宋体"/>
          <w:spacing w:val="-46"/>
          <w:sz w:val="20"/>
          <w:szCs w:val="20"/>
        </w:rPr>
        <w:t xml:space="preserve"> </w:t>
      </w:r>
      <w:r>
        <w:rPr>
          <w:rFonts w:ascii="宋体" w:hAnsi="宋体" w:eastAsia="宋体" w:cs="宋体"/>
          <w:spacing w:val="9"/>
          <w:sz w:val="20"/>
          <w:szCs w:val="20"/>
        </w:rPr>
        <w:t>由发包人承担由此增加的费用和（或）延误的工期，并支付承包人合理的利润；经检查证明工程质量不符合合同要求的，</w:t>
      </w:r>
      <w:r>
        <w:rPr>
          <w:rFonts w:ascii="宋体" w:hAnsi="宋体" w:eastAsia="宋体" w:cs="宋体"/>
          <w:spacing w:val="-46"/>
          <w:sz w:val="20"/>
          <w:szCs w:val="20"/>
        </w:rPr>
        <w:t xml:space="preserve"> </w:t>
      </w:r>
      <w:r>
        <w:rPr>
          <w:rFonts w:ascii="宋体" w:hAnsi="宋体" w:eastAsia="宋体" w:cs="宋体"/>
          <w:spacing w:val="9"/>
          <w:sz w:val="20"/>
          <w:szCs w:val="20"/>
        </w:rPr>
        <w:t>由此增加的费用和（或）延误的工期由承</w:t>
      </w:r>
      <w:r>
        <w:rPr>
          <w:rFonts w:ascii="宋体" w:hAnsi="宋体" w:eastAsia="宋体" w:cs="宋体"/>
          <w:spacing w:val="5"/>
          <w:sz w:val="20"/>
          <w:szCs w:val="20"/>
        </w:rPr>
        <w:t>包人承担。</w:t>
      </w:r>
    </w:p>
    <w:p w14:paraId="4319C68E">
      <w:pPr>
        <w:spacing w:line="227" w:lineRule="auto"/>
        <w:ind w:left="425"/>
        <w:rPr>
          <w:rFonts w:ascii="宋体" w:hAnsi="宋体" w:eastAsia="宋体" w:cs="宋体"/>
          <w:sz w:val="20"/>
          <w:szCs w:val="20"/>
        </w:rPr>
      </w:pPr>
      <w:r>
        <w:rPr>
          <w:rFonts w:ascii="宋体" w:hAnsi="宋体" w:eastAsia="宋体" w:cs="宋体"/>
          <w:b/>
          <w:bCs/>
          <w:spacing w:val="5"/>
          <w:sz w:val="20"/>
          <w:szCs w:val="20"/>
        </w:rPr>
        <w:t>5.3.4</w:t>
      </w:r>
      <w:r>
        <w:rPr>
          <w:rFonts w:ascii="宋体" w:hAnsi="宋体" w:eastAsia="宋体" w:cs="宋体"/>
          <w:spacing w:val="5"/>
          <w:sz w:val="20"/>
          <w:szCs w:val="20"/>
        </w:rPr>
        <w:t xml:space="preserve"> </w:t>
      </w:r>
      <w:r>
        <w:rPr>
          <w:rFonts w:ascii="宋体" w:hAnsi="宋体" w:eastAsia="宋体" w:cs="宋体"/>
          <w:b/>
          <w:bCs/>
          <w:spacing w:val="5"/>
          <w:sz w:val="20"/>
          <w:szCs w:val="20"/>
        </w:rPr>
        <w:t>承包人私自覆盖</w:t>
      </w:r>
    </w:p>
    <w:p w14:paraId="3D2FC59F">
      <w:pPr>
        <w:spacing w:before="126" w:line="346" w:lineRule="auto"/>
        <w:ind w:right="36" w:firstLine="404"/>
        <w:rPr>
          <w:rFonts w:ascii="宋体" w:hAnsi="宋体" w:eastAsia="宋体" w:cs="宋体"/>
          <w:sz w:val="20"/>
          <w:szCs w:val="20"/>
        </w:rPr>
      </w:pPr>
      <w:r>
        <w:rPr>
          <w:rFonts w:ascii="宋体" w:hAnsi="宋体" w:eastAsia="宋体" w:cs="宋体"/>
          <w:spacing w:val="1"/>
          <w:sz w:val="20"/>
          <w:szCs w:val="20"/>
        </w:rPr>
        <w:t>承包人未通知监理人到场检查，私自将工程隐蔽部位覆盖的，监理人有权指示承包</w:t>
      </w:r>
      <w:r>
        <w:rPr>
          <w:rFonts w:ascii="宋体" w:hAnsi="宋体" w:eastAsia="宋体" w:cs="宋体"/>
          <w:sz w:val="20"/>
          <w:szCs w:val="20"/>
        </w:rPr>
        <w:t>人钻孔探测或</w:t>
      </w:r>
      <w:r>
        <w:rPr>
          <w:rFonts w:ascii="宋体" w:hAnsi="宋体" w:eastAsia="宋体" w:cs="宋体"/>
          <w:spacing w:val="1"/>
          <w:sz w:val="20"/>
          <w:szCs w:val="20"/>
        </w:rPr>
        <w:t>揭开检查，无论工程隐蔽部位质量是否合格，由此增加的费用和（或）延误的工期均由承包人承担。</w:t>
      </w:r>
    </w:p>
    <w:p w14:paraId="6247327F">
      <w:pPr>
        <w:spacing w:before="1" w:line="227" w:lineRule="auto"/>
        <w:ind w:left="425"/>
        <w:rPr>
          <w:rFonts w:ascii="宋体" w:hAnsi="宋体" w:eastAsia="宋体" w:cs="宋体"/>
          <w:sz w:val="20"/>
          <w:szCs w:val="20"/>
        </w:rPr>
      </w:pPr>
      <w:r>
        <w:rPr>
          <w:rFonts w:ascii="宋体" w:hAnsi="宋体" w:eastAsia="宋体" w:cs="宋体"/>
          <w:b/>
          <w:bCs/>
          <w:spacing w:val="5"/>
          <w:sz w:val="20"/>
          <w:szCs w:val="20"/>
        </w:rPr>
        <w:t>5.4</w:t>
      </w:r>
      <w:r>
        <w:rPr>
          <w:rFonts w:ascii="宋体" w:hAnsi="宋体" w:eastAsia="宋体" w:cs="宋体"/>
          <w:spacing w:val="5"/>
          <w:sz w:val="20"/>
          <w:szCs w:val="20"/>
        </w:rPr>
        <w:t xml:space="preserve"> </w:t>
      </w:r>
      <w:r>
        <w:rPr>
          <w:rFonts w:ascii="宋体" w:hAnsi="宋体" w:eastAsia="宋体" w:cs="宋体"/>
          <w:b/>
          <w:bCs/>
          <w:spacing w:val="5"/>
          <w:sz w:val="20"/>
          <w:szCs w:val="20"/>
        </w:rPr>
        <w:t>不合格工程的处理</w:t>
      </w:r>
    </w:p>
    <w:p w14:paraId="0F4B384B">
      <w:pPr>
        <w:spacing w:before="126" w:line="346" w:lineRule="auto"/>
        <w:ind w:right="54" w:firstLine="424"/>
        <w:rPr>
          <w:rFonts w:ascii="宋体" w:hAnsi="宋体" w:eastAsia="宋体" w:cs="宋体"/>
          <w:sz w:val="20"/>
          <w:szCs w:val="20"/>
        </w:rPr>
      </w:pPr>
      <w:r>
        <w:rPr>
          <w:rFonts w:ascii="宋体" w:hAnsi="宋体" w:eastAsia="宋体" w:cs="宋体"/>
          <w:spacing w:val="10"/>
          <w:sz w:val="20"/>
          <w:szCs w:val="20"/>
        </w:rPr>
        <w:t>5.4.1 因承包人原因造成工程不合格的，</w:t>
      </w:r>
      <w:r>
        <w:rPr>
          <w:rFonts w:ascii="宋体" w:hAnsi="宋体" w:eastAsia="宋体" w:cs="宋体"/>
          <w:spacing w:val="9"/>
          <w:sz w:val="20"/>
          <w:szCs w:val="20"/>
        </w:rPr>
        <w:t>发包人有权随时要求承包人采取补救措施，直至达到合同要求的质量标准，</w:t>
      </w:r>
      <w:r>
        <w:rPr>
          <w:rFonts w:ascii="宋体" w:hAnsi="宋体" w:eastAsia="宋体" w:cs="宋体"/>
          <w:spacing w:val="-46"/>
          <w:sz w:val="20"/>
          <w:szCs w:val="20"/>
        </w:rPr>
        <w:t xml:space="preserve"> </w:t>
      </w:r>
      <w:r>
        <w:rPr>
          <w:rFonts w:ascii="宋体" w:hAnsi="宋体" w:eastAsia="宋体" w:cs="宋体"/>
          <w:spacing w:val="9"/>
          <w:sz w:val="20"/>
          <w:szCs w:val="20"/>
        </w:rPr>
        <w:t>由此增加的费用和（或）延误的工期由承包人承担。无法补救的，按照</w:t>
      </w:r>
      <w:r>
        <w:rPr>
          <w:rFonts w:ascii="宋体" w:hAnsi="宋体" w:eastAsia="宋体" w:cs="宋体"/>
          <w:spacing w:val="6"/>
          <w:sz w:val="20"/>
          <w:szCs w:val="20"/>
        </w:rPr>
        <w:t>第</w:t>
      </w:r>
      <w:r>
        <w:rPr>
          <w:rFonts w:ascii="宋体" w:hAnsi="宋体" w:eastAsia="宋体" w:cs="宋体"/>
          <w:spacing w:val="-8"/>
          <w:sz w:val="20"/>
          <w:szCs w:val="20"/>
        </w:rPr>
        <w:t xml:space="preserve"> </w:t>
      </w:r>
      <w:r>
        <w:rPr>
          <w:rFonts w:ascii="宋体" w:hAnsi="宋体" w:eastAsia="宋体" w:cs="宋体"/>
          <w:spacing w:val="6"/>
          <w:sz w:val="20"/>
          <w:szCs w:val="20"/>
        </w:rPr>
        <w:t>13.2.4</w:t>
      </w:r>
      <w:r>
        <w:rPr>
          <w:rFonts w:ascii="宋体" w:hAnsi="宋体" w:eastAsia="宋体" w:cs="宋体"/>
          <w:spacing w:val="-34"/>
          <w:sz w:val="20"/>
          <w:szCs w:val="20"/>
        </w:rPr>
        <w:t xml:space="preserve"> </w:t>
      </w:r>
      <w:r>
        <w:rPr>
          <w:rFonts w:ascii="宋体" w:hAnsi="宋体" w:eastAsia="宋体" w:cs="宋体"/>
          <w:spacing w:val="6"/>
          <w:sz w:val="20"/>
          <w:szCs w:val="20"/>
        </w:rPr>
        <w:t>项〔拒绝接收全部或部分工程〕约定执行。</w:t>
      </w:r>
    </w:p>
    <w:p w14:paraId="009E2C69">
      <w:pPr>
        <w:spacing w:before="2" w:line="345" w:lineRule="auto"/>
        <w:ind w:left="5" w:firstLine="419"/>
        <w:rPr>
          <w:rFonts w:ascii="宋体" w:hAnsi="宋体" w:eastAsia="宋体" w:cs="宋体"/>
          <w:sz w:val="20"/>
          <w:szCs w:val="20"/>
        </w:rPr>
      </w:pPr>
      <w:r>
        <w:rPr>
          <w:rFonts w:ascii="宋体" w:hAnsi="宋体" w:eastAsia="宋体" w:cs="宋体"/>
          <w:spacing w:val="6"/>
          <w:sz w:val="20"/>
          <w:szCs w:val="20"/>
        </w:rPr>
        <w:t>5.4.2 因发包人原因造成工程不合格的，由此增加的费用和（或）延误的工期由发包人承</w:t>
      </w:r>
      <w:r>
        <w:rPr>
          <w:rFonts w:ascii="宋体" w:hAnsi="宋体" w:eastAsia="宋体" w:cs="宋体"/>
          <w:spacing w:val="5"/>
          <w:sz w:val="20"/>
          <w:szCs w:val="20"/>
        </w:rPr>
        <w:t>担，</w:t>
      </w:r>
      <w:r>
        <w:rPr>
          <w:rFonts w:ascii="宋体" w:hAnsi="宋体" w:eastAsia="宋体" w:cs="宋体"/>
          <w:spacing w:val="7"/>
          <w:sz w:val="20"/>
          <w:szCs w:val="20"/>
        </w:rPr>
        <w:t>并支付承包人合理的利润。</w:t>
      </w:r>
    </w:p>
    <w:p w14:paraId="418DA8C4">
      <w:pPr>
        <w:spacing w:line="227" w:lineRule="auto"/>
        <w:ind w:left="425"/>
        <w:rPr>
          <w:rFonts w:ascii="宋体" w:hAnsi="宋体" w:eastAsia="宋体" w:cs="宋体"/>
          <w:sz w:val="20"/>
          <w:szCs w:val="20"/>
        </w:rPr>
      </w:pPr>
      <w:r>
        <w:rPr>
          <w:rFonts w:ascii="宋体" w:hAnsi="宋体" w:eastAsia="宋体" w:cs="宋体"/>
          <w:b/>
          <w:bCs/>
          <w:spacing w:val="5"/>
          <w:sz w:val="20"/>
          <w:szCs w:val="20"/>
        </w:rPr>
        <w:t>5.5</w:t>
      </w:r>
      <w:r>
        <w:rPr>
          <w:rFonts w:ascii="宋体" w:hAnsi="宋体" w:eastAsia="宋体" w:cs="宋体"/>
          <w:spacing w:val="5"/>
          <w:sz w:val="20"/>
          <w:szCs w:val="20"/>
        </w:rPr>
        <w:t xml:space="preserve"> </w:t>
      </w:r>
      <w:r>
        <w:rPr>
          <w:rFonts w:ascii="宋体" w:hAnsi="宋体" w:eastAsia="宋体" w:cs="宋体"/>
          <w:b/>
          <w:bCs/>
          <w:spacing w:val="5"/>
          <w:sz w:val="20"/>
          <w:szCs w:val="20"/>
        </w:rPr>
        <w:t>质量争议检测</w:t>
      </w:r>
    </w:p>
    <w:p w14:paraId="58F9843A">
      <w:pPr>
        <w:spacing w:before="127" w:line="346" w:lineRule="auto"/>
        <w:ind w:left="17" w:right="44" w:firstLine="387"/>
        <w:rPr>
          <w:rFonts w:ascii="宋体" w:hAnsi="宋体" w:eastAsia="宋体" w:cs="宋体"/>
          <w:sz w:val="20"/>
          <w:szCs w:val="20"/>
        </w:rPr>
      </w:pPr>
      <w:r>
        <w:rPr>
          <w:rFonts w:ascii="宋体" w:hAnsi="宋体" w:eastAsia="宋体" w:cs="宋体"/>
          <w:spacing w:val="1"/>
          <w:sz w:val="20"/>
          <w:szCs w:val="20"/>
        </w:rPr>
        <w:t>合同当事人对工程质量有争议的，由双方协商确定的工程质量检测机构鉴定，由此产生</w:t>
      </w:r>
      <w:r>
        <w:rPr>
          <w:rFonts w:ascii="宋体" w:hAnsi="宋体" w:eastAsia="宋体" w:cs="宋体"/>
          <w:sz w:val="20"/>
          <w:szCs w:val="20"/>
        </w:rPr>
        <w:t>的费用及因此造成的损失，由责任方承担。</w:t>
      </w:r>
    </w:p>
    <w:p w14:paraId="0F57D5AD">
      <w:pPr>
        <w:spacing w:before="1" w:line="227" w:lineRule="auto"/>
        <w:ind w:left="421"/>
        <w:rPr>
          <w:rFonts w:ascii="宋体" w:hAnsi="宋体" w:eastAsia="宋体" w:cs="宋体"/>
          <w:sz w:val="20"/>
          <w:szCs w:val="20"/>
        </w:rPr>
      </w:pPr>
      <w:r>
        <w:rPr>
          <w:rFonts w:ascii="宋体" w:hAnsi="宋体" w:eastAsia="宋体" w:cs="宋体"/>
          <w:spacing w:val="10"/>
          <w:sz w:val="20"/>
          <w:szCs w:val="20"/>
        </w:rPr>
        <w:t>合同当事人均有责任的，由双方根据其责任分别承担。合同当</w:t>
      </w:r>
      <w:r>
        <w:rPr>
          <w:rFonts w:ascii="宋体" w:hAnsi="宋体" w:eastAsia="宋体" w:cs="宋体"/>
          <w:spacing w:val="9"/>
          <w:sz w:val="20"/>
          <w:szCs w:val="20"/>
        </w:rPr>
        <w:t>事人无法达成一致的，按照第</w:t>
      </w:r>
    </w:p>
    <w:p w14:paraId="2F2850D6">
      <w:pPr>
        <w:spacing w:before="127" w:line="228" w:lineRule="auto"/>
        <w:rPr>
          <w:rFonts w:ascii="宋体" w:hAnsi="宋体" w:eastAsia="宋体" w:cs="宋体"/>
          <w:sz w:val="20"/>
          <w:szCs w:val="20"/>
        </w:rPr>
      </w:pPr>
      <w:r>
        <w:rPr>
          <w:rFonts w:ascii="宋体" w:hAnsi="宋体" w:eastAsia="宋体" w:cs="宋体"/>
          <w:spacing w:val="6"/>
          <w:sz w:val="20"/>
          <w:szCs w:val="20"/>
        </w:rPr>
        <w:t>4.4</w:t>
      </w:r>
      <w:r>
        <w:rPr>
          <w:rFonts w:ascii="宋体" w:hAnsi="宋体" w:eastAsia="宋体" w:cs="宋体"/>
          <w:spacing w:val="-28"/>
          <w:sz w:val="20"/>
          <w:szCs w:val="20"/>
        </w:rPr>
        <w:t xml:space="preserve"> </w:t>
      </w:r>
      <w:r>
        <w:rPr>
          <w:rFonts w:ascii="宋体" w:hAnsi="宋体" w:eastAsia="宋体" w:cs="宋体"/>
          <w:spacing w:val="6"/>
          <w:sz w:val="20"/>
          <w:szCs w:val="20"/>
        </w:rPr>
        <w:t>款〔商定或确定〕执行。</w:t>
      </w:r>
    </w:p>
    <w:p w14:paraId="254B5A9F">
      <w:pPr>
        <w:spacing w:line="434" w:lineRule="auto"/>
        <w:rPr>
          <w:rFonts w:ascii="Arial"/>
          <w:sz w:val="21"/>
        </w:rPr>
      </w:pPr>
    </w:p>
    <w:p w14:paraId="524F200D">
      <w:pPr>
        <w:spacing w:before="66" w:line="228" w:lineRule="auto"/>
        <w:ind w:left="422"/>
        <w:outlineLvl w:val="2"/>
        <w:rPr>
          <w:rFonts w:ascii="宋体" w:hAnsi="宋体" w:eastAsia="宋体" w:cs="宋体"/>
          <w:sz w:val="20"/>
          <w:szCs w:val="20"/>
        </w:rPr>
      </w:pPr>
      <w:bookmarkStart w:id="311" w:name="bookmark294"/>
      <w:bookmarkEnd w:id="311"/>
      <w:r>
        <w:rPr>
          <w:rFonts w:ascii="宋体" w:hAnsi="宋体" w:eastAsia="宋体" w:cs="宋体"/>
          <w:b/>
          <w:bCs/>
          <w:spacing w:val="6"/>
          <w:sz w:val="20"/>
          <w:szCs w:val="20"/>
        </w:rPr>
        <w:t>6.</w:t>
      </w:r>
      <w:r>
        <w:rPr>
          <w:rFonts w:ascii="宋体" w:hAnsi="宋体" w:eastAsia="宋体" w:cs="宋体"/>
          <w:spacing w:val="6"/>
          <w:sz w:val="20"/>
          <w:szCs w:val="20"/>
        </w:rPr>
        <w:t xml:space="preserve"> </w:t>
      </w:r>
      <w:r>
        <w:rPr>
          <w:rFonts w:ascii="宋体" w:hAnsi="宋体" w:eastAsia="宋体" w:cs="宋体"/>
          <w:b/>
          <w:bCs/>
          <w:spacing w:val="6"/>
          <w:sz w:val="20"/>
          <w:szCs w:val="20"/>
        </w:rPr>
        <w:t>安全文明施工与环境保护</w:t>
      </w:r>
    </w:p>
    <w:p w14:paraId="24170382">
      <w:pPr>
        <w:spacing w:before="127" w:line="228" w:lineRule="auto"/>
        <w:ind w:left="422"/>
        <w:rPr>
          <w:rFonts w:ascii="宋体" w:hAnsi="宋体" w:eastAsia="宋体" w:cs="宋体"/>
          <w:sz w:val="20"/>
          <w:szCs w:val="20"/>
        </w:rPr>
      </w:pPr>
      <w:r>
        <w:rPr>
          <w:rFonts w:ascii="宋体" w:hAnsi="宋体" w:eastAsia="宋体" w:cs="宋体"/>
          <w:b/>
          <w:bCs/>
          <w:spacing w:val="5"/>
          <w:sz w:val="20"/>
          <w:szCs w:val="20"/>
        </w:rPr>
        <w:t>6.1</w:t>
      </w:r>
      <w:r>
        <w:rPr>
          <w:rFonts w:ascii="宋体" w:hAnsi="宋体" w:eastAsia="宋体" w:cs="宋体"/>
          <w:spacing w:val="5"/>
          <w:sz w:val="20"/>
          <w:szCs w:val="20"/>
        </w:rPr>
        <w:t xml:space="preserve"> </w:t>
      </w:r>
      <w:r>
        <w:rPr>
          <w:rFonts w:ascii="宋体" w:hAnsi="宋体" w:eastAsia="宋体" w:cs="宋体"/>
          <w:b/>
          <w:bCs/>
          <w:spacing w:val="5"/>
          <w:sz w:val="20"/>
          <w:szCs w:val="20"/>
        </w:rPr>
        <w:t>安全文明施工</w:t>
      </w:r>
    </w:p>
    <w:p w14:paraId="525AEA0A">
      <w:pPr>
        <w:spacing w:before="127" w:line="228" w:lineRule="auto"/>
        <w:ind w:left="422"/>
        <w:rPr>
          <w:rFonts w:ascii="宋体" w:hAnsi="宋体" w:eastAsia="宋体" w:cs="宋体"/>
          <w:sz w:val="20"/>
          <w:szCs w:val="20"/>
        </w:rPr>
      </w:pPr>
      <w:r>
        <w:rPr>
          <w:rFonts w:ascii="宋体" w:hAnsi="宋体" w:eastAsia="宋体" w:cs="宋体"/>
          <w:b/>
          <w:bCs/>
          <w:spacing w:val="5"/>
          <w:sz w:val="20"/>
          <w:szCs w:val="20"/>
        </w:rPr>
        <w:t>6.1.1</w:t>
      </w:r>
      <w:r>
        <w:rPr>
          <w:rFonts w:ascii="宋体" w:hAnsi="宋体" w:eastAsia="宋体" w:cs="宋体"/>
          <w:spacing w:val="5"/>
          <w:sz w:val="20"/>
          <w:szCs w:val="20"/>
        </w:rPr>
        <w:t xml:space="preserve"> </w:t>
      </w:r>
      <w:r>
        <w:rPr>
          <w:rFonts w:ascii="宋体" w:hAnsi="宋体" w:eastAsia="宋体" w:cs="宋体"/>
          <w:b/>
          <w:bCs/>
          <w:spacing w:val="5"/>
          <w:sz w:val="20"/>
          <w:szCs w:val="20"/>
        </w:rPr>
        <w:t>安全生产要求</w:t>
      </w:r>
    </w:p>
    <w:p w14:paraId="000F0BBD">
      <w:pPr>
        <w:spacing w:before="127" w:line="346" w:lineRule="auto"/>
        <w:ind w:left="1" w:right="54" w:firstLine="420"/>
        <w:jc w:val="both"/>
        <w:rPr>
          <w:rFonts w:ascii="宋体" w:hAnsi="宋体" w:eastAsia="宋体" w:cs="宋体"/>
          <w:sz w:val="20"/>
          <w:szCs w:val="20"/>
        </w:rPr>
      </w:pPr>
      <w:r>
        <w:rPr>
          <w:rFonts w:ascii="宋体" w:hAnsi="宋体" w:eastAsia="宋体" w:cs="宋体"/>
          <w:spacing w:val="10"/>
          <w:sz w:val="20"/>
          <w:szCs w:val="20"/>
        </w:rPr>
        <w:t>合同履行期间，合同当事人均应当遵守国家和工程所在地有关安全生产的要求，合同当事人有特别要求的，应在专用合同条款中明确施工项目安全生产标准化达标目标及相应事项。承包人</w:t>
      </w:r>
      <w:r>
        <w:rPr>
          <w:rFonts w:ascii="宋体" w:hAnsi="宋体" w:eastAsia="宋体" w:cs="宋体"/>
          <w:spacing w:val="9"/>
          <w:sz w:val="20"/>
          <w:szCs w:val="20"/>
        </w:rPr>
        <w:t>有权拒绝发包人及监理人强令承包人违章作业、冒险施工的任何指示。</w:t>
      </w:r>
    </w:p>
    <w:p w14:paraId="27AB2D9D">
      <w:pPr>
        <w:spacing w:before="2" w:line="345" w:lineRule="auto"/>
        <w:ind w:left="2" w:right="54" w:firstLine="417"/>
        <w:jc w:val="both"/>
        <w:rPr>
          <w:rFonts w:ascii="宋体" w:hAnsi="宋体" w:eastAsia="宋体" w:cs="宋体"/>
          <w:sz w:val="20"/>
          <w:szCs w:val="20"/>
        </w:rPr>
      </w:pPr>
      <w:r>
        <w:rPr>
          <w:rFonts w:ascii="宋体" w:hAnsi="宋体" w:eastAsia="宋体" w:cs="宋体"/>
          <w:spacing w:val="10"/>
          <w:sz w:val="20"/>
          <w:szCs w:val="20"/>
        </w:rPr>
        <w:t>在施工过程中，如遇到突发的地质变动、事先未知的地下施工障碍等影响施工安全的紧急情况，承包人应及时报告监理人和发包人，发包人应当及时下令停工并报政府有关行政管理部门采</w:t>
      </w:r>
      <w:r>
        <w:rPr>
          <w:rFonts w:ascii="宋体" w:hAnsi="宋体" w:eastAsia="宋体" w:cs="宋体"/>
          <w:spacing w:val="6"/>
          <w:sz w:val="20"/>
          <w:szCs w:val="20"/>
        </w:rPr>
        <w:t>取应急措施。</w:t>
      </w:r>
    </w:p>
    <w:p w14:paraId="124EF9B8">
      <w:pPr>
        <w:spacing w:before="1" w:line="227" w:lineRule="auto"/>
        <w:ind w:left="437"/>
        <w:rPr>
          <w:rFonts w:ascii="宋体" w:hAnsi="宋体" w:eastAsia="宋体" w:cs="宋体"/>
          <w:sz w:val="20"/>
          <w:szCs w:val="20"/>
        </w:rPr>
      </w:pPr>
      <w:r>
        <w:rPr>
          <w:rFonts w:ascii="宋体" w:hAnsi="宋体" w:eastAsia="宋体" w:cs="宋体"/>
          <w:spacing w:val="8"/>
          <w:sz w:val="20"/>
          <w:szCs w:val="20"/>
        </w:rPr>
        <w:t>因安全生产需要暂停施工的，按照第</w:t>
      </w:r>
      <w:r>
        <w:rPr>
          <w:rFonts w:ascii="宋体" w:hAnsi="宋体" w:eastAsia="宋体" w:cs="宋体"/>
          <w:spacing w:val="-32"/>
          <w:sz w:val="20"/>
          <w:szCs w:val="20"/>
        </w:rPr>
        <w:t xml:space="preserve"> </w:t>
      </w:r>
      <w:r>
        <w:rPr>
          <w:rFonts w:ascii="宋体" w:hAnsi="宋体" w:eastAsia="宋体" w:cs="宋体"/>
          <w:spacing w:val="8"/>
          <w:sz w:val="20"/>
          <w:szCs w:val="20"/>
        </w:rPr>
        <w:t>7.8</w:t>
      </w:r>
      <w:r>
        <w:rPr>
          <w:rFonts w:ascii="宋体" w:hAnsi="宋体" w:eastAsia="宋体" w:cs="宋体"/>
          <w:spacing w:val="-39"/>
          <w:sz w:val="20"/>
          <w:szCs w:val="20"/>
        </w:rPr>
        <w:t xml:space="preserve"> </w:t>
      </w:r>
      <w:r>
        <w:rPr>
          <w:rFonts w:ascii="宋体" w:hAnsi="宋体" w:eastAsia="宋体" w:cs="宋体"/>
          <w:spacing w:val="7"/>
          <w:sz w:val="20"/>
          <w:szCs w:val="20"/>
        </w:rPr>
        <w:t>款〔暂停施工〕的约定执行。</w:t>
      </w:r>
    </w:p>
    <w:p w14:paraId="64E61CA7">
      <w:pPr>
        <w:spacing w:before="127" w:line="228" w:lineRule="auto"/>
        <w:ind w:left="422"/>
        <w:rPr>
          <w:rFonts w:ascii="宋体" w:hAnsi="宋体" w:eastAsia="宋体" w:cs="宋体"/>
          <w:sz w:val="20"/>
          <w:szCs w:val="20"/>
        </w:rPr>
      </w:pPr>
      <w:r>
        <w:rPr>
          <w:rFonts w:ascii="宋体" w:hAnsi="宋体" w:eastAsia="宋体" w:cs="宋体"/>
          <w:b/>
          <w:bCs/>
          <w:spacing w:val="5"/>
          <w:sz w:val="20"/>
          <w:szCs w:val="20"/>
        </w:rPr>
        <w:t>6.1.2</w:t>
      </w:r>
      <w:r>
        <w:rPr>
          <w:rFonts w:ascii="宋体" w:hAnsi="宋体" w:eastAsia="宋体" w:cs="宋体"/>
          <w:spacing w:val="5"/>
          <w:sz w:val="20"/>
          <w:szCs w:val="20"/>
        </w:rPr>
        <w:t xml:space="preserve"> </w:t>
      </w:r>
      <w:r>
        <w:rPr>
          <w:rFonts w:ascii="宋体" w:hAnsi="宋体" w:eastAsia="宋体" w:cs="宋体"/>
          <w:b/>
          <w:bCs/>
          <w:spacing w:val="5"/>
          <w:sz w:val="20"/>
          <w:szCs w:val="20"/>
        </w:rPr>
        <w:t>安全生产保证措施</w:t>
      </w:r>
    </w:p>
    <w:p w14:paraId="6E973340">
      <w:pPr>
        <w:spacing w:before="127" w:line="228" w:lineRule="auto"/>
        <w:ind w:left="420"/>
        <w:rPr>
          <w:rFonts w:ascii="宋体" w:hAnsi="宋体" w:eastAsia="宋体" w:cs="宋体"/>
          <w:sz w:val="20"/>
          <w:szCs w:val="20"/>
        </w:rPr>
      </w:pPr>
      <w:r>
        <w:rPr>
          <w:rFonts w:ascii="宋体" w:hAnsi="宋体" w:eastAsia="宋体" w:cs="宋体"/>
          <w:spacing w:val="10"/>
          <w:sz w:val="20"/>
          <w:szCs w:val="20"/>
        </w:rPr>
        <w:t>承包人应当按照有关规定编制安全技术措施或者专项施工方案，建立安全生产责任制度、治</w:t>
      </w:r>
    </w:p>
    <w:p w14:paraId="7CC24F9F">
      <w:pPr>
        <w:spacing w:line="228" w:lineRule="auto"/>
        <w:rPr>
          <w:rFonts w:ascii="宋体" w:hAnsi="宋体" w:eastAsia="宋体" w:cs="宋体"/>
          <w:sz w:val="20"/>
          <w:szCs w:val="20"/>
        </w:rPr>
        <w:sectPr>
          <w:footerReference r:id="rId352" w:type="default"/>
          <w:pgSz w:w="11906" w:h="16839"/>
          <w:pgMar w:top="400" w:right="1478" w:bottom="1446" w:left="1538" w:header="0" w:footer="1284" w:gutter="0"/>
          <w:cols w:space="720" w:num="1"/>
        </w:sectPr>
      </w:pPr>
    </w:p>
    <w:p w14:paraId="2BFE4451">
      <w:pPr>
        <w:spacing w:line="246" w:lineRule="auto"/>
        <w:rPr>
          <w:rFonts w:ascii="Arial"/>
          <w:sz w:val="21"/>
        </w:rPr>
      </w:pPr>
    </w:p>
    <w:p w14:paraId="7160D064">
      <w:pPr>
        <w:spacing w:line="246" w:lineRule="auto"/>
        <w:rPr>
          <w:rFonts w:ascii="Arial"/>
          <w:sz w:val="21"/>
        </w:rPr>
      </w:pPr>
    </w:p>
    <w:p w14:paraId="44DF68D2">
      <w:pPr>
        <w:spacing w:line="246" w:lineRule="auto"/>
        <w:rPr>
          <w:rFonts w:ascii="Arial"/>
          <w:sz w:val="21"/>
        </w:rPr>
      </w:pPr>
    </w:p>
    <w:p w14:paraId="014F2131">
      <w:pPr>
        <w:spacing w:line="246" w:lineRule="auto"/>
        <w:rPr>
          <w:rFonts w:ascii="Arial"/>
          <w:sz w:val="21"/>
        </w:rPr>
      </w:pPr>
    </w:p>
    <w:p w14:paraId="0A664BA7">
      <w:pPr>
        <w:spacing w:line="246" w:lineRule="auto"/>
        <w:rPr>
          <w:rFonts w:ascii="Arial"/>
          <w:sz w:val="21"/>
        </w:rPr>
      </w:pPr>
    </w:p>
    <w:p w14:paraId="39DB2103">
      <w:pPr>
        <w:spacing w:line="247" w:lineRule="auto"/>
        <w:rPr>
          <w:rFonts w:ascii="Arial"/>
          <w:sz w:val="21"/>
        </w:rPr>
      </w:pPr>
    </w:p>
    <w:p w14:paraId="51DAFF86">
      <w:pPr>
        <w:spacing w:before="65" w:line="346" w:lineRule="auto"/>
        <w:ind w:left="1" w:firstLine="3"/>
        <w:rPr>
          <w:rFonts w:ascii="宋体" w:hAnsi="宋体" w:eastAsia="宋体" w:cs="宋体"/>
          <w:sz w:val="20"/>
          <w:szCs w:val="20"/>
        </w:rPr>
      </w:pPr>
      <w:r>
        <w:rPr>
          <w:rFonts w:ascii="宋体" w:hAnsi="宋体" w:eastAsia="宋体" w:cs="宋体"/>
          <w:spacing w:val="10"/>
          <w:sz w:val="20"/>
          <w:szCs w:val="20"/>
        </w:rPr>
        <w:t>安保卫制度及安全生产教育培训制度，并按安全生产法律规定及合同约定履行安全职责，如实编</w:t>
      </w:r>
      <w:r>
        <w:rPr>
          <w:rFonts w:ascii="宋体" w:hAnsi="宋体" w:eastAsia="宋体" w:cs="宋体"/>
          <w:spacing w:val="9"/>
          <w:sz w:val="20"/>
          <w:szCs w:val="20"/>
        </w:rPr>
        <w:t>制工程安全生产的有关记录，接受发包人、监理人及政府安全监督部门的检查与监督。</w:t>
      </w:r>
    </w:p>
    <w:p w14:paraId="7C3AD78C">
      <w:pPr>
        <w:spacing w:line="227" w:lineRule="auto"/>
        <w:ind w:left="422"/>
        <w:rPr>
          <w:rFonts w:ascii="宋体" w:hAnsi="宋体" w:eastAsia="宋体" w:cs="宋体"/>
          <w:sz w:val="20"/>
          <w:szCs w:val="20"/>
        </w:rPr>
      </w:pPr>
      <w:r>
        <w:rPr>
          <w:rFonts w:ascii="宋体" w:hAnsi="宋体" w:eastAsia="宋体" w:cs="宋体"/>
          <w:b/>
          <w:bCs/>
          <w:spacing w:val="5"/>
          <w:sz w:val="20"/>
          <w:szCs w:val="20"/>
        </w:rPr>
        <w:t>6.1.3</w:t>
      </w:r>
      <w:r>
        <w:rPr>
          <w:rFonts w:ascii="宋体" w:hAnsi="宋体" w:eastAsia="宋体" w:cs="宋体"/>
          <w:spacing w:val="5"/>
          <w:sz w:val="20"/>
          <w:szCs w:val="20"/>
        </w:rPr>
        <w:t xml:space="preserve"> </w:t>
      </w:r>
      <w:r>
        <w:rPr>
          <w:rFonts w:ascii="宋体" w:hAnsi="宋体" w:eastAsia="宋体" w:cs="宋体"/>
          <w:b/>
          <w:bCs/>
          <w:spacing w:val="5"/>
          <w:sz w:val="20"/>
          <w:szCs w:val="20"/>
        </w:rPr>
        <w:t>特别安全生产事项</w:t>
      </w:r>
    </w:p>
    <w:p w14:paraId="00364000">
      <w:pPr>
        <w:spacing w:before="126" w:line="346" w:lineRule="auto"/>
        <w:ind w:firstLine="420"/>
        <w:jc w:val="both"/>
        <w:rPr>
          <w:rFonts w:ascii="宋体" w:hAnsi="宋体" w:eastAsia="宋体" w:cs="宋体"/>
          <w:sz w:val="20"/>
          <w:szCs w:val="20"/>
        </w:rPr>
      </w:pPr>
      <w:r>
        <w:rPr>
          <w:rFonts w:ascii="宋体" w:hAnsi="宋体" w:eastAsia="宋体" w:cs="宋体"/>
          <w:spacing w:val="10"/>
          <w:sz w:val="20"/>
          <w:szCs w:val="20"/>
        </w:rPr>
        <w:t>承包人应按照法律规定进行施工，开工前做好安全技术交底工作，施工过程中做好各项安全防护措施。承包人为实施合同而雇用的特殊工种的人员应受过专门的培训并已取得政府有关管理</w:t>
      </w:r>
      <w:r>
        <w:rPr>
          <w:rFonts w:ascii="宋体" w:hAnsi="宋体" w:eastAsia="宋体" w:cs="宋体"/>
          <w:spacing w:val="8"/>
          <w:sz w:val="20"/>
          <w:szCs w:val="20"/>
        </w:rPr>
        <w:t>机构颁发的上岗证书。</w:t>
      </w:r>
    </w:p>
    <w:p w14:paraId="556D4946">
      <w:pPr>
        <w:spacing w:before="1" w:line="345" w:lineRule="auto"/>
        <w:ind w:left="17" w:firstLine="403"/>
        <w:rPr>
          <w:rFonts w:ascii="宋体" w:hAnsi="宋体" w:eastAsia="宋体" w:cs="宋体"/>
          <w:sz w:val="20"/>
          <w:szCs w:val="20"/>
        </w:rPr>
      </w:pPr>
      <w:r>
        <w:rPr>
          <w:rFonts w:ascii="宋体" w:hAnsi="宋体" w:eastAsia="宋体" w:cs="宋体"/>
          <w:spacing w:val="10"/>
          <w:sz w:val="20"/>
          <w:szCs w:val="20"/>
        </w:rPr>
        <w:t>承包人在动力设备、输电线路、地下管道、密封防震车间、易燃易爆地段以及临街交通要道</w:t>
      </w:r>
      <w:r>
        <w:rPr>
          <w:rFonts w:ascii="宋体" w:hAnsi="宋体" w:eastAsia="宋体" w:cs="宋体"/>
          <w:spacing w:val="9"/>
          <w:sz w:val="20"/>
          <w:szCs w:val="20"/>
        </w:rPr>
        <w:t>附近施工时，施工开始前应向发包人和监理人提出安全防护措施，经发包人认可后实施。</w:t>
      </w:r>
    </w:p>
    <w:p w14:paraId="571D49F5">
      <w:pPr>
        <w:spacing w:before="2" w:line="345" w:lineRule="auto"/>
        <w:ind w:firstLine="425"/>
        <w:jc w:val="both"/>
        <w:rPr>
          <w:rFonts w:ascii="宋体" w:hAnsi="宋体" w:eastAsia="宋体" w:cs="宋体"/>
          <w:sz w:val="20"/>
          <w:szCs w:val="20"/>
        </w:rPr>
      </w:pPr>
      <w:r>
        <w:rPr>
          <w:rFonts w:ascii="宋体" w:hAnsi="宋体" w:eastAsia="宋体" w:cs="宋体"/>
          <w:spacing w:val="10"/>
          <w:sz w:val="20"/>
          <w:szCs w:val="20"/>
        </w:rPr>
        <w:t>实施爆破作业，在放射、毒害性环境中施工（含储存、运输、使用）及使用毒害性、腐蚀性物品施工时，承包人应在施工前</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4"/>
          <w:sz w:val="20"/>
          <w:szCs w:val="20"/>
        </w:rPr>
        <w:t xml:space="preserve"> </w:t>
      </w:r>
      <w:r>
        <w:rPr>
          <w:rFonts w:ascii="宋体" w:hAnsi="宋体" w:eastAsia="宋体" w:cs="宋体"/>
          <w:spacing w:val="10"/>
          <w:sz w:val="20"/>
          <w:szCs w:val="20"/>
        </w:rPr>
        <w:t>天以书面通知发</w:t>
      </w:r>
      <w:r>
        <w:rPr>
          <w:rFonts w:ascii="宋体" w:hAnsi="宋体" w:eastAsia="宋体" w:cs="宋体"/>
          <w:spacing w:val="9"/>
          <w:sz w:val="20"/>
          <w:szCs w:val="20"/>
        </w:rPr>
        <w:t>包人和监理人，并报送相应的安全防护措施，</w:t>
      </w:r>
      <w:r>
        <w:rPr>
          <w:rFonts w:ascii="宋体" w:hAnsi="宋体" w:eastAsia="宋体" w:cs="宋体"/>
          <w:spacing w:val="8"/>
          <w:sz w:val="20"/>
          <w:szCs w:val="20"/>
        </w:rPr>
        <w:t>经发包人认可后实施。</w:t>
      </w:r>
    </w:p>
    <w:p w14:paraId="3D18447C">
      <w:pPr>
        <w:spacing w:before="1" w:line="345" w:lineRule="auto"/>
        <w:ind w:left="17" w:firstLine="414"/>
        <w:rPr>
          <w:rFonts w:ascii="宋体" w:hAnsi="宋体" w:eastAsia="宋体" w:cs="宋体"/>
          <w:sz w:val="20"/>
          <w:szCs w:val="20"/>
        </w:rPr>
      </w:pPr>
      <w:r>
        <w:rPr>
          <w:rFonts w:ascii="宋体" w:hAnsi="宋体" w:eastAsia="宋体" w:cs="宋体"/>
          <w:spacing w:val="10"/>
          <w:sz w:val="20"/>
          <w:szCs w:val="20"/>
        </w:rPr>
        <w:t>需单独编制危险性较大分部分项专项工程施工方案的，及要求进行专家论证的超过一定规模</w:t>
      </w:r>
      <w:r>
        <w:rPr>
          <w:rFonts w:ascii="宋体" w:hAnsi="宋体" w:eastAsia="宋体" w:cs="宋体"/>
          <w:spacing w:val="8"/>
          <w:sz w:val="20"/>
          <w:szCs w:val="20"/>
        </w:rPr>
        <w:t>的危险性较大的分部分项工程，承包人应及时编制和组织论证。</w:t>
      </w:r>
    </w:p>
    <w:p w14:paraId="183FAEC8">
      <w:pPr>
        <w:spacing w:line="228" w:lineRule="auto"/>
        <w:ind w:left="422"/>
        <w:rPr>
          <w:rFonts w:ascii="宋体" w:hAnsi="宋体" w:eastAsia="宋体" w:cs="宋体"/>
          <w:sz w:val="20"/>
          <w:szCs w:val="20"/>
        </w:rPr>
      </w:pPr>
      <w:r>
        <w:rPr>
          <w:rFonts w:ascii="宋体" w:hAnsi="宋体" w:eastAsia="宋体" w:cs="宋体"/>
          <w:b/>
          <w:bCs/>
          <w:spacing w:val="3"/>
          <w:sz w:val="20"/>
          <w:szCs w:val="20"/>
        </w:rPr>
        <w:t>6.1.4</w:t>
      </w:r>
      <w:r>
        <w:rPr>
          <w:rFonts w:ascii="宋体" w:hAnsi="宋体" w:eastAsia="宋体" w:cs="宋体"/>
          <w:spacing w:val="19"/>
          <w:sz w:val="20"/>
          <w:szCs w:val="20"/>
        </w:rPr>
        <w:t xml:space="preserve"> </w:t>
      </w:r>
      <w:r>
        <w:rPr>
          <w:rFonts w:ascii="宋体" w:hAnsi="宋体" w:eastAsia="宋体" w:cs="宋体"/>
          <w:b/>
          <w:bCs/>
          <w:spacing w:val="3"/>
          <w:sz w:val="20"/>
          <w:szCs w:val="20"/>
        </w:rPr>
        <w:t>治安保卫</w:t>
      </w:r>
    </w:p>
    <w:p w14:paraId="08706BC2">
      <w:pPr>
        <w:spacing w:before="126" w:line="346" w:lineRule="auto"/>
        <w:ind w:left="14" w:firstLine="419"/>
        <w:rPr>
          <w:rFonts w:ascii="宋体" w:hAnsi="宋体" w:eastAsia="宋体" w:cs="宋体"/>
          <w:sz w:val="20"/>
          <w:szCs w:val="20"/>
        </w:rPr>
      </w:pPr>
      <w:r>
        <w:rPr>
          <w:rFonts w:ascii="宋体" w:hAnsi="宋体" w:eastAsia="宋体" w:cs="宋体"/>
          <w:spacing w:val="10"/>
          <w:sz w:val="20"/>
          <w:szCs w:val="20"/>
        </w:rPr>
        <w:t>除专用合同条款另有约定外，发包人应与当地公安部门协商，在现场建立治安管理机构或联</w:t>
      </w:r>
      <w:r>
        <w:rPr>
          <w:rFonts w:ascii="宋体" w:hAnsi="宋体" w:eastAsia="宋体" w:cs="宋体"/>
          <w:spacing w:val="9"/>
          <w:sz w:val="20"/>
          <w:szCs w:val="20"/>
        </w:rPr>
        <w:t>防组织，统一管理施工场地的治安保卫事项，履行合同工程的治安保卫职责。</w:t>
      </w:r>
    </w:p>
    <w:p w14:paraId="11A6F8F0">
      <w:pPr>
        <w:spacing w:before="2" w:line="345" w:lineRule="auto"/>
        <w:ind w:firstLine="423"/>
        <w:rPr>
          <w:rFonts w:ascii="宋体" w:hAnsi="宋体" w:eastAsia="宋体" w:cs="宋体"/>
          <w:sz w:val="20"/>
          <w:szCs w:val="20"/>
        </w:rPr>
      </w:pPr>
      <w:r>
        <w:rPr>
          <w:rFonts w:ascii="宋体" w:hAnsi="宋体" w:eastAsia="宋体" w:cs="宋体"/>
          <w:spacing w:val="10"/>
          <w:sz w:val="20"/>
          <w:szCs w:val="20"/>
        </w:rPr>
        <w:t>发包人和承包人除应协助现场治安管理机构或联防组织维护施工场地的社会治安外，还应做</w:t>
      </w:r>
      <w:r>
        <w:rPr>
          <w:rFonts w:ascii="宋体" w:hAnsi="宋体" w:eastAsia="宋体" w:cs="宋体"/>
          <w:spacing w:val="9"/>
          <w:sz w:val="20"/>
          <w:szCs w:val="20"/>
        </w:rPr>
        <w:t>好包括生活区在内的各自管辖区的治安保卫工作。</w:t>
      </w:r>
    </w:p>
    <w:p w14:paraId="3A7231DA">
      <w:pPr>
        <w:spacing w:before="3" w:line="345" w:lineRule="auto"/>
        <w:ind w:firstLine="433"/>
        <w:jc w:val="both"/>
        <w:rPr>
          <w:rFonts w:ascii="宋体" w:hAnsi="宋体" w:eastAsia="宋体" w:cs="宋体"/>
          <w:sz w:val="20"/>
          <w:szCs w:val="20"/>
        </w:rPr>
      </w:pPr>
      <w:r>
        <w:rPr>
          <w:rFonts w:ascii="宋体" w:hAnsi="宋体" w:eastAsia="宋体" w:cs="宋体"/>
          <w:spacing w:val="9"/>
          <w:sz w:val="20"/>
          <w:szCs w:val="20"/>
        </w:rPr>
        <w:t>除专用合同条款另有约定外，发包人和承包人应在工程开工后</w:t>
      </w:r>
      <w:r>
        <w:rPr>
          <w:rFonts w:ascii="宋体" w:hAnsi="宋体" w:eastAsia="宋体" w:cs="宋体"/>
          <w:spacing w:val="-26"/>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天内共同编制施工场地治安</w:t>
      </w:r>
      <w:r>
        <w:rPr>
          <w:rFonts w:ascii="宋体" w:hAnsi="宋体" w:eastAsia="宋体" w:cs="宋体"/>
          <w:spacing w:val="10"/>
          <w:sz w:val="20"/>
          <w:szCs w:val="20"/>
        </w:rPr>
        <w:t>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w:t>
      </w:r>
      <w:r>
        <w:rPr>
          <w:rFonts w:ascii="宋体" w:hAnsi="宋体" w:eastAsia="宋体" w:cs="宋体"/>
          <w:spacing w:val="3"/>
          <w:sz w:val="20"/>
          <w:szCs w:val="20"/>
        </w:rPr>
        <w:t>损失。</w:t>
      </w:r>
    </w:p>
    <w:p w14:paraId="7460DC1A">
      <w:pPr>
        <w:spacing w:before="1" w:line="227" w:lineRule="auto"/>
        <w:ind w:left="422"/>
        <w:rPr>
          <w:rFonts w:ascii="宋体" w:hAnsi="宋体" w:eastAsia="宋体" w:cs="宋体"/>
          <w:sz w:val="20"/>
          <w:szCs w:val="20"/>
        </w:rPr>
      </w:pPr>
      <w:r>
        <w:rPr>
          <w:rFonts w:ascii="宋体" w:hAnsi="宋体" w:eastAsia="宋体" w:cs="宋体"/>
          <w:b/>
          <w:bCs/>
          <w:spacing w:val="4"/>
          <w:sz w:val="20"/>
          <w:szCs w:val="20"/>
        </w:rPr>
        <w:t>6.1.5</w:t>
      </w:r>
      <w:r>
        <w:rPr>
          <w:rFonts w:ascii="宋体" w:hAnsi="宋体" w:eastAsia="宋体" w:cs="宋体"/>
          <w:spacing w:val="4"/>
          <w:sz w:val="20"/>
          <w:szCs w:val="20"/>
        </w:rPr>
        <w:t xml:space="preserve"> </w:t>
      </w:r>
      <w:r>
        <w:rPr>
          <w:rFonts w:ascii="宋体" w:hAnsi="宋体" w:eastAsia="宋体" w:cs="宋体"/>
          <w:b/>
          <w:bCs/>
          <w:spacing w:val="4"/>
          <w:sz w:val="20"/>
          <w:szCs w:val="20"/>
        </w:rPr>
        <w:t>文明施工</w:t>
      </w:r>
    </w:p>
    <w:p w14:paraId="53220DE6">
      <w:pPr>
        <w:spacing w:before="126" w:line="346" w:lineRule="auto"/>
        <w:ind w:firstLine="420"/>
        <w:jc w:val="both"/>
        <w:rPr>
          <w:rFonts w:ascii="宋体" w:hAnsi="宋体" w:eastAsia="宋体" w:cs="宋体"/>
          <w:sz w:val="20"/>
          <w:szCs w:val="20"/>
        </w:rPr>
      </w:pPr>
      <w:r>
        <w:rPr>
          <w:rFonts w:ascii="宋体" w:hAnsi="宋体" w:eastAsia="宋体" w:cs="宋体"/>
          <w:spacing w:val="10"/>
          <w:sz w:val="20"/>
          <w:szCs w:val="20"/>
        </w:rPr>
        <w:t>承包人在工程施工期间，应当采取措施保持施工现场平整，物料堆放整齐。工程所在地有关政府行政管理部门有特殊要求的，按照其要求执行。合同当事人对文明施工有其他要求的，可以</w:t>
      </w:r>
      <w:r>
        <w:rPr>
          <w:rFonts w:ascii="宋体" w:hAnsi="宋体" w:eastAsia="宋体" w:cs="宋体"/>
          <w:spacing w:val="8"/>
          <w:sz w:val="20"/>
          <w:szCs w:val="20"/>
        </w:rPr>
        <w:t>在专用合同条款中明确。</w:t>
      </w:r>
    </w:p>
    <w:p w14:paraId="43C8FF05">
      <w:pPr>
        <w:spacing w:before="2" w:line="345" w:lineRule="auto"/>
        <w:ind w:firstLine="419"/>
        <w:jc w:val="both"/>
        <w:rPr>
          <w:rFonts w:ascii="宋体" w:hAnsi="宋体" w:eastAsia="宋体" w:cs="宋体"/>
          <w:sz w:val="20"/>
          <w:szCs w:val="20"/>
        </w:rPr>
      </w:pPr>
      <w:r>
        <w:rPr>
          <w:rFonts w:ascii="宋体" w:hAnsi="宋体" w:eastAsia="宋体" w:cs="宋体"/>
          <w:spacing w:val="10"/>
          <w:sz w:val="20"/>
          <w:szCs w:val="20"/>
        </w:rPr>
        <w:t>在工程移交之前，承包人应当从施工现场清除承包人的全部工程设备、多余材料、垃圾和各种临时工程，并保持施工现场清洁整齐。经发包人书面同意，承包人可在发包人指定的地点保留</w:t>
      </w:r>
      <w:r>
        <w:rPr>
          <w:rFonts w:ascii="宋体" w:hAnsi="宋体" w:eastAsia="宋体" w:cs="宋体"/>
          <w:spacing w:val="9"/>
          <w:sz w:val="20"/>
          <w:szCs w:val="20"/>
        </w:rPr>
        <w:t>承包人履行保修期内的各项义务所需要的材料、施工设备和临时工程。</w:t>
      </w:r>
    </w:p>
    <w:p w14:paraId="6790B091">
      <w:pPr>
        <w:spacing w:before="1" w:line="227" w:lineRule="auto"/>
        <w:ind w:left="422"/>
        <w:rPr>
          <w:rFonts w:ascii="宋体" w:hAnsi="宋体" w:eastAsia="宋体" w:cs="宋体"/>
          <w:sz w:val="20"/>
          <w:szCs w:val="20"/>
        </w:rPr>
      </w:pPr>
      <w:r>
        <w:rPr>
          <w:rFonts w:ascii="宋体" w:hAnsi="宋体" w:eastAsia="宋体" w:cs="宋体"/>
          <w:b/>
          <w:bCs/>
          <w:spacing w:val="5"/>
          <w:sz w:val="20"/>
          <w:szCs w:val="20"/>
        </w:rPr>
        <w:t>6.1.6</w:t>
      </w:r>
      <w:r>
        <w:rPr>
          <w:rFonts w:ascii="宋体" w:hAnsi="宋体" w:eastAsia="宋体" w:cs="宋体"/>
          <w:spacing w:val="5"/>
          <w:sz w:val="20"/>
          <w:szCs w:val="20"/>
        </w:rPr>
        <w:t xml:space="preserve"> </w:t>
      </w:r>
      <w:r>
        <w:rPr>
          <w:rFonts w:ascii="宋体" w:hAnsi="宋体" w:eastAsia="宋体" w:cs="宋体"/>
          <w:b/>
          <w:bCs/>
          <w:spacing w:val="5"/>
          <w:sz w:val="20"/>
          <w:szCs w:val="20"/>
        </w:rPr>
        <w:t>安全文明施工费</w:t>
      </w:r>
    </w:p>
    <w:p w14:paraId="3F7E0602">
      <w:pPr>
        <w:spacing w:before="126" w:line="347" w:lineRule="auto"/>
        <w:ind w:firstLine="424"/>
        <w:jc w:val="both"/>
        <w:rPr>
          <w:rFonts w:ascii="宋体" w:hAnsi="宋体" w:eastAsia="宋体" w:cs="宋体"/>
          <w:sz w:val="20"/>
          <w:szCs w:val="20"/>
        </w:rPr>
      </w:pPr>
      <w:r>
        <w:rPr>
          <w:rFonts w:ascii="宋体" w:hAnsi="宋体" w:eastAsia="宋体" w:cs="宋体"/>
          <w:spacing w:val="10"/>
          <w:sz w:val="20"/>
          <w:szCs w:val="20"/>
        </w:rPr>
        <w:t>安全文明施工费由发包人承担，发包人不得以任何形式扣减该部分费用。因基准日期后合同所适用的法律或政府有关规定发生变化，增加的安全文明施工费由发包人承担。发包人未按合同</w:t>
      </w:r>
      <w:r>
        <w:rPr>
          <w:rFonts w:ascii="宋体" w:hAnsi="宋体" w:eastAsia="宋体" w:cs="宋体"/>
          <w:spacing w:val="9"/>
          <w:sz w:val="20"/>
          <w:szCs w:val="20"/>
        </w:rPr>
        <w:t>约定支付安全文明施工费，非因承包人故意或重大过失，发生安全事故的，</w:t>
      </w:r>
      <w:r>
        <w:rPr>
          <w:rFonts w:ascii="宋体" w:hAnsi="宋体" w:eastAsia="宋体" w:cs="宋体"/>
          <w:spacing w:val="-46"/>
          <w:sz w:val="20"/>
          <w:szCs w:val="20"/>
        </w:rPr>
        <w:t xml:space="preserve"> </w:t>
      </w:r>
      <w:r>
        <w:rPr>
          <w:rFonts w:ascii="宋体" w:hAnsi="宋体" w:eastAsia="宋体" w:cs="宋体"/>
          <w:spacing w:val="9"/>
          <w:sz w:val="20"/>
          <w:szCs w:val="20"/>
        </w:rPr>
        <w:t>由发包人赔偿承包人</w:t>
      </w:r>
    </w:p>
    <w:p w14:paraId="3134666F">
      <w:pPr>
        <w:spacing w:line="347" w:lineRule="auto"/>
        <w:rPr>
          <w:rFonts w:ascii="宋体" w:hAnsi="宋体" w:eastAsia="宋体" w:cs="宋体"/>
          <w:sz w:val="20"/>
          <w:szCs w:val="20"/>
        </w:rPr>
        <w:sectPr>
          <w:footerReference r:id="rId353" w:type="default"/>
          <w:pgSz w:w="11906" w:h="16839"/>
          <w:pgMar w:top="400" w:right="1533" w:bottom="1446" w:left="1538" w:header="0" w:footer="1284" w:gutter="0"/>
          <w:cols w:space="720" w:num="1"/>
        </w:sectPr>
      </w:pPr>
    </w:p>
    <w:p w14:paraId="3B7BB860">
      <w:pPr>
        <w:spacing w:line="246" w:lineRule="auto"/>
        <w:rPr>
          <w:rFonts w:ascii="Arial"/>
          <w:sz w:val="21"/>
        </w:rPr>
      </w:pPr>
    </w:p>
    <w:p w14:paraId="65A35BA3">
      <w:pPr>
        <w:spacing w:line="246" w:lineRule="auto"/>
        <w:rPr>
          <w:rFonts w:ascii="Arial"/>
          <w:sz w:val="21"/>
        </w:rPr>
      </w:pPr>
    </w:p>
    <w:p w14:paraId="4D6ACE53">
      <w:pPr>
        <w:spacing w:line="246" w:lineRule="auto"/>
        <w:rPr>
          <w:rFonts w:ascii="Arial"/>
          <w:sz w:val="21"/>
        </w:rPr>
      </w:pPr>
    </w:p>
    <w:p w14:paraId="5017AF64">
      <w:pPr>
        <w:spacing w:line="246" w:lineRule="auto"/>
        <w:rPr>
          <w:rFonts w:ascii="Arial"/>
          <w:sz w:val="21"/>
        </w:rPr>
      </w:pPr>
    </w:p>
    <w:p w14:paraId="5640D4FA">
      <w:pPr>
        <w:spacing w:line="247" w:lineRule="auto"/>
        <w:rPr>
          <w:rFonts w:ascii="Arial"/>
          <w:sz w:val="21"/>
        </w:rPr>
      </w:pPr>
    </w:p>
    <w:p w14:paraId="539C205D">
      <w:pPr>
        <w:spacing w:line="247" w:lineRule="auto"/>
        <w:rPr>
          <w:rFonts w:ascii="Arial"/>
          <w:sz w:val="21"/>
        </w:rPr>
      </w:pPr>
    </w:p>
    <w:p w14:paraId="4E74E943">
      <w:pPr>
        <w:spacing w:before="65" w:line="228" w:lineRule="auto"/>
        <w:rPr>
          <w:rFonts w:ascii="宋体" w:hAnsi="宋体" w:eastAsia="宋体" w:cs="宋体"/>
          <w:sz w:val="20"/>
          <w:szCs w:val="20"/>
        </w:rPr>
      </w:pPr>
      <w:r>
        <w:rPr>
          <w:rFonts w:ascii="宋体" w:hAnsi="宋体" w:eastAsia="宋体" w:cs="宋体"/>
          <w:spacing w:val="7"/>
          <w:sz w:val="20"/>
          <w:szCs w:val="20"/>
        </w:rPr>
        <w:t>全部经济损失。</w:t>
      </w:r>
    </w:p>
    <w:p w14:paraId="443DA31C">
      <w:pPr>
        <w:spacing w:before="126" w:line="346" w:lineRule="auto"/>
        <w:ind w:left="2" w:right="87" w:firstLine="418"/>
        <w:jc w:val="both"/>
        <w:rPr>
          <w:rFonts w:ascii="宋体" w:hAnsi="宋体" w:eastAsia="宋体" w:cs="宋体"/>
          <w:sz w:val="20"/>
          <w:szCs w:val="20"/>
        </w:rPr>
      </w:pPr>
      <w:r>
        <w:rPr>
          <w:rFonts w:ascii="宋体" w:hAnsi="宋体" w:eastAsia="宋体" w:cs="宋体"/>
          <w:spacing w:val="9"/>
          <w:sz w:val="20"/>
          <w:szCs w:val="20"/>
        </w:rPr>
        <w:t>承包人经发包人同意采取合同约定以外的安全措施所产生的费用，</w:t>
      </w:r>
      <w:r>
        <w:rPr>
          <w:rFonts w:ascii="宋体" w:hAnsi="宋体" w:eastAsia="宋体" w:cs="宋体"/>
          <w:spacing w:val="-48"/>
          <w:sz w:val="20"/>
          <w:szCs w:val="20"/>
        </w:rPr>
        <w:t xml:space="preserve"> </w:t>
      </w:r>
      <w:r>
        <w:rPr>
          <w:rFonts w:ascii="宋体" w:hAnsi="宋体" w:eastAsia="宋体" w:cs="宋体"/>
          <w:spacing w:val="9"/>
          <w:sz w:val="20"/>
          <w:szCs w:val="20"/>
        </w:rPr>
        <w:t>由发包人承担。未经发包</w:t>
      </w:r>
      <w:r>
        <w:rPr>
          <w:rFonts w:ascii="宋体" w:hAnsi="宋体" w:eastAsia="宋体" w:cs="宋体"/>
          <w:spacing w:val="10"/>
          <w:sz w:val="20"/>
          <w:szCs w:val="20"/>
        </w:rPr>
        <w:t>人同意的，如果该措施避免了发包人的损失，则发包人在避免损失的额度内承担该措施费。如果</w:t>
      </w:r>
      <w:r>
        <w:rPr>
          <w:rFonts w:ascii="宋体" w:hAnsi="宋体" w:eastAsia="宋体" w:cs="宋体"/>
          <w:spacing w:val="9"/>
          <w:sz w:val="20"/>
          <w:szCs w:val="20"/>
        </w:rPr>
        <w:t>该措施避免了承包人的损失，由承包人承担该措施费。</w:t>
      </w:r>
    </w:p>
    <w:p w14:paraId="53DF4D3A">
      <w:pPr>
        <w:spacing w:before="3" w:line="345" w:lineRule="auto"/>
        <w:ind w:right="87" w:firstLine="433"/>
        <w:jc w:val="both"/>
        <w:rPr>
          <w:rFonts w:ascii="宋体" w:hAnsi="宋体" w:eastAsia="宋体" w:cs="宋体"/>
          <w:sz w:val="20"/>
          <w:szCs w:val="20"/>
        </w:rPr>
      </w:pPr>
      <w:r>
        <w:rPr>
          <w:rFonts w:ascii="宋体" w:hAnsi="宋体" w:eastAsia="宋体" w:cs="宋体"/>
          <w:spacing w:val="11"/>
          <w:sz w:val="20"/>
          <w:szCs w:val="20"/>
        </w:rPr>
        <w:t>除专用合同条款另有约定外，发包人应在开工时预付安全</w:t>
      </w:r>
      <w:r>
        <w:rPr>
          <w:rFonts w:ascii="宋体" w:hAnsi="宋体" w:eastAsia="宋体" w:cs="宋体"/>
          <w:spacing w:val="10"/>
          <w:sz w:val="20"/>
          <w:szCs w:val="20"/>
        </w:rPr>
        <w:t>文明施工费总额的</w:t>
      </w:r>
      <w:r>
        <w:rPr>
          <w:rFonts w:ascii="宋体" w:hAnsi="宋体" w:eastAsia="宋体" w:cs="宋体"/>
          <w:spacing w:val="-35"/>
          <w:sz w:val="20"/>
          <w:szCs w:val="20"/>
        </w:rPr>
        <w:t xml:space="preserve"> </w:t>
      </w:r>
      <w:r>
        <w:rPr>
          <w:rFonts w:ascii="宋体" w:hAnsi="宋体" w:eastAsia="宋体" w:cs="宋体"/>
          <w:spacing w:val="10"/>
          <w:sz w:val="20"/>
          <w:szCs w:val="20"/>
        </w:rPr>
        <w:t>80%。单项工程</w:t>
      </w:r>
      <w:r>
        <w:rPr>
          <w:rFonts w:ascii="宋体" w:hAnsi="宋体" w:eastAsia="宋体" w:cs="宋体"/>
          <w:spacing w:val="8"/>
          <w:sz w:val="20"/>
          <w:szCs w:val="20"/>
        </w:rPr>
        <w:t>施工至结构封顶或完成三分之二施工量时，支付该单项工程安全文明施工费的</w:t>
      </w:r>
      <w:r>
        <w:rPr>
          <w:rFonts w:ascii="宋体" w:hAnsi="宋体" w:eastAsia="宋体" w:cs="宋体"/>
          <w:spacing w:val="-21"/>
          <w:sz w:val="20"/>
          <w:szCs w:val="20"/>
        </w:rPr>
        <w:t xml:space="preserve"> </w:t>
      </w:r>
      <w:r>
        <w:rPr>
          <w:rFonts w:ascii="宋体" w:hAnsi="宋体" w:eastAsia="宋体" w:cs="宋体"/>
          <w:spacing w:val="8"/>
          <w:sz w:val="20"/>
          <w:szCs w:val="20"/>
        </w:rPr>
        <w:t>10</w:t>
      </w:r>
      <w:r>
        <w:rPr>
          <w:rFonts w:ascii="宋体" w:hAnsi="宋体" w:eastAsia="宋体" w:cs="宋体"/>
          <w:spacing w:val="13"/>
          <w:sz w:val="20"/>
          <w:szCs w:val="20"/>
        </w:rPr>
        <w:t>％；</w:t>
      </w:r>
      <w:r>
        <w:rPr>
          <w:rFonts w:ascii="宋体" w:hAnsi="宋体" w:eastAsia="宋体" w:cs="宋体"/>
          <w:spacing w:val="8"/>
          <w:sz w:val="20"/>
          <w:szCs w:val="20"/>
        </w:rPr>
        <w:t>工程竣工并</w:t>
      </w:r>
      <w:r>
        <w:rPr>
          <w:rFonts w:ascii="宋体" w:hAnsi="宋体" w:eastAsia="宋体" w:cs="宋体"/>
          <w:spacing w:val="10"/>
          <w:sz w:val="20"/>
          <w:szCs w:val="20"/>
        </w:rPr>
        <w:t>验收合格，支付剩余的安全文明施工费。发包人逾期</w:t>
      </w:r>
      <w:r>
        <w:rPr>
          <w:rFonts w:ascii="宋体" w:hAnsi="宋体" w:eastAsia="宋体" w:cs="宋体"/>
          <w:spacing w:val="9"/>
          <w:sz w:val="20"/>
          <w:szCs w:val="20"/>
        </w:rPr>
        <w:t>支付安全文明施工费超过</w:t>
      </w:r>
      <w:r>
        <w:rPr>
          <w:rFonts w:ascii="宋体" w:hAnsi="宋体" w:eastAsia="宋体" w:cs="宋体"/>
          <w:spacing w:val="-34"/>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天的，承包人有</w:t>
      </w:r>
      <w:r>
        <w:rPr>
          <w:rFonts w:ascii="宋体" w:hAnsi="宋体" w:eastAsia="宋体" w:cs="宋体"/>
          <w:spacing w:val="10"/>
          <w:sz w:val="20"/>
          <w:szCs w:val="20"/>
        </w:rPr>
        <w:t>权向发包人发出要求预付的催告通知，发包人收到通</w:t>
      </w:r>
      <w:r>
        <w:rPr>
          <w:rFonts w:ascii="宋体" w:hAnsi="宋体" w:eastAsia="宋体" w:cs="宋体"/>
          <w:spacing w:val="9"/>
          <w:sz w:val="20"/>
          <w:szCs w:val="20"/>
        </w:rPr>
        <w:t>知后</w:t>
      </w:r>
      <w:r>
        <w:rPr>
          <w:rFonts w:ascii="宋体" w:hAnsi="宋体" w:eastAsia="宋体" w:cs="宋体"/>
          <w:spacing w:val="-34"/>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天内仍未支付的，承包人有权暂停施</w:t>
      </w:r>
      <w:r>
        <w:rPr>
          <w:rFonts w:ascii="宋体" w:hAnsi="宋体" w:eastAsia="宋体" w:cs="宋体"/>
          <w:spacing w:val="6"/>
          <w:sz w:val="20"/>
          <w:szCs w:val="20"/>
        </w:rPr>
        <w:t>工，并按第</w:t>
      </w:r>
      <w:r>
        <w:rPr>
          <w:rFonts w:ascii="宋体" w:hAnsi="宋体" w:eastAsia="宋体" w:cs="宋体"/>
          <w:spacing w:val="-10"/>
          <w:sz w:val="20"/>
          <w:szCs w:val="20"/>
        </w:rPr>
        <w:t xml:space="preserve"> </w:t>
      </w:r>
      <w:r>
        <w:rPr>
          <w:rFonts w:ascii="宋体" w:hAnsi="宋体" w:eastAsia="宋体" w:cs="宋体"/>
          <w:spacing w:val="6"/>
          <w:sz w:val="20"/>
          <w:szCs w:val="20"/>
        </w:rPr>
        <w:t>16.1.1</w:t>
      </w:r>
      <w:r>
        <w:rPr>
          <w:rFonts w:ascii="宋体" w:hAnsi="宋体" w:eastAsia="宋体" w:cs="宋体"/>
          <w:spacing w:val="-34"/>
          <w:sz w:val="20"/>
          <w:szCs w:val="20"/>
        </w:rPr>
        <w:t xml:space="preserve"> </w:t>
      </w:r>
      <w:r>
        <w:rPr>
          <w:rFonts w:ascii="宋体" w:hAnsi="宋体" w:eastAsia="宋体" w:cs="宋体"/>
          <w:spacing w:val="6"/>
          <w:sz w:val="20"/>
          <w:szCs w:val="20"/>
        </w:rPr>
        <w:t>项〔发包人违约的情形〕执行。</w:t>
      </w:r>
    </w:p>
    <w:p w14:paraId="6118AF67">
      <w:pPr>
        <w:spacing w:before="1" w:line="345" w:lineRule="auto"/>
        <w:ind w:left="1" w:firstLine="419"/>
        <w:jc w:val="both"/>
        <w:rPr>
          <w:rFonts w:ascii="宋体" w:hAnsi="宋体" w:eastAsia="宋体" w:cs="宋体"/>
          <w:sz w:val="20"/>
          <w:szCs w:val="20"/>
        </w:rPr>
      </w:pPr>
      <w:r>
        <w:rPr>
          <w:rFonts w:ascii="宋体" w:hAnsi="宋体" w:eastAsia="宋体" w:cs="宋体"/>
          <w:spacing w:val="7"/>
          <w:sz w:val="20"/>
          <w:szCs w:val="20"/>
        </w:rPr>
        <w:t>承包人对安全文明施工费应专款专用，承包人应在财务账目中单独列项备查，不得挪作他用，否则发包人有权责令其限期改正；逾期未改正的，可以责令其暂停施工，由此增加的费用和（或）</w:t>
      </w:r>
      <w:r>
        <w:rPr>
          <w:rFonts w:ascii="宋体" w:hAnsi="宋体" w:eastAsia="宋体" w:cs="宋体"/>
          <w:spacing w:val="8"/>
          <w:sz w:val="20"/>
          <w:szCs w:val="20"/>
        </w:rPr>
        <w:t>延误的工期由承包人承担。</w:t>
      </w:r>
    </w:p>
    <w:p w14:paraId="7286D5A5">
      <w:pPr>
        <w:spacing w:line="227" w:lineRule="auto"/>
        <w:ind w:left="422"/>
        <w:rPr>
          <w:rFonts w:ascii="宋体" w:hAnsi="宋体" w:eastAsia="宋体" w:cs="宋体"/>
          <w:sz w:val="20"/>
          <w:szCs w:val="20"/>
        </w:rPr>
      </w:pPr>
      <w:r>
        <w:rPr>
          <w:rFonts w:ascii="宋体" w:hAnsi="宋体" w:eastAsia="宋体" w:cs="宋体"/>
          <w:b/>
          <w:bCs/>
          <w:spacing w:val="5"/>
          <w:sz w:val="20"/>
          <w:szCs w:val="20"/>
        </w:rPr>
        <w:t>6.1.7</w:t>
      </w:r>
      <w:r>
        <w:rPr>
          <w:rFonts w:ascii="宋体" w:hAnsi="宋体" w:eastAsia="宋体" w:cs="宋体"/>
          <w:spacing w:val="5"/>
          <w:sz w:val="20"/>
          <w:szCs w:val="20"/>
        </w:rPr>
        <w:t xml:space="preserve"> </w:t>
      </w:r>
      <w:r>
        <w:rPr>
          <w:rFonts w:ascii="宋体" w:hAnsi="宋体" w:eastAsia="宋体" w:cs="宋体"/>
          <w:b/>
          <w:bCs/>
          <w:spacing w:val="5"/>
          <w:sz w:val="20"/>
          <w:szCs w:val="20"/>
        </w:rPr>
        <w:t>紧急情况处理</w:t>
      </w:r>
    </w:p>
    <w:p w14:paraId="7BBA9BBE">
      <w:pPr>
        <w:spacing w:before="127" w:line="346" w:lineRule="auto"/>
        <w:ind w:right="87" w:firstLine="419"/>
        <w:jc w:val="both"/>
        <w:rPr>
          <w:rFonts w:ascii="宋体" w:hAnsi="宋体" w:eastAsia="宋体" w:cs="宋体"/>
          <w:sz w:val="20"/>
          <w:szCs w:val="20"/>
        </w:rPr>
      </w:pPr>
      <w:r>
        <w:rPr>
          <w:rFonts w:ascii="宋体" w:hAnsi="宋体" w:eastAsia="宋体" w:cs="宋体"/>
          <w:spacing w:val="10"/>
          <w:sz w:val="20"/>
          <w:szCs w:val="20"/>
        </w:rPr>
        <w:t>在工程实施期间或缺陷责任期内发生危及工程安全的事件，监理人通知承包人进行抢救，承包人声明无能力或不愿立即执行的，发包人有权雇佣其他人员进行抢救。此类抢救按合同约定属</w:t>
      </w:r>
      <w:r>
        <w:rPr>
          <w:rFonts w:ascii="宋体" w:hAnsi="宋体" w:eastAsia="宋体" w:cs="宋体"/>
          <w:spacing w:val="8"/>
          <w:sz w:val="20"/>
          <w:szCs w:val="20"/>
        </w:rPr>
        <w:t>于承包人义务的，</w:t>
      </w:r>
      <w:r>
        <w:rPr>
          <w:rFonts w:ascii="宋体" w:hAnsi="宋体" w:eastAsia="宋体" w:cs="宋体"/>
          <w:spacing w:val="-58"/>
          <w:sz w:val="20"/>
          <w:szCs w:val="20"/>
        </w:rPr>
        <w:t xml:space="preserve"> </w:t>
      </w:r>
      <w:r>
        <w:rPr>
          <w:rFonts w:ascii="宋体" w:hAnsi="宋体" w:eastAsia="宋体" w:cs="宋体"/>
          <w:spacing w:val="8"/>
          <w:sz w:val="20"/>
          <w:szCs w:val="20"/>
        </w:rPr>
        <w:t>由此增加的费用和（或）延误的工期由承包人承</w:t>
      </w:r>
      <w:r>
        <w:rPr>
          <w:rFonts w:ascii="宋体" w:hAnsi="宋体" w:eastAsia="宋体" w:cs="宋体"/>
          <w:spacing w:val="7"/>
          <w:sz w:val="20"/>
          <w:szCs w:val="20"/>
        </w:rPr>
        <w:t>担。</w:t>
      </w:r>
    </w:p>
    <w:p w14:paraId="0589E7BE">
      <w:pPr>
        <w:spacing w:line="228" w:lineRule="auto"/>
        <w:ind w:left="422"/>
        <w:rPr>
          <w:rFonts w:ascii="宋体" w:hAnsi="宋体" w:eastAsia="宋体" w:cs="宋体"/>
          <w:sz w:val="20"/>
          <w:szCs w:val="20"/>
        </w:rPr>
      </w:pPr>
      <w:r>
        <w:rPr>
          <w:rFonts w:ascii="宋体" w:hAnsi="宋体" w:eastAsia="宋体" w:cs="宋体"/>
          <w:b/>
          <w:bCs/>
          <w:spacing w:val="4"/>
          <w:sz w:val="20"/>
          <w:szCs w:val="20"/>
        </w:rPr>
        <w:t>6.1.8</w:t>
      </w:r>
      <w:r>
        <w:rPr>
          <w:rFonts w:ascii="宋体" w:hAnsi="宋体" w:eastAsia="宋体" w:cs="宋体"/>
          <w:spacing w:val="4"/>
          <w:sz w:val="20"/>
          <w:szCs w:val="20"/>
        </w:rPr>
        <w:t xml:space="preserve"> </w:t>
      </w:r>
      <w:r>
        <w:rPr>
          <w:rFonts w:ascii="宋体" w:hAnsi="宋体" w:eastAsia="宋体" w:cs="宋体"/>
          <w:b/>
          <w:bCs/>
          <w:spacing w:val="4"/>
          <w:sz w:val="20"/>
          <w:szCs w:val="20"/>
        </w:rPr>
        <w:t>事故处理</w:t>
      </w:r>
    </w:p>
    <w:p w14:paraId="6D2B803A">
      <w:pPr>
        <w:spacing w:before="125" w:line="346" w:lineRule="auto"/>
        <w:ind w:right="35" w:firstLine="439"/>
        <w:jc w:val="both"/>
        <w:rPr>
          <w:rFonts w:ascii="宋体" w:hAnsi="宋体" w:eastAsia="宋体" w:cs="宋体"/>
          <w:sz w:val="20"/>
          <w:szCs w:val="20"/>
        </w:rPr>
      </w:pPr>
      <w:r>
        <w:rPr>
          <w:rFonts w:ascii="宋体" w:hAnsi="宋体" w:eastAsia="宋体" w:cs="宋体"/>
          <w:spacing w:val="15"/>
          <w:sz w:val="20"/>
          <w:szCs w:val="20"/>
        </w:rPr>
        <w:t>工程施工过程中发生事故的，承包人应立即通知监理人，监理人应立即通知发包人。发包人和承包人应立即组织人员和设备进行紧急抢救和抢修，减少人员伤亡和财产损失，防止事故</w:t>
      </w:r>
      <w:r>
        <w:rPr>
          <w:rFonts w:ascii="宋体" w:hAnsi="宋体" w:eastAsia="宋体" w:cs="宋体"/>
          <w:spacing w:val="17"/>
          <w:sz w:val="20"/>
          <w:szCs w:val="20"/>
        </w:rPr>
        <w:t>扩大，并保护事故现场。需要移动现场物品时，应作出标记和书</w:t>
      </w:r>
      <w:r>
        <w:rPr>
          <w:rFonts w:ascii="宋体" w:hAnsi="宋体" w:eastAsia="宋体" w:cs="宋体"/>
          <w:spacing w:val="16"/>
          <w:sz w:val="20"/>
          <w:szCs w:val="20"/>
        </w:rPr>
        <w:t>面记录，妥善保管有关证据。</w:t>
      </w:r>
      <w:r>
        <w:rPr>
          <w:rFonts w:ascii="宋体" w:hAnsi="宋体" w:eastAsia="宋体" w:cs="宋体"/>
          <w:spacing w:val="15"/>
          <w:sz w:val="20"/>
          <w:szCs w:val="20"/>
        </w:rPr>
        <w:t>发包人和承包人应按国家有关规定，及时如实地向有关部门报告事故发生的情况，以及正在采</w:t>
      </w:r>
      <w:r>
        <w:rPr>
          <w:rFonts w:ascii="宋体" w:hAnsi="宋体" w:eastAsia="宋体" w:cs="宋体"/>
          <w:spacing w:val="13"/>
          <w:sz w:val="20"/>
          <w:szCs w:val="20"/>
        </w:rPr>
        <w:t>取的紧急措施等。</w:t>
      </w:r>
    </w:p>
    <w:p w14:paraId="7DD4D1A4">
      <w:pPr>
        <w:spacing w:line="227" w:lineRule="auto"/>
        <w:ind w:left="422"/>
        <w:rPr>
          <w:rFonts w:ascii="宋体" w:hAnsi="宋体" w:eastAsia="宋体" w:cs="宋体"/>
          <w:sz w:val="20"/>
          <w:szCs w:val="20"/>
        </w:rPr>
      </w:pPr>
      <w:r>
        <w:rPr>
          <w:rFonts w:ascii="宋体" w:hAnsi="宋体" w:eastAsia="宋体" w:cs="宋体"/>
          <w:b/>
          <w:bCs/>
          <w:spacing w:val="5"/>
          <w:sz w:val="20"/>
          <w:szCs w:val="20"/>
        </w:rPr>
        <w:t>6.1.9</w:t>
      </w:r>
      <w:r>
        <w:rPr>
          <w:rFonts w:ascii="宋体" w:hAnsi="宋体" w:eastAsia="宋体" w:cs="宋体"/>
          <w:spacing w:val="5"/>
          <w:sz w:val="20"/>
          <w:szCs w:val="20"/>
        </w:rPr>
        <w:t xml:space="preserve"> </w:t>
      </w:r>
      <w:r>
        <w:rPr>
          <w:rFonts w:ascii="宋体" w:hAnsi="宋体" w:eastAsia="宋体" w:cs="宋体"/>
          <w:b/>
          <w:bCs/>
          <w:spacing w:val="5"/>
          <w:sz w:val="20"/>
          <w:szCs w:val="20"/>
        </w:rPr>
        <w:t>安全生产责任</w:t>
      </w:r>
    </w:p>
    <w:p w14:paraId="5ED21FC2">
      <w:pPr>
        <w:spacing w:before="128" w:line="228" w:lineRule="auto"/>
        <w:ind w:left="422"/>
        <w:rPr>
          <w:rFonts w:ascii="宋体" w:hAnsi="宋体" w:eastAsia="宋体" w:cs="宋体"/>
          <w:sz w:val="20"/>
          <w:szCs w:val="20"/>
        </w:rPr>
      </w:pPr>
      <w:r>
        <w:rPr>
          <w:rFonts w:ascii="宋体" w:hAnsi="宋体" w:eastAsia="宋体" w:cs="宋体"/>
          <w:b/>
          <w:bCs/>
          <w:spacing w:val="5"/>
          <w:sz w:val="20"/>
          <w:szCs w:val="20"/>
        </w:rPr>
        <w:t>6.1.9.1</w:t>
      </w:r>
      <w:r>
        <w:rPr>
          <w:rFonts w:ascii="宋体" w:hAnsi="宋体" w:eastAsia="宋体" w:cs="宋体"/>
          <w:spacing w:val="5"/>
          <w:sz w:val="20"/>
          <w:szCs w:val="20"/>
        </w:rPr>
        <w:t xml:space="preserve"> </w:t>
      </w:r>
      <w:r>
        <w:rPr>
          <w:rFonts w:ascii="宋体" w:hAnsi="宋体" w:eastAsia="宋体" w:cs="宋体"/>
          <w:b/>
          <w:bCs/>
          <w:spacing w:val="5"/>
          <w:sz w:val="20"/>
          <w:szCs w:val="20"/>
        </w:rPr>
        <w:t>发包人的安全责任</w:t>
      </w:r>
    </w:p>
    <w:p w14:paraId="4E407EAC">
      <w:pPr>
        <w:spacing w:before="127" w:line="228" w:lineRule="auto"/>
        <w:ind w:left="424"/>
        <w:rPr>
          <w:rFonts w:ascii="宋体" w:hAnsi="宋体" w:eastAsia="宋体" w:cs="宋体"/>
          <w:sz w:val="20"/>
          <w:szCs w:val="20"/>
        </w:rPr>
      </w:pPr>
      <w:r>
        <w:rPr>
          <w:rFonts w:ascii="宋体" w:hAnsi="宋体" w:eastAsia="宋体" w:cs="宋体"/>
          <w:spacing w:val="8"/>
          <w:sz w:val="20"/>
          <w:szCs w:val="20"/>
        </w:rPr>
        <w:t>发包人应负责赔偿以下各种情况造成的损失：</w:t>
      </w:r>
    </w:p>
    <w:p w14:paraId="2179C473">
      <w:pPr>
        <w:spacing w:before="128" w:line="228" w:lineRule="auto"/>
        <w:ind w:left="430"/>
        <w:rPr>
          <w:rFonts w:ascii="宋体" w:hAnsi="宋体" w:eastAsia="宋体" w:cs="宋体"/>
          <w:sz w:val="20"/>
          <w:szCs w:val="20"/>
        </w:rPr>
      </w:pPr>
      <w:r>
        <w:rPr>
          <w:rFonts w:ascii="宋体" w:hAnsi="宋体" w:eastAsia="宋体" w:cs="宋体"/>
          <w:spacing w:val="9"/>
          <w:sz w:val="20"/>
          <w:szCs w:val="20"/>
        </w:rPr>
        <w:t>（1）工程或工程的任何部分对土地的占用所造成的第</w:t>
      </w:r>
      <w:r>
        <w:rPr>
          <w:rFonts w:ascii="宋体" w:hAnsi="宋体" w:eastAsia="宋体" w:cs="宋体"/>
          <w:spacing w:val="8"/>
          <w:sz w:val="20"/>
          <w:szCs w:val="20"/>
        </w:rPr>
        <w:t>三者财产损失；</w:t>
      </w:r>
    </w:p>
    <w:p w14:paraId="23B33529">
      <w:pPr>
        <w:spacing w:before="127" w:line="228" w:lineRule="auto"/>
        <w:ind w:left="430"/>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57"/>
          <w:sz w:val="20"/>
          <w:szCs w:val="20"/>
        </w:rPr>
        <w:t xml:space="preserve"> </w:t>
      </w:r>
      <w:r>
        <w:rPr>
          <w:rFonts w:ascii="宋体" w:hAnsi="宋体" w:eastAsia="宋体" w:cs="宋体"/>
          <w:spacing w:val="8"/>
          <w:sz w:val="20"/>
          <w:szCs w:val="20"/>
        </w:rPr>
        <w:t>由于发包人原因在施工场地及其毗邻地带造成的第三者人身伤</w:t>
      </w:r>
      <w:r>
        <w:rPr>
          <w:rFonts w:ascii="宋体" w:hAnsi="宋体" w:eastAsia="宋体" w:cs="宋体"/>
          <w:spacing w:val="7"/>
          <w:sz w:val="20"/>
          <w:szCs w:val="20"/>
        </w:rPr>
        <w:t>亡和财产损失；</w:t>
      </w:r>
    </w:p>
    <w:p w14:paraId="59B8CAD8">
      <w:pPr>
        <w:spacing w:before="127" w:line="228" w:lineRule="auto"/>
        <w:ind w:left="430"/>
        <w:rPr>
          <w:rFonts w:ascii="宋体" w:hAnsi="宋体" w:eastAsia="宋体" w:cs="宋体"/>
          <w:sz w:val="20"/>
          <w:szCs w:val="20"/>
        </w:rPr>
      </w:pPr>
      <w:r>
        <w:rPr>
          <w:rFonts w:ascii="宋体" w:hAnsi="宋体" w:eastAsia="宋体" w:cs="宋体"/>
          <w:spacing w:val="7"/>
          <w:sz w:val="20"/>
          <w:szCs w:val="20"/>
        </w:rPr>
        <w:t>（3）</w:t>
      </w:r>
      <w:r>
        <w:rPr>
          <w:rFonts w:ascii="宋体" w:hAnsi="宋体" w:eastAsia="宋体" w:cs="宋体"/>
          <w:spacing w:val="-39"/>
          <w:sz w:val="20"/>
          <w:szCs w:val="20"/>
        </w:rPr>
        <w:t xml:space="preserve"> </w:t>
      </w:r>
      <w:r>
        <w:rPr>
          <w:rFonts w:ascii="宋体" w:hAnsi="宋体" w:eastAsia="宋体" w:cs="宋体"/>
          <w:spacing w:val="7"/>
          <w:sz w:val="20"/>
          <w:szCs w:val="20"/>
        </w:rPr>
        <w:t>由于发包人原因对承包人、监理人造成的人员人身伤亡和财产损失；</w:t>
      </w:r>
    </w:p>
    <w:p w14:paraId="0F95FEE6">
      <w:pPr>
        <w:spacing w:before="128" w:line="228" w:lineRule="auto"/>
        <w:ind w:left="430"/>
        <w:rPr>
          <w:rFonts w:ascii="宋体" w:hAnsi="宋体" w:eastAsia="宋体" w:cs="宋体"/>
          <w:sz w:val="20"/>
          <w:szCs w:val="20"/>
        </w:rPr>
      </w:pPr>
      <w:r>
        <w:rPr>
          <w:rFonts w:ascii="宋体" w:hAnsi="宋体" w:eastAsia="宋体" w:cs="宋体"/>
          <w:spacing w:val="7"/>
          <w:sz w:val="20"/>
          <w:szCs w:val="20"/>
        </w:rPr>
        <w:t>（4）</w:t>
      </w:r>
      <w:r>
        <w:rPr>
          <w:rFonts w:ascii="宋体" w:hAnsi="宋体" w:eastAsia="宋体" w:cs="宋体"/>
          <w:spacing w:val="-41"/>
          <w:sz w:val="20"/>
          <w:szCs w:val="20"/>
        </w:rPr>
        <w:t xml:space="preserve"> </w:t>
      </w:r>
      <w:r>
        <w:rPr>
          <w:rFonts w:ascii="宋体" w:hAnsi="宋体" w:eastAsia="宋体" w:cs="宋体"/>
          <w:spacing w:val="7"/>
          <w:sz w:val="20"/>
          <w:szCs w:val="20"/>
        </w:rPr>
        <w:t>由于发包人原因造成的发包人自身人员的人身伤害以及财产损失。</w:t>
      </w:r>
    </w:p>
    <w:p w14:paraId="3FE55ADD">
      <w:pPr>
        <w:spacing w:before="127" w:line="228" w:lineRule="auto"/>
        <w:ind w:left="422"/>
        <w:rPr>
          <w:rFonts w:ascii="宋体" w:hAnsi="宋体" w:eastAsia="宋体" w:cs="宋体"/>
          <w:sz w:val="20"/>
          <w:szCs w:val="20"/>
        </w:rPr>
      </w:pPr>
      <w:r>
        <w:rPr>
          <w:rFonts w:ascii="宋体" w:hAnsi="宋体" w:eastAsia="宋体" w:cs="宋体"/>
          <w:spacing w:val="6"/>
          <w:sz w:val="20"/>
          <w:szCs w:val="20"/>
        </w:rPr>
        <w:t>6.1.9.2 承包人的安全责任</w:t>
      </w:r>
    </w:p>
    <w:p w14:paraId="4F94DB05">
      <w:pPr>
        <w:spacing w:before="128" w:line="347" w:lineRule="auto"/>
        <w:ind w:right="87" w:firstLine="445"/>
        <w:rPr>
          <w:rFonts w:ascii="宋体" w:hAnsi="宋体" w:eastAsia="宋体" w:cs="宋体"/>
          <w:sz w:val="20"/>
          <w:szCs w:val="20"/>
        </w:rPr>
      </w:pPr>
      <w:r>
        <w:rPr>
          <w:rFonts w:ascii="宋体" w:hAnsi="宋体" w:eastAsia="宋体" w:cs="宋体"/>
          <w:spacing w:val="10"/>
          <w:sz w:val="20"/>
          <w:szCs w:val="20"/>
        </w:rPr>
        <w:t>由于承包人原因在施工场地内及其毗邻地带造成的发包人、</w:t>
      </w:r>
      <w:r>
        <w:rPr>
          <w:rFonts w:ascii="宋体" w:hAnsi="宋体" w:eastAsia="宋体" w:cs="宋体"/>
          <w:spacing w:val="9"/>
          <w:sz w:val="20"/>
          <w:szCs w:val="20"/>
        </w:rPr>
        <w:t>监理人以及第三者人员伤亡和财</w:t>
      </w:r>
      <w:r>
        <w:rPr>
          <w:rFonts w:ascii="宋体" w:hAnsi="宋体" w:eastAsia="宋体" w:cs="宋体"/>
          <w:spacing w:val="5"/>
          <w:sz w:val="20"/>
          <w:szCs w:val="20"/>
        </w:rPr>
        <w:t>产损失，</w:t>
      </w:r>
      <w:r>
        <w:rPr>
          <w:rFonts w:ascii="宋体" w:hAnsi="宋体" w:eastAsia="宋体" w:cs="宋体"/>
          <w:spacing w:val="-57"/>
          <w:sz w:val="20"/>
          <w:szCs w:val="20"/>
        </w:rPr>
        <w:t xml:space="preserve"> </w:t>
      </w:r>
      <w:r>
        <w:rPr>
          <w:rFonts w:ascii="宋体" w:hAnsi="宋体" w:eastAsia="宋体" w:cs="宋体"/>
          <w:spacing w:val="5"/>
          <w:sz w:val="20"/>
          <w:szCs w:val="20"/>
        </w:rPr>
        <w:t>由承包人负责赔偿。</w:t>
      </w:r>
    </w:p>
    <w:p w14:paraId="67FD6DD2">
      <w:pPr>
        <w:spacing w:line="304" w:lineRule="auto"/>
        <w:rPr>
          <w:rFonts w:ascii="Arial"/>
          <w:sz w:val="21"/>
        </w:rPr>
      </w:pPr>
    </w:p>
    <w:p w14:paraId="5BFD8415">
      <w:pPr>
        <w:spacing w:before="65" w:line="228" w:lineRule="auto"/>
        <w:ind w:left="422"/>
        <w:rPr>
          <w:rFonts w:ascii="宋体" w:hAnsi="宋体" w:eastAsia="宋体" w:cs="宋体"/>
          <w:sz w:val="20"/>
          <w:szCs w:val="20"/>
        </w:rPr>
      </w:pPr>
      <w:r>
        <w:rPr>
          <w:rFonts w:ascii="宋体" w:hAnsi="宋体" w:eastAsia="宋体" w:cs="宋体"/>
          <w:b/>
          <w:bCs/>
          <w:spacing w:val="5"/>
          <w:sz w:val="20"/>
          <w:szCs w:val="20"/>
        </w:rPr>
        <w:t>6.2</w:t>
      </w:r>
      <w:r>
        <w:rPr>
          <w:rFonts w:ascii="宋体" w:hAnsi="宋体" w:eastAsia="宋体" w:cs="宋体"/>
          <w:spacing w:val="5"/>
          <w:sz w:val="20"/>
          <w:szCs w:val="20"/>
        </w:rPr>
        <w:t xml:space="preserve"> </w:t>
      </w:r>
      <w:r>
        <w:rPr>
          <w:rFonts w:ascii="宋体" w:hAnsi="宋体" w:eastAsia="宋体" w:cs="宋体"/>
          <w:b/>
          <w:bCs/>
          <w:spacing w:val="5"/>
          <w:sz w:val="20"/>
          <w:szCs w:val="20"/>
        </w:rPr>
        <w:t>职业健康</w:t>
      </w:r>
    </w:p>
    <w:p w14:paraId="03BE6D12">
      <w:pPr>
        <w:spacing w:line="228" w:lineRule="auto"/>
        <w:rPr>
          <w:rFonts w:ascii="宋体" w:hAnsi="宋体" w:eastAsia="宋体" w:cs="宋体"/>
          <w:sz w:val="20"/>
          <w:szCs w:val="20"/>
        </w:rPr>
        <w:sectPr>
          <w:footerReference r:id="rId354" w:type="default"/>
          <w:pgSz w:w="11906" w:h="16839"/>
          <w:pgMar w:top="400" w:right="1445" w:bottom="1446" w:left="1538" w:header="0" w:footer="1284" w:gutter="0"/>
          <w:cols w:space="720" w:num="1"/>
        </w:sectPr>
      </w:pPr>
    </w:p>
    <w:p w14:paraId="79CF6086">
      <w:pPr>
        <w:spacing w:line="246" w:lineRule="auto"/>
        <w:rPr>
          <w:rFonts w:ascii="Arial"/>
          <w:sz w:val="21"/>
        </w:rPr>
      </w:pPr>
    </w:p>
    <w:p w14:paraId="24BE754B">
      <w:pPr>
        <w:spacing w:line="246" w:lineRule="auto"/>
        <w:rPr>
          <w:rFonts w:ascii="Arial"/>
          <w:sz w:val="21"/>
        </w:rPr>
      </w:pPr>
    </w:p>
    <w:p w14:paraId="333CE355">
      <w:pPr>
        <w:spacing w:line="246" w:lineRule="auto"/>
        <w:rPr>
          <w:rFonts w:ascii="Arial"/>
          <w:sz w:val="21"/>
        </w:rPr>
      </w:pPr>
    </w:p>
    <w:p w14:paraId="60FCB47F">
      <w:pPr>
        <w:spacing w:line="246" w:lineRule="auto"/>
        <w:rPr>
          <w:rFonts w:ascii="Arial"/>
          <w:sz w:val="21"/>
        </w:rPr>
      </w:pPr>
    </w:p>
    <w:p w14:paraId="6BCA74CF">
      <w:pPr>
        <w:spacing w:line="247" w:lineRule="auto"/>
        <w:rPr>
          <w:rFonts w:ascii="Arial"/>
          <w:sz w:val="21"/>
        </w:rPr>
      </w:pPr>
    </w:p>
    <w:p w14:paraId="6C28F538">
      <w:pPr>
        <w:spacing w:line="247" w:lineRule="auto"/>
        <w:rPr>
          <w:rFonts w:ascii="Arial"/>
          <w:sz w:val="21"/>
        </w:rPr>
      </w:pPr>
    </w:p>
    <w:p w14:paraId="35612DFC">
      <w:pPr>
        <w:spacing w:before="65" w:line="228" w:lineRule="auto"/>
        <w:ind w:left="422"/>
        <w:rPr>
          <w:rFonts w:ascii="宋体" w:hAnsi="宋体" w:eastAsia="宋体" w:cs="宋体"/>
          <w:sz w:val="20"/>
          <w:szCs w:val="20"/>
        </w:rPr>
      </w:pPr>
      <w:r>
        <w:rPr>
          <w:rFonts w:ascii="宋体" w:hAnsi="宋体" w:eastAsia="宋体" w:cs="宋体"/>
          <w:b/>
          <w:bCs/>
          <w:spacing w:val="3"/>
          <w:sz w:val="20"/>
          <w:szCs w:val="20"/>
        </w:rPr>
        <w:t>6.2.1</w:t>
      </w:r>
      <w:r>
        <w:rPr>
          <w:rFonts w:ascii="宋体" w:hAnsi="宋体" w:eastAsia="宋体" w:cs="宋体"/>
          <w:spacing w:val="19"/>
          <w:sz w:val="20"/>
          <w:szCs w:val="20"/>
        </w:rPr>
        <w:t xml:space="preserve"> </w:t>
      </w:r>
      <w:r>
        <w:rPr>
          <w:rFonts w:ascii="宋体" w:hAnsi="宋体" w:eastAsia="宋体" w:cs="宋体"/>
          <w:b/>
          <w:bCs/>
          <w:spacing w:val="3"/>
          <w:sz w:val="20"/>
          <w:szCs w:val="20"/>
        </w:rPr>
        <w:t>劳动保护</w:t>
      </w:r>
    </w:p>
    <w:p w14:paraId="5EFDE172">
      <w:pPr>
        <w:spacing w:before="126" w:line="346" w:lineRule="auto"/>
        <w:ind w:right="44" w:firstLine="420"/>
        <w:jc w:val="both"/>
        <w:rPr>
          <w:rFonts w:ascii="宋体" w:hAnsi="宋体" w:eastAsia="宋体" w:cs="宋体"/>
          <w:sz w:val="20"/>
          <w:szCs w:val="20"/>
        </w:rPr>
      </w:pPr>
      <w:r>
        <w:rPr>
          <w:rFonts w:ascii="宋体" w:hAnsi="宋体" w:eastAsia="宋体" w:cs="宋体"/>
          <w:spacing w:val="10"/>
          <w:sz w:val="20"/>
          <w:szCs w:val="20"/>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w:t>
      </w:r>
      <w:r>
        <w:rPr>
          <w:rFonts w:ascii="宋体" w:hAnsi="宋体" w:eastAsia="宋体" w:cs="宋体"/>
          <w:spacing w:val="9"/>
          <w:sz w:val="20"/>
          <w:szCs w:val="20"/>
        </w:rPr>
        <w:t>的人员办理必要的证件、许可、保险和注册等。</w:t>
      </w:r>
    </w:p>
    <w:p w14:paraId="327B587F">
      <w:pPr>
        <w:spacing w:before="2" w:line="345" w:lineRule="auto"/>
        <w:ind w:right="44" w:firstLine="420"/>
        <w:jc w:val="both"/>
        <w:rPr>
          <w:rFonts w:ascii="宋体" w:hAnsi="宋体" w:eastAsia="宋体" w:cs="宋体"/>
          <w:sz w:val="20"/>
          <w:szCs w:val="20"/>
        </w:rPr>
      </w:pPr>
      <w:r>
        <w:rPr>
          <w:rFonts w:ascii="宋体" w:hAnsi="宋体" w:eastAsia="宋体" w:cs="宋体"/>
          <w:spacing w:val="10"/>
          <w:sz w:val="20"/>
          <w:szCs w:val="20"/>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w:t>
      </w:r>
      <w:r>
        <w:rPr>
          <w:rFonts w:ascii="宋体" w:hAnsi="宋体" w:eastAsia="宋体" w:cs="宋体"/>
          <w:spacing w:val="5"/>
          <w:sz w:val="20"/>
          <w:szCs w:val="20"/>
        </w:rPr>
        <w:t>和治疗。</w:t>
      </w:r>
    </w:p>
    <w:p w14:paraId="09C020EF">
      <w:pPr>
        <w:spacing w:before="1" w:line="345" w:lineRule="auto"/>
        <w:ind w:right="44" w:firstLine="420"/>
        <w:jc w:val="both"/>
        <w:rPr>
          <w:rFonts w:ascii="宋体" w:hAnsi="宋体" w:eastAsia="宋体" w:cs="宋体"/>
          <w:sz w:val="20"/>
          <w:szCs w:val="20"/>
        </w:rPr>
      </w:pPr>
      <w:r>
        <w:rPr>
          <w:rFonts w:ascii="宋体" w:hAnsi="宋体" w:eastAsia="宋体" w:cs="宋体"/>
          <w:spacing w:val="10"/>
          <w:sz w:val="20"/>
          <w:szCs w:val="20"/>
        </w:rPr>
        <w:t>承包人应按法律规定安排工作时间，保证其雇佣人员享有休息和休假的权利。因工程施工的特殊需要占用休假日或延长工作时间的，应不超过法律规定的限度，并按法律规定给予补休或付</w:t>
      </w:r>
      <w:r>
        <w:rPr>
          <w:rFonts w:ascii="宋体" w:hAnsi="宋体" w:eastAsia="宋体" w:cs="宋体"/>
          <w:sz w:val="20"/>
          <w:szCs w:val="20"/>
        </w:rPr>
        <w:t>酬。</w:t>
      </w:r>
    </w:p>
    <w:p w14:paraId="7A3B2D22">
      <w:pPr>
        <w:spacing w:line="227" w:lineRule="auto"/>
        <w:ind w:left="422"/>
        <w:rPr>
          <w:rFonts w:ascii="宋体" w:hAnsi="宋体" w:eastAsia="宋体" w:cs="宋体"/>
          <w:sz w:val="20"/>
          <w:szCs w:val="20"/>
        </w:rPr>
      </w:pPr>
      <w:r>
        <w:rPr>
          <w:rFonts w:ascii="宋体" w:hAnsi="宋体" w:eastAsia="宋体" w:cs="宋体"/>
          <w:b/>
          <w:bCs/>
          <w:spacing w:val="4"/>
          <w:sz w:val="20"/>
          <w:szCs w:val="20"/>
        </w:rPr>
        <w:t>6.2.2</w:t>
      </w:r>
      <w:r>
        <w:rPr>
          <w:rFonts w:ascii="宋体" w:hAnsi="宋体" w:eastAsia="宋体" w:cs="宋体"/>
          <w:spacing w:val="4"/>
          <w:sz w:val="20"/>
          <w:szCs w:val="20"/>
        </w:rPr>
        <w:t xml:space="preserve"> </w:t>
      </w:r>
      <w:r>
        <w:rPr>
          <w:rFonts w:ascii="宋体" w:hAnsi="宋体" w:eastAsia="宋体" w:cs="宋体"/>
          <w:b/>
          <w:bCs/>
          <w:spacing w:val="4"/>
          <w:sz w:val="20"/>
          <w:szCs w:val="20"/>
        </w:rPr>
        <w:t>生活条件</w:t>
      </w:r>
    </w:p>
    <w:p w14:paraId="5335E980">
      <w:pPr>
        <w:spacing w:before="126" w:line="346" w:lineRule="auto"/>
        <w:ind w:right="44" w:firstLine="420"/>
        <w:jc w:val="both"/>
        <w:rPr>
          <w:rFonts w:ascii="宋体" w:hAnsi="宋体" w:eastAsia="宋体" w:cs="宋体"/>
          <w:sz w:val="20"/>
          <w:szCs w:val="20"/>
        </w:rPr>
      </w:pPr>
      <w:r>
        <w:rPr>
          <w:rFonts w:ascii="宋体" w:hAnsi="宋体" w:eastAsia="宋体" w:cs="宋体"/>
          <w:spacing w:val="10"/>
          <w:sz w:val="20"/>
          <w:szCs w:val="20"/>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w:t>
      </w:r>
      <w:r>
        <w:rPr>
          <w:rFonts w:ascii="宋体" w:hAnsi="宋体" w:eastAsia="宋体" w:cs="宋体"/>
          <w:spacing w:val="6"/>
          <w:sz w:val="20"/>
          <w:szCs w:val="20"/>
        </w:rPr>
        <w:t>医疗设施。</w:t>
      </w:r>
    </w:p>
    <w:p w14:paraId="51CB8C4B">
      <w:pPr>
        <w:spacing w:before="1" w:line="228" w:lineRule="auto"/>
        <w:ind w:left="422"/>
        <w:rPr>
          <w:rFonts w:ascii="宋体" w:hAnsi="宋体" w:eastAsia="宋体" w:cs="宋体"/>
          <w:sz w:val="20"/>
          <w:szCs w:val="20"/>
        </w:rPr>
      </w:pPr>
      <w:r>
        <w:rPr>
          <w:rFonts w:ascii="宋体" w:hAnsi="宋体" w:eastAsia="宋体" w:cs="宋体"/>
          <w:b/>
          <w:bCs/>
          <w:spacing w:val="5"/>
          <w:sz w:val="20"/>
          <w:szCs w:val="20"/>
        </w:rPr>
        <w:t>6.3</w:t>
      </w:r>
      <w:r>
        <w:rPr>
          <w:rFonts w:ascii="宋体" w:hAnsi="宋体" w:eastAsia="宋体" w:cs="宋体"/>
          <w:spacing w:val="5"/>
          <w:sz w:val="20"/>
          <w:szCs w:val="20"/>
        </w:rPr>
        <w:t xml:space="preserve"> </w:t>
      </w:r>
      <w:r>
        <w:rPr>
          <w:rFonts w:ascii="宋体" w:hAnsi="宋体" w:eastAsia="宋体" w:cs="宋体"/>
          <w:b/>
          <w:bCs/>
          <w:spacing w:val="5"/>
          <w:sz w:val="20"/>
          <w:szCs w:val="20"/>
        </w:rPr>
        <w:t>环境保护</w:t>
      </w:r>
    </w:p>
    <w:p w14:paraId="7F7E1C2D">
      <w:pPr>
        <w:spacing w:before="126" w:line="346" w:lineRule="auto"/>
        <w:ind w:right="44" w:firstLine="420"/>
        <w:jc w:val="both"/>
        <w:rPr>
          <w:rFonts w:ascii="宋体" w:hAnsi="宋体" w:eastAsia="宋体" w:cs="宋体"/>
          <w:sz w:val="20"/>
          <w:szCs w:val="20"/>
        </w:rPr>
      </w:pPr>
      <w:r>
        <w:rPr>
          <w:rFonts w:ascii="宋体" w:hAnsi="宋体" w:eastAsia="宋体" w:cs="宋体"/>
          <w:spacing w:val="10"/>
          <w:sz w:val="20"/>
          <w:szCs w:val="20"/>
        </w:rPr>
        <w:t>承包人应在施工组织设计中列明环境保护的具体措施。在合同履行期间，承包人应采取合理措施保护施工现场环境。对施工作业过程中可能引起的大气、水、噪音以及固体废物污染采取具</w:t>
      </w:r>
      <w:r>
        <w:rPr>
          <w:rFonts w:ascii="宋体" w:hAnsi="宋体" w:eastAsia="宋体" w:cs="宋体"/>
          <w:spacing w:val="7"/>
          <w:sz w:val="20"/>
          <w:szCs w:val="20"/>
        </w:rPr>
        <w:t>体可行的防范措施。</w:t>
      </w:r>
    </w:p>
    <w:p w14:paraId="2FBA5805">
      <w:pPr>
        <w:spacing w:before="1" w:line="345" w:lineRule="auto"/>
        <w:ind w:right="44" w:firstLine="420"/>
        <w:rPr>
          <w:rFonts w:ascii="宋体" w:hAnsi="宋体" w:eastAsia="宋体" w:cs="宋体"/>
          <w:sz w:val="20"/>
          <w:szCs w:val="20"/>
        </w:rPr>
      </w:pPr>
      <w:r>
        <w:rPr>
          <w:rFonts w:ascii="宋体" w:hAnsi="宋体" w:eastAsia="宋体" w:cs="宋体"/>
          <w:spacing w:val="10"/>
          <w:sz w:val="20"/>
          <w:szCs w:val="20"/>
        </w:rPr>
        <w:t>承包人应当承担因其原因引起的环境污染侵权损害赔偿责任，因上述环境污染引起纠纷而导</w:t>
      </w:r>
      <w:r>
        <w:rPr>
          <w:rFonts w:ascii="宋体" w:hAnsi="宋体" w:eastAsia="宋体" w:cs="宋体"/>
          <w:spacing w:val="9"/>
          <w:sz w:val="20"/>
          <w:szCs w:val="20"/>
        </w:rPr>
        <w:t>致暂停施工的，由此增加的费用和（或）延误的工期由承包人承担。</w:t>
      </w:r>
    </w:p>
    <w:p w14:paraId="4E24E819">
      <w:pPr>
        <w:spacing w:before="1" w:line="227" w:lineRule="auto"/>
        <w:ind w:left="422"/>
        <w:rPr>
          <w:rFonts w:ascii="宋体" w:hAnsi="宋体" w:eastAsia="宋体" w:cs="宋体"/>
          <w:sz w:val="20"/>
          <w:szCs w:val="20"/>
        </w:rPr>
      </w:pPr>
      <w:r>
        <w:rPr>
          <w:rFonts w:ascii="宋体" w:hAnsi="宋体" w:eastAsia="宋体" w:cs="宋体"/>
          <w:b/>
          <w:bCs/>
          <w:spacing w:val="5"/>
          <w:sz w:val="20"/>
          <w:szCs w:val="20"/>
        </w:rPr>
        <w:t>6.4</w:t>
      </w:r>
      <w:r>
        <w:rPr>
          <w:rFonts w:ascii="宋体" w:hAnsi="宋体" w:eastAsia="宋体" w:cs="宋体"/>
          <w:spacing w:val="5"/>
          <w:sz w:val="20"/>
          <w:szCs w:val="20"/>
        </w:rPr>
        <w:t xml:space="preserve"> </w:t>
      </w:r>
      <w:r>
        <w:rPr>
          <w:rFonts w:ascii="宋体" w:hAnsi="宋体" w:eastAsia="宋体" w:cs="宋体"/>
          <w:b/>
          <w:bCs/>
          <w:spacing w:val="5"/>
          <w:sz w:val="20"/>
          <w:szCs w:val="20"/>
        </w:rPr>
        <w:t>绿色建筑管理</w:t>
      </w:r>
    </w:p>
    <w:p w14:paraId="38A4570E">
      <w:pPr>
        <w:spacing w:before="128" w:line="346" w:lineRule="auto"/>
        <w:ind w:firstLine="398"/>
        <w:rPr>
          <w:rFonts w:ascii="宋体" w:hAnsi="宋体" w:eastAsia="宋体" w:cs="宋体"/>
          <w:sz w:val="20"/>
          <w:szCs w:val="20"/>
        </w:rPr>
      </w:pPr>
      <w:r>
        <w:rPr>
          <w:rFonts w:ascii="宋体" w:hAnsi="宋体" w:eastAsia="宋体" w:cs="宋体"/>
          <w:spacing w:val="-3"/>
          <w:sz w:val="20"/>
          <w:szCs w:val="20"/>
        </w:rPr>
        <w:t>6.4.1 本项目采用绿色建筑评价标准进行建设的，发包人和承</w:t>
      </w:r>
      <w:r>
        <w:rPr>
          <w:rFonts w:ascii="宋体" w:hAnsi="宋体" w:eastAsia="宋体" w:cs="宋体"/>
          <w:spacing w:val="-4"/>
          <w:sz w:val="20"/>
          <w:szCs w:val="20"/>
        </w:rPr>
        <w:t>包人应当按照本项目确定的绿色建筑</w:t>
      </w:r>
      <w:r>
        <w:rPr>
          <w:rFonts w:ascii="宋体" w:hAnsi="宋体" w:eastAsia="宋体" w:cs="宋体"/>
          <w:spacing w:val="-3"/>
          <w:sz w:val="20"/>
          <w:szCs w:val="20"/>
        </w:rPr>
        <w:t>评价标准等级要求进行设计、施工、验收，并在合同专用条款中明确项目因绿色建筑所需的计价标准。</w:t>
      </w:r>
    </w:p>
    <w:p w14:paraId="4B7244B9">
      <w:pPr>
        <w:spacing w:line="306" w:lineRule="auto"/>
        <w:rPr>
          <w:rFonts w:ascii="Arial"/>
          <w:sz w:val="21"/>
        </w:rPr>
      </w:pPr>
    </w:p>
    <w:p w14:paraId="10977070">
      <w:pPr>
        <w:spacing w:before="65" w:line="228" w:lineRule="auto"/>
        <w:ind w:left="425"/>
        <w:outlineLvl w:val="2"/>
        <w:rPr>
          <w:rFonts w:ascii="宋体" w:hAnsi="宋体" w:eastAsia="宋体" w:cs="宋体"/>
          <w:sz w:val="20"/>
          <w:szCs w:val="20"/>
        </w:rPr>
      </w:pPr>
      <w:bookmarkStart w:id="312" w:name="bookmark295"/>
      <w:bookmarkEnd w:id="312"/>
      <w:r>
        <w:rPr>
          <w:rFonts w:ascii="宋体" w:hAnsi="宋体" w:eastAsia="宋体" w:cs="宋体"/>
          <w:b/>
          <w:bCs/>
          <w:spacing w:val="5"/>
          <w:sz w:val="20"/>
          <w:szCs w:val="20"/>
        </w:rPr>
        <w:t>7.</w:t>
      </w:r>
      <w:r>
        <w:rPr>
          <w:rFonts w:ascii="宋体" w:hAnsi="宋体" w:eastAsia="宋体" w:cs="宋体"/>
          <w:spacing w:val="5"/>
          <w:sz w:val="20"/>
          <w:szCs w:val="20"/>
        </w:rPr>
        <w:t xml:space="preserve"> </w:t>
      </w:r>
      <w:r>
        <w:rPr>
          <w:rFonts w:ascii="宋体" w:hAnsi="宋体" w:eastAsia="宋体" w:cs="宋体"/>
          <w:b/>
          <w:bCs/>
          <w:spacing w:val="5"/>
          <w:sz w:val="20"/>
          <w:szCs w:val="20"/>
        </w:rPr>
        <w:t>工期和进度</w:t>
      </w:r>
    </w:p>
    <w:p w14:paraId="46874789">
      <w:pPr>
        <w:spacing w:before="127" w:line="229" w:lineRule="auto"/>
        <w:ind w:left="425"/>
        <w:rPr>
          <w:rFonts w:ascii="宋体" w:hAnsi="宋体" w:eastAsia="宋体" w:cs="宋体"/>
          <w:sz w:val="20"/>
          <w:szCs w:val="20"/>
        </w:rPr>
      </w:pPr>
      <w:r>
        <w:rPr>
          <w:rFonts w:ascii="宋体" w:hAnsi="宋体" w:eastAsia="宋体" w:cs="宋体"/>
          <w:b/>
          <w:bCs/>
          <w:spacing w:val="5"/>
          <w:sz w:val="20"/>
          <w:szCs w:val="20"/>
        </w:rPr>
        <w:t>7.1</w:t>
      </w:r>
      <w:r>
        <w:rPr>
          <w:rFonts w:ascii="宋体" w:hAnsi="宋体" w:eastAsia="宋体" w:cs="宋体"/>
          <w:spacing w:val="5"/>
          <w:sz w:val="20"/>
          <w:szCs w:val="20"/>
        </w:rPr>
        <w:t xml:space="preserve"> </w:t>
      </w:r>
      <w:r>
        <w:rPr>
          <w:rFonts w:ascii="宋体" w:hAnsi="宋体" w:eastAsia="宋体" w:cs="宋体"/>
          <w:b/>
          <w:bCs/>
          <w:spacing w:val="5"/>
          <w:sz w:val="20"/>
          <w:szCs w:val="20"/>
        </w:rPr>
        <w:t>施工组织设计</w:t>
      </w:r>
    </w:p>
    <w:p w14:paraId="4A5DD77D">
      <w:pPr>
        <w:spacing w:before="126" w:line="228" w:lineRule="auto"/>
        <w:ind w:left="425"/>
        <w:rPr>
          <w:rFonts w:ascii="宋体" w:hAnsi="宋体" w:eastAsia="宋体" w:cs="宋体"/>
          <w:sz w:val="20"/>
          <w:szCs w:val="20"/>
        </w:rPr>
      </w:pPr>
      <w:r>
        <w:rPr>
          <w:rFonts w:ascii="宋体" w:hAnsi="宋体" w:eastAsia="宋体" w:cs="宋体"/>
          <w:b/>
          <w:bCs/>
          <w:spacing w:val="5"/>
          <w:sz w:val="20"/>
          <w:szCs w:val="20"/>
        </w:rPr>
        <w:t>7.1.1</w:t>
      </w:r>
      <w:r>
        <w:rPr>
          <w:rFonts w:ascii="宋体" w:hAnsi="宋体" w:eastAsia="宋体" w:cs="宋体"/>
          <w:spacing w:val="5"/>
          <w:sz w:val="20"/>
          <w:szCs w:val="20"/>
        </w:rPr>
        <w:t xml:space="preserve"> </w:t>
      </w:r>
      <w:r>
        <w:rPr>
          <w:rFonts w:ascii="宋体" w:hAnsi="宋体" w:eastAsia="宋体" w:cs="宋体"/>
          <w:b/>
          <w:bCs/>
          <w:spacing w:val="5"/>
          <w:sz w:val="20"/>
          <w:szCs w:val="20"/>
        </w:rPr>
        <w:t>施工组织设计的内容</w:t>
      </w:r>
    </w:p>
    <w:p w14:paraId="0B0CC8DB">
      <w:pPr>
        <w:spacing w:before="128" w:line="228" w:lineRule="auto"/>
        <w:ind w:left="420"/>
        <w:rPr>
          <w:rFonts w:ascii="宋体" w:hAnsi="宋体" w:eastAsia="宋体" w:cs="宋体"/>
          <w:sz w:val="20"/>
          <w:szCs w:val="20"/>
        </w:rPr>
      </w:pPr>
      <w:r>
        <w:rPr>
          <w:rFonts w:ascii="宋体" w:hAnsi="宋体" w:eastAsia="宋体" w:cs="宋体"/>
          <w:spacing w:val="8"/>
          <w:sz w:val="20"/>
          <w:szCs w:val="20"/>
        </w:rPr>
        <w:t>施工组织设计应包含以下内容：</w:t>
      </w:r>
    </w:p>
    <w:p w14:paraId="3D506899">
      <w:pPr>
        <w:spacing w:before="128" w:line="228" w:lineRule="auto"/>
        <w:ind w:left="430"/>
        <w:rPr>
          <w:rFonts w:ascii="宋体" w:hAnsi="宋体" w:eastAsia="宋体" w:cs="宋体"/>
          <w:sz w:val="20"/>
          <w:szCs w:val="20"/>
        </w:rPr>
      </w:pPr>
      <w:r>
        <w:rPr>
          <w:rFonts w:ascii="宋体" w:hAnsi="宋体" w:eastAsia="宋体" w:cs="宋体"/>
          <w:spacing w:val="5"/>
          <w:sz w:val="20"/>
          <w:szCs w:val="20"/>
        </w:rPr>
        <w:t>（1）施工方案；</w:t>
      </w:r>
    </w:p>
    <w:p w14:paraId="4DB81A87">
      <w:pPr>
        <w:spacing w:before="127" w:line="227" w:lineRule="auto"/>
        <w:ind w:left="430"/>
        <w:rPr>
          <w:rFonts w:ascii="宋体" w:hAnsi="宋体" w:eastAsia="宋体" w:cs="宋体"/>
          <w:sz w:val="20"/>
          <w:szCs w:val="20"/>
        </w:rPr>
      </w:pPr>
      <w:r>
        <w:rPr>
          <w:rFonts w:ascii="宋体" w:hAnsi="宋体" w:eastAsia="宋体" w:cs="宋体"/>
          <w:spacing w:val="7"/>
          <w:sz w:val="20"/>
          <w:szCs w:val="20"/>
        </w:rPr>
        <w:t>（2）施工现场平面布置图；</w:t>
      </w:r>
    </w:p>
    <w:p w14:paraId="3D246E97">
      <w:pPr>
        <w:spacing w:before="128" w:line="228" w:lineRule="auto"/>
        <w:ind w:left="430"/>
        <w:rPr>
          <w:rFonts w:ascii="宋体" w:hAnsi="宋体" w:eastAsia="宋体" w:cs="宋体"/>
          <w:sz w:val="20"/>
          <w:szCs w:val="20"/>
        </w:rPr>
      </w:pPr>
      <w:r>
        <w:rPr>
          <w:rFonts w:ascii="宋体" w:hAnsi="宋体" w:eastAsia="宋体" w:cs="宋体"/>
          <w:spacing w:val="7"/>
          <w:sz w:val="20"/>
          <w:szCs w:val="20"/>
        </w:rPr>
        <w:t>（3）施工进度计划和保障措施；</w:t>
      </w:r>
    </w:p>
    <w:p w14:paraId="1B789938">
      <w:pPr>
        <w:spacing w:before="128" w:line="227" w:lineRule="auto"/>
        <w:ind w:left="430"/>
        <w:rPr>
          <w:rFonts w:ascii="宋体" w:hAnsi="宋体" w:eastAsia="宋体" w:cs="宋体"/>
          <w:sz w:val="20"/>
          <w:szCs w:val="20"/>
        </w:rPr>
      </w:pPr>
      <w:r>
        <w:rPr>
          <w:rFonts w:ascii="宋体" w:hAnsi="宋体" w:eastAsia="宋体" w:cs="宋体"/>
          <w:spacing w:val="7"/>
          <w:sz w:val="20"/>
          <w:szCs w:val="20"/>
        </w:rPr>
        <w:t>（4）劳动力及材料供应计划；</w:t>
      </w:r>
    </w:p>
    <w:p w14:paraId="3995BDA0">
      <w:pPr>
        <w:spacing w:line="227" w:lineRule="auto"/>
        <w:rPr>
          <w:rFonts w:ascii="宋体" w:hAnsi="宋体" w:eastAsia="宋体" w:cs="宋体"/>
          <w:sz w:val="20"/>
          <w:szCs w:val="20"/>
        </w:rPr>
        <w:sectPr>
          <w:footerReference r:id="rId355" w:type="default"/>
          <w:pgSz w:w="11906" w:h="16839"/>
          <w:pgMar w:top="400" w:right="1488" w:bottom="1446" w:left="1538" w:header="0" w:footer="1284" w:gutter="0"/>
          <w:cols w:space="720" w:num="1"/>
        </w:sectPr>
      </w:pPr>
    </w:p>
    <w:p w14:paraId="01A1E4CA">
      <w:pPr>
        <w:spacing w:line="246" w:lineRule="auto"/>
        <w:rPr>
          <w:rFonts w:ascii="Arial"/>
          <w:sz w:val="21"/>
        </w:rPr>
      </w:pPr>
    </w:p>
    <w:p w14:paraId="6AF3D6C8">
      <w:pPr>
        <w:spacing w:line="246" w:lineRule="auto"/>
        <w:rPr>
          <w:rFonts w:ascii="Arial"/>
          <w:sz w:val="21"/>
        </w:rPr>
      </w:pPr>
    </w:p>
    <w:p w14:paraId="4E347582">
      <w:pPr>
        <w:spacing w:line="246" w:lineRule="auto"/>
        <w:rPr>
          <w:rFonts w:ascii="Arial"/>
          <w:sz w:val="21"/>
        </w:rPr>
      </w:pPr>
    </w:p>
    <w:p w14:paraId="4E1E5262">
      <w:pPr>
        <w:spacing w:line="246" w:lineRule="auto"/>
        <w:rPr>
          <w:rFonts w:ascii="Arial"/>
          <w:sz w:val="21"/>
        </w:rPr>
      </w:pPr>
    </w:p>
    <w:p w14:paraId="7D5C64F0">
      <w:pPr>
        <w:spacing w:line="247" w:lineRule="auto"/>
        <w:rPr>
          <w:rFonts w:ascii="Arial"/>
          <w:sz w:val="21"/>
        </w:rPr>
      </w:pPr>
    </w:p>
    <w:p w14:paraId="1BD88D92">
      <w:pPr>
        <w:spacing w:line="247" w:lineRule="auto"/>
        <w:rPr>
          <w:rFonts w:ascii="Arial"/>
          <w:sz w:val="21"/>
        </w:rPr>
      </w:pPr>
    </w:p>
    <w:p w14:paraId="08895113">
      <w:pPr>
        <w:spacing w:before="65" w:line="227" w:lineRule="auto"/>
        <w:ind w:left="431"/>
        <w:rPr>
          <w:rFonts w:ascii="宋体" w:hAnsi="宋体" w:eastAsia="宋体" w:cs="宋体"/>
          <w:sz w:val="20"/>
          <w:szCs w:val="20"/>
        </w:rPr>
      </w:pPr>
      <w:r>
        <w:rPr>
          <w:rFonts w:ascii="宋体" w:hAnsi="宋体" w:eastAsia="宋体" w:cs="宋体"/>
          <w:spacing w:val="7"/>
          <w:sz w:val="20"/>
          <w:szCs w:val="20"/>
        </w:rPr>
        <w:t>（5）施工机械设备的选用；</w:t>
      </w:r>
    </w:p>
    <w:p w14:paraId="3F120511">
      <w:pPr>
        <w:spacing w:before="128" w:line="228" w:lineRule="auto"/>
        <w:ind w:left="431"/>
        <w:rPr>
          <w:rFonts w:ascii="宋体" w:hAnsi="宋体" w:eastAsia="宋体" w:cs="宋体"/>
          <w:sz w:val="20"/>
          <w:szCs w:val="20"/>
        </w:rPr>
      </w:pPr>
      <w:r>
        <w:rPr>
          <w:rFonts w:ascii="宋体" w:hAnsi="宋体" w:eastAsia="宋体" w:cs="宋体"/>
          <w:spacing w:val="7"/>
          <w:sz w:val="20"/>
          <w:szCs w:val="20"/>
        </w:rPr>
        <w:t>（6）质量保障体系及措施；</w:t>
      </w:r>
    </w:p>
    <w:p w14:paraId="441CF30E">
      <w:pPr>
        <w:spacing w:before="127" w:line="228" w:lineRule="auto"/>
        <w:ind w:left="431"/>
        <w:rPr>
          <w:rFonts w:ascii="宋体" w:hAnsi="宋体" w:eastAsia="宋体" w:cs="宋体"/>
          <w:sz w:val="20"/>
          <w:szCs w:val="20"/>
        </w:rPr>
      </w:pPr>
      <w:r>
        <w:rPr>
          <w:rFonts w:ascii="宋体" w:hAnsi="宋体" w:eastAsia="宋体" w:cs="宋体"/>
          <w:spacing w:val="7"/>
          <w:sz w:val="20"/>
          <w:szCs w:val="20"/>
        </w:rPr>
        <w:t>（7）安全生产、文明施工措施；</w:t>
      </w:r>
    </w:p>
    <w:p w14:paraId="54379588">
      <w:pPr>
        <w:spacing w:before="127" w:line="227" w:lineRule="auto"/>
        <w:ind w:left="431"/>
        <w:rPr>
          <w:rFonts w:ascii="宋体" w:hAnsi="宋体" w:eastAsia="宋体" w:cs="宋体"/>
          <w:sz w:val="20"/>
          <w:szCs w:val="20"/>
        </w:rPr>
      </w:pPr>
      <w:r>
        <w:rPr>
          <w:rFonts w:ascii="宋体" w:hAnsi="宋体" w:eastAsia="宋体" w:cs="宋体"/>
          <w:spacing w:val="7"/>
          <w:sz w:val="20"/>
          <w:szCs w:val="20"/>
        </w:rPr>
        <w:t>（8）环境保护、成本控制措施；</w:t>
      </w:r>
    </w:p>
    <w:p w14:paraId="4F69417C">
      <w:pPr>
        <w:spacing w:before="128" w:line="228" w:lineRule="auto"/>
        <w:ind w:left="431"/>
        <w:rPr>
          <w:rFonts w:ascii="宋体" w:hAnsi="宋体" w:eastAsia="宋体" w:cs="宋体"/>
          <w:sz w:val="20"/>
          <w:szCs w:val="20"/>
        </w:rPr>
      </w:pPr>
      <w:r>
        <w:rPr>
          <w:rFonts w:ascii="宋体" w:hAnsi="宋体" w:eastAsia="宋体" w:cs="宋体"/>
          <w:spacing w:val="7"/>
          <w:sz w:val="20"/>
          <w:szCs w:val="20"/>
        </w:rPr>
        <w:t>（9）合同当事人约定的其他内容。</w:t>
      </w:r>
    </w:p>
    <w:p w14:paraId="39298657">
      <w:pPr>
        <w:spacing w:before="127" w:line="228" w:lineRule="auto"/>
        <w:ind w:left="426"/>
        <w:rPr>
          <w:rFonts w:ascii="宋体" w:hAnsi="宋体" w:eastAsia="宋体" w:cs="宋体"/>
          <w:sz w:val="20"/>
          <w:szCs w:val="20"/>
        </w:rPr>
      </w:pPr>
      <w:r>
        <w:rPr>
          <w:rFonts w:ascii="宋体" w:hAnsi="宋体" w:eastAsia="宋体" w:cs="宋体"/>
          <w:b/>
          <w:bCs/>
          <w:spacing w:val="6"/>
          <w:sz w:val="20"/>
          <w:szCs w:val="20"/>
        </w:rPr>
        <w:t>7.1.2</w:t>
      </w:r>
      <w:r>
        <w:rPr>
          <w:rFonts w:ascii="宋体" w:hAnsi="宋体" w:eastAsia="宋体" w:cs="宋体"/>
          <w:spacing w:val="6"/>
          <w:sz w:val="20"/>
          <w:szCs w:val="20"/>
        </w:rPr>
        <w:t xml:space="preserve"> </w:t>
      </w:r>
      <w:r>
        <w:rPr>
          <w:rFonts w:ascii="宋体" w:hAnsi="宋体" w:eastAsia="宋体" w:cs="宋体"/>
          <w:b/>
          <w:bCs/>
          <w:spacing w:val="6"/>
          <w:sz w:val="20"/>
          <w:szCs w:val="20"/>
        </w:rPr>
        <w:t>施工组织设计的提交和修改</w:t>
      </w:r>
    </w:p>
    <w:p w14:paraId="4ED16AB4">
      <w:pPr>
        <w:spacing w:before="124" w:line="346" w:lineRule="auto"/>
        <w:ind w:left="1" w:firstLine="432"/>
        <w:rPr>
          <w:rFonts w:ascii="宋体" w:hAnsi="宋体" w:eastAsia="宋体" w:cs="宋体"/>
          <w:sz w:val="20"/>
          <w:szCs w:val="20"/>
        </w:rPr>
      </w:pPr>
      <w:r>
        <w:rPr>
          <w:rFonts w:ascii="宋体" w:hAnsi="宋体" w:eastAsia="宋体" w:cs="宋体"/>
          <w:spacing w:val="1"/>
          <w:sz w:val="20"/>
          <w:szCs w:val="20"/>
        </w:rPr>
        <w:t>除专用合同条款另有约定外，承包人应在合同签订后</w:t>
      </w:r>
      <w:r>
        <w:rPr>
          <w:rFonts w:ascii="宋体" w:hAnsi="宋体" w:eastAsia="宋体" w:cs="宋体"/>
          <w:spacing w:val="-22"/>
          <w:sz w:val="20"/>
          <w:szCs w:val="20"/>
        </w:rPr>
        <w:t xml:space="preserve"> </w:t>
      </w:r>
      <w:r>
        <w:rPr>
          <w:rFonts w:ascii="宋体" w:hAnsi="宋体" w:eastAsia="宋体" w:cs="宋体"/>
          <w:spacing w:val="1"/>
          <w:sz w:val="20"/>
          <w:szCs w:val="20"/>
        </w:rPr>
        <w:t>1</w:t>
      </w:r>
      <w:r>
        <w:rPr>
          <w:rFonts w:ascii="宋体" w:hAnsi="宋体" w:eastAsia="宋体" w:cs="宋体"/>
          <w:sz w:val="20"/>
          <w:szCs w:val="20"/>
        </w:rPr>
        <w:t>4</w:t>
      </w:r>
      <w:r>
        <w:rPr>
          <w:rFonts w:ascii="宋体" w:hAnsi="宋体" w:eastAsia="宋体" w:cs="宋体"/>
          <w:spacing w:val="-36"/>
          <w:sz w:val="20"/>
          <w:szCs w:val="20"/>
        </w:rPr>
        <w:t xml:space="preserve"> </w:t>
      </w:r>
      <w:r>
        <w:rPr>
          <w:rFonts w:ascii="宋体" w:hAnsi="宋体" w:eastAsia="宋体" w:cs="宋体"/>
          <w:sz w:val="20"/>
          <w:szCs w:val="20"/>
        </w:rPr>
        <w:t>天内，但至迟不得晚于第</w:t>
      </w:r>
      <w:r>
        <w:rPr>
          <w:rFonts w:ascii="宋体" w:hAnsi="宋体" w:eastAsia="宋体" w:cs="宋体"/>
          <w:spacing w:val="-32"/>
          <w:sz w:val="20"/>
          <w:szCs w:val="20"/>
        </w:rPr>
        <w:t xml:space="preserve"> </w:t>
      </w:r>
      <w:r>
        <w:rPr>
          <w:rFonts w:ascii="宋体" w:hAnsi="宋体" w:eastAsia="宋体" w:cs="宋体"/>
          <w:sz w:val="20"/>
          <w:szCs w:val="20"/>
        </w:rPr>
        <w:t>7.3.2</w:t>
      </w:r>
      <w:r>
        <w:rPr>
          <w:rFonts w:ascii="宋体" w:hAnsi="宋体" w:eastAsia="宋体" w:cs="宋体"/>
          <w:spacing w:val="-34"/>
          <w:sz w:val="20"/>
          <w:szCs w:val="20"/>
        </w:rPr>
        <w:t xml:space="preserve"> </w:t>
      </w:r>
      <w:r>
        <w:rPr>
          <w:rFonts w:ascii="宋体" w:hAnsi="宋体" w:eastAsia="宋体" w:cs="宋体"/>
          <w:sz w:val="20"/>
          <w:szCs w:val="20"/>
        </w:rPr>
        <w:t>项〔开</w:t>
      </w:r>
      <w:r>
        <w:rPr>
          <w:rFonts w:ascii="宋体" w:hAnsi="宋体" w:eastAsia="宋体" w:cs="宋体"/>
          <w:spacing w:val="10"/>
          <w:sz w:val="20"/>
          <w:szCs w:val="20"/>
        </w:rPr>
        <w:t>工通知〕载明的开工日期前</w:t>
      </w:r>
      <w:r>
        <w:rPr>
          <w:rFonts w:ascii="宋体" w:hAnsi="宋体" w:eastAsia="宋体" w:cs="宋体"/>
          <w:spacing w:val="-35"/>
          <w:sz w:val="20"/>
          <w:szCs w:val="20"/>
        </w:rPr>
        <w:t xml:space="preserve"> </w:t>
      </w:r>
      <w:r>
        <w:rPr>
          <w:rFonts w:ascii="宋体" w:hAnsi="宋体" w:eastAsia="宋体" w:cs="宋体"/>
          <w:spacing w:val="10"/>
          <w:sz w:val="20"/>
          <w:szCs w:val="20"/>
        </w:rPr>
        <w:t>7</w:t>
      </w:r>
      <w:r>
        <w:rPr>
          <w:rFonts w:ascii="宋体" w:hAnsi="宋体" w:eastAsia="宋体" w:cs="宋体"/>
          <w:spacing w:val="-33"/>
          <w:sz w:val="20"/>
          <w:szCs w:val="20"/>
        </w:rPr>
        <w:t xml:space="preserve"> </w:t>
      </w:r>
      <w:r>
        <w:rPr>
          <w:rFonts w:ascii="宋体" w:hAnsi="宋体" w:eastAsia="宋体" w:cs="宋体"/>
          <w:spacing w:val="10"/>
          <w:sz w:val="20"/>
          <w:szCs w:val="20"/>
        </w:rPr>
        <w:t>天，向监理人提交详细的施工组织设计，并由监理人报送发包人。除专用合同条款另有约定外，发包人和监理人应在</w:t>
      </w:r>
      <w:r>
        <w:rPr>
          <w:rFonts w:ascii="宋体" w:hAnsi="宋体" w:eastAsia="宋体" w:cs="宋体"/>
          <w:spacing w:val="9"/>
          <w:sz w:val="20"/>
          <w:szCs w:val="20"/>
        </w:rPr>
        <w:t>监理人收到施工组织设计后</w:t>
      </w:r>
      <w:r>
        <w:rPr>
          <w:rFonts w:ascii="宋体" w:hAnsi="宋体" w:eastAsia="宋体" w:cs="宋体"/>
          <w:spacing w:val="-34"/>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天内确认或提出</w:t>
      </w:r>
      <w:r>
        <w:rPr>
          <w:rFonts w:ascii="宋体" w:hAnsi="宋体" w:eastAsia="宋体" w:cs="宋体"/>
          <w:spacing w:val="7"/>
          <w:sz w:val="20"/>
          <w:szCs w:val="20"/>
        </w:rPr>
        <w:t>修改意见。对于承包人提交的施工组织设计，发包人和监理人应在</w:t>
      </w:r>
      <w:r>
        <w:rPr>
          <w:rFonts w:ascii="宋体" w:hAnsi="宋体" w:eastAsia="宋体" w:cs="宋体"/>
          <w:spacing w:val="6"/>
          <w:sz w:val="20"/>
          <w:szCs w:val="20"/>
        </w:rPr>
        <w:t>约定的期间内提出意见与建议，</w:t>
      </w:r>
      <w:r>
        <w:rPr>
          <w:rFonts w:ascii="宋体" w:hAnsi="宋体" w:eastAsia="宋体" w:cs="宋体"/>
          <w:spacing w:val="10"/>
          <w:sz w:val="20"/>
          <w:szCs w:val="20"/>
        </w:rPr>
        <w:t>承包人应根据其施工方案与计划自费自行修改，并承担相应的责任。发包人和监理人未能及时提</w:t>
      </w:r>
      <w:r>
        <w:rPr>
          <w:rFonts w:ascii="宋体" w:hAnsi="宋体" w:eastAsia="宋体" w:cs="宋体"/>
          <w:spacing w:val="7"/>
          <w:sz w:val="20"/>
          <w:szCs w:val="20"/>
        </w:rPr>
        <w:t>出意见与建议的，承包人可按原施工组织设计实施。根据工程实际</w:t>
      </w:r>
      <w:r>
        <w:rPr>
          <w:rFonts w:ascii="宋体" w:hAnsi="宋体" w:eastAsia="宋体" w:cs="宋体"/>
          <w:spacing w:val="6"/>
          <w:sz w:val="20"/>
          <w:szCs w:val="20"/>
        </w:rPr>
        <w:t>情况需要修改施工组织设计的，</w:t>
      </w:r>
      <w:r>
        <w:rPr>
          <w:rFonts w:ascii="宋体" w:hAnsi="宋体" w:eastAsia="宋体" w:cs="宋体"/>
          <w:spacing w:val="10"/>
          <w:sz w:val="20"/>
          <w:szCs w:val="20"/>
        </w:rPr>
        <w:t>承包人应在施工前在约定的期间内向发包人和监理人提交修改后的施工组织设计，经发包人和监</w:t>
      </w:r>
      <w:r>
        <w:rPr>
          <w:rFonts w:ascii="宋体" w:hAnsi="宋体" w:eastAsia="宋体" w:cs="宋体"/>
          <w:spacing w:val="9"/>
          <w:sz w:val="20"/>
          <w:szCs w:val="20"/>
        </w:rPr>
        <w:t>理人确认或无意见后，再组织施工。施工进度</w:t>
      </w:r>
      <w:r>
        <w:rPr>
          <w:rFonts w:ascii="宋体" w:hAnsi="宋体" w:eastAsia="宋体" w:cs="宋体"/>
          <w:spacing w:val="8"/>
          <w:sz w:val="20"/>
          <w:szCs w:val="20"/>
        </w:rPr>
        <w:t>计划的编制和修改按照第</w:t>
      </w:r>
      <w:r>
        <w:rPr>
          <w:rFonts w:ascii="宋体" w:hAnsi="宋体" w:eastAsia="宋体" w:cs="宋体"/>
          <w:spacing w:val="-31"/>
          <w:sz w:val="20"/>
          <w:szCs w:val="20"/>
        </w:rPr>
        <w:t xml:space="preserve"> </w:t>
      </w:r>
      <w:r>
        <w:rPr>
          <w:rFonts w:ascii="宋体" w:hAnsi="宋体" w:eastAsia="宋体" w:cs="宋体"/>
          <w:spacing w:val="8"/>
          <w:sz w:val="20"/>
          <w:szCs w:val="20"/>
        </w:rPr>
        <w:t>7.2</w:t>
      </w:r>
      <w:r>
        <w:rPr>
          <w:rFonts w:ascii="宋体" w:hAnsi="宋体" w:eastAsia="宋体" w:cs="宋体"/>
          <w:spacing w:val="-40"/>
          <w:sz w:val="20"/>
          <w:szCs w:val="20"/>
        </w:rPr>
        <w:t xml:space="preserve"> </w:t>
      </w:r>
      <w:r>
        <w:rPr>
          <w:rFonts w:ascii="宋体" w:hAnsi="宋体" w:eastAsia="宋体" w:cs="宋体"/>
          <w:spacing w:val="8"/>
          <w:sz w:val="20"/>
          <w:szCs w:val="20"/>
        </w:rPr>
        <w:t>款〔施工进度计划〕</w:t>
      </w:r>
      <w:r>
        <w:rPr>
          <w:rFonts w:ascii="宋体" w:hAnsi="宋体" w:eastAsia="宋体" w:cs="宋体"/>
          <w:spacing w:val="3"/>
          <w:sz w:val="20"/>
          <w:szCs w:val="20"/>
        </w:rPr>
        <w:t>执行。</w:t>
      </w:r>
    </w:p>
    <w:p w14:paraId="5BF30F8C">
      <w:pPr>
        <w:spacing w:line="228" w:lineRule="auto"/>
        <w:ind w:left="426"/>
        <w:rPr>
          <w:rFonts w:ascii="宋体" w:hAnsi="宋体" w:eastAsia="宋体" w:cs="宋体"/>
          <w:sz w:val="20"/>
          <w:szCs w:val="20"/>
        </w:rPr>
      </w:pPr>
      <w:r>
        <w:rPr>
          <w:rFonts w:ascii="宋体" w:hAnsi="宋体" w:eastAsia="宋体" w:cs="宋体"/>
          <w:b/>
          <w:bCs/>
          <w:spacing w:val="5"/>
          <w:sz w:val="20"/>
          <w:szCs w:val="20"/>
        </w:rPr>
        <w:t>7.2</w:t>
      </w:r>
      <w:r>
        <w:rPr>
          <w:rFonts w:ascii="宋体" w:hAnsi="宋体" w:eastAsia="宋体" w:cs="宋体"/>
          <w:spacing w:val="5"/>
          <w:sz w:val="20"/>
          <w:szCs w:val="20"/>
        </w:rPr>
        <w:t xml:space="preserve"> </w:t>
      </w:r>
      <w:r>
        <w:rPr>
          <w:rFonts w:ascii="宋体" w:hAnsi="宋体" w:eastAsia="宋体" w:cs="宋体"/>
          <w:b/>
          <w:bCs/>
          <w:spacing w:val="5"/>
          <w:sz w:val="20"/>
          <w:szCs w:val="20"/>
        </w:rPr>
        <w:t>施工进度计划</w:t>
      </w:r>
    </w:p>
    <w:p w14:paraId="1BFF6DDD">
      <w:pPr>
        <w:spacing w:before="127" w:line="228" w:lineRule="auto"/>
        <w:ind w:left="426"/>
        <w:rPr>
          <w:rFonts w:ascii="宋体" w:hAnsi="宋体" w:eastAsia="宋体" w:cs="宋体"/>
          <w:sz w:val="20"/>
          <w:szCs w:val="20"/>
        </w:rPr>
      </w:pPr>
      <w:r>
        <w:rPr>
          <w:rFonts w:ascii="宋体" w:hAnsi="宋体" w:eastAsia="宋体" w:cs="宋体"/>
          <w:b/>
          <w:bCs/>
          <w:spacing w:val="5"/>
          <w:sz w:val="20"/>
          <w:szCs w:val="20"/>
        </w:rPr>
        <w:t>7.2.1</w:t>
      </w:r>
      <w:r>
        <w:rPr>
          <w:rFonts w:ascii="宋体" w:hAnsi="宋体" w:eastAsia="宋体" w:cs="宋体"/>
          <w:spacing w:val="5"/>
          <w:sz w:val="20"/>
          <w:szCs w:val="20"/>
        </w:rPr>
        <w:t xml:space="preserve"> </w:t>
      </w:r>
      <w:r>
        <w:rPr>
          <w:rFonts w:ascii="宋体" w:hAnsi="宋体" w:eastAsia="宋体" w:cs="宋体"/>
          <w:b/>
          <w:bCs/>
          <w:spacing w:val="5"/>
          <w:sz w:val="20"/>
          <w:szCs w:val="20"/>
        </w:rPr>
        <w:t>施工进度计划的编制</w:t>
      </w:r>
    </w:p>
    <w:p w14:paraId="7C122171">
      <w:pPr>
        <w:spacing w:before="126" w:line="346" w:lineRule="auto"/>
        <w:ind w:right="54" w:firstLine="421"/>
        <w:jc w:val="both"/>
        <w:rPr>
          <w:rFonts w:ascii="宋体" w:hAnsi="宋体" w:eastAsia="宋体" w:cs="宋体"/>
          <w:sz w:val="20"/>
          <w:szCs w:val="20"/>
        </w:rPr>
      </w:pPr>
      <w:r>
        <w:rPr>
          <w:rFonts w:ascii="宋体" w:hAnsi="宋体" w:eastAsia="宋体" w:cs="宋体"/>
          <w:spacing w:val="9"/>
          <w:sz w:val="20"/>
          <w:szCs w:val="20"/>
        </w:rPr>
        <w:t>承包人应按照第</w:t>
      </w:r>
      <w:r>
        <w:rPr>
          <w:rFonts w:ascii="宋体" w:hAnsi="宋体" w:eastAsia="宋体" w:cs="宋体"/>
          <w:spacing w:val="-18"/>
          <w:sz w:val="20"/>
          <w:szCs w:val="20"/>
        </w:rPr>
        <w:t xml:space="preserve"> </w:t>
      </w:r>
      <w:r>
        <w:rPr>
          <w:rFonts w:ascii="宋体" w:hAnsi="宋体" w:eastAsia="宋体" w:cs="宋体"/>
          <w:spacing w:val="9"/>
          <w:sz w:val="20"/>
          <w:szCs w:val="20"/>
        </w:rPr>
        <w:t>7.1</w:t>
      </w:r>
      <w:r>
        <w:rPr>
          <w:rFonts w:ascii="宋体" w:hAnsi="宋体" w:eastAsia="宋体" w:cs="宋体"/>
          <w:spacing w:val="-39"/>
          <w:sz w:val="20"/>
          <w:szCs w:val="20"/>
        </w:rPr>
        <w:t xml:space="preserve"> </w:t>
      </w:r>
      <w:r>
        <w:rPr>
          <w:rFonts w:ascii="宋体" w:hAnsi="宋体" w:eastAsia="宋体" w:cs="宋体"/>
          <w:spacing w:val="9"/>
          <w:sz w:val="20"/>
          <w:szCs w:val="20"/>
        </w:rPr>
        <w:t>款〔施工组织设计〕约定提交详细的施工进度计划，施工进度计划的编</w:t>
      </w:r>
      <w:r>
        <w:rPr>
          <w:rFonts w:ascii="宋体" w:hAnsi="宋体" w:eastAsia="宋体" w:cs="宋体"/>
          <w:spacing w:val="10"/>
          <w:sz w:val="20"/>
          <w:szCs w:val="20"/>
        </w:rPr>
        <w:t>制应当符合国家法律规定和一般工程实践惯例的要求，施工进度计划经发包人批准后实施。施工进度计划是控制工程进度的依据，发包人和监理</w:t>
      </w:r>
      <w:r>
        <w:rPr>
          <w:rFonts w:ascii="宋体" w:hAnsi="宋体" w:eastAsia="宋体" w:cs="宋体"/>
          <w:spacing w:val="9"/>
          <w:sz w:val="20"/>
          <w:szCs w:val="20"/>
        </w:rPr>
        <w:t>人有权按照施工进度计划检查工程进度情况。</w:t>
      </w:r>
    </w:p>
    <w:p w14:paraId="73251547">
      <w:pPr>
        <w:spacing w:before="1" w:line="227" w:lineRule="auto"/>
        <w:ind w:left="426"/>
        <w:rPr>
          <w:rFonts w:ascii="宋体" w:hAnsi="宋体" w:eastAsia="宋体" w:cs="宋体"/>
          <w:sz w:val="20"/>
          <w:szCs w:val="20"/>
        </w:rPr>
      </w:pPr>
      <w:r>
        <w:rPr>
          <w:rFonts w:ascii="宋体" w:hAnsi="宋体" w:eastAsia="宋体" w:cs="宋体"/>
          <w:b/>
          <w:bCs/>
          <w:spacing w:val="5"/>
          <w:sz w:val="20"/>
          <w:szCs w:val="20"/>
        </w:rPr>
        <w:t>7.2.2</w:t>
      </w:r>
      <w:r>
        <w:rPr>
          <w:rFonts w:ascii="宋体" w:hAnsi="宋体" w:eastAsia="宋体" w:cs="宋体"/>
          <w:spacing w:val="5"/>
          <w:sz w:val="20"/>
          <w:szCs w:val="20"/>
        </w:rPr>
        <w:t xml:space="preserve"> </w:t>
      </w:r>
      <w:r>
        <w:rPr>
          <w:rFonts w:ascii="宋体" w:hAnsi="宋体" w:eastAsia="宋体" w:cs="宋体"/>
          <w:b/>
          <w:bCs/>
          <w:spacing w:val="5"/>
          <w:sz w:val="20"/>
          <w:szCs w:val="20"/>
        </w:rPr>
        <w:t>施工进度计划的修订</w:t>
      </w:r>
    </w:p>
    <w:p w14:paraId="46091DDA">
      <w:pPr>
        <w:spacing w:before="126" w:line="346" w:lineRule="auto"/>
        <w:ind w:firstLine="420"/>
        <w:jc w:val="both"/>
        <w:rPr>
          <w:rFonts w:ascii="宋体" w:hAnsi="宋体" w:eastAsia="宋体" w:cs="宋体"/>
          <w:sz w:val="20"/>
          <w:szCs w:val="20"/>
        </w:rPr>
      </w:pPr>
      <w:r>
        <w:rPr>
          <w:rFonts w:ascii="宋体" w:hAnsi="宋体" w:eastAsia="宋体" w:cs="宋体"/>
          <w:spacing w:val="10"/>
          <w:sz w:val="20"/>
          <w:szCs w:val="20"/>
        </w:rPr>
        <w:t>施工进度计划不符合合同要求或与工程的实际进度不一致的，承包人应向监理人提交修订的</w:t>
      </w:r>
      <w:r>
        <w:rPr>
          <w:rFonts w:ascii="宋体" w:hAnsi="宋体" w:eastAsia="宋体" w:cs="宋体"/>
          <w:spacing w:val="7"/>
          <w:sz w:val="20"/>
          <w:szCs w:val="20"/>
        </w:rPr>
        <w:t>施工进度计划，并附具有关措施和相关资料，由监理人报送发包人</w:t>
      </w:r>
      <w:r>
        <w:rPr>
          <w:rFonts w:ascii="宋体" w:hAnsi="宋体" w:eastAsia="宋体" w:cs="宋体"/>
          <w:spacing w:val="6"/>
          <w:sz w:val="20"/>
          <w:szCs w:val="20"/>
        </w:rPr>
        <w:t>。除专用合同条款另有约定外，</w:t>
      </w:r>
      <w:r>
        <w:rPr>
          <w:rFonts w:ascii="宋体" w:hAnsi="宋体" w:eastAsia="宋体" w:cs="宋体"/>
          <w:spacing w:val="10"/>
          <w:sz w:val="20"/>
          <w:szCs w:val="20"/>
        </w:rPr>
        <w:t>发包人和监理人应在收到修订的施工进度计划后</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4"/>
          <w:sz w:val="20"/>
          <w:szCs w:val="20"/>
        </w:rPr>
        <w:t xml:space="preserve"> </w:t>
      </w:r>
      <w:r>
        <w:rPr>
          <w:rFonts w:ascii="宋体" w:hAnsi="宋体" w:eastAsia="宋体" w:cs="宋体"/>
          <w:spacing w:val="10"/>
          <w:sz w:val="20"/>
          <w:szCs w:val="20"/>
        </w:rPr>
        <w:t>天</w:t>
      </w:r>
      <w:r>
        <w:rPr>
          <w:rFonts w:ascii="宋体" w:hAnsi="宋体" w:eastAsia="宋体" w:cs="宋体"/>
          <w:spacing w:val="9"/>
          <w:sz w:val="20"/>
          <w:szCs w:val="20"/>
        </w:rPr>
        <w:t>内完成审核和批准或提出修改意见。发包人</w:t>
      </w:r>
      <w:r>
        <w:rPr>
          <w:rFonts w:ascii="宋体" w:hAnsi="宋体" w:eastAsia="宋体" w:cs="宋体"/>
          <w:spacing w:val="10"/>
          <w:sz w:val="20"/>
          <w:szCs w:val="20"/>
        </w:rPr>
        <w:t>和监理人对承包人提交的施工进度计划的确认，不能减轻或免除承包人根据法律规定和合同约定</w:t>
      </w:r>
      <w:r>
        <w:rPr>
          <w:rFonts w:ascii="宋体" w:hAnsi="宋体" w:eastAsia="宋体" w:cs="宋体"/>
          <w:spacing w:val="9"/>
          <w:sz w:val="20"/>
          <w:szCs w:val="20"/>
        </w:rPr>
        <w:t>应承担的任何责任或义务。发包人任意压缩合理工期的情形除外。</w:t>
      </w:r>
    </w:p>
    <w:p w14:paraId="2EF28897">
      <w:pPr>
        <w:spacing w:line="229" w:lineRule="auto"/>
        <w:ind w:left="426"/>
        <w:rPr>
          <w:rFonts w:ascii="宋体" w:hAnsi="宋体" w:eastAsia="宋体" w:cs="宋体"/>
          <w:sz w:val="20"/>
          <w:szCs w:val="20"/>
        </w:rPr>
      </w:pPr>
      <w:r>
        <w:rPr>
          <w:rFonts w:ascii="宋体" w:hAnsi="宋体" w:eastAsia="宋体" w:cs="宋体"/>
          <w:b/>
          <w:bCs/>
          <w:spacing w:val="1"/>
          <w:sz w:val="20"/>
          <w:szCs w:val="20"/>
        </w:rPr>
        <w:t>7.3</w:t>
      </w:r>
      <w:r>
        <w:rPr>
          <w:rFonts w:ascii="宋体" w:hAnsi="宋体" w:eastAsia="宋体" w:cs="宋体"/>
          <w:spacing w:val="13"/>
          <w:sz w:val="20"/>
          <w:szCs w:val="20"/>
        </w:rPr>
        <w:t xml:space="preserve"> </w:t>
      </w:r>
      <w:r>
        <w:rPr>
          <w:rFonts w:ascii="宋体" w:hAnsi="宋体" w:eastAsia="宋体" w:cs="宋体"/>
          <w:b/>
          <w:bCs/>
          <w:spacing w:val="1"/>
          <w:sz w:val="20"/>
          <w:szCs w:val="20"/>
        </w:rPr>
        <w:t>开工</w:t>
      </w:r>
    </w:p>
    <w:p w14:paraId="3EA38D7C">
      <w:pPr>
        <w:spacing w:before="126" w:line="229" w:lineRule="auto"/>
        <w:ind w:left="426"/>
        <w:rPr>
          <w:rFonts w:ascii="宋体" w:hAnsi="宋体" w:eastAsia="宋体" w:cs="宋体"/>
          <w:sz w:val="20"/>
          <w:szCs w:val="20"/>
        </w:rPr>
      </w:pPr>
      <w:r>
        <w:rPr>
          <w:rFonts w:ascii="宋体" w:hAnsi="宋体" w:eastAsia="宋体" w:cs="宋体"/>
          <w:b/>
          <w:bCs/>
          <w:spacing w:val="4"/>
          <w:sz w:val="20"/>
          <w:szCs w:val="20"/>
        </w:rPr>
        <w:t>7.3.1</w:t>
      </w:r>
      <w:r>
        <w:rPr>
          <w:rFonts w:ascii="宋体" w:hAnsi="宋体" w:eastAsia="宋体" w:cs="宋体"/>
          <w:spacing w:val="4"/>
          <w:sz w:val="20"/>
          <w:szCs w:val="20"/>
        </w:rPr>
        <w:t xml:space="preserve"> </w:t>
      </w:r>
      <w:r>
        <w:rPr>
          <w:rFonts w:ascii="宋体" w:hAnsi="宋体" w:eastAsia="宋体" w:cs="宋体"/>
          <w:b/>
          <w:bCs/>
          <w:spacing w:val="4"/>
          <w:sz w:val="20"/>
          <w:szCs w:val="20"/>
        </w:rPr>
        <w:t>开工准备</w:t>
      </w:r>
    </w:p>
    <w:p w14:paraId="1625C841">
      <w:pPr>
        <w:spacing w:before="124" w:line="346" w:lineRule="auto"/>
        <w:ind w:right="54" w:firstLine="433"/>
        <w:jc w:val="both"/>
        <w:rPr>
          <w:rFonts w:ascii="宋体" w:hAnsi="宋体" w:eastAsia="宋体" w:cs="宋体"/>
          <w:sz w:val="20"/>
          <w:szCs w:val="20"/>
        </w:rPr>
      </w:pPr>
      <w:r>
        <w:rPr>
          <w:rFonts w:ascii="宋体" w:hAnsi="宋体" w:eastAsia="宋体" w:cs="宋体"/>
          <w:spacing w:val="9"/>
          <w:sz w:val="20"/>
          <w:szCs w:val="20"/>
        </w:rPr>
        <w:t>除专用合同条款另有约定外，承包人应按照第</w:t>
      </w:r>
      <w:r>
        <w:rPr>
          <w:rFonts w:ascii="宋体" w:hAnsi="宋体" w:eastAsia="宋体" w:cs="宋体"/>
          <w:spacing w:val="-30"/>
          <w:sz w:val="20"/>
          <w:szCs w:val="20"/>
        </w:rPr>
        <w:t xml:space="preserve"> </w:t>
      </w:r>
      <w:r>
        <w:rPr>
          <w:rFonts w:ascii="宋体" w:hAnsi="宋体" w:eastAsia="宋体" w:cs="宋体"/>
          <w:spacing w:val="9"/>
          <w:sz w:val="20"/>
          <w:szCs w:val="20"/>
        </w:rPr>
        <w:t>7.1</w:t>
      </w:r>
      <w:r>
        <w:rPr>
          <w:rFonts w:ascii="宋体" w:hAnsi="宋体" w:eastAsia="宋体" w:cs="宋体"/>
          <w:spacing w:val="-39"/>
          <w:sz w:val="20"/>
          <w:szCs w:val="20"/>
        </w:rPr>
        <w:t xml:space="preserve"> </w:t>
      </w:r>
      <w:r>
        <w:rPr>
          <w:rFonts w:ascii="宋体" w:hAnsi="宋体" w:eastAsia="宋体" w:cs="宋体"/>
          <w:spacing w:val="9"/>
          <w:sz w:val="20"/>
          <w:szCs w:val="20"/>
        </w:rPr>
        <w:t>款〔施工组织设计〕约定的期限，向监理</w:t>
      </w:r>
      <w:r>
        <w:rPr>
          <w:rFonts w:ascii="宋体" w:hAnsi="宋体" w:eastAsia="宋体" w:cs="宋体"/>
          <w:spacing w:val="10"/>
          <w:sz w:val="20"/>
          <w:szCs w:val="20"/>
        </w:rPr>
        <w:t>人提交工程开工报审表，经监理人报发包人批准后执行。开工报审表应详细说明按施工进度计划正常施工所需的施工道路、临时设施、材料、工程设备、施工设备、施工人员等落实情况以及工</w:t>
      </w:r>
      <w:r>
        <w:rPr>
          <w:rFonts w:ascii="宋体" w:hAnsi="宋体" w:eastAsia="宋体" w:cs="宋体"/>
          <w:spacing w:val="7"/>
          <w:sz w:val="20"/>
          <w:szCs w:val="20"/>
        </w:rPr>
        <w:t>程的进度安排。</w:t>
      </w:r>
    </w:p>
    <w:p w14:paraId="0D456392">
      <w:pPr>
        <w:spacing w:before="1" w:line="227" w:lineRule="auto"/>
        <w:ind w:left="434"/>
        <w:rPr>
          <w:rFonts w:ascii="宋体" w:hAnsi="宋体" w:eastAsia="宋体" w:cs="宋体"/>
          <w:sz w:val="20"/>
          <w:szCs w:val="20"/>
        </w:rPr>
      </w:pPr>
      <w:r>
        <w:rPr>
          <w:rFonts w:ascii="宋体" w:hAnsi="宋体" w:eastAsia="宋体" w:cs="宋体"/>
          <w:spacing w:val="9"/>
          <w:sz w:val="20"/>
          <w:szCs w:val="20"/>
        </w:rPr>
        <w:t>除专用合同条款另有约定外，合同当事人应按约定完成开工准备</w:t>
      </w:r>
      <w:r>
        <w:rPr>
          <w:rFonts w:ascii="宋体" w:hAnsi="宋体" w:eastAsia="宋体" w:cs="宋体"/>
          <w:spacing w:val="8"/>
          <w:sz w:val="20"/>
          <w:szCs w:val="20"/>
        </w:rPr>
        <w:t>工作。</w:t>
      </w:r>
    </w:p>
    <w:p w14:paraId="732ECD49">
      <w:pPr>
        <w:spacing w:before="128" w:line="229" w:lineRule="auto"/>
        <w:ind w:left="426"/>
        <w:rPr>
          <w:rFonts w:ascii="宋体" w:hAnsi="宋体" w:eastAsia="宋体" w:cs="宋体"/>
          <w:sz w:val="20"/>
          <w:szCs w:val="20"/>
        </w:rPr>
      </w:pPr>
      <w:r>
        <w:rPr>
          <w:rFonts w:ascii="宋体" w:hAnsi="宋体" w:eastAsia="宋体" w:cs="宋体"/>
          <w:b/>
          <w:bCs/>
          <w:spacing w:val="4"/>
          <w:sz w:val="20"/>
          <w:szCs w:val="20"/>
        </w:rPr>
        <w:t>7.3.2</w:t>
      </w:r>
      <w:r>
        <w:rPr>
          <w:rFonts w:ascii="宋体" w:hAnsi="宋体" w:eastAsia="宋体" w:cs="宋体"/>
          <w:spacing w:val="4"/>
          <w:sz w:val="20"/>
          <w:szCs w:val="20"/>
        </w:rPr>
        <w:t xml:space="preserve"> </w:t>
      </w:r>
      <w:r>
        <w:rPr>
          <w:rFonts w:ascii="宋体" w:hAnsi="宋体" w:eastAsia="宋体" w:cs="宋体"/>
          <w:b/>
          <w:bCs/>
          <w:spacing w:val="4"/>
          <w:sz w:val="20"/>
          <w:szCs w:val="20"/>
        </w:rPr>
        <w:t>开工通知</w:t>
      </w:r>
    </w:p>
    <w:p w14:paraId="0A2396F2">
      <w:pPr>
        <w:spacing w:line="229" w:lineRule="auto"/>
        <w:rPr>
          <w:rFonts w:ascii="宋体" w:hAnsi="宋体" w:eastAsia="宋体" w:cs="宋体"/>
          <w:sz w:val="20"/>
          <w:szCs w:val="20"/>
        </w:rPr>
        <w:sectPr>
          <w:footerReference r:id="rId356" w:type="default"/>
          <w:pgSz w:w="11906" w:h="16839"/>
          <w:pgMar w:top="400" w:right="1478" w:bottom="1446" w:left="1537" w:header="0" w:footer="1284" w:gutter="0"/>
          <w:cols w:space="720" w:num="1"/>
        </w:sectPr>
      </w:pPr>
    </w:p>
    <w:p w14:paraId="12CB7ACB">
      <w:pPr>
        <w:spacing w:line="246" w:lineRule="auto"/>
        <w:rPr>
          <w:rFonts w:ascii="Arial"/>
          <w:sz w:val="21"/>
        </w:rPr>
      </w:pPr>
    </w:p>
    <w:p w14:paraId="1BD523EE">
      <w:pPr>
        <w:spacing w:line="246" w:lineRule="auto"/>
        <w:rPr>
          <w:rFonts w:ascii="Arial"/>
          <w:sz w:val="21"/>
        </w:rPr>
      </w:pPr>
    </w:p>
    <w:p w14:paraId="5A01B437">
      <w:pPr>
        <w:spacing w:line="246" w:lineRule="auto"/>
        <w:rPr>
          <w:rFonts w:ascii="Arial"/>
          <w:sz w:val="21"/>
        </w:rPr>
      </w:pPr>
    </w:p>
    <w:p w14:paraId="432D30DB">
      <w:pPr>
        <w:spacing w:line="246" w:lineRule="auto"/>
        <w:rPr>
          <w:rFonts w:ascii="Arial"/>
          <w:sz w:val="21"/>
        </w:rPr>
      </w:pPr>
    </w:p>
    <w:p w14:paraId="4B0003EC">
      <w:pPr>
        <w:spacing w:line="246" w:lineRule="auto"/>
        <w:rPr>
          <w:rFonts w:ascii="Arial"/>
          <w:sz w:val="21"/>
        </w:rPr>
      </w:pPr>
    </w:p>
    <w:p w14:paraId="643B6944">
      <w:pPr>
        <w:spacing w:line="247" w:lineRule="auto"/>
        <w:rPr>
          <w:rFonts w:ascii="Arial"/>
          <w:sz w:val="21"/>
        </w:rPr>
      </w:pPr>
    </w:p>
    <w:p w14:paraId="3EEF5A86">
      <w:pPr>
        <w:spacing w:before="65" w:line="346" w:lineRule="auto"/>
        <w:ind w:right="52" w:firstLine="423"/>
        <w:jc w:val="both"/>
        <w:rPr>
          <w:rFonts w:ascii="宋体" w:hAnsi="宋体" w:eastAsia="宋体" w:cs="宋体"/>
          <w:sz w:val="20"/>
          <w:szCs w:val="20"/>
        </w:rPr>
      </w:pPr>
      <w:r>
        <w:rPr>
          <w:rFonts w:ascii="宋体" w:hAnsi="宋体" w:eastAsia="宋体" w:cs="宋体"/>
          <w:spacing w:val="10"/>
          <w:sz w:val="20"/>
          <w:szCs w:val="20"/>
        </w:rPr>
        <w:t>发包人应按照法律规定获得工程施工所需的许可。经发包人同意后，监理人发出的开工通知应符合法律规定。监理人应在计划开工日期</w:t>
      </w:r>
      <w:r>
        <w:rPr>
          <w:rFonts w:ascii="宋体" w:hAnsi="宋体" w:eastAsia="宋体" w:cs="宋体"/>
          <w:spacing w:val="-32"/>
          <w:sz w:val="20"/>
          <w:szCs w:val="20"/>
        </w:rPr>
        <w:t xml:space="preserve"> </w:t>
      </w:r>
      <w:r>
        <w:rPr>
          <w:rFonts w:ascii="宋体" w:hAnsi="宋体" w:eastAsia="宋体" w:cs="宋体"/>
          <w:spacing w:val="10"/>
          <w:sz w:val="20"/>
          <w:szCs w:val="20"/>
        </w:rPr>
        <w:t>7</w:t>
      </w:r>
      <w:r>
        <w:rPr>
          <w:rFonts w:ascii="宋体" w:hAnsi="宋体" w:eastAsia="宋体" w:cs="宋体"/>
          <w:spacing w:val="-36"/>
          <w:sz w:val="20"/>
          <w:szCs w:val="20"/>
        </w:rPr>
        <w:t xml:space="preserve"> </w:t>
      </w:r>
      <w:r>
        <w:rPr>
          <w:rFonts w:ascii="宋体" w:hAnsi="宋体" w:eastAsia="宋体" w:cs="宋体"/>
          <w:spacing w:val="10"/>
          <w:sz w:val="20"/>
          <w:szCs w:val="20"/>
        </w:rPr>
        <w:t>天前</w:t>
      </w:r>
      <w:r>
        <w:rPr>
          <w:rFonts w:ascii="宋体" w:hAnsi="宋体" w:eastAsia="宋体" w:cs="宋体"/>
          <w:spacing w:val="9"/>
          <w:sz w:val="20"/>
          <w:szCs w:val="20"/>
        </w:rPr>
        <w:t>向承包人发出开工通知，工期自开工通知中载</w:t>
      </w:r>
      <w:r>
        <w:rPr>
          <w:rFonts w:ascii="宋体" w:hAnsi="宋体" w:eastAsia="宋体" w:cs="宋体"/>
          <w:spacing w:val="7"/>
          <w:sz w:val="20"/>
          <w:szCs w:val="20"/>
        </w:rPr>
        <w:t>明的开工日期起算。</w:t>
      </w:r>
    </w:p>
    <w:p w14:paraId="2CCACDE3">
      <w:pPr>
        <w:spacing w:before="1" w:line="345" w:lineRule="auto"/>
        <w:ind w:left="1" w:right="52" w:firstLine="431"/>
        <w:jc w:val="both"/>
        <w:rPr>
          <w:rFonts w:ascii="宋体" w:hAnsi="宋体" w:eastAsia="宋体" w:cs="宋体"/>
          <w:sz w:val="20"/>
          <w:szCs w:val="20"/>
        </w:rPr>
      </w:pPr>
      <w:r>
        <w:rPr>
          <w:rFonts w:ascii="宋体" w:hAnsi="宋体" w:eastAsia="宋体" w:cs="宋体"/>
          <w:spacing w:val="7"/>
          <w:sz w:val="20"/>
          <w:szCs w:val="20"/>
        </w:rPr>
        <w:t>除专用合同条款另有约定外，因发包人原因造成监理人未能在计</w:t>
      </w:r>
      <w:r>
        <w:rPr>
          <w:rFonts w:ascii="宋体" w:hAnsi="宋体" w:eastAsia="宋体" w:cs="宋体"/>
          <w:spacing w:val="6"/>
          <w:sz w:val="20"/>
          <w:szCs w:val="20"/>
        </w:rPr>
        <w:t>划开工日期之日起</w:t>
      </w:r>
      <w:r>
        <w:rPr>
          <w:rFonts w:ascii="宋体" w:hAnsi="宋体" w:eastAsia="宋体" w:cs="宋体"/>
          <w:spacing w:val="-38"/>
          <w:sz w:val="20"/>
          <w:szCs w:val="20"/>
        </w:rPr>
        <w:t xml:space="preserve"> </w:t>
      </w:r>
      <w:r>
        <w:rPr>
          <w:rFonts w:ascii="宋体" w:hAnsi="宋体" w:eastAsia="宋体" w:cs="宋体"/>
          <w:spacing w:val="6"/>
          <w:sz w:val="20"/>
          <w:szCs w:val="20"/>
        </w:rPr>
        <w:t>90</w:t>
      </w:r>
      <w:r>
        <w:rPr>
          <w:rFonts w:ascii="宋体" w:hAnsi="宋体" w:eastAsia="宋体" w:cs="宋体"/>
          <w:spacing w:val="-36"/>
          <w:sz w:val="20"/>
          <w:szCs w:val="20"/>
        </w:rPr>
        <w:t xml:space="preserve"> </w:t>
      </w:r>
      <w:r>
        <w:rPr>
          <w:rFonts w:ascii="宋体" w:hAnsi="宋体" w:eastAsia="宋体" w:cs="宋体"/>
          <w:spacing w:val="6"/>
          <w:sz w:val="20"/>
          <w:szCs w:val="20"/>
        </w:rPr>
        <w:t>天内发</w:t>
      </w:r>
      <w:r>
        <w:rPr>
          <w:rFonts w:ascii="宋体" w:hAnsi="宋体" w:eastAsia="宋体" w:cs="宋体"/>
          <w:spacing w:val="10"/>
          <w:sz w:val="20"/>
          <w:szCs w:val="20"/>
        </w:rPr>
        <w:t>出开工通知的，承包人有权提出价格调整要求，或者解除合同。发包人应当承担由此增加的费用</w:t>
      </w:r>
      <w:r>
        <w:rPr>
          <w:rFonts w:ascii="宋体" w:hAnsi="宋体" w:eastAsia="宋体" w:cs="宋体"/>
          <w:spacing w:val="9"/>
          <w:sz w:val="20"/>
          <w:szCs w:val="20"/>
        </w:rPr>
        <w:t>和（或）延误的工期，并向承包人支付合理利润。</w:t>
      </w:r>
    </w:p>
    <w:p w14:paraId="2F667903">
      <w:pPr>
        <w:spacing w:line="228" w:lineRule="auto"/>
        <w:ind w:left="425"/>
        <w:rPr>
          <w:rFonts w:ascii="宋体" w:hAnsi="宋体" w:eastAsia="宋体" w:cs="宋体"/>
          <w:sz w:val="20"/>
          <w:szCs w:val="20"/>
        </w:rPr>
      </w:pPr>
      <w:r>
        <w:rPr>
          <w:rFonts w:ascii="宋体" w:hAnsi="宋体" w:eastAsia="宋体" w:cs="宋体"/>
          <w:b/>
          <w:bCs/>
          <w:spacing w:val="4"/>
          <w:sz w:val="20"/>
          <w:szCs w:val="20"/>
        </w:rPr>
        <w:t>7.4</w:t>
      </w:r>
      <w:r>
        <w:rPr>
          <w:rFonts w:ascii="宋体" w:hAnsi="宋体" w:eastAsia="宋体" w:cs="宋体"/>
          <w:spacing w:val="4"/>
          <w:sz w:val="20"/>
          <w:szCs w:val="20"/>
        </w:rPr>
        <w:t xml:space="preserve"> </w:t>
      </w:r>
      <w:r>
        <w:rPr>
          <w:rFonts w:ascii="宋体" w:hAnsi="宋体" w:eastAsia="宋体" w:cs="宋体"/>
          <w:b/>
          <w:bCs/>
          <w:spacing w:val="4"/>
          <w:sz w:val="20"/>
          <w:szCs w:val="20"/>
        </w:rPr>
        <w:t>测量放线</w:t>
      </w:r>
    </w:p>
    <w:p w14:paraId="04C8D654">
      <w:pPr>
        <w:spacing w:before="125" w:line="346" w:lineRule="auto"/>
        <w:ind w:right="52" w:firstLine="425"/>
        <w:jc w:val="both"/>
        <w:rPr>
          <w:rFonts w:ascii="宋体" w:hAnsi="宋体" w:eastAsia="宋体" w:cs="宋体"/>
          <w:sz w:val="20"/>
          <w:szCs w:val="20"/>
        </w:rPr>
      </w:pPr>
      <w:r>
        <w:rPr>
          <w:rFonts w:ascii="宋体" w:hAnsi="宋体" w:eastAsia="宋体" w:cs="宋体"/>
          <w:spacing w:val="8"/>
          <w:sz w:val="20"/>
          <w:szCs w:val="20"/>
        </w:rPr>
        <w:t>7.4.1 除专用合同条款另有约定外，发包人应在至迟不得晚于第</w:t>
      </w:r>
      <w:r>
        <w:rPr>
          <w:rFonts w:ascii="宋体" w:hAnsi="宋体" w:eastAsia="宋体" w:cs="宋体"/>
          <w:spacing w:val="-18"/>
          <w:sz w:val="20"/>
          <w:szCs w:val="20"/>
        </w:rPr>
        <w:t xml:space="preserve"> </w:t>
      </w:r>
      <w:r>
        <w:rPr>
          <w:rFonts w:ascii="宋体" w:hAnsi="宋体" w:eastAsia="宋体" w:cs="宋体"/>
          <w:spacing w:val="8"/>
          <w:sz w:val="20"/>
          <w:szCs w:val="20"/>
        </w:rPr>
        <w:t>7.3.2</w:t>
      </w:r>
      <w:r>
        <w:rPr>
          <w:rFonts w:ascii="宋体" w:hAnsi="宋体" w:eastAsia="宋体" w:cs="宋体"/>
          <w:spacing w:val="-35"/>
          <w:sz w:val="20"/>
          <w:szCs w:val="20"/>
        </w:rPr>
        <w:t xml:space="preserve"> </w:t>
      </w:r>
      <w:r>
        <w:rPr>
          <w:rFonts w:ascii="宋体" w:hAnsi="宋体" w:eastAsia="宋体" w:cs="宋体"/>
          <w:spacing w:val="8"/>
          <w:sz w:val="20"/>
          <w:szCs w:val="20"/>
        </w:rPr>
        <w:t>项〔开工通知〕载明</w:t>
      </w:r>
      <w:r>
        <w:rPr>
          <w:rFonts w:ascii="宋体" w:hAnsi="宋体" w:eastAsia="宋体" w:cs="宋体"/>
          <w:spacing w:val="10"/>
          <w:sz w:val="20"/>
          <w:szCs w:val="20"/>
        </w:rPr>
        <w:t>的开工日期前</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4"/>
          <w:sz w:val="20"/>
          <w:szCs w:val="20"/>
        </w:rPr>
        <w:t xml:space="preserve"> </w:t>
      </w:r>
      <w:r>
        <w:rPr>
          <w:rFonts w:ascii="宋体" w:hAnsi="宋体" w:eastAsia="宋体" w:cs="宋体"/>
          <w:spacing w:val="10"/>
          <w:sz w:val="20"/>
          <w:szCs w:val="20"/>
        </w:rPr>
        <w:t>天通过监理人向承包人提供测量基</w:t>
      </w:r>
      <w:r>
        <w:rPr>
          <w:rFonts w:ascii="宋体" w:hAnsi="宋体" w:eastAsia="宋体" w:cs="宋体"/>
          <w:spacing w:val="9"/>
          <w:sz w:val="20"/>
          <w:szCs w:val="20"/>
        </w:rPr>
        <w:t>准点、基准线和水准点及其书面资料。发包人</w:t>
      </w:r>
      <w:r>
        <w:rPr>
          <w:rFonts w:ascii="宋体" w:hAnsi="宋体" w:eastAsia="宋体" w:cs="宋体"/>
          <w:spacing w:val="10"/>
          <w:sz w:val="20"/>
          <w:szCs w:val="20"/>
        </w:rPr>
        <w:t>应对其提供的测量基准点、基准线和水准点</w:t>
      </w:r>
      <w:r>
        <w:rPr>
          <w:rFonts w:ascii="宋体" w:hAnsi="宋体" w:eastAsia="宋体" w:cs="宋体"/>
          <w:spacing w:val="9"/>
          <w:sz w:val="20"/>
          <w:szCs w:val="20"/>
        </w:rPr>
        <w:t>及其书面资料的真实性、准确性和完整性负责。</w:t>
      </w:r>
    </w:p>
    <w:p w14:paraId="6E92C2B4">
      <w:pPr>
        <w:spacing w:before="3" w:line="345" w:lineRule="auto"/>
        <w:ind w:right="52" w:firstLine="420"/>
        <w:jc w:val="both"/>
        <w:rPr>
          <w:rFonts w:ascii="宋体" w:hAnsi="宋体" w:eastAsia="宋体" w:cs="宋体"/>
          <w:sz w:val="20"/>
          <w:szCs w:val="20"/>
        </w:rPr>
      </w:pPr>
      <w:r>
        <w:rPr>
          <w:rFonts w:ascii="宋体" w:hAnsi="宋体" w:eastAsia="宋体" w:cs="宋体"/>
          <w:spacing w:val="10"/>
          <w:sz w:val="20"/>
          <w:szCs w:val="20"/>
        </w:rPr>
        <w:t>承包人应及时对发包人提供的测量基准点、基准线和水准点及其书面资料进行核查，确定其是否符合施工需要。承包人发现发包人提供的测量基准点、基准线和水准点及其书面资料存在错误或疏漏的，应及时通知监理人，承包人有权要求发包人提供更多的资料。监理人应及时报告发包人，并会同发包人和承包人予以核实。发包人应就如何处理和是否继续施工作出决定，并通知</w:t>
      </w:r>
      <w:r>
        <w:rPr>
          <w:rFonts w:ascii="宋体" w:hAnsi="宋体" w:eastAsia="宋体" w:cs="宋体"/>
          <w:spacing w:val="7"/>
          <w:sz w:val="20"/>
          <w:szCs w:val="20"/>
        </w:rPr>
        <w:t>监理人和承包人。</w:t>
      </w:r>
    </w:p>
    <w:p w14:paraId="7B13CD27">
      <w:pPr>
        <w:spacing w:before="2" w:line="345" w:lineRule="auto"/>
        <w:ind w:right="52" w:firstLine="425"/>
        <w:jc w:val="both"/>
        <w:rPr>
          <w:rFonts w:ascii="宋体" w:hAnsi="宋体" w:eastAsia="宋体" w:cs="宋体"/>
          <w:sz w:val="20"/>
          <w:szCs w:val="20"/>
        </w:rPr>
      </w:pPr>
      <w:r>
        <w:rPr>
          <w:rFonts w:ascii="宋体" w:hAnsi="宋体" w:eastAsia="宋体" w:cs="宋体"/>
          <w:spacing w:val="10"/>
          <w:sz w:val="20"/>
          <w:szCs w:val="20"/>
        </w:rPr>
        <w:t>7.4.2 承包人负责施工过程中的全部施</w:t>
      </w:r>
      <w:r>
        <w:rPr>
          <w:rFonts w:ascii="宋体" w:hAnsi="宋体" w:eastAsia="宋体" w:cs="宋体"/>
          <w:spacing w:val="9"/>
          <w:sz w:val="20"/>
          <w:szCs w:val="20"/>
        </w:rPr>
        <w:t>工测量放线工作，并配置具有相应资质的人员、合格</w:t>
      </w:r>
      <w:r>
        <w:rPr>
          <w:rFonts w:ascii="宋体" w:hAnsi="宋体" w:eastAsia="宋体" w:cs="宋体"/>
          <w:spacing w:val="10"/>
          <w:sz w:val="20"/>
          <w:szCs w:val="20"/>
        </w:rPr>
        <w:t>的仪器、设备和其他物品。承包人应矫正工程的位置、标高、尺寸或准线中出现的任何差错，并</w:t>
      </w:r>
      <w:r>
        <w:rPr>
          <w:rFonts w:ascii="宋体" w:hAnsi="宋体" w:eastAsia="宋体" w:cs="宋体"/>
          <w:spacing w:val="8"/>
          <w:sz w:val="20"/>
          <w:szCs w:val="20"/>
        </w:rPr>
        <w:t>对工程各部分的定位负责。</w:t>
      </w:r>
    </w:p>
    <w:p w14:paraId="3E7F588F">
      <w:pPr>
        <w:spacing w:before="1" w:line="227" w:lineRule="auto"/>
        <w:ind w:left="420"/>
        <w:rPr>
          <w:rFonts w:ascii="宋体" w:hAnsi="宋体" w:eastAsia="宋体" w:cs="宋体"/>
          <w:sz w:val="20"/>
          <w:szCs w:val="20"/>
        </w:rPr>
      </w:pPr>
      <w:r>
        <w:rPr>
          <w:rFonts w:ascii="宋体" w:hAnsi="宋体" w:eastAsia="宋体" w:cs="宋体"/>
          <w:spacing w:val="9"/>
          <w:sz w:val="20"/>
          <w:szCs w:val="20"/>
        </w:rPr>
        <w:t>施工过程中对施工现场内水准点等测量标志物的保护工作由承包人负责。</w:t>
      </w:r>
    </w:p>
    <w:p w14:paraId="6E8831FF">
      <w:pPr>
        <w:spacing w:before="128" w:line="228" w:lineRule="auto"/>
        <w:ind w:left="425"/>
        <w:rPr>
          <w:rFonts w:ascii="宋体" w:hAnsi="宋体" w:eastAsia="宋体" w:cs="宋体"/>
          <w:sz w:val="20"/>
          <w:szCs w:val="20"/>
        </w:rPr>
      </w:pPr>
      <w:r>
        <w:rPr>
          <w:rFonts w:ascii="宋体" w:hAnsi="宋体" w:eastAsia="宋体" w:cs="宋体"/>
          <w:b/>
          <w:bCs/>
          <w:spacing w:val="3"/>
          <w:sz w:val="20"/>
          <w:szCs w:val="20"/>
        </w:rPr>
        <w:t>7.5</w:t>
      </w:r>
      <w:r>
        <w:rPr>
          <w:rFonts w:ascii="宋体" w:hAnsi="宋体" w:eastAsia="宋体" w:cs="宋体"/>
          <w:spacing w:val="15"/>
          <w:sz w:val="20"/>
          <w:szCs w:val="20"/>
        </w:rPr>
        <w:t xml:space="preserve"> </w:t>
      </w:r>
      <w:r>
        <w:rPr>
          <w:rFonts w:ascii="宋体" w:hAnsi="宋体" w:eastAsia="宋体" w:cs="宋体"/>
          <w:b/>
          <w:bCs/>
          <w:spacing w:val="3"/>
          <w:sz w:val="20"/>
          <w:szCs w:val="20"/>
        </w:rPr>
        <w:t>工期延误</w:t>
      </w:r>
    </w:p>
    <w:p w14:paraId="13FC0E9D">
      <w:pPr>
        <w:spacing w:before="127" w:line="228" w:lineRule="auto"/>
        <w:ind w:left="425"/>
        <w:rPr>
          <w:rFonts w:ascii="宋体" w:hAnsi="宋体" w:eastAsia="宋体" w:cs="宋体"/>
          <w:sz w:val="20"/>
          <w:szCs w:val="20"/>
        </w:rPr>
      </w:pPr>
      <w:r>
        <w:rPr>
          <w:rFonts w:ascii="宋体" w:hAnsi="宋体" w:eastAsia="宋体" w:cs="宋体"/>
          <w:b/>
          <w:bCs/>
          <w:spacing w:val="6"/>
          <w:sz w:val="20"/>
          <w:szCs w:val="20"/>
        </w:rPr>
        <w:t>7.5.1</w:t>
      </w:r>
      <w:r>
        <w:rPr>
          <w:rFonts w:ascii="宋体" w:hAnsi="宋体" w:eastAsia="宋体" w:cs="宋体"/>
          <w:spacing w:val="6"/>
          <w:sz w:val="20"/>
          <w:szCs w:val="20"/>
        </w:rPr>
        <w:t xml:space="preserve"> </w:t>
      </w:r>
      <w:r>
        <w:rPr>
          <w:rFonts w:ascii="宋体" w:hAnsi="宋体" w:eastAsia="宋体" w:cs="宋体"/>
          <w:b/>
          <w:bCs/>
          <w:spacing w:val="6"/>
          <w:sz w:val="20"/>
          <w:szCs w:val="20"/>
        </w:rPr>
        <w:t>因发包人原因导致工期延误</w:t>
      </w:r>
    </w:p>
    <w:p w14:paraId="2F27B18A">
      <w:pPr>
        <w:spacing w:before="126" w:line="346" w:lineRule="auto"/>
        <w:ind w:left="17" w:right="52" w:firstLine="402"/>
        <w:rPr>
          <w:rFonts w:ascii="宋体" w:hAnsi="宋体" w:eastAsia="宋体" w:cs="宋体"/>
          <w:sz w:val="20"/>
          <w:szCs w:val="20"/>
        </w:rPr>
      </w:pPr>
      <w:r>
        <w:rPr>
          <w:rFonts w:ascii="宋体" w:hAnsi="宋体" w:eastAsia="宋体" w:cs="宋体"/>
          <w:spacing w:val="9"/>
          <w:sz w:val="20"/>
          <w:szCs w:val="20"/>
        </w:rPr>
        <w:t>在合同履行过程中，因下列情况导致工期延误和（或）费用增加的，</w:t>
      </w:r>
      <w:r>
        <w:rPr>
          <w:rFonts w:ascii="宋体" w:hAnsi="宋体" w:eastAsia="宋体" w:cs="宋体"/>
          <w:spacing w:val="-47"/>
          <w:sz w:val="20"/>
          <w:szCs w:val="20"/>
        </w:rPr>
        <w:t xml:space="preserve"> </w:t>
      </w:r>
      <w:r>
        <w:rPr>
          <w:rFonts w:ascii="宋体" w:hAnsi="宋体" w:eastAsia="宋体" w:cs="宋体"/>
          <w:spacing w:val="9"/>
          <w:sz w:val="20"/>
          <w:szCs w:val="20"/>
        </w:rPr>
        <w:t>由发包人承担由此延误的工期和（或）增加的费用，且发包人应支</w:t>
      </w:r>
      <w:r>
        <w:rPr>
          <w:rFonts w:ascii="宋体" w:hAnsi="宋体" w:eastAsia="宋体" w:cs="宋体"/>
          <w:spacing w:val="8"/>
          <w:sz w:val="20"/>
          <w:szCs w:val="20"/>
        </w:rPr>
        <w:t>付承包人合理的利润：</w:t>
      </w:r>
    </w:p>
    <w:p w14:paraId="51FACB43">
      <w:pPr>
        <w:spacing w:before="1" w:line="226" w:lineRule="auto"/>
        <w:ind w:left="430"/>
        <w:rPr>
          <w:rFonts w:ascii="宋体" w:hAnsi="宋体" w:eastAsia="宋体" w:cs="宋体"/>
          <w:sz w:val="20"/>
          <w:szCs w:val="20"/>
        </w:rPr>
      </w:pPr>
      <w:r>
        <w:rPr>
          <w:rFonts w:ascii="宋体" w:hAnsi="宋体" w:eastAsia="宋体" w:cs="宋体"/>
          <w:spacing w:val="9"/>
          <w:sz w:val="20"/>
          <w:szCs w:val="20"/>
        </w:rPr>
        <w:t>（1）发包人未能按合同约定提供图纸或所提供图纸不符合合</w:t>
      </w:r>
      <w:r>
        <w:rPr>
          <w:rFonts w:ascii="宋体" w:hAnsi="宋体" w:eastAsia="宋体" w:cs="宋体"/>
          <w:spacing w:val="8"/>
          <w:sz w:val="20"/>
          <w:szCs w:val="20"/>
        </w:rPr>
        <w:t>同约定的；</w:t>
      </w:r>
    </w:p>
    <w:p w14:paraId="1B3DA661">
      <w:pPr>
        <w:spacing w:before="129" w:line="227" w:lineRule="auto"/>
        <w:jc w:val="right"/>
        <w:rPr>
          <w:rFonts w:ascii="宋体" w:hAnsi="宋体" w:eastAsia="宋体" w:cs="宋体"/>
          <w:sz w:val="20"/>
          <w:szCs w:val="20"/>
        </w:rPr>
      </w:pPr>
      <w:r>
        <w:rPr>
          <w:rFonts w:ascii="宋体" w:hAnsi="宋体" w:eastAsia="宋体" w:cs="宋体"/>
          <w:spacing w:val="4"/>
          <w:sz w:val="20"/>
          <w:szCs w:val="20"/>
        </w:rPr>
        <w:t>（2）发包人未能按合同约定提供施工现场、施工条件、基础资</w:t>
      </w:r>
      <w:r>
        <w:rPr>
          <w:rFonts w:ascii="宋体" w:hAnsi="宋体" w:eastAsia="宋体" w:cs="宋体"/>
          <w:spacing w:val="3"/>
          <w:sz w:val="20"/>
          <w:szCs w:val="20"/>
        </w:rPr>
        <w:t>料、许可、批准等开工条件的；</w:t>
      </w:r>
    </w:p>
    <w:p w14:paraId="172918AD">
      <w:pPr>
        <w:spacing w:before="128" w:line="227" w:lineRule="auto"/>
        <w:ind w:left="430"/>
        <w:rPr>
          <w:rFonts w:ascii="宋体" w:hAnsi="宋体" w:eastAsia="宋体" w:cs="宋体"/>
          <w:sz w:val="20"/>
          <w:szCs w:val="20"/>
        </w:rPr>
      </w:pPr>
      <w:r>
        <w:rPr>
          <w:rFonts w:ascii="宋体" w:hAnsi="宋体" w:eastAsia="宋体" w:cs="宋体"/>
          <w:spacing w:val="9"/>
          <w:sz w:val="20"/>
          <w:szCs w:val="20"/>
        </w:rPr>
        <w:t>（3）发包人提供的测量基准点、基准线和水准点及其书面资料存在错误或疏漏的；</w:t>
      </w:r>
    </w:p>
    <w:p w14:paraId="544876CA">
      <w:pPr>
        <w:spacing w:before="129" w:line="228" w:lineRule="auto"/>
        <w:ind w:left="430"/>
        <w:rPr>
          <w:rFonts w:ascii="宋体" w:hAnsi="宋体" w:eastAsia="宋体" w:cs="宋体"/>
          <w:sz w:val="20"/>
          <w:szCs w:val="20"/>
        </w:rPr>
      </w:pPr>
      <w:r>
        <w:rPr>
          <w:rFonts w:ascii="宋体" w:hAnsi="宋体" w:eastAsia="宋体" w:cs="宋体"/>
          <w:spacing w:val="8"/>
          <w:sz w:val="20"/>
          <w:szCs w:val="20"/>
        </w:rPr>
        <w:t>（4）发包人未能在计划开工日期之日起</w:t>
      </w:r>
      <w:r>
        <w:rPr>
          <w:rFonts w:ascii="宋体" w:hAnsi="宋体" w:eastAsia="宋体" w:cs="宋体"/>
          <w:spacing w:val="-31"/>
          <w:sz w:val="20"/>
          <w:szCs w:val="20"/>
        </w:rPr>
        <w:t xml:space="preserve"> </w:t>
      </w:r>
      <w:r>
        <w:rPr>
          <w:rFonts w:ascii="宋体" w:hAnsi="宋体" w:eastAsia="宋体" w:cs="宋体"/>
          <w:spacing w:val="8"/>
          <w:sz w:val="20"/>
          <w:szCs w:val="20"/>
        </w:rPr>
        <w:t>7</w:t>
      </w:r>
      <w:r>
        <w:rPr>
          <w:rFonts w:ascii="宋体" w:hAnsi="宋体" w:eastAsia="宋体" w:cs="宋体"/>
          <w:spacing w:val="-34"/>
          <w:sz w:val="20"/>
          <w:szCs w:val="20"/>
        </w:rPr>
        <w:t xml:space="preserve"> </w:t>
      </w:r>
      <w:r>
        <w:rPr>
          <w:rFonts w:ascii="宋体" w:hAnsi="宋体" w:eastAsia="宋体" w:cs="宋体"/>
          <w:spacing w:val="8"/>
          <w:sz w:val="20"/>
          <w:szCs w:val="20"/>
        </w:rPr>
        <w:t>天内同意</w:t>
      </w:r>
      <w:r>
        <w:rPr>
          <w:rFonts w:ascii="宋体" w:hAnsi="宋体" w:eastAsia="宋体" w:cs="宋体"/>
          <w:spacing w:val="7"/>
          <w:sz w:val="20"/>
          <w:szCs w:val="20"/>
        </w:rPr>
        <w:t>下达开工通知的；</w:t>
      </w:r>
    </w:p>
    <w:p w14:paraId="352AAD5B">
      <w:pPr>
        <w:spacing w:before="127" w:line="228" w:lineRule="auto"/>
        <w:ind w:left="430"/>
        <w:rPr>
          <w:rFonts w:ascii="宋体" w:hAnsi="宋体" w:eastAsia="宋体" w:cs="宋体"/>
          <w:sz w:val="20"/>
          <w:szCs w:val="20"/>
        </w:rPr>
      </w:pPr>
      <w:r>
        <w:rPr>
          <w:rFonts w:ascii="宋体" w:hAnsi="宋体" w:eastAsia="宋体" w:cs="宋体"/>
          <w:spacing w:val="9"/>
          <w:sz w:val="20"/>
          <w:szCs w:val="20"/>
        </w:rPr>
        <w:t>（5）发包人未能按合同约定日期支付工程预付款、进度款或竣工结算</w:t>
      </w:r>
      <w:r>
        <w:rPr>
          <w:rFonts w:ascii="宋体" w:hAnsi="宋体" w:eastAsia="宋体" w:cs="宋体"/>
          <w:spacing w:val="8"/>
          <w:sz w:val="20"/>
          <w:szCs w:val="20"/>
        </w:rPr>
        <w:t>款的；</w:t>
      </w:r>
    </w:p>
    <w:p w14:paraId="7E1968EB">
      <w:pPr>
        <w:spacing w:before="127" w:line="228" w:lineRule="auto"/>
        <w:ind w:left="430"/>
        <w:rPr>
          <w:rFonts w:ascii="宋体" w:hAnsi="宋体" w:eastAsia="宋体" w:cs="宋体"/>
          <w:sz w:val="20"/>
          <w:szCs w:val="20"/>
        </w:rPr>
      </w:pPr>
      <w:r>
        <w:rPr>
          <w:rFonts w:ascii="宋体" w:hAnsi="宋体" w:eastAsia="宋体" w:cs="宋体"/>
          <w:spacing w:val="8"/>
          <w:sz w:val="20"/>
          <w:szCs w:val="20"/>
        </w:rPr>
        <w:t>（6）监理人未按合同约定发出指示、批准等文件的；</w:t>
      </w:r>
    </w:p>
    <w:p w14:paraId="3A3F5576">
      <w:pPr>
        <w:spacing w:before="129" w:line="228" w:lineRule="auto"/>
        <w:ind w:left="430"/>
        <w:rPr>
          <w:rFonts w:ascii="宋体" w:hAnsi="宋体" w:eastAsia="宋体" w:cs="宋体"/>
          <w:sz w:val="20"/>
          <w:szCs w:val="20"/>
        </w:rPr>
      </w:pPr>
      <w:r>
        <w:rPr>
          <w:rFonts w:ascii="宋体" w:hAnsi="宋体" w:eastAsia="宋体" w:cs="宋体"/>
          <w:spacing w:val="9"/>
          <w:sz w:val="20"/>
          <w:szCs w:val="20"/>
        </w:rPr>
        <w:t>（7）因发包人违法分包或直接发包工程分包人原因导致工期延</w:t>
      </w:r>
      <w:r>
        <w:rPr>
          <w:rFonts w:ascii="宋体" w:hAnsi="宋体" w:eastAsia="宋体" w:cs="宋体"/>
          <w:spacing w:val="8"/>
          <w:sz w:val="20"/>
          <w:szCs w:val="20"/>
        </w:rPr>
        <w:t>误情形的；</w:t>
      </w:r>
    </w:p>
    <w:p w14:paraId="04763BAE">
      <w:pPr>
        <w:spacing w:before="126" w:line="228" w:lineRule="auto"/>
        <w:ind w:left="430"/>
        <w:rPr>
          <w:rFonts w:ascii="宋体" w:hAnsi="宋体" w:eastAsia="宋体" w:cs="宋体"/>
          <w:sz w:val="20"/>
          <w:szCs w:val="20"/>
        </w:rPr>
      </w:pPr>
      <w:r>
        <w:rPr>
          <w:rFonts w:ascii="宋体" w:hAnsi="宋体" w:eastAsia="宋体" w:cs="宋体"/>
          <w:spacing w:val="9"/>
          <w:sz w:val="20"/>
          <w:szCs w:val="20"/>
        </w:rPr>
        <w:t>（8）发包人代表或施工现场发包人委派的</w:t>
      </w:r>
      <w:r>
        <w:rPr>
          <w:rFonts w:ascii="宋体" w:hAnsi="宋体" w:eastAsia="宋体" w:cs="宋体"/>
          <w:spacing w:val="8"/>
          <w:sz w:val="20"/>
          <w:szCs w:val="20"/>
        </w:rPr>
        <w:t>其他人过错造成的；</w:t>
      </w:r>
    </w:p>
    <w:p w14:paraId="4C7E899D">
      <w:pPr>
        <w:spacing w:before="128" w:line="228" w:lineRule="auto"/>
        <w:ind w:left="430"/>
        <w:rPr>
          <w:rFonts w:ascii="宋体" w:hAnsi="宋体" w:eastAsia="宋体" w:cs="宋体"/>
          <w:sz w:val="20"/>
          <w:szCs w:val="20"/>
        </w:rPr>
      </w:pPr>
      <w:r>
        <w:rPr>
          <w:rFonts w:ascii="宋体" w:hAnsi="宋体" w:eastAsia="宋体" w:cs="宋体"/>
          <w:spacing w:val="10"/>
          <w:sz w:val="20"/>
          <w:szCs w:val="20"/>
        </w:rPr>
        <w:t>（9）一周内非承包人原因停水、停电、停气等原因造成停工累计超过8</w:t>
      </w:r>
      <w:r>
        <w:rPr>
          <w:rFonts w:ascii="宋体" w:hAnsi="宋体" w:eastAsia="宋体" w:cs="宋体"/>
          <w:spacing w:val="-32"/>
          <w:sz w:val="20"/>
          <w:szCs w:val="20"/>
        </w:rPr>
        <w:t xml:space="preserve"> </w:t>
      </w:r>
      <w:r>
        <w:rPr>
          <w:rFonts w:ascii="宋体" w:hAnsi="宋体" w:eastAsia="宋体" w:cs="宋体"/>
          <w:spacing w:val="9"/>
          <w:sz w:val="20"/>
          <w:szCs w:val="20"/>
        </w:rPr>
        <w:t>小时的；</w:t>
      </w:r>
    </w:p>
    <w:p w14:paraId="223F036D">
      <w:pPr>
        <w:spacing w:before="127" w:line="228" w:lineRule="auto"/>
        <w:ind w:left="430"/>
        <w:rPr>
          <w:rFonts w:ascii="宋体" w:hAnsi="宋体" w:eastAsia="宋体" w:cs="宋体"/>
          <w:sz w:val="20"/>
          <w:szCs w:val="20"/>
        </w:rPr>
      </w:pPr>
      <w:r>
        <w:rPr>
          <w:rFonts w:ascii="宋体" w:hAnsi="宋体" w:eastAsia="宋体" w:cs="宋体"/>
          <w:spacing w:val="8"/>
          <w:sz w:val="20"/>
          <w:szCs w:val="20"/>
        </w:rPr>
        <w:t>（10）因发包人要求导致合同施工条件发生重大改变的；</w:t>
      </w:r>
    </w:p>
    <w:p w14:paraId="0CA3AD71">
      <w:pPr>
        <w:spacing w:before="128" w:line="227" w:lineRule="auto"/>
        <w:ind w:left="430"/>
        <w:rPr>
          <w:rFonts w:ascii="宋体" w:hAnsi="宋体" w:eastAsia="宋体" w:cs="宋体"/>
          <w:sz w:val="20"/>
          <w:szCs w:val="20"/>
        </w:rPr>
      </w:pPr>
      <w:r>
        <w:rPr>
          <w:rFonts w:ascii="宋体" w:hAnsi="宋体" w:eastAsia="宋体" w:cs="宋体"/>
          <w:spacing w:val="8"/>
          <w:sz w:val="20"/>
          <w:szCs w:val="20"/>
        </w:rPr>
        <w:t>（11）发包人未按合同约定提供甲供材影响施工的；</w:t>
      </w:r>
    </w:p>
    <w:p w14:paraId="74F9A81C">
      <w:pPr>
        <w:spacing w:line="227" w:lineRule="auto"/>
        <w:rPr>
          <w:rFonts w:ascii="宋体" w:hAnsi="宋体" w:eastAsia="宋体" w:cs="宋体"/>
          <w:sz w:val="20"/>
          <w:szCs w:val="20"/>
        </w:rPr>
        <w:sectPr>
          <w:footerReference r:id="rId357" w:type="default"/>
          <w:pgSz w:w="11906" w:h="16839"/>
          <w:pgMar w:top="400" w:right="1480" w:bottom="1446" w:left="1538" w:header="0" w:footer="1284" w:gutter="0"/>
          <w:cols w:space="720" w:num="1"/>
        </w:sectPr>
      </w:pPr>
    </w:p>
    <w:p w14:paraId="3FAF99C3">
      <w:pPr>
        <w:spacing w:line="246" w:lineRule="auto"/>
        <w:rPr>
          <w:rFonts w:ascii="Arial"/>
          <w:sz w:val="21"/>
        </w:rPr>
      </w:pPr>
    </w:p>
    <w:p w14:paraId="341F3D10">
      <w:pPr>
        <w:spacing w:line="246" w:lineRule="auto"/>
        <w:rPr>
          <w:rFonts w:ascii="Arial"/>
          <w:sz w:val="21"/>
        </w:rPr>
      </w:pPr>
    </w:p>
    <w:p w14:paraId="6BB7640D">
      <w:pPr>
        <w:spacing w:line="246" w:lineRule="auto"/>
        <w:rPr>
          <w:rFonts w:ascii="Arial"/>
          <w:sz w:val="21"/>
        </w:rPr>
      </w:pPr>
    </w:p>
    <w:p w14:paraId="7D9D948E">
      <w:pPr>
        <w:spacing w:line="246" w:lineRule="auto"/>
        <w:rPr>
          <w:rFonts w:ascii="Arial"/>
          <w:sz w:val="21"/>
        </w:rPr>
      </w:pPr>
    </w:p>
    <w:p w14:paraId="01EC8A30">
      <w:pPr>
        <w:spacing w:line="247" w:lineRule="auto"/>
        <w:rPr>
          <w:rFonts w:ascii="Arial"/>
          <w:sz w:val="21"/>
        </w:rPr>
      </w:pPr>
    </w:p>
    <w:p w14:paraId="5EF87EDA">
      <w:pPr>
        <w:spacing w:line="247" w:lineRule="auto"/>
        <w:rPr>
          <w:rFonts w:ascii="Arial"/>
          <w:sz w:val="21"/>
        </w:rPr>
      </w:pPr>
    </w:p>
    <w:p w14:paraId="4C17BA96">
      <w:pPr>
        <w:spacing w:before="65" w:line="228" w:lineRule="auto"/>
        <w:ind w:left="430"/>
        <w:rPr>
          <w:rFonts w:ascii="宋体" w:hAnsi="宋体" w:eastAsia="宋体" w:cs="宋体"/>
          <w:sz w:val="20"/>
          <w:szCs w:val="20"/>
        </w:rPr>
      </w:pPr>
      <w:r>
        <w:rPr>
          <w:rFonts w:ascii="宋体" w:hAnsi="宋体" w:eastAsia="宋体" w:cs="宋体"/>
          <w:spacing w:val="7"/>
          <w:sz w:val="20"/>
          <w:szCs w:val="20"/>
        </w:rPr>
        <w:t>（12）专用合同条款中约定的其他情形。</w:t>
      </w:r>
    </w:p>
    <w:p w14:paraId="33208A91">
      <w:pPr>
        <w:spacing w:before="126" w:line="346" w:lineRule="auto"/>
        <w:ind w:left="2" w:right="63" w:firstLine="434"/>
        <w:rPr>
          <w:rFonts w:ascii="宋体" w:hAnsi="宋体" w:eastAsia="宋体" w:cs="宋体"/>
          <w:sz w:val="20"/>
          <w:szCs w:val="20"/>
        </w:rPr>
      </w:pPr>
      <w:r>
        <w:rPr>
          <w:rFonts w:ascii="宋体" w:hAnsi="宋体" w:eastAsia="宋体" w:cs="宋体"/>
          <w:spacing w:val="10"/>
          <w:sz w:val="20"/>
          <w:szCs w:val="20"/>
        </w:rPr>
        <w:t>因发包人原因未按计划开工日期开工的，发包人应按实际开工日期顺延竣工日期</w:t>
      </w:r>
      <w:r>
        <w:rPr>
          <w:rFonts w:ascii="宋体" w:hAnsi="宋体" w:eastAsia="宋体" w:cs="宋体"/>
          <w:spacing w:val="9"/>
          <w:sz w:val="20"/>
          <w:szCs w:val="20"/>
        </w:rPr>
        <w:t>，确保实际</w:t>
      </w:r>
      <w:r>
        <w:rPr>
          <w:rFonts w:ascii="宋体" w:hAnsi="宋体" w:eastAsia="宋体" w:cs="宋体"/>
          <w:spacing w:val="10"/>
          <w:sz w:val="20"/>
          <w:szCs w:val="20"/>
        </w:rPr>
        <w:t>工期不低于合同约定的工期总日历天数。因发包人原因导致工期延误需要修订施工进度计划的，</w:t>
      </w:r>
      <w:r>
        <w:rPr>
          <w:rFonts w:ascii="宋体" w:hAnsi="宋体" w:eastAsia="宋体" w:cs="宋体"/>
          <w:spacing w:val="6"/>
          <w:sz w:val="20"/>
          <w:szCs w:val="20"/>
        </w:rPr>
        <w:t>按照第</w:t>
      </w:r>
      <w:r>
        <w:rPr>
          <w:rFonts w:ascii="宋体" w:hAnsi="宋体" w:eastAsia="宋体" w:cs="宋体"/>
          <w:spacing w:val="-17"/>
          <w:sz w:val="20"/>
          <w:szCs w:val="20"/>
        </w:rPr>
        <w:t xml:space="preserve"> </w:t>
      </w:r>
      <w:r>
        <w:rPr>
          <w:rFonts w:ascii="宋体" w:hAnsi="宋体" w:eastAsia="宋体" w:cs="宋体"/>
          <w:spacing w:val="6"/>
          <w:sz w:val="20"/>
          <w:szCs w:val="20"/>
        </w:rPr>
        <w:t>7.2.2</w:t>
      </w:r>
      <w:r>
        <w:rPr>
          <w:rFonts w:ascii="宋体" w:hAnsi="宋体" w:eastAsia="宋体" w:cs="宋体"/>
          <w:spacing w:val="-35"/>
          <w:sz w:val="20"/>
          <w:szCs w:val="20"/>
        </w:rPr>
        <w:t xml:space="preserve"> </w:t>
      </w:r>
      <w:r>
        <w:rPr>
          <w:rFonts w:ascii="宋体" w:hAnsi="宋体" w:eastAsia="宋体" w:cs="宋体"/>
          <w:spacing w:val="6"/>
          <w:sz w:val="20"/>
          <w:szCs w:val="20"/>
        </w:rPr>
        <w:t>项〔施工进度计划的修订〕执行。</w:t>
      </w:r>
    </w:p>
    <w:p w14:paraId="07D4035A">
      <w:pPr>
        <w:spacing w:line="227" w:lineRule="auto"/>
        <w:ind w:left="425"/>
        <w:rPr>
          <w:rFonts w:ascii="宋体" w:hAnsi="宋体" w:eastAsia="宋体" w:cs="宋体"/>
          <w:sz w:val="20"/>
          <w:szCs w:val="20"/>
        </w:rPr>
      </w:pPr>
      <w:r>
        <w:rPr>
          <w:rFonts w:ascii="宋体" w:hAnsi="宋体" w:eastAsia="宋体" w:cs="宋体"/>
          <w:b/>
          <w:bCs/>
          <w:spacing w:val="6"/>
          <w:sz w:val="20"/>
          <w:szCs w:val="20"/>
        </w:rPr>
        <w:t>7.5.2</w:t>
      </w:r>
      <w:r>
        <w:rPr>
          <w:rFonts w:ascii="宋体" w:hAnsi="宋体" w:eastAsia="宋体" w:cs="宋体"/>
          <w:spacing w:val="6"/>
          <w:sz w:val="20"/>
          <w:szCs w:val="20"/>
        </w:rPr>
        <w:t xml:space="preserve"> </w:t>
      </w:r>
      <w:r>
        <w:rPr>
          <w:rFonts w:ascii="宋体" w:hAnsi="宋体" w:eastAsia="宋体" w:cs="宋体"/>
          <w:b/>
          <w:bCs/>
          <w:spacing w:val="6"/>
          <w:sz w:val="20"/>
          <w:szCs w:val="20"/>
        </w:rPr>
        <w:t>因承包人原因导致工期延误</w:t>
      </w:r>
    </w:p>
    <w:p w14:paraId="6FADB236">
      <w:pPr>
        <w:spacing w:before="126" w:line="346" w:lineRule="auto"/>
        <w:ind w:left="3" w:right="63" w:firstLine="433"/>
        <w:jc w:val="both"/>
        <w:rPr>
          <w:rFonts w:ascii="宋体" w:hAnsi="宋体" w:eastAsia="宋体" w:cs="宋体"/>
          <w:sz w:val="20"/>
          <w:szCs w:val="20"/>
        </w:rPr>
      </w:pPr>
      <w:r>
        <w:rPr>
          <w:rFonts w:ascii="宋体" w:hAnsi="宋体" w:eastAsia="宋体" w:cs="宋体"/>
          <w:spacing w:val="10"/>
          <w:sz w:val="20"/>
          <w:szCs w:val="20"/>
        </w:rPr>
        <w:t>因承包人原因造成工期延误的，可以在专用合同条款中约定逾期竣工违约金的计</w:t>
      </w:r>
      <w:r>
        <w:rPr>
          <w:rFonts w:ascii="宋体" w:hAnsi="宋体" w:eastAsia="宋体" w:cs="宋体"/>
          <w:spacing w:val="9"/>
          <w:sz w:val="20"/>
          <w:szCs w:val="20"/>
        </w:rPr>
        <w:t>算方法和逾</w:t>
      </w:r>
      <w:r>
        <w:rPr>
          <w:rFonts w:ascii="宋体" w:hAnsi="宋体" w:eastAsia="宋体" w:cs="宋体"/>
          <w:spacing w:val="10"/>
          <w:sz w:val="20"/>
          <w:szCs w:val="20"/>
        </w:rPr>
        <w:t>期竣工违约金的上限。承包人支付逾期竣工违约金后，不免除承包人继续完成工程及修补缺陷的</w:t>
      </w:r>
      <w:r>
        <w:rPr>
          <w:rFonts w:ascii="宋体" w:hAnsi="宋体" w:eastAsia="宋体" w:cs="宋体"/>
          <w:spacing w:val="2"/>
          <w:sz w:val="20"/>
          <w:szCs w:val="20"/>
        </w:rPr>
        <w:t>义务。</w:t>
      </w:r>
    </w:p>
    <w:p w14:paraId="3B6F8835">
      <w:pPr>
        <w:spacing w:line="227" w:lineRule="auto"/>
        <w:ind w:left="425"/>
        <w:rPr>
          <w:rFonts w:ascii="宋体" w:hAnsi="宋体" w:eastAsia="宋体" w:cs="宋体"/>
          <w:sz w:val="20"/>
          <w:szCs w:val="20"/>
        </w:rPr>
      </w:pPr>
      <w:r>
        <w:rPr>
          <w:rFonts w:ascii="宋体" w:hAnsi="宋体" w:eastAsia="宋体" w:cs="宋体"/>
          <w:b/>
          <w:bCs/>
          <w:spacing w:val="5"/>
          <w:sz w:val="20"/>
          <w:szCs w:val="20"/>
        </w:rPr>
        <w:t>7.6</w:t>
      </w:r>
      <w:r>
        <w:rPr>
          <w:rFonts w:ascii="宋体" w:hAnsi="宋体" w:eastAsia="宋体" w:cs="宋体"/>
          <w:spacing w:val="5"/>
          <w:sz w:val="20"/>
          <w:szCs w:val="20"/>
        </w:rPr>
        <w:t xml:space="preserve"> </w:t>
      </w:r>
      <w:r>
        <w:rPr>
          <w:rFonts w:ascii="宋体" w:hAnsi="宋体" w:eastAsia="宋体" w:cs="宋体"/>
          <w:b/>
          <w:bCs/>
          <w:spacing w:val="5"/>
          <w:sz w:val="20"/>
          <w:szCs w:val="20"/>
        </w:rPr>
        <w:t>不利物质条件</w:t>
      </w:r>
    </w:p>
    <w:p w14:paraId="0BFD8EF9">
      <w:pPr>
        <w:spacing w:before="127" w:line="346" w:lineRule="auto"/>
        <w:ind w:right="63" w:firstLine="423"/>
        <w:jc w:val="both"/>
        <w:rPr>
          <w:rFonts w:ascii="宋体" w:hAnsi="宋体" w:eastAsia="宋体" w:cs="宋体"/>
          <w:sz w:val="20"/>
          <w:szCs w:val="20"/>
        </w:rPr>
      </w:pPr>
      <w:r>
        <w:rPr>
          <w:rFonts w:ascii="宋体" w:hAnsi="宋体" w:eastAsia="宋体" w:cs="宋体"/>
          <w:spacing w:val="10"/>
          <w:sz w:val="20"/>
          <w:szCs w:val="20"/>
        </w:rPr>
        <w:t>不利物质条件是指有经验的承包人在施工现场遇到的不可预见的自然物质条件、非自然的物质障碍和污染物，包括地表以下物质条件和水文条件以及专用合同条款约定的其他情形，但不包</w:t>
      </w:r>
      <w:r>
        <w:rPr>
          <w:rFonts w:ascii="宋体" w:hAnsi="宋体" w:eastAsia="宋体" w:cs="宋体"/>
          <w:spacing w:val="6"/>
          <w:sz w:val="20"/>
          <w:szCs w:val="20"/>
        </w:rPr>
        <w:t>括气候条件。</w:t>
      </w:r>
    </w:p>
    <w:p w14:paraId="7581C773">
      <w:pPr>
        <w:spacing w:before="2" w:line="345" w:lineRule="auto"/>
        <w:ind w:right="63" w:firstLine="420"/>
        <w:jc w:val="both"/>
        <w:rPr>
          <w:rFonts w:ascii="宋体" w:hAnsi="宋体" w:eastAsia="宋体" w:cs="宋体"/>
          <w:sz w:val="20"/>
          <w:szCs w:val="20"/>
        </w:rPr>
      </w:pPr>
      <w:r>
        <w:rPr>
          <w:rFonts w:ascii="宋体" w:hAnsi="宋体" w:eastAsia="宋体" w:cs="宋体"/>
          <w:spacing w:val="10"/>
          <w:sz w:val="20"/>
          <w:szCs w:val="20"/>
        </w:rPr>
        <w:t>承包人遇到不利物质条件时，应采取克服不利物质条件的合理措施继续施工，并及时通知发包人和监理人。通知应载明不利物质条件的内容以及承包人认为不可预见的理由。监理人经发包</w:t>
      </w:r>
      <w:r>
        <w:rPr>
          <w:rFonts w:ascii="宋体" w:hAnsi="宋体" w:eastAsia="宋体" w:cs="宋体"/>
          <w:spacing w:val="7"/>
          <w:sz w:val="20"/>
          <w:szCs w:val="20"/>
        </w:rPr>
        <w:t>人同意后应当及时发出指示，指示构成变更的，按第</w:t>
      </w:r>
      <w:r>
        <w:rPr>
          <w:rFonts w:ascii="宋体" w:hAnsi="宋体" w:eastAsia="宋体" w:cs="宋体"/>
          <w:spacing w:val="-22"/>
          <w:sz w:val="20"/>
          <w:szCs w:val="20"/>
        </w:rPr>
        <w:t xml:space="preserve"> </w:t>
      </w:r>
      <w:r>
        <w:rPr>
          <w:rFonts w:ascii="宋体" w:hAnsi="宋体" w:eastAsia="宋体" w:cs="宋体"/>
          <w:spacing w:val="7"/>
          <w:sz w:val="20"/>
          <w:szCs w:val="20"/>
        </w:rPr>
        <w:t>10</w:t>
      </w:r>
      <w:r>
        <w:rPr>
          <w:rFonts w:ascii="宋体" w:hAnsi="宋体" w:eastAsia="宋体" w:cs="宋体"/>
          <w:spacing w:val="-38"/>
          <w:sz w:val="20"/>
          <w:szCs w:val="20"/>
        </w:rPr>
        <w:t xml:space="preserve"> </w:t>
      </w:r>
      <w:r>
        <w:rPr>
          <w:rFonts w:ascii="宋体" w:hAnsi="宋体" w:eastAsia="宋体" w:cs="宋体"/>
          <w:spacing w:val="7"/>
          <w:sz w:val="20"/>
          <w:szCs w:val="20"/>
        </w:rPr>
        <w:t>条〔变更〕约定</w:t>
      </w:r>
      <w:r>
        <w:rPr>
          <w:rFonts w:ascii="宋体" w:hAnsi="宋体" w:eastAsia="宋体" w:cs="宋体"/>
          <w:spacing w:val="6"/>
          <w:sz w:val="20"/>
          <w:szCs w:val="20"/>
        </w:rPr>
        <w:t>执行。承包人因采取合理</w:t>
      </w:r>
      <w:r>
        <w:rPr>
          <w:rFonts w:ascii="宋体" w:hAnsi="宋体" w:eastAsia="宋体" w:cs="宋体"/>
          <w:spacing w:val="9"/>
          <w:sz w:val="20"/>
          <w:szCs w:val="20"/>
        </w:rPr>
        <w:t>措施而增加的费用和（或）延误的工期由发包人承担。</w:t>
      </w:r>
    </w:p>
    <w:p w14:paraId="53A8FBB7">
      <w:pPr>
        <w:spacing w:before="1" w:line="227" w:lineRule="auto"/>
        <w:ind w:left="425"/>
        <w:rPr>
          <w:rFonts w:ascii="宋体" w:hAnsi="宋体" w:eastAsia="宋体" w:cs="宋体"/>
          <w:sz w:val="20"/>
          <w:szCs w:val="20"/>
        </w:rPr>
      </w:pPr>
      <w:r>
        <w:rPr>
          <w:rFonts w:ascii="宋体" w:hAnsi="宋体" w:eastAsia="宋体" w:cs="宋体"/>
          <w:b/>
          <w:bCs/>
          <w:spacing w:val="6"/>
          <w:sz w:val="20"/>
          <w:szCs w:val="20"/>
        </w:rPr>
        <w:t>7.7</w:t>
      </w:r>
      <w:r>
        <w:rPr>
          <w:rFonts w:ascii="宋体" w:hAnsi="宋体" w:eastAsia="宋体" w:cs="宋体"/>
          <w:spacing w:val="6"/>
          <w:sz w:val="20"/>
          <w:szCs w:val="20"/>
        </w:rPr>
        <w:t xml:space="preserve"> </w:t>
      </w:r>
      <w:r>
        <w:rPr>
          <w:rFonts w:ascii="宋体" w:hAnsi="宋体" w:eastAsia="宋体" w:cs="宋体"/>
          <w:b/>
          <w:bCs/>
          <w:spacing w:val="6"/>
          <w:sz w:val="20"/>
          <w:szCs w:val="20"/>
        </w:rPr>
        <w:t>异常恶劣的气候条件</w:t>
      </w:r>
    </w:p>
    <w:p w14:paraId="256EF4D0">
      <w:pPr>
        <w:spacing w:before="126" w:line="346" w:lineRule="auto"/>
        <w:ind w:right="63" w:firstLine="423"/>
        <w:jc w:val="both"/>
        <w:rPr>
          <w:rFonts w:ascii="宋体" w:hAnsi="宋体" w:eastAsia="宋体" w:cs="宋体"/>
          <w:sz w:val="20"/>
          <w:szCs w:val="20"/>
        </w:rPr>
      </w:pPr>
      <w:r>
        <w:rPr>
          <w:rFonts w:ascii="宋体" w:hAnsi="宋体" w:eastAsia="宋体" w:cs="宋体"/>
          <w:spacing w:val="10"/>
          <w:sz w:val="20"/>
          <w:szCs w:val="20"/>
        </w:rPr>
        <w:t>异常恶劣的气候条件是指在施工过程中遇到的，有经验的承包人在签订合同时不可预见的，对合同履行造成实质性影响的，但尚未构成不可抗力事件的恶劣气候条件。合同当事人可以在专</w:t>
      </w:r>
      <w:r>
        <w:rPr>
          <w:rFonts w:ascii="宋体" w:hAnsi="宋体" w:eastAsia="宋体" w:cs="宋体"/>
          <w:spacing w:val="9"/>
          <w:sz w:val="20"/>
          <w:szCs w:val="20"/>
        </w:rPr>
        <w:t>用合同条款中约定异常恶劣的气候条件的具体情形。</w:t>
      </w:r>
    </w:p>
    <w:p w14:paraId="7D91DD2F">
      <w:pPr>
        <w:spacing w:before="2" w:line="345" w:lineRule="auto"/>
        <w:ind w:left="1" w:right="65" w:firstLine="419"/>
        <w:rPr>
          <w:rFonts w:ascii="宋体" w:hAnsi="宋体" w:eastAsia="宋体" w:cs="宋体"/>
          <w:sz w:val="20"/>
          <w:szCs w:val="20"/>
        </w:rPr>
      </w:pPr>
      <w:r>
        <w:rPr>
          <w:rFonts w:ascii="宋体" w:hAnsi="宋体" w:eastAsia="宋体" w:cs="宋体"/>
          <w:spacing w:val="10"/>
          <w:sz w:val="20"/>
          <w:szCs w:val="20"/>
        </w:rPr>
        <w:t>承包人应采取克服异常恶劣的气候条件的合理措施继续施工，并及时通知发包人和监理人。</w:t>
      </w:r>
      <w:r>
        <w:rPr>
          <w:rFonts w:ascii="宋体" w:hAnsi="宋体" w:eastAsia="宋体" w:cs="宋体"/>
          <w:spacing w:val="7"/>
          <w:sz w:val="20"/>
          <w:szCs w:val="20"/>
        </w:rPr>
        <w:t>监理人经发包人同意后应当及时发出指示，指示构成变更的，按第</w:t>
      </w:r>
      <w:r>
        <w:rPr>
          <w:rFonts w:ascii="宋体" w:hAnsi="宋体" w:eastAsia="宋体" w:cs="宋体"/>
          <w:spacing w:val="-21"/>
          <w:sz w:val="20"/>
          <w:szCs w:val="20"/>
        </w:rPr>
        <w:t xml:space="preserve"> </w:t>
      </w:r>
      <w:r>
        <w:rPr>
          <w:rFonts w:ascii="宋体" w:hAnsi="宋体" w:eastAsia="宋体" w:cs="宋体"/>
          <w:spacing w:val="7"/>
          <w:sz w:val="20"/>
          <w:szCs w:val="20"/>
        </w:rPr>
        <w:t>10</w:t>
      </w:r>
      <w:r>
        <w:rPr>
          <w:rFonts w:ascii="宋体" w:hAnsi="宋体" w:eastAsia="宋体" w:cs="宋体"/>
          <w:spacing w:val="-39"/>
          <w:sz w:val="20"/>
          <w:szCs w:val="20"/>
        </w:rPr>
        <w:t xml:space="preserve"> </w:t>
      </w:r>
      <w:r>
        <w:rPr>
          <w:rFonts w:ascii="宋体" w:hAnsi="宋体" w:eastAsia="宋体" w:cs="宋体"/>
          <w:spacing w:val="6"/>
          <w:sz w:val="20"/>
          <w:szCs w:val="20"/>
        </w:rPr>
        <w:t>条〔变更〕约定办理。承包</w:t>
      </w:r>
      <w:r>
        <w:rPr>
          <w:rFonts w:ascii="宋体" w:hAnsi="宋体" w:eastAsia="宋体" w:cs="宋体"/>
          <w:spacing w:val="9"/>
          <w:sz w:val="20"/>
          <w:szCs w:val="20"/>
        </w:rPr>
        <w:t>人因采取合理措施而增加的费用和（或）延误的工期由发包人承担。</w:t>
      </w:r>
    </w:p>
    <w:p w14:paraId="01FA539B">
      <w:pPr>
        <w:spacing w:before="1" w:line="228" w:lineRule="auto"/>
        <w:ind w:left="425"/>
        <w:rPr>
          <w:rFonts w:ascii="宋体" w:hAnsi="宋体" w:eastAsia="宋体" w:cs="宋体"/>
          <w:sz w:val="20"/>
          <w:szCs w:val="20"/>
        </w:rPr>
      </w:pPr>
      <w:r>
        <w:rPr>
          <w:rFonts w:ascii="宋体" w:hAnsi="宋体" w:eastAsia="宋体" w:cs="宋体"/>
          <w:b/>
          <w:bCs/>
          <w:spacing w:val="2"/>
          <w:sz w:val="20"/>
          <w:szCs w:val="20"/>
        </w:rPr>
        <w:t>7.8</w:t>
      </w:r>
      <w:r>
        <w:rPr>
          <w:rFonts w:ascii="宋体" w:hAnsi="宋体" w:eastAsia="宋体" w:cs="宋体"/>
          <w:spacing w:val="22"/>
          <w:sz w:val="20"/>
          <w:szCs w:val="20"/>
        </w:rPr>
        <w:t xml:space="preserve"> </w:t>
      </w:r>
      <w:r>
        <w:rPr>
          <w:rFonts w:ascii="宋体" w:hAnsi="宋体" w:eastAsia="宋体" w:cs="宋体"/>
          <w:b/>
          <w:bCs/>
          <w:spacing w:val="2"/>
          <w:sz w:val="20"/>
          <w:szCs w:val="20"/>
        </w:rPr>
        <w:t>暂停施工</w:t>
      </w:r>
    </w:p>
    <w:p w14:paraId="6237F6F5">
      <w:pPr>
        <w:spacing w:before="127" w:line="228" w:lineRule="auto"/>
        <w:ind w:left="425"/>
        <w:rPr>
          <w:rFonts w:ascii="宋体" w:hAnsi="宋体" w:eastAsia="宋体" w:cs="宋体"/>
          <w:sz w:val="20"/>
          <w:szCs w:val="20"/>
        </w:rPr>
      </w:pPr>
      <w:r>
        <w:rPr>
          <w:rFonts w:ascii="宋体" w:hAnsi="宋体" w:eastAsia="宋体" w:cs="宋体"/>
          <w:b/>
          <w:bCs/>
          <w:spacing w:val="6"/>
          <w:sz w:val="20"/>
          <w:szCs w:val="20"/>
        </w:rPr>
        <w:t>7.8.1</w:t>
      </w:r>
      <w:r>
        <w:rPr>
          <w:rFonts w:ascii="宋体" w:hAnsi="宋体" w:eastAsia="宋体" w:cs="宋体"/>
          <w:spacing w:val="6"/>
          <w:sz w:val="20"/>
          <w:szCs w:val="20"/>
        </w:rPr>
        <w:t xml:space="preserve"> </w:t>
      </w:r>
      <w:r>
        <w:rPr>
          <w:rFonts w:ascii="宋体" w:hAnsi="宋体" w:eastAsia="宋体" w:cs="宋体"/>
          <w:b/>
          <w:bCs/>
          <w:spacing w:val="6"/>
          <w:sz w:val="20"/>
          <w:szCs w:val="20"/>
        </w:rPr>
        <w:t>发包人原因引起的暂停施工</w:t>
      </w:r>
    </w:p>
    <w:p w14:paraId="3DC996BB">
      <w:pPr>
        <w:spacing w:before="126" w:line="346" w:lineRule="auto"/>
        <w:ind w:left="7" w:right="63" w:firstLine="429"/>
        <w:rPr>
          <w:rFonts w:ascii="宋体" w:hAnsi="宋体" w:eastAsia="宋体" w:cs="宋体"/>
          <w:sz w:val="20"/>
          <w:szCs w:val="20"/>
        </w:rPr>
      </w:pPr>
      <w:r>
        <w:rPr>
          <w:rFonts w:ascii="宋体" w:hAnsi="宋体" w:eastAsia="宋体" w:cs="宋体"/>
          <w:spacing w:val="10"/>
          <w:sz w:val="20"/>
          <w:szCs w:val="20"/>
        </w:rPr>
        <w:t>因发包人原因引起暂停施工的，监理人经发包人同意后，应及时下达暂停施工指</w:t>
      </w:r>
      <w:r>
        <w:rPr>
          <w:rFonts w:ascii="宋体" w:hAnsi="宋体" w:eastAsia="宋体" w:cs="宋体"/>
          <w:spacing w:val="9"/>
          <w:sz w:val="20"/>
          <w:szCs w:val="20"/>
        </w:rPr>
        <w:t>示。情况紧</w:t>
      </w:r>
      <w:r>
        <w:rPr>
          <w:rFonts w:ascii="宋体" w:hAnsi="宋体" w:eastAsia="宋体" w:cs="宋体"/>
          <w:spacing w:val="8"/>
          <w:sz w:val="20"/>
          <w:szCs w:val="20"/>
        </w:rPr>
        <w:t>急且监理人未及时下达暂停施工指示的，按照第</w:t>
      </w:r>
      <w:r>
        <w:rPr>
          <w:rFonts w:ascii="宋体" w:hAnsi="宋体" w:eastAsia="宋体" w:cs="宋体"/>
          <w:spacing w:val="-29"/>
          <w:sz w:val="20"/>
          <w:szCs w:val="20"/>
        </w:rPr>
        <w:t xml:space="preserve"> </w:t>
      </w:r>
      <w:r>
        <w:rPr>
          <w:rFonts w:ascii="宋体" w:hAnsi="宋体" w:eastAsia="宋体" w:cs="宋体"/>
          <w:spacing w:val="8"/>
          <w:sz w:val="20"/>
          <w:szCs w:val="20"/>
        </w:rPr>
        <w:t>7.8.4</w:t>
      </w:r>
      <w:r>
        <w:rPr>
          <w:rFonts w:ascii="宋体" w:hAnsi="宋体" w:eastAsia="宋体" w:cs="宋体"/>
          <w:spacing w:val="-34"/>
          <w:sz w:val="20"/>
          <w:szCs w:val="20"/>
        </w:rPr>
        <w:t xml:space="preserve"> </w:t>
      </w:r>
      <w:r>
        <w:rPr>
          <w:rFonts w:ascii="宋体" w:hAnsi="宋体" w:eastAsia="宋体" w:cs="宋体"/>
          <w:spacing w:val="8"/>
          <w:sz w:val="20"/>
          <w:szCs w:val="20"/>
        </w:rPr>
        <w:t>项〔紧急情况下的暂停施工〕执行。</w:t>
      </w:r>
    </w:p>
    <w:p w14:paraId="4800EA56">
      <w:pPr>
        <w:spacing w:before="1" w:line="345" w:lineRule="auto"/>
        <w:ind w:right="63" w:firstLine="436"/>
        <w:rPr>
          <w:rFonts w:ascii="宋体" w:hAnsi="宋体" w:eastAsia="宋体" w:cs="宋体"/>
          <w:sz w:val="20"/>
          <w:szCs w:val="20"/>
        </w:rPr>
      </w:pPr>
      <w:r>
        <w:rPr>
          <w:rFonts w:ascii="宋体" w:hAnsi="宋体" w:eastAsia="宋体" w:cs="宋体"/>
          <w:spacing w:val="10"/>
          <w:sz w:val="20"/>
          <w:szCs w:val="20"/>
        </w:rPr>
        <w:t>因发包人原因引起的暂停施工，发包人应承担由此增加的费用和（或）延误的工</w:t>
      </w:r>
      <w:r>
        <w:rPr>
          <w:rFonts w:ascii="宋体" w:hAnsi="宋体" w:eastAsia="宋体" w:cs="宋体"/>
          <w:spacing w:val="9"/>
          <w:sz w:val="20"/>
          <w:szCs w:val="20"/>
        </w:rPr>
        <w:t>期，并支付</w:t>
      </w:r>
      <w:r>
        <w:rPr>
          <w:rFonts w:ascii="宋体" w:hAnsi="宋体" w:eastAsia="宋体" w:cs="宋体"/>
          <w:spacing w:val="7"/>
          <w:sz w:val="20"/>
          <w:szCs w:val="20"/>
        </w:rPr>
        <w:t>承包人合理的利润。</w:t>
      </w:r>
    </w:p>
    <w:p w14:paraId="4981146E">
      <w:pPr>
        <w:spacing w:before="1" w:line="227" w:lineRule="auto"/>
        <w:ind w:left="425"/>
        <w:rPr>
          <w:rFonts w:ascii="宋体" w:hAnsi="宋体" w:eastAsia="宋体" w:cs="宋体"/>
          <w:sz w:val="20"/>
          <w:szCs w:val="20"/>
        </w:rPr>
      </w:pPr>
      <w:r>
        <w:rPr>
          <w:rFonts w:ascii="宋体" w:hAnsi="宋体" w:eastAsia="宋体" w:cs="宋体"/>
          <w:b/>
          <w:bCs/>
          <w:spacing w:val="6"/>
          <w:sz w:val="20"/>
          <w:szCs w:val="20"/>
        </w:rPr>
        <w:t>7.8.2</w:t>
      </w:r>
      <w:r>
        <w:rPr>
          <w:rFonts w:ascii="宋体" w:hAnsi="宋体" w:eastAsia="宋体" w:cs="宋体"/>
          <w:spacing w:val="6"/>
          <w:sz w:val="20"/>
          <w:szCs w:val="20"/>
        </w:rPr>
        <w:t xml:space="preserve"> </w:t>
      </w:r>
      <w:r>
        <w:rPr>
          <w:rFonts w:ascii="宋体" w:hAnsi="宋体" w:eastAsia="宋体" w:cs="宋体"/>
          <w:b/>
          <w:bCs/>
          <w:spacing w:val="6"/>
          <w:sz w:val="20"/>
          <w:szCs w:val="20"/>
        </w:rPr>
        <w:t>承包人原因引起的暂停施工</w:t>
      </w:r>
    </w:p>
    <w:p w14:paraId="6C01EFA9">
      <w:pPr>
        <w:spacing w:before="127" w:line="346" w:lineRule="auto"/>
        <w:ind w:left="2" w:firstLine="434"/>
        <w:jc w:val="both"/>
        <w:rPr>
          <w:rFonts w:ascii="宋体" w:hAnsi="宋体" w:eastAsia="宋体" w:cs="宋体"/>
          <w:sz w:val="20"/>
          <w:szCs w:val="20"/>
        </w:rPr>
      </w:pPr>
      <w:r>
        <w:rPr>
          <w:rFonts w:ascii="宋体" w:hAnsi="宋体" w:eastAsia="宋体" w:cs="宋体"/>
          <w:spacing w:val="10"/>
          <w:sz w:val="20"/>
          <w:szCs w:val="20"/>
        </w:rPr>
        <w:t>因承包人原因引起的暂停施工，承包人应承担由此增加的费用和（或）延误的工</w:t>
      </w:r>
      <w:r>
        <w:rPr>
          <w:rFonts w:ascii="宋体" w:hAnsi="宋体" w:eastAsia="宋体" w:cs="宋体"/>
          <w:spacing w:val="9"/>
          <w:sz w:val="20"/>
          <w:szCs w:val="20"/>
        </w:rPr>
        <w:t>期，且承包</w:t>
      </w:r>
      <w:r>
        <w:rPr>
          <w:rFonts w:ascii="宋体" w:hAnsi="宋体" w:eastAsia="宋体" w:cs="宋体"/>
          <w:spacing w:val="7"/>
          <w:sz w:val="20"/>
          <w:szCs w:val="20"/>
        </w:rPr>
        <w:t>人在收到监理人复工指示后</w:t>
      </w:r>
      <w:r>
        <w:rPr>
          <w:rFonts w:ascii="宋体" w:hAnsi="宋体" w:eastAsia="宋体" w:cs="宋体"/>
          <w:spacing w:val="-34"/>
          <w:sz w:val="20"/>
          <w:szCs w:val="20"/>
        </w:rPr>
        <w:t xml:space="preserve"> </w:t>
      </w:r>
      <w:r>
        <w:rPr>
          <w:rFonts w:ascii="宋体" w:hAnsi="宋体" w:eastAsia="宋体" w:cs="宋体"/>
          <w:spacing w:val="7"/>
          <w:sz w:val="20"/>
          <w:szCs w:val="20"/>
        </w:rPr>
        <w:t>84</w:t>
      </w:r>
      <w:r>
        <w:rPr>
          <w:rFonts w:ascii="宋体" w:hAnsi="宋体" w:eastAsia="宋体" w:cs="宋体"/>
          <w:spacing w:val="-36"/>
          <w:sz w:val="20"/>
          <w:szCs w:val="20"/>
        </w:rPr>
        <w:t xml:space="preserve"> </w:t>
      </w:r>
      <w:r>
        <w:rPr>
          <w:rFonts w:ascii="宋体" w:hAnsi="宋体" w:eastAsia="宋体" w:cs="宋体"/>
          <w:spacing w:val="7"/>
          <w:sz w:val="20"/>
          <w:szCs w:val="20"/>
        </w:rPr>
        <w:t>天内仍未复工的，视为第</w:t>
      </w:r>
      <w:r>
        <w:rPr>
          <w:rFonts w:ascii="宋体" w:hAnsi="宋体" w:eastAsia="宋体" w:cs="宋体"/>
          <w:spacing w:val="-24"/>
          <w:sz w:val="20"/>
          <w:szCs w:val="20"/>
        </w:rPr>
        <w:t xml:space="preserve"> </w:t>
      </w:r>
      <w:r>
        <w:rPr>
          <w:rFonts w:ascii="宋体" w:hAnsi="宋体" w:eastAsia="宋体" w:cs="宋体"/>
          <w:spacing w:val="7"/>
          <w:sz w:val="20"/>
          <w:szCs w:val="20"/>
        </w:rPr>
        <w:t>16.2.1</w:t>
      </w:r>
      <w:r>
        <w:rPr>
          <w:rFonts w:ascii="宋体" w:hAnsi="宋体" w:eastAsia="宋体" w:cs="宋体"/>
          <w:spacing w:val="-34"/>
          <w:sz w:val="20"/>
          <w:szCs w:val="20"/>
        </w:rPr>
        <w:t xml:space="preserve"> </w:t>
      </w:r>
      <w:r>
        <w:rPr>
          <w:rFonts w:ascii="宋体" w:hAnsi="宋体" w:eastAsia="宋体" w:cs="宋体"/>
          <w:spacing w:val="7"/>
          <w:sz w:val="20"/>
          <w:szCs w:val="20"/>
        </w:rPr>
        <w:t>项〔承包人违约的情形〕第（7）</w:t>
      </w:r>
      <w:r>
        <w:rPr>
          <w:rFonts w:ascii="宋体" w:hAnsi="宋体" w:eastAsia="宋体" w:cs="宋体"/>
          <w:spacing w:val="8"/>
          <w:sz w:val="20"/>
          <w:szCs w:val="20"/>
        </w:rPr>
        <w:t>目约定的承包人无法继续履行合同的情形。</w:t>
      </w:r>
    </w:p>
    <w:p w14:paraId="51DE4A81">
      <w:pPr>
        <w:spacing w:line="228" w:lineRule="auto"/>
        <w:ind w:left="425"/>
        <w:rPr>
          <w:rFonts w:ascii="宋体" w:hAnsi="宋体" w:eastAsia="宋体" w:cs="宋体"/>
          <w:sz w:val="20"/>
          <w:szCs w:val="20"/>
        </w:rPr>
      </w:pPr>
      <w:r>
        <w:rPr>
          <w:rFonts w:ascii="宋体" w:hAnsi="宋体" w:eastAsia="宋体" w:cs="宋体"/>
          <w:b/>
          <w:bCs/>
          <w:spacing w:val="4"/>
          <w:sz w:val="20"/>
          <w:szCs w:val="20"/>
        </w:rPr>
        <w:t>7.8.3</w:t>
      </w:r>
      <w:r>
        <w:rPr>
          <w:rFonts w:ascii="宋体" w:hAnsi="宋体" w:eastAsia="宋体" w:cs="宋体"/>
          <w:spacing w:val="4"/>
          <w:sz w:val="20"/>
          <w:szCs w:val="20"/>
        </w:rPr>
        <w:t xml:space="preserve"> </w:t>
      </w:r>
      <w:r>
        <w:rPr>
          <w:rFonts w:ascii="宋体" w:hAnsi="宋体" w:eastAsia="宋体" w:cs="宋体"/>
          <w:b/>
          <w:bCs/>
          <w:spacing w:val="4"/>
          <w:sz w:val="20"/>
          <w:szCs w:val="20"/>
        </w:rPr>
        <w:t>指示暂停施工</w:t>
      </w:r>
    </w:p>
    <w:p w14:paraId="1D22732E">
      <w:pPr>
        <w:spacing w:line="228" w:lineRule="auto"/>
        <w:rPr>
          <w:rFonts w:ascii="宋体" w:hAnsi="宋体" w:eastAsia="宋体" w:cs="宋体"/>
          <w:sz w:val="20"/>
          <w:szCs w:val="20"/>
        </w:rPr>
        <w:sectPr>
          <w:footerReference r:id="rId358" w:type="default"/>
          <w:pgSz w:w="11906" w:h="16839"/>
          <w:pgMar w:top="400" w:right="1469" w:bottom="1446" w:left="1538" w:header="0" w:footer="1284" w:gutter="0"/>
          <w:cols w:space="720" w:num="1"/>
        </w:sectPr>
      </w:pPr>
    </w:p>
    <w:p w14:paraId="7BD437F5">
      <w:pPr>
        <w:spacing w:line="246" w:lineRule="auto"/>
        <w:rPr>
          <w:rFonts w:ascii="Arial"/>
          <w:sz w:val="21"/>
        </w:rPr>
      </w:pPr>
    </w:p>
    <w:p w14:paraId="2DC02F99">
      <w:pPr>
        <w:spacing w:line="246" w:lineRule="auto"/>
        <w:rPr>
          <w:rFonts w:ascii="Arial"/>
          <w:sz w:val="21"/>
        </w:rPr>
      </w:pPr>
    </w:p>
    <w:p w14:paraId="60FDC858">
      <w:pPr>
        <w:spacing w:line="246" w:lineRule="auto"/>
        <w:rPr>
          <w:rFonts w:ascii="Arial"/>
          <w:sz w:val="21"/>
        </w:rPr>
      </w:pPr>
    </w:p>
    <w:p w14:paraId="151F0F02">
      <w:pPr>
        <w:spacing w:line="246" w:lineRule="auto"/>
        <w:rPr>
          <w:rFonts w:ascii="Arial"/>
          <w:sz w:val="21"/>
        </w:rPr>
      </w:pPr>
    </w:p>
    <w:p w14:paraId="046FB4C8">
      <w:pPr>
        <w:spacing w:line="246" w:lineRule="auto"/>
        <w:rPr>
          <w:rFonts w:ascii="Arial"/>
          <w:sz w:val="21"/>
        </w:rPr>
      </w:pPr>
    </w:p>
    <w:p w14:paraId="3D92D7ED">
      <w:pPr>
        <w:spacing w:line="247" w:lineRule="auto"/>
        <w:rPr>
          <w:rFonts w:ascii="Arial"/>
          <w:sz w:val="21"/>
        </w:rPr>
      </w:pPr>
    </w:p>
    <w:p w14:paraId="55C54566">
      <w:pPr>
        <w:spacing w:before="65" w:line="346" w:lineRule="auto"/>
        <w:ind w:left="3" w:right="71" w:firstLine="418"/>
        <w:rPr>
          <w:rFonts w:ascii="宋体" w:hAnsi="宋体" w:eastAsia="宋体" w:cs="宋体"/>
          <w:sz w:val="20"/>
          <w:szCs w:val="20"/>
        </w:rPr>
      </w:pPr>
      <w:r>
        <w:rPr>
          <w:rFonts w:ascii="宋体" w:hAnsi="宋体" w:eastAsia="宋体" w:cs="宋体"/>
          <w:spacing w:val="10"/>
          <w:sz w:val="20"/>
          <w:szCs w:val="20"/>
        </w:rPr>
        <w:t>监理人认为有必要时，并经发包人批准后，可向承包人作出暂停施工的指示，承包人应按监</w:t>
      </w:r>
      <w:r>
        <w:rPr>
          <w:rFonts w:ascii="宋体" w:hAnsi="宋体" w:eastAsia="宋体" w:cs="宋体"/>
          <w:spacing w:val="7"/>
          <w:sz w:val="20"/>
          <w:szCs w:val="20"/>
        </w:rPr>
        <w:t>理人指示暂停施工。</w:t>
      </w:r>
    </w:p>
    <w:p w14:paraId="6558F0C0">
      <w:pPr>
        <w:spacing w:line="227" w:lineRule="auto"/>
        <w:ind w:left="425"/>
        <w:rPr>
          <w:rFonts w:ascii="宋体" w:hAnsi="宋体" w:eastAsia="宋体" w:cs="宋体"/>
          <w:sz w:val="20"/>
          <w:szCs w:val="20"/>
        </w:rPr>
      </w:pPr>
      <w:r>
        <w:rPr>
          <w:rFonts w:ascii="宋体" w:hAnsi="宋体" w:eastAsia="宋体" w:cs="宋体"/>
          <w:b/>
          <w:bCs/>
          <w:spacing w:val="6"/>
          <w:sz w:val="20"/>
          <w:szCs w:val="20"/>
        </w:rPr>
        <w:t>7.8.4</w:t>
      </w:r>
      <w:r>
        <w:rPr>
          <w:rFonts w:ascii="宋体" w:hAnsi="宋体" w:eastAsia="宋体" w:cs="宋体"/>
          <w:spacing w:val="6"/>
          <w:sz w:val="20"/>
          <w:szCs w:val="20"/>
        </w:rPr>
        <w:t xml:space="preserve"> </w:t>
      </w:r>
      <w:r>
        <w:rPr>
          <w:rFonts w:ascii="宋体" w:hAnsi="宋体" w:eastAsia="宋体" w:cs="宋体"/>
          <w:b/>
          <w:bCs/>
          <w:spacing w:val="6"/>
          <w:sz w:val="20"/>
          <w:szCs w:val="20"/>
        </w:rPr>
        <w:t>紧急情况下的暂停施工</w:t>
      </w:r>
    </w:p>
    <w:p w14:paraId="59E6F22E">
      <w:pPr>
        <w:spacing w:before="126" w:line="346" w:lineRule="auto"/>
        <w:ind w:left="1" w:right="70" w:firstLine="435"/>
        <w:jc w:val="both"/>
        <w:rPr>
          <w:rFonts w:ascii="宋体" w:hAnsi="宋体" w:eastAsia="宋体" w:cs="宋体"/>
          <w:sz w:val="20"/>
          <w:szCs w:val="20"/>
        </w:rPr>
      </w:pPr>
      <w:r>
        <w:rPr>
          <w:rFonts w:ascii="宋体" w:hAnsi="宋体" w:eastAsia="宋体" w:cs="宋体"/>
          <w:spacing w:val="10"/>
          <w:sz w:val="20"/>
          <w:szCs w:val="20"/>
        </w:rPr>
        <w:t>因紧急情况需暂停施工，且监理人未及时下达暂停施工指示的，承包人可先暂停</w:t>
      </w:r>
      <w:r>
        <w:rPr>
          <w:rFonts w:ascii="宋体" w:hAnsi="宋体" w:eastAsia="宋体" w:cs="宋体"/>
          <w:spacing w:val="9"/>
          <w:sz w:val="20"/>
          <w:szCs w:val="20"/>
        </w:rPr>
        <w:t>施工，并及</w:t>
      </w:r>
      <w:r>
        <w:rPr>
          <w:rFonts w:ascii="宋体" w:hAnsi="宋体" w:eastAsia="宋体" w:cs="宋体"/>
          <w:spacing w:val="7"/>
          <w:sz w:val="20"/>
          <w:szCs w:val="20"/>
        </w:rPr>
        <w:t>时通知监理人。监理人应在接到通知后</w:t>
      </w:r>
      <w:r>
        <w:rPr>
          <w:rFonts w:ascii="宋体" w:hAnsi="宋体" w:eastAsia="宋体" w:cs="宋体"/>
          <w:spacing w:val="-35"/>
          <w:sz w:val="20"/>
          <w:szCs w:val="20"/>
        </w:rPr>
        <w:t xml:space="preserve"> </w:t>
      </w:r>
      <w:r>
        <w:rPr>
          <w:rFonts w:ascii="宋体" w:hAnsi="宋体" w:eastAsia="宋体" w:cs="宋体"/>
          <w:spacing w:val="7"/>
          <w:sz w:val="20"/>
          <w:szCs w:val="20"/>
        </w:rPr>
        <w:t>24</w:t>
      </w:r>
      <w:r>
        <w:rPr>
          <w:rFonts w:ascii="宋体" w:hAnsi="宋体" w:eastAsia="宋体" w:cs="宋体"/>
          <w:spacing w:val="-35"/>
          <w:sz w:val="20"/>
          <w:szCs w:val="20"/>
        </w:rPr>
        <w:t xml:space="preserve"> </w:t>
      </w:r>
      <w:r>
        <w:rPr>
          <w:rFonts w:ascii="宋体" w:hAnsi="宋体" w:eastAsia="宋体" w:cs="宋体"/>
          <w:spacing w:val="7"/>
          <w:sz w:val="20"/>
          <w:szCs w:val="20"/>
        </w:rPr>
        <w:t>小时内发出指示，逾期未发出指示，视为同意承包人暂</w:t>
      </w:r>
      <w:r>
        <w:rPr>
          <w:rFonts w:ascii="宋体" w:hAnsi="宋体" w:eastAsia="宋体" w:cs="宋体"/>
          <w:spacing w:val="10"/>
          <w:sz w:val="20"/>
          <w:szCs w:val="20"/>
        </w:rPr>
        <w:t>停施工。监理人不同意承包人暂停施工的，应说明理由，承包人对</w:t>
      </w:r>
      <w:r>
        <w:rPr>
          <w:rFonts w:ascii="宋体" w:hAnsi="宋体" w:eastAsia="宋体" w:cs="宋体"/>
          <w:spacing w:val="9"/>
          <w:sz w:val="20"/>
          <w:szCs w:val="20"/>
        </w:rPr>
        <w:t>监理人的答复有异议，按照第</w:t>
      </w:r>
      <w:r>
        <w:rPr>
          <w:rFonts w:ascii="宋体" w:hAnsi="宋体" w:eastAsia="宋体" w:cs="宋体"/>
          <w:spacing w:val="7"/>
          <w:sz w:val="20"/>
          <w:szCs w:val="20"/>
        </w:rPr>
        <w:t>20</w:t>
      </w:r>
      <w:r>
        <w:rPr>
          <w:rFonts w:ascii="宋体" w:hAnsi="宋体" w:eastAsia="宋体" w:cs="宋体"/>
          <w:spacing w:val="-38"/>
          <w:sz w:val="20"/>
          <w:szCs w:val="20"/>
        </w:rPr>
        <w:t xml:space="preserve"> </w:t>
      </w:r>
      <w:r>
        <w:rPr>
          <w:rFonts w:ascii="宋体" w:hAnsi="宋体" w:eastAsia="宋体" w:cs="宋体"/>
          <w:spacing w:val="7"/>
          <w:sz w:val="20"/>
          <w:szCs w:val="20"/>
        </w:rPr>
        <w:t>条〔争议解决〕约定处理。</w:t>
      </w:r>
    </w:p>
    <w:p w14:paraId="576AD370">
      <w:pPr>
        <w:spacing w:line="228" w:lineRule="auto"/>
        <w:ind w:left="425"/>
        <w:rPr>
          <w:rFonts w:ascii="宋体" w:hAnsi="宋体" w:eastAsia="宋体" w:cs="宋体"/>
          <w:sz w:val="20"/>
          <w:szCs w:val="20"/>
        </w:rPr>
      </w:pPr>
      <w:r>
        <w:rPr>
          <w:rFonts w:ascii="宋体" w:hAnsi="宋体" w:eastAsia="宋体" w:cs="宋体"/>
          <w:b/>
          <w:bCs/>
          <w:spacing w:val="5"/>
          <w:sz w:val="20"/>
          <w:szCs w:val="20"/>
        </w:rPr>
        <w:t>7.8.5</w:t>
      </w:r>
      <w:r>
        <w:rPr>
          <w:rFonts w:ascii="宋体" w:hAnsi="宋体" w:eastAsia="宋体" w:cs="宋体"/>
          <w:spacing w:val="5"/>
          <w:sz w:val="20"/>
          <w:szCs w:val="20"/>
        </w:rPr>
        <w:t xml:space="preserve"> </w:t>
      </w:r>
      <w:r>
        <w:rPr>
          <w:rFonts w:ascii="宋体" w:hAnsi="宋体" w:eastAsia="宋体" w:cs="宋体"/>
          <w:b/>
          <w:bCs/>
          <w:spacing w:val="5"/>
          <w:sz w:val="20"/>
          <w:szCs w:val="20"/>
        </w:rPr>
        <w:t>暂停施工后的复工</w:t>
      </w:r>
    </w:p>
    <w:p w14:paraId="12404647">
      <w:pPr>
        <w:spacing w:before="125" w:line="346" w:lineRule="auto"/>
        <w:ind w:right="71" w:firstLine="427"/>
        <w:jc w:val="both"/>
        <w:rPr>
          <w:rFonts w:ascii="宋体" w:hAnsi="宋体" w:eastAsia="宋体" w:cs="宋体"/>
          <w:sz w:val="20"/>
          <w:szCs w:val="20"/>
        </w:rPr>
      </w:pPr>
      <w:r>
        <w:rPr>
          <w:rFonts w:ascii="宋体" w:hAnsi="宋体" w:eastAsia="宋体" w:cs="宋体"/>
          <w:spacing w:val="10"/>
          <w:sz w:val="20"/>
          <w:szCs w:val="20"/>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w:t>
      </w:r>
      <w:r>
        <w:rPr>
          <w:rFonts w:ascii="宋体" w:hAnsi="宋体" w:eastAsia="宋体" w:cs="宋体"/>
          <w:spacing w:val="9"/>
          <w:sz w:val="20"/>
          <w:szCs w:val="20"/>
        </w:rPr>
        <w:t>复工通知，承包人应按照复工通知要求复工。</w:t>
      </w:r>
    </w:p>
    <w:p w14:paraId="70CD8175">
      <w:pPr>
        <w:spacing w:before="1" w:line="345" w:lineRule="auto"/>
        <w:ind w:left="5" w:right="71" w:firstLine="414"/>
        <w:rPr>
          <w:rFonts w:ascii="宋体" w:hAnsi="宋体" w:eastAsia="宋体" w:cs="宋体"/>
          <w:sz w:val="20"/>
          <w:szCs w:val="20"/>
        </w:rPr>
      </w:pPr>
      <w:r>
        <w:rPr>
          <w:rFonts w:ascii="宋体" w:hAnsi="宋体" w:eastAsia="宋体" w:cs="宋体"/>
          <w:spacing w:val="10"/>
          <w:sz w:val="20"/>
          <w:szCs w:val="20"/>
        </w:rPr>
        <w:t>承包人无故拖延和拒绝复工的，承包人承担由此增加的费用和（或）延误的工期；因发包人</w:t>
      </w:r>
      <w:r>
        <w:rPr>
          <w:rFonts w:ascii="宋体" w:hAnsi="宋体" w:eastAsia="宋体" w:cs="宋体"/>
          <w:spacing w:val="8"/>
          <w:sz w:val="20"/>
          <w:szCs w:val="20"/>
        </w:rPr>
        <w:t>原因无法按时复工的，按照第</w:t>
      </w:r>
      <w:r>
        <w:rPr>
          <w:rFonts w:ascii="宋体" w:hAnsi="宋体" w:eastAsia="宋体" w:cs="宋体"/>
          <w:spacing w:val="-35"/>
          <w:sz w:val="20"/>
          <w:szCs w:val="20"/>
        </w:rPr>
        <w:t xml:space="preserve"> </w:t>
      </w:r>
      <w:r>
        <w:rPr>
          <w:rFonts w:ascii="宋体" w:hAnsi="宋体" w:eastAsia="宋体" w:cs="宋体"/>
          <w:spacing w:val="8"/>
          <w:sz w:val="20"/>
          <w:szCs w:val="20"/>
        </w:rPr>
        <w:t>7.5.1</w:t>
      </w:r>
      <w:r>
        <w:rPr>
          <w:rFonts w:ascii="宋体" w:hAnsi="宋体" w:eastAsia="宋体" w:cs="宋体"/>
          <w:spacing w:val="-35"/>
          <w:sz w:val="20"/>
          <w:szCs w:val="20"/>
        </w:rPr>
        <w:t xml:space="preserve"> </w:t>
      </w:r>
      <w:r>
        <w:rPr>
          <w:rFonts w:ascii="宋体" w:hAnsi="宋体" w:eastAsia="宋体" w:cs="宋体"/>
          <w:spacing w:val="8"/>
          <w:sz w:val="20"/>
          <w:szCs w:val="20"/>
        </w:rPr>
        <w:t>项〔因发包人原因导致工期延误〕约定办理。</w:t>
      </w:r>
    </w:p>
    <w:p w14:paraId="223E182B">
      <w:pPr>
        <w:spacing w:before="1" w:line="227" w:lineRule="auto"/>
        <w:ind w:left="425"/>
        <w:rPr>
          <w:rFonts w:ascii="宋体" w:hAnsi="宋体" w:eastAsia="宋体" w:cs="宋体"/>
          <w:sz w:val="20"/>
          <w:szCs w:val="20"/>
        </w:rPr>
      </w:pPr>
      <w:r>
        <w:rPr>
          <w:rFonts w:ascii="宋体" w:hAnsi="宋体" w:eastAsia="宋体" w:cs="宋体"/>
          <w:b/>
          <w:bCs/>
          <w:spacing w:val="3"/>
          <w:sz w:val="20"/>
          <w:szCs w:val="20"/>
        </w:rPr>
        <w:t>7.8.6</w:t>
      </w:r>
      <w:r>
        <w:rPr>
          <w:rFonts w:ascii="宋体" w:hAnsi="宋体" w:eastAsia="宋体" w:cs="宋体"/>
          <w:spacing w:val="3"/>
          <w:sz w:val="20"/>
          <w:szCs w:val="20"/>
        </w:rPr>
        <w:t xml:space="preserve"> </w:t>
      </w:r>
      <w:r>
        <w:rPr>
          <w:rFonts w:ascii="宋体" w:hAnsi="宋体" w:eastAsia="宋体" w:cs="宋体"/>
          <w:b/>
          <w:bCs/>
          <w:spacing w:val="3"/>
          <w:sz w:val="20"/>
          <w:szCs w:val="20"/>
        </w:rPr>
        <w:t>暂停施工持续</w:t>
      </w:r>
      <w:r>
        <w:rPr>
          <w:rFonts w:ascii="宋体" w:hAnsi="宋体" w:eastAsia="宋体" w:cs="宋体"/>
          <w:spacing w:val="-19"/>
          <w:sz w:val="20"/>
          <w:szCs w:val="20"/>
        </w:rPr>
        <w:t xml:space="preserve"> </w:t>
      </w:r>
      <w:r>
        <w:rPr>
          <w:rFonts w:ascii="宋体" w:hAnsi="宋体" w:eastAsia="宋体" w:cs="宋体"/>
          <w:b/>
          <w:bCs/>
          <w:spacing w:val="3"/>
          <w:sz w:val="20"/>
          <w:szCs w:val="20"/>
        </w:rPr>
        <w:t>56</w:t>
      </w:r>
      <w:r>
        <w:rPr>
          <w:rFonts w:ascii="宋体" w:hAnsi="宋体" w:eastAsia="宋体" w:cs="宋体"/>
          <w:spacing w:val="-34"/>
          <w:sz w:val="20"/>
          <w:szCs w:val="20"/>
        </w:rPr>
        <w:t xml:space="preserve"> </w:t>
      </w:r>
      <w:r>
        <w:rPr>
          <w:rFonts w:ascii="宋体" w:hAnsi="宋体" w:eastAsia="宋体" w:cs="宋体"/>
          <w:b/>
          <w:bCs/>
          <w:spacing w:val="3"/>
          <w:sz w:val="20"/>
          <w:szCs w:val="20"/>
        </w:rPr>
        <w:t>天以上</w:t>
      </w:r>
    </w:p>
    <w:p w14:paraId="4725373E">
      <w:pPr>
        <w:spacing w:before="126" w:line="346" w:lineRule="auto"/>
        <w:ind w:right="27" w:firstLine="420"/>
        <w:jc w:val="both"/>
        <w:rPr>
          <w:rFonts w:ascii="宋体" w:hAnsi="宋体" w:eastAsia="宋体" w:cs="宋体"/>
          <w:sz w:val="20"/>
          <w:szCs w:val="20"/>
        </w:rPr>
      </w:pPr>
      <w:r>
        <w:rPr>
          <w:rFonts w:ascii="宋体" w:hAnsi="宋体" w:eastAsia="宋体" w:cs="宋体"/>
          <w:spacing w:val="4"/>
          <w:sz w:val="20"/>
          <w:szCs w:val="20"/>
        </w:rPr>
        <w:t>监理人发出暂停施工指示后</w:t>
      </w:r>
      <w:r>
        <w:rPr>
          <w:rFonts w:ascii="宋体" w:hAnsi="宋体" w:eastAsia="宋体" w:cs="宋体"/>
          <w:spacing w:val="-53"/>
          <w:sz w:val="20"/>
          <w:szCs w:val="20"/>
        </w:rPr>
        <w:t xml:space="preserve"> </w:t>
      </w:r>
      <w:r>
        <w:rPr>
          <w:rFonts w:ascii="宋体" w:hAnsi="宋体" w:eastAsia="宋体" w:cs="宋体"/>
          <w:spacing w:val="4"/>
          <w:sz w:val="20"/>
          <w:szCs w:val="20"/>
        </w:rPr>
        <w:t>56</w:t>
      </w:r>
      <w:r>
        <w:rPr>
          <w:rFonts w:ascii="宋体" w:hAnsi="宋体" w:eastAsia="宋体" w:cs="宋体"/>
          <w:spacing w:val="-55"/>
          <w:sz w:val="20"/>
          <w:szCs w:val="20"/>
        </w:rPr>
        <w:t xml:space="preserve"> </w:t>
      </w:r>
      <w:r>
        <w:rPr>
          <w:rFonts w:ascii="宋体" w:hAnsi="宋体" w:eastAsia="宋体" w:cs="宋体"/>
          <w:spacing w:val="4"/>
          <w:sz w:val="20"/>
          <w:szCs w:val="20"/>
        </w:rPr>
        <w:t>天内未向承包人发出复工通知，除该项停工属于第7.8.2</w:t>
      </w:r>
      <w:r>
        <w:rPr>
          <w:rFonts w:ascii="宋体" w:hAnsi="宋体" w:eastAsia="宋体" w:cs="宋体"/>
          <w:spacing w:val="-57"/>
          <w:sz w:val="20"/>
          <w:szCs w:val="20"/>
        </w:rPr>
        <w:t xml:space="preserve"> </w:t>
      </w:r>
      <w:r>
        <w:rPr>
          <w:rFonts w:ascii="宋体" w:hAnsi="宋体" w:eastAsia="宋体" w:cs="宋体"/>
          <w:spacing w:val="4"/>
          <w:sz w:val="20"/>
          <w:szCs w:val="20"/>
        </w:rPr>
        <w:t>项〔承</w:t>
      </w:r>
      <w:r>
        <w:rPr>
          <w:rFonts w:ascii="宋体" w:hAnsi="宋体" w:eastAsia="宋体" w:cs="宋体"/>
          <w:spacing w:val="7"/>
          <w:sz w:val="20"/>
          <w:szCs w:val="20"/>
        </w:rPr>
        <w:t>包人原因引起的暂停施工〕及第</w:t>
      </w:r>
      <w:r>
        <w:rPr>
          <w:rFonts w:ascii="宋体" w:hAnsi="宋体" w:eastAsia="宋体" w:cs="宋体"/>
          <w:spacing w:val="-21"/>
          <w:sz w:val="20"/>
          <w:szCs w:val="20"/>
        </w:rPr>
        <w:t xml:space="preserve"> </w:t>
      </w:r>
      <w:r>
        <w:rPr>
          <w:rFonts w:ascii="宋体" w:hAnsi="宋体" w:eastAsia="宋体" w:cs="宋体"/>
          <w:spacing w:val="7"/>
          <w:sz w:val="20"/>
          <w:szCs w:val="20"/>
        </w:rPr>
        <w:t>17</w:t>
      </w:r>
      <w:r>
        <w:rPr>
          <w:rFonts w:ascii="宋体" w:hAnsi="宋体" w:eastAsia="宋体" w:cs="宋体"/>
          <w:spacing w:val="-39"/>
          <w:sz w:val="20"/>
          <w:szCs w:val="20"/>
        </w:rPr>
        <w:t xml:space="preserve"> </w:t>
      </w:r>
      <w:r>
        <w:rPr>
          <w:rFonts w:ascii="宋体" w:hAnsi="宋体" w:eastAsia="宋体" w:cs="宋体"/>
          <w:spacing w:val="7"/>
          <w:sz w:val="20"/>
          <w:szCs w:val="20"/>
        </w:rPr>
        <w:t>条〔不可抗力〕约定的情形外，承包人可</w:t>
      </w:r>
      <w:r>
        <w:rPr>
          <w:rFonts w:ascii="宋体" w:hAnsi="宋体" w:eastAsia="宋体" w:cs="宋体"/>
          <w:spacing w:val="6"/>
          <w:sz w:val="20"/>
          <w:szCs w:val="20"/>
        </w:rPr>
        <w:t>向发包人提交书面通</w:t>
      </w:r>
      <w:r>
        <w:rPr>
          <w:rFonts w:ascii="宋体" w:hAnsi="宋体" w:eastAsia="宋体" w:cs="宋体"/>
          <w:spacing w:val="7"/>
          <w:sz w:val="20"/>
          <w:szCs w:val="20"/>
        </w:rPr>
        <w:t>知，要求发包人在收到书面通知后</w:t>
      </w:r>
      <w:r>
        <w:rPr>
          <w:rFonts w:ascii="宋体" w:hAnsi="宋体" w:eastAsia="宋体" w:cs="宋体"/>
          <w:spacing w:val="-35"/>
          <w:sz w:val="20"/>
          <w:szCs w:val="20"/>
        </w:rPr>
        <w:t xml:space="preserve"> </w:t>
      </w:r>
      <w:r>
        <w:rPr>
          <w:rFonts w:ascii="宋体" w:hAnsi="宋体" w:eastAsia="宋体" w:cs="宋体"/>
          <w:spacing w:val="7"/>
          <w:sz w:val="20"/>
          <w:szCs w:val="20"/>
        </w:rPr>
        <w:t>28</w:t>
      </w:r>
      <w:r>
        <w:rPr>
          <w:rFonts w:ascii="宋体" w:hAnsi="宋体" w:eastAsia="宋体" w:cs="宋体"/>
          <w:spacing w:val="-34"/>
          <w:sz w:val="20"/>
          <w:szCs w:val="20"/>
        </w:rPr>
        <w:t xml:space="preserve"> </w:t>
      </w:r>
      <w:r>
        <w:rPr>
          <w:rFonts w:ascii="宋体" w:hAnsi="宋体" w:eastAsia="宋体" w:cs="宋体"/>
          <w:spacing w:val="7"/>
          <w:sz w:val="20"/>
          <w:szCs w:val="20"/>
        </w:rPr>
        <w:t>天内准许已暂停施工的部分或全部工程继续施工。发包人逾</w:t>
      </w:r>
      <w:r>
        <w:rPr>
          <w:rFonts w:ascii="宋体" w:hAnsi="宋体" w:eastAsia="宋体" w:cs="宋体"/>
          <w:spacing w:val="8"/>
          <w:sz w:val="20"/>
          <w:szCs w:val="20"/>
        </w:rPr>
        <w:t>期不予批准的，则承包人可以通知发包人，将工程受影响</w:t>
      </w:r>
      <w:r>
        <w:rPr>
          <w:rFonts w:ascii="宋体" w:hAnsi="宋体" w:eastAsia="宋体" w:cs="宋体"/>
          <w:spacing w:val="7"/>
          <w:sz w:val="20"/>
          <w:szCs w:val="20"/>
        </w:rPr>
        <w:t>的部分视为按第</w:t>
      </w:r>
      <w:r>
        <w:rPr>
          <w:rFonts w:ascii="宋体" w:hAnsi="宋体" w:eastAsia="宋体" w:cs="宋体"/>
          <w:spacing w:val="-21"/>
          <w:sz w:val="20"/>
          <w:szCs w:val="20"/>
        </w:rPr>
        <w:t xml:space="preserve"> </w:t>
      </w:r>
      <w:r>
        <w:rPr>
          <w:rFonts w:ascii="宋体" w:hAnsi="宋体" w:eastAsia="宋体" w:cs="宋体"/>
          <w:spacing w:val="7"/>
          <w:sz w:val="20"/>
          <w:szCs w:val="20"/>
        </w:rPr>
        <w:t>10.1</w:t>
      </w:r>
      <w:r>
        <w:rPr>
          <w:rFonts w:ascii="宋体" w:hAnsi="宋体" w:eastAsia="宋体" w:cs="宋体"/>
          <w:spacing w:val="-37"/>
          <w:sz w:val="20"/>
          <w:szCs w:val="20"/>
        </w:rPr>
        <w:t xml:space="preserve"> </w:t>
      </w:r>
      <w:r>
        <w:rPr>
          <w:rFonts w:ascii="宋体" w:hAnsi="宋体" w:eastAsia="宋体" w:cs="宋体"/>
          <w:spacing w:val="7"/>
          <w:sz w:val="20"/>
          <w:szCs w:val="20"/>
        </w:rPr>
        <w:t>款〔变更的范围〕第（2）项的可取消工作。</w:t>
      </w:r>
    </w:p>
    <w:p w14:paraId="00B7356C">
      <w:pPr>
        <w:spacing w:before="2" w:line="345" w:lineRule="auto"/>
        <w:ind w:left="1" w:right="70" w:firstLine="425"/>
        <w:jc w:val="both"/>
        <w:rPr>
          <w:rFonts w:ascii="宋体" w:hAnsi="宋体" w:eastAsia="宋体" w:cs="宋体"/>
          <w:sz w:val="20"/>
          <w:szCs w:val="20"/>
        </w:rPr>
      </w:pPr>
      <w:r>
        <w:rPr>
          <w:rFonts w:ascii="宋体" w:hAnsi="宋体" w:eastAsia="宋体" w:cs="宋体"/>
          <w:spacing w:val="6"/>
          <w:sz w:val="20"/>
          <w:szCs w:val="20"/>
        </w:rPr>
        <w:t>暂停施工持续</w:t>
      </w:r>
      <w:r>
        <w:rPr>
          <w:rFonts w:ascii="宋体" w:hAnsi="宋体" w:eastAsia="宋体" w:cs="宋体"/>
          <w:spacing w:val="-36"/>
          <w:sz w:val="20"/>
          <w:szCs w:val="20"/>
        </w:rPr>
        <w:t xml:space="preserve"> </w:t>
      </w:r>
      <w:r>
        <w:rPr>
          <w:rFonts w:ascii="宋体" w:hAnsi="宋体" w:eastAsia="宋体" w:cs="宋体"/>
          <w:spacing w:val="6"/>
          <w:sz w:val="20"/>
          <w:szCs w:val="20"/>
        </w:rPr>
        <w:t>84</w:t>
      </w:r>
      <w:r>
        <w:rPr>
          <w:rFonts w:ascii="宋体" w:hAnsi="宋体" w:eastAsia="宋体" w:cs="宋体"/>
          <w:spacing w:val="-37"/>
          <w:sz w:val="20"/>
          <w:szCs w:val="20"/>
        </w:rPr>
        <w:t xml:space="preserve"> </w:t>
      </w:r>
      <w:r>
        <w:rPr>
          <w:rFonts w:ascii="宋体" w:hAnsi="宋体" w:eastAsia="宋体" w:cs="宋体"/>
          <w:spacing w:val="6"/>
          <w:sz w:val="20"/>
          <w:szCs w:val="20"/>
        </w:rPr>
        <w:t>天以上不复工的，且不属于第</w:t>
      </w:r>
      <w:r>
        <w:rPr>
          <w:rFonts w:ascii="宋体" w:hAnsi="宋体" w:eastAsia="宋体" w:cs="宋体"/>
          <w:spacing w:val="-34"/>
          <w:sz w:val="20"/>
          <w:szCs w:val="20"/>
        </w:rPr>
        <w:t xml:space="preserve"> </w:t>
      </w:r>
      <w:r>
        <w:rPr>
          <w:rFonts w:ascii="宋体" w:hAnsi="宋体" w:eastAsia="宋体" w:cs="宋体"/>
          <w:spacing w:val="6"/>
          <w:sz w:val="20"/>
          <w:szCs w:val="20"/>
        </w:rPr>
        <w:t>7.8.2</w:t>
      </w:r>
      <w:r>
        <w:rPr>
          <w:rFonts w:ascii="宋体" w:hAnsi="宋体" w:eastAsia="宋体" w:cs="宋体"/>
          <w:spacing w:val="-34"/>
          <w:sz w:val="20"/>
          <w:szCs w:val="20"/>
        </w:rPr>
        <w:t xml:space="preserve"> </w:t>
      </w:r>
      <w:r>
        <w:rPr>
          <w:rFonts w:ascii="宋体" w:hAnsi="宋体" w:eastAsia="宋体" w:cs="宋体"/>
          <w:spacing w:val="6"/>
          <w:sz w:val="20"/>
          <w:szCs w:val="20"/>
        </w:rPr>
        <w:t>项〔承包人原</w:t>
      </w:r>
      <w:r>
        <w:rPr>
          <w:rFonts w:ascii="宋体" w:hAnsi="宋体" w:eastAsia="宋体" w:cs="宋体"/>
          <w:spacing w:val="5"/>
          <w:sz w:val="20"/>
          <w:szCs w:val="20"/>
        </w:rPr>
        <w:t>因引起的暂停施工〕及第</w:t>
      </w:r>
      <w:r>
        <w:rPr>
          <w:rFonts w:ascii="宋体" w:hAnsi="宋体" w:eastAsia="宋体" w:cs="宋体"/>
          <w:spacing w:val="9"/>
          <w:sz w:val="20"/>
          <w:szCs w:val="20"/>
        </w:rPr>
        <w:t>17</w:t>
      </w:r>
      <w:r>
        <w:rPr>
          <w:rFonts w:ascii="宋体" w:hAnsi="宋体" w:eastAsia="宋体" w:cs="宋体"/>
          <w:spacing w:val="-39"/>
          <w:sz w:val="20"/>
          <w:szCs w:val="20"/>
        </w:rPr>
        <w:t xml:space="preserve"> </w:t>
      </w:r>
      <w:r>
        <w:rPr>
          <w:rFonts w:ascii="宋体" w:hAnsi="宋体" w:eastAsia="宋体" w:cs="宋体"/>
          <w:spacing w:val="9"/>
          <w:sz w:val="20"/>
          <w:szCs w:val="20"/>
        </w:rPr>
        <w:t>条〔不可抗力〕约定的情形，并影响到整个工程以及合</w:t>
      </w:r>
      <w:r>
        <w:rPr>
          <w:rFonts w:ascii="宋体" w:hAnsi="宋体" w:eastAsia="宋体" w:cs="宋体"/>
          <w:spacing w:val="8"/>
          <w:sz w:val="20"/>
          <w:szCs w:val="20"/>
        </w:rPr>
        <w:t>同目的实现的，承包人有权提出价格调整要求，或者解除合同。解除合同的，按照第</w:t>
      </w:r>
      <w:r>
        <w:rPr>
          <w:rFonts w:ascii="宋体" w:hAnsi="宋体" w:eastAsia="宋体" w:cs="宋体"/>
          <w:spacing w:val="-21"/>
          <w:sz w:val="20"/>
          <w:szCs w:val="20"/>
        </w:rPr>
        <w:t xml:space="preserve"> </w:t>
      </w:r>
      <w:r>
        <w:rPr>
          <w:rFonts w:ascii="宋体" w:hAnsi="宋体" w:eastAsia="宋体" w:cs="宋体"/>
          <w:spacing w:val="8"/>
          <w:sz w:val="20"/>
          <w:szCs w:val="20"/>
        </w:rPr>
        <w:t>16.1.3</w:t>
      </w:r>
      <w:r>
        <w:rPr>
          <w:rFonts w:ascii="宋体" w:hAnsi="宋体" w:eastAsia="宋体" w:cs="宋体"/>
          <w:spacing w:val="-37"/>
          <w:sz w:val="20"/>
          <w:szCs w:val="20"/>
        </w:rPr>
        <w:t xml:space="preserve"> </w:t>
      </w:r>
      <w:r>
        <w:rPr>
          <w:rFonts w:ascii="宋体" w:hAnsi="宋体" w:eastAsia="宋体" w:cs="宋体"/>
          <w:spacing w:val="8"/>
          <w:sz w:val="20"/>
          <w:szCs w:val="20"/>
        </w:rPr>
        <w:t>项〔因发包人违约解除合</w:t>
      </w:r>
      <w:r>
        <w:rPr>
          <w:rFonts w:ascii="宋体" w:hAnsi="宋体" w:eastAsia="宋体" w:cs="宋体"/>
          <w:spacing w:val="7"/>
          <w:sz w:val="20"/>
          <w:szCs w:val="20"/>
        </w:rPr>
        <w:t>同〕执行。</w:t>
      </w:r>
    </w:p>
    <w:p w14:paraId="5121B95A">
      <w:pPr>
        <w:spacing w:line="227" w:lineRule="auto"/>
        <w:ind w:left="425"/>
        <w:rPr>
          <w:rFonts w:ascii="宋体" w:hAnsi="宋体" w:eastAsia="宋体" w:cs="宋体"/>
          <w:sz w:val="20"/>
          <w:szCs w:val="20"/>
        </w:rPr>
      </w:pPr>
      <w:r>
        <w:rPr>
          <w:rFonts w:ascii="宋体" w:hAnsi="宋体" w:eastAsia="宋体" w:cs="宋体"/>
          <w:b/>
          <w:bCs/>
          <w:spacing w:val="6"/>
          <w:sz w:val="20"/>
          <w:szCs w:val="20"/>
        </w:rPr>
        <w:t>7.8.7</w:t>
      </w:r>
      <w:r>
        <w:rPr>
          <w:rFonts w:ascii="宋体" w:hAnsi="宋体" w:eastAsia="宋体" w:cs="宋体"/>
          <w:spacing w:val="6"/>
          <w:sz w:val="20"/>
          <w:szCs w:val="20"/>
        </w:rPr>
        <w:t xml:space="preserve"> </w:t>
      </w:r>
      <w:r>
        <w:rPr>
          <w:rFonts w:ascii="宋体" w:hAnsi="宋体" w:eastAsia="宋体" w:cs="宋体"/>
          <w:b/>
          <w:bCs/>
          <w:spacing w:val="6"/>
          <w:sz w:val="20"/>
          <w:szCs w:val="20"/>
        </w:rPr>
        <w:t>暂停施工期间的工程照管</w:t>
      </w:r>
    </w:p>
    <w:p w14:paraId="6C29A44C">
      <w:pPr>
        <w:spacing w:before="128" w:line="227" w:lineRule="auto"/>
        <w:jc w:val="right"/>
        <w:rPr>
          <w:rFonts w:ascii="宋体" w:hAnsi="宋体" w:eastAsia="宋体" w:cs="宋体"/>
          <w:sz w:val="20"/>
          <w:szCs w:val="20"/>
        </w:rPr>
      </w:pPr>
      <w:r>
        <w:rPr>
          <w:rFonts w:ascii="宋体" w:hAnsi="宋体" w:eastAsia="宋体" w:cs="宋体"/>
          <w:spacing w:val="7"/>
          <w:sz w:val="20"/>
          <w:szCs w:val="20"/>
        </w:rPr>
        <w:t>暂停施工期间，承包人应负责妥善照管工程并提供安全保障，由此增</w:t>
      </w:r>
      <w:r>
        <w:rPr>
          <w:rFonts w:ascii="宋体" w:hAnsi="宋体" w:eastAsia="宋体" w:cs="宋体"/>
          <w:spacing w:val="6"/>
          <w:sz w:val="20"/>
          <w:szCs w:val="20"/>
        </w:rPr>
        <w:t>加的费用由责任方承担。</w:t>
      </w:r>
    </w:p>
    <w:p w14:paraId="1118A7D1">
      <w:pPr>
        <w:spacing w:before="129" w:line="228" w:lineRule="auto"/>
        <w:ind w:left="425"/>
        <w:rPr>
          <w:rFonts w:ascii="宋体" w:hAnsi="宋体" w:eastAsia="宋体" w:cs="宋体"/>
          <w:sz w:val="20"/>
          <w:szCs w:val="20"/>
        </w:rPr>
      </w:pPr>
      <w:r>
        <w:rPr>
          <w:rFonts w:ascii="宋体" w:hAnsi="宋体" w:eastAsia="宋体" w:cs="宋体"/>
          <w:b/>
          <w:bCs/>
          <w:spacing w:val="5"/>
          <w:sz w:val="20"/>
          <w:szCs w:val="20"/>
        </w:rPr>
        <w:t>7.8.8</w:t>
      </w:r>
      <w:r>
        <w:rPr>
          <w:rFonts w:ascii="宋体" w:hAnsi="宋体" w:eastAsia="宋体" w:cs="宋体"/>
          <w:spacing w:val="5"/>
          <w:sz w:val="20"/>
          <w:szCs w:val="20"/>
        </w:rPr>
        <w:t xml:space="preserve"> </w:t>
      </w:r>
      <w:r>
        <w:rPr>
          <w:rFonts w:ascii="宋体" w:hAnsi="宋体" w:eastAsia="宋体" w:cs="宋体"/>
          <w:b/>
          <w:bCs/>
          <w:spacing w:val="5"/>
          <w:sz w:val="20"/>
          <w:szCs w:val="20"/>
        </w:rPr>
        <w:t>暂停施工的措施</w:t>
      </w:r>
    </w:p>
    <w:p w14:paraId="24E1E288">
      <w:pPr>
        <w:spacing w:before="126" w:line="346" w:lineRule="auto"/>
        <w:ind w:right="71" w:firstLine="426"/>
        <w:rPr>
          <w:rFonts w:ascii="宋体" w:hAnsi="宋体" w:eastAsia="宋体" w:cs="宋体"/>
          <w:sz w:val="20"/>
          <w:szCs w:val="20"/>
        </w:rPr>
      </w:pPr>
      <w:r>
        <w:rPr>
          <w:rFonts w:ascii="宋体" w:hAnsi="宋体" w:eastAsia="宋体" w:cs="宋体"/>
          <w:spacing w:val="10"/>
          <w:sz w:val="20"/>
          <w:szCs w:val="20"/>
        </w:rPr>
        <w:t>暂停施工期间，发包人和承包人均应采取必要的措施确保工程质量及安全，防止因暂停施工</w:t>
      </w:r>
      <w:r>
        <w:rPr>
          <w:rFonts w:ascii="宋体" w:hAnsi="宋体" w:eastAsia="宋体" w:cs="宋体"/>
          <w:spacing w:val="5"/>
          <w:sz w:val="20"/>
          <w:szCs w:val="20"/>
        </w:rPr>
        <w:t>扩大损失。</w:t>
      </w:r>
    </w:p>
    <w:p w14:paraId="33731A62">
      <w:pPr>
        <w:spacing w:before="1" w:line="227" w:lineRule="auto"/>
        <w:ind w:left="425"/>
        <w:rPr>
          <w:rFonts w:ascii="宋体" w:hAnsi="宋体" w:eastAsia="宋体" w:cs="宋体"/>
          <w:sz w:val="20"/>
          <w:szCs w:val="20"/>
        </w:rPr>
      </w:pPr>
      <w:r>
        <w:rPr>
          <w:rFonts w:ascii="宋体" w:hAnsi="宋体" w:eastAsia="宋体" w:cs="宋体"/>
          <w:b/>
          <w:bCs/>
          <w:spacing w:val="4"/>
          <w:sz w:val="20"/>
          <w:szCs w:val="20"/>
        </w:rPr>
        <w:t>7.9</w:t>
      </w:r>
      <w:r>
        <w:rPr>
          <w:rFonts w:ascii="宋体" w:hAnsi="宋体" w:eastAsia="宋体" w:cs="宋体"/>
          <w:spacing w:val="4"/>
          <w:sz w:val="20"/>
          <w:szCs w:val="20"/>
        </w:rPr>
        <w:t xml:space="preserve"> </w:t>
      </w:r>
      <w:r>
        <w:rPr>
          <w:rFonts w:ascii="宋体" w:hAnsi="宋体" w:eastAsia="宋体" w:cs="宋体"/>
          <w:b/>
          <w:bCs/>
          <w:spacing w:val="4"/>
          <w:sz w:val="20"/>
          <w:szCs w:val="20"/>
        </w:rPr>
        <w:t>提前竣工</w:t>
      </w:r>
    </w:p>
    <w:p w14:paraId="278A515B">
      <w:pPr>
        <w:spacing w:before="127" w:line="346" w:lineRule="auto"/>
        <w:ind w:right="63" w:firstLine="425"/>
        <w:jc w:val="both"/>
        <w:rPr>
          <w:rFonts w:ascii="宋体" w:hAnsi="宋体" w:eastAsia="宋体" w:cs="宋体"/>
          <w:sz w:val="20"/>
          <w:szCs w:val="20"/>
        </w:rPr>
      </w:pPr>
      <w:r>
        <w:rPr>
          <w:rFonts w:ascii="宋体" w:hAnsi="宋体" w:eastAsia="宋体" w:cs="宋体"/>
          <w:sz w:val="20"/>
          <w:szCs w:val="20"/>
        </w:rPr>
        <w:t>7.9.1 发包人要求承包人提前竣工的，发包人应通过监理人向承包人下达提前竣工指示，承包人</w:t>
      </w:r>
      <w:r>
        <w:rPr>
          <w:rFonts w:ascii="宋体" w:hAnsi="宋体" w:eastAsia="宋体" w:cs="宋体"/>
          <w:spacing w:val="1"/>
          <w:sz w:val="20"/>
          <w:szCs w:val="20"/>
        </w:rPr>
        <w:t>应向发包人和监理人提交提前竣工建议书，提前竣工建议书应包括实施的方案、缩短的时间</w:t>
      </w:r>
      <w:r>
        <w:rPr>
          <w:rFonts w:ascii="宋体" w:hAnsi="宋体" w:eastAsia="宋体" w:cs="宋体"/>
          <w:sz w:val="20"/>
          <w:szCs w:val="20"/>
        </w:rPr>
        <w:t>、增加的</w:t>
      </w:r>
      <w:r>
        <w:rPr>
          <w:rFonts w:ascii="宋体" w:hAnsi="宋体" w:eastAsia="宋体" w:cs="宋体"/>
          <w:spacing w:val="1"/>
          <w:sz w:val="20"/>
          <w:szCs w:val="20"/>
        </w:rPr>
        <w:t>合同价格等内容。发包人接受该提前竣工建议书的，监理人应与发包人和承包人协商采取加</w:t>
      </w:r>
      <w:r>
        <w:rPr>
          <w:rFonts w:ascii="宋体" w:hAnsi="宋体" w:eastAsia="宋体" w:cs="宋体"/>
          <w:sz w:val="20"/>
          <w:szCs w:val="20"/>
        </w:rPr>
        <w:t>快工程进</w:t>
      </w:r>
      <w:r>
        <w:rPr>
          <w:rFonts w:ascii="宋体" w:hAnsi="宋体" w:eastAsia="宋体" w:cs="宋体"/>
          <w:spacing w:val="1"/>
          <w:sz w:val="20"/>
          <w:szCs w:val="20"/>
        </w:rPr>
        <w:t>度的措施，并修订施工进度计划，由此增加的费用由发包人承担。承包人认为提前竣工指示</w:t>
      </w:r>
      <w:r>
        <w:rPr>
          <w:rFonts w:ascii="宋体" w:hAnsi="宋体" w:eastAsia="宋体" w:cs="宋体"/>
          <w:sz w:val="20"/>
          <w:szCs w:val="20"/>
        </w:rPr>
        <w:t>无法执行</w:t>
      </w:r>
      <w:r>
        <w:rPr>
          <w:rFonts w:ascii="宋体" w:hAnsi="宋体" w:eastAsia="宋体" w:cs="宋体"/>
          <w:spacing w:val="1"/>
          <w:sz w:val="20"/>
          <w:szCs w:val="20"/>
        </w:rPr>
        <w:t>的，应向监理人和发包人提出书面异议，发包人和监</w:t>
      </w:r>
      <w:r>
        <w:rPr>
          <w:rFonts w:ascii="宋体" w:hAnsi="宋体" w:eastAsia="宋体" w:cs="宋体"/>
          <w:sz w:val="20"/>
          <w:szCs w:val="20"/>
        </w:rPr>
        <w:t>理人应在收到异议后</w:t>
      </w:r>
      <w:r>
        <w:rPr>
          <w:rFonts w:ascii="宋体" w:hAnsi="宋体" w:eastAsia="宋体" w:cs="宋体"/>
          <w:spacing w:val="-42"/>
          <w:sz w:val="20"/>
          <w:szCs w:val="20"/>
        </w:rPr>
        <w:t xml:space="preserve"> </w:t>
      </w:r>
      <w:r>
        <w:rPr>
          <w:rFonts w:ascii="宋体" w:hAnsi="宋体" w:eastAsia="宋体" w:cs="宋体"/>
          <w:sz w:val="20"/>
          <w:szCs w:val="20"/>
        </w:rPr>
        <w:t>7</w:t>
      </w:r>
      <w:r>
        <w:rPr>
          <w:rFonts w:ascii="宋体" w:hAnsi="宋体" w:eastAsia="宋体" w:cs="宋体"/>
          <w:spacing w:val="-41"/>
          <w:sz w:val="20"/>
          <w:szCs w:val="20"/>
        </w:rPr>
        <w:t xml:space="preserve"> </w:t>
      </w:r>
      <w:r>
        <w:rPr>
          <w:rFonts w:ascii="宋体" w:hAnsi="宋体" w:eastAsia="宋体" w:cs="宋体"/>
          <w:sz w:val="20"/>
          <w:szCs w:val="20"/>
        </w:rPr>
        <w:t>天内予以答复。任何情况</w:t>
      </w:r>
      <w:r>
        <w:rPr>
          <w:rFonts w:ascii="宋体" w:hAnsi="宋体" w:eastAsia="宋体" w:cs="宋体"/>
          <w:spacing w:val="1"/>
          <w:sz w:val="20"/>
          <w:szCs w:val="20"/>
        </w:rPr>
        <w:t>下，发包人不得压缩合理工期。</w:t>
      </w:r>
    </w:p>
    <w:p w14:paraId="5D8FF1E0">
      <w:pPr>
        <w:spacing w:line="346" w:lineRule="auto"/>
        <w:rPr>
          <w:rFonts w:ascii="宋体" w:hAnsi="宋体" w:eastAsia="宋体" w:cs="宋体"/>
          <w:sz w:val="20"/>
          <w:szCs w:val="20"/>
        </w:rPr>
        <w:sectPr>
          <w:footerReference r:id="rId359" w:type="default"/>
          <w:pgSz w:w="11906" w:h="16839"/>
          <w:pgMar w:top="400" w:right="1462" w:bottom="1446" w:left="1538" w:header="0" w:footer="1284" w:gutter="0"/>
          <w:cols w:space="720" w:num="1"/>
        </w:sectPr>
      </w:pPr>
    </w:p>
    <w:p w14:paraId="527BC04B">
      <w:pPr>
        <w:spacing w:line="246" w:lineRule="auto"/>
        <w:rPr>
          <w:rFonts w:ascii="Arial"/>
          <w:sz w:val="21"/>
        </w:rPr>
      </w:pPr>
    </w:p>
    <w:p w14:paraId="7BFF3019">
      <w:pPr>
        <w:spacing w:line="246" w:lineRule="auto"/>
        <w:rPr>
          <w:rFonts w:ascii="Arial"/>
          <w:sz w:val="21"/>
        </w:rPr>
      </w:pPr>
    </w:p>
    <w:p w14:paraId="27474E42">
      <w:pPr>
        <w:spacing w:line="246" w:lineRule="auto"/>
        <w:rPr>
          <w:rFonts w:ascii="Arial"/>
          <w:sz w:val="21"/>
        </w:rPr>
      </w:pPr>
    </w:p>
    <w:p w14:paraId="4C80D884">
      <w:pPr>
        <w:spacing w:line="246" w:lineRule="auto"/>
        <w:rPr>
          <w:rFonts w:ascii="Arial"/>
          <w:sz w:val="21"/>
        </w:rPr>
      </w:pPr>
    </w:p>
    <w:p w14:paraId="052CC577">
      <w:pPr>
        <w:spacing w:line="247" w:lineRule="auto"/>
        <w:rPr>
          <w:rFonts w:ascii="Arial"/>
          <w:sz w:val="21"/>
        </w:rPr>
      </w:pPr>
    </w:p>
    <w:p w14:paraId="37D48B2B">
      <w:pPr>
        <w:spacing w:line="247" w:lineRule="auto"/>
        <w:rPr>
          <w:rFonts w:ascii="Arial"/>
          <w:sz w:val="21"/>
        </w:rPr>
      </w:pPr>
    </w:p>
    <w:p w14:paraId="6B103F54">
      <w:pPr>
        <w:spacing w:before="65" w:line="347" w:lineRule="auto"/>
        <w:ind w:left="2" w:right="16" w:firstLine="424"/>
        <w:rPr>
          <w:rFonts w:ascii="宋体" w:hAnsi="宋体" w:eastAsia="宋体" w:cs="宋体"/>
          <w:sz w:val="20"/>
          <w:szCs w:val="20"/>
        </w:rPr>
      </w:pPr>
      <w:r>
        <w:rPr>
          <w:rFonts w:ascii="宋体" w:hAnsi="宋体" w:eastAsia="宋体" w:cs="宋体"/>
          <w:spacing w:val="6"/>
          <w:sz w:val="20"/>
          <w:szCs w:val="20"/>
        </w:rPr>
        <w:t>7.9.2 发包人要求承包人提前竣工，或承包人提出提前竣工的建议能够给发包人带来效益</w:t>
      </w:r>
      <w:r>
        <w:rPr>
          <w:rFonts w:ascii="宋体" w:hAnsi="宋体" w:eastAsia="宋体" w:cs="宋体"/>
          <w:spacing w:val="5"/>
          <w:sz w:val="20"/>
          <w:szCs w:val="20"/>
        </w:rPr>
        <w:t>的，</w:t>
      </w:r>
      <w:r>
        <w:rPr>
          <w:rFonts w:ascii="宋体" w:hAnsi="宋体" w:eastAsia="宋体" w:cs="宋体"/>
          <w:spacing w:val="9"/>
          <w:sz w:val="20"/>
          <w:szCs w:val="20"/>
        </w:rPr>
        <w:t>合同当事人可以在专用合同条款中约定提前竣工的奖励。</w:t>
      </w:r>
    </w:p>
    <w:p w14:paraId="03266B37">
      <w:pPr>
        <w:spacing w:line="304" w:lineRule="auto"/>
        <w:rPr>
          <w:rFonts w:ascii="Arial"/>
          <w:sz w:val="21"/>
        </w:rPr>
      </w:pPr>
    </w:p>
    <w:p w14:paraId="71A7568D">
      <w:pPr>
        <w:spacing w:before="65" w:line="227" w:lineRule="auto"/>
        <w:ind w:left="422"/>
        <w:outlineLvl w:val="2"/>
        <w:rPr>
          <w:rFonts w:ascii="宋体" w:hAnsi="宋体" w:eastAsia="宋体" w:cs="宋体"/>
          <w:sz w:val="20"/>
          <w:szCs w:val="20"/>
        </w:rPr>
      </w:pPr>
      <w:bookmarkStart w:id="313" w:name="bookmark296"/>
      <w:bookmarkEnd w:id="313"/>
      <w:r>
        <w:rPr>
          <w:rFonts w:ascii="宋体" w:hAnsi="宋体" w:eastAsia="宋体" w:cs="宋体"/>
          <w:b/>
          <w:bCs/>
          <w:spacing w:val="5"/>
          <w:sz w:val="20"/>
          <w:szCs w:val="20"/>
        </w:rPr>
        <w:t>8.</w:t>
      </w:r>
      <w:r>
        <w:rPr>
          <w:rFonts w:ascii="宋体" w:hAnsi="宋体" w:eastAsia="宋体" w:cs="宋体"/>
          <w:spacing w:val="5"/>
          <w:sz w:val="20"/>
          <w:szCs w:val="20"/>
        </w:rPr>
        <w:t xml:space="preserve"> </w:t>
      </w:r>
      <w:r>
        <w:rPr>
          <w:rFonts w:ascii="宋体" w:hAnsi="宋体" w:eastAsia="宋体" w:cs="宋体"/>
          <w:b/>
          <w:bCs/>
          <w:spacing w:val="5"/>
          <w:sz w:val="20"/>
          <w:szCs w:val="20"/>
        </w:rPr>
        <w:t>材料与设备</w:t>
      </w:r>
    </w:p>
    <w:p w14:paraId="06DD20E4">
      <w:pPr>
        <w:spacing w:before="128" w:line="227" w:lineRule="auto"/>
        <w:ind w:left="422"/>
        <w:rPr>
          <w:rFonts w:ascii="宋体" w:hAnsi="宋体" w:eastAsia="宋体" w:cs="宋体"/>
          <w:sz w:val="20"/>
          <w:szCs w:val="20"/>
        </w:rPr>
      </w:pPr>
      <w:r>
        <w:rPr>
          <w:rFonts w:ascii="宋体" w:hAnsi="宋体" w:eastAsia="宋体" w:cs="宋体"/>
          <w:b/>
          <w:bCs/>
          <w:spacing w:val="6"/>
          <w:sz w:val="20"/>
          <w:szCs w:val="20"/>
        </w:rPr>
        <w:t>8.1</w:t>
      </w:r>
      <w:r>
        <w:rPr>
          <w:rFonts w:ascii="宋体" w:hAnsi="宋体" w:eastAsia="宋体" w:cs="宋体"/>
          <w:spacing w:val="6"/>
          <w:sz w:val="20"/>
          <w:szCs w:val="20"/>
        </w:rPr>
        <w:t xml:space="preserve"> </w:t>
      </w:r>
      <w:r>
        <w:rPr>
          <w:rFonts w:ascii="宋体" w:hAnsi="宋体" w:eastAsia="宋体" w:cs="宋体"/>
          <w:b/>
          <w:bCs/>
          <w:spacing w:val="6"/>
          <w:sz w:val="20"/>
          <w:szCs w:val="20"/>
        </w:rPr>
        <w:t>发包人供应材料与工程设备</w:t>
      </w:r>
    </w:p>
    <w:p w14:paraId="49DF8EC9">
      <w:pPr>
        <w:spacing w:before="127" w:line="346" w:lineRule="auto"/>
        <w:ind w:left="1" w:firstLine="423"/>
        <w:rPr>
          <w:rFonts w:ascii="宋体" w:hAnsi="宋体" w:eastAsia="宋体" w:cs="宋体"/>
          <w:sz w:val="20"/>
          <w:szCs w:val="20"/>
        </w:rPr>
      </w:pPr>
      <w:r>
        <w:rPr>
          <w:rFonts w:ascii="宋体" w:hAnsi="宋体" w:eastAsia="宋体" w:cs="宋体"/>
          <w:spacing w:val="10"/>
          <w:sz w:val="20"/>
          <w:szCs w:val="20"/>
        </w:rPr>
        <w:t>发包人自行供应材料、工程设备的，应在签订合同时在专用合同条款的附件《发包人供应材</w:t>
      </w:r>
      <w:r>
        <w:rPr>
          <w:rFonts w:ascii="宋体" w:hAnsi="宋体" w:eastAsia="宋体" w:cs="宋体"/>
          <w:spacing w:val="7"/>
          <w:sz w:val="20"/>
          <w:szCs w:val="20"/>
        </w:rPr>
        <w:t>料设备一览表》中明确材料、工程设备的品种、规格、型号、数量、单价、质量等级和送达地点。</w:t>
      </w:r>
    </w:p>
    <w:p w14:paraId="40239900">
      <w:pPr>
        <w:spacing w:before="2" w:line="345" w:lineRule="auto"/>
        <w:ind w:left="1" w:right="70" w:firstLine="420"/>
        <w:rPr>
          <w:rFonts w:ascii="宋体" w:hAnsi="宋体" w:eastAsia="宋体" w:cs="宋体"/>
          <w:sz w:val="20"/>
          <w:szCs w:val="20"/>
        </w:rPr>
      </w:pPr>
      <w:r>
        <w:rPr>
          <w:rFonts w:ascii="宋体" w:hAnsi="宋体" w:eastAsia="宋体" w:cs="宋体"/>
          <w:spacing w:val="7"/>
          <w:sz w:val="20"/>
          <w:szCs w:val="20"/>
        </w:rPr>
        <w:t>承包人应提前</w:t>
      </w:r>
      <w:r>
        <w:rPr>
          <w:rFonts w:ascii="宋体" w:hAnsi="宋体" w:eastAsia="宋体" w:cs="宋体"/>
          <w:spacing w:val="-33"/>
          <w:sz w:val="20"/>
          <w:szCs w:val="20"/>
        </w:rPr>
        <w:t xml:space="preserve"> </w:t>
      </w:r>
      <w:r>
        <w:rPr>
          <w:rFonts w:ascii="宋体" w:hAnsi="宋体" w:eastAsia="宋体" w:cs="宋体"/>
          <w:spacing w:val="7"/>
          <w:sz w:val="20"/>
          <w:szCs w:val="20"/>
        </w:rPr>
        <w:t>30</w:t>
      </w:r>
      <w:r>
        <w:rPr>
          <w:rFonts w:ascii="宋体" w:hAnsi="宋体" w:eastAsia="宋体" w:cs="宋体"/>
          <w:spacing w:val="-36"/>
          <w:sz w:val="20"/>
          <w:szCs w:val="20"/>
        </w:rPr>
        <w:t xml:space="preserve"> </w:t>
      </w:r>
      <w:r>
        <w:rPr>
          <w:rFonts w:ascii="宋体" w:hAnsi="宋体" w:eastAsia="宋体" w:cs="宋体"/>
          <w:spacing w:val="7"/>
          <w:sz w:val="20"/>
          <w:szCs w:val="20"/>
        </w:rPr>
        <w:t>天通过监理人以书面形式通知发包人供应材料与工程设备进场</w:t>
      </w:r>
      <w:r>
        <w:rPr>
          <w:rFonts w:ascii="宋体" w:hAnsi="宋体" w:eastAsia="宋体" w:cs="宋体"/>
          <w:spacing w:val="6"/>
          <w:sz w:val="20"/>
          <w:szCs w:val="20"/>
        </w:rPr>
        <w:t>。承包人按照</w:t>
      </w:r>
      <w:r>
        <w:rPr>
          <w:rFonts w:ascii="宋体" w:hAnsi="宋体" w:eastAsia="宋体" w:cs="宋体"/>
          <w:spacing w:val="9"/>
          <w:sz w:val="20"/>
          <w:szCs w:val="20"/>
        </w:rPr>
        <w:t>第</w:t>
      </w:r>
      <w:r>
        <w:rPr>
          <w:rFonts w:ascii="宋体" w:hAnsi="宋体" w:eastAsia="宋体" w:cs="宋体"/>
          <w:spacing w:val="-30"/>
          <w:sz w:val="20"/>
          <w:szCs w:val="20"/>
        </w:rPr>
        <w:t xml:space="preserve"> </w:t>
      </w:r>
      <w:r>
        <w:rPr>
          <w:rFonts w:ascii="宋体" w:hAnsi="宋体" w:eastAsia="宋体" w:cs="宋体"/>
          <w:spacing w:val="9"/>
          <w:sz w:val="20"/>
          <w:szCs w:val="20"/>
        </w:rPr>
        <w:t>7.2.2</w:t>
      </w:r>
      <w:r>
        <w:rPr>
          <w:rFonts w:ascii="宋体" w:hAnsi="宋体" w:eastAsia="宋体" w:cs="宋体"/>
          <w:spacing w:val="-34"/>
          <w:sz w:val="20"/>
          <w:szCs w:val="20"/>
        </w:rPr>
        <w:t xml:space="preserve"> </w:t>
      </w:r>
      <w:r>
        <w:rPr>
          <w:rFonts w:ascii="宋体" w:hAnsi="宋体" w:eastAsia="宋体" w:cs="宋体"/>
          <w:spacing w:val="9"/>
          <w:sz w:val="20"/>
          <w:szCs w:val="20"/>
        </w:rPr>
        <w:t>项〔施工进度计划的修订〕约定修订施工进度计划时，需同时提交经修订后的发包人供</w:t>
      </w:r>
      <w:r>
        <w:rPr>
          <w:rFonts w:ascii="宋体" w:hAnsi="宋体" w:eastAsia="宋体" w:cs="宋体"/>
          <w:spacing w:val="8"/>
          <w:sz w:val="20"/>
          <w:szCs w:val="20"/>
        </w:rPr>
        <w:t>应材料与工程设备的进场计划。</w:t>
      </w:r>
    </w:p>
    <w:p w14:paraId="31F5EA82">
      <w:pPr>
        <w:spacing w:before="1" w:line="226" w:lineRule="auto"/>
        <w:ind w:left="422"/>
        <w:rPr>
          <w:rFonts w:ascii="宋体" w:hAnsi="宋体" w:eastAsia="宋体" w:cs="宋体"/>
          <w:sz w:val="20"/>
          <w:szCs w:val="20"/>
        </w:rPr>
      </w:pPr>
      <w:r>
        <w:rPr>
          <w:rFonts w:ascii="宋体" w:hAnsi="宋体" w:eastAsia="宋体" w:cs="宋体"/>
          <w:b/>
          <w:bCs/>
          <w:spacing w:val="6"/>
          <w:sz w:val="20"/>
          <w:szCs w:val="20"/>
        </w:rPr>
        <w:t>8.2</w:t>
      </w:r>
      <w:r>
        <w:rPr>
          <w:rFonts w:ascii="宋体" w:hAnsi="宋体" w:eastAsia="宋体" w:cs="宋体"/>
          <w:spacing w:val="6"/>
          <w:sz w:val="20"/>
          <w:szCs w:val="20"/>
        </w:rPr>
        <w:t xml:space="preserve"> </w:t>
      </w:r>
      <w:r>
        <w:rPr>
          <w:rFonts w:ascii="宋体" w:hAnsi="宋体" w:eastAsia="宋体" w:cs="宋体"/>
          <w:b/>
          <w:bCs/>
          <w:spacing w:val="6"/>
          <w:sz w:val="20"/>
          <w:szCs w:val="20"/>
        </w:rPr>
        <w:t>承包人采购材料与工程设备</w:t>
      </w:r>
    </w:p>
    <w:p w14:paraId="2FD56C30">
      <w:pPr>
        <w:spacing w:before="126" w:line="346" w:lineRule="auto"/>
        <w:ind w:right="71" w:firstLine="420"/>
        <w:jc w:val="both"/>
        <w:rPr>
          <w:rFonts w:ascii="宋体" w:hAnsi="宋体" w:eastAsia="宋体" w:cs="宋体"/>
          <w:sz w:val="20"/>
          <w:szCs w:val="20"/>
        </w:rPr>
      </w:pPr>
      <w:r>
        <w:rPr>
          <w:rFonts w:ascii="宋体" w:hAnsi="宋体" w:eastAsia="宋体" w:cs="宋体"/>
          <w:spacing w:val="10"/>
          <w:sz w:val="20"/>
          <w:szCs w:val="20"/>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w:t>
      </w:r>
      <w:r>
        <w:rPr>
          <w:rFonts w:ascii="宋体" w:hAnsi="宋体" w:eastAsia="宋体" w:cs="宋体"/>
          <w:spacing w:val="8"/>
          <w:sz w:val="20"/>
          <w:szCs w:val="20"/>
        </w:rPr>
        <w:t>由发包人承担相应责任。</w:t>
      </w:r>
    </w:p>
    <w:p w14:paraId="7D504E38">
      <w:pPr>
        <w:spacing w:before="1" w:line="226" w:lineRule="auto"/>
        <w:ind w:left="422"/>
        <w:rPr>
          <w:rFonts w:ascii="宋体" w:hAnsi="宋体" w:eastAsia="宋体" w:cs="宋体"/>
          <w:sz w:val="20"/>
          <w:szCs w:val="20"/>
        </w:rPr>
      </w:pPr>
      <w:r>
        <w:rPr>
          <w:rFonts w:ascii="宋体" w:hAnsi="宋体" w:eastAsia="宋体" w:cs="宋体"/>
          <w:b/>
          <w:bCs/>
          <w:spacing w:val="6"/>
          <w:sz w:val="20"/>
          <w:szCs w:val="20"/>
        </w:rPr>
        <w:t>8.3</w:t>
      </w:r>
      <w:r>
        <w:rPr>
          <w:rFonts w:ascii="宋体" w:hAnsi="宋体" w:eastAsia="宋体" w:cs="宋体"/>
          <w:spacing w:val="6"/>
          <w:sz w:val="20"/>
          <w:szCs w:val="20"/>
        </w:rPr>
        <w:t xml:space="preserve"> </w:t>
      </w:r>
      <w:r>
        <w:rPr>
          <w:rFonts w:ascii="宋体" w:hAnsi="宋体" w:eastAsia="宋体" w:cs="宋体"/>
          <w:b/>
          <w:bCs/>
          <w:spacing w:val="6"/>
          <w:sz w:val="20"/>
          <w:szCs w:val="20"/>
        </w:rPr>
        <w:t>材料与工程设备的接收与拒收</w:t>
      </w:r>
    </w:p>
    <w:p w14:paraId="1600A77F">
      <w:pPr>
        <w:spacing w:before="128" w:line="346" w:lineRule="auto"/>
        <w:ind w:left="1" w:firstLine="420"/>
        <w:jc w:val="both"/>
        <w:rPr>
          <w:rFonts w:ascii="宋体" w:hAnsi="宋体" w:eastAsia="宋体" w:cs="宋体"/>
          <w:sz w:val="20"/>
          <w:szCs w:val="20"/>
        </w:rPr>
      </w:pPr>
      <w:r>
        <w:rPr>
          <w:rFonts w:ascii="宋体" w:hAnsi="宋体" w:eastAsia="宋体" w:cs="宋体"/>
          <w:spacing w:val="10"/>
          <w:sz w:val="20"/>
          <w:szCs w:val="20"/>
        </w:rPr>
        <w:t>8.3.1 发包人应按《发包人供应材料设备一览表</w:t>
      </w:r>
      <w:r>
        <w:rPr>
          <w:rFonts w:ascii="宋体" w:hAnsi="宋体" w:eastAsia="宋体" w:cs="宋体"/>
          <w:spacing w:val="9"/>
          <w:sz w:val="20"/>
          <w:szCs w:val="20"/>
        </w:rPr>
        <w:t>》约定的内容提供材料和工程设备，并向承</w:t>
      </w:r>
      <w:r>
        <w:rPr>
          <w:rFonts w:ascii="宋体" w:hAnsi="宋体" w:eastAsia="宋体" w:cs="宋体"/>
          <w:spacing w:val="4"/>
          <w:sz w:val="20"/>
          <w:szCs w:val="20"/>
        </w:rPr>
        <w:t>包人提供产品合格证明及出厂证明，对其质量负责。发包人应提前</w:t>
      </w:r>
      <w:r>
        <w:rPr>
          <w:rFonts w:ascii="宋体" w:hAnsi="宋体" w:eastAsia="宋体" w:cs="宋体"/>
          <w:spacing w:val="-34"/>
          <w:sz w:val="20"/>
          <w:szCs w:val="20"/>
        </w:rPr>
        <w:t xml:space="preserve"> </w:t>
      </w:r>
      <w:r>
        <w:rPr>
          <w:rFonts w:ascii="宋体" w:hAnsi="宋体" w:eastAsia="宋体" w:cs="宋体"/>
          <w:spacing w:val="4"/>
          <w:sz w:val="20"/>
          <w:szCs w:val="20"/>
        </w:rPr>
        <w:t>24</w:t>
      </w:r>
      <w:r>
        <w:rPr>
          <w:rFonts w:ascii="宋体" w:hAnsi="宋体" w:eastAsia="宋体" w:cs="宋体"/>
          <w:spacing w:val="-35"/>
          <w:sz w:val="20"/>
          <w:szCs w:val="20"/>
        </w:rPr>
        <w:t xml:space="preserve"> </w:t>
      </w:r>
      <w:r>
        <w:rPr>
          <w:rFonts w:ascii="宋体" w:hAnsi="宋体" w:eastAsia="宋体" w:cs="宋体"/>
          <w:spacing w:val="4"/>
          <w:sz w:val="20"/>
          <w:szCs w:val="20"/>
        </w:rPr>
        <w:t>小时以书面形式通知</w:t>
      </w:r>
      <w:r>
        <w:rPr>
          <w:rFonts w:ascii="宋体" w:hAnsi="宋体" w:eastAsia="宋体" w:cs="宋体"/>
          <w:spacing w:val="3"/>
          <w:sz w:val="20"/>
          <w:szCs w:val="20"/>
        </w:rPr>
        <w:t>承包人、</w:t>
      </w:r>
      <w:r>
        <w:rPr>
          <w:rFonts w:ascii="宋体" w:hAnsi="宋体" w:eastAsia="宋体" w:cs="宋体"/>
          <w:spacing w:val="9"/>
          <w:sz w:val="20"/>
          <w:szCs w:val="20"/>
        </w:rPr>
        <w:t>监理人材料和工程设备到货时间，承包人负责材料和工程设备的清点、检验和接收。</w:t>
      </w:r>
    </w:p>
    <w:p w14:paraId="0461A7C1">
      <w:pPr>
        <w:spacing w:before="1" w:line="345" w:lineRule="auto"/>
        <w:ind w:left="5" w:right="71" w:firstLine="419"/>
        <w:rPr>
          <w:rFonts w:ascii="宋体" w:hAnsi="宋体" w:eastAsia="宋体" w:cs="宋体"/>
          <w:sz w:val="20"/>
          <w:szCs w:val="20"/>
        </w:rPr>
      </w:pPr>
      <w:r>
        <w:rPr>
          <w:rFonts w:ascii="宋体" w:hAnsi="宋体" w:eastAsia="宋体" w:cs="宋体"/>
          <w:spacing w:val="10"/>
          <w:sz w:val="20"/>
          <w:szCs w:val="20"/>
        </w:rPr>
        <w:t>发包人提供的材料和工程设备的规格、数量或质量不符合合同约定的，或因发包人原因导致</w:t>
      </w:r>
      <w:r>
        <w:rPr>
          <w:rFonts w:ascii="宋体" w:hAnsi="宋体" w:eastAsia="宋体" w:cs="宋体"/>
          <w:spacing w:val="8"/>
          <w:sz w:val="20"/>
          <w:szCs w:val="20"/>
        </w:rPr>
        <w:t>交货日期延误或交货地点变更等情况的，按照第</w:t>
      </w:r>
      <w:r>
        <w:rPr>
          <w:rFonts w:ascii="宋体" w:hAnsi="宋体" w:eastAsia="宋体" w:cs="宋体"/>
          <w:spacing w:val="-23"/>
          <w:sz w:val="20"/>
          <w:szCs w:val="20"/>
        </w:rPr>
        <w:t xml:space="preserve"> </w:t>
      </w:r>
      <w:r>
        <w:rPr>
          <w:rFonts w:ascii="宋体" w:hAnsi="宋体" w:eastAsia="宋体" w:cs="宋体"/>
          <w:spacing w:val="8"/>
          <w:sz w:val="20"/>
          <w:szCs w:val="20"/>
        </w:rPr>
        <w:t>16.1</w:t>
      </w:r>
      <w:r>
        <w:rPr>
          <w:rFonts w:ascii="宋体" w:hAnsi="宋体" w:eastAsia="宋体" w:cs="宋体"/>
          <w:spacing w:val="-40"/>
          <w:sz w:val="20"/>
          <w:szCs w:val="20"/>
        </w:rPr>
        <w:t xml:space="preserve"> </w:t>
      </w:r>
      <w:r>
        <w:rPr>
          <w:rFonts w:ascii="宋体" w:hAnsi="宋体" w:eastAsia="宋体" w:cs="宋体"/>
          <w:spacing w:val="8"/>
          <w:sz w:val="20"/>
          <w:szCs w:val="20"/>
        </w:rPr>
        <w:t>款〔发包人违约〕约定</w:t>
      </w:r>
      <w:r>
        <w:rPr>
          <w:rFonts w:ascii="宋体" w:hAnsi="宋体" w:eastAsia="宋体" w:cs="宋体"/>
          <w:spacing w:val="7"/>
          <w:sz w:val="20"/>
          <w:szCs w:val="20"/>
        </w:rPr>
        <w:t>办理。</w:t>
      </w:r>
    </w:p>
    <w:p w14:paraId="7073EE29">
      <w:pPr>
        <w:spacing w:before="2" w:line="345" w:lineRule="auto"/>
        <w:ind w:left="6" w:right="16" w:firstLine="415"/>
        <w:jc w:val="both"/>
        <w:rPr>
          <w:rFonts w:ascii="宋体" w:hAnsi="宋体" w:eastAsia="宋体" w:cs="宋体"/>
          <w:sz w:val="20"/>
          <w:szCs w:val="20"/>
        </w:rPr>
      </w:pPr>
      <w:r>
        <w:rPr>
          <w:rFonts w:ascii="宋体" w:hAnsi="宋体" w:eastAsia="宋体" w:cs="宋体"/>
          <w:spacing w:val="10"/>
          <w:sz w:val="20"/>
          <w:szCs w:val="20"/>
        </w:rPr>
        <w:t>8.3.2 承包人采购的材料和工程设备，应保证产</w:t>
      </w:r>
      <w:r>
        <w:rPr>
          <w:rFonts w:ascii="宋体" w:hAnsi="宋体" w:eastAsia="宋体" w:cs="宋体"/>
          <w:spacing w:val="9"/>
          <w:sz w:val="20"/>
          <w:szCs w:val="20"/>
        </w:rPr>
        <w:t>品质量合格，承包人应在材料和工程设备到</w:t>
      </w:r>
      <w:r>
        <w:rPr>
          <w:rFonts w:ascii="宋体" w:hAnsi="宋体" w:eastAsia="宋体" w:cs="宋体"/>
          <w:spacing w:val="4"/>
          <w:sz w:val="20"/>
          <w:szCs w:val="20"/>
        </w:rPr>
        <w:t>货前</w:t>
      </w:r>
      <w:r>
        <w:rPr>
          <w:rFonts w:ascii="宋体" w:hAnsi="宋体" w:eastAsia="宋体" w:cs="宋体"/>
          <w:spacing w:val="-35"/>
          <w:sz w:val="20"/>
          <w:szCs w:val="20"/>
        </w:rPr>
        <w:t xml:space="preserve"> </w:t>
      </w:r>
      <w:r>
        <w:rPr>
          <w:rFonts w:ascii="宋体" w:hAnsi="宋体" w:eastAsia="宋体" w:cs="宋体"/>
          <w:spacing w:val="4"/>
          <w:sz w:val="20"/>
          <w:szCs w:val="20"/>
        </w:rPr>
        <w:t>24</w:t>
      </w:r>
      <w:r>
        <w:rPr>
          <w:rFonts w:ascii="宋体" w:hAnsi="宋体" w:eastAsia="宋体" w:cs="宋体"/>
          <w:spacing w:val="-34"/>
          <w:sz w:val="20"/>
          <w:szCs w:val="20"/>
        </w:rPr>
        <w:t xml:space="preserve"> </w:t>
      </w:r>
      <w:r>
        <w:rPr>
          <w:rFonts w:ascii="宋体" w:hAnsi="宋体" w:eastAsia="宋体" w:cs="宋体"/>
          <w:spacing w:val="4"/>
          <w:sz w:val="20"/>
          <w:szCs w:val="20"/>
        </w:rPr>
        <w:t>小时通知监理人检验。承包人进行</w:t>
      </w:r>
      <w:r>
        <w:rPr>
          <w:rFonts w:ascii="宋体" w:hAnsi="宋体" w:eastAsia="宋体" w:cs="宋体"/>
          <w:spacing w:val="3"/>
          <w:sz w:val="20"/>
          <w:szCs w:val="20"/>
        </w:rPr>
        <w:t>永久设备、材料的制造和生产的，应符合相关质量标准，</w:t>
      </w:r>
      <w:r>
        <w:rPr>
          <w:rFonts w:ascii="宋体" w:hAnsi="宋体" w:eastAsia="宋体" w:cs="宋体"/>
          <w:spacing w:val="9"/>
          <w:sz w:val="20"/>
          <w:szCs w:val="20"/>
        </w:rPr>
        <w:t>并向监理人提交材料的样本以及有关资料，并应在使用该材料或工程设备之前获得监理人同意。</w:t>
      </w:r>
    </w:p>
    <w:p w14:paraId="1E842A32">
      <w:pPr>
        <w:spacing w:before="2" w:line="345" w:lineRule="auto"/>
        <w:ind w:left="1" w:right="70" w:firstLine="525"/>
        <w:jc w:val="both"/>
        <w:rPr>
          <w:rFonts w:ascii="宋体" w:hAnsi="宋体" w:eastAsia="宋体" w:cs="宋体"/>
          <w:sz w:val="20"/>
          <w:szCs w:val="20"/>
        </w:rPr>
      </w:pPr>
      <w:r>
        <w:rPr>
          <w:rFonts w:ascii="宋体" w:hAnsi="宋体" w:eastAsia="宋体" w:cs="宋体"/>
          <w:spacing w:val="8"/>
          <w:sz w:val="20"/>
          <w:szCs w:val="20"/>
        </w:rPr>
        <w:t>承包人采购的材料和工程设备不符合设计或有关标准要求时</w:t>
      </w:r>
      <w:r>
        <w:rPr>
          <w:rFonts w:ascii="宋体" w:hAnsi="宋体" w:eastAsia="宋体" w:cs="宋体"/>
          <w:spacing w:val="7"/>
          <w:sz w:val="20"/>
          <w:szCs w:val="20"/>
        </w:rPr>
        <w:t>，承包人应在监理人要求的合理</w:t>
      </w:r>
      <w:r>
        <w:rPr>
          <w:rFonts w:ascii="宋体" w:hAnsi="宋体" w:eastAsia="宋体" w:cs="宋体"/>
          <w:spacing w:val="10"/>
          <w:sz w:val="20"/>
          <w:szCs w:val="20"/>
        </w:rPr>
        <w:t>期限内将不符合设计或有关标准要求的材料、工程设备运出施工现场，并重新采购符合要求的材</w:t>
      </w:r>
      <w:r>
        <w:rPr>
          <w:rFonts w:ascii="宋体" w:hAnsi="宋体" w:eastAsia="宋体" w:cs="宋体"/>
          <w:spacing w:val="8"/>
          <w:sz w:val="20"/>
          <w:szCs w:val="20"/>
        </w:rPr>
        <w:t>料、工程设备，由此增加的费用和（或）延误的工期，</w:t>
      </w:r>
      <w:r>
        <w:rPr>
          <w:rFonts w:ascii="宋体" w:hAnsi="宋体" w:eastAsia="宋体" w:cs="宋体"/>
          <w:spacing w:val="-58"/>
          <w:sz w:val="20"/>
          <w:szCs w:val="20"/>
        </w:rPr>
        <w:t xml:space="preserve"> </w:t>
      </w:r>
      <w:r>
        <w:rPr>
          <w:rFonts w:ascii="宋体" w:hAnsi="宋体" w:eastAsia="宋体" w:cs="宋体"/>
          <w:spacing w:val="8"/>
          <w:sz w:val="20"/>
          <w:szCs w:val="20"/>
        </w:rPr>
        <w:t>由承包人承</w:t>
      </w:r>
      <w:r>
        <w:rPr>
          <w:rFonts w:ascii="宋体" w:hAnsi="宋体" w:eastAsia="宋体" w:cs="宋体"/>
          <w:spacing w:val="7"/>
          <w:sz w:val="20"/>
          <w:szCs w:val="20"/>
        </w:rPr>
        <w:t>担。</w:t>
      </w:r>
    </w:p>
    <w:p w14:paraId="69AA0479">
      <w:pPr>
        <w:spacing w:before="1" w:line="226" w:lineRule="auto"/>
        <w:ind w:left="422"/>
        <w:rPr>
          <w:rFonts w:ascii="宋体" w:hAnsi="宋体" w:eastAsia="宋体" w:cs="宋体"/>
          <w:sz w:val="20"/>
          <w:szCs w:val="20"/>
        </w:rPr>
      </w:pPr>
      <w:r>
        <w:rPr>
          <w:rFonts w:ascii="宋体" w:hAnsi="宋体" w:eastAsia="宋体" w:cs="宋体"/>
          <w:b/>
          <w:bCs/>
          <w:spacing w:val="6"/>
          <w:sz w:val="20"/>
          <w:szCs w:val="20"/>
        </w:rPr>
        <w:t>8.4</w:t>
      </w:r>
      <w:r>
        <w:rPr>
          <w:rFonts w:ascii="宋体" w:hAnsi="宋体" w:eastAsia="宋体" w:cs="宋体"/>
          <w:spacing w:val="6"/>
          <w:sz w:val="20"/>
          <w:szCs w:val="20"/>
        </w:rPr>
        <w:t xml:space="preserve"> </w:t>
      </w:r>
      <w:r>
        <w:rPr>
          <w:rFonts w:ascii="宋体" w:hAnsi="宋体" w:eastAsia="宋体" w:cs="宋体"/>
          <w:b/>
          <w:bCs/>
          <w:spacing w:val="6"/>
          <w:sz w:val="20"/>
          <w:szCs w:val="20"/>
        </w:rPr>
        <w:t>材料与工程设备的保管与使用</w:t>
      </w:r>
    </w:p>
    <w:p w14:paraId="78F4A96A">
      <w:pPr>
        <w:spacing w:before="128" w:line="227" w:lineRule="auto"/>
        <w:ind w:left="422"/>
        <w:rPr>
          <w:rFonts w:ascii="宋体" w:hAnsi="宋体" w:eastAsia="宋体" w:cs="宋体"/>
          <w:sz w:val="20"/>
          <w:szCs w:val="20"/>
        </w:rPr>
      </w:pPr>
      <w:r>
        <w:rPr>
          <w:rFonts w:ascii="宋体" w:hAnsi="宋体" w:eastAsia="宋体" w:cs="宋体"/>
          <w:b/>
          <w:bCs/>
          <w:spacing w:val="7"/>
          <w:sz w:val="20"/>
          <w:szCs w:val="20"/>
        </w:rPr>
        <w:t>8.4.1</w:t>
      </w:r>
      <w:r>
        <w:rPr>
          <w:rFonts w:ascii="宋体" w:hAnsi="宋体" w:eastAsia="宋体" w:cs="宋体"/>
          <w:spacing w:val="7"/>
          <w:sz w:val="20"/>
          <w:szCs w:val="20"/>
        </w:rPr>
        <w:t xml:space="preserve"> </w:t>
      </w:r>
      <w:r>
        <w:rPr>
          <w:rFonts w:ascii="宋体" w:hAnsi="宋体" w:eastAsia="宋体" w:cs="宋体"/>
          <w:b/>
          <w:bCs/>
          <w:spacing w:val="7"/>
          <w:sz w:val="20"/>
          <w:szCs w:val="20"/>
        </w:rPr>
        <w:t>发包人供应材料与工程设备的保管与使用</w:t>
      </w:r>
    </w:p>
    <w:p w14:paraId="65816C67">
      <w:pPr>
        <w:spacing w:before="127" w:line="346" w:lineRule="auto"/>
        <w:ind w:right="71" w:firstLine="425"/>
        <w:jc w:val="both"/>
        <w:rPr>
          <w:rFonts w:ascii="宋体" w:hAnsi="宋体" w:eastAsia="宋体" w:cs="宋体"/>
          <w:sz w:val="20"/>
          <w:szCs w:val="20"/>
        </w:rPr>
      </w:pPr>
      <w:r>
        <w:rPr>
          <w:rFonts w:ascii="宋体" w:hAnsi="宋体" w:eastAsia="宋体" w:cs="宋体"/>
          <w:spacing w:val="10"/>
          <w:sz w:val="20"/>
          <w:szCs w:val="20"/>
        </w:rPr>
        <w:t>发包人供应的材料和工程设备，承包人清点后由承包人妥善保管，保管费用由发包人承担，但已标价工程量清单或预算书已经列支或专用合同条款另有约定除外。因承包人原因发生丢失毁</w:t>
      </w:r>
      <w:r>
        <w:rPr>
          <w:rFonts w:ascii="宋体" w:hAnsi="宋体" w:eastAsia="宋体" w:cs="宋体"/>
          <w:spacing w:val="9"/>
          <w:sz w:val="20"/>
          <w:szCs w:val="20"/>
        </w:rPr>
        <w:t>损的，</w:t>
      </w:r>
      <w:r>
        <w:rPr>
          <w:rFonts w:ascii="宋体" w:hAnsi="宋体" w:eastAsia="宋体" w:cs="宋体"/>
          <w:spacing w:val="-45"/>
          <w:sz w:val="20"/>
          <w:szCs w:val="20"/>
        </w:rPr>
        <w:t xml:space="preserve"> </w:t>
      </w:r>
      <w:r>
        <w:rPr>
          <w:rFonts w:ascii="宋体" w:hAnsi="宋体" w:eastAsia="宋体" w:cs="宋体"/>
          <w:spacing w:val="9"/>
          <w:sz w:val="20"/>
          <w:szCs w:val="20"/>
        </w:rPr>
        <w:t>由承包人负责赔偿；监理人未通知承包人清点的，承包人不负责材料和工程设备的保管，</w:t>
      </w:r>
      <w:r>
        <w:rPr>
          <w:rFonts w:ascii="宋体" w:hAnsi="宋体" w:eastAsia="宋体" w:cs="宋体"/>
          <w:spacing w:val="8"/>
          <w:sz w:val="20"/>
          <w:szCs w:val="20"/>
        </w:rPr>
        <w:t>由此导致丢失毁损的由发包人负责。</w:t>
      </w:r>
    </w:p>
    <w:p w14:paraId="7C47343C">
      <w:pPr>
        <w:spacing w:before="1" w:line="226" w:lineRule="auto"/>
        <w:ind w:left="425"/>
        <w:rPr>
          <w:rFonts w:ascii="宋体" w:hAnsi="宋体" w:eastAsia="宋体" w:cs="宋体"/>
          <w:sz w:val="20"/>
          <w:szCs w:val="20"/>
        </w:rPr>
      </w:pPr>
      <w:r>
        <w:rPr>
          <w:rFonts w:ascii="宋体" w:hAnsi="宋体" w:eastAsia="宋体" w:cs="宋体"/>
          <w:spacing w:val="9"/>
          <w:sz w:val="20"/>
          <w:szCs w:val="20"/>
        </w:rPr>
        <w:t>发包人供应的材料和工程设备使用前，</w:t>
      </w:r>
      <w:r>
        <w:rPr>
          <w:rFonts w:ascii="宋体" w:hAnsi="宋体" w:eastAsia="宋体" w:cs="宋体"/>
          <w:spacing w:val="-52"/>
          <w:sz w:val="20"/>
          <w:szCs w:val="20"/>
        </w:rPr>
        <w:t xml:space="preserve"> </w:t>
      </w:r>
      <w:r>
        <w:rPr>
          <w:rFonts w:ascii="宋体" w:hAnsi="宋体" w:eastAsia="宋体" w:cs="宋体"/>
          <w:spacing w:val="9"/>
          <w:sz w:val="20"/>
          <w:szCs w:val="20"/>
        </w:rPr>
        <w:t>由承包人负责检验，检验费用由发包人承担，不合格</w:t>
      </w:r>
    </w:p>
    <w:p w14:paraId="267B5603">
      <w:pPr>
        <w:spacing w:line="226" w:lineRule="auto"/>
        <w:rPr>
          <w:rFonts w:ascii="宋体" w:hAnsi="宋体" w:eastAsia="宋体" w:cs="宋体"/>
          <w:sz w:val="20"/>
          <w:szCs w:val="20"/>
        </w:rPr>
        <w:sectPr>
          <w:footerReference r:id="rId360" w:type="default"/>
          <w:pgSz w:w="11906" w:h="16839"/>
          <w:pgMar w:top="400" w:right="1462" w:bottom="1446" w:left="1537" w:header="0" w:footer="1284" w:gutter="0"/>
          <w:cols w:space="720" w:num="1"/>
        </w:sectPr>
      </w:pPr>
    </w:p>
    <w:p w14:paraId="5A19868F">
      <w:pPr>
        <w:spacing w:line="246" w:lineRule="auto"/>
        <w:rPr>
          <w:rFonts w:ascii="Arial"/>
          <w:sz w:val="21"/>
        </w:rPr>
      </w:pPr>
    </w:p>
    <w:p w14:paraId="12436AA2">
      <w:pPr>
        <w:spacing w:line="246" w:lineRule="auto"/>
        <w:rPr>
          <w:rFonts w:ascii="Arial"/>
          <w:sz w:val="21"/>
        </w:rPr>
      </w:pPr>
    </w:p>
    <w:p w14:paraId="59009719">
      <w:pPr>
        <w:spacing w:line="246" w:lineRule="auto"/>
        <w:rPr>
          <w:rFonts w:ascii="Arial"/>
          <w:sz w:val="21"/>
        </w:rPr>
      </w:pPr>
    </w:p>
    <w:p w14:paraId="4963E0AA">
      <w:pPr>
        <w:spacing w:line="246" w:lineRule="auto"/>
        <w:rPr>
          <w:rFonts w:ascii="Arial"/>
          <w:sz w:val="21"/>
        </w:rPr>
      </w:pPr>
    </w:p>
    <w:p w14:paraId="0179D00D">
      <w:pPr>
        <w:spacing w:line="247" w:lineRule="auto"/>
        <w:rPr>
          <w:rFonts w:ascii="Arial"/>
          <w:sz w:val="21"/>
        </w:rPr>
      </w:pPr>
    </w:p>
    <w:p w14:paraId="52B01684">
      <w:pPr>
        <w:spacing w:line="247" w:lineRule="auto"/>
        <w:rPr>
          <w:rFonts w:ascii="Arial"/>
          <w:sz w:val="21"/>
        </w:rPr>
      </w:pPr>
    </w:p>
    <w:p w14:paraId="47E6E270">
      <w:pPr>
        <w:spacing w:before="65" w:line="228" w:lineRule="auto"/>
        <w:ind w:left="17"/>
        <w:rPr>
          <w:rFonts w:ascii="宋体" w:hAnsi="宋体" w:eastAsia="宋体" w:cs="宋体"/>
          <w:sz w:val="20"/>
          <w:szCs w:val="20"/>
        </w:rPr>
      </w:pPr>
      <w:r>
        <w:rPr>
          <w:rFonts w:ascii="宋体" w:hAnsi="宋体" w:eastAsia="宋体" w:cs="宋体"/>
          <w:spacing w:val="3"/>
          <w:sz w:val="20"/>
          <w:szCs w:val="20"/>
        </w:rPr>
        <w:t>的不得使用。</w:t>
      </w:r>
    </w:p>
    <w:p w14:paraId="418DBB78">
      <w:pPr>
        <w:spacing w:before="127" w:line="227" w:lineRule="auto"/>
        <w:ind w:left="420"/>
        <w:rPr>
          <w:rFonts w:ascii="宋体" w:hAnsi="宋体" w:eastAsia="宋体" w:cs="宋体"/>
          <w:sz w:val="20"/>
          <w:szCs w:val="20"/>
        </w:rPr>
      </w:pPr>
      <w:r>
        <w:rPr>
          <w:rFonts w:ascii="宋体" w:hAnsi="宋体" w:eastAsia="宋体" w:cs="宋体"/>
          <w:b/>
          <w:bCs/>
          <w:spacing w:val="7"/>
          <w:sz w:val="20"/>
          <w:szCs w:val="20"/>
        </w:rPr>
        <w:t>8.4.2</w:t>
      </w:r>
      <w:r>
        <w:rPr>
          <w:rFonts w:ascii="宋体" w:hAnsi="宋体" w:eastAsia="宋体" w:cs="宋体"/>
          <w:spacing w:val="7"/>
          <w:sz w:val="20"/>
          <w:szCs w:val="20"/>
        </w:rPr>
        <w:t xml:space="preserve"> </w:t>
      </w:r>
      <w:r>
        <w:rPr>
          <w:rFonts w:ascii="宋体" w:hAnsi="宋体" w:eastAsia="宋体" w:cs="宋体"/>
          <w:b/>
          <w:bCs/>
          <w:spacing w:val="7"/>
          <w:sz w:val="20"/>
          <w:szCs w:val="20"/>
        </w:rPr>
        <w:t>承包人采购材料与工程设备的保管与使用</w:t>
      </w:r>
    </w:p>
    <w:p w14:paraId="7701CA61">
      <w:pPr>
        <w:spacing w:before="127" w:line="346" w:lineRule="auto"/>
        <w:ind w:left="2" w:firstLine="417"/>
        <w:jc w:val="both"/>
        <w:rPr>
          <w:rFonts w:ascii="宋体" w:hAnsi="宋体" w:eastAsia="宋体" w:cs="宋体"/>
          <w:sz w:val="20"/>
          <w:szCs w:val="20"/>
        </w:rPr>
      </w:pPr>
      <w:r>
        <w:rPr>
          <w:rFonts w:ascii="宋体" w:hAnsi="宋体" w:eastAsia="宋体" w:cs="宋体"/>
          <w:spacing w:val="10"/>
          <w:sz w:val="20"/>
          <w:szCs w:val="20"/>
        </w:rPr>
        <w:t>承包人采购的材料和工程设备由承包人妥善保管，保管费用由承包人承担。法律规定材料和工程设备使用前必须进行检验或试验的，承包人应按监理人的要求进行检验或试验，检验或试验</w:t>
      </w:r>
      <w:r>
        <w:rPr>
          <w:rFonts w:ascii="宋体" w:hAnsi="宋体" w:eastAsia="宋体" w:cs="宋体"/>
          <w:spacing w:val="8"/>
          <w:sz w:val="20"/>
          <w:szCs w:val="20"/>
        </w:rPr>
        <w:t>费用由承包人承担，不合格的不得使用。</w:t>
      </w:r>
    </w:p>
    <w:p w14:paraId="5C13FE14">
      <w:pPr>
        <w:spacing w:before="1" w:line="345" w:lineRule="auto"/>
        <w:ind w:firstLine="423"/>
        <w:rPr>
          <w:rFonts w:ascii="宋体" w:hAnsi="宋体" w:eastAsia="宋体" w:cs="宋体"/>
          <w:sz w:val="20"/>
          <w:szCs w:val="20"/>
        </w:rPr>
      </w:pPr>
      <w:r>
        <w:rPr>
          <w:rFonts w:ascii="宋体" w:hAnsi="宋体" w:eastAsia="宋体" w:cs="宋体"/>
          <w:spacing w:val="10"/>
          <w:sz w:val="20"/>
          <w:szCs w:val="20"/>
        </w:rPr>
        <w:t>发包人或监理人发现承包人使用不符合设计或有关标准要求的材料和工程设备时，有权要求</w:t>
      </w:r>
      <w:r>
        <w:rPr>
          <w:rFonts w:ascii="宋体" w:hAnsi="宋体" w:eastAsia="宋体" w:cs="宋体"/>
          <w:spacing w:val="8"/>
          <w:sz w:val="20"/>
          <w:szCs w:val="20"/>
        </w:rPr>
        <w:t>承包人进行修复、拆除或重新采购，</w:t>
      </w:r>
      <w:r>
        <w:rPr>
          <w:rFonts w:ascii="宋体" w:hAnsi="宋体" w:eastAsia="宋体" w:cs="宋体"/>
          <w:spacing w:val="-41"/>
          <w:sz w:val="20"/>
          <w:szCs w:val="20"/>
        </w:rPr>
        <w:t xml:space="preserve"> </w:t>
      </w:r>
      <w:r>
        <w:rPr>
          <w:rFonts w:ascii="宋体" w:hAnsi="宋体" w:eastAsia="宋体" w:cs="宋体"/>
          <w:spacing w:val="8"/>
          <w:sz w:val="20"/>
          <w:szCs w:val="20"/>
        </w:rPr>
        <w:t>由此增加的费用和（或）延误的工期，由承包人承担。</w:t>
      </w:r>
    </w:p>
    <w:p w14:paraId="7C2F84F7">
      <w:pPr>
        <w:spacing w:line="226" w:lineRule="auto"/>
        <w:ind w:left="420"/>
        <w:rPr>
          <w:rFonts w:ascii="宋体" w:hAnsi="宋体" w:eastAsia="宋体" w:cs="宋体"/>
          <w:sz w:val="20"/>
          <w:szCs w:val="20"/>
        </w:rPr>
      </w:pPr>
      <w:r>
        <w:rPr>
          <w:rFonts w:ascii="宋体" w:hAnsi="宋体" w:eastAsia="宋体" w:cs="宋体"/>
          <w:b/>
          <w:bCs/>
          <w:spacing w:val="7"/>
          <w:sz w:val="20"/>
          <w:szCs w:val="20"/>
        </w:rPr>
        <w:t>8.5</w:t>
      </w:r>
      <w:r>
        <w:rPr>
          <w:rFonts w:ascii="宋体" w:hAnsi="宋体" w:eastAsia="宋体" w:cs="宋体"/>
          <w:spacing w:val="7"/>
          <w:sz w:val="20"/>
          <w:szCs w:val="20"/>
        </w:rPr>
        <w:t xml:space="preserve"> </w:t>
      </w:r>
      <w:r>
        <w:rPr>
          <w:rFonts w:ascii="宋体" w:hAnsi="宋体" w:eastAsia="宋体" w:cs="宋体"/>
          <w:b/>
          <w:bCs/>
          <w:spacing w:val="7"/>
          <w:sz w:val="20"/>
          <w:szCs w:val="20"/>
        </w:rPr>
        <w:t>禁止使用不合格的材料和工程设备</w:t>
      </w:r>
    </w:p>
    <w:p w14:paraId="496149BD">
      <w:pPr>
        <w:spacing w:before="128" w:line="346" w:lineRule="auto"/>
        <w:ind w:right="35" w:firstLine="420"/>
        <w:rPr>
          <w:rFonts w:ascii="宋体" w:hAnsi="宋体" w:eastAsia="宋体" w:cs="宋体"/>
          <w:sz w:val="20"/>
          <w:szCs w:val="20"/>
        </w:rPr>
      </w:pPr>
      <w:r>
        <w:rPr>
          <w:rFonts w:ascii="宋体" w:hAnsi="宋体" w:eastAsia="宋体" w:cs="宋体"/>
          <w:spacing w:val="9"/>
          <w:sz w:val="20"/>
          <w:szCs w:val="20"/>
        </w:rPr>
        <w:t>8.5.1 监理人有权拒绝承包人提供的不合格材料或工程设备，并要</w:t>
      </w:r>
      <w:r>
        <w:rPr>
          <w:rFonts w:ascii="宋体" w:hAnsi="宋体" w:eastAsia="宋体" w:cs="宋体"/>
          <w:spacing w:val="8"/>
          <w:sz w:val="20"/>
          <w:szCs w:val="20"/>
        </w:rPr>
        <w:t>求承包人立即进行更换。监理人应在更换后再次进行检查和检验，</w:t>
      </w:r>
      <w:r>
        <w:rPr>
          <w:rFonts w:ascii="宋体" w:hAnsi="宋体" w:eastAsia="宋体" w:cs="宋体"/>
          <w:spacing w:val="-41"/>
          <w:sz w:val="20"/>
          <w:szCs w:val="20"/>
        </w:rPr>
        <w:t xml:space="preserve"> </w:t>
      </w:r>
      <w:r>
        <w:rPr>
          <w:rFonts w:ascii="宋体" w:hAnsi="宋体" w:eastAsia="宋体" w:cs="宋体"/>
          <w:spacing w:val="8"/>
          <w:sz w:val="20"/>
          <w:szCs w:val="20"/>
        </w:rPr>
        <w:t>由此增加的费用和（或）延误的工期由承包人承担。</w:t>
      </w:r>
    </w:p>
    <w:p w14:paraId="1D58CF7B">
      <w:pPr>
        <w:spacing w:before="1" w:line="345" w:lineRule="auto"/>
        <w:ind w:left="7" w:firstLine="413"/>
        <w:rPr>
          <w:rFonts w:ascii="宋体" w:hAnsi="宋体" w:eastAsia="宋体" w:cs="宋体"/>
          <w:sz w:val="20"/>
          <w:szCs w:val="20"/>
        </w:rPr>
      </w:pPr>
      <w:r>
        <w:rPr>
          <w:rFonts w:ascii="宋体" w:hAnsi="宋体" w:eastAsia="宋体" w:cs="宋体"/>
          <w:spacing w:val="10"/>
          <w:sz w:val="20"/>
          <w:szCs w:val="20"/>
        </w:rPr>
        <w:t>8.5.2 监理人发现承包人使用了不合格的材料和</w:t>
      </w:r>
      <w:r>
        <w:rPr>
          <w:rFonts w:ascii="宋体" w:hAnsi="宋体" w:eastAsia="宋体" w:cs="宋体"/>
          <w:spacing w:val="9"/>
          <w:sz w:val="20"/>
          <w:szCs w:val="20"/>
        </w:rPr>
        <w:t>工程设备，承包人应按照监理人的指示立即改正，并禁止在工程中继续使用不合格的材料和工程设</w:t>
      </w:r>
      <w:r>
        <w:rPr>
          <w:rFonts w:ascii="宋体" w:hAnsi="宋体" w:eastAsia="宋体" w:cs="宋体"/>
          <w:spacing w:val="8"/>
          <w:sz w:val="20"/>
          <w:szCs w:val="20"/>
        </w:rPr>
        <w:t>备。</w:t>
      </w:r>
    </w:p>
    <w:p w14:paraId="217FC3F7">
      <w:pPr>
        <w:spacing w:before="1" w:line="345" w:lineRule="auto"/>
        <w:ind w:left="2" w:firstLine="418"/>
        <w:rPr>
          <w:rFonts w:ascii="宋体" w:hAnsi="宋体" w:eastAsia="宋体" w:cs="宋体"/>
          <w:sz w:val="20"/>
          <w:szCs w:val="20"/>
        </w:rPr>
      </w:pPr>
      <w:r>
        <w:rPr>
          <w:rFonts w:ascii="宋体" w:hAnsi="宋体" w:eastAsia="宋体" w:cs="宋体"/>
          <w:spacing w:val="10"/>
          <w:sz w:val="20"/>
          <w:szCs w:val="20"/>
        </w:rPr>
        <w:t>8.5.3 发包人提供的材料或工程设备不符合合同</w:t>
      </w:r>
      <w:r>
        <w:rPr>
          <w:rFonts w:ascii="宋体" w:hAnsi="宋体" w:eastAsia="宋体" w:cs="宋体"/>
          <w:spacing w:val="9"/>
          <w:sz w:val="20"/>
          <w:szCs w:val="20"/>
        </w:rPr>
        <w:t>要求的，承包人有权拒绝，并可要求发包人更换，由此增加的费用和（或）延误的工期由发包人承担，并支付承包人合理的利润。</w:t>
      </w:r>
    </w:p>
    <w:p w14:paraId="410CFA88">
      <w:pPr>
        <w:spacing w:before="1" w:line="227" w:lineRule="auto"/>
        <w:ind w:left="420"/>
        <w:rPr>
          <w:rFonts w:ascii="宋体" w:hAnsi="宋体" w:eastAsia="宋体" w:cs="宋体"/>
          <w:sz w:val="20"/>
          <w:szCs w:val="20"/>
        </w:rPr>
      </w:pPr>
      <w:r>
        <w:rPr>
          <w:rFonts w:ascii="宋体" w:hAnsi="宋体" w:eastAsia="宋体" w:cs="宋体"/>
          <w:b/>
          <w:bCs/>
          <w:spacing w:val="2"/>
          <w:sz w:val="20"/>
          <w:szCs w:val="20"/>
        </w:rPr>
        <w:t>8.6</w:t>
      </w:r>
      <w:r>
        <w:rPr>
          <w:rFonts w:ascii="宋体" w:hAnsi="宋体" w:eastAsia="宋体" w:cs="宋体"/>
          <w:spacing w:val="12"/>
          <w:sz w:val="20"/>
          <w:szCs w:val="20"/>
        </w:rPr>
        <w:t xml:space="preserve"> </w:t>
      </w:r>
      <w:r>
        <w:rPr>
          <w:rFonts w:ascii="宋体" w:hAnsi="宋体" w:eastAsia="宋体" w:cs="宋体"/>
          <w:b/>
          <w:bCs/>
          <w:spacing w:val="2"/>
          <w:sz w:val="20"/>
          <w:szCs w:val="20"/>
        </w:rPr>
        <w:t>样品</w:t>
      </w:r>
    </w:p>
    <w:p w14:paraId="6991CE5A">
      <w:pPr>
        <w:spacing w:before="127" w:line="228" w:lineRule="auto"/>
        <w:ind w:left="420"/>
        <w:rPr>
          <w:rFonts w:ascii="宋体" w:hAnsi="宋体" w:eastAsia="宋体" w:cs="宋体"/>
          <w:sz w:val="20"/>
          <w:szCs w:val="20"/>
        </w:rPr>
      </w:pPr>
      <w:r>
        <w:rPr>
          <w:rFonts w:ascii="宋体" w:hAnsi="宋体" w:eastAsia="宋体" w:cs="宋体"/>
          <w:b/>
          <w:bCs/>
          <w:spacing w:val="5"/>
          <w:sz w:val="20"/>
          <w:szCs w:val="20"/>
        </w:rPr>
        <w:t>8.6.1</w:t>
      </w:r>
      <w:r>
        <w:rPr>
          <w:rFonts w:ascii="宋体" w:hAnsi="宋体" w:eastAsia="宋体" w:cs="宋体"/>
          <w:spacing w:val="5"/>
          <w:sz w:val="20"/>
          <w:szCs w:val="20"/>
        </w:rPr>
        <w:t xml:space="preserve"> </w:t>
      </w:r>
      <w:r>
        <w:rPr>
          <w:rFonts w:ascii="宋体" w:hAnsi="宋体" w:eastAsia="宋体" w:cs="宋体"/>
          <w:b/>
          <w:bCs/>
          <w:spacing w:val="5"/>
          <w:sz w:val="20"/>
          <w:szCs w:val="20"/>
        </w:rPr>
        <w:t>样品的报送与封存</w:t>
      </w:r>
    </w:p>
    <w:p w14:paraId="6CCCF35E">
      <w:pPr>
        <w:spacing w:before="127" w:line="346" w:lineRule="auto"/>
        <w:ind w:firstLine="430"/>
        <w:rPr>
          <w:rFonts w:ascii="宋体" w:hAnsi="宋体" w:eastAsia="宋体" w:cs="宋体"/>
          <w:sz w:val="20"/>
          <w:szCs w:val="20"/>
        </w:rPr>
      </w:pPr>
      <w:r>
        <w:rPr>
          <w:rFonts w:ascii="宋体" w:hAnsi="宋体" w:eastAsia="宋体" w:cs="宋体"/>
          <w:spacing w:val="10"/>
          <w:sz w:val="20"/>
          <w:szCs w:val="20"/>
        </w:rPr>
        <w:t>需要承包人报送样品的材料或工程设备，样品的种类、名称、规格、数量等要求均应在专用</w:t>
      </w:r>
      <w:r>
        <w:rPr>
          <w:rFonts w:ascii="宋体" w:hAnsi="宋体" w:eastAsia="宋体" w:cs="宋体"/>
          <w:spacing w:val="8"/>
          <w:sz w:val="20"/>
          <w:szCs w:val="20"/>
        </w:rPr>
        <w:t>合同条款中约定。样品的报送程序如下：</w:t>
      </w:r>
    </w:p>
    <w:p w14:paraId="408F90B5">
      <w:pPr>
        <w:spacing w:before="2" w:line="345" w:lineRule="auto"/>
        <w:ind w:left="4" w:firstLine="425"/>
        <w:rPr>
          <w:rFonts w:ascii="宋体" w:hAnsi="宋体" w:eastAsia="宋体" w:cs="宋体"/>
          <w:sz w:val="20"/>
          <w:szCs w:val="20"/>
        </w:rPr>
      </w:pPr>
      <w:r>
        <w:rPr>
          <w:rFonts w:ascii="宋体" w:hAnsi="宋体" w:eastAsia="宋体" w:cs="宋体"/>
          <w:spacing w:val="9"/>
          <w:sz w:val="20"/>
          <w:szCs w:val="20"/>
        </w:rPr>
        <w:t>（1）承包人应在计划采购前</w:t>
      </w:r>
      <w:r>
        <w:rPr>
          <w:rFonts w:ascii="宋体" w:hAnsi="宋体" w:eastAsia="宋体" w:cs="宋体"/>
          <w:spacing w:val="-31"/>
          <w:sz w:val="20"/>
          <w:szCs w:val="20"/>
        </w:rPr>
        <w:t xml:space="preserve"> </w:t>
      </w:r>
      <w:r>
        <w:rPr>
          <w:rFonts w:ascii="宋体" w:hAnsi="宋体" w:eastAsia="宋体" w:cs="宋体"/>
          <w:spacing w:val="9"/>
          <w:sz w:val="20"/>
          <w:szCs w:val="20"/>
        </w:rPr>
        <w:t>28</w:t>
      </w:r>
      <w:r>
        <w:rPr>
          <w:rFonts w:ascii="宋体" w:hAnsi="宋体" w:eastAsia="宋体" w:cs="宋体"/>
          <w:spacing w:val="-36"/>
          <w:sz w:val="20"/>
          <w:szCs w:val="20"/>
        </w:rPr>
        <w:t xml:space="preserve"> </w:t>
      </w:r>
      <w:r>
        <w:rPr>
          <w:rFonts w:ascii="宋体" w:hAnsi="宋体" w:eastAsia="宋体" w:cs="宋体"/>
          <w:spacing w:val="9"/>
          <w:sz w:val="20"/>
          <w:szCs w:val="20"/>
        </w:rPr>
        <w:t>天向监理人报送样品。承包人报送的样品均应来自供应材料</w:t>
      </w:r>
      <w:r>
        <w:rPr>
          <w:rFonts w:ascii="宋体" w:hAnsi="宋体" w:eastAsia="宋体" w:cs="宋体"/>
          <w:spacing w:val="10"/>
          <w:sz w:val="20"/>
          <w:szCs w:val="20"/>
        </w:rPr>
        <w:t>的实际生产地，且提供的样品的规格、数量足以表明材料或工程设备的质量、型号、颜色、表面</w:t>
      </w:r>
      <w:r>
        <w:rPr>
          <w:rFonts w:ascii="宋体" w:hAnsi="宋体" w:eastAsia="宋体" w:cs="宋体"/>
          <w:spacing w:val="8"/>
          <w:sz w:val="20"/>
          <w:szCs w:val="20"/>
        </w:rPr>
        <w:t>处理、质地、误差和其他要求的特征。</w:t>
      </w:r>
    </w:p>
    <w:p w14:paraId="08E49071">
      <w:pPr>
        <w:spacing w:before="2" w:line="345" w:lineRule="auto"/>
        <w:ind w:firstLine="430"/>
        <w:rPr>
          <w:rFonts w:ascii="宋体" w:hAnsi="宋体" w:eastAsia="宋体" w:cs="宋体"/>
          <w:sz w:val="20"/>
          <w:szCs w:val="20"/>
        </w:rPr>
      </w:pPr>
      <w:r>
        <w:rPr>
          <w:rFonts w:ascii="宋体" w:hAnsi="宋体" w:eastAsia="宋体" w:cs="宋体"/>
          <w:spacing w:val="7"/>
          <w:sz w:val="20"/>
          <w:szCs w:val="20"/>
        </w:rPr>
        <w:t>（2）承包人每次报送样品时应随附申报单，申报单应载明报送样品的相关数据和资料，并标</w:t>
      </w:r>
      <w:r>
        <w:rPr>
          <w:rFonts w:ascii="宋体" w:hAnsi="宋体" w:eastAsia="宋体" w:cs="宋体"/>
          <w:spacing w:val="10"/>
          <w:sz w:val="20"/>
          <w:szCs w:val="20"/>
        </w:rPr>
        <w:t>明每件样品对应的图纸号，预留监理人批复意见栏</w:t>
      </w:r>
      <w:r>
        <w:rPr>
          <w:rFonts w:ascii="宋体" w:hAnsi="宋体" w:eastAsia="宋体" w:cs="宋体"/>
          <w:spacing w:val="9"/>
          <w:sz w:val="20"/>
          <w:szCs w:val="20"/>
        </w:rPr>
        <w:t>。监理人应在收到承包人报送的样品后</w:t>
      </w:r>
      <w:r>
        <w:rPr>
          <w:rFonts w:ascii="宋体" w:hAnsi="宋体" w:eastAsia="宋体" w:cs="宋体"/>
          <w:spacing w:val="-32"/>
          <w:sz w:val="20"/>
          <w:szCs w:val="20"/>
        </w:rPr>
        <w:t xml:space="preserve"> </w:t>
      </w:r>
      <w:r>
        <w:rPr>
          <w:rFonts w:ascii="宋体" w:hAnsi="宋体" w:eastAsia="宋体" w:cs="宋体"/>
          <w:spacing w:val="9"/>
          <w:sz w:val="20"/>
          <w:szCs w:val="20"/>
        </w:rPr>
        <w:t>7</w:t>
      </w:r>
      <w:r>
        <w:rPr>
          <w:rFonts w:ascii="宋体" w:hAnsi="宋体" w:eastAsia="宋体" w:cs="宋体"/>
          <w:spacing w:val="-36"/>
          <w:sz w:val="20"/>
          <w:szCs w:val="20"/>
        </w:rPr>
        <w:t xml:space="preserve"> </w:t>
      </w:r>
      <w:r>
        <w:rPr>
          <w:rFonts w:ascii="宋体" w:hAnsi="宋体" w:eastAsia="宋体" w:cs="宋体"/>
          <w:spacing w:val="9"/>
          <w:sz w:val="20"/>
          <w:szCs w:val="20"/>
        </w:rPr>
        <w:t>天向</w:t>
      </w:r>
      <w:r>
        <w:rPr>
          <w:rFonts w:ascii="宋体" w:hAnsi="宋体" w:eastAsia="宋体" w:cs="宋体"/>
          <w:spacing w:val="8"/>
          <w:sz w:val="20"/>
          <w:szCs w:val="20"/>
        </w:rPr>
        <w:t>承包人回复经发包人签认的样品审批意见。</w:t>
      </w:r>
    </w:p>
    <w:p w14:paraId="1E222DE5">
      <w:pPr>
        <w:spacing w:before="1" w:line="345" w:lineRule="auto"/>
        <w:ind w:left="2" w:firstLine="427"/>
        <w:rPr>
          <w:rFonts w:ascii="宋体" w:hAnsi="宋体" w:eastAsia="宋体" w:cs="宋体"/>
          <w:sz w:val="20"/>
          <w:szCs w:val="20"/>
        </w:rPr>
      </w:pPr>
      <w:r>
        <w:rPr>
          <w:rFonts w:ascii="宋体" w:hAnsi="宋体" w:eastAsia="宋体" w:cs="宋体"/>
          <w:spacing w:val="7"/>
          <w:sz w:val="20"/>
          <w:szCs w:val="20"/>
        </w:rPr>
        <w:t>（3）经发包人和监理人审批确认的样品应按约定的方法封样，封存的样品作为检验工程相关</w:t>
      </w:r>
      <w:r>
        <w:rPr>
          <w:rFonts w:ascii="宋体" w:hAnsi="宋体" w:eastAsia="宋体" w:cs="宋体"/>
          <w:spacing w:val="9"/>
          <w:sz w:val="20"/>
          <w:szCs w:val="20"/>
        </w:rPr>
        <w:t>部分的标准之一。承包人在施工过程中不得使用与样品不符的材料或工程设备。</w:t>
      </w:r>
    </w:p>
    <w:p w14:paraId="5B63AFA1">
      <w:pPr>
        <w:spacing w:before="2" w:line="345" w:lineRule="auto"/>
        <w:ind w:left="2" w:firstLine="427"/>
        <w:rPr>
          <w:rFonts w:ascii="宋体" w:hAnsi="宋体" w:eastAsia="宋体" w:cs="宋体"/>
          <w:sz w:val="20"/>
          <w:szCs w:val="20"/>
        </w:rPr>
      </w:pPr>
      <w:r>
        <w:rPr>
          <w:rFonts w:ascii="宋体" w:hAnsi="宋体" w:eastAsia="宋体" w:cs="宋体"/>
          <w:spacing w:val="7"/>
          <w:sz w:val="20"/>
          <w:szCs w:val="20"/>
        </w:rPr>
        <w:t>（4）发包人和监理人对样品的审批确认仅为确认相关材料或工程设备的特征或用途，不得被</w:t>
      </w:r>
      <w:r>
        <w:rPr>
          <w:rFonts w:ascii="宋体" w:hAnsi="宋体" w:eastAsia="宋体" w:cs="宋体"/>
          <w:spacing w:val="10"/>
          <w:sz w:val="20"/>
          <w:szCs w:val="20"/>
        </w:rPr>
        <w:t>理解为对合同的修改或改变，也并不减轻或免除承包人任何的责任和义务。如果封存的样品修改</w:t>
      </w:r>
      <w:r>
        <w:rPr>
          <w:rFonts w:ascii="宋体" w:hAnsi="宋体" w:eastAsia="宋体" w:cs="宋体"/>
          <w:spacing w:val="9"/>
          <w:sz w:val="20"/>
          <w:szCs w:val="20"/>
        </w:rPr>
        <w:t>或改变了合同约定，合同当事人应当以书面协议予以确认。</w:t>
      </w:r>
    </w:p>
    <w:p w14:paraId="1AD4C459">
      <w:pPr>
        <w:spacing w:before="1" w:line="227" w:lineRule="auto"/>
        <w:ind w:left="420"/>
        <w:rPr>
          <w:rFonts w:ascii="宋体" w:hAnsi="宋体" w:eastAsia="宋体" w:cs="宋体"/>
          <w:sz w:val="20"/>
          <w:szCs w:val="20"/>
        </w:rPr>
      </w:pPr>
      <w:r>
        <w:rPr>
          <w:rFonts w:ascii="宋体" w:hAnsi="宋体" w:eastAsia="宋体" w:cs="宋体"/>
          <w:b/>
          <w:bCs/>
          <w:spacing w:val="4"/>
          <w:sz w:val="20"/>
          <w:szCs w:val="20"/>
        </w:rPr>
        <w:t>8.6.2</w:t>
      </w:r>
      <w:r>
        <w:rPr>
          <w:rFonts w:ascii="宋体" w:hAnsi="宋体" w:eastAsia="宋体" w:cs="宋体"/>
          <w:spacing w:val="4"/>
          <w:sz w:val="20"/>
          <w:szCs w:val="20"/>
        </w:rPr>
        <w:t xml:space="preserve"> </w:t>
      </w:r>
      <w:r>
        <w:rPr>
          <w:rFonts w:ascii="宋体" w:hAnsi="宋体" w:eastAsia="宋体" w:cs="宋体"/>
          <w:b/>
          <w:bCs/>
          <w:spacing w:val="4"/>
          <w:sz w:val="20"/>
          <w:szCs w:val="20"/>
        </w:rPr>
        <w:t>样品的保管</w:t>
      </w:r>
    </w:p>
    <w:p w14:paraId="742609E3">
      <w:pPr>
        <w:spacing w:before="127" w:line="346" w:lineRule="auto"/>
        <w:ind w:firstLine="421"/>
        <w:rPr>
          <w:rFonts w:ascii="宋体" w:hAnsi="宋体" w:eastAsia="宋体" w:cs="宋体"/>
          <w:sz w:val="20"/>
          <w:szCs w:val="20"/>
        </w:rPr>
      </w:pPr>
      <w:r>
        <w:rPr>
          <w:rFonts w:ascii="宋体" w:hAnsi="宋体" w:eastAsia="宋体" w:cs="宋体"/>
          <w:spacing w:val="10"/>
          <w:sz w:val="20"/>
          <w:szCs w:val="20"/>
        </w:rPr>
        <w:t>经批准的样品应由监理人负责封存于现场，承包人应在现场为保存样品提供适当和固定的场</w:t>
      </w:r>
      <w:r>
        <w:rPr>
          <w:rFonts w:ascii="宋体" w:hAnsi="宋体" w:eastAsia="宋体" w:cs="宋体"/>
          <w:spacing w:val="8"/>
          <w:sz w:val="20"/>
          <w:szCs w:val="20"/>
        </w:rPr>
        <w:t>所并保持适当和良好的存储环境条件。</w:t>
      </w:r>
    </w:p>
    <w:p w14:paraId="0CEC75AE">
      <w:pPr>
        <w:spacing w:before="1" w:line="226" w:lineRule="auto"/>
        <w:ind w:left="420"/>
        <w:rPr>
          <w:rFonts w:ascii="宋体" w:hAnsi="宋体" w:eastAsia="宋体" w:cs="宋体"/>
          <w:sz w:val="20"/>
          <w:szCs w:val="20"/>
        </w:rPr>
      </w:pPr>
      <w:r>
        <w:rPr>
          <w:rFonts w:ascii="宋体" w:hAnsi="宋体" w:eastAsia="宋体" w:cs="宋体"/>
          <w:b/>
          <w:bCs/>
          <w:spacing w:val="6"/>
          <w:sz w:val="20"/>
          <w:szCs w:val="20"/>
        </w:rPr>
        <w:t>8.7</w:t>
      </w:r>
      <w:r>
        <w:rPr>
          <w:rFonts w:ascii="宋体" w:hAnsi="宋体" w:eastAsia="宋体" w:cs="宋体"/>
          <w:spacing w:val="6"/>
          <w:sz w:val="20"/>
          <w:szCs w:val="20"/>
        </w:rPr>
        <w:t xml:space="preserve"> </w:t>
      </w:r>
      <w:r>
        <w:rPr>
          <w:rFonts w:ascii="宋体" w:hAnsi="宋体" w:eastAsia="宋体" w:cs="宋体"/>
          <w:b/>
          <w:bCs/>
          <w:spacing w:val="6"/>
          <w:sz w:val="20"/>
          <w:szCs w:val="20"/>
        </w:rPr>
        <w:t>材料与工程设备的替代</w:t>
      </w:r>
    </w:p>
    <w:p w14:paraId="61736988">
      <w:pPr>
        <w:spacing w:before="128" w:line="227" w:lineRule="auto"/>
        <w:jc w:val="right"/>
        <w:rPr>
          <w:rFonts w:ascii="宋体" w:hAnsi="宋体" w:eastAsia="宋体" w:cs="宋体"/>
          <w:sz w:val="20"/>
          <w:szCs w:val="20"/>
        </w:rPr>
      </w:pPr>
      <w:r>
        <w:rPr>
          <w:rFonts w:ascii="宋体" w:hAnsi="宋体" w:eastAsia="宋体" w:cs="宋体"/>
          <w:spacing w:val="9"/>
          <w:sz w:val="20"/>
          <w:szCs w:val="20"/>
        </w:rPr>
        <w:t>8.7.1 出现下列情况需要使用替代材料和工</w:t>
      </w:r>
      <w:r>
        <w:rPr>
          <w:rFonts w:ascii="宋体" w:hAnsi="宋体" w:eastAsia="宋体" w:cs="宋体"/>
          <w:spacing w:val="8"/>
          <w:sz w:val="20"/>
          <w:szCs w:val="20"/>
        </w:rPr>
        <w:t>程设备的，承包人应按照第</w:t>
      </w:r>
      <w:r>
        <w:rPr>
          <w:rFonts w:ascii="宋体" w:hAnsi="宋体" w:eastAsia="宋体" w:cs="宋体"/>
          <w:spacing w:val="-36"/>
          <w:sz w:val="20"/>
          <w:szCs w:val="20"/>
        </w:rPr>
        <w:t xml:space="preserve"> </w:t>
      </w:r>
      <w:r>
        <w:rPr>
          <w:rFonts w:ascii="宋体" w:hAnsi="宋体" w:eastAsia="宋体" w:cs="宋体"/>
          <w:spacing w:val="8"/>
          <w:sz w:val="20"/>
          <w:szCs w:val="20"/>
        </w:rPr>
        <w:t>8.7.2</w:t>
      </w:r>
      <w:r>
        <w:rPr>
          <w:rFonts w:ascii="宋体" w:hAnsi="宋体" w:eastAsia="宋体" w:cs="宋体"/>
          <w:spacing w:val="-35"/>
          <w:sz w:val="20"/>
          <w:szCs w:val="20"/>
        </w:rPr>
        <w:t xml:space="preserve"> </w:t>
      </w:r>
      <w:r>
        <w:rPr>
          <w:rFonts w:ascii="宋体" w:hAnsi="宋体" w:eastAsia="宋体" w:cs="宋体"/>
          <w:spacing w:val="8"/>
          <w:sz w:val="20"/>
          <w:szCs w:val="20"/>
        </w:rPr>
        <w:t>项约定的程序</w:t>
      </w:r>
    </w:p>
    <w:p w14:paraId="33E0F38F">
      <w:pPr>
        <w:spacing w:line="227" w:lineRule="auto"/>
        <w:rPr>
          <w:rFonts w:ascii="宋体" w:hAnsi="宋体" w:eastAsia="宋体" w:cs="宋体"/>
          <w:sz w:val="20"/>
          <w:szCs w:val="20"/>
        </w:rPr>
        <w:sectPr>
          <w:footerReference r:id="rId361" w:type="default"/>
          <w:pgSz w:w="11906" w:h="16839"/>
          <w:pgMar w:top="400" w:right="1533" w:bottom="1446" w:left="1539" w:header="0" w:footer="1284" w:gutter="0"/>
          <w:cols w:space="720" w:num="1"/>
        </w:sectPr>
      </w:pPr>
    </w:p>
    <w:p w14:paraId="79CFAACF">
      <w:pPr>
        <w:spacing w:line="246" w:lineRule="auto"/>
        <w:rPr>
          <w:rFonts w:ascii="Arial"/>
          <w:sz w:val="21"/>
        </w:rPr>
      </w:pPr>
    </w:p>
    <w:p w14:paraId="5218C0FA">
      <w:pPr>
        <w:spacing w:line="246" w:lineRule="auto"/>
        <w:rPr>
          <w:rFonts w:ascii="Arial"/>
          <w:sz w:val="21"/>
        </w:rPr>
      </w:pPr>
    </w:p>
    <w:p w14:paraId="18765820">
      <w:pPr>
        <w:spacing w:line="246" w:lineRule="auto"/>
        <w:rPr>
          <w:rFonts w:ascii="Arial"/>
          <w:sz w:val="21"/>
        </w:rPr>
      </w:pPr>
    </w:p>
    <w:p w14:paraId="4B89A04C">
      <w:pPr>
        <w:spacing w:line="246" w:lineRule="auto"/>
        <w:rPr>
          <w:rFonts w:ascii="Arial"/>
          <w:sz w:val="21"/>
        </w:rPr>
      </w:pPr>
    </w:p>
    <w:p w14:paraId="671A894C">
      <w:pPr>
        <w:spacing w:line="247" w:lineRule="auto"/>
        <w:rPr>
          <w:rFonts w:ascii="Arial"/>
          <w:sz w:val="21"/>
        </w:rPr>
      </w:pPr>
    </w:p>
    <w:p w14:paraId="15A1F6DC">
      <w:pPr>
        <w:spacing w:line="247" w:lineRule="auto"/>
        <w:rPr>
          <w:rFonts w:ascii="Arial"/>
          <w:sz w:val="21"/>
        </w:rPr>
      </w:pPr>
    </w:p>
    <w:p w14:paraId="131759B6">
      <w:pPr>
        <w:spacing w:before="65" w:line="228" w:lineRule="auto"/>
        <w:rPr>
          <w:rFonts w:ascii="宋体" w:hAnsi="宋体" w:eastAsia="宋体" w:cs="宋体"/>
          <w:sz w:val="20"/>
          <w:szCs w:val="20"/>
        </w:rPr>
      </w:pPr>
      <w:r>
        <w:rPr>
          <w:rFonts w:ascii="宋体" w:hAnsi="宋体" w:eastAsia="宋体" w:cs="宋体"/>
          <w:spacing w:val="3"/>
          <w:sz w:val="20"/>
          <w:szCs w:val="20"/>
        </w:rPr>
        <w:t>执行：</w:t>
      </w:r>
    </w:p>
    <w:p w14:paraId="53A4CD54">
      <w:pPr>
        <w:spacing w:before="127" w:line="228" w:lineRule="auto"/>
        <w:ind w:left="430"/>
        <w:rPr>
          <w:rFonts w:ascii="宋体" w:hAnsi="宋体" w:eastAsia="宋体" w:cs="宋体"/>
          <w:sz w:val="20"/>
          <w:szCs w:val="20"/>
        </w:rPr>
      </w:pPr>
      <w:r>
        <w:rPr>
          <w:rFonts w:ascii="宋体" w:hAnsi="宋体" w:eastAsia="宋体" w:cs="宋体"/>
          <w:spacing w:val="8"/>
          <w:sz w:val="20"/>
          <w:szCs w:val="20"/>
        </w:rPr>
        <w:t>（1）基准日期后生效的法律规定禁止使用的；</w:t>
      </w:r>
    </w:p>
    <w:p w14:paraId="6C97B89B">
      <w:pPr>
        <w:spacing w:before="127" w:line="228" w:lineRule="auto"/>
        <w:ind w:left="430"/>
        <w:rPr>
          <w:rFonts w:ascii="宋体" w:hAnsi="宋体" w:eastAsia="宋体" w:cs="宋体"/>
          <w:sz w:val="20"/>
          <w:szCs w:val="20"/>
        </w:rPr>
      </w:pPr>
      <w:r>
        <w:rPr>
          <w:rFonts w:ascii="宋体" w:hAnsi="宋体" w:eastAsia="宋体" w:cs="宋体"/>
          <w:spacing w:val="7"/>
          <w:sz w:val="20"/>
          <w:szCs w:val="20"/>
        </w:rPr>
        <w:t>（2）发包人要求使用替代品的；</w:t>
      </w:r>
    </w:p>
    <w:p w14:paraId="7E5D8A3F">
      <w:pPr>
        <w:spacing w:before="127" w:line="228" w:lineRule="auto"/>
        <w:ind w:left="430"/>
        <w:rPr>
          <w:rFonts w:ascii="宋体" w:hAnsi="宋体" w:eastAsia="宋体" w:cs="宋体"/>
          <w:sz w:val="20"/>
          <w:szCs w:val="20"/>
        </w:rPr>
      </w:pPr>
      <w:r>
        <w:rPr>
          <w:rFonts w:ascii="宋体" w:hAnsi="宋体" w:eastAsia="宋体" w:cs="宋体"/>
          <w:spacing w:val="7"/>
          <w:sz w:val="20"/>
          <w:szCs w:val="20"/>
        </w:rPr>
        <w:t>（3）因其他原因必须使用替代品的。</w:t>
      </w:r>
    </w:p>
    <w:p w14:paraId="6EBE61EB">
      <w:pPr>
        <w:spacing w:before="127" w:line="227" w:lineRule="auto"/>
        <w:ind w:left="421"/>
        <w:rPr>
          <w:rFonts w:ascii="宋体" w:hAnsi="宋体" w:eastAsia="宋体" w:cs="宋体"/>
          <w:sz w:val="20"/>
          <w:szCs w:val="20"/>
        </w:rPr>
      </w:pPr>
      <w:r>
        <w:rPr>
          <w:rFonts w:ascii="宋体" w:hAnsi="宋体" w:eastAsia="宋体" w:cs="宋体"/>
          <w:spacing w:val="8"/>
          <w:sz w:val="20"/>
          <w:szCs w:val="20"/>
        </w:rPr>
        <w:t>8.7.2 承包人应在使用替代材料和工程设备</w:t>
      </w:r>
      <w:r>
        <w:rPr>
          <w:rFonts w:ascii="宋体" w:hAnsi="宋体" w:eastAsia="宋体" w:cs="宋体"/>
          <w:spacing w:val="-34"/>
          <w:sz w:val="20"/>
          <w:szCs w:val="20"/>
        </w:rPr>
        <w:t xml:space="preserve"> </w:t>
      </w:r>
      <w:r>
        <w:rPr>
          <w:rFonts w:ascii="宋体" w:hAnsi="宋体" w:eastAsia="宋体" w:cs="宋体"/>
          <w:spacing w:val="8"/>
          <w:sz w:val="20"/>
          <w:szCs w:val="20"/>
        </w:rPr>
        <w:t>28</w:t>
      </w:r>
      <w:r>
        <w:rPr>
          <w:rFonts w:ascii="宋体" w:hAnsi="宋体" w:eastAsia="宋体" w:cs="宋体"/>
          <w:spacing w:val="-34"/>
          <w:sz w:val="20"/>
          <w:szCs w:val="20"/>
        </w:rPr>
        <w:t xml:space="preserve"> </w:t>
      </w:r>
      <w:r>
        <w:rPr>
          <w:rFonts w:ascii="宋体" w:hAnsi="宋体" w:eastAsia="宋体" w:cs="宋体"/>
          <w:spacing w:val="8"/>
          <w:sz w:val="20"/>
          <w:szCs w:val="20"/>
        </w:rPr>
        <w:t>天前书面通知监理人，</w:t>
      </w:r>
      <w:r>
        <w:rPr>
          <w:rFonts w:ascii="宋体" w:hAnsi="宋体" w:eastAsia="宋体" w:cs="宋体"/>
          <w:spacing w:val="7"/>
          <w:sz w:val="20"/>
          <w:szCs w:val="20"/>
        </w:rPr>
        <w:t>并附下列文件：</w:t>
      </w:r>
    </w:p>
    <w:p w14:paraId="24E474A0">
      <w:pPr>
        <w:spacing w:before="127" w:line="346" w:lineRule="auto"/>
        <w:ind w:right="70" w:firstLine="430"/>
        <w:rPr>
          <w:rFonts w:ascii="宋体" w:hAnsi="宋体" w:eastAsia="宋体" w:cs="宋体"/>
          <w:sz w:val="20"/>
          <w:szCs w:val="20"/>
        </w:rPr>
      </w:pPr>
      <w:r>
        <w:rPr>
          <w:rFonts w:ascii="宋体" w:hAnsi="宋体" w:eastAsia="宋体" w:cs="宋体"/>
          <w:spacing w:val="7"/>
          <w:sz w:val="20"/>
          <w:szCs w:val="20"/>
        </w:rPr>
        <w:t>（1）被替代的材料和工程设备的名称、数量、规格、型号、品牌、性能、价格及其他相关资</w:t>
      </w:r>
      <w:r>
        <w:rPr>
          <w:rFonts w:ascii="宋体" w:hAnsi="宋体" w:eastAsia="宋体" w:cs="宋体"/>
          <w:sz w:val="20"/>
          <w:szCs w:val="20"/>
        </w:rPr>
        <w:t>料；</w:t>
      </w:r>
    </w:p>
    <w:p w14:paraId="467A18BD">
      <w:pPr>
        <w:spacing w:line="226" w:lineRule="auto"/>
        <w:ind w:left="430"/>
        <w:rPr>
          <w:rFonts w:ascii="宋体" w:hAnsi="宋体" w:eastAsia="宋体" w:cs="宋体"/>
          <w:sz w:val="20"/>
          <w:szCs w:val="20"/>
        </w:rPr>
      </w:pPr>
      <w:r>
        <w:rPr>
          <w:rFonts w:ascii="宋体" w:hAnsi="宋体" w:eastAsia="宋体" w:cs="宋体"/>
          <w:spacing w:val="9"/>
          <w:sz w:val="20"/>
          <w:szCs w:val="20"/>
        </w:rPr>
        <w:t>（2）替代品的名称、数量、规格、型号、品牌、性能、价格及其他相关</w:t>
      </w:r>
      <w:r>
        <w:rPr>
          <w:rFonts w:ascii="宋体" w:hAnsi="宋体" w:eastAsia="宋体" w:cs="宋体"/>
          <w:spacing w:val="8"/>
          <w:sz w:val="20"/>
          <w:szCs w:val="20"/>
        </w:rPr>
        <w:t>资料；</w:t>
      </w:r>
    </w:p>
    <w:p w14:paraId="3534EE07">
      <w:pPr>
        <w:spacing w:before="129" w:line="228" w:lineRule="auto"/>
        <w:ind w:left="430"/>
        <w:rPr>
          <w:rFonts w:ascii="宋体" w:hAnsi="宋体" w:eastAsia="宋体" w:cs="宋体"/>
          <w:sz w:val="20"/>
          <w:szCs w:val="20"/>
        </w:rPr>
      </w:pPr>
      <w:r>
        <w:rPr>
          <w:rFonts w:ascii="宋体" w:hAnsi="宋体" w:eastAsia="宋体" w:cs="宋体"/>
          <w:spacing w:val="9"/>
          <w:sz w:val="20"/>
          <w:szCs w:val="20"/>
        </w:rPr>
        <w:t>（3）替代品与被替代产品之间的差异以及使用替代品可能对工程产生的</w:t>
      </w:r>
      <w:r>
        <w:rPr>
          <w:rFonts w:ascii="宋体" w:hAnsi="宋体" w:eastAsia="宋体" w:cs="宋体"/>
          <w:spacing w:val="8"/>
          <w:sz w:val="20"/>
          <w:szCs w:val="20"/>
        </w:rPr>
        <w:t>影响；</w:t>
      </w:r>
    </w:p>
    <w:p w14:paraId="66518EFB">
      <w:pPr>
        <w:spacing w:before="128" w:line="226" w:lineRule="auto"/>
        <w:ind w:left="430"/>
        <w:rPr>
          <w:rFonts w:ascii="宋体" w:hAnsi="宋体" w:eastAsia="宋体" w:cs="宋体"/>
          <w:sz w:val="20"/>
          <w:szCs w:val="20"/>
        </w:rPr>
      </w:pPr>
      <w:r>
        <w:rPr>
          <w:rFonts w:ascii="宋体" w:hAnsi="宋体" w:eastAsia="宋体" w:cs="宋体"/>
          <w:spacing w:val="8"/>
          <w:sz w:val="20"/>
          <w:szCs w:val="20"/>
        </w:rPr>
        <w:t>（4）替代品与被替代产品的价格差异；</w:t>
      </w:r>
    </w:p>
    <w:p w14:paraId="5FEF9095">
      <w:pPr>
        <w:spacing w:before="129" w:line="228" w:lineRule="auto"/>
        <w:ind w:left="430"/>
        <w:rPr>
          <w:rFonts w:ascii="宋体" w:hAnsi="宋体" w:eastAsia="宋体" w:cs="宋体"/>
          <w:sz w:val="20"/>
          <w:szCs w:val="20"/>
        </w:rPr>
      </w:pPr>
      <w:r>
        <w:rPr>
          <w:rFonts w:ascii="宋体" w:hAnsi="宋体" w:eastAsia="宋体" w:cs="宋体"/>
          <w:spacing w:val="7"/>
          <w:sz w:val="20"/>
          <w:szCs w:val="20"/>
        </w:rPr>
        <w:t>（5）使用替代品的理由和原因说明；</w:t>
      </w:r>
    </w:p>
    <w:p w14:paraId="1122EB8D">
      <w:pPr>
        <w:spacing w:before="128" w:line="228" w:lineRule="auto"/>
        <w:ind w:left="430"/>
        <w:rPr>
          <w:rFonts w:ascii="宋体" w:hAnsi="宋体" w:eastAsia="宋体" w:cs="宋体"/>
          <w:sz w:val="20"/>
          <w:szCs w:val="20"/>
        </w:rPr>
      </w:pPr>
      <w:r>
        <w:rPr>
          <w:rFonts w:ascii="宋体" w:hAnsi="宋体" w:eastAsia="宋体" w:cs="宋体"/>
          <w:spacing w:val="7"/>
          <w:sz w:val="20"/>
          <w:szCs w:val="20"/>
        </w:rPr>
        <w:t>（6）监理人要求的其他文件。</w:t>
      </w:r>
    </w:p>
    <w:p w14:paraId="02871BF6">
      <w:pPr>
        <w:spacing w:before="127" w:line="346" w:lineRule="auto"/>
        <w:ind w:left="3" w:right="70" w:firstLine="418"/>
        <w:rPr>
          <w:rFonts w:ascii="宋体" w:hAnsi="宋体" w:eastAsia="宋体" w:cs="宋体"/>
          <w:sz w:val="20"/>
          <w:szCs w:val="20"/>
        </w:rPr>
      </w:pPr>
      <w:r>
        <w:rPr>
          <w:rFonts w:ascii="宋体" w:hAnsi="宋体" w:eastAsia="宋体" w:cs="宋体"/>
          <w:spacing w:val="7"/>
          <w:sz w:val="20"/>
          <w:szCs w:val="20"/>
        </w:rPr>
        <w:t>监理人应在收到通知后</w:t>
      </w:r>
      <w:r>
        <w:rPr>
          <w:rFonts w:ascii="宋体" w:hAnsi="宋体" w:eastAsia="宋体" w:cs="宋体"/>
          <w:spacing w:val="-22"/>
          <w:sz w:val="20"/>
          <w:szCs w:val="20"/>
        </w:rPr>
        <w:t xml:space="preserve"> </w:t>
      </w:r>
      <w:r>
        <w:rPr>
          <w:rFonts w:ascii="宋体" w:hAnsi="宋体" w:eastAsia="宋体" w:cs="宋体"/>
          <w:spacing w:val="7"/>
          <w:sz w:val="20"/>
          <w:szCs w:val="20"/>
        </w:rPr>
        <w:t>14</w:t>
      </w:r>
      <w:r>
        <w:rPr>
          <w:rFonts w:ascii="宋体" w:hAnsi="宋体" w:eastAsia="宋体" w:cs="宋体"/>
          <w:spacing w:val="-36"/>
          <w:sz w:val="20"/>
          <w:szCs w:val="20"/>
        </w:rPr>
        <w:t xml:space="preserve"> </w:t>
      </w:r>
      <w:r>
        <w:rPr>
          <w:rFonts w:ascii="宋体" w:hAnsi="宋体" w:eastAsia="宋体" w:cs="宋体"/>
          <w:spacing w:val="7"/>
          <w:sz w:val="20"/>
          <w:szCs w:val="20"/>
        </w:rPr>
        <w:t>天内向承包人发出经发包</w:t>
      </w:r>
      <w:r>
        <w:rPr>
          <w:rFonts w:ascii="宋体" w:hAnsi="宋体" w:eastAsia="宋体" w:cs="宋体"/>
          <w:spacing w:val="6"/>
          <w:sz w:val="20"/>
          <w:szCs w:val="20"/>
        </w:rPr>
        <w:t>人签认的书面指示；监理人逾期发出书面</w:t>
      </w:r>
      <w:r>
        <w:rPr>
          <w:rFonts w:ascii="宋体" w:hAnsi="宋体" w:eastAsia="宋体" w:cs="宋体"/>
          <w:spacing w:val="8"/>
          <w:sz w:val="20"/>
          <w:szCs w:val="20"/>
        </w:rPr>
        <w:t>指示的，视为发包人和监理人同意使用替代品。</w:t>
      </w:r>
    </w:p>
    <w:p w14:paraId="77D4F63B">
      <w:pPr>
        <w:spacing w:before="2" w:line="345" w:lineRule="auto"/>
        <w:ind w:right="3" w:firstLine="421"/>
        <w:jc w:val="both"/>
        <w:rPr>
          <w:rFonts w:ascii="宋体" w:hAnsi="宋体" w:eastAsia="宋体" w:cs="宋体"/>
          <w:sz w:val="20"/>
          <w:szCs w:val="20"/>
        </w:rPr>
      </w:pPr>
      <w:r>
        <w:rPr>
          <w:rFonts w:ascii="宋体" w:hAnsi="宋体" w:eastAsia="宋体" w:cs="宋体"/>
          <w:spacing w:val="10"/>
          <w:sz w:val="20"/>
          <w:szCs w:val="20"/>
        </w:rPr>
        <w:t>8.7.3 发包人认可使用替代材料和工程设备的，</w:t>
      </w:r>
      <w:r>
        <w:rPr>
          <w:rFonts w:ascii="宋体" w:hAnsi="宋体" w:eastAsia="宋体" w:cs="宋体"/>
          <w:spacing w:val="9"/>
          <w:sz w:val="20"/>
          <w:szCs w:val="20"/>
        </w:rPr>
        <w:t>替代材料和工程设备的价格，按照已标价工</w:t>
      </w:r>
      <w:r>
        <w:rPr>
          <w:rFonts w:ascii="宋体" w:hAnsi="宋体" w:eastAsia="宋体" w:cs="宋体"/>
          <w:spacing w:val="10"/>
          <w:sz w:val="20"/>
          <w:szCs w:val="20"/>
        </w:rPr>
        <w:t>程量清单或预算书相同项目的价格认定；无相同项目的，参考相似项目价格认定；既无相同项目</w:t>
      </w:r>
      <w:r>
        <w:rPr>
          <w:rFonts w:ascii="宋体" w:hAnsi="宋体" w:eastAsia="宋体" w:cs="宋体"/>
          <w:spacing w:val="8"/>
          <w:sz w:val="20"/>
          <w:szCs w:val="20"/>
        </w:rPr>
        <w:t>也无相似项目的，按照合理的成本与利润构成的原则，由合同当事人按</w:t>
      </w:r>
      <w:r>
        <w:rPr>
          <w:rFonts w:ascii="宋体" w:hAnsi="宋体" w:eastAsia="宋体" w:cs="宋体"/>
          <w:spacing w:val="7"/>
          <w:sz w:val="20"/>
          <w:szCs w:val="20"/>
        </w:rPr>
        <w:t>照第4.4</w:t>
      </w:r>
      <w:r>
        <w:rPr>
          <w:rFonts w:ascii="宋体" w:hAnsi="宋体" w:eastAsia="宋体" w:cs="宋体"/>
          <w:spacing w:val="-39"/>
          <w:sz w:val="20"/>
          <w:szCs w:val="20"/>
        </w:rPr>
        <w:t xml:space="preserve"> </w:t>
      </w:r>
      <w:r>
        <w:rPr>
          <w:rFonts w:ascii="宋体" w:hAnsi="宋体" w:eastAsia="宋体" w:cs="宋体"/>
          <w:spacing w:val="7"/>
          <w:sz w:val="20"/>
          <w:szCs w:val="20"/>
        </w:rPr>
        <w:t>款〔商定或确定〕</w:t>
      </w:r>
      <w:r>
        <w:rPr>
          <w:rFonts w:ascii="宋体" w:hAnsi="宋体" w:eastAsia="宋体" w:cs="宋体"/>
          <w:spacing w:val="6"/>
          <w:sz w:val="20"/>
          <w:szCs w:val="20"/>
        </w:rPr>
        <w:t>确定价格。</w:t>
      </w:r>
    </w:p>
    <w:p w14:paraId="31E90310">
      <w:pPr>
        <w:spacing w:before="1" w:line="227" w:lineRule="auto"/>
        <w:ind w:left="421"/>
        <w:rPr>
          <w:rFonts w:ascii="宋体" w:hAnsi="宋体" w:eastAsia="宋体" w:cs="宋体"/>
          <w:sz w:val="20"/>
          <w:szCs w:val="20"/>
        </w:rPr>
      </w:pPr>
      <w:r>
        <w:rPr>
          <w:rFonts w:ascii="宋体" w:hAnsi="宋体" w:eastAsia="宋体" w:cs="宋体"/>
          <w:b/>
          <w:bCs/>
          <w:spacing w:val="6"/>
          <w:sz w:val="20"/>
          <w:szCs w:val="20"/>
        </w:rPr>
        <w:t>8.8</w:t>
      </w:r>
      <w:r>
        <w:rPr>
          <w:rFonts w:ascii="宋体" w:hAnsi="宋体" w:eastAsia="宋体" w:cs="宋体"/>
          <w:spacing w:val="6"/>
          <w:sz w:val="20"/>
          <w:szCs w:val="20"/>
        </w:rPr>
        <w:t xml:space="preserve"> </w:t>
      </w:r>
      <w:r>
        <w:rPr>
          <w:rFonts w:ascii="宋体" w:hAnsi="宋体" w:eastAsia="宋体" w:cs="宋体"/>
          <w:b/>
          <w:bCs/>
          <w:spacing w:val="6"/>
          <w:sz w:val="20"/>
          <w:szCs w:val="20"/>
        </w:rPr>
        <w:t>施工设备和临时设施</w:t>
      </w:r>
    </w:p>
    <w:p w14:paraId="31262578">
      <w:pPr>
        <w:spacing w:before="128" w:line="227" w:lineRule="auto"/>
        <w:ind w:left="421"/>
        <w:rPr>
          <w:rFonts w:ascii="宋体" w:hAnsi="宋体" w:eastAsia="宋体" w:cs="宋体"/>
          <w:sz w:val="20"/>
          <w:szCs w:val="20"/>
        </w:rPr>
      </w:pPr>
      <w:r>
        <w:rPr>
          <w:rFonts w:ascii="宋体" w:hAnsi="宋体" w:eastAsia="宋体" w:cs="宋体"/>
          <w:b/>
          <w:bCs/>
          <w:spacing w:val="6"/>
          <w:sz w:val="20"/>
          <w:szCs w:val="20"/>
        </w:rPr>
        <w:t>8.8.1</w:t>
      </w:r>
      <w:r>
        <w:rPr>
          <w:rFonts w:ascii="宋体" w:hAnsi="宋体" w:eastAsia="宋体" w:cs="宋体"/>
          <w:spacing w:val="6"/>
          <w:sz w:val="20"/>
          <w:szCs w:val="20"/>
        </w:rPr>
        <w:t xml:space="preserve"> </w:t>
      </w:r>
      <w:r>
        <w:rPr>
          <w:rFonts w:ascii="宋体" w:hAnsi="宋体" w:eastAsia="宋体" w:cs="宋体"/>
          <w:b/>
          <w:bCs/>
          <w:spacing w:val="6"/>
          <w:sz w:val="20"/>
          <w:szCs w:val="20"/>
        </w:rPr>
        <w:t>承包人提供的施工设备和临时设施</w:t>
      </w:r>
    </w:p>
    <w:p w14:paraId="28114BC1">
      <w:pPr>
        <w:spacing w:before="127" w:line="346" w:lineRule="auto"/>
        <w:ind w:left="2" w:firstLine="418"/>
        <w:rPr>
          <w:rFonts w:ascii="宋体" w:hAnsi="宋体" w:eastAsia="宋体" w:cs="宋体"/>
          <w:sz w:val="20"/>
          <w:szCs w:val="20"/>
        </w:rPr>
      </w:pPr>
      <w:r>
        <w:rPr>
          <w:rFonts w:ascii="宋体" w:hAnsi="宋体" w:eastAsia="宋体" w:cs="宋体"/>
          <w:spacing w:val="10"/>
          <w:sz w:val="20"/>
          <w:szCs w:val="20"/>
        </w:rPr>
        <w:t>承包人应按合同进度计划的要求，及时配置施工设备和修建临时设施。进入施工场地的承包</w:t>
      </w:r>
      <w:r>
        <w:rPr>
          <w:rFonts w:ascii="宋体" w:hAnsi="宋体" w:eastAsia="宋体" w:cs="宋体"/>
          <w:spacing w:val="7"/>
          <w:sz w:val="20"/>
          <w:szCs w:val="20"/>
        </w:rPr>
        <w:t>人设备需经监理人核查后才能投入使用。承包人更换合同约定的承包人设备的，应报监理人批准。</w:t>
      </w:r>
    </w:p>
    <w:p w14:paraId="6332EB6A">
      <w:pPr>
        <w:spacing w:before="2" w:line="345" w:lineRule="auto"/>
        <w:ind w:left="26" w:right="71" w:firstLine="407"/>
        <w:rPr>
          <w:rFonts w:ascii="宋体" w:hAnsi="宋体" w:eastAsia="宋体" w:cs="宋体"/>
          <w:sz w:val="20"/>
          <w:szCs w:val="20"/>
        </w:rPr>
      </w:pPr>
      <w:r>
        <w:rPr>
          <w:rFonts w:ascii="宋体" w:hAnsi="宋体" w:eastAsia="宋体" w:cs="宋体"/>
          <w:spacing w:val="10"/>
          <w:sz w:val="20"/>
          <w:szCs w:val="20"/>
        </w:rPr>
        <w:t>除专用合同条款另有约定外，承包人应自行承担修建临时设施的费用，需要临时占地的，应</w:t>
      </w:r>
      <w:r>
        <w:rPr>
          <w:rFonts w:ascii="宋体" w:hAnsi="宋体" w:eastAsia="宋体" w:cs="宋体"/>
          <w:spacing w:val="7"/>
          <w:sz w:val="20"/>
          <w:szCs w:val="20"/>
        </w:rPr>
        <w:t>由发包人办理申请手续并承担相应费用。</w:t>
      </w:r>
    </w:p>
    <w:p w14:paraId="60FC819E">
      <w:pPr>
        <w:spacing w:before="1" w:line="226" w:lineRule="auto"/>
        <w:ind w:left="421"/>
        <w:rPr>
          <w:rFonts w:ascii="宋体" w:hAnsi="宋体" w:eastAsia="宋体" w:cs="宋体"/>
          <w:sz w:val="20"/>
          <w:szCs w:val="20"/>
        </w:rPr>
      </w:pPr>
      <w:r>
        <w:rPr>
          <w:rFonts w:ascii="宋体" w:hAnsi="宋体" w:eastAsia="宋体" w:cs="宋体"/>
          <w:b/>
          <w:bCs/>
          <w:spacing w:val="6"/>
          <w:sz w:val="20"/>
          <w:szCs w:val="20"/>
        </w:rPr>
        <w:t>8.8.2</w:t>
      </w:r>
      <w:r>
        <w:rPr>
          <w:rFonts w:ascii="宋体" w:hAnsi="宋体" w:eastAsia="宋体" w:cs="宋体"/>
          <w:spacing w:val="6"/>
          <w:sz w:val="20"/>
          <w:szCs w:val="20"/>
        </w:rPr>
        <w:t xml:space="preserve"> </w:t>
      </w:r>
      <w:r>
        <w:rPr>
          <w:rFonts w:ascii="宋体" w:hAnsi="宋体" w:eastAsia="宋体" w:cs="宋体"/>
          <w:b/>
          <w:bCs/>
          <w:spacing w:val="6"/>
          <w:sz w:val="20"/>
          <w:szCs w:val="20"/>
        </w:rPr>
        <w:t>发包人提供的施工设备和临时设施</w:t>
      </w:r>
    </w:p>
    <w:p w14:paraId="278AFE34">
      <w:pPr>
        <w:spacing w:before="128" w:line="227" w:lineRule="auto"/>
        <w:ind w:left="424"/>
        <w:rPr>
          <w:rFonts w:ascii="宋体" w:hAnsi="宋体" w:eastAsia="宋体" w:cs="宋体"/>
          <w:sz w:val="20"/>
          <w:szCs w:val="20"/>
        </w:rPr>
      </w:pPr>
      <w:r>
        <w:rPr>
          <w:rFonts w:ascii="宋体" w:hAnsi="宋体" w:eastAsia="宋体" w:cs="宋体"/>
          <w:spacing w:val="9"/>
          <w:sz w:val="20"/>
          <w:szCs w:val="20"/>
        </w:rPr>
        <w:t>发包人提供的施工设备或临时设施在专用合同条款中约定。</w:t>
      </w:r>
    </w:p>
    <w:p w14:paraId="414A6E67">
      <w:pPr>
        <w:spacing w:before="128" w:line="228" w:lineRule="auto"/>
        <w:ind w:left="421"/>
        <w:rPr>
          <w:rFonts w:ascii="宋体" w:hAnsi="宋体" w:eastAsia="宋体" w:cs="宋体"/>
          <w:sz w:val="20"/>
          <w:szCs w:val="20"/>
        </w:rPr>
      </w:pPr>
      <w:r>
        <w:rPr>
          <w:rFonts w:ascii="宋体" w:hAnsi="宋体" w:eastAsia="宋体" w:cs="宋体"/>
          <w:b/>
          <w:bCs/>
          <w:spacing w:val="6"/>
          <w:sz w:val="20"/>
          <w:szCs w:val="20"/>
        </w:rPr>
        <w:t>8.8.3</w:t>
      </w:r>
      <w:r>
        <w:rPr>
          <w:rFonts w:ascii="宋体" w:hAnsi="宋体" w:eastAsia="宋体" w:cs="宋体"/>
          <w:spacing w:val="6"/>
          <w:sz w:val="20"/>
          <w:szCs w:val="20"/>
        </w:rPr>
        <w:t xml:space="preserve"> </w:t>
      </w:r>
      <w:r>
        <w:rPr>
          <w:rFonts w:ascii="宋体" w:hAnsi="宋体" w:eastAsia="宋体" w:cs="宋体"/>
          <w:b/>
          <w:bCs/>
          <w:spacing w:val="6"/>
          <w:sz w:val="20"/>
          <w:szCs w:val="20"/>
        </w:rPr>
        <w:t>要求承包人增加或更换施工设备</w:t>
      </w:r>
    </w:p>
    <w:p w14:paraId="6C396708">
      <w:pPr>
        <w:spacing w:before="127" w:line="346" w:lineRule="auto"/>
        <w:ind w:right="71" w:firstLine="420"/>
        <w:jc w:val="both"/>
        <w:rPr>
          <w:rFonts w:ascii="宋体" w:hAnsi="宋体" w:eastAsia="宋体" w:cs="宋体"/>
          <w:sz w:val="20"/>
          <w:szCs w:val="20"/>
        </w:rPr>
      </w:pPr>
      <w:r>
        <w:rPr>
          <w:rFonts w:ascii="宋体" w:hAnsi="宋体" w:eastAsia="宋体" w:cs="宋体"/>
          <w:spacing w:val="10"/>
          <w:sz w:val="20"/>
          <w:szCs w:val="20"/>
        </w:rPr>
        <w:t>承包人使用的施工设备不能满足合同进度计划和（或）质量要求时，监理人有权要求承包人增加或更换施工设备，承包人应及时增加或更换，由此增加的费用和（或）延误的工期由承包人</w:t>
      </w:r>
      <w:r>
        <w:rPr>
          <w:rFonts w:ascii="宋体" w:hAnsi="宋体" w:eastAsia="宋体" w:cs="宋体"/>
          <w:spacing w:val="3"/>
          <w:sz w:val="20"/>
          <w:szCs w:val="20"/>
        </w:rPr>
        <w:t>承担。</w:t>
      </w:r>
    </w:p>
    <w:p w14:paraId="1C5D0784">
      <w:pPr>
        <w:spacing w:before="1" w:line="226" w:lineRule="auto"/>
        <w:ind w:left="421"/>
        <w:rPr>
          <w:rFonts w:ascii="宋体" w:hAnsi="宋体" w:eastAsia="宋体" w:cs="宋体"/>
          <w:sz w:val="20"/>
          <w:szCs w:val="20"/>
        </w:rPr>
      </w:pPr>
      <w:r>
        <w:rPr>
          <w:rFonts w:ascii="宋体" w:hAnsi="宋体" w:eastAsia="宋体" w:cs="宋体"/>
          <w:b/>
          <w:bCs/>
          <w:spacing w:val="6"/>
          <w:sz w:val="20"/>
          <w:szCs w:val="20"/>
        </w:rPr>
        <w:t>8.9</w:t>
      </w:r>
      <w:r>
        <w:rPr>
          <w:rFonts w:ascii="宋体" w:hAnsi="宋体" w:eastAsia="宋体" w:cs="宋体"/>
          <w:spacing w:val="6"/>
          <w:sz w:val="20"/>
          <w:szCs w:val="20"/>
        </w:rPr>
        <w:t xml:space="preserve"> </w:t>
      </w:r>
      <w:r>
        <w:rPr>
          <w:rFonts w:ascii="宋体" w:hAnsi="宋体" w:eastAsia="宋体" w:cs="宋体"/>
          <w:b/>
          <w:bCs/>
          <w:spacing w:val="6"/>
          <w:sz w:val="20"/>
          <w:szCs w:val="20"/>
        </w:rPr>
        <w:t>材料与设备专用要求</w:t>
      </w:r>
    </w:p>
    <w:p w14:paraId="53644E16">
      <w:pPr>
        <w:spacing w:before="127" w:line="347" w:lineRule="auto"/>
        <w:ind w:right="71" w:firstLine="420"/>
        <w:jc w:val="both"/>
        <w:rPr>
          <w:rFonts w:ascii="宋体" w:hAnsi="宋体" w:eastAsia="宋体" w:cs="宋体"/>
          <w:sz w:val="20"/>
          <w:szCs w:val="20"/>
        </w:rPr>
      </w:pPr>
      <w:r>
        <w:rPr>
          <w:rFonts w:ascii="宋体" w:hAnsi="宋体" w:eastAsia="宋体" w:cs="宋体"/>
          <w:spacing w:val="10"/>
          <w:sz w:val="20"/>
          <w:szCs w:val="20"/>
        </w:rPr>
        <w:t>承包人运入施工现场的材料、工程设备、施工设备以及在施工场地建设的临时设施，包括备品备件、安装工具与资料，必须专用于工程。未经发包人批准，承包人不得运出施工现场或挪作</w:t>
      </w:r>
      <w:r>
        <w:rPr>
          <w:rFonts w:ascii="宋体" w:hAnsi="宋体" w:eastAsia="宋体" w:cs="宋体"/>
          <w:spacing w:val="9"/>
          <w:sz w:val="20"/>
          <w:szCs w:val="20"/>
        </w:rPr>
        <w:t>他用；经发包人批准，承包人可以根据施工进度计划撤走闲置的施工设备和其他物品。</w:t>
      </w:r>
    </w:p>
    <w:p w14:paraId="08B63E51">
      <w:pPr>
        <w:spacing w:line="347" w:lineRule="auto"/>
        <w:rPr>
          <w:rFonts w:ascii="宋体" w:hAnsi="宋体" w:eastAsia="宋体" w:cs="宋体"/>
          <w:sz w:val="20"/>
          <w:szCs w:val="20"/>
        </w:rPr>
        <w:sectPr>
          <w:footerReference r:id="rId362" w:type="default"/>
          <w:pgSz w:w="11906" w:h="16839"/>
          <w:pgMar w:top="400" w:right="1462" w:bottom="1446" w:left="1538" w:header="0" w:footer="1284" w:gutter="0"/>
          <w:cols w:space="720" w:num="1"/>
        </w:sectPr>
      </w:pPr>
    </w:p>
    <w:p w14:paraId="2B504B8C">
      <w:pPr>
        <w:spacing w:line="264" w:lineRule="auto"/>
        <w:rPr>
          <w:rFonts w:ascii="Arial"/>
          <w:sz w:val="21"/>
        </w:rPr>
      </w:pPr>
    </w:p>
    <w:p w14:paraId="11EFB94A">
      <w:pPr>
        <w:spacing w:line="264" w:lineRule="auto"/>
        <w:rPr>
          <w:rFonts w:ascii="Arial"/>
          <w:sz w:val="21"/>
        </w:rPr>
      </w:pPr>
    </w:p>
    <w:p w14:paraId="30E865CA">
      <w:pPr>
        <w:spacing w:line="264" w:lineRule="auto"/>
        <w:rPr>
          <w:rFonts w:ascii="Arial"/>
          <w:sz w:val="21"/>
        </w:rPr>
      </w:pPr>
    </w:p>
    <w:p w14:paraId="70BB3585">
      <w:pPr>
        <w:spacing w:line="264" w:lineRule="auto"/>
        <w:rPr>
          <w:rFonts w:ascii="Arial"/>
          <w:sz w:val="21"/>
        </w:rPr>
      </w:pPr>
    </w:p>
    <w:p w14:paraId="1D6B4070">
      <w:pPr>
        <w:spacing w:line="264" w:lineRule="auto"/>
        <w:rPr>
          <w:rFonts w:ascii="Arial"/>
          <w:sz w:val="21"/>
        </w:rPr>
      </w:pPr>
    </w:p>
    <w:p w14:paraId="2D281B83">
      <w:pPr>
        <w:spacing w:line="265" w:lineRule="auto"/>
        <w:rPr>
          <w:rFonts w:ascii="Arial"/>
          <w:sz w:val="21"/>
        </w:rPr>
      </w:pPr>
    </w:p>
    <w:p w14:paraId="5A678166">
      <w:pPr>
        <w:spacing w:line="265" w:lineRule="auto"/>
        <w:rPr>
          <w:rFonts w:ascii="Arial"/>
          <w:sz w:val="21"/>
        </w:rPr>
      </w:pPr>
    </w:p>
    <w:p w14:paraId="44B90B54">
      <w:pPr>
        <w:spacing w:before="65" w:line="228" w:lineRule="auto"/>
        <w:ind w:left="422"/>
        <w:outlineLvl w:val="2"/>
        <w:rPr>
          <w:rFonts w:ascii="宋体" w:hAnsi="宋体" w:eastAsia="宋体" w:cs="宋体"/>
          <w:sz w:val="20"/>
          <w:szCs w:val="20"/>
        </w:rPr>
      </w:pPr>
      <w:bookmarkStart w:id="314" w:name="bookmark297"/>
      <w:bookmarkEnd w:id="314"/>
      <w:r>
        <w:rPr>
          <w:rFonts w:ascii="宋体" w:hAnsi="宋体" w:eastAsia="宋体" w:cs="宋体"/>
          <w:b/>
          <w:bCs/>
          <w:spacing w:val="5"/>
          <w:sz w:val="20"/>
          <w:szCs w:val="20"/>
        </w:rPr>
        <w:t>9.</w:t>
      </w:r>
      <w:r>
        <w:rPr>
          <w:rFonts w:ascii="宋体" w:hAnsi="宋体" w:eastAsia="宋体" w:cs="宋体"/>
          <w:spacing w:val="5"/>
          <w:sz w:val="20"/>
          <w:szCs w:val="20"/>
        </w:rPr>
        <w:t xml:space="preserve"> </w:t>
      </w:r>
      <w:r>
        <w:rPr>
          <w:rFonts w:ascii="宋体" w:hAnsi="宋体" w:eastAsia="宋体" w:cs="宋体"/>
          <w:b/>
          <w:bCs/>
          <w:spacing w:val="5"/>
          <w:sz w:val="20"/>
          <w:szCs w:val="20"/>
        </w:rPr>
        <w:t>试验与检验</w:t>
      </w:r>
    </w:p>
    <w:p w14:paraId="53C0773D">
      <w:pPr>
        <w:spacing w:before="127" w:line="229" w:lineRule="auto"/>
        <w:ind w:left="422"/>
        <w:rPr>
          <w:rFonts w:ascii="宋体" w:hAnsi="宋体" w:eastAsia="宋体" w:cs="宋体"/>
          <w:sz w:val="20"/>
          <w:szCs w:val="20"/>
        </w:rPr>
      </w:pPr>
      <w:r>
        <w:rPr>
          <w:rFonts w:ascii="宋体" w:hAnsi="宋体" w:eastAsia="宋体" w:cs="宋体"/>
          <w:b/>
          <w:bCs/>
          <w:spacing w:val="6"/>
          <w:sz w:val="20"/>
          <w:szCs w:val="20"/>
        </w:rPr>
        <w:t>9.1</w:t>
      </w:r>
      <w:r>
        <w:rPr>
          <w:rFonts w:ascii="宋体" w:hAnsi="宋体" w:eastAsia="宋体" w:cs="宋体"/>
          <w:spacing w:val="6"/>
          <w:sz w:val="20"/>
          <w:szCs w:val="20"/>
        </w:rPr>
        <w:t xml:space="preserve"> </w:t>
      </w:r>
      <w:r>
        <w:rPr>
          <w:rFonts w:ascii="宋体" w:hAnsi="宋体" w:eastAsia="宋体" w:cs="宋体"/>
          <w:b/>
          <w:bCs/>
          <w:spacing w:val="6"/>
          <w:sz w:val="20"/>
          <w:szCs w:val="20"/>
        </w:rPr>
        <w:t>试验设备与试验人员</w:t>
      </w:r>
    </w:p>
    <w:p w14:paraId="5B760174">
      <w:pPr>
        <w:spacing w:before="124" w:line="346" w:lineRule="auto"/>
        <w:ind w:left="1" w:right="2" w:firstLine="420"/>
        <w:rPr>
          <w:rFonts w:ascii="宋体" w:hAnsi="宋体" w:eastAsia="宋体" w:cs="宋体"/>
          <w:sz w:val="20"/>
          <w:szCs w:val="20"/>
        </w:rPr>
      </w:pPr>
      <w:r>
        <w:rPr>
          <w:rFonts w:ascii="宋体" w:hAnsi="宋体" w:eastAsia="宋体" w:cs="宋体"/>
          <w:spacing w:val="10"/>
          <w:sz w:val="20"/>
          <w:szCs w:val="20"/>
        </w:rPr>
        <w:t>9.1.1 承包人根据合同约定或监理人指示进行的现场材料试验，应由承包人提供</w:t>
      </w:r>
      <w:r>
        <w:rPr>
          <w:rFonts w:ascii="宋体" w:hAnsi="宋体" w:eastAsia="宋体" w:cs="宋体"/>
          <w:spacing w:val="9"/>
          <w:sz w:val="20"/>
          <w:szCs w:val="20"/>
        </w:rPr>
        <w:t>试验场所、</w:t>
      </w:r>
      <w:r>
        <w:rPr>
          <w:rFonts w:ascii="宋体" w:hAnsi="宋体" w:eastAsia="宋体" w:cs="宋体"/>
          <w:spacing w:val="7"/>
          <w:sz w:val="20"/>
          <w:szCs w:val="20"/>
        </w:rPr>
        <w:t>试验人员、试验设备以及其他必要的试验条件。监理人在必要时可以使用承包人提供的试验场所、</w:t>
      </w:r>
      <w:r>
        <w:rPr>
          <w:rFonts w:ascii="宋体" w:hAnsi="宋体" w:eastAsia="宋体" w:cs="宋体"/>
          <w:spacing w:val="10"/>
          <w:sz w:val="20"/>
          <w:szCs w:val="20"/>
        </w:rPr>
        <w:t>试验设备以及其他试验条件，进行以工程质量检</w:t>
      </w:r>
      <w:r>
        <w:rPr>
          <w:rFonts w:ascii="宋体" w:hAnsi="宋体" w:eastAsia="宋体" w:cs="宋体"/>
          <w:spacing w:val="9"/>
          <w:sz w:val="20"/>
          <w:szCs w:val="20"/>
        </w:rPr>
        <w:t>查为目的的材料复核试验，承包人应予以协助。</w:t>
      </w:r>
    </w:p>
    <w:p w14:paraId="049C2C07">
      <w:pPr>
        <w:spacing w:before="1" w:line="345" w:lineRule="auto"/>
        <w:ind w:left="22" w:right="73" w:firstLine="399"/>
        <w:rPr>
          <w:rFonts w:ascii="宋体" w:hAnsi="宋体" w:eastAsia="宋体" w:cs="宋体"/>
          <w:sz w:val="20"/>
          <w:szCs w:val="20"/>
        </w:rPr>
      </w:pPr>
      <w:r>
        <w:rPr>
          <w:rFonts w:ascii="宋体" w:hAnsi="宋体" w:eastAsia="宋体" w:cs="宋体"/>
          <w:spacing w:val="10"/>
          <w:sz w:val="20"/>
          <w:szCs w:val="20"/>
        </w:rPr>
        <w:t>9.1.2 承包人应按专用合同条款的约定提供试验</w:t>
      </w:r>
      <w:r>
        <w:rPr>
          <w:rFonts w:ascii="宋体" w:hAnsi="宋体" w:eastAsia="宋体" w:cs="宋体"/>
          <w:spacing w:val="9"/>
          <w:sz w:val="20"/>
          <w:szCs w:val="20"/>
        </w:rPr>
        <w:t>设备、取样装置、试验场所和试验条件，并</w:t>
      </w:r>
      <w:r>
        <w:rPr>
          <w:rFonts w:ascii="宋体" w:hAnsi="宋体" w:eastAsia="宋体" w:cs="宋体"/>
          <w:spacing w:val="7"/>
          <w:sz w:val="20"/>
          <w:szCs w:val="20"/>
        </w:rPr>
        <w:t>向监理人提交相应进场计划表。</w:t>
      </w:r>
    </w:p>
    <w:p w14:paraId="230CA5FC">
      <w:pPr>
        <w:spacing w:before="1" w:line="345" w:lineRule="auto"/>
        <w:ind w:left="5" w:right="73" w:firstLine="415"/>
        <w:rPr>
          <w:rFonts w:ascii="宋体" w:hAnsi="宋体" w:eastAsia="宋体" w:cs="宋体"/>
          <w:sz w:val="20"/>
          <w:szCs w:val="20"/>
        </w:rPr>
      </w:pPr>
      <w:r>
        <w:rPr>
          <w:rFonts w:ascii="宋体" w:hAnsi="宋体" w:eastAsia="宋体" w:cs="宋体"/>
          <w:spacing w:val="10"/>
          <w:sz w:val="20"/>
          <w:szCs w:val="20"/>
        </w:rPr>
        <w:t>承包人配置的试验设备要符合相应试验规程的要求并经过具有资质的检测单位检测，且在正</w:t>
      </w:r>
      <w:r>
        <w:rPr>
          <w:rFonts w:ascii="宋体" w:hAnsi="宋体" w:eastAsia="宋体" w:cs="宋体"/>
          <w:spacing w:val="9"/>
          <w:sz w:val="20"/>
          <w:szCs w:val="20"/>
        </w:rPr>
        <w:t>式使用该试验设备前，需要经过监理人与承包人共同校定。</w:t>
      </w:r>
    </w:p>
    <w:p w14:paraId="3BF8B0F5">
      <w:pPr>
        <w:spacing w:before="1" w:line="345" w:lineRule="auto"/>
        <w:ind w:right="73" w:firstLine="421"/>
        <w:rPr>
          <w:rFonts w:ascii="宋体" w:hAnsi="宋体" w:eastAsia="宋体" w:cs="宋体"/>
          <w:sz w:val="20"/>
          <w:szCs w:val="20"/>
        </w:rPr>
      </w:pPr>
      <w:r>
        <w:rPr>
          <w:rFonts w:ascii="宋体" w:hAnsi="宋体" w:eastAsia="宋体" w:cs="宋体"/>
          <w:spacing w:val="10"/>
          <w:sz w:val="20"/>
          <w:szCs w:val="20"/>
        </w:rPr>
        <w:t>9.1.3 承包人应向监理人提交试验人员的名单及</w:t>
      </w:r>
      <w:r>
        <w:rPr>
          <w:rFonts w:ascii="宋体" w:hAnsi="宋体" w:eastAsia="宋体" w:cs="宋体"/>
          <w:spacing w:val="9"/>
          <w:sz w:val="20"/>
          <w:szCs w:val="20"/>
        </w:rPr>
        <w:t>其岗位、资格等证明资料，试验人员必须能够熟练进行相应的检测试验，承包人对试验人员的试验程序和试验结果的正确性负责。</w:t>
      </w:r>
    </w:p>
    <w:p w14:paraId="60DBAF4F">
      <w:pPr>
        <w:spacing w:before="1" w:line="227" w:lineRule="auto"/>
        <w:ind w:left="422"/>
        <w:rPr>
          <w:rFonts w:ascii="宋体" w:hAnsi="宋体" w:eastAsia="宋体" w:cs="宋体"/>
          <w:sz w:val="20"/>
          <w:szCs w:val="20"/>
        </w:rPr>
      </w:pPr>
      <w:r>
        <w:rPr>
          <w:rFonts w:ascii="宋体" w:hAnsi="宋体" w:eastAsia="宋体" w:cs="宋体"/>
          <w:b/>
          <w:bCs/>
          <w:spacing w:val="1"/>
          <w:sz w:val="20"/>
          <w:szCs w:val="20"/>
        </w:rPr>
        <w:t>9.2</w:t>
      </w:r>
      <w:r>
        <w:rPr>
          <w:rFonts w:ascii="宋体" w:hAnsi="宋体" w:eastAsia="宋体" w:cs="宋体"/>
          <w:spacing w:val="17"/>
          <w:sz w:val="20"/>
          <w:szCs w:val="20"/>
        </w:rPr>
        <w:t xml:space="preserve"> </w:t>
      </w:r>
      <w:r>
        <w:rPr>
          <w:rFonts w:ascii="宋体" w:hAnsi="宋体" w:eastAsia="宋体" w:cs="宋体"/>
          <w:b/>
          <w:bCs/>
          <w:spacing w:val="1"/>
          <w:sz w:val="20"/>
          <w:szCs w:val="20"/>
        </w:rPr>
        <w:t>取样</w:t>
      </w:r>
    </w:p>
    <w:p w14:paraId="5F18F425">
      <w:pPr>
        <w:spacing w:before="127" w:line="346" w:lineRule="auto"/>
        <w:ind w:left="5" w:right="18" w:firstLine="415"/>
        <w:rPr>
          <w:rFonts w:ascii="宋体" w:hAnsi="宋体" w:eastAsia="宋体" w:cs="宋体"/>
          <w:sz w:val="20"/>
          <w:szCs w:val="20"/>
        </w:rPr>
      </w:pPr>
      <w:r>
        <w:rPr>
          <w:rFonts w:ascii="宋体" w:hAnsi="宋体" w:eastAsia="宋体" w:cs="宋体"/>
          <w:spacing w:val="7"/>
          <w:sz w:val="20"/>
          <w:szCs w:val="20"/>
        </w:rPr>
        <w:t>试验属于自检性质的，承包人可以单独取样。试</w:t>
      </w:r>
      <w:r>
        <w:rPr>
          <w:rFonts w:ascii="宋体" w:hAnsi="宋体" w:eastAsia="宋体" w:cs="宋体"/>
          <w:spacing w:val="6"/>
          <w:sz w:val="20"/>
          <w:szCs w:val="20"/>
        </w:rPr>
        <w:t>验属于监理人抽检性质的，可由监理人取样，</w:t>
      </w:r>
      <w:r>
        <w:rPr>
          <w:rFonts w:ascii="宋体" w:hAnsi="宋体" w:eastAsia="宋体" w:cs="宋体"/>
          <w:spacing w:val="9"/>
          <w:sz w:val="20"/>
          <w:szCs w:val="20"/>
        </w:rPr>
        <w:t>也可由承包人的试验人员在监理人的监督下</w:t>
      </w:r>
      <w:r>
        <w:rPr>
          <w:rFonts w:ascii="宋体" w:hAnsi="宋体" w:eastAsia="宋体" w:cs="宋体"/>
          <w:spacing w:val="8"/>
          <w:sz w:val="20"/>
          <w:szCs w:val="20"/>
        </w:rPr>
        <w:t>取样。</w:t>
      </w:r>
    </w:p>
    <w:p w14:paraId="5ED32742">
      <w:pPr>
        <w:spacing w:before="1" w:line="226" w:lineRule="auto"/>
        <w:ind w:left="422"/>
        <w:rPr>
          <w:rFonts w:ascii="宋体" w:hAnsi="宋体" w:eastAsia="宋体" w:cs="宋体"/>
          <w:sz w:val="20"/>
          <w:szCs w:val="20"/>
        </w:rPr>
      </w:pPr>
      <w:r>
        <w:rPr>
          <w:rFonts w:ascii="宋体" w:hAnsi="宋体" w:eastAsia="宋体" w:cs="宋体"/>
          <w:b/>
          <w:bCs/>
          <w:spacing w:val="7"/>
          <w:sz w:val="20"/>
          <w:szCs w:val="20"/>
        </w:rPr>
        <w:t>9.3</w:t>
      </w:r>
      <w:r>
        <w:rPr>
          <w:rFonts w:ascii="宋体" w:hAnsi="宋体" w:eastAsia="宋体" w:cs="宋体"/>
          <w:spacing w:val="7"/>
          <w:sz w:val="20"/>
          <w:szCs w:val="20"/>
        </w:rPr>
        <w:t xml:space="preserve"> </w:t>
      </w:r>
      <w:r>
        <w:rPr>
          <w:rFonts w:ascii="宋体" w:hAnsi="宋体" w:eastAsia="宋体" w:cs="宋体"/>
          <w:b/>
          <w:bCs/>
          <w:spacing w:val="7"/>
          <w:sz w:val="20"/>
          <w:szCs w:val="20"/>
        </w:rPr>
        <w:t>材料、工程设备和工程的试验和检验</w:t>
      </w:r>
    </w:p>
    <w:p w14:paraId="119D44B9">
      <w:pPr>
        <w:spacing w:before="127" w:line="346" w:lineRule="auto"/>
        <w:ind w:firstLine="422"/>
        <w:rPr>
          <w:rFonts w:ascii="宋体" w:hAnsi="宋体" w:eastAsia="宋体" w:cs="宋体"/>
          <w:sz w:val="20"/>
          <w:szCs w:val="20"/>
        </w:rPr>
      </w:pPr>
      <w:r>
        <w:rPr>
          <w:rFonts w:ascii="宋体" w:hAnsi="宋体" w:eastAsia="宋体" w:cs="宋体"/>
          <w:spacing w:val="2"/>
          <w:sz w:val="20"/>
          <w:szCs w:val="20"/>
        </w:rPr>
        <w:t>9.3.1 承包人应按合同约定进行材料、工程设备和工程的试验和检验，并为监理人对</w:t>
      </w:r>
      <w:r>
        <w:rPr>
          <w:rFonts w:ascii="宋体" w:hAnsi="宋体" w:eastAsia="宋体" w:cs="宋体"/>
          <w:spacing w:val="1"/>
          <w:sz w:val="20"/>
          <w:szCs w:val="20"/>
        </w:rPr>
        <w:t>上述材料、</w:t>
      </w:r>
      <w:r>
        <w:rPr>
          <w:rFonts w:ascii="宋体" w:hAnsi="宋体" w:eastAsia="宋体" w:cs="宋体"/>
          <w:spacing w:val="6"/>
          <w:sz w:val="20"/>
          <w:szCs w:val="20"/>
        </w:rPr>
        <w:t>工程设备和工程的质量检查提供必要的试验资料和原始</w:t>
      </w:r>
      <w:r>
        <w:rPr>
          <w:rFonts w:ascii="宋体" w:hAnsi="宋体" w:eastAsia="宋体" w:cs="宋体"/>
          <w:spacing w:val="5"/>
          <w:sz w:val="20"/>
          <w:szCs w:val="20"/>
        </w:rPr>
        <w:t>记录。按合同约定应由监理人与承包人共同</w:t>
      </w:r>
      <w:r>
        <w:rPr>
          <w:rFonts w:ascii="宋体" w:hAnsi="宋体" w:eastAsia="宋体" w:cs="宋体"/>
          <w:spacing w:val="2"/>
          <w:sz w:val="20"/>
          <w:szCs w:val="20"/>
        </w:rPr>
        <w:t>进行试验和检验的，由承包人负责提供必要的试验资料和原始记录。</w:t>
      </w:r>
    </w:p>
    <w:p w14:paraId="31DDD24E">
      <w:pPr>
        <w:spacing w:before="3" w:line="345" w:lineRule="auto"/>
        <w:ind w:left="1" w:right="73" w:firstLine="420"/>
        <w:rPr>
          <w:rFonts w:ascii="宋体" w:hAnsi="宋体" w:eastAsia="宋体" w:cs="宋体"/>
          <w:sz w:val="20"/>
          <w:szCs w:val="20"/>
        </w:rPr>
      </w:pPr>
      <w:r>
        <w:rPr>
          <w:rFonts w:ascii="宋体" w:hAnsi="宋体" w:eastAsia="宋体" w:cs="宋体"/>
          <w:spacing w:val="10"/>
          <w:sz w:val="20"/>
          <w:szCs w:val="20"/>
        </w:rPr>
        <w:t>9.3.2 试验属于自检性质的，承包人可以单独进</w:t>
      </w:r>
      <w:r>
        <w:rPr>
          <w:rFonts w:ascii="宋体" w:hAnsi="宋体" w:eastAsia="宋体" w:cs="宋体"/>
          <w:spacing w:val="9"/>
          <w:sz w:val="20"/>
          <w:szCs w:val="20"/>
        </w:rPr>
        <w:t>行试验。试验属于监理人抽检性质的，监理</w:t>
      </w:r>
      <w:r>
        <w:rPr>
          <w:rFonts w:ascii="宋体" w:hAnsi="宋体" w:eastAsia="宋体" w:cs="宋体"/>
          <w:spacing w:val="10"/>
          <w:sz w:val="20"/>
          <w:szCs w:val="20"/>
        </w:rPr>
        <w:t>人可以单独进行试验，也可由承包人与监理人共同进行。承包人对由监理人单独进行的试验结果有异议的，可以申请重新共同进行试验。约定共同进行试验的，监理人未按照约定参加试验的，</w:t>
      </w:r>
      <w:r>
        <w:rPr>
          <w:rFonts w:ascii="宋体" w:hAnsi="宋体" w:eastAsia="宋体" w:cs="宋体"/>
          <w:spacing w:val="9"/>
          <w:sz w:val="20"/>
          <w:szCs w:val="20"/>
        </w:rPr>
        <w:t>承包人可自行试验，并将试验结果报送监理人，监理人应承认该试验结果。</w:t>
      </w:r>
    </w:p>
    <w:p w14:paraId="39F81A62">
      <w:pPr>
        <w:spacing w:before="3" w:line="345" w:lineRule="auto"/>
        <w:ind w:left="2" w:right="73" w:firstLine="420"/>
        <w:rPr>
          <w:rFonts w:ascii="宋体" w:hAnsi="宋体" w:eastAsia="宋体" w:cs="宋体"/>
          <w:sz w:val="20"/>
          <w:szCs w:val="20"/>
        </w:rPr>
      </w:pPr>
      <w:r>
        <w:rPr>
          <w:rFonts w:ascii="宋体" w:hAnsi="宋体" w:eastAsia="宋体" w:cs="宋体"/>
          <w:spacing w:val="10"/>
          <w:sz w:val="20"/>
          <w:szCs w:val="20"/>
        </w:rPr>
        <w:t>9.3.3 监理人对承包人的试验和检验结果有异议</w:t>
      </w:r>
      <w:r>
        <w:rPr>
          <w:rFonts w:ascii="宋体" w:hAnsi="宋体" w:eastAsia="宋体" w:cs="宋体"/>
          <w:spacing w:val="9"/>
          <w:sz w:val="20"/>
          <w:szCs w:val="20"/>
        </w:rPr>
        <w:t>的，或为查清承包人试验和检验成果的可靠</w:t>
      </w:r>
      <w:r>
        <w:rPr>
          <w:rFonts w:ascii="宋体" w:hAnsi="宋体" w:eastAsia="宋体" w:cs="宋体"/>
          <w:spacing w:val="10"/>
          <w:sz w:val="20"/>
          <w:szCs w:val="20"/>
        </w:rPr>
        <w:t>性要求承包人重新试验和检验的，可由监理人与承包人共同进行。重新试验和检验的结果证明该</w:t>
      </w:r>
      <w:r>
        <w:rPr>
          <w:rFonts w:ascii="宋体" w:hAnsi="宋体" w:eastAsia="宋体" w:cs="宋体"/>
          <w:spacing w:val="9"/>
          <w:sz w:val="20"/>
          <w:szCs w:val="20"/>
        </w:rPr>
        <w:t>项材料、工程设备或工程的质量不符合合同要求的，</w:t>
      </w:r>
      <w:r>
        <w:rPr>
          <w:rFonts w:ascii="宋体" w:hAnsi="宋体" w:eastAsia="宋体" w:cs="宋体"/>
          <w:spacing w:val="-47"/>
          <w:sz w:val="20"/>
          <w:szCs w:val="20"/>
        </w:rPr>
        <w:t xml:space="preserve"> </w:t>
      </w:r>
      <w:r>
        <w:rPr>
          <w:rFonts w:ascii="宋体" w:hAnsi="宋体" w:eastAsia="宋体" w:cs="宋体"/>
          <w:spacing w:val="9"/>
          <w:sz w:val="20"/>
          <w:szCs w:val="20"/>
        </w:rPr>
        <w:t>由此增加的费用和（或）延误的工期由承包人承担；重新试验和检验结果证明该项材料、工程设备和工程符合合同要求的，</w:t>
      </w:r>
      <w:r>
        <w:rPr>
          <w:rFonts w:ascii="宋体" w:hAnsi="宋体" w:eastAsia="宋体" w:cs="宋体"/>
          <w:spacing w:val="-47"/>
          <w:sz w:val="20"/>
          <w:szCs w:val="20"/>
        </w:rPr>
        <w:t xml:space="preserve"> </w:t>
      </w:r>
      <w:r>
        <w:rPr>
          <w:rFonts w:ascii="宋体" w:hAnsi="宋体" w:eastAsia="宋体" w:cs="宋体"/>
          <w:spacing w:val="9"/>
          <w:sz w:val="20"/>
          <w:szCs w:val="20"/>
        </w:rPr>
        <w:t>由此增加的费用</w:t>
      </w:r>
      <w:r>
        <w:rPr>
          <w:rFonts w:ascii="宋体" w:hAnsi="宋体" w:eastAsia="宋体" w:cs="宋体"/>
          <w:spacing w:val="8"/>
          <w:sz w:val="20"/>
          <w:szCs w:val="20"/>
        </w:rPr>
        <w:t>和（或）延误的工期由发包人承担。</w:t>
      </w:r>
    </w:p>
    <w:p w14:paraId="5E5F9802">
      <w:pPr>
        <w:spacing w:before="1" w:line="228" w:lineRule="auto"/>
        <w:ind w:left="422"/>
        <w:rPr>
          <w:rFonts w:ascii="宋体" w:hAnsi="宋体" w:eastAsia="宋体" w:cs="宋体"/>
          <w:sz w:val="20"/>
          <w:szCs w:val="20"/>
        </w:rPr>
      </w:pPr>
      <w:r>
        <w:rPr>
          <w:rFonts w:ascii="宋体" w:hAnsi="宋体" w:eastAsia="宋体" w:cs="宋体"/>
          <w:b/>
          <w:bCs/>
          <w:spacing w:val="5"/>
          <w:sz w:val="20"/>
          <w:szCs w:val="20"/>
        </w:rPr>
        <w:t>9.4</w:t>
      </w:r>
      <w:r>
        <w:rPr>
          <w:rFonts w:ascii="宋体" w:hAnsi="宋体" w:eastAsia="宋体" w:cs="宋体"/>
          <w:spacing w:val="5"/>
          <w:sz w:val="20"/>
          <w:szCs w:val="20"/>
        </w:rPr>
        <w:t xml:space="preserve"> </w:t>
      </w:r>
      <w:r>
        <w:rPr>
          <w:rFonts w:ascii="宋体" w:hAnsi="宋体" w:eastAsia="宋体" w:cs="宋体"/>
          <w:b/>
          <w:bCs/>
          <w:spacing w:val="5"/>
          <w:sz w:val="20"/>
          <w:szCs w:val="20"/>
        </w:rPr>
        <w:t>现场工艺试验</w:t>
      </w:r>
    </w:p>
    <w:p w14:paraId="56FC3DA2">
      <w:pPr>
        <w:spacing w:before="127" w:line="347" w:lineRule="auto"/>
        <w:ind w:left="5" w:right="73" w:firstLine="416"/>
        <w:rPr>
          <w:rFonts w:ascii="宋体" w:hAnsi="宋体" w:eastAsia="宋体" w:cs="宋体"/>
          <w:sz w:val="20"/>
          <w:szCs w:val="20"/>
        </w:rPr>
      </w:pPr>
      <w:r>
        <w:rPr>
          <w:rFonts w:ascii="宋体" w:hAnsi="宋体" w:eastAsia="宋体" w:cs="宋体"/>
          <w:spacing w:val="10"/>
          <w:sz w:val="20"/>
          <w:szCs w:val="20"/>
        </w:rPr>
        <w:t>承包人应按合同约定或监理人指示进行现场工艺试验。对大型的现场工艺试验，监理人认为</w:t>
      </w:r>
      <w:r>
        <w:rPr>
          <w:rFonts w:ascii="宋体" w:hAnsi="宋体" w:eastAsia="宋体" w:cs="宋体"/>
          <w:spacing w:val="9"/>
          <w:sz w:val="20"/>
          <w:szCs w:val="20"/>
        </w:rPr>
        <w:t>必要时，承包人应根据监理人提出的工艺试验要求，编制工艺试验措施计划，报送监理人审查。</w:t>
      </w:r>
    </w:p>
    <w:p w14:paraId="03487D33">
      <w:pPr>
        <w:spacing w:line="304" w:lineRule="auto"/>
        <w:rPr>
          <w:rFonts w:ascii="Arial"/>
          <w:sz w:val="21"/>
        </w:rPr>
      </w:pPr>
    </w:p>
    <w:p w14:paraId="3AF2EBEF">
      <w:pPr>
        <w:spacing w:before="65" w:line="229" w:lineRule="auto"/>
        <w:ind w:left="437"/>
        <w:outlineLvl w:val="2"/>
        <w:rPr>
          <w:rFonts w:ascii="宋体" w:hAnsi="宋体" w:eastAsia="宋体" w:cs="宋体"/>
          <w:sz w:val="20"/>
          <w:szCs w:val="20"/>
        </w:rPr>
      </w:pPr>
      <w:bookmarkStart w:id="315" w:name="bookmark298"/>
      <w:bookmarkEnd w:id="315"/>
      <w:r>
        <w:rPr>
          <w:rFonts w:ascii="宋体" w:hAnsi="宋体" w:eastAsia="宋体" w:cs="宋体"/>
          <w:b/>
          <w:bCs/>
          <w:spacing w:val="-1"/>
          <w:sz w:val="20"/>
          <w:szCs w:val="20"/>
        </w:rPr>
        <w:t>10.</w:t>
      </w:r>
      <w:r>
        <w:rPr>
          <w:rFonts w:ascii="宋体" w:hAnsi="宋体" w:eastAsia="宋体" w:cs="宋体"/>
          <w:spacing w:val="12"/>
          <w:sz w:val="20"/>
          <w:szCs w:val="20"/>
        </w:rPr>
        <w:t xml:space="preserve"> </w:t>
      </w:r>
      <w:r>
        <w:rPr>
          <w:rFonts w:ascii="宋体" w:hAnsi="宋体" w:eastAsia="宋体" w:cs="宋体"/>
          <w:b/>
          <w:bCs/>
          <w:spacing w:val="-1"/>
          <w:sz w:val="20"/>
          <w:szCs w:val="20"/>
        </w:rPr>
        <w:t>变更</w:t>
      </w:r>
    </w:p>
    <w:p w14:paraId="1C19C255">
      <w:pPr>
        <w:spacing w:before="127" w:line="228" w:lineRule="auto"/>
        <w:ind w:left="437"/>
        <w:rPr>
          <w:rFonts w:ascii="宋体" w:hAnsi="宋体" w:eastAsia="宋体" w:cs="宋体"/>
          <w:sz w:val="20"/>
          <w:szCs w:val="20"/>
        </w:rPr>
      </w:pPr>
      <w:r>
        <w:rPr>
          <w:rFonts w:ascii="宋体" w:hAnsi="宋体" w:eastAsia="宋体" w:cs="宋体"/>
          <w:b/>
          <w:bCs/>
          <w:spacing w:val="3"/>
          <w:sz w:val="20"/>
          <w:szCs w:val="20"/>
        </w:rPr>
        <w:t>10.1</w:t>
      </w:r>
      <w:r>
        <w:rPr>
          <w:rFonts w:ascii="宋体" w:hAnsi="宋体" w:eastAsia="宋体" w:cs="宋体"/>
          <w:spacing w:val="3"/>
          <w:sz w:val="20"/>
          <w:szCs w:val="20"/>
        </w:rPr>
        <w:t xml:space="preserve"> </w:t>
      </w:r>
      <w:r>
        <w:rPr>
          <w:rFonts w:ascii="宋体" w:hAnsi="宋体" w:eastAsia="宋体" w:cs="宋体"/>
          <w:b/>
          <w:bCs/>
          <w:spacing w:val="3"/>
          <w:sz w:val="20"/>
          <w:szCs w:val="20"/>
        </w:rPr>
        <w:t>变更的范围</w:t>
      </w:r>
    </w:p>
    <w:p w14:paraId="36B339AC">
      <w:pPr>
        <w:spacing w:line="228" w:lineRule="auto"/>
        <w:rPr>
          <w:rFonts w:ascii="宋体" w:hAnsi="宋体" w:eastAsia="宋体" w:cs="宋体"/>
          <w:sz w:val="20"/>
          <w:szCs w:val="20"/>
        </w:rPr>
        <w:sectPr>
          <w:footerReference r:id="rId363" w:type="default"/>
          <w:pgSz w:w="11906" w:h="16839"/>
          <w:pgMar w:top="400" w:right="1459" w:bottom="1446" w:left="1537" w:header="0" w:footer="1284" w:gutter="0"/>
          <w:cols w:space="720" w:num="1"/>
        </w:sectPr>
      </w:pPr>
    </w:p>
    <w:p w14:paraId="29C81224">
      <w:pPr>
        <w:spacing w:line="246" w:lineRule="auto"/>
        <w:rPr>
          <w:rFonts w:ascii="Arial"/>
          <w:sz w:val="21"/>
        </w:rPr>
      </w:pPr>
    </w:p>
    <w:p w14:paraId="18E0914D">
      <w:pPr>
        <w:spacing w:line="246" w:lineRule="auto"/>
        <w:rPr>
          <w:rFonts w:ascii="Arial"/>
          <w:sz w:val="21"/>
        </w:rPr>
      </w:pPr>
    </w:p>
    <w:p w14:paraId="70E6D995">
      <w:pPr>
        <w:spacing w:line="246" w:lineRule="auto"/>
        <w:rPr>
          <w:rFonts w:ascii="Arial"/>
          <w:sz w:val="21"/>
        </w:rPr>
      </w:pPr>
    </w:p>
    <w:p w14:paraId="58D3E586">
      <w:pPr>
        <w:spacing w:line="246" w:lineRule="auto"/>
        <w:rPr>
          <w:rFonts w:ascii="Arial"/>
          <w:sz w:val="21"/>
        </w:rPr>
      </w:pPr>
    </w:p>
    <w:p w14:paraId="25888A37">
      <w:pPr>
        <w:spacing w:line="247" w:lineRule="auto"/>
        <w:rPr>
          <w:rFonts w:ascii="Arial"/>
          <w:sz w:val="21"/>
        </w:rPr>
      </w:pPr>
    </w:p>
    <w:p w14:paraId="44F0FE78">
      <w:pPr>
        <w:spacing w:line="247" w:lineRule="auto"/>
        <w:rPr>
          <w:rFonts w:ascii="Arial"/>
          <w:sz w:val="21"/>
        </w:rPr>
      </w:pPr>
    </w:p>
    <w:p w14:paraId="03A43FC6">
      <w:pPr>
        <w:spacing w:before="65" w:line="227" w:lineRule="auto"/>
        <w:ind w:left="432"/>
        <w:rPr>
          <w:rFonts w:ascii="宋体" w:hAnsi="宋体" w:eastAsia="宋体" w:cs="宋体"/>
          <w:sz w:val="20"/>
          <w:szCs w:val="20"/>
        </w:rPr>
      </w:pPr>
      <w:r>
        <w:rPr>
          <w:rFonts w:ascii="宋体" w:hAnsi="宋体" w:eastAsia="宋体" w:cs="宋体"/>
          <w:spacing w:val="9"/>
          <w:sz w:val="20"/>
          <w:szCs w:val="20"/>
        </w:rPr>
        <w:t>除专用合同条款另有约定外，合同履行过程中发生以下情形的，应按照本条约定进行变更：</w:t>
      </w:r>
    </w:p>
    <w:p w14:paraId="3D0C399D">
      <w:pPr>
        <w:spacing w:before="128" w:line="228" w:lineRule="auto"/>
        <w:ind w:left="430"/>
        <w:rPr>
          <w:rFonts w:ascii="宋体" w:hAnsi="宋体" w:eastAsia="宋体" w:cs="宋体"/>
          <w:sz w:val="20"/>
          <w:szCs w:val="20"/>
        </w:rPr>
      </w:pPr>
      <w:r>
        <w:rPr>
          <w:rFonts w:ascii="宋体" w:hAnsi="宋体" w:eastAsia="宋体" w:cs="宋体"/>
          <w:spacing w:val="8"/>
          <w:sz w:val="20"/>
          <w:szCs w:val="20"/>
        </w:rPr>
        <w:t>（1）增加或减少合同中任何工作，或追加额外的工作；</w:t>
      </w:r>
    </w:p>
    <w:p w14:paraId="03DAC2C4">
      <w:pPr>
        <w:spacing w:before="127" w:line="228" w:lineRule="auto"/>
        <w:ind w:left="430"/>
        <w:rPr>
          <w:rFonts w:ascii="宋体" w:hAnsi="宋体" w:eastAsia="宋体" w:cs="宋体"/>
          <w:sz w:val="20"/>
          <w:szCs w:val="20"/>
        </w:rPr>
      </w:pPr>
      <w:r>
        <w:rPr>
          <w:rFonts w:ascii="宋体" w:hAnsi="宋体" w:eastAsia="宋体" w:cs="宋体"/>
          <w:spacing w:val="8"/>
          <w:sz w:val="20"/>
          <w:szCs w:val="20"/>
        </w:rPr>
        <w:t>（2）取消合同中任何工作，但转由他人实施的工作除外；</w:t>
      </w:r>
    </w:p>
    <w:p w14:paraId="462DF188">
      <w:pPr>
        <w:spacing w:before="127" w:line="228" w:lineRule="auto"/>
        <w:ind w:left="430"/>
        <w:rPr>
          <w:rFonts w:ascii="宋体" w:hAnsi="宋体" w:eastAsia="宋体" w:cs="宋体"/>
          <w:sz w:val="20"/>
          <w:szCs w:val="20"/>
        </w:rPr>
      </w:pPr>
      <w:r>
        <w:rPr>
          <w:rFonts w:ascii="宋体" w:hAnsi="宋体" w:eastAsia="宋体" w:cs="宋体"/>
          <w:spacing w:val="8"/>
          <w:sz w:val="20"/>
          <w:szCs w:val="20"/>
        </w:rPr>
        <w:t>（3）改变合同中任何工作的质量标准或其他特性；</w:t>
      </w:r>
    </w:p>
    <w:p w14:paraId="0FB6E31E">
      <w:pPr>
        <w:spacing w:before="127" w:line="227" w:lineRule="auto"/>
        <w:ind w:left="430"/>
        <w:rPr>
          <w:rFonts w:ascii="宋体" w:hAnsi="宋体" w:eastAsia="宋体" w:cs="宋体"/>
          <w:sz w:val="20"/>
          <w:szCs w:val="20"/>
        </w:rPr>
      </w:pPr>
      <w:r>
        <w:rPr>
          <w:rFonts w:ascii="宋体" w:hAnsi="宋体" w:eastAsia="宋体" w:cs="宋体"/>
          <w:spacing w:val="8"/>
          <w:sz w:val="20"/>
          <w:szCs w:val="20"/>
        </w:rPr>
        <w:t>（4）改变工程的基线、标高、位置和尺寸；</w:t>
      </w:r>
    </w:p>
    <w:p w14:paraId="1965590B">
      <w:pPr>
        <w:spacing w:before="128" w:line="228" w:lineRule="auto"/>
        <w:ind w:left="430"/>
        <w:rPr>
          <w:rFonts w:ascii="宋体" w:hAnsi="宋体" w:eastAsia="宋体" w:cs="宋体"/>
          <w:sz w:val="20"/>
          <w:szCs w:val="20"/>
        </w:rPr>
      </w:pPr>
      <w:r>
        <w:rPr>
          <w:rFonts w:ascii="宋体" w:hAnsi="宋体" w:eastAsia="宋体" w:cs="宋体"/>
          <w:spacing w:val="8"/>
          <w:sz w:val="20"/>
          <w:szCs w:val="20"/>
        </w:rPr>
        <w:t>（5）改变工程的时间安排或实施顺序。</w:t>
      </w:r>
    </w:p>
    <w:p w14:paraId="0792F39A">
      <w:pPr>
        <w:spacing w:before="127" w:line="228" w:lineRule="auto"/>
        <w:ind w:left="435"/>
        <w:rPr>
          <w:rFonts w:ascii="宋体" w:hAnsi="宋体" w:eastAsia="宋体" w:cs="宋体"/>
          <w:sz w:val="20"/>
          <w:szCs w:val="20"/>
        </w:rPr>
      </w:pPr>
      <w:r>
        <w:rPr>
          <w:rFonts w:ascii="宋体" w:hAnsi="宋体" w:eastAsia="宋体" w:cs="宋体"/>
          <w:b/>
          <w:bCs/>
          <w:spacing w:val="1"/>
          <w:sz w:val="20"/>
          <w:szCs w:val="20"/>
        </w:rPr>
        <w:t>10.2</w:t>
      </w:r>
      <w:r>
        <w:rPr>
          <w:rFonts w:ascii="宋体" w:hAnsi="宋体" w:eastAsia="宋体" w:cs="宋体"/>
          <w:spacing w:val="13"/>
          <w:sz w:val="20"/>
          <w:szCs w:val="20"/>
        </w:rPr>
        <w:t xml:space="preserve"> </w:t>
      </w:r>
      <w:r>
        <w:rPr>
          <w:rFonts w:ascii="宋体" w:hAnsi="宋体" w:eastAsia="宋体" w:cs="宋体"/>
          <w:b/>
          <w:bCs/>
          <w:spacing w:val="1"/>
          <w:sz w:val="20"/>
          <w:szCs w:val="20"/>
        </w:rPr>
        <w:t>变更权</w:t>
      </w:r>
    </w:p>
    <w:p w14:paraId="7B9C7389">
      <w:pPr>
        <w:spacing w:before="127" w:line="346" w:lineRule="auto"/>
        <w:ind w:right="52" w:firstLine="422"/>
        <w:jc w:val="both"/>
        <w:rPr>
          <w:rFonts w:ascii="宋体" w:hAnsi="宋体" w:eastAsia="宋体" w:cs="宋体"/>
          <w:sz w:val="20"/>
          <w:szCs w:val="20"/>
        </w:rPr>
      </w:pPr>
      <w:r>
        <w:rPr>
          <w:rFonts w:ascii="宋体" w:hAnsi="宋体" w:eastAsia="宋体" w:cs="宋体"/>
          <w:spacing w:val="10"/>
          <w:sz w:val="20"/>
          <w:szCs w:val="20"/>
        </w:rPr>
        <w:t>发包人和监理人均可以提出变更。变更指示均通过监理人发出，监理人发出变更指示前应征得发包人同意。承包人收到经发包人签认的变更指示后，方可实施变更。未经许可，承包人不得</w:t>
      </w:r>
      <w:r>
        <w:rPr>
          <w:rFonts w:ascii="宋体" w:hAnsi="宋体" w:eastAsia="宋体" w:cs="宋体"/>
          <w:spacing w:val="8"/>
          <w:sz w:val="20"/>
          <w:szCs w:val="20"/>
        </w:rPr>
        <w:t>擅自对工程的任何部分进行变更。</w:t>
      </w:r>
    </w:p>
    <w:p w14:paraId="588FF3E3">
      <w:pPr>
        <w:spacing w:before="1" w:line="345" w:lineRule="auto"/>
        <w:ind w:left="3" w:right="52" w:firstLine="418"/>
        <w:rPr>
          <w:rFonts w:ascii="宋体" w:hAnsi="宋体" w:eastAsia="宋体" w:cs="宋体"/>
          <w:sz w:val="20"/>
          <w:szCs w:val="20"/>
        </w:rPr>
      </w:pPr>
      <w:r>
        <w:rPr>
          <w:rFonts w:ascii="宋体" w:hAnsi="宋体" w:eastAsia="宋体" w:cs="宋体"/>
          <w:spacing w:val="10"/>
          <w:sz w:val="20"/>
          <w:szCs w:val="20"/>
        </w:rPr>
        <w:t>涉及设计变更的，应由设计人提供变更后的图纸和说明。如变更超过原设计标准或批准的建</w:t>
      </w:r>
      <w:r>
        <w:rPr>
          <w:rFonts w:ascii="宋体" w:hAnsi="宋体" w:eastAsia="宋体" w:cs="宋体"/>
          <w:spacing w:val="9"/>
          <w:sz w:val="20"/>
          <w:szCs w:val="20"/>
        </w:rPr>
        <w:t>设规模时，发包人应及时办理规划、设计变更等审批手续。</w:t>
      </w:r>
    </w:p>
    <w:p w14:paraId="01BFA500">
      <w:pPr>
        <w:spacing w:line="228" w:lineRule="auto"/>
        <w:ind w:left="435"/>
        <w:rPr>
          <w:rFonts w:ascii="宋体" w:hAnsi="宋体" w:eastAsia="宋体" w:cs="宋体"/>
          <w:sz w:val="20"/>
          <w:szCs w:val="20"/>
        </w:rPr>
      </w:pPr>
      <w:r>
        <w:rPr>
          <w:rFonts w:ascii="宋体" w:hAnsi="宋体" w:eastAsia="宋体" w:cs="宋体"/>
          <w:b/>
          <w:bCs/>
          <w:spacing w:val="3"/>
          <w:sz w:val="20"/>
          <w:szCs w:val="20"/>
        </w:rPr>
        <w:t>10.3</w:t>
      </w:r>
      <w:r>
        <w:rPr>
          <w:rFonts w:ascii="宋体" w:hAnsi="宋体" w:eastAsia="宋体" w:cs="宋体"/>
          <w:spacing w:val="3"/>
          <w:sz w:val="20"/>
          <w:szCs w:val="20"/>
        </w:rPr>
        <w:t xml:space="preserve"> </w:t>
      </w:r>
      <w:r>
        <w:rPr>
          <w:rFonts w:ascii="宋体" w:hAnsi="宋体" w:eastAsia="宋体" w:cs="宋体"/>
          <w:b/>
          <w:bCs/>
          <w:spacing w:val="3"/>
          <w:sz w:val="20"/>
          <w:szCs w:val="20"/>
        </w:rPr>
        <w:t>变更程序</w:t>
      </w:r>
    </w:p>
    <w:p w14:paraId="5201581C">
      <w:pPr>
        <w:spacing w:before="128" w:line="228" w:lineRule="auto"/>
        <w:ind w:left="435"/>
        <w:rPr>
          <w:rFonts w:ascii="宋体" w:hAnsi="宋体" w:eastAsia="宋体" w:cs="宋体"/>
          <w:sz w:val="20"/>
          <w:szCs w:val="20"/>
        </w:rPr>
      </w:pPr>
      <w:r>
        <w:rPr>
          <w:rFonts w:ascii="宋体" w:hAnsi="宋体" w:eastAsia="宋体" w:cs="宋体"/>
          <w:b/>
          <w:bCs/>
          <w:spacing w:val="4"/>
          <w:sz w:val="20"/>
          <w:szCs w:val="20"/>
        </w:rPr>
        <w:t>10.3.1</w:t>
      </w:r>
      <w:r>
        <w:rPr>
          <w:rFonts w:ascii="宋体" w:hAnsi="宋体" w:eastAsia="宋体" w:cs="宋体"/>
          <w:spacing w:val="4"/>
          <w:sz w:val="20"/>
          <w:szCs w:val="20"/>
        </w:rPr>
        <w:t xml:space="preserve"> </w:t>
      </w:r>
      <w:r>
        <w:rPr>
          <w:rFonts w:ascii="宋体" w:hAnsi="宋体" w:eastAsia="宋体" w:cs="宋体"/>
          <w:b/>
          <w:bCs/>
          <w:spacing w:val="4"/>
          <w:sz w:val="20"/>
          <w:szCs w:val="20"/>
        </w:rPr>
        <w:t>发包人提出变更</w:t>
      </w:r>
    </w:p>
    <w:p w14:paraId="196431F3">
      <w:pPr>
        <w:spacing w:before="126" w:line="346" w:lineRule="auto"/>
        <w:ind w:left="5" w:right="52" w:firstLine="418"/>
        <w:rPr>
          <w:rFonts w:ascii="宋体" w:hAnsi="宋体" w:eastAsia="宋体" w:cs="宋体"/>
          <w:sz w:val="20"/>
          <w:szCs w:val="20"/>
        </w:rPr>
      </w:pPr>
      <w:r>
        <w:rPr>
          <w:rFonts w:ascii="宋体" w:hAnsi="宋体" w:eastAsia="宋体" w:cs="宋体"/>
          <w:spacing w:val="10"/>
          <w:sz w:val="20"/>
          <w:szCs w:val="20"/>
        </w:rPr>
        <w:t>发包人提出变更的，应通过监理人向承包人发出变更指示，变更指示应说明计划变更的工程</w:t>
      </w:r>
      <w:r>
        <w:rPr>
          <w:rFonts w:ascii="宋体" w:hAnsi="宋体" w:eastAsia="宋体" w:cs="宋体"/>
          <w:spacing w:val="7"/>
          <w:sz w:val="20"/>
          <w:szCs w:val="20"/>
        </w:rPr>
        <w:t>范围和变更的内容。</w:t>
      </w:r>
    </w:p>
    <w:p w14:paraId="7D2FCD61">
      <w:pPr>
        <w:spacing w:line="228" w:lineRule="auto"/>
        <w:ind w:left="435"/>
        <w:rPr>
          <w:rFonts w:ascii="宋体" w:hAnsi="宋体" w:eastAsia="宋体" w:cs="宋体"/>
          <w:sz w:val="20"/>
          <w:szCs w:val="20"/>
        </w:rPr>
      </w:pPr>
      <w:r>
        <w:rPr>
          <w:rFonts w:ascii="宋体" w:hAnsi="宋体" w:eastAsia="宋体" w:cs="宋体"/>
          <w:b/>
          <w:bCs/>
          <w:spacing w:val="5"/>
          <w:sz w:val="20"/>
          <w:szCs w:val="20"/>
        </w:rPr>
        <w:t>10.3.2</w:t>
      </w:r>
      <w:r>
        <w:rPr>
          <w:rFonts w:ascii="宋体" w:hAnsi="宋体" w:eastAsia="宋体" w:cs="宋体"/>
          <w:spacing w:val="5"/>
          <w:sz w:val="20"/>
          <w:szCs w:val="20"/>
        </w:rPr>
        <w:t xml:space="preserve"> </w:t>
      </w:r>
      <w:r>
        <w:rPr>
          <w:rFonts w:ascii="宋体" w:hAnsi="宋体" w:eastAsia="宋体" w:cs="宋体"/>
          <w:b/>
          <w:bCs/>
          <w:spacing w:val="5"/>
          <w:sz w:val="20"/>
          <w:szCs w:val="20"/>
        </w:rPr>
        <w:t>监理人提出变更建议</w:t>
      </w:r>
    </w:p>
    <w:p w14:paraId="5284F071">
      <w:pPr>
        <w:spacing w:before="126" w:line="346" w:lineRule="auto"/>
        <w:ind w:right="52" w:firstLine="420"/>
        <w:jc w:val="both"/>
        <w:rPr>
          <w:rFonts w:ascii="宋体" w:hAnsi="宋体" w:eastAsia="宋体" w:cs="宋体"/>
          <w:sz w:val="20"/>
          <w:szCs w:val="20"/>
        </w:rPr>
      </w:pPr>
      <w:r>
        <w:rPr>
          <w:rFonts w:ascii="宋体" w:hAnsi="宋体" w:eastAsia="宋体" w:cs="宋体"/>
          <w:spacing w:val="10"/>
          <w:sz w:val="20"/>
          <w:szCs w:val="20"/>
        </w:rPr>
        <w:t>监理人提出变更建议的，需要向发包人以书面形式提出变更计划，说明计划变更工程范围和</w:t>
      </w:r>
      <w:r>
        <w:rPr>
          <w:rFonts w:ascii="宋体" w:hAnsi="宋体" w:eastAsia="宋体" w:cs="宋体"/>
          <w:spacing w:val="8"/>
          <w:sz w:val="20"/>
          <w:szCs w:val="20"/>
        </w:rPr>
        <w:t>变更的内容、理由，</w:t>
      </w:r>
      <w:r>
        <w:rPr>
          <w:rFonts w:ascii="宋体" w:hAnsi="宋体" w:eastAsia="宋体" w:cs="宋体"/>
          <w:spacing w:val="-46"/>
          <w:sz w:val="20"/>
          <w:szCs w:val="20"/>
        </w:rPr>
        <w:t xml:space="preserve"> </w:t>
      </w:r>
      <w:r>
        <w:rPr>
          <w:rFonts w:ascii="宋体" w:hAnsi="宋体" w:eastAsia="宋体" w:cs="宋体"/>
          <w:spacing w:val="8"/>
          <w:sz w:val="20"/>
          <w:szCs w:val="20"/>
        </w:rPr>
        <w:t>以及实施该变更对合同价格和工期的影响。发包人同意变更的，</w:t>
      </w:r>
      <w:r>
        <w:rPr>
          <w:rFonts w:ascii="宋体" w:hAnsi="宋体" w:eastAsia="宋体" w:cs="宋体"/>
          <w:spacing w:val="-58"/>
          <w:sz w:val="20"/>
          <w:szCs w:val="20"/>
        </w:rPr>
        <w:t xml:space="preserve"> </w:t>
      </w:r>
      <w:r>
        <w:rPr>
          <w:rFonts w:ascii="宋体" w:hAnsi="宋体" w:eastAsia="宋体" w:cs="宋体"/>
          <w:spacing w:val="8"/>
          <w:sz w:val="20"/>
          <w:szCs w:val="20"/>
        </w:rPr>
        <w:t>由监理人向</w:t>
      </w:r>
      <w:r>
        <w:rPr>
          <w:rFonts w:ascii="宋体" w:hAnsi="宋体" w:eastAsia="宋体" w:cs="宋体"/>
          <w:spacing w:val="9"/>
          <w:sz w:val="20"/>
          <w:szCs w:val="20"/>
        </w:rPr>
        <w:t>承包人发出变更指示。发包人不同意变更的，监理人无权擅自发出变更指示。</w:t>
      </w:r>
    </w:p>
    <w:p w14:paraId="72AAEB85">
      <w:pPr>
        <w:spacing w:before="1" w:line="227" w:lineRule="auto"/>
        <w:ind w:left="435"/>
        <w:rPr>
          <w:rFonts w:ascii="宋体" w:hAnsi="宋体" w:eastAsia="宋体" w:cs="宋体"/>
          <w:sz w:val="20"/>
          <w:szCs w:val="20"/>
        </w:rPr>
      </w:pPr>
      <w:r>
        <w:rPr>
          <w:rFonts w:ascii="宋体" w:hAnsi="宋体" w:eastAsia="宋体" w:cs="宋体"/>
          <w:b/>
          <w:bCs/>
          <w:spacing w:val="3"/>
          <w:sz w:val="20"/>
          <w:szCs w:val="20"/>
        </w:rPr>
        <w:t>10.3.3</w:t>
      </w:r>
      <w:r>
        <w:rPr>
          <w:rFonts w:ascii="宋体" w:hAnsi="宋体" w:eastAsia="宋体" w:cs="宋体"/>
          <w:spacing w:val="3"/>
          <w:sz w:val="20"/>
          <w:szCs w:val="20"/>
        </w:rPr>
        <w:t xml:space="preserve"> </w:t>
      </w:r>
      <w:r>
        <w:rPr>
          <w:rFonts w:ascii="宋体" w:hAnsi="宋体" w:eastAsia="宋体" w:cs="宋体"/>
          <w:b/>
          <w:bCs/>
          <w:spacing w:val="3"/>
          <w:sz w:val="20"/>
          <w:szCs w:val="20"/>
        </w:rPr>
        <w:t>变更执行</w:t>
      </w:r>
    </w:p>
    <w:p w14:paraId="1C6CEB9B">
      <w:pPr>
        <w:spacing w:before="126" w:line="346" w:lineRule="auto"/>
        <w:ind w:left="2" w:right="52" w:firstLine="417"/>
        <w:jc w:val="both"/>
        <w:rPr>
          <w:rFonts w:ascii="宋体" w:hAnsi="宋体" w:eastAsia="宋体" w:cs="宋体"/>
          <w:sz w:val="20"/>
          <w:szCs w:val="20"/>
        </w:rPr>
      </w:pPr>
      <w:r>
        <w:rPr>
          <w:rFonts w:ascii="宋体" w:hAnsi="宋体" w:eastAsia="宋体" w:cs="宋体"/>
          <w:spacing w:val="9"/>
          <w:sz w:val="20"/>
          <w:szCs w:val="20"/>
        </w:rPr>
        <w:t>承包人收到监理人下达的变更指示后，认为</w:t>
      </w:r>
      <w:r>
        <w:rPr>
          <w:rFonts w:ascii="宋体" w:hAnsi="宋体" w:eastAsia="宋体" w:cs="宋体"/>
          <w:spacing w:val="8"/>
          <w:sz w:val="20"/>
          <w:szCs w:val="20"/>
        </w:rPr>
        <w:t>不能执行，应在48</w:t>
      </w:r>
      <w:r>
        <w:rPr>
          <w:rFonts w:ascii="宋体" w:hAnsi="宋体" w:eastAsia="宋体" w:cs="宋体"/>
          <w:spacing w:val="-35"/>
          <w:sz w:val="20"/>
          <w:szCs w:val="20"/>
        </w:rPr>
        <w:t xml:space="preserve"> </w:t>
      </w:r>
      <w:r>
        <w:rPr>
          <w:rFonts w:ascii="宋体" w:hAnsi="宋体" w:eastAsia="宋体" w:cs="宋体"/>
          <w:spacing w:val="8"/>
          <w:sz w:val="20"/>
          <w:szCs w:val="20"/>
        </w:rPr>
        <w:t>小时之内提出不能执行该变更</w:t>
      </w:r>
      <w:r>
        <w:rPr>
          <w:rFonts w:ascii="宋体" w:hAnsi="宋体" w:eastAsia="宋体" w:cs="宋体"/>
          <w:spacing w:val="10"/>
          <w:sz w:val="20"/>
          <w:szCs w:val="20"/>
        </w:rPr>
        <w:t>指示的理由。承包人认为可以执行变更的，应当书面说明实施该变更指示对合同价格和工期的影</w:t>
      </w:r>
      <w:r>
        <w:rPr>
          <w:rFonts w:ascii="宋体" w:hAnsi="宋体" w:eastAsia="宋体" w:cs="宋体"/>
          <w:spacing w:val="8"/>
          <w:sz w:val="20"/>
          <w:szCs w:val="20"/>
        </w:rPr>
        <w:t>响，且合同当事人应当按照第</w:t>
      </w:r>
      <w:r>
        <w:rPr>
          <w:rFonts w:ascii="宋体" w:hAnsi="宋体" w:eastAsia="宋体" w:cs="宋体"/>
          <w:spacing w:val="-23"/>
          <w:sz w:val="20"/>
          <w:szCs w:val="20"/>
        </w:rPr>
        <w:t xml:space="preserve"> </w:t>
      </w:r>
      <w:r>
        <w:rPr>
          <w:rFonts w:ascii="宋体" w:hAnsi="宋体" w:eastAsia="宋体" w:cs="宋体"/>
          <w:spacing w:val="8"/>
          <w:sz w:val="20"/>
          <w:szCs w:val="20"/>
        </w:rPr>
        <w:t>10.4</w:t>
      </w:r>
      <w:r>
        <w:rPr>
          <w:rFonts w:ascii="宋体" w:hAnsi="宋体" w:eastAsia="宋体" w:cs="宋体"/>
          <w:spacing w:val="-40"/>
          <w:sz w:val="20"/>
          <w:szCs w:val="20"/>
        </w:rPr>
        <w:t xml:space="preserve"> </w:t>
      </w:r>
      <w:r>
        <w:rPr>
          <w:rFonts w:ascii="宋体" w:hAnsi="宋体" w:eastAsia="宋体" w:cs="宋体"/>
          <w:spacing w:val="8"/>
          <w:sz w:val="20"/>
          <w:szCs w:val="20"/>
        </w:rPr>
        <w:t>款〔变更估价</w:t>
      </w:r>
      <w:r>
        <w:rPr>
          <w:rFonts w:ascii="宋体" w:hAnsi="宋体" w:eastAsia="宋体" w:cs="宋体"/>
          <w:spacing w:val="7"/>
          <w:sz w:val="20"/>
          <w:szCs w:val="20"/>
        </w:rPr>
        <w:t>〕约定确定变更估价。</w:t>
      </w:r>
    </w:p>
    <w:p w14:paraId="03D02BFE">
      <w:pPr>
        <w:spacing w:line="226" w:lineRule="auto"/>
        <w:ind w:left="435"/>
        <w:rPr>
          <w:rFonts w:ascii="宋体" w:hAnsi="宋体" w:eastAsia="宋体" w:cs="宋体"/>
          <w:sz w:val="20"/>
          <w:szCs w:val="20"/>
        </w:rPr>
      </w:pPr>
      <w:r>
        <w:rPr>
          <w:rFonts w:ascii="宋体" w:hAnsi="宋体" w:eastAsia="宋体" w:cs="宋体"/>
          <w:b/>
          <w:bCs/>
          <w:spacing w:val="3"/>
          <w:sz w:val="20"/>
          <w:szCs w:val="20"/>
        </w:rPr>
        <w:t>10.4</w:t>
      </w:r>
      <w:r>
        <w:rPr>
          <w:rFonts w:ascii="宋体" w:hAnsi="宋体" w:eastAsia="宋体" w:cs="宋体"/>
          <w:spacing w:val="3"/>
          <w:sz w:val="20"/>
          <w:szCs w:val="20"/>
        </w:rPr>
        <w:t xml:space="preserve"> </w:t>
      </w:r>
      <w:r>
        <w:rPr>
          <w:rFonts w:ascii="宋体" w:hAnsi="宋体" w:eastAsia="宋体" w:cs="宋体"/>
          <w:b/>
          <w:bCs/>
          <w:spacing w:val="3"/>
          <w:sz w:val="20"/>
          <w:szCs w:val="20"/>
        </w:rPr>
        <w:t>变更估价</w:t>
      </w:r>
    </w:p>
    <w:p w14:paraId="443FF199">
      <w:pPr>
        <w:spacing w:before="130" w:line="226" w:lineRule="auto"/>
        <w:ind w:left="435"/>
        <w:rPr>
          <w:rFonts w:ascii="宋体" w:hAnsi="宋体" w:eastAsia="宋体" w:cs="宋体"/>
          <w:sz w:val="20"/>
          <w:szCs w:val="20"/>
        </w:rPr>
      </w:pPr>
      <w:r>
        <w:rPr>
          <w:rFonts w:ascii="宋体" w:hAnsi="宋体" w:eastAsia="宋体" w:cs="宋体"/>
          <w:b/>
          <w:bCs/>
          <w:spacing w:val="4"/>
          <w:sz w:val="20"/>
          <w:szCs w:val="20"/>
        </w:rPr>
        <w:t>10.4.1</w:t>
      </w:r>
      <w:r>
        <w:rPr>
          <w:rFonts w:ascii="宋体" w:hAnsi="宋体" w:eastAsia="宋体" w:cs="宋体"/>
          <w:spacing w:val="4"/>
          <w:sz w:val="20"/>
          <w:szCs w:val="20"/>
        </w:rPr>
        <w:t xml:space="preserve"> </w:t>
      </w:r>
      <w:r>
        <w:rPr>
          <w:rFonts w:ascii="宋体" w:hAnsi="宋体" w:eastAsia="宋体" w:cs="宋体"/>
          <w:b/>
          <w:bCs/>
          <w:spacing w:val="4"/>
          <w:sz w:val="20"/>
          <w:szCs w:val="20"/>
        </w:rPr>
        <w:t>变更估价原则</w:t>
      </w:r>
    </w:p>
    <w:p w14:paraId="641FC01A">
      <w:pPr>
        <w:spacing w:before="130" w:line="226" w:lineRule="auto"/>
        <w:ind w:left="432"/>
        <w:rPr>
          <w:rFonts w:ascii="宋体" w:hAnsi="宋体" w:eastAsia="宋体" w:cs="宋体"/>
          <w:sz w:val="20"/>
          <w:szCs w:val="20"/>
        </w:rPr>
      </w:pPr>
      <w:r>
        <w:rPr>
          <w:rFonts w:ascii="宋体" w:hAnsi="宋体" w:eastAsia="宋体" w:cs="宋体"/>
          <w:spacing w:val="9"/>
          <w:sz w:val="20"/>
          <w:szCs w:val="20"/>
        </w:rPr>
        <w:t>除专用合同条款另有约定外，变更估价按照</w:t>
      </w:r>
      <w:r>
        <w:rPr>
          <w:rFonts w:ascii="宋体" w:hAnsi="宋体" w:eastAsia="宋体" w:cs="宋体"/>
          <w:spacing w:val="8"/>
          <w:sz w:val="20"/>
          <w:szCs w:val="20"/>
        </w:rPr>
        <w:t>本款约定处理：</w:t>
      </w:r>
    </w:p>
    <w:p w14:paraId="5B0AE757">
      <w:pPr>
        <w:spacing w:before="129" w:line="226" w:lineRule="auto"/>
        <w:ind w:left="430"/>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59"/>
          <w:sz w:val="20"/>
          <w:szCs w:val="20"/>
        </w:rPr>
        <w:t xml:space="preserve"> </w:t>
      </w:r>
      <w:r>
        <w:rPr>
          <w:rFonts w:ascii="宋体" w:hAnsi="宋体" w:eastAsia="宋体" w:cs="宋体"/>
          <w:spacing w:val="8"/>
          <w:sz w:val="20"/>
          <w:szCs w:val="20"/>
        </w:rPr>
        <w:t>已标价工程量清单或预算书有相同项目</w:t>
      </w:r>
      <w:r>
        <w:rPr>
          <w:rFonts w:ascii="宋体" w:hAnsi="宋体" w:eastAsia="宋体" w:cs="宋体"/>
          <w:spacing w:val="7"/>
          <w:sz w:val="20"/>
          <w:szCs w:val="20"/>
        </w:rPr>
        <w:t>的，按照相同项目单价认定；</w:t>
      </w:r>
    </w:p>
    <w:p w14:paraId="14FB894E">
      <w:pPr>
        <w:spacing w:before="130" w:line="226" w:lineRule="auto"/>
        <w:jc w:val="right"/>
        <w:rPr>
          <w:rFonts w:ascii="宋体" w:hAnsi="宋体" w:eastAsia="宋体" w:cs="宋体"/>
          <w:sz w:val="20"/>
          <w:szCs w:val="20"/>
        </w:rPr>
      </w:pPr>
      <w:r>
        <w:rPr>
          <w:rFonts w:ascii="宋体" w:hAnsi="宋体" w:eastAsia="宋体" w:cs="宋体"/>
          <w:spacing w:val="4"/>
          <w:sz w:val="20"/>
          <w:szCs w:val="20"/>
        </w:rPr>
        <w:t>（2）已标价工程量清单或预算书中无相同项目，但有类似项目</w:t>
      </w:r>
      <w:r>
        <w:rPr>
          <w:rFonts w:ascii="宋体" w:hAnsi="宋体" w:eastAsia="宋体" w:cs="宋体"/>
          <w:spacing w:val="3"/>
          <w:sz w:val="20"/>
          <w:szCs w:val="20"/>
        </w:rPr>
        <w:t>的，参照类似项目的单价认定；</w:t>
      </w:r>
    </w:p>
    <w:p w14:paraId="36249709">
      <w:pPr>
        <w:spacing w:before="128" w:line="346" w:lineRule="auto"/>
        <w:ind w:left="1" w:right="52" w:firstLine="428"/>
        <w:rPr>
          <w:rFonts w:ascii="宋体" w:hAnsi="宋体" w:eastAsia="宋体" w:cs="宋体"/>
          <w:sz w:val="20"/>
          <w:szCs w:val="20"/>
        </w:rPr>
      </w:pPr>
      <w:r>
        <w:rPr>
          <w:rFonts w:ascii="宋体" w:hAnsi="宋体" w:eastAsia="宋体" w:cs="宋体"/>
          <w:spacing w:val="7"/>
          <w:sz w:val="20"/>
          <w:szCs w:val="20"/>
        </w:rPr>
        <w:t>（3）已标价工程量清单或预算书中无类似项目，双方当事人根据变更资料、当地工程造价管</w:t>
      </w:r>
      <w:r>
        <w:rPr>
          <w:rFonts w:ascii="宋体" w:hAnsi="宋体" w:eastAsia="宋体" w:cs="宋体"/>
          <w:spacing w:val="10"/>
          <w:sz w:val="20"/>
          <w:szCs w:val="20"/>
        </w:rPr>
        <w:t>理机构发布的价格信息或经发承包双方共同认定的询价结果和承包人报价浮动率确定变更项目的</w:t>
      </w:r>
      <w:r>
        <w:rPr>
          <w:rFonts w:ascii="宋体" w:hAnsi="宋体" w:eastAsia="宋体" w:cs="宋体"/>
          <w:spacing w:val="2"/>
          <w:sz w:val="20"/>
          <w:szCs w:val="20"/>
        </w:rPr>
        <w:t>单价。</w:t>
      </w:r>
    </w:p>
    <w:p w14:paraId="11525E6D">
      <w:pPr>
        <w:spacing w:line="227" w:lineRule="auto"/>
        <w:ind w:left="430"/>
        <w:rPr>
          <w:rFonts w:ascii="宋体" w:hAnsi="宋体" w:eastAsia="宋体" w:cs="宋体"/>
          <w:sz w:val="20"/>
          <w:szCs w:val="20"/>
        </w:rPr>
      </w:pPr>
      <w:r>
        <w:rPr>
          <w:rFonts w:ascii="宋体" w:hAnsi="宋体" w:eastAsia="宋体" w:cs="宋体"/>
          <w:spacing w:val="9"/>
          <w:sz w:val="20"/>
          <w:szCs w:val="20"/>
        </w:rPr>
        <w:t>（4）工程变更引起措施方案变化的，按承包人提出并经发包人认可的方案调整费用。</w:t>
      </w:r>
    </w:p>
    <w:p w14:paraId="0F25FC3D">
      <w:pPr>
        <w:spacing w:before="128" w:line="226" w:lineRule="auto"/>
        <w:ind w:left="435"/>
        <w:rPr>
          <w:rFonts w:ascii="宋体" w:hAnsi="宋体" w:eastAsia="宋体" w:cs="宋体"/>
          <w:sz w:val="20"/>
          <w:szCs w:val="20"/>
        </w:rPr>
      </w:pPr>
      <w:r>
        <w:rPr>
          <w:rFonts w:ascii="宋体" w:hAnsi="宋体" w:eastAsia="宋体" w:cs="宋体"/>
          <w:b/>
          <w:bCs/>
          <w:spacing w:val="4"/>
          <w:sz w:val="20"/>
          <w:szCs w:val="20"/>
        </w:rPr>
        <w:t>10.4.2</w:t>
      </w:r>
      <w:r>
        <w:rPr>
          <w:rFonts w:ascii="宋体" w:hAnsi="宋体" w:eastAsia="宋体" w:cs="宋体"/>
          <w:spacing w:val="4"/>
          <w:sz w:val="20"/>
          <w:szCs w:val="20"/>
        </w:rPr>
        <w:t xml:space="preserve"> </w:t>
      </w:r>
      <w:r>
        <w:rPr>
          <w:rFonts w:ascii="宋体" w:hAnsi="宋体" w:eastAsia="宋体" w:cs="宋体"/>
          <w:b/>
          <w:bCs/>
          <w:spacing w:val="4"/>
          <w:sz w:val="20"/>
          <w:szCs w:val="20"/>
        </w:rPr>
        <w:t>变更估价程序</w:t>
      </w:r>
    </w:p>
    <w:p w14:paraId="7D1F8C24">
      <w:pPr>
        <w:spacing w:line="226" w:lineRule="auto"/>
        <w:rPr>
          <w:rFonts w:ascii="宋体" w:hAnsi="宋体" w:eastAsia="宋体" w:cs="宋体"/>
          <w:sz w:val="20"/>
          <w:szCs w:val="20"/>
        </w:rPr>
        <w:sectPr>
          <w:footerReference r:id="rId364" w:type="default"/>
          <w:pgSz w:w="11906" w:h="16839"/>
          <w:pgMar w:top="400" w:right="1480" w:bottom="1446" w:left="1539" w:header="0" w:footer="1284" w:gutter="0"/>
          <w:cols w:space="720" w:num="1"/>
        </w:sectPr>
      </w:pPr>
    </w:p>
    <w:p w14:paraId="57CB4CDB">
      <w:pPr>
        <w:spacing w:line="246" w:lineRule="auto"/>
        <w:rPr>
          <w:rFonts w:ascii="Arial"/>
          <w:sz w:val="21"/>
        </w:rPr>
      </w:pPr>
    </w:p>
    <w:p w14:paraId="33868A2A">
      <w:pPr>
        <w:spacing w:line="246" w:lineRule="auto"/>
        <w:rPr>
          <w:rFonts w:ascii="Arial"/>
          <w:sz w:val="21"/>
        </w:rPr>
      </w:pPr>
    </w:p>
    <w:p w14:paraId="76514372">
      <w:pPr>
        <w:spacing w:line="246" w:lineRule="auto"/>
        <w:rPr>
          <w:rFonts w:ascii="Arial"/>
          <w:sz w:val="21"/>
        </w:rPr>
      </w:pPr>
    </w:p>
    <w:p w14:paraId="2B649C28">
      <w:pPr>
        <w:spacing w:line="246" w:lineRule="auto"/>
        <w:rPr>
          <w:rFonts w:ascii="Arial"/>
          <w:sz w:val="21"/>
        </w:rPr>
      </w:pPr>
    </w:p>
    <w:p w14:paraId="0797148D">
      <w:pPr>
        <w:spacing w:line="246" w:lineRule="auto"/>
        <w:rPr>
          <w:rFonts w:ascii="Arial"/>
          <w:sz w:val="21"/>
        </w:rPr>
      </w:pPr>
    </w:p>
    <w:p w14:paraId="699CC18A">
      <w:pPr>
        <w:spacing w:line="246" w:lineRule="auto"/>
        <w:rPr>
          <w:rFonts w:ascii="Arial"/>
          <w:sz w:val="21"/>
        </w:rPr>
      </w:pPr>
    </w:p>
    <w:p w14:paraId="038237E5">
      <w:pPr>
        <w:spacing w:before="65" w:line="346" w:lineRule="auto"/>
        <w:ind w:right="87" w:firstLine="420"/>
        <w:jc w:val="both"/>
        <w:rPr>
          <w:rFonts w:ascii="宋体" w:hAnsi="宋体" w:eastAsia="宋体" w:cs="宋体"/>
          <w:sz w:val="20"/>
          <w:szCs w:val="20"/>
        </w:rPr>
      </w:pPr>
      <w:r>
        <w:rPr>
          <w:rFonts w:ascii="宋体" w:hAnsi="宋体" w:eastAsia="宋体" w:cs="宋体"/>
          <w:spacing w:val="7"/>
          <w:sz w:val="20"/>
          <w:szCs w:val="20"/>
        </w:rPr>
        <w:t>承包人应在收到变更指示后</w:t>
      </w:r>
      <w:r>
        <w:rPr>
          <w:rFonts w:ascii="宋体" w:hAnsi="宋体" w:eastAsia="宋体" w:cs="宋体"/>
          <w:spacing w:val="-22"/>
          <w:sz w:val="20"/>
          <w:szCs w:val="20"/>
        </w:rPr>
        <w:t xml:space="preserve"> </w:t>
      </w:r>
      <w:r>
        <w:rPr>
          <w:rFonts w:ascii="宋体" w:hAnsi="宋体" w:eastAsia="宋体" w:cs="宋体"/>
          <w:spacing w:val="7"/>
          <w:sz w:val="20"/>
          <w:szCs w:val="20"/>
        </w:rPr>
        <w:t>14</w:t>
      </w:r>
      <w:r>
        <w:rPr>
          <w:rFonts w:ascii="宋体" w:hAnsi="宋体" w:eastAsia="宋体" w:cs="宋体"/>
          <w:spacing w:val="-36"/>
          <w:sz w:val="20"/>
          <w:szCs w:val="20"/>
        </w:rPr>
        <w:t xml:space="preserve"> </w:t>
      </w:r>
      <w:r>
        <w:rPr>
          <w:rFonts w:ascii="宋体" w:hAnsi="宋体" w:eastAsia="宋体" w:cs="宋体"/>
          <w:spacing w:val="7"/>
          <w:sz w:val="20"/>
          <w:szCs w:val="20"/>
        </w:rPr>
        <w:t>天内，向监理人提交变</w:t>
      </w:r>
      <w:r>
        <w:rPr>
          <w:rFonts w:ascii="宋体" w:hAnsi="宋体" w:eastAsia="宋体" w:cs="宋体"/>
          <w:spacing w:val="6"/>
          <w:sz w:val="20"/>
          <w:szCs w:val="20"/>
        </w:rPr>
        <w:t>更估价申请。监理人应在收到承包人提</w:t>
      </w:r>
      <w:r>
        <w:rPr>
          <w:rFonts w:ascii="宋体" w:hAnsi="宋体" w:eastAsia="宋体" w:cs="宋体"/>
          <w:spacing w:val="10"/>
          <w:sz w:val="20"/>
          <w:szCs w:val="20"/>
        </w:rPr>
        <w:t>交的变更估价申请后</w:t>
      </w:r>
      <w:r>
        <w:rPr>
          <w:rFonts w:ascii="宋体" w:hAnsi="宋体" w:eastAsia="宋体" w:cs="宋体"/>
          <w:spacing w:val="-35"/>
          <w:sz w:val="20"/>
          <w:szCs w:val="20"/>
        </w:rPr>
        <w:t xml:space="preserve"> </w:t>
      </w:r>
      <w:r>
        <w:rPr>
          <w:rFonts w:ascii="宋体" w:hAnsi="宋体" w:eastAsia="宋体" w:cs="宋体"/>
          <w:spacing w:val="10"/>
          <w:sz w:val="20"/>
          <w:szCs w:val="20"/>
        </w:rPr>
        <w:t>7</w:t>
      </w:r>
      <w:r>
        <w:rPr>
          <w:rFonts w:ascii="宋体" w:hAnsi="宋体" w:eastAsia="宋体" w:cs="宋体"/>
          <w:spacing w:val="-33"/>
          <w:sz w:val="20"/>
          <w:szCs w:val="20"/>
        </w:rPr>
        <w:t xml:space="preserve"> </w:t>
      </w:r>
      <w:r>
        <w:rPr>
          <w:rFonts w:ascii="宋体" w:hAnsi="宋体" w:eastAsia="宋体" w:cs="宋体"/>
          <w:spacing w:val="10"/>
          <w:sz w:val="20"/>
          <w:szCs w:val="20"/>
        </w:rPr>
        <w:t>天内审查完毕并报送发包人，</w:t>
      </w:r>
      <w:r>
        <w:rPr>
          <w:rFonts w:ascii="宋体" w:hAnsi="宋体" w:eastAsia="宋体" w:cs="宋体"/>
          <w:spacing w:val="9"/>
          <w:sz w:val="20"/>
          <w:szCs w:val="20"/>
        </w:rPr>
        <w:t>监理人对变更估价申请有异议，通知承包人</w:t>
      </w:r>
      <w:r>
        <w:rPr>
          <w:rFonts w:ascii="宋体" w:hAnsi="宋体" w:eastAsia="宋体" w:cs="宋体"/>
          <w:spacing w:val="7"/>
          <w:sz w:val="20"/>
          <w:szCs w:val="20"/>
        </w:rPr>
        <w:t>修改后重新提交。发包人应在承包人提交变更估价申请后</w:t>
      </w:r>
      <w:r>
        <w:rPr>
          <w:rFonts w:ascii="宋体" w:hAnsi="宋体" w:eastAsia="宋体" w:cs="宋体"/>
          <w:spacing w:val="-23"/>
          <w:sz w:val="20"/>
          <w:szCs w:val="20"/>
        </w:rPr>
        <w:t xml:space="preserve"> </w:t>
      </w:r>
      <w:r>
        <w:rPr>
          <w:rFonts w:ascii="宋体" w:hAnsi="宋体" w:eastAsia="宋体" w:cs="宋体"/>
          <w:spacing w:val="7"/>
          <w:sz w:val="20"/>
          <w:szCs w:val="20"/>
        </w:rPr>
        <w:t>14</w:t>
      </w:r>
      <w:r>
        <w:rPr>
          <w:rFonts w:ascii="宋体" w:hAnsi="宋体" w:eastAsia="宋体" w:cs="宋体"/>
          <w:spacing w:val="-34"/>
          <w:sz w:val="20"/>
          <w:szCs w:val="20"/>
        </w:rPr>
        <w:t xml:space="preserve"> </w:t>
      </w:r>
      <w:r>
        <w:rPr>
          <w:rFonts w:ascii="宋体" w:hAnsi="宋体" w:eastAsia="宋体" w:cs="宋体"/>
          <w:spacing w:val="7"/>
          <w:sz w:val="20"/>
          <w:szCs w:val="20"/>
        </w:rPr>
        <w:t>天内审批完</w:t>
      </w:r>
      <w:r>
        <w:rPr>
          <w:rFonts w:ascii="宋体" w:hAnsi="宋体" w:eastAsia="宋体" w:cs="宋体"/>
          <w:spacing w:val="6"/>
          <w:sz w:val="20"/>
          <w:szCs w:val="20"/>
        </w:rPr>
        <w:t>毕。发包人逾期未完成审</w:t>
      </w:r>
      <w:r>
        <w:rPr>
          <w:rFonts w:ascii="宋体" w:hAnsi="宋体" w:eastAsia="宋体" w:cs="宋体"/>
          <w:spacing w:val="9"/>
          <w:sz w:val="20"/>
          <w:szCs w:val="20"/>
        </w:rPr>
        <w:t>批或未提出异议的，视为认可承包人提交的变更估价申请。</w:t>
      </w:r>
    </w:p>
    <w:p w14:paraId="601EAB50">
      <w:pPr>
        <w:spacing w:before="2" w:line="345" w:lineRule="auto"/>
        <w:ind w:left="5" w:right="87" w:firstLine="421"/>
        <w:jc w:val="both"/>
        <w:rPr>
          <w:rFonts w:ascii="宋体" w:hAnsi="宋体" w:eastAsia="宋体" w:cs="宋体"/>
          <w:sz w:val="20"/>
          <w:szCs w:val="20"/>
        </w:rPr>
      </w:pPr>
      <w:r>
        <w:rPr>
          <w:rFonts w:ascii="宋体" w:hAnsi="宋体" w:eastAsia="宋体" w:cs="宋体"/>
          <w:spacing w:val="10"/>
          <w:sz w:val="20"/>
          <w:szCs w:val="20"/>
        </w:rPr>
        <w:t>实行工程量清单报价的，当工程变更将造成措施项目发生变化时，承包人有权提出调整措施项目费。承包人提出调整措施项目费的，应事先将拟实施的方案提交监理工程师确认，并详细说明与原方案措施项目及费用的变化情况。拟实施的方案经监理工程师认可，并报发包人批准后执</w:t>
      </w:r>
      <w:r>
        <w:rPr>
          <w:rFonts w:ascii="宋体" w:hAnsi="宋体" w:eastAsia="宋体" w:cs="宋体"/>
          <w:spacing w:val="-2"/>
          <w:sz w:val="20"/>
          <w:szCs w:val="20"/>
        </w:rPr>
        <w:t>行。</w:t>
      </w:r>
    </w:p>
    <w:p w14:paraId="30EEC849">
      <w:pPr>
        <w:spacing w:before="1" w:line="345" w:lineRule="auto"/>
        <w:ind w:left="3" w:right="87" w:firstLine="431"/>
        <w:rPr>
          <w:rFonts w:ascii="宋体" w:hAnsi="宋体" w:eastAsia="宋体" w:cs="宋体"/>
          <w:sz w:val="20"/>
          <w:szCs w:val="20"/>
        </w:rPr>
      </w:pPr>
      <w:r>
        <w:rPr>
          <w:rFonts w:ascii="宋体" w:hAnsi="宋体" w:eastAsia="宋体" w:cs="宋体"/>
          <w:spacing w:val="9"/>
          <w:sz w:val="20"/>
          <w:szCs w:val="20"/>
        </w:rPr>
        <w:t>当工程变更增加措施项目时，</w:t>
      </w:r>
      <w:r>
        <w:rPr>
          <w:rFonts w:ascii="宋体" w:hAnsi="宋体" w:eastAsia="宋体" w:cs="宋体"/>
          <w:spacing w:val="-57"/>
          <w:sz w:val="20"/>
          <w:szCs w:val="20"/>
        </w:rPr>
        <w:t xml:space="preserve"> </w:t>
      </w:r>
      <w:r>
        <w:rPr>
          <w:rFonts w:ascii="宋体" w:hAnsi="宋体" w:eastAsia="宋体" w:cs="宋体"/>
          <w:spacing w:val="9"/>
          <w:sz w:val="20"/>
          <w:szCs w:val="20"/>
        </w:rPr>
        <w:t>由承包人按合同的竣工结算与结算价款的约定在递交</w:t>
      </w:r>
      <w:r>
        <w:rPr>
          <w:rFonts w:ascii="宋体" w:hAnsi="宋体" w:eastAsia="宋体" w:cs="宋体"/>
          <w:spacing w:val="8"/>
          <w:sz w:val="20"/>
          <w:szCs w:val="20"/>
        </w:rPr>
        <w:t>竣工结算</w:t>
      </w:r>
      <w:r>
        <w:rPr>
          <w:rFonts w:ascii="宋体" w:hAnsi="宋体" w:eastAsia="宋体" w:cs="宋体"/>
          <w:spacing w:val="9"/>
          <w:sz w:val="20"/>
          <w:szCs w:val="20"/>
        </w:rPr>
        <w:t>文件时按下述公式向发包人提出，由监理工程师核实并经发包人确认后执行。</w:t>
      </w:r>
    </w:p>
    <w:p w14:paraId="232B9ED2">
      <w:pPr>
        <w:spacing w:line="268" w:lineRule="exact"/>
        <w:ind w:left="415"/>
        <w:rPr>
          <w:rFonts w:ascii="宋体" w:hAnsi="宋体" w:eastAsia="宋体" w:cs="宋体"/>
          <w:sz w:val="20"/>
          <w:szCs w:val="20"/>
        </w:rPr>
      </w:pPr>
      <w:r>
        <w:rPr>
          <w:rFonts w:ascii="宋体" w:hAnsi="宋体" w:eastAsia="宋体" w:cs="宋体"/>
          <w:spacing w:val="9"/>
          <w:position w:val="1"/>
          <w:sz w:val="20"/>
          <w:szCs w:val="20"/>
        </w:rPr>
        <w:t>M1＝M0+</w:t>
      </w:r>
      <w:r>
        <w:rPr>
          <w:rFonts w:ascii="宋体" w:hAnsi="宋体" w:eastAsia="宋体" w:cs="宋体"/>
          <w:spacing w:val="-22"/>
          <w:position w:val="1"/>
          <w:sz w:val="20"/>
          <w:szCs w:val="20"/>
        </w:rPr>
        <w:t xml:space="preserve"> </w:t>
      </w:r>
      <w:r>
        <w:rPr>
          <w:rFonts w:ascii="宋体" w:hAnsi="宋体" w:eastAsia="宋体" w:cs="宋体"/>
          <w:spacing w:val="9"/>
          <w:position w:val="1"/>
          <w:sz w:val="20"/>
          <w:szCs w:val="20"/>
        </w:rPr>
        <w:t>ΔM</w:t>
      </w:r>
    </w:p>
    <w:p w14:paraId="2057BFB8">
      <w:pPr>
        <w:spacing w:before="105" w:line="346" w:lineRule="auto"/>
        <w:ind w:left="5" w:right="110" w:firstLine="420"/>
        <w:rPr>
          <w:rFonts w:ascii="宋体" w:hAnsi="宋体" w:eastAsia="宋体" w:cs="宋体"/>
          <w:sz w:val="20"/>
          <w:szCs w:val="20"/>
        </w:rPr>
      </w:pPr>
      <w:r>
        <w:rPr>
          <w:rFonts w:ascii="宋体" w:hAnsi="宋体" w:eastAsia="宋体" w:cs="宋体"/>
          <w:spacing w:val="7"/>
          <w:sz w:val="20"/>
          <w:szCs w:val="20"/>
        </w:rPr>
        <w:t>式中：M1</w:t>
      </w:r>
      <w:r>
        <w:rPr>
          <w:rFonts w:ascii="宋体" w:hAnsi="宋体" w:eastAsia="宋体" w:cs="宋体"/>
          <w:spacing w:val="-32"/>
          <w:sz w:val="20"/>
          <w:szCs w:val="20"/>
        </w:rPr>
        <w:t xml:space="preserve"> </w:t>
      </w:r>
      <w:r>
        <w:rPr>
          <w:rFonts w:ascii="宋体" w:hAnsi="宋体" w:eastAsia="宋体" w:cs="宋体"/>
          <w:spacing w:val="7"/>
          <w:sz w:val="20"/>
          <w:szCs w:val="20"/>
        </w:rPr>
        <w:t>是本工程结算的措施项目费。M0</w:t>
      </w:r>
      <w:r>
        <w:rPr>
          <w:rFonts w:ascii="宋体" w:hAnsi="宋体" w:eastAsia="宋体" w:cs="宋体"/>
          <w:spacing w:val="-35"/>
          <w:sz w:val="20"/>
          <w:szCs w:val="20"/>
        </w:rPr>
        <w:t xml:space="preserve"> </w:t>
      </w:r>
      <w:r>
        <w:rPr>
          <w:rFonts w:ascii="宋体" w:hAnsi="宋体" w:eastAsia="宋体" w:cs="宋体"/>
          <w:spacing w:val="7"/>
          <w:sz w:val="20"/>
          <w:szCs w:val="20"/>
        </w:rPr>
        <w:t>是承包人在工程量清单中填报的措施项目费。</w:t>
      </w:r>
      <w:r>
        <w:rPr>
          <w:rFonts w:ascii="宋体" w:hAnsi="宋体" w:eastAsia="宋体" w:cs="宋体"/>
          <w:spacing w:val="-42"/>
          <w:sz w:val="20"/>
          <w:szCs w:val="20"/>
        </w:rPr>
        <w:t xml:space="preserve"> </w:t>
      </w:r>
      <w:r>
        <w:rPr>
          <w:rFonts w:ascii="宋体" w:hAnsi="宋体" w:eastAsia="宋体" w:cs="宋体"/>
          <w:spacing w:val="7"/>
          <w:sz w:val="20"/>
          <w:szCs w:val="20"/>
        </w:rPr>
        <w:t>ΔM</w:t>
      </w:r>
      <w:r>
        <w:rPr>
          <w:rFonts w:ascii="宋体" w:hAnsi="宋体" w:eastAsia="宋体" w:cs="宋体"/>
          <w:spacing w:val="8"/>
          <w:sz w:val="20"/>
          <w:szCs w:val="20"/>
        </w:rPr>
        <w:t>是工程变更部分的措施项目费。</w:t>
      </w:r>
    </w:p>
    <w:p w14:paraId="15B2FA77">
      <w:pPr>
        <w:spacing w:before="2" w:line="345" w:lineRule="auto"/>
        <w:ind w:left="1" w:firstLine="423"/>
        <w:jc w:val="both"/>
        <w:rPr>
          <w:rFonts w:ascii="宋体" w:hAnsi="宋体" w:eastAsia="宋体" w:cs="宋体"/>
          <w:sz w:val="20"/>
          <w:szCs w:val="20"/>
        </w:rPr>
      </w:pPr>
      <w:r>
        <w:rPr>
          <w:rFonts w:ascii="宋体" w:hAnsi="宋体" w:eastAsia="宋体" w:cs="宋体"/>
          <w:spacing w:val="7"/>
          <w:sz w:val="20"/>
          <w:szCs w:val="20"/>
        </w:rPr>
        <w:t>如果因为非承包人原因删减了合同中的某项原定工作或工程，致使承包人发生的费用或（和）</w:t>
      </w:r>
      <w:r>
        <w:rPr>
          <w:rFonts w:ascii="宋体" w:hAnsi="宋体" w:eastAsia="宋体" w:cs="宋体"/>
          <w:spacing w:val="10"/>
          <w:sz w:val="20"/>
          <w:szCs w:val="20"/>
        </w:rPr>
        <w:t>预期收益不能被包括在其他已支付或应支付的项目中，也未包含在任何替代的工作或工程中，则</w:t>
      </w:r>
      <w:r>
        <w:rPr>
          <w:rFonts w:ascii="宋体" w:hAnsi="宋体" w:eastAsia="宋体" w:cs="宋体"/>
          <w:spacing w:val="7"/>
          <w:sz w:val="20"/>
          <w:szCs w:val="20"/>
        </w:rPr>
        <w:t>承包人可发出通知，同时附证明材料，要求对因删减该项工作而造成的影响给予合理的费用补偿。</w:t>
      </w:r>
    </w:p>
    <w:p w14:paraId="62AF122B">
      <w:pPr>
        <w:spacing w:line="226" w:lineRule="auto"/>
        <w:ind w:left="437"/>
        <w:rPr>
          <w:rFonts w:ascii="宋体" w:hAnsi="宋体" w:eastAsia="宋体" w:cs="宋体"/>
          <w:sz w:val="20"/>
          <w:szCs w:val="20"/>
        </w:rPr>
      </w:pPr>
      <w:r>
        <w:rPr>
          <w:rFonts w:ascii="宋体" w:hAnsi="宋体" w:eastAsia="宋体" w:cs="宋体"/>
          <w:spacing w:val="8"/>
          <w:sz w:val="20"/>
          <w:szCs w:val="20"/>
        </w:rPr>
        <w:t>因变更引起的价格调整应计入最近一期的进度款中支付。</w:t>
      </w:r>
    </w:p>
    <w:p w14:paraId="42216796">
      <w:pPr>
        <w:spacing w:before="129" w:line="228" w:lineRule="auto"/>
        <w:ind w:left="437"/>
        <w:rPr>
          <w:rFonts w:ascii="宋体" w:hAnsi="宋体" w:eastAsia="宋体" w:cs="宋体"/>
          <w:sz w:val="20"/>
          <w:szCs w:val="20"/>
        </w:rPr>
      </w:pPr>
      <w:r>
        <w:rPr>
          <w:rFonts w:ascii="宋体" w:hAnsi="宋体" w:eastAsia="宋体" w:cs="宋体"/>
          <w:b/>
          <w:bCs/>
          <w:spacing w:val="5"/>
          <w:sz w:val="20"/>
          <w:szCs w:val="20"/>
        </w:rPr>
        <w:t>10.5</w:t>
      </w:r>
      <w:r>
        <w:rPr>
          <w:rFonts w:ascii="宋体" w:hAnsi="宋体" w:eastAsia="宋体" w:cs="宋体"/>
          <w:spacing w:val="5"/>
          <w:sz w:val="20"/>
          <w:szCs w:val="20"/>
        </w:rPr>
        <w:t xml:space="preserve"> </w:t>
      </w:r>
      <w:r>
        <w:rPr>
          <w:rFonts w:ascii="宋体" w:hAnsi="宋体" w:eastAsia="宋体" w:cs="宋体"/>
          <w:b/>
          <w:bCs/>
          <w:spacing w:val="5"/>
          <w:sz w:val="20"/>
          <w:szCs w:val="20"/>
        </w:rPr>
        <w:t>承包人的合理化建议</w:t>
      </w:r>
    </w:p>
    <w:p w14:paraId="6C62F389">
      <w:pPr>
        <w:spacing w:before="127" w:line="346" w:lineRule="auto"/>
        <w:ind w:left="5" w:right="80" w:firstLine="399"/>
        <w:rPr>
          <w:rFonts w:ascii="宋体" w:hAnsi="宋体" w:eastAsia="宋体" w:cs="宋体"/>
          <w:sz w:val="20"/>
          <w:szCs w:val="20"/>
        </w:rPr>
      </w:pPr>
      <w:r>
        <w:rPr>
          <w:rFonts w:ascii="宋体" w:hAnsi="宋体" w:eastAsia="宋体" w:cs="宋体"/>
          <w:spacing w:val="1"/>
          <w:sz w:val="20"/>
          <w:szCs w:val="20"/>
        </w:rPr>
        <w:t>承包人提出合理化建议的，应向监理人提交合理化建议说明，说明建议的内容和理</w:t>
      </w:r>
      <w:r>
        <w:rPr>
          <w:rFonts w:ascii="宋体" w:hAnsi="宋体" w:eastAsia="宋体" w:cs="宋体"/>
          <w:sz w:val="20"/>
          <w:szCs w:val="20"/>
        </w:rPr>
        <w:t>由，以及实施</w:t>
      </w:r>
      <w:r>
        <w:rPr>
          <w:rFonts w:ascii="宋体" w:hAnsi="宋体" w:eastAsia="宋体" w:cs="宋体"/>
          <w:spacing w:val="1"/>
          <w:sz w:val="20"/>
          <w:szCs w:val="20"/>
        </w:rPr>
        <w:t>该建议对合同价格和工期的影响。</w:t>
      </w:r>
    </w:p>
    <w:p w14:paraId="1B950D2F">
      <w:pPr>
        <w:spacing w:before="3" w:line="345" w:lineRule="auto"/>
        <w:ind w:right="84" w:firstLine="434"/>
        <w:jc w:val="both"/>
        <w:rPr>
          <w:rFonts w:ascii="宋体" w:hAnsi="宋体" w:eastAsia="宋体" w:cs="宋体"/>
          <w:sz w:val="20"/>
          <w:szCs w:val="20"/>
        </w:rPr>
      </w:pPr>
      <w:r>
        <w:rPr>
          <w:rFonts w:ascii="宋体" w:hAnsi="宋体" w:eastAsia="宋体" w:cs="宋体"/>
          <w:spacing w:val="9"/>
          <w:sz w:val="20"/>
          <w:szCs w:val="20"/>
        </w:rPr>
        <w:t>除专用合同条款另有约定外，监理人应在收到承包人提交的合理化建议后</w:t>
      </w:r>
      <w:r>
        <w:rPr>
          <w:rFonts w:ascii="宋体" w:hAnsi="宋体" w:eastAsia="宋体" w:cs="宋体"/>
          <w:spacing w:val="-24"/>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天内审查完毕并</w:t>
      </w:r>
      <w:r>
        <w:rPr>
          <w:rFonts w:ascii="宋体" w:hAnsi="宋体" w:eastAsia="宋体" w:cs="宋体"/>
          <w:spacing w:val="10"/>
          <w:sz w:val="20"/>
          <w:szCs w:val="20"/>
        </w:rPr>
        <w:t>报送发包人，发现其中存在技术上的缺陷，应通知承包人修改。发包人应在收到监理人报送的合</w:t>
      </w:r>
      <w:r>
        <w:rPr>
          <w:rFonts w:ascii="宋体" w:hAnsi="宋体" w:eastAsia="宋体" w:cs="宋体"/>
          <w:spacing w:val="9"/>
          <w:sz w:val="20"/>
          <w:szCs w:val="20"/>
        </w:rPr>
        <w:t>理化建议后</w:t>
      </w:r>
      <w:r>
        <w:rPr>
          <w:rFonts w:ascii="宋体" w:hAnsi="宋体" w:eastAsia="宋体" w:cs="宋体"/>
          <w:spacing w:val="-34"/>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天内审批完毕。合理化建议经发包人批</w:t>
      </w:r>
      <w:r>
        <w:rPr>
          <w:rFonts w:ascii="宋体" w:hAnsi="宋体" w:eastAsia="宋体" w:cs="宋体"/>
          <w:spacing w:val="8"/>
          <w:sz w:val="20"/>
          <w:szCs w:val="20"/>
        </w:rPr>
        <w:t>准的，监理人应及时发出变更指示，</w:t>
      </w:r>
      <w:r>
        <w:rPr>
          <w:rFonts w:ascii="宋体" w:hAnsi="宋体" w:eastAsia="宋体" w:cs="宋体"/>
          <w:spacing w:val="-57"/>
          <w:sz w:val="20"/>
          <w:szCs w:val="20"/>
        </w:rPr>
        <w:t xml:space="preserve"> </w:t>
      </w:r>
      <w:r>
        <w:rPr>
          <w:rFonts w:ascii="宋体" w:hAnsi="宋体" w:eastAsia="宋体" w:cs="宋体"/>
          <w:spacing w:val="8"/>
          <w:sz w:val="20"/>
          <w:szCs w:val="20"/>
        </w:rPr>
        <w:t>由此引</w:t>
      </w:r>
      <w:r>
        <w:rPr>
          <w:rFonts w:ascii="宋体" w:hAnsi="宋体" w:eastAsia="宋体" w:cs="宋体"/>
          <w:spacing w:val="7"/>
          <w:sz w:val="20"/>
          <w:szCs w:val="20"/>
        </w:rPr>
        <w:t>起的合同价格调整按照第</w:t>
      </w:r>
      <w:r>
        <w:rPr>
          <w:rFonts w:ascii="宋体" w:hAnsi="宋体" w:eastAsia="宋体" w:cs="宋体"/>
          <w:spacing w:val="-24"/>
          <w:sz w:val="20"/>
          <w:szCs w:val="20"/>
        </w:rPr>
        <w:t xml:space="preserve"> </w:t>
      </w:r>
      <w:r>
        <w:rPr>
          <w:rFonts w:ascii="宋体" w:hAnsi="宋体" w:eastAsia="宋体" w:cs="宋体"/>
          <w:spacing w:val="7"/>
          <w:sz w:val="20"/>
          <w:szCs w:val="20"/>
        </w:rPr>
        <w:t>10.4</w:t>
      </w:r>
      <w:r>
        <w:rPr>
          <w:rFonts w:ascii="宋体" w:hAnsi="宋体" w:eastAsia="宋体" w:cs="宋体"/>
          <w:spacing w:val="-39"/>
          <w:sz w:val="20"/>
          <w:szCs w:val="20"/>
        </w:rPr>
        <w:t xml:space="preserve"> </w:t>
      </w:r>
      <w:r>
        <w:rPr>
          <w:rFonts w:ascii="宋体" w:hAnsi="宋体" w:eastAsia="宋体" w:cs="宋体"/>
          <w:spacing w:val="7"/>
          <w:sz w:val="20"/>
          <w:szCs w:val="20"/>
        </w:rPr>
        <w:t>款〔变更估价〕约定执行。发包人不同意</w:t>
      </w:r>
      <w:r>
        <w:rPr>
          <w:rFonts w:ascii="宋体" w:hAnsi="宋体" w:eastAsia="宋体" w:cs="宋体"/>
          <w:spacing w:val="6"/>
          <w:sz w:val="20"/>
          <w:szCs w:val="20"/>
        </w:rPr>
        <w:t>变更的，监理人应书面通知承包人。</w:t>
      </w:r>
    </w:p>
    <w:p w14:paraId="62CDFB20">
      <w:pPr>
        <w:spacing w:before="1" w:line="345" w:lineRule="auto"/>
        <w:ind w:left="2" w:right="80" w:firstLine="403"/>
        <w:rPr>
          <w:rFonts w:ascii="宋体" w:hAnsi="宋体" w:eastAsia="宋体" w:cs="宋体"/>
          <w:sz w:val="20"/>
          <w:szCs w:val="20"/>
        </w:rPr>
      </w:pPr>
      <w:r>
        <w:rPr>
          <w:rFonts w:ascii="宋体" w:hAnsi="宋体" w:eastAsia="宋体" w:cs="宋体"/>
          <w:spacing w:val="1"/>
          <w:sz w:val="20"/>
          <w:szCs w:val="20"/>
        </w:rPr>
        <w:t>合理化建议降低了合同价格或者提高了工程经济效益的，发包人可对承包人给予</w:t>
      </w:r>
      <w:r>
        <w:rPr>
          <w:rFonts w:ascii="宋体" w:hAnsi="宋体" w:eastAsia="宋体" w:cs="宋体"/>
          <w:sz w:val="20"/>
          <w:szCs w:val="20"/>
        </w:rPr>
        <w:t>奖励，奖励的方</w:t>
      </w:r>
      <w:r>
        <w:rPr>
          <w:rFonts w:ascii="宋体" w:hAnsi="宋体" w:eastAsia="宋体" w:cs="宋体"/>
          <w:spacing w:val="1"/>
          <w:sz w:val="20"/>
          <w:szCs w:val="20"/>
        </w:rPr>
        <w:t>法和金额在专用合同条款中约定。</w:t>
      </w:r>
    </w:p>
    <w:p w14:paraId="66E3678E">
      <w:pPr>
        <w:spacing w:before="1" w:line="228" w:lineRule="auto"/>
        <w:ind w:left="437"/>
        <w:rPr>
          <w:rFonts w:ascii="宋体" w:hAnsi="宋体" w:eastAsia="宋体" w:cs="宋体"/>
          <w:sz w:val="20"/>
          <w:szCs w:val="20"/>
        </w:rPr>
      </w:pPr>
      <w:r>
        <w:rPr>
          <w:rFonts w:ascii="宋体" w:hAnsi="宋体" w:eastAsia="宋体" w:cs="宋体"/>
          <w:b/>
          <w:bCs/>
          <w:spacing w:val="5"/>
          <w:sz w:val="20"/>
          <w:szCs w:val="20"/>
        </w:rPr>
        <w:t>10.6</w:t>
      </w:r>
      <w:r>
        <w:rPr>
          <w:rFonts w:ascii="宋体" w:hAnsi="宋体" w:eastAsia="宋体" w:cs="宋体"/>
          <w:spacing w:val="5"/>
          <w:sz w:val="20"/>
          <w:szCs w:val="20"/>
        </w:rPr>
        <w:t xml:space="preserve"> </w:t>
      </w:r>
      <w:r>
        <w:rPr>
          <w:rFonts w:ascii="宋体" w:hAnsi="宋体" w:eastAsia="宋体" w:cs="宋体"/>
          <w:b/>
          <w:bCs/>
          <w:spacing w:val="5"/>
          <w:sz w:val="20"/>
          <w:szCs w:val="20"/>
        </w:rPr>
        <w:t>变更引起的工期调整</w:t>
      </w:r>
    </w:p>
    <w:p w14:paraId="4F190087">
      <w:pPr>
        <w:spacing w:before="126" w:line="346" w:lineRule="auto"/>
        <w:ind w:left="6" w:right="87" w:firstLine="431"/>
        <w:rPr>
          <w:rFonts w:ascii="宋体" w:hAnsi="宋体" w:eastAsia="宋体" w:cs="宋体"/>
          <w:sz w:val="20"/>
          <w:szCs w:val="20"/>
        </w:rPr>
      </w:pPr>
      <w:r>
        <w:rPr>
          <w:rFonts w:ascii="宋体" w:hAnsi="宋体" w:eastAsia="宋体" w:cs="宋体"/>
          <w:spacing w:val="4"/>
          <w:sz w:val="20"/>
          <w:szCs w:val="20"/>
        </w:rPr>
        <w:t>因变更引起工期变化的，合同当事人均可要求调整合同工期，由合同当事人按照第</w:t>
      </w:r>
      <w:r>
        <w:rPr>
          <w:rFonts w:ascii="宋体" w:hAnsi="宋体" w:eastAsia="宋体" w:cs="宋体"/>
          <w:spacing w:val="-33"/>
          <w:sz w:val="20"/>
          <w:szCs w:val="20"/>
        </w:rPr>
        <w:t xml:space="preserve"> </w:t>
      </w:r>
      <w:r>
        <w:rPr>
          <w:rFonts w:ascii="宋体" w:hAnsi="宋体" w:eastAsia="宋体" w:cs="宋体"/>
          <w:spacing w:val="4"/>
          <w:sz w:val="20"/>
          <w:szCs w:val="20"/>
        </w:rPr>
        <w:t>4.4</w:t>
      </w:r>
      <w:r>
        <w:rPr>
          <w:rFonts w:ascii="宋体" w:hAnsi="宋体" w:eastAsia="宋体" w:cs="宋体"/>
          <w:spacing w:val="-39"/>
          <w:sz w:val="20"/>
          <w:szCs w:val="20"/>
        </w:rPr>
        <w:t xml:space="preserve"> </w:t>
      </w:r>
      <w:r>
        <w:rPr>
          <w:rFonts w:ascii="宋体" w:hAnsi="宋体" w:eastAsia="宋体" w:cs="宋体"/>
          <w:spacing w:val="4"/>
          <w:sz w:val="20"/>
          <w:szCs w:val="20"/>
        </w:rPr>
        <w:t>款〔商</w:t>
      </w:r>
      <w:r>
        <w:rPr>
          <w:rFonts w:ascii="宋体" w:hAnsi="宋体" w:eastAsia="宋体" w:cs="宋体"/>
          <w:spacing w:val="9"/>
          <w:sz w:val="20"/>
          <w:szCs w:val="20"/>
        </w:rPr>
        <w:t>定或确定〕并参考工程所在地的工期定额标准确定增减工期天数。</w:t>
      </w:r>
    </w:p>
    <w:p w14:paraId="7B77A2AB">
      <w:pPr>
        <w:spacing w:line="226" w:lineRule="auto"/>
        <w:ind w:left="437"/>
        <w:rPr>
          <w:rFonts w:ascii="宋体" w:hAnsi="宋体" w:eastAsia="宋体" w:cs="宋体"/>
          <w:sz w:val="20"/>
          <w:szCs w:val="20"/>
        </w:rPr>
      </w:pPr>
      <w:r>
        <w:rPr>
          <w:rFonts w:ascii="宋体" w:hAnsi="宋体" w:eastAsia="宋体" w:cs="宋体"/>
          <w:b/>
          <w:bCs/>
          <w:sz w:val="20"/>
          <w:szCs w:val="20"/>
        </w:rPr>
        <w:t>10.7</w:t>
      </w:r>
      <w:r>
        <w:rPr>
          <w:rFonts w:ascii="宋体" w:hAnsi="宋体" w:eastAsia="宋体" w:cs="宋体"/>
          <w:spacing w:val="-33"/>
          <w:sz w:val="20"/>
          <w:szCs w:val="20"/>
        </w:rPr>
        <w:t xml:space="preserve"> </w:t>
      </w:r>
      <w:r>
        <w:rPr>
          <w:rFonts w:ascii="宋体" w:hAnsi="宋体" w:eastAsia="宋体" w:cs="宋体"/>
          <w:b/>
          <w:bCs/>
          <w:sz w:val="20"/>
          <w:szCs w:val="20"/>
        </w:rPr>
        <w:t>暂估价</w:t>
      </w:r>
    </w:p>
    <w:p w14:paraId="750DC9A9">
      <w:pPr>
        <w:spacing w:before="130" w:line="226" w:lineRule="auto"/>
        <w:ind w:left="428"/>
        <w:rPr>
          <w:rFonts w:ascii="宋体" w:hAnsi="宋体" w:eastAsia="宋体" w:cs="宋体"/>
          <w:sz w:val="20"/>
          <w:szCs w:val="20"/>
        </w:rPr>
      </w:pPr>
      <w:r>
        <w:rPr>
          <w:rFonts w:ascii="宋体" w:hAnsi="宋体" w:eastAsia="宋体" w:cs="宋体"/>
          <w:spacing w:val="9"/>
          <w:sz w:val="20"/>
          <w:szCs w:val="20"/>
        </w:rPr>
        <w:t>暂估价专业分包工程、服务、材料和工程设备的明细由合同当事人在专用合同条款中约定。</w:t>
      </w:r>
    </w:p>
    <w:p w14:paraId="26ADE350">
      <w:pPr>
        <w:spacing w:before="129" w:line="226" w:lineRule="auto"/>
        <w:ind w:left="437"/>
        <w:rPr>
          <w:rFonts w:ascii="宋体" w:hAnsi="宋体" w:eastAsia="宋体" w:cs="宋体"/>
          <w:sz w:val="20"/>
          <w:szCs w:val="20"/>
        </w:rPr>
      </w:pPr>
      <w:r>
        <w:rPr>
          <w:rFonts w:ascii="宋体" w:hAnsi="宋体" w:eastAsia="宋体" w:cs="宋体"/>
          <w:b/>
          <w:bCs/>
          <w:spacing w:val="5"/>
          <w:sz w:val="20"/>
          <w:szCs w:val="20"/>
        </w:rPr>
        <w:t>10.7.1</w:t>
      </w:r>
      <w:r>
        <w:rPr>
          <w:rFonts w:ascii="宋体" w:hAnsi="宋体" w:eastAsia="宋体" w:cs="宋体"/>
          <w:spacing w:val="5"/>
          <w:sz w:val="20"/>
          <w:szCs w:val="20"/>
        </w:rPr>
        <w:t xml:space="preserve"> </w:t>
      </w:r>
      <w:r>
        <w:rPr>
          <w:rFonts w:ascii="宋体" w:hAnsi="宋体" w:eastAsia="宋体" w:cs="宋体"/>
          <w:b/>
          <w:bCs/>
          <w:spacing w:val="5"/>
          <w:sz w:val="20"/>
          <w:szCs w:val="20"/>
        </w:rPr>
        <w:t>依法必须招标的暂估价项目</w:t>
      </w:r>
    </w:p>
    <w:p w14:paraId="6CED0F55">
      <w:pPr>
        <w:spacing w:before="130" w:line="226" w:lineRule="auto"/>
        <w:ind w:left="420"/>
        <w:rPr>
          <w:rFonts w:ascii="宋体" w:hAnsi="宋体" w:eastAsia="宋体" w:cs="宋体"/>
          <w:sz w:val="20"/>
          <w:szCs w:val="20"/>
        </w:rPr>
      </w:pPr>
      <w:r>
        <w:rPr>
          <w:rFonts w:ascii="宋体" w:hAnsi="宋体" w:eastAsia="宋体" w:cs="宋体"/>
          <w:spacing w:val="10"/>
          <w:sz w:val="20"/>
          <w:szCs w:val="20"/>
        </w:rPr>
        <w:t>对于依法必须招标的暂估价项目，除相关法律规定由发包人组织招标的情形外，采取以下第</w:t>
      </w:r>
    </w:p>
    <w:p w14:paraId="0BE28F0C">
      <w:pPr>
        <w:spacing w:line="226" w:lineRule="auto"/>
        <w:rPr>
          <w:rFonts w:ascii="宋体" w:hAnsi="宋体" w:eastAsia="宋体" w:cs="宋体"/>
          <w:sz w:val="20"/>
          <w:szCs w:val="20"/>
        </w:rPr>
        <w:sectPr>
          <w:footerReference r:id="rId365" w:type="default"/>
          <w:pgSz w:w="11906" w:h="16839"/>
          <w:pgMar w:top="400" w:right="1445" w:bottom="1446" w:left="1537" w:header="0" w:footer="1284" w:gutter="0"/>
          <w:cols w:space="720" w:num="1"/>
        </w:sectPr>
      </w:pPr>
    </w:p>
    <w:p w14:paraId="641EFDED">
      <w:pPr>
        <w:spacing w:line="246" w:lineRule="auto"/>
        <w:rPr>
          <w:rFonts w:ascii="Arial"/>
          <w:sz w:val="21"/>
        </w:rPr>
      </w:pPr>
    </w:p>
    <w:p w14:paraId="00170C91">
      <w:pPr>
        <w:spacing w:line="246" w:lineRule="auto"/>
        <w:rPr>
          <w:rFonts w:ascii="Arial"/>
          <w:sz w:val="21"/>
        </w:rPr>
      </w:pPr>
    </w:p>
    <w:p w14:paraId="2A5720FB">
      <w:pPr>
        <w:spacing w:line="246" w:lineRule="auto"/>
        <w:rPr>
          <w:rFonts w:ascii="Arial"/>
          <w:sz w:val="21"/>
        </w:rPr>
      </w:pPr>
    </w:p>
    <w:p w14:paraId="29C3B115">
      <w:pPr>
        <w:spacing w:line="246" w:lineRule="auto"/>
        <w:rPr>
          <w:rFonts w:ascii="Arial"/>
          <w:sz w:val="21"/>
        </w:rPr>
      </w:pPr>
    </w:p>
    <w:p w14:paraId="1A7CEBA0">
      <w:pPr>
        <w:spacing w:line="247" w:lineRule="auto"/>
        <w:rPr>
          <w:rFonts w:ascii="Arial"/>
          <w:sz w:val="21"/>
        </w:rPr>
      </w:pPr>
    </w:p>
    <w:p w14:paraId="12D65B2E">
      <w:pPr>
        <w:spacing w:line="247" w:lineRule="auto"/>
        <w:rPr>
          <w:rFonts w:ascii="Arial"/>
          <w:sz w:val="21"/>
        </w:rPr>
      </w:pPr>
    </w:p>
    <w:p w14:paraId="649C411C">
      <w:pPr>
        <w:spacing w:before="65" w:line="228" w:lineRule="auto"/>
        <w:rPr>
          <w:rFonts w:ascii="宋体" w:hAnsi="宋体" w:eastAsia="宋体" w:cs="宋体"/>
          <w:sz w:val="20"/>
          <w:szCs w:val="20"/>
        </w:rPr>
      </w:pPr>
      <w:r>
        <w:rPr>
          <w:rFonts w:ascii="宋体" w:hAnsi="宋体" w:eastAsia="宋体" w:cs="宋体"/>
          <w:spacing w:val="9"/>
          <w:sz w:val="20"/>
          <w:szCs w:val="20"/>
        </w:rPr>
        <w:t>种方式确定。合同当事人也可以在专用合同条款中选择其他招标方式。</w:t>
      </w:r>
    </w:p>
    <w:p w14:paraId="0D0A0F08">
      <w:pPr>
        <w:spacing w:before="126" w:line="346" w:lineRule="auto"/>
        <w:ind w:left="1" w:right="52" w:firstLine="418"/>
        <w:rPr>
          <w:rFonts w:ascii="宋体" w:hAnsi="宋体" w:eastAsia="宋体" w:cs="宋体"/>
          <w:sz w:val="20"/>
          <w:szCs w:val="20"/>
        </w:rPr>
      </w:pPr>
      <w:r>
        <w:rPr>
          <w:rFonts w:ascii="宋体" w:hAnsi="宋体" w:eastAsia="宋体" w:cs="宋体"/>
          <w:spacing w:val="9"/>
          <w:sz w:val="20"/>
          <w:szCs w:val="20"/>
        </w:rPr>
        <w:t>第</w:t>
      </w:r>
      <w:r>
        <w:rPr>
          <w:rFonts w:ascii="宋体" w:hAnsi="宋体" w:eastAsia="宋体" w:cs="宋体"/>
          <w:spacing w:val="-10"/>
          <w:sz w:val="20"/>
          <w:szCs w:val="20"/>
        </w:rPr>
        <w:t xml:space="preserve"> </w:t>
      </w:r>
      <w:r>
        <w:rPr>
          <w:rFonts w:ascii="宋体" w:hAnsi="宋体" w:eastAsia="宋体" w:cs="宋体"/>
          <w:spacing w:val="9"/>
          <w:sz w:val="20"/>
          <w:szCs w:val="20"/>
        </w:rPr>
        <w:t>1</w:t>
      </w:r>
      <w:r>
        <w:rPr>
          <w:rFonts w:ascii="宋体" w:hAnsi="宋体" w:eastAsia="宋体" w:cs="宋体"/>
          <w:spacing w:val="-38"/>
          <w:sz w:val="20"/>
          <w:szCs w:val="20"/>
        </w:rPr>
        <w:t xml:space="preserve"> </w:t>
      </w:r>
      <w:r>
        <w:rPr>
          <w:rFonts w:ascii="宋体" w:hAnsi="宋体" w:eastAsia="宋体" w:cs="宋体"/>
          <w:spacing w:val="9"/>
          <w:sz w:val="20"/>
          <w:szCs w:val="20"/>
        </w:rPr>
        <w:t>种方式：对于依法必须招标的暂估价项目，由承包人招标，对该暂估价项目的确认和批</w:t>
      </w:r>
      <w:r>
        <w:rPr>
          <w:rFonts w:ascii="宋体" w:hAnsi="宋体" w:eastAsia="宋体" w:cs="宋体"/>
          <w:spacing w:val="7"/>
          <w:sz w:val="20"/>
          <w:szCs w:val="20"/>
        </w:rPr>
        <w:t>准按照以下约定执行：</w:t>
      </w:r>
    </w:p>
    <w:p w14:paraId="7B219689">
      <w:pPr>
        <w:spacing w:before="1" w:line="345" w:lineRule="auto"/>
        <w:ind w:right="52" w:firstLine="430"/>
        <w:rPr>
          <w:rFonts w:ascii="宋体" w:hAnsi="宋体" w:eastAsia="宋体" w:cs="宋体"/>
          <w:sz w:val="20"/>
          <w:szCs w:val="20"/>
        </w:rPr>
      </w:pPr>
      <w:r>
        <w:rPr>
          <w:rFonts w:ascii="宋体" w:hAnsi="宋体" w:eastAsia="宋体" w:cs="宋体"/>
          <w:spacing w:val="9"/>
          <w:sz w:val="20"/>
          <w:szCs w:val="20"/>
        </w:rPr>
        <w:t>（1）承包人应当根据施工进度计划，在招标工作启动前</w:t>
      </w:r>
      <w:r>
        <w:rPr>
          <w:rFonts w:ascii="宋体" w:hAnsi="宋体" w:eastAsia="宋体" w:cs="宋体"/>
          <w:spacing w:val="-24"/>
          <w:sz w:val="20"/>
          <w:szCs w:val="20"/>
        </w:rPr>
        <w:t xml:space="preserve"> </w:t>
      </w:r>
      <w:r>
        <w:rPr>
          <w:rFonts w:ascii="宋体" w:hAnsi="宋体" w:eastAsia="宋体" w:cs="宋体"/>
          <w:spacing w:val="9"/>
          <w:sz w:val="20"/>
          <w:szCs w:val="20"/>
        </w:rPr>
        <w:t>14</w:t>
      </w:r>
      <w:r>
        <w:rPr>
          <w:rFonts w:ascii="宋体" w:hAnsi="宋体" w:eastAsia="宋体" w:cs="宋体"/>
          <w:spacing w:val="-36"/>
          <w:sz w:val="20"/>
          <w:szCs w:val="20"/>
        </w:rPr>
        <w:t xml:space="preserve"> </w:t>
      </w:r>
      <w:r>
        <w:rPr>
          <w:rFonts w:ascii="宋体" w:hAnsi="宋体" w:eastAsia="宋体" w:cs="宋体"/>
          <w:spacing w:val="9"/>
          <w:sz w:val="20"/>
          <w:szCs w:val="20"/>
        </w:rPr>
        <w:t>天将招标方案通</w:t>
      </w:r>
      <w:r>
        <w:rPr>
          <w:rFonts w:ascii="宋体" w:hAnsi="宋体" w:eastAsia="宋体" w:cs="宋体"/>
          <w:spacing w:val="8"/>
          <w:sz w:val="20"/>
          <w:szCs w:val="20"/>
        </w:rPr>
        <w:t>过监理人报送发</w:t>
      </w:r>
      <w:r>
        <w:rPr>
          <w:rFonts w:ascii="宋体" w:hAnsi="宋体" w:eastAsia="宋体" w:cs="宋体"/>
          <w:spacing w:val="10"/>
          <w:sz w:val="20"/>
          <w:szCs w:val="20"/>
        </w:rPr>
        <w:t>包人审查，发包人应当在收到承包人报送的招标方</w:t>
      </w:r>
      <w:r>
        <w:rPr>
          <w:rFonts w:ascii="宋体" w:hAnsi="宋体" w:eastAsia="宋体" w:cs="宋体"/>
          <w:spacing w:val="9"/>
          <w:sz w:val="20"/>
          <w:szCs w:val="20"/>
        </w:rPr>
        <w:t>案后</w:t>
      </w:r>
      <w:r>
        <w:rPr>
          <w:rFonts w:ascii="宋体" w:hAnsi="宋体" w:eastAsia="宋体" w:cs="宋体"/>
          <w:spacing w:val="-34"/>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天内批准或提出修改意见。承包人应当按照经过发包人批准的招标方案开展招标工作；</w:t>
      </w:r>
    </w:p>
    <w:p w14:paraId="6EBCAD7E">
      <w:pPr>
        <w:spacing w:before="1" w:line="345" w:lineRule="auto"/>
        <w:ind w:right="52" w:firstLine="430"/>
        <w:rPr>
          <w:rFonts w:ascii="宋体" w:hAnsi="宋体" w:eastAsia="宋体" w:cs="宋体"/>
          <w:sz w:val="20"/>
          <w:szCs w:val="20"/>
        </w:rPr>
      </w:pPr>
      <w:r>
        <w:rPr>
          <w:rFonts w:ascii="宋体" w:hAnsi="宋体" w:eastAsia="宋体" w:cs="宋体"/>
          <w:spacing w:val="9"/>
          <w:sz w:val="20"/>
          <w:szCs w:val="20"/>
        </w:rPr>
        <w:t>（2）承包人应当根据施工进度计划，提前</w:t>
      </w:r>
      <w:r>
        <w:rPr>
          <w:rFonts w:ascii="宋体" w:hAnsi="宋体" w:eastAsia="宋体" w:cs="宋体"/>
          <w:spacing w:val="-23"/>
          <w:sz w:val="20"/>
          <w:szCs w:val="20"/>
        </w:rPr>
        <w:t xml:space="preserve"> </w:t>
      </w:r>
      <w:r>
        <w:rPr>
          <w:rFonts w:ascii="宋体" w:hAnsi="宋体" w:eastAsia="宋体" w:cs="宋体"/>
          <w:spacing w:val="9"/>
          <w:sz w:val="20"/>
          <w:szCs w:val="20"/>
        </w:rPr>
        <w:t>14</w:t>
      </w:r>
      <w:r>
        <w:rPr>
          <w:rFonts w:ascii="宋体" w:hAnsi="宋体" w:eastAsia="宋体" w:cs="宋体"/>
          <w:spacing w:val="-34"/>
          <w:sz w:val="20"/>
          <w:szCs w:val="20"/>
        </w:rPr>
        <w:t xml:space="preserve"> </w:t>
      </w:r>
      <w:r>
        <w:rPr>
          <w:rFonts w:ascii="宋体" w:hAnsi="宋体" w:eastAsia="宋体" w:cs="宋体"/>
          <w:spacing w:val="9"/>
          <w:sz w:val="20"/>
          <w:szCs w:val="20"/>
        </w:rPr>
        <w:t>天将招标文件通过监理</w:t>
      </w:r>
      <w:r>
        <w:rPr>
          <w:rFonts w:ascii="宋体" w:hAnsi="宋体" w:eastAsia="宋体" w:cs="宋体"/>
          <w:spacing w:val="8"/>
          <w:sz w:val="20"/>
          <w:szCs w:val="20"/>
        </w:rPr>
        <w:t>人报送发包人审批，发</w:t>
      </w:r>
      <w:r>
        <w:rPr>
          <w:rFonts w:ascii="宋体" w:hAnsi="宋体" w:eastAsia="宋体" w:cs="宋体"/>
          <w:spacing w:val="10"/>
          <w:sz w:val="20"/>
          <w:szCs w:val="20"/>
        </w:rPr>
        <w:t>包人应当在收到承包人报送的相关文件后</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4"/>
          <w:sz w:val="20"/>
          <w:szCs w:val="20"/>
        </w:rPr>
        <w:t xml:space="preserve"> </w:t>
      </w:r>
      <w:r>
        <w:rPr>
          <w:rFonts w:ascii="宋体" w:hAnsi="宋体" w:eastAsia="宋体" w:cs="宋体"/>
          <w:spacing w:val="10"/>
          <w:sz w:val="20"/>
          <w:szCs w:val="20"/>
        </w:rPr>
        <w:t>天内完</w:t>
      </w:r>
      <w:r>
        <w:rPr>
          <w:rFonts w:ascii="宋体" w:hAnsi="宋体" w:eastAsia="宋体" w:cs="宋体"/>
          <w:spacing w:val="9"/>
          <w:sz w:val="20"/>
          <w:szCs w:val="20"/>
        </w:rPr>
        <w:t>成审批或提出修改意见；发包人有权确定最高</w:t>
      </w:r>
      <w:r>
        <w:rPr>
          <w:rFonts w:ascii="宋体" w:hAnsi="宋体" w:eastAsia="宋体" w:cs="宋体"/>
          <w:spacing w:val="8"/>
          <w:sz w:val="20"/>
          <w:szCs w:val="20"/>
        </w:rPr>
        <w:t>投标限价并按照法律规定参加评标；</w:t>
      </w:r>
    </w:p>
    <w:p w14:paraId="34BEB1D7">
      <w:pPr>
        <w:spacing w:before="2" w:line="345" w:lineRule="auto"/>
        <w:ind w:right="52" w:firstLine="430"/>
        <w:rPr>
          <w:rFonts w:ascii="宋体" w:hAnsi="宋体" w:eastAsia="宋体" w:cs="宋体"/>
          <w:sz w:val="20"/>
          <w:szCs w:val="20"/>
        </w:rPr>
      </w:pPr>
      <w:r>
        <w:rPr>
          <w:rFonts w:ascii="宋体" w:hAnsi="宋体" w:eastAsia="宋体" w:cs="宋体"/>
          <w:spacing w:val="7"/>
          <w:sz w:val="20"/>
          <w:szCs w:val="20"/>
        </w:rPr>
        <w:t>（3）承包人与供应商、分包人在签订暂估价合同</w:t>
      </w:r>
      <w:r>
        <w:rPr>
          <w:rFonts w:ascii="宋体" w:hAnsi="宋体" w:eastAsia="宋体" w:cs="宋体"/>
          <w:spacing w:val="6"/>
          <w:sz w:val="20"/>
          <w:szCs w:val="20"/>
        </w:rPr>
        <w:t>前，应当提前</w:t>
      </w:r>
      <w:r>
        <w:rPr>
          <w:rFonts w:ascii="宋体" w:hAnsi="宋体" w:eastAsia="宋体" w:cs="宋体"/>
          <w:spacing w:val="-32"/>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天将确定的中标候选供应商</w:t>
      </w:r>
      <w:r>
        <w:rPr>
          <w:rFonts w:ascii="宋体" w:hAnsi="宋体" w:eastAsia="宋体" w:cs="宋体"/>
          <w:spacing w:val="9"/>
          <w:sz w:val="20"/>
          <w:szCs w:val="20"/>
        </w:rPr>
        <w:t>或中标候选分包人的资料报送发包人，发包人应在收到资料后</w:t>
      </w:r>
      <w:r>
        <w:rPr>
          <w:rFonts w:ascii="宋体" w:hAnsi="宋体" w:eastAsia="宋体" w:cs="宋体"/>
          <w:spacing w:val="-21"/>
          <w:sz w:val="20"/>
          <w:szCs w:val="20"/>
        </w:rPr>
        <w:t xml:space="preserve"> </w:t>
      </w:r>
      <w:r>
        <w:rPr>
          <w:rFonts w:ascii="宋体" w:hAnsi="宋体" w:eastAsia="宋体" w:cs="宋体"/>
          <w:spacing w:val="9"/>
          <w:sz w:val="20"/>
          <w:szCs w:val="20"/>
        </w:rPr>
        <w:t>3</w:t>
      </w:r>
      <w:r>
        <w:rPr>
          <w:rFonts w:ascii="宋体" w:hAnsi="宋体" w:eastAsia="宋体" w:cs="宋体"/>
          <w:spacing w:val="-34"/>
          <w:sz w:val="20"/>
          <w:szCs w:val="20"/>
        </w:rPr>
        <w:t xml:space="preserve"> </w:t>
      </w:r>
      <w:r>
        <w:rPr>
          <w:rFonts w:ascii="宋体" w:hAnsi="宋体" w:eastAsia="宋体" w:cs="宋体"/>
          <w:spacing w:val="9"/>
          <w:sz w:val="20"/>
          <w:szCs w:val="20"/>
        </w:rPr>
        <w:t>天内与承包人共同确定中标人；</w:t>
      </w:r>
      <w:r>
        <w:rPr>
          <w:rFonts w:ascii="宋体" w:hAnsi="宋体" w:eastAsia="宋体" w:cs="宋体"/>
          <w:spacing w:val="8"/>
          <w:sz w:val="20"/>
          <w:szCs w:val="20"/>
        </w:rPr>
        <w:t>承包人应当在签订合同后</w:t>
      </w:r>
      <w:r>
        <w:rPr>
          <w:rFonts w:ascii="宋体" w:hAnsi="宋体" w:eastAsia="宋体" w:cs="宋体"/>
          <w:spacing w:val="-26"/>
          <w:sz w:val="20"/>
          <w:szCs w:val="20"/>
        </w:rPr>
        <w:t xml:space="preserve"> </w:t>
      </w:r>
      <w:r>
        <w:rPr>
          <w:rFonts w:ascii="宋体" w:hAnsi="宋体" w:eastAsia="宋体" w:cs="宋体"/>
          <w:spacing w:val="8"/>
          <w:sz w:val="20"/>
          <w:szCs w:val="20"/>
        </w:rPr>
        <w:t>7</w:t>
      </w:r>
      <w:r>
        <w:rPr>
          <w:rFonts w:ascii="宋体" w:hAnsi="宋体" w:eastAsia="宋体" w:cs="宋体"/>
          <w:spacing w:val="-34"/>
          <w:sz w:val="20"/>
          <w:szCs w:val="20"/>
        </w:rPr>
        <w:t xml:space="preserve"> </w:t>
      </w:r>
      <w:r>
        <w:rPr>
          <w:rFonts w:ascii="宋体" w:hAnsi="宋体" w:eastAsia="宋体" w:cs="宋体"/>
          <w:spacing w:val="8"/>
          <w:sz w:val="20"/>
          <w:szCs w:val="20"/>
        </w:rPr>
        <w:t>天内，将暂估价合同副本报送发包人留存。</w:t>
      </w:r>
    </w:p>
    <w:p w14:paraId="54B43FD8">
      <w:pPr>
        <w:spacing w:before="3" w:line="345" w:lineRule="auto"/>
        <w:ind w:right="52" w:firstLine="419"/>
        <w:jc w:val="both"/>
        <w:rPr>
          <w:rFonts w:ascii="宋体" w:hAnsi="宋体" w:eastAsia="宋体" w:cs="宋体"/>
          <w:sz w:val="20"/>
          <w:szCs w:val="20"/>
        </w:rPr>
      </w:pPr>
      <w:r>
        <w:rPr>
          <w:rFonts w:ascii="宋体" w:hAnsi="宋体" w:eastAsia="宋体" w:cs="宋体"/>
          <w:spacing w:val="10"/>
          <w:sz w:val="20"/>
          <w:szCs w:val="20"/>
        </w:rPr>
        <w:t>第</w:t>
      </w:r>
      <w:r>
        <w:rPr>
          <w:rFonts w:ascii="宋体" w:hAnsi="宋体" w:eastAsia="宋体" w:cs="宋体"/>
          <w:spacing w:val="-36"/>
          <w:sz w:val="20"/>
          <w:szCs w:val="20"/>
        </w:rPr>
        <w:t xml:space="preserve"> </w:t>
      </w:r>
      <w:r>
        <w:rPr>
          <w:rFonts w:ascii="宋体" w:hAnsi="宋体" w:eastAsia="宋体" w:cs="宋体"/>
          <w:spacing w:val="10"/>
          <w:sz w:val="20"/>
          <w:szCs w:val="20"/>
        </w:rPr>
        <w:t>2</w:t>
      </w:r>
      <w:r>
        <w:rPr>
          <w:rFonts w:ascii="宋体" w:hAnsi="宋体" w:eastAsia="宋体" w:cs="宋体"/>
          <w:spacing w:val="-38"/>
          <w:sz w:val="20"/>
          <w:szCs w:val="20"/>
        </w:rPr>
        <w:t xml:space="preserve"> </w:t>
      </w:r>
      <w:r>
        <w:rPr>
          <w:rFonts w:ascii="宋体" w:hAnsi="宋体" w:eastAsia="宋体" w:cs="宋体"/>
          <w:spacing w:val="10"/>
          <w:sz w:val="20"/>
          <w:szCs w:val="20"/>
        </w:rPr>
        <w:t>种方式：对于依法必须招标的暂估价项目，由发包人和</w:t>
      </w:r>
      <w:r>
        <w:rPr>
          <w:rFonts w:ascii="宋体" w:hAnsi="宋体" w:eastAsia="宋体" w:cs="宋体"/>
          <w:spacing w:val="9"/>
          <w:sz w:val="20"/>
          <w:szCs w:val="20"/>
        </w:rPr>
        <w:t>承包人共同招标确定暂估价供应</w:t>
      </w:r>
      <w:r>
        <w:rPr>
          <w:rFonts w:ascii="宋体" w:hAnsi="宋体" w:eastAsia="宋体" w:cs="宋体"/>
          <w:spacing w:val="7"/>
          <w:sz w:val="20"/>
          <w:szCs w:val="20"/>
        </w:rPr>
        <w:t>商或分包人的，承包人应按照施工进度计划，在招标工作启动前</w:t>
      </w:r>
      <w:r>
        <w:rPr>
          <w:rFonts w:ascii="宋体" w:hAnsi="宋体" w:eastAsia="宋体" w:cs="宋体"/>
          <w:spacing w:val="-21"/>
          <w:sz w:val="20"/>
          <w:szCs w:val="20"/>
        </w:rPr>
        <w:t xml:space="preserve"> </w:t>
      </w:r>
      <w:r>
        <w:rPr>
          <w:rFonts w:ascii="宋体" w:hAnsi="宋体" w:eastAsia="宋体" w:cs="宋体"/>
          <w:spacing w:val="6"/>
          <w:sz w:val="20"/>
          <w:szCs w:val="20"/>
        </w:rPr>
        <w:t>14</w:t>
      </w:r>
      <w:r>
        <w:rPr>
          <w:rFonts w:ascii="宋体" w:hAnsi="宋体" w:eastAsia="宋体" w:cs="宋体"/>
          <w:spacing w:val="-34"/>
          <w:sz w:val="20"/>
          <w:szCs w:val="20"/>
        </w:rPr>
        <w:t xml:space="preserve"> </w:t>
      </w:r>
      <w:r>
        <w:rPr>
          <w:rFonts w:ascii="宋体" w:hAnsi="宋体" w:eastAsia="宋体" w:cs="宋体"/>
          <w:spacing w:val="6"/>
          <w:sz w:val="20"/>
          <w:szCs w:val="20"/>
        </w:rPr>
        <w:t>天通知发包人，并提交暂估价</w:t>
      </w:r>
      <w:r>
        <w:rPr>
          <w:rFonts w:ascii="宋体" w:hAnsi="宋体" w:eastAsia="宋体" w:cs="宋体"/>
          <w:spacing w:val="9"/>
          <w:sz w:val="20"/>
          <w:szCs w:val="20"/>
        </w:rPr>
        <w:t>招标方案和工作分工。发包人应在收到后</w:t>
      </w:r>
      <w:r>
        <w:rPr>
          <w:rFonts w:ascii="宋体" w:hAnsi="宋体" w:eastAsia="宋体" w:cs="宋体"/>
          <w:spacing w:val="-34"/>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w:t>
      </w:r>
      <w:r>
        <w:rPr>
          <w:rFonts w:ascii="宋体" w:hAnsi="宋体" w:eastAsia="宋体" w:cs="宋体"/>
          <w:spacing w:val="8"/>
          <w:sz w:val="20"/>
          <w:szCs w:val="20"/>
        </w:rPr>
        <w:t>确认。确定中标人后，</w:t>
      </w:r>
      <w:r>
        <w:rPr>
          <w:rFonts w:ascii="宋体" w:hAnsi="宋体" w:eastAsia="宋体" w:cs="宋体"/>
          <w:spacing w:val="-58"/>
          <w:sz w:val="20"/>
          <w:szCs w:val="20"/>
        </w:rPr>
        <w:t xml:space="preserve"> </w:t>
      </w:r>
      <w:r>
        <w:rPr>
          <w:rFonts w:ascii="宋体" w:hAnsi="宋体" w:eastAsia="宋体" w:cs="宋体"/>
          <w:spacing w:val="8"/>
          <w:sz w:val="20"/>
          <w:szCs w:val="20"/>
        </w:rPr>
        <w:t>由发包人、承包人与中标人共同签订暂估价合同。</w:t>
      </w:r>
    </w:p>
    <w:p w14:paraId="7B94D00D">
      <w:pPr>
        <w:spacing w:line="226" w:lineRule="auto"/>
        <w:ind w:left="435"/>
        <w:rPr>
          <w:rFonts w:ascii="宋体" w:hAnsi="宋体" w:eastAsia="宋体" w:cs="宋体"/>
          <w:sz w:val="20"/>
          <w:szCs w:val="20"/>
        </w:rPr>
      </w:pPr>
      <w:r>
        <w:rPr>
          <w:rFonts w:ascii="宋体" w:hAnsi="宋体" w:eastAsia="宋体" w:cs="宋体"/>
          <w:b/>
          <w:bCs/>
          <w:spacing w:val="6"/>
          <w:sz w:val="20"/>
          <w:szCs w:val="20"/>
        </w:rPr>
        <w:t>10.7.2</w:t>
      </w:r>
      <w:r>
        <w:rPr>
          <w:rFonts w:ascii="宋体" w:hAnsi="宋体" w:eastAsia="宋体" w:cs="宋体"/>
          <w:spacing w:val="6"/>
          <w:sz w:val="20"/>
          <w:szCs w:val="20"/>
        </w:rPr>
        <w:t xml:space="preserve"> </w:t>
      </w:r>
      <w:r>
        <w:rPr>
          <w:rFonts w:ascii="宋体" w:hAnsi="宋体" w:eastAsia="宋体" w:cs="宋体"/>
          <w:b/>
          <w:bCs/>
          <w:spacing w:val="6"/>
          <w:sz w:val="20"/>
          <w:szCs w:val="20"/>
        </w:rPr>
        <w:t>不属于依法必须招标的暂估价项目</w:t>
      </w:r>
    </w:p>
    <w:p w14:paraId="10D01A8B">
      <w:pPr>
        <w:spacing w:before="129" w:line="346" w:lineRule="auto"/>
        <w:ind w:left="4" w:right="52" w:firstLine="428"/>
        <w:rPr>
          <w:rFonts w:ascii="宋体" w:hAnsi="宋体" w:eastAsia="宋体" w:cs="宋体"/>
          <w:sz w:val="20"/>
          <w:szCs w:val="20"/>
        </w:rPr>
      </w:pPr>
      <w:r>
        <w:rPr>
          <w:rFonts w:ascii="宋体" w:hAnsi="宋体" w:eastAsia="宋体" w:cs="宋体"/>
          <w:spacing w:val="10"/>
          <w:sz w:val="20"/>
          <w:szCs w:val="20"/>
        </w:rPr>
        <w:t>除专用合同条款另有约定外，对于不属于依法必须招标的暂估</w:t>
      </w:r>
      <w:r>
        <w:rPr>
          <w:rFonts w:ascii="宋体" w:hAnsi="宋体" w:eastAsia="宋体" w:cs="宋体"/>
          <w:spacing w:val="9"/>
          <w:sz w:val="20"/>
          <w:szCs w:val="20"/>
        </w:rPr>
        <w:t>价项目，采取以下第</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9"/>
          <w:sz w:val="20"/>
          <w:szCs w:val="20"/>
        </w:rPr>
        <w:t>种方</w:t>
      </w:r>
      <w:r>
        <w:rPr>
          <w:rFonts w:ascii="宋体" w:hAnsi="宋体" w:eastAsia="宋体" w:cs="宋体"/>
          <w:spacing w:val="4"/>
          <w:sz w:val="20"/>
          <w:szCs w:val="20"/>
        </w:rPr>
        <w:t>式确定：</w:t>
      </w:r>
    </w:p>
    <w:p w14:paraId="39E8760E">
      <w:pPr>
        <w:spacing w:line="226" w:lineRule="auto"/>
        <w:ind w:left="420"/>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14"/>
          <w:sz w:val="20"/>
          <w:szCs w:val="20"/>
        </w:rPr>
        <w:t xml:space="preserve"> </w:t>
      </w:r>
      <w:r>
        <w:rPr>
          <w:rFonts w:ascii="宋体" w:hAnsi="宋体" w:eastAsia="宋体" w:cs="宋体"/>
          <w:spacing w:val="8"/>
          <w:sz w:val="20"/>
          <w:szCs w:val="20"/>
        </w:rPr>
        <w:t>1</w:t>
      </w:r>
      <w:r>
        <w:rPr>
          <w:rFonts w:ascii="宋体" w:hAnsi="宋体" w:eastAsia="宋体" w:cs="宋体"/>
          <w:spacing w:val="-38"/>
          <w:sz w:val="20"/>
          <w:szCs w:val="20"/>
        </w:rPr>
        <w:t xml:space="preserve"> </w:t>
      </w:r>
      <w:r>
        <w:rPr>
          <w:rFonts w:ascii="宋体" w:hAnsi="宋体" w:eastAsia="宋体" w:cs="宋体"/>
          <w:spacing w:val="8"/>
          <w:sz w:val="20"/>
          <w:szCs w:val="20"/>
        </w:rPr>
        <w:t>种方式：对于不属于依法必须招标的暂估价项目，按本项约定确认和批准：</w:t>
      </w:r>
    </w:p>
    <w:p w14:paraId="46B86D66">
      <w:pPr>
        <w:spacing w:before="128" w:line="346" w:lineRule="auto"/>
        <w:ind w:firstLine="429"/>
        <w:rPr>
          <w:rFonts w:ascii="宋体" w:hAnsi="宋体" w:eastAsia="宋体" w:cs="宋体"/>
          <w:sz w:val="20"/>
          <w:szCs w:val="20"/>
        </w:rPr>
      </w:pPr>
      <w:r>
        <w:rPr>
          <w:rFonts w:ascii="宋体" w:hAnsi="宋体" w:eastAsia="宋体" w:cs="宋体"/>
          <w:spacing w:val="9"/>
          <w:sz w:val="20"/>
          <w:szCs w:val="20"/>
        </w:rPr>
        <w:t>（1）承包人应根据施工进度计划，在签订暂估价项目的采购合同、分包合同前</w:t>
      </w:r>
      <w:r>
        <w:rPr>
          <w:rFonts w:ascii="宋体" w:hAnsi="宋体" w:eastAsia="宋体" w:cs="宋体"/>
          <w:spacing w:val="-33"/>
          <w:sz w:val="20"/>
          <w:szCs w:val="20"/>
        </w:rPr>
        <w:t xml:space="preserve"> </w:t>
      </w:r>
      <w:r>
        <w:rPr>
          <w:rFonts w:ascii="宋体" w:hAnsi="宋体" w:eastAsia="宋体" w:cs="宋体"/>
          <w:spacing w:val="9"/>
          <w:sz w:val="20"/>
          <w:szCs w:val="20"/>
        </w:rPr>
        <w:t>28</w:t>
      </w:r>
      <w:r>
        <w:rPr>
          <w:rFonts w:ascii="宋体" w:hAnsi="宋体" w:eastAsia="宋体" w:cs="宋体"/>
          <w:spacing w:val="-34"/>
          <w:sz w:val="20"/>
          <w:szCs w:val="20"/>
        </w:rPr>
        <w:t xml:space="preserve"> </w:t>
      </w:r>
      <w:r>
        <w:rPr>
          <w:rFonts w:ascii="宋体" w:hAnsi="宋体" w:eastAsia="宋体" w:cs="宋体"/>
          <w:spacing w:val="9"/>
          <w:sz w:val="20"/>
          <w:szCs w:val="20"/>
        </w:rPr>
        <w:t>天向监理</w:t>
      </w:r>
      <w:r>
        <w:rPr>
          <w:rFonts w:ascii="宋体" w:hAnsi="宋体" w:eastAsia="宋体" w:cs="宋体"/>
          <w:spacing w:val="6"/>
          <w:sz w:val="20"/>
          <w:szCs w:val="20"/>
        </w:rPr>
        <w:t>人提出书面申请。监理人应当在收到申请后</w:t>
      </w:r>
      <w:r>
        <w:rPr>
          <w:rFonts w:ascii="宋体" w:hAnsi="宋体" w:eastAsia="宋体" w:cs="宋体"/>
          <w:spacing w:val="-35"/>
          <w:sz w:val="20"/>
          <w:szCs w:val="20"/>
        </w:rPr>
        <w:t xml:space="preserve"> </w:t>
      </w:r>
      <w:r>
        <w:rPr>
          <w:rFonts w:ascii="宋体" w:hAnsi="宋体" w:eastAsia="宋体" w:cs="宋体"/>
          <w:spacing w:val="6"/>
          <w:sz w:val="20"/>
          <w:szCs w:val="20"/>
        </w:rPr>
        <w:t>3</w:t>
      </w:r>
      <w:r>
        <w:rPr>
          <w:rFonts w:ascii="宋体" w:hAnsi="宋体" w:eastAsia="宋体" w:cs="宋体"/>
          <w:spacing w:val="-34"/>
          <w:sz w:val="20"/>
          <w:szCs w:val="20"/>
        </w:rPr>
        <w:t xml:space="preserve"> </w:t>
      </w:r>
      <w:r>
        <w:rPr>
          <w:rFonts w:ascii="宋体" w:hAnsi="宋体" w:eastAsia="宋体" w:cs="宋体"/>
          <w:spacing w:val="6"/>
          <w:sz w:val="20"/>
          <w:szCs w:val="20"/>
        </w:rPr>
        <w:t>天内报送发包人，发包人应当在收到申请后</w:t>
      </w:r>
      <w:r>
        <w:rPr>
          <w:rFonts w:ascii="宋体" w:hAnsi="宋体" w:eastAsia="宋体" w:cs="宋体"/>
          <w:spacing w:val="-24"/>
          <w:sz w:val="20"/>
          <w:szCs w:val="20"/>
        </w:rPr>
        <w:t xml:space="preserve"> </w:t>
      </w:r>
      <w:r>
        <w:rPr>
          <w:rFonts w:ascii="宋体" w:hAnsi="宋体" w:eastAsia="宋体" w:cs="宋体"/>
          <w:spacing w:val="6"/>
          <w:sz w:val="20"/>
          <w:szCs w:val="20"/>
        </w:rPr>
        <w:t>14</w:t>
      </w:r>
      <w:r>
        <w:rPr>
          <w:rFonts w:ascii="宋体" w:hAnsi="宋体" w:eastAsia="宋体" w:cs="宋体"/>
          <w:spacing w:val="-34"/>
          <w:sz w:val="20"/>
          <w:szCs w:val="20"/>
        </w:rPr>
        <w:t xml:space="preserve"> </w:t>
      </w:r>
      <w:r>
        <w:rPr>
          <w:rFonts w:ascii="宋体" w:hAnsi="宋体" w:eastAsia="宋体" w:cs="宋体"/>
          <w:spacing w:val="6"/>
          <w:sz w:val="20"/>
          <w:szCs w:val="20"/>
        </w:rPr>
        <w:t>天内</w:t>
      </w:r>
      <w:r>
        <w:rPr>
          <w:rFonts w:ascii="宋体" w:hAnsi="宋体" w:eastAsia="宋体" w:cs="宋体"/>
          <w:spacing w:val="7"/>
          <w:sz w:val="20"/>
          <w:szCs w:val="20"/>
        </w:rPr>
        <w:t>给予批准或提出修改意见，发包人逾期未予批准或提出修改</w:t>
      </w:r>
      <w:r>
        <w:rPr>
          <w:rFonts w:ascii="宋体" w:hAnsi="宋体" w:eastAsia="宋体" w:cs="宋体"/>
          <w:spacing w:val="6"/>
          <w:sz w:val="20"/>
          <w:szCs w:val="20"/>
        </w:rPr>
        <w:t>意见的，视为该书面申请已获得同意；</w:t>
      </w:r>
    </w:p>
    <w:p w14:paraId="6860670F">
      <w:pPr>
        <w:spacing w:before="1" w:line="345" w:lineRule="auto"/>
        <w:ind w:right="52" w:firstLine="429"/>
        <w:rPr>
          <w:rFonts w:ascii="宋体" w:hAnsi="宋体" w:eastAsia="宋体" w:cs="宋体"/>
          <w:sz w:val="20"/>
          <w:szCs w:val="20"/>
        </w:rPr>
      </w:pPr>
      <w:r>
        <w:rPr>
          <w:rFonts w:ascii="宋体" w:hAnsi="宋体" w:eastAsia="宋体" w:cs="宋体"/>
          <w:spacing w:val="7"/>
          <w:sz w:val="20"/>
          <w:szCs w:val="20"/>
        </w:rPr>
        <w:t>（2）发包人认为承包人确定的供应商、分包人无法满足工程质量或合同要求的，发包人可以</w:t>
      </w:r>
      <w:r>
        <w:rPr>
          <w:rFonts w:ascii="宋体" w:hAnsi="宋体" w:eastAsia="宋体" w:cs="宋体"/>
          <w:spacing w:val="9"/>
          <w:sz w:val="20"/>
          <w:szCs w:val="20"/>
        </w:rPr>
        <w:t>要求承包人重新确定暂估价项目的供应商、分包人；</w:t>
      </w:r>
    </w:p>
    <w:p w14:paraId="3A60ED72">
      <w:pPr>
        <w:spacing w:line="226" w:lineRule="auto"/>
        <w:ind w:left="430"/>
        <w:rPr>
          <w:rFonts w:ascii="宋体" w:hAnsi="宋体" w:eastAsia="宋体" w:cs="宋体"/>
          <w:sz w:val="20"/>
          <w:szCs w:val="20"/>
        </w:rPr>
      </w:pPr>
      <w:r>
        <w:rPr>
          <w:rFonts w:ascii="宋体" w:hAnsi="宋体" w:eastAsia="宋体" w:cs="宋体"/>
          <w:spacing w:val="8"/>
          <w:sz w:val="20"/>
          <w:szCs w:val="20"/>
        </w:rPr>
        <w:t>（3）承包人应当在签订暂估价合同后</w:t>
      </w:r>
      <w:r>
        <w:rPr>
          <w:rFonts w:ascii="宋体" w:hAnsi="宋体" w:eastAsia="宋体" w:cs="宋体"/>
          <w:spacing w:val="-30"/>
          <w:sz w:val="20"/>
          <w:szCs w:val="20"/>
        </w:rPr>
        <w:t xml:space="preserve"> </w:t>
      </w:r>
      <w:r>
        <w:rPr>
          <w:rFonts w:ascii="宋体" w:hAnsi="宋体" w:eastAsia="宋体" w:cs="宋体"/>
          <w:spacing w:val="8"/>
          <w:sz w:val="20"/>
          <w:szCs w:val="20"/>
        </w:rPr>
        <w:t>7</w:t>
      </w:r>
      <w:r>
        <w:rPr>
          <w:rFonts w:ascii="宋体" w:hAnsi="宋体" w:eastAsia="宋体" w:cs="宋体"/>
          <w:spacing w:val="-34"/>
          <w:sz w:val="20"/>
          <w:szCs w:val="20"/>
        </w:rPr>
        <w:t xml:space="preserve"> </w:t>
      </w:r>
      <w:r>
        <w:rPr>
          <w:rFonts w:ascii="宋体" w:hAnsi="宋体" w:eastAsia="宋体" w:cs="宋体"/>
          <w:spacing w:val="8"/>
          <w:sz w:val="20"/>
          <w:szCs w:val="20"/>
        </w:rPr>
        <w:t>天内，将暂估价合同副本报送发包人留存。</w:t>
      </w:r>
    </w:p>
    <w:p w14:paraId="0DDBA180">
      <w:pPr>
        <w:spacing w:before="129" w:line="346" w:lineRule="auto"/>
        <w:ind w:left="6" w:right="52" w:firstLine="413"/>
        <w:rPr>
          <w:rFonts w:ascii="宋体" w:hAnsi="宋体" w:eastAsia="宋体" w:cs="宋体"/>
          <w:sz w:val="20"/>
          <w:szCs w:val="20"/>
        </w:rPr>
      </w:pPr>
      <w:r>
        <w:rPr>
          <w:rFonts w:ascii="宋体" w:hAnsi="宋体" w:eastAsia="宋体" w:cs="宋体"/>
          <w:spacing w:val="5"/>
          <w:sz w:val="20"/>
          <w:szCs w:val="20"/>
        </w:rPr>
        <w:t>第</w:t>
      </w:r>
      <w:r>
        <w:rPr>
          <w:rFonts w:ascii="宋体" w:hAnsi="宋体" w:eastAsia="宋体" w:cs="宋体"/>
          <w:spacing w:val="-37"/>
          <w:sz w:val="20"/>
          <w:szCs w:val="20"/>
        </w:rPr>
        <w:t xml:space="preserve"> </w:t>
      </w:r>
      <w:r>
        <w:rPr>
          <w:rFonts w:ascii="宋体" w:hAnsi="宋体" w:eastAsia="宋体" w:cs="宋体"/>
          <w:spacing w:val="5"/>
          <w:sz w:val="20"/>
          <w:szCs w:val="20"/>
        </w:rPr>
        <w:t>2</w:t>
      </w:r>
      <w:r>
        <w:rPr>
          <w:rFonts w:ascii="宋体" w:hAnsi="宋体" w:eastAsia="宋体" w:cs="宋体"/>
          <w:spacing w:val="-38"/>
          <w:sz w:val="20"/>
          <w:szCs w:val="20"/>
        </w:rPr>
        <w:t xml:space="preserve"> </w:t>
      </w:r>
      <w:r>
        <w:rPr>
          <w:rFonts w:ascii="宋体" w:hAnsi="宋体" w:eastAsia="宋体" w:cs="宋体"/>
          <w:spacing w:val="5"/>
          <w:sz w:val="20"/>
          <w:szCs w:val="20"/>
        </w:rPr>
        <w:t>种方式：承包人按照第</w:t>
      </w:r>
      <w:r>
        <w:rPr>
          <w:rFonts w:ascii="宋体" w:hAnsi="宋体" w:eastAsia="宋体" w:cs="宋体"/>
          <w:spacing w:val="-24"/>
          <w:sz w:val="20"/>
          <w:szCs w:val="20"/>
        </w:rPr>
        <w:t xml:space="preserve"> </w:t>
      </w:r>
      <w:r>
        <w:rPr>
          <w:rFonts w:ascii="宋体" w:hAnsi="宋体" w:eastAsia="宋体" w:cs="宋体"/>
          <w:spacing w:val="5"/>
          <w:sz w:val="20"/>
          <w:szCs w:val="20"/>
        </w:rPr>
        <w:t>10.7.1</w:t>
      </w:r>
      <w:r>
        <w:rPr>
          <w:rFonts w:ascii="宋体" w:hAnsi="宋体" w:eastAsia="宋体" w:cs="宋体"/>
          <w:spacing w:val="-34"/>
          <w:sz w:val="20"/>
          <w:szCs w:val="20"/>
        </w:rPr>
        <w:t xml:space="preserve"> </w:t>
      </w:r>
      <w:r>
        <w:rPr>
          <w:rFonts w:ascii="宋体" w:hAnsi="宋体" w:eastAsia="宋体" w:cs="宋体"/>
          <w:spacing w:val="5"/>
          <w:sz w:val="20"/>
          <w:szCs w:val="20"/>
        </w:rPr>
        <w:t>项〔依法必须招标的暂估价项目〕约定</w:t>
      </w:r>
      <w:r>
        <w:rPr>
          <w:rFonts w:ascii="宋体" w:hAnsi="宋体" w:eastAsia="宋体" w:cs="宋体"/>
          <w:spacing w:val="4"/>
          <w:sz w:val="20"/>
          <w:szCs w:val="20"/>
        </w:rPr>
        <w:t>的第</w:t>
      </w:r>
      <w:r>
        <w:rPr>
          <w:rFonts w:ascii="宋体" w:hAnsi="宋体" w:eastAsia="宋体" w:cs="宋体"/>
          <w:spacing w:val="-22"/>
          <w:sz w:val="20"/>
          <w:szCs w:val="20"/>
        </w:rPr>
        <w:t xml:space="preserve"> </w:t>
      </w:r>
      <w:r>
        <w:rPr>
          <w:rFonts w:ascii="宋体" w:hAnsi="宋体" w:eastAsia="宋体" w:cs="宋体"/>
          <w:spacing w:val="4"/>
          <w:sz w:val="20"/>
          <w:szCs w:val="20"/>
        </w:rPr>
        <w:t>1</w:t>
      </w:r>
      <w:r>
        <w:rPr>
          <w:rFonts w:ascii="宋体" w:hAnsi="宋体" w:eastAsia="宋体" w:cs="宋体"/>
          <w:spacing w:val="-40"/>
          <w:sz w:val="20"/>
          <w:szCs w:val="20"/>
        </w:rPr>
        <w:t xml:space="preserve"> </w:t>
      </w:r>
      <w:r>
        <w:rPr>
          <w:rFonts w:ascii="宋体" w:hAnsi="宋体" w:eastAsia="宋体" w:cs="宋体"/>
          <w:spacing w:val="4"/>
          <w:sz w:val="20"/>
          <w:szCs w:val="20"/>
        </w:rPr>
        <w:t>种方式确定</w:t>
      </w:r>
      <w:r>
        <w:rPr>
          <w:rFonts w:ascii="宋体" w:hAnsi="宋体" w:eastAsia="宋体" w:cs="宋体"/>
          <w:spacing w:val="5"/>
          <w:sz w:val="20"/>
          <w:szCs w:val="20"/>
        </w:rPr>
        <w:t>暂估价项目。</w:t>
      </w:r>
    </w:p>
    <w:p w14:paraId="638669B9">
      <w:pPr>
        <w:spacing w:line="226" w:lineRule="auto"/>
        <w:ind w:left="420"/>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35"/>
          <w:sz w:val="20"/>
          <w:szCs w:val="20"/>
        </w:rPr>
        <w:t xml:space="preserve"> </w:t>
      </w:r>
      <w:r>
        <w:rPr>
          <w:rFonts w:ascii="宋体" w:hAnsi="宋体" w:eastAsia="宋体" w:cs="宋体"/>
          <w:spacing w:val="8"/>
          <w:sz w:val="20"/>
          <w:szCs w:val="20"/>
        </w:rPr>
        <w:t>3</w:t>
      </w:r>
      <w:r>
        <w:rPr>
          <w:rFonts w:ascii="宋体" w:hAnsi="宋体" w:eastAsia="宋体" w:cs="宋体"/>
          <w:spacing w:val="-38"/>
          <w:sz w:val="20"/>
          <w:szCs w:val="20"/>
        </w:rPr>
        <w:t xml:space="preserve"> </w:t>
      </w:r>
      <w:r>
        <w:rPr>
          <w:rFonts w:ascii="宋体" w:hAnsi="宋体" w:eastAsia="宋体" w:cs="宋体"/>
          <w:spacing w:val="8"/>
          <w:sz w:val="20"/>
          <w:szCs w:val="20"/>
        </w:rPr>
        <w:t>种方式：承包人直接实施的暂估价项目</w:t>
      </w:r>
    </w:p>
    <w:p w14:paraId="7FD4BC51">
      <w:pPr>
        <w:spacing w:before="129" w:line="346" w:lineRule="auto"/>
        <w:ind w:left="3" w:right="52" w:firstLine="416"/>
        <w:rPr>
          <w:rFonts w:ascii="宋体" w:hAnsi="宋体" w:eastAsia="宋体" w:cs="宋体"/>
          <w:sz w:val="20"/>
          <w:szCs w:val="20"/>
        </w:rPr>
      </w:pPr>
      <w:r>
        <w:rPr>
          <w:rFonts w:ascii="宋体" w:hAnsi="宋体" w:eastAsia="宋体" w:cs="宋体"/>
          <w:spacing w:val="10"/>
          <w:sz w:val="20"/>
          <w:szCs w:val="20"/>
        </w:rPr>
        <w:t>承包人具备实施暂估价项目的资格和条件的，经发包人和承包人协商一致后，可由承包人自</w:t>
      </w:r>
      <w:r>
        <w:rPr>
          <w:rFonts w:ascii="宋体" w:hAnsi="宋体" w:eastAsia="宋体" w:cs="宋体"/>
          <w:spacing w:val="9"/>
          <w:sz w:val="20"/>
          <w:szCs w:val="20"/>
        </w:rPr>
        <w:t>行实施暂估价项目，合同当事人可以在专用合同条款约定具体事项。</w:t>
      </w:r>
    </w:p>
    <w:p w14:paraId="4802EE38">
      <w:pPr>
        <w:spacing w:before="1" w:line="346" w:lineRule="auto"/>
        <w:ind w:left="2" w:right="52" w:firstLine="432"/>
        <w:jc w:val="both"/>
        <w:rPr>
          <w:rFonts w:ascii="宋体" w:hAnsi="宋体" w:eastAsia="宋体" w:cs="宋体"/>
          <w:sz w:val="20"/>
          <w:szCs w:val="20"/>
        </w:rPr>
      </w:pPr>
      <w:r>
        <w:rPr>
          <w:rFonts w:ascii="宋体" w:hAnsi="宋体" w:eastAsia="宋体" w:cs="宋体"/>
          <w:spacing w:val="7"/>
          <w:sz w:val="20"/>
          <w:szCs w:val="20"/>
        </w:rPr>
        <w:t>10.7.3 因发包人原因导致暂估价合同订立和履行迟延的，由此增加</w:t>
      </w:r>
      <w:r>
        <w:rPr>
          <w:rFonts w:ascii="宋体" w:hAnsi="宋体" w:eastAsia="宋体" w:cs="宋体"/>
          <w:spacing w:val="6"/>
          <w:sz w:val="20"/>
          <w:szCs w:val="20"/>
        </w:rPr>
        <w:t>的费用和（或）延误的工</w:t>
      </w:r>
      <w:r>
        <w:rPr>
          <w:rFonts w:ascii="宋体" w:hAnsi="宋体" w:eastAsia="宋体" w:cs="宋体"/>
          <w:spacing w:val="10"/>
          <w:sz w:val="20"/>
          <w:szCs w:val="20"/>
        </w:rPr>
        <w:t>期由发包人承担，并支付承包人合理的利润。因承包人原因导致暂估价合同订立和履行迟延的，</w:t>
      </w:r>
      <w:r>
        <w:rPr>
          <w:rFonts w:ascii="宋体" w:hAnsi="宋体" w:eastAsia="宋体" w:cs="宋体"/>
          <w:spacing w:val="9"/>
          <w:sz w:val="20"/>
          <w:szCs w:val="20"/>
        </w:rPr>
        <w:t>由此增加的费用和（或）延误的工期由承包人承</w:t>
      </w:r>
      <w:r>
        <w:rPr>
          <w:rFonts w:ascii="宋体" w:hAnsi="宋体" w:eastAsia="宋体" w:cs="宋体"/>
          <w:spacing w:val="8"/>
          <w:sz w:val="20"/>
          <w:szCs w:val="20"/>
        </w:rPr>
        <w:t>担。</w:t>
      </w:r>
    </w:p>
    <w:p w14:paraId="651EC486">
      <w:pPr>
        <w:spacing w:line="346" w:lineRule="auto"/>
        <w:rPr>
          <w:rFonts w:ascii="宋体" w:hAnsi="宋体" w:eastAsia="宋体" w:cs="宋体"/>
          <w:sz w:val="20"/>
          <w:szCs w:val="20"/>
        </w:rPr>
        <w:sectPr>
          <w:footerReference r:id="rId366" w:type="default"/>
          <w:pgSz w:w="11906" w:h="16839"/>
          <w:pgMar w:top="400" w:right="1480" w:bottom="1446" w:left="1539" w:header="0" w:footer="1284" w:gutter="0"/>
          <w:cols w:space="720" w:num="1"/>
        </w:sectPr>
      </w:pPr>
    </w:p>
    <w:p w14:paraId="6092FD0F">
      <w:pPr>
        <w:spacing w:line="246" w:lineRule="auto"/>
        <w:rPr>
          <w:rFonts w:ascii="Arial"/>
          <w:sz w:val="21"/>
        </w:rPr>
      </w:pPr>
    </w:p>
    <w:p w14:paraId="47F09E10">
      <w:pPr>
        <w:spacing w:line="246" w:lineRule="auto"/>
        <w:rPr>
          <w:rFonts w:ascii="Arial"/>
          <w:sz w:val="21"/>
        </w:rPr>
      </w:pPr>
    </w:p>
    <w:p w14:paraId="146850B0">
      <w:pPr>
        <w:spacing w:line="246" w:lineRule="auto"/>
        <w:rPr>
          <w:rFonts w:ascii="Arial"/>
          <w:sz w:val="21"/>
        </w:rPr>
      </w:pPr>
    </w:p>
    <w:p w14:paraId="158F5D8B">
      <w:pPr>
        <w:spacing w:line="246" w:lineRule="auto"/>
        <w:rPr>
          <w:rFonts w:ascii="Arial"/>
          <w:sz w:val="21"/>
        </w:rPr>
      </w:pPr>
    </w:p>
    <w:p w14:paraId="519133A4">
      <w:pPr>
        <w:spacing w:line="247" w:lineRule="auto"/>
        <w:rPr>
          <w:rFonts w:ascii="Arial"/>
          <w:sz w:val="21"/>
        </w:rPr>
      </w:pPr>
    </w:p>
    <w:p w14:paraId="7554B037">
      <w:pPr>
        <w:spacing w:line="247" w:lineRule="auto"/>
        <w:rPr>
          <w:rFonts w:ascii="Arial"/>
          <w:sz w:val="21"/>
        </w:rPr>
      </w:pPr>
    </w:p>
    <w:p w14:paraId="5C8493DE">
      <w:pPr>
        <w:spacing w:before="65" w:line="228" w:lineRule="auto"/>
        <w:ind w:left="436"/>
        <w:rPr>
          <w:rFonts w:ascii="宋体" w:hAnsi="宋体" w:eastAsia="宋体" w:cs="宋体"/>
          <w:sz w:val="20"/>
          <w:szCs w:val="20"/>
        </w:rPr>
      </w:pPr>
      <w:r>
        <w:rPr>
          <w:rFonts w:ascii="宋体" w:hAnsi="宋体" w:eastAsia="宋体" w:cs="宋体"/>
          <w:b/>
          <w:bCs/>
          <w:spacing w:val="1"/>
          <w:sz w:val="20"/>
          <w:szCs w:val="20"/>
        </w:rPr>
        <w:t>10.8</w:t>
      </w:r>
      <w:r>
        <w:rPr>
          <w:rFonts w:ascii="宋体" w:hAnsi="宋体" w:eastAsia="宋体" w:cs="宋体"/>
          <w:spacing w:val="21"/>
          <w:sz w:val="20"/>
          <w:szCs w:val="20"/>
        </w:rPr>
        <w:t xml:space="preserve"> </w:t>
      </w:r>
      <w:r>
        <w:rPr>
          <w:rFonts w:ascii="宋体" w:hAnsi="宋体" w:eastAsia="宋体" w:cs="宋体"/>
          <w:b/>
          <w:bCs/>
          <w:spacing w:val="1"/>
          <w:sz w:val="20"/>
          <w:szCs w:val="20"/>
        </w:rPr>
        <w:t>暂列金额</w:t>
      </w:r>
    </w:p>
    <w:p w14:paraId="48DF3AE2">
      <w:pPr>
        <w:spacing w:before="126" w:line="346" w:lineRule="auto"/>
        <w:ind w:left="2" w:right="71" w:firstLine="424"/>
        <w:rPr>
          <w:rFonts w:ascii="宋体" w:hAnsi="宋体" w:eastAsia="宋体" w:cs="宋体"/>
          <w:sz w:val="20"/>
          <w:szCs w:val="20"/>
        </w:rPr>
      </w:pPr>
      <w:r>
        <w:rPr>
          <w:rFonts w:ascii="宋体" w:hAnsi="宋体" w:eastAsia="宋体" w:cs="宋体"/>
          <w:spacing w:val="10"/>
          <w:sz w:val="20"/>
          <w:szCs w:val="20"/>
        </w:rPr>
        <w:t>暂列金额应按照发包人的要求使用，发包人的要求应通过监理人发出。合同当事人可以在专</w:t>
      </w:r>
      <w:r>
        <w:rPr>
          <w:rFonts w:ascii="宋体" w:hAnsi="宋体" w:eastAsia="宋体" w:cs="宋体"/>
          <w:spacing w:val="8"/>
          <w:sz w:val="20"/>
          <w:szCs w:val="20"/>
        </w:rPr>
        <w:t>用合同条款中协商确定有关事项。</w:t>
      </w:r>
    </w:p>
    <w:p w14:paraId="2ABC1BF5">
      <w:pPr>
        <w:spacing w:line="229" w:lineRule="auto"/>
        <w:ind w:left="436"/>
        <w:rPr>
          <w:rFonts w:ascii="宋体" w:hAnsi="宋体" w:eastAsia="宋体" w:cs="宋体"/>
          <w:sz w:val="20"/>
          <w:szCs w:val="20"/>
        </w:rPr>
      </w:pPr>
      <w:r>
        <w:rPr>
          <w:rFonts w:ascii="宋体" w:hAnsi="宋体" w:eastAsia="宋体" w:cs="宋体"/>
          <w:b/>
          <w:bCs/>
          <w:spacing w:val="1"/>
          <w:sz w:val="20"/>
          <w:szCs w:val="20"/>
        </w:rPr>
        <w:t>10.9</w:t>
      </w:r>
      <w:r>
        <w:rPr>
          <w:rFonts w:ascii="宋体" w:hAnsi="宋体" w:eastAsia="宋体" w:cs="宋体"/>
          <w:spacing w:val="13"/>
          <w:sz w:val="20"/>
          <w:szCs w:val="20"/>
        </w:rPr>
        <w:t xml:space="preserve"> </w:t>
      </w:r>
      <w:r>
        <w:rPr>
          <w:rFonts w:ascii="宋体" w:hAnsi="宋体" w:eastAsia="宋体" w:cs="宋体"/>
          <w:b/>
          <w:bCs/>
          <w:spacing w:val="1"/>
          <w:sz w:val="20"/>
          <w:szCs w:val="20"/>
        </w:rPr>
        <w:t>计日工</w:t>
      </w:r>
    </w:p>
    <w:p w14:paraId="26C0D4B4">
      <w:pPr>
        <w:spacing w:before="124" w:line="346" w:lineRule="auto"/>
        <w:ind w:right="71" w:firstLine="431"/>
        <w:jc w:val="both"/>
        <w:rPr>
          <w:rFonts w:ascii="宋体" w:hAnsi="宋体" w:eastAsia="宋体" w:cs="宋体"/>
          <w:sz w:val="20"/>
          <w:szCs w:val="20"/>
        </w:rPr>
      </w:pPr>
      <w:r>
        <w:rPr>
          <w:rFonts w:ascii="宋体" w:hAnsi="宋体" w:eastAsia="宋体" w:cs="宋体"/>
          <w:spacing w:val="10"/>
          <w:sz w:val="20"/>
          <w:szCs w:val="20"/>
        </w:rPr>
        <w:t>需要采用计日工方式的，经发包人同意后，由监理人通知承包人以计日工计价方式实施相应</w:t>
      </w:r>
      <w:r>
        <w:rPr>
          <w:rFonts w:ascii="宋体" w:hAnsi="宋体" w:eastAsia="宋体" w:cs="宋体"/>
          <w:spacing w:val="9"/>
          <w:sz w:val="20"/>
          <w:szCs w:val="20"/>
        </w:rPr>
        <w:t>的工作，其价款按列入已标价工程量清单或预算书中的计日工计价项目及其单价进行计算；</w:t>
      </w:r>
      <w:r>
        <w:rPr>
          <w:rFonts w:ascii="宋体" w:hAnsi="宋体" w:eastAsia="宋体" w:cs="宋体"/>
          <w:spacing w:val="-46"/>
          <w:sz w:val="20"/>
          <w:szCs w:val="20"/>
        </w:rPr>
        <w:t xml:space="preserve"> </w:t>
      </w:r>
      <w:r>
        <w:rPr>
          <w:rFonts w:ascii="宋体" w:hAnsi="宋体" w:eastAsia="宋体" w:cs="宋体"/>
          <w:spacing w:val="9"/>
          <w:sz w:val="20"/>
          <w:szCs w:val="20"/>
        </w:rPr>
        <w:t>已标</w:t>
      </w:r>
      <w:r>
        <w:rPr>
          <w:rFonts w:ascii="宋体" w:hAnsi="宋体" w:eastAsia="宋体" w:cs="宋体"/>
          <w:spacing w:val="10"/>
          <w:sz w:val="20"/>
          <w:szCs w:val="20"/>
        </w:rPr>
        <w:t>价工程量清单或预算书中无相应的计日工单价的，按照合理的成本与利润构成的原则，由合同当</w:t>
      </w:r>
      <w:r>
        <w:rPr>
          <w:rFonts w:ascii="宋体" w:hAnsi="宋体" w:eastAsia="宋体" w:cs="宋体"/>
          <w:spacing w:val="8"/>
          <w:sz w:val="20"/>
          <w:szCs w:val="20"/>
        </w:rPr>
        <w:t>事人按照第</w:t>
      </w:r>
      <w:r>
        <w:rPr>
          <w:rFonts w:ascii="宋体" w:hAnsi="宋体" w:eastAsia="宋体" w:cs="宋体"/>
          <w:spacing w:val="-40"/>
          <w:sz w:val="20"/>
          <w:szCs w:val="20"/>
        </w:rPr>
        <w:t xml:space="preserve"> </w:t>
      </w:r>
      <w:r>
        <w:rPr>
          <w:rFonts w:ascii="宋体" w:hAnsi="宋体" w:eastAsia="宋体" w:cs="宋体"/>
          <w:spacing w:val="8"/>
          <w:sz w:val="20"/>
          <w:szCs w:val="20"/>
        </w:rPr>
        <w:t>4.4</w:t>
      </w:r>
      <w:r>
        <w:rPr>
          <w:rFonts w:ascii="宋体" w:hAnsi="宋体" w:eastAsia="宋体" w:cs="宋体"/>
          <w:spacing w:val="-39"/>
          <w:sz w:val="20"/>
          <w:szCs w:val="20"/>
        </w:rPr>
        <w:t xml:space="preserve"> </w:t>
      </w:r>
      <w:r>
        <w:rPr>
          <w:rFonts w:ascii="宋体" w:hAnsi="宋体" w:eastAsia="宋体" w:cs="宋体"/>
          <w:spacing w:val="8"/>
          <w:sz w:val="20"/>
          <w:szCs w:val="20"/>
        </w:rPr>
        <w:t>款〔商定或确定〕确定计日工</w:t>
      </w:r>
      <w:r>
        <w:rPr>
          <w:rFonts w:ascii="宋体" w:hAnsi="宋体" w:eastAsia="宋体" w:cs="宋体"/>
          <w:spacing w:val="7"/>
          <w:sz w:val="20"/>
          <w:szCs w:val="20"/>
        </w:rPr>
        <w:t>的单价。</w:t>
      </w:r>
    </w:p>
    <w:p w14:paraId="42615526">
      <w:pPr>
        <w:spacing w:before="1" w:line="345" w:lineRule="auto"/>
        <w:ind w:left="4" w:right="71" w:firstLine="415"/>
        <w:rPr>
          <w:rFonts w:ascii="宋体" w:hAnsi="宋体" w:eastAsia="宋体" w:cs="宋体"/>
          <w:sz w:val="20"/>
          <w:szCs w:val="20"/>
        </w:rPr>
      </w:pPr>
      <w:r>
        <w:rPr>
          <w:rFonts w:ascii="宋体" w:hAnsi="宋体" w:eastAsia="宋体" w:cs="宋体"/>
          <w:spacing w:val="10"/>
          <w:sz w:val="20"/>
          <w:szCs w:val="20"/>
        </w:rPr>
        <w:t>采用计日工计价的任何一项工作，承包人应在该项工作实施过程中，每天提交以下报表和有</w:t>
      </w:r>
      <w:r>
        <w:rPr>
          <w:rFonts w:ascii="宋体" w:hAnsi="宋体" w:eastAsia="宋体" w:cs="宋体"/>
          <w:spacing w:val="7"/>
          <w:sz w:val="20"/>
          <w:szCs w:val="20"/>
        </w:rPr>
        <w:t>关凭证报送监理人审查：</w:t>
      </w:r>
    </w:p>
    <w:p w14:paraId="22927E75">
      <w:pPr>
        <w:spacing w:line="227" w:lineRule="auto"/>
        <w:ind w:left="430"/>
        <w:rPr>
          <w:rFonts w:ascii="宋体" w:hAnsi="宋体" w:eastAsia="宋体" w:cs="宋体"/>
          <w:sz w:val="20"/>
          <w:szCs w:val="20"/>
        </w:rPr>
      </w:pPr>
      <w:r>
        <w:rPr>
          <w:rFonts w:ascii="宋体" w:hAnsi="宋体" w:eastAsia="宋体" w:cs="宋体"/>
          <w:spacing w:val="4"/>
          <w:sz w:val="20"/>
          <w:szCs w:val="20"/>
        </w:rPr>
        <w:t>（1）工作名称、</w:t>
      </w:r>
      <w:r>
        <w:rPr>
          <w:rFonts w:ascii="宋体" w:hAnsi="宋体" w:eastAsia="宋体" w:cs="宋体"/>
          <w:spacing w:val="-52"/>
          <w:sz w:val="20"/>
          <w:szCs w:val="20"/>
        </w:rPr>
        <w:t xml:space="preserve"> </w:t>
      </w:r>
      <w:r>
        <w:rPr>
          <w:rFonts w:ascii="宋体" w:hAnsi="宋体" w:eastAsia="宋体" w:cs="宋体"/>
          <w:spacing w:val="4"/>
          <w:sz w:val="20"/>
          <w:szCs w:val="20"/>
        </w:rPr>
        <w:t>内容和数量；</w:t>
      </w:r>
    </w:p>
    <w:p w14:paraId="547E4BD0">
      <w:pPr>
        <w:spacing w:before="128" w:line="228" w:lineRule="auto"/>
        <w:ind w:left="430"/>
        <w:rPr>
          <w:rFonts w:ascii="宋体" w:hAnsi="宋体" w:eastAsia="宋体" w:cs="宋体"/>
          <w:sz w:val="20"/>
          <w:szCs w:val="20"/>
        </w:rPr>
      </w:pPr>
      <w:r>
        <w:rPr>
          <w:rFonts w:ascii="宋体" w:hAnsi="宋体" w:eastAsia="宋体" w:cs="宋体"/>
          <w:spacing w:val="9"/>
          <w:sz w:val="20"/>
          <w:szCs w:val="20"/>
        </w:rPr>
        <w:t>（2）投入该工作的所有人员的姓名、专业、工种、级</w:t>
      </w:r>
      <w:r>
        <w:rPr>
          <w:rFonts w:ascii="宋体" w:hAnsi="宋体" w:eastAsia="宋体" w:cs="宋体"/>
          <w:spacing w:val="8"/>
          <w:sz w:val="20"/>
          <w:szCs w:val="20"/>
        </w:rPr>
        <w:t>别和耗用工时；</w:t>
      </w:r>
    </w:p>
    <w:p w14:paraId="4EFF58A2">
      <w:pPr>
        <w:spacing w:before="127" w:line="227" w:lineRule="auto"/>
        <w:ind w:left="430"/>
        <w:rPr>
          <w:rFonts w:ascii="宋体" w:hAnsi="宋体" w:eastAsia="宋体" w:cs="宋体"/>
          <w:sz w:val="20"/>
          <w:szCs w:val="20"/>
        </w:rPr>
      </w:pPr>
      <w:r>
        <w:rPr>
          <w:rFonts w:ascii="宋体" w:hAnsi="宋体" w:eastAsia="宋体" w:cs="宋体"/>
          <w:spacing w:val="7"/>
          <w:sz w:val="20"/>
          <w:szCs w:val="20"/>
        </w:rPr>
        <w:t>（3）投入该工作的材料类别和数量；</w:t>
      </w:r>
    </w:p>
    <w:p w14:paraId="3E39C7E6">
      <w:pPr>
        <w:spacing w:before="128" w:line="228" w:lineRule="auto"/>
        <w:ind w:left="430"/>
        <w:rPr>
          <w:rFonts w:ascii="宋体" w:hAnsi="宋体" w:eastAsia="宋体" w:cs="宋体"/>
          <w:sz w:val="20"/>
          <w:szCs w:val="20"/>
        </w:rPr>
      </w:pPr>
      <w:r>
        <w:rPr>
          <w:rFonts w:ascii="宋体" w:hAnsi="宋体" w:eastAsia="宋体" w:cs="宋体"/>
          <w:spacing w:val="8"/>
          <w:sz w:val="20"/>
          <w:szCs w:val="20"/>
        </w:rPr>
        <w:t>（4）投入该工作的施工设备型号、台数和耗用台时；</w:t>
      </w:r>
    </w:p>
    <w:p w14:paraId="211F5910">
      <w:pPr>
        <w:spacing w:before="128" w:line="228" w:lineRule="auto"/>
        <w:ind w:left="430"/>
        <w:rPr>
          <w:rFonts w:ascii="宋体" w:hAnsi="宋体" w:eastAsia="宋体" w:cs="宋体"/>
          <w:sz w:val="20"/>
          <w:szCs w:val="20"/>
        </w:rPr>
      </w:pPr>
      <w:r>
        <w:rPr>
          <w:rFonts w:ascii="宋体" w:hAnsi="宋体" w:eastAsia="宋体" w:cs="宋体"/>
          <w:spacing w:val="7"/>
          <w:sz w:val="20"/>
          <w:szCs w:val="20"/>
        </w:rPr>
        <w:t>（5）其他有关资料和凭证。</w:t>
      </w:r>
    </w:p>
    <w:p w14:paraId="756A4BB3">
      <w:pPr>
        <w:spacing w:before="128" w:line="347" w:lineRule="auto"/>
        <w:ind w:right="71" w:firstLine="420"/>
        <w:rPr>
          <w:rFonts w:ascii="宋体" w:hAnsi="宋体" w:eastAsia="宋体" w:cs="宋体"/>
          <w:sz w:val="20"/>
          <w:szCs w:val="20"/>
        </w:rPr>
      </w:pPr>
      <w:r>
        <w:rPr>
          <w:rFonts w:ascii="宋体" w:hAnsi="宋体" w:eastAsia="宋体" w:cs="宋体"/>
          <w:spacing w:val="9"/>
          <w:sz w:val="20"/>
          <w:szCs w:val="20"/>
        </w:rPr>
        <w:t>计日工由承包人汇总后，列入最近一期进度付款申请单，</w:t>
      </w:r>
      <w:r>
        <w:rPr>
          <w:rFonts w:ascii="宋体" w:hAnsi="宋体" w:eastAsia="宋体" w:cs="宋体"/>
          <w:spacing w:val="-48"/>
          <w:sz w:val="20"/>
          <w:szCs w:val="20"/>
        </w:rPr>
        <w:t xml:space="preserve"> </w:t>
      </w:r>
      <w:r>
        <w:rPr>
          <w:rFonts w:ascii="宋体" w:hAnsi="宋体" w:eastAsia="宋体" w:cs="宋体"/>
          <w:spacing w:val="9"/>
          <w:sz w:val="20"/>
          <w:szCs w:val="20"/>
        </w:rPr>
        <w:t>由监理人审查并经发包人批准后列</w:t>
      </w:r>
      <w:r>
        <w:rPr>
          <w:rFonts w:ascii="宋体" w:hAnsi="宋体" w:eastAsia="宋体" w:cs="宋体"/>
          <w:spacing w:val="6"/>
          <w:sz w:val="20"/>
          <w:szCs w:val="20"/>
        </w:rPr>
        <w:t>入进度付款。</w:t>
      </w:r>
    </w:p>
    <w:p w14:paraId="07B19D3D">
      <w:pPr>
        <w:spacing w:line="304" w:lineRule="auto"/>
        <w:rPr>
          <w:rFonts w:ascii="Arial"/>
          <w:sz w:val="21"/>
        </w:rPr>
      </w:pPr>
    </w:p>
    <w:p w14:paraId="0F044789">
      <w:pPr>
        <w:spacing w:before="65" w:line="226" w:lineRule="auto"/>
        <w:ind w:left="436"/>
        <w:outlineLvl w:val="2"/>
        <w:rPr>
          <w:rFonts w:ascii="宋体" w:hAnsi="宋体" w:eastAsia="宋体" w:cs="宋体"/>
          <w:sz w:val="20"/>
          <w:szCs w:val="20"/>
        </w:rPr>
      </w:pPr>
      <w:bookmarkStart w:id="316" w:name="bookmark299"/>
      <w:bookmarkEnd w:id="316"/>
      <w:r>
        <w:rPr>
          <w:rFonts w:ascii="宋体" w:hAnsi="宋体" w:eastAsia="宋体" w:cs="宋体"/>
          <w:b/>
          <w:bCs/>
          <w:spacing w:val="3"/>
          <w:sz w:val="20"/>
          <w:szCs w:val="20"/>
        </w:rPr>
        <w:t>11.</w:t>
      </w:r>
      <w:r>
        <w:rPr>
          <w:rFonts w:ascii="宋体" w:hAnsi="宋体" w:eastAsia="宋体" w:cs="宋体"/>
          <w:spacing w:val="3"/>
          <w:sz w:val="20"/>
          <w:szCs w:val="20"/>
        </w:rPr>
        <w:t xml:space="preserve"> </w:t>
      </w:r>
      <w:r>
        <w:rPr>
          <w:rFonts w:ascii="宋体" w:hAnsi="宋体" w:eastAsia="宋体" w:cs="宋体"/>
          <w:b/>
          <w:bCs/>
          <w:spacing w:val="3"/>
          <w:sz w:val="20"/>
          <w:szCs w:val="20"/>
        </w:rPr>
        <w:t>价格调整</w:t>
      </w:r>
    </w:p>
    <w:p w14:paraId="3E1C8FBF">
      <w:pPr>
        <w:spacing w:before="130" w:line="226" w:lineRule="auto"/>
        <w:ind w:left="436"/>
        <w:rPr>
          <w:rFonts w:ascii="宋体" w:hAnsi="宋体" w:eastAsia="宋体" w:cs="宋体"/>
          <w:sz w:val="20"/>
          <w:szCs w:val="20"/>
        </w:rPr>
      </w:pPr>
      <w:r>
        <w:rPr>
          <w:rFonts w:ascii="宋体" w:hAnsi="宋体" w:eastAsia="宋体" w:cs="宋体"/>
          <w:b/>
          <w:bCs/>
          <w:spacing w:val="5"/>
          <w:sz w:val="20"/>
          <w:szCs w:val="20"/>
        </w:rPr>
        <w:t>11.1</w:t>
      </w:r>
      <w:r>
        <w:rPr>
          <w:rFonts w:ascii="宋体" w:hAnsi="宋体" w:eastAsia="宋体" w:cs="宋体"/>
          <w:spacing w:val="5"/>
          <w:sz w:val="20"/>
          <w:szCs w:val="20"/>
        </w:rPr>
        <w:t xml:space="preserve"> </w:t>
      </w:r>
      <w:r>
        <w:rPr>
          <w:rFonts w:ascii="宋体" w:hAnsi="宋体" w:eastAsia="宋体" w:cs="宋体"/>
          <w:b/>
          <w:bCs/>
          <w:spacing w:val="5"/>
          <w:sz w:val="20"/>
          <w:szCs w:val="20"/>
        </w:rPr>
        <w:t>市场价格波动引起的调整</w:t>
      </w:r>
    </w:p>
    <w:p w14:paraId="7FC0117E">
      <w:pPr>
        <w:spacing w:before="128" w:line="346" w:lineRule="auto"/>
        <w:ind w:left="1" w:firstLine="431"/>
        <w:rPr>
          <w:rFonts w:ascii="宋体" w:hAnsi="宋体" w:eastAsia="宋体" w:cs="宋体"/>
          <w:sz w:val="20"/>
          <w:szCs w:val="20"/>
        </w:rPr>
      </w:pPr>
      <w:r>
        <w:rPr>
          <w:rFonts w:ascii="宋体" w:hAnsi="宋体" w:eastAsia="宋体" w:cs="宋体"/>
          <w:spacing w:val="7"/>
          <w:sz w:val="20"/>
          <w:szCs w:val="20"/>
        </w:rPr>
        <w:t>除专用合同条款另有约定外，市场价格波动超过合同当事</w:t>
      </w:r>
      <w:r>
        <w:rPr>
          <w:rFonts w:ascii="宋体" w:hAnsi="宋体" w:eastAsia="宋体" w:cs="宋体"/>
          <w:spacing w:val="6"/>
          <w:sz w:val="20"/>
          <w:szCs w:val="20"/>
        </w:rPr>
        <w:t>人约定的范围，合同价格应当调整。</w:t>
      </w:r>
      <w:r>
        <w:rPr>
          <w:rFonts w:ascii="宋体" w:hAnsi="宋体" w:eastAsia="宋体" w:cs="宋体"/>
          <w:spacing w:val="9"/>
          <w:sz w:val="20"/>
          <w:szCs w:val="20"/>
        </w:rPr>
        <w:t>合同当事人可以在专用合同条款中约定选择以下一种方式对合同价格进行调整：</w:t>
      </w:r>
    </w:p>
    <w:p w14:paraId="1290CB5A">
      <w:pPr>
        <w:spacing w:before="1" w:line="226" w:lineRule="auto"/>
        <w:ind w:left="420"/>
        <w:rPr>
          <w:rFonts w:ascii="宋体" w:hAnsi="宋体" w:eastAsia="宋体" w:cs="宋体"/>
          <w:sz w:val="20"/>
          <w:szCs w:val="20"/>
        </w:rPr>
      </w:pPr>
      <w:r>
        <w:rPr>
          <w:rFonts w:ascii="宋体" w:hAnsi="宋体" w:eastAsia="宋体" w:cs="宋体"/>
          <w:spacing w:val="6"/>
          <w:sz w:val="20"/>
          <w:szCs w:val="20"/>
        </w:rPr>
        <w:t>第</w:t>
      </w:r>
      <w:r>
        <w:rPr>
          <w:rFonts w:ascii="宋体" w:hAnsi="宋体" w:eastAsia="宋体" w:cs="宋体"/>
          <w:spacing w:val="-8"/>
          <w:sz w:val="20"/>
          <w:szCs w:val="20"/>
        </w:rPr>
        <w:t xml:space="preserve"> </w:t>
      </w:r>
      <w:r>
        <w:rPr>
          <w:rFonts w:ascii="宋体" w:hAnsi="宋体" w:eastAsia="宋体" w:cs="宋体"/>
          <w:spacing w:val="6"/>
          <w:sz w:val="20"/>
          <w:szCs w:val="20"/>
        </w:rPr>
        <w:t>1</w:t>
      </w:r>
      <w:r>
        <w:rPr>
          <w:rFonts w:ascii="宋体" w:hAnsi="宋体" w:eastAsia="宋体" w:cs="宋体"/>
          <w:spacing w:val="-38"/>
          <w:sz w:val="20"/>
          <w:szCs w:val="20"/>
        </w:rPr>
        <w:t xml:space="preserve"> </w:t>
      </w:r>
      <w:r>
        <w:rPr>
          <w:rFonts w:ascii="宋体" w:hAnsi="宋体" w:eastAsia="宋体" w:cs="宋体"/>
          <w:spacing w:val="6"/>
          <w:sz w:val="20"/>
          <w:szCs w:val="20"/>
        </w:rPr>
        <w:t>种方式：采用价格指数进行价格调整。</w:t>
      </w:r>
    </w:p>
    <w:p w14:paraId="4C9635C3">
      <w:pPr>
        <w:spacing w:before="129" w:line="226" w:lineRule="auto"/>
        <w:ind w:left="430"/>
        <w:rPr>
          <w:rFonts w:ascii="宋体" w:hAnsi="宋体" w:eastAsia="宋体" w:cs="宋体"/>
          <w:sz w:val="20"/>
          <w:szCs w:val="20"/>
        </w:rPr>
      </w:pPr>
      <w:r>
        <w:rPr>
          <w:rFonts w:ascii="宋体" w:hAnsi="宋体" w:eastAsia="宋体" w:cs="宋体"/>
          <w:spacing w:val="7"/>
          <w:sz w:val="20"/>
          <w:szCs w:val="20"/>
        </w:rPr>
        <w:t>（1）价格调整公式</w:t>
      </w:r>
    </w:p>
    <w:p w14:paraId="39E4CF16">
      <w:pPr>
        <w:spacing w:before="129" w:line="337" w:lineRule="auto"/>
        <w:ind w:left="7" w:right="71" w:firstLine="429"/>
        <w:rPr>
          <w:rFonts w:ascii="宋体" w:hAnsi="宋体" w:eastAsia="宋体" w:cs="宋体"/>
          <w:sz w:val="20"/>
          <w:szCs w:val="20"/>
        </w:rPr>
      </w:pPr>
      <w:r>
        <w:rPr>
          <w:rFonts w:ascii="宋体" w:hAnsi="宋体" w:eastAsia="宋体" w:cs="宋体"/>
          <w:spacing w:val="10"/>
          <w:sz w:val="20"/>
          <w:szCs w:val="20"/>
        </w:rPr>
        <w:t>因人工、材料和设备等价格波动影响合同价格时，根据专用合同条款中约定的数</w:t>
      </w:r>
      <w:r>
        <w:rPr>
          <w:rFonts w:ascii="宋体" w:hAnsi="宋体" w:eastAsia="宋体" w:cs="宋体"/>
          <w:spacing w:val="9"/>
          <w:sz w:val="20"/>
          <w:szCs w:val="20"/>
        </w:rPr>
        <w:t>据，按以下</w:t>
      </w:r>
      <w:r>
        <w:rPr>
          <w:rFonts w:ascii="宋体" w:hAnsi="宋体" w:eastAsia="宋体" w:cs="宋体"/>
          <w:spacing w:val="8"/>
          <w:sz w:val="20"/>
          <w:szCs w:val="20"/>
        </w:rPr>
        <w:t>公式计算差额并调整合同价格：</w:t>
      </w:r>
    </w:p>
    <w:p w14:paraId="31BC26A8">
      <w:pPr>
        <w:spacing w:line="833" w:lineRule="exact"/>
        <w:ind w:left="460"/>
      </w:pPr>
      <w:r>
        <w:rPr>
          <w:position w:val="-17"/>
        </w:rPr>
        <w:drawing>
          <wp:inline distT="0" distB="0" distL="0" distR="0">
            <wp:extent cx="4505960" cy="52895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566"/>
                    <a:stretch>
                      <a:fillRect/>
                    </a:stretch>
                  </pic:blipFill>
                  <pic:spPr>
                    <a:xfrm>
                      <a:off x="0" y="0"/>
                      <a:ext cx="4506151" cy="529178"/>
                    </a:xfrm>
                    <a:prstGeom prst="rect">
                      <a:avLst/>
                    </a:prstGeom>
                  </pic:spPr>
                </pic:pic>
              </a:graphicData>
            </a:graphic>
          </wp:inline>
        </w:drawing>
      </w:r>
    </w:p>
    <w:p w14:paraId="27E519A0">
      <w:pPr>
        <w:spacing w:before="122" w:line="226" w:lineRule="auto"/>
        <w:ind w:left="427"/>
        <w:rPr>
          <w:rFonts w:ascii="宋体" w:hAnsi="宋体" w:eastAsia="宋体" w:cs="宋体"/>
          <w:sz w:val="20"/>
          <w:szCs w:val="20"/>
        </w:rPr>
      </w:pPr>
      <w:r>
        <w:rPr>
          <w:rFonts w:ascii="宋体" w:hAnsi="宋体" w:eastAsia="宋体" w:cs="宋体"/>
          <w:spacing w:val="4"/>
          <w:sz w:val="20"/>
          <w:szCs w:val="20"/>
        </w:rPr>
        <w:t>公式中：</w:t>
      </w:r>
      <w:r>
        <w:rPr>
          <w:rFonts w:ascii="宋体" w:hAnsi="宋体" w:eastAsia="宋体" w:cs="宋体"/>
          <w:spacing w:val="-32"/>
          <w:sz w:val="20"/>
          <w:szCs w:val="20"/>
        </w:rPr>
        <w:t xml:space="preserve"> </w:t>
      </w:r>
      <w:r>
        <w:rPr>
          <w:rFonts w:ascii="宋体" w:hAnsi="宋体" w:eastAsia="宋体" w:cs="宋体"/>
          <w:spacing w:val="4"/>
          <w:sz w:val="20"/>
          <w:szCs w:val="20"/>
        </w:rPr>
        <w:t>ΔP——需调整的价格差额；</w:t>
      </w:r>
    </w:p>
    <w:p w14:paraId="34E6DB89">
      <w:pPr>
        <w:spacing w:before="256" w:line="345" w:lineRule="auto"/>
        <w:ind w:right="71" w:firstLine="1303"/>
        <w:jc w:val="both"/>
        <w:rPr>
          <w:rFonts w:ascii="宋体" w:hAnsi="宋体" w:eastAsia="宋体" w:cs="宋体"/>
          <w:sz w:val="20"/>
          <w:szCs w:val="20"/>
        </w:rPr>
      </w:pPr>
      <w:r>
        <w:rPr>
          <w:rFonts w:ascii="Times New Roman" w:hAnsi="Times New Roman" w:eastAsia="Times New Roman" w:cs="Times New Roman"/>
          <w:spacing w:val="12"/>
          <w:position w:val="1"/>
          <w:sz w:val="30"/>
          <w:szCs w:val="30"/>
        </w:rPr>
        <w:t>P</w:t>
      </w:r>
      <w:r>
        <w:rPr>
          <w:rFonts w:ascii="Times New Roman" w:hAnsi="Times New Roman" w:eastAsia="Times New Roman" w:cs="Times New Roman"/>
          <w:spacing w:val="12"/>
          <w:sz w:val="17"/>
          <w:szCs w:val="17"/>
        </w:rPr>
        <w:t>0</w:t>
      </w:r>
      <w:r>
        <w:rPr>
          <w:rFonts w:ascii="Times New Roman" w:hAnsi="Times New Roman" w:eastAsia="Times New Roman" w:cs="Times New Roman"/>
          <w:spacing w:val="14"/>
          <w:w w:val="101"/>
          <w:sz w:val="17"/>
          <w:szCs w:val="17"/>
        </w:rPr>
        <w:t xml:space="preserve"> </w:t>
      </w:r>
      <w:r>
        <w:rPr>
          <w:rFonts w:ascii="宋体" w:hAnsi="宋体" w:eastAsia="宋体" w:cs="宋体"/>
          <w:spacing w:val="12"/>
          <w:sz w:val="20"/>
          <w:szCs w:val="20"/>
        </w:rPr>
        <w:t>——约定的付款证书中承包人应得到的已完成工程</w:t>
      </w:r>
      <w:r>
        <w:rPr>
          <w:rFonts w:ascii="宋体" w:hAnsi="宋体" w:eastAsia="宋体" w:cs="宋体"/>
          <w:spacing w:val="11"/>
          <w:sz w:val="20"/>
          <w:szCs w:val="20"/>
        </w:rPr>
        <w:t>量的金额。此项金额应不包</w:t>
      </w:r>
      <w:r>
        <w:rPr>
          <w:rFonts w:ascii="宋体" w:hAnsi="宋体" w:eastAsia="宋体" w:cs="宋体"/>
          <w:spacing w:val="10"/>
          <w:sz w:val="20"/>
          <w:szCs w:val="20"/>
        </w:rPr>
        <w:t>括价格调整、不计质量保证金的扣留和支付、预付款的支付和扣回。约定的变更及其他金额已按</w:t>
      </w:r>
      <w:r>
        <w:rPr>
          <w:rFonts w:ascii="宋体" w:hAnsi="宋体" w:eastAsia="宋体" w:cs="宋体"/>
          <w:spacing w:val="8"/>
          <w:sz w:val="20"/>
          <w:szCs w:val="20"/>
        </w:rPr>
        <w:t>现行价格计价的，也不计在内；</w:t>
      </w:r>
    </w:p>
    <w:p w14:paraId="7904A72A">
      <w:pPr>
        <w:spacing w:before="1" w:line="227" w:lineRule="auto"/>
        <w:ind w:left="1254"/>
        <w:rPr>
          <w:rFonts w:ascii="宋体" w:hAnsi="宋体" w:eastAsia="宋体" w:cs="宋体"/>
          <w:sz w:val="20"/>
          <w:szCs w:val="20"/>
        </w:rPr>
      </w:pPr>
      <w:r>
        <w:rPr>
          <w:rFonts w:ascii="宋体" w:hAnsi="宋体" w:eastAsia="宋体" w:cs="宋体"/>
          <w:spacing w:val="9"/>
          <w:sz w:val="20"/>
          <w:szCs w:val="20"/>
        </w:rPr>
        <w:t>A——定值权重（即不调部分的权重</w:t>
      </w:r>
      <w:r>
        <w:rPr>
          <w:rFonts w:ascii="宋体" w:hAnsi="宋体" w:eastAsia="宋体" w:cs="宋体"/>
          <w:spacing w:val="-51"/>
          <w:sz w:val="20"/>
          <w:szCs w:val="20"/>
        </w:rPr>
        <w:t>）；</w:t>
      </w:r>
    </w:p>
    <w:p w14:paraId="6BCDB269">
      <w:pPr>
        <w:spacing w:line="227" w:lineRule="auto"/>
        <w:rPr>
          <w:rFonts w:ascii="宋体" w:hAnsi="宋体" w:eastAsia="宋体" w:cs="宋体"/>
          <w:sz w:val="20"/>
          <w:szCs w:val="20"/>
        </w:rPr>
        <w:sectPr>
          <w:footerReference r:id="rId367" w:type="default"/>
          <w:pgSz w:w="11906" w:h="16839"/>
          <w:pgMar w:top="400" w:right="1462" w:bottom="1446" w:left="1538" w:header="0" w:footer="1284" w:gutter="0"/>
          <w:cols w:space="720" w:num="1"/>
        </w:sectPr>
      </w:pPr>
    </w:p>
    <w:p w14:paraId="7AE8108B">
      <w:pPr>
        <w:spacing w:line="253" w:lineRule="auto"/>
        <w:rPr>
          <w:rFonts w:ascii="Arial"/>
          <w:sz w:val="21"/>
        </w:rPr>
      </w:pPr>
    </w:p>
    <w:p w14:paraId="278B1DFB">
      <w:pPr>
        <w:spacing w:line="253" w:lineRule="auto"/>
        <w:rPr>
          <w:rFonts w:ascii="Arial"/>
          <w:sz w:val="21"/>
        </w:rPr>
      </w:pPr>
    </w:p>
    <w:p w14:paraId="03FD7769">
      <w:pPr>
        <w:spacing w:line="254" w:lineRule="auto"/>
        <w:rPr>
          <w:rFonts w:ascii="Arial"/>
          <w:sz w:val="21"/>
        </w:rPr>
      </w:pPr>
    </w:p>
    <w:p w14:paraId="3D8E9085">
      <w:pPr>
        <w:spacing w:line="254" w:lineRule="auto"/>
        <w:rPr>
          <w:rFonts w:ascii="Arial"/>
          <w:sz w:val="21"/>
        </w:rPr>
      </w:pPr>
    </w:p>
    <w:p w14:paraId="4D61A3B4">
      <w:pPr>
        <w:spacing w:line="254" w:lineRule="auto"/>
        <w:rPr>
          <w:rFonts w:ascii="Arial"/>
          <w:sz w:val="21"/>
        </w:rPr>
      </w:pPr>
    </w:p>
    <w:p w14:paraId="6C936187">
      <w:pPr>
        <w:spacing w:line="254" w:lineRule="auto"/>
        <w:rPr>
          <w:rFonts w:ascii="Arial"/>
          <w:sz w:val="21"/>
        </w:rPr>
      </w:pPr>
    </w:p>
    <w:p w14:paraId="1340D869">
      <w:pPr>
        <w:spacing w:before="89" w:line="312" w:lineRule="auto"/>
        <w:ind w:left="6" w:right="2" w:firstLine="459"/>
        <w:rPr>
          <w:rFonts w:ascii="宋体" w:hAnsi="宋体" w:eastAsia="宋体" w:cs="宋体"/>
          <w:sz w:val="20"/>
          <w:szCs w:val="20"/>
        </w:rPr>
      </w:pPr>
      <w:r>
        <w:rPr>
          <w:rFonts w:ascii="Times New Roman" w:hAnsi="Times New Roman" w:eastAsia="Times New Roman" w:cs="Times New Roman"/>
          <w:spacing w:val="-2"/>
          <w:position w:val="10"/>
          <w:sz w:val="31"/>
          <w:szCs w:val="31"/>
        </w:rPr>
        <w:t>B</w:t>
      </w:r>
      <w:r>
        <w:rPr>
          <w:rFonts w:ascii="Times New Roman" w:hAnsi="Times New Roman" w:eastAsia="Times New Roman" w:cs="Times New Roman"/>
          <w:spacing w:val="-2"/>
          <w:position w:val="10"/>
          <w:sz w:val="18"/>
          <w:szCs w:val="18"/>
        </w:rPr>
        <w:t>1</w:t>
      </w:r>
      <w:r>
        <w:rPr>
          <w:rFonts w:ascii="Times New Roman" w:hAnsi="Times New Roman" w:eastAsia="Times New Roman" w:cs="Times New Roman"/>
          <w:spacing w:val="-22"/>
          <w:position w:val="10"/>
          <w:sz w:val="18"/>
          <w:szCs w:val="18"/>
        </w:rPr>
        <w:t xml:space="preserve"> </w:t>
      </w:r>
      <w:r>
        <w:rPr>
          <w:rFonts w:ascii="Times New Roman" w:hAnsi="Times New Roman" w:eastAsia="Times New Roman" w:cs="Times New Roman"/>
          <w:spacing w:val="-12"/>
          <w:position w:val="10"/>
          <w:sz w:val="31"/>
          <w:szCs w:val="31"/>
        </w:rPr>
        <w:t>;</w:t>
      </w:r>
      <w:r>
        <w:rPr>
          <w:rFonts w:ascii="Times New Roman" w:hAnsi="Times New Roman" w:eastAsia="Times New Roman" w:cs="Times New Roman"/>
          <w:spacing w:val="-36"/>
          <w:position w:val="10"/>
          <w:sz w:val="31"/>
          <w:szCs w:val="31"/>
        </w:rPr>
        <w:t xml:space="preserve"> </w:t>
      </w:r>
      <w:r>
        <w:rPr>
          <w:rFonts w:ascii="Times New Roman" w:hAnsi="Times New Roman" w:eastAsia="Times New Roman" w:cs="Times New Roman"/>
          <w:spacing w:val="-12"/>
          <w:position w:val="10"/>
          <w:sz w:val="31"/>
          <w:szCs w:val="31"/>
        </w:rPr>
        <w:t>B</w:t>
      </w:r>
      <w:r>
        <w:rPr>
          <w:rFonts w:ascii="Times New Roman" w:hAnsi="Times New Roman" w:eastAsia="Times New Roman" w:cs="Times New Roman"/>
          <w:spacing w:val="-1"/>
          <w:position w:val="10"/>
          <w:sz w:val="18"/>
          <w:szCs w:val="18"/>
        </w:rPr>
        <w:t>2</w:t>
      </w:r>
      <w:r>
        <w:rPr>
          <w:rFonts w:ascii="Times New Roman" w:hAnsi="Times New Roman" w:eastAsia="Times New Roman" w:cs="Times New Roman"/>
          <w:spacing w:val="-24"/>
          <w:position w:val="10"/>
          <w:sz w:val="18"/>
          <w:szCs w:val="18"/>
        </w:rPr>
        <w:t xml:space="preserve"> </w:t>
      </w:r>
      <w:r>
        <w:rPr>
          <w:rFonts w:ascii="Times New Roman" w:hAnsi="Times New Roman" w:eastAsia="Times New Roman" w:cs="Times New Roman"/>
          <w:spacing w:val="-12"/>
          <w:position w:val="10"/>
          <w:sz w:val="31"/>
          <w:szCs w:val="31"/>
        </w:rPr>
        <w:t>;</w:t>
      </w:r>
      <w:r>
        <w:rPr>
          <w:rFonts w:ascii="Times New Roman" w:hAnsi="Times New Roman" w:eastAsia="Times New Roman" w:cs="Times New Roman"/>
          <w:spacing w:val="-36"/>
          <w:position w:val="10"/>
          <w:sz w:val="31"/>
          <w:szCs w:val="31"/>
        </w:rPr>
        <w:t xml:space="preserve"> </w:t>
      </w:r>
      <w:r>
        <w:rPr>
          <w:rFonts w:ascii="Times New Roman" w:hAnsi="Times New Roman" w:eastAsia="Times New Roman" w:cs="Times New Roman"/>
          <w:spacing w:val="-12"/>
          <w:position w:val="10"/>
          <w:sz w:val="31"/>
          <w:szCs w:val="31"/>
        </w:rPr>
        <w:t>B</w:t>
      </w:r>
      <w:r>
        <w:rPr>
          <w:rFonts w:ascii="Times New Roman" w:hAnsi="Times New Roman" w:eastAsia="Times New Roman" w:cs="Times New Roman"/>
          <w:spacing w:val="7"/>
          <w:position w:val="10"/>
          <w:sz w:val="18"/>
          <w:szCs w:val="18"/>
        </w:rPr>
        <w:t>3</w:t>
      </w:r>
      <w:r>
        <w:rPr>
          <w:rFonts w:ascii="Times New Roman" w:hAnsi="Times New Roman" w:eastAsia="Times New Roman" w:cs="Times New Roman"/>
          <w:spacing w:val="7"/>
          <w:position w:val="10"/>
          <w:sz w:val="31"/>
          <w:szCs w:val="31"/>
        </w:rPr>
        <w:t>......</w:t>
      </w:r>
      <w:r>
        <w:rPr>
          <w:rFonts w:ascii="Times New Roman" w:hAnsi="Times New Roman" w:eastAsia="Times New Roman" w:cs="Times New Roman"/>
          <w:position w:val="10"/>
          <w:sz w:val="31"/>
          <w:szCs w:val="31"/>
        </w:rPr>
        <w:t>B</w:t>
      </w:r>
      <w:r>
        <w:rPr>
          <w:rFonts w:ascii="Times New Roman" w:hAnsi="Times New Roman" w:eastAsia="Times New Roman" w:cs="Times New Roman"/>
          <w:position w:val="10"/>
          <w:sz w:val="18"/>
          <w:szCs w:val="18"/>
        </w:rPr>
        <w:t>n</w:t>
      </w:r>
      <w:r>
        <w:rPr>
          <w:rFonts w:ascii="Times New Roman" w:hAnsi="Times New Roman" w:eastAsia="Times New Roman" w:cs="Times New Roman"/>
          <w:spacing w:val="32"/>
          <w:w w:val="101"/>
          <w:position w:val="10"/>
          <w:sz w:val="18"/>
          <w:szCs w:val="18"/>
        </w:rPr>
        <w:t xml:space="preserve"> </w:t>
      </w:r>
      <w:r>
        <w:rPr>
          <w:rFonts w:ascii="Times New Roman" w:hAnsi="Times New Roman" w:eastAsia="Times New Roman" w:cs="Times New Roman"/>
          <w:position w:val="10"/>
          <w:sz w:val="18"/>
          <w:szCs w:val="18"/>
          <w:u w:val="single" w:color="auto"/>
        </w:rPr>
        <w:t xml:space="preserve">         </w:t>
      </w:r>
      <w:r>
        <w:rPr>
          <w:rFonts w:ascii="Times New Roman" w:hAnsi="Times New Roman" w:eastAsia="Times New Roman" w:cs="Times New Roman"/>
          <w:spacing w:val="-26"/>
          <w:position w:val="10"/>
          <w:sz w:val="18"/>
          <w:szCs w:val="18"/>
        </w:rPr>
        <w:t xml:space="preserve"> </w:t>
      </w:r>
      <w:r>
        <w:rPr>
          <w:rFonts w:ascii="宋体" w:hAnsi="宋体" w:eastAsia="宋体" w:cs="宋体"/>
          <w:spacing w:val="7"/>
          <w:position w:val="-2"/>
          <w:sz w:val="20"/>
          <w:szCs w:val="20"/>
        </w:rPr>
        <w:t>各可调因子的变值权重（即可调部分的权重</w:t>
      </w:r>
      <w:r>
        <w:rPr>
          <w:rFonts w:ascii="宋体" w:hAnsi="宋体" w:eastAsia="宋体" w:cs="宋体"/>
          <w:spacing w:val="-35"/>
          <w:position w:val="-2"/>
          <w:sz w:val="20"/>
          <w:szCs w:val="20"/>
        </w:rPr>
        <w:t>），</w:t>
      </w:r>
      <w:r>
        <w:rPr>
          <w:rFonts w:ascii="宋体" w:hAnsi="宋体" w:eastAsia="宋体" w:cs="宋体"/>
          <w:spacing w:val="7"/>
          <w:position w:val="-2"/>
          <w:sz w:val="20"/>
          <w:szCs w:val="20"/>
        </w:rPr>
        <w:t>为各可调因子在签</w:t>
      </w:r>
      <w:r>
        <w:rPr>
          <w:rFonts w:ascii="宋体" w:hAnsi="宋体" w:eastAsia="宋体" w:cs="宋体"/>
          <w:spacing w:val="7"/>
          <w:sz w:val="20"/>
          <w:szCs w:val="20"/>
        </w:rPr>
        <w:t>约合同价中所占的比例；</w:t>
      </w:r>
    </w:p>
    <w:p w14:paraId="0DFE74EF">
      <w:pPr>
        <w:spacing w:before="121" w:line="377" w:lineRule="auto"/>
        <w:ind w:left="5" w:firstLine="459"/>
        <w:rPr>
          <w:rFonts w:ascii="宋体" w:hAnsi="宋体" w:eastAsia="宋体" w:cs="宋体"/>
          <w:sz w:val="20"/>
          <w:szCs w:val="20"/>
        </w:rPr>
      </w:pPr>
      <w:r>
        <w:rPr>
          <w:rFonts w:ascii="Times New Roman" w:hAnsi="Times New Roman" w:eastAsia="Times New Roman" w:cs="Times New Roman"/>
          <w:position w:val="1"/>
          <w:sz w:val="30"/>
          <w:szCs w:val="30"/>
        </w:rPr>
        <w:t>F</w:t>
      </w:r>
      <w:r>
        <w:rPr>
          <w:rFonts w:ascii="Times New Roman" w:hAnsi="Times New Roman" w:eastAsia="Times New Roman" w:cs="Times New Roman"/>
          <w:position w:val="1"/>
          <w:sz w:val="17"/>
          <w:szCs w:val="17"/>
        </w:rPr>
        <w:t>t</w:t>
      </w:r>
      <w:r>
        <w:rPr>
          <w:rFonts w:ascii="Times New Roman" w:hAnsi="Times New Roman" w:eastAsia="Times New Roman" w:cs="Times New Roman"/>
          <w:spacing w:val="10"/>
          <w:position w:val="1"/>
          <w:sz w:val="17"/>
          <w:szCs w:val="17"/>
        </w:rPr>
        <w:t>1</w:t>
      </w:r>
      <w:r>
        <w:rPr>
          <w:rFonts w:ascii="Times New Roman" w:hAnsi="Times New Roman" w:eastAsia="Times New Roman" w:cs="Times New Roman"/>
          <w:spacing w:val="10"/>
          <w:position w:val="1"/>
          <w:sz w:val="30"/>
          <w:szCs w:val="30"/>
        </w:rPr>
        <w:t>;</w:t>
      </w:r>
      <w:r>
        <w:rPr>
          <w:rFonts w:ascii="Times New Roman" w:hAnsi="Times New Roman" w:eastAsia="Times New Roman" w:cs="Times New Roman"/>
          <w:spacing w:val="-19"/>
          <w:position w:val="1"/>
          <w:sz w:val="30"/>
          <w:szCs w:val="30"/>
        </w:rPr>
        <w:t xml:space="preserve"> </w:t>
      </w:r>
      <w:r>
        <w:rPr>
          <w:rFonts w:ascii="Times New Roman" w:hAnsi="Times New Roman" w:eastAsia="Times New Roman" w:cs="Times New Roman"/>
          <w:position w:val="1"/>
          <w:sz w:val="30"/>
          <w:szCs w:val="30"/>
        </w:rPr>
        <w:t>F</w:t>
      </w:r>
      <w:r>
        <w:rPr>
          <w:rFonts w:ascii="Times New Roman" w:hAnsi="Times New Roman" w:eastAsia="Times New Roman" w:cs="Times New Roman"/>
          <w:position w:val="1"/>
          <w:sz w:val="17"/>
          <w:szCs w:val="17"/>
        </w:rPr>
        <w:t>t</w:t>
      </w:r>
      <w:r>
        <w:rPr>
          <w:rFonts w:ascii="Times New Roman" w:hAnsi="Times New Roman" w:eastAsia="Times New Roman" w:cs="Times New Roman"/>
          <w:spacing w:val="10"/>
          <w:position w:val="1"/>
          <w:sz w:val="17"/>
          <w:szCs w:val="17"/>
        </w:rPr>
        <w:t>2</w:t>
      </w:r>
      <w:r>
        <w:rPr>
          <w:rFonts w:ascii="Times New Roman" w:hAnsi="Times New Roman" w:eastAsia="Times New Roman" w:cs="Times New Roman"/>
          <w:spacing w:val="10"/>
          <w:position w:val="1"/>
          <w:sz w:val="30"/>
          <w:szCs w:val="30"/>
        </w:rPr>
        <w:t>;</w:t>
      </w:r>
      <w:r>
        <w:rPr>
          <w:rFonts w:ascii="Times New Roman" w:hAnsi="Times New Roman" w:eastAsia="Times New Roman" w:cs="Times New Roman"/>
          <w:spacing w:val="-34"/>
          <w:position w:val="1"/>
          <w:sz w:val="30"/>
          <w:szCs w:val="30"/>
        </w:rPr>
        <w:t xml:space="preserve"> </w:t>
      </w:r>
      <w:r>
        <w:rPr>
          <w:rFonts w:ascii="Times New Roman" w:hAnsi="Times New Roman" w:eastAsia="Times New Roman" w:cs="Times New Roman"/>
          <w:position w:val="1"/>
          <w:sz w:val="30"/>
          <w:szCs w:val="30"/>
        </w:rPr>
        <w:t>F</w:t>
      </w:r>
      <w:r>
        <w:rPr>
          <w:rFonts w:ascii="Times New Roman" w:hAnsi="Times New Roman" w:eastAsia="Times New Roman" w:cs="Times New Roman"/>
          <w:position w:val="1"/>
          <w:sz w:val="17"/>
          <w:szCs w:val="17"/>
        </w:rPr>
        <w:t>t</w:t>
      </w:r>
      <w:r>
        <w:rPr>
          <w:rFonts w:ascii="Times New Roman" w:hAnsi="Times New Roman" w:eastAsia="Times New Roman" w:cs="Times New Roman"/>
          <w:spacing w:val="10"/>
          <w:position w:val="1"/>
          <w:sz w:val="17"/>
          <w:szCs w:val="17"/>
        </w:rPr>
        <w:t>3</w:t>
      </w:r>
      <w:r>
        <w:rPr>
          <w:rFonts w:ascii="Times New Roman" w:hAnsi="Times New Roman" w:eastAsia="Times New Roman" w:cs="Times New Roman"/>
          <w:spacing w:val="-18"/>
          <w:position w:val="1"/>
          <w:sz w:val="17"/>
          <w:szCs w:val="17"/>
        </w:rPr>
        <w:t xml:space="preserve"> </w:t>
      </w:r>
      <w:r>
        <w:rPr>
          <w:rFonts w:ascii="Times New Roman" w:hAnsi="Times New Roman" w:eastAsia="Times New Roman" w:cs="Times New Roman"/>
          <w:spacing w:val="10"/>
          <w:position w:val="1"/>
          <w:sz w:val="17"/>
          <w:szCs w:val="17"/>
          <w:u w:val="dotted" w:color="auto"/>
        </w:rPr>
        <w:t xml:space="preserve">         </w:t>
      </w:r>
      <w:r>
        <w:rPr>
          <w:rFonts w:ascii="Times New Roman" w:hAnsi="Times New Roman" w:eastAsia="Times New Roman" w:cs="Times New Roman"/>
          <w:position w:val="1"/>
          <w:sz w:val="30"/>
          <w:szCs w:val="30"/>
        </w:rPr>
        <w:t>F</w:t>
      </w:r>
      <w:r>
        <w:rPr>
          <w:rFonts w:ascii="Times New Roman" w:hAnsi="Times New Roman" w:eastAsia="Times New Roman" w:cs="Times New Roman"/>
          <w:sz w:val="17"/>
          <w:szCs w:val="17"/>
        </w:rPr>
        <w:t>tn</w:t>
      </w:r>
      <w:r>
        <w:rPr>
          <w:rFonts w:ascii="Times New Roman" w:hAnsi="Times New Roman" w:eastAsia="Times New Roman" w:cs="Times New Roman"/>
          <w:spacing w:val="21"/>
          <w:w w:val="102"/>
          <w:sz w:val="17"/>
          <w:szCs w:val="17"/>
        </w:rPr>
        <w:t xml:space="preserve"> </w:t>
      </w:r>
      <w:r>
        <w:rPr>
          <w:rFonts w:ascii="宋体" w:hAnsi="宋体" w:eastAsia="宋体" w:cs="宋体"/>
          <w:spacing w:val="10"/>
          <w:sz w:val="20"/>
          <w:szCs w:val="20"/>
        </w:rPr>
        <w:t>——各可调因子的现行价格指数，指约定的付款证书相关周期最后一天的前42</w:t>
      </w:r>
      <w:r>
        <w:rPr>
          <w:rFonts w:ascii="宋体" w:hAnsi="宋体" w:eastAsia="宋体" w:cs="宋体"/>
          <w:spacing w:val="-30"/>
          <w:sz w:val="20"/>
          <w:szCs w:val="20"/>
        </w:rPr>
        <w:t xml:space="preserve"> </w:t>
      </w:r>
      <w:r>
        <w:rPr>
          <w:rFonts w:ascii="宋体" w:hAnsi="宋体" w:eastAsia="宋体" w:cs="宋体"/>
          <w:spacing w:val="10"/>
          <w:sz w:val="20"/>
          <w:szCs w:val="20"/>
        </w:rPr>
        <w:t>天的各可调因子的价格指数；</w:t>
      </w:r>
    </w:p>
    <w:p w14:paraId="73A79024">
      <w:pPr>
        <w:spacing w:before="46" w:line="359" w:lineRule="auto"/>
        <w:ind w:left="3" w:right="2" w:firstLine="460"/>
        <w:rPr>
          <w:rFonts w:ascii="宋体" w:hAnsi="宋体" w:eastAsia="宋体" w:cs="宋体"/>
          <w:sz w:val="20"/>
          <w:szCs w:val="20"/>
        </w:rPr>
      </w:pPr>
      <w:r>
        <w:rPr>
          <w:rFonts w:ascii="Times New Roman" w:hAnsi="Times New Roman" w:eastAsia="Times New Roman" w:cs="Times New Roman"/>
          <w:spacing w:val="6"/>
          <w:position w:val="1"/>
          <w:sz w:val="29"/>
          <w:szCs w:val="29"/>
        </w:rPr>
        <w:t>F</w:t>
      </w:r>
      <w:r>
        <w:rPr>
          <w:rFonts w:ascii="Times New Roman" w:hAnsi="Times New Roman" w:eastAsia="Times New Roman" w:cs="Times New Roman"/>
          <w:spacing w:val="6"/>
          <w:position w:val="1"/>
          <w:sz w:val="17"/>
          <w:szCs w:val="17"/>
        </w:rPr>
        <w:t>01</w:t>
      </w:r>
      <w:r>
        <w:rPr>
          <w:rFonts w:ascii="Times New Roman" w:hAnsi="Times New Roman" w:eastAsia="Times New Roman" w:cs="Times New Roman"/>
          <w:spacing w:val="6"/>
          <w:position w:val="1"/>
          <w:sz w:val="29"/>
          <w:szCs w:val="29"/>
        </w:rPr>
        <w:t>;</w:t>
      </w:r>
      <w:r>
        <w:rPr>
          <w:rFonts w:ascii="Times New Roman" w:hAnsi="Times New Roman" w:eastAsia="Times New Roman" w:cs="Times New Roman"/>
          <w:spacing w:val="-33"/>
          <w:position w:val="1"/>
          <w:sz w:val="29"/>
          <w:szCs w:val="29"/>
        </w:rPr>
        <w:t xml:space="preserve"> </w:t>
      </w:r>
      <w:r>
        <w:rPr>
          <w:rFonts w:ascii="Times New Roman" w:hAnsi="Times New Roman" w:eastAsia="Times New Roman" w:cs="Times New Roman"/>
          <w:spacing w:val="6"/>
          <w:position w:val="1"/>
          <w:sz w:val="29"/>
          <w:szCs w:val="29"/>
        </w:rPr>
        <w:t>F</w:t>
      </w:r>
      <w:r>
        <w:rPr>
          <w:rFonts w:ascii="Times New Roman" w:hAnsi="Times New Roman" w:eastAsia="Times New Roman" w:cs="Times New Roman"/>
          <w:spacing w:val="6"/>
          <w:position w:val="1"/>
          <w:sz w:val="17"/>
          <w:szCs w:val="17"/>
        </w:rPr>
        <w:t>02</w:t>
      </w:r>
      <w:r>
        <w:rPr>
          <w:rFonts w:ascii="Times New Roman" w:hAnsi="Times New Roman" w:eastAsia="Times New Roman" w:cs="Times New Roman"/>
          <w:spacing w:val="6"/>
          <w:position w:val="1"/>
          <w:sz w:val="29"/>
          <w:szCs w:val="29"/>
        </w:rPr>
        <w:t>;</w:t>
      </w:r>
      <w:r>
        <w:rPr>
          <w:rFonts w:ascii="Times New Roman" w:hAnsi="Times New Roman" w:eastAsia="Times New Roman" w:cs="Times New Roman"/>
          <w:spacing w:val="-33"/>
          <w:position w:val="1"/>
          <w:sz w:val="29"/>
          <w:szCs w:val="29"/>
        </w:rPr>
        <w:t xml:space="preserve"> </w:t>
      </w:r>
      <w:r>
        <w:rPr>
          <w:rFonts w:ascii="Times New Roman" w:hAnsi="Times New Roman" w:eastAsia="Times New Roman" w:cs="Times New Roman"/>
          <w:spacing w:val="6"/>
          <w:position w:val="1"/>
          <w:sz w:val="29"/>
          <w:szCs w:val="29"/>
        </w:rPr>
        <w:t>F</w:t>
      </w:r>
      <w:r>
        <w:rPr>
          <w:rFonts w:ascii="Times New Roman" w:hAnsi="Times New Roman" w:eastAsia="Times New Roman" w:cs="Times New Roman"/>
          <w:spacing w:val="6"/>
          <w:position w:val="1"/>
          <w:sz w:val="17"/>
          <w:szCs w:val="17"/>
        </w:rPr>
        <w:t>03</w:t>
      </w:r>
      <w:r>
        <w:rPr>
          <w:rFonts w:ascii="Times New Roman" w:hAnsi="Times New Roman" w:eastAsia="Times New Roman" w:cs="Times New Roman"/>
          <w:spacing w:val="-20"/>
          <w:position w:val="1"/>
          <w:sz w:val="17"/>
          <w:szCs w:val="17"/>
        </w:rPr>
        <w:t xml:space="preserve"> </w:t>
      </w:r>
      <w:r>
        <w:rPr>
          <w:rFonts w:ascii="Times New Roman" w:hAnsi="Times New Roman" w:eastAsia="Times New Roman" w:cs="Times New Roman"/>
          <w:spacing w:val="6"/>
          <w:position w:val="1"/>
          <w:sz w:val="17"/>
          <w:szCs w:val="17"/>
          <w:u w:val="dotted" w:color="auto"/>
        </w:rPr>
        <w:t xml:space="preserve">         </w:t>
      </w:r>
      <w:r>
        <w:rPr>
          <w:rFonts w:ascii="Times New Roman" w:hAnsi="Times New Roman" w:eastAsia="Times New Roman" w:cs="Times New Roman"/>
          <w:spacing w:val="6"/>
          <w:position w:val="1"/>
          <w:sz w:val="29"/>
          <w:szCs w:val="29"/>
        </w:rPr>
        <w:t>F</w:t>
      </w:r>
      <w:r>
        <w:rPr>
          <w:rFonts w:ascii="Times New Roman" w:hAnsi="Times New Roman" w:eastAsia="Times New Roman" w:cs="Times New Roman"/>
          <w:spacing w:val="6"/>
          <w:position w:val="1"/>
          <w:sz w:val="17"/>
          <w:szCs w:val="17"/>
        </w:rPr>
        <w:t xml:space="preserve">0n  </w:t>
      </w:r>
      <w:r>
        <w:rPr>
          <w:rFonts w:ascii="宋体" w:hAnsi="宋体" w:eastAsia="宋体" w:cs="宋体"/>
          <w:spacing w:val="6"/>
          <w:sz w:val="20"/>
          <w:szCs w:val="20"/>
        </w:rPr>
        <w:t>——各可调因子的基本价格指数，</w:t>
      </w:r>
      <w:r>
        <w:rPr>
          <w:rFonts w:ascii="宋体" w:hAnsi="宋体" w:eastAsia="宋体" w:cs="宋体"/>
          <w:spacing w:val="5"/>
          <w:sz w:val="20"/>
          <w:szCs w:val="20"/>
        </w:rPr>
        <w:t>指基准日期的各可调因子的价格指</w:t>
      </w:r>
      <w:r>
        <w:rPr>
          <w:rFonts w:ascii="宋体" w:hAnsi="宋体" w:eastAsia="宋体" w:cs="宋体"/>
          <w:spacing w:val="-1"/>
          <w:sz w:val="20"/>
          <w:szCs w:val="20"/>
        </w:rPr>
        <w:t>数。</w:t>
      </w:r>
    </w:p>
    <w:p w14:paraId="2F1477B2">
      <w:pPr>
        <w:spacing w:before="2" w:line="345" w:lineRule="auto"/>
        <w:ind w:right="2" w:firstLine="444"/>
        <w:jc w:val="both"/>
        <w:rPr>
          <w:rFonts w:ascii="宋体" w:hAnsi="宋体" w:eastAsia="宋体" w:cs="宋体"/>
          <w:sz w:val="20"/>
          <w:szCs w:val="20"/>
        </w:rPr>
      </w:pPr>
      <w:r>
        <w:rPr>
          <w:rFonts w:ascii="宋体" w:hAnsi="宋体" w:eastAsia="宋体" w:cs="宋体"/>
          <w:spacing w:val="9"/>
          <w:sz w:val="20"/>
          <w:szCs w:val="20"/>
        </w:rPr>
        <w:t>以上价格调整公式中的各可调因子、定值和变值权重，</w:t>
      </w:r>
      <w:r>
        <w:rPr>
          <w:rFonts w:ascii="宋体" w:hAnsi="宋体" w:eastAsia="宋体" w:cs="宋体"/>
          <w:spacing w:val="-60"/>
          <w:sz w:val="20"/>
          <w:szCs w:val="20"/>
        </w:rPr>
        <w:t xml:space="preserve"> </w:t>
      </w:r>
      <w:r>
        <w:rPr>
          <w:rFonts w:ascii="宋体" w:hAnsi="宋体" w:eastAsia="宋体" w:cs="宋体"/>
          <w:spacing w:val="9"/>
          <w:sz w:val="20"/>
          <w:szCs w:val="20"/>
        </w:rPr>
        <w:t>以及基本</w:t>
      </w:r>
      <w:r>
        <w:rPr>
          <w:rFonts w:ascii="宋体" w:hAnsi="宋体" w:eastAsia="宋体" w:cs="宋体"/>
          <w:spacing w:val="8"/>
          <w:sz w:val="20"/>
          <w:szCs w:val="20"/>
        </w:rPr>
        <w:t>价格指数及其来源在投标函</w:t>
      </w:r>
      <w:r>
        <w:rPr>
          <w:rFonts w:ascii="宋体" w:hAnsi="宋体" w:eastAsia="宋体" w:cs="宋体"/>
          <w:spacing w:val="9"/>
          <w:sz w:val="20"/>
          <w:szCs w:val="20"/>
        </w:rPr>
        <w:t>附录价格指数和权重表中约定，非招标订立的合同，</w:t>
      </w:r>
      <w:r>
        <w:rPr>
          <w:rFonts w:ascii="宋体" w:hAnsi="宋体" w:eastAsia="宋体" w:cs="宋体"/>
          <w:spacing w:val="-45"/>
          <w:sz w:val="20"/>
          <w:szCs w:val="20"/>
        </w:rPr>
        <w:t xml:space="preserve"> </w:t>
      </w:r>
      <w:r>
        <w:rPr>
          <w:rFonts w:ascii="宋体" w:hAnsi="宋体" w:eastAsia="宋体" w:cs="宋体"/>
          <w:spacing w:val="9"/>
          <w:sz w:val="20"/>
          <w:szCs w:val="20"/>
        </w:rPr>
        <w:t>由合同当事人在专用合同条款中约定。价格</w:t>
      </w:r>
      <w:r>
        <w:rPr>
          <w:rFonts w:ascii="宋体" w:hAnsi="宋体" w:eastAsia="宋体" w:cs="宋体"/>
          <w:spacing w:val="10"/>
          <w:sz w:val="20"/>
          <w:szCs w:val="20"/>
        </w:rPr>
        <w:t>指数应首先采用湖北省工程造价管理机构发布的价格指数，无前述价格指数时，可采用湖北省工</w:t>
      </w:r>
      <w:r>
        <w:rPr>
          <w:rFonts w:ascii="宋体" w:hAnsi="宋体" w:eastAsia="宋体" w:cs="宋体"/>
          <w:spacing w:val="8"/>
          <w:sz w:val="20"/>
          <w:szCs w:val="20"/>
        </w:rPr>
        <w:t>程造价管理机构发布的价格代替。</w:t>
      </w:r>
    </w:p>
    <w:p w14:paraId="44DD279B">
      <w:pPr>
        <w:spacing w:line="227" w:lineRule="auto"/>
        <w:ind w:left="431"/>
        <w:rPr>
          <w:rFonts w:ascii="宋体" w:hAnsi="宋体" w:eastAsia="宋体" w:cs="宋体"/>
          <w:sz w:val="20"/>
          <w:szCs w:val="20"/>
        </w:rPr>
      </w:pPr>
      <w:r>
        <w:rPr>
          <w:rFonts w:ascii="宋体" w:hAnsi="宋体" w:eastAsia="宋体" w:cs="宋体"/>
          <w:spacing w:val="7"/>
          <w:sz w:val="20"/>
          <w:szCs w:val="20"/>
        </w:rPr>
        <w:t>（2）暂时确定调整差额</w:t>
      </w:r>
    </w:p>
    <w:p w14:paraId="0E913C45">
      <w:pPr>
        <w:spacing w:before="127" w:line="346" w:lineRule="auto"/>
        <w:ind w:left="3" w:right="2" w:firstLine="417"/>
        <w:rPr>
          <w:rFonts w:ascii="宋体" w:hAnsi="宋体" w:eastAsia="宋体" w:cs="宋体"/>
          <w:sz w:val="20"/>
          <w:szCs w:val="20"/>
        </w:rPr>
      </w:pPr>
      <w:r>
        <w:rPr>
          <w:rFonts w:ascii="宋体" w:hAnsi="宋体" w:eastAsia="宋体" w:cs="宋体"/>
          <w:spacing w:val="10"/>
          <w:sz w:val="20"/>
          <w:szCs w:val="20"/>
        </w:rPr>
        <w:t>在计算调整差额时无现行价格指数的，合同当事人同意暂用前次价格指数计算。实际价格指</w:t>
      </w:r>
      <w:r>
        <w:rPr>
          <w:rFonts w:ascii="宋体" w:hAnsi="宋体" w:eastAsia="宋体" w:cs="宋体"/>
          <w:spacing w:val="8"/>
          <w:sz w:val="20"/>
          <w:szCs w:val="20"/>
        </w:rPr>
        <w:t>数有调整的，合同当事人进行相应调整。</w:t>
      </w:r>
    </w:p>
    <w:p w14:paraId="0365F0D6">
      <w:pPr>
        <w:spacing w:before="1" w:line="227" w:lineRule="auto"/>
        <w:ind w:left="431"/>
        <w:rPr>
          <w:rFonts w:ascii="宋体" w:hAnsi="宋体" w:eastAsia="宋体" w:cs="宋体"/>
          <w:sz w:val="20"/>
          <w:szCs w:val="20"/>
        </w:rPr>
      </w:pPr>
      <w:r>
        <w:rPr>
          <w:rFonts w:ascii="宋体" w:hAnsi="宋体" w:eastAsia="宋体" w:cs="宋体"/>
          <w:spacing w:val="6"/>
          <w:sz w:val="20"/>
          <w:szCs w:val="20"/>
        </w:rPr>
        <w:t>（3）权重的调整</w:t>
      </w:r>
    </w:p>
    <w:p w14:paraId="1417A872">
      <w:pPr>
        <w:spacing w:before="127" w:line="228" w:lineRule="auto"/>
        <w:ind w:left="437"/>
        <w:rPr>
          <w:rFonts w:ascii="宋体" w:hAnsi="宋体" w:eastAsia="宋体" w:cs="宋体"/>
          <w:sz w:val="20"/>
          <w:szCs w:val="20"/>
        </w:rPr>
      </w:pPr>
      <w:r>
        <w:rPr>
          <w:rFonts w:ascii="宋体" w:hAnsi="宋体" w:eastAsia="宋体" w:cs="宋体"/>
          <w:spacing w:val="10"/>
          <w:sz w:val="20"/>
          <w:szCs w:val="20"/>
        </w:rPr>
        <w:t>因变更导致合同约定的权重不合理时，按照第4.4</w:t>
      </w:r>
      <w:r>
        <w:rPr>
          <w:rFonts w:ascii="宋体" w:hAnsi="宋体" w:eastAsia="宋体" w:cs="宋体"/>
          <w:spacing w:val="-39"/>
          <w:sz w:val="20"/>
          <w:szCs w:val="20"/>
        </w:rPr>
        <w:t xml:space="preserve"> </w:t>
      </w:r>
      <w:r>
        <w:rPr>
          <w:rFonts w:ascii="宋体" w:hAnsi="宋体" w:eastAsia="宋体" w:cs="宋体"/>
          <w:spacing w:val="10"/>
          <w:sz w:val="20"/>
          <w:szCs w:val="20"/>
        </w:rPr>
        <w:t>款〔</w:t>
      </w:r>
      <w:r>
        <w:rPr>
          <w:rFonts w:ascii="宋体" w:hAnsi="宋体" w:eastAsia="宋体" w:cs="宋体"/>
          <w:spacing w:val="9"/>
          <w:sz w:val="20"/>
          <w:szCs w:val="20"/>
        </w:rPr>
        <w:t>商定或确定〕执行。</w:t>
      </w:r>
    </w:p>
    <w:p w14:paraId="0E3A02B8">
      <w:pPr>
        <w:spacing w:before="128" w:line="226" w:lineRule="auto"/>
        <w:ind w:left="431"/>
        <w:rPr>
          <w:rFonts w:ascii="宋体" w:hAnsi="宋体" w:eastAsia="宋体" w:cs="宋体"/>
          <w:sz w:val="20"/>
          <w:szCs w:val="20"/>
        </w:rPr>
      </w:pPr>
      <w:r>
        <w:rPr>
          <w:rFonts w:ascii="宋体" w:hAnsi="宋体" w:eastAsia="宋体" w:cs="宋体"/>
          <w:spacing w:val="8"/>
          <w:sz w:val="20"/>
          <w:szCs w:val="20"/>
        </w:rPr>
        <w:t>（4）因承包人原因工期延误后的价格调整</w:t>
      </w:r>
    </w:p>
    <w:p w14:paraId="31B5F150">
      <w:pPr>
        <w:spacing w:before="129" w:line="346" w:lineRule="auto"/>
        <w:ind w:left="5" w:right="2" w:firstLine="432"/>
        <w:rPr>
          <w:rFonts w:ascii="宋体" w:hAnsi="宋体" w:eastAsia="宋体" w:cs="宋体"/>
          <w:sz w:val="20"/>
          <w:szCs w:val="20"/>
        </w:rPr>
      </w:pPr>
      <w:r>
        <w:rPr>
          <w:rFonts w:ascii="宋体" w:hAnsi="宋体" w:eastAsia="宋体" w:cs="宋体"/>
          <w:spacing w:val="10"/>
          <w:sz w:val="20"/>
          <w:szCs w:val="20"/>
        </w:rPr>
        <w:t>因承包人原因未按期竣工的，对合同约定的竣工日期后继续施工的工程，在使用</w:t>
      </w:r>
      <w:r>
        <w:rPr>
          <w:rFonts w:ascii="宋体" w:hAnsi="宋体" w:eastAsia="宋体" w:cs="宋体"/>
          <w:spacing w:val="9"/>
          <w:sz w:val="20"/>
          <w:szCs w:val="20"/>
        </w:rPr>
        <w:t>价格调整公式时，应采用计划竣工日期与实际竣工日期的两个价格指数中较低的一个作为现行价格指数。</w:t>
      </w:r>
    </w:p>
    <w:p w14:paraId="69525539">
      <w:pPr>
        <w:spacing w:line="226" w:lineRule="auto"/>
        <w:ind w:left="421"/>
        <w:rPr>
          <w:rFonts w:ascii="宋体" w:hAnsi="宋体" w:eastAsia="宋体" w:cs="宋体"/>
          <w:sz w:val="20"/>
          <w:szCs w:val="20"/>
        </w:rPr>
      </w:pPr>
      <w:r>
        <w:rPr>
          <w:rFonts w:ascii="宋体" w:hAnsi="宋体" w:eastAsia="宋体" w:cs="宋体"/>
          <w:spacing w:val="7"/>
          <w:sz w:val="20"/>
          <w:szCs w:val="20"/>
        </w:rPr>
        <w:t>第</w:t>
      </w:r>
      <w:r>
        <w:rPr>
          <w:rFonts w:ascii="宋体" w:hAnsi="宋体" w:eastAsia="宋体" w:cs="宋体"/>
          <w:spacing w:val="-27"/>
          <w:sz w:val="20"/>
          <w:szCs w:val="20"/>
        </w:rPr>
        <w:t xml:space="preserve"> </w:t>
      </w:r>
      <w:r>
        <w:rPr>
          <w:rFonts w:ascii="宋体" w:hAnsi="宋体" w:eastAsia="宋体" w:cs="宋体"/>
          <w:spacing w:val="7"/>
          <w:sz w:val="20"/>
          <w:szCs w:val="20"/>
        </w:rPr>
        <w:t>2</w:t>
      </w:r>
      <w:r>
        <w:rPr>
          <w:rFonts w:ascii="宋体" w:hAnsi="宋体" w:eastAsia="宋体" w:cs="宋体"/>
          <w:spacing w:val="-38"/>
          <w:sz w:val="20"/>
          <w:szCs w:val="20"/>
        </w:rPr>
        <w:t xml:space="preserve"> </w:t>
      </w:r>
      <w:r>
        <w:rPr>
          <w:rFonts w:ascii="宋体" w:hAnsi="宋体" w:eastAsia="宋体" w:cs="宋体"/>
          <w:spacing w:val="7"/>
          <w:sz w:val="20"/>
          <w:szCs w:val="20"/>
        </w:rPr>
        <w:t>种方式：采用造价信息进行价格调整。</w:t>
      </w:r>
    </w:p>
    <w:p w14:paraId="7DC5AE4E">
      <w:pPr>
        <w:spacing w:before="127" w:line="346" w:lineRule="auto"/>
        <w:ind w:right="2" w:firstLine="421"/>
        <w:rPr>
          <w:rFonts w:ascii="宋体" w:hAnsi="宋体" w:eastAsia="宋体" w:cs="宋体"/>
          <w:sz w:val="20"/>
          <w:szCs w:val="20"/>
        </w:rPr>
      </w:pPr>
      <w:r>
        <w:rPr>
          <w:rFonts w:ascii="宋体" w:hAnsi="宋体" w:eastAsia="宋体" w:cs="宋体"/>
          <w:spacing w:val="10"/>
          <w:sz w:val="20"/>
          <w:szCs w:val="20"/>
        </w:rPr>
        <w:t>合同履行期间，因人工、材料、工程设备和机械台班价格波动影响合同价格时，人工、机械使用费按照国家或湖北省建设行政管理部门、行业建设管理部门或其授权的工程造价管理机构发布的人工、机械使用费系数进行调整；需要进行价格调整的材料，其单价和采购数量报发包人核</w:t>
      </w:r>
      <w:r>
        <w:rPr>
          <w:rFonts w:ascii="宋体" w:hAnsi="宋体" w:eastAsia="宋体" w:cs="宋体"/>
          <w:spacing w:val="9"/>
          <w:sz w:val="20"/>
          <w:szCs w:val="20"/>
        </w:rPr>
        <w:t>对确认，发包人确认需调整的材料单价及数量，作为调整合同价格的依据。</w:t>
      </w:r>
    </w:p>
    <w:p w14:paraId="2DC95435">
      <w:pPr>
        <w:spacing w:before="2" w:line="345" w:lineRule="auto"/>
        <w:ind w:right="2" w:firstLine="431"/>
        <w:rPr>
          <w:rFonts w:ascii="宋体" w:hAnsi="宋体" w:eastAsia="宋体" w:cs="宋体"/>
          <w:sz w:val="20"/>
          <w:szCs w:val="20"/>
        </w:rPr>
      </w:pPr>
      <w:r>
        <w:rPr>
          <w:rFonts w:ascii="宋体" w:hAnsi="宋体" w:eastAsia="宋体" w:cs="宋体"/>
          <w:spacing w:val="7"/>
          <w:sz w:val="20"/>
          <w:szCs w:val="20"/>
        </w:rPr>
        <w:t>（1）人工单价发生变化且符合湖北省建设行政主管部门发布的人工费调整规定，合同当事人</w:t>
      </w:r>
      <w:r>
        <w:rPr>
          <w:rFonts w:ascii="宋体" w:hAnsi="宋体" w:eastAsia="宋体" w:cs="宋体"/>
          <w:spacing w:val="10"/>
          <w:sz w:val="20"/>
          <w:szCs w:val="20"/>
        </w:rPr>
        <w:t>应按湖北省建设行政主管部门或其授权的工程造价管理机构发布的人工费等文件调整合同价格，</w:t>
      </w:r>
      <w:r>
        <w:rPr>
          <w:rFonts w:ascii="宋体" w:hAnsi="宋体" w:eastAsia="宋体" w:cs="宋体"/>
          <w:spacing w:val="9"/>
          <w:sz w:val="20"/>
          <w:szCs w:val="20"/>
        </w:rPr>
        <w:t>但承包人对人工费或人工单价的报价高于发布价格的除外。</w:t>
      </w:r>
    </w:p>
    <w:p w14:paraId="691C3602">
      <w:pPr>
        <w:spacing w:before="2" w:line="345" w:lineRule="auto"/>
        <w:ind w:left="1" w:right="2" w:firstLine="430"/>
        <w:rPr>
          <w:rFonts w:ascii="宋体" w:hAnsi="宋体" w:eastAsia="宋体" w:cs="宋体"/>
          <w:sz w:val="20"/>
          <w:szCs w:val="20"/>
        </w:rPr>
      </w:pPr>
      <w:r>
        <w:rPr>
          <w:rFonts w:ascii="宋体" w:hAnsi="宋体" w:eastAsia="宋体" w:cs="宋体"/>
          <w:spacing w:val="7"/>
          <w:sz w:val="20"/>
          <w:szCs w:val="20"/>
        </w:rPr>
        <w:t>（2）材料、工程设备价格变化的价款调整按照发包人提供的基准价格，按以下风险范围规定</w:t>
      </w:r>
      <w:r>
        <w:rPr>
          <w:rFonts w:ascii="宋体" w:hAnsi="宋体" w:eastAsia="宋体" w:cs="宋体"/>
          <w:spacing w:val="3"/>
          <w:sz w:val="20"/>
          <w:szCs w:val="20"/>
        </w:rPr>
        <w:t>执行：</w:t>
      </w:r>
    </w:p>
    <w:p w14:paraId="49AF601B">
      <w:pPr>
        <w:spacing w:before="2" w:line="345" w:lineRule="auto"/>
        <w:ind w:left="2" w:right="2" w:firstLine="418"/>
        <w:rPr>
          <w:rFonts w:ascii="宋体" w:hAnsi="宋体" w:eastAsia="宋体" w:cs="宋体"/>
          <w:sz w:val="20"/>
          <w:szCs w:val="20"/>
        </w:rPr>
      </w:pPr>
      <w:r>
        <w:rPr>
          <w:rFonts w:ascii="宋体" w:hAnsi="宋体" w:eastAsia="宋体" w:cs="宋体"/>
          <w:spacing w:val="10"/>
          <w:sz w:val="20"/>
          <w:szCs w:val="20"/>
        </w:rPr>
        <w:t>①承包人在已标价工程量清单或预算书中载明材料单价低于基准价格的：除专用合同条款另</w:t>
      </w:r>
      <w:r>
        <w:rPr>
          <w:rFonts w:ascii="宋体" w:hAnsi="宋体" w:eastAsia="宋体" w:cs="宋体"/>
          <w:spacing w:val="9"/>
          <w:sz w:val="20"/>
          <w:szCs w:val="20"/>
        </w:rPr>
        <w:t>有约定外，合同履行期间材料单价涨幅以基准</w:t>
      </w:r>
      <w:r>
        <w:rPr>
          <w:rFonts w:ascii="宋体" w:hAnsi="宋体" w:eastAsia="宋体" w:cs="宋体"/>
          <w:spacing w:val="8"/>
          <w:sz w:val="20"/>
          <w:szCs w:val="20"/>
        </w:rPr>
        <w:t>价格为基础超过</w:t>
      </w:r>
      <w:r>
        <w:rPr>
          <w:rFonts w:ascii="宋体" w:hAnsi="宋体" w:eastAsia="宋体" w:cs="宋体"/>
          <w:spacing w:val="-33"/>
          <w:sz w:val="20"/>
          <w:szCs w:val="20"/>
        </w:rPr>
        <w:t xml:space="preserve"> </w:t>
      </w:r>
      <w:r>
        <w:rPr>
          <w:rFonts w:ascii="宋体" w:hAnsi="宋体" w:eastAsia="宋体" w:cs="宋体"/>
          <w:spacing w:val="8"/>
          <w:sz w:val="20"/>
          <w:szCs w:val="20"/>
        </w:rPr>
        <w:t>5%时，或材料单价跌幅以在已标价</w:t>
      </w:r>
      <w:r>
        <w:rPr>
          <w:rFonts w:ascii="宋体" w:hAnsi="宋体" w:eastAsia="宋体" w:cs="宋体"/>
          <w:spacing w:val="9"/>
          <w:sz w:val="20"/>
          <w:szCs w:val="20"/>
        </w:rPr>
        <w:t>工程量清单或预算书中载明材料单价为基础超过</w:t>
      </w:r>
      <w:r>
        <w:rPr>
          <w:rFonts w:ascii="宋体" w:hAnsi="宋体" w:eastAsia="宋体" w:cs="宋体"/>
          <w:spacing w:val="-35"/>
          <w:sz w:val="20"/>
          <w:szCs w:val="20"/>
        </w:rPr>
        <w:t xml:space="preserve"> </w:t>
      </w:r>
      <w:r>
        <w:rPr>
          <w:rFonts w:ascii="宋体" w:hAnsi="宋体" w:eastAsia="宋体" w:cs="宋体"/>
          <w:spacing w:val="9"/>
          <w:sz w:val="20"/>
          <w:szCs w:val="20"/>
        </w:rPr>
        <w:t>5%时，其</w:t>
      </w:r>
      <w:r>
        <w:rPr>
          <w:rFonts w:ascii="宋体" w:hAnsi="宋体" w:eastAsia="宋体" w:cs="宋体"/>
          <w:spacing w:val="8"/>
          <w:sz w:val="20"/>
          <w:szCs w:val="20"/>
        </w:rPr>
        <w:t>超过部分据实调整。</w:t>
      </w:r>
    </w:p>
    <w:p w14:paraId="41D4956B">
      <w:pPr>
        <w:spacing w:line="225" w:lineRule="auto"/>
        <w:ind w:right="2"/>
        <w:jc w:val="right"/>
        <w:rPr>
          <w:rFonts w:ascii="宋体" w:hAnsi="宋体" w:eastAsia="宋体" w:cs="宋体"/>
          <w:sz w:val="20"/>
          <w:szCs w:val="20"/>
        </w:rPr>
      </w:pPr>
      <w:r>
        <w:rPr>
          <w:rFonts w:ascii="宋体" w:hAnsi="宋体" w:eastAsia="宋体" w:cs="宋体"/>
          <w:spacing w:val="10"/>
          <w:sz w:val="20"/>
          <w:szCs w:val="20"/>
        </w:rPr>
        <w:t>②承包人在已标价工程量清单或预算书中载明材料单价高于基准价格的：除专用合同条款另</w:t>
      </w:r>
    </w:p>
    <w:p w14:paraId="645962E1">
      <w:pPr>
        <w:spacing w:line="225" w:lineRule="auto"/>
        <w:rPr>
          <w:rFonts w:ascii="宋体" w:hAnsi="宋体" w:eastAsia="宋体" w:cs="宋体"/>
          <w:sz w:val="20"/>
          <w:szCs w:val="20"/>
        </w:rPr>
        <w:sectPr>
          <w:footerReference r:id="rId368" w:type="default"/>
          <w:pgSz w:w="11906" w:h="16839"/>
          <w:pgMar w:top="400" w:right="1530" w:bottom="1446" w:left="1537" w:header="0" w:footer="1284" w:gutter="0"/>
          <w:cols w:space="720" w:num="1"/>
        </w:sectPr>
      </w:pPr>
    </w:p>
    <w:p w14:paraId="787FC224">
      <w:pPr>
        <w:spacing w:line="246" w:lineRule="auto"/>
        <w:rPr>
          <w:rFonts w:ascii="Arial"/>
          <w:sz w:val="21"/>
        </w:rPr>
      </w:pPr>
    </w:p>
    <w:p w14:paraId="75408E4E">
      <w:pPr>
        <w:spacing w:line="246" w:lineRule="auto"/>
        <w:rPr>
          <w:rFonts w:ascii="Arial"/>
          <w:sz w:val="21"/>
        </w:rPr>
      </w:pPr>
    </w:p>
    <w:p w14:paraId="690D444C">
      <w:pPr>
        <w:spacing w:line="246" w:lineRule="auto"/>
        <w:rPr>
          <w:rFonts w:ascii="Arial"/>
          <w:sz w:val="21"/>
        </w:rPr>
      </w:pPr>
    </w:p>
    <w:p w14:paraId="6D831E6C">
      <w:pPr>
        <w:spacing w:line="246" w:lineRule="auto"/>
        <w:rPr>
          <w:rFonts w:ascii="Arial"/>
          <w:sz w:val="21"/>
        </w:rPr>
      </w:pPr>
    </w:p>
    <w:p w14:paraId="7AD46941">
      <w:pPr>
        <w:spacing w:line="246" w:lineRule="auto"/>
        <w:rPr>
          <w:rFonts w:ascii="Arial"/>
          <w:sz w:val="21"/>
        </w:rPr>
      </w:pPr>
    </w:p>
    <w:p w14:paraId="37774411">
      <w:pPr>
        <w:spacing w:line="247" w:lineRule="auto"/>
        <w:rPr>
          <w:rFonts w:ascii="Arial"/>
          <w:sz w:val="21"/>
        </w:rPr>
      </w:pPr>
    </w:p>
    <w:p w14:paraId="2539858F">
      <w:pPr>
        <w:spacing w:before="65" w:line="346" w:lineRule="auto"/>
        <w:ind w:right="54" w:firstLine="1"/>
        <w:rPr>
          <w:rFonts w:ascii="宋体" w:hAnsi="宋体" w:eastAsia="宋体" w:cs="宋体"/>
          <w:sz w:val="20"/>
          <w:szCs w:val="20"/>
        </w:rPr>
      </w:pPr>
      <w:r>
        <w:rPr>
          <w:rFonts w:ascii="宋体" w:hAnsi="宋体" w:eastAsia="宋体" w:cs="宋体"/>
          <w:spacing w:val="9"/>
          <w:sz w:val="20"/>
          <w:szCs w:val="20"/>
        </w:rPr>
        <w:t>有约定外，合同履行期间材料单价跌幅以基准</w:t>
      </w:r>
      <w:r>
        <w:rPr>
          <w:rFonts w:ascii="宋体" w:hAnsi="宋体" w:eastAsia="宋体" w:cs="宋体"/>
          <w:spacing w:val="8"/>
          <w:sz w:val="20"/>
          <w:szCs w:val="20"/>
        </w:rPr>
        <w:t>价格为基础超过</w:t>
      </w:r>
      <w:r>
        <w:rPr>
          <w:rFonts w:ascii="宋体" w:hAnsi="宋体" w:eastAsia="宋体" w:cs="宋体"/>
          <w:spacing w:val="-33"/>
          <w:sz w:val="20"/>
          <w:szCs w:val="20"/>
        </w:rPr>
        <w:t xml:space="preserve"> </w:t>
      </w:r>
      <w:r>
        <w:rPr>
          <w:rFonts w:ascii="宋体" w:hAnsi="宋体" w:eastAsia="宋体" w:cs="宋体"/>
          <w:spacing w:val="8"/>
          <w:sz w:val="20"/>
          <w:szCs w:val="20"/>
        </w:rPr>
        <w:t>5%时，材料单价涨幅以在已标价工</w:t>
      </w:r>
      <w:r>
        <w:rPr>
          <w:rFonts w:ascii="宋体" w:hAnsi="宋体" w:eastAsia="宋体" w:cs="宋体"/>
          <w:spacing w:val="9"/>
          <w:sz w:val="20"/>
          <w:szCs w:val="20"/>
        </w:rPr>
        <w:t>程量清单或预算书中载明材料单价为基础超过</w:t>
      </w:r>
      <w:r>
        <w:rPr>
          <w:rFonts w:ascii="宋体" w:hAnsi="宋体" w:eastAsia="宋体" w:cs="宋体"/>
          <w:spacing w:val="-32"/>
          <w:sz w:val="20"/>
          <w:szCs w:val="20"/>
        </w:rPr>
        <w:t xml:space="preserve"> </w:t>
      </w:r>
      <w:r>
        <w:rPr>
          <w:rFonts w:ascii="宋体" w:hAnsi="宋体" w:eastAsia="宋体" w:cs="宋体"/>
          <w:spacing w:val="9"/>
          <w:sz w:val="20"/>
          <w:szCs w:val="20"/>
        </w:rPr>
        <w:t>5%</w:t>
      </w:r>
      <w:r>
        <w:rPr>
          <w:rFonts w:ascii="宋体" w:hAnsi="宋体" w:eastAsia="宋体" w:cs="宋体"/>
          <w:spacing w:val="8"/>
          <w:sz w:val="20"/>
          <w:szCs w:val="20"/>
        </w:rPr>
        <w:t>时，其超过部分据实调整。</w:t>
      </w:r>
    </w:p>
    <w:p w14:paraId="091EA169">
      <w:pPr>
        <w:spacing w:before="1" w:line="345" w:lineRule="auto"/>
        <w:ind w:left="1" w:right="54" w:firstLine="417"/>
        <w:rPr>
          <w:rFonts w:ascii="宋体" w:hAnsi="宋体" w:eastAsia="宋体" w:cs="宋体"/>
          <w:sz w:val="20"/>
          <w:szCs w:val="20"/>
        </w:rPr>
      </w:pPr>
      <w:r>
        <w:rPr>
          <w:rFonts w:ascii="宋体" w:hAnsi="宋体" w:eastAsia="宋体" w:cs="宋体"/>
          <w:spacing w:val="10"/>
          <w:sz w:val="20"/>
          <w:szCs w:val="20"/>
        </w:rPr>
        <w:t>③承包人在已标价工程量清单或预算书中载明材料单价等于基准价格的：除专用合同条款另</w:t>
      </w:r>
      <w:r>
        <w:rPr>
          <w:rFonts w:ascii="宋体" w:hAnsi="宋体" w:eastAsia="宋体" w:cs="宋体"/>
          <w:spacing w:val="9"/>
          <w:sz w:val="20"/>
          <w:szCs w:val="20"/>
        </w:rPr>
        <w:t>有约定外，合同履行期间材料单价涨跌幅以基准价格为基础超过±5%时，其超过部分据实调整。</w:t>
      </w:r>
    </w:p>
    <w:p w14:paraId="20F47D7D">
      <w:pPr>
        <w:spacing w:before="2" w:line="345" w:lineRule="auto"/>
        <w:ind w:firstLine="419"/>
        <w:rPr>
          <w:rFonts w:ascii="宋体" w:hAnsi="宋体" w:eastAsia="宋体" w:cs="宋体"/>
          <w:sz w:val="20"/>
          <w:szCs w:val="20"/>
        </w:rPr>
      </w:pPr>
      <w:r>
        <w:rPr>
          <w:rFonts w:ascii="宋体" w:hAnsi="宋体" w:eastAsia="宋体" w:cs="宋体"/>
          <w:spacing w:val="7"/>
          <w:sz w:val="20"/>
          <w:szCs w:val="20"/>
        </w:rPr>
        <w:t>④承包人应在采购材料前将采购数量和新的材料单</w:t>
      </w:r>
      <w:r>
        <w:rPr>
          <w:rFonts w:ascii="宋体" w:hAnsi="宋体" w:eastAsia="宋体" w:cs="宋体"/>
          <w:spacing w:val="6"/>
          <w:sz w:val="20"/>
          <w:szCs w:val="20"/>
        </w:rPr>
        <w:t>价报发包人核对，发包人确认用于工程时，</w:t>
      </w:r>
      <w:r>
        <w:rPr>
          <w:rFonts w:ascii="宋体" w:hAnsi="宋体" w:eastAsia="宋体" w:cs="宋体"/>
          <w:spacing w:val="10"/>
          <w:sz w:val="20"/>
          <w:szCs w:val="20"/>
        </w:rPr>
        <w:t>发包人应确认采购材料的数量和单价。发包人在收到</w:t>
      </w:r>
      <w:r>
        <w:rPr>
          <w:rFonts w:ascii="宋体" w:hAnsi="宋体" w:eastAsia="宋体" w:cs="宋体"/>
          <w:spacing w:val="9"/>
          <w:sz w:val="20"/>
          <w:szCs w:val="20"/>
        </w:rPr>
        <w:t>承包人报送的确认资料后</w:t>
      </w:r>
      <w:r>
        <w:rPr>
          <w:rFonts w:ascii="宋体" w:hAnsi="宋体" w:eastAsia="宋体" w:cs="宋体"/>
          <w:spacing w:val="-34"/>
          <w:sz w:val="20"/>
          <w:szCs w:val="20"/>
        </w:rPr>
        <w:t xml:space="preserve"> </w:t>
      </w:r>
      <w:r>
        <w:rPr>
          <w:rFonts w:ascii="宋体" w:hAnsi="宋体" w:eastAsia="宋体" w:cs="宋体"/>
          <w:spacing w:val="9"/>
          <w:sz w:val="20"/>
          <w:szCs w:val="20"/>
        </w:rPr>
        <w:t>5</w:t>
      </w:r>
      <w:r>
        <w:rPr>
          <w:rFonts w:ascii="宋体" w:hAnsi="宋体" w:eastAsia="宋体" w:cs="宋体"/>
          <w:spacing w:val="-34"/>
          <w:sz w:val="20"/>
          <w:szCs w:val="20"/>
        </w:rPr>
        <w:t xml:space="preserve"> </w:t>
      </w:r>
      <w:r>
        <w:rPr>
          <w:rFonts w:ascii="宋体" w:hAnsi="宋体" w:eastAsia="宋体" w:cs="宋体"/>
          <w:spacing w:val="9"/>
          <w:sz w:val="20"/>
          <w:szCs w:val="20"/>
        </w:rPr>
        <w:t>天内不予答复的</w:t>
      </w:r>
      <w:r>
        <w:rPr>
          <w:rFonts w:ascii="宋体" w:hAnsi="宋体" w:eastAsia="宋体" w:cs="宋体"/>
          <w:spacing w:val="10"/>
          <w:sz w:val="20"/>
          <w:szCs w:val="20"/>
        </w:rPr>
        <w:t>视为认可，作为调整合同价格的依据。未经发包人事先核对，承包人自行采购材料的，发包人有</w:t>
      </w:r>
      <w:r>
        <w:rPr>
          <w:rFonts w:ascii="宋体" w:hAnsi="宋体" w:eastAsia="宋体" w:cs="宋体"/>
          <w:spacing w:val="9"/>
          <w:sz w:val="20"/>
          <w:szCs w:val="20"/>
        </w:rPr>
        <w:t>权不予调整合同价格。发包人同意的，可以调整合同价格。</w:t>
      </w:r>
    </w:p>
    <w:p w14:paraId="26AC4C20">
      <w:pPr>
        <w:spacing w:before="1" w:line="345" w:lineRule="auto"/>
        <w:ind w:left="1" w:right="54" w:firstLine="422"/>
        <w:rPr>
          <w:rFonts w:ascii="宋体" w:hAnsi="宋体" w:eastAsia="宋体" w:cs="宋体"/>
          <w:sz w:val="20"/>
          <w:szCs w:val="20"/>
        </w:rPr>
      </w:pPr>
      <w:r>
        <w:rPr>
          <w:rFonts w:ascii="宋体" w:hAnsi="宋体" w:eastAsia="宋体" w:cs="宋体"/>
          <w:spacing w:val="10"/>
          <w:sz w:val="20"/>
          <w:szCs w:val="20"/>
        </w:rPr>
        <w:t>前述基准价格是指由发包人在招标文件或专用合同条款中给定的材料、工程设备的价格，该价格原则上应当按照湖北省建设行政主管部门</w:t>
      </w:r>
      <w:r>
        <w:rPr>
          <w:rFonts w:ascii="宋体" w:hAnsi="宋体" w:eastAsia="宋体" w:cs="宋体"/>
          <w:spacing w:val="9"/>
          <w:sz w:val="20"/>
          <w:szCs w:val="20"/>
        </w:rPr>
        <w:t>或其授权的工程造价管理机构发布的信息价编制。</w:t>
      </w:r>
    </w:p>
    <w:p w14:paraId="3FD6ED89">
      <w:pPr>
        <w:spacing w:before="1" w:line="345" w:lineRule="auto"/>
        <w:ind w:left="3" w:right="54" w:firstLine="427"/>
        <w:rPr>
          <w:rFonts w:ascii="宋体" w:hAnsi="宋体" w:eastAsia="宋体" w:cs="宋体"/>
          <w:sz w:val="20"/>
          <w:szCs w:val="20"/>
        </w:rPr>
      </w:pPr>
      <w:r>
        <w:rPr>
          <w:rFonts w:ascii="宋体" w:hAnsi="宋体" w:eastAsia="宋体" w:cs="宋体"/>
          <w:spacing w:val="7"/>
          <w:sz w:val="20"/>
          <w:szCs w:val="20"/>
        </w:rPr>
        <w:t>（3）施工机械台班单价或施工机械使用费发生变化超过湖北省建设行政主管部门或其授权的</w:t>
      </w:r>
      <w:r>
        <w:rPr>
          <w:rFonts w:ascii="宋体" w:hAnsi="宋体" w:eastAsia="宋体" w:cs="宋体"/>
          <w:spacing w:val="9"/>
          <w:sz w:val="20"/>
          <w:szCs w:val="20"/>
        </w:rPr>
        <w:t>工程造价管理机构规定的范围时，按规定调整合同价格。</w:t>
      </w:r>
    </w:p>
    <w:p w14:paraId="46F2D6A8">
      <w:pPr>
        <w:spacing w:line="227" w:lineRule="auto"/>
        <w:ind w:left="420"/>
        <w:rPr>
          <w:rFonts w:ascii="宋体" w:hAnsi="宋体" w:eastAsia="宋体" w:cs="宋体"/>
          <w:sz w:val="20"/>
          <w:szCs w:val="20"/>
        </w:rPr>
      </w:pPr>
      <w:r>
        <w:rPr>
          <w:rFonts w:ascii="宋体" w:hAnsi="宋体" w:eastAsia="宋体" w:cs="宋体"/>
          <w:spacing w:val="7"/>
          <w:sz w:val="20"/>
          <w:szCs w:val="20"/>
        </w:rPr>
        <w:t>第</w:t>
      </w:r>
      <w:r>
        <w:rPr>
          <w:rFonts w:ascii="宋体" w:hAnsi="宋体" w:eastAsia="宋体" w:cs="宋体"/>
          <w:spacing w:val="-23"/>
          <w:sz w:val="20"/>
          <w:szCs w:val="20"/>
        </w:rPr>
        <w:t xml:space="preserve"> </w:t>
      </w:r>
      <w:r>
        <w:rPr>
          <w:rFonts w:ascii="宋体" w:hAnsi="宋体" w:eastAsia="宋体" w:cs="宋体"/>
          <w:spacing w:val="7"/>
          <w:sz w:val="20"/>
          <w:szCs w:val="20"/>
        </w:rPr>
        <w:t>3</w:t>
      </w:r>
      <w:r>
        <w:rPr>
          <w:rFonts w:ascii="宋体" w:hAnsi="宋体" w:eastAsia="宋体" w:cs="宋体"/>
          <w:spacing w:val="-38"/>
          <w:sz w:val="20"/>
          <w:szCs w:val="20"/>
        </w:rPr>
        <w:t xml:space="preserve"> </w:t>
      </w:r>
      <w:r>
        <w:rPr>
          <w:rFonts w:ascii="宋体" w:hAnsi="宋体" w:eastAsia="宋体" w:cs="宋体"/>
          <w:spacing w:val="7"/>
          <w:sz w:val="20"/>
          <w:szCs w:val="20"/>
        </w:rPr>
        <w:t>种方式：专用合同条款约定的其他方式。</w:t>
      </w:r>
    </w:p>
    <w:p w14:paraId="03F00A37">
      <w:pPr>
        <w:spacing w:before="128" w:line="228" w:lineRule="auto"/>
        <w:ind w:left="436"/>
        <w:rPr>
          <w:rFonts w:ascii="宋体" w:hAnsi="宋体" w:eastAsia="宋体" w:cs="宋体"/>
          <w:sz w:val="20"/>
          <w:szCs w:val="20"/>
        </w:rPr>
      </w:pPr>
      <w:r>
        <w:rPr>
          <w:rFonts w:ascii="宋体" w:hAnsi="宋体" w:eastAsia="宋体" w:cs="宋体"/>
          <w:b/>
          <w:bCs/>
          <w:spacing w:val="4"/>
          <w:sz w:val="20"/>
          <w:szCs w:val="20"/>
        </w:rPr>
        <w:t>11.2</w:t>
      </w:r>
      <w:r>
        <w:rPr>
          <w:rFonts w:ascii="宋体" w:hAnsi="宋体" w:eastAsia="宋体" w:cs="宋体"/>
          <w:spacing w:val="-33"/>
          <w:sz w:val="20"/>
          <w:szCs w:val="20"/>
        </w:rPr>
        <w:t xml:space="preserve"> </w:t>
      </w:r>
      <w:r>
        <w:rPr>
          <w:rFonts w:ascii="宋体" w:hAnsi="宋体" w:eastAsia="宋体" w:cs="宋体"/>
          <w:b/>
          <w:bCs/>
          <w:spacing w:val="4"/>
          <w:sz w:val="20"/>
          <w:szCs w:val="20"/>
        </w:rPr>
        <w:t>法律变化引起的调整</w:t>
      </w:r>
    </w:p>
    <w:p w14:paraId="64867CDE">
      <w:pPr>
        <w:spacing w:before="126" w:line="346" w:lineRule="auto"/>
        <w:ind w:right="54" w:firstLine="420"/>
        <w:jc w:val="both"/>
        <w:rPr>
          <w:rFonts w:ascii="宋体" w:hAnsi="宋体" w:eastAsia="宋体" w:cs="宋体"/>
          <w:sz w:val="20"/>
          <w:szCs w:val="20"/>
        </w:rPr>
      </w:pPr>
      <w:r>
        <w:rPr>
          <w:rFonts w:ascii="宋体" w:hAnsi="宋体" w:eastAsia="宋体" w:cs="宋体"/>
          <w:spacing w:val="9"/>
          <w:sz w:val="20"/>
          <w:szCs w:val="20"/>
        </w:rPr>
        <w:t>基 准日期后，法律变化导致承包人在合同履行过程中所需要的费用发生除第</w:t>
      </w:r>
      <w:r>
        <w:rPr>
          <w:rFonts w:ascii="宋体" w:hAnsi="宋体" w:eastAsia="宋体" w:cs="宋体"/>
          <w:spacing w:val="-24"/>
          <w:sz w:val="20"/>
          <w:szCs w:val="20"/>
        </w:rPr>
        <w:t xml:space="preserve"> </w:t>
      </w:r>
      <w:r>
        <w:rPr>
          <w:rFonts w:ascii="宋体" w:hAnsi="宋体" w:eastAsia="宋体" w:cs="宋体"/>
          <w:spacing w:val="9"/>
          <w:sz w:val="20"/>
          <w:szCs w:val="20"/>
        </w:rPr>
        <w:t>11.</w:t>
      </w:r>
      <w:r>
        <w:rPr>
          <w:rFonts w:ascii="宋体" w:hAnsi="宋体" w:eastAsia="宋体" w:cs="宋体"/>
          <w:spacing w:val="8"/>
          <w:sz w:val="20"/>
          <w:szCs w:val="20"/>
        </w:rPr>
        <w:t>1</w:t>
      </w:r>
      <w:r>
        <w:rPr>
          <w:rFonts w:ascii="宋体" w:hAnsi="宋体" w:eastAsia="宋体" w:cs="宋体"/>
          <w:spacing w:val="-37"/>
          <w:sz w:val="20"/>
          <w:szCs w:val="20"/>
        </w:rPr>
        <w:t xml:space="preserve"> </w:t>
      </w:r>
      <w:r>
        <w:rPr>
          <w:rFonts w:ascii="宋体" w:hAnsi="宋体" w:eastAsia="宋体" w:cs="宋体"/>
          <w:spacing w:val="8"/>
          <w:sz w:val="20"/>
          <w:szCs w:val="20"/>
        </w:rPr>
        <w:t>款〔市场</w:t>
      </w:r>
      <w:r>
        <w:rPr>
          <w:rFonts w:ascii="宋体" w:hAnsi="宋体" w:eastAsia="宋体" w:cs="宋体"/>
          <w:spacing w:val="9"/>
          <w:sz w:val="20"/>
          <w:szCs w:val="20"/>
        </w:rPr>
        <w:t>价格波动引起的调整〕约定以外的增加时，</w:t>
      </w:r>
      <w:r>
        <w:rPr>
          <w:rFonts w:ascii="宋体" w:hAnsi="宋体" w:eastAsia="宋体" w:cs="宋体"/>
          <w:spacing w:val="-46"/>
          <w:sz w:val="20"/>
          <w:szCs w:val="20"/>
        </w:rPr>
        <w:t xml:space="preserve"> </w:t>
      </w:r>
      <w:r>
        <w:rPr>
          <w:rFonts w:ascii="宋体" w:hAnsi="宋体" w:eastAsia="宋体" w:cs="宋体"/>
          <w:spacing w:val="9"/>
          <w:sz w:val="20"/>
          <w:szCs w:val="20"/>
        </w:rPr>
        <w:t>由发包人承担由此增加的费用；减少时，应从合同价格中予以扣减。基准日期后，因法律变化造成工期延误时，工期应予以顺延。</w:t>
      </w:r>
    </w:p>
    <w:p w14:paraId="7F591BC2">
      <w:pPr>
        <w:spacing w:line="226" w:lineRule="auto"/>
        <w:ind w:left="437"/>
        <w:rPr>
          <w:rFonts w:ascii="宋体" w:hAnsi="宋体" w:eastAsia="宋体" w:cs="宋体"/>
          <w:sz w:val="20"/>
          <w:szCs w:val="20"/>
        </w:rPr>
      </w:pPr>
      <w:r>
        <w:rPr>
          <w:rFonts w:ascii="宋体" w:hAnsi="宋体" w:eastAsia="宋体" w:cs="宋体"/>
          <w:spacing w:val="9"/>
          <w:sz w:val="20"/>
          <w:szCs w:val="20"/>
        </w:rPr>
        <w:t>因法律变化引起的合同价格和工期调整，合同当事人无法达成一致的，由总监理工程师按第</w:t>
      </w:r>
    </w:p>
    <w:p w14:paraId="471B0B2B">
      <w:pPr>
        <w:spacing w:before="130" w:line="228" w:lineRule="auto"/>
        <w:rPr>
          <w:rFonts w:ascii="宋体" w:hAnsi="宋体" w:eastAsia="宋体" w:cs="宋体"/>
          <w:sz w:val="20"/>
          <w:szCs w:val="20"/>
        </w:rPr>
      </w:pPr>
      <w:r>
        <w:rPr>
          <w:rFonts w:ascii="宋体" w:hAnsi="宋体" w:eastAsia="宋体" w:cs="宋体"/>
          <w:spacing w:val="7"/>
          <w:sz w:val="20"/>
          <w:szCs w:val="20"/>
        </w:rPr>
        <w:t>4.4</w:t>
      </w:r>
      <w:r>
        <w:rPr>
          <w:rFonts w:ascii="宋体" w:hAnsi="宋体" w:eastAsia="宋体" w:cs="宋体"/>
          <w:spacing w:val="-32"/>
          <w:sz w:val="20"/>
          <w:szCs w:val="20"/>
        </w:rPr>
        <w:t xml:space="preserve"> </w:t>
      </w:r>
      <w:r>
        <w:rPr>
          <w:rFonts w:ascii="宋体" w:hAnsi="宋体" w:eastAsia="宋体" w:cs="宋体"/>
          <w:spacing w:val="7"/>
          <w:sz w:val="20"/>
          <w:szCs w:val="20"/>
        </w:rPr>
        <w:t>款〔商定或确定〕的约定处理。</w:t>
      </w:r>
    </w:p>
    <w:p w14:paraId="4C3C403A">
      <w:pPr>
        <w:spacing w:before="126" w:line="346" w:lineRule="auto"/>
        <w:ind w:left="3" w:right="54" w:firstLine="433"/>
        <w:rPr>
          <w:rFonts w:ascii="宋体" w:hAnsi="宋体" w:eastAsia="宋体" w:cs="宋体"/>
          <w:sz w:val="20"/>
          <w:szCs w:val="20"/>
        </w:rPr>
      </w:pPr>
      <w:r>
        <w:rPr>
          <w:rFonts w:ascii="宋体" w:hAnsi="宋体" w:eastAsia="宋体" w:cs="宋体"/>
          <w:spacing w:val="9"/>
          <w:sz w:val="20"/>
          <w:szCs w:val="20"/>
        </w:rPr>
        <w:t>因发包人原因造成工期延误，在工期延误期间出现法律变化的，</w:t>
      </w:r>
      <w:r>
        <w:rPr>
          <w:rFonts w:ascii="宋体" w:hAnsi="宋体" w:eastAsia="宋体" w:cs="宋体"/>
          <w:spacing w:val="-58"/>
          <w:sz w:val="20"/>
          <w:szCs w:val="20"/>
        </w:rPr>
        <w:t xml:space="preserve"> </w:t>
      </w:r>
      <w:r>
        <w:rPr>
          <w:rFonts w:ascii="宋体" w:hAnsi="宋体" w:eastAsia="宋体" w:cs="宋体"/>
          <w:spacing w:val="9"/>
          <w:sz w:val="20"/>
          <w:szCs w:val="20"/>
        </w:rPr>
        <w:t>由此增加的</w:t>
      </w:r>
      <w:r>
        <w:rPr>
          <w:rFonts w:ascii="宋体" w:hAnsi="宋体" w:eastAsia="宋体" w:cs="宋体"/>
          <w:spacing w:val="8"/>
          <w:sz w:val="20"/>
          <w:szCs w:val="20"/>
        </w:rPr>
        <w:t>费用和（或）延</w:t>
      </w:r>
      <w:r>
        <w:rPr>
          <w:rFonts w:ascii="宋体" w:hAnsi="宋体" w:eastAsia="宋体" w:cs="宋体"/>
          <w:spacing w:val="7"/>
          <w:sz w:val="20"/>
          <w:szCs w:val="20"/>
        </w:rPr>
        <w:t>误的工期由发包人承担。</w:t>
      </w:r>
    </w:p>
    <w:p w14:paraId="4127FD64">
      <w:pPr>
        <w:spacing w:before="3" w:line="346" w:lineRule="auto"/>
        <w:ind w:left="3" w:right="54" w:firstLine="433"/>
        <w:rPr>
          <w:rFonts w:ascii="宋体" w:hAnsi="宋体" w:eastAsia="宋体" w:cs="宋体"/>
          <w:sz w:val="20"/>
          <w:szCs w:val="20"/>
        </w:rPr>
      </w:pPr>
      <w:r>
        <w:rPr>
          <w:rFonts w:ascii="宋体" w:hAnsi="宋体" w:eastAsia="宋体" w:cs="宋体"/>
          <w:spacing w:val="9"/>
          <w:sz w:val="20"/>
          <w:szCs w:val="20"/>
        </w:rPr>
        <w:t>因承包人原因造成工期延误，在工期延误期间出现法律变化的，</w:t>
      </w:r>
      <w:r>
        <w:rPr>
          <w:rFonts w:ascii="宋体" w:hAnsi="宋体" w:eastAsia="宋体" w:cs="宋体"/>
          <w:spacing w:val="-58"/>
          <w:sz w:val="20"/>
          <w:szCs w:val="20"/>
        </w:rPr>
        <w:t xml:space="preserve"> </w:t>
      </w:r>
      <w:r>
        <w:rPr>
          <w:rFonts w:ascii="宋体" w:hAnsi="宋体" w:eastAsia="宋体" w:cs="宋体"/>
          <w:spacing w:val="9"/>
          <w:sz w:val="20"/>
          <w:szCs w:val="20"/>
        </w:rPr>
        <w:t>由此增加的</w:t>
      </w:r>
      <w:r>
        <w:rPr>
          <w:rFonts w:ascii="宋体" w:hAnsi="宋体" w:eastAsia="宋体" w:cs="宋体"/>
          <w:spacing w:val="8"/>
          <w:sz w:val="20"/>
          <w:szCs w:val="20"/>
        </w:rPr>
        <w:t>费用和（或）延</w:t>
      </w:r>
      <w:r>
        <w:rPr>
          <w:rFonts w:ascii="宋体" w:hAnsi="宋体" w:eastAsia="宋体" w:cs="宋体"/>
          <w:spacing w:val="7"/>
          <w:sz w:val="20"/>
          <w:szCs w:val="20"/>
        </w:rPr>
        <w:t>误的工期由承包人承担。</w:t>
      </w:r>
    </w:p>
    <w:p w14:paraId="0D694901">
      <w:pPr>
        <w:spacing w:line="304" w:lineRule="auto"/>
        <w:rPr>
          <w:rFonts w:ascii="Arial"/>
          <w:sz w:val="21"/>
        </w:rPr>
      </w:pPr>
    </w:p>
    <w:p w14:paraId="3303B98E">
      <w:pPr>
        <w:spacing w:before="65" w:line="226" w:lineRule="auto"/>
        <w:ind w:left="436"/>
        <w:outlineLvl w:val="2"/>
        <w:rPr>
          <w:rFonts w:ascii="宋体" w:hAnsi="宋体" w:eastAsia="宋体" w:cs="宋体"/>
          <w:sz w:val="20"/>
          <w:szCs w:val="20"/>
        </w:rPr>
      </w:pPr>
      <w:bookmarkStart w:id="317" w:name="bookmark300"/>
      <w:bookmarkEnd w:id="317"/>
      <w:r>
        <w:rPr>
          <w:rFonts w:ascii="宋体" w:hAnsi="宋体" w:eastAsia="宋体" w:cs="宋体"/>
          <w:b/>
          <w:bCs/>
          <w:spacing w:val="5"/>
          <w:sz w:val="20"/>
          <w:szCs w:val="20"/>
        </w:rPr>
        <w:t>12.</w:t>
      </w:r>
      <w:r>
        <w:rPr>
          <w:rFonts w:ascii="宋体" w:hAnsi="宋体" w:eastAsia="宋体" w:cs="宋体"/>
          <w:spacing w:val="5"/>
          <w:sz w:val="20"/>
          <w:szCs w:val="20"/>
        </w:rPr>
        <w:t xml:space="preserve"> </w:t>
      </w:r>
      <w:r>
        <w:rPr>
          <w:rFonts w:ascii="宋体" w:hAnsi="宋体" w:eastAsia="宋体" w:cs="宋体"/>
          <w:b/>
          <w:bCs/>
          <w:spacing w:val="5"/>
          <w:sz w:val="20"/>
          <w:szCs w:val="20"/>
        </w:rPr>
        <w:t>合同价格、计量与支付</w:t>
      </w:r>
    </w:p>
    <w:p w14:paraId="0DC481ED">
      <w:pPr>
        <w:spacing w:before="130" w:line="226" w:lineRule="auto"/>
        <w:ind w:left="436"/>
        <w:rPr>
          <w:rFonts w:ascii="宋体" w:hAnsi="宋体" w:eastAsia="宋体" w:cs="宋体"/>
          <w:sz w:val="20"/>
          <w:szCs w:val="20"/>
        </w:rPr>
      </w:pPr>
      <w:r>
        <w:rPr>
          <w:rFonts w:ascii="宋体" w:hAnsi="宋体" w:eastAsia="宋体" w:cs="宋体"/>
          <w:b/>
          <w:bCs/>
          <w:spacing w:val="4"/>
          <w:sz w:val="20"/>
          <w:szCs w:val="20"/>
        </w:rPr>
        <w:t>12.1</w:t>
      </w:r>
      <w:r>
        <w:rPr>
          <w:rFonts w:ascii="宋体" w:hAnsi="宋体" w:eastAsia="宋体" w:cs="宋体"/>
          <w:spacing w:val="4"/>
          <w:sz w:val="20"/>
          <w:szCs w:val="20"/>
        </w:rPr>
        <w:t xml:space="preserve"> </w:t>
      </w:r>
      <w:r>
        <w:rPr>
          <w:rFonts w:ascii="宋体" w:hAnsi="宋体" w:eastAsia="宋体" w:cs="宋体"/>
          <w:b/>
          <w:bCs/>
          <w:spacing w:val="4"/>
          <w:sz w:val="20"/>
          <w:szCs w:val="20"/>
        </w:rPr>
        <w:t>合同价格形式</w:t>
      </w:r>
    </w:p>
    <w:p w14:paraId="6328AFF9">
      <w:pPr>
        <w:spacing w:before="128" w:line="346" w:lineRule="auto"/>
        <w:ind w:left="1" w:right="54" w:firstLine="420"/>
        <w:jc w:val="both"/>
        <w:rPr>
          <w:rFonts w:ascii="宋体" w:hAnsi="宋体" w:eastAsia="宋体" w:cs="宋体"/>
          <w:sz w:val="20"/>
          <w:szCs w:val="20"/>
        </w:rPr>
      </w:pPr>
      <w:r>
        <w:rPr>
          <w:rFonts w:ascii="宋体" w:hAnsi="宋体" w:eastAsia="宋体" w:cs="宋体"/>
          <w:spacing w:val="10"/>
          <w:sz w:val="20"/>
          <w:szCs w:val="20"/>
        </w:rPr>
        <w:t>合同当事人应在合同协议书中约定价格形式，在专用合同条款中明确计价标准、方式、风险内容及范围，但不得采用无限风险、所有风险或类似语句约定计价中的风险内容和范围。发包人</w:t>
      </w:r>
      <w:r>
        <w:rPr>
          <w:rFonts w:ascii="宋体" w:hAnsi="宋体" w:eastAsia="宋体" w:cs="宋体"/>
          <w:spacing w:val="9"/>
          <w:sz w:val="20"/>
          <w:szCs w:val="20"/>
        </w:rPr>
        <w:t>和承包人应在合同协议书中选择下列一种合同价格形式：</w:t>
      </w:r>
    </w:p>
    <w:p w14:paraId="328C25AE">
      <w:pPr>
        <w:spacing w:line="226" w:lineRule="auto"/>
        <w:ind w:left="436"/>
        <w:rPr>
          <w:rFonts w:ascii="宋体" w:hAnsi="宋体" w:eastAsia="宋体" w:cs="宋体"/>
          <w:sz w:val="20"/>
          <w:szCs w:val="20"/>
        </w:rPr>
      </w:pPr>
      <w:r>
        <w:rPr>
          <w:rFonts w:ascii="宋体" w:hAnsi="宋体" w:eastAsia="宋体" w:cs="宋体"/>
          <w:spacing w:val="3"/>
          <w:sz w:val="20"/>
          <w:szCs w:val="20"/>
        </w:rPr>
        <w:t>1.单价合同</w:t>
      </w:r>
    </w:p>
    <w:p w14:paraId="26EFE66C">
      <w:pPr>
        <w:spacing w:before="129" w:line="346" w:lineRule="auto"/>
        <w:ind w:left="1" w:right="54" w:firstLine="420"/>
        <w:rPr>
          <w:rFonts w:ascii="宋体" w:hAnsi="宋体" w:eastAsia="宋体" w:cs="宋体"/>
          <w:sz w:val="20"/>
          <w:szCs w:val="20"/>
        </w:rPr>
      </w:pPr>
      <w:r>
        <w:rPr>
          <w:rFonts w:ascii="宋体" w:hAnsi="宋体" w:eastAsia="宋体" w:cs="宋体"/>
          <w:spacing w:val="10"/>
          <w:sz w:val="20"/>
          <w:szCs w:val="20"/>
        </w:rPr>
        <w:t>单价合同是指合同当事人约定以工程量清单及其综合单价进行合同价格计算、调整和确认的建设工程施工合同，在约定的范围内合同单价不作调整。合同当事人应在专用合同条款中约定综合单价包含的风险范围和风险费用的计算方法，并约定风险范围以外的合同价格的调整方法，其</w:t>
      </w:r>
      <w:r>
        <w:rPr>
          <w:rFonts w:ascii="宋体" w:hAnsi="宋体" w:eastAsia="宋体" w:cs="宋体"/>
          <w:spacing w:val="8"/>
          <w:sz w:val="20"/>
          <w:szCs w:val="20"/>
        </w:rPr>
        <w:t>中因市场价格波动引起的调整按第</w:t>
      </w:r>
      <w:r>
        <w:rPr>
          <w:rFonts w:ascii="宋体" w:hAnsi="宋体" w:eastAsia="宋体" w:cs="宋体"/>
          <w:spacing w:val="-23"/>
          <w:sz w:val="20"/>
          <w:szCs w:val="20"/>
        </w:rPr>
        <w:t xml:space="preserve"> </w:t>
      </w:r>
      <w:r>
        <w:rPr>
          <w:rFonts w:ascii="宋体" w:hAnsi="宋体" w:eastAsia="宋体" w:cs="宋体"/>
          <w:spacing w:val="8"/>
          <w:sz w:val="20"/>
          <w:szCs w:val="20"/>
        </w:rPr>
        <w:t>11.1</w:t>
      </w:r>
      <w:r>
        <w:rPr>
          <w:rFonts w:ascii="宋体" w:hAnsi="宋体" w:eastAsia="宋体" w:cs="宋体"/>
          <w:spacing w:val="-39"/>
          <w:sz w:val="20"/>
          <w:szCs w:val="20"/>
        </w:rPr>
        <w:t xml:space="preserve"> </w:t>
      </w:r>
      <w:r>
        <w:rPr>
          <w:rFonts w:ascii="宋体" w:hAnsi="宋体" w:eastAsia="宋体" w:cs="宋体"/>
          <w:spacing w:val="8"/>
          <w:sz w:val="20"/>
          <w:szCs w:val="20"/>
        </w:rPr>
        <w:t>款〔市场价格波动引起的调整〕约定执行。</w:t>
      </w:r>
    </w:p>
    <w:p w14:paraId="25205248">
      <w:pPr>
        <w:spacing w:line="346" w:lineRule="auto"/>
        <w:rPr>
          <w:rFonts w:ascii="宋体" w:hAnsi="宋体" w:eastAsia="宋体" w:cs="宋体"/>
          <w:sz w:val="20"/>
          <w:szCs w:val="20"/>
        </w:rPr>
        <w:sectPr>
          <w:footerReference r:id="rId369" w:type="default"/>
          <w:pgSz w:w="11906" w:h="16839"/>
          <w:pgMar w:top="400" w:right="1478" w:bottom="1446" w:left="1538" w:header="0" w:footer="1284" w:gutter="0"/>
          <w:cols w:space="720" w:num="1"/>
        </w:sectPr>
      </w:pPr>
    </w:p>
    <w:p w14:paraId="56FCF765">
      <w:pPr>
        <w:spacing w:line="246" w:lineRule="auto"/>
        <w:rPr>
          <w:rFonts w:ascii="Arial"/>
          <w:sz w:val="21"/>
        </w:rPr>
      </w:pPr>
    </w:p>
    <w:p w14:paraId="63078C2F">
      <w:pPr>
        <w:spacing w:line="246" w:lineRule="auto"/>
        <w:rPr>
          <w:rFonts w:ascii="Arial"/>
          <w:sz w:val="21"/>
        </w:rPr>
      </w:pPr>
    </w:p>
    <w:p w14:paraId="353D92D8">
      <w:pPr>
        <w:spacing w:line="246" w:lineRule="auto"/>
        <w:rPr>
          <w:rFonts w:ascii="Arial"/>
          <w:sz w:val="21"/>
        </w:rPr>
      </w:pPr>
    </w:p>
    <w:p w14:paraId="5BF95028">
      <w:pPr>
        <w:spacing w:line="246" w:lineRule="auto"/>
        <w:rPr>
          <w:rFonts w:ascii="Arial"/>
          <w:sz w:val="21"/>
        </w:rPr>
      </w:pPr>
    </w:p>
    <w:p w14:paraId="2C2484D8">
      <w:pPr>
        <w:spacing w:line="247" w:lineRule="auto"/>
        <w:rPr>
          <w:rFonts w:ascii="Arial"/>
          <w:sz w:val="21"/>
        </w:rPr>
      </w:pPr>
    </w:p>
    <w:p w14:paraId="7B1EBD3D">
      <w:pPr>
        <w:spacing w:line="247" w:lineRule="auto"/>
        <w:rPr>
          <w:rFonts w:ascii="Arial"/>
          <w:sz w:val="21"/>
        </w:rPr>
      </w:pPr>
    </w:p>
    <w:p w14:paraId="5E3901A7">
      <w:pPr>
        <w:spacing w:before="65" w:line="226" w:lineRule="auto"/>
        <w:ind w:left="422"/>
        <w:rPr>
          <w:rFonts w:ascii="宋体" w:hAnsi="宋体" w:eastAsia="宋体" w:cs="宋体"/>
          <w:sz w:val="20"/>
          <w:szCs w:val="20"/>
        </w:rPr>
      </w:pPr>
      <w:r>
        <w:rPr>
          <w:rFonts w:ascii="宋体" w:hAnsi="宋体" w:eastAsia="宋体" w:cs="宋体"/>
          <w:spacing w:val="5"/>
          <w:sz w:val="20"/>
          <w:szCs w:val="20"/>
        </w:rPr>
        <w:t>2.总价合同</w:t>
      </w:r>
    </w:p>
    <w:p w14:paraId="470DBB04">
      <w:pPr>
        <w:spacing w:before="127" w:line="346" w:lineRule="auto"/>
        <w:ind w:right="70" w:firstLine="425"/>
        <w:rPr>
          <w:rFonts w:ascii="宋体" w:hAnsi="宋体" w:eastAsia="宋体" w:cs="宋体"/>
          <w:sz w:val="20"/>
          <w:szCs w:val="20"/>
        </w:rPr>
      </w:pPr>
      <w:r>
        <w:rPr>
          <w:rFonts w:ascii="宋体" w:hAnsi="宋体" w:eastAsia="宋体" w:cs="宋体"/>
          <w:spacing w:val="10"/>
          <w:sz w:val="20"/>
          <w:szCs w:val="20"/>
        </w:rPr>
        <w:t>总价合同是指合同当事人约定以施工图、已标价工程量清单或预算书及有关条件进行合同价格计算、调整和确认的建设工程施工合同，在约定的范围内合同总价不作调整。合同当事人应在专用合同条款中约定总价包含的风险范围和风险费用的计算方法，并约定风险范围以外的合同价</w:t>
      </w:r>
      <w:r>
        <w:rPr>
          <w:rFonts w:ascii="宋体" w:hAnsi="宋体" w:eastAsia="宋体" w:cs="宋体"/>
          <w:spacing w:val="7"/>
          <w:sz w:val="20"/>
          <w:szCs w:val="20"/>
        </w:rPr>
        <w:t>格的调整方法，其中因市场价格波动引起的调整按第</w:t>
      </w:r>
      <w:r>
        <w:rPr>
          <w:rFonts w:ascii="宋体" w:hAnsi="宋体" w:eastAsia="宋体" w:cs="宋体"/>
          <w:spacing w:val="-21"/>
          <w:sz w:val="20"/>
          <w:szCs w:val="20"/>
        </w:rPr>
        <w:t xml:space="preserve"> </w:t>
      </w:r>
      <w:r>
        <w:rPr>
          <w:rFonts w:ascii="宋体" w:hAnsi="宋体" w:eastAsia="宋体" w:cs="宋体"/>
          <w:spacing w:val="7"/>
          <w:sz w:val="20"/>
          <w:szCs w:val="20"/>
        </w:rPr>
        <w:t>11.1</w:t>
      </w:r>
      <w:r>
        <w:rPr>
          <w:rFonts w:ascii="宋体" w:hAnsi="宋体" w:eastAsia="宋体" w:cs="宋体"/>
          <w:spacing w:val="-40"/>
          <w:sz w:val="20"/>
          <w:szCs w:val="20"/>
        </w:rPr>
        <w:t xml:space="preserve"> </w:t>
      </w:r>
      <w:r>
        <w:rPr>
          <w:rFonts w:ascii="宋体" w:hAnsi="宋体" w:eastAsia="宋体" w:cs="宋体"/>
          <w:spacing w:val="7"/>
          <w:sz w:val="20"/>
          <w:szCs w:val="20"/>
        </w:rPr>
        <w:t>款〔</w:t>
      </w:r>
      <w:r>
        <w:rPr>
          <w:rFonts w:ascii="宋体" w:hAnsi="宋体" w:eastAsia="宋体" w:cs="宋体"/>
          <w:spacing w:val="6"/>
          <w:sz w:val="20"/>
          <w:szCs w:val="20"/>
        </w:rPr>
        <w:t>市场价格波动引起的调整〕、因法</w:t>
      </w:r>
      <w:r>
        <w:rPr>
          <w:rFonts w:ascii="宋体" w:hAnsi="宋体" w:eastAsia="宋体" w:cs="宋体"/>
          <w:spacing w:val="7"/>
          <w:sz w:val="20"/>
          <w:szCs w:val="20"/>
        </w:rPr>
        <w:t>律变化引起的调整按第</w:t>
      </w:r>
      <w:r>
        <w:rPr>
          <w:rFonts w:ascii="宋体" w:hAnsi="宋体" w:eastAsia="宋体" w:cs="宋体"/>
          <w:spacing w:val="-6"/>
          <w:sz w:val="20"/>
          <w:szCs w:val="20"/>
        </w:rPr>
        <w:t xml:space="preserve"> </w:t>
      </w:r>
      <w:r>
        <w:rPr>
          <w:rFonts w:ascii="宋体" w:hAnsi="宋体" w:eastAsia="宋体" w:cs="宋体"/>
          <w:spacing w:val="7"/>
          <w:sz w:val="20"/>
          <w:szCs w:val="20"/>
        </w:rPr>
        <w:t>11.2</w:t>
      </w:r>
      <w:r>
        <w:rPr>
          <w:rFonts w:ascii="宋体" w:hAnsi="宋体" w:eastAsia="宋体" w:cs="宋体"/>
          <w:spacing w:val="-37"/>
          <w:sz w:val="20"/>
          <w:szCs w:val="20"/>
        </w:rPr>
        <w:t xml:space="preserve"> </w:t>
      </w:r>
      <w:r>
        <w:rPr>
          <w:rFonts w:ascii="宋体" w:hAnsi="宋体" w:eastAsia="宋体" w:cs="宋体"/>
          <w:spacing w:val="7"/>
          <w:sz w:val="20"/>
          <w:szCs w:val="20"/>
        </w:rPr>
        <w:t>款〔法律变化引起的调整〕约定执行。</w:t>
      </w:r>
    </w:p>
    <w:p w14:paraId="2E80CCC2">
      <w:pPr>
        <w:spacing w:line="226" w:lineRule="auto"/>
        <w:ind w:left="424"/>
        <w:rPr>
          <w:rFonts w:ascii="宋体" w:hAnsi="宋体" w:eastAsia="宋体" w:cs="宋体"/>
          <w:sz w:val="20"/>
          <w:szCs w:val="20"/>
        </w:rPr>
      </w:pPr>
      <w:r>
        <w:rPr>
          <w:rFonts w:ascii="宋体" w:hAnsi="宋体" w:eastAsia="宋体" w:cs="宋体"/>
          <w:spacing w:val="6"/>
          <w:sz w:val="20"/>
          <w:szCs w:val="20"/>
        </w:rPr>
        <w:t>3.其它价格形式</w:t>
      </w:r>
    </w:p>
    <w:p w14:paraId="5B63D0E5">
      <w:pPr>
        <w:spacing w:before="129" w:line="226" w:lineRule="auto"/>
        <w:ind w:left="420"/>
        <w:rPr>
          <w:rFonts w:ascii="宋体" w:hAnsi="宋体" w:eastAsia="宋体" w:cs="宋体"/>
          <w:sz w:val="20"/>
          <w:szCs w:val="20"/>
        </w:rPr>
      </w:pPr>
      <w:r>
        <w:rPr>
          <w:rFonts w:ascii="宋体" w:hAnsi="宋体" w:eastAsia="宋体" w:cs="宋体"/>
          <w:spacing w:val="9"/>
          <w:sz w:val="20"/>
          <w:szCs w:val="20"/>
        </w:rPr>
        <w:t>合同当事人可在专用合同条款中约定其他合同价格形式。</w:t>
      </w:r>
    </w:p>
    <w:p w14:paraId="50D7D2F8">
      <w:pPr>
        <w:spacing w:before="128" w:line="228" w:lineRule="auto"/>
        <w:ind w:left="435"/>
        <w:rPr>
          <w:rFonts w:ascii="宋体" w:hAnsi="宋体" w:eastAsia="宋体" w:cs="宋体"/>
          <w:sz w:val="20"/>
          <w:szCs w:val="20"/>
        </w:rPr>
      </w:pPr>
      <w:r>
        <w:rPr>
          <w:rFonts w:ascii="宋体" w:hAnsi="宋体" w:eastAsia="宋体" w:cs="宋体"/>
          <w:b/>
          <w:bCs/>
          <w:sz w:val="20"/>
          <w:szCs w:val="20"/>
        </w:rPr>
        <w:t>12.2</w:t>
      </w:r>
      <w:r>
        <w:rPr>
          <w:rFonts w:ascii="宋体" w:hAnsi="宋体" w:eastAsia="宋体" w:cs="宋体"/>
          <w:spacing w:val="20"/>
          <w:sz w:val="20"/>
          <w:szCs w:val="20"/>
        </w:rPr>
        <w:t xml:space="preserve"> </w:t>
      </w:r>
      <w:r>
        <w:rPr>
          <w:rFonts w:ascii="宋体" w:hAnsi="宋体" w:eastAsia="宋体" w:cs="宋体"/>
          <w:b/>
          <w:bCs/>
          <w:sz w:val="20"/>
          <w:szCs w:val="20"/>
        </w:rPr>
        <w:t>预付款</w:t>
      </w:r>
    </w:p>
    <w:p w14:paraId="500B0C43">
      <w:pPr>
        <w:spacing w:before="128" w:line="228" w:lineRule="auto"/>
        <w:ind w:left="435"/>
        <w:rPr>
          <w:rFonts w:ascii="宋体" w:hAnsi="宋体" w:eastAsia="宋体" w:cs="宋体"/>
          <w:sz w:val="20"/>
          <w:szCs w:val="20"/>
        </w:rPr>
      </w:pPr>
      <w:r>
        <w:rPr>
          <w:rFonts w:ascii="宋体" w:hAnsi="宋体" w:eastAsia="宋体" w:cs="宋体"/>
          <w:b/>
          <w:bCs/>
          <w:spacing w:val="4"/>
          <w:sz w:val="20"/>
          <w:szCs w:val="20"/>
        </w:rPr>
        <w:t>12.2.1</w:t>
      </w:r>
      <w:r>
        <w:rPr>
          <w:rFonts w:ascii="宋体" w:hAnsi="宋体" w:eastAsia="宋体" w:cs="宋体"/>
          <w:spacing w:val="4"/>
          <w:sz w:val="20"/>
          <w:szCs w:val="20"/>
        </w:rPr>
        <w:t xml:space="preserve"> </w:t>
      </w:r>
      <w:r>
        <w:rPr>
          <w:rFonts w:ascii="宋体" w:hAnsi="宋体" w:eastAsia="宋体" w:cs="宋体"/>
          <w:b/>
          <w:bCs/>
          <w:spacing w:val="4"/>
          <w:sz w:val="20"/>
          <w:szCs w:val="20"/>
        </w:rPr>
        <w:t>预付款的支付</w:t>
      </w:r>
    </w:p>
    <w:p w14:paraId="376140CC">
      <w:pPr>
        <w:spacing w:before="127" w:line="346" w:lineRule="auto"/>
        <w:ind w:left="1" w:firstLine="420"/>
        <w:rPr>
          <w:rFonts w:ascii="宋体" w:hAnsi="宋体" w:eastAsia="宋体" w:cs="宋体"/>
          <w:sz w:val="20"/>
          <w:szCs w:val="20"/>
        </w:rPr>
      </w:pPr>
      <w:r>
        <w:rPr>
          <w:rFonts w:ascii="宋体" w:hAnsi="宋体" w:eastAsia="宋体" w:cs="宋体"/>
          <w:spacing w:val="6"/>
          <w:sz w:val="20"/>
          <w:szCs w:val="20"/>
        </w:rPr>
        <w:t>预付款的支付按照专用合同条款约定执行，但至迟应在开工通知载明的开工日期</w:t>
      </w:r>
      <w:r>
        <w:rPr>
          <w:rFonts w:ascii="宋体" w:hAnsi="宋体" w:eastAsia="宋体" w:cs="宋体"/>
          <w:spacing w:val="-31"/>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天前支付。</w:t>
      </w:r>
      <w:r>
        <w:rPr>
          <w:rFonts w:ascii="宋体" w:hAnsi="宋体" w:eastAsia="宋体" w:cs="宋体"/>
          <w:spacing w:val="9"/>
          <w:sz w:val="20"/>
          <w:szCs w:val="20"/>
        </w:rPr>
        <w:t>预付款应当用于材料、工程设备、施工设备的采购及修建临时工程、组织施工队伍进场等。</w:t>
      </w:r>
    </w:p>
    <w:p w14:paraId="0FEBEF89">
      <w:pPr>
        <w:spacing w:before="1" w:line="345" w:lineRule="auto"/>
        <w:ind w:left="3" w:right="71" w:firstLine="428"/>
        <w:rPr>
          <w:rFonts w:ascii="宋体" w:hAnsi="宋体" w:eastAsia="宋体" w:cs="宋体"/>
          <w:sz w:val="20"/>
          <w:szCs w:val="20"/>
        </w:rPr>
      </w:pPr>
      <w:r>
        <w:rPr>
          <w:rFonts w:ascii="宋体" w:hAnsi="宋体" w:eastAsia="宋体" w:cs="宋体"/>
          <w:spacing w:val="10"/>
          <w:sz w:val="20"/>
          <w:szCs w:val="20"/>
        </w:rPr>
        <w:t>除专用合同条款另有约定外，预付款在进度付款中同比例扣回。在颁发工程接收证书前，提</w:t>
      </w:r>
      <w:r>
        <w:rPr>
          <w:rFonts w:ascii="宋体" w:hAnsi="宋体" w:eastAsia="宋体" w:cs="宋体"/>
          <w:spacing w:val="9"/>
          <w:sz w:val="20"/>
          <w:szCs w:val="20"/>
        </w:rPr>
        <w:t>前解除合同的，尚未扣完的预付款应与合同价款一并结算。</w:t>
      </w:r>
    </w:p>
    <w:p w14:paraId="351F8B39">
      <w:pPr>
        <w:spacing w:before="2" w:line="345" w:lineRule="auto"/>
        <w:ind w:left="3" w:right="68" w:firstLine="420"/>
        <w:jc w:val="both"/>
        <w:rPr>
          <w:rFonts w:ascii="宋体" w:hAnsi="宋体" w:eastAsia="宋体" w:cs="宋体"/>
          <w:sz w:val="20"/>
          <w:szCs w:val="20"/>
        </w:rPr>
      </w:pPr>
      <w:r>
        <w:rPr>
          <w:rFonts w:ascii="宋体" w:hAnsi="宋体" w:eastAsia="宋体" w:cs="宋体"/>
          <w:spacing w:val="9"/>
          <w:sz w:val="20"/>
          <w:szCs w:val="20"/>
        </w:rPr>
        <w:t>发包人逾期支付预付款超过</w:t>
      </w:r>
      <w:r>
        <w:rPr>
          <w:rFonts w:ascii="宋体" w:hAnsi="宋体" w:eastAsia="宋体" w:cs="宋体"/>
          <w:spacing w:val="-18"/>
          <w:sz w:val="20"/>
          <w:szCs w:val="20"/>
        </w:rPr>
        <w:t xml:space="preserve"> </w:t>
      </w:r>
      <w:r>
        <w:rPr>
          <w:rFonts w:ascii="宋体" w:hAnsi="宋体" w:eastAsia="宋体" w:cs="宋体"/>
          <w:spacing w:val="9"/>
          <w:sz w:val="20"/>
          <w:szCs w:val="20"/>
        </w:rPr>
        <w:t>7</w:t>
      </w:r>
      <w:r>
        <w:rPr>
          <w:rFonts w:ascii="宋体" w:hAnsi="宋体" w:eastAsia="宋体" w:cs="宋体"/>
          <w:spacing w:val="-31"/>
          <w:sz w:val="20"/>
          <w:szCs w:val="20"/>
        </w:rPr>
        <w:t xml:space="preserve"> </w:t>
      </w:r>
      <w:r>
        <w:rPr>
          <w:rFonts w:ascii="宋体" w:hAnsi="宋体" w:eastAsia="宋体" w:cs="宋体"/>
          <w:spacing w:val="9"/>
          <w:sz w:val="20"/>
          <w:szCs w:val="20"/>
        </w:rPr>
        <w:t>天的，承包人有权向发包人发出要求预付的催告通知，发包人</w:t>
      </w:r>
      <w:r>
        <w:rPr>
          <w:rFonts w:ascii="宋体" w:hAnsi="宋体" w:eastAsia="宋体" w:cs="宋体"/>
          <w:spacing w:val="6"/>
          <w:sz w:val="20"/>
          <w:szCs w:val="20"/>
        </w:rPr>
        <w:t>收到通知后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天内仍未支付的，承包人有权暂停施工，并按第</w:t>
      </w:r>
      <w:r>
        <w:rPr>
          <w:rFonts w:ascii="宋体" w:hAnsi="宋体" w:eastAsia="宋体" w:cs="宋体"/>
          <w:spacing w:val="-24"/>
          <w:sz w:val="20"/>
          <w:szCs w:val="20"/>
        </w:rPr>
        <w:t xml:space="preserve"> </w:t>
      </w:r>
      <w:r>
        <w:rPr>
          <w:rFonts w:ascii="宋体" w:hAnsi="宋体" w:eastAsia="宋体" w:cs="宋体"/>
          <w:spacing w:val="6"/>
          <w:sz w:val="20"/>
          <w:szCs w:val="20"/>
        </w:rPr>
        <w:t>16.</w:t>
      </w:r>
      <w:r>
        <w:rPr>
          <w:rFonts w:ascii="宋体" w:hAnsi="宋体" w:eastAsia="宋体" w:cs="宋体"/>
          <w:spacing w:val="5"/>
          <w:sz w:val="20"/>
          <w:szCs w:val="20"/>
        </w:rPr>
        <w:t>1.1</w:t>
      </w:r>
      <w:r>
        <w:rPr>
          <w:rFonts w:ascii="宋体" w:hAnsi="宋体" w:eastAsia="宋体" w:cs="宋体"/>
          <w:spacing w:val="-34"/>
          <w:sz w:val="20"/>
          <w:szCs w:val="20"/>
        </w:rPr>
        <w:t xml:space="preserve"> </w:t>
      </w:r>
      <w:r>
        <w:rPr>
          <w:rFonts w:ascii="宋体" w:hAnsi="宋体" w:eastAsia="宋体" w:cs="宋体"/>
          <w:spacing w:val="5"/>
          <w:sz w:val="20"/>
          <w:szCs w:val="20"/>
        </w:rPr>
        <w:t>项〔发包人违约的情形〕执</w:t>
      </w:r>
      <w:r>
        <w:rPr>
          <w:rFonts w:ascii="宋体" w:hAnsi="宋体" w:eastAsia="宋体" w:cs="宋体"/>
          <w:spacing w:val="-2"/>
          <w:sz w:val="20"/>
          <w:szCs w:val="20"/>
        </w:rPr>
        <w:t>行。</w:t>
      </w:r>
    </w:p>
    <w:p w14:paraId="5F58A1FF">
      <w:pPr>
        <w:spacing w:line="227" w:lineRule="auto"/>
        <w:ind w:left="435"/>
        <w:rPr>
          <w:rFonts w:ascii="宋体" w:hAnsi="宋体" w:eastAsia="宋体" w:cs="宋体"/>
          <w:sz w:val="20"/>
          <w:szCs w:val="20"/>
        </w:rPr>
      </w:pPr>
      <w:r>
        <w:rPr>
          <w:rFonts w:ascii="宋体" w:hAnsi="宋体" w:eastAsia="宋体" w:cs="宋体"/>
          <w:b/>
          <w:bCs/>
          <w:spacing w:val="3"/>
          <w:sz w:val="20"/>
          <w:szCs w:val="20"/>
        </w:rPr>
        <w:t>12.2.2</w:t>
      </w:r>
      <w:r>
        <w:rPr>
          <w:rFonts w:ascii="宋体" w:hAnsi="宋体" w:eastAsia="宋体" w:cs="宋体"/>
          <w:spacing w:val="3"/>
          <w:sz w:val="20"/>
          <w:szCs w:val="20"/>
        </w:rPr>
        <w:t xml:space="preserve"> </w:t>
      </w:r>
      <w:r>
        <w:rPr>
          <w:rFonts w:ascii="宋体" w:hAnsi="宋体" w:eastAsia="宋体" w:cs="宋体"/>
          <w:b/>
          <w:bCs/>
          <w:spacing w:val="3"/>
          <w:sz w:val="20"/>
          <w:szCs w:val="20"/>
        </w:rPr>
        <w:t>预付款担保</w:t>
      </w:r>
    </w:p>
    <w:p w14:paraId="44434E30">
      <w:pPr>
        <w:spacing w:before="127" w:line="346" w:lineRule="auto"/>
        <w:ind w:right="16" w:firstLine="423"/>
        <w:jc w:val="both"/>
        <w:rPr>
          <w:rFonts w:ascii="宋体" w:hAnsi="宋体" w:eastAsia="宋体" w:cs="宋体"/>
          <w:sz w:val="20"/>
          <w:szCs w:val="20"/>
        </w:rPr>
      </w:pPr>
      <w:r>
        <w:rPr>
          <w:rFonts w:ascii="宋体" w:hAnsi="宋体" w:eastAsia="宋体" w:cs="宋体"/>
          <w:spacing w:val="6"/>
          <w:sz w:val="20"/>
          <w:szCs w:val="20"/>
        </w:rPr>
        <w:t>发包人要求承包人提供预付款担保的，承包人应在发包人支</w:t>
      </w:r>
      <w:r>
        <w:rPr>
          <w:rFonts w:ascii="宋体" w:hAnsi="宋体" w:eastAsia="宋体" w:cs="宋体"/>
          <w:spacing w:val="5"/>
          <w:sz w:val="20"/>
          <w:szCs w:val="20"/>
        </w:rPr>
        <w:t>付预付款</w:t>
      </w:r>
      <w:r>
        <w:rPr>
          <w:rFonts w:ascii="宋体" w:hAnsi="宋体" w:eastAsia="宋体" w:cs="宋体"/>
          <w:spacing w:val="-34"/>
          <w:sz w:val="20"/>
          <w:szCs w:val="20"/>
        </w:rPr>
        <w:t xml:space="preserve"> </w:t>
      </w:r>
      <w:r>
        <w:rPr>
          <w:rFonts w:ascii="宋体" w:hAnsi="宋体" w:eastAsia="宋体" w:cs="宋体"/>
          <w:spacing w:val="5"/>
          <w:sz w:val="20"/>
          <w:szCs w:val="20"/>
        </w:rPr>
        <w:t>7</w:t>
      </w:r>
      <w:r>
        <w:rPr>
          <w:rFonts w:ascii="宋体" w:hAnsi="宋体" w:eastAsia="宋体" w:cs="宋体"/>
          <w:spacing w:val="-34"/>
          <w:sz w:val="20"/>
          <w:szCs w:val="20"/>
        </w:rPr>
        <w:t xml:space="preserve"> </w:t>
      </w:r>
      <w:r>
        <w:rPr>
          <w:rFonts w:ascii="宋体" w:hAnsi="宋体" w:eastAsia="宋体" w:cs="宋体"/>
          <w:spacing w:val="5"/>
          <w:sz w:val="20"/>
          <w:szCs w:val="20"/>
        </w:rPr>
        <w:t>天前提供预付款担保，</w:t>
      </w:r>
      <w:r>
        <w:rPr>
          <w:rFonts w:ascii="宋体" w:hAnsi="宋体" w:eastAsia="宋体" w:cs="宋体"/>
          <w:spacing w:val="10"/>
          <w:sz w:val="20"/>
          <w:szCs w:val="20"/>
        </w:rPr>
        <w:t>专用合同条款另有约定除外。预付款担保可采用银行保函、担保公司担保等形式，具体由合同当事人在专用合同条款中约定。在预付款完全</w:t>
      </w:r>
      <w:r>
        <w:rPr>
          <w:rFonts w:ascii="宋体" w:hAnsi="宋体" w:eastAsia="宋体" w:cs="宋体"/>
          <w:spacing w:val="9"/>
          <w:sz w:val="20"/>
          <w:szCs w:val="20"/>
        </w:rPr>
        <w:t>扣回之前，承包人应保证预付款担保持续有效。</w:t>
      </w:r>
    </w:p>
    <w:p w14:paraId="3C2B7106">
      <w:pPr>
        <w:spacing w:before="2" w:line="346" w:lineRule="auto"/>
        <w:ind w:right="71" w:firstLine="423"/>
        <w:rPr>
          <w:rFonts w:ascii="宋体" w:hAnsi="宋体" w:eastAsia="宋体" w:cs="宋体"/>
          <w:sz w:val="20"/>
          <w:szCs w:val="20"/>
        </w:rPr>
      </w:pPr>
      <w:r>
        <w:rPr>
          <w:rFonts w:ascii="宋体" w:hAnsi="宋体" w:eastAsia="宋体" w:cs="宋体"/>
          <w:spacing w:val="10"/>
          <w:sz w:val="20"/>
          <w:szCs w:val="20"/>
        </w:rPr>
        <w:t>发包人在工程款中逐期扣回预付款后，预付款担保额度应相应减少，但剩余的预付款担保金</w:t>
      </w:r>
      <w:r>
        <w:rPr>
          <w:rFonts w:ascii="宋体" w:hAnsi="宋体" w:eastAsia="宋体" w:cs="宋体"/>
          <w:spacing w:val="8"/>
          <w:sz w:val="20"/>
          <w:szCs w:val="20"/>
        </w:rPr>
        <w:t>额不得低于未被扣回的预付款金额。</w:t>
      </w:r>
    </w:p>
    <w:p w14:paraId="4E55854B">
      <w:pPr>
        <w:spacing w:line="304" w:lineRule="auto"/>
        <w:rPr>
          <w:rFonts w:ascii="Arial"/>
          <w:sz w:val="21"/>
        </w:rPr>
      </w:pPr>
    </w:p>
    <w:p w14:paraId="54D761A0">
      <w:pPr>
        <w:spacing w:before="66" w:line="229" w:lineRule="auto"/>
        <w:ind w:left="435"/>
        <w:rPr>
          <w:rFonts w:ascii="宋体" w:hAnsi="宋体" w:eastAsia="宋体" w:cs="宋体"/>
          <w:sz w:val="20"/>
          <w:szCs w:val="20"/>
        </w:rPr>
      </w:pPr>
      <w:r>
        <w:rPr>
          <w:rFonts w:ascii="宋体" w:hAnsi="宋体" w:eastAsia="宋体" w:cs="宋体"/>
          <w:b/>
          <w:bCs/>
          <w:spacing w:val="-1"/>
          <w:sz w:val="20"/>
          <w:szCs w:val="20"/>
        </w:rPr>
        <w:t>12.3</w:t>
      </w:r>
      <w:r>
        <w:rPr>
          <w:rFonts w:ascii="宋体" w:hAnsi="宋体" w:eastAsia="宋体" w:cs="宋体"/>
          <w:spacing w:val="16"/>
          <w:sz w:val="20"/>
          <w:szCs w:val="20"/>
        </w:rPr>
        <w:t xml:space="preserve"> </w:t>
      </w:r>
      <w:r>
        <w:rPr>
          <w:rFonts w:ascii="宋体" w:hAnsi="宋体" w:eastAsia="宋体" w:cs="宋体"/>
          <w:b/>
          <w:bCs/>
          <w:spacing w:val="-1"/>
          <w:sz w:val="20"/>
          <w:szCs w:val="20"/>
        </w:rPr>
        <w:t>计量</w:t>
      </w:r>
    </w:p>
    <w:p w14:paraId="436D3E62">
      <w:pPr>
        <w:spacing w:before="126" w:line="228" w:lineRule="auto"/>
        <w:ind w:left="435"/>
        <w:rPr>
          <w:rFonts w:ascii="宋体" w:hAnsi="宋体" w:eastAsia="宋体" w:cs="宋体"/>
          <w:sz w:val="20"/>
          <w:szCs w:val="20"/>
        </w:rPr>
      </w:pPr>
      <w:r>
        <w:rPr>
          <w:rFonts w:ascii="宋体" w:hAnsi="宋体" w:eastAsia="宋体" w:cs="宋体"/>
          <w:b/>
          <w:bCs/>
          <w:spacing w:val="3"/>
          <w:sz w:val="20"/>
          <w:szCs w:val="20"/>
        </w:rPr>
        <w:t>12.3.1</w:t>
      </w:r>
      <w:r>
        <w:rPr>
          <w:rFonts w:ascii="宋体" w:hAnsi="宋体" w:eastAsia="宋体" w:cs="宋体"/>
          <w:spacing w:val="3"/>
          <w:sz w:val="20"/>
          <w:szCs w:val="20"/>
        </w:rPr>
        <w:t xml:space="preserve"> </w:t>
      </w:r>
      <w:r>
        <w:rPr>
          <w:rFonts w:ascii="宋体" w:hAnsi="宋体" w:eastAsia="宋体" w:cs="宋体"/>
          <w:b/>
          <w:bCs/>
          <w:spacing w:val="3"/>
          <w:sz w:val="20"/>
          <w:szCs w:val="20"/>
        </w:rPr>
        <w:t>计量原则</w:t>
      </w:r>
    </w:p>
    <w:p w14:paraId="3E424F69">
      <w:pPr>
        <w:spacing w:before="126" w:line="346" w:lineRule="auto"/>
        <w:ind w:right="71" w:firstLine="422"/>
        <w:rPr>
          <w:rFonts w:ascii="宋体" w:hAnsi="宋体" w:eastAsia="宋体" w:cs="宋体"/>
          <w:sz w:val="20"/>
          <w:szCs w:val="20"/>
        </w:rPr>
      </w:pPr>
      <w:r>
        <w:rPr>
          <w:rFonts w:ascii="宋体" w:hAnsi="宋体" w:eastAsia="宋体" w:cs="宋体"/>
          <w:spacing w:val="10"/>
          <w:sz w:val="20"/>
          <w:szCs w:val="20"/>
        </w:rPr>
        <w:t>工程量计量按照合同约定的工程量计算规则、图纸及变更指示等进行计量。工程量计算规则</w:t>
      </w:r>
      <w:r>
        <w:rPr>
          <w:rFonts w:ascii="宋体" w:hAnsi="宋体" w:eastAsia="宋体" w:cs="宋体"/>
          <w:spacing w:val="9"/>
          <w:sz w:val="20"/>
          <w:szCs w:val="20"/>
        </w:rPr>
        <w:t>应以相关的国家标准、行业标准等为依据，由合同当事人在专用合同条款中约定。</w:t>
      </w:r>
    </w:p>
    <w:p w14:paraId="7FB74266">
      <w:pPr>
        <w:spacing w:before="1" w:line="228" w:lineRule="auto"/>
        <w:ind w:left="435"/>
        <w:rPr>
          <w:rFonts w:ascii="宋体" w:hAnsi="宋体" w:eastAsia="宋体" w:cs="宋体"/>
          <w:sz w:val="20"/>
          <w:szCs w:val="20"/>
        </w:rPr>
      </w:pPr>
      <w:r>
        <w:rPr>
          <w:rFonts w:ascii="宋体" w:hAnsi="宋体" w:eastAsia="宋体" w:cs="宋体"/>
          <w:b/>
          <w:bCs/>
          <w:spacing w:val="3"/>
          <w:sz w:val="20"/>
          <w:szCs w:val="20"/>
        </w:rPr>
        <w:t>12.3.2</w:t>
      </w:r>
      <w:r>
        <w:rPr>
          <w:rFonts w:ascii="宋体" w:hAnsi="宋体" w:eastAsia="宋体" w:cs="宋体"/>
          <w:spacing w:val="3"/>
          <w:sz w:val="20"/>
          <w:szCs w:val="20"/>
        </w:rPr>
        <w:t xml:space="preserve"> </w:t>
      </w:r>
      <w:r>
        <w:rPr>
          <w:rFonts w:ascii="宋体" w:hAnsi="宋体" w:eastAsia="宋体" w:cs="宋体"/>
          <w:b/>
          <w:bCs/>
          <w:spacing w:val="3"/>
          <w:sz w:val="20"/>
          <w:szCs w:val="20"/>
        </w:rPr>
        <w:t>计量周期</w:t>
      </w:r>
    </w:p>
    <w:p w14:paraId="6CDCECAB">
      <w:pPr>
        <w:spacing w:before="126" w:line="228" w:lineRule="auto"/>
        <w:ind w:left="432"/>
        <w:rPr>
          <w:rFonts w:ascii="宋体" w:hAnsi="宋体" w:eastAsia="宋体" w:cs="宋体"/>
          <w:sz w:val="20"/>
          <w:szCs w:val="20"/>
        </w:rPr>
      </w:pPr>
      <w:r>
        <w:rPr>
          <w:rFonts w:ascii="宋体" w:hAnsi="宋体" w:eastAsia="宋体" w:cs="宋体"/>
          <w:spacing w:val="8"/>
          <w:sz w:val="20"/>
          <w:szCs w:val="20"/>
        </w:rPr>
        <w:t>除专用合同条款另有约定外，工程量的计量按月进行。</w:t>
      </w:r>
    </w:p>
    <w:p w14:paraId="325C68F8">
      <w:pPr>
        <w:spacing w:before="128" w:line="226" w:lineRule="auto"/>
        <w:ind w:left="435"/>
        <w:rPr>
          <w:rFonts w:ascii="宋体" w:hAnsi="宋体" w:eastAsia="宋体" w:cs="宋体"/>
          <w:sz w:val="20"/>
          <w:szCs w:val="20"/>
        </w:rPr>
      </w:pPr>
      <w:r>
        <w:rPr>
          <w:rFonts w:ascii="宋体" w:hAnsi="宋体" w:eastAsia="宋体" w:cs="宋体"/>
          <w:b/>
          <w:bCs/>
          <w:spacing w:val="4"/>
          <w:sz w:val="20"/>
          <w:szCs w:val="20"/>
        </w:rPr>
        <w:t>12.3.3</w:t>
      </w:r>
      <w:r>
        <w:rPr>
          <w:rFonts w:ascii="宋体" w:hAnsi="宋体" w:eastAsia="宋体" w:cs="宋体"/>
          <w:spacing w:val="4"/>
          <w:sz w:val="20"/>
          <w:szCs w:val="20"/>
        </w:rPr>
        <w:t xml:space="preserve"> </w:t>
      </w:r>
      <w:r>
        <w:rPr>
          <w:rFonts w:ascii="宋体" w:hAnsi="宋体" w:eastAsia="宋体" w:cs="宋体"/>
          <w:b/>
          <w:bCs/>
          <w:spacing w:val="4"/>
          <w:sz w:val="20"/>
          <w:szCs w:val="20"/>
        </w:rPr>
        <w:t>单价合同的计量</w:t>
      </w:r>
    </w:p>
    <w:p w14:paraId="5820AE05">
      <w:pPr>
        <w:spacing w:before="130" w:line="226" w:lineRule="auto"/>
        <w:ind w:left="432"/>
        <w:rPr>
          <w:rFonts w:ascii="宋体" w:hAnsi="宋体" w:eastAsia="宋体" w:cs="宋体"/>
          <w:sz w:val="20"/>
          <w:szCs w:val="20"/>
        </w:rPr>
      </w:pPr>
      <w:r>
        <w:rPr>
          <w:rFonts w:ascii="宋体" w:hAnsi="宋体" w:eastAsia="宋体" w:cs="宋体"/>
          <w:spacing w:val="9"/>
          <w:sz w:val="20"/>
          <w:szCs w:val="20"/>
        </w:rPr>
        <w:t>除专用合同条款另有约定外，单价合同的计量按照本项</w:t>
      </w:r>
      <w:r>
        <w:rPr>
          <w:rFonts w:ascii="宋体" w:hAnsi="宋体" w:eastAsia="宋体" w:cs="宋体"/>
          <w:spacing w:val="8"/>
          <w:sz w:val="20"/>
          <w:szCs w:val="20"/>
        </w:rPr>
        <w:t>约定执行：</w:t>
      </w:r>
    </w:p>
    <w:p w14:paraId="0C467261">
      <w:pPr>
        <w:spacing w:before="129" w:line="347" w:lineRule="auto"/>
        <w:ind w:left="4" w:right="70" w:firstLine="425"/>
        <w:rPr>
          <w:rFonts w:ascii="宋体" w:hAnsi="宋体" w:eastAsia="宋体" w:cs="宋体"/>
          <w:sz w:val="20"/>
          <w:szCs w:val="20"/>
        </w:rPr>
      </w:pPr>
      <w:r>
        <w:rPr>
          <w:rFonts w:ascii="宋体" w:hAnsi="宋体" w:eastAsia="宋体" w:cs="宋体"/>
          <w:spacing w:val="4"/>
          <w:sz w:val="20"/>
          <w:szCs w:val="20"/>
        </w:rPr>
        <w:t>（1）承包人应于每月</w:t>
      </w:r>
      <w:r>
        <w:rPr>
          <w:rFonts w:ascii="宋体" w:hAnsi="宋体" w:eastAsia="宋体" w:cs="宋体"/>
          <w:spacing w:val="-20"/>
          <w:sz w:val="20"/>
          <w:szCs w:val="20"/>
        </w:rPr>
        <w:t xml:space="preserve"> </w:t>
      </w:r>
      <w:r>
        <w:rPr>
          <w:rFonts w:ascii="宋体" w:hAnsi="宋体" w:eastAsia="宋体" w:cs="宋体"/>
          <w:spacing w:val="4"/>
          <w:sz w:val="20"/>
          <w:szCs w:val="20"/>
        </w:rPr>
        <w:t>25 日向监理人报送上月</w:t>
      </w:r>
      <w:r>
        <w:rPr>
          <w:rFonts w:ascii="宋体" w:hAnsi="宋体" w:eastAsia="宋体" w:cs="宋体"/>
          <w:spacing w:val="-34"/>
          <w:sz w:val="20"/>
          <w:szCs w:val="20"/>
        </w:rPr>
        <w:t xml:space="preserve"> </w:t>
      </w:r>
      <w:r>
        <w:rPr>
          <w:rFonts w:ascii="宋体" w:hAnsi="宋体" w:eastAsia="宋体" w:cs="宋体"/>
          <w:spacing w:val="4"/>
          <w:sz w:val="20"/>
          <w:szCs w:val="20"/>
        </w:rPr>
        <w:t>20 日至当月</w:t>
      </w:r>
      <w:r>
        <w:rPr>
          <w:rFonts w:ascii="宋体" w:hAnsi="宋体" w:eastAsia="宋体" w:cs="宋体"/>
          <w:spacing w:val="-24"/>
          <w:sz w:val="20"/>
          <w:szCs w:val="20"/>
        </w:rPr>
        <w:t xml:space="preserve"> </w:t>
      </w:r>
      <w:r>
        <w:rPr>
          <w:rFonts w:ascii="宋体" w:hAnsi="宋体" w:eastAsia="宋体" w:cs="宋体"/>
          <w:spacing w:val="4"/>
          <w:sz w:val="20"/>
          <w:szCs w:val="20"/>
        </w:rPr>
        <w:t>19 日已完成的工程量报告，并附</w:t>
      </w:r>
      <w:r>
        <w:rPr>
          <w:rFonts w:ascii="宋体" w:hAnsi="宋体" w:eastAsia="宋体" w:cs="宋体"/>
          <w:spacing w:val="9"/>
          <w:sz w:val="20"/>
          <w:szCs w:val="20"/>
        </w:rPr>
        <w:t>具进度付款申请单、已完成工程量报表和有关</w:t>
      </w:r>
      <w:r>
        <w:rPr>
          <w:rFonts w:ascii="宋体" w:hAnsi="宋体" w:eastAsia="宋体" w:cs="宋体"/>
          <w:spacing w:val="8"/>
          <w:sz w:val="20"/>
          <w:szCs w:val="20"/>
        </w:rPr>
        <w:t>资料。</w:t>
      </w:r>
    </w:p>
    <w:p w14:paraId="7761E94C">
      <w:pPr>
        <w:spacing w:line="347" w:lineRule="auto"/>
        <w:rPr>
          <w:rFonts w:ascii="宋体" w:hAnsi="宋体" w:eastAsia="宋体" w:cs="宋体"/>
          <w:sz w:val="20"/>
          <w:szCs w:val="20"/>
        </w:rPr>
        <w:sectPr>
          <w:footerReference r:id="rId370" w:type="default"/>
          <w:pgSz w:w="11906" w:h="16839"/>
          <w:pgMar w:top="400" w:right="1462" w:bottom="1446" w:left="1539" w:header="0" w:footer="1284" w:gutter="0"/>
          <w:cols w:space="720" w:num="1"/>
        </w:sectPr>
      </w:pPr>
    </w:p>
    <w:p w14:paraId="31F23E54">
      <w:pPr>
        <w:spacing w:line="246" w:lineRule="auto"/>
        <w:rPr>
          <w:rFonts w:ascii="Arial"/>
          <w:sz w:val="21"/>
        </w:rPr>
      </w:pPr>
    </w:p>
    <w:p w14:paraId="7DF44647">
      <w:pPr>
        <w:spacing w:line="246" w:lineRule="auto"/>
        <w:rPr>
          <w:rFonts w:ascii="Arial"/>
          <w:sz w:val="21"/>
        </w:rPr>
      </w:pPr>
    </w:p>
    <w:p w14:paraId="3A8AE9B9">
      <w:pPr>
        <w:spacing w:line="246" w:lineRule="auto"/>
        <w:rPr>
          <w:rFonts w:ascii="Arial"/>
          <w:sz w:val="21"/>
        </w:rPr>
      </w:pPr>
    </w:p>
    <w:p w14:paraId="244A819F">
      <w:pPr>
        <w:spacing w:line="246" w:lineRule="auto"/>
        <w:rPr>
          <w:rFonts w:ascii="Arial"/>
          <w:sz w:val="21"/>
        </w:rPr>
      </w:pPr>
    </w:p>
    <w:p w14:paraId="1868C9F5">
      <w:pPr>
        <w:spacing w:line="246" w:lineRule="auto"/>
        <w:rPr>
          <w:rFonts w:ascii="Arial"/>
          <w:sz w:val="21"/>
        </w:rPr>
      </w:pPr>
    </w:p>
    <w:p w14:paraId="4A2E07D9">
      <w:pPr>
        <w:spacing w:line="246" w:lineRule="auto"/>
        <w:rPr>
          <w:rFonts w:ascii="Arial"/>
          <w:sz w:val="21"/>
        </w:rPr>
      </w:pPr>
    </w:p>
    <w:p w14:paraId="4A8FC687">
      <w:pPr>
        <w:spacing w:before="65" w:line="346" w:lineRule="auto"/>
        <w:ind w:left="1" w:right="52" w:firstLine="430"/>
        <w:rPr>
          <w:rFonts w:ascii="宋体" w:hAnsi="宋体" w:eastAsia="宋体" w:cs="宋体"/>
          <w:sz w:val="20"/>
          <w:szCs w:val="20"/>
        </w:rPr>
      </w:pPr>
      <w:r>
        <w:rPr>
          <w:rFonts w:ascii="宋体" w:hAnsi="宋体" w:eastAsia="宋体" w:cs="宋体"/>
          <w:spacing w:val="7"/>
          <w:sz w:val="20"/>
          <w:szCs w:val="20"/>
        </w:rPr>
        <w:t>（2）监理人应在收到承包人提交的工程量报告后</w:t>
      </w:r>
      <w:r>
        <w:rPr>
          <w:rFonts w:ascii="宋体" w:hAnsi="宋体" w:eastAsia="宋体" w:cs="宋体"/>
          <w:spacing w:val="-34"/>
          <w:sz w:val="20"/>
          <w:szCs w:val="20"/>
        </w:rPr>
        <w:t xml:space="preserve"> </w:t>
      </w:r>
      <w:r>
        <w:rPr>
          <w:rFonts w:ascii="宋体" w:hAnsi="宋体" w:eastAsia="宋体" w:cs="宋体"/>
          <w:spacing w:val="7"/>
          <w:sz w:val="20"/>
          <w:szCs w:val="20"/>
        </w:rPr>
        <w:t>7</w:t>
      </w:r>
      <w:r>
        <w:rPr>
          <w:rFonts w:ascii="宋体" w:hAnsi="宋体" w:eastAsia="宋体" w:cs="宋体"/>
          <w:spacing w:val="-34"/>
          <w:sz w:val="20"/>
          <w:szCs w:val="20"/>
        </w:rPr>
        <w:t xml:space="preserve"> </w:t>
      </w:r>
      <w:r>
        <w:rPr>
          <w:rFonts w:ascii="宋体" w:hAnsi="宋体" w:eastAsia="宋体" w:cs="宋体"/>
          <w:spacing w:val="7"/>
          <w:sz w:val="20"/>
          <w:szCs w:val="20"/>
        </w:rPr>
        <w:t>天</w:t>
      </w:r>
      <w:r>
        <w:rPr>
          <w:rFonts w:ascii="宋体" w:hAnsi="宋体" w:eastAsia="宋体" w:cs="宋体"/>
          <w:spacing w:val="6"/>
          <w:sz w:val="20"/>
          <w:szCs w:val="20"/>
        </w:rPr>
        <w:t>内完成对承包人提交的工程量报表的审</w:t>
      </w:r>
      <w:r>
        <w:rPr>
          <w:rFonts w:ascii="宋体" w:hAnsi="宋体" w:eastAsia="宋体" w:cs="宋体"/>
          <w:spacing w:val="9"/>
          <w:sz w:val="20"/>
          <w:szCs w:val="20"/>
        </w:rPr>
        <w:t>核并报送发包人，</w:t>
      </w:r>
      <w:r>
        <w:rPr>
          <w:rFonts w:ascii="宋体" w:hAnsi="宋体" w:eastAsia="宋体" w:cs="宋体"/>
          <w:spacing w:val="-46"/>
          <w:sz w:val="20"/>
          <w:szCs w:val="20"/>
        </w:rPr>
        <w:t xml:space="preserve"> </w:t>
      </w:r>
      <w:r>
        <w:rPr>
          <w:rFonts w:ascii="宋体" w:hAnsi="宋体" w:eastAsia="宋体" w:cs="宋体"/>
          <w:spacing w:val="9"/>
          <w:sz w:val="20"/>
          <w:szCs w:val="20"/>
        </w:rPr>
        <w:t>以确定当月实际完成的工程量。监理人对工程量有异议的，有权要求承包人进</w:t>
      </w:r>
      <w:r>
        <w:rPr>
          <w:rFonts w:ascii="宋体" w:hAnsi="宋体" w:eastAsia="宋体" w:cs="宋体"/>
          <w:spacing w:val="10"/>
          <w:sz w:val="20"/>
          <w:szCs w:val="20"/>
        </w:rPr>
        <w:t>行共同复核或抽样复测。承包人应协助监理人进行复核或抽样复测，并按监理人要求提供补充计量资料。承包人未按监理人要求参加复核或抽样复测的，监理人复核或修正的工程量视为承包人</w:t>
      </w:r>
      <w:r>
        <w:rPr>
          <w:rFonts w:ascii="宋体" w:hAnsi="宋体" w:eastAsia="宋体" w:cs="宋体"/>
          <w:spacing w:val="7"/>
          <w:sz w:val="20"/>
          <w:szCs w:val="20"/>
        </w:rPr>
        <w:t>实际完成的工程量。</w:t>
      </w:r>
    </w:p>
    <w:p w14:paraId="7BC2D6AF">
      <w:pPr>
        <w:spacing w:before="1" w:line="345" w:lineRule="auto"/>
        <w:ind w:right="52" w:firstLine="431"/>
        <w:rPr>
          <w:rFonts w:ascii="宋体" w:hAnsi="宋体" w:eastAsia="宋体" w:cs="宋体"/>
          <w:sz w:val="20"/>
          <w:szCs w:val="20"/>
        </w:rPr>
      </w:pPr>
      <w:r>
        <w:rPr>
          <w:rFonts w:ascii="宋体" w:hAnsi="宋体" w:eastAsia="宋体" w:cs="宋体"/>
          <w:spacing w:val="7"/>
          <w:sz w:val="20"/>
          <w:szCs w:val="20"/>
        </w:rPr>
        <w:t>（3）监理人未在收到承包人提交的工程量报表后的</w:t>
      </w:r>
      <w:r>
        <w:rPr>
          <w:rFonts w:ascii="宋体" w:hAnsi="宋体" w:eastAsia="宋体" w:cs="宋体"/>
          <w:spacing w:val="-32"/>
          <w:sz w:val="20"/>
          <w:szCs w:val="20"/>
        </w:rPr>
        <w:t xml:space="preserve"> </w:t>
      </w:r>
      <w:r>
        <w:rPr>
          <w:rFonts w:ascii="宋体" w:hAnsi="宋体" w:eastAsia="宋体" w:cs="宋体"/>
          <w:spacing w:val="7"/>
          <w:sz w:val="20"/>
          <w:szCs w:val="20"/>
        </w:rPr>
        <w:t>7</w:t>
      </w:r>
      <w:r>
        <w:rPr>
          <w:rFonts w:ascii="宋体" w:hAnsi="宋体" w:eastAsia="宋体" w:cs="宋体"/>
          <w:spacing w:val="-36"/>
          <w:sz w:val="20"/>
          <w:szCs w:val="20"/>
        </w:rPr>
        <w:t xml:space="preserve"> </w:t>
      </w:r>
      <w:r>
        <w:rPr>
          <w:rFonts w:ascii="宋体" w:hAnsi="宋体" w:eastAsia="宋体" w:cs="宋体"/>
          <w:spacing w:val="6"/>
          <w:sz w:val="20"/>
          <w:szCs w:val="20"/>
        </w:rPr>
        <w:t>天内完成审核的，承包人报送的工程量</w:t>
      </w:r>
      <w:r>
        <w:rPr>
          <w:rFonts w:ascii="宋体" w:hAnsi="宋体" w:eastAsia="宋体" w:cs="宋体"/>
          <w:spacing w:val="9"/>
          <w:sz w:val="20"/>
          <w:szCs w:val="20"/>
        </w:rPr>
        <w:t>报告中的工程量视为承包人实际完成的工程量，据此计算工程价款。</w:t>
      </w:r>
    </w:p>
    <w:p w14:paraId="20356CD4">
      <w:pPr>
        <w:spacing w:line="226" w:lineRule="auto"/>
        <w:ind w:left="437"/>
        <w:rPr>
          <w:rFonts w:ascii="宋体" w:hAnsi="宋体" w:eastAsia="宋体" w:cs="宋体"/>
          <w:sz w:val="20"/>
          <w:szCs w:val="20"/>
        </w:rPr>
      </w:pPr>
      <w:r>
        <w:rPr>
          <w:rFonts w:ascii="宋体" w:hAnsi="宋体" w:eastAsia="宋体" w:cs="宋体"/>
          <w:b/>
          <w:bCs/>
          <w:spacing w:val="4"/>
          <w:sz w:val="20"/>
          <w:szCs w:val="20"/>
        </w:rPr>
        <w:t>12.3.4</w:t>
      </w:r>
      <w:r>
        <w:rPr>
          <w:rFonts w:ascii="宋体" w:hAnsi="宋体" w:eastAsia="宋体" w:cs="宋体"/>
          <w:spacing w:val="4"/>
          <w:sz w:val="20"/>
          <w:szCs w:val="20"/>
        </w:rPr>
        <w:t xml:space="preserve"> </w:t>
      </w:r>
      <w:r>
        <w:rPr>
          <w:rFonts w:ascii="宋体" w:hAnsi="宋体" w:eastAsia="宋体" w:cs="宋体"/>
          <w:b/>
          <w:bCs/>
          <w:spacing w:val="4"/>
          <w:sz w:val="20"/>
          <w:szCs w:val="20"/>
        </w:rPr>
        <w:t>总价合同的计量</w:t>
      </w:r>
    </w:p>
    <w:p w14:paraId="651F58B1">
      <w:pPr>
        <w:spacing w:before="129" w:line="226" w:lineRule="auto"/>
        <w:ind w:left="434"/>
        <w:rPr>
          <w:rFonts w:ascii="宋体" w:hAnsi="宋体" w:eastAsia="宋体" w:cs="宋体"/>
          <w:sz w:val="20"/>
          <w:szCs w:val="20"/>
        </w:rPr>
      </w:pPr>
      <w:r>
        <w:rPr>
          <w:rFonts w:ascii="宋体" w:hAnsi="宋体" w:eastAsia="宋体" w:cs="宋体"/>
          <w:spacing w:val="9"/>
          <w:sz w:val="20"/>
          <w:szCs w:val="20"/>
        </w:rPr>
        <w:t>除专用条款另有约定外，按月计量支付和采用支付分解表计量支付的总价合同，可以按照第</w:t>
      </w:r>
    </w:p>
    <w:p w14:paraId="37813E8E">
      <w:pPr>
        <w:spacing w:before="128" w:line="346" w:lineRule="auto"/>
        <w:ind w:left="8" w:right="52" w:firstLine="8"/>
        <w:rPr>
          <w:rFonts w:ascii="宋体" w:hAnsi="宋体" w:eastAsia="宋体" w:cs="宋体"/>
          <w:sz w:val="20"/>
          <w:szCs w:val="20"/>
        </w:rPr>
      </w:pPr>
      <w:r>
        <w:rPr>
          <w:rFonts w:ascii="宋体" w:hAnsi="宋体" w:eastAsia="宋体" w:cs="宋体"/>
          <w:spacing w:val="8"/>
          <w:sz w:val="20"/>
          <w:szCs w:val="20"/>
        </w:rPr>
        <w:t>12.3.3</w:t>
      </w:r>
      <w:r>
        <w:rPr>
          <w:rFonts w:ascii="宋体" w:hAnsi="宋体" w:eastAsia="宋体" w:cs="宋体"/>
          <w:spacing w:val="-37"/>
          <w:sz w:val="20"/>
          <w:szCs w:val="20"/>
        </w:rPr>
        <w:t xml:space="preserve"> </w:t>
      </w:r>
      <w:r>
        <w:rPr>
          <w:rFonts w:ascii="宋体" w:hAnsi="宋体" w:eastAsia="宋体" w:cs="宋体"/>
          <w:spacing w:val="8"/>
          <w:sz w:val="20"/>
          <w:szCs w:val="20"/>
        </w:rPr>
        <w:t>项〔单价合同的计量〕约定进行计量；采用支付分解表计量支付的总价合同</w:t>
      </w:r>
      <w:r>
        <w:rPr>
          <w:rFonts w:ascii="宋体" w:hAnsi="宋体" w:eastAsia="宋体" w:cs="宋体"/>
          <w:spacing w:val="7"/>
          <w:sz w:val="20"/>
          <w:szCs w:val="20"/>
        </w:rPr>
        <w:t>，合同价款按照支付分解表进行支付。</w:t>
      </w:r>
    </w:p>
    <w:p w14:paraId="2C59455E">
      <w:pPr>
        <w:spacing w:line="226" w:lineRule="auto"/>
        <w:ind w:left="437"/>
        <w:rPr>
          <w:rFonts w:ascii="宋体" w:hAnsi="宋体" w:eastAsia="宋体" w:cs="宋体"/>
          <w:sz w:val="20"/>
          <w:szCs w:val="20"/>
        </w:rPr>
      </w:pPr>
      <w:r>
        <w:rPr>
          <w:rFonts w:ascii="宋体" w:hAnsi="宋体" w:eastAsia="宋体" w:cs="宋体"/>
          <w:b/>
          <w:bCs/>
          <w:spacing w:val="5"/>
          <w:sz w:val="20"/>
          <w:szCs w:val="20"/>
        </w:rPr>
        <w:t>12.3.5</w:t>
      </w:r>
      <w:r>
        <w:rPr>
          <w:rFonts w:ascii="宋体" w:hAnsi="宋体" w:eastAsia="宋体" w:cs="宋体"/>
          <w:spacing w:val="5"/>
          <w:sz w:val="20"/>
          <w:szCs w:val="20"/>
        </w:rPr>
        <w:t xml:space="preserve"> </w:t>
      </w:r>
      <w:r>
        <w:rPr>
          <w:rFonts w:ascii="宋体" w:hAnsi="宋体" w:eastAsia="宋体" w:cs="宋体"/>
          <w:b/>
          <w:bCs/>
          <w:spacing w:val="5"/>
          <w:sz w:val="20"/>
          <w:szCs w:val="20"/>
        </w:rPr>
        <w:t>其他价格形式合同的计量</w:t>
      </w:r>
    </w:p>
    <w:p w14:paraId="2A32BFFC">
      <w:pPr>
        <w:spacing w:before="129" w:line="226" w:lineRule="auto"/>
        <w:ind w:left="422"/>
        <w:rPr>
          <w:rFonts w:ascii="宋体" w:hAnsi="宋体" w:eastAsia="宋体" w:cs="宋体"/>
          <w:sz w:val="20"/>
          <w:szCs w:val="20"/>
        </w:rPr>
      </w:pPr>
      <w:r>
        <w:rPr>
          <w:rFonts w:ascii="宋体" w:hAnsi="宋体" w:eastAsia="宋体" w:cs="宋体"/>
          <w:spacing w:val="9"/>
          <w:sz w:val="20"/>
          <w:szCs w:val="20"/>
        </w:rPr>
        <w:t>合同当事人可在专用合同条款中约定其他价格形式合同的计量方式和程序。</w:t>
      </w:r>
    </w:p>
    <w:p w14:paraId="4FADC69B">
      <w:pPr>
        <w:spacing w:before="129" w:line="228" w:lineRule="auto"/>
        <w:ind w:left="437"/>
        <w:rPr>
          <w:rFonts w:ascii="宋体" w:hAnsi="宋体" w:eastAsia="宋体" w:cs="宋体"/>
          <w:sz w:val="20"/>
          <w:szCs w:val="20"/>
        </w:rPr>
      </w:pPr>
      <w:r>
        <w:rPr>
          <w:rFonts w:ascii="宋体" w:hAnsi="宋体" w:eastAsia="宋体" w:cs="宋体"/>
          <w:b/>
          <w:bCs/>
          <w:spacing w:val="4"/>
          <w:sz w:val="20"/>
          <w:szCs w:val="20"/>
        </w:rPr>
        <w:t>12.4</w:t>
      </w:r>
      <w:r>
        <w:rPr>
          <w:rFonts w:ascii="宋体" w:hAnsi="宋体" w:eastAsia="宋体" w:cs="宋体"/>
          <w:spacing w:val="4"/>
          <w:sz w:val="20"/>
          <w:szCs w:val="20"/>
        </w:rPr>
        <w:t xml:space="preserve"> </w:t>
      </w:r>
      <w:r>
        <w:rPr>
          <w:rFonts w:ascii="宋体" w:hAnsi="宋体" w:eastAsia="宋体" w:cs="宋体"/>
          <w:b/>
          <w:bCs/>
          <w:spacing w:val="4"/>
          <w:sz w:val="20"/>
          <w:szCs w:val="20"/>
        </w:rPr>
        <w:t>工程进度款支付</w:t>
      </w:r>
    </w:p>
    <w:p w14:paraId="13551663">
      <w:pPr>
        <w:spacing w:before="128" w:line="228" w:lineRule="auto"/>
        <w:ind w:left="437"/>
        <w:rPr>
          <w:rFonts w:ascii="宋体" w:hAnsi="宋体" w:eastAsia="宋体" w:cs="宋体"/>
          <w:sz w:val="20"/>
          <w:szCs w:val="20"/>
        </w:rPr>
      </w:pPr>
      <w:r>
        <w:rPr>
          <w:rFonts w:ascii="宋体" w:hAnsi="宋体" w:eastAsia="宋体" w:cs="宋体"/>
          <w:b/>
          <w:bCs/>
          <w:spacing w:val="3"/>
          <w:sz w:val="20"/>
          <w:szCs w:val="20"/>
        </w:rPr>
        <w:t>12.4.1</w:t>
      </w:r>
      <w:r>
        <w:rPr>
          <w:rFonts w:ascii="宋体" w:hAnsi="宋体" w:eastAsia="宋体" w:cs="宋体"/>
          <w:spacing w:val="3"/>
          <w:sz w:val="20"/>
          <w:szCs w:val="20"/>
        </w:rPr>
        <w:t xml:space="preserve"> </w:t>
      </w:r>
      <w:r>
        <w:rPr>
          <w:rFonts w:ascii="宋体" w:hAnsi="宋体" w:eastAsia="宋体" w:cs="宋体"/>
          <w:b/>
          <w:bCs/>
          <w:spacing w:val="3"/>
          <w:sz w:val="20"/>
          <w:szCs w:val="20"/>
        </w:rPr>
        <w:t>付款周期</w:t>
      </w:r>
    </w:p>
    <w:p w14:paraId="00BA01EC">
      <w:pPr>
        <w:spacing w:before="127" w:line="346" w:lineRule="auto"/>
        <w:ind w:left="4" w:right="52" w:firstLine="429"/>
        <w:rPr>
          <w:rFonts w:ascii="宋体" w:hAnsi="宋体" w:eastAsia="宋体" w:cs="宋体"/>
          <w:sz w:val="20"/>
          <w:szCs w:val="20"/>
        </w:rPr>
      </w:pPr>
      <w:r>
        <w:rPr>
          <w:rFonts w:ascii="宋体" w:hAnsi="宋体" w:eastAsia="宋体" w:cs="宋体"/>
          <w:spacing w:val="6"/>
          <w:sz w:val="20"/>
          <w:szCs w:val="20"/>
        </w:rPr>
        <w:t>除专用合同条款另有约定外，付款周期应按照第</w:t>
      </w:r>
      <w:r>
        <w:rPr>
          <w:rFonts w:ascii="宋体" w:hAnsi="宋体" w:eastAsia="宋体" w:cs="宋体"/>
          <w:spacing w:val="-21"/>
          <w:sz w:val="20"/>
          <w:szCs w:val="20"/>
        </w:rPr>
        <w:t xml:space="preserve"> </w:t>
      </w:r>
      <w:r>
        <w:rPr>
          <w:rFonts w:ascii="宋体" w:hAnsi="宋体" w:eastAsia="宋体" w:cs="宋体"/>
          <w:spacing w:val="6"/>
          <w:sz w:val="20"/>
          <w:szCs w:val="20"/>
        </w:rPr>
        <w:t>12.3.2</w:t>
      </w:r>
      <w:r>
        <w:rPr>
          <w:rFonts w:ascii="宋体" w:hAnsi="宋体" w:eastAsia="宋体" w:cs="宋体"/>
          <w:spacing w:val="-37"/>
          <w:sz w:val="20"/>
          <w:szCs w:val="20"/>
        </w:rPr>
        <w:t xml:space="preserve"> </w:t>
      </w:r>
      <w:r>
        <w:rPr>
          <w:rFonts w:ascii="宋体" w:hAnsi="宋体" w:eastAsia="宋体" w:cs="宋体"/>
          <w:spacing w:val="6"/>
          <w:sz w:val="20"/>
          <w:szCs w:val="20"/>
        </w:rPr>
        <w:t>项〔计量周期〕的约定与计量周期保</w:t>
      </w:r>
      <w:r>
        <w:rPr>
          <w:rFonts w:ascii="宋体" w:hAnsi="宋体" w:eastAsia="宋体" w:cs="宋体"/>
          <w:spacing w:val="4"/>
          <w:sz w:val="20"/>
          <w:szCs w:val="20"/>
        </w:rPr>
        <w:t>持一致。</w:t>
      </w:r>
    </w:p>
    <w:p w14:paraId="0E57DDC0">
      <w:pPr>
        <w:spacing w:line="227" w:lineRule="auto"/>
        <w:ind w:left="437"/>
        <w:rPr>
          <w:rFonts w:ascii="宋体" w:hAnsi="宋体" w:eastAsia="宋体" w:cs="宋体"/>
          <w:sz w:val="20"/>
          <w:szCs w:val="20"/>
        </w:rPr>
      </w:pPr>
      <w:r>
        <w:rPr>
          <w:rFonts w:ascii="宋体" w:hAnsi="宋体" w:eastAsia="宋体" w:cs="宋体"/>
          <w:b/>
          <w:bCs/>
          <w:spacing w:val="5"/>
          <w:sz w:val="20"/>
          <w:szCs w:val="20"/>
        </w:rPr>
        <w:t>12.4.2</w:t>
      </w:r>
      <w:r>
        <w:rPr>
          <w:rFonts w:ascii="宋体" w:hAnsi="宋体" w:eastAsia="宋体" w:cs="宋体"/>
          <w:spacing w:val="5"/>
          <w:sz w:val="20"/>
          <w:szCs w:val="20"/>
        </w:rPr>
        <w:t xml:space="preserve"> </w:t>
      </w:r>
      <w:r>
        <w:rPr>
          <w:rFonts w:ascii="宋体" w:hAnsi="宋体" w:eastAsia="宋体" w:cs="宋体"/>
          <w:b/>
          <w:bCs/>
          <w:spacing w:val="5"/>
          <w:sz w:val="20"/>
          <w:szCs w:val="20"/>
        </w:rPr>
        <w:t>进度付款申请单的编制</w:t>
      </w:r>
    </w:p>
    <w:p w14:paraId="23E586BD">
      <w:pPr>
        <w:spacing w:before="128" w:line="228" w:lineRule="auto"/>
        <w:ind w:left="434"/>
        <w:rPr>
          <w:rFonts w:ascii="宋体" w:hAnsi="宋体" w:eastAsia="宋体" w:cs="宋体"/>
          <w:sz w:val="20"/>
          <w:szCs w:val="20"/>
        </w:rPr>
      </w:pPr>
      <w:r>
        <w:rPr>
          <w:rFonts w:ascii="宋体" w:hAnsi="宋体" w:eastAsia="宋体" w:cs="宋体"/>
          <w:spacing w:val="9"/>
          <w:sz w:val="20"/>
          <w:szCs w:val="20"/>
        </w:rPr>
        <w:t>除专用合同条款另有约定外，进度付款申请单应包括</w:t>
      </w:r>
      <w:r>
        <w:rPr>
          <w:rFonts w:ascii="宋体" w:hAnsi="宋体" w:eastAsia="宋体" w:cs="宋体"/>
          <w:spacing w:val="8"/>
          <w:sz w:val="20"/>
          <w:szCs w:val="20"/>
        </w:rPr>
        <w:t>下列内容：</w:t>
      </w:r>
    </w:p>
    <w:p w14:paraId="50301195">
      <w:pPr>
        <w:spacing w:before="127" w:line="227" w:lineRule="auto"/>
        <w:ind w:left="431"/>
        <w:rPr>
          <w:rFonts w:ascii="宋体" w:hAnsi="宋体" w:eastAsia="宋体" w:cs="宋体"/>
          <w:sz w:val="20"/>
          <w:szCs w:val="20"/>
        </w:rPr>
      </w:pPr>
      <w:r>
        <w:rPr>
          <w:rFonts w:ascii="宋体" w:hAnsi="宋体" w:eastAsia="宋体" w:cs="宋体"/>
          <w:spacing w:val="8"/>
          <w:sz w:val="20"/>
          <w:szCs w:val="20"/>
        </w:rPr>
        <w:t>（1）截至本次付款周期已完成工作对应的金额；</w:t>
      </w:r>
    </w:p>
    <w:p w14:paraId="046BECCE">
      <w:pPr>
        <w:spacing w:before="128" w:line="228" w:lineRule="auto"/>
        <w:ind w:left="431"/>
        <w:rPr>
          <w:rFonts w:ascii="宋体" w:hAnsi="宋体" w:eastAsia="宋体" w:cs="宋体"/>
          <w:sz w:val="20"/>
          <w:szCs w:val="20"/>
        </w:rPr>
      </w:pPr>
      <w:r>
        <w:rPr>
          <w:rFonts w:ascii="宋体" w:hAnsi="宋体" w:eastAsia="宋体" w:cs="宋体"/>
          <w:spacing w:val="6"/>
          <w:sz w:val="20"/>
          <w:szCs w:val="20"/>
        </w:rPr>
        <w:t>（2）根据第</w:t>
      </w:r>
      <w:r>
        <w:rPr>
          <w:rFonts w:ascii="宋体" w:hAnsi="宋体" w:eastAsia="宋体" w:cs="宋体"/>
          <w:spacing w:val="-5"/>
          <w:sz w:val="20"/>
          <w:szCs w:val="20"/>
        </w:rPr>
        <w:t xml:space="preserve"> </w:t>
      </w:r>
      <w:r>
        <w:rPr>
          <w:rFonts w:ascii="宋体" w:hAnsi="宋体" w:eastAsia="宋体" w:cs="宋体"/>
          <w:spacing w:val="6"/>
          <w:sz w:val="20"/>
          <w:szCs w:val="20"/>
        </w:rPr>
        <w:t>10</w:t>
      </w:r>
      <w:r>
        <w:rPr>
          <w:rFonts w:ascii="宋体" w:hAnsi="宋体" w:eastAsia="宋体" w:cs="宋体"/>
          <w:spacing w:val="-38"/>
          <w:sz w:val="20"/>
          <w:szCs w:val="20"/>
        </w:rPr>
        <w:t xml:space="preserve"> </w:t>
      </w:r>
      <w:r>
        <w:rPr>
          <w:rFonts w:ascii="宋体" w:hAnsi="宋体" w:eastAsia="宋体" w:cs="宋体"/>
          <w:spacing w:val="6"/>
          <w:sz w:val="20"/>
          <w:szCs w:val="20"/>
        </w:rPr>
        <w:t>条〔变更〕应增加和扣减的变更金额；</w:t>
      </w:r>
    </w:p>
    <w:p w14:paraId="098F252B">
      <w:pPr>
        <w:spacing w:before="128" w:line="228" w:lineRule="auto"/>
        <w:ind w:left="431"/>
        <w:rPr>
          <w:rFonts w:ascii="宋体" w:hAnsi="宋体" w:eastAsia="宋体" w:cs="宋体"/>
          <w:sz w:val="20"/>
          <w:szCs w:val="20"/>
        </w:rPr>
      </w:pPr>
      <w:r>
        <w:rPr>
          <w:rFonts w:ascii="宋体" w:hAnsi="宋体" w:eastAsia="宋体" w:cs="宋体"/>
          <w:spacing w:val="7"/>
          <w:sz w:val="20"/>
          <w:szCs w:val="20"/>
        </w:rPr>
        <w:t>（3）根据第</w:t>
      </w:r>
      <w:r>
        <w:rPr>
          <w:rFonts w:ascii="宋体" w:hAnsi="宋体" w:eastAsia="宋体" w:cs="宋体"/>
          <w:spacing w:val="-8"/>
          <w:sz w:val="20"/>
          <w:szCs w:val="20"/>
        </w:rPr>
        <w:t xml:space="preserve"> </w:t>
      </w:r>
      <w:r>
        <w:rPr>
          <w:rFonts w:ascii="宋体" w:hAnsi="宋体" w:eastAsia="宋体" w:cs="宋体"/>
          <w:spacing w:val="7"/>
          <w:sz w:val="20"/>
          <w:szCs w:val="20"/>
        </w:rPr>
        <w:t>12.2</w:t>
      </w:r>
      <w:r>
        <w:rPr>
          <w:rFonts w:ascii="宋体" w:hAnsi="宋体" w:eastAsia="宋体" w:cs="宋体"/>
          <w:spacing w:val="-39"/>
          <w:sz w:val="20"/>
          <w:szCs w:val="20"/>
        </w:rPr>
        <w:t xml:space="preserve"> </w:t>
      </w:r>
      <w:r>
        <w:rPr>
          <w:rFonts w:ascii="宋体" w:hAnsi="宋体" w:eastAsia="宋体" w:cs="宋体"/>
          <w:spacing w:val="7"/>
          <w:sz w:val="20"/>
          <w:szCs w:val="20"/>
        </w:rPr>
        <w:t>款〔预付款〕约定应支付的预付款和扣减的返还预付款；</w:t>
      </w:r>
    </w:p>
    <w:p w14:paraId="691DA65D">
      <w:pPr>
        <w:spacing w:before="127" w:line="228" w:lineRule="auto"/>
        <w:ind w:left="431"/>
        <w:rPr>
          <w:rFonts w:ascii="宋体" w:hAnsi="宋体" w:eastAsia="宋体" w:cs="宋体"/>
          <w:sz w:val="20"/>
          <w:szCs w:val="20"/>
        </w:rPr>
      </w:pPr>
      <w:r>
        <w:rPr>
          <w:rFonts w:ascii="宋体" w:hAnsi="宋体" w:eastAsia="宋体" w:cs="宋体"/>
          <w:spacing w:val="7"/>
          <w:sz w:val="20"/>
          <w:szCs w:val="20"/>
        </w:rPr>
        <w:t>（4）根据第</w:t>
      </w:r>
      <w:r>
        <w:rPr>
          <w:rFonts w:ascii="宋体" w:hAnsi="宋体" w:eastAsia="宋体" w:cs="宋体"/>
          <w:spacing w:val="-21"/>
          <w:sz w:val="20"/>
          <w:szCs w:val="20"/>
        </w:rPr>
        <w:t xml:space="preserve"> </w:t>
      </w:r>
      <w:r>
        <w:rPr>
          <w:rFonts w:ascii="宋体" w:hAnsi="宋体" w:eastAsia="宋体" w:cs="宋体"/>
          <w:spacing w:val="7"/>
          <w:sz w:val="20"/>
          <w:szCs w:val="20"/>
        </w:rPr>
        <w:t>15.3</w:t>
      </w:r>
      <w:r>
        <w:rPr>
          <w:rFonts w:ascii="宋体" w:hAnsi="宋体" w:eastAsia="宋体" w:cs="宋体"/>
          <w:spacing w:val="-40"/>
          <w:sz w:val="20"/>
          <w:szCs w:val="20"/>
        </w:rPr>
        <w:t xml:space="preserve"> </w:t>
      </w:r>
      <w:r>
        <w:rPr>
          <w:rFonts w:ascii="宋体" w:hAnsi="宋体" w:eastAsia="宋体" w:cs="宋体"/>
          <w:spacing w:val="7"/>
          <w:sz w:val="20"/>
          <w:szCs w:val="20"/>
        </w:rPr>
        <w:t>款〔质量保证金〕约定应扣减的质量保证金；</w:t>
      </w:r>
    </w:p>
    <w:p w14:paraId="0E84EFA5">
      <w:pPr>
        <w:spacing w:before="128" w:line="228" w:lineRule="auto"/>
        <w:ind w:left="431"/>
        <w:rPr>
          <w:rFonts w:ascii="宋体" w:hAnsi="宋体" w:eastAsia="宋体" w:cs="宋体"/>
          <w:sz w:val="20"/>
          <w:szCs w:val="20"/>
        </w:rPr>
      </w:pPr>
      <w:r>
        <w:rPr>
          <w:rFonts w:ascii="宋体" w:hAnsi="宋体" w:eastAsia="宋体" w:cs="宋体"/>
          <w:spacing w:val="6"/>
          <w:sz w:val="20"/>
          <w:szCs w:val="20"/>
        </w:rPr>
        <w:t>（5）根据第</w:t>
      </w:r>
      <w:r>
        <w:rPr>
          <w:rFonts w:ascii="宋体" w:hAnsi="宋体" w:eastAsia="宋体" w:cs="宋体"/>
          <w:spacing w:val="-5"/>
          <w:sz w:val="20"/>
          <w:szCs w:val="20"/>
        </w:rPr>
        <w:t xml:space="preserve"> </w:t>
      </w:r>
      <w:r>
        <w:rPr>
          <w:rFonts w:ascii="宋体" w:hAnsi="宋体" w:eastAsia="宋体" w:cs="宋体"/>
          <w:spacing w:val="6"/>
          <w:sz w:val="20"/>
          <w:szCs w:val="20"/>
        </w:rPr>
        <w:t>19</w:t>
      </w:r>
      <w:r>
        <w:rPr>
          <w:rFonts w:ascii="宋体" w:hAnsi="宋体" w:eastAsia="宋体" w:cs="宋体"/>
          <w:spacing w:val="-38"/>
          <w:sz w:val="20"/>
          <w:szCs w:val="20"/>
        </w:rPr>
        <w:t xml:space="preserve"> </w:t>
      </w:r>
      <w:r>
        <w:rPr>
          <w:rFonts w:ascii="宋体" w:hAnsi="宋体" w:eastAsia="宋体" w:cs="宋体"/>
          <w:spacing w:val="6"/>
          <w:sz w:val="20"/>
          <w:szCs w:val="20"/>
        </w:rPr>
        <w:t>条〔索赔〕应增加和扣减的索赔金额；</w:t>
      </w:r>
    </w:p>
    <w:p w14:paraId="0E147800">
      <w:pPr>
        <w:spacing w:before="127" w:line="227" w:lineRule="auto"/>
        <w:jc w:val="right"/>
        <w:rPr>
          <w:rFonts w:ascii="宋体" w:hAnsi="宋体" w:eastAsia="宋体" w:cs="宋体"/>
          <w:sz w:val="20"/>
          <w:szCs w:val="20"/>
        </w:rPr>
      </w:pPr>
      <w:r>
        <w:rPr>
          <w:rFonts w:ascii="宋体" w:hAnsi="宋体" w:eastAsia="宋体" w:cs="宋体"/>
          <w:spacing w:val="4"/>
          <w:sz w:val="20"/>
          <w:szCs w:val="20"/>
        </w:rPr>
        <w:t>（6）对已签发的进度款支付证书中出现错误的修正，应在本次</w:t>
      </w:r>
      <w:r>
        <w:rPr>
          <w:rFonts w:ascii="宋体" w:hAnsi="宋体" w:eastAsia="宋体" w:cs="宋体"/>
          <w:spacing w:val="3"/>
          <w:sz w:val="20"/>
          <w:szCs w:val="20"/>
        </w:rPr>
        <w:t>进度付款中支付或扣除的金额；</w:t>
      </w:r>
    </w:p>
    <w:p w14:paraId="533853DA">
      <w:pPr>
        <w:spacing w:before="129" w:line="228" w:lineRule="auto"/>
        <w:ind w:left="431"/>
        <w:rPr>
          <w:rFonts w:ascii="宋体" w:hAnsi="宋体" w:eastAsia="宋体" w:cs="宋体"/>
          <w:sz w:val="20"/>
          <w:szCs w:val="20"/>
        </w:rPr>
      </w:pPr>
      <w:r>
        <w:rPr>
          <w:rFonts w:ascii="宋体" w:hAnsi="宋体" w:eastAsia="宋体" w:cs="宋体"/>
          <w:spacing w:val="8"/>
          <w:sz w:val="20"/>
          <w:szCs w:val="20"/>
        </w:rPr>
        <w:t>（7）根据合同约定应增加和扣减的其他金额。</w:t>
      </w:r>
    </w:p>
    <w:p w14:paraId="4911DBB0">
      <w:pPr>
        <w:spacing w:before="127" w:line="228" w:lineRule="auto"/>
        <w:ind w:left="437"/>
        <w:rPr>
          <w:rFonts w:ascii="宋体" w:hAnsi="宋体" w:eastAsia="宋体" w:cs="宋体"/>
          <w:sz w:val="20"/>
          <w:szCs w:val="20"/>
        </w:rPr>
      </w:pPr>
      <w:r>
        <w:rPr>
          <w:rFonts w:ascii="宋体" w:hAnsi="宋体" w:eastAsia="宋体" w:cs="宋体"/>
          <w:b/>
          <w:bCs/>
          <w:spacing w:val="5"/>
          <w:sz w:val="20"/>
          <w:szCs w:val="20"/>
        </w:rPr>
        <w:t>12.4.3</w:t>
      </w:r>
      <w:r>
        <w:rPr>
          <w:rFonts w:ascii="宋体" w:hAnsi="宋体" w:eastAsia="宋体" w:cs="宋体"/>
          <w:spacing w:val="5"/>
          <w:sz w:val="20"/>
          <w:szCs w:val="20"/>
        </w:rPr>
        <w:t xml:space="preserve"> </w:t>
      </w:r>
      <w:r>
        <w:rPr>
          <w:rFonts w:ascii="宋体" w:hAnsi="宋体" w:eastAsia="宋体" w:cs="宋体"/>
          <w:b/>
          <w:bCs/>
          <w:spacing w:val="5"/>
          <w:sz w:val="20"/>
          <w:szCs w:val="20"/>
        </w:rPr>
        <w:t>进度付款申请单的提交</w:t>
      </w:r>
    </w:p>
    <w:p w14:paraId="59767EA9">
      <w:pPr>
        <w:spacing w:before="128" w:line="226" w:lineRule="auto"/>
        <w:ind w:left="431"/>
        <w:rPr>
          <w:rFonts w:ascii="宋体" w:hAnsi="宋体" w:eastAsia="宋体" w:cs="宋体"/>
          <w:sz w:val="20"/>
          <w:szCs w:val="20"/>
        </w:rPr>
      </w:pPr>
      <w:r>
        <w:rPr>
          <w:rFonts w:ascii="宋体" w:hAnsi="宋体" w:eastAsia="宋体" w:cs="宋体"/>
          <w:spacing w:val="8"/>
          <w:sz w:val="20"/>
          <w:szCs w:val="20"/>
        </w:rPr>
        <w:t>（1）单价合同进度付款申请单的提交</w:t>
      </w:r>
    </w:p>
    <w:p w14:paraId="361C76DE">
      <w:pPr>
        <w:spacing w:before="128" w:line="346" w:lineRule="auto"/>
        <w:ind w:right="52" w:firstLine="423"/>
        <w:rPr>
          <w:rFonts w:ascii="宋体" w:hAnsi="宋体" w:eastAsia="宋体" w:cs="宋体"/>
          <w:sz w:val="20"/>
          <w:szCs w:val="20"/>
        </w:rPr>
      </w:pPr>
      <w:r>
        <w:rPr>
          <w:rFonts w:ascii="宋体" w:hAnsi="宋体" w:eastAsia="宋体" w:cs="宋体"/>
          <w:spacing w:val="6"/>
          <w:sz w:val="20"/>
          <w:szCs w:val="20"/>
        </w:rPr>
        <w:t>单价合同的进度付款申请单，按照第</w:t>
      </w:r>
      <w:r>
        <w:rPr>
          <w:rFonts w:ascii="宋体" w:hAnsi="宋体" w:eastAsia="宋体" w:cs="宋体"/>
          <w:spacing w:val="-11"/>
          <w:sz w:val="20"/>
          <w:szCs w:val="20"/>
        </w:rPr>
        <w:t xml:space="preserve"> </w:t>
      </w:r>
      <w:r>
        <w:rPr>
          <w:rFonts w:ascii="宋体" w:hAnsi="宋体" w:eastAsia="宋体" w:cs="宋体"/>
          <w:spacing w:val="6"/>
          <w:sz w:val="20"/>
          <w:szCs w:val="20"/>
        </w:rPr>
        <w:t>12.3.3</w:t>
      </w:r>
      <w:r>
        <w:rPr>
          <w:rFonts w:ascii="宋体" w:hAnsi="宋体" w:eastAsia="宋体" w:cs="宋体"/>
          <w:spacing w:val="-37"/>
          <w:sz w:val="20"/>
          <w:szCs w:val="20"/>
        </w:rPr>
        <w:t xml:space="preserve"> </w:t>
      </w:r>
      <w:r>
        <w:rPr>
          <w:rFonts w:ascii="宋体" w:hAnsi="宋体" w:eastAsia="宋体" w:cs="宋体"/>
          <w:spacing w:val="6"/>
          <w:sz w:val="20"/>
          <w:szCs w:val="20"/>
        </w:rPr>
        <w:t>项约定的时间按月向监理人提交，并附上已完成</w:t>
      </w:r>
      <w:r>
        <w:rPr>
          <w:rFonts w:ascii="宋体" w:hAnsi="宋体" w:eastAsia="宋体" w:cs="宋体"/>
          <w:spacing w:val="10"/>
          <w:sz w:val="20"/>
          <w:szCs w:val="20"/>
        </w:rPr>
        <w:t>工程量报表和有关资料。单价合同中的总价项目按月进行支付分解，并汇总列入当期进度付款申</w:t>
      </w:r>
      <w:r>
        <w:rPr>
          <w:rFonts w:ascii="宋体" w:hAnsi="宋体" w:eastAsia="宋体" w:cs="宋体"/>
          <w:spacing w:val="3"/>
          <w:sz w:val="20"/>
          <w:szCs w:val="20"/>
        </w:rPr>
        <w:t>请单。</w:t>
      </w:r>
    </w:p>
    <w:p w14:paraId="3B03906F">
      <w:pPr>
        <w:spacing w:line="226" w:lineRule="auto"/>
        <w:ind w:left="431"/>
        <w:rPr>
          <w:rFonts w:ascii="宋体" w:hAnsi="宋体" w:eastAsia="宋体" w:cs="宋体"/>
          <w:sz w:val="20"/>
          <w:szCs w:val="20"/>
        </w:rPr>
      </w:pPr>
      <w:r>
        <w:rPr>
          <w:rFonts w:ascii="宋体" w:hAnsi="宋体" w:eastAsia="宋体" w:cs="宋体"/>
          <w:spacing w:val="8"/>
          <w:sz w:val="20"/>
          <w:szCs w:val="20"/>
        </w:rPr>
        <w:t>（2）总价合同进度付款申请单的提交</w:t>
      </w:r>
    </w:p>
    <w:p w14:paraId="61EEB84C">
      <w:pPr>
        <w:spacing w:before="129" w:line="347" w:lineRule="auto"/>
        <w:ind w:right="52" w:firstLine="427"/>
        <w:rPr>
          <w:rFonts w:ascii="宋体" w:hAnsi="宋体" w:eastAsia="宋体" w:cs="宋体"/>
          <w:sz w:val="20"/>
          <w:szCs w:val="20"/>
        </w:rPr>
      </w:pPr>
      <w:r>
        <w:rPr>
          <w:rFonts w:ascii="宋体" w:hAnsi="宋体" w:eastAsia="宋体" w:cs="宋体"/>
          <w:spacing w:val="6"/>
          <w:sz w:val="20"/>
          <w:szCs w:val="20"/>
        </w:rPr>
        <w:t>总价合同按月计量支付的，承包人按照第</w:t>
      </w:r>
      <w:r>
        <w:rPr>
          <w:rFonts w:ascii="宋体" w:hAnsi="宋体" w:eastAsia="宋体" w:cs="宋体"/>
          <w:spacing w:val="-15"/>
          <w:sz w:val="20"/>
          <w:szCs w:val="20"/>
        </w:rPr>
        <w:t xml:space="preserve"> </w:t>
      </w:r>
      <w:r>
        <w:rPr>
          <w:rFonts w:ascii="宋体" w:hAnsi="宋体" w:eastAsia="宋体" w:cs="宋体"/>
          <w:spacing w:val="6"/>
          <w:sz w:val="20"/>
          <w:szCs w:val="20"/>
        </w:rPr>
        <w:t>12.3.3</w:t>
      </w:r>
      <w:r>
        <w:rPr>
          <w:rFonts w:ascii="宋体" w:hAnsi="宋体" w:eastAsia="宋体" w:cs="宋体"/>
          <w:spacing w:val="-37"/>
          <w:sz w:val="20"/>
          <w:szCs w:val="20"/>
        </w:rPr>
        <w:t xml:space="preserve"> </w:t>
      </w:r>
      <w:r>
        <w:rPr>
          <w:rFonts w:ascii="宋体" w:hAnsi="宋体" w:eastAsia="宋体" w:cs="宋体"/>
          <w:spacing w:val="6"/>
          <w:sz w:val="20"/>
          <w:szCs w:val="20"/>
        </w:rPr>
        <w:t>项约定的时间按月向监理人提交进度付款申</w:t>
      </w:r>
      <w:r>
        <w:rPr>
          <w:rFonts w:ascii="宋体" w:hAnsi="宋体" w:eastAsia="宋体" w:cs="宋体"/>
          <w:spacing w:val="9"/>
          <w:sz w:val="20"/>
          <w:szCs w:val="20"/>
        </w:rPr>
        <w:t>请单，并附上已完成工程量报表和有关资料。</w:t>
      </w:r>
    </w:p>
    <w:p w14:paraId="2B74B56C">
      <w:pPr>
        <w:spacing w:line="347" w:lineRule="auto"/>
        <w:rPr>
          <w:rFonts w:ascii="宋体" w:hAnsi="宋体" w:eastAsia="宋体" w:cs="宋体"/>
          <w:sz w:val="20"/>
          <w:szCs w:val="20"/>
        </w:rPr>
        <w:sectPr>
          <w:footerReference r:id="rId371" w:type="default"/>
          <w:pgSz w:w="11906" w:h="16839"/>
          <w:pgMar w:top="400" w:right="1480" w:bottom="1446" w:left="1537" w:header="0" w:footer="1284" w:gutter="0"/>
          <w:cols w:space="720" w:num="1"/>
        </w:sectPr>
      </w:pPr>
    </w:p>
    <w:p w14:paraId="0BA03A8E">
      <w:pPr>
        <w:spacing w:line="246" w:lineRule="auto"/>
        <w:rPr>
          <w:rFonts w:ascii="Arial"/>
          <w:sz w:val="21"/>
        </w:rPr>
      </w:pPr>
    </w:p>
    <w:p w14:paraId="16273C9F">
      <w:pPr>
        <w:spacing w:line="246" w:lineRule="auto"/>
        <w:rPr>
          <w:rFonts w:ascii="Arial"/>
          <w:sz w:val="21"/>
        </w:rPr>
      </w:pPr>
    </w:p>
    <w:p w14:paraId="3ED7210D">
      <w:pPr>
        <w:spacing w:line="246" w:lineRule="auto"/>
        <w:rPr>
          <w:rFonts w:ascii="Arial"/>
          <w:sz w:val="21"/>
        </w:rPr>
      </w:pPr>
    </w:p>
    <w:p w14:paraId="5D9320FC">
      <w:pPr>
        <w:spacing w:line="246" w:lineRule="auto"/>
        <w:rPr>
          <w:rFonts w:ascii="Arial"/>
          <w:sz w:val="21"/>
        </w:rPr>
      </w:pPr>
    </w:p>
    <w:p w14:paraId="4814170C">
      <w:pPr>
        <w:spacing w:line="246" w:lineRule="auto"/>
        <w:rPr>
          <w:rFonts w:ascii="Arial"/>
          <w:sz w:val="21"/>
        </w:rPr>
      </w:pPr>
    </w:p>
    <w:p w14:paraId="46504CAC">
      <w:pPr>
        <w:spacing w:line="247" w:lineRule="auto"/>
        <w:rPr>
          <w:rFonts w:ascii="Arial"/>
          <w:sz w:val="21"/>
        </w:rPr>
      </w:pPr>
    </w:p>
    <w:p w14:paraId="4F494471">
      <w:pPr>
        <w:spacing w:before="65" w:line="346" w:lineRule="auto"/>
        <w:ind w:right="54" w:firstLine="426"/>
        <w:rPr>
          <w:rFonts w:ascii="宋体" w:hAnsi="宋体" w:eastAsia="宋体" w:cs="宋体"/>
          <w:sz w:val="20"/>
          <w:szCs w:val="20"/>
        </w:rPr>
      </w:pPr>
      <w:r>
        <w:rPr>
          <w:rFonts w:ascii="宋体" w:hAnsi="宋体" w:eastAsia="宋体" w:cs="宋体"/>
          <w:spacing w:val="3"/>
          <w:sz w:val="20"/>
          <w:szCs w:val="20"/>
        </w:rPr>
        <w:t>总价合同按支付分解表支付的，承包人应按照第</w:t>
      </w:r>
      <w:r>
        <w:rPr>
          <w:rFonts w:ascii="宋体" w:hAnsi="宋体" w:eastAsia="宋体" w:cs="宋体"/>
          <w:spacing w:val="-22"/>
          <w:sz w:val="20"/>
          <w:szCs w:val="20"/>
        </w:rPr>
        <w:t xml:space="preserve"> </w:t>
      </w:r>
      <w:r>
        <w:rPr>
          <w:rFonts w:ascii="宋体" w:hAnsi="宋体" w:eastAsia="宋体" w:cs="宋体"/>
          <w:spacing w:val="3"/>
          <w:sz w:val="20"/>
          <w:szCs w:val="20"/>
        </w:rPr>
        <w:t>12.4.6</w:t>
      </w:r>
      <w:r>
        <w:rPr>
          <w:rFonts w:ascii="宋体" w:hAnsi="宋体" w:eastAsia="宋体" w:cs="宋体"/>
          <w:spacing w:val="-37"/>
          <w:sz w:val="20"/>
          <w:szCs w:val="20"/>
        </w:rPr>
        <w:t xml:space="preserve"> </w:t>
      </w:r>
      <w:r>
        <w:rPr>
          <w:rFonts w:ascii="宋体" w:hAnsi="宋体" w:eastAsia="宋体" w:cs="宋体"/>
          <w:spacing w:val="3"/>
          <w:sz w:val="20"/>
          <w:szCs w:val="20"/>
        </w:rPr>
        <w:t>项〔</w:t>
      </w:r>
      <w:r>
        <w:rPr>
          <w:rFonts w:ascii="宋体" w:hAnsi="宋体" w:eastAsia="宋体" w:cs="宋体"/>
          <w:spacing w:val="2"/>
          <w:sz w:val="20"/>
          <w:szCs w:val="20"/>
        </w:rPr>
        <w:t>支付分解表〕及第</w:t>
      </w:r>
      <w:r>
        <w:rPr>
          <w:rFonts w:ascii="宋体" w:hAnsi="宋体" w:eastAsia="宋体" w:cs="宋体"/>
          <w:spacing w:val="-21"/>
          <w:sz w:val="20"/>
          <w:szCs w:val="20"/>
        </w:rPr>
        <w:t xml:space="preserve"> </w:t>
      </w:r>
      <w:r>
        <w:rPr>
          <w:rFonts w:ascii="宋体" w:hAnsi="宋体" w:eastAsia="宋体" w:cs="宋体"/>
          <w:spacing w:val="2"/>
          <w:sz w:val="20"/>
          <w:szCs w:val="20"/>
        </w:rPr>
        <w:t>12.4.2</w:t>
      </w:r>
      <w:r>
        <w:rPr>
          <w:rFonts w:ascii="宋体" w:hAnsi="宋体" w:eastAsia="宋体" w:cs="宋体"/>
          <w:spacing w:val="-34"/>
          <w:sz w:val="20"/>
          <w:szCs w:val="20"/>
        </w:rPr>
        <w:t xml:space="preserve"> </w:t>
      </w:r>
      <w:r>
        <w:rPr>
          <w:rFonts w:ascii="宋体" w:hAnsi="宋体" w:eastAsia="宋体" w:cs="宋体"/>
          <w:spacing w:val="2"/>
          <w:sz w:val="20"/>
          <w:szCs w:val="20"/>
        </w:rPr>
        <w:t>项〔进</w:t>
      </w:r>
      <w:r>
        <w:rPr>
          <w:rFonts w:ascii="宋体" w:hAnsi="宋体" w:eastAsia="宋体" w:cs="宋体"/>
          <w:spacing w:val="9"/>
          <w:sz w:val="20"/>
          <w:szCs w:val="20"/>
        </w:rPr>
        <w:t>度付款申请单的编制〕的约定向监理人提交进度付款申请单。</w:t>
      </w:r>
    </w:p>
    <w:p w14:paraId="47193EAC">
      <w:pPr>
        <w:spacing w:line="226" w:lineRule="auto"/>
        <w:ind w:left="431"/>
        <w:rPr>
          <w:rFonts w:ascii="宋体" w:hAnsi="宋体" w:eastAsia="宋体" w:cs="宋体"/>
          <w:sz w:val="20"/>
          <w:szCs w:val="20"/>
        </w:rPr>
      </w:pPr>
      <w:r>
        <w:rPr>
          <w:rFonts w:ascii="宋体" w:hAnsi="宋体" w:eastAsia="宋体" w:cs="宋体"/>
          <w:spacing w:val="8"/>
          <w:sz w:val="20"/>
          <w:szCs w:val="20"/>
        </w:rPr>
        <w:t>（3）其他价格形式合同的进度付款申请单的提交</w:t>
      </w:r>
    </w:p>
    <w:p w14:paraId="0F65A2BC">
      <w:pPr>
        <w:spacing w:before="128" w:line="346" w:lineRule="auto"/>
        <w:ind w:right="54" w:firstLine="421"/>
        <w:rPr>
          <w:rFonts w:ascii="宋体" w:hAnsi="宋体" w:eastAsia="宋体" w:cs="宋体"/>
          <w:sz w:val="20"/>
          <w:szCs w:val="20"/>
        </w:rPr>
      </w:pPr>
      <w:r>
        <w:rPr>
          <w:rFonts w:ascii="宋体" w:hAnsi="宋体" w:eastAsia="宋体" w:cs="宋体"/>
          <w:spacing w:val="16"/>
          <w:sz w:val="20"/>
          <w:szCs w:val="20"/>
        </w:rPr>
        <w:t>合同当事人可在专用合同条款中约定其他价格形式合同的进</w:t>
      </w:r>
      <w:r>
        <w:rPr>
          <w:rFonts w:ascii="宋体" w:hAnsi="宋体" w:eastAsia="宋体" w:cs="宋体"/>
          <w:spacing w:val="15"/>
          <w:sz w:val="20"/>
          <w:szCs w:val="20"/>
        </w:rPr>
        <w:t>度付款申请单的编制和提交程</w:t>
      </w:r>
      <w:r>
        <w:rPr>
          <w:rFonts w:ascii="宋体" w:hAnsi="宋体" w:eastAsia="宋体" w:cs="宋体"/>
          <w:sz w:val="20"/>
          <w:szCs w:val="20"/>
        </w:rPr>
        <w:t>序。</w:t>
      </w:r>
    </w:p>
    <w:p w14:paraId="541FE546">
      <w:pPr>
        <w:spacing w:line="227" w:lineRule="auto"/>
        <w:ind w:left="437"/>
        <w:rPr>
          <w:rFonts w:ascii="宋体" w:hAnsi="宋体" w:eastAsia="宋体" w:cs="宋体"/>
          <w:sz w:val="20"/>
          <w:szCs w:val="20"/>
        </w:rPr>
      </w:pPr>
      <w:r>
        <w:rPr>
          <w:rFonts w:ascii="宋体" w:hAnsi="宋体" w:eastAsia="宋体" w:cs="宋体"/>
          <w:b/>
          <w:bCs/>
          <w:spacing w:val="4"/>
          <w:sz w:val="20"/>
          <w:szCs w:val="20"/>
        </w:rPr>
        <w:t>12.4.4</w:t>
      </w:r>
      <w:r>
        <w:rPr>
          <w:rFonts w:ascii="宋体" w:hAnsi="宋体" w:eastAsia="宋体" w:cs="宋体"/>
          <w:spacing w:val="4"/>
          <w:sz w:val="20"/>
          <w:szCs w:val="20"/>
        </w:rPr>
        <w:t xml:space="preserve"> </w:t>
      </w:r>
      <w:r>
        <w:rPr>
          <w:rFonts w:ascii="宋体" w:hAnsi="宋体" w:eastAsia="宋体" w:cs="宋体"/>
          <w:b/>
          <w:bCs/>
          <w:spacing w:val="4"/>
          <w:sz w:val="20"/>
          <w:szCs w:val="20"/>
        </w:rPr>
        <w:t>进度款审核和支付</w:t>
      </w:r>
    </w:p>
    <w:p w14:paraId="3C7A395A">
      <w:pPr>
        <w:spacing w:before="127" w:line="228" w:lineRule="auto"/>
        <w:ind w:left="431"/>
        <w:rPr>
          <w:rFonts w:ascii="宋体" w:hAnsi="宋体" w:eastAsia="宋体" w:cs="宋体"/>
          <w:sz w:val="20"/>
          <w:szCs w:val="20"/>
        </w:rPr>
      </w:pPr>
      <w:r>
        <w:rPr>
          <w:rFonts w:ascii="宋体" w:hAnsi="宋体" w:eastAsia="宋体" w:cs="宋体"/>
          <w:spacing w:val="7"/>
          <w:sz w:val="20"/>
          <w:szCs w:val="20"/>
        </w:rPr>
        <w:t>（1）人工费的申请</w:t>
      </w:r>
    </w:p>
    <w:p w14:paraId="36DF4997">
      <w:pPr>
        <w:spacing w:before="127" w:line="228" w:lineRule="auto"/>
        <w:ind w:left="423"/>
        <w:rPr>
          <w:rFonts w:ascii="宋体" w:hAnsi="宋体" w:eastAsia="宋体" w:cs="宋体"/>
          <w:sz w:val="20"/>
          <w:szCs w:val="20"/>
        </w:rPr>
      </w:pPr>
      <w:r>
        <w:rPr>
          <w:rFonts w:ascii="宋体" w:hAnsi="宋体" w:eastAsia="宋体" w:cs="宋体"/>
          <w:spacing w:val="7"/>
          <w:sz w:val="20"/>
          <w:szCs w:val="20"/>
        </w:rPr>
        <w:t>人工费应按月支付。</w:t>
      </w:r>
    </w:p>
    <w:p w14:paraId="131C6E07">
      <w:pPr>
        <w:spacing w:before="127" w:line="346" w:lineRule="auto"/>
        <w:ind w:left="2" w:right="54" w:firstLine="420"/>
        <w:rPr>
          <w:rFonts w:ascii="宋体" w:hAnsi="宋体" w:eastAsia="宋体" w:cs="宋体"/>
          <w:sz w:val="20"/>
          <w:szCs w:val="20"/>
        </w:rPr>
      </w:pPr>
      <w:r>
        <w:rPr>
          <w:rFonts w:ascii="宋体" w:hAnsi="宋体" w:eastAsia="宋体" w:cs="宋体"/>
          <w:spacing w:val="10"/>
          <w:sz w:val="20"/>
          <w:szCs w:val="20"/>
        </w:rPr>
        <w:t>合同履行期间，人工费的计算和调整应当按照湖北省造价管理部门发布的工日单价或者武汉市造价管理部门发布的人工成本综合指数分阶段计算、调整，具体调整办法和调整周期由双方在</w:t>
      </w:r>
      <w:r>
        <w:rPr>
          <w:rFonts w:ascii="宋体" w:hAnsi="宋体" w:eastAsia="宋体" w:cs="宋体"/>
          <w:spacing w:val="7"/>
          <w:sz w:val="20"/>
          <w:szCs w:val="20"/>
        </w:rPr>
        <w:t>专用合同条款中约定。</w:t>
      </w:r>
    </w:p>
    <w:p w14:paraId="16EE6752">
      <w:pPr>
        <w:spacing w:before="3" w:line="345" w:lineRule="auto"/>
        <w:ind w:left="4" w:firstLine="429"/>
        <w:jc w:val="both"/>
        <w:rPr>
          <w:rFonts w:ascii="宋体" w:hAnsi="宋体" w:eastAsia="宋体" w:cs="宋体"/>
          <w:sz w:val="20"/>
          <w:szCs w:val="20"/>
        </w:rPr>
      </w:pPr>
      <w:r>
        <w:rPr>
          <w:rFonts w:ascii="宋体" w:hAnsi="宋体" w:eastAsia="宋体" w:cs="宋体"/>
          <w:spacing w:val="10"/>
          <w:sz w:val="20"/>
          <w:szCs w:val="20"/>
        </w:rPr>
        <w:t>除专用合同条款另有约定外，承包人向发包人提出支付人工费申请时，应当提供同期人工费</w:t>
      </w:r>
      <w:r>
        <w:rPr>
          <w:rFonts w:ascii="宋体" w:hAnsi="宋体" w:eastAsia="宋体" w:cs="宋体"/>
          <w:spacing w:val="11"/>
          <w:sz w:val="20"/>
          <w:szCs w:val="20"/>
        </w:rPr>
        <w:t>组成，包括建筑工人人数、工资等。监理人应在收到承包人人工费付款申请单以及相关资料后</w:t>
      </w:r>
      <w:r>
        <w:rPr>
          <w:rFonts w:ascii="宋体" w:hAnsi="宋体" w:eastAsia="宋体" w:cs="宋体"/>
          <w:spacing w:val="-31"/>
          <w:sz w:val="20"/>
          <w:szCs w:val="20"/>
        </w:rPr>
        <w:t xml:space="preserve"> </w:t>
      </w:r>
      <w:r>
        <w:rPr>
          <w:rFonts w:ascii="宋体" w:hAnsi="宋体" w:eastAsia="宋体" w:cs="宋体"/>
          <w:spacing w:val="11"/>
          <w:sz w:val="20"/>
          <w:szCs w:val="20"/>
        </w:rPr>
        <w:t>7</w:t>
      </w:r>
      <w:r>
        <w:rPr>
          <w:rFonts w:ascii="宋体" w:hAnsi="宋体" w:eastAsia="宋体" w:cs="宋体"/>
          <w:spacing w:val="6"/>
          <w:sz w:val="20"/>
          <w:szCs w:val="20"/>
        </w:rPr>
        <w:t>天内完成审查并报送发包人，发包人应在收到后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天内完成审批并向承包人签发人工</w:t>
      </w:r>
      <w:r>
        <w:rPr>
          <w:rFonts w:ascii="宋体" w:hAnsi="宋体" w:eastAsia="宋体" w:cs="宋体"/>
          <w:spacing w:val="5"/>
          <w:sz w:val="20"/>
          <w:szCs w:val="20"/>
        </w:rPr>
        <w:t>费支付证书，</w:t>
      </w:r>
      <w:r>
        <w:rPr>
          <w:rFonts w:ascii="宋体" w:hAnsi="宋体" w:eastAsia="宋体" w:cs="宋体"/>
          <w:spacing w:val="10"/>
          <w:sz w:val="20"/>
          <w:szCs w:val="20"/>
        </w:rPr>
        <w:t>发包人应在人工费支付证书签发后</w:t>
      </w:r>
      <w:r>
        <w:rPr>
          <w:rFonts w:ascii="宋体" w:hAnsi="宋体" w:eastAsia="宋体" w:cs="宋体"/>
          <w:spacing w:val="-31"/>
          <w:sz w:val="20"/>
          <w:szCs w:val="20"/>
        </w:rPr>
        <w:t xml:space="preserve"> </w:t>
      </w:r>
      <w:r>
        <w:rPr>
          <w:rFonts w:ascii="宋体" w:hAnsi="宋体" w:eastAsia="宋体" w:cs="宋体"/>
          <w:spacing w:val="10"/>
          <w:sz w:val="20"/>
          <w:szCs w:val="20"/>
        </w:rPr>
        <w:t>7</w:t>
      </w:r>
      <w:r>
        <w:rPr>
          <w:rFonts w:ascii="宋体" w:hAnsi="宋体" w:eastAsia="宋体" w:cs="宋体"/>
          <w:spacing w:val="-34"/>
          <w:sz w:val="20"/>
          <w:szCs w:val="20"/>
        </w:rPr>
        <w:t xml:space="preserve"> </w:t>
      </w:r>
      <w:r>
        <w:rPr>
          <w:rFonts w:ascii="宋体" w:hAnsi="宋体" w:eastAsia="宋体" w:cs="宋体"/>
          <w:spacing w:val="10"/>
          <w:sz w:val="20"/>
          <w:szCs w:val="20"/>
        </w:rPr>
        <w:t>天内完</w:t>
      </w:r>
      <w:r>
        <w:rPr>
          <w:rFonts w:ascii="宋体" w:hAnsi="宋体" w:eastAsia="宋体" w:cs="宋体"/>
          <w:spacing w:val="9"/>
          <w:sz w:val="20"/>
          <w:szCs w:val="20"/>
        </w:rPr>
        <w:t>成支付。已支付的人工费部分，发包人支付进度款时</w:t>
      </w:r>
      <w:r>
        <w:rPr>
          <w:rFonts w:ascii="宋体" w:hAnsi="宋体" w:eastAsia="宋体" w:cs="宋体"/>
          <w:spacing w:val="6"/>
          <w:sz w:val="20"/>
          <w:szCs w:val="20"/>
        </w:rPr>
        <w:t>予以相应扣除。</w:t>
      </w:r>
    </w:p>
    <w:p w14:paraId="7A94806C">
      <w:pPr>
        <w:spacing w:before="2" w:line="345" w:lineRule="auto"/>
        <w:ind w:right="53" w:firstLine="431"/>
        <w:jc w:val="both"/>
        <w:rPr>
          <w:rFonts w:ascii="宋体" w:hAnsi="宋体" w:eastAsia="宋体" w:cs="宋体"/>
          <w:sz w:val="20"/>
          <w:szCs w:val="20"/>
        </w:rPr>
      </w:pPr>
      <w:r>
        <w:rPr>
          <w:rFonts w:ascii="宋体" w:hAnsi="宋体" w:eastAsia="宋体" w:cs="宋体"/>
          <w:spacing w:val="8"/>
          <w:sz w:val="20"/>
          <w:szCs w:val="20"/>
        </w:rPr>
        <w:t>（2）除专用合同条款另有约定外，监理人应在收到承包人进度付款申请单以及相关资料后</w:t>
      </w:r>
      <w:r>
        <w:rPr>
          <w:rFonts w:ascii="宋体" w:hAnsi="宋体" w:eastAsia="宋体" w:cs="宋体"/>
          <w:spacing w:val="-25"/>
          <w:sz w:val="20"/>
          <w:szCs w:val="20"/>
        </w:rPr>
        <w:t xml:space="preserve"> </w:t>
      </w:r>
      <w:r>
        <w:rPr>
          <w:rFonts w:ascii="宋体" w:hAnsi="宋体" w:eastAsia="宋体" w:cs="宋体"/>
          <w:spacing w:val="8"/>
          <w:sz w:val="20"/>
          <w:szCs w:val="20"/>
        </w:rPr>
        <w:t>7</w:t>
      </w:r>
      <w:r>
        <w:rPr>
          <w:rFonts w:ascii="宋体" w:hAnsi="宋体" w:eastAsia="宋体" w:cs="宋体"/>
          <w:spacing w:val="10"/>
          <w:sz w:val="20"/>
          <w:szCs w:val="20"/>
        </w:rPr>
        <w:t>天内完成审查并报送发包人，发包人应在收到后</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3"/>
          <w:sz w:val="20"/>
          <w:szCs w:val="20"/>
        </w:rPr>
        <w:t xml:space="preserve"> </w:t>
      </w:r>
      <w:r>
        <w:rPr>
          <w:rFonts w:ascii="宋体" w:hAnsi="宋体" w:eastAsia="宋体" w:cs="宋体"/>
          <w:spacing w:val="10"/>
          <w:sz w:val="20"/>
          <w:szCs w:val="20"/>
        </w:rPr>
        <w:t>天</w:t>
      </w:r>
      <w:r>
        <w:rPr>
          <w:rFonts w:ascii="宋体" w:hAnsi="宋体" w:eastAsia="宋体" w:cs="宋体"/>
          <w:spacing w:val="9"/>
          <w:sz w:val="20"/>
          <w:szCs w:val="20"/>
        </w:rPr>
        <w:t>内完成审批并签发进度款支付证书。发包人逾期未完成审批且未提出异议的，视为已签发进度款支付证书。</w:t>
      </w:r>
    </w:p>
    <w:p w14:paraId="0A0A3767">
      <w:pPr>
        <w:spacing w:before="3" w:line="345" w:lineRule="auto"/>
        <w:ind w:left="1" w:firstLine="423"/>
        <w:jc w:val="both"/>
        <w:rPr>
          <w:rFonts w:ascii="宋体" w:hAnsi="宋体" w:eastAsia="宋体" w:cs="宋体"/>
          <w:sz w:val="20"/>
          <w:szCs w:val="20"/>
        </w:rPr>
      </w:pPr>
      <w:r>
        <w:rPr>
          <w:rFonts w:ascii="宋体" w:hAnsi="宋体" w:eastAsia="宋体" w:cs="宋体"/>
          <w:spacing w:val="6"/>
          <w:sz w:val="20"/>
          <w:szCs w:val="20"/>
        </w:rPr>
        <w:t>发包人和监理人对承包人的进度付款申请单有异议的，有权要求承包人修正和提供补充资料，</w:t>
      </w:r>
      <w:r>
        <w:rPr>
          <w:rFonts w:ascii="宋体" w:hAnsi="宋体" w:eastAsia="宋体" w:cs="宋体"/>
          <w:spacing w:val="10"/>
          <w:sz w:val="20"/>
          <w:szCs w:val="20"/>
        </w:rPr>
        <w:t>承包人应提交修正后的进度付款申请单。监理人应在收到承包人修正后的进度付款申请单及相关资料后</w:t>
      </w:r>
      <w:r>
        <w:rPr>
          <w:rFonts w:ascii="宋体" w:hAnsi="宋体" w:eastAsia="宋体" w:cs="宋体"/>
          <w:spacing w:val="-32"/>
          <w:sz w:val="20"/>
          <w:szCs w:val="20"/>
        </w:rPr>
        <w:t xml:space="preserve"> </w:t>
      </w:r>
      <w:r>
        <w:rPr>
          <w:rFonts w:ascii="宋体" w:hAnsi="宋体" w:eastAsia="宋体" w:cs="宋体"/>
          <w:spacing w:val="10"/>
          <w:sz w:val="20"/>
          <w:szCs w:val="20"/>
        </w:rPr>
        <w:t>7</w:t>
      </w:r>
      <w:r>
        <w:rPr>
          <w:rFonts w:ascii="宋体" w:hAnsi="宋体" w:eastAsia="宋体" w:cs="宋体"/>
          <w:spacing w:val="-34"/>
          <w:sz w:val="20"/>
          <w:szCs w:val="20"/>
        </w:rPr>
        <w:t xml:space="preserve"> </w:t>
      </w:r>
      <w:r>
        <w:rPr>
          <w:rFonts w:ascii="宋体" w:hAnsi="宋体" w:eastAsia="宋体" w:cs="宋体"/>
          <w:spacing w:val="10"/>
          <w:sz w:val="20"/>
          <w:szCs w:val="20"/>
        </w:rPr>
        <w:t>天内完成审查并报送发包人，发包人应在</w:t>
      </w:r>
      <w:r>
        <w:rPr>
          <w:rFonts w:ascii="宋体" w:hAnsi="宋体" w:eastAsia="宋体" w:cs="宋体"/>
          <w:spacing w:val="9"/>
          <w:sz w:val="20"/>
          <w:szCs w:val="20"/>
        </w:rPr>
        <w:t>收到监理人报送的进度付款申请单及相关资料</w:t>
      </w:r>
      <w:r>
        <w:rPr>
          <w:rFonts w:ascii="宋体" w:hAnsi="宋体" w:eastAsia="宋体" w:cs="宋体"/>
          <w:spacing w:val="6"/>
          <w:sz w:val="20"/>
          <w:szCs w:val="20"/>
        </w:rPr>
        <w:t>后</w:t>
      </w:r>
      <w:r>
        <w:rPr>
          <w:rFonts w:ascii="宋体" w:hAnsi="宋体" w:eastAsia="宋体" w:cs="宋体"/>
          <w:spacing w:val="-19"/>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天内，向承包人签发无异议部分的临时进度款支付证书。存在争议的部分，按照第</w:t>
      </w:r>
      <w:r>
        <w:rPr>
          <w:rFonts w:ascii="宋体" w:hAnsi="宋体" w:eastAsia="宋体" w:cs="宋体"/>
          <w:spacing w:val="-37"/>
          <w:sz w:val="20"/>
          <w:szCs w:val="20"/>
        </w:rPr>
        <w:t xml:space="preserve"> </w:t>
      </w:r>
      <w:r>
        <w:rPr>
          <w:rFonts w:ascii="宋体" w:hAnsi="宋体" w:eastAsia="宋体" w:cs="宋体"/>
          <w:spacing w:val="6"/>
          <w:sz w:val="20"/>
          <w:szCs w:val="20"/>
        </w:rPr>
        <w:t>20</w:t>
      </w:r>
      <w:r>
        <w:rPr>
          <w:rFonts w:ascii="宋体" w:hAnsi="宋体" w:eastAsia="宋体" w:cs="宋体"/>
          <w:spacing w:val="-36"/>
          <w:sz w:val="20"/>
          <w:szCs w:val="20"/>
        </w:rPr>
        <w:t xml:space="preserve"> </w:t>
      </w:r>
      <w:r>
        <w:rPr>
          <w:rFonts w:ascii="宋体" w:hAnsi="宋体" w:eastAsia="宋体" w:cs="宋体"/>
          <w:spacing w:val="6"/>
          <w:sz w:val="20"/>
          <w:szCs w:val="20"/>
        </w:rPr>
        <w:t>条〔争</w:t>
      </w:r>
      <w:r>
        <w:rPr>
          <w:rFonts w:ascii="宋体" w:hAnsi="宋体" w:eastAsia="宋体" w:cs="宋体"/>
          <w:spacing w:val="8"/>
          <w:sz w:val="20"/>
          <w:szCs w:val="20"/>
        </w:rPr>
        <w:t>议解决〕的约定处理。</w:t>
      </w:r>
    </w:p>
    <w:p w14:paraId="1C48F69F">
      <w:pPr>
        <w:spacing w:before="2" w:line="345" w:lineRule="auto"/>
        <w:ind w:left="2" w:right="54" w:firstLine="429"/>
        <w:rPr>
          <w:rFonts w:ascii="宋体" w:hAnsi="宋体" w:eastAsia="宋体" w:cs="宋体"/>
          <w:sz w:val="20"/>
          <w:szCs w:val="20"/>
        </w:rPr>
      </w:pPr>
      <w:r>
        <w:rPr>
          <w:rFonts w:ascii="宋体" w:hAnsi="宋体" w:eastAsia="宋体" w:cs="宋体"/>
          <w:spacing w:val="7"/>
          <w:sz w:val="20"/>
          <w:szCs w:val="20"/>
        </w:rPr>
        <w:t>（3）除专用合同条款另有约定外，发包人应在进度款支付证书或临时进度款支付证书签发后</w:t>
      </w:r>
      <w:r>
        <w:rPr>
          <w:rFonts w:ascii="宋体" w:hAnsi="宋体" w:eastAsia="宋体" w:cs="宋体"/>
          <w:spacing w:val="9"/>
          <w:sz w:val="20"/>
          <w:szCs w:val="20"/>
        </w:rPr>
        <w:t>14</w:t>
      </w:r>
      <w:r>
        <w:rPr>
          <w:rFonts w:ascii="宋体" w:hAnsi="宋体" w:eastAsia="宋体" w:cs="宋体"/>
          <w:spacing w:val="-36"/>
          <w:sz w:val="20"/>
          <w:szCs w:val="20"/>
        </w:rPr>
        <w:t xml:space="preserve"> </w:t>
      </w:r>
      <w:r>
        <w:rPr>
          <w:rFonts w:ascii="宋体" w:hAnsi="宋体" w:eastAsia="宋体" w:cs="宋体"/>
          <w:spacing w:val="9"/>
          <w:sz w:val="20"/>
          <w:szCs w:val="20"/>
        </w:rPr>
        <w:t>天内完成支付，发包人逾期支付进度款的，应按</w:t>
      </w:r>
      <w:r>
        <w:rPr>
          <w:rFonts w:ascii="宋体" w:hAnsi="宋体" w:eastAsia="宋体" w:cs="宋体"/>
          <w:spacing w:val="8"/>
          <w:sz w:val="20"/>
          <w:szCs w:val="20"/>
        </w:rPr>
        <w:t>照全国银行间同业拆借中心公布的贷款市场报</w:t>
      </w:r>
      <w:r>
        <w:rPr>
          <w:rFonts w:ascii="宋体" w:hAnsi="宋体" w:eastAsia="宋体" w:cs="宋体"/>
          <w:spacing w:val="4"/>
          <w:sz w:val="20"/>
          <w:szCs w:val="20"/>
        </w:rPr>
        <w:t>价利率支付违约金（即逾期付款利息）。</w:t>
      </w:r>
    </w:p>
    <w:p w14:paraId="4F41BFC9">
      <w:pPr>
        <w:spacing w:before="2" w:line="345" w:lineRule="auto"/>
        <w:ind w:left="20" w:right="54" w:firstLine="411"/>
        <w:rPr>
          <w:rFonts w:ascii="宋体" w:hAnsi="宋体" w:eastAsia="宋体" w:cs="宋体"/>
          <w:sz w:val="20"/>
          <w:szCs w:val="20"/>
        </w:rPr>
      </w:pPr>
      <w:r>
        <w:rPr>
          <w:rFonts w:ascii="宋体" w:hAnsi="宋体" w:eastAsia="宋体" w:cs="宋体"/>
          <w:spacing w:val="7"/>
          <w:sz w:val="20"/>
          <w:szCs w:val="20"/>
        </w:rPr>
        <w:t>（4）发包人签发进度款支付证书或临时进度款支付证书，不表明发包人已同意、批准或接受了承包人完成的相应部分的工作。</w:t>
      </w:r>
    </w:p>
    <w:p w14:paraId="56E7A64E">
      <w:pPr>
        <w:spacing w:line="227" w:lineRule="auto"/>
        <w:ind w:left="437"/>
        <w:rPr>
          <w:rFonts w:ascii="宋体" w:hAnsi="宋体" w:eastAsia="宋体" w:cs="宋体"/>
          <w:sz w:val="20"/>
          <w:szCs w:val="20"/>
        </w:rPr>
      </w:pPr>
      <w:r>
        <w:rPr>
          <w:rFonts w:ascii="宋体" w:hAnsi="宋体" w:eastAsia="宋体" w:cs="宋体"/>
          <w:b/>
          <w:bCs/>
          <w:spacing w:val="4"/>
          <w:sz w:val="20"/>
          <w:szCs w:val="20"/>
        </w:rPr>
        <w:t>12.4.5</w:t>
      </w:r>
      <w:r>
        <w:rPr>
          <w:rFonts w:ascii="宋体" w:hAnsi="宋体" w:eastAsia="宋体" w:cs="宋体"/>
          <w:spacing w:val="4"/>
          <w:sz w:val="20"/>
          <w:szCs w:val="20"/>
        </w:rPr>
        <w:t xml:space="preserve"> </w:t>
      </w:r>
      <w:r>
        <w:rPr>
          <w:rFonts w:ascii="宋体" w:hAnsi="宋体" w:eastAsia="宋体" w:cs="宋体"/>
          <w:b/>
          <w:bCs/>
          <w:spacing w:val="4"/>
          <w:sz w:val="20"/>
          <w:szCs w:val="20"/>
        </w:rPr>
        <w:t>进度付款的修正</w:t>
      </w:r>
    </w:p>
    <w:p w14:paraId="5D37C3F4">
      <w:pPr>
        <w:spacing w:before="127" w:line="346" w:lineRule="auto"/>
        <w:ind w:left="1" w:right="54" w:firstLine="419"/>
        <w:rPr>
          <w:rFonts w:ascii="宋体" w:hAnsi="宋体" w:eastAsia="宋体" w:cs="宋体"/>
          <w:sz w:val="20"/>
          <w:szCs w:val="20"/>
        </w:rPr>
      </w:pPr>
      <w:r>
        <w:rPr>
          <w:rFonts w:ascii="宋体" w:hAnsi="宋体" w:eastAsia="宋体" w:cs="宋体"/>
          <w:spacing w:val="10"/>
          <w:sz w:val="20"/>
          <w:szCs w:val="20"/>
        </w:rPr>
        <w:t>在对已签发的进度款支付证书进行阶段汇总和复核中发现错误、遗漏或重复的，发包人和承包人均有权提出修正申请。经发包人和承包</w:t>
      </w:r>
      <w:r>
        <w:rPr>
          <w:rFonts w:ascii="宋体" w:hAnsi="宋体" w:eastAsia="宋体" w:cs="宋体"/>
          <w:spacing w:val="9"/>
          <w:sz w:val="20"/>
          <w:szCs w:val="20"/>
        </w:rPr>
        <w:t>人同意的修正，应在下期进度付款中支付或扣除。</w:t>
      </w:r>
    </w:p>
    <w:p w14:paraId="6CF9F4A6">
      <w:pPr>
        <w:spacing w:before="1" w:line="227" w:lineRule="auto"/>
        <w:ind w:left="437"/>
        <w:rPr>
          <w:rFonts w:ascii="宋体" w:hAnsi="宋体" w:eastAsia="宋体" w:cs="宋体"/>
          <w:sz w:val="20"/>
          <w:szCs w:val="20"/>
        </w:rPr>
      </w:pPr>
      <w:r>
        <w:rPr>
          <w:rFonts w:ascii="宋体" w:hAnsi="宋体" w:eastAsia="宋体" w:cs="宋体"/>
          <w:b/>
          <w:bCs/>
          <w:spacing w:val="3"/>
          <w:sz w:val="20"/>
          <w:szCs w:val="20"/>
        </w:rPr>
        <w:t>12.4.6</w:t>
      </w:r>
      <w:r>
        <w:rPr>
          <w:rFonts w:ascii="宋体" w:hAnsi="宋体" w:eastAsia="宋体" w:cs="宋体"/>
          <w:spacing w:val="3"/>
          <w:sz w:val="20"/>
          <w:szCs w:val="20"/>
        </w:rPr>
        <w:t xml:space="preserve"> </w:t>
      </w:r>
      <w:r>
        <w:rPr>
          <w:rFonts w:ascii="宋体" w:hAnsi="宋体" w:eastAsia="宋体" w:cs="宋体"/>
          <w:b/>
          <w:bCs/>
          <w:spacing w:val="3"/>
          <w:sz w:val="20"/>
          <w:szCs w:val="20"/>
        </w:rPr>
        <w:t>支付分解表</w:t>
      </w:r>
    </w:p>
    <w:p w14:paraId="0A2FAD14">
      <w:pPr>
        <w:spacing w:before="127" w:line="228" w:lineRule="auto"/>
        <w:ind w:left="437"/>
        <w:rPr>
          <w:rFonts w:ascii="宋体" w:hAnsi="宋体" w:eastAsia="宋体" w:cs="宋体"/>
          <w:sz w:val="20"/>
          <w:szCs w:val="20"/>
        </w:rPr>
      </w:pPr>
      <w:r>
        <w:rPr>
          <w:rFonts w:ascii="宋体" w:hAnsi="宋体" w:eastAsia="宋体" w:cs="宋体"/>
          <w:spacing w:val="6"/>
          <w:sz w:val="20"/>
          <w:szCs w:val="20"/>
        </w:rPr>
        <w:t>1.支付分解表的编制要求</w:t>
      </w:r>
    </w:p>
    <w:p w14:paraId="0AC8E093">
      <w:pPr>
        <w:spacing w:line="228" w:lineRule="auto"/>
        <w:rPr>
          <w:rFonts w:ascii="宋体" w:hAnsi="宋体" w:eastAsia="宋体" w:cs="宋体"/>
          <w:sz w:val="20"/>
          <w:szCs w:val="20"/>
        </w:rPr>
        <w:sectPr>
          <w:footerReference r:id="rId372" w:type="default"/>
          <w:pgSz w:w="11906" w:h="16839"/>
          <w:pgMar w:top="400" w:right="1478" w:bottom="1446" w:left="1537" w:header="0" w:footer="1284" w:gutter="0"/>
          <w:cols w:space="720" w:num="1"/>
        </w:sectPr>
      </w:pPr>
    </w:p>
    <w:p w14:paraId="79BAEB29">
      <w:pPr>
        <w:spacing w:line="246" w:lineRule="auto"/>
        <w:rPr>
          <w:rFonts w:ascii="Arial"/>
          <w:sz w:val="21"/>
        </w:rPr>
      </w:pPr>
    </w:p>
    <w:p w14:paraId="33557042">
      <w:pPr>
        <w:spacing w:line="246" w:lineRule="auto"/>
        <w:rPr>
          <w:rFonts w:ascii="Arial"/>
          <w:sz w:val="21"/>
        </w:rPr>
      </w:pPr>
    </w:p>
    <w:p w14:paraId="1F7141A3">
      <w:pPr>
        <w:spacing w:line="246" w:lineRule="auto"/>
        <w:rPr>
          <w:rFonts w:ascii="Arial"/>
          <w:sz w:val="21"/>
        </w:rPr>
      </w:pPr>
    </w:p>
    <w:p w14:paraId="167A6E62">
      <w:pPr>
        <w:spacing w:line="246" w:lineRule="auto"/>
        <w:rPr>
          <w:rFonts w:ascii="Arial"/>
          <w:sz w:val="21"/>
        </w:rPr>
      </w:pPr>
    </w:p>
    <w:p w14:paraId="191EC6CA">
      <w:pPr>
        <w:spacing w:line="246" w:lineRule="auto"/>
        <w:rPr>
          <w:rFonts w:ascii="Arial"/>
          <w:sz w:val="21"/>
        </w:rPr>
      </w:pPr>
    </w:p>
    <w:p w14:paraId="58D4A15F">
      <w:pPr>
        <w:spacing w:line="247" w:lineRule="auto"/>
        <w:rPr>
          <w:rFonts w:ascii="Arial"/>
          <w:sz w:val="21"/>
        </w:rPr>
      </w:pPr>
    </w:p>
    <w:p w14:paraId="6B8A659A">
      <w:pPr>
        <w:spacing w:before="65" w:line="346" w:lineRule="auto"/>
        <w:ind w:left="41" w:firstLine="390"/>
        <w:rPr>
          <w:rFonts w:ascii="宋体" w:hAnsi="宋体" w:eastAsia="宋体" w:cs="宋体"/>
          <w:sz w:val="20"/>
          <w:szCs w:val="20"/>
        </w:rPr>
      </w:pPr>
      <w:r>
        <w:rPr>
          <w:rFonts w:ascii="宋体" w:hAnsi="宋体" w:eastAsia="宋体" w:cs="宋体"/>
          <w:spacing w:val="3"/>
          <w:sz w:val="20"/>
          <w:szCs w:val="20"/>
        </w:rPr>
        <w:t>（1）支付分解表中所列的每期付款金额，应为第</w:t>
      </w:r>
      <w:r>
        <w:rPr>
          <w:rFonts w:ascii="宋体" w:hAnsi="宋体" w:eastAsia="宋体" w:cs="宋体"/>
          <w:spacing w:val="-9"/>
          <w:sz w:val="20"/>
          <w:szCs w:val="20"/>
        </w:rPr>
        <w:t xml:space="preserve"> </w:t>
      </w:r>
      <w:r>
        <w:rPr>
          <w:rFonts w:ascii="宋体" w:hAnsi="宋体" w:eastAsia="宋体" w:cs="宋体"/>
          <w:spacing w:val="3"/>
          <w:sz w:val="20"/>
          <w:szCs w:val="20"/>
        </w:rPr>
        <w:t>12.4.2</w:t>
      </w:r>
      <w:r>
        <w:rPr>
          <w:rFonts w:ascii="宋体" w:hAnsi="宋体" w:eastAsia="宋体" w:cs="宋体"/>
          <w:spacing w:val="-37"/>
          <w:sz w:val="20"/>
          <w:szCs w:val="20"/>
        </w:rPr>
        <w:t xml:space="preserve"> </w:t>
      </w:r>
      <w:r>
        <w:rPr>
          <w:rFonts w:ascii="宋体" w:hAnsi="宋体" w:eastAsia="宋体" w:cs="宋体"/>
          <w:spacing w:val="3"/>
          <w:sz w:val="20"/>
          <w:szCs w:val="20"/>
        </w:rPr>
        <w:t>项〔进度付款申请单的编制〕第（1）</w:t>
      </w:r>
      <w:r>
        <w:rPr>
          <w:rFonts w:ascii="宋体" w:hAnsi="宋体" w:eastAsia="宋体" w:cs="宋体"/>
          <w:spacing w:val="1"/>
          <w:sz w:val="20"/>
          <w:szCs w:val="20"/>
        </w:rPr>
        <w:t>目的估算金额；</w:t>
      </w:r>
    </w:p>
    <w:p w14:paraId="1EB814F3">
      <w:pPr>
        <w:spacing w:before="1" w:line="345" w:lineRule="auto"/>
        <w:ind w:left="1" w:right="87" w:firstLine="430"/>
        <w:rPr>
          <w:rFonts w:ascii="宋体" w:hAnsi="宋体" w:eastAsia="宋体" w:cs="宋体"/>
          <w:sz w:val="20"/>
          <w:szCs w:val="20"/>
        </w:rPr>
      </w:pPr>
      <w:r>
        <w:rPr>
          <w:rFonts w:ascii="宋体" w:hAnsi="宋体" w:eastAsia="宋体" w:cs="宋体"/>
          <w:spacing w:val="7"/>
          <w:sz w:val="20"/>
          <w:szCs w:val="20"/>
        </w:rPr>
        <w:t>（2）实际进度与施工进度计划不一致的，合同当事人可按照第</w:t>
      </w:r>
      <w:r>
        <w:rPr>
          <w:rFonts w:ascii="宋体" w:hAnsi="宋体" w:eastAsia="宋体" w:cs="宋体"/>
          <w:spacing w:val="-40"/>
          <w:sz w:val="20"/>
          <w:szCs w:val="20"/>
        </w:rPr>
        <w:t xml:space="preserve"> </w:t>
      </w:r>
      <w:r>
        <w:rPr>
          <w:rFonts w:ascii="宋体" w:hAnsi="宋体" w:eastAsia="宋体" w:cs="宋体"/>
          <w:spacing w:val="7"/>
          <w:sz w:val="20"/>
          <w:szCs w:val="20"/>
        </w:rPr>
        <w:t>4.</w:t>
      </w:r>
      <w:r>
        <w:rPr>
          <w:rFonts w:ascii="宋体" w:hAnsi="宋体" w:eastAsia="宋体" w:cs="宋体"/>
          <w:spacing w:val="6"/>
          <w:sz w:val="20"/>
          <w:szCs w:val="20"/>
        </w:rPr>
        <w:t>4</w:t>
      </w:r>
      <w:r>
        <w:rPr>
          <w:rFonts w:ascii="宋体" w:hAnsi="宋体" w:eastAsia="宋体" w:cs="宋体"/>
          <w:spacing w:val="-40"/>
          <w:sz w:val="20"/>
          <w:szCs w:val="20"/>
        </w:rPr>
        <w:t xml:space="preserve"> </w:t>
      </w:r>
      <w:r>
        <w:rPr>
          <w:rFonts w:ascii="宋体" w:hAnsi="宋体" w:eastAsia="宋体" w:cs="宋体"/>
          <w:spacing w:val="6"/>
          <w:sz w:val="20"/>
          <w:szCs w:val="20"/>
        </w:rPr>
        <w:t>款〔商定或确定〕修改支</w:t>
      </w:r>
      <w:r>
        <w:rPr>
          <w:rFonts w:ascii="宋体" w:hAnsi="宋体" w:eastAsia="宋体" w:cs="宋体"/>
          <w:spacing w:val="5"/>
          <w:sz w:val="20"/>
          <w:szCs w:val="20"/>
        </w:rPr>
        <w:t>付分解表；</w:t>
      </w:r>
    </w:p>
    <w:p w14:paraId="4832C854">
      <w:pPr>
        <w:spacing w:before="1" w:line="345" w:lineRule="auto"/>
        <w:ind w:left="3" w:right="56" w:firstLine="428"/>
        <w:rPr>
          <w:rFonts w:ascii="宋体" w:hAnsi="宋体" w:eastAsia="宋体" w:cs="宋体"/>
          <w:sz w:val="20"/>
          <w:szCs w:val="20"/>
        </w:rPr>
      </w:pPr>
      <w:r>
        <w:rPr>
          <w:rFonts w:ascii="宋体" w:hAnsi="宋体" w:eastAsia="宋体" w:cs="宋体"/>
          <w:spacing w:val="8"/>
          <w:sz w:val="20"/>
          <w:szCs w:val="20"/>
        </w:rPr>
        <w:t>（3）不采用支付分解表的，承包人应向发包人和监理人提交按季度编制的支付估算分解表，</w:t>
      </w:r>
      <w:r>
        <w:rPr>
          <w:rFonts w:ascii="宋体" w:hAnsi="宋体" w:eastAsia="宋体" w:cs="宋体"/>
          <w:spacing w:val="6"/>
          <w:sz w:val="20"/>
          <w:szCs w:val="20"/>
        </w:rPr>
        <w:t>用于支付参考。</w:t>
      </w:r>
    </w:p>
    <w:p w14:paraId="00F37E61">
      <w:pPr>
        <w:spacing w:line="226" w:lineRule="auto"/>
        <w:ind w:left="424"/>
        <w:rPr>
          <w:rFonts w:ascii="宋体" w:hAnsi="宋体" w:eastAsia="宋体" w:cs="宋体"/>
          <w:sz w:val="20"/>
          <w:szCs w:val="20"/>
        </w:rPr>
      </w:pPr>
      <w:r>
        <w:rPr>
          <w:rFonts w:ascii="宋体" w:hAnsi="宋体" w:eastAsia="宋体" w:cs="宋体"/>
          <w:spacing w:val="8"/>
          <w:sz w:val="20"/>
          <w:szCs w:val="20"/>
        </w:rPr>
        <w:t>2.总价合同支付分解表的编制与审批</w:t>
      </w:r>
    </w:p>
    <w:p w14:paraId="5329AFB8">
      <w:pPr>
        <w:spacing w:before="127" w:line="346" w:lineRule="auto"/>
        <w:ind w:right="87" w:firstLine="431"/>
        <w:rPr>
          <w:rFonts w:ascii="宋体" w:hAnsi="宋体" w:eastAsia="宋体" w:cs="宋体"/>
          <w:sz w:val="20"/>
          <w:szCs w:val="20"/>
        </w:rPr>
      </w:pPr>
      <w:r>
        <w:rPr>
          <w:rFonts w:ascii="宋体" w:hAnsi="宋体" w:eastAsia="宋体" w:cs="宋体"/>
          <w:spacing w:val="7"/>
          <w:sz w:val="20"/>
          <w:szCs w:val="20"/>
        </w:rPr>
        <w:t>（1）除专用合同条款另有约定外，承包人应根</w:t>
      </w:r>
      <w:r>
        <w:rPr>
          <w:rFonts w:ascii="宋体" w:hAnsi="宋体" w:eastAsia="宋体" w:cs="宋体"/>
          <w:spacing w:val="6"/>
          <w:sz w:val="20"/>
          <w:szCs w:val="20"/>
        </w:rPr>
        <w:t>据第</w:t>
      </w:r>
      <w:r>
        <w:rPr>
          <w:rFonts w:ascii="宋体" w:hAnsi="宋体" w:eastAsia="宋体" w:cs="宋体"/>
          <w:spacing w:val="-32"/>
          <w:sz w:val="20"/>
          <w:szCs w:val="20"/>
        </w:rPr>
        <w:t xml:space="preserve"> </w:t>
      </w:r>
      <w:r>
        <w:rPr>
          <w:rFonts w:ascii="宋体" w:hAnsi="宋体" w:eastAsia="宋体" w:cs="宋体"/>
          <w:spacing w:val="6"/>
          <w:sz w:val="20"/>
          <w:szCs w:val="20"/>
        </w:rPr>
        <w:t>7.2</w:t>
      </w:r>
      <w:r>
        <w:rPr>
          <w:rFonts w:ascii="宋体" w:hAnsi="宋体" w:eastAsia="宋体" w:cs="宋体"/>
          <w:spacing w:val="-39"/>
          <w:sz w:val="20"/>
          <w:szCs w:val="20"/>
        </w:rPr>
        <w:t xml:space="preserve"> </w:t>
      </w:r>
      <w:r>
        <w:rPr>
          <w:rFonts w:ascii="宋体" w:hAnsi="宋体" w:eastAsia="宋体" w:cs="宋体"/>
          <w:spacing w:val="6"/>
          <w:sz w:val="20"/>
          <w:szCs w:val="20"/>
        </w:rPr>
        <w:t>款〔施工进度计划〕约定的施工进度</w:t>
      </w:r>
      <w:r>
        <w:rPr>
          <w:rFonts w:ascii="宋体" w:hAnsi="宋体" w:eastAsia="宋体" w:cs="宋体"/>
          <w:spacing w:val="10"/>
          <w:sz w:val="20"/>
          <w:szCs w:val="20"/>
        </w:rPr>
        <w:t>计划、签约合同价和工程量等因素对总价合同按月进行分解，编制支付分解表。承包人应当在收到监理人和发包人批准的施工进度计划后</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3"/>
          <w:sz w:val="20"/>
          <w:szCs w:val="20"/>
        </w:rPr>
        <w:t xml:space="preserve"> </w:t>
      </w:r>
      <w:r>
        <w:rPr>
          <w:rFonts w:ascii="宋体" w:hAnsi="宋体" w:eastAsia="宋体" w:cs="宋体"/>
          <w:spacing w:val="10"/>
          <w:sz w:val="20"/>
          <w:szCs w:val="20"/>
        </w:rPr>
        <w:t>天内，将</w:t>
      </w:r>
      <w:r>
        <w:rPr>
          <w:rFonts w:ascii="宋体" w:hAnsi="宋体" w:eastAsia="宋体" w:cs="宋体"/>
          <w:spacing w:val="9"/>
          <w:sz w:val="20"/>
          <w:szCs w:val="20"/>
        </w:rPr>
        <w:t>支付分解表及编制支付分解表的支持性资料</w:t>
      </w:r>
      <w:r>
        <w:rPr>
          <w:rFonts w:ascii="宋体" w:hAnsi="宋体" w:eastAsia="宋体" w:cs="宋体"/>
          <w:spacing w:val="7"/>
          <w:sz w:val="20"/>
          <w:szCs w:val="20"/>
        </w:rPr>
        <w:t>报送监理人。</w:t>
      </w:r>
    </w:p>
    <w:p w14:paraId="79EA988E">
      <w:pPr>
        <w:spacing w:before="1" w:line="345" w:lineRule="auto"/>
        <w:ind w:left="12" w:right="87" w:firstLine="419"/>
        <w:rPr>
          <w:rFonts w:ascii="宋体" w:hAnsi="宋体" w:eastAsia="宋体" w:cs="宋体"/>
          <w:sz w:val="20"/>
          <w:szCs w:val="20"/>
        </w:rPr>
      </w:pPr>
      <w:r>
        <w:rPr>
          <w:rFonts w:ascii="宋体" w:hAnsi="宋体" w:eastAsia="宋体" w:cs="宋体"/>
          <w:spacing w:val="7"/>
          <w:sz w:val="20"/>
          <w:szCs w:val="20"/>
        </w:rPr>
        <w:t>（2）监理人应在收到支付分解表后</w:t>
      </w:r>
      <w:r>
        <w:rPr>
          <w:rFonts w:ascii="宋体" w:hAnsi="宋体" w:eastAsia="宋体" w:cs="宋体"/>
          <w:spacing w:val="-34"/>
          <w:sz w:val="20"/>
          <w:szCs w:val="20"/>
        </w:rPr>
        <w:t xml:space="preserve"> </w:t>
      </w:r>
      <w:r>
        <w:rPr>
          <w:rFonts w:ascii="宋体" w:hAnsi="宋体" w:eastAsia="宋体" w:cs="宋体"/>
          <w:spacing w:val="7"/>
          <w:sz w:val="20"/>
          <w:szCs w:val="20"/>
        </w:rPr>
        <w:t>7</w:t>
      </w:r>
      <w:r>
        <w:rPr>
          <w:rFonts w:ascii="宋体" w:hAnsi="宋体" w:eastAsia="宋体" w:cs="宋体"/>
          <w:spacing w:val="-34"/>
          <w:sz w:val="20"/>
          <w:szCs w:val="20"/>
        </w:rPr>
        <w:t xml:space="preserve"> </w:t>
      </w:r>
      <w:r>
        <w:rPr>
          <w:rFonts w:ascii="宋体" w:hAnsi="宋体" w:eastAsia="宋体" w:cs="宋体"/>
          <w:spacing w:val="7"/>
          <w:sz w:val="20"/>
          <w:szCs w:val="20"/>
        </w:rPr>
        <w:t>天内完成审核并</w:t>
      </w:r>
      <w:r>
        <w:rPr>
          <w:rFonts w:ascii="宋体" w:hAnsi="宋体" w:eastAsia="宋体" w:cs="宋体"/>
          <w:spacing w:val="6"/>
          <w:sz w:val="20"/>
          <w:szCs w:val="20"/>
        </w:rPr>
        <w:t>报送发包人。发包人应在收到经监理人</w:t>
      </w:r>
      <w:r>
        <w:rPr>
          <w:rFonts w:ascii="宋体" w:hAnsi="宋体" w:eastAsia="宋体" w:cs="宋体"/>
          <w:spacing w:val="8"/>
          <w:sz w:val="20"/>
          <w:szCs w:val="20"/>
        </w:rPr>
        <w:t>审核的支付分解表后</w:t>
      </w:r>
      <w:r>
        <w:rPr>
          <w:rFonts w:ascii="宋体" w:hAnsi="宋体" w:eastAsia="宋体" w:cs="宋体"/>
          <w:spacing w:val="-17"/>
          <w:sz w:val="20"/>
          <w:szCs w:val="20"/>
        </w:rPr>
        <w:t xml:space="preserve"> </w:t>
      </w:r>
      <w:r>
        <w:rPr>
          <w:rFonts w:ascii="宋体" w:hAnsi="宋体" w:eastAsia="宋体" w:cs="宋体"/>
          <w:spacing w:val="8"/>
          <w:sz w:val="20"/>
          <w:szCs w:val="20"/>
        </w:rPr>
        <w:t>7</w:t>
      </w:r>
      <w:r>
        <w:rPr>
          <w:rFonts w:ascii="宋体" w:hAnsi="宋体" w:eastAsia="宋体" w:cs="宋体"/>
          <w:spacing w:val="-34"/>
          <w:sz w:val="20"/>
          <w:szCs w:val="20"/>
        </w:rPr>
        <w:t xml:space="preserve"> </w:t>
      </w:r>
      <w:r>
        <w:rPr>
          <w:rFonts w:ascii="宋体" w:hAnsi="宋体" w:eastAsia="宋体" w:cs="宋体"/>
          <w:spacing w:val="8"/>
          <w:sz w:val="20"/>
          <w:szCs w:val="20"/>
        </w:rPr>
        <w:t>天内完成审批，经发包人批准的支付分解表为有约束力的支付分解表。</w:t>
      </w:r>
    </w:p>
    <w:p w14:paraId="1114A93C">
      <w:pPr>
        <w:spacing w:before="1" w:line="345" w:lineRule="auto"/>
        <w:ind w:left="5" w:right="32" w:firstLine="425"/>
        <w:rPr>
          <w:rFonts w:ascii="宋体" w:hAnsi="宋体" w:eastAsia="宋体" w:cs="宋体"/>
          <w:sz w:val="20"/>
          <w:szCs w:val="20"/>
        </w:rPr>
      </w:pPr>
      <w:r>
        <w:rPr>
          <w:rFonts w:ascii="宋体" w:hAnsi="宋体" w:eastAsia="宋体" w:cs="宋体"/>
          <w:spacing w:val="4"/>
          <w:sz w:val="20"/>
          <w:szCs w:val="20"/>
        </w:rPr>
        <w:t>（3）发包人逾期未完成支付分解表审批的，也未及时要求承包人进行</w:t>
      </w:r>
      <w:r>
        <w:rPr>
          <w:rFonts w:ascii="宋体" w:hAnsi="宋体" w:eastAsia="宋体" w:cs="宋体"/>
          <w:spacing w:val="3"/>
          <w:sz w:val="20"/>
          <w:szCs w:val="20"/>
        </w:rPr>
        <w:t>修正和提供补充资料的，</w:t>
      </w:r>
      <w:r>
        <w:rPr>
          <w:rFonts w:ascii="宋体" w:hAnsi="宋体" w:eastAsia="宋体" w:cs="宋体"/>
          <w:spacing w:val="9"/>
          <w:sz w:val="20"/>
          <w:szCs w:val="20"/>
        </w:rPr>
        <w:t>则承包人提交的支付分解表视为已经获得发包人批准。</w:t>
      </w:r>
    </w:p>
    <w:p w14:paraId="63E9BF17">
      <w:pPr>
        <w:spacing w:line="226" w:lineRule="auto"/>
        <w:ind w:left="425"/>
        <w:rPr>
          <w:rFonts w:ascii="宋体" w:hAnsi="宋体" w:eastAsia="宋体" w:cs="宋体"/>
          <w:sz w:val="20"/>
          <w:szCs w:val="20"/>
        </w:rPr>
      </w:pPr>
      <w:r>
        <w:rPr>
          <w:rFonts w:ascii="宋体" w:hAnsi="宋体" w:eastAsia="宋体" w:cs="宋体"/>
          <w:spacing w:val="8"/>
          <w:sz w:val="20"/>
          <w:szCs w:val="20"/>
        </w:rPr>
        <w:t>3.单价合同的总价项目支付分解表的编制与审批</w:t>
      </w:r>
    </w:p>
    <w:p w14:paraId="37EEABAE">
      <w:pPr>
        <w:spacing w:before="128" w:line="346" w:lineRule="auto"/>
        <w:ind w:left="3" w:right="87" w:firstLine="430"/>
        <w:rPr>
          <w:rFonts w:ascii="宋体" w:hAnsi="宋体" w:eastAsia="宋体" w:cs="宋体"/>
          <w:sz w:val="20"/>
          <w:szCs w:val="20"/>
        </w:rPr>
      </w:pPr>
      <w:r>
        <w:rPr>
          <w:rFonts w:ascii="宋体" w:hAnsi="宋体" w:eastAsia="宋体" w:cs="宋体"/>
          <w:spacing w:val="10"/>
          <w:sz w:val="20"/>
          <w:szCs w:val="20"/>
        </w:rPr>
        <w:t>除专用合同条款另有约定外，单价合同的总价项目，由承包人根据施工进度计划和总价项目的总价构成、费用性质、计划发生时间和相应工程量等因素按月进行分解，形成支付分解表，其</w:t>
      </w:r>
      <w:r>
        <w:rPr>
          <w:rFonts w:ascii="宋体" w:hAnsi="宋体" w:eastAsia="宋体" w:cs="宋体"/>
          <w:spacing w:val="9"/>
          <w:sz w:val="20"/>
          <w:szCs w:val="20"/>
        </w:rPr>
        <w:t>编制与审批参照总价合同支付分解表的编制与审批执行。</w:t>
      </w:r>
    </w:p>
    <w:p w14:paraId="244D5374">
      <w:pPr>
        <w:spacing w:before="1" w:line="227" w:lineRule="auto"/>
        <w:ind w:left="437"/>
        <w:rPr>
          <w:rFonts w:ascii="宋体" w:hAnsi="宋体" w:eastAsia="宋体" w:cs="宋体"/>
          <w:sz w:val="20"/>
          <w:szCs w:val="20"/>
        </w:rPr>
      </w:pPr>
      <w:r>
        <w:rPr>
          <w:rFonts w:ascii="宋体" w:hAnsi="宋体" w:eastAsia="宋体" w:cs="宋体"/>
          <w:b/>
          <w:bCs/>
          <w:spacing w:val="3"/>
          <w:sz w:val="20"/>
          <w:szCs w:val="20"/>
        </w:rPr>
        <w:t>12.5</w:t>
      </w:r>
      <w:r>
        <w:rPr>
          <w:rFonts w:ascii="宋体" w:hAnsi="宋体" w:eastAsia="宋体" w:cs="宋体"/>
          <w:spacing w:val="3"/>
          <w:sz w:val="20"/>
          <w:szCs w:val="20"/>
        </w:rPr>
        <w:t xml:space="preserve"> </w:t>
      </w:r>
      <w:r>
        <w:rPr>
          <w:rFonts w:ascii="宋体" w:hAnsi="宋体" w:eastAsia="宋体" w:cs="宋体"/>
          <w:b/>
          <w:bCs/>
          <w:spacing w:val="3"/>
          <w:sz w:val="20"/>
          <w:szCs w:val="20"/>
        </w:rPr>
        <w:t>支付账户</w:t>
      </w:r>
    </w:p>
    <w:p w14:paraId="326422AB">
      <w:pPr>
        <w:spacing w:before="127" w:line="346" w:lineRule="auto"/>
        <w:ind w:left="3" w:right="87" w:firstLine="421"/>
        <w:rPr>
          <w:rFonts w:ascii="宋体" w:hAnsi="宋体" w:eastAsia="宋体" w:cs="宋体"/>
          <w:sz w:val="20"/>
          <w:szCs w:val="20"/>
        </w:rPr>
      </w:pPr>
      <w:r>
        <w:rPr>
          <w:rFonts w:ascii="宋体" w:hAnsi="宋体" w:eastAsia="宋体" w:cs="宋体"/>
          <w:spacing w:val="10"/>
          <w:sz w:val="20"/>
          <w:szCs w:val="20"/>
        </w:rPr>
        <w:t>发包人应将人工费支付至农民工工资（劳务费）专用账户，专款用于支付建筑工人工资，并</w:t>
      </w:r>
      <w:r>
        <w:rPr>
          <w:rFonts w:ascii="宋体" w:hAnsi="宋体" w:eastAsia="宋体" w:cs="宋体"/>
          <w:spacing w:val="8"/>
          <w:sz w:val="20"/>
          <w:szCs w:val="20"/>
        </w:rPr>
        <w:t>按规定接受有关部门监管。</w:t>
      </w:r>
    </w:p>
    <w:p w14:paraId="2635BDCE">
      <w:pPr>
        <w:spacing w:line="226" w:lineRule="auto"/>
        <w:ind w:left="425"/>
        <w:rPr>
          <w:rFonts w:ascii="宋体" w:hAnsi="宋体" w:eastAsia="宋体" w:cs="宋体"/>
          <w:sz w:val="20"/>
          <w:szCs w:val="20"/>
        </w:rPr>
      </w:pPr>
      <w:r>
        <w:rPr>
          <w:rFonts w:ascii="宋体" w:hAnsi="宋体" w:eastAsia="宋体" w:cs="宋体"/>
          <w:spacing w:val="9"/>
          <w:sz w:val="20"/>
          <w:szCs w:val="20"/>
        </w:rPr>
        <w:t>发包人应将扣除人工费之后的合同价款支付至合同协议书中约定的承包人账户。</w:t>
      </w:r>
    </w:p>
    <w:p w14:paraId="72598AE9">
      <w:pPr>
        <w:spacing w:line="435" w:lineRule="auto"/>
        <w:rPr>
          <w:rFonts w:ascii="Arial"/>
          <w:sz w:val="21"/>
        </w:rPr>
      </w:pPr>
    </w:p>
    <w:p w14:paraId="73DBE967">
      <w:pPr>
        <w:spacing w:before="66" w:line="228" w:lineRule="auto"/>
        <w:ind w:left="437"/>
        <w:outlineLvl w:val="2"/>
        <w:rPr>
          <w:rFonts w:ascii="宋体" w:hAnsi="宋体" w:eastAsia="宋体" w:cs="宋体"/>
          <w:sz w:val="20"/>
          <w:szCs w:val="20"/>
        </w:rPr>
      </w:pPr>
      <w:bookmarkStart w:id="318" w:name="bookmark301"/>
      <w:bookmarkEnd w:id="318"/>
      <w:r>
        <w:rPr>
          <w:rFonts w:ascii="宋体" w:hAnsi="宋体" w:eastAsia="宋体" w:cs="宋体"/>
          <w:b/>
          <w:bCs/>
          <w:spacing w:val="4"/>
          <w:sz w:val="20"/>
          <w:szCs w:val="20"/>
        </w:rPr>
        <w:t>13.</w:t>
      </w:r>
      <w:r>
        <w:rPr>
          <w:rFonts w:ascii="宋体" w:hAnsi="宋体" w:eastAsia="宋体" w:cs="宋体"/>
          <w:spacing w:val="4"/>
          <w:sz w:val="20"/>
          <w:szCs w:val="20"/>
        </w:rPr>
        <w:t xml:space="preserve"> </w:t>
      </w:r>
      <w:r>
        <w:rPr>
          <w:rFonts w:ascii="宋体" w:hAnsi="宋体" w:eastAsia="宋体" w:cs="宋体"/>
          <w:b/>
          <w:bCs/>
          <w:spacing w:val="4"/>
          <w:sz w:val="20"/>
          <w:szCs w:val="20"/>
        </w:rPr>
        <w:t>验收和工程试车</w:t>
      </w:r>
    </w:p>
    <w:p w14:paraId="1EDFA169">
      <w:pPr>
        <w:spacing w:before="127" w:line="228" w:lineRule="auto"/>
        <w:ind w:left="437"/>
        <w:rPr>
          <w:rFonts w:ascii="宋体" w:hAnsi="宋体" w:eastAsia="宋体" w:cs="宋体"/>
          <w:sz w:val="20"/>
          <w:szCs w:val="20"/>
        </w:rPr>
      </w:pPr>
      <w:r>
        <w:rPr>
          <w:rFonts w:ascii="宋体" w:hAnsi="宋体" w:eastAsia="宋体" w:cs="宋体"/>
          <w:b/>
          <w:bCs/>
          <w:spacing w:val="4"/>
          <w:sz w:val="20"/>
          <w:szCs w:val="20"/>
        </w:rPr>
        <w:t>13.1</w:t>
      </w:r>
      <w:r>
        <w:rPr>
          <w:rFonts w:ascii="宋体" w:hAnsi="宋体" w:eastAsia="宋体" w:cs="宋体"/>
          <w:spacing w:val="4"/>
          <w:sz w:val="20"/>
          <w:szCs w:val="20"/>
        </w:rPr>
        <w:t xml:space="preserve"> </w:t>
      </w:r>
      <w:r>
        <w:rPr>
          <w:rFonts w:ascii="宋体" w:hAnsi="宋体" w:eastAsia="宋体" w:cs="宋体"/>
          <w:b/>
          <w:bCs/>
          <w:spacing w:val="4"/>
          <w:sz w:val="20"/>
          <w:szCs w:val="20"/>
        </w:rPr>
        <w:t>分部分项工程验收</w:t>
      </w:r>
    </w:p>
    <w:p w14:paraId="28A2ECF4">
      <w:pPr>
        <w:spacing w:before="127" w:line="346" w:lineRule="auto"/>
        <w:ind w:left="8" w:right="87" w:firstLine="428"/>
        <w:rPr>
          <w:rFonts w:ascii="宋体" w:hAnsi="宋体" w:eastAsia="宋体" w:cs="宋体"/>
          <w:sz w:val="20"/>
          <w:szCs w:val="20"/>
        </w:rPr>
      </w:pPr>
      <w:r>
        <w:rPr>
          <w:rFonts w:ascii="宋体" w:hAnsi="宋体" w:eastAsia="宋体" w:cs="宋体"/>
          <w:spacing w:val="7"/>
          <w:sz w:val="20"/>
          <w:szCs w:val="20"/>
        </w:rPr>
        <w:t>13.1.1 分部分项工程质量应符合国家有关工程施工验收规范、标准</w:t>
      </w:r>
      <w:r>
        <w:rPr>
          <w:rFonts w:ascii="宋体" w:hAnsi="宋体" w:eastAsia="宋体" w:cs="宋体"/>
          <w:spacing w:val="6"/>
          <w:sz w:val="20"/>
          <w:szCs w:val="20"/>
        </w:rPr>
        <w:t>及合同约定，承包人应按</w:t>
      </w:r>
      <w:r>
        <w:rPr>
          <w:rFonts w:ascii="宋体" w:hAnsi="宋体" w:eastAsia="宋体" w:cs="宋体"/>
          <w:spacing w:val="8"/>
          <w:sz w:val="20"/>
          <w:szCs w:val="20"/>
        </w:rPr>
        <w:t>照施工组织设计的要求完成分部分项工程施工。</w:t>
      </w:r>
    </w:p>
    <w:p w14:paraId="76F7DEF5">
      <w:pPr>
        <w:spacing w:before="4" w:line="345" w:lineRule="auto"/>
        <w:ind w:right="32" w:firstLine="436"/>
        <w:jc w:val="both"/>
        <w:rPr>
          <w:rFonts w:ascii="宋体" w:hAnsi="宋体" w:eastAsia="宋体" w:cs="宋体"/>
          <w:sz w:val="20"/>
          <w:szCs w:val="20"/>
        </w:rPr>
      </w:pPr>
      <w:r>
        <w:rPr>
          <w:rFonts w:ascii="宋体" w:hAnsi="宋体" w:eastAsia="宋体" w:cs="宋体"/>
          <w:spacing w:val="7"/>
          <w:sz w:val="20"/>
          <w:szCs w:val="20"/>
        </w:rPr>
        <w:t>13.1.2 除专用合同条款另有约定外，分部分项工程经承包人自检合</w:t>
      </w:r>
      <w:r>
        <w:rPr>
          <w:rFonts w:ascii="宋体" w:hAnsi="宋体" w:eastAsia="宋体" w:cs="宋体"/>
          <w:spacing w:val="6"/>
          <w:sz w:val="20"/>
          <w:szCs w:val="20"/>
        </w:rPr>
        <w:t>格并具备验收条件的，承</w:t>
      </w:r>
      <w:r>
        <w:rPr>
          <w:rFonts w:ascii="宋体" w:hAnsi="宋体" w:eastAsia="宋体" w:cs="宋体"/>
          <w:spacing w:val="10"/>
          <w:sz w:val="20"/>
          <w:szCs w:val="20"/>
        </w:rPr>
        <w:t>包人应提前48</w:t>
      </w:r>
      <w:r>
        <w:rPr>
          <w:rFonts w:ascii="宋体" w:hAnsi="宋体" w:eastAsia="宋体" w:cs="宋体"/>
          <w:spacing w:val="-28"/>
          <w:sz w:val="20"/>
          <w:szCs w:val="20"/>
        </w:rPr>
        <w:t xml:space="preserve"> </w:t>
      </w:r>
      <w:r>
        <w:rPr>
          <w:rFonts w:ascii="宋体" w:hAnsi="宋体" w:eastAsia="宋体" w:cs="宋体"/>
          <w:spacing w:val="10"/>
          <w:sz w:val="20"/>
          <w:szCs w:val="20"/>
        </w:rPr>
        <w:t>小时通知监理人进行验收。监理人不能按时进行验收的，应在验收前</w:t>
      </w:r>
      <w:r>
        <w:rPr>
          <w:rFonts w:ascii="宋体" w:hAnsi="宋体" w:eastAsia="宋体" w:cs="宋体"/>
          <w:spacing w:val="-37"/>
          <w:sz w:val="20"/>
          <w:szCs w:val="20"/>
        </w:rPr>
        <w:t xml:space="preserve"> </w:t>
      </w:r>
      <w:r>
        <w:rPr>
          <w:rFonts w:ascii="宋体" w:hAnsi="宋体" w:eastAsia="宋体" w:cs="宋体"/>
          <w:spacing w:val="10"/>
          <w:sz w:val="20"/>
          <w:szCs w:val="20"/>
        </w:rPr>
        <w:t>24</w:t>
      </w:r>
      <w:r>
        <w:rPr>
          <w:rFonts w:ascii="宋体" w:hAnsi="宋体" w:eastAsia="宋体" w:cs="宋体"/>
          <w:spacing w:val="-32"/>
          <w:sz w:val="20"/>
          <w:szCs w:val="20"/>
        </w:rPr>
        <w:t xml:space="preserve"> </w:t>
      </w:r>
      <w:r>
        <w:rPr>
          <w:rFonts w:ascii="宋体" w:hAnsi="宋体" w:eastAsia="宋体" w:cs="宋体"/>
          <w:spacing w:val="10"/>
          <w:sz w:val="20"/>
          <w:szCs w:val="20"/>
        </w:rPr>
        <w:t>小时向承</w:t>
      </w:r>
      <w:r>
        <w:rPr>
          <w:rFonts w:ascii="宋体" w:hAnsi="宋体" w:eastAsia="宋体" w:cs="宋体"/>
          <w:spacing w:val="5"/>
          <w:sz w:val="20"/>
          <w:szCs w:val="20"/>
        </w:rPr>
        <w:t>包人提交书面延期要求，但延期不能超过48</w:t>
      </w:r>
      <w:r>
        <w:rPr>
          <w:rFonts w:ascii="宋体" w:hAnsi="宋体" w:eastAsia="宋体" w:cs="宋体"/>
          <w:spacing w:val="-33"/>
          <w:sz w:val="20"/>
          <w:szCs w:val="20"/>
        </w:rPr>
        <w:t xml:space="preserve"> </w:t>
      </w:r>
      <w:r>
        <w:rPr>
          <w:rFonts w:ascii="宋体" w:hAnsi="宋体" w:eastAsia="宋体" w:cs="宋体"/>
          <w:spacing w:val="5"/>
          <w:sz w:val="20"/>
          <w:szCs w:val="20"/>
        </w:rPr>
        <w:t>小时。监理人未按时进行验收，也未提出延期要求的，</w:t>
      </w:r>
      <w:r>
        <w:rPr>
          <w:rFonts w:ascii="宋体" w:hAnsi="宋体" w:eastAsia="宋体" w:cs="宋体"/>
          <w:spacing w:val="10"/>
          <w:sz w:val="20"/>
          <w:szCs w:val="20"/>
        </w:rPr>
        <w:t>承包人有权自行验收，监理人应认可验收结果。分部分项工程未经验收的，不得进入下一道工序</w:t>
      </w:r>
      <w:r>
        <w:rPr>
          <w:rFonts w:ascii="宋体" w:hAnsi="宋体" w:eastAsia="宋体" w:cs="宋体"/>
          <w:spacing w:val="3"/>
          <w:sz w:val="20"/>
          <w:szCs w:val="20"/>
        </w:rPr>
        <w:t>施工。</w:t>
      </w:r>
    </w:p>
    <w:p w14:paraId="5EC5FBD5">
      <w:pPr>
        <w:spacing w:line="227" w:lineRule="auto"/>
        <w:ind w:left="424"/>
        <w:rPr>
          <w:rFonts w:ascii="宋体" w:hAnsi="宋体" w:eastAsia="宋体" w:cs="宋体"/>
          <w:sz w:val="20"/>
          <w:szCs w:val="20"/>
        </w:rPr>
      </w:pPr>
      <w:r>
        <w:rPr>
          <w:rFonts w:ascii="宋体" w:hAnsi="宋体" w:eastAsia="宋体" w:cs="宋体"/>
          <w:spacing w:val="9"/>
          <w:sz w:val="20"/>
          <w:szCs w:val="20"/>
        </w:rPr>
        <w:t>分部分项工程的验收资料应当作为竣工资料的组成部分。</w:t>
      </w:r>
    </w:p>
    <w:p w14:paraId="0B8D4B0F">
      <w:pPr>
        <w:spacing w:line="227" w:lineRule="auto"/>
        <w:rPr>
          <w:rFonts w:ascii="宋体" w:hAnsi="宋体" w:eastAsia="宋体" w:cs="宋体"/>
          <w:sz w:val="20"/>
          <w:szCs w:val="20"/>
        </w:rPr>
        <w:sectPr>
          <w:footerReference r:id="rId373" w:type="default"/>
          <w:pgSz w:w="11906" w:h="16839"/>
          <w:pgMar w:top="400" w:right="1445" w:bottom="1446" w:left="1537" w:header="0" w:footer="1284" w:gutter="0"/>
          <w:cols w:space="720" w:num="1"/>
        </w:sectPr>
      </w:pPr>
    </w:p>
    <w:p w14:paraId="16352F42">
      <w:pPr>
        <w:spacing w:line="246" w:lineRule="auto"/>
        <w:rPr>
          <w:rFonts w:ascii="Arial"/>
          <w:sz w:val="21"/>
        </w:rPr>
      </w:pPr>
    </w:p>
    <w:p w14:paraId="29615CA9">
      <w:pPr>
        <w:spacing w:line="246" w:lineRule="auto"/>
        <w:rPr>
          <w:rFonts w:ascii="Arial"/>
          <w:sz w:val="21"/>
        </w:rPr>
      </w:pPr>
    </w:p>
    <w:p w14:paraId="04A6DACE">
      <w:pPr>
        <w:spacing w:line="246" w:lineRule="auto"/>
        <w:rPr>
          <w:rFonts w:ascii="Arial"/>
          <w:sz w:val="21"/>
        </w:rPr>
      </w:pPr>
    </w:p>
    <w:p w14:paraId="7DD23DBF">
      <w:pPr>
        <w:spacing w:line="246" w:lineRule="auto"/>
        <w:rPr>
          <w:rFonts w:ascii="Arial"/>
          <w:sz w:val="21"/>
        </w:rPr>
      </w:pPr>
    </w:p>
    <w:p w14:paraId="07FE8398">
      <w:pPr>
        <w:spacing w:line="247" w:lineRule="auto"/>
        <w:rPr>
          <w:rFonts w:ascii="Arial"/>
          <w:sz w:val="21"/>
        </w:rPr>
      </w:pPr>
    </w:p>
    <w:p w14:paraId="56474085">
      <w:pPr>
        <w:spacing w:line="247" w:lineRule="auto"/>
        <w:rPr>
          <w:rFonts w:ascii="Arial"/>
          <w:sz w:val="21"/>
        </w:rPr>
      </w:pPr>
    </w:p>
    <w:p w14:paraId="647EF06B">
      <w:pPr>
        <w:spacing w:before="65" w:line="228" w:lineRule="auto"/>
        <w:ind w:left="437"/>
        <w:rPr>
          <w:rFonts w:ascii="宋体" w:hAnsi="宋体" w:eastAsia="宋体" w:cs="宋体"/>
          <w:sz w:val="20"/>
          <w:szCs w:val="20"/>
        </w:rPr>
      </w:pPr>
      <w:r>
        <w:rPr>
          <w:rFonts w:ascii="宋体" w:hAnsi="宋体" w:eastAsia="宋体" w:cs="宋体"/>
          <w:b/>
          <w:bCs/>
          <w:spacing w:val="3"/>
          <w:sz w:val="20"/>
          <w:szCs w:val="20"/>
        </w:rPr>
        <w:t>13.2</w:t>
      </w:r>
      <w:r>
        <w:rPr>
          <w:rFonts w:ascii="宋体" w:hAnsi="宋体" w:eastAsia="宋体" w:cs="宋体"/>
          <w:spacing w:val="3"/>
          <w:sz w:val="20"/>
          <w:szCs w:val="20"/>
        </w:rPr>
        <w:t xml:space="preserve"> </w:t>
      </w:r>
      <w:r>
        <w:rPr>
          <w:rFonts w:ascii="宋体" w:hAnsi="宋体" w:eastAsia="宋体" w:cs="宋体"/>
          <w:b/>
          <w:bCs/>
          <w:spacing w:val="3"/>
          <w:sz w:val="20"/>
          <w:szCs w:val="20"/>
        </w:rPr>
        <w:t>竣工验收</w:t>
      </w:r>
    </w:p>
    <w:p w14:paraId="5941B14E">
      <w:pPr>
        <w:spacing w:before="127" w:line="228" w:lineRule="auto"/>
        <w:ind w:left="437"/>
        <w:rPr>
          <w:rFonts w:ascii="宋体" w:hAnsi="宋体" w:eastAsia="宋体" w:cs="宋体"/>
          <w:sz w:val="20"/>
          <w:szCs w:val="20"/>
        </w:rPr>
      </w:pPr>
      <w:r>
        <w:rPr>
          <w:rFonts w:ascii="宋体" w:hAnsi="宋体" w:eastAsia="宋体" w:cs="宋体"/>
          <w:b/>
          <w:bCs/>
          <w:spacing w:val="3"/>
          <w:sz w:val="20"/>
          <w:szCs w:val="20"/>
        </w:rPr>
        <w:t>13.2.1</w:t>
      </w:r>
      <w:r>
        <w:rPr>
          <w:rFonts w:ascii="宋体" w:hAnsi="宋体" w:eastAsia="宋体" w:cs="宋体"/>
          <w:spacing w:val="-37"/>
          <w:sz w:val="20"/>
          <w:szCs w:val="20"/>
        </w:rPr>
        <w:t xml:space="preserve"> </w:t>
      </w:r>
      <w:r>
        <w:rPr>
          <w:rFonts w:ascii="宋体" w:hAnsi="宋体" w:eastAsia="宋体" w:cs="宋体"/>
          <w:b/>
          <w:bCs/>
          <w:spacing w:val="3"/>
          <w:sz w:val="20"/>
          <w:szCs w:val="20"/>
        </w:rPr>
        <w:t>竣工验收条件</w:t>
      </w:r>
    </w:p>
    <w:p w14:paraId="57D3FB76">
      <w:pPr>
        <w:spacing w:before="127" w:line="228" w:lineRule="auto"/>
        <w:ind w:left="424"/>
        <w:rPr>
          <w:rFonts w:ascii="宋体" w:hAnsi="宋体" w:eastAsia="宋体" w:cs="宋体"/>
          <w:sz w:val="20"/>
          <w:szCs w:val="20"/>
        </w:rPr>
      </w:pPr>
      <w:r>
        <w:rPr>
          <w:rFonts w:ascii="宋体" w:hAnsi="宋体" w:eastAsia="宋体" w:cs="宋体"/>
          <w:spacing w:val="9"/>
          <w:sz w:val="20"/>
          <w:szCs w:val="20"/>
        </w:rPr>
        <w:t>工程具备以下条件的，承包人可以申请竣工验收：</w:t>
      </w:r>
    </w:p>
    <w:p w14:paraId="28FCE9EE">
      <w:pPr>
        <w:spacing w:before="126" w:line="346" w:lineRule="auto"/>
        <w:ind w:left="1" w:right="46" w:firstLine="430"/>
        <w:rPr>
          <w:rFonts w:ascii="宋体" w:hAnsi="宋体" w:eastAsia="宋体" w:cs="宋体"/>
          <w:sz w:val="20"/>
          <w:szCs w:val="20"/>
        </w:rPr>
      </w:pPr>
      <w:r>
        <w:rPr>
          <w:rFonts w:ascii="宋体" w:hAnsi="宋体" w:eastAsia="宋体" w:cs="宋体"/>
          <w:spacing w:val="7"/>
          <w:sz w:val="20"/>
          <w:szCs w:val="20"/>
        </w:rPr>
        <w:t>（1）除发包人同意的甩项工作和缺陷修补工作外，合同范围内的全部工程以及有关工作，包</w:t>
      </w:r>
      <w:r>
        <w:rPr>
          <w:rFonts w:ascii="宋体" w:hAnsi="宋体" w:eastAsia="宋体" w:cs="宋体"/>
          <w:spacing w:val="9"/>
          <w:sz w:val="20"/>
          <w:szCs w:val="20"/>
        </w:rPr>
        <w:t>括合同要求的试验、试运行以及检验均已完成，并符合合同要求；</w:t>
      </w:r>
    </w:p>
    <w:p w14:paraId="75D9875F">
      <w:pPr>
        <w:spacing w:line="227" w:lineRule="auto"/>
        <w:ind w:left="431"/>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59"/>
          <w:sz w:val="20"/>
          <w:szCs w:val="20"/>
        </w:rPr>
        <w:t xml:space="preserve"> </w:t>
      </w:r>
      <w:r>
        <w:rPr>
          <w:rFonts w:ascii="宋体" w:hAnsi="宋体" w:eastAsia="宋体" w:cs="宋体"/>
          <w:spacing w:val="8"/>
          <w:sz w:val="20"/>
          <w:szCs w:val="20"/>
        </w:rPr>
        <w:t>已按合同约定编制了甩项工作和缺陷修补工作清单以</w:t>
      </w:r>
      <w:r>
        <w:rPr>
          <w:rFonts w:ascii="宋体" w:hAnsi="宋体" w:eastAsia="宋体" w:cs="宋体"/>
          <w:spacing w:val="7"/>
          <w:sz w:val="20"/>
          <w:szCs w:val="20"/>
        </w:rPr>
        <w:t>及相应的施工计划；</w:t>
      </w:r>
    </w:p>
    <w:p w14:paraId="1A7B9988">
      <w:pPr>
        <w:spacing w:before="127" w:line="228" w:lineRule="auto"/>
        <w:ind w:left="431"/>
        <w:rPr>
          <w:rFonts w:ascii="宋体" w:hAnsi="宋体" w:eastAsia="宋体" w:cs="宋体"/>
          <w:sz w:val="20"/>
          <w:szCs w:val="20"/>
        </w:rPr>
      </w:pPr>
      <w:r>
        <w:rPr>
          <w:rFonts w:ascii="宋体" w:hAnsi="宋体" w:eastAsia="宋体" w:cs="宋体"/>
          <w:spacing w:val="6"/>
          <w:sz w:val="20"/>
          <w:szCs w:val="20"/>
        </w:rPr>
        <w:t>（3）</w:t>
      </w:r>
      <w:r>
        <w:rPr>
          <w:rFonts w:ascii="宋体" w:hAnsi="宋体" w:eastAsia="宋体" w:cs="宋体"/>
          <w:spacing w:val="-49"/>
          <w:sz w:val="20"/>
          <w:szCs w:val="20"/>
        </w:rPr>
        <w:t xml:space="preserve"> </w:t>
      </w:r>
      <w:r>
        <w:rPr>
          <w:rFonts w:ascii="宋体" w:hAnsi="宋体" w:eastAsia="宋体" w:cs="宋体"/>
          <w:spacing w:val="6"/>
          <w:sz w:val="20"/>
          <w:szCs w:val="20"/>
        </w:rPr>
        <w:t>已按合同约定的内容和份数备齐竣工资料。</w:t>
      </w:r>
    </w:p>
    <w:p w14:paraId="5A9BB880">
      <w:pPr>
        <w:spacing w:before="128" w:line="228" w:lineRule="auto"/>
        <w:ind w:left="437"/>
        <w:rPr>
          <w:rFonts w:ascii="宋体" w:hAnsi="宋体" w:eastAsia="宋体" w:cs="宋体"/>
          <w:sz w:val="20"/>
          <w:szCs w:val="20"/>
        </w:rPr>
      </w:pPr>
      <w:r>
        <w:rPr>
          <w:rFonts w:ascii="宋体" w:hAnsi="宋体" w:eastAsia="宋体" w:cs="宋体"/>
          <w:b/>
          <w:bCs/>
          <w:spacing w:val="4"/>
          <w:sz w:val="20"/>
          <w:szCs w:val="20"/>
        </w:rPr>
        <w:t>13.2.2</w:t>
      </w:r>
      <w:r>
        <w:rPr>
          <w:rFonts w:ascii="宋体" w:hAnsi="宋体" w:eastAsia="宋体" w:cs="宋体"/>
          <w:spacing w:val="4"/>
          <w:sz w:val="20"/>
          <w:szCs w:val="20"/>
        </w:rPr>
        <w:t xml:space="preserve"> </w:t>
      </w:r>
      <w:r>
        <w:rPr>
          <w:rFonts w:ascii="宋体" w:hAnsi="宋体" w:eastAsia="宋体" w:cs="宋体"/>
          <w:b/>
          <w:bCs/>
          <w:spacing w:val="4"/>
          <w:sz w:val="20"/>
          <w:szCs w:val="20"/>
        </w:rPr>
        <w:t>竣工验收程序</w:t>
      </w:r>
    </w:p>
    <w:p w14:paraId="39EED69F">
      <w:pPr>
        <w:spacing w:before="127" w:line="228" w:lineRule="auto"/>
        <w:ind w:left="434"/>
        <w:rPr>
          <w:rFonts w:ascii="宋体" w:hAnsi="宋体" w:eastAsia="宋体" w:cs="宋体"/>
          <w:sz w:val="20"/>
          <w:szCs w:val="20"/>
        </w:rPr>
      </w:pPr>
      <w:r>
        <w:rPr>
          <w:rFonts w:ascii="宋体" w:hAnsi="宋体" w:eastAsia="宋体" w:cs="宋体"/>
          <w:spacing w:val="9"/>
          <w:sz w:val="20"/>
          <w:szCs w:val="20"/>
        </w:rPr>
        <w:t>除专用合同条款另有约定外，承包人申请竣工验收的，应当按照以下程序进行：</w:t>
      </w:r>
    </w:p>
    <w:p w14:paraId="4B09893C">
      <w:pPr>
        <w:spacing w:before="126" w:line="346" w:lineRule="auto"/>
        <w:ind w:right="46" w:firstLine="431"/>
        <w:rPr>
          <w:rFonts w:ascii="宋体" w:hAnsi="宋体" w:eastAsia="宋体" w:cs="宋体"/>
          <w:sz w:val="20"/>
          <w:szCs w:val="20"/>
        </w:rPr>
      </w:pPr>
      <w:r>
        <w:rPr>
          <w:rFonts w:ascii="宋体" w:hAnsi="宋体" w:eastAsia="宋体" w:cs="宋体"/>
          <w:spacing w:val="9"/>
          <w:sz w:val="20"/>
          <w:szCs w:val="20"/>
        </w:rPr>
        <w:t>（1）承包人向监理人报送竣工验收申请报告，监理人应在收到竣工验收申请</w:t>
      </w:r>
      <w:r>
        <w:rPr>
          <w:rFonts w:ascii="宋体" w:hAnsi="宋体" w:eastAsia="宋体" w:cs="宋体"/>
          <w:spacing w:val="8"/>
          <w:sz w:val="20"/>
          <w:szCs w:val="20"/>
        </w:rPr>
        <w:t>报告后</w:t>
      </w:r>
      <w:r>
        <w:rPr>
          <w:rFonts w:ascii="宋体" w:hAnsi="宋体" w:eastAsia="宋体" w:cs="宋体"/>
          <w:spacing w:val="-24"/>
          <w:sz w:val="20"/>
          <w:szCs w:val="20"/>
        </w:rPr>
        <w:t xml:space="preserve"> </w:t>
      </w:r>
      <w:r>
        <w:rPr>
          <w:rFonts w:ascii="宋体" w:hAnsi="宋体" w:eastAsia="宋体" w:cs="宋体"/>
          <w:spacing w:val="8"/>
          <w:sz w:val="20"/>
          <w:szCs w:val="20"/>
        </w:rPr>
        <w:t>14</w:t>
      </w:r>
      <w:r>
        <w:rPr>
          <w:rFonts w:ascii="宋体" w:hAnsi="宋体" w:eastAsia="宋体" w:cs="宋体"/>
          <w:spacing w:val="-36"/>
          <w:sz w:val="20"/>
          <w:szCs w:val="20"/>
        </w:rPr>
        <w:t xml:space="preserve"> </w:t>
      </w:r>
      <w:r>
        <w:rPr>
          <w:rFonts w:ascii="宋体" w:hAnsi="宋体" w:eastAsia="宋体" w:cs="宋体"/>
          <w:spacing w:val="8"/>
          <w:sz w:val="20"/>
          <w:szCs w:val="20"/>
        </w:rPr>
        <w:t>天内</w:t>
      </w:r>
      <w:r>
        <w:rPr>
          <w:rFonts w:ascii="宋体" w:hAnsi="宋体" w:eastAsia="宋体" w:cs="宋体"/>
          <w:spacing w:val="10"/>
          <w:sz w:val="20"/>
          <w:szCs w:val="20"/>
        </w:rPr>
        <w:t>完成审查并报送发包人。监理人审查后认为尚不具备验收条件的，应通知承包人在竣工验收前承包人还需完成的工作内容，承包人应在完成监理人通知的全部工作内容后，再次提交竣工验收申</w:t>
      </w:r>
      <w:r>
        <w:rPr>
          <w:rFonts w:ascii="宋体" w:hAnsi="宋体" w:eastAsia="宋体" w:cs="宋体"/>
          <w:spacing w:val="5"/>
          <w:sz w:val="20"/>
          <w:szCs w:val="20"/>
        </w:rPr>
        <w:t>请报告。</w:t>
      </w:r>
    </w:p>
    <w:p w14:paraId="3739D470">
      <w:pPr>
        <w:spacing w:before="2" w:line="345" w:lineRule="auto"/>
        <w:ind w:left="1" w:right="46" w:firstLine="430"/>
        <w:rPr>
          <w:rFonts w:ascii="宋体" w:hAnsi="宋体" w:eastAsia="宋体" w:cs="宋体"/>
          <w:sz w:val="20"/>
          <w:szCs w:val="20"/>
        </w:rPr>
      </w:pPr>
      <w:r>
        <w:rPr>
          <w:rFonts w:ascii="宋体" w:hAnsi="宋体" w:eastAsia="宋体" w:cs="宋体"/>
          <w:spacing w:val="7"/>
          <w:sz w:val="20"/>
          <w:szCs w:val="20"/>
        </w:rPr>
        <w:t>（2）监理人审查后认为已具备竣工验收条件的，应将竣工验收申请报告提交发包人，发包人应在收到经监理人审核的竣工验收申请报告后</w:t>
      </w:r>
      <w:r>
        <w:rPr>
          <w:rFonts w:ascii="宋体" w:hAnsi="宋体" w:eastAsia="宋体" w:cs="宋体"/>
          <w:spacing w:val="-33"/>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天内审批完毕并组织监理人、承包人、设计人等</w:t>
      </w:r>
      <w:r>
        <w:rPr>
          <w:rFonts w:ascii="宋体" w:hAnsi="宋体" w:eastAsia="宋体" w:cs="宋体"/>
          <w:spacing w:val="8"/>
          <w:sz w:val="20"/>
          <w:szCs w:val="20"/>
        </w:rPr>
        <w:t>相关单位完成竣工验收。</w:t>
      </w:r>
    </w:p>
    <w:p w14:paraId="38763B6C">
      <w:pPr>
        <w:spacing w:before="2" w:line="345" w:lineRule="auto"/>
        <w:ind w:left="3" w:right="46" w:firstLine="428"/>
        <w:rPr>
          <w:rFonts w:ascii="宋体" w:hAnsi="宋体" w:eastAsia="宋体" w:cs="宋体"/>
          <w:sz w:val="20"/>
          <w:szCs w:val="20"/>
        </w:rPr>
      </w:pPr>
      <w:r>
        <w:rPr>
          <w:rFonts w:ascii="宋体" w:hAnsi="宋体" w:eastAsia="宋体" w:cs="宋体"/>
          <w:spacing w:val="9"/>
          <w:sz w:val="20"/>
          <w:szCs w:val="20"/>
        </w:rPr>
        <w:t>（3）竣工验收合格的，发包人应在验收合格后</w:t>
      </w:r>
      <w:r>
        <w:rPr>
          <w:rFonts w:ascii="宋体" w:hAnsi="宋体" w:eastAsia="宋体" w:cs="宋体"/>
          <w:spacing w:val="-24"/>
          <w:sz w:val="20"/>
          <w:szCs w:val="20"/>
        </w:rPr>
        <w:t xml:space="preserve"> </w:t>
      </w:r>
      <w:r>
        <w:rPr>
          <w:rFonts w:ascii="宋体" w:hAnsi="宋体" w:eastAsia="宋体" w:cs="宋体"/>
          <w:spacing w:val="9"/>
          <w:sz w:val="20"/>
          <w:szCs w:val="20"/>
        </w:rPr>
        <w:t>14</w:t>
      </w:r>
      <w:r>
        <w:rPr>
          <w:rFonts w:ascii="宋体" w:hAnsi="宋体" w:eastAsia="宋体" w:cs="宋体"/>
          <w:spacing w:val="-36"/>
          <w:sz w:val="20"/>
          <w:szCs w:val="20"/>
        </w:rPr>
        <w:t xml:space="preserve"> </w:t>
      </w:r>
      <w:r>
        <w:rPr>
          <w:rFonts w:ascii="宋体" w:hAnsi="宋体" w:eastAsia="宋体" w:cs="宋体"/>
          <w:spacing w:val="9"/>
          <w:sz w:val="20"/>
          <w:szCs w:val="20"/>
        </w:rPr>
        <w:t>天内向承包人签发工程接</w:t>
      </w:r>
      <w:r>
        <w:rPr>
          <w:rFonts w:ascii="宋体" w:hAnsi="宋体" w:eastAsia="宋体" w:cs="宋体"/>
          <w:spacing w:val="8"/>
          <w:sz w:val="20"/>
          <w:szCs w:val="20"/>
        </w:rPr>
        <w:t>收证书。发包人</w:t>
      </w:r>
      <w:r>
        <w:rPr>
          <w:rFonts w:ascii="宋体" w:hAnsi="宋体" w:eastAsia="宋体" w:cs="宋体"/>
          <w:spacing w:val="7"/>
          <w:sz w:val="20"/>
          <w:szCs w:val="20"/>
        </w:rPr>
        <w:t>无正当理由逾期不颁发工程接收证书的，</w:t>
      </w:r>
      <w:r>
        <w:rPr>
          <w:rFonts w:ascii="宋体" w:hAnsi="宋体" w:eastAsia="宋体" w:cs="宋体"/>
          <w:spacing w:val="-46"/>
          <w:sz w:val="20"/>
          <w:szCs w:val="20"/>
        </w:rPr>
        <w:t xml:space="preserve"> </w:t>
      </w:r>
      <w:r>
        <w:rPr>
          <w:rFonts w:ascii="宋体" w:hAnsi="宋体" w:eastAsia="宋体" w:cs="宋体"/>
          <w:spacing w:val="7"/>
          <w:sz w:val="20"/>
          <w:szCs w:val="20"/>
        </w:rPr>
        <w:t>自验收合格后第</w:t>
      </w:r>
      <w:r>
        <w:rPr>
          <w:rFonts w:ascii="宋体" w:hAnsi="宋体" w:eastAsia="宋体" w:cs="宋体"/>
          <w:spacing w:val="-24"/>
          <w:sz w:val="20"/>
          <w:szCs w:val="20"/>
        </w:rPr>
        <w:t xml:space="preserve"> </w:t>
      </w:r>
      <w:r>
        <w:rPr>
          <w:rFonts w:ascii="宋体" w:hAnsi="宋体" w:eastAsia="宋体" w:cs="宋体"/>
          <w:spacing w:val="7"/>
          <w:sz w:val="20"/>
          <w:szCs w:val="20"/>
        </w:rPr>
        <w:t>15</w:t>
      </w:r>
      <w:r>
        <w:rPr>
          <w:rFonts w:ascii="宋体" w:hAnsi="宋体" w:eastAsia="宋体" w:cs="宋体"/>
          <w:spacing w:val="-34"/>
          <w:sz w:val="20"/>
          <w:szCs w:val="20"/>
        </w:rPr>
        <w:t xml:space="preserve"> </w:t>
      </w:r>
      <w:r>
        <w:rPr>
          <w:rFonts w:ascii="宋体" w:hAnsi="宋体" w:eastAsia="宋体" w:cs="宋体"/>
          <w:spacing w:val="7"/>
          <w:sz w:val="20"/>
          <w:szCs w:val="20"/>
        </w:rPr>
        <w:t>天起视为已颁发工程接收证书。</w:t>
      </w:r>
    </w:p>
    <w:p w14:paraId="00A05DAF">
      <w:pPr>
        <w:spacing w:before="2" w:line="345" w:lineRule="auto"/>
        <w:ind w:firstLine="430"/>
        <w:rPr>
          <w:rFonts w:ascii="宋体" w:hAnsi="宋体" w:eastAsia="宋体" w:cs="宋体"/>
          <w:sz w:val="20"/>
          <w:szCs w:val="20"/>
        </w:rPr>
      </w:pPr>
      <w:r>
        <w:rPr>
          <w:rFonts w:ascii="宋体" w:hAnsi="宋体" w:eastAsia="宋体" w:cs="宋体"/>
          <w:spacing w:val="9"/>
          <w:sz w:val="20"/>
          <w:szCs w:val="20"/>
        </w:rPr>
        <w:t>（4）竣工验收不合格的，监理人应按照验收意</w:t>
      </w:r>
      <w:r>
        <w:rPr>
          <w:rFonts w:ascii="宋体" w:hAnsi="宋体" w:eastAsia="宋体" w:cs="宋体"/>
          <w:spacing w:val="8"/>
          <w:sz w:val="20"/>
          <w:szCs w:val="20"/>
        </w:rPr>
        <w:t>见发出指示，要求承包人对不合格工程返工、</w:t>
      </w:r>
      <w:r>
        <w:rPr>
          <w:rFonts w:ascii="宋体" w:hAnsi="宋体" w:eastAsia="宋体" w:cs="宋体"/>
          <w:spacing w:val="9"/>
          <w:sz w:val="20"/>
          <w:szCs w:val="20"/>
        </w:rPr>
        <w:t>修复或采取其他补救措施，</w:t>
      </w:r>
      <w:r>
        <w:rPr>
          <w:rFonts w:ascii="宋体" w:hAnsi="宋体" w:eastAsia="宋体" w:cs="宋体"/>
          <w:spacing w:val="-45"/>
          <w:sz w:val="20"/>
          <w:szCs w:val="20"/>
        </w:rPr>
        <w:t xml:space="preserve"> </w:t>
      </w:r>
      <w:r>
        <w:rPr>
          <w:rFonts w:ascii="宋体" w:hAnsi="宋体" w:eastAsia="宋体" w:cs="宋体"/>
          <w:spacing w:val="9"/>
          <w:sz w:val="20"/>
          <w:szCs w:val="20"/>
        </w:rPr>
        <w:t>由此增加的费用和（或）延误的工期由承包人承担。承包人在完成不</w:t>
      </w:r>
      <w:r>
        <w:rPr>
          <w:rFonts w:ascii="宋体" w:hAnsi="宋体" w:eastAsia="宋体" w:cs="宋体"/>
          <w:spacing w:val="10"/>
          <w:sz w:val="20"/>
          <w:szCs w:val="20"/>
        </w:rPr>
        <w:t>合格工程的返工、修复或采取其他补救措施后，应重新提交竣工验收申请报告，并按本项约定的</w:t>
      </w:r>
      <w:r>
        <w:rPr>
          <w:rFonts w:ascii="宋体" w:hAnsi="宋体" w:eastAsia="宋体" w:cs="宋体"/>
          <w:spacing w:val="7"/>
          <w:sz w:val="20"/>
          <w:szCs w:val="20"/>
        </w:rPr>
        <w:t>程序重新进行验收。</w:t>
      </w:r>
    </w:p>
    <w:p w14:paraId="30611961">
      <w:pPr>
        <w:spacing w:before="2" w:line="345" w:lineRule="auto"/>
        <w:ind w:left="1" w:right="46" w:firstLine="430"/>
        <w:rPr>
          <w:rFonts w:ascii="宋体" w:hAnsi="宋体" w:eastAsia="宋体" w:cs="宋体"/>
          <w:sz w:val="20"/>
          <w:szCs w:val="20"/>
        </w:rPr>
      </w:pPr>
      <w:r>
        <w:rPr>
          <w:rFonts w:ascii="宋体" w:hAnsi="宋体" w:eastAsia="宋体" w:cs="宋体"/>
          <w:spacing w:val="7"/>
          <w:sz w:val="20"/>
          <w:szCs w:val="20"/>
        </w:rPr>
        <w:t>（5）工程未经验收或验收不合格，发包人擅自使用的</w:t>
      </w:r>
      <w:r>
        <w:rPr>
          <w:rFonts w:ascii="宋体" w:hAnsi="宋体" w:eastAsia="宋体" w:cs="宋体"/>
          <w:spacing w:val="6"/>
          <w:sz w:val="20"/>
          <w:szCs w:val="20"/>
        </w:rPr>
        <w:t>，应在转移占有工程后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天内向承包人</w:t>
      </w:r>
      <w:r>
        <w:rPr>
          <w:rFonts w:ascii="宋体" w:hAnsi="宋体" w:eastAsia="宋体" w:cs="宋体"/>
          <w:spacing w:val="7"/>
          <w:sz w:val="20"/>
          <w:szCs w:val="20"/>
        </w:rPr>
        <w:t>颁发工程接收证书；发包人无正当理由逾期不颁发工程接收证书的，自转</w:t>
      </w:r>
      <w:r>
        <w:rPr>
          <w:rFonts w:ascii="宋体" w:hAnsi="宋体" w:eastAsia="宋体" w:cs="宋体"/>
          <w:spacing w:val="6"/>
          <w:sz w:val="20"/>
          <w:szCs w:val="20"/>
        </w:rPr>
        <w:t>移占有后第</w:t>
      </w:r>
      <w:r>
        <w:rPr>
          <w:rFonts w:ascii="宋体" w:hAnsi="宋体" w:eastAsia="宋体" w:cs="宋体"/>
          <w:spacing w:val="-24"/>
          <w:sz w:val="20"/>
          <w:szCs w:val="20"/>
        </w:rPr>
        <w:t xml:space="preserve"> </w:t>
      </w:r>
      <w:r>
        <w:rPr>
          <w:rFonts w:ascii="宋体" w:hAnsi="宋体" w:eastAsia="宋体" w:cs="宋体"/>
          <w:spacing w:val="6"/>
          <w:sz w:val="20"/>
          <w:szCs w:val="20"/>
        </w:rPr>
        <w:t>15</w:t>
      </w:r>
      <w:r>
        <w:rPr>
          <w:rFonts w:ascii="宋体" w:hAnsi="宋体" w:eastAsia="宋体" w:cs="宋体"/>
          <w:spacing w:val="-34"/>
          <w:sz w:val="20"/>
          <w:szCs w:val="20"/>
        </w:rPr>
        <w:t xml:space="preserve"> </w:t>
      </w:r>
      <w:r>
        <w:rPr>
          <w:rFonts w:ascii="宋体" w:hAnsi="宋体" w:eastAsia="宋体" w:cs="宋体"/>
          <w:spacing w:val="6"/>
          <w:sz w:val="20"/>
          <w:szCs w:val="20"/>
        </w:rPr>
        <w:t>天起视为</w:t>
      </w:r>
      <w:r>
        <w:rPr>
          <w:rFonts w:ascii="宋体" w:hAnsi="宋体" w:eastAsia="宋体" w:cs="宋体"/>
          <w:spacing w:val="8"/>
          <w:sz w:val="20"/>
          <w:szCs w:val="20"/>
        </w:rPr>
        <w:t>已颁发工程接收证书。</w:t>
      </w:r>
    </w:p>
    <w:p w14:paraId="39ED7292">
      <w:pPr>
        <w:spacing w:before="2" w:line="345" w:lineRule="auto"/>
        <w:ind w:left="1" w:right="47" w:firstLine="432"/>
        <w:jc w:val="both"/>
        <w:rPr>
          <w:rFonts w:ascii="宋体" w:hAnsi="宋体" w:eastAsia="宋体" w:cs="宋体"/>
          <w:sz w:val="20"/>
          <w:szCs w:val="20"/>
        </w:rPr>
      </w:pPr>
      <w:r>
        <w:rPr>
          <w:rFonts w:ascii="宋体" w:hAnsi="宋体" w:eastAsia="宋体" w:cs="宋体"/>
          <w:spacing w:val="10"/>
          <w:sz w:val="20"/>
          <w:szCs w:val="20"/>
        </w:rPr>
        <w:t>除专用合同条款另有约定外，发包人不按照本项约定组织竣工验收、颁发工程接收证书的，每逾期一天，应以签约合同价为基数，按照全国银行间同业拆借中心公布的贷款市场报价利率支</w:t>
      </w:r>
      <w:r>
        <w:rPr>
          <w:rFonts w:ascii="宋体" w:hAnsi="宋体" w:eastAsia="宋体" w:cs="宋体"/>
          <w:spacing w:val="3"/>
          <w:sz w:val="20"/>
          <w:szCs w:val="20"/>
        </w:rPr>
        <w:t>付违约金（即逾期付款利息）。</w:t>
      </w:r>
    </w:p>
    <w:p w14:paraId="41F6EC15">
      <w:pPr>
        <w:spacing w:before="1" w:line="227" w:lineRule="auto"/>
        <w:ind w:left="437"/>
        <w:rPr>
          <w:rFonts w:ascii="宋体" w:hAnsi="宋体" w:eastAsia="宋体" w:cs="宋体"/>
          <w:sz w:val="20"/>
          <w:szCs w:val="20"/>
        </w:rPr>
      </w:pPr>
      <w:r>
        <w:rPr>
          <w:rFonts w:ascii="宋体" w:hAnsi="宋体" w:eastAsia="宋体" w:cs="宋体"/>
          <w:b/>
          <w:bCs/>
          <w:spacing w:val="3"/>
          <w:sz w:val="20"/>
          <w:szCs w:val="20"/>
        </w:rPr>
        <w:t>13.2.3</w:t>
      </w:r>
      <w:r>
        <w:rPr>
          <w:rFonts w:ascii="宋体" w:hAnsi="宋体" w:eastAsia="宋体" w:cs="宋体"/>
          <w:spacing w:val="3"/>
          <w:sz w:val="20"/>
          <w:szCs w:val="20"/>
        </w:rPr>
        <w:t xml:space="preserve"> </w:t>
      </w:r>
      <w:r>
        <w:rPr>
          <w:rFonts w:ascii="宋体" w:hAnsi="宋体" w:eastAsia="宋体" w:cs="宋体"/>
          <w:b/>
          <w:bCs/>
          <w:spacing w:val="3"/>
          <w:sz w:val="20"/>
          <w:szCs w:val="20"/>
        </w:rPr>
        <w:t>竣工日期</w:t>
      </w:r>
    </w:p>
    <w:p w14:paraId="69A74DCC">
      <w:pPr>
        <w:spacing w:before="126" w:line="346" w:lineRule="auto"/>
        <w:ind w:right="46" w:firstLine="423"/>
        <w:jc w:val="both"/>
        <w:rPr>
          <w:rFonts w:ascii="宋体" w:hAnsi="宋体" w:eastAsia="宋体" w:cs="宋体"/>
          <w:sz w:val="20"/>
          <w:szCs w:val="20"/>
        </w:rPr>
      </w:pPr>
      <w:r>
        <w:rPr>
          <w:rFonts w:ascii="宋体" w:hAnsi="宋体" w:eastAsia="宋体" w:cs="宋体"/>
          <w:spacing w:val="10"/>
          <w:sz w:val="20"/>
          <w:szCs w:val="20"/>
        </w:rPr>
        <w:t>工程经竣工验收合格的，以承包人提交竣工验收申请报告之日为实际竣工日期，并在工程接</w:t>
      </w:r>
      <w:r>
        <w:rPr>
          <w:rFonts w:ascii="宋体" w:hAnsi="宋体" w:eastAsia="宋体" w:cs="宋体"/>
          <w:spacing w:val="9"/>
          <w:sz w:val="20"/>
          <w:szCs w:val="20"/>
        </w:rPr>
        <w:t>收证书中载明；因发包人原因，未在监理人收到承包</w:t>
      </w:r>
      <w:r>
        <w:rPr>
          <w:rFonts w:ascii="宋体" w:hAnsi="宋体" w:eastAsia="宋体" w:cs="宋体"/>
          <w:spacing w:val="8"/>
          <w:sz w:val="20"/>
          <w:szCs w:val="20"/>
        </w:rPr>
        <w:t>人提交的竣工验收申请报告42</w:t>
      </w:r>
      <w:r>
        <w:rPr>
          <w:rFonts w:ascii="宋体" w:hAnsi="宋体" w:eastAsia="宋体" w:cs="宋体"/>
          <w:spacing w:val="-34"/>
          <w:sz w:val="20"/>
          <w:szCs w:val="20"/>
        </w:rPr>
        <w:t xml:space="preserve"> </w:t>
      </w:r>
      <w:r>
        <w:rPr>
          <w:rFonts w:ascii="宋体" w:hAnsi="宋体" w:eastAsia="宋体" w:cs="宋体"/>
          <w:spacing w:val="8"/>
          <w:sz w:val="20"/>
          <w:szCs w:val="20"/>
        </w:rPr>
        <w:t>天内完成竣工</w:t>
      </w:r>
      <w:r>
        <w:rPr>
          <w:rFonts w:ascii="宋体" w:hAnsi="宋体" w:eastAsia="宋体" w:cs="宋体"/>
          <w:spacing w:val="10"/>
          <w:sz w:val="20"/>
          <w:szCs w:val="20"/>
        </w:rPr>
        <w:t>验收，或完成竣工验收不予签发工程接收证书的，以提交竣工验收申请报告的日期为实际竣工日</w:t>
      </w:r>
      <w:r>
        <w:rPr>
          <w:rFonts w:ascii="宋体" w:hAnsi="宋体" w:eastAsia="宋体" w:cs="宋体"/>
          <w:spacing w:val="8"/>
          <w:sz w:val="20"/>
          <w:szCs w:val="20"/>
        </w:rPr>
        <w:t>期；工程未经竣工验收，发包人擅自使用的，</w:t>
      </w:r>
      <w:r>
        <w:rPr>
          <w:rFonts w:ascii="宋体" w:hAnsi="宋体" w:eastAsia="宋体" w:cs="宋体"/>
          <w:spacing w:val="-47"/>
          <w:sz w:val="20"/>
          <w:szCs w:val="20"/>
        </w:rPr>
        <w:t xml:space="preserve"> </w:t>
      </w:r>
      <w:r>
        <w:rPr>
          <w:rFonts w:ascii="宋体" w:hAnsi="宋体" w:eastAsia="宋体" w:cs="宋体"/>
          <w:spacing w:val="8"/>
          <w:sz w:val="20"/>
          <w:szCs w:val="20"/>
        </w:rPr>
        <w:t>以转移占有工程之日为实际竣工日期。</w:t>
      </w:r>
    </w:p>
    <w:p w14:paraId="3A612D89">
      <w:pPr>
        <w:spacing w:before="1" w:line="227" w:lineRule="auto"/>
        <w:ind w:left="437"/>
        <w:rPr>
          <w:rFonts w:ascii="宋体" w:hAnsi="宋体" w:eastAsia="宋体" w:cs="宋体"/>
          <w:sz w:val="20"/>
          <w:szCs w:val="20"/>
        </w:rPr>
      </w:pPr>
      <w:r>
        <w:rPr>
          <w:rFonts w:ascii="宋体" w:hAnsi="宋体" w:eastAsia="宋体" w:cs="宋体"/>
          <w:b/>
          <w:bCs/>
          <w:spacing w:val="5"/>
          <w:sz w:val="20"/>
          <w:szCs w:val="20"/>
        </w:rPr>
        <w:t>13.2.4</w:t>
      </w:r>
      <w:r>
        <w:rPr>
          <w:rFonts w:ascii="宋体" w:hAnsi="宋体" w:eastAsia="宋体" w:cs="宋体"/>
          <w:spacing w:val="5"/>
          <w:sz w:val="20"/>
          <w:szCs w:val="20"/>
        </w:rPr>
        <w:t xml:space="preserve"> </w:t>
      </w:r>
      <w:r>
        <w:rPr>
          <w:rFonts w:ascii="宋体" w:hAnsi="宋体" w:eastAsia="宋体" w:cs="宋体"/>
          <w:b/>
          <w:bCs/>
          <w:spacing w:val="5"/>
          <w:sz w:val="20"/>
          <w:szCs w:val="20"/>
        </w:rPr>
        <w:t>拒绝接收全部或部分工程</w:t>
      </w:r>
    </w:p>
    <w:p w14:paraId="0E9A3952">
      <w:pPr>
        <w:spacing w:line="227" w:lineRule="auto"/>
        <w:rPr>
          <w:rFonts w:ascii="宋体" w:hAnsi="宋体" w:eastAsia="宋体" w:cs="宋体"/>
          <w:sz w:val="20"/>
          <w:szCs w:val="20"/>
        </w:rPr>
        <w:sectPr>
          <w:footerReference r:id="rId374" w:type="default"/>
          <w:pgSz w:w="11906" w:h="16839"/>
          <w:pgMar w:top="400" w:right="1486" w:bottom="1446" w:left="1537" w:header="0" w:footer="1284" w:gutter="0"/>
          <w:cols w:space="720" w:num="1"/>
        </w:sectPr>
      </w:pPr>
    </w:p>
    <w:p w14:paraId="246EC6CD">
      <w:pPr>
        <w:spacing w:line="246" w:lineRule="auto"/>
        <w:rPr>
          <w:rFonts w:ascii="Arial"/>
          <w:sz w:val="21"/>
        </w:rPr>
      </w:pPr>
    </w:p>
    <w:p w14:paraId="1484A712">
      <w:pPr>
        <w:spacing w:line="246" w:lineRule="auto"/>
        <w:rPr>
          <w:rFonts w:ascii="Arial"/>
          <w:sz w:val="21"/>
        </w:rPr>
      </w:pPr>
    </w:p>
    <w:p w14:paraId="09185510">
      <w:pPr>
        <w:spacing w:line="246" w:lineRule="auto"/>
        <w:rPr>
          <w:rFonts w:ascii="Arial"/>
          <w:sz w:val="21"/>
        </w:rPr>
      </w:pPr>
    </w:p>
    <w:p w14:paraId="75636D36">
      <w:pPr>
        <w:spacing w:line="246" w:lineRule="auto"/>
        <w:rPr>
          <w:rFonts w:ascii="Arial"/>
          <w:sz w:val="21"/>
        </w:rPr>
      </w:pPr>
    </w:p>
    <w:p w14:paraId="5AC26051">
      <w:pPr>
        <w:spacing w:line="246" w:lineRule="auto"/>
        <w:rPr>
          <w:rFonts w:ascii="Arial"/>
          <w:sz w:val="21"/>
        </w:rPr>
      </w:pPr>
    </w:p>
    <w:p w14:paraId="46BAAE54">
      <w:pPr>
        <w:spacing w:line="246" w:lineRule="auto"/>
        <w:rPr>
          <w:rFonts w:ascii="Arial"/>
          <w:sz w:val="21"/>
        </w:rPr>
      </w:pPr>
    </w:p>
    <w:p w14:paraId="2E6BD145">
      <w:pPr>
        <w:spacing w:before="65" w:line="346" w:lineRule="auto"/>
        <w:ind w:left="4" w:right="71" w:firstLine="416"/>
        <w:jc w:val="both"/>
        <w:rPr>
          <w:rFonts w:ascii="宋体" w:hAnsi="宋体" w:eastAsia="宋体" w:cs="宋体"/>
          <w:sz w:val="20"/>
          <w:szCs w:val="20"/>
        </w:rPr>
      </w:pPr>
      <w:r>
        <w:rPr>
          <w:rFonts w:ascii="宋体" w:hAnsi="宋体" w:eastAsia="宋体" w:cs="宋体"/>
          <w:spacing w:val="10"/>
          <w:sz w:val="20"/>
          <w:szCs w:val="20"/>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w:t>
      </w:r>
      <w:r>
        <w:rPr>
          <w:rFonts w:ascii="宋体" w:hAnsi="宋体" w:eastAsia="宋体" w:cs="宋体"/>
          <w:spacing w:val="7"/>
          <w:sz w:val="20"/>
          <w:szCs w:val="20"/>
        </w:rPr>
        <w:t>误的工期由承包人承担。</w:t>
      </w:r>
    </w:p>
    <w:p w14:paraId="30FCE348">
      <w:pPr>
        <w:spacing w:line="227" w:lineRule="auto"/>
        <w:ind w:left="437"/>
        <w:rPr>
          <w:rFonts w:ascii="宋体" w:hAnsi="宋体" w:eastAsia="宋体" w:cs="宋体"/>
          <w:sz w:val="20"/>
          <w:szCs w:val="20"/>
        </w:rPr>
      </w:pPr>
      <w:r>
        <w:rPr>
          <w:rFonts w:ascii="宋体" w:hAnsi="宋体" w:eastAsia="宋体" w:cs="宋体"/>
          <w:b/>
          <w:bCs/>
          <w:spacing w:val="5"/>
          <w:sz w:val="20"/>
          <w:szCs w:val="20"/>
        </w:rPr>
        <w:t>13.2.5</w:t>
      </w:r>
      <w:r>
        <w:rPr>
          <w:rFonts w:ascii="宋体" w:hAnsi="宋体" w:eastAsia="宋体" w:cs="宋体"/>
          <w:spacing w:val="5"/>
          <w:sz w:val="20"/>
          <w:szCs w:val="20"/>
        </w:rPr>
        <w:t xml:space="preserve"> </w:t>
      </w:r>
      <w:r>
        <w:rPr>
          <w:rFonts w:ascii="宋体" w:hAnsi="宋体" w:eastAsia="宋体" w:cs="宋体"/>
          <w:b/>
          <w:bCs/>
          <w:spacing w:val="5"/>
          <w:sz w:val="20"/>
          <w:szCs w:val="20"/>
        </w:rPr>
        <w:t>移交、接收全部与部分工程</w:t>
      </w:r>
    </w:p>
    <w:p w14:paraId="14125AFD">
      <w:pPr>
        <w:spacing w:before="127" w:line="227" w:lineRule="auto"/>
        <w:jc w:val="right"/>
        <w:rPr>
          <w:rFonts w:ascii="宋体" w:hAnsi="宋体" w:eastAsia="宋体" w:cs="宋体"/>
          <w:sz w:val="20"/>
          <w:szCs w:val="20"/>
        </w:rPr>
      </w:pPr>
      <w:r>
        <w:rPr>
          <w:rFonts w:ascii="宋体" w:hAnsi="宋体" w:eastAsia="宋体" w:cs="宋体"/>
          <w:spacing w:val="6"/>
          <w:sz w:val="20"/>
          <w:szCs w:val="20"/>
        </w:rPr>
        <w:t>除专用合同条款另有约定外，合同当事人应当在颁发工程接收证书后</w:t>
      </w:r>
      <w:r>
        <w:rPr>
          <w:rFonts w:ascii="宋体" w:hAnsi="宋体" w:eastAsia="宋体" w:cs="宋体"/>
          <w:spacing w:val="-35"/>
          <w:sz w:val="20"/>
          <w:szCs w:val="20"/>
        </w:rPr>
        <w:t xml:space="preserve"> </w:t>
      </w:r>
      <w:r>
        <w:rPr>
          <w:rFonts w:ascii="宋体" w:hAnsi="宋体" w:eastAsia="宋体" w:cs="宋体"/>
          <w:spacing w:val="6"/>
          <w:sz w:val="20"/>
          <w:szCs w:val="20"/>
        </w:rPr>
        <w:t>7</w:t>
      </w:r>
      <w:r>
        <w:rPr>
          <w:rFonts w:ascii="宋体" w:hAnsi="宋体" w:eastAsia="宋体" w:cs="宋体"/>
          <w:spacing w:val="-33"/>
          <w:sz w:val="20"/>
          <w:szCs w:val="20"/>
        </w:rPr>
        <w:t xml:space="preserve"> </w:t>
      </w:r>
      <w:r>
        <w:rPr>
          <w:rFonts w:ascii="宋体" w:hAnsi="宋体" w:eastAsia="宋体" w:cs="宋体"/>
          <w:spacing w:val="6"/>
          <w:sz w:val="20"/>
          <w:szCs w:val="20"/>
        </w:rPr>
        <w:t>天内完</w:t>
      </w:r>
      <w:r>
        <w:rPr>
          <w:rFonts w:ascii="宋体" w:hAnsi="宋体" w:eastAsia="宋体" w:cs="宋体"/>
          <w:spacing w:val="5"/>
          <w:sz w:val="20"/>
          <w:szCs w:val="20"/>
        </w:rPr>
        <w:t>成工程的移交。</w:t>
      </w:r>
    </w:p>
    <w:p w14:paraId="742B737D">
      <w:pPr>
        <w:spacing w:before="127" w:line="346" w:lineRule="auto"/>
        <w:ind w:left="8" w:right="71" w:firstLine="412"/>
        <w:rPr>
          <w:rFonts w:ascii="宋体" w:hAnsi="宋体" w:eastAsia="宋体" w:cs="宋体"/>
          <w:sz w:val="20"/>
          <w:szCs w:val="20"/>
        </w:rPr>
      </w:pPr>
      <w:r>
        <w:rPr>
          <w:rFonts w:ascii="宋体" w:hAnsi="宋体" w:eastAsia="宋体" w:cs="宋体"/>
          <w:spacing w:val="10"/>
          <w:sz w:val="20"/>
          <w:szCs w:val="20"/>
        </w:rPr>
        <w:t>根据工程项目的具体情况和特点，可按工程或单位工程进行接收，并在专用合同条件约定接</w:t>
      </w:r>
      <w:r>
        <w:rPr>
          <w:rFonts w:ascii="宋体" w:hAnsi="宋体" w:eastAsia="宋体" w:cs="宋体"/>
          <w:spacing w:val="8"/>
          <w:sz w:val="20"/>
          <w:szCs w:val="20"/>
        </w:rPr>
        <w:t>收的先后顺序、时间安排和其他要求。</w:t>
      </w:r>
    </w:p>
    <w:p w14:paraId="554AAA6D">
      <w:pPr>
        <w:spacing w:before="2" w:line="345" w:lineRule="auto"/>
        <w:ind w:left="2" w:firstLine="422"/>
        <w:jc w:val="both"/>
        <w:rPr>
          <w:rFonts w:ascii="宋体" w:hAnsi="宋体" w:eastAsia="宋体" w:cs="宋体"/>
          <w:sz w:val="20"/>
          <w:szCs w:val="20"/>
        </w:rPr>
      </w:pPr>
      <w:r>
        <w:rPr>
          <w:rFonts w:ascii="宋体" w:hAnsi="宋体" w:eastAsia="宋体" w:cs="宋体"/>
          <w:spacing w:val="7"/>
          <w:sz w:val="20"/>
          <w:szCs w:val="20"/>
        </w:rPr>
        <w:t>发包人无正当理由不接收工程的，发包人自应当接收工程之日起，承担工程照</w:t>
      </w:r>
      <w:r>
        <w:rPr>
          <w:rFonts w:ascii="宋体" w:hAnsi="宋体" w:eastAsia="宋体" w:cs="宋体"/>
          <w:spacing w:val="6"/>
          <w:sz w:val="20"/>
          <w:szCs w:val="20"/>
        </w:rPr>
        <w:t>管、成品保护、</w:t>
      </w:r>
      <w:r>
        <w:rPr>
          <w:rFonts w:ascii="宋体" w:hAnsi="宋体" w:eastAsia="宋体" w:cs="宋体"/>
          <w:spacing w:val="10"/>
          <w:sz w:val="20"/>
          <w:szCs w:val="20"/>
        </w:rPr>
        <w:t>保管等与工程有关的各项费用，合同当事人可以在专用合同条款中另行约定发包人逾期接收工程</w:t>
      </w:r>
      <w:r>
        <w:rPr>
          <w:rFonts w:ascii="宋体" w:hAnsi="宋体" w:eastAsia="宋体" w:cs="宋体"/>
          <w:spacing w:val="6"/>
          <w:sz w:val="20"/>
          <w:szCs w:val="20"/>
        </w:rPr>
        <w:t>的违约责任。</w:t>
      </w:r>
    </w:p>
    <w:p w14:paraId="69D1D907">
      <w:pPr>
        <w:spacing w:before="2" w:line="345" w:lineRule="auto"/>
        <w:ind w:left="4" w:firstLine="417"/>
        <w:rPr>
          <w:rFonts w:ascii="宋体" w:hAnsi="宋体" w:eastAsia="宋体" w:cs="宋体"/>
          <w:sz w:val="20"/>
          <w:szCs w:val="20"/>
        </w:rPr>
      </w:pPr>
      <w:r>
        <w:rPr>
          <w:rFonts w:ascii="宋体" w:hAnsi="宋体" w:eastAsia="宋体" w:cs="宋体"/>
          <w:spacing w:val="10"/>
          <w:sz w:val="20"/>
          <w:szCs w:val="20"/>
        </w:rPr>
        <w:t>承包人无正当理由不移交工程的，承包人应承担工程照管、成品保护、保管等与工程有关的</w:t>
      </w:r>
      <w:r>
        <w:rPr>
          <w:rFonts w:ascii="宋体" w:hAnsi="宋体" w:eastAsia="宋体" w:cs="宋体"/>
          <w:spacing w:val="7"/>
          <w:sz w:val="20"/>
          <w:szCs w:val="20"/>
        </w:rPr>
        <w:t>各项费用，合同当事人可以在专用合同条款中另行约定承包人无正当理由不移交工程的违约责任。</w:t>
      </w:r>
    </w:p>
    <w:p w14:paraId="03A707D8">
      <w:pPr>
        <w:spacing w:line="227" w:lineRule="auto"/>
        <w:ind w:left="437"/>
        <w:rPr>
          <w:rFonts w:ascii="宋体" w:hAnsi="宋体" w:eastAsia="宋体" w:cs="宋体"/>
          <w:sz w:val="20"/>
          <w:szCs w:val="20"/>
        </w:rPr>
      </w:pPr>
      <w:r>
        <w:rPr>
          <w:rFonts w:ascii="宋体" w:hAnsi="宋体" w:eastAsia="宋体" w:cs="宋体"/>
          <w:b/>
          <w:bCs/>
          <w:spacing w:val="1"/>
          <w:sz w:val="20"/>
          <w:szCs w:val="20"/>
        </w:rPr>
        <w:t>13.3</w:t>
      </w:r>
      <w:r>
        <w:rPr>
          <w:rFonts w:ascii="宋体" w:hAnsi="宋体" w:eastAsia="宋体" w:cs="宋体"/>
          <w:spacing w:val="21"/>
          <w:sz w:val="20"/>
          <w:szCs w:val="20"/>
        </w:rPr>
        <w:t xml:space="preserve"> </w:t>
      </w:r>
      <w:r>
        <w:rPr>
          <w:rFonts w:ascii="宋体" w:hAnsi="宋体" w:eastAsia="宋体" w:cs="宋体"/>
          <w:b/>
          <w:bCs/>
          <w:spacing w:val="1"/>
          <w:sz w:val="20"/>
          <w:szCs w:val="20"/>
        </w:rPr>
        <w:t>工程试车</w:t>
      </w:r>
    </w:p>
    <w:p w14:paraId="7D467027">
      <w:pPr>
        <w:spacing w:before="128" w:line="228" w:lineRule="auto"/>
        <w:ind w:left="437"/>
        <w:rPr>
          <w:rFonts w:ascii="宋体" w:hAnsi="宋体" w:eastAsia="宋体" w:cs="宋体"/>
          <w:sz w:val="20"/>
          <w:szCs w:val="20"/>
        </w:rPr>
      </w:pPr>
      <w:r>
        <w:rPr>
          <w:rFonts w:ascii="宋体" w:hAnsi="宋体" w:eastAsia="宋体" w:cs="宋体"/>
          <w:b/>
          <w:bCs/>
          <w:spacing w:val="3"/>
          <w:sz w:val="20"/>
          <w:szCs w:val="20"/>
        </w:rPr>
        <w:t>13.3.1</w:t>
      </w:r>
      <w:r>
        <w:rPr>
          <w:rFonts w:ascii="宋体" w:hAnsi="宋体" w:eastAsia="宋体" w:cs="宋体"/>
          <w:spacing w:val="3"/>
          <w:sz w:val="20"/>
          <w:szCs w:val="20"/>
        </w:rPr>
        <w:t xml:space="preserve"> </w:t>
      </w:r>
      <w:r>
        <w:rPr>
          <w:rFonts w:ascii="宋体" w:hAnsi="宋体" w:eastAsia="宋体" w:cs="宋体"/>
          <w:b/>
          <w:bCs/>
          <w:spacing w:val="3"/>
          <w:sz w:val="20"/>
          <w:szCs w:val="20"/>
        </w:rPr>
        <w:t>试车程序</w:t>
      </w:r>
    </w:p>
    <w:p w14:paraId="1AF9F541">
      <w:pPr>
        <w:spacing w:before="127" w:line="346" w:lineRule="auto"/>
        <w:ind w:left="13" w:right="71" w:firstLine="411"/>
        <w:rPr>
          <w:rFonts w:ascii="宋体" w:hAnsi="宋体" w:eastAsia="宋体" w:cs="宋体"/>
          <w:sz w:val="20"/>
          <w:szCs w:val="20"/>
        </w:rPr>
      </w:pPr>
      <w:r>
        <w:rPr>
          <w:rFonts w:ascii="宋体" w:hAnsi="宋体" w:eastAsia="宋体" w:cs="宋体"/>
          <w:spacing w:val="10"/>
          <w:sz w:val="20"/>
          <w:szCs w:val="20"/>
        </w:rPr>
        <w:t>工程需要试车的，除专用合同条款另有约定外，试车内容应与承包人承包范围相一致，试车</w:t>
      </w:r>
      <w:r>
        <w:rPr>
          <w:rFonts w:ascii="宋体" w:hAnsi="宋体" w:eastAsia="宋体" w:cs="宋体"/>
          <w:spacing w:val="8"/>
          <w:sz w:val="20"/>
          <w:szCs w:val="20"/>
        </w:rPr>
        <w:t>费用由承包人承担。工程试车应按如下程序进行：</w:t>
      </w:r>
    </w:p>
    <w:p w14:paraId="78517EA6">
      <w:pPr>
        <w:spacing w:before="2" w:line="345" w:lineRule="auto"/>
        <w:ind w:left="1" w:right="70" w:firstLine="430"/>
        <w:jc w:val="both"/>
        <w:rPr>
          <w:rFonts w:ascii="宋体" w:hAnsi="宋体" w:eastAsia="宋体" w:cs="宋体"/>
          <w:sz w:val="20"/>
          <w:szCs w:val="20"/>
        </w:rPr>
      </w:pPr>
      <w:r>
        <w:rPr>
          <w:rFonts w:ascii="宋体" w:hAnsi="宋体" w:eastAsia="宋体" w:cs="宋体"/>
          <w:spacing w:val="11"/>
          <w:sz w:val="20"/>
          <w:szCs w:val="20"/>
        </w:rPr>
        <w:t>（1）具备单机无负荷试车条件，承包人组织试车，并在试车</w:t>
      </w:r>
      <w:r>
        <w:rPr>
          <w:rFonts w:ascii="宋体" w:hAnsi="宋体" w:eastAsia="宋体" w:cs="宋体"/>
          <w:spacing w:val="10"/>
          <w:sz w:val="20"/>
          <w:szCs w:val="20"/>
        </w:rPr>
        <w:t>前48</w:t>
      </w:r>
      <w:r>
        <w:rPr>
          <w:rFonts w:ascii="宋体" w:hAnsi="宋体" w:eastAsia="宋体" w:cs="宋体"/>
          <w:spacing w:val="-35"/>
          <w:sz w:val="20"/>
          <w:szCs w:val="20"/>
        </w:rPr>
        <w:t xml:space="preserve"> </w:t>
      </w:r>
      <w:r>
        <w:rPr>
          <w:rFonts w:ascii="宋体" w:hAnsi="宋体" w:eastAsia="宋体" w:cs="宋体"/>
          <w:spacing w:val="10"/>
          <w:sz w:val="20"/>
          <w:szCs w:val="20"/>
        </w:rPr>
        <w:t>小时书面通知监理人，通知中应载明试车内容、时间、地点。承包人准备试车记录，发包人根据承包人要求为试车提供必</w:t>
      </w:r>
      <w:r>
        <w:rPr>
          <w:rFonts w:ascii="宋体" w:hAnsi="宋体" w:eastAsia="宋体" w:cs="宋体"/>
          <w:spacing w:val="9"/>
          <w:sz w:val="20"/>
          <w:szCs w:val="20"/>
        </w:rPr>
        <w:t>要条件。试车合格的，监理人在试车记录上签字。监理人在试车合格后不在试车记录上签字，</w:t>
      </w:r>
      <w:r>
        <w:rPr>
          <w:rFonts w:ascii="宋体" w:hAnsi="宋体" w:eastAsia="宋体" w:cs="宋体"/>
          <w:spacing w:val="-46"/>
          <w:sz w:val="20"/>
          <w:szCs w:val="20"/>
        </w:rPr>
        <w:t xml:space="preserve"> </w:t>
      </w:r>
      <w:r>
        <w:rPr>
          <w:rFonts w:ascii="宋体" w:hAnsi="宋体" w:eastAsia="宋体" w:cs="宋体"/>
          <w:spacing w:val="9"/>
          <w:sz w:val="20"/>
          <w:szCs w:val="20"/>
        </w:rPr>
        <w:t>自试车结束满</w:t>
      </w:r>
      <w:r>
        <w:rPr>
          <w:rFonts w:ascii="宋体" w:hAnsi="宋体" w:eastAsia="宋体" w:cs="宋体"/>
          <w:spacing w:val="-37"/>
          <w:sz w:val="20"/>
          <w:szCs w:val="20"/>
        </w:rPr>
        <w:t xml:space="preserve"> </w:t>
      </w:r>
      <w:r>
        <w:rPr>
          <w:rFonts w:ascii="宋体" w:hAnsi="宋体" w:eastAsia="宋体" w:cs="宋体"/>
          <w:spacing w:val="9"/>
          <w:sz w:val="20"/>
          <w:szCs w:val="20"/>
        </w:rPr>
        <w:t>24</w:t>
      </w:r>
      <w:r>
        <w:rPr>
          <w:rFonts w:ascii="宋体" w:hAnsi="宋体" w:eastAsia="宋体" w:cs="宋体"/>
          <w:spacing w:val="-32"/>
          <w:sz w:val="20"/>
          <w:szCs w:val="20"/>
        </w:rPr>
        <w:t xml:space="preserve"> </w:t>
      </w:r>
      <w:r>
        <w:rPr>
          <w:rFonts w:ascii="宋体" w:hAnsi="宋体" w:eastAsia="宋体" w:cs="宋体"/>
          <w:spacing w:val="9"/>
          <w:sz w:val="20"/>
          <w:szCs w:val="20"/>
        </w:rPr>
        <w:t>小时后视为监理人已经认可试车记录，承包人</w:t>
      </w:r>
      <w:r>
        <w:rPr>
          <w:rFonts w:ascii="宋体" w:hAnsi="宋体" w:eastAsia="宋体" w:cs="宋体"/>
          <w:spacing w:val="8"/>
          <w:sz w:val="20"/>
          <w:szCs w:val="20"/>
        </w:rPr>
        <w:t>可继续施工或办理竣工验收手续。</w:t>
      </w:r>
    </w:p>
    <w:p w14:paraId="4E8A57CC">
      <w:pPr>
        <w:spacing w:before="2" w:line="345" w:lineRule="auto"/>
        <w:ind w:left="3" w:right="16" w:firstLine="419"/>
        <w:jc w:val="both"/>
        <w:rPr>
          <w:rFonts w:ascii="宋体" w:hAnsi="宋体" w:eastAsia="宋体" w:cs="宋体"/>
          <w:sz w:val="20"/>
          <w:szCs w:val="20"/>
        </w:rPr>
      </w:pPr>
      <w:r>
        <w:rPr>
          <w:rFonts w:ascii="宋体" w:hAnsi="宋体" w:eastAsia="宋体" w:cs="宋体"/>
          <w:spacing w:val="7"/>
          <w:sz w:val="20"/>
          <w:szCs w:val="20"/>
        </w:rPr>
        <w:t>监理人不能按时参加试车，应在试车前</w:t>
      </w:r>
      <w:r>
        <w:rPr>
          <w:rFonts w:ascii="宋体" w:hAnsi="宋体" w:eastAsia="宋体" w:cs="宋体"/>
          <w:spacing w:val="-36"/>
          <w:sz w:val="20"/>
          <w:szCs w:val="20"/>
        </w:rPr>
        <w:t xml:space="preserve"> </w:t>
      </w:r>
      <w:r>
        <w:rPr>
          <w:rFonts w:ascii="宋体" w:hAnsi="宋体" w:eastAsia="宋体" w:cs="宋体"/>
          <w:spacing w:val="7"/>
          <w:sz w:val="20"/>
          <w:szCs w:val="20"/>
        </w:rPr>
        <w:t>24</w:t>
      </w:r>
      <w:r>
        <w:rPr>
          <w:rFonts w:ascii="宋体" w:hAnsi="宋体" w:eastAsia="宋体" w:cs="宋体"/>
          <w:spacing w:val="-33"/>
          <w:sz w:val="20"/>
          <w:szCs w:val="20"/>
        </w:rPr>
        <w:t xml:space="preserve"> </w:t>
      </w:r>
      <w:r>
        <w:rPr>
          <w:rFonts w:ascii="宋体" w:hAnsi="宋体" w:eastAsia="宋体" w:cs="宋体"/>
          <w:spacing w:val="7"/>
          <w:sz w:val="20"/>
          <w:szCs w:val="20"/>
        </w:rPr>
        <w:t>小时以书面形式向承包人提出延期</w:t>
      </w:r>
      <w:r>
        <w:rPr>
          <w:rFonts w:ascii="宋体" w:hAnsi="宋体" w:eastAsia="宋体" w:cs="宋体"/>
          <w:spacing w:val="6"/>
          <w:sz w:val="20"/>
          <w:szCs w:val="20"/>
        </w:rPr>
        <w:t>要求，但延期不</w:t>
      </w:r>
      <w:r>
        <w:rPr>
          <w:rFonts w:ascii="宋体" w:hAnsi="宋体" w:eastAsia="宋体" w:cs="宋体"/>
          <w:spacing w:val="5"/>
          <w:sz w:val="20"/>
          <w:szCs w:val="20"/>
        </w:rPr>
        <w:t>能超过48</w:t>
      </w:r>
      <w:r>
        <w:rPr>
          <w:rFonts w:ascii="宋体" w:hAnsi="宋体" w:eastAsia="宋体" w:cs="宋体"/>
          <w:spacing w:val="-32"/>
          <w:sz w:val="20"/>
          <w:szCs w:val="20"/>
        </w:rPr>
        <w:t xml:space="preserve"> </w:t>
      </w:r>
      <w:r>
        <w:rPr>
          <w:rFonts w:ascii="宋体" w:hAnsi="宋体" w:eastAsia="宋体" w:cs="宋体"/>
          <w:spacing w:val="5"/>
          <w:sz w:val="20"/>
          <w:szCs w:val="20"/>
        </w:rPr>
        <w:t>小时，由此导致工期延误的，工期应予以顺延。监理人未能在前述期限内提出延期</w:t>
      </w:r>
      <w:r>
        <w:rPr>
          <w:rFonts w:ascii="宋体" w:hAnsi="宋体" w:eastAsia="宋体" w:cs="宋体"/>
          <w:spacing w:val="4"/>
          <w:sz w:val="20"/>
          <w:szCs w:val="20"/>
        </w:rPr>
        <w:t>要求，</w:t>
      </w:r>
      <w:r>
        <w:rPr>
          <w:rFonts w:ascii="宋体" w:hAnsi="宋体" w:eastAsia="宋体" w:cs="宋体"/>
          <w:spacing w:val="8"/>
          <w:sz w:val="20"/>
          <w:szCs w:val="20"/>
        </w:rPr>
        <w:t>又不参加试车的，视为认可试车记录。</w:t>
      </w:r>
    </w:p>
    <w:p w14:paraId="3184EA34">
      <w:pPr>
        <w:spacing w:before="2" w:line="345" w:lineRule="auto"/>
        <w:ind w:left="2" w:right="70" w:firstLine="429"/>
        <w:jc w:val="both"/>
        <w:rPr>
          <w:rFonts w:ascii="宋体" w:hAnsi="宋体" w:eastAsia="宋体" w:cs="宋体"/>
          <w:sz w:val="20"/>
          <w:szCs w:val="20"/>
        </w:rPr>
      </w:pPr>
      <w:r>
        <w:rPr>
          <w:rFonts w:ascii="宋体" w:hAnsi="宋体" w:eastAsia="宋体" w:cs="宋体"/>
          <w:spacing w:val="11"/>
          <w:sz w:val="20"/>
          <w:szCs w:val="20"/>
        </w:rPr>
        <w:t>（2）具备无负荷联动试车条件，发包人组织试车，并在试车</w:t>
      </w:r>
      <w:r>
        <w:rPr>
          <w:rFonts w:ascii="宋体" w:hAnsi="宋体" w:eastAsia="宋体" w:cs="宋体"/>
          <w:spacing w:val="10"/>
          <w:sz w:val="20"/>
          <w:szCs w:val="20"/>
        </w:rPr>
        <w:t>前48</w:t>
      </w:r>
      <w:r>
        <w:rPr>
          <w:rFonts w:ascii="宋体" w:hAnsi="宋体" w:eastAsia="宋体" w:cs="宋体"/>
          <w:spacing w:val="-35"/>
          <w:sz w:val="20"/>
          <w:szCs w:val="20"/>
        </w:rPr>
        <w:t xml:space="preserve"> </w:t>
      </w:r>
      <w:r>
        <w:rPr>
          <w:rFonts w:ascii="宋体" w:hAnsi="宋体" w:eastAsia="宋体" w:cs="宋体"/>
          <w:spacing w:val="10"/>
          <w:sz w:val="20"/>
          <w:szCs w:val="20"/>
        </w:rPr>
        <w:t>小时以书面形式通知承包人。通知中应载明试车内容、时间、地点和对承包人的要求，承包人按要求做好准备工作。试车</w:t>
      </w:r>
      <w:r>
        <w:rPr>
          <w:rFonts w:ascii="宋体" w:hAnsi="宋体" w:eastAsia="宋体" w:cs="宋体"/>
          <w:spacing w:val="9"/>
          <w:sz w:val="20"/>
          <w:szCs w:val="20"/>
        </w:rPr>
        <w:t>合格，合同当事人在试车记录上签字。承包人无正当理由不参加试车的，视为认可试车记录。</w:t>
      </w:r>
    </w:p>
    <w:p w14:paraId="096FB0CE">
      <w:pPr>
        <w:spacing w:before="1" w:line="227" w:lineRule="auto"/>
        <w:ind w:left="437"/>
        <w:rPr>
          <w:rFonts w:ascii="宋体" w:hAnsi="宋体" w:eastAsia="宋体" w:cs="宋体"/>
          <w:sz w:val="20"/>
          <w:szCs w:val="20"/>
        </w:rPr>
      </w:pPr>
      <w:r>
        <w:rPr>
          <w:rFonts w:ascii="宋体" w:hAnsi="宋体" w:eastAsia="宋体" w:cs="宋体"/>
          <w:b/>
          <w:bCs/>
          <w:spacing w:val="4"/>
          <w:sz w:val="20"/>
          <w:szCs w:val="20"/>
        </w:rPr>
        <w:t>13.3.2</w:t>
      </w:r>
      <w:r>
        <w:rPr>
          <w:rFonts w:ascii="宋体" w:hAnsi="宋体" w:eastAsia="宋体" w:cs="宋体"/>
          <w:spacing w:val="4"/>
          <w:sz w:val="20"/>
          <w:szCs w:val="20"/>
        </w:rPr>
        <w:t xml:space="preserve"> </w:t>
      </w:r>
      <w:r>
        <w:rPr>
          <w:rFonts w:ascii="宋体" w:hAnsi="宋体" w:eastAsia="宋体" w:cs="宋体"/>
          <w:b/>
          <w:bCs/>
          <w:spacing w:val="4"/>
          <w:sz w:val="20"/>
          <w:szCs w:val="20"/>
        </w:rPr>
        <w:t>试车中的责任</w:t>
      </w:r>
    </w:p>
    <w:p w14:paraId="3059C3AB">
      <w:pPr>
        <w:spacing w:before="126" w:line="346" w:lineRule="auto"/>
        <w:ind w:left="1" w:right="16" w:firstLine="436"/>
        <w:jc w:val="both"/>
        <w:rPr>
          <w:rFonts w:ascii="宋体" w:hAnsi="宋体" w:eastAsia="宋体" w:cs="宋体"/>
          <w:sz w:val="20"/>
          <w:szCs w:val="20"/>
        </w:rPr>
      </w:pPr>
      <w:r>
        <w:rPr>
          <w:rFonts w:ascii="宋体" w:hAnsi="宋体" w:eastAsia="宋体" w:cs="宋体"/>
          <w:spacing w:val="10"/>
          <w:sz w:val="20"/>
          <w:szCs w:val="20"/>
        </w:rPr>
        <w:t>因设计原因导致试车达不到验收要求，发包人应要求设计人修改设计，承包人按</w:t>
      </w:r>
      <w:r>
        <w:rPr>
          <w:rFonts w:ascii="宋体" w:hAnsi="宋体" w:eastAsia="宋体" w:cs="宋体"/>
          <w:spacing w:val="9"/>
          <w:sz w:val="20"/>
          <w:szCs w:val="20"/>
        </w:rPr>
        <w:t>修改后的设</w:t>
      </w:r>
      <w:r>
        <w:rPr>
          <w:rFonts w:ascii="宋体" w:hAnsi="宋体" w:eastAsia="宋体" w:cs="宋体"/>
          <w:spacing w:val="10"/>
          <w:sz w:val="20"/>
          <w:szCs w:val="20"/>
        </w:rPr>
        <w:t>计重新安装。发包人承担修改设计、拆除及重新安装的全部费用，工期相应顺延。因承包人原因</w:t>
      </w:r>
      <w:r>
        <w:rPr>
          <w:rFonts w:ascii="宋体" w:hAnsi="宋体" w:eastAsia="宋体" w:cs="宋体"/>
          <w:spacing w:val="7"/>
          <w:sz w:val="20"/>
          <w:szCs w:val="20"/>
        </w:rPr>
        <w:t>导致试车达不到验收要求，承包人按监理人要求重新安装和试车，</w:t>
      </w:r>
      <w:r>
        <w:rPr>
          <w:rFonts w:ascii="宋体" w:hAnsi="宋体" w:eastAsia="宋体" w:cs="宋体"/>
          <w:spacing w:val="6"/>
          <w:sz w:val="20"/>
          <w:szCs w:val="20"/>
        </w:rPr>
        <w:t>并承担重新安装和试车的费用，</w:t>
      </w:r>
      <w:r>
        <w:rPr>
          <w:rFonts w:ascii="宋体" w:hAnsi="宋体" w:eastAsia="宋体" w:cs="宋体"/>
          <w:spacing w:val="7"/>
          <w:sz w:val="20"/>
          <w:szCs w:val="20"/>
        </w:rPr>
        <w:t>工期不予顺延。</w:t>
      </w:r>
    </w:p>
    <w:p w14:paraId="04A44B46">
      <w:pPr>
        <w:spacing w:before="2" w:line="346" w:lineRule="auto"/>
        <w:ind w:right="71" w:firstLine="437"/>
        <w:rPr>
          <w:rFonts w:ascii="宋体" w:hAnsi="宋体" w:eastAsia="宋体" w:cs="宋体"/>
          <w:sz w:val="20"/>
          <w:szCs w:val="20"/>
        </w:rPr>
      </w:pPr>
      <w:r>
        <w:rPr>
          <w:rFonts w:ascii="宋体" w:hAnsi="宋体" w:eastAsia="宋体" w:cs="宋体"/>
          <w:spacing w:val="9"/>
          <w:sz w:val="20"/>
          <w:szCs w:val="20"/>
        </w:rPr>
        <w:t>因工程设备制造原因导致试车达不到验收要求的，</w:t>
      </w:r>
      <w:r>
        <w:rPr>
          <w:rFonts w:ascii="宋体" w:hAnsi="宋体" w:eastAsia="宋体" w:cs="宋体"/>
          <w:spacing w:val="-58"/>
          <w:sz w:val="20"/>
          <w:szCs w:val="20"/>
        </w:rPr>
        <w:t xml:space="preserve"> </w:t>
      </w:r>
      <w:r>
        <w:rPr>
          <w:rFonts w:ascii="宋体" w:hAnsi="宋体" w:eastAsia="宋体" w:cs="宋体"/>
          <w:spacing w:val="9"/>
          <w:sz w:val="20"/>
          <w:szCs w:val="20"/>
        </w:rPr>
        <w:t>由采购该工程设备的合同</w:t>
      </w:r>
      <w:r>
        <w:rPr>
          <w:rFonts w:ascii="宋体" w:hAnsi="宋体" w:eastAsia="宋体" w:cs="宋体"/>
          <w:spacing w:val="8"/>
          <w:sz w:val="20"/>
          <w:szCs w:val="20"/>
        </w:rPr>
        <w:t>当事人负责重新</w:t>
      </w:r>
      <w:r>
        <w:rPr>
          <w:rFonts w:ascii="宋体" w:hAnsi="宋体" w:eastAsia="宋体" w:cs="宋体"/>
          <w:spacing w:val="9"/>
          <w:sz w:val="20"/>
          <w:szCs w:val="20"/>
        </w:rPr>
        <w:t>购置或修理，承包人负责拆除和重新安装，</w:t>
      </w:r>
      <w:r>
        <w:rPr>
          <w:rFonts w:ascii="宋体" w:hAnsi="宋体" w:eastAsia="宋体" w:cs="宋体"/>
          <w:spacing w:val="-45"/>
          <w:sz w:val="20"/>
          <w:szCs w:val="20"/>
        </w:rPr>
        <w:t xml:space="preserve"> </w:t>
      </w:r>
      <w:r>
        <w:rPr>
          <w:rFonts w:ascii="宋体" w:hAnsi="宋体" w:eastAsia="宋体" w:cs="宋体"/>
          <w:spacing w:val="9"/>
          <w:sz w:val="20"/>
          <w:szCs w:val="20"/>
        </w:rPr>
        <w:t>由此增加的修理、重新购置、拆除及重新安装的费用</w:t>
      </w:r>
    </w:p>
    <w:p w14:paraId="1A02BA74">
      <w:pPr>
        <w:spacing w:line="346" w:lineRule="auto"/>
        <w:rPr>
          <w:rFonts w:ascii="宋体" w:hAnsi="宋体" w:eastAsia="宋体" w:cs="宋体"/>
          <w:sz w:val="20"/>
          <w:szCs w:val="20"/>
        </w:rPr>
        <w:sectPr>
          <w:footerReference r:id="rId375" w:type="default"/>
          <w:pgSz w:w="11906" w:h="16839"/>
          <w:pgMar w:top="400" w:right="1462" w:bottom="1446" w:left="1537" w:header="0" w:footer="1284" w:gutter="0"/>
          <w:cols w:space="720" w:num="1"/>
        </w:sectPr>
      </w:pPr>
    </w:p>
    <w:p w14:paraId="380C0994">
      <w:pPr>
        <w:spacing w:line="246" w:lineRule="auto"/>
        <w:rPr>
          <w:rFonts w:ascii="Arial"/>
          <w:sz w:val="21"/>
        </w:rPr>
      </w:pPr>
    </w:p>
    <w:p w14:paraId="7A5A420F">
      <w:pPr>
        <w:spacing w:line="246" w:lineRule="auto"/>
        <w:rPr>
          <w:rFonts w:ascii="Arial"/>
          <w:sz w:val="21"/>
        </w:rPr>
      </w:pPr>
    </w:p>
    <w:p w14:paraId="1CA79488">
      <w:pPr>
        <w:spacing w:line="246" w:lineRule="auto"/>
        <w:rPr>
          <w:rFonts w:ascii="Arial"/>
          <w:sz w:val="21"/>
        </w:rPr>
      </w:pPr>
    </w:p>
    <w:p w14:paraId="27251F5B">
      <w:pPr>
        <w:spacing w:line="246" w:lineRule="auto"/>
        <w:rPr>
          <w:rFonts w:ascii="Arial"/>
          <w:sz w:val="21"/>
        </w:rPr>
      </w:pPr>
    </w:p>
    <w:p w14:paraId="73DDAC8F">
      <w:pPr>
        <w:spacing w:line="247" w:lineRule="auto"/>
        <w:rPr>
          <w:rFonts w:ascii="Arial"/>
          <w:sz w:val="21"/>
        </w:rPr>
      </w:pPr>
    </w:p>
    <w:p w14:paraId="7800EEA2">
      <w:pPr>
        <w:spacing w:line="247" w:lineRule="auto"/>
        <w:rPr>
          <w:rFonts w:ascii="Arial"/>
          <w:sz w:val="21"/>
        </w:rPr>
      </w:pPr>
    </w:p>
    <w:p w14:paraId="481F2664">
      <w:pPr>
        <w:spacing w:before="65" w:line="227" w:lineRule="auto"/>
        <w:rPr>
          <w:rFonts w:ascii="宋体" w:hAnsi="宋体" w:eastAsia="宋体" w:cs="宋体"/>
          <w:sz w:val="20"/>
          <w:szCs w:val="20"/>
        </w:rPr>
      </w:pPr>
      <w:r>
        <w:rPr>
          <w:rFonts w:ascii="宋体" w:hAnsi="宋体" w:eastAsia="宋体" w:cs="宋体"/>
          <w:spacing w:val="9"/>
          <w:sz w:val="20"/>
          <w:szCs w:val="20"/>
        </w:rPr>
        <w:t>及延误的工期由采购该工程设备的合同当事人承担。</w:t>
      </w:r>
    </w:p>
    <w:p w14:paraId="47324745">
      <w:pPr>
        <w:spacing w:before="128" w:line="228" w:lineRule="auto"/>
        <w:ind w:left="436"/>
        <w:rPr>
          <w:rFonts w:ascii="宋体" w:hAnsi="宋体" w:eastAsia="宋体" w:cs="宋体"/>
          <w:sz w:val="20"/>
          <w:szCs w:val="20"/>
        </w:rPr>
      </w:pPr>
      <w:r>
        <w:rPr>
          <w:rFonts w:ascii="宋体" w:hAnsi="宋体" w:eastAsia="宋体" w:cs="宋体"/>
          <w:b/>
          <w:bCs/>
          <w:spacing w:val="3"/>
          <w:sz w:val="20"/>
          <w:szCs w:val="20"/>
        </w:rPr>
        <w:t>13.3.3</w:t>
      </w:r>
      <w:r>
        <w:rPr>
          <w:rFonts w:ascii="宋体" w:hAnsi="宋体" w:eastAsia="宋体" w:cs="宋体"/>
          <w:spacing w:val="3"/>
          <w:sz w:val="20"/>
          <w:szCs w:val="20"/>
        </w:rPr>
        <w:t xml:space="preserve"> </w:t>
      </w:r>
      <w:r>
        <w:rPr>
          <w:rFonts w:ascii="宋体" w:hAnsi="宋体" w:eastAsia="宋体" w:cs="宋体"/>
          <w:b/>
          <w:bCs/>
          <w:spacing w:val="3"/>
          <w:sz w:val="20"/>
          <w:szCs w:val="20"/>
        </w:rPr>
        <w:t>投料试车</w:t>
      </w:r>
    </w:p>
    <w:p w14:paraId="08D37869">
      <w:pPr>
        <w:spacing w:before="126" w:line="346" w:lineRule="auto"/>
        <w:ind w:left="8" w:right="71" w:firstLine="416"/>
        <w:rPr>
          <w:rFonts w:ascii="宋体" w:hAnsi="宋体" w:eastAsia="宋体" w:cs="宋体"/>
          <w:sz w:val="20"/>
          <w:szCs w:val="20"/>
        </w:rPr>
      </w:pPr>
      <w:r>
        <w:rPr>
          <w:rFonts w:ascii="宋体" w:hAnsi="宋体" w:eastAsia="宋体" w:cs="宋体"/>
          <w:spacing w:val="10"/>
          <w:sz w:val="20"/>
          <w:szCs w:val="20"/>
        </w:rPr>
        <w:t>如需进行投料试车的，发包人应在工程竣工验收后组织投料试车。发包人要求在工程竣工验</w:t>
      </w:r>
      <w:r>
        <w:rPr>
          <w:rFonts w:ascii="宋体" w:hAnsi="宋体" w:eastAsia="宋体" w:cs="宋体"/>
          <w:spacing w:val="9"/>
          <w:sz w:val="20"/>
          <w:szCs w:val="20"/>
        </w:rPr>
        <w:t>收前进行或需要承包人配合时，应征得承包人同意，并在专用合同条款中约定有关事项。</w:t>
      </w:r>
    </w:p>
    <w:p w14:paraId="5D394481">
      <w:pPr>
        <w:spacing w:before="1" w:line="345" w:lineRule="auto"/>
        <w:ind w:left="4" w:right="71" w:firstLine="419"/>
        <w:jc w:val="both"/>
        <w:rPr>
          <w:rFonts w:ascii="宋体" w:hAnsi="宋体" w:eastAsia="宋体" w:cs="宋体"/>
          <w:sz w:val="20"/>
          <w:szCs w:val="20"/>
        </w:rPr>
      </w:pPr>
      <w:r>
        <w:rPr>
          <w:rFonts w:ascii="宋体" w:hAnsi="宋体" w:eastAsia="宋体" w:cs="宋体"/>
          <w:spacing w:val="10"/>
          <w:sz w:val="20"/>
          <w:szCs w:val="20"/>
        </w:rPr>
        <w:t>投料试车合格的，费用由发包人承担；因承包人原因造成投料试车不合格的，承包人应按照发包人要求进行整改，由此产生的整改费用由承包人承担；非因承包人原因导致投料试车不合格</w:t>
      </w:r>
      <w:r>
        <w:rPr>
          <w:rFonts w:ascii="宋体" w:hAnsi="宋体" w:eastAsia="宋体" w:cs="宋体"/>
          <w:spacing w:val="9"/>
          <w:sz w:val="20"/>
          <w:szCs w:val="20"/>
        </w:rPr>
        <w:t>的，如发包人要求承包人进行整改的，由此产生的费用由发包人承担。</w:t>
      </w:r>
    </w:p>
    <w:p w14:paraId="6A369181">
      <w:pPr>
        <w:spacing w:before="1" w:line="227" w:lineRule="auto"/>
        <w:ind w:left="436"/>
        <w:rPr>
          <w:rFonts w:ascii="宋体" w:hAnsi="宋体" w:eastAsia="宋体" w:cs="宋体"/>
          <w:sz w:val="20"/>
          <w:szCs w:val="20"/>
        </w:rPr>
      </w:pPr>
      <w:r>
        <w:rPr>
          <w:rFonts w:ascii="宋体" w:hAnsi="宋体" w:eastAsia="宋体" w:cs="宋体"/>
          <w:b/>
          <w:bCs/>
          <w:spacing w:val="5"/>
          <w:sz w:val="20"/>
          <w:szCs w:val="20"/>
        </w:rPr>
        <w:t>13.4</w:t>
      </w:r>
      <w:r>
        <w:rPr>
          <w:rFonts w:ascii="宋体" w:hAnsi="宋体" w:eastAsia="宋体" w:cs="宋体"/>
          <w:spacing w:val="5"/>
          <w:sz w:val="20"/>
          <w:szCs w:val="20"/>
        </w:rPr>
        <w:t xml:space="preserve"> </w:t>
      </w:r>
      <w:r>
        <w:rPr>
          <w:rFonts w:ascii="宋体" w:hAnsi="宋体" w:eastAsia="宋体" w:cs="宋体"/>
          <w:b/>
          <w:bCs/>
          <w:spacing w:val="5"/>
          <w:sz w:val="20"/>
          <w:szCs w:val="20"/>
        </w:rPr>
        <w:t>提前交付单位工程的验收</w:t>
      </w:r>
    </w:p>
    <w:p w14:paraId="1933FFF2">
      <w:pPr>
        <w:spacing w:before="127" w:line="346" w:lineRule="auto"/>
        <w:ind w:firstLine="436"/>
        <w:rPr>
          <w:rFonts w:ascii="宋体" w:hAnsi="宋体" w:eastAsia="宋体" w:cs="宋体"/>
          <w:sz w:val="20"/>
          <w:szCs w:val="20"/>
        </w:rPr>
      </w:pPr>
      <w:r>
        <w:rPr>
          <w:rFonts w:ascii="宋体" w:hAnsi="宋体" w:eastAsia="宋体" w:cs="宋体"/>
          <w:spacing w:val="7"/>
          <w:sz w:val="20"/>
          <w:szCs w:val="20"/>
        </w:rPr>
        <w:t>13.4.1 发包人需要在工程竣工前使用单位工程的，或承包人提出提</w:t>
      </w:r>
      <w:r>
        <w:rPr>
          <w:rFonts w:ascii="宋体" w:hAnsi="宋体" w:eastAsia="宋体" w:cs="宋体"/>
          <w:spacing w:val="6"/>
          <w:sz w:val="20"/>
          <w:szCs w:val="20"/>
        </w:rPr>
        <w:t>前交付已经竣工的单位工</w:t>
      </w:r>
      <w:r>
        <w:rPr>
          <w:rFonts w:ascii="宋体" w:hAnsi="宋体" w:eastAsia="宋体" w:cs="宋体"/>
          <w:spacing w:val="4"/>
          <w:sz w:val="20"/>
          <w:szCs w:val="20"/>
        </w:rPr>
        <w:t>程且经发包人同意的，可进行单位工程验收，验收的程序按照第</w:t>
      </w:r>
      <w:r>
        <w:rPr>
          <w:rFonts w:ascii="宋体" w:hAnsi="宋体" w:eastAsia="宋体" w:cs="宋体"/>
          <w:spacing w:val="-22"/>
          <w:sz w:val="20"/>
          <w:szCs w:val="20"/>
        </w:rPr>
        <w:t xml:space="preserve"> </w:t>
      </w:r>
      <w:r>
        <w:rPr>
          <w:rFonts w:ascii="宋体" w:hAnsi="宋体" w:eastAsia="宋体" w:cs="宋体"/>
          <w:spacing w:val="4"/>
          <w:sz w:val="20"/>
          <w:szCs w:val="20"/>
        </w:rPr>
        <w:t>13</w:t>
      </w:r>
      <w:r>
        <w:rPr>
          <w:rFonts w:ascii="宋体" w:hAnsi="宋体" w:eastAsia="宋体" w:cs="宋体"/>
          <w:spacing w:val="3"/>
          <w:sz w:val="20"/>
          <w:szCs w:val="20"/>
        </w:rPr>
        <w:t>.2</w:t>
      </w:r>
      <w:r>
        <w:rPr>
          <w:rFonts w:ascii="宋体" w:hAnsi="宋体" w:eastAsia="宋体" w:cs="宋体"/>
          <w:spacing w:val="-39"/>
          <w:sz w:val="20"/>
          <w:szCs w:val="20"/>
        </w:rPr>
        <w:t xml:space="preserve"> </w:t>
      </w:r>
      <w:r>
        <w:rPr>
          <w:rFonts w:ascii="宋体" w:hAnsi="宋体" w:eastAsia="宋体" w:cs="宋体"/>
          <w:spacing w:val="3"/>
          <w:sz w:val="20"/>
          <w:szCs w:val="20"/>
        </w:rPr>
        <w:t>款〔竣工验收〕的约定进行。</w:t>
      </w:r>
    </w:p>
    <w:p w14:paraId="10EEDDFF">
      <w:pPr>
        <w:spacing w:before="2" w:line="345" w:lineRule="auto"/>
        <w:ind w:left="5" w:right="71" w:firstLine="414"/>
        <w:rPr>
          <w:rFonts w:ascii="宋体" w:hAnsi="宋体" w:eastAsia="宋体" w:cs="宋体"/>
          <w:sz w:val="20"/>
          <w:szCs w:val="20"/>
        </w:rPr>
      </w:pPr>
      <w:r>
        <w:rPr>
          <w:rFonts w:ascii="宋体" w:hAnsi="宋体" w:eastAsia="宋体" w:cs="宋体"/>
          <w:spacing w:val="9"/>
          <w:sz w:val="20"/>
          <w:szCs w:val="20"/>
        </w:rPr>
        <w:t>验收合格后，</w:t>
      </w:r>
      <w:r>
        <w:rPr>
          <w:rFonts w:ascii="宋体" w:hAnsi="宋体" w:eastAsia="宋体" w:cs="宋体"/>
          <w:spacing w:val="-47"/>
          <w:sz w:val="20"/>
          <w:szCs w:val="20"/>
        </w:rPr>
        <w:t xml:space="preserve"> </w:t>
      </w:r>
      <w:r>
        <w:rPr>
          <w:rFonts w:ascii="宋体" w:hAnsi="宋体" w:eastAsia="宋体" w:cs="宋体"/>
          <w:spacing w:val="9"/>
          <w:sz w:val="20"/>
          <w:szCs w:val="20"/>
        </w:rPr>
        <w:t>由监理人向承包人出具经发包人签认的单位工程接收证书。已签发单位工程接</w:t>
      </w:r>
      <w:r>
        <w:rPr>
          <w:rFonts w:ascii="宋体" w:hAnsi="宋体" w:eastAsia="宋体" w:cs="宋体"/>
          <w:spacing w:val="10"/>
          <w:sz w:val="20"/>
          <w:szCs w:val="20"/>
        </w:rPr>
        <w:t>收证书的单位工程由发包人负责照管。单位工程的验收成果和结论作为整体工程竣工验收申请报</w:t>
      </w:r>
      <w:r>
        <w:rPr>
          <w:rFonts w:ascii="宋体" w:hAnsi="宋体" w:eastAsia="宋体" w:cs="宋体"/>
          <w:spacing w:val="4"/>
          <w:sz w:val="20"/>
          <w:szCs w:val="20"/>
        </w:rPr>
        <w:t>告的附件。</w:t>
      </w:r>
    </w:p>
    <w:p w14:paraId="696C608F">
      <w:pPr>
        <w:spacing w:before="1" w:line="345" w:lineRule="auto"/>
        <w:ind w:left="17" w:right="70" w:firstLine="418"/>
        <w:rPr>
          <w:rFonts w:ascii="宋体" w:hAnsi="宋体" w:eastAsia="宋体" w:cs="宋体"/>
          <w:sz w:val="20"/>
          <w:szCs w:val="20"/>
        </w:rPr>
      </w:pPr>
      <w:r>
        <w:rPr>
          <w:rFonts w:ascii="宋体" w:hAnsi="宋体" w:eastAsia="宋体" w:cs="宋体"/>
          <w:spacing w:val="7"/>
          <w:sz w:val="20"/>
          <w:szCs w:val="20"/>
        </w:rPr>
        <w:t>13.4.2 发包人要求在工程竣工前交付单位工程，由此导致承包人费</w:t>
      </w:r>
      <w:r>
        <w:rPr>
          <w:rFonts w:ascii="宋体" w:hAnsi="宋体" w:eastAsia="宋体" w:cs="宋体"/>
          <w:spacing w:val="6"/>
          <w:sz w:val="20"/>
          <w:szCs w:val="20"/>
        </w:rPr>
        <w:t>用增加和（或）工期延误</w:t>
      </w:r>
      <w:r>
        <w:rPr>
          <w:rFonts w:ascii="宋体" w:hAnsi="宋体" w:eastAsia="宋体" w:cs="宋体"/>
          <w:spacing w:val="8"/>
          <w:sz w:val="20"/>
          <w:szCs w:val="20"/>
        </w:rPr>
        <w:t>的，</w:t>
      </w:r>
      <w:r>
        <w:rPr>
          <w:rFonts w:ascii="宋体" w:hAnsi="宋体" w:eastAsia="宋体" w:cs="宋体"/>
          <w:spacing w:val="-58"/>
          <w:sz w:val="20"/>
          <w:szCs w:val="20"/>
        </w:rPr>
        <w:t xml:space="preserve"> </w:t>
      </w:r>
      <w:r>
        <w:rPr>
          <w:rFonts w:ascii="宋体" w:hAnsi="宋体" w:eastAsia="宋体" w:cs="宋体"/>
          <w:spacing w:val="8"/>
          <w:sz w:val="20"/>
          <w:szCs w:val="20"/>
        </w:rPr>
        <w:t>由发包人承担由此增加的费用和（或）延误的工期，并支付承包</w:t>
      </w:r>
      <w:r>
        <w:rPr>
          <w:rFonts w:ascii="宋体" w:hAnsi="宋体" w:eastAsia="宋体" w:cs="宋体"/>
          <w:spacing w:val="7"/>
          <w:sz w:val="20"/>
          <w:szCs w:val="20"/>
        </w:rPr>
        <w:t>人合理的利润。</w:t>
      </w:r>
    </w:p>
    <w:p w14:paraId="3DAF06EC">
      <w:pPr>
        <w:spacing w:line="228" w:lineRule="auto"/>
        <w:ind w:left="436"/>
        <w:rPr>
          <w:rFonts w:ascii="宋体" w:hAnsi="宋体" w:eastAsia="宋体" w:cs="宋体"/>
          <w:sz w:val="20"/>
          <w:szCs w:val="20"/>
        </w:rPr>
      </w:pPr>
      <w:r>
        <w:rPr>
          <w:rFonts w:ascii="宋体" w:hAnsi="宋体" w:eastAsia="宋体" w:cs="宋体"/>
          <w:b/>
          <w:bCs/>
          <w:spacing w:val="3"/>
          <w:sz w:val="20"/>
          <w:szCs w:val="20"/>
        </w:rPr>
        <w:t>13.5</w:t>
      </w:r>
      <w:r>
        <w:rPr>
          <w:rFonts w:ascii="宋体" w:hAnsi="宋体" w:eastAsia="宋体" w:cs="宋体"/>
          <w:spacing w:val="3"/>
          <w:sz w:val="20"/>
          <w:szCs w:val="20"/>
        </w:rPr>
        <w:t xml:space="preserve"> </w:t>
      </w:r>
      <w:r>
        <w:rPr>
          <w:rFonts w:ascii="宋体" w:hAnsi="宋体" w:eastAsia="宋体" w:cs="宋体"/>
          <w:b/>
          <w:bCs/>
          <w:spacing w:val="3"/>
          <w:sz w:val="20"/>
          <w:szCs w:val="20"/>
        </w:rPr>
        <w:t>施工期运行</w:t>
      </w:r>
    </w:p>
    <w:p w14:paraId="0A1DADC6">
      <w:pPr>
        <w:spacing w:before="126" w:line="346" w:lineRule="auto"/>
        <w:ind w:left="3" w:right="70" w:firstLine="432"/>
        <w:rPr>
          <w:rFonts w:ascii="宋体" w:hAnsi="宋体" w:eastAsia="宋体" w:cs="宋体"/>
          <w:sz w:val="20"/>
          <w:szCs w:val="20"/>
        </w:rPr>
      </w:pPr>
      <w:r>
        <w:rPr>
          <w:rFonts w:ascii="宋体" w:hAnsi="宋体" w:eastAsia="宋体" w:cs="宋体"/>
          <w:spacing w:val="7"/>
          <w:sz w:val="20"/>
          <w:szCs w:val="20"/>
        </w:rPr>
        <w:t>13.5.1 施工期运行是指合同工程尚未全部竣工，其中某项或某几项</w:t>
      </w:r>
      <w:r>
        <w:rPr>
          <w:rFonts w:ascii="宋体" w:hAnsi="宋体" w:eastAsia="宋体" w:cs="宋体"/>
          <w:spacing w:val="6"/>
          <w:sz w:val="20"/>
          <w:szCs w:val="20"/>
        </w:rPr>
        <w:t>单位工程或工程设备安装</w:t>
      </w:r>
      <w:r>
        <w:rPr>
          <w:rFonts w:ascii="宋体" w:hAnsi="宋体" w:eastAsia="宋体" w:cs="宋体"/>
          <w:spacing w:val="7"/>
          <w:sz w:val="20"/>
          <w:szCs w:val="20"/>
        </w:rPr>
        <w:t>已竣工，根据专用合同条款约定，需要投入施工期运行的，</w:t>
      </w:r>
      <w:r>
        <w:rPr>
          <w:rFonts w:ascii="宋体" w:hAnsi="宋体" w:eastAsia="宋体" w:cs="宋体"/>
          <w:spacing w:val="6"/>
          <w:sz w:val="20"/>
          <w:szCs w:val="20"/>
        </w:rPr>
        <w:t>经发包人按第</w:t>
      </w:r>
      <w:r>
        <w:rPr>
          <w:rFonts w:ascii="宋体" w:hAnsi="宋体" w:eastAsia="宋体" w:cs="宋体"/>
          <w:spacing w:val="-21"/>
          <w:sz w:val="20"/>
          <w:szCs w:val="20"/>
        </w:rPr>
        <w:t xml:space="preserve"> </w:t>
      </w:r>
      <w:r>
        <w:rPr>
          <w:rFonts w:ascii="宋体" w:hAnsi="宋体" w:eastAsia="宋体" w:cs="宋体"/>
          <w:spacing w:val="6"/>
          <w:sz w:val="20"/>
          <w:szCs w:val="20"/>
        </w:rPr>
        <w:t>13.4</w:t>
      </w:r>
      <w:r>
        <w:rPr>
          <w:rFonts w:ascii="宋体" w:hAnsi="宋体" w:eastAsia="宋体" w:cs="宋体"/>
          <w:spacing w:val="-39"/>
          <w:sz w:val="20"/>
          <w:szCs w:val="20"/>
        </w:rPr>
        <w:t xml:space="preserve"> </w:t>
      </w:r>
      <w:r>
        <w:rPr>
          <w:rFonts w:ascii="宋体" w:hAnsi="宋体" w:eastAsia="宋体" w:cs="宋体"/>
          <w:spacing w:val="6"/>
          <w:sz w:val="20"/>
          <w:szCs w:val="20"/>
        </w:rPr>
        <w:t>款〔提前交付单位</w:t>
      </w:r>
      <w:r>
        <w:rPr>
          <w:rFonts w:ascii="宋体" w:hAnsi="宋体" w:eastAsia="宋体" w:cs="宋体"/>
          <w:spacing w:val="9"/>
          <w:sz w:val="20"/>
          <w:szCs w:val="20"/>
        </w:rPr>
        <w:t>工程的验收〕的约定验收合格，证明能确保安全后，才能在施工期投入运行。</w:t>
      </w:r>
    </w:p>
    <w:p w14:paraId="61493C16">
      <w:pPr>
        <w:spacing w:before="1" w:line="345" w:lineRule="auto"/>
        <w:ind w:left="14" w:right="68" w:firstLine="422"/>
        <w:rPr>
          <w:rFonts w:ascii="宋体" w:hAnsi="宋体" w:eastAsia="宋体" w:cs="宋体"/>
          <w:sz w:val="20"/>
          <w:szCs w:val="20"/>
        </w:rPr>
      </w:pPr>
      <w:r>
        <w:rPr>
          <w:rFonts w:ascii="宋体" w:hAnsi="宋体" w:eastAsia="宋体" w:cs="宋体"/>
          <w:spacing w:val="7"/>
          <w:sz w:val="20"/>
          <w:szCs w:val="20"/>
        </w:rPr>
        <w:t>13.5.2 在施工期运行中发现工程或工程设备损坏或存在缺陷的，</w:t>
      </w:r>
      <w:r>
        <w:rPr>
          <w:rFonts w:ascii="宋体" w:hAnsi="宋体" w:eastAsia="宋体" w:cs="宋体"/>
          <w:spacing w:val="-55"/>
          <w:sz w:val="20"/>
          <w:szCs w:val="20"/>
        </w:rPr>
        <w:t xml:space="preserve"> </w:t>
      </w:r>
      <w:r>
        <w:rPr>
          <w:rFonts w:ascii="宋体" w:hAnsi="宋体" w:eastAsia="宋体" w:cs="宋体"/>
          <w:spacing w:val="7"/>
          <w:sz w:val="20"/>
          <w:szCs w:val="20"/>
        </w:rPr>
        <w:t>由承包人按第</w:t>
      </w:r>
      <w:r>
        <w:rPr>
          <w:rFonts w:ascii="宋体" w:hAnsi="宋体" w:eastAsia="宋体" w:cs="宋体"/>
          <w:spacing w:val="-24"/>
          <w:sz w:val="20"/>
          <w:szCs w:val="20"/>
        </w:rPr>
        <w:t xml:space="preserve"> </w:t>
      </w:r>
      <w:r>
        <w:rPr>
          <w:rFonts w:ascii="宋体" w:hAnsi="宋体" w:eastAsia="宋体" w:cs="宋体"/>
          <w:spacing w:val="7"/>
          <w:sz w:val="20"/>
          <w:szCs w:val="20"/>
        </w:rPr>
        <w:t>15.2</w:t>
      </w:r>
      <w:r>
        <w:rPr>
          <w:rFonts w:ascii="宋体" w:hAnsi="宋体" w:eastAsia="宋体" w:cs="宋体"/>
          <w:spacing w:val="-37"/>
          <w:sz w:val="20"/>
          <w:szCs w:val="20"/>
        </w:rPr>
        <w:t xml:space="preserve"> </w:t>
      </w:r>
      <w:r>
        <w:rPr>
          <w:rFonts w:ascii="宋体" w:hAnsi="宋体" w:eastAsia="宋体" w:cs="宋体"/>
          <w:spacing w:val="7"/>
          <w:sz w:val="20"/>
          <w:szCs w:val="20"/>
        </w:rPr>
        <w:t>款〔缺陷责任期〕约定进行修复。</w:t>
      </w:r>
    </w:p>
    <w:p w14:paraId="03BA311F">
      <w:pPr>
        <w:spacing w:before="1" w:line="227" w:lineRule="auto"/>
        <w:ind w:left="436"/>
        <w:rPr>
          <w:rFonts w:ascii="宋体" w:hAnsi="宋体" w:eastAsia="宋体" w:cs="宋体"/>
          <w:sz w:val="20"/>
          <w:szCs w:val="20"/>
        </w:rPr>
      </w:pPr>
      <w:r>
        <w:rPr>
          <w:rFonts w:ascii="宋体" w:hAnsi="宋体" w:eastAsia="宋体" w:cs="宋体"/>
          <w:b/>
          <w:bCs/>
          <w:spacing w:val="3"/>
          <w:sz w:val="20"/>
          <w:szCs w:val="20"/>
        </w:rPr>
        <w:t>13.6</w:t>
      </w:r>
      <w:r>
        <w:rPr>
          <w:rFonts w:ascii="宋体" w:hAnsi="宋体" w:eastAsia="宋体" w:cs="宋体"/>
          <w:spacing w:val="3"/>
          <w:sz w:val="20"/>
          <w:szCs w:val="20"/>
        </w:rPr>
        <w:t xml:space="preserve"> </w:t>
      </w:r>
      <w:r>
        <w:rPr>
          <w:rFonts w:ascii="宋体" w:hAnsi="宋体" w:eastAsia="宋体" w:cs="宋体"/>
          <w:b/>
          <w:bCs/>
          <w:spacing w:val="3"/>
          <w:sz w:val="20"/>
          <w:szCs w:val="20"/>
        </w:rPr>
        <w:t>竣工退场</w:t>
      </w:r>
    </w:p>
    <w:p w14:paraId="7B34E3BE">
      <w:pPr>
        <w:spacing w:before="127" w:line="228" w:lineRule="auto"/>
        <w:ind w:left="436"/>
        <w:rPr>
          <w:rFonts w:ascii="宋体" w:hAnsi="宋体" w:eastAsia="宋体" w:cs="宋体"/>
          <w:sz w:val="20"/>
          <w:szCs w:val="20"/>
        </w:rPr>
      </w:pPr>
      <w:r>
        <w:rPr>
          <w:rFonts w:ascii="宋体" w:hAnsi="宋体" w:eastAsia="宋体" w:cs="宋体"/>
          <w:b/>
          <w:bCs/>
          <w:spacing w:val="3"/>
          <w:sz w:val="20"/>
          <w:szCs w:val="20"/>
        </w:rPr>
        <w:t>13.6.1</w:t>
      </w:r>
      <w:r>
        <w:rPr>
          <w:rFonts w:ascii="宋体" w:hAnsi="宋体" w:eastAsia="宋体" w:cs="宋体"/>
          <w:spacing w:val="3"/>
          <w:sz w:val="20"/>
          <w:szCs w:val="20"/>
        </w:rPr>
        <w:t xml:space="preserve"> </w:t>
      </w:r>
      <w:r>
        <w:rPr>
          <w:rFonts w:ascii="宋体" w:hAnsi="宋体" w:eastAsia="宋体" w:cs="宋体"/>
          <w:b/>
          <w:bCs/>
          <w:spacing w:val="3"/>
          <w:sz w:val="20"/>
          <w:szCs w:val="20"/>
        </w:rPr>
        <w:t>竣工退场</w:t>
      </w:r>
    </w:p>
    <w:p w14:paraId="715D89A4">
      <w:pPr>
        <w:spacing w:before="128" w:line="227" w:lineRule="auto"/>
        <w:ind w:left="420"/>
        <w:rPr>
          <w:rFonts w:ascii="宋体" w:hAnsi="宋体" w:eastAsia="宋体" w:cs="宋体"/>
          <w:sz w:val="20"/>
          <w:szCs w:val="20"/>
        </w:rPr>
      </w:pPr>
      <w:r>
        <w:rPr>
          <w:rFonts w:ascii="宋体" w:hAnsi="宋体" w:eastAsia="宋体" w:cs="宋体"/>
          <w:spacing w:val="9"/>
          <w:sz w:val="20"/>
          <w:szCs w:val="20"/>
        </w:rPr>
        <w:t>颁发工程接收证书后，承包人应按以下要求对施工现场进行清理：</w:t>
      </w:r>
    </w:p>
    <w:p w14:paraId="6EA80BB9">
      <w:pPr>
        <w:spacing w:before="128" w:line="228" w:lineRule="auto"/>
        <w:ind w:left="430"/>
        <w:rPr>
          <w:rFonts w:ascii="宋体" w:hAnsi="宋体" w:eastAsia="宋体" w:cs="宋体"/>
          <w:sz w:val="20"/>
          <w:szCs w:val="20"/>
        </w:rPr>
      </w:pPr>
      <w:r>
        <w:rPr>
          <w:rFonts w:ascii="宋体" w:hAnsi="宋体" w:eastAsia="宋体" w:cs="宋体"/>
          <w:spacing w:val="8"/>
          <w:sz w:val="20"/>
          <w:szCs w:val="20"/>
        </w:rPr>
        <w:t>（1）施工现场内残留的垃圾已全部清除出场；</w:t>
      </w:r>
    </w:p>
    <w:p w14:paraId="3233D6F5">
      <w:pPr>
        <w:spacing w:before="128" w:line="228" w:lineRule="auto"/>
        <w:ind w:left="430"/>
        <w:rPr>
          <w:rFonts w:ascii="宋体" w:hAnsi="宋体" w:eastAsia="宋体" w:cs="宋体"/>
          <w:sz w:val="20"/>
          <w:szCs w:val="20"/>
        </w:rPr>
      </w:pPr>
      <w:r>
        <w:rPr>
          <w:rFonts w:ascii="宋体" w:hAnsi="宋体" w:eastAsia="宋体" w:cs="宋体"/>
          <w:spacing w:val="8"/>
          <w:sz w:val="20"/>
          <w:szCs w:val="20"/>
        </w:rPr>
        <w:t>（2）临时工程已拆除，场地已进行清理、平整或复原；</w:t>
      </w:r>
    </w:p>
    <w:p w14:paraId="1D960181">
      <w:pPr>
        <w:spacing w:before="127" w:line="346" w:lineRule="auto"/>
        <w:ind w:left="23" w:right="16" w:firstLine="407"/>
        <w:rPr>
          <w:rFonts w:ascii="宋体" w:hAnsi="宋体" w:eastAsia="宋体" w:cs="宋体"/>
          <w:sz w:val="20"/>
          <w:szCs w:val="20"/>
        </w:rPr>
      </w:pPr>
      <w:r>
        <w:rPr>
          <w:rFonts w:ascii="宋体" w:hAnsi="宋体" w:eastAsia="宋体" w:cs="宋体"/>
          <w:spacing w:val="4"/>
          <w:sz w:val="20"/>
          <w:szCs w:val="20"/>
        </w:rPr>
        <w:t>（3）按合同约定应撤离的人员、承包人施工设备和剩余的材料，包括</w:t>
      </w:r>
      <w:r>
        <w:rPr>
          <w:rFonts w:ascii="宋体" w:hAnsi="宋体" w:eastAsia="宋体" w:cs="宋体"/>
          <w:spacing w:val="3"/>
          <w:sz w:val="20"/>
          <w:szCs w:val="20"/>
        </w:rPr>
        <w:t>废弃的施工设备和材料，</w:t>
      </w:r>
      <w:r>
        <w:rPr>
          <w:rFonts w:ascii="宋体" w:hAnsi="宋体" w:eastAsia="宋体" w:cs="宋体"/>
          <w:spacing w:val="6"/>
          <w:sz w:val="20"/>
          <w:szCs w:val="20"/>
        </w:rPr>
        <w:t>已按计划撤离施工现场；</w:t>
      </w:r>
    </w:p>
    <w:p w14:paraId="5BB4AFCC">
      <w:pPr>
        <w:spacing w:before="1" w:line="226" w:lineRule="auto"/>
        <w:ind w:left="430"/>
        <w:rPr>
          <w:rFonts w:ascii="宋体" w:hAnsi="宋体" w:eastAsia="宋体" w:cs="宋体"/>
          <w:sz w:val="20"/>
          <w:szCs w:val="20"/>
        </w:rPr>
      </w:pPr>
      <w:r>
        <w:rPr>
          <w:rFonts w:ascii="宋体" w:hAnsi="宋体" w:eastAsia="宋体" w:cs="宋体"/>
          <w:spacing w:val="9"/>
          <w:sz w:val="20"/>
          <w:szCs w:val="20"/>
        </w:rPr>
        <w:t>（4）施工现场周边及其附近道路、河道的施工堆积物</w:t>
      </w:r>
      <w:r>
        <w:rPr>
          <w:rFonts w:ascii="宋体" w:hAnsi="宋体" w:eastAsia="宋体" w:cs="宋体"/>
          <w:spacing w:val="8"/>
          <w:sz w:val="20"/>
          <w:szCs w:val="20"/>
        </w:rPr>
        <w:t>，已全部清理；</w:t>
      </w:r>
    </w:p>
    <w:p w14:paraId="5D0D4DFE">
      <w:pPr>
        <w:spacing w:before="128" w:line="228" w:lineRule="auto"/>
        <w:ind w:left="430"/>
        <w:rPr>
          <w:rFonts w:ascii="宋体" w:hAnsi="宋体" w:eastAsia="宋体" w:cs="宋体"/>
          <w:sz w:val="20"/>
          <w:szCs w:val="20"/>
        </w:rPr>
      </w:pPr>
      <w:r>
        <w:rPr>
          <w:rFonts w:ascii="宋体" w:hAnsi="宋体" w:eastAsia="宋体" w:cs="宋体"/>
          <w:spacing w:val="8"/>
          <w:sz w:val="20"/>
          <w:szCs w:val="20"/>
        </w:rPr>
        <w:t>（5）施工现场其他场地清理工作已全部完成。</w:t>
      </w:r>
    </w:p>
    <w:p w14:paraId="3B434A45">
      <w:pPr>
        <w:spacing w:before="126" w:line="346" w:lineRule="auto"/>
        <w:ind w:right="71" w:firstLine="420"/>
        <w:jc w:val="both"/>
        <w:rPr>
          <w:rFonts w:ascii="宋体" w:hAnsi="宋体" w:eastAsia="宋体" w:cs="宋体"/>
          <w:sz w:val="20"/>
          <w:szCs w:val="20"/>
        </w:rPr>
      </w:pPr>
      <w:r>
        <w:rPr>
          <w:rFonts w:ascii="宋体" w:hAnsi="宋体" w:eastAsia="宋体" w:cs="宋体"/>
          <w:spacing w:val="10"/>
          <w:sz w:val="20"/>
          <w:szCs w:val="20"/>
        </w:rPr>
        <w:t>施工现场的竣工退场费用由承包人承担。承包人应在专用合同条款约定的期限内完成竣工退场，逾期未完成的，发包人有权出售或另行处理承包人遗留的物品，由此支出的费用由承包人承</w:t>
      </w:r>
      <w:r>
        <w:rPr>
          <w:rFonts w:ascii="宋体" w:hAnsi="宋体" w:eastAsia="宋体" w:cs="宋体"/>
          <w:spacing w:val="9"/>
          <w:sz w:val="20"/>
          <w:szCs w:val="20"/>
        </w:rPr>
        <w:t>担，发包人出售承包人遗留物品所得款项在扣除必要费用后应返还承包人。</w:t>
      </w:r>
    </w:p>
    <w:p w14:paraId="4430296E">
      <w:pPr>
        <w:spacing w:line="229" w:lineRule="auto"/>
        <w:ind w:left="436"/>
        <w:rPr>
          <w:rFonts w:ascii="宋体" w:hAnsi="宋体" w:eastAsia="宋体" w:cs="宋体"/>
          <w:sz w:val="20"/>
          <w:szCs w:val="20"/>
        </w:rPr>
      </w:pPr>
      <w:r>
        <w:rPr>
          <w:rFonts w:ascii="宋体" w:hAnsi="宋体" w:eastAsia="宋体" w:cs="宋体"/>
          <w:b/>
          <w:bCs/>
          <w:spacing w:val="3"/>
          <w:sz w:val="20"/>
          <w:szCs w:val="20"/>
        </w:rPr>
        <w:t>13.6.2</w:t>
      </w:r>
      <w:r>
        <w:rPr>
          <w:rFonts w:ascii="宋体" w:hAnsi="宋体" w:eastAsia="宋体" w:cs="宋体"/>
          <w:spacing w:val="3"/>
          <w:sz w:val="20"/>
          <w:szCs w:val="20"/>
        </w:rPr>
        <w:t xml:space="preserve"> </w:t>
      </w:r>
      <w:r>
        <w:rPr>
          <w:rFonts w:ascii="宋体" w:hAnsi="宋体" w:eastAsia="宋体" w:cs="宋体"/>
          <w:b/>
          <w:bCs/>
          <w:spacing w:val="3"/>
          <w:sz w:val="20"/>
          <w:szCs w:val="20"/>
        </w:rPr>
        <w:t>地表还原</w:t>
      </w:r>
    </w:p>
    <w:p w14:paraId="0C6720EF">
      <w:pPr>
        <w:spacing w:line="229" w:lineRule="auto"/>
        <w:rPr>
          <w:rFonts w:ascii="宋体" w:hAnsi="宋体" w:eastAsia="宋体" w:cs="宋体"/>
          <w:sz w:val="20"/>
          <w:szCs w:val="20"/>
        </w:rPr>
        <w:sectPr>
          <w:footerReference r:id="rId376" w:type="default"/>
          <w:pgSz w:w="11906" w:h="16839"/>
          <w:pgMar w:top="400" w:right="1462" w:bottom="1446" w:left="1538" w:header="0" w:footer="1284" w:gutter="0"/>
          <w:cols w:space="720" w:num="1"/>
        </w:sectPr>
      </w:pPr>
    </w:p>
    <w:p w14:paraId="55A370D7">
      <w:pPr>
        <w:spacing w:line="246" w:lineRule="auto"/>
        <w:rPr>
          <w:rFonts w:ascii="Arial"/>
          <w:sz w:val="21"/>
        </w:rPr>
      </w:pPr>
    </w:p>
    <w:p w14:paraId="06727153">
      <w:pPr>
        <w:spacing w:line="246" w:lineRule="auto"/>
        <w:rPr>
          <w:rFonts w:ascii="Arial"/>
          <w:sz w:val="21"/>
        </w:rPr>
      </w:pPr>
    </w:p>
    <w:p w14:paraId="7601A552">
      <w:pPr>
        <w:spacing w:line="246" w:lineRule="auto"/>
        <w:rPr>
          <w:rFonts w:ascii="Arial"/>
          <w:sz w:val="21"/>
        </w:rPr>
      </w:pPr>
    </w:p>
    <w:p w14:paraId="4540B9CD">
      <w:pPr>
        <w:spacing w:line="246" w:lineRule="auto"/>
        <w:rPr>
          <w:rFonts w:ascii="Arial"/>
          <w:sz w:val="21"/>
        </w:rPr>
      </w:pPr>
    </w:p>
    <w:p w14:paraId="6C7F478F">
      <w:pPr>
        <w:spacing w:line="246" w:lineRule="auto"/>
        <w:rPr>
          <w:rFonts w:ascii="Arial"/>
          <w:sz w:val="21"/>
        </w:rPr>
      </w:pPr>
    </w:p>
    <w:p w14:paraId="5EB4DA56">
      <w:pPr>
        <w:spacing w:line="247" w:lineRule="auto"/>
        <w:rPr>
          <w:rFonts w:ascii="Arial"/>
          <w:sz w:val="21"/>
        </w:rPr>
      </w:pPr>
    </w:p>
    <w:p w14:paraId="1711E12F">
      <w:pPr>
        <w:spacing w:before="65" w:line="347" w:lineRule="auto"/>
        <w:ind w:left="1" w:right="54" w:firstLine="418"/>
        <w:jc w:val="both"/>
        <w:rPr>
          <w:rFonts w:ascii="宋体" w:hAnsi="宋体" w:eastAsia="宋体" w:cs="宋体"/>
          <w:sz w:val="20"/>
          <w:szCs w:val="20"/>
        </w:rPr>
      </w:pPr>
      <w:r>
        <w:rPr>
          <w:rFonts w:ascii="宋体" w:hAnsi="宋体" w:eastAsia="宋体" w:cs="宋体"/>
          <w:spacing w:val="10"/>
          <w:sz w:val="20"/>
          <w:szCs w:val="20"/>
        </w:rPr>
        <w:t>承包人应按发包人要求恢复临时占地及清理场地，承包人未按发包人的要求恢复临时占地，或者场地清理未达到合同约定要求的，发包人有权委托其他人恢复或清理，所发生的费用由承包</w:t>
      </w:r>
      <w:r>
        <w:rPr>
          <w:rFonts w:ascii="宋体" w:hAnsi="宋体" w:eastAsia="宋体" w:cs="宋体"/>
          <w:spacing w:val="4"/>
          <w:sz w:val="20"/>
          <w:szCs w:val="20"/>
        </w:rPr>
        <w:t>人承担。</w:t>
      </w:r>
    </w:p>
    <w:p w14:paraId="146C92A9">
      <w:pPr>
        <w:spacing w:line="304" w:lineRule="auto"/>
        <w:rPr>
          <w:rFonts w:ascii="Arial"/>
          <w:sz w:val="21"/>
        </w:rPr>
      </w:pPr>
    </w:p>
    <w:p w14:paraId="2E2844A5">
      <w:pPr>
        <w:spacing w:before="65" w:line="228" w:lineRule="auto"/>
        <w:ind w:left="435"/>
        <w:outlineLvl w:val="2"/>
        <w:rPr>
          <w:rFonts w:ascii="宋体" w:hAnsi="宋体" w:eastAsia="宋体" w:cs="宋体"/>
          <w:sz w:val="20"/>
          <w:szCs w:val="20"/>
        </w:rPr>
      </w:pPr>
      <w:bookmarkStart w:id="319" w:name="bookmark302"/>
      <w:bookmarkEnd w:id="319"/>
      <w:r>
        <w:rPr>
          <w:rFonts w:ascii="宋体" w:hAnsi="宋体" w:eastAsia="宋体" w:cs="宋体"/>
          <w:b/>
          <w:bCs/>
          <w:spacing w:val="1"/>
          <w:sz w:val="20"/>
          <w:szCs w:val="20"/>
        </w:rPr>
        <w:t>14</w:t>
      </w:r>
      <w:r>
        <w:rPr>
          <w:rFonts w:ascii="宋体" w:hAnsi="宋体" w:eastAsia="宋体" w:cs="宋体"/>
          <w:spacing w:val="16"/>
          <w:sz w:val="20"/>
          <w:szCs w:val="20"/>
        </w:rPr>
        <w:t xml:space="preserve"> </w:t>
      </w:r>
      <w:r>
        <w:rPr>
          <w:rFonts w:ascii="宋体" w:hAnsi="宋体" w:eastAsia="宋体" w:cs="宋体"/>
          <w:b/>
          <w:bCs/>
          <w:spacing w:val="1"/>
          <w:sz w:val="20"/>
          <w:szCs w:val="20"/>
        </w:rPr>
        <w:t>工程结算</w:t>
      </w:r>
    </w:p>
    <w:p w14:paraId="6B572265">
      <w:pPr>
        <w:spacing w:before="127" w:line="228" w:lineRule="auto"/>
        <w:ind w:left="435"/>
        <w:rPr>
          <w:rFonts w:ascii="宋体" w:hAnsi="宋体" w:eastAsia="宋体" w:cs="宋体"/>
          <w:sz w:val="20"/>
          <w:szCs w:val="20"/>
        </w:rPr>
      </w:pPr>
      <w:r>
        <w:rPr>
          <w:rFonts w:ascii="宋体" w:hAnsi="宋体" w:eastAsia="宋体" w:cs="宋体"/>
          <w:b/>
          <w:bCs/>
          <w:spacing w:val="4"/>
          <w:sz w:val="20"/>
          <w:szCs w:val="20"/>
        </w:rPr>
        <w:t>14.1</w:t>
      </w:r>
      <w:r>
        <w:rPr>
          <w:rFonts w:ascii="宋体" w:hAnsi="宋体" w:eastAsia="宋体" w:cs="宋体"/>
          <w:spacing w:val="4"/>
          <w:sz w:val="20"/>
          <w:szCs w:val="20"/>
        </w:rPr>
        <w:t xml:space="preserve"> </w:t>
      </w:r>
      <w:r>
        <w:rPr>
          <w:rFonts w:ascii="宋体" w:hAnsi="宋体" w:eastAsia="宋体" w:cs="宋体"/>
          <w:b/>
          <w:bCs/>
          <w:spacing w:val="4"/>
          <w:sz w:val="20"/>
          <w:szCs w:val="20"/>
        </w:rPr>
        <w:t>施工过程结算</w:t>
      </w:r>
    </w:p>
    <w:p w14:paraId="2BA5D251">
      <w:pPr>
        <w:spacing w:before="125" w:line="346" w:lineRule="auto"/>
        <w:ind w:right="54" w:firstLine="419"/>
        <w:rPr>
          <w:rFonts w:ascii="宋体" w:hAnsi="宋体" w:eastAsia="宋体" w:cs="宋体"/>
          <w:sz w:val="20"/>
          <w:szCs w:val="20"/>
        </w:rPr>
      </w:pPr>
      <w:r>
        <w:rPr>
          <w:rFonts w:ascii="宋体" w:hAnsi="宋体" w:eastAsia="宋体" w:cs="宋体"/>
          <w:spacing w:val="10"/>
          <w:sz w:val="20"/>
          <w:szCs w:val="20"/>
        </w:rPr>
        <w:t>施工过程结算也称分段结算或者期间结算，是指发包人与承包人根据法律规定或者合同的约定，将竣工结算分解到形象节点中，对分阶段验收合格的已完工程量确认工程价款（包括变更、签证、索赔、调价、奖励、暂估价确认和相应的规费税金等）并支付的工程结算方式。施工过程结算是工程竣工结算的组成部分。施工过程结算报告未经发承包双方确认的，不影响工程进度款</w:t>
      </w:r>
      <w:r>
        <w:rPr>
          <w:rFonts w:ascii="宋体" w:hAnsi="宋体" w:eastAsia="宋体" w:cs="宋体"/>
          <w:spacing w:val="4"/>
          <w:sz w:val="20"/>
          <w:szCs w:val="20"/>
        </w:rPr>
        <w:t>的支付。</w:t>
      </w:r>
    </w:p>
    <w:p w14:paraId="53E93580">
      <w:pPr>
        <w:spacing w:line="226" w:lineRule="auto"/>
        <w:ind w:left="419"/>
        <w:rPr>
          <w:rFonts w:ascii="宋体" w:hAnsi="宋体" w:eastAsia="宋体" w:cs="宋体"/>
          <w:sz w:val="20"/>
          <w:szCs w:val="20"/>
        </w:rPr>
      </w:pPr>
      <w:r>
        <w:rPr>
          <w:rFonts w:ascii="宋体" w:hAnsi="宋体" w:eastAsia="宋体" w:cs="宋体"/>
          <w:spacing w:val="9"/>
          <w:sz w:val="20"/>
          <w:szCs w:val="20"/>
        </w:rPr>
        <w:t>采用施工过程结算的工程项目，在招标文件和施工合同内容中应对下列事项作出约定：</w:t>
      </w:r>
    </w:p>
    <w:p w14:paraId="795BD6F2">
      <w:pPr>
        <w:spacing w:before="128" w:line="228" w:lineRule="auto"/>
        <w:ind w:left="430"/>
        <w:rPr>
          <w:rFonts w:ascii="宋体" w:hAnsi="宋体" w:eastAsia="宋体" w:cs="宋体"/>
          <w:sz w:val="20"/>
          <w:szCs w:val="20"/>
        </w:rPr>
      </w:pPr>
      <w:r>
        <w:rPr>
          <w:rFonts w:ascii="宋体" w:hAnsi="宋体" w:eastAsia="宋体" w:cs="宋体"/>
          <w:spacing w:val="7"/>
          <w:sz w:val="20"/>
          <w:szCs w:val="20"/>
        </w:rPr>
        <w:t>（1）施工过程结算的节点；</w:t>
      </w:r>
    </w:p>
    <w:p w14:paraId="270DEECA">
      <w:pPr>
        <w:spacing w:before="128" w:line="226" w:lineRule="auto"/>
        <w:ind w:left="430"/>
        <w:rPr>
          <w:rFonts w:ascii="宋体" w:hAnsi="宋体" w:eastAsia="宋体" w:cs="宋体"/>
          <w:sz w:val="20"/>
          <w:szCs w:val="20"/>
        </w:rPr>
      </w:pPr>
      <w:r>
        <w:rPr>
          <w:rFonts w:ascii="宋体" w:hAnsi="宋体" w:eastAsia="宋体" w:cs="宋体"/>
          <w:spacing w:val="9"/>
          <w:sz w:val="20"/>
          <w:szCs w:val="20"/>
        </w:rPr>
        <w:t>（2）施工过程结算价款的计量、计价、支付的方式和时限，</w:t>
      </w:r>
      <w:r>
        <w:rPr>
          <w:rFonts w:ascii="宋体" w:hAnsi="宋体" w:eastAsia="宋体" w:cs="宋体"/>
          <w:spacing w:val="8"/>
          <w:sz w:val="20"/>
          <w:szCs w:val="20"/>
        </w:rPr>
        <w:t>支付比例；</w:t>
      </w:r>
    </w:p>
    <w:p w14:paraId="495C710C">
      <w:pPr>
        <w:spacing w:before="129" w:line="226" w:lineRule="auto"/>
        <w:ind w:left="430"/>
        <w:rPr>
          <w:rFonts w:ascii="宋体" w:hAnsi="宋体" w:eastAsia="宋体" w:cs="宋体"/>
          <w:sz w:val="20"/>
          <w:szCs w:val="20"/>
        </w:rPr>
      </w:pPr>
      <w:r>
        <w:rPr>
          <w:rFonts w:ascii="宋体" w:hAnsi="宋体" w:eastAsia="宋体" w:cs="宋体"/>
          <w:spacing w:val="8"/>
          <w:sz w:val="20"/>
          <w:szCs w:val="20"/>
        </w:rPr>
        <w:t>（3）施工过程结算时的价格调整方法；</w:t>
      </w:r>
    </w:p>
    <w:p w14:paraId="3602A937">
      <w:pPr>
        <w:spacing w:before="130" w:line="226" w:lineRule="auto"/>
        <w:ind w:left="430"/>
        <w:rPr>
          <w:rFonts w:ascii="宋体" w:hAnsi="宋体" w:eastAsia="宋体" w:cs="宋体"/>
          <w:sz w:val="20"/>
          <w:szCs w:val="20"/>
        </w:rPr>
      </w:pPr>
      <w:r>
        <w:rPr>
          <w:rFonts w:ascii="宋体" w:hAnsi="宋体" w:eastAsia="宋体" w:cs="宋体"/>
          <w:spacing w:val="9"/>
          <w:sz w:val="20"/>
          <w:szCs w:val="20"/>
        </w:rPr>
        <w:t>（4）施工过程结算价款支付时，预付工程价款和工程进度款的抵扣方式、抵扣比例；</w:t>
      </w:r>
    </w:p>
    <w:p w14:paraId="4BDF089D">
      <w:pPr>
        <w:spacing w:before="130" w:line="226" w:lineRule="auto"/>
        <w:ind w:left="430"/>
        <w:rPr>
          <w:rFonts w:ascii="宋体" w:hAnsi="宋体" w:eastAsia="宋体" w:cs="宋体"/>
          <w:sz w:val="20"/>
          <w:szCs w:val="20"/>
        </w:rPr>
      </w:pPr>
      <w:r>
        <w:rPr>
          <w:rFonts w:ascii="宋体" w:hAnsi="宋体" w:eastAsia="宋体" w:cs="宋体"/>
          <w:spacing w:val="8"/>
          <w:sz w:val="20"/>
          <w:szCs w:val="20"/>
        </w:rPr>
        <w:t>（5）合同价款调整部分是否要列入施工过程结算价款；</w:t>
      </w:r>
    </w:p>
    <w:p w14:paraId="009ED2A6">
      <w:pPr>
        <w:spacing w:before="129" w:line="226" w:lineRule="auto"/>
        <w:ind w:left="430"/>
        <w:rPr>
          <w:rFonts w:ascii="宋体" w:hAnsi="宋体" w:eastAsia="宋体" w:cs="宋体"/>
          <w:sz w:val="20"/>
          <w:szCs w:val="20"/>
        </w:rPr>
      </w:pPr>
      <w:r>
        <w:rPr>
          <w:rFonts w:ascii="宋体" w:hAnsi="宋体" w:eastAsia="宋体" w:cs="宋体"/>
          <w:spacing w:val="8"/>
          <w:sz w:val="20"/>
          <w:szCs w:val="20"/>
        </w:rPr>
        <w:t>（6）施工过程结算时应包含的工程造价风险内容与幅度；</w:t>
      </w:r>
    </w:p>
    <w:p w14:paraId="244621D8">
      <w:pPr>
        <w:spacing w:before="129" w:line="228" w:lineRule="auto"/>
        <w:ind w:left="430"/>
        <w:rPr>
          <w:rFonts w:ascii="宋体" w:hAnsi="宋体" w:eastAsia="宋体" w:cs="宋体"/>
          <w:sz w:val="20"/>
          <w:szCs w:val="20"/>
        </w:rPr>
      </w:pPr>
      <w:r>
        <w:rPr>
          <w:rFonts w:ascii="宋体" w:hAnsi="宋体" w:eastAsia="宋体" w:cs="宋体"/>
          <w:spacing w:val="9"/>
          <w:sz w:val="20"/>
          <w:szCs w:val="20"/>
        </w:rPr>
        <w:t>（7）施工过程结算履约担保和工程保险的</w:t>
      </w:r>
      <w:r>
        <w:rPr>
          <w:rFonts w:ascii="宋体" w:hAnsi="宋体" w:eastAsia="宋体" w:cs="宋体"/>
          <w:spacing w:val="8"/>
          <w:sz w:val="20"/>
          <w:szCs w:val="20"/>
        </w:rPr>
        <w:t>方式、时间和费用；</w:t>
      </w:r>
    </w:p>
    <w:p w14:paraId="47F344BC">
      <w:pPr>
        <w:spacing w:before="127" w:line="228" w:lineRule="auto"/>
        <w:ind w:left="430"/>
        <w:rPr>
          <w:rFonts w:ascii="宋体" w:hAnsi="宋体" w:eastAsia="宋体" w:cs="宋体"/>
          <w:sz w:val="20"/>
          <w:szCs w:val="20"/>
        </w:rPr>
      </w:pPr>
      <w:r>
        <w:rPr>
          <w:rFonts w:ascii="宋体" w:hAnsi="宋体" w:eastAsia="宋体" w:cs="宋体"/>
          <w:spacing w:val="8"/>
          <w:sz w:val="20"/>
          <w:szCs w:val="20"/>
        </w:rPr>
        <w:t>（8）施工过程结算时质量保证金或保函扣留方式和时限；</w:t>
      </w:r>
    </w:p>
    <w:p w14:paraId="7EFE6566">
      <w:pPr>
        <w:spacing w:before="128" w:line="226" w:lineRule="auto"/>
        <w:ind w:left="430"/>
        <w:rPr>
          <w:rFonts w:ascii="宋体" w:hAnsi="宋体" w:eastAsia="宋体" w:cs="宋体"/>
          <w:sz w:val="20"/>
          <w:szCs w:val="20"/>
        </w:rPr>
      </w:pPr>
      <w:r>
        <w:rPr>
          <w:rFonts w:ascii="宋体" w:hAnsi="宋体" w:eastAsia="宋体" w:cs="宋体"/>
          <w:spacing w:val="8"/>
          <w:sz w:val="20"/>
          <w:szCs w:val="20"/>
        </w:rPr>
        <w:t>（9）施工过程结算时发生结算价款争议的解决方法。</w:t>
      </w:r>
    </w:p>
    <w:p w14:paraId="513742D1">
      <w:pPr>
        <w:spacing w:before="129" w:line="228" w:lineRule="auto"/>
        <w:ind w:left="435"/>
        <w:rPr>
          <w:rFonts w:ascii="宋体" w:hAnsi="宋体" w:eastAsia="宋体" w:cs="宋体"/>
          <w:sz w:val="20"/>
          <w:szCs w:val="20"/>
        </w:rPr>
      </w:pPr>
      <w:r>
        <w:rPr>
          <w:rFonts w:ascii="宋体" w:hAnsi="宋体" w:eastAsia="宋体" w:cs="宋体"/>
          <w:b/>
          <w:bCs/>
          <w:spacing w:val="4"/>
          <w:sz w:val="20"/>
          <w:szCs w:val="20"/>
        </w:rPr>
        <w:t>14.1.1</w:t>
      </w:r>
      <w:r>
        <w:rPr>
          <w:rFonts w:ascii="宋体" w:hAnsi="宋体" w:eastAsia="宋体" w:cs="宋体"/>
          <w:spacing w:val="4"/>
          <w:sz w:val="20"/>
          <w:szCs w:val="20"/>
        </w:rPr>
        <w:t xml:space="preserve"> </w:t>
      </w:r>
      <w:r>
        <w:rPr>
          <w:rFonts w:ascii="宋体" w:hAnsi="宋体" w:eastAsia="宋体" w:cs="宋体"/>
          <w:b/>
          <w:bCs/>
          <w:spacing w:val="4"/>
          <w:sz w:val="20"/>
          <w:szCs w:val="20"/>
        </w:rPr>
        <w:t>施工过程结算申请</w:t>
      </w:r>
    </w:p>
    <w:p w14:paraId="0A754B23">
      <w:pPr>
        <w:spacing w:before="127" w:line="346" w:lineRule="auto"/>
        <w:ind w:right="54" w:firstLine="432"/>
        <w:jc w:val="both"/>
        <w:rPr>
          <w:rFonts w:ascii="宋体" w:hAnsi="宋体" w:eastAsia="宋体" w:cs="宋体"/>
          <w:sz w:val="20"/>
          <w:szCs w:val="20"/>
        </w:rPr>
      </w:pPr>
      <w:r>
        <w:rPr>
          <w:rFonts w:ascii="宋体" w:hAnsi="宋体" w:eastAsia="宋体" w:cs="宋体"/>
          <w:spacing w:val="10"/>
          <w:sz w:val="20"/>
          <w:szCs w:val="20"/>
        </w:rPr>
        <w:t>除专用合同条款另有约定外，承包人应按合同约定的施工过程结算节点要求，完成施工过程</w:t>
      </w:r>
      <w:r>
        <w:rPr>
          <w:rFonts w:ascii="宋体" w:hAnsi="宋体" w:eastAsia="宋体" w:cs="宋体"/>
          <w:spacing w:val="7"/>
          <w:sz w:val="20"/>
          <w:szCs w:val="20"/>
        </w:rPr>
        <w:t>结算书编制，承包人在施工进度及工程质量等达到本合同约定的施工过程结算节点后</w:t>
      </w:r>
      <w:r>
        <w:rPr>
          <w:rFonts w:ascii="宋体" w:hAnsi="宋体" w:eastAsia="宋体" w:cs="宋体"/>
          <w:spacing w:val="-35"/>
          <w:sz w:val="20"/>
          <w:szCs w:val="20"/>
        </w:rPr>
        <w:t xml:space="preserve"> </w:t>
      </w:r>
      <w:r>
        <w:rPr>
          <w:rFonts w:ascii="宋体" w:hAnsi="宋体" w:eastAsia="宋体" w:cs="宋体"/>
          <w:spacing w:val="7"/>
          <w:sz w:val="20"/>
          <w:szCs w:val="20"/>
        </w:rPr>
        <w:t>28</w:t>
      </w:r>
      <w:r>
        <w:rPr>
          <w:rFonts w:ascii="宋体" w:hAnsi="宋体" w:eastAsia="宋体" w:cs="宋体"/>
          <w:spacing w:val="-34"/>
          <w:sz w:val="20"/>
          <w:szCs w:val="20"/>
        </w:rPr>
        <w:t xml:space="preserve"> </w:t>
      </w:r>
      <w:r>
        <w:rPr>
          <w:rFonts w:ascii="宋体" w:hAnsi="宋体" w:eastAsia="宋体" w:cs="宋体"/>
          <w:spacing w:val="7"/>
          <w:sz w:val="20"/>
          <w:szCs w:val="20"/>
        </w:rPr>
        <w:t>天内向发</w:t>
      </w:r>
      <w:r>
        <w:rPr>
          <w:rFonts w:ascii="宋体" w:hAnsi="宋体" w:eastAsia="宋体" w:cs="宋体"/>
          <w:spacing w:val="10"/>
          <w:sz w:val="20"/>
          <w:szCs w:val="20"/>
        </w:rPr>
        <w:t>包人和监理人提交施工过程结算申请书（单）及相关资料，承包人超过约定时限不报送的，视为</w:t>
      </w:r>
      <w:r>
        <w:rPr>
          <w:rFonts w:ascii="宋体" w:hAnsi="宋体" w:eastAsia="宋体" w:cs="宋体"/>
          <w:spacing w:val="9"/>
          <w:sz w:val="20"/>
          <w:szCs w:val="20"/>
        </w:rPr>
        <w:t>放弃。对质量不合格的，应当在整改并验收合格后办理施工过程结算。</w:t>
      </w:r>
    </w:p>
    <w:p w14:paraId="0476FA9A">
      <w:pPr>
        <w:spacing w:before="1" w:line="345" w:lineRule="auto"/>
        <w:ind w:firstLine="423"/>
        <w:jc w:val="both"/>
        <w:rPr>
          <w:rFonts w:ascii="宋体" w:hAnsi="宋体" w:eastAsia="宋体" w:cs="宋体"/>
          <w:sz w:val="20"/>
          <w:szCs w:val="20"/>
        </w:rPr>
      </w:pPr>
      <w:r>
        <w:rPr>
          <w:rFonts w:ascii="宋体" w:hAnsi="宋体" w:eastAsia="宋体" w:cs="宋体"/>
          <w:spacing w:val="8"/>
          <w:sz w:val="20"/>
          <w:szCs w:val="20"/>
        </w:rPr>
        <w:t>发包人审查认为尚不具备施工过程结算条件的，应在收到申请之日起</w:t>
      </w:r>
      <w:r>
        <w:rPr>
          <w:rFonts w:ascii="宋体" w:hAnsi="宋体" w:eastAsia="宋体" w:cs="宋体"/>
          <w:spacing w:val="-19"/>
          <w:sz w:val="20"/>
          <w:szCs w:val="20"/>
        </w:rPr>
        <w:t xml:space="preserve"> </w:t>
      </w:r>
      <w:r>
        <w:rPr>
          <w:rFonts w:ascii="宋体" w:hAnsi="宋体" w:eastAsia="宋体" w:cs="宋体"/>
          <w:spacing w:val="8"/>
          <w:sz w:val="20"/>
          <w:szCs w:val="20"/>
        </w:rPr>
        <w:t>7 日内通知承包人在本</w:t>
      </w:r>
      <w:r>
        <w:rPr>
          <w:rFonts w:ascii="宋体" w:hAnsi="宋体" w:eastAsia="宋体" w:cs="宋体"/>
          <w:spacing w:val="7"/>
          <w:sz w:val="20"/>
          <w:szCs w:val="20"/>
        </w:rPr>
        <w:t>节点施工过程结算前承包人还需完成的工作内容，承包人应在完成</w:t>
      </w:r>
      <w:r>
        <w:rPr>
          <w:rFonts w:ascii="宋体" w:hAnsi="宋体" w:eastAsia="宋体" w:cs="宋体"/>
          <w:spacing w:val="6"/>
          <w:sz w:val="20"/>
          <w:szCs w:val="20"/>
        </w:rPr>
        <w:t>发包人通知的全部工作内容后，</w:t>
      </w:r>
      <w:r>
        <w:rPr>
          <w:rFonts w:ascii="宋体" w:hAnsi="宋体" w:eastAsia="宋体" w:cs="宋体"/>
          <w:spacing w:val="8"/>
          <w:sz w:val="20"/>
          <w:szCs w:val="20"/>
        </w:rPr>
        <w:t>再次提交施工过程结算申请。</w:t>
      </w:r>
    </w:p>
    <w:p w14:paraId="3CA20EE4">
      <w:pPr>
        <w:spacing w:before="2" w:line="345" w:lineRule="auto"/>
        <w:ind w:left="2" w:right="54" w:firstLine="416"/>
        <w:rPr>
          <w:rFonts w:ascii="宋体" w:hAnsi="宋体" w:eastAsia="宋体" w:cs="宋体"/>
          <w:sz w:val="20"/>
          <w:szCs w:val="20"/>
        </w:rPr>
      </w:pPr>
      <w:r>
        <w:rPr>
          <w:rFonts w:ascii="宋体" w:hAnsi="宋体" w:eastAsia="宋体" w:cs="宋体"/>
          <w:spacing w:val="10"/>
          <w:sz w:val="20"/>
          <w:szCs w:val="20"/>
        </w:rPr>
        <w:t>施工过程结算文件及相关资料包括施工合同、补充协议、施工图纸、招标投标文件、工程变</w:t>
      </w:r>
      <w:r>
        <w:rPr>
          <w:rFonts w:ascii="宋体" w:hAnsi="宋体" w:eastAsia="宋体" w:cs="宋体"/>
          <w:spacing w:val="9"/>
          <w:sz w:val="20"/>
          <w:szCs w:val="20"/>
        </w:rPr>
        <w:t>更、现场签证、工程索赔等依据性资料和施工过程结算成果文件。</w:t>
      </w:r>
    </w:p>
    <w:p w14:paraId="2FBB95DD">
      <w:pPr>
        <w:spacing w:line="227" w:lineRule="auto"/>
        <w:ind w:left="423"/>
        <w:rPr>
          <w:rFonts w:ascii="宋体" w:hAnsi="宋体" w:eastAsia="宋体" w:cs="宋体"/>
          <w:sz w:val="20"/>
          <w:szCs w:val="20"/>
        </w:rPr>
      </w:pPr>
      <w:r>
        <w:rPr>
          <w:rFonts w:ascii="宋体" w:hAnsi="宋体" w:eastAsia="宋体" w:cs="宋体"/>
          <w:spacing w:val="7"/>
          <w:sz w:val="20"/>
          <w:szCs w:val="20"/>
        </w:rPr>
        <w:t>前期施工过程结算申请已经提交的资料，</w:t>
      </w:r>
      <w:r>
        <w:rPr>
          <w:rFonts w:ascii="宋体" w:hAnsi="宋体" w:eastAsia="宋体" w:cs="宋体"/>
          <w:spacing w:val="-44"/>
          <w:sz w:val="20"/>
          <w:szCs w:val="20"/>
        </w:rPr>
        <w:t xml:space="preserve"> </w:t>
      </w:r>
      <w:r>
        <w:rPr>
          <w:rFonts w:ascii="宋体" w:hAnsi="宋体" w:eastAsia="宋体" w:cs="宋体"/>
          <w:spacing w:val="7"/>
          <w:sz w:val="20"/>
          <w:szCs w:val="20"/>
        </w:rPr>
        <w:t>以后不再重复提交。</w:t>
      </w:r>
    </w:p>
    <w:p w14:paraId="53D0D8D8">
      <w:pPr>
        <w:spacing w:before="128" w:line="228" w:lineRule="auto"/>
        <w:ind w:left="419"/>
        <w:rPr>
          <w:rFonts w:ascii="宋体" w:hAnsi="宋体" w:eastAsia="宋体" w:cs="宋体"/>
          <w:sz w:val="20"/>
          <w:szCs w:val="20"/>
        </w:rPr>
      </w:pPr>
      <w:r>
        <w:rPr>
          <w:rFonts w:ascii="宋体" w:hAnsi="宋体" w:eastAsia="宋体" w:cs="宋体"/>
          <w:spacing w:val="9"/>
          <w:sz w:val="20"/>
          <w:szCs w:val="20"/>
        </w:rPr>
        <w:t>施工过程结算的资料、份数等要求在专用合同条款中具体约定。</w:t>
      </w:r>
    </w:p>
    <w:p w14:paraId="78A69380">
      <w:pPr>
        <w:spacing w:before="127" w:line="228" w:lineRule="auto"/>
        <w:ind w:left="435"/>
        <w:rPr>
          <w:rFonts w:ascii="宋体" w:hAnsi="宋体" w:eastAsia="宋体" w:cs="宋体"/>
          <w:sz w:val="20"/>
          <w:szCs w:val="20"/>
        </w:rPr>
      </w:pPr>
      <w:r>
        <w:rPr>
          <w:rFonts w:ascii="宋体" w:hAnsi="宋体" w:eastAsia="宋体" w:cs="宋体"/>
          <w:b/>
          <w:bCs/>
          <w:spacing w:val="5"/>
          <w:sz w:val="20"/>
          <w:szCs w:val="20"/>
        </w:rPr>
        <w:t>14.1.2</w:t>
      </w:r>
      <w:r>
        <w:rPr>
          <w:rFonts w:ascii="宋体" w:hAnsi="宋体" w:eastAsia="宋体" w:cs="宋体"/>
          <w:spacing w:val="5"/>
          <w:sz w:val="20"/>
          <w:szCs w:val="20"/>
        </w:rPr>
        <w:t xml:space="preserve"> </w:t>
      </w:r>
      <w:r>
        <w:rPr>
          <w:rFonts w:ascii="宋体" w:hAnsi="宋体" w:eastAsia="宋体" w:cs="宋体"/>
          <w:b/>
          <w:bCs/>
          <w:spacing w:val="5"/>
          <w:sz w:val="20"/>
          <w:szCs w:val="20"/>
        </w:rPr>
        <w:t>施工过程结算计量周期</w:t>
      </w:r>
    </w:p>
    <w:p w14:paraId="7B5F1DC0">
      <w:pPr>
        <w:spacing w:line="228" w:lineRule="auto"/>
        <w:rPr>
          <w:rFonts w:ascii="宋体" w:hAnsi="宋体" w:eastAsia="宋体" w:cs="宋体"/>
          <w:sz w:val="20"/>
          <w:szCs w:val="20"/>
        </w:rPr>
        <w:sectPr>
          <w:footerReference r:id="rId377" w:type="default"/>
          <w:pgSz w:w="11906" w:h="16839"/>
          <w:pgMar w:top="400" w:right="1478" w:bottom="1446" w:left="1539" w:header="0" w:footer="1284" w:gutter="0"/>
          <w:cols w:space="720" w:num="1"/>
        </w:sectPr>
      </w:pPr>
    </w:p>
    <w:p w14:paraId="23AF1B08">
      <w:pPr>
        <w:spacing w:line="246" w:lineRule="auto"/>
        <w:rPr>
          <w:rFonts w:ascii="Arial"/>
          <w:sz w:val="21"/>
        </w:rPr>
      </w:pPr>
    </w:p>
    <w:p w14:paraId="2A4E9023">
      <w:pPr>
        <w:spacing w:line="246" w:lineRule="auto"/>
        <w:rPr>
          <w:rFonts w:ascii="Arial"/>
          <w:sz w:val="21"/>
        </w:rPr>
      </w:pPr>
    </w:p>
    <w:p w14:paraId="79CFB2C2">
      <w:pPr>
        <w:spacing w:line="246" w:lineRule="auto"/>
        <w:rPr>
          <w:rFonts w:ascii="Arial"/>
          <w:sz w:val="21"/>
        </w:rPr>
      </w:pPr>
    </w:p>
    <w:p w14:paraId="154CC50F">
      <w:pPr>
        <w:spacing w:line="246" w:lineRule="auto"/>
        <w:rPr>
          <w:rFonts w:ascii="Arial"/>
          <w:sz w:val="21"/>
        </w:rPr>
      </w:pPr>
    </w:p>
    <w:p w14:paraId="250FE4B9">
      <w:pPr>
        <w:spacing w:line="246" w:lineRule="auto"/>
        <w:rPr>
          <w:rFonts w:ascii="Arial"/>
          <w:sz w:val="21"/>
        </w:rPr>
      </w:pPr>
    </w:p>
    <w:p w14:paraId="3C8F88EF">
      <w:pPr>
        <w:spacing w:line="247" w:lineRule="auto"/>
        <w:rPr>
          <w:rFonts w:ascii="Arial"/>
          <w:sz w:val="21"/>
        </w:rPr>
      </w:pPr>
    </w:p>
    <w:p w14:paraId="5D312D29">
      <w:pPr>
        <w:spacing w:before="65" w:line="346" w:lineRule="auto"/>
        <w:ind w:left="1" w:firstLine="432"/>
        <w:jc w:val="both"/>
        <w:rPr>
          <w:rFonts w:ascii="宋体" w:hAnsi="宋体" w:eastAsia="宋体" w:cs="宋体"/>
          <w:sz w:val="20"/>
          <w:szCs w:val="20"/>
        </w:rPr>
      </w:pPr>
      <w:r>
        <w:rPr>
          <w:rFonts w:ascii="宋体" w:hAnsi="宋体" w:eastAsia="宋体" w:cs="宋体"/>
          <w:spacing w:val="10"/>
          <w:sz w:val="20"/>
          <w:szCs w:val="20"/>
        </w:rPr>
        <w:t>除专用合同条款另有约定外，施工过程结算的计量周期可按施工过程结算节点按照工程分部（分项）工程、控制性节点工程、专业工程或者标段等有利于实施过程结算的方式划分确定，具</w:t>
      </w:r>
      <w:r>
        <w:rPr>
          <w:rFonts w:ascii="宋体" w:hAnsi="宋体" w:eastAsia="宋体" w:cs="宋体"/>
          <w:spacing w:val="9"/>
          <w:sz w:val="20"/>
          <w:szCs w:val="20"/>
        </w:rPr>
        <w:t>体由合同当事人在专用合同条款中详细约定。</w:t>
      </w:r>
    </w:p>
    <w:p w14:paraId="7F0402DC">
      <w:pPr>
        <w:spacing w:line="227" w:lineRule="auto"/>
        <w:ind w:left="437"/>
        <w:rPr>
          <w:rFonts w:ascii="宋体" w:hAnsi="宋体" w:eastAsia="宋体" w:cs="宋体"/>
          <w:sz w:val="20"/>
          <w:szCs w:val="20"/>
        </w:rPr>
      </w:pPr>
      <w:r>
        <w:rPr>
          <w:rFonts w:ascii="宋体" w:hAnsi="宋体" w:eastAsia="宋体" w:cs="宋体"/>
          <w:b/>
          <w:bCs/>
          <w:spacing w:val="4"/>
          <w:sz w:val="20"/>
          <w:szCs w:val="20"/>
        </w:rPr>
        <w:t>14.1.3</w:t>
      </w:r>
      <w:r>
        <w:rPr>
          <w:rFonts w:ascii="宋体" w:hAnsi="宋体" w:eastAsia="宋体" w:cs="宋体"/>
          <w:spacing w:val="4"/>
          <w:sz w:val="20"/>
          <w:szCs w:val="20"/>
        </w:rPr>
        <w:t xml:space="preserve"> </w:t>
      </w:r>
      <w:r>
        <w:rPr>
          <w:rFonts w:ascii="宋体" w:hAnsi="宋体" w:eastAsia="宋体" w:cs="宋体"/>
          <w:b/>
          <w:bCs/>
          <w:spacing w:val="4"/>
          <w:sz w:val="20"/>
          <w:szCs w:val="20"/>
        </w:rPr>
        <w:t>施工过程结算审核</w:t>
      </w:r>
    </w:p>
    <w:p w14:paraId="3556E398">
      <w:pPr>
        <w:spacing w:before="126" w:line="346" w:lineRule="auto"/>
        <w:ind w:left="1" w:right="1" w:firstLine="432"/>
        <w:jc w:val="both"/>
        <w:rPr>
          <w:rFonts w:ascii="宋体" w:hAnsi="宋体" w:eastAsia="宋体" w:cs="宋体"/>
          <w:sz w:val="20"/>
          <w:szCs w:val="20"/>
        </w:rPr>
      </w:pPr>
      <w:r>
        <w:rPr>
          <w:rFonts w:ascii="宋体" w:hAnsi="宋体" w:eastAsia="宋体" w:cs="宋体"/>
          <w:spacing w:val="13"/>
          <w:sz w:val="20"/>
          <w:szCs w:val="20"/>
        </w:rPr>
        <w:t>除专用合同条款另有约定外，发包人应在收到承包人按合同约定提交的过程结算申请后</w:t>
      </w:r>
      <w:r>
        <w:rPr>
          <w:rFonts w:ascii="宋体" w:hAnsi="宋体" w:eastAsia="宋体" w:cs="宋体"/>
          <w:spacing w:val="-19"/>
          <w:sz w:val="20"/>
          <w:szCs w:val="20"/>
        </w:rPr>
        <w:t xml:space="preserve"> </w:t>
      </w:r>
      <w:r>
        <w:rPr>
          <w:rFonts w:ascii="宋体" w:hAnsi="宋体" w:eastAsia="宋体" w:cs="宋体"/>
          <w:spacing w:val="13"/>
          <w:sz w:val="20"/>
          <w:szCs w:val="20"/>
        </w:rPr>
        <w:t>28</w:t>
      </w:r>
      <w:r>
        <w:rPr>
          <w:rFonts w:ascii="宋体" w:hAnsi="宋体" w:eastAsia="宋体" w:cs="宋体"/>
          <w:spacing w:val="10"/>
          <w:sz w:val="20"/>
          <w:szCs w:val="20"/>
        </w:rPr>
        <w:t>天内（含监理人、发包人审核时间）完成审核。逾期未完成审核且未提出异议的，则视同发包人</w:t>
      </w:r>
      <w:r>
        <w:rPr>
          <w:rFonts w:ascii="宋体" w:hAnsi="宋体" w:eastAsia="宋体" w:cs="宋体"/>
          <w:spacing w:val="9"/>
          <w:sz w:val="20"/>
          <w:szCs w:val="20"/>
        </w:rPr>
        <w:t>认可承包人报送的施工过程结算，发包人应及时按照合同约定完成相应价款的支付。</w:t>
      </w:r>
    </w:p>
    <w:p w14:paraId="3021B661">
      <w:pPr>
        <w:spacing w:before="2" w:line="345" w:lineRule="auto"/>
        <w:ind w:left="1" w:right="2" w:firstLine="423"/>
        <w:jc w:val="both"/>
        <w:rPr>
          <w:rFonts w:ascii="宋体" w:hAnsi="宋体" w:eastAsia="宋体" w:cs="宋体"/>
          <w:sz w:val="20"/>
          <w:szCs w:val="20"/>
        </w:rPr>
      </w:pPr>
      <w:r>
        <w:rPr>
          <w:rFonts w:ascii="宋体" w:hAnsi="宋体" w:eastAsia="宋体" w:cs="宋体"/>
          <w:spacing w:val="9"/>
          <w:sz w:val="20"/>
          <w:szCs w:val="20"/>
        </w:rPr>
        <w:t>发包人需要现场计量的，必须在收到合格过程结算资料后</w:t>
      </w:r>
      <w:r>
        <w:rPr>
          <w:rFonts w:ascii="宋体" w:hAnsi="宋体" w:eastAsia="宋体" w:cs="宋体"/>
          <w:spacing w:val="-18"/>
          <w:sz w:val="20"/>
          <w:szCs w:val="20"/>
        </w:rPr>
        <w:t xml:space="preserve"> </w:t>
      </w:r>
      <w:r>
        <w:rPr>
          <w:rFonts w:ascii="宋体" w:hAnsi="宋体" w:eastAsia="宋体" w:cs="宋体"/>
          <w:spacing w:val="9"/>
          <w:sz w:val="20"/>
          <w:szCs w:val="20"/>
        </w:rPr>
        <w:t>7</w:t>
      </w:r>
      <w:r>
        <w:rPr>
          <w:rFonts w:ascii="宋体" w:hAnsi="宋体" w:eastAsia="宋体" w:cs="宋体"/>
          <w:spacing w:val="-33"/>
          <w:sz w:val="20"/>
          <w:szCs w:val="20"/>
        </w:rPr>
        <w:t xml:space="preserve"> </w:t>
      </w:r>
      <w:r>
        <w:rPr>
          <w:rFonts w:ascii="宋体" w:hAnsi="宋体" w:eastAsia="宋体" w:cs="宋体"/>
          <w:spacing w:val="9"/>
          <w:sz w:val="20"/>
          <w:szCs w:val="20"/>
        </w:rPr>
        <w:t>天内通知承包人，承包人必须为</w:t>
      </w:r>
      <w:r>
        <w:rPr>
          <w:rFonts w:ascii="宋体" w:hAnsi="宋体" w:eastAsia="宋体" w:cs="宋体"/>
          <w:spacing w:val="10"/>
          <w:sz w:val="20"/>
          <w:szCs w:val="20"/>
        </w:rPr>
        <w:t>计量提供便利条件并派人参加，承包人在约定时间不派人参加计量的，视为承包人认可发包人的现场计量结果；发包人不按约定时间通知承包人参加的，则承包人可不认可发包人的现场计量结</w:t>
      </w:r>
      <w:r>
        <w:rPr>
          <w:rFonts w:ascii="宋体" w:hAnsi="宋体" w:eastAsia="宋体" w:cs="宋体"/>
          <w:sz w:val="20"/>
          <w:szCs w:val="20"/>
        </w:rPr>
        <w:t>果；</w:t>
      </w:r>
    </w:p>
    <w:p w14:paraId="5CDB9CA6">
      <w:pPr>
        <w:spacing w:before="1" w:line="345" w:lineRule="auto"/>
        <w:ind w:left="2" w:right="2" w:firstLine="418"/>
        <w:rPr>
          <w:rFonts w:ascii="宋体" w:hAnsi="宋体" w:eastAsia="宋体" w:cs="宋体"/>
          <w:sz w:val="20"/>
          <w:szCs w:val="20"/>
        </w:rPr>
      </w:pPr>
      <w:r>
        <w:rPr>
          <w:rFonts w:ascii="宋体" w:hAnsi="宋体" w:eastAsia="宋体" w:cs="宋体"/>
          <w:spacing w:val="10"/>
          <w:sz w:val="20"/>
          <w:szCs w:val="20"/>
        </w:rPr>
        <w:t>施工过程结算应依据合同约定，对质量合格工程进行计量计价。质量不合格的工程经承包人</w:t>
      </w:r>
      <w:r>
        <w:rPr>
          <w:rFonts w:ascii="宋体" w:hAnsi="宋体" w:eastAsia="宋体" w:cs="宋体"/>
          <w:spacing w:val="9"/>
          <w:sz w:val="20"/>
          <w:szCs w:val="20"/>
        </w:rPr>
        <w:t>整改合格后可在当期施工过程结算中进行计量计价。</w:t>
      </w:r>
    </w:p>
    <w:p w14:paraId="2C29FCB1">
      <w:pPr>
        <w:spacing w:before="3" w:line="345" w:lineRule="auto"/>
        <w:ind w:left="4" w:right="2" w:firstLine="416"/>
        <w:jc w:val="both"/>
        <w:rPr>
          <w:rFonts w:ascii="宋体" w:hAnsi="宋体" w:eastAsia="宋体" w:cs="宋体"/>
          <w:sz w:val="20"/>
          <w:szCs w:val="20"/>
        </w:rPr>
      </w:pPr>
      <w:r>
        <w:rPr>
          <w:rFonts w:ascii="宋体" w:hAnsi="宋体" w:eastAsia="宋体" w:cs="宋体"/>
          <w:spacing w:val="10"/>
          <w:sz w:val="20"/>
          <w:szCs w:val="20"/>
        </w:rPr>
        <w:t>施工过程结算计量计价有争议的，发承包双方可作出暂定结果，暂定结果在不影响合同履约的前提下，可作为施工过程结算支付依据，但不得作为竣工结算依据。合同双方或一方不同意暂定结果的，争议部分可在工程造价管理机构或第三方调解机构协调下进行调解，调解不成，争议</w:t>
      </w:r>
      <w:r>
        <w:rPr>
          <w:rFonts w:ascii="宋体" w:hAnsi="宋体" w:eastAsia="宋体" w:cs="宋体"/>
          <w:spacing w:val="7"/>
          <w:sz w:val="20"/>
          <w:szCs w:val="20"/>
        </w:rPr>
        <w:t>部分可留在下个结点或竣工结算时解决。争议部分按第</w:t>
      </w:r>
      <w:r>
        <w:rPr>
          <w:rFonts w:ascii="宋体" w:hAnsi="宋体" w:eastAsia="宋体" w:cs="宋体"/>
          <w:spacing w:val="-33"/>
          <w:sz w:val="20"/>
          <w:szCs w:val="20"/>
        </w:rPr>
        <w:t xml:space="preserve"> </w:t>
      </w:r>
      <w:r>
        <w:rPr>
          <w:rFonts w:ascii="宋体" w:hAnsi="宋体" w:eastAsia="宋体" w:cs="宋体"/>
          <w:spacing w:val="7"/>
          <w:sz w:val="20"/>
          <w:szCs w:val="20"/>
        </w:rPr>
        <w:t>20</w:t>
      </w:r>
      <w:r>
        <w:rPr>
          <w:rFonts w:ascii="宋体" w:hAnsi="宋体" w:eastAsia="宋体" w:cs="宋体"/>
          <w:spacing w:val="-38"/>
          <w:sz w:val="20"/>
          <w:szCs w:val="20"/>
        </w:rPr>
        <w:t xml:space="preserve"> </w:t>
      </w:r>
      <w:r>
        <w:rPr>
          <w:rFonts w:ascii="宋体" w:hAnsi="宋体" w:eastAsia="宋体" w:cs="宋体"/>
          <w:spacing w:val="7"/>
          <w:sz w:val="20"/>
          <w:szCs w:val="20"/>
        </w:rPr>
        <w:t>条〔争议解决〕的方式处理。无争议部</w:t>
      </w:r>
      <w:r>
        <w:rPr>
          <w:rFonts w:ascii="宋体" w:hAnsi="宋体" w:eastAsia="宋体" w:cs="宋体"/>
          <w:spacing w:val="9"/>
          <w:sz w:val="20"/>
          <w:szCs w:val="20"/>
        </w:rPr>
        <w:t>分的施工过程结算价款，由发包人依据合同约定进行支付。</w:t>
      </w:r>
    </w:p>
    <w:p w14:paraId="7A7F230D">
      <w:pPr>
        <w:spacing w:before="1" w:line="345" w:lineRule="auto"/>
        <w:ind w:left="3" w:right="2" w:firstLine="420"/>
        <w:rPr>
          <w:rFonts w:ascii="宋体" w:hAnsi="宋体" w:eastAsia="宋体" w:cs="宋体"/>
          <w:sz w:val="20"/>
          <w:szCs w:val="20"/>
        </w:rPr>
      </w:pPr>
      <w:r>
        <w:rPr>
          <w:rFonts w:ascii="宋体" w:hAnsi="宋体" w:eastAsia="宋体" w:cs="宋体"/>
          <w:spacing w:val="10"/>
          <w:sz w:val="20"/>
          <w:szCs w:val="20"/>
        </w:rPr>
        <w:t>经合同当事人确认的施工过程结算文件是竣工结算文件组成部分，办理工程竣工结算时，不</w:t>
      </w:r>
      <w:r>
        <w:rPr>
          <w:rFonts w:ascii="宋体" w:hAnsi="宋体" w:eastAsia="宋体" w:cs="宋体"/>
          <w:spacing w:val="7"/>
          <w:sz w:val="20"/>
          <w:szCs w:val="20"/>
        </w:rPr>
        <w:t>再重新进行审核。</w:t>
      </w:r>
    </w:p>
    <w:p w14:paraId="11FEE333">
      <w:pPr>
        <w:spacing w:before="1" w:line="227" w:lineRule="auto"/>
        <w:ind w:left="437"/>
        <w:rPr>
          <w:rFonts w:ascii="宋体" w:hAnsi="宋体" w:eastAsia="宋体" w:cs="宋体"/>
          <w:sz w:val="20"/>
          <w:szCs w:val="20"/>
        </w:rPr>
      </w:pPr>
      <w:r>
        <w:rPr>
          <w:rFonts w:ascii="宋体" w:hAnsi="宋体" w:eastAsia="宋体" w:cs="宋体"/>
          <w:b/>
          <w:bCs/>
          <w:spacing w:val="4"/>
          <w:sz w:val="20"/>
          <w:szCs w:val="20"/>
        </w:rPr>
        <w:t>14.1.4</w:t>
      </w:r>
      <w:r>
        <w:rPr>
          <w:rFonts w:ascii="宋体" w:hAnsi="宋体" w:eastAsia="宋体" w:cs="宋体"/>
          <w:spacing w:val="4"/>
          <w:sz w:val="20"/>
          <w:szCs w:val="20"/>
        </w:rPr>
        <w:t xml:space="preserve"> </w:t>
      </w:r>
      <w:r>
        <w:rPr>
          <w:rFonts w:ascii="宋体" w:hAnsi="宋体" w:eastAsia="宋体" w:cs="宋体"/>
          <w:b/>
          <w:bCs/>
          <w:spacing w:val="4"/>
          <w:sz w:val="20"/>
          <w:szCs w:val="20"/>
        </w:rPr>
        <w:t>施工过程结算支付</w:t>
      </w:r>
    </w:p>
    <w:p w14:paraId="6C178E58">
      <w:pPr>
        <w:spacing w:before="127" w:line="346" w:lineRule="auto"/>
        <w:ind w:left="6" w:right="2" w:firstLine="415"/>
        <w:rPr>
          <w:rFonts w:ascii="宋体" w:hAnsi="宋体" w:eastAsia="宋体" w:cs="宋体"/>
          <w:sz w:val="20"/>
          <w:szCs w:val="20"/>
        </w:rPr>
      </w:pPr>
      <w:r>
        <w:rPr>
          <w:rFonts w:ascii="宋体" w:hAnsi="宋体" w:eastAsia="宋体" w:cs="宋体"/>
          <w:spacing w:val="10"/>
          <w:sz w:val="20"/>
          <w:szCs w:val="20"/>
        </w:rPr>
        <w:t>合同当事人应在专用合同条款中约定施工过程结算的支付比例、支付时限。除专用合同条款</w:t>
      </w:r>
      <w:r>
        <w:rPr>
          <w:rFonts w:ascii="宋体" w:hAnsi="宋体" w:eastAsia="宋体" w:cs="宋体"/>
          <w:spacing w:val="9"/>
          <w:sz w:val="20"/>
          <w:szCs w:val="20"/>
        </w:rPr>
        <w:t>另有约定外，施工过程结算款支付周期应与合同约定的施工过程结算周期一致。</w:t>
      </w:r>
    </w:p>
    <w:p w14:paraId="5B781B87">
      <w:pPr>
        <w:spacing w:before="1" w:line="227" w:lineRule="auto"/>
        <w:ind w:left="437"/>
        <w:rPr>
          <w:rFonts w:ascii="宋体" w:hAnsi="宋体" w:eastAsia="宋体" w:cs="宋体"/>
          <w:sz w:val="20"/>
          <w:szCs w:val="20"/>
        </w:rPr>
      </w:pPr>
      <w:r>
        <w:rPr>
          <w:rFonts w:ascii="宋体" w:hAnsi="宋体" w:eastAsia="宋体" w:cs="宋体"/>
          <w:b/>
          <w:bCs/>
          <w:spacing w:val="3"/>
          <w:sz w:val="20"/>
          <w:szCs w:val="20"/>
        </w:rPr>
        <w:t>14.2</w:t>
      </w:r>
      <w:r>
        <w:rPr>
          <w:rFonts w:ascii="宋体" w:hAnsi="宋体" w:eastAsia="宋体" w:cs="宋体"/>
          <w:spacing w:val="3"/>
          <w:sz w:val="20"/>
          <w:szCs w:val="20"/>
        </w:rPr>
        <w:t xml:space="preserve"> </w:t>
      </w:r>
      <w:r>
        <w:rPr>
          <w:rFonts w:ascii="宋体" w:hAnsi="宋体" w:eastAsia="宋体" w:cs="宋体"/>
          <w:b/>
          <w:bCs/>
          <w:spacing w:val="3"/>
          <w:sz w:val="20"/>
          <w:szCs w:val="20"/>
        </w:rPr>
        <w:t>竣工结算</w:t>
      </w:r>
    </w:p>
    <w:p w14:paraId="1F98BE76">
      <w:pPr>
        <w:spacing w:before="127" w:line="228" w:lineRule="auto"/>
        <w:ind w:left="437"/>
        <w:rPr>
          <w:rFonts w:ascii="宋体" w:hAnsi="宋体" w:eastAsia="宋体" w:cs="宋体"/>
          <w:sz w:val="20"/>
          <w:szCs w:val="20"/>
        </w:rPr>
      </w:pPr>
      <w:r>
        <w:rPr>
          <w:rFonts w:ascii="宋体" w:hAnsi="宋体" w:eastAsia="宋体" w:cs="宋体"/>
          <w:b/>
          <w:bCs/>
          <w:spacing w:val="4"/>
          <w:sz w:val="20"/>
          <w:szCs w:val="20"/>
        </w:rPr>
        <w:t>14.2.1</w:t>
      </w:r>
      <w:r>
        <w:rPr>
          <w:rFonts w:ascii="宋体" w:hAnsi="宋体" w:eastAsia="宋体" w:cs="宋体"/>
          <w:spacing w:val="4"/>
          <w:sz w:val="20"/>
          <w:szCs w:val="20"/>
        </w:rPr>
        <w:t xml:space="preserve"> </w:t>
      </w:r>
      <w:r>
        <w:rPr>
          <w:rFonts w:ascii="宋体" w:hAnsi="宋体" w:eastAsia="宋体" w:cs="宋体"/>
          <w:b/>
          <w:bCs/>
          <w:spacing w:val="4"/>
          <w:sz w:val="20"/>
          <w:szCs w:val="20"/>
        </w:rPr>
        <w:t>竣工结算申请</w:t>
      </w:r>
    </w:p>
    <w:p w14:paraId="16ED8F37">
      <w:pPr>
        <w:spacing w:before="127" w:line="346" w:lineRule="auto"/>
        <w:ind w:left="2" w:right="2" w:firstLine="431"/>
        <w:jc w:val="both"/>
        <w:rPr>
          <w:rFonts w:ascii="宋体" w:hAnsi="宋体" w:eastAsia="宋体" w:cs="宋体"/>
          <w:sz w:val="20"/>
          <w:szCs w:val="20"/>
        </w:rPr>
      </w:pPr>
      <w:r>
        <w:rPr>
          <w:rFonts w:ascii="宋体" w:hAnsi="宋体" w:eastAsia="宋体" w:cs="宋体"/>
          <w:spacing w:val="7"/>
          <w:sz w:val="20"/>
          <w:szCs w:val="20"/>
        </w:rPr>
        <w:t>除专用合同条款另有约定外，承包人应在工程竣工验收</w:t>
      </w:r>
      <w:r>
        <w:rPr>
          <w:rFonts w:ascii="宋体" w:hAnsi="宋体" w:eastAsia="宋体" w:cs="宋体"/>
          <w:spacing w:val="6"/>
          <w:sz w:val="20"/>
          <w:szCs w:val="20"/>
        </w:rPr>
        <w:t>合格后</w:t>
      </w:r>
      <w:r>
        <w:rPr>
          <w:rFonts w:ascii="宋体" w:hAnsi="宋体" w:eastAsia="宋体" w:cs="宋体"/>
          <w:spacing w:val="-36"/>
          <w:sz w:val="20"/>
          <w:szCs w:val="20"/>
        </w:rPr>
        <w:t xml:space="preserve"> </w:t>
      </w:r>
      <w:r>
        <w:rPr>
          <w:rFonts w:ascii="宋体" w:hAnsi="宋体" w:eastAsia="宋体" w:cs="宋体"/>
          <w:spacing w:val="6"/>
          <w:sz w:val="20"/>
          <w:szCs w:val="20"/>
        </w:rPr>
        <w:t>28</w:t>
      </w:r>
      <w:r>
        <w:rPr>
          <w:rFonts w:ascii="宋体" w:hAnsi="宋体" w:eastAsia="宋体" w:cs="宋体"/>
          <w:spacing w:val="-34"/>
          <w:sz w:val="20"/>
          <w:szCs w:val="20"/>
        </w:rPr>
        <w:t xml:space="preserve"> </w:t>
      </w:r>
      <w:r>
        <w:rPr>
          <w:rFonts w:ascii="宋体" w:hAnsi="宋体" w:eastAsia="宋体" w:cs="宋体"/>
          <w:spacing w:val="6"/>
          <w:sz w:val="20"/>
          <w:szCs w:val="20"/>
        </w:rPr>
        <w:t>天内向发包人和监理人提交</w:t>
      </w:r>
      <w:r>
        <w:rPr>
          <w:rFonts w:ascii="宋体" w:hAnsi="宋体" w:eastAsia="宋体" w:cs="宋体"/>
          <w:spacing w:val="10"/>
          <w:sz w:val="20"/>
          <w:szCs w:val="20"/>
        </w:rPr>
        <w:t>竣工结算申请单，并提交完整的结算资料，有关竣工结算申请单的资料清单和份数等要求由合同</w:t>
      </w:r>
      <w:r>
        <w:rPr>
          <w:rFonts w:ascii="宋体" w:hAnsi="宋体" w:eastAsia="宋体" w:cs="宋体"/>
          <w:spacing w:val="8"/>
          <w:sz w:val="20"/>
          <w:szCs w:val="20"/>
        </w:rPr>
        <w:t>当事人在专用合同条款中约定。</w:t>
      </w:r>
    </w:p>
    <w:p w14:paraId="3B6F1398">
      <w:pPr>
        <w:spacing w:line="226" w:lineRule="auto"/>
        <w:ind w:left="434"/>
        <w:rPr>
          <w:rFonts w:ascii="宋体" w:hAnsi="宋体" w:eastAsia="宋体" w:cs="宋体"/>
          <w:sz w:val="20"/>
          <w:szCs w:val="20"/>
        </w:rPr>
      </w:pPr>
      <w:r>
        <w:rPr>
          <w:rFonts w:ascii="宋体" w:hAnsi="宋体" w:eastAsia="宋体" w:cs="宋体"/>
          <w:spacing w:val="9"/>
          <w:sz w:val="20"/>
          <w:szCs w:val="20"/>
        </w:rPr>
        <w:t>除专用合同条款另有约定外，竣工结算申请单应包括工程结算总</w:t>
      </w:r>
      <w:r>
        <w:rPr>
          <w:rFonts w:ascii="宋体" w:hAnsi="宋体" w:eastAsia="宋体" w:cs="宋体"/>
          <w:spacing w:val="8"/>
          <w:sz w:val="20"/>
          <w:szCs w:val="20"/>
        </w:rPr>
        <w:t>造价。</w:t>
      </w:r>
    </w:p>
    <w:p w14:paraId="21ED089F">
      <w:pPr>
        <w:spacing w:before="129" w:line="228" w:lineRule="auto"/>
        <w:ind w:left="437"/>
        <w:rPr>
          <w:rFonts w:ascii="宋体" w:hAnsi="宋体" w:eastAsia="宋体" w:cs="宋体"/>
          <w:sz w:val="20"/>
          <w:szCs w:val="20"/>
        </w:rPr>
      </w:pPr>
      <w:r>
        <w:rPr>
          <w:rFonts w:ascii="宋体" w:hAnsi="宋体" w:eastAsia="宋体" w:cs="宋体"/>
          <w:b/>
          <w:bCs/>
          <w:spacing w:val="4"/>
          <w:sz w:val="20"/>
          <w:szCs w:val="20"/>
        </w:rPr>
        <w:t>14.2.2</w:t>
      </w:r>
      <w:r>
        <w:rPr>
          <w:rFonts w:ascii="宋体" w:hAnsi="宋体" w:eastAsia="宋体" w:cs="宋体"/>
          <w:spacing w:val="4"/>
          <w:sz w:val="20"/>
          <w:szCs w:val="20"/>
        </w:rPr>
        <w:t xml:space="preserve"> </w:t>
      </w:r>
      <w:r>
        <w:rPr>
          <w:rFonts w:ascii="宋体" w:hAnsi="宋体" w:eastAsia="宋体" w:cs="宋体"/>
          <w:b/>
          <w:bCs/>
          <w:spacing w:val="4"/>
          <w:sz w:val="20"/>
          <w:szCs w:val="20"/>
        </w:rPr>
        <w:t>竣工结算审核</w:t>
      </w:r>
    </w:p>
    <w:p w14:paraId="04271B15">
      <w:pPr>
        <w:spacing w:before="128" w:line="346" w:lineRule="auto"/>
        <w:ind w:right="2" w:firstLine="431"/>
        <w:jc w:val="both"/>
        <w:rPr>
          <w:rFonts w:ascii="宋体" w:hAnsi="宋体" w:eastAsia="宋体" w:cs="宋体"/>
          <w:sz w:val="20"/>
          <w:szCs w:val="20"/>
        </w:rPr>
      </w:pPr>
      <w:r>
        <w:rPr>
          <w:rFonts w:ascii="宋体" w:hAnsi="宋体" w:eastAsia="宋体" w:cs="宋体"/>
          <w:spacing w:val="9"/>
          <w:sz w:val="20"/>
          <w:szCs w:val="20"/>
        </w:rPr>
        <w:t>（1）除专用合同条款另有约定外，监理人应在收到竣工结算申请单后</w:t>
      </w:r>
      <w:r>
        <w:rPr>
          <w:rFonts w:ascii="宋体" w:hAnsi="宋体" w:eastAsia="宋体" w:cs="宋体"/>
          <w:spacing w:val="-23"/>
          <w:sz w:val="20"/>
          <w:szCs w:val="20"/>
        </w:rPr>
        <w:t xml:space="preserve"> </w:t>
      </w:r>
      <w:r>
        <w:rPr>
          <w:rFonts w:ascii="宋体" w:hAnsi="宋体" w:eastAsia="宋体" w:cs="宋体"/>
          <w:spacing w:val="8"/>
          <w:sz w:val="20"/>
          <w:szCs w:val="20"/>
        </w:rPr>
        <w:t>14</w:t>
      </w:r>
      <w:r>
        <w:rPr>
          <w:rFonts w:ascii="宋体" w:hAnsi="宋体" w:eastAsia="宋体" w:cs="宋体"/>
          <w:spacing w:val="-34"/>
          <w:sz w:val="20"/>
          <w:szCs w:val="20"/>
        </w:rPr>
        <w:t xml:space="preserve"> </w:t>
      </w:r>
      <w:r>
        <w:rPr>
          <w:rFonts w:ascii="宋体" w:hAnsi="宋体" w:eastAsia="宋体" w:cs="宋体"/>
          <w:spacing w:val="8"/>
          <w:sz w:val="20"/>
          <w:szCs w:val="20"/>
        </w:rPr>
        <w:t>天内完成核查并报</w:t>
      </w:r>
      <w:r>
        <w:rPr>
          <w:rFonts w:ascii="宋体" w:hAnsi="宋体" w:eastAsia="宋体" w:cs="宋体"/>
          <w:spacing w:val="7"/>
          <w:sz w:val="20"/>
          <w:szCs w:val="20"/>
        </w:rPr>
        <w:t>送发包人。发包人应在收到监理人提交的经审核的竣工结算申请单后</w:t>
      </w:r>
      <w:r>
        <w:rPr>
          <w:rFonts w:ascii="宋体" w:hAnsi="宋体" w:eastAsia="宋体" w:cs="宋体"/>
          <w:spacing w:val="-21"/>
          <w:sz w:val="20"/>
          <w:szCs w:val="20"/>
        </w:rPr>
        <w:t xml:space="preserve"> </w:t>
      </w:r>
      <w:r>
        <w:rPr>
          <w:rFonts w:ascii="宋体" w:hAnsi="宋体" w:eastAsia="宋体" w:cs="宋体"/>
          <w:spacing w:val="7"/>
          <w:sz w:val="20"/>
          <w:szCs w:val="20"/>
        </w:rPr>
        <w:t>14</w:t>
      </w:r>
      <w:r>
        <w:rPr>
          <w:rFonts w:ascii="宋体" w:hAnsi="宋体" w:eastAsia="宋体" w:cs="宋体"/>
          <w:spacing w:val="-36"/>
          <w:sz w:val="20"/>
          <w:szCs w:val="20"/>
        </w:rPr>
        <w:t xml:space="preserve"> </w:t>
      </w:r>
      <w:r>
        <w:rPr>
          <w:rFonts w:ascii="宋体" w:hAnsi="宋体" w:eastAsia="宋体" w:cs="宋体"/>
          <w:spacing w:val="7"/>
          <w:sz w:val="20"/>
          <w:szCs w:val="20"/>
        </w:rPr>
        <w:t>天</w:t>
      </w:r>
      <w:r>
        <w:rPr>
          <w:rFonts w:ascii="宋体" w:hAnsi="宋体" w:eastAsia="宋体" w:cs="宋体"/>
          <w:spacing w:val="6"/>
          <w:sz w:val="20"/>
          <w:szCs w:val="20"/>
        </w:rPr>
        <w:t>内完成审批，并由监理</w:t>
      </w:r>
      <w:r>
        <w:rPr>
          <w:rFonts w:ascii="宋体" w:hAnsi="宋体" w:eastAsia="宋体" w:cs="宋体"/>
          <w:spacing w:val="10"/>
          <w:sz w:val="20"/>
          <w:szCs w:val="20"/>
        </w:rPr>
        <w:t>人向承包人签发经发包人签认的竣工付款证书。监理人或发包人对竣工结算申请单有异议的，有</w:t>
      </w:r>
      <w:r>
        <w:rPr>
          <w:rFonts w:ascii="宋体" w:hAnsi="宋体" w:eastAsia="宋体" w:cs="宋体"/>
          <w:spacing w:val="9"/>
          <w:sz w:val="20"/>
          <w:szCs w:val="20"/>
        </w:rPr>
        <w:t>权要求承包人进行修正和提供补充资料，承包人应提交修正后的竣工结算申请单。</w:t>
      </w:r>
    </w:p>
    <w:p w14:paraId="3E633F7B">
      <w:pPr>
        <w:spacing w:line="346" w:lineRule="auto"/>
        <w:rPr>
          <w:rFonts w:ascii="宋体" w:hAnsi="宋体" w:eastAsia="宋体" w:cs="宋体"/>
          <w:sz w:val="20"/>
          <w:szCs w:val="20"/>
        </w:rPr>
        <w:sectPr>
          <w:footerReference r:id="rId378" w:type="default"/>
          <w:pgSz w:w="11906" w:h="16839"/>
          <w:pgMar w:top="400" w:right="1530" w:bottom="1446" w:left="1537" w:header="0" w:footer="1284" w:gutter="0"/>
          <w:cols w:space="720" w:num="1"/>
        </w:sectPr>
      </w:pPr>
    </w:p>
    <w:p w14:paraId="7B154268">
      <w:pPr>
        <w:spacing w:line="246" w:lineRule="auto"/>
        <w:rPr>
          <w:rFonts w:ascii="Arial"/>
          <w:sz w:val="21"/>
        </w:rPr>
      </w:pPr>
    </w:p>
    <w:p w14:paraId="78BDD679">
      <w:pPr>
        <w:spacing w:line="246" w:lineRule="auto"/>
        <w:rPr>
          <w:rFonts w:ascii="Arial"/>
          <w:sz w:val="21"/>
        </w:rPr>
      </w:pPr>
    </w:p>
    <w:p w14:paraId="694568AE">
      <w:pPr>
        <w:spacing w:line="246" w:lineRule="auto"/>
        <w:rPr>
          <w:rFonts w:ascii="Arial"/>
          <w:sz w:val="21"/>
        </w:rPr>
      </w:pPr>
    </w:p>
    <w:p w14:paraId="706A2298">
      <w:pPr>
        <w:spacing w:line="246" w:lineRule="auto"/>
        <w:rPr>
          <w:rFonts w:ascii="Arial"/>
          <w:sz w:val="21"/>
        </w:rPr>
      </w:pPr>
    </w:p>
    <w:p w14:paraId="3C4DFF50">
      <w:pPr>
        <w:spacing w:line="246" w:lineRule="auto"/>
        <w:rPr>
          <w:rFonts w:ascii="Arial"/>
          <w:sz w:val="21"/>
        </w:rPr>
      </w:pPr>
    </w:p>
    <w:p w14:paraId="3269C314">
      <w:pPr>
        <w:spacing w:line="247" w:lineRule="auto"/>
        <w:rPr>
          <w:rFonts w:ascii="Arial"/>
          <w:sz w:val="21"/>
        </w:rPr>
      </w:pPr>
    </w:p>
    <w:p w14:paraId="2315A72F">
      <w:pPr>
        <w:spacing w:before="65" w:line="346" w:lineRule="auto"/>
        <w:ind w:left="2" w:right="54" w:firstLine="422"/>
        <w:jc w:val="both"/>
        <w:rPr>
          <w:rFonts w:ascii="宋体" w:hAnsi="宋体" w:eastAsia="宋体" w:cs="宋体"/>
          <w:sz w:val="20"/>
          <w:szCs w:val="20"/>
        </w:rPr>
      </w:pPr>
      <w:r>
        <w:rPr>
          <w:rFonts w:ascii="宋体" w:hAnsi="宋体" w:eastAsia="宋体" w:cs="宋体"/>
          <w:spacing w:val="7"/>
          <w:sz w:val="20"/>
          <w:szCs w:val="20"/>
        </w:rPr>
        <w:t>发包人在收到竣工结算申请书后</w:t>
      </w:r>
      <w:r>
        <w:rPr>
          <w:rFonts w:ascii="宋体" w:hAnsi="宋体" w:eastAsia="宋体" w:cs="宋体"/>
          <w:spacing w:val="-34"/>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天内未完成审批且未提出异议的，视为</w:t>
      </w:r>
      <w:r>
        <w:rPr>
          <w:rFonts w:ascii="宋体" w:hAnsi="宋体" w:eastAsia="宋体" w:cs="宋体"/>
          <w:spacing w:val="6"/>
          <w:sz w:val="20"/>
          <w:szCs w:val="20"/>
        </w:rPr>
        <w:t>发包人认可承包人</w:t>
      </w:r>
      <w:r>
        <w:rPr>
          <w:rFonts w:ascii="宋体" w:hAnsi="宋体" w:eastAsia="宋体" w:cs="宋体"/>
          <w:spacing w:val="7"/>
          <w:sz w:val="20"/>
          <w:szCs w:val="20"/>
        </w:rPr>
        <w:t>提交的竣工结算申请单，并自发包人收到承包人提交的竣工结算申请单后第</w:t>
      </w:r>
      <w:r>
        <w:rPr>
          <w:rFonts w:ascii="宋体" w:hAnsi="宋体" w:eastAsia="宋体" w:cs="宋体"/>
          <w:spacing w:val="-36"/>
          <w:sz w:val="20"/>
          <w:szCs w:val="20"/>
        </w:rPr>
        <w:t xml:space="preserve"> </w:t>
      </w:r>
      <w:r>
        <w:rPr>
          <w:rFonts w:ascii="宋体" w:hAnsi="宋体" w:eastAsia="宋体" w:cs="宋体"/>
          <w:spacing w:val="7"/>
          <w:sz w:val="20"/>
          <w:szCs w:val="20"/>
        </w:rPr>
        <w:t>29</w:t>
      </w:r>
      <w:r>
        <w:rPr>
          <w:rFonts w:ascii="宋体" w:hAnsi="宋体" w:eastAsia="宋体" w:cs="宋体"/>
          <w:spacing w:val="-34"/>
          <w:sz w:val="20"/>
          <w:szCs w:val="20"/>
        </w:rPr>
        <w:t xml:space="preserve"> </w:t>
      </w:r>
      <w:r>
        <w:rPr>
          <w:rFonts w:ascii="宋体" w:hAnsi="宋体" w:eastAsia="宋体" w:cs="宋体"/>
          <w:spacing w:val="7"/>
          <w:sz w:val="20"/>
          <w:szCs w:val="20"/>
        </w:rPr>
        <w:t>天起视为已签发竣</w:t>
      </w:r>
      <w:r>
        <w:rPr>
          <w:rFonts w:ascii="宋体" w:hAnsi="宋体" w:eastAsia="宋体" w:cs="宋体"/>
          <w:spacing w:val="6"/>
          <w:sz w:val="20"/>
          <w:szCs w:val="20"/>
        </w:rPr>
        <w:t>工付款证书。</w:t>
      </w:r>
    </w:p>
    <w:p w14:paraId="1FC6F45D">
      <w:pPr>
        <w:spacing w:line="227" w:lineRule="auto"/>
        <w:ind w:left="424"/>
        <w:rPr>
          <w:rFonts w:ascii="宋体" w:hAnsi="宋体" w:eastAsia="宋体" w:cs="宋体"/>
          <w:sz w:val="20"/>
          <w:szCs w:val="20"/>
        </w:rPr>
      </w:pPr>
      <w:r>
        <w:rPr>
          <w:rFonts w:ascii="宋体" w:hAnsi="宋体" w:eastAsia="宋体" w:cs="宋体"/>
          <w:spacing w:val="9"/>
          <w:sz w:val="20"/>
          <w:szCs w:val="20"/>
        </w:rPr>
        <w:t>各节点施工过程结算遗留的问题，应在竣工结算时一并解决。</w:t>
      </w:r>
    </w:p>
    <w:p w14:paraId="4BF96A1E">
      <w:pPr>
        <w:spacing w:before="126" w:line="346" w:lineRule="auto"/>
        <w:ind w:left="1" w:right="54" w:firstLine="430"/>
        <w:rPr>
          <w:rFonts w:ascii="宋体" w:hAnsi="宋体" w:eastAsia="宋体" w:cs="宋体"/>
          <w:sz w:val="20"/>
          <w:szCs w:val="20"/>
        </w:rPr>
      </w:pPr>
      <w:r>
        <w:rPr>
          <w:rFonts w:ascii="宋体" w:hAnsi="宋体" w:eastAsia="宋体" w:cs="宋体"/>
          <w:spacing w:val="8"/>
          <w:sz w:val="20"/>
          <w:szCs w:val="20"/>
        </w:rPr>
        <w:t>（2）除专用合同条款另有约定外，发包人应在签发竣工付款证书</w:t>
      </w:r>
      <w:r>
        <w:rPr>
          <w:rFonts w:ascii="宋体" w:hAnsi="宋体" w:eastAsia="宋体" w:cs="宋体"/>
          <w:spacing w:val="7"/>
          <w:sz w:val="20"/>
          <w:szCs w:val="20"/>
        </w:rPr>
        <w:t>后</w:t>
      </w:r>
      <w:r>
        <w:rPr>
          <w:rFonts w:ascii="宋体" w:hAnsi="宋体" w:eastAsia="宋体" w:cs="宋体"/>
          <w:spacing w:val="-21"/>
          <w:sz w:val="20"/>
          <w:szCs w:val="20"/>
        </w:rPr>
        <w:t xml:space="preserve"> </w:t>
      </w:r>
      <w:r>
        <w:rPr>
          <w:rFonts w:ascii="宋体" w:hAnsi="宋体" w:eastAsia="宋体" w:cs="宋体"/>
          <w:spacing w:val="7"/>
          <w:sz w:val="20"/>
          <w:szCs w:val="20"/>
        </w:rPr>
        <w:t>14 天内，完成对承包人</w:t>
      </w:r>
      <w:r>
        <w:rPr>
          <w:rFonts w:ascii="宋体" w:hAnsi="宋体" w:eastAsia="宋体" w:cs="宋体"/>
          <w:spacing w:val="10"/>
          <w:sz w:val="20"/>
          <w:szCs w:val="20"/>
        </w:rPr>
        <w:t>的竣工付款。发包人逾期支付的，按照全国银行间同业拆借中心公布的贷款市场报价利率支付逾</w:t>
      </w:r>
      <w:r>
        <w:rPr>
          <w:rFonts w:ascii="宋体" w:hAnsi="宋体" w:eastAsia="宋体" w:cs="宋体"/>
          <w:spacing w:val="7"/>
          <w:sz w:val="20"/>
          <w:szCs w:val="20"/>
        </w:rPr>
        <w:t>期付款利息；逾期支付超过</w:t>
      </w:r>
      <w:r>
        <w:rPr>
          <w:rFonts w:ascii="宋体" w:hAnsi="宋体" w:eastAsia="宋体" w:cs="宋体"/>
          <w:spacing w:val="-33"/>
          <w:sz w:val="20"/>
          <w:szCs w:val="20"/>
        </w:rPr>
        <w:t xml:space="preserve"> </w:t>
      </w:r>
      <w:r>
        <w:rPr>
          <w:rFonts w:ascii="宋体" w:hAnsi="宋体" w:eastAsia="宋体" w:cs="宋体"/>
          <w:spacing w:val="7"/>
          <w:sz w:val="20"/>
          <w:szCs w:val="20"/>
        </w:rPr>
        <w:t>56</w:t>
      </w:r>
      <w:r>
        <w:rPr>
          <w:rFonts w:ascii="宋体" w:hAnsi="宋体" w:eastAsia="宋体" w:cs="宋体"/>
          <w:spacing w:val="-36"/>
          <w:sz w:val="20"/>
          <w:szCs w:val="20"/>
        </w:rPr>
        <w:t xml:space="preserve"> </w:t>
      </w:r>
      <w:r>
        <w:rPr>
          <w:rFonts w:ascii="宋体" w:hAnsi="宋体" w:eastAsia="宋体" w:cs="宋体"/>
          <w:spacing w:val="7"/>
          <w:sz w:val="20"/>
          <w:szCs w:val="20"/>
        </w:rPr>
        <w:t>天的，按照全国银行间同业拆借中心公布的贷款市场报价利率的两</w:t>
      </w:r>
      <w:r>
        <w:rPr>
          <w:rFonts w:ascii="宋体" w:hAnsi="宋体" w:eastAsia="宋体" w:cs="宋体"/>
          <w:spacing w:val="8"/>
          <w:sz w:val="20"/>
          <w:szCs w:val="20"/>
        </w:rPr>
        <w:t>倍支付逾期付款利息。</w:t>
      </w:r>
    </w:p>
    <w:p w14:paraId="79B3A564">
      <w:pPr>
        <w:spacing w:before="2" w:line="345" w:lineRule="auto"/>
        <w:ind w:left="2" w:firstLine="429"/>
        <w:rPr>
          <w:rFonts w:ascii="宋体" w:hAnsi="宋体" w:eastAsia="宋体" w:cs="宋体"/>
          <w:sz w:val="20"/>
          <w:szCs w:val="20"/>
        </w:rPr>
      </w:pPr>
      <w:r>
        <w:rPr>
          <w:rFonts w:ascii="宋体" w:hAnsi="宋体" w:eastAsia="宋体" w:cs="宋体"/>
          <w:spacing w:val="7"/>
          <w:sz w:val="20"/>
          <w:szCs w:val="20"/>
        </w:rPr>
        <w:t>（3）承包人对发包人签认的竣工付款证书有异议的，对于有异议部分应在收到发包人签认的</w:t>
      </w:r>
      <w:r>
        <w:rPr>
          <w:rFonts w:ascii="宋体" w:hAnsi="宋体" w:eastAsia="宋体" w:cs="宋体"/>
          <w:spacing w:val="6"/>
          <w:sz w:val="20"/>
          <w:szCs w:val="20"/>
        </w:rPr>
        <w:t>竣工付款证书后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天内提出异议，并由合同当事人按照专用合同条款约定的方式和程序进</w:t>
      </w:r>
      <w:r>
        <w:rPr>
          <w:rFonts w:ascii="宋体" w:hAnsi="宋体" w:eastAsia="宋体" w:cs="宋体"/>
          <w:spacing w:val="5"/>
          <w:sz w:val="20"/>
          <w:szCs w:val="20"/>
        </w:rPr>
        <w:t>行复核，</w:t>
      </w:r>
      <w:r>
        <w:rPr>
          <w:rFonts w:ascii="宋体" w:hAnsi="宋体" w:eastAsia="宋体" w:cs="宋体"/>
          <w:spacing w:val="7"/>
          <w:sz w:val="20"/>
          <w:szCs w:val="20"/>
        </w:rPr>
        <w:t>或按照第</w:t>
      </w:r>
      <w:r>
        <w:rPr>
          <w:rFonts w:ascii="宋体" w:hAnsi="宋体" w:eastAsia="宋体" w:cs="宋体"/>
          <w:spacing w:val="-33"/>
          <w:sz w:val="20"/>
          <w:szCs w:val="20"/>
        </w:rPr>
        <w:t xml:space="preserve"> </w:t>
      </w:r>
      <w:r>
        <w:rPr>
          <w:rFonts w:ascii="宋体" w:hAnsi="宋体" w:eastAsia="宋体" w:cs="宋体"/>
          <w:spacing w:val="7"/>
          <w:sz w:val="20"/>
          <w:szCs w:val="20"/>
        </w:rPr>
        <w:t>20</w:t>
      </w:r>
      <w:r>
        <w:rPr>
          <w:rFonts w:ascii="宋体" w:hAnsi="宋体" w:eastAsia="宋体" w:cs="宋体"/>
          <w:spacing w:val="-39"/>
          <w:sz w:val="20"/>
          <w:szCs w:val="20"/>
        </w:rPr>
        <w:t xml:space="preserve"> </w:t>
      </w:r>
      <w:r>
        <w:rPr>
          <w:rFonts w:ascii="宋体" w:hAnsi="宋体" w:eastAsia="宋体" w:cs="宋体"/>
          <w:spacing w:val="7"/>
          <w:sz w:val="20"/>
          <w:szCs w:val="20"/>
        </w:rPr>
        <w:t>条〔争议解决〕约定处理。对于无异议部分，发包人应签发临时竣工付款证书，并按</w:t>
      </w:r>
      <w:r>
        <w:rPr>
          <w:rFonts w:ascii="宋体" w:hAnsi="宋体" w:eastAsia="宋体" w:cs="宋体"/>
          <w:spacing w:val="9"/>
          <w:sz w:val="20"/>
          <w:szCs w:val="20"/>
        </w:rPr>
        <w:t>本款第（2）项完成付款。承包人逾期未提出异议的，视为认可发包人的审批结果。</w:t>
      </w:r>
    </w:p>
    <w:p w14:paraId="1CEE0865">
      <w:pPr>
        <w:spacing w:line="227" w:lineRule="auto"/>
        <w:ind w:left="437"/>
        <w:rPr>
          <w:rFonts w:ascii="宋体" w:hAnsi="宋体" w:eastAsia="宋体" w:cs="宋体"/>
          <w:sz w:val="20"/>
          <w:szCs w:val="20"/>
        </w:rPr>
      </w:pPr>
      <w:r>
        <w:rPr>
          <w:rFonts w:ascii="宋体" w:hAnsi="宋体" w:eastAsia="宋体" w:cs="宋体"/>
          <w:b/>
          <w:bCs/>
          <w:spacing w:val="4"/>
          <w:sz w:val="20"/>
          <w:szCs w:val="20"/>
        </w:rPr>
        <w:t>14.3</w:t>
      </w:r>
      <w:r>
        <w:rPr>
          <w:rFonts w:ascii="宋体" w:hAnsi="宋体" w:eastAsia="宋体" w:cs="宋体"/>
          <w:spacing w:val="4"/>
          <w:sz w:val="20"/>
          <w:szCs w:val="20"/>
        </w:rPr>
        <w:t xml:space="preserve"> </w:t>
      </w:r>
      <w:r>
        <w:rPr>
          <w:rFonts w:ascii="宋体" w:hAnsi="宋体" w:eastAsia="宋体" w:cs="宋体"/>
          <w:b/>
          <w:bCs/>
          <w:spacing w:val="4"/>
          <w:sz w:val="20"/>
          <w:szCs w:val="20"/>
        </w:rPr>
        <w:t>甩项竣工协议</w:t>
      </w:r>
    </w:p>
    <w:p w14:paraId="3F2B2AB3">
      <w:pPr>
        <w:spacing w:before="128" w:line="346" w:lineRule="auto"/>
        <w:ind w:right="54" w:firstLine="424"/>
        <w:jc w:val="both"/>
        <w:rPr>
          <w:rFonts w:ascii="宋体" w:hAnsi="宋体" w:eastAsia="宋体" w:cs="宋体"/>
          <w:sz w:val="20"/>
          <w:szCs w:val="20"/>
        </w:rPr>
      </w:pPr>
      <w:r>
        <w:rPr>
          <w:rFonts w:ascii="宋体" w:hAnsi="宋体" w:eastAsia="宋体" w:cs="宋体"/>
          <w:spacing w:val="10"/>
          <w:sz w:val="20"/>
          <w:szCs w:val="20"/>
        </w:rPr>
        <w:t>发包人要求甩项竣工的，合同当事人应签订甩项竣工协议。在甩项竣工协议中应明确，合同</w:t>
      </w:r>
      <w:r>
        <w:rPr>
          <w:rFonts w:ascii="宋体" w:hAnsi="宋体" w:eastAsia="宋体" w:cs="宋体"/>
          <w:spacing w:val="8"/>
          <w:sz w:val="20"/>
          <w:szCs w:val="20"/>
        </w:rPr>
        <w:t>当事人按照第</w:t>
      </w:r>
      <w:r>
        <w:rPr>
          <w:rFonts w:ascii="宋体" w:hAnsi="宋体" w:eastAsia="宋体" w:cs="宋体"/>
          <w:spacing w:val="-23"/>
          <w:sz w:val="20"/>
          <w:szCs w:val="20"/>
        </w:rPr>
        <w:t xml:space="preserve"> </w:t>
      </w:r>
      <w:r>
        <w:rPr>
          <w:rFonts w:ascii="宋体" w:hAnsi="宋体" w:eastAsia="宋体" w:cs="宋体"/>
          <w:spacing w:val="8"/>
          <w:sz w:val="20"/>
          <w:szCs w:val="20"/>
        </w:rPr>
        <w:t>14.2.1</w:t>
      </w:r>
      <w:r>
        <w:rPr>
          <w:rFonts w:ascii="宋体" w:hAnsi="宋体" w:eastAsia="宋体" w:cs="宋体"/>
          <w:spacing w:val="-37"/>
          <w:sz w:val="20"/>
          <w:szCs w:val="20"/>
        </w:rPr>
        <w:t xml:space="preserve"> </w:t>
      </w:r>
      <w:r>
        <w:rPr>
          <w:rFonts w:ascii="宋体" w:hAnsi="宋体" w:eastAsia="宋体" w:cs="宋体"/>
          <w:spacing w:val="8"/>
          <w:sz w:val="20"/>
          <w:szCs w:val="20"/>
        </w:rPr>
        <w:t>款〔竣工结算申请〕及</w:t>
      </w:r>
      <w:r>
        <w:rPr>
          <w:rFonts w:ascii="宋体" w:hAnsi="宋体" w:eastAsia="宋体" w:cs="宋体"/>
          <w:spacing w:val="-24"/>
          <w:sz w:val="20"/>
          <w:szCs w:val="20"/>
        </w:rPr>
        <w:t xml:space="preserve"> </w:t>
      </w:r>
      <w:r>
        <w:rPr>
          <w:rFonts w:ascii="宋体" w:hAnsi="宋体" w:eastAsia="宋体" w:cs="宋体"/>
          <w:spacing w:val="8"/>
          <w:sz w:val="20"/>
          <w:szCs w:val="20"/>
        </w:rPr>
        <w:t>14.</w:t>
      </w:r>
      <w:r>
        <w:rPr>
          <w:rFonts w:ascii="宋体" w:hAnsi="宋体" w:eastAsia="宋体" w:cs="宋体"/>
          <w:spacing w:val="7"/>
          <w:sz w:val="20"/>
          <w:szCs w:val="20"/>
        </w:rPr>
        <w:t>2.2</w:t>
      </w:r>
      <w:r>
        <w:rPr>
          <w:rFonts w:ascii="宋体" w:hAnsi="宋体" w:eastAsia="宋体" w:cs="宋体"/>
          <w:spacing w:val="-37"/>
          <w:sz w:val="20"/>
          <w:szCs w:val="20"/>
        </w:rPr>
        <w:t xml:space="preserve"> </w:t>
      </w:r>
      <w:r>
        <w:rPr>
          <w:rFonts w:ascii="宋体" w:hAnsi="宋体" w:eastAsia="宋体" w:cs="宋体"/>
          <w:spacing w:val="7"/>
          <w:sz w:val="20"/>
          <w:szCs w:val="20"/>
        </w:rPr>
        <w:t>款〔竣工结算审核〕的约定，对已完合格工</w:t>
      </w:r>
      <w:r>
        <w:rPr>
          <w:rFonts w:ascii="宋体" w:hAnsi="宋体" w:eastAsia="宋体" w:cs="宋体"/>
          <w:spacing w:val="8"/>
          <w:sz w:val="20"/>
          <w:szCs w:val="20"/>
        </w:rPr>
        <w:t>程进行结算，并支付相应合同价款。</w:t>
      </w:r>
    </w:p>
    <w:p w14:paraId="72E998DD">
      <w:pPr>
        <w:spacing w:line="305" w:lineRule="auto"/>
        <w:rPr>
          <w:rFonts w:ascii="Arial"/>
          <w:sz w:val="21"/>
        </w:rPr>
      </w:pPr>
    </w:p>
    <w:p w14:paraId="32578062">
      <w:pPr>
        <w:spacing w:before="65" w:line="228" w:lineRule="auto"/>
        <w:ind w:left="437"/>
        <w:rPr>
          <w:rFonts w:ascii="宋体" w:hAnsi="宋体" w:eastAsia="宋体" w:cs="宋体"/>
          <w:sz w:val="20"/>
          <w:szCs w:val="20"/>
        </w:rPr>
      </w:pPr>
      <w:r>
        <w:rPr>
          <w:rFonts w:ascii="宋体" w:hAnsi="宋体" w:eastAsia="宋体" w:cs="宋体"/>
          <w:b/>
          <w:bCs/>
          <w:spacing w:val="1"/>
          <w:sz w:val="20"/>
          <w:szCs w:val="20"/>
        </w:rPr>
        <w:t>14.4</w:t>
      </w:r>
      <w:r>
        <w:rPr>
          <w:rFonts w:ascii="宋体" w:hAnsi="宋体" w:eastAsia="宋体" w:cs="宋体"/>
          <w:spacing w:val="21"/>
          <w:sz w:val="20"/>
          <w:szCs w:val="20"/>
        </w:rPr>
        <w:t xml:space="preserve"> </w:t>
      </w:r>
      <w:r>
        <w:rPr>
          <w:rFonts w:ascii="宋体" w:hAnsi="宋体" w:eastAsia="宋体" w:cs="宋体"/>
          <w:b/>
          <w:bCs/>
          <w:spacing w:val="1"/>
          <w:sz w:val="20"/>
          <w:szCs w:val="20"/>
        </w:rPr>
        <w:t>最终结清</w:t>
      </w:r>
    </w:p>
    <w:p w14:paraId="548CD921">
      <w:pPr>
        <w:spacing w:before="128" w:line="228" w:lineRule="auto"/>
        <w:ind w:left="437"/>
        <w:rPr>
          <w:rFonts w:ascii="宋体" w:hAnsi="宋体" w:eastAsia="宋体" w:cs="宋体"/>
          <w:sz w:val="20"/>
          <w:szCs w:val="20"/>
        </w:rPr>
      </w:pPr>
      <w:r>
        <w:rPr>
          <w:rFonts w:ascii="宋体" w:hAnsi="宋体" w:eastAsia="宋体" w:cs="宋体"/>
          <w:b/>
          <w:bCs/>
          <w:spacing w:val="4"/>
          <w:sz w:val="20"/>
          <w:szCs w:val="20"/>
        </w:rPr>
        <w:t>14.4.1</w:t>
      </w:r>
      <w:r>
        <w:rPr>
          <w:rFonts w:ascii="宋体" w:hAnsi="宋体" w:eastAsia="宋体" w:cs="宋体"/>
          <w:spacing w:val="4"/>
          <w:sz w:val="20"/>
          <w:szCs w:val="20"/>
        </w:rPr>
        <w:t xml:space="preserve"> </w:t>
      </w:r>
      <w:r>
        <w:rPr>
          <w:rFonts w:ascii="宋体" w:hAnsi="宋体" w:eastAsia="宋体" w:cs="宋体"/>
          <w:b/>
          <w:bCs/>
          <w:spacing w:val="4"/>
          <w:sz w:val="20"/>
          <w:szCs w:val="20"/>
        </w:rPr>
        <w:t>最终结清申请单</w:t>
      </w:r>
    </w:p>
    <w:p w14:paraId="63276843">
      <w:pPr>
        <w:spacing w:before="127" w:line="346" w:lineRule="auto"/>
        <w:ind w:left="22" w:right="54" w:firstLine="409"/>
        <w:rPr>
          <w:rFonts w:ascii="宋体" w:hAnsi="宋体" w:eastAsia="宋体" w:cs="宋体"/>
          <w:sz w:val="20"/>
          <w:szCs w:val="20"/>
        </w:rPr>
      </w:pPr>
      <w:r>
        <w:rPr>
          <w:rFonts w:ascii="宋体" w:hAnsi="宋体" w:eastAsia="宋体" w:cs="宋体"/>
          <w:spacing w:val="7"/>
          <w:sz w:val="20"/>
          <w:szCs w:val="20"/>
        </w:rPr>
        <w:t>（1）除专用合同条款另有约定外，承包人应在缺陷责</w:t>
      </w:r>
      <w:r>
        <w:rPr>
          <w:rFonts w:ascii="宋体" w:hAnsi="宋体" w:eastAsia="宋体" w:cs="宋体"/>
          <w:spacing w:val="6"/>
          <w:sz w:val="20"/>
          <w:szCs w:val="20"/>
        </w:rPr>
        <w:t>任期终止证书颁发后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天内，按专用合</w:t>
      </w:r>
      <w:r>
        <w:rPr>
          <w:rFonts w:ascii="宋体" w:hAnsi="宋体" w:eastAsia="宋体" w:cs="宋体"/>
          <w:spacing w:val="9"/>
          <w:sz w:val="20"/>
          <w:szCs w:val="20"/>
        </w:rPr>
        <w:t>同条款约定的份数向发包人提交最终结清申请单，并</w:t>
      </w:r>
      <w:r>
        <w:rPr>
          <w:rFonts w:ascii="宋体" w:hAnsi="宋体" w:eastAsia="宋体" w:cs="宋体"/>
          <w:spacing w:val="8"/>
          <w:sz w:val="20"/>
          <w:szCs w:val="20"/>
        </w:rPr>
        <w:t>提供相关证明材料。</w:t>
      </w:r>
    </w:p>
    <w:p w14:paraId="7D3DDC9C">
      <w:pPr>
        <w:spacing w:before="1" w:line="345" w:lineRule="auto"/>
        <w:ind w:left="14" w:right="54" w:firstLine="419"/>
        <w:rPr>
          <w:rFonts w:ascii="宋体" w:hAnsi="宋体" w:eastAsia="宋体" w:cs="宋体"/>
          <w:sz w:val="20"/>
          <w:szCs w:val="20"/>
        </w:rPr>
      </w:pPr>
      <w:r>
        <w:rPr>
          <w:rFonts w:ascii="宋体" w:hAnsi="宋体" w:eastAsia="宋体" w:cs="宋体"/>
          <w:spacing w:val="10"/>
          <w:sz w:val="20"/>
          <w:szCs w:val="20"/>
        </w:rPr>
        <w:t>除专用合同条款另有约定外，最终结清申请单应列明质量保证金、应扣除的质量保证金、缺</w:t>
      </w:r>
      <w:r>
        <w:rPr>
          <w:rFonts w:ascii="宋体" w:hAnsi="宋体" w:eastAsia="宋体" w:cs="宋体"/>
          <w:spacing w:val="7"/>
          <w:sz w:val="20"/>
          <w:szCs w:val="20"/>
        </w:rPr>
        <w:t>陷责任期内发生的增减费用。</w:t>
      </w:r>
    </w:p>
    <w:p w14:paraId="74FDDD9F">
      <w:pPr>
        <w:spacing w:before="1" w:line="345" w:lineRule="auto"/>
        <w:ind w:left="1" w:right="54" w:firstLine="430"/>
        <w:rPr>
          <w:rFonts w:ascii="宋体" w:hAnsi="宋体" w:eastAsia="宋体" w:cs="宋体"/>
          <w:sz w:val="20"/>
          <w:szCs w:val="20"/>
        </w:rPr>
      </w:pPr>
      <w:r>
        <w:rPr>
          <w:rFonts w:ascii="宋体" w:hAnsi="宋体" w:eastAsia="宋体" w:cs="宋体"/>
          <w:spacing w:val="7"/>
          <w:sz w:val="20"/>
          <w:szCs w:val="20"/>
        </w:rPr>
        <w:t>（2）发包人对最终结清申请单内容有异议的，有权要求承包人进行修正和提供补充资料，承</w:t>
      </w:r>
      <w:r>
        <w:rPr>
          <w:rFonts w:ascii="宋体" w:hAnsi="宋体" w:eastAsia="宋体" w:cs="宋体"/>
          <w:spacing w:val="9"/>
          <w:sz w:val="20"/>
          <w:szCs w:val="20"/>
        </w:rPr>
        <w:t>包人应向发包人提交修正后的最终结清申请单。</w:t>
      </w:r>
    </w:p>
    <w:p w14:paraId="4BF07A12">
      <w:pPr>
        <w:spacing w:before="1" w:line="226" w:lineRule="auto"/>
        <w:ind w:left="437"/>
        <w:rPr>
          <w:rFonts w:ascii="宋体" w:hAnsi="宋体" w:eastAsia="宋体" w:cs="宋体"/>
          <w:sz w:val="20"/>
          <w:szCs w:val="20"/>
        </w:rPr>
      </w:pPr>
      <w:r>
        <w:rPr>
          <w:rFonts w:ascii="宋体" w:hAnsi="宋体" w:eastAsia="宋体" w:cs="宋体"/>
          <w:b/>
          <w:bCs/>
          <w:spacing w:val="5"/>
          <w:sz w:val="20"/>
          <w:szCs w:val="20"/>
        </w:rPr>
        <w:t>14.4.2</w:t>
      </w:r>
      <w:r>
        <w:rPr>
          <w:rFonts w:ascii="宋体" w:hAnsi="宋体" w:eastAsia="宋体" w:cs="宋体"/>
          <w:spacing w:val="5"/>
          <w:sz w:val="20"/>
          <w:szCs w:val="20"/>
        </w:rPr>
        <w:t xml:space="preserve"> </w:t>
      </w:r>
      <w:r>
        <w:rPr>
          <w:rFonts w:ascii="宋体" w:hAnsi="宋体" w:eastAsia="宋体" w:cs="宋体"/>
          <w:b/>
          <w:bCs/>
          <w:spacing w:val="5"/>
          <w:sz w:val="20"/>
          <w:szCs w:val="20"/>
        </w:rPr>
        <w:t>最终结清证书和支付</w:t>
      </w:r>
    </w:p>
    <w:p w14:paraId="4C839BAE">
      <w:pPr>
        <w:spacing w:before="127" w:line="346" w:lineRule="auto"/>
        <w:ind w:right="54" w:firstLine="430"/>
        <w:rPr>
          <w:rFonts w:ascii="宋体" w:hAnsi="宋体" w:eastAsia="宋体" w:cs="宋体"/>
          <w:sz w:val="20"/>
          <w:szCs w:val="20"/>
        </w:rPr>
      </w:pPr>
      <w:r>
        <w:rPr>
          <w:rFonts w:ascii="宋体" w:hAnsi="宋体" w:eastAsia="宋体" w:cs="宋体"/>
          <w:spacing w:val="9"/>
          <w:sz w:val="20"/>
          <w:szCs w:val="20"/>
        </w:rPr>
        <w:t>（1）除专用合同条款另有约定外，发包人应在收到承包人提交的最终结清申</w:t>
      </w:r>
      <w:r>
        <w:rPr>
          <w:rFonts w:ascii="宋体" w:hAnsi="宋体" w:eastAsia="宋体" w:cs="宋体"/>
          <w:spacing w:val="8"/>
          <w:sz w:val="20"/>
          <w:szCs w:val="20"/>
        </w:rPr>
        <w:t>请单后</w:t>
      </w:r>
      <w:r>
        <w:rPr>
          <w:rFonts w:ascii="宋体" w:hAnsi="宋体" w:eastAsia="宋体" w:cs="宋体"/>
          <w:spacing w:val="-24"/>
          <w:sz w:val="20"/>
          <w:szCs w:val="20"/>
        </w:rPr>
        <w:t xml:space="preserve"> </w:t>
      </w:r>
      <w:r>
        <w:rPr>
          <w:rFonts w:ascii="宋体" w:hAnsi="宋体" w:eastAsia="宋体" w:cs="宋体"/>
          <w:spacing w:val="8"/>
          <w:sz w:val="20"/>
          <w:szCs w:val="20"/>
        </w:rPr>
        <w:t>14</w:t>
      </w:r>
      <w:r>
        <w:rPr>
          <w:rFonts w:ascii="宋体" w:hAnsi="宋体" w:eastAsia="宋体" w:cs="宋体"/>
          <w:spacing w:val="-36"/>
          <w:sz w:val="20"/>
          <w:szCs w:val="20"/>
        </w:rPr>
        <w:t xml:space="preserve"> </w:t>
      </w:r>
      <w:r>
        <w:rPr>
          <w:rFonts w:ascii="宋体" w:hAnsi="宋体" w:eastAsia="宋体" w:cs="宋体"/>
          <w:spacing w:val="8"/>
          <w:sz w:val="20"/>
          <w:szCs w:val="20"/>
        </w:rPr>
        <w:t>天内</w:t>
      </w:r>
      <w:r>
        <w:rPr>
          <w:rFonts w:ascii="宋体" w:hAnsi="宋体" w:eastAsia="宋体" w:cs="宋体"/>
          <w:spacing w:val="10"/>
          <w:sz w:val="20"/>
          <w:szCs w:val="20"/>
        </w:rPr>
        <w:t>完成审批并向承包人颁发最终结清证书。发包人逾期未完成审批，又未提出修改意见的，视为发</w:t>
      </w:r>
      <w:r>
        <w:rPr>
          <w:rFonts w:ascii="宋体" w:hAnsi="宋体" w:eastAsia="宋体" w:cs="宋体"/>
          <w:spacing w:val="7"/>
          <w:sz w:val="20"/>
          <w:szCs w:val="20"/>
        </w:rPr>
        <w:t>包人同意承包人提交的最终结清申请单，且自发包人收到承包人提交的最</w:t>
      </w:r>
      <w:r>
        <w:rPr>
          <w:rFonts w:ascii="宋体" w:hAnsi="宋体" w:eastAsia="宋体" w:cs="宋体"/>
          <w:spacing w:val="6"/>
          <w:sz w:val="20"/>
          <w:szCs w:val="20"/>
        </w:rPr>
        <w:t>终结清申请单后</w:t>
      </w:r>
      <w:r>
        <w:rPr>
          <w:rFonts w:ascii="宋体" w:hAnsi="宋体" w:eastAsia="宋体" w:cs="宋体"/>
          <w:spacing w:val="-23"/>
          <w:sz w:val="20"/>
          <w:szCs w:val="20"/>
        </w:rPr>
        <w:t xml:space="preserve"> </w:t>
      </w:r>
      <w:r>
        <w:rPr>
          <w:rFonts w:ascii="宋体" w:hAnsi="宋体" w:eastAsia="宋体" w:cs="宋体"/>
          <w:spacing w:val="6"/>
          <w:sz w:val="20"/>
          <w:szCs w:val="20"/>
        </w:rPr>
        <w:t>15</w:t>
      </w:r>
      <w:r>
        <w:rPr>
          <w:rFonts w:ascii="宋体" w:hAnsi="宋体" w:eastAsia="宋体" w:cs="宋体"/>
          <w:spacing w:val="-34"/>
          <w:sz w:val="20"/>
          <w:szCs w:val="20"/>
        </w:rPr>
        <w:t xml:space="preserve"> </w:t>
      </w:r>
      <w:r>
        <w:rPr>
          <w:rFonts w:ascii="宋体" w:hAnsi="宋体" w:eastAsia="宋体" w:cs="宋体"/>
          <w:spacing w:val="6"/>
          <w:sz w:val="20"/>
          <w:szCs w:val="20"/>
        </w:rPr>
        <w:t>天起</w:t>
      </w:r>
      <w:r>
        <w:rPr>
          <w:rFonts w:ascii="宋体" w:hAnsi="宋体" w:eastAsia="宋体" w:cs="宋体"/>
          <w:spacing w:val="8"/>
          <w:sz w:val="20"/>
          <w:szCs w:val="20"/>
        </w:rPr>
        <w:t>视为已颁发最终结清证书。</w:t>
      </w:r>
    </w:p>
    <w:p w14:paraId="588B5F40">
      <w:pPr>
        <w:spacing w:before="1" w:line="346" w:lineRule="auto"/>
        <w:ind w:right="54" w:firstLine="431"/>
        <w:rPr>
          <w:rFonts w:ascii="宋体" w:hAnsi="宋体" w:eastAsia="宋体" w:cs="宋体"/>
          <w:sz w:val="20"/>
          <w:szCs w:val="20"/>
        </w:rPr>
      </w:pPr>
      <w:r>
        <w:rPr>
          <w:rFonts w:ascii="宋体" w:hAnsi="宋体" w:eastAsia="宋体" w:cs="宋体"/>
          <w:spacing w:val="7"/>
          <w:sz w:val="20"/>
          <w:szCs w:val="20"/>
        </w:rPr>
        <w:t>（2）除专用合同条款另有约定外，发包人应在颁发最</w:t>
      </w:r>
      <w:r>
        <w:rPr>
          <w:rFonts w:ascii="宋体" w:hAnsi="宋体" w:eastAsia="宋体" w:cs="宋体"/>
          <w:spacing w:val="6"/>
          <w:sz w:val="20"/>
          <w:szCs w:val="20"/>
        </w:rPr>
        <w:t>终结清证书后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天内完成支付。发包人</w:t>
      </w:r>
      <w:r>
        <w:rPr>
          <w:rFonts w:ascii="宋体" w:hAnsi="宋体" w:eastAsia="宋体" w:cs="宋体"/>
          <w:spacing w:val="10"/>
          <w:sz w:val="20"/>
          <w:szCs w:val="20"/>
        </w:rPr>
        <w:t>逾期支付的，按照全国银行间同业拆借中心公布的贷款市场报价利率支付逾期付款利息；逾期支</w:t>
      </w:r>
      <w:r>
        <w:rPr>
          <w:rFonts w:ascii="宋体" w:hAnsi="宋体" w:eastAsia="宋体" w:cs="宋体"/>
          <w:spacing w:val="12"/>
          <w:sz w:val="20"/>
          <w:szCs w:val="20"/>
        </w:rPr>
        <w:t>付超过</w:t>
      </w:r>
      <w:r>
        <w:rPr>
          <w:rFonts w:ascii="宋体" w:hAnsi="宋体" w:eastAsia="宋体" w:cs="宋体"/>
          <w:spacing w:val="-33"/>
          <w:sz w:val="20"/>
          <w:szCs w:val="20"/>
        </w:rPr>
        <w:t xml:space="preserve"> </w:t>
      </w:r>
      <w:r>
        <w:rPr>
          <w:rFonts w:ascii="宋体" w:hAnsi="宋体" w:eastAsia="宋体" w:cs="宋体"/>
          <w:spacing w:val="12"/>
          <w:sz w:val="20"/>
          <w:szCs w:val="20"/>
        </w:rPr>
        <w:t>56</w:t>
      </w:r>
      <w:r>
        <w:rPr>
          <w:rFonts w:ascii="宋体" w:hAnsi="宋体" w:eastAsia="宋体" w:cs="宋体"/>
          <w:spacing w:val="-31"/>
          <w:sz w:val="20"/>
          <w:szCs w:val="20"/>
        </w:rPr>
        <w:t xml:space="preserve"> </w:t>
      </w:r>
      <w:r>
        <w:rPr>
          <w:rFonts w:ascii="宋体" w:hAnsi="宋体" w:eastAsia="宋体" w:cs="宋体"/>
          <w:spacing w:val="12"/>
          <w:sz w:val="20"/>
          <w:szCs w:val="20"/>
        </w:rPr>
        <w:t>天的，逾期付款利息按照全国银行间同业拆借中心公布的贷款市场报价</w:t>
      </w:r>
      <w:r>
        <w:rPr>
          <w:rFonts w:ascii="宋体" w:hAnsi="宋体" w:eastAsia="宋体" w:cs="宋体"/>
          <w:spacing w:val="11"/>
          <w:sz w:val="20"/>
          <w:szCs w:val="20"/>
        </w:rPr>
        <w:t>利率的两倍支</w:t>
      </w:r>
      <w:r>
        <w:rPr>
          <w:rFonts w:ascii="宋体" w:hAnsi="宋体" w:eastAsia="宋体" w:cs="宋体"/>
          <w:spacing w:val="1"/>
          <w:sz w:val="20"/>
          <w:szCs w:val="20"/>
        </w:rPr>
        <w:t>付。</w:t>
      </w:r>
    </w:p>
    <w:p w14:paraId="73FC7CBA">
      <w:pPr>
        <w:spacing w:line="346" w:lineRule="auto"/>
        <w:rPr>
          <w:rFonts w:ascii="宋体" w:hAnsi="宋体" w:eastAsia="宋体" w:cs="宋体"/>
          <w:sz w:val="20"/>
          <w:szCs w:val="20"/>
        </w:rPr>
        <w:sectPr>
          <w:footerReference r:id="rId379" w:type="default"/>
          <w:pgSz w:w="11906" w:h="16839"/>
          <w:pgMar w:top="400" w:right="1478" w:bottom="1446" w:left="1537" w:header="0" w:footer="1284" w:gutter="0"/>
          <w:cols w:space="720" w:num="1"/>
        </w:sectPr>
      </w:pPr>
    </w:p>
    <w:p w14:paraId="30FB8B0D">
      <w:pPr>
        <w:spacing w:line="246" w:lineRule="auto"/>
        <w:rPr>
          <w:rFonts w:ascii="Arial"/>
          <w:sz w:val="21"/>
        </w:rPr>
      </w:pPr>
    </w:p>
    <w:p w14:paraId="5C8D3826">
      <w:pPr>
        <w:spacing w:line="246" w:lineRule="auto"/>
        <w:rPr>
          <w:rFonts w:ascii="Arial"/>
          <w:sz w:val="21"/>
        </w:rPr>
      </w:pPr>
    </w:p>
    <w:p w14:paraId="2AEA7244">
      <w:pPr>
        <w:spacing w:line="246" w:lineRule="auto"/>
        <w:rPr>
          <w:rFonts w:ascii="Arial"/>
          <w:sz w:val="21"/>
        </w:rPr>
      </w:pPr>
    </w:p>
    <w:p w14:paraId="1EEB2663">
      <w:pPr>
        <w:spacing w:line="246" w:lineRule="auto"/>
        <w:rPr>
          <w:rFonts w:ascii="Arial"/>
          <w:sz w:val="21"/>
        </w:rPr>
      </w:pPr>
    </w:p>
    <w:p w14:paraId="3593FDBA">
      <w:pPr>
        <w:spacing w:line="247" w:lineRule="auto"/>
        <w:rPr>
          <w:rFonts w:ascii="Arial"/>
          <w:sz w:val="21"/>
        </w:rPr>
      </w:pPr>
    </w:p>
    <w:p w14:paraId="3E44B2F0">
      <w:pPr>
        <w:spacing w:line="247" w:lineRule="auto"/>
        <w:rPr>
          <w:rFonts w:ascii="Arial"/>
          <w:sz w:val="21"/>
        </w:rPr>
      </w:pPr>
    </w:p>
    <w:p w14:paraId="16D5CC82">
      <w:pPr>
        <w:spacing w:before="65" w:line="227" w:lineRule="auto"/>
        <w:ind w:left="430"/>
        <w:rPr>
          <w:rFonts w:ascii="宋体" w:hAnsi="宋体" w:eastAsia="宋体" w:cs="宋体"/>
          <w:sz w:val="20"/>
          <w:szCs w:val="20"/>
        </w:rPr>
      </w:pPr>
      <w:r>
        <w:rPr>
          <w:rFonts w:ascii="宋体" w:hAnsi="宋体" w:eastAsia="宋体" w:cs="宋体"/>
          <w:spacing w:val="8"/>
          <w:sz w:val="20"/>
          <w:szCs w:val="20"/>
        </w:rPr>
        <w:t>（3）承包人对发包人颁发的最终结清证书有异议的，按第</w:t>
      </w:r>
      <w:r>
        <w:rPr>
          <w:rFonts w:ascii="宋体" w:hAnsi="宋体" w:eastAsia="宋体" w:cs="宋体"/>
          <w:spacing w:val="-23"/>
          <w:sz w:val="20"/>
          <w:szCs w:val="20"/>
        </w:rPr>
        <w:t xml:space="preserve"> </w:t>
      </w:r>
      <w:r>
        <w:rPr>
          <w:rFonts w:ascii="宋体" w:hAnsi="宋体" w:eastAsia="宋体" w:cs="宋体"/>
          <w:spacing w:val="8"/>
          <w:sz w:val="20"/>
          <w:szCs w:val="20"/>
        </w:rPr>
        <w:t>20</w:t>
      </w:r>
      <w:r>
        <w:rPr>
          <w:rFonts w:ascii="宋体" w:hAnsi="宋体" w:eastAsia="宋体" w:cs="宋体"/>
          <w:spacing w:val="-38"/>
          <w:sz w:val="20"/>
          <w:szCs w:val="20"/>
        </w:rPr>
        <w:t xml:space="preserve"> </w:t>
      </w:r>
      <w:r>
        <w:rPr>
          <w:rFonts w:ascii="宋体" w:hAnsi="宋体" w:eastAsia="宋体" w:cs="宋体"/>
          <w:spacing w:val="8"/>
          <w:sz w:val="20"/>
          <w:szCs w:val="20"/>
        </w:rPr>
        <w:t>条〔争议解决〕的约定办理。</w:t>
      </w:r>
    </w:p>
    <w:p w14:paraId="4CD29B13">
      <w:pPr>
        <w:spacing w:before="128" w:line="228" w:lineRule="auto"/>
        <w:ind w:left="436"/>
        <w:outlineLvl w:val="2"/>
        <w:rPr>
          <w:rFonts w:ascii="宋体" w:hAnsi="宋体" w:eastAsia="宋体" w:cs="宋体"/>
          <w:sz w:val="20"/>
          <w:szCs w:val="20"/>
        </w:rPr>
      </w:pPr>
      <w:bookmarkStart w:id="320" w:name="bookmark303"/>
      <w:bookmarkEnd w:id="320"/>
      <w:r>
        <w:rPr>
          <w:rFonts w:ascii="宋体" w:hAnsi="宋体" w:eastAsia="宋体" w:cs="宋体"/>
          <w:b/>
          <w:bCs/>
          <w:spacing w:val="4"/>
          <w:sz w:val="20"/>
          <w:szCs w:val="20"/>
        </w:rPr>
        <w:t>15.</w:t>
      </w:r>
      <w:r>
        <w:rPr>
          <w:rFonts w:ascii="宋体" w:hAnsi="宋体" w:eastAsia="宋体" w:cs="宋体"/>
          <w:spacing w:val="4"/>
          <w:sz w:val="20"/>
          <w:szCs w:val="20"/>
        </w:rPr>
        <w:t xml:space="preserve"> </w:t>
      </w:r>
      <w:r>
        <w:rPr>
          <w:rFonts w:ascii="宋体" w:hAnsi="宋体" w:eastAsia="宋体" w:cs="宋体"/>
          <w:b/>
          <w:bCs/>
          <w:spacing w:val="4"/>
          <w:sz w:val="20"/>
          <w:szCs w:val="20"/>
        </w:rPr>
        <w:t>缺陷责任与保修</w:t>
      </w:r>
    </w:p>
    <w:p w14:paraId="5E973ACB">
      <w:pPr>
        <w:spacing w:before="127" w:line="228" w:lineRule="auto"/>
        <w:ind w:left="436"/>
        <w:rPr>
          <w:rFonts w:ascii="宋体" w:hAnsi="宋体" w:eastAsia="宋体" w:cs="宋体"/>
          <w:sz w:val="20"/>
          <w:szCs w:val="20"/>
        </w:rPr>
      </w:pPr>
      <w:r>
        <w:rPr>
          <w:rFonts w:ascii="宋体" w:hAnsi="宋体" w:eastAsia="宋体" w:cs="宋体"/>
          <w:b/>
          <w:bCs/>
          <w:spacing w:val="4"/>
          <w:sz w:val="20"/>
          <w:szCs w:val="20"/>
        </w:rPr>
        <w:t>15.1</w:t>
      </w:r>
      <w:r>
        <w:rPr>
          <w:rFonts w:ascii="宋体" w:hAnsi="宋体" w:eastAsia="宋体" w:cs="宋体"/>
          <w:spacing w:val="4"/>
          <w:sz w:val="20"/>
          <w:szCs w:val="20"/>
        </w:rPr>
        <w:t xml:space="preserve"> </w:t>
      </w:r>
      <w:r>
        <w:rPr>
          <w:rFonts w:ascii="宋体" w:hAnsi="宋体" w:eastAsia="宋体" w:cs="宋体"/>
          <w:b/>
          <w:bCs/>
          <w:spacing w:val="4"/>
          <w:sz w:val="20"/>
          <w:szCs w:val="20"/>
        </w:rPr>
        <w:t>工程保修的原则</w:t>
      </w:r>
    </w:p>
    <w:p w14:paraId="4FA050B6">
      <w:pPr>
        <w:spacing w:before="126" w:line="346" w:lineRule="auto"/>
        <w:ind w:left="2" w:right="54" w:firstLine="417"/>
        <w:rPr>
          <w:rFonts w:ascii="宋体" w:hAnsi="宋体" w:eastAsia="宋体" w:cs="宋体"/>
          <w:sz w:val="20"/>
          <w:szCs w:val="20"/>
        </w:rPr>
      </w:pPr>
      <w:r>
        <w:rPr>
          <w:rFonts w:ascii="宋体" w:hAnsi="宋体" w:eastAsia="宋体" w:cs="宋体"/>
          <w:spacing w:val="10"/>
          <w:sz w:val="20"/>
          <w:szCs w:val="20"/>
        </w:rPr>
        <w:t>在工程移交发包人后，因承包人原因产生的质量缺陷，承包人应承担质量缺陷责任和保修义</w:t>
      </w:r>
      <w:r>
        <w:rPr>
          <w:rFonts w:ascii="宋体" w:hAnsi="宋体" w:eastAsia="宋体" w:cs="宋体"/>
          <w:spacing w:val="9"/>
          <w:sz w:val="20"/>
          <w:szCs w:val="20"/>
        </w:rPr>
        <w:t>务。缺陷责任期届满，承包人仍应按合同约定的工程各部位保修年限承担保修义务。</w:t>
      </w:r>
    </w:p>
    <w:p w14:paraId="00621FC4">
      <w:pPr>
        <w:spacing w:line="227" w:lineRule="auto"/>
        <w:ind w:left="436"/>
        <w:rPr>
          <w:rFonts w:ascii="宋体" w:hAnsi="宋体" w:eastAsia="宋体" w:cs="宋体"/>
          <w:sz w:val="20"/>
          <w:szCs w:val="20"/>
        </w:rPr>
      </w:pPr>
      <w:r>
        <w:rPr>
          <w:rFonts w:ascii="宋体" w:hAnsi="宋体" w:eastAsia="宋体" w:cs="宋体"/>
          <w:b/>
          <w:bCs/>
          <w:spacing w:val="3"/>
          <w:sz w:val="20"/>
          <w:szCs w:val="20"/>
        </w:rPr>
        <w:t>15.2</w:t>
      </w:r>
      <w:r>
        <w:rPr>
          <w:rFonts w:ascii="宋体" w:hAnsi="宋体" w:eastAsia="宋体" w:cs="宋体"/>
          <w:spacing w:val="3"/>
          <w:sz w:val="20"/>
          <w:szCs w:val="20"/>
        </w:rPr>
        <w:t xml:space="preserve"> </w:t>
      </w:r>
      <w:r>
        <w:rPr>
          <w:rFonts w:ascii="宋体" w:hAnsi="宋体" w:eastAsia="宋体" w:cs="宋体"/>
          <w:b/>
          <w:bCs/>
          <w:spacing w:val="3"/>
          <w:sz w:val="20"/>
          <w:szCs w:val="20"/>
        </w:rPr>
        <w:t>缺陷责任期</w:t>
      </w:r>
    </w:p>
    <w:p w14:paraId="777AFD16">
      <w:pPr>
        <w:spacing w:before="127" w:line="346" w:lineRule="auto"/>
        <w:ind w:left="8" w:right="54" w:firstLine="428"/>
        <w:rPr>
          <w:rFonts w:ascii="宋体" w:hAnsi="宋体" w:eastAsia="宋体" w:cs="宋体"/>
          <w:sz w:val="20"/>
          <w:szCs w:val="20"/>
        </w:rPr>
      </w:pPr>
      <w:r>
        <w:rPr>
          <w:rFonts w:ascii="宋体" w:hAnsi="宋体" w:eastAsia="宋体" w:cs="宋体"/>
          <w:spacing w:val="7"/>
          <w:sz w:val="20"/>
          <w:szCs w:val="20"/>
        </w:rPr>
        <w:t>15.2.1 缺陷责任期从工程通过竣工验收之日起计算，合同当事人应</w:t>
      </w:r>
      <w:r>
        <w:rPr>
          <w:rFonts w:ascii="宋体" w:hAnsi="宋体" w:eastAsia="宋体" w:cs="宋体"/>
          <w:spacing w:val="6"/>
          <w:sz w:val="20"/>
          <w:szCs w:val="20"/>
        </w:rPr>
        <w:t>在专用合同条款约定缺陷</w:t>
      </w:r>
      <w:r>
        <w:rPr>
          <w:rFonts w:ascii="宋体" w:hAnsi="宋体" w:eastAsia="宋体" w:cs="宋体"/>
          <w:spacing w:val="7"/>
          <w:sz w:val="20"/>
          <w:szCs w:val="20"/>
        </w:rPr>
        <w:t>责任期的具体期限，但该期限最长不超过</w:t>
      </w:r>
      <w:r>
        <w:rPr>
          <w:rFonts w:ascii="宋体" w:hAnsi="宋体" w:eastAsia="宋体" w:cs="宋体"/>
          <w:spacing w:val="-25"/>
          <w:sz w:val="20"/>
          <w:szCs w:val="20"/>
        </w:rPr>
        <w:t xml:space="preserve"> </w:t>
      </w:r>
      <w:r>
        <w:rPr>
          <w:rFonts w:ascii="宋体" w:hAnsi="宋体" w:eastAsia="宋体" w:cs="宋体"/>
          <w:spacing w:val="7"/>
          <w:sz w:val="20"/>
          <w:szCs w:val="20"/>
        </w:rPr>
        <w:t>24</w:t>
      </w:r>
      <w:r>
        <w:rPr>
          <w:rFonts w:ascii="宋体" w:hAnsi="宋体" w:eastAsia="宋体" w:cs="宋体"/>
          <w:spacing w:val="-41"/>
          <w:sz w:val="20"/>
          <w:szCs w:val="20"/>
        </w:rPr>
        <w:t xml:space="preserve"> </w:t>
      </w:r>
      <w:r>
        <w:rPr>
          <w:rFonts w:ascii="宋体" w:hAnsi="宋体" w:eastAsia="宋体" w:cs="宋体"/>
          <w:spacing w:val="7"/>
          <w:sz w:val="20"/>
          <w:szCs w:val="20"/>
        </w:rPr>
        <w:t>个月。</w:t>
      </w:r>
    </w:p>
    <w:p w14:paraId="1A3E5965">
      <w:pPr>
        <w:spacing w:before="3" w:line="345" w:lineRule="auto"/>
        <w:ind w:firstLine="422"/>
        <w:jc w:val="both"/>
        <w:rPr>
          <w:rFonts w:ascii="宋体" w:hAnsi="宋体" w:eastAsia="宋体" w:cs="宋体"/>
          <w:sz w:val="20"/>
          <w:szCs w:val="20"/>
        </w:rPr>
      </w:pPr>
      <w:r>
        <w:rPr>
          <w:rFonts w:ascii="宋体" w:hAnsi="宋体" w:eastAsia="宋体" w:cs="宋体"/>
          <w:spacing w:val="10"/>
          <w:sz w:val="20"/>
          <w:szCs w:val="20"/>
        </w:rPr>
        <w:t>单位工程先于全部工程进行验收，经验收合格并交付使用的，该单位工程缺陷责任期自单位工程验收合格之日起算。因承包人原因导致工程无法按合同约定期限进行竣工验收的，缺陷责任</w:t>
      </w:r>
      <w:r>
        <w:rPr>
          <w:rFonts w:ascii="宋体" w:hAnsi="宋体" w:eastAsia="宋体" w:cs="宋体"/>
          <w:spacing w:val="7"/>
          <w:sz w:val="20"/>
          <w:szCs w:val="20"/>
        </w:rPr>
        <w:t>期从实际通过竣工验收之日起计算。因发包人原因导致工程无法按</w:t>
      </w:r>
      <w:r>
        <w:rPr>
          <w:rFonts w:ascii="宋体" w:hAnsi="宋体" w:eastAsia="宋体" w:cs="宋体"/>
          <w:spacing w:val="6"/>
          <w:sz w:val="20"/>
          <w:szCs w:val="20"/>
        </w:rPr>
        <w:t>合同约定期限进行竣工验收的，</w:t>
      </w:r>
      <w:r>
        <w:rPr>
          <w:rFonts w:ascii="宋体" w:hAnsi="宋体" w:eastAsia="宋体" w:cs="宋体"/>
          <w:spacing w:val="7"/>
          <w:sz w:val="20"/>
          <w:szCs w:val="20"/>
        </w:rPr>
        <w:t>在承包人提交竣工验收报告</w:t>
      </w:r>
      <w:r>
        <w:rPr>
          <w:rFonts w:ascii="宋体" w:hAnsi="宋体" w:eastAsia="宋体" w:cs="宋体"/>
          <w:spacing w:val="-32"/>
          <w:sz w:val="20"/>
          <w:szCs w:val="20"/>
        </w:rPr>
        <w:t xml:space="preserve"> </w:t>
      </w:r>
      <w:r>
        <w:rPr>
          <w:rFonts w:ascii="宋体" w:hAnsi="宋体" w:eastAsia="宋体" w:cs="宋体"/>
          <w:spacing w:val="7"/>
          <w:sz w:val="20"/>
          <w:szCs w:val="20"/>
        </w:rPr>
        <w:t>90</w:t>
      </w:r>
      <w:r>
        <w:rPr>
          <w:rFonts w:ascii="宋体" w:hAnsi="宋体" w:eastAsia="宋体" w:cs="宋体"/>
          <w:spacing w:val="-36"/>
          <w:sz w:val="20"/>
          <w:szCs w:val="20"/>
        </w:rPr>
        <w:t xml:space="preserve"> </w:t>
      </w:r>
      <w:r>
        <w:rPr>
          <w:rFonts w:ascii="宋体" w:hAnsi="宋体" w:eastAsia="宋体" w:cs="宋体"/>
          <w:spacing w:val="7"/>
          <w:sz w:val="20"/>
          <w:szCs w:val="20"/>
        </w:rPr>
        <w:t>天后，工程自动进入缺陷责任期；发包人未经竣工验收擅自使用工</w:t>
      </w:r>
      <w:r>
        <w:rPr>
          <w:rFonts w:ascii="宋体" w:hAnsi="宋体" w:eastAsia="宋体" w:cs="宋体"/>
          <w:spacing w:val="9"/>
          <w:sz w:val="20"/>
          <w:szCs w:val="20"/>
        </w:rPr>
        <w:t>程的，缺陷责任期自工程转移占有之日起开始计算。</w:t>
      </w:r>
    </w:p>
    <w:p w14:paraId="43837489">
      <w:pPr>
        <w:spacing w:before="4" w:line="345" w:lineRule="auto"/>
        <w:ind w:left="1" w:right="52" w:firstLine="434"/>
        <w:jc w:val="both"/>
        <w:rPr>
          <w:rFonts w:ascii="宋体" w:hAnsi="宋体" w:eastAsia="宋体" w:cs="宋体"/>
          <w:sz w:val="20"/>
          <w:szCs w:val="20"/>
        </w:rPr>
      </w:pPr>
      <w:r>
        <w:rPr>
          <w:rFonts w:ascii="宋体" w:hAnsi="宋体" w:eastAsia="宋体" w:cs="宋体"/>
          <w:spacing w:val="8"/>
          <w:sz w:val="20"/>
          <w:szCs w:val="20"/>
        </w:rPr>
        <w:t>15.2.2</w:t>
      </w:r>
      <w:r>
        <w:rPr>
          <w:rFonts w:ascii="宋体" w:hAnsi="宋体" w:eastAsia="宋体" w:cs="宋体"/>
          <w:spacing w:val="-40"/>
          <w:sz w:val="20"/>
          <w:szCs w:val="20"/>
        </w:rPr>
        <w:t xml:space="preserve"> </w:t>
      </w:r>
      <w:r>
        <w:rPr>
          <w:rFonts w:ascii="宋体" w:hAnsi="宋体" w:eastAsia="宋体" w:cs="宋体"/>
          <w:spacing w:val="8"/>
          <w:sz w:val="20"/>
          <w:szCs w:val="20"/>
        </w:rPr>
        <w:t>缺陷责任期内，由承包人原因造成的缺陷，承包人应负责维修，并承</w:t>
      </w:r>
      <w:r>
        <w:rPr>
          <w:rFonts w:ascii="宋体" w:hAnsi="宋体" w:eastAsia="宋体" w:cs="宋体"/>
          <w:spacing w:val="7"/>
          <w:sz w:val="20"/>
          <w:szCs w:val="20"/>
        </w:rPr>
        <w:t>担鉴定及维修费</w:t>
      </w:r>
      <w:r>
        <w:rPr>
          <w:rFonts w:ascii="宋体" w:hAnsi="宋体" w:eastAsia="宋体" w:cs="宋体"/>
          <w:spacing w:val="10"/>
          <w:sz w:val="20"/>
          <w:szCs w:val="20"/>
        </w:rPr>
        <w:t>用。如承包人不维修也不承担费用，发包人可按合同约定从保证金或银行保函中扣除，费用超出保证金额的，发包人可按合同约定向承包人进行索赔。承包人维修并承担相应费用后，不免除对工程的损失赔偿责任。发包人有权要求承包人延长缺陷责任期，并应在原缺陷责任期届满前发出</w:t>
      </w:r>
      <w:r>
        <w:rPr>
          <w:rFonts w:ascii="宋体" w:hAnsi="宋体" w:eastAsia="宋体" w:cs="宋体"/>
          <w:spacing w:val="8"/>
          <w:sz w:val="20"/>
          <w:szCs w:val="20"/>
        </w:rPr>
        <w:t>延长通知。但缺陷责任期（含延长部分）最长不能超过</w:t>
      </w:r>
      <w:r>
        <w:rPr>
          <w:rFonts w:ascii="宋体" w:hAnsi="宋体" w:eastAsia="宋体" w:cs="宋体"/>
          <w:spacing w:val="-30"/>
          <w:sz w:val="20"/>
          <w:szCs w:val="20"/>
        </w:rPr>
        <w:t xml:space="preserve"> </w:t>
      </w:r>
      <w:r>
        <w:rPr>
          <w:rFonts w:ascii="宋体" w:hAnsi="宋体" w:eastAsia="宋体" w:cs="宋体"/>
          <w:spacing w:val="8"/>
          <w:sz w:val="20"/>
          <w:szCs w:val="20"/>
        </w:rPr>
        <w:t>24</w:t>
      </w:r>
      <w:r>
        <w:rPr>
          <w:rFonts w:ascii="宋体" w:hAnsi="宋体" w:eastAsia="宋体" w:cs="宋体"/>
          <w:spacing w:val="-40"/>
          <w:sz w:val="20"/>
          <w:szCs w:val="20"/>
        </w:rPr>
        <w:t xml:space="preserve"> </w:t>
      </w:r>
      <w:r>
        <w:rPr>
          <w:rFonts w:ascii="宋体" w:hAnsi="宋体" w:eastAsia="宋体" w:cs="宋体"/>
          <w:spacing w:val="8"/>
          <w:sz w:val="20"/>
          <w:szCs w:val="20"/>
        </w:rPr>
        <w:t>个月。</w:t>
      </w:r>
    </w:p>
    <w:p w14:paraId="49806546">
      <w:pPr>
        <w:spacing w:before="1" w:line="345" w:lineRule="auto"/>
        <w:ind w:left="20" w:right="54" w:firstLine="425"/>
        <w:rPr>
          <w:rFonts w:ascii="宋体" w:hAnsi="宋体" w:eastAsia="宋体" w:cs="宋体"/>
          <w:sz w:val="20"/>
          <w:szCs w:val="20"/>
        </w:rPr>
      </w:pPr>
      <w:r>
        <w:rPr>
          <w:rFonts w:ascii="宋体" w:hAnsi="宋体" w:eastAsia="宋体" w:cs="宋体"/>
          <w:spacing w:val="10"/>
          <w:sz w:val="20"/>
          <w:szCs w:val="20"/>
        </w:rPr>
        <w:t>由他人原因造成的缺陷，发包人负责组织维修，承包人不承</w:t>
      </w:r>
      <w:r>
        <w:rPr>
          <w:rFonts w:ascii="宋体" w:hAnsi="宋体" w:eastAsia="宋体" w:cs="宋体"/>
          <w:spacing w:val="9"/>
          <w:sz w:val="20"/>
          <w:szCs w:val="20"/>
        </w:rPr>
        <w:t>担费用，且发包人不得从保证金</w:t>
      </w:r>
      <w:r>
        <w:rPr>
          <w:rFonts w:ascii="宋体" w:hAnsi="宋体" w:eastAsia="宋体" w:cs="宋体"/>
          <w:spacing w:val="3"/>
          <w:sz w:val="20"/>
          <w:szCs w:val="20"/>
        </w:rPr>
        <w:t>中扣除费用。</w:t>
      </w:r>
    </w:p>
    <w:p w14:paraId="6ED50808">
      <w:pPr>
        <w:spacing w:before="1" w:line="345" w:lineRule="auto"/>
        <w:ind w:left="2" w:right="54" w:firstLine="433"/>
        <w:rPr>
          <w:rFonts w:ascii="宋体" w:hAnsi="宋体" w:eastAsia="宋体" w:cs="宋体"/>
          <w:sz w:val="20"/>
          <w:szCs w:val="20"/>
        </w:rPr>
      </w:pPr>
      <w:r>
        <w:rPr>
          <w:rFonts w:ascii="宋体" w:hAnsi="宋体" w:eastAsia="宋体" w:cs="宋体"/>
          <w:spacing w:val="7"/>
          <w:sz w:val="20"/>
          <w:szCs w:val="20"/>
        </w:rPr>
        <w:t>15.2.3 任何一项缺陷或损坏修复后，经检查证明其影响了工程或工</w:t>
      </w:r>
      <w:r>
        <w:rPr>
          <w:rFonts w:ascii="宋体" w:hAnsi="宋体" w:eastAsia="宋体" w:cs="宋体"/>
          <w:spacing w:val="6"/>
          <w:sz w:val="20"/>
          <w:szCs w:val="20"/>
        </w:rPr>
        <w:t>程设备的使用性能，承包</w:t>
      </w:r>
      <w:r>
        <w:rPr>
          <w:rFonts w:ascii="宋体" w:hAnsi="宋体" w:eastAsia="宋体" w:cs="宋体"/>
          <w:spacing w:val="9"/>
          <w:sz w:val="20"/>
          <w:szCs w:val="20"/>
        </w:rPr>
        <w:t>人应重新进行合同约定的试验和试运行，试验和试运行的全部费用应由责任方承担。</w:t>
      </w:r>
    </w:p>
    <w:p w14:paraId="6AD12975">
      <w:pPr>
        <w:spacing w:before="3" w:line="345" w:lineRule="auto"/>
        <w:ind w:left="2" w:right="54" w:firstLine="433"/>
        <w:rPr>
          <w:rFonts w:ascii="宋体" w:hAnsi="宋体" w:eastAsia="宋体" w:cs="宋体"/>
          <w:sz w:val="20"/>
          <w:szCs w:val="20"/>
        </w:rPr>
      </w:pPr>
      <w:r>
        <w:rPr>
          <w:rFonts w:ascii="宋体" w:hAnsi="宋体" w:eastAsia="宋体" w:cs="宋体"/>
          <w:spacing w:val="6"/>
          <w:sz w:val="20"/>
          <w:szCs w:val="20"/>
        </w:rPr>
        <w:t>15.2.4 除专用合同条款另有约定外，承包人应于缺陷责任期届满后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3"/>
          <w:sz w:val="20"/>
          <w:szCs w:val="20"/>
        </w:rPr>
        <w:t xml:space="preserve"> </w:t>
      </w:r>
      <w:r>
        <w:rPr>
          <w:rFonts w:ascii="宋体" w:hAnsi="宋体" w:eastAsia="宋体" w:cs="宋体"/>
          <w:spacing w:val="6"/>
          <w:sz w:val="20"/>
          <w:szCs w:val="20"/>
        </w:rPr>
        <w:t>天内向发包人发出缺陷</w:t>
      </w:r>
      <w:r>
        <w:rPr>
          <w:rFonts w:ascii="宋体" w:hAnsi="宋体" w:eastAsia="宋体" w:cs="宋体"/>
          <w:spacing w:val="12"/>
          <w:sz w:val="20"/>
          <w:szCs w:val="20"/>
        </w:rPr>
        <w:t>责任期届满通知，发包人应在收到缺陷责任期满</w:t>
      </w:r>
      <w:r>
        <w:rPr>
          <w:rFonts w:ascii="宋体" w:hAnsi="宋体" w:eastAsia="宋体" w:cs="宋体"/>
          <w:spacing w:val="11"/>
          <w:sz w:val="20"/>
          <w:szCs w:val="20"/>
        </w:rPr>
        <w:t>通知后</w:t>
      </w:r>
      <w:r>
        <w:rPr>
          <w:rFonts w:ascii="宋体" w:hAnsi="宋体" w:eastAsia="宋体" w:cs="宋体"/>
          <w:spacing w:val="-19"/>
          <w:sz w:val="20"/>
          <w:szCs w:val="20"/>
        </w:rPr>
        <w:t xml:space="preserve"> </w:t>
      </w:r>
      <w:r>
        <w:rPr>
          <w:rFonts w:ascii="宋体" w:hAnsi="宋体" w:eastAsia="宋体" w:cs="宋体"/>
          <w:spacing w:val="11"/>
          <w:sz w:val="20"/>
          <w:szCs w:val="20"/>
        </w:rPr>
        <w:t>14</w:t>
      </w:r>
      <w:r>
        <w:rPr>
          <w:rFonts w:ascii="宋体" w:hAnsi="宋体" w:eastAsia="宋体" w:cs="宋体"/>
          <w:spacing w:val="-34"/>
          <w:sz w:val="20"/>
          <w:szCs w:val="20"/>
        </w:rPr>
        <w:t xml:space="preserve"> </w:t>
      </w:r>
      <w:r>
        <w:rPr>
          <w:rFonts w:ascii="宋体" w:hAnsi="宋体" w:eastAsia="宋体" w:cs="宋体"/>
          <w:spacing w:val="11"/>
          <w:sz w:val="20"/>
          <w:szCs w:val="20"/>
        </w:rPr>
        <w:t>天内核实承包人是否履行缺陷修复义</w:t>
      </w:r>
      <w:r>
        <w:rPr>
          <w:rFonts w:ascii="宋体" w:hAnsi="宋体" w:eastAsia="宋体" w:cs="宋体"/>
          <w:spacing w:val="10"/>
          <w:sz w:val="20"/>
          <w:szCs w:val="20"/>
        </w:rPr>
        <w:t>务，承包人未能履行缺陷修复义务的，发包人有权扣除相应金额的维修费用。发包人应在收到缺</w:t>
      </w:r>
      <w:r>
        <w:rPr>
          <w:rFonts w:ascii="宋体" w:hAnsi="宋体" w:eastAsia="宋体" w:cs="宋体"/>
          <w:spacing w:val="8"/>
          <w:sz w:val="20"/>
          <w:szCs w:val="20"/>
        </w:rPr>
        <w:t>陷责任期届满通知后</w:t>
      </w:r>
      <w:r>
        <w:rPr>
          <w:rFonts w:ascii="宋体" w:hAnsi="宋体" w:eastAsia="宋体" w:cs="宋体"/>
          <w:spacing w:val="-23"/>
          <w:sz w:val="20"/>
          <w:szCs w:val="20"/>
        </w:rPr>
        <w:t xml:space="preserve"> </w:t>
      </w:r>
      <w:r>
        <w:rPr>
          <w:rFonts w:ascii="宋体" w:hAnsi="宋体" w:eastAsia="宋体" w:cs="宋体"/>
          <w:spacing w:val="8"/>
          <w:sz w:val="20"/>
          <w:szCs w:val="20"/>
        </w:rPr>
        <w:t>14</w:t>
      </w:r>
      <w:r>
        <w:rPr>
          <w:rFonts w:ascii="宋体" w:hAnsi="宋体" w:eastAsia="宋体" w:cs="宋体"/>
          <w:spacing w:val="-34"/>
          <w:sz w:val="20"/>
          <w:szCs w:val="20"/>
        </w:rPr>
        <w:t xml:space="preserve"> </w:t>
      </w:r>
      <w:r>
        <w:rPr>
          <w:rFonts w:ascii="宋体" w:hAnsi="宋体" w:eastAsia="宋体" w:cs="宋体"/>
          <w:spacing w:val="8"/>
          <w:sz w:val="20"/>
          <w:szCs w:val="20"/>
        </w:rPr>
        <w:t>天内，向承包人颁</w:t>
      </w:r>
      <w:r>
        <w:rPr>
          <w:rFonts w:ascii="宋体" w:hAnsi="宋体" w:eastAsia="宋体" w:cs="宋体"/>
          <w:spacing w:val="7"/>
          <w:sz w:val="20"/>
          <w:szCs w:val="20"/>
        </w:rPr>
        <w:t>发缺陷责任期终止证书。</w:t>
      </w:r>
    </w:p>
    <w:p w14:paraId="450C5B9B">
      <w:pPr>
        <w:spacing w:line="228" w:lineRule="auto"/>
        <w:ind w:left="436"/>
        <w:rPr>
          <w:rFonts w:ascii="宋体" w:hAnsi="宋体" w:eastAsia="宋体" w:cs="宋体"/>
          <w:sz w:val="20"/>
          <w:szCs w:val="20"/>
        </w:rPr>
      </w:pPr>
      <w:r>
        <w:rPr>
          <w:rFonts w:ascii="宋体" w:hAnsi="宋体" w:eastAsia="宋体" w:cs="宋体"/>
          <w:b/>
          <w:bCs/>
          <w:spacing w:val="3"/>
          <w:sz w:val="20"/>
          <w:szCs w:val="20"/>
        </w:rPr>
        <w:t>15.3</w:t>
      </w:r>
      <w:r>
        <w:rPr>
          <w:rFonts w:ascii="宋体" w:hAnsi="宋体" w:eastAsia="宋体" w:cs="宋体"/>
          <w:spacing w:val="3"/>
          <w:sz w:val="20"/>
          <w:szCs w:val="20"/>
        </w:rPr>
        <w:t xml:space="preserve"> </w:t>
      </w:r>
      <w:r>
        <w:rPr>
          <w:rFonts w:ascii="宋体" w:hAnsi="宋体" w:eastAsia="宋体" w:cs="宋体"/>
          <w:b/>
          <w:bCs/>
          <w:spacing w:val="3"/>
          <w:sz w:val="20"/>
          <w:szCs w:val="20"/>
        </w:rPr>
        <w:t>质量保证金</w:t>
      </w:r>
    </w:p>
    <w:p w14:paraId="29289711">
      <w:pPr>
        <w:spacing w:before="127" w:line="228" w:lineRule="auto"/>
        <w:ind w:left="422"/>
        <w:rPr>
          <w:rFonts w:ascii="宋体" w:hAnsi="宋体" w:eastAsia="宋体" w:cs="宋体"/>
          <w:sz w:val="20"/>
          <w:szCs w:val="20"/>
        </w:rPr>
      </w:pPr>
      <w:r>
        <w:rPr>
          <w:rFonts w:ascii="宋体" w:hAnsi="宋体" w:eastAsia="宋体" w:cs="宋体"/>
          <w:spacing w:val="9"/>
          <w:sz w:val="20"/>
          <w:szCs w:val="20"/>
        </w:rPr>
        <w:t>经合同当事人协商一致扣留质量保证金的，应在专用合同条款中予以明确。</w:t>
      </w:r>
    </w:p>
    <w:p w14:paraId="469AA2D6">
      <w:pPr>
        <w:spacing w:before="127" w:line="227" w:lineRule="auto"/>
        <w:ind w:left="420"/>
        <w:rPr>
          <w:rFonts w:ascii="宋体" w:hAnsi="宋体" w:eastAsia="宋体" w:cs="宋体"/>
          <w:sz w:val="20"/>
          <w:szCs w:val="20"/>
        </w:rPr>
      </w:pPr>
      <w:r>
        <w:rPr>
          <w:rFonts w:ascii="宋体" w:hAnsi="宋体" w:eastAsia="宋体" w:cs="宋体"/>
          <w:spacing w:val="9"/>
          <w:sz w:val="20"/>
          <w:szCs w:val="20"/>
        </w:rPr>
        <w:t>在工程项目竣工前，承包人已经提供履约担保的，发包人不得同时预留工程质量保证金。</w:t>
      </w:r>
    </w:p>
    <w:p w14:paraId="223FA4B6">
      <w:pPr>
        <w:spacing w:before="129" w:line="227" w:lineRule="auto"/>
        <w:ind w:left="436"/>
        <w:rPr>
          <w:rFonts w:ascii="宋体" w:hAnsi="宋体" w:eastAsia="宋体" w:cs="宋体"/>
          <w:sz w:val="20"/>
          <w:szCs w:val="20"/>
        </w:rPr>
      </w:pPr>
      <w:r>
        <w:rPr>
          <w:rFonts w:ascii="宋体" w:hAnsi="宋体" w:eastAsia="宋体" w:cs="宋体"/>
          <w:b/>
          <w:bCs/>
          <w:spacing w:val="5"/>
          <w:sz w:val="20"/>
          <w:szCs w:val="20"/>
        </w:rPr>
        <w:t>15.3.1</w:t>
      </w:r>
      <w:r>
        <w:rPr>
          <w:rFonts w:ascii="宋体" w:hAnsi="宋体" w:eastAsia="宋体" w:cs="宋体"/>
          <w:spacing w:val="5"/>
          <w:sz w:val="20"/>
          <w:szCs w:val="20"/>
        </w:rPr>
        <w:t xml:space="preserve"> </w:t>
      </w:r>
      <w:r>
        <w:rPr>
          <w:rFonts w:ascii="宋体" w:hAnsi="宋体" w:eastAsia="宋体" w:cs="宋体"/>
          <w:b/>
          <w:bCs/>
          <w:spacing w:val="5"/>
          <w:sz w:val="20"/>
          <w:szCs w:val="20"/>
        </w:rPr>
        <w:t>承包人提供质量保证金的方式</w:t>
      </w:r>
    </w:p>
    <w:p w14:paraId="48908B68">
      <w:pPr>
        <w:spacing w:before="128" w:line="227" w:lineRule="auto"/>
        <w:ind w:left="420"/>
        <w:rPr>
          <w:rFonts w:ascii="宋体" w:hAnsi="宋体" w:eastAsia="宋体" w:cs="宋体"/>
          <w:sz w:val="20"/>
          <w:szCs w:val="20"/>
        </w:rPr>
      </w:pPr>
      <w:r>
        <w:rPr>
          <w:rFonts w:ascii="宋体" w:hAnsi="宋体" w:eastAsia="宋体" w:cs="宋体"/>
          <w:spacing w:val="8"/>
          <w:sz w:val="20"/>
          <w:szCs w:val="20"/>
        </w:rPr>
        <w:t>承包人提供质量保证金有以下三种方式：</w:t>
      </w:r>
    </w:p>
    <w:p w14:paraId="3C903CB5">
      <w:pPr>
        <w:spacing w:before="129" w:line="228" w:lineRule="auto"/>
        <w:ind w:left="430"/>
        <w:rPr>
          <w:rFonts w:ascii="宋体" w:hAnsi="宋体" w:eastAsia="宋体" w:cs="宋体"/>
          <w:sz w:val="20"/>
          <w:szCs w:val="20"/>
        </w:rPr>
      </w:pPr>
      <w:r>
        <w:rPr>
          <w:rFonts w:ascii="宋体" w:hAnsi="宋体" w:eastAsia="宋体" w:cs="宋体"/>
          <w:spacing w:val="6"/>
          <w:sz w:val="20"/>
          <w:szCs w:val="20"/>
        </w:rPr>
        <w:t>（1）质量保证金保函；</w:t>
      </w:r>
    </w:p>
    <w:p w14:paraId="076105F0">
      <w:pPr>
        <w:spacing w:before="128" w:line="228" w:lineRule="auto"/>
        <w:ind w:left="430"/>
        <w:rPr>
          <w:rFonts w:ascii="宋体" w:hAnsi="宋体" w:eastAsia="宋体" w:cs="宋体"/>
          <w:sz w:val="20"/>
          <w:szCs w:val="20"/>
        </w:rPr>
      </w:pPr>
      <w:r>
        <w:rPr>
          <w:rFonts w:ascii="宋体" w:hAnsi="宋体" w:eastAsia="宋体" w:cs="宋体"/>
          <w:spacing w:val="7"/>
          <w:sz w:val="20"/>
          <w:szCs w:val="20"/>
        </w:rPr>
        <w:t>（2）相应比例的工程款；</w:t>
      </w:r>
    </w:p>
    <w:p w14:paraId="402BE94B">
      <w:pPr>
        <w:spacing w:before="127" w:line="228" w:lineRule="auto"/>
        <w:ind w:left="430"/>
        <w:rPr>
          <w:rFonts w:ascii="宋体" w:hAnsi="宋体" w:eastAsia="宋体" w:cs="宋体"/>
          <w:sz w:val="20"/>
          <w:szCs w:val="20"/>
        </w:rPr>
      </w:pPr>
      <w:r>
        <w:rPr>
          <w:rFonts w:ascii="宋体" w:hAnsi="宋体" w:eastAsia="宋体" w:cs="宋体"/>
          <w:spacing w:val="7"/>
          <w:sz w:val="20"/>
          <w:szCs w:val="20"/>
        </w:rPr>
        <w:t>（3）双方约定的其他方式。</w:t>
      </w:r>
    </w:p>
    <w:p w14:paraId="3ACE0E7C">
      <w:pPr>
        <w:spacing w:line="228" w:lineRule="auto"/>
        <w:rPr>
          <w:rFonts w:ascii="宋体" w:hAnsi="宋体" w:eastAsia="宋体" w:cs="宋体"/>
          <w:sz w:val="20"/>
          <w:szCs w:val="20"/>
        </w:rPr>
        <w:sectPr>
          <w:footerReference r:id="rId380" w:type="default"/>
          <w:pgSz w:w="11906" w:h="16839"/>
          <w:pgMar w:top="400" w:right="1478" w:bottom="1446" w:left="1538" w:header="0" w:footer="1284" w:gutter="0"/>
          <w:cols w:space="720" w:num="1"/>
        </w:sectPr>
      </w:pPr>
    </w:p>
    <w:p w14:paraId="6520AC67">
      <w:pPr>
        <w:spacing w:line="246" w:lineRule="auto"/>
        <w:rPr>
          <w:rFonts w:ascii="Arial"/>
          <w:sz w:val="21"/>
        </w:rPr>
      </w:pPr>
    </w:p>
    <w:p w14:paraId="515AED27">
      <w:pPr>
        <w:spacing w:line="246" w:lineRule="auto"/>
        <w:rPr>
          <w:rFonts w:ascii="Arial"/>
          <w:sz w:val="21"/>
        </w:rPr>
      </w:pPr>
    </w:p>
    <w:p w14:paraId="1DC22B59">
      <w:pPr>
        <w:spacing w:line="246" w:lineRule="auto"/>
        <w:rPr>
          <w:rFonts w:ascii="Arial"/>
          <w:sz w:val="21"/>
        </w:rPr>
      </w:pPr>
    </w:p>
    <w:p w14:paraId="3F465BC4">
      <w:pPr>
        <w:spacing w:line="246" w:lineRule="auto"/>
        <w:rPr>
          <w:rFonts w:ascii="Arial"/>
          <w:sz w:val="21"/>
        </w:rPr>
      </w:pPr>
    </w:p>
    <w:p w14:paraId="7DCF95B1">
      <w:pPr>
        <w:spacing w:line="247" w:lineRule="auto"/>
        <w:rPr>
          <w:rFonts w:ascii="Arial"/>
          <w:sz w:val="21"/>
        </w:rPr>
      </w:pPr>
    </w:p>
    <w:p w14:paraId="42C4B98B">
      <w:pPr>
        <w:spacing w:line="247" w:lineRule="auto"/>
        <w:rPr>
          <w:rFonts w:ascii="Arial"/>
          <w:sz w:val="21"/>
        </w:rPr>
      </w:pPr>
    </w:p>
    <w:p w14:paraId="4459F50D">
      <w:pPr>
        <w:spacing w:before="65" w:line="227" w:lineRule="auto"/>
        <w:ind w:left="434"/>
        <w:rPr>
          <w:rFonts w:ascii="宋体" w:hAnsi="宋体" w:eastAsia="宋体" w:cs="宋体"/>
          <w:sz w:val="20"/>
          <w:szCs w:val="20"/>
        </w:rPr>
      </w:pPr>
      <w:r>
        <w:rPr>
          <w:rFonts w:ascii="宋体" w:hAnsi="宋体" w:eastAsia="宋体" w:cs="宋体"/>
          <w:spacing w:val="9"/>
          <w:sz w:val="20"/>
          <w:szCs w:val="20"/>
        </w:rPr>
        <w:t>除专用合同条款另有约定外，质量保证金原则上采用上述第</w:t>
      </w:r>
      <w:r>
        <w:rPr>
          <w:rFonts w:ascii="宋体" w:hAnsi="宋体" w:eastAsia="宋体" w:cs="宋体"/>
          <w:spacing w:val="8"/>
          <w:sz w:val="20"/>
          <w:szCs w:val="20"/>
        </w:rPr>
        <w:t>（1）种方式。</w:t>
      </w:r>
    </w:p>
    <w:p w14:paraId="3A05932C">
      <w:pPr>
        <w:spacing w:before="128" w:line="228" w:lineRule="auto"/>
        <w:ind w:left="437"/>
        <w:rPr>
          <w:rFonts w:ascii="宋体" w:hAnsi="宋体" w:eastAsia="宋体" w:cs="宋体"/>
          <w:sz w:val="20"/>
          <w:szCs w:val="20"/>
        </w:rPr>
      </w:pPr>
      <w:r>
        <w:rPr>
          <w:rFonts w:ascii="宋体" w:hAnsi="宋体" w:eastAsia="宋体" w:cs="宋体"/>
          <w:b/>
          <w:bCs/>
          <w:spacing w:val="4"/>
          <w:sz w:val="20"/>
          <w:szCs w:val="20"/>
        </w:rPr>
        <w:t>15.3.2</w:t>
      </w:r>
      <w:r>
        <w:rPr>
          <w:rFonts w:ascii="宋体" w:hAnsi="宋体" w:eastAsia="宋体" w:cs="宋体"/>
          <w:spacing w:val="4"/>
          <w:sz w:val="20"/>
          <w:szCs w:val="20"/>
        </w:rPr>
        <w:t xml:space="preserve"> </w:t>
      </w:r>
      <w:r>
        <w:rPr>
          <w:rFonts w:ascii="宋体" w:hAnsi="宋体" w:eastAsia="宋体" w:cs="宋体"/>
          <w:b/>
          <w:bCs/>
          <w:spacing w:val="4"/>
          <w:sz w:val="20"/>
          <w:szCs w:val="20"/>
        </w:rPr>
        <w:t>质量保证金的扣留</w:t>
      </w:r>
    </w:p>
    <w:p w14:paraId="78CAC44F">
      <w:pPr>
        <w:spacing w:before="127" w:line="228" w:lineRule="auto"/>
        <w:ind w:left="422"/>
        <w:rPr>
          <w:rFonts w:ascii="宋体" w:hAnsi="宋体" w:eastAsia="宋体" w:cs="宋体"/>
          <w:sz w:val="20"/>
          <w:szCs w:val="20"/>
        </w:rPr>
      </w:pPr>
      <w:r>
        <w:rPr>
          <w:rFonts w:ascii="宋体" w:hAnsi="宋体" w:eastAsia="宋体" w:cs="宋体"/>
          <w:spacing w:val="8"/>
          <w:sz w:val="20"/>
          <w:szCs w:val="20"/>
        </w:rPr>
        <w:t>质量保证金的扣留有以下四种方式：</w:t>
      </w:r>
    </w:p>
    <w:p w14:paraId="37336FC3">
      <w:pPr>
        <w:spacing w:before="126" w:line="228" w:lineRule="auto"/>
        <w:ind w:left="431"/>
        <w:rPr>
          <w:rFonts w:ascii="宋体" w:hAnsi="宋体" w:eastAsia="宋体" w:cs="宋体"/>
          <w:sz w:val="20"/>
          <w:szCs w:val="20"/>
        </w:rPr>
      </w:pPr>
      <w:r>
        <w:rPr>
          <w:rFonts w:ascii="宋体" w:hAnsi="宋体" w:eastAsia="宋体" w:cs="宋体"/>
          <w:spacing w:val="8"/>
          <w:sz w:val="20"/>
          <w:szCs w:val="20"/>
        </w:rPr>
        <w:t>（1）承包人在工程竣工结算时提交质量保证金保函；</w:t>
      </w:r>
    </w:p>
    <w:p w14:paraId="4C90204E">
      <w:pPr>
        <w:spacing w:before="127" w:line="346" w:lineRule="auto"/>
        <w:ind w:left="1" w:firstLine="430"/>
        <w:rPr>
          <w:rFonts w:ascii="宋体" w:hAnsi="宋体" w:eastAsia="宋体" w:cs="宋体"/>
          <w:sz w:val="20"/>
          <w:szCs w:val="20"/>
        </w:rPr>
      </w:pPr>
      <w:r>
        <w:rPr>
          <w:rFonts w:ascii="宋体" w:hAnsi="宋体" w:eastAsia="宋体" w:cs="宋体"/>
          <w:spacing w:val="7"/>
          <w:sz w:val="20"/>
          <w:szCs w:val="20"/>
        </w:rPr>
        <w:t>（2）在支付工程进度款时逐次扣留，在此情形下，质量保证金的计算基数不包括预付款的支</w:t>
      </w:r>
      <w:r>
        <w:rPr>
          <w:rFonts w:ascii="宋体" w:hAnsi="宋体" w:eastAsia="宋体" w:cs="宋体"/>
          <w:spacing w:val="8"/>
          <w:sz w:val="20"/>
          <w:szCs w:val="20"/>
        </w:rPr>
        <w:t>付、扣回以及价格调整的金额；</w:t>
      </w:r>
    </w:p>
    <w:p w14:paraId="0FCB887C">
      <w:pPr>
        <w:spacing w:before="1" w:line="227" w:lineRule="auto"/>
        <w:ind w:left="431"/>
        <w:rPr>
          <w:rFonts w:ascii="宋体" w:hAnsi="宋体" w:eastAsia="宋体" w:cs="宋体"/>
          <w:sz w:val="20"/>
          <w:szCs w:val="20"/>
        </w:rPr>
      </w:pPr>
      <w:r>
        <w:rPr>
          <w:rFonts w:ascii="宋体" w:hAnsi="宋体" w:eastAsia="宋体" w:cs="宋体"/>
          <w:spacing w:val="8"/>
          <w:sz w:val="20"/>
          <w:szCs w:val="20"/>
        </w:rPr>
        <w:t>（3）工程竣工结算时一次性扣留质量保证金；</w:t>
      </w:r>
    </w:p>
    <w:p w14:paraId="48BC0F4C">
      <w:pPr>
        <w:spacing w:before="128" w:line="228" w:lineRule="auto"/>
        <w:ind w:left="431"/>
        <w:rPr>
          <w:rFonts w:ascii="宋体" w:hAnsi="宋体" w:eastAsia="宋体" w:cs="宋体"/>
          <w:sz w:val="20"/>
          <w:szCs w:val="20"/>
        </w:rPr>
      </w:pPr>
      <w:r>
        <w:rPr>
          <w:rFonts w:ascii="宋体" w:hAnsi="宋体" w:eastAsia="宋体" w:cs="宋体"/>
          <w:spacing w:val="7"/>
          <w:sz w:val="20"/>
          <w:szCs w:val="20"/>
        </w:rPr>
        <w:t>（4）双方约定的其他扣留方式。</w:t>
      </w:r>
    </w:p>
    <w:p w14:paraId="234C6EB0">
      <w:pPr>
        <w:spacing w:before="127" w:line="227" w:lineRule="auto"/>
        <w:ind w:left="434"/>
        <w:rPr>
          <w:rFonts w:ascii="宋体" w:hAnsi="宋体" w:eastAsia="宋体" w:cs="宋体"/>
          <w:sz w:val="20"/>
          <w:szCs w:val="20"/>
        </w:rPr>
      </w:pPr>
      <w:r>
        <w:rPr>
          <w:rFonts w:ascii="宋体" w:hAnsi="宋体" w:eastAsia="宋体" w:cs="宋体"/>
          <w:spacing w:val="9"/>
          <w:sz w:val="20"/>
          <w:szCs w:val="20"/>
        </w:rPr>
        <w:t>除专用合同条款另有约定外，质量保证金的扣留原则上采用上述第（1）种</w:t>
      </w:r>
      <w:r>
        <w:rPr>
          <w:rFonts w:ascii="宋体" w:hAnsi="宋体" w:eastAsia="宋体" w:cs="宋体"/>
          <w:spacing w:val="8"/>
          <w:sz w:val="20"/>
          <w:szCs w:val="20"/>
        </w:rPr>
        <w:t>方式。</w:t>
      </w:r>
    </w:p>
    <w:p w14:paraId="4548A326">
      <w:pPr>
        <w:spacing w:before="127" w:line="346" w:lineRule="auto"/>
        <w:ind w:left="2" w:firstLine="422"/>
        <w:rPr>
          <w:rFonts w:ascii="宋体" w:hAnsi="宋体" w:eastAsia="宋体" w:cs="宋体"/>
          <w:sz w:val="20"/>
          <w:szCs w:val="20"/>
        </w:rPr>
      </w:pPr>
      <w:r>
        <w:rPr>
          <w:rFonts w:ascii="宋体" w:hAnsi="宋体" w:eastAsia="宋体" w:cs="宋体"/>
          <w:spacing w:val="8"/>
          <w:sz w:val="20"/>
          <w:szCs w:val="20"/>
        </w:rPr>
        <w:t>发包人累计扣留的质量保证金不得超过工程价款结算总额的</w:t>
      </w:r>
      <w:r>
        <w:rPr>
          <w:rFonts w:ascii="宋体" w:hAnsi="宋体" w:eastAsia="宋体" w:cs="宋体"/>
          <w:spacing w:val="-21"/>
          <w:sz w:val="20"/>
          <w:szCs w:val="20"/>
        </w:rPr>
        <w:t xml:space="preserve"> </w:t>
      </w:r>
      <w:r>
        <w:rPr>
          <w:rFonts w:ascii="宋体" w:hAnsi="宋体" w:eastAsia="宋体" w:cs="宋体"/>
          <w:spacing w:val="8"/>
          <w:sz w:val="20"/>
          <w:szCs w:val="20"/>
        </w:rPr>
        <w:t>1.5%。如承包人在</w:t>
      </w:r>
      <w:r>
        <w:rPr>
          <w:rFonts w:ascii="宋体" w:hAnsi="宋体" w:eastAsia="宋体" w:cs="宋体"/>
          <w:spacing w:val="7"/>
          <w:sz w:val="20"/>
          <w:szCs w:val="20"/>
        </w:rPr>
        <w:t>发包人签发竣</w:t>
      </w:r>
      <w:r>
        <w:rPr>
          <w:rFonts w:ascii="宋体" w:hAnsi="宋体" w:eastAsia="宋体" w:cs="宋体"/>
          <w:spacing w:val="12"/>
          <w:sz w:val="20"/>
          <w:szCs w:val="20"/>
        </w:rPr>
        <w:t>工付款证书后</w:t>
      </w:r>
      <w:r>
        <w:rPr>
          <w:rFonts w:ascii="宋体" w:hAnsi="宋体" w:eastAsia="宋体" w:cs="宋体"/>
          <w:spacing w:val="-35"/>
          <w:sz w:val="20"/>
          <w:szCs w:val="20"/>
        </w:rPr>
        <w:t xml:space="preserve"> </w:t>
      </w:r>
      <w:r>
        <w:rPr>
          <w:rFonts w:ascii="宋体" w:hAnsi="宋体" w:eastAsia="宋体" w:cs="宋体"/>
          <w:spacing w:val="12"/>
          <w:sz w:val="20"/>
          <w:szCs w:val="20"/>
        </w:rPr>
        <w:t>28</w:t>
      </w:r>
      <w:r>
        <w:rPr>
          <w:rFonts w:ascii="宋体" w:hAnsi="宋体" w:eastAsia="宋体" w:cs="宋体"/>
          <w:spacing w:val="-31"/>
          <w:sz w:val="20"/>
          <w:szCs w:val="20"/>
        </w:rPr>
        <w:t xml:space="preserve"> </w:t>
      </w:r>
      <w:r>
        <w:rPr>
          <w:rFonts w:ascii="宋体" w:hAnsi="宋体" w:eastAsia="宋体" w:cs="宋体"/>
          <w:spacing w:val="12"/>
          <w:sz w:val="20"/>
          <w:szCs w:val="20"/>
        </w:rPr>
        <w:t>天内提交质量保证金保函，发包人应同时退还扣留的作为质量</w:t>
      </w:r>
      <w:r>
        <w:rPr>
          <w:rFonts w:ascii="宋体" w:hAnsi="宋体" w:eastAsia="宋体" w:cs="宋体"/>
          <w:spacing w:val="11"/>
          <w:sz w:val="20"/>
          <w:szCs w:val="20"/>
        </w:rPr>
        <w:t>保证金的工程价</w:t>
      </w:r>
      <w:r>
        <w:rPr>
          <w:rFonts w:ascii="宋体" w:hAnsi="宋体" w:eastAsia="宋体" w:cs="宋体"/>
          <w:spacing w:val="7"/>
          <w:sz w:val="20"/>
          <w:szCs w:val="20"/>
        </w:rPr>
        <w:t>款；保函金额不得超过工程价款结算总额的</w:t>
      </w:r>
      <w:r>
        <w:rPr>
          <w:rFonts w:ascii="宋体" w:hAnsi="宋体" w:eastAsia="宋体" w:cs="宋体"/>
          <w:spacing w:val="-16"/>
          <w:sz w:val="20"/>
          <w:szCs w:val="20"/>
        </w:rPr>
        <w:t xml:space="preserve"> </w:t>
      </w:r>
      <w:r>
        <w:rPr>
          <w:rFonts w:ascii="宋体" w:hAnsi="宋体" w:eastAsia="宋体" w:cs="宋体"/>
          <w:spacing w:val="7"/>
          <w:sz w:val="20"/>
          <w:szCs w:val="20"/>
        </w:rPr>
        <w:t>1.5%。</w:t>
      </w:r>
    </w:p>
    <w:p w14:paraId="4C3653D1">
      <w:pPr>
        <w:spacing w:before="1" w:line="345" w:lineRule="auto"/>
        <w:ind w:firstLine="425"/>
        <w:rPr>
          <w:rFonts w:ascii="宋体" w:hAnsi="宋体" w:eastAsia="宋体" w:cs="宋体"/>
          <w:sz w:val="20"/>
          <w:szCs w:val="20"/>
        </w:rPr>
      </w:pPr>
      <w:r>
        <w:rPr>
          <w:rFonts w:ascii="宋体" w:hAnsi="宋体" w:eastAsia="宋体" w:cs="宋体"/>
          <w:spacing w:val="10"/>
          <w:sz w:val="20"/>
          <w:szCs w:val="20"/>
        </w:rPr>
        <w:t>发包人无正当理由逾期退还质量保证金的，应按照全国银行间同业拆借中心公布的贷款市场</w:t>
      </w:r>
      <w:r>
        <w:rPr>
          <w:rFonts w:ascii="宋体" w:hAnsi="宋体" w:eastAsia="宋体" w:cs="宋体"/>
          <w:spacing w:val="5"/>
          <w:sz w:val="20"/>
          <w:szCs w:val="20"/>
        </w:rPr>
        <w:t>报价利率支付违约金（即逾期付款利息）。</w:t>
      </w:r>
    </w:p>
    <w:p w14:paraId="511E853E">
      <w:pPr>
        <w:spacing w:before="1" w:line="227" w:lineRule="auto"/>
        <w:ind w:left="425"/>
        <w:rPr>
          <w:rFonts w:ascii="宋体" w:hAnsi="宋体" w:eastAsia="宋体" w:cs="宋体"/>
          <w:sz w:val="20"/>
          <w:szCs w:val="20"/>
        </w:rPr>
      </w:pPr>
      <w:r>
        <w:rPr>
          <w:rFonts w:ascii="宋体" w:hAnsi="宋体" w:eastAsia="宋体" w:cs="宋体"/>
          <w:spacing w:val="9"/>
          <w:sz w:val="20"/>
          <w:szCs w:val="20"/>
        </w:rPr>
        <w:t>发包人扣留的质量保证金应在财务账目中单独列项，保证专款专用，不得挪作他用。</w:t>
      </w:r>
    </w:p>
    <w:p w14:paraId="68F418FF">
      <w:pPr>
        <w:spacing w:before="128" w:line="228" w:lineRule="auto"/>
        <w:ind w:left="437"/>
        <w:rPr>
          <w:rFonts w:ascii="宋体" w:hAnsi="宋体" w:eastAsia="宋体" w:cs="宋体"/>
          <w:sz w:val="20"/>
          <w:szCs w:val="20"/>
        </w:rPr>
      </w:pPr>
      <w:r>
        <w:rPr>
          <w:rFonts w:ascii="宋体" w:hAnsi="宋体" w:eastAsia="宋体" w:cs="宋体"/>
          <w:b/>
          <w:bCs/>
          <w:spacing w:val="4"/>
          <w:sz w:val="20"/>
          <w:szCs w:val="20"/>
        </w:rPr>
        <w:t>15.3.3</w:t>
      </w:r>
      <w:r>
        <w:rPr>
          <w:rFonts w:ascii="宋体" w:hAnsi="宋体" w:eastAsia="宋体" w:cs="宋体"/>
          <w:spacing w:val="4"/>
          <w:sz w:val="20"/>
          <w:szCs w:val="20"/>
        </w:rPr>
        <w:t xml:space="preserve"> </w:t>
      </w:r>
      <w:r>
        <w:rPr>
          <w:rFonts w:ascii="宋体" w:hAnsi="宋体" w:eastAsia="宋体" w:cs="宋体"/>
          <w:b/>
          <w:bCs/>
          <w:spacing w:val="4"/>
          <w:sz w:val="20"/>
          <w:szCs w:val="20"/>
        </w:rPr>
        <w:t>质量保证金的退还</w:t>
      </w:r>
    </w:p>
    <w:p w14:paraId="1B5C4F61">
      <w:pPr>
        <w:spacing w:before="126" w:line="346" w:lineRule="auto"/>
        <w:ind w:left="3" w:firstLine="418"/>
        <w:rPr>
          <w:rFonts w:ascii="宋体" w:hAnsi="宋体" w:eastAsia="宋体" w:cs="宋体"/>
          <w:sz w:val="20"/>
          <w:szCs w:val="20"/>
        </w:rPr>
      </w:pPr>
      <w:r>
        <w:rPr>
          <w:rFonts w:ascii="宋体" w:hAnsi="宋体" w:eastAsia="宋体" w:cs="宋体"/>
          <w:spacing w:val="10"/>
          <w:sz w:val="20"/>
          <w:szCs w:val="20"/>
        </w:rPr>
        <w:t>缺陷责任期内，承包人认真履行合同约定的责任，到期后，承包人可向发包人申请返还保证</w:t>
      </w:r>
      <w:r>
        <w:rPr>
          <w:rFonts w:ascii="宋体" w:hAnsi="宋体" w:eastAsia="宋体" w:cs="宋体"/>
          <w:spacing w:val="-1"/>
          <w:sz w:val="20"/>
          <w:szCs w:val="20"/>
        </w:rPr>
        <w:t>金。</w:t>
      </w:r>
    </w:p>
    <w:p w14:paraId="744C55CF">
      <w:pPr>
        <w:spacing w:before="3" w:line="345" w:lineRule="auto"/>
        <w:ind w:left="1" w:firstLine="423"/>
        <w:jc w:val="both"/>
        <w:rPr>
          <w:rFonts w:ascii="宋体" w:hAnsi="宋体" w:eastAsia="宋体" w:cs="宋体"/>
          <w:sz w:val="20"/>
          <w:szCs w:val="20"/>
        </w:rPr>
      </w:pPr>
      <w:r>
        <w:rPr>
          <w:rFonts w:ascii="宋体" w:hAnsi="宋体" w:eastAsia="宋体" w:cs="宋体"/>
          <w:spacing w:val="7"/>
          <w:sz w:val="20"/>
          <w:szCs w:val="20"/>
        </w:rPr>
        <w:t>发包人在接到承包人返还保证金申请后，应于</w:t>
      </w:r>
      <w:r>
        <w:rPr>
          <w:rFonts w:ascii="宋体" w:hAnsi="宋体" w:eastAsia="宋体" w:cs="宋体"/>
          <w:spacing w:val="-21"/>
          <w:sz w:val="20"/>
          <w:szCs w:val="20"/>
        </w:rPr>
        <w:t xml:space="preserve"> </w:t>
      </w:r>
      <w:r>
        <w:rPr>
          <w:rFonts w:ascii="宋体" w:hAnsi="宋体" w:eastAsia="宋体" w:cs="宋体"/>
          <w:spacing w:val="6"/>
          <w:sz w:val="20"/>
          <w:szCs w:val="20"/>
        </w:rPr>
        <w:t>14</w:t>
      </w:r>
      <w:r>
        <w:rPr>
          <w:rFonts w:ascii="宋体" w:hAnsi="宋体" w:eastAsia="宋体" w:cs="宋体"/>
          <w:spacing w:val="-36"/>
          <w:sz w:val="20"/>
          <w:szCs w:val="20"/>
        </w:rPr>
        <w:t xml:space="preserve"> </w:t>
      </w:r>
      <w:r>
        <w:rPr>
          <w:rFonts w:ascii="宋体" w:hAnsi="宋体" w:eastAsia="宋体" w:cs="宋体"/>
          <w:spacing w:val="6"/>
          <w:sz w:val="20"/>
          <w:szCs w:val="20"/>
        </w:rPr>
        <w:t>天内会同承包人按照合同约定的内容进行核</w:t>
      </w:r>
      <w:r>
        <w:rPr>
          <w:rFonts w:ascii="宋体" w:hAnsi="宋体" w:eastAsia="宋体" w:cs="宋体"/>
          <w:spacing w:val="10"/>
          <w:sz w:val="20"/>
          <w:szCs w:val="20"/>
        </w:rPr>
        <w:t>实。如无异议，发包人应当按照约定将保证金返还给承包人。对返还期限没有约定或者约定不明</w:t>
      </w:r>
      <w:r>
        <w:rPr>
          <w:rFonts w:ascii="宋体" w:hAnsi="宋体" w:eastAsia="宋体" w:cs="宋体"/>
          <w:spacing w:val="7"/>
          <w:sz w:val="20"/>
          <w:szCs w:val="20"/>
        </w:rPr>
        <w:t>确的，发包人应当在核实后</w:t>
      </w:r>
      <w:r>
        <w:rPr>
          <w:rFonts w:ascii="宋体" w:hAnsi="宋体" w:eastAsia="宋体" w:cs="宋体"/>
          <w:spacing w:val="-24"/>
          <w:sz w:val="20"/>
          <w:szCs w:val="20"/>
        </w:rPr>
        <w:t xml:space="preserve"> </w:t>
      </w:r>
      <w:r>
        <w:rPr>
          <w:rFonts w:ascii="宋体" w:hAnsi="宋体" w:eastAsia="宋体" w:cs="宋体"/>
          <w:spacing w:val="7"/>
          <w:sz w:val="20"/>
          <w:szCs w:val="20"/>
        </w:rPr>
        <w:t>14</w:t>
      </w:r>
      <w:r>
        <w:rPr>
          <w:rFonts w:ascii="宋体" w:hAnsi="宋体" w:eastAsia="宋体" w:cs="宋体"/>
          <w:spacing w:val="-36"/>
          <w:sz w:val="20"/>
          <w:szCs w:val="20"/>
        </w:rPr>
        <w:t xml:space="preserve"> </w:t>
      </w:r>
      <w:r>
        <w:rPr>
          <w:rFonts w:ascii="宋体" w:hAnsi="宋体" w:eastAsia="宋体" w:cs="宋体"/>
          <w:spacing w:val="7"/>
          <w:sz w:val="20"/>
          <w:szCs w:val="20"/>
        </w:rPr>
        <w:t>天内将保证金返还承包人，逾期未返还的，依</w:t>
      </w:r>
      <w:r>
        <w:rPr>
          <w:rFonts w:ascii="宋体" w:hAnsi="宋体" w:eastAsia="宋体" w:cs="宋体"/>
          <w:spacing w:val="6"/>
          <w:sz w:val="20"/>
          <w:szCs w:val="20"/>
        </w:rPr>
        <w:t>法承担违约责任。发</w:t>
      </w:r>
      <w:r>
        <w:rPr>
          <w:rFonts w:ascii="宋体" w:hAnsi="宋体" w:eastAsia="宋体" w:cs="宋体"/>
          <w:spacing w:val="8"/>
          <w:sz w:val="20"/>
          <w:szCs w:val="20"/>
        </w:rPr>
        <w:t>包人在接到承包人返还保证金申请后</w:t>
      </w:r>
      <w:r>
        <w:rPr>
          <w:rFonts w:ascii="宋体" w:hAnsi="宋体" w:eastAsia="宋体" w:cs="宋体"/>
          <w:spacing w:val="-21"/>
          <w:sz w:val="20"/>
          <w:szCs w:val="20"/>
        </w:rPr>
        <w:t xml:space="preserve"> </w:t>
      </w:r>
      <w:r>
        <w:rPr>
          <w:rFonts w:ascii="宋体" w:hAnsi="宋体" w:eastAsia="宋体" w:cs="宋体"/>
          <w:spacing w:val="8"/>
          <w:sz w:val="20"/>
          <w:szCs w:val="20"/>
        </w:rPr>
        <w:t>14</w:t>
      </w:r>
      <w:r>
        <w:rPr>
          <w:rFonts w:ascii="宋体" w:hAnsi="宋体" w:eastAsia="宋体" w:cs="宋体"/>
          <w:spacing w:val="-36"/>
          <w:sz w:val="20"/>
          <w:szCs w:val="20"/>
        </w:rPr>
        <w:t xml:space="preserve"> </w:t>
      </w:r>
      <w:r>
        <w:rPr>
          <w:rFonts w:ascii="宋体" w:hAnsi="宋体" w:eastAsia="宋体" w:cs="宋体"/>
          <w:spacing w:val="8"/>
          <w:sz w:val="20"/>
          <w:szCs w:val="20"/>
        </w:rPr>
        <w:t>天内不予答复，经催告后</w:t>
      </w:r>
      <w:r>
        <w:rPr>
          <w:rFonts w:ascii="宋体" w:hAnsi="宋体" w:eastAsia="宋体" w:cs="宋体"/>
          <w:spacing w:val="-21"/>
          <w:sz w:val="20"/>
          <w:szCs w:val="20"/>
        </w:rPr>
        <w:t xml:space="preserve"> </w:t>
      </w:r>
      <w:r>
        <w:rPr>
          <w:rFonts w:ascii="宋体" w:hAnsi="宋体" w:eastAsia="宋体" w:cs="宋体"/>
          <w:spacing w:val="8"/>
          <w:sz w:val="20"/>
          <w:szCs w:val="20"/>
        </w:rPr>
        <w:t>14</w:t>
      </w:r>
      <w:r>
        <w:rPr>
          <w:rFonts w:ascii="宋体" w:hAnsi="宋体" w:eastAsia="宋体" w:cs="宋体"/>
          <w:spacing w:val="-34"/>
          <w:sz w:val="20"/>
          <w:szCs w:val="20"/>
        </w:rPr>
        <w:t xml:space="preserve"> </w:t>
      </w:r>
      <w:r>
        <w:rPr>
          <w:rFonts w:ascii="宋体" w:hAnsi="宋体" w:eastAsia="宋体" w:cs="宋体"/>
          <w:spacing w:val="8"/>
          <w:sz w:val="20"/>
          <w:szCs w:val="20"/>
        </w:rPr>
        <w:t>天内仍不予答复，视同认可承包人的返还保证金申请。</w:t>
      </w:r>
    </w:p>
    <w:p w14:paraId="09AB906A">
      <w:pPr>
        <w:spacing w:before="2" w:line="345" w:lineRule="auto"/>
        <w:ind w:left="6" w:firstLine="418"/>
        <w:rPr>
          <w:rFonts w:ascii="宋体" w:hAnsi="宋体" w:eastAsia="宋体" w:cs="宋体"/>
          <w:sz w:val="20"/>
          <w:szCs w:val="20"/>
        </w:rPr>
      </w:pPr>
      <w:r>
        <w:rPr>
          <w:rFonts w:ascii="宋体" w:hAnsi="宋体" w:eastAsia="宋体" w:cs="宋体"/>
          <w:spacing w:val="7"/>
          <w:sz w:val="20"/>
          <w:szCs w:val="20"/>
        </w:rPr>
        <w:t>发包人和承包人对保证金预留、返还以及工程维修质量、费用有争议的，按本合同</w:t>
      </w:r>
      <w:r>
        <w:rPr>
          <w:rFonts w:ascii="宋体" w:hAnsi="宋体" w:eastAsia="宋体" w:cs="宋体"/>
          <w:spacing w:val="6"/>
          <w:sz w:val="20"/>
          <w:szCs w:val="20"/>
        </w:rPr>
        <w:t>第</w:t>
      </w:r>
      <w:r>
        <w:rPr>
          <w:rFonts w:ascii="宋体" w:hAnsi="宋体" w:eastAsia="宋体" w:cs="宋体"/>
          <w:spacing w:val="-37"/>
          <w:sz w:val="20"/>
          <w:szCs w:val="20"/>
        </w:rPr>
        <w:t xml:space="preserve"> </w:t>
      </w:r>
      <w:r>
        <w:rPr>
          <w:rFonts w:ascii="宋体" w:hAnsi="宋体" w:eastAsia="宋体" w:cs="宋体"/>
          <w:spacing w:val="6"/>
          <w:sz w:val="20"/>
          <w:szCs w:val="20"/>
        </w:rPr>
        <w:t>20</w:t>
      </w:r>
      <w:r>
        <w:rPr>
          <w:rFonts w:ascii="宋体" w:hAnsi="宋体" w:eastAsia="宋体" w:cs="宋体"/>
          <w:spacing w:val="-36"/>
          <w:sz w:val="20"/>
          <w:szCs w:val="20"/>
        </w:rPr>
        <w:t xml:space="preserve"> </w:t>
      </w:r>
      <w:r>
        <w:rPr>
          <w:rFonts w:ascii="宋体" w:hAnsi="宋体" w:eastAsia="宋体" w:cs="宋体"/>
          <w:spacing w:val="6"/>
          <w:sz w:val="20"/>
          <w:szCs w:val="20"/>
        </w:rPr>
        <w:t>条约</w:t>
      </w:r>
      <w:r>
        <w:rPr>
          <w:rFonts w:ascii="宋体" w:hAnsi="宋体" w:eastAsia="宋体" w:cs="宋体"/>
          <w:spacing w:val="8"/>
          <w:sz w:val="20"/>
          <w:szCs w:val="20"/>
        </w:rPr>
        <w:t>定的争议和纠纷解决程序处理。</w:t>
      </w:r>
    </w:p>
    <w:p w14:paraId="482EFF4C">
      <w:pPr>
        <w:spacing w:line="227" w:lineRule="auto"/>
        <w:ind w:left="437"/>
        <w:rPr>
          <w:rFonts w:ascii="宋体" w:hAnsi="宋体" w:eastAsia="宋体" w:cs="宋体"/>
          <w:sz w:val="20"/>
          <w:szCs w:val="20"/>
        </w:rPr>
      </w:pPr>
      <w:r>
        <w:rPr>
          <w:rFonts w:ascii="宋体" w:hAnsi="宋体" w:eastAsia="宋体" w:cs="宋体"/>
          <w:b/>
          <w:bCs/>
          <w:spacing w:val="-1"/>
          <w:sz w:val="20"/>
          <w:szCs w:val="20"/>
        </w:rPr>
        <w:t>15.4</w:t>
      </w:r>
      <w:r>
        <w:rPr>
          <w:rFonts w:ascii="宋体" w:hAnsi="宋体" w:eastAsia="宋体" w:cs="宋体"/>
          <w:spacing w:val="16"/>
          <w:sz w:val="20"/>
          <w:szCs w:val="20"/>
        </w:rPr>
        <w:t xml:space="preserve"> </w:t>
      </w:r>
      <w:r>
        <w:rPr>
          <w:rFonts w:ascii="宋体" w:hAnsi="宋体" w:eastAsia="宋体" w:cs="宋体"/>
          <w:b/>
          <w:bCs/>
          <w:spacing w:val="-1"/>
          <w:sz w:val="20"/>
          <w:szCs w:val="20"/>
        </w:rPr>
        <w:t>保修</w:t>
      </w:r>
    </w:p>
    <w:p w14:paraId="34654EF4">
      <w:pPr>
        <w:spacing w:before="128" w:line="228" w:lineRule="auto"/>
        <w:ind w:left="437"/>
        <w:rPr>
          <w:rFonts w:ascii="宋体" w:hAnsi="宋体" w:eastAsia="宋体" w:cs="宋体"/>
          <w:sz w:val="20"/>
          <w:szCs w:val="20"/>
        </w:rPr>
      </w:pPr>
      <w:r>
        <w:rPr>
          <w:rFonts w:ascii="宋体" w:hAnsi="宋体" w:eastAsia="宋体" w:cs="宋体"/>
          <w:b/>
          <w:bCs/>
          <w:spacing w:val="3"/>
          <w:sz w:val="20"/>
          <w:szCs w:val="20"/>
        </w:rPr>
        <w:t>15.4.1</w:t>
      </w:r>
      <w:r>
        <w:rPr>
          <w:rFonts w:ascii="宋体" w:hAnsi="宋体" w:eastAsia="宋体" w:cs="宋体"/>
          <w:spacing w:val="3"/>
          <w:sz w:val="20"/>
          <w:szCs w:val="20"/>
        </w:rPr>
        <w:t xml:space="preserve"> </w:t>
      </w:r>
      <w:r>
        <w:rPr>
          <w:rFonts w:ascii="宋体" w:hAnsi="宋体" w:eastAsia="宋体" w:cs="宋体"/>
          <w:b/>
          <w:bCs/>
          <w:spacing w:val="3"/>
          <w:sz w:val="20"/>
          <w:szCs w:val="20"/>
        </w:rPr>
        <w:t>保修责任</w:t>
      </w:r>
    </w:p>
    <w:p w14:paraId="27841074">
      <w:pPr>
        <w:spacing w:before="126" w:line="346" w:lineRule="auto"/>
        <w:ind w:left="2" w:firstLine="421"/>
        <w:jc w:val="both"/>
        <w:rPr>
          <w:rFonts w:ascii="宋体" w:hAnsi="宋体" w:eastAsia="宋体" w:cs="宋体"/>
          <w:sz w:val="20"/>
          <w:szCs w:val="20"/>
        </w:rPr>
      </w:pPr>
      <w:r>
        <w:rPr>
          <w:rFonts w:ascii="宋体" w:hAnsi="宋体" w:eastAsia="宋体" w:cs="宋体"/>
          <w:spacing w:val="10"/>
          <w:sz w:val="20"/>
          <w:szCs w:val="20"/>
        </w:rPr>
        <w:t>工程保修期从工程竣工验收合格之日起算，具体分部分项工程的保修期由合同当事人在专用合同条款中约定，但不得低于法定最低保修年限。在工程保修期内，承包人应当根据有关法律规</w:t>
      </w:r>
      <w:r>
        <w:rPr>
          <w:rFonts w:ascii="宋体" w:hAnsi="宋体" w:eastAsia="宋体" w:cs="宋体"/>
          <w:spacing w:val="8"/>
          <w:sz w:val="20"/>
          <w:szCs w:val="20"/>
        </w:rPr>
        <w:t>定以及合同约定承担保修责任。</w:t>
      </w:r>
    </w:p>
    <w:p w14:paraId="698CB5B2">
      <w:pPr>
        <w:spacing w:before="1" w:line="227" w:lineRule="auto"/>
        <w:ind w:left="425"/>
        <w:rPr>
          <w:rFonts w:ascii="宋体" w:hAnsi="宋体" w:eastAsia="宋体" w:cs="宋体"/>
          <w:sz w:val="20"/>
          <w:szCs w:val="20"/>
        </w:rPr>
      </w:pPr>
      <w:r>
        <w:rPr>
          <w:rFonts w:ascii="宋体" w:hAnsi="宋体" w:eastAsia="宋体" w:cs="宋体"/>
          <w:spacing w:val="9"/>
          <w:sz w:val="20"/>
          <w:szCs w:val="20"/>
        </w:rPr>
        <w:t>发包人未经竣工验收擅自使用工程的，保修期自转移占有之日起算。</w:t>
      </w:r>
    </w:p>
    <w:p w14:paraId="3DA2774E">
      <w:pPr>
        <w:spacing w:before="127" w:line="228" w:lineRule="auto"/>
        <w:ind w:left="437"/>
        <w:rPr>
          <w:rFonts w:ascii="宋体" w:hAnsi="宋体" w:eastAsia="宋体" w:cs="宋体"/>
          <w:sz w:val="20"/>
          <w:szCs w:val="20"/>
        </w:rPr>
      </w:pPr>
      <w:r>
        <w:rPr>
          <w:rFonts w:ascii="宋体" w:hAnsi="宋体" w:eastAsia="宋体" w:cs="宋体"/>
          <w:b/>
          <w:bCs/>
          <w:spacing w:val="3"/>
          <w:sz w:val="20"/>
          <w:szCs w:val="20"/>
        </w:rPr>
        <w:t>15.4.2</w:t>
      </w:r>
      <w:r>
        <w:rPr>
          <w:rFonts w:ascii="宋体" w:hAnsi="宋体" w:eastAsia="宋体" w:cs="宋体"/>
          <w:spacing w:val="3"/>
          <w:sz w:val="20"/>
          <w:szCs w:val="20"/>
        </w:rPr>
        <w:t xml:space="preserve"> </w:t>
      </w:r>
      <w:r>
        <w:rPr>
          <w:rFonts w:ascii="宋体" w:hAnsi="宋体" w:eastAsia="宋体" w:cs="宋体"/>
          <w:b/>
          <w:bCs/>
          <w:spacing w:val="3"/>
          <w:sz w:val="20"/>
          <w:szCs w:val="20"/>
        </w:rPr>
        <w:t>修复费用</w:t>
      </w:r>
    </w:p>
    <w:p w14:paraId="0800E931">
      <w:pPr>
        <w:spacing w:before="128" w:line="228" w:lineRule="auto"/>
        <w:ind w:left="422"/>
        <w:rPr>
          <w:rFonts w:ascii="宋体" w:hAnsi="宋体" w:eastAsia="宋体" w:cs="宋体"/>
          <w:sz w:val="20"/>
          <w:szCs w:val="20"/>
        </w:rPr>
      </w:pPr>
      <w:r>
        <w:rPr>
          <w:rFonts w:ascii="宋体" w:hAnsi="宋体" w:eastAsia="宋体" w:cs="宋体"/>
          <w:spacing w:val="8"/>
          <w:sz w:val="20"/>
          <w:szCs w:val="20"/>
        </w:rPr>
        <w:t>保修期内，修复的费用按照以下约定处理：</w:t>
      </w:r>
    </w:p>
    <w:p w14:paraId="1A714776">
      <w:pPr>
        <w:spacing w:before="127" w:line="228" w:lineRule="auto"/>
        <w:jc w:val="right"/>
        <w:rPr>
          <w:rFonts w:ascii="宋体" w:hAnsi="宋体" w:eastAsia="宋体" w:cs="宋体"/>
          <w:sz w:val="20"/>
          <w:szCs w:val="20"/>
        </w:rPr>
      </w:pPr>
      <w:r>
        <w:rPr>
          <w:rFonts w:ascii="宋体" w:hAnsi="宋体" w:eastAsia="宋体" w:cs="宋体"/>
          <w:spacing w:val="7"/>
          <w:sz w:val="20"/>
          <w:szCs w:val="20"/>
        </w:rPr>
        <w:t>（1）保修期内，因承包人原因造成工程的缺陷、损坏，承包人应负责修复，并承担修复的费</w:t>
      </w:r>
    </w:p>
    <w:p w14:paraId="5E6201C1">
      <w:pPr>
        <w:spacing w:line="228" w:lineRule="auto"/>
        <w:rPr>
          <w:rFonts w:ascii="宋体" w:hAnsi="宋体" w:eastAsia="宋体" w:cs="宋体"/>
          <w:sz w:val="20"/>
          <w:szCs w:val="20"/>
        </w:rPr>
        <w:sectPr>
          <w:footerReference r:id="rId381" w:type="default"/>
          <w:pgSz w:w="11906" w:h="16839"/>
          <w:pgMar w:top="400" w:right="1532" w:bottom="1446" w:left="1537" w:header="0" w:footer="1284" w:gutter="0"/>
          <w:cols w:space="720" w:num="1"/>
        </w:sectPr>
      </w:pPr>
    </w:p>
    <w:p w14:paraId="3B6D8A08">
      <w:pPr>
        <w:spacing w:line="246" w:lineRule="auto"/>
        <w:rPr>
          <w:rFonts w:ascii="Arial"/>
          <w:sz w:val="21"/>
        </w:rPr>
      </w:pPr>
    </w:p>
    <w:p w14:paraId="35DD1761">
      <w:pPr>
        <w:spacing w:line="246" w:lineRule="auto"/>
        <w:rPr>
          <w:rFonts w:ascii="Arial"/>
          <w:sz w:val="21"/>
        </w:rPr>
      </w:pPr>
    </w:p>
    <w:p w14:paraId="5CB13517">
      <w:pPr>
        <w:spacing w:line="246" w:lineRule="auto"/>
        <w:rPr>
          <w:rFonts w:ascii="Arial"/>
          <w:sz w:val="21"/>
        </w:rPr>
      </w:pPr>
    </w:p>
    <w:p w14:paraId="3CE67970">
      <w:pPr>
        <w:spacing w:line="246" w:lineRule="auto"/>
        <w:rPr>
          <w:rFonts w:ascii="Arial"/>
          <w:sz w:val="21"/>
        </w:rPr>
      </w:pPr>
    </w:p>
    <w:p w14:paraId="37975ACC">
      <w:pPr>
        <w:spacing w:line="247" w:lineRule="auto"/>
        <w:rPr>
          <w:rFonts w:ascii="Arial"/>
          <w:sz w:val="21"/>
        </w:rPr>
      </w:pPr>
    </w:p>
    <w:p w14:paraId="0E44C0C0">
      <w:pPr>
        <w:spacing w:line="247" w:lineRule="auto"/>
        <w:rPr>
          <w:rFonts w:ascii="Arial"/>
          <w:sz w:val="21"/>
        </w:rPr>
      </w:pPr>
    </w:p>
    <w:p w14:paraId="7B2732CB">
      <w:pPr>
        <w:spacing w:before="65" w:line="228" w:lineRule="auto"/>
        <w:ind w:left="1"/>
        <w:rPr>
          <w:rFonts w:ascii="宋体" w:hAnsi="宋体" w:eastAsia="宋体" w:cs="宋体"/>
          <w:sz w:val="20"/>
          <w:szCs w:val="20"/>
        </w:rPr>
      </w:pPr>
      <w:r>
        <w:rPr>
          <w:rFonts w:ascii="宋体" w:hAnsi="宋体" w:eastAsia="宋体" w:cs="宋体"/>
          <w:spacing w:val="9"/>
          <w:sz w:val="20"/>
          <w:szCs w:val="20"/>
        </w:rPr>
        <w:t>用以及因工程的缺陷、损坏造成的人身伤害和财产损失；</w:t>
      </w:r>
    </w:p>
    <w:p w14:paraId="5C8E68CB">
      <w:pPr>
        <w:spacing w:before="126" w:line="346" w:lineRule="auto"/>
        <w:ind w:right="56" w:firstLine="430"/>
        <w:rPr>
          <w:rFonts w:ascii="宋体" w:hAnsi="宋体" w:eastAsia="宋体" w:cs="宋体"/>
          <w:sz w:val="20"/>
          <w:szCs w:val="20"/>
        </w:rPr>
      </w:pPr>
      <w:r>
        <w:rPr>
          <w:rFonts w:ascii="宋体" w:hAnsi="宋体" w:eastAsia="宋体" w:cs="宋体"/>
          <w:spacing w:val="7"/>
          <w:sz w:val="20"/>
          <w:szCs w:val="20"/>
        </w:rPr>
        <w:t>（2）保修期内，因发包人使用不当造成工程的缺陷、损坏，可以委托承包人修复，但发包人</w:t>
      </w:r>
      <w:r>
        <w:rPr>
          <w:rFonts w:ascii="宋体" w:hAnsi="宋体" w:eastAsia="宋体" w:cs="宋体"/>
          <w:spacing w:val="9"/>
          <w:sz w:val="20"/>
          <w:szCs w:val="20"/>
        </w:rPr>
        <w:t>应承担修复的费用，并支付承包人合理利润；</w:t>
      </w:r>
    </w:p>
    <w:p w14:paraId="67671FBE">
      <w:pPr>
        <w:spacing w:before="1" w:line="345" w:lineRule="auto"/>
        <w:ind w:left="5" w:right="24" w:firstLine="425"/>
        <w:rPr>
          <w:rFonts w:ascii="宋体" w:hAnsi="宋体" w:eastAsia="宋体" w:cs="宋体"/>
          <w:sz w:val="20"/>
          <w:szCs w:val="20"/>
        </w:rPr>
      </w:pPr>
      <w:r>
        <w:rPr>
          <w:rFonts w:ascii="宋体" w:hAnsi="宋体" w:eastAsia="宋体" w:cs="宋体"/>
          <w:spacing w:val="8"/>
          <w:sz w:val="20"/>
          <w:szCs w:val="20"/>
        </w:rPr>
        <w:t>（3）因其他原因造成工程的缺陷、损坏，可以委托承包人修复，发包人应承担修复的费用，</w:t>
      </w:r>
      <w:r>
        <w:rPr>
          <w:rFonts w:ascii="宋体" w:hAnsi="宋体" w:eastAsia="宋体" w:cs="宋体"/>
          <w:spacing w:val="9"/>
          <w:sz w:val="20"/>
          <w:szCs w:val="20"/>
        </w:rPr>
        <w:t>并支付承包人合理的利润，因工程的缺陷、损坏造成的人身伤害和财产损失由责任方承担。</w:t>
      </w:r>
    </w:p>
    <w:p w14:paraId="3AA7B71D">
      <w:pPr>
        <w:spacing w:line="227" w:lineRule="auto"/>
        <w:ind w:left="435"/>
        <w:rPr>
          <w:rFonts w:ascii="宋体" w:hAnsi="宋体" w:eastAsia="宋体" w:cs="宋体"/>
          <w:sz w:val="20"/>
          <w:szCs w:val="20"/>
        </w:rPr>
      </w:pPr>
      <w:r>
        <w:rPr>
          <w:rFonts w:ascii="宋体" w:hAnsi="宋体" w:eastAsia="宋体" w:cs="宋体"/>
          <w:b/>
          <w:bCs/>
          <w:spacing w:val="3"/>
          <w:sz w:val="20"/>
          <w:szCs w:val="20"/>
        </w:rPr>
        <w:t>15.4.3</w:t>
      </w:r>
      <w:r>
        <w:rPr>
          <w:rFonts w:ascii="宋体" w:hAnsi="宋体" w:eastAsia="宋体" w:cs="宋体"/>
          <w:spacing w:val="3"/>
          <w:sz w:val="20"/>
          <w:szCs w:val="20"/>
        </w:rPr>
        <w:t xml:space="preserve"> </w:t>
      </w:r>
      <w:r>
        <w:rPr>
          <w:rFonts w:ascii="宋体" w:hAnsi="宋体" w:eastAsia="宋体" w:cs="宋体"/>
          <w:b/>
          <w:bCs/>
          <w:spacing w:val="3"/>
          <w:sz w:val="20"/>
          <w:szCs w:val="20"/>
        </w:rPr>
        <w:t>修复通知</w:t>
      </w:r>
    </w:p>
    <w:p w14:paraId="65FF0665">
      <w:pPr>
        <w:spacing w:before="126" w:line="346" w:lineRule="auto"/>
        <w:ind w:right="54" w:firstLine="419"/>
        <w:jc w:val="both"/>
        <w:rPr>
          <w:rFonts w:ascii="宋体" w:hAnsi="宋体" w:eastAsia="宋体" w:cs="宋体"/>
          <w:sz w:val="20"/>
          <w:szCs w:val="20"/>
        </w:rPr>
      </w:pPr>
      <w:r>
        <w:rPr>
          <w:rFonts w:ascii="宋体" w:hAnsi="宋体" w:eastAsia="宋体" w:cs="宋体"/>
          <w:spacing w:val="10"/>
          <w:sz w:val="20"/>
          <w:szCs w:val="20"/>
        </w:rPr>
        <w:t>在保修期内，发包人在使用过程中，发现已接收的工程存在缺陷或损坏的，应书面通知承包人予以修复，但情况紧急必须立即修复缺陷或损坏的，发包人可以口头通知承包人并在口头通知</w:t>
      </w:r>
      <w:r>
        <w:rPr>
          <w:rFonts w:ascii="宋体" w:hAnsi="宋体" w:eastAsia="宋体" w:cs="宋体"/>
          <w:spacing w:val="7"/>
          <w:sz w:val="20"/>
          <w:szCs w:val="20"/>
        </w:rPr>
        <w:t>后</w:t>
      </w:r>
      <w:r>
        <w:rPr>
          <w:rFonts w:ascii="宋体" w:hAnsi="宋体" w:eastAsia="宋体" w:cs="宋体"/>
          <w:spacing w:val="-37"/>
          <w:sz w:val="20"/>
          <w:szCs w:val="20"/>
        </w:rPr>
        <w:t xml:space="preserve"> </w:t>
      </w:r>
      <w:r>
        <w:rPr>
          <w:rFonts w:ascii="宋体" w:hAnsi="宋体" w:eastAsia="宋体" w:cs="宋体"/>
          <w:spacing w:val="7"/>
          <w:sz w:val="20"/>
          <w:szCs w:val="20"/>
        </w:rPr>
        <w:t>48</w:t>
      </w:r>
      <w:r>
        <w:rPr>
          <w:rFonts w:ascii="宋体" w:hAnsi="宋体" w:eastAsia="宋体" w:cs="宋体"/>
          <w:spacing w:val="-32"/>
          <w:sz w:val="20"/>
          <w:szCs w:val="20"/>
        </w:rPr>
        <w:t xml:space="preserve"> </w:t>
      </w:r>
      <w:r>
        <w:rPr>
          <w:rFonts w:ascii="宋体" w:hAnsi="宋体" w:eastAsia="宋体" w:cs="宋体"/>
          <w:spacing w:val="7"/>
          <w:sz w:val="20"/>
          <w:szCs w:val="20"/>
        </w:rPr>
        <w:t>小时内书面确认，承包人应在专用合同条款约定的合理期限内到达工程现场并修复缺陷或损</w:t>
      </w:r>
      <w:r>
        <w:rPr>
          <w:rFonts w:ascii="宋体" w:hAnsi="宋体" w:eastAsia="宋体" w:cs="宋体"/>
          <w:sz w:val="20"/>
          <w:szCs w:val="20"/>
        </w:rPr>
        <w:t>坏。</w:t>
      </w:r>
    </w:p>
    <w:p w14:paraId="22A061AA">
      <w:pPr>
        <w:spacing w:line="227" w:lineRule="auto"/>
        <w:ind w:left="435"/>
        <w:rPr>
          <w:rFonts w:ascii="宋体" w:hAnsi="宋体" w:eastAsia="宋体" w:cs="宋体"/>
          <w:sz w:val="20"/>
          <w:szCs w:val="20"/>
        </w:rPr>
      </w:pPr>
      <w:r>
        <w:rPr>
          <w:rFonts w:ascii="宋体" w:hAnsi="宋体" w:eastAsia="宋体" w:cs="宋体"/>
          <w:b/>
          <w:bCs/>
          <w:spacing w:val="3"/>
          <w:sz w:val="20"/>
          <w:szCs w:val="20"/>
        </w:rPr>
        <w:t>15.4.4</w:t>
      </w:r>
      <w:r>
        <w:rPr>
          <w:rFonts w:ascii="宋体" w:hAnsi="宋体" w:eastAsia="宋体" w:cs="宋体"/>
          <w:spacing w:val="3"/>
          <w:sz w:val="20"/>
          <w:szCs w:val="20"/>
        </w:rPr>
        <w:t xml:space="preserve"> </w:t>
      </w:r>
      <w:r>
        <w:rPr>
          <w:rFonts w:ascii="宋体" w:hAnsi="宋体" w:eastAsia="宋体" w:cs="宋体"/>
          <w:b/>
          <w:bCs/>
          <w:spacing w:val="3"/>
          <w:sz w:val="20"/>
          <w:szCs w:val="20"/>
        </w:rPr>
        <w:t>未能修复</w:t>
      </w:r>
    </w:p>
    <w:p w14:paraId="2848FC39">
      <w:pPr>
        <w:spacing w:before="127" w:line="346" w:lineRule="auto"/>
        <w:ind w:firstLine="436"/>
        <w:jc w:val="both"/>
        <w:rPr>
          <w:rFonts w:ascii="宋体" w:hAnsi="宋体" w:eastAsia="宋体" w:cs="宋体"/>
          <w:sz w:val="20"/>
          <w:szCs w:val="20"/>
        </w:rPr>
      </w:pPr>
      <w:r>
        <w:rPr>
          <w:rFonts w:ascii="宋体" w:hAnsi="宋体" w:eastAsia="宋体" w:cs="宋体"/>
          <w:spacing w:val="6"/>
          <w:sz w:val="20"/>
          <w:szCs w:val="20"/>
        </w:rPr>
        <w:t>因承包人原因造成工程的缺陷或损坏，承包人拒绝维修或未能在合理期限内修复缺陷或损坏，</w:t>
      </w:r>
      <w:r>
        <w:rPr>
          <w:rFonts w:ascii="宋体" w:hAnsi="宋体" w:eastAsia="宋体" w:cs="宋体"/>
          <w:spacing w:val="10"/>
          <w:sz w:val="20"/>
          <w:szCs w:val="20"/>
        </w:rPr>
        <w:t>且经发包人书面催告后仍未修复的，发包人有权自行修复或委托第三方修复，所需费用由承包人</w:t>
      </w:r>
      <w:r>
        <w:rPr>
          <w:rFonts w:ascii="宋体" w:hAnsi="宋体" w:eastAsia="宋体" w:cs="宋体"/>
          <w:spacing w:val="9"/>
          <w:sz w:val="20"/>
          <w:szCs w:val="20"/>
        </w:rPr>
        <w:t>承担。但修复范围超出缺陷或损坏范围的，超出范围部分的修复费用由发包人承担。</w:t>
      </w:r>
    </w:p>
    <w:p w14:paraId="23123797">
      <w:pPr>
        <w:spacing w:before="1" w:line="227" w:lineRule="auto"/>
        <w:ind w:left="435"/>
        <w:rPr>
          <w:rFonts w:ascii="宋体" w:hAnsi="宋体" w:eastAsia="宋体" w:cs="宋体"/>
          <w:sz w:val="20"/>
          <w:szCs w:val="20"/>
        </w:rPr>
      </w:pPr>
      <w:r>
        <w:rPr>
          <w:rFonts w:ascii="宋体" w:hAnsi="宋体" w:eastAsia="宋体" w:cs="宋体"/>
          <w:b/>
          <w:bCs/>
          <w:spacing w:val="4"/>
          <w:sz w:val="20"/>
          <w:szCs w:val="20"/>
        </w:rPr>
        <w:t>15.4.5</w:t>
      </w:r>
      <w:r>
        <w:rPr>
          <w:rFonts w:ascii="宋体" w:hAnsi="宋体" w:eastAsia="宋体" w:cs="宋体"/>
          <w:spacing w:val="4"/>
          <w:sz w:val="20"/>
          <w:szCs w:val="20"/>
        </w:rPr>
        <w:t xml:space="preserve"> </w:t>
      </w:r>
      <w:r>
        <w:rPr>
          <w:rFonts w:ascii="宋体" w:hAnsi="宋体" w:eastAsia="宋体" w:cs="宋体"/>
          <w:b/>
          <w:bCs/>
          <w:spacing w:val="4"/>
          <w:sz w:val="20"/>
          <w:szCs w:val="20"/>
        </w:rPr>
        <w:t>承包人出入权</w:t>
      </w:r>
    </w:p>
    <w:p w14:paraId="20EE8418">
      <w:pPr>
        <w:spacing w:before="126" w:line="347" w:lineRule="auto"/>
        <w:ind w:right="54" w:firstLine="419"/>
        <w:jc w:val="both"/>
        <w:rPr>
          <w:rFonts w:ascii="宋体" w:hAnsi="宋体" w:eastAsia="宋体" w:cs="宋体"/>
          <w:sz w:val="20"/>
          <w:szCs w:val="20"/>
        </w:rPr>
      </w:pPr>
      <w:r>
        <w:rPr>
          <w:rFonts w:ascii="宋体" w:hAnsi="宋体" w:eastAsia="宋体" w:cs="宋体"/>
          <w:spacing w:val="10"/>
          <w:sz w:val="20"/>
          <w:szCs w:val="20"/>
        </w:rPr>
        <w:t>在保修期内，为了修复缺陷或损坏，承包人有权出入工程现场，除情况紧急必须立即修复缺</w:t>
      </w:r>
      <w:r>
        <w:rPr>
          <w:rFonts w:ascii="宋体" w:hAnsi="宋体" w:eastAsia="宋体" w:cs="宋体"/>
          <w:spacing w:val="7"/>
          <w:sz w:val="20"/>
          <w:szCs w:val="20"/>
        </w:rPr>
        <w:t>陷或损坏外，承包人应提前</w:t>
      </w:r>
      <w:r>
        <w:rPr>
          <w:rFonts w:ascii="宋体" w:hAnsi="宋体" w:eastAsia="宋体" w:cs="宋体"/>
          <w:spacing w:val="-34"/>
          <w:sz w:val="20"/>
          <w:szCs w:val="20"/>
        </w:rPr>
        <w:t xml:space="preserve"> </w:t>
      </w:r>
      <w:r>
        <w:rPr>
          <w:rFonts w:ascii="宋体" w:hAnsi="宋体" w:eastAsia="宋体" w:cs="宋体"/>
          <w:spacing w:val="7"/>
          <w:sz w:val="20"/>
          <w:szCs w:val="20"/>
        </w:rPr>
        <w:t>24</w:t>
      </w:r>
      <w:r>
        <w:rPr>
          <w:rFonts w:ascii="宋体" w:hAnsi="宋体" w:eastAsia="宋体" w:cs="宋体"/>
          <w:spacing w:val="-35"/>
          <w:sz w:val="20"/>
          <w:szCs w:val="20"/>
        </w:rPr>
        <w:t xml:space="preserve"> </w:t>
      </w:r>
      <w:r>
        <w:rPr>
          <w:rFonts w:ascii="宋体" w:hAnsi="宋体" w:eastAsia="宋体" w:cs="宋体"/>
          <w:spacing w:val="7"/>
          <w:sz w:val="20"/>
          <w:szCs w:val="20"/>
        </w:rPr>
        <w:t>小时通知发包人进场修复的时间。承包人进入工程现场前应获得发</w:t>
      </w:r>
      <w:r>
        <w:rPr>
          <w:rFonts w:ascii="宋体" w:hAnsi="宋体" w:eastAsia="宋体" w:cs="宋体"/>
          <w:spacing w:val="9"/>
          <w:sz w:val="20"/>
          <w:szCs w:val="20"/>
        </w:rPr>
        <w:t>包人同意，且不应影响发包人正常的生产经营，并应遵守发包人有关保安和保密等规定。</w:t>
      </w:r>
    </w:p>
    <w:p w14:paraId="20E3E93A">
      <w:pPr>
        <w:spacing w:line="338" w:lineRule="auto"/>
        <w:rPr>
          <w:rFonts w:ascii="Arial"/>
          <w:sz w:val="21"/>
        </w:rPr>
      </w:pPr>
    </w:p>
    <w:p w14:paraId="7591F3ED">
      <w:pPr>
        <w:spacing w:line="338" w:lineRule="auto"/>
        <w:rPr>
          <w:rFonts w:ascii="Arial"/>
          <w:sz w:val="21"/>
        </w:rPr>
      </w:pPr>
    </w:p>
    <w:p w14:paraId="4DD59B90">
      <w:pPr>
        <w:spacing w:before="65" w:line="233" w:lineRule="auto"/>
        <w:ind w:left="435"/>
        <w:outlineLvl w:val="2"/>
        <w:rPr>
          <w:rFonts w:ascii="宋体" w:hAnsi="宋体" w:eastAsia="宋体" w:cs="宋体"/>
          <w:sz w:val="20"/>
          <w:szCs w:val="20"/>
        </w:rPr>
      </w:pPr>
      <w:bookmarkStart w:id="321" w:name="bookmark304"/>
      <w:bookmarkEnd w:id="321"/>
      <w:r>
        <w:rPr>
          <w:rFonts w:ascii="宋体" w:hAnsi="宋体" w:eastAsia="宋体" w:cs="宋体"/>
          <w:b/>
          <w:bCs/>
          <w:spacing w:val="-1"/>
          <w:sz w:val="20"/>
          <w:szCs w:val="20"/>
        </w:rPr>
        <w:t>16.</w:t>
      </w:r>
      <w:r>
        <w:rPr>
          <w:rFonts w:ascii="宋体" w:hAnsi="宋体" w:eastAsia="宋体" w:cs="宋体"/>
          <w:spacing w:val="12"/>
          <w:sz w:val="20"/>
          <w:szCs w:val="20"/>
        </w:rPr>
        <w:t xml:space="preserve"> </w:t>
      </w:r>
      <w:r>
        <w:rPr>
          <w:rFonts w:ascii="宋体" w:hAnsi="宋体" w:eastAsia="宋体" w:cs="宋体"/>
          <w:b/>
          <w:bCs/>
          <w:spacing w:val="-1"/>
          <w:sz w:val="20"/>
          <w:szCs w:val="20"/>
        </w:rPr>
        <w:t>违约</w:t>
      </w:r>
    </w:p>
    <w:p w14:paraId="292BABFE">
      <w:pPr>
        <w:spacing w:before="123" w:line="228" w:lineRule="auto"/>
        <w:ind w:left="435"/>
        <w:rPr>
          <w:rFonts w:ascii="宋体" w:hAnsi="宋体" w:eastAsia="宋体" w:cs="宋体"/>
          <w:sz w:val="20"/>
          <w:szCs w:val="20"/>
        </w:rPr>
      </w:pPr>
      <w:r>
        <w:rPr>
          <w:rFonts w:ascii="宋体" w:hAnsi="宋体" w:eastAsia="宋体" w:cs="宋体"/>
          <w:b/>
          <w:bCs/>
          <w:spacing w:val="3"/>
          <w:sz w:val="20"/>
          <w:szCs w:val="20"/>
        </w:rPr>
        <w:t>16.1</w:t>
      </w:r>
      <w:r>
        <w:rPr>
          <w:rFonts w:ascii="宋体" w:hAnsi="宋体" w:eastAsia="宋体" w:cs="宋体"/>
          <w:spacing w:val="3"/>
          <w:sz w:val="20"/>
          <w:szCs w:val="20"/>
        </w:rPr>
        <w:t xml:space="preserve"> </w:t>
      </w:r>
      <w:r>
        <w:rPr>
          <w:rFonts w:ascii="宋体" w:hAnsi="宋体" w:eastAsia="宋体" w:cs="宋体"/>
          <w:b/>
          <w:bCs/>
          <w:spacing w:val="3"/>
          <w:sz w:val="20"/>
          <w:szCs w:val="20"/>
        </w:rPr>
        <w:t>发包人违约</w:t>
      </w:r>
    </w:p>
    <w:p w14:paraId="20E4F0A7">
      <w:pPr>
        <w:spacing w:before="127" w:line="228" w:lineRule="auto"/>
        <w:ind w:left="435"/>
        <w:rPr>
          <w:rFonts w:ascii="宋体" w:hAnsi="宋体" w:eastAsia="宋体" w:cs="宋体"/>
          <w:sz w:val="20"/>
          <w:szCs w:val="20"/>
        </w:rPr>
      </w:pPr>
      <w:r>
        <w:rPr>
          <w:rFonts w:ascii="宋体" w:hAnsi="宋体" w:eastAsia="宋体" w:cs="宋体"/>
          <w:b/>
          <w:bCs/>
          <w:spacing w:val="4"/>
          <w:sz w:val="20"/>
          <w:szCs w:val="20"/>
        </w:rPr>
        <w:t>16.1.1</w:t>
      </w:r>
      <w:r>
        <w:rPr>
          <w:rFonts w:ascii="宋体" w:hAnsi="宋体" w:eastAsia="宋体" w:cs="宋体"/>
          <w:spacing w:val="4"/>
          <w:sz w:val="20"/>
          <w:szCs w:val="20"/>
        </w:rPr>
        <w:t xml:space="preserve"> </w:t>
      </w:r>
      <w:r>
        <w:rPr>
          <w:rFonts w:ascii="宋体" w:hAnsi="宋体" w:eastAsia="宋体" w:cs="宋体"/>
          <w:b/>
          <w:bCs/>
          <w:spacing w:val="4"/>
          <w:sz w:val="20"/>
          <w:szCs w:val="20"/>
        </w:rPr>
        <w:t>发包人违约的情形</w:t>
      </w:r>
    </w:p>
    <w:p w14:paraId="1690E489">
      <w:pPr>
        <w:spacing w:before="128" w:line="228" w:lineRule="auto"/>
        <w:ind w:left="419"/>
        <w:rPr>
          <w:rFonts w:ascii="宋体" w:hAnsi="宋体" w:eastAsia="宋体" w:cs="宋体"/>
          <w:sz w:val="20"/>
          <w:szCs w:val="20"/>
        </w:rPr>
      </w:pPr>
      <w:r>
        <w:rPr>
          <w:rFonts w:ascii="宋体" w:hAnsi="宋体" w:eastAsia="宋体" w:cs="宋体"/>
          <w:spacing w:val="9"/>
          <w:sz w:val="20"/>
          <w:szCs w:val="20"/>
        </w:rPr>
        <w:t>在合同履行过程中发生的下列情形，属于发包人违约：</w:t>
      </w:r>
    </w:p>
    <w:p w14:paraId="7D981B75">
      <w:pPr>
        <w:spacing w:before="126" w:line="228" w:lineRule="auto"/>
        <w:ind w:left="430"/>
        <w:rPr>
          <w:rFonts w:ascii="宋体" w:hAnsi="宋体" w:eastAsia="宋体" w:cs="宋体"/>
          <w:sz w:val="20"/>
          <w:szCs w:val="20"/>
        </w:rPr>
      </w:pPr>
      <w:r>
        <w:rPr>
          <w:rFonts w:ascii="宋体" w:hAnsi="宋体" w:eastAsia="宋体" w:cs="宋体"/>
          <w:spacing w:val="8"/>
          <w:sz w:val="20"/>
          <w:szCs w:val="20"/>
        </w:rPr>
        <w:t>（1）因发包人原因未能在计划开工日期前</w:t>
      </w:r>
      <w:r>
        <w:rPr>
          <w:rFonts w:ascii="宋体" w:hAnsi="宋体" w:eastAsia="宋体" w:cs="宋体"/>
          <w:spacing w:val="-34"/>
          <w:sz w:val="20"/>
          <w:szCs w:val="20"/>
        </w:rPr>
        <w:t xml:space="preserve"> </w:t>
      </w:r>
      <w:r>
        <w:rPr>
          <w:rFonts w:ascii="宋体" w:hAnsi="宋体" w:eastAsia="宋体" w:cs="宋体"/>
          <w:spacing w:val="8"/>
          <w:sz w:val="20"/>
          <w:szCs w:val="20"/>
        </w:rPr>
        <w:t>7</w:t>
      </w:r>
      <w:r>
        <w:rPr>
          <w:rFonts w:ascii="宋体" w:hAnsi="宋体" w:eastAsia="宋体" w:cs="宋体"/>
          <w:spacing w:val="-33"/>
          <w:sz w:val="20"/>
          <w:szCs w:val="20"/>
        </w:rPr>
        <w:t xml:space="preserve"> </w:t>
      </w:r>
      <w:r>
        <w:rPr>
          <w:rFonts w:ascii="宋体" w:hAnsi="宋体" w:eastAsia="宋体" w:cs="宋体"/>
          <w:spacing w:val="8"/>
          <w:sz w:val="20"/>
          <w:szCs w:val="20"/>
        </w:rPr>
        <w:t>天</w:t>
      </w:r>
      <w:r>
        <w:rPr>
          <w:rFonts w:ascii="宋体" w:hAnsi="宋体" w:eastAsia="宋体" w:cs="宋体"/>
          <w:spacing w:val="7"/>
          <w:sz w:val="20"/>
          <w:szCs w:val="20"/>
        </w:rPr>
        <w:t>内下达开工通知的；</w:t>
      </w:r>
    </w:p>
    <w:p w14:paraId="21594151">
      <w:pPr>
        <w:spacing w:before="128" w:line="226" w:lineRule="auto"/>
        <w:ind w:left="430"/>
        <w:rPr>
          <w:rFonts w:ascii="宋体" w:hAnsi="宋体" w:eastAsia="宋体" w:cs="宋体"/>
          <w:sz w:val="20"/>
          <w:szCs w:val="20"/>
        </w:rPr>
      </w:pPr>
      <w:r>
        <w:rPr>
          <w:rFonts w:ascii="宋体" w:hAnsi="宋体" w:eastAsia="宋体" w:cs="宋体"/>
          <w:spacing w:val="8"/>
          <w:sz w:val="20"/>
          <w:szCs w:val="20"/>
        </w:rPr>
        <w:t>（2）因发包人原因未能按合同约定支付合同价款的；</w:t>
      </w:r>
    </w:p>
    <w:p w14:paraId="153C6D26">
      <w:pPr>
        <w:spacing w:before="129" w:line="346" w:lineRule="auto"/>
        <w:ind w:left="1" w:right="54" w:firstLine="428"/>
        <w:rPr>
          <w:rFonts w:ascii="宋体" w:hAnsi="宋体" w:eastAsia="宋体" w:cs="宋体"/>
          <w:sz w:val="20"/>
          <w:szCs w:val="20"/>
        </w:rPr>
      </w:pPr>
      <w:r>
        <w:rPr>
          <w:rFonts w:ascii="宋体" w:hAnsi="宋体" w:eastAsia="宋体" w:cs="宋体"/>
          <w:spacing w:val="6"/>
          <w:sz w:val="20"/>
          <w:szCs w:val="20"/>
        </w:rPr>
        <w:t>（3）发包人违反第</w:t>
      </w:r>
      <w:r>
        <w:rPr>
          <w:rFonts w:ascii="宋体" w:hAnsi="宋体" w:eastAsia="宋体" w:cs="宋体"/>
          <w:spacing w:val="-17"/>
          <w:sz w:val="20"/>
          <w:szCs w:val="20"/>
        </w:rPr>
        <w:t xml:space="preserve"> </w:t>
      </w:r>
      <w:r>
        <w:rPr>
          <w:rFonts w:ascii="宋体" w:hAnsi="宋体" w:eastAsia="宋体" w:cs="宋体"/>
          <w:spacing w:val="6"/>
          <w:sz w:val="20"/>
          <w:szCs w:val="20"/>
        </w:rPr>
        <w:t>10.1</w:t>
      </w:r>
      <w:r>
        <w:rPr>
          <w:rFonts w:ascii="宋体" w:hAnsi="宋体" w:eastAsia="宋体" w:cs="宋体"/>
          <w:spacing w:val="-39"/>
          <w:sz w:val="20"/>
          <w:szCs w:val="20"/>
        </w:rPr>
        <w:t xml:space="preserve"> </w:t>
      </w:r>
      <w:r>
        <w:rPr>
          <w:rFonts w:ascii="宋体" w:hAnsi="宋体" w:eastAsia="宋体" w:cs="宋体"/>
          <w:spacing w:val="6"/>
          <w:sz w:val="20"/>
          <w:szCs w:val="20"/>
        </w:rPr>
        <w:t>款〔变更的范围〕第（2）项约定，自行实施被取消的工作或转由他</w:t>
      </w:r>
      <w:r>
        <w:rPr>
          <w:rFonts w:ascii="宋体" w:hAnsi="宋体" w:eastAsia="宋体" w:cs="宋体"/>
          <w:spacing w:val="5"/>
          <w:sz w:val="20"/>
          <w:szCs w:val="20"/>
        </w:rPr>
        <w:t>人实施的；</w:t>
      </w:r>
    </w:p>
    <w:p w14:paraId="20B97F65">
      <w:pPr>
        <w:spacing w:before="1" w:line="345" w:lineRule="auto"/>
        <w:ind w:right="54" w:firstLine="430"/>
        <w:rPr>
          <w:rFonts w:ascii="宋体" w:hAnsi="宋体" w:eastAsia="宋体" w:cs="宋体"/>
          <w:sz w:val="20"/>
          <w:szCs w:val="20"/>
        </w:rPr>
      </w:pPr>
      <w:r>
        <w:rPr>
          <w:rFonts w:ascii="宋体" w:hAnsi="宋体" w:eastAsia="宋体" w:cs="宋体"/>
          <w:spacing w:val="7"/>
          <w:sz w:val="20"/>
          <w:szCs w:val="20"/>
        </w:rPr>
        <w:t>（4）发包人提供的材料、工程设备的规格、数量或质量不符合合同约定，或因发包人原因导</w:t>
      </w:r>
      <w:r>
        <w:rPr>
          <w:rFonts w:ascii="宋体" w:hAnsi="宋体" w:eastAsia="宋体" w:cs="宋体"/>
          <w:spacing w:val="8"/>
          <w:sz w:val="20"/>
          <w:szCs w:val="20"/>
        </w:rPr>
        <w:t>致交货日期延误或交货地点变更等情况的；</w:t>
      </w:r>
    </w:p>
    <w:p w14:paraId="622AD911">
      <w:pPr>
        <w:spacing w:line="228" w:lineRule="auto"/>
        <w:ind w:left="430"/>
        <w:rPr>
          <w:rFonts w:ascii="宋体" w:hAnsi="宋体" w:eastAsia="宋体" w:cs="宋体"/>
          <w:sz w:val="20"/>
          <w:szCs w:val="20"/>
        </w:rPr>
      </w:pPr>
      <w:r>
        <w:rPr>
          <w:rFonts w:ascii="宋体" w:hAnsi="宋体" w:eastAsia="宋体" w:cs="宋体"/>
          <w:spacing w:val="8"/>
          <w:sz w:val="20"/>
          <w:szCs w:val="20"/>
        </w:rPr>
        <w:t>（5）因发包人违反合同约定造成暂停施工的；</w:t>
      </w:r>
    </w:p>
    <w:p w14:paraId="24E660B4">
      <w:pPr>
        <w:spacing w:before="127" w:line="228" w:lineRule="auto"/>
        <w:ind w:left="430"/>
        <w:rPr>
          <w:rFonts w:ascii="宋体" w:hAnsi="宋体" w:eastAsia="宋体" w:cs="宋体"/>
          <w:sz w:val="20"/>
          <w:szCs w:val="20"/>
        </w:rPr>
      </w:pPr>
      <w:r>
        <w:rPr>
          <w:rFonts w:ascii="宋体" w:hAnsi="宋体" w:eastAsia="宋体" w:cs="宋体"/>
          <w:spacing w:val="9"/>
          <w:sz w:val="20"/>
          <w:szCs w:val="20"/>
        </w:rPr>
        <w:t>（6）发包人无正当理由没有在约定期限内发出复工指示，导致承包人无法复工的；</w:t>
      </w:r>
    </w:p>
    <w:p w14:paraId="5D64F666">
      <w:pPr>
        <w:spacing w:before="127" w:line="228" w:lineRule="auto"/>
        <w:ind w:left="430"/>
        <w:rPr>
          <w:rFonts w:ascii="宋体" w:hAnsi="宋体" w:eastAsia="宋体" w:cs="宋体"/>
          <w:sz w:val="20"/>
          <w:szCs w:val="20"/>
        </w:rPr>
      </w:pPr>
      <w:r>
        <w:rPr>
          <w:rFonts w:ascii="宋体" w:hAnsi="宋体" w:eastAsia="宋体" w:cs="宋体"/>
          <w:spacing w:val="9"/>
          <w:sz w:val="20"/>
          <w:szCs w:val="20"/>
        </w:rPr>
        <w:t>（7）发包人明确表示或者以其行为表明不履</w:t>
      </w:r>
      <w:r>
        <w:rPr>
          <w:rFonts w:ascii="宋体" w:hAnsi="宋体" w:eastAsia="宋体" w:cs="宋体"/>
          <w:spacing w:val="8"/>
          <w:sz w:val="20"/>
          <w:szCs w:val="20"/>
        </w:rPr>
        <w:t>行合同主要义务的；</w:t>
      </w:r>
    </w:p>
    <w:p w14:paraId="4E6DFE81">
      <w:pPr>
        <w:spacing w:before="128" w:line="228" w:lineRule="auto"/>
        <w:ind w:left="430"/>
        <w:rPr>
          <w:rFonts w:ascii="宋体" w:hAnsi="宋体" w:eastAsia="宋体" w:cs="宋体"/>
          <w:sz w:val="20"/>
          <w:szCs w:val="20"/>
        </w:rPr>
      </w:pPr>
      <w:r>
        <w:rPr>
          <w:rFonts w:ascii="宋体" w:hAnsi="宋体" w:eastAsia="宋体" w:cs="宋体"/>
          <w:spacing w:val="8"/>
          <w:sz w:val="20"/>
          <w:szCs w:val="20"/>
        </w:rPr>
        <w:t>（8）发包人未能按照合同约定履行其他义务的。</w:t>
      </w:r>
    </w:p>
    <w:p w14:paraId="15728B25">
      <w:pPr>
        <w:spacing w:line="228" w:lineRule="auto"/>
        <w:rPr>
          <w:rFonts w:ascii="宋体" w:hAnsi="宋体" w:eastAsia="宋体" w:cs="宋体"/>
          <w:sz w:val="20"/>
          <w:szCs w:val="20"/>
        </w:rPr>
        <w:sectPr>
          <w:footerReference r:id="rId382" w:type="default"/>
          <w:pgSz w:w="11906" w:h="16839"/>
          <w:pgMar w:top="400" w:right="1478" w:bottom="1446" w:left="1539" w:header="0" w:footer="1284" w:gutter="0"/>
          <w:cols w:space="720" w:num="1"/>
        </w:sectPr>
      </w:pPr>
    </w:p>
    <w:p w14:paraId="47541BD8">
      <w:pPr>
        <w:spacing w:line="246" w:lineRule="auto"/>
        <w:rPr>
          <w:rFonts w:ascii="Arial"/>
          <w:sz w:val="21"/>
        </w:rPr>
      </w:pPr>
    </w:p>
    <w:p w14:paraId="364A331D">
      <w:pPr>
        <w:spacing w:line="246" w:lineRule="auto"/>
        <w:rPr>
          <w:rFonts w:ascii="Arial"/>
          <w:sz w:val="21"/>
        </w:rPr>
      </w:pPr>
    </w:p>
    <w:p w14:paraId="5FE8962C">
      <w:pPr>
        <w:spacing w:line="246" w:lineRule="auto"/>
        <w:rPr>
          <w:rFonts w:ascii="Arial"/>
          <w:sz w:val="21"/>
        </w:rPr>
      </w:pPr>
    </w:p>
    <w:p w14:paraId="660873B1">
      <w:pPr>
        <w:spacing w:line="246" w:lineRule="auto"/>
        <w:rPr>
          <w:rFonts w:ascii="Arial"/>
          <w:sz w:val="21"/>
        </w:rPr>
      </w:pPr>
    </w:p>
    <w:p w14:paraId="6B2DD5E4">
      <w:pPr>
        <w:spacing w:line="246" w:lineRule="auto"/>
        <w:rPr>
          <w:rFonts w:ascii="Arial"/>
          <w:sz w:val="21"/>
        </w:rPr>
      </w:pPr>
    </w:p>
    <w:p w14:paraId="6FF1EEDB">
      <w:pPr>
        <w:spacing w:line="247" w:lineRule="auto"/>
        <w:rPr>
          <w:rFonts w:ascii="Arial"/>
          <w:sz w:val="21"/>
        </w:rPr>
      </w:pPr>
    </w:p>
    <w:p w14:paraId="6AB43F22">
      <w:pPr>
        <w:spacing w:before="65" w:line="347" w:lineRule="auto"/>
        <w:ind w:right="70" w:firstLine="422"/>
        <w:jc w:val="both"/>
        <w:rPr>
          <w:rFonts w:ascii="宋体" w:hAnsi="宋体" w:eastAsia="宋体" w:cs="宋体"/>
          <w:sz w:val="20"/>
          <w:szCs w:val="20"/>
        </w:rPr>
      </w:pPr>
      <w:r>
        <w:rPr>
          <w:rFonts w:ascii="宋体" w:hAnsi="宋体" w:eastAsia="宋体" w:cs="宋体"/>
          <w:spacing w:val="8"/>
          <w:sz w:val="20"/>
          <w:szCs w:val="20"/>
        </w:rPr>
        <w:t>发包人发生除本项第（7）目以外的违约情况时，</w:t>
      </w:r>
      <w:r>
        <w:rPr>
          <w:rFonts w:ascii="宋体" w:hAnsi="宋体" w:eastAsia="宋体" w:cs="宋体"/>
          <w:spacing w:val="7"/>
          <w:sz w:val="20"/>
          <w:szCs w:val="20"/>
        </w:rPr>
        <w:t>承包人可向发包人发出通知，要求发包人采取有效措施纠正违约行为。发包人收到承包人通知后</w:t>
      </w:r>
      <w:r>
        <w:rPr>
          <w:rFonts w:ascii="宋体" w:hAnsi="宋体" w:eastAsia="宋体" w:cs="宋体"/>
          <w:spacing w:val="-36"/>
          <w:sz w:val="20"/>
          <w:szCs w:val="20"/>
        </w:rPr>
        <w:t xml:space="preserve"> </w:t>
      </w:r>
      <w:r>
        <w:rPr>
          <w:rFonts w:ascii="宋体" w:hAnsi="宋体" w:eastAsia="宋体" w:cs="宋体"/>
          <w:spacing w:val="7"/>
          <w:sz w:val="20"/>
          <w:szCs w:val="20"/>
        </w:rPr>
        <w:t>28</w:t>
      </w:r>
      <w:r>
        <w:rPr>
          <w:rFonts w:ascii="宋体" w:hAnsi="宋体" w:eastAsia="宋体" w:cs="宋体"/>
          <w:spacing w:val="-34"/>
          <w:sz w:val="20"/>
          <w:szCs w:val="20"/>
        </w:rPr>
        <w:t xml:space="preserve"> </w:t>
      </w:r>
      <w:r>
        <w:rPr>
          <w:rFonts w:ascii="宋体" w:hAnsi="宋体" w:eastAsia="宋体" w:cs="宋体"/>
          <w:spacing w:val="7"/>
          <w:sz w:val="20"/>
          <w:szCs w:val="20"/>
        </w:rPr>
        <w:t>天内仍不纠正违约行为的，承包人有权暂</w:t>
      </w:r>
      <w:r>
        <w:rPr>
          <w:rFonts w:ascii="宋体" w:hAnsi="宋体" w:eastAsia="宋体" w:cs="宋体"/>
          <w:spacing w:val="8"/>
          <w:sz w:val="20"/>
          <w:szCs w:val="20"/>
        </w:rPr>
        <w:t>停相应部位工程施工，并通知监理人。</w:t>
      </w:r>
    </w:p>
    <w:p w14:paraId="5C2225D4">
      <w:pPr>
        <w:spacing w:line="304" w:lineRule="auto"/>
        <w:rPr>
          <w:rFonts w:ascii="Arial"/>
          <w:sz w:val="21"/>
        </w:rPr>
      </w:pPr>
    </w:p>
    <w:p w14:paraId="20D29289">
      <w:pPr>
        <w:spacing w:before="65" w:line="228" w:lineRule="auto"/>
        <w:ind w:left="435"/>
        <w:rPr>
          <w:rFonts w:ascii="宋体" w:hAnsi="宋体" w:eastAsia="宋体" w:cs="宋体"/>
          <w:sz w:val="20"/>
          <w:szCs w:val="20"/>
        </w:rPr>
      </w:pPr>
      <w:r>
        <w:rPr>
          <w:rFonts w:ascii="宋体" w:hAnsi="宋体" w:eastAsia="宋体" w:cs="宋体"/>
          <w:b/>
          <w:bCs/>
          <w:spacing w:val="4"/>
          <w:sz w:val="20"/>
          <w:szCs w:val="20"/>
        </w:rPr>
        <w:t>16.1.2</w:t>
      </w:r>
      <w:r>
        <w:rPr>
          <w:rFonts w:ascii="宋体" w:hAnsi="宋体" w:eastAsia="宋体" w:cs="宋体"/>
          <w:spacing w:val="4"/>
          <w:sz w:val="20"/>
          <w:szCs w:val="20"/>
        </w:rPr>
        <w:t xml:space="preserve"> </w:t>
      </w:r>
      <w:r>
        <w:rPr>
          <w:rFonts w:ascii="宋体" w:hAnsi="宋体" w:eastAsia="宋体" w:cs="宋体"/>
          <w:b/>
          <w:bCs/>
          <w:spacing w:val="4"/>
          <w:sz w:val="20"/>
          <w:szCs w:val="20"/>
        </w:rPr>
        <w:t>发包人违约的责任</w:t>
      </w:r>
    </w:p>
    <w:p w14:paraId="26626C45">
      <w:pPr>
        <w:spacing w:before="126" w:line="346" w:lineRule="auto"/>
        <w:ind w:firstLine="422"/>
        <w:rPr>
          <w:rFonts w:ascii="宋体" w:hAnsi="宋体" w:eastAsia="宋体" w:cs="宋体"/>
          <w:sz w:val="20"/>
          <w:szCs w:val="20"/>
        </w:rPr>
      </w:pPr>
      <w:r>
        <w:rPr>
          <w:rFonts w:ascii="宋体" w:hAnsi="宋体" w:eastAsia="宋体" w:cs="宋体"/>
          <w:spacing w:val="7"/>
          <w:sz w:val="20"/>
          <w:szCs w:val="20"/>
        </w:rPr>
        <w:t>发包人应承担因其违约给承包人增加的费用和（或）延误的工期，并支付承包</w:t>
      </w:r>
      <w:r>
        <w:rPr>
          <w:rFonts w:ascii="宋体" w:hAnsi="宋体" w:eastAsia="宋体" w:cs="宋体"/>
          <w:spacing w:val="6"/>
          <w:sz w:val="20"/>
          <w:szCs w:val="20"/>
        </w:rPr>
        <w:t>人合理的利润。</w:t>
      </w:r>
      <w:r>
        <w:rPr>
          <w:rFonts w:ascii="宋体" w:hAnsi="宋体" w:eastAsia="宋体" w:cs="宋体"/>
          <w:spacing w:val="9"/>
          <w:sz w:val="20"/>
          <w:szCs w:val="20"/>
        </w:rPr>
        <w:t>此外，合同当事人可在专用合同条款中另行约定发包人违约责任的承担方式和计算方法。</w:t>
      </w:r>
    </w:p>
    <w:p w14:paraId="77A4C29E">
      <w:pPr>
        <w:spacing w:line="227" w:lineRule="auto"/>
        <w:ind w:left="435"/>
        <w:rPr>
          <w:rFonts w:ascii="宋体" w:hAnsi="宋体" w:eastAsia="宋体" w:cs="宋体"/>
          <w:sz w:val="20"/>
          <w:szCs w:val="20"/>
        </w:rPr>
      </w:pPr>
      <w:r>
        <w:rPr>
          <w:rFonts w:ascii="宋体" w:hAnsi="宋体" w:eastAsia="宋体" w:cs="宋体"/>
          <w:b/>
          <w:bCs/>
          <w:spacing w:val="3"/>
          <w:sz w:val="20"/>
          <w:szCs w:val="20"/>
        </w:rPr>
        <w:t>16.1.3</w:t>
      </w:r>
      <w:r>
        <w:rPr>
          <w:rFonts w:ascii="宋体" w:hAnsi="宋体" w:eastAsia="宋体" w:cs="宋体"/>
          <w:spacing w:val="40"/>
          <w:sz w:val="20"/>
          <w:szCs w:val="20"/>
        </w:rPr>
        <w:t xml:space="preserve"> </w:t>
      </w:r>
      <w:r>
        <w:rPr>
          <w:rFonts w:ascii="宋体" w:hAnsi="宋体" w:eastAsia="宋体" w:cs="宋体"/>
          <w:b/>
          <w:bCs/>
          <w:spacing w:val="3"/>
          <w:sz w:val="20"/>
          <w:szCs w:val="20"/>
        </w:rPr>
        <w:t>因发包人违约解除合同</w:t>
      </w:r>
    </w:p>
    <w:p w14:paraId="7C437D9A">
      <w:pPr>
        <w:spacing w:before="126" w:line="346" w:lineRule="auto"/>
        <w:ind w:right="40" w:firstLine="432"/>
        <w:jc w:val="both"/>
        <w:rPr>
          <w:rFonts w:ascii="宋体" w:hAnsi="宋体" w:eastAsia="宋体" w:cs="宋体"/>
          <w:sz w:val="20"/>
          <w:szCs w:val="20"/>
        </w:rPr>
      </w:pPr>
      <w:r>
        <w:rPr>
          <w:rFonts w:ascii="宋体" w:hAnsi="宋体" w:eastAsia="宋体" w:cs="宋体"/>
          <w:spacing w:val="11"/>
          <w:sz w:val="20"/>
          <w:szCs w:val="20"/>
        </w:rPr>
        <w:t>除专用合同条款另有约定外，承包人按第</w:t>
      </w:r>
      <w:r>
        <w:rPr>
          <w:rFonts w:ascii="宋体" w:hAnsi="宋体" w:eastAsia="宋体" w:cs="宋体"/>
          <w:spacing w:val="-19"/>
          <w:sz w:val="20"/>
          <w:szCs w:val="20"/>
        </w:rPr>
        <w:t xml:space="preserve"> </w:t>
      </w:r>
      <w:r>
        <w:rPr>
          <w:rFonts w:ascii="宋体" w:hAnsi="宋体" w:eastAsia="宋体" w:cs="宋体"/>
          <w:spacing w:val="11"/>
          <w:sz w:val="20"/>
          <w:szCs w:val="20"/>
        </w:rPr>
        <w:t>16.1.1</w:t>
      </w:r>
      <w:r>
        <w:rPr>
          <w:rFonts w:ascii="宋体" w:hAnsi="宋体" w:eastAsia="宋体" w:cs="宋体"/>
          <w:spacing w:val="-34"/>
          <w:sz w:val="20"/>
          <w:szCs w:val="20"/>
        </w:rPr>
        <w:t xml:space="preserve"> </w:t>
      </w:r>
      <w:r>
        <w:rPr>
          <w:rFonts w:ascii="宋体" w:hAnsi="宋体" w:eastAsia="宋体" w:cs="宋体"/>
          <w:spacing w:val="11"/>
          <w:sz w:val="20"/>
          <w:szCs w:val="20"/>
        </w:rPr>
        <w:t>项〔发包人违约的情</w:t>
      </w:r>
      <w:r>
        <w:rPr>
          <w:rFonts w:ascii="宋体" w:hAnsi="宋体" w:eastAsia="宋体" w:cs="宋体"/>
          <w:spacing w:val="10"/>
          <w:sz w:val="20"/>
          <w:szCs w:val="20"/>
        </w:rPr>
        <w:t>形〕约定暂停施工满</w:t>
      </w:r>
      <w:r>
        <w:rPr>
          <w:rFonts w:ascii="宋体" w:hAnsi="宋体" w:eastAsia="宋体" w:cs="宋体"/>
          <w:spacing w:val="9"/>
          <w:sz w:val="20"/>
          <w:szCs w:val="20"/>
        </w:rPr>
        <w:t>28</w:t>
      </w:r>
      <w:r>
        <w:rPr>
          <w:rFonts w:ascii="宋体" w:hAnsi="宋体" w:eastAsia="宋体" w:cs="宋体"/>
          <w:spacing w:val="-20"/>
          <w:sz w:val="20"/>
          <w:szCs w:val="20"/>
        </w:rPr>
        <w:t xml:space="preserve"> </w:t>
      </w:r>
      <w:r>
        <w:rPr>
          <w:rFonts w:ascii="宋体" w:hAnsi="宋体" w:eastAsia="宋体" w:cs="宋体"/>
          <w:spacing w:val="9"/>
          <w:sz w:val="20"/>
          <w:szCs w:val="20"/>
        </w:rPr>
        <w:t>天后，发包人仍不纠正其违约行为并致使合同目的不能实现的，或出现第</w:t>
      </w:r>
      <w:r>
        <w:rPr>
          <w:rFonts w:ascii="宋体" w:hAnsi="宋体" w:eastAsia="宋体" w:cs="宋体"/>
          <w:spacing w:val="-18"/>
          <w:sz w:val="20"/>
          <w:szCs w:val="20"/>
        </w:rPr>
        <w:t xml:space="preserve"> </w:t>
      </w:r>
      <w:r>
        <w:rPr>
          <w:rFonts w:ascii="宋体" w:hAnsi="宋体" w:eastAsia="宋体" w:cs="宋体"/>
          <w:spacing w:val="9"/>
          <w:sz w:val="20"/>
          <w:szCs w:val="20"/>
        </w:rPr>
        <w:t>16.1.1</w:t>
      </w:r>
      <w:r>
        <w:rPr>
          <w:rFonts w:ascii="宋体" w:hAnsi="宋体" w:eastAsia="宋体" w:cs="宋体"/>
          <w:spacing w:val="-35"/>
          <w:sz w:val="20"/>
          <w:szCs w:val="20"/>
        </w:rPr>
        <w:t xml:space="preserve"> </w:t>
      </w:r>
      <w:r>
        <w:rPr>
          <w:rFonts w:ascii="宋体" w:hAnsi="宋体" w:eastAsia="宋体" w:cs="宋体"/>
          <w:spacing w:val="9"/>
          <w:sz w:val="20"/>
          <w:szCs w:val="20"/>
        </w:rPr>
        <w:t>项〔发包人</w:t>
      </w:r>
      <w:r>
        <w:rPr>
          <w:rFonts w:ascii="宋体" w:hAnsi="宋体" w:eastAsia="宋体" w:cs="宋体"/>
          <w:spacing w:val="7"/>
          <w:sz w:val="20"/>
          <w:szCs w:val="20"/>
        </w:rPr>
        <w:t>违约的情形〕第（7）</w:t>
      </w:r>
      <w:r>
        <w:rPr>
          <w:rFonts w:ascii="宋体" w:hAnsi="宋体" w:eastAsia="宋体" w:cs="宋体"/>
          <w:spacing w:val="-38"/>
          <w:sz w:val="20"/>
          <w:szCs w:val="20"/>
        </w:rPr>
        <w:t xml:space="preserve"> </w:t>
      </w:r>
      <w:r>
        <w:rPr>
          <w:rFonts w:ascii="宋体" w:hAnsi="宋体" w:eastAsia="宋体" w:cs="宋体"/>
          <w:spacing w:val="7"/>
          <w:sz w:val="20"/>
          <w:szCs w:val="20"/>
        </w:rPr>
        <w:t>目约定的违约情况，承包人有权解除合同，发包人应承担由此增加的费用，</w:t>
      </w:r>
      <w:r>
        <w:rPr>
          <w:rFonts w:ascii="宋体" w:hAnsi="宋体" w:eastAsia="宋体" w:cs="宋体"/>
          <w:spacing w:val="8"/>
          <w:sz w:val="20"/>
          <w:szCs w:val="20"/>
        </w:rPr>
        <w:t>并支付承包人合理的利润。</w:t>
      </w:r>
    </w:p>
    <w:p w14:paraId="304D8EA0">
      <w:pPr>
        <w:spacing w:line="227" w:lineRule="auto"/>
        <w:ind w:left="435"/>
        <w:rPr>
          <w:rFonts w:ascii="宋体" w:hAnsi="宋体" w:eastAsia="宋体" w:cs="宋体"/>
          <w:sz w:val="20"/>
          <w:szCs w:val="20"/>
        </w:rPr>
      </w:pPr>
      <w:r>
        <w:rPr>
          <w:rFonts w:ascii="宋体" w:hAnsi="宋体" w:eastAsia="宋体" w:cs="宋体"/>
          <w:b/>
          <w:bCs/>
          <w:spacing w:val="5"/>
          <w:sz w:val="20"/>
          <w:szCs w:val="20"/>
        </w:rPr>
        <w:t>16.1.4</w:t>
      </w:r>
      <w:r>
        <w:rPr>
          <w:rFonts w:ascii="宋体" w:hAnsi="宋体" w:eastAsia="宋体" w:cs="宋体"/>
          <w:spacing w:val="5"/>
          <w:sz w:val="20"/>
          <w:szCs w:val="20"/>
        </w:rPr>
        <w:t xml:space="preserve"> </w:t>
      </w:r>
      <w:r>
        <w:rPr>
          <w:rFonts w:ascii="宋体" w:hAnsi="宋体" w:eastAsia="宋体" w:cs="宋体"/>
          <w:b/>
          <w:bCs/>
          <w:spacing w:val="5"/>
          <w:sz w:val="20"/>
          <w:szCs w:val="20"/>
        </w:rPr>
        <w:t>因发包人违约解除合同后的付款</w:t>
      </w:r>
    </w:p>
    <w:p w14:paraId="5B20B64D">
      <w:pPr>
        <w:spacing w:before="127" w:line="346" w:lineRule="auto"/>
        <w:ind w:right="70" w:firstLine="419"/>
        <w:rPr>
          <w:rFonts w:ascii="宋体" w:hAnsi="宋体" w:eastAsia="宋体" w:cs="宋体"/>
          <w:sz w:val="20"/>
          <w:szCs w:val="20"/>
        </w:rPr>
      </w:pPr>
      <w:r>
        <w:rPr>
          <w:rFonts w:ascii="宋体" w:hAnsi="宋体" w:eastAsia="宋体" w:cs="宋体"/>
          <w:spacing w:val="7"/>
          <w:sz w:val="20"/>
          <w:szCs w:val="20"/>
        </w:rPr>
        <w:t>承包人按照本款约定解除合同的，发包人应在解除合同后</w:t>
      </w:r>
      <w:r>
        <w:rPr>
          <w:rFonts w:ascii="宋体" w:hAnsi="宋体" w:eastAsia="宋体" w:cs="宋体"/>
          <w:spacing w:val="-34"/>
          <w:sz w:val="20"/>
          <w:szCs w:val="20"/>
        </w:rPr>
        <w:t xml:space="preserve"> </w:t>
      </w:r>
      <w:r>
        <w:rPr>
          <w:rFonts w:ascii="宋体" w:hAnsi="宋体" w:eastAsia="宋体" w:cs="宋体"/>
          <w:spacing w:val="7"/>
          <w:sz w:val="20"/>
          <w:szCs w:val="20"/>
        </w:rPr>
        <w:t>28</w:t>
      </w:r>
      <w:r>
        <w:rPr>
          <w:rFonts w:ascii="宋体" w:hAnsi="宋体" w:eastAsia="宋体" w:cs="宋体"/>
          <w:spacing w:val="-34"/>
          <w:sz w:val="20"/>
          <w:szCs w:val="20"/>
        </w:rPr>
        <w:t xml:space="preserve"> </w:t>
      </w:r>
      <w:r>
        <w:rPr>
          <w:rFonts w:ascii="宋体" w:hAnsi="宋体" w:eastAsia="宋体" w:cs="宋体"/>
          <w:spacing w:val="7"/>
          <w:sz w:val="20"/>
          <w:szCs w:val="20"/>
        </w:rPr>
        <w:t>天内支付下列款</w:t>
      </w:r>
      <w:r>
        <w:rPr>
          <w:rFonts w:ascii="宋体" w:hAnsi="宋体" w:eastAsia="宋体" w:cs="宋体"/>
          <w:spacing w:val="6"/>
          <w:sz w:val="20"/>
          <w:szCs w:val="20"/>
        </w:rPr>
        <w:t>项，并解除履约</w:t>
      </w:r>
      <w:r>
        <w:rPr>
          <w:rFonts w:ascii="宋体" w:hAnsi="宋体" w:eastAsia="宋体" w:cs="宋体"/>
          <w:spacing w:val="2"/>
          <w:sz w:val="20"/>
          <w:szCs w:val="20"/>
        </w:rPr>
        <w:t>担保：</w:t>
      </w:r>
    </w:p>
    <w:p w14:paraId="2B6950CA">
      <w:pPr>
        <w:spacing w:line="226" w:lineRule="auto"/>
        <w:ind w:left="430"/>
        <w:rPr>
          <w:rFonts w:ascii="宋体" w:hAnsi="宋体" w:eastAsia="宋体" w:cs="宋体"/>
          <w:sz w:val="20"/>
          <w:szCs w:val="20"/>
        </w:rPr>
      </w:pPr>
      <w:r>
        <w:rPr>
          <w:rFonts w:ascii="宋体" w:hAnsi="宋体" w:eastAsia="宋体" w:cs="宋体"/>
          <w:spacing w:val="7"/>
          <w:sz w:val="20"/>
          <w:szCs w:val="20"/>
        </w:rPr>
        <w:t>（1）合同解除前所完成工作的价款；</w:t>
      </w:r>
    </w:p>
    <w:p w14:paraId="33D9B73E">
      <w:pPr>
        <w:spacing w:before="130" w:line="226" w:lineRule="auto"/>
        <w:ind w:left="430"/>
        <w:rPr>
          <w:rFonts w:ascii="宋体" w:hAnsi="宋体" w:eastAsia="宋体" w:cs="宋体"/>
          <w:sz w:val="20"/>
          <w:szCs w:val="20"/>
        </w:rPr>
      </w:pPr>
      <w:r>
        <w:rPr>
          <w:rFonts w:ascii="宋体" w:hAnsi="宋体" w:eastAsia="宋体" w:cs="宋体"/>
          <w:spacing w:val="9"/>
          <w:sz w:val="20"/>
          <w:szCs w:val="20"/>
        </w:rPr>
        <w:t>（2）承包人为工程施工订购并已付款的材料、工程设备和其他物品的</w:t>
      </w:r>
      <w:r>
        <w:rPr>
          <w:rFonts w:ascii="宋体" w:hAnsi="宋体" w:eastAsia="宋体" w:cs="宋体"/>
          <w:spacing w:val="8"/>
          <w:sz w:val="20"/>
          <w:szCs w:val="20"/>
        </w:rPr>
        <w:t>价款；</w:t>
      </w:r>
    </w:p>
    <w:p w14:paraId="6189F110">
      <w:pPr>
        <w:spacing w:before="129" w:line="228" w:lineRule="auto"/>
        <w:ind w:left="430"/>
        <w:rPr>
          <w:rFonts w:ascii="宋体" w:hAnsi="宋体" w:eastAsia="宋体" w:cs="宋体"/>
          <w:sz w:val="20"/>
          <w:szCs w:val="20"/>
        </w:rPr>
      </w:pPr>
      <w:r>
        <w:rPr>
          <w:rFonts w:ascii="宋体" w:hAnsi="宋体" w:eastAsia="宋体" w:cs="宋体"/>
          <w:spacing w:val="8"/>
          <w:sz w:val="20"/>
          <w:szCs w:val="20"/>
        </w:rPr>
        <w:t>（3）承包人撤离施工现场以及遣散承包人人员的款项；</w:t>
      </w:r>
    </w:p>
    <w:p w14:paraId="185D156C">
      <w:pPr>
        <w:spacing w:before="127" w:line="228" w:lineRule="auto"/>
        <w:ind w:left="430"/>
        <w:rPr>
          <w:rFonts w:ascii="宋体" w:hAnsi="宋体" w:eastAsia="宋体" w:cs="宋体"/>
          <w:sz w:val="20"/>
          <w:szCs w:val="20"/>
        </w:rPr>
      </w:pPr>
      <w:r>
        <w:rPr>
          <w:rFonts w:ascii="宋体" w:hAnsi="宋体" w:eastAsia="宋体" w:cs="宋体"/>
          <w:spacing w:val="8"/>
          <w:sz w:val="20"/>
          <w:szCs w:val="20"/>
        </w:rPr>
        <w:t>（4）按照合同约定在合同解除前应支付的违约金；</w:t>
      </w:r>
    </w:p>
    <w:p w14:paraId="4F34E856">
      <w:pPr>
        <w:spacing w:before="127" w:line="228" w:lineRule="auto"/>
        <w:ind w:left="430"/>
        <w:rPr>
          <w:rFonts w:ascii="宋体" w:hAnsi="宋体" w:eastAsia="宋体" w:cs="宋体"/>
          <w:sz w:val="20"/>
          <w:szCs w:val="20"/>
        </w:rPr>
      </w:pPr>
      <w:r>
        <w:rPr>
          <w:rFonts w:ascii="宋体" w:hAnsi="宋体" w:eastAsia="宋体" w:cs="宋体"/>
          <w:spacing w:val="8"/>
          <w:sz w:val="20"/>
          <w:szCs w:val="20"/>
        </w:rPr>
        <w:t>（5）按照合同约定应当支付给承包人的其他款项；</w:t>
      </w:r>
    </w:p>
    <w:p w14:paraId="27F778E9">
      <w:pPr>
        <w:spacing w:before="128" w:line="228" w:lineRule="auto"/>
        <w:ind w:left="430"/>
        <w:rPr>
          <w:rFonts w:ascii="宋体" w:hAnsi="宋体" w:eastAsia="宋体" w:cs="宋体"/>
          <w:sz w:val="20"/>
          <w:szCs w:val="20"/>
        </w:rPr>
      </w:pPr>
      <w:r>
        <w:rPr>
          <w:rFonts w:ascii="宋体" w:hAnsi="宋体" w:eastAsia="宋体" w:cs="宋体"/>
          <w:spacing w:val="8"/>
          <w:sz w:val="20"/>
          <w:szCs w:val="20"/>
        </w:rPr>
        <w:t>（6）按照合同约定应退还的质量保证金；</w:t>
      </w:r>
    </w:p>
    <w:p w14:paraId="75B581B5">
      <w:pPr>
        <w:spacing w:before="127" w:line="228" w:lineRule="auto"/>
        <w:ind w:left="430"/>
        <w:rPr>
          <w:rFonts w:ascii="宋体" w:hAnsi="宋体" w:eastAsia="宋体" w:cs="宋体"/>
          <w:sz w:val="20"/>
          <w:szCs w:val="20"/>
        </w:rPr>
      </w:pPr>
      <w:r>
        <w:rPr>
          <w:rFonts w:ascii="宋体" w:hAnsi="宋体" w:eastAsia="宋体" w:cs="宋体"/>
          <w:spacing w:val="8"/>
          <w:sz w:val="20"/>
          <w:szCs w:val="20"/>
        </w:rPr>
        <w:t>（7）因解除合同给承包人造成的损失。</w:t>
      </w:r>
    </w:p>
    <w:p w14:paraId="576C5D39">
      <w:pPr>
        <w:spacing w:before="128" w:line="228" w:lineRule="auto"/>
        <w:ind w:left="420"/>
        <w:rPr>
          <w:rFonts w:ascii="宋体" w:hAnsi="宋体" w:eastAsia="宋体" w:cs="宋体"/>
          <w:sz w:val="20"/>
          <w:szCs w:val="20"/>
        </w:rPr>
      </w:pPr>
      <w:r>
        <w:rPr>
          <w:rFonts w:ascii="宋体" w:hAnsi="宋体" w:eastAsia="宋体" w:cs="宋体"/>
          <w:spacing w:val="9"/>
          <w:sz w:val="20"/>
          <w:szCs w:val="20"/>
        </w:rPr>
        <w:t>合同当事人未能就解除合同后的结清达成一致的，按照第</w:t>
      </w:r>
      <w:r>
        <w:rPr>
          <w:rFonts w:ascii="宋体" w:hAnsi="宋体" w:eastAsia="宋体" w:cs="宋体"/>
          <w:spacing w:val="-37"/>
          <w:sz w:val="20"/>
          <w:szCs w:val="20"/>
        </w:rPr>
        <w:t xml:space="preserve"> </w:t>
      </w:r>
      <w:r>
        <w:rPr>
          <w:rFonts w:ascii="宋体" w:hAnsi="宋体" w:eastAsia="宋体" w:cs="宋体"/>
          <w:spacing w:val="9"/>
          <w:sz w:val="20"/>
          <w:szCs w:val="20"/>
        </w:rPr>
        <w:t>2</w:t>
      </w:r>
      <w:r>
        <w:rPr>
          <w:rFonts w:ascii="宋体" w:hAnsi="宋体" w:eastAsia="宋体" w:cs="宋体"/>
          <w:spacing w:val="8"/>
          <w:sz w:val="20"/>
          <w:szCs w:val="20"/>
        </w:rPr>
        <w:t>0</w:t>
      </w:r>
      <w:r>
        <w:rPr>
          <w:rFonts w:ascii="宋体" w:hAnsi="宋体" w:eastAsia="宋体" w:cs="宋体"/>
          <w:spacing w:val="-36"/>
          <w:sz w:val="20"/>
          <w:szCs w:val="20"/>
        </w:rPr>
        <w:t xml:space="preserve"> </w:t>
      </w:r>
      <w:r>
        <w:rPr>
          <w:rFonts w:ascii="宋体" w:hAnsi="宋体" w:eastAsia="宋体" w:cs="宋体"/>
          <w:spacing w:val="8"/>
          <w:sz w:val="20"/>
          <w:szCs w:val="20"/>
        </w:rPr>
        <w:t>条〔争议解决〕的约定处理。</w:t>
      </w:r>
    </w:p>
    <w:p w14:paraId="3C7E3CD1">
      <w:pPr>
        <w:spacing w:before="127" w:line="346" w:lineRule="auto"/>
        <w:ind w:left="2" w:right="71" w:firstLine="417"/>
        <w:rPr>
          <w:rFonts w:ascii="宋体" w:hAnsi="宋体" w:eastAsia="宋体" w:cs="宋体"/>
          <w:sz w:val="20"/>
          <w:szCs w:val="20"/>
        </w:rPr>
      </w:pPr>
      <w:r>
        <w:rPr>
          <w:rFonts w:ascii="宋体" w:hAnsi="宋体" w:eastAsia="宋体" w:cs="宋体"/>
          <w:spacing w:val="10"/>
          <w:sz w:val="20"/>
          <w:szCs w:val="20"/>
        </w:rPr>
        <w:t>承包人应妥善做好已完工程和与工程有关的已购材料、工程设备的保护和移交工作，并将施</w:t>
      </w:r>
      <w:r>
        <w:rPr>
          <w:rFonts w:ascii="宋体" w:hAnsi="宋体" w:eastAsia="宋体" w:cs="宋体"/>
          <w:spacing w:val="9"/>
          <w:sz w:val="20"/>
          <w:szCs w:val="20"/>
        </w:rPr>
        <w:t>工设备和人员撤出施工现场，发包人应为承包人撤出提供必要条件。</w:t>
      </w:r>
    </w:p>
    <w:p w14:paraId="4BBBBBB1">
      <w:pPr>
        <w:spacing w:line="227" w:lineRule="auto"/>
        <w:ind w:left="435"/>
        <w:rPr>
          <w:rFonts w:ascii="宋体" w:hAnsi="宋体" w:eastAsia="宋体" w:cs="宋体"/>
          <w:sz w:val="20"/>
          <w:szCs w:val="20"/>
        </w:rPr>
      </w:pPr>
      <w:r>
        <w:rPr>
          <w:rFonts w:ascii="宋体" w:hAnsi="宋体" w:eastAsia="宋体" w:cs="宋体"/>
          <w:b/>
          <w:bCs/>
          <w:spacing w:val="3"/>
          <w:sz w:val="20"/>
          <w:szCs w:val="20"/>
        </w:rPr>
        <w:t>16.2</w:t>
      </w:r>
      <w:r>
        <w:rPr>
          <w:rFonts w:ascii="宋体" w:hAnsi="宋体" w:eastAsia="宋体" w:cs="宋体"/>
          <w:spacing w:val="3"/>
          <w:sz w:val="20"/>
          <w:szCs w:val="20"/>
        </w:rPr>
        <w:t xml:space="preserve"> </w:t>
      </w:r>
      <w:r>
        <w:rPr>
          <w:rFonts w:ascii="宋体" w:hAnsi="宋体" w:eastAsia="宋体" w:cs="宋体"/>
          <w:b/>
          <w:bCs/>
          <w:spacing w:val="3"/>
          <w:sz w:val="20"/>
          <w:szCs w:val="20"/>
        </w:rPr>
        <w:t>承包人违约</w:t>
      </w:r>
    </w:p>
    <w:p w14:paraId="2994C301">
      <w:pPr>
        <w:spacing w:before="128" w:line="228" w:lineRule="auto"/>
        <w:ind w:left="435"/>
        <w:rPr>
          <w:rFonts w:ascii="宋体" w:hAnsi="宋体" w:eastAsia="宋体" w:cs="宋体"/>
          <w:sz w:val="20"/>
          <w:szCs w:val="20"/>
        </w:rPr>
      </w:pPr>
      <w:r>
        <w:rPr>
          <w:rFonts w:ascii="宋体" w:hAnsi="宋体" w:eastAsia="宋体" w:cs="宋体"/>
          <w:b/>
          <w:bCs/>
          <w:spacing w:val="4"/>
          <w:sz w:val="20"/>
          <w:szCs w:val="20"/>
        </w:rPr>
        <w:t>16.2.1</w:t>
      </w:r>
      <w:r>
        <w:rPr>
          <w:rFonts w:ascii="宋体" w:hAnsi="宋体" w:eastAsia="宋体" w:cs="宋体"/>
          <w:spacing w:val="4"/>
          <w:sz w:val="20"/>
          <w:szCs w:val="20"/>
        </w:rPr>
        <w:t xml:space="preserve"> </w:t>
      </w:r>
      <w:r>
        <w:rPr>
          <w:rFonts w:ascii="宋体" w:hAnsi="宋体" w:eastAsia="宋体" w:cs="宋体"/>
          <w:b/>
          <w:bCs/>
          <w:spacing w:val="4"/>
          <w:sz w:val="20"/>
          <w:szCs w:val="20"/>
        </w:rPr>
        <w:t>承包人违约的情形</w:t>
      </w:r>
    </w:p>
    <w:p w14:paraId="1975404D">
      <w:pPr>
        <w:spacing w:before="127" w:line="228" w:lineRule="auto"/>
        <w:ind w:left="419"/>
        <w:rPr>
          <w:rFonts w:ascii="宋体" w:hAnsi="宋体" w:eastAsia="宋体" w:cs="宋体"/>
          <w:sz w:val="20"/>
          <w:szCs w:val="20"/>
        </w:rPr>
      </w:pPr>
      <w:r>
        <w:rPr>
          <w:rFonts w:ascii="宋体" w:hAnsi="宋体" w:eastAsia="宋体" w:cs="宋体"/>
          <w:spacing w:val="9"/>
          <w:sz w:val="20"/>
          <w:szCs w:val="20"/>
        </w:rPr>
        <w:t>在合同履行过程中发生的下列情形，属于承包人违约：</w:t>
      </w:r>
    </w:p>
    <w:p w14:paraId="6A8E46D2">
      <w:pPr>
        <w:spacing w:before="127" w:line="228" w:lineRule="auto"/>
        <w:ind w:left="430"/>
        <w:rPr>
          <w:rFonts w:ascii="宋体" w:hAnsi="宋体" w:eastAsia="宋体" w:cs="宋体"/>
          <w:sz w:val="20"/>
          <w:szCs w:val="20"/>
        </w:rPr>
      </w:pPr>
      <w:r>
        <w:rPr>
          <w:rFonts w:ascii="宋体" w:hAnsi="宋体" w:eastAsia="宋体" w:cs="宋体"/>
          <w:spacing w:val="8"/>
          <w:sz w:val="20"/>
          <w:szCs w:val="20"/>
        </w:rPr>
        <w:t>（1）承包人违反合同约定进行转包或违法分包的；</w:t>
      </w:r>
    </w:p>
    <w:p w14:paraId="4E38EE7F">
      <w:pPr>
        <w:spacing w:before="128" w:line="227" w:lineRule="auto"/>
        <w:ind w:left="430"/>
        <w:rPr>
          <w:rFonts w:ascii="宋体" w:hAnsi="宋体" w:eastAsia="宋体" w:cs="宋体"/>
          <w:sz w:val="20"/>
          <w:szCs w:val="20"/>
        </w:rPr>
      </w:pPr>
      <w:r>
        <w:rPr>
          <w:rFonts w:ascii="宋体" w:hAnsi="宋体" w:eastAsia="宋体" w:cs="宋体"/>
          <w:spacing w:val="9"/>
          <w:sz w:val="20"/>
          <w:szCs w:val="20"/>
        </w:rPr>
        <w:t>（2）承包人违反合同约定采购和使用不合格的材料</w:t>
      </w:r>
      <w:r>
        <w:rPr>
          <w:rFonts w:ascii="宋体" w:hAnsi="宋体" w:eastAsia="宋体" w:cs="宋体"/>
          <w:spacing w:val="8"/>
          <w:sz w:val="20"/>
          <w:szCs w:val="20"/>
        </w:rPr>
        <w:t>和工程设备的；</w:t>
      </w:r>
    </w:p>
    <w:p w14:paraId="5621EEDF">
      <w:pPr>
        <w:spacing w:before="128" w:line="228" w:lineRule="auto"/>
        <w:ind w:left="430"/>
        <w:rPr>
          <w:rFonts w:ascii="宋体" w:hAnsi="宋体" w:eastAsia="宋体" w:cs="宋体"/>
          <w:sz w:val="20"/>
          <w:szCs w:val="20"/>
        </w:rPr>
      </w:pPr>
      <w:r>
        <w:rPr>
          <w:rFonts w:ascii="宋体" w:hAnsi="宋体" w:eastAsia="宋体" w:cs="宋体"/>
          <w:spacing w:val="8"/>
          <w:sz w:val="20"/>
          <w:szCs w:val="20"/>
        </w:rPr>
        <w:t>（3）因承包人原因导致工程质量不符合合同要求的；</w:t>
      </w:r>
    </w:p>
    <w:p w14:paraId="2417BEF1">
      <w:pPr>
        <w:spacing w:before="127" w:line="346" w:lineRule="auto"/>
        <w:ind w:left="5" w:right="70" w:firstLine="425"/>
        <w:rPr>
          <w:rFonts w:ascii="宋体" w:hAnsi="宋体" w:eastAsia="宋体" w:cs="宋体"/>
          <w:sz w:val="20"/>
          <w:szCs w:val="20"/>
        </w:rPr>
      </w:pPr>
      <w:r>
        <w:rPr>
          <w:rFonts w:ascii="宋体" w:hAnsi="宋体" w:eastAsia="宋体" w:cs="宋体"/>
          <w:spacing w:val="7"/>
          <w:sz w:val="20"/>
          <w:szCs w:val="20"/>
        </w:rPr>
        <w:t>（4）承包人违反第</w:t>
      </w:r>
      <w:r>
        <w:rPr>
          <w:rFonts w:ascii="宋体" w:hAnsi="宋体" w:eastAsia="宋体" w:cs="宋体"/>
          <w:spacing w:val="-36"/>
          <w:sz w:val="20"/>
          <w:szCs w:val="20"/>
        </w:rPr>
        <w:t xml:space="preserve"> </w:t>
      </w:r>
      <w:r>
        <w:rPr>
          <w:rFonts w:ascii="宋体" w:hAnsi="宋体" w:eastAsia="宋体" w:cs="宋体"/>
          <w:spacing w:val="7"/>
          <w:sz w:val="20"/>
          <w:szCs w:val="20"/>
        </w:rPr>
        <w:t>8.9</w:t>
      </w:r>
      <w:r>
        <w:rPr>
          <w:rFonts w:ascii="宋体" w:hAnsi="宋体" w:eastAsia="宋体" w:cs="宋体"/>
          <w:spacing w:val="-39"/>
          <w:sz w:val="20"/>
          <w:szCs w:val="20"/>
        </w:rPr>
        <w:t xml:space="preserve"> </w:t>
      </w:r>
      <w:r>
        <w:rPr>
          <w:rFonts w:ascii="宋体" w:hAnsi="宋体" w:eastAsia="宋体" w:cs="宋体"/>
          <w:spacing w:val="7"/>
          <w:sz w:val="20"/>
          <w:szCs w:val="20"/>
        </w:rPr>
        <w:t>款〔材料与设备专用要求〕的</w:t>
      </w:r>
      <w:r>
        <w:rPr>
          <w:rFonts w:ascii="宋体" w:hAnsi="宋体" w:eastAsia="宋体" w:cs="宋体"/>
          <w:spacing w:val="6"/>
          <w:sz w:val="20"/>
          <w:szCs w:val="20"/>
        </w:rPr>
        <w:t>约定，未经批准，私自将已按照合同约</w:t>
      </w:r>
      <w:r>
        <w:rPr>
          <w:rFonts w:ascii="宋体" w:hAnsi="宋体" w:eastAsia="宋体" w:cs="宋体"/>
          <w:spacing w:val="8"/>
          <w:sz w:val="20"/>
          <w:szCs w:val="20"/>
        </w:rPr>
        <w:t>定进入施工现场的材料或设备撤离施工现场的；</w:t>
      </w:r>
    </w:p>
    <w:p w14:paraId="763408D9">
      <w:pPr>
        <w:spacing w:before="1" w:line="227" w:lineRule="auto"/>
        <w:ind w:left="430"/>
        <w:rPr>
          <w:rFonts w:ascii="宋体" w:hAnsi="宋体" w:eastAsia="宋体" w:cs="宋体"/>
          <w:sz w:val="20"/>
          <w:szCs w:val="20"/>
        </w:rPr>
      </w:pPr>
      <w:r>
        <w:rPr>
          <w:rFonts w:ascii="宋体" w:hAnsi="宋体" w:eastAsia="宋体" w:cs="宋体"/>
          <w:spacing w:val="9"/>
          <w:sz w:val="20"/>
          <w:szCs w:val="20"/>
        </w:rPr>
        <w:t>（5）承包人未能按施工进度计划及时完成合同约定的工作，造成工期延</w:t>
      </w:r>
      <w:r>
        <w:rPr>
          <w:rFonts w:ascii="宋体" w:hAnsi="宋体" w:eastAsia="宋体" w:cs="宋体"/>
          <w:spacing w:val="8"/>
          <w:sz w:val="20"/>
          <w:szCs w:val="20"/>
        </w:rPr>
        <w:t>误的；</w:t>
      </w:r>
    </w:p>
    <w:p w14:paraId="34C2B912">
      <w:pPr>
        <w:spacing w:line="227" w:lineRule="auto"/>
        <w:rPr>
          <w:rFonts w:ascii="宋体" w:hAnsi="宋体" w:eastAsia="宋体" w:cs="宋体"/>
          <w:sz w:val="20"/>
          <w:szCs w:val="20"/>
        </w:rPr>
        <w:sectPr>
          <w:footerReference r:id="rId383" w:type="default"/>
          <w:pgSz w:w="11906" w:h="16839"/>
          <w:pgMar w:top="400" w:right="1462" w:bottom="1446" w:left="1539" w:header="0" w:footer="1284" w:gutter="0"/>
          <w:cols w:space="720" w:num="1"/>
        </w:sectPr>
      </w:pPr>
    </w:p>
    <w:p w14:paraId="7FAAD16E">
      <w:pPr>
        <w:spacing w:line="246" w:lineRule="auto"/>
        <w:rPr>
          <w:rFonts w:ascii="Arial"/>
          <w:sz w:val="21"/>
        </w:rPr>
      </w:pPr>
    </w:p>
    <w:p w14:paraId="3E8BAF1B">
      <w:pPr>
        <w:spacing w:line="246" w:lineRule="auto"/>
        <w:rPr>
          <w:rFonts w:ascii="Arial"/>
          <w:sz w:val="21"/>
        </w:rPr>
      </w:pPr>
    </w:p>
    <w:p w14:paraId="3967F15F">
      <w:pPr>
        <w:spacing w:line="246" w:lineRule="auto"/>
        <w:rPr>
          <w:rFonts w:ascii="Arial"/>
          <w:sz w:val="21"/>
        </w:rPr>
      </w:pPr>
    </w:p>
    <w:p w14:paraId="0CA87336">
      <w:pPr>
        <w:spacing w:line="246" w:lineRule="auto"/>
        <w:rPr>
          <w:rFonts w:ascii="Arial"/>
          <w:sz w:val="21"/>
        </w:rPr>
      </w:pPr>
    </w:p>
    <w:p w14:paraId="2EB6797B">
      <w:pPr>
        <w:spacing w:line="246" w:lineRule="auto"/>
        <w:rPr>
          <w:rFonts w:ascii="Arial"/>
          <w:sz w:val="21"/>
        </w:rPr>
      </w:pPr>
    </w:p>
    <w:p w14:paraId="5E39FC29">
      <w:pPr>
        <w:spacing w:line="247" w:lineRule="auto"/>
        <w:rPr>
          <w:rFonts w:ascii="Arial"/>
          <w:sz w:val="21"/>
        </w:rPr>
      </w:pPr>
    </w:p>
    <w:p w14:paraId="0DDB7285">
      <w:pPr>
        <w:spacing w:before="65" w:line="346" w:lineRule="auto"/>
        <w:ind w:left="3" w:right="54" w:firstLine="428"/>
        <w:rPr>
          <w:rFonts w:ascii="宋体" w:hAnsi="宋体" w:eastAsia="宋体" w:cs="宋体"/>
          <w:sz w:val="20"/>
          <w:szCs w:val="20"/>
        </w:rPr>
      </w:pPr>
      <w:r>
        <w:rPr>
          <w:rFonts w:ascii="宋体" w:hAnsi="宋体" w:eastAsia="宋体" w:cs="宋体"/>
          <w:spacing w:val="7"/>
          <w:sz w:val="20"/>
          <w:szCs w:val="20"/>
        </w:rPr>
        <w:t>（6）承包人在缺陷责任期及保修期内，未能在合理期限对工程缺陷进行修复，或拒绝按发包人要求进行修复的；</w:t>
      </w:r>
    </w:p>
    <w:p w14:paraId="797B3C24">
      <w:pPr>
        <w:spacing w:line="227" w:lineRule="auto"/>
        <w:ind w:left="431"/>
        <w:rPr>
          <w:rFonts w:ascii="宋体" w:hAnsi="宋体" w:eastAsia="宋体" w:cs="宋体"/>
          <w:sz w:val="20"/>
          <w:szCs w:val="20"/>
        </w:rPr>
      </w:pPr>
      <w:r>
        <w:rPr>
          <w:rFonts w:ascii="宋体" w:hAnsi="宋体" w:eastAsia="宋体" w:cs="宋体"/>
          <w:spacing w:val="-1"/>
          <w:sz w:val="20"/>
          <w:szCs w:val="20"/>
        </w:rPr>
        <w:t>（7）承包人明确表示或者以其行为表明不履行合同主要</w:t>
      </w:r>
      <w:r>
        <w:rPr>
          <w:rFonts w:ascii="宋体" w:hAnsi="宋体" w:eastAsia="宋体" w:cs="宋体"/>
          <w:spacing w:val="-2"/>
          <w:sz w:val="20"/>
          <w:szCs w:val="20"/>
        </w:rPr>
        <w:t>义务的；</w:t>
      </w:r>
    </w:p>
    <w:p w14:paraId="6BD2B3B8">
      <w:pPr>
        <w:spacing w:before="127" w:line="228" w:lineRule="auto"/>
        <w:ind w:left="431"/>
        <w:rPr>
          <w:rFonts w:ascii="宋体" w:hAnsi="宋体" w:eastAsia="宋体" w:cs="宋体"/>
          <w:sz w:val="20"/>
          <w:szCs w:val="20"/>
        </w:rPr>
      </w:pPr>
      <w:r>
        <w:rPr>
          <w:rFonts w:ascii="宋体" w:hAnsi="宋体" w:eastAsia="宋体" w:cs="宋体"/>
          <w:spacing w:val="8"/>
          <w:sz w:val="20"/>
          <w:szCs w:val="20"/>
        </w:rPr>
        <w:t>（8）承包人未能按照合同约定履行其他义务的。</w:t>
      </w:r>
    </w:p>
    <w:p w14:paraId="5ED1B17C">
      <w:pPr>
        <w:spacing w:before="126" w:line="346" w:lineRule="auto"/>
        <w:ind w:left="2" w:right="24" w:firstLine="419"/>
        <w:rPr>
          <w:rFonts w:ascii="宋体" w:hAnsi="宋体" w:eastAsia="宋体" w:cs="宋体"/>
          <w:sz w:val="20"/>
          <w:szCs w:val="20"/>
        </w:rPr>
      </w:pPr>
      <w:r>
        <w:rPr>
          <w:rFonts w:ascii="宋体" w:hAnsi="宋体" w:eastAsia="宋体" w:cs="宋体"/>
          <w:spacing w:val="7"/>
          <w:sz w:val="20"/>
          <w:szCs w:val="20"/>
        </w:rPr>
        <w:t>承包人发生除本项第（7）</w:t>
      </w:r>
      <w:r>
        <w:rPr>
          <w:rFonts w:ascii="宋体" w:hAnsi="宋体" w:eastAsia="宋体" w:cs="宋体"/>
          <w:spacing w:val="-42"/>
          <w:sz w:val="20"/>
          <w:szCs w:val="20"/>
        </w:rPr>
        <w:t xml:space="preserve"> </w:t>
      </w:r>
      <w:r>
        <w:rPr>
          <w:rFonts w:ascii="宋体" w:hAnsi="宋体" w:eastAsia="宋体" w:cs="宋体"/>
          <w:spacing w:val="7"/>
          <w:sz w:val="20"/>
          <w:szCs w:val="20"/>
        </w:rPr>
        <w:t>目约定以外的其他违约情况时，监理人可向承包人发出整改通</w:t>
      </w:r>
      <w:r>
        <w:rPr>
          <w:rFonts w:ascii="宋体" w:hAnsi="宋体" w:eastAsia="宋体" w:cs="宋体"/>
          <w:spacing w:val="6"/>
          <w:sz w:val="20"/>
          <w:szCs w:val="20"/>
        </w:rPr>
        <w:t>知，</w:t>
      </w:r>
      <w:r>
        <w:rPr>
          <w:rFonts w:ascii="宋体" w:hAnsi="宋体" w:eastAsia="宋体" w:cs="宋体"/>
          <w:spacing w:val="8"/>
          <w:sz w:val="20"/>
          <w:szCs w:val="20"/>
        </w:rPr>
        <w:t>要求其在指定的期限内改正。</w:t>
      </w:r>
    </w:p>
    <w:p w14:paraId="146E96EA">
      <w:pPr>
        <w:spacing w:before="1" w:line="227" w:lineRule="auto"/>
        <w:ind w:left="437"/>
        <w:rPr>
          <w:rFonts w:ascii="宋体" w:hAnsi="宋体" w:eastAsia="宋体" w:cs="宋体"/>
          <w:sz w:val="20"/>
          <w:szCs w:val="20"/>
        </w:rPr>
      </w:pPr>
      <w:r>
        <w:rPr>
          <w:rFonts w:ascii="宋体" w:hAnsi="宋体" w:eastAsia="宋体" w:cs="宋体"/>
          <w:b/>
          <w:bCs/>
          <w:spacing w:val="4"/>
          <w:sz w:val="20"/>
          <w:szCs w:val="20"/>
        </w:rPr>
        <w:t>16.2.2</w:t>
      </w:r>
      <w:r>
        <w:rPr>
          <w:rFonts w:ascii="宋体" w:hAnsi="宋体" w:eastAsia="宋体" w:cs="宋体"/>
          <w:spacing w:val="4"/>
          <w:sz w:val="20"/>
          <w:szCs w:val="20"/>
        </w:rPr>
        <w:t xml:space="preserve"> </w:t>
      </w:r>
      <w:r>
        <w:rPr>
          <w:rFonts w:ascii="宋体" w:hAnsi="宋体" w:eastAsia="宋体" w:cs="宋体"/>
          <w:b/>
          <w:bCs/>
          <w:spacing w:val="4"/>
          <w:sz w:val="20"/>
          <w:szCs w:val="20"/>
        </w:rPr>
        <w:t>承包人违约的责任</w:t>
      </w:r>
    </w:p>
    <w:p w14:paraId="62BD1A16">
      <w:pPr>
        <w:spacing w:before="127" w:line="346" w:lineRule="auto"/>
        <w:ind w:left="2" w:right="54" w:firstLine="419"/>
        <w:rPr>
          <w:rFonts w:ascii="宋体" w:hAnsi="宋体" w:eastAsia="宋体" w:cs="宋体"/>
          <w:sz w:val="20"/>
          <w:szCs w:val="20"/>
        </w:rPr>
      </w:pPr>
      <w:r>
        <w:rPr>
          <w:rFonts w:ascii="宋体" w:hAnsi="宋体" w:eastAsia="宋体" w:cs="宋体"/>
          <w:spacing w:val="10"/>
          <w:sz w:val="20"/>
          <w:szCs w:val="20"/>
        </w:rPr>
        <w:t>承包人应承担因其违约行为而增加的费用和（或）延误的工期。此外，合同当事人可在专用</w:t>
      </w:r>
      <w:r>
        <w:rPr>
          <w:rFonts w:ascii="宋体" w:hAnsi="宋体" w:eastAsia="宋体" w:cs="宋体"/>
          <w:spacing w:val="9"/>
          <w:sz w:val="20"/>
          <w:szCs w:val="20"/>
        </w:rPr>
        <w:t>合同条款中另行约定承包人违约责任的承担方式和计算方法。</w:t>
      </w:r>
    </w:p>
    <w:p w14:paraId="5BF38A84">
      <w:pPr>
        <w:spacing w:before="1" w:line="227" w:lineRule="auto"/>
        <w:ind w:left="437"/>
        <w:rPr>
          <w:rFonts w:ascii="宋体" w:hAnsi="宋体" w:eastAsia="宋体" w:cs="宋体"/>
          <w:sz w:val="20"/>
          <w:szCs w:val="20"/>
        </w:rPr>
      </w:pPr>
      <w:r>
        <w:rPr>
          <w:rFonts w:ascii="宋体" w:hAnsi="宋体" w:eastAsia="宋体" w:cs="宋体"/>
          <w:b/>
          <w:bCs/>
          <w:spacing w:val="3"/>
          <w:sz w:val="20"/>
          <w:szCs w:val="20"/>
        </w:rPr>
        <w:t>16.2.3</w:t>
      </w:r>
      <w:r>
        <w:rPr>
          <w:rFonts w:ascii="宋体" w:hAnsi="宋体" w:eastAsia="宋体" w:cs="宋体"/>
          <w:spacing w:val="40"/>
          <w:sz w:val="20"/>
          <w:szCs w:val="20"/>
        </w:rPr>
        <w:t xml:space="preserve"> </w:t>
      </w:r>
      <w:r>
        <w:rPr>
          <w:rFonts w:ascii="宋体" w:hAnsi="宋体" w:eastAsia="宋体" w:cs="宋体"/>
          <w:b/>
          <w:bCs/>
          <w:spacing w:val="3"/>
          <w:sz w:val="20"/>
          <w:szCs w:val="20"/>
        </w:rPr>
        <w:t>因承包人违约解除合同</w:t>
      </w:r>
    </w:p>
    <w:p w14:paraId="4FF8EEAD">
      <w:pPr>
        <w:spacing w:before="125" w:line="346" w:lineRule="auto"/>
        <w:ind w:left="2" w:right="7" w:firstLine="431"/>
        <w:jc w:val="both"/>
        <w:rPr>
          <w:rFonts w:ascii="宋体" w:hAnsi="宋体" w:eastAsia="宋体" w:cs="宋体"/>
          <w:sz w:val="20"/>
          <w:szCs w:val="20"/>
        </w:rPr>
      </w:pPr>
      <w:r>
        <w:rPr>
          <w:rFonts w:ascii="宋体" w:hAnsi="宋体" w:eastAsia="宋体" w:cs="宋体"/>
          <w:spacing w:val="7"/>
          <w:sz w:val="20"/>
          <w:szCs w:val="20"/>
        </w:rPr>
        <w:t>除专用合同条款另有约定外，出现第</w:t>
      </w:r>
      <w:r>
        <w:rPr>
          <w:rFonts w:ascii="宋体" w:hAnsi="宋体" w:eastAsia="宋体" w:cs="宋体"/>
          <w:spacing w:val="-24"/>
          <w:sz w:val="20"/>
          <w:szCs w:val="20"/>
        </w:rPr>
        <w:t xml:space="preserve"> </w:t>
      </w:r>
      <w:r>
        <w:rPr>
          <w:rFonts w:ascii="宋体" w:hAnsi="宋体" w:eastAsia="宋体" w:cs="宋体"/>
          <w:spacing w:val="7"/>
          <w:sz w:val="20"/>
          <w:szCs w:val="20"/>
        </w:rPr>
        <w:t>16.2.1</w:t>
      </w:r>
      <w:r>
        <w:rPr>
          <w:rFonts w:ascii="宋体" w:hAnsi="宋体" w:eastAsia="宋体" w:cs="宋体"/>
          <w:spacing w:val="-35"/>
          <w:sz w:val="20"/>
          <w:szCs w:val="20"/>
        </w:rPr>
        <w:t xml:space="preserve"> </w:t>
      </w:r>
      <w:r>
        <w:rPr>
          <w:rFonts w:ascii="宋体" w:hAnsi="宋体" w:eastAsia="宋体" w:cs="宋体"/>
          <w:spacing w:val="7"/>
          <w:sz w:val="20"/>
          <w:szCs w:val="20"/>
        </w:rPr>
        <w:t>项〔承包人违约的情形〕第（7）</w:t>
      </w:r>
      <w:r>
        <w:rPr>
          <w:rFonts w:ascii="宋体" w:hAnsi="宋体" w:eastAsia="宋体" w:cs="宋体"/>
          <w:spacing w:val="-40"/>
          <w:sz w:val="20"/>
          <w:szCs w:val="20"/>
        </w:rPr>
        <w:t xml:space="preserve"> </w:t>
      </w:r>
      <w:r>
        <w:rPr>
          <w:rFonts w:ascii="宋体" w:hAnsi="宋体" w:eastAsia="宋体" w:cs="宋体"/>
          <w:spacing w:val="7"/>
          <w:sz w:val="20"/>
          <w:szCs w:val="20"/>
        </w:rPr>
        <w:t>目约定的违约</w:t>
      </w:r>
      <w:r>
        <w:rPr>
          <w:rFonts w:ascii="宋体" w:hAnsi="宋体" w:eastAsia="宋体" w:cs="宋体"/>
          <w:spacing w:val="10"/>
          <w:sz w:val="20"/>
          <w:szCs w:val="20"/>
        </w:rPr>
        <w:t>情况时，或监理人发出整改通知后，承包人在指定的合理期限内仍不纠正违约行为并致使合同目</w:t>
      </w:r>
      <w:r>
        <w:rPr>
          <w:rFonts w:ascii="宋体" w:hAnsi="宋体" w:eastAsia="宋体" w:cs="宋体"/>
          <w:spacing w:val="7"/>
          <w:sz w:val="20"/>
          <w:szCs w:val="20"/>
        </w:rPr>
        <w:t>的不能实现的，发包人有权解除合同。合同解</w:t>
      </w:r>
      <w:r>
        <w:rPr>
          <w:rFonts w:ascii="宋体" w:hAnsi="宋体" w:eastAsia="宋体" w:cs="宋体"/>
          <w:spacing w:val="6"/>
          <w:sz w:val="20"/>
          <w:szCs w:val="20"/>
        </w:rPr>
        <w:t>除后，现场的所有材料（周转性材料除外）、设备、</w:t>
      </w:r>
      <w:r>
        <w:rPr>
          <w:rFonts w:ascii="宋体" w:hAnsi="宋体" w:eastAsia="宋体" w:cs="宋体"/>
          <w:spacing w:val="10"/>
          <w:sz w:val="20"/>
          <w:szCs w:val="20"/>
        </w:rPr>
        <w:t>临时工程、承包人文件，若发包人已足额支付了相应对价的，则应认为属于发包人的财产，发包人有权使用。若发包人未能足额支付相应对价，则发包人应按照合同当事人在专用合同条款中约</w:t>
      </w:r>
      <w:r>
        <w:rPr>
          <w:rFonts w:ascii="宋体" w:hAnsi="宋体" w:eastAsia="宋体" w:cs="宋体"/>
          <w:spacing w:val="9"/>
          <w:sz w:val="20"/>
          <w:szCs w:val="20"/>
        </w:rPr>
        <w:t>定的费用标准承担使用费用。发包人继续使用的行为不免除或减轻承包人应承担的违约责任。</w:t>
      </w:r>
    </w:p>
    <w:p w14:paraId="4A88EA46">
      <w:pPr>
        <w:spacing w:line="227" w:lineRule="auto"/>
        <w:ind w:left="437"/>
        <w:rPr>
          <w:rFonts w:ascii="宋体" w:hAnsi="宋体" w:eastAsia="宋体" w:cs="宋体"/>
          <w:sz w:val="20"/>
          <w:szCs w:val="20"/>
        </w:rPr>
      </w:pPr>
      <w:r>
        <w:rPr>
          <w:rFonts w:ascii="宋体" w:hAnsi="宋体" w:eastAsia="宋体" w:cs="宋体"/>
          <w:b/>
          <w:bCs/>
          <w:spacing w:val="5"/>
          <w:sz w:val="20"/>
          <w:szCs w:val="20"/>
        </w:rPr>
        <w:t>16.2.4</w:t>
      </w:r>
      <w:r>
        <w:rPr>
          <w:rFonts w:ascii="宋体" w:hAnsi="宋体" w:eastAsia="宋体" w:cs="宋体"/>
          <w:spacing w:val="5"/>
          <w:sz w:val="20"/>
          <w:szCs w:val="20"/>
        </w:rPr>
        <w:t xml:space="preserve"> </w:t>
      </w:r>
      <w:r>
        <w:rPr>
          <w:rFonts w:ascii="宋体" w:hAnsi="宋体" w:eastAsia="宋体" w:cs="宋体"/>
          <w:b/>
          <w:bCs/>
          <w:spacing w:val="5"/>
          <w:sz w:val="20"/>
          <w:szCs w:val="20"/>
        </w:rPr>
        <w:t>因承包人违约解除合同后的处理</w:t>
      </w:r>
    </w:p>
    <w:p w14:paraId="12EE4922">
      <w:pPr>
        <w:spacing w:before="127" w:line="346" w:lineRule="auto"/>
        <w:ind w:left="6" w:firstLine="431"/>
        <w:rPr>
          <w:rFonts w:ascii="宋体" w:hAnsi="宋体" w:eastAsia="宋体" w:cs="宋体"/>
          <w:sz w:val="20"/>
          <w:szCs w:val="20"/>
        </w:rPr>
      </w:pPr>
      <w:r>
        <w:rPr>
          <w:rFonts w:ascii="宋体" w:hAnsi="宋体" w:eastAsia="宋体" w:cs="宋体"/>
          <w:spacing w:val="3"/>
          <w:sz w:val="20"/>
          <w:szCs w:val="20"/>
        </w:rPr>
        <w:t>因承包人原因导致合同解除的，则合同当事人应在合同解除后</w:t>
      </w:r>
      <w:r>
        <w:rPr>
          <w:rFonts w:ascii="宋体" w:hAnsi="宋体" w:eastAsia="宋体" w:cs="宋体"/>
          <w:spacing w:val="-37"/>
          <w:sz w:val="20"/>
          <w:szCs w:val="20"/>
        </w:rPr>
        <w:t xml:space="preserve"> </w:t>
      </w:r>
      <w:r>
        <w:rPr>
          <w:rFonts w:ascii="宋体" w:hAnsi="宋体" w:eastAsia="宋体" w:cs="宋体"/>
          <w:spacing w:val="3"/>
          <w:sz w:val="20"/>
          <w:szCs w:val="20"/>
        </w:rPr>
        <w:t>28</w:t>
      </w:r>
      <w:r>
        <w:rPr>
          <w:rFonts w:ascii="宋体" w:hAnsi="宋体" w:eastAsia="宋体" w:cs="宋体"/>
          <w:spacing w:val="-34"/>
          <w:sz w:val="20"/>
          <w:szCs w:val="20"/>
        </w:rPr>
        <w:t xml:space="preserve"> </w:t>
      </w:r>
      <w:r>
        <w:rPr>
          <w:rFonts w:ascii="宋体" w:hAnsi="宋体" w:eastAsia="宋体" w:cs="宋体"/>
          <w:spacing w:val="3"/>
          <w:sz w:val="20"/>
          <w:szCs w:val="20"/>
        </w:rPr>
        <w:t>天内完成估价、付</w:t>
      </w:r>
      <w:r>
        <w:rPr>
          <w:rFonts w:ascii="宋体" w:hAnsi="宋体" w:eastAsia="宋体" w:cs="宋体"/>
          <w:spacing w:val="2"/>
          <w:sz w:val="20"/>
          <w:szCs w:val="20"/>
        </w:rPr>
        <w:t>款和清算，</w:t>
      </w:r>
      <w:r>
        <w:rPr>
          <w:rFonts w:ascii="宋体" w:hAnsi="宋体" w:eastAsia="宋体" w:cs="宋体"/>
          <w:spacing w:val="7"/>
          <w:sz w:val="20"/>
          <w:szCs w:val="20"/>
        </w:rPr>
        <w:t>并按以下约定执行：</w:t>
      </w:r>
    </w:p>
    <w:p w14:paraId="235B9011">
      <w:pPr>
        <w:spacing w:before="2" w:line="345" w:lineRule="auto"/>
        <w:ind w:left="2" w:right="54" w:firstLine="429"/>
        <w:rPr>
          <w:rFonts w:ascii="宋体" w:hAnsi="宋体" w:eastAsia="宋体" w:cs="宋体"/>
          <w:sz w:val="20"/>
          <w:szCs w:val="20"/>
        </w:rPr>
      </w:pPr>
      <w:r>
        <w:rPr>
          <w:rFonts w:ascii="宋体" w:hAnsi="宋体" w:eastAsia="宋体" w:cs="宋体"/>
          <w:spacing w:val="8"/>
          <w:sz w:val="20"/>
          <w:szCs w:val="20"/>
        </w:rPr>
        <w:t>（1）合同解除后，按第4.4</w:t>
      </w:r>
      <w:r>
        <w:rPr>
          <w:rFonts w:ascii="宋体" w:hAnsi="宋体" w:eastAsia="宋体" w:cs="宋体"/>
          <w:spacing w:val="-34"/>
          <w:sz w:val="20"/>
          <w:szCs w:val="20"/>
        </w:rPr>
        <w:t xml:space="preserve"> </w:t>
      </w:r>
      <w:r>
        <w:rPr>
          <w:rFonts w:ascii="宋体" w:hAnsi="宋体" w:eastAsia="宋体" w:cs="宋体"/>
          <w:spacing w:val="8"/>
          <w:sz w:val="20"/>
          <w:szCs w:val="20"/>
        </w:rPr>
        <w:t>款〔商定或确定〕商定或确定承包人实际完成工作对应的合同价款，</w:t>
      </w:r>
      <w:r>
        <w:rPr>
          <w:rFonts w:ascii="宋体" w:hAnsi="宋体" w:eastAsia="宋体" w:cs="宋体"/>
          <w:spacing w:val="-57"/>
          <w:sz w:val="20"/>
          <w:szCs w:val="20"/>
        </w:rPr>
        <w:t xml:space="preserve"> </w:t>
      </w:r>
      <w:r>
        <w:rPr>
          <w:rFonts w:ascii="宋体" w:hAnsi="宋体" w:eastAsia="宋体" w:cs="宋体"/>
          <w:spacing w:val="8"/>
          <w:sz w:val="20"/>
          <w:szCs w:val="20"/>
        </w:rPr>
        <w:t>以及承包人已提供的材料、工程设备、施工设备和临时工程等的价值；</w:t>
      </w:r>
    </w:p>
    <w:p w14:paraId="21F89EF9">
      <w:pPr>
        <w:spacing w:line="227" w:lineRule="auto"/>
        <w:ind w:left="431"/>
        <w:rPr>
          <w:rFonts w:ascii="宋体" w:hAnsi="宋体" w:eastAsia="宋体" w:cs="宋体"/>
          <w:sz w:val="20"/>
          <w:szCs w:val="20"/>
        </w:rPr>
      </w:pPr>
      <w:r>
        <w:rPr>
          <w:rFonts w:ascii="宋体" w:hAnsi="宋体" w:eastAsia="宋体" w:cs="宋体"/>
          <w:spacing w:val="8"/>
          <w:sz w:val="20"/>
          <w:szCs w:val="20"/>
        </w:rPr>
        <w:t>（2）合同解除后，承包人应支付的违约金；</w:t>
      </w:r>
    </w:p>
    <w:p w14:paraId="601C69F4">
      <w:pPr>
        <w:spacing w:before="128" w:line="228" w:lineRule="auto"/>
        <w:ind w:left="431"/>
        <w:rPr>
          <w:rFonts w:ascii="宋体" w:hAnsi="宋体" w:eastAsia="宋体" w:cs="宋体"/>
          <w:sz w:val="20"/>
          <w:szCs w:val="20"/>
        </w:rPr>
      </w:pPr>
      <w:r>
        <w:rPr>
          <w:rFonts w:ascii="宋体" w:hAnsi="宋体" w:eastAsia="宋体" w:cs="宋体"/>
          <w:spacing w:val="8"/>
          <w:sz w:val="20"/>
          <w:szCs w:val="20"/>
        </w:rPr>
        <w:t>（3）合同解除后，因解除合同给发包人造成的损失；</w:t>
      </w:r>
    </w:p>
    <w:p w14:paraId="0DBF70A9">
      <w:pPr>
        <w:spacing w:before="127" w:line="228" w:lineRule="auto"/>
        <w:ind w:left="431"/>
        <w:rPr>
          <w:rFonts w:ascii="宋体" w:hAnsi="宋体" w:eastAsia="宋体" w:cs="宋体"/>
          <w:sz w:val="20"/>
          <w:szCs w:val="20"/>
        </w:rPr>
      </w:pPr>
      <w:r>
        <w:rPr>
          <w:rFonts w:ascii="宋体" w:hAnsi="宋体" w:eastAsia="宋体" w:cs="宋体"/>
          <w:spacing w:val="9"/>
          <w:sz w:val="20"/>
          <w:szCs w:val="20"/>
        </w:rPr>
        <w:t>（4）合同解除后，承包人应按照发包人要求和监理人的指示完成现场的清理和撤离；</w:t>
      </w:r>
    </w:p>
    <w:p w14:paraId="4AE4EF0C">
      <w:pPr>
        <w:spacing w:before="128" w:line="227" w:lineRule="auto"/>
        <w:ind w:left="431"/>
        <w:rPr>
          <w:rFonts w:ascii="宋体" w:hAnsi="宋体" w:eastAsia="宋体" w:cs="宋体"/>
          <w:sz w:val="20"/>
          <w:szCs w:val="20"/>
        </w:rPr>
      </w:pPr>
      <w:r>
        <w:rPr>
          <w:rFonts w:ascii="宋体" w:hAnsi="宋体" w:eastAsia="宋体" w:cs="宋体"/>
          <w:spacing w:val="9"/>
          <w:sz w:val="20"/>
          <w:szCs w:val="20"/>
        </w:rPr>
        <w:t>（5）发包人和承包人应在合同解除后进行清算，出具最终结清付款证书，结清全部款项。</w:t>
      </w:r>
    </w:p>
    <w:p w14:paraId="03E9C2E3">
      <w:pPr>
        <w:spacing w:before="127" w:line="346" w:lineRule="auto"/>
        <w:ind w:left="1" w:right="54" w:firstLine="436"/>
        <w:jc w:val="both"/>
        <w:rPr>
          <w:rFonts w:ascii="宋体" w:hAnsi="宋体" w:eastAsia="宋体" w:cs="宋体"/>
          <w:sz w:val="20"/>
          <w:szCs w:val="20"/>
        </w:rPr>
      </w:pPr>
      <w:r>
        <w:rPr>
          <w:rFonts w:ascii="宋体" w:hAnsi="宋体" w:eastAsia="宋体" w:cs="宋体"/>
          <w:spacing w:val="10"/>
          <w:sz w:val="20"/>
          <w:szCs w:val="20"/>
        </w:rPr>
        <w:t>因承包人违约解除合同的，发包人有权暂停对承包人的付款，查清各项付款和已</w:t>
      </w:r>
      <w:r>
        <w:rPr>
          <w:rFonts w:ascii="宋体" w:hAnsi="宋体" w:eastAsia="宋体" w:cs="宋体"/>
          <w:spacing w:val="9"/>
          <w:sz w:val="20"/>
          <w:szCs w:val="20"/>
        </w:rPr>
        <w:t>扣款项。发</w:t>
      </w:r>
      <w:r>
        <w:rPr>
          <w:rFonts w:ascii="宋体" w:hAnsi="宋体" w:eastAsia="宋体" w:cs="宋体"/>
          <w:spacing w:val="7"/>
          <w:sz w:val="20"/>
          <w:szCs w:val="20"/>
        </w:rPr>
        <w:t>包人和承包人未能就合同解除后的清算和款项支付达成一致的，按照第</w:t>
      </w:r>
      <w:r>
        <w:rPr>
          <w:rFonts w:ascii="宋体" w:hAnsi="宋体" w:eastAsia="宋体" w:cs="宋体"/>
          <w:spacing w:val="-30"/>
          <w:sz w:val="20"/>
          <w:szCs w:val="20"/>
        </w:rPr>
        <w:t xml:space="preserve"> </w:t>
      </w:r>
      <w:r>
        <w:rPr>
          <w:rFonts w:ascii="宋体" w:hAnsi="宋体" w:eastAsia="宋体" w:cs="宋体"/>
          <w:spacing w:val="7"/>
          <w:sz w:val="20"/>
          <w:szCs w:val="20"/>
        </w:rPr>
        <w:t>20</w:t>
      </w:r>
      <w:r>
        <w:rPr>
          <w:rFonts w:ascii="宋体" w:hAnsi="宋体" w:eastAsia="宋体" w:cs="宋体"/>
          <w:spacing w:val="-39"/>
          <w:sz w:val="20"/>
          <w:szCs w:val="20"/>
        </w:rPr>
        <w:t xml:space="preserve"> </w:t>
      </w:r>
      <w:r>
        <w:rPr>
          <w:rFonts w:ascii="宋体" w:hAnsi="宋体" w:eastAsia="宋体" w:cs="宋体"/>
          <w:spacing w:val="7"/>
          <w:sz w:val="20"/>
          <w:szCs w:val="20"/>
        </w:rPr>
        <w:t>条〔争议解决〕的约定</w:t>
      </w:r>
      <w:r>
        <w:rPr>
          <w:rFonts w:ascii="宋体" w:hAnsi="宋体" w:eastAsia="宋体" w:cs="宋体"/>
          <w:spacing w:val="3"/>
          <w:sz w:val="20"/>
          <w:szCs w:val="20"/>
        </w:rPr>
        <w:t>处理。</w:t>
      </w:r>
    </w:p>
    <w:p w14:paraId="7C3311EB">
      <w:pPr>
        <w:spacing w:before="1" w:line="226" w:lineRule="auto"/>
        <w:ind w:left="437"/>
        <w:rPr>
          <w:rFonts w:ascii="宋体" w:hAnsi="宋体" w:eastAsia="宋体" w:cs="宋体"/>
          <w:sz w:val="20"/>
          <w:szCs w:val="20"/>
        </w:rPr>
      </w:pPr>
      <w:r>
        <w:rPr>
          <w:rFonts w:ascii="宋体" w:hAnsi="宋体" w:eastAsia="宋体" w:cs="宋体"/>
          <w:b/>
          <w:bCs/>
          <w:spacing w:val="4"/>
          <w:sz w:val="20"/>
          <w:szCs w:val="20"/>
        </w:rPr>
        <w:t>16.2.5</w:t>
      </w:r>
      <w:r>
        <w:rPr>
          <w:rFonts w:ascii="宋体" w:hAnsi="宋体" w:eastAsia="宋体" w:cs="宋体"/>
          <w:spacing w:val="4"/>
          <w:sz w:val="20"/>
          <w:szCs w:val="20"/>
        </w:rPr>
        <w:t xml:space="preserve"> </w:t>
      </w:r>
      <w:r>
        <w:rPr>
          <w:rFonts w:ascii="宋体" w:hAnsi="宋体" w:eastAsia="宋体" w:cs="宋体"/>
          <w:b/>
          <w:bCs/>
          <w:spacing w:val="4"/>
          <w:sz w:val="20"/>
          <w:szCs w:val="20"/>
        </w:rPr>
        <w:t>采购合同权益转让</w:t>
      </w:r>
    </w:p>
    <w:p w14:paraId="6ABE46E5">
      <w:pPr>
        <w:spacing w:before="127" w:line="346" w:lineRule="auto"/>
        <w:ind w:right="54" w:firstLine="437"/>
        <w:jc w:val="both"/>
        <w:rPr>
          <w:rFonts w:ascii="宋体" w:hAnsi="宋体" w:eastAsia="宋体" w:cs="宋体"/>
          <w:sz w:val="20"/>
          <w:szCs w:val="20"/>
        </w:rPr>
      </w:pPr>
      <w:r>
        <w:rPr>
          <w:rFonts w:ascii="宋体" w:hAnsi="宋体" w:eastAsia="宋体" w:cs="宋体"/>
          <w:spacing w:val="10"/>
          <w:sz w:val="20"/>
          <w:szCs w:val="20"/>
        </w:rPr>
        <w:t>因承包人违约解除合同的，发包人有权要求承包人将其为实施合同而签订的材料</w:t>
      </w:r>
      <w:r>
        <w:rPr>
          <w:rFonts w:ascii="宋体" w:hAnsi="宋体" w:eastAsia="宋体" w:cs="宋体"/>
          <w:spacing w:val="9"/>
          <w:sz w:val="20"/>
          <w:szCs w:val="20"/>
        </w:rPr>
        <w:t>和设备的采</w:t>
      </w:r>
      <w:r>
        <w:rPr>
          <w:rFonts w:ascii="宋体" w:hAnsi="宋体" w:eastAsia="宋体" w:cs="宋体"/>
          <w:spacing w:val="7"/>
          <w:sz w:val="20"/>
          <w:szCs w:val="20"/>
        </w:rPr>
        <w:t>购合同的权益转让给发包人，承包人应在收到解除合同通知后</w:t>
      </w:r>
      <w:r>
        <w:rPr>
          <w:rFonts w:ascii="宋体" w:hAnsi="宋体" w:eastAsia="宋体" w:cs="宋体"/>
          <w:spacing w:val="-21"/>
          <w:sz w:val="20"/>
          <w:szCs w:val="20"/>
        </w:rPr>
        <w:t xml:space="preserve"> </w:t>
      </w:r>
      <w:r>
        <w:rPr>
          <w:rFonts w:ascii="宋体" w:hAnsi="宋体" w:eastAsia="宋体" w:cs="宋体"/>
          <w:spacing w:val="7"/>
          <w:sz w:val="20"/>
          <w:szCs w:val="20"/>
        </w:rPr>
        <w:t>14</w:t>
      </w:r>
      <w:r>
        <w:rPr>
          <w:rFonts w:ascii="宋体" w:hAnsi="宋体" w:eastAsia="宋体" w:cs="宋体"/>
          <w:spacing w:val="-34"/>
          <w:sz w:val="20"/>
          <w:szCs w:val="20"/>
        </w:rPr>
        <w:t xml:space="preserve"> </w:t>
      </w:r>
      <w:r>
        <w:rPr>
          <w:rFonts w:ascii="宋体" w:hAnsi="宋体" w:eastAsia="宋体" w:cs="宋体"/>
          <w:spacing w:val="7"/>
          <w:sz w:val="20"/>
          <w:szCs w:val="20"/>
        </w:rPr>
        <w:t>天内</w:t>
      </w:r>
      <w:r>
        <w:rPr>
          <w:rFonts w:ascii="宋体" w:hAnsi="宋体" w:eastAsia="宋体" w:cs="宋体"/>
          <w:spacing w:val="6"/>
          <w:sz w:val="20"/>
          <w:szCs w:val="20"/>
        </w:rPr>
        <w:t>，协助发包人与采购合同的</w:t>
      </w:r>
      <w:r>
        <w:rPr>
          <w:rFonts w:ascii="宋体" w:hAnsi="宋体" w:eastAsia="宋体" w:cs="宋体"/>
          <w:spacing w:val="8"/>
          <w:sz w:val="20"/>
          <w:szCs w:val="20"/>
        </w:rPr>
        <w:t>供应商达成相关的转让协议。</w:t>
      </w:r>
    </w:p>
    <w:p w14:paraId="0C211836">
      <w:pPr>
        <w:spacing w:before="1" w:line="227" w:lineRule="auto"/>
        <w:ind w:left="437"/>
        <w:rPr>
          <w:rFonts w:ascii="宋体" w:hAnsi="宋体" w:eastAsia="宋体" w:cs="宋体"/>
          <w:sz w:val="20"/>
          <w:szCs w:val="20"/>
        </w:rPr>
      </w:pPr>
      <w:r>
        <w:rPr>
          <w:rFonts w:ascii="宋体" w:hAnsi="宋体" w:eastAsia="宋体" w:cs="宋体"/>
          <w:b/>
          <w:bCs/>
          <w:spacing w:val="4"/>
          <w:sz w:val="20"/>
          <w:szCs w:val="20"/>
        </w:rPr>
        <w:t>16.3</w:t>
      </w:r>
      <w:r>
        <w:rPr>
          <w:rFonts w:ascii="宋体" w:hAnsi="宋体" w:eastAsia="宋体" w:cs="宋体"/>
          <w:spacing w:val="4"/>
          <w:sz w:val="20"/>
          <w:szCs w:val="20"/>
        </w:rPr>
        <w:t xml:space="preserve"> </w:t>
      </w:r>
      <w:r>
        <w:rPr>
          <w:rFonts w:ascii="宋体" w:hAnsi="宋体" w:eastAsia="宋体" w:cs="宋体"/>
          <w:b/>
          <w:bCs/>
          <w:spacing w:val="4"/>
          <w:sz w:val="20"/>
          <w:szCs w:val="20"/>
        </w:rPr>
        <w:t>第三人造成的违约</w:t>
      </w:r>
    </w:p>
    <w:p w14:paraId="24C1B9F5">
      <w:pPr>
        <w:spacing w:before="127" w:line="228" w:lineRule="auto"/>
        <w:ind w:left="420"/>
        <w:rPr>
          <w:rFonts w:ascii="宋体" w:hAnsi="宋体" w:eastAsia="宋体" w:cs="宋体"/>
          <w:sz w:val="20"/>
          <w:szCs w:val="20"/>
        </w:rPr>
      </w:pPr>
      <w:r>
        <w:rPr>
          <w:rFonts w:ascii="宋体" w:hAnsi="宋体" w:eastAsia="宋体" w:cs="宋体"/>
          <w:spacing w:val="10"/>
          <w:sz w:val="20"/>
          <w:szCs w:val="20"/>
        </w:rPr>
        <w:t>在履行合同过程中，一方当事人因第三人的原因造成违约的，应当向对方当事人承担违约责</w:t>
      </w:r>
    </w:p>
    <w:p w14:paraId="154EB117">
      <w:pPr>
        <w:spacing w:line="228" w:lineRule="auto"/>
        <w:rPr>
          <w:rFonts w:ascii="宋体" w:hAnsi="宋体" w:eastAsia="宋体" w:cs="宋体"/>
          <w:sz w:val="20"/>
          <w:szCs w:val="20"/>
        </w:rPr>
        <w:sectPr>
          <w:footerReference r:id="rId384" w:type="default"/>
          <w:pgSz w:w="11906" w:h="16839"/>
          <w:pgMar w:top="400" w:right="1478" w:bottom="1446" w:left="1537" w:header="0" w:footer="1284" w:gutter="0"/>
          <w:cols w:space="720" w:num="1"/>
        </w:sectPr>
      </w:pPr>
    </w:p>
    <w:p w14:paraId="7B4AE636">
      <w:pPr>
        <w:spacing w:line="246" w:lineRule="auto"/>
        <w:rPr>
          <w:rFonts w:ascii="Arial"/>
          <w:sz w:val="21"/>
        </w:rPr>
      </w:pPr>
    </w:p>
    <w:p w14:paraId="07057790">
      <w:pPr>
        <w:spacing w:line="246" w:lineRule="auto"/>
        <w:rPr>
          <w:rFonts w:ascii="Arial"/>
          <w:sz w:val="21"/>
        </w:rPr>
      </w:pPr>
    </w:p>
    <w:p w14:paraId="4F6708E6">
      <w:pPr>
        <w:spacing w:line="246" w:lineRule="auto"/>
        <w:rPr>
          <w:rFonts w:ascii="Arial"/>
          <w:sz w:val="21"/>
        </w:rPr>
      </w:pPr>
    </w:p>
    <w:p w14:paraId="0AB22F57">
      <w:pPr>
        <w:spacing w:line="246" w:lineRule="auto"/>
        <w:rPr>
          <w:rFonts w:ascii="Arial"/>
          <w:sz w:val="21"/>
        </w:rPr>
      </w:pPr>
    </w:p>
    <w:p w14:paraId="0CDACA02">
      <w:pPr>
        <w:spacing w:line="247" w:lineRule="auto"/>
        <w:rPr>
          <w:rFonts w:ascii="Arial"/>
          <w:sz w:val="21"/>
        </w:rPr>
      </w:pPr>
    </w:p>
    <w:p w14:paraId="36720BE6">
      <w:pPr>
        <w:spacing w:line="247" w:lineRule="auto"/>
        <w:rPr>
          <w:rFonts w:ascii="Arial"/>
          <w:sz w:val="21"/>
        </w:rPr>
      </w:pPr>
    </w:p>
    <w:p w14:paraId="4DFF3892">
      <w:pPr>
        <w:spacing w:before="65" w:line="227" w:lineRule="auto"/>
        <w:rPr>
          <w:rFonts w:ascii="宋体" w:hAnsi="宋体" w:eastAsia="宋体" w:cs="宋体"/>
          <w:sz w:val="20"/>
          <w:szCs w:val="20"/>
        </w:rPr>
      </w:pPr>
      <w:r>
        <w:rPr>
          <w:rFonts w:ascii="宋体" w:hAnsi="宋体" w:eastAsia="宋体" w:cs="宋体"/>
          <w:spacing w:val="9"/>
          <w:sz w:val="20"/>
          <w:szCs w:val="20"/>
        </w:rPr>
        <w:t>任。一方当事人和第三人之间的纠纷，依照法律规定或者按照约定解决。</w:t>
      </w:r>
    </w:p>
    <w:p w14:paraId="793FA863">
      <w:pPr>
        <w:spacing w:line="434" w:lineRule="auto"/>
        <w:rPr>
          <w:rFonts w:ascii="Arial"/>
          <w:sz w:val="21"/>
        </w:rPr>
      </w:pPr>
    </w:p>
    <w:p w14:paraId="0875848B">
      <w:pPr>
        <w:spacing w:before="65" w:line="228" w:lineRule="auto"/>
        <w:ind w:left="436"/>
        <w:outlineLvl w:val="2"/>
        <w:rPr>
          <w:rFonts w:ascii="宋体" w:hAnsi="宋体" w:eastAsia="宋体" w:cs="宋体"/>
          <w:sz w:val="20"/>
          <w:szCs w:val="20"/>
        </w:rPr>
      </w:pPr>
      <w:bookmarkStart w:id="322" w:name="bookmark305"/>
      <w:bookmarkEnd w:id="322"/>
      <w:r>
        <w:rPr>
          <w:rFonts w:ascii="宋体" w:hAnsi="宋体" w:eastAsia="宋体" w:cs="宋体"/>
          <w:b/>
          <w:bCs/>
          <w:spacing w:val="5"/>
          <w:sz w:val="20"/>
          <w:szCs w:val="20"/>
        </w:rPr>
        <w:t>17.</w:t>
      </w:r>
      <w:r>
        <w:rPr>
          <w:rFonts w:ascii="宋体" w:hAnsi="宋体" w:eastAsia="宋体" w:cs="宋体"/>
          <w:spacing w:val="5"/>
          <w:sz w:val="20"/>
          <w:szCs w:val="20"/>
        </w:rPr>
        <w:t xml:space="preserve"> </w:t>
      </w:r>
      <w:r>
        <w:rPr>
          <w:rFonts w:ascii="宋体" w:hAnsi="宋体" w:eastAsia="宋体" w:cs="宋体"/>
          <w:b/>
          <w:bCs/>
          <w:spacing w:val="5"/>
          <w:sz w:val="20"/>
          <w:szCs w:val="20"/>
        </w:rPr>
        <w:t>不可抗力和情势变更</w:t>
      </w:r>
    </w:p>
    <w:p w14:paraId="074C8BB2">
      <w:pPr>
        <w:spacing w:before="127" w:line="228" w:lineRule="auto"/>
        <w:ind w:left="436"/>
        <w:rPr>
          <w:rFonts w:ascii="宋体" w:hAnsi="宋体" w:eastAsia="宋体" w:cs="宋体"/>
          <w:sz w:val="20"/>
          <w:szCs w:val="20"/>
        </w:rPr>
      </w:pPr>
      <w:r>
        <w:rPr>
          <w:rFonts w:ascii="宋体" w:hAnsi="宋体" w:eastAsia="宋体" w:cs="宋体"/>
          <w:b/>
          <w:bCs/>
          <w:spacing w:val="1"/>
          <w:sz w:val="20"/>
          <w:szCs w:val="20"/>
        </w:rPr>
        <w:t>17.1</w:t>
      </w:r>
      <w:r>
        <w:rPr>
          <w:rFonts w:ascii="宋体" w:hAnsi="宋体" w:eastAsia="宋体" w:cs="宋体"/>
          <w:spacing w:val="21"/>
          <w:sz w:val="20"/>
          <w:szCs w:val="20"/>
        </w:rPr>
        <w:t xml:space="preserve"> </w:t>
      </w:r>
      <w:r>
        <w:rPr>
          <w:rFonts w:ascii="宋体" w:hAnsi="宋体" w:eastAsia="宋体" w:cs="宋体"/>
          <w:b/>
          <w:bCs/>
          <w:spacing w:val="1"/>
          <w:sz w:val="20"/>
          <w:szCs w:val="20"/>
        </w:rPr>
        <w:t>不可抗力</w:t>
      </w:r>
    </w:p>
    <w:p w14:paraId="0DC8A502">
      <w:pPr>
        <w:spacing w:before="127" w:line="228" w:lineRule="auto"/>
        <w:ind w:left="436"/>
        <w:rPr>
          <w:rFonts w:ascii="宋体" w:hAnsi="宋体" w:eastAsia="宋体" w:cs="宋体"/>
          <w:sz w:val="20"/>
          <w:szCs w:val="20"/>
        </w:rPr>
      </w:pPr>
      <w:r>
        <w:rPr>
          <w:rFonts w:ascii="宋体" w:hAnsi="宋体" w:eastAsia="宋体" w:cs="宋体"/>
          <w:b/>
          <w:bCs/>
          <w:spacing w:val="4"/>
          <w:sz w:val="20"/>
          <w:szCs w:val="20"/>
        </w:rPr>
        <w:t>17.1.1</w:t>
      </w:r>
      <w:r>
        <w:rPr>
          <w:rFonts w:ascii="宋体" w:hAnsi="宋体" w:eastAsia="宋体" w:cs="宋体"/>
          <w:spacing w:val="4"/>
          <w:sz w:val="20"/>
          <w:szCs w:val="20"/>
        </w:rPr>
        <w:t xml:space="preserve"> </w:t>
      </w:r>
      <w:r>
        <w:rPr>
          <w:rFonts w:ascii="宋体" w:hAnsi="宋体" w:eastAsia="宋体" w:cs="宋体"/>
          <w:b/>
          <w:bCs/>
          <w:spacing w:val="4"/>
          <w:sz w:val="20"/>
          <w:szCs w:val="20"/>
        </w:rPr>
        <w:t>不可抗力的确认</w:t>
      </w:r>
    </w:p>
    <w:p w14:paraId="3F6219FA">
      <w:pPr>
        <w:spacing w:before="126" w:line="346" w:lineRule="auto"/>
        <w:ind w:left="5" w:firstLine="418"/>
        <w:jc w:val="both"/>
        <w:rPr>
          <w:rFonts w:ascii="宋体" w:hAnsi="宋体" w:eastAsia="宋体" w:cs="宋体"/>
          <w:sz w:val="20"/>
          <w:szCs w:val="20"/>
        </w:rPr>
      </w:pPr>
      <w:r>
        <w:rPr>
          <w:rFonts w:ascii="宋体" w:hAnsi="宋体" w:eastAsia="宋体" w:cs="宋体"/>
          <w:spacing w:val="10"/>
          <w:sz w:val="20"/>
          <w:szCs w:val="20"/>
        </w:rPr>
        <w:t>不可抗力是指合同当事人在签订合同时不可预见，在合同履行过程中不可避免且不能克服的自然灾害和社会性突发事件，如地震、海啸、瘟疫、骚乱、戒严、暴动、战争和专用合同条款中</w:t>
      </w:r>
      <w:r>
        <w:rPr>
          <w:rFonts w:ascii="宋体" w:hAnsi="宋体" w:eastAsia="宋体" w:cs="宋体"/>
          <w:spacing w:val="6"/>
          <w:sz w:val="20"/>
          <w:szCs w:val="20"/>
        </w:rPr>
        <w:t>约定的其他情形。</w:t>
      </w:r>
    </w:p>
    <w:p w14:paraId="306361DA">
      <w:pPr>
        <w:spacing w:before="2" w:line="345" w:lineRule="auto"/>
        <w:ind w:firstLine="424"/>
        <w:jc w:val="both"/>
        <w:rPr>
          <w:rFonts w:ascii="宋体" w:hAnsi="宋体" w:eastAsia="宋体" w:cs="宋体"/>
          <w:sz w:val="20"/>
          <w:szCs w:val="20"/>
        </w:rPr>
      </w:pPr>
      <w:r>
        <w:rPr>
          <w:rFonts w:ascii="宋体" w:hAnsi="宋体" w:eastAsia="宋体" w:cs="宋体"/>
          <w:spacing w:val="10"/>
          <w:sz w:val="20"/>
          <w:szCs w:val="20"/>
        </w:rPr>
        <w:t>不可抗力发生后，发包人和承包人应收集证明不可抗力发生及不可抗力造成损失的证据，并</w:t>
      </w:r>
      <w:r>
        <w:rPr>
          <w:rFonts w:ascii="宋体" w:hAnsi="宋体" w:eastAsia="宋体" w:cs="宋体"/>
          <w:spacing w:val="9"/>
          <w:sz w:val="20"/>
          <w:szCs w:val="20"/>
        </w:rPr>
        <w:t>及时认真统计所造成的损失。合同当事人对是否属于不可抗力或其损失的意见不一致的，</w:t>
      </w:r>
      <w:r>
        <w:rPr>
          <w:rFonts w:ascii="宋体" w:hAnsi="宋体" w:eastAsia="宋体" w:cs="宋体"/>
          <w:spacing w:val="-45"/>
          <w:sz w:val="20"/>
          <w:szCs w:val="20"/>
        </w:rPr>
        <w:t xml:space="preserve"> </w:t>
      </w:r>
      <w:r>
        <w:rPr>
          <w:rFonts w:ascii="宋体" w:hAnsi="宋体" w:eastAsia="宋体" w:cs="宋体"/>
          <w:spacing w:val="9"/>
          <w:sz w:val="20"/>
          <w:szCs w:val="20"/>
        </w:rPr>
        <w:t>由监理</w:t>
      </w:r>
      <w:r>
        <w:rPr>
          <w:rFonts w:ascii="宋体" w:hAnsi="宋体" w:eastAsia="宋体" w:cs="宋体"/>
          <w:spacing w:val="8"/>
          <w:sz w:val="20"/>
          <w:szCs w:val="20"/>
        </w:rPr>
        <w:t>人按第</w:t>
      </w:r>
      <w:r>
        <w:rPr>
          <w:rFonts w:ascii="宋体" w:hAnsi="宋体" w:eastAsia="宋体" w:cs="宋体"/>
          <w:spacing w:val="-40"/>
          <w:sz w:val="20"/>
          <w:szCs w:val="20"/>
        </w:rPr>
        <w:t xml:space="preserve"> </w:t>
      </w:r>
      <w:r>
        <w:rPr>
          <w:rFonts w:ascii="宋体" w:hAnsi="宋体" w:eastAsia="宋体" w:cs="宋体"/>
          <w:spacing w:val="8"/>
          <w:sz w:val="20"/>
          <w:szCs w:val="20"/>
        </w:rPr>
        <w:t>4.4</w:t>
      </w:r>
      <w:r>
        <w:rPr>
          <w:rFonts w:ascii="宋体" w:hAnsi="宋体" w:eastAsia="宋体" w:cs="宋体"/>
          <w:spacing w:val="-39"/>
          <w:sz w:val="20"/>
          <w:szCs w:val="20"/>
        </w:rPr>
        <w:t xml:space="preserve"> </w:t>
      </w:r>
      <w:r>
        <w:rPr>
          <w:rFonts w:ascii="宋体" w:hAnsi="宋体" w:eastAsia="宋体" w:cs="宋体"/>
          <w:spacing w:val="8"/>
          <w:sz w:val="20"/>
          <w:szCs w:val="20"/>
        </w:rPr>
        <w:t>款〔商定或确定〕的约定处理。发生争议时，按第</w:t>
      </w:r>
      <w:r>
        <w:rPr>
          <w:rFonts w:ascii="宋体" w:hAnsi="宋体" w:eastAsia="宋体" w:cs="宋体"/>
          <w:spacing w:val="-34"/>
          <w:sz w:val="20"/>
          <w:szCs w:val="20"/>
        </w:rPr>
        <w:t xml:space="preserve"> </w:t>
      </w:r>
      <w:r>
        <w:rPr>
          <w:rFonts w:ascii="宋体" w:hAnsi="宋体" w:eastAsia="宋体" w:cs="宋体"/>
          <w:spacing w:val="8"/>
          <w:sz w:val="20"/>
          <w:szCs w:val="20"/>
        </w:rPr>
        <w:t>20</w:t>
      </w:r>
      <w:r>
        <w:rPr>
          <w:rFonts w:ascii="宋体" w:hAnsi="宋体" w:eastAsia="宋体" w:cs="宋体"/>
          <w:spacing w:val="-36"/>
          <w:sz w:val="20"/>
          <w:szCs w:val="20"/>
        </w:rPr>
        <w:t xml:space="preserve"> </w:t>
      </w:r>
      <w:r>
        <w:rPr>
          <w:rFonts w:ascii="宋体" w:hAnsi="宋体" w:eastAsia="宋体" w:cs="宋体"/>
          <w:spacing w:val="8"/>
          <w:sz w:val="20"/>
          <w:szCs w:val="20"/>
        </w:rPr>
        <w:t>条〔争议解决〕的约定处理。</w:t>
      </w:r>
    </w:p>
    <w:p w14:paraId="26CED378">
      <w:pPr>
        <w:spacing w:before="1" w:line="227" w:lineRule="auto"/>
        <w:ind w:left="436"/>
        <w:rPr>
          <w:rFonts w:ascii="宋体" w:hAnsi="宋体" w:eastAsia="宋体" w:cs="宋体"/>
          <w:sz w:val="20"/>
          <w:szCs w:val="20"/>
        </w:rPr>
      </w:pPr>
      <w:r>
        <w:rPr>
          <w:rFonts w:ascii="宋体" w:hAnsi="宋体" w:eastAsia="宋体" w:cs="宋体"/>
          <w:b/>
          <w:bCs/>
          <w:spacing w:val="4"/>
          <w:sz w:val="20"/>
          <w:szCs w:val="20"/>
        </w:rPr>
        <w:t>17.1.2</w:t>
      </w:r>
      <w:r>
        <w:rPr>
          <w:rFonts w:ascii="宋体" w:hAnsi="宋体" w:eastAsia="宋体" w:cs="宋体"/>
          <w:spacing w:val="4"/>
          <w:sz w:val="20"/>
          <w:szCs w:val="20"/>
        </w:rPr>
        <w:t xml:space="preserve"> </w:t>
      </w:r>
      <w:r>
        <w:rPr>
          <w:rFonts w:ascii="宋体" w:hAnsi="宋体" w:eastAsia="宋体" w:cs="宋体"/>
          <w:b/>
          <w:bCs/>
          <w:spacing w:val="4"/>
          <w:sz w:val="20"/>
          <w:szCs w:val="20"/>
        </w:rPr>
        <w:t>不可抗力的通知</w:t>
      </w:r>
    </w:p>
    <w:p w14:paraId="2F01D8C0">
      <w:pPr>
        <w:spacing w:before="127" w:line="346" w:lineRule="auto"/>
        <w:ind w:left="14" w:firstLine="407"/>
        <w:rPr>
          <w:rFonts w:ascii="宋体" w:hAnsi="宋体" w:eastAsia="宋体" w:cs="宋体"/>
          <w:sz w:val="20"/>
          <w:szCs w:val="20"/>
        </w:rPr>
      </w:pPr>
      <w:r>
        <w:rPr>
          <w:rFonts w:ascii="宋体" w:hAnsi="宋体" w:eastAsia="宋体" w:cs="宋体"/>
          <w:spacing w:val="10"/>
          <w:sz w:val="20"/>
          <w:szCs w:val="20"/>
        </w:rPr>
        <w:t>合同一方当事人遇到不可抗力事件，使其履行合同义务受到阻碍时，应立即通知合同另一方</w:t>
      </w:r>
      <w:r>
        <w:rPr>
          <w:rFonts w:ascii="宋体" w:hAnsi="宋体" w:eastAsia="宋体" w:cs="宋体"/>
          <w:spacing w:val="9"/>
          <w:sz w:val="20"/>
          <w:szCs w:val="20"/>
        </w:rPr>
        <w:t>当事人和监理人，书面说明不可抗力和受阻碍的详细情况，并提供必要的证明。</w:t>
      </w:r>
    </w:p>
    <w:p w14:paraId="724DED29">
      <w:pPr>
        <w:spacing w:before="2" w:line="345" w:lineRule="auto"/>
        <w:ind w:firstLine="423"/>
        <w:jc w:val="both"/>
        <w:rPr>
          <w:rFonts w:ascii="宋体" w:hAnsi="宋体" w:eastAsia="宋体" w:cs="宋体"/>
          <w:sz w:val="20"/>
          <w:szCs w:val="20"/>
        </w:rPr>
      </w:pPr>
      <w:r>
        <w:rPr>
          <w:rFonts w:ascii="宋体" w:hAnsi="宋体" w:eastAsia="宋体" w:cs="宋体"/>
          <w:spacing w:val="10"/>
          <w:sz w:val="20"/>
          <w:szCs w:val="20"/>
        </w:rPr>
        <w:t>不可抗力持续发生的，合同一方当事人应及时向合同另一方当事人和监理人提交中间报告，</w:t>
      </w:r>
      <w:r>
        <w:rPr>
          <w:rFonts w:ascii="宋体" w:hAnsi="宋体" w:eastAsia="宋体" w:cs="宋体"/>
          <w:spacing w:val="12"/>
          <w:sz w:val="20"/>
          <w:szCs w:val="20"/>
        </w:rPr>
        <w:t>说明不可抗力和履行合同受阻的情况，并于不可抗力事件结束后</w:t>
      </w:r>
      <w:r>
        <w:rPr>
          <w:rFonts w:ascii="宋体" w:hAnsi="宋体" w:eastAsia="宋体" w:cs="宋体"/>
          <w:spacing w:val="-35"/>
          <w:sz w:val="20"/>
          <w:szCs w:val="20"/>
        </w:rPr>
        <w:t xml:space="preserve"> </w:t>
      </w:r>
      <w:r>
        <w:rPr>
          <w:rFonts w:ascii="宋体" w:hAnsi="宋体" w:eastAsia="宋体" w:cs="宋体"/>
          <w:spacing w:val="12"/>
          <w:sz w:val="20"/>
          <w:szCs w:val="20"/>
        </w:rPr>
        <w:t>28</w:t>
      </w:r>
      <w:r>
        <w:rPr>
          <w:rFonts w:ascii="宋体" w:hAnsi="宋体" w:eastAsia="宋体" w:cs="宋体"/>
          <w:spacing w:val="-31"/>
          <w:sz w:val="20"/>
          <w:szCs w:val="20"/>
        </w:rPr>
        <w:t xml:space="preserve"> </w:t>
      </w:r>
      <w:r>
        <w:rPr>
          <w:rFonts w:ascii="宋体" w:hAnsi="宋体" w:eastAsia="宋体" w:cs="宋体"/>
          <w:spacing w:val="12"/>
          <w:sz w:val="20"/>
          <w:szCs w:val="20"/>
        </w:rPr>
        <w:t>天内提交最终</w:t>
      </w:r>
      <w:r>
        <w:rPr>
          <w:rFonts w:ascii="宋体" w:hAnsi="宋体" w:eastAsia="宋体" w:cs="宋体"/>
          <w:spacing w:val="11"/>
          <w:sz w:val="20"/>
          <w:szCs w:val="20"/>
        </w:rPr>
        <w:t>报告及有关资</w:t>
      </w:r>
      <w:r>
        <w:rPr>
          <w:rFonts w:ascii="宋体" w:hAnsi="宋体" w:eastAsia="宋体" w:cs="宋体"/>
          <w:sz w:val="20"/>
          <w:szCs w:val="20"/>
        </w:rPr>
        <w:t>料。</w:t>
      </w:r>
    </w:p>
    <w:p w14:paraId="5311E885">
      <w:pPr>
        <w:spacing w:line="227" w:lineRule="auto"/>
        <w:ind w:left="436"/>
        <w:rPr>
          <w:rFonts w:ascii="宋体" w:hAnsi="宋体" w:eastAsia="宋体" w:cs="宋体"/>
          <w:sz w:val="20"/>
          <w:szCs w:val="20"/>
        </w:rPr>
      </w:pPr>
      <w:r>
        <w:rPr>
          <w:rFonts w:ascii="宋体" w:hAnsi="宋体" w:eastAsia="宋体" w:cs="宋体"/>
          <w:b/>
          <w:bCs/>
          <w:spacing w:val="5"/>
          <w:sz w:val="20"/>
          <w:szCs w:val="20"/>
        </w:rPr>
        <w:t>17.1.3</w:t>
      </w:r>
      <w:r>
        <w:rPr>
          <w:rFonts w:ascii="宋体" w:hAnsi="宋体" w:eastAsia="宋体" w:cs="宋体"/>
          <w:spacing w:val="5"/>
          <w:sz w:val="20"/>
          <w:szCs w:val="20"/>
        </w:rPr>
        <w:t xml:space="preserve"> </w:t>
      </w:r>
      <w:r>
        <w:rPr>
          <w:rFonts w:ascii="宋体" w:hAnsi="宋体" w:eastAsia="宋体" w:cs="宋体"/>
          <w:b/>
          <w:bCs/>
          <w:spacing w:val="5"/>
          <w:sz w:val="20"/>
          <w:szCs w:val="20"/>
        </w:rPr>
        <w:t>不可抗力后果的承担</w:t>
      </w:r>
    </w:p>
    <w:p w14:paraId="2D4482EC">
      <w:pPr>
        <w:spacing w:before="127" w:line="346" w:lineRule="auto"/>
        <w:ind w:left="1" w:firstLine="434"/>
        <w:rPr>
          <w:rFonts w:ascii="宋体" w:hAnsi="宋体" w:eastAsia="宋体" w:cs="宋体"/>
          <w:sz w:val="20"/>
          <w:szCs w:val="20"/>
        </w:rPr>
      </w:pPr>
      <w:r>
        <w:rPr>
          <w:rFonts w:ascii="宋体" w:hAnsi="宋体" w:eastAsia="宋体" w:cs="宋体"/>
          <w:spacing w:val="11"/>
          <w:sz w:val="20"/>
          <w:szCs w:val="20"/>
        </w:rPr>
        <w:t>17.1.3.1 不可抗力引起的后果及造成的损失由合同当事人按照法律规定及合同约定各自承</w:t>
      </w:r>
      <w:r>
        <w:rPr>
          <w:rFonts w:ascii="宋体" w:hAnsi="宋体" w:eastAsia="宋体" w:cs="宋体"/>
          <w:spacing w:val="9"/>
          <w:sz w:val="20"/>
          <w:szCs w:val="20"/>
        </w:rPr>
        <w:t>担。不可抗力发生前已完成的工程应当按照合同约定进行计量支付。</w:t>
      </w:r>
    </w:p>
    <w:p w14:paraId="69410A97">
      <w:pPr>
        <w:spacing w:before="2" w:line="345" w:lineRule="auto"/>
        <w:ind w:left="14" w:firstLine="422"/>
        <w:rPr>
          <w:rFonts w:ascii="宋体" w:hAnsi="宋体" w:eastAsia="宋体" w:cs="宋体"/>
          <w:sz w:val="20"/>
          <w:szCs w:val="20"/>
        </w:rPr>
      </w:pPr>
      <w:r>
        <w:rPr>
          <w:rFonts w:ascii="宋体" w:hAnsi="宋体" w:eastAsia="宋体" w:cs="宋体"/>
          <w:spacing w:val="7"/>
          <w:sz w:val="20"/>
          <w:szCs w:val="20"/>
        </w:rPr>
        <w:t>17.1.3.2 不可抗力导致的人员伤亡、财产损失、费</w:t>
      </w:r>
      <w:r>
        <w:rPr>
          <w:rFonts w:ascii="宋体" w:hAnsi="宋体" w:eastAsia="宋体" w:cs="宋体"/>
          <w:spacing w:val="6"/>
          <w:sz w:val="20"/>
          <w:szCs w:val="20"/>
        </w:rPr>
        <w:t>用增加和（或）工期延误等后果，由合同当事人按以下原则承担：</w:t>
      </w:r>
    </w:p>
    <w:p w14:paraId="71171196">
      <w:pPr>
        <w:spacing w:before="1" w:line="345" w:lineRule="auto"/>
        <w:ind w:left="8" w:firstLine="421"/>
        <w:rPr>
          <w:rFonts w:ascii="宋体" w:hAnsi="宋体" w:eastAsia="宋体" w:cs="宋体"/>
          <w:sz w:val="20"/>
          <w:szCs w:val="20"/>
        </w:rPr>
      </w:pPr>
      <w:r>
        <w:rPr>
          <w:rFonts w:ascii="宋体" w:hAnsi="宋体" w:eastAsia="宋体" w:cs="宋体"/>
          <w:spacing w:val="7"/>
          <w:sz w:val="20"/>
          <w:szCs w:val="20"/>
        </w:rPr>
        <w:t>（1）永久工程、已运至施工现场的材料和工程设备的损坏，以及因工程损坏造成的第三人人</w:t>
      </w:r>
      <w:r>
        <w:rPr>
          <w:rFonts w:ascii="宋体" w:hAnsi="宋体" w:eastAsia="宋体" w:cs="宋体"/>
          <w:spacing w:val="8"/>
          <w:sz w:val="20"/>
          <w:szCs w:val="20"/>
        </w:rPr>
        <w:t>员伤亡和财产损失由发包人承担；</w:t>
      </w:r>
    </w:p>
    <w:p w14:paraId="2C8492BB">
      <w:pPr>
        <w:spacing w:before="1" w:line="227" w:lineRule="auto"/>
        <w:ind w:left="430"/>
        <w:rPr>
          <w:rFonts w:ascii="宋体" w:hAnsi="宋体" w:eastAsia="宋体" w:cs="宋体"/>
          <w:sz w:val="20"/>
          <w:szCs w:val="20"/>
        </w:rPr>
      </w:pPr>
      <w:r>
        <w:rPr>
          <w:rFonts w:ascii="宋体" w:hAnsi="宋体" w:eastAsia="宋体" w:cs="宋体"/>
          <w:spacing w:val="8"/>
          <w:sz w:val="20"/>
          <w:szCs w:val="20"/>
        </w:rPr>
        <w:t>（2）承包人施工设备的损坏由承包人承担；</w:t>
      </w:r>
    </w:p>
    <w:p w14:paraId="1C51AACF">
      <w:pPr>
        <w:spacing w:before="127" w:line="228" w:lineRule="auto"/>
        <w:ind w:left="430"/>
        <w:rPr>
          <w:rFonts w:ascii="宋体" w:hAnsi="宋体" w:eastAsia="宋体" w:cs="宋体"/>
          <w:sz w:val="20"/>
          <w:szCs w:val="20"/>
        </w:rPr>
      </w:pPr>
      <w:r>
        <w:rPr>
          <w:rFonts w:ascii="宋体" w:hAnsi="宋体" w:eastAsia="宋体" w:cs="宋体"/>
          <w:spacing w:val="8"/>
          <w:sz w:val="20"/>
          <w:szCs w:val="20"/>
        </w:rPr>
        <w:t>（3）发包人和承包人承担各自人员伤亡和财产的损失；</w:t>
      </w:r>
    </w:p>
    <w:p w14:paraId="54E53FF7">
      <w:pPr>
        <w:spacing w:before="126" w:line="346" w:lineRule="auto"/>
        <w:ind w:left="3" w:firstLine="427"/>
        <w:rPr>
          <w:rFonts w:ascii="宋体" w:hAnsi="宋体" w:eastAsia="宋体" w:cs="宋体"/>
          <w:sz w:val="20"/>
          <w:szCs w:val="20"/>
        </w:rPr>
      </w:pPr>
      <w:r>
        <w:rPr>
          <w:rFonts w:ascii="宋体" w:hAnsi="宋体" w:eastAsia="宋体" w:cs="宋体"/>
          <w:spacing w:val="7"/>
          <w:sz w:val="20"/>
          <w:szCs w:val="20"/>
        </w:rPr>
        <w:t>（4）因不可抗力影响承包人履行合同约定的义务，已经引起或将引起工期延误的，应当顺延</w:t>
      </w:r>
      <w:r>
        <w:rPr>
          <w:rFonts w:ascii="宋体" w:hAnsi="宋体" w:eastAsia="宋体" w:cs="宋体"/>
          <w:spacing w:val="9"/>
          <w:sz w:val="20"/>
          <w:szCs w:val="20"/>
        </w:rPr>
        <w:t>工期，</w:t>
      </w:r>
      <w:r>
        <w:rPr>
          <w:rFonts w:ascii="宋体" w:hAnsi="宋体" w:eastAsia="宋体" w:cs="宋体"/>
          <w:spacing w:val="-49"/>
          <w:sz w:val="20"/>
          <w:szCs w:val="20"/>
        </w:rPr>
        <w:t xml:space="preserve"> </w:t>
      </w:r>
      <w:r>
        <w:rPr>
          <w:rFonts w:ascii="宋体" w:hAnsi="宋体" w:eastAsia="宋体" w:cs="宋体"/>
          <w:spacing w:val="9"/>
          <w:sz w:val="20"/>
          <w:szCs w:val="20"/>
        </w:rPr>
        <w:t>由此导致承包人停工的费用损失由发包人和承包人合理分担，停工期间必须支付的工人工</w:t>
      </w:r>
      <w:r>
        <w:rPr>
          <w:rFonts w:ascii="宋体" w:hAnsi="宋体" w:eastAsia="宋体" w:cs="宋体"/>
          <w:spacing w:val="7"/>
          <w:sz w:val="20"/>
          <w:szCs w:val="20"/>
        </w:rPr>
        <w:t>资由发包人承担；</w:t>
      </w:r>
    </w:p>
    <w:p w14:paraId="24A0B4D4">
      <w:pPr>
        <w:spacing w:before="2" w:line="345" w:lineRule="auto"/>
        <w:ind w:firstLine="430"/>
        <w:rPr>
          <w:rFonts w:ascii="宋体" w:hAnsi="宋体" w:eastAsia="宋体" w:cs="宋体"/>
          <w:sz w:val="20"/>
          <w:szCs w:val="20"/>
        </w:rPr>
      </w:pPr>
      <w:r>
        <w:rPr>
          <w:rFonts w:ascii="宋体" w:hAnsi="宋体" w:eastAsia="宋体" w:cs="宋体"/>
          <w:spacing w:val="7"/>
          <w:sz w:val="20"/>
          <w:szCs w:val="20"/>
        </w:rPr>
        <w:t>（5）因不可抗力引起或将引起工期延误，发包人要求赶工的，由此增加的赶工费用由发包人</w:t>
      </w:r>
      <w:r>
        <w:rPr>
          <w:rFonts w:ascii="宋体" w:hAnsi="宋体" w:eastAsia="宋体" w:cs="宋体"/>
          <w:spacing w:val="3"/>
          <w:sz w:val="20"/>
          <w:szCs w:val="20"/>
        </w:rPr>
        <w:t>承担；</w:t>
      </w:r>
    </w:p>
    <w:p w14:paraId="69630F20">
      <w:pPr>
        <w:spacing w:line="227" w:lineRule="auto"/>
        <w:ind w:left="430"/>
        <w:rPr>
          <w:rFonts w:ascii="宋体" w:hAnsi="宋体" w:eastAsia="宋体" w:cs="宋体"/>
          <w:sz w:val="20"/>
          <w:szCs w:val="20"/>
        </w:rPr>
      </w:pPr>
      <w:r>
        <w:rPr>
          <w:rFonts w:ascii="宋体" w:hAnsi="宋体" w:eastAsia="宋体" w:cs="宋体"/>
          <w:spacing w:val="9"/>
          <w:sz w:val="20"/>
          <w:szCs w:val="20"/>
        </w:rPr>
        <w:t>（6）承包人在停工期间按照发包人要求照管、清理和修复工程的费用由发包人承担。</w:t>
      </w:r>
    </w:p>
    <w:p w14:paraId="558D4FD1">
      <w:pPr>
        <w:spacing w:before="127" w:line="347" w:lineRule="auto"/>
        <w:ind w:left="1" w:firstLine="422"/>
        <w:rPr>
          <w:rFonts w:ascii="宋体" w:hAnsi="宋体" w:eastAsia="宋体" w:cs="宋体"/>
          <w:sz w:val="20"/>
          <w:szCs w:val="20"/>
        </w:rPr>
      </w:pPr>
      <w:r>
        <w:rPr>
          <w:rFonts w:ascii="宋体" w:hAnsi="宋体" w:eastAsia="宋体" w:cs="宋体"/>
          <w:spacing w:val="10"/>
          <w:sz w:val="20"/>
          <w:szCs w:val="20"/>
        </w:rPr>
        <w:t>不可抗力发生后，合同当事人均应采取措施尽量避免和减少损失的扩大，任何一方当事人没</w:t>
      </w:r>
      <w:r>
        <w:rPr>
          <w:rFonts w:ascii="宋体" w:hAnsi="宋体" w:eastAsia="宋体" w:cs="宋体"/>
          <w:spacing w:val="9"/>
          <w:sz w:val="20"/>
          <w:szCs w:val="20"/>
        </w:rPr>
        <w:t>有采取有效措施导致损失扩大的，应对扩大的损失承担责任。</w:t>
      </w:r>
    </w:p>
    <w:p w14:paraId="77ABDD3C">
      <w:pPr>
        <w:spacing w:line="347" w:lineRule="auto"/>
        <w:rPr>
          <w:rFonts w:ascii="宋体" w:hAnsi="宋体" w:eastAsia="宋体" w:cs="宋体"/>
          <w:sz w:val="20"/>
          <w:szCs w:val="20"/>
        </w:rPr>
        <w:sectPr>
          <w:footerReference r:id="rId385" w:type="default"/>
          <w:pgSz w:w="11906" w:h="16839"/>
          <w:pgMar w:top="400" w:right="1533" w:bottom="1446" w:left="1538" w:header="0" w:footer="1284" w:gutter="0"/>
          <w:cols w:space="720" w:num="1"/>
        </w:sectPr>
      </w:pPr>
    </w:p>
    <w:p w14:paraId="747CEA04">
      <w:pPr>
        <w:spacing w:line="246" w:lineRule="auto"/>
        <w:rPr>
          <w:rFonts w:ascii="Arial"/>
          <w:sz w:val="21"/>
        </w:rPr>
      </w:pPr>
    </w:p>
    <w:p w14:paraId="05791C8D">
      <w:pPr>
        <w:spacing w:line="246" w:lineRule="auto"/>
        <w:rPr>
          <w:rFonts w:ascii="Arial"/>
          <w:sz w:val="21"/>
        </w:rPr>
      </w:pPr>
    </w:p>
    <w:p w14:paraId="5EFEE3C9">
      <w:pPr>
        <w:spacing w:line="246" w:lineRule="auto"/>
        <w:rPr>
          <w:rFonts w:ascii="Arial"/>
          <w:sz w:val="21"/>
        </w:rPr>
      </w:pPr>
    </w:p>
    <w:p w14:paraId="4052D993">
      <w:pPr>
        <w:spacing w:line="246" w:lineRule="auto"/>
        <w:rPr>
          <w:rFonts w:ascii="Arial"/>
          <w:sz w:val="21"/>
        </w:rPr>
      </w:pPr>
    </w:p>
    <w:p w14:paraId="501F6782">
      <w:pPr>
        <w:spacing w:line="247" w:lineRule="auto"/>
        <w:rPr>
          <w:rFonts w:ascii="Arial"/>
          <w:sz w:val="21"/>
        </w:rPr>
      </w:pPr>
    </w:p>
    <w:p w14:paraId="36BB8664">
      <w:pPr>
        <w:spacing w:line="247" w:lineRule="auto"/>
        <w:rPr>
          <w:rFonts w:ascii="Arial"/>
          <w:sz w:val="21"/>
        </w:rPr>
      </w:pPr>
    </w:p>
    <w:p w14:paraId="26A70C0F">
      <w:pPr>
        <w:spacing w:before="65" w:line="228" w:lineRule="auto"/>
        <w:ind w:left="437"/>
        <w:rPr>
          <w:rFonts w:ascii="宋体" w:hAnsi="宋体" w:eastAsia="宋体" w:cs="宋体"/>
          <w:sz w:val="20"/>
          <w:szCs w:val="20"/>
        </w:rPr>
      </w:pPr>
      <w:r>
        <w:rPr>
          <w:rFonts w:ascii="宋体" w:hAnsi="宋体" w:eastAsia="宋体" w:cs="宋体"/>
          <w:spacing w:val="9"/>
          <w:sz w:val="20"/>
          <w:szCs w:val="20"/>
        </w:rPr>
        <w:t>因合同一方迟延履行合同义务，在迟延履行期间遭遇不可抗力的，不免除其违约责任。</w:t>
      </w:r>
    </w:p>
    <w:p w14:paraId="6CF3DE2C">
      <w:pPr>
        <w:spacing w:before="127" w:line="228" w:lineRule="auto"/>
        <w:ind w:left="436"/>
        <w:rPr>
          <w:rFonts w:ascii="宋体" w:hAnsi="宋体" w:eastAsia="宋体" w:cs="宋体"/>
          <w:sz w:val="20"/>
          <w:szCs w:val="20"/>
        </w:rPr>
      </w:pPr>
      <w:r>
        <w:rPr>
          <w:rFonts w:ascii="宋体" w:hAnsi="宋体" w:eastAsia="宋体" w:cs="宋体"/>
          <w:b/>
          <w:bCs/>
          <w:spacing w:val="3"/>
          <w:sz w:val="20"/>
          <w:szCs w:val="20"/>
        </w:rPr>
        <w:t>17.1.4</w:t>
      </w:r>
      <w:r>
        <w:rPr>
          <w:rFonts w:ascii="宋体" w:hAnsi="宋体" w:eastAsia="宋体" w:cs="宋体"/>
          <w:spacing w:val="34"/>
          <w:sz w:val="20"/>
          <w:szCs w:val="20"/>
        </w:rPr>
        <w:t xml:space="preserve"> </w:t>
      </w:r>
      <w:r>
        <w:rPr>
          <w:rFonts w:ascii="宋体" w:hAnsi="宋体" w:eastAsia="宋体" w:cs="宋体"/>
          <w:b/>
          <w:bCs/>
          <w:spacing w:val="3"/>
          <w:sz w:val="20"/>
          <w:szCs w:val="20"/>
        </w:rPr>
        <w:t>因不可抗力解除合同</w:t>
      </w:r>
    </w:p>
    <w:p w14:paraId="2E49B7A2">
      <w:pPr>
        <w:spacing w:before="126" w:line="346" w:lineRule="auto"/>
        <w:ind w:left="4" w:right="46" w:firstLine="432"/>
        <w:jc w:val="both"/>
        <w:rPr>
          <w:rFonts w:ascii="宋体" w:hAnsi="宋体" w:eastAsia="宋体" w:cs="宋体"/>
          <w:sz w:val="20"/>
          <w:szCs w:val="20"/>
        </w:rPr>
      </w:pPr>
      <w:r>
        <w:rPr>
          <w:rFonts w:ascii="宋体" w:hAnsi="宋体" w:eastAsia="宋体" w:cs="宋体"/>
          <w:spacing w:val="5"/>
          <w:sz w:val="20"/>
          <w:szCs w:val="20"/>
        </w:rPr>
        <w:t>因不可抗力导致合同无法履行连续超过</w:t>
      </w:r>
      <w:r>
        <w:rPr>
          <w:rFonts w:ascii="宋体" w:hAnsi="宋体" w:eastAsia="宋体" w:cs="宋体"/>
          <w:spacing w:val="-23"/>
          <w:sz w:val="20"/>
          <w:szCs w:val="20"/>
        </w:rPr>
        <w:t xml:space="preserve"> </w:t>
      </w:r>
      <w:r>
        <w:rPr>
          <w:rFonts w:ascii="宋体" w:hAnsi="宋体" w:eastAsia="宋体" w:cs="宋体"/>
          <w:spacing w:val="5"/>
          <w:sz w:val="20"/>
          <w:szCs w:val="20"/>
        </w:rPr>
        <w:t>84</w:t>
      </w:r>
      <w:r>
        <w:rPr>
          <w:rFonts w:ascii="宋体" w:hAnsi="宋体" w:eastAsia="宋体" w:cs="宋体"/>
          <w:spacing w:val="-34"/>
          <w:sz w:val="20"/>
          <w:szCs w:val="20"/>
        </w:rPr>
        <w:t xml:space="preserve"> </w:t>
      </w:r>
      <w:r>
        <w:rPr>
          <w:rFonts w:ascii="宋体" w:hAnsi="宋体" w:eastAsia="宋体" w:cs="宋体"/>
          <w:spacing w:val="5"/>
          <w:sz w:val="20"/>
          <w:szCs w:val="20"/>
        </w:rPr>
        <w:t>天或累计超过</w:t>
      </w:r>
      <w:r>
        <w:rPr>
          <w:rFonts w:ascii="宋体" w:hAnsi="宋体" w:eastAsia="宋体" w:cs="宋体"/>
          <w:spacing w:val="-23"/>
          <w:sz w:val="20"/>
          <w:szCs w:val="20"/>
        </w:rPr>
        <w:t xml:space="preserve"> </w:t>
      </w:r>
      <w:r>
        <w:rPr>
          <w:rFonts w:ascii="宋体" w:hAnsi="宋体" w:eastAsia="宋体" w:cs="宋体"/>
          <w:spacing w:val="5"/>
          <w:sz w:val="20"/>
          <w:szCs w:val="20"/>
        </w:rPr>
        <w:t>140</w:t>
      </w:r>
      <w:r>
        <w:rPr>
          <w:rFonts w:ascii="宋体" w:hAnsi="宋体" w:eastAsia="宋体" w:cs="宋体"/>
          <w:spacing w:val="-34"/>
          <w:sz w:val="20"/>
          <w:szCs w:val="20"/>
        </w:rPr>
        <w:t xml:space="preserve"> </w:t>
      </w:r>
      <w:r>
        <w:rPr>
          <w:rFonts w:ascii="宋体" w:hAnsi="宋体" w:eastAsia="宋体" w:cs="宋体"/>
          <w:spacing w:val="5"/>
          <w:sz w:val="20"/>
          <w:szCs w:val="20"/>
        </w:rPr>
        <w:t>天的，发包人和承包人均有权解</w:t>
      </w:r>
      <w:r>
        <w:rPr>
          <w:rFonts w:ascii="宋体" w:hAnsi="宋体" w:eastAsia="宋体" w:cs="宋体"/>
          <w:spacing w:val="11"/>
          <w:sz w:val="20"/>
          <w:szCs w:val="20"/>
        </w:rPr>
        <w:t>除合同。合同解除后，由双方当事人按照第4.4</w:t>
      </w:r>
      <w:r>
        <w:rPr>
          <w:rFonts w:ascii="宋体" w:hAnsi="宋体" w:eastAsia="宋体" w:cs="宋体"/>
          <w:spacing w:val="-39"/>
          <w:sz w:val="20"/>
          <w:szCs w:val="20"/>
        </w:rPr>
        <w:t xml:space="preserve"> </w:t>
      </w:r>
      <w:r>
        <w:rPr>
          <w:rFonts w:ascii="宋体" w:hAnsi="宋体" w:eastAsia="宋体" w:cs="宋体"/>
          <w:spacing w:val="11"/>
          <w:sz w:val="20"/>
          <w:szCs w:val="20"/>
        </w:rPr>
        <w:t>款〔商定或确定〕商定或确定发包人</w:t>
      </w:r>
      <w:r>
        <w:rPr>
          <w:rFonts w:ascii="宋体" w:hAnsi="宋体" w:eastAsia="宋体" w:cs="宋体"/>
          <w:spacing w:val="10"/>
          <w:sz w:val="20"/>
          <w:szCs w:val="20"/>
        </w:rPr>
        <w:t>应支付的款</w:t>
      </w:r>
      <w:r>
        <w:rPr>
          <w:rFonts w:ascii="宋体" w:hAnsi="宋体" w:eastAsia="宋体" w:cs="宋体"/>
          <w:spacing w:val="7"/>
          <w:sz w:val="20"/>
          <w:szCs w:val="20"/>
        </w:rPr>
        <w:t>项，该款项包括：</w:t>
      </w:r>
    </w:p>
    <w:p w14:paraId="553B96F0">
      <w:pPr>
        <w:spacing w:line="226" w:lineRule="auto"/>
        <w:ind w:left="430"/>
        <w:rPr>
          <w:rFonts w:ascii="宋体" w:hAnsi="宋体" w:eastAsia="宋体" w:cs="宋体"/>
          <w:sz w:val="20"/>
          <w:szCs w:val="20"/>
        </w:rPr>
      </w:pPr>
      <w:r>
        <w:rPr>
          <w:rFonts w:ascii="宋体" w:hAnsi="宋体" w:eastAsia="宋体" w:cs="宋体"/>
          <w:spacing w:val="8"/>
          <w:sz w:val="20"/>
          <w:szCs w:val="20"/>
        </w:rPr>
        <w:t>（1）合同解除前承包人已完成工作的价款；</w:t>
      </w:r>
    </w:p>
    <w:p w14:paraId="64A907F0">
      <w:pPr>
        <w:spacing w:before="128" w:line="346" w:lineRule="auto"/>
        <w:ind w:left="1" w:right="46" w:firstLine="429"/>
        <w:rPr>
          <w:rFonts w:ascii="宋体" w:hAnsi="宋体" w:eastAsia="宋体" w:cs="宋体"/>
          <w:sz w:val="20"/>
          <w:szCs w:val="20"/>
        </w:rPr>
      </w:pPr>
      <w:r>
        <w:rPr>
          <w:rFonts w:ascii="宋体" w:hAnsi="宋体" w:eastAsia="宋体" w:cs="宋体"/>
          <w:spacing w:val="7"/>
          <w:sz w:val="20"/>
          <w:szCs w:val="20"/>
        </w:rPr>
        <w:t>（2）承包人为工程订购的并已交付给承包人，或承包人有责任接受交付的材料、工程设备和其他物品的价款；</w:t>
      </w:r>
    </w:p>
    <w:p w14:paraId="2C9C4460">
      <w:pPr>
        <w:spacing w:before="1" w:line="345" w:lineRule="auto"/>
        <w:ind w:left="17" w:right="46" w:firstLine="413"/>
        <w:rPr>
          <w:rFonts w:ascii="宋体" w:hAnsi="宋体" w:eastAsia="宋体" w:cs="宋体"/>
          <w:sz w:val="20"/>
          <w:szCs w:val="20"/>
        </w:rPr>
      </w:pPr>
      <w:r>
        <w:rPr>
          <w:rFonts w:ascii="宋体" w:hAnsi="宋体" w:eastAsia="宋体" w:cs="宋体"/>
          <w:spacing w:val="7"/>
          <w:sz w:val="20"/>
          <w:szCs w:val="20"/>
        </w:rPr>
        <w:t>（3）发包人要求承包人退货或解除订货合同而产生的费用，或因不能退货或解除合同而产生</w:t>
      </w:r>
      <w:r>
        <w:rPr>
          <w:rFonts w:ascii="宋体" w:hAnsi="宋体" w:eastAsia="宋体" w:cs="宋体"/>
          <w:sz w:val="20"/>
          <w:szCs w:val="20"/>
        </w:rPr>
        <w:t>的损失；</w:t>
      </w:r>
    </w:p>
    <w:p w14:paraId="6DB6333E">
      <w:pPr>
        <w:spacing w:line="227" w:lineRule="auto"/>
        <w:ind w:left="430"/>
        <w:rPr>
          <w:rFonts w:ascii="宋体" w:hAnsi="宋体" w:eastAsia="宋体" w:cs="宋体"/>
          <w:sz w:val="20"/>
          <w:szCs w:val="20"/>
        </w:rPr>
      </w:pPr>
      <w:r>
        <w:rPr>
          <w:rFonts w:ascii="宋体" w:hAnsi="宋体" w:eastAsia="宋体" w:cs="宋体"/>
          <w:spacing w:val="8"/>
          <w:sz w:val="20"/>
          <w:szCs w:val="20"/>
        </w:rPr>
        <w:t>（4）承包人撤离施工现场以及遣散承包人人员的费用；</w:t>
      </w:r>
    </w:p>
    <w:p w14:paraId="52CAE418">
      <w:pPr>
        <w:spacing w:before="128" w:line="228" w:lineRule="auto"/>
        <w:ind w:left="430"/>
        <w:rPr>
          <w:rFonts w:ascii="宋体" w:hAnsi="宋体" w:eastAsia="宋体" w:cs="宋体"/>
          <w:sz w:val="20"/>
          <w:szCs w:val="20"/>
        </w:rPr>
      </w:pPr>
      <w:r>
        <w:rPr>
          <w:rFonts w:ascii="宋体" w:hAnsi="宋体" w:eastAsia="宋体" w:cs="宋体"/>
          <w:spacing w:val="9"/>
          <w:sz w:val="20"/>
          <w:szCs w:val="20"/>
        </w:rPr>
        <w:t>（5）按照合同约定在合同解除前应支付给</w:t>
      </w:r>
      <w:r>
        <w:rPr>
          <w:rFonts w:ascii="宋体" w:hAnsi="宋体" w:eastAsia="宋体" w:cs="宋体"/>
          <w:spacing w:val="8"/>
          <w:sz w:val="20"/>
          <w:szCs w:val="20"/>
        </w:rPr>
        <w:t>承包人的其他款项；</w:t>
      </w:r>
    </w:p>
    <w:p w14:paraId="3BEEA27E">
      <w:pPr>
        <w:spacing w:before="127" w:line="228" w:lineRule="auto"/>
        <w:ind w:left="430"/>
        <w:rPr>
          <w:rFonts w:ascii="宋体" w:hAnsi="宋体" w:eastAsia="宋体" w:cs="宋体"/>
          <w:sz w:val="20"/>
          <w:szCs w:val="20"/>
        </w:rPr>
      </w:pPr>
      <w:r>
        <w:rPr>
          <w:rFonts w:ascii="宋体" w:hAnsi="宋体" w:eastAsia="宋体" w:cs="宋体"/>
          <w:spacing w:val="8"/>
          <w:sz w:val="20"/>
          <w:szCs w:val="20"/>
        </w:rPr>
        <w:t>（6）扣减承包人按照合同约定应向发包人支付的款项；</w:t>
      </w:r>
    </w:p>
    <w:p w14:paraId="3AAF518F">
      <w:pPr>
        <w:spacing w:before="128" w:line="228" w:lineRule="auto"/>
        <w:ind w:left="430"/>
        <w:rPr>
          <w:rFonts w:ascii="宋体" w:hAnsi="宋体" w:eastAsia="宋体" w:cs="宋体"/>
          <w:sz w:val="20"/>
          <w:szCs w:val="20"/>
        </w:rPr>
      </w:pPr>
      <w:r>
        <w:rPr>
          <w:rFonts w:ascii="宋体" w:hAnsi="宋体" w:eastAsia="宋体" w:cs="宋体"/>
          <w:spacing w:val="7"/>
          <w:sz w:val="20"/>
          <w:szCs w:val="20"/>
        </w:rPr>
        <w:t>（7）双方商定或确定的其他款项。</w:t>
      </w:r>
    </w:p>
    <w:p w14:paraId="30D7C12C">
      <w:pPr>
        <w:spacing w:before="126" w:line="346" w:lineRule="auto"/>
        <w:ind w:right="46" w:firstLine="432"/>
        <w:rPr>
          <w:rFonts w:ascii="宋体" w:hAnsi="宋体" w:eastAsia="宋体" w:cs="宋体"/>
          <w:sz w:val="20"/>
          <w:szCs w:val="20"/>
        </w:rPr>
      </w:pPr>
      <w:r>
        <w:rPr>
          <w:rFonts w:ascii="宋体" w:hAnsi="宋体" w:eastAsia="宋体" w:cs="宋体"/>
          <w:spacing w:val="7"/>
          <w:sz w:val="20"/>
          <w:szCs w:val="20"/>
        </w:rPr>
        <w:t>除专用合同条款另有约定外，合同解除后，发包人应在商定或</w:t>
      </w:r>
      <w:r>
        <w:rPr>
          <w:rFonts w:ascii="宋体" w:hAnsi="宋体" w:eastAsia="宋体" w:cs="宋体"/>
          <w:spacing w:val="6"/>
          <w:sz w:val="20"/>
          <w:szCs w:val="20"/>
        </w:rPr>
        <w:t>确定上述款项后</w:t>
      </w:r>
      <w:r>
        <w:rPr>
          <w:rFonts w:ascii="宋体" w:hAnsi="宋体" w:eastAsia="宋体" w:cs="宋体"/>
          <w:spacing w:val="-37"/>
          <w:sz w:val="20"/>
          <w:szCs w:val="20"/>
        </w:rPr>
        <w:t xml:space="preserve"> </w:t>
      </w:r>
      <w:r>
        <w:rPr>
          <w:rFonts w:ascii="宋体" w:hAnsi="宋体" w:eastAsia="宋体" w:cs="宋体"/>
          <w:spacing w:val="6"/>
          <w:sz w:val="20"/>
          <w:szCs w:val="20"/>
        </w:rPr>
        <w:t>28</w:t>
      </w:r>
      <w:r>
        <w:rPr>
          <w:rFonts w:ascii="宋体" w:hAnsi="宋体" w:eastAsia="宋体" w:cs="宋体"/>
          <w:spacing w:val="-36"/>
          <w:sz w:val="20"/>
          <w:szCs w:val="20"/>
        </w:rPr>
        <w:t xml:space="preserve"> </w:t>
      </w:r>
      <w:r>
        <w:rPr>
          <w:rFonts w:ascii="宋体" w:hAnsi="宋体" w:eastAsia="宋体" w:cs="宋体"/>
          <w:spacing w:val="6"/>
          <w:sz w:val="20"/>
          <w:szCs w:val="20"/>
        </w:rPr>
        <w:t>天内完成上</w:t>
      </w:r>
      <w:r>
        <w:rPr>
          <w:rFonts w:ascii="宋体" w:hAnsi="宋体" w:eastAsia="宋体" w:cs="宋体"/>
          <w:spacing w:val="7"/>
          <w:sz w:val="20"/>
          <w:szCs w:val="20"/>
        </w:rPr>
        <w:t>述款项的支付。</w:t>
      </w:r>
    </w:p>
    <w:p w14:paraId="0684BB91">
      <w:pPr>
        <w:spacing w:before="1" w:line="227" w:lineRule="auto"/>
        <w:ind w:left="436"/>
        <w:rPr>
          <w:rFonts w:ascii="宋体" w:hAnsi="宋体" w:eastAsia="宋体" w:cs="宋体"/>
          <w:sz w:val="20"/>
          <w:szCs w:val="20"/>
        </w:rPr>
      </w:pPr>
      <w:r>
        <w:rPr>
          <w:rFonts w:ascii="宋体" w:hAnsi="宋体" w:eastAsia="宋体" w:cs="宋体"/>
          <w:b/>
          <w:bCs/>
          <w:spacing w:val="3"/>
          <w:sz w:val="20"/>
          <w:szCs w:val="20"/>
        </w:rPr>
        <w:t>17.2</w:t>
      </w:r>
      <w:r>
        <w:rPr>
          <w:rFonts w:ascii="宋体" w:hAnsi="宋体" w:eastAsia="宋体" w:cs="宋体"/>
          <w:spacing w:val="3"/>
          <w:sz w:val="20"/>
          <w:szCs w:val="20"/>
        </w:rPr>
        <w:t xml:space="preserve"> </w:t>
      </w:r>
      <w:r>
        <w:rPr>
          <w:rFonts w:ascii="宋体" w:hAnsi="宋体" w:eastAsia="宋体" w:cs="宋体"/>
          <w:b/>
          <w:bCs/>
          <w:spacing w:val="3"/>
          <w:sz w:val="20"/>
          <w:szCs w:val="20"/>
        </w:rPr>
        <w:t>情势变更</w:t>
      </w:r>
    </w:p>
    <w:p w14:paraId="76C754F1">
      <w:pPr>
        <w:spacing w:before="127" w:line="228" w:lineRule="auto"/>
        <w:ind w:left="436"/>
        <w:rPr>
          <w:rFonts w:ascii="宋体" w:hAnsi="宋体" w:eastAsia="宋体" w:cs="宋体"/>
          <w:sz w:val="20"/>
          <w:szCs w:val="20"/>
        </w:rPr>
      </w:pPr>
      <w:r>
        <w:rPr>
          <w:rFonts w:ascii="宋体" w:hAnsi="宋体" w:eastAsia="宋体" w:cs="宋体"/>
          <w:spacing w:val="5"/>
          <w:sz w:val="20"/>
          <w:szCs w:val="20"/>
        </w:rPr>
        <w:t>17.2.1 情势变更的确认</w:t>
      </w:r>
    </w:p>
    <w:p w14:paraId="099CDF22">
      <w:pPr>
        <w:spacing w:before="127" w:line="346" w:lineRule="auto"/>
        <w:ind w:right="47" w:firstLine="421"/>
        <w:rPr>
          <w:rFonts w:ascii="宋体" w:hAnsi="宋体" w:eastAsia="宋体" w:cs="宋体"/>
          <w:sz w:val="20"/>
          <w:szCs w:val="20"/>
        </w:rPr>
      </w:pPr>
      <w:r>
        <w:rPr>
          <w:rFonts w:ascii="宋体" w:hAnsi="宋体" w:eastAsia="宋体" w:cs="宋体"/>
          <w:spacing w:val="10"/>
          <w:sz w:val="20"/>
          <w:szCs w:val="20"/>
        </w:rPr>
        <w:t>情势变更是指合同成立后，合同的基础条件发生了当事人在订立合同时无法预见的、不属于商业风险的重大变化，继续履行合同对于当事人一方明显不公平的，受不利影响的当事人可以与对方重新协商；在合理期限内协商不成的，当事人可以请求人民法院或者仲裁机构变更或者解除</w:t>
      </w:r>
      <w:r>
        <w:rPr>
          <w:rFonts w:ascii="宋体" w:hAnsi="宋体" w:eastAsia="宋体" w:cs="宋体"/>
          <w:spacing w:val="3"/>
          <w:sz w:val="20"/>
          <w:szCs w:val="20"/>
        </w:rPr>
        <w:t>合同。</w:t>
      </w:r>
    </w:p>
    <w:p w14:paraId="50A42FDF">
      <w:pPr>
        <w:spacing w:before="1" w:line="226" w:lineRule="auto"/>
        <w:jc w:val="right"/>
        <w:rPr>
          <w:rFonts w:ascii="宋体" w:hAnsi="宋体" w:eastAsia="宋体" w:cs="宋体"/>
          <w:sz w:val="20"/>
          <w:szCs w:val="20"/>
        </w:rPr>
      </w:pPr>
      <w:r>
        <w:rPr>
          <w:rFonts w:ascii="宋体" w:hAnsi="宋体" w:eastAsia="宋体" w:cs="宋体"/>
          <w:spacing w:val="8"/>
          <w:sz w:val="20"/>
          <w:szCs w:val="20"/>
        </w:rPr>
        <w:t>17.2.2 若情势变更是由不可抗力事件导致的，适用不可抗力相关约定，</w:t>
      </w:r>
      <w:r>
        <w:rPr>
          <w:rFonts w:ascii="宋体" w:hAnsi="宋体" w:eastAsia="宋体" w:cs="宋体"/>
          <w:spacing w:val="7"/>
          <w:sz w:val="20"/>
          <w:szCs w:val="20"/>
        </w:rPr>
        <w:t>否则适用本条约定。</w:t>
      </w:r>
    </w:p>
    <w:p w14:paraId="64C5ADA2">
      <w:pPr>
        <w:spacing w:before="128" w:line="228" w:lineRule="auto"/>
        <w:ind w:left="436"/>
        <w:rPr>
          <w:rFonts w:ascii="宋体" w:hAnsi="宋体" w:eastAsia="宋体" w:cs="宋体"/>
          <w:sz w:val="20"/>
          <w:szCs w:val="20"/>
        </w:rPr>
      </w:pPr>
      <w:r>
        <w:rPr>
          <w:rFonts w:ascii="宋体" w:hAnsi="宋体" w:eastAsia="宋体" w:cs="宋体"/>
          <w:spacing w:val="5"/>
          <w:sz w:val="20"/>
          <w:szCs w:val="20"/>
        </w:rPr>
        <w:t>17.2.3 情势变更协商</w:t>
      </w:r>
    </w:p>
    <w:p w14:paraId="6AA4FC65">
      <w:pPr>
        <w:spacing w:before="127" w:line="346" w:lineRule="auto"/>
        <w:ind w:left="5" w:right="47" w:firstLine="416"/>
        <w:rPr>
          <w:rFonts w:ascii="宋体" w:hAnsi="宋体" w:eastAsia="宋体" w:cs="宋体"/>
          <w:sz w:val="20"/>
          <w:szCs w:val="20"/>
        </w:rPr>
      </w:pPr>
      <w:r>
        <w:rPr>
          <w:rFonts w:ascii="宋体" w:hAnsi="宋体" w:eastAsia="宋体" w:cs="宋体"/>
          <w:spacing w:val="10"/>
          <w:sz w:val="20"/>
          <w:szCs w:val="20"/>
        </w:rPr>
        <w:t>情势变更发生后，发包人和承包人重新协商并达成协议的，按照协商达成的协议确定发包人</w:t>
      </w:r>
      <w:r>
        <w:rPr>
          <w:rFonts w:ascii="宋体" w:hAnsi="宋体" w:eastAsia="宋体" w:cs="宋体"/>
          <w:spacing w:val="7"/>
          <w:sz w:val="20"/>
          <w:szCs w:val="20"/>
        </w:rPr>
        <w:t>与承包人权利、义务。</w:t>
      </w:r>
    </w:p>
    <w:p w14:paraId="7A1BED84">
      <w:pPr>
        <w:spacing w:line="227" w:lineRule="auto"/>
        <w:ind w:left="436"/>
        <w:rPr>
          <w:rFonts w:ascii="宋体" w:hAnsi="宋体" w:eastAsia="宋体" w:cs="宋体"/>
          <w:sz w:val="20"/>
          <w:szCs w:val="20"/>
        </w:rPr>
      </w:pPr>
      <w:r>
        <w:rPr>
          <w:rFonts w:ascii="宋体" w:hAnsi="宋体" w:eastAsia="宋体" w:cs="宋体"/>
          <w:spacing w:val="6"/>
          <w:sz w:val="20"/>
          <w:szCs w:val="20"/>
        </w:rPr>
        <w:t>17.2.4 情势变更合同变更或解除</w:t>
      </w:r>
    </w:p>
    <w:p w14:paraId="044E483A">
      <w:pPr>
        <w:spacing w:before="127" w:line="346" w:lineRule="auto"/>
        <w:ind w:left="2" w:right="46" w:firstLine="419"/>
        <w:rPr>
          <w:rFonts w:ascii="宋体" w:hAnsi="宋体" w:eastAsia="宋体" w:cs="宋体"/>
          <w:sz w:val="20"/>
          <w:szCs w:val="20"/>
        </w:rPr>
      </w:pPr>
      <w:r>
        <w:rPr>
          <w:rFonts w:ascii="宋体" w:hAnsi="宋体" w:eastAsia="宋体" w:cs="宋体"/>
          <w:spacing w:val="7"/>
          <w:sz w:val="20"/>
          <w:szCs w:val="20"/>
        </w:rPr>
        <w:t>情势变更发生后，发包人和承包人协商不成或超过</w:t>
      </w:r>
      <w:r>
        <w:rPr>
          <w:rFonts w:ascii="宋体" w:hAnsi="宋体" w:eastAsia="宋体" w:cs="宋体"/>
          <w:spacing w:val="-35"/>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天仍未达成协议的，受不利</w:t>
      </w:r>
      <w:r>
        <w:rPr>
          <w:rFonts w:ascii="宋体" w:hAnsi="宋体" w:eastAsia="宋体" w:cs="宋体"/>
          <w:spacing w:val="6"/>
          <w:sz w:val="20"/>
          <w:szCs w:val="20"/>
        </w:rPr>
        <w:t>影响的当事</w:t>
      </w:r>
      <w:r>
        <w:rPr>
          <w:rFonts w:ascii="宋体" w:hAnsi="宋体" w:eastAsia="宋体" w:cs="宋体"/>
          <w:spacing w:val="9"/>
          <w:sz w:val="20"/>
          <w:szCs w:val="20"/>
        </w:rPr>
        <w:t>人应在合理期限请求人民法院或者仲裁机构变更或者解除合同。</w:t>
      </w:r>
    </w:p>
    <w:p w14:paraId="3C4DB1C5">
      <w:pPr>
        <w:spacing w:before="2" w:line="345" w:lineRule="auto"/>
        <w:ind w:right="46" w:firstLine="436"/>
        <w:rPr>
          <w:rFonts w:ascii="宋体" w:hAnsi="宋体" w:eastAsia="宋体" w:cs="宋体"/>
          <w:sz w:val="20"/>
          <w:szCs w:val="20"/>
        </w:rPr>
      </w:pPr>
      <w:r>
        <w:rPr>
          <w:rFonts w:ascii="宋体" w:hAnsi="宋体" w:eastAsia="宋体" w:cs="宋体"/>
          <w:spacing w:val="7"/>
          <w:sz w:val="20"/>
          <w:szCs w:val="20"/>
        </w:rPr>
        <w:t>17.2.4.1</w:t>
      </w:r>
      <w:r>
        <w:rPr>
          <w:rFonts w:ascii="宋体" w:hAnsi="宋体" w:eastAsia="宋体" w:cs="宋体"/>
          <w:spacing w:val="-11"/>
          <w:sz w:val="20"/>
          <w:szCs w:val="20"/>
        </w:rPr>
        <w:t xml:space="preserve"> </w:t>
      </w:r>
      <w:r>
        <w:rPr>
          <w:rFonts w:ascii="宋体" w:hAnsi="宋体" w:eastAsia="宋体" w:cs="宋体"/>
          <w:spacing w:val="7"/>
          <w:sz w:val="20"/>
          <w:szCs w:val="20"/>
        </w:rPr>
        <w:t>因情势变更事件，法院或仲裁机构裁决变更合同，发包人和承包人按变更合同确定</w:t>
      </w:r>
      <w:r>
        <w:rPr>
          <w:rFonts w:ascii="宋体" w:hAnsi="宋体" w:eastAsia="宋体" w:cs="宋体"/>
          <w:spacing w:val="6"/>
          <w:sz w:val="20"/>
          <w:szCs w:val="20"/>
        </w:rPr>
        <w:t>权利、义务。</w:t>
      </w:r>
    </w:p>
    <w:p w14:paraId="69DE6B6B">
      <w:pPr>
        <w:spacing w:before="3" w:line="346" w:lineRule="auto"/>
        <w:ind w:left="1" w:right="46" w:firstLine="434"/>
        <w:rPr>
          <w:rFonts w:ascii="宋体" w:hAnsi="宋体" w:eastAsia="宋体" w:cs="宋体"/>
          <w:sz w:val="20"/>
          <w:szCs w:val="20"/>
        </w:rPr>
      </w:pPr>
      <w:r>
        <w:rPr>
          <w:rFonts w:ascii="宋体" w:hAnsi="宋体" w:eastAsia="宋体" w:cs="宋体"/>
          <w:spacing w:val="7"/>
          <w:sz w:val="20"/>
          <w:szCs w:val="20"/>
        </w:rPr>
        <w:t>17.2.4.2</w:t>
      </w:r>
      <w:r>
        <w:rPr>
          <w:rFonts w:ascii="宋体" w:hAnsi="宋体" w:eastAsia="宋体" w:cs="宋体"/>
          <w:spacing w:val="-11"/>
          <w:sz w:val="20"/>
          <w:szCs w:val="20"/>
        </w:rPr>
        <w:t xml:space="preserve"> </w:t>
      </w:r>
      <w:r>
        <w:rPr>
          <w:rFonts w:ascii="宋体" w:hAnsi="宋体" w:eastAsia="宋体" w:cs="宋体"/>
          <w:spacing w:val="7"/>
          <w:sz w:val="20"/>
          <w:szCs w:val="20"/>
        </w:rPr>
        <w:t>因情势变更事件，法院或仲裁机构裁决解除合同，受不利影响的当事人不承担解除</w:t>
      </w:r>
      <w:r>
        <w:rPr>
          <w:rFonts w:ascii="宋体" w:hAnsi="宋体" w:eastAsia="宋体" w:cs="宋体"/>
          <w:spacing w:val="10"/>
          <w:sz w:val="20"/>
          <w:szCs w:val="20"/>
        </w:rPr>
        <w:t>合同违约责任，但要合理分担因解除合同造成的对方损失，并自行承担因解除合同造成的自身损</w:t>
      </w:r>
      <w:r>
        <w:rPr>
          <w:rFonts w:ascii="宋体" w:hAnsi="宋体" w:eastAsia="宋体" w:cs="宋体"/>
          <w:sz w:val="20"/>
          <w:szCs w:val="20"/>
        </w:rPr>
        <w:t>失。</w:t>
      </w:r>
    </w:p>
    <w:p w14:paraId="7FC9AE23">
      <w:pPr>
        <w:spacing w:line="346" w:lineRule="auto"/>
        <w:rPr>
          <w:rFonts w:ascii="宋体" w:hAnsi="宋体" w:eastAsia="宋体" w:cs="宋体"/>
          <w:sz w:val="20"/>
          <w:szCs w:val="20"/>
        </w:rPr>
        <w:sectPr>
          <w:footerReference r:id="rId386" w:type="default"/>
          <w:pgSz w:w="11906" w:h="16839"/>
          <w:pgMar w:top="400" w:right="1486" w:bottom="1446" w:left="1538" w:header="0" w:footer="1284" w:gutter="0"/>
          <w:cols w:space="720" w:num="1"/>
        </w:sectPr>
      </w:pPr>
    </w:p>
    <w:p w14:paraId="393FA058">
      <w:pPr>
        <w:spacing w:line="264" w:lineRule="auto"/>
        <w:rPr>
          <w:rFonts w:ascii="Arial"/>
          <w:sz w:val="21"/>
        </w:rPr>
      </w:pPr>
    </w:p>
    <w:p w14:paraId="1BA23C9A">
      <w:pPr>
        <w:spacing w:line="264" w:lineRule="auto"/>
        <w:rPr>
          <w:rFonts w:ascii="Arial"/>
          <w:sz w:val="21"/>
        </w:rPr>
      </w:pPr>
    </w:p>
    <w:p w14:paraId="212777D5">
      <w:pPr>
        <w:spacing w:line="264" w:lineRule="auto"/>
        <w:rPr>
          <w:rFonts w:ascii="Arial"/>
          <w:sz w:val="21"/>
        </w:rPr>
      </w:pPr>
    </w:p>
    <w:p w14:paraId="1767C957">
      <w:pPr>
        <w:spacing w:line="264" w:lineRule="auto"/>
        <w:rPr>
          <w:rFonts w:ascii="Arial"/>
          <w:sz w:val="21"/>
        </w:rPr>
      </w:pPr>
    </w:p>
    <w:p w14:paraId="420E5742">
      <w:pPr>
        <w:spacing w:line="265" w:lineRule="auto"/>
        <w:rPr>
          <w:rFonts w:ascii="Arial"/>
          <w:sz w:val="21"/>
        </w:rPr>
      </w:pPr>
    </w:p>
    <w:p w14:paraId="7DB08A89">
      <w:pPr>
        <w:spacing w:line="265" w:lineRule="auto"/>
        <w:rPr>
          <w:rFonts w:ascii="Arial"/>
          <w:sz w:val="21"/>
        </w:rPr>
      </w:pPr>
    </w:p>
    <w:p w14:paraId="13097B32">
      <w:pPr>
        <w:spacing w:line="265" w:lineRule="auto"/>
        <w:rPr>
          <w:rFonts w:ascii="Arial"/>
          <w:sz w:val="21"/>
        </w:rPr>
      </w:pPr>
    </w:p>
    <w:p w14:paraId="46D539A0">
      <w:pPr>
        <w:spacing w:before="65" w:line="228" w:lineRule="auto"/>
        <w:ind w:left="436"/>
        <w:outlineLvl w:val="2"/>
        <w:rPr>
          <w:rFonts w:ascii="宋体" w:hAnsi="宋体" w:eastAsia="宋体" w:cs="宋体"/>
          <w:sz w:val="20"/>
          <w:szCs w:val="20"/>
        </w:rPr>
      </w:pPr>
      <w:bookmarkStart w:id="323" w:name="bookmark306"/>
      <w:bookmarkEnd w:id="323"/>
      <w:r>
        <w:rPr>
          <w:rFonts w:ascii="宋体" w:hAnsi="宋体" w:eastAsia="宋体" w:cs="宋体"/>
          <w:b/>
          <w:bCs/>
          <w:spacing w:val="-1"/>
          <w:sz w:val="20"/>
          <w:szCs w:val="20"/>
        </w:rPr>
        <w:t>18.</w:t>
      </w:r>
      <w:r>
        <w:rPr>
          <w:rFonts w:ascii="宋体" w:hAnsi="宋体" w:eastAsia="宋体" w:cs="宋体"/>
          <w:spacing w:val="13"/>
          <w:sz w:val="20"/>
          <w:szCs w:val="20"/>
        </w:rPr>
        <w:t xml:space="preserve"> </w:t>
      </w:r>
      <w:r>
        <w:rPr>
          <w:rFonts w:ascii="宋体" w:hAnsi="宋体" w:eastAsia="宋体" w:cs="宋体"/>
          <w:b/>
          <w:bCs/>
          <w:spacing w:val="-1"/>
          <w:sz w:val="20"/>
          <w:szCs w:val="20"/>
        </w:rPr>
        <w:t>保险</w:t>
      </w:r>
    </w:p>
    <w:p w14:paraId="20D41BE6">
      <w:pPr>
        <w:spacing w:before="127" w:line="228" w:lineRule="auto"/>
        <w:ind w:left="436"/>
        <w:rPr>
          <w:rFonts w:ascii="宋体" w:hAnsi="宋体" w:eastAsia="宋体" w:cs="宋体"/>
          <w:sz w:val="20"/>
          <w:szCs w:val="20"/>
        </w:rPr>
      </w:pPr>
      <w:r>
        <w:rPr>
          <w:rFonts w:ascii="宋体" w:hAnsi="宋体" w:eastAsia="宋体" w:cs="宋体"/>
          <w:b/>
          <w:bCs/>
          <w:spacing w:val="1"/>
          <w:sz w:val="20"/>
          <w:szCs w:val="20"/>
        </w:rPr>
        <w:t>18.1</w:t>
      </w:r>
      <w:r>
        <w:rPr>
          <w:rFonts w:ascii="宋体" w:hAnsi="宋体" w:eastAsia="宋体" w:cs="宋体"/>
          <w:spacing w:val="21"/>
          <w:sz w:val="20"/>
          <w:szCs w:val="20"/>
        </w:rPr>
        <w:t xml:space="preserve"> </w:t>
      </w:r>
      <w:r>
        <w:rPr>
          <w:rFonts w:ascii="宋体" w:hAnsi="宋体" w:eastAsia="宋体" w:cs="宋体"/>
          <w:b/>
          <w:bCs/>
          <w:spacing w:val="1"/>
          <w:sz w:val="20"/>
          <w:szCs w:val="20"/>
        </w:rPr>
        <w:t>工程保险</w:t>
      </w:r>
    </w:p>
    <w:p w14:paraId="60C4A1BA">
      <w:pPr>
        <w:spacing w:before="126" w:line="346" w:lineRule="auto"/>
        <w:ind w:firstLine="432"/>
        <w:rPr>
          <w:rFonts w:ascii="宋体" w:hAnsi="宋体" w:eastAsia="宋体" w:cs="宋体"/>
          <w:sz w:val="20"/>
          <w:szCs w:val="20"/>
        </w:rPr>
      </w:pPr>
      <w:r>
        <w:rPr>
          <w:rFonts w:ascii="宋体" w:hAnsi="宋体" w:eastAsia="宋体" w:cs="宋体"/>
          <w:spacing w:val="10"/>
          <w:sz w:val="20"/>
          <w:szCs w:val="20"/>
        </w:rPr>
        <w:t>除专用合同条款另有约定外，发包人应投保建筑工程一切险或安装工程一切险；发包人委托</w:t>
      </w:r>
      <w:r>
        <w:rPr>
          <w:rFonts w:ascii="宋体" w:hAnsi="宋体" w:eastAsia="宋体" w:cs="宋体"/>
          <w:spacing w:val="9"/>
          <w:sz w:val="20"/>
          <w:szCs w:val="20"/>
        </w:rPr>
        <w:t>承包人投保的，因投保产生的保险费和其他相关费用由发包人承担。</w:t>
      </w:r>
    </w:p>
    <w:p w14:paraId="6C323D59">
      <w:pPr>
        <w:spacing w:line="227" w:lineRule="auto"/>
        <w:ind w:left="436"/>
        <w:rPr>
          <w:rFonts w:ascii="宋体" w:hAnsi="宋体" w:eastAsia="宋体" w:cs="宋体"/>
          <w:sz w:val="20"/>
          <w:szCs w:val="20"/>
        </w:rPr>
      </w:pPr>
      <w:r>
        <w:rPr>
          <w:rFonts w:ascii="宋体" w:hAnsi="宋体" w:eastAsia="宋体" w:cs="宋体"/>
          <w:b/>
          <w:bCs/>
          <w:spacing w:val="1"/>
          <w:sz w:val="20"/>
          <w:szCs w:val="20"/>
        </w:rPr>
        <w:t>18.2</w:t>
      </w:r>
      <w:r>
        <w:rPr>
          <w:rFonts w:ascii="宋体" w:hAnsi="宋体" w:eastAsia="宋体" w:cs="宋体"/>
          <w:spacing w:val="21"/>
          <w:sz w:val="20"/>
          <w:szCs w:val="20"/>
        </w:rPr>
        <w:t xml:space="preserve"> </w:t>
      </w:r>
      <w:r>
        <w:rPr>
          <w:rFonts w:ascii="宋体" w:hAnsi="宋体" w:eastAsia="宋体" w:cs="宋体"/>
          <w:b/>
          <w:bCs/>
          <w:spacing w:val="1"/>
          <w:sz w:val="20"/>
          <w:szCs w:val="20"/>
        </w:rPr>
        <w:t>工伤保险</w:t>
      </w:r>
    </w:p>
    <w:p w14:paraId="5938AEA2">
      <w:pPr>
        <w:spacing w:before="126" w:line="346" w:lineRule="auto"/>
        <w:ind w:left="2" w:firstLine="433"/>
        <w:rPr>
          <w:rFonts w:ascii="宋体" w:hAnsi="宋体" w:eastAsia="宋体" w:cs="宋体"/>
          <w:sz w:val="20"/>
          <w:szCs w:val="20"/>
        </w:rPr>
      </w:pPr>
      <w:r>
        <w:rPr>
          <w:rFonts w:ascii="宋体" w:hAnsi="宋体" w:eastAsia="宋体" w:cs="宋体"/>
          <w:spacing w:val="7"/>
          <w:sz w:val="20"/>
          <w:szCs w:val="20"/>
        </w:rPr>
        <w:t>18.2.1 发包人应依照法律规定参加工伤保险，并为在施工现场的全</w:t>
      </w:r>
      <w:r>
        <w:rPr>
          <w:rFonts w:ascii="宋体" w:hAnsi="宋体" w:eastAsia="宋体" w:cs="宋体"/>
          <w:spacing w:val="6"/>
          <w:sz w:val="20"/>
          <w:szCs w:val="20"/>
        </w:rPr>
        <w:t>部员工办理工伤保险，缴</w:t>
      </w:r>
      <w:r>
        <w:rPr>
          <w:rFonts w:ascii="宋体" w:hAnsi="宋体" w:eastAsia="宋体" w:cs="宋体"/>
          <w:spacing w:val="9"/>
          <w:sz w:val="20"/>
          <w:szCs w:val="20"/>
        </w:rPr>
        <w:t>纳工伤保险费，并要求监理人及由发包人为履行合同聘请的第三方依法参加工伤保险。</w:t>
      </w:r>
    </w:p>
    <w:p w14:paraId="58766D09">
      <w:pPr>
        <w:spacing w:before="1" w:line="345" w:lineRule="auto"/>
        <w:ind w:left="2" w:firstLine="433"/>
        <w:rPr>
          <w:rFonts w:ascii="宋体" w:hAnsi="宋体" w:eastAsia="宋体" w:cs="宋体"/>
          <w:sz w:val="20"/>
          <w:szCs w:val="20"/>
        </w:rPr>
      </w:pPr>
      <w:r>
        <w:rPr>
          <w:rFonts w:ascii="宋体" w:hAnsi="宋体" w:eastAsia="宋体" w:cs="宋体"/>
          <w:spacing w:val="7"/>
          <w:sz w:val="20"/>
          <w:szCs w:val="20"/>
        </w:rPr>
        <w:t>18.2.2 承包人应依照法律规定参加工伤保险，并为其履行合同的全</w:t>
      </w:r>
      <w:r>
        <w:rPr>
          <w:rFonts w:ascii="宋体" w:hAnsi="宋体" w:eastAsia="宋体" w:cs="宋体"/>
          <w:spacing w:val="6"/>
          <w:sz w:val="20"/>
          <w:szCs w:val="20"/>
        </w:rPr>
        <w:t>部员工办理工伤保险，缴</w:t>
      </w:r>
      <w:r>
        <w:rPr>
          <w:rFonts w:ascii="宋体" w:hAnsi="宋体" w:eastAsia="宋体" w:cs="宋体"/>
          <w:spacing w:val="9"/>
          <w:sz w:val="20"/>
          <w:szCs w:val="20"/>
        </w:rPr>
        <w:t>纳工伤保险费，并要求分包人及由承包人为履行合同聘请的第三方依法参加工伤保险。</w:t>
      </w:r>
    </w:p>
    <w:p w14:paraId="38F224C0">
      <w:pPr>
        <w:spacing w:before="1" w:line="227" w:lineRule="auto"/>
        <w:ind w:left="436"/>
        <w:rPr>
          <w:rFonts w:ascii="宋体" w:hAnsi="宋体" w:eastAsia="宋体" w:cs="宋体"/>
          <w:sz w:val="20"/>
          <w:szCs w:val="20"/>
        </w:rPr>
      </w:pPr>
      <w:r>
        <w:rPr>
          <w:rFonts w:ascii="宋体" w:hAnsi="宋体" w:eastAsia="宋体" w:cs="宋体"/>
          <w:b/>
          <w:bCs/>
          <w:spacing w:val="4"/>
          <w:sz w:val="20"/>
          <w:szCs w:val="20"/>
        </w:rPr>
        <w:t>18.3</w:t>
      </w:r>
      <w:r>
        <w:rPr>
          <w:rFonts w:ascii="宋体" w:hAnsi="宋体" w:eastAsia="宋体" w:cs="宋体"/>
          <w:spacing w:val="4"/>
          <w:sz w:val="20"/>
          <w:szCs w:val="20"/>
        </w:rPr>
        <w:t xml:space="preserve"> </w:t>
      </w:r>
      <w:r>
        <w:rPr>
          <w:rFonts w:ascii="宋体" w:hAnsi="宋体" w:eastAsia="宋体" w:cs="宋体"/>
          <w:b/>
          <w:bCs/>
          <w:spacing w:val="4"/>
          <w:sz w:val="20"/>
          <w:szCs w:val="20"/>
        </w:rPr>
        <w:t>安全生产责任保险</w:t>
      </w:r>
    </w:p>
    <w:p w14:paraId="066D9807">
      <w:pPr>
        <w:spacing w:before="126" w:line="346" w:lineRule="auto"/>
        <w:ind w:left="3" w:firstLine="420"/>
        <w:jc w:val="both"/>
        <w:rPr>
          <w:rFonts w:ascii="宋体" w:hAnsi="宋体" w:eastAsia="宋体" w:cs="宋体"/>
          <w:sz w:val="20"/>
          <w:szCs w:val="20"/>
        </w:rPr>
      </w:pPr>
      <w:r>
        <w:rPr>
          <w:rFonts w:ascii="宋体" w:hAnsi="宋体" w:eastAsia="宋体" w:cs="宋体"/>
          <w:spacing w:val="10"/>
          <w:sz w:val="20"/>
          <w:szCs w:val="20"/>
        </w:rPr>
        <w:t>发包人或承包人应依照法律法规要求参加安全生产责任保险，并为工程项目地址内依法从事建筑施工及相关工作的全部人员办理安全生产责任保险，加强保险中事故预防技术服务的运用，</w:t>
      </w:r>
      <w:r>
        <w:rPr>
          <w:rFonts w:ascii="宋体" w:hAnsi="宋体" w:eastAsia="宋体" w:cs="宋体"/>
          <w:spacing w:val="8"/>
          <w:sz w:val="20"/>
          <w:szCs w:val="20"/>
        </w:rPr>
        <w:t>具体事项由合同当事人在专用合同条款约定。</w:t>
      </w:r>
    </w:p>
    <w:p w14:paraId="7845D679">
      <w:pPr>
        <w:spacing w:before="1" w:line="228" w:lineRule="auto"/>
        <w:ind w:left="436"/>
        <w:rPr>
          <w:rFonts w:ascii="宋体" w:hAnsi="宋体" w:eastAsia="宋体" w:cs="宋体"/>
          <w:sz w:val="20"/>
          <w:szCs w:val="20"/>
        </w:rPr>
      </w:pPr>
      <w:r>
        <w:rPr>
          <w:rFonts w:ascii="宋体" w:hAnsi="宋体" w:eastAsia="宋体" w:cs="宋体"/>
          <w:b/>
          <w:bCs/>
          <w:spacing w:val="3"/>
          <w:sz w:val="20"/>
          <w:szCs w:val="20"/>
        </w:rPr>
        <w:t>18.4</w:t>
      </w:r>
      <w:r>
        <w:rPr>
          <w:rFonts w:ascii="宋体" w:hAnsi="宋体" w:eastAsia="宋体" w:cs="宋体"/>
          <w:spacing w:val="3"/>
          <w:sz w:val="20"/>
          <w:szCs w:val="20"/>
        </w:rPr>
        <w:t xml:space="preserve"> </w:t>
      </w:r>
      <w:r>
        <w:rPr>
          <w:rFonts w:ascii="宋体" w:hAnsi="宋体" w:eastAsia="宋体" w:cs="宋体"/>
          <w:b/>
          <w:bCs/>
          <w:spacing w:val="3"/>
          <w:sz w:val="20"/>
          <w:szCs w:val="20"/>
        </w:rPr>
        <w:t>其他保险</w:t>
      </w:r>
    </w:p>
    <w:p w14:paraId="5E316E45">
      <w:pPr>
        <w:spacing w:before="126" w:line="346" w:lineRule="auto"/>
        <w:ind w:firstLine="424"/>
        <w:rPr>
          <w:rFonts w:ascii="宋体" w:hAnsi="宋体" w:eastAsia="宋体" w:cs="宋体"/>
          <w:sz w:val="20"/>
          <w:szCs w:val="20"/>
        </w:rPr>
      </w:pPr>
      <w:r>
        <w:rPr>
          <w:rFonts w:ascii="宋体" w:hAnsi="宋体" w:eastAsia="宋体" w:cs="宋体"/>
          <w:spacing w:val="10"/>
          <w:sz w:val="20"/>
          <w:szCs w:val="20"/>
        </w:rPr>
        <w:t>发包人和承包人可以为其施工现场的全部人员办理意外伤害保险并支付保险费，包括其员工</w:t>
      </w:r>
      <w:r>
        <w:rPr>
          <w:rFonts w:ascii="宋体" w:hAnsi="宋体" w:eastAsia="宋体" w:cs="宋体"/>
          <w:spacing w:val="9"/>
          <w:sz w:val="20"/>
          <w:szCs w:val="20"/>
        </w:rPr>
        <w:t>及为履行合同聘请的第三方的人员，具体事项由合同当事人在专用合同条款约定。</w:t>
      </w:r>
    </w:p>
    <w:p w14:paraId="1575C3D3">
      <w:pPr>
        <w:spacing w:line="227" w:lineRule="auto"/>
        <w:ind w:left="433"/>
        <w:rPr>
          <w:rFonts w:ascii="宋体" w:hAnsi="宋体" w:eastAsia="宋体" w:cs="宋体"/>
          <w:sz w:val="20"/>
          <w:szCs w:val="20"/>
        </w:rPr>
      </w:pPr>
      <w:r>
        <w:rPr>
          <w:rFonts w:ascii="宋体" w:hAnsi="宋体" w:eastAsia="宋体" w:cs="宋体"/>
          <w:spacing w:val="9"/>
          <w:sz w:val="20"/>
          <w:szCs w:val="20"/>
        </w:rPr>
        <w:t>除专用合同条款另有约定外，承包人应为其施工设备等办理财产</w:t>
      </w:r>
      <w:r>
        <w:rPr>
          <w:rFonts w:ascii="宋体" w:hAnsi="宋体" w:eastAsia="宋体" w:cs="宋体"/>
          <w:spacing w:val="8"/>
          <w:sz w:val="20"/>
          <w:szCs w:val="20"/>
        </w:rPr>
        <w:t>保险。</w:t>
      </w:r>
    </w:p>
    <w:p w14:paraId="4BF4EB1B">
      <w:pPr>
        <w:spacing w:before="128" w:line="228" w:lineRule="auto"/>
        <w:ind w:left="436"/>
        <w:rPr>
          <w:rFonts w:ascii="宋体" w:hAnsi="宋体" w:eastAsia="宋体" w:cs="宋体"/>
          <w:sz w:val="20"/>
          <w:szCs w:val="20"/>
        </w:rPr>
      </w:pPr>
      <w:r>
        <w:rPr>
          <w:rFonts w:ascii="宋体" w:hAnsi="宋体" w:eastAsia="宋体" w:cs="宋体"/>
          <w:b/>
          <w:bCs/>
          <w:spacing w:val="1"/>
          <w:sz w:val="20"/>
          <w:szCs w:val="20"/>
        </w:rPr>
        <w:t>18.5</w:t>
      </w:r>
      <w:r>
        <w:rPr>
          <w:rFonts w:ascii="宋体" w:hAnsi="宋体" w:eastAsia="宋体" w:cs="宋体"/>
          <w:spacing w:val="21"/>
          <w:sz w:val="20"/>
          <w:szCs w:val="20"/>
        </w:rPr>
        <w:t xml:space="preserve"> </w:t>
      </w:r>
      <w:r>
        <w:rPr>
          <w:rFonts w:ascii="宋体" w:hAnsi="宋体" w:eastAsia="宋体" w:cs="宋体"/>
          <w:b/>
          <w:bCs/>
          <w:spacing w:val="1"/>
          <w:sz w:val="20"/>
          <w:szCs w:val="20"/>
        </w:rPr>
        <w:t>持续保险</w:t>
      </w:r>
    </w:p>
    <w:p w14:paraId="0CB832B4">
      <w:pPr>
        <w:spacing w:before="127" w:line="346" w:lineRule="auto"/>
        <w:ind w:left="1" w:firstLine="420"/>
        <w:rPr>
          <w:rFonts w:ascii="宋体" w:hAnsi="宋体" w:eastAsia="宋体" w:cs="宋体"/>
          <w:sz w:val="20"/>
          <w:szCs w:val="20"/>
        </w:rPr>
      </w:pPr>
      <w:r>
        <w:rPr>
          <w:rFonts w:ascii="宋体" w:hAnsi="宋体" w:eastAsia="宋体" w:cs="宋体"/>
          <w:spacing w:val="10"/>
          <w:sz w:val="20"/>
          <w:szCs w:val="20"/>
        </w:rPr>
        <w:t>合同当事人应与保险人保持联系，使保险人能够随时了解工程实施中的变动，并确保按保险</w:t>
      </w:r>
      <w:r>
        <w:rPr>
          <w:rFonts w:ascii="宋体" w:hAnsi="宋体" w:eastAsia="宋体" w:cs="宋体"/>
          <w:spacing w:val="8"/>
          <w:sz w:val="20"/>
          <w:szCs w:val="20"/>
        </w:rPr>
        <w:t>合同条款要求持续保险。</w:t>
      </w:r>
    </w:p>
    <w:p w14:paraId="4DBE4D7B">
      <w:pPr>
        <w:spacing w:line="227" w:lineRule="auto"/>
        <w:ind w:left="436"/>
        <w:rPr>
          <w:rFonts w:ascii="宋体" w:hAnsi="宋体" w:eastAsia="宋体" w:cs="宋体"/>
          <w:sz w:val="20"/>
          <w:szCs w:val="20"/>
        </w:rPr>
      </w:pPr>
      <w:r>
        <w:rPr>
          <w:rFonts w:ascii="宋体" w:hAnsi="宋体" w:eastAsia="宋体" w:cs="宋体"/>
          <w:b/>
          <w:bCs/>
          <w:spacing w:val="3"/>
          <w:sz w:val="20"/>
          <w:szCs w:val="20"/>
        </w:rPr>
        <w:t>18.6</w:t>
      </w:r>
      <w:r>
        <w:rPr>
          <w:rFonts w:ascii="宋体" w:hAnsi="宋体" w:eastAsia="宋体" w:cs="宋体"/>
          <w:spacing w:val="3"/>
          <w:sz w:val="20"/>
          <w:szCs w:val="20"/>
        </w:rPr>
        <w:t xml:space="preserve"> </w:t>
      </w:r>
      <w:r>
        <w:rPr>
          <w:rFonts w:ascii="宋体" w:hAnsi="宋体" w:eastAsia="宋体" w:cs="宋体"/>
          <w:b/>
          <w:bCs/>
          <w:spacing w:val="3"/>
          <w:sz w:val="20"/>
          <w:szCs w:val="20"/>
        </w:rPr>
        <w:t>保险凭证</w:t>
      </w:r>
    </w:p>
    <w:p w14:paraId="6C0F9023">
      <w:pPr>
        <w:spacing w:before="128" w:line="228" w:lineRule="auto"/>
        <w:ind w:left="421"/>
        <w:rPr>
          <w:rFonts w:ascii="宋体" w:hAnsi="宋体" w:eastAsia="宋体" w:cs="宋体"/>
          <w:sz w:val="20"/>
          <w:szCs w:val="20"/>
        </w:rPr>
      </w:pPr>
      <w:r>
        <w:rPr>
          <w:rFonts w:ascii="宋体" w:hAnsi="宋体" w:eastAsia="宋体" w:cs="宋体"/>
          <w:spacing w:val="9"/>
          <w:sz w:val="20"/>
          <w:szCs w:val="20"/>
        </w:rPr>
        <w:t>合同当事人应及时向另一方当事人提交其已投保的各项保险的凭证和保险单复印件。</w:t>
      </w:r>
    </w:p>
    <w:p w14:paraId="0BDBB5EE">
      <w:pPr>
        <w:spacing w:before="127" w:line="228" w:lineRule="auto"/>
        <w:ind w:left="436"/>
        <w:rPr>
          <w:rFonts w:ascii="宋体" w:hAnsi="宋体" w:eastAsia="宋体" w:cs="宋体"/>
          <w:sz w:val="20"/>
          <w:szCs w:val="20"/>
        </w:rPr>
      </w:pPr>
      <w:r>
        <w:rPr>
          <w:rFonts w:ascii="宋体" w:hAnsi="宋体" w:eastAsia="宋体" w:cs="宋体"/>
          <w:b/>
          <w:bCs/>
          <w:spacing w:val="5"/>
          <w:sz w:val="20"/>
          <w:szCs w:val="20"/>
        </w:rPr>
        <w:t>18.7</w:t>
      </w:r>
      <w:r>
        <w:rPr>
          <w:rFonts w:ascii="宋体" w:hAnsi="宋体" w:eastAsia="宋体" w:cs="宋体"/>
          <w:spacing w:val="5"/>
          <w:sz w:val="20"/>
          <w:szCs w:val="20"/>
        </w:rPr>
        <w:t xml:space="preserve"> </w:t>
      </w:r>
      <w:r>
        <w:rPr>
          <w:rFonts w:ascii="宋体" w:hAnsi="宋体" w:eastAsia="宋体" w:cs="宋体"/>
          <w:b/>
          <w:bCs/>
          <w:spacing w:val="5"/>
          <w:sz w:val="20"/>
          <w:szCs w:val="20"/>
        </w:rPr>
        <w:t>未按约定投保的补救</w:t>
      </w:r>
    </w:p>
    <w:p w14:paraId="698F4B12">
      <w:pPr>
        <w:spacing w:before="127" w:line="346" w:lineRule="auto"/>
        <w:ind w:firstLine="435"/>
        <w:rPr>
          <w:rFonts w:ascii="宋体" w:hAnsi="宋体" w:eastAsia="宋体" w:cs="宋体"/>
          <w:sz w:val="20"/>
          <w:szCs w:val="20"/>
        </w:rPr>
      </w:pPr>
      <w:r>
        <w:rPr>
          <w:rFonts w:ascii="宋体" w:hAnsi="宋体" w:eastAsia="宋体" w:cs="宋体"/>
          <w:spacing w:val="8"/>
          <w:sz w:val="20"/>
          <w:szCs w:val="20"/>
        </w:rPr>
        <w:t>18.7.1</w:t>
      </w:r>
      <w:r>
        <w:rPr>
          <w:rFonts w:ascii="宋体" w:hAnsi="宋体" w:eastAsia="宋体" w:cs="宋体"/>
          <w:spacing w:val="-37"/>
          <w:sz w:val="20"/>
          <w:szCs w:val="20"/>
        </w:rPr>
        <w:t xml:space="preserve"> </w:t>
      </w:r>
      <w:r>
        <w:rPr>
          <w:rFonts w:ascii="宋体" w:hAnsi="宋体" w:eastAsia="宋体" w:cs="宋体"/>
          <w:spacing w:val="8"/>
          <w:sz w:val="20"/>
          <w:szCs w:val="20"/>
        </w:rPr>
        <w:t>发包人未按合同约定办理保险，或未能使保险持续有效的，则</w:t>
      </w:r>
      <w:r>
        <w:rPr>
          <w:rFonts w:ascii="宋体" w:hAnsi="宋体" w:eastAsia="宋体" w:cs="宋体"/>
          <w:spacing w:val="7"/>
          <w:sz w:val="20"/>
          <w:szCs w:val="20"/>
        </w:rPr>
        <w:t>承包人可代为办理，所</w:t>
      </w:r>
      <w:r>
        <w:rPr>
          <w:rFonts w:ascii="宋体" w:hAnsi="宋体" w:eastAsia="宋体" w:cs="宋体"/>
          <w:spacing w:val="9"/>
          <w:sz w:val="20"/>
          <w:szCs w:val="20"/>
        </w:rPr>
        <w:t>需费用由发包人承担。发包人未按合同约定办理保险，导致未能得到足额赔偿的，</w:t>
      </w:r>
      <w:r>
        <w:rPr>
          <w:rFonts w:ascii="宋体" w:hAnsi="宋体" w:eastAsia="宋体" w:cs="宋体"/>
          <w:spacing w:val="-46"/>
          <w:sz w:val="20"/>
          <w:szCs w:val="20"/>
        </w:rPr>
        <w:t xml:space="preserve"> </w:t>
      </w:r>
      <w:r>
        <w:rPr>
          <w:rFonts w:ascii="宋体" w:hAnsi="宋体" w:eastAsia="宋体" w:cs="宋体"/>
          <w:spacing w:val="9"/>
          <w:sz w:val="20"/>
          <w:szCs w:val="20"/>
        </w:rPr>
        <w:t>由发包人负责</w:t>
      </w:r>
      <w:r>
        <w:rPr>
          <w:rFonts w:ascii="宋体" w:hAnsi="宋体" w:eastAsia="宋体" w:cs="宋体"/>
          <w:spacing w:val="3"/>
          <w:sz w:val="20"/>
          <w:szCs w:val="20"/>
        </w:rPr>
        <w:t>补足。</w:t>
      </w:r>
    </w:p>
    <w:p w14:paraId="09AE806A">
      <w:pPr>
        <w:spacing w:before="2" w:line="345" w:lineRule="auto"/>
        <w:ind w:firstLine="435"/>
        <w:rPr>
          <w:rFonts w:ascii="宋体" w:hAnsi="宋体" w:eastAsia="宋体" w:cs="宋体"/>
          <w:sz w:val="20"/>
          <w:szCs w:val="20"/>
        </w:rPr>
      </w:pPr>
      <w:r>
        <w:rPr>
          <w:rFonts w:ascii="宋体" w:hAnsi="宋体" w:eastAsia="宋体" w:cs="宋体"/>
          <w:spacing w:val="8"/>
          <w:sz w:val="20"/>
          <w:szCs w:val="20"/>
        </w:rPr>
        <w:t>18.7.2</w:t>
      </w:r>
      <w:r>
        <w:rPr>
          <w:rFonts w:ascii="宋体" w:hAnsi="宋体" w:eastAsia="宋体" w:cs="宋体"/>
          <w:spacing w:val="-40"/>
          <w:sz w:val="20"/>
          <w:szCs w:val="20"/>
        </w:rPr>
        <w:t xml:space="preserve"> </w:t>
      </w:r>
      <w:r>
        <w:rPr>
          <w:rFonts w:ascii="宋体" w:hAnsi="宋体" w:eastAsia="宋体" w:cs="宋体"/>
          <w:spacing w:val="8"/>
          <w:sz w:val="20"/>
          <w:szCs w:val="20"/>
        </w:rPr>
        <w:t>承包人未按合同约定办理保险，或未能使保险持续有效的，则发包人</w:t>
      </w:r>
      <w:r>
        <w:rPr>
          <w:rFonts w:ascii="宋体" w:hAnsi="宋体" w:eastAsia="宋体" w:cs="宋体"/>
          <w:spacing w:val="7"/>
          <w:sz w:val="20"/>
          <w:szCs w:val="20"/>
        </w:rPr>
        <w:t>可代为办理，所</w:t>
      </w:r>
      <w:r>
        <w:rPr>
          <w:rFonts w:ascii="宋体" w:hAnsi="宋体" w:eastAsia="宋体" w:cs="宋体"/>
          <w:spacing w:val="9"/>
          <w:sz w:val="20"/>
          <w:szCs w:val="20"/>
        </w:rPr>
        <w:t>需费用由承包人承担。承包人未按合同约定办理保险，导致未能得到足额赔偿的，</w:t>
      </w:r>
      <w:r>
        <w:rPr>
          <w:rFonts w:ascii="宋体" w:hAnsi="宋体" w:eastAsia="宋体" w:cs="宋体"/>
          <w:spacing w:val="-46"/>
          <w:sz w:val="20"/>
          <w:szCs w:val="20"/>
        </w:rPr>
        <w:t xml:space="preserve"> </w:t>
      </w:r>
      <w:r>
        <w:rPr>
          <w:rFonts w:ascii="宋体" w:hAnsi="宋体" w:eastAsia="宋体" w:cs="宋体"/>
          <w:spacing w:val="9"/>
          <w:sz w:val="20"/>
          <w:szCs w:val="20"/>
        </w:rPr>
        <w:t>由承包人负责</w:t>
      </w:r>
      <w:r>
        <w:rPr>
          <w:rFonts w:ascii="宋体" w:hAnsi="宋体" w:eastAsia="宋体" w:cs="宋体"/>
          <w:spacing w:val="3"/>
          <w:sz w:val="20"/>
          <w:szCs w:val="20"/>
        </w:rPr>
        <w:t>补足。</w:t>
      </w:r>
    </w:p>
    <w:p w14:paraId="696403DA">
      <w:pPr>
        <w:spacing w:before="2" w:line="345" w:lineRule="auto"/>
        <w:ind w:left="2" w:firstLine="433"/>
        <w:rPr>
          <w:rFonts w:ascii="宋体" w:hAnsi="宋体" w:eastAsia="宋体" w:cs="宋体"/>
          <w:sz w:val="20"/>
          <w:szCs w:val="20"/>
        </w:rPr>
      </w:pPr>
      <w:r>
        <w:rPr>
          <w:rFonts w:ascii="宋体" w:hAnsi="宋体" w:eastAsia="宋体" w:cs="宋体"/>
          <w:spacing w:val="7"/>
          <w:sz w:val="20"/>
          <w:szCs w:val="20"/>
        </w:rPr>
        <w:t>18.7.3 投保义务人未按约定办理保险，或未能使保险持续有效的，</w:t>
      </w:r>
      <w:r>
        <w:rPr>
          <w:rFonts w:ascii="宋体" w:hAnsi="宋体" w:eastAsia="宋体" w:cs="宋体"/>
          <w:spacing w:val="6"/>
          <w:sz w:val="20"/>
          <w:szCs w:val="20"/>
        </w:rPr>
        <w:t>依据相关法律规定及合同</w:t>
      </w:r>
      <w:r>
        <w:rPr>
          <w:rFonts w:ascii="宋体" w:hAnsi="宋体" w:eastAsia="宋体" w:cs="宋体"/>
          <w:spacing w:val="10"/>
          <w:sz w:val="20"/>
          <w:szCs w:val="20"/>
        </w:rPr>
        <w:t>约定由另一方当事人承担侵权或赔偿责任的，另一方当事人不得以投保义务人未办理保险为由要</w:t>
      </w:r>
      <w:r>
        <w:rPr>
          <w:rFonts w:ascii="宋体" w:hAnsi="宋体" w:eastAsia="宋体" w:cs="宋体"/>
          <w:spacing w:val="7"/>
          <w:sz w:val="20"/>
          <w:szCs w:val="20"/>
        </w:rPr>
        <w:t>求减轻或免除赔偿责任。</w:t>
      </w:r>
    </w:p>
    <w:p w14:paraId="58E3D576">
      <w:pPr>
        <w:spacing w:line="227" w:lineRule="auto"/>
        <w:ind w:left="436"/>
        <w:rPr>
          <w:rFonts w:ascii="宋体" w:hAnsi="宋体" w:eastAsia="宋体" w:cs="宋体"/>
          <w:sz w:val="20"/>
          <w:szCs w:val="20"/>
        </w:rPr>
      </w:pPr>
      <w:r>
        <w:rPr>
          <w:rFonts w:ascii="宋体" w:hAnsi="宋体" w:eastAsia="宋体" w:cs="宋体"/>
          <w:b/>
          <w:bCs/>
          <w:spacing w:val="3"/>
          <w:sz w:val="20"/>
          <w:szCs w:val="20"/>
        </w:rPr>
        <w:t>18.8</w:t>
      </w:r>
      <w:r>
        <w:rPr>
          <w:rFonts w:ascii="宋体" w:hAnsi="宋体" w:eastAsia="宋体" w:cs="宋体"/>
          <w:spacing w:val="3"/>
          <w:sz w:val="20"/>
          <w:szCs w:val="20"/>
        </w:rPr>
        <w:t xml:space="preserve"> </w:t>
      </w:r>
      <w:r>
        <w:rPr>
          <w:rFonts w:ascii="宋体" w:hAnsi="宋体" w:eastAsia="宋体" w:cs="宋体"/>
          <w:b/>
          <w:bCs/>
          <w:spacing w:val="3"/>
          <w:sz w:val="20"/>
          <w:szCs w:val="20"/>
        </w:rPr>
        <w:t>通知义务</w:t>
      </w:r>
    </w:p>
    <w:p w14:paraId="08FEE47B">
      <w:pPr>
        <w:spacing w:line="227" w:lineRule="auto"/>
        <w:rPr>
          <w:rFonts w:ascii="宋体" w:hAnsi="宋体" w:eastAsia="宋体" w:cs="宋体"/>
          <w:sz w:val="20"/>
          <w:szCs w:val="20"/>
        </w:rPr>
        <w:sectPr>
          <w:footerReference r:id="rId387" w:type="default"/>
          <w:pgSz w:w="11906" w:h="16839"/>
          <w:pgMar w:top="400" w:right="1532" w:bottom="1446" w:left="1538" w:header="0" w:footer="1284" w:gutter="0"/>
          <w:cols w:space="720" w:num="1"/>
        </w:sectPr>
      </w:pPr>
    </w:p>
    <w:p w14:paraId="453E6078">
      <w:pPr>
        <w:spacing w:line="246" w:lineRule="auto"/>
        <w:rPr>
          <w:rFonts w:ascii="Arial"/>
          <w:sz w:val="21"/>
        </w:rPr>
      </w:pPr>
    </w:p>
    <w:p w14:paraId="102E50B2">
      <w:pPr>
        <w:spacing w:line="246" w:lineRule="auto"/>
        <w:rPr>
          <w:rFonts w:ascii="Arial"/>
          <w:sz w:val="21"/>
        </w:rPr>
      </w:pPr>
    </w:p>
    <w:p w14:paraId="44B2BD2D">
      <w:pPr>
        <w:spacing w:line="246" w:lineRule="auto"/>
        <w:rPr>
          <w:rFonts w:ascii="Arial"/>
          <w:sz w:val="21"/>
        </w:rPr>
      </w:pPr>
    </w:p>
    <w:p w14:paraId="59EEAACC">
      <w:pPr>
        <w:spacing w:line="246" w:lineRule="auto"/>
        <w:rPr>
          <w:rFonts w:ascii="Arial"/>
          <w:sz w:val="21"/>
        </w:rPr>
      </w:pPr>
    </w:p>
    <w:p w14:paraId="3D84EF5A">
      <w:pPr>
        <w:spacing w:line="246" w:lineRule="auto"/>
        <w:rPr>
          <w:rFonts w:ascii="Arial"/>
          <w:sz w:val="21"/>
        </w:rPr>
      </w:pPr>
    </w:p>
    <w:p w14:paraId="5D8875FE">
      <w:pPr>
        <w:spacing w:line="247" w:lineRule="auto"/>
        <w:rPr>
          <w:rFonts w:ascii="Arial"/>
          <w:sz w:val="21"/>
        </w:rPr>
      </w:pPr>
    </w:p>
    <w:p w14:paraId="1CEBA789">
      <w:pPr>
        <w:spacing w:before="65" w:line="346" w:lineRule="auto"/>
        <w:ind w:left="4" w:right="28" w:firstLine="428"/>
        <w:jc w:val="both"/>
        <w:rPr>
          <w:rFonts w:ascii="宋体" w:hAnsi="宋体" w:eastAsia="宋体" w:cs="宋体"/>
          <w:sz w:val="20"/>
          <w:szCs w:val="20"/>
        </w:rPr>
      </w:pPr>
      <w:r>
        <w:rPr>
          <w:rFonts w:ascii="宋体" w:hAnsi="宋体" w:eastAsia="宋体" w:cs="宋体"/>
          <w:spacing w:val="10"/>
          <w:sz w:val="20"/>
          <w:szCs w:val="20"/>
        </w:rPr>
        <w:t>除专用合同条款另有约定外，发包人变更除工伤保险之外的保险合同时，应事先征得承包人同意，并通知监理人；承包人变更除工伤保险之外的保险合同时，应事先征得发包人同意，并通</w:t>
      </w:r>
      <w:r>
        <w:rPr>
          <w:rFonts w:ascii="宋体" w:hAnsi="宋体" w:eastAsia="宋体" w:cs="宋体"/>
          <w:spacing w:val="5"/>
          <w:sz w:val="20"/>
          <w:szCs w:val="20"/>
        </w:rPr>
        <w:t>知监理人。</w:t>
      </w:r>
    </w:p>
    <w:p w14:paraId="40796612">
      <w:pPr>
        <w:spacing w:line="347" w:lineRule="auto"/>
        <w:ind w:right="28" w:firstLine="420"/>
        <w:rPr>
          <w:rFonts w:ascii="宋体" w:hAnsi="宋体" w:eastAsia="宋体" w:cs="宋体"/>
          <w:sz w:val="20"/>
          <w:szCs w:val="20"/>
        </w:rPr>
      </w:pPr>
      <w:r>
        <w:rPr>
          <w:rFonts w:ascii="宋体" w:hAnsi="宋体" w:eastAsia="宋体" w:cs="宋体"/>
          <w:spacing w:val="10"/>
          <w:sz w:val="20"/>
          <w:szCs w:val="20"/>
        </w:rPr>
        <w:t>保险事故发生时，投保人应按照保险合同规定的条件和期限及时向保险人报告。发包人和承</w:t>
      </w:r>
      <w:r>
        <w:rPr>
          <w:rFonts w:ascii="宋体" w:hAnsi="宋体" w:eastAsia="宋体" w:cs="宋体"/>
          <w:spacing w:val="9"/>
          <w:sz w:val="20"/>
          <w:szCs w:val="20"/>
        </w:rPr>
        <w:t>包人应当在知道保险事故发生后及时通知对方。</w:t>
      </w:r>
    </w:p>
    <w:p w14:paraId="5507AD97">
      <w:pPr>
        <w:spacing w:line="303" w:lineRule="auto"/>
        <w:rPr>
          <w:rFonts w:ascii="Arial"/>
          <w:sz w:val="21"/>
        </w:rPr>
      </w:pPr>
    </w:p>
    <w:p w14:paraId="31BF3F50">
      <w:pPr>
        <w:spacing w:before="65" w:line="228" w:lineRule="auto"/>
        <w:ind w:left="435"/>
        <w:outlineLvl w:val="2"/>
        <w:rPr>
          <w:rFonts w:ascii="宋体" w:hAnsi="宋体" w:eastAsia="宋体" w:cs="宋体"/>
          <w:sz w:val="20"/>
          <w:szCs w:val="20"/>
        </w:rPr>
      </w:pPr>
      <w:bookmarkStart w:id="324" w:name="bookmark307"/>
      <w:bookmarkEnd w:id="324"/>
      <w:r>
        <w:rPr>
          <w:rFonts w:ascii="宋体" w:hAnsi="宋体" w:eastAsia="宋体" w:cs="宋体"/>
          <w:b/>
          <w:bCs/>
          <w:spacing w:val="-2"/>
          <w:sz w:val="20"/>
          <w:szCs w:val="20"/>
        </w:rPr>
        <w:t>19.</w:t>
      </w:r>
      <w:r>
        <w:rPr>
          <w:rFonts w:ascii="宋体" w:hAnsi="宋体" w:eastAsia="宋体" w:cs="宋体"/>
          <w:spacing w:val="17"/>
          <w:sz w:val="20"/>
          <w:szCs w:val="20"/>
        </w:rPr>
        <w:t xml:space="preserve"> </w:t>
      </w:r>
      <w:r>
        <w:rPr>
          <w:rFonts w:ascii="宋体" w:hAnsi="宋体" w:eastAsia="宋体" w:cs="宋体"/>
          <w:b/>
          <w:bCs/>
          <w:spacing w:val="-2"/>
          <w:sz w:val="20"/>
          <w:szCs w:val="20"/>
        </w:rPr>
        <w:t>索赔</w:t>
      </w:r>
    </w:p>
    <w:p w14:paraId="1480B6F5">
      <w:pPr>
        <w:spacing w:before="127" w:line="228" w:lineRule="auto"/>
        <w:ind w:left="435"/>
        <w:rPr>
          <w:rFonts w:ascii="宋体" w:hAnsi="宋体" w:eastAsia="宋体" w:cs="宋体"/>
          <w:sz w:val="20"/>
          <w:szCs w:val="20"/>
        </w:rPr>
      </w:pPr>
      <w:r>
        <w:rPr>
          <w:rFonts w:ascii="宋体" w:hAnsi="宋体" w:eastAsia="宋体" w:cs="宋体"/>
          <w:b/>
          <w:bCs/>
          <w:spacing w:val="4"/>
          <w:sz w:val="20"/>
          <w:szCs w:val="20"/>
        </w:rPr>
        <w:t>19.1</w:t>
      </w:r>
      <w:r>
        <w:rPr>
          <w:rFonts w:ascii="宋体" w:hAnsi="宋体" w:eastAsia="宋体" w:cs="宋体"/>
          <w:spacing w:val="4"/>
          <w:sz w:val="20"/>
          <w:szCs w:val="20"/>
        </w:rPr>
        <w:t xml:space="preserve"> </w:t>
      </w:r>
      <w:r>
        <w:rPr>
          <w:rFonts w:ascii="宋体" w:hAnsi="宋体" w:eastAsia="宋体" w:cs="宋体"/>
          <w:b/>
          <w:bCs/>
          <w:spacing w:val="4"/>
          <w:sz w:val="20"/>
          <w:szCs w:val="20"/>
        </w:rPr>
        <w:t>承包人的索赔</w:t>
      </w:r>
    </w:p>
    <w:p w14:paraId="25176378">
      <w:pPr>
        <w:spacing w:before="127" w:line="228" w:lineRule="auto"/>
        <w:ind w:left="435"/>
        <w:rPr>
          <w:rFonts w:ascii="宋体" w:hAnsi="宋体" w:eastAsia="宋体" w:cs="宋体"/>
          <w:sz w:val="20"/>
          <w:szCs w:val="20"/>
        </w:rPr>
      </w:pPr>
      <w:r>
        <w:rPr>
          <w:rFonts w:ascii="宋体" w:hAnsi="宋体" w:eastAsia="宋体" w:cs="宋体"/>
          <w:b/>
          <w:bCs/>
          <w:spacing w:val="4"/>
          <w:sz w:val="20"/>
          <w:szCs w:val="20"/>
        </w:rPr>
        <w:t>19.1.1</w:t>
      </w:r>
      <w:r>
        <w:rPr>
          <w:rFonts w:ascii="宋体" w:hAnsi="宋体" w:eastAsia="宋体" w:cs="宋体"/>
          <w:spacing w:val="4"/>
          <w:sz w:val="20"/>
          <w:szCs w:val="20"/>
        </w:rPr>
        <w:t xml:space="preserve"> </w:t>
      </w:r>
      <w:r>
        <w:rPr>
          <w:rFonts w:ascii="宋体" w:hAnsi="宋体" w:eastAsia="宋体" w:cs="宋体"/>
          <w:b/>
          <w:bCs/>
          <w:spacing w:val="4"/>
          <w:sz w:val="20"/>
          <w:szCs w:val="20"/>
        </w:rPr>
        <w:t>承包人索赔范围</w:t>
      </w:r>
    </w:p>
    <w:p w14:paraId="0F5A8E94">
      <w:pPr>
        <w:spacing w:before="127" w:line="227" w:lineRule="auto"/>
        <w:ind w:left="430"/>
        <w:rPr>
          <w:rFonts w:ascii="宋体" w:hAnsi="宋体" w:eastAsia="宋体" w:cs="宋体"/>
          <w:sz w:val="20"/>
          <w:szCs w:val="20"/>
        </w:rPr>
      </w:pPr>
      <w:r>
        <w:rPr>
          <w:rFonts w:ascii="宋体" w:hAnsi="宋体" w:eastAsia="宋体" w:cs="宋体"/>
          <w:spacing w:val="9"/>
          <w:sz w:val="20"/>
          <w:szCs w:val="20"/>
        </w:rPr>
        <w:t>（1）发包人未按合同约定提供图纸或所提供</w:t>
      </w:r>
      <w:r>
        <w:rPr>
          <w:rFonts w:ascii="宋体" w:hAnsi="宋体" w:eastAsia="宋体" w:cs="宋体"/>
          <w:spacing w:val="8"/>
          <w:sz w:val="20"/>
          <w:szCs w:val="20"/>
        </w:rPr>
        <w:t>图纸不符合约定的；</w:t>
      </w:r>
    </w:p>
    <w:p w14:paraId="70A4C621">
      <w:pPr>
        <w:spacing w:before="129" w:line="227" w:lineRule="auto"/>
        <w:jc w:val="right"/>
        <w:rPr>
          <w:rFonts w:ascii="宋体" w:hAnsi="宋体" w:eastAsia="宋体" w:cs="宋体"/>
          <w:sz w:val="20"/>
          <w:szCs w:val="20"/>
        </w:rPr>
      </w:pPr>
      <w:r>
        <w:rPr>
          <w:rFonts w:ascii="宋体" w:hAnsi="宋体" w:eastAsia="宋体" w:cs="宋体"/>
          <w:spacing w:val="8"/>
          <w:sz w:val="20"/>
          <w:szCs w:val="20"/>
        </w:rPr>
        <w:t>（2）发包人未按合同约定提供施工现场、施工条件、基础资料、许可、批准等开工条件的；</w:t>
      </w:r>
    </w:p>
    <w:p w14:paraId="70A938DB">
      <w:pPr>
        <w:spacing w:before="128" w:line="227" w:lineRule="auto"/>
        <w:ind w:left="430"/>
        <w:rPr>
          <w:rFonts w:ascii="宋体" w:hAnsi="宋体" w:eastAsia="宋体" w:cs="宋体"/>
          <w:sz w:val="20"/>
          <w:szCs w:val="20"/>
        </w:rPr>
      </w:pPr>
      <w:r>
        <w:rPr>
          <w:rFonts w:ascii="宋体" w:hAnsi="宋体" w:eastAsia="宋体" w:cs="宋体"/>
          <w:spacing w:val="9"/>
          <w:sz w:val="20"/>
          <w:szCs w:val="20"/>
        </w:rPr>
        <w:t>（3）发包人提供的测量基准点、基准线和水准点及其书面资料存在错误或疏漏的；</w:t>
      </w:r>
    </w:p>
    <w:p w14:paraId="3CB937FC">
      <w:pPr>
        <w:spacing w:before="129" w:line="228" w:lineRule="auto"/>
        <w:ind w:left="430"/>
        <w:rPr>
          <w:rFonts w:ascii="宋体" w:hAnsi="宋体" w:eastAsia="宋体" w:cs="宋体"/>
          <w:sz w:val="20"/>
          <w:szCs w:val="20"/>
        </w:rPr>
      </w:pPr>
      <w:r>
        <w:rPr>
          <w:rFonts w:ascii="宋体" w:hAnsi="宋体" w:eastAsia="宋体" w:cs="宋体"/>
          <w:spacing w:val="7"/>
          <w:sz w:val="20"/>
          <w:szCs w:val="20"/>
        </w:rPr>
        <w:t>（4）发包人未能在计划开工日期之日起</w:t>
      </w:r>
      <w:r>
        <w:rPr>
          <w:rFonts w:ascii="宋体" w:hAnsi="宋体" w:eastAsia="宋体" w:cs="宋体"/>
          <w:spacing w:val="-14"/>
          <w:sz w:val="20"/>
          <w:szCs w:val="20"/>
        </w:rPr>
        <w:t xml:space="preserve"> </w:t>
      </w:r>
      <w:r>
        <w:rPr>
          <w:rFonts w:ascii="宋体" w:hAnsi="宋体" w:eastAsia="宋体" w:cs="宋体"/>
          <w:spacing w:val="7"/>
          <w:sz w:val="20"/>
          <w:szCs w:val="20"/>
        </w:rPr>
        <w:t>7</w:t>
      </w:r>
      <w:r>
        <w:rPr>
          <w:rFonts w:ascii="宋体" w:hAnsi="宋体" w:eastAsia="宋体" w:cs="宋体"/>
          <w:spacing w:val="-34"/>
          <w:sz w:val="20"/>
          <w:szCs w:val="20"/>
        </w:rPr>
        <w:t xml:space="preserve"> </w:t>
      </w:r>
      <w:r>
        <w:rPr>
          <w:rFonts w:ascii="宋体" w:hAnsi="宋体" w:eastAsia="宋体" w:cs="宋体"/>
          <w:spacing w:val="7"/>
          <w:sz w:val="20"/>
          <w:szCs w:val="20"/>
        </w:rPr>
        <w:t>天内下达开工通知的；</w:t>
      </w:r>
    </w:p>
    <w:p w14:paraId="1255E6E2">
      <w:pPr>
        <w:spacing w:before="127" w:line="228" w:lineRule="auto"/>
        <w:ind w:left="430"/>
        <w:rPr>
          <w:rFonts w:ascii="宋体" w:hAnsi="宋体" w:eastAsia="宋体" w:cs="宋体"/>
          <w:sz w:val="20"/>
          <w:szCs w:val="20"/>
        </w:rPr>
      </w:pPr>
      <w:r>
        <w:rPr>
          <w:rFonts w:ascii="宋体" w:hAnsi="宋体" w:eastAsia="宋体" w:cs="宋体"/>
          <w:spacing w:val="9"/>
          <w:sz w:val="20"/>
          <w:szCs w:val="20"/>
        </w:rPr>
        <w:t>（5）发包人未按合同约定日期支付工程预付款、进度款或竣工</w:t>
      </w:r>
      <w:r>
        <w:rPr>
          <w:rFonts w:ascii="宋体" w:hAnsi="宋体" w:eastAsia="宋体" w:cs="宋体"/>
          <w:spacing w:val="8"/>
          <w:sz w:val="20"/>
          <w:szCs w:val="20"/>
        </w:rPr>
        <w:t>结算款的；</w:t>
      </w:r>
    </w:p>
    <w:p w14:paraId="2A72C7F7">
      <w:pPr>
        <w:spacing w:before="127" w:line="346" w:lineRule="auto"/>
        <w:ind w:left="18" w:right="28" w:firstLine="411"/>
        <w:rPr>
          <w:rFonts w:ascii="宋体" w:hAnsi="宋体" w:eastAsia="宋体" w:cs="宋体"/>
          <w:sz w:val="20"/>
          <w:szCs w:val="20"/>
        </w:rPr>
      </w:pPr>
      <w:r>
        <w:rPr>
          <w:rFonts w:ascii="宋体" w:hAnsi="宋体" w:eastAsia="宋体" w:cs="宋体"/>
          <w:spacing w:val="7"/>
          <w:sz w:val="20"/>
          <w:szCs w:val="20"/>
        </w:rPr>
        <w:t>（6）发包人提供的招标工程量清单不准确、不完整，存在清单缺项；工程量偏差超过合理范</w:t>
      </w:r>
      <w:r>
        <w:rPr>
          <w:rFonts w:ascii="宋体" w:hAnsi="宋体" w:eastAsia="宋体" w:cs="宋体"/>
          <w:spacing w:val="8"/>
          <w:sz w:val="20"/>
          <w:szCs w:val="20"/>
        </w:rPr>
        <w:t>围引起单价调整；或项目特征描述不符，影响投标人正确报价的；</w:t>
      </w:r>
    </w:p>
    <w:p w14:paraId="207DBA5A">
      <w:pPr>
        <w:spacing w:line="228" w:lineRule="auto"/>
        <w:ind w:left="430"/>
        <w:rPr>
          <w:rFonts w:ascii="宋体" w:hAnsi="宋体" w:eastAsia="宋体" w:cs="宋体"/>
          <w:sz w:val="20"/>
          <w:szCs w:val="20"/>
        </w:rPr>
      </w:pPr>
      <w:r>
        <w:rPr>
          <w:rFonts w:ascii="宋体" w:hAnsi="宋体" w:eastAsia="宋体" w:cs="宋体"/>
          <w:spacing w:val="7"/>
          <w:sz w:val="20"/>
          <w:szCs w:val="20"/>
        </w:rPr>
        <w:t>（7）应发包人要求赶工增加的费用；</w:t>
      </w:r>
    </w:p>
    <w:p w14:paraId="07E661FA">
      <w:pPr>
        <w:spacing w:before="127" w:line="228" w:lineRule="auto"/>
        <w:ind w:left="430"/>
        <w:rPr>
          <w:rFonts w:ascii="宋体" w:hAnsi="宋体" w:eastAsia="宋体" w:cs="宋体"/>
          <w:sz w:val="20"/>
          <w:szCs w:val="20"/>
        </w:rPr>
      </w:pPr>
      <w:r>
        <w:rPr>
          <w:rFonts w:ascii="宋体" w:hAnsi="宋体" w:eastAsia="宋体" w:cs="宋体"/>
          <w:spacing w:val="9"/>
          <w:sz w:val="20"/>
          <w:szCs w:val="20"/>
        </w:rPr>
        <w:t>（8）因不可抗力或情势变更、及遇到不利</w:t>
      </w:r>
      <w:r>
        <w:rPr>
          <w:rFonts w:ascii="宋体" w:hAnsi="宋体" w:eastAsia="宋体" w:cs="宋体"/>
          <w:spacing w:val="8"/>
          <w:sz w:val="20"/>
          <w:szCs w:val="20"/>
        </w:rPr>
        <w:t>物质条件相关情形；</w:t>
      </w:r>
    </w:p>
    <w:p w14:paraId="718E5F36">
      <w:pPr>
        <w:spacing w:before="128" w:line="227" w:lineRule="auto"/>
        <w:jc w:val="right"/>
        <w:rPr>
          <w:rFonts w:ascii="宋体" w:hAnsi="宋体" w:eastAsia="宋体" w:cs="宋体"/>
          <w:sz w:val="20"/>
          <w:szCs w:val="20"/>
        </w:rPr>
      </w:pPr>
      <w:r>
        <w:rPr>
          <w:rFonts w:ascii="宋体" w:hAnsi="宋体" w:eastAsia="宋体" w:cs="宋体"/>
          <w:spacing w:val="8"/>
          <w:sz w:val="20"/>
          <w:szCs w:val="20"/>
        </w:rPr>
        <w:t>（9）发包人未按期提供甲供材或发包人直接分包的工程工期延误等影响承包人正常施工的；</w:t>
      </w:r>
    </w:p>
    <w:p w14:paraId="742FCE87">
      <w:pPr>
        <w:spacing w:before="128" w:line="228" w:lineRule="auto"/>
        <w:ind w:left="430"/>
        <w:rPr>
          <w:rFonts w:ascii="宋体" w:hAnsi="宋体" w:eastAsia="宋体" w:cs="宋体"/>
          <w:sz w:val="20"/>
          <w:szCs w:val="20"/>
        </w:rPr>
      </w:pPr>
      <w:r>
        <w:rPr>
          <w:rFonts w:ascii="宋体" w:hAnsi="宋体" w:eastAsia="宋体" w:cs="宋体"/>
          <w:spacing w:val="7"/>
          <w:sz w:val="20"/>
          <w:szCs w:val="20"/>
        </w:rPr>
        <w:t>（10）专用条款约定的其他情形。</w:t>
      </w:r>
    </w:p>
    <w:p w14:paraId="37B86D6A">
      <w:pPr>
        <w:spacing w:before="127" w:line="228" w:lineRule="auto"/>
        <w:ind w:left="435"/>
        <w:rPr>
          <w:rFonts w:ascii="宋体" w:hAnsi="宋体" w:eastAsia="宋体" w:cs="宋体"/>
          <w:sz w:val="20"/>
          <w:szCs w:val="20"/>
        </w:rPr>
      </w:pPr>
      <w:r>
        <w:rPr>
          <w:rFonts w:ascii="宋体" w:hAnsi="宋体" w:eastAsia="宋体" w:cs="宋体"/>
          <w:b/>
          <w:bCs/>
          <w:spacing w:val="2"/>
          <w:sz w:val="20"/>
          <w:szCs w:val="20"/>
        </w:rPr>
        <w:t>19.1.2</w:t>
      </w:r>
      <w:r>
        <w:rPr>
          <w:rFonts w:ascii="宋体" w:hAnsi="宋体" w:eastAsia="宋体" w:cs="宋体"/>
          <w:spacing w:val="16"/>
          <w:sz w:val="20"/>
          <w:szCs w:val="20"/>
        </w:rPr>
        <w:t xml:space="preserve"> </w:t>
      </w:r>
      <w:r>
        <w:rPr>
          <w:rFonts w:ascii="宋体" w:hAnsi="宋体" w:eastAsia="宋体" w:cs="宋体"/>
          <w:b/>
          <w:bCs/>
          <w:spacing w:val="2"/>
          <w:sz w:val="20"/>
          <w:szCs w:val="20"/>
        </w:rPr>
        <w:t>索赔内容</w:t>
      </w:r>
    </w:p>
    <w:p w14:paraId="26790D4F">
      <w:pPr>
        <w:spacing w:before="128" w:line="227" w:lineRule="auto"/>
        <w:ind w:left="420"/>
        <w:rPr>
          <w:rFonts w:ascii="宋体" w:hAnsi="宋体" w:eastAsia="宋体" w:cs="宋体"/>
          <w:sz w:val="20"/>
          <w:szCs w:val="20"/>
        </w:rPr>
      </w:pPr>
      <w:r>
        <w:rPr>
          <w:rFonts w:ascii="宋体" w:hAnsi="宋体" w:eastAsia="宋体" w:cs="宋体"/>
          <w:spacing w:val="9"/>
          <w:sz w:val="20"/>
          <w:szCs w:val="20"/>
        </w:rPr>
        <w:t>承包人提出索赔时，可选择下列一项或几项方式获得赔偿：</w:t>
      </w:r>
    </w:p>
    <w:p w14:paraId="2B13E7BD">
      <w:pPr>
        <w:spacing w:before="129" w:line="228" w:lineRule="auto"/>
        <w:ind w:left="430"/>
        <w:rPr>
          <w:rFonts w:ascii="宋体" w:hAnsi="宋体" w:eastAsia="宋体" w:cs="宋体"/>
          <w:sz w:val="20"/>
          <w:szCs w:val="20"/>
        </w:rPr>
      </w:pPr>
      <w:r>
        <w:rPr>
          <w:rFonts w:ascii="宋体" w:hAnsi="宋体" w:eastAsia="宋体" w:cs="宋体"/>
          <w:spacing w:val="5"/>
          <w:sz w:val="20"/>
          <w:szCs w:val="20"/>
        </w:rPr>
        <w:t>（1）延长工期；</w:t>
      </w:r>
    </w:p>
    <w:p w14:paraId="2AF33D97">
      <w:pPr>
        <w:spacing w:before="126" w:line="228" w:lineRule="auto"/>
        <w:ind w:left="430"/>
        <w:rPr>
          <w:rFonts w:ascii="宋体" w:hAnsi="宋体" w:eastAsia="宋体" w:cs="宋体"/>
          <w:sz w:val="20"/>
          <w:szCs w:val="20"/>
        </w:rPr>
      </w:pPr>
      <w:r>
        <w:rPr>
          <w:rFonts w:ascii="宋体" w:hAnsi="宋体" w:eastAsia="宋体" w:cs="宋体"/>
          <w:spacing w:val="8"/>
          <w:sz w:val="20"/>
          <w:szCs w:val="20"/>
        </w:rPr>
        <w:t>（2）要求发包人支付实际发生的额外费用；</w:t>
      </w:r>
    </w:p>
    <w:p w14:paraId="284CC293">
      <w:pPr>
        <w:spacing w:before="128" w:line="228" w:lineRule="auto"/>
        <w:ind w:left="430"/>
        <w:rPr>
          <w:rFonts w:ascii="宋体" w:hAnsi="宋体" w:eastAsia="宋体" w:cs="宋体"/>
          <w:sz w:val="20"/>
          <w:szCs w:val="20"/>
        </w:rPr>
      </w:pPr>
      <w:r>
        <w:rPr>
          <w:rFonts w:ascii="宋体" w:hAnsi="宋体" w:eastAsia="宋体" w:cs="宋体"/>
          <w:spacing w:val="8"/>
          <w:sz w:val="20"/>
          <w:szCs w:val="20"/>
        </w:rPr>
        <w:t>（3）要求发包人支付合同约定的违约金；</w:t>
      </w:r>
    </w:p>
    <w:p w14:paraId="0F51A7D5">
      <w:pPr>
        <w:spacing w:before="127" w:line="228" w:lineRule="auto"/>
        <w:ind w:left="430"/>
        <w:rPr>
          <w:rFonts w:ascii="宋体" w:hAnsi="宋体" w:eastAsia="宋体" w:cs="宋体"/>
          <w:sz w:val="20"/>
          <w:szCs w:val="20"/>
        </w:rPr>
      </w:pPr>
      <w:r>
        <w:rPr>
          <w:rFonts w:ascii="宋体" w:hAnsi="宋体" w:eastAsia="宋体" w:cs="宋体"/>
          <w:spacing w:val="8"/>
          <w:sz w:val="20"/>
          <w:szCs w:val="20"/>
        </w:rPr>
        <w:t>（4）要求发包人支付合理的预期利润。</w:t>
      </w:r>
    </w:p>
    <w:p w14:paraId="1664ABDD">
      <w:pPr>
        <w:spacing w:before="128" w:line="228" w:lineRule="auto"/>
        <w:ind w:left="435"/>
        <w:rPr>
          <w:rFonts w:ascii="宋体" w:hAnsi="宋体" w:eastAsia="宋体" w:cs="宋体"/>
          <w:sz w:val="20"/>
          <w:szCs w:val="20"/>
        </w:rPr>
      </w:pPr>
      <w:r>
        <w:rPr>
          <w:rFonts w:ascii="宋体" w:hAnsi="宋体" w:eastAsia="宋体" w:cs="宋体"/>
          <w:b/>
          <w:bCs/>
          <w:spacing w:val="4"/>
          <w:sz w:val="20"/>
          <w:szCs w:val="20"/>
        </w:rPr>
        <w:t>19.1.3</w:t>
      </w:r>
      <w:r>
        <w:rPr>
          <w:rFonts w:ascii="宋体" w:hAnsi="宋体" w:eastAsia="宋体" w:cs="宋体"/>
          <w:spacing w:val="4"/>
          <w:sz w:val="20"/>
          <w:szCs w:val="20"/>
        </w:rPr>
        <w:t xml:space="preserve"> </w:t>
      </w:r>
      <w:r>
        <w:rPr>
          <w:rFonts w:ascii="宋体" w:hAnsi="宋体" w:eastAsia="宋体" w:cs="宋体"/>
          <w:b/>
          <w:bCs/>
          <w:spacing w:val="4"/>
          <w:sz w:val="20"/>
          <w:szCs w:val="20"/>
        </w:rPr>
        <w:t>承包人索赔程序</w:t>
      </w:r>
    </w:p>
    <w:p w14:paraId="44DE0426">
      <w:pPr>
        <w:spacing w:before="127" w:line="346" w:lineRule="auto"/>
        <w:ind w:right="28" w:firstLine="419"/>
        <w:rPr>
          <w:rFonts w:ascii="宋体" w:hAnsi="宋体" w:eastAsia="宋体" w:cs="宋体"/>
          <w:sz w:val="20"/>
          <w:szCs w:val="20"/>
        </w:rPr>
      </w:pPr>
      <w:r>
        <w:rPr>
          <w:rFonts w:ascii="宋体" w:hAnsi="宋体" w:eastAsia="宋体" w:cs="宋体"/>
          <w:spacing w:val="10"/>
          <w:sz w:val="20"/>
          <w:szCs w:val="20"/>
        </w:rPr>
        <w:t>根据合同约定，承包人认为有权得到追加付款和（或）延长工期的，应按以下程序向发包人</w:t>
      </w:r>
      <w:r>
        <w:rPr>
          <w:rFonts w:ascii="宋体" w:hAnsi="宋体" w:eastAsia="宋体" w:cs="宋体"/>
          <w:spacing w:val="5"/>
          <w:sz w:val="20"/>
          <w:szCs w:val="20"/>
        </w:rPr>
        <w:t>提出索赔：</w:t>
      </w:r>
    </w:p>
    <w:p w14:paraId="2AC8FDFC">
      <w:pPr>
        <w:spacing w:before="1" w:line="345" w:lineRule="auto"/>
        <w:ind w:right="28" w:firstLine="429"/>
        <w:rPr>
          <w:rFonts w:ascii="宋体" w:hAnsi="宋体" w:eastAsia="宋体" w:cs="宋体"/>
          <w:sz w:val="20"/>
          <w:szCs w:val="20"/>
        </w:rPr>
      </w:pPr>
      <w:r>
        <w:rPr>
          <w:rFonts w:ascii="宋体" w:hAnsi="宋体" w:eastAsia="宋体" w:cs="宋体"/>
          <w:spacing w:val="9"/>
          <w:sz w:val="20"/>
          <w:szCs w:val="20"/>
        </w:rPr>
        <w:t>（1）承包人应在知道或应当知道索赔事件发生后</w:t>
      </w:r>
      <w:r>
        <w:rPr>
          <w:rFonts w:ascii="宋体" w:hAnsi="宋体" w:eastAsia="宋体" w:cs="宋体"/>
          <w:spacing w:val="-31"/>
          <w:sz w:val="20"/>
          <w:szCs w:val="20"/>
        </w:rPr>
        <w:t xml:space="preserve"> </w:t>
      </w:r>
      <w:r>
        <w:rPr>
          <w:rFonts w:ascii="宋体" w:hAnsi="宋体" w:eastAsia="宋体" w:cs="宋体"/>
          <w:spacing w:val="9"/>
          <w:sz w:val="20"/>
          <w:szCs w:val="20"/>
        </w:rPr>
        <w:t>28</w:t>
      </w:r>
      <w:r>
        <w:rPr>
          <w:rFonts w:ascii="宋体" w:hAnsi="宋体" w:eastAsia="宋体" w:cs="宋体"/>
          <w:spacing w:val="-36"/>
          <w:sz w:val="20"/>
          <w:szCs w:val="20"/>
        </w:rPr>
        <w:t xml:space="preserve"> </w:t>
      </w:r>
      <w:r>
        <w:rPr>
          <w:rFonts w:ascii="宋体" w:hAnsi="宋体" w:eastAsia="宋体" w:cs="宋体"/>
          <w:spacing w:val="9"/>
          <w:sz w:val="20"/>
          <w:szCs w:val="20"/>
        </w:rPr>
        <w:t>天内，向监理人递交索赔意向通知书，</w:t>
      </w:r>
      <w:r>
        <w:rPr>
          <w:rFonts w:ascii="宋体" w:hAnsi="宋体" w:eastAsia="宋体" w:cs="宋体"/>
          <w:spacing w:val="7"/>
          <w:sz w:val="20"/>
          <w:szCs w:val="20"/>
        </w:rPr>
        <w:t>并说明发生索赔事件的事由；承包人未在前述</w:t>
      </w:r>
      <w:r>
        <w:rPr>
          <w:rFonts w:ascii="宋体" w:hAnsi="宋体" w:eastAsia="宋体" w:cs="宋体"/>
          <w:spacing w:val="-34"/>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天内发出索赔意向通知书的，丧失要求追加付款</w:t>
      </w:r>
      <w:r>
        <w:rPr>
          <w:rFonts w:ascii="宋体" w:hAnsi="宋体" w:eastAsia="宋体" w:cs="宋体"/>
          <w:spacing w:val="9"/>
          <w:sz w:val="20"/>
          <w:szCs w:val="20"/>
        </w:rPr>
        <w:t>和（或）延长工期的权利，但承包人有合理抗辩理由的除外；</w:t>
      </w:r>
    </w:p>
    <w:p w14:paraId="313FEE97">
      <w:pPr>
        <w:spacing w:before="2" w:line="346" w:lineRule="auto"/>
        <w:ind w:left="2" w:right="28" w:firstLine="427"/>
        <w:rPr>
          <w:rFonts w:ascii="宋体" w:hAnsi="宋体" w:eastAsia="宋体" w:cs="宋体"/>
          <w:sz w:val="20"/>
          <w:szCs w:val="20"/>
        </w:rPr>
      </w:pPr>
      <w:r>
        <w:rPr>
          <w:rFonts w:ascii="宋体" w:hAnsi="宋体" w:eastAsia="宋体" w:cs="宋体"/>
          <w:spacing w:val="9"/>
          <w:sz w:val="20"/>
          <w:szCs w:val="20"/>
        </w:rPr>
        <w:t>（2）承包人应在发出索赔意向通知书后</w:t>
      </w:r>
      <w:r>
        <w:rPr>
          <w:rFonts w:ascii="宋体" w:hAnsi="宋体" w:eastAsia="宋体" w:cs="宋体"/>
          <w:spacing w:val="-33"/>
          <w:sz w:val="20"/>
          <w:szCs w:val="20"/>
        </w:rPr>
        <w:t xml:space="preserve"> </w:t>
      </w:r>
      <w:r>
        <w:rPr>
          <w:rFonts w:ascii="宋体" w:hAnsi="宋体" w:eastAsia="宋体" w:cs="宋体"/>
          <w:spacing w:val="9"/>
          <w:sz w:val="20"/>
          <w:szCs w:val="20"/>
        </w:rPr>
        <w:t>28</w:t>
      </w:r>
      <w:r>
        <w:rPr>
          <w:rFonts w:ascii="宋体" w:hAnsi="宋体" w:eastAsia="宋体" w:cs="宋体"/>
          <w:spacing w:val="-34"/>
          <w:sz w:val="20"/>
          <w:szCs w:val="20"/>
        </w:rPr>
        <w:t xml:space="preserve"> </w:t>
      </w:r>
      <w:r>
        <w:rPr>
          <w:rFonts w:ascii="宋体" w:hAnsi="宋体" w:eastAsia="宋体" w:cs="宋体"/>
          <w:spacing w:val="9"/>
          <w:sz w:val="20"/>
          <w:szCs w:val="20"/>
        </w:rPr>
        <w:t>天内，向监理人正式递交索赔报告；索赔报告应</w:t>
      </w:r>
      <w:r>
        <w:rPr>
          <w:rFonts w:ascii="宋体" w:hAnsi="宋体" w:eastAsia="宋体" w:cs="宋体"/>
          <w:spacing w:val="10"/>
          <w:sz w:val="20"/>
          <w:szCs w:val="20"/>
        </w:rPr>
        <w:t>详细说明索赔理由以及要求追加的付款金额</w:t>
      </w:r>
      <w:r>
        <w:rPr>
          <w:rFonts w:ascii="宋体" w:hAnsi="宋体" w:eastAsia="宋体" w:cs="宋体"/>
          <w:spacing w:val="9"/>
          <w:sz w:val="20"/>
          <w:szCs w:val="20"/>
        </w:rPr>
        <w:t>和（或）延长的工期，并附必要的记录和证明材料；</w:t>
      </w:r>
    </w:p>
    <w:p w14:paraId="59957084">
      <w:pPr>
        <w:spacing w:line="346" w:lineRule="auto"/>
        <w:rPr>
          <w:rFonts w:ascii="宋体" w:hAnsi="宋体" w:eastAsia="宋体" w:cs="宋体"/>
          <w:sz w:val="20"/>
          <w:szCs w:val="20"/>
        </w:rPr>
        <w:sectPr>
          <w:footerReference r:id="rId388" w:type="default"/>
          <w:pgSz w:w="11906" w:h="16839"/>
          <w:pgMar w:top="400" w:right="1504" w:bottom="1446" w:left="1539" w:header="0" w:footer="1284" w:gutter="0"/>
          <w:cols w:space="720" w:num="1"/>
        </w:sectPr>
      </w:pPr>
    </w:p>
    <w:p w14:paraId="49F0A8E7">
      <w:pPr>
        <w:spacing w:line="246" w:lineRule="auto"/>
        <w:rPr>
          <w:rFonts w:ascii="Arial"/>
          <w:sz w:val="21"/>
        </w:rPr>
      </w:pPr>
    </w:p>
    <w:p w14:paraId="74E92F9A">
      <w:pPr>
        <w:spacing w:line="246" w:lineRule="auto"/>
        <w:rPr>
          <w:rFonts w:ascii="Arial"/>
          <w:sz w:val="21"/>
        </w:rPr>
      </w:pPr>
    </w:p>
    <w:p w14:paraId="4E75666B">
      <w:pPr>
        <w:spacing w:line="246" w:lineRule="auto"/>
        <w:rPr>
          <w:rFonts w:ascii="Arial"/>
          <w:sz w:val="21"/>
        </w:rPr>
      </w:pPr>
    </w:p>
    <w:p w14:paraId="606D1A75">
      <w:pPr>
        <w:spacing w:line="246" w:lineRule="auto"/>
        <w:rPr>
          <w:rFonts w:ascii="Arial"/>
          <w:sz w:val="21"/>
        </w:rPr>
      </w:pPr>
    </w:p>
    <w:p w14:paraId="3A7884CA">
      <w:pPr>
        <w:spacing w:line="246" w:lineRule="auto"/>
        <w:rPr>
          <w:rFonts w:ascii="Arial"/>
          <w:sz w:val="21"/>
        </w:rPr>
      </w:pPr>
    </w:p>
    <w:p w14:paraId="26C34F5F">
      <w:pPr>
        <w:spacing w:line="247" w:lineRule="auto"/>
        <w:rPr>
          <w:rFonts w:ascii="Arial"/>
          <w:sz w:val="21"/>
        </w:rPr>
      </w:pPr>
    </w:p>
    <w:p w14:paraId="6958AC85">
      <w:pPr>
        <w:spacing w:before="65" w:line="346" w:lineRule="auto"/>
        <w:ind w:right="52" w:firstLine="430"/>
        <w:rPr>
          <w:rFonts w:ascii="宋体" w:hAnsi="宋体" w:eastAsia="宋体" w:cs="宋体"/>
          <w:sz w:val="20"/>
          <w:szCs w:val="20"/>
        </w:rPr>
      </w:pPr>
      <w:r>
        <w:rPr>
          <w:rFonts w:ascii="宋体" w:hAnsi="宋体" w:eastAsia="宋体" w:cs="宋体"/>
          <w:spacing w:val="7"/>
          <w:sz w:val="20"/>
          <w:szCs w:val="20"/>
        </w:rPr>
        <w:t>（3）索赔事件具有持续影响的，承包人应按合理时间间隔继续递交延续索赔通知，说明持续</w:t>
      </w:r>
      <w:r>
        <w:rPr>
          <w:rFonts w:ascii="宋体" w:hAnsi="宋体" w:eastAsia="宋体" w:cs="宋体"/>
          <w:spacing w:val="9"/>
          <w:sz w:val="20"/>
          <w:szCs w:val="20"/>
        </w:rPr>
        <w:t>影响的实际情况和记录，列出累计的追加付款金额和（或）工期延长天数；</w:t>
      </w:r>
    </w:p>
    <w:p w14:paraId="3599C00B">
      <w:pPr>
        <w:spacing w:before="1" w:line="345" w:lineRule="auto"/>
        <w:ind w:left="4" w:right="52" w:firstLine="425"/>
        <w:rPr>
          <w:rFonts w:ascii="宋体" w:hAnsi="宋体" w:eastAsia="宋体" w:cs="宋体"/>
          <w:sz w:val="20"/>
          <w:szCs w:val="20"/>
        </w:rPr>
      </w:pPr>
      <w:r>
        <w:rPr>
          <w:rFonts w:ascii="宋体" w:hAnsi="宋体" w:eastAsia="宋体" w:cs="宋体"/>
          <w:spacing w:val="9"/>
          <w:sz w:val="20"/>
          <w:szCs w:val="20"/>
        </w:rPr>
        <w:t>（4）在索赔事件影响结束后</w:t>
      </w:r>
      <w:r>
        <w:rPr>
          <w:rFonts w:ascii="宋体" w:hAnsi="宋体" w:eastAsia="宋体" w:cs="宋体"/>
          <w:spacing w:val="-31"/>
          <w:sz w:val="20"/>
          <w:szCs w:val="20"/>
        </w:rPr>
        <w:t xml:space="preserve"> </w:t>
      </w:r>
      <w:r>
        <w:rPr>
          <w:rFonts w:ascii="宋体" w:hAnsi="宋体" w:eastAsia="宋体" w:cs="宋体"/>
          <w:spacing w:val="9"/>
          <w:sz w:val="20"/>
          <w:szCs w:val="20"/>
        </w:rPr>
        <w:t>28</w:t>
      </w:r>
      <w:r>
        <w:rPr>
          <w:rFonts w:ascii="宋体" w:hAnsi="宋体" w:eastAsia="宋体" w:cs="宋体"/>
          <w:spacing w:val="-36"/>
          <w:sz w:val="20"/>
          <w:szCs w:val="20"/>
        </w:rPr>
        <w:t xml:space="preserve"> </w:t>
      </w:r>
      <w:r>
        <w:rPr>
          <w:rFonts w:ascii="宋体" w:hAnsi="宋体" w:eastAsia="宋体" w:cs="宋体"/>
          <w:spacing w:val="9"/>
          <w:sz w:val="20"/>
          <w:szCs w:val="20"/>
        </w:rPr>
        <w:t>天内，承包人应向监理人递交最终索赔报告，说明最终要求索赔的追加付款金额和（或）延长的工期，并附必要的记录和证明材料。</w:t>
      </w:r>
    </w:p>
    <w:p w14:paraId="5BD6201A">
      <w:pPr>
        <w:spacing w:line="227" w:lineRule="auto"/>
        <w:ind w:left="435"/>
        <w:rPr>
          <w:rFonts w:ascii="宋体" w:hAnsi="宋体" w:eastAsia="宋体" w:cs="宋体"/>
          <w:sz w:val="20"/>
          <w:szCs w:val="20"/>
        </w:rPr>
      </w:pPr>
      <w:r>
        <w:rPr>
          <w:rFonts w:ascii="宋体" w:hAnsi="宋体" w:eastAsia="宋体" w:cs="宋体"/>
          <w:b/>
          <w:bCs/>
          <w:spacing w:val="5"/>
          <w:sz w:val="20"/>
          <w:szCs w:val="20"/>
        </w:rPr>
        <w:t>19.1.4</w:t>
      </w:r>
      <w:r>
        <w:rPr>
          <w:rFonts w:ascii="宋体" w:hAnsi="宋体" w:eastAsia="宋体" w:cs="宋体"/>
          <w:spacing w:val="5"/>
          <w:sz w:val="20"/>
          <w:szCs w:val="20"/>
        </w:rPr>
        <w:t xml:space="preserve"> </w:t>
      </w:r>
      <w:r>
        <w:rPr>
          <w:rFonts w:ascii="宋体" w:hAnsi="宋体" w:eastAsia="宋体" w:cs="宋体"/>
          <w:b/>
          <w:bCs/>
          <w:spacing w:val="5"/>
          <w:sz w:val="20"/>
          <w:szCs w:val="20"/>
        </w:rPr>
        <w:t>对承包人索赔的处理</w:t>
      </w:r>
    </w:p>
    <w:p w14:paraId="40AFFD37">
      <w:pPr>
        <w:spacing w:before="127" w:line="228" w:lineRule="auto"/>
        <w:ind w:left="419"/>
        <w:rPr>
          <w:rFonts w:ascii="宋体" w:hAnsi="宋体" w:eastAsia="宋体" w:cs="宋体"/>
          <w:sz w:val="20"/>
          <w:szCs w:val="20"/>
        </w:rPr>
      </w:pPr>
      <w:r>
        <w:rPr>
          <w:rFonts w:ascii="宋体" w:hAnsi="宋体" w:eastAsia="宋体" w:cs="宋体"/>
          <w:spacing w:val="8"/>
          <w:sz w:val="20"/>
          <w:szCs w:val="20"/>
        </w:rPr>
        <w:t>对承包人索赔的处理如下：</w:t>
      </w:r>
    </w:p>
    <w:p w14:paraId="16F20959">
      <w:pPr>
        <w:spacing w:before="127" w:line="346" w:lineRule="auto"/>
        <w:ind w:left="1" w:right="52" w:firstLine="428"/>
        <w:rPr>
          <w:rFonts w:ascii="宋体" w:hAnsi="宋体" w:eastAsia="宋体" w:cs="宋体"/>
          <w:sz w:val="20"/>
          <w:szCs w:val="20"/>
        </w:rPr>
      </w:pPr>
      <w:r>
        <w:rPr>
          <w:rFonts w:ascii="宋体" w:hAnsi="宋体" w:eastAsia="宋体" w:cs="宋体"/>
          <w:spacing w:val="9"/>
          <w:sz w:val="20"/>
          <w:szCs w:val="20"/>
        </w:rPr>
        <w:t>（1）监理人应在收到索赔报告后</w:t>
      </w:r>
      <w:r>
        <w:rPr>
          <w:rFonts w:ascii="宋体" w:hAnsi="宋体" w:eastAsia="宋体" w:cs="宋体"/>
          <w:spacing w:val="-23"/>
          <w:sz w:val="20"/>
          <w:szCs w:val="20"/>
        </w:rPr>
        <w:t xml:space="preserve"> </w:t>
      </w:r>
      <w:r>
        <w:rPr>
          <w:rFonts w:ascii="宋体" w:hAnsi="宋体" w:eastAsia="宋体" w:cs="宋体"/>
          <w:spacing w:val="9"/>
          <w:sz w:val="20"/>
          <w:szCs w:val="20"/>
        </w:rPr>
        <w:t>14</w:t>
      </w:r>
      <w:r>
        <w:rPr>
          <w:rFonts w:ascii="宋体" w:hAnsi="宋体" w:eastAsia="宋体" w:cs="宋体"/>
          <w:spacing w:val="-34"/>
          <w:sz w:val="20"/>
          <w:szCs w:val="20"/>
        </w:rPr>
        <w:t xml:space="preserve"> </w:t>
      </w:r>
      <w:r>
        <w:rPr>
          <w:rFonts w:ascii="宋体" w:hAnsi="宋体" w:eastAsia="宋体" w:cs="宋体"/>
          <w:spacing w:val="9"/>
          <w:sz w:val="20"/>
          <w:szCs w:val="20"/>
        </w:rPr>
        <w:t>天内完成审查并报送发包人。监</w:t>
      </w:r>
      <w:r>
        <w:rPr>
          <w:rFonts w:ascii="宋体" w:hAnsi="宋体" w:eastAsia="宋体" w:cs="宋体"/>
          <w:spacing w:val="8"/>
          <w:sz w:val="20"/>
          <w:szCs w:val="20"/>
        </w:rPr>
        <w:t>理人对索赔报告存在异议的，有权要求承包人提交全部原始记录副本；</w:t>
      </w:r>
    </w:p>
    <w:p w14:paraId="6AB914E7">
      <w:pPr>
        <w:spacing w:before="1" w:line="345" w:lineRule="auto"/>
        <w:ind w:left="21" w:firstLine="408"/>
        <w:rPr>
          <w:rFonts w:ascii="宋体" w:hAnsi="宋体" w:eastAsia="宋体" w:cs="宋体"/>
          <w:sz w:val="20"/>
          <w:szCs w:val="20"/>
        </w:rPr>
      </w:pPr>
      <w:r>
        <w:rPr>
          <w:rFonts w:ascii="宋体" w:hAnsi="宋体" w:eastAsia="宋体" w:cs="宋体"/>
          <w:spacing w:val="9"/>
          <w:sz w:val="20"/>
          <w:szCs w:val="20"/>
        </w:rPr>
        <w:t>（2）发包人应在监理人收到索赔报告或有关索赔的进一步证明材料后的</w:t>
      </w:r>
      <w:r>
        <w:rPr>
          <w:rFonts w:ascii="宋体" w:hAnsi="宋体" w:eastAsia="宋体" w:cs="宋体"/>
          <w:spacing w:val="-31"/>
          <w:sz w:val="20"/>
          <w:szCs w:val="20"/>
        </w:rPr>
        <w:t xml:space="preserve"> </w:t>
      </w:r>
      <w:r>
        <w:rPr>
          <w:rFonts w:ascii="宋体" w:hAnsi="宋体" w:eastAsia="宋体" w:cs="宋体"/>
          <w:spacing w:val="9"/>
          <w:sz w:val="20"/>
          <w:szCs w:val="20"/>
        </w:rPr>
        <w:t>28</w:t>
      </w:r>
      <w:r>
        <w:rPr>
          <w:rFonts w:ascii="宋体" w:hAnsi="宋体" w:eastAsia="宋体" w:cs="宋体"/>
          <w:spacing w:val="-34"/>
          <w:sz w:val="20"/>
          <w:szCs w:val="20"/>
        </w:rPr>
        <w:t xml:space="preserve"> </w:t>
      </w:r>
      <w:r>
        <w:rPr>
          <w:rFonts w:ascii="宋体" w:hAnsi="宋体" w:eastAsia="宋体" w:cs="宋体"/>
          <w:spacing w:val="9"/>
          <w:sz w:val="20"/>
          <w:szCs w:val="20"/>
        </w:rPr>
        <w:t>天内，由监理人</w:t>
      </w:r>
      <w:r>
        <w:rPr>
          <w:rFonts w:ascii="宋体" w:hAnsi="宋体" w:eastAsia="宋体" w:cs="宋体"/>
          <w:spacing w:val="6"/>
          <w:sz w:val="20"/>
          <w:szCs w:val="20"/>
        </w:rPr>
        <w:t>向承包人出具经发包人签认的索赔处理结果。发包人逾期答复的，则视为认可承包人的索赔要求；</w:t>
      </w:r>
    </w:p>
    <w:p w14:paraId="0776F0D2">
      <w:pPr>
        <w:spacing w:before="1" w:line="345" w:lineRule="auto"/>
        <w:ind w:left="2" w:right="52" w:firstLine="427"/>
        <w:rPr>
          <w:rFonts w:ascii="宋体" w:hAnsi="宋体" w:eastAsia="宋体" w:cs="宋体"/>
          <w:sz w:val="20"/>
          <w:szCs w:val="20"/>
        </w:rPr>
      </w:pPr>
      <w:r>
        <w:rPr>
          <w:rFonts w:ascii="宋体" w:hAnsi="宋体" w:eastAsia="宋体" w:cs="宋体"/>
          <w:spacing w:val="7"/>
          <w:sz w:val="20"/>
          <w:szCs w:val="20"/>
        </w:rPr>
        <w:t>（3）承包人接受索赔处理结果的，索赔款项在当期进度款中进行支付；承包人不接受索赔处理结果的，按照第</w:t>
      </w:r>
      <w:r>
        <w:rPr>
          <w:rFonts w:ascii="宋体" w:hAnsi="宋体" w:eastAsia="宋体" w:cs="宋体"/>
          <w:spacing w:val="-24"/>
          <w:sz w:val="20"/>
          <w:szCs w:val="20"/>
        </w:rPr>
        <w:t xml:space="preserve"> </w:t>
      </w:r>
      <w:r>
        <w:rPr>
          <w:rFonts w:ascii="宋体" w:hAnsi="宋体" w:eastAsia="宋体" w:cs="宋体"/>
          <w:spacing w:val="7"/>
          <w:sz w:val="20"/>
          <w:szCs w:val="20"/>
        </w:rPr>
        <w:t>20</w:t>
      </w:r>
      <w:r>
        <w:rPr>
          <w:rFonts w:ascii="宋体" w:hAnsi="宋体" w:eastAsia="宋体" w:cs="宋体"/>
          <w:spacing w:val="-39"/>
          <w:sz w:val="20"/>
          <w:szCs w:val="20"/>
        </w:rPr>
        <w:t xml:space="preserve"> </w:t>
      </w:r>
      <w:r>
        <w:rPr>
          <w:rFonts w:ascii="宋体" w:hAnsi="宋体" w:eastAsia="宋体" w:cs="宋体"/>
          <w:spacing w:val="7"/>
          <w:sz w:val="20"/>
          <w:szCs w:val="20"/>
        </w:rPr>
        <w:t>条〔争议解决〕约定处理。</w:t>
      </w:r>
    </w:p>
    <w:p w14:paraId="2C79BB1B">
      <w:pPr>
        <w:spacing w:before="1" w:line="227" w:lineRule="auto"/>
        <w:ind w:left="435"/>
        <w:rPr>
          <w:rFonts w:ascii="宋体" w:hAnsi="宋体" w:eastAsia="宋体" w:cs="宋体"/>
          <w:sz w:val="20"/>
          <w:szCs w:val="20"/>
        </w:rPr>
      </w:pPr>
      <w:r>
        <w:rPr>
          <w:rFonts w:ascii="宋体" w:hAnsi="宋体" w:eastAsia="宋体" w:cs="宋体"/>
          <w:b/>
          <w:bCs/>
          <w:spacing w:val="4"/>
          <w:sz w:val="20"/>
          <w:szCs w:val="20"/>
        </w:rPr>
        <w:t>19.2</w:t>
      </w:r>
      <w:r>
        <w:rPr>
          <w:rFonts w:ascii="宋体" w:hAnsi="宋体" w:eastAsia="宋体" w:cs="宋体"/>
          <w:spacing w:val="4"/>
          <w:sz w:val="20"/>
          <w:szCs w:val="20"/>
        </w:rPr>
        <w:t xml:space="preserve"> </w:t>
      </w:r>
      <w:r>
        <w:rPr>
          <w:rFonts w:ascii="宋体" w:hAnsi="宋体" w:eastAsia="宋体" w:cs="宋体"/>
          <w:b/>
          <w:bCs/>
          <w:spacing w:val="4"/>
          <w:sz w:val="20"/>
          <w:szCs w:val="20"/>
        </w:rPr>
        <w:t>发包人的索赔</w:t>
      </w:r>
    </w:p>
    <w:p w14:paraId="7B207785">
      <w:pPr>
        <w:spacing w:before="127" w:line="228" w:lineRule="auto"/>
        <w:ind w:left="435"/>
        <w:rPr>
          <w:rFonts w:ascii="宋体" w:hAnsi="宋体" w:eastAsia="宋体" w:cs="宋体"/>
          <w:sz w:val="20"/>
          <w:szCs w:val="20"/>
        </w:rPr>
      </w:pPr>
      <w:r>
        <w:rPr>
          <w:rFonts w:ascii="宋体" w:hAnsi="宋体" w:eastAsia="宋体" w:cs="宋体"/>
          <w:b/>
          <w:bCs/>
          <w:spacing w:val="4"/>
          <w:sz w:val="20"/>
          <w:szCs w:val="20"/>
        </w:rPr>
        <w:t>19.2.1</w:t>
      </w:r>
      <w:r>
        <w:rPr>
          <w:rFonts w:ascii="宋体" w:hAnsi="宋体" w:eastAsia="宋体" w:cs="宋体"/>
          <w:spacing w:val="4"/>
          <w:sz w:val="20"/>
          <w:szCs w:val="20"/>
        </w:rPr>
        <w:t xml:space="preserve"> </w:t>
      </w:r>
      <w:r>
        <w:rPr>
          <w:rFonts w:ascii="宋体" w:hAnsi="宋体" w:eastAsia="宋体" w:cs="宋体"/>
          <w:b/>
          <w:bCs/>
          <w:spacing w:val="4"/>
          <w:sz w:val="20"/>
          <w:szCs w:val="20"/>
        </w:rPr>
        <w:t>发包人索赔范围</w:t>
      </w:r>
    </w:p>
    <w:p w14:paraId="205E16AE">
      <w:pPr>
        <w:spacing w:before="128" w:line="227" w:lineRule="auto"/>
        <w:ind w:left="430"/>
        <w:rPr>
          <w:rFonts w:ascii="宋体" w:hAnsi="宋体" w:eastAsia="宋体" w:cs="宋体"/>
          <w:sz w:val="20"/>
          <w:szCs w:val="20"/>
        </w:rPr>
      </w:pPr>
      <w:r>
        <w:rPr>
          <w:rFonts w:ascii="宋体" w:hAnsi="宋体" w:eastAsia="宋体" w:cs="宋体"/>
          <w:spacing w:val="8"/>
          <w:sz w:val="20"/>
          <w:szCs w:val="20"/>
        </w:rPr>
        <w:t>（1）承包人使用设备和材料不符合合同约定；</w:t>
      </w:r>
    </w:p>
    <w:p w14:paraId="61867AE1">
      <w:pPr>
        <w:spacing w:before="128" w:line="346" w:lineRule="auto"/>
        <w:ind w:right="52" w:firstLine="429"/>
        <w:rPr>
          <w:rFonts w:ascii="宋体" w:hAnsi="宋体" w:eastAsia="宋体" w:cs="宋体"/>
          <w:sz w:val="20"/>
          <w:szCs w:val="20"/>
        </w:rPr>
      </w:pPr>
      <w:r>
        <w:rPr>
          <w:rFonts w:ascii="宋体" w:hAnsi="宋体" w:eastAsia="宋体" w:cs="宋体"/>
          <w:spacing w:val="13"/>
          <w:sz w:val="20"/>
          <w:szCs w:val="20"/>
        </w:rPr>
        <w:t>（2）承包人施工质量不符合施工技术规范要求或</w:t>
      </w:r>
      <w:r>
        <w:rPr>
          <w:rFonts w:ascii="宋体" w:hAnsi="宋体" w:eastAsia="宋体" w:cs="宋体"/>
          <w:spacing w:val="12"/>
          <w:sz w:val="20"/>
          <w:szCs w:val="20"/>
        </w:rPr>
        <w:t>合同约定的或承包人未经隐蔽验收私自覆</w:t>
      </w:r>
      <w:r>
        <w:rPr>
          <w:rFonts w:ascii="宋体" w:hAnsi="宋体" w:eastAsia="宋体" w:cs="宋体"/>
          <w:sz w:val="20"/>
          <w:szCs w:val="20"/>
        </w:rPr>
        <w:t>盖；</w:t>
      </w:r>
    </w:p>
    <w:p w14:paraId="2081E470">
      <w:pPr>
        <w:spacing w:line="227" w:lineRule="auto"/>
        <w:ind w:left="430"/>
        <w:rPr>
          <w:rFonts w:ascii="宋体" w:hAnsi="宋体" w:eastAsia="宋体" w:cs="宋体"/>
          <w:sz w:val="20"/>
          <w:szCs w:val="20"/>
        </w:rPr>
      </w:pPr>
      <w:r>
        <w:rPr>
          <w:rFonts w:ascii="宋体" w:hAnsi="宋体" w:eastAsia="宋体" w:cs="宋体"/>
          <w:spacing w:val="8"/>
          <w:sz w:val="20"/>
          <w:szCs w:val="20"/>
        </w:rPr>
        <w:t>（3）因承包人原因造成的停工或工期延误；</w:t>
      </w:r>
    </w:p>
    <w:p w14:paraId="27ED7E1B">
      <w:pPr>
        <w:spacing w:before="128" w:line="227" w:lineRule="auto"/>
        <w:ind w:left="430"/>
        <w:rPr>
          <w:rFonts w:ascii="宋体" w:hAnsi="宋体" w:eastAsia="宋体" w:cs="宋体"/>
          <w:sz w:val="20"/>
          <w:szCs w:val="20"/>
        </w:rPr>
      </w:pPr>
      <w:r>
        <w:rPr>
          <w:rFonts w:ascii="宋体" w:hAnsi="宋体" w:eastAsia="宋体" w:cs="宋体"/>
          <w:spacing w:val="9"/>
          <w:sz w:val="20"/>
          <w:szCs w:val="20"/>
        </w:rPr>
        <w:t>（4）承包人人员、机械未按规定配置或不</w:t>
      </w:r>
      <w:r>
        <w:rPr>
          <w:rFonts w:ascii="宋体" w:hAnsi="宋体" w:eastAsia="宋体" w:cs="宋体"/>
          <w:spacing w:val="8"/>
          <w:sz w:val="20"/>
          <w:szCs w:val="20"/>
        </w:rPr>
        <w:t>具备相关资质资格。</w:t>
      </w:r>
    </w:p>
    <w:p w14:paraId="4A9A8252">
      <w:pPr>
        <w:spacing w:before="128" w:line="227" w:lineRule="auto"/>
        <w:ind w:left="430"/>
        <w:rPr>
          <w:rFonts w:ascii="宋体" w:hAnsi="宋体" w:eastAsia="宋体" w:cs="宋体"/>
          <w:sz w:val="20"/>
          <w:szCs w:val="20"/>
        </w:rPr>
      </w:pPr>
      <w:r>
        <w:rPr>
          <w:rFonts w:ascii="宋体" w:hAnsi="宋体" w:eastAsia="宋体" w:cs="宋体"/>
          <w:spacing w:val="8"/>
          <w:sz w:val="20"/>
          <w:szCs w:val="20"/>
        </w:rPr>
        <w:t>（5）承包人拖欠民工工资和材料款、分包工程款；</w:t>
      </w:r>
    </w:p>
    <w:p w14:paraId="4E5CA3E3">
      <w:pPr>
        <w:spacing w:before="129" w:line="227" w:lineRule="auto"/>
        <w:ind w:left="430"/>
        <w:rPr>
          <w:rFonts w:ascii="宋体" w:hAnsi="宋体" w:eastAsia="宋体" w:cs="宋体"/>
          <w:sz w:val="20"/>
          <w:szCs w:val="20"/>
        </w:rPr>
      </w:pPr>
      <w:r>
        <w:rPr>
          <w:rFonts w:ascii="宋体" w:hAnsi="宋体" w:eastAsia="宋体" w:cs="宋体"/>
          <w:spacing w:val="9"/>
          <w:sz w:val="20"/>
          <w:szCs w:val="20"/>
        </w:rPr>
        <w:t>（6）承包人使用的材料、设备、工艺因侵犯他人专利权或其他知识产权造成发包人损害；</w:t>
      </w:r>
    </w:p>
    <w:p w14:paraId="60E0EB2D">
      <w:pPr>
        <w:spacing w:before="128" w:line="228" w:lineRule="auto"/>
        <w:ind w:left="430"/>
        <w:rPr>
          <w:rFonts w:ascii="宋体" w:hAnsi="宋体" w:eastAsia="宋体" w:cs="宋体"/>
          <w:sz w:val="20"/>
          <w:szCs w:val="20"/>
        </w:rPr>
      </w:pPr>
      <w:r>
        <w:rPr>
          <w:rFonts w:ascii="宋体" w:hAnsi="宋体" w:eastAsia="宋体" w:cs="宋体"/>
          <w:spacing w:val="9"/>
          <w:sz w:val="20"/>
          <w:szCs w:val="20"/>
        </w:rPr>
        <w:t>（7）因承包人原因发生安全事故或违反安全</w:t>
      </w:r>
      <w:r>
        <w:rPr>
          <w:rFonts w:ascii="宋体" w:hAnsi="宋体" w:eastAsia="宋体" w:cs="宋体"/>
          <w:spacing w:val="8"/>
          <w:sz w:val="20"/>
          <w:szCs w:val="20"/>
        </w:rPr>
        <w:t>文明施工管理规定；</w:t>
      </w:r>
    </w:p>
    <w:p w14:paraId="7546C763">
      <w:pPr>
        <w:spacing w:before="128" w:line="228" w:lineRule="auto"/>
        <w:ind w:left="430"/>
        <w:rPr>
          <w:rFonts w:ascii="宋体" w:hAnsi="宋体" w:eastAsia="宋体" w:cs="宋体"/>
          <w:sz w:val="20"/>
          <w:szCs w:val="20"/>
        </w:rPr>
      </w:pPr>
      <w:r>
        <w:rPr>
          <w:rFonts w:ascii="宋体" w:hAnsi="宋体" w:eastAsia="宋体" w:cs="宋体"/>
          <w:spacing w:val="8"/>
          <w:sz w:val="20"/>
          <w:szCs w:val="20"/>
        </w:rPr>
        <w:t>（8）承包人未按合同约定期限提交竣工资料；</w:t>
      </w:r>
    </w:p>
    <w:p w14:paraId="5EE98234">
      <w:pPr>
        <w:spacing w:before="127" w:line="228" w:lineRule="auto"/>
        <w:ind w:left="430"/>
        <w:rPr>
          <w:rFonts w:ascii="宋体" w:hAnsi="宋体" w:eastAsia="宋体" w:cs="宋体"/>
          <w:sz w:val="20"/>
          <w:szCs w:val="20"/>
        </w:rPr>
      </w:pPr>
      <w:r>
        <w:rPr>
          <w:rFonts w:ascii="宋体" w:hAnsi="宋体" w:eastAsia="宋体" w:cs="宋体"/>
          <w:spacing w:val="8"/>
          <w:sz w:val="20"/>
          <w:szCs w:val="20"/>
        </w:rPr>
        <w:t>（9）质保期内承包人不履行维修义务；</w:t>
      </w:r>
    </w:p>
    <w:p w14:paraId="2F175C8E">
      <w:pPr>
        <w:spacing w:before="127" w:line="228" w:lineRule="auto"/>
        <w:ind w:left="430"/>
        <w:rPr>
          <w:rFonts w:ascii="宋体" w:hAnsi="宋体" w:eastAsia="宋体" w:cs="宋体"/>
          <w:sz w:val="20"/>
          <w:szCs w:val="20"/>
        </w:rPr>
      </w:pPr>
      <w:r>
        <w:rPr>
          <w:rFonts w:ascii="宋体" w:hAnsi="宋体" w:eastAsia="宋体" w:cs="宋体"/>
          <w:spacing w:val="7"/>
          <w:sz w:val="20"/>
          <w:szCs w:val="20"/>
        </w:rPr>
        <w:t>（10）专用条款中约定的其他情形。</w:t>
      </w:r>
    </w:p>
    <w:p w14:paraId="435E7F95">
      <w:pPr>
        <w:spacing w:before="128" w:line="228" w:lineRule="auto"/>
        <w:ind w:left="435"/>
        <w:rPr>
          <w:rFonts w:ascii="宋体" w:hAnsi="宋体" w:eastAsia="宋体" w:cs="宋体"/>
          <w:sz w:val="20"/>
          <w:szCs w:val="20"/>
        </w:rPr>
      </w:pPr>
      <w:r>
        <w:rPr>
          <w:rFonts w:ascii="宋体" w:hAnsi="宋体" w:eastAsia="宋体" w:cs="宋体"/>
          <w:b/>
          <w:bCs/>
          <w:spacing w:val="2"/>
          <w:sz w:val="20"/>
          <w:szCs w:val="20"/>
        </w:rPr>
        <w:t>19.2.2</w:t>
      </w:r>
      <w:r>
        <w:rPr>
          <w:rFonts w:ascii="宋体" w:hAnsi="宋体" w:eastAsia="宋体" w:cs="宋体"/>
          <w:spacing w:val="16"/>
          <w:sz w:val="20"/>
          <w:szCs w:val="20"/>
        </w:rPr>
        <w:t xml:space="preserve"> </w:t>
      </w:r>
      <w:r>
        <w:rPr>
          <w:rFonts w:ascii="宋体" w:hAnsi="宋体" w:eastAsia="宋体" w:cs="宋体"/>
          <w:b/>
          <w:bCs/>
          <w:spacing w:val="2"/>
          <w:sz w:val="20"/>
          <w:szCs w:val="20"/>
        </w:rPr>
        <w:t>索赔内容</w:t>
      </w:r>
    </w:p>
    <w:p w14:paraId="2E86CA98">
      <w:pPr>
        <w:spacing w:before="127" w:line="227" w:lineRule="auto"/>
        <w:ind w:left="423"/>
        <w:rPr>
          <w:rFonts w:ascii="宋体" w:hAnsi="宋体" w:eastAsia="宋体" w:cs="宋体"/>
          <w:sz w:val="20"/>
          <w:szCs w:val="20"/>
        </w:rPr>
      </w:pPr>
      <w:r>
        <w:rPr>
          <w:rFonts w:ascii="宋体" w:hAnsi="宋体" w:eastAsia="宋体" w:cs="宋体"/>
          <w:spacing w:val="9"/>
          <w:sz w:val="20"/>
          <w:szCs w:val="20"/>
        </w:rPr>
        <w:t>发包人提出索赔时，可选择下列一项或几项方式获得赔偿：</w:t>
      </w:r>
    </w:p>
    <w:p w14:paraId="17B5D944">
      <w:pPr>
        <w:spacing w:before="129" w:line="228" w:lineRule="auto"/>
        <w:ind w:left="430"/>
        <w:rPr>
          <w:rFonts w:ascii="宋体" w:hAnsi="宋体" w:eastAsia="宋体" w:cs="宋体"/>
          <w:sz w:val="20"/>
          <w:szCs w:val="20"/>
        </w:rPr>
      </w:pPr>
      <w:r>
        <w:rPr>
          <w:rFonts w:ascii="宋体" w:hAnsi="宋体" w:eastAsia="宋体" w:cs="宋体"/>
          <w:spacing w:val="7"/>
          <w:sz w:val="20"/>
          <w:szCs w:val="20"/>
        </w:rPr>
        <w:t>（1）延长质量缺陷修复期限；</w:t>
      </w:r>
    </w:p>
    <w:p w14:paraId="07A1F455">
      <w:pPr>
        <w:spacing w:before="127" w:line="228" w:lineRule="auto"/>
        <w:ind w:left="430"/>
        <w:rPr>
          <w:rFonts w:ascii="宋体" w:hAnsi="宋体" w:eastAsia="宋体" w:cs="宋体"/>
          <w:sz w:val="20"/>
          <w:szCs w:val="20"/>
        </w:rPr>
      </w:pPr>
      <w:r>
        <w:rPr>
          <w:rFonts w:ascii="宋体" w:hAnsi="宋体" w:eastAsia="宋体" w:cs="宋体"/>
          <w:spacing w:val="8"/>
          <w:sz w:val="20"/>
          <w:szCs w:val="20"/>
        </w:rPr>
        <w:t>（2）要求承包人支付实际发生的额外费用；</w:t>
      </w:r>
    </w:p>
    <w:p w14:paraId="44644E27">
      <w:pPr>
        <w:spacing w:before="127" w:line="228" w:lineRule="auto"/>
        <w:ind w:left="430"/>
        <w:rPr>
          <w:rFonts w:ascii="宋体" w:hAnsi="宋体" w:eastAsia="宋体" w:cs="宋体"/>
          <w:sz w:val="20"/>
          <w:szCs w:val="20"/>
        </w:rPr>
      </w:pPr>
      <w:r>
        <w:rPr>
          <w:rFonts w:ascii="宋体" w:hAnsi="宋体" w:eastAsia="宋体" w:cs="宋体"/>
          <w:spacing w:val="8"/>
          <w:sz w:val="20"/>
          <w:szCs w:val="20"/>
        </w:rPr>
        <w:t>（3）要求承包人支付合同约定的违约金；</w:t>
      </w:r>
    </w:p>
    <w:p w14:paraId="5D6E0DCB">
      <w:pPr>
        <w:spacing w:before="128" w:line="228" w:lineRule="auto"/>
        <w:ind w:left="430"/>
        <w:rPr>
          <w:rFonts w:ascii="宋体" w:hAnsi="宋体" w:eastAsia="宋体" w:cs="宋体"/>
          <w:sz w:val="20"/>
          <w:szCs w:val="20"/>
        </w:rPr>
      </w:pPr>
      <w:r>
        <w:rPr>
          <w:rFonts w:ascii="宋体" w:hAnsi="宋体" w:eastAsia="宋体" w:cs="宋体"/>
          <w:spacing w:val="7"/>
          <w:sz w:val="20"/>
          <w:szCs w:val="20"/>
        </w:rPr>
        <w:t>（4）要求承包人赔偿损失。</w:t>
      </w:r>
    </w:p>
    <w:p w14:paraId="2BF04CFF">
      <w:pPr>
        <w:spacing w:before="127" w:line="228" w:lineRule="auto"/>
        <w:ind w:left="435"/>
        <w:rPr>
          <w:rFonts w:ascii="宋体" w:hAnsi="宋体" w:eastAsia="宋体" w:cs="宋体"/>
          <w:sz w:val="20"/>
          <w:szCs w:val="20"/>
        </w:rPr>
      </w:pPr>
      <w:r>
        <w:rPr>
          <w:rFonts w:ascii="宋体" w:hAnsi="宋体" w:eastAsia="宋体" w:cs="宋体"/>
          <w:b/>
          <w:bCs/>
          <w:spacing w:val="4"/>
          <w:sz w:val="20"/>
          <w:szCs w:val="20"/>
        </w:rPr>
        <w:t>19.2.3</w:t>
      </w:r>
      <w:r>
        <w:rPr>
          <w:rFonts w:ascii="宋体" w:hAnsi="宋体" w:eastAsia="宋体" w:cs="宋体"/>
          <w:spacing w:val="4"/>
          <w:sz w:val="20"/>
          <w:szCs w:val="20"/>
        </w:rPr>
        <w:t xml:space="preserve"> </w:t>
      </w:r>
      <w:r>
        <w:rPr>
          <w:rFonts w:ascii="宋体" w:hAnsi="宋体" w:eastAsia="宋体" w:cs="宋体"/>
          <w:b/>
          <w:bCs/>
          <w:spacing w:val="4"/>
          <w:sz w:val="20"/>
          <w:szCs w:val="20"/>
        </w:rPr>
        <w:t>发包人索赔程序</w:t>
      </w:r>
    </w:p>
    <w:p w14:paraId="7753CF54">
      <w:pPr>
        <w:spacing w:before="127" w:line="347" w:lineRule="auto"/>
        <w:ind w:left="1" w:right="52" w:firstLine="418"/>
        <w:rPr>
          <w:rFonts w:ascii="宋体" w:hAnsi="宋体" w:eastAsia="宋体" w:cs="宋体"/>
          <w:sz w:val="20"/>
          <w:szCs w:val="20"/>
        </w:rPr>
      </w:pPr>
      <w:r>
        <w:rPr>
          <w:rFonts w:ascii="宋体" w:hAnsi="宋体" w:eastAsia="宋体" w:cs="宋体"/>
          <w:spacing w:val="10"/>
          <w:sz w:val="20"/>
          <w:szCs w:val="20"/>
        </w:rPr>
        <w:t>根据合同约定，发包人认为有权得到赔付金额和（或）延长缺陷责任期的，监理人应向承包</w:t>
      </w:r>
      <w:r>
        <w:rPr>
          <w:rFonts w:ascii="宋体" w:hAnsi="宋体" w:eastAsia="宋体" w:cs="宋体"/>
          <w:spacing w:val="8"/>
          <w:sz w:val="20"/>
          <w:szCs w:val="20"/>
        </w:rPr>
        <w:t>人发出通知并附有详细的证明。</w:t>
      </w:r>
    </w:p>
    <w:p w14:paraId="4C010B07">
      <w:pPr>
        <w:spacing w:line="347" w:lineRule="auto"/>
        <w:rPr>
          <w:rFonts w:ascii="宋体" w:hAnsi="宋体" w:eastAsia="宋体" w:cs="宋体"/>
          <w:sz w:val="20"/>
          <w:szCs w:val="20"/>
        </w:rPr>
        <w:sectPr>
          <w:footerReference r:id="rId389" w:type="default"/>
          <w:pgSz w:w="11906" w:h="16839"/>
          <w:pgMar w:top="400" w:right="1480" w:bottom="1446" w:left="1539" w:header="0" w:footer="1284" w:gutter="0"/>
          <w:cols w:space="720" w:num="1"/>
        </w:sectPr>
      </w:pPr>
    </w:p>
    <w:p w14:paraId="66ACB5B7">
      <w:pPr>
        <w:spacing w:line="246" w:lineRule="auto"/>
        <w:rPr>
          <w:rFonts w:ascii="Arial"/>
          <w:sz w:val="21"/>
        </w:rPr>
      </w:pPr>
    </w:p>
    <w:p w14:paraId="3E6A38DA">
      <w:pPr>
        <w:spacing w:line="246" w:lineRule="auto"/>
        <w:rPr>
          <w:rFonts w:ascii="Arial"/>
          <w:sz w:val="21"/>
        </w:rPr>
      </w:pPr>
    </w:p>
    <w:p w14:paraId="348CBB34">
      <w:pPr>
        <w:spacing w:line="246" w:lineRule="auto"/>
        <w:rPr>
          <w:rFonts w:ascii="Arial"/>
          <w:sz w:val="21"/>
        </w:rPr>
      </w:pPr>
    </w:p>
    <w:p w14:paraId="5DC3A490">
      <w:pPr>
        <w:spacing w:line="246" w:lineRule="auto"/>
        <w:rPr>
          <w:rFonts w:ascii="Arial"/>
          <w:sz w:val="21"/>
        </w:rPr>
      </w:pPr>
    </w:p>
    <w:p w14:paraId="4E38E59B">
      <w:pPr>
        <w:spacing w:line="246" w:lineRule="auto"/>
        <w:rPr>
          <w:rFonts w:ascii="Arial"/>
          <w:sz w:val="21"/>
        </w:rPr>
      </w:pPr>
    </w:p>
    <w:p w14:paraId="2503AB27">
      <w:pPr>
        <w:spacing w:line="247" w:lineRule="auto"/>
        <w:rPr>
          <w:rFonts w:ascii="Arial"/>
          <w:sz w:val="21"/>
        </w:rPr>
      </w:pPr>
    </w:p>
    <w:p w14:paraId="32CF5A97">
      <w:pPr>
        <w:spacing w:before="65" w:line="346" w:lineRule="auto"/>
        <w:ind w:left="5" w:firstLine="419"/>
        <w:jc w:val="both"/>
        <w:rPr>
          <w:rFonts w:ascii="宋体" w:hAnsi="宋体" w:eastAsia="宋体" w:cs="宋体"/>
          <w:sz w:val="20"/>
          <w:szCs w:val="20"/>
        </w:rPr>
      </w:pPr>
      <w:r>
        <w:rPr>
          <w:rFonts w:ascii="宋体" w:hAnsi="宋体" w:eastAsia="宋体" w:cs="宋体"/>
          <w:spacing w:val="12"/>
          <w:sz w:val="20"/>
          <w:szCs w:val="20"/>
        </w:rPr>
        <w:t>发包人应在知道或应当知道索赔事件发生后</w:t>
      </w:r>
      <w:r>
        <w:rPr>
          <w:rFonts w:ascii="宋体" w:hAnsi="宋体" w:eastAsia="宋体" w:cs="宋体"/>
          <w:spacing w:val="-32"/>
          <w:sz w:val="20"/>
          <w:szCs w:val="20"/>
        </w:rPr>
        <w:t xml:space="preserve"> </w:t>
      </w:r>
      <w:r>
        <w:rPr>
          <w:rFonts w:ascii="宋体" w:hAnsi="宋体" w:eastAsia="宋体" w:cs="宋体"/>
          <w:spacing w:val="12"/>
          <w:sz w:val="20"/>
          <w:szCs w:val="20"/>
        </w:rPr>
        <w:t>28</w:t>
      </w:r>
      <w:r>
        <w:rPr>
          <w:rFonts w:ascii="宋体" w:hAnsi="宋体" w:eastAsia="宋体" w:cs="宋体"/>
          <w:spacing w:val="-31"/>
          <w:sz w:val="20"/>
          <w:szCs w:val="20"/>
        </w:rPr>
        <w:t xml:space="preserve"> </w:t>
      </w:r>
      <w:r>
        <w:rPr>
          <w:rFonts w:ascii="宋体" w:hAnsi="宋体" w:eastAsia="宋体" w:cs="宋体"/>
          <w:spacing w:val="12"/>
          <w:sz w:val="20"/>
          <w:szCs w:val="20"/>
        </w:rPr>
        <w:t>天内通过监理人向承包人</w:t>
      </w:r>
      <w:r>
        <w:rPr>
          <w:rFonts w:ascii="宋体" w:hAnsi="宋体" w:eastAsia="宋体" w:cs="宋体"/>
          <w:spacing w:val="11"/>
          <w:sz w:val="20"/>
          <w:szCs w:val="20"/>
        </w:rPr>
        <w:t>提出索赔意向通知</w:t>
      </w:r>
      <w:r>
        <w:rPr>
          <w:rFonts w:ascii="宋体" w:hAnsi="宋体" w:eastAsia="宋体" w:cs="宋体"/>
          <w:spacing w:val="7"/>
          <w:sz w:val="20"/>
          <w:szCs w:val="20"/>
        </w:rPr>
        <w:t>书，发包人未在前述</w:t>
      </w:r>
      <w:r>
        <w:rPr>
          <w:rFonts w:ascii="宋体" w:hAnsi="宋体" w:eastAsia="宋体" w:cs="宋体"/>
          <w:spacing w:val="-34"/>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天内发出索赔意向通知书的，丧失要求赔付金额和（或）延长缺陷</w:t>
      </w:r>
      <w:r>
        <w:rPr>
          <w:rFonts w:ascii="宋体" w:hAnsi="宋体" w:eastAsia="宋体" w:cs="宋体"/>
          <w:spacing w:val="6"/>
          <w:sz w:val="20"/>
          <w:szCs w:val="20"/>
        </w:rPr>
        <w:t>责任期</w:t>
      </w:r>
      <w:r>
        <w:rPr>
          <w:rFonts w:ascii="宋体" w:hAnsi="宋体" w:eastAsia="宋体" w:cs="宋体"/>
          <w:spacing w:val="9"/>
          <w:sz w:val="20"/>
          <w:szCs w:val="20"/>
        </w:rPr>
        <w:t>的权利。发包人应在发出索赔意向通知书后</w:t>
      </w:r>
      <w:r>
        <w:rPr>
          <w:rFonts w:ascii="宋体" w:hAnsi="宋体" w:eastAsia="宋体" w:cs="宋体"/>
          <w:spacing w:val="-37"/>
          <w:sz w:val="20"/>
          <w:szCs w:val="20"/>
        </w:rPr>
        <w:t xml:space="preserve"> </w:t>
      </w:r>
      <w:r>
        <w:rPr>
          <w:rFonts w:ascii="宋体" w:hAnsi="宋体" w:eastAsia="宋体" w:cs="宋体"/>
          <w:spacing w:val="9"/>
          <w:sz w:val="20"/>
          <w:szCs w:val="20"/>
        </w:rPr>
        <w:t>28</w:t>
      </w:r>
      <w:r>
        <w:rPr>
          <w:rFonts w:ascii="宋体" w:hAnsi="宋体" w:eastAsia="宋体" w:cs="宋体"/>
          <w:spacing w:val="-34"/>
          <w:sz w:val="20"/>
          <w:szCs w:val="20"/>
        </w:rPr>
        <w:t xml:space="preserve"> </w:t>
      </w:r>
      <w:r>
        <w:rPr>
          <w:rFonts w:ascii="宋体" w:hAnsi="宋体" w:eastAsia="宋体" w:cs="宋体"/>
          <w:spacing w:val="9"/>
          <w:sz w:val="20"/>
          <w:szCs w:val="20"/>
        </w:rPr>
        <w:t>天内，</w:t>
      </w:r>
      <w:r>
        <w:rPr>
          <w:rFonts w:ascii="宋体" w:hAnsi="宋体" w:eastAsia="宋体" w:cs="宋体"/>
          <w:spacing w:val="8"/>
          <w:sz w:val="20"/>
          <w:szCs w:val="20"/>
        </w:rPr>
        <w:t>通过监理人向承包人正式递交索赔报告。</w:t>
      </w:r>
    </w:p>
    <w:p w14:paraId="6916839A">
      <w:pPr>
        <w:spacing w:line="227" w:lineRule="auto"/>
        <w:ind w:left="437"/>
        <w:rPr>
          <w:rFonts w:ascii="宋体" w:hAnsi="宋体" w:eastAsia="宋体" w:cs="宋体"/>
          <w:sz w:val="20"/>
          <w:szCs w:val="20"/>
        </w:rPr>
      </w:pPr>
      <w:r>
        <w:rPr>
          <w:rFonts w:ascii="宋体" w:hAnsi="宋体" w:eastAsia="宋体" w:cs="宋体"/>
          <w:b/>
          <w:bCs/>
          <w:spacing w:val="5"/>
          <w:sz w:val="20"/>
          <w:szCs w:val="20"/>
        </w:rPr>
        <w:t>19.2.4</w:t>
      </w:r>
      <w:r>
        <w:rPr>
          <w:rFonts w:ascii="宋体" w:hAnsi="宋体" w:eastAsia="宋体" w:cs="宋体"/>
          <w:spacing w:val="5"/>
          <w:sz w:val="20"/>
          <w:szCs w:val="20"/>
        </w:rPr>
        <w:t xml:space="preserve"> </w:t>
      </w:r>
      <w:r>
        <w:rPr>
          <w:rFonts w:ascii="宋体" w:hAnsi="宋体" w:eastAsia="宋体" w:cs="宋体"/>
          <w:b/>
          <w:bCs/>
          <w:spacing w:val="5"/>
          <w:sz w:val="20"/>
          <w:szCs w:val="20"/>
        </w:rPr>
        <w:t>对发包人索赔的处理</w:t>
      </w:r>
    </w:p>
    <w:p w14:paraId="34E84853">
      <w:pPr>
        <w:spacing w:before="127" w:line="228" w:lineRule="auto"/>
        <w:ind w:left="420"/>
        <w:rPr>
          <w:rFonts w:ascii="宋体" w:hAnsi="宋体" w:eastAsia="宋体" w:cs="宋体"/>
          <w:sz w:val="20"/>
          <w:szCs w:val="20"/>
        </w:rPr>
      </w:pPr>
      <w:r>
        <w:rPr>
          <w:rFonts w:ascii="宋体" w:hAnsi="宋体" w:eastAsia="宋体" w:cs="宋体"/>
          <w:spacing w:val="8"/>
          <w:sz w:val="20"/>
          <w:szCs w:val="20"/>
        </w:rPr>
        <w:t>对发包人索赔的处理如下：</w:t>
      </w:r>
    </w:p>
    <w:p w14:paraId="5F4BC929">
      <w:pPr>
        <w:spacing w:before="126" w:line="346" w:lineRule="auto"/>
        <w:ind w:left="1" w:firstLine="430"/>
        <w:rPr>
          <w:rFonts w:ascii="宋体" w:hAnsi="宋体" w:eastAsia="宋体" w:cs="宋体"/>
          <w:sz w:val="20"/>
          <w:szCs w:val="20"/>
        </w:rPr>
      </w:pPr>
      <w:r>
        <w:rPr>
          <w:rFonts w:ascii="宋体" w:hAnsi="宋体" w:eastAsia="宋体" w:cs="宋体"/>
          <w:spacing w:val="7"/>
          <w:sz w:val="20"/>
          <w:szCs w:val="20"/>
        </w:rPr>
        <w:t>（1）承包人收到发包人提交的索赔报告后，应及时审查索赔报告的内容、查验发包人证明材</w:t>
      </w:r>
      <w:r>
        <w:rPr>
          <w:rFonts w:ascii="宋体" w:hAnsi="宋体" w:eastAsia="宋体" w:cs="宋体"/>
          <w:sz w:val="20"/>
          <w:szCs w:val="20"/>
        </w:rPr>
        <w:t>料；</w:t>
      </w:r>
    </w:p>
    <w:p w14:paraId="4DCF95E9">
      <w:pPr>
        <w:spacing w:before="1" w:line="345" w:lineRule="auto"/>
        <w:ind w:left="7" w:firstLine="424"/>
        <w:rPr>
          <w:rFonts w:ascii="宋体" w:hAnsi="宋体" w:eastAsia="宋体" w:cs="宋体"/>
          <w:sz w:val="20"/>
          <w:szCs w:val="20"/>
        </w:rPr>
      </w:pPr>
      <w:r>
        <w:rPr>
          <w:rFonts w:ascii="宋体" w:hAnsi="宋体" w:eastAsia="宋体" w:cs="宋体"/>
          <w:spacing w:val="9"/>
          <w:sz w:val="20"/>
          <w:szCs w:val="20"/>
        </w:rPr>
        <w:t>（2）承包人应在收到索赔报告或有关索赔的进一步证明材料后</w:t>
      </w:r>
      <w:r>
        <w:rPr>
          <w:rFonts w:ascii="宋体" w:hAnsi="宋体" w:eastAsia="宋体" w:cs="宋体"/>
          <w:spacing w:val="-31"/>
          <w:sz w:val="20"/>
          <w:szCs w:val="20"/>
        </w:rPr>
        <w:t xml:space="preserve"> </w:t>
      </w:r>
      <w:r>
        <w:rPr>
          <w:rFonts w:ascii="宋体" w:hAnsi="宋体" w:eastAsia="宋体" w:cs="宋体"/>
          <w:spacing w:val="9"/>
          <w:sz w:val="20"/>
          <w:szCs w:val="20"/>
        </w:rPr>
        <w:t>28</w:t>
      </w:r>
      <w:r>
        <w:rPr>
          <w:rFonts w:ascii="宋体" w:hAnsi="宋体" w:eastAsia="宋体" w:cs="宋体"/>
          <w:spacing w:val="-36"/>
          <w:sz w:val="20"/>
          <w:szCs w:val="20"/>
        </w:rPr>
        <w:t xml:space="preserve"> </w:t>
      </w:r>
      <w:r>
        <w:rPr>
          <w:rFonts w:ascii="宋体" w:hAnsi="宋体" w:eastAsia="宋体" w:cs="宋体"/>
          <w:spacing w:val="9"/>
          <w:sz w:val="20"/>
          <w:szCs w:val="20"/>
        </w:rPr>
        <w:t>天内，将索赔处理结果答复发包人。如果承包人未在上述期限内作出答复的，则视为对发包人索赔要求的认可；</w:t>
      </w:r>
    </w:p>
    <w:p w14:paraId="061AF87C">
      <w:pPr>
        <w:spacing w:before="1" w:line="345" w:lineRule="auto"/>
        <w:ind w:left="4" w:firstLine="427"/>
        <w:rPr>
          <w:rFonts w:ascii="宋体" w:hAnsi="宋体" w:eastAsia="宋体" w:cs="宋体"/>
          <w:sz w:val="20"/>
          <w:szCs w:val="20"/>
        </w:rPr>
      </w:pPr>
      <w:r>
        <w:rPr>
          <w:rFonts w:ascii="宋体" w:hAnsi="宋体" w:eastAsia="宋体" w:cs="宋体"/>
          <w:spacing w:val="7"/>
          <w:sz w:val="20"/>
          <w:szCs w:val="20"/>
        </w:rPr>
        <w:t>（3）承包人接受索赔处理结果的，发包人可从应支付给承包人的合同价款中扣除赔付的金额</w:t>
      </w:r>
      <w:r>
        <w:rPr>
          <w:rFonts w:ascii="宋体" w:hAnsi="宋体" w:eastAsia="宋体" w:cs="宋体"/>
          <w:spacing w:val="9"/>
          <w:sz w:val="20"/>
          <w:szCs w:val="20"/>
        </w:rPr>
        <w:t>或延长缺陷责任期；发包人不接受索赔处理结果的，</w:t>
      </w:r>
      <w:r>
        <w:rPr>
          <w:rFonts w:ascii="宋体" w:hAnsi="宋体" w:eastAsia="宋体" w:cs="宋体"/>
          <w:spacing w:val="8"/>
          <w:sz w:val="20"/>
          <w:szCs w:val="20"/>
        </w:rPr>
        <w:t>按第</w:t>
      </w:r>
      <w:r>
        <w:rPr>
          <w:rFonts w:ascii="宋体" w:hAnsi="宋体" w:eastAsia="宋体" w:cs="宋体"/>
          <w:spacing w:val="-36"/>
          <w:sz w:val="20"/>
          <w:szCs w:val="20"/>
        </w:rPr>
        <w:t xml:space="preserve"> </w:t>
      </w:r>
      <w:r>
        <w:rPr>
          <w:rFonts w:ascii="宋体" w:hAnsi="宋体" w:eastAsia="宋体" w:cs="宋体"/>
          <w:spacing w:val="8"/>
          <w:sz w:val="20"/>
          <w:szCs w:val="20"/>
        </w:rPr>
        <w:t>20</w:t>
      </w:r>
      <w:r>
        <w:rPr>
          <w:rFonts w:ascii="宋体" w:hAnsi="宋体" w:eastAsia="宋体" w:cs="宋体"/>
          <w:spacing w:val="-37"/>
          <w:sz w:val="20"/>
          <w:szCs w:val="20"/>
        </w:rPr>
        <w:t xml:space="preserve"> </w:t>
      </w:r>
      <w:r>
        <w:rPr>
          <w:rFonts w:ascii="宋体" w:hAnsi="宋体" w:eastAsia="宋体" w:cs="宋体"/>
          <w:spacing w:val="8"/>
          <w:sz w:val="20"/>
          <w:szCs w:val="20"/>
        </w:rPr>
        <w:t>条〔争议解决〕约定处理。</w:t>
      </w:r>
    </w:p>
    <w:p w14:paraId="5E4A2E95">
      <w:pPr>
        <w:spacing w:before="1" w:line="227" w:lineRule="auto"/>
        <w:ind w:left="437"/>
        <w:rPr>
          <w:rFonts w:ascii="宋体" w:hAnsi="宋体" w:eastAsia="宋体" w:cs="宋体"/>
          <w:sz w:val="20"/>
          <w:szCs w:val="20"/>
        </w:rPr>
      </w:pPr>
      <w:r>
        <w:rPr>
          <w:rFonts w:ascii="宋体" w:hAnsi="宋体" w:eastAsia="宋体" w:cs="宋体"/>
          <w:b/>
          <w:bCs/>
          <w:spacing w:val="4"/>
          <w:sz w:val="20"/>
          <w:szCs w:val="20"/>
        </w:rPr>
        <w:t>19.3</w:t>
      </w:r>
      <w:r>
        <w:rPr>
          <w:rFonts w:ascii="宋体" w:hAnsi="宋体" w:eastAsia="宋体" w:cs="宋体"/>
          <w:spacing w:val="4"/>
          <w:sz w:val="20"/>
          <w:szCs w:val="20"/>
        </w:rPr>
        <w:t xml:space="preserve"> </w:t>
      </w:r>
      <w:r>
        <w:rPr>
          <w:rFonts w:ascii="宋体" w:hAnsi="宋体" w:eastAsia="宋体" w:cs="宋体"/>
          <w:b/>
          <w:bCs/>
          <w:spacing w:val="4"/>
          <w:sz w:val="20"/>
          <w:szCs w:val="20"/>
        </w:rPr>
        <w:t>提出索赔的期限</w:t>
      </w:r>
    </w:p>
    <w:p w14:paraId="1CA63A08">
      <w:pPr>
        <w:spacing w:before="127" w:line="346" w:lineRule="auto"/>
        <w:ind w:left="2" w:firstLine="429"/>
        <w:rPr>
          <w:rFonts w:ascii="宋体" w:hAnsi="宋体" w:eastAsia="宋体" w:cs="宋体"/>
          <w:sz w:val="20"/>
          <w:szCs w:val="20"/>
        </w:rPr>
      </w:pPr>
      <w:r>
        <w:rPr>
          <w:rFonts w:ascii="宋体" w:hAnsi="宋体" w:eastAsia="宋体" w:cs="宋体"/>
          <w:spacing w:val="9"/>
          <w:sz w:val="20"/>
          <w:szCs w:val="20"/>
        </w:rPr>
        <w:t>（1）承包人按第</w:t>
      </w:r>
      <w:r>
        <w:rPr>
          <w:rFonts w:ascii="宋体" w:hAnsi="宋体" w:eastAsia="宋体" w:cs="宋体"/>
          <w:spacing w:val="-24"/>
          <w:sz w:val="20"/>
          <w:szCs w:val="20"/>
        </w:rPr>
        <w:t xml:space="preserve"> </w:t>
      </w:r>
      <w:r>
        <w:rPr>
          <w:rFonts w:ascii="宋体" w:hAnsi="宋体" w:eastAsia="宋体" w:cs="宋体"/>
          <w:spacing w:val="9"/>
          <w:sz w:val="20"/>
          <w:szCs w:val="20"/>
        </w:rPr>
        <w:t>14.2.2</w:t>
      </w:r>
      <w:r>
        <w:rPr>
          <w:rFonts w:ascii="宋体" w:hAnsi="宋体" w:eastAsia="宋体" w:cs="宋体"/>
          <w:spacing w:val="-39"/>
          <w:sz w:val="20"/>
          <w:szCs w:val="20"/>
        </w:rPr>
        <w:t xml:space="preserve"> </w:t>
      </w:r>
      <w:r>
        <w:rPr>
          <w:rFonts w:ascii="宋体" w:hAnsi="宋体" w:eastAsia="宋体" w:cs="宋体"/>
          <w:spacing w:val="9"/>
          <w:sz w:val="20"/>
          <w:szCs w:val="20"/>
        </w:rPr>
        <w:t>款〔竣工结算审</w:t>
      </w:r>
      <w:r>
        <w:rPr>
          <w:rFonts w:ascii="宋体" w:hAnsi="宋体" w:eastAsia="宋体" w:cs="宋体"/>
          <w:spacing w:val="8"/>
          <w:sz w:val="20"/>
          <w:szCs w:val="20"/>
        </w:rPr>
        <w:t>核〕约定接收竣工付款证书后，应被视为已无权再</w:t>
      </w:r>
      <w:r>
        <w:rPr>
          <w:rFonts w:ascii="宋体" w:hAnsi="宋体" w:eastAsia="宋体" w:cs="宋体"/>
          <w:spacing w:val="7"/>
          <w:sz w:val="20"/>
          <w:szCs w:val="20"/>
        </w:rPr>
        <w:t>提出在工程接收证书颁发前所发生的任何索赔。发</w:t>
      </w:r>
      <w:r>
        <w:rPr>
          <w:rFonts w:ascii="宋体" w:hAnsi="宋体" w:eastAsia="宋体" w:cs="宋体"/>
          <w:spacing w:val="6"/>
          <w:sz w:val="20"/>
          <w:szCs w:val="20"/>
        </w:rPr>
        <w:t>包人按第</w:t>
      </w:r>
      <w:r>
        <w:rPr>
          <w:rFonts w:ascii="宋体" w:hAnsi="宋体" w:eastAsia="宋体" w:cs="宋体"/>
          <w:spacing w:val="-24"/>
          <w:sz w:val="20"/>
          <w:szCs w:val="20"/>
        </w:rPr>
        <w:t xml:space="preserve"> </w:t>
      </w:r>
      <w:r>
        <w:rPr>
          <w:rFonts w:ascii="宋体" w:hAnsi="宋体" w:eastAsia="宋体" w:cs="宋体"/>
          <w:spacing w:val="6"/>
          <w:sz w:val="20"/>
          <w:szCs w:val="20"/>
        </w:rPr>
        <w:t>14.2.2</w:t>
      </w:r>
      <w:r>
        <w:rPr>
          <w:rFonts w:ascii="宋体" w:hAnsi="宋体" w:eastAsia="宋体" w:cs="宋体"/>
          <w:spacing w:val="-37"/>
          <w:sz w:val="20"/>
          <w:szCs w:val="20"/>
        </w:rPr>
        <w:t xml:space="preserve"> </w:t>
      </w:r>
      <w:r>
        <w:rPr>
          <w:rFonts w:ascii="宋体" w:hAnsi="宋体" w:eastAsia="宋体" w:cs="宋体"/>
          <w:spacing w:val="6"/>
          <w:sz w:val="20"/>
          <w:szCs w:val="20"/>
        </w:rPr>
        <w:t>款〔竣工结算审核〕约定颁发</w:t>
      </w:r>
      <w:r>
        <w:rPr>
          <w:rFonts w:ascii="宋体" w:hAnsi="宋体" w:eastAsia="宋体" w:cs="宋体"/>
          <w:spacing w:val="9"/>
          <w:sz w:val="20"/>
          <w:szCs w:val="20"/>
        </w:rPr>
        <w:t>竣工付款证书后，应被视为已无权再提出在工程接收证书颁发前所发生的任何索赔。</w:t>
      </w:r>
    </w:p>
    <w:p w14:paraId="01D97045">
      <w:pPr>
        <w:spacing w:before="1" w:line="346" w:lineRule="auto"/>
        <w:ind w:left="1" w:firstLine="430"/>
        <w:rPr>
          <w:rFonts w:ascii="宋体" w:hAnsi="宋体" w:eastAsia="宋体" w:cs="宋体"/>
          <w:sz w:val="20"/>
          <w:szCs w:val="20"/>
        </w:rPr>
      </w:pPr>
      <w:r>
        <w:rPr>
          <w:rFonts w:ascii="宋体" w:hAnsi="宋体" w:eastAsia="宋体" w:cs="宋体"/>
          <w:spacing w:val="9"/>
          <w:sz w:val="20"/>
          <w:szCs w:val="20"/>
        </w:rPr>
        <w:t>（2）承包人按第</w:t>
      </w:r>
      <w:r>
        <w:rPr>
          <w:rFonts w:ascii="宋体" w:hAnsi="宋体" w:eastAsia="宋体" w:cs="宋体"/>
          <w:spacing w:val="-24"/>
          <w:sz w:val="20"/>
          <w:szCs w:val="20"/>
        </w:rPr>
        <w:t xml:space="preserve"> </w:t>
      </w:r>
      <w:r>
        <w:rPr>
          <w:rFonts w:ascii="宋体" w:hAnsi="宋体" w:eastAsia="宋体" w:cs="宋体"/>
          <w:spacing w:val="9"/>
          <w:sz w:val="20"/>
          <w:szCs w:val="20"/>
        </w:rPr>
        <w:t>14.4</w:t>
      </w:r>
      <w:r>
        <w:rPr>
          <w:rFonts w:ascii="宋体" w:hAnsi="宋体" w:eastAsia="宋体" w:cs="宋体"/>
          <w:spacing w:val="-39"/>
          <w:sz w:val="20"/>
          <w:szCs w:val="20"/>
        </w:rPr>
        <w:t xml:space="preserve"> </w:t>
      </w:r>
      <w:r>
        <w:rPr>
          <w:rFonts w:ascii="宋体" w:hAnsi="宋体" w:eastAsia="宋体" w:cs="宋体"/>
          <w:spacing w:val="9"/>
          <w:sz w:val="20"/>
          <w:szCs w:val="20"/>
        </w:rPr>
        <w:t>款〔最终结清〕提交的最终结清申请单</w:t>
      </w:r>
      <w:r>
        <w:rPr>
          <w:rFonts w:ascii="宋体" w:hAnsi="宋体" w:eastAsia="宋体" w:cs="宋体"/>
          <w:spacing w:val="8"/>
          <w:sz w:val="20"/>
          <w:szCs w:val="20"/>
        </w:rPr>
        <w:t>中，只限于提出工程接收证书</w:t>
      </w:r>
      <w:r>
        <w:rPr>
          <w:rFonts w:ascii="宋体" w:hAnsi="宋体" w:eastAsia="宋体" w:cs="宋体"/>
          <w:spacing w:val="9"/>
          <w:sz w:val="20"/>
          <w:szCs w:val="20"/>
        </w:rPr>
        <w:t>颁发后发生的索赔。提出索赔的期限自接受最终结清证书时终止。</w:t>
      </w:r>
    </w:p>
    <w:p w14:paraId="698A26B6">
      <w:pPr>
        <w:spacing w:line="304" w:lineRule="auto"/>
        <w:rPr>
          <w:rFonts w:ascii="Arial"/>
          <w:sz w:val="21"/>
        </w:rPr>
      </w:pPr>
    </w:p>
    <w:p w14:paraId="696DB174">
      <w:pPr>
        <w:spacing w:before="66" w:line="228" w:lineRule="auto"/>
        <w:ind w:left="424"/>
        <w:outlineLvl w:val="2"/>
        <w:rPr>
          <w:rFonts w:ascii="宋体" w:hAnsi="宋体" w:eastAsia="宋体" w:cs="宋体"/>
          <w:sz w:val="20"/>
          <w:szCs w:val="20"/>
        </w:rPr>
      </w:pPr>
      <w:bookmarkStart w:id="325" w:name="bookmark308"/>
      <w:bookmarkEnd w:id="325"/>
      <w:r>
        <w:rPr>
          <w:rFonts w:ascii="宋体" w:hAnsi="宋体" w:eastAsia="宋体" w:cs="宋体"/>
          <w:b/>
          <w:bCs/>
          <w:spacing w:val="3"/>
          <w:sz w:val="20"/>
          <w:szCs w:val="20"/>
        </w:rPr>
        <w:t>20.</w:t>
      </w:r>
      <w:r>
        <w:rPr>
          <w:rFonts w:ascii="宋体" w:hAnsi="宋体" w:eastAsia="宋体" w:cs="宋体"/>
          <w:spacing w:val="17"/>
          <w:sz w:val="20"/>
          <w:szCs w:val="20"/>
        </w:rPr>
        <w:t xml:space="preserve"> </w:t>
      </w:r>
      <w:r>
        <w:rPr>
          <w:rFonts w:ascii="宋体" w:hAnsi="宋体" w:eastAsia="宋体" w:cs="宋体"/>
          <w:b/>
          <w:bCs/>
          <w:spacing w:val="3"/>
          <w:sz w:val="20"/>
          <w:szCs w:val="20"/>
        </w:rPr>
        <w:t>争议解决</w:t>
      </w:r>
    </w:p>
    <w:p w14:paraId="7722A4B6">
      <w:pPr>
        <w:spacing w:before="128" w:line="228" w:lineRule="auto"/>
        <w:ind w:left="424"/>
        <w:rPr>
          <w:rFonts w:ascii="宋体" w:hAnsi="宋体" w:eastAsia="宋体" w:cs="宋体"/>
          <w:sz w:val="20"/>
          <w:szCs w:val="20"/>
        </w:rPr>
      </w:pPr>
      <w:r>
        <w:rPr>
          <w:rFonts w:ascii="宋体" w:hAnsi="宋体" w:eastAsia="宋体" w:cs="宋体"/>
          <w:b/>
          <w:bCs/>
          <w:spacing w:val="1"/>
          <w:sz w:val="20"/>
          <w:szCs w:val="20"/>
        </w:rPr>
        <w:t>20.1</w:t>
      </w:r>
      <w:r>
        <w:rPr>
          <w:rFonts w:ascii="宋体" w:hAnsi="宋体" w:eastAsia="宋体" w:cs="宋体"/>
          <w:spacing w:val="17"/>
          <w:sz w:val="20"/>
          <w:szCs w:val="20"/>
        </w:rPr>
        <w:t xml:space="preserve"> </w:t>
      </w:r>
      <w:r>
        <w:rPr>
          <w:rFonts w:ascii="宋体" w:hAnsi="宋体" w:eastAsia="宋体" w:cs="宋体"/>
          <w:b/>
          <w:bCs/>
          <w:spacing w:val="1"/>
          <w:sz w:val="20"/>
          <w:szCs w:val="20"/>
        </w:rPr>
        <w:t>和解</w:t>
      </w:r>
    </w:p>
    <w:p w14:paraId="372B3A4A">
      <w:pPr>
        <w:spacing w:before="126" w:line="346" w:lineRule="auto"/>
        <w:ind w:firstLine="421"/>
        <w:rPr>
          <w:rFonts w:ascii="宋体" w:hAnsi="宋体" w:eastAsia="宋体" w:cs="宋体"/>
          <w:sz w:val="20"/>
          <w:szCs w:val="20"/>
        </w:rPr>
      </w:pPr>
      <w:r>
        <w:rPr>
          <w:rFonts w:ascii="宋体" w:hAnsi="宋体" w:eastAsia="宋体" w:cs="宋体"/>
          <w:spacing w:val="9"/>
          <w:sz w:val="20"/>
          <w:szCs w:val="20"/>
        </w:rPr>
        <w:t>合同当事人可以就争议自行和解，</w:t>
      </w:r>
      <w:r>
        <w:rPr>
          <w:rFonts w:ascii="宋体" w:hAnsi="宋体" w:eastAsia="宋体" w:cs="宋体"/>
          <w:spacing w:val="-49"/>
          <w:sz w:val="20"/>
          <w:szCs w:val="20"/>
        </w:rPr>
        <w:t xml:space="preserve"> </w:t>
      </w:r>
      <w:r>
        <w:rPr>
          <w:rFonts w:ascii="宋体" w:hAnsi="宋体" w:eastAsia="宋体" w:cs="宋体"/>
          <w:spacing w:val="9"/>
          <w:sz w:val="20"/>
          <w:szCs w:val="20"/>
        </w:rPr>
        <w:t>自行和解达成协议的经双方签字并盖章后作为合同补充文</w:t>
      </w:r>
      <w:r>
        <w:rPr>
          <w:rFonts w:ascii="宋体" w:hAnsi="宋体" w:eastAsia="宋体" w:cs="宋体"/>
          <w:spacing w:val="8"/>
          <w:sz w:val="20"/>
          <w:szCs w:val="20"/>
        </w:rPr>
        <w:t>件，双方均应遵照执行。</w:t>
      </w:r>
    </w:p>
    <w:p w14:paraId="7BDC3F5E">
      <w:pPr>
        <w:spacing w:before="1" w:line="228" w:lineRule="auto"/>
        <w:ind w:left="424"/>
        <w:rPr>
          <w:rFonts w:ascii="宋体" w:hAnsi="宋体" w:eastAsia="宋体" w:cs="宋体"/>
          <w:sz w:val="20"/>
          <w:szCs w:val="20"/>
        </w:rPr>
      </w:pPr>
      <w:r>
        <w:rPr>
          <w:rFonts w:ascii="宋体" w:hAnsi="宋体" w:eastAsia="宋体" w:cs="宋体"/>
          <w:b/>
          <w:bCs/>
          <w:spacing w:val="1"/>
          <w:sz w:val="20"/>
          <w:szCs w:val="20"/>
        </w:rPr>
        <w:t>20.2</w:t>
      </w:r>
      <w:r>
        <w:rPr>
          <w:rFonts w:ascii="宋体" w:hAnsi="宋体" w:eastAsia="宋体" w:cs="宋体"/>
          <w:spacing w:val="17"/>
          <w:sz w:val="20"/>
          <w:szCs w:val="20"/>
        </w:rPr>
        <w:t xml:space="preserve"> </w:t>
      </w:r>
      <w:r>
        <w:rPr>
          <w:rFonts w:ascii="宋体" w:hAnsi="宋体" w:eastAsia="宋体" w:cs="宋体"/>
          <w:b/>
          <w:bCs/>
          <w:spacing w:val="1"/>
          <w:sz w:val="20"/>
          <w:szCs w:val="20"/>
        </w:rPr>
        <w:t>调解</w:t>
      </w:r>
    </w:p>
    <w:p w14:paraId="7359652C">
      <w:pPr>
        <w:spacing w:before="126" w:line="346" w:lineRule="auto"/>
        <w:ind w:firstLine="424"/>
        <w:rPr>
          <w:rFonts w:ascii="宋体" w:hAnsi="宋体" w:eastAsia="宋体" w:cs="宋体"/>
          <w:sz w:val="20"/>
          <w:szCs w:val="20"/>
        </w:rPr>
      </w:pPr>
      <w:r>
        <w:rPr>
          <w:rFonts w:ascii="宋体" w:hAnsi="宋体" w:eastAsia="宋体" w:cs="宋体"/>
          <w:spacing w:val="8"/>
          <w:sz w:val="20"/>
          <w:szCs w:val="20"/>
        </w:rPr>
        <w:t>20.2.1</w:t>
      </w:r>
      <w:r>
        <w:rPr>
          <w:rFonts w:ascii="宋体" w:hAnsi="宋体" w:eastAsia="宋体" w:cs="宋体"/>
          <w:spacing w:val="-34"/>
          <w:sz w:val="20"/>
          <w:szCs w:val="20"/>
        </w:rPr>
        <w:t xml:space="preserve"> </w:t>
      </w:r>
      <w:r>
        <w:rPr>
          <w:rFonts w:ascii="宋体" w:hAnsi="宋体" w:eastAsia="宋体" w:cs="宋体"/>
          <w:spacing w:val="8"/>
          <w:sz w:val="20"/>
          <w:szCs w:val="20"/>
        </w:rPr>
        <w:t>合同当事人可以就争议请求建设行政主管部门、行业协会或其他第三方按其调解规则</w:t>
      </w:r>
      <w:r>
        <w:rPr>
          <w:rFonts w:ascii="宋体" w:hAnsi="宋体" w:eastAsia="宋体" w:cs="宋体"/>
          <w:spacing w:val="10"/>
          <w:sz w:val="20"/>
          <w:szCs w:val="20"/>
        </w:rPr>
        <w:t>进行调解，调解达成协议的，经双方签字并盖章</w:t>
      </w:r>
      <w:r>
        <w:rPr>
          <w:rFonts w:ascii="宋体" w:hAnsi="宋体" w:eastAsia="宋体" w:cs="宋体"/>
          <w:spacing w:val="9"/>
          <w:sz w:val="20"/>
          <w:szCs w:val="20"/>
        </w:rPr>
        <w:t>后作为合同补充文件，双方均应遵照执行。</w:t>
      </w:r>
    </w:p>
    <w:p w14:paraId="7189D026">
      <w:pPr>
        <w:spacing w:before="1" w:line="345" w:lineRule="auto"/>
        <w:ind w:left="5" w:firstLine="418"/>
        <w:rPr>
          <w:rFonts w:ascii="宋体" w:hAnsi="宋体" w:eastAsia="宋体" w:cs="宋体"/>
          <w:sz w:val="20"/>
          <w:szCs w:val="20"/>
        </w:rPr>
      </w:pPr>
      <w:r>
        <w:rPr>
          <w:rFonts w:ascii="宋体" w:hAnsi="宋体" w:eastAsia="宋体" w:cs="宋体"/>
          <w:spacing w:val="8"/>
          <w:sz w:val="20"/>
          <w:szCs w:val="20"/>
        </w:rPr>
        <w:t>20.2.2</w:t>
      </w:r>
      <w:r>
        <w:rPr>
          <w:rFonts w:ascii="宋体" w:hAnsi="宋体" w:eastAsia="宋体" w:cs="宋体"/>
          <w:spacing w:val="-34"/>
          <w:sz w:val="20"/>
          <w:szCs w:val="20"/>
        </w:rPr>
        <w:t xml:space="preserve"> </w:t>
      </w:r>
      <w:r>
        <w:rPr>
          <w:rFonts w:ascii="宋体" w:hAnsi="宋体" w:eastAsia="宋体" w:cs="宋体"/>
          <w:spacing w:val="8"/>
          <w:sz w:val="20"/>
          <w:szCs w:val="20"/>
        </w:rPr>
        <w:t>任何一方当事人不接受第三方调解或不履行第三方调解结果的，双方可选择采用其他</w:t>
      </w:r>
      <w:r>
        <w:rPr>
          <w:rFonts w:ascii="宋体" w:hAnsi="宋体" w:eastAsia="宋体" w:cs="宋体"/>
          <w:spacing w:val="6"/>
          <w:sz w:val="20"/>
          <w:szCs w:val="20"/>
        </w:rPr>
        <w:t>争议解决方式。</w:t>
      </w:r>
    </w:p>
    <w:p w14:paraId="7CC4B78E">
      <w:pPr>
        <w:spacing w:before="1" w:line="345" w:lineRule="auto"/>
        <w:ind w:left="3" w:firstLine="420"/>
        <w:rPr>
          <w:rFonts w:ascii="宋体" w:hAnsi="宋体" w:eastAsia="宋体" w:cs="宋体"/>
          <w:sz w:val="20"/>
          <w:szCs w:val="20"/>
        </w:rPr>
      </w:pPr>
      <w:r>
        <w:rPr>
          <w:rFonts w:ascii="宋体" w:hAnsi="宋体" w:eastAsia="宋体" w:cs="宋体"/>
          <w:spacing w:val="10"/>
          <w:sz w:val="20"/>
          <w:szCs w:val="20"/>
        </w:rPr>
        <w:t>20.2.3</w:t>
      </w:r>
      <w:r>
        <w:rPr>
          <w:rFonts w:ascii="宋体" w:hAnsi="宋体" w:eastAsia="宋体" w:cs="宋体"/>
          <w:spacing w:val="-20"/>
          <w:sz w:val="20"/>
          <w:szCs w:val="20"/>
        </w:rPr>
        <w:t xml:space="preserve"> </w:t>
      </w:r>
      <w:r>
        <w:rPr>
          <w:rFonts w:ascii="宋体" w:hAnsi="宋体" w:eastAsia="宋体" w:cs="宋体"/>
          <w:spacing w:val="10"/>
          <w:sz w:val="20"/>
          <w:szCs w:val="20"/>
        </w:rPr>
        <w:t>调解达成后，合同当事人可直接或委托第三方调解机构 将调解结果提交仲裁机构或人民法院进行确认。对确认后的调解结果如</w:t>
      </w:r>
      <w:r>
        <w:rPr>
          <w:rFonts w:ascii="宋体" w:hAnsi="宋体" w:eastAsia="宋体" w:cs="宋体"/>
          <w:spacing w:val="9"/>
          <w:sz w:val="20"/>
          <w:szCs w:val="20"/>
        </w:rPr>
        <w:t>一方拒绝履行，另一方可向人民法院申请强制执行。</w:t>
      </w:r>
    </w:p>
    <w:p w14:paraId="74FFE028">
      <w:pPr>
        <w:spacing w:before="1" w:line="227" w:lineRule="auto"/>
        <w:ind w:left="424"/>
        <w:rPr>
          <w:rFonts w:ascii="宋体" w:hAnsi="宋体" w:eastAsia="宋体" w:cs="宋体"/>
          <w:sz w:val="20"/>
          <w:szCs w:val="20"/>
        </w:rPr>
      </w:pPr>
      <w:r>
        <w:rPr>
          <w:rFonts w:ascii="宋体" w:hAnsi="宋体" w:eastAsia="宋体" w:cs="宋体"/>
          <w:b/>
          <w:bCs/>
          <w:spacing w:val="3"/>
          <w:sz w:val="20"/>
          <w:szCs w:val="20"/>
        </w:rPr>
        <w:t>20.3</w:t>
      </w:r>
      <w:r>
        <w:rPr>
          <w:rFonts w:ascii="宋体" w:hAnsi="宋体" w:eastAsia="宋体" w:cs="宋体"/>
          <w:spacing w:val="18"/>
          <w:sz w:val="20"/>
          <w:szCs w:val="20"/>
        </w:rPr>
        <w:t xml:space="preserve"> </w:t>
      </w:r>
      <w:r>
        <w:rPr>
          <w:rFonts w:ascii="宋体" w:hAnsi="宋体" w:eastAsia="宋体" w:cs="宋体"/>
          <w:b/>
          <w:bCs/>
          <w:spacing w:val="3"/>
          <w:sz w:val="20"/>
          <w:szCs w:val="20"/>
        </w:rPr>
        <w:t>争议评审</w:t>
      </w:r>
    </w:p>
    <w:p w14:paraId="351DDFE9">
      <w:pPr>
        <w:spacing w:before="127" w:line="346" w:lineRule="auto"/>
        <w:ind w:left="6" w:firstLine="415"/>
        <w:rPr>
          <w:rFonts w:ascii="宋体" w:hAnsi="宋体" w:eastAsia="宋体" w:cs="宋体"/>
          <w:sz w:val="20"/>
          <w:szCs w:val="20"/>
        </w:rPr>
      </w:pPr>
      <w:r>
        <w:rPr>
          <w:rFonts w:ascii="宋体" w:hAnsi="宋体" w:eastAsia="宋体" w:cs="宋体"/>
          <w:spacing w:val="10"/>
          <w:sz w:val="20"/>
          <w:szCs w:val="20"/>
        </w:rPr>
        <w:t>合同当事人可以在专用合同条款中约定采取争议评审方式解决争议以及评审规则，并按下列</w:t>
      </w:r>
      <w:r>
        <w:rPr>
          <w:rFonts w:ascii="宋体" w:hAnsi="宋体" w:eastAsia="宋体" w:cs="宋体"/>
          <w:spacing w:val="4"/>
          <w:sz w:val="20"/>
          <w:szCs w:val="20"/>
        </w:rPr>
        <w:t>约定执行：</w:t>
      </w:r>
    </w:p>
    <w:p w14:paraId="17CC26C2">
      <w:pPr>
        <w:spacing w:before="1" w:line="227" w:lineRule="auto"/>
        <w:ind w:left="424"/>
        <w:rPr>
          <w:rFonts w:ascii="宋体" w:hAnsi="宋体" w:eastAsia="宋体" w:cs="宋体"/>
          <w:sz w:val="20"/>
          <w:szCs w:val="20"/>
        </w:rPr>
      </w:pPr>
      <w:r>
        <w:rPr>
          <w:rFonts w:ascii="宋体" w:hAnsi="宋体" w:eastAsia="宋体" w:cs="宋体"/>
          <w:b/>
          <w:bCs/>
          <w:spacing w:val="5"/>
          <w:sz w:val="20"/>
          <w:szCs w:val="20"/>
        </w:rPr>
        <w:t>20.3.1</w:t>
      </w:r>
      <w:r>
        <w:rPr>
          <w:rFonts w:ascii="宋体" w:hAnsi="宋体" w:eastAsia="宋体" w:cs="宋体"/>
          <w:spacing w:val="5"/>
          <w:sz w:val="20"/>
          <w:szCs w:val="20"/>
        </w:rPr>
        <w:t xml:space="preserve"> </w:t>
      </w:r>
      <w:r>
        <w:rPr>
          <w:rFonts w:ascii="宋体" w:hAnsi="宋体" w:eastAsia="宋体" w:cs="宋体"/>
          <w:b/>
          <w:bCs/>
          <w:spacing w:val="5"/>
          <w:sz w:val="20"/>
          <w:szCs w:val="20"/>
        </w:rPr>
        <w:t>争议评审小组的确定</w:t>
      </w:r>
    </w:p>
    <w:p w14:paraId="29696274">
      <w:pPr>
        <w:spacing w:before="127" w:line="228" w:lineRule="auto"/>
        <w:jc w:val="right"/>
        <w:rPr>
          <w:rFonts w:ascii="宋体" w:hAnsi="宋体" w:eastAsia="宋体" w:cs="宋体"/>
          <w:sz w:val="20"/>
          <w:szCs w:val="20"/>
        </w:rPr>
      </w:pPr>
      <w:r>
        <w:rPr>
          <w:rFonts w:ascii="宋体" w:hAnsi="宋体" w:eastAsia="宋体" w:cs="宋体"/>
          <w:spacing w:val="10"/>
          <w:sz w:val="20"/>
          <w:szCs w:val="20"/>
        </w:rPr>
        <w:t>合同当事人可以共同选择一名或三名争议评审员，组成争议评审小组。除专用合同条款另有</w:t>
      </w:r>
    </w:p>
    <w:p w14:paraId="07CD17EB">
      <w:pPr>
        <w:spacing w:line="228" w:lineRule="auto"/>
        <w:rPr>
          <w:rFonts w:ascii="宋体" w:hAnsi="宋体" w:eastAsia="宋体" w:cs="宋体"/>
          <w:sz w:val="20"/>
          <w:szCs w:val="20"/>
        </w:rPr>
        <w:sectPr>
          <w:footerReference r:id="rId390" w:type="default"/>
          <w:pgSz w:w="11906" w:h="16839"/>
          <w:pgMar w:top="400" w:right="1533" w:bottom="1446" w:left="1537" w:header="0" w:footer="1284" w:gutter="0"/>
          <w:cols w:space="720" w:num="1"/>
        </w:sectPr>
      </w:pPr>
    </w:p>
    <w:p w14:paraId="1FC5B320">
      <w:pPr>
        <w:spacing w:line="246" w:lineRule="auto"/>
        <w:rPr>
          <w:rFonts w:ascii="Arial"/>
          <w:sz w:val="21"/>
        </w:rPr>
      </w:pPr>
    </w:p>
    <w:p w14:paraId="5D4F95C2">
      <w:pPr>
        <w:spacing w:line="246" w:lineRule="auto"/>
        <w:rPr>
          <w:rFonts w:ascii="Arial"/>
          <w:sz w:val="21"/>
        </w:rPr>
      </w:pPr>
    </w:p>
    <w:p w14:paraId="4B7EC645">
      <w:pPr>
        <w:spacing w:line="246" w:lineRule="auto"/>
        <w:rPr>
          <w:rFonts w:ascii="Arial"/>
          <w:sz w:val="21"/>
        </w:rPr>
      </w:pPr>
    </w:p>
    <w:p w14:paraId="45285302">
      <w:pPr>
        <w:spacing w:line="246" w:lineRule="auto"/>
        <w:rPr>
          <w:rFonts w:ascii="Arial"/>
          <w:sz w:val="21"/>
        </w:rPr>
      </w:pPr>
    </w:p>
    <w:p w14:paraId="272818D2">
      <w:pPr>
        <w:spacing w:line="247" w:lineRule="auto"/>
        <w:rPr>
          <w:rFonts w:ascii="Arial"/>
          <w:sz w:val="21"/>
        </w:rPr>
      </w:pPr>
    </w:p>
    <w:p w14:paraId="5BD6995A">
      <w:pPr>
        <w:spacing w:line="247" w:lineRule="auto"/>
        <w:rPr>
          <w:rFonts w:ascii="Arial"/>
          <w:sz w:val="21"/>
        </w:rPr>
      </w:pPr>
    </w:p>
    <w:p w14:paraId="0D0135DF">
      <w:pPr>
        <w:spacing w:before="65" w:line="228" w:lineRule="auto"/>
        <w:ind w:left="5"/>
        <w:rPr>
          <w:rFonts w:ascii="宋体" w:hAnsi="宋体" w:eastAsia="宋体" w:cs="宋体"/>
          <w:sz w:val="20"/>
          <w:szCs w:val="20"/>
        </w:rPr>
      </w:pPr>
      <w:r>
        <w:rPr>
          <w:rFonts w:ascii="宋体" w:hAnsi="宋体" w:eastAsia="宋体" w:cs="宋体"/>
          <w:spacing w:val="7"/>
          <w:sz w:val="20"/>
          <w:szCs w:val="20"/>
        </w:rPr>
        <w:t>约定外，合同当事人应当自合同签订后</w:t>
      </w:r>
      <w:r>
        <w:rPr>
          <w:rFonts w:ascii="宋体" w:hAnsi="宋体" w:eastAsia="宋体" w:cs="宋体"/>
          <w:spacing w:val="-20"/>
          <w:sz w:val="20"/>
          <w:szCs w:val="20"/>
        </w:rPr>
        <w:t xml:space="preserve"> </w:t>
      </w:r>
      <w:r>
        <w:rPr>
          <w:rFonts w:ascii="宋体" w:hAnsi="宋体" w:eastAsia="宋体" w:cs="宋体"/>
          <w:spacing w:val="7"/>
          <w:sz w:val="20"/>
          <w:szCs w:val="20"/>
        </w:rPr>
        <w:t>28</w:t>
      </w:r>
      <w:r>
        <w:rPr>
          <w:rFonts w:ascii="宋体" w:hAnsi="宋体" w:eastAsia="宋体" w:cs="宋体"/>
          <w:spacing w:val="-33"/>
          <w:sz w:val="20"/>
          <w:szCs w:val="20"/>
        </w:rPr>
        <w:t xml:space="preserve"> </w:t>
      </w:r>
      <w:r>
        <w:rPr>
          <w:rFonts w:ascii="宋体" w:hAnsi="宋体" w:eastAsia="宋体" w:cs="宋体"/>
          <w:spacing w:val="7"/>
          <w:sz w:val="20"/>
          <w:szCs w:val="20"/>
        </w:rPr>
        <w:t>天内，或者争议发生后</w:t>
      </w:r>
      <w:r>
        <w:rPr>
          <w:rFonts w:ascii="宋体" w:hAnsi="宋体" w:eastAsia="宋体" w:cs="宋体"/>
          <w:spacing w:val="-24"/>
          <w:sz w:val="20"/>
          <w:szCs w:val="20"/>
        </w:rPr>
        <w:t xml:space="preserve"> </w:t>
      </w:r>
      <w:r>
        <w:rPr>
          <w:rFonts w:ascii="宋体" w:hAnsi="宋体" w:eastAsia="宋体" w:cs="宋体"/>
          <w:spacing w:val="7"/>
          <w:sz w:val="20"/>
          <w:szCs w:val="20"/>
        </w:rPr>
        <w:t>14</w:t>
      </w:r>
      <w:r>
        <w:rPr>
          <w:rFonts w:ascii="宋体" w:hAnsi="宋体" w:eastAsia="宋体" w:cs="宋体"/>
          <w:spacing w:val="-34"/>
          <w:sz w:val="20"/>
          <w:szCs w:val="20"/>
        </w:rPr>
        <w:t xml:space="preserve"> </w:t>
      </w:r>
      <w:r>
        <w:rPr>
          <w:rFonts w:ascii="宋体" w:hAnsi="宋体" w:eastAsia="宋体" w:cs="宋体"/>
          <w:spacing w:val="7"/>
          <w:sz w:val="20"/>
          <w:szCs w:val="20"/>
        </w:rPr>
        <w:t>天内，选定争议评审员。</w:t>
      </w:r>
    </w:p>
    <w:p w14:paraId="6023CDBE">
      <w:pPr>
        <w:spacing w:before="126" w:line="346" w:lineRule="auto"/>
        <w:ind w:firstLine="420"/>
        <w:jc w:val="both"/>
        <w:rPr>
          <w:rFonts w:ascii="宋体" w:hAnsi="宋体" w:eastAsia="宋体" w:cs="宋体"/>
          <w:sz w:val="20"/>
          <w:szCs w:val="20"/>
        </w:rPr>
      </w:pPr>
      <w:r>
        <w:rPr>
          <w:rFonts w:ascii="宋体" w:hAnsi="宋体" w:eastAsia="宋体" w:cs="宋体"/>
          <w:spacing w:val="10"/>
          <w:sz w:val="20"/>
          <w:szCs w:val="20"/>
        </w:rPr>
        <w:t>选择一名争议评审员的，由合同当事人共同确定；选择三名争议评审员的，各自选定一名，第三名成员为首席争议评审员，由合同当事人共同确定或由合同当事人委托已选定的争议评审员</w:t>
      </w:r>
      <w:r>
        <w:rPr>
          <w:rFonts w:ascii="宋体" w:hAnsi="宋体" w:eastAsia="宋体" w:cs="宋体"/>
          <w:spacing w:val="9"/>
          <w:sz w:val="20"/>
          <w:szCs w:val="20"/>
        </w:rPr>
        <w:t>共同确定，或由专用合同条款约定的评审机构指定第三名首席争议评审员。</w:t>
      </w:r>
    </w:p>
    <w:p w14:paraId="308458C6">
      <w:pPr>
        <w:spacing w:line="227" w:lineRule="auto"/>
        <w:ind w:left="433"/>
        <w:rPr>
          <w:rFonts w:ascii="宋体" w:hAnsi="宋体" w:eastAsia="宋体" w:cs="宋体"/>
          <w:sz w:val="20"/>
          <w:szCs w:val="20"/>
        </w:rPr>
      </w:pPr>
      <w:r>
        <w:rPr>
          <w:rFonts w:ascii="宋体" w:hAnsi="宋体" w:eastAsia="宋体" w:cs="宋体"/>
          <w:spacing w:val="9"/>
          <w:sz w:val="20"/>
          <w:szCs w:val="20"/>
        </w:rPr>
        <w:t>除专用合同条款另有约定外，评审员报酬由发包人和承包人各承担一半。</w:t>
      </w:r>
    </w:p>
    <w:p w14:paraId="08DBAB32">
      <w:pPr>
        <w:spacing w:before="127" w:line="228" w:lineRule="auto"/>
        <w:ind w:left="423"/>
        <w:rPr>
          <w:rFonts w:ascii="宋体" w:hAnsi="宋体" w:eastAsia="宋体" w:cs="宋体"/>
          <w:sz w:val="20"/>
          <w:szCs w:val="20"/>
        </w:rPr>
      </w:pPr>
      <w:r>
        <w:rPr>
          <w:rFonts w:ascii="宋体" w:hAnsi="宋体" w:eastAsia="宋体" w:cs="宋体"/>
          <w:b/>
          <w:bCs/>
          <w:spacing w:val="5"/>
          <w:sz w:val="20"/>
          <w:szCs w:val="20"/>
        </w:rPr>
        <w:t>20.3.2</w:t>
      </w:r>
      <w:r>
        <w:rPr>
          <w:rFonts w:ascii="宋体" w:hAnsi="宋体" w:eastAsia="宋体" w:cs="宋体"/>
          <w:spacing w:val="5"/>
          <w:sz w:val="20"/>
          <w:szCs w:val="20"/>
        </w:rPr>
        <w:t xml:space="preserve"> </w:t>
      </w:r>
      <w:r>
        <w:rPr>
          <w:rFonts w:ascii="宋体" w:hAnsi="宋体" w:eastAsia="宋体" w:cs="宋体"/>
          <w:b/>
          <w:bCs/>
          <w:spacing w:val="5"/>
          <w:sz w:val="20"/>
          <w:szCs w:val="20"/>
        </w:rPr>
        <w:t>争议评审小组的决定</w:t>
      </w:r>
    </w:p>
    <w:p w14:paraId="2FD8AC08">
      <w:pPr>
        <w:spacing w:before="126" w:line="346" w:lineRule="auto"/>
        <w:ind w:left="2" w:firstLine="419"/>
        <w:jc w:val="both"/>
        <w:rPr>
          <w:rFonts w:ascii="宋体" w:hAnsi="宋体" w:eastAsia="宋体" w:cs="宋体"/>
          <w:sz w:val="20"/>
          <w:szCs w:val="20"/>
        </w:rPr>
      </w:pPr>
      <w:r>
        <w:rPr>
          <w:rFonts w:ascii="宋体" w:hAnsi="宋体" w:eastAsia="宋体" w:cs="宋体"/>
          <w:spacing w:val="10"/>
          <w:sz w:val="20"/>
          <w:szCs w:val="20"/>
        </w:rPr>
        <w:t>合同当事人可在任何时间将与合同有关的任何争议共同提请争议评审小组进行评审。争议评审小组应秉持客观、公正原则，充分听取合同当事人的意见，依据相关法律、规范、标准、案例</w:t>
      </w:r>
      <w:r>
        <w:rPr>
          <w:rFonts w:ascii="宋体" w:hAnsi="宋体" w:eastAsia="宋体" w:cs="宋体"/>
          <w:spacing w:val="7"/>
          <w:sz w:val="20"/>
          <w:szCs w:val="20"/>
        </w:rPr>
        <w:t>经验及商业惯例等，自收到争议评审申请报告后</w:t>
      </w:r>
      <w:r>
        <w:rPr>
          <w:rFonts w:ascii="宋体" w:hAnsi="宋体" w:eastAsia="宋体" w:cs="宋体"/>
          <w:spacing w:val="-21"/>
          <w:sz w:val="20"/>
          <w:szCs w:val="20"/>
        </w:rPr>
        <w:t xml:space="preserve"> </w:t>
      </w:r>
      <w:r>
        <w:rPr>
          <w:rFonts w:ascii="宋体" w:hAnsi="宋体" w:eastAsia="宋体" w:cs="宋体"/>
          <w:spacing w:val="7"/>
          <w:sz w:val="20"/>
          <w:szCs w:val="20"/>
        </w:rPr>
        <w:t>14</w:t>
      </w:r>
      <w:r>
        <w:rPr>
          <w:rFonts w:ascii="宋体" w:hAnsi="宋体" w:eastAsia="宋体" w:cs="宋体"/>
          <w:spacing w:val="-37"/>
          <w:sz w:val="20"/>
          <w:szCs w:val="20"/>
        </w:rPr>
        <w:t xml:space="preserve"> </w:t>
      </w:r>
      <w:r>
        <w:rPr>
          <w:rFonts w:ascii="宋体" w:hAnsi="宋体" w:eastAsia="宋体" w:cs="宋体"/>
          <w:spacing w:val="7"/>
          <w:sz w:val="20"/>
          <w:szCs w:val="20"/>
        </w:rPr>
        <w:t>天内作出书面决</w:t>
      </w:r>
      <w:r>
        <w:rPr>
          <w:rFonts w:ascii="宋体" w:hAnsi="宋体" w:eastAsia="宋体" w:cs="宋体"/>
          <w:spacing w:val="6"/>
          <w:sz w:val="20"/>
          <w:szCs w:val="20"/>
        </w:rPr>
        <w:t>定，并说明理由。合同当事人</w:t>
      </w:r>
      <w:r>
        <w:rPr>
          <w:rFonts w:ascii="宋体" w:hAnsi="宋体" w:eastAsia="宋体" w:cs="宋体"/>
          <w:spacing w:val="8"/>
          <w:sz w:val="20"/>
          <w:szCs w:val="20"/>
        </w:rPr>
        <w:t>可以在专用合同条款中对本项事项另行约定。</w:t>
      </w:r>
    </w:p>
    <w:p w14:paraId="673C716D">
      <w:pPr>
        <w:spacing w:line="227" w:lineRule="auto"/>
        <w:ind w:left="423"/>
        <w:rPr>
          <w:rFonts w:ascii="宋体" w:hAnsi="宋体" w:eastAsia="宋体" w:cs="宋体"/>
          <w:sz w:val="20"/>
          <w:szCs w:val="20"/>
        </w:rPr>
      </w:pPr>
      <w:r>
        <w:rPr>
          <w:rFonts w:ascii="宋体" w:hAnsi="宋体" w:eastAsia="宋体" w:cs="宋体"/>
          <w:b/>
          <w:bCs/>
          <w:spacing w:val="6"/>
          <w:sz w:val="20"/>
          <w:szCs w:val="20"/>
        </w:rPr>
        <w:t>20.3.3</w:t>
      </w:r>
      <w:r>
        <w:rPr>
          <w:rFonts w:ascii="宋体" w:hAnsi="宋体" w:eastAsia="宋体" w:cs="宋体"/>
          <w:spacing w:val="6"/>
          <w:sz w:val="20"/>
          <w:szCs w:val="20"/>
        </w:rPr>
        <w:t xml:space="preserve"> </w:t>
      </w:r>
      <w:r>
        <w:rPr>
          <w:rFonts w:ascii="宋体" w:hAnsi="宋体" w:eastAsia="宋体" w:cs="宋体"/>
          <w:b/>
          <w:bCs/>
          <w:spacing w:val="6"/>
          <w:sz w:val="20"/>
          <w:szCs w:val="20"/>
        </w:rPr>
        <w:t>争议评审小组决定的效力</w:t>
      </w:r>
    </w:p>
    <w:p w14:paraId="5B6E9235">
      <w:pPr>
        <w:spacing w:before="127" w:line="346" w:lineRule="auto"/>
        <w:ind w:left="4" w:firstLine="420"/>
        <w:rPr>
          <w:rFonts w:ascii="宋体" w:hAnsi="宋体" w:eastAsia="宋体" w:cs="宋体"/>
          <w:sz w:val="20"/>
          <w:szCs w:val="20"/>
        </w:rPr>
      </w:pPr>
      <w:r>
        <w:rPr>
          <w:rFonts w:ascii="宋体" w:hAnsi="宋体" w:eastAsia="宋体" w:cs="宋体"/>
          <w:spacing w:val="10"/>
          <w:sz w:val="20"/>
          <w:szCs w:val="20"/>
        </w:rPr>
        <w:t>争议评审小组作出的书面决定经合同当事人签字确认后，对双方具有约束力，双方应遵照执</w:t>
      </w:r>
      <w:r>
        <w:rPr>
          <w:rFonts w:ascii="宋体" w:hAnsi="宋体" w:eastAsia="宋体" w:cs="宋体"/>
          <w:spacing w:val="-2"/>
          <w:sz w:val="20"/>
          <w:szCs w:val="20"/>
        </w:rPr>
        <w:t>行。</w:t>
      </w:r>
    </w:p>
    <w:p w14:paraId="3B528F3B">
      <w:pPr>
        <w:spacing w:before="1" w:line="345" w:lineRule="auto"/>
        <w:ind w:firstLine="419"/>
        <w:rPr>
          <w:rFonts w:ascii="宋体" w:hAnsi="宋体" w:eastAsia="宋体" w:cs="宋体"/>
          <w:sz w:val="20"/>
          <w:szCs w:val="20"/>
        </w:rPr>
      </w:pPr>
      <w:r>
        <w:rPr>
          <w:rFonts w:ascii="宋体" w:hAnsi="宋体" w:eastAsia="宋体" w:cs="宋体"/>
          <w:spacing w:val="10"/>
          <w:sz w:val="20"/>
          <w:szCs w:val="20"/>
        </w:rPr>
        <w:t>任何一方当事人不接受争议评审小组决定或不履行争议评审小组决定的，双方可选择采用其</w:t>
      </w:r>
      <w:r>
        <w:rPr>
          <w:rFonts w:ascii="宋体" w:hAnsi="宋体" w:eastAsia="宋体" w:cs="宋体"/>
          <w:spacing w:val="7"/>
          <w:sz w:val="20"/>
          <w:szCs w:val="20"/>
        </w:rPr>
        <w:t>他争议解决方式。</w:t>
      </w:r>
    </w:p>
    <w:p w14:paraId="66E2CC3A">
      <w:pPr>
        <w:spacing w:before="1" w:line="227" w:lineRule="auto"/>
        <w:ind w:left="423"/>
        <w:rPr>
          <w:rFonts w:ascii="宋体" w:hAnsi="宋体" w:eastAsia="宋体" w:cs="宋体"/>
          <w:sz w:val="20"/>
          <w:szCs w:val="20"/>
        </w:rPr>
      </w:pPr>
      <w:r>
        <w:rPr>
          <w:rFonts w:ascii="宋体" w:hAnsi="宋体" w:eastAsia="宋体" w:cs="宋体"/>
          <w:b/>
          <w:bCs/>
          <w:spacing w:val="4"/>
          <w:sz w:val="20"/>
          <w:szCs w:val="20"/>
        </w:rPr>
        <w:t>20.4</w:t>
      </w:r>
      <w:r>
        <w:rPr>
          <w:rFonts w:ascii="宋体" w:hAnsi="宋体" w:eastAsia="宋体" w:cs="宋体"/>
          <w:spacing w:val="4"/>
          <w:sz w:val="20"/>
          <w:szCs w:val="20"/>
        </w:rPr>
        <w:t xml:space="preserve"> </w:t>
      </w:r>
      <w:r>
        <w:rPr>
          <w:rFonts w:ascii="宋体" w:hAnsi="宋体" w:eastAsia="宋体" w:cs="宋体"/>
          <w:b/>
          <w:bCs/>
          <w:spacing w:val="4"/>
          <w:sz w:val="20"/>
          <w:szCs w:val="20"/>
        </w:rPr>
        <w:t>仲裁或诉讼</w:t>
      </w:r>
    </w:p>
    <w:p w14:paraId="512F3D48">
      <w:pPr>
        <w:spacing w:before="127" w:line="346" w:lineRule="auto"/>
        <w:ind w:left="7" w:firstLine="429"/>
        <w:rPr>
          <w:rFonts w:ascii="宋体" w:hAnsi="宋体" w:eastAsia="宋体" w:cs="宋体"/>
          <w:sz w:val="20"/>
          <w:szCs w:val="20"/>
        </w:rPr>
      </w:pPr>
      <w:r>
        <w:rPr>
          <w:rFonts w:ascii="宋体" w:hAnsi="宋体" w:eastAsia="宋体" w:cs="宋体"/>
          <w:spacing w:val="10"/>
          <w:sz w:val="20"/>
          <w:szCs w:val="20"/>
        </w:rPr>
        <w:t>因合同及合同有关事项产生的争议，合同当事人可以在专用合同条款中约定以下</w:t>
      </w:r>
      <w:r>
        <w:rPr>
          <w:rFonts w:ascii="宋体" w:hAnsi="宋体" w:eastAsia="宋体" w:cs="宋体"/>
          <w:spacing w:val="9"/>
          <w:sz w:val="20"/>
          <w:szCs w:val="20"/>
        </w:rPr>
        <w:t>一种方式解</w:t>
      </w:r>
      <w:r>
        <w:rPr>
          <w:rFonts w:ascii="宋体" w:hAnsi="宋体" w:eastAsia="宋体" w:cs="宋体"/>
          <w:spacing w:val="3"/>
          <w:sz w:val="20"/>
          <w:szCs w:val="20"/>
        </w:rPr>
        <w:t>决争议：</w:t>
      </w:r>
    </w:p>
    <w:p w14:paraId="609B6554">
      <w:pPr>
        <w:spacing w:before="1" w:line="226" w:lineRule="auto"/>
        <w:ind w:left="430"/>
        <w:rPr>
          <w:rFonts w:ascii="宋体" w:hAnsi="宋体" w:eastAsia="宋体" w:cs="宋体"/>
          <w:sz w:val="20"/>
          <w:szCs w:val="20"/>
        </w:rPr>
      </w:pPr>
      <w:r>
        <w:rPr>
          <w:rFonts w:ascii="宋体" w:hAnsi="宋体" w:eastAsia="宋体" w:cs="宋体"/>
          <w:spacing w:val="7"/>
          <w:sz w:val="20"/>
          <w:szCs w:val="20"/>
        </w:rPr>
        <w:t>（1）向约定的仲裁委员会申请仲裁；</w:t>
      </w:r>
    </w:p>
    <w:p w14:paraId="465C9C19">
      <w:pPr>
        <w:spacing w:before="128" w:line="227" w:lineRule="auto"/>
        <w:ind w:left="430"/>
        <w:rPr>
          <w:rFonts w:ascii="宋体" w:hAnsi="宋体" w:eastAsia="宋体" w:cs="宋体"/>
          <w:sz w:val="20"/>
          <w:szCs w:val="20"/>
        </w:rPr>
      </w:pPr>
      <w:r>
        <w:rPr>
          <w:rFonts w:ascii="宋体" w:hAnsi="宋体" w:eastAsia="宋体" w:cs="宋体"/>
          <w:spacing w:val="7"/>
          <w:sz w:val="20"/>
          <w:szCs w:val="20"/>
        </w:rPr>
        <w:t>（2）向有管辖权的人民法院起诉。</w:t>
      </w:r>
    </w:p>
    <w:p w14:paraId="38E3BAF6">
      <w:pPr>
        <w:spacing w:before="128" w:line="228" w:lineRule="auto"/>
        <w:ind w:left="423"/>
        <w:rPr>
          <w:rFonts w:ascii="宋体" w:hAnsi="宋体" w:eastAsia="宋体" w:cs="宋体"/>
          <w:sz w:val="20"/>
          <w:szCs w:val="20"/>
        </w:rPr>
      </w:pPr>
      <w:r>
        <w:rPr>
          <w:rFonts w:ascii="宋体" w:hAnsi="宋体" w:eastAsia="宋体" w:cs="宋体"/>
          <w:b/>
          <w:bCs/>
          <w:spacing w:val="5"/>
          <w:sz w:val="20"/>
          <w:szCs w:val="20"/>
        </w:rPr>
        <w:t>20.5</w:t>
      </w:r>
      <w:r>
        <w:rPr>
          <w:rFonts w:ascii="宋体" w:hAnsi="宋体" w:eastAsia="宋体" w:cs="宋体"/>
          <w:spacing w:val="5"/>
          <w:sz w:val="20"/>
          <w:szCs w:val="20"/>
        </w:rPr>
        <w:t xml:space="preserve"> </w:t>
      </w:r>
      <w:r>
        <w:rPr>
          <w:rFonts w:ascii="宋体" w:hAnsi="宋体" w:eastAsia="宋体" w:cs="宋体"/>
          <w:b/>
          <w:bCs/>
          <w:spacing w:val="5"/>
          <w:sz w:val="20"/>
          <w:szCs w:val="20"/>
        </w:rPr>
        <w:t>争议解决条款效力</w:t>
      </w:r>
    </w:p>
    <w:p w14:paraId="77BB2BCD">
      <w:pPr>
        <w:spacing w:before="128" w:line="347" w:lineRule="auto"/>
        <w:ind w:left="5" w:firstLine="415"/>
        <w:rPr>
          <w:rFonts w:ascii="宋体" w:hAnsi="宋体" w:eastAsia="宋体" w:cs="宋体"/>
          <w:sz w:val="20"/>
          <w:szCs w:val="20"/>
        </w:rPr>
      </w:pPr>
      <w:r>
        <w:rPr>
          <w:rFonts w:ascii="宋体" w:hAnsi="宋体" w:eastAsia="宋体" w:cs="宋体"/>
          <w:spacing w:val="10"/>
          <w:sz w:val="20"/>
          <w:szCs w:val="20"/>
        </w:rPr>
        <w:t>合同有关争议解决的条款独立存在，合同的变更、解除、终止、无效或者被撤销均不影响其</w:t>
      </w:r>
      <w:r>
        <w:rPr>
          <w:rFonts w:ascii="宋体" w:hAnsi="宋体" w:eastAsia="宋体" w:cs="宋体"/>
          <w:spacing w:val="1"/>
          <w:sz w:val="20"/>
          <w:szCs w:val="20"/>
        </w:rPr>
        <w:t>效力。</w:t>
      </w:r>
    </w:p>
    <w:p w14:paraId="1FAD8739">
      <w:pPr>
        <w:spacing w:line="347" w:lineRule="auto"/>
        <w:rPr>
          <w:rFonts w:ascii="宋体" w:hAnsi="宋体" w:eastAsia="宋体" w:cs="宋体"/>
          <w:sz w:val="20"/>
          <w:szCs w:val="20"/>
        </w:rPr>
        <w:sectPr>
          <w:footerReference r:id="rId391" w:type="default"/>
          <w:pgSz w:w="11906" w:h="16839"/>
          <w:pgMar w:top="400" w:right="1533" w:bottom="1446" w:left="1538" w:header="0" w:footer="1284" w:gutter="0"/>
          <w:cols w:space="720" w:num="1"/>
        </w:sectPr>
      </w:pPr>
    </w:p>
    <w:p w14:paraId="467CC133">
      <w:pPr>
        <w:spacing w:line="265" w:lineRule="auto"/>
        <w:rPr>
          <w:rFonts w:ascii="Arial"/>
          <w:sz w:val="21"/>
        </w:rPr>
      </w:pPr>
    </w:p>
    <w:p w14:paraId="5016F945">
      <w:pPr>
        <w:spacing w:line="265" w:lineRule="auto"/>
        <w:rPr>
          <w:rFonts w:ascii="Arial"/>
          <w:sz w:val="21"/>
        </w:rPr>
      </w:pPr>
    </w:p>
    <w:p w14:paraId="62416D31">
      <w:pPr>
        <w:spacing w:line="265" w:lineRule="auto"/>
        <w:rPr>
          <w:rFonts w:ascii="Arial"/>
          <w:sz w:val="21"/>
        </w:rPr>
      </w:pPr>
    </w:p>
    <w:p w14:paraId="3177316D">
      <w:pPr>
        <w:spacing w:line="265" w:lineRule="auto"/>
        <w:rPr>
          <w:rFonts w:ascii="Arial"/>
          <w:sz w:val="21"/>
        </w:rPr>
      </w:pPr>
    </w:p>
    <w:p w14:paraId="63217D28">
      <w:pPr>
        <w:spacing w:line="265" w:lineRule="auto"/>
        <w:rPr>
          <w:rFonts w:ascii="Arial"/>
          <w:sz w:val="21"/>
        </w:rPr>
      </w:pPr>
    </w:p>
    <w:p w14:paraId="349B7D39">
      <w:pPr>
        <w:spacing w:line="266" w:lineRule="auto"/>
        <w:rPr>
          <w:rFonts w:ascii="Arial"/>
          <w:sz w:val="21"/>
        </w:rPr>
      </w:pPr>
    </w:p>
    <w:p w14:paraId="1A71F277">
      <w:pPr>
        <w:spacing w:line="266" w:lineRule="auto"/>
        <w:rPr>
          <w:rFonts w:ascii="Arial"/>
          <w:sz w:val="21"/>
        </w:rPr>
      </w:pPr>
    </w:p>
    <w:p w14:paraId="129034C7">
      <w:pPr>
        <w:spacing w:line="266" w:lineRule="auto"/>
        <w:rPr>
          <w:rFonts w:ascii="Arial"/>
          <w:sz w:val="21"/>
        </w:rPr>
      </w:pPr>
    </w:p>
    <w:p w14:paraId="3897EDF7">
      <w:pPr>
        <w:pStyle w:val="2"/>
        <w:spacing w:before="91" w:line="222" w:lineRule="auto"/>
        <w:ind w:left="2638"/>
        <w:outlineLvl w:val="1"/>
        <w:rPr>
          <w:sz w:val="28"/>
          <w:szCs w:val="28"/>
        </w:rPr>
      </w:pPr>
      <w:bookmarkStart w:id="326" w:name="bookmark309"/>
      <w:bookmarkEnd w:id="326"/>
      <w:r>
        <w:rPr>
          <w:spacing w:val="-1"/>
          <w:sz w:val="28"/>
          <w:szCs w:val="28"/>
        </w:rPr>
        <w:t>第三部分  专用合同条款</w:t>
      </w:r>
    </w:p>
    <w:p w14:paraId="35CDE33F">
      <w:pPr>
        <w:spacing w:line="404" w:lineRule="auto"/>
        <w:rPr>
          <w:rFonts w:ascii="Arial"/>
          <w:sz w:val="21"/>
        </w:rPr>
      </w:pPr>
    </w:p>
    <w:p w14:paraId="0C26549C">
      <w:pPr>
        <w:spacing w:before="65" w:line="228" w:lineRule="auto"/>
        <w:ind w:left="188"/>
        <w:outlineLvl w:val="2"/>
        <w:rPr>
          <w:rFonts w:ascii="宋体" w:hAnsi="宋体" w:eastAsia="宋体" w:cs="宋体"/>
          <w:sz w:val="20"/>
          <w:szCs w:val="20"/>
        </w:rPr>
      </w:pPr>
      <w:bookmarkStart w:id="327" w:name="bookmark310"/>
      <w:bookmarkEnd w:id="327"/>
      <w:r>
        <w:rPr>
          <w:rFonts w:ascii="宋体" w:hAnsi="宋体" w:eastAsia="宋体" w:cs="宋体"/>
          <w:b/>
          <w:bCs/>
          <w:spacing w:val="1"/>
          <w:sz w:val="20"/>
          <w:szCs w:val="20"/>
        </w:rPr>
        <w:t>1.</w:t>
      </w:r>
      <w:r>
        <w:rPr>
          <w:rFonts w:ascii="宋体" w:hAnsi="宋体" w:eastAsia="宋体" w:cs="宋体"/>
          <w:spacing w:val="16"/>
          <w:sz w:val="20"/>
          <w:szCs w:val="20"/>
        </w:rPr>
        <w:t xml:space="preserve"> </w:t>
      </w:r>
      <w:r>
        <w:rPr>
          <w:rFonts w:ascii="宋体" w:hAnsi="宋体" w:eastAsia="宋体" w:cs="宋体"/>
          <w:b/>
          <w:bCs/>
          <w:spacing w:val="1"/>
          <w:sz w:val="20"/>
          <w:szCs w:val="20"/>
        </w:rPr>
        <w:t>一般约定</w:t>
      </w:r>
    </w:p>
    <w:p w14:paraId="68992CCA">
      <w:pPr>
        <w:spacing w:before="127" w:line="228" w:lineRule="auto"/>
        <w:ind w:left="188"/>
        <w:rPr>
          <w:rFonts w:ascii="宋体" w:hAnsi="宋体" w:eastAsia="宋体" w:cs="宋体"/>
          <w:sz w:val="20"/>
          <w:szCs w:val="20"/>
        </w:rPr>
      </w:pPr>
      <w:r>
        <w:rPr>
          <w:rFonts w:ascii="宋体" w:hAnsi="宋体" w:eastAsia="宋体" w:cs="宋体"/>
          <w:b/>
          <w:bCs/>
          <w:spacing w:val="1"/>
          <w:sz w:val="20"/>
          <w:szCs w:val="20"/>
        </w:rPr>
        <w:t>1.1</w:t>
      </w:r>
      <w:r>
        <w:rPr>
          <w:rFonts w:ascii="宋体" w:hAnsi="宋体" w:eastAsia="宋体" w:cs="宋体"/>
          <w:spacing w:val="18"/>
          <w:sz w:val="20"/>
          <w:szCs w:val="20"/>
        </w:rPr>
        <w:t xml:space="preserve"> </w:t>
      </w:r>
      <w:r>
        <w:rPr>
          <w:rFonts w:ascii="宋体" w:hAnsi="宋体" w:eastAsia="宋体" w:cs="宋体"/>
          <w:b/>
          <w:bCs/>
          <w:spacing w:val="1"/>
          <w:sz w:val="20"/>
          <w:szCs w:val="20"/>
        </w:rPr>
        <w:t>词语定义</w:t>
      </w:r>
    </w:p>
    <w:p w14:paraId="329E9401">
      <w:pPr>
        <w:spacing w:before="126" w:line="230" w:lineRule="auto"/>
        <w:ind w:left="188"/>
        <w:rPr>
          <w:rFonts w:ascii="宋体" w:hAnsi="宋体" w:eastAsia="宋体" w:cs="宋体"/>
          <w:sz w:val="20"/>
          <w:szCs w:val="20"/>
        </w:rPr>
      </w:pPr>
      <w:r>
        <w:rPr>
          <w:rFonts w:ascii="宋体" w:hAnsi="宋体" w:eastAsia="宋体" w:cs="宋体"/>
          <w:b/>
          <w:bCs/>
          <w:sz w:val="20"/>
          <w:szCs w:val="20"/>
        </w:rPr>
        <w:t>1.1.1</w:t>
      </w:r>
      <w:r>
        <w:rPr>
          <w:rFonts w:ascii="宋体" w:hAnsi="宋体" w:eastAsia="宋体" w:cs="宋体"/>
          <w:spacing w:val="-39"/>
          <w:sz w:val="20"/>
          <w:szCs w:val="20"/>
        </w:rPr>
        <w:t xml:space="preserve"> </w:t>
      </w:r>
      <w:r>
        <w:rPr>
          <w:rFonts w:ascii="宋体" w:hAnsi="宋体" w:eastAsia="宋体" w:cs="宋体"/>
          <w:b/>
          <w:bCs/>
          <w:sz w:val="20"/>
          <w:szCs w:val="20"/>
        </w:rPr>
        <w:t>合同</w:t>
      </w:r>
    </w:p>
    <w:p w14:paraId="66C1B3BB">
      <w:pPr>
        <w:tabs>
          <w:tab w:val="left" w:pos="8250"/>
        </w:tabs>
        <w:spacing w:before="126" w:line="367" w:lineRule="auto"/>
        <w:ind w:left="165" w:right="174" w:firstLine="23"/>
        <w:rPr>
          <w:rFonts w:ascii="Arial" w:hAnsi="Arial" w:eastAsia="Arial" w:cs="Arial"/>
          <w:sz w:val="21"/>
          <w:szCs w:val="21"/>
        </w:rPr>
      </w:pPr>
      <w:r>
        <w:rPr>
          <w:rFonts w:ascii="宋体" w:hAnsi="宋体" w:eastAsia="宋体" w:cs="宋体"/>
          <w:spacing w:val="5"/>
          <w:sz w:val="20"/>
          <w:szCs w:val="20"/>
        </w:rPr>
        <w:t>1.1.1.10</w:t>
      </w:r>
      <w:r>
        <w:rPr>
          <w:rFonts w:ascii="宋体" w:hAnsi="宋体" w:eastAsia="宋体" w:cs="宋体"/>
          <w:spacing w:val="-39"/>
          <w:sz w:val="20"/>
          <w:szCs w:val="20"/>
        </w:rPr>
        <w:t xml:space="preserve"> </w:t>
      </w:r>
      <w:r>
        <w:rPr>
          <w:rFonts w:ascii="宋体" w:hAnsi="宋体" w:eastAsia="宋体" w:cs="宋体"/>
          <w:spacing w:val="5"/>
          <w:sz w:val="20"/>
          <w:szCs w:val="20"/>
        </w:rPr>
        <w:t>其他合同文件包括：</w:t>
      </w:r>
      <w:r>
        <w:rPr>
          <w:rFonts w:ascii="宋体" w:hAnsi="宋体" w:eastAsia="宋体" w:cs="宋体"/>
          <w:spacing w:val="5"/>
          <w:sz w:val="20"/>
          <w:szCs w:val="20"/>
          <w:u w:val="single" w:color="auto"/>
        </w:rPr>
        <w:t xml:space="preserve">          </w:t>
      </w:r>
      <w:r>
        <w:rPr>
          <w:rFonts w:ascii="宋体" w:hAnsi="宋体" w:eastAsia="宋体" w:cs="宋体"/>
          <w:spacing w:val="4"/>
          <w:sz w:val="20"/>
          <w:szCs w:val="20"/>
          <w:u w:val="single" w:color="auto"/>
        </w:rPr>
        <w:t xml:space="preserve">                                         </w:t>
      </w:r>
      <w:r>
        <w:rPr>
          <w:rFonts w:ascii="Arial" w:hAnsi="Arial" w:eastAsia="Arial" w:cs="Arial"/>
          <w:sz w:val="21"/>
          <w:szCs w:val="21"/>
          <w:u w:val="single" w:color="auto"/>
        </w:rPr>
        <w:tab/>
      </w:r>
    </w:p>
    <w:p w14:paraId="60BD807C">
      <w:pPr>
        <w:tabs>
          <w:tab w:val="left" w:pos="8250"/>
        </w:tabs>
        <w:spacing w:before="116" w:line="173" w:lineRule="auto"/>
        <w:ind w:left="16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127E33A">
      <w:pPr>
        <w:spacing w:before="174" w:line="228" w:lineRule="auto"/>
        <w:ind w:left="188"/>
        <w:rPr>
          <w:rFonts w:ascii="宋体" w:hAnsi="宋体" w:eastAsia="宋体" w:cs="宋体"/>
          <w:sz w:val="20"/>
          <w:szCs w:val="20"/>
        </w:rPr>
      </w:pPr>
      <w:r>
        <w:rPr>
          <w:rFonts w:ascii="宋体" w:hAnsi="宋体" w:eastAsia="宋体" w:cs="宋体"/>
          <w:b/>
          <w:bCs/>
          <w:spacing w:val="5"/>
          <w:sz w:val="20"/>
          <w:szCs w:val="20"/>
        </w:rPr>
        <w:t>1.1.2</w:t>
      </w:r>
      <w:r>
        <w:rPr>
          <w:rFonts w:ascii="宋体" w:hAnsi="宋体" w:eastAsia="宋体" w:cs="宋体"/>
          <w:spacing w:val="5"/>
          <w:sz w:val="20"/>
          <w:szCs w:val="20"/>
        </w:rPr>
        <w:t xml:space="preserve"> </w:t>
      </w:r>
      <w:r>
        <w:rPr>
          <w:rFonts w:ascii="宋体" w:hAnsi="宋体" w:eastAsia="宋体" w:cs="宋体"/>
          <w:b/>
          <w:bCs/>
          <w:spacing w:val="5"/>
          <w:sz w:val="20"/>
          <w:szCs w:val="20"/>
        </w:rPr>
        <w:t>合同当事人及其他相关方</w:t>
      </w:r>
    </w:p>
    <w:p w14:paraId="489B7E6F">
      <w:pPr>
        <w:spacing w:before="127" w:line="231" w:lineRule="auto"/>
        <w:ind w:left="188"/>
        <w:rPr>
          <w:rFonts w:ascii="宋体" w:hAnsi="宋体" w:eastAsia="宋体" w:cs="宋体"/>
          <w:sz w:val="20"/>
          <w:szCs w:val="20"/>
        </w:rPr>
      </w:pPr>
      <w:r>
        <w:rPr>
          <w:rFonts w:ascii="宋体" w:hAnsi="宋体" w:eastAsia="宋体" w:cs="宋体"/>
          <w:spacing w:val="3"/>
          <w:sz w:val="20"/>
          <w:szCs w:val="20"/>
        </w:rPr>
        <w:t>1.1.2.4 监理人：</w:t>
      </w:r>
    </w:p>
    <w:p w14:paraId="649C4DB2">
      <w:pPr>
        <w:spacing w:before="124" w:line="346" w:lineRule="auto"/>
        <w:ind w:left="181" w:right="18" w:hanging="6"/>
        <w:rPr>
          <w:rFonts w:ascii="宋体" w:hAnsi="宋体" w:eastAsia="宋体" w:cs="宋体"/>
          <w:sz w:val="20"/>
          <w:szCs w:val="20"/>
        </w:rPr>
      </w:pPr>
      <w:r>
        <w:rPr>
          <w:rFonts w:ascii="宋体" w:hAnsi="宋体" w:eastAsia="宋体" w:cs="宋体"/>
          <w:sz w:val="20"/>
          <w:szCs w:val="20"/>
        </w:rPr>
        <w:t>名</w:t>
      </w:r>
      <w:r>
        <w:rPr>
          <w:rFonts w:ascii="宋体" w:hAnsi="宋体" w:eastAsia="宋体" w:cs="宋体"/>
          <w:spacing w:val="6"/>
          <w:sz w:val="20"/>
          <w:szCs w:val="20"/>
        </w:rPr>
        <w:t xml:space="preserve">    </w:t>
      </w:r>
      <w:r>
        <w:rPr>
          <w:rFonts w:ascii="宋体" w:hAnsi="宋体" w:eastAsia="宋体" w:cs="宋体"/>
          <w:sz w:val="20"/>
          <w:szCs w:val="20"/>
        </w:rPr>
        <w:t>称</w:t>
      </w:r>
      <w:r>
        <w:rPr>
          <w:rFonts w:ascii="宋体" w:hAnsi="宋体" w:eastAsia="宋体" w:cs="宋体"/>
          <w:spacing w:val="-71"/>
          <w:sz w:val="20"/>
          <w:szCs w:val="20"/>
        </w:rPr>
        <w:t xml:space="preserve"> </w:t>
      </w:r>
      <w:r>
        <w:rPr>
          <w:rFonts w:ascii="宋体" w:hAnsi="宋体" w:eastAsia="宋体" w:cs="宋体"/>
          <w:spacing w:val="-30"/>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30"/>
          <w:sz w:val="20"/>
          <w:szCs w:val="20"/>
        </w:rPr>
        <w:t>；</w:t>
      </w:r>
      <w:r>
        <w:rPr>
          <w:rFonts w:ascii="宋体" w:hAnsi="宋体" w:eastAsia="宋体" w:cs="宋体"/>
          <w:spacing w:val="7"/>
          <w:sz w:val="20"/>
          <w:szCs w:val="20"/>
        </w:rPr>
        <w:t>资质类别和等级</w:t>
      </w:r>
      <w:r>
        <w:rPr>
          <w:rFonts w:ascii="宋体" w:hAnsi="宋体" w:eastAsia="宋体" w:cs="宋体"/>
          <w:spacing w:val="-16"/>
          <w:sz w:val="20"/>
          <w:szCs w:val="20"/>
        </w:rPr>
        <w:t>：</w:t>
      </w:r>
      <w:r>
        <w:rPr>
          <w:rFonts w:ascii="宋体" w:hAnsi="宋体" w:eastAsia="宋体" w:cs="宋体"/>
          <w:sz w:val="20"/>
          <w:szCs w:val="20"/>
          <w:u w:val="single" w:color="auto"/>
        </w:rPr>
        <w:t xml:space="preserve">                                                                </w:t>
      </w:r>
      <w:r>
        <w:rPr>
          <w:rFonts w:ascii="宋体" w:hAnsi="宋体" w:eastAsia="宋体" w:cs="宋体"/>
          <w:spacing w:val="-16"/>
          <w:sz w:val="20"/>
          <w:szCs w:val="20"/>
        </w:rPr>
        <w:t>；</w:t>
      </w:r>
    </w:p>
    <w:p w14:paraId="42F9E4B6">
      <w:pPr>
        <w:spacing w:line="229" w:lineRule="auto"/>
        <w:jc w:val="right"/>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745A3FBC">
      <w:pPr>
        <w:spacing w:before="125" w:line="228" w:lineRule="auto"/>
        <w:jc w:val="right"/>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177EC8F2">
      <w:pPr>
        <w:spacing w:before="128" w:line="228" w:lineRule="auto"/>
        <w:jc w:val="right"/>
        <w:rPr>
          <w:rFonts w:ascii="宋体" w:hAnsi="宋体" w:eastAsia="宋体" w:cs="宋体"/>
          <w:sz w:val="20"/>
          <w:szCs w:val="20"/>
        </w:rPr>
      </w:pPr>
      <w:r>
        <w:rPr>
          <w:rFonts w:ascii="宋体" w:hAnsi="宋体" w:eastAsia="宋体" w:cs="宋体"/>
          <w:spacing w:val="2"/>
          <w:sz w:val="20"/>
          <w:szCs w:val="20"/>
        </w:rPr>
        <w:t>通信地址：</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p>
    <w:p w14:paraId="4DAF89CA">
      <w:pPr>
        <w:spacing w:before="128" w:line="229" w:lineRule="auto"/>
        <w:ind w:left="188"/>
        <w:rPr>
          <w:rFonts w:ascii="宋体" w:hAnsi="宋体" w:eastAsia="宋体" w:cs="宋体"/>
          <w:sz w:val="20"/>
          <w:szCs w:val="20"/>
        </w:rPr>
      </w:pPr>
      <w:r>
        <w:rPr>
          <w:rFonts w:ascii="宋体" w:hAnsi="宋体" w:eastAsia="宋体" w:cs="宋体"/>
          <w:spacing w:val="3"/>
          <w:sz w:val="20"/>
          <w:szCs w:val="20"/>
        </w:rPr>
        <w:t>1.1.2.5 设计人：</w:t>
      </w:r>
    </w:p>
    <w:p w14:paraId="00A2AB76">
      <w:pPr>
        <w:spacing w:before="125" w:line="346" w:lineRule="auto"/>
        <w:ind w:left="181" w:right="18" w:hanging="6"/>
        <w:rPr>
          <w:rFonts w:ascii="宋体" w:hAnsi="宋体" w:eastAsia="宋体" w:cs="宋体"/>
          <w:sz w:val="20"/>
          <w:szCs w:val="20"/>
        </w:rPr>
      </w:pPr>
      <w:r>
        <w:rPr>
          <w:rFonts w:ascii="宋体" w:hAnsi="宋体" w:eastAsia="宋体" w:cs="宋体"/>
          <w:sz w:val="20"/>
          <w:szCs w:val="20"/>
        </w:rPr>
        <w:t>名</w:t>
      </w:r>
      <w:r>
        <w:rPr>
          <w:rFonts w:ascii="宋体" w:hAnsi="宋体" w:eastAsia="宋体" w:cs="宋体"/>
          <w:spacing w:val="6"/>
          <w:sz w:val="20"/>
          <w:szCs w:val="20"/>
        </w:rPr>
        <w:t xml:space="preserve">    </w:t>
      </w:r>
      <w:r>
        <w:rPr>
          <w:rFonts w:ascii="宋体" w:hAnsi="宋体" w:eastAsia="宋体" w:cs="宋体"/>
          <w:sz w:val="20"/>
          <w:szCs w:val="20"/>
        </w:rPr>
        <w:t>称</w:t>
      </w:r>
      <w:r>
        <w:rPr>
          <w:rFonts w:ascii="宋体" w:hAnsi="宋体" w:eastAsia="宋体" w:cs="宋体"/>
          <w:spacing w:val="-71"/>
          <w:sz w:val="20"/>
          <w:szCs w:val="20"/>
        </w:rPr>
        <w:t xml:space="preserve"> </w:t>
      </w:r>
      <w:r>
        <w:rPr>
          <w:rFonts w:ascii="宋体" w:hAnsi="宋体" w:eastAsia="宋体" w:cs="宋体"/>
          <w:spacing w:val="-30"/>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30"/>
          <w:sz w:val="20"/>
          <w:szCs w:val="20"/>
        </w:rPr>
        <w:t>；</w:t>
      </w:r>
      <w:r>
        <w:rPr>
          <w:rFonts w:ascii="宋体" w:hAnsi="宋体" w:eastAsia="宋体" w:cs="宋体"/>
          <w:spacing w:val="7"/>
          <w:sz w:val="20"/>
          <w:szCs w:val="20"/>
        </w:rPr>
        <w:t>资质类别和等级</w:t>
      </w:r>
      <w:r>
        <w:rPr>
          <w:rFonts w:ascii="宋体" w:hAnsi="宋体" w:eastAsia="宋体" w:cs="宋体"/>
          <w:spacing w:val="-16"/>
          <w:sz w:val="20"/>
          <w:szCs w:val="20"/>
        </w:rPr>
        <w:t>：</w:t>
      </w:r>
      <w:r>
        <w:rPr>
          <w:rFonts w:ascii="宋体" w:hAnsi="宋体" w:eastAsia="宋体" w:cs="宋体"/>
          <w:sz w:val="20"/>
          <w:szCs w:val="20"/>
          <w:u w:val="single" w:color="auto"/>
        </w:rPr>
        <w:t xml:space="preserve">                                                                </w:t>
      </w:r>
      <w:r>
        <w:rPr>
          <w:rFonts w:ascii="宋体" w:hAnsi="宋体" w:eastAsia="宋体" w:cs="宋体"/>
          <w:spacing w:val="-16"/>
          <w:sz w:val="20"/>
          <w:szCs w:val="20"/>
        </w:rPr>
        <w:t>；</w:t>
      </w:r>
    </w:p>
    <w:p w14:paraId="3ACE1859">
      <w:pPr>
        <w:spacing w:before="1" w:line="229" w:lineRule="auto"/>
        <w:jc w:val="right"/>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4713FFF4">
      <w:pPr>
        <w:spacing w:before="125" w:line="228" w:lineRule="auto"/>
        <w:jc w:val="right"/>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2DE5FBF6">
      <w:pPr>
        <w:spacing w:before="127" w:line="228" w:lineRule="auto"/>
        <w:jc w:val="right"/>
        <w:rPr>
          <w:rFonts w:ascii="宋体" w:hAnsi="宋体" w:eastAsia="宋体" w:cs="宋体"/>
          <w:sz w:val="20"/>
          <w:szCs w:val="20"/>
        </w:rPr>
      </w:pPr>
      <w:r>
        <w:rPr>
          <w:rFonts w:ascii="宋体" w:hAnsi="宋体" w:eastAsia="宋体" w:cs="宋体"/>
          <w:spacing w:val="2"/>
          <w:sz w:val="20"/>
          <w:szCs w:val="20"/>
        </w:rPr>
        <w:t>通信地址：</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p>
    <w:p w14:paraId="7969AFB8">
      <w:pPr>
        <w:spacing w:line="434" w:lineRule="auto"/>
        <w:rPr>
          <w:rFonts w:ascii="Arial"/>
          <w:sz w:val="21"/>
        </w:rPr>
      </w:pPr>
    </w:p>
    <w:p w14:paraId="1980CD29">
      <w:pPr>
        <w:spacing w:before="66" w:line="228" w:lineRule="auto"/>
        <w:ind w:left="188"/>
        <w:rPr>
          <w:rFonts w:ascii="宋体" w:hAnsi="宋体" w:eastAsia="宋体" w:cs="宋体"/>
          <w:sz w:val="20"/>
          <w:szCs w:val="20"/>
        </w:rPr>
      </w:pPr>
      <w:r>
        <w:rPr>
          <w:rFonts w:ascii="宋体" w:hAnsi="宋体" w:eastAsia="宋体" w:cs="宋体"/>
          <w:b/>
          <w:bCs/>
          <w:spacing w:val="3"/>
          <w:sz w:val="20"/>
          <w:szCs w:val="20"/>
        </w:rPr>
        <w:t>1.1.3</w:t>
      </w:r>
      <w:r>
        <w:rPr>
          <w:rFonts w:ascii="宋体" w:hAnsi="宋体" w:eastAsia="宋体" w:cs="宋体"/>
          <w:spacing w:val="3"/>
          <w:sz w:val="20"/>
          <w:szCs w:val="20"/>
        </w:rPr>
        <w:t xml:space="preserve"> </w:t>
      </w:r>
      <w:r>
        <w:rPr>
          <w:rFonts w:ascii="宋体" w:hAnsi="宋体" w:eastAsia="宋体" w:cs="宋体"/>
          <w:b/>
          <w:bCs/>
          <w:spacing w:val="3"/>
          <w:sz w:val="20"/>
          <w:szCs w:val="20"/>
        </w:rPr>
        <w:t>工程和设备</w:t>
      </w:r>
    </w:p>
    <w:p w14:paraId="246CE0BF">
      <w:pPr>
        <w:spacing w:before="127" w:line="228" w:lineRule="auto"/>
        <w:ind w:left="188"/>
        <w:rPr>
          <w:rFonts w:ascii="宋体" w:hAnsi="宋体" w:eastAsia="宋体" w:cs="宋体"/>
          <w:sz w:val="20"/>
          <w:szCs w:val="20"/>
        </w:rPr>
      </w:pPr>
      <w:r>
        <w:rPr>
          <w:rFonts w:ascii="宋体" w:hAnsi="宋体" w:eastAsia="宋体" w:cs="宋体"/>
          <w:spacing w:val="7"/>
          <w:sz w:val="20"/>
          <w:szCs w:val="20"/>
        </w:rPr>
        <w:t>1.1.3.7 作为施工现场组成部分的其他场所包括：</w:t>
      </w:r>
      <w:r>
        <w:rPr>
          <w:rFonts w:ascii="宋体" w:hAnsi="宋体" w:eastAsia="宋体" w:cs="宋体"/>
          <w:sz w:val="20"/>
          <w:szCs w:val="20"/>
          <w:u w:val="single" w:color="auto"/>
        </w:rPr>
        <w:t xml:space="preserve">                                   </w:t>
      </w:r>
    </w:p>
    <w:p w14:paraId="7BECCD78">
      <w:pPr>
        <w:tabs>
          <w:tab w:val="left" w:pos="8250"/>
        </w:tabs>
        <w:spacing w:before="262" w:line="173" w:lineRule="auto"/>
        <w:ind w:left="16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CDBAC11">
      <w:pPr>
        <w:spacing w:before="175" w:line="229" w:lineRule="auto"/>
        <w:jc w:val="right"/>
        <w:rPr>
          <w:rFonts w:ascii="宋体" w:hAnsi="宋体" w:eastAsia="宋体" w:cs="宋体"/>
          <w:sz w:val="20"/>
          <w:szCs w:val="20"/>
        </w:rPr>
      </w:pPr>
      <w:r>
        <w:rPr>
          <w:rFonts w:ascii="宋体" w:hAnsi="宋体" w:eastAsia="宋体" w:cs="宋体"/>
          <w:spacing w:val="3"/>
          <w:sz w:val="20"/>
          <w:szCs w:val="20"/>
        </w:rPr>
        <w:t>1.1.3.9 永久占地包括：</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3"/>
          <w:sz w:val="20"/>
          <w:szCs w:val="20"/>
        </w:rPr>
        <w:t>。</w:t>
      </w:r>
    </w:p>
    <w:p w14:paraId="6A28AA12">
      <w:pPr>
        <w:spacing w:before="125" w:line="228" w:lineRule="auto"/>
        <w:jc w:val="right"/>
        <w:rPr>
          <w:rFonts w:ascii="宋体" w:hAnsi="宋体" w:eastAsia="宋体" w:cs="宋体"/>
          <w:sz w:val="20"/>
          <w:szCs w:val="20"/>
        </w:rPr>
      </w:pPr>
      <w:r>
        <w:rPr>
          <w:rFonts w:ascii="宋体" w:hAnsi="宋体" w:eastAsia="宋体" w:cs="宋体"/>
          <w:spacing w:val="3"/>
          <w:sz w:val="20"/>
          <w:szCs w:val="20"/>
        </w:rPr>
        <w:t>1.1.3.10 临时占地包括：</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3"/>
          <w:sz w:val="20"/>
          <w:szCs w:val="20"/>
        </w:rPr>
        <w:t>。</w:t>
      </w:r>
    </w:p>
    <w:p w14:paraId="6CC91FF9">
      <w:pPr>
        <w:spacing w:before="128" w:line="228" w:lineRule="auto"/>
        <w:ind w:left="188"/>
        <w:rPr>
          <w:rFonts w:ascii="宋体" w:hAnsi="宋体" w:eastAsia="宋体" w:cs="宋体"/>
          <w:sz w:val="20"/>
          <w:szCs w:val="20"/>
        </w:rPr>
      </w:pPr>
      <w:r>
        <w:rPr>
          <w:rFonts w:ascii="宋体" w:hAnsi="宋体" w:eastAsia="宋体" w:cs="宋体"/>
          <w:b/>
          <w:bCs/>
          <w:spacing w:val="2"/>
          <w:sz w:val="20"/>
          <w:szCs w:val="20"/>
        </w:rPr>
        <w:t>1.2</w:t>
      </w:r>
      <w:r>
        <w:rPr>
          <w:rFonts w:ascii="宋体" w:hAnsi="宋体" w:eastAsia="宋体" w:cs="宋体"/>
          <w:spacing w:val="-41"/>
          <w:sz w:val="20"/>
          <w:szCs w:val="20"/>
        </w:rPr>
        <w:t xml:space="preserve"> </w:t>
      </w:r>
      <w:r>
        <w:rPr>
          <w:rFonts w:ascii="宋体" w:hAnsi="宋体" w:eastAsia="宋体" w:cs="宋体"/>
          <w:b/>
          <w:bCs/>
          <w:spacing w:val="2"/>
          <w:sz w:val="20"/>
          <w:szCs w:val="20"/>
        </w:rPr>
        <w:t>语言文字</w:t>
      </w:r>
    </w:p>
    <w:p w14:paraId="3A2FD47C">
      <w:pPr>
        <w:spacing w:before="127" w:line="228" w:lineRule="auto"/>
        <w:jc w:val="right"/>
        <w:rPr>
          <w:rFonts w:ascii="宋体" w:hAnsi="宋体" w:eastAsia="宋体" w:cs="宋体"/>
          <w:sz w:val="20"/>
          <w:szCs w:val="20"/>
        </w:rPr>
      </w:pPr>
      <w:r>
        <w:rPr>
          <w:rFonts w:ascii="宋体" w:hAnsi="宋体" w:eastAsia="宋体" w:cs="宋体"/>
          <w:spacing w:val="4"/>
          <w:sz w:val="20"/>
          <w:szCs w:val="20"/>
        </w:rPr>
        <w:t>合同语言文字的约定：</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54D6F54D">
      <w:pPr>
        <w:spacing w:before="128" w:line="228" w:lineRule="auto"/>
        <w:ind w:left="188"/>
        <w:rPr>
          <w:rFonts w:ascii="宋体" w:hAnsi="宋体" w:eastAsia="宋体" w:cs="宋体"/>
          <w:sz w:val="20"/>
          <w:szCs w:val="20"/>
        </w:rPr>
      </w:pPr>
      <w:r>
        <w:rPr>
          <w:rFonts w:ascii="宋体" w:hAnsi="宋体" w:eastAsia="宋体" w:cs="宋体"/>
          <w:b/>
          <w:bCs/>
          <w:spacing w:val="-1"/>
          <w:sz w:val="20"/>
          <w:szCs w:val="20"/>
        </w:rPr>
        <w:t>1.3</w:t>
      </w:r>
      <w:r>
        <w:rPr>
          <w:rFonts w:ascii="宋体" w:hAnsi="宋体" w:eastAsia="宋体" w:cs="宋体"/>
          <w:spacing w:val="13"/>
          <w:sz w:val="20"/>
          <w:szCs w:val="20"/>
        </w:rPr>
        <w:t xml:space="preserve"> </w:t>
      </w:r>
      <w:r>
        <w:rPr>
          <w:rFonts w:ascii="宋体" w:hAnsi="宋体" w:eastAsia="宋体" w:cs="宋体"/>
          <w:b/>
          <w:bCs/>
          <w:spacing w:val="-1"/>
          <w:sz w:val="20"/>
          <w:szCs w:val="20"/>
        </w:rPr>
        <w:t>法律</w:t>
      </w:r>
    </w:p>
    <w:p w14:paraId="76C7D914">
      <w:pPr>
        <w:spacing w:before="127" w:line="228" w:lineRule="auto"/>
        <w:ind w:left="173"/>
        <w:rPr>
          <w:rFonts w:ascii="宋体" w:hAnsi="宋体" w:eastAsia="宋体" w:cs="宋体"/>
          <w:sz w:val="20"/>
          <w:szCs w:val="20"/>
        </w:rPr>
      </w:pPr>
      <w:r>
        <w:rPr>
          <w:rFonts w:ascii="宋体" w:hAnsi="宋体" w:eastAsia="宋体" w:cs="宋体"/>
          <w:spacing w:val="9"/>
          <w:sz w:val="20"/>
          <w:szCs w:val="20"/>
        </w:rPr>
        <w:t>适用于合同的其他规范性文件：</w:t>
      </w:r>
      <w:r>
        <w:rPr>
          <w:rFonts w:ascii="宋体" w:hAnsi="宋体" w:eastAsia="宋体" w:cs="宋体"/>
          <w:sz w:val="20"/>
          <w:szCs w:val="20"/>
          <w:u w:val="single" w:color="auto"/>
        </w:rPr>
        <w:t xml:space="preserve">                                                    </w:t>
      </w:r>
    </w:p>
    <w:p w14:paraId="6EA32ED0">
      <w:pPr>
        <w:tabs>
          <w:tab w:val="left" w:pos="8250"/>
        </w:tabs>
        <w:spacing w:before="263" w:line="173" w:lineRule="auto"/>
        <w:ind w:left="16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AF797C7">
      <w:pPr>
        <w:spacing w:line="173" w:lineRule="auto"/>
        <w:rPr>
          <w:rFonts w:ascii="宋体" w:hAnsi="宋体" w:eastAsia="宋体" w:cs="宋体"/>
          <w:sz w:val="7"/>
          <w:szCs w:val="7"/>
        </w:rPr>
        <w:sectPr>
          <w:footerReference r:id="rId392" w:type="default"/>
          <w:pgSz w:w="11906" w:h="16839"/>
          <w:pgMar w:top="400" w:right="1695" w:bottom="1446" w:left="1785" w:header="0" w:footer="1284" w:gutter="0"/>
          <w:cols w:space="720" w:num="1"/>
        </w:sectPr>
      </w:pPr>
    </w:p>
    <w:p w14:paraId="2F6A2DFE">
      <w:pPr>
        <w:spacing w:line="246" w:lineRule="auto"/>
        <w:rPr>
          <w:rFonts w:ascii="Arial"/>
          <w:sz w:val="21"/>
        </w:rPr>
      </w:pPr>
    </w:p>
    <w:p w14:paraId="01365501">
      <w:pPr>
        <w:spacing w:line="246" w:lineRule="auto"/>
        <w:rPr>
          <w:rFonts w:ascii="Arial"/>
          <w:sz w:val="21"/>
        </w:rPr>
      </w:pPr>
    </w:p>
    <w:p w14:paraId="33BD7CE7">
      <w:pPr>
        <w:spacing w:line="246" w:lineRule="auto"/>
        <w:rPr>
          <w:rFonts w:ascii="Arial"/>
          <w:sz w:val="21"/>
        </w:rPr>
      </w:pPr>
    </w:p>
    <w:p w14:paraId="530FD8E4">
      <w:pPr>
        <w:spacing w:line="246" w:lineRule="auto"/>
        <w:rPr>
          <w:rFonts w:ascii="Arial"/>
          <w:sz w:val="21"/>
        </w:rPr>
      </w:pPr>
    </w:p>
    <w:p w14:paraId="79D24900">
      <w:pPr>
        <w:spacing w:line="247" w:lineRule="auto"/>
        <w:rPr>
          <w:rFonts w:ascii="Arial"/>
          <w:sz w:val="21"/>
        </w:rPr>
      </w:pPr>
    </w:p>
    <w:p w14:paraId="6EC0B4E0">
      <w:pPr>
        <w:spacing w:line="247" w:lineRule="auto"/>
        <w:rPr>
          <w:rFonts w:ascii="Arial"/>
          <w:sz w:val="21"/>
        </w:rPr>
      </w:pPr>
    </w:p>
    <w:p w14:paraId="4DF15C2E">
      <w:pPr>
        <w:spacing w:before="65" w:line="228" w:lineRule="auto"/>
        <w:ind w:left="188"/>
        <w:rPr>
          <w:rFonts w:ascii="宋体" w:hAnsi="宋体" w:eastAsia="宋体" w:cs="宋体"/>
          <w:sz w:val="20"/>
          <w:szCs w:val="20"/>
        </w:rPr>
      </w:pPr>
      <w:r>
        <w:rPr>
          <w:rFonts w:ascii="宋体" w:hAnsi="宋体" w:eastAsia="宋体" w:cs="宋体"/>
          <w:b/>
          <w:bCs/>
          <w:spacing w:val="3"/>
          <w:sz w:val="20"/>
          <w:szCs w:val="20"/>
        </w:rPr>
        <w:t>1.4</w:t>
      </w:r>
      <w:r>
        <w:rPr>
          <w:rFonts w:ascii="宋体" w:hAnsi="宋体" w:eastAsia="宋体" w:cs="宋体"/>
          <w:spacing w:val="3"/>
          <w:sz w:val="20"/>
          <w:szCs w:val="20"/>
        </w:rPr>
        <w:t xml:space="preserve"> </w:t>
      </w:r>
      <w:r>
        <w:rPr>
          <w:rFonts w:ascii="宋体" w:hAnsi="宋体" w:eastAsia="宋体" w:cs="宋体"/>
          <w:b/>
          <w:bCs/>
          <w:spacing w:val="3"/>
          <w:sz w:val="20"/>
          <w:szCs w:val="20"/>
        </w:rPr>
        <w:t>标准和规范</w:t>
      </w:r>
    </w:p>
    <w:p w14:paraId="4E2952CF">
      <w:pPr>
        <w:spacing w:before="127" w:line="228" w:lineRule="auto"/>
        <w:ind w:left="188"/>
        <w:rPr>
          <w:rFonts w:ascii="宋体" w:hAnsi="宋体" w:eastAsia="宋体" w:cs="宋体"/>
          <w:sz w:val="20"/>
          <w:szCs w:val="20"/>
        </w:rPr>
      </w:pPr>
      <w:r>
        <w:rPr>
          <w:rFonts w:ascii="宋体" w:hAnsi="宋体" w:eastAsia="宋体" w:cs="宋体"/>
          <w:spacing w:val="4"/>
          <w:sz w:val="20"/>
          <w:szCs w:val="20"/>
        </w:rPr>
        <w:t>1.4.1 适用于工程的标准规范包括：</w:t>
      </w:r>
      <w:r>
        <w:rPr>
          <w:rFonts w:ascii="宋体" w:hAnsi="宋体" w:eastAsia="宋体" w:cs="宋体"/>
          <w:spacing w:val="4"/>
          <w:sz w:val="20"/>
          <w:szCs w:val="20"/>
          <w:u w:val="single" w:color="auto"/>
        </w:rPr>
        <w:t xml:space="preserve">                                              </w:t>
      </w:r>
    </w:p>
    <w:p w14:paraId="2178CA5E">
      <w:pPr>
        <w:tabs>
          <w:tab w:val="left" w:pos="8250"/>
        </w:tabs>
        <w:spacing w:before="261" w:line="173" w:lineRule="auto"/>
        <w:ind w:left="16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CB541C4">
      <w:pPr>
        <w:tabs>
          <w:tab w:val="left" w:pos="8250"/>
        </w:tabs>
        <w:spacing w:before="172" w:line="346" w:lineRule="auto"/>
        <w:ind w:left="165" w:right="18" w:firstLine="23"/>
        <w:jc w:val="both"/>
        <w:rPr>
          <w:rFonts w:ascii="宋体" w:hAnsi="宋体" w:eastAsia="宋体" w:cs="宋体"/>
          <w:sz w:val="20"/>
          <w:szCs w:val="20"/>
        </w:rPr>
      </w:pPr>
      <w:r>
        <w:rPr>
          <w:rFonts w:ascii="宋体" w:hAnsi="宋体" w:eastAsia="宋体" w:cs="宋体"/>
          <w:spacing w:val="7"/>
          <w:sz w:val="20"/>
          <w:szCs w:val="20"/>
        </w:rPr>
        <w:t>1.4.2 发包人提供国外标准、规范的名称：</w:t>
      </w:r>
      <w:r>
        <w:rPr>
          <w:rFonts w:ascii="宋体" w:hAnsi="宋体" w:eastAsia="宋体" w:cs="宋体"/>
          <w:sz w:val="20"/>
          <w:szCs w:val="20"/>
          <w:u w:val="single" w:color="auto"/>
        </w:rPr>
        <w:tab/>
      </w:r>
      <w:r>
        <w:rPr>
          <w:rFonts w:ascii="宋体" w:hAnsi="宋体" w:eastAsia="宋体" w:cs="宋体"/>
          <w:sz w:val="20"/>
          <w:szCs w:val="20"/>
        </w:rPr>
        <w:t xml:space="preserve"> </w:t>
      </w:r>
      <w:r>
        <w:rPr>
          <w:rFonts w:ascii="宋体" w:hAnsi="宋体" w:eastAsia="宋体" w:cs="宋体"/>
          <w:sz w:val="20"/>
          <w:szCs w:val="20"/>
          <w:u w:val="single" w:color="auto"/>
        </w:rPr>
        <w:tab/>
      </w:r>
      <w:r>
        <w:rPr>
          <w:rFonts w:ascii="宋体" w:hAnsi="宋体" w:eastAsia="宋体" w:cs="宋体"/>
          <w:spacing w:val="-73"/>
          <w:sz w:val="20"/>
          <w:szCs w:val="20"/>
        </w:rPr>
        <w:t xml:space="preserve"> </w:t>
      </w:r>
      <w:r>
        <w:rPr>
          <w:rFonts w:ascii="宋体" w:hAnsi="宋体" w:eastAsia="宋体" w:cs="宋体"/>
          <w:spacing w:val="-71"/>
          <w:sz w:val="20"/>
          <w:szCs w:val="20"/>
        </w:rPr>
        <w:t>;</w:t>
      </w:r>
      <w:r>
        <w:rPr>
          <w:rFonts w:ascii="宋体" w:hAnsi="宋体" w:eastAsia="宋体" w:cs="宋体"/>
          <w:spacing w:val="9"/>
          <w:sz w:val="20"/>
          <w:szCs w:val="20"/>
        </w:rPr>
        <w:t>发包人提供国外标准、规范的份数</w:t>
      </w:r>
      <w:r>
        <w:rPr>
          <w:rFonts w:ascii="宋体" w:hAnsi="宋体" w:eastAsia="宋体" w:cs="宋体"/>
          <w:spacing w:val="-10"/>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0"/>
          <w:sz w:val="20"/>
          <w:szCs w:val="20"/>
        </w:rPr>
        <w:t>；</w:t>
      </w:r>
    </w:p>
    <w:p w14:paraId="2035E672">
      <w:pPr>
        <w:spacing w:before="1" w:line="226" w:lineRule="auto"/>
        <w:jc w:val="right"/>
        <w:rPr>
          <w:rFonts w:ascii="宋体" w:hAnsi="宋体" w:eastAsia="宋体" w:cs="宋体"/>
          <w:sz w:val="20"/>
          <w:szCs w:val="20"/>
        </w:rPr>
      </w:pPr>
      <w:r>
        <w:rPr>
          <w:rFonts w:ascii="宋体" w:hAnsi="宋体" w:eastAsia="宋体" w:cs="宋体"/>
          <w:spacing w:val="6"/>
          <w:sz w:val="20"/>
          <w:szCs w:val="20"/>
        </w:rPr>
        <w:t>发包人提供国外标准、规范的时间：</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9D49D4C">
      <w:pPr>
        <w:spacing w:before="129" w:line="228" w:lineRule="auto"/>
        <w:ind w:left="188"/>
        <w:rPr>
          <w:rFonts w:ascii="宋体" w:hAnsi="宋体" w:eastAsia="宋体" w:cs="宋体"/>
          <w:sz w:val="20"/>
          <w:szCs w:val="20"/>
        </w:rPr>
      </w:pPr>
      <w:r>
        <w:rPr>
          <w:rFonts w:ascii="宋体" w:hAnsi="宋体" w:eastAsia="宋体" w:cs="宋体"/>
          <w:spacing w:val="7"/>
          <w:sz w:val="20"/>
          <w:szCs w:val="20"/>
        </w:rPr>
        <w:t>1.4.3 发包人对工程的技术标准和功能要求的特殊要求：</w:t>
      </w:r>
    </w:p>
    <w:p w14:paraId="32AE5C6F">
      <w:pPr>
        <w:spacing w:before="262" w:line="45" w:lineRule="exact"/>
        <w:jc w:val="right"/>
        <w:rPr>
          <w:rFonts w:ascii="宋体" w:hAnsi="宋体" w:eastAsia="宋体" w:cs="宋体"/>
          <w:sz w:val="20"/>
          <w:szCs w:val="20"/>
        </w:rPr>
      </w:pPr>
      <w:r>
        <w:pict>
          <v:shape id="_x0000_s1075" o:spid="_x0000_s1075" o:spt="202" type="#_x0000_t202" style="position:absolute;left:0pt;margin-left:7.25pt;margin-top:5.7pt;height:14.1pt;width:406.25pt;z-index:251717632;mso-width-relative:page;mso-height-relative:page;" filled="f" stroked="f" coordsize="21600,21600">
            <v:path/>
            <v:fill on="f" focussize="0,0"/>
            <v:stroke on="f"/>
            <v:imagedata o:title=""/>
            <o:lock v:ext="edit" aspectratio="f"/>
            <v:textbox inset="0mm,0mm,0mm,0mm">
              <w:txbxContent>
                <w:p w14:paraId="32635CCC">
                  <w:pPr>
                    <w:tabs>
                      <w:tab w:val="left" w:pos="8104"/>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1E4B4D11">
      <w:pPr>
        <w:spacing w:before="194" w:line="228" w:lineRule="auto"/>
        <w:ind w:left="188"/>
        <w:rPr>
          <w:rFonts w:ascii="宋体" w:hAnsi="宋体" w:eastAsia="宋体" w:cs="宋体"/>
          <w:sz w:val="20"/>
          <w:szCs w:val="20"/>
        </w:rPr>
      </w:pPr>
      <w:r>
        <w:rPr>
          <w:rFonts w:ascii="宋体" w:hAnsi="宋体" w:eastAsia="宋体" w:cs="宋体"/>
          <w:spacing w:val="7"/>
          <w:sz w:val="20"/>
          <w:szCs w:val="20"/>
        </w:rPr>
        <w:t>1.4.3.1 关于建筑信息模型技术（</w:t>
      </w:r>
      <w:r>
        <w:rPr>
          <w:rFonts w:ascii="宋体" w:hAnsi="宋体" w:eastAsia="宋体" w:cs="宋体"/>
          <w:sz w:val="20"/>
          <w:szCs w:val="20"/>
        </w:rPr>
        <w:t>BIM</w:t>
      </w:r>
      <w:r>
        <w:rPr>
          <w:rFonts w:ascii="宋体" w:hAnsi="宋体" w:eastAsia="宋体" w:cs="宋体"/>
          <w:spacing w:val="7"/>
          <w:sz w:val="20"/>
          <w:szCs w:val="20"/>
        </w:rPr>
        <w:t>）应用的约定：</w:t>
      </w:r>
    </w:p>
    <w:p w14:paraId="742DD5C1">
      <w:pPr>
        <w:tabs>
          <w:tab w:val="left" w:pos="8250"/>
        </w:tabs>
        <w:spacing w:before="263" w:line="173" w:lineRule="auto"/>
        <w:ind w:left="16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0D7ACAF">
      <w:pPr>
        <w:spacing w:before="174" w:line="228" w:lineRule="auto"/>
        <w:ind w:left="188"/>
        <w:rPr>
          <w:rFonts w:ascii="宋体" w:hAnsi="宋体" w:eastAsia="宋体" w:cs="宋体"/>
          <w:sz w:val="20"/>
          <w:szCs w:val="20"/>
        </w:rPr>
      </w:pPr>
      <w:r>
        <w:rPr>
          <w:rFonts w:ascii="宋体" w:hAnsi="宋体" w:eastAsia="宋体" w:cs="宋体"/>
          <w:b/>
          <w:bCs/>
          <w:spacing w:val="5"/>
          <w:sz w:val="20"/>
          <w:szCs w:val="20"/>
        </w:rPr>
        <w:t>1.5</w:t>
      </w:r>
      <w:r>
        <w:rPr>
          <w:rFonts w:ascii="宋体" w:hAnsi="宋体" w:eastAsia="宋体" w:cs="宋体"/>
          <w:spacing w:val="5"/>
          <w:sz w:val="20"/>
          <w:szCs w:val="20"/>
        </w:rPr>
        <w:t xml:space="preserve"> </w:t>
      </w:r>
      <w:r>
        <w:rPr>
          <w:rFonts w:ascii="宋体" w:hAnsi="宋体" w:eastAsia="宋体" w:cs="宋体"/>
          <w:b/>
          <w:bCs/>
          <w:spacing w:val="5"/>
          <w:sz w:val="20"/>
          <w:szCs w:val="20"/>
        </w:rPr>
        <w:t>合同文件的优先顺序</w:t>
      </w:r>
    </w:p>
    <w:p w14:paraId="27251989">
      <w:pPr>
        <w:spacing w:before="127" w:line="228" w:lineRule="auto"/>
        <w:jc w:val="right"/>
        <w:rPr>
          <w:rFonts w:ascii="宋体" w:hAnsi="宋体" w:eastAsia="宋体" w:cs="宋体"/>
          <w:sz w:val="20"/>
          <w:szCs w:val="20"/>
        </w:rPr>
      </w:pPr>
      <w:r>
        <w:rPr>
          <w:rFonts w:ascii="宋体" w:hAnsi="宋体" w:eastAsia="宋体" w:cs="宋体"/>
          <w:spacing w:val="6"/>
          <w:sz w:val="20"/>
          <w:szCs w:val="20"/>
        </w:rPr>
        <w:t>合同文件组成及优先顺序为：</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1F34C413">
      <w:pPr>
        <w:spacing w:before="127" w:line="228" w:lineRule="auto"/>
        <w:ind w:left="188"/>
        <w:rPr>
          <w:rFonts w:ascii="宋体" w:hAnsi="宋体" w:eastAsia="宋体" w:cs="宋体"/>
          <w:sz w:val="20"/>
          <w:szCs w:val="20"/>
        </w:rPr>
      </w:pPr>
      <w:r>
        <w:rPr>
          <w:rFonts w:ascii="宋体" w:hAnsi="宋体" w:eastAsia="宋体" w:cs="宋体"/>
          <w:b/>
          <w:bCs/>
          <w:spacing w:val="2"/>
          <w:sz w:val="20"/>
          <w:szCs w:val="20"/>
        </w:rPr>
        <w:t>1.6</w:t>
      </w:r>
      <w:r>
        <w:rPr>
          <w:rFonts w:ascii="宋体" w:hAnsi="宋体" w:eastAsia="宋体" w:cs="宋体"/>
          <w:spacing w:val="37"/>
          <w:sz w:val="20"/>
          <w:szCs w:val="20"/>
        </w:rPr>
        <w:t xml:space="preserve"> </w:t>
      </w:r>
      <w:r>
        <w:rPr>
          <w:rFonts w:ascii="宋体" w:hAnsi="宋体" w:eastAsia="宋体" w:cs="宋体"/>
          <w:b/>
          <w:bCs/>
          <w:spacing w:val="2"/>
          <w:sz w:val="20"/>
          <w:szCs w:val="20"/>
        </w:rPr>
        <w:t>图纸和承包人文件</w:t>
      </w:r>
    </w:p>
    <w:p w14:paraId="26ECCA73">
      <w:pPr>
        <w:spacing w:before="128" w:line="227" w:lineRule="auto"/>
        <w:ind w:left="188"/>
        <w:rPr>
          <w:rFonts w:ascii="宋体" w:hAnsi="宋体" w:eastAsia="宋体" w:cs="宋体"/>
          <w:sz w:val="20"/>
          <w:szCs w:val="20"/>
        </w:rPr>
      </w:pPr>
      <w:r>
        <w:rPr>
          <w:rFonts w:ascii="宋体" w:hAnsi="宋体" w:eastAsia="宋体" w:cs="宋体"/>
          <w:b/>
          <w:bCs/>
          <w:sz w:val="20"/>
          <w:szCs w:val="20"/>
        </w:rPr>
        <w:t>1.6.1</w:t>
      </w:r>
      <w:r>
        <w:rPr>
          <w:rFonts w:ascii="宋体" w:hAnsi="宋体" w:eastAsia="宋体" w:cs="宋体"/>
          <w:spacing w:val="39"/>
          <w:sz w:val="20"/>
          <w:szCs w:val="20"/>
        </w:rPr>
        <w:t xml:space="preserve"> </w:t>
      </w:r>
      <w:r>
        <w:rPr>
          <w:rFonts w:ascii="宋体" w:hAnsi="宋体" w:eastAsia="宋体" w:cs="宋体"/>
          <w:b/>
          <w:bCs/>
          <w:sz w:val="20"/>
          <w:szCs w:val="20"/>
        </w:rPr>
        <w:t>图纸的提供</w:t>
      </w:r>
    </w:p>
    <w:p w14:paraId="48967825">
      <w:pPr>
        <w:spacing w:before="129" w:line="227" w:lineRule="auto"/>
        <w:jc w:val="right"/>
        <w:rPr>
          <w:rFonts w:ascii="宋体" w:hAnsi="宋体" w:eastAsia="宋体" w:cs="宋体"/>
          <w:sz w:val="20"/>
          <w:szCs w:val="20"/>
        </w:rPr>
      </w:pPr>
      <w:r>
        <w:rPr>
          <w:rFonts w:ascii="宋体" w:hAnsi="宋体" w:eastAsia="宋体" w:cs="宋体"/>
          <w:spacing w:val="9"/>
          <w:sz w:val="20"/>
          <w:szCs w:val="20"/>
        </w:rPr>
        <w:t>发包人向承包人提供图纸的期限</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043A53FA">
      <w:pPr>
        <w:spacing w:before="128" w:line="227" w:lineRule="auto"/>
        <w:jc w:val="right"/>
        <w:rPr>
          <w:rFonts w:ascii="宋体" w:hAnsi="宋体" w:eastAsia="宋体" w:cs="宋体"/>
          <w:sz w:val="20"/>
          <w:szCs w:val="20"/>
        </w:rPr>
      </w:pPr>
      <w:r>
        <w:rPr>
          <w:rFonts w:ascii="宋体" w:hAnsi="宋体" w:eastAsia="宋体" w:cs="宋体"/>
          <w:spacing w:val="9"/>
          <w:sz w:val="20"/>
          <w:szCs w:val="20"/>
        </w:rPr>
        <w:t>发包人向承包人提供图纸的数量</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0B0A587B">
      <w:pPr>
        <w:spacing w:before="128" w:line="227" w:lineRule="auto"/>
        <w:jc w:val="right"/>
        <w:rPr>
          <w:rFonts w:ascii="宋体" w:hAnsi="宋体" w:eastAsia="宋体" w:cs="宋体"/>
          <w:sz w:val="20"/>
          <w:szCs w:val="20"/>
        </w:rPr>
      </w:pPr>
      <w:r>
        <w:rPr>
          <w:rFonts w:ascii="宋体" w:hAnsi="宋体" w:eastAsia="宋体" w:cs="宋体"/>
          <w:spacing w:val="6"/>
          <w:sz w:val="20"/>
          <w:szCs w:val="20"/>
        </w:rPr>
        <w:t>发包人向承包人提供图纸的内容：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84541DB">
      <w:pPr>
        <w:spacing w:before="129" w:line="228" w:lineRule="auto"/>
        <w:ind w:left="188"/>
        <w:rPr>
          <w:rFonts w:ascii="宋体" w:hAnsi="宋体" w:eastAsia="宋体" w:cs="宋体"/>
          <w:sz w:val="20"/>
          <w:szCs w:val="20"/>
        </w:rPr>
      </w:pPr>
      <w:r>
        <w:rPr>
          <w:rFonts w:ascii="宋体" w:hAnsi="宋体" w:eastAsia="宋体" w:cs="宋体"/>
          <w:b/>
          <w:bCs/>
          <w:spacing w:val="3"/>
          <w:sz w:val="20"/>
          <w:szCs w:val="20"/>
        </w:rPr>
        <w:t>1.6.4</w:t>
      </w:r>
      <w:r>
        <w:rPr>
          <w:rFonts w:ascii="宋体" w:hAnsi="宋体" w:eastAsia="宋体" w:cs="宋体"/>
          <w:spacing w:val="3"/>
          <w:sz w:val="20"/>
          <w:szCs w:val="20"/>
        </w:rPr>
        <w:t xml:space="preserve"> </w:t>
      </w:r>
      <w:r>
        <w:rPr>
          <w:rFonts w:ascii="宋体" w:hAnsi="宋体" w:eastAsia="宋体" w:cs="宋体"/>
          <w:b/>
          <w:bCs/>
          <w:spacing w:val="3"/>
          <w:sz w:val="20"/>
          <w:szCs w:val="20"/>
        </w:rPr>
        <w:t>承包人文件</w:t>
      </w:r>
    </w:p>
    <w:p w14:paraId="77146C1B">
      <w:pPr>
        <w:tabs>
          <w:tab w:val="left" w:pos="8250"/>
        </w:tabs>
        <w:spacing w:before="126" w:line="346" w:lineRule="auto"/>
        <w:ind w:left="165" w:right="18" w:firstLine="19"/>
        <w:jc w:val="both"/>
        <w:rPr>
          <w:rFonts w:ascii="宋体" w:hAnsi="宋体" w:eastAsia="宋体" w:cs="宋体"/>
          <w:sz w:val="20"/>
          <w:szCs w:val="20"/>
        </w:rPr>
      </w:pPr>
      <w:r>
        <w:rPr>
          <w:rFonts w:ascii="宋体" w:hAnsi="宋体" w:eastAsia="宋体" w:cs="宋体"/>
          <w:spacing w:val="8"/>
          <w:sz w:val="20"/>
          <w:szCs w:val="20"/>
        </w:rPr>
        <w:t>需要由承包人提供的文件，包括：</w:t>
      </w:r>
      <w:r>
        <w:rPr>
          <w:rFonts w:ascii="宋体" w:hAnsi="宋体" w:eastAsia="宋体" w:cs="宋体"/>
          <w:sz w:val="20"/>
          <w:szCs w:val="20"/>
          <w:u w:val="single" w:color="auto"/>
        </w:rPr>
        <w:tab/>
      </w:r>
      <w:r>
        <w:rPr>
          <w:rFonts w:ascii="宋体" w:hAnsi="宋体" w:eastAsia="宋体" w:cs="宋体"/>
          <w:sz w:val="20"/>
          <w:szCs w:val="20"/>
        </w:rPr>
        <w:t xml:space="preserve"> </w:t>
      </w:r>
      <w:r>
        <w:rPr>
          <w:rFonts w:ascii="宋体" w:hAnsi="宋体" w:eastAsia="宋体" w:cs="宋体"/>
          <w:sz w:val="20"/>
          <w:szCs w:val="20"/>
          <w:u w:val="single" w:color="auto"/>
        </w:rPr>
        <w:tab/>
      </w:r>
      <w:r>
        <w:rPr>
          <w:rFonts w:ascii="宋体" w:hAnsi="宋体" w:eastAsia="宋体" w:cs="宋体"/>
          <w:spacing w:val="-73"/>
          <w:sz w:val="20"/>
          <w:szCs w:val="20"/>
        </w:rPr>
        <w:t xml:space="preserve"> </w:t>
      </w:r>
      <w:r>
        <w:rPr>
          <w:rFonts w:ascii="宋体" w:hAnsi="宋体" w:eastAsia="宋体" w:cs="宋体"/>
          <w:spacing w:val="-71"/>
          <w:sz w:val="20"/>
          <w:szCs w:val="20"/>
        </w:rPr>
        <w:t>;</w:t>
      </w:r>
      <w:r>
        <w:rPr>
          <w:rFonts w:ascii="宋体" w:hAnsi="宋体" w:eastAsia="宋体" w:cs="宋体"/>
          <w:spacing w:val="9"/>
          <w:sz w:val="20"/>
          <w:szCs w:val="20"/>
        </w:rPr>
        <w:t>承包人提供的文件的期限为</w:t>
      </w:r>
      <w:r>
        <w:rPr>
          <w:rFonts w:ascii="宋体" w:hAnsi="宋体" w:eastAsia="宋体" w:cs="宋体"/>
          <w:spacing w:val="-12"/>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12"/>
          <w:sz w:val="20"/>
          <w:szCs w:val="20"/>
        </w:rPr>
        <w:t>；</w:t>
      </w:r>
    </w:p>
    <w:p w14:paraId="4C0D32F3">
      <w:pPr>
        <w:spacing w:before="1" w:line="226" w:lineRule="auto"/>
        <w:jc w:val="right"/>
        <w:rPr>
          <w:rFonts w:ascii="宋体" w:hAnsi="宋体" w:eastAsia="宋体" w:cs="宋体"/>
          <w:sz w:val="20"/>
          <w:szCs w:val="20"/>
        </w:rPr>
      </w:pPr>
      <w:r>
        <w:rPr>
          <w:rFonts w:ascii="宋体" w:hAnsi="宋体" w:eastAsia="宋体" w:cs="宋体"/>
          <w:spacing w:val="9"/>
          <w:sz w:val="20"/>
          <w:szCs w:val="20"/>
        </w:rPr>
        <w:t>承包人提供的文件的数量为</w:t>
      </w:r>
      <w:r>
        <w:rPr>
          <w:rFonts w:ascii="宋体" w:hAnsi="宋体" w:eastAsia="宋体" w:cs="宋体"/>
          <w:spacing w:val="-1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16"/>
          <w:sz w:val="20"/>
          <w:szCs w:val="20"/>
        </w:rPr>
        <w:t>；</w:t>
      </w:r>
    </w:p>
    <w:p w14:paraId="41D1B4C7">
      <w:pPr>
        <w:spacing w:before="128" w:line="346" w:lineRule="auto"/>
        <w:ind w:left="173"/>
        <w:rPr>
          <w:rFonts w:ascii="宋体" w:hAnsi="宋体" w:eastAsia="宋体" w:cs="宋体"/>
          <w:sz w:val="20"/>
          <w:szCs w:val="20"/>
        </w:rPr>
      </w:pPr>
      <w:r>
        <w:rPr>
          <w:rFonts w:ascii="宋体" w:hAnsi="宋体" w:eastAsia="宋体" w:cs="宋体"/>
          <w:spacing w:val="9"/>
          <w:sz w:val="20"/>
          <w:szCs w:val="20"/>
        </w:rPr>
        <w:t>承包人提供的文件的形式为</w:t>
      </w:r>
      <w:r>
        <w:rPr>
          <w:rFonts w:ascii="宋体" w:hAnsi="宋体" w:eastAsia="宋体" w:cs="宋体"/>
          <w:spacing w:val="-7"/>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7"/>
          <w:sz w:val="20"/>
          <w:szCs w:val="20"/>
        </w:rPr>
        <w:t>；</w:t>
      </w:r>
      <w:r>
        <w:rPr>
          <w:rFonts w:ascii="宋体" w:hAnsi="宋体" w:eastAsia="宋体" w:cs="宋体"/>
          <w:spacing w:val="7"/>
          <w:sz w:val="20"/>
          <w:szCs w:val="20"/>
        </w:rPr>
        <w:t>监理人审批承包人文件的期限：</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7"/>
          <w:sz w:val="20"/>
          <w:szCs w:val="20"/>
        </w:rPr>
        <w:t>。</w:t>
      </w:r>
    </w:p>
    <w:p w14:paraId="03F72544">
      <w:pPr>
        <w:spacing w:line="228" w:lineRule="auto"/>
        <w:ind w:left="188"/>
        <w:rPr>
          <w:rFonts w:ascii="宋体" w:hAnsi="宋体" w:eastAsia="宋体" w:cs="宋体"/>
          <w:sz w:val="20"/>
          <w:szCs w:val="20"/>
        </w:rPr>
      </w:pPr>
      <w:r>
        <w:rPr>
          <w:rFonts w:ascii="宋体" w:hAnsi="宋体" w:eastAsia="宋体" w:cs="宋体"/>
          <w:b/>
          <w:bCs/>
          <w:spacing w:val="4"/>
          <w:sz w:val="20"/>
          <w:szCs w:val="20"/>
        </w:rPr>
        <w:t>1.6.5</w:t>
      </w:r>
      <w:r>
        <w:rPr>
          <w:rFonts w:ascii="宋体" w:hAnsi="宋体" w:eastAsia="宋体" w:cs="宋体"/>
          <w:spacing w:val="4"/>
          <w:sz w:val="20"/>
          <w:szCs w:val="20"/>
        </w:rPr>
        <w:t xml:space="preserve"> </w:t>
      </w:r>
      <w:r>
        <w:rPr>
          <w:rFonts w:ascii="宋体" w:hAnsi="宋体" w:eastAsia="宋体" w:cs="宋体"/>
          <w:b/>
          <w:bCs/>
          <w:spacing w:val="4"/>
          <w:sz w:val="20"/>
          <w:szCs w:val="20"/>
        </w:rPr>
        <w:t>现场图纸准备</w:t>
      </w:r>
    </w:p>
    <w:p w14:paraId="6D6E92B3">
      <w:pPr>
        <w:spacing w:before="128" w:line="228" w:lineRule="auto"/>
        <w:jc w:val="right"/>
        <w:rPr>
          <w:rFonts w:ascii="宋体" w:hAnsi="宋体" w:eastAsia="宋体" w:cs="宋体"/>
          <w:sz w:val="20"/>
          <w:szCs w:val="20"/>
        </w:rPr>
      </w:pPr>
      <w:r>
        <w:rPr>
          <w:rFonts w:ascii="宋体" w:hAnsi="宋体" w:eastAsia="宋体" w:cs="宋体"/>
          <w:spacing w:val="6"/>
          <w:sz w:val="20"/>
          <w:szCs w:val="20"/>
        </w:rPr>
        <w:t>关于现场图纸准备的约定：</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6645F420">
      <w:pPr>
        <w:spacing w:before="126" w:line="230" w:lineRule="auto"/>
        <w:ind w:left="188"/>
        <w:rPr>
          <w:rFonts w:ascii="宋体" w:hAnsi="宋体" w:eastAsia="宋体" w:cs="宋体"/>
          <w:sz w:val="20"/>
          <w:szCs w:val="20"/>
        </w:rPr>
      </w:pPr>
      <w:r>
        <w:rPr>
          <w:rFonts w:ascii="宋体" w:hAnsi="宋体" w:eastAsia="宋体" w:cs="宋体"/>
          <w:b/>
          <w:bCs/>
          <w:spacing w:val="-1"/>
          <w:sz w:val="20"/>
          <w:szCs w:val="20"/>
        </w:rPr>
        <w:t>1.7</w:t>
      </w:r>
      <w:r>
        <w:rPr>
          <w:rFonts w:ascii="宋体" w:hAnsi="宋体" w:eastAsia="宋体" w:cs="宋体"/>
          <w:spacing w:val="13"/>
          <w:sz w:val="20"/>
          <w:szCs w:val="20"/>
        </w:rPr>
        <w:t xml:space="preserve"> </w:t>
      </w:r>
      <w:r>
        <w:rPr>
          <w:rFonts w:ascii="宋体" w:hAnsi="宋体" w:eastAsia="宋体" w:cs="宋体"/>
          <w:b/>
          <w:bCs/>
          <w:spacing w:val="-1"/>
          <w:sz w:val="20"/>
          <w:szCs w:val="20"/>
        </w:rPr>
        <w:t>联络</w:t>
      </w:r>
    </w:p>
    <w:p w14:paraId="048B8A11">
      <w:pPr>
        <w:spacing w:before="125" w:line="228" w:lineRule="auto"/>
        <w:jc w:val="right"/>
        <w:rPr>
          <w:rFonts w:ascii="宋体" w:hAnsi="宋体" w:eastAsia="宋体" w:cs="宋体"/>
          <w:sz w:val="20"/>
          <w:szCs w:val="20"/>
        </w:rPr>
      </w:pPr>
      <w:r>
        <w:rPr>
          <w:rFonts w:ascii="宋体" w:hAnsi="宋体" w:eastAsia="宋体" w:cs="宋体"/>
          <w:spacing w:val="6"/>
          <w:sz w:val="20"/>
          <w:szCs w:val="20"/>
        </w:rPr>
        <w:t>1.7.2 发包人接收文件的地点</w:t>
      </w:r>
      <w:r>
        <w:rPr>
          <w:rFonts w:ascii="宋体" w:hAnsi="宋体" w:eastAsia="宋体" w:cs="宋体"/>
          <w:spacing w:val="-13"/>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3"/>
          <w:sz w:val="20"/>
          <w:szCs w:val="20"/>
        </w:rPr>
        <w:t>；</w:t>
      </w:r>
    </w:p>
    <w:p w14:paraId="1D76A656">
      <w:pPr>
        <w:spacing w:before="128" w:line="228" w:lineRule="auto"/>
        <w:jc w:val="right"/>
        <w:rPr>
          <w:rFonts w:ascii="宋体" w:hAnsi="宋体" w:eastAsia="宋体" w:cs="宋体"/>
          <w:sz w:val="20"/>
          <w:szCs w:val="20"/>
        </w:rPr>
      </w:pPr>
      <w:r>
        <w:rPr>
          <w:rFonts w:ascii="宋体" w:hAnsi="宋体" w:eastAsia="宋体" w:cs="宋体"/>
          <w:spacing w:val="4"/>
          <w:sz w:val="20"/>
          <w:szCs w:val="20"/>
        </w:rPr>
        <w:t>发包人指定的接收人为：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2C753911">
      <w:pPr>
        <w:spacing w:before="127" w:line="228" w:lineRule="auto"/>
        <w:jc w:val="right"/>
        <w:rPr>
          <w:rFonts w:ascii="宋体" w:hAnsi="宋体" w:eastAsia="宋体" w:cs="宋体"/>
          <w:sz w:val="20"/>
          <w:szCs w:val="20"/>
        </w:rPr>
      </w:pPr>
      <w:r>
        <w:rPr>
          <w:rFonts w:ascii="宋体" w:hAnsi="宋体" w:eastAsia="宋体" w:cs="宋体"/>
          <w:spacing w:val="8"/>
          <w:sz w:val="20"/>
          <w:szCs w:val="20"/>
        </w:rPr>
        <w:t>承包人接收文件的地点</w:t>
      </w:r>
      <w:r>
        <w:rPr>
          <w:rFonts w:ascii="宋体" w:hAnsi="宋体" w:eastAsia="宋体" w:cs="宋体"/>
          <w:spacing w:val="-12"/>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12"/>
          <w:sz w:val="20"/>
          <w:szCs w:val="20"/>
        </w:rPr>
        <w:t>；</w:t>
      </w:r>
    </w:p>
    <w:p w14:paraId="4C11BC0D">
      <w:pPr>
        <w:spacing w:before="128" w:line="228" w:lineRule="auto"/>
        <w:jc w:val="right"/>
        <w:rPr>
          <w:rFonts w:ascii="宋体" w:hAnsi="宋体" w:eastAsia="宋体" w:cs="宋体"/>
          <w:sz w:val="20"/>
          <w:szCs w:val="20"/>
        </w:rPr>
      </w:pPr>
      <w:r>
        <w:rPr>
          <w:rFonts w:ascii="宋体" w:hAnsi="宋体" w:eastAsia="宋体" w:cs="宋体"/>
          <w:spacing w:val="6"/>
          <w:sz w:val="20"/>
          <w:szCs w:val="20"/>
        </w:rPr>
        <w:t>承包人指定的接收人为：</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3A0F4C8F">
      <w:pPr>
        <w:spacing w:before="127" w:line="228" w:lineRule="auto"/>
        <w:ind w:left="188"/>
        <w:rPr>
          <w:rFonts w:ascii="宋体" w:hAnsi="宋体" w:eastAsia="宋体" w:cs="宋体"/>
          <w:sz w:val="20"/>
          <w:szCs w:val="20"/>
        </w:rPr>
      </w:pPr>
      <w:r>
        <w:rPr>
          <w:rFonts w:ascii="宋体" w:hAnsi="宋体" w:eastAsia="宋体" w:cs="宋体"/>
          <w:b/>
          <w:bCs/>
          <w:spacing w:val="1"/>
          <w:sz w:val="20"/>
          <w:szCs w:val="20"/>
        </w:rPr>
        <w:t>1.10</w:t>
      </w:r>
      <w:r>
        <w:rPr>
          <w:rFonts w:ascii="宋体" w:hAnsi="宋体" w:eastAsia="宋体" w:cs="宋体"/>
          <w:spacing w:val="21"/>
          <w:sz w:val="20"/>
          <w:szCs w:val="20"/>
        </w:rPr>
        <w:t xml:space="preserve"> </w:t>
      </w:r>
      <w:r>
        <w:rPr>
          <w:rFonts w:ascii="宋体" w:hAnsi="宋体" w:eastAsia="宋体" w:cs="宋体"/>
          <w:b/>
          <w:bCs/>
          <w:spacing w:val="1"/>
          <w:sz w:val="20"/>
          <w:szCs w:val="20"/>
        </w:rPr>
        <w:t>交通运输</w:t>
      </w:r>
    </w:p>
    <w:p w14:paraId="677BB100">
      <w:pPr>
        <w:spacing w:before="127" w:line="228" w:lineRule="auto"/>
        <w:ind w:left="188"/>
        <w:rPr>
          <w:rFonts w:ascii="宋体" w:hAnsi="宋体" w:eastAsia="宋体" w:cs="宋体"/>
          <w:sz w:val="20"/>
          <w:szCs w:val="20"/>
        </w:rPr>
      </w:pPr>
      <w:r>
        <w:rPr>
          <w:rFonts w:ascii="宋体" w:hAnsi="宋体" w:eastAsia="宋体" w:cs="宋体"/>
          <w:b/>
          <w:bCs/>
          <w:spacing w:val="2"/>
          <w:sz w:val="20"/>
          <w:szCs w:val="20"/>
        </w:rPr>
        <w:t>1.10.1</w:t>
      </w:r>
      <w:r>
        <w:rPr>
          <w:rFonts w:ascii="宋体" w:hAnsi="宋体" w:eastAsia="宋体" w:cs="宋体"/>
          <w:spacing w:val="35"/>
          <w:sz w:val="20"/>
          <w:szCs w:val="20"/>
        </w:rPr>
        <w:t xml:space="preserve"> </w:t>
      </w:r>
      <w:r>
        <w:rPr>
          <w:rFonts w:ascii="宋体" w:hAnsi="宋体" w:eastAsia="宋体" w:cs="宋体"/>
          <w:b/>
          <w:bCs/>
          <w:spacing w:val="2"/>
          <w:sz w:val="20"/>
          <w:szCs w:val="20"/>
        </w:rPr>
        <w:t>出入现场的权利</w:t>
      </w:r>
    </w:p>
    <w:p w14:paraId="7E1C3545">
      <w:pPr>
        <w:spacing w:line="228" w:lineRule="auto"/>
        <w:rPr>
          <w:rFonts w:ascii="宋体" w:hAnsi="宋体" w:eastAsia="宋体" w:cs="宋体"/>
          <w:sz w:val="20"/>
          <w:szCs w:val="20"/>
        </w:rPr>
        <w:sectPr>
          <w:footerReference r:id="rId393" w:type="default"/>
          <w:pgSz w:w="11906" w:h="16839"/>
          <w:pgMar w:top="400" w:right="1695" w:bottom="1446" w:left="1785" w:header="0" w:footer="1284" w:gutter="0"/>
          <w:cols w:space="720" w:num="1"/>
        </w:sectPr>
      </w:pPr>
    </w:p>
    <w:p w14:paraId="043EDD73">
      <w:pPr>
        <w:spacing w:line="246" w:lineRule="auto"/>
        <w:rPr>
          <w:rFonts w:ascii="Arial"/>
          <w:sz w:val="21"/>
        </w:rPr>
      </w:pPr>
    </w:p>
    <w:p w14:paraId="54F76363">
      <w:pPr>
        <w:spacing w:line="246" w:lineRule="auto"/>
        <w:rPr>
          <w:rFonts w:ascii="Arial"/>
          <w:sz w:val="21"/>
        </w:rPr>
      </w:pPr>
    </w:p>
    <w:p w14:paraId="64DBB941">
      <w:pPr>
        <w:spacing w:line="246" w:lineRule="auto"/>
        <w:rPr>
          <w:rFonts w:ascii="Arial"/>
          <w:sz w:val="21"/>
        </w:rPr>
      </w:pPr>
    </w:p>
    <w:p w14:paraId="3CDCFAB8">
      <w:pPr>
        <w:spacing w:line="246" w:lineRule="auto"/>
        <w:rPr>
          <w:rFonts w:ascii="Arial"/>
          <w:sz w:val="21"/>
        </w:rPr>
      </w:pPr>
    </w:p>
    <w:p w14:paraId="34B72E60">
      <w:pPr>
        <w:spacing w:line="247" w:lineRule="auto"/>
        <w:rPr>
          <w:rFonts w:ascii="Arial"/>
          <w:sz w:val="21"/>
        </w:rPr>
      </w:pPr>
    </w:p>
    <w:p w14:paraId="723A2CF1">
      <w:pPr>
        <w:spacing w:line="247" w:lineRule="auto"/>
        <w:rPr>
          <w:rFonts w:ascii="Arial"/>
          <w:sz w:val="21"/>
        </w:rPr>
      </w:pPr>
    </w:p>
    <w:p w14:paraId="0836F88A">
      <w:pPr>
        <w:spacing w:before="65" w:line="228" w:lineRule="auto"/>
        <w:ind w:left="431"/>
        <w:rPr>
          <w:rFonts w:ascii="宋体" w:hAnsi="宋体" w:eastAsia="宋体" w:cs="宋体"/>
          <w:sz w:val="20"/>
          <w:szCs w:val="20"/>
        </w:rPr>
      </w:pPr>
      <w:r>
        <w:rPr>
          <w:rFonts w:ascii="宋体" w:hAnsi="宋体" w:eastAsia="宋体" w:cs="宋体"/>
          <w:spacing w:val="9"/>
          <w:sz w:val="20"/>
          <w:szCs w:val="20"/>
        </w:rPr>
        <w:t>关于出入现场批准手续和权利的约定：</w:t>
      </w:r>
      <w:r>
        <w:rPr>
          <w:rFonts w:ascii="宋体" w:hAnsi="宋体" w:eastAsia="宋体" w:cs="宋体"/>
          <w:sz w:val="20"/>
          <w:szCs w:val="20"/>
          <w:u w:val="single" w:color="auto"/>
        </w:rPr>
        <w:t xml:space="preserve">                                              </w:t>
      </w:r>
    </w:p>
    <w:p w14:paraId="08C1436C">
      <w:pPr>
        <w:tabs>
          <w:tab w:val="left" w:pos="8504"/>
        </w:tabs>
        <w:spacing w:before="262" w:line="173" w:lineRule="auto"/>
        <w:ind w:left="42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C446700">
      <w:pPr>
        <w:spacing w:before="173" w:line="228" w:lineRule="auto"/>
        <w:ind w:left="443"/>
        <w:rPr>
          <w:rFonts w:ascii="宋体" w:hAnsi="宋体" w:eastAsia="宋体" w:cs="宋体"/>
          <w:sz w:val="20"/>
          <w:szCs w:val="20"/>
        </w:rPr>
      </w:pPr>
      <w:r>
        <w:rPr>
          <w:rFonts w:ascii="宋体" w:hAnsi="宋体" w:eastAsia="宋体" w:cs="宋体"/>
          <w:b/>
          <w:bCs/>
          <w:spacing w:val="3"/>
          <w:sz w:val="20"/>
          <w:szCs w:val="20"/>
        </w:rPr>
        <w:t>1.10.3</w:t>
      </w:r>
      <w:r>
        <w:rPr>
          <w:rFonts w:ascii="宋体" w:hAnsi="宋体" w:eastAsia="宋体" w:cs="宋体"/>
          <w:spacing w:val="3"/>
          <w:sz w:val="20"/>
          <w:szCs w:val="20"/>
        </w:rPr>
        <w:t xml:space="preserve"> </w:t>
      </w:r>
      <w:r>
        <w:rPr>
          <w:rFonts w:ascii="宋体" w:hAnsi="宋体" w:eastAsia="宋体" w:cs="宋体"/>
          <w:b/>
          <w:bCs/>
          <w:spacing w:val="3"/>
          <w:sz w:val="20"/>
          <w:szCs w:val="20"/>
        </w:rPr>
        <w:t>场内交通</w:t>
      </w:r>
    </w:p>
    <w:p w14:paraId="22AC1692">
      <w:pPr>
        <w:spacing w:before="126" w:line="346" w:lineRule="auto"/>
        <w:ind w:left="431" w:right="164"/>
        <w:rPr>
          <w:rFonts w:ascii="宋体" w:hAnsi="宋体" w:eastAsia="宋体" w:cs="宋体"/>
          <w:sz w:val="20"/>
          <w:szCs w:val="20"/>
        </w:rPr>
      </w:pPr>
      <w:r>
        <w:rPr>
          <w:rFonts w:ascii="宋体" w:hAnsi="宋体" w:eastAsia="宋体" w:cs="宋体"/>
          <w:spacing w:val="6"/>
          <w:sz w:val="20"/>
          <w:szCs w:val="20"/>
        </w:rPr>
        <w:t>关于场外交通和场内交通的边界的约定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8"/>
          <w:sz w:val="20"/>
          <w:szCs w:val="20"/>
        </w:rPr>
        <w:t>关于发包人向承包人免费提供满足工程施工需要的场内道路和交通设施的约定：</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w:t>
      </w:r>
    </w:p>
    <w:p w14:paraId="343B7AB1">
      <w:pPr>
        <w:spacing w:line="227" w:lineRule="auto"/>
        <w:ind w:left="443"/>
        <w:rPr>
          <w:rFonts w:ascii="宋体" w:hAnsi="宋体" w:eastAsia="宋体" w:cs="宋体"/>
          <w:sz w:val="20"/>
          <w:szCs w:val="20"/>
        </w:rPr>
      </w:pPr>
      <w:r>
        <w:rPr>
          <w:rFonts w:ascii="宋体" w:hAnsi="宋体" w:eastAsia="宋体" w:cs="宋体"/>
          <w:b/>
          <w:bCs/>
          <w:spacing w:val="5"/>
          <w:sz w:val="20"/>
          <w:szCs w:val="20"/>
        </w:rPr>
        <w:t>1.10.4</w:t>
      </w:r>
      <w:r>
        <w:rPr>
          <w:rFonts w:ascii="宋体" w:hAnsi="宋体" w:eastAsia="宋体" w:cs="宋体"/>
          <w:spacing w:val="5"/>
          <w:sz w:val="20"/>
          <w:szCs w:val="20"/>
        </w:rPr>
        <w:t xml:space="preserve"> </w:t>
      </w:r>
      <w:r>
        <w:rPr>
          <w:rFonts w:ascii="宋体" w:hAnsi="宋体" w:eastAsia="宋体" w:cs="宋体"/>
          <w:b/>
          <w:bCs/>
          <w:spacing w:val="5"/>
          <w:sz w:val="20"/>
          <w:szCs w:val="20"/>
        </w:rPr>
        <w:t>超大件和超重件的运输</w:t>
      </w:r>
    </w:p>
    <w:p w14:paraId="4C58E4E0">
      <w:pPr>
        <w:spacing w:before="127" w:line="346" w:lineRule="auto"/>
        <w:ind w:left="8" w:right="2" w:firstLine="420"/>
        <w:rPr>
          <w:rFonts w:ascii="宋体" w:hAnsi="宋体" w:eastAsia="宋体" w:cs="宋体"/>
          <w:sz w:val="20"/>
          <w:szCs w:val="20"/>
        </w:rPr>
      </w:pPr>
      <w:r>
        <w:rPr>
          <w:rFonts w:ascii="宋体" w:hAnsi="宋体" w:eastAsia="宋体" w:cs="宋体"/>
          <w:spacing w:val="-2"/>
          <w:sz w:val="20"/>
          <w:szCs w:val="20"/>
        </w:rPr>
        <w:t>运</w:t>
      </w:r>
      <w:r>
        <w:rPr>
          <w:rFonts w:ascii="宋体" w:hAnsi="宋体" w:eastAsia="宋体" w:cs="宋体"/>
          <w:spacing w:val="-31"/>
          <w:sz w:val="20"/>
          <w:szCs w:val="20"/>
        </w:rPr>
        <w:t xml:space="preserve"> </w:t>
      </w:r>
      <w:r>
        <w:rPr>
          <w:rFonts w:ascii="宋体" w:hAnsi="宋体" w:eastAsia="宋体" w:cs="宋体"/>
          <w:spacing w:val="-2"/>
          <w:sz w:val="20"/>
          <w:szCs w:val="20"/>
        </w:rPr>
        <w:t>输</w:t>
      </w:r>
      <w:r>
        <w:rPr>
          <w:rFonts w:ascii="宋体" w:hAnsi="宋体" w:eastAsia="宋体" w:cs="宋体"/>
          <w:spacing w:val="-45"/>
          <w:sz w:val="20"/>
          <w:szCs w:val="20"/>
        </w:rPr>
        <w:t xml:space="preserve"> </w:t>
      </w:r>
      <w:r>
        <w:rPr>
          <w:rFonts w:ascii="宋体" w:hAnsi="宋体" w:eastAsia="宋体" w:cs="宋体"/>
          <w:spacing w:val="-2"/>
          <w:sz w:val="20"/>
          <w:szCs w:val="20"/>
        </w:rPr>
        <w:t>超</w:t>
      </w:r>
      <w:r>
        <w:rPr>
          <w:rFonts w:ascii="宋体" w:hAnsi="宋体" w:eastAsia="宋体" w:cs="宋体"/>
          <w:spacing w:val="-41"/>
          <w:sz w:val="20"/>
          <w:szCs w:val="20"/>
        </w:rPr>
        <w:t xml:space="preserve"> </w:t>
      </w:r>
      <w:r>
        <w:rPr>
          <w:rFonts w:ascii="宋体" w:hAnsi="宋体" w:eastAsia="宋体" w:cs="宋体"/>
          <w:spacing w:val="-2"/>
          <w:sz w:val="20"/>
          <w:szCs w:val="20"/>
        </w:rPr>
        <w:t>大</w:t>
      </w:r>
      <w:r>
        <w:rPr>
          <w:rFonts w:ascii="宋体" w:hAnsi="宋体" w:eastAsia="宋体" w:cs="宋体"/>
          <w:spacing w:val="-45"/>
          <w:sz w:val="20"/>
          <w:szCs w:val="20"/>
        </w:rPr>
        <w:t xml:space="preserve"> </w:t>
      </w:r>
      <w:r>
        <w:rPr>
          <w:rFonts w:ascii="宋体" w:hAnsi="宋体" w:eastAsia="宋体" w:cs="宋体"/>
          <w:spacing w:val="-2"/>
          <w:sz w:val="20"/>
          <w:szCs w:val="20"/>
        </w:rPr>
        <w:t>件</w:t>
      </w:r>
      <w:r>
        <w:rPr>
          <w:rFonts w:ascii="宋体" w:hAnsi="宋体" w:eastAsia="宋体" w:cs="宋体"/>
          <w:spacing w:val="-42"/>
          <w:sz w:val="20"/>
          <w:szCs w:val="20"/>
        </w:rPr>
        <w:t xml:space="preserve"> </w:t>
      </w:r>
      <w:r>
        <w:rPr>
          <w:rFonts w:ascii="宋体" w:hAnsi="宋体" w:eastAsia="宋体" w:cs="宋体"/>
          <w:spacing w:val="-2"/>
          <w:sz w:val="20"/>
          <w:szCs w:val="20"/>
        </w:rPr>
        <w:t>或</w:t>
      </w:r>
      <w:r>
        <w:rPr>
          <w:rFonts w:ascii="宋体" w:hAnsi="宋体" w:eastAsia="宋体" w:cs="宋体"/>
          <w:spacing w:val="-45"/>
          <w:sz w:val="20"/>
          <w:szCs w:val="20"/>
        </w:rPr>
        <w:t xml:space="preserve"> </w:t>
      </w:r>
      <w:r>
        <w:rPr>
          <w:rFonts w:ascii="宋体" w:hAnsi="宋体" w:eastAsia="宋体" w:cs="宋体"/>
          <w:spacing w:val="-2"/>
          <w:sz w:val="20"/>
          <w:szCs w:val="20"/>
        </w:rPr>
        <w:t>超</w:t>
      </w:r>
      <w:r>
        <w:rPr>
          <w:rFonts w:ascii="宋体" w:hAnsi="宋体" w:eastAsia="宋体" w:cs="宋体"/>
          <w:spacing w:val="-43"/>
          <w:sz w:val="20"/>
          <w:szCs w:val="20"/>
        </w:rPr>
        <w:t xml:space="preserve"> </w:t>
      </w:r>
      <w:r>
        <w:rPr>
          <w:rFonts w:ascii="宋体" w:hAnsi="宋体" w:eastAsia="宋体" w:cs="宋体"/>
          <w:spacing w:val="-2"/>
          <w:sz w:val="20"/>
          <w:szCs w:val="20"/>
        </w:rPr>
        <w:t>重</w:t>
      </w:r>
      <w:r>
        <w:rPr>
          <w:rFonts w:ascii="宋体" w:hAnsi="宋体" w:eastAsia="宋体" w:cs="宋体"/>
          <w:spacing w:val="-45"/>
          <w:sz w:val="20"/>
          <w:szCs w:val="20"/>
        </w:rPr>
        <w:t xml:space="preserve"> </w:t>
      </w:r>
      <w:r>
        <w:rPr>
          <w:rFonts w:ascii="宋体" w:hAnsi="宋体" w:eastAsia="宋体" w:cs="宋体"/>
          <w:spacing w:val="-2"/>
          <w:sz w:val="20"/>
          <w:szCs w:val="20"/>
        </w:rPr>
        <w:t>件</w:t>
      </w:r>
      <w:r>
        <w:rPr>
          <w:rFonts w:ascii="宋体" w:hAnsi="宋体" w:eastAsia="宋体" w:cs="宋体"/>
          <w:spacing w:val="-44"/>
          <w:sz w:val="20"/>
          <w:szCs w:val="20"/>
        </w:rPr>
        <w:t xml:space="preserve"> </w:t>
      </w:r>
      <w:r>
        <w:rPr>
          <w:rFonts w:ascii="宋体" w:hAnsi="宋体" w:eastAsia="宋体" w:cs="宋体"/>
          <w:spacing w:val="-2"/>
          <w:sz w:val="20"/>
          <w:szCs w:val="20"/>
        </w:rPr>
        <w:t>所</w:t>
      </w:r>
      <w:r>
        <w:rPr>
          <w:rFonts w:ascii="宋体" w:hAnsi="宋体" w:eastAsia="宋体" w:cs="宋体"/>
          <w:spacing w:val="-32"/>
          <w:sz w:val="20"/>
          <w:szCs w:val="20"/>
        </w:rPr>
        <w:t xml:space="preserve"> </w:t>
      </w:r>
      <w:r>
        <w:rPr>
          <w:rFonts w:ascii="宋体" w:hAnsi="宋体" w:eastAsia="宋体" w:cs="宋体"/>
          <w:spacing w:val="-2"/>
          <w:sz w:val="20"/>
          <w:szCs w:val="20"/>
        </w:rPr>
        <w:t>需</w:t>
      </w:r>
      <w:r>
        <w:rPr>
          <w:rFonts w:ascii="宋体" w:hAnsi="宋体" w:eastAsia="宋体" w:cs="宋体"/>
          <w:spacing w:val="-30"/>
          <w:sz w:val="20"/>
          <w:szCs w:val="20"/>
        </w:rPr>
        <w:t xml:space="preserve"> </w:t>
      </w:r>
      <w:r>
        <w:rPr>
          <w:rFonts w:ascii="宋体" w:hAnsi="宋体" w:eastAsia="宋体" w:cs="宋体"/>
          <w:spacing w:val="-2"/>
          <w:sz w:val="20"/>
          <w:szCs w:val="20"/>
        </w:rPr>
        <w:t>的</w:t>
      </w:r>
      <w:r>
        <w:rPr>
          <w:rFonts w:ascii="宋体" w:hAnsi="宋体" w:eastAsia="宋体" w:cs="宋体"/>
          <w:spacing w:val="-44"/>
          <w:sz w:val="20"/>
          <w:szCs w:val="20"/>
        </w:rPr>
        <w:t xml:space="preserve"> </w:t>
      </w:r>
      <w:r>
        <w:rPr>
          <w:rFonts w:ascii="宋体" w:hAnsi="宋体" w:eastAsia="宋体" w:cs="宋体"/>
          <w:spacing w:val="-2"/>
          <w:sz w:val="20"/>
          <w:szCs w:val="20"/>
        </w:rPr>
        <w:t>道</w:t>
      </w:r>
      <w:r>
        <w:rPr>
          <w:rFonts w:ascii="宋体" w:hAnsi="宋体" w:eastAsia="宋体" w:cs="宋体"/>
          <w:spacing w:val="-43"/>
          <w:sz w:val="20"/>
          <w:szCs w:val="20"/>
        </w:rPr>
        <w:t xml:space="preserve"> </w:t>
      </w:r>
      <w:r>
        <w:rPr>
          <w:rFonts w:ascii="宋体" w:hAnsi="宋体" w:eastAsia="宋体" w:cs="宋体"/>
          <w:spacing w:val="-2"/>
          <w:sz w:val="20"/>
          <w:szCs w:val="20"/>
        </w:rPr>
        <w:t>路</w:t>
      </w:r>
      <w:r>
        <w:rPr>
          <w:rFonts w:ascii="宋体" w:hAnsi="宋体" w:eastAsia="宋体" w:cs="宋体"/>
          <w:spacing w:val="-43"/>
          <w:sz w:val="20"/>
          <w:szCs w:val="20"/>
        </w:rPr>
        <w:t xml:space="preserve"> </w:t>
      </w:r>
      <w:r>
        <w:rPr>
          <w:rFonts w:ascii="宋体" w:hAnsi="宋体" w:eastAsia="宋体" w:cs="宋体"/>
          <w:spacing w:val="-2"/>
          <w:sz w:val="20"/>
          <w:szCs w:val="20"/>
        </w:rPr>
        <w:t>和</w:t>
      </w:r>
      <w:r>
        <w:rPr>
          <w:rFonts w:ascii="宋体" w:hAnsi="宋体" w:eastAsia="宋体" w:cs="宋体"/>
          <w:spacing w:val="-44"/>
          <w:sz w:val="20"/>
          <w:szCs w:val="20"/>
        </w:rPr>
        <w:t xml:space="preserve"> </w:t>
      </w:r>
      <w:r>
        <w:rPr>
          <w:rFonts w:ascii="宋体" w:hAnsi="宋体" w:eastAsia="宋体" w:cs="宋体"/>
          <w:spacing w:val="-2"/>
          <w:sz w:val="20"/>
          <w:szCs w:val="20"/>
        </w:rPr>
        <w:t>桥</w:t>
      </w:r>
      <w:r>
        <w:rPr>
          <w:rFonts w:ascii="宋体" w:hAnsi="宋体" w:eastAsia="宋体" w:cs="宋体"/>
          <w:spacing w:val="-44"/>
          <w:sz w:val="20"/>
          <w:szCs w:val="20"/>
        </w:rPr>
        <w:t xml:space="preserve"> </w:t>
      </w:r>
      <w:r>
        <w:rPr>
          <w:rFonts w:ascii="宋体" w:hAnsi="宋体" w:eastAsia="宋体" w:cs="宋体"/>
          <w:spacing w:val="-2"/>
          <w:sz w:val="20"/>
          <w:szCs w:val="20"/>
        </w:rPr>
        <w:t>梁</w:t>
      </w:r>
      <w:r>
        <w:rPr>
          <w:rFonts w:ascii="宋体" w:hAnsi="宋体" w:eastAsia="宋体" w:cs="宋体"/>
          <w:spacing w:val="-33"/>
          <w:sz w:val="20"/>
          <w:szCs w:val="20"/>
        </w:rPr>
        <w:t xml:space="preserve"> </w:t>
      </w:r>
      <w:r>
        <w:rPr>
          <w:rFonts w:ascii="宋体" w:hAnsi="宋体" w:eastAsia="宋体" w:cs="宋体"/>
          <w:spacing w:val="-2"/>
          <w:sz w:val="20"/>
          <w:szCs w:val="20"/>
        </w:rPr>
        <w:t>临</w:t>
      </w:r>
      <w:r>
        <w:rPr>
          <w:rFonts w:ascii="宋体" w:hAnsi="宋体" w:eastAsia="宋体" w:cs="宋体"/>
          <w:spacing w:val="-34"/>
          <w:sz w:val="20"/>
          <w:szCs w:val="20"/>
        </w:rPr>
        <w:t xml:space="preserve"> </w:t>
      </w:r>
      <w:r>
        <w:rPr>
          <w:rFonts w:ascii="宋体" w:hAnsi="宋体" w:eastAsia="宋体" w:cs="宋体"/>
          <w:spacing w:val="-2"/>
          <w:sz w:val="20"/>
          <w:szCs w:val="20"/>
        </w:rPr>
        <w:t>时</w:t>
      </w:r>
      <w:r>
        <w:rPr>
          <w:rFonts w:ascii="宋体" w:hAnsi="宋体" w:eastAsia="宋体" w:cs="宋体"/>
          <w:spacing w:val="-44"/>
          <w:sz w:val="20"/>
          <w:szCs w:val="20"/>
        </w:rPr>
        <w:t xml:space="preserve"> </w:t>
      </w:r>
      <w:r>
        <w:rPr>
          <w:rFonts w:ascii="宋体" w:hAnsi="宋体" w:eastAsia="宋体" w:cs="宋体"/>
          <w:spacing w:val="-2"/>
          <w:sz w:val="20"/>
          <w:szCs w:val="20"/>
        </w:rPr>
        <w:t>加</w:t>
      </w:r>
      <w:r>
        <w:rPr>
          <w:rFonts w:ascii="宋体" w:hAnsi="宋体" w:eastAsia="宋体" w:cs="宋体"/>
          <w:spacing w:val="-26"/>
          <w:sz w:val="20"/>
          <w:szCs w:val="20"/>
        </w:rPr>
        <w:t xml:space="preserve"> </w:t>
      </w:r>
      <w:r>
        <w:rPr>
          <w:rFonts w:ascii="宋体" w:hAnsi="宋体" w:eastAsia="宋体" w:cs="宋体"/>
          <w:spacing w:val="-2"/>
          <w:sz w:val="20"/>
          <w:szCs w:val="20"/>
        </w:rPr>
        <w:t>固</w:t>
      </w:r>
      <w:r>
        <w:rPr>
          <w:rFonts w:ascii="宋体" w:hAnsi="宋体" w:eastAsia="宋体" w:cs="宋体"/>
          <w:spacing w:val="-37"/>
          <w:sz w:val="20"/>
          <w:szCs w:val="20"/>
        </w:rPr>
        <w:t xml:space="preserve"> </w:t>
      </w:r>
      <w:r>
        <w:rPr>
          <w:rFonts w:ascii="宋体" w:hAnsi="宋体" w:eastAsia="宋体" w:cs="宋体"/>
          <w:spacing w:val="-2"/>
          <w:sz w:val="20"/>
          <w:szCs w:val="20"/>
        </w:rPr>
        <w:t>改</w:t>
      </w:r>
      <w:r>
        <w:rPr>
          <w:rFonts w:ascii="宋体" w:hAnsi="宋体" w:eastAsia="宋体" w:cs="宋体"/>
          <w:spacing w:val="-45"/>
          <w:sz w:val="20"/>
          <w:szCs w:val="20"/>
        </w:rPr>
        <w:t xml:space="preserve"> </w:t>
      </w:r>
      <w:r>
        <w:rPr>
          <w:rFonts w:ascii="宋体" w:hAnsi="宋体" w:eastAsia="宋体" w:cs="宋体"/>
          <w:spacing w:val="-2"/>
          <w:sz w:val="20"/>
          <w:szCs w:val="20"/>
        </w:rPr>
        <w:t>造</w:t>
      </w:r>
      <w:r>
        <w:rPr>
          <w:rFonts w:ascii="宋体" w:hAnsi="宋体" w:eastAsia="宋体" w:cs="宋体"/>
          <w:spacing w:val="-32"/>
          <w:sz w:val="20"/>
          <w:szCs w:val="20"/>
        </w:rPr>
        <w:t xml:space="preserve"> </w:t>
      </w:r>
      <w:r>
        <w:rPr>
          <w:rFonts w:ascii="宋体" w:hAnsi="宋体" w:eastAsia="宋体" w:cs="宋体"/>
          <w:spacing w:val="-2"/>
          <w:sz w:val="20"/>
          <w:szCs w:val="20"/>
        </w:rPr>
        <w:t>费</w:t>
      </w:r>
      <w:r>
        <w:rPr>
          <w:rFonts w:ascii="宋体" w:hAnsi="宋体" w:eastAsia="宋体" w:cs="宋体"/>
          <w:spacing w:val="-43"/>
          <w:sz w:val="20"/>
          <w:szCs w:val="20"/>
        </w:rPr>
        <w:t xml:space="preserve"> </w:t>
      </w:r>
      <w:r>
        <w:rPr>
          <w:rFonts w:ascii="宋体" w:hAnsi="宋体" w:eastAsia="宋体" w:cs="宋体"/>
          <w:spacing w:val="-2"/>
          <w:sz w:val="20"/>
          <w:szCs w:val="20"/>
        </w:rPr>
        <w:t>用和</w:t>
      </w:r>
      <w:r>
        <w:rPr>
          <w:rFonts w:ascii="宋体" w:hAnsi="宋体" w:eastAsia="宋体" w:cs="宋体"/>
          <w:spacing w:val="-43"/>
          <w:sz w:val="20"/>
          <w:szCs w:val="20"/>
        </w:rPr>
        <w:t xml:space="preserve"> </w:t>
      </w:r>
      <w:r>
        <w:rPr>
          <w:rFonts w:ascii="宋体" w:hAnsi="宋体" w:eastAsia="宋体" w:cs="宋体"/>
          <w:spacing w:val="-2"/>
          <w:sz w:val="20"/>
          <w:szCs w:val="20"/>
        </w:rPr>
        <w:t>其</w:t>
      </w:r>
      <w:r>
        <w:rPr>
          <w:rFonts w:ascii="宋体" w:hAnsi="宋体" w:eastAsia="宋体" w:cs="宋体"/>
          <w:spacing w:val="-44"/>
          <w:sz w:val="20"/>
          <w:szCs w:val="20"/>
        </w:rPr>
        <w:t xml:space="preserve"> </w:t>
      </w:r>
      <w:r>
        <w:rPr>
          <w:rFonts w:ascii="宋体" w:hAnsi="宋体" w:eastAsia="宋体" w:cs="宋体"/>
          <w:spacing w:val="-2"/>
          <w:sz w:val="20"/>
          <w:szCs w:val="20"/>
        </w:rPr>
        <w:t>他</w:t>
      </w:r>
      <w:r>
        <w:rPr>
          <w:rFonts w:ascii="宋体" w:hAnsi="宋体" w:eastAsia="宋体" w:cs="宋体"/>
          <w:spacing w:val="-43"/>
          <w:sz w:val="20"/>
          <w:szCs w:val="20"/>
        </w:rPr>
        <w:t xml:space="preserve"> </w:t>
      </w:r>
      <w:r>
        <w:rPr>
          <w:rFonts w:ascii="宋体" w:hAnsi="宋体" w:eastAsia="宋体" w:cs="宋体"/>
          <w:spacing w:val="-2"/>
          <w:sz w:val="20"/>
          <w:szCs w:val="20"/>
        </w:rPr>
        <w:t>有</w:t>
      </w:r>
      <w:r>
        <w:rPr>
          <w:rFonts w:ascii="宋体" w:hAnsi="宋体" w:eastAsia="宋体" w:cs="宋体"/>
          <w:spacing w:val="-41"/>
          <w:sz w:val="20"/>
          <w:szCs w:val="20"/>
        </w:rPr>
        <w:t xml:space="preserve"> </w:t>
      </w:r>
      <w:r>
        <w:rPr>
          <w:rFonts w:ascii="宋体" w:hAnsi="宋体" w:eastAsia="宋体" w:cs="宋体"/>
          <w:spacing w:val="-2"/>
          <w:sz w:val="20"/>
          <w:szCs w:val="20"/>
        </w:rPr>
        <w:t>关</w:t>
      </w:r>
      <w:r>
        <w:rPr>
          <w:rFonts w:ascii="宋体" w:hAnsi="宋体" w:eastAsia="宋体" w:cs="宋体"/>
          <w:spacing w:val="-32"/>
          <w:sz w:val="20"/>
          <w:szCs w:val="20"/>
        </w:rPr>
        <w:t xml:space="preserve"> </w:t>
      </w:r>
      <w:r>
        <w:rPr>
          <w:rFonts w:ascii="宋体" w:hAnsi="宋体" w:eastAsia="宋体" w:cs="宋体"/>
          <w:spacing w:val="-2"/>
          <w:sz w:val="20"/>
          <w:szCs w:val="20"/>
        </w:rPr>
        <w:t>费</w:t>
      </w:r>
      <w:r>
        <w:rPr>
          <w:rFonts w:ascii="宋体" w:hAnsi="宋体" w:eastAsia="宋体" w:cs="宋体"/>
          <w:spacing w:val="-43"/>
          <w:sz w:val="20"/>
          <w:szCs w:val="20"/>
        </w:rPr>
        <w:t xml:space="preserve"> </w:t>
      </w:r>
      <w:r>
        <w:rPr>
          <w:rFonts w:ascii="宋体" w:hAnsi="宋体" w:eastAsia="宋体" w:cs="宋体"/>
          <w:spacing w:val="-2"/>
          <w:sz w:val="20"/>
          <w:szCs w:val="20"/>
        </w:rPr>
        <w:t>用</w:t>
      </w:r>
      <w:r>
        <w:rPr>
          <w:rFonts w:ascii="宋体" w:hAnsi="宋体" w:eastAsia="宋体" w:cs="宋体"/>
          <w:spacing w:val="-21"/>
          <w:sz w:val="20"/>
          <w:szCs w:val="20"/>
        </w:rPr>
        <w:t xml:space="preserve"> </w:t>
      </w:r>
      <w:r>
        <w:rPr>
          <w:rFonts w:ascii="宋体" w:hAnsi="宋体" w:eastAsia="宋体" w:cs="宋体"/>
          <w:spacing w:val="-2"/>
          <w:sz w:val="20"/>
          <w:szCs w:val="20"/>
        </w:rPr>
        <w:t>由</w:t>
      </w:r>
      <w:r>
        <w:rPr>
          <w:rFonts w:ascii="宋体" w:hAnsi="宋体" w:eastAsia="宋体" w:cs="宋体"/>
          <w:spacing w:val="3"/>
          <w:sz w:val="20"/>
          <w:szCs w:val="20"/>
        </w:rPr>
        <w:t>承担。</w:t>
      </w:r>
    </w:p>
    <w:p w14:paraId="58E40057">
      <w:pPr>
        <w:spacing w:before="1" w:line="227" w:lineRule="auto"/>
        <w:ind w:left="443"/>
        <w:rPr>
          <w:rFonts w:ascii="宋体" w:hAnsi="宋体" w:eastAsia="宋体" w:cs="宋体"/>
          <w:sz w:val="20"/>
          <w:szCs w:val="20"/>
        </w:rPr>
      </w:pPr>
      <w:r>
        <w:rPr>
          <w:rFonts w:ascii="宋体" w:hAnsi="宋体" w:eastAsia="宋体" w:cs="宋体"/>
          <w:b/>
          <w:bCs/>
          <w:spacing w:val="1"/>
          <w:sz w:val="20"/>
          <w:szCs w:val="20"/>
        </w:rPr>
        <w:t>1.11</w:t>
      </w:r>
      <w:r>
        <w:rPr>
          <w:rFonts w:ascii="宋体" w:hAnsi="宋体" w:eastAsia="宋体" w:cs="宋体"/>
          <w:spacing w:val="21"/>
          <w:sz w:val="20"/>
          <w:szCs w:val="20"/>
        </w:rPr>
        <w:t xml:space="preserve"> </w:t>
      </w:r>
      <w:r>
        <w:rPr>
          <w:rFonts w:ascii="宋体" w:hAnsi="宋体" w:eastAsia="宋体" w:cs="宋体"/>
          <w:b/>
          <w:bCs/>
          <w:spacing w:val="1"/>
          <w:sz w:val="20"/>
          <w:szCs w:val="20"/>
        </w:rPr>
        <w:t>知识产权</w:t>
      </w:r>
    </w:p>
    <w:p w14:paraId="01E36A8C">
      <w:pPr>
        <w:spacing w:before="128" w:line="347" w:lineRule="auto"/>
        <w:ind w:left="31" w:right="2" w:firstLine="411"/>
        <w:rPr>
          <w:rFonts w:ascii="宋体" w:hAnsi="宋体" w:eastAsia="宋体" w:cs="宋体"/>
          <w:sz w:val="20"/>
          <w:szCs w:val="20"/>
        </w:rPr>
      </w:pPr>
      <w:r>
        <w:rPr>
          <w:rFonts w:ascii="宋体" w:hAnsi="宋体" w:eastAsia="宋体" w:cs="宋体"/>
          <w:spacing w:val="7"/>
          <w:sz w:val="20"/>
          <w:szCs w:val="20"/>
        </w:rPr>
        <w:t>1.11.1 关于发包人提供给承包人的图纸、发包人为实施工程自行编</w:t>
      </w:r>
      <w:r>
        <w:rPr>
          <w:rFonts w:ascii="宋体" w:hAnsi="宋体" w:eastAsia="宋体" w:cs="宋体"/>
          <w:spacing w:val="6"/>
          <w:sz w:val="20"/>
          <w:szCs w:val="20"/>
        </w:rPr>
        <w:t>制或委托编制的技术规范</w:t>
      </w:r>
      <w:r>
        <w:rPr>
          <w:rFonts w:ascii="宋体" w:hAnsi="宋体" w:eastAsia="宋体" w:cs="宋体"/>
          <w:spacing w:val="9"/>
          <w:sz w:val="20"/>
          <w:szCs w:val="20"/>
        </w:rPr>
        <w:t>以及反映发包人关于合同要求或其他类似性质的文件的著作权的</w:t>
      </w:r>
      <w:r>
        <w:rPr>
          <w:rFonts w:ascii="宋体" w:hAnsi="宋体" w:eastAsia="宋体" w:cs="宋体"/>
          <w:spacing w:val="8"/>
          <w:sz w:val="20"/>
          <w:szCs w:val="20"/>
        </w:rPr>
        <w:t>归属：</w:t>
      </w:r>
      <w:r>
        <w:rPr>
          <w:rFonts w:ascii="宋体" w:hAnsi="宋体" w:eastAsia="宋体" w:cs="宋体"/>
          <w:sz w:val="20"/>
          <w:szCs w:val="20"/>
          <w:u w:val="single" w:color="auto"/>
        </w:rPr>
        <w:t xml:space="preserve">                    </w:t>
      </w:r>
    </w:p>
    <w:p w14:paraId="027FB206">
      <w:pPr>
        <w:tabs>
          <w:tab w:val="left" w:pos="8504"/>
        </w:tabs>
        <w:spacing w:before="131"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09A6310">
      <w:pPr>
        <w:spacing w:before="175" w:line="227" w:lineRule="auto"/>
        <w:ind w:left="431"/>
        <w:rPr>
          <w:rFonts w:ascii="宋体" w:hAnsi="宋体" w:eastAsia="宋体" w:cs="宋体"/>
          <w:sz w:val="20"/>
          <w:szCs w:val="20"/>
        </w:rPr>
      </w:pPr>
      <w:r>
        <w:rPr>
          <w:rFonts w:ascii="宋体" w:hAnsi="宋体" w:eastAsia="宋体" w:cs="宋体"/>
          <w:spacing w:val="9"/>
          <w:sz w:val="20"/>
          <w:szCs w:val="20"/>
        </w:rPr>
        <w:t>关于发包人提供的上述文件的使用限制的要求：</w:t>
      </w:r>
      <w:r>
        <w:rPr>
          <w:rFonts w:ascii="宋体" w:hAnsi="宋体" w:eastAsia="宋体" w:cs="宋体"/>
          <w:sz w:val="20"/>
          <w:szCs w:val="20"/>
          <w:u w:val="single" w:color="auto"/>
        </w:rPr>
        <w:t xml:space="preserve">              </w:t>
      </w:r>
    </w:p>
    <w:p w14:paraId="789D83B2">
      <w:pPr>
        <w:spacing w:before="263" w:line="45" w:lineRule="exact"/>
        <w:ind w:left="8534"/>
        <w:rPr>
          <w:rFonts w:ascii="宋体" w:hAnsi="宋体" w:eastAsia="宋体" w:cs="宋体"/>
          <w:sz w:val="20"/>
          <w:szCs w:val="20"/>
        </w:rPr>
      </w:pPr>
      <w:r>
        <w:pict>
          <v:shape id="_x0000_s1076" o:spid="_x0000_s1076" o:spt="202" type="#_x0000_t202" style="position:absolute;left:0pt;margin-left:-1pt;margin-top:5.75pt;height:14.1pt;width:427.25pt;z-index:251718656;mso-width-relative:page;mso-height-relative:page;" filled="f" stroked="f" coordsize="21600,21600">
            <v:path/>
            <v:fill on="f" focussize="0,0"/>
            <v:stroke on="f"/>
            <v:imagedata o:title=""/>
            <o:lock v:ext="edit" aspectratio="f"/>
            <v:textbox inset="0mm,0mm,0mm,0mm">
              <w:txbxContent>
                <w:p w14:paraId="0EB0F1C1">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314889BD">
      <w:pPr>
        <w:spacing w:before="194" w:line="228" w:lineRule="auto"/>
        <w:ind w:left="443"/>
        <w:rPr>
          <w:rFonts w:ascii="宋体" w:hAnsi="宋体" w:eastAsia="宋体" w:cs="宋体"/>
          <w:sz w:val="20"/>
          <w:szCs w:val="20"/>
        </w:rPr>
      </w:pPr>
      <w:r>
        <w:rPr>
          <w:rFonts w:ascii="宋体" w:hAnsi="宋体" w:eastAsia="宋体" w:cs="宋体"/>
          <w:spacing w:val="8"/>
          <w:sz w:val="20"/>
          <w:szCs w:val="20"/>
        </w:rPr>
        <w:t>1.11.2 关于承包人为实施工程所编制文件的著作权的归属：</w:t>
      </w:r>
      <w:r>
        <w:rPr>
          <w:rFonts w:ascii="宋体" w:hAnsi="宋体" w:eastAsia="宋体" w:cs="宋体"/>
          <w:sz w:val="20"/>
          <w:szCs w:val="20"/>
          <w:u w:val="single" w:color="auto"/>
        </w:rPr>
        <w:t xml:space="preserve">     </w:t>
      </w:r>
    </w:p>
    <w:p w14:paraId="2EE07640">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2C03D6D">
      <w:pPr>
        <w:spacing w:before="174" w:line="227" w:lineRule="auto"/>
        <w:ind w:left="431"/>
        <w:rPr>
          <w:rFonts w:ascii="宋体" w:hAnsi="宋体" w:eastAsia="宋体" w:cs="宋体"/>
          <w:sz w:val="20"/>
          <w:szCs w:val="20"/>
        </w:rPr>
      </w:pPr>
      <w:r>
        <w:rPr>
          <w:rFonts w:ascii="宋体" w:hAnsi="宋体" w:eastAsia="宋体" w:cs="宋体"/>
          <w:spacing w:val="9"/>
          <w:sz w:val="20"/>
          <w:szCs w:val="20"/>
        </w:rPr>
        <w:t>关于承包人提供的上述文件的使用限制的要求：</w:t>
      </w:r>
      <w:r>
        <w:rPr>
          <w:rFonts w:ascii="宋体" w:hAnsi="宋体" w:eastAsia="宋体" w:cs="宋体"/>
          <w:sz w:val="20"/>
          <w:szCs w:val="20"/>
          <w:u w:val="single" w:color="auto"/>
        </w:rPr>
        <w:t xml:space="preserve">                </w:t>
      </w:r>
    </w:p>
    <w:p w14:paraId="708D23B4">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9B21BE1">
      <w:pPr>
        <w:spacing w:before="174" w:line="227" w:lineRule="auto"/>
        <w:ind w:left="443"/>
        <w:rPr>
          <w:rFonts w:ascii="宋体" w:hAnsi="宋体" w:eastAsia="宋体" w:cs="宋体"/>
          <w:sz w:val="20"/>
          <w:szCs w:val="20"/>
        </w:rPr>
      </w:pPr>
      <w:r>
        <w:rPr>
          <w:rFonts w:ascii="宋体" w:hAnsi="宋体" w:eastAsia="宋体" w:cs="宋体"/>
          <w:spacing w:val="7"/>
          <w:sz w:val="20"/>
          <w:szCs w:val="20"/>
        </w:rPr>
        <w:t>1.11.4 承包人在施工过程中所采用的专利、专有技术</w:t>
      </w:r>
      <w:r>
        <w:rPr>
          <w:rFonts w:ascii="宋体" w:hAnsi="宋体" w:eastAsia="宋体" w:cs="宋体"/>
          <w:spacing w:val="6"/>
          <w:sz w:val="20"/>
          <w:szCs w:val="20"/>
        </w:rPr>
        <w:t>、技术秘密的使用费的承担方式：</w:t>
      </w:r>
      <w:r>
        <w:rPr>
          <w:rFonts w:ascii="宋体" w:hAnsi="宋体" w:eastAsia="宋体" w:cs="宋体"/>
          <w:sz w:val="20"/>
          <w:szCs w:val="20"/>
          <w:u w:val="single" w:color="auto"/>
        </w:rPr>
        <w:t xml:space="preserve">     </w:t>
      </w:r>
    </w:p>
    <w:p w14:paraId="7BB253D7">
      <w:pPr>
        <w:tabs>
          <w:tab w:val="left" w:pos="3360"/>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0AB00A30">
      <w:pPr>
        <w:spacing w:before="174" w:line="228" w:lineRule="auto"/>
        <w:ind w:left="443"/>
        <w:rPr>
          <w:rFonts w:ascii="宋体" w:hAnsi="宋体" w:eastAsia="宋体" w:cs="宋体"/>
          <w:sz w:val="20"/>
          <w:szCs w:val="20"/>
        </w:rPr>
      </w:pPr>
      <w:r>
        <w:rPr>
          <w:rFonts w:ascii="宋体" w:hAnsi="宋体" w:eastAsia="宋体" w:cs="宋体"/>
          <w:b/>
          <w:bCs/>
          <w:spacing w:val="5"/>
          <w:sz w:val="20"/>
          <w:szCs w:val="20"/>
        </w:rPr>
        <w:t>1.13</w:t>
      </w:r>
      <w:r>
        <w:rPr>
          <w:rFonts w:ascii="宋体" w:hAnsi="宋体" w:eastAsia="宋体" w:cs="宋体"/>
          <w:spacing w:val="5"/>
          <w:sz w:val="20"/>
          <w:szCs w:val="20"/>
        </w:rPr>
        <w:t xml:space="preserve"> </w:t>
      </w:r>
      <w:r>
        <w:rPr>
          <w:rFonts w:ascii="宋体" w:hAnsi="宋体" w:eastAsia="宋体" w:cs="宋体"/>
          <w:b/>
          <w:bCs/>
          <w:spacing w:val="5"/>
          <w:sz w:val="20"/>
          <w:szCs w:val="20"/>
        </w:rPr>
        <w:t>工程量清单错误的修正</w:t>
      </w:r>
    </w:p>
    <w:p w14:paraId="689553D5">
      <w:pPr>
        <w:spacing w:before="128" w:line="226" w:lineRule="auto"/>
        <w:ind w:left="446"/>
        <w:rPr>
          <w:rFonts w:ascii="宋体" w:hAnsi="宋体" w:eastAsia="宋体" w:cs="宋体"/>
          <w:sz w:val="20"/>
          <w:szCs w:val="20"/>
        </w:rPr>
      </w:pPr>
      <w:r>
        <w:rPr>
          <w:rFonts w:ascii="宋体" w:hAnsi="宋体" w:eastAsia="宋体" w:cs="宋体"/>
          <w:spacing w:val="7"/>
          <w:sz w:val="20"/>
          <w:szCs w:val="20"/>
        </w:rPr>
        <w:t>出现工程量清单错误时，是否调整合同价格：</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302DDF29">
      <w:pPr>
        <w:spacing w:before="130" w:line="226" w:lineRule="auto"/>
        <w:ind w:left="435"/>
        <w:rPr>
          <w:rFonts w:ascii="宋体" w:hAnsi="宋体" w:eastAsia="宋体" w:cs="宋体"/>
          <w:sz w:val="20"/>
          <w:szCs w:val="20"/>
        </w:rPr>
      </w:pPr>
      <w:r>
        <w:rPr>
          <w:rFonts w:ascii="宋体" w:hAnsi="宋体" w:eastAsia="宋体" w:cs="宋体"/>
          <w:spacing w:val="9"/>
          <w:sz w:val="20"/>
          <w:szCs w:val="20"/>
        </w:rPr>
        <w:t>允许调整合同价格的工程量偏差范围：</w:t>
      </w:r>
      <w:r>
        <w:rPr>
          <w:rFonts w:ascii="宋体" w:hAnsi="宋体" w:eastAsia="宋体" w:cs="宋体"/>
          <w:sz w:val="20"/>
          <w:szCs w:val="20"/>
          <w:u w:val="single" w:color="auto"/>
        </w:rPr>
        <w:t xml:space="preserve">                     </w:t>
      </w:r>
    </w:p>
    <w:p w14:paraId="53DCE318">
      <w:pPr>
        <w:spacing w:before="264" w:line="45" w:lineRule="exact"/>
        <w:ind w:left="8534"/>
        <w:rPr>
          <w:rFonts w:ascii="宋体" w:hAnsi="宋体" w:eastAsia="宋体" w:cs="宋体"/>
          <w:sz w:val="20"/>
          <w:szCs w:val="20"/>
        </w:rPr>
      </w:pPr>
      <w:r>
        <w:pict>
          <v:shape id="_x0000_s1077" o:spid="_x0000_s1077" o:spt="202" type="#_x0000_t202" style="position:absolute;left:0pt;margin-left:-1pt;margin-top:5.8pt;height:14.1pt;width:427.25pt;z-index:251719680;mso-width-relative:page;mso-height-relative:page;" filled="f" stroked="f" coordsize="21600,21600">
            <v:path/>
            <v:fill on="f" focussize="0,0"/>
            <v:stroke on="f"/>
            <v:imagedata o:title=""/>
            <o:lock v:ext="edit" aspectratio="f"/>
            <v:textbox inset="0mm,0mm,0mm,0mm">
              <w:txbxContent>
                <w:p w14:paraId="2DC7E21A">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2DD7946A">
      <w:pPr>
        <w:spacing w:before="195" w:line="228" w:lineRule="auto"/>
        <w:ind w:left="430"/>
        <w:outlineLvl w:val="2"/>
        <w:rPr>
          <w:rFonts w:ascii="宋体" w:hAnsi="宋体" w:eastAsia="宋体" w:cs="宋体"/>
          <w:sz w:val="20"/>
          <w:szCs w:val="20"/>
        </w:rPr>
      </w:pPr>
      <w:bookmarkStart w:id="328" w:name="bookmark311"/>
      <w:bookmarkEnd w:id="328"/>
      <w:r>
        <w:rPr>
          <w:rFonts w:ascii="宋体" w:hAnsi="宋体" w:eastAsia="宋体" w:cs="宋体"/>
          <w:b/>
          <w:bCs/>
          <w:spacing w:val="2"/>
          <w:sz w:val="20"/>
          <w:szCs w:val="20"/>
        </w:rPr>
        <w:t>2.</w:t>
      </w:r>
      <w:r>
        <w:rPr>
          <w:rFonts w:ascii="宋体" w:hAnsi="宋体" w:eastAsia="宋体" w:cs="宋体"/>
          <w:spacing w:val="16"/>
          <w:sz w:val="20"/>
          <w:szCs w:val="20"/>
        </w:rPr>
        <w:t xml:space="preserve"> </w:t>
      </w:r>
      <w:r>
        <w:rPr>
          <w:rFonts w:ascii="宋体" w:hAnsi="宋体" w:eastAsia="宋体" w:cs="宋体"/>
          <w:b/>
          <w:bCs/>
          <w:spacing w:val="2"/>
          <w:sz w:val="20"/>
          <w:szCs w:val="20"/>
        </w:rPr>
        <w:t>发包人</w:t>
      </w:r>
    </w:p>
    <w:p w14:paraId="081EA6CE">
      <w:pPr>
        <w:spacing w:before="126" w:line="228" w:lineRule="auto"/>
        <w:ind w:left="430"/>
        <w:rPr>
          <w:rFonts w:ascii="宋体" w:hAnsi="宋体" w:eastAsia="宋体" w:cs="宋体"/>
          <w:sz w:val="20"/>
          <w:szCs w:val="20"/>
        </w:rPr>
      </w:pPr>
      <w:r>
        <w:rPr>
          <w:rFonts w:ascii="宋体" w:hAnsi="宋体" w:eastAsia="宋体" w:cs="宋体"/>
          <w:b/>
          <w:bCs/>
          <w:spacing w:val="5"/>
          <w:sz w:val="20"/>
          <w:szCs w:val="20"/>
        </w:rPr>
        <w:t>2.2</w:t>
      </w:r>
      <w:r>
        <w:rPr>
          <w:rFonts w:ascii="宋体" w:hAnsi="宋体" w:eastAsia="宋体" w:cs="宋体"/>
          <w:spacing w:val="5"/>
          <w:sz w:val="20"/>
          <w:szCs w:val="20"/>
        </w:rPr>
        <w:t xml:space="preserve"> </w:t>
      </w:r>
      <w:r>
        <w:rPr>
          <w:rFonts w:ascii="宋体" w:hAnsi="宋体" w:eastAsia="宋体" w:cs="宋体"/>
          <w:b/>
          <w:bCs/>
          <w:spacing w:val="5"/>
          <w:sz w:val="20"/>
          <w:szCs w:val="20"/>
        </w:rPr>
        <w:t>发包人代表</w:t>
      </w:r>
    </w:p>
    <w:p w14:paraId="3456A78F">
      <w:pPr>
        <w:spacing w:before="128" w:line="228" w:lineRule="auto"/>
        <w:ind w:left="431"/>
        <w:rPr>
          <w:rFonts w:ascii="宋体" w:hAnsi="宋体" w:eastAsia="宋体" w:cs="宋体"/>
          <w:sz w:val="20"/>
          <w:szCs w:val="20"/>
        </w:rPr>
      </w:pPr>
      <w:r>
        <w:rPr>
          <w:rFonts w:ascii="宋体" w:hAnsi="宋体" w:eastAsia="宋体" w:cs="宋体"/>
          <w:spacing w:val="6"/>
          <w:sz w:val="20"/>
          <w:szCs w:val="20"/>
        </w:rPr>
        <w:t>发包人代表：</w:t>
      </w:r>
    </w:p>
    <w:p w14:paraId="1262703E">
      <w:pPr>
        <w:spacing w:before="127" w:line="228" w:lineRule="auto"/>
        <w:ind w:left="428"/>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7"/>
          <w:sz w:val="20"/>
          <w:szCs w:val="20"/>
        </w:rPr>
        <w:t xml:space="preserve">    </w:t>
      </w:r>
      <w:r>
        <w:rPr>
          <w:rFonts w:ascii="宋体" w:hAnsi="宋体" w:eastAsia="宋体" w:cs="宋体"/>
          <w:spacing w:val="-1"/>
          <w:sz w:val="20"/>
          <w:szCs w:val="20"/>
        </w:rPr>
        <w:t>名</w:t>
      </w:r>
      <w:r>
        <w:rPr>
          <w:rFonts w:ascii="宋体" w:hAnsi="宋体" w:eastAsia="宋体" w:cs="宋体"/>
          <w:spacing w:val="-71"/>
          <w:sz w:val="20"/>
          <w:szCs w:val="20"/>
        </w:rPr>
        <w:t xml:space="preserve"> </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p>
    <w:p w14:paraId="70524A44">
      <w:pPr>
        <w:spacing w:before="127" w:line="228" w:lineRule="auto"/>
        <w:ind w:left="433"/>
        <w:rPr>
          <w:rFonts w:ascii="宋体" w:hAnsi="宋体" w:eastAsia="宋体" w:cs="宋体"/>
          <w:sz w:val="20"/>
          <w:szCs w:val="20"/>
        </w:rPr>
      </w:pPr>
      <w:r>
        <w:rPr>
          <w:rFonts w:ascii="宋体" w:hAnsi="宋体" w:eastAsia="宋体" w:cs="宋体"/>
          <w:spacing w:val="5"/>
          <w:sz w:val="20"/>
          <w:szCs w:val="20"/>
        </w:rPr>
        <w:t>身份证号</w:t>
      </w:r>
      <w:r>
        <w:rPr>
          <w:rFonts w:ascii="宋体" w:hAnsi="宋体" w:eastAsia="宋体" w:cs="宋体"/>
          <w:spacing w:val="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7"/>
          <w:sz w:val="20"/>
          <w:szCs w:val="20"/>
        </w:rPr>
        <w:t>；</w:t>
      </w:r>
    </w:p>
    <w:p w14:paraId="474256A9">
      <w:pPr>
        <w:spacing w:before="128" w:line="228" w:lineRule="auto"/>
        <w:ind w:left="429"/>
        <w:rPr>
          <w:rFonts w:ascii="宋体" w:hAnsi="宋体" w:eastAsia="宋体" w:cs="宋体"/>
          <w:sz w:val="20"/>
          <w:szCs w:val="20"/>
        </w:rPr>
      </w:pPr>
      <w:r>
        <w:rPr>
          <w:rFonts w:ascii="宋体" w:hAnsi="宋体" w:eastAsia="宋体" w:cs="宋体"/>
          <w:spacing w:val="-1"/>
          <w:sz w:val="20"/>
          <w:szCs w:val="20"/>
        </w:rPr>
        <w:t>职</w:t>
      </w:r>
      <w:r>
        <w:rPr>
          <w:rFonts w:ascii="宋体" w:hAnsi="宋体" w:eastAsia="宋体" w:cs="宋体"/>
          <w:spacing w:val="7"/>
          <w:sz w:val="20"/>
          <w:szCs w:val="20"/>
        </w:rPr>
        <w:t xml:space="preserve">    </w:t>
      </w:r>
      <w:r>
        <w:rPr>
          <w:rFonts w:ascii="宋体" w:hAnsi="宋体" w:eastAsia="宋体" w:cs="宋体"/>
          <w:spacing w:val="-1"/>
          <w:sz w:val="20"/>
          <w:szCs w:val="20"/>
        </w:rPr>
        <w:t>务</w:t>
      </w:r>
      <w:r>
        <w:rPr>
          <w:rFonts w:ascii="宋体" w:hAnsi="宋体" w:eastAsia="宋体" w:cs="宋体"/>
          <w:spacing w:val="-72"/>
          <w:sz w:val="20"/>
          <w:szCs w:val="20"/>
        </w:rPr>
        <w:t xml:space="preserve"> </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p>
    <w:p w14:paraId="628FBC4E">
      <w:pPr>
        <w:spacing w:before="127" w:line="230" w:lineRule="auto"/>
        <w:ind w:left="429"/>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26CDDFDA">
      <w:pPr>
        <w:spacing w:before="125" w:line="228" w:lineRule="auto"/>
        <w:ind w:left="452"/>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7C1EDC3C">
      <w:pPr>
        <w:spacing w:before="128" w:line="228" w:lineRule="auto"/>
        <w:ind w:left="428"/>
        <w:rPr>
          <w:rFonts w:ascii="宋体" w:hAnsi="宋体" w:eastAsia="宋体" w:cs="宋体"/>
          <w:sz w:val="20"/>
          <w:szCs w:val="20"/>
        </w:rPr>
      </w:pPr>
      <w:r>
        <w:rPr>
          <w:rFonts w:ascii="宋体" w:hAnsi="宋体" w:eastAsia="宋体" w:cs="宋体"/>
          <w:spacing w:val="4"/>
          <w:sz w:val="20"/>
          <w:szCs w:val="20"/>
        </w:rPr>
        <w:t>通信地址：</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3C4CD554">
      <w:pPr>
        <w:spacing w:before="127" w:line="228" w:lineRule="auto"/>
        <w:ind w:left="431"/>
        <w:rPr>
          <w:rFonts w:ascii="宋体" w:hAnsi="宋体" w:eastAsia="宋体" w:cs="宋体"/>
          <w:sz w:val="20"/>
          <w:szCs w:val="20"/>
        </w:rPr>
      </w:pPr>
      <w:r>
        <w:rPr>
          <w:rFonts w:ascii="宋体" w:hAnsi="宋体" w:eastAsia="宋体" w:cs="宋体"/>
          <w:spacing w:val="9"/>
          <w:sz w:val="20"/>
          <w:szCs w:val="20"/>
        </w:rPr>
        <w:t>发包人对发包人代表的授权范围如下：</w:t>
      </w:r>
      <w:r>
        <w:rPr>
          <w:rFonts w:ascii="宋体" w:hAnsi="宋体" w:eastAsia="宋体" w:cs="宋体"/>
          <w:sz w:val="20"/>
          <w:szCs w:val="20"/>
          <w:u w:val="single" w:color="auto"/>
        </w:rPr>
        <w:t xml:space="preserve">                    </w:t>
      </w:r>
    </w:p>
    <w:p w14:paraId="49F2060F">
      <w:pPr>
        <w:spacing w:line="228" w:lineRule="auto"/>
        <w:rPr>
          <w:rFonts w:ascii="宋体" w:hAnsi="宋体" w:eastAsia="宋体" w:cs="宋体"/>
          <w:sz w:val="20"/>
          <w:szCs w:val="20"/>
        </w:rPr>
        <w:sectPr>
          <w:footerReference r:id="rId394" w:type="default"/>
          <w:pgSz w:w="11906" w:h="16839"/>
          <w:pgMar w:top="400" w:right="1530" w:bottom="1446" w:left="1531" w:header="0" w:footer="1284" w:gutter="0"/>
          <w:cols w:space="720" w:num="1"/>
        </w:sectPr>
      </w:pPr>
    </w:p>
    <w:p w14:paraId="6688AA2F">
      <w:pPr>
        <w:spacing w:before="27" w:line="227" w:lineRule="auto"/>
        <w:ind w:left="430"/>
        <w:rPr>
          <w:rFonts w:ascii="宋体" w:hAnsi="宋体" w:eastAsia="宋体" w:cs="宋体"/>
          <w:sz w:val="20"/>
          <w:szCs w:val="20"/>
        </w:rPr>
      </w:pPr>
      <w:r>
        <w:rPr>
          <w:rFonts w:ascii="宋体" w:hAnsi="宋体" w:eastAsia="宋体" w:cs="宋体"/>
          <w:b/>
          <w:bCs/>
          <w:spacing w:val="7"/>
          <w:sz w:val="20"/>
          <w:szCs w:val="20"/>
        </w:rPr>
        <w:t>2.4</w:t>
      </w:r>
      <w:r>
        <w:rPr>
          <w:rFonts w:ascii="宋体" w:hAnsi="宋体" w:eastAsia="宋体" w:cs="宋体"/>
          <w:spacing w:val="7"/>
          <w:sz w:val="20"/>
          <w:szCs w:val="20"/>
        </w:rPr>
        <w:t xml:space="preserve"> </w:t>
      </w:r>
      <w:r>
        <w:rPr>
          <w:rFonts w:ascii="宋体" w:hAnsi="宋体" w:eastAsia="宋体" w:cs="宋体"/>
          <w:b/>
          <w:bCs/>
          <w:spacing w:val="7"/>
          <w:sz w:val="20"/>
          <w:szCs w:val="20"/>
        </w:rPr>
        <w:t>施工现场、施工条件和基础资料的提供</w:t>
      </w:r>
    </w:p>
    <w:p w14:paraId="4EB20F39">
      <w:pPr>
        <w:spacing w:before="128" w:line="227" w:lineRule="auto"/>
        <w:ind w:left="430"/>
        <w:rPr>
          <w:rFonts w:ascii="宋体" w:hAnsi="宋体" w:eastAsia="宋体" w:cs="宋体"/>
          <w:sz w:val="20"/>
          <w:szCs w:val="20"/>
        </w:rPr>
      </w:pPr>
      <w:r>
        <w:rPr>
          <w:rFonts w:ascii="宋体" w:hAnsi="宋体" w:eastAsia="宋体" w:cs="宋体"/>
          <w:spacing w:val="6"/>
          <w:sz w:val="20"/>
          <w:szCs w:val="20"/>
        </w:rPr>
        <w:t>2.4.1 提供施工现场</w:t>
      </w:r>
    </w:p>
    <w:p w14:paraId="18E09519">
      <w:pPr>
        <w:spacing w:before="128" w:line="228" w:lineRule="auto"/>
        <w:ind w:left="431"/>
        <w:rPr>
          <w:rFonts w:ascii="宋体" w:hAnsi="宋体" w:eastAsia="宋体" w:cs="宋体"/>
          <w:sz w:val="20"/>
          <w:szCs w:val="20"/>
        </w:rPr>
      </w:pPr>
      <w:r>
        <w:rPr>
          <w:rFonts w:ascii="宋体" w:hAnsi="宋体" w:eastAsia="宋体" w:cs="宋体"/>
          <w:spacing w:val="9"/>
          <w:sz w:val="20"/>
          <w:szCs w:val="20"/>
        </w:rPr>
        <w:t>关于发包人移交施工现场的期限要求：</w:t>
      </w:r>
      <w:r>
        <w:rPr>
          <w:rFonts w:ascii="宋体" w:hAnsi="宋体" w:eastAsia="宋体" w:cs="宋体"/>
          <w:sz w:val="20"/>
          <w:szCs w:val="20"/>
          <w:u w:val="single" w:color="auto"/>
        </w:rPr>
        <w:t xml:space="preserve">                                              </w:t>
      </w:r>
    </w:p>
    <w:p w14:paraId="34A2BAF5">
      <w:pPr>
        <w:tabs>
          <w:tab w:val="left" w:pos="8504"/>
        </w:tabs>
        <w:spacing w:before="261"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8426843">
      <w:pPr>
        <w:spacing w:before="174" w:line="227" w:lineRule="auto"/>
        <w:ind w:left="430"/>
        <w:rPr>
          <w:rFonts w:ascii="宋体" w:hAnsi="宋体" w:eastAsia="宋体" w:cs="宋体"/>
          <w:sz w:val="20"/>
          <w:szCs w:val="20"/>
        </w:rPr>
      </w:pPr>
      <w:r>
        <w:rPr>
          <w:rFonts w:ascii="宋体" w:hAnsi="宋体" w:eastAsia="宋体" w:cs="宋体"/>
          <w:spacing w:val="6"/>
          <w:sz w:val="20"/>
          <w:szCs w:val="20"/>
        </w:rPr>
        <w:t>2.4.2 提供施工条件</w:t>
      </w:r>
    </w:p>
    <w:p w14:paraId="58DDD127">
      <w:pPr>
        <w:spacing w:before="128" w:line="227" w:lineRule="auto"/>
        <w:ind w:left="431"/>
        <w:rPr>
          <w:rFonts w:ascii="宋体" w:hAnsi="宋体" w:eastAsia="宋体" w:cs="宋体"/>
          <w:sz w:val="20"/>
          <w:szCs w:val="20"/>
        </w:rPr>
      </w:pPr>
      <w:r>
        <w:rPr>
          <w:rFonts w:ascii="宋体" w:hAnsi="宋体" w:eastAsia="宋体" w:cs="宋体"/>
          <w:spacing w:val="9"/>
          <w:sz w:val="20"/>
          <w:szCs w:val="20"/>
        </w:rPr>
        <w:t>关于发包人应负责提供施工所需要的条件，包括：</w:t>
      </w:r>
      <w:r>
        <w:rPr>
          <w:rFonts w:ascii="宋体" w:hAnsi="宋体" w:eastAsia="宋体" w:cs="宋体"/>
          <w:sz w:val="20"/>
          <w:szCs w:val="20"/>
          <w:u w:val="single" w:color="auto"/>
        </w:rPr>
        <w:t xml:space="preserve">                                   </w:t>
      </w:r>
    </w:p>
    <w:p w14:paraId="29FA11A4">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09CD208">
      <w:pPr>
        <w:spacing w:before="174" w:line="228" w:lineRule="auto"/>
        <w:ind w:left="430"/>
        <w:rPr>
          <w:rFonts w:ascii="宋体" w:hAnsi="宋体" w:eastAsia="宋体" w:cs="宋体"/>
          <w:sz w:val="20"/>
          <w:szCs w:val="20"/>
        </w:rPr>
      </w:pPr>
      <w:r>
        <w:rPr>
          <w:rFonts w:ascii="宋体" w:hAnsi="宋体" w:eastAsia="宋体" w:cs="宋体"/>
          <w:b/>
          <w:bCs/>
          <w:spacing w:val="6"/>
          <w:sz w:val="20"/>
          <w:szCs w:val="20"/>
        </w:rPr>
        <w:t>2.5</w:t>
      </w:r>
      <w:r>
        <w:rPr>
          <w:rFonts w:ascii="宋体" w:hAnsi="宋体" w:eastAsia="宋体" w:cs="宋体"/>
          <w:spacing w:val="6"/>
          <w:sz w:val="20"/>
          <w:szCs w:val="20"/>
        </w:rPr>
        <w:t xml:space="preserve"> </w:t>
      </w:r>
      <w:r>
        <w:rPr>
          <w:rFonts w:ascii="宋体" w:hAnsi="宋体" w:eastAsia="宋体" w:cs="宋体"/>
          <w:b/>
          <w:bCs/>
          <w:spacing w:val="6"/>
          <w:sz w:val="20"/>
          <w:szCs w:val="20"/>
        </w:rPr>
        <w:t>资金来源证明及支付担保</w:t>
      </w:r>
    </w:p>
    <w:p w14:paraId="38D9451D">
      <w:pPr>
        <w:spacing w:before="128" w:line="227" w:lineRule="auto"/>
        <w:jc w:val="right"/>
        <w:rPr>
          <w:rFonts w:ascii="宋体" w:hAnsi="宋体" w:eastAsia="宋体" w:cs="宋体"/>
          <w:sz w:val="20"/>
          <w:szCs w:val="20"/>
        </w:rPr>
      </w:pPr>
      <w:r>
        <w:rPr>
          <w:rFonts w:ascii="宋体" w:hAnsi="宋体" w:eastAsia="宋体" w:cs="宋体"/>
          <w:spacing w:val="6"/>
          <w:sz w:val="20"/>
          <w:szCs w:val="20"/>
        </w:rPr>
        <w:t>发包人提供资金来源证明的期限要求：</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24F998E">
      <w:pPr>
        <w:spacing w:before="128" w:line="227" w:lineRule="auto"/>
        <w:jc w:val="right"/>
        <w:rPr>
          <w:rFonts w:ascii="宋体" w:hAnsi="宋体" w:eastAsia="宋体" w:cs="宋体"/>
          <w:sz w:val="20"/>
          <w:szCs w:val="20"/>
        </w:rPr>
      </w:pPr>
      <w:r>
        <w:rPr>
          <w:rFonts w:ascii="宋体" w:hAnsi="宋体" w:eastAsia="宋体" w:cs="宋体"/>
          <w:spacing w:val="6"/>
          <w:sz w:val="20"/>
          <w:szCs w:val="20"/>
        </w:rPr>
        <w:t>发包人是否提供支付担保：</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01708243">
      <w:pPr>
        <w:spacing w:before="129" w:line="227" w:lineRule="auto"/>
        <w:jc w:val="right"/>
        <w:rPr>
          <w:rFonts w:ascii="宋体" w:hAnsi="宋体" w:eastAsia="宋体" w:cs="宋体"/>
          <w:sz w:val="20"/>
          <w:szCs w:val="20"/>
        </w:rPr>
      </w:pPr>
      <w:r>
        <w:rPr>
          <w:rFonts w:ascii="宋体" w:hAnsi="宋体" w:eastAsia="宋体" w:cs="宋体"/>
          <w:spacing w:val="6"/>
          <w:sz w:val="20"/>
          <w:szCs w:val="20"/>
        </w:rPr>
        <w:t>发包人提供支付担保的形式：</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47EBEA62">
      <w:pPr>
        <w:spacing w:before="128" w:line="228" w:lineRule="auto"/>
        <w:ind w:left="432"/>
        <w:outlineLvl w:val="2"/>
        <w:rPr>
          <w:rFonts w:ascii="宋体" w:hAnsi="宋体" w:eastAsia="宋体" w:cs="宋体"/>
          <w:sz w:val="20"/>
          <w:szCs w:val="20"/>
        </w:rPr>
      </w:pPr>
      <w:bookmarkStart w:id="329" w:name="bookmark312"/>
      <w:bookmarkEnd w:id="329"/>
      <w:r>
        <w:rPr>
          <w:rFonts w:ascii="宋体" w:hAnsi="宋体" w:eastAsia="宋体" w:cs="宋体"/>
          <w:b/>
          <w:bCs/>
          <w:spacing w:val="2"/>
          <w:sz w:val="20"/>
          <w:szCs w:val="20"/>
        </w:rPr>
        <w:t>3.</w:t>
      </w:r>
      <w:r>
        <w:rPr>
          <w:rFonts w:ascii="宋体" w:hAnsi="宋体" w:eastAsia="宋体" w:cs="宋体"/>
          <w:spacing w:val="14"/>
          <w:sz w:val="20"/>
          <w:szCs w:val="20"/>
        </w:rPr>
        <w:t xml:space="preserve"> </w:t>
      </w:r>
      <w:r>
        <w:rPr>
          <w:rFonts w:ascii="宋体" w:hAnsi="宋体" w:eastAsia="宋体" w:cs="宋体"/>
          <w:b/>
          <w:bCs/>
          <w:spacing w:val="2"/>
          <w:sz w:val="20"/>
          <w:szCs w:val="20"/>
        </w:rPr>
        <w:t>承包人</w:t>
      </w:r>
    </w:p>
    <w:p w14:paraId="7A297CB0">
      <w:pPr>
        <w:spacing w:before="127" w:line="228" w:lineRule="auto"/>
        <w:ind w:left="432"/>
        <w:rPr>
          <w:rFonts w:ascii="宋体" w:hAnsi="宋体" w:eastAsia="宋体" w:cs="宋体"/>
          <w:sz w:val="20"/>
          <w:szCs w:val="20"/>
        </w:rPr>
      </w:pPr>
      <w:r>
        <w:rPr>
          <w:rFonts w:ascii="宋体" w:hAnsi="宋体" w:eastAsia="宋体" w:cs="宋体"/>
          <w:b/>
          <w:bCs/>
          <w:spacing w:val="5"/>
          <w:sz w:val="20"/>
          <w:szCs w:val="20"/>
        </w:rPr>
        <w:t>3.1</w:t>
      </w:r>
      <w:r>
        <w:rPr>
          <w:rFonts w:ascii="宋体" w:hAnsi="宋体" w:eastAsia="宋体" w:cs="宋体"/>
          <w:spacing w:val="5"/>
          <w:sz w:val="20"/>
          <w:szCs w:val="20"/>
        </w:rPr>
        <w:t xml:space="preserve"> </w:t>
      </w:r>
      <w:r>
        <w:rPr>
          <w:rFonts w:ascii="宋体" w:hAnsi="宋体" w:eastAsia="宋体" w:cs="宋体"/>
          <w:b/>
          <w:bCs/>
          <w:spacing w:val="5"/>
          <w:sz w:val="20"/>
          <w:szCs w:val="20"/>
        </w:rPr>
        <w:t>承包人的一般义务</w:t>
      </w:r>
    </w:p>
    <w:p w14:paraId="1384E2E1">
      <w:pPr>
        <w:spacing w:before="128" w:line="228" w:lineRule="auto"/>
        <w:ind w:left="438"/>
        <w:rPr>
          <w:rFonts w:ascii="宋体" w:hAnsi="宋体" w:eastAsia="宋体" w:cs="宋体"/>
          <w:sz w:val="20"/>
          <w:szCs w:val="20"/>
        </w:rPr>
      </w:pPr>
      <w:r>
        <w:rPr>
          <w:rFonts w:ascii="宋体" w:hAnsi="宋体" w:eastAsia="宋体" w:cs="宋体"/>
          <w:spacing w:val="8"/>
          <w:sz w:val="20"/>
          <w:szCs w:val="20"/>
        </w:rPr>
        <w:t>（11）承包人提交施工过程结算资料的内容：</w:t>
      </w:r>
      <w:r>
        <w:rPr>
          <w:rFonts w:ascii="宋体" w:hAnsi="宋体" w:eastAsia="宋体" w:cs="宋体"/>
          <w:sz w:val="20"/>
          <w:szCs w:val="20"/>
          <w:u w:val="single" w:color="auto"/>
        </w:rPr>
        <w:t xml:space="preserve">                                       </w:t>
      </w:r>
    </w:p>
    <w:p w14:paraId="26643388">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93A6744">
      <w:pPr>
        <w:spacing w:before="173" w:line="346" w:lineRule="auto"/>
        <w:ind w:left="428"/>
        <w:jc w:val="both"/>
        <w:rPr>
          <w:rFonts w:ascii="宋体" w:hAnsi="宋体" w:eastAsia="宋体" w:cs="宋体"/>
          <w:sz w:val="20"/>
          <w:szCs w:val="20"/>
        </w:rPr>
      </w:pPr>
      <w:r>
        <w:rPr>
          <w:rFonts w:ascii="宋体" w:hAnsi="宋体" w:eastAsia="宋体" w:cs="宋体"/>
          <w:spacing w:val="6"/>
          <w:sz w:val="20"/>
          <w:szCs w:val="20"/>
        </w:rPr>
        <w:t>承包人需要提交施工过程结算资料套数：</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6"/>
          <w:sz w:val="20"/>
          <w:szCs w:val="20"/>
        </w:rPr>
        <w:t>承包人提交施工过程结算资料的费用承担：</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6"/>
          <w:sz w:val="20"/>
          <w:szCs w:val="20"/>
        </w:rPr>
        <w:t>承包人提交施工过程结算资料时间：</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19E64B9">
      <w:pPr>
        <w:spacing w:before="1" w:line="227" w:lineRule="auto"/>
        <w:jc w:val="right"/>
        <w:rPr>
          <w:rFonts w:ascii="宋体" w:hAnsi="宋体" w:eastAsia="宋体" w:cs="宋体"/>
          <w:sz w:val="20"/>
          <w:szCs w:val="20"/>
        </w:rPr>
      </w:pPr>
      <w:r>
        <w:rPr>
          <w:rFonts w:ascii="宋体" w:hAnsi="宋体" w:eastAsia="宋体" w:cs="宋体"/>
          <w:spacing w:val="6"/>
          <w:sz w:val="20"/>
          <w:szCs w:val="20"/>
        </w:rPr>
        <w:t>承包人提交施工过程结算资料形式要求：</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3752CB6">
      <w:pPr>
        <w:spacing w:before="127" w:line="228" w:lineRule="auto"/>
        <w:ind w:left="438"/>
        <w:rPr>
          <w:rFonts w:ascii="宋体" w:hAnsi="宋体" w:eastAsia="宋体" w:cs="宋体"/>
          <w:sz w:val="20"/>
          <w:szCs w:val="20"/>
        </w:rPr>
      </w:pPr>
      <w:r>
        <w:rPr>
          <w:rFonts w:ascii="宋体" w:hAnsi="宋体" w:eastAsia="宋体" w:cs="宋体"/>
          <w:spacing w:val="8"/>
          <w:sz w:val="20"/>
          <w:szCs w:val="20"/>
        </w:rPr>
        <w:t>（12）承包人提交的竣工资料的内容：</w:t>
      </w:r>
      <w:r>
        <w:rPr>
          <w:rFonts w:ascii="宋体" w:hAnsi="宋体" w:eastAsia="宋体" w:cs="宋体"/>
          <w:sz w:val="20"/>
          <w:szCs w:val="20"/>
          <w:u w:val="single" w:color="auto"/>
        </w:rPr>
        <w:t xml:space="preserve">                                              </w:t>
      </w:r>
    </w:p>
    <w:p w14:paraId="3B198CE8">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EFF565A">
      <w:pPr>
        <w:spacing w:before="173" w:line="346" w:lineRule="auto"/>
        <w:ind w:left="428"/>
        <w:rPr>
          <w:rFonts w:ascii="宋体" w:hAnsi="宋体" w:eastAsia="宋体" w:cs="宋体"/>
          <w:sz w:val="20"/>
          <w:szCs w:val="20"/>
        </w:rPr>
      </w:pPr>
      <w:r>
        <w:rPr>
          <w:rFonts w:ascii="宋体" w:hAnsi="宋体" w:eastAsia="宋体" w:cs="宋体"/>
          <w:spacing w:val="6"/>
          <w:sz w:val="20"/>
          <w:szCs w:val="20"/>
        </w:rPr>
        <w:t>承包人需要提交的竣工资料套数：</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6"/>
          <w:sz w:val="20"/>
          <w:szCs w:val="20"/>
        </w:rPr>
        <w:t>承包人提交的竣工资料的费用承担：</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96BB5CF">
      <w:pPr>
        <w:spacing w:before="1" w:line="227" w:lineRule="auto"/>
        <w:jc w:val="right"/>
        <w:rPr>
          <w:rFonts w:ascii="宋体" w:hAnsi="宋体" w:eastAsia="宋体" w:cs="宋体"/>
          <w:sz w:val="20"/>
          <w:szCs w:val="20"/>
        </w:rPr>
      </w:pPr>
      <w:r>
        <w:rPr>
          <w:rFonts w:ascii="宋体" w:hAnsi="宋体" w:eastAsia="宋体" w:cs="宋体"/>
          <w:spacing w:val="6"/>
          <w:sz w:val="20"/>
          <w:szCs w:val="20"/>
        </w:rPr>
        <w:t>承包人提交的竣工资料移交时间：</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C01E816">
      <w:pPr>
        <w:spacing w:before="127" w:line="228" w:lineRule="auto"/>
        <w:jc w:val="right"/>
        <w:rPr>
          <w:rFonts w:ascii="宋体" w:hAnsi="宋体" w:eastAsia="宋体" w:cs="宋体"/>
          <w:sz w:val="20"/>
          <w:szCs w:val="20"/>
        </w:rPr>
      </w:pPr>
      <w:r>
        <w:rPr>
          <w:rFonts w:ascii="宋体" w:hAnsi="宋体" w:eastAsia="宋体" w:cs="宋体"/>
          <w:spacing w:val="6"/>
          <w:sz w:val="20"/>
          <w:szCs w:val="20"/>
        </w:rPr>
        <w:t>承包人提交的竣工资料形式要求：</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83D6DA7">
      <w:pPr>
        <w:spacing w:before="127" w:line="228" w:lineRule="auto"/>
        <w:ind w:left="438"/>
        <w:rPr>
          <w:rFonts w:ascii="宋体" w:hAnsi="宋体" w:eastAsia="宋体" w:cs="宋体"/>
          <w:sz w:val="20"/>
          <w:szCs w:val="20"/>
        </w:rPr>
      </w:pPr>
      <w:r>
        <w:rPr>
          <w:rFonts w:ascii="宋体" w:hAnsi="宋体" w:eastAsia="宋体" w:cs="宋体"/>
          <w:spacing w:val="8"/>
          <w:sz w:val="20"/>
          <w:szCs w:val="20"/>
        </w:rPr>
        <w:t>（13）承包人应履行的其他义务：</w:t>
      </w:r>
      <w:r>
        <w:rPr>
          <w:rFonts w:ascii="宋体" w:hAnsi="宋体" w:eastAsia="宋体" w:cs="宋体"/>
          <w:sz w:val="20"/>
          <w:szCs w:val="20"/>
          <w:u w:val="single" w:color="auto"/>
        </w:rPr>
        <w:t xml:space="preserve">                                                  </w:t>
      </w:r>
    </w:p>
    <w:p w14:paraId="03C52F31">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1A07A90">
      <w:pPr>
        <w:spacing w:before="174" w:line="228" w:lineRule="auto"/>
        <w:ind w:left="432"/>
        <w:rPr>
          <w:rFonts w:ascii="宋体" w:hAnsi="宋体" w:eastAsia="宋体" w:cs="宋体"/>
          <w:sz w:val="20"/>
          <w:szCs w:val="20"/>
        </w:rPr>
      </w:pPr>
      <w:r>
        <w:rPr>
          <w:rFonts w:ascii="宋体" w:hAnsi="宋体" w:eastAsia="宋体" w:cs="宋体"/>
          <w:b/>
          <w:bCs/>
          <w:spacing w:val="3"/>
          <w:sz w:val="20"/>
          <w:szCs w:val="20"/>
        </w:rPr>
        <w:t>3.2</w:t>
      </w:r>
      <w:r>
        <w:rPr>
          <w:rFonts w:ascii="宋体" w:hAnsi="宋体" w:eastAsia="宋体" w:cs="宋体"/>
          <w:spacing w:val="15"/>
          <w:sz w:val="20"/>
          <w:szCs w:val="20"/>
        </w:rPr>
        <w:t xml:space="preserve"> </w:t>
      </w:r>
      <w:r>
        <w:rPr>
          <w:rFonts w:ascii="宋体" w:hAnsi="宋体" w:eastAsia="宋体" w:cs="宋体"/>
          <w:b/>
          <w:bCs/>
          <w:spacing w:val="3"/>
          <w:sz w:val="20"/>
          <w:szCs w:val="20"/>
        </w:rPr>
        <w:t>项目经理</w:t>
      </w:r>
    </w:p>
    <w:p w14:paraId="35C24804">
      <w:pPr>
        <w:spacing w:before="128" w:line="228" w:lineRule="auto"/>
        <w:ind w:left="432"/>
        <w:rPr>
          <w:rFonts w:ascii="宋体" w:hAnsi="宋体" w:eastAsia="宋体" w:cs="宋体"/>
          <w:sz w:val="20"/>
          <w:szCs w:val="20"/>
        </w:rPr>
      </w:pPr>
      <w:r>
        <w:rPr>
          <w:rFonts w:ascii="宋体" w:hAnsi="宋体" w:eastAsia="宋体" w:cs="宋体"/>
          <w:spacing w:val="4"/>
          <w:sz w:val="20"/>
          <w:szCs w:val="20"/>
        </w:rPr>
        <w:t>3.2.1 项目经理：</w:t>
      </w:r>
    </w:p>
    <w:p w14:paraId="311508E3">
      <w:pPr>
        <w:spacing w:before="126" w:line="228" w:lineRule="auto"/>
        <w:jc w:val="right"/>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8"/>
          <w:sz w:val="20"/>
          <w:szCs w:val="20"/>
        </w:rPr>
        <w:t xml:space="preserve">    </w:t>
      </w:r>
      <w:r>
        <w:rPr>
          <w:rFonts w:ascii="宋体" w:hAnsi="宋体" w:eastAsia="宋体" w:cs="宋体"/>
          <w:spacing w:val="-1"/>
          <w:sz w:val="20"/>
          <w:szCs w:val="20"/>
        </w:rPr>
        <w:t>名</w:t>
      </w:r>
      <w:r>
        <w:rPr>
          <w:rFonts w:ascii="宋体" w:hAnsi="宋体" w:eastAsia="宋体" w:cs="宋体"/>
          <w:spacing w:val="-74"/>
          <w:sz w:val="20"/>
          <w:szCs w:val="20"/>
        </w:rPr>
        <w:t xml:space="preserve"> </w:t>
      </w:r>
      <w:r>
        <w:rPr>
          <w:rFonts w:ascii="宋体" w:hAnsi="宋体" w:eastAsia="宋体" w:cs="宋体"/>
          <w:spacing w:val="-30"/>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30"/>
          <w:sz w:val="20"/>
          <w:szCs w:val="20"/>
        </w:rPr>
        <w:t>；</w:t>
      </w:r>
    </w:p>
    <w:p w14:paraId="4FE0E429">
      <w:pPr>
        <w:spacing w:before="128" w:line="228" w:lineRule="auto"/>
        <w:jc w:val="right"/>
        <w:rPr>
          <w:rFonts w:ascii="宋体" w:hAnsi="宋体" w:eastAsia="宋体" w:cs="宋体"/>
          <w:sz w:val="20"/>
          <w:szCs w:val="20"/>
        </w:rPr>
      </w:pPr>
      <w:r>
        <w:rPr>
          <w:rFonts w:ascii="宋体" w:hAnsi="宋体" w:eastAsia="宋体" w:cs="宋体"/>
          <w:spacing w:val="5"/>
          <w:sz w:val="20"/>
          <w:szCs w:val="20"/>
        </w:rPr>
        <w:t>身份证号</w:t>
      </w:r>
      <w:r>
        <w:rPr>
          <w:rFonts w:ascii="宋体" w:hAnsi="宋体" w:eastAsia="宋体" w:cs="宋体"/>
          <w:spacing w:val="-1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5"/>
          <w:sz w:val="20"/>
          <w:szCs w:val="20"/>
        </w:rPr>
        <w:t>；</w:t>
      </w:r>
    </w:p>
    <w:p w14:paraId="452EB9D2">
      <w:pPr>
        <w:spacing w:before="127" w:line="228" w:lineRule="auto"/>
        <w:jc w:val="right"/>
        <w:rPr>
          <w:rFonts w:ascii="宋体" w:hAnsi="宋体" w:eastAsia="宋体" w:cs="宋体"/>
          <w:sz w:val="20"/>
          <w:szCs w:val="20"/>
        </w:rPr>
      </w:pPr>
      <w:r>
        <w:rPr>
          <w:rFonts w:ascii="宋体" w:hAnsi="宋体" w:eastAsia="宋体" w:cs="宋体"/>
          <w:spacing w:val="8"/>
          <w:sz w:val="20"/>
          <w:szCs w:val="20"/>
        </w:rPr>
        <w:t>建造师执业资格等级</w:t>
      </w:r>
      <w:r>
        <w:rPr>
          <w:rFonts w:ascii="宋体" w:hAnsi="宋体" w:eastAsia="宋体" w:cs="宋体"/>
          <w:spacing w:val="-14"/>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4"/>
          <w:sz w:val="20"/>
          <w:szCs w:val="20"/>
        </w:rPr>
        <w:t>；</w:t>
      </w:r>
    </w:p>
    <w:p w14:paraId="537B1A04">
      <w:pPr>
        <w:spacing w:before="128" w:line="227" w:lineRule="auto"/>
        <w:jc w:val="right"/>
        <w:rPr>
          <w:rFonts w:ascii="宋体" w:hAnsi="宋体" w:eastAsia="宋体" w:cs="宋体"/>
          <w:sz w:val="20"/>
          <w:szCs w:val="20"/>
        </w:rPr>
      </w:pPr>
      <w:r>
        <w:rPr>
          <w:rFonts w:ascii="宋体" w:hAnsi="宋体" w:eastAsia="宋体" w:cs="宋体"/>
          <w:spacing w:val="8"/>
          <w:sz w:val="20"/>
          <w:szCs w:val="20"/>
        </w:rPr>
        <w:t>建造师注册证书号</w:t>
      </w:r>
      <w:r>
        <w:rPr>
          <w:rFonts w:ascii="宋体" w:hAnsi="宋体" w:eastAsia="宋体" w:cs="宋体"/>
          <w:spacing w:val="-16"/>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6"/>
          <w:sz w:val="20"/>
          <w:szCs w:val="20"/>
        </w:rPr>
        <w:t>；</w:t>
      </w:r>
    </w:p>
    <w:p w14:paraId="7E14F86C">
      <w:pPr>
        <w:spacing w:line="227" w:lineRule="auto"/>
        <w:rPr>
          <w:rFonts w:ascii="宋体" w:hAnsi="宋体" w:eastAsia="宋体" w:cs="宋体"/>
          <w:sz w:val="20"/>
          <w:szCs w:val="20"/>
        </w:rPr>
        <w:sectPr>
          <w:headerReference r:id="rId395" w:type="default"/>
          <w:footerReference r:id="rId396" w:type="default"/>
          <w:pgSz w:w="11906" w:h="16839"/>
          <w:pgMar w:top="2299" w:right="1695" w:bottom="1446" w:left="1531" w:header="1949" w:footer="1284" w:gutter="0"/>
          <w:cols w:space="720" w:num="1"/>
        </w:sectPr>
      </w:pPr>
    </w:p>
    <w:p w14:paraId="7DE6D6B6">
      <w:pPr>
        <w:spacing w:line="246" w:lineRule="auto"/>
        <w:rPr>
          <w:rFonts w:ascii="Arial"/>
          <w:sz w:val="21"/>
        </w:rPr>
      </w:pPr>
    </w:p>
    <w:p w14:paraId="29238218">
      <w:pPr>
        <w:spacing w:line="246" w:lineRule="auto"/>
        <w:rPr>
          <w:rFonts w:ascii="Arial"/>
          <w:sz w:val="21"/>
        </w:rPr>
      </w:pPr>
    </w:p>
    <w:p w14:paraId="73D8C833">
      <w:pPr>
        <w:spacing w:line="246" w:lineRule="auto"/>
        <w:rPr>
          <w:rFonts w:ascii="Arial"/>
          <w:sz w:val="21"/>
        </w:rPr>
      </w:pPr>
    </w:p>
    <w:p w14:paraId="5DEE5E1E">
      <w:pPr>
        <w:spacing w:line="246" w:lineRule="auto"/>
        <w:rPr>
          <w:rFonts w:ascii="Arial"/>
          <w:sz w:val="21"/>
        </w:rPr>
      </w:pPr>
    </w:p>
    <w:p w14:paraId="3F2F5CAD">
      <w:pPr>
        <w:spacing w:line="247" w:lineRule="auto"/>
        <w:rPr>
          <w:rFonts w:ascii="Arial"/>
          <w:sz w:val="21"/>
        </w:rPr>
      </w:pPr>
    </w:p>
    <w:p w14:paraId="6047DF8B">
      <w:pPr>
        <w:spacing w:line="247" w:lineRule="auto"/>
        <w:rPr>
          <w:rFonts w:ascii="Arial"/>
          <w:sz w:val="21"/>
        </w:rPr>
      </w:pPr>
    </w:p>
    <w:p w14:paraId="4EC02C5B">
      <w:pPr>
        <w:spacing w:before="65" w:line="227" w:lineRule="auto"/>
        <w:jc w:val="right"/>
        <w:rPr>
          <w:rFonts w:ascii="宋体" w:hAnsi="宋体" w:eastAsia="宋体" w:cs="宋体"/>
          <w:sz w:val="20"/>
          <w:szCs w:val="20"/>
        </w:rPr>
      </w:pPr>
      <w:r>
        <w:rPr>
          <w:rFonts w:ascii="宋体" w:hAnsi="宋体" w:eastAsia="宋体" w:cs="宋体"/>
          <w:spacing w:val="8"/>
          <w:sz w:val="20"/>
          <w:szCs w:val="20"/>
        </w:rPr>
        <w:t>建造师执业印章号</w:t>
      </w:r>
      <w:r>
        <w:rPr>
          <w:rFonts w:ascii="宋体" w:hAnsi="宋体" w:eastAsia="宋体" w:cs="宋体"/>
          <w:spacing w:val="-16"/>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6"/>
          <w:sz w:val="20"/>
          <w:szCs w:val="20"/>
        </w:rPr>
        <w:t>；</w:t>
      </w:r>
    </w:p>
    <w:p w14:paraId="7DBFF89C">
      <w:pPr>
        <w:spacing w:before="128" w:line="227" w:lineRule="auto"/>
        <w:jc w:val="right"/>
        <w:rPr>
          <w:rFonts w:ascii="宋体" w:hAnsi="宋体" w:eastAsia="宋体" w:cs="宋体"/>
          <w:sz w:val="20"/>
          <w:szCs w:val="20"/>
        </w:rPr>
      </w:pPr>
      <w:r>
        <w:rPr>
          <w:rFonts w:ascii="宋体" w:hAnsi="宋体" w:eastAsia="宋体" w:cs="宋体"/>
          <w:spacing w:val="8"/>
          <w:sz w:val="20"/>
          <w:szCs w:val="20"/>
        </w:rPr>
        <w:t>安全生产考核合格证书号</w:t>
      </w:r>
      <w:r>
        <w:rPr>
          <w:rFonts w:ascii="宋体" w:hAnsi="宋体" w:eastAsia="宋体" w:cs="宋体"/>
          <w:spacing w:val="-13"/>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13"/>
          <w:sz w:val="20"/>
          <w:szCs w:val="20"/>
        </w:rPr>
        <w:t>；</w:t>
      </w:r>
    </w:p>
    <w:p w14:paraId="40757AE1">
      <w:pPr>
        <w:spacing w:before="128" w:line="230" w:lineRule="auto"/>
        <w:jc w:val="right"/>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024B78AB">
      <w:pPr>
        <w:spacing w:before="125" w:line="228" w:lineRule="auto"/>
        <w:jc w:val="right"/>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4D4214FF">
      <w:pPr>
        <w:spacing w:before="127" w:line="228" w:lineRule="auto"/>
        <w:jc w:val="right"/>
        <w:rPr>
          <w:rFonts w:ascii="宋体" w:hAnsi="宋体" w:eastAsia="宋体" w:cs="宋体"/>
          <w:sz w:val="20"/>
          <w:szCs w:val="20"/>
        </w:rPr>
      </w:pPr>
      <w:r>
        <w:rPr>
          <w:rFonts w:ascii="宋体" w:hAnsi="宋体" w:eastAsia="宋体" w:cs="宋体"/>
          <w:spacing w:val="7"/>
          <w:sz w:val="20"/>
          <w:szCs w:val="20"/>
        </w:rPr>
        <w:t>通信地址</w:t>
      </w:r>
      <w:r>
        <w:rPr>
          <w:rFonts w:ascii="宋体" w:hAnsi="宋体" w:eastAsia="宋体" w:cs="宋体"/>
          <w:spacing w:val="-1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6"/>
          <w:sz w:val="20"/>
          <w:szCs w:val="20"/>
        </w:rPr>
        <w:t>；</w:t>
      </w:r>
    </w:p>
    <w:p w14:paraId="7F4B7256">
      <w:pPr>
        <w:spacing w:before="127" w:line="228" w:lineRule="auto"/>
        <w:ind w:left="428"/>
        <w:rPr>
          <w:rFonts w:ascii="宋体" w:hAnsi="宋体" w:eastAsia="宋体" w:cs="宋体"/>
          <w:sz w:val="20"/>
          <w:szCs w:val="20"/>
        </w:rPr>
      </w:pPr>
      <w:r>
        <w:rPr>
          <w:rFonts w:ascii="宋体" w:hAnsi="宋体" w:eastAsia="宋体" w:cs="宋体"/>
          <w:spacing w:val="9"/>
          <w:sz w:val="20"/>
          <w:szCs w:val="20"/>
        </w:rPr>
        <w:t>承包人对项目经理的授权范围如下：</w:t>
      </w:r>
      <w:r>
        <w:rPr>
          <w:rFonts w:ascii="宋体" w:hAnsi="宋体" w:eastAsia="宋体" w:cs="宋体"/>
          <w:sz w:val="20"/>
          <w:szCs w:val="20"/>
          <w:u w:val="single" w:color="auto"/>
        </w:rPr>
        <w:t xml:space="preserve">                                                </w:t>
      </w:r>
    </w:p>
    <w:p w14:paraId="0F3B5104">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88D2E25">
      <w:pPr>
        <w:spacing w:before="174" w:line="228" w:lineRule="auto"/>
        <w:ind w:left="431"/>
        <w:rPr>
          <w:rFonts w:ascii="宋体" w:hAnsi="宋体" w:eastAsia="宋体" w:cs="宋体"/>
          <w:sz w:val="20"/>
          <w:szCs w:val="20"/>
        </w:rPr>
      </w:pPr>
      <w:r>
        <w:rPr>
          <w:rFonts w:ascii="宋体" w:hAnsi="宋体" w:eastAsia="宋体" w:cs="宋体"/>
          <w:spacing w:val="9"/>
          <w:sz w:val="20"/>
          <w:szCs w:val="20"/>
        </w:rPr>
        <w:t>关于项目经理每月在施工现场的时间要求：</w:t>
      </w:r>
      <w:r>
        <w:rPr>
          <w:rFonts w:ascii="宋体" w:hAnsi="宋体" w:eastAsia="宋体" w:cs="宋体"/>
          <w:sz w:val="20"/>
          <w:szCs w:val="20"/>
          <w:u w:val="single" w:color="auto"/>
        </w:rPr>
        <w:t xml:space="preserve">                                         </w:t>
      </w:r>
    </w:p>
    <w:p w14:paraId="2E3129AF">
      <w:pPr>
        <w:spacing w:before="262" w:line="46" w:lineRule="exact"/>
        <w:jc w:val="right"/>
        <w:rPr>
          <w:rFonts w:ascii="宋体" w:hAnsi="宋体" w:eastAsia="宋体" w:cs="宋体"/>
          <w:sz w:val="20"/>
          <w:szCs w:val="20"/>
        </w:rPr>
      </w:pPr>
      <w:r>
        <w:pict>
          <v:shape id="_x0000_s1078" o:spid="_x0000_s1078" o:spt="202" type="#_x0000_t202" style="position:absolute;left:0pt;margin-left:-1pt;margin-top:5.7pt;height:14.1pt;width:427.25pt;z-index:251720704;mso-width-relative:page;mso-height-relative:page;" filled="f" stroked="f" coordsize="21600,21600">
            <v:path/>
            <v:fill on="f" focussize="0,0"/>
            <v:stroke on="f"/>
            <v:imagedata o:title=""/>
            <o:lock v:ext="edit" aspectratio="f"/>
            <v:textbox inset="0mm,0mm,0mm,0mm">
              <w:txbxContent>
                <w:p w14:paraId="07D6891F">
                  <w:pPr>
                    <w:tabs>
                      <w:tab w:val="left" w:pos="8524"/>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3E31580A">
      <w:pPr>
        <w:spacing w:before="194" w:line="227" w:lineRule="auto"/>
        <w:ind w:left="428"/>
        <w:rPr>
          <w:rFonts w:ascii="宋体" w:hAnsi="宋体" w:eastAsia="宋体" w:cs="宋体"/>
          <w:sz w:val="20"/>
          <w:szCs w:val="20"/>
        </w:rPr>
      </w:pPr>
      <w:r>
        <w:rPr>
          <w:rFonts w:ascii="宋体" w:hAnsi="宋体" w:eastAsia="宋体" w:cs="宋体"/>
          <w:spacing w:val="10"/>
          <w:sz w:val="20"/>
          <w:szCs w:val="20"/>
        </w:rPr>
        <w:t>承包人未提交劳动合同，以及没有为项目经理缴纳社会</w:t>
      </w:r>
      <w:r>
        <w:rPr>
          <w:rFonts w:ascii="宋体" w:hAnsi="宋体" w:eastAsia="宋体" w:cs="宋体"/>
          <w:spacing w:val="9"/>
          <w:sz w:val="20"/>
          <w:szCs w:val="20"/>
        </w:rPr>
        <w:t>保险证明的违约责任：</w:t>
      </w:r>
      <w:r>
        <w:rPr>
          <w:rFonts w:ascii="宋体" w:hAnsi="宋体" w:eastAsia="宋体" w:cs="宋体"/>
          <w:sz w:val="20"/>
          <w:szCs w:val="20"/>
          <w:u w:val="single" w:color="auto"/>
        </w:rPr>
        <w:t xml:space="preserve">          </w:t>
      </w:r>
    </w:p>
    <w:p w14:paraId="5AB0B117">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65B2F18">
      <w:pPr>
        <w:spacing w:before="174" w:line="228" w:lineRule="auto"/>
        <w:ind w:left="431"/>
        <w:rPr>
          <w:rFonts w:ascii="宋体" w:hAnsi="宋体" w:eastAsia="宋体" w:cs="宋体"/>
          <w:sz w:val="20"/>
          <w:szCs w:val="20"/>
        </w:rPr>
      </w:pPr>
      <w:r>
        <w:rPr>
          <w:rFonts w:ascii="宋体" w:hAnsi="宋体" w:eastAsia="宋体" w:cs="宋体"/>
          <w:spacing w:val="9"/>
          <w:sz w:val="20"/>
          <w:szCs w:val="20"/>
        </w:rPr>
        <w:t>项目经理未经批准，擅自离开施工现场的违约责任：</w:t>
      </w:r>
      <w:r>
        <w:rPr>
          <w:rFonts w:ascii="宋体" w:hAnsi="宋体" w:eastAsia="宋体" w:cs="宋体"/>
          <w:sz w:val="20"/>
          <w:szCs w:val="20"/>
          <w:u w:val="single" w:color="auto"/>
        </w:rPr>
        <w:t xml:space="preserve">                                 </w:t>
      </w:r>
    </w:p>
    <w:p w14:paraId="05C8256D">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52146CD">
      <w:pPr>
        <w:spacing w:before="174" w:line="228" w:lineRule="auto"/>
        <w:ind w:left="432"/>
        <w:rPr>
          <w:rFonts w:ascii="宋体" w:hAnsi="宋体" w:eastAsia="宋体" w:cs="宋体"/>
          <w:sz w:val="20"/>
          <w:szCs w:val="20"/>
        </w:rPr>
      </w:pPr>
      <w:r>
        <w:rPr>
          <w:rFonts w:ascii="宋体" w:hAnsi="宋体" w:eastAsia="宋体" w:cs="宋体"/>
          <w:spacing w:val="8"/>
          <w:sz w:val="20"/>
          <w:szCs w:val="20"/>
        </w:rPr>
        <w:t>3.2.3 承包人擅自更换项目经理的违约责任：</w:t>
      </w:r>
      <w:r>
        <w:rPr>
          <w:rFonts w:ascii="宋体" w:hAnsi="宋体" w:eastAsia="宋体" w:cs="宋体"/>
          <w:sz w:val="20"/>
          <w:szCs w:val="20"/>
          <w:u w:val="single" w:color="auto"/>
        </w:rPr>
        <w:t xml:space="preserve">                                       </w:t>
      </w:r>
    </w:p>
    <w:p w14:paraId="0BD348C9">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78AF7D2">
      <w:pPr>
        <w:spacing w:before="173" w:line="228" w:lineRule="auto"/>
        <w:ind w:left="432"/>
        <w:rPr>
          <w:rFonts w:ascii="宋体" w:hAnsi="宋体" w:eastAsia="宋体" w:cs="宋体"/>
          <w:sz w:val="20"/>
          <w:szCs w:val="20"/>
        </w:rPr>
      </w:pPr>
      <w:r>
        <w:rPr>
          <w:rFonts w:ascii="宋体" w:hAnsi="宋体" w:eastAsia="宋体" w:cs="宋体"/>
          <w:spacing w:val="8"/>
          <w:sz w:val="20"/>
          <w:szCs w:val="20"/>
        </w:rPr>
        <w:t>3.2.4 承包人无正当理由拒绝更换项目经理的违约责任：</w:t>
      </w:r>
      <w:r>
        <w:rPr>
          <w:rFonts w:ascii="宋体" w:hAnsi="宋体" w:eastAsia="宋体" w:cs="宋体"/>
          <w:sz w:val="20"/>
          <w:szCs w:val="20"/>
          <w:u w:val="single" w:color="auto"/>
        </w:rPr>
        <w:t xml:space="preserve">                             </w:t>
      </w:r>
    </w:p>
    <w:p w14:paraId="7B5792A0">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EE8A7B1">
      <w:pPr>
        <w:spacing w:before="174" w:line="228" w:lineRule="auto"/>
        <w:ind w:left="432"/>
        <w:rPr>
          <w:rFonts w:ascii="宋体" w:hAnsi="宋体" w:eastAsia="宋体" w:cs="宋体"/>
          <w:sz w:val="20"/>
          <w:szCs w:val="20"/>
        </w:rPr>
      </w:pPr>
      <w:r>
        <w:rPr>
          <w:rFonts w:ascii="宋体" w:hAnsi="宋体" w:eastAsia="宋体" w:cs="宋体"/>
          <w:b/>
          <w:bCs/>
          <w:spacing w:val="4"/>
          <w:sz w:val="20"/>
          <w:szCs w:val="20"/>
        </w:rPr>
        <w:t>3.3</w:t>
      </w:r>
      <w:r>
        <w:rPr>
          <w:rFonts w:ascii="宋体" w:hAnsi="宋体" w:eastAsia="宋体" w:cs="宋体"/>
          <w:spacing w:val="4"/>
          <w:sz w:val="20"/>
          <w:szCs w:val="20"/>
        </w:rPr>
        <w:t xml:space="preserve"> </w:t>
      </w:r>
      <w:r>
        <w:rPr>
          <w:rFonts w:ascii="宋体" w:hAnsi="宋体" w:eastAsia="宋体" w:cs="宋体"/>
          <w:b/>
          <w:bCs/>
          <w:spacing w:val="4"/>
          <w:sz w:val="20"/>
          <w:szCs w:val="20"/>
        </w:rPr>
        <w:t>承包人人员</w:t>
      </w:r>
    </w:p>
    <w:p w14:paraId="17761074">
      <w:pPr>
        <w:spacing w:before="128" w:line="226" w:lineRule="auto"/>
        <w:jc w:val="right"/>
        <w:rPr>
          <w:rFonts w:ascii="宋体" w:hAnsi="宋体" w:eastAsia="宋体" w:cs="宋体"/>
          <w:sz w:val="20"/>
          <w:szCs w:val="20"/>
        </w:rPr>
      </w:pPr>
      <w:r>
        <w:rPr>
          <w:rFonts w:ascii="宋体" w:hAnsi="宋体" w:eastAsia="宋体" w:cs="宋体"/>
          <w:spacing w:val="7"/>
          <w:sz w:val="20"/>
          <w:szCs w:val="20"/>
        </w:rPr>
        <w:t>3.3.1 承包人提交项目管理机构及施工现场管理人员安排报告的期限：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C2AFDD5">
      <w:pPr>
        <w:spacing w:before="129" w:line="228" w:lineRule="auto"/>
        <w:jc w:val="right"/>
        <w:rPr>
          <w:rFonts w:ascii="宋体" w:hAnsi="宋体" w:eastAsia="宋体" w:cs="宋体"/>
          <w:sz w:val="20"/>
          <w:szCs w:val="20"/>
        </w:rPr>
      </w:pPr>
      <w:r>
        <w:rPr>
          <w:rFonts w:ascii="宋体" w:hAnsi="宋体" w:eastAsia="宋体" w:cs="宋体"/>
          <w:spacing w:val="7"/>
          <w:sz w:val="20"/>
          <w:szCs w:val="20"/>
        </w:rPr>
        <w:t>3.3.3 承包人无正当理由拒绝撤换主要施工管理人员的违约责任：</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3830EC2">
      <w:pPr>
        <w:spacing w:before="127" w:line="228" w:lineRule="auto"/>
        <w:ind w:left="432"/>
        <w:rPr>
          <w:rFonts w:ascii="宋体" w:hAnsi="宋体" w:eastAsia="宋体" w:cs="宋体"/>
          <w:sz w:val="20"/>
          <w:szCs w:val="20"/>
        </w:rPr>
      </w:pPr>
      <w:r>
        <w:rPr>
          <w:rFonts w:ascii="宋体" w:hAnsi="宋体" w:eastAsia="宋体" w:cs="宋体"/>
          <w:spacing w:val="8"/>
          <w:sz w:val="20"/>
          <w:szCs w:val="20"/>
        </w:rPr>
        <w:t>3.3.4 承包人主要施工管理人员离开施工现场的批准要求：</w:t>
      </w:r>
      <w:r>
        <w:rPr>
          <w:rFonts w:ascii="宋体" w:hAnsi="宋体" w:eastAsia="宋体" w:cs="宋体"/>
          <w:sz w:val="20"/>
          <w:szCs w:val="20"/>
          <w:u w:val="single" w:color="auto"/>
        </w:rPr>
        <w:t xml:space="preserve">                           </w:t>
      </w:r>
    </w:p>
    <w:p w14:paraId="48D7516F">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38B0337">
      <w:pPr>
        <w:spacing w:before="174" w:line="228" w:lineRule="auto"/>
        <w:ind w:left="432"/>
        <w:rPr>
          <w:rFonts w:ascii="宋体" w:hAnsi="宋体" w:eastAsia="宋体" w:cs="宋体"/>
          <w:sz w:val="20"/>
          <w:szCs w:val="20"/>
        </w:rPr>
      </w:pPr>
      <w:r>
        <w:rPr>
          <w:rFonts w:ascii="宋体" w:hAnsi="宋体" w:eastAsia="宋体" w:cs="宋体"/>
          <w:spacing w:val="6"/>
          <w:sz w:val="20"/>
          <w:szCs w:val="20"/>
        </w:rPr>
        <w:t>3.3.5</w:t>
      </w:r>
      <w:r>
        <w:rPr>
          <w:rFonts w:ascii="宋体" w:hAnsi="宋体" w:eastAsia="宋体" w:cs="宋体"/>
          <w:spacing w:val="-40"/>
          <w:sz w:val="20"/>
          <w:szCs w:val="20"/>
        </w:rPr>
        <w:t xml:space="preserve"> </w:t>
      </w:r>
      <w:r>
        <w:rPr>
          <w:rFonts w:ascii="宋体" w:hAnsi="宋体" w:eastAsia="宋体" w:cs="宋体"/>
          <w:spacing w:val="6"/>
          <w:sz w:val="20"/>
          <w:szCs w:val="20"/>
        </w:rPr>
        <w:t>承包人擅自更换主要施工管理人员的违约责任：</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p>
    <w:p w14:paraId="0781C75E">
      <w:pPr>
        <w:spacing w:before="263" w:line="45" w:lineRule="exact"/>
        <w:jc w:val="right"/>
        <w:rPr>
          <w:rFonts w:ascii="宋体" w:hAnsi="宋体" w:eastAsia="宋体" w:cs="宋体"/>
          <w:sz w:val="20"/>
          <w:szCs w:val="20"/>
        </w:rPr>
      </w:pPr>
      <w:r>
        <w:pict>
          <v:shape id="_x0000_s1079" o:spid="_x0000_s1079" o:spt="202" type="#_x0000_t202" style="position:absolute;left:0pt;margin-left:-1pt;margin-top:5.7pt;height:14.1pt;width:427.25pt;z-index:251723776;mso-width-relative:page;mso-height-relative:page;" filled="f" stroked="f" coordsize="21600,21600">
            <v:path/>
            <v:fill on="f" focussize="0,0"/>
            <v:stroke on="f"/>
            <v:imagedata o:title=""/>
            <o:lock v:ext="edit" aspectratio="f"/>
            <v:textbox inset="0mm,0mm,0mm,0mm">
              <w:txbxContent>
                <w:p w14:paraId="7C6CE4DC">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3753CDCC">
      <w:pPr>
        <w:spacing w:before="194" w:line="228" w:lineRule="auto"/>
        <w:ind w:left="428"/>
        <w:rPr>
          <w:rFonts w:ascii="宋体" w:hAnsi="宋体" w:eastAsia="宋体" w:cs="宋体"/>
          <w:sz w:val="20"/>
          <w:szCs w:val="20"/>
        </w:rPr>
      </w:pPr>
      <w:r>
        <w:rPr>
          <w:rFonts w:ascii="宋体" w:hAnsi="宋体" w:eastAsia="宋体" w:cs="宋体"/>
          <w:spacing w:val="9"/>
          <w:sz w:val="20"/>
          <w:szCs w:val="20"/>
        </w:rPr>
        <w:t>承包人主要施工管理人员擅自离开施工现场的违约责任：</w:t>
      </w:r>
      <w:r>
        <w:rPr>
          <w:rFonts w:ascii="宋体" w:hAnsi="宋体" w:eastAsia="宋体" w:cs="宋体"/>
          <w:sz w:val="20"/>
          <w:szCs w:val="20"/>
          <w:u w:val="single" w:color="auto"/>
        </w:rPr>
        <w:t xml:space="preserve">                             </w:t>
      </w:r>
    </w:p>
    <w:p w14:paraId="114C3B08">
      <w:pPr>
        <w:spacing w:before="263" w:line="45" w:lineRule="exact"/>
        <w:jc w:val="right"/>
        <w:rPr>
          <w:rFonts w:ascii="宋体" w:hAnsi="宋体" w:eastAsia="宋体" w:cs="宋体"/>
          <w:sz w:val="20"/>
          <w:szCs w:val="20"/>
        </w:rPr>
      </w:pPr>
      <w:r>
        <w:pict>
          <v:shape id="_x0000_s1080" o:spid="_x0000_s1080" o:spt="202" type="#_x0000_t202" style="position:absolute;left:0pt;margin-left:-1pt;margin-top:5.75pt;height:14.1pt;width:427.25pt;z-index:251722752;mso-width-relative:page;mso-height-relative:page;" filled="f" stroked="f" coordsize="21600,21600">
            <v:path/>
            <v:fill on="f" focussize="0,0"/>
            <v:stroke on="f"/>
            <v:imagedata o:title=""/>
            <o:lock v:ext="edit" aspectratio="f"/>
            <v:textbox inset="0mm,0mm,0mm,0mm">
              <w:txbxContent>
                <w:p w14:paraId="2CDF0D97">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205031BB">
      <w:pPr>
        <w:spacing w:before="195" w:line="228" w:lineRule="auto"/>
        <w:ind w:left="432"/>
        <w:rPr>
          <w:rFonts w:ascii="宋体" w:hAnsi="宋体" w:eastAsia="宋体" w:cs="宋体"/>
          <w:sz w:val="20"/>
          <w:szCs w:val="20"/>
        </w:rPr>
      </w:pPr>
      <w:r>
        <w:rPr>
          <w:rFonts w:ascii="宋体" w:hAnsi="宋体" w:eastAsia="宋体" w:cs="宋体"/>
          <w:b/>
          <w:bCs/>
          <w:sz w:val="20"/>
          <w:szCs w:val="20"/>
        </w:rPr>
        <w:t>3.5</w:t>
      </w:r>
      <w:r>
        <w:rPr>
          <w:rFonts w:ascii="宋体" w:hAnsi="宋体" w:eastAsia="宋体" w:cs="宋体"/>
          <w:spacing w:val="18"/>
          <w:sz w:val="20"/>
          <w:szCs w:val="20"/>
        </w:rPr>
        <w:t xml:space="preserve"> </w:t>
      </w:r>
      <w:r>
        <w:rPr>
          <w:rFonts w:ascii="宋体" w:hAnsi="宋体" w:eastAsia="宋体" w:cs="宋体"/>
          <w:b/>
          <w:bCs/>
          <w:sz w:val="20"/>
          <w:szCs w:val="20"/>
        </w:rPr>
        <w:t>分包</w:t>
      </w:r>
    </w:p>
    <w:p w14:paraId="7C28DABE">
      <w:pPr>
        <w:spacing w:before="127" w:line="228" w:lineRule="auto"/>
        <w:ind w:left="432"/>
        <w:rPr>
          <w:rFonts w:ascii="宋体" w:hAnsi="宋体" w:eastAsia="宋体" w:cs="宋体"/>
          <w:sz w:val="20"/>
          <w:szCs w:val="20"/>
        </w:rPr>
      </w:pPr>
      <w:r>
        <w:rPr>
          <w:rFonts w:ascii="宋体" w:hAnsi="宋体" w:eastAsia="宋体" w:cs="宋体"/>
          <w:spacing w:val="6"/>
          <w:sz w:val="20"/>
          <w:szCs w:val="20"/>
        </w:rPr>
        <w:t>3.5.1 分包的一般约定</w:t>
      </w:r>
    </w:p>
    <w:p w14:paraId="0C9A886D">
      <w:pPr>
        <w:spacing w:before="128" w:line="347" w:lineRule="auto"/>
        <w:ind w:left="429" w:hanging="1"/>
        <w:rPr>
          <w:rFonts w:ascii="宋体" w:hAnsi="宋体" w:eastAsia="宋体" w:cs="宋体"/>
          <w:sz w:val="20"/>
          <w:szCs w:val="20"/>
        </w:rPr>
      </w:pPr>
      <w:r>
        <w:rPr>
          <w:rFonts w:ascii="宋体" w:hAnsi="宋体" w:eastAsia="宋体" w:cs="宋体"/>
          <w:spacing w:val="4"/>
          <w:sz w:val="20"/>
          <w:szCs w:val="20"/>
        </w:rPr>
        <w:t>禁止分包的工程包括：</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9"/>
          <w:sz w:val="20"/>
          <w:szCs w:val="20"/>
        </w:rPr>
        <w:t>主体结构、关键性工作的范围：</w:t>
      </w:r>
      <w:r>
        <w:rPr>
          <w:rFonts w:ascii="宋体" w:hAnsi="宋体" w:eastAsia="宋体" w:cs="宋体"/>
          <w:sz w:val="20"/>
          <w:szCs w:val="20"/>
          <w:u w:val="single" w:color="auto"/>
        </w:rPr>
        <w:t xml:space="preserve">                                                    </w:t>
      </w:r>
    </w:p>
    <w:p w14:paraId="4AF88419">
      <w:pPr>
        <w:spacing w:before="131" w:line="45" w:lineRule="exact"/>
        <w:jc w:val="right"/>
        <w:rPr>
          <w:rFonts w:ascii="宋体" w:hAnsi="宋体" w:eastAsia="宋体" w:cs="宋体"/>
          <w:sz w:val="20"/>
          <w:szCs w:val="20"/>
        </w:rPr>
      </w:pPr>
      <w:r>
        <w:pict>
          <v:shape id="_x0000_s1081" o:spid="_x0000_s1081" o:spt="202" type="#_x0000_t202" style="position:absolute;left:0pt;margin-left:-1pt;margin-top:-0.8pt;height:14.1pt;width:427.25pt;z-index:251721728;mso-width-relative:page;mso-height-relative:page;" filled="f" stroked="f" coordsize="21600,21600">
            <v:path/>
            <v:fill on="f" focussize="0,0"/>
            <v:stroke on="f"/>
            <v:imagedata o:title=""/>
            <o:lock v:ext="edit" aspectratio="f"/>
            <v:textbox inset="0mm,0mm,0mm,0mm">
              <w:txbxContent>
                <w:p w14:paraId="46582AB1">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6C0C83F9">
      <w:pPr>
        <w:spacing w:before="195" w:line="228" w:lineRule="auto"/>
        <w:ind w:left="432"/>
        <w:rPr>
          <w:rFonts w:ascii="宋体" w:hAnsi="宋体" w:eastAsia="宋体" w:cs="宋体"/>
          <w:sz w:val="20"/>
          <w:szCs w:val="20"/>
        </w:rPr>
      </w:pPr>
      <w:r>
        <w:rPr>
          <w:rFonts w:ascii="宋体" w:hAnsi="宋体" w:eastAsia="宋体" w:cs="宋体"/>
          <w:spacing w:val="5"/>
          <w:sz w:val="20"/>
          <w:szCs w:val="20"/>
        </w:rPr>
        <w:t>3.5.2 分包的确定</w:t>
      </w:r>
    </w:p>
    <w:p w14:paraId="11319F70">
      <w:pPr>
        <w:spacing w:before="127" w:line="347" w:lineRule="auto"/>
        <w:ind w:left="429" w:firstLine="6"/>
        <w:rPr>
          <w:rFonts w:ascii="宋体" w:hAnsi="宋体" w:eastAsia="宋体" w:cs="宋体"/>
          <w:sz w:val="20"/>
          <w:szCs w:val="20"/>
        </w:rPr>
      </w:pPr>
      <w:r>
        <w:rPr>
          <w:rFonts w:ascii="宋体" w:hAnsi="宋体" w:eastAsia="宋体" w:cs="宋体"/>
          <w:spacing w:val="4"/>
          <w:sz w:val="20"/>
          <w:szCs w:val="20"/>
        </w:rPr>
        <w:t>允许分包的专业工程包括：</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9"/>
          <w:sz w:val="20"/>
          <w:szCs w:val="20"/>
        </w:rPr>
        <w:t>其他关于分包的约定：</w:t>
      </w:r>
      <w:r>
        <w:rPr>
          <w:rFonts w:ascii="宋体" w:hAnsi="宋体" w:eastAsia="宋体" w:cs="宋体"/>
          <w:sz w:val="20"/>
          <w:szCs w:val="20"/>
          <w:u w:val="single" w:color="auto"/>
        </w:rPr>
        <w:t xml:space="preserve">                                                            </w:t>
      </w:r>
    </w:p>
    <w:p w14:paraId="56ACC980">
      <w:pPr>
        <w:spacing w:line="347" w:lineRule="auto"/>
        <w:rPr>
          <w:rFonts w:ascii="宋体" w:hAnsi="宋体" w:eastAsia="宋体" w:cs="宋体"/>
          <w:sz w:val="20"/>
          <w:szCs w:val="20"/>
        </w:rPr>
        <w:sectPr>
          <w:headerReference r:id="rId397" w:type="default"/>
          <w:footerReference r:id="rId398" w:type="default"/>
          <w:pgSz w:w="11906" w:h="16839"/>
          <w:pgMar w:top="400" w:right="1695" w:bottom="1446" w:left="1531" w:header="0" w:footer="1284" w:gutter="0"/>
          <w:cols w:space="720" w:num="1"/>
        </w:sectPr>
      </w:pPr>
    </w:p>
    <w:p w14:paraId="42578098">
      <w:pPr>
        <w:spacing w:before="27" w:line="226" w:lineRule="auto"/>
        <w:ind w:left="432"/>
        <w:rPr>
          <w:rFonts w:ascii="宋体" w:hAnsi="宋体" w:eastAsia="宋体" w:cs="宋体"/>
          <w:sz w:val="20"/>
          <w:szCs w:val="20"/>
        </w:rPr>
      </w:pPr>
      <w:r>
        <w:rPr>
          <w:rFonts w:ascii="宋体" w:hAnsi="宋体" w:eastAsia="宋体" w:cs="宋体"/>
          <w:spacing w:val="6"/>
          <w:sz w:val="20"/>
          <w:szCs w:val="20"/>
        </w:rPr>
        <w:t>3.5.4 分包合同价款</w:t>
      </w:r>
    </w:p>
    <w:p w14:paraId="7482E4F7">
      <w:pPr>
        <w:spacing w:before="129" w:line="226" w:lineRule="auto"/>
        <w:ind w:left="431"/>
        <w:rPr>
          <w:rFonts w:ascii="宋体" w:hAnsi="宋体" w:eastAsia="宋体" w:cs="宋体"/>
          <w:sz w:val="20"/>
          <w:szCs w:val="20"/>
        </w:rPr>
      </w:pPr>
      <w:r>
        <w:rPr>
          <w:rFonts w:ascii="宋体" w:hAnsi="宋体" w:eastAsia="宋体" w:cs="宋体"/>
          <w:spacing w:val="6"/>
          <w:sz w:val="20"/>
          <w:szCs w:val="20"/>
        </w:rPr>
        <w:t>关于分包合同价款支付的约定：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4A49C03">
      <w:pPr>
        <w:spacing w:before="128" w:line="228" w:lineRule="auto"/>
        <w:ind w:left="432"/>
        <w:rPr>
          <w:rFonts w:ascii="宋体" w:hAnsi="宋体" w:eastAsia="宋体" w:cs="宋体"/>
          <w:sz w:val="20"/>
          <w:szCs w:val="20"/>
        </w:rPr>
      </w:pPr>
      <w:r>
        <w:rPr>
          <w:rFonts w:ascii="宋体" w:hAnsi="宋体" w:eastAsia="宋体" w:cs="宋体"/>
          <w:b/>
          <w:bCs/>
          <w:spacing w:val="6"/>
          <w:sz w:val="20"/>
          <w:szCs w:val="20"/>
        </w:rPr>
        <w:t>3.6</w:t>
      </w:r>
      <w:r>
        <w:rPr>
          <w:rFonts w:ascii="宋体" w:hAnsi="宋体" w:eastAsia="宋体" w:cs="宋体"/>
          <w:spacing w:val="6"/>
          <w:sz w:val="20"/>
          <w:szCs w:val="20"/>
        </w:rPr>
        <w:t xml:space="preserve"> </w:t>
      </w:r>
      <w:r>
        <w:rPr>
          <w:rFonts w:ascii="宋体" w:hAnsi="宋体" w:eastAsia="宋体" w:cs="宋体"/>
          <w:b/>
          <w:bCs/>
          <w:spacing w:val="6"/>
          <w:sz w:val="20"/>
          <w:szCs w:val="20"/>
        </w:rPr>
        <w:t>工程照管与成品、半成品保护</w:t>
      </w:r>
    </w:p>
    <w:p w14:paraId="2FE7FF42">
      <w:pPr>
        <w:spacing w:before="127" w:line="227" w:lineRule="auto"/>
        <w:ind w:left="428"/>
        <w:rPr>
          <w:rFonts w:ascii="宋体" w:hAnsi="宋体" w:eastAsia="宋体" w:cs="宋体"/>
          <w:sz w:val="20"/>
          <w:szCs w:val="20"/>
        </w:rPr>
      </w:pPr>
      <w:r>
        <w:rPr>
          <w:rFonts w:ascii="宋体" w:hAnsi="宋体" w:eastAsia="宋体" w:cs="宋体"/>
          <w:spacing w:val="8"/>
          <w:sz w:val="20"/>
          <w:szCs w:val="20"/>
        </w:rPr>
        <w:t>承包人负责照管工程及工程相关的材料、工程设备的起始</w:t>
      </w:r>
      <w:r>
        <w:rPr>
          <w:rFonts w:ascii="宋体" w:hAnsi="宋体" w:eastAsia="宋体" w:cs="宋体"/>
          <w:spacing w:val="7"/>
          <w:sz w:val="20"/>
          <w:szCs w:val="20"/>
        </w:rPr>
        <w:t>时间：</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53183EA6">
      <w:pPr>
        <w:spacing w:before="129" w:line="228" w:lineRule="auto"/>
        <w:ind w:left="432"/>
        <w:rPr>
          <w:rFonts w:ascii="宋体" w:hAnsi="宋体" w:eastAsia="宋体" w:cs="宋体"/>
          <w:sz w:val="20"/>
          <w:szCs w:val="20"/>
        </w:rPr>
      </w:pPr>
      <w:r>
        <w:rPr>
          <w:rFonts w:ascii="宋体" w:hAnsi="宋体" w:eastAsia="宋体" w:cs="宋体"/>
          <w:b/>
          <w:bCs/>
          <w:spacing w:val="3"/>
          <w:sz w:val="20"/>
          <w:szCs w:val="20"/>
        </w:rPr>
        <w:t>3.7</w:t>
      </w:r>
      <w:r>
        <w:rPr>
          <w:rFonts w:ascii="宋体" w:hAnsi="宋体" w:eastAsia="宋体" w:cs="宋体"/>
          <w:spacing w:val="15"/>
          <w:sz w:val="20"/>
          <w:szCs w:val="20"/>
        </w:rPr>
        <w:t xml:space="preserve"> </w:t>
      </w:r>
      <w:r>
        <w:rPr>
          <w:rFonts w:ascii="宋体" w:hAnsi="宋体" w:eastAsia="宋体" w:cs="宋体"/>
          <w:b/>
          <w:bCs/>
          <w:spacing w:val="3"/>
          <w:sz w:val="20"/>
          <w:szCs w:val="20"/>
        </w:rPr>
        <w:t>履约担保</w:t>
      </w:r>
    </w:p>
    <w:p w14:paraId="1E6A7EB1">
      <w:pPr>
        <w:spacing w:before="126" w:line="346" w:lineRule="auto"/>
        <w:ind w:left="428" w:right="162"/>
        <w:rPr>
          <w:rFonts w:ascii="宋体" w:hAnsi="宋体" w:eastAsia="宋体" w:cs="宋体"/>
          <w:sz w:val="20"/>
          <w:szCs w:val="20"/>
        </w:rPr>
      </w:pPr>
      <w:r>
        <w:rPr>
          <w:rFonts w:ascii="宋体" w:hAnsi="宋体" w:eastAsia="宋体" w:cs="宋体"/>
          <w:spacing w:val="6"/>
          <w:sz w:val="20"/>
          <w:szCs w:val="20"/>
        </w:rPr>
        <w:t>承包人是否提供履约担保：</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。承包人提供履约担保的形式：</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2DB406E9">
      <w:pPr>
        <w:spacing w:before="2" w:line="345" w:lineRule="auto"/>
        <w:ind w:left="22" w:firstLine="405"/>
        <w:rPr>
          <w:rFonts w:ascii="宋体" w:hAnsi="宋体" w:eastAsia="宋体" w:cs="宋体"/>
          <w:sz w:val="20"/>
          <w:szCs w:val="20"/>
        </w:rPr>
      </w:pPr>
      <w:r>
        <w:rPr>
          <w:rFonts w:ascii="宋体" w:hAnsi="宋体" w:eastAsia="宋体" w:cs="宋体"/>
          <w:spacing w:val="39"/>
          <w:sz w:val="20"/>
          <w:szCs w:val="20"/>
        </w:rPr>
        <w:t>承包人提供履约担保的金额</w:t>
      </w:r>
      <w:r>
        <w:rPr>
          <w:rFonts w:ascii="宋体" w:hAnsi="宋体" w:eastAsia="宋体" w:cs="宋体"/>
          <w:spacing w:val="-32"/>
          <w:sz w:val="20"/>
          <w:szCs w:val="20"/>
        </w:rPr>
        <w:t xml:space="preserve"> </w:t>
      </w:r>
      <w:r>
        <w:rPr>
          <w:rFonts w:ascii="宋体" w:hAnsi="宋体" w:eastAsia="宋体" w:cs="宋体"/>
          <w:spacing w:val="39"/>
          <w:sz w:val="20"/>
          <w:szCs w:val="20"/>
        </w:rPr>
        <w:t>：</w:t>
      </w:r>
      <w:r>
        <w:rPr>
          <w:rFonts w:ascii="宋体" w:hAnsi="宋体" w:eastAsia="宋体" w:cs="宋体"/>
          <w:spacing w:val="-56"/>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70"/>
          <w:sz w:val="20"/>
          <w:szCs w:val="20"/>
        </w:rPr>
        <w:t xml:space="preserve"> </w:t>
      </w:r>
      <w:r>
        <w:rPr>
          <w:rFonts w:ascii="宋体" w:hAnsi="宋体" w:eastAsia="宋体" w:cs="宋体"/>
          <w:spacing w:val="39"/>
          <w:sz w:val="20"/>
          <w:szCs w:val="20"/>
        </w:rPr>
        <w:t>。</w:t>
      </w:r>
      <w:r>
        <w:rPr>
          <w:rFonts w:ascii="宋体" w:hAnsi="宋体" w:eastAsia="宋体" w:cs="宋体"/>
          <w:spacing w:val="-46"/>
          <w:sz w:val="20"/>
          <w:szCs w:val="20"/>
        </w:rPr>
        <w:t xml:space="preserve"> </w:t>
      </w:r>
      <w:r>
        <w:rPr>
          <w:rFonts w:ascii="宋体" w:hAnsi="宋体" w:eastAsia="宋体" w:cs="宋体"/>
          <w:spacing w:val="39"/>
          <w:sz w:val="20"/>
          <w:szCs w:val="20"/>
        </w:rPr>
        <w:t>承包人提供履约担保的期</w:t>
      </w:r>
      <w:r>
        <w:rPr>
          <w:rFonts w:ascii="宋体" w:hAnsi="宋体" w:eastAsia="宋体" w:cs="宋体"/>
          <w:spacing w:val="-1"/>
          <w:sz w:val="20"/>
          <w:szCs w:val="20"/>
        </w:rPr>
        <w:t>限：</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w:t>
      </w:r>
    </w:p>
    <w:p w14:paraId="3EF05C02">
      <w:pPr>
        <w:spacing w:line="230" w:lineRule="auto"/>
        <w:ind w:left="427"/>
        <w:outlineLvl w:val="2"/>
        <w:rPr>
          <w:rFonts w:ascii="宋体" w:hAnsi="宋体" w:eastAsia="宋体" w:cs="宋体"/>
          <w:sz w:val="20"/>
          <w:szCs w:val="20"/>
        </w:rPr>
      </w:pPr>
      <w:bookmarkStart w:id="330" w:name="bookmark313"/>
      <w:bookmarkEnd w:id="330"/>
      <w:r>
        <w:rPr>
          <w:rFonts w:ascii="宋体" w:hAnsi="宋体" w:eastAsia="宋体" w:cs="宋体"/>
          <w:b/>
          <w:bCs/>
          <w:spacing w:val="3"/>
          <w:sz w:val="20"/>
          <w:szCs w:val="20"/>
        </w:rPr>
        <w:t>4.</w:t>
      </w:r>
      <w:r>
        <w:rPr>
          <w:rFonts w:ascii="宋体" w:hAnsi="宋体" w:eastAsia="宋体" w:cs="宋体"/>
          <w:spacing w:val="14"/>
          <w:sz w:val="20"/>
          <w:szCs w:val="20"/>
        </w:rPr>
        <w:t xml:space="preserve"> </w:t>
      </w:r>
      <w:r>
        <w:rPr>
          <w:rFonts w:ascii="宋体" w:hAnsi="宋体" w:eastAsia="宋体" w:cs="宋体"/>
          <w:b/>
          <w:bCs/>
          <w:spacing w:val="3"/>
          <w:sz w:val="20"/>
          <w:szCs w:val="20"/>
        </w:rPr>
        <w:t>监理人</w:t>
      </w:r>
    </w:p>
    <w:p w14:paraId="1A1E9AB9">
      <w:pPr>
        <w:spacing w:before="125" w:line="228" w:lineRule="auto"/>
        <w:ind w:left="427"/>
        <w:rPr>
          <w:rFonts w:ascii="宋体" w:hAnsi="宋体" w:eastAsia="宋体" w:cs="宋体"/>
          <w:sz w:val="20"/>
          <w:szCs w:val="20"/>
        </w:rPr>
      </w:pPr>
      <w:r>
        <w:rPr>
          <w:rFonts w:ascii="宋体" w:hAnsi="宋体" w:eastAsia="宋体" w:cs="宋体"/>
          <w:b/>
          <w:bCs/>
          <w:spacing w:val="6"/>
          <w:sz w:val="20"/>
          <w:szCs w:val="20"/>
        </w:rPr>
        <w:t>4.1</w:t>
      </w:r>
      <w:r>
        <w:rPr>
          <w:rFonts w:ascii="宋体" w:hAnsi="宋体" w:eastAsia="宋体" w:cs="宋体"/>
          <w:spacing w:val="6"/>
          <w:sz w:val="20"/>
          <w:szCs w:val="20"/>
        </w:rPr>
        <w:t xml:space="preserve"> </w:t>
      </w:r>
      <w:r>
        <w:rPr>
          <w:rFonts w:ascii="宋体" w:hAnsi="宋体" w:eastAsia="宋体" w:cs="宋体"/>
          <w:b/>
          <w:bCs/>
          <w:spacing w:val="6"/>
          <w:sz w:val="20"/>
          <w:szCs w:val="20"/>
        </w:rPr>
        <w:t>监理人的一般规定</w:t>
      </w:r>
    </w:p>
    <w:p w14:paraId="4D55918C">
      <w:pPr>
        <w:spacing w:before="127" w:line="228" w:lineRule="auto"/>
        <w:ind w:left="431"/>
        <w:rPr>
          <w:rFonts w:ascii="宋体" w:hAnsi="宋体" w:eastAsia="宋体" w:cs="宋体"/>
          <w:sz w:val="20"/>
          <w:szCs w:val="20"/>
        </w:rPr>
      </w:pPr>
      <w:r>
        <w:rPr>
          <w:rFonts w:ascii="宋体" w:hAnsi="宋体" w:eastAsia="宋体" w:cs="宋体"/>
          <w:spacing w:val="6"/>
          <w:sz w:val="20"/>
          <w:szCs w:val="20"/>
        </w:rPr>
        <w:t>关于监理人的监理内容：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A5B8A53">
      <w:pPr>
        <w:spacing w:before="127" w:line="228" w:lineRule="auto"/>
        <w:ind w:left="431"/>
        <w:rPr>
          <w:rFonts w:ascii="宋体" w:hAnsi="宋体" w:eastAsia="宋体" w:cs="宋体"/>
          <w:sz w:val="20"/>
          <w:szCs w:val="20"/>
        </w:rPr>
      </w:pPr>
      <w:r>
        <w:rPr>
          <w:rFonts w:ascii="宋体" w:hAnsi="宋体" w:eastAsia="宋体" w:cs="宋体"/>
          <w:spacing w:val="6"/>
          <w:sz w:val="20"/>
          <w:szCs w:val="20"/>
        </w:rPr>
        <w:t>关于监理人的监理权限：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57332F9">
      <w:pPr>
        <w:spacing w:before="128" w:line="227" w:lineRule="auto"/>
        <w:ind w:left="431"/>
        <w:rPr>
          <w:rFonts w:ascii="宋体" w:hAnsi="宋体" w:eastAsia="宋体" w:cs="宋体"/>
          <w:sz w:val="20"/>
          <w:szCs w:val="20"/>
        </w:rPr>
      </w:pPr>
      <w:r>
        <w:rPr>
          <w:rFonts w:ascii="宋体" w:hAnsi="宋体" w:eastAsia="宋体" w:cs="宋体"/>
          <w:spacing w:val="10"/>
          <w:sz w:val="20"/>
          <w:szCs w:val="20"/>
        </w:rPr>
        <w:t>关于监理人在施工现场的办公场所、生活场</w:t>
      </w:r>
      <w:r>
        <w:rPr>
          <w:rFonts w:ascii="宋体" w:hAnsi="宋体" w:eastAsia="宋体" w:cs="宋体"/>
          <w:spacing w:val="9"/>
          <w:sz w:val="20"/>
          <w:szCs w:val="20"/>
        </w:rPr>
        <w:t>所的提供和费用承担的约定：</w:t>
      </w:r>
      <w:r>
        <w:rPr>
          <w:rFonts w:ascii="宋体" w:hAnsi="宋体" w:eastAsia="宋体" w:cs="宋体"/>
          <w:sz w:val="20"/>
          <w:szCs w:val="20"/>
          <w:u w:val="single" w:color="auto"/>
        </w:rPr>
        <w:t xml:space="preserve">              </w:t>
      </w:r>
    </w:p>
    <w:p w14:paraId="2242AFF5">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DA9A7B9">
      <w:pPr>
        <w:spacing w:before="174" w:line="229" w:lineRule="auto"/>
        <w:ind w:left="427"/>
        <w:rPr>
          <w:rFonts w:ascii="宋体" w:hAnsi="宋体" w:eastAsia="宋体" w:cs="宋体"/>
          <w:sz w:val="20"/>
          <w:szCs w:val="20"/>
        </w:rPr>
      </w:pPr>
      <w:r>
        <w:rPr>
          <w:rFonts w:ascii="宋体" w:hAnsi="宋体" w:eastAsia="宋体" w:cs="宋体"/>
          <w:b/>
          <w:bCs/>
          <w:spacing w:val="5"/>
          <w:sz w:val="20"/>
          <w:szCs w:val="20"/>
        </w:rPr>
        <w:t>4.2</w:t>
      </w:r>
      <w:r>
        <w:rPr>
          <w:rFonts w:ascii="宋体" w:hAnsi="宋体" w:eastAsia="宋体" w:cs="宋体"/>
          <w:spacing w:val="5"/>
          <w:sz w:val="20"/>
          <w:szCs w:val="20"/>
        </w:rPr>
        <w:t xml:space="preserve"> </w:t>
      </w:r>
      <w:r>
        <w:rPr>
          <w:rFonts w:ascii="宋体" w:hAnsi="宋体" w:eastAsia="宋体" w:cs="宋体"/>
          <w:b/>
          <w:bCs/>
          <w:spacing w:val="5"/>
          <w:sz w:val="20"/>
          <w:szCs w:val="20"/>
        </w:rPr>
        <w:t>监理人员</w:t>
      </w:r>
    </w:p>
    <w:p w14:paraId="7B1464A1">
      <w:pPr>
        <w:spacing w:before="126" w:line="228" w:lineRule="auto"/>
        <w:ind w:left="433"/>
        <w:rPr>
          <w:rFonts w:ascii="宋体" w:hAnsi="宋体" w:eastAsia="宋体" w:cs="宋体"/>
          <w:sz w:val="20"/>
          <w:szCs w:val="20"/>
        </w:rPr>
      </w:pPr>
      <w:r>
        <w:rPr>
          <w:rFonts w:ascii="宋体" w:hAnsi="宋体" w:eastAsia="宋体" w:cs="宋体"/>
          <w:spacing w:val="6"/>
          <w:sz w:val="20"/>
          <w:szCs w:val="20"/>
        </w:rPr>
        <w:t>总监理工程师：</w:t>
      </w:r>
    </w:p>
    <w:p w14:paraId="488E8A11">
      <w:pPr>
        <w:spacing w:before="128" w:line="228" w:lineRule="auto"/>
        <w:ind w:left="428"/>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7"/>
          <w:sz w:val="20"/>
          <w:szCs w:val="20"/>
        </w:rPr>
        <w:t xml:space="preserve">    </w:t>
      </w:r>
      <w:r>
        <w:rPr>
          <w:rFonts w:ascii="宋体" w:hAnsi="宋体" w:eastAsia="宋体" w:cs="宋体"/>
          <w:spacing w:val="-1"/>
          <w:sz w:val="20"/>
          <w:szCs w:val="20"/>
        </w:rPr>
        <w:t>名</w:t>
      </w:r>
      <w:r>
        <w:rPr>
          <w:rFonts w:ascii="宋体" w:hAnsi="宋体" w:eastAsia="宋体" w:cs="宋体"/>
          <w:spacing w:val="-71"/>
          <w:sz w:val="20"/>
          <w:szCs w:val="20"/>
        </w:rPr>
        <w:t xml:space="preserve"> </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p>
    <w:p w14:paraId="0C716236">
      <w:pPr>
        <w:spacing w:before="127" w:line="228" w:lineRule="auto"/>
        <w:ind w:left="429"/>
        <w:rPr>
          <w:rFonts w:ascii="宋体" w:hAnsi="宋体" w:eastAsia="宋体" w:cs="宋体"/>
          <w:sz w:val="20"/>
          <w:szCs w:val="20"/>
        </w:rPr>
      </w:pPr>
      <w:r>
        <w:rPr>
          <w:rFonts w:ascii="宋体" w:hAnsi="宋体" w:eastAsia="宋体" w:cs="宋体"/>
          <w:spacing w:val="-1"/>
          <w:sz w:val="20"/>
          <w:szCs w:val="20"/>
        </w:rPr>
        <w:t>职</w:t>
      </w:r>
      <w:r>
        <w:rPr>
          <w:rFonts w:ascii="宋体" w:hAnsi="宋体" w:eastAsia="宋体" w:cs="宋体"/>
          <w:spacing w:val="7"/>
          <w:sz w:val="20"/>
          <w:szCs w:val="20"/>
        </w:rPr>
        <w:t xml:space="preserve">    </w:t>
      </w:r>
      <w:r>
        <w:rPr>
          <w:rFonts w:ascii="宋体" w:hAnsi="宋体" w:eastAsia="宋体" w:cs="宋体"/>
          <w:spacing w:val="-1"/>
          <w:sz w:val="20"/>
          <w:szCs w:val="20"/>
        </w:rPr>
        <w:t>务</w:t>
      </w:r>
      <w:r>
        <w:rPr>
          <w:rFonts w:ascii="宋体" w:hAnsi="宋体" w:eastAsia="宋体" w:cs="宋体"/>
          <w:spacing w:val="-72"/>
          <w:sz w:val="20"/>
          <w:szCs w:val="20"/>
        </w:rPr>
        <w:t xml:space="preserve"> </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p>
    <w:p w14:paraId="333F62D2">
      <w:pPr>
        <w:spacing w:before="128" w:line="227" w:lineRule="auto"/>
        <w:ind w:left="429"/>
        <w:rPr>
          <w:rFonts w:ascii="宋体" w:hAnsi="宋体" w:eastAsia="宋体" w:cs="宋体"/>
          <w:sz w:val="20"/>
          <w:szCs w:val="20"/>
        </w:rPr>
      </w:pPr>
      <w:r>
        <w:rPr>
          <w:rFonts w:ascii="宋体" w:hAnsi="宋体" w:eastAsia="宋体" w:cs="宋体"/>
          <w:spacing w:val="9"/>
          <w:sz w:val="20"/>
          <w:szCs w:val="20"/>
        </w:rPr>
        <w:t>监理工程师执业资格证书号</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63DC73BA">
      <w:pPr>
        <w:spacing w:before="128" w:line="230" w:lineRule="auto"/>
        <w:ind w:left="429"/>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195177D5">
      <w:pPr>
        <w:spacing w:before="125" w:line="228" w:lineRule="auto"/>
        <w:ind w:left="452"/>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1A5B6EFC">
      <w:pPr>
        <w:spacing w:before="127" w:line="228" w:lineRule="auto"/>
        <w:ind w:left="428"/>
        <w:rPr>
          <w:rFonts w:ascii="宋体" w:hAnsi="宋体" w:eastAsia="宋体" w:cs="宋体"/>
          <w:sz w:val="20"/>
          <w:szCs w:val="20"/>
        </w:rPr>
      </w:pPr>
      <w:r>
        <w:rPr>
          <w:rFonts w:ascii="宋体" w:hAnsi="宋体" w:eastAsia="宋体" w:cs="宋体"/>
          <w:spacing w:val="7"/>
          <w:sz w:val="20"/>
          <w:szCs w:val="20"/>
        </w:rPr>
        <w:t>通信地址</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074B300A">
      <w:pPr>
        <w:spacing w:before="129" w:line="228" w:lineRule="auto"/>
        <w:ind w:left="431"/>
        <w:rPr>
          <w:rFonts w:ascii="宋体" w:hAnsi="宋体" w:eastAsia="宋体" w:cs="宋体"/>
          <w:sz w:val="20"/>
          <w:szCs w:val="20"/>
        </w:rPr>
      </w:pPr>
      <w:r>
        <w:rPr>
          <w:rFonts w:ascii="宋体" w:hAnsi="宋体" w:eastAsia="宋体" w:cs="宋体"/>
          <w:spacing w:val="6"/>
          <w:sz w:val="20"/>
          <w:szCs w:val="20"/>
        </w:rPr>
        <w:t>关于监理人的其他约定：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38C4B28">
      <w:pPr>
        <w:spacing w:before="127" w:line="228" w:lineRule="auto"/>
        <w:ind w:left="427"/>
        <w:rPr>
          <w:rFonts w:ascii="宋体" w:hAnsi="宋体" w:eastAsia="宋体" w:cs="宋体"/>
          <w:sz w:val="20"/>
          <w:szCs w:val="20"/>
        </w:rPr>
      </w:pPr>
      <w:r>
        <w:rPr>
          <w:rFonts w:ascii="宋体" w:hAnsi="宋体" w:eastAsia="宋体" w:cs="宋体"/>
          <w:b/>
          <w:bCs/>
          <w:spacing w:val="4"/>
          <w:sz w:val="20"/>
          <w:szCs w:val="20"/>
        </w:rPr>
        <w:t>4.4</w:t>
      </w:r>
      <w:r>
        <w:rPr>
          <w:rFonts w:ascii="宋体" w:hAnsi="宋体" w:eastAsia="宋体" w:cs="宋体"/>
          <w:spacing w:val="16"/>
          <w:sz w:val="20"/>
          <w:szCs w:val="20"/>
        </w:rPr>
        <w:t xml:space="preserve"> </w:t>
      </w:r>
      <w:r>
        <w:rPr>
          <w:rFonts w:ascii="宋体" w:hAnsi="宋体" w:eastAsia="宋体" w:cs="宋体"/>
          <w:b/>
          <w:bCs/>
          <w:spacing w:val="4"/>
          <w:sz w:val="20"/>
          <w:szCs w:val="20"/>
        </w:rPr>
        <w:t>商定或确定</w:t>
      </w:r>
    </w:p>
    <w:p w14:paraId="3A32B7D3">
      <w:pPr>
        <w:spacing w:before="127" w:line="228" w:lineRule="auto"/>
        <w:ind w:right="33"/>
        <w:jc w:val="right"/>
        <w:rPr>
          <w:rFonts w:ascii="宋体" w:hAnsi="宋体" w:eastAsia="宋体" w:cs="宋体"/>
          <w:sz w:val="20"/>
          <w:szCs w:val="20"/>
        </w:rPr>
      </w:pPr>
      <w:r>
        <w:rPr>
          <w:rFonts w:ascii="宋体" w:hAnsi="宋体" w:eastAsia="宋体" w:cs="宋体"/>
          <w:spacing w:val="10"/>
          <w:sz w:val="20"/>
          <w:szCs w:val="20"/>
        </w:rPr>
        <w:t>在发包人和承包人不能通过协商达成一致意见</w:t>
      </w:r>
      <w:r>
        <w:rPr>
          <w:rFonts w:ascii="宋体" w:hAnsi="宋体" w:eastAsia="宋体" w:cs="宋体"/>
          <w:spacing w:val="9"/>
          <w:sz w:val="20"/>
          <w:szCs w:val="20"/>
        </w:rPr>
        <w:t>时，发包人授权监理人对以下事项进行确定：</w:t>
      </w:r>
    </w:p>
    <w:p w14:paraId="40145743">
      <w:pPr>
        <w:spacing w:before="127" w:line="346" w:lineRule="auto"/>
        <w:ind w:left="438" w:right="180"/>
        <w:rPr>
          <w:rFonts w:ascii="宋体" w:hAnsi="宋体" w:eastAsia="宋体" w:cs="宋体"/>
          <w:sz w:val="20"/>
          <w:szCs w:val="20"/>
        </w:rPr>
      </w:pPr>
      <w:r>
        <w:rPr>
          <w:rFonts w:ascii="宋体" w:hAnsi="宋体" w:eastAsia="宋体" w:cs="宋体"/>
          <w:spacing w:val="-3"/>
          <w:sz w:val="20"/>
          <w:szCs w:val="20"/>
        </w:rPr>
        <w:t>（1</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r>
        <w:rPr>
          <w:rFonts w:ascii="宋体" w:hAnsi="宋体" w:eastAsia="宋体" w:cs="宋体"/>
          <w:spacing w:val="1"/>
          <w:sz w:val="20"/>
          <w:szCs w:val="20"/>
        </w:rPr>
        <w:t xml:space="preserve"> </w:t>
      </w:r>
      <w:r>
        <w:rPr>
          <w:rFonts w:ascii="宋体" w:hAnsi="宋体" w:eastAsia="宋体" w:cs="宋体"/>
          <w:spacing w:val="-3"/>
          <w:sz w:val="20"/>
          <w:szCs w:val="20"/>
        </w:rPr>
        <w:t>（2</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141EC3D0">
      <w:pPr>
        <w:spacing w:before="1" w:line="239" w:lineRule="auto"/>
        <w:ind w:left="438"/>
        <w:rPr>
          <w:rFonts w:ascii="宋体" w:hAnsi="宋体" w:eastAsia="宋体" w:cs="宋体"/>
          <w:sz w:val="20"/>
          <w:szCs w:val="20"/>
        </w:rPr>
      </w:pPr>
      <w:r>
        <w:rPr>
          <w:rFonts w:ascii="宋体" w:hAnsi="宋体" w:eastAsia="宋体" w:cs="宋体"/>
          <w:spacing w:val="1"/>
          <w:sz w:val="20"/>
          <w:szCs w:val="20"/>
        </w:rPr>
        <w:t>（3）</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
          <w:sz w:val="20"/>
          <w:szCs w:val="20"/>
        </w:rPr>
        <w:t>。</w:t>
      </w:r>
    </w:p>
    <w:p w14:paraId="030DD269">
      <w:pPr>
        <w:spacing w:before="114" w:line="228" w:lineRule="auto"/>
        <w:ind w:left="432"/>
        <w:outlineLvl w:val="2"/>
        <w:rPr>
          <w:rFonts w:ascii="宋体" w:hAnsi="宋体" w:eastAsia="宋体" w:cs="宋体"/>
          <w:sz w:val="20"/>
          <w:szCs w:val="20"/>
        </w:rPr>
      </w:pPr>
      <w:bookmarkStart w:id="331" w:name="bookmark314"/>
      <w:bookmarkEnd w:id="331"/>
      <w:r>
        <w:rPr>
          <w:rFonts w:ascii="宋体" w:hAnsi="宋体" w:eastAsia="宋体" w:cs="宋体"/>
          <w:b/>
          <w:bCs/>
          <w:spacing w:val="3"/>
          <w:sz w:val="20"/>
          <w:szCs w:val="20"/>
        </w:rPr>
        <w:t>5.</w:t>
      </w:r>
      <w:r>
        <w:rPr>
          <w:rFonts w:ascii="宋体" w:hAnsi="宋体" w:eastAsia="宋体" w:cs="宋体"/>
          <w:spacing w:val="15"/>
          <w:sz w:val="20"/>
          <w:szCs w:val="20"/>
        </w:rPr>
        <w:t xml:space="preserve"> </w:t>
      </w:r>
      <w:r>
        <w:rPr>
          <w:rFonts w:ascii="宋体" w:hAnsi="宋体" w:eastAsia="宋体" w:cs="宋体"/>
          <w:b/>
          <w:bCs/>
          <w:spacing w:val="3"/>
          <w:sz w:val="20"/>
          <w:szCs w:val="20"/>
        </w:rPr>
        <w:t>工程质量</w:t>
      </w:r>
    </w:p>
    <w:p w14:paraId="327310F2">
      <w:pPr>
        <w:spacing w:before="128" w:line="228" w:lineRule="auto"/>
        <w:ind w:left="432"/>
        <w:rPr>
          <w:rFonts w:ascii="宋体" w:hAnsi="宋体" w:eastAsia="宋体" w:cs="宋体"/>
          <w:sz w:val="20"/>
          <w:szCs w:val="20"/>
        </w:rPr>
      </w:pPr>
      <w:r>
        <w:rPr>
          <w:rFonts w:ascii="宋体" w:hAnsi="宋体" w:eastAsia="宋体" w:cs="宋体"/>
          <w:b/>
          <w:bCs/>
          <w:spacing w:val="4"/>
          <w:sz w:val="20"/>
          <w:szCs w:val="20"/>
        </w:rPr>
        <w:t>5.1</w:t>
      </w:r>
      <w:r>
        <w:rPr>
          <w:rFonts w:ascii="宋体" w:hAnsi="宋体" w:eastAsia="宋体" w:cs="宋体"/>
          <w:spacing w:val="4"/>
          <w:sz w:val="20"/>
          <w:szCs w:val="20"/>
        </w:rPr>
        <w:t xml:space="preserve"> </w:t>
      </w:r>
      <w:r>
        <w:rPr>
          <w:rFonts w:ascii="宋体" w:hAnsi="宋体" w:eastAsia="宋体" w:cs="宋体"/>
          <w:b/>
          <w:bCs/>
          <w:spacing w:val="4"/>
          <w:sz w:val="20"/>
          <w:szCs w:val="20"/>
        </w:rPr>
        <w:t>质量要求</w:t>
      </w:r>
    </w:p>
    <w:p w14:paraId="5A26A123">
      <w:pPr>
        <w:spacing w:before="127" w:line="228" w:lineRule="auto"/>
        <w:ind w:left="432"/>
        <w:rPr>
          <w:rFonts w:ascii="宋体" w:hAnsi="宋体" w:eastAsia="宋体" w:cs="宋体"/>
          <w:sz w:val="20"/>
          <w:szCs w:val="20"/>
        </w:rPr>
      </w:pPr>
      <w:r>
        <w:rPr>
          <w:rFonts w:ascii="宋体" w:hAnsi="宋体" w:eastAsia="宋体" w:cs="宋体"/>
          <w:spacing w:val="4"/>
          <w:sz w:val="20"/>
          <w:szCs w:val="20"/>
        </w:rPr>
        <w:t>5.1.1 特殊质量标准和要求：</w:t>
      </w:r>
      <w:r>
        <w:rPr>
          <w:rFonts w:ascii="宋体" w:hAnsi="宋体" w:eastAsia="宋体" w:cs="宋体"/>
          <w:spacing w:val="4"/>
          <w:sz w:val="20"/>
          <w:szCs w:val="20"/>
          <w:u w:val="single" w:color="auto"/>
        </w:rPr>
        <w:t xml:space="preserve">                                                    </w:t>
      </w:r>
    </w:p>
    <w:p w14:paraId="2584C766">
      <w:pPr>
        <w:spacing w:before="262" w:line="45" w:lineRule="exact"/>
        <w:ind w:left="8534"/>
        <w:rPr>
          <w:rFonts w:ascii="宋体" w:hAnsi="宋体" w:eastAsia="宋体" w:cs="宋体"/>
          <w:sz w:val="20"/>
          <w:szCs w:val="20"/>
        </w:rPr>
      </w:pPr>
      <w:r>
        <w:pict>
          <v:shape id="_x0000_s1082" o:spid="_x0000_s1082" o:spt="202" type="#_x0000_t202" style="position:absolute;left:0pt;margin-left:-1pt;margin-top:5.7pt;height:14.1pt;width:427.25pt;z-index:251724800;mso-width-relative:page;mso-height-relative:page;" filled="f" stroked="f" coordsize="21600,21600">
            <v:path/>
            <v:fill on="f" focussize="0,0"/>
            <v:stroke on="f"/>
            <v:imagedata o:title=""/>
            <o:lock v:ext="edit" aspectratio="f"/>
            <v:textbox inset="0mm,0mm,0mm,0mm">
              <w:txbxContent>
                <w:p w14:paraId="51C1FC96">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73638B64">
      <w:pPr>
        <w:spacing w:line="45" w:lineRule="exact"/>
        <w:rPr>
          <w:rFonts w:ascii="宋体" w:hAnsi="宋体" w:eastAsia="宋体" w:cs="宋体"/>
          <w:sz w:val="20"/>
          <w:szCs w:val="20"/>
        </w:rPr>
        <w:sectPr>
          <w:headerReference r:id="rId399" w:type="default"/>
          <w:footerReference r:id="rId400" w:type="default"/>
          <w:pgSz w:w="11906" w:h="16839"/>
          <w:pgMar w:top="2299" w:right="1532" w:bottom="1446" w:left="1531" w:header="1949" w:footer="1284" w:gutter="0"/>
          <w:cols w:space="720" w:num="1"/>
        </w:sectPr>
      </w:pPr>
    </w:p>
    <w:p w14:paraId="252DEB91">
      <w:pPr>
        <w:spacing w:line="246" w:lineRule="auto"/>
        <w:rPr>
          <w:rFonts w:ascii="Arial"/>
          <w:sz w:val="21"/>
        </w:rPr>
      </w:pPr>
    </w:p>
    <w:p w14:paraId="0FDC386E">
      <w:pPr>
        <w:spacing w:line="246" w:lineRule="auto"/>
        <w:rPr>
          <w:rFonts w:ascii="Arial"/>
          <w:sz w:val="21"/>
        </w:rPr>
      </w:pPr>
    </w:p>
    <w:p w14:paraId="12E31292">
      <w:pPr>
        <w:spacing w:line="246" w:lineRule="auto"/>
        <w:rPr>
          <w:rFonts w:ascii="Arial"/>
          <w:sz w:val="21"/>
        </w:rPr>
      </w:pPr>
    </w:p>
    <w:p w14:paraId="6D281F22">
      <w:pPr>
        <w:spacing w:line="246" w:lineRule="auto"/>
        <w:rPr>
          <w:rFonts w:ascii="Arial"/>
          <w:sz w:val="21"/>
        </w:rPr>
      </w:pPr>
    </w:p>
    <w:p w14:paraId="1EA5BCA6">
      <w:pPr>
        <w:spacing w:line="247" w:lineRule="auto"/>
        <w:rPr>
          <w:rFonts w:ascii="Arial"/>
          <w:sz w:val="21"/>
        </w:rPr>
      </w:pPr>
    </w:p>
    <w:p w14:paraId="6B40EAFD">
      <w:pPr>
        <w:spacing w:line="247" w:lineRule="auto"/>
        <w:rPr>
          <w:rFonts w:ascii="Arial"/>
          <w:sz w:val="21"/>
        </w:rPr>
      </w:pPr>
    </w:p>
    <w:p w14:paraId="640BC7B2">
      <w:pPr>
        <w:spacing w:before="65" w:line="228" w:lineRule="auto"/>
        <w:ind w:left="431"/>
        <w:rPr>
          <w:rFonts w:ascii="宋体" w:hAnsi="宋体" w:eastAsia="宋体" w:cs="宋体"/>
          <w:sz w:val="20"/>
          <w:szCs w:val="20"/>
        </w:rPr>
      </w:pPr>
      <w:r>
        <w:rPr>
          <w:rFonts w:ascii="宋体" w:hAnsi="宋体" w:eastAsia="宋体" w:cs="宋体"/>
          <w:spacing w:val="8"/>
          <w:sz w:val="20"/>
          <w:szCs w:val="20"/>
        </w:rPr>
        <w:t>关于工程奖项的约定：</w:t>
      </w:r>
      <w:r>
        <w:rPr>
          <w:rFonts w:ascii="宋体" w:hAnsi="宋体" w:eastAsia="宋体" w:cs="宋体"/>
          <w:sz w:val="20"/>
          <w:szCs w:val="20"/>
          <w:u w:val="single" w:color="auto"/>
        </w:rPr>
        <w:t xml:space="preserve">                                                            </w:t>
      </w:r>
    </w:p>
    <w:p w14:paraId="1AD876E5">
      <w:pPr>
        <w:tabs>
          <w:tab w:val="left" w:pos="8504"/>
        </w:tabs>
        <w:spacing w:before="261"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50527A2">
      <w:pPr>
        <w:spacing w:before="173" w:line="228" w:lineRule="auto"/>
        <w:ind w:left="432"/>
        <w:rPr>
          <w:rFonts w:ascii="宋体" w:hAnsi="宋体" w:eastAsia="宋体" w:cs="宋体"/>
          <w:sz w:val="20"/>
          <w:szCs w:val="20"/>
        </w:rPr>
      </w:pPr>
      <w:r>
        <w:rPr>
          <w:rFonts w:ascii="宋体" w:hAnsi="宋体" w:eastAsia="宋体" w:cs="宋体"/>
          <w:b/>
          <w:bCs/>
          <w:spacing w:val="3"/>
          <w:sz w:val="20"/>
          <w:szCs w:val="20"/>
        </w:rPr>
        <w:t>5.3</w:t>
      </w:r>
      <w:r>
        <w:rPr>
          <w:rFonts w:ascii="宋体" w:hAnsi="宋体" w:eastAsia="宋体" w:cs="宋体"/>
          <w:spacing w:val="25"/>
          <w:sz w:val="20"/>
          <w:szCs w:val="20"/>
        </w:rPr>
        <w:t xml:space="preserve"> </w:t>
      </w:r>
      <w:r>
        <w:rPr>
          <w:rFonts w:ascii="宋体" w:hAnsi="宋体" w:eastAsia="宋体" w:cs="宋体"/>
          <w:b/>
          <w:bCs/>
          <w:spacing w:val="3"/>
          <w:sz w:val="20"/>
          <w:szCs w:val="20"/>
        </w:rPr>
        <w:t>隐蔽工程检查</w:t>
      </w:r>
    </w:p>
    <w:p w14:paraId="162CEBA5">
      <w:pPr>
        <w:spacing w:before="127" w:line="228" w:lineRule="auto"/>
        <w:ind w:left="432"/>
        <w:rPr>
          <w:rFonts w:ascii="宋体" w:hAnsi="宋体" w:eastAsia="宋体" w:cs="宋体"/>
          <w:sz w:val="20"/>
          <w:szCs w:val="20"/>
        </w:rPr>
      </w:pPr>
      <w:r>
        <w:rPr>
          <w:rFonts w:ascii="宋体" w:hAnsi="宋体" w:eastAsia="宋体" w:cs="宋体"/>
          <w:spacing w:val="6"/>
          <w:sz w:val="20"/>
          <w:szCs w:val="20"/>
        </w:rPr>
        <w:t>5.3.2</w:t>
      </w:r>
      <w:r>
        <w:rPr>
          <w:rFonts w:ascii="宋体" w:hAnsi="宋体" w:eastAsia="宋体" w:cs="宋体"/>
          <w:spacing w:val="-40"/>
          <w:sz w:val="20"/>
          <w:szCs w:val="20"/>
        </w:rPr>
        <w:t xml:space="preserve"> </w:t>
      </w:r>
      <w:r>
        <w:rPr>
          <w:rFonts w:ascii="宋体" w:hAnsi="宋体" w:eastAsia="宋体" w:cs="宋体"/>
          <w:spacing w:val="6"/>
          <w:sz w:val="20"/>
          <w:szCs w:val="20"/>
        </w:rPr>
        <w:t>承包人提前通知监理人隐蔽工程检查的期限的约定：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p>
    <w:p w14:paraId="3ABF30F4">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698E672">
      <w:pPr>
        <w:spacing w:before="174" w:line="227" w:lineRule="auto"/>
        <w:ind w:left="429"/>
        <w:rPr>
          <w:rFonts w:ascii="宋体" w:hAnsi="宋体" w:eastAsia="宋体" w:cs="宋体"/>
          <w:sz w:val="20"/>
          <w:szCs w:val="20"/>
        </w:rPr>
      </w:pPr>
      <w:r>
        <w:rPr>
          <w:rFonts w:ascii="宋体" w:hAnsi="宋体" w:eastAsia="宋体" w:cs="宋体"/>
          <w:spacing w:val="8"/>
          <w:sz w:val="20"/>
          <w:szCs w:val="20"/>
        </w:rPr>
        <w:t>监理人不能按时进行检查时，应提前</w:t>
      </w:r>
      <w:r>
        <w:rPr>
          <w:rFonts w:ascii="宋体" w:hAnsi="宋体" w:eastAsia="宋体" w:cs="宋体"/>
          <w:spacing w:val="-83"/>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8"/>
          <w:sz w:val="20"/>
          <w:szCs w:val="20"/>
        </w:rPr>
        <w:t>小时提交书面延期要求。</w:t>
      </w:r>
    </w:p>
    <w:p w14:paraId="10218217">
      <w:pPr>
        <w:spacing w:before="128" w:line="228" w:lineRule="auto"/>
        <w:ind w:left="431"/>
        <w:rPr>
          <w:rFonts w:ascii="宋体" w:hAnsi="宋体" w:eastAsia="宋体" w:cs="宋体"/>
          <w:sz w:val="20"/>
          <w:szCs w:val="20"/>
        </w:rPr>
      </w:pPr>
      <w:r>
        <w:rPr>
          <w:rFonts w:ascii="宋体" w:hAnsi="宋体" w:eastAsia="宋体" w:cs="宋体"/>
          <w:spacing w:val="6"/>
          <w:sz w:val="20"/>
          <w:szCs w:val="20"/>
        </w:rPr>
        <w:t>关于延期最长不得超过：</w:t>
      </w:r>
      <w:r>
        <w:rPr>
          <w:rFonts w:ascii="宋体" w:hAnsi="宋体" w:eastAsia="宋体" w:cs="宋体"/>
          <w:spacing w:val="6"/>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6"/>
          <w:sz w:val="20"/>
          <w:szCs w:val="20"/>
        </w:rPr>
        <w:t>小时。</w:t>
      </w:r>
    </w:p>
    <w:p w14:paraId="24DBF50A">
      <w:pPr>
        <w:spacing w:line="434" w:lineRule="auto"/>
        <w:rPr>
          <w:rFonts w:ascii="Arial"/>
          <w:sz w:val="21"/>
        </w:rPr>
      </w:pPr>
    </w:p>
    <w:p w14:paraId="40229350">
      <w:pPr>
        <w:spacing w:before="65" w:line="228" w:lineRule="auto"/>
        <w:ind w:left="430"/>
        <w:outlineLvl w:val="2"/>
        <w:rPr>
          <w:rFonts w:ascii="宋体" w:hAnsi="宋体" w:eastAsia="宋体" w:cs="宋体"/>
          <w:sz w:val="20"/>
          <w:szCs w:val="20"/>
        </w:rPr>
      </w:pPr>
      <w:bookmarkStart w:id="332" w:name="bookmark315"/>
      <w:bookmarkEnd w:id="332"/>
      <w:r>
        <w:rPr>
          <w:rFonts w:ascii="宋体" w:hAnsi="宋体" w:eastAsia="宋体" w:cs="宋体"/>
          <w:b/>
          <w:bCs/>
          <w:spacing w:val="6"/>
          <w:sz w:val="20"/>
          <w:szCs w:val="20"/>
        </w:rPr>
        <w:t>6.</w:t>
      </w:r>
      <w:r>
        <w:rPr>
          <w:rFonts w:ascii="宋体" w:hAnsi="宋体" w:eastAsia="宋体" w:cs="宋体"/>
          <w:spacing w:val="6"/>
          <w:sz w:val="20"/>
          <w:szCs w:val="20"/>
        </w:rPr>
        <w:t xml:space="preserve"> </w:t>
      </w:r>
      <w:r>
        <w:rPr>
          <w:rFonts w:ascii="宋体" w:hAnsi="宋体" w:eastAsia="宋体" w:cs="宋体"/>
          <w:b/>
          <w:bCs/>
          <w:spacing w:val="6"/>
          <w:sz w:val="20"/>
          <w:szCs w:val="20"/>
        </w:rPr>
        <w:t>安全文明施工与环境保护</w:t>
      </w:r>
    </w:p>
    <w:p w14:paraId="5CB487EF">
      <w:pPr>
        <w:spacing w:before="127" w:line="228" w:lineRule="auto"/>
        <w:ind w:left="430"/>
        <w:rPr>
          <w:rFonts w:ascii="宋体" w:hAnsi="宋体" w:eastAsia="宋体" w:cs="宋体"/>
          <w:sz w:val="20"/>
          <w:szCs w:val="20"/>
        </w:rPr>
      </w:pPr>
      <w:r>
        <w:rPr>
          <w:rFonts w:ascii="宋体" w:hAnsi="宋体" w:eastAsia="宋体" w:cs="宋体"/>
          <w:b/>
          <w:bCs/>
          <w:spacing w:val="4"/>
          <w:sz w:val="20"/>
          <w:szCs w:val="20"/>
        </w:rPr>
        <w:t>6.1</w:t>
      </w:r>
      <w:r>
        <w:rPr>
          <w:rFonts w:ascii="宋体" w:hAnsi="宋体" w:eastAsia="宋体" w:cs="宋体"/>
          <w:spacing w:val="-34"/>
          <w:sz w:val="20"/>
          <w:szCs w:val="20"/>
        </w:rPr>
        <w:t xml:space="preserve"> </w:t>
      </w:r>
      <w:r>
        <w:rPr>
          <w:rFonts w:ascii="宋体" w:hAnsi="宋体" w:eastAsia="宋体" w:cs="宋体"/>
          <w:b/>
          <w:bCs/>
          <w:spacing w:val="4"/>
          <w:sz w:val="20"/>
          <w:szCs w:val="20"/>
        </w:rPr>
        <w:t>安全文明施工</w:t>
      </w:r>
    </w:p>
    <w:p w14:paraId="67E4B59E">
      <w:pPr>
        <w:spacing w:before="128" w:line="228" w:lineRule="auto"/>
        <w:ind w:left="430"/>
        <w:rPr>
          <w:rFonts w:ascii="宋体" w:hAnsi="宋体" w:eastAsia="宋体" w:cs="宋体"/>
          <w:sz w:val="20"/>
          <w:szCs w:val="20"/>
        </w:rPr>
      </w:pPr>
      <w:r>
        <w:rPr>
          <w:rFonts w:ascii="宋体" w:hAnsi="宋体" w:eastAsia="宋体" w:cs="宋体"/>
          <w:spacing w:val="8"/>
          <w:sz w:val="20"/>
          <w:szCs w:val="20"/>
        </w:rPr>
        <w:t>6.1.1 项目安全生产的达标目标及相应事项的约定：</w:t>
      </w:r>
      <w:r>
        <w:rPr>
          <w:rFonts w:ascii="宋体" w:hAnsi="宋体" w:eastAsia="宋体" w:cs="宋体"/>
          <w:sz w:val="20"/>
          <w:szCs w:val="20"/>
          <w:u w:val="single" w:color="auto"/>
        </w:rPr>
        <w:t xml:space="preserve">                                 </w:t>
      </w:r>
    </w:p>
    <w:p w14:paraId="3E5ED514">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9FBF467">
      <w:pPr>
        <w:spacing w:before="174" w:line="228" w:lineRule="auto"/>
        <w:ind w:left="430"/>
        <w:rPr>
          <w:rFonts w:ascii="宋体" w:hAnsi="宋体" w:eastAsia="宋体" w:cs="宋体"/>
          <w:sz w:val="20"/>
          <w:szCs w:val="20"/>
        </w:rPr>
      </w:pPr>
      <w:r>
        <w:rPr>
          <w:rFonts w:ascii="宋体" w:hAnsi="宋体" w:eastAsia="宋体" w:cs="宋体"/>
          <w:spacing w:val="4"/>
          <w:sz w:val="20"/>
          <w:szCs w:val="20"/>
        </w:rPr>
        <w:t>6.1.4 关于治安保卫的特别约定：</w:t>
      </w:r>
      <w:r>
        <w:rPr>
          <w:rFonts w:ascii="宋体" w:hAnsi="宋体" w:eastAsia="宋体" w:cs="宋体"/>
          <w:spacing w:val="4"/>
          <w:sz w:val="20"/>
          <w:szCs w:val="20"/>
          <w:u w:val="single" w:color="auto"/>
        </w:rPr>
        <w:t xml:space="preserve">                                                </w:t>
      </w:r>
    </w:p>
    <w:p w14:paraId="132B939E">
      <w:pPr>
        <w:spacing w:before="263" w:line="45" w:lineRule="exact"/>
        <w:jc w:val="right"/>
        <w:rPr>
          <w:rFonts w:ascii="宋体" w:hAnsi="宋体" w:eastAsia="宋体" w:cs="宋体"/>
          <w:sz w:val="20"/>
          <w:szCs w:val="20"/>
        </w:rPr>
      </w:pPr>
      <w:r>
        <w:pict>
          <v:shape id="_x0000_s1083" o:spid="_x0000_s1083" o:spt="202" type="#_x0000_t202" style="position:absolute;left:0pt;margin-left:-1pt;margin-top:5.7pt;height:14.1pt;width:427.25pt;z-index:251726848;mso-width-relative:page;mso-height-relative:page;" filled="f" stroked="f" coordsize="21600,21600">
            <v:path/>
            <v:fill on="f" focussize="0,0"/>
            <v:stroke on="f"/>
            <v:imagedata o:title=""/>
            <o:lock v:ext="edit" aspectratio="f"/>
            <v:textbox inset="0mm,0mm,0mm,0mm">
              <w:txbxContent>
                <w:p w14:paraId="25DBF10E">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656C763D">
      <w:pPr>
        <w:spacing w:before="194" w:line="228" w:lineRule="auto"/>
        <w:ind w:left="431"/>
        <w:rPr>
          <w:rFonts w:ascii="宋体" w:hAnsi="宋体" w:eastAsia="宋体" w:cs="宋体"/>
          <w:sz w:val="20"/>
          <w:szCs w:val="20"/>
        </w:rPr>
      </w:pPr>
      <w:r>
        <w:rPr>
          <w:rFonts w:ascii="宋体" w:hAnsi="宋体" w:eastAsia="宋体" w:cs="宋体"/>
          <w:spacing w:val="9"/>
          <w:sz w:val="20"/>
          <w:szCs w:val="20"/>
        </w:rPr>
        <w:t>关于编制施工场地治安管理计划的约定：</w:t>
      </w:r>
      <w:r>
        <w:rPr>
          <w:rFonts w:ascii="宋体" w:hAnsi="宋体" w:eastAsia="宋体" w:cs="宋体"/>
          <w:sz w:val="20"/>
          <w:szCs w:val="20"/>
          <w:u w:val="single" w:color="auto"/>
        </w:rPr>
        <w:t xml:space="preserve">                                            </w:t>
      </w:r>
    </w:p>
    <w:p w14:paraId="2A5D1508">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6E77006">
      <w:pPr>
        <w:spacing w:before="174" w:line="228" w:lineRule="auto"/>
        <w:ind w:left="430"/>
        <w:rPr>
          <w:rFonts w:ascii="宋体" w:hAnsi="宋体" w:eastAsia="宋体" w:cs="宋体"/>
          <w:sz w:val="20"/>
          <w:szCs w:val="20"/>
        </w:rPr>
      </w:pPr>
      <w:r>
        <w:rPr>
          <w:rFonts w:ascii="宋体" w:hAnsi="宋体" w:eastAsia="宋体" w:cs="宋体"/>
          <w:spacing w:val="5"/>
          <w:sz w:val="20"/>
          <w:szCs w:val="20"/>
        </w:rPr>
        <w:t>6.1.5 文明施工</w:t>
      </w:r>
    </w:p>
    <w:p w14:paraId="19B0E079">
      <w:pPr>
        <w:spacing w:before="127" w:line="228" w:lineRule="auto"/>
        <w:ind w:left="429"/>
        <w:rPr>
          <w:rFonts w:ascii="宋体" w:hAnsi="宋体" w:eastAsia="宋体" w:cs="宋体"/>
          <w:sz w:val="20"/>
          <w:szCs w:val="20"/>
        </w:rPr>
      </w:pPr>
      <w:r>
        <w:rPr>
          <w:rFonts w:ascii="宋体" w:hAnsi="宋体" w:eastAsia="宋体" w:cs="宋体"/>
          <w:spacing w:val="9"/>
          <w:sz w:val="20"/>
          <w:szCs w:val="20"/>
        </w:rPr>
        <w:t>合同当事人对文明施工的要求：</w:t>
      </w:r>
      <w:r>
        <w:rPr>
          <w:rFonts w:ascii="宋体" w:hAnsi="宋体" w:eastAsia="宋体" w:cs="宋体"/>
          <w:sz w:val="20"/>
          <w:szCs w:val="20"/>
          <w:u w:val="single" w:color="auto"/>
        </w:rPr>
        <w:t xml:space="preserve">                                                    </w:t>
      </w:r>
    </w:p>
    <w:p w14:paraId="45B22699">
      <w:pPr>
        <w:spacing w:before="263" w:line="45" w:lineRule="exact"/>
        <w:jc w:val="right"/>
        <w:rPr>
          <w:rFonts w:ascii="宋体" w:hAnsi="宋体" w:eastAsia="宋体" w:cs="宋体"/>
          <w:sz w:val="20"/>
          <w:szCs w:val="20"/>
        </w:rPr>
      </w:pPr>
      <w:r>
        <w:pict>
          <v:shape id="_x0000_s1084" o:spid="_x0000_s1084" o:spt="202" type="#_x0000_t202" style="position:absolute;left:0pt;margin-left:-1pt;margin-top:5.7pt;height:14.1pt;width:427.25pt;z-index:251725824;mso-width-relative:page;mso-height-relative:page;" filled="f" stroked="f" coordsize="21600,21600">
            <v:path/>
            <v:fill on="f" focussize="0,0"/>
            <v:stroke on="f"/>
            <v:imagedata o:title=""/>
            <o:lock v:ext="edit" aspectratio="f"/>
            <v:textbox inset="0mm,0mm,0mm,0mm">
              <w:txbxContent>
                <w:p w14:paraId="552DB114">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60675C40">
      <w:pPr>
        <w:spacing w:before="194" w:line="228" w:lineRule="auto"/>
        <w:ind w:left="430"/>
        <w:rPr>
          <w:rFonts w:ascii="宋体" w:hAnsi="宋体" w:eastAsia="宋体" w:cs="宋体"/>
          <w:sz w:val="20"/>
          <w:szCs w:val="20"/>
        </w:rPr>
      </w:pPr>
      <w:r>
        <w:rPr>
          <w:rFonts w:ascii="宋体" w:hAnsi="宋体" w:eastAsia="宋体" w:cs="宋体"/>
          <w:spacing w:val="8"/>
          <w:sz w:val="20"/>
          <w:szCs w:val="20"/>
        </w:rPr>
        <w:t>6.1.6 关于安全文明施工费支付比例和支付期限的约定：</w:t>
      </w:r>
      <w:r>
        <w:rPr>
          <w:rFonts w:ascii="宋体" w:hAnsi="宋体" w:eastAsia="宋体" w:cs="宋体"/>
          <w:sz w:val="20"/>
          <w:szCs w:val="20"/>
          <w:u w:val="single" w:color="auto"/>
        </w:rPr>
        <w:t xml:space="preserve">                             </w:t>
      </w:r>
    </w:p>
    <w:p w14:paraId="0B6369E5">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18E1FC8">
      <w:pPr>
        <w:spacing w:before="174" w:line="226" w:lineRule="auto"/>
        <w:ind w:left="430"/>
        <w:rPr>
          <w:rFonts w:ascii="宋体" w:hAnsi="宋体" w:eastAsia="宋体" w:cs="宋体"/>
          <w:sz w:val="20"/>
          <w:szCs w:val="20"/>
        </w:rPr>
      </w:pPr>
      <w:r>
        <w:rPr>
          <w:rFonts w:ascii="宋体" w:hAnsi="宋体" w:eastAsia="宋体" w:cs="宋体"/>
          <w:spacing w:val="5"/>
          <w:sz w:val="20"/>
          <w:szCs w:val="20"/>
        </w:rPr>
        <w:t>6.4 关于绿色建筑计价标准的特别约定：</w:t>
      </w:r>
      <w:r>
        <w:rPr>
          <w:rFonts w:ascii="宋体" w:hAnsi="宋体" w:eastAsia="宋体" w:cs="宋体"/>
          <w:spacing w:val="5"/>
          <w:sz w:val="20"/>
          <w:szCs w:val="20"/>
          <w:u w:val="single" w:color="auto"/>
        </w:rPr>
        <w:t xml:space="preserve">     </w:t>
      </w:r>
      <w:r>
        <w:rPr>
          <w:rFonts w:ascii="宋体" w:hAnsi="宋体" w:eastAsia="宋体" w:cs="宋体"/>
          <w:spacing w:val="4"/>
          <w:sz w:val="20"/>
          <w:szCs w:val="20"/>
          <w:u w:val="single" w:color="auto"/>
        </w:rPr>
        <w:t xml:space="preserve">                                     </w:t>
      </w:r>
    </w:p>
    <w:p w14:paraId="20309DA1">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B31727B">
      <w:pPr>
        <w:spacing w:before="175" w:line="228" w:lineRule="auto"/>
        <w:ind w:left="433"/>
        <w:outlineLvl w:val="2"/>
        <w:rPr>
          <w:rFonts w:ascii="宋体" w:hAnsi="宋体" w:eastAsia="宋体" w:cs="宋体"/>
          <w:sz w:val="20"/>
          <w:szCs w:val="20"/>
        </w:rPr>
      </w:pPr>
      <w:bookmarkStart w:id="333" w:name="bookmark316"/>
      <w:bookmarkEnd w:id="333"/>
      <w:r>
        <w:rPr>
          <w:rFonts w:ascii="宋体" w:hAnsi="宋体" w:eastAsia="宋体" w:cs="宋体"/>
          <w:b/>
          <w:bCs/>
          <w:spacing w:val="5"/>
          <w:sz w:val="20"/>
          <w:szCs w:val="20"/>
        </w:rPr>
        <w:t>7.</w:t>
      </w:r>
      <w:r>
        <w:rPr>
          <w:rFonts w:ascii="宋体" w:hAnsi="宋体" w:eastAsia="宋体" w:cs="宋体"/>
          <w:spacing w:val="5"/>
          <w:sz w:val="20"/>
          <w:szCs w:val="20"/>
        </w:rPr>
        <w:t xml:space="preserve"> </w:t>
      </w:r>
      <w:r>
        <w:rPr>
          <w:rFonts w:ascii="宋体" w:hAnsi="宋体" w:eastAsia="宋体" w:cs="宋体"/>
          <w:b/>
          <w:bCs/>
          <w:spacing w:val="5"/>
          <w:sz w:val="20"/>
          <w:szCs w:val="20"/>
        </w:rPr>
        <w:t>工期和进度</w:t>
      </w:r>
    </w:p>
    <w:p w14:paraId="006A9517">
      <w:pPr>
        <w:spacing w:before="127" w:line="229" w:lineRule="auto"/>
        <w:ind w:left="433"/>
        <w:rPr>
          <w:rFonts w:ascii="宋体" w:hAnsi="宋体" w:eastAsia="宋体" w:cs="宋体"/>
          <w:sz w:val="20"/>
          <w:szCs w:val="20"/>
        </w:rPr>
      </w:pPr>
      <w:r>
        <w:rPr>
          <w:rFonts w:ascii="宋体" w:hAnsi="宋体" w:eastAsia="宋体" w:cs="宋体"/>
          <w:b/>
          <w:bCs/>
          <w:spacing w:val="5"/>
          <w:sz w:val="20"/>
          <w:szCs w:val="20"/>
        </w:rPr>
        <w:t>7.1</w:t>
      </w:r>
      <w:r>
        <w:rPr>
          <w:rFonts w:ascii="宋体" w:hAnsi="宋体" w:eastAsia="宋体" w:cs="宋体"/>
          <w:spacing w:val="5"/>
          <w:sz w:val="20"/>
          <w:szCs w:val="20"/>
        </w:rPr>
        <w:t xml:space="preserve"> </w:t>
      </w:r>
      <w:r>
        <w:rPr>
          <w:rFonts w:ascii="宋体" w:hAnsi="宋体" w:eastAsia="宋体" w:cs="宋体"/>
          <w:b/>
          <w:bCs/>
          <w:spacing w:val="5"/>
          <w:sz w:val="20"/>
          <w:szCs w:val="20"/>
        </w:rPr>
        <w:t>施工组织设计</w:t>
      </w:r>
    </w:p>
    <w:p w14:paraId="3048C570">
      <w:pPr>
        <w:spacing w:before="126" w:line="228" w:lineRule="auto"/>
        <w:ind w:left="433"/>
        <w:rPr>
          <w:rFonts w:ascii="宋体" w:hAnsi="宋体" w:eastAsia="宋体" w:cs="宋体"/>
          <w:sz w:val="20"/>
          <w:szCs w:val="20"/>
        </w:rPr>
      </w:pPr>
      <w:r>
        <w:rPr>
          <w:rFonts w:ascii="宋体" w:hAnsi="宋体" w:eastAsia="宋体" w:cs="宋体"/>
          <w:spacing w:val="8"/>
          <w:sz w:val="20"/>
          <w:szCs w:val="20"/>
        </w:rPr>
        <w:t>7.1.1 合同当事人约定的施工组织设计应包括的其他内容：</w:t>
      </w:r>
      <w:r>
        <w:rPr>
          <w:rFonts w:ascii="宋体" w:hAnsi="宋体" w:eastAsia="宋体" w:cs="宋体"/>
          <w:sz w:val="20"/>
          <w:szCs w:val="20"/>
          <w:u w:val="single" w:color="auto"/>
        </w:rPr>
        <w:t xml:space="preserve">                           </w:t>
      </w:r>
    </w:p>
    <w:p w14:paraId="7DAD9D65">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4B1856C">
      <w:pPr>
        <w:spacing w:before="174" w:line="228" w:lineRule="auto"/>
        <w:ind w:left="433"/>
        <w:rPr>
          <w:rFonts w:ascii="宋体" w:hAnsi="宋体" w:eastAsia="宋体" w:cs="宋体"/>
          <w:sz w:val="20"/>
          <w:szCs w:val="20"/>
        </w:rPr>
      </w:pPr>
      <w:r>
        <w:rPr>
          <w:rFonts w:ascii="宋体" w:hAnsi="宋体" w:eastAsia="宋体" w:cs="宋体"/>
          <w:spacing w:val="7"/>
          <w:sz w:val="20"/>
          <w:szCs w:val="20"/>
        </w:rPr>
        <w:t>7.1.2 施工组织设计的提交和修改</w:t>
      </w:r>
    </w:p>
    <w:p w14:paraId="5064E95F">
      <w:pPr>
        <w:spacing w:before="127" w:line="228" w:lineRule="auto"/>
        <w:ind w:left="428"/>
        <w:rPr>
          <w:rFonts w:ascii="宋体" w:hAnsi="宋体" w:eastAsia="宋体" w:cs="宋体"/>
          <w:sz w:val="20"/>
          <w:szCs w:val="20"/>
        </w:rPr>
      </w:pPr>
      <w:r>
        <w:rPr>
          <w:rFonts w:ascii="宋体" w:hAnsi="宋体" w:eastAsia="宋体" w:cs="宋体"/>
          <w:spacing w:val="9"/>
          <w:sz w:val="20"/>
          <w:szCs w:val="20"/>
        </w:rPr>
        <w:t>承包人提交详细施工组织设计的期限的约定：</w:t>
      </w:r>
      <w:r>
        <w:rPr>
          <w:rFonts w:ascii="宋体" w:hAnsi="宋体" w:eastAsia="宋体" w:cs="宋体"/>
          <w:sz w:val="20"/>
          <w:szCs w:val="20"/>
          <w:u w:val="single" w:color="auto"/>
        </w:rPr>
        <w:t xml:space="preserve">                                       </w:t>
      </w:r>
    </w:p>
    <w:p w14:paraId="77D97197">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4CB33BB">
      <w:pPr>
        <w:spacing w:before="173" w:line="228" w:lineRule="auto"/>
        <w:jc w:val="right"/>
        <w:rPr>
          <w:rFonts w:ascii="宋体" w:hAnsi="宋体" w:eastAsia="宋体" w:cs="宋体"/>
          <w:sz w:val="20"/>
          <w:szCs w:val="20"/>
        </w:rPr>
      </w:pPr>
      <w:r>
        <w:rPr>
          <w:rFonts w:ascii="宋体" w:hAnsi="宋体" w:eastAsia="宋体" w:cs="宋体"/>
          <w:spacing w:val="8"/>
          <w:sz w:val="20"/>
          <w:szCs w:val="20"/>
        </w:rPr>
        <w:t>发包人和监理人在收到详细的施工组织设计后确认或提出修改意见的期限</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67F7363A">
      <w:pPr>
        <w:spacing w:before="129" w:line="228" w:lineRule="auto"/>
        <w:ind w:left="433"/>
        <w:rPr>
          <w:rFonts w:ascii="宋体" w:hAnsi="宋体" w:eastAsia="宋体" w:cs="宋体"/>
          <w:sz w:val="20"/>
          <w:szCs w:val="20"/>
        </w:rPr>
      </w:pPr>
      <w:r>
        <w:rPr>
          <w:rFonts w:ascii="宋体" w:hAnsi="宋体" w:eastAsia="宋体" w:cs="宋体"/>
          <w:b/>
          <w:bCs/>
          <w:spacing w:val="5"/>
          <w:sz w:val="20"/>
          <w:szCs w:val="20"/>
        </w:rPr>
        <w:t>7.2</w:t>
      </w:r>
      <w:r>
        <w:rPr>
          <w:rFonts w:ascii="宋体" w:hAnsi="宋体" w:eastAsia="宋体" w:cs="宋体"/>
          <w:spacing w:val="5"/>
          <w:sz w:val="20"/>
          <w:szCs w:val="20"/>
        </w:rPr>
        <w:t xml:space="preserve"> </w:t>
      </w:r>
      <w:r>
        <w:rPr>
          <w:rFonts w:ascii="宋体" w:hAnsi="宋体" w:eastAsia="宋体" w:cs="宋体"/>
          <w:b/>
          <w:bCs/>
          <w:spacing w:val="5"/>
          <w:sz w:val="20"/>
          <w:szCs w:val="20"/>
        </w:rPr>
        <w:t>施工进度计划</w:t>
      </w:r>
    </w:p>
    <w:p w14:paraId="6890B771">
      <w:pPr>
        <w:spacing w:before="126" w:line="228" w:lineRule="auto"/>
        <w:ind w:left="433"/>
        <w:rPr>
          <w:rFonts w:ascii="宋体" w:hAnsi="宋体" w:eastAsia="宋体" w:cs="宋体"/>
          <w:sz w:val="20"/>
          <w:szCs w:val="20"/>
        </w:rPr>
      </w:pPr>
      <w:r>
        <w:rPr>
          <w:rFonts w:ascii="宋体" w:hAnsi="宋体" w:eastAsia="宋体" w:cs="宋体"/>
          <w:spacing w:val="6"/>
          <w:sz w:val="20"/>
          <w:szCs w:val="20"/>
        </w:rPr>
        <w:t>7.2.2 施工进度计划的修订</w:t>
      </w:r>
    </w:p>
    <w:p w14:paraId="49B88B13">
      <w:pPr>
        <w:spacing w:before="128" w:line="228" w:lineRule="auto"/>
        <w:jc w:val="right"/>
        <w:rPr>
          <w:rFonts w:ascii="宋体" w:hAnsi="宋体" w:eastAsia="宋体" w:cs="宋体"/>
          <w:sz w:val="20"/>
          <w:szCs w:val="20"/>
        </w:rPr>
      </w:pPr>
      <w:r>
        <w:rPr>
          <w:rFonts w:ascii="宋体" w:hAnsi="宋体" w:eastAsia="宋体" w:cs="宋体"/>
          <w:spacing w:val="8"/>
          <w:sz w:val="20"/>
          <w:szCs w:val="20"/>
        </w:rPr>
        <w:t>发包人和监理人在收到修订的施工进度计划后确认或提出修改意见的期限</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02633072">
      <w:pPr>
        <w:spacing w:line="228" w:lineRule="auto"/>
        <w:rPr>
          <w:rFonts w:ascii="宋体" w:hAnsi="宋体" w:eastAsia="宋体" w:cs="宋体"/>
          <w:sz w:val="20"/>
          <w:szCs w:val="20"/>
        </w:rPr>
        <w:sectPr>
          <w:headerReference r:id="rId401" w:type="default"/>
          <w:footerReference r:id="rId402" w:type="default"/>
          <w:pgSz w:w="11906" w:h="16839"/>
          <w:pgMar w:top="400" w:right="1695" w:bottom="1446" w:left="1531" w:header="0" w:footer="1284" w:gutter="0"/>
          <w:cols w:space="720" w:num="1"/>
        </w:sectPr>
      </w:pPr>
    </w:p>
    <w:p w14:paraId="7703B5B9">
      <w:pPr>
        <w:spacing w:line="246" w:lineRule="auto"/>
        <w:rPr>
          <w:rFonts w:ascii="Arial"/>
          <w:sz w:val="21"/>
        </w:rPr>
      </w:pPr>
    </w:p>
    <w:p w14:paraId="01EFC5A0">
      <w:pPr>
        <w:spacing w:line="246" w:lineRule="auto"/>
        <w:rPr>
          <w:rFonts w:ascii="Arial"/>
          <w:sz w:val="21"/>
        </w:rPr>
      </w:pPr>
    </w:p>
    <w:p w14:paraId="64A1884C">
      <w:pPr>
        <w:spacing w:line="246" w:lineRule="auto"/>
        <w:rPr>
          <w:rFonts w:ascii="Arial"/>
          <w:sz w:val="21"/>
        </w:rPr>
      </w:pPr>
    </w:p>
    <w:p w14:paraId="4B8BF8C2">
      <w:pPr>
        <w:spacing w:line="246" w:lineRule="auto"/>
        <w:rPr>
          <w:rFonts w:ascii="Arial"/>
          <w:sz w:val="21"/>
        </w:rPr>
      </w:pPr>
    </w:p>
    <w:p w14:paraId="2127EB7E">
      <w:pPr>
        <w:spacing w:line="247" w:lineRule="auto"/>
        <w:rPr>
          <w:rFonts w:ascii="Arial"/>
          <w:sz w:val="21"/>
        </w:rPr>
      </w:pPr>
    </w:p>
    <w:p w14:paraId="389EB6DF">
      <w:pPr>
        <w:spacing w:line="247" w:lineRule="auto"/>
        <w:rPr>
          <w:rFonts w:ascii="Arial"/>
          <w:sz w:val="21"/>
        </w:rPr>
      </w:pPr>
    </w:p>
    <w:p w14:paraId="03F574C9">
      <w:pPr>
        <w:spacing w:before="65" w:line="229" w:lineRule="auto"/>
        <w:ind w:left="433"/>
        <w:rPr>
          <w:rFonts w:ascii="宋体" w:hAnsi="宋体" w:eastAsia="宋体" w:cs="宋体"/>
          <w:sz w:val="20"/>
          <w:szCs w:val="20"/>
        </w:rPr>
      </w:pPr>
      <w:r>
        <w:rPr>
          <w:rFonts w:ascii="宋体" w:hAnsi="宋体" w:eastAsia="宋体" w:cs="宋体"/>
          <w:b/>
          <w:bCs/>
          <w:spacing w:val="1"/>
          <w:sz w:val="20"/>
          <w:szCs w:val="20"/>
        </w:rPr>
        <w:t>7.3</w:t>
      </w:r>
      <w:r>
        <w:rPr>
          <w:rFonts w:ascii="宋体" w:hAnsi="宋体" w:eastAsia="宋体" w:cs="宋体"/>
          <w:spacing w:val="13"/>
          <w:sz w:val="20"/>
          <w:szCs w:val="20"/>
        </w:rPr>
        <w:t xml:space="preserve"> </w:t>
      </w:r>
      <w:r>
        <w:rPr>
          <w:rFonts w:ascii="宋体" w:hAnsi="宋体" w:eastAsia="宋体" w:cs="宋体"/>
          <w:b/>
          <w:bCs/>
          <w:spacing w:val="1"/>
          <w:sz w:val="20"/>
          <w:szCs w:val="20"/>
        </w:rPr>
        <w:t>开工</w:t>
      </w:r>
    </w:p>
    <w:p w14:paraId="729E6715">
      <w:pPr>
        <w:spacing w:before="126" w:line="229" w:lineRule="auto"/>
        <w:ind w:left="433"/>
        <w:rPr>
          <w:rFonts w:ascii="宋体" w:hAnsi="宋体" w:eastAsia="宋体" w:cs="宋体"/>
          <w:sz w:val="20"/>
          <w:szCs w:val="20"/>
        </w:rPr>
      </w:pPr>
      <w:r>
        <w:rPr>
          <w:rFonts w:ascii="宋体" w:hAnsi="宋体" w:eastAsia="宋体" w:cs="宋体"/>
          <w:spacing w:val="5"/>
          <w:sz w:val="20"/>
          <w:szCs w:val="20"/>
        </w:rPr>
        <w:t>7.3.1 开工准备</w:t>
      </w:r>
    </w:p>
    <w:p w14:paraId="1FAE2383">
      <w:pPr>
        <w:spacing w:before="125" w:line="228" w:lineRule="auto"/>
        <w:ind w:left="431"/>
        <w:rPr>
          <w:rFonts w:ascii="宋体" w:hAnsi="宋体" w:eastAsia="宋体" w:cs="宋体"/>
          <w:sz w:val="20"/>
          <w:szCs w:val="20"/>
        </w:rPr>
      </w:pPr>
      <w:r>
        <w:rPr>
          <w:rFonts w:ascii="宋体" w:hAnsi="宋体" w:eastAsia="宋体" w:cs="宋体"/>
          <w:spacing w:val="6"/>
          <w:sz w:val="20"/>
          <w:szCs w:val="20"/>
        </w:rPr>
        <w:t>关于承包人提交工程开工报审表的期限：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CA445D3">
      <w:pPr>
        <w:spacing w:before="127" w:line="228" w:lineRule="auto"/>
        <w:ind w:left="431"/>
        <w:rPr>
          <w:rFonts w:ascii="宋体" w:hAnsi="宋体" w:eastAsia="宋体" w:cs="宋体"/>
          <w:sz w:val="20"/>
          <w:szCs w:val="20"/>
        </w:rPr>
      </w:pPr>
      <w:r>
        <w:rPr>
          <w:rFonts w:ascii="宋体" w:hAnsi="宋体" w:eastAsia="宋体" w:cs="宋体"/>
          <w:spacing w:val="9"/>
          <w:sz w:val="20"/>
          <w:szCs w:val="20"/>
        </w:rPr>
        <w:t>关于发包人应完成的其他开工准备工作及期限：</w:t>
      </w:r>
      <w:r>
        <w:rPr>
          <w:rFonts w:ascii="宋体" w:hAnsi="宋体" w:eastAsia="宋体" w:cs="宋体"/>
          <w:sz w:val="20"/>
          <w:szCs w:val="20"/>
          <w:u w:val="single" w:color="auto"/>
        </w:rPr>
        <w:t xml:space="preserve">                                     </w:t>
      </w:r>
    </w:p>
    <w:p w14:paraId="6C3F3374">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9140528">
      <w:pPr>
        <w:spacing w:before="174" w:line="228" w:lineRule="auto"/>
        <w:ind w:left="431"/>
        <w:rPr>
          <w:rFonts w:ascii="宋体" w:hAnsi="宋体" w:eastAsia="宋体" w:cs="宋体"/>
          <w:sz w:val="20"/>
          <w:szCs w:val="20"/>
        </w:rPr>
      </w:pPr>
      <w:r>
        <w:rPr>
          <w:rFonts w:ascii="宋体" w:hAnsi="宋体" w:eastAsia="宋体" w:cs="宋体"/>
          <w:spacing w:val="9"/>
          <w:sz w:val="20"/>
          <w:szCs w:val="20"/>
        </w:rPr>
        <w:t>关于承包人应完成的其他开工准备工作及期限：</w:t>
      </w:r>
      <w:r>
        <w:rPr>
          <w:rFonts w:ascii="宋体" w:hAnsi="宋体" w:eastAsia="宋体" w:cs="宋体"/>
          <w:sz w:val="20"/>
          <w:szCs w:val="20"/>
          <w:u w:val="single" w:color="auto"/>
        </w:rPr>
        <w:t xml:space="preserve">                                     </w:t>
      </w:r>
    </w:p>
    <w:p w14:paraId="5FC45618">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DF8A27C">
      <w:pPr>
        <w:spacing w:before="175" w:line="229" w:lineRule="auto"/>
        <w:ind w:left="433"/>
        <w:rPr>
          <w:rFonts w:ascii="宋体" w:hAnsi="宋体" w:eastAsia="宋体" w:cs="宋体"/>
          <w:sz w:val="20"/>
          <w:szCs w:val="20"/>
        </w:rPr>
      </w:pPr>
      <w:r>
        <w:rPr>
          <w:rFonts w:ascii="宋体" w:hAnsi="宋体" w:eastAsia="宋体" w:cs="宋体"/>
          <w:spacing w:val="5"/>
          <w:sz w:val="20"/>
          <w:szCs w:val="20"/>
        </w:rPr>
        <w:t>7.3.2 开工通知</w:t>
      </w:r>
    </w:p>
    <w:p w14:paraId="430523EC">
      <w:pPr>
        <w:spacing w:before="125" w:line="346" w:lineRule="auto"/>
        <w:ind w:left="9" w:firstLine="428"/>
        <w:rPr>
          <w:rFonts w:ascii="宋体" w:hAnsi="宋体" w:eastAsia="宋体" w:cs="宋体"/>
          <w:sz w:val="20"/>
          <w:szCs w:val="20"/>
        </w:rPr>
      </w:pPr>
      <w:r>
        <w:rPr>
          <w:rFonts w:ascii="宋体" w:hAnsi="宋体" w:eastAsia="宋体" w:cs="宋体"/>
          <w:spacing w:val="7"/>
          <w:sz w:val="20"/>
          <w:szCs w:val="20"/>
        </w:rPr>
        <w:t>因发包人原因造成监理人未能在计划开工日期之日起</w:t>
      </w:r>
      <w:r>
        <w:rPr>
          <w:rFonts w:ascii="宋体" w:hAnsi="宋体" w:eastAsia="宋体" w:cs="宋体"/>
          <w:spacing w:val="5"/>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7"/>
          <w:sz w:val="20"/>
          <w:szCs w:val="20"/>
        </w:rPr>
        <w:t>天内发出开工通知的，承包人有权</w:t>
      </w:r>
      <w:r>
        <w:rPr>
          <w:rFonts w:ascii="宋体" w:hAnsi="宋体" w:eastAsia="宋体" w:cs="宋体"/>
          <w:spacing w:val="5"/>
          <w:sz w:val="20"/>
          <w:szCs w:val="20"/>
        </w:rPr>
        <w:t>提出价格调整要求，或者解除合同。</w:t>
      </w:r>
    </w:p>
    <w:p w14:paraId="688F20E9">
      <w:pPr>
        <w:spacing w:line="228" w:lineRule="auto"/>
        <w:ind w:left="433"/>
        <w:rPr>
          <w:rFonts w:ascii="宋体" w:hAnsi="宋体" w:eastAsia="宋体" w:cs="宋体"/>
          <w:sz w:val="20"/>
          <w:szCs w:val="20"/>
        </w:rPr>
      </w:pPr>
      <w:r>
        <w:rPr>
          <w:rFonts w:ascii="宋体" w:hAnsi="宋体" w:eastAsia="宋体" w:cs="宋体"/>
          <w:b/>
          <w:bCs/>
          <w:spacing w:val="4"/>
          <w:sz w:val="20"/>
          <w:szCs w:val="20"/>
        </w:rPr>
        <w:t>7.4</w:t>
      </w:r>
      <w:r>
        <w:rPr>
          <w:rFonts w:ascii="宋体" w:hAnsi="宋体" w:eastAsia="宋体" w:cs="宋体"/>
          <w:spacing w:val="4"/>
          <w:sz w:val="20"/>
          <w:szCs w:val="20"/>
        </w:rPr>
        <w:t xml:space="preserve"> </w:t>
      </w:r>
      <w:r>
        <w:rPr>
          <w:rFonts w:ascii="宋体" w:hAnsi="宋体" w:eastAsia="宋体" w:cs="宋体"/>
          <w:b/>
          <w:bCs/>
          <w:spacing w:val="4"/>
          <w:sz w:val="20"/>
          <w:szCs w:val="20"/>
        </w:rPr>
        <w:t>测量放线</w:t>
      </w:r>
    </w:p>
    <w:p w14:paraId="260FC322">
      <w:pPr>
        <w:spacing w:before="127" w:line="227" w:lineRule="auto"/>
        <w:ind w:right="18"/>
        <w:jc w:val="right"/>
        <w:rPr>
          <w:rFonts w:ascii="宋体" w:hAnsi="宋体" w:eastAsia="宋体" w:cs="宋体"/>
          <w:sz w:val="20"/>
          <w:szCs w:val="20"/>
        </w:rPr>
      </w:pPr>
      <w:r>
        <w:rPr>
          <w:rFonts w:ascii="宋体" w:hAnsi="宋体" w:eastAsia="宋体" w:cs="宋体"/>
          <w:spacing w:val="10"/>
          <w:sz w:val="20"/>
          <w:szCs w:val="20"/>
        </w:rPr>
        <w:t>7.4.1</w:t>
      </w:r>
      <w:r>
        <w:rPr>
          <w:rFonts w:ascii="宋体" w:hAnsi="宋体" w:eastAsia="宋体" w:cs="宋体"/>
          <w:spacing w:val="-27"/>
          <w:sz w:val="20"/>
          <w:szCs w:val="20"/>
        </w:rPr>
        <w:t xml:space="preserve"> </w:t>
      </w:r>
      <w:r>
        <w:rPr>
          <w:rFonts w:ascii="宋体" w:hAnsi="宋体" w:eastAsia="宋体" w:cs="宋体"/>
          <w:spacing w:val="10"/>
          <w:sz w:val="20"/>
          <w:szCs w:val="20"/>
        </w:rPr>
        <w:t>发包人通过监理人向承包人提供测量基准点、基准线和水准点及其书面资料的期限：</w:t>
      </w:r>
    </w:p>
    <w:p w14:paraId="193F3C1A">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EE8C0A3">
      <w:pPr>
        <w:spacing w:before="175" w:line="228" w:lineRule="auto"/>
        <w:ind w:left="433"/>
        <w:rPr>
          <w:rFonts w:ascii="宋体" w:hAnsi="宋体" w:eastAsia="宋体" w:cs="宋体"/>
          <w:sz w:val="20"/>
          <w:szCs w:val="20"/>
        </w:rPr>
      </w:pPr>
      <w:r>
        <w:rPr>
          <w:rFonts w:ascii="宋体" w:hAnsi="宋体" w:eastAsia="宋体" w:cs="宋体"/>
          <w:b/>
          <w:bCs/>
          <w:spacing w:val="3"/>
          <w:sz w:val="20"/>
          <w:szCs w:val="20"/>
        </w:rPr>
        <w:t>7.5</w:t>
      </w:r>
      <w:r>
        <w:rPr>
          <w:rFonts w:ascii="宋体" w:hAnsi="宋体" w:eastAsia="宋体" w:cs="宋体"/>
          <w:spacing w:val="15"/>
          <w:sz w:val="20"/>
          <w:szCs w:val="20"/>
        </w:rPr>
        <w:t xml:space="preserve"> </w:t>
      </w:r>
      <w:r>
        <w:rPr>
          <w:rFonts w:ascii="宋体" w:hAnsi="宋体" w:eastAsia="宋体" w:cs="宋体"/>
          <w:b/>
          <w:bCs/>
          <w:spacing w:val="3"/>
          <w:sz w:val="20"/>
          <w:szCs w:val="20"/>
        </w:rPr>
        <w:t>工期延误</w:t>
      </w:r>
    </w:p>
    <w:p w14:paraId="22CE77DE">
      <w:pPr>
        <w:spacing w:before="127" w:line="228" w:lineRule="auto"/>
        <w:ind w:left="433"/>
        <w:rPr>
          <w:rFonts w:ascii="宋体" w:hAnsi="宋体" w:eastAsia="宋体" w:cs="宋体"/>
          <w:sz w:val="20"/>
          <w:szCs w:val="20"/>
        </w:rPr>
      </w:pPr>
      <w:r>
        <w:rPr>
          <w:rFonts w:ascii="宋体" w:hAnsi="宋体" w:eastAsia="宋体" w:cs="宋体"/>
          <w:spacing w:val="7"/>
          <w:sz w:val="20"/>
          <w:szCs w:val="20"/>
        </w:rPr>
        <w:t>7.5.1 因发包人原因导致工期延误</w:t>
      </w:r>
    </w:p>
    <w:p w14:paraId="41011C10">
      <w:pPr>
        <w:spacing w:before="128" w:line="228" w:lineRule="auto"/>
        <w:ind w:left="438"/>
        <w:rPr>
          <w:rFonts w:ascii="宋体" w:hAnsi="宋体" w:eastAsia="宋体" w:cs="宋体"/>
          <w:sz w:val="20"/>
          <w:szCs w:val="20"/>
        </w:rPr>
      </w:pPr>
      <w:r>
        <w:rPr>
          <w:rFonts w:ascii="宋体" w:hAnsi="宋体" w:eastAsia="宋体" w:cs="宋体"/>
          <w:spacing w:val="8"/>
          <w:sz w:val="20"/>
          <w:szCs w:val="20"/>
        </w:rPr>
        <w:t>（7）因发包人原因导致工期延误的其他情形：</w:t>
      </w:r>
      <w:r>
        <w:rPr>
          <w:rFonts w:ascii="宋体" w:hAnsi="宋体" w:eastAsia="宋体" w:cs="宋体"/>
          <w:sz w:val="20"/>
          <w:szCs w:val="20"/>
          <w:u w:val="single" w:color="auto"/>
        </w:rPr>
        <w:t xml:space="preserve">                                      </w:t>
      </w:r>
    </w:p>
    <w:p w14:paraId="180EAC3A">
      <w:pPr>
        <w:tabs>
          <w:tab w:val="left" w:pos="8504"/>
        </w:tabs>
        <w:spacing w:before="261"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27F82A9">
      <w:pPr>
        <w:spacing w:before="174" w:line="228" w:lineRule="auto"/>
        <w:ind w:left="433"/>
        <w:rPr>
          <w:rFonts w:ascii="宋体" w:hAnsi="宋体" w:eastAsia="宋体" w:cs="宋体"/>
          <w:sz w:val="20"/>
          <w:szCs w:val="20"/>
        </w:rPr>
      </w:pPr>
      <w:r>
        <w:rPr>
          <w:rFonts w:ascii="宋体" w:hAnsi="宋体" w:eastAsia="宋体" w:cs="宋体"/>
          <w:spacing w:val="7"/>
          <w:sz w:val="20"/>
          <w:szCs w:val="20"/>
        </w:rPr>
        <w:t>7.5.2 因承包人原因导致工期延误</w:t>
      </w:r>
    </w:p>
    <w:p w14:paraId="0348A29B">
      <w:pPr>
        <w:spacing w:before="128" w:line="228" w:lineRule="auto"/>
        <w:ind w:left="444"/>
        <w:rPr>
          <w:rFonts w:ascii="宋体" w:hAnsi="宋体" w:eastAsia="宋体" w:cs="宋体"/>
          <w:sz w:val="20"/>
          <w:szCs w:val="20"/>
        </w:rPr>
      </w:pPr>
      <w:r>
        <w:rPr>
          <w:rFonts w:ascii="宋体" w:hAnsi="宋体" w:eastAsia="宋体" w:cs="宋体"/>
          <w:spacing w:val="8"/>
          <w:sz w:val="20"/>
          <w:szCs w:val="20"/>
        </w:rPr>
        <w:t>因承包人原因造成工期延误，逾期竣工违约金的计算方法为：</w:t>
      </w:r>
    </w:p>
    <w:p w14:paraId="4BD6DEB7">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B4186B9">
      <w:pPr>
        <w:spacing w:before="174" w:line="228" w:lineRule="auto"/>
        <w:ind w:left="444"/>
        <w:rPr>
          <w:rFonts w:ascii="宋体" w:hAnsi="宋体" w:eastAsia="宋体" w:cs="宋体"/>
          <w:sz w:val="20"/>
          <w:szCs w:val="20"/>
        </w:rPr>
      </w:pPr>
      <w:r>
        <w:rPr>
          <w:rFonts w:ascii="宋体" w:hAnsi="宋体" w:eastAsia="宋体" w:cs="宋体"/>
          <w:spacing w:val="9"/>
          <w:sz w:val="20"/>
          <w:szCs w:val="20"/>
        </w:rPr>
        <w:t>因承包人原因造成工期延误，逾期竣工违约金的上</w:t>
      </w:r>
      <w:r>
        <w:rPr>
          <w:rFonts w:ascii="宋体" w:hAnsi="宋体" w:eastAsia="宋体" w:cs="宋体"/>
          <w:spacing w:val="8"/>
          <w:sz w:val="20"/>
          <w:szCs w:val="20"/>
        </w:rPr>
        <w:t>限：</w:t>
      </w:r>
      <w:r>
        <w:rPr>
          <w:rFonts w:ascii="宋体" w:hAnsi="宋体" w:eastAsia="宋体" w:cs="宋体"/>
          <w:sz w:val="20"/>
          <w:szCs w:val="20"/>
          <w:u w:val="single" w:color="auto"/>
        </w:rPr>
        <w:t xml:space="preserve">                               </w:t>
      </w:r>
    </w:p>
    <w:p w14:paraId="1556934B">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A56BB55">
      <w:pPr>
        <w:spacing w:before="174" w:line="228" w:lineRule="auto"/>
        <w:ind w:left="433"/>
        <w:rPr>
          <w:rFonts w:ascii="宋体" w:hAnsi="宋体" w:eastAsia="宋体" w:cs="宋体"/>
          <w:sz w:val="20"/>
          <w:szCs w:val="20"/>
        </w:rPr>
      </w:pPr>
      <w:r>
        <w:rPr>
          <w:rFonts w:ascii="宋体" w:hAnsi="宋体" w:eastAsia="宋体" w:cs="宋体"/>
          <w:b/>
          <w:bCs/>
          <w:spacing w:val="5"/>
          <w:sz w:val="20"/>
          <w:szCs w:val="20"/>
        </w:rPr>
        <w:t>7.6</w:t>
      </w:r>
      <w:r>
        <w:rPr>
          <w:rFonts w:ascii="宋体" w:hAnsi="宋体" w:eastAsia="宋体" w:cs="宋体"/>
          <w:spacing w:val="5"/>
          <w:sz w:val="20"/>
          <w:szCs w:val="20"/>
        </w:rPr>
        <w:t xml:space="preserve"> </w:t>
      </w:r>
      <w:r>
        <w:rPr>
          <w:rFonts w:ascii="宋体" w:hAnsi="宋体" w:eastAsia="宋体" w:cs="宋体"/>
          <w:b/>
          <w:bCs/>
          <w:spacing w:val="5"/>
          <w:sz w:val="20"/>
          <w:szCs w:val="20"/>
        </w:rPr>
        <w:t>不利物质条件</w:t>
      </w:r>
    </w:p>
    <w:p w14:paraId="6403F692">
      <w:pPr>
        <w:spacing w:before="127" w:line="228" w:lineRule="auto"/>
        <w:ind w:left="431"/>
        <w:rPr>
          <w:rFonts w:ascii="宋体" w:hAnsi="宋体" w:eastAsia="宋体" w:cs="宋体"/>
          <w:sz w:val="20"/>
          <w:szCs w:val="20"/>
        </w:rPr>
      </w:pPr>
      <w:r>
        <w:rPr>
          <w:rFonts w:ascii="宋体" w:hAnsi="宋体" w:eastAsia="宋体" w:cs="宋体"/>
          <w:spacing w:val="9"/>
          <w:sz w:val="20"/>
          <w:szCs w:val="20"/>
        </w:rPr>
        <w:t>不利物质条件的其他情形和有关约定：</w:t>
      </w:r>
      <w:r>
        <w:rPr>
          <w:rFonts w:ascii="宋体" w:hAnsi="宋体" w:eastAsia="宋体" w:cs="宋体"/>
          <w:sz w:val="20"/>
          <w:szCs w:val="20"/>
          <w:u w:val="single" w:color="auto"/>
        </w:rPr>
        <w:t xml:space="preserve">                                              </w:t>
      </w:r>
    </w:p>
    <w:p w14:paraId="180F1385">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9E99593">
      <w:pPr>
        <w:spacing w:before="174" w:line="228" w:lineRule="auto"/>
        <w:ind w:left="433"/>
        <w:rPr>
          <w:rFonts w:ascii="宋体" w:hAnsi="宋体" w:eastAsia="宋体" w:cs="宋体"/>
          <w:sz w:val="20"/>
          <w:szCs w:val="20"/>
        </w:rPr>
      </w:pPr>
      <w:r>
        <w:rPr>
          <w:rFonts w:ascii="宋体" w:hAnsi="宋体" w:eastAsia="宋体" w:cs="宋体"/>
          <w:b/>
          <w:bCs/>
          <w:spacing w:val="6"/>
          <w:sz w:val="20"/>
          <w:szCs w:val="20"/>
        </w:rPr>
        <w:t>7.7</w:t>
      </w:r>
      <w:r>
        <w:rPr>
          <w:rFonts w:ascii="宋体" w:hAnsi="宋体" w:eastAsia="宋体" w:cs="宋体"/>
          <w:spacing w:val="6"/>
          <w:sz w:val="20"/>
          <w:szCs w:val="20"/>
        </w:rPr>
        <w:t xml:space="preserve"> </w:t>
      </w:r>
      <w:r>
        <w:rPr>
          <w:rFonts w:ascii="宋体" w:hAnsi="宋体" w:eastAsia="宋体" w:cs="宋体"/>
          <w:b/>
          <w:bCs/>
          <w:spacing w:val="6"/>
          <w:sz w:val="20"/>
          <w:szCs w:val="20"/>
        </w:rPr>
        <w:t>异常恶劣的气候条件</w:t>
      </w:r>
    </w:p>
    <w:p w14:paraId="417EB76A">
      <w:pPr>
        <w:spacing w:before="127" w:line="228" w:lineRule="auto"/>
        <w:ind w:left="431"/>
        <w:rPr>
          <w:rFonts w:ascii="宋体" w:hAnsi="宋体" w:eastAsia="宋体" w:cs="宋体"/>
          <w:sz w:val="20"/>
          <w:szCs w:val="20"/>
        </w:rPr>
      </w:pPr>
      <w:r>
        <w:rPr>
          <w:rFonts w:ascii="宋体" w:hAnsi="宋体" w:eastAsia="宋体" w:cs="宋体"/>
          <w:spacing w:val="9"/>
          <w:sz w:val="20"/>
          <w:szCs w:val="20"/>
        </w:rPr>
        <w:t>发包人和承包人同意以下情形视为异常恶劣的气候条件：</w:t>
      </w:r>
    </w:p>
    <w:p w14:paraId="1C042382">
      <w:pPr>
        <w:spacing w:before="127" w:line="346" w:lineRule="auto"/>
        <w:ind w:left="438" w:right="166"/>
        <w:rPr>
          <w:rFonts w:ascii="宋体" w:hAnsi="宋体" w:eastAsia="宋体" w:cs="宋体"/>
          <w:sz w:val="20"/>
          <w:szCs w:val="20"/>
        </w:rPr>
      </w:pPr>
      <w:r>
        <w:rPr>
          <w:rFonts w:ascii="宋体" w:hAnsi="宋体" w:eastAsia="宋体" w:cs="宋体"/>
          <w:spacing w:val="-3"/>
          <w:sz w:val="20"/>
          <w:szCs w:val="20"/>
        </w:rPr>
        <w:t>（1</w:t>
      </w:r>
      <w:r>
        <w:rPr>
          <w:rFonts w:ascii="宋体" w:hAnsi="宋体" w:eastAsia="宋体" w:cs="宋体"/>
          <w:spacing w:val="-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7"/>
          <w:sz w:val="20"/>
          <w:szCs w:val="20"/>
        </w:rPr>
        <w:t>；</w:t>
      </w:r>
      <w:r>
        <w:rPr>
          <w:rFonts w:ascii="宋体" w:hAnsi="宋体" w:eastAsia="宋体" w:cs="宋体"/>
          <w:spacing w:val="1"/>
          <w:sz w:val="20"/>
          <w:szCs w:val="20"/>
        </w:rPr>
        <w:t xml:space="preserve"> </w:t>
      </w:r>
      <w:r>
        <w:rPr>
          <w:rFonts w:ascii="宋体" w:hAnsi="宋体" w:eastAsia="宋体" w:cs="宋体"/>
          <w:spacing w:val="-3"/>
          <w:sz w:val="20"/>
          <w:szCs w:val="20"/>
        </w:rPr>
        <w:t>（2</w:t>
      </w:r>
      <w:r>
        <w:rPr>
          <w:rFonts w:ascii="宋体" w:hAnsi="宋体" w:eastAsia="宋体" w:cs="宋体"/>
          <w:spacing w:val="-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7"/>
          <w:sz w:val="20"/>
          <w:szCs w:val="20"/>
        </w:rPr>
        <w:t>；</w:t>
      </w:r>
      <w:r>
        <w:rPr>
          <w:rFonts w:ascii="宋体" w:hAnsi="宋体" w:eastAsia="宋体" w:cs="宋体"/>
          <w:spacing w:val="1"/>
          <w:sz w:val="20"/>
          <w:szCs w:val="20"/>
        </w:rPr>
        <w:t xml:space="preserve"> </w:t>
      </w:r>
      <w:r>
        <w:rPr>
          <w:rFonts w:ascii="宋体" w:hAnsi="宋体" w:eastAsia="宋体" w:cs="宋体"/>
          <w:spacing w:val="-2"/>
          <w:sz w:val="20"/>
          <w:szCs w:val="20"/>
        </w:rPr>
        <w:t>（3）</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p>
    <w:p w14:paraId="01B45800">
      <w:pPr>
        <w:spacing w:line="227" w:lineRule="auto"/>
        <w:ind w:left="433"/>
        <w:rPr>
          <w:rFonts w:ascii="宋体" w:hAnsi="宋体" w:eastAsia="宋体" w:cs="宋体"/>
          <w:sz w:val="20"/>
          <w:szCs w:val="20"/>
        </w:rPr>
      </w:pPr>
      <w:r>
        <w:rPr>
          <w:rFonts w:ascii="宋体" w:hAnsi="宋体" w:eastAsia="宋体" w:cs="宋体"/>
          <w:b/>
          <w:bCs/>
          <w:spacing w:val="5"/>
          <w:sz w:val="20"/>
          <w:szCs w:val="20"/>
        </w:rPr>
        <w:t>7.9</w:t>
      </w:r>
      <w:r>
        <w:rPr>
          <w:rFonts w:ascii="宋体" w:hAnsi="宋体" w:eastAsia="宋体" w:cs="宋体"/>
          <w:spacing w:val="5"/>
          <w:sz w:val="20"/>
          <w:szCs w:val="20"/>
        </w:rPr>
        <w:t xml:space="preserve"> </w:t>
      </w:r>
      <w:r>
        <w:rPr>
          <w:rFonts w:ascii="宋体" w:hAnsi="宋体" w:eastAsia="宋体" w:cs="宋体"/>
          <w:b/>
          <w:bCs/>
          <w:spacing w:val="5"/>
          <w:sz w:val="20"/>
          <w:szCs w:val="20"/>
        </w:rPr>
        <w:t>提前竣工的奖励</w:t>
      </w:r>
    </w:p>
    <w:p w14:paraId="42E04322">
      <w:pPr>
        <w:spacing w:before="128" w:line="228" w:lineRule="auto"/>
        <w:ind w:left="433"/>
        <w:rPr>
          <w:rFonts w:ascii="宋体" w:hAnsi="宋体" w:eastAsia="宋体" w:cs="宋体"/>
          <w:sz w:val="20"/>
          <w:szCs w:val="20"/>
        </w:rPr>
      </w:pPr>
      <w:r>
        <w:rPr>
          <w:rFonts w:ascii="宋体" w:hAnsi="宋体" w:eastAsia="宋体" w:cs="宋体"/>
          <w:spacing w:val="5"/>
          <w:sz w:val="20"/>
          <w:szCs w:val="20"/>
        </w:rPr>
        <w:t>7.9.2</w:t>
      </w:r>
      <w:r>
        <w:rPr>
          <w:rFonts w:ascii="宋体" w:hAnsi="宋体" w:eastAsia="宋体" w:cs="宋体"/>
          <w:spacing w:val="-40"/>
          <w:sz w:val="20"/>
          <w:szCs w:val="20"/>
        </w:rPr>
        <w:t xml:space="preserve"> </w:t>
      </w:r>
      <w:r>
        <w:rPr>
          <w:rFonts w:ascii="宋体" w:hAnsi="宋体" w:eastAsia="宋体" w:cs="宋体"/>
          <w:spacing w:val="5"/>
          <w:sz w:val="20"/>
          <w:szCs w:val="20"/>
        </w:rPr>
        <w:t>提前竣工的奖励：</w:t>
      </w:r>
      <w:r>
        <w:rPr>
          <w:rFonts w:ascii="宋体" w:hAnsi="宋体" w:eastAsia="宋体" w:cs="宋体"/>
          <w:spacing w:val="5"/>
          <w:sz w:val="20"/>
          <w:szCs w:val="20"/>
          <w:u w:val="single" w:color="auto"/>
        </w:rPr>
        <w:t xml:space="preserve">                 </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w:t>
      </w:r>
    </w:p>
    <w:p w14:paraId="76D09B83">
      <w:pPr>
        <w:spacing w:line="434" w:lineRule="auto"/>
        <w:rPr>
          <w:rFonts w:ascii="Arial"/>
          <w:sz w:val="21"/>
        </w:rPr>
      </w:pPr>
    </w:p>
    <w:p w14:paraId="777DDD7E">
      <w:pPr>
        <w:spacing w:before="65" w:line="227" w:lineRule="auto"/>
        <w:ind w:left="429"/>
        <w:outlineLvl w:val="2"/>
        <w:rPr>
          <w:rFonts w:ascii="宋体" w:hAnsi="宋体" w:eastAsia="宋体" w:cs="宋体"/>
          <w:sz w:val="20"/>
          <w:szCs w:val="20"/>
        </w:rPr>
      </w:pPr>
      <w:bookmarkStart w:id="334" w:name="bookmark317"/>
      <w:bookmarkEnd w:id="334"/>
      <w:r>
        <w:rPr>
          <w:rFonts w:ascii="宋体" w:hAnsi="宋体" w:eastAsia="宋体" w:cs="宋体"/>
          <w:b/>
          <w:bCs/>
          <w:spacing w:val="5"/>
          <w:sz w:val="20"/>
          <w:szCs w:val="20"/>
        </w:rPr>
        <w:t>8.</w:t>
      </w:r>
      <w:r>
        <w:rPr>
          <w:rFonts w:ascii="宋体" w:hAnsi="宋体" w:eastAsia="宋体" w:cs="宋体"/>
          <w:spacing w:val="5"/>
          <w:sz w:val="20"/>
          <w:szCs w:val="20"/>
        </w:rPr>
        <w:t xml:space="preserve"> </w:t>
      </w:r>
      <w:r>
        <w:rPr>
          <w:rFonts w:ascii="宋体" w:hAnsi="宋体" w:eastAsia="宋体" w:cs="宋体"/>
          <w:b/>
          <w:bCs/>
          <w:spacing w:val="5"/>
          <w:sz w:val="20"/>
          <w:szCs w:val="20"/>
        </w:rPr>
        <w:t>材料与设备</w:t>
      </w:r>
    </w:p>
    <w:p w14:paraId="5B5B2D1F">
      <w:pPr>
        <w:spacing w:line="227" w:lineRule="auto"/>
        <w:rPr>
          <w:rFonts w:ascii="宋体" w:hAnsi="宋体" w:eastAsia="宋体" w:cs="宋体"/>
          <w:sz w:val="20"/>
          <w:szCs w:val="20"/>
        </w:rPr>
        <w:sectPr>
          <w:footerReference r:id="rId403" w:type="default"/>
          <w:pgSz w:w="11906" w:h="16839"/>
          <w:pgMar w:top="400" w:right="1528" w:bottom="1446" w:left="1531" w:header="0" w:footer="1284" w:gutter="0"/>
          <w:cols w:space="720" w:num="1"/>
        </w:sectPr>
      </w:pPr>
    </w:p>
    <w:p w14:paraId="1D4AC0C2">
      <w:pPr>
        <w:spacing w:before="160" w:line="228" w:lineRule="auto"/>
        <w:ind w:left="429"/>
        <w:rPr>
          <w:rFonts w:ascii="宋体" w:hAnsi="宋体" w:eastAsia="宋体" w:cs="宋体"/>
          <w:sz w:val="20"/>
          <w:szCs w:val="20"/>
        </w:rPr>
      </w:pPr>
      <w:r>
        <w:rPr>
          <w:rFonts w:ascii="宋体" w:hAnsi="宋体" w:eastAsia="宋体" w:cs="宋体"/>
          <w:b/>
          <w:bCs/>
          <w:spacing w:val="2"/>
          <w:sz w:val="20"/>
          <w:szCs w:val="20"/>
        </w:rPr>
        <w:t>8.6</w:t>
      </w:r>
      <w:r>
        <w:rPr>
          <w:rFonts w:ascii="宋体" w:hAnsi="宋体" w:eastAsia="宋体" w:cs="宋体"/>
          <w:spacing w:val="12"/>
          <w:sz w:val="20"/>
          <w:szCs w:val="20"/>
        </w:rPr>
        <w:t xml:space="preserve"> </w:t>
      </w:r>
      <w:r>
        <w:rPr>
          <w:rFonts w:ascii="宋体" w:hAnsi="宋体" w:eastAsia="宋体" w:cs="宋体"/>
          <w:b/>
          <w:bCs/>
          <w:spacing w:val="2"/>
          <w:sz w:val="20"/>
          <w:szCs w:val="20"/>
        </w:rPr>
        <w:t>样品</w:t>
      </w:r>
    </w:p>
    <w:p w14:paraId="3DFFDC91">
      <w:pPr>
        <w:spacing w:before="127" w:line="228" w:lineRule="auto"/>
        <w:ind w:left="429"/>
        <w:rPr>
          <w:rFonts w:ascii="宋体" w:hAnsi="宋体" w:eastAsia="宋体" w:cs="宋体"/>
          <w:sz w:val="20"/>
          <w:szCs w:val="20"/>
        </w:rPr>
      </w:pPr>
      <w:r>
        <w:rPr>
          <w:rFonts w:ascii="宋体" w:hAnsi="宋体" w:eastAsia="宋体" w:cs="宋体"/>
          <w:spacing w:val="6"/>
          <w:sz w:val="20"/>
          <w:szCs w:val="20"/>
        </w:rPr>
        <w:t>8.6.1 样品的报送与封存</w:t>
      </w:r>
    </w:p>
    <w:p w14:paraId="16201BAE">
      <w:pPr>
        <w:spacing w:before="127" w:line="227" w:lineRule="auto"/>
        <w:ind w:left="439"/>
        <w:rPr>
          <w:rFonts w:ascii="宋体" w:hAnsi="宋体" w:eastAsia="宋体" w:cs="宋体"/>
          <w:sz w:val="20"/>
          <w:szCs w:val="20"/>
        </w:rPr>
      </w:pPr>
      <w:r>
        <w:rPr>
          <w:rFonts w:ascii="宋体" w:hAnsi="宋体" w:eastAsia="宋体" w:cs="宋体"/>
          <w:spacing w:val="9"/>
          <w:sz w:val="20"/>
          <w:szCs w:val="20"/>
        </w:rPr>
        <w:t>需要承包人报送样品的材料或工程设备，样品的种类、名称、规格、数量要求：</w:t>
      </w:r>
      <w:r>
        <w:rPr>
          <w:rFonts w:ascii="宋体" w:hAnsi="宋体" w:eastAsia="宋体" w:cs="宋体"/>
          <w:spacing w:val="1"/>
          <w:sz w:val="20"/>
          <w:szCs w:val="20"/>
          <w:u w:val="single" w:color="auto"/>
        </w:rPr>
        <w:t xml:space="preserve">        </w:t>
      </w:r>
    </w:p>
    <w:p w14:paraId="4E111D10">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DE97033">
      <w:pPr>
        <w:spacing w:before="173" w:line="228" w:lineRule="auto"/>
        <w:ind w:left="429"/>
        <w:rPr>
          <w:rFonts w:ascii="宋体" w:hAnsi="宋体" w:eastAsia="宋体" w:cs="宋体"/>
          <w:sz w:val="20"/>
          <w:szCs w:val="20"/>
        </w:rPr>
      </w:pPr>
      <w:r>
        <w:rPr>
          <w:rFonts w:ascii="宋体" w:hAnsi="宋体" w:eastAsia="宋体" w:cs="宋体"/>
          <w:b/>
          <w:bCs/>
          <w:spacing w:val="6"/>
          <w:sz w:val="20"/>
          <w:szCs w:val="20"/>
        </w:rPr>
        <w:t>8.8</w:t>
      </w:r>
      <w:r>
        <w:rPr>
          <w:rFonts w:ascii="宋体" w:hAnsi="宋体" w:eastAsia="宋体" w:cs="宋体"/>
          <w:spacing w:val="6"/>
          <w:sz w:val="20"/>
          <w:szCs w:val="20"/>
        </w:rPr>
        <w:t xml:space="preserve"> </w:t>
      </w:r>
      <w:r>
        <w:rPr>
          <w:rFonts w:ascii="宋体" w:hAnsi="宋体" w:eastAsia="宋体" w:cs="宋体"/>
          <w:b/>
          <w:bCs/>
          <w:spacing w:val="6"/>
          <w:sz w:val="20"/>
          <w:szCs w:val="20"/>
        </w:rPr>
        <w:t>施工设备和临时设施</w:t>
      </w:r>
    </w:p>
    <w:p w14:paraId="0B0F759B">
      <w:pPr>
        <w:spacing w:before="128" w:line="227" w:lineRule="auto"/>
        <w:ind w:left="429"/>
        <w:rPr>
          <w:rFonts w:ascii="宋体" w:hAnsi="宋体" w:eastAsia="宋体" w:cs="宋体"/>
          <w:sz w:val="20"/>
          <w:szCs w:val="20"/>
        </w:rPr>
      </w:pPr>
      <w:r>
        <w:rPr>
          <w:rFonts w:ascii="宋体" w:hAnsi="宋体" w:eastAsia="宋体" w:cs="宋体"/>
          <w:spacing w:val="8"/>
          <w:sz w:val="20"/>
          <w:szCs w:val="20"/>
        </w:rPr>
        <w:t>8.8.1 承包人提供的施工设备和临时设施</w:t>
      </w:r>
    </w:p>
    <w:p w14:paraId="1BB6F620">
      <w:pPr>
        <w:spacing w:before="128" w:line="228" w:lineRule="auto"/>
        <w:ind w:left="431"/>
        <w:rPr>
          <w:rFonts w:ascii="宋体" w:hAnsi="宋体" w:eastAsia="宋体" w:cs="宋体"/>
          <w:sz w:val="20"/>
          <w:szCs w:val="20"/>
        </w:rPr>
      </w:pPr>
      <w:r>
        <w:rPr>
          <w:rFonts w:ascii="宋体" w:hAnsi="宋体" w:eastAsia="宋体" w:cs="宋体"/>
          <w:spacing w:val="9"/>
          <w:sz w:val="20"/>
          <w:szCs w:val="20"/>
        </w:rPr>
        <w:t>关于修建临时设施费用承担的约定：</w:t>
      </w:r>
      <w:r>
        <w:rPr>
          <w:rFonts w:ascii="宋体" w:hAnsi="宋体" w:eastAsia="宋体" w:cs="宋体"/>
          <w:sz w:val="20"/>
          <w:szCs w:val="20"/>
          <w:u w:val="single" w:color="auto"/>
        </w:rPr>
        <w:t xml:space="preserve">                                                </w:t>
      </w:r>
    </w:p>
    <w:p w14:paraId="01B39DD5">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3294D10">
      <w:pPr>
        <w:rPr>
          <w:rFonts w:ascii="Arial"/>
          <w:sz w:val="21"/>
        </w:rPr>
      </w:pPr>
    </w:p>
    <w:p w14:paraId="2BA96273">
      <w:pPr>
        <w:rPr>
          <w:rFonts w:ascii="Arial"/>
          <w:sz w:val="21"/>
        </w:rPr>
      </w:pPr>
    </w:p>
    <w:p w14:paraId="68B9C997">
      <w:pPr>
        <w:spacing w:before="65" w:line="228" w:lineRule="auto"/>
        <w:ind w:left="429"/>
        <w:outlineLvl w:val="2"/>
        <w:rPr>
          <w:rFonts w:ascii="宋体" w:hAnsi="宋体" w:eastAsia="宋体" w:cs="宋体"/>
          <w:sz w:val="20"/>
          <w:szCs w:val="20"/>
        </w:rPr>
      </w:pPr>
      <w:bookmarkStart w:id="335" w:name="bookmark318"/>
      <w:bookmarkEnd w:id="335"/>
      <w:r>
        <w:rPr>
          <w:rFonts w:ascii="宋体" w:hAnsi="宋体" w:eastAsia="宋体" w:cs="宋体"/>
          <w:b/>
          <w:bCs/>
          <w:spacing w:val="5"/>
          <w:sz w:val="20"/>
          <w:szCs w:val="20"/>
        </w:rPr>
        <w:t>9.</w:t>
      </w:r>
      <w:r>
        <w:rPr>
          <w:rFonts w:ascii="宋体" w:hAnsi="宋体" w:eastAsia="宋体" w:cs="宋体"/>
          <w:spacing w:val="5"/>
          <w:sz w:val="20"/>
          <w:szCs w:val="20"/>
        </w:rPr>
        <w:t xml:space="preserve"> </w:t>
      </w:r>
      <w:r>
        <w:rPr>
          <w:rFonts w:ascii="宋体" w:hAnsi="宋体" w:eastAsia="宋体" w:cs="宋体"/>
          <w:b/>
          <w:bCs/>
          <w:spacing w:val="5"/>
          <w:sz w:val="20"/>
          <w:szCs w:val="20"/>
        </w:rPr>
        <w:t>试验与检验</w:t>
      </w:r>
    </w:p>
    <w:p w14:paraId="4F3F8612">
      <w:pPr>
        <w:spacing w:before="128" w:line="229" w:lineRule="auto"/>
        <w:ind w:left="429"/>
        <w:rPr>
          <w:rFonts w:ascii="宋体" w:hAnsi="宋体" w:eastAsia="宋体" w:cs="宋体"/>
          <w:sz w:val="20"/>
          <w:szCs w:val="20"/>
        </w:rPr>
      </w:pPr>
      <w:r>
        <w:rPr>
          <w:rFonts w:ascii="宋体" w:hAnsi="宋体" w:eastAsia="宋体" w:cs="宋体"/>
          <w:b/>
          <w:bCs/>
          <w:spacing w:val="5"/>
          <w:sz w:val="20"/>
          <w:szCs w:val="20"/>
        </w:rPr>
        <w:t>9.1</w:t>
      </w:r>
      <w:r>
        <w:rPr>
          <w:rFonts w:ascii="宋体" w:hAnsi="宋体" w:eastAsia="宋体" w:cs="宋体"/>
          <w:spacing w:val="-30"/>
          <w:sz w:val="20"/>
          <w:szCs w:val="20"/>
        </w:rPr>
        <w:t xml:space="preserve"> </w:t>
      </w:r>
      <w:r>
        <w:rPr>
          <w:rFonts w:ascii="宋体" w:hAnsi="宋体" w:eastAsia="宋体" w:cs="宋体"/>
          <w:b/>
          <w:bCs/>
          <w:spacing w:val="5"/>
          <w:sz w:val="20"/>
          <w:szCs w:val="20"/>
        </w:rPr>
        <w:t>试验设备与试验人员</w:t>
      </w:r>
    </w:p>
    <w:p w14:paraId="078B1716">
      <w:pPr>
        <w:spacing w:before="126" w:line="229" w:lineRule="auto"/>
        <w:ind w:left="429"/>
        <w:rPr>
          <w:rFonts w:ascii="宋体" w:hAnsi="宋体" w:eastAsia="宋体" w:cs="宋体"/>
          <w:sz w:val="20"/>
          <w:szCs w:val="20"/>
        </w:rPr>
      </w:pPr>
      <w:r>
        <w:rPr>
          <w:rFonts w:ascii="宋体" w:hAnsi="宋体" w:eastAsia="宋体" w:cs="宋体"/>
          <w:spacing w:val="5"/>
          <w:sz w:val="20"/>
          <w:szCs w:val="20"/>
        </w:rPr>
        <w:t>9.1.2 试验设备</w:t>
      </w:r>
    </w:p>
    <w:p w14:paraId="46B1EF8D">
      <w:pPr>
        <w:spacing w:before="127" w:line="228" w:lineRule="auto"/>
        <w:ind w:left="427"/>
        <w:rPr>
          <w:rFonts w:ascii="宋体" w:hAnsi="宋体" w:eastAsia="宋体" w:cs="宋体"/>
          <w:sz w:val="20"/>
          <w:szCs w:val="20"/>
        </w:rPr>
      </w:pPr>
      <w:r>
        <w:rPr>
          <w:rFonts w:ascii="宋体" w:hAnsi="宋体" w:eastAsia="宋体" w:cs="宋体"/>
          <w:spacing w:val="9"/>
          <w:sz w:val="20"/>
          <w:szCs w:val="20"/>
        </w:rPr>
        <w:t>施工现场需要配置的试验场所：</w:t>
      </w:r>
      <w:r>
        <w:rPr>
          <w:rFonts w:ascii="宋体" w:hAnsi="宋体" w:eastAsia="宋体" w:cs="宋体"/>
          <w:sz w:val="20"/>
          <w:szCs w:val="20"/>
          <w:u w:val="single" w:color="auto"/>
        </w:rPr>
        <w:t xml:space="preserve">                                                    </w:t>
      </w:r>
    </w:p>
    <w:p w14:paraId="34D7A130">
      <w:pPr>
        <w:tabs>
          <w:tab w:val="left" w:pos="8504"/>
        </w:tabs>
        <w:spacing w:before="261"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AE5625A">
      <w:pPr>
        <w:spacing w:before="175" w:line="228" w:lineRule="auto"/>
        <w:ind w:left="427"/>
        <w:rPr>
          <w:rFonts w:ascii="宋体" w:hAnsi="宋体" w:eastAsia="宋体" w:cs="宋体"/>
          <w:sz w:val="20"/>
          <w:szCs w:val="20"/>
        </w:rPr>
      </w:pPr>
      <w:r>
        <w:rPr>
          <w:rFonts w:ascii="宋体" w:hAnsi="宋体" w:eastAsia="宋体" w:cs="宋体"/>
          <w:spacing w:val="9"/>
          <w:sz w:val="20"/>
          <w:szCs w:val="20"/>
        </w:rPr>
        <w:t>施工现场需要配备的试验设备：</w:t>
      </w:r>
      <w:r>
        <w:rPr>
          <w:rFonts w:ascii="宋体" w:hAnsi="宋体" w:eastAsia="宋体" w:cs="宋体"/>
          <w:sz w:val="20"/>
          <w:szCs w:val="20"/>
          <w:u w:val="single" w:color="auto"/>
        </w:rPr>
        <w:t xml:space="preserve">                                                    </w:t>
      </w:r>
    </w:p>
    <w:p w14:paraId="50995B3E">
      <w:pPr>
        <w:spacing w:before="262" w:line="45" w:lineRule="exact"/>
        <w:jc w:val="right"/>
        <w:rPr>
          <w:rFonts w:ascii="宋体" w:hAnsi="宋体" w:eastAsia="宋体" w:cs="宋体"/>
          <w:sz w:val="20"/>
          <w:szCs w:val="20"/>
        </w:rPr>
      </w:pPr>
      <w:r>
        <w:pict>
          <v:shape id="_x0000_s1085" o:spid="_x0000_s1085" o:spt="202" type="#_x0000_t202" style="position:absolute;left:0pt;margin-left:-1pt;margin-top:5.7pt;height:14.1pt;width:427.25pt;z-index:251727872;mso-width-relative:page;mso-height-relative:page;" filled="f" stroked="f" coordsize="21600,21600">
            <v:path/>
            <v:fill on="f" focussize="0,0"/>
            <v:stroke on="f"/>
            <v:imagedata o:title=""/>
            <o:lock v:ext="edit" aspectratio="f"/>
            <v:textbox inset="0mm,0mm,0mm,0mm">
              <w:txbxContent>
                <w:p w14:paraId="47CE92F0">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041946B2">
      <w:pPr>
        <w:spacing w:before="194" w:line="228" w:lineRule="auto"/>
        <w:ind w:left="427"/>
        <w:rPr>
          <w:rFonts w:ascii="宋体" w:hAnsi="宋体" w:eastAsia="宋体" w:cs="宋体"/>
          <w:sz w:val="20"/>
          <w:szCs w:val="20"/>
        </w:rPr>
      </w:pPr>
      <w:r>
        <w:rPr>
          <w:rFonts w:ascii="宋体" w:hAnsi="宋体" w:eastAsia="宋体" w:cs="宋体"/>
          <w:spacing w:val="9"/>
          <w:sz w:val="20"/>
          <w:szCs w:val="20"/>
        </w:rPr>
        <w:t>施工现场需要具备的其他试验条件：</w:t>
      </w:r>
      <w:r>
        <w:rPr>
          <w:rFonts w:ascii="宋体" w:hAnsi="宋体" w:eastAsia="宋体" w:cs="宋体"/>
          <w:sz w:val="20"/>
          <w:szCs w:val="20"/>
          <w:u w:val="single" w:color="auto"/>
        </w:rPr>
        <w:t xml:space="preserve">                                                </w:t>
      </w:r>
    </w:p>
    <w:p w14:paraId="640FEE26">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38DB014">
      <w:pPr>
        <w:spacing w:before="175" w:line="228" w:lineRule="auto"/>
        <w:ind w:left="429"/>
        <w:rPr>
          <w:rFonts w:ascii="宋体" w:hAnsi="宋体" w:eastAsia="宋体" w:cs="宋体"/>
          <w:sz w:val="20"/>
          <w:szCs w:val="20"/>
        </w:rPr>
      </w:pPr>
      <w:r>
        <w:rPr>
          <w:rFonts w:ascii="宋体" w:hAnsi="宋体" w:eastAsia="宋体" w:cs="宋体"/>
          <w:b/>
          <w:bCs/>
          <w:spacing w:val="5"/>
          <w:sz w:val="20"/>
          <w:szCs w:val="20"/>
        </w:rPr>
        <w:t>9.4</w:t>
      </w:r>
      <w:r>
        <w:rPr>
          <w:rFonts w:ascii="宋体" w:hAnsi="宋体" w:eastAsia="宋体" w:cs="宋体"/>
          <w:spacing w:val="5"/>
          <w:sz w:val="20"/>
          <w:szCs w:val="20"/>
        </w:rPr>
        <w:t xml:space="preserve"> </w:t>
      </w:r>
      <w:r>
        <w:rPr>
          <w:rFonts w:ascii="宋体" w:hAnsi="宋体" w:eastAsia="宋体" w:cs="宋体"/>
          <w:b/>
          <w:bCs/>
          <w:spacing w:val="5"/>
          <w:sz w:val="20"/>
          <w:szCs w:val="20"/>
        </w:rPr>
        <w:t>现场工艺试验</w:t>
      </w:r>
    </w:p>
    <w:p w14:paraId="2E84F32E">
      <w:pPr>
        <w:spacing w:before="127" w:line="228" w:lineRule="auto"/>
        <w:ind w:left="430"/>
        <w:rPr>
          <w:rFonts w:ascii="宋体" w:hAnsi="宋体" w:eastAsia="宋体" w:cs="宋体"/>
          <w:sz w:val="20"/>
          <w:szCs w:val="20"/>
        </w:rPr>
      </w:pPr>
      <w:r>
        <w:rPr>
          <w:rFonts w:ascii="宋体" w:hAnsi="宋体" w:eastAsia="宋体" w:cs="宋体"/>
          <w:spacing w:val="9"/>
          <w:sz w:val="20"/>
          <w:szCs w:val="20"/>
        </w:rPr>
        <w:t>现场工艺试验的有关约定：</w:t>
      </w:r>
      <w:r>
        <w:rPr>
          <w:rFonts w:ascii="宋体" w:hAnsi="宋体" w:eastAsia="宋体" w:cs="宋体"/>
          <w:sz w:val="20"/>
          <w:szCs w:val="20"/>
          <w:u w:val="single" w:color="auto"/>
        </w:rPr>
        <w:t xml:space="preserve">                                                        </w:t>
      </w:r>
    </w:p>
    <w:p w14:paraId="3FAF8869">
      <w:pPr>
        <w:spacing w:before="262" w:line="45" w:lineRule="exact"/>
        <w:jc w:val="right"/>
        <w:rPr>
          <w:rFonts w:ascii="宋体" w:hAnsi="宋体" w:eastAsia="宋体" w:cs="宋体"/>
          <w:sz w:val="20"/>
          <w:szCs w:val="20"/>
        </w:rPr>
      </w:pPr>
      <w:r>
        <w:pict>
          <v:shape id="_x0000_s1086" o:spid="_x0000_s1086" o:spt="202" type="#_x0000_t202" style="position:absolute;left:0pt;margin-left:-1pt;margin-top:5.7pt;height:14.1pt;width:427.25pt;z-index:251728896;mso-width-relative:page;mso-height-relative:page;" filled="f" stroked="f" coordsize="21600,21600">
            <v:path/>
            <v:fill on="f" focussize="0,0"/>
            <v:stroke on="f"/>
            <v:imagedata o:title=""/>
            <o:lock v:ext="edit" aspectratio="f"/>
            <v:textbox inset="0mm,0mm,0mm,0mm">
              <w:txbxContent>
                <w:p w14:paraId="55B5DBBF">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696C6018">
      <w:pPr>
        <w:spacing w:before="195" w:line="229" w:lineRule="auto"/>
        <w:ind w:left="443"/>
        <w:outlineLvl w:val="2"/>
        <w:rPr>
          <w:rFonts w:ascii="宋体" w:hAnsi="宋体" w:eastAsia="宋体" w:cs="宋体"/>
          <w:sz w:val="20"/>
          <w:szCs w:val="20"/>
        </w:rPr>
      </w:pPr>
      <w:bookmarkStart w:id="336" w:name="bookmark319"/>
      <w:bookmarkEnd w:id="336"/>
      <w:r>
        <w:rPr>
          <w:rFonts w:ascii="宋体" w:hAnsi="宋体" w:eastAsia="宋体" w:cs="宋体"/>
          <w:b/>
          <w:bCs/>
          <w:spacing w:val="-1"/>
          <w:sz w:val="20"/>
          <w:szCs w:val="20"/>
        </w:rPr>
        <w:t>10.</w:t>
      </w:r>
      <w:r>
        <w:rPr>
          <w:rFonts w:ascii="宋体" w:hAnsi="宋体" w:eastAsia="宋体" w:cs="宋体"/>
          <w:spacing w:val="12"/>
          <w:sz w:val="20"/>
          <w:szCs w:val="20"/>
        </w:rPr>
        <w:t xml:space="preserve"> </w:t>
      </w:r>
      <w:r>
        <w:rPr>
          <w:rFonts w:ascii="宋体" w:hAnsi="宋体" w:eastAsia="宋体" w:cs="宋体"/>
          <w:b/>
          <w:bCs/>
          <w:spacing w:val="-1"/>
          <w:sz w:val="20"/>
          <w:szCs w:val="20"/>
        </w:rPr>
        <w:t>变更</w:t>
      </w:r>
    </w:p>
    <w:p w14:paraId="347F04C7">
      <w:pPr>
        <w:spacing w:before="126" w:line="228" w:lineRule="auto"/>
        <w:ind w:left="443"/>
        <w:rPr>
          <w:rFonts w:ascii="宋体" w:hAnsi="宋体" w:eastAsia="宋体" w:cs="宋体"/>
          <w:sz w:val="20"/>
          <w:szCs w:val="20"/>
        </w:rPr>
      </w:pPr>
      <w:r>
        <w:rPr>
          <w:rFonts w:ascii="宋体" w:hAnsi="宋体" w:eastAsia="宋体" w:cs="宋体"/>
          <w:b/>
          <w:bCs/>
          <w:spacing w:val="2"/>
          <w:sz w:val="20"/>
          <w:szCs w:val="20"/>
        </w:rPr>
        <w:t>10.1</w:t>
      </w:r>
      <w:r>
        <w:rPr>
          <w:rFonts w:ascii="宋体" w:hAnsi="宋体" w:eastAsia="宋体" w:cs="宋体"/>
          <w:spacing w:val="-35"/>
          <w:sz w:val="20"/>
          <w:szCs w:val="20"/>
        </w:rPr>
        <w:t xml:space="preserve"> </w:t>
      </w:r>
      <w:r>
        <w:rPr>
          <w:rFonts w:ascii="宋体" w:hAnsi="宋体" w:eastAsia="宋体" w:cs="宋体"/>
          <w:b/>
          <w:bCs/>
          <w:spacing w:val="2"/>
          <w:sz w:val="20"/>
          <w:szCs w:val="20"/>
        </w:rPr>
        <w:t>变更的范围</w:t>
      </w:r>
    </w:p>
    <w:p w14:paraId="3836AD9A">
      <w:pPr>
        <w:spacing w:before="128" w:line="228" w:lineRule="auto"/>
        <w:ind w:left="431"/>
        <w:rPr>
          <w:rFonts w:ascii="宋体" w:hAnsi="宋体" w:eastAsia="宋体" w:cs="宋体"/>
          <w:sz w:val="20"/>
          <w:szCs w:val="20"/>
        </w:rPr>
      </w:pPr>
      <w:r>
        <w:rPr>
          <w:rFonts w:ascii="宋体" w:hAnsi="宋体" w:eastAsia="宋体" w:cs="宋体"/>
          <w:spacing w:val="8"/>
          <w:sz w:val="20"/>
          <w:szCs w:val="20"/>
        </w:rPr>
        <w:t>关于变更的范围的约定：</w:t>
      </w:r>
      <w:r>
        <w:rPr>
          <w:rFonts w:ascii="宋体" w:hAnsi="宋体" w:eastAsia="宋体" w:cs="宋体"/>
          <w:sz w:val="20"/>
          <w:szCs w:val="20"/>
          <w:u w:val="single" w:color="auto"/>
        </w:rPr>
        <w:t xml:space="preserve">                                                          </w:t>
      </w:r>
    </w:p>
    <w:p w14:paraId="37F6496E">
      <w:pPr>
        <w:tabs>
          <w:tab w:val="left" w:pos="8504"/>
        </w:tabs>
        <w:spacing w:before="261"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58EE695">
      <w:pPr>
        <w:spacing w:before="175" w:line="226" w:lineRule="auto"/>
        <w:ind w:left="443"/>
        <w:rPr>
          <w:rFonts w:ascii="宋体" w:hAnsi="宋体" w:eastAsia="宋体" w:cs="宋体"/>
          <w:sz w:val="20"/>
          <w:szCs w:val="20"/>
        </w:rPr>
      </w:pPr>
      <w:r>
        <w:rPr>
          <w:rFonts w:ascii="宋体" w:hAnsi="宋体" w:eastAsia="宋体" w:cs="宋体"/>
          <w:b/>
          <w:bCs/>
          <w:spacing w:val="3"/>
          <w:sz w:val="20"/>
          <w:szCs w:val="20"/>
        </w:rPr>
        <w:t>10.4</w:t>
      </w:r>
      <w:r>
        <w:rPr>
          <w:rFonts w:ascii="宋体" w:hAnsi="宋体" w:eastAsia="宋体" w:cs="宋体"/>
          <w:spacing w:val="3"/>
          <w:sz w:val="20"/>
          <w:szCs w:val="20"/>
        </w:rPr>
        <w:t xml:space="preserve"> </w:t>
      </w:r>
      <w:r>
        <w:rPr>
          <w:rFonts w:ascii="宋体" w:hAnsi="宋体" w:eastAsia="宋体" w:cs="宋体"/>
          <w:b/>
          <w:bCs/>
          <w:spacing w:val="3"/>
          <w:sz w:val="20"/>
          <w:szCs w:val="20"/>
        </w:rPr>
        <w:t>变更估价</w:t>
      </w:r>
    </w:p>
    <w:p w14:paraId="0EABBF5F">
      <w:pPr>
        <w:spacing w:before="129" w:line="226" w:lineRule="auto"/>
        <w:ind w:left="443"/>
        <w:rPr>
          <w:rFonts w:ascii="宋体" w:hAnsi="宋体" w:eastAsia="宋体" w:cs="宋体"/>
          <w:sz w:val="20"/>
          <w:szCs w:val="20"/>
        </w:rPr>
      </w:pPr>
      <w:r>
        <w:rPr>
          <w:rFonts w:ascii="宋体" w:hAnsi="宋体" w:eastAsia="宋体" w:cs="宋体"/>
          <w:spacing w:val="5"/>
          <w:sz w:val="20"/>
          <w:szCs w:val="20"/>
        </w:rPr>
        <w:t>10.4.1 变更估价原则</w:t>
      </w:r>
    </w:p>
    <w:p w14:paraId="0B0F5D5A">
      <w:pPr>
        <w:spacing w:before="130" w:line="226" w:lineRule="auto"/>
        <w:ind w:left="431"/>
        <w:rPr>
          <w:rFonts w:ascii="宋体" w:hAnsi="宋体" w:eastAsia="宋体" w:cs="宋体"/>
          <w:sz w:val="20"/>
          <w:szCs w:val="20"/>
        </w:rPr>
      </w:pPr>
      <w:r>
        <w:rPr>
          <w:rFonts w:ascii="宋体" w:hAnsi="宋体" w:eastAsia="宋体" w:cs="宋体"/>
          <w:spacing w:val="8"/>
          <w:sz w:val="20"/>
          <w:szCs w:val="20"/>
        </w:rPr>
        <w:t>关于变更估价的约定：</w:t>
      </w:r>
      <w:r>
        <w:rPr>
          <w:rFonts w:ascii="宋体" w:hAnsi="宋体" w:eastAsia="宋体" w:cs="宋体"/>
          <w:sz w:val="20"/>
          <w:szCs w:val="20"/>
          <w:u w:val="single" w:color="auto"/>
        </w:rPr>
        <w:t xml:space="preserve">                                                            </w:t>
      </w:r>
    </w:p>
    <w:p w14:paraId="08A76029">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E006CA3">
      <w:pPr>
        <w:spacing w:before="174" w:line="228" w:lineRule="auto"/>
        <w:ind w:left="443"/>
        <w:rPr>
          <w:rFonts w:ascii="宋体" w:hAnsi="宋体" w:eastAsia="宋体" w:cs="宋体"/>
          <w:sz w:val="20"/>
          <w:szCs w:val="20"/>
        </w:rPr>
      </w:pPr>
      <w:r>
        <w:rPr>
          <w:rFonts w:ascii="宋体" w:hAnsi="宋体" w:eastAsia="宋体" w:cs="宋体"/>
          <w:b/>
          <w:bCs/>
          <w:spacing w:val="5"/>
          <w:sz w:val="20"/>
          <w:szCs w:val="20"/>
        </w:rPr>
        <w:t>10.5</w:t>
      </w:r>
      <w:r>
        <w:rPr>
          <w:rFonts w:ascii="宋体" w:hAnsi="宋体" w:eastAsia="宋体" w:cs="宋体"/>
          <w:spacing w:val="5"/>
          <w:sz w:val="20"/>
          <w:szCs w:val="20"/>
        </w:rPr>
        <w:t xml:space="preserve"> </w:t>
      </w:r>
      <w:r>
        <w:rPr>
          <w:rFonts w:ascii="宋体" w:hAnsi="宋体" w:eastAsia="宋体" w:cs="宋体"/>
          <w:b/>
          <w:bCs/>
          <w:spacing w:val="5"/>
          <w:sz w:val="20"/>
          <w:szCs w:val="20"/>
        </w:rPr>
        <w:t>承包人的合理化建议</w:t>
      </w:r>
    </w:p>
    <w:p w14:paraId="795BB347">
      <w:pPr>
        <w:spacing w:before="127" w:line="228" w:lineRule="auto"/>
        <w:jc w:val="right"/>
        <w:rPr>
          <w:rFonts w:ascii="宋体" w:hAnsi="宋体" w:eastAsia="宋体" w:cs="宋体"/>
          <w:sz w:val="20"/>
          <w:szCs w:val="20"/>
        </w:rPr>
      </w:pPr>
      <w:r>
        <w:rPr>
          <w:rFonts w:ascii="宋体" w:hAnsi="宋体" w:eastAsia="宋体" w:cs="宋体"/>
          <w:spacing w:val="6"/>
          <w:sz w:val="20"/>
          <w:szCs w:val="20"/>
        </w:rPr>
        <w:t>监理人审查承包人合理化建议的期限：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46E226D">
      <w:pPr>
        <w:spacing w:line="228" w:lineRule="auto"/>
        <w:rPr>
          <w:rFonts w:ascii="宋体" w:hAnsi="宋体" w:eastAsia="宋体" w:cs="宋体"/>
          <w:sz w:val="20"/>
          <w:szCs w:val="20"/>
        </w:rPr>
        <w:sectPr>
          <w:headerReference r:id="rId404" w:type="default"/>
          <w:footerReference r:id="rId405" w:type="default"/>
          <w:pgSz w:w="11906" w:h="16839"/>
          <w:pgMar w:top="2914" w:right="1695" w:bottom="1446" w:left="1531" w:header="1896" w:footer="1284" w:gutter="0"/>
          <w:cols w:space="720" w:num="1"/>
        </w:sectPr>
      </w:pPr>
    </w:p>
    <w:p w14:paraId="6BAD091D">
      <w:pPr>
        <w:spacing w:line="246" w:lineRule="auto"/>
        <w:rPr>
          <w:rFonts w:ascii="Arial"/>
          <w:sz w:val="21"/>
        </w:rPr>
      </w:pPr>
    </w:p>
    <w:p w14:paraId="1B93486B">
      <w:pPr>
        <w:spacing w:line="246" w:lineRule="auto"/>
        <w:rPr>
          <w:rFonts w:ascii="Arial"/>
          <w:sz w:val="21"/>
        </w:rPr>
      </w:pPr>
    </w:p>
    <w:p w14:paraId="27390405">
      <w:pPr>
        <w:spacing w:line="246" w:lineRule="auto"/>
        <w:rPr>
          <w:rFonts w:ascii="Arial"/>
          <w:sz w:val="21"/>
        </w:rPr>
      </w:pPr>
    </w:p>
    <w:p w14:paraId="57D2343B">
      <w:pPr>
        <w:spacing w:line="247" w:lineRule="auto"/>
        <w:rPr>
          <w:rFonts w:ascii="Arial"/>
          <w:sz w:val="21"/>
        </w:rPr>
      </w:pPr>
    </w:p>
    <w:p w14:paraId="3C6C252F">
      <w:pPr>
        <w:spacing w:line="247" w:lineRule="auto"/>
        <w:rPr>
          <w:rFonts w:ascii="Arial"/>
          <w:sz w:val="21"/>
        </w:rPr>
      </w:pPr>
    </w:p>
    <w:p w14:paraId="4E50AA8F">
      <w:pPr>
        <w:spacing w:line="247" w:lineRule="auto"/>
        <w:rPr>
          <w:rFonts w:ascii="Arial"/>
          <w:sz w:val="21"/>
        </w:rPr>
      </w:pPr>
    </w:p>
    <w:p w14:paraId="5E9C59D9">
      <w:pPr>
        <w:spacing w:before="65" w:line="346" w:lineRule="auto"/>
        <w:ind w:left="428" w:right="54" w:firstLine="3"/>
        <w:rPr>
          <w:rFonts w:ascii="宋体" w:hAnsi="宋体" w:eastAsia="宋体" w:cs="宋体"/>
          <w:sz w:val="20"/>
          <w:szCs w:val="20"/>
        </w:rPr>
      </w:pPr>
      <w:r>
        <w:pict>
          <v:shape id="_x0000_s1087" o:spid="_x0000_s1087" style="position:absolute;left:0pt;margin-left:442.1pt;margin-top:32.05pt;height:0.5pt;width:0.2pt;z-index:251732992;mso-width-relative:page;mso-height-relative:page;" filled="f" stroked="t" coordsize="4,10" path="m0,4l3,4e">
            <v:fill on="f" focussize="0,0"/>
            <v:stroke weight="0.48pt" color="#000000" miterlimit="2" joinstyle="bevel"/>
            <v:imagedata o:title=""/>
            <o:lock v:ext="edit"/>
          </v:shape>
        </w:pict>
      </w:r>
      <w:r>
        <w:rPr>
          <w:rFonts w:ascii="宋体" w:hAnsi="宋体" w:eastAsia="宋体" w:cs="宋体"/>
          <w:spacing w:val="6"/>
          <w:sz w:val="20"/>
          <w:szCs w:val="20"/>
        </w:rPr>
        <w:t>发包人审批承包人合理化建议的期限：</w:t>
      </w:r>
      <w:r>
        <w:rPr>
          <w:rFonts w:ascii="宋体" w:hAnsi="宋体" w:eastAsia="宋体" w:cs="宋体"/>
          <w:spacing w:val="6"/>
          <w:sz w:val="20"/>
          <w:szCs w:val="20"/>
          <w:u w:val="single" w:color="auto"/>
        </w:rPr>
        <w:t xml:space="preserve">                                           </w:t>
      </w:r>
      <w:r>
        <w:rPr>
          <w:rFonts w:ascii="宋体" w:hAnsi="宋体" w:eastAsia="宋体" w:cs="宋体"/>
          <w:spacing w:val="-65"/>
          <w:sz w:val="20"/>
          <w:szCs w:val="20"/>
        </w:rPr>
        <w:t xml:space="preserve"> </w:t>
      </w:r>
      <w:r>
        <w:rPr>
          <w:rFonts w:ascii="宋体" w:hAnsi="宋体" w:eastAsia="宋体" w:cs="宋体"/>
          <w:spacing w:val="6"/>
          <w:sz w:val="20"/>
          <w:szCs w:val="20"/>
        </w:rPr>
        <w:t>。</w:t>
      </w:r>
      <w:r>
        <w:rPr>
          <w:rFonts w:ascii="宋体" w:hAnsi="宋体" w:eastAsia="宋体" w:cs="宋体"/>
          <w:spacing w:val="9"/>
          <w:sz w:val="20"/>
          <w:szCs w:val="20"/>
        </w:rPr>
        <w:t>承包人提出的合理化建议降低了合同价格或者提高了工程经济效益的奖励的方法和金额为：</w:t>
      </w:r>
    </w:p>
    <w:p w14:paraId="64A06921">
      <w:pPr>
        <w:spacing w:line="440" w:lineRule="auto"/>
        <w:rPr>
          <w:rFonts w:ascii="Arial"/>
          <w:sz w:val="21"/>
        </w:rPr>
      </w:pPr>
      <w:r>
        <w:pict>
          <v:shape id="_x0000_s1088" o:spid="_x0000_s1088" style="position:absolute;left:0pt;margin-left:0.2pt;margin-top:10.05pt;height:0.5pt;width:425.25pt;z-index:251730944;mso-width-relative:page;mso-height-relative:page;" filled="f" stroked="t" coordsize="8505,10" path="m0,4l8505,4e">
            <v:fill on="f" focussize="0,0"/>
            <v:stroke weight="0.48pt" color="#000000" miterlimit="2" joinstyle="bevel"/>
            <v:imagedata o:title=""/>
            <o:lock v:ext="edit"/>
          </v:shape>
        </w:pict>
      </w:r>
    </w:p>
    <w:p w14:paraId="3AB6E142">
      <w:pPr>
        <w:spacing w:before="65" w:line="102" w:lineRule="exact"/>
        <w:ind w:left="8534"/>
        <w:rPr>
          <w:rFonts w:ascii="宋体" w:hAnsi="宋体" w:eastAsia="宋体" w:cs="宋体"/>
          <w:sz w:val="20"/>
          <w:szCs w:val="20"/>
        </w:rPr>
      </w:pPr>
      <w:r>
        <w:pict>
          <v:shape id="_x0000_s1089" o:spid="_x0000_s1089" style="position:absolute;left:0pt;margin-left:0.2pt;margin-top:6.7pt;height:0.5pt;width:425.25pt;z-index:251731968;mso-width-relative:page;mso-height-relative:page;" filled="f" stroked="t" coordsize="8505,10" path="m0,4l8505,4e">
            <v:fill on="f" focussize="0,0"/>
            <v:stroke weight="0.48pt" color="#000000" miterlimit="2" joinstyle="bevel"/>
            <v:imagedata o:title=""/>
            <o:lock v:ext="edit"/>
          </v:shape>
        </w:pict>
      </w:r>
      <w:r>
        <w:rPr>
          <w:rFonts w:ascii="宋体" w:hAnsi="宋体" w:eastAsia="宋体" w:cs="宋体"/>
          <w:position w:val="1"/>
          <w:sz w:val="20"/>
          <w:szCs w:val="20"/>
        </w:rPr>
        <w:t>。</w:t>
      </w:r>
    </w:p>
    <w:p w14:paraId="3A17C411">
      <w:pPr>
        <w:spacing w:line="443" w:lineRule="auto"/>
        <w:rPr>
          <w:rFonts w:ascii="Arial"/>
          <w:sz w:val="21"/>
        </w:rPr>
      </w:pPr>
    </w:p>
    <w:p w14:paraId="4A8342A3">
      <w:pPr>
        <w:spacing w:before="65" w:line="226" w:lineRule="auto"/>
        <w:ind w:left="443"/>
        <w:rPr>
          <w:rFonts w:ascii="宋体" w:hAnsi="宋体" w:eastAsia="宋体" w:cs="宋体"/>
          <w:sz w:val="20"/>
          <w:szCs w:val="20"/>
        </w:rPr>
      </w:pPr>
      <w:r>
        <w:rPr>
          <w:rFonts w:ascii="宋体" w:hAnsi="宋体" w:eastAsia="宋体" w:cs="宋体"/>
          <w:b/>
          <w:bCs/>
          <w:sz w:val="20"/>
          <w:szCs w:val="20"/>
        </w:rPr>
        <w:t>10.7</w:t>
      </w:r>
      <w:r>
        <w:rPr>
          <w:rFonts w:ascii="宋体" w:hAnsi="宋体" w:eastAsia="宋体" w:cs="宋体"/>
          <w:spacing w:val="20"/>
          <w:sz w:val="20"/>
          <w:szCs w:val="20"/>
        </w:rPr>
        <w:t xml:space="preserve"> </w:t>
      </w:r>
      <w:r>
        <w:rPr>
          <w:rFonts w:ascii="宋体" w:hAnsi="宋体" w:eastAsia="宋体" w:cs="宋体"/>
          <w:b/>
          <w:bCs/>
          <w:sz w:val="20"/>
          <w:szCs w:val="20"/>
        </w:rPr>
        <w:t>暂估价</w:t>
      </w:r>
    </w:p>
    <w:p w14:paraId="4935AFD2">
      <w:pPr>
        <w:spacing w:before="129" w:line="226" w:lineRule="auto"/>
        <w:ind w:left="434"/>
        <w:rPr>
          <w:rFonts w:ascii="宋体" w:hAnsi="宋体" w:eastAsia="宋体" w:cs="宋体"/>
          <w:sz w:val="20"/>
          <w:szCs w:val="20"/>
        </w:rPr>
      </w:pPr>
      <w:r>
        <w:rPr>
          <w:rFonts w:ascii="宋体" w:hAnsi="宋体" w:eastAsia="宋体" w:cs="宋体"/>
          <w:spacing w:val="2"/>
          <w:sz w:val="20"/>
          <w:szCs w:val="20"/>
        </w:rPr>
        <w:t>暂估价材料和工程设备的明细详见附件</w:t>
      </w:r>
      <w:r>
        <w:rPr>
          <w:rFonts w:ascii="宋体" w:hAnsi="宋体" w:eastAsia="宋体" w:cs="宋体"/>
          <w:spacing w:val="-24"/>
          <w:sz w:val="20"/>
          <w:szCs w:val="20"/>
        </w:rPr>
        <w:t xml:space="preserve"> </w:t>
      </w:r>
      <w:r>
        <w:rPr>
          <w:rFonts w:ascii="宋体" w:hAnsi="宋体" w:eastAsia="宋体" w:cs="宋体"/>
          <w:spacing w:val="2"/>
          <w:sz w:val="20"/>
          <w:szCs w:val="20"/>
        </w:rPr>
        <w:t>11：</w:t>
      </w:r>
      <w:r>
        <w:rPr>
          <w:rFonts w:ascii="宋体" w:hAnsi="宋体" w:eastAsia="宋体" w:cs="宋体"/>
          <w:spacing w:val="1"/>
          <w:sz w:val="20"/>
          <w:szCs w:val="20"/>
        </w:rPr>
        <w:t>《暂估价一览表》。</w:t>
      </w:r>
    </w:p>
    <w:p w14:paraId="5899D538">
      <w:pPr>
        <w:spacing w:before="129" w:line="226" w:lineRule="auto"/>
        <w:ind w:left="443"/>
        <w:rPr>
          <w:rFonts w:ascii="宋体" w:hAnsi="宋体" w:eastAsia="宋体" w:cs="宋体"/>
          <w:sz w:val="20"/>
          <w:szCs w:val="20"/>
        </w:rPr>
      </w:pPr>
      <w:r>
        <w:rPr>
          <w:rFonts w:ascii="宋体" w:hAnsi="宋体" w:eastAsia="宋体" w:cs="宋体"/>
          <w:spacing w:val="6"/>
          <w:sz w:val="20"/>
          <w:szCs w:val="20"/>
        </w:rPr>
        <w:t>10.7.1 依法必须招标的暂估价项目</w:t>
      </w:r>
    </w:p>
    <w:p w14:paraId="4588FE1A">
      <w:pPr>
        <w:spacing w:before="130" w:line="226" w:lineRule="auto"/>
        <w:ind w:left="427"/>
        <w:rPr>
          <w:rFonts w:ascii="宋体" w:hAnsi="宋体" w:eastAsia="宋体" w:cs="宋体"/>
          <w:sz w:val="20"/>
          <w:szCs w:val="20"/>
        </w:rPr>
      </w:pPr>
      <w:r>
        <w:rPr>
          <w:rFonts w:ascii="宋体" w:hAnsi="宋体" w:eastAsia="宋体" w:cs="宋体"/>
          <w:spacing w:val="8"/>
          <w:sz w:val="20"/>
          <w:szCs w:val="20"/>
        </w:rPr>
        <w:t>对于依法必须招标的暂估价项目的确认和批准采取第</w:t>
      </w:r>
      <w:r>
        <w:rPr>
          <w:rFonts w:ascii="宋体" w:hAnsi="宋体" w:eastAsia="宋体" w:cs="宋体"/>
          <w:spacing w:val="8"/>
          <w:sz w:val="20"/>
          <w:szCs w:val="20"/>
          <w:u w:val="single" w:color="auto"/>
        </w:rPr>
        <w:t xml:space="preserve">    </w:t>
      </w:r>
      <w:r>
        <w:rPr>
          <w:rFonts w:ascii="宋体" w:hAnsi="宋体" w:eastAsia="宋体" w:cs="宋体"/>
          <w:spacing w:val="-75"/>
          <w:sz w:val="20"/>
          <w:szCs w:val="20"/>
        </w:rPr>
        <w:t xml:space="preserve"> </w:t>
      </w:r>
      <w:r>
        <w:rPr>
          <w:rFonts w:ascii="宋体" w:hAnsi="宋体" w:eastAsia="宋体" w:cs="宋体"/>
          <w:spacing w:val="8"/>
          <w:sz w:val="20"/>
          <w:szCs w:val="20"/>
        </w:rPr>
        <w:t>种方式确定。</w:t>
      </w:r>
    </w:p>
    <w:p w14:paraId="6786B09F">
      <w:pPr>
        <w:spacing w:before="130" w:line="228" w:lineRule="auto"/>
        <w:ind w:left="429"/>
        <w:rPr>
          <w:rFonts w:ascii="宋体" w:hAnsi="宋体" w:eastAsia="宋体" w:cs="宋体"/>
          <w:sz w:val="20"/>
          <w:szCs w:val="20"/>
        </w:rPr>
      </w:pPr>
      <w:r>
        <w:rPr>
          <w:rFonts w:ascii="宋体" w:hAnsi="宋体" w:eastAsia="宋体" w:cs="宋体"/>
          <w:spacing w:val="6"/>
          <w:sz w:val="20"/>
          <w:szCs w:val="20"/>
        </w:rPr>
        <w:t>合同当事人其他招标方式的约定：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A0BD41A">
      <w:pPr>
        <w:spacing w:before="127" w:line="226" w:lineRule="auto"/>
        <w:ind w:left="443"/>
        <w:rPr>
          <w:rFonts w:ascii="宋体" w:hAnsi="宋体" w:eastAsia="宋体" w:cs="宋体"/>
          <w:sz w:val="20"/>
          <w:szCs w:val="20"/>
        </w:rPr>
      </w:pPr>
      <w:r>
        <w:rPr>
          <w:rFonts w:ascii="宋体" w:hAnsi="宋体" w:eastAsia="宋体" w:cs="宋体"/>
          <w:spacing w:val="7"/>
          <w:sz w:val="20"/>
          <w:szCs w:val="20"/>
        </w:rPr>
        <w:t>10.7.2 不属于依法必须招标的暂估价项目</w:t>
      </w:r>
    </w:p>
    <w:p w14:paraId="33596271">
      <w:pPr>
        <w:spacing w:before="128" w:line="346" w:lineRule="auto"/>
        <w:ind w:left="8" w:right="2544" w:firstLine="419"/>
        <w:rPr>
          <w:rFonts w:ascii="宋体" w:hAnsi="宋体" w:eastAsia="宋体" w:cs="宋体"/>
          <w:sz w:val="20"/>
          <w:szCs w:val="20"/>
        </w:rPr>
      </w:pPr>
      <w:r>
        <w:rPr>
          <w:rFonts w:ascii="宋体" w:hAnsi="宋体" w:eastAsia="宋体" w:cs="宋体"/>
          <w:spacing w:val="9"/>
          <w:sz w:val="20"/>
          <w:szCs w:val="20"/>
        </w:rPr>
        <w:t>对于不属于依法必须招标的暂估价项目的确认和批准采取第</w:t>
      </w:r>
      <w:r>
        <w:rPr>
          <w:rFonts w:ascii="宋体" w:hAnsi="宋体" w:eastAsia="宋体" w:cs="宋体"/>
          <w:spacing w:val="9"/>
          <w:sz w:val="20"/>
          <w:szCs w:val="20"/>
          <w:u w:val="single" w:color="auto"/>
        </w:rPr>
        <w:t xml:space="preserve">    </w:t>
      </w:r>
      <w:r>
        <w:rPr>
          <w:rFonts w:ascii="宋体" w:hAnsi="宋体" w:eastAsia="宋体" w:cs="宋体"/>
          <w:spacing w:val="6"/>
          <w:sz w:val="20"/>
          <w:szCs w:val="20"/>
        </w:rPr>
        <w:t>种方式确定。</w:t>
      </w:r>
    </w:p>
    <w:p w14:paraId="5A4361E0">
      <w:pPr>
        <w:spacing w:before="1" w:line="226" w:lineRule="auto"/>
        <w:ind w:left="428"/>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35"/>
          <w:sz w:val="20"/>
          <w:szCs w:val="20"/>
        </w:rPr>
        <w:t xml:space="preserve"> </w:t>
      </w:r>
      <w:r>
        <w:rPr>
          <w:rFonts w:ascii="宋体" w:hAnsi="宋体" w:eastAsia="宋体" w:cs="宋体"/>
          <w:spacing w:val="8"/>
          <w:sz w:val="20"/>
          <w:szCs w:val="20"/>
        </w:rPr>
        <w:t>3</w:t>
      </w:r>
      <w:r>
        <w:rPr>
          <w:rFonts w:ascii="宋体" w:hAnsi="宋体" w:eastAsia="宋体" w:cs="宋体"/>
          <w:spacing w:val="-38"/>
          <w:sz w:val="20"/>
          <w:szCs w:val="20"/>
        </w:rPr>
        <w:t xml:space="preserve"> </w:t>
      </w:r>
      <w:r>
        <w:rPr>
          <w:rFonts w:ascii="宋体" w:hAnsi="宋体" w:eastAsia="宋体" w:cs="宋体"/>
          <w:spacing w:val="8"/>
          <w:sz w:val="20"/>
          <w:szCs w:val="20"/>
        </w:rPr>
        <w:t>种方式：承包人直接实施的暂估价项目</w:t>
      </w:r>
    </w:p>
    <w:p w14:paraId="32EFCEC1">
      <w:pPr>
        <w:spacing w:before="129" w:line="226" w:lineRule="auto"/>
        <w:ind w:left="428"/>
        <w:rPr>
          <w:rFonts w:ascii="宋体" w:hAnsi="宋体" w:eastAsia="宋体" w:cs="宋体"/>
          <w:sz w:val="20"/>
          <w:szCs w:val="20"/>
        </w:rPr>
      </w:pPr>
      <w:r>
        <w:rPr>
          <w:rFonts w:ascii="宋体" w:hAnsi="宋体" w:eastAsia="宋体" w:cs="宋体"/>
          <w:spacing w:val="9"/>
          <w:sz w:val="20"/>
          <w:szCs w:val="20"/>
        </w:rPr>
        <w:t>承包人直接实施的暂估价项目的约定：</w:t>
      </w:r>
      <w:r>
        <w:rPr>
          <w:rFonts w:ascii="宋体" w:hAnsi="宋体" w:eastAsia="宋体" w:cs="宋体"/>
          <w:sz w:val="20"/>
          <w:szCs w:val="20"/>
          <w:u w:val="single" w:color="auto"/>
        </w:rPr>
        <w:t xml:space="preserve">                                              </w:t>
      </w:r>
    </w:p>
    <w:p w14:paraId="62FF9077">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47F00ED">
      <w:pPr>
        <w:spacing w:before="174" w:line="228" w:lineRule="auto"/>
        <w:ind w:left="443"/>
        <w:rPr>
          <w:rFonts w:ascii="宋体" w:hAnsi="宋体" w:eastAsia="宋体" w:cs="宋体"/>
          <w:sz w:val="20"/>
          <w:szCs w:val="20"/>
        </w:rPr>
      </w:pPr>
      <w:r>
        <w:rPr>
          <w:rFonts w:ascii="宋体" w:hAnsi="宋体" w:eastAsia="宋体" w:cs="宋体"/>
          <w:b/>
          <w:bCs/>
          <w:spacing w:val="1"/>
          <w:sz w:val="20"/>
          <w:szCs w:val="20"/>
        </w:rPr>
        <w:t>10.8</w:t>
      </w:r>
      <w:r>
        <w:rPr>
          <w:rFonts w:ascii="宋体" w:hAnsi="宋体" w:eastAsia="宋体" w:cs="宋体"/>
          <w:spacing w:val="21"/>
          <w:sz w:val="20"/>
          <w:szCs w:val="20"/>
        </w:rPr>
        <w:t xml:space="preserve"> </w:t>
      </w:r>
      <w:r>
        <w:rPr>
          <w:rFonts w:ascii="宋体" w:hAnsi="宋体" w:eastAsia="宋体" w:cs="宋体"/>
          <w:b/>
          <w:bCs/>
          <w:spacing w:val="1"/>
          <w:sz w:val="20"/>
          <w:szCs w:val="20"/>
        </w:rPr>
        <w:t>暂列金额</w:t>
      </w:r>
    </w:p>
    <w:p w14:paraId="6868C62C">
      <w:pPr>
        <w:spacing w:before="127" w:line="228" w:lineRule="auto"/>
        <w:ind w:left="429"/>
        <w:rPr>
          <w:rFonts w:ascii="宋体" w:hAnsi="宋体" w:eastAsia="宋体" w:cs="宋体"/>
          <w:sz w:val="20"/>
          <w:szCs w:val="20"/>
        </w:rPr>
      </w:pPr>
      <w:r>
        <w:rPr>
          <w:rFonts w:ascii="宋体" w:hAnsi="宋体" w:eastAsia="宋体" w:cs="宋体"/>
          <w:spacing w:val="9"/>
          <w:sz w:val="20"/>
          <w:szCs w:val="20"/>
        </w:rPr>
        <w:t>合同当事人关于暂列金额使用的约定：</w:t>
      </w:r>
      <w:r>
        <w:rPr>
          <w:rFonts w:ascii="宋体" w:hAnsi="宋体" w:eastAsia="宋体" w:cs="宋体"/>
          <w:sz w:val="20"/>
          <w:szCs w:val="20"/>
          <w:u w:val="single" w:color="auto"/>
        </w:rPr>
        <w:t xml:space="preserve">                                              </w:t>
      </w:r>
    </w:p>
    <w:p w14:paraId="07A6EF83">
      <w:pPr>
        <w:spacing w:before="263" w:line="45" w:lineRule="exact"/>
        <w:ind w:left="8534"/>
        <w:rPr>
          <w:rFonts w:ascii="宋体" w:hAnsi="宋体" w:eastAsia="宋体" w:cs="宋体"/>
          <w:sz w:val="20"/>
          <w:szCs w:val="20"/>
        </w:rPr>
      </w:pPr>
      <w:r>
        <w:pict>
          <v:shape id="_x0000_s1090" o:spid="_x0000_s1090" o:spt="202" type="#_x0000_t202" style="position:absolute;left:0pt;margin-left:-1pt;margin-top:5.7pt;height:14.1pt;width:427.25pt;z-index:251729920;mso-width-relative:page;mso-height-relative:page;" filled="f" stroked="f" coordsize="21600,21600">
            <v:path/>
            <v:fill on="f" focussize="0,0"/>
            <v:stroke on="f"/>
            <v:imagedata o:title=""/>
            <o:lock v:ext="edit" aspectratio="f"/>
            <v:textbox inset="0mm,0mm,0mm,0mm">
              <w:txbxContent>
                <w:p w14:paraId="61989044">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1D2D18F6">
      <w:pPr>
        <w:spacing w:before="195" w:line="226" w:lineRule="auto"/>
        <w:ind w:left="443"/>
        <w:outlineLvl w:val="2"/>
        <w:rPr>
          <w:rFonts w:ascii="宋体" w:hAnsi="宋体" w:eastAsia="宋体" w:cs="宋体"/>
          <w:sz w:val="20"/>
          <w:szCs w:val="20"/>
        </w:rPr>
      </w:pPr>
      <w:bookmarkStart w:id="337" w:name="bookmark320"/>
      <w:bookmarkEnd w:id="337"/>
      <w:r>
        <w:rPr>
          <w:rFonts w:ascii="宋体" w:hAnsi="宋体" w:eastAsia="宋体" w:cs="宋体"/>
          <w:b/>
          <w:bCs/>
          <w:spacing w:val="3"/>
          <w:sz w:val="20"/>
          <w:szCs w:val="20"/>
        </w:rPr>
        <w:t>11.</w:t>
      </w:r>
      <w:r>
        <w:rPr>
          <w:rFonts w:ascii="宋体" w:hAnsi="宋体" w:eastAsia="宋体" w:cs="宋体"/>
          <w:spacing w:val="3"/>
          <w:sz w:val="20"/>
          <w:szCs w:val="20"/>
        </w:rPr>
        <w:t xml:space="preserve"> </w:t>
      </w:r>
      <w:r>
        <w:rPr>
          <w:rFonts w:ascii="宋体" w:hAnsi="宋体" w:eastAsia="宋体" w:cs="宋体"/>
          <w:b/>
          <w:bCs/>
          <w:spacing w:val="3"/>
          <w:sz w:val="20"/>
          <w:szCs w:val="20"/>
        </w:rPr>
        <w:t>价格调整</w:t>
      </w:r>
    </w:p>
    <w:p w14:paraId="76B89BFE">
      <w:pPr>
        <w:spacing w:before="129" w:line="226" w:lineRule="auto"/>
        <w:ind w:left="443"/>
        <w:rPr>
          <w:rFonts w:ascii="宋体" w:hAnsi="宋体" w:eastAsia="宋体" w:cs="宋体"/>
          <w:sz w:val="20"/>
          <w:szCs w:val="20"/>
        </w:rPr>
      </w:pPr>
      <w:r>
        <w:rPr>
          <w:rFonts w:ascii="宋体" w:hAnsi="宋体" w:eastAsia="宋体" w:cs="宋体"/>
          <w:b/>
          <w:bCs/>
          <w:spacing w:val="5"/>
          <w:sz w:val="20"/>
          <w:szCs w:val="20"/>
        </w:rPr>
        <w:t>11.1</w:t>
      </w:r>
      <w:r>
        <w:rPr>
          <w:rFonts w:ascii="宋体" w:hAnsi="宋体" w:eastAsia="宋体" w:cs="宋体"/>
          <w:spacing w:val="5"/>
          <w:sz w:val="20"/>
          <w:szCs w:val="20"/>
        </w:rPr>
        <w:t xml:space="preserve"> </w:t>
      </w:r>
      <w:r>
        <w:rPr>
          <w:rFonts w:ascii="宋体" w:hAnsi="宋体" w:eastAsia="宋体" w:cs="宋体"/>
          <w:b/>
          <w:bCs/>
          <w:spacing w:val="5"/>
          <w:sz w:val="20"/>
          <w:szCs w:val="20"/>
        </w:rPr>
        <w:t>市场价格波动引起的调整</w:t>
      </w:r>
    </w:p>
    <w:p w14:paraId="6E635ACE">
      <w:pPr>
        <w:spacing w:before="130" w:line="226" w:lineRule="auto"/>
        <w:ind w:left="433"/>
        <w:rPr>
          <w:rFonts w:ascii="宋体" w:hAnsi="宋体" w:eastAsia="宋体" w:cs="宋体"/>
          <w:sz w:val="20"/>
          <w:szCs w:val="20"/>
        </w:rPr>
      </w:pPr>
      <w:r>
        <w:rPr>
          <w:rFonts w:ascii="宋体" w:hAnsi="宋体" w:eastAsia="宋体" w:cs="宋体"/>
          <w:spacing w:val="6"/>
          <w:sz w:val="20"/>
          <w:szCs w:val="20"/>
        </w:rPr>
        <w:t>市场价格波动是否调整合同价格的约定：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522CEDA8">
      <w:pPr>
        <w:spacing w:before="128" w:line="346" w:lineRule="auto"/>
        <w:ind w:left="8" w:right="2" w:firstLine="436"/>
        <w:rPr>
          <w:rFonts w:ascii="宋体" w:hAnsi="宋体" w:eastAsia="宋体" w:cs="宋体"/>
          <w:sz w:val="20"/>
          <w:szCs w:val="20"/>
        </w:rPr>
      </w:pPr>
      <w:r>
        <w:rPr>
          <w:rFonts w:ascii="宋体" w:hAnsi="宋体" w:eastAsia="宋体" w:cs="宋体"/>
          <w:spacing w:val="9"/>
          <w:sz w:val="20"/>
          <w:szCs w:val="20"/>
        </w:rPr>
        <w:t>因市场价格波动调整合同价格，采用以下第</w:t>
      </w:r>
      <w:r>
        <w:rPr>
          <w:rFonts w:ascii="宋体" w:hAnsi="宋体" w:eastAsia="宋体" w:cs="宋体"/>
          <w:spacing w:val="9"/>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9"/>
          <w:sz w:val="20"/>
          <w:szCs w:val="20"/>
        </w:rPr>
        <w:t>种方式对合同价格进行调整。其中可调差材</w:t>
      </w:r>
      <w:r>
        <w:rPr>
          <w:rFonts w:ascii="宋体" w:hAnsi="宋体" w:eastAsia="宋体" w:cs="宋体"/>
          <w:spacing w:val="8"/>
          <w:sz w:val="20"/>
          <w:szCs w:val="20"/>
        </w:rPr>
        <w:t>料为：单项材料费占签约合同价</w:t>
      </w:r>
      <w:r>
        <w:rPr>
          <w:rFonts w:ascii="宋体" w:hAnsi="宋体" w:eastAsia="宋体" w:cs="宋体"/>
          <w:spacing w:val="-16"/>
          <w:sz w:val="20"/>
          <w:szCs w:val="20"/>
        </w:rPr>
        <w:t xml:space="preserve"> </w:t>
      </w:r>
      <w:r>
        <w:rPr>
          <w:rFonts w:ascii="宋体" w:hAnsi="宋体" w:eastAsia="宋体" w:cs="宋体"/>
          <w:spacing w:val="8"/>
          <w:sz w:val="20"/>
          <w:szCs w:val="20"/>
        </w:rPr>
        <w:t>1%（含）</w:t>
      </w:r>
      <w:r>
        <w:rPr>
          <w:rFonts w:ascii="宋体" w:hAnsi="宋体" w:eastAsia="宋体" w:cs="宋体"/>
          <w:spacing w:val="-57"/>
          <w:sz w:val="20"/>
          <w:szCs w:val="20"/>
        </w:rPr>
        <w:t xml:space="preserve"> </w:t>
      </w:r>
      <w:r>
        <w:rPr>
          <w:rFonts w:ascii="宋体" w:hAnsi="宋体" w:eastAsia="宋体" w:cs="宋体"/>
          <w:spacing w:val="8"/>
          <w:sz w:val="20"/>
          <w:szCs w:val="20"/>
        </w:rPr>
        <w:t>以上的材料及合同双方约定的其他材料：</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w:t>
      </w:r>
    </w:p>
    <w:p w14:paraId="03664F43">
      <w:pPr>
        <w:spacing w:line="226" w:lineRule="auto"/>
        <w:ind w:left="428"/>
        <w:rPr>
          <w:rFonts w:ascii="宋体" w:hAnsi="宋体" w:eastAsia="宋体" w:cs="宋体"/>
          <w:sz w:val="20"/>
          <w:szCs w:val="20"/>
        </w:rPr>
      </w:pPr>
      <w:r>
        <w:rPr>
          <w:rFonts w:ascii="宋体" w:hAnsi="宋体" w:eastAsia="宋体" w:cs="宋体"/>
          <w:spacing w:val="6"/>
          <w:sz w:val="20"/>
          <w:szCs w:val="20"/>
        </w:rPr>
        <w:t>第</w:t>
      </w:r>
      <w:r>
        <w:rPr>
          <w:rFonts w:ascii="宋体" w:hAnsi="宋体" w:eastAsia="宋体" w:cs="宋体"/>
          <w:spacing w:val="-8"/>
          <w:sz w:val="20"/>
          <w:szCs w:val="20"/>
        </w:rPr>
        <w:t xml:space="preserve"> </w:t>
      </w:r>
      <w:r>
        <w:rPr>
          <w:rFonts w:ascii="宋体" w:hAnsi="宋体" w:eastAsia="宋体" w:cs="宋体"/>
          <w:spacing w:val="6"/>
          <w:sz w:val="20"/>
          <w:szCs w:val="20"/>
        </w:rPr>
        <w:t>1</w:t>
      </w:r>
      <w:r>
        <w:rPr>
          <w:rFonts w:ascii="宋体" w:hAnsi="宋体" w:eastAsia="宋体" w:cs="宋体"/>
          <w:spacing w:val="-38"/>
          <w:sz w:val="20"/>
          <w:szCs w:val="20"/>
        </w:rPr>
        <w:t xml:space="preserve"> </w:t>
      </w:r>
      <w:r>
        <w:rPr>
          <w:rFonts w:ascii="宋体" w:hAnsi="宋体" w:eastAsia="宋体" w:cs="宋体"/>
          <w:spacing w:val="6"/>
          <w:sz w:val="20"/>
          <w:szCs w:val="20"/>
        </w:rPr>
        <w:t>种方式：采用价格指数进行价格调整。</w:t>
      </w:r>
    </w:p>
    <w:p w14:paraId="1B5BD1EB">
      <w:pPr>
        <w:spacing w:before="130" w:line="226" w:lineRule="auto"/>
        <w:ind w:left="431"/>
        <w:rPr>
          <w:rFonts w:ascii="宋体" w:hAnsi="宋体" w:eastAsia="宋体" w:cs="宋体"/>
          <w:sz w:val="20"/>
          <w:szCs w:val="20"/>
        </w:rPr>
      </w:pPr>
      <w:r>
        <w:rPr>
          <w:rFonts w:ascii="宋体" w:hAnsi="宋体" w:eastAsia="宋体" w:cs="宋体"/>
          <w:spacing w:val="8"/>
          <w:sz w:val="20"/>
          <w:szCs w:val="20"/>
        </w:rPr>
        <w:t>关于各可调因子、定值和变值权重，</w:t>
      </w:r>
      <w:r>
        <w:rPr>
          <w:rFonts w:ascii="宋体" w:hAnsi="宋体" w:eastAsia="宋体" w:cs="宋体"/>
          <w:spacing w:val="-59"/>
          <w:sz w:val="20"/>
          <w:szCs w:val="20"/>
        </w:rPr>
        <w:t xml:space="preserve"> </w:t>
      </w:r>
      <w:r>
        <w:rPr>
          <w:rFonts w:ascii="宋体" w:hAnsi="宋体" w:eastAsia="宋体" w:cs="宋体"/>
          <w:spacing w:val="8"/>
          <w:sz w:val="20"/>
          <w:szCs w:val="20"/>
        </w:rPr>
        <w:t>以及基本价格指数及其来源的约定</w:t>
      </w:r>
      <w:r>
        <w:rPr>
          <w:rFonts w:ascii="宋体" w:hAnsi="宋体" w:eastAsia="宋体" w:cs="宋体"/>
          <w:spacing w:val="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9"/>
          <w:sz w:val="20"/>
          <w:szCs w:val="20"/>
        </w:rPr>
        <w:t>；</w:t>
      </w:r>
    </w:p>
    <w:p w14:paraId="26D6DEF4">
      <w:pPr>
        <w:spacing w:before="130" w:line="226" w:lineRule="auto"/>
        <w:ind w:left="428"/>
        <w:rPr>
          <w:rFonts w:ascii="宋体" w:hAnsi="宋体" w:eastAsia="宋体" w:cs="宋体"/>
          <w:sz w:val="20"/>
          <w:szCs w:val="20"/>
        </w:rPr>
      </w:pPr>
      <w:r>
        <w:rPr>
          <w:rFonts w:ascii="宋体" w:hAnsi="宋体" w:eastAsia="宋体" w:cs="宋体"/>
          <w:spacing w:val="7"/>
          <w:sz w:val="20"/>
          <w:szCs w:val="20"/>
        </w:rPr>
        <w:t>第</w:t>
      </w:r>
      <w:r>
        <w:rPr>
          <w:rFonts w:ascii="宋体" w:hAnsi="宋体" w:eastAsia="宋体" w:cs="宋体"/>
          <w:spacing w:val="-27"/>
          <w:sz w:val="20"/>
          <w:szCs w:val="20"/>
        </w:rPr>
        <w:t xml:space="preserve"> </w:t>
      </w:r>
      <w:r>
        <w:rPr>
          <w:rFonts w:ascii="宋体" w:hAnsi="宋体" w:eastAsia="宋体" w:cs="宋体"/>
          <w:spacing w:val="7"/>
          <w:sz w:val="20"/>
          <w:szCs w:val="20"/>
        </w:rPr>
        <w:t>2</w:t>
      </w:r>
      <w:r>
        <w:rPr>
          <w:rFonts w:ascii="宋体" w:hAnsi="宋体" w:eastAsia="宋体" w:cs="宋体"/>
          <w:spacing w:val="-38"/>
          <w:sz w:val="20"/>
          <w:szCs w:val="20"/>
        </w:rPr>
        <w:t xml:space="preserve"> </w:t>
      </w:r>
      <w:r>
        <w:rPr>
          <w:rFonts w:ascii="宋体" w:hAnsi="宋体" w:eastAsia="宋体" w:cs="宋体"/>
          <w:spacing w:val="7"/>
          <w:sz w:val="20"/>
          <w:szCs w:val="20"/>
        </w:rPr>
        <w:t>种方式：采用造价信息进行价格调整。</w:t>
      </w:r>
    </w:p>
    <w:p w14:paraId="0E3A8CF5">
      <w:pPr>
        <w:spacing w:before="129" w:line="226" w:lineRule="auto"/>
        <w:ind w:left="438"/>
        <w:rPr>
          <w:rFonts w:ascii="宋体" w:hAnsi="宋体" w:eastAsia="宋体" w:cs="宋体"/>
          <w:sz w:val="20"/>
          <w:szCs w:val="20"/>
        </w:rPr>
      </w:pPr>
      <w:r>
        <w:rPr>
          <w:rFonts w:ascii="宋体" w:hAnsi="宋体" w:eastAsia="宋体" w:cs="宋体"/>
          <w:spacing w:val="6"/>
          <w:sz w:val="20"/>
          <w:szCs w:val="20"/>
        </w:rPr>
        <w:t>（2）关于基准价格的约定：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F9B2529">
      <w:pPr>
        <w:spacing w:before="128" w:line="346" w:lineRule="auto"/>
        <w:ind w:left="10" w:right="2" w:firstLine="419"/>
        <w:rPr>
          <w:rFonts w:ascii="宋体" w:hAnsi="宋体" w:eastAsia="宋体" w:cs="宋体"/>
          <w:sz w:val="20"/>
          <w:szCs w:val="20"/>
        </w:rPr>
      </w:pPr>
      <w:r>
        <w:rPr>
          <w:rFonts w:ascii="宋体" w:hAnsi="宋体" w:eastAsia="宋体" w:cs="宋体"/>
          <w:spacing w:val="10"/>
          <w:sz w:val="20"/>
          <w:szCs w:val="20"/>
        </w:rPr>
        <w:t>专用合同条款①承包人在已标价工程量清单或预算书中载明的材料单价低于基准价格的：专用合同条款合同履行期间材料单价涨幅以基准价格为基础超过</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8"/>
          <w:sz w:val="20"/>
          <w:szCs w:val="20"/>
        </w:rPr>
        <w:t xml:space="preserve"> </w:t>
      </w:r>
      <w:r>
        <w:rPr>
          <w:rFonts w:ascii="宋体" w:hAnsi="宋体" w:eastAsia="宋体" w:cs="宋体"/>
          <w:spacing w:val="10"/>
          <w:sz w:val="20"/>
          <w:szCs w:val="20"/>
        </w:rPr>
        <w:t>%时，或材料单价跌幅以已标价</w:t>
      </w:r>
      <w:r>
        <w:rPr>
          <w:rFonts w:ascii="宋体" w:hAnsi="宋体" w:eastAsia="宋体" w:cs="宋体"/>
          <w:spacing w:val="9"/>
          <w:sz w:val="20"/>
          <w:szCs w:val="20"/>
        </w:rPr>
        <w:t>工程量清单或预算书中载明材料单价为基础超过</w:t>
      </w:r>
      <w:r>
        <w:rPr>
          <w:rFonts w:ascii="宋体" w:hAnsi="宋体" w:eastAsia="宋体" w:cs="宋体"/>
          <w:spacing w:val="9"/>
          <w:sz w:val="20"/>
          <w:szCs w:val="20"/>
          <w:u w:val="single" w:color="auto"/>
        </w:rPr>
        <w:t xml:space="preserve">   </w:t>
      </w:r>
      <w:r>
        <w:rPr>
          <w:rFonts w:ascii="宋体" w:hAnsi="宋体" w:eastAsia="宋体" w:cs="宋体"/>
          <w:spacing w:val="-97"/>
          <w:sz w:val="20"/>
          <w:szCs w:val="20"/>
        </w:rPr>
        <w:t xml:space="preserve"> </w:t>
      </w:r>
      <w:r>
        <w:rPr>
          <w:rFonts w:ascii="宋体" w:hAnsi="宋体" w:eastAsia="宋体" w:cs="宋体"/>
          <w:spacing w:val="9"/>
          <w:sz w:val="20"/>
          <w:szCs w:val="20"/>
        </w:rPr>
        <w:t>%时，</w:t>
      </w:r>
      <w:r>
        <w:rPr>
          <w:rFonts w:ascii="宋体" w:hAnsi="宋体" w:eastAsia="宋体" w:cs="宋体"/>
          <w:spacing w:val="8"/>
          <w:sz w:val="20"/>
          <w:szCs w:val="20"/>
        </w:rPr>
        <w:t>其超过部分据实调整。</w:t>
      </w:r>
    </w:p>
    <w:p w14:paraId="31AF2B3B">
      <w:pPr>
        <w:spacing w:line="346" w:lineRule="auto"/>
        <w:ind w:left="10" w:right="2" w:firstLine="416"/>
        <w:jc w:val="both"/>
        <w:rPr>
          <w:rFonts w:ascii="宋体" w:hAnsi="宋体" w:eastAsia="宋体" w:cs="宋体"/>
          <w:sz w:val="20"/>
          <w:szCs w:val="20"/>
        </w:rPr>
      </w:pPr>
      <w:r>
        <w:rPr>
          <w:rFonts w:ascii="宋体" w:hAnsi="宋体" w:eastAsia="宋体" w:cs="宋体"/>
          <w:spacing w:val="10"/>
          <w:sz w:val="20"/>
          <w:szCs w:val="20"/>
        </w:rPr>
        <w:t>②承包人在已标价工程量清单或预算书中载明的材料单价高于基准价格的：专用合同条款合同履行期间材料单价跌幅以基准价格为基础超过</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10"/>
          <w:sz w:val="20"/>
          <w:szCs w:val="20"/>
        </w:rPr>
        <w:t>%时，材料单价涨幅以已标价工程量清单或预</w:t>
      </w:r>
      <w:r>
        <w:rPr>
          <w:rFonts w:ascii="宋体" w:hAnsi="宋体" w:eastAsia="宋体" w:cs="宋体"/>
          <w:spacing w:val="9"/>
          <w:sz w:val="20"/>
          <w:szCs w:val="20"/>
        </w:rPr>
        <w:t>算书中载明材料单价为基础超过</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94"/>
          <w:sz w:val="20"/>
          <w:szCs w:val="20"/>
        </w:rPr>
        <w:t xml:space="preserve"> </w:t>
      </w:r>
      <w:r>
        <w:rPr>
          <w:rFonts w:ascii="宋体" w:hAnsi="宋体" w:eastAsia="宋体" w:cs="宋体"/>
          <w:spacing w:val="9"/>
          <w:sz w:val="20"/>
          <w:szCs w:val="20"/>
        </w:rPr>
        <w:t>%时，其超过部分</w:t>
      </w:r>
      <w:r>
        <w:rPr>
          <w:rFonts w:ascii="宋体" w:hAnsi="宋体" w:eastAsia="宋体" w:cs="宋体"/>
          <w:spacing w:val="8"/>
          <w:sz w:val="20"/>
          <w:szCs w:val="20"/>
        </w:rPr>
        <w:t>据实调整。</w:t>
      </w:r>
    </w:p>
    <w:p w14:paraId="621DCC53">
      <w:pPr>
        <w:spacing w:line="346" w:lineRule="auto"/>
        <w:rPr>
          <w:rFonts w:ascii="宋体" w:hAnsi="宋体" w:eastAsia="宋体" w:cs="宋体"/>
          <w:sz w:val="20"/>
          <w:szCs w:val="20"/>
        </w:rPr>
        <w:sectPr>
          <w:headerReference r:id="rId406" w:type="default"/>
          <w:footerReference r:id="rId407" w:type="default"/>
          <w:pgSz w:w="11906" w:h="16839"/>
          <w:pgMar w:top="400" w:right="1530" w:bottom="1446" w:left="1531" w:header="0" w:footer="1284" w:gutter="0"/>
          <w:cols w:space="720" w:num="1"/>
        </w:sectPr>
      </w:pPr>
    </w:p>
    <w:p w14:paraId="35600F0E">
      <w:pPr>
        <w:spacing w:line="246" w:lineRule="auto"/>
        <w:rPr>
          <w:rFonts w:ascii="Arial"/>
          <w:sz w:val="21"/>
        </w:rPr>
      </w:pPr>
    </w:p>
    <w:p w14:paraId="3E7D8B8F">
      <w:pPr>
        <w:spacing w:line="246" w:lineRule="auto"/>
        <w:rPr>
          <w:rFonts w:ascii="Arial"/>
          <w:sz w:val="21"/>
        </w:rPr>
      </w:pPr>
    </w:p>
    <w:p w14:paraId="7FE4DAEE">
      <w:pPr>
        <w:spacing w:line="246" w:lineRule="auto"/>
        <w:rPr>
          <w:rFonts w:ascii="Arial"/>
          <w:sz w:val="21"/>
        </w:rPr>
      </w:pPr>
    </w:p>
    <w:p w14:paraId="6533DBF5">
      <w:pPr>
        <w:spacing w:line="246" w:lineRule="auto"/>
        <w:rPr>
          <w:rFonts w:ascii="Arial"/>
          <w:sz w:val="21"/>
        </w:rPr>
      </w:pPr>
    </w:p>
    <w:p w14:paraId="077241AC">
      <w:pPr>
        <w:spacing w:line="246" w:lineRule="auto"/>
        <w:rPr>
          <w:rFonts w:ascii="Arial"/>
          <w:sz w:val="21"/>
        </w:rPr>
      </w:pPr>
    </w:p>
    <w:p w14:paraId="2B94CF49">
      <w:pPr>
        <w:spacing w:line="247" w:lineRule="auto"/>
        <w:rPr>
          <w:rFonts w:ascii="Arial"/>
          <w:sz w:val="21"/>
        </w:rPr>
      </w:pPr>
    </w:p>
    <w:p w14:paraId="2022015E">
      <w:pPr>
        <w:spacing w:before="65" w:line="346" w:lineRule="auto"/>
        <w:ind w:left="28" w:firstLine="397"/>
        <w:rPr>
          <w:rFonts w:ascii="宋体" w:hAnsi="宋体" w:eastAsia="宋体" w:cs="宋体"/>
          <w:sz w:val="20"/>
          <w:szCs w:val="20"/>
        </w:rPr>
      </w:pPr>
      <w:r>
        <w:rPr>
          <w:rFonts w:ascii="宋体" w:hAnsi="宋体" w:eastAsia="宋体" w:cs="宋体"/>
          <w:spacing w:val="10"/>
          <w:sz w:val="20"/>
          <w:szCs w:val="20"/>
        </w:rPr>
        <w:t>③承包人在已标价工程量清单或预算书中载明的材料单价等于基准单价的：专用合同条款合</w:t>
      </w:r>
      <w:r>
        <w:rPr>
          <w:rFonts w:ascii="宋体" w:hAnsi="宋体" w:eastAsia="宋体" w:cs="宋体"/>
          <w:spacing w:val="8"/>
          <w:sz w:val="20"/>
          <w:szCs w:val="20"/>
        </w:rPr>
        <w:t>同履行期间材料单价涨跌幅以基准单价为基础超过±</w:t>
      </w:r>
      <w:r>
        <w:rPr>
          <w:rFonts w:ascii="宋体" w:hAnsi="宋体" w:eastAsia="宋体" w:cs="宋体"/>
          <w:spacing w:val="8"/>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8"/>
          <w:sz w:val="20"/>
          <w:szCs w:val="20"/>
        </w:rPr>
        <w:t>%时，其超过部分据实调整。</w:t>
      </w:r>
    </w:p>
    <w:p w14:paraId="0C70AE3A">
      <w:pPr>
        <w:spacing w:line="226" w:lineRule="auto"/>
        <w:ind w:left="428"/>
        <w:rPr>
          <w:rFonts w:ascii="宋体" w:hAnsi="宋体" w:eastAsia="宋体" w:cs="宋体"/>
          <w:sz w:val="20"/>
          <w:szCs w:val="20"/>
        </w:rPr>
      </w:pPr>
      <w:r>
        <w:rPr>
          <w:rFonts w:ascii="宋体" w:hAnsi="宋体" w:eastAsia="宋体" w:cs="宋体"/>
          <w:spacing w:val="4"/>
          <w:sz w:val="20"/>
          <w:szCs w:val="20"/>
        </w:rPr>
        <w:t>第</w:t>
      </w:r>
      <w:r>
        <w:rPr>
          <w:rFonts w:ascii="宋体" w:hAnsi="宋体" w:eastAsia="宋体" w:cs="宋体"/>
          <w:spacing w:val="-35"/>
          <w:sz w:val="20"/>
          <w:szCs w:val="20"/>
        </w:rPr>
        <w:t xml:space="preserve"> </w:t>
      </w:r>
      <w:r>
        <w:rPr>
          <w:rFonts w:ascii="宋体" w:hAnsi="宋体" w:eastAsia="宋体" w:cs="宋体"/>
          <w:spacing w:val="4"/>
          <w:sz w:val="20"/>
          <w:szCs w:val="20"/>
        </w:rPr>
        <w:t>3</w:t>
      </w:r>
      <w:r>
        <w:rPr>
          <w:rFonts w:ascii="宋体" w:hAnsi="宋体" w:eastAsia="宋体" w:cs="宋体"/>
          <w:spacing w:val="-38"/>
          <w:sz w:val="20"/>
          <w:szCs w:val="20"/>
        </w:rPr>
        <w:t xml:space="preserve"> </w:t>
      </w:r>
      <w:r>
        <w:rPr>
          <w:rFonts w:ascii="宋体" w:hAnsi="宋体" w:eastAsia="宋体" w:cs="宋体"/>
          <w:spacing w:val="4"/>
          <w:sz w:val="20"/>
          <w:szCs w:val="20"/>
        </w:rPr>
        <w:t>种方式：其他价格调整方式：</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78E0F7D3">
      <w:pPr>
        <w:spacing w:before="264" w:line="45" w:lineRule="exact"/>
        <w:ind w:left="8534"/>
        <w:rPr>
          <w:rFonts w:ascii="宋体" w:hAnsi="宋体" w:eastAsia="宋体" w:cs="宋体"/>
          <w:sz w:val="20"/>
          <w:szCs w:val="20"/>
        </w:rPr>
      </w:pPr>
      <w:r>
        <w:pict>
          <v:shape id="_x0000_s1091" o:spid="_x0000_s1091" o:spt="202" type="#_x0000_t202" style="position:absolute;left:0pt;margin-left:-1pt;margin-top:5.8pt;height:14.1pt;width:427.25pt;z-index:251735040;mso-width-relative:page;mso-height-relative:page;" filled="f" stroked="f" coordsize="21600,21600">
            <v:path/>
            <v:fill on="f" focussize="0,0"/>
            <v:stroke on="f"/>
            <v:imagedata o:title=""/>
            <o:lock v:ext="edit" aspectratio="f"/>
            <v:textbox inset="0mm,0mm,0mm,0mm">
              <w:txbxContent>
                <w:p w14:paraId="67084C49">
                  <w:pPr>
                    <w:tabs>
                      <w:tab w:val="left" w:pos="8524"/>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4713400B">
      <w:pPr>
        <w:spacing w:before="194" w:line="226" w:lineRule="auto"/>
        <w:ind w:left="443"/>
        <w:outlineLvl w:val="2"/>
        <w:rPr>
          <w:rFonts w:ascii="宋体" w:hAnsi="宋体" w:eastAsia="宋体" w:cs="宋体"/>
          <w:sz w:val="20"/>
          <w:szCs w:val="20"/>
        </w:rPr>
      </w:pPr>
      <w:bookmarkStart w:id="338" w:name="bookmark321"/>
      <w:bookmarkEnd w:id="338"/>
      <w:r>
        <w:rPr>
          <w:rFonts w:ascii="宋体" w:hAnsi="宋体" w:eastAsia="宋体" w:cs="宋体"/>
          <w:b/>
          <w:bCs/>
          <w:spacing w:val="5"/>
          <w:sz w:val="20"/>
          <w:szCs w:val="20"/>
        </w:rPr>
        <w:t>12.</w:t>
      </w:r>
      <w:r>
        <w:rPr>
          <w:rFonts w:ascii="宋体" w:hAnsi="宋体" w:eastAsia="宋体" w:cs="宋体"/>
          <w:spacing w:val="5"/>
          <w:sz w:val="20"/>
          <w:szCs w:val="20"/>
        </w:rPr>
        <w:t xml:space="preserve"> </w:t>
      </w:r>
      <w:r>
        <w:rPr>
          <w:rFonts w:ascii="宋体" w:hAnsi="宋体" w:eastAsia="宋体" w:cs="宋体"/>
          <w:b/>
          <w:bCs/>
          <w:spacing w:val="5"/>
          <w:sz w:val="20"/>
          <w:szCs w:val="20"/>
        </w:rPr>
        <w:t>合同价格、计量与支付</w:t>
      </w:r>
    </w:p>
    <w:p w14:paraId="07385D3D">
      <w:pPr>
        <w:spacing w:before="129" w:line="226" w:lineRule="auto"/>
        <w:ind w:left="443"/>
        <w:rPr>
          <w:rFonts w:ascii="宋体" w:hAnsi="宋体" w:eastAsia="宋体" w:cs="宋体"/>
          <w:sz w:val="20"/>
          <w:szCs w:val="20"/>
        </w:rPr>
      </w:pPr>
      <w:r>
        <w:rPr>
          <w:rFonts w:ascii="宋体" w:hAnsi="宋体" w:eastAsia="宋体" w:cs="宋体"/>
          <w:b/>
          <w:bCs/>
          <w:spacing w:val="4"/>
          <w:sz w:val="20"/>
          <w:szCs w:val="20"/>
        </w:rPr>
        <w:t>12.1</w:t>
      </w:r>
      <w:r>
        <w:rPr>
          <w:rFonts w:ascii="宋体" w:hAnsi="宋体" w:eastAsia="宋体" w:cs="宋体"/>
          <w:spacing w:val="4"/>
          <w:sz w:val="20"/>
          <w:szCs w:val="20"/>
        </w:rPr>
        <w:t xml:space="preserve"> </w:t>
      </w:r>
      <w:r>
        <w:rPr>
          <w:rFonts w:ascii="宋体" w:hAnsi="宋体" w:eastAsia="宋体" w:cs="宋体"/>
          <w:b/>
          <w:bCs/>
          <w:spacing w:val="4"/>
          <w:sz w:val="20"/>
          <w:szCs w:val="20"/>
        </w:rPr>
        <w:t>合同价格形式</w:t>
      </w:r>
    </w:p>
    <w:p w14:paraId="3ED68F03">
      <w:pPr>
        <w:spacing w:before="130" w:line="226" w:lineRule="auto"/>
        <w:ind w:left="443"/>
        <w:rPr>
          <w:rFonts w:ascii="宋体" w:hAnsi="宋体" w:eastAsia="宋体" w:cs="宋体"/>
          <w:sz w:val="20"/>
          <w:szCs w:val="20"/>
        </w:rPr>
      </w:pPr>
      <w:r>
        <w:rPr>
          <w:rFonts w:ascii="宋体" w:hAnsi="宋体" w:eastAsia="宋体" w:cs="宋体"/>
          <w:spacing w:val="4"/>
          <w:sz w:val="20"/>
          <w:szCs w:val="20"/>
        </w:rPr>
        <w:t>1、单价合同。</w:t>
      </w:r>
    </w:p>
    <w:p w14:paraId="725BF85D">
      <w:pPr>
        <w:spacing w:before="129" w:line="226" w:lineRule="auto"/>
        <w:ind w:left="430"/>
        <w:rPr>
          <w:rFonts w:ascii="宋体" w:hAnsi="宋体" w:eastAsia="宋体" w:cs="宋体"/>
          <w:sz w:val="20"/>
          <w:szCs w:val="20"/>
        </w:rPr>
      </w:pPr>
      <w:r>
        <w:rPr>
          <w:rFonts w:ascii="宋体" w:hAnsi="宋体" w:eastAsia="宋体" w:cs="宋体"/>
          <w:spacing w:val="9"/>
          <w:sz w:val="20"/>
          <w:szCs w:val="20"/>
        </w:rPr>
        <w:t>综合单价包含的风险范围：</w:t>
      </w:r>
      <w:r>
        <w:rPr>
          <w:rFonts w:ascii="宋体" w:hAnsi="宋体" w:eastAsia="宋体" w:cs="宋体"/>
          <w:sz w:val="20"/>
          <w:szCs w:val="20"/>
          <w:u w:val="single" w:color="auto"/>
        </w:rPr>
        <w:t xml:space="preserve">                                                        </w:t>
      </w:r>
    </w:p>
    <w:p w14:paraId="003DB890">
      <w:pPr>
        <w:spacing w:before="264" w:line="46" w:lineRule="exact"/>
        <w:ind w:left="8534"/>
        <w:rPr>
          <w:rFonts w:ascii="宋体" w:hAnsi="宋体" w:eastAsia="宋体" w:cs="宋体"/>
          <w:sz w:val="20"/>
          <w:szCs w:val="20"/>
        </w:rPr>
      </w:pPr>
      <w:r>
        <w:pict>
          <v:shape id="_x0000_s1092" o:spid="_x0000_s1092" o:spt="202" type="#_x0000_t202" style="position:absolute;left:0pt;margin-left:-1pt;margin-top:5.8pt;height:14.1pt;width:427.25pt;z-index:251734016;mso-width-relative:page;mso-height-relative:page;" filled="f" stroked="f" coordsize="21600,21600">
            <v:path/>
            <v:fill on="f" focussize="0,0"/>
            <v:stroke on="f"/>
            <v:imagedata o:title=""/>
            <o:lock v:ext="edit" aspectratio="f"/>
            <v:textbox inset="0mm,0mm,0mm,0mm">
              <w:txbxContent>
                <w:p w14:paraId="4C1EC2B3">
                  <w:pPr>
                    <w:tabs>
                      <w:tab w:val="left" w:pos="8524"/>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6BB23FB6">
      <w:pPr>
        <w:spacing w:before="193" w:line="228" w:lineRule="auto"/>
        <w:ind w:left="429"/>
        <w:rPr>
          <w:rFonts w:ascii="宋体" w:hAnsi="宋体" w:eastAsia="宋体" w:cs="宋体"/>
          <w:sz w:val="20"/>
          <w:szCs w:val="20"/>
        </w:rPr>
      </w:pPr>
      <w:r>
        <w:rPr>
          <w:rFonts w:ascii="宋体" w:hAnsi="宋体" w:eastAsia="宋体" w:cs="宋体"/>
          <w:spacing w:val="9"/>
          <w:sz w:val="20"/>
          <w:szCs w:val="20"/>
        </w:rPr>
        <w:t>风险费用的计算方法：</w:t>
      </w:r>
      <w:r>
        <w:rPr>
          <w:rFonts w:ascii="宋体" w:hAnsi="宋体" w:eastAsia="宋体" w:cs="宋体"/>
          <w:sz w:val="20"/>
          <w:szCs w:val="20"/>
          <w:u w:val="single" w:color="auto"/>
        </w:rPr>
        <w:t xml:space="preserve">                                                            </w:t>
      </w:r>
    </w:p>
    <w:p w14:paraId="640466AF">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A5AE8FA">
      <w:pPr>
        <w:spacing w:before="174" w:line="226" w:lineRule="auto"/>
        <w:ind w:left="429"/>
        <w:rPr>
          <w:rFonts w:ascii="宋体" w:hAnsi="宋体" w:eastAsia="宋体" w:cs="宋体"/>
          <w:sz w:val="20"/>
          <w:szCs w:val="20"/>
        </w:rPr>
      </w:pPr>
      <w:r>
        <w:rPr>
          <w:rFonts w:ascii="宋体" w:hAnsi="宋体" w:eastAsia="宋体" w:cs="宋体"/>
          <w:spacing w:val="9"/>
          <w:sz w:val="20"/>
          <w:szCs w:val="20"/>
        </w:rPr>
        <w:t>风险范围以外合同价格的调整方法：</w:t>
      </w:r>
      <w:r>
        <w:rPr>
          <w:rFonts w:ascii="宋体" w:hAnsi="宋体" w:eastAsia="宋体" w:cs="宋体"/>
          <w:sz w:val="20"/>
          <w:szCs w:val="20"/>
          <w:u w:val="single" w:color="auto"/>
        </w:rPr>
        <w:t xml:space="preserve">                                                </w:t>
      </w:r>
    </w:p>
    <w:p w14:paraId="406C3921">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61937E5">
      <w:pPr>
        <w:spacing w:before="175" w:line="226" w:lineRule="auto"/>
        <w:ind w:left="430"/>
        <w:rPr>
          <w:rFonts w:ascii="宋体" w:hAnsi="宋体" w:eastAsia="宋体" w:cs="宋体"/>
          <w:sz w:val="20"/>
          <w:szCs w:val="20"/>
        </w:rPr>
      </w:pPr>
      <w:r>
        <w:rPr>
          <w:rFonts w:ascii="宋体" w:hAnsi="宋体" w:eastAsia="宋体" w:cs="宋体"/>
          <w:spacing w:val="6"/>
          <w:sz w:val="20"/>
          <w:szCs w:val="20"/>
        </w:rPr>
        <w:t>2、总价合同。</w:t>
      </w:r>
    </w:p>
    <w:p w14:paraId="4BC98764">
      <w:pPr>
        <w:spacing w:before="129" w:line="226" w:lineRule="auto"/>
        <w:ind w:left="433"/>
        <w:rPr>
          <w:rFonts w:ascii="宋体" w:hAnsi="宋体" w:eastAsia="宋体" w:cs="宋体"/>
          <w:sz w:val="20"/>
          <w:szCs w:val="20"/>
        </w:rPr>
      </w:pPr>
      <w:r>
        <w:rPr>
          <w:rFonts w:ascii="宋体" w:hAnsi="宋体" w:eastAsia="宋体" w:cs="宋体"/>
          <w:spacing w:val="4"/>
          <w:sz w:val="20"/>
          <w:szCs w:val="20"/>
        </w:rPr>
        <w:t>总价包含的风险范围：</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47BE2AB8">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843811D">
      <w:pPr>
        <w:spacing w:before="174" w:line="228" w:lineRule="auto"/>
        <w:ind w:left="429"/>
        <w:rPr>
          <w:rFonts w:ascii="宋体" w:hAnsi="宋体" w:eastAsia="宋体" w:cs="宋体"/>
          <w:sz w:val="20"/>
          <w:szCs w:val="20"/>
        </w:rPr>
      </w:pPr>
      <w:r>
        <w:rPr>
          <w:rFonts w:ascii="宋体" w:hAnsi="宋体" w:eastAsia="宋体" w:cs="宋体"/>
          <w:spacing w:val="9"/>
          <w:sz w:val="20"/>
          <w:szCs w:val="20"/>
        </w:rPr>
        <w:t>风险费用的计算方法：</w:t>
      </w:r>
      <w:r>
        <w:rPr>
          <w:rFonts w:ascii="宋体" w:hAnsi="宋体" w:eastAsia="宋体" w:cs="宋体"/>
          <w:sz w:val="20"/>
          <w:szCs w:val="20"/>
          <w:u w:val="single" w:color="auto"/>
        </w:rPr>
        <w:t xml:space="preserve">                                                            </w:t>
      </w:r>
    </w:p>
    <w:p w14:paraId="6F281FC9">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8734B53">
      <w:pPr>
        <w:spacing w:before="175" w:line="226" w:lineRule="auto"/>
        <w:ind w:left="429"/>
        <w:rPr>
          <w:rFonts w:ascii="宋体" w:hAnsi="宋体" w:eastAsia="宋体" w:cs="宋体"/>
          <w:sz w:val="20"/>
          <w:szCs w:val="20"/>
        </w:rPr>
      </w:pPr>
      <w:r>
        <w:rPr>
          <w:rFonts w:ascii="宋体" w:hAnsi="宋体" w:eastAsia="宋体" w:cs="宋体"/>
          <w:spacing w:val="9"/>
          <w:sz w:val="20"/>
          <w:szCs w:val="20"/>
        </w:rPr>
        <w:t>风险范围以外合同价格的调整方法：</w:t>
      </w:r>
      <w:r>
        <w:rPr>
          <w:rFonts w:ascii="宋体" w:hAnsi="宋体" w:eastAsia="宋体" w:cs="宋体"/>
          <w:sz w:val="20"/>
          <w:szCs w:val="20"/>
          <w:u w:val="single" w:color="auto"/>
        </w:rPr>
        <w:t xml:space="preserve">                                                </w:t>
      </w:r>
    </w:p>
    <w:p w14:paraId="55BEEDD2">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1EAE222">
      <w:pPr>
        <w:spacing w:before="174" w:line="226" w:lineRule="auto"/>
        <w:ind w:left="432"/>
        <w:rPr>
          <w:rFonts w:ascii="宋体" w:hAnsi="宋体" w:eastAsia="宋体" w:cs="宋体"/>
          <w:sz w:val="20"/>
          <w:szCs w:val="20"/>
        </w:rPr>
      </w:pPr>
      <w:r>
        <w:rPr>
          <w:rFonts w:ascii="宋体" w:hAnsi="宋体" w:eastAsia="宋体" w:cs="宋体"/>
          <w:spacing w:val="4"/>
          <w:sz w:val="20"/>
          <w:szCs w:val="20"/>
        </w:rPr>
        <w:t>3、其他价格方式：</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271BE918">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8575D57">
      <w:pPr>
        <w:spacing w:before="174" w:line="228" w:lineRule="auto"/>
        <w:ind w:left="443"/>
        <w:rPr>
          <w:rFonts w:ascii="宋体" w:hAnsi="宋体" w:eastAsia="宋体" w:cs="宋体"/>
          <w:sz w:val="20"/>
          <w:szCs w:val="20"/>
        </w:rPr>
      </w:pPr>
      <w:r>
        <w:rPr>
          <w:rFonts w:ascii="宋体" w:hAnsi="宋体" w:eastAsia="宋体" w:cs="宋体"/>
          <w:b/>
          <w:bCs/>
          <w:sz w:val="20"/>
          <w:szCs w:val="20"/>
        </w:rPr>
        <w:t>12.2</w:t>
      </w:r>
      <w:r>
        <w:rPr>
          <w:rFonts w:ascii="宋体" w:hAnsi="宋体" w:eastAsia="宋体" w:cs="宋体"/>
          <w:spacing w:val="20"/>
          <w:sz w:val="20"/>
          <w:szCs w:val="20"/>
        </w:rPr>
        <w:t xml:space="preserve"> </w:t>
      </w:r>
      <w:r>
        <w:rPr>
          <w:rFonts w:ascii="宋体" w:hAnsi="宋体" w:eastAsia="宋体" w:cs="宋体"/>
          <w:b/>
          <w:bCs/>
          <w:sz w:val="20"/>
          <w:szCs w:val="20"/>
        </w:rPr>
        <w:t>预付款</w:t>
      </w:r>
    </w:p>
    <w:p w14:paraId="2F075479">
      <w:pPr>
        <w:spacing w:before="127" w:line="228" w:lineRule="auto"/>
        <w:ind w:left="443"/>
        <w:rPr>
          <w:rFonts w:ascii="宋体" w:hAnsi="宋体" w:eastAsia="宋体" w:cs="宋体"/>
          <w:sz w:val="20"/>
          <w:szCs w:val="20"/>
        </w:rPr>
      </w:pPr>
      <w:r>
        <w:rPr>
          <w:rFonts w:ascii="宋体" w:hAnsi="宋体" w:eastAsia="宋体" w:cs="宋体"/>
          <w:spacing w:val="5"/>
          <w:sz w:val="20"/>
          <w:szCs w:val="20"/>
        </w:rPr>
        <w:t>12.2.1 预付款的支付</w:t>
      </w:r>
    </w:p>
    <w:p w14:paraId="72B5DB99">
      <w:pPr>
        <w:spacing w:before="127" w:line="346" w:lineRule="auto"/>
        <w:ind w:left="430" w:right="161"/>
        <w:rPr>
          <w:rFonts w:ascii="宋体" w:hAnsi="宋体" w:eastAsia="宋体" w:cs="宋体"/>
          <w:sz w:val="20"/>
          <w:szCs w:val="20"/>
        </w:rPr>
      </w:pPr>
      <w:r>
        <w:rPr>
          <w:rFonts w:ascii="宋体" w:hAnsi="宋体" w:eastAsia="宋体" w:cs="宋体"/>
          <w:spacing w:val="4"/>
          <w:sz w:val="20"/>
          <w:szCs w:val="20"/>
        </w:rPr>
        <w:t>预付款支付比例或金额：</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4"/>
          <w:sz w:val="20"/>
          <w:szCs w:val="20"/>
        </w:rPr>
        <w:t>预付款支付期限：</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4"/>
          <w:sz w:val="20"/>
          <w:szCs w:val="20"/>
        </w:rPr>
        <w:t>预付款扣回的方式：</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3A312459">
      <w:pPr>
        <w:spacing w:line="227" w:lineRule="auto"/>
        <w:ind w:left="443"/>
        <w:rPr>
          <w:rFonts w:ascii="宋体" w:hAnsi="宋体" w:eastAsia="宋体" w:cs="宋体"/>
          <w:sz w:val="20"/>
          <w:szCs w:val="20"/>
        </w:rPr>
      </w:pPr>
      <w:r>
        <w:rPr>
          <w:rFonts w:ascii="宋体" w:hAnsi="宋体" w:eastAsia="宋体" w:cs="宋体"/>
          <w:spacing w:val="4"/>
          <w:sz w:val="20"/>
          <w:szCs w:val="20"/>
        </w:rPr>
        <w:t>12.2.2 预付款担保</w:t>
      </w:r>
    </w:p>
    <w:p w14:paraId="75F23F7C">
      <w:pPr>
        <w:spacing w:before="127" w:line="346" w:lineRule="auto"/>
        <w:ind w:left="429" w:right="161" w:hanging="1"/>
        <w:rPr>
          <w:rFonts w:ascii="宋体" w:hAnsi="宋体" w:eastAsia="宋体" w:cs="宋体"/>
          <w:sz w:val="20"/>
          <w:szCs w:val="20"/>
        </w:rPr>
      </w:pPr>
      <w:r>
        <w:rPr>
          <w:rFonts w:ascii="宋体" w:hAnsi="宋体" w:eastAsia="宋体" w:cs="宋体"/>
          <w:spacing w:val="6"/>
          <w:sz w:val="20"/>
          <w:szCs w:val="20"/>
        </w:rPr>
        <w:t>承包人提交预付款担保的期限：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4"/>
          <w:sz w:val="20"/>
          <w:szCs w:val="20"/>
        </w:rPr>
        <w:t>预付款担保的形式为：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21596542">
      <w:pPr>
        <w:spacing w:line="229" w:lineRule="auto"/>
        <w:ind w:left="443"/>
        <w:rPr>
          <w:rFonts w:ascii="宋体" w:hAnsi="宋体" w:eastAsia="宋体" w:cs="宋体"/>
          <w:sz w:val="20"/>
          <w:szCs w:val="20"/>
        </w:rPr>
      </w:pPr>
      <w:r>
        <w:rPr>
          <w:rFonts w:ascii="宋体" w:hAnsi="宋体" w:eastAsia="宋体" w:cs="宋体"/>
          <w:b/>
          <w:bCs/>
          <w:spacing w:val="-1"/>
          <w:sz w:val="20"/>
          <w:szCs w:val="20"/>
        </w:rPr>
        <w:t>12.3</w:t>
      </w:r>
      <w:r>
        <w:rPr>
          <w:rFonts w:ascii="宋体" w:hAnsi="宋体" w:eastAsia="宋体" w:cs="宋体"/>
          <w:spacing w:val="16"/>
          <w:sz w:val="20"/>
          <w:szCs w:val="20"/>
        </w:rPr>
        <w:t xml:space="preserve"> </w:t>
      </w:r>
      <w:r>
        <w:rPr>
          <w:rFonts w:ascii="宋体" w:hAnsi="宋体" w:eastAsia="宋体" w:cs="宋体"/>
          <w:b/>
          <w:bCs/>
          <w:spacing w:val="-1"/>
          <w:sz w:val="20"/>
          <w:szCs w:val="20"/>
        </w:rPr>
        <w:t>计量</w:t>
      </w:r>
    </w:p>
    <w:p w14:paraId="7F402CC7">
      <w:pPr>
        <w:spacing w:before="127" w:line="228" w:lineRule="auto"/>
        <w:ind w:left="443"/>
        <w:rPr>
          <w:rFonts w:ascii="宋体" w:hAnsi="宋体" w:eastAsia="宋体" w:cs="宋体"/>
          <w:sz w:val="20"/>
          <w:szCs w:val="20"/>
        </w:rPr>
      </w:pPr>
      <w:r>
        <w:rPr>
          <w:rFonts w:ascii="宋体" w:hAnsi="宋体" w:eastAsia="宋体" w:cs="宋体"/>
          <w:spacing w:val="4"/>
          <w:sz w:val="20"/>
          <w:szCs w:val="20"/>
        </w:rPr>
        <w:t>12.3.1 计量原则</w:t>
      </w:r>
    </w:p>
    <w:p w14:paraId="4E70E281">
      <w:pPr>
        <w:spacing w:before="127" w:line="228" w:lineRule="auto"/>
        <w:ind w:left="430"/>
        <w:rPr>
          <w:rFonts w:ascii="宋体" w:hAnsi="宋体" w:eastAsia="宋体" w:cs="宋体"/>
          <w:sz w:val="20"/>
          <w:szCs w:val="20"/>
        </w:rPr>
      </w:pPr>
      <w:r>
        <w:rPr>
          <w:rFonts w:ascii="宋体" w:hAnsi="宋体" w:eastAsia="宋体" w:cs="宋体"/>
          <w:spacing w:val="6"/>
          <w:sz w:val="20"/>
          <w:szCs w:val="20"/>
        </w:rPr>
        <w:t>工程量计算规则：</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6B878E8">
      <w:pPr>
        <w:spacing w:before="128" w:line="228" w:lineRule="auto"/>
        <w:ind w:left="443"/>
        <w:rPr>
          <w:rFonts w:ascii="宋体" w:hAnsi="宋体" w:eastAsia="宋体" w:cs="宋体"/>
          <w:sz w:val="20"/>
          <w:szCs w:val="20"/>
        </w:rPr>
      </w:pPr>
      <w:r>
        <w:rPr>
          <w:rFonts w:ascii="宋体" w:hAnsi="宋体" w:eastAsia="宋体" w:cs="宋体"/>
          <w:spacing w:val="4"/>
          <w:sz w:val="20"/>
          <w:szCs w:val="20"/>
        </w:rPr>
        <w:t>12.3.2 计量周期</w:t>
      </w:r>
    </w:p>
    <w:p w14:paraId="3F616211">
      <w:pPr>
        <w:spacing w:line="228" w:lineRule="auto"/>
        <w:rPr>
          <w:rFonts w:ascii="宋体" w:hAnsi="宋体" w:eastAsia="宋体" w:cs="宋体"/>
          <w:sz w:val="20"/>
          <w:szCs w:val="20"/>
        </w:rPr>
        <w:sectPr>
          <w:footerReference r:id="rId408" w:type="default"/>
          <w:pgSz w:w="11906" w:h="16839"/>
          <w:pgMar w:top="400" w:right="1533" w:bottom="1446" w:left="1531" w:header="0" w:footer="1284" w:gutter="0"/>
          <w:cols w:space="720" w:num="1"/>
        </w:sectPr>
      </w:pPr>
    </w:p>
    <w:p w14:paraId="3AE576AA">
      <w:pPr>
        <w:spacing w:line="246" w:lineRule="auto"/>
        <w:rPr>
          <w:rFonts w:ascii="Arial"/>
          <w:sz w:val="21"/>
        </w:rPr>
      </w:pPr>
    </w:p>
    <w:p w14:paraId="3C0B68C5">
      <w:pPr>
        <w:spacing w:line="246" w:lineRule="auto"/>
        <w:rPr>
          <w:rFonts w:ascii="Arial"/>
          <w:sz w:val="21"/>
        </w:rPr>
      </w:pPr>
    </w:p>
    <w:p w14:paraId="2F5AF00D">
      <w:pPr>
        <w:spacing w:line="246" w:lineRule="auto"/>
        <w:rPr>
          <w:rFonts w:ascii="Arial"/>
          <w:sz w:val="21"/>
        </w:rPr>
      </w:pPr>
    </w:p>
    <w:p w14:paraId="5D89B0E0">
      <w:pPr>
        <w:spacing w:line="246" w:lineRule="auto"/>
        <w:rPr>
          <w:rFonts w:ascii="Arial"/>
          <w:sz w:val="21"/>
        </w:rPr>
      </w:pPr>
    </w:p>
    <w:p w14:paraId="416802A5">
      <w:pPr>
        <w:spacing w:line="247" w:lineRule="auto"/>
        <w:rPr>
          <w:rFonts w:ascii="Arial"/>
          <w:sz w:val="21"/>
        </w:rPr>
      </w:pPr>
    </w:p>
    <w:p w14:paraId="76F64ABB">
      <w:pPr>
        <w:spacing w:line="247" w:lineRule="auto"/>
        <w:rPr>
          <w:rFonts w:ascii="Arial"/>
          <w:sz w:val="21"/>
        </w:rPr>
      </w:pPr>
    </w:p>
    <w:p w14:paraId="5248E36F">
      <w:pPr>
        <w:spacing w:before="65" w:line="228" w:lineRule="auto"/>
        <w:jc w:val="right"/>
        <w:rPr>
          <w:rFonts w:ascii="宋体" w:hAnsi="宋体" w:eastAsia="宋体" w:cs="宋体"/>
          <w:sz w:val="20"/>
          <w:szCs w:val="20"/>
        </w:rPr>
      </w:pPr>
      <w:r>
        <w:rPr>
          <w:rFonts w:ascii="宋体" w:hAnsi="宋体" w:eastAsia="宋体" w:cs="宋体"/>
          <w:spacing w:val="4"/>
          <w:sz w:val="20"/>
          <w:szCs w:val="20"/>
        </w:rPr>
        <w:t>关于计量周期的约定：</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58446D2A">
      <w:pPr>
        <w:spacing w:before="127" w:line="226" w:lineRule="auto"/>
        <w:ind w:left="443"/>
        <w:rPr>
          <w:rFonts w:ascii="宋体" w:hAnsi="宋体" w:eastAsia="宋体" w:cs="宋体"/>
          <w:sz w:val="20"/>
          <w:szCs w:val="20"/>
        </w:rPr>
      </w:pPr>
      <w:r>
        <w:rPr>
          <w:rFonts w:ascii="宋体" w:hAnsi="宋体" w:eastAsia="宋体" w:cs="宋体"/>
          <w:spacing w:val="5"/>
          <w:sz w:val="20"/>
          <w:szCs w:val="20"/>
        </w:rPr>
        <w:t>12.3.3 单价合同的计量</w:t>
      </w:r>
    </w:p>
    <w:p w14:paraId="21EF93D2">
      <w:pPr>
        <w:spacing w:before="129" w:line="226" w:lineRule="auto"/>
        <w:jc w:val="right"/>
        <w:rPr>
          <w:rFonts w:ascii="宋体" w:hAnsi="宋体" w:eastAsia="宋体" w:cs="宋体"/>
          <w:sz w:val="20"/>
          <w:szCs w:val="20"/>
        </w:rPr>
      </w:pPr>
      <w:r>
        <w:rPr>
          <w:rFonts w:ascii="宋体" w:hAnsi="宋体" w:eastAsia="宋体" w:cs="宋体"/>
          <w:spacing w:val="6"/>
          <w:sz w:val="20"/>
          <w:szCs w:val="20"/>
        </w:rPr>
        <w:t>关于单价合同计量的约定：</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2EE23473">
      <w:pPr>
        <w:spacing w:before="129" w:line="226" w:lineRule="auto"/>
        <w:ind w:left="443"/>
        <w:rPr>
          <w:rFonts w:ascii="宋体" w:hAnsi="宋体" w:eastAsia="宋体" w:cs="宋体"/>
          <w:sz w:val="20"/>
          <w:szCs w:val="20"/>
        </w:rPr>
      </w:pPr>
      <w:r>
        <w:rPr>
          <w:rFonts w:ascii="宋体" w:hAnsi="宋体" w:eastAsia="宋体" w:cs="宋体"/>
          <w:spacing w:val="5"/>
          <w:sz w:val="20"/>
          <w:szCs w:val="20"/>
        </w:rPr>
        <w:t>12.3.4 总价合同的计量</w:t>
      </w:r>
    </w:p>
    <w:p w14:paraId="76F9CFA3">
      <w:pPr>
        <w:spacing w:before="129" w:line="226" w:lineRule="auto"/>
        <w:jc w:val="right"/>
        <w:rPr>
          <w:rFonts w:ascii="宋体" w:hAnsi="宋体" w:eastAsia="宋体" w:cs="宋体"/>
          <w:sz w:val="20"/>
          <w:szCs w:val="20"/>
        </w:rPr>
      </w:pPr>
      <w:r>
        <w:rPr>
          <w:rFonts w:ascii="宋体" w:hAnsi="宋体" w:eastAsia="宋体" w:cs="宋体"/>
          <w:spacing w:val="6"/>
          <w:sz w:val="20"/>
          <w:szCs w:val="20"/>
        </w:rPr>
        <w:t>关于总价合同计量的约定：</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49723AE1">
      <w:pPr>
        <w:spacing w:before="130" w:line="226" w:lineRule="auto"/>
        <w:ind w:left="443"/>
        <w:rPr>
          <w:rFonts w:ascii="宋体" w:hAnsi="宋体" w:eastAsia="宋体" w:cs="宋体"/>
          <w:sz w:val="20"/>
          <w:szCs w:val="20"/>
        </w:rPr>
      </w:pPr>
      <w:r>
        <w:rPr>
          <w:rFonts w:ascii="宋体" w:hAnsi="宋体" w:eastAsia="宋体" w:cs="宋体"/>
          <w:spacing w:val="6"/>
          <w:sz w:val="20"/>
          <w:szCs w:val="20"/>
        </w:rPr>
        <w:t>12.3.5 其他价格形式合同的计量</w:t>
      </w:r>
    </w:p>
    <w:p w14:paraId="3FE59F0D">
      <w:pPr>
        <w:spacing w:before="129" w:line="226" w:lineRule="auto"/>
        <w:ind w:left="429"/>
        <w:rPr>
          <w:rFonts w:ascii="宋体" w:hAnsi="宋体" w:eastAsia="宋体" w:cs="宋体"/>
          <w:sz w:val="20"/>
          <w:szCs w:val="20"/>
        </w:rPr>
      </w:pPr>
      <w:r>
        <w:rPr>
          <w:rFonts w:ascii="宋体" w:hAnsi="宋体" w:eastAsia="宋体" w:cs="宋体"/>
          <w:spacing w:val="9"/>
          <w:sz w:val="20"/>
          <w:szCs w:val="20"/>
        </w:rPr>
        <w:t>其他价格形式的计量方式和程序：</w:t>
      </w:r>
      <w:r>
        <w:rPr>
          <w:rFonts w:ascii="宋体" w:hAnsi="宋体" w:eastAsia="宋体" w:cs="宋体"/>
          <w:sz w:val="20"/>
          <w:szCs w:val="20"/>
          <w:u w:val="single" w:color="auto"/>
        </w:rPr>
        <w:t xml:space="preserve">                                                  </w:t>
      </w:r>
    </w:p>
    <w:p w14:paraId="27AA039D">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A25DFA3">
      <w:pPr>
        <w:spacing w:before="174" w:line="228" w:lineRule="auto"/>
        <w:ind w:left="443"/>
        <w:rPr>
          <w:rFonts w:ascii="宋体" w:hAnsi="宋体" w:eastAsia="宋体" w:cs="宋体"/>
          <w:sz w:val="20"/>
          <w:szCs w:val="20"/>
        </w:rPr>
      </w:pPr>
      <w:r>
        <w:rPr>
          <w:rFonts w:ascii="宋体" w:hAnsi="宋体" w:eastAsia="宋体" w:cs="宋体"/>
          <w:b/>
          <w:bCs/>
          <w:spacing w:val="4"/>
          <w:sz w:val="20"/>
          <w:szCs w:val="20"/>
        </w:rPr>
        <w:t>12.4</w:t>
      </w:r>
      <w:r>
        <w:rPr>
          <w:rFonts w:ascii="宋体" w:hAnsi="宋体" w:eastAsia="宋体" w:cs="宋体"/>
          <w:spacing w:val="4"/>
          <w:sz w:val="20"/>
          <w:szCs w:val="20"/>
        </w:rPr>
        <w:t xml:space="preserve"> </w:t>
      </w:r>
      <w:r>
        <w:rPr>
          <w:rFonts w:ascii="宋体" w:hAnsi="宋体" w:eastAsia="宋体" w:cs="宋体"/>
          <w:b/>
          <w:bCs/>
          <w:spacing w:val="4"/>
          <w:sz w:val="20"/>
          <w:szCs w:val="20"/>
        </w:rPr>
        <w:t>工程进度款支付</w:t>
      </w:r>
    </w:p>
    <w:p w14:paraId="52739085">
      <w:pPr>
        <w:spacing w:before="128" w:line="228" w:lineRule="auto"/>
        <w:ind w:left="443"/>
        <w:rPr>
          <w:rFonts w:ascii="宋体" w:hAnsi="宋体" w:eastAsia="宋体" w:cs="宋体"/>
          <w:sz w:val="20"/>
          <w:szCs w:val="20"/>
        </w:rPr>
      </w:pPr>
      <w:r>
        <w:rPr>
          <w:rFonts w:ascii="宋体" w:hAnsi="宋体" w:eastAsia="宋体" w:cs="宋体"/>
          <w:spacing w:val="4"/>
          <w:sz w:val="20"/>
          <w:szCs w:val="20"/>
        </w:rPr>
        <w:t>12.4.1 付款周期</w:t>
      </w:r>
    </w:p>
    <w:p w14:paraId="5D450293">
      <w:pPr>
        <w:spacing w:before="127" w:line="228" w:lineRule="auto"/>
        <w:jc w:val="right"/>
        <w:rPr>
          <w:rFonts w:ascii="宋体" w:hAnsi="宋体" w:eastAsia="宋体" w:cs="宋体"/>
          <w:sz w:val="20"/>
          <w:szCs w:val="20"/>
        </w:rPr>
      </w:pPr>
      <w:r>
        <w:rPr>
          <w:rFonts w:ascii="宋体" w:hAnsi="宋体" w:eastAsia="宋体" w:cs="宋体"/>
          <w:spacing w:val="4"/>
          <w:sz w:val="20"/>
          <w:szCs w:val="20"/>
        </w:rPr>
        <w:t>关于付款周期的约定：</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0BB28606">
      <w:pPr>
        <w:spacing w:before="127" w:line="228" w:lineRule="auto"/>
        <w:ind w:left="443"/>
        <w:rPr>
          <w:rFonts w:ascii="宋体" w:hAnsi="宋体" w:eastAsia="宋体" w:cs="宋体"/>
          <w:sz w:val="20"/>
          <w:szCs w:val="20"/>
        </w:rPr>
      </w:pPr>
      <w:r>
        <w:rPr>
          <w:rFonts w:ascii="宋体" w:hAnsi="宋体" w:eastAsia="宋体" w:cs="宋体"/>
          <w:spacing w:val="6"/>
          <w:sz w:val="20"/>
          <w:szCs w:val="20"/>
        </w:rPr>
        <w:t>12.4.2 进度付款申请单的编制</w:t>
      </w:r>
    </w:p>
    <w:p w14:paraId="1DAFDA01">
      <w:pPr>
        <w:spacing w:before="128" w:line="228" w:lineRule="auto"/>
        <w:ind w:left="431"/>
        <w:rPr>
          <w:rFonts w:ascii="宋体" w:hAnsi="宋体" w:eastAsia="宋体" w:cs="宋体"/>
          <w:sz w:val="20"/>
          <w:szCs w:val="20"/>
        </w:rPr>
      </w:pPr>
      <w:r>
        <w:rPr>
          <w:rFonts w:ascii="宋体" w:hAnsi="宋体" w:eastAsia="宋体" w:cs="宋体"/>
          <w:spacing w:val="9"/>
          <w:sz w:val="20"/>
          <w:szCs w:val="20"/>
        </w:rPr>
        <w:t>关于进度付款申请单编制的约定：</w:t>
      </w:r>
      <w:r>
        <w:rPr>
          <w:rFonts w:ascii="宋体" w:hAnsi="宋体" w:eastAsia="宋体" w:cs="宋体"/>
          <w:sz w:val="20"/>
          <w:szCs w:val="20"/>
          <w:u w:val="single" w:color="auto"/>
        </w:rPr>
        <w:t xml:space="preserve">                                                  </w:t>
      </w:r>
    </w:p>
    <w:p w14:paraId="55016057">
      <w:pPr>
        <w:spacing w:before="262" w:line="46" w:lineRule="exact"/>
        <w:jc w:val="right"/>
        <w:rPr>
          <w:rFonts w:ascii="宋体" w:hAnsi="宋体" w:eastAsia="宋体" w:cs="宋体"/>
          <w:sz w:val="20"/>
          <w:szCs w:val="20"/>
        </w:rPr>
      </w:pPr>
      <w:r>
        <w:pict>
          <v:shape id="_x0000_s1093" o:spid="_x0000_s1093" o:spt="202" type="#_x0000_t202" style="position:absolute;left:0pt;margin-left:-1pt;margin-top:5.7pt;height:14.1pt;width:427.25pt;z-index:251739136;mso-width-relative:page;mso-height-relative:page;" filled="f" stroked="f" coordsize="21600,21600">
            <v:path/>
            <v:fill on="f" focussize="0,0"/>
            <v:stroke on="f"/>
            <v:imagedata o:title=""/>
            <o:lock v:ext="edit" aspectratio="f"/>
            <v:textbox inset="0mm,0mm,0mm,0mm">
              <w:txbxContent>
                <w:p w14:paraId="7E93BB92">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6EE210D9">
      <w:pPr>
        <w:spacing w:before="194" w:line="228" w:lineRule="auto"/>
        <w:ind w:left="443"/>
        <w:rPr>
          <w:rFonts w:ascii="宋体" w:hAnsi="宋体" w:eastAsia="宋体" w:cs="宋体"/>
          <w:sz w:val="20"/>
          <w:szCs w:val="20"/>
        </w:rPr>
      </w:pPr>
      <w:r>
        <w:rPr>
          <w:rFonts w:ascii="宋体" w:hAnsi="宋体" w:eastAsia="宋体" w:cs="宋体"/>
          <w:spacing w:val="6"/>
          <w:sz w:val="20"/>
          <w:szCs w:val="20"/>
        </w:rPr>
        <w:t>12.4.3 进度付款申请单的提交</w:t>
      </w:r>
    </w:p>
    <w:p w14:paraId="65A28C1B">
      <w:pPr>
        <w:spacing w:before="128" w:line="226" w:lineRule="auto"/>
        <w:jc w:val="right"/>
        <w:rPr>
          <w:rFonts w:ascii="宋体" w:hAnsi="宋体" w:eastAsia="宋体" w:cs="宋体"/>
          <w:sz w:val="20"/>
          <w:szCs w:val="20"/>
        </w:rPr>
      </w:pPr>
      <w:r>
        <w:rPr>
          <w:rFonts w:ascii="宋体" w:hAnsi="宋体" w:eastAsia="宋体" w:cs="宋体"/>
          <w:spacing w:val="6"/>
          <w:sz w:val="20"/>
          <w:szCs w:val="20"/>
        </w:rPr>
        <w:t>（1）单价合同进度付款申请单提交的约定：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33254C6">
      <w:pPr>
        <w:spacing w:before="129" w:line="226" w:lineRule="auto"/>
        <w:jc w:val="right"/>
        <w:rPr>
          <w:rFonts w:ascii="宋体" w:hAnsi="宋体" w:eastAsia="宋体" w:cs="宋体"/>
          <w:sz w:val="20"/>
          <w:szCs w:val="20"/>
        </w:rPr>
      </w:pPr>
      <w:r>
        <w:rPr>
          <w:rFonts w:ascii="宋体" w:hAnsi="宋体" w:eastAsia="宋体" w:cs="宋体"/>
          <w:spacing w:val="6"/>
          <w:sz w:val="20"/>
          <w:szCs w:val="20"/>
        </w:rPr>
        <w:t>（2）总价合同进度付款申请单提交的约定：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EB7BA1F">
      <w:pPr>
        <w:spacing w:before="130" w:line="226" w:lineRule="auto"/>
        <w:ind w:left="438"/>
        <w:rPr>
          <w:rFonts w:ascii="宋体" w:hAnsi="宋体" w:eastAsia="宋体" w:cs="宋体"/>
          <w:sz w:val="20"/>
          <w:szCs w:val="20"/>
        </w:rPr>
      </w:pPr>
      <w:r>
        <w:rPr>
          <w:rFonts w:ascii="宋体" w:hAnsi="宋体" w:eastAsia="宋体" w:cs="宋体"/>
          <w:spacing w:val="9"/>
          <w:sz w:val="20"/>
          <w:szCs w:val="20"/>
        </w:rPr>
        <w:t>（3）其他价格形式合同进度付款申请单提交的约</w:t>
      </w:r>
      <w:r>
        <w:rPr>
          <w:rFonts w:ascii="宋体" w:hAnsi="宋体" w:eastAsia="宋体" w:cs="宋体"/>
          <w:spacing w:val="8"/>
          <w:sz w:val="20"/>
          <w:szCs w:val="20"/>
        </w:rPr>
        <w:t>定：</w:t>
      </w:r>
      <w:r>
        <w:rPr>
          <w:rFonts w:ascii="宋体" w:hAnsi="宋体" w:eastAsia="宋体" w:cs="宋体"/>
          <w:sz w:val="20"/>
          <w:szCs w:val="20"/>
          <w:u w:val="single" w:color="auto"/>
        </w:rPr>
        <w:t xml:space="preserve">                                </w:t>
      </w:r>
    </w:p>
    <w:p w14:paraId="45B5FA5C">
      <w:pPr>
        <w:spacing w:before="264" w:line="45" w:lineRule="exact"/>
        <w:jc w:val="right"/>
        <w:rPr>
          <w:rFonts w:ascii="宋体" w:hAnsi="宋体" w:eastAsia="宋体" w:cs="宋体"/>
          <w:sz w:val="20"/>
          <w:szCs w:val="20"/>
        </w:rPr>
      </w:pPr>
      <w:r>
        <w:pict>
          <v:shape id="_x0000_s1094" o:spid="_x0000_s1094" o:spt="202" type="#_x0000_t202" style="position:absolute;left:0pt;margin-left:-1pt;margin-top:5.8pt;height:14.1pt;width:427.25pt;z-index:251741184;mso-width-relative:page;mso-height-relative:page;" filled="f" stroked="f" coordsize="21600,21600">
            <v:path/>
            <v:fill on="f" focussize="0,0"/>
            <v:stroke on="f"/>
            <v:imagedata o:title=""/>
            <o:lock v:ext="edit" aspectratio="f"/>
            <v:textbox inset="0mm,0mm,0mm,0mm">
              <w:txbxContent>
                <w:p w14:paraId="463603EB">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7D83F13D">
      <w:pPr>
        <w:spacing w:before="194" w:line="228" w:lineRule="auto"/>
        <w:ind w:left="443"/>
        <w:rPr>
          <w:rFonts w:ascii="宋体" w:hAnsi="宋体" w:eastAsia="宋体" w:cs="宋体"/>
          <w:sz w:val="20"/>
          <w:szCs w:val="20"/>
        </w:rPr>
      </w:pPr>
      <w:r>
        <w:rPr>
          <w:rFonts w:ascii="宋体" w:hAnsi="宋体" w:eastAsia="宋体" w:cs="宋体"/>
          <w:spacing w:val="5"/>
          <w:sz w:val="20"/>
          <w:szCs w:val="20"/>
        </w:rPr>
        <w:t>12.4.4 进度款审核和支付</w:t>
      </w:r>
    </w:p>
    <w:p w14:paraId="1D284F51">
      <w:pPr>
        <w:spacing w:before="128" w:line="347" w:lineRule="auto"/>
        <w:ind w:left="428" w:firstLine="10"/>
        <w:rPr>
          <w:rFonts w:ascii="宋体" w:hAnsi="宋体" w:eastAsia="宋体" w:cs="宋体"/>
          <w:sz w:val="20"/>
          <w:szCs w:val="20"/>
        </w:rPr>
      </w:pPr>
      <w:r>
        <w:rPr>
          <w:rFonts w:ascii="宋体" w:hAnsi="宋体" w:eastAsia="宋体" w:cs="宋体"/>
          <w:spacing w:val="6"/>
          <w:sz w:val="20"/>
          <w:szCs w:val="20"/>
        </w:rPr>
        <w:t>（1）人工费计算调整办法和调整周期的约定：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9"/>
          <w:sz w:val="20"/>
          <w:szCs w:val="20"/>
        </w:rPr>
        <w:t>承包人向发包人提出支付人工费申请时应当提交资料：</w:t>
      </w:r>
      <w:r>
        <w:rPr>
          <w:rFonts w:ascii="宋体" w:hAnsi="宋体" w:eastAsia="宋体" w:cs="宋体"/>
          <w:sz w:val="20"/>
          <w:szCs w:val="20"/>
          <w:u w:val="single" w:color="auto"/>
        </w:rPr>
        <w:t xml:space="preserve">                               </w:t>
      </w:r>
    </w:p>
    <w:p w14:paraId="3FF4475B">
      <w:pPr>
        <w:tabs>
          <w:tab w:val="left" w:pos="8504"/>
        </w:tabs>
        <w:spacing w:before="13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97FFFB5">
      <w:pPr>
        <w:spacing w:before="173" w:line="347" w:lineRule="auto"/>
        <w:ind w:left="431" w:firstLine="6"/>
        <w:rPr>
          <w:rFonts w:ascii="宋体" w:hAnsi="宋体" w:eastAsia="宋体" w:cs="宋体"/>
          <w:sz w:val="20"/>
          <w:szCs w:val="20"/>
        </w:rPr>
      </w:pPr>
      <w:r>
        <w:rPr>
          <w:rFonts w:ascii="宋体" w:hAnsi="宋体" w:eastAsia="宋体" w:cs="宋体"/>
          <w:spacing w:val="6"/>
          <w:sz w:val="20"/>
          <w:szCs w:val="20"/>
        </w:rPr>
        <w:t>（2）监理人审查并报送发包人的期限：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9"/>
          <w:sz w:val="20"/>
          <w:szCs w:val="20"/>
        </w:rPr>
        <w:t>发包人完成审批并签发进度款支付证书的期限：</w:t>
      </w:r>
      <w:r>
        <w:rPr>
          <w:rFonts w:ascii="宋体" w:hAnsi="宋体" w:eastAsia="宋体" w:cs="宋体"/>
          <w:sz w:val="20"/>
          <w:szCs w:val="20"/>
          <w:u w:val="single" w:color="auto"/>
        </w:rPr>
        <w:t xml:space="preserve">                                     </w:t>
      </w:r>
    </w:p>
    <w:p w14:paraId="740CCF56">
      <w:pPr>
        <w:spacing w:before="132" w:line="46" w:lineRule="exact"/>
        <w:jc w:val="right"/>
        <w:rPr>
          <w:rFonts w:ascii="宋体" w:hAnsi="宋体" w:eastAsia="宋体" w:cs="宋体"/>
          <w:sz w:val="20"/>
          <w:szCs w:val="20"/>
        </w:rPr>
      </w:pPr>
      <w:r>
        <w:pict>
          <v:shape id="_x0000_s1095" o:spid="_x0000_s1095" o:spt="202" type="#_x0000_t202" style="position:absolute;left:0pt;margin-left:-1pt;margin-top:-0.7pt;height:14.1pt;width:427.25pt;z-index:251740160;mso-width-relative:page;mso-height-relative:page;" filled="f" stroked="f" coordsize="21600,21600">
            <v:path/>
            <v:fill on="f" focussize="0,0"/>
            <v:stroke on="f"/>
            <v:imagedata o:title=""/>
            <o:lock v:ext="edit" aspectratio="f"/>
            <v:textbox inset="0mm,0mm,0mm,0mm">
              <w:txbxContent>
                <w:p w14:paraId="652FCA36">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6B8217BE">
      <w:pPr>
        <w:spacing w:before="194" w:line="347" w:lineRule="auto"/>
        <w:ind w:left="431" w:firstLine="6"/>
        <w:rPr>
          <w:rFonts w:ascii="宋体" w:hAnsi="宋体" w:eastAsia="宋体" w:cs="宋体"/>
          <w:sz w:val="20"/>
          <w:szCs w:val="20"/>
        </w:rPr>
      </w:pPr>
      <w:r>
        <w:rPr>
          <w:rFonts w:ascii="宋体" w:hAnsi="宋体" w:eastAsia="宋体" w:cs="宋体"/>
          <w:spacing w:val="6"/>
          <w:sz w:val="20"/>
          <w:szCs w:val="20"/>
        </w:rPr>
        <w:t>（3）发包人支付进度款的期限：</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9"/>
          <w:sz w:val="20"/>
          <w:szCs w:val="20"/>
        </w:rPr>
        <w:t>发包人逾期支付进度款的违约金的计算方式：</w:t>
      </w:r>
      <w:r>
        <w:rPr>
          <w:rFonts w:ascii="宋体" w:hAnsi="宋体" w:eastAsia="宋体" w:cs="宋体"/>
          <w:sz w:val="20"/>
          <w:szCs w:val="20"/>
          <w:u w:val="single" w:color="auto"/>
        </w:rPr>
        <w:t xml:space="preserve">                                       </w:t>
      </w:r>
    </w:p>
    <w:p w14:paraId="4E8DC991">
      <w:pPr>
        <w:spacing w:before="132" w:line="45" w:lineRule="exact"/>
        <w:jc w:val="right"/>
        <w:rPr>
          <w:rFonts w:ascii="宋体" w:hAnsi="宋体" w:eastAsia="宋体" w:cs="宋体"/>
          <w:sz w:val="20"/>
          <w:szCs w:val="20"/>
        </w:rPr>
      </w:pPr>
      <w:r>
        <w:pict>
          <v:shape id="_x0000_s1096" o:spid="_x0000_s1096" o:spt="202" type="#_x0000_t202" style="position:absolute;left:0pt;margin-left:-1pt;margin-top:-0.75pt;height:14.1pt;width:427.25pt;z-index:251736064;mso-width-relative:page;mso-height-relative:page;" filled="f" stroked="f" coordsize="21600,21600">
            <v:path/>
            <v:fill on="f" focussize="0,0"/>
            <v:stroke on="f"/>
            <v:imagedata o:title=""/>
            <o:lock v:ext="edit" aspectratio="f"/>
            <v:textbox inset="0mm,0mm,0mm,0mm">
              <w:txbxContent>
                <w:p w14:paraId="1DAB6EF8">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558EE870">
      <w:pPr>
        <w:spacing w:before="194" w:line="228" w:lineRule="auto"/>
        <w:ind w:left="443"/>
        <w:rPr>
          <w:rFonts w:ascii="宋体" w:hAnsi="宋体" w:eastAsia="宋体" w:cs="宋体"/>
          <w:sz w:val="20"/>
          <w:szCs w:val="20"/>
        </w:rPr>
      </w:pPr>
      <w:r>
        <w:rPr>
          <w:rFonts w:ascii="宋体" w:hAnsi="宋体" w:eastAsia="宋体" w:cs="宋体"/>
          <w:spacing w:val="4"/>
          <w:sz w:val="20"/>
          <w:szCs w:val="20"/>
        </w:rPr>
        <w:t>12.4.5 进度付款的修正：</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6AFE457C">
      <w:pPr>
        <w:spacing w:before="263" w:line="45" w:lineRule="exact"/>
        <w:jc w:val="right"/>
        <w:rPr>
          <w:rFonts w:ascii="宋体" w:hAnsi="宋体" w:eastAsia="宋体" w:cs="宋体"/>
          <w:sz w:val="20"/>
          <w:szCs w:val="20"/>
        </w:rPr>
      </w:pPr>
      <w:r>
        <w:pict>
          <v:shape id="_x0000_s1097" o:spid="_x0000_s1097" o:spt="202" type="#_x0000_t202" style="position:absolute;left:0pt;margin-left:-1pt;margin-top:5.75pt;height:14.1pt;width:427.25pt;z-index:251737088;mso-width-relative:page;mso-height-relative:page;" filled="f" stroked="f" coordsize="21600,21600">
            <v:path/>
            <v:fill on="f" focussize="0,0"/>
            <v:stroke on="f"/>
            <v:imagedata o:title=""/>
            <o:lock v:ext="edit" aspectratio="f"/>
            <v:textbox inset="0mm,0mm,0mm,0mm">
              <w:txbxContent>
                <w:p w14:paraId="69CFA585">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72391F07">
      <w:pPr>
        <w:spacing w:before="194" w:line="228" w:lineRule="auto"/>
        <w:ind w:left="443"/>
        <w:rPr>
          <w:rFonts w:ascii="宋体" w:hAnsi="宋体" w:eastAsia="宋体" w:cs="宋体"/>
          <w:sz w:val="20"/>
          <w:szCs w:val="20"/>
        </w:rPr>
      </w:pPr>
      <w:r>
        <w:rPr>
          <w:rFonts w:ascii="宋体" w:hAnsi="宋体" w:eastAsia="宋体" w:cs="宋体"/>
          <w:spacing w:val="5"/>
          <w:sz w:val="20"/>
          <w:szCs w:val="20"/>
        </w:rPr>
        <w:t>12.4.6 支付分解表的编制</w:t>
      </w:r>
    </w:p>
    <w:p w14:paraId="21E10280">
      <w:pPr>
        <w:spacing w:before="128" w:line="226" w:lineRule="auto"/>
        <w:ind w:left="430"/>
        <w:rPr>
          <w:rFonts w:ascii="宋体" w:hAnsi="宋体" w:eastAsia="宋体" w:cs="宋体"/>
          <w:sz w:val="20"/>
          <w:szCs w:val="20"/>
        </w:rPr>
      </w:pPr>
      <w:r>
        <w:rPr>
          <w:rFonts w:ascii="宋体" w:hAnsi="宋体" w:eastAsia="宋体" w:cs="宋体"/>
          <w:spacing w:val="9"/>
          <w:sz w:val="20"/>
          <w:szCs w:val="20"/>
        </w:rPr>
        <w:t>2、总价合同支付分解表的编制与审批：</w:t>
      </w:r>
      <w:r>
        <w:rPr>
          <w:rFonts w:ascii="宋体" w:hAnsi="宋体" w:eastAsia="宋体" w:cs="宋体"/>
          <w:sz w:val="20"/>
          <w:szCs w:val="20"/>
          <w:u w:val="single" w:color="auto"/>
        </w:rPr>
        <w:t xml:space="preserve">                                             </w:t>
      </w:r>
    </w:p>
    <w:p w14:paraId="51AFD9EF">
      <w:pPr>
        <w:spacing w:before="264" w:line="45" w:lineRule="exact"/>
        <w:jc w:val="right"/>
        <w:rPr>
          <w:rFonts w:ascii="宋体" w:hAnsi="宋体" w:eastAsia="宋体" w:cs="宋体"/>
          <w:sz w:val="20"/>
          <w:szCs w:val="20"/>
        </w:rPr>
      </w:pPr>
      <w:r>
        <w:pict>
          <v:shape id="_x0000_s1098" o:spid="_x0000_s1098" o:spt="202" type="#_x0000_t202" style="position:absolute;left:0pt;margin-left:-1pt;margin-top:5.8pt;height:14.1pt;width:427.25pt;z-index:251738112;mso-width-relative:page;mso-height-relative:page;" filled="f" stroked="f" coordsize="21600,21600">
            <v:path/>
            <v:fill on="f" focussize="0,0"/>
            <v:stroke on="f"/>
            <v:imagedata o:title=""/>
            <o:lock v:ext="edit" aspectratio="f"/>
            <v:textbox inset="0mm,0mm,0mm,0mm">
              <w:txbxContent>
                <w:p w14:paraId="6ADDAC8C">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19505AF8">
      <w:pPr>
        <w:spacing w:line="45" w:lineRule="exact"/>
        <w:rPr>
          <w:rFonts w:ascii="宋体" w:hAnsi="宋体" w:eastAsia="宋体" w:cs="宋体"/>
          <w:sz w:val="20"/>
          <w:szCs w:val="20"/>
        </w:rPr>
        <w:sectPr>
          <w:footerReference r:id="rId409" w:type="default"/>
          <w:pgSz w:w="11906" w:h="16839"/>
          <w:pgMar w:top="400" w:right="1695" w:bottom="1446" w:left="1531" w:header="0" w:footer="1284" w:gutter="0"/>
          <w:cols w:space="720" w:num="1"/>
        </w:sectPr>
      </w:pPr>
    </w:p>
    <w:p w14:paraId="3C7686D3">
      <w:pPr>
        <w:spacing w:line="467" w:lineRule="auto"/>
        <w:rPr>
          <w:rFonts w:ascii="Arial"/>
          <w:sz w:val="21"/>
        </w:rPr>
      </w:pPr>
    </w:p>
    <w:p w14:paraId="3205BADD">
      <w:pPr>
        <w:spacing w:before="65" w:line="228" w:lineRule="auto"/>
        <w:ind w:left="443"/>
        <w:outlineLvl w:val="2"/>
        <w:rPr>
          <w:rFonts w:ascii="宋体" w:hAnsi="宋体" w:eastAsia="宋体" w:cs="宋体"/>
          <w:sz w:val="20"/>
          <w:szCs w:val="20"/>
        </w:rPr>
      </w:pPr>
      <w:bookmarkStart w:id="339" w:name="bookmark322"/>
      <w:bookmarkEnd w:id="339"/>
      <w:r>
        <w:rPr>
          <w:rFonts w:ascii="宋体" w:hAnsi="宋体" w:eastAsia="宋体" w:cs="宋体"/>
          <w:b/>
          <w:bCs/>
          <w:spacing w:val="4"/>
          <w:sz w:val="20"/>
          <w:szCs w:val="20"/>
        </w:rPr>
        <w:t>13.</w:t>
      </w:r>
      <w:r>
        <w:rPr>
          <w:rFonts w:ascii="宋体" w:hAnsi="宋体" w:eastAsia="宋体" w:cs="宋体"/>
          <w:spacing w:val="4"/>
          <w:sz w:val="20"/>
          <w:szCs w:val="20"/>
        </w:rPr>
        <w:t xml:space="preserve"> </w:t>
      </w:r>
      <w:r>
        <w:rPr>
          <w:rFonts w:ascii="宋体" w:hAnsi="宋体" w:eastAsia="宋体" w:cs="宋体"/>
          <w:b/>
          <w:bCs/>
          <w:spacing w:val="4"/>
          <w:sz w:val="20"/>
          <w:szCs w:val="20"/>
        </w:rPr>
        <w:t>验收和工程试车</w:t>
      </w:r>
    </w:p>
    <w:p w14:paraId="2B876327">
      <w:pPr>
        <w:spacing w:before="127" w:line="228" w:lineRule="auto"/>
        <w:ind w:left="443"/>
        <w:rPr>
          <w:rFonts w:ascii="宋体" w:hAnsi="宋体" w:eastAsia="宋体" w:cs="宋体"/>
          <w:sz w:val="20"/>
          <w:szCs w:val="20"/>
        </w:rPr>
      </w:pPr>
      <w:r>
        <w:rPr>
          <w:rFonts w:ascii="宋体" w:hAnsi="宋体" w:eastAsia="宋体" w:cs="宋体"/>
          <w:b/>
          <w:bCs/>
          <w:spacing w:val="4"/>
          <w:sz w:val="20"/>
          <w:szCs w:val="20"/>
        </w:rPr>
        <w:t>13.1</w:t>
      </w:r>
      <w:r>
        <w:rPr>
          <w:rFonts w:ascii="宋体" w:hAnsi="宋体" w:eastAsia="宋体" w:cs="宋体"/>
          <w:spacing w:val="4"/>
          <w:sz w:val="20"/>
          <w:szCs w:val="20"/>
        </w:rPr>
        <w:t xml:space="preserve"> </w:t>
      </w:r>
      <w:r>
        <w:rPr>
          <w:rFonts w:ascii="宋体" w:hAnsi="宋体" w:eastAsia="宋体" w:cs="宋体"/>
          <w:b/>
          <w:bCs/>
          <w:spacing w:val="4"/>
          <w:sz w:val="20"/>
          <w:szCs w:val="20"/>
        </w:rPr>
        <w:t>分部分项工程验收</w:t>
      </w:r>
    </w:p>
    <w:p w14:paraId="3B876DDE">
      <w:pPr>
        <w:spacing w:before="127" w:line="227" w:lineRule="auto"/>
        <w:ind w:left="443"/>
        <w:rPr>
          <w:rFonts w:ascii="宋体" w:hAnsi="宋体" w:eastAsia="宋体" w:cs="宋体"/>
          <w:sz w:val="20"/>
          <w:szCs w:val="20"/>
        </w:rPr>
      </w:pPr>
      <w:r>
        <w:rPr>
          <w:rFonts w:ascii="宋体" w:hAnsi="宋体" w:eastAsia="宋体" w:cs="宋体"/>
          <w:spacing w:val="7"/>
          <w:sz w:val="20"/>
          <w:szCs w:val="20"/>
        </w:rPr>
        <w:t>13.1.2</w:t>
      </w:r>
      <w:r>
        <w:rPr>
          <w:rFonts w:ascii="宋体" w:hAnsi="宋体" w:eastAsia="宋体" w:cs="宋体"/>
          <w:spacing w:val="-33"/>
          <w:sz w:val="20"/>
          <w:szCs w:val="20"/>
        </w:rPr>
        <w:t xml:space="preserve"> </w:t>
      </w:r>
      <w:r>
        <w:rPr>
          <w:rFonts w:ascii="宋体" w:hAnsi="宋体" w:eastAsia="宋体" w:cs="宋体"/>
          <w:spacing w:val="7"/>
          <w:sz w:val="20"/>
          <w:szCs w:val="20"/>
        </w:rPr>
        <w:t>监理人不能按时进行验收时，应提前</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7"/>
          <w:sz w:val="20"/>
          <w:szCs w:val="20"/>
        </w:rPr>
        <w:t>小时提交书面延期要求。</w:t>
      </w:r>
    </w:p>
    <w:p w14:paraId="113526E5">
      <w:pPr>
        <w:spacing w:before="128" w:line="228" w:lineRule="auto"/>
        <w:ind w:left="431"/>
        <w:rPr>
          <w:rFonts w:ascii="宋体" w:hAnsi="宋体" w:eastAsia="宋体" w:cs="宋体"/>
          <w:sz w:val="20"/>
          <w:szCs w:val="20"/>
        </w:rPr>
      </w:pPr>
      <w:r>
        <w:rPr>
          <w:rFonts w:ascii="宋体" w:hAnsi="宋体" w:eastAsia="宋体" w:cs="宋体"/>
          <w:spacing w:val="6"/>
          <w:sz w:val="20"/>
          <w:szCs w:val="20"/>
        </w:rPr>
        <w:t>关于延期最长不得超过：</w:t>
      </w:r>
      <w:r>
        <w:rPr>
          <w:rFonts w:ascii="宋体" w:hAnsi="宋体" w:eastAsia="宋体" w:cs="宋体"/>
          <w:spacing w:val="6"/>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6"/>
          <w:sz w:val="20"/>
          <w:szCs w:val="20"/>
        </w:rPr>
        <w:t>小时。</w:t>
      </w:r>
    </w:p>
    <w:p w14:paraId="13387385">
      <w:pPr>
        <w:spacing w:before="127" w:line="228" w:lineRule="auto"/>
        <w:ind w:left="443"/>
        <w:rPr>
          <w:rFonts w:ascii="宋体" w:hAnsi="宋体" w:eastAsia="宋体" w:cs="宋体"/>
          <w:sz w:val="20"/>
          <w:szCs w:val="20"/>
        </w:rPr>
      </w:pPr>
      <w:r>
        <w:rPr>
          <w:rFonts w:ascii="宋体" w:hAnsi="宋体" w:eastAsia="宋体" w:cs="宋体"/>
          <w:b/>
          <w:bCs/>
          <w:spacing w:val="3"/>
          <w:sz w:val="20"/>
          <w:szCs w:val="20"/>
        </w:rPr>
        <w:t>13.2</w:t>
      </w:r>
      <w:r>
        <w:rPr>
          <w:rFonts w:ascii="宋体" w:hAnsi="宋体" w:eastAsia="宋体" w:cs="宋体"/>
          <w:spacing w:val="3"/>
          <w:sz w:val="20"/>
          <w:szCs w:val="20"/>
        </w:rPr>
        <w:t xml:space="preserve"> </w:t>
      </w:r>
      <w:r>
        <w:rPr>
          <w:rFonts w:ascii="宋体" w:hAnsi="宋体" w:eastAsia="宋体" w:cs="宋体"/>
          <w:b/>
          <w:bCs/>
          <w:spacing w:val="3"/>
          <w:sz w:val="20"/>
          <w:szCs w:val="20"/>
        </w:rPr>
        <w:t>竣工验收</w:t>
      </w:r>
    </w:p>
    <w:p w14:paraId="1BBB66A6">
      <w:pPr>
        <w:spacing w:before="127" w:line="228" w:lineRule="auto"/>
        <w:ind w:left="443"/>
        <w:rPr>
          <w:rFonts w:ascii="宋体" w:hAnsi="宋体" w:eastAsia="宋体" w:cs="宋体"/>
          <w:sz w:val="20"/>
          <w:szCs w:val="20"/>
        </w:rPr>
      </w:pPr>
      <w:r>
        <w:rPr>
          <w:rFonts w:ascii="宋体" w:hAnsi="宋体" w:eastAsia="宋体" w:cs="宋体"/>
          <w:spacing w:val="5"/>
          <w:sz w:val="20"/>
          <w:szCs w:val="20"/>
        </w:rPr>
        <w:t>13.2.2 竣工验收程序</w:t>
      </w:r>
    </w:p>
    <w:p w14:paraId="7D553B7E">
      <w:pPr>
        <w:spacing w:before="128" w:line="228" w:lineRule="auto"/>
        <w:ind w:left="431"/>
        <w:rPr>
          <w:rFonts w:ascii="宋体" w:hAnsi="宋体" w:eastAsia="宋体" w:cs="宋体"/>
          <w:sz w:val="20"/>
          <w:szCs w:val="20"/>
        </w:rPr>
      </w:pPr>
      <w:r>
        <w:rPr>
          <w:rFonts w:ascii="宋体" w:hAnsi="宋体" w:eastAsia="宋体" w:cs="宋体"/>
          <w:spacing w:val="9"/>
          <w:sz w:val="20"/>
          <w:szCs w:val="20"/>
        </w:rPr>
        <w:t>关于竣工验收程序的约定：</w:t>
      </w:r>
      <w:r>
        <w:rPr>
          <w:rFonts w:ascii="宋体" w:hAnsi="宋体" w:eastAsia="宋体" w:cs="宋体"/>
          <w:sz w:val="20"/>
          <w:szCs w:val="20"/>
          <w:u w:val="single" w:color="auto"/>
        </w:rPr>
        <w:t xml:space="preserve">                                                        </w:t>
      </w:r>
    </w:p>
    <w:p w14:paraId="120865DB">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1CF263F">
      <w:pPr>
        <w:spacing w:before="174" w:line="227" w:lineRule="auto"/>
        <w:ind w:left="431"/>
        <w:rPr>
          <w:rFonts w:ascii="宋体" w:hAnsi="宋体" w:eastAsia="宋体" w:cs="宋体"/>
          <w:sz w:val="20"/>
          <w:szCs w:val="20"/>
        </w:rPr>
      </w:pPr>
      <w:r>
        <w:rPr>
          <w:rFonts w:ascii="宋体" w:hAnsi="宋体" w:eastAsia="宋体" w:cs="宋体"/>
          <w:spacing w:val="10"/>
          <w:sz w:val="20"/>
          <w:szCs w:val="20"/>
        </w:rPr>
        <w:t>发包人不按照本项约定组织竣工验收、颁发工程</w:t>
      </w:r>
      <w:r>
        <w:rPr>
          <w:rFonts w:ascii="宋体" w:hAnsi="宋体" w:eastAsia="宋体" w:cs="宋体"/>
          <w:spacing w:val="9"/>
          <w:sz w:val="20"/>
          <w:szCs w:val="20"/>
        </w:rPr>
        <w:t>接收证书的违约金的计算方法：</w:t>
      </w:r>
      <w:r>
        <w:rPr>
          <w:rFonts w:ascii="宋体" w:hAnsi="宋体" w:eastAsia="宋体" w:cs="宋体"/>
          <w:sz w:val="20"/>
          <w:szCs w:val="20"/>
          <w:u w:val="single" w:color="auto"/>
        </w:rPr>
        <w:t xml:space="preserve">        </w:t>
      </w:r>
    </w:p>
    <w:p w14:paraId="3A541144">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D797BD3">
      <w:pPr>
        <w:spacing w:before="174" w:line="228" w:lineRule="auto"/>
        <w:ind w:left="443"/>
        <w:rPr>
          <w:rFonts w:ascii="宋体" w:hAnsi="宋体" w:eastAsia="宋体" w:cs="宋体"/>
          <w:sz w:val="20"/>
          <w:szCs w:val="20"/>
        </w:rPr>
      </w:pPr>
      <w:r>
        <w:rPr>
          <w:rFonts w:ascii="宋体" w:hAnsi="宋体" w:eastAsia="宋体" w:cs="宋体"/>
          <w:spacing w:val="6"/>
          <w:sz w:val="20"/>
          <w:szCs w:val="20"/>
        </w:rPr>
        <w:t>13.2.5</w:t>
      </w:r>
      <w:r>
        <w:rPr>
          <w:rFonts w:ascii="宋体" w:hAnsi="宋体" w:eastAsia="宋体" w:cs="宋体"/>
          <w:spacing w:val="-34"/>
          <w:sz w:val="20"/>
          <w:szCs w:val="20"/>
        </w:rPr>
        <w:t xml:space="preserve"> </w:t>
      </w:r>
      <w:r>
        <w:rPr>
          <w:rFonts w:ascii="宋体" w:hAnsi="宋体" w:eastAsia="宋体" w:cs="宋体"/>
          <w:spacing w:val="6"/>
          <w:sz w:val="20"/>
          <w:szCs w:val="20"/>
        </w:rPr>
        <w:t>移交、接收全部与部分工程</w:t>
      </w:r>
    </w:p>
    <w:p w14:paraId="63E03F20">
      <w:pPr>
        <w:spacing w:before="128" w:line="228" w:lineRule="auto"/>
        <w:jc w:val="right"/>
        <w:rPr>
          <w:rFonts w:ascii="宋体" w:hAnsi="宋体" w:eastAsia="宋体" w:cs="宋体"/>
          <w:sz w:val="20"/>
          <w:szCs w:val="20"/>
        </w:rPr>
      </w:pPr>
      <w:r>
        <w:rPr>
          <w:rFonts w:ascii="宋体" w:hAnsi="宋体" w:eastAsia="宋体" w:cs="宋体"/>
          <w:spacing w:val="6"/>
          <w:sz w:val="20"/>
          <w:szCs w:val="20"/>
        </w:rPr>
        <w:t>承包人向发包人移交工程的顺序：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533ADB5">
      <w:pPr>
        <w:spacing w:before="126" w:line="347" w:lineRule="auto"/>
        <w:ind w:left="428"/>
        <w:jc w:val="both"/>
        <w:rPr>
          <w:rFonts w:ascii="宋体" w:hAnsi="宋体" w:eastAsia="宋体" w:cs="宋体"/>
          <w:sz w:val="20"/>
          <w:szCs w:val="20"/>
        </w:rPr>
      </w:pPr>
      <w:r>
        <w:rPr>
          <w:rFonts w:ascii="宋体" w:hAnsi="宋体" w:eastAsia="宋体" w:cs="宋体"/>
          <w:spacing w:val="6"/>
          <w:sz w:val="20"/>
          <w:szCs w:val="20"/>
        </w:rPr>
        <w:t>承包人向发包人移交工程的期限：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8"/>
          <w:sz w:val="20"/>
          <w:szCs w:val="20"/>
        </w:rPr>
        <w:t>发包人未按本合同约定接收全部或部分工程的，</w:t>
      </w:r>
      <w:r>
        <w:rPr>
          <w:rFonts w:ascii="宋体" w:hAnsi="宋体" w:eastAsia="宋体" w:cs="宋体"/>
          <w:spacing w:val="7"/>
          <w:sz w:val="20"/>
          <w:szCs w:val="20"/>
        </w:rPr>
        <w:t>违约金的计算方法为：</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r>
        <w:rPr>
          <w:rFonts w:ascii="宋体" w:hAnsi="宋体" w:eastAsia="宋体" w:cs="宋体"/>
          <w:spacing w:val="9"/>
          <w:sz w:val="20"/>
          <w:szCs w:val="20"/>
        </w:rPr>
        <w:t>承包人未按时移交工程的，违约金的计算方法为：</w:t>
      </w:r>
      <w:r>
        <w:rPr>
          <w:rFonts w:ascii="宋体" w:hAnsi="宋体" w:eastAsia="宋体" w:cs="宋体"/>
          <w:sz w:val="20"/>
          <w:szCs w:val="20"/>
          <w:u w:val="single" w:color="auto"/>
        </w:rPr>
        <w:t xml:space="preserve">                                   </w:t>
      </w:r>
    </w:p>
    <w:p w14:paraId="18002B8A">
      <w:pPr>
        <w:spacing w:before="132" w:line="45" w:lineRule="exact"/>
        <w:jc w:val="right"/>
        <w:rPr>
          <w:rFonts w:ascii="宋体" w:hAnsi="宋体" w:eastAsia="宋体" w:cs="宋体"/>
          <w:sz w:val="20"/>
          <w:szCs w:val="20"/>
        </w:rPr>
      </w:pPr>
      <w:r>
        <w:pict>
          <v:shape id="_x0000_s1099" o:spid="_x0000_s1099" o:spt="202" type="#_x0000_t202" style="position:absolute;left:0pt;margin-left:-1pt;margin-top:-0.75pt;height:14.1pt;width:427.25pt;z-index:251743232;mso-width-relative:page;mso-height-relative:page;" filled="f" stroked="f" coordsize="21600,21600">
            <v:path/>
            <v:fill on="f" focussize="0,0"/>
            <v:stroke on="f"/>
            <v:imagedata o:title=""/>
            <o:lock v:ext="edit" aspectratio="f"/>
            <v:textbox inset="0mm,0mm,0mm,0mm">
              <w:txbxContent>
                <w:p w14:paraId="7847C01E">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1E1DFCCA">
      <w:pPr>
        <w:spacing w:before="194" w:line="228" w:lineRule="auto"/>
        <w:ind w:left="443"/>
        <w:rPr>
          <w:rFonts w:ascii="宋体" w:hAnsi="宋体" w:eastAsia="宋体" w:cs="宋体"/>
          <w:sz w:val="20"/>
          <w:szCs w:val="20"/>
        </w:rPr>
      </w:pPr>
      <w:r>
        <w:rPr>
          <w:rFonts w:ascii="宋体" w:hAnsi="宋体" w:eastAsia="宋体" w:cs="宋体"/>
          <w:b/>
          <w:bCs/>
          <w:spacing w:val="1"/>
          <w:sz w:val="20"/>
          <w:szCs w:val="20"/>
        </w:rPr>
        <w:t>13.3</w:t>
      </w:r>
      <w:r>
        <w:rPr>
          <w:rFonts w:ascii="宋体" w:hAnsi="宋体" w:eastAsia="宋体" w:cs="宋体"/>
          <w:spacing w:val="21"/>
          <w:sz w:val="20"/>
          <w:szCs w:val="20"/>
        </w:rPr>
        <w:t xml:space="preserve"> </w:t>
      </w:r>
      <w:r>
        <w:rPr>
          <w:rFonts w:ascii="宋体" w:hAnsi="宋体" w:eastAsia="宋体" w:cs="宋体"/>
          <w:b/>
          <w:bCs/>
          <w:spacing w:val="1"/>
          <w:sz w:val="20"/>
          <w:szCs w:val="20"/>
        </w:rPr>
        <w:t>工程试车</w:t>
      </w:r>
    </w:p>
    <w:p w14:paraId="5AD59EB3">
      <w:pPr>
        <w:spacing w:before="127" w:line="228" w:lineRule="auto"/>
        <w:ind w:left="443"/>
        <w:rPr>
          <w:rFonts w:ascii="宋体" w:hAnsi="宋体" w:eastAsia="宋体" w:cs="宋体"/>
          <w:sz w:val="20"/>
          <w:szCs w:val="20"/>
        </w:rPr>
      </w:pPr>
      <w:r>
        <w:rPr>
          <w:rFonts w:ascii="宋体" w:hAnsi="宋体" w:eastAsia="宋体" w:cs="宋体"/>
          <w:spacing w:val="4"/>
          <w:sz w:val="20"/>
          <w:szCs w:val="20"/>
        </w:rPr>
        <w:t>13.3.1 试车程序</w:t>
      </w:r>
    </w:p>
    <w:p w14:paraId="1BBFBFA1">
      <w:pPr>
        <w:tabs>
          <w:tab w:val="left" w:pos="8504"/>
        </w:tabs>
        <w:spacing w:before="127" w:line="360" w:lineRule="auto"/>
        <w:ind w:right="174" w:firstLine="430"/>
        <w:jc w:val="both"/>
        <w:rPr>
          <w:rFonts w:ascii="Arial" w:hAnsi="Arial" w:eastAsia="Arial" w:cs="Arial"/>
          <w:sz w:val="21"/>
          <w:szCs w:val="21"/>
        </w:rPr>
      </w:pPr>
      <w:r>
        <w:rPr>
          <w:rFonts w:ascii="宋体" w:hAnsi="宋体" w:eastAsia="宋体" w:cs="宋体"/>
          <w:spacing w:val="8"/>
          <w:sz w:val="20"/>
          <w:szCs w:val="20"/>
        </w:rPr>
        <w:t>工程试车内容：</w:t>
      </w:r>
      <w:r>
        <w:rPr>
          <w:rFonts w:ascii="宋体" w:hAnsi="宋体" w:eastAsia="宋体" w:cs="宋体"/>
          <w:sz w:val="20"/>
          <w:szCs w:val="20"/>
          <w:u w:val="single" w:color="auto"/>
        </w:rPr>
        <w:tab/>
      </w:r>
      <w:r>
        <w:rPr>
          <w:rFonts w:ascii="宋体" w:hAnsi="宋体" w:eastAsia="宋体" w:cs="宋体"/>
          <w:sz w:val="20"/>
          <w:szCs w:val="20"/>
        </w:rPr>
        <w:t xml:space="preserve"> </w:t>
      </w: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p>
    <w:p w14:paraId="537553A5">
      <w:pPr>
        <w:spacing w:before="157" w:line="45" w:lineRule="exact"/>
        <w:jc w:val="right"/>
        <w:rPr>
          <w:rFonts w:ascii="宋体" w:hAnsi="宋体" w:eastAsia="宋体" w:cs="宋体"/>
          <w:sz w:val="20"/>
          <w:szCs w:val="20"/>
        </w:rPr>
      </w:pPr>
      <w:r>
        <w:pict>
          <v:shape id="_x0000_s1100" o:spid="_x0000_s1100" o:spt="202" type="#_x0000_t202" style="position:absolute;left:0pt;margin-left:-1pt;margin-top:0.4pt;height:14.1pt;width:427.25pt;z-index:251744256;mso-width-relative:page;mso-height-relative:page;" filled="f" stroked="f" coordsize="21600,21600">
            <v:path/>
            <v:fill on="f" focussize="0,0"/>
            <v:stroke on="f"/>
            <v:imagedata o:title=""/>
            <o:lock v:ext="edit" aspectratio="f"/>
            <v:textbox inset="0mm,0mm,0mm,0mm">
              <w:txbxContent>
                <w:p w14:paraId="19FAF89C">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2D47DDCA">
      <w:pPr>
        <w:spacing w:before="194" w:line="227" w:lineRule="auto"/>
        <w:ind w:left="438"/>
        <w:rPr>
          <w:rFonts w:ascii="宋体" w:hAnsi="宋体" w:eastAsia="宋体" w:cs="宋体"/>
          <w:sz w:val="20"/>
          <w:szCs w:val="20"/>
        </w:rPr>
      </w:pPr>
      <w:r>
        <w:rPr>
          <w:rFonts w:ascii="宋体" w:hAnsi="宋体" w:eastAsia="宋体" w:cs="宋体"/>
          <w:spacing w:val="7"/>
          <w:sz w:val="20"/>
          <w:szCs w:val="20"/>
        </w:rPr>
        <w:t>（1）单机无负荷试车费用由</w:t>
      </w:r>
      <w:r>
        <w:rPr>
          <w:rFonts w:ascii="宋体" w:hAnsi="宋体" w:eastAsia="宋体" w:cs="宋体"/>
          <w:spacing w:val="-97"/>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7"/>
          <w:sz w:val="20"/>
          <w:szCs w:val="20"/>
        </w:rPr>
        <w:t>承担；</w:t>
      </w:r>
    </w:p>
    <w:p w14:paraId="26D778D5">
      <w:pPr>
        <w:spacing w:before="128" w:line="228" w:lineRule="auto"/>
        <w:ind w:left="438"/>
        <w:rPr>
          <w:rFonts w:ascii="宋体" w:hAnsi="宋体" w:eastAsia="宋体" w:cs="宋体"/>
          <w:sz w:val="20"/>
          <w:szCs w:val="20"/>
        </w:rPr>
      </w:pPr>
      <w:r>
        <w:rPr>
          <w:rFonts w:ascii="宋体" w:hAnsi="宋体" w:eastAsia="宋体" w:cs="宋体"/>
          <w:spacing w:val="7"/>
          <w:sz w:val="20"/>
          <w:szCs w:val="20"/>
        </w:rPr>
        <w:t>（2）无负荷联动试车费用由</w:t>
      </w:r>
      <w:r>
        <w:rPr>
          <w:rFonts w:ascii="宋体" w:hAnsi="宋体" w:eastAsia="宋体" w:cs="宋体"/>
          <w:spacing w:val="-97"/>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7"/>
          <w:sz w:val="20"/>
          <w:szCs w:val="20"/>
        </w:rPr>
        <w:t>承担。</w:t>
      </w:r>
    </w:p>
    <w:p w14:paraId="34F64579">
      <w:pPr>
        <w:spacing w:before="128" w:line="228" w:lineRule="auto"/>
        <w:ind w:left="443"/>
        <w:rPr>
          <w:rFonts w:ascii="宋体" w:hAnsi="宋体" w:eastAsia="宋体" w:cs="宋体"/>
          <w:sz w:val="20"/>
          <w:szCs w:val="20"/>
        </w:rPr>
      </w:pPr>
      <w:r>
        <w:rPr>
          <w:rFonts w:ascii="宋体" w:hAnsi="宋体" w:eastAsia="宋体" w:cs="宋体"/>
          <w:spacing w:val="4"/>
          <w:sz w:val="20"/>
          <w:szCs w:val="20"/>
        </w:rPr>
        <w:t>13.3.3 投料试车</w:t>
      </w:r>
    </w:p>
    <w:p w14:paraId="58483803">
      <w:pPr>
        <w:spacing w:before="127" w:line="228" w:lineRule="auto"/>
        <w:ind w:left="431"/>
        <w:rPr>
          <w:rFonts w:ascii="宋体" w:hAnsi="宋体" w:eastAsia="宋体" w:cs="宋体"/>
          <w:sz w:val="20"/>
          <w:szCs w:val="20"/>
        </w:rPr>
      </w:pPr>
      <w:r>
        <w:rPr>
          <w:rFonts w:ascii="宋体" w:hAnsi="宋体" w:eastAsia="宋体" w:cs="宋体"/>
          <w:spacing w:val="9"/>
          <w:sz w:val="20"/>
          <w:szCs w:val="20"/>
        </w:rPr>
        <w:t>关于投料试车相关事项的约定：</w:t>
      </w:r>
      <w:r>
        <w:rPr>
          <w:rFonts w:ascii="宋体" w:hAnsi="宋体" w:eastAsia="宋体" w:cs="宋体"/>
          <w:sz w:val="20"/>
          <w:szCs w:val="20"/>
          <w:u w:val="single" w:color="auto"/>
        </w:rPr>
        <w:t xml:space="preserve">                                                    </w:t>
      </w:r>
    </w:p>
    <w:p w14:paraId="5C498081">
      <w:pPr>
        <w:spacing w:before="263" w:line="45" w:lineRule="exact"/>
        <w:jc w:val="right"/>
        <w:rPr>
          <w:rFonts w:ascii="宋体" w:hAnsi="宋体" w:eastAsia="宋体" w:cs="宋体"/>
          <w:sz w:val="20"/>
          <w:szCs w:val="20"/>
        </w:rPr>
      </w:pPr>
      <w:r>
        <w:pict>
          <v:shape id="_x0000_s1101" o:spid="_x0000_s1101" o:spt="202" type="#_x0000_t202" style="position:absolute;left:0pt;margin-left:-1pt;margin-top:5.75pt;height:14.1pt;width:427.25pt;z-index:251742208;mso-width-relative:page;mso-height-relative:page;" filled="f" stroked="f" coordsize="21600,21600">
            <v:path/>
            <v:fill on="f" focussize="0,0"/>
            <v:stroke on="f"/>
            <v:imagedata o:title=""/>
            <o:lock v:ext="edit" aspectratio="f"/>
            <v:textbox inset="0mm,0mm,0mm,0mm">
              <w:txbxContent>
                <w:p w14:paraId="2EE26E5F">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6487A027">
      <w:pPr>
        <w:spacing w:before="194" w:line="228" w:lineRule="auto"/>
        <w:ind w:left="443"/>
        <w:rPr>
          <w:rFonts w:ascii="宋体" w:hAnsi="宋体" w:eastAsia="宋体" w:cs="宋体"/>
          <w:sz w:val="20"/>
          <w:szCs w:val="20"/>
        </w:rPr>
      </w:pPr>
      <w:r>
        <w:rPr>
          <w:rFonts w:ascii="宋体" w:hAnsi="宋体" w:eastAsia="宋体" w:cs="宋体"/>
          <w:b/>
          <w:bCs/>
          <w:spacing w:val="3"/>
          <w:sz w:val="20"/>
          <w:szCs w:val="20"/>
        </w:rPr>
        <w:t>13.6</w:t>
      </w:r>
      <w:r>
        <w:rPr>
          <w:rFonts w:ascii="宋体" w:hAnsi="宋体" w:eastAsia="宋体" w:cs="宋体"/>
          <w:spacing w:val="3"/>
          <w:sz w:val="20"/>
          <w:szCs w:val="20"/>
        </w:rPr>
        <w:t xml:space="preserve"> </w:t>
      </w:r>
      <w:r>
        <w:rPr>
          <w:rFonts w:ascii="宋体" w:hAnsi="宋体" w:eastAsia="宋体" w:cs="宋体"/>
          <w:b/>
          <w:bCs/>
          <w:spacing w:val="3"/>
          <w:sz w:val="20"/>
          <w:szCs w:val="20"/>
        </w:rPr>
        <w:t>竣工退场</w:t>
      </w:r>
    </w:p>
    <w:p w14:paraId="2EC3D2E2">
      <w:pPr>
        <w:spacing w:before="127" w:line="228" w:lineRule="auto"/>
        <w:ind w:left="443"/>
        <w:rPr>
          <w:rFonts w:ascii="宋体" w:hAnsi="宋体" w:eastAsia="宋体" w:cs="宋体"/>
          <w:sz w:val="20"/>
          <w:szCs w:val="20"/>
        </w:rPr>
      </w:pPr>
      <w:r>
        <w:rPr>
          <w:rFonts w:ascii="宋体" w:hAnsi="宋体" w:eastAsia="宋体" w:cs="宋体"/>
          <w:spacing w:val="4"/>
          <w:sz w:val="20"/>
          <w:szCs w:val="20"/>
        </w:rPr>
        <w:t>13.6.1 竣工退场</w:t>
      </w:r>
    </w:p>
    <w:p w14:paraId="6407647D">
      <w:pPr>
        <w:spacing w:before="128" w:line="228" w:lineRule="auto"/>
        <w:jc w:val="right"/>
        <w:rPr>
          <w:rFonts w:ascii="宋体" w:hAnsi="宋体" w:eastAsia="宋体" w:cs="宋体"/>
          <w:sz w:val="20"/>
          <w:szCs w:val="20"/>
        </w:rPr>
      </w:pPr>
      <w:r>
        <w:rPr>
          <w:rFonts w:ascii="宋体" w:hAnsi="宋体" w:eastAsia="宋体" w:cs="宋体"/>
          <w:spacing w:val="6"/>
          <w:sz w:val="20"/>
          <w:szCs w:val="20"/>
        </w:rPr>
        <w:t>承包人完成竣工退场的期限：</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0B545CB1">
      <w:pPr>
        <w:spacing w:line="228" w:lineRule="auto"/>
        <w:rPr>
          <w:rFonts w:ascii="宋体" w:hAnsi="宋体" w:eastAsia="宋体" w:cs="宋体"/>
          <w:sz w:val="20"/>
          <w:szCs w:val="20"/>
        </w:rPr>
        <w:sectPr>
          <w:headerReference r:id="rId410" w:type="default"/>
          <w:footerReference r:id="rId411" w:type="default"/>
          <w:pgSz w:w="11906" w:h="16839"/>
          <w:pgMar w:top="2539" w:right="1695" w:bottom="1446" w:left="1531" w:header="1896" w:footer="1284" w:gutter="0"/>
          <w:cols w:space="720" w:num="1"/>
        </w:sectPr>
      </w:pPr>
    </w:p>
    <w:p w14:paraId="440388BB">
      <w:pPr>
        <w:spacing w:line="246" w:lineRule="auto"/>
        <w:rPr>
          <w:rFonts w:ascii="Arial"/>
          <w:sz w:val="21"/>
        </w:rPr>
      </w:pPr>
    </w:p>
    <w:p w14:paraId="2C29F3FF">
      <w:pPr>
        <w:spacing w:line="246" w:lineRule="auto"/>
        <w:rPr>
          <w:rFonts w:ascii="Arial"/>
          <w:sz w:val="21"/>
        </w:rPr>
      </w:pPr>
    </w:p>
    <w:p w14:paraId="2E817963">
      <w:pPr>
        <w:spacing w:line="246" w:lineRule="auto"/>
        <w:rPr>
          <w:rFonts w:ascii="Arial"/>
          <w:sz w:val="21"/>
        </w:rPr>
      </w:pPr>
    </w:p>
    <w:p w14:paraId="265754EF">
      <w:pPr>
        <w:spacing w:line="246" w:lineRule="auto"/>
        <w:rPr>
          <w:rFonts w:ascii="Arial"/>
          <w:sz w:val="21"/>
        </w:rPr>
      </w:pPr>
    </w:p>
    <w:p w14:paraId="66664B6C">
      <w:pPr>
        <w:spacing w:line="247" w:lineRule="auto"/>
        <w:rPr>
          <w:rFonts w:ascii="Arial"/>
          <w:sz w:val="21"/>
        </w:rPr>
      </w:pPr>
    </w:p>
    <w:p w14:paraId="45F71C82">
      <w:pPr>
        <w:spacing w:line="247" w:lineRule="auto"/>
        <w:rPr>
          <w:rFonts w:ascii="Arial"/>
          <w:sz w:val="21"/>
        </w:rPr>
      </w:pPr>
    </w:p>
    <w:p w14:paraId="3CEE03B2">
      <w:pPr>
        <w:spacing w:before="65" w:line="228" w:lineRule="auto"/>
        <w:ind w:left="443"/>
        <w:outlineLvl w:val="2"/>
        <w:rPr>
          <w:rFonts w:ascii="宋体" w:hAnsi="宋体" w:eastAsia="宋体" w:cs="宋体"/>
          <w:sz w:val="20"/>
          <w:szCs w:val="20"/>
        </w:rPr>
      </w:pPr>
      <w:bookmarkStart w:id="340" w:name="bookmark323"/>
      <w:bookmarkEnd w:id="340"/>
      <w:r>
        <w:rPr>
          <w:rFonts w:ascii="宋体" w:hAnsi="宋体" w:eastAsia="宋体" w:cs="宋体"/>
          <w:b/>
          <w:bCs/>
          <w:spacing w:val="1"/>
          <w:sz w:val="20"/>
          <w:szCs w:val="20"/>
        </w:rPr>
        <w:t>14.</w:t>
      </w:r>
      <w:r>
        <w:rPr>
          <w:rFonts w:ascii="宋体" w:hAnsi="宋体" w:eastAsia="宋体" w:cs="宋体"/>
          <w:spacing w:val="18"/>
          <w:sz w:val="20"/>
          <w:szCs w:val="20"/>
        </w:rPr>
        <w:t xml:space="preserve"> </w:t>
      </w:r>
      <w:r>
        <w:rPr>
          <w:rFonts w:ascii="宋体" w:hAnsi="宋体" w:eastAsia="宋体" w:cs="宋体"/>
          <w:b/>
          <w:bCs/>
          <w:spacing w:val="1"/>
          <w:sz w:val="20"/>
          <w:szCs w:val="20"/>
        </w:rPr>
        <w:t>工程结算</w:t>
      </w:r>
    </w:p>
    <w:p w14:paraId="7FB182A8">
      <w:pPr>
        <w:spacing w:before="127" w:line="228" w:lineRule="auto"/>
        <w:ind w:left="443"/>
        <w:rPr>
          <w:rFonts w:ascii="宋体" w:hAnsi="宋体" w:eastAsia="宋体" w:cs="宋体"/>
          <w:sz w:val="20"/>
          <w:szCs w:val="20"/>
        </w:rPr>
      </w:pPr>
      <w:r>
        <w:rPr>
          <w:rFonts w:ascii="宋体" w:hAnsi="宋体" w:eastAsia="宋体" w:cs="宋体"/>
          <w:b/>
          <w:bCs/>
          <w:spacing w:val="4"/>
          <w:sz w:val="20"/>
          <w:szCs w:val="20"/>
        </w:rPr>
        <w:t>14.1</w:t>
      </w:r>
      <w:r>
        <w:rPr>
          <w:rFonts w:ascii="宋体" w:hAnsi="宋体" w:eastAsia="宋体" w:cs="宋体"/>
          <w:spacing w:val="4"/>
          <w:sz w:val="20"/>
          <w:szCs w:val="20"/>
        </w:rPr>
        <w:t xml:space="preserve"> </w:t>
      </w:r>
      <w:r>
        <w:rPr>
          <w:rFonts w:ascii="宋体" w:hAnsi="宋体" w:eastAsia="宋体" w:cs="宋体"/>
          <w:b/>
          <w:bCs/>
          <w:spacing w:val="4"/>
          <w:sz w:val="20"/>
          <w:szCs w:val="20"/>
        </w:rPr>
        <w:t>施工过程结算</w:t>
      </w:r>
    </w:p>
    <w:p w14:paraId="32A6AEEC">
      <w:pPr>
        <w:spacing w:before="127" w:line="228" w:lineRule="auto"/>
        <w:ind w:left="443"/>
        <w:rPr>
          <w:rFonts w:ascii="宋体" w:hAnsi="宋体" w:eastAsia="宋体" w:cs="宋体"/>
          <w:sz w:val="20"/>
          <w:szCs w:val="20"/>
        </w:rPr>
      </w:pPr>
      <w:r>
        <w:rPr>
          <w:rFonts w:ascii="宋体" w:hAnsi="宋体" w:eastAsia="宋体" w:cs="宋体"/>
          <w:spacing w:val="5"/>
          <w:sz w:val="20"/>
          <w:szCs w:val="20"/>
        </w:rPr>
        <w:t>14.1.1 施工过程结算申请</w:t>
      </w:r>
    </w:p>
    <w:p w14:paraId="368278FA">
      <w:pPr>
        <w:spacing w:before="127" w:line="228" w:lineRule="auto"/>
        <w:ind w:left="428"/>
        <w:rPr>
          <w:rFonts w:ascii="宋体" w:hAnsi="宋体" w:eastAsia="宋体" w:cs="宋体"/>
          <w:sz w:val="20"/>
          <w:szCs w:val="20"/>
        </w:rPr>
      </w:pPr>
      <w:r>
        <w:rPr>
          <w:rFonts w:ascii="宋体" w:hAnsi="宋体" w:eastAsia="宋体" w:cs="宋体"/>
          <w:spacing w:val="9"/>
          <w:sz w:val="20"/>
          <w:szCs w:val="20"/>
        </w:rPr>
        <w:t>承包人向发包人和监理人提交施工过程结算申请的时间：</w:t>
      </w:r>
      <w:r>
        <w:rPr>
          <w:rFonts w:ascii="宋体" w:hAnsi="宋体" w:eastAsia="宋体" w:cs="宋体"/>
          <w:sz w:val="20"/>
          <w:szCs w:val="20"/>
          <w:u w:val="single" w:color="auto"/>
        </w:rPr>
        <w:t xml:space="preserve">                             </w:t>
      </w:r>
    </w:p>
    <w:p w14:paraId="35C42267">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5D950B3">
      <w:pPr>
        <w:spacing w:before="173" w:line="228" w:lineRule="auto"/>
        <w:ind w:left="427"/>
        <w:rPr>
          <w:rFonts w:ascii="宋体" w:hAnsi="宋体" w:eastAsia="宋体" w:cs="宋体"/>
          <w:sz w:val="20"/>
          <w:szCs w:val="20"/>
        </w:rPr>
      </w:pPr>
      <w:r>
        <w:rPr>
          <w:rFonts w:ascii="宋体" w:hAnsi="宋体" w:eastAsia="宋体" w:cs="宋体"/>
          <w:spacing w:val="6"/>
          <w:sz w:val="20"/>
          <w:szCs w:val="20"/>
        </w:rPr>
        <w:t>施工过程结算的资料、份数的约定：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211AFAA2">
      <w:pPr>
        <w:spacing w:before="127" w:line="228" w:lineRule="auto"/>
        <w:ind w:left="443"/>
        <w:rPr>
          <w:rFonts w:ascii="宋体" w:hAnsi="宋体" w:eastAsia="宋体" w:cs="宋体"/>
          <w:sz w:val="20"/>
          <w:szCs w:val="20"/>
        </w:rPr>
      </w:pPr>
      <w:r>
        <w:rPr>
          <w:rFonts w:ascii="宋体" w:hAnsi="宋体" w:eastAsia="宋体" w:cs="宋体"/>
          <w:spacing w:val="6"/>
          <w:sz w:val="20"/>
          <w:szCs w:val="20"/>
        </w:rPr>
        <w:t>14.1.2 施工过程结算计量周期</w:t>
      </w:r>
    </w:p>
    <w:p w14:paraId="495C8D39">
      <w:pPr>
        <w:spacing w:before="128" w:line="228" w:lineRule="auto"/>
        <w:ind w:left="427"/>
        <w:rPr>
          <w:rFonts w:ascii="宋体" w:hAnsi="宋体" w:eastAsia="宋体" w:cs="宋体"/>
          <w:sz w:val="20"/>
          <w:szCs w:val="20"/>
        </w:rPr>
      </w:pPr>
      <w:r>
        <w:rPr>
          <w:rFonts w:ascii="宋体" w:hAnsi="宋体" w:eastAsia="宋体" w:cs="宋体"/>
          <w:spacing w:val="8"/>
          <w:sz w:val="20"/>
          <w:szCs w:val="20"/>
        </w:rPr>
        <w:t>施工过程结算可按以下节点：</w:t>
      </w:r>
    </w:p>
    <w:p w14:paraId="78FCEC28">
      <w:pPr>
        <w:spacing w:before="127" w:line="228" w:lineRule="auto"/>
        <w:ind w:left="449"/>
        <w:rPr>
          <w:rFonts w:ascii="宋体" w:hAnsi="宋体" w:eastAsia="宋体" w:cs="宋体"/>
          <w:sz w:val="20"/>
          <w:szCs w:val="20"/>
        </w:rPr>
      </w:pPr>
      <w:r>
        <w:rPr>
          <w:rFonts w:ascii="宋体" w:hAnsi="宋体" w:eastAsia="宋体" w:cs="宋体"/>
          <w:spacing w:val="8"/>
          <w:sz w:val="20"/>
          <w:szCs w:val="20"/>
        </w:rPr>
        <w:t>□工程分标段施工的，以标段完成后作为施工过程结算节点：</w:t>
      </w:r>
    </w:p>
    <w:p w14:paraId="6B99FF97">
      <w:pPr>
        <w:spacing w:before="128" w:line="228" w:lineRule="auto"/>
        <w:ind w:left="449"/>
        <w:rPr>
          <w:rFonts w:ascii="宋体" w:hAnsi="宋体" w:eastAsia="宋体" w:cs="宋体"/>
          <w:sz w:val="20"/>
          <w:szCs w:val="20"/>
        </w:rPr>
      </w:pPr>
      <w:r>
        <w:rPr>
          <w:rFonts w:ascii="宋体" w:hAnsi="宋体" w:eastAsia="宋体" w:cs="宋体"/>
          <w:spacing w:val="-10"/>
          <w:sz w:val="20"/>
          <w:szCs w:val="20"/>
        </w:rPr>
        <w:t>□以完成分部工程、单位工程、单项工程作为施工过程结算节点：</w:t>
      </w:r>
    </w:p>
    <w:p w14:paraId="1DD6FD1F">
      <w:pPr>
        <w:spacing w:before="127" w:line="228" w:lineRule="auto"/>
        <w:jc w:val="right"/>
        <w:rPr>
          <w:rFonts w:ascii="宋体" w:hAnsi="宋体" w:eastAsia="宋体" w:cs="宋体"/>
          <w:sz w:val="20"/>
          <w:szCs w:val="20"/>
        </w:rPr>
      </w:pPr>
      <w:r>
        <w:rPr>
          <w:rFonts w:ascii="宋体" w:hAnsi="宋体" w:eastAsia="宋体" w:cs="宋体"/>
          <w:spacing w:val="8"/>
          <w:sz w:val="20"/>
          <w:szCs w:val="20"/>
        </w:rPr>
        <w:t>□以完成分部工程的进度节点或时间（季、年等）节点或产值节点作为施工过</w:t>
      </w:r>
      <w:r>
        <w:rPr>
          <w:rFonts w:ascii="宋体" w:hAnsi="宋体" w:eastAsia="宋体" w:cs="宋体"/>
          <w:spacing w:val="7"/>
          <w:sz w:val="20"/>
          <w:szCs w:val="20"/>
        </w:rPr>
        <w:t>程结算节点：</w:t>
      </w:r>
    </w:p>
    <w:p w14:paraId="323342D7">
      <w:pPr>
        <w:spacing w:before="127" w:line="228" w:lineRule="auto"/>
        <w:ind w:left="449"/>
        <w:rPr>
          <w:rFonts w:ascii="宋体" w:hAnsi="宋体" w:eastAsia="宋体" w:cs="宋体"/>
          <w:sz w:val="20"/>
          <w:szCs w:val="20"/>
        </w:rPr>
      </w:pPr>
      <w:r>
        <w:rPr>
          <w:rFonts w:ascii="宋体" w:hAnsi="宋体" w:eastAsia="宋体" w:cs="宋体"/>
          <w:spacing w:val="8"/>
          <w:sz w:val="20"/>
          <w:szCs w:val="20"/>
        </w:rPr>
        <w:t>□以完成工程功能内容或专业工程作为施工过程结算节点：</w:t>
      </w:r>
    </w:p>
    <w:p w14:paraId="0EAFACCC">
      <w:pPr>
        <w:spacing w:before="128" w:line="228" w:lineRule="auto"/>
        <w:ind w:left="449"/>
        <w:rPr>
          <w:rFonts w:ascii="宋体" w:hAnsi="宋体" w:eastAsia="宋体" w:cs="宋体"/>
          <w:sz w:val="20"/>
          <w:szCs w:val="20"/>
        </w:rPr>
      </w:pPr>
      <w:r>
        <w:rPr>
          <w:rFonts w:ascii="宋体" w:hAnsi="宋体" w:eastAsia="宋体" w:cs="宋体"/>
          <w:spacing w:val="6"/>
          <w:sz w:val="20"/>
          <w:szCs w:val="20"/>
        </w:rPr>
        <w:t>□其他施工过程结算节点：</w:t>
      </w:r>
    </w:p>
    <w:p w14:paraId="2B948602">
      <w:pPr>
        <w:spacing w:before="127" w:line="228" w:lineRule="auto"/>
        <w:ind w:left="443"/>
        <w:rPr>
          <w:rFonts w:ascii="宋体" w:hAnsi="宋体" w:eastAsia="宋体" w:cs="宋体"/>
          <w:sz w:val="20"/>
          <w:szCs w:val="20"/>
        </w:rPr>
      </w:pPr>
      <w:r>
        <w:rPr>
          <w:rFonts w:ascii="宋体" w:hAnsi="宋体" w:eastAsia="宋体" w:cs="宋体"/>
          <w:spacing w:val="5"/>
          <w:sz w:val="20"/>
          <w:szCs w:val="20"/>
        </w:rPr>
        <w:t>14.1.3 施工过程结算审核</w:t>
      </w:r>
    </w:p>
    <w:p w14:paraId="07B67753">
      <w:pPr>
        <w:spacing w:before="127" w:line="346" w:lineRule="auto"/>
        <w:ind w:left="427" w:right="85"/>
        <w:rPr>
          <w:rFonts w:ascii="宋体" w:hAnsi="宋体" w:eastAsia="宋体" w:cs="宋体"/>
          <w:sz w:val="20"/>
          <w:szCs w:val="20"/>
        </w:rPr>
      </w:pPr>
      <w:r>
        <w:rPr>
          <w:rFonts w:ascii="宋体" w:hAnsi="宋体" w:eastAsia="宋体" w:cs="宋体"/>
          <w:spacing w:val="6"/>
          <w:sz w:val="20"/>
          <w:szCs w:val="20"/>
        </w:rPr>
        <w:t>施工过程结算审核时间的约定：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6"/>
          <w:sz w:val="20"/>
          <w:szCs w:val="20"/>
        </w:rPr>
        <w:t>承包人限期整改合格时间的约定：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F524CE2">
      <w:pPr>
        <w:spacing w:before="1" w:line="227" w:lineRule="auto"/>
        <w:ind w:left="443"/>
        <w:rPr>
          <w:rFonts w:ascii="宋体" w:hAnsi="宋体" w:eastAsia="宋体" w:cs="宋体"/>
          <w:sz w:val="20"/>
          <w:szCs w:val="20"/>
        </w:rPr>
      </w:pPr>
      <w:r>
        <w:rPr>
          <w:rFonts w:ascii="宋体" w:hAnsi="宋体" w:eastAsia="宋体" w:cs="宋体"/>
          <w:spacing w:val="5"/>
          <w:sz w:val="20"/>
          <w:szCs w:val="20"/>
        </w:rPr>
        <w:t>14.1.4 施工过程结算支付</w:t>
      </w:r>
    </w:p>
    <w:p w14:paraId="3348326B">
      <w:pPr>
        <w:spacing w:before="127" w:line="346" w:lineRule="auto"/>
        <w:ind w:left="427" w:right="85"/>
        <w:rPr>
          <w:rFonts w:ascii="宋体" w:hAnsi="宋体" w:eastAsia="宋体" w:cs="宋体"/>
          <w:sz w:val="20"/>
          <w:szCs w:val="20"/>
        </w:rPr>
      </w:pPr>
      <w:r>
        <w:rPr>
          <w:rFonts w:ascii="宋体" w:hAnsi="宋体" w:eastAsia="宋体" w:cs="宋体"/>
          <w:spacing w:val="6"/>
          <w:sz w:val="20"/>
          <w:szCs w:val="20"/>
        </w:rPr>
        <w:t>施工过程结算的支付比例、支付时限的约定：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。施工过程结算款支付周期的约定：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32F72C0">
      <w:pPr>
        <w:spacing w:line="227" w:lineRule="auto"/>
        <w:ind w:left="443"/>
        <w:rPr>
          <w:rFonts w:ascii="宋体" w:hAnsi="宋体" w:eastAsia="宋体" w:cs="宋体"/>
          <w:sz w:val="20"/>
          <w:szCs w:val="20"/>
        </w:rPr>
      </w:pPr>
      <w:r>
        <w:rPr>
          <w:rFonts w:ascii="宋体" w:hAnsi="宋体" w:eastAsia="宋体" w:cs="宋体"/>
          <w:b/>
          <w:bCs/>
          <w:spacing w:val="4"/>
          <w:sz w:val="20"/>
          <w:szCs w:val="20"/>
        </w:rPr>
        <w:t>14.2</w:t>
      </w:r>
      <w:r>
        <w:rPr>
          <w:rFonts w:ascii="宋体" w:hAnsi="宋体" w:eastAsia="宋体" w:cs="宋体"/>
          <w:spacing w:val="4"/>
          <w:sz w:val="20"/>
          <w:szCs w:val="20"/>
        </w:rPr>
        <w:t xml:space="preserve"> </w:t>
      </w:r>
      <w:r>
        <w:rPr>
          <w:rFonts w:ascii="宋体" w:hAnsi="宋体" w:eastAsia="宋体" w:cs="宋体"/>
          <w:b/>
          <w:bCs/>
          <w:spacing w:val="4"/>
          <w:sz w:val="20"/>
          <w:szCs w:val="20"/>
        </w:rPr>
        <w:t>竣工结算申请</w:t>
      </w:r>
    </w:p>
    <w:p w14:paraId="5EA3D656">
      <w:pPr>
        <w:spacing w:before="128" w:line="228" w:lineRule="auto"/>
        <w:ind w:left="443"/>
        <w:rPr>
          <w:rFonts w:ascii="宋体" w:hAnsi="宋体" w:eastAsia="宋体" w:cs="宋体"/>
          <w:sz w:val="20"/>
          <w:szCs w:val="20"/>
        </w:rPr>
      </w:pPr>
      <w:r>
        <w:rPr>
          <w:rFonts w:ascii="宋体" w:hAnsi="宋体" w:eastAsia="宋体" w:cs="宋体"/>
          <w:spacing w:val="5"/>
          <w:sz w:val="20"/>
          <w:szCs w:val="20"/>
        </w:rPr>
        <w:t>14.2.1 竣工结算申请</w:t>
      </w:r>
    </w:p>
    <w:p w14:paraId="0B40EE47">
      <w:pPr>
        <w:spacing w:before="128" w:line="347" w:lineRule="auto"/>
        <w:ind w:left="428" w:right="85"/>
        <w:rPr>
          <w:rFonts w:ascii="宋体" w:hAnsi="宋体" w:eastAsia="宋体" w:cs="宋体"/>
          <w:sz w:val="20"/>
          <w:szCs w:val="20"/>
        </w:rPr>
      </w:pPr>
      <w:r>
        <w:rPr>
          <w:rFonts w:ascii="宋体" w:hAnsi="宋体" w:eastAsia="宋体" w:cs="宋体"/>
          <w:spacing w:val="6"/>
          <w:sz w:val="20"/>
          <w:szCs w:val="20"/>
        </w:rPr>
        <w:t>承包人提交竣工结算申请单的期限：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9"/>
          <w:sz w:val="20"/>
          <w:szCs w:val="20"/>
        </w:rPr>
        <w:t>竣工结算申请单应包括的内容：</w:t>
      </w:r>
      <w:r>
        <w:rPr>
          <w:rFonts w:ascii="宋体" w:hAnsi="宋体" w:eastAsia="宋体" w:cs="宋体"/>
          <w:sz w:val="20"/>
          <w:szCs w:val="20"/>
          <w:u w:val="single" w:color="auto"/>
        </w:rPr>
        <w:t xml:space="preserve">                                                    </w:t>
      </w:r>
    </w:p>
    <w:p w14:paraId="28FC7C49">
      <w:pPr>
        <w:spacing w:before="131" w:line="46" w:lineRule="exact"/>
        <w:ind w:left="8534"/>
        <w:rPr>
          <w:rFonts w:ascii="宋体" w:hAnsi="宋体" w:eastAsia="宋体" w:cs="宋体"/>
          <w:sz w:val="20"/>
          <w:szCs w:val="20"/>
        </w:rPr>
      </w:pPr>
      <w:r>
        <w:pict>
          <v:shape id="_x0000_s1102" o:spid="_x0000_s1102" o:spt="202" type="#_x0000_t202" style="position:absolute;left:0pt;margin-left:-1pt;margin-top:-0.75pt;height:14.1pt;width:427.25pt;z-index:251745280;mso-width-relative:page;mso-height-relative:page;" filled="f" stroked="f" coordsize="21600,21600">
            <v:path/>
            <v:fill on="f" focussize="0,0"/>
            <v:stroke on="f"/>
            <v:imagedata o:title=""/>
            <o:lock v:ext="edit" aspectratio="f"/>
            <v:textbox inset="0mm,0mm,0mm,0mm">
              <w:txbxContent>
                <w:p w14:paraId="650FD53E">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1A2B02A3">
      <w:pPr>
        <w:spacing w:before="194" w:line="228" w:lineRule="auto"/>
        <w:ind w:left="443"/>
        <w:rPr>
          <w:rFonts w:ascii="宋体" w:hAnsi="宋体" w:eastAsia="宋体" w:cs="宋体"/>
          <w:sz w:val="20"/>
          <w:szCs w:val="20"/>
        </w:rPr>
      </w:pPr>
      <w:r>
        <w:rPr>
          <w:rFonts w:ascii="宋体" w:hAnsi="宋体" w:eastAsia="宋体" w:cs="宋体"/>
          <w:spacing w:val="5"/>
          <w:sz w:val="20"/>
          <w:szCs w:val="20"/>
        </w:rPr>
        <w:t>14.2.2 竣工结算审核</w:t>
      </w:r>
    </w:p>
    <w:p w14:paraId="1F135D50">
      <w:pPr>
        <w:spacing w:before="128" w:line="346" w:lineRule="auto"/>
        <w:ind w:left="431" w:right="85" w:hanging="2"/>
        <w:rPr>
          <w:rFonts w:ascii="宋体" w:hAnsi="宋体" w:eastAsia="宋体" w:cs="宋体"/>
          <w:sz w:val="20"/>
          <w:szCs w:val="20"/>
        </w:rPr>
      </w:pPr>
      <w:r>
        <w:rPr>
          <w:rFonts w:ascii="宋体" w:hAnsi="宋体" w:eastAsia="宋体" w:cs="宋体"/>
          <w:spacing w:val="6"/>
          <w:sz w:val="20"/>
          <w:szCs w:val="20"/>
        </w:rPr>
        <w:t>监理人完成核查并发送给发包人的期限：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6"/>
          <w:sz w:val="20"/>
          <w:szCs w:val="20"/>
        </w:rPr>
        <w:t>发包人审批竣工付款申请单的期限：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6"/>
          <w:sz w:val="20"/>
          <w:szCs w:val="20"/>
        </w:rPr>
        <w:t>发包人完成竣工付款的期限：</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9"/>
          <w:sz w:val="20"/>
          <w:szCs w:val="20"/>
        </w:rPr>
        <w:t>关于竣工付款证书异议部分复核的方式和程序：</w:t>
      </w:r>
      <w:r>
        <w:rPr>
          <w:rFonts w:ascii="宋体" w:hAnsi="宋体" w:eastAsia="宋体" w:cs="宋体"/>
          <w:sz w:val="20"/>
          <w:szCs w:val="20"/>
          <w:u w:val="single" w:color="auto"/>
        </w:rPr>
        <w:t xml:space="preserve">                                     </w:t>
      </w:r>
    </w:p>
    <w:p w14:paraId="0A44C911">
      <w:pPr>
        <w:tabs>
          <w:tab w:val="left" w:pos="8504"/>
        </w:tabs>
        <w:spacing w:before="13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7C300DC">
      <w:pPr>
        <w:spacing w:before="174" w:line="228" w:lineRule="auto"/>
        <w:ind w:left="443"/>
        <w:rPr>
          <w:rFonts w:ascii="宋体" w:hAnsi="宋体" w:eastAsia="宋体" w:cs="宋体"/>
          <w:sz w:val="20"/>
          <w:szCs w:val="20"/>
        </w:rPr>
      </w:pPr>
      <w:r>
        <w:rPr>
          <w:rFonts w:ascii="宋体" w:hAnsi="宋体" w:eastAsia="宋体" w:cs="宋体"/>
          <w:spacing w:val="3"/>
          <w:sz w:val="20"/>
          <w:szCs w:val="20"/>
        </w:rPr>
        <w:t>14.4</w:t>
      </w:r>
      <w:r>
        <w:rPr>
          <w:rFonts w:ascii="宋体" w:hAnsi="宋体" w:eastAsia="宋体" w:cs="宋体"/>
          <w:spacing w:val="14"/>
          <w:sz w:val="20"/>
          <w:szCs w:val="20"/>
        </w:rPr>
        <w:t xml:space="preserve"> </w:t>
      </w:r>
      <w:r>
        <w:rPr>
          <w:rFonts w:ascii="宋体" w:hAnsi="宋体" w:eastAsia="宋体" w:cs="宋体"/>
          <w:spacing w:val="3"/>
          <w:sz w:val="20"/>
          <w:szCs w:val="20"/>
        </w:rPr>
        <w:t>最终结清</w:t>
      </w:r>
    </w:p>
    <w:p w14:paraId="0145125F">
      <w:pPr>
        <w:spacing w:before="128" w:line="228" w:lineRule="auto"/>
        <w:ind w:left="443"/>
        <w:rPr>
          <w:rFonts w:ascii="宋体" w:hAnsi="宋体" w:eastAsia="宋体" w:cs="宋体"/>
          <w:sz w:val="20"/>
          <w:szCs w:val="20"/>
        </w:rPr>
      </w:pPr>
      <w:r>
        <w:rPr>
          <w:rFonts w:ascii="宋体" w:hAnsi="宋体" w:eastAsia="宋体" w:cs="宋体"/>
          <w:spacing w:val="5"/>
          <w:sz w:val="20"/>
          <w:szCs w:val="20"/>
        </w:rPr>
        <w:t>14.4.1 最终结清申请单</w:t>
      </w:r>
    </w:p>
    <w:p w14:paraId="7EC68330">
      <w:pPr>
        <w:spacing w:before="127" w:line="228" w:lineRule="auto"/>
        <w:ind w:left="428"/>
        <w:rPr>
          <w:rFonts w:ascii="宋体" w:hAnsi="宋体" w:eastAsia="宋体" w:cs="宋体"/>
          <w:sz w:val="20"/>
          <w:szCs w:val="20"/>
        </w:rPr>
      </w:pPr>
      <w:r>
        <w:rPr>
          <w:rFonts w:ascii="宋体" w:hAnsi="宋体" w:eastAsia="宋体" w:cs="宋体"/>
          <w:spacing w:val="6"/>
          <w:sz w:val="20"/>
          <w:szCs w:val="20"/>
        </w:rPr>
        <w:t>承包人提交最终结清申请单的份数：</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C4388FE">
      <w:pPr>
        <w:spacing w:before="127" w:line="228" w:lineRule="auto"/>
        <w:ind w:left="428"/>
        <w:rPr>
          <w:rFonts w:ascii="宋体" w:hAnsi="宋体" w:eastAsia="宋体" w:cs="宋体"/>
          <w:sz w:val="20"/>
          <w:szCs w:val="20"/>
        </w:rPr>
      </w:pPr>
      <w:r>
        <w:rPr>
          <w:rFonts w:ascii="宋体" w:hAnsi="宋体" w:eastAsia="宋体" w:cs="宋体"/>
          <w:spacing w:val="6"/>
          <w:sz w:val="20"/>
          <w:szCs w:val="20"/>
        </w:rPr>
        <w:t>承包人提交最终结算申请单的期限：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BFE9BE3">
      <w:pPr>
        <w:spacing w:line="228" w:lineRule="auto"/>
        <w:rPr>
          <w:rFonts w:ascii="宋体" w:hAnsi="宋体" w:eastAsia="宋体" w:cs="宋体"/>
          <w:sz w:val="20"/>
          <w:szCs w:val="20"/>
        </w:rPr>
        <w:sectPr>
          <w:headerReference r:id="rId412" w:type="default"/>
          <w:footerReference r:id="rId413" w:type="default"/>
          <w:pgSz w:w="11906" w:h="16839"/>
          <w:pgMar w:top="400" w:right="1609" w:bottom="1446" w:left="1531" w:header="0" w:footer="1284" w:gutter="0"/>
          <w:cols w:space="720" w:num="1"/>
        </w:sectPr>
      </w:pPr>
    </w:p>
    <w:p w14:paraId="3C3CDCD8">
      <w:pPr>
        <w:spacing w:line="246" w:lineRule="auto"/>
        <w:rPr>
          <w:rFonts w:ascii="Arial"/>
          <w:sz w:val="21"/>
        </w:rPr>
      </w:pPr>
    </w:p>
    <w:p w14:paraId="1C2C2F71">
      <w:pPr>
        <w:spacing w:line="246" w:lineRule="auto"/>
        <w:rPr>
          <w:rFonts w:ascii="Arial"/>
          <w:sz w:val="21"/>
        </w:rPr>
      </w:pPr>
    </w:p>
    <w:p w14:paraId="23B410EB">
      <w:pPr>
        <w:spacing w:line="246" w:lineRule="auto"/>
        <w:rPr>
          <w:rFonts w:ascii="Arial"/>
          <w:sz w:val="21"/>
        </w:rPr>
      </w:pPr>
    </w:p>
    <w:p w14:paraId="2E42D5D0">
      <w:pPr>
        <w:spacing w:line="246" w:lineRule="auto"/>
        <w:rPr>
          <w:rFonts w:ascii="Arial"/>
          <w:sz w:val="21"/>
        </w:rPr>
      </w:pPr>
    </w:p>
    <w:p w14:paraId="0BCB8267">
      <w:pPr>
        <w:spacing w:line="247" w:lineRule="auto"/>
        <w:rPr>
          <w:rFonts w:ascii="Arial"/>
          <w:sz w:val="21"/>
        </w:rPr>
      </w:pPr>
    </w:p>
    <w:p w14:paraId="70EBA719">
      <w:pPr>
        <w:spacing w:line="247" w:lineRule="auto"/>
        <w:rPr>
          <w:rFonts w:ascii="Arial"/>
          <w:sz w:val="21"/>
        </w:rPr>
      </w:pPr>
    </w:p>
    <w:p w14:paraId="4789E4E8">
      <w:pPr>
        <w:spacing w:before="65" w:line="228" w:lineRule="auto"/>
        <w:ind w:left="428"/>
        <w:rPr>
          <w:rFonts w:ascii="宋体" w:hAnsi="宋体" w:eastAsia="宋体" w:cs="宋体"/>
          <w:sz w:val="20"/>
          <w:szCs w:val="20"/>
        </w:rPr>
      </w:pPr>
      <w:r>
        <w:rPr>
          <w:rFonts w:ascii="宋体" w:hAnsi="宋体" w:eastAsia="宋体" w:cs="宋体"/>
          <w:spacing w:val="6"/>
          <w:sz w:val="20"/>
          <w:szCs w:val="20"/>
        </w:rPr>
        <w:t>承包人提交最终结清申请单的内容：</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7981B15">
      <w:pPr>
        <w:spacing w:before="127" w:line="227" w:lineRule="auto"/>
        <w:ind w:left="443"/>
        <w:rPr>
          <w:rFonts w:ascii="宋体" w:hAnsi="宋体" w:eastAsia="宋体" w:cs="宋体"/>
          <w:sz w:val="20"/>
          <w:szCs w:val="20"/>
        </w:rPr>
      </w:pPr>
      <w:r>
        <w:rPr>
          <w:rFonts w:ascii="宋体" w:hAnsi="宋体" w:eastAsia="宋体" w:cs="宋体"/>
          <w:spacing w:val="6"/>
          <w:sz w:val="20"/>
          <w:szCs w:val="20"/>
        </w:rPr>
        <w:t>14.4.2 最终结清证书和支付</w:t>
      </w:r>
    </w:p>
    <w:p w14:paraId="727A4FC8">
      <w:pPr>
        <w:spacing w:before="128" w:line="227" w:lineRule="auto"/>
        <w:ind w:left="438"/>
        <w:rPr>
          <w:rFonts w:ascii="宋体" w:hAnsi="宋体" w:eastAsia="宋体" w:cs="宋体"/>
          <w:sz w:val="20"/>
          <w:szCs w:val="20"/>
        </w:rPr>
      </w:pPr>
      <w:r>
        <w:rPr>
          <w:rFonts w:ascii="宋体" w:hAnsi="宋体" w:eastAsia="宋体" w:cs="宋体"/>
          <w:spacing w:val="8"/>
          <w:sz w:val="20"/>
          <w:szCs w:val="20"/>
        </w:rPr>
        <w:t>（1）发包人完成最终结清申请单的审批并颁发最终结清证书的期</w:t>
      </w:r>
      <w:r>
        <w:rPr>
          <w:rFonts w:ascii="宋体" w:hAnsi="宋体" w:eastAsia="宋体" w:cs="宋体"/>
          <w:spacing w:val="7"/>
          <w:sz w:val="20"/>
          <w:szCs w:val="20"/>
        </w:rPr>
        <w:t>限：</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3AC67791">
      <w:pPr>
        <w:spacing w:before="128" w:line="228" w:lineRule="auto"/>
        <w:ind w:left="438"/>
        <w:rPr>
          <w:rFonts w:ascii="宋体" w:hAnsi="宋体" w:eastAsia="宋体" w:cs="宋体"/>
          <w:sz w:val="20"/>
          <w:szCs w:val="20"/>
        </w:rPr>
      </w:pPr>
      <w:r>
        <w:rPr>
          <w:rFonts w:ascii="宋体" w:hAnsi="宋体" w:eastAsia="宋体" w:cs="宋体"/>
          <w:spacing w:val="6"/>
          <w:sz w:val="20"/>
          <w:szCs w:val="20"/>
        </w:rPr>
        <w:t>（2）发包人完成支付的期限：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CBC0959">
      <w:pPr>
        <w:spacing w:line="294" w:lineRule="auto"/>
        <w:rPr>
          <w:rFonts w:ascii="Arial"/>
          <w:sz w:val="21"/>
        </w:rPr>
      </w:pPr>
    </w:p>
    <w:p w14:paraId="370B4531">
      <w:pPr>
        <w:spacing w:line="294" w:lineRule="auto"/>
        <w:rPr>
          <w:rFonts w:ascii="Arial"/>
          <w:sz w:val="21"/>
        </w:rPr>
      </w:pPr>
    </w:p>
    <w:p w14:paraId="40BE89A0">
      <w:pPr>
        <w:spacing w:line="295" w:lineRule="auto"/>
        <w:rPr>
          <w:rFonts w:ascii="Arial"/>
          <w:sz w:val="21"/>
        </w:rPr>
      </w:pPr>
    </w:p>
    <w:p w14:paraId="58E9EAEC">
      <w:pPr>
        <w:spacing w:line="295" w:lineRule="auto"/>
        <w:rPr>
          <w:rFonts w:ascii="Arial"/>
          <w:sz w:val="21"/>
        </w:rPr>
      </w:pPr>
    </w:p>
    <w:p w14:paraId="310452DD">
      <w:pPr>
        <w:spacing w:before="65" w:line="228" w:lineRule="auto"/>
        <w:ind w:left="443"/>
        <w:outlineLvl w:val="2"/>
        <w:rPr>
          <w:rFonts w:ascii="宋体" w:hAnsi="宋体" w:eastAsia="宋体" w:cs="宋体"/>
          <w:sz w:val="20"/>
          <w:szCs w:val="20"/>
        </w:rPr>
      </w:pPr>
      <w:bookmarkStart w:id="341" w:name="bookmark324"/>
      <w:bookmarkEnd w:id="341"/>
      <w:r>
        <w:rPr>
          <w:rFonts w:ascii="宋体" w:hAnsi="宋体" w:eastAsia="宋体" w:cs="宋体"/>
          <w:b/>
          <w:bCs/>
          <w:spacing w:val="5"/>
          <w:sz w:val="20"/>
          <w:szCs w:val="20"/>
        </w:rPr>
        <w:t>15.</w:t>
      </w:r>
      <w:r>
        <w:rPr>
          <w:rFonts w:ascii="宋体" w:hAnsi="宋体" w:eastAsia="宋体" w:cs="宋体"/>
          <w:spacing w:val="5"/>
          <w:sz w:val="20"/>
          <w:szCs w:val="20"/>
        </w:rPr>
        <w:t xml:space="preserve"> </w:t>
      </w:r>
      <w:r>
        <w:rPr>
          <w:rFonts w:ascii="宋体" w:hAnsi="宋体" w:eastAsia="宋体" w:cs="宋体"/>
          <w:b/>
          <w:bCs/>
          <w:spacing w:val="5"/>
          <w:sz w:val="20"/>
          <w:szCs w:val="20"/>
        </w:rPr>
        <w:t>缺陷责任期与保修</w:t>
      </w:r>
    </w:p>
    <w:p w14:paraId="7EA89D00">
      <w:pPr>
        <w:spacing w:before="127" w:line="228" w:lineRule="auto"/>
        <w:ind w:left="443"/>
        <w:rPr>
          <w:rFonts w:ascii="宋体" w:hAnsi="宋体" w:eastAsia="宋体" w:cs="宋体"/>
          <w:sz w:val="20"/>
          <w:szCs w:val="20"/>
        </w:rPr>
      </w:pPr>
      <w:r>
        <w:rPr>
          <w:rFonts w:ascii="宋体" w:hAnsi="宋体" w:eastAsia="宋体" w:cs="宋体"/>
          <w:b/>
          <w:bCs/>
          <w:spacing w:val="3"/>
          <w:sz w:val="20"/>
          <w:szCs w:val="20"/>
        </w:rPr>
        <w:t>15.2</w:t>
      </w:r>
      <w:r>
        <w:rPr>
          <w:rFonts w:ascii="宋体" w:hAnsi="宋体" w:eastAsia="宋体" w:cs="宋体"/>
          <w:spacing w:val="3"/>
          <w:sz w:val="20"/>
          <w:szCs w:val="20"/>
        </w:rPr>
        <w:t xml:space="preserve"> </w:t>
      </w:r>
      <w:r>
        <w:rPr>
          <w:rFonts w:ascii="宋体" w:hAnsi="宋体" w:eastAsia="宋体" w:cs="宋体"/>
          <w:b/>
          <w:bCs/>
          <w:spacing w:val="3"/>
          <w:sz w:val="20"/>
          <w:szCs w:val="20"/>
        </w:rPr>
        <w:t>缺陷责任期</w:t>
      </w:r>
    </w:p>
    <w:p w14:paraId="6E05735F">
      <w:pPr>
        <w:spacing w:before="127" w:line="228" w:lineRule="auto"/>
        <w:ind w:left="443"/>
        <w:rPr>
          <w:rFonts w:ascii="宋体" w:hAnsi="宋体" w:eastAsia="宋体" w:cs="宋体"/>
          <w:sz w:val="20"/>
          <w:szCs w:val="20"/>
        </w:rPr>
      </w:pPr>
      <w:r>
        <w:rPr>
          <w:rFonts w:ascii="宋体" w:hAnsi="宋体" w:eastAsia="宋体" w:cs="宋体"/>
          <w:spacing w:val="6"/>
          <w:sz w:val="20"/>
          <w:szCs w:val="20"/>
        </w:rPr>
        <w:t>15.2.1</w:t>
      </w:r>
      <w:r>
        <w:rPr>
          <w:rFonts w:ascii="宋体" w:hAnsi="宋体" w:eastAsia="宋体" w:cs="宋体"/>
          <w:spacing w:val="-34"/>
          <w:sz w:val="20"/>
          <w:szCs w:val="20"/>
        </w:rPr>
        <w:t xml:space="preserve"> </w:t>
      </w:r>
      <w:r>
        <w:rPr>
          <w:rFonts w:ascii="宋体" w:hAnsi="宋体" w:eastAsia="宋体" w:cs="宋体"/>
          <w:spacing w:val="6"/>
          <w:sz w:val="20"/>
          <w:szCs w:val="20"/>
        </w:rPr>
        <w:t>缺陷责任期的具体期限：</w:t>
      </w:r>
      <w:r>
        <w:rPr>
          <w:rFonts w:ascii="宋体" w:hAnsi="宋体" w:eastAsia="宋体" w:cs="宋体"/>
          <w:sz w:val="20"/>
          <w:szCs w:val="20"/>
          <w:u w:val="single" w:color="auto"/>
        </w:rPr>
        <w:t xml:space="preserve">                                                   </w:t>
      </w:r>
    </w:p>
    <w:p w14:paraId="206C908E">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84D1130">
      <w:pPr>
        <w:spacing w:before="173" w:line="228" w:lineRule="auto"/>
        <w:ind w:left="443"/>
        <w:rPr>
          <w:rFonts w:ascii="宋体" w:hAnsi="宋体" w:eastAsia="宋体" w:cs="宋体"/>
          <w:sz w:val="20"/>
          <w:szCs w:val="20"/>
        </w:rPr>
      </w:pPr>
      <w:r>
        <w:rPr>
          <w:rFonts w:ascii="宋体" w:hAnsi="宋体" w:eastAsia="宋体" w:cs="宋体"/>
          <w:spacing w:val="6"/>
          <w:sz w:val="20"/>
          <w:szCs w:val="20"/>
        </w:rPr>
        <w:t>15.2.4</w:t>
      </w:r>
      <w:r>
        <w:rPr>
          <w:rFonts w:ascii="宋体" w:hAnsi="宋体" w:eastAsia="宋体" w:cs="宋体"/>
          <w:spacing w:val="-40"/>
          <w:sz w:val="20"/>
          <w:szCs w:val="20"/>
        </w:rPr>
        <w:t xml:space="preserve"> </w:t>
      </w:r>
      <w:r>
        <w:rPr>
          <w:rFonts w:ascii="宋体" w:hAnsi="宋体" w:eastAsia="宋体" w:cs="宋体"/>
          <w:spacing w:val="6"/>
          <w:sz w:val="20"/>
          <w:szCs w:val="20"/>
        </w:rPr>
        <w:t>承包人向发包人发出缺陷责任期届满通知的</w:t>
      </w:r>
      <w:r>
        <w:rPr>
          <w:rFonts w:ascii="宋体" w:hAnsi="宋体" w:eastAsia="宋体" w:cs="宋体"/>
          <w:spacing w:val="5"/>
          <w:sz w:val="20"/>
          <w:szCs w:val="20"/>
        </w:rPr>
        <w:t>期限：</w:t>
      </w:r>
      <w:r>
        <w:rPr>
          <w:rFonts w:ascii="宋体" w:hAnsi="宋体" w:eastAsia="宋体" w:cs="宋体"/>
          <w:spacing w:val="5"/>
          <w:sz w:val="20"/>
          <w:szCs w:val="20"/>
          <w:u w:val="single" w:color="auto"/>
        </w:rPr>
        <w:t xml:space="preserve">                           </w:t>
      </w:r>
    </w:p>
    <w:p w14:paraId="79805A77">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1DFEB23">
      <w:pPr>
        <w:spacing w:before="174" w:line="228" w:lineRule="auto"/>
        <w:ind w:left="431"/>
        <w:rPr>
          <w:rFonts w:ascii="宋体" w:hAnsi="宋体" w:eastAsia="宋体" w:cs="宋体"/>
          <w:sz w:val="20"/>
          <w:szCs w:val="20"/>
        </w:rPr>
      </w:pPr>
      <w:r>
        <w:rPr>
          <w:rFonts w:ascii="宋体" w:hAnsi="宋体" w:eastAsia="宋体" w:cs="宋体"/>
          <w:spacing w:val="9"/>
          <w:sz w:val="20"/>
          <w:szCs w:val="20"/>
        </w:rPr>
        <w:t>发包人核实承包人是否履行缺陷修复义务的期限：</w:t>
      </w:r>
      <w:r>
        <w:rPr>
          <w:rFonts w:ascii="宋体" w:hAnsi="宋体" w:eastAsia="宋体" w:cs="宋体"/>
          <w:sz w:val="20"/>
          <w:szCs w:val="20"/>
          <w:u w:val="single" w:color="auto"/>
        </w:rPr>
        <w:t xml:space="preserve">                                   </w:t>
      </w:r>
    </w:p>
    <w:p w14:paraId="09164C44">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620F7AD">
      <w:pPr>
        <w:spacing w:before="175" w:line="228" w:lineRule="auto"/>
        <w:ind w:left="443"/>
        <w:rPr>
          <w:rFonts w:ascii="宋体" w:hAnsi="宋体" w:eastAsia="宋体" w:cs="宋体"/>
          <w:sz w:val="20"/>
          <w:szCs w:val="20"/>
        </w:rPr>
      </w:pPr>
      <w:r>
        <w:rPr>
          <w:rFonts w:ascii="宋体" w:hAnsi="宋体" w:eastAsia="宋体" w:cs="宋体"/>
          <w:b/>
          <w:bCs/>
          <w:spacing w:val="3"/>
          <w:sz w:val="20"/>
          <w:szCs w:val="20"/>
        </w:rPr>
        <w:t>15.3</w:t>
      </w:r>
      <w:r>
        <w:rPr>
          <w:rFonts w:ascii="宋体" w:hAnsi="宋体" w:eastAsia="宋体" w:cs="宋体"/>
          <w:spacing w:val="3"/>
          <w:sz w:val="20"/>
          <w:szCs w:val="20"/>
        </w:rPr>
        <w:t xml:space="preserve"> </w:t>
      </w:r>
      <w:r>
        <w:rPr>
          <w:rFonts w:ascii="宋体" w:hAnsi="宋体" w:eastAsia="宋体" w:cs="宋体"/>
          <w:b/>
          <w:bCs/>
          <w:spacing w:val="3"/>
          <w:sz w:val="20"/>
          <w:szCs w:val="20"/>
        </w:rPr>
        <w:t>质量保证金</w:t>
      </w:r>
    </w:p>
    <w:p w14:paraId="5653FF84">
      <w:pPr>
        <w:spacing w:before="127" w:line="228" w:lineRule="auto"/>
        <w:ind w:left="431"/>
        <w:rPr>
          <w:rFonts w:ascii="宋体" w:hAnsi="宋体" w:eastAsia="宋体" w:cs="宋体"/>
          <w:sz w:val="20"/>
          <w:szCs w:val="20"/>
        </w:rPr>
      </w:pPr>
      <w:r>
        <w:rPr>
          <w:rFonts w:ascii="宋体" w:hAnsi="宋体" w:eastAsia="宋体" w:cs="宋体"/>
          <w:spacing w:val="7"/>
          <w:sz w:val="20"/>
          <w:szCs w:val="20"/>
        </w:rPr>
        <w:t>关于是否扣留质量保证金的约定：</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6615A94">
      <w:pPr>
        <w:spacing w:before="127" w:line="227" w:lineRule="auto"/>
        <w:ind w:left="443"/>
        <w:rPr>
          <w:rFonts w:ascii="宋体" w:hAnsi="宋体" w:eastAsia="宋体" w:cs="宋体"/>
          <w:sz w:val="20"/>
          <w:szCs w:val="20"/>
        </w:rPr>
      </w:pPr>
      <w:r>
        <w:rPr>
          <w:rFonts w:ascii="宋体" w:hAnsi="宋体" w:eastAsia="宋体" w:cs="宋体"/>
          <w:spacing w:val="6"/>
          <w:sz w:val="20"/>
          <w:szCs w:val="20"/>
        </w:rPr>
        <w:t>15.3.1 承包人提供质量保证金的方式</w:t>
      </w:r>
    </w:p>
    <w:p w14:paraId="5B940667">
      <w:pPr>
        <w:spacing w:before="128" w:line="227" w:lineRule="auto"/>
        <w:ind w:left="429"/>
        <w:rPr>
          <w:rFonts w:ascii="宋体" w:hAnsi="宋体" w:eastAsia="宋体" w:cs="宋体"/>
          <w:sz w:val="20"/>
          <w:szCs w:val="20"/>
        </w:rPr>
      </w:pPr>
      <w:r>
        <w:rPr>
          <w:rFonts w:ascii="宋体" w:hAnsi="宋体" w:eastAsia="宋体" w:cs="宋体"/>
          <w:spacing w:val="7"/>
          <w:sz w:val="20"/>
          <w:szCs w:val="20"/>
        </w:rPr>
        <w:t>质量保证金采用以下第</w:t>
      </w:r>
      <w:r>
        <w:rPr>
          <w:rFonts w:ascii="宋体" w:hAnsi="宋体" w:eastAsia="宋体" w:cs="宋体"/>
          <w:spacing w:val="-8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7"/>
          <w:sz w:val="20"/>
          <w:szCs w:val="20"/>
        </w:rPr>
        <w:t>种方式：</w:t>
      </w:r>
    </w:p>
    <w:p w14:paraId="327CA0A2">
      <w:pPr>
        <w:spacing w:before="129" w:line="228" w:lineRule="auto"/>
        <w:ind w:left="438"/>
        <w:rPr>
          <w:rFonts w:ascii="宋体" w:hAnsi="宋体" w:eastAsia="宋体" w:cs="宋体"/>
          <w:sz w:val="20"/>
          <w:szCs w:val="20"/>
        </w:rPr>
      </w:pPr>
      <w:r>
        <w:rPr>
          <w:rFonts w:ascii="宋体" w:hAnsi="宋体" w:eastAsia="宋体" w:cs="宋体"/>
          <w:spacing w:val="8"/>
          <w:sz w:val="20"/>
          <w:szCs w:val="20"/>
        </w:rPr>
        <w:t>（1）质量保证金保函，保证金额为：</w:t>
      </w:r>
      <w:r>
        <w:rPr>
          <w:rFonts w:ascii="宋体" w:hAnsi="宋体" w:eastAsia="宋体" w:cs="宋体"/>
          <w:spacing w:val="5"/>
          <w:sz w:val="20"/>
          <w:szCs w:val="20"/>
          <w:u w:val="single" w:color="auto"/>
        </w:rPr>
        <w:t xml:space="preserve">                   </w:t>
      </w:r>
      <w:r>
        <w:rPr>
          <w:rFonts w:ascii="宋体" w:hAnsi="宋体" w:eastAsia="宋体" w:cs="宋体"/>
          <w:spacing w:val="8"/>
          <w:sz w:val="20"/>
          <w:szCs w:val="20"/>
        </w:rPr>
        <w:t>；</w:t>
      </w:r>
    </w:p>
    <w:p w14:paraId="16386628">
      <w:pPr>
        <w:spacing w:before="128" w:line="228" w:lineRule="auto"/>
        <w:ind w:left="438"/>
        <w:rPr>
          <w:rFonts w:ascii="宋体" w:hAnsi="宋体" w:eastAsia="宋体" w:cs="宋体"/>
          <w:sz w:val="20"/>
          <w:szCs w:val="20"/>
        </w:rPr>
      </w:pPr>
      <w:r>
        <w:rPr>
          <w:rFonts w:ascii="宋体" w:hAnsi="宋体" w:eastAsia="宋体" w:cs="宋体"/>
          <w:spacing w:val="5"/>
          <w:sz w:val="20"/>
          <w:szCs w:val="20"/>
        </w:rPr>
        <w:t>（2）</w:t>
      </w:r>
      <w:r>
        <w:rPr>
          <w:rFonts w:ascii="宋体" w:hAnsi="宋体" w:eastAsia="宋体" w:cs="宋体"/>
          <w:spacing w:val="5"/>
          <w:sz w:val="20"/>
          <w:szCs w:val="20"/>
          <w:u w:val="single" w:color="auto"/>
        </w:rPr>
        <w:t xml:space="preserve">      </w:t>
      </w:r>
      <w:r>
        <w:rPr>
          <w:rFonts w:ascii="宋体" w:hAnsi="宋体" w:eastAsia="宋体" w:cs="宋体"/>
          <w:spacing w:val="-97"/>
          <w:sz w:val="20"/>
          <w:szCs w:val="20"/>
        </w:rPr>
        <w:t xml:space="preserve"> </w:t>
      </w:r>
      <w:r>
        <w:rPr>
          <w:rFonts w:ascii="宋体" w:hAnsi="宋体" w:eastAsia="宋体" w:cs="宋体"/>
          <w:spacing w:val="5"/>
          <w:sz w:val="20"/>
          <w:szCs w:val="20"/>
        </w:rPr>
        <w:t>%的工程款；</w:t>
      </w:r>
    </w:p>
    <w:p w14:paraId="376AA5BE">
      <w:pPr>
        <w:spacing w:before="127" w:line="228" w:lineRule="auto"/>
        <w:ind w:left="438"/>
        <w:rPr>
          <w:rFonts w:ascii="宋体" w:hAnsi="宋体" w:eastAsia="宋体" w:cs="宋体"/>
          <w:sz w:val="20"/>
          <w:szCs w:val="20"/>
        </w:rPr>
      </w:pPr>
      <w:r>
        <w:rPr>
          <w:rFonts w:ascii="宋体" w:hAnsi="宋体" w:eastAsia="宋体" w:cs="宋体"/>
          <w:spacing w:val="4"/>
          <w:sz w:val="20"/>
          <w:szCs w:val="20"/>
        </w:rPr>
        <w:t>（3）其他方式：</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7082E3CC">
      <w:pPr>
        <w:spacing w:before="128" w:line="228" w:lineRule="auto"/>
        <w:ind w:left="443"/>
        <w:rPr>
          <w:rFonts w:ascii="宋体" w:hAnsi="宋体" w:eastAsia="宋体" w:cs="宋体"/>
          <w:sz w:val="20"/>
          <w:szCs w:val="20"/>
        </w:rPr>
      </w:pPr>
      <w:r>
        <w:rPr>
          <w:rFonts w:ascii="宋体" w:hAnsi="宋体" w:eastAsia="宋体" w:cs="宋体"/>
          <w:spacing w:val="5"/>
          <w:sz w:val="20"/>
          <w:szCs w:val="20"/>
        </w:rPr>
        <w:t>15.3.2 质量保证金的扣留</w:t>
      </w:r>
    </w:p>
    <w:p w14:paraId="0E21EC45">
      <w:pPr>
        <w:spacing w:before="126" w:line="227" w:lineRule="auto"/>
        <w:ind w:left="429"/>
        <w:rPr>
          <w:rFonts w:ascii="宋体" w:hAnsi="宋体" w:eastAsia="宋体" w:cs="宋体"/>
          <w:sz w:val="20"/>
          <w:szCs w:val="20"/>
        </w:rPr>
      </w:pPr>
      <w:r>
        <w:rPr>
          <w:rFonts w:ascii="宋体" w:hAnsi="宋体" w:eastAsia="宋体" w:cs="宋体"/>
          <w:spacing w:val="7"/>
          <w:sz w:val="20"/>
          <w:szCs w:val="20"/>
        </w:rPr>
        <w:t>质量保证金的扣留采取以下第</w:t>
      </w:r>
      <w:r>
        <w:rPr>
          <w:rFonts w:ascii="宋体" w:hAnsi="宋体" w:eastAsia="宋体" w:cs="宋体"/>
          <w:spacing w:val="7"/>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7"/>
          <w:sz w:val="20"/>
          <w:szCs w:val="20"/>
        </w:rPr>
        <w:t>种方式：</w:t>
      </w:r>
    </w:p>
    <w:p w14:paraId="7327100F">
      <w:pPr>
        <w:spacing w:before="129" w:line="228" w:lineRule="auto"/>
        <w:ind w:left="438"/>
        <w:rPr>
          <w:rFonts w:ascii="宋体" w:hAnsi="宋体" w:eastAsia="宋体" w:cs="宋体"/>
          <w:sz w:val="20"/>
          <w:szCs w:val="20"/>
        </w:rPr>
      </w:pPr>
      <w:r>
        <w:rPr>
          <w:rFonts w:ascii="宋体" w:hAnsi="宋体" w:eastAsia="宋体" w:cs="宋体"/>
          <w:spacing w:val="8"/>
          <w:sz w:val="20"/>
          <w:szCs w:val="20"/>
        </w:rPr>
        <w:t>（1）承包人在工程竣工结算时提交质量保证金保函；</w:t>
      </w:r>
    </w:p>
    <w:p w14:paraId="081D9716">
      <w:pPr>
        <w:spacing w:before="127" w:line="346" w:lineRule="auto"/>
        <w:ind w:left="8" w:firstLine="430"/>
        <w:rPr>
          <w:rFonts w:ascii="宋体" w:hAnsi="宋体" w:eastAsia="宋体" w:cs="宋体"/>
          <w:sz w:val="20"/>
          <w:szCs w:val="20"/>
        </w:rPr>
      </w:pPr>
      <w:r>
        <w:rPr>
          <w:rFonts w:ascii="宋体" w:hAnsi="宋体" w:eastAsia="宋体" w:cs="宋体"/>
          <w:spacing w:val="7"/>
          <w:sz w:val="20"/>
          <w:szCs w:val="20"/>
        </w:rPr>
        <w:t>（2）在支付工程进度款时逐次扣留，在此情形下，质量保证金的计算基数不包括预付款的支</w:t>
      </w:r>
      <w:r>
        <w:rPr>
          <w:rFonts w:ascii="宋体" w:hAnsi="宋体" w:eastAsia="宋体" w:cs="宋体"/>
          <w:spacing w:val="8"/>
          <w:sz w:val="20"/>
          <w:szCs w:val="20"/>
        </w:rPr>
        <w:t>付、扣回以及价格调整的金额；</w:t>
      </w:r>
    </w:p>
    <w:p w14:paraId="595B5129">
      <w:pPr>
        <w:spacing w:line="227" w:lineRule="auto"/>
        <w:ind w:left="438"/>
        <w:rPr>
          <w:rFonts w:ascii="宋体" w:hAnsi="宋体" w:eastAsia="宋体" w:cs="宋体"/>
          <w:sz w:val="20"/>
          <w:szCs w:val="20"/>
        </w:rPr>
      </w:pPr>
      <w:r>
        <w:rPr>
          <w:rFonts w:ascii="宋体" w:hAnsi="宋体" w:eastAsia="宋体" w:cs="宋体"/>
          <w:spacing w:val="8"/>
          <w:sz w:val="20"/>
          <w:szCs w:val="20"/>
        </w:rPr>
        <w:t>（3）工程竣工结算时一次性扣留质量保证金；</w:t>
      </w:r>
    </w:p>
    <w:p w14:paraId="7ACF6E47">
      <w:pPr>
        <w:spacing w:before="128" w:line="228" w:lineRule="auto"/>
        <w:ind w:left="438"/>
        <w:rPr>
          <w:rFonts w:ascii="宋体" w:hAnsi="宋体" w:eastAsia="宋体" w:cs="宋体"/>
          <w:sz w:val="20"/>
          <w:szCs w:val="20"/>
        </w:rPr>
      </w:pPr>
      <w:r>
        <w:rPr>
          <w:rFonts w:ascii="宋体" w:hAnsi="宋体" w:eastAsia="宋体" w:cs="宋体"/>
          <w:spacing w:val="6"/>
          <w:sz w:val="20"/>
          <w:szCs w:val="20"/>
        </w:rPr>
        <w:t>（4）其他扣留方式：</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1D10B60B">
      <w:pPr>
        <w:spacing w:before="128" w:line="228" w:lineRule="auto"/>
        <w:ind w:left="431"/>
        <w:rPr>
          <w:rFonts w:ascii="宋体" w:hAnsi="宋体" w:eastAsia="宋体" w:cs="宋体"/>
          <w:sz w:val="20"/>
          <w:szCs w:val="20"/>
        </w:rPr>
      </w:pPr>
      <w:r>
        <w:rPr>
          <w:rFonts w:ascii="宋体" w:hAnsi="宋体" w:eastAsia="宋体" w:cs="宋体"/>
          <w:spacing w:val="9"/>
          <w:sz w:val="20"/>
          <w:szCs w:val="20"/>
        </w:rPr>
        <w:t>关于质量保证金的补充约定：</w:t>
      </w:r>
      <w:r>
        <w:rPr>
          <w:rFonts w:ascii="宋体" w:hAnsi="宋体" w:eastAsia="宋体" w:cs="宋体"/>
          <w:sz w:val="20"/>
          <w:szCs w:val="20"/>
          <w:u w:val="single" w:color="auto"/>
        </w:rPr>
        <w:t xml:space="preserve">                                                      </w:t>
      </w:r>
    </w:p>
    <w:p w14:paraId="6077EB21">
      <w:pPr>
        <w:spacing w:before="262" w:line="45" w:lineRule="exact"/>
        <w:ind w:left="8534"/>
        <w:rPr>
          <w:rFonts w:ascii="宋体" w:hAnsi="宋体" w:eastAsia="宋体" w:cs="宋体"/>
          <w:sz w:val="20"/>
          <w:szCs w:val="20"/>
        </w:rPr>
      </w:pPr>
      <w:r>
        <w:pict>
          <v:shape id="_x0000_s1103" o:spid="_x0000_s1103" o:spt="202" type="#_x0000_t202" style="position:absolute;left:0pt;margin-left:-1pt;margin-top:5.7pt;height:14.1pt;width:427.25pt;z-index:251746304;mso-width-relative:page;mso-height-relative:page;" filled="f" stroked="f" coordsize="21600,21600">
            <v:path/>
            <v:fill on="f" focussize="0,0"/>
            <v:stroke on="f"/>
            <v:imagedata o:title=""/>
            <o:lock v:ext="edit" aspectratio="f"/>
            <v:textbox inset="0mm,0mm,0mm,0mm">
              <w:txbxContent>
                <w:p w14:paraId="169360C9">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0F1CE513">
      <w:pPr>
        <w:spacing w:before="194" w:line="228" w:lineRule="auto"/>
        <w:ind w:left="443"/>
        <w:rPr>
          <w:rFonts w:ascii="宋体" w:hAnsi="宋体" w:eastAsia="宋体" w:cs="宋体"/>
          <w:sz w:val="20"/>
          <w:szCs w:val="20"/>
        </w:rPr>
      </w:pPr>
      <w:r>
        <w:rPr>
          <w:rFonts w:ascii="宋体" w:hAnsi="宋体" w:eastAsia="宋体" w:cs="宋体"/>
          <w:b/>
          <w:bCs/>
          <w:spacing w:val="-1"/>
          <w:sz w:val="20"/>
          <w:szCs w:val="20"/>
        </w:rPr>
        <w:t>15.4</w:t>
      </w:r>
      <w:r>
        <w:rPr>
          <w:rFonts w:ascii="宋体" w:hAnsi="宋体" w:eastAsia="宋体" w:cs="宋体"/>
          <w:spacing w:val="16"/>
          <w:sz w:val="20"/>
          <w:szCs w:val="20"/>
        </w:rPr>
        <w:t xml:space="preserve"> </w:t>
      </w:r>
      <w:r>
        <w:rPr>
          <w:rFonts w:ascii="宋体" w:hAnsi="宋体" w:eastAsia="宋体" w:cs="宋体"/>
          <w:b/>
          <w:bCs/>
          <w:spacing w:val="-1"/>
          <w:sz w:val="20"/>
          <w:szCs w:val="20"/>
        </w:rPr>
        <w:t>保修</w:t>
      </w:r>
    </w:p>
    <w:p w14:paraId="5481C73E">
      <w:pPr>
        <w:spacing w:before="127" w:line="228" w:lineRule="auto"/>
        <w:ind w:left="443"/>
        <w:rPr>
          <w:rFonts w:ascii="宋体" w:hAnsi="宋体" w:eastAsia="宋体" w:cs="宋体"/>
          <w:sz w:val="20"/>
          <w:szCs w:val="20"/>
        </w:rPr>
      </w:pPr>
      <w:r>
        <w:rPr>
          <w:rFonts w:ascii="宋体" w:hAnsi="宋体" w:eastAsia="宋体" w:cs="宋体"/>
          <w:spacing w:val="4"/>
          <w:sz w:val="20"/>
          <w:szCs w:val="20"/>
        </w:rPr>
        <w:t>15.4.1 保修责任</w:t>
      </w:r>
    </w:p>
    <w:p w14:paraId="1F802EE4">
      <w:pPr>
        <w:spacing w:before="128" w:line="228" w:lineRule="auto"/>
        <w:ind w:left="430"/>
        <w:rPr>
          <w:rFonts w:ascii="宋体" w:hAnsi="宋体" w:eastAsia="宋体" w:cs="宋体"/>
          <w:sz w:val="20"/>
          <w:szCs w:val="20"/>
        </w:rPr>
      </w:pPr>
      <w:r>
        <w:rPr>
          <w:rFonts w:ascii="宋体" w:hAnsi="宋体" w:eastAsia="宋体" w:cs="宋体"/>
          <w:spacing w:val="4"/>
          <w:sz w:val="20"/>
          <w:szCs w:val="20"/>
        </w:rPr>
        <w:t>工程保修期为：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3B18C7DF">
      <w:pPr>
        <w:spacing w:line="228" w:lineRule="auto"/>
        <w:rPr>
          <w:rFonts w:ascii="宋体" w:hAnsi="宋体" w:eastAsia="宋体" w:cs="宋体"/>
          <w:sz w:val="20"/>
          <w:szCs w:val="20"/>
        </w:rPr>
        <w:sectPr>
          <w:footerReference r:id="rId414" w:type="default"/>
          <w:pgSz w:w="11906" w:h="16839"/>
          <w:pgMar w:top="400" w:right="1533" w:bottom="1446" w:left="1531" w:header="0" w:footer="1284" w:gutter="0"/>
          <w:cols w:space="720" w:num="1"/>
        </w:sectPr>
      </w:pPr>
    </w:p>
    <w:p w14:paraId="23543861">
      <w:pPr>
        <w:spacing w:before="26" w:line="228" w:lineRule="auto"/>
        <w:ind w:left="443"/>
        <w:rPr>
          <w:rFonts w:ascii="宋体" w:hAnsi="宋体" w:eastAsia="宋体" w:cs="宋体"/>
          <w:sz w:val="20"/>
          <w:szCs w:val="20"/>
        </w:rPr>
      </w:pPr>
      <w:r>
        <w:rPr>
          <w:rFonts w:ascii="宋体" w:hAnsi="宋体" w:eastAsia="宋体" w:cs="宋体"/>
          <w:spacing w:val="4"/>
          <w:sz w:val="20"/>
          <w:szCs w:val="20"/>
        </w:rPr>
        <w:t>15.4.3 修复通知</w:t>
      </w:r>
    </w:p>
    <w:p w14:paraId="149F6EDB">
      <w:pPr>
        <w:spacing w:before="127" w:line="228" w:lineRule="auto"/>
        <w:ind w:left="428"/>
        <w:rPr>
          <w:rFonts w:ascii="宋体" w:hAnsi="宋体" w:eastAsia="宋体" w:cs="宋体"/>
          <w:sz w:val="20"/>
          <w:szCs w:val="20"/>
        </w:rPr>
      </w:pPr>
      <w:r>
        <w:rPr>
          <w:rFonts w:ascii="宋体" w:hAnsi="宋体" w:eastAsia="宋体" w:cs="宋体"/>
          <w:spacing w:val="9"/>
          <w:sz w:val="20"/>
          <w:szCs w:val="20"/>
        </w:rPr>
        <w:t>承包人收到保修通知并到达工程现场的合理时间：</w:t>
      </w:r>
      <w:r>
        <w:rPr>
          <w:rFonts w:ascii="宋体" w:hAnsi="宋体" w:eastAsia="宋体" w:cs="宋体"/>
          <w:sz w:val="20"/>
          <w:szCs w:val="20"/>
          <w:u w:val="single" w:color="auto"/>
        </w:rPr>
        <w:t xml:space="preserve">                                   </w:t>
      </w:r>
    </w:p>
    <w:p w14:paraId="133614F8">
      <w:pPr>
        <w:spacing w:before="262" w:line="45" w:lineRule="exact"/>
        <w:ind w:left="8534"/>
        <w:rPr>
          <w:rFonts w:ascii="宋体" w:hAnsi="宋体" w:eastAsia="宋体" w:cs="宋体"/>
          <w:sz w:val="20"/>
          <w:szCs w:val="20"/>
        </w:rPr>
      </w:pPr>
      <w:r>
        <w:pict>
          <v:shape id="_x0000_s1104" o:spid="_x0000_s1104" o:spt="202" type="#_x0000_t202" style="position:absolute;left:0pt;margin-left:-1pt;margin-top:5.7pt;height:14.1pt;width:427.25pt;z-index:251747328;mso-width-relative:page;mso-height-relative:page;" filled="f" stroked="f" coordsize="21600,21600">
            <v:path/>
            <v:fill on="f" focussize="0,0"/>
            <v:stroke on="f"/>
            <v:imagedata o:title=""/>
            <o:lock v:ext="edit" aspectratio="f"/>
            <v:textbox inset="0mm,0mm,0mm,0mm">
              <w:txbxContent>
                <w:p w14:paraId="54B5F059">
                  <w:pPr>
                    <w:tabs>
                      <w:tab w:val="left" w:pos="8524"/>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1968CEA0">
      <w:pPr>
        <w:spacing w:line="250" w:lineRule="auto"/>
        <w:rPr>
          <w:rFonts w:ascii="Arial"/>
          <w:sz w:val="21"/>
        </w:rPr>
      </w:pPr>
    </w:p>
    <w:p w14:paraId="72F0DD09">
      <w:pPr>
        <w:spacing w:line="250" w:lineRule="auto"/>
        <w:rPr>
          <w:rFonts w:ascii="Arial"/>
          <w:sz w:val="21"/>
        </w:rPr>
      </w:pPr>
    </w:p>
    <w:p w14:paraId="3DC2B746">
      <w:pPr>
        <w:spacing w:before="65" w:line="233" w:lineRule="auto"/>
        <w:ind w:left="443"/>
        <w:outlineLvl w:val="2"/>
        <w:rPr>
          <w:rFonts w:ascii="宋体" w:hAnsi="宋体" w:eastAsia="宋体" w:cs="宋体"/>
          <w:sz w:val="20"/>
          <w:szCs w:val="20"/>
        </w:rPr>
      </w:pPr>
      <w:bookmarkStart w:id="342" w:name="bookmark325"/>
      <w:bookmarkEnd w:id="342"/>
      <w:r>
        <w:rPr>
          <w:rFonts w:ascii="宋体" w:hAnsi="宋体" w:eastAsia="宋体" w:cs="宋体"/>
          <w:b/>
          <w:bCs/>
          <w:spacing w:val="-1"/>
          <w:sz w:val="20"/>
          <w:szCs w:val="20"/>
        </w:rPr>
        <w:t>16.</w:t>
      </w:r>
      <w:r>
        <w:rPr>
          <w:rFonts w:ascii="宋体" w:hAnsi="宋体" w:eastAsia="宋体" w:cs="宋体"/>
          <w:spacing w:val="12"/>
          <w:sz w:val="20"/>
          <w:szCs w:val="20"/>
        </w:rPr>
        <w:t xml:space="preserve"> </w:t>
      </w:r>
      <w:r>
        <w:rPr>
          <w:rFonts w:ascii="宋体" w:hAnsi="宋体" w:eastAsia="宋体" w:cs="宋体"/>
          <w:b/>
          <w:bCs/>
          <w:spacing w:val="-1"/>
          <w:sz w:val="20"/>
          <w:szCs w:val="20"/>
        </w:rPr>
        <w:t>违约</w:t>
      </w:r>
    </w:p>
    <w:p w14:paraId="55406B7E">
      <w:pPr>
        <w:spacing w:before="123" w:line="228" w:lineRule="auto"/>
        <w:ind w:left="443"/>
        <w:rPr>
          <w:rFonts w:ascii="宋体" w:hAnsi="宋体" w:eastAsia="宋体" w:cs="宋体"/>
          <w:sz w:val="20"/>
          <w:szCs w:val="20"/>
        </w:rPr>
      </w:pPr>
      <w:r>
        <w:rPr>
          <w:rFonts w:ascii="宋体" w:hAnsi="宋体" w:eastAsia="宋体" w:cs="宋体"/>
          <w:b/>
          <w:bCs/>
          <w:spacing w:val="3"/>
          <w:sz w:val="20"/>
          <w:szCs w:val="20"/>
        </w:rPr>
        <w:t>16.1</w:t>
      </w:r>
      <w:r>
        <w:rPr>
          <w:rFonts w:ascii="宋体" w:hAnsi="宋体" w:eastAsia="宋体" w:cs="宋体"/>
          <w:spacing w:val="3"/>
          <w:sz w:val="20"/>
          <w:szCs w:val="20"/>
        </w:rPr>
        <w:t xml:space="preserve"> </w:t>
      </w:r>
      <w:r>
        <w:rPr>
          <w:rFonts w:ascii="宋体" w:hAnsi="宋体" w:eastAsia="宋体" w:cs="宋体"/>
          <w:b/>
          <w:bCs/>
          <w:spacing w:val="3"/>
          <w:sz w:val="20"/>
          <w:szCs w:val="20"/>
        </w:rPr>
        <w:t>发包人违约</w:t>
      </w:r>
    </w:p>
    <w:p w14:paraId="0FAE83D7">
      <w:pPr>
        <w:spacing w:before="127" w:line="228" w:lineRule="auto"/>
        <w:ind w:left="443"/>
        <w:rPr>
          <w:rFonts w:ascii="宋体" w:hAnsi="宋体" w:eastAsia="宋体" w:cs="宋体"/>
          <w:sz w:val="20"/>
          <w:szCs w:val="20"/>
        </w:rPr>
      </w:pPr>
      <w:r>
        <w:rPr>
          <w:rFonts w:ascii="宋体" w:hAnsi="宋体" w:eastAsia="宋体" w:cs="宋体"/>
          <w:spacing w:val="5"/>
          <w:sz w:val="20"/>
          <w:szCs w:val="20"/>
        </w:rPr>
        <w:t>16.1.1</w:t>
      </w:r>
      <w:r>
        <w:rPr>
          <w:rFonts w:ascii="宋体" w:hAnsi="宋体" w:eastAsia="宋体" w:cs="宋体"/>
          <w:spacing w:val="-36"/>
          <w:sz w:val="20"/>
          <w:szCs w:val="20"/>
        </w:rPr>
        <w:t xml:space="preserve"> </w:t>
      </w:r>
      <w:r>
        <w:rPr>
          <w:rFonts w:ascii="宋体" w:hAnsi="宋体" w:eastAsia="宋体" w:cs="宋体"/>
          <w:spacing w:val="5"/>
          <w:sz w:val="20"/>
          <w:szCs w:val="20"/>
        </w:rPr>
        <w:t>发包人违约的情形</w:t>
      </w:r>
    </w:p>
    <w:p w14:paraId="21B09385">
      <w:pPr>
        <w:spacing w:before="127" w:line="228" w:lineRule="auto"/>
        <w:ind w:left="431"/>
        <w:rPr>
          <w:rFonts w:ascii="宋体" w:hAnsi="宋体" w:eastAsia="宋体" w:cs="宋体"/>
          <w:sz w:val="20"/>
          <w:szCs w:val="20"/>
        </w:rPr>
      </w:pPr>
      <w:r>
        <w:rPr>
          <w:rFonts w:ascii="宋体" w:hAnsi="宋体" w:eastAsia="宋体" w:cs="宋体"/>
          <w:spacing w:val="8"/>
          <w:sz w:val="20"/>
          <w:szCs w:val="20"/>
        </w:rPr>
        <w:t>发包人违约的其他情形：</w:t>
      </w:r>
      <w:r>
        <w:rPr>
          <w:rFonts w:ascii="宋体" w:hAnsi="宋体" w:eastAsia="宋体" w:cs="宋体"/>
          <w:sz w:val="20"/>
          <w:szCs w:val="20"/>
          <w:u w:val="single" w:color="auto"/>
        </w:rPr>
        <w:t xml:space="preserve">                                                          </w:t>
      </w:r>
    </w:p>
    <w:p w14:paraId="22A26EA0">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F11BBD1">
      <w:pPr>
        <w:spacing w:before="174" w:line="228" w:lineRule="auto"/>
        <w:ind w:left="443"/>
        <w:rPr>
          <w:rFonts w:ascii="宋体" w:hAnsi="宋体" w:eastAsia="宋体" w:cs="宋体"/>
          <w:sz w:val="20"/>
          <w:szCs w:val="20"/>
        </w:rPr>
      </w:pPr>
      <w:r>
        <w:rPr>
          <w:rFonts w:ascii="宋体" w:hAnsi="宋体" w:eastAsia="宋体" w:cs="宋体"/>
          <w:spacing w:val="5"/>
          <w:sz w:val="20"/>
          <w:szCs w:val="20"/>
        </w:rPr>
        <w:t>16.1.2 发包人违约的责任</w:t>
      </w:r>
    </w:p>
    <w:p w14:paraId="04FEA4B6">
      <w:pPr>
        <w:spacing w:before="127" w:line="228" w:lineRule="auto"/>
        <w:ind w:left="431"/>
        <w:rPr>
          <w:rFonts w:ascii="宋体" w:hAnsi="宋体" w:eastAsia="宋体" w:cs="宋体"/>
          <w:sz w:val="20"/>
          <w:szCs w:val="20"/>
        </w:rPr>
      </w:pPr>
      <w:r>
        <w:rPr>
          <w:rFonts w:ascii="宋体" w:hAnsi="宋体" w:eastAsia="宋体" w:cs="宋体"/>
          <w:spacing w:val="8"/>
          <w:sz w:val="20"/>
          <w:szCs w:val="20"/>
        </w:rPr>
        <w:t>发包人违约责任的承担方式和计算方法：</w:t>
      </w:r>
    </w:p>
    <w:p w14:paraId="62CFC23D">
      <w:pPr>
        <w:spacing w:before="128" w:line="228" w:lineRule="auto"/>
        <w:ind w:left="438"/>
        <w:rPr>
          <w:rFonts w:ascii="宋体" w:hAnsi="宋体" w:eastAsia="宋体" w:cs="宋体"/>
          <w:sz w:val="20"/>
          <w:szCs w:val="20"/>
        </w:rPr>
      </w:pPr>
      <w:r>
        <w:rPr>
          <w:rFonts w:ascii="宋体" w:hAnsi="宋体" w:eastAsia="宋体" w:cs="宋体"/>
          <w:spacing w:val="7"/>
          <w:sz w:val="20"/>
          <w:szCs w:val="20"/>
        </w:rPr>
        <w:t>（1）因发包人原因未能在计划开工日期前</w:t>
      </w:r>
      <w:r>
        <w:rPr>
          <w:rFonts w:ascii="宋体" w:hAnsi="宋体" w:eastAsia="宋体" w:cs="宋体"/>
          <w:spacing w:val="-16"/>
          <w:sz w:val="20"/>
          <w:szCs w:val="20"/>
        </w:rPr>
        <w:t xml:space="preserve"> </w:t>
      </w:r>
      <w:r>
        <w:rPr>
          <w:rFonts w:ascii="宋体" w:hAnsi="宋体" w:eastAsia="宋体" w:cs="宋体"/>
          <w:spacing w:val="7"/>
          <w:sz w:val="20"/>
          <w:szCs w:val="20"/>
        </w:rPr>
        <w:t>7</w:t>
      </w:r>
      <w:r>
        <w:rPr>
          <w:rFonts w:ascii="宋体" w:hAnsi="宋体" w:eastAsia="宋体" w:cs="宋体"/>
          <w:spacing w:val="-34"/>
          <w:sz w:val="20"/>
          <w:szCs w:val="20"/>
        </w:rPr>
        <w:t xml:space="preserve"> </w:t>
      </w:r>
      <w:r>
        <w:rPr>
          <w:rFonts w:ascii="宋体" w:hAnsi="宋体" w:eastAsia="宋体" w:cs="宋体"/>
          <w:spacing w:val="7"/>
          <w:sz w:val="20"/>
          <w:szCs w:val="20"/>
        </w:rPr>
        <w:t>天内下达开工通知的违约责任：</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00A9BB46">
      <w:pPr>
        <w:spacing w:before="128" w:line="226" w:lineRule="auto"/>
        <w:ind w:left="438"/>
        <w:rPr>
          <w:rFonts w:ascii="宋体" w:hAnsi="宋体" w:eastAsia="宋体" w:cs="宋体"/>
          <w:sz w:val="20"/>
          <w:szCs w:val="20"/>
        </w:rPr>
      </w:pPr>
      <w:r>
        <w:rPr>
          <w:rFonts w:ascii="宋体" w:hAnsi="宋体" w:eastAsia="宋体" w:cs="宋体"/>
          <w:spacing w:val="7"/>
          <w:sz w:val="20"/>
          <w:szCs w:val="20"/>
        </w:rPr>
        <w:t>（2）因发包人原因未能按合同约定支付合同价款的违约责任：</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7A2DCB30">
      <w:pPr>
        <w:spacing w:before="129" w:line="347" w:lineRule="auto"/>
        <w:ind w:left="10" w:right="29" w:firstLine="428"/>
        <w:rPr>
          <w:rFonts w:ascii="宋体" w:hAnsi="宋体" w:eastAsia="宋体" w:cs="宋体"/>
          <w:sz w:val="20"/>
          <w:szCs w:val="20"/>
        </w:rPr>
      </w:pPr>
      <w:r>
        <w:rPr>
          <w:rFonts w:ascii="宋体" w:hAnsi="宋体" w:eastAsia="宋体" w:cs="宋体"/>
          <w:spacing w:val="6"/>
          <w:sz w:val="20"/>
          <w:szCs w:val="20"/>
        </w:rPr>
        <w:t>（3）发包人违反第</w:t>
      </w:r>
      <w:r>
        <w:rPr>
          <w:rFonts w:ascii="宋体" w:hAnsi="宋体" w:eastAsia="宋体" w:cs="宋体"/>
          <w:spacing w:val="-17"/>
          <w:sz w:val="20"/>
          <w:szCs w:val="20"/>
        </w:rPr>
        <w:t xml:space="preserve"> </w:t>
      </w:r>
      <w:r>
        <w:rPr>
          <w:rFonts w:ascii="宋体" w:hAnsi="宋体" w:eastAsia="宋体" w:cs="宋体"/>
          <w:spacing w:val="6"/>
          <w:sz w:val="20"/>
          <w:szCs w:val="20"/>
        </w:rPr>
        <w:t>10.1</w:t>
      </w:r>
      <w:r>
        <w:rPr>
          <w:rFonts w:ascii="宋体" w:hAnsi="宋体" w:eastAsia="宋体" w:cs="宋体"/>
          <w:spacing w:val="-39"/>
          <w:sz w:val="20"/>
          <w:szCs w:val="20"/>
        </w:rPr>
        <w:t xml:space="preserve"> </w:t>
      </w:r>
      <w:r>
        <w:rPr>
          <w:rFonts w:ascii="宋体" w:hAnsi="宋体" w:eastAsia="宋体" w:cs="宋体"/>
          <w:spacing w:val="6"/>
          <w:sz w:val="20"/>
          <w:szCs w:val="20"/>
        </w:rPr>
        <w:t>款〔变更的范围〕第（2）项约定，自行实施被取消的工作或转由他</w:t>
      </w:r>
      <w:r>
        <w:rPr>
          <w:rFonts w:ascii="宋体" w:hAnsi="宋体" w:eastAsia="宋体" w:cs="宋体"/>
          <w:spacing w:val="4"/>
          <w:sz w:val="20"/>
          <w:szCs w:val="20"/>
        </w:rPr>
        <w:t>人实施的违约责任：</w:t>
      </w:r>
      <w:r>
        <w:rPr>
          <w:rFonts w:ascii="宋体" w:hAnsi="宋体" w:eastAsia="宋体" w:cs="宋体"/>
          <w:spacing w:val="4"/>
          <w:sz w:val="20"/>
          <w:szCs w:val="20"/>
          <w:u w:val="single" w:color="auto"/>
        </w:rPr>
        <w:t xml:space="preserve">                                                                </w:t>
      </w:r>
    </w:p>
    <w:p w14:paraId="704D5792">
      <w:pPr>
        <w:tabs>
          <w:tab w:val="left" w:pos="8504"/>
        </w:tabs>
        <w:spacing w:before="13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06CA35E">
      <w:pPr>
        <w:spacing w:before="173" w:line="346" w:lineRule="auto"/>
        <w:ind w:left="8" w:right="29" w:firstLine="430"/>
        <w:rPr>
          <w:rFonts w:ascii="宋体" w:hAnsi="宋体" w:eastAsia="宋体" w:cs="宋体"/>
          <w:sz w:val="20"/>
          <w:szCs w:val="20"/>
        </w:rPr>
      </w:pPr>
      <w:r>
        <w:rPr>
          <w:rFonts w:ascii="宋体" w:hAnsi="宋体" w:eastAsia="宋体" w:cs="宋体"/>
          <w:spacing w:val="7"/>
          <w:sz w:val="20"/>
          <w:szCs w:val="20"/>
        </w:rPr>
        <w:t>（4）发包人提供的材料、工程设备的规格、数量或质量不符合合同约定，或因发包人原因导致交货日期延误或交货地点变更等情况的违约责任：</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15FDF6AC">
      <w:pPr>
        <w:spacing w:before="1" w:line="227" w:lineRule="auto"/>
        <w:ind w:left="438"/>
        <w:rPr>
          <w:rFonts w:ascii="宋体" w:hAnsi="宋体" w:eastAsia="宋体" w:cs="宋体"/>
          <w:sz w:val="20"/>
          <w:szCs w:val="20"/>
        </w:rPr>
      </w:pPr>
      <w:r>
        <w:rPr>
          <w:rFonts w:ascii="宋体" w:hAnsi="宋体" w:eastAsia="宋体" w:cs="宋体"/>
          <w:spacing w:val="9"/>
          <w:sz w:val="20"/>
          <w:szCs w:val="20"/>
        </w:rPr>
        <w:t>（5）因发包人违反合同约定造成暂停施工的违约责任：</w:t>
      </w:r>
      <w:r>
        <w:rPr>
          <w:rFonts w:ascii="宋体" w:hAnsi="宋体" w:eastAsia="宋体" w:cs="宋体"/>
          <w:sz w:val="20"/>
          <w:szCs w:val="20"/>
          <w:u w:val="single" w:color="auto"/>
        </w:rPr>
        <w:t xml:space="preserve">                              </w:t>
      </w:r>
    </w:p>
    <w:p w14:paraId="469057D2">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ECFB379">
      <w:pPr>
        <w:spacing w:before="174" w:line="228" w:lineRule="auto"/>
        <w:jc w:val="right"/>
        <w:rPr>
          <w:rFonts w:ascii="宋体" w:hAnsi="宋体" w:eastAsia="宋体" w:cs="宋体"/>
          <w:sz w:val="20"/>
          <w:szCs w:val="20"/>
        </w:rPr>
      </w:pPr>
      <w:r>
        <w:rPr>
          <w:rFonts w:ascii="宋体" w:hAnsi="宋体" w:eastAsia="宋体" w:cs="宋体"/>
          <w:spacing w:val="8"/>
          <w:sz w:val="20"/>
          <w:szCs w:val="20"/>
        </w:rPr>
        <w:t>（6）发包人无正当理由没有在约定期限内发出复工指示，导致承包人无法复工的违约责任：</w:t>
      </w:r>
    </w:p>
    <w:p w14:paraId="57CE293A">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58ACD82">
      <w:pPr>
        <w:spacing w:before="175" w:line="228" w:lineRule="auto"/>
        <w:ind w:left="438"/>
        <w:rPr>
          <w:rFonts w:ascii="宋体" w:hAnsi="宋体" w:eastAsia="宋体" w:cs="宋体"/>
          <w:sz w:val="20"/>
          <w:szCs w:val="20"/>
        </w:rPr>
      </w:pPr>
      <w:r>
        <w:rPr>
          <w:rFonts w:ascii="宋体" w:hAnsi="宋体" w:eastAsia="宋体" w:cs="宋体"/>
          <w:spacing w:val="4"/>
          <w:sz w:val="20"/>
          <w:szCs w:val="20"/>
        </w:rPr>
        <w:t>（7）其他：</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57043CAA">
      <w:pPr>
        <w:spacing w:before="126" w:line="228" w:lineRule="auto"/>
        <w:ind w:left="443"/>
        <w:rPr>
          <w:rFonts w:ascii="宋体" w:hAnsi="宋体" w:eastAsia="宋体" w:cs="宋体"/>
          <w:sz w:val="20"/>
          <w:szCs w:val="20"/>
        </w:rPr>
      </w:pPr>
      <w:r>
        <w:rPr>
          <w:rFonts w:ascii="宋体" w:hAnsi="宋体" w:eastAsia="宋体" w:cs="宋体"/>
          <w:spacing w:val="4"/>
          <w:sz w:val="20"/>
          <w:szCs w:val="20"/>
        </w:rPr>
        <w:t>16.1.3</w:t>
      </w:r>
      <w:r>
        <w:rPr>
          <w:rFonts w:ascii="宋体" w:hAnsi="宋体" w:eastAsia="宋体" w:cs="宋体"/>
          <w:spacing w:val="43"/>
          <w:sz w:val="20"/>
          <w:szCs w:val="20"/>
        </w:rPr>
        <w:t xml:space="preserve"> </w:t>
      </w:r>
      <w:r>
        <w:rPr>
          <w:rFonts w:ascii="宋体" w:hAnsi="宋体" w:eastAsia="宋体" w:cs="宋体"/>
          <w:spacing w:val="4"/>
          <w:sz w:val="20"/>
          <w:szCs w:val="20"/>
        </w:rPr>
        <w:t>因发包人违约解除合同</w:t>
      </w:r>
    </w:p>
    <w:p w14:paraId="03D677B8">
      <w:pPr>
        <w:spacing w:before="128" w:line="228" w:lineRule="auto"/>
        <w:ind w:left="428"/>
        <w:rPr>
          <w:rFonts w:ascii="宋体" w:hAnsi="宋体" w:eastAsia="宋体" w:cs="宋体"/>
          <w:sz w:val="20"/>
          <w:szCs w:val="20"/>
        </w:rPr>
      </w:pPr>
      <w:r>
        <w:rPr>
          <w:rFonts w:ascii="宋体" w:hAnsi="宋体" w:eastAsia="宋体" w:cs="宋体"/>
          <w:spacing w:val="7"/>
          <w:sz w:val="20"/>
          <w:szCs w:val="20"/>
        </w:rPr>
        <w:t>承包人按</w:t>
      </w:r>
      <w:r>
        <w:rPr>
          <w:rFonts w:ascii="宋体" w:hAnsi="宋体" w:eastAsia="宋体" w:cs="宋体"/>
          <w:spacing w:val="-17"/>
          <w:sz w:val="20"/>
          <w:szCs w:val="20"/>
        </w:rPr>
        <w:t xml:space="preserve"> </w:t>
      </w:r>
      <w:r>
        <w:rPr>
          <w:rFonts w:ascii="宋体" w:hAnsi="宋体" w:eastAsia="宋体" w:cs="宋体"/>
          <w:spacing w:val="7"/>
          <w:sz w:val="20"/>
          <w:szCs w:val="20"/>
        </w:rPr>
        <w:t>16.1.1</w:t>
      </w:r>
      <w:r>
        <w:rPr>
          <w:rFonts w:ascii="宋体" w:hAnsi="宋体" w:eastAsia="宋体" w:cs="宋体"/>
          <w:spacing w:val="-37"/>
          <w:sz w:val="20"/>
          <w:szCs w:val="20"/>
        </w:rPr>
        <w:t xml:space="preserve"> </w:t>
      </w:r>
      <w:r>
        <w:rPr>
          <w:rFonts w:ascii="宋体" w:hAnsi="宋体" w:eastAsia="宋体" w:cs="宋体"/>
          <w:spacing w:val="7"/>
          <w:sz w:val="20"/>
          <w:szCs w:val="20"/>
        </w:rPr>
        <w:t>项〔发包人违约的情形〕约定暂停施工满</w:t>
      </w:r>
      <w:r>
        <w:rPr>
          <w:rFonts w:ascii="宋体" w:hAnsi="宋体" w:eastAsia="宋体" w:cs="宋体"/>
          <w:sz w:val="20"/>
          <w:szCs w:val="20"/>
          <w:u w:val="single" w:color="auto"/>
        </w:rPr>
        <w:t xml:space="preserve">       </w:t>
      </w:r>
    </w:p>
    <w:p w14:paraId="6605A787">
      <w:pPr>
        <w:spacing w:before="127" w:line="228" w:lineRule="auto"/>
        <w:ind w:left="12"/>
        <w:rPr>
          <w:rFonts w:ascii="宋体" w:hAnsi="宋体" w:eastAsia="宋体" w:cs="宋体"/>
          <w:sz w:val="20"/>
          <w:szCs w:val="20"/>
        </w:rPr>
      </w:pPr>
      <w:r>
        <w:rPr>
          <w:rFonts w:ascii="宋体" w:hAnsi="宋体" w:eastAsia="宋体" w:cs="宋体"/>
          <w:spacing w:val="9"/>
          <w:sz w:val="20"/>
          <w:szCs w:val="20"/>
        </w:rPr>
        <w:t>天后发包人仍不纠正其违约行为并致使合同目的不能实现的，承包人有权解除合同。</w:t>
      </w:r>
    </w:p>
    <w:p w14:paraId="632E3D23">
      <w:pPr>
        <w:spacing w:before="128" w:line="228" w:lineRule="auto"/>
        <w:ind w:left="443"/>
        <w:rPr>
          <w:rFonts w:ascii="宋体" w:hAnsi="宋体" w:eastAsia="宋体" w:cs="宋体"/>
          <w:sz w:val="20"/>
          <w:szCs w:val="20"/>
        </w:rPr>
      </w:pPr>
      <w:r>
        <w:rPr>
          <w:rFonts w:ascii="宋体" w:hAnsi="宋体" w:eastAsia="宋体" w:cs="宋体"/>
          <w:b/>
          <w:bCs/>
          <w:spacing w:val="3"/>
          <w:sz w:val="20"/>
          <w:szCs w:val="20"/>
        </w:rPr>
        <w:t>16.2</w:t>
      </w:r>
      <w:r>
        <w:rPr>
          <w:rFonts w:ascii="宋体" w:hAnsi="宋体" w:eastAsia="宋体" w:cs="宋体"/>
          <w:spacing w:val="3"/>
          <w:sz w:val="20"/>
          <w:szCs w:val="20"/>
        </w:rPr>
        <w:t xml:space="preserve"> </w:t>
      </w:r>
      <w:r>
        <w:rPr>
          <w:rFonts w:ascii="宋体" w:hAnsi="宋体" w:eastAsia="宋体" w:cs="宋体"/>
          <w:b/>
          <w:bCs/>
          <w:spacing w:val="3"/>
          <w:sz w:val="20"/>
          <w:szCs w:val="20"/>
        </w:rPr>
        <w:t>承包人违约</w:t>
      </w:r>
    </w:p>
    <w:p w14:paraId="68A9FD7F">
      <w:pPr>
        <w:spacing w:before="127" w:line="228" w:lineRule="auto"/>
        <w:ind w:left="443"/>
        <w:rPr>
          <w:rFonts w:ascii="宋体" w:hAnsi="宋体" w:eastAsia="宋体" w:cs="宋体"/>
          <w:sz w:val="20"/>
          <w:szCs w:val="20"/>
        </w:rPr>
      </w:pPr>
      <w:r>
        <w:rPr>
          <w:rFonts w:ascii="宋体" w:hAnsi="宋体" w:eastAsia="宋体" w:cs="宋体"/>
          <w:spacing w:val="5"/>
          <w:sz w:val="20"/>
          <w:szCs w:val="20"/>
        </w:rPr>
        <w:t>16.2.1 承包人违约的情形</w:t>
      </w:r>
    </w:p>
    <w:p w14:paraId="037E7498">
      <w:pPr>
        <w:spacing w:before="127" w:line="228" w:lineRule="auto"/>
        <w:ind w:left="428"/>
        <w:rPr>
          <w:rFonts w:ascii="宋体" w:hAnsi="宋体" w:eastAsia="宋体" w:cs="宋体"/>
          <w:sz w:val="20"/>
          <w:szCs w:val="20"/>
        </w:rPr>
      </w:pPr>
      <w:r>
        <w:rPr>
          <w:rFonts w:ascii="宋体" w:hAnsi="宋体" w:eastAsia="宋体" w:cs="宋体"/>
          <w:spacing w:val="9"/>
          <w:sz w:val="20"/>
          <w:szCs w:val="20"/>
        </w:rPr>
        <w:t>承包人违约的其他情形：</w:t>
      </w:r>
      <w:r>
        <w:rPr>
          <w:rFonts w:ascii="宋体" w:hAnsi="宋体" w:eastAsia="宋体" w:cs="宋体"/>
          <w:sz w:val="20"/>
          <w:szCs w:val="20"/>
          <w:u w:val="single" w:color="auto"/>
        </w:rPr>
        <w:t xml:space="preserve">                                                          </w:t>
      </w:r>
    </w:p>
    <w:p w14:paraId="12D8C7BD">
      <w:pPr>
        <w:spacing w:before="263" w:line="45" w:lineRule="exact"/>
        <w:ind w:left="8534"/>
        <w:rPr>
          <w:rFonts w:ascii="宋体" w:hAnsi="宋体" w:eastAsia="宋体" w:cs="宋体"/>
          <w:sz w:val="20"/>
          <w:szCs w:val="20"/>
        </w:rPr>
      </w:pPr>
      <w:r>
        <w:pict>
          <v:shape id="_x0000_s1105" o:spid="_x0000_s1105" o:spt="202" type="#_x0000_t202" style="position:absolute;left:0pt;margin-left:-1pt;margin-top:5.75pt;height:14.1pt;width:427.25pt;z-index:251748352;mso-width-relative:page;mso-height-relative:page;" filled="f" stroked="f" coordsize="21600,21600">
            <v:path/>
            <v:fill on="f" focussize="0,0"/>
            <v:stroke on="f"/>
            <v:imagedata o:title=""/>
            <o:lock v:ext="edit" aspectratio="f"/>
            <v:textbox inset="0mm,0mm,0mm,0mm">
              <w:txbxContent>
                <w:p w14:paraId="45CF18B2">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112D29F7">
      <w:pPr>
        <w:spacing w:before="194" w:line="228" w:lineRule="auto"/>
        <w:ind w:left="443"/>
        <w:rPr>
          <w:rFonts w:ascii="宋体" w:hAnsi="宋体" w:eastAsia="宋体" w:cs="宋体"/>
          <w:sz w:val="20"/>
          <w:szCs w:val="20"/>
        </w:rPr>
      </w:pPr>
      <w:r>
        <w:rPr>
          <w:rFonts w:ascii="宋体" w:hAnsi="宋体" w:eastAsia="宋体" w:cs="宋体"/>
          <w:spacing w:val="5"/>
          <w:sz w:val="20"/>
          <w:szCs w:val="20"/>
        </w:rPr>
        <w:t>16.2.2</w:t>
      </w:r>
      <w:r>
        <w:rPr>
          <w:rFonts w:ascii="宋体" w:hAnsi="宋体" w:eastAsia="宋体" w:cs="宋体"/>
          <w:spacing w:val="-36"/>
          <w:sz w:val="20"/>
          <w:szCs w:val="20"/>
        </w:rPr>
        <w:t xml:space="preserve"> </w:t>
      </w:r>
      <w:r>
        <w:rPr>
          <w:rFonts w:ascii="宋体" w:hAnsi="宋体" w:eastAsia="宋体" w:cs="宋体"/>
          <w:spacing w:val="5"/>
          <w:sz w:val="20"/>
          <w:szCs w:val="20"/>
        </w:rPr>
        <w:t>承包人违约的责任</w:t>
      </w:r>
    </w:p>
    <w:p w14:paraId="1668428E">
      <w:pPr>
        <w:spacing w:before="128" w:line="228" w:lineRule="auto"/>
        <w:ind w:left="428"/>
        <w:rPr>
          <w:rFonts w:ascii="宋体" w:hAnsi="宋体" w:eastAsia="宋体" w:cs="宋体"/>
          <w:sz w:val="20"/>
          <w:szCs w:val="20"/>
        </w:rPr>
      </w:pPr>
      <w:r>
        <w:rPr>
          <w:rFonts w:ascii="宋体" w:hAnsi="宋体" w:eastAsia="宋体" w:cs="宋体"/>
          <w:spacing w:val="9"/>
          <w:sz w:val="20"/>
          <w:szCs w:val="20"/>
        </w:rPr>
        <w:t>承包人违约责任的承担方式和计算方法：</w:t>
      </w:r>
      <w:r>
        <w:rPr>
          <w:rFonts w:ascii="宋体" w:hAnsi="宋体" w:eastAsia="宋体" w:cs="宋体"/>
          <w:sz w:val="20"/>
          <w:szCs w:val="20"/>
          <w:u w:val="single" w:color="auto"/>
        </w:rPr>
        <w:t xml:space="preserve">                                            </w:t>
      </w:r>
    </w:p>
    <w:p w14:paraId="386FF706">
      <w:pPr>
        <w:spacing w:before="262" w:line="45" w:lineRule="exact"/>
        <w:ind w:left="8534"/>
        <w:rPr>
          <w:rFonts w:ascii="宋体" w:hAnsi="宋体" w:eastAsia="宋体" w:cs="宋体"/>
          <w:sz w:val="20"/>
          <w:szCs w:val="20"/>
        </w:rPr>
      </w:pPr>
      <w:r>
        <w:pict>
          <v:shape id="_x0000_s1106" o:spid="_x0000_s1106" o:spt="202" type="#_x0000_t202" style="position:absolute;left:0pt;margin-left:-1pt;margin-top:5.7pt;height:14.1pt;width:427.25pt;z-index:251749376;mso-width-relative:page;mso-height-relative:page;" filled="f" stroked="f" coordsize="21600,21600">
            <v:path/>
            <v:fill on="f" focussize="0,0"/>
            <v:stroke on="f"/>
            <v:imagedata o:title=""/>
            <o:lock v:ext="edit" aspectratio="f"/>
            <v:textbox inset="0mm,0mm,0mm,0mm">
              <w:txbxContent>
                <w:p w14:paraId="6A452D9E">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0387F8D0">
      <w:pPr>
        <w:spacing w:line="45" w:lineRule="exact"/>
        <w:rPr>
          <w:rFonts w:ascii="宋体" w:hAnsi="宋体" w:eastAsia="宋体" w:cs="宋体"/>
          <w:sz w:val="20"/>
          <w:szCs w:val="20"/>
        </w:rPr>
        <w:sectPr>
          <w:headerReference r:id="rId415" w:type="default"/>
          <w:footerReference r:id="rId416" w:type="default"/>
          <w:pgSz w:w="11906" w:h="16839"/>
          <w:pgMar w:top="2299" w:right="1503" w:bottom="1446" w:left="1531" w:header="1949" w:footer="1284" w:gutter="0"/>
          <w:cols w:space="720" w:num="1"/>
        </w:sectPr>
      </w:pPr>
    </w:p>
    <w:p w14:paraId="00874DD7">
      <w:pPr>
        <w:spacing w:line="246" w:lineRule="auto"/>
        <w:rPr>
          <w:rFonts w:ascii="Arial"/>
          <w:sz w:val="21"/>
        </w:rPr>
      </w:pPr>
    </w:p>
    <w:p w14:paraId="4B0AAC79">
      <w:pPr>
        <w:spacing w:line="246" w:lineRule="auto"/>
        <w:rPr>
          <w:rFonts w:ascii="Arial"/>
          <w:sz w:val="21"/>
        </w:rPr>
      </w:pPr>
    </w:p>
    <w:p w14:paraId="25DC3D53">
      <w:pPr>
        <w:spacing w:line="246" w:lineRule="auto"/>
        <w:rPr>
          <w:rFonts w:ascii="Arial"/>
          <w:sz w:val="21"/>
        </w:rPr>
      </w:pPr>
    </w:p>
    <w:p w14:paraId="2343B993">
      <w:pPr>
        <w:spacing w:line="246" w:lineRule="auto"/>
        <w:rPr>
          <w:rFonts w:ascii="Arial"/>
          <w:sz w:val="21"/>
        </w:rPr>
      </w:pPr>
    </w:p>
    <w:p w14:paraId="60DEDA93">
      <w:pPr>
        <w:spacing w:line="247" w:lineRule="auto"/>
        <w:rPr>
          <w:rFonts w:ascii="Arial"/>
          <w:sz w:val="21"/>
        </w:rPr>
      </w:pPr>
    </w:p>
    <w:p w14:paraId="3DB2AE71">
      <w:pPr>
        <w:spacing w:line="247" w:lineRule="auto"/>
        <w:rPr>
          <w:rFonts w:ascii="Arial"/>
          <w:sz w:val="21"/>
        </w:rPr>
      </w:pPr>
    </w:p>
    <w:p w14:paraId="0E7353FF">
      <w:pPr>
        <w:spacing w:before="65" w:line="228" w:lineRule="auto"/>
        <w:ind w:left="443"/>
        <w:rPr>
          <w:rFonts w:ascii="宋体" w:hAnsi="宋体" w:eastAsia="宋体" w:cs="宋体"/>
          <w:sz w:val="20"/>
          <w:szCs w:val="20"/>
        </w:rPr>
      </w:pPr>
      <w:r>
        <w:rPr>
          <w:rFonts w:ascii="宋体" w:hAnsi="宋体" w:eastAsia="宋体" w:cs="宋体"/>
          <w:spacing w:val="4"/>
          <w:sz w:val="20"/>
          <w:szCs w:val="20"/>
        </w:rPr>
        <w:t>16.2.3</w:t>
      </w:r>
      <w:r>
        <w:rPr>
          <w:rFonts w:ascii="宋体" w:hAnsi="宋体" w:eastAsia="宋体" w:cs="宋体"/>
          <w:spacing w:val="43"/>
          <w:sz w:val="20"/>
          <w:szCs w:val="20"/>
        </w:rPr>
        <w:t xml:space="preserve"> </w:t>
      </w:r>
      <w:r>
        <w:rPr>
          <w:rFonts w:ascii="宋体" w:hAnsi="宋体" w:eastAsia="宋体" w:cs="宋体"/>
          <w:spacing w:val="4"/>
          <w:sz w:val="20"/>
          <w:szCs w:val="20"/>
        </w:rPr>
        <w:t>因承包人违约解除合同</w:t>
      </w:r>
    </w:p>
    <w:p w14:paraId="228E7463">
      <w:pPr>
        <w:spacing w:before="127" w:line="228" w:lineRule="auto"/>
        <w:ind w:left="431"/>
        <w:rPr>
          <w:rFonts w:ascii="宋体" w:hAnsi="宋体" w:eastAsia="宋体" w:cs="宋体"/>
          <w:sz w:val="20"/>
          <w:szCs w:val="20"/>
        </w:rPr>
      </w:pPr>
      <w:r>
        <w:rPr>
          <w:rFonts w:ascii="宋体" w:hAnsi="宋体" w:eastAsia="宋体" w:cs="宋体"/>
          <w:spacing w:val="9"/>
          <w:sz w:val="20"/>
          <w:szCs w:val="20"/>
        </w:rPr>
        <w:t>关于承包人违约解除合同的特别约定：</w:t>
      </w:r>
      <w:r>
        <w:rPr>
          <w:rFonts w:ascii="宋体" w:hAnsi="宋体" w:eastAsia="宋体" w:cs="宋体"/>
          <w:sz w:val="20"/>
          <w:szCs w:val="20"/>
          <w:u w:val="single" w:color="auto"/>
        </w:rPr>
        <w:t xml:space="preserve">                                              </w:t>
      </w:r>
    </w:p>
    <w:p w14:paraId="46EC7728">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BC3BDBC">
      <w:pPr>
        <w:spacing w:before="174" w:line="347" w:lineRule="auto"/>
        <w:ind w:left="10" w:firstLine="420"/>
        <w:rPr>
          <w:rFonts w:ascii="宋体" w:hAnsi="宋体" w:eastAsia="宋体" w:cs="宋体"/>
          <w:sz w:val="20"/>
          <w:szCs w:val="20"/>
        </w:rPr>
      </w:pPr>
      <w:r>
        <w:rPr>
          <w:rFonts w:ascii="宋体" w:hAnsi="宋体" w:eastAsia="宋体" w:cs="宋体"/>
          <w:spacing w:val="10"/>
          <w:sz w:val="20"/>
          <w:szCs w:val="20"/>
        </w:rPr>
        <w:t>发包人继续使用承包人在施工现场的材料、设备、临时工程、承包人文件和由承包人或以其</w:t>
      </w:r>
      <w:r>
        <w:rPr>
          <w:rFonts w:ascii="宋体" w:hAnsi="宋体" w:eastAsia="宋体" w:cs="宋体"/>
          <w:spacing w:val="6"/>
          <w:sz w:val="20"/>
          <w:szCs w:val="20"/>
        </w:rPr>
        <w:t>名义编制的其他文件的费用承担方式：</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A9C779F">
      <w:pPr>
        <w:spacing w:line="304" w:lineRule="auto"/>
        <w:rPr>
          <w:rFonts w:ascii="Arial"/>
          <w:sz w:val="21"/>
        </w:rPr>
      </w:pPr>
    </w:p>
    <w:p w14:paraId="044D8F39">
      <w:pPr>
        <w:spacing w:before="65" w:line="228" w:lineRule="auto"/>
        <w:ind w:left="443"/>
        <w:outlineLvl w:val="2"/>
        <w:rPr>
          <w:rFonts w:ascii="宋体" w:hAnsi="宋体" w:eastAsia="宋体" w:cs="宋体"/>
          <w:sz w:val="20"/>
          <w:szCs w:val="20"/>
        </w:rPr>
      </w:pPr>
      <w:bookmarkStart w:id="343" w:name="bookmark326"/>
      <w:bookmarkEnd w:id="343"/>
      <w:r>
        <w:rPr>
          <w:rFonts w:ascii="宋体" w:hAnsi="宋体" w:eastAsia="宋体" w:cs="宋体"/>
          <w:b/>
          <w:bCs/>
          <w:spacing w:val="5"/>
          <w:sz w:val="20"/>
          <w:szCs w:val="20"/>
        </w:rPr>
        <w:t>17.</w:t>
      </w:r>
      <w:r>
        <w:rPr>
          <w:rFonts w:ascii="宋体" w:hAnsi="宋体" w:eastAsia="宋体" w:cs="宋体"/>
          <w:spacing w:val="5"/>
          <w:sz w:val="20"/>
          <w:szCs w:val="20"/>
        </w:rPr>
        <w:t xml:space="preserve"> </w:t>
      </w:r>
      <w:r>
        <w:rPr>
          <w:rFonts w:ascii="宋体" w:hAnsi="宋体" w:eastAsia="宋体" w:cs="宋体"/>
          <w:b/>
          <w:bCs/>
          <w:spacing w:val="5"/>
          <w:sz w:val="20"/>
          <w:szCs w:val="20"/>
        </w:rPr>
        <w:t>不可抗力和情势变更</w:t>
      </w:r>
    </w:p>
    <w:p w14:paraId="2D9BA8DF">
      <w:pPr>
        <w:spacing w:before="127" w:line="228" w:lineRule="auto"/>
        <w:ind w:left="443"/>
        <w:rPr>
          <w:rFonts w:ascii="宋体" w:hAnsi="宋体" w:eastAsia="宋体" w:cs="宋体"/>
          <w:sz w:val="20"/>
          <w:szCs w:val="20"/>
        </w:rPr>
      </w:pPr>
      <w:r>
        <w:rPr>
          <w:rFonts w:ascii="宋体" w:hAnsi="宋体" w:eastAsia="宋体" w:cs="宋体"/>
          <w:b/>
          <w:bCs/>
          <w:spacing w:val="1"/>
          <w:sz w:val="20"/>
          <w:szCs w:val="20"/>
        </w:rPr>
        <w:t>17.1</w:t>
      </w:r>
      <w:r>
        <w:rPr>
          <w:rFonts w:ascii="宋体" w:hAnsi="宋体" w:eastAsia="宋体" w:cs="宋体"/>
          <w:spacing w:val="21"/>
          <w:sz w:val="20"/>
          <w:szCs w:val="20"/>
        </w:rPr>
        <w:t xml:space="preserve"> </w:t>
      </w:r>
      <w:r>
        <w:rPr>
          <w:rFonts w:ascii="宋体" w:hAnsi="宋体" w:eastAsia="宋体" w:cs="宋体"/>
          <w:b/>
          <w:bCs/>
          <w:spacing w:val="1"/>
          <w:sz w:val="20"/>
          <w:szCs w:val="20"/>
        </w:rPr>
        <w:t>不可抗力</w:t>
      </w:r>
    </w:p>
    <w:p w14:paraId="5A335436">
      <w:pPr>
        <w:spacing w:before="127" w:line="228" w:lineRule="auto"/>
        <w:ind w:left="443"/>
        <w:rPr>
          <w:rFonts w:ascii="宋体" w:hAnsi="宋体" w:eastAsia="宋体" w:cs="宋体"/>
          <w:sz w:val="20"/>
          <w:szCs w:val="20"/>
        </w:rPr>
      </w:pPr>
      <w:r>
        <w:rPr>
          <w:rFonts w:ascii="宋体" w:hAnsi="宋体" w:eastAsia="宋体" w:cs="宋体"/>
          <w:spacing w:val="5"/>
          <w:sz w:val="20"/>
          <w:szCs w:val="20"/>
        </w:rPr>
        <w:t>17.1.1 不可抗力的确认</w:t>
      </w:r>
    </w:p>
    <w:p w14:paraId="23B6B3D5">
      <w:pPr>
        <w:spacing w:before="127" w:line="228" w:lineRule="auto"/>
        <w:ind w:left="440"/>
        <w:rPr>
          <w:rFonts w:ascii="宋体" w:hAnsi="宋体" w:eastAsia="宋体" w:cs="宋体"/>
          <w:sz w:val="20"/>
          <w:szCs w:val="20"/>
        </w:rPr>
      </w:pPr>
      <w:r>
        <w:rPr>
          <w:rFonts w:ascii="宋体" w:hAnsi="宋体" w:eastAsia="宋体" w:cs="宋体"/>
          <w:spacing w:val="8"/>
          <w:sz w:val="20"/>
          <w:szCs w:val="20"/>
        </w:rPr>
        <w:t xml:space="preserve">除通用合同条款约定的不可抗力事件之外，视为不可抗力的其他情形：     </w:t>
      </w:r>
      <w:r>
        <w:rPr>
          <w:rFonts w:ascii="宋体" w:hAnsi="宋体" w:eastAsia="宋体" w:cs="宋体"/>
          <w:spacing w:val="7"/>
          <w:sz w:val="20"/>
          <w:szCs w:val="20"/>
        </w:rPr>
        <w:t xml:space="preserve">          。</w:t>
      </w:r>
    </w:p>
    <w:p w14:paraId="7393F095">
      <w:pPr>
        <w:spacing w:before="127" w:line="228" w:lineRule="auto"/>
        <w:ind w:left="443"/>
        <w:rPr>
          <w:rFonts w:ascii="宋体" w:hAnsi="宋体" w:eastAsia="宋体" w:cs="宋体"/>
          <w:sz w:val="20"/>
          <w:szCs w:val="20"/>
        </w:rPr>
      </w:pPr>
      <w:r>
        <w:rPr>
          <w:rFonts w:ascii="宋体" w:hAnsi="宋体" w:eastAsia="宋体" w:cs="宋体"/>
          <w:spacing w:val="4"/>
          <w:sz w:val="20"/>
          <w:szCs w:val="20"/>
        </w:rPr>
        <w:t>17.1.4</w:t>
      </w:r>
      <w:r>
        <w:rPr>
          <w:rFonts w:ascii="宋体" w:hAnsi="宋体" w:eastAsia="宋体" w:cs="宋体"/>
          <w:spacing w:val="38"/>
          <w:sz w:val="20"/>
          <w:szCs w:val="20"/>
        </w:rPr>
        <w:t xml:space="preserve"> </w:t>
      </w:r>
      <w:r>
        <w:rPr>
          <w:rFonts w:ascii="宋体" w:hAnsi="宋体" w:eastAsia="宋体" w:cs="宋体"/>
          <w:spacing w:val="4"/>
          <w:sz w:val="20"/>
          <w:szCs w:val="20"/>
        </w:rPr>
        <w:t>因不可抗力解除合同</w:t>
      </w:r>
    </w:p>
    <w:p w14:paraId="57D4AAD2">
      <w:pPr>
        <w:spacing w:before="128" w:line="347" w:lineRule="auto"/>
        <w:ind w:left="12" w:right="2541" w:firstLine="416"/>
        <w:rPr>
          <w:rFonts w:ascii="宋体" w:hAnsi="宋体" w:eastAsia="宋体" w:cs="宋体"/>
          <w:sz w:val="20"/>
          <w:szCs w:val="20"/>
        </w:rPr>
      </w:pPr>
      <w:r>
        <w:rPr>
          <w:rFonts w:ascii="宋体" w:hAnsi="宋体" w:eastAsia="宋体" w:cs="宋体"/>
          <w:spacing w:val="9"/>
          <w:sz w:val="20"/>
          <w:szCs w:val="20"/>
        </w:rPr>
        <w:t>合同解除后，发包人应在商定或确定发包人应支</w:t>
      </w:r>
      <w:r>
        <w:rPr>
          <w:rFonts w:ascii="宋体" w:hAnsi="宋体" w:eastAsia="宋体" w:cs="宋体"/>
          <w:spacing w:val="8"/>
          <w:sz w:val="20"/>
          <w:szCs w:val="20"/>
        </w:rPr>
        <w:t>付款项后</w:t>
      </w:r>
      <w:r>
        <w:rPr>
          <w:rFonts w:ascii="宋体" w:hAnsi="宋体" w:eastAsia="宋体" w:cs="宋体"/>
          <w:spacing w:val="8"/>
          <w:sz w:val="20"/>
          <w:szCs w:val="20"/>
          <w:u w:val="single" w:color="auto"/>
        </w:rPr>
        <w:t xml:space="preserve">      </w:t>
      </w:r>
      <w:r>
        <w:rPr>
          <w:rFonts w:ascii="宋体" w:hAnsi="宋体" w:eastAsia="宋体" w:cs="宋体"/>
          <w:spacing w:val="7"/>
          <w:sz w:val="20"/>
          <w:szCs w:val="20"/>
        </w:rPr>
        <w:t>天内完成款项的支付。</w:t>
      </w:r>
    </w:p>
    <w:p w14:paraId="064260E5">
      <w:pPr>
        <w:spacing w:line="304" w:lineRule="auto"/>
        <w:rPr>
          <w:rFonts w:ascii="Arial"/>
          <w:sz w:val="21"/>
        </w:rPr>
      </w:pPr>
    </w:p>
    <w:p w14:paraId="3ED2D8BD">
      <w:pPr>
        <w:spacing w:before="66" w:line="228" w:lineRule="auto"/>
        <w:ind w:left="443"/>
        <w:outlineLvl w:val="2"/>
        <w:rPr>
          <w:rFonts w:ascii="宋体" w:hAnsi="宋体" w:eastAsia="宋体" w:cs="宋体"/>
          <w:sz w:val="20"/>
          <w:szCs w:val="20"/>
        </w:rPr>
      </w:pPr>
      <w:bookmarkStart w:id="344" w:name="bookmark327"/>
      <w:bookmarkEnd w:id="344"/>
      <w:r>
        <w:rPr>
          <w:rFonts w:ascii="宋体" w:hAnsi="宋体" w:eastAsia="宋体" w:cs="宋体"/>
          <w:b/>
          <w:bCs/>
          <w:spacing w:val="-1"/>
          <w:sz w:val="20"/>
          <w:szCs w:val="20"/>
        </w:rPr>
        <w:t>18.</w:t>
      </w:r>
      <w:r>
        <w:rPr>
          <w:rFonts w:ascii="宋体" w:hAnsi="宋体" w:eastAsia="宋体" w:cs="宋体"/>
          <w:spacing w:val="13"/>
          <w:sz w:val="20"/>
          <w:szCs w:val="20"/>
        </w:rPr>
        <w:t xml:space="preserve"> </w:t>
      </w:r>
      <w:r>
        <w:rPr>
          <w:rFonts w:ascii="宋体" w:hAnsi="宋体" w:eastAsia="宋体" w:cs="宋体"/>
          <w:b/>
          <w:bCs/>
          <w:spacing w:val="-1"/>
          <w:sz w:val="20"/>
          <w:szCs w:val="20"/>
        </w:rPr>
        <w:t>保险</w:t>
      </w:r>
    </w:p>
    <w:p w14:paraId="245C5343">
      <w:pPr>
        <w:spacing w:before="127" w:line="228" w:lineRule="auto"/>
        <w:ind w:left="443"/>
        <w:rPr>
          <w:rFonts w:ascii="宋体" w:hAnsi="宋体" w:eastAsia="宋体" w:cs="宋体"/>
          <w:sz w:val="20"/>
          <w:szCs w:val="20"/>
        </w:rPr>
      </w:pPr>
      <w:r>
        <w:rPr>
          <w:rFonts w:ascii="宋体" w:hAnsi="宋体" w:eastAsia="宋体" w:cs="宋体"/>
          <w:b/>
          <w:bCs/>
          <w:spacing w:val="1"/>
          <w:sz w:val="20"/>
          <w:szCs w:val="20"/>
        </w:rPr>
        <w:t>18.1</w:t>
      </w:r>
      <w:r>
        <w:rPr>
          <w:rFonts w:ascii="宋体" w:hAnsi="宋体" w:eastAsia="宋体" w:cs="宋体"/>
          <w:spacing w:val="21"/>
          <w:sz w:val="20"/>
          <w:szCs w:val="20"/>
        </w:rPr>
        <w:t xml:space="preserve"> </w:t>
      </w:r>
      <w:r>
        <w:rPr>
          <w:rFonts w:ascii="宋体" w:hAnsi="宋体" w:eastAsia="宋体" w:cs="宋体"/>
          <w:b/>
          <w:bCs/>
          <w:spacing w:val="1"/>
          <w:sz w:val="20"/>
          <w:szCs w:val="20"/>
        </w:rPr>
        <w:t>工程保险</w:t>
      </w:r>
    </w:p>
    <w:p w14:paraId="05C19C94">
      <w:pPr>
        <w:spacing w:before="127" w:line="228" w:lineRule="auto"/>
        <w:ind w:left="431"/>
        <w:rPr>
          <w:rFonts w:ascii="宋体" w:hAnsi="宋体" w:eastAsia="宋体" w:cs="宋体"/>
          <w:sz w:val="20"/>
          <w:szCs w:val="20"/>
        </w:rPr>
      </w:pPr>
      <w:r>
        <w:rPr>
          <w:rFonts w:ascii="宋体" w:hAnsi="宋体" w:eastAsia="宋体" w:cs="宋体"/>
          <w:spacing w:val="6"/>
          <w:sz w:val="20"/>
          <w:szCs w:val="20"/>
        </w:rPr>
        <w:t>关于工程保险的特别约定：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2D69483">
      <w:pPr>
        <w:spacing w:before="127" w:line="228" w:lineRule="auto"/>
        <w:ind w:left="443"/>
        <w:rPr>
          <w:rFonts w:ascii="宋体" w:hAnsi="宋体" w:eastAsia="宋体" w:cs="宋体"/>
          <w:sz w:val="20"/>
          <w:szCs w:val="20"/>
        </w:rPr>
      </w:pPr>
      <w:r>
        <w:rPr>
          <w:rFonts w:ascii="宋体" w:hAnsi="宋体" w:eastAsia="宋体" w:cs="宋体"/>
          <w:b/>
          <w:bCs/>
          <w:spacing w:val="4"/>
          <w:sz w:val="20"/>
          <w:szCs w:val="20"/>
        </w:rPr>
        <w:t>18.3</w:t>
      </w:r>
      <w:r>
        <w:rPr>
          <w:rFonts w:ascii="宋体" w:hAnsi="宋体" w:eastAsia="宋体" w:cs="宋体"/>
          <w:spacing w:val="4"/>
          <w:sz w:val="20"/>
          <w:szCs w:val="20"/>
        </w:rPr>
        <w:t xml:space="preserve"> </w:t>
      </w:r>
      <w:r>
        <w:rPr>
          <w:rFonts w:ascii="宋体" w:hAnsi="宋体" w:eastAsia="宋体" w:cs="宋体"/>
          <w:b/>
          <w:bCs/>
          <w:spacing w:val="4"/>
          <w:sz w:val="20"/>
          <w:szCs w:val="20"/>
        </w:rPr>
        <w:t>安全生产责任保险</w:t>
      </w:r>
    </w:p>
    <w:p w14:paraId="09E422ED">
      <w:pPr>
        <w:spacing w:before="128" w:line="228" w:lineRule="auto"/>
        <w:ind w:left="431"/>
        <w:rPr>
          <w:rFonts w:ascii="宋体" w:hAnsi="宋体" w:eastAsia="宋体" w:cs="宋体"/>
          <w:sz w:val="20"/>
          <w:szCs w:val="20"/>
        </w:rPr>
      </w:pPr>
      <w:r>
        <w:rPr>
          <w:rFonts w:ascii="宋体" w:hAnsi="宋体" w:eastAsia="宋体" w:cs="宋体"/>
          <w:spacing w:val="6"/>
          <w:sz w:val="20"/>
          <w:szCs w:val="20"/>
        </w:rPr>
        <w:t>关于安全生产责任保险的特别约定：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001B2427">
      <w:pPr>
        <w:spacing w:before="128" w:line="228" w:lineRule="auto"/>
        <w:ind w:left="443"/>
        <w:rPr>
          <w:rFonts w:ascii="宋体" w:hAnsi="宋体" w:eastAsia="宋体" w:cs="宋体"/>
          <w:sz w:val="20"/>
          <w:szCs w:val="20"/>
        </w:rPr>
      </w:pPr>
      <w:r>
        <w:rPr>
          <w:rFonts w:ascii="宋体" w:hAnsi="宋体" w:eastAsia="宋体" w:cs="宋体"/>
          <w:b/>
          <w:bCs/>
          <w:spacing w:val="3"/>
          <w:sz w:val="20"/>
          <w:szCs w:val="20"/>
        </w:rPr>
        <w:t>18.4</w:t>
      </w:r>
      <w:r>
        <w:rPr>
          <w:rFonts w:ascii="宋体" w:hAnsi="宋体" w:eastAsia="宋体" w:cs="宋体"/>
          <w:spacing w:val="3"/>
          <w:sz w:val="20"/>
          <w:szCs w:val="20"/>
        </w:rPr>
        <w:t xml:space="preserve"> </w:t>
      </w:r>
      <w:r>
        <w:rPr>
          <w:rFonts w:ascii="宋体" w:hAnsi="宋体" w:eastAsia="宋体" w:cs="宋体"/>
          <w:b/>
          <w:bCs/>
          <w:spacing w:val="3"/>
          <w:sz w:val="20"/>
          <w:szCs w:val="20"/>
        </w:rPr>
        <w:t>其他保险</w:t>
      </w:r>
    </w:p>
    <w:p w14:paraId="441A1BA9">
      <w:pPr>
        <w:spacing w:before="127" w:line="228" w:lineRule="auto"/>
        <w:ind w:left="431"/>
        <w:rPr>
          <w:rFonts w:ascii="宋体" w:hAnsi="宋体" w:eastAsia="宋体" w:cs="宋体"/>
          <w:sz w:val="20"/>
          <w:szCs w:val="20"/>
        </w:rPr>
      </w:pPr>
      <w:r>
        <w:rPr>
          <w:rFonts w:ascii="宋体" w:hAnsi="宋体" w:eastAsia="宋体" w:cs="宋体"/>
          <w:spacing w:val="6"/>
          <w:sz w:val="20"/>
          <w:szCs w:val="20"/>
        </w:rPr>
        <w:t>关于其他保险的约定：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ACAA1D4">
      <w:pPr>
        <w:spacing w:before="127" w:line="228" w:lineRule="auto"/>
        <w:ind w:left="428"/>
        <w:rPr>
          <w:rFonts w:ascii="宋体" w:hAnsi="宋体" w:eastAsia="宋体" w:cs="宋体"/>
          <w:sz w:val="20"/>
          <w:szCs w:val="20"/>
        </w:rPr>
      </w:pPr>
      <w:r>
        <w:rPr>
          <w:rFonts w:ascii="宋体" w:hAnsi="宋体" w:eastAsia="宋体" w:cs="宋体"/>
          <w:spacing w:val="9"/>
          <w:sz w:val="20"/>
          <w:szCs w:val="20"/>
        </w:rPr>
        <w:t>承包人是否应为其施工设备等办理财产保险：</w:t>
      </w:r>
      <w:r>
        <w:rPr>
          <w:rFonts w:ascii="宋体" w:hAnsi="宋体" w:eastAsia="宋体" w:cs="宋体"/>
          <w:sz w:val="20"/>
          <w:szCs w:val="20"/>
          <w:u w:val="single" w:color="auto"/>
        </w:rPr>
        <w:t xml:space="preserve">                                       </w:t>
      </w:r>
    </w:p>
    <w:p w14:paraId="319FB4A5">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2EB19C1">
      <w:pPr>
        <w:spacing w:before="174" w:line="228" w:lineRule="auto"/>
        <w:ind w:left="443"/>
        <w:rPr>
          <w:rFonts w:ascii="宋体" w:hAnsi="宋体" w:eastAsia="宋体" w:cs="宋体"/>
          <w:sz w:val="20"/>
          <w:szCs w:val="20"/>
        </w:rPr>
      </w:pPr>
      <w:r>
        <w:rPr>
          <w:rFonts w:ascii="宋体" w:hAnsi="宋体" w:eastAsia="宋体" w:cs="宋体"/>
          <w:b/>
          <w:bCs/>
          <w:spacing w:val="3"/>
          <w:sz w:val="20"/>
          <w:szCs w:val="20"/>
        </w:rPr>
        <w:t>18.8</w:t>
      </w:r>
      <w:r>
        <w:rPr>
          <w:rFonts w:ascii="宋体" w:hAnsi="宋体" w:eastAsia="宋体" w:cs="宋体"/>
          <w:spacing w:val="3"/>
          <w:sz w:val="20"/>
          <w:szCs w:val="20"/>
        </w:rPr>
        <w:t xml:space="preserve"> </w:t>
      </w:r>
      <w:r>
        <w:rPr>
          <w:rFonts w:ascii="宋体" w:hAnsi="宋体" w:eastAsia="宋体" w:cs="宋体"/>
          <w:b/>
          <w:bCs/>
          <w:spacing w:val="3"/>
          <w:sz w:val="20"/>
          <w:szCs w:val="20"/>
        </w:rPr>
        <w:t>通知义务</w:t>
      </w:r>
    </w:p>
    <w:p w14:paraId="66349D14">
      <w:pPr>
        <w:spacing w:before="128" w:line="228" w:lineRule="auto"/>
        <w:ind w:left="431"/>
        <w:rPr>
          <w:rFonts w:ascii="宋体" w:hAnsi="宋体" w:eastAsia="宋体" w:cs="宋体"/>
          <w:sz w:val="20"/>
          <w:szCs w:val="20"/>
        </w:rPr>
      </w:pPr>
      <w:r>
        <w:rPr>
          <w:rFonts w:ascii="宋体" w:hAnsi="宋体" w:eastAsia="宋体" w:cs="宋体"/>
          <w:spacing w:val="9"/>
          <w:sz w:val="20"/>
          <w:szCs w:val="20"/>
        </w:rPr>
        <w:t>关于变更保险合同时的通知义务的约定：</w:t>
      </w:r>
      <w:r>
        <w:rPr>
          <w:rFonts w:ascii="宋体" w:hAnsi="宋体" w:eastAsia="宋体" w:cs="宋体"/>
          <w:sz w:val="20"/>
          <w:szCs w:val="20"/>
          <w:u w:val="single" w:color="auto"/>
        </w:rPr>
        <w:t xml:space="preserve">                                            </w:t>
      </w:r>
    </w:p>
    <w:p w14:paraId="461E65FB">
      <w:pPr>
        <w:spacing w:before="262" w:line="46" w:lineRule="exact"/>
        <w:ind w:left="8534"/>
        <w:rPr>
          <w:rFonts w:ascii="宋体" w:hAnsi="宋体" w:eastAsia="宋体" w:cs="宋体"/>
          <w:sz w:val="20"/>
          <w:szCs w:val="20"/>
        </w:rPr>
      </w:pPr>
      <w:r>
        <w:pict>
          <v:shape id="_x0000_s1107" o:spid="_x0000_s1107" o:spt="202" type="#_x0000_t202" style="position:absolute;left:0pt;margin-left:-1pt;margin-top:5.75pt;height:14.1pt;width:427.25pt;z-index:251750400;mso-width-relative:page;mso-height-relative:page;" filled="f" stroked="f" coordsize="21600,21600">
            <v:path/>
            <v:fill on="f" focussize="0,0"/>
            <v:stroke on="f"/>
            <v:imagedata o:title=""/>
            <o:lock v:ext="edit" aspectratio="f"/>
            <v:textbox inset="0mm,0mm,0mm,0mm">
              <w:txbxContent>
                <w:p w14:paraId="4CBB02E5">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65F0D4E2">
      <w:pPr>
        <w:spacing w:line="250" w:lineRule="auto"/>
        <w:rPr>
          <w:rFonts w:ascii="Arial"/>
          <w:sz w:val="21"/>
        </w:rPr>
      </w:pPr>
    </w:p>
    <w:p w14:paraId="72F0F708">
      <w:pPr>
        <w:spacing w:line="250" w:lineRule="auto"/>
        <w:rPr>
          <w:rFonts w:ascii="Arial"/>
          <w:sz w:val="21"/>
        </w:rPr>
      </w:pPr>
    </w:p>
    <w:p w14:paraId="2B7EF829">
      <w:pPr>
        <w:spacing w:before="65" w:line="228" w:lineRule="auto"/>
        <w:ind w:left="443"/>
        <w:outlineLvl w:val="2"/>
        <w:rPr>
          <w:rFonts w:ascii="宋体" w:hAnsi="宋体" w:eastAsia="宋体" w:cs="宋体"/>
          <w:sz w:val="20"/>
          <w:szCs w:val="20"/>
        </w:rPr>
      </w:pPr>
      <w:bookmarkStart w:id="345" w:name="bookmark328"/>
      <w:bookmarkEnd w:id="345"/>
      <w:r>
        <w:rPr>
          <w:rFonts w:ascii="宋体" w:hAnsi="宋体" w:eastAsia="宋体" w:cs="宋体"/>
          <w:b/>
          <w:bCs/>
          <w:spacing w:val="-2"/>
          <w:sz w:val="20"/>
          <w:szCs w:val="20"/>
        </w:rPr>
        <w:t>19.</w:t>
      </w:r>
      <w:r>
        <w:rPr>
          <w:rFonts w:ascii="宋体" w:hAnsi="宋体" w:eastAsia="宋体" w:cs="宋体"/>
          <w:spacing w:val="17"/>
          <w:sz w:val="20"/>
          <w:szCs w:val="20"/>
        </w:rPr>
        <w:t xml:space="preserve"> </w:t>
      </w:r>
      <w:r>
        <w:rPr>
          <w:rFonts w:ascii="宋体" w:hAnsi="宋体" w:eastAsia="宋体" w:cs="宋体"/>
          <w:b/>
          <w:bCs/>
          <w:spacing w:val="-2"/>
          <w:sz w:val="20"/>
          <w:szCs w:val="20"/>
        </w:rPr>
        <w:t>索赔</w:t>
      </w:r>
    </w:p>
    <w:p w14:paraId="3F82997F">
      <w:pPr>
        <w:spacing w:before="127" w:line="228" w:lineRule="auto"/>
        <w:ind w:left="443"/>
        <w:rPr>
          <w:rFonts w:ascii="宋体" w:hAnsi="宋体" w:eastAsia="宋体" w:cs="宋体"/>
          <w:sz w:val="20"/>
          <w:szCs w:val="20"/>
        </w:rPr>
      </w:pPr>
      <w:r>
        <w:rPr>
          <w:rFonts w:ascii="宋体" w:hAnsi="宋体" w:eastAsia="宋体" w:cs="宋体"/>
          <w:b/>
          <w:bCs/>
          <w:spacing w:val="4"/>
          <w:sz w:val="20"/>
          <w:szCs w:val="20"/>
        </w:rPr>
        <w:t>19.1</w:t>
      </w:r>
      <w:r>
        <w:rPr>
          <w:rFonts w:ascii="宋体" w:hAnsi="宋体" w:eastAsia="宋体" w:cs="宋体"/>
          <w:spacing w:val="4"/>
          <w:sz w:val="20"/>
          <w:szCs w:val="20"/>
        </w:rPr>
        <w:t xml:space="preserve"> </w:t>
      </w:r>
      <w:r>
        <w:rPr>
          <w:rFonts w:ascii="宋体" w:hAnsi="宋体" w:eastAsia="宋体" w:cs="宋体"/>
          <w:b/>
          <w:bCs/>
          <w:spacing w:val="4"/>
          <w:sz w:val="20"/>
          <w:szCs w:val="20"/>
        </w:rPr>
        <w:t>承包人的索赔</w:t>
      </w:r>
    </w:p>
    <w:p w14:paraId="6DE634A5">
      <w:pPr>
        <w:spacing w:before="128" w:line="228" w:lineRule="auto"/>
        <w:ind w:left="443"/>
        <w:rPr>
          <w:rFonts w:ascii="宋体" w:hAnsi="宋体" w:eastAsia="宋体" w:cs="宋体"/>
          <w:sz w:val="20"/>
          <w:szCs w:val="20"/>
        </w:rPr>
      </w:pPr>
      <w:r>
        <w:rPr>
          <w:rFonts w:ascii="宋体" w:hAnsi="宋体" w:eastAsia="宋体" w:cs="宋体"/>
          <w:spacing w:val="6"/>
          <w:sz w:val="20"/>
          <w:szCs w:val="20"/>
        </w:rPr>
        <w:t>19.1.1 承包人索赔范围的其他情形：</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1A0E248">
      <w:pPr>
        <w:spacing w:before="127" w:line="228" w:lineRule="auto"/>
        <w:ind w:left="443"/>
        <w:rPr>
          <w:rFonts w:ascii="宋体" w:hAnsi="宋体" w:eastAsia="宋体" w:cs="宋体"/>
          <w:sz w:val="20"/>
          <w:szCs w:val="20"/>
        </w:rPr>
      </w:pPr>
      <w:r>
        <w:rPr>
          <w:rFonts w:ascii="宋体" w:hAnsi="宋体" w:eastAsia="宋体" w:cs="宋体"/>
          <w:b/>
          <w:bCs/>
          <w:spacing w:val="4"/>
          <w:sz w:val="20"/>
          <w:szCs w:val="20"/>
        </w:rPr>
        <w:t>19.2</w:t>
      </w:r>
      <w:r>
        <w:rPr>
          <w:rFonts w:ascii="宋体" w:hAnsi="宋体" w:eastAsia="宋体" w:cs="宋体"/>
          <w:spacing w:val="4"/>
          <w:sz w:val="20"/>
          <w:szCs w:val="20"/>
        </w:rPr>
        <w:t xml:space="preserve"> </w:t>
      </w:r>
      <w:r>
        <w:rPr>
          <w:rFonts w:ascii="宋体" w:hAnsi="宋体" w:eastAsia="宋体" w:cs="宋体"/>
          <w:b/>
          <w:bCs/>
          <w:spacing w:val="4"/>
          <w:sz w:val="20"/>
          <w:szCs w:val="20"/>
        </w:rPr>
        <w:t>发包人的索赔</w:t>
      </w:r>
    </w:p>
    <w:p w14:paraId="22EC5A47">
      <w:pPr>
        <w:spacing w:before="127" w:line="228" w:lineRule="auto"/>
        <w:ind w:left="443"/>
        <w:rPr>
          <w:rFonts w:ascii="宋体" w:hAnsi="宋体" w:eastAsia="宋体" w:cs="宋体"/>
          <w:sz w:val="20"/>
          <w:szCs w:val="20"/>
        </w:rPr>
      </w:pPr>
      <w:r>
        <w:rPr>
          <w:rFonts w:ascii="宋体" w:hAnsi="宋体" w:eastAsia="宋体" w:cs="宋体"/>
          <w:spacing w:val="6"/>
          <w:sz w:val="20"/>
          <w:szCs w:val="20"/>
        </w:rPr>
        <w:t>19.2.1 发包人索赔范围的其他情形：</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EB0C36F">
      <w:pPr>
        <w:spacing w:line="434" w:lineRule="auto"/>
        <w:rPr>
          <w:rFonts w:ascii="Arial"/>
          <w:sz w:val="21"/>
        </w:rPr>
      </w:pPr>
    </w:p>
    <w:p w14:paraId="71DDF72E">
      <w:pPr>
        <w:spacing w:before="65" w:line="228" w:lineRule="auto"/>
        <w:ind w:left="430"/>
        <w:outlineLvl w:val="2"/>
        <w:rPr>
          <w:rFonts w:ascii="宋体" w:hAnsi="宋体" w:eastAsia="宋体" w:cs="宋体"/>
          <w:sz w:val="20"/>
          <w:szCs w:val="20"/>
        </w:rPr>
      </w:pPr>
      <w:bookmarkStart w:id="346" w:name="bookmark329"/>
      <w:bookmarkEnd w:id="346"/>
      <w:r>
        <w:rPr>
          <w:rFonts w:ascii="宋体" w:hAnsi="宋体" w:eastAsia="宋体" w:cs="宋体"/>
          <w:b/>
          <w:bCs/>
          <w:spacing w:val="3"/>
          <w:sz w:val="20"/>
          <w:szCs w:val="20"/>
        </w:rPr>
        <w:t>20.</w:t>
      </w:r>
      <w:r>
        <w:rPr>
          <w:rFonts w:ascii="宋体" w:hAnsi="宋体" w:eastAsia="宋体" w:cs="宋体"/>
          <w:spacing w:val="17"/>
          <w:sz w:val="20"/>
          <w:szCs w:val="20"/>
        </w:rPr>
        <w:t xml:space="preserve"> </w:t>
      </w:r>
      <w:r>
        <w:rPr>
          <w:rFonts w:ascii="宋体" w:hAnsi="宋体" w:eastAsia="宋体" w:cs="宋体"/>
          <w:b/>
          <w:bCs/>
          <w:spacing w:val="3"/>
          <w:sz w:val="20"/>
          <w:szCs w:val="20"/>
        </w:rPr>
        <w:t>争议解决</w:t>
      </w:r>
    </w:p>
    <w:p w14:paraId="5C087663">
      <w:pPr>
        <w:spacing w:line="228" w:lineRule="auto"/>
        <w:rPr>
          <w:rFonts w:ascii="宋体" w:hAnsi="宋体" w:eastAsia="宋体" w:cs="宋体"/>
          <w:sz w:val="20"/>
          <w:szCs w:val="20"/>
        </w:rPr>
        <w:sectPr>
          <w:headerReference r:id="rId417" w:type="default"/>
          <w:footerReference r:id="rId418" w:type="default"/>
          <w:pgSz w:w="11906" w:h="16839"/>
          <w:pgMar w:top="400" w:right="1533" w:bottom="1446" w:left="1531" w:header="0" w:footer="1284" w:gutter="0"/>
          <w:cols w:space="720" w:num="1"/>
        </w:sectPr>
      </w:pPr>
    </w:p>
    <w:p w14:paraId="2A724C44">
      <w:pPr>
        <w:spacing w:line="246" w:lineRule="auto"/>
        <w:rPr>
          <w:rFonts w:ascii="Arial"/>
          <w:sz w:val="21"/>
        </w:rPr>
      </w:pPr>
    </w:p>
    <w:p w14:paraId="09976AFC">
      <w:pPr>
        <w:spacing w:line="246" w:lineRule="auto"/>
        <w:rPr>
          <w:rFonts w:ascii="Arial"/>
          <w:sz w:val="21"/>
        </w:rPr>
      </w:pPr>
    </w:p>
    <w:p w14:paraId="0BFE9AA5">
      <w:pPr>
        <w:spacing w:line="246" w:lineRule="auto"/>
        <w:rPr>
          <w:rFonts w:ascii="Arial"/>
          <w:sz w:val="21"/>
        </w:rPr>
      </w:pPr>
    </w:p>
    <w:p w14:paraId="18B4A2C5">
      <w:pPr>
        <w:spacing w:line="246" w:lineRule="auto"/>
        <w:rPr>
          <w:rFonts w:ascii="Arial"/>
          <w:sz w:val="21"/>
        </w:rPr>
      </w:pPr>
    </w:p>
    <w:p w14:paraId="5873BCCB">
      <w:pPr>
        <w:spacing w:line="247" w:lineRule="auto"/>
        <w:rPr>
          <w:rFonts w:ascii="Arial"/>
          <w:sz w:val="21"/>
        </w:rPr>
      </w:pPr>
    </w:p>
    <w:p w14:paraId="7B051CF5">
      <w:pPr>
        <w:spacing w:line="247" w:lineRule="auto"/>
        <w:rPr>
          <w:rFonts w:ascii="Arial"/>
          <w:sz w:val="21"/>
        </w:rPr>
      </w:pPr>
    </w:p>
    <w:p w14:paraId="42855E0C">
      <w:pPr>
        <w:spacing w:before="65" w:line="228" w:lineRule="auto"/>
        <w:ind w:left="430"/>
        <w:rPr>
          <w:rFonts w:ascii="宋体" w:hAnsi="宋体" w:eastAsia="宋体" w:cs="宋体"/>
          <w:sz w:val="20"/>
          <w:szCs w:val="20"/>
        </w:rPr>
      </w:pPr>
      <w:r>
        <w:rPr>
          <w:rFonts w:ascii="宋体" w:hAnsi="宋体" w:eastAsia="宋体" w:cs="宋体"/>
          <w:b/>
          <w:bCs/>
          <w:spacing w:val="1"/>
          <w:sz w:val="20"/>
          <w:szCs w:val="20"/>
        </w:rPr>
        <w:t>20.2</w:t>
      </w:r>
      <w:r>
        <w:rPr>
          <w:rFonts w:ascii="宋体" w:hAnsi="宋体" w:eastAsia="宋体" w:cs="宋体"/>
          <w:spacing w:val="17"/>
          <w:sz w:val="20"/>
          <w:szCs w:val="20"/>
        </w:rPr>
        <w:t xml:space="preserve"> </w:t>
      </w:r>
      <w:r>
        <w:rPr>
          <w:rFonts w:ascii="宋体" w:hAnsi="宋体" w:eastAsia="宋体" w:cs="宋体"/>
          <w:b/>
          <w:bCs/>
          <w:spacing w:val="1"/>
          <w:sz w:val="20"/>
          <w:szCs w:val="20"/>
        </w:rPr>
        <w:t>调解</w:t>
      </w:r>
    </w:p>
    <w:p w14:paraId="01A991EC">
      <w:pPr>
        <w:spacing w:before="126" w:line="227" w:lineRule="auto"/>
        <w:jc w:val="right"/>
        <w:rPr>
          <w:rFonts w:ascii="宋体" w:hAnsi="宋体" w:eastAsia="宋体" w:cs="宋体"/>
          <w:sz w:val="20"/>
          <w:szCs w:val="20"/>
        </w:rPr>
      </w:pPr>
      <w:r>
        <w:rPr>
          <w:rFonts w:ascii="宋体" w:hAnsi="宋体" w:eastAsia="宋体" w:cs="宋体"/>
          <w:spacing w:val="6"/>
          <w:sz w:val="20"/>
          <w:szCs w:val="20"/>
        </w:rPr>
        <w:t>第三方调解机构的确定：</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568ABDFE">
      <w:pPr>
        <w:spacing w:before="128" w:line="228" w:lineRule="auto"/>
        <w:ind w:left="430"/>
        <w:rPr>
          <w:rFonts w:ascii="宋体" w:hAnsi="宋体" w:eastAsia="宋体" w:cs="宋体"/>
          <w:sz w:val="20"/>
          <w:szCs w:val="20"/>
        </w:rPr>
      </w:pPr>
      <w:r>
        <w:rPr>
          <w:rFonts w:ascii="宋体" w:hAnsi="宋体" w:eastAsia="宋体" w:cs="宋体"/>
          <w:b/>
          <w:bCs/>
          <w:spacing w:val="3"/>
          <w:sz w:val="20"/>
          <w:szCs w:val="20"/>
        </w:rPr>
        <w:t>20.3</w:t>
      </w:r>
      <w:r>
        <w:rPr>
          <w:rFonts w:ascii="宋体" w:hAnsi="宋体" w:eastAsia="宋体" w:cs="宋体"/>
          <w:spacing w:val="18"/>
          <w:sz w:val="20"/>
          <w:szCs w:val="20"/>
        </w:rPr>
        <w:t xml:space="preserve"> </w:t>
      </w:r>
      <w:r>
        <w:rPr>
          <w:rFonts w:ascii="宋体" w:hAnsi="宋体" w:eastAsia="宋体" w:cs="宋体"/>
          <w:b/>
          <w:bCs/>
          <w:spacing w:val="3"/>
          <w:sz w:val="20"/>
          <w:szCs w:val="20"/>
        </w:rPr>
        <w:t>争议评审</w:t>
      </w:r>
    </w:p>
    <w:p w14:paraId="33ED1E53">
      <w:pPr>
        <w:spacing w:before="127" w:line="228" w:lineRule="auto"/>
        <w:ind w:left="429"/>
        <w:rPr>
          <w:rFonts w:ascii="宋体" w:hAnsi="宋体" w:eastAsia="宋体" w:cs="宋体"/>
          <w:sz w:val="20"/>
          <w:szCs w:val="20"/>
        </w:rPr>
      </w:pPr>
      <w:r>
        <w:rPr>
          <w:rFonts w:ascii="宋体" w:hAnsi="宋体" w:eastAsia="宋体" w:cs="宋体"/>
          <w:spacing w:val="9"/>
          <w:sz w:val="20"/>
          <w:szCs w:val="20"/>
        </w:rPr>
        <w:t>合同当事人是否同意将工程争议提交争议评审小组决定：</w:t>
      </w:r>
      <w:r>
        <w:rPr>
          <w:rFonts w:ascii="宋体" w:hAnsi="宋体" w:eastAsia="宋体" w:cs="宋体"/>
          <w:sz w:val="20"/>
          <w:szCs w:val="20"/>
          <w:u w:val="single" w:color="auto"/>
        </w:rPr>
        <w:t xml:space="preserve">                             </w:t>
      </w:r>
    </w:p>
    <w:p w14:paraId="3F6D9FF5">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198E02A">
      <w:pPr>
        <w:spacing w:before="174" w:line="228" w:lineRule="auto"/>
        <w:ind w:left="430"/>
        <w:rPr>
          <w:rFonts w:ascii="宋体" w:hAnsi="宋体" w:eastAsia="宋体" w:cs="宋体"/>
          <w:sz w:val="20"/>
          <w:szCs w:val="20"/>
        </w:rPr>
      </w:pPr>
      <w:r>
        <w:rPr>
          <w:rFonts w:ascii="宋体" w:hAnsi="宋体" w:eastAsia="宋体" w:cs="宋体"/>
          <w:spacing w:val="7"/>
          <w:sz w:val="20"/>
          <w:szCs w:val="20"/>
        </w:rPr>
        <w:t>20.3.1 争议评审小组的确定</w:t>
      </w:r>
    </w:p>
    <w:p w14:paraId="5C7A0B01">
      <w:pPr>
        <w:spacing w:before="126" w:line="346" w:lineRule="auto"/>
        <w:ind w:left="427" w:firstLine="5"/>
        <w:rPr>
          <w:rFonts w:ascii="宋体" w:hAnsi="宋体" w:eastAsia="宋体" w:cs="宋体"/>
          <w:sz w:val="20"/>
          <w:szCs w:val="20"/>
        </w:rPr>
      </w:pPr>
      <w:r>
        <w:rPr>
          <w:rFonts w:ascii="宋体" w:hAnsi="宋体" w:eastAsia="宋体" w:cs="宋体"/>
          <w:spacing w:val="6"/>
          <w:sz w:val="20"/>
          <w:szCs w:val="20"/>
        </w:rPr>
        <w:t>争议评审小组成员的确定：</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。选定争议评审员的期限：</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。争议评审小组成员的报酬承担方式：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4"/>
          <w:sz w:val="20"/>
          <w:szCs w:val="20"/>
        </w:rPr>
        <w:t>其他事项的约定：</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2E8B4F9E">
      <w:pPr>
        <w:spacing w:before="1" w:line="227" w:lineRule="auto"/>
        <w:ind w:left="430"/>
        <w:rPr>
          <w:rFonts w:ascii="宋体" w:hAnsi="宋体" w:eastAsia="宋体" w:cs="宋体"/>
          <w:sz w:val="20"/>
          <w:szCs w:val="20"/>
        </w:rPr>
      </w:pPr>
      <w:r>
        <w:rPr>
          <w:rFonts w:ascii="宋体" w:hAnsi="宋体" w:eastAsia="宋体" w:cs="宋体"/>
          <w:spacing w:val="7"/>
          <w:sz w:val="20"/>
          <w:szCs w:val="20"/>
        </w:rPr>
        <w:t>20.3.2 争议评审小组的决定</w:t>
      </w:r>
    </w:p>
    <w:p w14:paraId="5D4E886D">
      <w:pPr>
        <w:spacing w:before="128" w:line="227" w:lineRule="auto"/>
        <w:jc w:val="right"/>
        <w:rPr>
          <w:rFonts w:ascii="宋体" w:hAnsi="宋体" w:eastAsia="宋体" w:cs="宋体"/>
          <w:sz w:val="20"/>
          <w:szCs w:val="20"/>
        </w:rPr>
      </w:pPr>
      <w:r>
        <w:rPr>
          <w:rFonts w:ascii="宋体" w:hAnsi="宋体" w:eastAsia="宋体" w:cs="宋体"/>
          <w:spacing w:val="6"/>
          <w:sz w:val="20"/>
          <w:szCs w:val="20"/>
        </w:rPr>
        <w:t>合同当事人关于本项的约定：</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32193A21">
      <w:pPr>
        <w:spacing w:before="128" w:line="228" w:lineRule="auto"/>
        <w:ind w:left="430"/>
        <w:rPr>
          <w:rFonts w:ascii="宋体" w:hAnsi="宋体" w:eastAsia="宋体" w:cs="宋体"/>
          <w:sz w:val="20"/>
          <w:szCs w:val="20"/>
        </w:rPr>
      </w:pPr>
      <w:r>
        <w:rPr>
          <w:rFonts w:ascii="宋体" w:hAnsi="宋体" w:eastAsia="宋体" w:cs="宋体"/>
          <w:b/>
          <w:bCs/>
          <w:spacing w:val="4"/>
          <w:sz w:val="20"/>
          <w:szCs w:val="20"/>
        </w:rPr>
        <w:t>20.4</w:t>
      </w:r>
      <w:r>
        <w:rPr>
          <w:rFonts w:ascii="宋体" w:hAnsi="宋体" w:eastAsia="宋体" w:cs="宋体"/>
          <w:spacing w:val="-40"/>
          <w:sz w:val="20"/>
          <w:szCs w:val="20"/>
        </w:rPr>
        <w:t xml:space="preserve"> </w:t>
      </w:r>
      <w:r>
        <w:rPr>
          <w:rFonts w:ascii="宋体" w:hAnsi="宋体" w:eastAsia="宋体" w:cs="宋体"/>
          <w:b/>
          <w:bCs/>
          <w:spacing w:val="4"/>
          <w:sz w:val="20"/>
          <w:szCs w:val="20"/>
        </w:rPr>
        <w:t>仲裁或诉讼</w:t>
      </w:r>
    </w:p>
    <w:p w14:paraId="46A5E2DD">
      <w:pPr>
        <w:spacing w:before="127" w:line="228" w:lineRule="auto"/>
        <w:ind w:left="437"/>
        <w:rPr>
          <w:rFonts w:ascii="宋体" w:hAnsi="宋体" w:eastAsia="宋体" w:cs="宋体"/>
          <w:sz w:val="20"/>
          <w:szCs w:val="20"/>
        </w:rPr>
      </w:pPr>
      <w:r>
        <w:rPr>
          <w:rFonts w:ascii="宋体" w:hAnsi="宋体" w:eastAsia="宋体" w:cs="宋体"/>
          <w:spacing w:val="4"/>
          <w:sz w:val="20"/>
          <w:szCs w:val="20"/>
        </w:rPr>
        <w:t>因合同及合同有关事项发生的争议，按下列第</w:t>
      </w:r>
      <w:r>
        <w:rPr>
          <w:rFonts w:ascii="宋体" w:hAnsi="宋体" w:eastAsia="宋体" w:cs="宋体"/>
          <w:spacing w:val="6"/>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4"/>
          <w:sz w:val="20"/>
          <w:szCs w:val="20"/>
        </w:rPr>
        <w:t>种方式解决：</w:t>
      </w:r>
    </w:p>
    <w:p w14:paraId="5F2B0AD2">
      <w:pPr>
        <w:spacing w:before="128" w:line="227" w:lineRule="auto"/>
        <w:ind w:left="438"/>
        <w:rPr>
          <w:rFonts w:ascii="宋体" w:hAnsi="宋体" w:eastAsia="宋体" w:cs="宋体"/>
          <w:sz w:val="20"/>
          <w:szCs w:val="20"/>
        </w:rPr>
      </w:pPr>
      <w:r>
        <w:rPr>
          <w:rFonts w:ascii="宋体" w:hAnsi="宋体" w:eastAsia="宋体" w:cs="宋体"/>
          <w:spacing w:val="6"/>
          <w:sz w:val="20"/>
          <w:szCs w:val="20"/>
        </w:rPr>
        <w:t>（1）向</w:t>
      </w:r>
      <w:r>
        <w:rPr>
          <w:rFonts w:ascii="宋体" w:hAnsi="宋体" w:eastAsia="宋体" w:cs="宋体"/>
          <w:spacing w:val="-8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6"/>
          <w:sz w:val="20"/>
          <w:szCs w:val="20"/>
        </w:rPr>
        <w:t>仲裁委员会申请仲裁；</w:t>
      </w:r>
    </w:p>
    <w:p w14:paraId="3C4E627D">
      <w:pPr>
        <w:spacing w:before="129" w:line="228" w:lineRule="auto"/>
        <w:ind w:left="438"/>
        <w:rPr>
          <w:rFonts w:ascii="宋体" w:hAnsi="宋体" w:eastAsia="宋体" w:cs="宋体"/>
          <w:sz w:val="20"/>
          <w:szCs w:val="20"/>
        </w:rPr>
      </w:pPr>
      <w:r>
        <w:rPr>
          <w:rFonts w:ascii="宋体" w:hAnsi="宋体" w:eastAsia="宋体" w:cs="宋体"/>
          <w:spacing w:val="5"/>
          <w:sz w:val="20"/>
          <w:szCs w:val="20"/>
        </w:rPr>
        <w:t>（2）向</w:t>
      </w:r>
      <w:r>
        <w:rPr>
          <w:rFonts w:ascii="宋体" w:hAnsi="宋体" w:eastAsia="宋体" w:cs="宋体"/>
          <w:spacing w:val="-93"/>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5"/>
          <w:sz w:val="20"/>
          <w:szCs w:val="20"/>
        </w:rPr>
        <w:t>人民法院起诉。</w:t>
      </w:r>
    </w:p>
    <w:p w14:paraId="519C50F6">
      <w:pPr>
        <w:spacing w:line="228" w:lineRule="auto"/>
        <w:rPr>
          <w:rFonts w:ascii="宋体" w:hAnsi="宋体" w:eastAsia="宋体" w:cs="宋体"/>
          <w:sz w:val="20"/>
          <w:szCs w:val="20"/>
        </w:rPr>
        <w:sectPr>
          <w:footerReference r:id="rId419" w:type="default"/>
          <w:pgSz w:w="11906" w:h="16839"/>
          <w:pgMar w:top="400" w:right="1695" w:bottom="1446" w:left="1531" w:header="0" w:footer="1284" w:gutter="0"/>
          <w:cols w:space="720" w:num="1"/>
        </w:sectPr>
      </w:pPr>
    </w:p>
    <w:p w14:paraId="2536065A">
      <w:pPr>
        <w:spacing w:line="243" w:lineRule="auto"/>
        <w:rPr>
          <w:rFonts w:ascii="Arial"/>
          <w:sz w:val="21"/>
        </w:rPr>
      </w:pPr>
    </w:p>
    <w:p w14:paraId="19A6ABF1">
      <w:pPr>
        <w:spacing w:line="243" w:lineRule="auto"/>
        <w:rPr>
          <w:rFonts w:ascii="Arial"/>
          <w:sz w:val="21"/>
        </w:rPr>
      </w:pPr>
    </w:p>
    <w:p w14:paraId="69C820D0">
      <w:pPr>
        <w:spacing w:line="243" w:lineRule="auto"/>
        <w:rPr>
          <w:rFonts w:ascii="Arial"/>
          <w:sz w:val="21"/>
        </w:rPr>
      </w:pPr>
    </w:p>
    <w:p w14:paraId="206E7D82">
      <w:pPr>
        <w:spacing w:line="244" w:lineRule="auto"/>
        <w:rPr>
          <w:rFonts w:ascii="Arial"/>
          <w:sz w:val="21"/>
        </w:rPr>
      </w:pPr>
    </w:p>
    <w:p w14:paraId="28A74F64">
      <w:pPr>
        <w:spacing w:line="244" w:lineRule="auto"/>
        <w:rPr>
          <w:rFonts w:ascii="Arial"/>
          <w:sz w:val="21"/>
        </w:rPr>
      </w:pPr>
    </w:p>
    <w:p w14:paraId="40EC3E8D">
      <w:pPr>
        <w:spacing w:line="244" w:lineRule="auto"/>
        <w:rPr>
          <w:rFonts w:ascii="Arial"/>
          <w:sz w:val="21"/>
        </w:rPr>
      </w:pPr>
    </w:p>
    <w:p w14:paraId="06EF05A4">
      <w:pPr>
        <w:spacing w:line="244" w:lineRule="auto"/>
        <w:rPr>
          <w:rFonts w:ascii="Arial"/>
          <w:sz w:val="21"/>
        </w:rPr>
      </w:pPr>
    </w:p>
    <w:p w14:paraId="6B3408CF">
      <w:pPr>
        <w:spacing w:line="244" w:lineRule="auto"/>
        <w:rPr>
          <w:rFonts w:ascii="Arial"/>
          <w:sz w:val="21"/>
        </w:rPr>
      </w:pPr>
    </w:p>
    <w:p w14:paraId="445C3D02">
      <w:pPr>
        <w:spacing w:line="244" w:lineRule="auto"/>
        <w:rPr>
          <w:rFonts w:ascii="Arial"/>
          <w:sz w:val="21"/>
        </w:rPr>
      </w:pPr>
    </w:p>
    <w:p w14:paraId="470BDE10">
      <w:pPr>
        <w:pStyle w:val="2"/>
        <w:spacing w:before="91" w:line="222" w:lineRule="auto"/>
        <w:ind w:left="2917"/>
        <w:outlineLvl w:val="1"/>
        <w:rPr>
          <w:sz w:val="28"/>
          <w:szCs w:val="28"/>
        </w:rPr>
      </w:pPr>
      <w:bookmarkStart w:id="347" w:name="bookmark330"/>
      <w:bookmarkEnd w:id="347"/>
      <w:r>
        <w:rPr>
          <w:spacing w:val="-1"/>
          <w:sz w:val="28"/>
          <w:szCs w:val="28"/>
        </w:rPr>
        <w:t>第四部分  补充条款</w:t>
      </w:r>
    </w:p>
    <w:p w14:paraId="00AFD770">
      <w:pPr>
        <w:spacing w:line="222" w:lineRule="auto"/>
        <w:rPr>
          <w:sz w:val="28"/>
          <w:szCs w:val="28"/>
        </w:rPr>
        <w:sectPr>
          <w:footerReference r:id="rId420" w:type="default"/>
          <w:pgSz w:w="11906" w:h="16839"/>
          <w:pgMar w:top="400" w:right="1785" w:bottom="1446" w:left="1785" w:header="0" w:footer="1284" w:gutter="0"/>
          <w:cols w:space="720" w:num="1"/>
        </w:sectPr>
      </w:pPr>
    </w:p>
    <w:p w14:paraId="5986E358">
      <w:pPr>
        <w:spacing w:line="265" w:lineRule="auto"/>
        <w:rPr>
          <w:rFonts w:ascii="Arial"/>
          <w:sz w:val="21"/>
        </w:rPr>
      </w:pPr>
    </w:p>
    <w:p w14:paraId="15087A4E">
      <w:pPr>
        <w:spacing w:line="265" w:lineRule="auto"/>
        <w:rPr>
          <w:rFonts w:ascii="Arial"/>
          <w:sz w:val="21"/>
        </w:rPr>
      </w:pPr>
    </w:p>
    <w:p w14:paraId="1F6AFB51">
      <w:pPr>
        <w:spacing w:line="265" w:lineRule="auto"/>
        <w:rPr>
          <w:rFonts w:ascii="Arial"/>
          <w:sz w:val="21"/>
        </w:rPr>
      </w:pPr>
    </w:p>
    <w:p w14:paraId="500B4F42">
      <w:pPr>
        <w:spacing w:line="265" w:lineRule="auto"/>
        <w:rPr>
          <w:rFonts w:ascii="Arial"/>
          <w:sz w:val="21"/>
        </w:rPr>
      </w:pPr>
    </w:p>
    <w:p w14:paraId="02CF3BFA">
      <w:pPr>
        <w:spacing w:line="265" w:lineRule="auto"/>
        <w:rPr>
          <w:rFonts w:ascii="Arial"/>
          <w:sz w:val="21"/>
        </w:rPr>
      </w:pPr>
    </w:p>
    <w:p w14:paraId="0DBE7CCD">
      <w:pPr>
        <w:spacing w:line="266" w:lineRule="auto"/>
        <w:rPr>
          <w:rFonts w:ascii="Arial"/>
          <w:sz w:val="21"/>
        </w:rPr>
      </w:pPr>
    </w:p>
    <w:p w14:paraId="68E8D270">
      <w:pPr>
        <w:spacing w:line="266" w:lineRule="auto"/>
        <w:rPr>
          <w:rFonts w:ascii="Arial"/>
          <w:sz w:val="21"/>
        </w:rPr>
      </w:pPr>
    </w:p>
    <w:p w14:paraId="79DD71FF">
      <w:pPr>
        <w:spacing w:line="266" w:lineRule="auto"/>
        <w:rPr>
          <w:rFonts w:ascii="Arial"/>
          <w:sz w:val="21"/>
        </w:rPr>
      </w:pPr>
    </w:p>
    <w:p w14:paraId="343CE0C9">
      <w:pPr>
        <w:pStyle w:val="2"/>
        <w:spacing w:before="91" w:line="225" w:lineRule="auto"/>
        <w:ind w:left="3914"/>
        <w:outlineLvl w:val="1"/>
        <w:rPr>
          <w:sz w:val="28"/>
          <w:szCs w:val="28"/>
        </w:rPr>
      </w:pPr>
      <w:bookmarkStart w:id="348" w:name="bookmark331"/>
      <w:bookmarkEnd w:id="348"/>
      <w:r>
        <w:rPr>
          <w:spacing w:val="-13"/>
          <w:sz w:val="28"/>
          <w:szCs w:val="28"/>
        </w:rPr>
        <w:t>附件</w:t>
      </w:r>
    </w:p>
    <w:p w14:paraId="406FAFBD">
      <w:pPr>
        <w:spacing w:line="269" w:lineRule="auto"/>
        <w:rPr>
          <w:rFonts w:ascii="Arial"/>
          <w:sz w:val="21"/>
        </w:rPr>
      </w:pPr>
    </w:p>
    <w:p w14:paraId="7842B366">
      <w:pPr>
        <w:spacing w:line="270" w:lineRule="auto"/>
        <w:rPr>
          <w:rFonts w:ascii="Arial"/>
          <w:sz w:val="21"/>
        </w:rPr>
      </w:pPr>
    </w:p>
    <w:p w14:paraId="36072C1D">
      <w:pPr>
        <w:spacing w:before="65" w:line="227" w:lineRule="auto"/>
        <w:ind w:left="174"/>
        <w:rPr>
          <w:rFonts w:ascii="宋体" w:hAnsi="宋体" w:eastAsia="宋体" w:cs="宋体"/>
          <w:sz w:val="20"/>
          <w:szCs w:val="20"/>
        </w:rPr>
      </w:pPr>
      <w:r>
        <w:rPr>
          <w:rFonts w:ascii="宋体" w:hAnsi="宋体" w:eastAsia="宋体" w:cs="宋体"/>
          <w:spacing w:val="6"/>
          <w:sz w:val="20"/>
          <w:szCs w:val="20"/>
        </w:rPr>
        <w:t>协议书附件：</w:t>
      </w:r>
    </w:p>
    <w:p w14:paraId="3AB21FFE">
      <w:pPr>
        <w:spacing w:before="222" w:line="227" w:lineRule="auto"/>
        <w:ind w:left="189"/>
        <w:rPr>
          <w:rFonts w:ascii="宋体" w:hAnsi="宋体" w:eastAsia="宋体" w:cs="宋体"/>
          <w:sz w:val="20"/>
          <w:szCs w:val="20"/>
        </w:rPr>
      </w:pPr>
      <w:r>
        <w:rPr>
          <w:rFonts w:ascii="宋体" w:hAnsi="宋体" w:eastAsia="宋体" w:cs="宋体"/>
          <w:spacing w:val="6"/>
          <w:sz w:val="20"/>
          <w:szCs w:val="20"/>
        </w:rPr>
        <w:t>附件</w:t>
      </w:r>
      <w:r>
        <w:rPr>
          <w:rFonts w:ascii="宋体" w:hAnsi="宋体" w:eastAsia="宋体" w:cs="宋体"/>
          <w:spacing w:val="-17"/>
          <w:sz w:val="20"/>
          <w:szCs w:val="20"/>
        </w:rPr>
        <w:t xml:space="preserve"> </w:t>
      </w:r>
      <w:r>
        <w:rPr>
          <w:rFonts w:ascii="宋体" w:hAnsi="宋体" w:eastAsia="宋体" w:cs="宋体"/>
          <w:spacing w:val="6"/>
          <w:sz w:val="20"/>
          <w:szCs w:val="20"/>
        </w:rPr>
        <w:t>1：承包人承揽工程项目一览表</w:t>
      </w:r>
    </w:p>
    <w:p w14:paraId="4473D50B">
      <w:pPr>
        <w:spacing w:before="222" w:line="227" w:lineRule="auto"/>
        <w:ind w:left="174"/>
        <w:rPr>
          <w:rFonts w:ascii="宋体" w:hAnsi="宋体" w:eastAsia="宋体" w:cs="宋体"/>
          <w:sz w:val="20"/>
          <w:szCs w:val="20"/>
        </w:rPr>
      </w:pPr>
      <w:r>
        <w:rPr>
          <w:rFonts w:ascii="宋体" w:hAnsi="宋体" w:eastAsia="宋体" w:cs="宋体"/>
          <w:spacing w:val="7"/>
          <w:sz w:val="20"/>
          <w:szCs w:val="20"/>
        </w:rPr>
        <w:t>专用合同条款附件：</w:t>
      </w:r>
    </w:p>
    <w:p w14:paraId="1AC962E8">
      <w:pPr>
        <w:spacing w:before="222" w:line="227" w:lineRule="auto"/>
        <w:ind w:left="189"/>
        <w:rPr>
          <w:rFonts w:ascii="宋体" w:hAnsi="宋体" w:eastAsia="宋体" w:cs="宋体"/>
          <w:sz w:val="20"/>
          <w:szCs w:val="20"/>
        </w:rPr>
      </w:pPr>
      <w:r>
        <w:rPr>
          <w:rFonts w:ascii="宋体" w:hAnsi="宋体" w:eastAsia="宋体" w:cs="宋体"/>
          <w:spacing w:val="7"/>
          <w:sz w:val="20"/>
          <w:szCs w:val="20"/>
        </w:rPr>
        <w:t>附件</w:t>
      </w:r>
      <w:r>
        <w:rPr>
          <w:rFonts w:ascii="宋体" w:hAnsi="宋体" w:eastAsia="宋体" w:cs="宋体"/>
          <w:spacing w:val="-33"/>
          <w:sz w:val="20"/>
          <w:szCs w:val="20"/>
        </w:rPr>
        <w:t xml:space="preserve"> </w:t>
      </w:r>
      <w:r>
        <w:rPr>
          <w:rFonts w:ascii="宋体" w:hAnsi="宋体" w:eastAsia="宋体" w:cs="宋体"/>
          <w:spacing w:val="7"/>
          <w:sz w:val="20"/>
          <w:szCs w:val="20"/>
        </w:rPr>
        <w:t>2：发包人供应材料设备一览表</w:t>
      </w:r>
    </w:p>
    <w:p w14:paraId="569343F2">
      <w:pPr>
        <w:spacing w:before="222" w:line="227" w:lineRule="auto"/>
        <w:ind w:left="189"/>
        <w:rPr>
          <w:rFonts w:ascii="宋体" w:hAnsi="宋体" w:eastAsia="宋体" w:cs="宋体"/>
          <w:sz w:val="20"/>
          <w:szCs w:val="20"/>
        </w:rPr>
      </w:pPr>
      <w:r>
        <w:rPr>
          <w:rFonts w:ascii="宋体" w:hAnsi="宋体" w:eastAsia="宋体" w:cs="宋体"/>
          <w:spacing w:val="5"/>
          <w:sz w:val="20"/>
          <w:szCs w:val="20"/>
        </w:rPr>
        <w:t>附件</w:t>
      </w:r>
      <w:r>
        <w:rPr>
          <w:rFonts w:ascii="宋体" w:hAnsi="宋体" w:eastAsia="宋体" w:cs="宋体"/>
          <w:spacing w:val="-27"/>
          <w:sz w:val="20"/>
          <w:szCs w:val="20"/>
        </w:rPr>
        <w:t xml:space="preserve"> </w:t>
      </w:r>
      <w:r>
        <w:rPr>
          <w:rFonts w:ascii="宋体" w:hAnsi="宋体" w:eastAsia="宋体" w:cs="宋体"/>
          <w:spacing w:val="5"/>
          <w:sz w:val="20"/>
          <w:szCs w:val="20"/>
        </w:rPr>
        <w:t>3：工程质量保修书</w:t>
      </w:r>
    </w:p>
    <w:p w14:paraId="507A3F70">
      <w:pPr>
        <w:spacing w:before="222" w:line="227" w:lineRule="auto"/>
        <w:ind w:left="189"/>
        <w:rPr>
          <w:rFonts w:ascii="宋体" w:hAnsi="宋体" w:eastAsia="宋体" w:cs="宋体"/>
          <w:sz w:val="20"/>
          <w:szCs w:val="20"/>
        </w:rPr>
      </w:pPr>
      <w:r>
        <w:rPr>
          <w:rFonts w:ascii="宋体" w:hAnsi="宋体" w:eastAsia="宋体" w:cs="宋体"/>
          <w:spacing w:val="11"/>
          <w:sz w:val="20"/>
          <w:szCs w:val="20"/>
        </w:rPr>
        <w:t>附件4：主要建设工程文件目录</w:t>
      </w:r>
    </w:p>
    <w:p w14:paraId="0EFA2A6C">
      <w:pPr>
        <w:spacing w:before="222" w:line="227" w:lineRule="auto"/>
        <w:ind w:left="189"/>
        <w:rPr>
          <w:rFonts w:ascii="宋体" w:hAnsi="宋体" w:eastAsia="宋体" w:cs="宋体"/>
          <w:sz w:val="20"/>
          <w:szCs w:val="20"/>
        </w:rPr>
      </w:pPr>
      <w:r>
        <w:rPr>
          <w:rFonts w:ascii="宋体" w:hAnsi="宋体" w:eastAsia="宋体" w:cs="宋体"/>
          <w:spacing w:val="7"/>
          <w:sz w:val="20"/>
          <w:szCs w:val="20"/>
        </w:rPr>
        <w:t>附件</w:t>
      </w:r>
      <w:r>
        <w:rPr>
          <w:rFonts w:ascii="宋体" w:hAnsi="宋体" w:eastAsia="宋体" w:cs="宋体"/>
          <w:spacing w:val="-21"/>
          <w:sz w:val="20"/>
          <w:szCs w:val="20"/>
        </w:rPr>
        <w:t xml:space="preserve"> </w:t>
      </w:r>
      <w:r>
        <w:rPr>
          <w:rFonts w:ascii="宋体" w:hAnsi="宋体" w:eastAsia="宋体" w:cs="宋体"/>
          <w:spacing w:val="7"/>
          <w:sz w:val="20"/>
          <w:szCs w:val="20"/>
        </w:rPr>
        <w:t>5：承包人用于本工程施工的机械设备表</w:t>
      </w:r>
    </w:p>
    <w:p w14:paraId="3A6864D9">
      <w:pPr>
        <w:spacing w:before="222" w:line="227" w:lineRule="auto"/>
        <w:ind w:left="189"/>
        <w:rPr>
          <w:rFonts w:ascii="宋体" w:hAnsi="宋体" w:eastAsia="宋体" w:cs="宋体"/>
          <w:sz w:val="20"/>
          <w:szCs w:val="20"/>
        </w:rPr>
      </w:pPr>
      <w:r>
        <w:rPr>
          <w:rFonts w:ascii="宋体" w:hAnsi="宋体" w:eastAsia="宋体" w:cs="宋体"/>
          <w:spacing w:val="7"/>
          <w:sz w:val="20"/>
          <w:szCs w:val="20"/>
        </w:rPr>
        <w:t>附件</w:t>
      </w:r>
      <w:r>
        <w:rPr>
          <w:rFonts w:ascii="宋体" w:hAnsi="宋体" w:eastAsia="宋体" w:cs="宋体"/>
          <w:spacing w:val="-33"/>
          <w:sz w:val="20"/>
          <w:szCs w:val="20"/>
        </w:rPr>
        <w:t xml:space="preserve"> </w:t>
      </w:r>
      <w:r>
        <w:rPr>
          <w:rFonts w:ascii="宋体" w:hAnsi="宋体" w:eastAsia="宋体" w:cs="宋体"/>
          <w:spacing w:val="7"/>
          <w:sz w:val="20"/>
          <w:szCs w:val="20"/>
        </w:rPr>
        <w:t>6：承包人主要施工管理人员表</w:t>
      </w:r>
    </w:p>
    <w:p w14:paraId="565EAD11">
      <w:pPr>
        <w:spacing w:before="222" w:line="227" w:lineRule="auto"/>
        <w:ind w:left="189"/>
        <w:rPr>
          <w:rFonts w:ascii="宋体" w:hAnsi="宋体" w:eastAsia="宋体" w:cs="宋体"/>
          <w:sz w:val="20"/>
          <w:szCs w:val="20"/>
        </w:rPr>
      </w:pPr>
      <w:r>
        <w:rPr>
          <w:rFonts w:ascii="宋体" w:hAnsi="宋体" w:eastAsia="宋体" w:cs="宋体"/>
          <w:spacing w:val="7"/>
          <w:sz w:val="20"/>
          <w:szCs w:val="20"/>
        </w:rPr>
        <w:t>附件</w:t>
      </w:r>
      <w:r>
        <w:rPr>
          <w:rFonts w:ascii="宋体" w:hAnsi="宋体" w:eastAsia="宋体" w:cs="宋体"/>
          <w:spacing w:val="-32"/>
          <w:sz w:val="20"/>
          <w:szCs w:val="20"/>
        </w:rPr>
        <w:t xml:space="preserve"> </w:t>
      </w:r>
      <w:r>
        <w:rPr>
          <w:rFonts w:ascii="宋体" w:hAnsi="宋体" w:eastAsia="宋体" w:cs="宋体"/>
          <w:spacing w:val="7"/>
          <w:sz w:val="20"/>
          <w:szCs w:val="20"/>
        </w:rPr>
        <w:t>7：分包人主要施工管理人员表</w:t>
      </w:r>
    </w:p>
    <w:p w14:paraId="29D77B97">
      <w:pPr>
        <w:spacing w:before="222" w:line="227" w:lineRule="auto"/>
        <w:ind w:left="189"/>
        <w:rPr>
          <w:rFonts w:ascii="宋体" w:hAnsi="宋体" w:eastAsia="宋体" w:cs="宋体"/>
          <w:sz w:val="20"/>
          <w:szCs w:val="20"/>
        </w:rPr>
      </w:pPr>
      <w:r>
        <w:rPr>
          <w:rFonts w:ascii="宋体" w:hAnsi="宋体" w:eastAsia="宋体" w:cs="宋体"/>
          <w:spacing w:val="5"/>
          <w:sz w:val="20"/>
          <w:szCs w:val="20"/>
        </w:rPr>
        <w:t>附件</w:t>
      </w:r>
      <w:r>
        <w:rPr>
          <w:rFonts w:ascii="宋体" w:hAnsi="宋体" w:eastAsia="宋体" w:cs="宋体"/>
          <w:spacing w:val="-31"/>
          <w:sz w:val="20"/>
          <w:szCs w:val="20"/>
        </w:rPr>
        <w:t xml:space="preserve"> </w:t>
      </w:r>
      <w:r>
        <w:rPr>
          <w:rFonts w:ascii="宋体" w:hAnsi="宋体" w:eastAsia="宋体" w:cs="宋体"/>
          <w:spacing w:val="5"/>
          <w:sz w:val="20"/>
          <w:szCs w:val="20"/>
        </w:rPr>
        <w:t>8：履约担保格式</w:t>
      </w:r>
    </w:p>
    <w:p w14:paraId="4B2BD757">
      <w:pPr>
        <w:spacing w:before="222" w:line="227" w:lineRule="auto"/>
        <w:ind w:left="189"/>
        <w:rPr>
          <w:rFonts w:ascii="宋体" w:hAnsi="宋体" w:eastAsia="宋体" w:cs="宋体"/>
          <w:sz w:val="20"/>
          <w:szCs w:val="20"/>
        </w:rPr>
      </w:pPr>
      <w:r>
        <w:rPr>
          <w:rFonts w:ascii="宋体" w:hAnsi="宋体" w:eastAsia="宋体" w:cs="宋体"/>
          <w:spacing w:val="5"/>
          <w:sz w:val="20"/>
          <w:szCs w:val="20"/>
        </w:rPr>
        <w:t>附件</w:t>
      </w:r>
      <w:r>
        <w:rPr>
          <w:rFonts w:ascii="宋体" w:hAnsi="宋体" w:eastAsia="宋体" w:cs="宋体"/>
          <w:spacing w:val="-27"/>
          <w:sz w:val="20"/>
          <w:szCs w:val="20"/>
        </w:rPr>
        <w:t xml:space="preserve"> </w:t>
      </w:r>
      <w:r>
        <w:rPr>
          <w:rFonts w:ascii="宋体" w:hAnsi="宋体" w:eastAsia="宋体" w:cs="宋体"/>
          <w:spacing w:val="5"/>
          <w:sz w:val="20"/>
          <w:szCs w:val="20"/>
        </w:rPr>
        <w:t>9：预付款担保格式</w:t>
      </w:r>
    </w:p>
    <w:p w14:paraId="59E5BDF5">
      <w:pPr>
        <w:spacing w:before="222" w:line="227" w:lineRule="auto"/>
        <w:ind w:left="189"/>
        <w:rPr>
          <w:rFonts w:ascii="宋体" w:hAnsi="宋体" w:eastAsia="宋体" w:cs="宋体"/>
          <w:sz w:val="20"/>
          <w:szCs w:val="20"/>
        </w:rPr>
      </w:pPr>
      <w:r>
        <w:rPr>
          <w:rFonts w:ascii="宋体" w:hAnsi="宋体" w:eastAsia="宋体" w:cs="宋体"/>
          <w:spacing w:val="4"/>
          <w:sz w:val="20"/>
          <w:szCs w:val="20"/>
        </w:rPr>
        <w:t>附件</w:t>
      </w:r>
      <w:r>
        <w:rPr>
          <w:rFonts w:ascii="宋体" w:hAnsi="宋体" w:eastAsia="宋体" w:cs="宋体"/>
          <w:spacing w:val="-19"/>
          <w:sz w:val="20"/>
          <w:szCs w:val="20"/>
        </w:rPr>
        <w:t xml:space="preserve"> </w:t>
      </w:r>
      <w:r>
        <w:rPr>
          <w:rFonts w:ascii="宋体" w:hAnsi="宋体" w:eastAsia="宋体" w:cs="宋体"/>
          <w:spacing w:val="4"/>
          <w:sz w:val="20"/>
          <w:szCs w:val="20"/>
        </w:rPr>
        <w:t>10：支付担保格式</w:t>
      </w:r>
    </w:p>
    <w:p w14:paraId="41FD44AD">
      <w:pPr>
        <w:spacing w:before="223" w:line="226" w:lineRule="auto"/>
        <w:ind w:left="189"/>
        <w:rPr>
          <w:rFonts w:ascii="宋体" w:hAnsi="宋体" w:eastAsia="宋体" w:cs="宋体"/>
          <w:sz w:val="20"/>
          <w:szCs w:val="20"/>
        </w:rPr>
      </w:pPr>
      <w:r>
        <w:rPr>
          <w:rFonts w:ascii="宋体" w:hAnsi="宋体" w:eastAsia="宋体" w:cs="宋体"/>
          <w:spacing w:val="4"/>
          <w:sz w:val="20"/>
          <w:szCs w:val="20"/>
        </w:rPr>
        <w:t>附件</w:t>
      </w:r>
      <w:r>
        <w:rPr>
          <w:rFonts w:ascii="宋体" w:hAnsi="宋体" w:eastAsia="宋体" w:cs="宋体"/>
          <w:spacing w:val="-19"/>
          <w:sz w:val="20"/>
          <w:szCs w:val="20"/>
        </w:rPr>
        <w:t xml:space="preserve"> </w:t>
      </w:r>
      <w:r>
        <w:rPr>
          <w:rFonts w:ascii="宋体" w:hAnsi="宋体" w:eastAsia="宋体" w:cs="宋体"/>
          <w:spacing w:val="4"/>
          <w:sz w:val="20"/>
          <w:szCs w:val="20"/>
        </w:rPr>
        <w:t>11：暂估价一览表</w:t>
      </w:r>
    </w:p>
    <w:p w14:paraId="5316C191">
      <w:pPr>
        <w:spacing w:before="222" w:line="227" w:lineRule="auto"/>
        <w:ind w:left="189"/>
        <w:rPr>
          <w:rFonts w:ascii="宋体" w:hAnsi="宋体" w:eastAsia="宋体" w:cs="宋体"/>
          <w:sz w:val="20"/>
          <w:szCs w:val="20"/>
        </w:rPr>
      </w:pPr>
      <w:r>
        <w:rPr>
          <w:rFonts w:ascii="宋体" w:hAnsi="宋体" w:eastAsia="宋体" w:cs="宋体"/>
          <w:spacing w:val="4"/>
          <w:sz w:val="20"/>
          <w:szCs w:val="20"/>
        </w:rPr>
        <w:t>附件</w:t>
      </w:r>
      <w:r>
        <w:rPr>
          <w:rFonts w:ascii="宋体" w:hAnsi="宋体" w:eastAsia="宋体" w:cs="宋体"/>
          <w:spacing w:val="-11"/>
          <w:sz w:val="20"/>
          <w:szCs w:val="20"/>
        </w:rPr>
        <w:t xml:space="preserve"> </w:t>
      </w:r>
      <w:r>
        <w:rPr>
          <w:rFonts w:ascii="宋体" w:hAnsi="宋体" w:eastAsia="宋体" w:cs="宋体"/>
          <w:spacing w:val="4"/>
          <w:sz w:val="20"/>
          <w:szCs w:val="20"/>
        </w:rPr>
        <w:t>12：中标通知书（如有）</w:t>
      </w:r>
    </w:p>
    <w:p w14:paraId="2399C414">
      <w:pPr>
        <w:spacing w:line="227" w:lineRule="auto"/>
        <w:rPr>
          <w:rFonts w:ascii="宋体" w:hAnsi="宋体" w:eastAsia="宋体" w:cs="宋体"/>
          <w:sz w:val="20"/>
          <w:szCs w:val="20"/>
        </w:rPr>
        <w:sectPr>
          <w:footerReference r:id="rId421" w:type="default"/>
          <w:pgSz w:w="11906" w:h="16839"/>
          <w:pgMar w:top="400" w:right="1785" w:bottom="1446" w:left="1785" w:header="0" w:footer="1284" w:gutter="0"/>
          <w:cols w:space="720" w:num="1"/>
        </w:sectPr>
      </w:pPr>
    </w:p>
    <w:p w14:paraId="1E0EAF95">
      <w:pPr>
        <w:spacing w:line="246" w:lineRule="auto"/>
        <w:rPr>
          <w:rFonts w:ascii="Arial"/>
          <w:sz w:val="21"/>
        </w:rPr>
      </w:pPr>
    </w:p>
    <w:p w14:paraId="50E463E9">
      <w:pPr>
        <w:spacing w:line="246" w:lineRule="auto"/>
        <w:rPr>
          <w:rFonts w:ascii="Arial"/>
          <w:sz w:val="21"/>
        </w:rPr>
      </w:pPr>
    </w:p>
    <w:p w14:paraId="0D634263">
      <w:pPr>
        <w:spacing w:line="247" w:lineRule="auto"/>
        <w:rPr>
          <w:rFonts w:ascii="Arial"/>
          <w:sz w:val="21"/>
        </w:rPr>
      </w:pPr>
    </w:p>
    <w:p w14:paraId="1045F861">
      <w:pPr>
        <w:spacing w:line="247" w:lineRule="auto"/>
        <w:rPr>
          <w:rFonts w:ascii="Arial"/>
          <w:sz w:val="21"/>
        </w:rPr>
      </w:pPr>
    </w:p>
    <w:p w14:paraId="66A67554">
      <w:pPr>
        <w:spacing w:line="247" w:lineRule="auto"/>
        <w:rPr>
          <w:rFonts w:ascii="Arial"/>
          <w:sz w:val="21"/>
        </w:rPr>
      </w:pPr>
    </w:p>
    <w:p w14:paraId="608F7DFF">
      <w:pPr>
        <w:pStyle w:val="2"/>
        <w:spacing w:before="92" w:line="225" w:lineRule="auto"/>
        <w:ind w:left="97"/>
        <w:rPr>
          <w:sz w:val="28"/>
          <w:szCs w:val="28"/>
        </w:rPr>
      </w:pPr>
      <w:r>
        <w:rPr>
          <w:spacing w:val="-15"/>
          <w:sz w:val="28"/>
          <w:szCs w:val="28"/>
        </w:rPr>
        <w:t>附件</w:t>
      </w:r>
      <w:r>
        <w:rPr>
          <w:spacing w:val="-36"/>
          <w:sz w:val="28"/>
          <w:szCs w:val="28"/>
        </w:rPr>
        <w:t xml:space="preserve"> </w:t>
      </w:r>
      <w:r>
        <w:rPr>
          <w:rFonts w:ascii="Times New Roman" w:hAnsi="Times New Roman" w:eastAsia="Times New Roman" w:cs="Times New Roman"/>
          <w:spacing w:val="-15"/>
          <w:sz w:val="28"/>
          <w:szCs w:val="28"/>
        </w:rPr>
        <w:t>1</w:t>
      </w:r>
      <w:r>
        <w:rPr>
          <w:spacing w:val="-15"/>
          <w:sz w:val="28"/>
          <w:szCs w:val="28"/>
        </w:rPr>
        <w:t>：</w:t>
      </w:r>
    </w:p>
    <w:p w14:paraId="37D63954">
      <w:pPr>
        <w:spacing w:before="212" w:line="220" w:lineRule="auto"/>
        <w:ind w:left="4773"/>
        <w:rPr>
          <w:rFonts w:ascii="宋体" w:hAnsi="宋体" w:eastAsia="宋体" w:cs="宋体"/>
          <w:sz w:val="28"/>
          <w:szCs w:val="28"/>
        </w:rPr>
      </w:pPr>
      <w:r>
        <w:rPr>
          <w:rFonts w:ascii="宋体" w:hAnsi="宋体" w:eastAsia="宋体" w:cs="宋体"/>
          <w:b/>
          <w:bCs/>
          <w:spacing w:val="-3"/>
          <w:sz w:val="28"/>
          <w:szCs w:val="28"/>
        </w:rPr>
        <w:t>承包人承揽工程项目一览表</w:t>
      </w:r>
    </w:p>
    <w:p w14:paraId="67F85998">
      <w:pPr>
        <w:spacing w:before="89"/>
      </w:pPr>
    </w:p>
    <w:tbl>
      <w:tblPr>
        <w:tblStyle w:val="5"/>
        <w:tblW w:w="12873"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90"/>
        <w:gridCol w:w="1375"/>
        <w:gridCol w:w="1678"/>
        <w:gridCol w:w="1375"/>
        <w:gridCol w:w="770"/>
        <w:gridCol w:w="1375"/>
        <w:gridCol w:w="1981"/>
        <w:gridCol w:w="1375"/>
        <w:gridCol w:w="769"/>
        <w:gridCol w:w="785"/>
      </w:tblGrid>
      <w:tr w14:paraId="375E4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7" w:hRule="atLeast"/>
        </w:trPr>
        <w:tc>
          <w:tcPr>
            <w:tcW w:w="1390" w:type="dxa"/>
            <w:tcBorders>
              <w:top w:val="single" w:color="000000" w:sz="10" w:space="0"/>
              <w:left w:val="single" w:color="000000" w:sz="10" w:space="0"/>
            </w:tcBorders>
            <w:vAlign w:val="top"/>
          </w:tcPr>
          <w:p w14:paraId="4B400E3E">
            <w:pPr>
              <w:spacing w:before="116" w:line="230" w:lineRule="auto"/>
              <w:ind w:left="273"/>
              <w:rPr>
                <w:rFonts w:ascii="黑体" w:hAnsi="黑体" w:eastAsia="黑体" w:cs="黑体"/>
                <w:sz w:val="20"/>
                <w:szCs w:val="20"/>
              </w:rPr>
            </w:pPr>
            <w:r>
              <w:rPr>
                <w:rFonts w:ascii="黑体" w:hAnsi="黑体" w:eastAsia="黑体" w:cs="黑体"/>
                <w:spacing w:val="5"/>
                <w:sz w:val="20"/>
                <w:szCs w:val="20"/>
              </w:rPr>
              <w:t>单位工程</w:t>
            </w:r>
          </w:p>
          <w:p w14:paraId="418B4084">
            <w:pPr>
              <w:spacing w:before="72" w:line="230" w:lineRule="auto"/>
              <w:ind w:left="478"/>
              <w:rPr>
                <w:rFonts w:ascii="黑体" w:hAnsi="黑体" w:eastAsia="黑体" w:cs="黑体"/>
                <w:sz w:val="20"/>
                <w:szCs w:val="20"/>
              </w:rPr>
            </w:pPr>
            <w:r>
              <w:rPr>
                <w:rFonts w:ascii="黑体" w:hAnsi="黑体" w:eastAsia="黑体" w:cs="黑体"/>
                <w:spacing w:val="3"/>
                <w:sz w:val="20"/>
                <w:szCs w:val="20"/>
              </w:rPr>
              <w:t>名称</w:t>
            </w:r>
          </w:p>
        </w:tc>
        <w:tc>
          <w:tcPr>
            <w:tcW w:w="1375" w:type="dxa"/>
            <w:tcBorders>
              <w:top w:val="single" w:color="000000" w:sz="10" w:space="0"/>
            </w:tcBorders>
            <w:vAlign w:val="top"/>
          </w:tcPr>
          <w:p w14:paraId="2762DD58">
            <w:pPr>
              <w:spacing w:before="277" w:line="230" w:lineRule="auto"/>
              <w:ind w:left="262"/>
              <w:rPr>
                <w:rFonts w:ascii="黑体" w:hAnsi="黑体" w:eastAsia="黑体" w:cs="黑体"/>
                <w:sz w:val="20"/>
                <w:szCs w:val="20"/>
              </w:rPr>
            </w:pPr>
            <w:r>
              <w:rPr>
                <w:rFonts w:ascii="黑体" w:hAnsi="黑体" w:eastAsia="黑体" w:cs="黑体"/>
                <w:spacing w:val="7"/>
                <w:sz w:val="20"/>
                <w:szCs w:val="20"/>
              </w:rPr>
              <w:t>建设规模</w:t>
            </w:r>
          </w:p>
        </w:tc>
        <w:tc>
          <w:tcPr>
            <w:tcW w:w="1678" w:type="dxa"/>
            <w:tcBorders>
              <w:top w:val="single" w:color="000000" w:sz="10" w:space="0"/>
            </w:tcBorders>
            <w:vAlign w:val="top"/>
          </w:tcPr>
          <w:p w14:paraId="164438CD">
            <w:pPr>
              <w:spacing w:before="115" w:line="296" w:lineRule="auto"/>
              <w:ind w:left="329" w:right="342" w:firstLine="87"/>
              <w:rPr>
                <w:rFonts w:ascii="黑体" w:hAnsi="黑体" w:eastAsia="黑体" w:cs="黑体"/>
                <w:sz w:val="20"/>
                <w:szCs w:val="20"/>
              </w:rPr>
            </w:pPr>
            <w:r>
              <w:rPr>
                <w:rFonts w:ascii="黑体" w:hAnsi="黑体" w:eastAsia="黑体" w:cs="黑体"/>
                <w:spacing w:val="7"/>
                <w:sz w:val="20"/>
                <w:szCs w:val="20"/>
              </w:rPr>
              <w:t>建筑面积</w:t>
            </w:r>
            <w:r>
              <w:rPr>
                <w:rFonts w:ascii="黑体" w:hAnsi="黑体" w:eastAsia="黑体" w:cs="黑体"/>
                <w:spacing w:val="-1"/>
                <w:sz w:val="20"/>
                <w:szCs w:val="20"/>
              </w:rPr>
              <w:t>（平方米）</w:t>
            </w:r>
          </w:p>
        </w:tc>
        <w:tc>
          <w:tcPr>
            <w:tcW w:w="1375" w:type="dxa"/>
            <w:tcBorders>
              <w:top w:val="single" w:color="000000" w:sz="10" w:space="0"/>
            </w:tcBorders>
            <w:vAlign w:val="top"/>
          </w:tcPr>
          <w:p w14:paraId="20B464D7">
            <w:pPr>
              <w:spacing w:before="277" w:line="232" w:lineRule="auto"/>
              <w:ind w:left="266"/>
              <w:rPr>
                <w:rFonts w:ascii="黑体" w:hAnsi="黑体" w:eastAsia="黑体" w:cs="黑体"/>
                <w:sz w:val="20"/>
                <w:szCs w:val="20"/>
              </w:rPr>
            </w:pPr>
            <w:r>
              <w:rPr>
                <w:rFonts w:ascii="黑体" w:hAnsi="黑体" w:eastAsia="黑体" w:cs="黑体"/>
                <w:spacing w:val="7"/>
                <w:sz w:val="20"/>
                <w:szCs w:val="20"/>
              </w:rPr>
              <w:t>结构形式</w:t>
            </w:r>
          </w:p>
        </w:tc>
        <w:tc>
          <w:tcPr>
            <w:tcW w:w="770" w:type="dxa"/>
            <w:tcBorders>
              <w:top w:val="single" w:color="000000" w:sz="10" w:space="0"/>
            </w:tcBorders>
            <w:vAlign w:val="top"/>
          </w:tcPr>
          <w:p w14:paraId="709858B4">
            <w:pPr>
              <w:spacing w:before="277" w:line="229" w:lineRule="auto"/>
              <w:ind w:left="177"/>
              <w:rPr>
                <w:rFonts w:ascii="黑体" w:hAnsi="黑体" w:eastAsia="黑体" w:cs="黑体"/>
                <w:sz w:val="20"/>
                <w:szCs w:val="20"/>
              </w:rPr>
            </w:pPr>
            <w:r>
              <w:rPr>
                <w:rFonts w:ascii="黑体" w:hAnsi="黑体" w:eastAsia="黑体" w:cs="黑体"/>
                <w:spacing w:val="4"/>
                <w:sz w:val="20"/>
                <w:szCs w:val="20"/>
              </w:rPr>
              <w:t>层数</w:t>
            </w:r>
          </w:p>
        </w:tc>
        <w:tc>
          <w:tcPr>
            <w:tcW w:w="1375" w:type="dxa"/>
            <w:tcBorders>
              <w:top w:val="single" w:color="000000" w:sz="10" w:space="0"/>
            </w:tcBorders>
            <w:vAlign w:val="top"/>
          </w:tcPr>
          <w:p w14:paraId="6780AC3F">
            <w:pPr>
              <w:spacing w:before="277" w:line="230" w:lineRule="auto"/>
              <w:ind w:left="270"/>
              <w:rPr>
                <w:rFonts w:ascii="黑体" w:hAnsi="黑体" w:eastAsia="黑体" w:cs="黑体"/>
                <w:sz w:val="20"/>
                <w:szCs w:val="20"/>
              </w:rPr>
            </w:pPr>
            <w:r>
              <w:rPr>
                <w:rFonts w:ascii="黑体" w:hAnsi="黑体" w:eastAsia="黑体" w:cs="黑体"/>
                <w:spacing w:val="7"/>
                <w:sz w:val="20"/>
                <w:szCs w:val="20"/>
              </w:rPr>
              <w:t>生产能力</w:t>
            </w:r>
          </w:p>
        </w:tc>
        <w:tc>
          <w:tcPr>
            <w:tcW w:w="1981" w:type="dxa"/>
            <w:tcBorders>
              <w:top w:val="single" w:color="000000" w:sz="10" w:space="0"/>
            </w:tcBorders>
            <w:vAlign w:val="top"/>
          </w:tcPr>
          <w:p w14:paraId="7FDF53D1">
            <w:pPr>
              <w:spacing w:before="277" w:line="230" w:lineRule="auto"/>
              <w:ind w:left="369"/>
              <w:rPr>
                <w:rFonts w:ascii="黑体" w:hAnsi="黑体" w:eastAsia="黑体" w:cs="黑体"/>
                <w:sz w:val="20"/>
                <w:szCs w:val="20"/>
              </w:rPr>
            </w:pPr>
            <w:r>
              <w:rPr>
                <w:rFonts w:ascii="黑体" w:hAnsi="黑体" w:eastAsia="黑体" w:cs="黑体"/>
                <w:spacing w:val="8"/>
                <w:sz w:val="20"/>
                <w:szCs w:val="20"/>
              </w:rPr>
              <w:t>设备安装内容</w:t>
            </w:r>
          </w:p>
        </w:tc>
        <w:tc>
          <w:tcPr>
            <w:tcW w:w="1375" w:type="dxa"/>
            <w:tcBorders>
              <w:top w:val="single" w:color="000000" w:sz="10" w:space="0"/>
            </w:tcBorders>
            <w:vAlign w:val="top"/>
          </w:tcPr>
          <w:p w14:paraId="05932E9F">
            <w:pPr>
              <w:spacing w:before="115" w:line="296" w:lineRule="auto"/>
              <w:ind w:left="402" w:right="256" w:hanging="123"/>
              <w:rPr>
                <w:rFonts w:ascii="黑体" w:hAnsi="黑体" w:eastAsia="黑体" w:cs="黑体"/>
                <w:sz w:val="20"/>
                <w:szCs w:val="20"/>
              </w:rPr>
            </w:pPr>
            <w:r>
              <w:rPr>
                <w:rFonts w:ascii="黑体" w:hAnsi="黑体" w:eastAsia="黑体" w:cs="黑体"/>
                <w:spacing w:val="7"/>
                <w:sz w:val="20"/>
                <w:szCs w:val="20"/>
              </w:rPr>
              <w:t>合同价格</w:t>
            </w:r>
            <w:r>
              <w:rPr>
                <w:rFonts w:ascii="黑体" w:hAnsi="黑体" w:eastAsia="黑体" w:cs="黑体"/>
                <w:spacing w:val="-3"/>
                <w:sz w:val="20"/>
                <w:szCs w:val="20"/>
              </w:rPr>
              <w:t>（元）</w:t>
            </w:r>
          </w:p>
        </w:tc>
        <w:tc>
          <w:tcPr>
            <w:tcW w:w="769" w:type="dxa"/>
            <w:tcBorders>
              <w:top w:val="single" w:color="000000" w:sz="10" w:space="0"/>
            </w:tcBorders>
            <w:vAlign w:val="top"/>
          </w:tcPr>
          <w:p w14:paraId="3B46E962">
            <w:pPr>
              <w:spacing w:before="116" w:line="233" w:lineRule="auto"/>
              <w:ind w:left="191"/>
              <w:rPr>
                <w:rFonts w:ascii="黑体" w:hAnsi="黑体" w:eastAsia="黑体" w:cs="黑体"/>
                <w:sz w:val="20"/>
                <w:szCs w:val="20"/>
              </w:rPr>
            </w:pPr>
            <w:r>
              <w:rPr>
                <w:rFonts w:ascii="黑体" w:hAnsi="黑体" w:eastAsia="黑体" w:cs="黑体"/>
                <w:spacing w:val="3"/>
                <w:sz w:val="20"/>
                <w:szCs w:val="20"/>
              </w:rPr>
              <w:t>开工</w:t>
            </w:r>
          </w:p>
          <w:p w14:paraId="061150EF">
            <w:pPr>
              <w:spacing w:before="69" w:line="232" w:lineRule="auto"/>
              <w:ind w:left="220"/>
              <w:rPr>
                <w:rFonts w:ascii="黑体" w:hAnsi="黑体" w:eastAsia="黑体" w:cs="黑体"/>
                <w:sz w:val="20"/>
                <w:szCs w:val="20"/>
              </w:rPr>
            </w:pPr>
            <w:r>
              <w:rPr>
                <w:rFonts w:ascii="黑体" w:hAnsi="黑体" w:eastAsia="黑体" w:cs="黑体"/>
                <w:spacing w:val="-12"/>
                <w:sz w:val="20"/>
                <w:szCs w:val="20"/>
              </w:rPr>
              <w:t>日期</w:t>
            </w:r>
          </w:p>
        </w:tc>
        <w:tc>
          <w:tcPr>
            <w:tcW w:w="785" w:type="dxa"/>
            <w:tcBorders>
              <w:top w:val="single" w:color="000000" w:sz="10" w:space="0"/>
              <w:right w:val="single" w:color="000000" w:sz="10" w:space="0"/>
            </w:tcBorders>
            <w:vAlign w:val="top"/>
          </w:tcPr>
          <w:p w14:paraId="3D5F438C">
            <w:pPr>
              <w:spacing w:before="116" w:line="229" w:lineRule="auto"/>
              <w:ind w:left="190"/>
              <w:rPr>
                <w:rFonts w:ascii="黑体" w:hAnsi="黑体" w:eastAsia="黑体" w:cs="黑体"/>
                <w:sz w:val="20"/>
                <w:szCs w:val="20"/>
              </w:rPr>
            </w:pPr>
            <w:r>
              <w:rPr>
                <w:rFonts w:ascii="黑体" w:hAnsi="黑体" w:eastAsia="黑体" w:cs="黑体"/>
                <w:spacing w:val="5"/>
                <w:sz w:val="20"/>
                <w:szCs w:val="20"/>
              </w:rPr>
              <w:t>竣工</w:t>
            </w:r>
          </w:p>
          <w:p w14:paraId="1C1B9E69">
            <w:pPr>
              <w:spacing w:before="73" w:line="232" w:lineRule="auto"/>
              <w:ind w:left="224"/>
              <w:rPr>
                <w:rFonts w:ascii="黑体" w:hAnsi="黑体" w:eastAsia="黑体" w:cs="黑体"/>
                <w:sz w:val="20"/>
                <w:szCs w:val="20"/>
              </w:rPr>
            </w:pPr>
            <w:r>
              <w:rPr>
                <w:rFonts w:ascii="黑体" w:hAnsi="黑体" w:eastAsia="黑体" w:cs="黑体"/>
                <w:spacing w:val="-12"/>
                <w:sz w:val="20"/>
                <w:szCs w:val="20"/>
              </w:rPr>
              <w:t>日期</w:t>
            </w:r>
          </w:p>
        </w:tc>
      </w:tr>
      <w:tr w14:paraId="76CAC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390" w:type="dxa"/>
            <w:tcBorders>
              <w:left w:val="single" w:color="000000" w:sz="10" w:space="0"/>
            </w:tcBorders>
            <w:vAlign w:val="top"/>
          </w:tcPr>
          <w:p w14:paraId="24E04A3C">
            <w:pPr>
              <w:rPr>
                <w:rFonts w:ascii="Arial"/>
                <w:sz w:val="21"/>
              </w:rPr>
            </w:pPr>
          </w:p>
        </w:tc>
        <w:tc>
          <w:tcPr>
            <w:tcW w:w="1375" w:type="dxa"/>
            <w:vAlign w:val="top"/>
          </w:tcPr>
          <w:p w14:paraId="48D1E013">
            <w:pPr>
              <w:rPr>
                <w:rFonts w:ascii="Arial"/>
                <w:sz w:val="21"/>
              </w:rPr>
            </w:pPr>
          </w:p>
        </w:tc>
        <w:tc>
          <w:tcPr>
            <w:tcW w:w="1678" w:type="dxa"/>
            <w:vAlign w:val="top"/>
          </w:tcPr>
          <w:p w14:paraId="7D48E6E6">
            <w:pPr>
              <w:rPr>
                <w:rFonts w:ascii="Arial"/>
                <w:sz w:val="21"/>
              </w:rPr>
            </w:pPr>
          </w:p>
        </w:tc>
        <w:tc>
          <w:tcPr>
            <w:tcW w:w="1375" w:type="dxa"/>
            <w:vAlign w:val="top"/>
          </w:tcPr>
          <w:p w14:paraId="2DB4D831">
            <w:pPr>
              <w:rPr>
                <w:rFonts w:ascii="Arial"/>
                <w:sz w:val="21"/>
              </w:rPr>
            </w:pPr>
          </w:p>
        </w:tc>
        <w:tc>
          <w:tcPr>
            <w:tcW w:w="770" w:type="dxa"/>
            <w:vAlign w:val="top"/>
          </w:tcPr>
          <w:p w14:paraId="54B14660">
            <w:pPr>
              <w:rPr>
                <w:rFonts w:ascii="Arial"/>
                <w:sz w:val="21"/>
              </w:rPr>
            </w:pPr>
          </w:p>
        </w:tc>
        <w:tc>
          <w:tcPr>
            <w:tcW w:w="1375" w:type="dxa"/>
            <w:vAlign w:val="top"/>
          </w:tcPr>
          <w:p w14:paraId="57A0FC51">
            <w:pPr>
              <w:rPr>
                <w:rFonts w:ascii="Arial"/>
                <w:sz w:val="21"/>
              </w:rPr>
            </w:pPr>
          </w:p>
        </w:tc>
        <w:tc>
          <w:tcPr>
            <w:tcW w:w="1981" w:type="dxa"/>
            <w:vAlign w:val="top"/>
          </w:tcPr>
          <w:p w14:paraId="4457CAB1">
            <w:pPr>
              <w:rPr>
                <w:rFonts w:ascii="Arial"/>
                <w:sz w:val="21"/>
              </w:rPr>
            </w:pPr>
          </w:p>
        </w:tc>
        <w:tc>
          <w:tcPr>
            <w:tcW w:w="1375" w:type="dxa"/>
            <w:vAlign w:val="top"/>
          </w:tcPr>
          <w:p w14:paraId="028A72EA">
            <w:pPr>
              <w:rPr>
                <w:rFonts w:ascii="Arial"/>
                <w:sz w:val="21"/>
              </w:rPr>
            </w:pPr>
          </w:p>
        </w:tc>
        <w:tc>
          <w:tcPr>
            <w:tcW w:w="769" w:type="dxa"/>
            <w:vAlign w:val="top"/>
          </w:tcPr>
          <w:p w14:paraId="3F707959">
            <w:pPr>
              <w:rPr>
                <w:rFonts w:ascii="Arial"/>
                <w:sz w:val="21"/>
              </w:rPr>
            </w:pPr>
          </w:p>
        </w:tc>
        <w:tc>
          <w:tcPr>
            <w:tcW w:w="785" w:type="dxa"/>
            <w:tcBorders>
              <w:right w:val="single" w:color="000000" w:sz="10" w:space="0"/>
            </w:tcBorders>
            <w:vAlign w:val="top"/>
          </w:tcPr>
          <w:p w14:paraId="7B7583FF">
            <w:pPr>
              <w:rPr>
                <w:rFonts w:ascii="Arial"/>
                <w:sz w:val="21"/>
              </w:rPr>
            </w:pPr>
          </w:p>
        </w:tc>
      </w:tr>
      <w:tr w14:paraId="2020B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1390" w:type="dxa"/>
            <w:tcBorders>
              <w:left w:val="single" w:color="000000" w:sz="10" w:space="0"/>
            </w:tcBorders>
            <w:vAlign w:val="top"/>
          </w:tcPr>
          <w:p w14:paraId="3CFA0C02">
            <w:pPr>
              <w:rPr>
                <w:rFonts w:ascii="Arial"/>
                <w:sz w:val="21"/>
              </w:rPr>
            </w:pPr>
          </w:p>
        </w:tc>
        <w:tc>
          <w:tcPr>
            <w:tcW w:w="1375" w:type="dxa"/>
            <w:vAlign w:val="top"/>
          </w:tcPr>
          <w:p w14:paraId="15F11A6C">
            <w:pPr>
              <w:rPr>
                <w:rFonts w:ascii="Arial"/>
                <w:sz w:val="21"/>
              </w:rPr>
            </w:pPr>
          </w:p>
        </w:tc>
        <w:tc>
          <w:tcPr>
            <w:tcW w:w="1678" w:type="dxa"/>
            <w:vAlign w:val="top"/>
          </w:tcPr>
          <w:p w14:paraId="28BEDCE5">
            <w:pPr>
              <w:rPr>
                <w:rFonts w:ascii="Arial"/>
                <w:sz w:val="21"/>
              </w:rPr>
            </w:pPr>
          </w:p>
        </w:tc>
        <w:tc>
          <w:tcPr>
            <w:tcW w:w="1375" w:type="dxa"/>
            <w:vAlign w:val="top"/>
          </w:tcPr>
          <w:p w14:paraId="39DE7914">
            <w:pPr>
              <w:rPr>
                <w:rFonts w:ascii="Arial"/>
                <w:sz w:val="21"/>
              </w:rPr>
            </w:pPr>
          </w:p>
        </w:tc>
        <w:tc>
          <w:tcPr>
            <w:tcW w:w="770" w:type="dxa"/>
            <w:vAlign w:val="top"/>
          </w:tcPr>
          <w:p w14:paraId="0F873570">
            <w:pPr>
              <w:rPr>
                <w:rFonts w:ascii="Arial"/>
                <w:sz w:val="21"/>
              </w:rPr>
            </w:pPr>
          </w:p>
        </w:tc>
        <w:tc>
          <w:tcPr>
            <w:tcW w:w="1375" w:type="dxa"/>
            <w:vAlign w:val="top"/>
          </w:tcPr>
          <w:p w14:paraId="695480F0">
            <w:pPr>
              <w:rPr>
                <w:rFonts w:ascii="Arial"/>
                <w:sz w:val="21"/>
              </w:rPr>
            </w:pPr>
          </w:p>
        </w:tc>
        <w:tc>
          <w:tcPr>
            <w:tcW w:w="1981" w:type="dxa"/>
            <w:vAlign w:val="top"/>
          </w:tcPr>
          <w:p w14:paraId="2629943A">
            <w:pPr>
              <w:rPr>
                <w:rFonts w:ascii="Arial"/>
                <w:sz w:val="21"/>
              </w:rPr>
            </w:pPr>
          </w:p>
        </w:tc>
        <w:tc>
          <w:tcPr>
            <w:tcW w:w="1375" w:type="dxa"/>
            <w:vAlign w:val="top"/>
          </w:tcPr>
          <w:p w14:paraId="01F540DD">
            <w:pPr>
              <w:rPr>
                <w:rFonts w:ascii="Arial"/>
                <w:sz w:val="21"/>
              </w:rPr>
            </w:pPr>
          </w:p>
        </w:tc>
        <w:tc>
          <w:tcPr>
            <w:tcW w:w="769" w:type="dxa"/>
            <w:vAlign w:val="top"/>
          </w:tcPr>
          <w:p w14:paraId="29686005">
            <w:pPr>
              <w:rPr>
                <w:rFonts w:ascii="Arial"/>
                <w:sz w:val="21"/>
              </w:rPr>
            </w:pPr>
          </w:p>
        </w:tc>
        <w:tc>
          <w:tcPr>
            <w:tcW w:w="785" w:type="dxa"/>
            <w:tcBorders>
              <w:right w:val="single" w:color="000000" w:sz="10" w:space="0"/>
            </w:tcBorders>
            <w:vAlign w:val="top"/>
          </w:tcPr>
          <w:p w14:paraId="748165A7">
            <w:pPr>
              <w:rPr>
                <w:rFonts w:ascii="Arial"/>
                <w:sz w:val="21"/>
              </w:rPr>
            </w:pPr>
          </w:p>
        </w:tc>
      </w:tr>
      <w:tr w14:paraId="12D59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1390" w:type="dxa"/>
            <w:tcBorders>
              <w:left w:val="single" w:color="000000" w:sz="10" w:space="0"/>
            </w:tcBorders>
            <w:vAlign w:val="top"/>
          </w:tcPr>
          <w:p w14:paraId="3ACD05BC">
            <w:pPr>
              <w:rPr>
                <w:rFonts w:ascii="Arial"/>
                <w:sz w:val="21"/>
              </w:rPr>
            </w:pPr>
          </w:p>
        </w:tc>
        <w:tc>
          <w:tcPr>
            <w:tcW w:w="1375" w:type="dxa"/>
            <w:vAlign w:val="top"/>
          </w:tcPr>
          <w:p w14:paraId="292959CC">
            <w:pPr>
              <w:rPr>
                <w:rFonts w:ascii="Arial"/>
                <w:sz w:val="21"/>
              </w:rPr>
            </w:pPr>
          </w:p>
        </w:tc>
        <w:tc>
          <w:tcPr>
            <w:tcW w:w="1678" w:type="dxa"/>
            <w:vAlign w:val="top"/>
          </w:tcPr>
          <w:p w14:paraId="2A61F283">
            <w:pPr>
              <w:rPr>
                <w:rFonts w:ascii="Arial"/>
                <w:sz w:val="21"/>
              </w:rPr>
            </w:pPr>
          </w:p>
        </w:tc>
        <w:tc>
          <w:tcPr>
            <w:tcW w:w="1375" w:type="dxa"/>
            <w:vAlign w:val="top"/>
          </w:tcPr>
          <w:p w14:paraId="43997E46">
            <w:pPr>
              <w:rPr>
                <w:rFonts w:ascii="Arial"/>
                <w:sz w:val="21"/>
              </w:rPr>
            </w:pPr>
          </w:p>
        </w:tc>
        <w:tc>
          <w:tcPr>
            <w:tcW w:w="770" w:type="dxa"/>
            <w:vAlign w:val="top"/>
          </w:tcPr>
          <w:p w14:paraId="6FEDA6D9">
            <w:pPr>
              <w:rPr>
                <w:rFonts w:ascii="Arial"/>
                <w:sz w:val="21"/>
              </w:rPr>
            </w:pPr>
          </w:p>
        </w:tc>
        <w:tc>
          <w:tcPr>
            <w:tcW w:w="1375" w:type="dxa"/>
            <w:vAlign w:val="top"/>
          </w:tcPr>
          <w:p w14:paraId="578A83AC">
            <w:pPr>
              <w:rPr>
                <w:rFonts w:ascii="Arial"/>
                <w:sz w:val="21"/>
              </w:rPr>
            </w:pPr>
          </w:p>
        </w:tc>
        <w:tc>
          <w:tcPr>
            <w:tcW w:w="1981" w:type="dxa"/>
            <w:vAlign w:val="top"/>
          </w:tcPr>
          <w:p w14:paraId="2C75E9AD">
            <w:pPr>
              <w:rPr>
                <w:rFonts w:ascii="Arial"/>
                <w:sz w:val="21"/>
              </w:rPr>
            </w:pPr>
          </w:p>
        </w:tc>
        <w:tc>
          <w:tcPr>
            <w:tcW w:w="1375" w:type="dxa"/>
            <w:vAlign w:val="top"/>
          </w:tcPr>
          <w:p w14:paraId="68AAE818">
            <w:pPr>
              <w:rPr>
                <w:rFonts w:ascii="Arial"/>
                <w:sz w:val="21"/>
              </w:rPr>
            </w:pPr>
          </w:p>
        </w:tc>
        <w:tc>
          <w:tcPr>
            <w:tcW w:w="769" w:type="dxa"/>
            <w:vAlign w:val="top"/>
          </w:tcPr>
          <w:p w14:paraId="13FC4CEA">
            <w:pPr>
              <w:rPr>
                <w:rFonts w:ascii="Arial"/>
                <w:sz w:val="21"/>
              </w:rPr>
            </w:pPr>
          </w:p>
        </w:tc>
        <w:tc>
          <w:tcPr>
            <w:tcW w:w="785" w:type="dxa"/>
            <w:tcBorders>
              <w:right w:val="single" w:color="000000" w:sz="10" w:space="0"/>
            </w:tcBorders>
            <w:vAlign w:val="top"/>
          </w:tcPr>
          <w:p w14:paraId="322D148E">
            <w:pPr>
              <w:rPr>
                <w:rFonts w:ascii="Arial"/>
                <w:sz w:val="21"/>
              </w:rPr>
            </w:pPr>
          </w:p>
        </w:tc>
      </w:tr>
      <w:tr w14:paraId="48790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390" w:type="dxa"/>
            <w:tcBorders>
              <w:left w:val="single" w:color="000000" w:sz="10" w:space="0"/>
            </w:tcBorders>
            <w:vAlign w:val="top"/>
          </w:tcPr>
          <w:p w14:paraId="425248D1">
            <w:pPr>
              <w:rPr>
                <w:rFonts w:ascii="Arial"/>
                <w:sz w:val="21"/>
              </w:rPr>
            </w:pPr>
          </w:p>
        </w:tc>
        <w:tc>
          <w:tcPr>
            <w:tcW w:w="1375" w:type="dxa"/>
            <w:vAlign w:val="top"/>
          </w:tcPr>
          <w:p w14:paraId="04CD854D">
            <w:pPr>
              <w:rPr>
                <w:rFonts w:ascii="Arial"/>
                <w:sz w:val="21"/>
              </w:rPr>
            </w:pPr>
          </w:p>
        </w:tc>
        <w:tc>
          <w:tcPr>
            <w:tcW w:w="1678" w:type="dxa"/>
            <w:vAlign w:val="top"/>
          </w:tcPr>
          <w:p w14:paraId="3A1D7C58">
            <w:pPr>
              <w:rPr>
                <w:rFonts w:ascii="Arial"/>
                <w:sz w:val="21"/>
              </w:rPr>
            </w:pPr>
          </w:p>
        </w:tc>
        <w:tc>
          <w:tcPr>
            <w:tcW w:w="1375" w:type="dxa"/>
            <w:vAlign w:val="top"/>
          </w:tcPr>
          <w:p w14:paraId="054A152B">
            <w:pPr>
              <w:rPr>
                <w:rFonts w:ascii="Arial"/>
                <w:sz w:val="21"/>
              </w:rPr>
            </w:pPr>
          </w:p>
        </w:tc>
        <w:tc>
          <w:tcPr>
            <w:tcW w:w="770" w:type="dxa"/>
            <w:vAlign w:val="top"/>
          </w:tcPr>
          <w:p w14:paraId="34B4EBAC">
            <w:pPr>
              <w:rPr>
                <w:rFonts w:ascii="Arial"/>
                <w:sz w:val="21"/>
              </w:rPr>
            </w:pPr>
          </w:p>
        </w:tc>
        <w:tc>
          <w:tcPr>
            <w:tcW w:w="1375" w:type="dxa"/>
            <w:vAlign w:val="top"/>
          </w:tcPr>
          <w:p w14:paraId="051FDA7E">
            <w:pPr>
              <w:rPr>
                <w:rFonts w:ascii="Arial"/>
                <w:sz w:val="21"/>
              </w:rPr>
            </w:pPr>
          </w:p>
        </w:tc>
        <w:tc>
          <w:tcPr>
            <w:tcW w:w="1981" w:type="dxa"/>
            <w:vAlign w:val="top"/>
          </w:tcPr>
          <w:p w14:paraId="08B6F475">
            <w:pPr>
              <w:rPr>
                <w:rFonts w:ascii="Arial"/>
                <w:sz w:val="21"/>
              </w:rPr>
            </w:pPr>
          </w:p>
        </w:tc>
        <w:tc>
          <w:tcPr>
            <w:tcW w:w="1375" w:type="dxa"/>
            <w:vAlign w:val="top"/>
          </w:tcPr>
          <w:p w14:paraId="4C0EC544">
            <w:pPr>
              <w:rPr>
                <w:rFonts w:ascii="Arial"/>
                <w:sz w:val="21"/>
              </w:rPr>
            </w:pPr>
          </w:p>
        </w:tc>
        <w:tc>
          <w:tcPr>
            <w:tcW w:w="769" w:type="dxa"/>
            <w:vAlign w:val="top"/>
          </w:tcPr>
          <w:p w14:paraId="2139A7A3">
            <w:pPr>
              <w:rPr>
                <w:rFonts w:ascii="Arial"/>
                <w:sz w:val="21"/>
              </w:rPr>
            </w:pPr>
          </w:p>
        </w:tc>
        <w:tc>
          <w:tcPr>
            <w:tcW w:w="785" w:type="dxa"/>
            <w:tcBorders>
              <w:right w:val="single" w:color="000000" w:sz="10" w:space="0"/>
            </w:tcBorders>
            <w:vAlign w:val="top"/>
          </w:tcPr>
          <w:p w14:paraId="5624AD77">
            <w:pPr>
              <w:rPr>
                <w:rFonts w:ascii="Arial"/>
                <w:sz w:val="21"/>
              </w:rPr>
            </w:pPr>
          </w:p>
        </w:tc>
      </w:tr>
      <w:tr w14:paraId="2EC47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1390" w:type="dxa"/>
            <w:tcBorders>
              <w:left w:val="single" w:color="000000" w:sz="10" w:space="0"/>
            </w:tcBorders>
            <w:vAlign w:val="top"/>
          </w:tcPr>
          <w:p w14:paraId="4E12FB21">
            <w:pPr>
              <w:rPr>
                <w:rFonts w:ascii="Arial"/>
                <w:sz w:val="21"/>
              </w:rPr>
            </w:pPr>
          </w:p>
        </w:tc>
        <w:tc>
          <w:tcPr>
            <w:tcW w:w="1375" w:type="dxa"/>
            <w:vAlign w:val="top"/>
          </w:tcPr>
          <w:p w14:paraId="32E0E228">
            <w:pPr>
              <w:rPr>
                <w:rFonts w:ascii="Arial"/>
                <w:sz w:val="21"/>
              </w:rPr>
            </w:pPr>
          </w:p>
        </w:tc>
        <w:tc>
          <w:tcPr>
            <w:tcW w:w="1678" w:type="dxa"/>
            <w:vAlign w:val="top"/>
          </w:tcPr>
          <w:p w14:paraId="1D2A32DA">
            <w:pPr>
              <w:rPr>
                <w:rFonts w:ascii="Arial"/>
                <w:sz w:val="21"/>
              </w:rPr>
            </w:pPr>
          </w:p>
        </w:tc>
        <w:tc>
          <w:tcPr>
            <w:tcW w:w="1375" w:type="dxa"/>
            <w:vAlign w:val="top"/>
          </w:tcPr>
          <w:p w14:paraId="05AAAA14">
            <w:pPr>
              <w:rPr>
                <w:rFonts w:ascii="Arial"/>
                <w:sz w:val="21"/>
              </w:rPr>
            </w:pPr>
          </w:p>
        </w:tc>
        <w:tc>
          <w:tcPr>
            <w:tcW w:w="770" w:type="dxa"/>
            <w:vAlign w:val="top"/>
          </w:tcPr>
          <w:p w14:paraId="2A6F5889">
            <w:pPr>
              <w:rPr>
                <w:rFonts w:ascii="Arial"/>
                <w:sz w:val="21"/>
              </w:rPr>
            </w:pPr>
          </w:p>
        </w:tc>
        <w:tc>
          <w:tcPr>
            <w:tcW w:w="1375" w:type="dxa"/>
            <w:vAlign w:val="top"/>
          </w:tcPr>
          <w:p w14:paraId="14BC4CFD">
            <w:pPr>
              <w:rPr>
                <w:rFonts w:ascii="Arial"/>
                <w:sz w:val="21"/>
              </w:rPr>
            </w:pPr>
          </w:p>
        </w:tc>
        <w:tc>
          <w:tcPr>
            <w:tcW w:w="1981" w:type="dxa"/>
            <w:vAlign w:val="top"/>
          </w:tcPr>
          <w:p w14:paraId="304012CF">
            <w:pPr>
              <w:rPr>
                <w:rFonts w:ascii="Arial"/>
                <w:sz w:val="21"/>
              </w:rPr>
            </w:pPr>
          </w:p>
        </w:tc>
        <w:tc>
          <w:tcPr>
            <w:tcW w:w="1375" w:type="dxa"/>
            <w:vAlign w:val="top"/>
          </w:tcPr>
          <w:p w14:paraId="16019C12">
            <w:pPr>
              <w:rPr>
                <w:rFonts w:ascii="Arial"/>
                <w:sz w:val="21"/>
              </w:rPr>
            </w:pPr>
          </w:p>
        </w:tc>
        <w:tc>
          <w:tcPr>
            <w:tcW w:w="769" w:type="dxa"/>
            <w:vAlign w:val="top"/>
          </w:tcPr>
          <w:p w14:paraId="0ACE899E">
            <w:pPr>
              <w:rPr>
                <w:rFonts w:ascii="Arial"/>
                <w:sz w:val="21"/>
              </w:rPr>
            </w:pPr>
          </w:p>
        </w:tc>
        <w:tc>
          <w:tcPr>
            <w:tcW w:w="785" w:type="dxa"/>
            <w:tcBorders>
              <w:right w:val="single" w:color="000000" w:sz="10" w:space="0"/>
            </w:tcBorders>
            <w:vAlign w:val="top"/>
          </w:tcPr>
          <w:p w14:paraId="1DEB2280">
            <w:pPr>
              <w:rPr>
                <w:rFonts w:ascii="Arial"/>
                <w:sz w:val="21"/>
              </w:rPr>
            </w:pPr>
          </w:p>
        </w:tc>
      </w:tr>
      <w:tr w14:paraId="6600B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390" w:type="dxa"/>
            <w:tcBorders>
              <w:left w:val="single" w:color="000000" w:sz="10" w:space="0"/>
            </w:tcBorders>
            <w:vAlign w:val="top"/>
          </w:tcPr>
          <w:p w14:paraId="359FA9C0">
            <w:pPr>
              <w:rPr>
                <w:rFonts w:ascii="Arial"/>
                <w:sz w:val="21"/>
              </w:rPr>
            </w:pPr>
          </w:p>
        </w:tc>
        <w:tc>
          <w:tcPr>
            <w:tcW w:w="1375" w:type="dxa"/>
            <w:vAlign w:val="top"/>
          </w:tcPr>
          <w:p w14:paraId="36BDBD5D">
            <w:pPr>
              <w:rPr>
                <w:rFonts w:ascii="Arial"/>
                <w:sz w:val="21"/>
              </w:rPr>
            </w:pPr>
          </w:p>
        </w:tc>
        <w:tc>
          <w:tcPr>
            <w:tcW w:w="1678" w:type="dxa"/>
            <w:vAlign w:val="top"/>
          </w:tcPr>
          <w:p w14:paraId="72DBD6F8">
            <w:pPr>
              <w:rPr>
                <w:rFonts w:ascii="Arial"/>
                <w:sz w:val="21"/>
              </w:rPr>
            </w:pPr>
          </w:p>
        </w:tc>
        <w:tc>
          <w:tcPr>
            <w:tcW w:w="1375" w:type="dxa"/>
            <w:vAlign w:val="top"/>
          </w:tcPr>
          <w:p w14:paraId="014555C2">
            <w:pPr>
              <w:rPr>
                <w:rFonts w:ascii="Arial"/>
                <w:sz w:val="21"/>
              </w:rPr>
            </w:pPr>
          </w:p>
        </w:tc>
        <w:tc>
          <w:tcPr>
            <w:tcW w:w="770" w:type="dxa"/>
            <w:vAlign w:val="top"/>
          </w:tcPr>
          <w:p w14:paraId="7D6FC33E">
            <w:pPr>
              <w:rPr>
                <w:rFonts w:ascii="Arial"/>
                <w:sz w:val="21"/>
              </w:rPr>
            </w:pPr>
          </w:p>
        </w:tc>
        <w:tc>
          <w:tcPr>
            <w:tcW w:w="1375" w:type="dxa"/>
            <w:vAlign w:val="top"/>
          </w:tcPr>
          <w:p w14:paraId="5BC5EC77">
            <w:pPr>
              <w:rPr>
                <w:rFonts w:ascii="Arial"/>
                <w:sz w:val="21"/>
              </w:rPr>
            </w:pPr>
          </w:p>
        </w:tc>
        <w:tc>
          <w:tcPr>
            <w:tcW w:w="1981" w:type="dxa"/>
            <w:vAlign w:val="top"/>
          </w:tcPr>
          <w:p w14:paraId="6D52F82A">
            <w:pPr>
              <w:rPr>
                <w:rFonts w:ascii="Arial"/>
                <w:sz w:val="21"/>
              </w:rPr>
            </w:pPr>
          </w:p>
        </w:tc>
        <w:tc>
          <w:tcPr>
            <w:tcW w:w="1375" w:type="dxa"/>
            <w:vAlign w:val="top"/>
          </w:tcPr>
          <w:p w14:paraId="1C59DB47">
            <w:pPr>
              <w:rPr>
                <w:rFonts w:ascii="Arial"/>
                <w:sz w:val="21"/>
              </w:rPr>
            </w:pPr>
          </w:p>
        </w:tc>
        <w:tc>
          <w:tcPr>
            <w:tcW w:w="769" w:type="dxa"/>
            <w:vAlign w:val="top"/>
          </w:tcPr>
          <w:p w14:paraId="3CFD8B68">
            <w:pPr>
              <w:rPr>
                <w:rFonts w:ascii="Arial"/>
                <w:sz w:val="21"/>
              </w:rPr>
            </w:pPr>
          </w:p>
        </w:tc>
        <w:tc>
          <w:tcPr>
            <w:tcW w:w="785" w:type="dxa"/>
            <w:tcBorders>
              <w:right w:val="single" w:color="000000" w:sz="10" w:space="0"/>
            </w:tcBorders>
            <w:vAlign w:val="top"/>
          </w:tcPr>
          <w:p w14:paraId="5BEF1669">
            <w:pPr>
              <w:rPr>
                <w:rFonts w:ascii="Arial"/>
                <w:sz w:val="21"/>
              </w:rPr>
            </w:pPr>
          </w:p>
        </w:tc>
      </w:tr>
      <w:tr w14:paraId="7804B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1390" w:type="dxa"/>
            <w:tcBorders>
              <w:left w:val="single" w:color="000000" w:sz="10" w:space="0"/>
            </w:tcBorders>
            <w:vAlign w:val="top"/>
          </w:tcPr>
          <w:p w14:paraId="55540287">
            <w:pPr>
              <w:rPr>
                <w:rFonts w:ascii="Arial"/>
                <w:sz w:val="21"/>
              </w:rPr>
            </w:pPr>
          </w:p>
        </w:tc>
        <w:tc>
          <w:tcPr>
            <w:tcW w:w="1375" w:type="dxa"/>
            <w:vAlign w:val="top"/>
          </w:tcPr>
          <w:p w14:paraId="47991393">
            <w:pPr>
              <w:rPr>
                <w:rFonts w:ascii="Arial"/>
                <w:sz w:val="21"/>
              </w:rPr>
            </w:pPr>
          </w:p>
        </w:tc>
        <w:tc>
          <w:tcPr>
            <w:tcW w:w="1678" w:type="dxa"/>
            <w:vAlign w:val="top"/>
          </w:tcPr>
          <w:p w14:paraId="68E57624">
            <w:pPr>
              <w:rPr>
                <w:rFonts w:ascii="Arial"/>
                <w:sz w:val="21"/>
              </w:rPr>
            </w:pPr>
          </w:p>
        </w:tc>
        <w:tc>
          <w:tcPr>
            <w:tcW w:w="1375" w:type="dxa"/>
            <w:vAlign w:val="top"/>
          </w:tcPr>
          <w:p w14:paraId="1F34B0A7">
            <w:pPr>
              <w:rPr>
                <w:rFonts w:ascii="Arial"/>
                <w:sz w:val="21"/>
              </w:rPr>
            </w:pPr>
          </w:p>
        </w:tc>
        <w:tc>
          <w:tcPr>
            <w:tcW w:w="770" w:type="dxa"/>
            <w:vAlign w:val="top"/>
          </w:tcPr>
          <w:p w14:paraId="36908ADE">
            <w:pPr>
              <w:rPr>
                <w:rFonts w:ascii="Arial"/>
                <w:sz w:val="21"/>
              </w:rPr>
            </w:pPr>
          </w:p>
        </w:tc>
        <w:tc>
          <w:tcPr>
            <w:tcW w:w="1375" w:type="dxa"/>
            <w:vAlign w:val="top"/>
          </w:tcPr>
          <w:p w14:paraId="401AC036">
            <w:pPr>
              <w:rPr>
                <w:rFonts w:ascii="Arial"/>
                <w:sz w:val="21"/>
              </w:rPr>
            </w:pPr>
          </w:p>
        </w:tc>
        <w:tc>
          <w:tcPr>
            <w:tcW w:w="1981" w:type="dxa"/>
            <w:vAlign w:val="top"/>
          </w:tcPr>
          <w:p w14:paraId="54D63005">
            <w:pPr>
              <w:rPr>
                <w:rFonts w:ascii="Arial"/>
                <w:sz w:val="21"/>
              </w:rPr>
            </w:pPr>
          </w:p>
        </w:tc>
        <w:tc>
          <w:tcPr>
            <w:tcW w:w="1375" w:type="dxa"/>
            <w:vAlign w:val="top"/>
          </w:tcPr>
          <w:p w14:paraId="0178ED6A">
            <w:pPr>
              <w:rPr>
                <w:rFonts w:ascii="Arial"/>
                <w:sz w:val="21"/>
              </w:rPr>
            </w:pPr>
          </w:p>
        </w:tc>
        <w:tc>
          <w:tcPr>
            <w:tcW w:w="769" w:type="dxa"/>
            <w:vAlign w:val="top"/>
          </w:tcPr>
          <w:p w14:paraId="4EEB1E2B">
            <w:pPr>
              <w:rPr>
                <w:rFonts w:ascii="Arial"/>
                <w:sz w:val="21"/>
              </w:rPr>
            </w:pPr>
          </w:p>
        </w:tc>
        <w:tc>
          <w:tcPr>
            <w:tcW w:w="785" w:type="dxa"/>
            <w:tcBorders>
              <w:right w:val="single" w:color="000000" w:sz="10" w:space="0"/>
            </w:tcBorders>
            <w:vAlign w:val="top"/>
          </w:tcPr>
          <w:p w14:paraId="74A4FD77">
            <w:pPr>
              <w:rPr>
                <w:rFonts w:ascii="Arial"/>
                <w:sz w:val="21"/>
              </w:rPr>
            </w:pPr>
          </w:p>
        </w:tc>
      </w:tr>
      <w:tr w14:paraId="0A586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1390" w:type="dxa"/>
            <w:tcBorders>
              <w:left w:val="single" w:color="000000" w:sz="10" w:space="0"/>
            </w:tcBorders>
            <w:vAlign w:val="top"/>
          </w:tcPr>
          <w:p w14:paraId="3671AF81">
            <w:pPr>
              <w:rPr>
                <w:rFonts w:ascii="Arial"/>
                <w:sz w:val="21"/>
              </w:rPr>
            </w:pPr>
          </w:p>
        </w:tc>
        <w:tc>
          <w:tcPr>
            <w:tcW w:w="1375" w:type="dxa"/>
            <w:vAlign w:val="top"/>
          </w:tcPr>
          <w:p w14:paraId="780BE83F">
            <w:pPr>
              <w:rPr>
                <w:rFonts w:ascii="Arial"/>
                <w:sz w:val="21"/>
              </w:rPr>
            </w:pPr>
          </w:p>
        </w:tc>
        <w:tc>
          <w:tcPr>
            <w:tcW w:w="1678" w:type="dxa"/>
            <w:vAlign w:val="top"/>
          </w:tcPr>
          <w:p w14:paraId="460A5AE8">
            <w:pPr>
              <w:rPr>
                <w:rFonts w:ascii="Arial"/>
                <w:sz w:val="21"/>
              </w:rPr>
            </w:pPr>
          </w:p>
        </w:tc>
        <w:tc>
          <w:tcPr>
            <w:tcW w:w="1375" w:type="dxa"/>
            <w:vAlign w:val="top"/>
          </w:tcPr>
          <w:p w14:paraId="7094EEFA">
            <w:pPr>
              <w:rPr>
                <w:rFonts w:ascii="Arial"/>
                <w:sz w:val="21"/>
              </w:rPr>
            </w:pPr>
          </w:p>
        </w:tc>
        <w:tc>
          <w:tcPr>
            <w:tcW w:w="770" w:type="dxa"/>
            <w:vAlign w:val="top"/>
          </w:tcPr>
          <w:p w14:paraId="54CC8DC5">
            <w:pPr>
              <w:rPr>
                <w:rFonts w:ascii="Arial"/>
                <w:sz w:val="21"/>
              </w:rPr>
            </w:pPr>
          </w:p>
        </w:tc>
        <w:tc>
          <w:tcPr>
            <w:tcW w:w="1375" w:type="dxa"/>
            <w:vAlign w:val="top"/>
          </w:tcPr>
          <w:p w14:paraId="1F905B7A">
            <w:pPr>
              <w:rPr>
                <w:rFonts w:ascii="Arial"/>
                <w:sz w:val="21"/>
              </w:rPr>
            </w:pPr>
          </w:p>
        </w:tc>
        <w:tc>
          <w:tcPr>
            <w:tcW w:w="1981" w:type="dxa"/>
            <w:vAlign w:val="top"/>
          </w:tcPr>
          <w:p w14:paraId="644DC277">
            <w:pPr>
              <w:rPr>
                <w:rFonts w:ascii="Arial"/>
                <w:sz w:val="21"/>
              </w:rPr>
            </w:pPr>
          </w:p>
        </w:tc>
        <w:tc>
          <w:tcPr>
            <w:tcW w:w="1375" w:type="dxa"/>
            <w:vAlign w:val="top"/>
          </w:tcPr>
          <w:p w14:paraId="11C35069">
            <w:pPr>
              <w:rPr>
                <w:rFonts w:ascii="Arial"/>
                <w:sz w:val="21"/>
              </w:rPr>
            </w:pPr>
          </w:p>
        </w:tc>
        <w:tc>
          <w:tcPr>
            <w:tcW w:w="769" w:type="dxa"/>
            <w:vAlign w:val="top"/>
          </w:tcPr>
          <w:p w14:paraId="18C0038D">
            <w:pPr>
              <w:rPr>
                <w:rFonts w:ascii="Arial"/>
                <w:sz w:val="21"/>
              </w:rPr>
            </w:pPr>
          </w:p>
        </w:tc>
        <w:tc>
          <w:tcPr>
            <w:tcW w:w="785" w:type="dxa"/>
            <w:tcBorders>
              <w:right w:val="single" w:color="000000" w:sz="10" w:space="0"/>
            </w:tcBorders>
            <w:vAlign w:val="top"/>
          </w:tcPr>
          <w:p w14:paraId="2E0BBC27">
            <w:pPr>
              <w:rPr>
                <w:rFonts w:ascii="Arial"/>
                <w:sz w:val="21"/>
              </w:rPr>
            </w:pPr>
          </w:p>
        </w:tc>
      </w:tr>
      <w:tr w14:paraId="5385D3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390" w:type="dxa"/>
            <w:tcBorders>
              <w:left w:val="single" w:color="000000" w:sz="10" w:space="0"/>
            </w:tcBorders>
            <w:vAlign w:val="top"/>
          </w:tcPr>
          <w:p w14:paraId="04FBDE68">
            <w:pPr>
              <w:rPr>
                <w:rFonts w:ascii="Arial"/>
                <w:sz w:val="21"/>
              </w:rPr>
            </w:pPr>
          </w:p>
        </w:tc>
        <w:tc>
          <w:tcPr>
            <w:tcW w:w="1375" w:type="dxa"/>
            <w:vAlign w:val="top"/>
          </w:tcPr>
          <w:p w14:paraId="4DF5A09D">
            <w:pPr>
              <w:rPr>
                <w:rFonts w:ascii="Arial"/>
                <w:sz w:val="21"/>
              </w:rPr>
            </w:pPr>
          </w:p>
        </w:tc>
        <w:tc>
          <w:tcPr>
            <w:tcW w:w="1678" w:type="dxa"/>
            <w:vAlign w:val="top"/>
          </w:tcPr>
          <w:p w14:paraId="551C3899">
            <w:pPr>
              <w:rPr>
                <w:rFonts w:ascii="Arial"/>
                <w:sz w:val="21"/>
              </w:rPr>
            </w:pPr>
          </w:p>
        </w:tc>
        <w:tc>
          <w:tcPr>
            <w:tcW w:w="1375" w:type="dxa"/>
            <w:vAlign w:val="top"/>
          </w:tcPr>
          <w:p w14:paraId="5FAF74E6">
            <w:pPr>
              <w:rPr>
                <w:rFonts w:ascii="Arial"/>
                <w:sz w:val="21"/>
              </w:rPr>
            </w:pPr>
          </w:p>
        </w:tc>
        <w:tc>
          <w:tcPr>
            <w:tcW w:w="770" w:type="dxa"/>
            <w:vAlign w:val="top"/>
          </w:tcPr>
          <w:p w14:paraId="06B9B17A">
            <w:pPr>
              <w:rPr>
                <w:rFonts w:ascii="Arial"/>
                <w:sz w:val="21"/>
              </w:rPr>
            </w:pPr>
          </w:p>
        </w:tc>
        <w:tc>
          <w:tcPr>
            <w:tcW w:w="1375" w:type="dxa"/>
            <w:vAlign w:val="top"/>
          </w:tcPr>
          <w:p w14:paraId="00C3B2AC">
            <w:pPr>
              <w:rPr>
                <w:rFonts w:ascii="Arial"/>
                <w:sz w:val="21"/>
              </w:rPr>
            </w:pPr>
          </w:p>
        </w:tc>
        <w:tc>
          <w:tcPr>
            <w:tcW w:w="1981" w:type="dxa"/>
            <w:vAlign w:val="top"/>
          </w:tcPr>
          <w:p w14:paraId="296E8DB5">
            <w:pPr>
              <w:rPr>
                <w:rFonts w:ascii="Arial"/>
                <w:sz w:val="21"/>
              </w:rPr>
            </w:pPr>
          </w:p>
        </w:tc>
        <w:tc>
          <w:tcPr>
            <w:tcW w:w="1375" w:type="dxa"/>
            <w:vAlign w:val="top"/>
          </w:tcPr>
          <w:p w14:paraId="06E09BD0">
            <w:pPr>
              <w:rPr>
                <w:rFonts w:ascii="Arial"/>
                <w:sz w:val="21"/>
              </w:rPr>
            </w:pPr>
          </w:p>
        </w:tc>
        <w:tc>
          <w:tcPr>
            <w:tcW w:w="769" w:type="dxa"/>
            <w:vAlign w:val="top"/>
          </w:tcPr>
          <w:p w14:paraId="14C3F7A4">
            <w:pPr>
              <w:rPr>
                <w:rFonts w:ascii="Arial"/>
                <w:sz w:val="21"/>
              </w:rPr>
            </w:pPr>
          </w:p>
        </w:tc>
        <w:tc>
          <w:tcPr>
            <w:tcW w:w="785" w:type="dxa"/>
            <w:tcBorders>
              <w:right w:val="single" w:color="000000" w:sz="10" w:space="0"/>
            </w:tcBorders>
            <w:vAlign w:val="top"/>
          </w:tcPr>
          <w:p w14:paraId="7C9D60CF">
            <w:pPr>
              <w:rPr>
                <w:rFonts w:ascii="Arial"/>
                <w:sz w:val="21"/>
              </w:rPr>
            </w:pPr>
          </w:p>
        </w:tc>
      </w:tr>
      <w:tr w14:paraId="1D593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1390" w:type="dxa"/>
            <w:tcBorders>
              <w:left w:val="single" w:color="000000" w:sz="10" w:space="0"/>
            </w:tcBorders>
            <w:vAlign w:val="top"/>
          </w:tcPr>
          <w:p w14:paraId="43B0FBA0">
            <w:pPr>
              <w:rPr>
                <w:rFonts w:ascii="Arial"/>
                <w:sz w:val="21"/>
              </w:rPr>
            </w:pPr>
          </w:p>
        </w:tc>
        <w:tc>
          <w:tcPr>
            <w:tcW w:w="1375" w:type="dxa"/>
            <w:vAlign w:val="top"/>
          </w:tcPr>
          <w:p w14:paraId="620DC802">
            <w:pPr>
              <w:rPr>
                <w:rFonts w:ascii="Arial"/>
                <w:sz w:val="21"/>
              </w:rPr>
            </w:pPr>
          </w:p>
        </w:tc>
        <w:tc>
          <w:tcPr>
            <w:tcW w:w="1678" w:type="dxa"/>
            <w:vAlign w:val="top"/>
          </w:tcPr>
          <w:p w14:paraId="6A2369E6">
            <w:pPr>
              <w:rPr>
                <w:rFonts w:ascii="Arial"/>
                <w:sz w:val="21"/>
              </w:rPr>
            </w:pPr>
          </w:p>
        </w:tc>
        <w:tc>
          <w:tcPr>
            <w:tcW w:w="1375" w:type="dxa"/>
            <w:vAlign w:val="top"/>
          </w:tcPr>
          <w:p w14:paraId="561EA94E">
            <w:pPr>
              <w:rPr>
                <w:rFonts w:ascii="Arial"/>
                <w:sz w:val="21"/>
              </w:rPr>
            </w:pPr>
          </w:p>
        </w:tc>
        <w:tc>
          <w:tcPr>
            <w:tcW w:w="770" w:type="dxa"/>
            <w:vAlign w:val="top"/>
          </w:tcPr>
          <w:p w14:paraId="7EB1218E">
            <w:pPr>
              <w:rPr>
                <w:rFonts w:ascii="Arial"/>
                <w:sz w:val="21"/>
              </w:rPr>
            </w:pPr>
          </w:p>
        </w:tc>
        <w:tc>
          <w:tcPr>
            <w:tcW w:w="1375" w:type="dxa"/>
            <w:vAlign w:val="top"/>
          </w:tcPr>
          <w:p w14:paraId="17F6FFC0">
            <w:pPr>
              <w:rPr>
                <w:rFonts w:ascii="Arial"/>
                <w:sz w:val="21"/>
              </w:rPr>
            </w:pPr>
          </w:p>
        </w:tc>
        <w:tc>
          <w:tcPr>
            <w:tcW w:w="1981" w:type="dxa"/>
            <w:vAlign w:val="top"/>
          </w:tcPr>
          <w:p w14:paraId="36571760">
            <w:pPr>
              <w:rPr>
                <w:rFonts w:ascii="Arial"/>
                <w:sz w:val="21"/>
              </w:rPr>
            </w:pPr>
          </w:p>
        </w:tc>
        <w:tc>
          <w:tcPr>
            <w:tcW w:w="1375" w:type="dxa"/>
            <w:vAlign w:val="top"/>
          </w:tcPr>
          <w:p w14:paraId="2E3FEB2B">
            <w:pPr>
              <w:rPr>
                <w:rFonts w:ascii="Arial"/>
                <w:sz w:val="21"/>
              </w:rPr>
            </w:pPr>
          </w:p>
        </w:tc>
        <w:tc>
          <w:tcPr>
            <w:tcW w:w="769" w:type="dxa"/>
            <w:vAlign w:val="top"/>
          </w:tcPr>
          <w:p w14:paraId="3CD9E362">
            <w:pPr>
              <w:rPr>
                <w:rFonts w:ascii="Arial"/>
                <w:sz w:val="21"/>
              </w:rPr>
            </w:pPr>
          </w:p>
        </w:tc>
        <w:tc>
          <w:tcPr>
            <w:tcW w:w="785" w:type="dxa"/>
            <w:tcBorders>
              <w:right w:val="single" w:color="000000" w:sz="10" w:space="0"/>
            </w:tcBorders>
            <w:vAlign w:val="top"/>
          </w:tcPr>
          <w:p w14:paraId="6725A80F">
            <w:pPr>
              <w:rPr>
                <w:rFonts w:ascii="Arial"/>
                <w:sz w:val="21"/>
              </w:rPr>
            </w:pPr>
          </w:p>
        </w:tc>
      </w:tr>
      <w:tr w14:paraId="69890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390" w:type="dxa"/>
            <w:tcBorders>
              <w:left w:val="single" w:color="000000" w:sz="10" w:space="0"/>
              <w:bottom w:val="single" w:color="000000" w:sz="10" w:space="0"/>
            </w:tcBorders>
            <w:vAlign w:val="top"/>
          </w:tcPr>
          <w:p w14:paraId="4F0C534D">
            <w:pPr>
              <w:rPr>
                <w:rFonts w:ascii="Arial"/>
                <w:sz w:val="21"/>
              </w:rPr>
            </w:pPr>
          </w:p>
        </w:tc>
        <w:tc>
          <w:tcPr>
            <w:tcW w:w="1375" w:type="dxa"/>
            <w:tcBorders>
              <w:bottom w:val="single" w:color="000000" w:sz="10" w:space="0"/>
            </w:tcBorders>
            <w:vAlign w:val="top"/>
          </w:tcPr>
          <w:p w14:paraId="2CBEE4DB">
            <w:pPr>
              <w:rPr>
                <w:rFonts w:ascii="Arial"/>
                <w:sz w:val="21"/>
              </w:rPr>
            </w:pPr>
          </w:p>
        </w:tc>
        <w:tc>
          <w:tcPr>
            <w:tcW w:w="1678" w:type="dxa"/>
            <w:tcBorders>
              <w:bottom w:val="single" w:color="000000" w:sz="10" w:space="0"/>
            </w:tcBorders>
            <w:vAlign w:val="top"/>
          </w:tcPr>
          <w:p w14:paraId="1BF314A0">
            <w:pPr>
              <w:rPr>
                <w:rFonts w:ascii="Arial"/>
                <w:sz w:val="21"/>
              </w:rPr>
            </w:pPr>
          </w:p>
        </w:tc>
        <w:tc>
          <w:tcPr>
            <w:tcW w:w="1375" w:type="dxa"/>
            <w:tcBorders>
              <w:bottom w:val="single" w:color="000000" w:sz="10" w:space="0"/>
            </w:tcBorders>
            <w:vAlign w:val="top"/>
          </w:tcPr>
          <w:p w14:paraId="3E193EBE">
            <w:pPr>
              <w:rPr>
                <w:rFonts w:ascii="Arial"/>
                <w:sz w:val="21"/>
              </w:rPr>
            </w:pPr>
          </w:p>
        </w:tc>
        <w:tc>
          <w:tcPr>
            <w:tcW w:w="770" w:type="dxa"/>
            <w:tcBorders>
              <w:bottom w:val="single" w:color="000000" w:sz="10" w:space="0"/>
            </w:tcBorders>
            <w:vAlign w:val="top"/>
          </w:tcPr>
          <w:p w14:paraId="109DF519">
            <w:pPr>
              <w:rPr>
                <w:rFonts w:ascii="Arial"/>
                <w:sz w:val="21"/>
              </w:rPr>
            </w:pPr>
          </w:p>
        </w:tc>
        <w:tc>
          <w:tcPr>
            <w:tcW w:w="1375" w:type="dxa"/>
            <w:tcBorders>
              <w:bottom w:val="single" w:color="000000" w:sz="10" w:space="0"/>
            </w:tcBorders>
            <w:vAlign w:val="top"/>
          </w:tcPr>
          <w:p w14:paraId="41D7C20B">
            <w:pPr>
              <w:rPr>
                <w:rFonts w:ascii="Arial"/>
                <w:sz w:val="21"/>
              </w:rPr>
            </w:pPr>
          </w:p>
        </w:tc>
        <w:tc>
          <w:tcPr>
            <w:tcW w:w="1981" w:type="dxa"/>
            <w:tcBorders>
              <w:bottom w:val="single" w:color="000000" w:sz="10" w:space="0"/>
            </w:tcBorders>
            <w:vAlign w:val="top"/>
          </w:tcPr>
          <w:p w14:paraId="0A1198F7">
            <w:pPr>
              <w:rPr>
                <w:rFonts w:ascii="Arial"/>
                <w:sz w:val="21"/>
              </w:rPr>
            </w:pPr>
          </w:p>
        </w:tc>
        <w:tc>
          <w:tcPr>
            <w:tcW w:w="1375" w:type="dxa"/>
            <w:tcBorders>
              <w:bottom w:val="single" w:color="000000" w:sz="10" w:space="0"/>
            </w:tcBorders>
            <w:vAlign w:val="top"/>
          </w:tcPr>
          <w:p w14:paraId="61D80EA6">
            <w:pPr>
              <w:rPr>
                <w:rFonts w:ascii="Arial"/>
                <w:sz w:val="21"/>
              </w:rPr>
            </w:pPr>
          </w:p>
        </w:tc>
        <w:tc>
          <w:tcPr>
            <w:tcW w:w="769" w:type="dxa"/>
            <w:tcBorders>
              <w:bottom w:val="single" w:color="000000" w:sz="10" w:space="0"/>
            </w:tcBorders>
            <w:vAlign w:val="top"/>
          </w:tcPr>
          <w:p w14:paraId="67D706B7">
            <w:pPr>
              <w:rPr>
                <w:rFonts w:ascii="Arial"/>
                <w:sz w:val="21"/>
              </w:rPr>
            </w:pPr>
          </w:p>
        </w:tc>
        <w:tc>
          <w:tcPr>
            <w:tcW w:w="785" w:type="dxa"/>
            <w:tcBorders>
              <w:bottom w:val="single" w:color="000000" w:sz="10" w:space="0"/>
              <w:right w:val="single" w:color="000000" w:sz="10" w:space="0"/>
            </w:tcBorders>
            <w:vAlign w:val="top"/>
          </w:tcPr>
          <w:p w14:paraId="027DC788">
            <w:pPr>
              <w:rPr>
                <w:rFonts w:ascii="Arial"/>
                <w:sz w:val="21"/>
              </w:rPr>
            </w:pPr>
          </w:p>
        </w:tc>
      </w:tr>
    </w:tbl>
    <w:p w14:paraId="0C0FFDCA">
      <w:pPr>
        <w:rPr>
          <w:rFonts w:ascii="Arial"/>
          <w:sz w:val="21"/>
        </w:rPr>
      </w:pPr>
    </w:p>
    <w:p w14:paraId="5FB5FA70">
      <w:pPr>
        <w:rPr>
          <w:rFonts w:ascii="Arial" w:hAnsi="Arial" w:eastAsia="Arial" w:cs="Arial"/>
          <w:sz w:val="21"/>
          <w:szCs w:val="21"/>
        </w:rPr>
        <w:sectPr>
          <w:footerReference r:id="rId422" w:type="default"/>
          <w:pgSz w:w="16839" w:h="11906"/>
          <w:pgMar w:top="400" w:right="1799" w:bottom="1446" w:left="2139" w:header="0" w:footer="1284" w:gutter="0"/>
          <w:cols w:space="720" w:num="1"/>
        </w:sectPr>
      </w:pPr>
    </w:p>
    <w:p w14:paraId="2B3E2D74">
      <w:pPr>
        <w:spacing w:line="280" w:lineRule="auto"/>
        <w:rPr>
          <w:rFonts w:ascii="Arial"/>
          <w:sz w:val="21"/>
        </w:rPr>
      </w:pPr>
    </w:p>
    <w:p w14:paraId="63B2A301">
      <w:pPr>
        <w:spacing w:line="280" w:lineRule="auto"/>
        <w:rPr>
          <w:rFonts w:ascii="Arial"/>
          <w:sz w:val="21"/>
        </w:rPr>
      </w:pPr>
    </w:p>
    <w:p w14:paraId="5AA13EA7">
      <w:pPr>
        <w:spacing w:line="281" w:lineRule="auto"/>
        <w:rPr>
          <w:rFonts w:ascii="Arial"/>
          <w:sz w:val="21"/>
        </w:rPr>
      </w:pPr>
    </w:p>
    <w:p w14:paraId="17E45CE6">
      <w:pPr>
        <w:spacing w:line="281" w:lineRule="auto"/>
        <w:rPr>
          <w:rFonts w:ascii="Arial"/>
          <w:sz w:val="21"/>
        </w:rPr>
      </w:pPr>
    </w:p>
    <w:p w14:paraId="508F3AC1">
      <w:pPr>
        <w:spacing w:line="281" w:lineRule="auto"/>
        <w:rPr>
          <w:rFonts w:ascii="Arial"/>
          <w:sz w:val="21"/>
        </w:rPr>
      </w:pPr>
    </w:p>
    <w:p w14:paraId="4D43EBB4">
      <w:pPr>
        <w:pStyle w:val="2"/>
        <w:spacing w:before="91" w:line="225" w:lineRule="auto"/>
        <w:ind w:left="25"/>
        <w:rPr>
          <w:sz w:val="28"/>
          <w:szCs w:val="28"/>
        </w:rPr>
      </w:pPr>
      <w:r>
        <w:rPr>
          <w:spacing w:val="-8"/>
          <w:sz w:val="28"/>
          <w:szCs w:val="28"/>
        </w:rPr>
        <w:t>附件</w:t>
      </w:r>
      <w:r>
        <w:rPr>
          <w:spacing w:val="-64"/>
          <w:sz w:val="28"/>
          <w:szCs w:val="28"/>
        </w:rPr>
        <w:t xml:space="preserve"> </w:t>
      </w:r>
      <w:r>
        <w:rPr>
          <w:rFonts w:ascii="Times New Roman" w:hAnsi="Times New Roman" w:eastAsia="Times New Roman" w:cs="Times New Roman"/>
          <w:spacing w:val="-8"/>
          <w:sz w:val="28"/>
          <w:szCs w:val="28"/>
        </w:rPr>
        <w:t>2</w:t>
      </w:r>
      <w:r>
        <w:rPr>
          <w:spacing w:val="-8"/>
          <w:sz w:val="28"/>
          <w:szCs w:val="28"/>
        </w:rPr>
        <w:t>：</w:t>
      </w:r>
    </w:p>
    <w:p w14:paraId="285F5C18">
      <w:pPr>
        <w:spacing w:before="210" w:line="185" w:lineRule="auto"/>
        <w:ind w:left="2774"/>
        <w:rPr>
          <w:rFonts w:ascii="微软雅黑" w:hAnsi="微软雅黑" w:eastAsia="微软雅黑" w:cs="微软雅黑"/>
          <w:sz w:val="28"/>
          <w:szCs w:val="28"/>
        </w:rPr>
      </w:pPr>
      <w:r>
        <w:rPr>
          <w:rFonts w:ascii="微软雅黑" w:hAnsi="微软雅黑" w:eastAsia="微软雅黑" w:cs="微软雅黑"/>
          <w:spacing w:val="-1"/>
          <w:sz w:val="28"/>
          <w:szCs w:val="28"/>
        </w:rPr>
        <w:t>发包人供应材料设备一览表</w:t>
      </w:r>
    </w:p>
    <w:p w14:paraId="27E54F23">
      <w:pPr>
        <w:spacing w:line="224" w:lineRule="exact"/>
      </w:pPr>
    </w:p>
    <w:tbl>
      <w:tblPr>
        <w:tblStyle w:val="5"/>
        <w:tblW w:w="8875"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5"/>
        <w:gridCol w:w="1173"/>
        <w:gridCol w:w="1287"/>
        <w:gridCol w:w="721"/>
        <w:gridCol w:w="721"/>
        <w:gridCol w:w="1004"/>
        <w:gridCol w:w="721"/>
        <w:gridCol w:w="721"/>
        <w:gridCol w:w="1287"/>
        <w:gridCol w:w="735"/>
      </w:tblGrid>
      <w:tr w14:paraId="47F75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9" w:hRule="atLeast"/>
        </w:trPr>
        <w:tc>
          <w:tcPr>
            <w:tcW w:w="505" w:type="dxa"/>
            <w:tcBorders>
              <w:top w:val="single" w:color="000000" w:sz="10" w:space="0"/>
              <w:left w:val="single" w:color="000000" w:sz="10" w:space="0"/>
            </w:tcBorders>
            <w:textDirection w:val="tbRlV"/>
            <w:vAlign w:val="top"/>
          </w:tcPr>
          <w:p w14:paraId="57499105">
            <w:pPr>
              <w:spacing w:before="148" w:line="216" w:lineRule="auto"/>
              <w:ind w:left="222"/>
              <w:rPr>
                <w:rFonts w:ascii="黑体" w:hAnsi="黑体" w:eastAsia="黑体" w:cs="黑体"/>
                <w:sz w:val="20"/>
                <w:szCs w:val="20"/>
              </w:rPr>
            </w:pPr>
            <w:r>
              <w:rPr>
                <w:rFonts w:ascii="黑体" w:hAnsi="黑体" w:eastAsia="黑体" w:cs="黑体"/>
                <w:spacing w:val="11"/>
                <w:sz w:val="20"/>
                <w:szCs w:val="20"/>
              </w:rPr>
              <w:t>序 号</w:t>
            </w:r>
          </w:p>
        </w:tc>
        <w:tc>
          <w:tcPr>
            <w:tcW w:w="1173" w:type="dxa"/>
            <w:tcBorders>
              <w:top w:val="single" w:color="000000" w:sz="10" w:space="0"/>
            </w:tcBorders>
            <w:vAlign w:val="top"/>
          </w:tcPr>
          <w:p w14:paraId="23117954">
            <w:pPr>
              <w:spacing w:before="222" w:line="231" w:lineRule="auto"/>
              <w:ind w:left="263"/>
              <w:rPr>
                <w:rFonts w:ascii="黑体" w:hAnsi="黑体" w:eastAsia="黑体" w:cs="黑体"/>
                <w:sz w:val="20"/>
                <w:szCs w:val="20"/>
              </w:rPr>
            </w:pPr>
            <w:r>
              <w:rPr>
                <w:rFonts w:ascii="黑体" w:hAnsi="黑体" w:eastAsia="黑体" w:cs="黑体"/>
                <w:spacing w:val="3"/>
                <w:sz w:val="20"/>
                <w:szCs w:val="20"/>
              </w:rPr>
              <w:t>材料、</w:t>
            </w:r>
          </w:p>
          <w:p w14:paraId="6B0172D1">
            <w:pPr>
              <w:spacing w:before="71" w:line="229" w:lineRule="auto"/>
              <w:ind w:left="159"/>
              <w:rPr>
                <w:rFonts w:ascii="黑体" w:hAnsi="黑体" w:eastAsia="黑体" w:cs="黑体"/>
                <w:sz w:val="20"/>
                <w:szCs w:val="20"/>
              </w:rPr>
            </w:pPr>
            <w:r>
              <w:rPr>
                <w:rFonts w:ascii="黑体" w:hAnsi="黑体" w:eastAsia="黑体" w:cs="黑体"/>
                <w:spacing w:val="7"/>
                <w:sz w:val="20"/>
                <w:szCs w:val="20"/>
              </w:rPr>
              <w:t>设备品种</w:t>
            </w:r>
          </w:p>
        </w:tc>
        <w:tc>
          <w:tcPr>
            <w:tcW w:w="1287" w:type="dxa"/>
            <w:tcBorders>
              <w:top w:val="single" w:color="000000" w:sz="10" w:space="0"/>
            </w:tcBorders>
            <w:vAlign w:val="top"/>
          </w:tcPr>
          <w:p w14:paraId="01260D5E">
            <w:pPr>
              <w:spacing w:line="316" w:lineRule="auto"/>
              <w:rPr>
                <w:rFonts w:ascii="Arial"/>
                <w:sz w:val="21"/>
              </w:rPr>
            </w:pPr>
          </w:p>
          <w:p w14:paraId="56124DB4">
            <w:pPr>
              <w:spacing w:before="65" w:line="231" w:lineRule="auto"/>
              <w:ind w:left="217"/>
              <w:rPr>
                <w:rFonts w:ascii="黑体" w:hAnsi="黑体" w:eastAsia="黑体" w:cs="黑体"/>
                <w:sz w:val="20"/>
                <w:szCs w:val="20"/>
              </w:rPr>
            </w:pPr>
            <w:r>
              <w:rPr>
                <w:rFonts w:ascii="黑体" w:hAnsi="黑体" w:eastAsia="黑体" w:cs="黑体"/>
                <w:spacing w:val="7"/>
                <w:sz w:val="20"/>
                <w:szCs w:val="20"/>
              </w:rPr>
              <w:t>规格型号</w:t>
            </w:r>
          </w:p>
        </w:tc>
        <w:tc>
          <w:tcPr>
            <w:tcW w:w="721" w:type="dxa"/>
            <w:tcBorders>
              <w:top w:val="single" w:color="000000" w:sz="10" w:space="0"/>
            </w:tcBorders>
            <w:vAlign w:val="top"/>
          </w:tcPr>
          <w:p w14:paraId="6C72A1D7">
            <w:pPr>
              <w:spacing w:line="316" w:lineRule="auto"/>
              <w:rPr>
                <w:rFonts w:ascii="Arial"/>
                <w:sz w:val="21"/>
              </w:rPr>
            </w:pPr>
          </w:p>
          <w:p w14:paraId="2625AD81">
            <w:pPr>
              <w:spacing w:before="65" w:line="231" w:lineRule="auto"/>
              <w:ind w:left="155"/>
              <w:rPr>
                <w:rFonts w:ascii="黑体" w:hAnsi="黑体" w:eastAsia="黑体" w:cs="黑体"/>
                <w:sz w:val="20"/>
                <w:szCs w:val="20"/>
              </w:rPr>
            </w:pPr>
            <w:r>
              <w:rPr>
                <w:rFonts w:ascii="黑体" w:hAnsi="黑体" w:eastAsia="黑体" w:cs="黑体"/>
                <w:spacing w:val="2"/>
                <w:sz w:val="20"/>
                <w:szCs w:val="20"/>
              </w:rPr>
              <w:t>单位</w:t>
            </w:r>
          </w:p>
        </w:tc>
        <w:tc>
          <w:tcPr>
            <w:tcW w:w="721" w:type="dxa"/>
            <w:tcBorders>
              <w:top w:val="single" w:color="000000" w:sz="10" w:space="0"/>
            </w:tcBorders>
            <w:vAlign w:val="top"/>
          </w:tcPr>
          <w:p w14:paraId="6D621432">
            <w:pPr>
              <w:spacing w:line="316" w:lineRule="auto"/>
              <w:rPr>
                <w:rFonts w:ascii="Arial"/>
                <w:sz w:val="21"/>
              </w:rPr>
            </w:pPr>
          </w:p>
          <w:p w14:paraId="43A74344">
            <w:pPr>
              <w:spacing w:before="65" w:line="231" w:lineRule="auto"/>
              <w:ind w:left="151"/>
              <w:rPr>
                <w:rFonts w:ascii="黑体" w:hAnsi="黑体" w:eastAsia="黑体" w:cs="黑体"/>
                <w:sz w:val="20"/>
                <w:szCs w:val="20"/>
              </w:rPr>
            </w:pPr>
            <w:r>
              <w:rPr>
                <w:rFonts w:ascii="黑体" w:hAnsi="黑体" w:eastAsia="黑体" w:cs="黑体"/>
                <w:spacing w:val="4"/>
                <w:sz w:val="20"/>
                <w:szCs w:val="20"/>
              </w:rPr>
              <w:t>数量</w:t>
            </w:r>
          </w:p>
        </w:tc>
        <w:tc>
          <w:tcPr>
            <w:tcW w:w="1004" w:type="dxa"/>
            <w:tcBorders>
              <w:top w:val="single" w:color="000000" w:sz="10" w:space="0"/>
            </w:tcBorders>
            <w:vAlign w:val="top"/>
          </w:tcPr>
          <w:p w14:paraId="1CF7E7E4">
            <w:pPr>
              <w:spacing w:before="222" w:line="299" w:lineRule="auto"/>
              <w:ind w:left="208" w:right="208" w:firstLine="92"/>
              <w:rPr>
                <w:rFonts w:ascii="黑体" w:hAnsi="黑体" w:eastAsia="黑体" w:cs="黑体"/>
                <w:sz w:val="20"/>
                <w:szCs w:val="20"/>
              </w:rPr>
            </w:pPr>
            <w:r>
              <w:rPr>
                <w:rFonts w:ascii="黑体" w:hAnsi="黑体" w:eastAsia="黑体" w:cs="黑体"/>
                <w:spacing w:val="2"/>
                <w:sz w:val="20"/>
                <w:szCs w:val="20"/>
              </w:rPr>
              <w:t>单价</w:t>
            </w:r>
            <w:r>
              <w:rPr>
                <w:rFonts w:ascii="黑体" w:hAnsi="黑体" w:eastAsia="黑体" w:cs="黑体"/>
                <w:spacing w:val="-8"/>
                <w:sz w:val="20"/>
                <w:szCs w:val="20"/>
              </w:rPr>
              <w:t>（元）</w:t>
            </w:r>
          </w:p>
        </w:tc>
        <w:tc>
          <w:tcPr>
            <w:tcW w:w="721" w:type="dxa"/>
            <w:tcBorders>
              <w:top w:val="single" w:color="000000" w:sz="10" w:space="0"/>
            </w:tcBorders>
            <w:vAlign w:val="top"/>
          </w:tcPr>
          <w:p w14:paraId="2CDE0EF6">
            <w:pPr>
              <w:spacing w:before="223" w:line="297" w:lineRule="auto"/>
              <w:ind w:left="154" w:right="145" w:firstLine="3"/>
              <w:rPr>
                <w:rFonts w:ascii="黑体" w:hAnsi="黑体" w:eastAsia="黑体" w:cs="黑体"/>
                <w:sz w:val="20"/>
                <w:szCs w:val="20"/>
              </w:rPr>
            </w:pPr>
            <w:r>
              <w:rPr>
                <w:rFonts w:ascii="黑体" w:hAnsi="黑体" w:eastAsia="黑体" w:cs="黑体"/>
                <w:spacing w:val="3"/>
                <w:sz w:val="20"/>
                <w:szCs w:val="20"/>
              </w:rPr>
              <w:t>质量</w:t>
            </w:r>
            <w:r>
              <w:rPr>
                <w:rFonts w:ascii="黑体" w:hAnsi="黑体" w:eastAsia="黑体" w:cs="黑体"/>
                <w:spacing w:val="5"/>
                <w:sz w:val="20"/>
                <w:szCs w:val="20"/>
              </w:rPr>
              <w:t>等级</w:t>
            </w:r>
          </w:p>
        </w:tc>
        <w:tc>
          <w:tcPr>
            <w:tcW w:w="721" w:type="dxa"/>
            <w:tcBorders>
              <w:top w:val="single" w:color="000000" w:sz="10" w:space="0"/>
            </w:tcBorders>
            <w:vAlign w:val="top"/>
          </w:tcPr>
          <w:p w14:paraId="72188A2C">
            <w:pPr>
              <w:spacing w:before="223" w:line="298" w:lineRule="auto"/>
              <w:ind w:left="167" w:right="141" w:hanging="8"/>
              <w:rPr>
                <w:rFonts w:ascii="黑体" w:hAnsi="黑体" w:eastAsia="黑体" w:cs="黑体"/>
                <w:sz w:val="20"/>
                <w:szCs w:val="20"/>
              </w:rPr>
            </w:pPr>
            <w:r>
              <w:rPr>
                <w:rFonts w:ascii="黑体" w:hAnsi="黑体" w:eastAsia="黑体" w:cs="黑体"/>
                <w:spacing w:val="5"/>
                <w:sz w:val="20"/>
                <w:szCs w:val="20"/>
              </w:rPr>
              <w:t>供应</w:t>
            </w:r>
            <w:r>
              <w:rPr>
                <w:rFonts w:ascii="黑体" w:hAnsi="黑体" w:eastAsia="黑体" w:cs="黑体"/>
                <w:spacing w:val="1"/>
                <w:sz w:val="20"/>
                <w:szCs w:val="20"/>
              </w:rPr>
              <w:t>时间</w:t>
            </w:r>
          </w:p>
        </w:tc>
        <w:tc>
          <w:tcPr>
            <w:tcW w:w="1287" w:type="dxa"/>
            <w:tcBorders>
              <w:top w:val="single" w:color="000000" w:sz="10" w:space="0"/>
            </w:tcBorders>
            <w:vAlign w:val="top"/>
          </w:tcPr>
          <w:p w14:paraId="779CC60F">
            <w:pPr>
              <w:spacing w:line="316" w:lineRule="auto"/>
              <w:rPr>
                <w:rFonts w:ascii="Arial"/>
                <w:sz w:val="21"/>
              </w:rPr>
            </w:pPr>
          </w:p>
          <w:p w14:paraId="6AFADE8D">
            <w:pPr>
              <w:spacing w:before="65" w:line="231" w:lineRule="auto"/>
              <w:ind w:left="238"/>
              <w:rPr>
                <w:rFonts w:ascii="黑体" w:hAnsi="黑体" w:eastAsia="黑体" w:cs="黑体"/>
                <w:sz w:val="20"/>
                <w:szCs w:val="20"/>
              </w:rPr>
            </w:pPr>
            <w:r>
              <w:rPr>
                <w:rFonts w:ascii="黑体" w:hAnsi="黑体" w:eastAsia="黑体" w:cs="黑体"/>
                <w:spacing w:val="6"/>
                <w:sz w:val="20"/>
                <w:szCs w:val="20"/>
              </w:rPr>
              <w:t>送达地点</w:t>
            </w:r>
          </w:p>
        </w:tc>
        <w:tc>
          <w:tcPr>
            <w:tcW w:w="735" w:type="dxa"/>
            <w:tcBorders>
              <w:top w:val="single" w:color="000000" w:sz="10" w:space="0"/>
              <w:right w:val="single" w:color="000000" w:sz="10" w:space="0"/>
            </w:tcBorders>
            <w:vAlign w:val="top"/>
          </w:tcPr>
          <w:p w14:paraId="0CC1DAA6">
            <w:pPr>
              <w:spacing w:line="316" w:lineRule="auto"/>
              <w:rPr>
                <w:rFonts w:ascii="Arial"/>
                <w:sz w:val="21"/>
              </w:rPr>
            </w:pPr>
          </w:p>
          <w:p w14:paraId="56CE996C">
            <w:pPr>
              <w:spacing w:before="65" w:line="230" w:lineRule="auto"/>
              <w:ind w:left="165"/>
              <w:rPr>
                <w:rFonts w:ascii="黑体" w:hAnsi="黑体" w:eastAsia="黑体" w:cs="黑体"/>
                <w:sz w:val="20"/>
                <w:szCs w:val="20"/>
              </w:rPr>
            </w:pPr>
            <w:r>
              <w:rPr>
                <w:rFonts w:ascii="黑体" w:hAnsi="黑体" w:eastAsia="黑体" w:cs="黑体"/>
                <w:spacing w:val="4"/>
                <w:sz w:val="20"/>
                <w:szCs w:val="20"/>
              </w:rPr>
              <w:t>备注</w:t>
            </w:r>
          </w:p>
        </w:tc>
      </w:tr>
      <w:tr w14:paraId="6DF8D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505" w:type="dxa"/>
            <w:tcBorders>
              <w:left w:val="single" w:color="000000" w:sz="10" w:space="0"/>
            </w:tcBorders>
            <w:vAlign w:val="top"/>
          </w:tcPr>
          <w:p w14:paraId="1B48E39A">
            <w:pPr>
              <w:rPr>
                <w:rFonts w:ascii="Arial"/>
                <w:sz w:val="21"/>
              </w:rPr>
            </w:pPr>
          </w:p>
        </w:tc>
        <w:tc>
          <w:tcPr>
            <w:tcW w:w="1173" w:type="dxa"/>
            <w:vAlign w:val="top"/>
          </w:tcPr>
          <w:p w14:paraId="70D9EB40">
            <w:pPr>
              <w:rPr>
                <w:rFonts w:ascii="Arial"/>
                <w:sz w:val="21"/>
              </w:rPr>
            </w:pPr>
          </w:p>
        </w:tc>
        <w:tc>
          <w:tcPr>
            <w:tcW w:w="1287" w:type="dxa"/>
            <w:vAlign w:val="top"/>
          </w:tcPr>
          <w:p w14:paraId="3D9B623C">
            <w:pPr>
              <w:rPr>
                <w:rFonts w:ascii="Arial"/>
                <w:sz w:val="21"/>
              </w:rPr>
            </w:pPr>
          </w:p>
        </w:tc>
        <w:tc>
          <w:tcPr>
            <w:tcW w:w="721" w:type="dxa"/>
            <w:vAlign w:val="top"/>
          </w:tcPr>
          <w:p w14:paraId="3D7C9893">
            <w:pPr>
              <w:rPr>
                <w:rFonts w:ascii="Arial"/>
                <w:sz w:val="21"/>
              </w:rPr>
            </w:pPr>
          </w:p>
        </w:tc>
        <w:tc>
          <w:tcPr>
            <w:tcW w:w="721" w:type="dxa"/>
            <w:vAlign w:val="top"/>
          </w:tcPr>
          <w:p w14:paraId="1102D3F2">
            <w:pPr>
              <w:rPr>
                <w:rFonts w:ascii="Arial"/>
                <w:sz w:val="21"/>
              </w:rPr>
            </w:pPr>
          </w:p>
        </w:tc>
        <w:tc>
          <w:tcPr>
            <w:tcW w:w="1004" w:type="dxa"/>
            <w:vAlign w:val="top"/>
          </w:tcPr>
          <w:p w14:paraId="12BB8DF9">
            <w:pPr>
              <w:rPr>
                <w:rFonts w:ascii="Arial"/>
                <w:sz w:val="21"/>
              </w:rPr>
            </w:pPr>
          </w:p>
        </w:tc>
        <w:tc>
          <w:tcPr>
            <w:tcW w:w="721" w:type="dxa"/>
            <w:vAlign w:val="top"/>
          </w:tcPr>
          <w:p w14:paraId="3149CCF6">
            <w:pPr>
              <w:rPr>
                <w:rFonts w:ascii="Arial"/>
                <w:sz w:val="21"/>
              </w:rPr>
            </w:pPr>
          </w:p>
        </w:tc>
        <w:tc>
          <w:tcPr>
            <w:tcW w:w="721" w:type="dxa"/>
            <w:vAlign w:val="top"/>
          </w:tcPr>
          <w:p w14:paraId="1F827295">
            <w:pPr>
              <w:rPr>
                <w:rFonts w:ascii="Arial"/>
                <w:sz w:val="21"/>
              </w:rPr>
            </w:pPr>
          </w:p>
        </w:tc>
        <w:tc>
          <w:tcPr>
            <w:tcW w:w="1287" w:type="dxa"/>
            <w:vAlign w:val="top"/>
          </w:tcPr>
          <w:p w14:paraId="60741EC0">
            <w:pPr>
              <w:rPr>
                <w:rFonts w:ascii="Arial"/>
                <w:sz w:val="21"/>
              </w:rPr>
            </w:pPr>
          </w:p>
        </w:tc>
        <w:tc>
          <w:tcPr>
            <w:tcW w:w="735" w:type="dxa"/>
            <w:tcBorders>
              <w:right w:val="single" w:color="000000" w:sz="10" w:space="0"/>
            </w:tcBorders>
            <w:vAlign w:val="top"/>
          </w:tcPr>
          <w:p w14:paraId="4BB2C506">
            <w:pPr>
              <w:rPr>
                <w:rFonts w:ascii="Arial"/>
                <w:sz w:val="21"/>
              </w:rPr>
            </w:pPr>
          </w:p>
        </w:tc>
      </w:tr>
      <w:tr w14:paraId="71F86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505" w:type="dxa"/>
            <w:tcBorders>
              <w:left w:val="single" w:color="000000" w:sz="10" w:space="0"/>
            </w:tcBorders>
            <w:vAlign w:val="top"/>
          </w:tcPr>
          <w:p w14:paraId="20D691D6">
            <w:pPr>
              <w:rPr>
                <w:rFonts w:ascii="Arial"/>
                <w:sz w:val="21"/>
              </w:rPr>
            </w:pPr>
          </w:p>
        </w:tc>
        <w:tc>
          <w:tcPr>
            <w:tcW w:w="1173" w:type="dxa"/>
            <w:vAlign w:val="top"/>
          </w:tcPr>
          <w:p w14:paraId="76D93606">
            <w:pPr>
              <w:rPr>
                <w:rFonts w:ascii="Arial"/>
                <w:sz w:val="21"/>
              </w:rPr>
            </w:pPr>
          </w:p>
        </w:tc>
        <w:tc>
          <w:tcPr>
            <w:tcW w:w="1287" w:type="dxa"/>
            <w:vAlign w:val="top"/>
          </w:tcPr>
          <w:p w14:paraId="7F36A10E">
            <w:pPr>
              <w:rPr>
                <w:rFonts w:ascii="Arial"/>
                <w:sz w:val="21"/>
              </w:rPr>
            </w:pPr>
          </w:p>
        </w:tc>
        <w:tc>
          <w:tcPr>
            <w:tcW w:w="721" w:type="dxa"/>
            <w:vAlign w:val="top"/>
          </w:tcPr>
          <w:p w14:paraId="2451F055">
            <w:pPr>
              <w:rPr>
                <w:rFonts w:ascii="Arial"/>
                <w:sz w:val="21"/>
              </w:rPr>
            </w:pPr>
          </w:p>
        </w:tc>
        <w:tc>
          <w:tcPr>
            <w:tcW w:w="721" w:type="dxa"/>
            <w:vAlign w:val="top"/>
          </w:tcPr>
          <w:p w14:paraId="1D3C6480">
            <w:pPr>
              <w:rPr>
                <w:rFonts w:ascii="Arial"/>
                <w:sz w:val="21"/>
              </w:rPr>
            </w:pPr>
          </w:p>
        </w:tc>
        <w:tc>
          <w:tcPr>
            <w:tcW w:w="1004" w:type="dxa"/>
            <w:vAlign w:val="top"/>
          </w:tcPr>
          <w:p w14:paraId="4E1D3309">
            <w:pPr>
              <w:rPr>
                <w:rFonts w:ascii="Arial"/>
                <w:sz w:val="21"/>
              </w:rPr>
            </w:pPr>
          </w:p>
        </w:tc>
        <w:tc>
          <w:tcPr>
            <w:tcW w:w="721" w:type="dxa"/>
            <w:vAlign w:val="top"/>
          </w:tcPr>
          <w:p w14:paraId="64D065B1">
            <w:pPr>
              <w:rPr>
                <w:rFonts w:ascii="Arial"/>
                <w:sz w:val="21"/>
              </w:rPr>
            </w:pPr>
          </w:p>
        </w:tc>
        <w:tc>
          <w:tcPr>
            <w:tcW w:w="721" w:type="dxa"/>
            <w:vAlign w:val="top"/>
          </w:tcPr>
          <w:p w14:paraId="74C4A0D6">
            <w:pPr>
              <w:rPr>
                <w:rFonts w:ascii="Arial"/>
                <w:sz w:val="21"/>
              </w:rPr>
            </w:pPr>
          </w:p>
        </w:tc>
        <w:tc>
          <w:tcPr>
            <w:tcW w:w="1287" w:type="dxa"/>
            <w:vAlign w:val="top"/>
          </w:tcPr>
          <w:p w14:paraId="43DAFDA8">
            <w:pPr>
              <w:rPr>
                <w:rFonts w:ascii="Arial"/>
                <w:sz w:val="21"/>
              </w:rPr>
            </w:pPr>
          </w:p>
        </w:tc>
        <w:tc>
          <w:tcPr>
            <w:tcW w:w="735" w:type="dxa"/>
            <w:tcBorders>
              <w:right w:val="single" w:color="000000" w:sz="10" w:space="0"/>
            </w:tcBorders>
            <w:vAlign w:val="top"/>
          </w:tcPr>
          <w:p w14:paraId="09A2F361">
            <w:pPr>
              <w:rPr>
                <w:rFonts w:ascii="Arial"/>
                <w:sz w:val="21"/>
              </w:rPr>
            </w:pPr>
          </w:p>
        </w:tc>
      </w:tr>
      <w:tr w14:paraId="1DC63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3605E434">
            <w:pPr>
              <w:rPr>
                <w:rFonts w:ascii="Arial"/>
                <w:sz w:val="21"/>
              </w:rPr>
            </w:pPr>
          </w:p>
        </w:tc>
        <w:tc>
          <w:tcPr>
            <w:tcW w:w="1173" w:type="dxa"/>
            <w:vAlign w:val="top"/>
          </w:tcPr>
          <w:p w14:paraId="5CBFC481">
            <w:pPr>
              <w:rPr>
                <w:rFonts w:ascii="Arial"/>
                <w:sz w:val="21"/>
              </w:rPr>
            </w:pPr>
          </w:p>
        </w:tc>
        <w:tc>
          <w:tcPr>
            <w:tcW w:w="1287" w:type="dxa"/>
            <w:vAlign w:val="top"/>
          </w:tcPr>
          <w:p w14:paraId="594046B6">
            <w:pPr>
              <w:rPr>
                <w:rFonts w:ascii="Arial"/>
                <w:sz w:val="21"/>
              </w:rPr>
            </w:pPr>
          </w:p>
        </w:tc>
        <w:tc>
          <w:tcPr>
            <w:tcW w:w="721" w:type="dxa"/>
            <w:vAlign w:val="top"/>
          </w:tcPr>
          <w:p w14:paraId="710B6360">
            <w:pPr>
              <w:rPr>
                <w:rFonts w:ascii="Arial"/>
                <w:sz w:val="21"/>
              </w:rPr>
            </w:pPr>
          </w:p>
        </w:tc>
        <w:tc>
          <w:tcPr>
            <w:tcW w:w="721" w:type="dxa"/>
            <w:vAlign w:val="top"/>
          </w:tcPr>
          <w:p w14:paraId="5B04B2BB">
            <w:pPr>
              <w:rPr>
                <w:rFonts w:ascii="Arial"/>
                <w:sz w:val="21"/>
              </w:rPr>
            </w:pPr>
          </w:p>
        </w:tc>
        <w:tc>
          <w:tcPr>
            <w:tcW w:w="1004" w:type="dxa"/>
            <w:vAlign w:val="top"/>
          </w:tcPr>
          <w:p w14:paraId="5C459F88">
            <w:pPr>
              <w:rPr>
                <w:rFonts w:ascii="Arial"/>
                <w:sz w:val="21"/>
              </w:rPr>
            </w:pPr>
          </w:p>
        </w:tc>
        <w:tc>
          <w:tcPr>
            <w:tcW w:w="721" w:type="dxa"/>
            <w:vAlign w:val="top"/>
          </w:tcPr>
          <w:p w14:paraId="711AA86D">
            <w:pPr>
              <w:rPr>
                <w:rFonts w:ascii="Arial"/>
                <w:sz w:val="21"/>
              </w:rPr>
            </w:pPr>
          </w:p>
        </w:tc>
        <w:tc>
          <w:tcPr>
            <w:tcW w:w="721" w:type="dxa"/>
            <w:vAlign w:val="top"/>
          </w:tcPr>
          <w:p w14:paraId="2EE2F939">
            <w:pPr>
              <w:rPr>
                <w:rFonts w:ascii="Arial"/>
                <w:sz w:val="21"/>
              </w:rPr>
            </w:pPr>
          </w:p>
        </w:tc>
        <w:tc>
          <w:tcPr>
            <w:tcW w:w="1287" w:type="dxa"/>
            <w:vAlign w:val="top"/>
          </w:tcPr>
          <w:p w14:paraId="1E2382C8">
            <w:pPr>
              <w:rPr>
                <w:rFonts w:ascii="Arial"/>
                <w:sz w:val="21"/>
              </w:rPr>
            </w:pPr>
          </w:p>
        </w:tc>
        <w:tc>
          <w:tcPr>
            <w:tcW w:w="735" w:type="dxa"/>
            <w:tcBorders>
              <w:right w:val="single" w:color="000000" w:sz="10" w:space="0"/>
            </w:tcBorders>
            <w:vAlign w:val="top"/>
          </w:tcPr>
          <w:p w14:paraId="649DA458">
            <w:pPr>
              <w:rPr>
                <w:rFonts w:ascii="Arial"/>
                <w:sz w:val="21"/>
              </w:rPr>
            </w:pPr>
          </w:p>
        </w:tc>
      </w:tr>
      <w:tr w14:paraId="7A585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29285CFC">
            <w:pPr>
              <w:rPr>
                <w:rFonts w:ascii="Arial"/>
                <w:sz w:val="21"/>
              </w:rPr>
            </w:pPr>
          </w:p>
        </w:tc>
        <w:tc>
          <w:tcPr>
            <w:tcW w:w="1173" w:type="dxa"/>
            <w:vAlign w:val="top"/>
          </w:tcPr>
          <w:p w14:paraId="627A8E34">
            <w:pPr>
              <w:rPr>
                <w:rFonts w:ascii="Arial"/>
                <w:sz w:val="21"/>
              </w:rPr>
            </w:pPr>
          </w:p>
        </w:tc>
        <w:tc>
          <w:tcPr>
            <w:tcW w:w="1287" w:type="dxa"/>
            <w:vAlign w:val="top"/>
          </w:tcPr>
          <w:p w14:paraId="255B1725">
            <w:pPr>
              <w:rPr>
                <w:rFonts w:ascii="Arial"/>
                <w:sz w:val="21"/>
              </w:rPr>
            </w:pPr>
          </w:p>
        </w:tc>
        <w:tc>
          <w:tcPr>
            <w:tcW w:w="721" w:type="dxa"/>
            <w:vAlign w:val="top"/>
          </w:tcPr>
          <w:p w14:paraId="60B1F75C">
            <w:pPr>
              <w:rPr>
                <w:rFonts w:ascii="Arial"/>
                <w:sz w:val="21"/>
              </w:rPr>
            </w:pPr>
          </w:p>
        </w:tc>
        <w:tc>
          <w:tcPr>
            <w:tcW w:w="721" w:type="dxa"/>
            <w:vAlign w:val="top"/>
          </w:tcPr>
          <w:p w14:paraId="3AF066C2">
            <w:pPr>
              <w:rPr>
                <w:rFonts w:ascii="Arial"/>
                <w:sz w:val="21"/>
              </w:rPr>
            </w:pPr>
          </w:p>
        </w:tc>
        <w:tc>
          <w:tcPr>
            <w:tcW w:w="1004" w:type="dxa"/>
            <w:vAlign w:val="top"/>
          </w:tcPr>
          <w:p w14:paraId="0B033B5C">
            <w:pPr>
              <w:rPr>
                <w:rFonts w:ascii="Arial"/>
                <w:sz w:val="21"/>
              </w:rPr>
            </w:pPr>
          </w:p>
        </w:tc>
        <w:tc>
          <w:tcPr>
            <w:tcW w:w="721" w:type="dxa"/>
            <w:vAlign w:val="top"/>
          </w:tcPr>
          <w:p w14:paraId="06D20697">
            <w:pPr>
              <w:rPr>
                <w:rFonts w:ascii="Arial"/>
                <w:sz w:val="21"/>
              </w:rPr>
            </w:pPr>
          </w:p>
        </w:tc>
        <w:tc>
          <w:tcPr>
            <w:tcW w:w="721" w:type="dxa"/>
            <w:vAlign w:val="top"/>
          </w:tcPr>
          <w:p w14:paraId="6501FEBD">
            <w:pPr>
              <w:rPr>
                <w:rFonts w:ascii="Arial"/>
                <w:sz w:val="21"/>
              </w:rPr>
            </w:pPr>
          </w:p>
        </w:tc>
        <w:tc>
          <w:tcPr>
            <w:tcW w:w="1287" w:type="dxa"/>
            <w:vAlign w:val="top"/>
          </w:tcPr>
          <w:p w14:paraId="5BA55751">
            <w:pPr>
              <w:rPr>
                <w:rFonts w:ascii="Arial"/>
                <w:sz w:val="21"/>
              </w:rPr>
            </w:pPr>
          </w:p>
        </w:tc>
        <w:tc>
          <w:tcPr>
            <w:tcW w:w="735" w:type="dxa"/>
            <w:tcBorders>
              <w:right w:val="single" w:color="000000" w:sz="10" w:space="0"/>
            </w:tcBorders>
            <w:vAlign w:val="top"/>
          </w:tcPr>
          <w:p w14:paraId="3437C286">
            <w:pPr>
              <w:rPr>
                <w:rFonts w:ascii="Arial"/>
                <w:sz w:val="21"/>
              </w:rPr>
            </w:pPr>
          </w:p>
        </w:tc>
      </w:tr>
      <w:tr w14:paraId="775CD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24E69F4D">
            <w:pPr>
              <w:rPr>
                <w:rFonts w:ascii="Arial"/>
                <w:sz w:val="21"/>
              </w:rPr>
            </w:pPr>
          </w:p>
        </w:tc>
        <w:tc>
          <w:tcPr>
            <w:tcW w:w="1173" w:type="dxa"/>
            <w:vAlign w:val="top"/>
          </w:tcPr>
          <w:p w14:paraId="772E6743">
            <w:pPr>
              <w:rPr>
                <w:rFonts w:ascii="Arial"/>
                <w:sz w:val="21"/>
              </w:rPr>
            </w:pPr>
          </w:p>
        </w:tc>
        <w:tc>
          <w:tcPr>
            <w:tcW w:w="1287" w:type="dxa"/>
            <w:vAlign w:val="top"/>
          </w:tcPr>
          <w:p w14:paraId="5B3A626B">
            <w:pPr>
              <w:rPr>
                <w:rFonts w:ascii="Arial"/>
                <w:sz w:val="21"/>
              </w:rPr>
            </w:pPr>
          </w:p>
        </w:tc>
        <w:tc>
          <w:tcPr>
            <w:tcW w:w="721" w:type="dxa"/>
            <w:vAlign w:val="top"/>
          </w:tcPr>
          <w:p w14:paraId="5605558D">
            <w:pPr>
              <w:rPr>
                <w:rFonts w:ascii="Arial"/>
                <w:sz w:val="21"/>
              </w:rPr>
            </w:pPr>
          </w:p>
        </w:tc>
        <w:tc>
          <w:tcPr>
            <w:tcW w:w="721" w:type="dxa"/>
            <w:vAlign w:val="top"/>
          </w:tcPr>
          <w:p w14:paraId="35436B52">
            <w:pPr>
              <w:rPr>
                <w:rFonts w:ascii="Arial"/>
                <w:sz w:val="21"/>
              </w:rPr>
            </w:pPr>
          </w:p>
        </w:tc>
        <w:tc>
          <w:tcPr>
            <w:tcW w:w="1004" w:type="dxa"/>
            <w:vAlign w:val="top"/>
          </w:tcPr>
          <w:p w14:paraId="5AC5B7E8">
            <w:pPr>
              <w:rPr>
                <w:rFonts w:ascii="Arial"/>
                <w:sz w:val="21"/>
              </w:rPr>
            </w:pPr>
          </w:p>
        </w:tc>
        <w:tc>
          <w:tcPr>
            <w:tcW w:w="721" w:type="dxa"/>
            <w:vAlign w:val="top"/>
          </w:tcPr>
          <w:p w14:paraId="70074039">
            <w:pPr>
              <w:rPr>
                <w:rFonts w:ascii="Arial"/>
                <w:sz w:val="21"/>
              </w:rPr>
            </w:pPr>
          </w:p>
        </w:tc>
        <w:tc>
          <w:tcPr>
            <w:tcW w:w="721" w:type="dxa"/>
            <w:vAlign w:val="top"/>
          </w:tcPr>
          <w:p w14:paraId="50A929F5">
            <w:pPr>
              <w:rPr>
                <w:rFonts w:ascii="Arial"/>
                <w:sz w:val="21"/>
              </w:rPr>
            </w:pPr>
          </w:p>
        </w:tc>
        <w:tc>
          <w:tcPr>
            <w:tcW w:w="1287" w:type="dxa"/>
            <w:vAlign w:val="top"/>
          </w:tcPr>
          <w:p w14:paraId="0F79E802">
            <w:pPr>
              <w:rPr>
                <w:rFonts w:ascii="Arial"/>
                <w:sz w:val="21"/>
              </w:rPr>
            </w:pPr>
          </w:p>
        </w:tc>
        <w:tc>
          <w:tcPr>
            <w:tcW w:w="735" w:type="dxa"/>
            <w:tcBorders>
              <w:right w:val="single" w:color="000000" w:sz="10" w:space="0"/>
            </w:tcBorders>
            <w:vAlign w:val="top"/>
          </w:tcPr>
          <w:p w14:paraId="4A373C85">
            <w:pPr>
              <w:rPr>
                <w:rFonts w:ascii="Arial"/>
                <w:sz w:val="21"/>
              </w:rPr>
            </w:pPr>
          </w:p>
        </w:tc>
      </w:tr>
      <w:tr w14:paraId="49A57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54832A54">
            <w:pPr>
              <w:rPr>
                <w:rFonts w:ascii="Arial"/>
                <w:sz w:val="21"/>
              </w:rPr>
            </w:pPr>
          </w:p>
        </w:tc>
        <w:tc>
          <w:tcPr>
            <w:tcW w:w="1173" w:type="dxa"/>
            <w:vAlign w:val="top"/>
          </w:tcPr>
          <w:p w14:paraId="6F9488DD">
            <w:pPr>
              <w:rPr>
                <w:rFonts w:ascii="Arial"/>
                <w:sz w:val="21"/>
              </w:rPr>
            </w:pPr>
          </w:p>
        </w:tc>
        <w:tc>
          <w:tcPr>
            <w:tcW w:w="1287" w:type="dxa"/>
            <w:vAlign w:val="top"/>
          </w:tcPr>
          <w:p w14:paraId="3EDAC8B4">
            <w:pPr>
              <w:rPr>
                <w:rFonts w:ascii="Arial"/>
                <w:sz w:val="21"/>
              </w:rPr>
            </w:pPr>
          </w:p>
        </w:tc>
        <w:tc>
          <w:tcPr>
            <w:tcW w:w="721" w:type="dxa"/>
            <w:vAlign w:val="top"/>
          </w:tcPr>
          <w:p w14:paraId="1770618D">
            <w:pPr>
              <w:rPr>
                <w:rFonts w:ascii="Arial"/>
                <w:sz w:val="21"/>
              </w:rPr>
            </w:pPr>
          </w:p>
        </w:tc>
        <w:tc>
          <w:tcPr>
            <w:tcW w:w="721" w:type="dxa"/>
            <w:vAlign w:val="top"/>
          </w:tcPr>
          <w:p w14:paraId="081D8820">
            <w:pPr>
              <w:rPr>
                <w:rFonts w:ascii="Arial"/>
                <w:sz w:val="21"/>
              </w:rPr>
            </w:pPr>
          </w:p>
        </w:tc>
        <w:tc>
          <w:tcPr>
            <w:tcW w:w="1004" w:type="dxa"/>
            <w:vAlign w:val="top"/>
          </w:tcPr>
          <w:p w14:paraId="09CC1164">
            <w:pPr>
              <w:rPr>
                <w:rFonts w:ascii="Arial"/>
                <w:sz w:val="21"/>
              </w:rPr>
            </w:pPr>
          </w:p>
        </w:tc>
        <w:tc>
          <w:tcPr>
            <w:tcW w:w="721" w:type="dxa"/>
            <w:vAlign w:val="top"/>
          </w:tcPr>
          <w:p w14:paraId="51FEF90E">
            <w:pPr>
              <w:rPr>
                <w:rFonts w:ascii="Arial"/>
                <w:sz w:val="21"/>
              </w:rPr>
            </w:pPr>
          </w:p>
        </w:tc>
        <w:tc>
          <w:tcPr>
            <w:tcW w:w="721" w:type="dxa"/>
            <w:vAlign w:val="top"/>
          </w:tcPr>
          <w:p w14:paraId="4523CF25">
            <w:pPr>
              <w:rPr>
                <w:rFonts w:ascii="Arial"/>
                <w:sz w:val="21"/>
              </w:rPr>
            </w:pPr>
          </w:p>
        </w:tc>
        <w:tc>
          <w:tcPr>
            <w:tcW w:w="1287" w:type="dxa"/>
            <w:vAlign w:val="top"/>
          </w:tcPr>
          <w:p w14:paraId="22624E86">
            <w:pPr>
              <w:rPr>
                <w:rFonts w:ascii="Arial"/>
                <w:sz w:val="21"/>
              </w:rPr>
            </w:pPr>
          </w:p>
        </w:tc>
        <w:tc>
          <w:tcPr>
            <w:tcW w:w="735" w:type="dxa"/>
            <w:tcBorders>
              <w:right w:val="single" w:color="000000" w:sz="10" w:space="0"/>
            </w:tcBorders>
            <w:vAlign w:val="top"/>
          </w:tcPr>
          <w:p w14:paraId="6C592E0B">
            <w:pPr>
              <w:rPr>
                <w:rFonts w:ascii="Arial"/>
                <w:sz w:val="21"/>
              </w:rPr>
            </w:pPr>
          </w:p>
        </w:tc>
      </w:tr>
      <w:tr w14:paraId="4163A3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5C05A9A7">
            <w:pPr>
              <w:rPr>
                <w:rFonts w:ascii="Arial"/>
                <w:sz w:val="21"/>
              </w:rPr>
            </w:pPr>
          </w:p>
        </w:tc>
        <w:tc>
          <w:tcPr>
            <w:tcW w:w="1173" w:type="dxa"/>
            <w:vAlign w:val="top"/>
          </w:tcPr>
          <w:p w14:paraId="4AB7923F">
            <w:pPr>
              <w:rPr>
                <w:rFonts w:ascii="Arial"/>
                <w:sz w:val="21"/>
              </w:rPr>
            </w:pPr>
          </w:p>
        </w:tc>
        <w:tc>
          <w:tcPr>
            <w:tcW w:w="1287" w:type="dxa"/>
            <w:vAlign w:val="top"/>
          </w:tcPr>
          <w:p w14:paraId="3AF59395">
            <w:pPr>
              <w:rPr>
                <w:rFonts w:ascii="Arial"/>
                <w:sz w:val="21"/>
              </w:rPr>
            </w:pPr>
          </w:p>
        </w:tc>
        <w:tc>
          <w:tcPr>
            <w:tcW w:w="721" w:type="dxa"/>
            <w:vAlign w:val="top"/>
          </w:tcPr>
          <w:p w14:paraId="6C920D89">
            <w:pPr>
              <w:rPr>
                <w:rFonts w:ascii="Arial"/>
                <w:sz w:val="21"/>
              </w:rPr>
            </w:pPr>
          </w:p>
        </w:tc>
        <w:tc>
          <w:tcPr>
            <w:tcW w:w="721" w:type="dxa"/>
            <w:vAlign w:val="top"/>
          </w:tcPr>
          <w:p w14:paraId="326C258D">
            <w:pPr>
              <w:rPr>
                <w:rFonts w:ascii="Arial"/>
                <w:sz w:val="21"/>
              </w:rPr>
            </w:pPr>
          </w:p>
        </w:tc>
        <w:tc>
          <w:tcPr>
            <w:tcW w:w="1004" w:type="dxa"/>
            <w:vAlign w:val="top"/>
          </w:tcPr>
          <w:p w14:paraId="5DE64328">
            <w:pPr>
              <w:rPr>
                <w:rFonts w:ascii="Arial"/>
                <w:sz w:val="21"/>
              </w:rPr>
            </w:pPr>
          </w:p>
        </w:tc>
        <w:tc>
          <w:tcPr>
            <w:tcW w:w="721" w:type="dxa"/>
            <w:vAlign w:val="top"/>
          </w:tcPr>
          <w:p w14:paraId="6F0DC1C6">
            <w:pPr>
              <w:rPr>
                <w:rFonts w:ascii="Arial"/>
                <w:sz w:val="21"/>
              </w:rPr>
            </w:pPr>
          </w:p>
        </w:tc>
        <w:tc>
          <w:tcPr>
            <w:tcW w:w="721" w:type="dxa"/>
            <w:vAlign w:val="top"/>
          </w:tcPr>
          <w:p w14:paraId="334D48D1">
            <w:pPr>
              <w:rPr>
                <w:rFonts w:ascii="Arial"/>
                <w:sz w:val="21"/>
              </w:rPr>
            </w:pPr>
          </w:p>
        </w:tc>
        <w:tc>
          <w:tcPr>
            <w:tcW w:w="1287" w:type="dxa"/>
            <w:vAlign w:val="top"/>
          </w:tcPr>
          <w:p w14:paraId="3237C8BA">
            <w:pPr>
              <w:rPr>
                <w:rFonts w:ascii="Arial"/>
                <w:sz w:val="21"/>
              </w:rPr>
            </w:pPr>
          </w:p>
        </w:tc>
        <w:tc>
          <w:tcPr>
            <w:tcW w:w="735" w:type="dxa"/>
            <w:tcBorders>
              <w:right w:val="single" w:color="000000" w:sz="10" w:space="0"/>
            </w:tcBorders>
            <w:vAlign w:val="top"/>
          </w:tcPr>
          <w:p w14:paraId="795E11DD">
            <w:pPr>
              <w:rPr>
                <w:rFonts w:ascii="Arial"/>
                <w:sz w:val="21"/>
              </w:rPr>
            </w:pPr>
          </w:p>
        </w:tc>
      </w:tr>
      <w:tr w14:paraId="7EDA3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54D7E688">
            <w:pPr>
              <w:rPr>
                <w:rFonts w:ascii="Arial"/>
                <w:sz w:val="21"/>
              </w:rPr>
            </w:pPr>
          </w:p>
        </w:tc>
        <w:tc>
          <w:tcPr>
            <w:tcW w:w="1173" w:type="dxa"/>
            <w:vAlign w:val="top"/>
          </w:tcPr>
          <w:p w14:paraId="79B575E4">
            <w:pPr>
              <w:rPr>
                <w:rFonts w:ascii="Arial"/>
                <w:sz w:val="21"/>
              </w:rPr>
            </w:pPr>
          </w:p>
        </w:tc>
        <w:tc>
          <w:tcPr>
            <w:tcW w:w="1287" w:type="dxa"/>
            <w:vAlign w:val="top"/>
          </w:tcPr>
          <w:p w14:paraId="5C47346C">
            <w:pPr>
              <w:rPr>
                <w:rFonts w:ascii="Arial"/>
                <w:sz w:val="21"/>
              </w:rPr>
            </w:pPr>
          </w:p>
        </w:tc>
        <w:tc>
          <w:tcPr>
            <w:tcW w:w="721" w:type="dxa"/>
            <w:vAlign w:val="top"/>
          </w:tcPr>
          <w:p w14:paraId="7B92CAC2">
            <w:pPr>
              <w:rPr>
                <w:rFonts w:ascii="Arial"/>
                <w:sz w:val="21"/>
              </w:rPr>
            </w:pPr>
          </w:p>
        </w:tc>
        <w:tc>
          <w:tcPr>
            <w:tcW w:w="721" w:type="dxa"/>
            <w:vAlign w:val="top"/>
          </w:tcPr>
          <w:p w14:paraId="58D0E7F5">
            <w:pPr>
              <w:rPr>
                <w:rFonts w:ascii="Arial"/>
                <w:sz w:val="21"/>
              </w:rPr>
            </w:pPr>
          </w:p>
        </w:tc>
        <w:tc>
          <w:tcPr>
            <w:tcW w:w="1004" w:type="dxa"/>
            <w:vAlign w:val="top"/>
          </w:tcPr>
          <w:p w14:paraId="1CCFBF2D">
            <w:pPr>
              <w:rPr>
                <w:rFonts w:ascii="Arial"/>
                <w:sz w:val="21"/>
              </w:rPr>
            </w:pPr>
          </w:p>
        </w:tc>
        <w:tc>
          <w:tcPr>
            <w:tcW w:w="721" w:type="dxa"/>
            <w:vAlign w:val="top"/>
          </w:tcPr>
          <w:p w14:paraId="6304FDD5">
            <w:pPr>
              <w:rPr>
                <w:rFonts w:ascii="Arial"/>
                <w:sz w:val="21"/>
              </w:rPr>
            </w:pPr>
          </w:p>
        </w:tc>
        <w:tc>
          <w:tcPr>
            <w:tcW w:w="721" w:type="dxa"/>
            <w:vAlign w:val="top"/>
          </w:tcPr>
          <w:p w14:paraId="07B12A72">
            <w:pPr>
              <w:rPr>
                <w:rFonts w:ascii="Arial"/>
                <w:sz w:val="21"/>
              </w:rPr>
            </w:pPr>
          </w:p>
        </w:tc>
        <w:tc>
          <w:tcPr>
            <w:tcW w:w="1287" w:type="dxa"/>
            <w:vAlign w:val="top"/>
          </w:tcPr>
          <w:p w14:paraId="5689922C">
            <w:pPr>
              <w:rPr>
                <w:rFonts w:ascii="Arial"/>
                <w:sz w:val="21"/>
              </w:rPr>
            </w:pPr>
          </w:p>
        </w:tc>
        <w:tc>
          <w:tcPr>
            <w:tcW w:w="735" w:type="dxa"/>
            <w:tcBorders>
              <w:right w:val="single" w:color="000000" w:sz="10" w:space="0"/>
            </w:tcBorders>
            <w:vAlign w:val="top"/>
          </w:tcPr>
          <w:p w14:paraId="701029D5">
            <w:pPr>
              <w:rPr>
                <w:rFonts w:ascii="Arial"/>
                <w:sz w:val="21"/>
              </w:rPr>
            </w:pPr>
          </w:p>
        </w:tc>
      </w:tr>
      <w:tr w14:paraId="00CC6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0C072083">
            <w:pPr>
              <w:rPr>
                <w:rFonts w:ascii="Arial"/>
                <w:sz w:val="21"/>
              </w:rPr>
            </w:pPr>
          </w:p>
        </w:tc>
        <w:tc>
          <w:tcPr>
            <w:tcW w:w="1173" w:type="dxa"/>
            <w:vAlign w:val="top"/>
          </w:tcPr>
          <w:p w14:paraId="27C65305">
            <w:pPr>
              <w:rPr>
                <w:rFonts w:ascii="Arial"/>
                <w:sz w:val="21"/>
              </w:rPr>
            </w:pPr>
          </w:p>
        </w:tc>
        <w:tc>
          <w:tcPr>
            <w:tcW w:w="1287" w:type="dxa"/>
            <w:vAlign w:val="top"/>
          </w:tcPr>
          <w:p w14:paraId="55F3A89E">
            <w:pPr>
              <w:rPr>
                <w:rFonts w:ascii="Arial"/>
                <w:sz w:val="21"/>
              </w:rPr>
            </w:pPr>
          </w:p>
        </w:tc>
        <w:tc>
          <w:tcPr>
            <w:tcW w:w="721" w:type="dxa"/>
            <w:vAlign w:val="top"/>
          </w:tcPr>
          <w:p w14:paraId="31446AC8">
            <w:pPr>
              <w:rPr>
                <w:rFonts w:ascii="Arial"/>
                <w:sz w:val="21"/>
              </w:rPr>
            </w:pPr>
          </w:p>
        </w:tc>
        <w:tc>
          <w:tcPr>
            <w:tcW w:w="721" w:type="dxa"/>
            <w:vAlign w:val="top"/>
          </w:tcPr>
          <w:p w14:paraId="7235DBF3">
            <w:pPr>
              <w:rPr>
                <w:rFonts w:ascii="Arial"/>
                <w:sz w:val="21"/>
              </w:rPr>
            </w:pPr>
          </w:p>
        </w:tc>
        <w:tc>
          <w:tcPr>
            <w:tcW w:w="1004" w:type="dxa"/>
            <w:vAlign w:val="top"/>
          </w:tcPr>
          <w:p w14:paraId="31D2C2F7">
            <w:pPr>
              <w:rPr>
                <w:rFonts w:ascii="Arial"/>
                <w:sz w:val="21"/>
              </w:rPr>
            </w:pPr>
          </w:p>
        </w:tc>
        <w:tc>
          <w:tcPr>
            <w:tcW w:w="721" w:type="dxa"/>
            <w:vAlign w:val="top"/>
          </w:tcPr>
          <w:p w14:paraId="1276E80F">
            <w:pPr>
              <w:rPr>
                <w:rFonts w:ascii="Arial"/>
                <w:sz w:val="21"/>
              </w:rPr>
            </w:pPr>
          </w:p>
        </w:tc>
        <w:tc>
          <w:tcPr>
            <w:tcW w:w="721" w:type="dxa"/>
            <w:vAlign w:val="top"/>
          </w:tcPr>
          <w:p w14:paraId="327290D7">
            <w:pPr>
              <w:rPr>
                <w:rFonts w:ascii="Arial"/>
                <w:sz w:val="21"/>
              </w:rPr>
            </w:pPr>
          </w:p>
        </w:tc>
        <w:tc>
          <w:tcPr>
            <w:tcW w:w="1287" w:type="dxa"/>
            <w:vAlign w:val="top"/>
          </w:tcPr>
          <w:p w14:paraId="4EDB7DFF">
            <w:pPr>
              <w:rPr>
                <w:rFonts w:ascii="Arial"/>
                <w:sz w:val="21"/>
              </w:rPr>
            </w:pPr>
          </w:p>
        </w:tc>
        <w:tc>
          <w:tcPr>
            <w:tcW w:w="735" w:type="dxa"/>
            <w:tcBorders>
              <w:right w:val="single" w:color="000000" w:sz="10" w:space="0"/>
            </w:tcBorders>
            <w:vAlign w:val="top"/>
          </w:tcPr>
          <w:p w14:paraId="16C684FD">
            <w:pPr>
              <w:rPr>
                <w:rFonts w:ascii="Arial"/>
                <w:sz w:val="21"/>
              </w:rPr>
            </w:pPr>
          </w:p>
        </w:tc>
      </w:tr>
      <w:tr w14:paraId="5BF7CE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3BE4225D">
            <w:pPr>
              <w:rPr>
                <w:rFonts w:ascii="Arial"/>
                <w:sz w:val="21"/>
              </w:rPr>
            </w:pPr>
          </w:p>
        </w:tc>
        <w:tc>
          <w:tcPr>
            <w:tcW w:w="1173" w:type="dxa"/>
            <w:vAlign w:val="top"/>
          </w:tcPr>
          <w:p w14:paraId="515075B5">
            <w:pPr>
              <w:rPr>
                <w:rFonts w:ascii="Arial"/>
                <w:sz w:val="21"/>
              </w:rPr>
            </w:pPr>
          </w:p>
        </w:tc>
        <w:tc>
          <w:tcPr>
            <w:tcW w:w="1287" w:type="dxa"/>
            <w:vAlign w:val="top"/>
          </w:tcPr>
          <w:p w14:paraId="67395793">
            <w:pPr>
              <w:rPr>
                <w:rFonts w:ascii="Arial"/>
                <w:sz w:val="21"/>
              </w:rPr>
            </w:pPr>
          </w:p>
        </w:tc>
        <w:tc>
          <w:tcPr>
            <w:tcW w:w="721" w:type="dxa"/>
            <w:vAlign w:val="top"/>
          </w:tcPr>
          <w:p w14:paraId="58CAC860">
            <w:pPr>
              <w:rPr>
                <w:rFonts w:ascii="Arial"/>
                <w:sz w:val="21"/>
              </w:rPr>
            </w:pPr>
          </w:p>
        </w:tc>
        <w:tc>
          <w:tcPr>
            <w:tcW w:w="721" w:type="dxa"/>
            <w:vAlign w:val="top"/>
          </w:tcPr>
          <w:p w14:paraId="3540D282">
            <w:pPr>
              <w:rPr>
                <w:rFonts w:ascii="Arial"/>
                <w:sz w:val="21"/>
              </w:rPr>
            </w:pPr>
          </w:p>
        </w:tc>
        <w:tc>
          <w:tcPr>
            <w:tcW w:w="1004" w:type="dxa"/>
            <w:vAlign w:val="top"/>
          </w:tcPr>
          <w:p w14:paraId="3B85191F">
            <w:pPr>
              <w:rPr>
                <w:rFonts w:ascii="Arial"/>
                <w:sz w:val="21"/>
              </w:rPr>
            </w:pPr>
          </w:p>
        </w:tc>
        <w:tc>
          <w:tcPr>
            <w:tcW w:w="721" w:type="dxa"/>
            <w:vAlign w:val="top"/>
          </w:tcPr>
          <w:p w14:paraId="51C0599B">
            <w:pPr>
              <w:rPr>
                <w:rFonts w:ascii="Arial"/>
                <w:sz w:val="21"/>
              </w:rPr>
            </w:pPr>
          </w:p>
        </w:tc>
        <w:tc>
          <w:tcPr>
            <w:tcW w:w="721" w:type="dxa"/>
            <w:vAlign w:val="top"/>
          </w:tcPr>
          <w:p w14:paraId="7DED5E56">
            <w:pPr>
              <w:rPr>
                <w:rFonts w:ascii="Arial"/>
                <w:sz w:val="21"/>
              </w:rPr>
            </w:pPr>
          </w:p>
        </w:tc>
        <w:tc>
          <w:tcPr>
            <w:tcW w:w="1287" w:type="dxa"/>
            <w:vAlign w:val="top"/>
          </w:tcPr>
          <w:p w14:paraId="50A0419A">
            <w:pPr>
              <w:rPr>
                <w:rFonts w:ascii="Arial"/>
                <w:sz w:val="21"/>
              </w:rPr>
            </w:pPr>
          </w:p>
        </w:tc>
        <w:tc>
          <w:tcPr>
            <w:tcW w:w="735" w:type="dxa"/>
            <w:tcBorders>
              <w:right w:val="single" w:color="000000" w:sz="10" w:space="0"/>
            </w:tcBorders>
            <w:vAlign w:val="top"/>
          </w:tcPr>
          <w:p w14:paraId="2344D00F">
            <w:pPr>
              <w:rPr>
                <w:rFonts w:ascii="Arial"/>
                <w:sz w:val="21"/>
              </w:rPr>
            </w:pPr>
          </w:p>
        </w:tc>
      </w:tr>
      <w:tr w14:paraId="45386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44298ED0">
            <w:pPr>
              <w:rPr>
                <w:rFonts w:ascii="Arial"/>
                <w:sz w:val="21"/>
              </w:rPr>
            </w:pPr>
          </w:p>
        </w:tc>
        <w:tc>
          <w:tcPr>
            <w:tcW w:w="1173" w:type="dxa"/>
            <w:vAlign w:val="top"/>
          </w:tcPr>
          <w:p w14:paraId="6D93686F">
            <w:pPr>
              <w:rPr>
                <w:rFonts w:ascii="Arial"/>
                <w:sz w:val="21"/>
              </w:rPr>
            </w:pPr>
          </w:p>
        </w:tc>
        <w:tc>
          <w:tcPr>
            <w:tcW w:w="1287" w:type="dxa"/>
            <w:vAlign w:val="top"/>
          </w:tcPr>
          <w:p w14:paraId="65736844">
            <w:pPr>
              <w:rPr>
                <w:rFonts w:ascii="Arial"/>
                <w:sz w:val="21"/>
              </w:rPr>
            </w:pPr>
          </w:p>
        </w:tc>
        <w:tc>
          <w:tcPr>
            <w:tcW w:w="721" w:type="dxa"/>
            <w:vAlign w:val="top"/>
          </w:tcPr>
          <w:p w14:paraId="75CADDFC">
            <w:pPr>
              <w:rPr>
                <w:rFonts w:ascii="Arial"/>
                <w:sz w:val="21"/>
              </w:rPr>
            </w:pPr>
          </w:p>
        </w:tc>
        <w:tc>
          <w:tcPr>
            <w:tcW w:w="721" w:type="dxa"/>
            <w:vAlign w:val="top"/>
          </w:tcPr>
          <w:p w14:paraId="099EB82A">
            <w:pPr>
              <w:rPr>
                <w:rFonts w:ascii="Arial"/>
                <w:sz w:val="21"/>
              </w:rPr>
            </w:pPr>
          </w:p>
        </w:tc>
        <w:tc>
          <w:tcPr>
            <w:tcW w:w="1004" w:type="dxa"/>
            <w:vAlign w:val="top"/>
          </w:tcPr>
          <w:p w14:paraId="028FCECE">
            <w:pPr>
              <w:rPr>
                <w:rFonts w:ascii="Arial"/>
                <w:sz w:val="21"/>
              </w:rPr>
            </w:pPr>
          </w:p>
        </w:tc>
        <w:tc>
          <w:tcPr>
            <w:tcW w:w="721" w:type="dxa"/>
            <w:vAlign w:val="top"/>
          </w:tcPr>
          <w:p w14:paraId="22D309FA">
            <w:pPr>
              <w:rPr>
                <w:rFonts w:ascii="Arial"/>
                <w:sz w:val="21"/>
              </w:rPr>
            </w:pPr>
          </w:p>
        </w:tc>
        <w:tc>
          <w:tcPr>
            <w:tcW w:w="721" w:type="dxa"/>
            <w:vAlign w:val="top"/>
          </w:tcPr>
          <w:p w14:paraId="07FD2A33">
            <w:pPr>
              <w:rPr>
                <w:rFonts w:ascii="Arial"/>
                <w:sz w:val="21"/>
              </w:rPr>
            </w:pPr>
          </w:p>
        </w:tc>
        <w:tc>
          <w:tcPr>
            <w:tcW w:w="1287" w:type="dxa"/>
            <w:vAlign w:val="top"/>
          </w:tcPr>
          <w:p w14:paraId="017E9E04">
            <w:pPr>
              <w:rPr>
                <w:rFonts w:ascii="Arial"/>
                <w:sz w:val="21"/>
              </w:rPr>
            </w:pPr>
          </w:p>
        </w:tc>
        <w:tc>
          <w:tcPr>
            <w:tcW w:w="735" w:type="dxa"/>
            <w:tcBorders>
              <w:right w:val="single" w:color="000000" w:sz="10" w:space="0"/>
            </w:tcBorders>
            <w:vAlign w:val="top"/>
          </w:tcPr>
          <w:p w14:paraId="5B177E80">
            <w:pPr>
              <w:rPr>
                <w:rFonts w:ascii="Arial"/>
                <w:sz w:val="21"/>
              </w:rPr>
            </w:pPr>
          </w:p>
        </w:tc>
      </w:tr>
      <w:tr w14:paraId="3D577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5D8EC250">
            <w:pPr>
              <w:rPr>
                <w:rFonts w:ascii="Arial"/>
                <w:sz w:val="21"/>
              </w:rPr>
            </w:pPr>
          </w:p>
        </w:tc>
        <w:tc>
          <w:tcPr>
            <w:tcW w:w="1173" w:type="dxa"/>
            <w:vAlign w:val="top"/>
          </w:tcPr>
          <w:p w14:paraId="4FB24DFF">
            <w:pPr>
              <w:rPr>
                <w:rFonts w:ascii="Arial"/>
                <w:sz w:val="21"/>
              </w:rPr>
            </w:pPr>
          </w:p>
        </w:tc>
        <w:tc>
          <w:tcPr>
            <w:tcW w:w="1287" w:type="dxa"/>
            <w:vAlign w:val="top"/>
          </w:tcPr>
          <w:p w14:paraId="469962F1">
            <w:pPr>
              <w:rPr>
                <w:rFonts w:ascii="Arial"/>
                <w:sz w:val="21"/>
              </w:rPr>
            </w:pPr>
          </w:p>
        </w:tc>
        <w:tc>
          <w:tcPr>
            <w:tcW w:w="721" w:type="dxa"/>
            <w:vAlign w:val="top"/>
          </w:tcPr>
          <w:p w14:paraId="1EA4C947">
            <w:pPr>
              <w:rPr>
                <w:rFonts w:ascii="Arial"/>
                <w:sz w:val="21"/>
              </w:rPr>
            </w:pPr>
          </w:p>
        </w:tc>
        <w:tc>
          <w:tcPr>
            <w:tcW w:w="721" w:type="dxa"/>
            <w:vAlign w:val="top"/>
          </w:tcPr>
          <w:p w14:paraId="7F5F31A4">
            <w:pPr>
              <w:rPr>
                <w:rFonts w:ascii="Arial"/>
                <w:sz w:val="21"/>
              </w:rPr>
            </w:pPr>
          </w:p>
        </w:tc>
        <w:tc>
          <w:tcPr>
            <w:tcW w:w="1004" w:type="dxa"/>
            <w:vAlign w:val="top"/>
          </w:tcPr>
          <w:p w14:paraId="233EF9A3">
            <w:pPr>
              <w:rPr>
                <w:rFonts w:ascii="Arial"/>
                <w:sz w:val="21"/>
              </w:rPr>
            </w:pPr>
          </w:p>
        </w:tc>
        <w:tc>
          <w:tcPr>
            <w:tcW w:w="721" w:type="dxa"/>
            <w:vAlign w:val="top"/>
          </w:tcPr>
          <w:p w14:paraId="3E6CD411">
            <w:pPr>
              <w:rPr>
                <w:rFonts w:ascii="Arial"/>
                <w:sz w:val="21"/>
              </w:rPr>
            </w:pPr>
          </w:p>
        </w:tc>
        <w:tc>
          <w:tcPr>
            <w:tcW w:w="721" w:type="dxa"/>
            <w:vAlign w:val="top"/>
          </w:tcPr>
          <w:p w14:paraId="1B3330E3">
            <w:pPr>
              <w:rPr>
                <w:rFonts w:ascii="Arial"/>
                <w:sz w:val="21"/>
              </w:rPr>
            </w:pPr>
          </w:p>
        </w:tc>
        <w:tc>
          <w:tcPr>
            <w:tcW w:w="1287" w:type="dxa"/>
            <w:vAlign w:val="top"/>
          </w:tcPr>
          <w:p w14:paraId="2D3745D4">
            <w:pPr>
              <w:rPr>
                <w:rFonts w:ascii="Arial"/>
                <w:sz w:val="21"/>
              </w:rPr>
            </w:pPr>
          </w:p>
        </w:tc>
        <w:tc>
          <w:tcPr>
            <w:tcW w:w="735" w:type="dxa"/>
            <w:tcBorders>
              <w:right w:val="single" w:color="000000" w:sz="10" w:space="0"/>
            </w:tcBorders>
            <w:vAlign w:val="top"/>
          </w:tcPr>
          <w:p w14:paraId="084B54D4">
            <w:pPr>
              <w:rPr>
                <w:rFonts w:ascii="Arial"/>
                <w:sz w:val="21"/>
              </w:rPr>
            </w:pPr>
          </w:p>
        </w:tc>
      </w:tr>
      <w:tr w14:paraId="66B72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6A863042">
            <w:pPr>
              <w:rPr>
                <w:rFonts w:ascii="Arial"/>
                <w:sz w:val="21"/>
              </w:rPr>
            </w:pPr>
          </w:p>
        </w:tc>
        <w:tc>
          <w:tcPr>
            <w:tcW w:w="1173" w:type="dxa"/>
            <w:vAlign w:val="top"/>
          </w:tcPr>
          <w:p w14:paraId="313FE548">
            <w:pPr>
              <w:rPr>
                <w:rFonts w:ascii="Arial"/>
                <w:sz w:val="21"/>
              </w:rPr>
            </w:pPr>
          </w:p>
        </w:tc>
        <w:tc>
          <w:tcPr>
            <w:tcW w:w="1287" w:type="dxa"/>
            <w:vAlign w:val="top"/>
          </w:tcPr>
          <w:p w14:paraId="350FE465">
            <w:pPr>
              <w:rPr>
                <w:rFonts w:ascii="Arial"/>
                <w:sz w:val="21"/>
              </w:rPr>
            </w:pPr>
          </w:p>
        </w:tc>
        <w:tc>
          <w:tcPr>
            <w:tcW w:w="721" w:type="dxa"/>
            <w:vAlign w:val="top"/>
          </w:tcPr>
          <w:p w14:paraId="1FB6B5EE">
            <w:pPr>
              <w:rPr>
                <w:rFonts w:ascii="Arial"/>
                <w:sz w:val="21"/>
              </w:rPr>
            </w:pPr>
          </w:p>
        </w:tc>
        <w:tc>
          <w:tcPr>
            <w:tcW w:w="721" w:type="dxa"/>
            <w:vAlign w:val="top"/>
          </w:tcPr>
          <w:p w14:paraId="48D2458B">
            <w:pPr>
              <w:rPr>
                <w:rFonts w:ascii="Arial"/>
                <w:sz w:val="21"/>
              </w:rPr>
            </w:pPr>
          </w:p>
        </w:tc>
        <w:tc>
          <w:tcPr>
            <w:tcW w:w="1004" w:type="dxa"/>
            <w:vAlign w:val="top"/>
          </w:tcPr>
          <w:p w14:paraId="3B041B8C">
            <w:pPr>
              <w:rPr>
                <w:rFonts w:ascii="Arial"/>
                <w:sz w:val="21"/>
              </w:rPr>
            </w:pPr>
          </w:p>
        </w:tc>
        <w:tc>
          <w:tcPr>
            <w:tcW w:w="721" w:type="dxa"/>
            <w:vAlign w:val="top"/>
          </w:tcPr>
          <w:p w14:paraId="00ACBEB3">
            <w:pPr>
              <w:rPr>
                <w:rFonts w:ascii="Arial"/>
                <w:sz w:val="21"/>
              </w:rPr>
            </w:pPr>
          </w:p>
        </w:tc>
        <w:tc>
          <w:tcPr>
            <w:tcW w:w="721" w:type="dxa"/>
            <w:vAlign w:val="top"/>
          </w:tcPr>
          <w:p w14:paraId="09A9C5DC">
            <w:pPr>
              <w:rPr>
                <w:rFonts w:ascii="Arial"/>
                <w:sz w:val="21"/>
              </w:rPr>
            </w:pPr>
          </w:p>
        </w:tc>
        <w:tc>
          <w:tcPr>
            <w:tcW w:w="1287" w:type="dxa"/>
            <w:vAlign w:val="top"/>
          </w:tcPr>
          <w:p w14:paraId="4AFEBE6B">
            <w:pPr>
              <w:rPr>
                <w:rFonts w:ascii="Arial"/>
                <w:sz w:val="21"/>
              </w:rPr>
            </w:pPr>
          </w:p>
        </w:tc>
        <w:tc>
          <w:tcPr>
            <w:tcW w:w="735" w:type="dxa"/>
            <w:tcBorders>
              <w:right w:val="single" w:color="000000" w:sz="10" w:space="0"/>
            </w:tcBorders>
            <w:vAlign w:val="top"/>
          </w:tcPr>
          <w:p w14:paraId="03B02C08">
            <w:pPr>
              <w:rPr>
                <w:rFonts w:ascii="Arial"/>
                <w:sz w:val="21"/>
              </w:rPr>
            </w:pPr>
          </w:p>
        </w:tc>
      </w:tr>
      <w:tr w14:paraId="16BAF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1F43E0CF">
            <w:pPr>
              <w:rPr>
                <w:rFonts w:ascii="Arial"/>
                <w:sz w:val="21"/>
              </w:rPr>
            </w:pPr>
          </w:p>
        </w:tc>
        <w:tc>
          <w:tcPr>
            <w:tcW w:w="1173" w:type="dxa"/>
            <w:vAlign w:val="top"/>
          </w:tcPr>
          <w:p w14:paraId="21D34B24">
            <w:pPr>
              <w:rPr>
                <w:rFonts w:ascii="Arial"/>
                <w:sz w:val="21"/>
              </w:rPr>
            </w:pPr>
          </w:p>
        </w:tc>
        <w:tc>
          <w:tcPr>
            <w:tcW w:w="1287" w:type="dxa"/>
            <w:vAlign w:val="top"/>
          </w:tcPr>
          <w:p w14:paraId="68EFFE40">
            <w:pPr>
              <w:rPr>
                <w:rFonts w:ascii="Arial"/>
                <w:sz w:val="21"/>
              </w:rPr>
            </w:pPr>
          </w:p>
        </w:tc>
        <w:tc>
          <w:tcPr>
            <w:tcW w:w="721" w:type="dxa"/>
            <w:vAlign w:val="top"/>
          </w:tcPr>
          <w:p w14:paraId="1301F551">
            <w:pPr>
              <w:rPr>
                <w:rFonts w:ascii="Arial"/>
                <w:sz w:val="21"/>
              </w:rPr>
            </w:pPr>
          </w:p>
        </w:tc>
        <w:tc>
          <w:tcPr>
            <w:tcW w:w="721" w:type="dxa"/>
            <w:vAlign w:val="top"/>
          </w:tcPr>
          <w:p w14:paraId="2000DFB4">
            <w:pPr>
              <w:rPr>
                <w:rFonts w:ascii="Arial"/>
                <w:sz w:val="21"/>
              </w:rPr>
            </w:pPr>
          </w:p>
        </w:tc>
        <w:tc>
          <w:tcPr>
            <w:tcW w:w="1004" w:type="dxa"/>
            <w:vAlign w:val="top"/>
          </w:tcPr>
          <w:p w14:paraId="301DB93A">
            <w:pPr>
              <w:rPr>
                <w:rFonts w:ascii="Arial"/>
                <w:sz w:val="21"/>
              </w:rPr>
            </w:pPr>
          </w:p>
        </w:tc>
        <w:tc>
          <w:tcPr>
            <w:tcW w:w="721" w:type="dxa"/>
            <w:vAlign w:val="top"/>
          </w:tcPr>
          <w:p w14:paraId="78C30EFA">
            <w:pPr>
              <w:rPr>
                <w:rFonts w:ascii="Arial"/>
                <w:sz w:val="21"/>
              </w:rPr>
            </w:pPr>
          </w:p>
        </w:tc>
        <w:tc>
          <w:tcPr>
            <w:tcW w:w="721" w:type="dxa"/>
            <w:vAlign w:val="top"/>
          </w:tcPr>
          <w:p w14:paraId="012F467B">
            <w:pPr>
              <w:rPr>
                <w:rFonts w:ascii="Arial"/>
                <w:sz w:val="21"/>
              </w:rPr>
            </w:pPr>
          </w:p>
        </w:tc>
        <w:tc>
          <w:tcPr>
            <w:tcW w:w="1287" w:type="dxa"/>
            <w:vAlign w:val="top"/>
          </w:tcPr>
          <w:p w14:paraId="1F4A1E8A">
            <w:pPr>
              <w:rPr>
                <w:rFonts w:ascii="Arial"/>
                <w:sz w:val="21"/>
              </w:rPr>
            </w:pPr>
          </w:p>
        </w:tc>
        <w:tc>
          <w:tcPr>
            <w:tcW w:w="735" w:type="dxa"/>
            <w:tcBorders>
              <w:right w:val="single" w:color="000000" w:sz="10" w:space="0"/>
            </w:tcBorders>
            <w:vAlign w:val="top"/>
          </w:tcPr>
          <w:p w14:paraId="565DA6EC">
            <w:pPr>
              <w:rPr>
                <w:rFonts w:ascii="Arial"/>
                <w:sz w:val="21"/>
              </w:rPr>
            </w:pPr>
          </w:p>
        </w:tc>
      </w:tr>
      <w:tr w14:paraId="140C56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1E0BA3FF">
            <w:pPr>
              <w:rPr>
                <w:rFonts w:ascii="Arial"/>
                <w:sz w:val="21"/>
              </w:rPr>
            </w:pPr>
          </w:p>
        </w:tc>
        <w:tc>
          <w:tcPr>
            <w:tcW w:w="1173" w:type="dxa"/>
            <w:vAlign w:val="top"/>
          </w:tcPr>
          <w:p w14:paraId="58CF6A0C">
            <w:pPr>
              <w:rPr>
                <w:rFonts w:ascii="Arial"/>
                <w:sz w:val="21"/>
              </w:rPr>
            </w:pPr>
          </w:p>
        </w:tc>
        <w:tc>
          <w:tcPr>
            <w:tcW w:w="1287" w:type="dxa"/>
            <w:vAlign w:val="top"/>
          </w:tcPr>
          <w:p w14:paraId="546C18F2">
            <w:pPr>
              <w:rPr>
                <w:rFonts w:ascii="Arial"/>
                <w:sz w:val="21"/>
              </w:rPr>
            </w:pPr>
          </w:p>
        </w:tc>
        <w:tc>
          <w:tcPr>
            <w:tcW w:w="721" w:type="dxa"/>
            <w:vAlign w:val="top"/>
          </w:tcPr>
          <w:p w14:paraId="604683F5">
            <w:pPr>
              <w:rPr>
                <w:rFonts w:ascii="Arial"/>
                <w:sz w:val="21"/>
              </w:rPr>
            </w:pPr>
          </w:p>
        </w:tc>
        <w:tc>
          <w:tcPr>
            <w:tcW w:w="721" w:type="dxa"/>
            <w:vAlign w:val="top"/>
          </w:tcPr>
          <w:p w14:paraId="6A32100E">
            <w:pPr>
              <w:rPr>
                <w:rFonts w:ascii="Arial"/>
                <w:sz w:val="21"/>
              </w:rPr>
            </w:pPr>
          </w:p>
        </w:tc>
        <w:tc>
          <w:tcPr>
            <w:tcW w:w="1004" w:type="dxa"/>
            <w:vAlign w:val="top"/>
          </w:tcPr>
          <w:p w14:paraId="46663E49">
            <w:pPr>
              <w:rPr>
                <w:rFonts w:ascii="Arial"/>
                <w:sz w:val="21"/>
              </w:rPr>
            </w:pPr>
          </w:p>
        </w:tc>
        <w:tc>
          <w:tcPr>
            <w:tcW w:w="721" w:type="dxa"/>
            <w:vAlign w:val="top"/>
          </w:tcPr>
          <w:p w14:paraId="14882E1E">
            <w:pPr>
              <w:rPr>
                <w:rFonts w:ascii="Arial"/>
                <w:sz w:val="21"/>
              </w:rPr>
            </w:pPr>
          </w:p>
        </w:tc>
        <w:tc>
          <w:tcPr>
            <w:tcW w:w="721" w:type="dxa"/>
            <w:vAlign w:val="top"/>
          </w:tcPr>
          <w:p w14:paraId="63C9EB72">
            <w:pPr>
              <w:rPr>
                <w:rFonts w:ascii="Arial"/>
                <w:sz w:val="21"/>
              </w:rPr>
            </w:pPr>
          </w:p>
        </w:tc>
        <w:tc>
          <w:tcPr>
            <w:tcW w:w="1287" w:type="dxa"/>
            <w:vAlign w:val="top"/>
          </w:tcPr>
          <w:p w14:paraId="038C4FA3">
            <w:pPr>
              <w:rPr>
                <w:rFonts w:ascii="Arial"/>
                <w:sz w:val="21"/>
              </w:rPr>
            </w:pPr>
          </w:p>
        </w:tc>
        <w:tc>
          <w:tcPr>
            <w:tcW w:w="735" w:type="dxa"/>
            <w:tcBorders>
              <w:right w:val="single" w:color="000000" w:sz="10" w:space="0"/>
            </w:tcBorders>
            <w:vAlign w:val="top"/>
          </w:tcPr>
          <w:p w14:paraId="4AD25144">
            <w:pPr>
              <w:rPr>
                <w:rFonts w:ascii="Arial"/>
                <w:sz w:val="21"/>
              </w:rPr>
            </w:pPr>
          </w:p>
        </w:tc>
      </w:tr>
      <w:tr w14:paraId="50F5A6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6AFE834B">
            <w:pPr>
              <w:rPr>
                <w:rFonts w:ascii="Arial"/>
                <w:sz w:val="21"/>
              </w:rPr>
            </w:pPr>
          </w:p>
        </w:tc>
        <w:tc>
          <w:tcPr>
            <w:tcW w:w="1173" w:type="dxa"/>
            <w:vAlign w:val="top"/>
          </w:tcPr>
          <w:p w14:paraId="6B57B3F2">
            <w:pPr>
              <w:rPr>
                <w:rFonts w:ascii="Arial"/>
                <w:sz w:val="21"/>
              </w:rPr>
            </w:pPr>
          </w:p>
        </w:tc>
        <w:tc>
          <w:tcPr>
            <w:tcW w:w="1287" w:type="dxa"/>
            <w:vAlign w:val="top"/>
          </w:tcPr>
          <w:p w14:paraId="53B608BC">
            <w:pPr>
              <w:rPr>
                <w:rFonts w:ascii="Arial"/>
                <w:sz w:val="21"/>
              </w:rPr>
            </w:pPr>
          </w:p>
        </w:tc>
        <w:tc>
          <w:tcPr>
            <w:tcW w:w="721" w:type="dxa"/>
            <w:vAlign w:val="top"/>
          </w:tcPr>
          <w:p w14:paraId="4EEF9A25">
            <w:pPr>
              <w:rPr>
                <w:rFonts w:ascii="Arial"/>
                <w:sz w:val="21"/>
              </w:rPr>
            </w:pPr>
          </w:p>
        </w:tc>
        <w:tc>
          <w:tcPr>
            <w:tcW w:w="721" w:type="dxa"/>
            <w:vAlign w:val="top"/>
          </w:tcPr>
          <w:p w14:paraId="2E961A40">
            <w:pPr>
              <w:rPr>
                <w:rFonts w:ascii="Arial"/>
                <w:sz w:val="21"/>
              </w:rPr>
            </w:pPr>
          </w:p>
        </w:tc>
        <w:tc>
          <w:tcPr>
            <w:tcW w:w="1004" w:type="dxa"/>
            <w:vAlign w:val="top"/>
          </w:tcPr>
          <w:p w14:paraId="34388823">
            <w:pPr>
              <w:rPr>
                <w:rFonts w:ascii="Arial"/>
                <w:sz w:val="21"/>
              </w:rPr>
            </w:pPr>
          </w:p>
        </w:tc>
        <w:tc>
          <w:tcPr>
            <w:tcW w:w="721" w:type="dxa"/>
            <w:vAlign w:val="top"/>
          </w:tcPr>
          <w:p w14:paraId="7DB21E53">
            <w:pPr>
              <w:rPr>
                <w:rFonts w:ascii="Arial"/>
                <w:sz w:val="21"/>
              </w:rPr>
            </w:pPr>
          </w:p>
        </w:tc>
        <w:tc>
          <w:tcPr>
            <w:tcW w:w="721" w:type="dxa"/>
            <w:vAlign w:val="top"/>
          </w:tcPr>
          <w:p w14:paraId="47B97638">
            <w:pPr>
              <w:rPr>
                <w:rFonts w:ascii="Arial"/>
                <w:sz w:val="21"/>
              </w:rPr>
            </w:pPr>
          </w:p>
        </w:tc>
        <w:tc>
          <w:tcPr>
            <w:tcW w:w="1287" w:type="dxa"/>
            <w:vAlign w:val="top"/>
          </w:tcPr>
          <w:p w14:paraId="5FB0A325">
            <w:pPr>
              <w:rPr>
                <w:rFonts w:ascii="Arial"/>
                <w:sz w:val="21"/>
              </w:rPr>
            </w:pPr>
          </w:p>
        </w:tc>
        <w:tc>
          <w:tcPr>
            <w:tcW w:w="735" w:type="dxa"/>
            <w:tcBorders>
              <w:right w:val="single" w:color="000000" w:sz="10" w:space="0"/>
            </w:tcBorders>
            <w:vAlign w:val="top"/>
          </w:tcPr>
          <w:p w14:paraId="6660E4CE">
            <w:pPr>
              <w:rPr>
                <w:rFonts w:ascii="Arial"/>
                <w:sz w:val="21"/>
              </w:rPr>
            </w:pPr>
          </w:p>
        </w:tc>
      </w:tr>
      <w:tr w14:paraId="0DDFB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505" w:type="dxa"/>
            <w:tcBorders>
              <w:left w:val="single" w:color="000000" w:sz="10" w:space="0"/>
            </w:tcBorders>
            <w:vAlign w:val="top"/>
          </w:tcPr>
          <w:p w14:paraId="329CFA07">
            <w:pPr>
              <w:rPr>
                <w:rFonts w:ascii="Arial"/>
                <w:sz w:val="21"/>
              </w:rPr>
            </w:pPr>
          </w:p>
        </w:tc>
        <w:tc>
          <w:tcPr>
            <w:tcW w:w="1173" w:type="dxa"/>
            <w:vAlign w:val="top"/>
          </w:tcPr>
          <w:p w14:paraId="7ADFFF83">
            <w:pPr>
              <w:rPr>
                <w:rFonts w:ascii="Arial"/>
                <w:sz w:val="21"/>
              </w:rPr>
            </w:pPr>
          </w:p>
        </w:tc>
        <w:tc>
          <w:tcPr>
            <w:tcW w:w="1287" w:type="dxa"/>
            <w:vAlign w:val="top"/>
          </w:tcPr>
          <w:p w14:paraId="4DAA0315">
            <w:pPr>
              <w:rPr>
                <w:rFonts w:ascii="Arial"/>
                <w:sz w:val="21"/>
              </w:rPr>
            </w:pPr>
          </w:p>
        </w:tc>
        <w:tc>
          <w:tcPr>
            <w:tcW w:w="721" w:type="dxa"/>
            <w:vAlign w:val="top"/>
          </w:tcPr>
          <w:p w14:paraId="4E86B3DB">
            <w:pPr>
              <w:rPr>
                <w:rFonts w:ascii="Arial"/>
                <w:sz w:val="21"/>
              </w:rPr>
            </w:pPr>
          </w:p>
        </w:tc>
        <w:tc>
          <w:tcPr>
            <w:tcW w:w="721" w:type="dxa"/>
            <w:vAlign w:val="top"/>
          </w:tcPr>
          <w:p w14:paraId="48FEC6E3">
            <w:pPr>
              <w:rPr>
                <w:rFonts w:ascii="Arial"/>
                <w:sz w:val="21"/>
              </w:rPr>
            </w:pPr>
          </w:p>
        </w:tc>
        <w:tc>
          <w:tcPr>
            <w:tcW w:w="1004" w:type="dxa"/>
            <w:vAlign w:val="top"/>
          </w:tcPr>
          <w:p w14:paraId="2653015C">
            <w:pPr>
              <w:rPr>
                <w:rFonts w:ascii="Arial"/>
                <w:sz w:val="21"/>
              </w:rPr>
            </w:pPr>
          </w:p>
        </w:tc>
        <w:tc>
          <w:tcPr>
            <w:tcW w:w="721" w:type="dxa"/>
            <w:vAlign w:val="top"/>
          </w:tcPr>
          <w:p w14:paraId="7230C8C5">
            <w:pPr>
              <w:rPr>
                <w:rFonts w:ascii="Arial"/>
                <w:sz w:val="21"/>
              </w:rPr>
            </w:pPr>
          </w:p>
        </w:tc>
        <w:tc>
          <w:tcPr>
            <w:tcW w:w="721" w:type="dxa"/>
            <w:vAlign w:val="top"/>
          </w:tcPr>
          <w:p w14:paraId="0BAB78A9">
            <w:pPr>
              <w:rPr>
                <w:rFonts w:ascii="Arial"/>
                <w:sz w:val="21"/>
              </w:rPr>
            </w:pPr>
          </w:p>
        </w:tc>
        <w:tc>
          <w:tcPr>
            <w:tcW w:w="1287" w:type="dxa"/>
            <w:vAlign w:val="top"/>
          </w:tcPr>
          <w:p w14:paraId="00687135">
            <w:pPr>
              <w:rPr>
                <w:rFonts w:ascii="Arial"/>
                <w:sz w:val="21"/>
              </w:rPr>
            </w:pPr>
          </w:p>
        </w:tc>
        <w:tc>
          <w:tcPr>
            <w:tcW w:w="735" w:type="dxa"/>
            <w:tcBorders>
              <w:right w:val="single" w:color="000000" w:sz="10" w:space="0"/>
            </w:tcBorders>
            <w:vAlign w:val="top"/>
          </w:tcPr>
          <w:p w14:paraId="11F8CFFD">
            <w:pPr>
              <w:rPr>
                <w:rFonts w:ascii="Arial"/>
                <w:sz w:val="21"/>
              </w:rPr>
            </w:pPr>
          </w:p>
        </w:tc>
      </w:tr>
      <w:tr w14:paraId="10D17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505" w:type="dxa"/>
            <w:tcBorders>
              <w:left w:val="single" w:color="000000" w:sz="10" w:space="0"/>
              <w:bottom w:val="single" w:color="000000" w:sz="10" w:space="0"/>
            </w:tcBorders>
            <w:vAlign w:val="top"/>
          </w:tcPr>
          <w:p w14:paraId="76B3B4DE">
            <w:pPr>
              <w:rPr>
                <w:rFonts w:ascii="Arial"/>
                <w:sz w:val="21"/>
              </w:rPr>
            </w:pPr>
          </w:p>
        </w:tc>
        <w:tc>
          <w:tcPr>
            <w:tcW w:w="1173" w:type="dxa"/>
            <w:tcBorders>
              <w:bottom w:val="single" w:color="000000" w:sz="10" w:space="0"/>
            </w:tcBorders>
            <w:vAlign w:val="top"/>
          </w:tcPr>
          <w:p w14:paraId="18D529C1">
            <w:pPr>
              <w:rPr>
                <w:rFonts w:ascii="Arial"/>
                <w:sz w:val="21"/>
              </w:rPr>
            </w:pPr>
          </w:p>
        </w:tc>
        <w:tc>
          <w:tcPr>
            <w:tcW w:w="1287" w:type="dxa"/>
            <w:tcBorders>
              <w:bottom w:val="single" w:color="000000" w:sz="10" w:space="0"/>
            </w:tcBorders>
            <w:vAlign w:val="top"/>
          </w:tcPr>
          <w:p w14:paraId="52E30C61">
            <w:pPr>
              <w:rPr>
                <w:rFonts w:ascii="Arial"/>
                <w:sz w:val="21"/>
              </w:rPr>
            </w:pPr>
          </w:p>
        </w:tc>
        <w:tc>
          <w:tcPr>
            <w:tcW w:w="721" w:type="dxa"/>
            <w:tcBorders>
              <w:bottom w:val="single" w:color="000000" w:sz="10" w:space="0"/>
            </w:tcBorders>
            <w:vAlign w:val="top"/>
          </w:tcPr>
          <w:p w14:paraId="33077FE1">
            <w:pPr>
              <w:rPr>
                <w:rFonts w:ascii="Arial"/>
                <w:sz w:val="21"/>
              </w:rPr>
            </w:pPr>
          </w:p>
        </w:tc>
        <w:tc>
          <w:tcPr>
            <w:tcW w:w="721" w:type="dxa"/>
            <w:tcBorders>
              <w:bottom w:val="single" w:color="000000" w:sz="10" w:space="0"/>
            </w:tcBorders>
            <w:vAlign w:val="top"/>
          </w:tcPr>
          <w:p w14:paraId="223C5EC3">
            <w:pPr>
              <w:rPr>
                <w:rFonts w:ascii="Arial"/>
                <w:sz w:val="21"/>
              </w:rPr>
            </w:pPr>
          </w:p>
        </w:tc>
        <w:tc>
          <w:tcPr>
            <w:tcW w:w="1004" w:type="dxa"/>
            <w:tcBorders>
              <w:bottom w:val="single" w:color="000000" w:sz="10" w:space="0"/>
            </w:tcBorders>
            <w:vAlign w:val="top"/>
          </w:tcPr>
          <w:p w14:paraId="22E85FB4">
            <w:pPr>
              <w:rPr>
                <w:rFonts w:ascii="Arial"/>
                <w:sz w:val="21"/>
              </w:rPr>
            </w:pPr>
          </w:p>
        </w:tc>
        <w:tc>
          <w:tcPr>
            <w:tcW w:w="721" w:type="dxa"/>
            <w:tcBorders>
              <w:bottom w:val="single" w:color="000000" w:sz="10" w:space="0"/>
            </w:tcBorders>
            <w:vAlign w:val="top"/>
          </w:tcPr>
          <w:p w14:paraId="22ECE5EF">
            <w:pPr>
              <w:rPr>
                <w:rFonts w:ascii="Arial"/>
                <w:sz w:val="21"/>
              </w:rPr>
            </w:pPr>
          </w:p>
        </w:tc>
        <w:tc>
          <w:tcPr>
            <w:tcW w:w="721" w:type="dxa"/>
            <w:tcBorders>
              <w:bottom w:val="single" w:color="000000" w:sz="10" w:space="0"/>
            </w:tcBorders>
            <w:vAlign w:val="top"/>
          </w:tcPr>
          <w:p w14:paraId="5976BF4E">
            <w:pPr>
              <w:rPr>
                <w:rFonts w:ascii="Arial"/>
                <w:sz w:val="21"/>
              </w:rPr>
            </w:pPr>
          </w:p>
        </w:tc>
        <w:tc>
          <w:tcPr>
            <w:tcW w:w="1287" w:type="dxa"/>
            <w:tcBorders>
              <w:bottom w:val="single" w:color="000000" w:sz="10" w:space="0"/>
            </w:tcBorders>
            <w:vAlign w:val="top"/>
          </w:tcPr>
          <w:p w14:paraId="14FC8E43">
            <w:pPr>
              <w:rPr>
                <w:rFonts w:ascii="Arial"/>
                <w:sz w:val="21"/>
              </w:rPr>
            </w:pPr>
          </w:p>
        </w:tc>
        <w:tc>
          <w:tcPr>
            <w:tcW w:w="735" w:type="dxa"/>
            <w:tcBorders>
              <w:bottom w:val="single" w:color="000000" w:sz="10" w:space="0"/>
              <w:right w:val="single" w:color="000000" w:sz="10" w:space="0"/>
            </w:tcBorders>
            <w:vAlign w:val="top"/>
          </w:tcPr>
          <w:p w14:paraId="3F9E66B8">
            <w:pPr>
              <w:rPr>
                <w:rFonts w:ascii="Arial"/>
                <w:sz w:val="21"/>
              </w:rPr>
            </w:pPr>
          </w:p>
        </w:tc>
      </w:tr>
    </w:tbl>
    <w:p w14:paraId="6D771A0C">
      <w:pPr>
        <w:rPr>
          <w:rFonts w:ascii="Arial"/>
          <w:sz w:val="21"/>
        </w:rPr>
      </w:pPr>
    </w:p>
    <w:p w14:paraId="005EBE01">
      <w:pPr>
        <w:rPr>
          <w:rFonts w:ascii="Arial" w:hAnsi="Arial" w:eastAsia="Arial" w:cs="Arial"/>
          <w:sz w:val="21"/>
          <w:szCs w:val="21"/>
        </w:rPr>
        <w:sectPr>
          <w:footerReference r:id="rId423" w:type="default"/>
          <w:pgSz w:w="11907" w:h="16840"/>
          <w:pgMar w:top="400" w:right="1531" w:bottom="1105" w:left="1474" w:header="0" w:footer="943" w:gutter="0"/>
          <w:cols w:space="720" w:num="1"/>
        </w:sectPr>
      </w:pPr>
    </w:p>
    <w:p w14:paraId="331E1DA6">
      <w:pPr>
        <w:spacing w:line="280" w:lineRule="auto"/>
        <w:rPr>
          <w:rFonts w:ascii="Arial"/>
          <w:sz w:val="21"/>
        </w:rPr>
      </w:pPr>
    </w:p>
    <w:p w14:paraId="0F1B2202">
      <w:pPr>
        <w:spacing w:line="280" w:lineRule="auto"/>
        <w:rPr>
          <w:rFonts w:ascii="Arial"/>
          <w:sz w:val="21"/>
        </w:rPr>
      </w:pPr>
    </w:p>
    <w:p w14:paraId="1F5A77FA">
      <w:pPr>
        <w:spacing w:line="281" w:lineRule="auto"/>
        <w:rPr>
          <w:rFonts w:ascii="Arial"/>
          <w:sz w:val="21"/>
        </w:rPr>
      </w:pPr>
    </w:p>
    <w:p w14:paraId="21D2AA08">
      <w:pPr>
        <w:spacing w:line="281" w:lineRule="auto"/>
        <w:rPr>
          <w:rFonts w:ascii="Arial"/>
          <w:sz w:val="21"/>
        </w:rPr>
      </w:pPr>
    </w:p>
    <w:p w14:paraId="4601E2E9">
      <w:pPr>
        <w:spacing w:line="281" w:lineRule="auto"/>
        <w:rPr>
          <w:rFonts w:ascii="Arial"/>
          <w:sz w:val="21"/>
        </w:rPr>
      </w:pPr>
    </w:p>
    <w:p w14:paraId="379686EF">
      <w:pPr>
        <w:pStyle w:val="2"/>
        <w:spacing w:before="91" w:line="225" w:lineRule="auto"/>
        <w:ind w:left="27"/>
        <w:rPr>
          <w:sz w:val="28"/>
          <w:szCs w:val="28"/>
        </w:rPr>
      </w:pPr>
      <w:r>
        <w:rPr>
          <w:spacing w:val="-9"/>
          <w:sz w:val="28"/>
          <w:szCs w:val="28"/>
        </w:rPr>
        <w:t>附件</w:t>
      </w:r>
      <w:r>
        <w:rPr>
          <w:spacing w:val="-60"/>
          <w:sz w:val="28"/>
          <w:szCs w:val="28"/>
        </w:rPr>
        <w:t xml:space="preserve"> </w:t>
      </w:r>
      <w:r>
        <w:rPr>
          <w:rFonts w:ascii="Times New Roman" w:hAnsi="Times New Roman" w:eastAsia="Times New Roman" w:cs="Times New Roman"/>
          <w:spacing w:val="-9"/>
          <w:sz w:val="28"/>
          <w:szCs w:val="28"/>
        </w:rPr>
        <w:t>3</w:t>
      </w:r>
      <w:r>
        <w:rPr>
          <w:spacing w:val="-9"/>
          <w:sz w:val="28"/>
          <w:szCs w:val="28"/>
        </w:rPr>
        <w:t>：</w:t>
      </w:r>
    </w:p>
    <w:p w14:paraId="4CDA0F08">
      <w:pPr>
        <w:spacing w:before="214" w:line="183" w:lineRule="auto"/>
        <w:ind w:left="3478"/>
        <w:rPr>
          <w:rFonts w:ascii="微软雅黑" w:hAnsi="微软雅黑" w:eastAsia="微软雅黑" w:cs="微软雅黑"/>
          <w:sz w:val="28"/>
          <w:szCs w:val="28"/>
        </w:rPr>
      </w:pPr>
      <w:r>
        <w:rPr>
          <w:rFonts w:ascii="微软雅黑" w:hAnsi="微软雅黑" w:eastAsia="微软雅黑" w:cs="微软雅黑"/>
          <w:spacing w:val="-1"/>
          <w:sz w:val="28"/>
          <w:szCs w:val="28"/>
        </w:rPr>
        <w:t>工程质量保修书</w:t>
      </w:r>
    </w:p>
    <w:p w14:paraId="618C3259">
      <w:pPr>
        <w:spacing w:line="311" w:lineRule="auto"/>
        <w:rPr>
          <w:rFonts w:ascii="Arial"/>
          <w:sz w:val="21"/>
        </w:rPr>
      </w:pPr>
    </w:p>
    <w:p w14:paraId="1D2C12FF">
      <w:pPr>
        <w:spacing w:before="65" w:line="229" w:lineRule="auto"/>
        <w:ind w:left="440"/>
        <w:rPr>
          <w:rFonts w:ascii="仿宋" w:hAnsi="仿宋" w:eastAsia="仿宋" w:cs="仿宋"/>
          <w:sz w:val="20"/>
          <w:szCs w:val="20"/>
        </w:rPr>
      </w:pPr>
      <w:r>
        <w:rPr>
          <w:rFonts w:ascii="仿宋" w:hAnsi="仿宋" w:eastAsia="仿宋" w:cs="仿宋"/>
          <w:spacing w:val="6"/>
          <w:sz w:val="20"/>
          <w:szCs w:val="20"/>
        </w:rPr>
        <w:t>发包人（全称</w:t>
      </w:r>
      <w:r>
        <w:rPr>
          <w:rFonts w:ascii="仿宋" w:hAnsi="仿宋" w:eastAsia="仿宋" w:cs="仿宋"/>
          <w:spacing w:val="-53"/>
          <w:sz w:val="20"/>
          <w:szCs w:val="20"/>
        </w:rPr>
        <w:t>）：</w:t>
      </w:r>
      <w:r>
        <w:rPr>
          <w:rFonts w:ascii="仿宋" w:hAnsi="仿宋" w:eastAsia="仿宋" w:cs="仿宋"/>
          <w:spacing w:val="-77"/>
          <w:sz w:val="20"/>
          <w:szCs w:val="20"/>
        </w:rPr>
        <w:t xml:space="preserve"> </w:t>
      </w:r>
      <w:r>
        <w:rPr>
          <w:rFonts w:ascii="仿宋" w:hAnsi="仿宋" w:eastAsia="仿宋" w:cs="仿宋"/>
          <w:sz w:val="20"/>
          <w:szCs w:val="20"/>
          <w:u w:val="single" w:color="auto"/>
        </w:rPr>
        <w:t xml:space="preserve">                                   </w:t>
      </w:r>
    </w:p>
    <w:p w14:paraId="1852DBC7">
      <w:pPr>
        <w:spacing w:before="159" w:line="229" w:lineRule="auto"/>
        <w:ind w:left="434"/>
        <w:rPr>
          <w:rFonts w:ascii="仿宋" w:hAnsi="仿宋" w:eastAsia="仿宋" w:cs="仿宋"/>
          <w:sz w:val="20"/>
          <w:szCs w:val="20"/>
        </w:rPr>
      </w:pPr>
      <w:r>
        <w:rPr>
          <w:rFonts w:ascii="仿宋" w:hAnsi="仿宋" w:eastAsia="仿宋" w:cs="仿宋"/>
          <w:spacing w:val="7"/>
          <w:sz w:val="20"/>
          <w:szCs w:val="20"/>
        </w:rPr>
        <w:t>承包人（全称</w:t>
      </w:r>
      <w:r>
        <w:rPr>
          <w:rFonts w:ascii="仿宋" w:hAnsi="仿宋" w:eastAsia="仿宋" w:cs="仿宋"/>
          <w:spacing w:val="-54"/>
          <w:sz w:val="20"/>
          <w:szCs w:val="20"/>
        </w:rPr>
        <w:t>）：</w:t>
      </w:r>
      <w:r>
        <w:rPr>
          <w:rFonts w:ascii="仿宋" w:hAnsi="仿宋" w:eastAsia="仿宋" w:cs="仿宋"/>
          <w:spacing w:val="-75"/>
          <w:sz w:val="20"/>
          <w:szCs w:val="20"/>
        </w:rPr>
        <w:t xml:space="preserve"> </w:t>
      </w:r>
      <w:r>
        <w:rPr>
          <w:rFonts w:ascii="仿宋" w:hAnsi="仿宋" w:eastAsia="仿宋" w:cs="仿宋"/>
          <w:sz w:val="20"/>
          <w:szCs w:val="20"/>
          <w:u w:val="single" w:color="auto"/>
        </w:rPr>
        <w:t xml:space="preserve">                                   </w:t>
      </w:r>
    </w:p>
    <w:p w14:paraId="08BD53C6">
      <w:pPr>
        <w:spacing w:line="454" w:lineRule="auto"/>
        <w:rPr>
          <w:rFonts w:ascii="Arial"/>
          <w:sz w:val="21"/>
        </w:rPr>
      </w:pPr>
    </w:p>
    <w:p w14:paraId="295513F4">
      <w:pPr>
        <w:spacing w:before="65" w:line="376" w:lineRule="auto"/>
        <w:ind w:left="18" w:right="2" w:firstLine="421"/>
        <w:rPr>
          <w:rFonts w:ascii="仿宋" w:hAnsi="仿宋" w:eastAsia="仿宋" w:cs="仿宋"/>
          <w:sz w:val="20"/>
          <w:szCs w:val="20"/>
        </w:rPr>
      </w:pPr>
      <w:r>
        <w:rPr>
          <w:rFonts w:ascii="仿宋" w:hAnsi="仿宋" w:eastAsia="仿宋" w:cs="仿宋"/>
          <w:spacing w:val="6"/>
          <w:sz w:val="20"/>
          <w:szCs w:val="20"/>
        </w:rPr>
        <w:t>发包人和承包人根据《中华人民共和国建筑法》和《建设工程质量管理条例》，经协商一致就</w:t>
      </w:r>
      <w:r>
        <w:rPr>
          <w:rFonts w:ascii="仿宋" w:hAnsi="仿宋" w:eastAsia="仿宋" w:cs="仿宋"/>
          <w:spacing w:val="8"/>
          <w:sz w:val="20"/>
          <w:szCs w:val="20"/>
        </w:rPr>
        <w:t>（工程全称）签订工程质量保修书。</w:t>
      </w:r>
    </w:p>
    <w:p w14:paraId="55CC3388">
      <w:pPr>
        <w:pStyle w:val="2"/>
        <w:spacing w:before="1" w:line="230" w:lineRule="auto"/>
        <w:ind w:left="432"/>
        <w:rPr>
          <w:sz w:val="20"/>
          <w:szCs w:val="20"/>
        </w:rPr>
      </w:pPr>
      <w:r>
        <w:rPr>
          <w:spacing w:val="9"/>
          <w:sz w:val="20"/>
          <w:szCs w:val="20"/>
        </w:rPr>
        <w:t>一、工程质量保修范围和内容</w:t>
      </w:r>
    </w:p>
    <w:p w14:paraId="10EBEB38">
      <w:pPr>
        <w:spacing w:before="161" w:line="228" w:lineRule="auto"/>
        <w:ind w:left="434"/>
        <w:rPr>
          <w:rFonts w:ascii="仿宋" w:hAnsi="仿宋" w:eastAsia="仿宋" w:cs="仿宋"/>
          <w:sz w:val="20"/>
          <w:szCs w:val="20"/>
        </w:rPr>
      </w:pPr>
      <w:r>
        <w:rPr>
          <w:rFonts w:ascii="仿宋" w:hAnsi="仿宋" w:eastAsia="仿宋" w:cs="仿宋"/>
          <w:spacing w:val="9"/>
          <w:sz w:val="20"/>
          <w:szCs w:val="20"/>
        </w:rPr>
        <w:t>承包人在质量保修期内，按照有关法律规定和合同约定，承担工程质量保修责任。</w:t>
      </w:r>
    </w:p>
    <w:p w14:paraId="0FDE9D6B">
      <w:pPr>
        <w:spacing w:before="162" w:line="376" w:lineRule="auto"/>
        <w:ind w:left="19" w:firstLine="420"/>
        <w:rPr>
          <w:rFonts w:ascii="仿宋" w:hAnsi="仿宋" w:eastAsia="仿宋" w:cs="仿宋"/>
          <w:sz w:val="20"/>
          <w:szCs w:val="20"/>
        </w:rPr>
      </w:pPr>
      <w:r>
        <w:rPr>
          <w:rFonts w:ascii="仿宋" w:hAnsi="仿宋" w:eastAsia="仿宋" w:cs="仿宋"/>
          <w:spacing w:val="12"/>
          <w:sz w:val="20"/>
          <w:szCs w:val="20"/>
        </w:rPr>
        <w:t>质量保修范围包括地基基础工程、主体结构工程</w:t>
      </w:r>
      <w:r>
        <w:rPr>
          <w:rFonts w:ascii="仿宋" w:hAnsi="仿宋" w:eastAsia="仿宋" w:cs="仿宋"/>
          <w:spacing w:val="11"/>
          <w:sz w:val="20"/>
          <w:szCs w:val="20"/>
        </w:rPr>
        <w:t>，屋面防水工程、有防水要求的卫生间、房</w:t>
      </w:r>
      <w:r>
        <w:rPr>
          <w:rFonts w:ascii="仿宋" w:hAnsi="仿宋" w:eastAsia="仿宋" w:cs="仿宋"/>
          <w:spacing w:val="9"/>
          <w:sz w:val="20"/>
          <w:szCs w:val="20"/>
        </w:rPr>
        <w:t>间和外墙面的防渗漏，供热与供冷系统，</w:t>
      </w:r>
      <w:r>
        <w:rPr>
          <w:rFonts w:ascii="仿宋" w:hAnsi="仿宋" w:eastAsia="仿宋" w:cs="仿宋"/>
          <w:spacing w:val="-41"/>
          <w:sz w:val="20"/>
          <w:szCs w:val="20"/>
        </w:rPr>
        <w:t xml:space="preserve"> </w:t>
      </w:r>
      <w:r>
        <w:rPr>
          <w:rFonts w:ascii="仿宋" w:hAnsi="仿宋" w:eastAsia="仿宋" w:cs="仿宋"/>
          <w:spacing w:val="9"/>
          <w:sz w:val="20"/>
          <w:szCs w:val="20"/>
        </w:rPr>
        <w:t>电气管线、给排水管道、设备安装和装修工程，</w:t>
      </w:r>
      <w:r>
        <w:rPr>
          <w:rFonts w:ascii="仿宋" w:hAnsi="仿宋" w:eastAsia="仿宋" w:cs="仿宋"/>
          <w:spacing w:val="-56"/>
          <w:sz w:val="20"/>
          <w:szCs w:val="20"/>
        </w:rPr>
        <w:t xml:space="preserve"> </w:t>
      </w:r>
      <w:r>
        <w:rPr>
          <w:rFonts w:ascii="仿宋" w:hAnsi="仿宋" w:eastAsia="仿宋" w:cs="仿宋"/>
          <w:spacing w:val="9"/>
          <w:sz w:val="20"/>
          <w:szCs w:val="20"/>
        </w:rPr>
        <w:t>以及双</w:t>
      </w:r>
      <w:r>
        <w:rPr>
          <w:rFonts w:ascii="仿宋" w:hAnsi="仿宋" w:eastAsia="仿宋" w:cs="仿宋"/>
          <w:spacing w:val="8"/>
          <w:sz w:val="20"/>
          <w:szCs w:val="20"/>
        </w:rPr>
        <w:t>方约定的其他项目。具体保修的内容，双方约定如下：</w:t>
      </w:r>
    </w:p>
    <w:p w14:paraId="77C8F6A6">
      <w:pPr>
        <w:spacing w:line="477" w:lineRule="auto"/>
        <w:rPr>
          <w:rFonts w:ascii="Arial"/>
          <w:sz w:val="21"/>
        </w:rPr>
      </w:pPr>
      <w:r>
        <w:pict>
          <v:shape id="_x0000_s1108" o:spid="_x0000_s1108" style="position:absolute;left:0pt;margin-left:21.2pt;margin-top:9.6pt;height:0.5pt;width:404.3pt;z-index:251752448;mso-width-relative:page;mso-height-relative:page;" filled="f" stroked="t" coordsize="8085,10" path="m0,4l8085,4e">
            <v:fill on="f" focussize="0,0"/>
            <v:stroke weight="0.48pt" color="#000000" miterlimit="2" joinstyle="bevel"/>
            <v:imagedata o:title=""/>
            <o:lock v:ext="edit"/>
          </v:shape>
        </w:pict>
      </w:r>
    </w:p>
    <w:p w14:paraId="01E8DE1B">
      <w:pPr>
        <w:tabs>
          <w:tab w:val="left" w:pos="8505"/>
        </w:tabs>
        <w:spacing w:before="24" w:line="171" w:lineRule="auto"/>
        <w:rPr>
          <w:rFonts w:ascii="仿宋" w:hAnsi="仿宋" w:eastAsia="仿宋" w:cs="仿宋"/>
          <w:sz w:val="7"/>
          <w:szCs w:val="7"/>
        </w:rPr>
      </w:pPr>
      <w:r>
        <w:rPr>
          <w:rFonts w:ascii="仿宋" w:hAnsi="仿宋" w:eastAsia="仿宋" w:cs="仿宋"/>
          <w:sz w:val="7"/>
          <w:szCs w:val="7"/>
          <w:u w:val="single" w:color="auto"/>
        </w:rPr>
        <w:tab/>
      </w:r>
      <w:r>
        <w:rPr>
          <w:rFonts w:ascii="仿宋" w:hAnsi="仿宋" w:eastAsia="仿宋" w:cs="仿宋"/>
          <w:spacing w:val="-5"/>
          <w:sz w:val="7"/>
          <w:szCs w:val="7"/>
        </w:rPr>
        <w:t xml:space="preserve"> </w:t>
      </w:r>
      <w:r>
        <w:rPr>
          <w:rFonts w:ascii="仿宋" w:hAnsi="仿宋" w:eastAsia="仿宋" w:cs="仿宋"/>
          <w:spacing w:val="12"/>
          <w:sz w:val="7"/>
          <w:szCs w:val="7"/>
        </w:rPr>
        <w:t>。</w:t>
      </w:r>
    </w:p>
    <w:p w14:paraId="5FEE8022">
      <w:pPr>
        <w:pStyle w:val="2"/>
        <w:spacing w:before="203" w:line="230" w:lineRule="auto"/>
        <w:ind w:left="432"/>
        <w:rPr>
          <w:sz w:val="20"/>
          <w:szCs w:val="20"/>
        </w:rPr>
      </w:pPr>
      <w:r>
        <w:rPr>
          <w:spacing w:val="8"/>
          <w:sz w:val="20"/>
          <w:szCs w:val="20"/>
        </w:rPr>
        <w:t>二、质量保修期</w:t>
      </w:r>
    </w:p>
    <w:p w14:paraId="573773A3">
      <w:pPr>
        <w:spacing w:before="162" w:line="229" w:lineRule="auto"/>
        <w:ind w:left="435"/>
        <w:rPr>
          <w:rFonts w:ascii="仿宋" w:hAnsi="仿宋" w:eastAsia="仿宋" w:cs="仿宋"/>
          <w:sz w:val="20"/>
          <w:szCs w:val="20"/>
        </w:rPr>
      </w:pPr>
      <w:r>
        <w:rPr>
          <w:rFonts w:ascii="仿宋" w:hAnsi="仿宋" w:eastAsia="仿宋" w:cs="仿宋"/>
          <w:spacing w:val="9"/>
          <w:sz w:val="20"/>
          <w:szCs w:val="20"/>
        </w:rPr>
        <w:t>根据《建设工程质量管理条例》及有关规定，工程的质量保修期如下：</w:t>
      </w:r>
    </w:p>
    <w:p w14:paraId="02980626">
      <w:pPr>
        <w:spacing w:before="159" w:line="231" w:lineRule="auto"/>
        <w:ind w:left="445"/>
        <w:rPr>
          <w:rFonts w:ascii="仿宋" w:hAnsi="仿宋" w:eastAsia="仿宋" w:cs="仿宋"/>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0"/>
          <w:sz w:val="20"/>
          <w:szCs w:val="20"/>
        </w:rPr>
        <w:t xml:space="preserve"> </w:t>
      </w:r>
      <w:r>
        <w:rPr>
          <w:rFonts w:ascii="仿宋" w:hAnsi="仿宋" w:eastAsia="仿宋" w:cs="仿宋"/>
          <w:spacing w:val="8"/>
          <w:sz w:val="20"/>
          <w:szCs w:val="20"/>
        </w:rPr>
        <w:t>．地基基础工程和主体结构工程为设计文件规定的</w:t>
      </w:r>
      <w:r>
        <w:rPr>
          <w:rFonts w:ascii="仿宋" w:hAnsi="仿宋" w:eastAsia="仿宋" w:cs="仿宋"/>
          <w:spacing w:val="7"/>
          <w:sz w:val="20"/>
          <w:szCs w:val="20"/>
        </w:rPr>
        <w:t>工程合理使用年限；</w:t>
      </w:r>
    </w:p>
    <w:p w14:paraId="642BB173">
      <w:pPr>
        <w:spacing w:before="158" w:line="231" w:lineRule="auto"/>
        <w:ind w:left="424"/>
        <w:rPr>
          <w:rFonts w:ascii="仿宋" w:hAnsi="仿宋" w:eastAsia="仿宋" w:cs="仿宋"/>
          <w:sz w:val="20"/>
          <w:szCs w:val="20"/>
        </w:rPr>
      </w:pPr>
      <w:r>
        <w:rPr>
          <w:rFonts w:ascii="Times New Roman" w:hAnsi="Times New Roman" w:eastAsia="Times New Roman" w:cs="Times New Roman"/>
          <w:spacing w:val="7"/>
          <w:sz w:val="20"/>
          <w:szCs w:val="20"/>
        </w:rPr>
        <w:t>2</w:t>
      </w:r>
      <w:r>
        <w:rPr>
          <w:rFonts w:ascii="Times New Roman" w:hAnsi="Times New Roman" w:eastAsia="Times New Roman" w:cs="Times New Roman"/>
          <w:spacing w:val="-19"/>
          <w:sz w:val="20"/>
          <w:szCs w:val="20"/>
        </w:rPr>
        <w:t xml:space="preserve"> </w:t>
      </w:r>
      <w:r>
        <w:rPr>
          <w:rFonts w:ascii="仿宋" w:hAnsi="仿宋" w:eastAsia="仿宋" w:cs="仿宋"/>
          <w:spacing w:val="7"/>
          <w:sz w:val="20"/>
          <w:szCs w:val="20"/>
        </w:rPr>
        <w:t>．屋面防水工程、有防水要求的卫生间、房间和外墙面的防渗</w:t>
      </w:r>
      <w:r>
        <w:rPr>
          <w:rFonts w:ascii="仿宋" w:hAnsi="仿宋" w:eastAsia="仿宋" w:cs="仿宋"/>
          <w:spacing w:val="-98"/>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78"/>
          <w:sz w:val="20"/>
          <w:szCs w:val="20"/>
        </w:rPr>
        <w:t xml:space="preserve"> </w:t>
      </w:r>
      <w:r>
        <w:rPr>
          <w:rFonts w:ascii="仿宋" w:hAnsi="仿宋" w:eastAsia="仿宋" w:cs="仿宋"/>
          <w:spacing w:val="6"/>
          <w:sz w:val="20"/>
          <w:szCs w:val="20"/>
        </w:rPr>
        <w:t>为</w:t>
      </w:r>
      <w:r>
        <w:rPr>
          <w:rFonts w:ascii="仿宋" w:hAnsi="仿宋" w:eastAsia="仿宋" w:cs="仿宋"/>
          <w:spacing w:val="-98"/>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82"/>
          <w:sz w:val="20"/>
          <w:szCs w:val="20"/>
        </w:rPr>
        <w:t xml:space="preserve"> </w:t>
      </w:r>
      <w:r>
        <w:rPr>
          <w:rFonts w:ascii="仿宋" w:hAnsi="仿宋" w:eastAsia="仿宋" w:cs="仿宋"/>
          <w:spacing w:val="6"/>
          <w:sz w:val="20"/>
          <w:szCs w:val="20"/>
        </w:rPr>
        <w:t>年；</w:t>
      </w:r>
    </w:p>
    <w:p w14:paraId="697F3807">
      <w:pPr>
        <w:spacing w:before="157" w:line="231" w:lineRule="auto"/>
        <w:ind w:left="429"/>
        <w:rPr>
          <w:rFonts w:ascii="仿宋" w:hAnsi="仿宋" w:eastAsia="仿宋" w:cs="仿宋"/>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pacing w:val="-15"/>
          <w:sz w:val="20"/>
          <w:szCs w:val="20"/>
        </w:rPr>
        <w:t xml:space="preserve"> </w:t>
      </w:r>
      <w:r>
        <w:rPr>
          <w:rFonts w:ascii="仿宋" w:hAnsi="仿宋" w:eastAsia="仿宋" w:cs="仿宋"/>
          <w:spacing w:val="1"/>
          <w:sz w:val="20"/>
          <w:szCs w:val="20"/>
        </w:rPr>
        <w:t>．装修工程为</w:t>
      </w:r>
      <w:r>
        <w:rPr>
          <w:rFonts w:ascii="仿宋" w:hAnsi="仿宋" w:eastAsia="仿宋" w:cs="仿宋"/>
          <w:spacing w:val="-98"/>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81"/>
          <w:sz w:val="20"/>
          <w:szCs w:val="20"/>
        </w:rPr>
        <w:t xml:space="preserve"> </w:t>
      </w:r>
      <w:r>
        <w:rPr>
          <w:rFonts w:ascii="仿宋" w:hAnsi="仿宋" w:eastAsia="仿宋" w:cs="仿宋"/>
          <w:spacing w:val="1"/>
          <w:sz w:val="20"/>
          <w:szCs w:val="20"/>
        </w:rPr>
        <w:t>年；</w:t>
      </w:r>
    </w:p>
    <w:p w14:paraId="772A4C81">
      <w:pPr>
        <w:spacing w:before="161" w:line="231" w:lineRule="auto"/>
        <w:ind w:left="423"/>
        <w:rPr>
          <w:rFonts w:ascii="仿宋" w:hAnsi="仿宋" w:eastAsia="仿宋" w:cs="仿宋"/>
          <w:sz w:val="20"/>
          <w:szCs w:val="20"/>
        </w:rPr>
      </w:pPr>
      <w:r>
        <w:rPr>
          <w:rFonts w:ascii="Times New Roman" w:hAnsi="Times New Roman" w:eastAsia="Times New Roman" w:cs="Times New Roman"/>
          <w:spacing w:val="4"/>
          <w:sz w:val="20"/>
          <w:szCs w:val="20"/>
        </w:rPr>
        <w:t>4</w:t>
      </w:r>
      <w:r>
        <w:rPr>
          <w:rFonts w:ascii="Times New Roman" w:hAnsi="Times New Roman" w:eastAsia="Times New Roman" w:cs="Times New Roman"/>
          <w:spacing w:val="-3"/>
          <w:sz w:val="20"/>
          <w:szCs w:val="20"/>
        </w:rPr>
        <w:t xml:space="preserve"> </w:t>
      </w:r>
      <w:r>
        <w:rPr>
          <w:rFonts w:ascii="仿宋" w:hAnsi="仿宋" w:eastAsia="仿宋" w:cs="仿宋"/>
          <w:spacing w:val="4"/>
          <w:sz w:val="20"/>
          <w:szCs w:val="20"/>
        </w:rPr>
        <w:t>．</w:t>
      </w:r>
      <w:r>
        <w:rPr>
          <w:rFonts w:ascii="仿宋" w:hAnsi="仿宋" w:eastAsia="仿宋" w:cs="仿宋"/>
          <w:spacing w:val="-57"/>
          <w:sz w:val="20"/>
          <w:szCs w:val="20"/>
        </w:rPr>
        <w:t xml:space="preserve"> </w:t>
      </w:r>
      <w:r>
        <w:rPr>
          <w:rFonts w:ascii="仿宋" w:hAnsi="仿宋" w:eastAsia="仿宋" w:cs="仿宋"/>
          <w:spacing w:val="4"/>
          <w:sz w:val="20"/>
          <w:szCs w:val="20"/>
        </w:rPr>
        <w:t>电气管线、给排水管道、设备安装工程为</w:t>
      </w:r>
      <w:r>
        <w:rPr>
          <w:rFonts w:ascii="仿宋" w:hAnsi="仿宋" w:eastAsia="仿宋" w:cs="仿宋"/>
          <w:spacing w:val="-97"/>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82"/>
          <w:sz w:val="20"/>
          <w:szCs w:val="20"/>
        </w:rPr>
        <w:t xml:space="preserve"> </w:t>
      </w:r>
      <w:r>
        <w:rPr>
          <w:rFonts w:ascii="仿宋" w:hAnsi="仿宋" w:eastAsia="仿宋" w:cs="仿宋"/>
          <w:spacing w:val="4"/>
          <w:sz w:val="20"/>
          <w:szCs w:val="20"/>
        </w:rPr>
        <w:t>年；</w:t>
      </w:r>
    </w:p>
    <w:p w14:paraId="48B9BFEC">
      <w:pPr>
        <w:spacing w:before="157" w:line="231" w:lineRule="auto"/>
        <w:ind w:left="430"/>
        <w:rPr>
          <w:rFonts w:ascii="仿宋" w:hAnsi="仿宋" w:eastAsia="仿宋" w:cs="仿宋"/>
          <w:sz w:val="20"/>
          <w:szCs w:val="20"/>
        </w:rPr>
      </w:pPr>
      <w:r>
        <w:rPr>
          <w:rFonts w:ascii="Times New Roman" w:hAnsi="Times New Roman" w:eastAsia="Times New Roman" w:cs="Times New Roman"/>
          <w:spacing w:val="6"/>
          <w:sz w:val="20"/>
          <w:szCs w:val="20"/>
        </w:rPr>
        <w:t>5</w:t>
      </w:r>
      <w:r>
        <w:rPr>
          <w:rFonts w:ascii="Times New Roman" w:hAnsi="Times New Roman" w:eastAsia="Times New Roman" w:cs="Times New Roman"/>
          <w:spacing w:val="-20"/>
          <w:sz w:val="20"/>
          <w:szCs w:val="20"/>
        </w:rPr>
        <w:t xml:space="preserve"> </w:t>
      </w:r>
      <w:r>
        <w:rPr>
          <w:rFonts w:ascii="仿宋" w:hAnsi="仿宋" w:eastAsia="仿宋" w:cs="仿宋"/>
          <w:spacing w:val="6"/>
          <w:sz w:val="20"/>
          <w:szCs w:val="20"/>
        </w:rPr>
        <w:t>．供热与供冷系统为</w:t>
      </w:r>
      <w:r>
        <w:rPr>
          <w:rFonts w:ascii="仿宋" w:hAnsi="仿宋" w:eastAsia="仿宋" w:cs="仿宋"/>
          <w:spacing w:val="-98"/>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85"/>
          <w:sz w:val="20"/>
          <w:szCs w:val="20"/>
        </w:rPr>
        <w:t xml:space="preserve"> </w:t>
      </w:r>
      <w:r>
        <w:rPr>
          <w:rFonts w:ascii="仿宋" w:hAnsi="仿宋" w:eastAsia="仿宋" w:cs="仿宋"/>
          <w:spacing w:val="6"/>
          <w:sz w:val="20"/>
          <w:szCs w:val="20"/>
        </w:rPr>
        <w:t>个采暖期、供冷期；</w:t>
      </w:r>
    </w:p>
    <w:p w14:paraId="166D8569">
      <w:pPr>
        <w:spacing w:before="158" w:line="230" w:lineRule="auto"/>
        <w:ind w:left="429"/>
        <w:rPr>
          <w:rFonts w:ascii="仿宋" w:hAnsi="仿宋" w:eastAsia="仿宋" w:cs="仿宋"/>
          <w:sz w:val="20"/>
          <w:szCs w:val="20"/>
        </w:rPr>
      </w:pPr>
      <w:r>
        <w:rPr>
          <w:rFonts w:ascii="Times New Roman" w:hAnsi="Times New Roman" w:eastAsia="Times New Roman" w:cs="Times New Roman"/>
          <w:spacing w:val="3"/>
          <w:sz w:val="20"/>
          <w:szCs w:val="20"/>
        </w:rPr>
        <w:t>6</w:t>
      </w:r>
      <w:r>
        <w:rPr>
          <w:rFonts w:ascii="Times New Roman" w:hAnsi="Times New Roman" w:eastAsia="Times New Roman" w:cs="Times New Roman"/>
          <w:spacing w:val="-10"/>
          <w:sz w:val="20"/>
          <w:szCs w:val="20"/>
        </w:rPr>
        <w:t xml:space="preserve"> </w:t>
      </w:r>
      <w:r>
        <w:rPr>
          <w:rFonts w:ascii="仿宋" w:hAnsi="仿宋" w:eastAsia="仿宋" w:cs="仿宋"/>
          <w:spacing w:val="3"/>
          <w:sz w:val="20"/>
          <w:szCs w:val="20"/>
        </w:rPr>
        <w:t>．住宅小区内的给排水设施、道路等配套工程为</w:t>
      </w:r>
      <w:r>
        <w:rPr>
          <w:rFonts w:ascii="仿宋" w:hAnsi="仿宋" w:eastAsia="仿宋" w:cs="仿宋"/>
          <w:spacing w:val="3"/>
          <w:sz w:val="20"/>
          <w:szCs w:val="20"/>
          <w:u w:val="single" w:color="auto"/>
        </w:rPr>
        <w:t xml:space="preserve">        </w:t>
      </w:r>
      <w:r>
        <w:rPr>
          <w:rFonts w:ascii="仿宋" w:hAnsi="仿宋" w:eastAsia="仿宋" w:cs="仿宋"/>
          <w:spacing w:val="-81"/>
          <w:sz w:val="20"/>
          <w:szCs w:val="20"/>
        </w:rPr>
        <w:t xml:space="preserve"> </w:t>
      </w:r>
      <w:r>
        <w:rPr>
          <w:rFonts w:ascii="仿宋" w:hAnsi="仿宋" w:eastAsia="仿宋" w:cs="仿宋"/>
          <w:spacing w:val="3"/>
          <w:sz w:val="20"/>
          <w:szCs w:val="20"/>
        </w:rPr>
        <w:t>年；</w:t>
      </w:r>
    </w:p>
    <w:p w14:paraId="10318484">
      <w:pPr>
        <w:spacing w:before="160" w:line="229" w:lineRule="auto"/>
        <w:ind w:left="428"/>
        <w:rPr>
          <w:rFonts w:ascii="仿宋" w:hAnsi="仿宋" w:eastAsia="仿宋" w:cs="仿宋"/>
          <w:sz w:val="20"/>
          <w:szCs w:val="20"/>
        </w:rPr>
      </w:pPr>
      <w:r>
        <w:rPr>
          <w:rFonts w:ascii="Times New Roman" w:hAnsi="Times New Roman" w:eastAsia="Times New Roman" w:cs="Times New Roman"/>
          <w:spacing w:val="6"/>
          <w:sz w:val="20"/>
          <w:szCs w:val="20"/>
        </w:rPr>
        <w:t>7</w:t>
      </w:r>
      <w:r>
        <w:rPr>
          <w:rFonts w:ascii="Times New Roman" w:hAnsi="Times New Roman" w:eastAsia="Times New Roman" w:cs="Times New Roman"/>
          <w:spacing w:val="-17"/>
          <w:sz w:val="20"/>
          <w:szCs w:val="20"/>
        </w:rPr>
        <w:t xml:space="preserve"> </w:t>
      </w:r>
      <w:r>
        <w:rPr>
          <w:rFonts w:ascii="仿宋" w:hAnsi="仿宋" w:eastAsia="仿宋" w:cs="仿宋"/>
          <w:spacing w:val="6"/>
          <w:sz w:val="20"/>
          <w:szCs w:val="20"/>
        </w:rPr>
        <w:t>．其他项目保修期限约定如下：</w:t>
      </w:r>
    </w:p>
    <w:p w14:paraId="1C28C54C">
      <w:pPr>
        <w:tabs>
          <w:tab w:val="left" w:pos="8505"/>
        </w:tabs>
        <w:spacing w:before="155"/>
        <w:ind w:left="420"/>
        <w:rPr>
          <w:rFonts w:ascii="Arial"/>
          <w:sz w:val="21"/>
        </w:rPr>
      </w:pPr>
      <w:r>
        <w:rPr>
          <w:rFonts w:ascii="Arial" w:hAnsi="Arial" w:eastAsia="Arial" w:cs="Arial"/>
          <w:sz w:val="21"/>
          <w:szCs w:val="21"/>
          <w:u w:val="single" w:color="auto"/>
        </w:rPr>
        <w:tab/>
      </w:r>
    </w:p>
    <w:p w14:paraId="35887226">
      <w:pPr>
        <w:spacing w:line="303" w:lineRule="auto"/>
        <w:rPr>
          <w:rFonts w:ascii="Arial"/>
          <w:sz w:val="21"/>
        </w:rPr>
      </w:pPr>
    </w:p>
    <w:p w14:paraId="5CF85F73">
      <w:pPr>
        <w:spacing w:line="303" w:lineRule="auto"/>
        <w:rPr>
          <w:rFonts w:ascii="Arial"/>
          <w:sz w:val="21"/>
        </w:rPr>
      </w:pPr>
      <w:r>
        <w:pict>
          <v:shape id="_x0000_s1109" o:spid="_x0000_s1109" style="position:absolute;left:0pt;margin-left:0.2pt;margin-top:1.35pt;height:0.5pt;width:435.75pt;z-index:251751424;mso-width-relative:page;mso-height-relative:page;" filled="f" stroked="t" coordsize="8715,10" path="m0,4l8715,4e">
            <v:fill on="f" focussize="0,0"/>
            <v:stroke weight="0.48pt" color="#000000" miterlimit="2" joinstyle="bevel"/>
            <v:imagedata o:title=""/>
            <o:lock v:ext="edit"/>
          </v:shape>
        </w:pict>
      </w:r>
    </w:p>
    <w:p w14:paraId="6132FBAF">
      <w:pPr>
        <w:tabs>
          <w:tab w:val="left" w:pos="8505"/>
        </w:tabs>
        <w:spacing w:before="66" w:line="90"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z w:val="20"/>
          <w:szCs w:val="20"/>
        </w:rPr>
        <w:t>。</w:t>
      </w:r>
    </w:p>
    <w:p w14:paraId="6779D4EA">
      <w:pPr>
        <w:spacing w:before="171" w:line="229" w:lineRule="auto"/>
        <w:ind w:left="439"/>
        <w:rPr>
          <w:rFonts w:ascii="仿宋" w:hAnsi="仿宋" w:eastAsia="仿宋" w:cs="仿宋"/>
          <w:sz w:val="20"/>
          <w:szCs w:val="20"/>
        </w:rPr>
      </w:pPr>
      <w:r>
        <w:rPr>
          <w:rFonts w:ascii="仿宋" w:hAnsi="仿宋" w:eastAsia="仿宋" w:cs="仿宋"/>
          <w:spacing w:val="8"/>
          <w:sz w:val="20"/>
          <w:szCs w:val="20"/>
        </w:rPr>
        <w:t>质量保修期自工程竣工验收合格之日起计算。</w:t>
      </w:r>
    </w:p>
    <w:p w14:paraId="5E76A459">
      <w:pPr>
        <w:pStyle w:val="2"/>
        <w:spacing w:before="159" w:line="229" w:lineRule="auto"/>
        <w:ind w:left="432"/>
        <w:rPr>
          <w:sz w:val="20"/>
          <w:szCs w:val="20"/>
        </w:rPr>
      </w:pPr>
      <w:r>
        <w:rPr>
          <w:spacing w:val="8"/>
          <w:sz w:val="20"/>
          <w:szCs w:val="20"/>
        </w:rPr>
        <w:t>三、缺陷责任期</w:t>
      </w:r>
    </w:p>
    <w:p w14:paraId="051AB446">
      <w:pPr>
        <w:spacing w:before="159" w:line="378" w:lineRule="auto"/>
        <w:ind w:left="18" w:firstLine="420"/>
        <w:rPr>
          <w:rFonts w:ascii="仿宋" w:hAnsi="仿宋" w:eastAsia="仿宋" w:cs="仿宋"/>
          <w:sz w:val="20"/>
          <w:szCs w:val="20"/>
        </w:rPr>
      </w:pPr>
      <w:r>
        <w:rPr>
          <w:rFonts w:ascii="仿宋" w:hAnsi="仿宋" w:eastAsia="仿宋" w:cs="仿宋"/>
          <w:spacing w:val="8"/>
          <w:sz w:val="20"/>
          <w:szCs w:val="20"/>
        </w:rPr>
        <w:t>工程缺陷责任期为</w:t>
      </w:r>
      <w:r>
        <w:rPr>
          <w:rFonts w:ascii="仿宋" w:hAnsi="仿宋" w:eastAsia="仿宋" w:cs="仿宋"/>
          <w:spacing w:val="-87"/>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85"/>
          <w:sz w:val="20"/>
          <w:szCs w:val="20"/>
        </w:rPr>
        <w:t xml:space="preserve"> </w:t>
      </w:r>
      <w:r>
        <w:rPr>
          <w:rFonts w:ascii="仿宋" w:hAnsi="仿宋" w:eastAsia="仿宋" w:cs="仿宋"/>
          <w:spacing w:val="8"/>
          <w:sz w:val="20"/>
          <w:szCs w:val="20"/>
        </w:rPr>
        <w:t>个月，缺陷责任期自工程通过竣工验收之日起计算。单位工程先</w:t>
      </w:r>
      <w:r>
        <w:rPr>
          <w:rFonts w:ascii="仿宋" w:hAnsi="仿宋" w:eastAsia="仿宋" w:cs="仿宋"/>
          <w:spacing w:val="9"/>
          <w:sz w:val="20"/>
          <w:szCs w:val="20"/>
        </w:rPr>
        <w:t>于全部工程进行验收，单位工程缺陷责任期自单位工程验收合格之日起算。</w:t>
      </w:r>
    </w:p>
    <w:p w14:paraId="3338609E">
      <w:pPr>
        <w:spacing w:before="1" w:line="229" w:lineRule="auto"/>
        <w:ind w:left="432"/>
        <w:rPr>
          <w:rFonts w:ascii="仿宋" w:hAnsi="仿宋" w:eastAsia="仿宋" w:cs="仿宋"/>
          <w:sz w:val="20"/>
          <w:szCs w:val="20"/>
        </w:rPr>
      </w:pPr>
      <w:r>
        <w:rPr>
          <w:rFonts w:ascii="仿宋" w:hAnsi="仿宋" w:eastAsia="仿宋" w:cs="仿宋"/>
          <w:spacing w:val="9"/>
          <w:sz w:val="20"/>
          <w:szCs w:val="20"/>
        </w:rPr>
        <w:t>缺陷责任期终止后，发包人应退还剩余的质量保证金或返还质量保证金保函原件。</w:t>
      </w:r>
    </w:p>
    <w:p w14:paraId="0E4E8CFF">
      <w:pPr>
        <w:pStyle w:val="2"/>
        <w:spacing w:before="160" w:line="229" w:lineRule="auto"/>
        <w:ind w:left="441"/>
        <w:rPr>
          <w:sz w:val="20"/>
          <w:szCs w:val="20"/>
        </w:rPr>
      </w:pPr>
      <w:r>
        <w:rPr>
          <w:spacing w:val="7"/>
          <w:sz w:val="20"/>
          <w:szCs w:val="20"/>
        </w:rPr>
        <w:t>四、质量保修责任</w:t>
      </w:r>
    </w:p>
    <w:p w14:paraId="45750516">
      <w:pPr>
        <w:spacing w:line="229" w:lineRule="auto"/>
        <w:rPr>
          <w:sz w:val="20"/>
          <w:szCs w:val="20"/>
        </w:rPr>
        <w:sectPr>
          <w:footerReference r:id="rId424" w:type="default"/>
          <w:pgSz w:w="11907" w:h="16840"/>
          <w:pgMar w:top="400" w:right="1531" w:bottom="1105" w:left="1473" w:header="0" w:footer="943" w:gutter="0"/>
          <w:cols w:space="720" w:num="1"/>
        </w:sectPr>
      </w:pPr>
    </w:p>
    <w:p w14:paraId="32556B35">
      <w:pPr>
        <w:spacing w:line="252" w:lineRule="auto"/>
        <w:rPr>
          <w:rFonts w:ascii="Arial"/>
          <w:sz w:val="21"/>
        </w:rPr>
      </w:pPr>
    </w:p>
    <w:p w14:paraId="44BFD8AE">
      <w:pPr>
        <w:spacing w:line="252" w:lineRule="auto"/>
        <w:rPr>
          <w:rFonts w:ascii="Arial"/>
          <w:sz w:val="21"/>
        </w:rPr>
      </w:pPr>
    </w:p>
    <w:p w14:paraId="1976AEDD">
      <w:pPr>
        <w:spacing w:line="252" w:lineRule="auto"/>
        <w:rPr>
          <w:rFonts w:ascii="Arial"/>
          <w:sz w:val="21"/>
        </w:rPr>
      </w:pPr>
    </w:p>
    <w:p w14:paraId="7D6F8810">
      <w:pPr>
        <w:spacing w:line="252" w:lineRule="auto"/>
        <w:rPr>
          <w:rFonts w:ascii="Arial"/>
          <w:sz w:val="21"/>
        </w:rPr>
      </w:pPr>
    </w:p>
    <w:p w14:paraId="07B02BE4">
      <w:pPr>
        <w:spacing w:line="252" w:lineRule="auto"/>
        <w:rPr>
          <w:rFonts w:ascii="Arial"/>
          <w:sz w:val="21"/>
        </w:rPr>
      </w:pPr>
    </w:p>
    <w:p w14:paraId="3314605D">
      <w:pPr>
        <w:spacing w:before="65" w:line="375" w:lineRule="auto"/>
        <w:ind w:left="19" w:firstLine="425"/>
        <w:rPr>
          <w:rFonts w:ascii="仿宋" w:hAnsi="仿宋" w:eastAsia="仿宋" w:cs="仿宋"/>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9"/>
          <w:sz w:val="20"/>
          <w:szCs w:val="20"/>
        </w:rPr>
        <w:t xml:space="preserve"> </w:t>
      </w:r>
      <w:r>
        <w:rPr>
          <w:rFonts w:ascii="仿宋" w:hAnsi="仿宋" w:eastAsia="仿宋" w:cs="仿宋"/>
          <w:spacing w:val="6"/>
          <w:sz w:val="20"/>
          <w:szCs w:val="20"/>
        </w:rPr>
        <w:t>．属于保修范围、</w:t>
      </w:r>
      <w:r>
        <w:rPr>
          <w:rFonts w:ascii="仿宋" w:hAnsi="仿宋" w:eastAsia="仿宋" w:cs="仿宋"/>
          <w:spacing w:val="-60"/>
          <w:sz w:val="20"/>
          <w:szCs w:val="20"/>
        </w:rPr>
        <w:t xml:space="preserve"> </w:t>
      </w:r>
      <w:r>
        <w:rPr>
          <w:rFonts w:ascii="仿宋" w:hAnsi="仿宋" w:eastAsia="仿宋" w:cs="仿宋"/>
          <w:spacing w:val="6"/>
          <w:sz w:val="20"/>
          <w:szCs w:val="20"/>
        </w:rPr>
        <w:t>内容的项目，承包人应当在接到保修通知之日起</w:t>
      </w:r>
      <w:r>
        <w:rPr>
          <w:rFonts w:ascii="仿宋" w:hAnsi="仿宋" w:eastAsia="仿宋" w:cs="仿宋"/>
          <w:spacing w:val="-37"/>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6"/>
          <w:sz w:val="20"/>
          <w:szCs w:val="20"/>
        </w:rPr>
        <w:t xml:space="preserve"> </w:t>
      </w:r>
      <w:r>
        <w:rPr>
          <w:rFonts w:ascii="仿宋" w:hAnsi="仿宋" w:eastAsia="仿宋" w:cs="仿宋"/>
          <w:spacing w:val="6"/>
          <w:sz w:val="20"/>
          <w:szCs w:val="20"/>
        </w:rPr>
        <w:t>天内派人保修。承包人</w:t>
      </w:r>
      <w:r>
        <w:rPr>
          <w:rFonts w:ascii="仿宋" w:hAnsi="仿宋" w:eastAsia="仿宋" w:cs="仿宋"/>
          <w:spacing w:val="8"/>
          <w:sz w:val="20"/>
          <w:szCs w:val="20"/>
        </w:rPr>
        <w:t>不在约定期限内派人保修的，发包人可以委托他人修理。</w:t>
      </w:r>
    </w:p>
    <w:p w14:paraId="4B361B91">
      <w:pPr>
        <w:spacing w:before="4" w:line="228" w:lineRule="auto"/>
        <w:ind w:left="424"/>
        <w:rPr>
          <w:rFonts w:ascii="仿宋" w:hAnsi="仿宋" w:eastAsia="仿宋" w:cs="仿宋"/>
          <w:sz w:val="20"/>
          <w:szCs w:val="20"/>
        </w:rPr>
      </w:pPr>
      <w:r>
        <w:rPr>
          <w:rFonts w:ascii="Times New Roman" w:hAnsi="Times New Roman" w:eastAsia="Times New Roman" w:cs="Times New Roman"/>
          <w:spacing w:val="9"/>
          <w:sz w:val="20"/>
          <w:szCs w:val="20"/>
        </w:rPr>
        <w:t>2</w:t>
      </w:r>
      <w:r>
        <w:rPr>
          <w:rFonts w:ascii="Times New Roman" w:hAnsi="Times New Roman" w:eastAsia="Times New Roman" w:cs="Times New Roman"/>
          <w:spacing w:val="-20"/>
          <w:sz w:val="20"/>
          <w:szCs w:val="20"/>
        </w:rPr>
        <w:t xml:space="preserve"> </w:t>
      </w:r>
      <w:r>
        <w:rPr>
          <w:rFonts w:ascii="仿宋" w:hAnsi="仿宋" w:eastAsia="仿宋" w:cs="仿宋"/>
          <w:spacing w:val="9"/>
          <w:sz w:val="20"/>
          <w:szCs w:val="20"/>
        </w:rPr>
        <w:t>．发生紧急事故需抢修的，承包人在接到事故通知</w:t>
      </w:r>
      <w:r>
        <w:rPr>
          <w:rFonts w:ascii="仿宋" w:hAnsi="仿宋" w:eastAsia="仿宋" w:cs="仿宋"/>
          <w:spacing w:val="8"/>
          <w:sz w:val="20"/>
          <w:szCs w:val="20"/>
        </w:rPr>
        <w:t>后，应当立即到达事故现场抢修。</w:t>
      </w:r>
    </w:p>
    <w:p w14:paraId="638B61CB">
      <w:pPr>
        <w:spacing w:before="162" w:line="376" w:lineRule="auto"/>
        <w:ind w:left="13" w:firstLine="415"/>
        <w:rPr>
          <w:rFonts w:ascii="仿宋" w:hAnsi="仿宋" w:eastAsia="仿宋" w:cs="仿宋"/>
          <w:sz w:val="20"/>
          <w:szCs w:val="20"/>
        </w:rPr>
      </w:pPr>
      <w:r>
        <w:rPr>
          <w:rFonts w:ascii="Times New Roman" w:hAnsi="Times New Roman" w:eastAsia="Times New Roman" w:cs="Times New Roman"/>
          <w:spacing w:val="8"/>
          <w:sz w:val="20"/>
          <w:szCs w:val="20"/>
        </w:rPr>
        <w:t>3</w:t>
      </w:r>
      <w:r>
        <w:rPr>
          <w:rFonts w:ascii="Times New Roman" w:hAnsi="Times New Roman" w:eastAsia="Times New Roman" w:cs="Times New Roman"/>
          <w:spacing w:val="-6"/>
          <w:sz w:val="20"/>
          <w:szCs w:val="20"/>
        </w:rPr>
        <w:t xml:space="preserve"> </w:t>
      </w:r>
      <w:r>
        <w:rPr>
          <w:rFonts w:ascii="仿宋" w:hAnsi="仿宋" w:eastAsia="仿宋" w:cs="仿宋"/>
          <w:spacing w:val="8"/>
          <w:sz w:val="20"/>
          <w:szCs w:val="20"/>
        </w:rPr>
        <w:t>．对于涉及结构安全的质量问题，应当按照《建设工程质量管理条例》的规定，立即向当地</w:t>
      </w:r>
      <w:r>
        <w:rPr>
          <w:rFonts w:ascii="仿宋" w:hAnsi="仿宋" w:eastAsia="仿宋" w:cs="仿宋"/>
          <w:spacing w:val="12"/>
          <w:sz w:val="20"/>
          <w:szCs w:val="20"/>
        </w:rPr>
        <w:t>建设行政主管部门和有关部门报告，采取安全防范措施，</w:t>
      </w:r>
      <w:r>
        <w:rPr>
          <w:rFonts w:ascii="仿宋" w:hAnsi="仿宋" w:eastAsia="仿宋" w:cs="仿宋"/>
          <w:spacing w:val="11"/>
          <w:sz w:val="20"/>
          <w:szCs w:val="20"/>
        </w:rPr>
        <w:t>并由原设计人或者具有相应资质等级的</w:t>
      </w:r>
      <w:r>
        <w:rPr>
          <w:rFonts w:ascii="仿宋" w:hAnsi="仿宋" w:eastAsia="仿宋" w:cs="仿宋"/>
          <w:spacing w:val="8"/>
          <w:sz w:val="20"/>
          <w:szCs w:val="20"/>
        </w:rPr>
        <w:t>设计人提出保修方案，承包人实施保修。</w:t>
      </w:r>
    </w:p>
    <w:p w14:paraId="741117B1">
      <w:pPr>
        <w:spacing w:before="1" w:line="229" w:lineRule="auto"/>
        <w:ind w:left="423"/>
        <w:rPr>
          <w:rFonts w:ascii="仿宋" w:hAnsi="仿宋" w:eastAsia="仿宋" w:cs="仿宋"/>
          <w:sz w:val="20"/>
          <w:szCs w:val="20"/>
        </w:rPr>
      </w:pPr>
      <w:r>
        <w:rPr>
          <w:rFonts w:ascii="Times New Roman" w:hAnsi="Times New Roman" w:eastAsia="Times New Roman" w:cs="Times New Roman"/>
          <w:spacing w:val="4"/>
          <w:sz w:val="20"/>
          <w:szCs w:val="20"/>
        </w:rPr>
        <w:t>4</w:t>
      </w:r>
      <w:r>
        <w:rPr>
          <w:rFonts w:ascii="Times New Roman" w:hAnsi="Times New Roman" w:eastAsia="Times New Roman" w:cs="Times New Roman"/>
          <w:spacing w:val="-8"/>
          <w:sz w:val="20"/>
          <w:szCs w:val="20"/>
        </w:rPr>
        <w:t xml:space="preserve"> </w:t>
      </w:r>
      <w:r>
        <w:rPr>
          <w:rFonts w:ascii="仿宋" w:hAnsi="仿宋" w:eastAsia="仿宋" w:cs="仿宋"/>
          <w:spacing w:val="4"/>
          <w:sz w:val="20"/>
          <w:szCs w:val="20"/>
        </w:rPr>
        <w:t>．质量保修完成后，</w:t>
      </w:r>
      <w:r>
        <w:rPr>
          <w:rFonts w:ascii="仿宋" w:hAnsi="仿宋" w:eastAsia="仿宋" w:cs="仿宋"/>
          <w:spacing w:val="-51"/>
          <w:sz w:val="20"/>
          <w:szCs w:val="20"/>
        </w:rPr>
        <w:t xml:space="preserve"> </w:t>
      </w:r>
      <w:r>
        <w:rPr>
          <w:rFonts w:ascii="仿宋" w:hAnsi="仿宋" w:eastAsia="仿宋" w:cs="仿宋"/>
          <w:spacing w:val="4"/>
          <w:sz w:val="20"/>
          <w:szCs w:val="20"/>
        </w:rPr>
        <w:t>由发包人组织验收。</w:t>
      </w:r>
    </w:p>
    <w:p w14:paraId="41C5BE3E">
      <w:pPr>
        <w:pStyle w:val="2"/>
        <w:spacing w:before="159" w:line="230" w:lineRule="auto"/>
        <w:ind w:left="434"/>
        <w:rPr>
          <w:sz w:val="20"/>
          <w:szCs w:val="20"/>
        </w:rPr>
      </w:pPr>
      <w:r>
        <w:rPr>
          <w:spacing w:val="7"/>
          <w:sz w:val="20"/>
          <w:szCs w:val="20"/>
        </w:rPr>
        <w:t>五、保修费用</w:t>
      </w:r>
    </w:p>
    <w:p w14:paraId="38BB6374">
      <w:pPr>
        <w:spacing w:before="161" w:line="229" w:lineRule="auto"/>
        <w:ind w:left="435"/>
        <w:rPr>
          <w:rFonts w:ascii="仿宋" w:hAnsi="仿宋" w:eastAsia="仿宋" w:cs="仿宋"/>
          <w:sz w:val="20"/>
          <w:szCs w:val="20"/>
        </w:rPr>
      </w:pPr>
      <w:r>
        <w:rPr>
          <w:rFonts w:ascii="仿宋" w:hAnsi="仿宋" w:eastAsia="仿宋" w:cs="仿宋"/>
          <w:spacing w:val="8"/>
          <w:sz w:val="20"/>
          <w:szCs w:val="20"/>
        </w:rPr>
        <w:t>保修费用由造成质量缺陷的责任方承担。</w:t>
      </w:r>
    </w:p>
    <w:p w14:paraId="12CBF15B">
      <w:pPr>
        <w:pStyle w:val="2"/>
        <w:spacing w:before="159" w:line="231" w:lineRule="auto"/>
        <w:ind w:left="435"/>
        <w:rPr>
          <w:rFonts w:ascii="仿宋" w:hAnsi="仿宋" w:eastAsia="仿宋" w:cs="仿宋"/>
          <w:sz w:val="20"/>
          <w:szCs w:val="20"/>
        </w:rPr>
      </w:pPr>
      <w:r>
        <w:rPr>
          <w:b/>
          <w:bCs/>
          <w:spacing w:val="9"/>
          <w:sz w:val="20"/>
          <w:szCs w:val="20"/>
        </w:rPr>
        <w:t>六</w:t>
      </w:r>
      <w:r>
        <w:rPr>
          <w:spacing w:val="9"/>
          <w:sz w:val="20"/>
          <w:szCs w:val="20"/>
        </w:rPr>
        <w:t>、双方约定的其他工程质量保修事项</w:t>
      </w:r>
      <w:r>
        <w:rPr>
          <w:rFonts w:ascii="仿宋" w:hAnsi="仿宋" w:eastAsia="仿宋" w:cs="仿宋"/>
          <w:spacing w:val="9"/>
          <w:sz w:val="20"/>
          <w:szCs w:val="20"/>
        </w:rPr>
        <w:t>：</w:t>
      </w:r>
      <w:r>
        <w:rPr>
          <w:rFonts w:ascii="仿宋" w:hAnsi="仿宋" w:eastAsia="仿宋" w:cs="仿宋"/>
          <w:sz w:val="20"/>
          <w:szCs w:val="20"/>
          <w:u w:val="single" w:color="auto"/>
        </w:rPr>
        <w:t xml:space="preserve">                                            </w:t>
      </w:r>
    </w:p>
    <w:p w14:paraId="625F276D">
      <w:pPr>
        <w:tabs>
          <w:tab w:val="left" w:pos="8714"/>
        </w:tabs>
        <w:spacing w:before="169"/>
        <w:rPr>
          <w:rFonts w:ascii="Arial"/>
          <w:sz w:val="21"/>
        </w:rPr>
      </w:pPr>
      <w:r>
        <w:rPr>
          <w:rFonts w:ascii="Arial" w:hAnsi="Arial" w:eastAsia="Arial" w:cs="Arial"/>
          <w:sz w:val="21"/>
          <w:szCs w:val="21"/>
          <w:u w:val="single" w:color="auto"/>
        </w:rPr>
        <w:tab/>
      </w:r>
    </w:p>
    <w:p w14:paraId="5D5607FF">
      <w:pPr>
        <w:pStyle w:val="2"/>
        <w:tabs>
          <w:tab w:val="left" w:pos="8505"/>
        </w:tabs>
        <w:spacing w:before="286" w:line="99" w:lineRule="auto"/>
        <w:rPr>
          <w:sz w:val="20"/>
          <w:szCs w:val="20"/>
        </w:rPr>
      </w:pPr>
      <w:r>
        <w:rPr>
          <w:sz w:val="20"/>
          <w:szCs w:val="20"/>
          <w:u w:val="single" w:color="auto"/>
        </w:rPr>
        <w:tab/>
      </w:r>
      <w:r>
        <w:rPr>
          <w:sz w:val="20"/>
          <w:szCs w:val="20"/>
        </w:rPr>
        <w:t>。</w:t>
      </w:r>
    </w:p>
    <w:p w14:paraId="254E8F67">
      <w:pPr>
        <w:spacing w:before="173" w:line="376" w:lineRule="auto"/>
        <w:ind w:left="14" w:firstLine="425"/>
        <w:rPr>
          <w:rFonts w:ascii="仿宋" w:hAnsi="仿宋" w:eastAsia="仿宋" w:cs="仿宋"/>
          <w:sz w:val="20"/>
          <w:szCs w:val="20"/>
        </w:rPr>
      </w:pPr>
      <w:r>
        <w:rPr>
          <w:rFonts w:ascii="仿宋" w:hAnsi="仿宋" w:eastAsia="仿宋" w:cs="仿宋"/>
          <w:spacing w:val="12"/>
          <w:sz w:val="20"/>
          <w:szCs w:val="20"/>
        </w:rPr>
        <w:t>工程质量保修书由发包人、承包人在工程竣工验</w:t>
      </w:r>
      <w:r>
        <w:rPr>
          <w:rFonts w:ascii="仿宋" w:hAnsi="仿宋" w:eastAsia="仿宋" w:cs="仿宋"/>
          <w:spacing w:val="11"/>
          <w:sz w:val="20"/>
          <w:szCs w:val="20"/>
        </w:rPr>
        <w:t>收前共同签署，作为施工合同附件，其有效</w:t>
      </w:r>
      <w:r>
        <w:rPr>
          <w:rFonts w:ascii="仿宋" w:hAnsi="仿宋" w:eastAsia="仿宋" w:cs="仿宋"/>
          <w:spacing w:val="6"/>
          <w:sz w:val="20"/>
          <w:szCs w:val="20"/>
        </w:rPr>
        <w:t>期限至保修期满。</w:t>
      </w:r>
    </w:p>
    <w:p w14:paraId="387B5451">
      <w:pPr>
        <w:spacing w:line="296" w:lineRule="auto"/>
        <w:rPr>
          <w:rFonts w:ascii="Arial"/>
          <w:sz w:val="21"/>
        </w:rPr>
      </w:pPr>
    </w:p>
    <w:p w14:paraId="389B6184">
      <w:pPr>
        <w:spacing w:before="66" w:line="231" w:lineRule="auto"/>
        <w:ind w:left="20"/>
        <w:rPr>
          <w:rFonts w:ascii="仿宋" w:hAnsi="仿宋" w:eastAsia="仿宋" w:cs="仿宋"/>
          <w:sz w:val="20"/>
          <w:szCs w:val="20"/>
        </w:rPr>
      </w:pPr>
      <w:r>
        <w:rPr>
          <w:rFonts w:ascii="仿宋" w:hAnsi="仿宋" w:eastAsia="仿宋" w:cs="仿宋"/>
          <w:spacing w:val="6"/>
          <w:sz w:val="20"/>
          <w:szCs w:val="20"/>
        </w:rPr>
        <w:t>发包人（公章</w:t>
      </w:r>
      <w:r>
        <w:rPr>
          <w:rFonts w:ascii="仿宋" w:hAnsi="仿宋" w:eastAsia="仿宋" w:cs="仿宋"/>
          <w:spacing w:val="-52"/>
          <w:sz w:val="20"/>
          <w:szCs w:val="20"/>
        </w:rPr>
        <w:t>）：</w:t>
      </w:r>
      <w:r>
        <w:rPr>
          <w:rFonts w:ascii="仿宋" w:hAnsi="仿宋" w:eastAsia="仿宋" w:cs="仿宋"/>
          <w:spacing w:val="-74"/>
          <w:sz w:val="20"/>
          <w:szCs w:val="20"/>
        </w:rPr>
        <w:t xml:space="preserve"> </w:t>
      </w:r>
      <w:r>
        <w:rPr>
          <w:rFonts w:ascii="仿宋" w:hAnsi="仿宋" w:eastAsia="仿宋" w:cs="仿宋"/>
          <w:spacing w:val="1"/>
          <w:sz w:val="20"/>
          <w:szCs w:val="20"/>
          <w:u w:val="single" w:color="auto"/>
        </w:rPr>
        <w:t xml:space="preserve">                        </w:t>
      </w:r>
      <w:r>
        <w:rPr>
          <w:rFonts w:ascii="仿宋" w:hAnsi="仿宋" w:eastAsia="仿宋" w:cs="仿宋"/>
          <w:sz w:val="20"/>
          <w:szCs w:val="20"/>
          <w:u w:val="single" w:color="auto"/>
        </w:rPr>
        <w:t xml:space="preserve">  </w:t>
      </w:r>
      <w:r>
        <w:rPr>
          <w:rFonts w:ascii="仿宋" w:hAnsi="仿宋" w:eastAsia="仿宋" w:cs="仿宋"/>
          <w:spacing w:val="13"/>
          <w:sz w:val="20"/>
          <w:szCs w:val="20"/>
        </w:rPr>
        <w:t xml:space="preserve">  </w:t>
      </w:r>
      <w:r>
        <w:rPr>
          <w:rFonts w:ascii="仿宋" w:hAnsi="仿宋" w:eastAsia="仿宋" w:cs="仿宋"/>
          <w:spacing w:val="6"/>
          <w:sz w:val="20"/>
          <w:szCs w:val="20"/>
        </w:rPr>
        <w:t>承包人（公章</w:t>
      </w:r>
      <w:r>
        <w:rPr>
          <w:rFonts w:ascii="仿宋" w:hAnsi="仿宋" w:eastAsia="仿宋" w:cs="仿宋"/>
          <w:spacing w:val="-52"/>
          <w:sz w:val="20"/>
          <w:szCs w:val="20"/>
        </w:rPr>
        <w:t>）：</w:t>
      </w:r>
      <w:r>
        <w:rPr>
          <w:rFonts w:ascii="仿宋" w:hAnsi="仿宋" w:eastAsia="仿宋" w:cs="仿宋"/>
          <w:spacing w:val="-76"/>
          <w:sz w:val="20"/>
          <w:szCs w:val="20"/>
        </w:rPr>
        <w:t xml:space="preserve"> </w:t>
      </w:r>
      <w:r>
        <w:rPr>
          <w:rFonts w:ascii="仿宋" w:hAnsi="仿宋" w:eastAsia="仿宋" w:cs="仿宋"/>
          <w:sz w:val="20"/>
          <w:szCs w:val="20"/>
          <w:u w:val="single" w:color="auto"/>
        </w:rPr>
        <w:t xml:space="preserve">                           </w:t>
      </w:r>
    </w:p>
    <w:p w14:paraId="11D278BD">
      <w:pPr>
        <w:spacing w:before="158" w:line="237" w:lineRule="auto"/>
        <w:ind w:left="20"/>
        <w:rPr>
          <w:rFonts w:ascii="仿宋" w:hAnsi="仿宋" w:eastAsia="仿宋" w:cs="仿宋"/>
          <w:sz w:val="20"/>
          <w:szCs w:val="20"/>
        </w:rPr>
      </w:pPr>
      <w:r>
        <w:rPr>
          <w:rFonts w:ascii="仿宋" w:hAnsi="仿宋" w:eastAsia="仿宋" w:cs="仿宋"/>
          <w:spacing w:val="-7"/>
          <w:sz w:val="20"/>
          <w:szCs w:val="20"/>
        </w:rPr>
        <w:t>送</w:t>
      </w:r>
      <w:r>
        <w:rPr>
          <w:rFonts w:ascii="仿宋" w:hAnsi="仿宋" w:eastAsia="仿宋" w:cs="仿宋"/>
          <w:spacing w:val="21"/>
          <w:sz w:val="20"/>
          <w:szCs w:val="20"/>
        </w:rPr>
        <w:t xml:space="preserve"> </w:t>
      </w:r>
      <w:r>
        <w:rPr>
          <w:rFonts w:ascii="仿宋" w:hAnsi="仿宋" w:eastAsia="仿宋" w:cs="仿宋"/>
          <w:spacing w:val="-7"/>
          <w:sz w:val="20"/>
          <w:szCs w:val="20"/>
        </w:rPr>
        <w:t>达</w:t>
      </w:r>
      <w:r>
        <w:rPr>
          <w:rFonts w:ascii="仿宋" w:hAnsi="仿宋" w:eastAsia="仿宋" w:cs="仿宋"/>
          <w:spacing w:val="23"/>
          <w:sz w:val="20"/>
          <w:szCs w:val="20"/>
        </w:rPr>
        <w:t xml:space="preserve"> </w:t>
      </w:r>
      <w:r>
        <w:rPr>
          <w:rFonts w:ascii="仿宋" w:hAnsi="仿宋" w:eastAsia="仿宋" w:cs="仿宋"/>
          <w:spacing w:val="-7"/>
          <w:sz w:val="20"/>
          <w:szCs w:val="20"/>
        </w:rPr>
        <w:t>地</w:t>
      </w:r>
      <w:r>
        <w:rPr>
          <w:rFonts w:ascii="仿宋" w:hAnsi="仿宋" w:eastAsia="仿宋" w:cs="仿宋"/>
          <w:spacing w:val="14"/>
          <w:sz w:val="20"/>
          <w:szCs w:val="20"/>
        </w:rPr>
        <w:t xml:space="preserve">  </w:t>
      </w:r>
      <w:r>
        <w:rPr>
          <w:rFonts w:ascii="仿宋" w:hAnsi="仿宋" w:eastAsia="仿宋" w:cs="仿宋"/>
          <w:spacing w:val="-7"/>
          <w:sz w:val="20"/>
          <w:szCs w:val="20"/>
        </w:rPr>
        <w:t>址</w:t>
      </w:r>
      <w:r>
        <w:rPr>
          <w:rFonts w:ascii="仿宋" w:hAnsi="仿宋" w:eastAsia="仿宋" w:cs="仿宋"/>
          <w:spacing w:val="-70"/>
          <w:sz w:val="20"/>
          <w:szCs w:val="20"/>
        </w:rPr>
        <w:t xml:space="preserve"> </w:t>
      </w:r>
      <w:r>
        <w:rPr>
          <w:rFonts w:ascii="仿宋" w:hAnsi="仿宋" w:eastAsia="仿宋" w:cs="仿宋"/>
          <w:spacing w:val="-7"/>
          <w:sz w:val="20"/>
          <w:szCs w:val="20"/>
        </w:rPr>
        <w:t>：</w:t>
      </w:r>
      <w:r>
        <w:rPr>
          <w:rFonts w:ascii="仿宋" w:hAnsi="仿宋" w:eastAsia="仿宋" w:cs="仿宋"/>
          <w:spacing w:val="1"/>
          <w:sz w:val="20"/>
          <w:szCs w:val="20"/>
          <w:u w:val="single" w:color="auto"/>
        </w:rPr>
        <w:t xml:space="preserve">                           </w:t>
      </w:r>
      <w:r>
        <w:rPr>
          <w:rFonts w:ascii="仿宋" w:hAnsi="仿宋" w:eastAsia="仿宋" w:cs="仿宋"/>
          <w:spacing w:val="16"/>
          <w:sz w:val="20"/>
          <w:szCs w:val="20"/>
        </w:rPr>
        <w:t xml:space="preserve">  </w:t>
      </w:r>
      <w:r>
        <w:rPr>
          <w:rFonts w:ascii="仿宋" w:hAnsi="仿宋" w:eastAsia="仿宋" w:cs="仿宋"/>
          <w:spacing w:val="-7"/>
          <w:sz w:val="20"/>
          <w:szCs w:val="20"/>
        </w:rPr>
        <w:t>送</w:t>
      </w:r>
      <w:r>
        <w:rPr>
          <w:rFonts w:ascii="仿宋" w:hAnsi="仿宋" w:eastAsia="仿宋" w:cs="仿宋"/>
          <w:spacing w:val="23"/>
          <w:sz w:val="20"/>
          <w:szCs w:val="20"/>
        </w:rPr>
        <w:t xml:space="preserve"> </w:t>
      </w:r>
      <w:r>
        <w:rPr>
          <w:rFonts w:ascii="仿宋" w:hAnsi="仿宋" w:eastAsia="仿宋" w:cs="仿宋"/>
          <w:spacing w:val="-7"/>
          <w:sz w:val="20"/>
          <w:szCs w:val="20"/>
        </w:rPr>
        <w:t>达</w:t>
      </w:r>
      <w:r>
        <w:rPr>
          <w:rFonts w:ascii="仿宋" w:hAnsi="仿宋" w:eastAsia="仿宋" w:cs="仿宋"/>
          <w:spacing w:val="20"/>
          <w:sz w:val="20"/>
          <w:szCs w:val="20"/>
        </w:rPr>
        <w:t xml:space="preserve"> </w:t>
      </w:r>
      <w:r>
        <w:rPr>
          <w:rFonts w:ascii="仿宋" w:hAnsi="仿宋" w:eastAsia="仿宋" w:cs="仿宋"/>
          <w:spacing w:val="-7"/>
          <w:sz w:val="20"/>
          <w:szCs w:val="20"/>
        </w:rPr>
        <w:t>地</w:t>
      </w:r>
      <w:r>
        <w:rPr>
          <w:rFonts w:ascii="仿宋" w:hAnsi="仿宋" w:eastAsia="仿宋" w:cs="仿宋"/>
          <w:spacing w:val="14"/>
          <w:sz w:val="20"/>
          <w:szCs w:val="20"/>
        </w:rPr>
        <w:t xml:space="preserve">  </w:t>
      </w:r>
      <w:r>
        <w:rPr>
          <w:rFonts w:ascii="仿宋" w:hAnsi="仿宋" w:eastAsia="仿宋" w:cs="仿宋"/>
          <w:spacing w:val="-7"/>
          <w:sz w:val="20"/>
          <w:szCs w:val="20"/>
        </w:rPr>
        <w:t>址</w:t>
      </w:r>
      <w:r>
        <w:rPr>
          <w:rFonts w:ascii="仿宋" w:hAnsi="仿宋" w:eastAsia="仿宋" w:cs="仿宋"/>
          <w:spacing w:val="-70"/>
          <w:sz w:val="20"/>
          <w:szCs w:val="20"/>
        </w:rPr>
        <w:t xml:space="preserve"> </w:t>
      </w:r>
      <w:r>
        <w:rPr>
          <w:rFonts w:ascii="仿宋" w:hAnsi="仿宋" w:eastAsia="仿宋" w:cs="仿宋"/>
          <w:spacing w:val="-7"/>
          <w:sz w:val="20"/>
          <w:szCs w:val="20"/>
        </w:rPr>
        <w:t>：</w:t>
      </w:r>
      <w:r>
        <w:rPr>
          <w:rFonts w:ascii="仿宋" w:hAnsi="仿宋" w:eastAsia="仿宋" w:cs="仿宋"/>
          <w:spacing w:val="-7"/>
          <w:sz w:val="20"/>
          <w:szCs w:val="20"/>
          <w:u w:val="single" w:color="auto"/>
        </w:rPr>
        <w:t xml:space="preserve">                             </w:t>
      </w:r>
    </w:p>
    <w:p w14:paraId="4D6C0729">
      <w:pPr>
        <w:spacing w:before="150" w:line="232" w:lineRule="auto"/>
        <w:ind w:left="21"/>
        <w:rPr>
          <w:rFonts w:ascii="仿宋" w:hAnsi="仿宋" w:eastAsia="仿宋" w:cs="仿宋"/>
          <w:sz w:val="20"/>
          <w:szCs w:val="20"/>
        </w:rPr>
      </w:pPr>
      <w:r>
        <w:rPr>
          <w:rFonts w:ascii="仿宋" w:hAnsi="仿宋" w:eastAsia="仿宋" w:cs="仿宋"/>
          <w:spacing w:val="7"/>
          <w:sz w:val="20"/>
          <w:szCs w:val="20"/>
        </w:rPr>
        <w:t>法定代表人（签字</w:t>
      </w:r>
      <w:r>
        <w:rPr>
          <w:rFonts w:ascii="仿宋" w:hAnsi="仿宋" w:eastAsia="仿宋" w:cs="仿宋"/>
          <w:spacing w:val="-54"/>
          <w:sz w:val="20"/>
          <w:szCs w:val="20"/>
        </w:rPr>
        <w:t>）：</w:t>
      </w:r>
      <w:r>
        <w:rPr>
          <w:rFonts w:ascii="仿宋" w:hAnsi="仿宋" w:eastAsia="仿宋" w:cs="仿宋"/>
          <w:spacing w:val="-73"/>
          <w:sz w:val="20"/>
          <w:szCs w:val="20"/>
        </w:rPr>
        <w:t xml:space="preserve"> </w:t>
      </w:r>
      <w:r>
        <w:rPr>
          <w:rFonts w:ascii="仿宋" w:hAnsi="仿宋" w:eastAsia="仿宋" w:cs="仿宋"/>
          <w:sz w:val="20"/>
          <w:szCs w:val="20"/>
          <w:u w:val="single" w:color="auto"/>
        </w:rPr>
        <w:t xml:space="preserve">                      </w:t>
      </w:r>
      <w:r>
        <w:rPr>
          <w:rFonts w:ascii="仿宋" w:hAnsi="仿宋" w:eastAsia="仿宋" w:cs="仿宋"/>
          <w:spacing w:val="18"/>
          <w:sz w:val="20"/>
          <w:szCs w:val="20"/>
        </w:rPr>
        <w:t xml:space="preserve">  </w:t>
      </w:r>
      <w:r>
        <w:rPr>
          <w:rFonts w:ascii="仿宋" w:hAnsi="仿宋" w:eastAsia="仿宋" w:cs="仿宋"/>
          <w:spacing w:val="7"/>
          <w:sz w:val="20"/>
          <w:szCs w:val="20"/>
        </w:rPr>
        <w:t>法定代表人（签字</w:t>
      </w:r>
      <w:r>
        <w:rPr>
          <w:rFonts w:ascii="仿宋" w:hAnsi="仿宋" w:eastAsia="仿宋" w:cs="仿宋"/>
          <w:spacing w:val="-54"/>
          <w:sz w:val="20"/>
          <w:szCs w:val="20"/>
        </w:rPr>
        <w:t>）：</w:t>
      </w:r>
      <w:r>
        <w:rPr>
          <w:rFonts w:ascii="仿宋" w:hAnsi="仿宋" w:eastAsia="仿宋" w:cs="仿宋"/>
          <w:spacing w:val="-76"/>
          <w:sz w:val="20"/>
          <w:szCs w:val="20"/>
        </w:rPr>
        <w:t xml:space="preserve"> </w:t>
      </w:r>
      <w:r>
        <w:rPr>
          <w:rFonts w:ascii="仿宋" w:hAnsi="仿宋" w:eastAsia="仿宋" w:cs="仿宋"/>
          <w:sz w:val="20"/>
          <w:szCs w:val="20"/>
          <w:u w:val="single" w:color="auto"/>
        </w:rPr>
        <w:t xml:space="preserve">                       </w:t>
      </w:r>
    </w:p>
    <w:p w14:paraId="0E8BD64D">
      <w:pPr>
        <w:spacing w:before="157" w:line="232" w:lineRule="auto"/>
        <w:ind w:left="22"/>
        <w:rPr>
          <w:rFonts w:ascii="仿宋" w:hAnsi="仿宋" w:eastAsia="仿宋" w:cs="仿宋"/>
          <w:sz w:val="20"/>
          <w:szCs w:val="20"/>
        </w:rPr>
      </w:pPr>
      <w:r>
        <w:rPr>
          <w:rFonts w:ascii="仿宋" w:hAnsi="仿宋" w:eastAsia="仿宋" w:cs="仿宋"/>
          <w:spacing w:val="6"/>
          <w:sz w:val="20"/>
          <w:szCs w:val="20"/>
        </w:rPr>
        <w:t>委托代理人（签字</w:t>
      </w:r>
      <w:r>
        <w:rPr>
          <w:rFonts w:ascii="仿宋" w:hAnsi="仿宋" w:eastAsia="仿宋" w:cs="仿宋"/>
          <w:spacing w:val="-50"/>
          <w:sz w:val="20"/>
          <w:szCs w:val="20"/>
        </w:rPr>
        <w:t>）：</w:t>
      </w:r>
      <w:r>
        <w:rPr>
          <w:rFonts w:ascii="仿宋" w:hAnsi="仿宋" w:eastAsia="仿宋" w:cs="仿宋"/>
          <w:spacing w:val="-76"/>
          <w:sz w:val="20"/>
          <w:szCs w:val="20"/>
        </w:rPr>
        <w:t xml:space="preserve"> </w:t>
      </w:r>
      <w:r>
        <w:rPr>
          <w:rFonts w:ascii="仿宋" w:hAnsi="仿宋" w:eastAsia="仿宋" w:cs="仿宋"/>
          <w:sz w:val="20"/>
          <w:szCs w:val="20"/>
          <w:u w:val="single" w:color="auto"/>
        </w:rPr>
        <w:t xml:space="preserve">                      </w:t>
      </w:r>
      <w:r>
        <w:rPr>
          <w:rFonts w:ascii="仿宋" w:hAnsi="仿宋" w:eastAsia="仿宋" w:cs="仿宋"/>
          <w:spacing w:val="19"/>
          <w:sz w:val="20"/>
          <w:szCs w:val="20"/>
        </w:rPr>
        <w:t xml:space="preserve">  </w:t>
      </w:r>
      <w:r>
        <w:rPr>
          <w:rFonts w:ascii="仿宋" w:hAnsi="仿宋" w:eastAsia="仿宋" w:cs="仿宋"/>
          <w:spacing w:val="6"/>
          <w:sz w:val="20"/>
          <w:szCs w:val="20"/>
        </w:rPr>
        <w:t>委托代理人（签字</w:t>
      </w:r>
      <w:r>
        <w:rPr>
          <w:rFonts w:ascii="仿宋" w:hAnsi="仿宋" w:eastAsia="仿宋" w:cs="仿宋"/>
          <w:spacing w:val="-50"/>
          <w:sz w:val="20"/>
          <w:szCs w:val="20"/>
        </w:rPr>
        <w:t>）：</w:t>
      </w:r>
      <w:r>
        <w:rPr>
          <w:rFonts w:ascii="仿宋" w:hAnsi="仿宋" w:eastAsia="仿宋" w:cs="仿宋"/>
          <w:spacing w:val="-76"/>
          <w:sz w:val="20"/>
          <w:szCs w:val="20"/>
        </w:rPr>
        <w:t xml:space="preserve"> </w:t>
      </w:r>
      <w:r>
        <w:rPr>
          <w:rFonts w:ascii="仿宋" w:hAnsi="仿宋" w:eastAsia="仿宋" w:cs="仿宋"/>
          <w:sz w:val="20"/>
          <w:szCs w:val="20"/>
          <w:u w:val="single" w:color="auto"/>
        </w:rPr>
        <w:t xml:space="preserve">                       </w:t>
      </w:r>
    </w:p>
    <w:p w14:paraId="2AD27000">
      <w:pPr>
        <w:spacing w:before="159" w:line="232" w:lineRule="auto"/>
        <w:ind w:left="37"/>
        <w:rPr>
          <w:rFonts w:ascii="仿宋" w:hAnsi="仿宋" w:eastAsia="仿宋" w:cs="仿宋"/>
          <w:sz w:val="20"/>
          <w:szCs w:val="20"/>
        </w:rPr>
      </w:pPr>
      <w:r>
        <w:rPr>
          <w:rFonts w:ascii="仿宋" w:hAnsi="仿宋" w:eastAsia="仿宋" w:cs="仿宋"/>
          <w:spacing w:val="-18"/>
          <w:sz w:val="20"/>
          <w:szCs w:val="20"/>
        </w:rPr>
        <w:t>电</w:t>
      </w:r>
      <w:r>
        <w:rPr>
          <w:rFonts w:ascii="仿宋" w:hAnsi="仿宋" w:eastAsia="仿宋" w:cs="仿宋"/>
          <w:spacing w:val="14"/>
          <w:sz w:val="20"/>
          <w:szCs w:val="20"/>
        </w:rPr>
        <w:t xml:space="preserve">  </w:t>
      </w:r>
      <w:r>
        <w:rPr>
          <w:rFonts w:ascii="仿宋" w:hAnsi="仿宋" w:eastAsia="仿宋" w:cs="仿宋"/>
          <w:spacing w:val="-18"/>
          <w:sz w:val="20"/>
          <w:szCs w:val="20"/>
        </w:rPr>
        <w:t>话</w:t>
      </w:r>
      <w:r>
        <w:rPr>
          <w:rFonts w:ascii="仿宋" w:hAnsi="仿宋" w:eastAsia="仿宋" w:cs="仿宋"/>
          <w:spacing w:val="-71"/>
          <w:sz w:val="20"/>
          <w:szCs w:val="20"/>
        </w:rPr>
        <w:t xml:space="preserve"> </w:t>
      </w:r>
      <w:r>
        <w:rPr>
          <w:rFonts w:ascii="仿宋" w:hAnsi="仿宋" w:eastAsia="仿宋" w:cs="仿宋"/>
          <w:spacing w:val="-18"/>
          <w:sz w:val="20"/>
          <w:szCs w:val="20"/>
        </w:rPr>
        <w:t>：</w:t>
      </w:r>
      <w:r>
        <w:rPr>
          <w:rFonts w:ascii="仿宋" w:hAnsi="仿宋" w:eastAsia="仿宋" w:cs="仿宋"/>
          <w:spacing w:val="2"/>
          <w:sz w:val="20"/>
          <w:szCs w:val="20"/>
          <w:u w:val="single" w:color="auto"/>
        </w:rPr>
        <w:t xml:space="preserve">                          </w:t>
      </w:r>
      <w:r>
        <w:rPr>
          <w:rFonts w:ascii="仿宋" w:hAnsi="仿宋" w:eastAsia="仿宋" w:cs="仿宋"/>
          <w:spacing w:val="1"/>
          <w:sz w:val="20"/>
          <w:szCs w:val="20"/>
          <w:u w:val="single" w:color="auto"/>
        </w:rPr>
        <w:t xml:space="preserve">       </w:t>
      </w:r>
      <w:r>
        <w:rPr>
          <w:rFonts w:ascii="仿宋" w:hAnsi="仿宋" w:eastAsia="仿宋" w:cs="仿宋"/>
          <w:spacing w:val="25"/>
          <w:sz w:val="20"/>
          <w:szCs w:val="20"/>
        </w:rPr>
        <w:t xml:space="preserve">  </w:t>
      </w:r>
      <w:r>
        <w:rPr>
          <w:rFonts w:ascii="仿宋" w:hAnsi="仿宋" w:eastAsia="仿宋" w:cs="仿宋"/>
          <w:spacing w:val="-18"/>
          <w:sz w:val="20"/>
          <w:szCs w:val="20"/>
        </w:rPr>
        <w:t>电</w:t>
      </w:r>
      <w:r>
        <w:rPr>
          <w:rFonts w:ascii="仿宋" w:hAnsi="仿宋" w:eastAsia="仿宋" w:cs="仿宋"/>
          <w:spacing w:val="12"/>
          <w:sz w:val="20"/>
          <w:szCs w:val="20"/>
        </w:rPr>
        <w:t xml:space="preserve">  </w:t>
      </w:r>
      <w:r>
        <w:rPr>
          <w:rFonts w:ascii="仿宋" w:hAnsi="仿宋" w:eastAsia="仿宋" w:cs="仿宋"/>
          <w:spacing w:val="-18"/>
          <w:sz w:val="20"/>
          <w:szCs w:val="20"/>
        </w:rPr>
        <w:t>话</w:t>
      </w:r>
      <w:r>
        <w:rPr>
          <w:rFonts w:ascii="仿宋" w:hAnsi="仿宋" w:eastAsia="仿宋" w:cs="仿宋"/>
          <w:spacing w:val="-70"/>
          <w:sz w:val="20"/>
          <w:szCs w:val="20"/>
        </w:rPr>
        <w:t xml:space="preserve"> </w:t>
      </w:r>
      <w:r>
        <w:rPr>
          <w:rFonts w:ascii="仿宋" w:hAnsi="仿宋" w:eastAsia="仿宋" w:cs="仿宋"/>
          <w:spacing w:val="-18"/>
          <w:sz w:val="20"/>
          <w:szCs w:val="20"/>
        </w:rPr>
        <w:t>：</w:t>
      </w:r>
      <w:r>
        <w:rPr>
          <w:rFonts w:ascii="仿宋" w:hAnsi="仿宋" w:eastAsia="仿宋" w:cs="仿宋"/>
          <w:sz w:val="20"/>
          <w:szCs w:val="20"/>
          <w:u w:val="single" w:color="auto"/>
        </w:rPr>
        <w:t xml:space="preserve">                                  </w:t>
      </w:r>
    </w:p>
    <w:p w14:paraId="060E9766">
      <w:pPr>
        <w:spacing w:before="157" w:line="232" w:lineRule="auto"/>
        <w:ind w:left="16"/>
        <w:rPr>
          <w:rFonts w:ascii="仿宋" w:hAnsi="仿宋" w:eastAsia="仿宋" w:cs="仿宋"/>
          <w:sz w:val="20"/>
          <w:szCs w:val="20"/>
        </w:rPr>
      </w:pPr>
      <w:r>
        <w:rPr>
          <w:rFonts w:ascii="仿宋" w:hAnsi="仿宋" w:eastAsia="仿宋" w:cs="仿宋"/>
          <w:spacing w:val="-7"/>
          <w:sz w:val="20"/>
          <w:szCs w:val="20"/>
        </w:rPr>
        <w:t>传</w:t>
      </w:r>
      <w:r>
        <w:rPr>
          <w:rFonts w:ascii="仿宋" w:hAnsi="仿宋" w:eastAsia="仿宋" w:cs="仿宋"/>
          <w:spacing w:val="15"/>
          <w:sz w:val="20"/>
          <w:szCs w:val="20"/>
        </w:rPr>
        <w:t xml:space="preserve">  </w:t>
      </w:r>
      <w:r>
        <w:rPr>
          <w:rFonts w:ascii="仿宋" w:hAnsi="仿宋" w:eastAsia="仿宋" w:cs="仿宋"/>
          <w:spacing w:val="-7"/>
          <w:sz w:val="20"/>
          <w:szCs w:val="20"/>
        </w:rPr>
        <w:t>真</w:t>
      </w:r>
      <w:r>
        <w:rPr>
          <w:rFonts w:ascii="仿宋" w:hAnsi="仿宋" w:eastAsia="仿宋" w:cs="仿宋"/>
          <w:spacing w:val="-69"/>
          <w:sz w:val="20"/>
          <w:szCs w:val="20"/>
        </w:rPr>
        <w:t xml:space="preserve"> </w:t>
      </w:r>
      <w:r>
        <w:rPr>
          <w:rFonts w:ascii="仿宋" w:hAnsi="仿宋" w:eastAsia="仿宋" w:cs="仿宋"/>
          <w:spacing w:val="-7"/>
          <w:sz w:val="20"/>
          <w:szCs w:val="20"/>
        </w:rPr>
        <w:t>：</w:t>
      </w:r>
      <w:r>
        <w:rPr>
          <w:rFonts w:ascii="仿宋" w:hAnsi="仿宋" w:eastAsia="仿宋" w:cs="仿宋"/>
          <w:spacing w:val="2"/>
          <w:sz w:val="20"/>
          <w:szCs w:val="20"/>
          <w:u w:val="single" w:color="auto"/>
        </w:rPr>
        <w:t xml:space="preserve">                          </w:t>
      </w:r>
      <w:r>
        <w:rPr>
          <w:rFonts w:ascii="仿宋" w:hAnsi="仿宋" w:eastAsia="仿宋" w:cs="仿宋"/>
          <w:spacing w:val="1"/>
          <w:sz w:val="20"/>
          <w:szCs w:val="20"/>
          <w:u w:val="single" w:color="auto"/>
        </w:rPr>
        <w:t xml:space="preserve">       </w:t>
      </w:r>
      <w:r>
        <w:rPr>
          <w:rFonts w:ascii="仿宋" w:hAnsi="仿宋" w:eastAsia="仿宋" w:cs="仿宋"/>
          <w:spacing w:val="14"/>
          <w:sz w:val="20"/>
          <w:szCs w:val="20"/>
        </w:rPr>
        <w:t xml:space="preserve">  </w:t>
      </w:r>
      <w:r>
        <w:rPr>
          <w:rFonts w:ascii="仿宋" w:hAnsi="仿宋" w:eastAsia="仿宋" w:cs="仿宋"/>
          <w:spacing w:val="-7"/>
          <w:sz w:val="20"/>
          <w:szCs w:val="20"/>
        </w:rPr>
        <w:t>传</w:t>
      </w:r>
      <w:r>
        <w:rPr>
          <w:rFonts w:ascii="仿宋" w:hAnsi="仿宋" w:eastAsia="仿宋" w:cs="仿宋"/>
          <w:spacing w:val="16"/>
          <w:sz w:val="20"/>
          <w:szCs w:val="20"/>
        </w:rPr>
        <w:t xml:space="preserve">  </w:t>
      </w:r>
      <w:r>
        <w:rPr>
          <w:rFonts w:ascii="仿宋" w:hAnsi="仿宋" w:eastAsia="仿宋" w:cs="仿宋"/>
          <w:spacing w:val="-7"/>
          <w:sz w:val="20"/>
          <w:szCs w:val="20"/>
        </w:rPr>
        <w:t>真</w:t>
      </w:r>
      <w:r>
        <w:rPr>
          <w:rFonts w:ascii="仿宋" w:hAnsi="仿宋" w:eastAsia="仿宋" w:cs="仿宋"/>
          <w:spacing w:val="-70"/>
          <w:sz w:val="20"/>
          <w:szCs w:val="20"/>
        </w:rPr>
        <w:t xml:space="preserve"> </w:t>
      </w:r>
      <w:r>
        <w:rPr>
          <w:rFonts w:ascii="仿宋" w:hAnsi="仿宋" w:eastAsia="仿宋" w:cs="仿宋"/>
          <w:spacing w:val="-7"/>
          <w:sz w:val="20"/>
          <w:szCs w:val="20"/>
        </w:rPr>
        <w:t>：</w:t>
      </w:r>
      <w:r>
        <w:rPr>
          <w:rFonts w:ascii="仿宋" w:hAnsi="仿宋" w:eastAsia="仿宋" w:cs="仿宋"/>
          <w:spacing w:val="-7"/>
          <w:sz w:val="20"/>
          <w:szCs w:val="20"/>
          <w:u w:val="single" w:color="auto"/>
        </w:rPr>
        <w:t xml:space="preserve">             </w:t>
      </w:r>
      <w:r>
        <w:rPr>
          <w:rFonts w:ascii="仿宋" w:hAnsi="仿宋" w:eastAsia="仿宋" w:cs="仿宋"/>
          <w:spacing w:val="-8"/>
          <w:sz w:val="20"/>
          <w:szCs w:val="20"/>
          <w:u w:val="single" w:color="auto"/>
        </w:rPr>
        <w:t xml:space="preserve">                       </w:t>
      </w:r>
    </w:p>
    <w:p w14:paraId="4B7F781A">
      <w:pPr>
        <w:spacing w:before="157" w:line="229" w:lineRule="auto"/>
        <w:ind w:left="14"/>
        <w:rPr>
          <w:rFonts w:ascii="仿宋" w:hAnsi="仿宋" w:eastAsia="仿宋" w:cs="仿宋"/>
          <w:sz w:val="20"/>
          <w:szCs w:val="20"/>
        </w:rPr>
      </w:pPr>
      <w:r>
        <w:rPr>
          <w:rFonts w:ascii="仿宋" w:hAnsi="仿宋" w:eastAsia="仿宋" w:cs="仿宋"/>
          <w:spacing w:val="4"/>
          <w:sz w:val="20"/>
          <w:szCs w:val="20"/>
        </w:rPr>
        <w:t>开户银行：</w:t>
      </w:r>
      <w:r>
        <w:rPr>
          <w:rFonts w:ascii="仿宋" w:hAnsi="仿宋" w:eastAsia="仿宋" w:cs="仿宋"/>
          <w:spacing w:val="4"/>
          <w:sz w:val="20"/>
          <w:szCs w:val="20"/>
          <w:u w:val="single" w:color="auto"/>
        </w:rPr>
        <w:t xml:space="preserve">                              </w:t>
      </w:r>
      <w:r>
        <w:rPr>
          <w:rFonts w:ascii="仿宋" w:hAnsi="仿宋" w:eastAsia="仿宋" w:cs="仿宋"/>
          <w:spacing w:val="12"/>
          <w:sz w:val="20"/>
          <w:szCs w:val="20"/>
        </w:rPr>
        <w:t xml:space="preserve">  </w:t>
      </w:r>
      <w:r>
        <w:rPr>
          <w:rFonts w:ascii="仿宋" w:hAnsi="仿宋" w:eastAsia="仿宋" w:cs="仿宋"/>
          <w:spacing w:val="4"/>
          <w:sz w:val="20"/>
          <w:szCs w:val="20"/>
        </w:rPr>
        <w:t>开户银行：</w:t>
      </w:r>
      <w:r>
        <w:rPr>
          <w:rFonts w:ascii="仿宋" w:hAnsi="仿宋" w:eastAsia="仿宋" w:cs="仿宋"/>
          <w:spacing w:val="4"/>
          <w:sz w:val="20"/>
          <w:szCs w:val="20"/>
          <w:u w:val="single" w:color="auto"/>
        </w:rPr>
        <w:t xml:space="preserve">                 </w:t>
      </w:r>
      <w:r>
        <w:rPr>
          <w:rFonts w:ascii="仿宋" w:hAnsi="仿宋" w:eastAsia="仿宋" w:cs="仿宋"/>
          <w:spacing w:val="3"/>
          <w:sz w:val="20"/>
          <w:szCs w:val="20"/>
          <w:u w:val="single" w:color="auto"/>
        </w:rPr>
        <w:t xml:space="preserve">              </w:t>
      </w:r>
    </w:p>
    <w:p w14:paraId="07F97F22">
      <w:pPr>
        <w:spacing w:before="163" w:line="232" w:lineRule="auto"/>
        <w:ind w:left="12"/>
        <w:rPr>
          <w:rFonts w:ascii="仿宋" w:hAnsi="仿宋" w:eastAsia="仿宋" w:cs="仿宋"/>
          <w:sz w:val="20"/>
          <w:szCs w:val="20"/>
        </w:rPr>
      </w:pPr>
      <w:r>
        <w:rPr>
          <w:rFonts w:ascii="仿宋" w:hAnsi="仿宋" w:eastAsia="仿宋" w:cs="仿宋"/>
          <w:spacing w:val="-11"/>
          <w:sz w:val="20"/>
          <w:szCs w:val="20"/>
        </w:rPr>
        <w:t>账</w:t>
      </w:r>
      <w:r>
        <w:rPr>
          <w:rFonts w:ascii="仿宋" w:hAnsi="仿宋" w:eastAsia="仿宋" w:cs="仿宋"/>
          <w:spacing w:val="16"/>
          <w:sz w:val="20"/>
          <w:szCs w:val="20"/>
        </w:rPr>
        <w:t xml:space="preserve">  </w:t>
      </w:r>
      <w:r>
        <w:rPr>
          <w:rFonts w:ascii="仿宋" w:hAnsi="仿宋" w:eastAsia="仿宋" w:cs="仿宋"/>
          <w:spacing w:val="-11"/>
          <w:sz w:val="20"/>
          <w:szCs w:val="20"/>
        </w:rPr>
        <w:t>号</w:t>
      </w:r>
      <w:r>
        <w:rPr>
          <w:rFonts w:ascii="仿宋" w:hAnsi="仿宋" w:eastAsia="仿宋" w:cs="仿宋"/>
          <w:spacing w:val="-71"/>
          <w:sz w:val="20"/>
          <w:szCs w:val="20"/>
        </w:rPr>
        <w:t xml:space="preserve"> </w:t>
      </w:r>
      <w:r>
        <w:rPr>
          <w:rFonts w:ascii="仿宋" w:hAnsi="仿宋" w:eastAsia="仿宋" w:cs="仿宋"/>
          <w:spacing w:val="-11"/>
          <w:sz w:val="20"/>
          <w:szCs w:val="20"/>
        </w:rPr>
        <w:t>：</w:t>
      </w:r>
      <w:r>
        <w:rPr>
          <w:rFonts w:ascii="仿宋" w:hAnsi="仿宋" w:eastAsia="仿宋" w:cs="仿宋"/>
          <w:spacing w:val="2"/>
          <w:sz w:val="20"/>
          <w:szCs w:val="20"/>
          <w:u w:val="single" w:color="auto"/>
        </w:rPr>
        <w:t xml:space="preserve">                          </w:t>
      </w:r>
      <w:r>
        <w:rPr>
          <w:rFonts w:ascii="仿宋" w:hAnsi="仿宋" w:eastAsia="仿宋" w:cs="仿宋"/>
          <w:spacing w:val="1"/>
          <w:sz w:val="20"/>
          <w:szCs w:val="20"/>
          <w:u w:val="single" w:color="auto"/>
        </w:rPr>
        <w:t xml:space="preserve">       </w:t>
      </w:r>
      <w:r>
        <w:rPr>
          <w:rFonts w:ascii="仿宋" w:hAnsi="仿宋" w:eastAsia="仿宋" w:cs="仿宋"/>
          <w:spacing w:val="12"/>
          <w:sz w:val="20"/>
          <w:szCs w:val="20"/>
        </w:rPr>
        <w:t xml:space="preserve">  </w:t>
      </w:r>
      <w:r>
        <w:rPr>
          <w:rFonts w:ascii="仿宋" w:hAnsi="仿宋" w:eastAsia="仿宋" w:cs="仿宋"/>
          <w:spacing w:val="-11"/>
          <w:sz w:val="20"/>
          <w:szCs w:val="20"/>
        </w:rPr>
        <w:t>账</w:t>
      </w:r>
      <w:r>
        <w:rPr>
          <w:rFonts w:ascii="仿宋" w:hAnsi="仿宋" w:eastAsia="仿宋" w:cs="仿宋"/>
          <w:spacing w:val="15"/>
          <w:sz w:val="20"/>
          <w:szCs w:val="20"/>
        </w:rPr>
        <w:t xml:space="preserve">  </w:t>
      </w:r>
      <w:r>
        <w:rPr>
          <w:rFonts w:ascii="仿宋" w:hAnsi="仿宋" w:eastAsia="仿宋" w:cs="仿宋"/>
          <w:spacing w:val="-11"/>
          <w:sz w:val="20"/>
          <w:szCs w:val="20"/>
        </w:rPr>
        <w:t>号</w:t>
      </w:r>
      <w:r>
        <w:rPr>
          <w:rFonts w:ascii="仿宋" w:hAnsi="仿宋" w:eastAsia="仿宋" w:cs="仿宋"/>
          <w:spacing w:val="-71"/>
          <w:sz w:val="20"/>
          <w:szCs w:val="20"/>
        </w:rPr>
        <w:t xml:space="preserve"> </w:t>
      </w:r>
      <w:r>
        <w:rPr>
          <w:rFonts w:ascii="仿宋" w:hAnsi="仿宋" w:eastAsia="仿宋" w:cs="仿宋"/>
          <w:spacing w:val="-11"/>
          <w:sz w:val="20"/>
          <w:szCs w:val="20"/>
        </w:rPr>
        <w:t>：</w:t>
      </w:r>
      <w:r>
        <w:rPr>
          <w:rFonts w:ascii="仿宋" w:hAnsi="仿宋" w:eastAsia="仿宋" w:cs="仿宋"/>
          <w:sz w:val="20"/>
          <w:szCs w:val="20"/>
          <w:u w:val="single" w:color="auto"/>
        </w:rPr>
        <w:t xml:space="preserve">                                  </w:t>
      </w:r>
    </w:p>
    <w:p w14:paraId="277F4009">
      <w:pPr>
        <w:spacing w:before="156" w:line="230" w:lineRule="auto"/>
        <w:ind w:left="30"/>
        <w:rPr>
          <w:rFonts w:ascii="仿宋" w:hAnsi="仿宋" w:eastAsia="仿宋" w:cs="仿宋"/>
          <w:sz w:val="20"/>
          <w:szCs w:val="20"/>
        </w:rPr>
      </w:pPr>
      <w:r>
        <w:rPr>
          <w:rFonts w:ascii="仿宋" w:hAnsi="仿宋" w:eastAsia="仿宋" w:cs="仿宋"/>
          <w:spacing w:val="2"/>
          <w:sz w:val="20"/>
          <w:szCs w:val="20"/>
        </w:rPr>
        <w:t>邮政编码：</w:t>
      </w:r>
      <w:r>
        <w:rPr>
          <w:rFonts w:ascii="仿宋" w:hAnsi="仿宋" w:eastAsia="仿宋" w:cs="仿宋"/>
          <w:spacing w:val="2"/>
          <w:sz w:val="20"/>
          <w:szCs w:val="20"/>
          <w:u w:val="single" w:color="auto"/>
        </w:rPr>
        <w:t xml:space="preserve">                        </w:t>
      </w:r>
      <w:r>
        <w:rPr>
          <w:rFonts w:ascii="仿宋" w:hAnsi="仿宋" w:eastAsia="仿宋" w:cs="仿宋"/>
          <w:spacing w:val="1"/>
          <w:sz w:val="20"/>
          <w:szCs w:val="20"/>
          <w:u w:val="single" w:color="auto"/>
        </w:rPr>
        <w:t xml:space="preserve">       </w:t>
      </w:r>
      <w:r>
        <w:rPr>
          <w:rFonts w:ascii="仿宋" w:hAnsi="仿宋" w:eastAsia="仿宋" w:cs="仿宋"/>
          <w:spacing w:val="21"/>
          <w:sz w:val="20"/>
          <w:szCs w:val="20"/>
        </w:rPr>
        <w:t xml:space="preserve">  </w:t>
      </w:r>
      <w:r>
        <w:rPr>
          <w:rFonts w:ascii="仿宋" w:hAnsi="仿宋" w:eastAsia="仿宋" w:cs="仿宋"/>
          <w:spacing w:val="2"/>
          <w:sz w:val="20"/>
          <w:szCs w:val="20"/>
        </w:rPr>
        <w:t>邮政编码：</w:t>
      </w:r>
      <w:r>
        <w:rPr>
          <w:rFonts w:ascii="仿宋" w:hAnsi="仿宋" w:eastAsia="仿宋" w:cs="仿宋"/>
          <w:spacing w:val="2"/>
          <w:sz w:val="20"/>
          <w:szCs w:val="20"/>
          <w:u w:val="single" w:color="auto"/>
        </w:rPr>
        <w:t xml:space="preserve">                               </w:t>
      </w:r>
    </w:p>
    <w:p w14:paraId="57A0B50C">
      <w:pPr>
        <w:spacing w:line="230" w:lineRule="auto"/>
        <w:rPr>
          <w:rFonts w:ascii="仿宋" w:hAnsi="仿宋" w:eastAsia="仿宋" w:cs="仿宋"/>
          <w:sz w:val="20"/>
          <w:szCs w:val="20"/>
        </w:rPr>
        <w:sectPr>
          <w:footerReference r:id="rId425" w:type="default"/>
          <w:pgSz w:w="11907" w:h="16840"/>
          <w:pgMar w:top="400" w:right="1531" w:bottom="1105" w:left="1473" w:header="0" w:footer="943" w:gutter="0"/>
          <w:cols w:space="720" w:num="1"/>
        </w:sectPr>
      </w:pPr>
    </w:p>
    <w:p w14:paraId="509C369A">
      <w:pPr>
        <w:spacing w:line="248" w:lineRule="auto"/>
        <w:rPr>
          <w:rFonts w:ascii="Arial"/>
          <w:sz w:val="21"/>
        </w:rPr>
      </w:pPr>
    </w:p>
    <w:p w14:paraId="7812398B">
      <w:pPr>
        <w:spacing w:line="248" w:lineRule="auto"/>
        <w:rPr>
          <w:rFonts w:ascii="Arial"/>
          <w:sz w:val="21"/>
        </w:rPr>
      </w:pPr>
    </w:p>
    <w:p w14:paraId="1E6DC367">
      <w:pPr>
        <w:spacing w:line="249" w:lineRule="auto"/>
        <w:rPr>
          <w:rFonts w:ascii="Arial"/>
          <w:sz w:val="21"/>
        </w:rPr>
      </w:pPr>
    </w:p>
    <w:p w14:paraId="196CE2F0">
      <w:pPr>
        <w:spacing w:line="249" w:lineRule="auto"/>
        <w:rPr>
          <w:rFonts w:ascii="Arial"/>
          <w:sz w:val="21"/>
        </w:rPr>
      </w:pPr>
    </w:p>
    <w:p w14:paraId="72A424B6">
      <w:pPr>
        <w:spacing w:line="249" w:lineRule="auto"/>
        <w:rPr>
          <w:rFonts w:ascii="Arial"/>
          <w:sz w:val="21"/>
        </w:rPr>
      </w:pPr>
    </w:p>
    <w:p w14:paraId="670C1205">
      <w:pPr>
        <w:pStyle w:val="2"/>
        <w:spacing w:before="91" w:line="225" w:lineRule="auto"/>
        <w:ind w:left="7"/>
        <w:rPr>
          <w:sz w:val="28"/>
          <w:szCs w:val="28"/>
        </w:rPr>
      </w:pPr>
      <w:r>
        <w:rPr>
          <w:spacing w:val="-8"/>
          <w:sz w:val="28"/>
          <w:szCs w:val="28"/>
        </w:rPr>
        <w:t>附件</w:t>
      </w:r>
      <w:r>
        <w:rPr>
          <w:spacing w:val="-64"/>
          <w:sz w:val="28"/>
          <w:szCs w:val="28"/>
        </w:rPr>
        <w:t xml:space="preserve"> </w:t>
      </w:r>
      <w:r>
        <w:rPr>
          <w:rFonts w:ascii="Times New Roman" w:hAnsi="Times New Roman" w:eastAsia="Times New Roman" w:cs="Times New Roman"/>
          <w:spacing w:val="-8"/>
          <w:sz w:val="28"/>
          <w:szCs w:val="28"/>
        </w:rPr>
        <w:t>4</w:t>
      </w:r>
      <w:r>
        <w:rPr>
          <w:spacing w:val="-8"/>
          <w:sz w:val="28"/>
          <w:szCs w:val="28"/>
        </w:rPr>
        <w:t>：</w:t>
      </w:r>
    </w:p>
    <w:p w14:paraId="6330969E">
      <w:pPr>
        <w:spacing w:line="243" w:lineRule="auto"/>
        <w:rPr>
          <w:rFonts w:ascii="Arial"/>
          <w:sz w:val="21"/>
        </w:rPr>
      </w:pPr>
    </w:p>
    <w:p w14:paraId="3D00B945">
      <w:pPr>
        <w:spacing w:before="120" w:line="183" w:lineRule="auto"/>
        <w:ind w:left="3037"/>
        <w:rPr>
          <w:rFonts w:ascii="微软雅黑" w:hAnsi="微软雅黑" w:eastAsia="微软雅黑" w:cs="微软雅黑"/>
          <w:sz w:val="28"/>
          <w:szCs w:val="28"/>
        </w:rPr>
      </w:pPr>
      <w:r>
        <w:rPr>
          <w:rFonts w:ascii="微软雅黑" w:hAnsi="微软雅黑" w:eastAsia="微软雅黑" w:cs="微软雅黑"/>
          <w:spacing w:val="-1"/>
          <w:sz w:val="28"/>
          <w:szCs w:val="28"/>
        </w:rPr>
        <w:t>主要建设工程文件目录</w:t>
      </w:r>
    </w:p>
    <w:p w14:paraId="3DEE8DEE">
      <w:pPr>
        <w:spacing w:line="224" w:lineRule="exact"/>
      </w:pPr>
    </w:p>
    <w:tbl>
      <w:tblPr>
        <w:tblStyle w:val="5"/>
        <w:tblW w:w="8839"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7"/>
        <w:gridCol w:w="1244"/>
        <w:gridCol w:w="1413"/>
        <w:gridCol w:w="1212"/>
        <w:gridCol w:w="1413"/>
        <w:gridCol w:w="1640"/>
      </w:tblGrid>
      <w:tr w14:paraId="7B981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1917" w:type="dxa"/>
            <w:tcBorders>
              <w:top w:val="single" w:color="000000" w:sz="10" w:space="0"/>
              <w:left w:val="single" w:color="000000" w:sz="10" w:space="0"/>
            </w:tcBorders>
            <w:vAlign w:val="top"/>
          </w:tcPr>
          <w:p w14:paraId="156C4B5A">
            <w:pPr>
              <w:spacing w:before="200" w:line="230" w:lineRule="auto"/>
              <w:ind w:left="533"/>
              <w:rPr>
                <w:rFonts w:ascii="黑体" w:hAnsi="黑体" w:eastAsia="黑体" w:cs="黑体"/>
                <w:sz w:val="20"/>
                <w:szCs w:val="20"/>
              </w:rPr>
            </w:pPr>
            <w:r>
              <w:rPr>
                <w:rFonts w:ascii="黑体" w:hAnsi="黑体" w:eastAsia="黑体" w:cs="黑体"/>
                <w:spacing w:val="6"/>
                <w:sz w:val="20"/>
                <w:szCs w:val="20"/>
              </w:rPr>
              <w:t>文件名称</w:t>
            </w:r>
          </w:p>
        </w:tc>
        <w:tc>
          <w:tcPr>
            <w:tcW w:w="1244" w:type="dxa"/>
            <w:tcBorders>
              <w:top w:val="single" w:color="000000" w:sz="10" w:space="0"/>
            </w:tcBorders>
            <w:vAlign w:val="top"/>
          </w:tcPr>
          <w:p w14:paraId="15F849C7">
            <w:pPr>
              <w:spacing w:before="200" w:line="231" w:lineRule="auto"/>
              <w:ind w:left="411"/>
              <w:rPr>
                <w:rFonts w:ascii="黑体" w:hAnsi="黑体" w:eastAsia="黑体" w:cs="黑体"/>
                <w:sz w:val="20"/>
                <w:szCs w:val="20"/>
              </w:rPr>
            </w:pPr>
            <w:r>
              <w:rPr>
                <w:rFonts w:ascii="黑体" w:hAnsi="黑体" w:eastAsia="黑体" w:cs="黑体"/>
                <w:spacing w:val="3"/>
                <w:sz w:val="20"/>
                <w:szCs w:val="20"/>
              </w:rPr>
              <w:t>套数</w:t>
            </w:r>
          </w:p>
        </w:tc>
        <w:tc>
          <w:tcPr>
            <w:tcW w:w="1413" w:type="dxa"/>
            <w:tcBorders>
              <w:top w:val="single" w:color="000000" w:sz="10" w:space="0"/>
            </w:tcBorders>
            <w:vAlign w:val="top"/>
          </w:tcPr>
          <w:p w14:paraId="027BBA2C">
            <w:pPr>
              <w:spacing w:before="200" w:line="231" w:lineRule="auto"/>
              <w:ind w:left="184"/>
              <w:rPr>
                <w:rFonts w:ascii="黑体" w:hAnsi="黑体" w:eastAsia="黑体" w:cs="黑体"/>
                <w:sz w:val="20"/>
                <w:szCs w:val="20"/>
              </w:rPr>
            </w:pPr>
            <w:r>
              <w:rPr>
                <w:rFonts w:ascii="黑体" w:hAnsi="黑体" w:eastAsia="黑体" w:cs="黑体"/>
                <w:spacing w:val="5"/>
                <w:sz w:val="20"/>
                <w:szCs w:val="20"/>
              </w:rPr>
              <w:t>费用（元）</w:t>
            </w:r>
          </w:p>
        </w:tc>
        <w:tc>
          <w:tcPr>
            <w:tcW w:w="1212" w:type="dxa"/>
            <w:tcBorders>
              <w:top w:val="single" w:color="000000" w:sz="10" w:space="0"/>
            </w:tcBorders>
            <w:vAlign w:val="top"/>
          </w:tcPr>
          <w:p w14:paraId="7288D522">
            <w:pPr>
              <w:spacing w:before="200" w:line="231" w:lineRule="auto"/>
              <w:ind w:left="403"/>
              <w:rPr>
                <w:rFonts w:ascii="黑体" w:hAnsi="黑体" w:eastAsia="黑体" w:cs="黑体"/>
                <w:sz w:val="20"/>
                <w:szCs w:val="20"/>
              </w:rPr>
            </w:pPr>
            <w:r>
              <w:rPr>
                <w:rFonts w:ascii="黑体" w:hAnsi="黑体" w:eastAsia="黑体" w:cs="黑体"/>
                <w:spacing w:val="3"/>
                <w:sz w:val="20"/>
                <w:szCs w:val="20"/>
              </w:rPr>
              <w:t>质量</w:t>
            </w:r>
          </w:p>
        </w:tc>
        <w:tc>
          <w:tcPr>
            <w:tcW w:w="1413" w:type="dxa"/>
            <w:tcBorders>
              <w:top w:val="single" w:color="000000" w:sz="10" w:space="0"/>
            </w:tcBorders>
            <w:vAlign w:val="top"/>
          </w:tcPr>
          <w:p w14:paraId="62B65533">
            <w:pPr>
              <w:spacing w:before="200" w:line="231" w:lineRule="auto"/>
              <w:ind w:left="296"/>
              <w:rPr>
                <w:rFonts w:ascii="黑体" w:hAnsi="黑体" w:eastAsia="黑体" w:cs="黑体"/>
                <w:sz w:val="20"/>
                <w:szCs w:val="20"/>
              </w:rPr>
            </w:pPr>
            <w:r>
              <w:rPr>
                <w:rFonts w:ascii="黑体" w:hAnsi="黑体" w:eastAsia="黑体" w:cs="黑体"/>
                <w:spacing w:val="7"/>
                <w:sz w:val="20"/>
                <w:szCs w:val="20"/>
              </w:rPr>
              <w:t>移交时间</w:t>
            </w:r>
          </w:p>
        </w:tc>
        <w:tc>
          <w:tcPr>
            <w:tcW w:w="1640" w:type="dxa"/>
            <w:tcBorders>
              <w:top w:val="single" w:color="000000" w:sz="10" w:space="0"/>
              <w:right w:val="single" w:color="000000" w:sz="10" w:space="0"/>
            </w:tcBorders>
            <w:vAlign w:val="top"/>
          </w:tcPr>
          <w:p w14:paraId="192B87F1">
            <w:pPr>
              <w:spacing w:before="200" w:line="229" w:lineRule="auto"/>
              <w:ind w:left="516"/>
              <w:rPr>
                <w:rFonts w:ascii="黑体" w:hAnsi="黑体" w:eastAsia="黑体" w:cs="黑体"/>
                <w:sz w:val="20"/>
                <w:szCs w:val="20"/>
              </w:rPr>
            </w:pPr>
            <w:r>
              <w:rPr>
                <w:rFonts w:ascii="黑体" w:hAnsi="黑体" w:eastAsia="黑体" w:cs="黑体"/>
                <w:spacing w:val="5"/>
                <w:sz w:val="20"/>
                <w:szCs w:val="20"/>
              </w:rPr>
              <w:t>责任人</w:t>
            </w:r>
          </w:p>
        </w:tc>
      </w:tr>
      <w:tr w14:paraId="2EF95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1917" w:type="dxa"/>
            <w:tcBorders>
              <w:left w:val="single" w:color="000000" w:sz="10" w:space="0"/>
            </w:tcBorders>
            <w:vAlign w:val="top"/>
          </w:tcPr>
          <w:p w14:paraId="7952E97B">
            <w:pPr>
              <w:rPr>
                <w:rFonts w:ascii="Arial"/>
                <w:sz w:val="21"/>
              </w:rPr>
            </w:pPr>
          </w:p>
        </w:tc>
        <w:tc>
          <w:tcPr>
            <w:tcW w:w="1244" w:type="dxa"/>
            <w:vAlign w:val="top"/>
          </w:tcPr>
          <w:p w14:paraId="125238B7">
            <w:pPr>
              <w:rPr>
                <w:rFonts w:ascii="Arial"/>
                <w:sz w:val="21"/>
              </w:rPr>
            </w:pPr>
          </w:p>
        </w:tc>
        <w:tc>
          <w:tcPr>
            <w:tcW w:w="1413" w:type="dxa"/>
            <w:vAlign w:val="top"/>
          </w:tcPr>
          <w:p w14:paraId="64E1A091">
            <w:pPr>
              <w:rPr>
                <w:rFonts w:ascii="Arial"/>
                <w:sz w:val="21"/>
              </w:rPr>
            </w:pPr>
          </w:p>
        </w:tc>
        <w:tc>
          <w:tcPr>
            <w:tcW w:w="1212" w:type="dxa"/>
            <w:vAlign w:val="top"/>
          </w:tcPr>
          <w:p w14:paraId="40AAA343">
            <w:pPr>
              <w:rPr>
                <w:rFonts w:ascii="Arial"/>
                <w:sz w:val="21"/>
              </w:rPr>
            </w:pPr>
          </w:p>
        </w:tc>
        <w:tc>
          <w:tcPr>
            <w:tcW w:w="1413" w:type="dxa"/>
            <w:vAlign w:val="top"/>
          </w:tcPr>
          <w:p w14:paraId="6F7ACC97">
            <w:pPr>
              <w:rPr>
                <w:rFonts w:ascii="Arial"/>
                <w:sz w:val="21"/>
              </w:rPr>
            </w:pPr>
          </w:p>
        </w:tc>
        <w:tc>
          <w:tcPr>
            <w:tcW w:w="1640" w:type="dxa"/>
            <w:tcBorders>
              <w:right w:val="single" w:color="000000" w:sz="10" w:space="0"/>
            </w:tcBorders>
            <w:vAlign w:val="top"/>
          </w:tcPr>
          <w:p w14:paraId="00EA73C4">
            <w:pPr>
              <w:rPr>
                <w:rFonts w:ascii="Arial"/>
                <w:sz w:val="21"/>
              </w:rPr>
            </w:pPr>
          </w:p>
        </w:tc>
      </w:tr>
      <w:tr w14:paraId="3AC72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917" w:type="dxa"/>
            <w:tcBorders>
              <w:left w:val="single" w:color="000000" w:sz="10" w:space="0"/>
            </w:tcBorders>
            <w:vAlign w:val="top"/>
          </w:tcPr>
          <w:p w14:paraId="51D22FFB">
            <w:pPr>
              <w:rPr>
                <w:rFonts w:ascii="Arial"/>
                <w:sz w:val="21"/>
              </w:rPr>
            </w:pPr>
          </w:p>
        </w:tc>
        <w:tc>
          <w:tcPr>
            <w:tcW w:w="1244" w:type="dxa"/>
            <w:vAlign w:val="top"/>
          </w:tcPr>
          <w:p w14:paraId="4B07718E">
            <w:pPr>
              <w:rPr>
                <w:rFonts w:ascii="Arial"/>
                <w:sz w:val="21"/>
              </w:rPr>
            </w:pPr>
          </w:p>
        </w:tc>
        <w:tc>
          <w:tcPr>
            <w:tcW w:w="1413" w:type="dxa"/>
            <w:vAlign w:val="top"/>
          </w:tcPr>
          <w:p w14:paraId="3525CA5A">
            <w:pPr>
              <w:rPr>
                <w:rFonts w:ascii="Arial"/>
                <w:sz w:val="21"/>
              </w:rPr>
            </w:pPr>
          </w:p>
        </w:tc>
        <w:tc>
          <w:tcPr>
            <w:tcW w:w="1212" w:type="dxa"/>
            <w:vAlign w:val="top"/>
          </w:tcPr>
          <w:p w14:paraId="597FBE62">
            <w:pPr>
              <w:rPr>
                <w:rFonts w:ascii="Arial"/>
                <w:sz w:val="21"/>
              </w:rPr>
            </w:pPr>
          </w:p>
        </w:tc>
        <w:tc>
          <w:tcPr>
            <w:tcW w:w="1413" w:type="dxa"/>
            <w:vAlign w:val="top"/>
          </w:tcPr>
          <w:p w14:paraId="6B701B02">
            <w:pPr>
              <w:rPr>
                <w:rFonts w:ascii="Arial"/>
                <w:sz w:val="21"/>
              </w:rPr>
            </w:pPr>
          </w:p>
        </w:tc>
        <w:tc>
          <w:tcPr>
            <w:tcW w:w="1640" w:type="dxa"/>
            <w:tcBorders>
              <w:right w:val="single" w:color="000000" w:sz="10" w:space="0"/>
            </w:tcBorders>
            <w:vAlign w:val="top"/>
          </w:tcPr>
          <w:p w14:paraId="5233D0EE">
            <w:pPr>
              <w:rPr>
                <w:rFonts w:ascii="Arial"/>
                <w:sz w:val="21"/>
              </w:rPr>
            </w:pPr>
          </w:p>
        </w:tc>
      </w:tr>
      <w:tr w14:paraId="486E0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712592D0">
            <w:pPr>
              <w:rPr>
                <w:rFonts w:ascii="Arial"/>
                <w:sz w:val="21"/>
              </w:rPr>
            </w:pPr>
          </w:p>
        </w:tc>
        <w:tc>
          <w:tcPr>
            <w:tcW w:w="1244" w:type="dxa"/>
            <w:vAlign w:val="top"/>
          </w:tcPr>
          <w:p w14:paraId="748CB9D4">
            <w:pPr>
              <w:rPr>
                <w:rFonts w:ascii="Arial"/>
                <w:sz w:val="21"/>
              </w:rPr>
            </w:pPr>
          </w:p>
        </w:tc>
        <w:tc>
          <w:tcPr>
            <w:tcW w:w="1413" w:type="dxa"/>
            <w:vAlign w:val="top"/>
          </w:tcPr>
          <w:p w14:paraId="5A1BFC2C">
            <w:pPr>
              <w:rPr>
                <w:rFonts w:ascii="Arial"/>
                <w:sz w:val="21"/>
              </w:rPr>
            </w:pPr>
          </w:p>
        </w:tc>
        <w:tc>
          <w:tcPr>
            <w:tcW w:w="1212" w:type="dxa"/>
            <w:vAlign w:val="top"/>
          </w:tcPr>
          <w:p w14:paraId="7D759E62">
            <w:pPr>
              <w:rPr>
                <w:rFonts w:ascii="Arial"/>
                <w:sz w:val="21"/>
              </w:rPr>
            </w:pPr>
          </w:p>
        </w:tc>
        <w:tc>
          <w:tcPr>
            <w:tcW w:w="1413" w:type="dxa"/>
            <w:vAlign w:val="top"/>
          </w:tcPr>
          <w:p w14:paraId="2C2E0305">
            <w:pPr>
              <w:rPr>
                <w:rFonts w:ascii="Arial"/>
                <w:sz w:val="21"/>
              </w:rPr>
            </w:pPr>
          </w:p>
        </w:tc>
        <w:tc>
          <w:tcPr>
            <w:tcW w:w="1640" w:type="dxa"/>
            <w:tcBorders>
              <w:right w:val="single" w:color="000000" w:sz="10" w:space="0"/>
            </w:tcBorders>
            <w:vAlign w:val="top"/>
          </w:tcPr>
          <w:p w14:paraId="3A917F07">
            <w:pPr>
              <w:rPr>
                <w:rFonts w:ascii="Arial"/>
                <w:sz w:val="21"/>
              </w:rPr>
            </w:pPr>
          </w:p>
        </w:tc>
      </w:tr>
      <w:tr w14:paraId="7D150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591BCE2A">
            <w:pPr>
              <w:rPr>
                <w:rFonts w:ascii="Arial"/>
                <w:sz w:val="21"/>
              </w:rPr>
            </w:pPr>
          </w:p>
        </w:tc>
        <w:tc>
          <w:tcPr>
            <w:tcW w:w="1244" w:type="dxa"/>
            <w:vAlign w:val="top"/>
          </w:tcPr>
          <w:p w14:paraId="17F51D17">
            <w:pPr>
              <w:rPr>
                <w:rFonts w:ascii="Arial"/>
                <w:sz w:val="21"/>
              </w:rPr>
            </w:pPr>
          </w:p>
        </w:tc>
        <w:tc>
          <w:tcPr>
            <w:tcW w:w="1413" w:type="dxa"/>
            <w:vAlign w:val="top"/>
          </w:tcPr>
          <w:p w14:paraId="5AA186B4">
            <w:pPr>
              <w:rPr>
                <w:rFonts w:ascii="Arial"/>
                <w:sz w:val="21"/>
              </w:rPr>
            </w:pPr>
          </w:p>
        </w:tc>
        <w:tc>
          <w:tcPr>
            <w:tcW w:w="1212" w:type="dxa"/>
            <w:vAlign w:val="top"/>
          </w:tcPr>
          <w:p w14:paraId="2B394369">
            <w:pPr>
              <w:rPr>
                <w:rFonts w:ascii="Arial"/>
                <w:sz w:val="21"/>
              </w:rPr>
            </w:pPr>
          </w:p>
        </w:tc>
        <w:tc>
          <w:tcPr>
            <w:tcW w:w="1413" w:type="dxa"/>
            <w:vAlign w:val="top"/>
          </w:tcPr>
          <w:p w14:paraId="0EF40D24">
            <w:pPr>
              <w:rPr>
                <w:rFonts w:ascii="Arial"/>
                <w:sz w:val="21"/>
              </w:rPr>
            </w:pPr>
          </w:p>
        </w:tc>
        <w:tc>
          <w:tcPr>
            <w:tcW w:w="1640" w:type="dxa"/>
            <w:tcBorders>
              <w:right w:val="single" w:color="000000" w:sz="10" w:space="0"/>
            </w:tcBorders>
            <w:vAlign w:val="top"/>
          </w:tcPr>
          <w:p w14:paraId="7F27F0D0">
            <w:pPr>
              <w:rPr>
                <w:rFonts w:ascii="Arial"/>
                <w:sz w:val="21"/>
              </w:rPr>
            </w:pPr>
          </w:p>
        </w:tc>
      </w:tr>
      <w:tr w14:paraId="44FEB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1B6C4A03">
            <w:pPr>
              <w:rPr>
                <w:rFonts w:ascii="Arial"/>
                <w:sz w:val="21"/>
              </w:rPr>
            </w:pPr>
          </w:p>
        </w:tc>
        <w:tc>
          <w:tcPr>
            <w:tcW w:w="1244" w:type="dxa"/>
            <w:vAlign w:val="top"/>
          </w:tcPr>
          <w:p w14:paraId="12E7AC20">
            <w:pPr>
              <w:rPr>
                <w:rFonts w:ascii="Arial"/>
                <w:sz w:val="21"/>
              </w:rPr>
            </w:pPr>
          </w:p>
        </w:tc>
        <w:tc>
          <w:tcPr>
            <w:tcW w:w="1413" w:type="dxa"/>
            <w:vAlign w:val="top"/>
          </w:tcPr>
          <w:p w14:paraId="65C4A0C5">
            <w:pPr>
              <w:rPr>
                <w:rFonts w:ascii="Arial"/>
                <w:sz w:val="21"/>
              </w:rPr>
            </w:pPr>
          </w:p>
        </w:tc>
        <w:tc>
          <w:tcPr>
            <w:tcW w:w="1212" w:type="dxa"/>
            <w:vAlign w:val="top"/>
          </w:tcPr>
          <w:p w14:paraId="6524EF30">
            <w:pPr>
              <w:rPr>
                <w:rFonts w:ascii="Arial"/>
                <w:sz w:val="21"/>
              </w:rPr>
            </w:pPr>
          </w:p>
        </w:tc>
        <w:tc>
          <w:tcPr>
            <w:tcW w:w="1413" w:type="dxa"/>
            <w:vAlign w:val="top"/>
          </w:tcPr>
          <w:p w14:paraId="56C9A6AD">
            <w:pPr>
              <w:rPr>
                <w:rFonts w:ascii="Arial"/>
                <w:sz w:val="21"/>
              </w:rPr>
            </w:pPr>
          </w:p>
        </w:tc>
        <w:tc>
          <w:tcPr>
            <w:tcW w:w="1640" w:type="dxa"/>
            <w:tcBorders>
              <w:right w:val="single" w:color="000000" w:sz="10" w:space="0"/>
            </w:tcBorders>
            <w:vAlign w:val="top"/>
          </w:tcPr>
          <w:p w14:paraId="015A095D">
            <w:pPr>
              <w:rPr>
                <w:rFonts w:ascii="Arial"/>
                <w:sz w:val="21"/>
              </w:rPr>
            </w:pPr>
          </w:p>
        </w:tc>
      </w:tr>
      <w:tr w14:paraId="3E0AF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756088AB">
            <w:pPr>
              <w:rPr>
                <w:rFonts w:ascii="Arial"/>
                <w:sz w:val="21"/>
              </w:rPr>
            </w:pPr>
          </w:p>
        </w:tc>
        <w:tc>
          <w:tcPr>
            <w:tcW w:w="1244" w:type="dxa"/>
            <w:vAlign w:val="top"/>
          </w:tcPr>
          <w:p w14:paraId="0CC8A017">
            <w:pPr>
              <w:rPr>
                <w:rFonts w:ascii="Arial"/>
                <w:sz w:val="21"/>
              </w:rPr>
            </w:pPr>
          </w:p>
        </w:tc>
        <w:tc>
          <w:tcPr>
            <w:tcW w:w="1413" w:type="dxa"/>
            <w:vAlign w:val="top"/>
          </w:tcPr>
          <w:p w14:paraId="50ED02BD">
            <w:pPr>
              <w:rPr>
                <w:rFonts w:ascii="Arial"/>
                <w:sz w:val="21"/>
              </w:rPr>
            </w:pPr>
          </w:p>
        </w:tc>
        <w:tc>
          <w:tcPr>
            <w:tcW w:w="1212" w:type="dxa"/>
            <w:vAlign w:val="top"/>
          </w:tcPr>
          <w:p w14:paraId="08662076">
            <w:pPr>
              <w:rPr>
                <w:rFonts w:ascii="Arial"/>
                <w:sz w:val="21"/>
              </w:rPr>
            </w:pPr>
          </w:p>
        </w:tc>
        <w:tc>
          <w:tcPr>
            <w:tcW w:w="1413" w:type="dxa"/>
            <w:vAlign w:val="top"/>
          </w:tcPr>
          <w:p w14:paraId="1E798067">
            <w:pPr>
              <w:rPr>
                <w:rFonts w:ascii="Arial"/>
                <w:sz w:val="21"/>
              </w:rPr>
            </w:pPr>
          </w:p>
        </w:tc>
        <w:tc>
          <w:tcPr>
            <w:tcW w:w="1640" w:type="dxa"/>
            <w:tcBorders>
              <w:right w:val="single" w:color="000000" w:sz="10" w:space="0"/>
            </w:tcBorders>
            <w:vAlign w:val="top"/>
          </w:tcPr>
          <w:p w14:paraId="00940C46">
            <w:pPr>
              <w:rPr>
                <w:rFonts w:ascii="Arial"/>
                <w:sz w:val="21"/>
              </w:rPr>
            </w:pPr>
          </w:p>
        </w:tc>
      </w:tr>
      <w:tr w14:paraId="2ED97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3BE02B48">
            <w:pPr>
              <w:rPr>
                <w:rFonts w:ascii="Arial"/>
                <w:sz w:val="21"/>
              </w:rPr>
            </w:pPr>
          </w:p>
        </w:tc>
        <w:tc>
          <w:tcPr>
            <w:tcW w:w="1244" w:type="dxa"/>
            <w:vAlign w:val="top"/>
          </w:tcPr>
          <w:p w14:paraId="51537BE1">
            <w:pPr>
              <w:rPr>
                <w:rFonts w:ascii="Arial"/>
                <w:sz w:val="21"/>
              </w:rPr>
            </w:pPr>
          </w:p>
        </w:tc>
        <w:tc>
          <w:tcPr>
            <w:tcW w:w="1413" w:type="dxa"/>
            <w:vAlign w:val="top"/>
          </w:tcPr>
          <w:p w14:paraId="2EED6CFB">
            <w:pPr>
              <w:rPr>
                <w:rFonts w:ascii="Arial"/>
                <w:sz w:val="21"/>
              </w:rPr>
            </w:pPr>
          </w:p>
        </w:tc>
        <w:tc>
          <w:tcPr>
            <w:tcW w:w="1212" w:type="dxa"/>
            <w:vAlign w:val="top"/>
          </w:tcPr>
          <w:p w14:paraId="58A0EFDB">
            <w:pPr>
              <w:rPr>
                <w:rFonts w:ascii="Arial"/>
                <w:sz w:val="21"/>
              </w:rPr>
            </w:pPr>
          </w:p>
        </w:tc>
        <w:tc>
          <w:tcPr>
            <w:tcW w:w="1413" w:type="dxa"/>
            <w:vAlign w:val="top"/>
          </w:tcPr>
          <w:p w14:paraId="1D150DB8">
            <w:pPr>
              <w:rPr>
                <w:rFonts w:ascii="Arial"/>
                <w:sz w:val="21"/>
              </w:rPr>
            </w:pPr>
          </w:p>
        </w:tc>
        <w:tc>
          <w:tcPr>
            <w:tcW w:w="1640" w:type="dxa"/>
            <w:tcBorders>
              <w:right w:val="single" w:color="000000" w:sz="10" w:space="0"/>
            </w:tcBorders>
            <w:vAlign w:val="top"/>
          </w:tcPr>
          <w:p w14:paraId="1D8D02D7">
            <w:pPr>
              <w:rPr>
                <w:rFonts w:ascii="Arial"/>
                <w:sz w:val="21"/>
              </w:rPr>
            </w:pPr>
          </w:p>
        </w:tc>
      </w:tr>
      <w:tr w14:paraId="5C24EA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232B1136">
            <w:pPr>
              <w:rPr>
                <w:rFonts w:ascii="Arial"/>
                <w:sz w:val="21"/>
              </w:rPr>
            </w:pPr>
          </w:p>
        </w:tc>
        <w:tc>
          <w:tcPr>
            <w:tcW w:w="1244" w:type="dxa"/>
            <w:vAlign w:val="top"/>
          </w:tcPr>
          <w:p w14:paraId="471ACCC3">
            <w:pPr>
              <w:rPr>
                <w:rFonts w:ascii="Arial"/>
                <w:sz w:val="21"/>
              </w:rPr>
            </w:pPr>
          </w:p>
        </w:tc>
        <w:tc>
          <w:tcPr>
            <w:tcW w:w="1413" w:type="dxa"/>
            <w:vAlign w:val="top"/>
          </w:tcPr>
          <w:p w14:paraId="682F4281">
            <w:pPr>
              <w:rPr>
                <w:rFonts w:ascii="Arial"/>
                <w:sz w:val="21"/>
              </w:rPr>
            </w:pPr>
          </w:p>
        </w:tc>
        <w:tc>
          <w:tcPr>
            <w:tcW w:w="1212" w:type="dxa"/>
            <w:vAlign w:val="top"/>
          </w:tcPr>
          <w:p w14:paraId="19D43D02">
            <w:pPr>
              <w:rPr>
                <w:rFonts w:ascii="Arial"/>
                <w:sz w:val="21"/>
              </w:rPr>
            </w:pPr>
          </w:p>
        </w:tc>
        <w:tc>
          <w:tcPr>
            <w:tcW w:w="1413" w:type="dxa"/>
            <w:vAlign w:val="top"/>
          </w:tcPr>
          <w:p w14:paraId="159A0DBD">
            <w:pPr>
              <w:rPr>
                <w:rFonts w:ascii="Arial"/>
                <w:sz w:val="21"/>
              </w:rPr>
            </w:pPr>
          </w:p>
        </w:tc>
        <w:tc>
          <w:tcPr>
            <w:tcW w:w="1640" w:type="dxa"/>
            <w:tcBorders>
              <w:right w:val="single" w:color="000000" w:sz="10" w:space="0"/>
            </w:tcBorders>
            <w:vAlign w:val="top"/>
          </w:tcPr>
          <w:p w14:paraId="23EF5C76">
            <w:pPr>
              <w:rPr>
                <w:rFonts w:ascii="Arial"/>
                <w:sz w:val="21"/>
              </w:rPr>
            </w:pPr>
          </w:p>
        </w:tc>
      </w:tr>
      <w:tr w14:paraId="2DEFF6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2DCBE771">
            <w:pPr>
              <w:rPr>
                <w:rFonts w:ascii="Arial"/>
                <w:sz w:val="21"/>
              </w:rPr>
            </w:pPr>
          </w:p>
        </w:tc>
        <w:tc>
          <w:tcPr>
            <w:tcW w:w="1244" w:type="dxa"/>
            <w:vAlign w:val="top"/>
          </w:tcPr>
          <w:p w14:paraId="37A12163">
            <w:pPr>
              <w:rPr>
                <w:rFonts w:ascii="Arial"/>
                <w:sz w:val="21"/>
              </w:rPr>
            </w:pPr>
          </w:p>
        </w:tc>
        <w:tc>
          <w:tcPr>
            <w:tcW w:w="1413" w:type="dxa"/>
            <w:vAlign w:val="top"/>
          </w:tcPr>
          <w:p w14:paraId="5B701EBF">
            <w:pPr>
              <w:rPr>
                <w:rFonts w:ascii="Arial"/>
                <w:sz w:val="21"/>
              </w:rPr>
            </w:pPr>
          </w:p>
        </w:tc>
        <w:tc>
          <w:tcPr>
            <w:tcW w:w="1212" w:type="dxa"/>
            <w:vAlign w:val="top"/>
          </w:tcPr>
          <w:p w14:paraId="28D5DC12">
            <w:pPr>
              <w:rPr>
                <w:rFonts w:ascii="Arial"/>
                <w:sz w:val="21"/>
              </w:rPr>
            </w:pPr>
          </w:p>
        </w:tc>
        <w:tc>
          <w:tcPr>
            <w:tcW w:w="1413" w:type="dxa"/>
            <w:vAlign w:val="top"/>
          </w:tcPr>
          <w:p w14:paraId="16EC51FF">
            <w:pPr>
              <w:rPr>
                <w:rFonts w:ascii="Arial"/>
                <w:sz w:val="21"/>
              </w:rPr>
            </w:pPr>
          </w:p>
        </w:tc>
        <w:tc>
          <w:tcPr>
            <w:tcW w:w="1640" w:type="dxa"/>
            <w:tcBorders>
              <w:right w:val="single" w:color="000000" w:sz="10" w:space="0"/>
            </w:tcBorders>
            <w:vAlign w:val="top"/>
          </w:tcPr>
          <w:p w14:paraId="71106ED2">
            <w:pPr>
              <w:rPr>
                <w:rFonts w:ascii="Arial"/>
                <w:sz w:val="21"/>
              </w:rPr>
            </w:pPr>
          </w:p>
        </w:tc>
      </w:tr>
      <w:tr w14:paraId="14011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3ECE4637">
            <w:pPr>
              <w:rPr>
                <w:rFonts w:ascii="Arial"/>
                <w:sz w:val="21"/>
              </w:rPr>
            </w:pPr>
          </w:p>
        </w:tc>
        <w:tc>
          <w:tcPr>
            <w:tcW w:w="1244" w:type="dxa"/>
            <w:vAlign w:val="top"/>
          </w:tcPr>
          <w:p w14:paraId="285042DC">
            <w:pPr>
              <w:rPr>
                <w:rFonts w:ascii="Arial"/>
                <w:sz w:val="21"/>
              </w:rPr>
            </w:pPr>
          </w:p>
        </w:tc>
        <w:tc>
          <w:tcPr>
            <w:tcW w:w="1413" w:type="dxa"/>
            <w:vAlign w:val="top"/>
          </w:tcPr>
          <w:p w14:paraId="1154A773">
            <w:pPr>
              <w:rPr>
                <w:rFonts w:ascii="Arial"/>
                <w:sz w:val="21"/>
              </w:rPr>
            </w:pPr>
          </w:p>
        </w:tc>
        <w:tc>
          <w:tcPr>
            <w:tcW w:w="1212" w:type="dxa"/>
            <w:vAlign w:val="top"/>
          </w:tcPr>
          <w:p w14:paraId="47383D79">
            <w:pPr>
              <w:rPr>
                <w:rFonts w:ascii="Arial"/>
                <w:sz w:val="21"/>
              </w:rPr>
            </w:pPr>
          </w:p>
        </w:tc>
        <w:tc>
          <w:tcPr>
            <w:tcW w:w="1413" w:type="dxa"/>
            <w:vAlign w:val="top"/>
          </w:tcPr>
          <w:p w14:paraId="3EE05F0D">
            <w:pPr>
              <w:rPr>
                <w:rFonts w:ascii="Arial"/>
                <w:sz w:val="21"/>
              </w:rPr>
            </w:pPr>
          </w:p>
        </w:tc>
        <w:tc>
          <w:tcPr>
            <w:tcW w:w="1640" w:type="dxa"/>
            <w:tcBorders>
              <w:right w:val="single" w:color="000000" w:sz="10" w:space="0"/>
            </w:tcBorders>
            <w:vAlign w:val="top"/>
          </w:tcPr>
          <w:p w14:paraId="3950C316">
            <w:pPr>
              <w:rPr>
                <w:rFonts w:ascii="Arial"/>
                <w:sz w:val="21"/>
              </w:rPr>
            </w:pPr>
          </w:p>
        </w:tc>
      </w:tr>
      <w:tr w14:paraId="444F6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4431B681">
            <w:pPr>
              <w:rPr>
                <w:rFonts w:ascii="Arial"/>
                <w:sz w:val="21"/>
              </w:rPr>
            </w:pPr>
          </w:p>
        </w:tc>
        <w:tc>
          <w:tcPr>
            <w:tcW w:w="1244" w:type="dxa"/>
            <w:vAlign w:val="top"/>
          </w:tcPr>
          <w:p w14:paraId="39033569">
            <w:pPr>
              <w:rPr>
                <w:rFonts w:ascii="Arial"/>
                <w:sz w:val="21"/>
              </w:rPr>
            </w:pPr>
          </w:p>
        </w:tc>
        <w:tc>
          <w:tcPr>
            <w:tcW w:w="1413" w:type="dxa"/>
            <w:vAlign w:val="top"/>
          </w:tcPr>
          <w:p w14:paraId="78DF83CC">
            <w:pPr>
              <w:rPr>
                <w:rFonts w:ascii="Arial"/>
                <w:sz w:val="21"/>
              </w:rPr>
            </w:pPr>
          </w:p>
        </w:tc>
        <w:tc>
          <w:tcPr>
            <w:tcW w:w="1212" w:type="dxa"/>
            <w:vAlign w:val="top"/>
          </w:tcPr>
          <w:p w14:paraId="4451FD8E">
            <w:pPr>
              <w:rPr>
                <w:rFonts w:ascii="Arial"/>
                <w:sz w:val="21"/>
              </w:rPr>
            </w:pPr>
          </w:p>
        </w:tc>
        <w:tc>
          <w:tcPr>
            <w:tcW w:w="1413" w:type="dxa"/>
            <w:vAlign w:val="top"/>
          </w:tcPr>
          <w:p w14:paraId="0A9183F5">
            <w:pPr>
              <w:rPr>
                <w:rFonts w:ascii="Arial"/>
                <w:sz w:val="21"/>
              </w:rPr>
            </w:pPr>
          </w:p>
        </w:tc>
        <w:tc>
          <w:tcPr>
            <w:tcW w:w="1640" w:type="dxa"/>
            <w:tcBorders>
              <w:right w:val="single" w:color="000000" w:sz="10" w:space="0"/>
            </w:tcBorders>
            <w:vAlign w:val="top"/>
          </w:tcPr>
          <w:p w14:paraId="3CAB13A8">
            <w:pPr>
              <w:rPr>
                <w:rFonts w:ascii="Arial"/>
                <w:sz w:val="21"/>
              </w:rPr>
            </w:pPr>
          </w:p>
        </w:tc>
      </w:tr>
      <w:tr w14:paraId="2A699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6A0DB359">
            <w:pPr>
              <w:rPr>
                <w:rFonts w:ascii="Arial"/>
                <w:sz w:val="21"/>
              </w:rPr>
            </w:pPr>
          </w:p>
        </w:tc>
        <w:tc>
          <w:tcPr>
            <w:tcW w:w="1244" w:type="dxa"/>
            <w:vAlign w:val="top"/>
          </w:tcPr>
          <w:p w14:paraId="510E8D64">
            <w:pPr>
              <w:rPr>
                <w:rFonts w:ascii="Arial"/>
                <w:sz w:val="21"/>
              </w:rPr>
            </w:pPr>
          </w:p>
        </w:tc>
        <w:tc>
          <w:tcPr>
            <w:tcW w:w="1413" w:type="dxa"/>
            <w:vAlign w:val="top"/>
          </w:tcPr>
          <w:p w14:paraId="23E568C1">
            <w:pPr>
              <w:rPr>
                <w:rFonts w:ascii="Arial"/>
                <w:sz w:val="21"/>
              </w:rPr>
            </w:pPr>
          </w:p>
        </w:tc>
        <w:tc>
          <w:tcPr>
            <w:tcW w:w="1212" w:type="dxa"/>
            <w:vAlign w:val="top"/>
          </w:tcPr>
          <w:p w14:paraId="1EF08DA6">
            <w:pPr>
              <w:rPr>
                <w:rFonts w:ascii="Arial"/>
                <w:sz w:val="21"/>
              </w:rPr>
            </w:pPr>
          </w:p>
        </w:tc>
        <w:tc>
          <w:tcPr>
            <w:tcW w:w="1413" w:type="dxa"/>
            <w:vAlign w:val="top"/>
          </w:tcPr>
          <w:p w14:paraId="1803510E">
            <w:pPr>
              <w:rPr>
                <w:rFonts w:ascii="Arial"/>
                <w:sz w:val="21"/>
              </w:rPr>
            </w:pPr>
          </w:p>
        </w:tc>
        <w:tc>
          <w:tcPr>
            <w:tcW w:w="1640" w:type="dxa"/>
            <w:tcBorders>
              <w:right w:val="single" w:color="000000" w:sz="10" w:space="0"/>
            </w:tcBorders>
            <w:vAlign w:val="top"/>
          </w:tcPr>
          <w:p w14:paraId="57FFB830">
            <w:pPr>
              <w:rPr>
                <w:rFonts w:ascii="Arial"/>
                <w:sz w:val="21"/>
              </w:rPr>
            </w:pPr>
          </w:p>
        </w:tc>
      </w:tr>
      <w:tr w14:paraId="65122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4A7D1C90">
            <w:pPr>
              <w:rPr>
                <w:rFonts w:ascii="Arial"/>
                <w:sz w:val="21"/>
              </w:rPr>
            </w:pPr>
          </w:p>
        </w:tc>
        <w:tc>
          <w:tcPr>
            <w:tcW w:w="1244" w:type="dxa"/>
            <w:vAlign w:val="top"/>
          </w:tcPr>
          <w:p w14:paraId="2F90CE45">
            <w:pPr>
              <w:rPr>
                <w:rFonts w:ascii="Arial"/>
                <w:sz w:val="21"/>
              </w:rPr>
            </w:pPr>
          </w:p>
        </w:tc>
        <w:tc>
          <w:tcPr>
            <w:tcW w:w="1413" w:type="dxa"/>
            <w:vAlign w:val="top"/>
          </w:tcPr>
          <w:p w14:paraId="12710F2F">
            <w:pPr>
              <w:rPr>
                <w:rFonts w:ascii="Arial"/>
                <w:sz w:val="21"/>
              </w:rPr>
            </w:pPr>
          </w:p>
        </w:tc>
        <w:tc>
          <w:tcPr>
            <w:tcW w:w="1212" w:type="dxa"/>
            <w:vAlign w:val="top"/>
          </w:tcPr>
          <w:p w14:paraId="125874CC">
            <w:pPr>
              <w:rPr>
                <w:rFonts w:ascii="Arial"/>
                <w:sz w:val="21"/>
              </w:rPr>
            </w:pPr>
          </w:p>
        </w:tc>
        <w:tc>
          <w:tcPr>
            <w:tcW w:w="1413" w:type="dxa"/>
            <w:vAlign w:val="top"/>
          </w:tcPr>
          <w:p w14:paraId="0AC39146">
            <w:pPr>
              <w:rPr>
                <w:rFonts w:ascii="Arial"/>
                <w:sz w:val="21"/>
              </w:rPr>
            </w:pPr>
          </w:p>
        </w:tc>
        <w:tc>
          <w:tcPr>
            <w:tcW w:w="1640" w:type="dxa"/>
            <w:tcBorders>
              <w:right w:val="single" w:color="000000" w:sz="10" w:space="0"/>
            </w:tcBorders>
            <w:vAlign w:val="top"/>
          </w:tcPr>
          <w:p w14:paraId="6D6F9564">
            <w:pPr>
              <w:rPr>
                <w:rFonts w:ascii="Arial"/>
                <w:sz w:val="21"/>
              </w:rPr>
            </w:pPr>
          </w:p>
        </w:tc>
      </w:tr>
      <w:tr w14:paraId="45C45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0B36772B">
            <w:pPr>
              <w:rPr>
                <w:rFonts w:ascii="Arial"/>
                <w:sz w:val="21"/>
              </w:rPr>
            </w:pPr>
          </w:p>
        </w:tc>
        <w:tc>
          <w:tcPr>
            <w:tcW w:w="1244" w:type="dxa"/>
            <w:vAlign w:val="top"/>
          </w:tcPr>
          <w:p w14:paraId="3AFA70B2">
            <w:pPr>
              <w:rPr>
                <w:rFonts w:ascii="Arial"/>
                <w:sz w:val="21"/>
              </w:rPr>
            </w:pPr>
          </w:p>
        </w:tc>
        <w:tc>
          <w:tcPr>
            <w:tcW w:w="1413" w:type="dxa"/>
            <w:vAlign w:val="top"/>
          </w:tcPr>
          <w:p w14:paraId="355B2DAE">
            <w:pPr>
              <w:rPr>
                <w:rFonts w:ascii="Arial"/>
                <w:sz w:val="21"/>
              </w:rPr>
            </w:pPr>
          </w:p>
        </w:tc>
        <w:tc>
          <w:tcPr>
            <w:tcW w:w="1212" w:type="dxa"/>
            <w:vAlign w:val="top"/>
          </w:tcPr>
          <w:p w14:paraId="7F0DA7D3">
            <w:pPr>
              <w:rPr>
                <w:rFonts w:ascii="Arial"/>
                <w:sz w:val="21"/>
              </w:rPr>
            </w:pPr>
          </w:p>
        </w:tc>
        <w:tc>
          <w:tcPr>
            <w:tcW w:w="1413" w:type="dxa"/>
            <w:vAlign w:val="top"/>
          </w:tcPr>
          <w:p w14:paraId="1B962548">
            <w:pPr>
              <w:rPr>
                <w:rFonts w:ascii="Arial"/>
                <w:sz w:val="21"/>
              </w:rPr>
            </w:pPr>
          </w:p>
        </w:tc>
        <w:tc>
          <w:tcPr>
            <w:tcW w:w="1640" w:type="dxa"/>
            <w:tcBorders>
              <w:right w:val="single" w:color="000000" w:sz="10" w:space="0"/>
            </w:tcBorders>
            <w:vAlign w:val="top"/>
          </w:tcPr>
          <w:p w14:paraId="7B9CF15A">
            <w:pPr>
              <w:rPr>
                <w:rFonts w:ascii="Arial"/>
                <w:sz w:val="21"/>
              </w:rPr>
            </w:pPr>
          </w:p>
        </w:tc>
      </w:tr>
      <w:tr w14:paraId="7DB44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2B7D722B">
            <w:pPr>
              <w:rPr>
                <w:rFonts w:ascii="Arial"/>
                <w:sz w:val="21"/>
              </w:rPr>
            </w:pPr>
          </w:p>
        </w:tc>
        <w:tc>
          <w:tcPr>
            <w:tcW w:w="1244" w:type="dxa"/>
            <w:vAlign w:val="top"/>
          </w:tcPr>
          <w:p w14:paraId="426D17E6">
            <w:pPr>
              <w:rPr>
                <w:rFonts w:ascii="Arial"/>
                <w:sz w:val="21"/>
              </w:rPr>
            </w:pPr>
          </w:p>
        </w:tc>
        <w:tc>
          <w:tcPr>
            <w:tcW w:w="1413" w:type="dxa"/>
            <w:vAlign w:val="top"/>
          </w:tcPr>
          <w:p w14:paraId="0B561088">
            <w:pPr>
              <w:rPr>
                <w:rFonts w:ascii="Arial"/>
                <w:sz w:val="21"/>
              </w:rPr>
            </w:pPr>
          </w:p>
        </w:tc>
        <w:tc>
          <w:tcPr>
            <w:tcW w:w="1212" w:type="dxa"/>
            <w:vAlign w:val="top"/>
          </w:tcPr>
          <w:p w14:paraId="78AA61F0">
            <w:pPr>
              <w:rPr>
                <w:rFonts w:ascii="Arial"/>
                <w:sz w:val="21"/>
              </w:rPr>
            </w:pPr>
          </w:p>
        </w:tc>
        <w:tc>
          <w:tcPr>
            <w:tcW w:w="1413" w:type="dxa"/>
            <w:vAlign w:val="top"/>
          </w:tcPr>
          <w:p w14:paraId="6BCA021E">
            <w:pPr>
              <w:rPr>
                <w:rFonts w:ascii="Arial"/>
                <w:sz w:val="21"/>
              </w:rPr>
            </w:pPr>
          </w:p>
        </w:tc>
        <w:tc>
          <w:tcPr>
            <w:tcW w:w="1640" w:type="dxa"/>
            <w:tcBorders>
              <w:right w:val="single" w:color="000000" w:sz="10" w:space="0"/>
            </w:tcBorders>
            <w:vAlign w:val="top"/>
          </w:tcPr>
          <w:p w14:paraId="06E289D4">
            <w:pPr>
              <w:rPr>
                <w:rFonts w:ascii="Arial"/>
                <w:sz w:val="21"/>
              </w:rPr>
            </w:pPr>
          </w:p>
        </w:tc>
      </w:tr>
      <w:tr w14:paraId="18763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6D4D23AF">
            <w:pPr>
              <w:rPr>
                <w:rFonts w:ascii="Arial"/>
                <w:sz w:val="21"/>
              </w:rPr>
            </w:pPr>
          </w:p>
        </w:tc>
        <w:tc>
          <w:tcPr>
            <w:tcW w:w="1244" w:type="dxa"/>
            <w:vAlign w:val="top"/>
          </w:tcPr>
          <w:p w14:paraId="10AEAB34">
            <w:pPr>
              <w:rPr>
                <w:rFonts w:ascii="Arial"/>
                <w:sz w:val="21"/>
              </w:rPr>
            </w:pPr>
          </w:p>
        </w:tc>
        <w:tc>
          <w:tcPr>
            <w:tcW w:w="1413" w:type="dxa"/>
            <w:vAlign w:val="top"/>
          </w:tcPr>
          <w:p w14:paraId="5BF35D69">
            <w:pPr>
              <w:rPr>
                <w:rFonts w:ascii="Arial"/>
                <w:sz w:val="21"/>
              </w:rPr>
            </w:pPr>
          </w:p>
        </w:tc>
        <w:tc>
          <w:tcPr>
            <w:tcW w:w="1212" w:type="dxa"/>
            <w:vAlign w:val="top"/>
          </w:tcPr>
          <w:p w14:paraId="2934DE56">
            <w:pPr>
              <w:rPr>
                <w:rFonts w:ascii="Arial"/>
                <w:sz w:val="21"/>
              </w:rPr>
            </w:pPr>
          </w:p>
        </w:tc>
        <w:tc>
          <w:tcPr>
            <w:tcW w:w="1413" w:type="dxa"/>
            <w:vAlign w:val="top"/>
          </w:tcPr>
          <w:p w14:paraId="59193EBF">
            <w:pPr>
              <w:rPr>
                <w:rFonts w:ascii="Arial"/>
                <w:sz w:val="21"/>
              </w:rPr>
            </w:pPr>
          </w:p>
        </w:tc>
        <w:tc>
          <w:tcPr>
            <w:tcW w:w="1640" w:type="dxa"/>
            <w:tcBorders>
              <w:right w:val="single" w:color="000000" w:sz="10" w:space="0"/>
            </w:tcBorders>
            <w:vAlign w:val="top"/>
          </w:tcPr>
          <w:p w14:paraId="3A6EE46F">
            <w:pPr>
              <w:rPr>
                <w:rFonts w:ascii="Arial"/>
                <w:sz w:val="21"/>
              </w:rPr>
            </w:pPr>
          </w:p>
        </w:tc>
      </w:tr>
      <w:tr w14:paraId="0B34C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711AE4A5">
            <w:pPr>
              <w:rPr>
                <w:rFonts w:ascii="Arial"/>
                <w:sz w:val="21"/>
              </w:rPr>
            </w:pPr>
          </w:p>
        </w:tc>
        <w:tc>
          <w:tcPr>
            <w:tcW w:w="1244" w:type="dxa"/>
            <w:vAlign w:val="top"/>
          </w:tcPr>
          <w:p w14:paraId="50BDEEF6">
            <w:pPr>
              <w:rPr>
                <w:rFonts w:ascii="Arial"/>
                <w:sz w:val="21"/>
              </w:rPr>
            </w:pPr>
          </w:p>
        </w:tc>
        <w:tc>
          <w:tcPr>
            <w:tcW w:w="1413" w:type="dxa"/>
            <w:vAlign w:val="top"/>
          </w:tcPr>
          <w:p w14:paraId="18452837">
            <w:pPr>
              <w:rPr>
                <w:rFonts w:ascii="Arial"/>
                <w:sz w:val="21"/>
              </w:rPr>
            </w:pPr>
          </w:p>
        </w:tc>
        <w:tc>
          <w:tcPr>
            <w:tcW w:w="1212" w:type="dxa"/>
            <w:vAlign w:val="top"/>
          </w:tcPr>
          <w:p w14:paraId="47136A5C">
            <w:pPr>
              <w:rPr>
                <w:rFonts w:ascii="Arial"/>
                <w:sz w:val="21"/>
              </w:rPr>
            </w:pPr>
          </w:p>
        </w:tc>
        <w:tc>
          <w:tcPr>
            <w:tcW w:w="1413" w:type="dxa"/>
            <w:vAlign w:val="top"/>
          </w:tcPr>
          <w:p w14:paraId="51F13F07">
            <w:pPr>
              <w:rPr>
                <w:rFonts w:ascii="Arial"/>
                <w:sz w:val="21"/>
              </w:rPr>
            </w:pPr>
          </w:p>
        </w:tc>
        <w:tc>
          <w:tcPr>
            <w:tcW w:w="1640" w:type="dxa"/>
            <w:tcBorders>
              <w:right w:val="single" w:color="000000" w:sz="10" w:space="0"/>
            </w:tcBorders>
            <w:vAlign w:val="top"/>
          </w:tcPr>
          <w:p w14:paraId="747C0FCB">
            <w:pPr>
              <w:rPr>
                <w:rFonts w:ascii="Arial"/>
                <w:sz w:val="21"/>
              </w:rPr>
            </w:pPr>
          </w:p>
        </w:tc>
      </w:tr>
      <w:tr w14:paraId="4A5AD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1917" w:type="dxa"/>
            <w:tcBorders>
              <w:left w:val="single" w:color="000000" w:sz="10" w:space="0"/>
            </w:tcBorders>
            <w:vAlign w:val="top"/>
          </w:tcPr>
          <w:p w14:paraId="5DAB5961">
            <w:pPr>
              <w:rPr>
                <w:rFonts w:ascii="Arial"/>
                <w:sz w:val="21"/>
              </w:rPr>
            </w:pPr>
          </w:p>
        </w:tc>
        <w:tc>
          <w:tcPr>
            <w:tcW w:w="1244" w:type="dxa"/>
            <w:vAlign w:val="top"/>
          </w:tcPr>
          <w:p w14:paraId="18621276">
            <w:pPr>
              <w:rPr>
                <w:rFonts w:ascii="Arial"/>
                <w:sz w:val="21"/>
              </w:rPr>
            </w:pPr>
          </w:p>
        </w:tc>
        <w:tc>
          <w:tcPr>
            <w:tcW w:w="1413" w:type="dxa"/>
            <w:vAlign w:val="top"/>
          </w:tcPr>
          <w:p w14:paraId="2A3F137A">
            <w:pPr>
              <w:rPr>
                <w:rFonts w:ascii="Arial"/>
                <w:sz w:val="21"/>
              </w:rPr>
            </w:pPr>
          </w:p>
        </w:tc>
        <w:tc>
          <w:tcPr>
            <w:tcW w:w="1212" w:type="dxa"/>
            <w:vAlign w:val="top"/>
          </w:tcPr>
          <w:p w14:paraId="176010A3">
            <w:pPr>
              <w:rPr>
                <w:rFonts w:ascii="Arial"/>
                <w:sz w:val="21"/>
              </w:rPr>
            </w:pPr>
          </w:p>
        </w:tc>
        <w:tc>
          <w:tcPr>
            <w:tcW w:w="1413" w:type="dxa"/>
            <w:vAlign w:val="top"/>
          </w:tcPr>
          <w:p w14:paraId="05CD5D95">
            <w:pPr>
              <w:rPr>
                <w:rFonts w:ascii="Arial"/>
                <w:sz w:val="21"/>
              </w:rPr>
            </w:pPr>
          </w:p>
        </w:tc>
        <w:tc>
          <w:tcPr>
            <w:tcW w:w="1640" w:type="dxa"/>
            <w:tcBorders>
              <w:right w:val="single" w:color="000000" w:sz="10" w:space="0"/>
            </w:tcBorders>
            <w:vAlign w:val="top"/>
          </w:tcPr>
          <w:p w14:paraId="4C0DE297">
            <w:pPr>
              <w:rPr>
                <w:rFonts w:ascii="Arial"/>
                <w:sz w:val="21"/>
              </w:rPr>
            </w:pPr>
          </w:p>
        </w:tc>
      </w:tr>
      <w:tr w14:paraId="47ED1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917" w:type="dxa"/>
            <w:tcBorders>
              <w:left w:val="single" w:color="000000" w:sz="10" w:space="0"/>
              <w:bottom w:val="single" w:color="000000" w:sz="10" w:space="0"/>
            </w:tcBorders>
            <w:vAlign w:val="top"/>
          </w:tcPr>
          <w:p w14:paraId="279C6746">
            <w:pPr>
              <w:rPr>
                <w:rFonts w:ascii="Arial"/>
                <w:sz w:val="21"/>
              </w:rPr>
            </w:pPr>
          </w:p>
        </w:tc>
        <w:tc>
          <w:tcPr>
            <w:tcW w:w="1244" w:type="dxa"/>
            <w:tcBorders>
              <w:bottom w:val="single" w:color="000000" w:sz="10" w:space="0"/>
            </w:tcBorders>
            <w:vAlign w:val="top"/>
          </w:tcPr>
          <w:p w14:paraId="502B6C75">
            <w:pPr>
              <w:rPr>
                <w:rFonts w:ascii="Arial"/>
                <w:sz w:val="21"/>
              </w:rPr>
            </w:pPr>
          </w:p>
        </w:tc>
        <w:tc>
          <w:tcPr>
            <w:tcW w:w="1413" w:type="dxa"/>
            <w:tcBorders>
              <w:bottom w:val="single" w:color="000000" w:sz="10" w:space="0"/>
            </w:tcBorders>
            <w:vAlign w:val="top"/>
          </w:tcPr>
          <w:p w14:paraId="587BECCE">
            <w:pPr>
              <w:rPr>
                <w:rFonts w:ascii="Arial"/>
                <w:sz w:val="21"/>
              </w:rPr>
            </w:pPr>
          </w:p>
        </w:tc>
        <w:tc>
          <w:tcPr>
            <w:tcW w:w="1212" w:type="dxa"/>
            <w:tcBorders>
              <w:bottom w:val="single" w:color="000000" w:sz="10" w:space="0"/>
            </w:tcBorders>
            <w:vAlign w:val="top"/>
          </w:tcPr>
          <w:p w14:paraId="6FF7E31C">
            <w:pPr>
              <w:rPr>
                <w:rFonts w:ascii="Arial"/>
                <w:sz w:val="21"/>
              </w:rPr>
            </w:pPr>
          </w:p>
        </w:tc>
        <w:tc>
          <w:tcPr>
            <w:tcW w:w="1413" w:type="dxa"/>
            <w:tcBorders>
              <w:bottom w:val="single" w:color="000000" w:sz="10" w:space="0"/>
            </w:tcBorders>
            <w:vAlign w:val="top"/>
          </w:tcPr>
          <w:p w14:paraId="54BD0C2E">
            <w:pPr>
              <w:rPr>
                <w:rFonts w:ascii="Arial"/>
                <w:sz w:val="21"/>
              </w:rPr>
            </w:pPr>
          </w:p>
        </w:tc>
        <w:tc>
          <w:tcPr>
            <w:tcW w:w="1640" w:type="dxa"/>
            <w:tcBorders>
              <w:bottom w:val="single" w:color="000000" w:sz="10" w:space="0"/>
              <w:right w:val="single" w:color="000000" w:sz="10" w:space="0"/>
            </w:tcBorders>
            <w:vAlign w:val="top"/>
          </w:tcPr>
          <w:p w14:paraId="7CFDF38F">
            <w:pPr>
              <w:rPr>
                <w:rFonts w:ascii="Arial"/>
                <w:sz w:val="21"/>
              </w:rPr>
            </w:pPr>
          </w:p>
        </w:tc>
      </w:tr>
    </w:tbl>
    <w:p w14:paraId="4BA479D0">
      <w:pPr>
        <w:rPr>
          <w:rFonts w:ascii="Arial"/>
          <w:sz w:val="21"/>
        </w:rPr>
      </w:pPr>
    </w:p>
    <w:p w14:paraId="2554FDF1">
      <w:pPr>
        <w:rPr>
          <w:rFonts w:ascii="Arial" w:hAnsi="Arial" w:eastAsia="Arial" w:cs="Arial"/>
          <w:sz w:val="21"/>
          <w:szCs w:val="21"/>
        </w:rPr>
        <w:sectPr>
          <w:footerReference r:id="rId426" w:type="default"/>
          <w:pgSz w:w="11907" w:h="16840"/>
          <w:pgMar w:top="400" w:right="1549" w:bottom="1105" w:left="1492" w:header="0" w:footer="943" w:gutter="0"/>
          <w:cols w:space="720" w:num="1"/>
        </w:sectPr>
      </w:pPr>
    </w:p>
    <w:p w14:paraId="26690BC2">
      <w:pPr>
        <w:spacing w:line="248" w:lineRule="auto"/>
        <w:rPr>
          <w:rFonts w:ascii="Arial"/>
          <w:sz w:val="21"/>
        </w:rPr>
      </w:pPr>
    </w:p>
    <w:p w14:paraId="4A620F6D">
      <w:pPr>
        <w:spacing w:line="248" w:lineRule="auto"/>
        <w:rPr>
          <w:rFonts w:ascii="Arial"/>
          <w:sz w:val="21"/>
        </w:rPr>
      </w:pPr>
    </w:p>
    <w:p w14:paraId="756E714B">
      <w:pPr>
        <w:spacing w:line="249" w:lineRule="auto"/>
        <w:rPr>
          <w:rFonts w:ascii="Arial"/>
          <w:sz w:val="21"/>
        </w:rPr>
      </w:pPr>
    </w:p>
    <w:p w14:paraId="007AD59A">
      <w:pPr>
        <w:spacing w:line="249" w:lineRule="auto"/>
        <w:rPr>
          <w:rFonts w:ascii="Arial"/>
          <w:sz w:val="21"/>
        </w:rPr>
      </w:pPr>
    </w:p>
    <w:p w14:paraId="609B0F99">
      <w:pPr>
        <w:spacing w:line="249" w:lineRule="auto"/>
        <w:rPr>
          <w:rFonts w:ascii="Arial"/>
          <w:sz w:val="21"/>
        </w:rPr>
      </w:pPr>
    </w:p>
    <w:p w14:paraId="7BB80AA1">
      <w:pPr>
        <w:pStyle w:val="2"/>
        <w:spacing w:before="91" w:line="225" w:lineRule="auto"/>
        <w:ind w:left="97"/>
        <w:rPr>
          <w:sz w:val="28"/>
          <w:szCs w:val="28"/>
        </w:rPr>
      </w:pPr>
      <w:r>
        <w:rPr>
          <w:spacing w:val="-10"/>
          <w:sz w:val="28"/>
          <w:szCs w:val="28"/>
        </w:rPr>
        <w:t>附件</w:t>
      </w:r>
      <w:r>
        <w:rPr>
          <w:spacing w:val="-56"/>
          <w:sz w:val="28"/>
          <w:szCs w:val="28"/>
        </w:rPr>
        <w:t xml:space="preserve"> </w:t>
      </w:r>
      <w:r>
        <w:rPr>
          <w:rFonts w:ascii="Times New Roman" w:hAnsi="Times New Roman" w:eastAsia="Times New Roman" w:cs="Times New Roman"/>
          <w:spacing w:val="-10"/>
          <w:sz w:val="28"/>
          <w:szCs w:val="28"/>
        </w:rPr>
        <w:t>5</w:t>
      </w:r>
      <w:r>
        <w:rPr>
          <w:spacing w:val="-10"/>
          <w:sz w:val="28"/>
          <w:szCs w:val="28"/>
        </w:rPr>
        <w:t>：</w:t>
      </w:r>
    </w:p>
    <w:p w14:paraId="4027D134">
      <w:pPr>
        <w:spacing w:before="361" w:line="185" w:lineRule="auto"/>
        <w:ind w:left="2285"/>
        <w:rPr>
          <w:rFonts w:ascii="微软雅黑" w:hAnsi="微软雅黑" w:eastAsia="微软雅黑" w:cs="微软雅黑"/>
          <w:sz w:val="28"/>
          <w:szCs w:val="28"/>
        </w:rPr>
      </w:pPr>
      <w:r>
        <w:rPr>
          <w:rFonts w:ascii="微软雅黑" w:hAnsi="微软雅黑" w:eastAsia="微软雅黑" w:cs="微软雅黑"/>
          <w:spacing w:val="-1"/>
          <w:sz w:val="28"/>
          <w:szCs w:val="28"/>
        </w:rPr>
        <w:t>承包人用于本工程施工的机械设备表</w:t>
      </w:r>
    </w:p>
    <w:p w14:paraId="5DE381C0">
      <w:pPr>
        <w:spacing w:line="224" w:lineRule="exact"/>
      </w:pPr>
    </w:p>
    <w:tbl>
      <w:tblPr>
        <w:tblStyle w:val="5"/>
        <w:tblW w:w="9018"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79"/>
        <w:gridCol w:w="1296"/>
        <w:gridCol w:w="782"/>
        <w:gridCol w:w="970"/>
        <w:gridCol w:w="809"/>
        <w:gridCol w:w="935"/>
        <w:gridCol w:w="1352"/>
        <w:gridCol w:w="935"/>
        <w:gridCol w:w="860"/>
      </w:tblGrid>
      <w:tr w14:paraId="643FA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4" w:hRule="atLeast"/>
        </w:trPr>
        <w:tc>
          <w:tcPr>
            <w:tcW w:w="1079" w:type="dxa"/>
            <w:tcBorders>
              <w:top w:val="single" w:color="000000" w:sz="10" w:space="0"/>
              <w:left w:val="single" w:color="000000" w:sz="10" w:space="0"/>
            </w:tcBorders>
            <w:vAlign w:val="top"/>
          </w:tcPr>
          <w:p w14:paraId="554EAA26">
            <w:pPr>
              <w:spacing w:line="254" w:lineRule="auto"/>
              <w:rPr>
                <w:rFonts w:ascii="Arial"/>
                <w:sz w:val="21"/>
              </w:rPr>
            </w:pPr>
          </w:p>
          <w:p w14:paraId="172BD772">
            <w:pPr>
              <w:spacing w:before="65" w:line="231" w:lineRule="auto"/>
              <w:ind w:left="320"/>
              <w:rPr>
                <w:rFonts w:ascii="黑体" w:hAnsi="黑体" w:eastAsia="黑体" w:cs="黑体"/>
                <w:sz w:val="20"/>
                <w:szCs w:val="20"/>
              </w:rPr>
            </w:pPr>
            <w:r>
              <w:rPr>
                <w:rFonts w:ascii="黑体" w:hAnsi="黑体" w:eastAsia="黑体" w:cs="黑体"/>
                <w:spacing w:val="4"/>
                <w:sz w:val="20"/>
                <w:szCs w:val="20"/>
              </w:rPr>
              <w:t>序号</w:t>
            </w:r>
          </w:p>
        </w:tc>
        <w:tc>
          <w:tcPr>
            <w:tcW w:w="1296" w:type="dxa"/>
            <w:tcBorders>
              <w:top w:val="single" w:color="000000" w:sz="10" w:space="0"/>
            </w:tcBorders>
            <w:vAlign w:val="top"/>
          </w:tcPr>
          <w:p w14:paraId="6D6E9C43">
            <w:pPr>
              <w:spacing w:before="160" w:line="295" w:lineRule="auto"/>
              <w:ind w:left="224" w:right="232" w:firstLine="103"/>
              <w:rPr>
                <w:rFonts w:ascii="黑体" w:hAnsi="黑体" w:eastAsia="黑体" w:cs="黑体"/>
                <w:sz w:val="20"/>
                <w:szCs w:val="20"/>
              </w:rPr>
            </w:pPr>
            <w:r>
              <w:rPr>
                <w:rFonts w:ascii="黑体" w:hAnsi="黑体" w:eastAsia="黑体" w:cs="黑体"/>
                <w:spacing w:val="7"/>
                <w:sz w:val="20"/>
                <w:szCs w:val="20"/>
              </w:rPr>
              <w:t>机械或设备名称</w:t>
            </w:r>
          </w:p>
        </w:tc>
        <w:tc>
          <w:tcPr>
            <w:tcW w:w="782" w:type="dxa"/>
            <w:tcBorders>
              <w:top w:val="single" w:color="000000" w:sz="10" w:space="0"/>
            </w:tcBorders>
            <w:vAlign w:val="top"/>
          </w:tcPr>
          <w:p w14:paraId="2D2B9AE5">
            <w:pPr>
              <w:spacing w:before="159" w:line="296" w:lineRule="auto"/>
              <w:ind w:left="181" w:right="184" w:hanging="5"/>
              <w:rPr>
                <w:rFonts w:ascii="黑体" w:hAnsi="黑体" w:eastAsia="黑体" w:cs="黑体"/>
                <w:sz w:val="20"/>
                <w:szCs w:val="20"/>
              </w:rPr>
            </w:pPr>
            <w:r>
              <w:rPr>
                <w:rFonts w:ascii="黑体" w:hAnsi="黑体" w:eastAsia="黑体" w:cs="黑体"/>
                <w:spacing w:val="5"/>
                <w:sz w:val="20"/>
                <w:szCs w:val="20"/>
              </w:rPr>
              <w:t>规格</w:t>
            </w:r>
            <w:r>
              <w:rPr>
                <w:rFonts w:ascii="黑体" w:hAnsi="黑体" w:eastAsia="黑体" w:cs="黑体"/>
                <w:spacing w:val="2"/>
                <w:sz w:val="20"/>
                <w:szCs w:val="20"/>
              </w:rPr>
              <w:t>型号</w:t>
            </w:r>
          </w:p>
        </w:tc>
        <w:tc>
          <w:tcPr>
            <w:tcW w:w="970" w:type="dxa"/>
            <w:tcBorders>
              <w:top w:val="single" w:color="000000" w:sz="10" w:space="0"/>
            </w:tcBorders>
            <w:vAlign w:val="top"/>
          </w:tcPr>
          <w:p w14:paraId="38A5EE4D">
            <w:pPr>
              <w:spacing w:line="253" w:lineRule="auto"/>
              <w:rPr>
                <w:rFonts w:ascii="Arial"/>
                <w:sz w:val="21"/>
              </w:rPr>
            </w:pPr>
          </w:p>
          <w:p w14:paraId="052EFC4C">
            <w:pPr>
              <w:spacing w:before="65" w:line="231" w:lineRule="auto"/>
              <w:ind w:left="275"/>
              <w:rPr>
                <w:rFonts w:ascii="黑体" w:hAnsi="黑体" w:eastAsia="黑体" w:cs="黑体"/>
                <w:sz w:val="20"/>
                <w:szCs w:val="20"/>
              </w:rPr>
            </w:pPr>
            <w:r>
              <w:rPr>
                <w:rFonts w:ascii="黑体" w:hAnsi="黑体" w:eastAsia="黑体" w:cs="黑体"/>
                <w:spacing w:val="4"/>
                <w:sz w:val="20"/>
                <w:szCs w:val="20"/>
              </w:rPr>
              <w:t>数量</w:t>
            </w:r>
          </w:p>
        </w:tc>
        <w:tc>
          <w:tcPr>
            <w:tcW w:w="809" w:type="dxa"/>
            <w:tcBorders>
              <w:top w:val="single" w:color="000000" w:sz="10" w:space="0"/>
            </w:tcBorders>
            <w:vAlign w:val="top"/>
          </w:tcPr>
          <w:p w14:paraId="04872CD3">
            <w:pPr>
              <w:spacing w:line="254" w:lineRule="auto"/>
              <w:rPr>
                <w:rFonts w:ascii="Arial"/>
                <w:sz w:val="21"/>
              </w:rPr>
            </w:pPr>
          </w:p>
          <w:p w14:paraId="73896F3C">
            <w:pPr>
              <w:spacing w:before="65" w:line="231" w:lineRule="auto"/>
              <w:ind w:left="195"/>
              <w:rPr>
                <w:rFonts w:ascii="黑体" w:hAnsi="黑体" w:eastAsia="黑体" w:cs="黑体"/>
                <w:sz w:val="20"/>
                <w:szCs w:val="20"/>
              </w:rPr>
            </w:pPr>
            <w:r>
              <w:rPr>
                <w:rFonts w:ascii="黑体" w:hAnsi="黑体" w:eastAsia="黑体" w:cs="黑体"/>
                <w:spacing w:val="5"/>
                <w:sz w:val="20"/>
                <w:szCs w:val="20"/>
              </w:rPr>
              <w:t>产地</w:t>
            </w:r>
          </w:p>
        </w:tc>
        <w:tc>
          <w:tcPr>
            <w:tcW w:w="935" w:type="dxa"/>
            <w:tcBorders>
              <w:top w:val="single" w:color="000000" w:sz="10" w:space="0"/>
            </w:tcBorders>
            <w:vAlign w:val="top"/>
          </w:tcPr>
          <w:p w14:paraId="01A0650C">
            <w:pPr>
              <w:spacing w:before="159" w:line="296" w:lineRule="auto"/>
              <w:ind w:left="264" w:right="251" w:hanging="1"/>
              <w:rPr>
                <w:rFonts w:ascii="黑体" w:hAnsi="黑体" w:eastAsia="黑体" w:cs="黑体"/>
                <w:sz w:val="20"/>
                <w:szCs w:val="20"/>
              </w:rPr>
            </w:pPr>
            <w:r>
              <w:rPr>
                <w:rFonts w:ascii="黑体" w:hAnsi="黑体" w:eastAsia="黑体" w:cs="黑体"/>
                <w:spacing w:val="5"/>
                <w:sz w:val="20"/>
                <w:szCs w:val="20"/>
              </w:rPr>
              <w:t>制造</w:t>
            </w:r>
            <w:r>
              <w:rPr>
                <w:rFonts w:ascii="黑体" w:hAnsi="黑体" w:eastAsia="黑体" w:cs="黑体"/>
                <w:spacing w:val="4"/>
                <w:sz w:val="20"/>
                <w:szCs w:val="20"/>
              </w:rPr>
              <w:t>年份</w:t>
            </w:r>
          </w:p>
        </w:tc>
        <w:tc>
          <w:tcPr>
            <w:tcW w:w="1352" w:type="dxa"/>
            <w:tcBorders>
              <w:top w:val="single" w:color="000000" w:sz="10" w:space="0"/>
            </w:tcBorders>
            <w:vAlign w:val="top"/>
          </w:tcPr>
          <w:p w14:paraId="174BD493">
            <w:pPr>
              <w:spacing w:before="160" w:line="301" w:lineRule="auto"/>
              <w:ind w:left="388" w:right="247" w:hanging="124"/>
              <w:rPr>
                <w:rFonts w:ascii="黑体" w:hAnsi="黑体" w:eastAsia="黑体" w:cs="黑体"/>
                <w:sz w:val="20"/>
                <w:szCs w:val="20"/>
              </w:rPr>
            </w:pPr>
            <w:r>
              <w:rPr>
                <w:rFonts w:ascii="黑体" w:hAnsi="黑体" w:eastAsia="黑体" w:cs="黑体"/>
                <w:spacing w:val="7"/>
                <w:sz w:val="20"/>
                <w:szCs w:val="20"/>
              </w:rPr>
              <w:t>额定功率</w:t>
            </w:r>
            <w:r>
              <w:rPr>
                <w:rFonts w:ascii="黑体" w:hAnsi="黑体" w:eastAsia="黑体" w:cs="黑体"/>
                <w:spacing w:val="-2"/>
                <w:sz w:val="20"/>
                <w:szCs w:val="20"/>
              </w:rPr>
              <w:t>（kW）</w:t>
            </w:r>
          </w:p>
        </w:tc>
        <w:tc>
          <w:tcPr>
            <w:tcW w:w="935" w:type="dxa"/>
            <w:tcBorders>
              <w:top w:val="single" w:color="000000" w:sz="10" w:space="0"/>
            </w:tcBorders>
            <w:vAlign w:val="top"/>
          </w:tcPr>
          <w:p w14:paraId="094E6867">
            <w:pPr>
              <w:spacing w:before="160" w:line="295" w:lineRule="auto"/>
              <w:ind w:left="275" w:right="246" w:hanging="8"/>
              <w:rPr>
                <w:rFonts w:ascii="黑体" w:hAnsi="黑体" w:eastAsia="黑体" w:cs="黑体"/>
                <w:sz w:val="20"/>
                <w:szCs w:val="20"/>
              </w:rPr>
            </w:pPr>
            <w:r>
              <w:rPr>
                <w:rFonts w:ascii="黑体" w:hAnsi="黑体" w:eastAsia="黑体" w:cs="黑体"/>
                <w:spacing w:val="5"/>
                <w:sz w:val="20"/>
                <w:szCs w:val="20"/>
              </w:rPr>
              <w:t>生产</w:t>
            </w:r>
            <w:r>
              <w:rPr>
                <w:rFonts w:ascii="黑体" w:hAnsi="黑体" w:eastAsia="黑体" w:cs="黑体"/>
                <w:spacing w:val="1"/>
                <w:sz w:val="20"/>
                <w:szCs w:val="20"/>
              </w:rPr>
              <w:t>能力</w:t>
            </w:r>
          </w:p>
        </w:tc>
        <w:tc>
          <w:tcPr>
            <w:tcW w:w="860" w:type="dxa"/>
            <w:tcBorders>
              <w:top w:val="single" w:color="000000" w:sz="10" w:space="0"/>
              <w:right w:val="single" w:color="000000" w:sz="10" w:space="0"/>
            </w:tcBorders>
            <w:vAlign w:val="top"/>
          </w:tcPr>
          <w:p w14:paraId="1F39C477">
            <w:pPr>
              <w:spacing w:line="253" w:lineRule="auto"/>
              <w:rPr>
                <w:rFonts w:ascii="Arial"/>
                <w:sz w:val="21"/>
              </w:rPr>
            </w:pPr>
          </w:p>
          <w:p w14:paraId="6936343C">
            <w:pPr>
              <w:spacing w:before="65" w:line="230" w:lineRule="auto"/>
              <w:ind w:left="226"/>
              <w:rPr>
                <w:rFonts w:ascii="黑体" w:hAnsi="黑体" w:eastAsia="黑体" w:cs="黑体"/>
                <w:sz w:val="20"/>
                <w:szCs w:val="20"/>
              </w:rPr>
            </w:pPr>
            <w:r>
              <w:rPr>
                <w:rFonts w:ascii="黑体" w:hAnsi="黑体" w:eastAsia="黑体" w:cs="黑体"/>
                <w:spacing w:val="4"/>
                <w:sz w:val="20"/>
                <w:szCs w:val="20"/>
              </w:rPr>
              <w:t>备注</w:t>
            </w:r>
          </w:p>
        </w:tc>
      </w:tr>
      <w:tr w14:paraId="0133C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079" w:type="dxa"/>
            <w:tcBorders>
              <w:left w:val="single" w:color="000000" w:sz="10" w:space="0"/>
            </w:tcBorders>
            <w:vAlign w:val="top"/>
          </w:tcPr>
          <w:p w14:paraId="5B77EF80">
            <w:pPr>
              <w:rPr>
                <w:rFonts w:ascii="Arial"/>
                <w:sz w:val="21"/>
              </w:rPr>
            </w:pPr>
          </w:p>
        </w:tc>
        <w:tc>
          <w:tcPr>
            <w:tcW w:w="1296" w:type="dxa"/>
            <w:vAlign w:val="top"/>
          </w:tcPr>
          <w:p w14:paraId="396BBAE7">
            <w:pPr>
              <w:rPr>
                <w:rFonts w:ascii="Arial"/>
                <w:sz w:val="21"/>
              </w:rPr>
            </w:pPr>
          </w:p>
        </w:tc>
        <w:tc>
          <w:tcPr>
            <w:tcW w:w="782" w:type="dxa"/>
            <w:vAlign w:val="top"/>
          </w:tcPr>
          <w:p w14:paraId="012862C9">
            <w:pPr>
              <w:rPr>
                <w:rFonts w:ascii="Arial"/>
                <w:sz w:val="21"/>
              </w:rPr>
            </w:pPr>
          </w:p>
        </w:tc>
        <w:tc>
          <w:tcPr>
            <w:tcW w:w="970" w:type="dxa"/>
            <w:vAlign w:val="top"/>
          </w:tcPr>
          <w:p w14:paraId="6B1F6FDA">
            <w:pPr>
              <w:rPr>
                <w:rFonts w:ascii="Arial"/>
                <w:sz w:val="21"/>
              </w:rPr>
            </w:pPr>
          </w:p>
        </w:tc>
        <w:tc>
          <w:tcPr>
            <w:tcW w:w="809" w:type="dxa"/>
            <w:vAlign w:val="top"/>
          </w:tcPr>
          <w:p w14:paraId="3ED31E40">
            <w:pPr>
              <w:rPr>
                <w:rFonts w:ascii="Arial"/>
                <w:sz w:val="21"/>
              </w:rPr>
            </w:pPr>
          </w:p>
        </w:tc>
        <w:tc>
          <w:tcPr>
            <w:tcW w:w="935" w:type="dxa"/>
            <w:vAlign w:val="top"/>
          </w:tcPr>
          <w:p w14:paraId="7A374043">
            <w:pPr>
              <w:rPr>
                <w:rFonts w:ascii="Arial"/>
                <w:sz w:val="21"/>
              </w:rPr>
            </w:pPr>
          </w:p>
        </w:tc>
        <w:tc>
          <w:tcPr>
            <w:tcW w:w="1352" w:type="dxa"/>
            <w:vAlign w:val="top"/>
          </w:tcPr>
          <w:p w14:paraId="798D16E5">
            <w:pPr>
              <w:rPr>
                <w:rFonts w:ascii="Arial"/>
                <w:sz w:val="21"/>
              </w:rPr>
            </w:pPr>
          </w:p>
        </w:tc>
        <w:tc>
          <w:tcPr>
            <w:tcW w:w="935" w:type="dxa"/>
            <w:vAlign w:val="top"/>
          </w:tcPr>
          <w:p w14:paraId="26008A45">
            <w:pPr>
              <w:rPr>
                <w:rFonts w:ascii="Arial"/>
                <w:sz w:val="21"/>
              </w:rPr>
            </w:pPr>
          </w:p>
        </w:tc>
        <w:tc>
          <w:tcPr>
            <w:tcW w:w="860" w:type="dxa"/>
            <w:tcBorders>
              <w:right w:val="single" w:color="000000" w:sz="10" w:space="0"/>
            </w:tcBorders>
            <w:vAlign w:val="top"/>
          </w:tcPr>
          <w:p w14:paraId="78F3DC07">
            <w:pPr>
              <w:rPr>
                <w:rFonts w:ascii="Arial"/>
                <w:sz w:val="21"/>
              </w:rPr>
            </w:pPr>
          </w:p>
        </w:tc>
      </w:tr>
      <w:tr w14:paraId="4FCAF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1079" w:type="dxa"/>
            <w:tcBorders>
              <w:left w:val="single" w:color="000000" w:sz="10" w:space="0"/>
            </w:tcBorders>
            <w:vAlign w:val="top"/>
          </w:tcPr>
          <w:p w14:paraId="018B79A9">
            <w:pPr>
              <w:rPr>
                <w:rFonts w:ascii="Arial"/>
                <w:sz w:val="21"/>
              </w:rPr>
            </w:pPr>
          </w:p>
        </w:tc>
        <w:tc>
          <w:tcPr>
            <w:tcW w:w="1296" w:type="dxa"/>
            <w:vAlign w:val="top"/>
          </w:tcPr>
          <w:p w14:paraId="6FE1372A">
            <w:pPr>
              <w:rPr>
                <w:rFonts w:ascii="Arial"/>
                <w:sz w:val="21"/>
              </w:rPr>
            </w:pPr>
          </w:p>
        </w:tc>
        <w:tc>
          <w:tcPr>
            <w:tcW w:w="782" w:type="dxa"/>
            <w:vAlign w:val="top"/>
          </w:tcPr>
          <w:p w14:paraId="75786966">
            <w:pPr>
              <w:rPr>
                <w:rFonts w:ascii="Arial"/>
                <w:sz w:val="21"/>
              </w:rPr>
            </w:pPr>
          </w:p>
        </w:tc>
        <w:tc>
          <w:tcPr>
            <w:tcW w:w="970" w:type="dxa"/>
            <w:vAlign w:val="top"/>
          </w:tcPr>
          <w:p w14:paraId="184406C5">
            <w:pPr>
              <w:rPr>
                <w:rFonts w:ascii="Arial"/>
                <w:sz w:val="21"/>
              </w:rPr>
            </w:pPr>
          </w:p>
        </w:tc>
        <w:tc>
          <w:tcPr>
            <w:tcW w:w="809" w:type="dxa"/>
            <w:vAlign w:val="top"/>
          </w:tcPr>
          <w:p w14:paraId="157E0830">
            <w:pPr>
              <w:rPr>
                <w:rFonts w:ascii="Arial"/>
                <w:sz w:val="21"/>
              </w:rPr>
            </w:pPr>
          </w:p>
        </w:tc>
        <w:tc>
          <w:tcPr>
            <w:tcW w:w="935" w:type="dxa"/>
            <w:vAlign w:val="top"/>
          </w:tcPr>
          <w:p w14:paraId="4B49C331">
            <w:pPr>
              <w:rPr>
                <w:rFonts w:ascii="Arial"/>
                <w:sz w:val="21"/>
              </w:rPr>
            </w:pPr>
          </w:p>
        </w:tc>
        <w:tc>
          <w:tcPr>
            <w:tcW w:w="1352" w:type="dxa"/>
            <w:vAlign w:val="top"/>
          </w:tcPr>
          <w:p w14:paraId="38500203">
            <w:pPr>
              <w:rPr>
                <w:rFonts w:ascii="Arial"/>
                <w:sz w:val="21"/>
              </w:rPr>
            </w:pPr>
          </w:p>
        </w:tc>
        <w:tc>
          <w:tcPr>
            <w:tcW w:w="935" w:type="dxa"/>
            <w:vAlign w:val="top"/>
          </w:tcPr>
          <w:p w14:paraId="4858782F">
            <w:pPr>
              <w:rPr>
                <w:rFonts w:ascii="Arial"/>
                <w:sz w:val="21"/>
              </w:rPr>
            </w:pPr>
          </w:p>
        </w:tc>
        <w:tc>
          <w:tcPr>
            <w:tcW w:w="860" w:type="dxa"/>
            <w:tcBorders>
              <w:right w:val="single" w:color="000000" w:sz="10" w:space="0"/>
            </w:tcBorders>
            <w:vAlign w:val="top"/>
          </w:tcPr>
          <w:p w14:paraId="32EFB54C">
            <w:pPr>
              <w:rPr>
                <w:rFonts w:ascii="Arial"/>
                <w:sz w:val="21"/>
              </w:rPr>
            </w:pPr>
          </w:p>
        </w:tc>
      </w:tr>
      <w:tr w14:paraId="26288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5696A238">
            <w:pPr>
              <w:rPr>
                <w:rFonts w:ascii="Arial"/>
                <w:sz w:val="21"/>
              </w:rPr>
            </w:pPr>
          </w:p>
        </w:tc>
        <w:tc>
          <w:tcPr>
            <w:tcW w:w="1296" w:type="dxa"/>
            <w:vAlign w:val="top"/>
          </w:tcPr>
          <w:p w14:paraId="4F367E84">
            <w:pPr>
              <w:rPr>
                <w:rFonts w:ascii="Arial"/>
                <w:sz w:val="21"/>
              </w:rPr>
            </w:pPr>
          </w:p>
        </w:tc>
        <w:tc>
          <w:tcPr>
            <w:tcW w:w="782" w:type="dxa"/>
            <w:vAlign w:val="top"/>
          </w:tcPr>
          <w:p w14:paraId="18A781C8">
            <w:pPr>
              <w:rPr>
                <w:rFonts w:ascii="Arial"/>
                <w:sz w:val="21"/>
              </w:rPr>
            </w:pPr>
          </w:p>
        </w:tc>
        <w:tc>
          <w:tcPr>
            <w:tcW w:w="970" w:type="dxa"/>
            <w:vAlign w:val="top"/>
          </w:tcPr>
          <w:p w14:paraId="61DEC7A3">
            <w:pPr>
              <w:rPr>
                <w:rFonts w:ascii="Arial"/>
                <w:sz w:val="21"/>
              </w:rPr>
            </w:pPr>
          </w:p>
        </w:tc>
        <w:tc>
          <w:tcPr>
            <w:tcW w:w="809" w:type="dxa"/>
            <w:vAlign w:val="top"/>
          </w:tcPr>
          <w:p w14:paraId="7AB7C6BA">
            <w:pPr>
              <w:rPr>
                <w:rFonts w:ascii="Arial"/>
                <w:sz w:val="21"/>
              </w:rPr>
            </w:pPr>
          </w:p>
        </w:tc>
        <w:tc>
          <w:tcPr>
            <w:tcW w:w="935" w:type="dxa"/>
            <w:vAlign w:val="top"/>
          </w:tcPr>
          <w:p w14:paraId="2CABC53A">
            <w:pPr>
              <w:rPr>
                <w:rFonts w:ascii="Arial"/>
                <w:sz w:val="21"/>
              </w:rPr>
            </w:pPr>
          </w:p>
        </w:tc>
        <w:tc>
          <w:tcPr>
            <w:tcW w:w="1352" w:type="dxa"/>
            <w:vAlign w:val="top"/>
          </w:tcPr>
          <w:p w14:paraId="47AAB08C">
            <w:pPr>
              <w:rPr>
                <w:rFonts w:ascii="Arial"/>
                <w:sz w:val="21"/>
              </w:rPr>
            </w:pPr>
          </w:p>
        </w:tc>
        <w:tc>
          <w:tcPr>
            <w:tcW w:w="935" w:type="dxa"/>
            <w:vAlign w:val="top"/>
          </w:tcPr>
          <w:p w14:paraId="708A7526">
            <w:pPr>
              <w:rPr>
                <w:rFonts w:ascii="Arial"/>
                <w:sz w:val="21"/>
              </w:rPr>
            </w:pPr>
          </w:p>
        </w:tc>
        <w:tc>
          <w:tcPr>
            <w:tcW w:w="860" w:type="dxa"/>
            <w:tcBorders>
              <w:right w:val="single" w:color="000000" w:sz="10" w:space="0"/>
            </w:tcBorders>
            <w:vAlign w:val="top"/>
          </w:tcPr>
          <w:p w14:paraId="51364DDB">
            <w:pPr>
              <w:rPr>
                <w:rFonts w:ascii="Arial"/>
                <w:sz w:val="21"/>
              </w:rPr>
            </w:pPr>
          </w:p>
        </w:tc>
      </w:tr>
      <w:tr w14:paraId="73B1F9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7BB0C232">
            <w:pPr>
              <w:rPr>
                <w:rFonts w:ascii="Arial"/>
                <w:sz w:val="21"/>
              </w:rPr>
            </w:pPr>
          </w:p>
        </w:tc>
        <w:tc>
          <w:tcPr>
            <w:tcW w:w="1296" w:type="dxa"/>
            <w:vAlign w:val="top"/>
          </w:tcPr>
          <w:p w14:paraId="02C2D95C">
            <w:pPr>
              <w:rPr>
                <w:rFonts w:ascii="Arial"/>
                <w:sz w:val="21"/>
              </w:rPr>
            </w:pPr>
          </w:p>
        </w:tc>
        <w:tc>
          <w:tcPr>
            <w:tcW w:w="782" w:type="dxa"/>
            <w:vAlign w:val="top"/>
          </w:tcPr>
          <w:p w14:paraId="65E079FA">
            <w:pPr>
              <w:rPr>
                <w:rFonts w:ascii="Arial"/>
                <w:sz w:val="21"/>
              </w:rPr>
            </w:pPr>
          </w:p>
        </w:tc>
        <w:tc>
          <w:tcPr>
            <w:tcW w:w="970" w:type="dxa"/>
            <w:vAlign w:val="top"/>
          </w:tcPr>
          <w:p w14:paraId="752B79B8">
            <w:pPr>
              <w:rPr>
                <w:rFonts w:ascii="Arial"/>
                <w:sz w:val="21"/>
              </w:rPr>
            </w:pPr>
          </w:p>
        </w:tc>
        <w:tc>
          <w:tcPr>
            <w:tcW w:w="809" w:type="dxa"/>
            <w:vAlign w:val="top"/>
          </w:tcPr>
          <w:p w14:paraId="6D012B6D">
            <w:pPr>
              <w:rPr>
                <w:rFonts w:ascii="Arial"/>
                <w:sz w:val="21"/>
              </w:rPr>
            </w:pPr>
          </w:p>
        </w:tc>
        <w:tc>
          <w:tcPr>
            <w:tcW w:w="935" w:type="dxa"/>
            <w:vAlign w:val="top"/>
          </w:tcPr>
          <w:p w14:paraId="58C1D895">
            <w:pPr>
              <w:rPr>
                <w:rFonts w:ascii="Arial"/>
                <w:sz w:val="21"/>
              </w:rPr>
            </w:pPr>
          </w:p>
        </w:tc>
        <w:tc>
          <w:tcPr>
            <w:tcW w:w="1352" w:type="dxa"/>
            <w:vAlign w:val="top"/>
          </w:tcPr>
          <w:p w14:paraId="6B9D8F84">
            <w:pPr>
              <w:rPr>
                <w:rFonts w:ascii="Arial"/>
                <w:sz w:val="21"/>
              </w:rPr>
            </w:pPr>
          </w:p>
        </w:tc>
        <w:tc>
          <w:tcPr>
            <w:tcW w:w="935" w:type="dxa"/>
            <w:vAlign w:val="top"/>
          </w:tcPr>
          <w:p w14:paraId="103E4F2D">
            <w:pPr>
              <w:rPr>
                <w:rFonts w:ascii="Arial"/>
                <w:sz w:val="21"/>
              </w:rPr>
            </w:pPr>
          </w:p>
        </w:tc>
        <w:tc>
          <w:tcPr>
            <w:tcW w:w="860" w:type="dxa"/>
            <w:tcBorders>
              <w:right w:val="single" w:color="000000" w:sz="10" w:space="0"/>
            </w:tcBorders>
            <w:vAlign w:val="top"/>
          </w:tcPr>
          <w:p w14:paraId="6D703791">
            <w:pPr>
              <w:rPr>
                <w:rFonts w:ascii="Arial"/>
                <w:sz w:val="21"/>
              </w:rPr>
            </w:pPr>
          </w:p>
        </w:tc>
      </w:tr>
      <w:tr w14:paraId="7E311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3708B26C">
            <w:pPr>
              <w:rPr>
                <w:rFonts w:ascii="Arial"/>
                <w:sz w:val="21"/>
              </w:rPr>
            </w:pPr>
          </w:p>
        </w:tc>
        <w:tc>
          <w:tcPr>
            <w:tcW w:w="1296" w:type="dxa"/>
            <w:vAlign w:val="top"/>
          </w:tcPr>
          <w:p w14:paraId="22D08AF3">
            <w:pPr>
              <w:rPr>
                <w:rFonts w:ascii="Arial"/>
                <w:sz w:val="21"/>
              </w:rPr>
            </w:pPr>
          </w:p>
        </w:tc>
        <w:tc>
          <w:tcPr>
            <w:tcW w:w="782" w:type="dxa"/>
            <w:vAlign w:val="top"/>
          </w:tcPr>
          <w:p w14:paraId="7AFC0F58">
            <w:pPr>
              <w:rPr>
                <w:rFonts w:ascii="Arial"/>
                <w:sz w:val="21"/>
              </w:rPr>
            </w:pPr>
          </w:p>
        </w:tc>
        <w:tc>
          <w:tcPr>
            <w:tcW w:w="970" w:type="dxa"/>
            <w:vAlign w:val="top"/>
          </w:tcPr>
          <w:p w14:paraId="0955C8ED">
            <w:pPr>
              <w:rPr>
                <w:rFonts w:ascii="Arial"/>
                <w:sz w:val="21"/>
              </w:rPr>
            </w:pPr>
          </w:p>
        </w:tc>
        <w:tc>
          <w:tcPr>
            <w:tcW w:w="809" w:type="dxa"/>
            <w:vAlign w:val="top"/>
          </w:tcPr>
          <w:p w14:paraId="6291736F">
            <w:pPr>
              <w:rPr>
                <w:rFonts w:ascii="Arial"/>
                <w:sz w:val="21"/>
              </w:rPr>
            </w:pPr>
          </w:p>
        </w:tc>
        <w:tc>
          <w:tcPr>
            <w:tcW w:w="935" w:type="dxa"/>
            <w:vAlign w:val="top"/>
          </w:tcPr>
          <w:p w14:paraId="0E4CE75E">
            <w:pPr>
              <w:rPr>
                <w:rFonts w:ascii="Arial"/>
                <w:sz w:val="21"/>
              </w:rPr>
            </w:pPr>
          </w:p>
        </w:tc>
        <w:tc>
          <w:tcPr>
            <w:tcW w:w="1352" w:type="dxa"/>
            <w:vAlign w:val="top"/>
          </w:tcPr>
          <w:p w14:paraId="45CE0D52">
            <w:pPr>
              <w:rPr>
                <w:rFonts w:ascii="Arial"/>
                <w:sz w:val="21"/>
              </w:rPr>
            </w:pPr>
          </w:p>
        </w:tc>
        <w:tc>
          <w:tcPr>
            <w:tcW w:w="935" w:type="dxa"/>
            <w:vAlign w:val="top"/>
          </w:tcPr>
          <w:p w14:paraId="460E87C4">
            <w:pPr>
              <w:rPr>
                <w:rFonts w:ascii="Arial"/>
                <w:sz w:val="21"/>
              </w:rPr>
            </w:pPr>
          </w:p>
        </w:tc>
        <w:tc>
          <w:tcPr>
            <w:tcW w:w="860" w:type="dxa"/>
            <w:tcBorders>
              <w:right w:val="single" w:color="000000" w:sz="10" w:space="0"/>
            </w:tcBorders>
            <w:vAlign w:val="top"/>
          </w:tcPr>
          <w:p w14:paraId="2150228E">
            <w:pPr>
              <w:rPr>
                <w:rFonts w:ascii="Arial"/>
                <w:sz w:val="21"/>
              </w:rPr>
            </w:pPr>
          </w:p>
        </w:tc>
      </w:tr>
      <w:tr w14:paraId="0C070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26A34AB2">
            <w:pPr>
              <w:rPr>
                <w:rFonts w:ascii="Arial"/>
                <w:sz w:val="21"/>
              </w:rPr>
            </w:pPr>
          </w:p>
        </w:tc>
        <w:tc>
          <w:tcPr>
            <w:tcW w:w="1296" w:type="dxa"/>
            <w:vAlign w:val="top"/>
          </w:tcPr>
          <w:p w14:paraId="69BEA90F">
            <w:pPr>
              <w:rPr>
                <w:rFonts w:ascii="Arial"/>
                <w:sz w:val="21"/>
              </w:rPr>
            </w:pPr>
          </w:p>
        </w:tc>
        <w:tc>
          <w:tcPr>
            <w:tcW w:w="782" w:type="dxa"/>
            <w:vAlign w:val="top"/>
          </w:tcPr>
          <w:p w14:paraId="2F23F52F">
            <w:pPr>
              <w:rPr>
                <w:rFonts w:ascii="Arial"/>
                <w:sz w:val="21"/>
              </w:rPr>
            </w:pPr>
          </w:p>
        </w:tc>
        <w:tc>
          <w:tcPr>
            <w:tcW w:w="970" w:type="dxa"/>
            <w:vAlign w:val="top"/>
          </w:tcPr>
          <w:p w14:paraId="2EC16EBB">
            <w:pPr>
              <w:rPr>
                <w:rFonts w:ascii="Arial"/>
                <w:sz w:val="21"/>
              </w:rPr>
            </w:pPr>
          </w:p>
        </w:tc>
        <w:tc>
          <w:tcPr>
            <w:tcW w:w="809" w:type="dxa"/>
            <w:vAlign w:val="top"/>
          </w:tcPr>
          <w:p w14:paraId="1FA9DF14">
            <w:pPr>
              <w:rPr>
                <w:rFonts w:ascii="Arial"/>
                <w:sz w:val="21"/>
              </w:rPr>
            </w:pPr>
          </w:p>
        </w:tc>
        <w:tc>
          <w:tcPr>
            <w:tcW w:w="935" w:type="dxa"/>
            <w:vAlign w:val="top"/>
          </w:tcPr>
          <w:p w14:paraId="3B7FB6ED">
            <w:pPr>
              <w:rPr>
                <w:rFonts w:ascii="Arial"/>
                <w:sz w:val="21"/>
              </w:rPr>
            </w:pPr>
          </w:p>
        </w:tc>
        <w:tc>
          <w:tcPr>
            <w:tcW w:w="1352" w:type="dxa"/>
            <w:vAlign w:val="top"/>
          </w:tcPr>
          <w:p w14:paraId="52EA1373">
            <w:pPr>
              <w:rPr>
                <w:rFonts w:ascii="Arial"/>
                <w:sz w:val="21"/>
              </w:rPr>
            </w:pPr>
          </w:p>
        </w:tc>
        <w:tc>
          <w:tcPr>
            <w:tcW w:w="935" w:type="dxa"/>
            <w:vAlign w:val="top"/>
          </w:tcPr>
          <w:p w14:paraId="120D42B8">
            <w:pPr>
              <w:rPr>
                <w:rFonts w:ascii="Arial"/>
                <w:sz w:val="21"/>
              </w:rPr>
            </w:pPr>
          </w:p>
        </w:tc>
        <w:tc>
          <w:tcPr>
            <w:tcW w:w="860" w:type="dxa"/>
            <w:tcBorders>
              <w:right w:val="single" w:color="000000" w:sz="10" w:space="0"/>
            </w:tcBorders>
            <w:vAlign w:val="top"/>
          </w:tcPr>
          <w:p w14:paraId="5D5CD5C6">
            <w:pPr>
              <w:rPr>
                <w:rFonts w:ascii="Arial"/>
                <w:sz w:val="21"/>
              </w:rPr>
            </w:pPr>
          </w:p>
        </w:tc>
      </w:tr>
      <w:tr w14:paraId="267F8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74B0BECA">
            <w:pPr>
              <w:rPr>
                <w:rFonts w:ascii="Arial"/>
                <w:sz w:val="21"/>
              </w:rPr>
            </w:pPr>
          </w:p>
        </w:tc>
        <w:tc>
          <w:tcPr>
            <w:tcW w:w="1296" w:type="dxa"/>
            <w:vAlign w:val="top"/>
          </w:tcPr>
          <w:p w14:paraId="3FBD4BCC">
            <w:pPr>
              <w:rPr>
                <w:rFonts w:ascii="Arial"/>
                <w:sz w:val="21"/>
              </w:rPr>
            </w:pPr>
          </w:p>
        </w:tc>
        <w:tc>
          <w:tcPr>
            <w:tcW w:w="782" w:type="dxa"/>
            <w:vAlign w:val="top"/>
          </w:tcPr>
          <w:p w14:paraId="67577C8F">
            <w:pPr>
              <w:rPr>
                <w:rFonts w:ascii="Arial"/>
                <w:sz w:val="21"/>
              </w:rPr>
            </w:pPr>
          </w:p>
        </w:tc>
        <w:tc>
          <w:tcPr>
            <w:tcW w:w="970" w:type="dxa"/>
            <w:vAlign w:val="top"/>
          </w:tcPr>
          <w:p w14:paraId="38B58AA9">
            <w:pPr>
              <w:rPr>
                <w:rFonts w:ascii="Arial"/>
                <w:sz w:val="21"/>
              </w:rPr>
            </w:pPr>
          </w:p>
        </w:tc>
        <w:tc>
          <w:tcPr>
            <w:tcW w:w="809" w:type="dxa"/>
            <w:vAlign w:val="top"/>
          </w:tcPr>
          <w:p w14:paraId="420A806C">
            <w:pPr>
              <w:rPr>
                <w:rFonts w:ascii="Arial"/>
                <w:sz w:val="21"/>
              </w:rPr>
            </w:pPr>
          </w:p>
        </w:tc>
        <w:tc>
          <w:tcPr>
            <w:tcW w:w="935" w:type="dxa"/>
            <w:vAlign w:val="top"/>
          </w:tcPr>
          <w:p w14:paraId="24DF7F9E">
            <w:pPr>
              <w:rPr>
                <w:rFonts w:ascii="Arial"/>
                <w:sz w:val="21"/>
              </w:rPr>
            </w:pPr>
          </w:p>
        </w:tc>
        <w:tc>
          <w:tcPr>
            <w:tcW w:w="1352" w:type="dxa"/>
            <w:vAlign w:val="top"/>
          </w:tcPr>
          <w:p w14:paraId="6D576DEE">
            <w:pPr>
              <w:rPr>
                <w:rFonts w:ascii="Arial"/>
                <w:sz w:val="21"/>
              </w:rPr>
            </w:pPr>
          </w:p>
        </w:tc>
        <w:tc>
          <w:tcPr>
            <w:tcW w:w="935" w:type="dxa"/>
            <w:vAlign w:val="top"/>
          </w:tcPr>
          <w:p w14:paraId="1D8385A4">
            <w:pPr>
              <w:rPr>
                <w:rFonts w:ascii="Arial"/>
                <w:sz w:val="21"/>
              </w:rPr>
            </w:pPr>
          </w:p>
        </w:tc>
        <w:tc>
          <w:tcPr>
            <w:tcW w:w="860" w:type="dxa"/>
            <w:tcBorders>
              <w:right w:val="single" w:color="000000" w:sz="10" w:space="0"/>
            </w:tcBorders>
            <w:vAlign w:val="top"/>
          </w:tcPr>
          <w:p w14:paraId="268D1883">
            <w:pPr>
              <w:rPr>
                <w:rFonts w:ascii="Arial"/>
                <w:sz w:val="21"/>
              </w:rPr>
            </w:pPr>
          </w:p>
        </w:tc>
      </w:tr>
      <w:tr w14:paraId="74B64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5511DC7F">
            <w:pPr>
              <w:rPr>
                <w:rFonts w:ascii="Arial"/>
                <w:sz w:val="21"/>
              </w:rPr>
            </w:pPr>
          </w:p>
        </w:tc>
        <w:tc>
          <w:tcPr>
            <w:tcW w:w="1296" w:type="dxa"/>
            <w:vAlign w:val="top"/>
          </w:tcPr>
          <w:p w14:paraId="1BB90F04">
            <w:pPr>
              <w:rPr>
                <w:rFonts w:ascii="Arial"/>
                <w:sz w:val="21"/>
              </w:rPr>
            </w:pPr>
          </w:p>
        </w:tc>
        <w:tc>
          <w:tcPr>
            <w:tcW w:w="782" w:type="dxa"/>
            <w:vAlign w:val="top"/>
          </w:tcPr>
          <w:p w14:paraId="02AE7B02">
            <w:pPr>
              <w:rPr>
                <w:rFonts w:ascii="Arial"/>
                <w:sz w:val="21"/>
              </w:rPr>
            </w:pPr>
          </w:p>
        </w:tc>
        <w:tc>
          <w:tcPr>
            <w:tcW w:w="970" w:type="dxa"/>
            <w:vAlign w:val="top"/>
          </w:tcPr>
          <w:p w14:paraId="36A78B2A">
            <w:pPr>
              <w:rPr>
                <w:rFonts w:ascii="Arial"/>
                <w:sz w:val="21"/>
              </w:rPr>
            </w:pPr>
          </w:p>
        </w:tc>
        <w:tc>
          <w:tcPr>
            <w:tcW w:w="809" w:type="dxa"/>
            <w:vAlign w:val="top"/>
          </w:tcPr>
          <w:p w14:paraId="6203E450">
            <w:pPr>
              <w:rPr>
                <w:rFonts w:ascii="Arial"/>
                <w:sz w:val="21"/>
              </w:rPr>
            </w:pPr>
          </w:p>
        </w:tc>
        <w:tc>
          <w:tcPr>
            <w:tcW w:w="935" w:type="dxa"/>
            <w:vAlign w:val="top"/>
          </w:tcPr>
          <w:p w14:paraId="3309DBF0">
            <w:pPr>
              <w:rPr>
                <w:rFonts w:ascii="Arial"/>
                <w:sz w:val="21"/>
              </w:rPr>
            </w:pPr>
          </w:p>
        </w:tc>
        <w:tc>
          <w:tcPr>
            <w:tcW w:w="1352" w:type="dxa"/>
            <w:vAlign w:val="top"/>
          </w:tcPr>
          <w:p w14:paraId="0966A6E3">
            <w:pPr>
              <w:rPr>
                <w:rFonts w:ascii="Arial"/>
                <w:sz w:val="21"/>
              </w:rPr>
            </w:pPr>
          </w:p>
        </w:tc>
        <w:tc>
          <w:tcPr>
            <w:tcW w:w="935" w:type="dxa"/>
            <w:vAlign w:val="top"/>
          </w:tcPr>
          <w:p w14:paraId="674FB750">
            <w:pPr>
              <w:rPr>
                <w:rFonts w:ascii="Arial"/>
                <w:sz w:val="21"/>
              </w:rPr>
            </w:pPr>
          </w:p>
        </w:tc>
        <w:tc>
          <w:tcPr>
            <w:tcW w:w="860" w:type="dxa"/>
            <w:tcBorders>
              <w:right w:val="single" w:color="000000" w:sz="10" w:space="0"/>
            </w:tcBorders>
            <w:vAlign w:val="top"/>
          </w:tcPr>
          <w:p w14:paraId="68872C54">
            <w:pPr>
              <w:rPr>
                <w:rFonts w:ascii="Arial"/>
                <w:sz w:val="21"/>
              </w:rPr>
            </w:pPr>
          </w:p>
        </w:tc>
      </w:tr>
      <w:tr w14:paraId="65F19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0B6CDF53">
            <w:pPr>
              <w:rPr>
                <w:rFonts w:ascii="Arial"/>
                <w:sz w:val="21"/>
              </w:rPr>
            </w:pPr>
          </w:p>
        </w:tc>
        <w:tc>
          <w:tcPr>
            <w:tcW w:w="1296" w:type="dxa"/>
            <w:vAlign w:val="top"/>
          </w:tcPr>
          <w:p w14:paraId="0470113D">
            <w:pPr>
              <w:rPr>
                <w:rFonts w:ascii="Arial"/>
                <w:sz w:val="21"/>
              </w:rPr>
            </w:pPr>
          </w:p>
        </w:tc>
        <w:tc>
          <w:tcPr>
            <w:tcW w:w="782" w:type="dxa"/>
            <w:vAlign w:val="top"/>
          </w:tcPr>
          <w:p w14:paraId="5506D263">
            <w:pPr>
              <w:rPr>
                <w:rFonts w:ascii="Arial"/>
                <w:sz w:val="21"/>
              </w:rPr>
            </w:pPr>
          </w:p>
        </w:tc>
        <w:tc>
          <w:tcPr>
            <w:tcW w:w="970" w:type="dxa"/>
            <w:vAlign w:val="top"/>
          </w:tcPr>
          <w:p w14:paraId="5856853D">
            <w:pPr>
              <w:rPr>
                <w:rFonts w:ascii="Arial"/>
                <w:sz w:val="21"/>
              </w:rPr>
            </w:pPr>
          </w:p>
        </w:tc>
        <w:tc>
          <w:tcPr>
            <w:tcW w:w="809" w:type="dxa"/>
            <w:vAlign w:val="top"/>
          </w:tcPr>
          <w:p w14:paraId="3B9AD047">
            <w:pPr>
              <w:rPr>
                <w:rFonts w:ascii="Arial"/>
                <w:sz w:val="21"/>
              </w:rPr>
            </w:pPr>
          </w:p>
        </w:tc>
        <w:tc>
          <w:tcPr>
            <w:tcW w:w="935" w:type="dxa"/>
            <w:vAlign w:val="top"/>
          </w:tcPr>
          <w:p w14:paraId="0A36EB58">
            <w:pPr>
              <w:rPr>
                <w:rFonts w:ascii="Arial"/>
                <w:sz w:val="21"/>
              </w:rPr>
            </w:pPr>
          </w:p>
        </w:tc>
        <w:tc>
          <w:tcPr>
            <w:tcW w:w="1352" w:type="dxa"/>
            <w:vAlign w:val="top"/>
          </w:tcPr>
          <w:p w14:paraId="694BEE1D">
            <w:pPr>
              <w:rPr>
                <w:rFonts w:ascii="Arial"/>
                <w:sz w:val="21"/>
              </w:rPr>
            </w:pPr>
          </w:p>
        </w:tc>
        <w:tc>
          <w:tcPr>
            <w:tcW w:w="935" w:type="dxa"/>
            <w:vAlign w:val="top"/>
          </w:tcPr>
          <w:p w14:paraId="6DC5CE0A">
            <w:pPr>
              <w:rPr>
                <w:rFonts w:ascii="Arial"/>
                <w:sz w:val="21"/>
              </w:rPr>
            </w:pPr>
          </w:p>
        </w:tc>
        <w:tc>
          <w:tcPr>
            <w:tcW w:w="860" w:type="dxa"/>
            <w:tcBorders>
              <w:right w:val="single" w:color="000000" w:sz="10" w:space="0"/>
            </w:tcBorders>
            <w:vAlign w:val="top"/>
          </w:tcPr>
          <w:p w14:paraId="5027B06B">
            <w:pPr>
              <w:rPr>
                <w:rFonts w:ascii="Arial"/>
                <w:sz w:val="21"/>
              </w:rPr>
            </w:pPr>
          </w:p>
        </w:tc>
      </w:tr>
      <w:tr w14:paraId="00C3F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279BC296">
            <w:pPr>
              <w:rPr>
                <w:rFonts w:ascii="Arial"/>
                <w:sz w:val="21"/>
              </w:rPr>
            </w:pPr>
          </w:p>
        </w:tc>
        <w:tc>
          <w:tcPr>
            <w:tcW w:w="1296" w:type="dxa"/>
            <w:vAlign w:val="top"/>
          </w:tcPr>
          <w:p w14:paraId="3C51439E">
            <w:pPr>
              <w:rPr>
                <w:rFonts w:ascii="Arial"/>
                <w:sz w:val="21"/>
              </w:rPr>
            </w:pPr>
          </w:p>
        </w:tc>
        <w:tc>
          <w:tcPr>
            <w:tcW w:w="782" w:type="dxa"/>
            <w:vAlign w:val="top"/>
          </w:tcPr>
          <w:p w14:paraId="4711A83C">
            <w:pPr>
              <w:rPr>
                <w:rFonts w:ascii="Arial"/>
                <w:sz w:val="21"/>
              </w:rPr>
            </w:pPr>
          </w:p>
        </w:tc>
        <w:tc>
          <w:tcPr>
            <w:tcW w:w="970" w:type="dxa"/>
            <w:vAlign w:val="top"/>
          </w:tcPr>
          <w:p w14:paraId="56066211">
            <w:pPr>
              <w:rPr>
                <w:rFonts w:ascii="Arial"/>
                <w:sz w:val="21"/>
              </w:rPr>
            </w:pPr>
          </w:p>
        </w:tc>
        <w:tc>
          <w:tcPr>
            <w:tcW w:w="809" w:type="dxa"/>
            <w:vAlign w:val="top"/>
          </w:tcPr>
          <w:p w14:paraId="465AC1CE">
            <w:pPr>
              <w:rPr>
                <w:rFonts w:ascii="Arial"/>
                <w:sz w:val="21"/>
              </w:rPr>
            </w:pPr>
          </w:p>
        </w:tc>
        <w:tc>
          <w:tcPr>
            <w:tcW w:w="935" w:type="dxa"/>
            <w:vAlign w:val="top"/>
          </w:tcPr>
          <w:p w14:paraId="692E0171">
            <w:pPr>
              <w:rPr>
                <w:rFonts w:ascii="Arial"/>
                <w:sz w:val="21"/>
              </w:rPr>
            </w:pPr>
          </w:p>
        </w:tc>
        <w:tc>
          <w:tcPr>
            <w:tcW w:w="1352" w:type="dxa"/>
            <w:vAlign w:val="top"/>
          </w:tcPr>
          <w:p w14:paraId="5A730FFF">
            <w:pPr>
              <w:rPr>
                <w:rFonts w:ascii="Arial"/>
                <w:sz w:val="21"/>
              </w:rPr>
            </w:pPr>
          </w:p>
        </w:tc>
        <w:tc>
          <w:tcPr>
            <w:tcW w:w="935" w:type="dxa"/>
            <w:vAlign w:val="top"/>
          </w:tcPr>
          <w:p w14:paraId="21401476">
            <w:pPr>
              <w:rPr>
                <w:rFonts w:ascii="Arial"/>
                <w:sz w:val="21"/>
              </w:rPr>
            </w:pPr>
          </w:p>
        </w:tc>
        <w:tc>
          <w:tcPr>
            <w:tcW w:w="860" w:type="dxa"/>
            <w:tcBorders>
              <w:right w:val="single" w:color="000000" w:sz="10" w:space="0"/>
            </w:tcBorders>
            <w:vAlign w:val="top"/>
          </w:tcPr>
          <w:p w14:paraId="05F0A88C">
            <w:pPr>
              <w:rPr>
                <w:rFonts w:ascii="Arial"/>
                <w:sz w:val="21"/>
              </w:rPr>
            </w:pPr>
          </w:p>
        </w:tc>
      </w:tr>
      <w:tr w14:paraId="2C607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115439C1">
            <w:pPr>
              <w:rPr>
                <w:rFonts w:ascii="Arial"/>
                <w:sz w:val="21"/>
              </w:rPr>
            </w:pPr>
          </w:p>
        </w:tc>
        <w:tc>
          <w:tcPr>
            <w:tcW w:w="1296" w:type="dxa"/>
            <w:vAlign w:val="top"/>
          </w:tcPr>
          <w:p w14:paraId="1F663371">
            <w:pPr>
              <w:rPr>
                <w:rFonts w:ascii="Arial"/>
                <w:sz w:val="21"/>
              </w:rPr>
            </w:pPr>
          </w:p>
        </w:tc>
        <w:tc>
          <w:tcPr>
            <w:tcW w:w="782" w:type="dxa"/>
            <w:vAlign w:val="top"/>
          </w:tcPr>
          <w:p w14:paraId="429F8BC7">
            <w:pPr>
              <w:rPr>
                <w:rFonts w:ascii="Arial"/>
                <w:sz w:val="21"/>
              </w:rPr>
            </w:pPr>
          </w:p>
        </w:tc>
        <w:tc>
          <w:tcPr>
            <w:tcW w:w="970" w:type="dxa"/>
            <w:vAlign w:val="top"/>
          </w:tcPr>
          <w:p w14:paraId="70286532">
            <w:pPr>
              <w:rPr>
                <w:rFonts w:ascii="Arial"/>
                <w:sz w:val="21"/>
              </w:rPr>
            </w:pPr>
          </w:p>
        </w:tc>
        <w:tc>
          <w:tcPr>
            <w:tcW w:w="809" w:type="dxa"/>
            <w:vAlign w:val="top"/>
          </w:tcPr>
          <w:p w14:paraId="7826DC65">
            <w:pPr>
              <w:rPr>
                <w:rFonts w:ascii="Arial"/>
                <w:sz w:val="21"/>
              </w:rPr>
            </w:pPr>
          </w:p>
        </w:tc>
        <w:tc>
          <w:tcPr>
            <w:tcW w:w="935" w:type="dxa"/>
            <w:vAlign w:val="top"/>
          </w:tcPr>
          <w:p w14:paraId="3F8F9FD0">
            <w:pPr>
              <w:rPr>
                <w:rFonts w:ascii="Arial"/>
                <w:sz w:val="21"/>
              </w:rPr>
            </w:pPr>
          </w:p>
        </w:tc>
        <w:tc>
          <w:tcPr>
            <w:tcW w:w="1352" w:type="dxa"/>
            <w:vAlign w:val="top"/>
          </w:tcPr>
          <w:p w14:paraId="797F74BB">
            <w:pPr>
              <w:rPr>
                <w:rFonts w:ascii="Arial"/>
                <w:sz w:val="21"/>
              </w:rPr>
            </w:pPr>
          </w:p>
        </w:tc>
        <w:tc>
          <w:tcPr>
            <w:tcW w:w="935" w:type="dxa"/>
            <w:vAlign w:val="top"/>
          </w:tcPr>
          <w:p w14:paraId="293F3863">
            <w:pPr>
              <w:rPr>
                <w:rFonts w:ascii="Arial"/>
                <w:sz w:val="21"/>
              </w:rPr>
            </w:pPr>
          </w:p>
        </w:tc>
        <w:tc>
          <w:tcPr>
            <w:tcW w:w="860" w:type="dxa"/>
            <w:tcBorders>
              <w:right w:val="single" w:color="000000" w:sz="10" w:space="0"/>
            </w:tcBorders>
            <w:vAlign w:val="top"/>
          </w:tcPr>
          <w:p w14:paraId="577512ED">
            <w:pPr>
              <w:rPr>
                <w:rFonts w:ascii="Arial"/>
                <w:sz w:val="21"/>
              </w:rPr>
            </w:pPr>
          </w:p>
        </w:tc>
      </w:tr>
      <w:tr w14:paraId="6462B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0D950A51">
            <w:pPr>
              <w:rPr>
                <w:rFonts w:ascii="Arial"/>
                <w:sz w:val="21"/>
              </w:rPr>
            </w:pPr>
          </w:p>
        </w:tc>
        <w:tc>
          <w:tcPr>
            <w:tcW w:w="1296" w:type="dxa"/>
            <w:vAlign w:val="top"/>
          </w:tcPr>
          <w:p w14:paraId="192E6844">
            <w:pPr>
              <w:rPr>
                <w:rFonts w:ascii="Arial"/>
                <w:sz w:val="21"/>
              </w:rPr>
            </w:pPr>
          </w:p>
        </w:tc>
        <w:tc>
          <w:tcPr>
            <w:tcW w:w="782" w:type="dxa"/>
            <w:vAlign w:val="top"/>
          </w:tcPr>
          <w:p w14:paraId="72E5DE35">
            <w:pPr>
              <w:rPr>
                <w:rFonts w:ascii="Arial"/>
                <w:sz w:val="21"/>
              </w:rPr>
            </w:pPr>
          </w:p>
        </w:tc>
        <w:tc>
          <w:tcPr>
            <w:tcW w:w="970" w:type="dxa"/>
            <w:vAlign w:val="top"/>
          </w:tcPr>
          <w:p w14:paraId="0756DDAA">
            <w:pPr>
              <w:rPr>
                <w:rFonts w:ascii="Arial"/>
                <w:sz w:val="21"/>
              </w:rPr>
            </w:pPr>
          </w:p>
        </w:tc>
        <w:tc>
          <w:tcPr>
            <w:tcW w:w="809" w:type="dxa"/>
            <w:vAlign w:val="top"/>
          </w:tcPr>
          <w:p w14:paraId="53B7E6A5">
            <w:pPr>
              <w:rPr>
                <w:rFonts w:ascii="Arial"/>
                <w:sz w:val="21"/>
              </w:rPr>
            </w:pPr>
          </w:p>
        </w:tc>
        <w:tc>
          <w:tcPr>
            <w:tcW w:w="935" w:type="dxa"/>
            <w:vAlign w:val="top"/>
          </w:tcPr>
          <w:p w14:paraId="323FB56D">
            <w:pPr>
              <w:rPr>
                <w:rFonts w:ascii="Arial"/>
                <w:sz w:val="21"/>
              </w:rPr>
            </w:pPr>
          </w:p>
        </w:tc>
        <w:tc>
          <w:tcPr>
            <w:tcW w:w="1352" w:type="dxa"/>
            <w:vAlign w:val="top"/>
          </w:tcPr>
          <w:p w14:paraId="631B81B5">
            <w:pPr>
              <w:rPr>
                <w:rFonts w:ascii="Arial"/>
                <w:sz w:val="21"/>
              </w:rPr>
            </w:pPr>
          </w:p>
        </w:tc>
        <w:tc>
          <w:tcPr>
            <w:tcW w:w="935" w:type="dxa"/>
            <w:vAlign w:val="top"/>
          </w:tcPr>
          <w:p w14:paraId="6518B3D3">
            <w:pPr>
              <w:rPr>
                <w:rFonts w:ascii="Arial"/>
                <w:sz w:val="21"/>
              </w:rPr>
            </w:pPr>
          </w:p>
        </w:tc>
        <w:tc>
          <w:tcPr>
            <w:tcW w:w="860" w:type="dxa"/>
            <w:tcBorders>
              <w:right w:val="single" w:color="000000" w:sz="10" w:space="0"/>
            </w:tcBorders>
            <w:vAlign w:val="top"/>
          </w:tcPr>
          <w:p w14:paraId="5C9318C5">
            <w:pPr>
              <w:rPr>
                <w:rFonts w:ascii="Arial"/>
                <w:sz w:val="21"/>
              </w:rPr>
            </w:pPr>
          </w:p>
        </w:tc>
      </w:tr>
      <w:tr w14:paraId="75436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3535E89C">
            <w:pPr>
              <w:rPr>
                <w:rFonts w:ascii="Arial"/>
                <w:sz w:val="21"/>
              </w:rPr>
            </w:pPr>
          </w:p>
        </w:tc>
        <w:tc>
          <w:tcPr>
            <w:tcW w:w="1296" w:type="dxa"/>
            <w:vAlign w:val="top"/>
          </w:tcPr>
          <w:p w14:paraId="1386E43A">
            <w:pPr>
              <w:rPr>
                <w:rFonts w:ascii="Arial"/>
                <w:sz w:val="21"/>
              </w:rPr>
            </w:pPr>
          </w:p>
        </w:tc>
        <w:tc>
          <w:tcPr>
            <w:tcW w:w="782" w:type="dxa"/>
            <w:vAlign w:val="top"/>
          </w:tcPr>
          <w:p w14:paraId="450369DF">
            <w:pPr>
              <w:rPr>
                <w:rFonts w:ascii="Arial"/>
                <w:sz w:val="21"/>
              </w:rPr>
            </w:pPr>
          </w:p>
        </w:tc>
        <w:tc>
          <w:tcPr>
            <w:tcW w:w="970" w:type="dxa"/>
            <w:vAlign w:val="top"/>
          </w:tcPr>
          <w:p w14:paraId="188C79C1">
            <w:pPr>
              <w:rPr>
                <w:rFonts w:ascii="Arial"/>
                <w:sz w:val="21"/>
              </w:rPr>
            </w:pPr>
          </w:p>
        </w:tc>
        <w:tc>
          <w:tcPr>
            <w:tcW w:w="809" w:type="dxa"/>
            <w:vAlign w:val="top"/>
          </w:tcPr>
          <w:p w14:paraId="2CF71A6F">
            <w:pPr>
              <w:rPr>
                <w:rFonts w:ascii="Arial"/>
                <w:sz w:val="21"/>
              </w:rPr>
            </w:pPr>
          </w:p>
        </w:tc>
        <w:tc>
          <w:tcPr>
            <w:tcW w:w="935" w:type="dxa"/>
            <w:vAlign w:val="top"/>
          </w:tcPr>
          <w:p w14:paraId="3301F3BC">
            <w:pPr>
              <w:rPr>
                <w:rFonts w:ascii="Arial"/>
                <w:sz w:val="21"/>
              </w:rPr>
            </w:pPr>
          </w:p>
        </w:tc>
        <w:tc>
          <w:tcPr>
            <w:tcW w:w="1352" w:type="dxa"/>
            <w:vAlign w:val="top"/>
          </w:tcPr>
          <w:p w14:paraId="583917C3">
            <w:pPr>
              <w:rPr>
                <w:rFonts w:ascii="Arial"/>
                <w:sz w:val="21"/>
              </w:rPr>
            </w:pPr>
          </w:p>
        </w:tc>
        <w:tc>
          <w:tcPr>
            <w:tcW w:w="935" w:type="dxa"/>
            <w:vAlign w:val="top"/>
          </w:tcPr>
          <w:p w14:paraId="7D6538B5">
            <w:pPr>
              <w:rPr>
                <w:rFonts w:ascii="Arial"/>
                <w:sz w:val="21"/>
              </w:rPr>
            </w:pPr>
          </w:p>
        </w:tc>
        <w:tc>
          <w:tcPr>
            <w:tcW w:w="860" w:type="dxa"/>
            <w:tcBorders>
              <w:right w:val="single" w:color="000000" w:sz="10" w:space="0"/>
            </w:tcBorders>
            <w:vAlign w:val="top"/>
          </w:tcPr>
          <w:p w14:paraId="085978A5">
            <w:pPr>
              <w:rPr>
                <w:rFonts w:ascii="Arial"/>
                <w:sz w:val="21"/>
              </w:rPr>
            </w:pPr>
          </w:p>
        </w:tc>
      </w:tr>
      <w:tr w14:paraId="30A976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6850AB48">
            <w:pPr>
              <w:rPr>
                <w:rFonts w:ascii="Arial"/>
                <w:sz w:val="21"/>
              </w:rPr>
            </w:pPr>
          </w:p>
        </w:tc>
        <w:tc>
          <w:tcPr>
            <w:tcW w:w="1296" w:type="dxa"/>
            <w:vAlign w:val="top"/>
          </w:tcPr>
          <w:p w14:paraId="48A0AC99">
            <w:pPr>
              <w:rPr>
                <w:rFonts w:ascii="Arial"/>
                <w:sz w:val="21"/>
              </w:rPr>
            </w:pPr>
          </w:p>
        </w:tc>
        <w:tc>
          <w:tcPr>
            <w:tcW w:w="782" w:type="dxa"/>
            <w:vAlign w:val="top"/>
          </w:tcPr>
          <w:p w14:paraId="4828E86D">
            <w:pPr>
              <w:rPr>
                <w:rFonts w:ascii="Arial"/>
                <w:sz w:val="21"/>
              </w:rPr>
            </w:pPr>
          </w:p>
        </w:tc>
        <w:tc>
          <w:tcPr>
            <w:tcW w:w="970" w:type="dxa"/>
            <w:vAlign w:val="top"/>
          </w:tcPr>
          <w:p w14:paraId="642D6613">
            <w:pPr>
              <w:rPr>
                <w:rFonts w:ascii="Arial"/>
                <w:sz w:val="21"/>
              </w:rPr>
            </w:pPr>
          </w:p>
        </w:tc>
        <w:tc>
          <w:tcPr>
            <w:tcW w:w="809" w:type="dxa"/>
            <w:vAlign w:val="top"/>
          </w:tcPr>
          <w:p w14:paraId="60BD269C">
            <w:pPr>
              <w:rPr>
                <w:rFonts w:ascii="Arial"/>
                <w:sz w:val="21"/>
              </w:rPr>
            </w:pPr>
          </w:p>
        </w:tc>
        <w:tc>
          <w:tcPr>
            <w:tcW w:w="935" w:type="dxa"/>
            <w:vAlign w:val="top"/>
          </w:tcPr>
          <w:p w14:paraId="13D870ED">
            <w:pPr>
              <w:rPr>
                <w:rFonts w:ascii="Arial"/>
                <w:sz w:val="21"/>
              </w:rPr>
            </w:pPr>
          </w:p>
        </w:tc>
        <w:tc>
          <w:tcPr>
            <w:tcW w:w="1352" w:type="dxa"/>
            <w:vAlign w:val="top"/>
          </w:tcPr>
          <w:p w14:paraId="0E93AA99">
            <w:pPr>
              <w:rPr>
                <w:rFonts w:ascii="Arial"/>
                <w:sz w:val="21"/>
              </w:rPr>
            </w:pPr>
          </w:p>
        </w:tc>
        <w:tc>
          <w:tcPr>
            <w:tcW w:w="935" w:type="dxa"/>
            <w:vAlign w:val="top"/>
          </w:tcPr>
          <w:p w14:paraId="431BFB3B">
            <w:pPr>
              <w:rPr>
                <w:rFonts w:ascii="Arial"/>
                <w:sz w:val="21"/>
              </w:rPr>
            </w:pPr>
          </w:p>
        </w:tc>
        <w:tc>
          <w:tcPr>
            <w:tcW w:w="860" w:type="dxa"/>
            <w:tcBorders>
              <w:right w:val="single" w:color="000000" w:sz="10" w:space="0"/>
            </w:tcBorders>
            <w:vAlign w:val="top"/>
          </w:tcPr>
          <w:p w14:paraId="3B2ED162">
            <w:pPr>
              <w:rPr>
                <w:rFonts w:ascii="Arial"/>
                <w:sz w:val="21"/>
              </w:rPr>
            </w:pPr>
          </w:p>
        </w:tc>
      </w:tr>
      <w:tr w14:paraId="64171A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5CE3B54C">
            <w:pPr>
              <w:rPr>
                <w:rFonts w:ascii="Arial"/>
                <w:sz w:val="21"/>
              </w:rPr>
            </w:pPr>
          </w:p>
        </w:tc>
        <w:tc>
          <w:tcPr>
            <w:tcW w:w="1296" w:type="dxa"/>
            <w:vAlign w:val="top"/>
          </w:tcPr>
          <w:p w14:paraId="7CD19D29">
            <w:pPr>
              <w:rPr>
                <w:rFonts w:ascii="Arial"/>
                <w:sz w:val="21"/>
              </w:rPr>
            </w:pPr>
          </w:p>
        </w:tc>
        <w:tc>
          <w:tcPr>
            <w:tcW w:w="782" w:type="dxa"/>
            <w:vAlign w:val="top"/>
          </w:tcPr>
          <w:p w14:paraId="7603E982">
            <w:pPr>
              <w:rPr>
                <w:rFonts w:ascii="Arial"/>
                <w:sz w:val="21"/>
              </w:rPr>
            </w:pPr>
          </w:p>
        </w:tc>
        <w:tc>
          <w:tcPr>
            <w:tcW w:w="970" w:type="dxa"/>
            <w:vAlign w:val="top"/>
          </w:tcPr>
          <w:p w14:paraId="7F27AE33">
            <w:pPr>
              <w:rPr>
                <w:rFonts w:ascii="Arial"/>
                <w:sz w:val="21"/>
              </w:rPr>
            </w:pPr>
          </w:p>
        </w:tc>
        <w:tc>
          <w:tcPr>
            <w:tcW w:w="809" w:type="dxa"/>
            <w:vAlign w:val="top"/>
          </w:tcPr>
          <w:p w14:paraId="5E432312">
            <w:pPr>
              <w:rPr>
                <w:rFonts w:ascii="Arial"/>
                <w:sz w:val="21"/>
              </w:rPr>
            </w:pPr>
          </w:p>
        </w:tc>
        <w:tc>
          <w:tcPr>
            <w:tcW w:w="935" w:type="dxa"/>
            <w:vAlign w:val="top"/>
          </w:tcPr>
          <w:p w14:paraId="13FBEF96">
            <w:pPr>
              <w:rPr>
                <w:rFonts w:ascii="Arial"/>
                <w:sz w:val="21"/>
              </w:rPr>
            </w:pPr>
          </w:p>
        </w:tc>
        <w:tc>
          <w:tcPr>
            <w:tcW w:w="1352" w:type="dxa"/>
            <w:vAlign w:val="top"/>
          </w:tcPr>
          <w:p w14:paraId="3C45A577">
            <w:pPr>
              <w:rPr>
                <w:rFonts w:ascii="Arial"/>
                <w:sz w:val="21"/>
              </w:rPr>
            </w:pPr>
          </w:p>
        </w:tc>
        <w:tc>
          <w:tcPr>
            <w:tcW w:w="935" w:type="dxa"/>
            <w:vAlign w:val="top"/>
          </w:tcPr>
          <w:p w14:paraId="578A1B04">
            <w:pPr>
              <w:rPr>
                <w:rFonts w:ascii="Arial"/>
                <w:sz w:val="21"/>
              </w:rPr>
            </w:pPr>
          </w:p>
        </w:tc>
        <w:tc>
          <w:tcPr>
            <w:tcW w:w="860" w:type="dxa"/>
            <w:tcBorders>
              <w:right w:val="single" w:color="000000" w:sz="10" w:space="0"/>
            </w:tcBorders>
            <w:vAlign w:val="top"/>
          </w:tcPr>
          <w:p w14:paraId="208C4F97">
            <w:pPr>
              <w:rPr>
                <w:rFonts w:ascii="Arial"/>
                <w:sz w:val="21"/>
              </w:rPr>
            </w:pPr>
          </w:p>
        </w:tc>
      </w:tr>
      <w:tr w14:paraId="4EE21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50DC59E0">
            <w:pPr>
              <w:rPr>
                <w:rFonts w:ascii="Arial"/>
                <w:sz w:val="21"/>
              </w:rPr>
            </w:pPr>
          </w:p>
        </w:tc>
        <w:tc>
          <w:tcPr>
            <w:tcW w:w="1296" w:type="dxa"/>
            <w:vAlign w:val="top"/>
          </w:tcPr>
          <w:p w14:paraId="2081402C">
            <w:pPr>
              <w:rPr>
                <w:rFonts w:ascii="Arial"/>
                <w:sz w:val="21"/>
              </w:rPr>
            </w:pPr>
          </w:p>
        </w:tc>
        <w:tc>
          <w:tcPr>
            <w:tcW w:w="782" w:type="dxa"/>
            <w:vAlign w:val="top"/>
          </w:tcPr>
          <w:p w14:paraId="567A841C">
            <w:pPr>
              <w:rPr>
                <w:rFonts w:ascii="Arial"/>
                <w:sz w:val="21"/>
              </w:rPr>
            </w:pPr>
          </w:p>
        </w:tc>
        <w:tc>
          <w:tcPr>
            <w:tcW w:w="970" w:type="dxa"/>
            <w:vAlign w:val="top"/>
          </w:tcPr>
          <w:p w14:paraId="3860BE7A">
            <w:pPr>
              <w:rPr>
                <w:rFonts w:ascii="Arial"/>
                <w:sz w:val="21"/>
              </w:rPr>
            </w:pPr>
          </w:p>
        </w:tc>
        <w:tc>
          <w:tcPr>
            <w:tcW w:w="809" w:type="dxa"/>
            <w:vAlign w:val="top"/>
          </w:tcPr>
          <w:p w14:paraId="0767C9AC">
            <w:pPr>
              <w:rPr>
                <w:rFonts w:ascii="Arial"/>
                <w:sz w:val="21"/>
              </w:rPr>
            </w:pPr>
          </w:p>
        </w:tc>
        <w:tc>
          <w:tcPr>
            <w:tcW w:w="935" w:type="dxa"/>
            <w:vAlign w:val="top"/>
          </w:tcPr>
          <w:p w14:paraId="14CB11FE">
            <w:pPr>
              <w:rPr>
                <w:rFonts w:ascii="Arial"/>
                <w:sz w:val="21"/>
              </w:rPr>
            </w:pPr>
          </w:p>
        </w:tc>
        <w:tc>
          <w:tcPr>
            <w:tcW w:w="1352" w:type="dxa"/>
            <w:vAlign w:val="top"/>
          </w:tcPr>
          <w:p w14:paraId="296FEDFA">
            <w:pPr>
              <w:rPr>
                <w:rFonts w:ascii="Arial"/>
                <w:sz w:val="21"/>
              </w:rPr>
            </w:pPr>
          </w:p>
        </w:tc>
        <w:tc>
          <w:tcPr>
            <w:tcW w:w="935" w:type="dxa"/>
            <w:vAlign w:val="top"/>
          </w:tcPr>
          <w:p w14:paraId="052CC3E3">
            <w:pPr>
              <w:rPr>
                <w:rFonts w:ascii="Arial"/>
                <w:sz w:val="21"/>
              </w:rPr>
            </w:pPr>
          </w:p>
        </w:tc>
        <w:tc>
          <w:tcPr>
            <w:tcW w:w="860" w:type="dxa"/>
            <w:tcBorders>
              <w:right w:val="single" w:color="000000" w:sz="10" w:space="0"/>
            </w:tcBorders>
            <w:vAlign w:val="top"/>
          </w:tcPr>
          <w:p w14:paraId="04F72E71">
            <w:pPr>
              <w:rPr>
                <w:rFonts w:ascii="Arial"/>
                <w:sz w:val="21"/>
              </w:rPr>
            </w:pPr>
          </w:p>
        </w:tc>
      </w:tr>
      <w:tr w14:paraId="6506F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079" w:type="dxa"/>
            <w:tcBorders>
              <w:left w:val="single" w:color="000000" w:sz="10" w:space="0"/>
            </w:tcBorders>
            <w:vAlign w:val="top"/>
          </w:tcPr>
          <w:p w14:paraId="29BE82D8">
            <w:pPr>
              <w:rPr>
                <w:rFonts w:ascii="Arial"/>
                <w:sz w:val="21"/>
              </w:rPr>
            </w:pPr>
          </w:p>
        </w:tc>
        <w:tc>
          <w:tcPr>
            <w:tcW w:w="1296" w:type="dxa"/>
            <w:vAlign w:val="top"/>
          </w:tcPr>
          <w:p w14:paraId="0C140E7C">
            <w:pPr>
              <w:rPr>
                <w:rFonts w:ascii="Arial"/>
                <w:sz w:val="21"/>
              </w:rPr>
            </w:pPr>
          </w:p>
        </w:tc>
        <w:tc>
          <w:tcPr>
            <w:tcW w:w="782" w:type="dxa"/>
            <w:vAlign w:val="top"/>
          </w:tcPr>
          <w:p w14:paraId="65DFDCD4">
            <w:pPr>
              <w:rPr>
                <w:rFonts w:ascii="Arial"/>
                <w:sz w:val="21"/>
              </w:rPr>
            </w:pPr>
          </w:p>
        </w:tc>
        <w:tc>
          <w:tcPr>
            <w:tcW w:w="970" w:type="dxa"/>
            <w:vAlign w:val="top"/>
          </w:tcPr>
          <w:p w14:paraId="6FF7B9B4">
            <w:pPr>
              <w:rPr>
                <w:rFonts w:ascii="Arial"/>
                <w:sz w:val="21"/>
              </w:rPr>
            </w:pPr>
          </w:p>
        </w:tc>
        <w:tc>
          <w:tcPr>
            <w:tcW w:w="809" w:type="dxa"/>
            <w:vAlign w:val="top"/>
          </w:tcPr>
          <w:p w14:paraId="358A4CF4">
            <w:pPr>
              <w:rPr>
                <w:rFonts w:ascii="Arial"/>
                <w:sz w:val="21"/>
              </w:rPr>
            </w:pPr>
          </w:p>
        </w:tc>
        <w:tc>
          <w:tcPr>
            <w:tcW w:w="935" w:type="dxa"/>
            <w:vAlign w:val="top"/>
          </w:tcPr>
          <w:p w14:paraId="515B50BA">
            <w:pPr>
              <w:rPr>
                <w:rFonts w:ascii="Arial"/>
                <w:sz w:val="21"/>
              </w:rPr>
            </w:pPr>
          </w:p>
        </w:tc>
        <w:tc>
          <w:tcPr>
            <w:tcW w:w="1352" w:type="dxa"/>
            <w:vAlign w:val="top"/>
          </w:tcPr>
          <w:p w14:paraId="4C0DDF02">
            <w:pPr>
              <w:rPr>
                <w:rFonts w:ascii="Arial"/>
                <w:sz w:val="21"/>
              </w:rPr>
            </w:pPr>
          </w:p>
        </w:tc>
        <w:tc>
          <w:tcPr>
            <w:tcW w:w="935" w:type="dxa"/>
            <w:vAlign w:val="top"/>
          </w:tcPr>
          <w:p w14:paraId="4B929B90">
            <w:pPr>
              <w:rPr>
                <w:rFonts w:ascii="Arial"/>
                <w:sz w:val="21"/>
              </w:rPr>
            </w:pPr>
          </w:p>
        </w:tc>
        <w:tc>
          <w:tcPr>
            <w:tcW w:w="860" w:type="dxa"/>
            <w:tcBorders>
              <w:right w:val="single" w:color="000000" w:sz="10" w:space="0"/>
            </w:tcBorders>
            <w:vAlign w:val="top"/>
          </w:tcPr>
          <w:p w14:paraId="2B2D0D81">
            <w:pPr>
              <w:rPr>
                <w:rFonts w:ascii="Arial"/>
                <w:sz w:val="21"/>
              </w:rPr>
            </w:pPr>
          </w:p>
        </w:tc>
      </w:tr>
      <w:tr w14:paraId="48F3A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6A475F79">
            <w:pPr>
              <w:rPr>
                <w:rFonts w:ascii="Arial"/>
                <w:sz w:val="21"/>
              </w:rPr>
            </w:pPr>
          </w:p>
        </w:tc>
        <w:tc>
          <w:tcPr>
            <w:tcW w:w="1296" w:type="dxa"/>
            <w:vAlign w:val="top"/>
          </w:tcPr>
          <w:p w14:paraId="70E124DF">
            <w:pPr>
              <w:rPr>
                <w:rFonts w:ascii="Arial"/>
                <w:sz w:val="21"/>
              </w:rPr>
            </w:pPr>
          </w:p>
        </w:tc>
        <w:tc>
          <w:tcPr>
            <w:tcW w:w="782" w:type="dxa"/>
            <w:vAlign w:val="top"/>
          </w:tcPr>
          <w:p w14:paraId="4FC24E4C">
            <w:pPr>
              <w:rPr>
                <w:rFonts w:ascii="Arial"/>
                <w:sz w:val="21"/>
              </w:rPr>
            </w:pPr>
          </w:p>
        </w:tc>
        <w:tc>
          <w:tcPr>
            <w:tcW w:w="970" w:type="dxa"/>
            <w:vAlign w:val="top"/>
          </w:tcPr>
          <w:p w14:paraId="0EF38FF7">
            <w:pPr>
              <w:rPr>
                <w:rFonts w:ascii="Arial"/>
                <w:sz w:val="21"/>
              </w:rPr>
            </w:pPr>
          </w:p>
        </w:tc>
        <w:tc>
          <w:tcPr>
            <w:tcW w:w="809" w:type="dxa"/>
            <w:vAlign w:val="top"/>
          </w:tcPr>
          <w:p w14:paraId="0E47BFC1">
            <w:pPr>
              <w:rPr>
                <w:rFonts w:ascii="Arial"/>
                <w:sz w:val="21"/>
              </w:rPr>
            </w:pPr>
          </w:p>
        </w:tc>
        <w:tc>
          <w:tcPr>
            <w:tcW w:w="935" w:type="dxa"/>
            <w:vAlign w:val="top"/>
          </w:tcPr>
          <w:p w14:paraId="7C546C8C">
            <w:pPr>
              <w:rPr>
                <w:rFonts w:ascii="Arial"/>
                <w:sz w:val="21"/>
              </w:rPr>
            </w:pPr>
          </w:p>
        </w:tc>
        <w:tc>
          <w:tcPr>
            <w:tcW w:w="1352" w:type="dxa"/>
            <w:vAlign w:val="top"/>
          </w:tcPr>
          <w:p w14:paraId="6BA6095A">
            <w:pPr>
              <w:rPr>
                <w:rFonts w:ascii="Arial"/>
                <w:sz w:val="21"/>
              </w:rPr>
            </w:pPr>
          </w:p>
        </w:tc>
        <w:tc>
          <w:tcPr>
            <w:tcW w:w="935" w:type="dxa"/>
            <w:vAlign w:val="top"/>
          </w:tcPr>
          <w:p w14:paraId="34FDBB05">
            <w:pPr>
              <w:rPr>
                <w:rFonts w:ascii="Arial"/>
                <w:sz w:val="21"/>
              </w:rPr>
            </w:pPr>
          </w:p>
        </w:tc>
        <w:tc>
          <w:tcPr>
            <w:tcW w:w="860" w:type="dxa"/>
            <w:tcBorders>
              <w:right w:val="single" w:color="000000" w:sz="10" w:space="0"/>
            </w:tcBorders>
            <w:vAlign w:val="top"/>
          </w:tcPr>
          <w:p w14:paraId="654797AF">
            <w:pPr>
              <w:rPr>
                <w:rFonts w:ascii="Arial"/>
                <w:sz w:val="21"/>
              </w:rPr>
            </w:pPr>
          </w:p>
        </w:tc>
      </w:tr>
      <w:tr w14:paraId="4E211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079" w:type="dxa"/>
            <w:tcBorders>
              <w:left w:val="single" w:color="000000" w:sz="10" w:space="0"/>
              <w:bottom w:val="single" w:color="000000" w:sz="10" w:space="0"/>
            </w:tcBorders>
            <w:vAlign w:val="top"/>
          </w:tcPr>
          <w:p w14:paraId="77E7519B">
            <w:pPr>
              <w:rPr>
                <w:rFonts w:ascii="Arial"/>
                <w:sz w:val="21"/>
              </w:rPr>
            </w:pPr>
          </w:p>
        </w:tc>
        <w:tc>
          <w:tcPr>
            <w:tcW w:w="1296" w:type="dxa"/>
            <w:tcBorders>
              <w:bottom w:val="single" w:color="000000" w:sz="10" w:space="0"/>
            </w:tcBorders>
            <w:vAlign w:val="top"/>
          </w:tcPr>
          <w:p w14:paraId="2575F804">
            <w:pPr>
              <w:rPr>
                <w:rFonts w:ascii="Arial"/>
                <w:sz w:val="21"/>
              </w:rPr>
            </w:pPr>
          </w:p>
        </w:tc>
        <w:tc>
          <w:tcPr>
            <w:tcW w:w="782" w:type="dxa"/>
            <w:tcBorders>
              <w:bottom w:val="single" w:color="000000" w:sz="10" w:space="0"/>
            </w:tcBorders>
            <w:vAlign w:val="top"/>
          </w:tcPr>
          <w:p w14:paraId="3F530B03">
            <w:pPr>
              <w:rPr>
                <w:rFonts w:ascii="Arial"/>
                <w:sz w:val="21"/>
              </w:rPr>
            </w:pPr>
          </w:p>
        </w:tc>
        <w:tc>
          <w:tcPr>
            <w:tcW w:w="970" w:type="dxa"/>
            <w:tcBorders>
              <w:bottom w:val="single" w:color="000000" w:sz="10" w:space="0"/>
            </w:tcBorders>
            <w:vAlign w:val="top"/>
          </w:tcPr>
          <w:p w14:paraId="11B63B37">
            <w:pPr>
              <w:rPr>
                <w:rFonts w:ascii="Arial"/>
                <w:sz w:val="21"/>
              </w:rPr>
            </w:pPr>
          </w:p>
        </w:tc>
        <w:tc>
          <w:tcPr>
            <w:tcW w:w="809" w:type="dxa"/>
            <w:tcBorders>
              <w:bottom w:val="single" w:color="000000" w:sz="10" w:space="0"/>
            </w:tcBorders>
            <w:vAlign w:val="top"/>
          </w:tcPr>
          <w:p w14:paraId="43241DF1">
            <w:pPr>
              <w:rPr>
                <w:rFonts w:ascii="Arial"/>
                <w:sz w:val="21"/>
              </w:rPr>
            </w:pPr>
          </w:p>
        </w:tc>
        <w:tc>
          <w:tcPr>
            <w:tcW w:w="935" w:type="dxa"/>
            <w:tcBorders>
              <w:bottom w:val="single" w:color="000000" w:sz="10" w:space="0"/>
            </w:tcBorders>
            <w:vAlign w:val="top"/>
          </w:tcPr>
          <w:p w14:paraId="4B2BF2BD">
            <w:pPr>
              <w:rPr>
                <w:rFonts w:ascii="Arial"/>
                <w:sz w:val="21"/>
              </w:rPr>
            </w:pPr>
          </w:p>
        </w:tc>
        <w:tc>
          <w:tcPr>
            <w:tcW w:w="1352" w:type="dxa"/>
            <w:tcBorders>
              <w:bottom w:val="single" w:color="000000" w:sz="10" w:space="0"/>
            </w:tcBorders>
            <w:vAlign w:val="top"/>
          </w:tcPr>
          <w:p w14:paraId="358C2D96">
            <w:pPr>
              <w:rPr>
                <w:rFonts w:ascii="Arial"/>
                <w:sz w:val="21"/>
              </w:rPr>
            </w:pPr>
          </w:p>
        </w:tc>
        <w:tc>
          <w:tcPr>
            <w:tcW w:w="935" w:type="dxa"/>
            <w:tcBorders>
              <w:bottom w:val="single" w:color="000000" w:sz="10" w:space="0"/>
            </w:tcBorders>
            <w:vAlign w:val="top"/>
          </w:tcPr>
          <w:p w14:paraId="7F4A9E9B">
            <w:pPr>
              <w:rPr>
                <w:rFonts w:ascii="Arial"/>
                <w:sz w:val="21"/>
              </w:rPr>
            </w:pPr>
          </w:p>
        </w:tc>
        <w:tc>
          <w:tcPr>
            <w:tcW w:w="860" w:type="dxa"/>
            <w:tcBorders>
              <w:bottom w:val="single" w:color="000000" w:sz="10" w:space="0"/>
              <w:right w:val="single" w:color="000000" w:sz="10" w:space="0"/>
            </w:tcBorders>
            <w:vAlign w:val="top"/>
          </w:tcPr>
          <w:p w14:paraId="64BE3B2F">
            <w:pPr>
              <w:rPr>
                <w:rFonts w:ascii="Arial"/>
                <w:sz w:val="21"/>
              </w:rPr>
            </w:pPr>
          </w:p>
        </w:tc>
      </w:tr>
    </w:tbl>
    <w:p w14:paraId="1CEC0E38">
      <w:pPr>
        <w:rPr>
          <w:rFonts w:ascii="Arial"/>
          <w:sz w:val="21"/>
        </w:rPr>
      </w:pPr>
    </w:p>
    <w:p w14:paraId="0AF05BD3">
      <w:pPr>
        <w:rPr>
          <w:rFonts w:ascii="Arial" w:hAnsi="Arial" w:eastAsia="Arial" w:cs="Arial"/>
          <w:sz w:val="21"/>
          <w:szCs w:val="21"/>
        </w:rPr>
        <w:sectPr>
          <w:footerReference r:id="rId427" w:type="default"/>
          <w:pgSz w:w="11907" w:h="16840"/>
          <w:pgMar w:top="400" w:right="1460" w:bottom="1105" w:left="1402" w:header="0" w:footer="943" w:gutter="0"/>
          <w:cols w:space="720" w:num="1"/>
        </w:sectPr>
      </w:pPr>
    </w:p>
    <w:p w14:paraId="5CB15CF8">
      <w:pPr>
        <w:spacing w:line="248" w:lineRule="auto"/>
        <w:rPr>
          <w:rFonts w:ascii="Arial"/>
          <w:sz w:val="21"/>
        </w:rPr>
      </w:pPr>
    </w:p>
    <w:p w14:paraId="4EC36601">
      <w:pPr>
        <w:spacing w:line="248" w:lineRule="auto"/>
        <w:rPr>
          <w:rFonts w:ascii="Arial"/>
          <w:sz w:val="21"/>
        </w:rPr>
      </w:pPr>
    </w:p>
    <w:p w14:paraId="79B19CEC">
      <w:pPr>
        <w:spacing w:line="249" w:lineRule="auto"/>
        <w:rPr>
          <w:rFonts w:ascii="Arial"/>
          <w:sz w:val="21"/>
        </w:rPr>
      </w:pPr>
    </w:p>
    <w:p w14:paraId="64B36D7B">
      <w:pPr>
        <w:spacing w:line="249" w:lineRule="auto"/>
        <w:rPr>
          <w:rFonts w:ascii="Arial"/>
          <w:sz w:val="21"/>
        </w:rPr>
      </w:pPr>
    </w:p>
    <w:p w14:paraId="58BAB2A3">
      <w:pPr>
        <w:spacing w:line="249" w:lineRule="auto"/>
        <w:rPr>
          <w:rFonts w:ascii="Arial"/>
          <w:sz w:val="21"/>
        </w:rPr>
      </w:pPr>
    </w:p>
    <w:p w14:paraId="2685EB3C">
      <w:pPr>
        <w:pStyle w:val="2"/>
        <w:spacing w:before="91" w:line="225" w:lineRule="auto"/>
        <w:ind w:left="7"/>
        <w:rPr>
          <w:sz w:val="28"/>
          <w:szCs w:val="28"/>
        </w:rPr>
      </w:pPr>
      <w:r>
        <w:rPr>
          <w:spacing w:val="-10"/>
          <w:sz w:val="28"/>
          <w:szCs w:val="28"/>
        </w:rPr>
        <w:t>附件</w:t>
      </w:r>
      <w:r>
        <w:rPr>
          <w:spacing w:val="-56"/>
          <w:sz w:val="28"/>
          <w:szCs w:val="28"/>
        </w:rPr>
        <w:t xml:space="preserve"> </w:t>
      </w:r>
      <w:r>
        <w:rPr>
          <w:rFonts w:ascii="Times New Roman" w:hAnsi="Times New Roman" w:eastAsia="Times New Roman" w:cs="Times New Roman"/>
          <w:spacing w:val="-10"/>
          <w:sz w:val="28"/>
          <w:szCs w:val="28"/>
        </w:rPr>
        <w:t>6</w:t>
      </w:r>
      <w:r>
        <w:rPr>
          <w:spacing w:val="-10"/>
          <w:sz w:val="28"/>
          <w:szCs w:val="28"/>
        </w:rPr>
        <w:t>：</w:t>
      </w:r>
    </w:p>
    <w:p w14:paraId="44395114">
      <w:pPr>
        <w:spacing w:line="241" w:lineRule="auto"/>
        <w:rPr>
          <w:rFonts w:ascii="Arial"/>
          <w:sz w:val="21"/>
        </w:rPr>
      </w:pPr>
    </w:p>
    <w:p w14:paraId="6D80096E">
      <w:pPr>
        <w:spacing w:before="120" w:line="184" w:lineRule="auto"/>
        <w:ind w:left="2756"/>
        <w:rPr>
          <w:rFonts w:ascii="微软雅黑" w:hAnsi="微软雅黑" w:eastAsia="微软雅黑" w:cs="微软雅黑"/>
          <w:sz w:val="28"/>
          <w:szCs w:val="28"/>
        </w:rPr>
      </w:pPr>
      <w:r>
        <w:rPr>
          <w:rFonts w:ascii="微软雅黑" w:hAnsi="微软雅黑" w:eastAsia="微软雅黑" w:cs="微软雅黑"/>
          <w:spacing w:val="-1"/>
          <w:sz w:val="28"/>
          <w:szCs w:val="28"/>
        </w:rPr>
        <w:t>承包人主要施工管理人员表</w:t>
      </w:r>
    </w:p>
    <w:p w14:paraId="485D3603">
      <w:pPr>
        <w:spacing w:line="224" w:lineRule="exact"/>
      </w:pPr>
    </w:p>
    <w:tbl>
      <w:tblPr>
        <w:tblStyle w:val="5"/>
        <w:tblW w:w="8839"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75"/>
        <w:gridCol w:w="808"/>
        <w:gridCol w:w="809"/>
        <w:gridCol w:w="809"/>
        <w:gridCol w:w="4638"/>
      </w:tblGrid>
      <w:tr w14:paraId="2497DC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trPr>
        <w:tc>
          <w:tcPr>
            <w:tcW w:w="1775" w:type="dxa"/>
            <w:tcBorders>
              <w:top w:val="single" w:color="000000" w:sz="10" w:space="0"/>
              <w:left w:val="single" w:color="000000" w:sz="10" w:space="0"/>
            </w:tcBorders>
            <w:vAlign w:val="top"/>
          </w:tcPr>
          <w:p w14:paraId="569A0EBA">
            <w:pPr>
              <w:spacing w:before="248" w:line="230" w:lineRule="auto"/>
              <w:ind w:left="462"/>
              <w:rPr>
                <w:rFonts w:ascii="黑体" w:hAnsi="黑体" w:eastAsia="黑体" w:cs="黑体"/>
                <w:sz w:val="20"/>
                <w:szCs w:val="20"/>
              </w:rPr>
            </w:pPr>
            <w:r>
              <w:rPr>
                <w:rFonts w:ascii="黑体" w:hAnsi="黑体" w:eastAsia="黑体" w:cs="黑体"/>
                <w:sz w:val="20"/>
                <w:szCs w:val="20"/>
              </w:rPr>
              <w:t>名</w:t>
            </w:r>
            <w:r>
              <w:rPr>
                <w:rFonts w:ascii="黑体" w:hAnsi="黑体" w:eastAsia="黑体" w:cs="黑体"/>
                <w:spacing w:val="6"/>
                <w:sz w:val="20"/>
                <w:szCs w:val="20"/>
              </w:rPr>
              <w:t xml:space="preserve">    </w:t>
            </w:r>
            <w:r>
              <w:rPr>
                <w:rFonts w:ascii="黑体" w:hAnsi="黑体" w:eastAsia="黑体" w:cs="黑体"/>
                <w:sz w:val="20"/>
                <w:szCs w:val="20"/>
              </w:rPr>
              <w:t>称</w:t>
            </w:r>
          </w:p>
        </w:tc>
        <w:tc>
          <w:tcPr>
            <w:tcW w:w="808" w:type="dxa"/>
            <w:tcBorders>
              <w:top w:val="single" w:color="000000" w:sz="10" w:space="0"/>
            </w:tcBorders>
            <w:vAlign w:val="top"/>
          </w:tcPr>
          <w:p w14:paraId="29A8B9E2">
            <w:pPr>
              <w:spacing w:before="248" w:line="231" w:lineRule="auto"/>
              <w:ind w:left="191"/>
              <w:rPr>
                <w:rFonts w:ascii="黑体" w:hAnsi="黑体" w:eastAsia="黑体" w:cs="黑体"/>
                <w:sz w:val="20"/>
                <w:szCs w:val="20"/>
              </w:rPr>
            </w:pPr>
            <w:r>
              <w:rPr>
                <w:rFonts w:ascii="黑体" w:hAnsi="黑体" w:eastAsia="黑体" w:cs="黑体"/>
                <w:spacing w:val="4"/>
                <w:sz w:val="20"/>
                <w:szCs w:val="20"/>
              </w:rPr>
              <w:t>姓名</w:t>
            </w:r>
          </w:p>
        </w:tc>
        <w:tc>
          <w:tcPr>
            <w:tcW w:w="809" w:type="dxa"/>
            <w:tcBorders>
              <w:top w:val="single" w:color="000000" w:sz="10" w:space="0"/>
            </w:tcBorders>
            <w:vAlign w:val="top"/>
          </w:tcPr>
          <w:p w14:paraId="3166E944">
            <w:pPr>
              <w:spacing w:before="248" w:line="229" w:lineRule="auto"/>
              <w:ind w:left="194"/>
              <w:rPr>
                <w:rFonts w:ascii="黑体" w:hAnsi="黑体" w:eastAsia="黑体" w:cs="黑体"/>
                <w:sz w:val="20"/>
                <w:szCs w:val="20"/>
              </w:rPr>
            </w:pPr>
            <w:r>
              <w:rPr>
                <w:rFonts w:ascii="黑体" w:hAnsi="黑体" w:eastAsia="黑体" w:cs="黑体"/>
                <w:spacing w:val="4"/>
                <w:sz w:val="20"/>
                <w:szCs w:val="20"/>
              </w:rPr>
              <w:t>职务</w:t>
            </w:r>
          </w:p>
        </w:tc>
        <w:tc>
          <w:tcPr>
            <w:tcW w:w="809" w:type="dxa"/>
            <w:tcBorders>
              <w:top w:val="single" w:color="000000" w:sz="10" w:space="0"/>
            </w:tcBorders>
            <w:vAlign w:val="top"/>
          </w:tcPr>
          <w:p w14:paraId="3AB956B3">
            <w:pPr>
              <w:spacing w:before="248" w:line="230" w:lineRule="auto"/>
              <w:ind w:left="196"/>
              <w:rPr>
                <w:rFonts w:ascii="黑体" w:hAnsi="黑体" w:eastAsia="黑体" w:cs="黑体"/>
                <w:sz w:val="20"/>
                <w:szCs w:val="20"/>
              </w:rPr>
            </w:pPr>
            <w:r>
              <w:rPr>
                <w:rFonts w:ascii="黑体" w:hAnsi="黑体" w:eastAsia="黑体" w:cs="黑体"/>
                <w:spacing w:val="4"/>
                <w:sz w:val="20"/>
                <w:szCs w:val="20"/>
              </w:rPr>
              <w:t>职称</w:t>
            </w:r>
          </w:p>
        </w:tc>
        <w:tc>
          <w:tcPr>
            <w:tcW w:w="4638" w:type="dxa"/>
            <w:tcBorders>
              <w:top w:val="single" w:color="000000" w:sz="10" w:space="0"/>
              <w:right w:val="single" w:color="000000" w:sz="10" w:space="0"/>
            </w:tcBorders>
            <w:vAlign w:val="top"/>
          </w:tcPr>
          <w:p w14:paraId="24A768F9">
            <w:pPr>
              <w:spacing w:before="248" w:line="230" w:lineRule="auto"/>
              <w:ind w:left="854"/>
              <w:rPr>
                <w:rFonts w:ascii="黑体" w:hAnsi="黑体" w:eastAsia="黑体" w:cs="黑体"/>
                <w:sz w:val="20"/>
                <w:szCs w:val="20"/>
              </w:rPr>
            </w:pPr>
            <w:r>
              <w:rPr>
                <w:rFonts w:ascii="黑体" w:hAnsi="黑体" w:eastAsia="黑体" w:cs="黑体"/>
                <w:spacing w:val="9"/>
                <w:sz w:val="20"/>
                <w:szCs w:val="20"/>
              </w:rPr>
              <w:t>主要资历、经验及承担过的项目</w:t>
            </w:r>
          </w:p>
        </w:tc>
      </w:tr>
      <w:tr w14:paraId="4B23C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8839" w:type="dxa"/>
            <w:gridSpan w:val="5"/>
            <w:tcBorders>
              <w:left w:val="single" w:color="000000" w:sz="10" w:space="0"/>
              <w:right w:val="single" w:color="000000" w:sz="10" w:space="0"/>
            </w:tcBorders>
            <w:vAlign w:val="top"/>
          </w:tcPr>
          <w:p w14:paraId="74E542BF">
            <w:pPr>
              <w:spacing w:before="160" w:line="231" w:lineRule="auto"/>
              <w:ind w:left="3793"/>
              <w:rPr>
                <w:rFonts w:ascii="仿宋" w:hAnsi="仿宋" w:eastAsia="仿宋" w:cs="仿宋"/>
                <w:sz w:val="20"/>
                <w:szCs w:val="20"/>
              </w:rPr>
            </w:pPr>
            <w:r>
              <w:rPr>
                <w:rFonts w:ascii="仿宋" w:hAnsi="仿宋" w:eastAsia="仿宋" w:cs="仿宋"/>
                <w:spacing w:val="6"/>
                <w:sz w:val="20"/>
                <w:szCs w:val="20"/>
              </w:rPr>
              <w:t>一、总部人员</w:t>
            </w:r>
          </w:p>
        </w:tc>
      </w:tr>
      <w:tr w14:paraId="344FF4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775" w:type="dxa"/>
            <w:tcBorders>
              <w:left w:val="single" w:color="000000" w:sz="10" w:space="0"/>
            </w:tcBorders>
            <w:vAlign w:val="top"/>
          </w:tcPr>
          <w:p w14:paraId="7B493559">
            <w:pPr>
              <w:spacing w:before="143" w:line="232" w:lineRule="auto"/>
              <w:ind w:left="467"/>
              <w:rPr>
                <w:rFonts w:ascii="仿宋" w:hAnsi="仿宋" w:eastAsia="仿宋" w:cs="仿宋"/>
                <w:sz w:val="20"/>
                <w:szCs w:val="20"/>
              </w:rPr>
            </w:pPr>
            <w:r>
              <w:rPr>
                <w:rFonts w:ascii="仿宋" w:hAnsi="仿宋" w:eastAsia="仿宋" w:cs="仿宋"/>
                <w:spacing w:val="5"/>
                <w:sz w:val="20"/>
                <w:szCs w:val="20"/>
              </w:rPr>
              <w:t>项目主管</w:t>
            </w:r>
          </w:p>
        </w:tc>
        <w:tc>
          <w:tcPr>
            <w:tcW w:w="808" w:type="dxa"/>
            <w:vAlign w:val="top"/>
          </w:tcPr>
          <w:p w14:paraId="4F6325F9">
            <w:pPr>
              <w:rPr>
                <w:rFonts w:ascii="Arial"/>
                <w:sz w:val="21"/>
              </w:rPr>
            </w:pPr>
          </w:p>
        </w:tc>
        <w:tc>
          <w:tcPr>
            <w:tcW w:w="809" w:type="dxa"/>
            <w:vAlign w:val="top"/>
          </w:tcPr>
          <w:p w14:paraId="1C91C467">
            <w:pPr>
              <w:rPr>
                <w:rFonts w:ascii="Arial"/>
                <w:sz w:val="21"/>
              </w:rPr>
            </w:pPr>
          </w:p>
        </w:tc>
        <w:tc>
          <w:tcPr>
            <w:tcW w:w="809" w:type="dxa"/>
            <w:vAlign w:val="top"/>
          </w:tcPr>
          <w:p w14:paraId="56AA86D8">
            <w:pPr>
              <w:rPr>
                <w:rFonts w:ascii="Arial"/>
                <w:sz w:val="21"/>
              </w:rPr>
            </w:pPr>
          </w:p>
        </w:tc>
        <w:tc>
          <w:tcPr>
            <w:tcW w:w="4638" w:type="dxa"/>
            <w:tcBorders>
              <w:right w:val="single" w:color="000000" w:sz="10" w:space="0"/>
            </w:tcBorders>
            <w:vAlign w:val="top"/>
          </w:tcPr>
          <w:p w14:paraId="7709C38E">
            <w:pPr>
              <w:rPr>
                <w:rFonts w:ascii="Arial"/>
                <w:sz w:val="21"/>
              </w:rPr>
            </w:pPr>
          </w:p>
        </w:tc>
      </w:tr>
      <w:tr w14:paraId="1EC03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vMerge w:val="restart"/>
            <w:tcBorders>
              <w:left w:val="single" w:color="000000" w:sz="10" w:space="0"/>
              <w:bottom w:val="nil"/>
            </w:tcBorders>
            <w:vAlign w:val="top"/>
          </w:tcPr>
          <w:p w14:paraId="7536FBB4">
            <w:pPr>
              <w:spacing w:line="291" w:lineRule="auto"/>
              <w:rPr>
                <w:rFonts w:ascii="Arial"/>
                <w:sz w:val="21"/>
              </w:rPr>
            </w:pPr>
          </w:p>
          <w:p w14:paraId="4AC660FF">
            <w:pPr>
              <w:spacing w:line="291" w:lineRule="auto"/>
              <w:rPr>
                <w:rFonts w:ascii="Arial"/>
                <w:sz w:val="21"/>
              </w:rPr>
            </w:pPr>
          </w:p>
          <w:p w14:paraId="7F09725B">
            <w:pPr>
              <w:spacing w:before="65" w:line="230" w:lineRule="auto"/>
              <w:ind w:left="468"/>
              <w:rPr>
                <w:rFonts w:ascii="仿宋" w:hAnsi="仿宋" w:eastAsia="仿宋" w:cs="仿宋"/>
                <w:sz w:val="20"/>
                <w:szCs w:val="20"/>
              </w:rPr>
            </w:pPr>
            <w:r>
              <w:rPr>
                <w:rFonts w:ascii="仿宋" w:hAnsi="仿宋" w:eastAsia="仿宋" w:cs="仿宋"/>
                <w:spacing w:val="5"/>
                <w:sz w:val="20"/>
                <w:szCs w:val="20"/>
              </w:rPr>
              <w:t>其他人员</w:t>
            </w:r>
          </w:p>
        </w:tc>
        <w:tc>
          <w:tcPr>
            <w:tcW w:w="808" w:type="dxa"/>
            <w:vAlign w:val="top"/>
          </w:tcPr>
          <w:p w14:paraId="58A2D640">
            <w:pPr>
              <w:rPr>
                <w:rFonts w:ascii="Arial"/>
                <w:sz w:val="21"/>
              </w:rPr>
            </w:pPr>
          </w:p>
        </w:tc>
        <w:tc>
          <w:tcPr>
            <w:tcW w:w="809" w:type="dxa"/>
            <w:vAlign w:val="top"/>
          </w:tcPr>
          <w:p w14:paraId="2C771404">
            <w:pPr>
              <w:rPr>
                <w:rFonts w:ascii="Arial"/>
                <w:sz w:val="21"/>
              </w:rPr>
            </w:pPr>
          </w:p>
        </w:tc>
        <w:tc>
          <w:tcPr>
            <w:tcW w:w="809" w:type="dxa"/>
            <w:vAlign w:val="top"/>
          </w:tcPr>
          <w:p w14:paraId="77A2404E">
            <w:pPr>
              <w:rPr>
                <w:rFonts w:ascii="Arial"/>
                <w:sz w:val="21"/>
              </w:rPr>
            </w:pPr>
          </w:p>
        </w:tc>
        <w:tc>
          <w:tcPr>
            <w:tcW w:w="4638" w:type="dxa"/>
            <w:tcBorders>
              <w:right w:val="single" w:color="000000" w:sz="10" w:space="0"/>
            </w:tcBorders>
            <w:vAlign w:val="top"/>
          </w:tcPr>
          <w:p w14:paraId="1DD934AB">
            <w:pPr>
              <w:rPr>
                <w:rFonts w:ascii="Arial"/>
                <w:sz w:val="21"/>
              </w:rPr>
            </w:pPr>
          </w:p>
        </w:tc>
      </w:tr>
      <w:tr w14:paraId="4504D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vMerge w:val="continue"/>
            <w:tcBorders>
              <w:top w:val="nil"/>
              <w:left w:val="single" w:color="000000" w:sz="10" w:space="0"/>
              <w:bottom w:val="nil"/>
            </w:tcBorders>
            <w:vAlign w:val="top"/>
          </w:tcPr>
          <w:p w14:paraId="555E51DD">
            <w:pPr>
              <w:rPr>
                <w:rFonts w:ascii="Arial"/>
                <w:sz w:val="21"/>
              </w:rPr>
            </w:pPr>
          </w:p>
        </w:tc>
        <w:tc>
          <w:tcPr>
            <w:tcW w:w="808" w:type="dxa"/>
            <w:vAlign w:val="top"/>
          </w:tcPr>
          <w:p w14:paraId="046AD3B7">
            <w:pPr>
              <w:rPr>
                <w:rFonts w:ascii="Arial"/>
                <w:sz w:val="21"/>
              </w:rPr>
            </w:pPr>
          </w:p>
        </w:tc>
        <w:tc>
          <w:tcPr>
            <w:tcW w:w="809" w:type="dxa"/>
            <w:vAlign w:val="top"/>
          </w:tcPr>
          <w:p w14:paraId="09832BFC">
            <w:pPr>
              <w:rPr>
                <w:rFonts w:ascii="Arial"/>
                <w:sz w:val="21"/>
              </w:rPr>
            </w:pPr>
          </w:p>
        </w:tc>
        <w:tc>
          <w:tcPr>
            <w:tcW w:w="809" w:type="dxa"/>
            <w:vAlign w:val="top"/>
          </w:tcPr>
          <w:p w14:paraId="38E9D247">
            <w:pPr>
              <w:rPr>
                <w:rFonts w:ascii="Arial"/>
                <w:sz w:val="21"/>
              </w:rPr>
            </w:pPr>
          </w:p>
        </w:tc>
        <w:tc>
          <w:tcPr>
            <w:tcW w:w="4638" w:type="dxa"/>
            <w:tcBorders>
              <w:right w:val="single" w:color="000000" w:sz="10" w:space="0"/>
            </w:tcBorders>
            <w:vAlign w:val="top"/>
          </w:tcPr>
          <w:p w14:paraId="74F8A396">
            <w:pPr>
              <w:rPr>
                <w:rFonts w:ascii="Arial"/>
                <w:sz w:val="21"/>
              </w:rPr>
            </w:pPr>
          </w:p>
        </w:tc>
      </w:tr>
      <w:tr w14:paraId="5755B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vMerge w:val="continue"/>
            <w:tcBorders>
              <w:top w:val="nil"/>
              <w:left w:val="single" w:color="000000" w:sz="10" w:space="0"/>
            </w:tcBorders>
            <w:vAlign w:val="top"/>
          </w:tcPr>
          <w:p w14:paraId="277E59EE">
            <w:pPr>
              <w:rPr>
                <w:rFonts w:ascii="Arial"/>
                <w:sz w:val="21"/>
              </w:rPr>
            </w:pPr>
          </w:p>
        </w:tc>
        <w:tc>
          <w:tcPr>
            <w:tcW w:w="808" w:type="dxa"/>
            <w:vAlign w:val="top"/>
          </w:tcPr>
          <w:p w14:paraId="31107494">
            <w:pPr>
              <w:rPr>
                <w:rFonts w:ascii="Arial"/>
                <w:sz w:val="21"/>
              </w:rPr>
            </w:pPr>
          </w:p>
        </w:tc>
        <w:tc>
          <w:tcPr>
            <w:tcW w:w="809" w:type="dxa"/>
            <w:vAlign w:val="top"/>
          </w:tcPr>
          <w:p w14:paraId="03EC81C1">
            <w:pPr>
              <w:rPr>
                <w:rFonts w:ascii="Arial"/>
                <w:sz w:val="21"/>
              </w:rPr>
            </w:pPr>
          </w:p>
        </w:tc>
        <w:tc>
          <w:tcPr>
            <w:tcW w:w="809" w:type="dxa"/>
            <w:vAlign w:val="top"/>
          </w:tcPr>
          <w:p w14:paraId="572A0679">
            <w:pPr>
              <w:rPr>
                <w:rFonts w:ascii="Arial"/>
                <w:sz w:val="21"/>
              </w:rPr>
            </w:pPr>
          </w:p>
        </w:tc>
        <w:tc>
          <w:tcPr>
            <w:tcW w:w="4638" w:type="dxa"/>
            <w:tcBorders>
              <w:right w:val="single" w:color="000000" w:sz="10" w:space="0"/>
            </w:tcBorders>
            <w:vAlign w:val="top"/>
          </w:tcPr>
          <w:p w14:paraId="53E7F1B9">
            <w:pPr>
              <w:rPr>
                <w:rFonts w:ascii="Arial"/>
                <w:sz w:val="21"/>
              </w:rPr>
            </w:pPr>
          </w:p>
        </w:tc>
      </w:tr>
      <w:tr w14:paraId="479D9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8839" w:type="dxa"/>
            <w:gridSpan w:val="5"/>
            <w:tcBorders>
              <w:left w:val="single" w:color="000000" w:sz="10" w:space="0"/>
              <w:right w:val="single" w:color="000000" w:sz="10" w:space="0"/>
            </w:tcBorders>
            <w:vAlign w:val="top"/>
          </w:tcPr>
          <w:p w14:paraId="62C41959">
            <w:pPr>
              <w:spacing w:before="158" w:line="232" w:lineRule="auto"/>
              <w:ind w:left="3797"/>
              <w:rPr>
                <w:rFonts w:ascii="仿宋" w:hAnsi="仿宋" w:eastAsia="仿宋" w:cs="仿宋"/>
                <w:sz w:val="20"/>
                <w:szCs w:val="20"/>
              </w:rPr>
            </w:pPr>
            <w:r>
              <w:rPr>
                <w:rFonts w:ascii="仿宋" w:hAnsi="仿宋" w:eastAsia="仿宋" w:cs="仿宋"/>
                <w:spacing w:val="6"/>
                <w:sz w:val="20"/>
                <w:szCs w:val="20"/>
              </w:rPr>
              <w:t>二、现场人员</w:t>
            </w:r>
          </w:p>
        </w:tc>
      </w:tr>
      <w:tr w14:paraId="0CE00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0DF6D4AC">
            <w:pPr>
              <w:spacing w:before="158" w:line="232" w:lineRule="auto"/>
              <w:ind w:left="467"/>
              <w:rPr>
                <w:rFonts w:ascii="仿宋" w:hAnsi="仿宋" w:eastAsia="仿宋" w:cs="仿宋"/>
                <w:sz w:val="20"/>
                <w:szCs w:val="20"/>
              </w:rPr>
            </w:pPr>
            <w:r>
              <w:rPr>
                <w:rFonts w:ascii="仿宋" w:hAnsi="仿宋" w:eastAsia="仿宋" w:cs="仿宋"/>
                <w:spacing w:val="5"/>
                <w:sz w:val="20"/>
                <w:szCs w:val="20"/>
              </w:rPr>
              <w:t>项目经理</w:t>
            </w:r>
          </w:p>
        </w:tc>
        <w:tc>
          <w:tcPr>
            <w:tcW w:w="808" w:type="dxa"/>
            <w:vAlign w:val="top"/>
          </w:tcPr>
          <w:p w14:paraId="24C39FFE">
            <w:pPr>
              <w:rPr>
                <w:rFonts w:ascii="Arial"/>
                <w:sz w:val="21"/>
              </w:rPr>
            </w:pPr>
          </w:p>
        </w:tc>
        <w:tc>
          <w:tcPr>
            <w:tcW w:w="809" w:type="dxa"/>
            <w:vAlign w:val="top"/>
          </w:tcPr>
          <w:p w14:paraId="78C8A7B6">
            <w:pPr>
              <w:rPr>
                <w:rFonts w:ascii="Arial"/>
                <w:sz w:val="21"/>
              </w:rPr>
            </w:pPr>
          </w:p>
        </w:tc>
        <w:tc>
          <w:tcPr>
            <w:tcW w:w="809" w:type="dxa"/>
            <w:vAlign w:val="top"/>
          </w:tcPr>
          <w:p w14:paraId="5F0698EA">
            <w:pPr>
              <w:rPr>
                <w:rFonts w:ascii="Arial"/>
                <w:sz w:val="21"/>
              </w:rPr>
            </w:pPr>
          </w:p>
        </w:tc>
        <w:tc>
          <w:tcPr>
            <w:tcW w:w="4638" w:type="dxa"/>
            <w:tcBorders>
              <w:right w:val="single" w:color="000000" w:sz="10" w:space="0"/>
            </w:tcBorders>
            <w:vAlign w:val="top"/>
          </w:tcPr>
          <w:p w14:paraId="1A23EA99">
            <w:pPr>
              <w:rPr>
                <w:rFonts w:ascii="Arial"/>
                <w:sz w:val="21"/>
              </w:rPr>
            </w:pPr>
          </w:p>
        </w:tc>
      </w:tr>
      <w:tr w14:paraId="208C3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7498DEB3">
            <w:pPr>
              <w:spacing w:before="159" w:line="232" w:lineRule="auto"/>
              <w:ind w:left="361"/>
              <w:rPr>
                <w:rFonts w:ascii="仿宋" w:hAnsi="仿宋" w:eastAsia="仿宋" w:cs="仿宋"/>
                <w:sz w:val="20"/>
                <w:szCs w:val="20"/>
              </w:rPr>
            </w:pPr>
            <w:r>
              <w:rPr>
                <w:rFonts w:ascii="仿宋" w:hAnsi="仿宋" w:eastAsia="仿宋" w:cs="仿宋"/>
                <w:spacing w:val="6"/>
                <w:sz w:val="20"/>
                <w:szCs w:val="20"/>
              </w:rPr>
              <w:t>项目副经理</w:t>
            </w:r>
          </w:p>
        </w:tc>
        <w:tc>
          <w:tcPr>
            <w:tcW w:w="808" w:type="dxa"/>
            <w:vAlign w:val="top"/>
          </w:tcPr>
          <w:p w14:paraId="2329D9AA">
            <w:pPr>
              <w:rPr>
                <w:rFonts w:ascii="Arial"/>
                <w:sz w:val="21"/>
              </w:rPr>
            </w:pPr>
          </w:p>
        </w:tc>
        <w:tc>
          <w:tcPr>
            <w:tcW w:w="809" w:type="dxa"/>
            <w:vAlign w:val="top"/>
          </w:tcPr>
          <w:p w14:paraId="585BBA31">
            <w:pPr>
              <w:rPr>
                <w:rFonts w:ascii="Arial"/>
                <w:sz w:val="21"/>
              </w:rPr>
            </w:pPr>
          </w:p>
        </w:tc>
        <w:tc>
          <w:tcPr>
            <w:tcW w:w="809" w:type="dxa"/>
            <w:vAlign w:val="top"/>
          </w:tcPr>
          <w:p w14:paraId="275299DD">
            <w:pPr>
              <w:rPr>
                <w:rFonts w:ascii="Arial"/>
                <w:sz w:val="21"/>
              </w:rPr>
            </w:pPr>
          </w:p>
        </w:tc>
        <w:tc>
          <w:tcPr>
            <w:tcW w:w="4638" w:type="dxa"/>
            <w:tcBorders>
              <w:right w:val="single" w:color="000000" w:sz="10" w:space="0"/>
            </w:tcBorders>
            <w:vAlign w:val="top"/>
          </w:tcPr>
          <w:p w14:paraId="05ABFE38">
            <w:pPr>
              <w:rPr>
                <w:rFonts w:ascii="Arial"/>
                <w:sz w:val="21"/>
              </w:rPr>
            </w:pPr>
          </w:p>
        </w:tc>
      </w:tr>
      <w:tr w14:paraId="14018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6905DA91">
            <w:pPr>
              <w:spacing w:before="158" w:line="231" w:lineRule="auto"/>
              <w:ind w:left="361"/>
              <w:rPr>
                <w:rFonts w:ascii="仿宋" w:hAnsi="仿宋" w:eastAsia="仿宋" w:cs="仿宋"/>
                <w:sz w:val="20"/>
                <w:szCs w:val="20"/>
              </w:rPr>
            </w:pPr>
            <w:r>
              <w:rPr>
                <w:rFonts w:ascii="仿宋" w:hAnsi="仿宋" w:eastAsia="仿宋" w:cs="仿宋"/>
                <w:spacing w:val="6"/>
                <w:sz w:val="20"/>
                <w:szCs w:val="20"/>
              </w:rPr>
              <w:t>技术负责人</w:t>
            </w:r>
          </w:p>
        </w:tc>
        <w:tc>
          <w:tcPr>
            <w:tcW w:w="808" w:type="dxa"/>
            <w:vAlign w:val="top"/>
          </w:tcPr>
          <w:p w14:paraId="4357E4FD">
            <w:pPr>
              <w:rPr>
                <w:rFonts w:ascii="Arial"/>
                <w:sz w:val="21"/>
              </w:rPr>
            </w:pPr>
          </w:p>
        </w:tc>
        <w:tc>
          <w:tcPr>
            <w:tcW w:w="809" w:type="dxa"/>
            <w:vAlign w:val="top"/>
          </w:tcPr>
          <w:p w14:paraId="70B25B2C">
            <w:pPr>
              <w:rPr>
                <w:rFonts w:ascii="Arial"/>
                <w:sz w:val="21"/>
              </w:rPr>
            </w:pPr>
          </w:p>
        </w:tc>
        <w:tc>
          <w:tcPr>
            <w:tcW w:w="809" w:type="dxa"/>
            <w:vAlign w:val="top"/>
          </w:tcPr>
          <w:p w14:paraId="0FEACED5">
            <w:pPr>
              <w:rPr>
                <w:rFonts w:ascii="Arial"/>
                <w:sz w:val="21"/>
              </w:rPr>
            </w:pPr>
          </w:p>
        </w:tc>
        <w:tc>
          <w:tcPr>
            <w:tcW w:w="4638" w:type="dxa"/>
            <w:tcBorders>
              <w:right w:val="single" w:color="000000" w:sz="10" w:space="0"/>
            </w:tcBorders>
            <w:vAlign w:val="top"/>
          </w:tcPr>
          <w:p w14:paraId="1D7EA0FF">
            <w:pPr>
              <w:rPr>
                <w:rFonts w:ascii="Arial"/>
                <w:sz w:val="21"/>
              </w:rPr>
            </w:pPr>
          </w:p>
        </w:tc>
      </w:tr>
      <w:tr w14:paraId="636A5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7864076D">
            <w:pPr>
              <w:spacing w:before="157" w:line="231" w:lineRule="auto"/>
              <w:ind w:left="465"/>
              <w:rPr>
                <w:rFonts w:ascii="仿宋" w:hAnsi="仿宋" w:eastAsia="仿宋" w:cs="仿宋"/>
                <w:sz w:val="20"/>
                <w:szCs w:val="20"/>
              </w:rPr>
            </w:pPr>
            <w:r>
              <w:rPr>
                <w:rFonts w:ascii="仿宋" w:hAnsi="仿宋" w:eastAsia="仿宋" w:cs="仿宋"/>
                <w:spacing w:val="6"/>
                <w:sz w:val="20"/>
                <w:szCs w:val="20"/>
              </w:rPr>
              <w:t>造价管理</w:t>
            </w:r>
          </w:p>
        </w:tc>
        <w:tc>
          <w:tcPr>
            <w:tcW w:w="808" w:type="dxa"/>
            <w:vAlign w:val="top"/>
          </w:tcPr>
          <w:p w14:paraId="1E5714F9">
            <w:pPr>
              <w:rPr>
                <w:rFonts w:ascii="Arial"/>
                <w:sz w:val="21"/>
              </w:rPr>
            </w:pPr>
          </w:p>
        </w:tc>
        <w:tc>
          <w:tcPr>
            <w:tcW w:w="809" w:type="dxa"/>
            <w:vAlign w:val="top"/>
          </w:tcPr>
          <w:p w14:paraId="601FBC6B">
            <w:pPr>
              <w:rPr>
                <w:rFonts w:ascii="Arial"/>
                <w:sz w:val="21"/>
              </w:rPr>
            </w:pPr>
          </w:p>
        </w:tc>
        <w:tc>
          <w:tcPr>
            <w:tcW w:w="809" w:type="dxa"/>
            <w:vAlign w:val="top"/>
          </w:tcPr>
          <w:p w14:paraId="10373F0B">
            <w:pPr>
              <w:rPr>
                <w:rFonts w:ascii="Arial"/>
                <w:sz w:val="21"/>
              </w:rPr>
            </w:pPr>
          </w:p>
        </w:tc>
        <w:tc>
          <w:tcPr>
            <w:tcW w:w="4638" w:type="dxa"/>
            <w:tcBorders>
              <w:right w:val="single" w:color="000000" w:sz="10" w:space="0"/>
            </w:tcBorders>
            <w:vAlign w:val="top"/>
          </w:tcPr>
          <w:p w14:paraId="3BC18FA8">
            <w:pPr>
              <w:rPr>
                <w:rFonts w:ascii="Arial"/>
                <w:sz w:val="21"/>
              </w:rPr>
            </w:pPr>
          </w:p>
        </w:tc>
      </w:tr>
      <w:tr w14:paraId="57514F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32936172">
            <w:pPr>
              <w:spacing w:before="158" w:line="232" w:lineRule="auto"/>
              <w:ind w:left="471"/>
              <w:rPr>
                <w:rFonts w:ascii="仿宋" w:hAnsi="仿宋" w:eastAsia="仿宋" w:cs="仿宋"/>
                <w:sz w:val="20"/>
                <w:szCs w:val="20"/>
              </w:rPr>
            </w:pPr>
            <w:r>
              <w:rPr>
                <w:rFonts w:ascii="仿宋" w:hAnsi="仿宋" w:eastAsia="仿宋" w:cs="仿宋"/>
                <w:spacing w:val="4"/>
                <w:sz w:val="20"/>
                <w:szCs w:val="20"/>
              </w:rPr>
              <w:t>质量管理</w:t>
            </w:r>
          </w:p>
        </w:tc>
        <w:tc>
          <w:tcPr>
            <w:tcW w:w="808" w:type="dxa"/>
            <w:vAlign w:val="top"/>
          </w:tcPr>
          <w:p w14:paraId="45CA7C10">
            <w:pPr>
              <w:rPr>
                <w:rFonts w:ascii="Arial"/>
                <w:sz w:val="21"/>
              </w:rPr>
            </w:pPr>
          </w:p>
        </w:tc>
        <w:tc>
          <w:tcPr>
            <w:tcW w:w="809" w:type="dxa"/>
            <w:vAlign w:val="top"/>
          </w:tcPr>
          <w:p w14:paraId="01D06ADB">
            <w:pPr>
              <w:rPr>
                <w:rFonts w:ascii="Arial"/>
                <w:sz w:val="21"/>
              </w:rPr>
            </w:pPr>
          </w:p>
        </w:tc>
        <w:tc>
          <w:tcPr>
            <w:tcW w:w="809" w:type="dxa"/>
            <w:vAlign w:val="top"/>
          </w:tcPr>
          <w:p w14:paraId="4B22CF53">
            <w:pPr>
              <w:rPr>
                <w:rFonts w:ascii="Arial"/>
                <w:sz w:val="21"/>
              </w:rPr>
            </w:pPr>
          </w:p>
        </w:tc>
        <w:tc>
          <w:tcPr>
            <w:tcW w:w="4638" w:type="dxa"/>
            <w:tcBorders>
              <w:right w:val="single" w:color="000000" w:sz="10" w:space="0"/>
            </w:tcBorders>
            <w:vAlign w:val="top"/>
          </w:tcPr>
          <w:p w14:paraId="0B7FBA4E">
            <w:pPr>
              <w:rPr>
                <w:rFonts w:ascii="Arial"/>
                <w:sz w:val="21"/>
              </w:rPr>
            </w:pPr>
          </w:p>
        </w:tc>
      </w:tr>
      <w:tr w14:paraId="20E16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62FE5F15">
            <w:pPr>
              <w:spacing w:before="157" w:line="229" w:lineRule="auto"/>
              <w:ind w:left="465"/>
              <w:rPr>
                <w:rFonts w:ascii="仿宋" w:hAnsi="仿宋" w:eastAsia="仿宋" w:cs="仿宋"/>
                <w:sz w:val="20"/>
                <w:szCs w:val="20"/>
              </w:rPr>
            </w:pPr>
            <w:r>
              <w:rPr>
                <w:rFonts w:ascii="仿宋" w:hAnsi="仿宋" w:eastAsia="仿宋" w:cs="仿宋"/>
                <w:spacing w:val="6"/>
                <w:sz w:val="20"/>
                <w:szCs w:val="20"/>
              </w:rPr>
              <w:t>材料管理</w:t>
            </w:r>
          </w:p>
        </w:tc>
        <w:tc>
          <w:tcPr>
            <w:tcW w:w="808" w:type="dxa"/>
            <w:vAlign w:val="top"/>
          </w:tcPr>
          <w:p w14:paraId="73C8AFE4">
            <w:pPr>
              <w:rPr>
                <w:rFonts w:ascii="Arial"/>
                <w:sz w:val="21"/>
              </w:rPr>
            </w:pPr>
          </w:p>
        </w:tc>
        <w:tc>
          <w:tcPr>
            <w:tcW w:w="809" w:type="dxa"/>
            <w:vAlign w:val="top"/>
          </w:tcPr>
          <w:p w14:paraId="35737466">
            <w:pPr>
              <w:rPr>
                <w:rFonts w:ascii="Arial"/>
                <w:sz w:val="21"/>
              </w:rPr>
            </w:pPr>
          </w:p>
        </w:tc>
        <w:tc>
          <w:tcPr>
            <w:tcW w:w="809" w:type="dxa"/>
            <w:vAlign w:val="top"/>
          </w:tcPr>
          <w:p w14:paraId="7BF76C77">
            <w:pPr>
              <w:rPr>
                <w:rFonts w:ascii="Arial"/>
                <w:sz w:val="21"/>
              </w:rPr>
            </w:pPr>
          </w:p>
        </w:tc>
        <w:tc>
          <w:tcPr>
            <w:tcW w:w="4638" w:type="dxa"/>
            <w:tcBorders>
              <w:right w:val="single" w:color="000000" w:sz="10" w:space="0"/>
            </w:tcBorders>
            <w:vAlign w:val="top"/>
          </w:tcPr>
          <w:p w14:paraId="4DA753D9">
            <w:pPr>
              <w:rPr>
                <w:rFonts w:ascii="Arial"/>
                <w:sz w:val="21"/>
              </w:rPr>
            </w:pPr>
          </w:p>
        </w:tc>
      </w:tr>
      <w:tr w14:paraId="2ACBE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798755AB">
            <w:pPr>
              <w:spacing w:before="158" w:line="231" w:lineRule="auto"/>
              <w:ind w:left="466"/>
              <w:rPr>
                <w:rFonts w:ascii="仿宋" w:hAnsi="仿宋" w:eastAsia="仿宋" w:cs="仿宋"/>
                <w:sz w:val="20"/>
                <w:szCs w:val="20"/>
              </w:rPr>
            </w:pPr>
            <w:r>
              <w:rPr>
                <w:rFonts w:ascii="仿宋" w:hAnsi="仿宋" w:eastAsia="仿宋" w:cs="仿宋"/>
                <w:spacing w:val="5"/>
                <w:sz w:val="20"/>
                <w:szCs w:val="20"/>
              </w:rPr>
              <w:t>计划管理</w:t>
            </w:r>
          </w:p>
        </w:tc>
        <w:tc>
          <w:tcPr>
            <w:tcW w:w="808" w:type="dxa"/>
            <w:vAlign w:val="top"/>
          </w:tcPr>
          <w:p w14:paraId="45BAACC4">
            <w:pPr>
              <w:rPr>
                <w:rFonts w:ascii="Arial"/>
                <w:sz w:val="21"/>
              </w:rPr>
            </w:pPr>
          </w:p>
        </w:tc>
        <w:tc>
          <w:tcPr>
            <w:tcW w:w="809" w:type="dxa"/>
            <w:vAlign w:val="top"/>
          </w:tcPr>
          <w:p w14:paraId="7BB79F82">
            <w:pPr>
              <w:rPr>
                <w:rFonts w:ascii="Arial"/>
                <w:sz w:val="21"/>
              </w:rPr>
            </w:pPr>
          </w:p>
        </w:tc>
        <w:tc>
          <w:tcPr>
            <w:tcW w:w="809" w:type="dxa"/>
            <w:vAlign w:val="top"/>
          </w:tcPr>
          <w:p w14:paraId="7C92ADBF">
            <w:pPr>
              <w:rPr>
                <w:rFonts w:ascii="Arial"/>
                <w:sz w:val="21"/>
              </w:rPr>
            </w:pPr>
          </w:p>
        </w:tc>
        <w:tc>
          <w:tcPr>
            <w:tcW w:w="4638" w:type="dxa"/>
            <w:tcBorders>
              <w:right w:val="single" w:color="000000" w:sz="10" w:space="0"/>
            </w:tcBorders>
            <w:vAlign w:val="top"/>
          </w:tcPr>
          <w:p w14:paraId="0DFD670D">
            <w:pPr>
              <w:rPr>
                <w:rFonts w:ascii="Arial"/>
                <w:sz w:val="21"/>
              </w:rPr>
            </w:pPr>
          </w:p>
        </w:tc>
      </w:tr>
      <w:tr w14:paraId="6D8CF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299F14B6">
            <w:pPr>
              <w:spacing w:before="158" w:line="232" w:lineRule="auto"/>
              <w:ind w:left="469"/>
              <w:rPr>
                <w:rFonts w:ascii="仿宋" w:hAnsi="仿宋" w:eastAsia="仿宋" w:cs="仿宋"/>
                <w:sz w:val="20"/>
                <w:szCs w:val="20"/>
              </w:rPr>
            </w:pPr>
            <w:r>
              <w:rPr>
                <w:rFonts w:ascii="仿宋" w:hAnsi="仿宋" w:eastAsia="仿宋" w:cs="仿宋"/>
                <w:spacing w:val="5"/>
                <w:sz w:val="20"/>
                <w:szCs w:val="20"/>
              </w:rPr>
              <w:t>安全管理</w:t>
            </w:r>
          </w:p>
        </w:tc>
        <w:tc>
          <w:tcPr>
            <w:tcW w:w="808" w:type="dxa"/>
            <w:vAlign w:val="top"/>
          </w:tcPr>
          <w:p w14:paraId="2802D1BB">
            <w:pPr>
              <w:rPr>
                <w:rFonts w:ascii="Arial"/>
                <w:sz w:val="21"/>
              </w:rPr>
            </w:pPr>
          </w:p>
        </w:tc>
        <w:tc>
          <w:tcPr>
            <w:tcW w:w="809" w:type="dxa"/>
            <w:vAlign w:val="top"/>
          </w:tcPr>
          <w:p w14:paraId="6CFE1FEE">
            <w:pPr>
              <w:rPr>
                <w:rFonts w:ascii="Arial"/>
                <w:sz w:val="21"/>
              </w:rPr>
            </w:pPr>
          </w:p>
        </w:tc>
        <w:tc>
          <w:tcPr>
            <w:tcW w:w="809" w:type="dxa"/>
            <w:vAlign w:val="top"/>
          </w:tcPr>
          <w:p w14:paraId="23B7AEF1">
            <w:pPr>
              <w:rPr>
                <w:rFonts w:ascii="Arial"/>
                <w:sz w:val="21"/>
              </w:rPr>
            </w:pPr>
          </w:p>
        </w:tc>
        <w:tc>
          <w:tcPr>
            <w:tcW w:w="4638" w:type="dxa"/>
            <w:tcBorders>
              <w:right w:val="single" w:color="000000" w:sz="10" w:space="0"/>
            </w:tcBorders>
            <w:vAlign w:val="top"/>
          </w:tcPr>
          <w:p w14:paraId="630433D7">
            <w:pPr>
              <w:rPr>
                <w:rFonts w:ascii="Arial"/>
                <w:sz w:val="21"/>
              </w:rPr>
            </w:pPr>
          </w:p>
        </w:tc>
      </w:tr>
      <w:tr w14:paraId="1FAA8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vMerge w:val="restart"/>
            <w:tcBorders>
              <w:left w:val="single" w:color="000000" w:sz="10" w:space="0"/>
              <w:bottom w:val="nil"/>
            </w:tcBorders>
            <w:vAlign w:val="top"/>
          </w:tcPr>
          <w:p w14:paraId="09B5AD3D">
            <w:pPr>
              <w:spacing w:line="263" w:lineRule="auto"/>
              <w:rPr>
                <w:rFonts w:ascii="Arial"/>
                <w:sz w:val="21"/>
              </w:rPr>
            </w:pPr>
          </w:p>
          <w:p w14:paraId="36DCBC2D">
            <w:pPr>
              <w:spacing w:line="263" w:lineRule="auto"/>
              <w:rPr>
                <w:rFonts w:ascii="Arial"/>
                <w:sz w:val="21"/>
              </w:rPr>
            </w:pPr>
          </w:p>
          <w:p w14:paraId="539FA80F">
            <w:pPr>
              <w:spacing w:line="263" w:lineRule="auto"/>
              <w:rPr>
                <w:rFonts w:ascii="Arial"/>
                <w:sz w:val="21"/>
              </w:rPr>
            </w:pPr>
          </w:p>
          <w:p w14:paraId="146938BC">
            <w:pPr>
              <w:spacing w:line="264" w:lineRule="auto"/>
              <w:rPr>
                <w:rFonts w:ascii="Arial"/>
                <w:sz w:val="21"/>
              </w:rPr>
            </w:pPr>
          </w:p>
          <w:p w14:paraId="71E6BC22">
            <w:pPr>
              <w:spacing w:line="264" w:lineRule="auto"/>
              <w:rPr>
                <w:rFonts w:ascii="Arial"/>
                <w:sz w:val="21"/>
              </w:rPr>
            </w:pPr>
          </w:p>
          <w:p w14:paraId="4A6AAC61">
            <w:pPr>
              <w:spacing w:before="65" w:line="230" w:lineRule="auto"/>
              <w:ind w:left="468"/>
              <w:rPr>
                <w:rFonts w:ascii="仿宋" w:hAnsi="仿宋" w:eastAsia="仿宋" w:cs="仿宋"/>
                <w:sz w:val="20"/>
                <w:szCs w:val="20"/>
              </w:rPr>
            </w:pPr>
            <w:r>
              <w:rPr>
                <w:rFonts w:ascii="仿宋" w:hAnsi="仿宋" w:eastAsia="仿宋" w:cs="仿宋"/>
                <w:spacing w:val="5"/>
                <w:sz w:val="20"/>
                <w:szCs w:val="20"/>
              </w:rPr>
              <w:t>其他人员</w:t>
            </w:r>
          </w:p>
        </w:tc>
        <w:tc>
          <w:tcPr>
            <w:tcW w:w="808" w:type="dxa"/>
            <w:vAlign w:val="top"/>
          </w:tcPr>
          <w:p w14:paraId="231389B2">
            <w:pPr>
              <w:rPr>
                <w:rFonts w:ascii="Arial"/>
                <w:sz w:val="21"/>
              </w:rPr>
            </w:pPr>
          </w:p>
        </w:tc>
        <w:tc>
          <w:tcPr>
            <w:tcW w:w="809" w:type="dxa"/>
            <w:vAlign w:val="top"/>
          </w:tcPr>
          <w:p w14:paraId="0FA91073">
            <w:pPr>
              <w:rPr>
                <w:rFonts w:ascii="Arial"/>
                <w:sz w:val="21"/>
              </w:rPr>
            </w:pPr>
          </w:p>
        </w:tc>
        <w:tc>
          <w:tcPr>
            <w:tcW w:w="809" w:type="dxa"/>
            <w:vAlign w:val="top"/>
          </w:tcPr>
          <w:p w14:paraId="76BF3BC8">
            <w:pPr>
              <w:rPr>
                <w:rFonts w:ascii="Arial"/>
                <w:sz w:val="21"/>
              </w:rPr>
            </w:pPr>
          </w:p>
        </w:tc>
        <w:tc>
          <w:tcPr>
            <w:tcW w:w="4638" w:type="dxa"/>
            <w:tcBorders>
              <w:right w:val="single" w:color="000000" w:sz="10" w:space="0"/>
            </w:tcBorders>
            <w:vAlign w:val="top"/>
          </w:tcPr>
          <w:p w14:paraId="0B08019D">
            <w:pPr>
              <w:rPr>
                <w:rFonts w:ascii="Arial"/>
                <w:sz w:val="21"/>
              </w:rPr>
            </w:pPr>
          </w:p>
        </w:tc>
      </w:tr>
      <w:tr w14:paraId="07F39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vMerge w:val="continue"/>
            <w:tcBorders>
              <w:top w:val="nil"/>
              <w:left w:val="single" w:color="000000" w:sz="10" w:space="0"/>
              <w:bottom w:val="nil"/>
            </w:tcBorders>
            <w:vAlign w:val="top"/>
          </w:tcPr>
          <w:p w14:paraId="741DF89D">
            <w:pPr>
              <w:rPr>
                <w:rFonts w:ascii="Arial"/>
                <w:sz w:val="21"/>
              </w:rPr>
            </w:pPr>
          </w:p>
        </w:tc>
        <w:tc>
          <w:tcPr>
            <w:tcW w:w="808" w:type="dxa"/>
            <w:vAlign w:val="top"/>
          </w:tcPr>
          <w:p w14:paraId="0209D5FE">
            <w:pPr>
              <w:rPr>
                <w:rFonts w:ascii="Arial"/>
                <w:sz w:val="21"/>
              </w:rPr>
            </w:pPr>
          </w:p>
        </w:tc>
        <w:tc>
          <w:tcPr>
            <w:tcW w:w="809" w:type="dxa"/>
            <w:vAlign w:val="top"/>
          </w:tcPr>
          <w:p w14:paraId="7ABB2C71">
            <w:pPr>
              <w:rPr>
                <w:rFonts w:ascii="Arial"/>
                <w:sz w:val="21"/>
              </w:rPr>
            </w:pPr>
          </w:p>
        </w:tc>
        <w:tc>
          <w:tcPr>
            <w:tcW w:w="809" w:type="dxa"/>
            <w:vAlign w:val="top"/>
          </w:tcPr>
          <w:p w14:paraId="020BE9FD">
            <w:pPr>
              <w:rPr>
                <w:rFonts w:ascii="Arial"/>
                <w:sz w:val="21"/>
              </w:rPr>
            </w:pPr>
          </w:p>
        </w:tc>
        <w:tc>
          <w:tcPr>
            <w:tcW w:w="4638" w:type="dxa"/>
            <w:tcBorders>
              <w:right w:val="single" w:color="000000" w:sz="10" w:space="0"/>
            </w:tcBorders>
            <w:vAlign w:val="top"/>
          </w:tcPr>
          <w:p w14:paraId="72B84136">
            <w:pPr>
              <w:rPr>
                <w:rFonts w:ascii="Arial"/>
                <w:sz w:val="21"/>
              </w:rPr>
            </w:pPr>
          </w:p>
        </w:tc>
      </w:tr>
      <w:tr w14:paraId="722DB1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vMerge w:val="continue"/>
            <w:tcBorders>
              <w:top w:val="nil"/>
              <w:left w:val="single" w:color="000000" w:sz="10" w:space="0"/>
              <w:bottom w:val="nil"/>
            </w:tcBorders>
            <w:vAlign w:val="top"/>
          </w:tcPr>
          <w:p w14:paraId="15DE0068">
            <w:pPr>
              <w:rPr>
                <w:rFonts w:ascii="Arial"/>
                <w:sz w:val="21"/>
              </w:rPr>
            </w:pPr>
          </w:p>
        </w:tc>
        <w:tc>
          <w:tcPr>
            <w:tcW w:w="808" w:type="dxa"/>
            <w:vAlign w:val="top"/>
          </w:tcPr>
          <w:p w14:paraId="645E974B">
            <w:pPr>
              <w:rPr>
                <w:rFonts w:ascii="Arial"/>
                <w:sz w:val="21"/>
              </w:rPr>
            </w:pPr>
          </w:p>
        </w:tc>
        <w:tc>
          <w:tcPr>
            <w:tcW w:w="809" w:type="dxa"/>
            <w:vAlign w:val="top"/>
          </w:tcPr>
          <w:p w14:paraId="0F35A688">
            <w:pPr>
              <w:rPr>
                <w:rFonts w:ascii="Arial"/>
                <w:sz w:val="21"/>
              </w:rPr>
            </w:pPr>
          </w:p>
        </w:tc>
        <w:tc>
          <w:tcPr>
            <w:tcW w:w="809" w:type="dxa"/>
            <w:vAlign w:val="top"/>
          </w:tcPr>
          <w:p w14:paraId="3CF8C3C3">
            <w:pPr>
              <w:rPr>
                <w:rFonts w:ascii="Arial"/>
                <w:sz w:val="21"/>
              </w:rPr>
            </w:pPr>
          </w:p>
        </w:tc>
        <w:tc>
          <w:tcPr>
            <w:tcW w:w="4638" w:type="dxa"/>
            <w:tcBorders>
              <w:right w:val="single" w:color="000000" w:sz="10" w:space="0"/>
            </w:tcBorders>
            <w:vAlign w:val="top"/>
          </w:tcPr>
          <w:p w14:paraId="003E995B">
            <w:pPr>
              <w:rPr>
                <w:rFonts w:ascii="Arial"/>
                <w:sz w:val="21"/>
              </w:rPr>
            </w:pPr>
          </w:p>
        </w:tc>
      </w:tr>
      <w:tr w14:paraId="604A7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vMerge w:val="continue"/>
            <w:tcBorders>
              <w:top w:val="nil"/>
              <w:left w:val="single" w:color="000000" w:sz="10" w:space="0"/>
              <w:bottom w:val="nil"/>
            </w:tcBorders>
            <w:vAlign w:val="top"/>
          </w:tcPr>
          <w:p w14:paraId="49DB9078">
            <w:pPr>
              <w:rPr>
                <w:rFonts w:ascii="Arial"/>
                <w:sz w:val="21"/>
              </w:rPr>
            </w:pPr>
          </w:p>
        </w:tc>
        <w:tc>
          <w:tcPr>
            <w:tcW w:w="808" w:type="dxa"/>
            <w:vAlign w:val="top"/>
          </w:tcPr>
          <w:p w14:paraId="70337913">
            <w:pPr>
              <w:rPr>
                <w:rFonts w:ascii="Arial"/>
                <w:sz w:val="21"/>
              </w:rPr>
            </w:pPr>
          </w:p>
        </w:tc>
        <w:tc>
          <w:tcPr>
            <w:tcW w:w="809" w:type="dxa"/>
            <w:vAlign w:val="top"/>
          </w:tcPr>
          <w:p w14:paraId="23AAD32D">
            <w:pPr>
              <w:rPr>
                <w:rFonts w:ascii="Arial"/>
                <w:sz w:val="21"/>
              </w:rPr>
            </w:pPr>
          </w:p>
        </w:tc>
        <w:tc>
          <w:tcPr>
            <w:tcW w:w="809" w:type="dxa"/>
            <w:vAlign w:val="top"/>
          </w:tcPr>
          <w:p w14:paraId="6B10F05E">
            <w:pPr>
              <w:rPr>
                <w:rFonts w:ascii="Arial"/>
                <w:sz w:val="21"/>
              </w:rPr>
            </w:pPr>
          </w:p>
        </w:tc>
        <w:tc>
          <w:tcPr>
            <w:tcW w:w="4638" w:type="dxa"/>
            <w:tcBorders>
              <w:right w:val="single" w:color="000000" w:sz="10" w:space="0"/>
            </w:tcBorders>
            <w:vAlign w:val="top"/>
          </w:tcPr>
          <w:p w14:paraId="30AC0B19">
            <w:pPr>
              <w:rPr>
                <w:rFonts w:ascii="Arial"/>
                <w:sz w:val="21"/>
              </w:rPr>
            </w:pPr>
          </w:p>
        </w:tc>
      </w:tr>
      <w:tr w14:paraId="378A2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1775" w:type="dxa"/>
            <w:vMerge w:val="continue"/>
            <w:tcBorders>
              <w:top w:val="nil"/>
              <w:left w:val="single" w:color="000000" w:sz="10" w:space="0"/>
              <w:bottom w:val="nil"/>
            </w:tcBorders>
            <w:vAlign w:val="top"/>
          </w:tcPr>
          <w:p w14:paraId="1ACCD301">
            <w:pPr>
              <w:rPr>
                <w:rFonts w:ascii="Arial"/>
                <w:sz w:val="21"/>
              </w:rPr>
            </w:pPr>
          </w:p>
        </w:tc>
        <w:tc>
          <w:tcPr>
            <w:tcW w:w="808" w:type="dxa"/>
            <w:vAlign w:val="top"/>
          </w:tcPr>
          <w:p w14:paraId="37E9EB9A">
            <w:pPr>
              <w:rPr>
                <w:rFonts w:ascii="Arial"/>
                <w:sz w:val="21"/>
              </w:rPr>
            </w:pPr>
          </w:p>
        </w:tc>
        <w:tc>
          <w:tcPr>
            <w:tcW w:w="809" w:type="dxa"/>
            <w:vAlign w:val="top"/>
          </w:tcPr>
          <w:p w14:paraId="3455399F">
            <w:pPr>
              <w:rPr>
                <w:rFonts w:ascii="Arial"/>
                <w:sz w:val="21"/>
              </w:rPr>
            </w:pPr>
          </w:p>
        </w:tc>
        <w:tc>
          <w:tcPr>
            <w:tcW w:w="809" w:type="dxa"/>
            <w:vAlign w:val="top"/>
          </w:tcPr>
          <w:p w14:paraId="76960252">
            <w:pPr>
              <w:rPr>
                <w:rFonts w:ascii="Arial"/>
                <w:sz w:val="21"/>
              </w:rPr>
            </w:pPr>
          </w:p>
        </w:tc>
        <w:tc>
          <w:tcPr>
            <w:tcW w:w="4638" w:type="dxa"/>
            <w:tcBorders>
              <w:right w:val="single" w:color="000000" w:sz="10" w:space="0"/>
            </w:tcBorders>
            <w:vAlign w:val="top"/>
          </w:tcPr>
          <w:p w14:paraId="4E4BDC7F">
            <w:pPr>
              <w:rPr>
                <w:rFonts w:ascii="Arial"/>
                <w:sz w:val="21"/>
              </w:rPr>
            </w:pPr>
          </w:p>
        </w:tc>
      </w:tr>
      <w:tr w14:paraId="63C67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1775" w:type="dxa"/>
            <w:vMerge w:val="continue"/>
            <w:tcBorders>
              <w:top w:val="nil"/>
              <w:left w:val="single" w:color="000000" w:sz="10" w:space="0"/>
              <w:bottom w:val="single" w:color="000000" w:sz="10" w:space="0"/>
            </w:tcBorders>
            <w:vAlign w:val="top"/>
          </w:tcPr>
          <w:p w14:paraId="63B8AA18">
            <w:pPr>
              <w:rPr>
                <w:rFonts w:ascii="Arial"/>
                <w:sz w:val="21"/>
              </w:rPr>
            </w:pPr>
          </w:p>
        </w:tc>
        <w:tc>
          <w:tcPr>
            <w:tcW w:w="808" w:type="dxa"/>
            <w:tcBorders>
              <w:bottom w:val="single" w:color="000000" w:sz="10" w:space="0"/>
            </w:tcBorders>
            <w:vAlign w:val="top"/>
          </w:tcPr>
          <w:p w14:paraId="7EC1E998">
            <w:pPr>
              <w:rPr>
                <w:rFonts w:ascii="Arial"/>
                <w:sz w:val="21"/>
              </w:rPr>
            </w:pPr>
          </w:p>
        </w:tc>
        <w:tc>
          <w:tcPr>
            <w:tcW w:w="809" w:type="dxa"/>
            <w:tcBorders>
              <w:bottom w:val="single" w:color="000000" w:sz="10" w:space="0"/>
            </w:tcBorders>
            <w:vAlign w:val="top"/>
          </w:tcPr>
          <w:p w14:paraId="6A76829B">
            <w:pPr>
              <w:rPr>
                <w:rFonts w:ascii="Arial"/>
                <w:sz w:val="21"/>
              </w:rPr>
            </w:pPr>
          </w:p>
        </w:tc>
        <w:tc>
          <w:tcPr>
            <w:tcW w:w="809" w:type="dxa"/>
            <w:tcBorders>
              <w:bottom w:val="single" w:color="000000" w:sz="10" w:space="0"/>
            </w:tcBorders>
            <w:vAlign w:val="top"/>
          </w:tcPr>
          <w:p w14:paraId="7ED84807">
            <w:pPr>
              <w:rPr>
                <w:rFonts w:ascii="Arial"/>
                <w:sz w:val="21"/>
              </w:rPr>
            </w:pPr>
          </w:p>
        </w:tc>
        <w:tc>
          <w:tcPr>
            <w:tcW w:w="4638" w:type="dxa"/>
            <w:tcBorders>
              <w:bottom w:val="single" w:color="000000" w:sz="10" w:space="0"/>
              <w:right w:val="single" w:color="000000" w:sz="10" w:space="0"/>
            </w:tcBorders>
            <w:vAlign w:val="top"/>
          </w:tcPr>
          <w:p w14:paraId="5C0577E1">
            <w:pPr>
              <w:rPr>
                <w:rFonts w:ascii="Arial"/>
                <w:sz w:val="21"/>
              </w:rPr>
            </w:pPr>
          </w:p>
        </w:tc>
      </w:tr>
    </w:tbl>
    <w:p w14:paraId="1C5F8A9B">
      <w:pPr>
        <w:rPr>
          <w:rFonts w:ascii="Arial"/>
          <w:sz w:val="21"/>
        </w:rPr>
      </w:pPr>
    </w:p>
    <w:p w14:paraId="242C5C79">
      <w:pPr>
        <w:rPr>
          <w:rFonts w:ascii="Arial" w:hAnsi="Arial" w:eastAsia="Arial" w:cs="Arial"/>
          <w:sz w:val="21"/>
          <w:szCs w:val="21"/>
        </w:rPr>
        <w:sectPr>
          <w:footerReference r:id="rId428" w:type="default"/>
          <w:pgSz w:w="11907" w:h="16840"/>
          <w:pgMar w:top="400" w:right="1549" w:bottom="1105" w:left="1492" w:header="0" w:footer="943" w:gutter="0"/>
          <w:cols w:space="720" w:num="1"/>
        </w:sectPr>
      </w:pPr>
    </w:p>
    <w:p w14:paraId="1A0E0A96">
      <w:pPr>
        <w:spacing w:line="248" w:lineRule="auto"/>
        <w:rPr>
          <w:rFonts w:ascii="Arial"/>
          <w:sz w:val="21"/>
        </w:rPr>
      </w:pPr>
    </w:p>
    <w:p w14:paraId="531D8CEE">
      <w:pPr>
        <w:spacing w:line="248" w:lineRule="auto"/>
        <w:rPr>
          <w:rFonts w:ascii="Arial"/>
          <w:sz w:val="21"/>
        </w:rPr>
      </w:pPr>
    </w:p>
    <w:p w14:paraId="0C37D867">
      <w:pPr>
        <w:spacing w:line="249" w:lineRule="auto"/>
        <w:rPr>
          <w:rFonts w:ascii="Arial"/>
          <w:sz w:val="21"/>
        </w:rPr>
      </w:pPr>
    </w:p>
    <w:p w14:paraId="59D55B63">
      <w:pPr>
        <w:spacing w:line="249" w:lineRule="auto"/>
        <w:rPr>
          <w:rFonts w:ascii="Arial"/>
          <w:sz w:val="21"/>
        </w:rPr>
      </w:pPr>
    </w:p>
    <w:p w14:paraId="476C9E00">
      <w:pPr>
        <w:spacing w:line="249" w:lineRule="auto"/>
        <w:rPr>
          <w:rFonts w:ascii="Arial"/>
          <w:sz w:val="21"/>
        </w:rPr>
      </w:pPr>
    </w:p>
    <w:p w14:paraId="6BB0BCC5">
      <w:pPr>
        <w:pStyle w:val="2"/>
        <w:spacing w:before="91" w:line="225" w:lineRule="auto"/>
        <w:ind w:left="7"/>
        <w:rPr>
          <w:sz w:val="28"/>
          <w:szCs w:val="28"/>
        </w:rPr>
      </w:pPr>
      <w:r>
        <w:rPr>
          <w:spacing w:val="-9"/>
          <w:sz w:val="28"/>
          <w:szCs w:val="28"/>
        </w:rPr>
        <w:t>附件</w:t>
      </w:r>
      <w:r>
        <w:rPr>
          <w:spacing w:val="-60"/>
          <w:sz w:val="28"/>
          <w:szCs w:val="28"/>
        </w:rPr>
        <w:t xml:space="preserve"> </w:t>
      </w:r>
      <w:r>
        <w:rPr>
          <w:rFonts w:ascii="Times New Roman" w:hAnsi="Times New Roman" w:eastAsia="Times New Roman" w:cs="Times New Roman"/>
          <w:spacing w:val="-9"/>
          <w:sz w:val="28"/>
          <w:szCs w:val="28"/>
        </w:rPr>
        <w:t>7</w:t>
      </w:r>
      <w:r>
        <w:rPr>
          <w:spacing w:val="-9"/>
          <w:sz w:val="28"/>
          <w:szCs w:val="28"/>
        </w:rPr>
        <w:t>：</w:t>
      </w:r>
    </w:p>
    <w:p w14:paraId="21BA0092">
      <w:pPr>
        <w:spacing w:line="241" w:lineRule="auto"/>
        <w:rPr>
          <w:rFonts w:ascii="Arial"/>
          <w:sz w:val="21"/>
        </w:rPr>
      </w:pPr>
    </w:p>
    <w:p w14:paraId="1D782CFE">
      <w:pPr>
        <w:spacing w:before="120" w:line="184" w:lineRule="auto"/>
        <w:ind w:left="2755"/>
        <w:rPr>
          <w:rFonts w:ascii="微软雅黑" w:hAnsi="微软雅黑" w:eastAsia="微软雅黑" w:cs="微软雅黑"/>
          <w:sz w:val="28"/>
          <w:szCs w:val="28"/>
        </w:rPr>
      </w:pPr>
      <w:r>
        <w:rPr>
          <w:rFonts w:ascii="微软雅黑" w:hAnsi="微软雅黑" w:eastAsia="微软雅黑" w:cs="微软雅黑"/>
          <w:spacing w:val="-1"/>
          <w:sz w:val="28"/>
          <w:szCs w:val="28"/>
        </w:rPr>
        <w:t>分包人主要施工管理人员表</w:t>
      </w:r>
    </w:p>
    <w:p w14:paraId="4F74D8AB">
      <w:pPr>
        <w:spacing w:line="224" w:lineRule="exact"/>
      </w:pPr>
    </w:p>
    <w:tbl>
      <w:tblPr>
        <w:tblStyle w:val="5"/>
        <w:tblW w:w="8839"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75"/>
        <w:gridCol w:w="808"/>
        <w:gridCol w:w="809"/>
        <w:gridCol w:w="809"/>
        <w:gridCol w:w="4638"/>
      </w:tblGrid>
      <w:tr w14:paraId="73724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1775" w:type="dxa"/>
            <w:tcBorders>
              <w:top w:val="single" w:color="000000" w:sz="10" w:space="0"/>
              <w:left w:val="single" w:color="000000" w:sz="10" w:space="0"/>
            </w:tcBorders>
            <w:vAlign w:val="top"/>
          </w:tcPr>
          <w:p w14:paraId="7AC4929A">
            <w:pPr>
              <w:spacing w:before="229" w:line="230" w:lineRule="auto"/>
              <w:ind w:left="462"/>
              <w:rPr>
                <w:rFonts w:ascii="黑体" w:hAnsi="黑体" w:eastAsia="黑体" w:cs="黑体"/>
                <w:sz w:val="20"/>
                <w:szCs w:val="20"/>
              </w:rPr>
            </w:pPr>
            <w:r>
              <w:rPr>
                <w:rFonts w:ascii="黑体" w:hAnsi="黑体" w:eastAsia="黑体" w:cs="黑体"/>
                <w:sz w:val="20"/>
                <w:szCs w:val="20"/>
              </w:rPr>
              <w:t>名</w:t>
            </w:r>
            <w:r>
              <w:rPr>
                <w:rFonts w:ascii="黑体" w:hAnsi="黑体" w:eastAsia="黑体" w:cs="黑体"/>
                <w:spacing w:val="6"/>
                <w:sz w:val="20"/>
                <w:szCs w:val="20"/>
              </w:rPr>
              <w:t xml:space="preserve">    </w:t>
            </w:r>
            <w:r>
              <w:rPr>
                <w:rFonts w:ascii="黑体" w:hAnsi="黑体" w:eastAsia="黑体" w:cs="黑体"/>
                <w:sz w:val="20"/>
                <w:szCs w:val="20"/>
              </w:rPr>
              <w:t>称</w:t>
            </w:r>
          </w:p>
        </w:tc>
        <w:tc>
          <w:tcPr>
            <w:tcW w:w="808" w:type="dxa"/>
            <w:tcBorders>
              <w:top w:val="single" w:color="000000" w:sz="10" w:space="0"/>
            </w:tcBorders>
            <w:vAlign w:val="top"/>
          </w:tcPr>
          <w:p w14:paraId="4DE3E6D4">
            <w:pPr>
              <w:spacing w:before="228" w:line="231" w:lineRule="auto"/>
              <w:ind w:left="191"/>
              <w:rPr>
                <w:rFonts w:ascii="黑体" w:hAnsi="黑体" w:eastAsia="黑体" w:cs="黑体"/>
                <w:sz w:val="20"/>
                <w:szCs w:val="20"/>
              </w:rPr>
            </w:pPr>
            <w:r>
              <w:rPr>
                <w:rFonts w:ascii="黑体" w:hAnsi="黑体" w:eastAsia="黑体" w:cs="黑体"/>
                <w:spacing w:val="4"/>
                <w:sz w:val="20"/>
                <w:szCs w:val="20"/>
              </w:rPr>
              <w:t>姓名</w:t>
            </w:r>
          </w:p>
        </w:tc>
        <w:tc>
          <w:tcPr>
            <w:tcW w:w="809" w:type="dxa"/>
            <w:tcBorders>
              <w:top w:val="single" w:color="000000" w:sz="10" w:space="0"/>
            </w:tcBorders>
            <w:vAlign w:val="top"/>
          </w:tcPr>
          <w:p w14:paraId="37BD470D">
            <w:pPr>
              <w:spacing w:before="229" w:line="229" w:lineRule="auto"/>
              <w:ind w:left="194"/>
              <w:rPr>
                <w:rFonts w:ascii="黑体" w:hAnsi="黑体" w:eastAsia="黑体" w:cs="黑体"/>
                <w:sz w:val="20"/>
                <w:szCs w:val="20"/>
              </w:rPr>
            </w:pPr>
            <w:r>
              <w:rPr>
                <w:rFonts w:ascii="黑体" w:hAnsi="黑体" w:eastAsia="黑体" w:cs="黑体"/>
                <w:spacing w:val="4"/>
                <w:sz w:val="20"/>
                <w:szCs w:val="20"/>
              </w:rPr>
              <w:t>职务</w:t>
            </w:r>
          </w:p>
        </w:tc>
        <w:tc>
          <w:tcPr>
            <w:tcW w:w="809" w:type="dxa"/>
            <w:tcBorders>
              <w:top w:val="single" w:color="000000" w:sz="10" w:space="0"/>
            </w:tcBorders>
            <w:vAlign w:val="top"/>
          </w:tcPr>
          <w:p w14:paraId="30577F0E">
            <w:pPr>
              <w:spacing w:before="229" w:line="230" w:lineRule="auto"/>
              <w:ind w:left="196"/>
              <w:rPr>
                <w:rFonts w:ascii="黑体" w:hAnsi="黑体" w:eastAsia="黑体" w:cs="黑体"/>
                <w:sz w:val="20"/>
                <w:szCs w:val="20"/>
              </w:rPr>
            </w:pPr>
            <w:r>
              <w:rPr>
                <w:rFonts w:ascii="黑体" w:hAnsi="黑体" w:eastAsia="黑体" w:cs="黑体"/>
                <w:spacing w:val="4"/>
                <w:sz w:val="20"/>
                <w:szCs w:val="20"/>
              </w:rPr>
              <w:t>职称</w:t>
            </w:r>
          </w:p>
        </w:tc>
        <w:tc>
          <w:tcPr>
            <w:tcW w:w="4638" w:type="dxa"/>
            <w:tcBorders>
              <w:top w:val="single" w:color="000000" w:sz="10" w:space="0"/>
              <w:right w:val="single" w:color="000000" w:sz="10" w:space="0"/>
            </w:tcBorders>
            <w:vAlign w:val="top"/>
          </w:tcPr>
          <w:p w14:paraId="28CD6E36">
            <w:pPr>
              <w:spacing w:before="229" w:line="230" w:lineRule="auto"/>
              <w:ind w:left="854"/>
              <w:rPr>
                <w:rFonts w:ascii="黑体" w:hAnsi="黑体" w:eastAsia="黑体" w:cs="黑体"/>
                <w:sz w:val="20"/>
                <w:szCs w:val="20"/>
              </w:rPr>
            </w:pPr>
            <w:r>
              <w:rPr>
                <w:rFonts w:ascii="黑体" w:hAnsi="黑体" w:eastAsia="黑体" w:cs="黑体"/>
                <w:spacing w:val="9"/>
                <w:sz w:val="20"/>
                <w:szCs w:val="20"/>
              </w:rPr>
              <w:t>主要资历、经验及承担过的项目</w:t>
            </w:r>
          </w:p>
        </w:tc>
      </w:tr>
      <w:tr w14:paraId="3E2A5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8839" w:type="dxa"/>
            <w:gridSpan w:val="5"/>
            <w:tcBorders>
              <w:left w:val="single" w:color="000000" w:sz="10" w:space="0"/>
              <w:right w:val="single" w:color="000000" w:sz="10" w:space="0"/>
            </w:tcBorders>
            <w:vAlign w:val="top"/>
          </w:tcPr>
          <w:p w14:paraId="12747F04">
            <w:pPr>
              <w:spacing w:before="166" w:line="231" w:lineRule="auto"/>
              <w:ind w:left="3793"/>
              <w:rPr>
                <w:rFonts w:ascii="仿宋" w:hAnsi="仿宋" w:eastAsia="仿宋" w:cs="仿宋"/>
                <w:sz w:val="20"/>
                <w:szCs w:val="20"/>
              </w:rPr>
            </w:pPr>
            <w:r>
              <w:rPr>
                <w:rFonts w:ascii="仿宋" w:hAnsi="仿宋" w:eastAsia="仿宋" w:cs="仿宋"/>
                <w:spacing w:val="6"/>
                <w:sz w:val="20"/>
                <w:szCs w:val="20"/>
              </w:rPr>
              <w:t>一、总部人员</w:t>
            </w:r>
          </w:p>
        </w:tc>
      </w:tr>
      <w:tr w14:paraId="026B7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775" w:type="dxa"/>
            <w:tcBorders>
              <w:left w:val="single" w:color="000000" w:sz="10" w:space="0"/>
            </w:tcBorders>
            <w:vAlign w:val="top"/>
          </w:tcPr>
          <w:p w14:paraId="28CC34DA">
            <w:pPr>
              <w:spacing w:before="147" w:line="232" w:lineRule="auto"/>
              <w:ind w:left="467"/>
              <w:rPr>
                <w:rFonts w:ascii="仿宋" w:hAnsi="仿宋" w:eastAsia="仿宋" w:cs="仿宋"/>
                <w:sz w:val="20"/>
                <w:szCs w:val="20"/>
              </w:rPr>
            </w:pPr>
            <w:r>
              <w:rPr>
                <w:rFonts w:ascii="仿宋" w:hAnsi="仿宋" w:eastAsia="仿宋" w:cs="仿宋"/>
                <w:spacing w:val="5"/>
                <w:sz w:val="20"/>
                <w:szCs w:val="20"/>
              </w:rPr>
              <w:t>项目主管</w:t>
            </w:r>
          </w:p>
        </w:tc>
        <w:tc>
          <w:tcPr>
            <w:tcW w:w="808" w:type="dxa"/>
            <w:vAlign w:val="top"/>
          </w:tcPr>
          <w:p w14:paraId="4D476116">
            <w:pPr>
              <w:rPr>
                <w:rFonts w:ascii="Arial"/>
                <w:sz w:val="21"/>
              </w:rPr>
            </w:pPr>
          </w:p>
        </w:tc>
        <w:tc>
          <w:tcPr>
            <w:tcW w:w="809" w:type="dxa"/>
            <w:vAlign w:val="top"/>
          </w:tcPr>
          <w:p w14:paraId="484AEEB4">
            <w:pPr>
              <w:rPr>
                <w:rFonts w:ascii="Arial"/>
                <w:sz w:val="21"/>
              </w:rPr>
            </w:pPr>
          </w:p>
        </w:tc>
        <w:tc>
          <w:tcPr>
            <w:tcW w:w="809" w:type="dxa"/>
            <w:vAlign w:val="top"/>
          </w:tcPr>
          <w:p w14:paraId="0496AE7A">
            <w:pPr>
              <w:rPr>
                <w:rFonts w:ascii="Arial"/>
                <w:sz w:val="21"/>
              </w:rPr>
            </w:pPr>
          </w:p>
        </w:tc>
        <w:tc>
          <w:tcPr>
            <w:tcW w:w="4638" w:type="dxa"/>
            <w:tcBorders>
              <w:right w:val="single" w:color="000000" w:sz="10" w:space="0"/>
            </w:tcBorders>
            <w:vAlign w:val="top"/>
          </w:tcPr>
          <w:p w14:paraId="40737B04">
            <w:pPr>
              <w:rPr>
                <w:rFonts w:ascii="Arial"/>
                <w:sz w:val="21"/>
              </w:rPr>
            </w:pPr>
          </w:p>
        </w:tc>
      </w:tr>
      <w:tr w14:paraId="50449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1775" w:type="dxa"/>
            <w:vMerge w:val="restart"/>
            <w:tcBorders>
              <w:left w:val="single" w:color="000000" w:sz="10" w:space="0"/>
              <w:bottom w:val="nil"/>
            </w:tcBorders>
            <w:vAlign w:val="top"/>
          </w:tcPr>
          <w:p w14:paraId="25B40170">
            <w:pPr>
              <w:spacing w:line="299" w:lineRule="auto"/>
              <w:rPr>
                <w:rFonts w:ascii="Arial"/>
                <w:sz w:val="21"/>
              </w:rPr>
            </w:pPr>
          </w:p>
          <w:p w14:paraId="21A2983F">
            <w:pPr>
              <w:spacing w:line="299" w:lineRule="auto"/>
              <w:rPr>
                <w:rFonts w:ascii="Arial"/>
                <w:sz w:val="21"/>
              </w:rPr>
            </w:pPr>
          </w:p>
          <w:p w14:paraId="7F0D7721">
            <w:pPr>
              <w:spacing w:before="65" w:line="230" w:lineRule="auto"/>
              <w:ind w:left="468"/>
              <w:rPr>
                <w:rFonts w:ascii="仿宋" w:hAnsi="仿宋" w:eastAsia="仿宋" w:cs="仿宋"/>
                <w:sz w:val="20"/>
                <w:szCs w:val="20"/>
              </w:rPr>
            </w:pPr>
            <w:r>
              <w:rPr>
                <w:rFonts w:ascii="仿宋" w:hAnsi="仿宋" w:eastAsia="仿宋" w:cs="仿宋"/>
                <w:spacing w:val="5"/>
                <w:sz w:val="20"/>
                <w:szCs w:val="20"/>
              </w:rPr>
              <w:t>其他人员</w:t>
            </w:r>
          </w:p>
        </w:tc>
        <w:tc>
          <w:tcPr>
            <w:tcW w:w="808" w:type="dxa"/>
            <w:vAlign w:val="top"/>
          </w:tcPr>
          <w:p w14:paraId="0FA25744">
            <w:pPr>
              <w:rPr>
                <w:rFonts w:ascii="Arial"/>
                <w:sz w:val="21"/>
              </w:rPr>
            </w:pPr>
          </w:p>
        </w:tc>
        <w:tc>
          <w:tcPr>
            <w:tcW w:w="809" w:type="dxa"/>
            <w:vAlign w:val="top"/>
          </w:tcPr>
          <w:p w14:paraId="340F660C">
            <w:pPr>
              <w:rPr>
                <w:rFonts w:ascii="Arial"/>
                <w:sz w:val="21"/>
              </w:rPr>
            </w:pPr>
          </w:p>
        </w:tc>
        <w:tc>
          <w:tcPr>
            <w:tcW w:w="809" w:type="dxa"/>
            <w:vAlign w:val="top"/>
          </w:tcPr>
          <w:p w14:paraId="713E11DF">
            <w:pPr>
              <w:rPr>
                <w:rFonts w:ascii="Arial"/>
                <w:sz w:val="21"/>
              </w:rPr>
            </w:pPr>
          </w:p>
        </w:tc>
        <w:tc>
          <w:tcPr>
            <w:tcW w:w="4638" w:type="dxa"/>
            <w:tcBorders>
              <w:right w:val="single" w:color="000000" w:sz="10" w:space="0"/>
            </w:tcBorders>
            <w:vAlign w:val="top"/>
          </w:tcPr>
          <w:p w14:paraId="035F02C0">
            <w:pPr>
              <w:rPr>
                <w:rFonts w:ascii="Arial"/>
                <w:sz w:val="21"/>
              </w:rPr>
            </w:pPr>
          </w:p>
        </w:tc>
      </w:tr>
      <w:tr w14:paraId="4C7CB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vMerge w:val="continue"/>
            <w:tcBorders>
              <w:top w:val="nil"/>
              <w:left w:val="single" w:color="000000" w:sz="10" w:space="0"/>
              <w:bottom w:val="nil"/>
            </w:tcBorders>
            <w:vAlign w:val="top"/>
          </w:tcPr>
          <w:p w14:paraId="344D4EB2">
            <w:pPr>
              <w:rPr>
                <w:rFonts w:ascii="Arial"/>
                <w:sz w:val="21"/>
              </w:rPr>
            </w:pPr>
          </w:p>
        </w:tc>
        <w:tc>
          <w:tcPr>
            <w:tcW w:w="808" w:type="dxa"/>
            <w:vAlign w:val="top"/>
          </w:tcPr>
          <w:p w14:paraId="1015B73B">
            <w:pPr>
              <w:rPr>
                <w:rFonts w:ascii="Arial"/>
                <w:sz w:val="21"/>
              </w:rPr>
            </w:pPr>
          </w:p>
        </w:tc>
        <w:tc>
          <w:tcPr>
            <w:tcW w:w="809" w:type="dxa"/>
            <w:vAlign w:val="top"/>
          </w:tcPr>
          <w:p w14:paraId="540B7259">
            <w:pPr>
              <w:rPr>
                <w:rFonts w:ascii="Arial"/>
                <w:sz w:val="21"/>
              </w:rPr>
            </w:pPr>
          </w:p>
        </w:tc>
        <w:tc>
          <w:tcPr>
            <w:tcW w:w="809" w:type="dxa"/>
            <w:vAlign w:val="top"/>
          </w:tcPr>
          <w:p w14:paraId="1590E121">
            <w:pPr>
              <w:rPr>
                <w:rFonts w:ascii="Arial"/>
                <w:sz w:val="21"/>
              </w:rPr>
            </w:pPr>
          </w:p>
        </w:tc>
        <w:tc>
          <w:tcPr>
            <w:tcW w:w="4638" w:type="dxa"/>
            <w:tcBorders>
              <w:right w:val="single" w:color="000000" w:sz="10" w:space="0"/>
            </w:tcBorders>
            <w:vAlign w:val="top"/>
          </w:tcPr>
          <w:p w14:paraId="4F78B0AF">
            <w:pPr>
              <w:rPr>
                <w:rFonts w:ascii="Arial"/>
                <w:sz w:val="21"/>
              </w:rPr>
            </w:pPr>
          </w:p>
        </w:tc>
      </w:tr>
      <w:tr w14:paraId="099B2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vMerge w:val="continue"/>
            <w:tcBorders>
              <w:top w:val="nil"/>
              <w:left w:val="single" w:color="000000" w:sz="10" w:space="0"/>
            </w:tcBorders>
            <w:vAlign w:val="top"/>
          </w:tcPr>
          <w:p w14:paraId="154C01DF">
            <w:pPr>
              <w:rPr>
                <w:rFonts w:ascii="Arial"/>
                <w:sz w:val="21"/>
              </w:rPr>
            </w:pPr>
          </w:p>
        </w:tc>
        <w:tc>
          <w:tcPr>
            <w:tcW w:w="808" w:type="dxa"/>
            <w:vAlign w:val="top"/>
          </w:tcPr>
          <w:p w14:paraId="4F918B1D">
            <w:pPr>
              <w:rPr>
                <w:rFonts w:ascii="Arial"/>
                <w:sz w:val="21"/>
              </w:rPr>
            </w:pPr>
          </w:p>
        </w:tc>
        <w:tc>
          <w:tcPr>
            <w:tcW w:w="809" w:type="dxa"/>
            <w:vAlign w:val="top"/>
          </w:tcPr>
          <w:p w14:paraId="15CAE2A6">
            <w:pPr>
              <w:rPr>
                <w:rFonts w:ascii="Arial"/>
                <w:sz w:val="21"/>
              </w:rPr>
            </w:pPr>
          </w:p>
        </w:tc>
        <w:tc>
          <w:tcPr>
            <w:tcW w:w="809" w:type="dxa"/>
            <w:vAlign w:val="top"/>
          </w:tcPr>
          <w:p w14:paraId="77D51205">
            <w:pPr>
              <w:rPr>
                <w:rFonts w:ascii="Arial"/>
                <w:sz w:val="21"/>
              </w:rPr>
            </w:pPr>
          </w:p>
        </w:tc>
        <w:tc>
          <w:tcPr>
            <w:tcW w:w="4638" w:type="dxa"/>
            <w:tcBorders>
              <w:right w:val="single" w:color="000000" w:sz="10" w:space="0"/>
            </w:tcBorders>
            <w:vAlign w:val="top"/>
          </w:tcPr>
          <w:p w14:paraId="11EA3135">
            <w:pPr>
              <w:rPr>
                <w:rFonts w:ascii="Arial"/>
                <w:sz w:val="21"/>
              </w:rPr>
            </w:pPr>
          </w:p>
        </w:tc>
      </w:tr>
      <w:tr w14:paraId="0EA6C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8839" w:type="dxa"/>
            <w:gridSpan w:val="5"/>
            <w:tcBorders>
              <w:left w:val="single" w:color="000000" w:sz="10" w:space="0"/>
              <w:right w:val="single" w:color="000000" w:sz="10" w:space="0"/>
            </w:tcBorders>
            <w:vAlign w:val="top"/>
          </w:tcPr>
          <w:p w14:paraId="672F3BFA">
            <w:pPr>
              <w:spacing w:before="161" w:line="232" w:lineRule="auto"/>
              <w:ind w:left="3797"/>
              <w:rPr>
                <w:rFonts w:ascii="仿宋" w:hAnsi="仿宋" w:eastAsia="仿宋" w:cs="仿宋"/>
                <w:sz w:val="20"/>
                <w:szCs w:val="20"/>
              </w:rPr>
            </w:pPr>
            <w:r>
              <w:rPr>
                <w:rFonts w:ascii="仿宋" w:hAnsi="仿宋" w:eastAsia="仿宋" w:cs="仿宋"/>
                <w:spacing w:val="6"/>
                <w:sz w:val="20"/>
                <w:szCs w:val="20"/>
              </w:rPr>
              <w:t>二、现场人员</w:t>
            </w:r>
          </w:p>
        </w:tc>
      </w:tr>
      <w:tr w14:paraId="6B908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3FB00AD6">
            <w:pPr>
              <w:spacing w:before="161" w:line="232" w:lineRule="auto"/>
              <w:ind w:left="467"/>
              <w:rPr>
                <w:rFonts w:ascii="仿宋" w:hAnsi="仿宋" w:eastAsia="仿宋" w:cs="仿宋"/>
                <w:sz w:val="20"/>
                <w:szCs w:val="20"/>
              </w:rPr>
            </w:pPr>
            <w:r>
              <w:rPr>
                <w:rFonts w:ascii="仿宋" w:hAnsi="仿宋" w:eastAsia="仿宋" w:cs="仿宋"/>
                <w:spacing w:val="5"/>
                <w:sz w:val="20"/>
                <w:szCs w:val="20"/>
              </w:rPr>
              <w:t>项目经理</w:t>
            </w:r>
          </w:p>
        </w:tc>
        <w:tc>
          <w:tcPr>
            <w:tcW w:w="808" w:type="dxa"/>
            <w:vAlign w:val="top"/>
          </w:tcPr>
          <w:p w14:paraId="14399953">
            <w:pPr>
              <w:rPr>
                <w:rFonts w:ascii="Arial"/>
                <w:sz w:val="21"/>
              </w:rPr>
            </w:pPr>
          </w:p>
        </w:tc>
        <w:tc>
          <w:tcPr>
            <w:tcW w:w="809" w:type="dxa"/>
            <w:vAlign w:val="top"/>
          </w:tcPr>
          <w:p w14:paraId="42E827DD">
            <w:pPr>
              <w:rPr>
                <w:rFonts w:ascii="Arial"/>
                <w:sz w:val="21"/>
              </w:rPr>
            </w:pPr>
          </w:p>
        </w:tc>
        <w:tc>
          <w:tcPr>
            <w:tcW w:w="809" w:type="dxa"/>
            <w:vAlign w:val="top"/>
          </w:tcPr>
          <w:p w14:paraId="5A5B77B7">
            <w:pPr>
              <w:rPr>
                <w:rFonts w:ascii="Arial"/>
                <w:sz w:val="21"/>
              </w:rPr>
            </w:pPr>
          </w:p>
        </w:tc>
        <w:tc>
          <w:tcPr>
            <w:tcW w:w="4638" w:type="dxa"/>
            <w:tcBorders>
              <w:right w:val="single" w:color="000000" w:sz="10" w:space="0"/>
            </w:tcBorders>
            <w:vAlign w:val="top"/>
          </w:tcPr>
          <w:p w14:paraId="551B130C">
            <w:pPr>
              <w:rPr>
                <w:rFonts w:ascii="Arial"/>
                <w:sz w:val="21"/>
              </w:rPr>
            </w:pPr>
          </w:p>
        </w:tc>
      </w:tr>
      <w:tr w14:paraId="62BD4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06945A4C">
            <w:pPr>
              <w:spacing w:before="161" w:line="232" w:lineRule="auto"/>
              <w:ind w:left="361"/>
              <w:rPr>
                <w:rFonts w:ascii="仿宋" w:hAnsi="仿宋" w:eastAsia="仿宋" w:cs="仿宋"/>
                <w:sz w:val="20"/>
                <w:szCs w:val="20"/>
              </w:rPr>
            </w:pPr>
            <w:r>
              <w:rPr>
                <w:rFonts w:ascii="仿宋" w:hAnsi="仿宋" w:eastAsia="仿宋" w:cs="仿宋"/>
                <w:spacing w:val="6"/>
                <w:sz w:val="20"/>
                <w:szCs w:val="20"/>
              </w:rPr>
              <w:t>项目副经理</w:t>
            </w:r>
          </w:p>
        </w:tc>
        <w:tc>
          <w:tcPr>
            <w:tcW w:w="808" w:type="dxa"/>
            <w:vAlign w:val="top"/>
          </w:tcPr>
          <w:p w14:paraId="2E3192C4">
            <w:pPr>
              <w:rPr>
                <w:rFonts w:ascii="Arial"/>
                <w:sz w:val="21"/>
              </w:rPr>
            </w:pPr>
          </w:p>
        </w:tc>
        <w:tc>
          <w:tcPr>
            <w:tcW w:w="809" w:type="dxa"/>
            <w:vAlign w:val="top"/>
          </w:tcPr>
          <w:p w14:paraId="64E3AC15">
            <w:pPr>
              <w:rPr>
                <w:rFonts w:ascii="Arial"/>
                <w:sz w:val="21"/>
              </w:rPr>
            </w:pPr>
          </w:p>
        </w:tc>
        <w:tc>
          <w:tcPr>
            <w:tcW w:w="809" w:type="dxa"/>
            <w:vAlign w:val="top"/>
          </w:tcPr>
          <w:p w14:paraId="08573D9F">
            <w:pPr>
              <w:rPr>
                <w:rFonts w:ascii="Arial"/>
                <w:sz w:val="21"/>
              </w:rPr>
            </w:pPr>
          </w:p>
        </w:tc>
        <w:tc>
          <w:tcPr>
            <w:tcW w:w="4638" w:type="dxa"/>
            <w:tcBorders>
              <w:right w:val="single" w:color="000000" w:sz="10" w:space="0"/>
            </w:tcBorders>
            <w:vAlign w:val="top"/>
          </w:tcPr>
          <w:p w14:paraId="766833A4">
            <w:pPr>
              <w:rPr>
                <w:rFonts w:ascii="Arial"/>
                <w:sz w:val="21"/>
              </w:rPr>
            </w:pPr>
          </w:p>
        </w:tc>
      </w:tr>
      <w:tr w14:paraId="3CB66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44632DDA">
            <w:pPr>
              <w:spacing w:before="161" w:line="231" w:lineRule="auto"/>
              <w:ind w:left="361"/>
              <w:rPr>
                <w:rFonts w:ascii="仿宋" w:hAnsi="仿宋" w:eastAsia="仿宋" w:cs="仿宋"/>
                <w:sz w:val="20"/>
                <w:szCs w:val="20"/>
              </w:rPr>
            </w:pPr>
            <w:r>
              <w:rPr>
                <w:rFonts w:ascii="仿宋" w:hAnsi="仿宋" w:eastAsia="仿宋" w:cs="仿宋"/>
                <w:spacing w:val="6"/>
                <w:sz w:val="20"/>
                <w:szCs w:val="20"/>
              </w:rPr>
              <w:t>技术负责人</w:t>
            </w:r>
          </w:p>
        </w:tc>
        <w:tc>
          <w:tcPr>
            <w:tcW w:w="808" w:type="dxa"/>
            <w:vAlign w:val="top"/>
          </w:tcPr>
          <w:p w14:paraId="38384EF5">
            <w:pPr>
              <w:rPr>
                <w:rFonts w:ascii="Arial"/>
                <w:sz w:val="21"/>
              </w:rPr>
            </w:pPr>
          </w:p>
        </w:tc>
        <w:tc>
          <w:tcPr>
            <w:tcW w:w="809" w:type="dxa"/>
            <w:vAlign w:val="top"/>
          </w:tcPr>
          <w:p w14:paraId="3114AE63">
            <w:pPr>
              <w:rPr>
                <w:rFonts w:ascii="Arial"/>
                <w:sz w:val="21"/>
              </w:rPr>
            </w:pPr>
          </w:p>
        </w:tc>
        <w:tc>
          <w:tcPr>
            <w:tcW w:w="809" w:type="dxa"/>
            <w:vAlign w:val="top"/>
          </w:tcPr>
          <w:p w14:paraId="50694912">
            <w:pPr>
              <w:rPr>
                <w:rFonts w:ascii="Arial"/>
                <w:sz w:val="21"/>
              </w:rPr>
            </w:pPr>
          </w:p>
        </w:tc>
        <w:tc>
          <w:tcPr>
            <w:tcW w:w="4638" w:type="dxa"/>
            <w:tcBorders>
              <w:right w:val="single" w:color="000000" w:sz="10" w:space="0"/>
            </w:tcBorders>
            <w:vAlign w:val="top"/>
          </w:tcPr>
          <w:p w14:paraId="15968053">
            <w:pPr>
              <w:rPr>
                <w:rFonts w:ascii="Arial"/>
                <w:sz w:val="21"/>
              </w:rPr>
            </w:pPr>
          </w:p>
        </w:tc>
      </w:tr>
      <w:tr w14:paraId="182BD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4A630332">
            <w:pPr>
              <w:spacing w:before="161" w:line="231" w:lineRule="auto"/>
              <w:ind w:left="465"/>
              <w:rPr>
                <w:rFonts w:ascii="仿宋" w:hAnsi="仿宋" w:eastAsia="仿宋" w:cs="仿宋"/>
                <w:sz w:val="20"/>
                <w:szCs w:val="20"/>
              </w:rPr>
            </w:pPr>
            <w:r>
              <w:rPr>
                <w:rFonts w:ascii="仿宋" w:hAnsi="仿宋" w:eastAsia="仿宋" w:cs="仿宋"/>
                <w:spacing w:val="6"/>
                <w:sz w:val="20"/>
                <w:szCs w:val="20"/>
              </w:rPr>
              <w:t>造价管理</w:t>
            </w:r>
          </w:p>
        </w:tc>
        <w:tc>
          <w:tcPr>
            <w:tcW w:w="808" w:type="dxa"/>
            <w:vAlign w:val="top"/>
          </w:tcPr>
          <w:p w14:paraId="5E16407C">
            <w:pPr>
              <w:rPr>
                <w:rFonts w:ascii="Arial"/>
                <w:sz w:val="21"/>
              </w:rPr>
            </w:pPr>
          </w:p>
        </w:tc>
        <w:tc>
          <w:tcPr>
            <w:tcW w:w="809" w:type="dxa"/>
            <w:vAlign w:val="top"/>
          </w:tcPr>
          <w:p w14:paraId="57F44A58">
            <w:pPr>
              <w:rPr>
                <w:rFonts w:ascii="Arial"/>
                <w:sz w:val="21"/>
              </w:rPr>
            </w:pPr>
          </w:p>
        </w:tc>
        <w:tc>
          <w:tcPr>
            <w:tcW w:w="809" w:type="dxa"/>
            <w:vAlign w:val="top"/>
          </w:tcPr>
          <w:p w14:paraId="7D1DFC7B">
            <w:pPr>
              <w:rPr>
                <w:rFonts w:ascii="Arial"/>
                <w:sz w:val="21"/>
              </w:rPr>
            </w:pPr>
          </w:p>
        </w:tc>
        <w:tc>
          <w:tcPr>
            <w:tcW w:w="4638" w:type="dxa"/>
            <w:tcBorders>
              <w:right w:val="single" w:color="000000" w:sz="10" w:space="0"/>
            </w:tcBorders>
            <w:vAlign w:val="top"/>
          </w:tcPr>
          <w:p w14:paraId="6A3E529B">
            <w:pPr>
              <w:rPr>
                <w:rFonts w:ascii="Arial"/>
                <w:sz w:val="21"/>
              </w:rPr>
            </w:pPr>
          </w:p>
        </w:tc>
      </w:tr>
      <w:tr w14:paraId="57DB6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44A91900">
            <w:pPr>
              <w:spacing w:before="161" w:line="232" w:lineRule="auto"/>
              <w:ind w:left="471"/>
              <w:rPr>
                <w:rFonts w:ascii="仿宋" w:hAnsi="仿宋" w:eastAsia="仿宋" w:cs="仿宋"/>
                <w:sz w:val="20"/>
                <w:szCs w:val="20"/>
              </w:rPr>
            </w:pPr>
            <w:r>
              <w:rPr>
                <w:rFonts w:ascii="仿宋" w:hAnsi="仿宋" w:eastAsia="仿宋" w:cs="仿宋"/>
                <w:spacing w:val="4"/>
                <w:sz w:val="20"/>
                <w:szCs w:val="20"/>
              </w:rPr>
              <w:t>质量管理</w:t>
            </w:r>
          </w:p>
        </w:tc>
        <w:tc>
          <w:tcPr>
            <w:tcW w:w="808" w:type="dxa"/>
            <w:vAlign w:val="top"/>
          </w:tcPr>
          <w:p w14:paraId="0ED9BC84">
            <w:pPr>
              <w:rPr>
                <w:rFonts w:ascii="Arial"/>
                <w:sz w:val="21"/>
              </w:rPr>
            </w:pPr>
          </w:p>
        </w:tc>
        <w:tc>
          <w:tcPr>
            <w:tcW w:w="809" w:type="dxa"/>
            <w:vAlign w:val="top"/>
          </w:tcPr>
          <w:p w14:paraId="4AB47C3E">
            <w:pPr>
              <w:rPr>
                <w:rFonts w:ascii="Arial"/>
                <w:sz w:val="21"/>
              </w:rPr>
            </w:pPr>
          </w:p>
        </w:tc>
        <w:tc>
          <w:tcPr>
            <w:tcW w:w="809" w:type="dxa"/>
            <w:vAlign w:val="top"/>
          </w:tcPr>
          <w:p w14:paraId="57A4E9EC">
            <w:pPr>
              <w:rPr>
                <w:rFonts w:ascii="Arial"/>
                <w:sz w:val="21"/>
              </w:rPr>
            </w:pPr>
          </w:p>
        </w:tc>
        <w:tc>
          <w:tcPr>
            <w:tcW w:w="4638" w:type="dxa"/>
            <w:tcBorders>
              <w:right w:val="single" w:color="000000" w:sz="10" w:space="0"/>
            </w:tcBorders>
            <w:vAlign w:val="top"/>
          </w:tcPr>
          <w:p w14:paraId="7FDBCAFB">
            <w:pPr>
              <w:rPr>
                <w:rFonts w:ascii="Arial"/>
                <w:sz w:val="21"/>
              </w:rPr>
            </w:pPr>
          </w:p>
        </w:tc>
      </w:tr>
      <w:tr w14:paraId="5AEF0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477B9A86">
            <w:pPr>
              <w:spacing w:before="161" w:line="229" w:lineRule="auto"/>
              <w:ind w:left="465"/>
              <w:rPr>
                <w:rFonts w:ascii="仿宋" w:hAnsi="仿宋" w:eastAsia="仿宋" w:cs="仿宋"/>
                <w:sz w:val="20"/>
                <w:szCs w:val="20"/>
              </w:rPr>
            </w:pPr>
            <w:r>
              <w:rPr>
                <w:rFonts w:ascii="仿宋" w:hAnsi="仿宋" w:eastAsia="仿宋" w:cs="仿宋"/>
                <w:spacing w:val="6"/>
                <w:sz w:val="20"/>
                <w:szCs w:val="20"/>
              </w:rPr>
              <w:t>材料管理</w:t>
            </w:r>
          </w:p>
        </w:tc>
        <w:tc>
          <w:tcPr>
            <w:tcW w:w="808" w:type="dxa"/>
            <w:vAlign w:val="top"/>
          </w:tcPr>
          <w:p w14:paraId="720BC3D1">
            <w:pPr>
              <w:rPr>
                <w:rFonts w:ascii="Arial"/>
                <w:sz w:val="21"/>
              </w:rPr>
            </w:pPr>
          </w:p>
        </w:tc>
        <w:tc>
          <w:tcPr>
            <w:tcW w:w="809" w:type="dxa"/>
            <w:vAlign w:val="top"/>
          </w:tcPr>
          <w:p w14:paraId="1E72F22F">
            <w:pPr>
              <w:rPr>
                <w:rFonts w:ascii="Arial"/>
                <w:sz w:val="21"/>
              </w:rPr>
            </w:pPr>
          </w:p>
        </w:tc>
        <w:tc>
          <w:tcPr>
            <w:tcW w:w="809" w:type="dxa"/>
            <w:vAlign w:val="top"/>
          </w:tcPr>
          <w:p w14:paraId="515FB68B">
            <w:pPr>
              <w:rPr>
                <w:rFonts w:ascii="Arial"/>
                <w:sz w:val="21"/>
              </w:rPr>
            </w:pPr>
          </w:p>
        </w:tc>
        <w:tc>
          <w:tcPr>
            <w:tcW w:w="4638" w:type="dxa"/>
            <w:tcBorders>
              <w:right w:val="single" w:color="000000" w:sz="10" w:space="0"/>
            </w:tcBorders>
            <w:vAlign w:val="top"/>
          </w:tcPr>
          <w:p w14:paraId="583C101D">
            <w:pPr>
              <w:rPr>
                <w:rFonts w:ascii="Arial"/>
                <w:sz w:val="21"/>
              </w:rPr>
            </w:pPr>
          </w:p>
        </w:tc>
      </w:tr>
      <w:tr w14:paraId="209BF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577773ED">
            <w:pPr>
              <w:spacing w:before="161" w:line="231" w:lineRule="auto"/>
              <w:ind w:left="466"/>
              <w:rPr>
                <w:rFonts w:ascii="仿宋" w:hAnsi="仿宋" w:eastAsia="仿宋" w:cs="仿宋"/>
                <w:sz w:val="20"/>
                <w:szCs w:val="20"/>
              </w:rPr>
            </w:pPr>
            <w:r>
              <w:rPr>
                <w:rFonts w:ascii="仿宋" w:hAnsi="仿宋" w:eastAsia="仿宋" w:cs="仿宋"/>
                <w:spacing w:val="5"/>
                <w:sz w:val="20"/>
                <w:szCs w:val="20"/>
              </w:rPr>
              <w:t>计划管理</w:t>
            </w:r>
          </w:p>
        </w:tc>
        <w:tc>
          <w:tcPr>
            <w:tcW w:w="808" w:type="dxa"/>
            <w:vAlign w:val="top"/>
          </w:tcPr>
          <w:p w14:paraId="57844244">
            <w:pPr>
              <w:rPr>
                <w:rFonts w:ascii="Arial"/>
                <w:sz w:val="21"/>
              </w:rPr>
            </w:pPr>
          </w:p>
        </w:tc>
        <w:tc>
          <w:tcPr>
            <w:tcW w:w="809" w:type="dxa"/>
            <w:vAlign w:val="top"/>
          </w:tcPr>
          <w:p w14:paraId="3BC36FD5">
            <w:pPr>
              <w:rPr>
                <w:rFonts w:ascii="Arial"/>
                <w:sz w:val="21"/>
              </w:rPr>
            </w:pPr>
          </w:p>
        </w:tc>
        <w:tc>
          <w:tcPr>
            <w:tcW w:w="809" w:type="dxa"/>
            <w:vAlign w:val="top"/>
          </w:tcPr>
          <w:p w14:paraId="12A54125">
            <w:pPr>
              <w:rPr>
                <w:rFonts w:ascii="Arial"/>
                <w:sz w:val="21"/>
              </w:rPr>
            </w:pPr>
          </w:p>
        </w:tc>
        <w:tc>
          <w:tcPr>
            <w:tcW w:w="4638" w:type="dxa"/>
            <w:tcBorders>
              <w:right w:val="single" w:color="000000" w:sz="10" w:space="0"/>
            </w:tcBorders>
            <w:vAlign w:val="top"/>
          </w:tcPr>
          <w:p w14:paraId="17397BF0">
            <w:pPr>
              <w:rPr>
                <w:rFonts w:ascii="Arial"/>
                <w:sz w:val="21"/>
              </w:rPr>
            </w:pPr>
          </w:p>
        </w:tc>
      </w:tr>
      <w:tr w14:paraId="467F5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453957AC">
            <w:pPr>
              <w:spacing w:before="161" w:line="232" w:lineRule="auto"/>
              <w:ind w:left="469"/>
              <w:rPr>
                <w:rFonts w:ascii="仿宋" w:hAnsi="仿宋" w:eastAsia="仿宋" w:cs="仿宋"/>
                <w:sz w:val="20"/>
                <w:szCs w:val="20"/>
              </w:rPr>
            </w:pPr>
            <w:r>
              <w:rPr>
                <w:rFonts w:ascii="仿宋" w:hAnsi="仿宋" w:eastAsia="仿宋" w:cs="仿宋"/>
                <w:spacing w:val="5"/>
                <w:sz w:val="20"/>
                <w:szCs w:val="20"/>
              </w:rPr>
              <w:t>安全管理</w:t>
            </w:r>
          </w:p>
        </w:tc>
        <w:tc>
          <w:tcPr>
            <w:tcW w:w="808" w:type="dxa"/>
            <w:vAlign w:val="top"/>
          </w:tcPr>
          <w:p w14:paraId="032F1078">
            <w:pPr>
              <w:rPr>
                <w:rFonts w:ascii="Arial"/>
                <w:sz w:val="21"/>
              </w:rPr>
            </w:pPr>
          </w:p>
        </w:tc>
        <w:tc>
          <w:tcPr>
            <w:tcW w:w="809" w:type="dxa"/>
            <w:vAlign w:val="top"/>
          </w:tcPr>
          <w:p w14:paraId="3B2F2302">
            <w:pPr>
              <w:rPr>
                <w:rFonts w:ascii="Arial"/>
                <w:sz w:val="21"/>
              </w:rPr>
            </w:pPr>
          </w:p>
        </w:tc>
        <w:tc>
          <w:tcPr>
            <w:tcW w:w="809" w:type="dxa"/>
            <w:vAlign w:val="top"/>
          </w:tcPr>
          <w:p w14:paraId="2FD5E58B">
            <w:pPr>
              <w:rPr>
                <w:rFonts w:ascii="Arial"/>
                <w:sz w:val="21"/>
              </w:rPr>
            </w:pPr>
          </w:p>
        </w:tc>
        <w:tc>
          <w:tcPr>
            <w:tcW w:w="4638" w:type="dxa"/>
            <w:tcBorders>
              <w:right w:val="single" w:color="000000" w:sz="10" w:space="0"/>
            </w:tcBorders>
            <w:vAlign w:val="top"/>
          </w:tcPr>
          <w:p w14:paraId="0CBB3FE5">
            <w:pPr>
              <w:rPr>
                <w:rFonts w:ascii="Arial"/>
                <w:sz w:val="21"/>
              </w:rPr>
            </w:pPr>
          </w:p>
        </w:tc>
      </w:tr>
      <w:tr w14:paraId="4D691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vMerge w:val="restart"/>
            <w:tcBorders>
              <w:left w:val="single" w:color="000000" w:sz="10" w:space="0"/>
              <w:bottom w:val="nil"/>
            </w:tcBorders>
            <w:vAlign w:val="top"/>
          </w:tcPr>
          <w:p w14:paraId="39B92B23">
            <w:pPr>
              <w:spacing w:line="269" w:lineRule="auto"/>
              <w:rPr>
                <w:rFonts w:ascii="Arial"/>
                <w:sz w:val="21"/>
              </w:rPr>
            </w:pPr>
          </w:p>
          <w:p w14:paraId="305BAD21">
            <w:pPr>
              <w:spacing w:line="269" w:lineRule="auto"/>
              <w:rPr>
                <w:rFonts w:ascii="Arial"/>
                <w:sz w:val="21"/>
              </w:rPr>
            </w:pPr>
          </w:p>
          <w:p w14:paraId="6933E306">
            <w:pPr>
              <w:spacing w:line="270" w:lineRule="auto"/>
              <w:rPr>
                <w:rFonts w:ascii="Arial"/>
                <w:sz w:val="21"/>
              </w:rPr>
            </w:pPr>
          </w:p>
          <w:p w14:paraId="7AA75D54">
            <w:pPr>
              <w:spacing w:line="270" w:lineRule="auto"/>
              <w:rPr>
                <w:rFonts w:ascii="Arial"/>
                <w:sz w:val="21"/>
              </w:rPr>
            </w:pPr>
          </w:p>
          <w:p w14:paraId="4B38C677">
            <w:pPr>
              <w:spacing w:line="270" w:lineRule="auto"/>
              <w:rPr>
                <w:rFonts w:ascii="Arial"/>
                <w:sz w:val="21"/>
              </w:rPr>
            </w:pPr>
          </w:p>
          <w:p w14:paraId="0B3849D9">
            <w:pPr>
              <w:spacing w:before="65" w:line="230" w:lineRule="auto"/>
              <w:ind w:left="468"/>
              <w:rPr>
                <w:rFonts w:ascii="仿宋" w:hAnsi="仿宋" w:eastAsia="仿宋" w:cs="仿宋"/>
                <w:sz w:val="20"/>
                <w:szCs w:val="20"/>
              </w:rPr>
            </w:pPr>
            <w:r>
              <w:rPr>
                <w:rFonts w:ascii="仿宋" w:hAnsi="仿宋" w:eastAsia="仿宋" w:cs="仿宋"/>
                <w:spacing w:val="5"/>
                <w:sz w:val="20"/>
                <w:szCs w:val="20"/>
              </w:rPr>
              <w:t>其他人员</w:t>
            </w:r>
          </w:p>
        </w:tc>
        <w:tc>
          <w:tcPr>
            <w:tcW w:w="808" w:type="dxa"/>
            <w:vAlign w:val="top"/>
          </w:tcPr>
          <w:p w14:paraId="70FAAEF2">
            <w:pPr>
              <w:rPr>
                <w:rFonts w:ascii="Arial"/>
                <w:sz w:val="21"/>
              </w:rPr>
            </w:pPr>
          </w:p>
        </w:tc>
        <w:tc>
          <w:tcPr>
            <w:tcW w:w="809" w:type="dxa"/>
            <w:vAlign w:val="top"/>
          </w:tcPr>
          <w:p w14:paraId="0EB23E5D">
            <w:pPr>
              <w:rPr>
                <w:rFonts w:ascii="Arial"/>
                <w:sz w:val="21"/>
              </w:rPr>
            </w:pPr>
          </w:p>
        </w:tc>
        <w:tc>
          <w:tcPr>
            <w:tcW w:w="809" w:type="dxa"/>
            <w:vAlign w:val="top"/>
          </w:tcPr>
          <w:p w14:paraId="1BD545E4">
            <w:pPr>
              <w:rPr>
                <w:rFonts w:ascii="Arial"/>
                <w:sz w:val="21"/>
              </w:rPr>
            </w:pPr>
          </w:p>
        </w:tc>
        <w:tc>
          <w:tcPr>
            <w:tcW w:w="4638" w:type="dxa"/>
            <w:tcBorders>
              <w:right w:val="single" w:color="000000" w:sz="10" w:space="0"/>
            </w:tcBorders>
            <w:vAlign w:val="top"/>
          </w:tcPr>
          <w:p w14:paraId="2C906449">
            <w:pPr>
              <w:rPr>
                <w:rFonts w:ascii="Arial"/>
                <w:sz w:val="21"/>
              </w:rPr>
            </w:pPr>
          </w:p>
        </w:tc>
      </w:tr>
      <w:tr w14:paraId="66902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vMerge w:val="continue"/>
            <w:tcBorders>
              <w:top w:val="nil"/>
              <w:left w:val="single" w:color="000000" w:sz="10" w:space="0"/>
              <w:bottom w:val="nil"/>
            </w:tcBorders>
            <w:vAlign w:val="top"/>
          </w:tcPr>
          <w:p w14:paraId="6795C4BA">
            <w:pPr>
              <w:rPr>
                <w:rFonts w:ascii="Arial"/>
                <w:sz w:val="21"/>
              </w:rPr>
            </w:pPr>
          </w:p>
        </w:tc>
        <w:tc>
          <w:tcPr>
            <w:tcW w:w="808" w:type="dxa"/>
            <w:vAlign w:val="top"/>
          </w:tcPr>
          <w:p w14:paraId="67CF968E">
            <w:pPr>
              <w:rPr>
                <w:rFonts w:ascii="Arial"/>
                <w:sz w:val="21"/>
              </w:rPr>
            </w:pPr>
          </w:p>
        </w:tc>
        <w:tc>
          <w:tcPr>
            <w:tcW w:w="809" w:type="dxa"/>
            <w:vAlign w:val="top"/>
          </w:tcPr>
          <w:p w14:paraId="21D54D2B">
            <w:pPr>
              <w:rPr>
                <w:rFonts w:ascii="Arial"/>
                <w:sz w:val="21"/>
              </w:rPr>
            </w:pPr>
          </w:p>
        </w:tc>
        <w:tc>
          <w:tcPr>
            <w:tcW w:w="809" w:type="dxa"/>
            <w:vAlign w:val="top"/>
          </w:tcPr>
          <w:p w14:paraId="312FDBCD">
            <w:pPr>
              <w:rPr>
                <w:rFonts w:ascii="Arial"/>
                <w:sz w:val="21"/>
              </w:rPr>
            </w:pPr>
          </w:p>
        </w:tc>
        <w:tc>
          <w:tcPr>
            <w:tcW w:w="4638" w:type="dxa"/>
            <w:tcBorders>
              <w:right w:val="single" w:color="000000" w:sz="10" w:space="0"/>
            </w:tcBorders>
            <w:vAlign w:val="top"/>
          </w:tcPr>
          <w:p w14:paraId="2644E9A6">
            <w:pPr>
              <w:rPr>
                <w:rFonts w:ascii="Arial"/>
                <w:sz w:val="21"/>
              </w:rPr>
            </w:pPr>
          </w:p>
        </w:tc>
      </w:tr>
      <w:tr w14:paraId="52716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vMerge w:val="continue"/>
            <w:tcBorders>
              <w:top w:val="nil"/>
              <w:left w:val="single" w:color="000000" w:sz="10" w:space="0"/>
              <w:bottom w:val="nil"/>
            </w:tcBorders>
            <w:vAlign w:val="top"/>
          </w:tcPr>
          <w:p w14:paraId="338A8C9B">
            <w:pPr>
              <w:rPr>
                <w:rFonts w:ascii="Arial"/>
                <w:sz w:val="21"/>
              </w:rPr>
            </w:pPr>
          </w:p>
        </w:tc>
        <w:tc>
          <w:tcPr>
            <w:tcW w:w="808" w:type="dxa"/>
            <w:vAlign w:val="top"/>
          </w:tcPr>
          <w:p w14:paraId="324D4070">
            <w:pPr>
              <w:rPr>
                <w:rFonts w:ascii="Arial"/>
                <w:sz w:val="21"/>
              </w:rPr>
            </w:pPr>
          </w:p>
        </w:tc>
        <w:tc>
          <w:tcPr>
            <w:tcW w:w="809" w:type="dxa"/>
            <w:vAlign w:val="top"/>
          </w:tcPr>
          <w:p w14:paraId="199C533E">
            <w:pPr>
              <w:rPr>
                <w:rFonts w:ascii="Arial"/>
                <w:sz w:val="21"/>
              </w:rPr>
            </w:pPr>
          </w:p>
        </w:tc>
        <w:tc>
          <w:tcPr>
            <w:tcW w:w="809" w:type="dxa"/>
            <w:vAlign w:val="top"/>
          </w:tcPr>
          <w:p w14:paraId="50CDBBF4">
            <w:pPr>
              <w:rPr>
                <w:rFonts w:ascii="Arial"/>
                <w:sz w:val="21"/>
              </w:rPr>
            </w:pPr>
          </w:p>
        </w:tc>
        <w:tc>
          <w:tcPr>
            <w:tcW w:w="4638" w:type="dxa"/>
            <w:tcBorders>
              <w:right w:val="single" w:color="000000" w:sz="10" w:space="0"/>
            </w:tcBorders>
            <w:vAlign w:val="top"/>
          </w:tcPr>
          <w:p w14:paraId="242D47D0">
            <w:pPr>
              <w:rPr>
                <w:rFonts w:ascii="Arial"/>
                <w:sz w:val="21"/>
              </w:rPr>
            </w:pPr>
          </w:p>
        </w:tc>
      </w:tr>
      <w:tr w14:paraId="1880C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vMerge w:val="continue"/>
            <w:tcBorders>
              <w:top w:val="nil"/>
              <w:left w:val="single" w:color="000000" w:sz="10" w:space="0"/>
              <w:bottom w:val="nil"/>
            </w:tcBorders>
            <w:vAlign w:val="top"/>
          </w:tcPr>
          <w:p w14:paraId="1DB6AEA1">
            <w:pPr>
              <w:rPr>
                <w:rFonts w:ascii="Arial"/>
                <w:sz w:val="21"/>
              </w:rPr>
            </w:pPr>
          </w:p>
        </w:tc>
        <w:tc>
          <w:tcPr>
            <w:tcW w:w="808" w:type="dxa"/>
            <w:vAlign w:val="top"/>
          </w:tcPr>
          <w:p w14:paraId="7DA368C9">
            <w:pPr>
              <w:rPr>
                <w:rFonts w:ascii="Arial"/>
                <w:sz w:val="21"/>
              </w:rPr>
            </w:pPr>
          </w:p>
        </w:tc>
        <w:tc>
          <w:tcPr>
            <w:tcW w:w="809" w:type="dxa"/>
            <w:vAlign w:val="top"/>
          </w:tcPr>
          <w:p w14:paraId="6D1E3B33">
            <w:pPr>
              <w:rPr>
                <w:rFonts w:ascii="Arial"/>
                <w:sz w:val="21"/>
              </w:rPr>
            </w:pPr>
          </w:p>
        </w:tc>
        <w:tc>
          <w:tcPr>
            <w:tcW w:w="809" w:type="dxa"/>
            <w:vAlign w:val="top"/>
          </w:tcPr>
          <w:p w14:paraId="12534FF3">
            <w:pPr>
              <w:rPr>
                <w:rFonts w:ascii="Arial"/>
                <w:sz w:val="21"/>
              </w:rPr>
            </w:pPr>
          </w:p>
        </w:tc>
        <w:tc>
          <w:tcPr>
            <w:tcW w:w="4638" w:type="dxa"/>
            <w:tcBorders>
              <w:right w:val="single" w:color="000000" w:sz="10" w:space="0"/>
            </w:tcBorders>
            <w:vAlign w:val="top"/>
          </w:tcPr>
          <w:p w14:paraId="704144F1">
            <w:pPr>
              <w:rPr>
                <w:rFonts w:ascii="Arial"/>
                <w:sz w:val="21"/>
              </w:rPr>
            </w:pPr>
          </w:p>
        </w:tc>
      </w:tr>
      <w:tr w14:paraId="20547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vMerge w:val="continue"/>
            <w:tcBorders>
              <w:top w:val="nil"/>
              <w:left w:val="single" w:color="000000" w:sz="10" w:space="0"/>
              <w:bottom w:val="nil"/>
            </w:tcBorders>
            <w:vAlign w:val="top"/>
          </w:tcPr>
          <w:p w14:paraId="2AFB2301">
            <w:pPr>
              <w:rPr>
                <w:rFonts w:ascii="Arial"/>
                <w:sz w:val="21"/>
              </w:rPr>
            </w:pPr>
          </w:p>
        </w:tc>
        <w:tc>
          <w:tcPr>
            <w:tcW w:w="808" w:type="dxa"/>
            <w:vAlign w:val="top"/>
          </w:tcPr>
          <w:p w14:paraId="4B27B8DC">
            <w:pPr>
              <w:rPr>
                <w:rFonts w:ascii="Arial"/>
                <w:sz w:val="21"/>
              </w:rPr>
            </w:pPr>
          </w:p>
        </w:tc>
        <w:tc>
          <w:tcPr>
            <w:tcW w:w="809" w:type="dxa"/>
            <w:vAlign w:val="top"/>
          </w:tcPr>
          <w:p w14:paraId="5B2C6490">
            <w:pPr>
              <w:rPr>
                <w:rFonts w:ascii="Arial"/>
                <w:sz w:val="21"/>
              </w:rPr>
            </w:pPr>
          </w:p>
        </w:tc>
        <w:tc>
          <w:tcPr>
            <w:tcW w:w="809" w:type="dxa"/>
            <w:vAlign w:val="top"/>
          </w:tcPr>
          <w:p w14:paraId="1E1FFDA1">
            <w:pPr>
              <w:rPr>
                <w:rFonts w:ascii="Arial"/>
                <w:sz w:val="21"/>
              </w:rPr>
            </w:pPr>
          </w:p>
        </w:tc>
        <w:tc>
          <w:tcPr>
            <w:tcW w:w="4638" w:type="dxa"/>
            <w:tcBorders>
              <w:right w:val="single" w:color="000000" w:sz="10" w:space="0"/>
            </w:tcBorders>
            <w:vAlign w:val="top"/>
          </w:tcPr>
          <w:p w14:paraId="71F3F0C5">
            <w:pPr>
              <w:rPr>
                <w:rFonts w:ascii="Arial"/>
                <w:sz w:val="21"/>
              </w:rPr>
            </w:pPr>
          </w:p>
        </w:tc>
      </w:tr>
      <w:tr w14:paraId="55BCE8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1775" w:type="dxa"/>
            <w:vMerge w:val="continue"/>
            <w:tcBorders>
              <w:top w:val="nil"/>
              <w:left w:val="single" w:color="000000" w:sz="10" w:space="0"/>
              <w:bottom w:val="single" w:color="000000" w:sz="10" w:space="0"/>
            </w:tcBorders>
            <w:vAlign w:val="top"/>
          </w:tcPr>
          <w:p w14:paraId="1BC59770">
            <w:pPr>
              <w:rPr>
                <w:rFonts w:ascii="Arial"/>
                <w:sz w:val="21"/>
              </w:rPr>
            </w:pPr>
          </w:p>
        </w:tc>
        <w:tc>
          <w:tcPr>
            <w:tcW w:w="808" w:type="dxa"/>
            <w:tcBorders>
              <w:bottom w:val="single" w:color="000000" w:sz="10" w:space="0"/>
            </w:tcBorders>
            <w:vAlign w:val="top"/>
          </w:tcPr>
          <w:p w14:paraId="6C309272">
            <w:pPr>
              <w:rPr>
                <w:rFonts w:ascii="Arial"/>
                <w:sz w:val="21"/>
              </w:rPr>
            </w:pPr>
          </w:p>
        </w:tc>
        <w:tc>
          <w:tcPr>
            <w:tcW w:w="809" w:type="dxa"/>
            <w:tcBorders>
              <w:bottom w:val="single" w:color="000000" w:sz="10" w:space="0"/>
            </w:tcBorders>
            <w:vAlign w:val="top"/>
          </w:tcPr>
          <w:p w14:paraId="5C7265F2">
            <w:pPr>
              <w:rPr>
                <w:rFonts w:ascii="Arial"/>
                <w:sz w:val="21"/>
              </w:rPr>
            </w:pPr>
          </w:p>
        </w:tc>
        <w:tc>
          <w:tcPr>
            <w:tcW w:w="809" w:type="dxa"/>
            <w:tcBorders>
              <w:bottom w:val="single" w:color="000000" w:sz="10" w:space="0"/>
            </w:tcBorders>
            <w:vAlign w:val="top"/>
          </w:tcPr>
          <w:p w14:paraId="0C339D90">
            <w:pPr>
              <w:rPr>
                <w:rFonts w:ascii="Arial"/>
                <w:sz w:val="21"/>
              </w:rPr>
            </w:pPr>
          </w:p>
        </w:tc>
        <w:tc>
          <w:tcPr>
            <w:tcW w:w="4638" w:type="dxa"/>
            <w:tcBorders>
              <w:bottom w:val="single" w:color="000000" w:sz="10" w:space="0"/>
              <w:right w:val="single" w:color="000000" w:sz="10" w:space="0"/>
            </w:tcBorders>
            <w:vAlign w:val="top"/>
          </w:tcPr>
          <w:p w14:paraId="26EF8C50">
            <w:pPr>
              <w:rPr>
                <w:rFonts w:ascii="Arial"/>
                <w:sz w:val="21"/>
              </w:rPr>
            </w:pPr>
          </w:p>
        </w:tc>
      </w:tr>
    </w:tbl>
    <w:p w14:paraId="0CB27CCD">
      <w:pPr>
        <w:rPr>
          <w:rFonts w:ascii="Arial"/>
          <w:sz w:val="21"/>
        </w:rPr>
      </w:pPr>
    </w:p>
    <w:p w14:paraId="71338E4E">
      <w:pPr>
        <w:rPr>
          <w:rFonts w:ascii="Arial" w:hAnsi="Arial" w:eastAsia="Arial" w:cs="Arial"/>
          <w:sz w:val="21"/>
          <w:szCs w:val="21"/>
        </w:rPr>
        <w:sectPr>
          <w:footerReference r:id="rId429" w:type="default"/>
          <w:pgSz w:w="11907" w:h="16840"/>
          <w:pgMar w:top="400" w:right="1549" w:bottom="1105" w:left="1492" w:header="0" w:footer="943" w:gutter="0"/>
          <w:cols w:space="720" w:num="1"/>
        </w:sectPr>
      </w:pPr>
    </w:p>
    <w:p w14:paraId="41571AD0">
      <w:pPr>
        <w:spacing w:line="248" w:lineRule="auto"/>
        <w:rPr>
          <w:rFonts w:ascii="Arial"/>
          <w:sz w:val="21"/>
        </w:rPr>
      </w:pPr>
    </w:p>
    <w:p w14:paraId="3235D212">
      <w:pPr>
        <w:spacing w:line="248" w:lineRule="auto"/>
        <w:rPr>
          <w:rFonts w:ascii="Arial"/>
          <w:sz w:val="21"/>
        </w:rPr>
      </w:pPr>
    </w:p>
    <w:p w14:paraId="6DF7F3DA">
      <w:pPr>
        <w:spacing w:line="249" w:lineRule="auto"/>
        <w:rPr>
          <w:rFonts w:ascii="Arial"/>
          <w:sz w:val="21"/>
        </w:rPr>
      </w:pPr>
    </w:p>
    <w:p w14:paraId="39A43249">
      <w:pPr>
        <w:spacing w:line="249" w:lineRule="auto"/>
        <w:rPr>
          <w:rFonts w:ascii="Arial"/>
          <w:sz w:val="21"/>
        </w:rPr>
      </w:pPr>
    </w:p>
    <w:p w14:paraId="66E608B5">
      <w:pPr>
        <w:spacing w:line="249" w:lineRule="auto"/>
        <w:rPr>
          <w:rFonts w:ascii="Arial"/>
          <w:sz w:val="21"/>
        </w:rPr>
      </w:pPr>
    </w:p>
    <w:p w14:paraId="1DB4B12E">
      <w:pPr>
        <w:pStyle w:val="2"/>
        <w:spacing w:before="91" w:line="225" w:lineRule="auto"/>
        <w:ind w:left="27"/>
        <w:rPr>
          <w:sz w:val="28"/>
          <w:szCs w:val="28"/>
        </w:rPr>
      </w:pPr>
      <w:r>
        <w:rPr>
          <w:spacing w:val="-11"/>
          <w:sz w:val="28"/>
          <w:szCs w:val="28"/>
        </w:rPr>
        <w:t>附件</w:t>
      </w:r>
      <w:r>
        <w:rPr>
          <w:spacing w:val="-52"/>
          <w:sz w:val="28"/>
          <w:szCs w:val="28"/>
        </w:rPr>
        <w:t xml:space="preserve"> </w:t>
      </w:r>
      <w:r>
        <w:rPr>
          <w:rFonts w:ascii="Times New Roman" w:hAnsi="Times New Roman" w:eastAsia="Times New Roman" w:cs="Times New Roman"/>
          <w:spacing w:val="-11"/>
          <w:sz w:val="28"/>
          <w:szCs w:val="28"/>
        </w:rPr>
        <w:t>8</w:t>
      </w:r>
      <w:r>
        <w:rPr>
          <w:spacing w:val="-11"/>
          <w:sz w:val="28"/>
          <w:szCs w:val="28"/>
        </w:rPr>
        <w:t>：</w:t>
      </w:r>
    </w:p>
    <w:p w14:paraId="19310F50">
      <w:pPr>
        <w:spacing w:line="243" w:lineRule="auto"/>
        <w:rPr>
          <w:rFonts w:ascii="Arial"/>
          <w:sz w:val="21"/>
        </w:rPr>
      </w:pPr>
    </w:p>
    <w:p w14:paraId="41228684">
      <w:pPr>
        <w:spacing w:before="120" w:line="183" w:lineRule="auto"/>
        <w:ind w:left="4177"/>
        <w:rPr>
          <w:rFonts w:ascii="微软雅黑" w:hAnsi="微软雅黑" w:eastAsia="微软雅黑" w:cs="微软雅黑"/>
          <w:sz w:val="28"/>
          <w:szCs w:val="28"/>
        </w:rPr>
      </w:pPr>
      <w:r>
        <w:rPr>
          <w:rFonts w:ascii="微软雅黑" w:hAnsi="微软雅黑" w:eastAsia="微软雅黑" w:cs="微软雅黑"/>
          <w:spacing w:val="-2"/>
          <w:sz w:val="28"/>
          <w:szCs w:val="28"/>
        </w:rPr>
        <w:t>履约担保</w:t>
      </w:r>
    </w:p>
    <w:p w14:paraId="68FB5A86">
      <w:pPr>
        <w:spacing w:line="275" w:lineRule="auto"/>
        <w:rPr>
          <w:rFonts w:ascii="Arial"/>
          <w:sz w:val="21"/>
        </w:rPr>
      </w:pPr>
    </w:p>
    <w:p w14:paraId="0529A1E9">
      <w:pPr>
        <w:spacing w:line="275" w:lineRule="auto"/>
        <w:rPr>
          <w:rFonts w:ascii="Arial"/>
          <w:sz w:val="21"/>
        </w:rPr>
      </w:pPr>
    </w:p>
    <w:p w14:paraId="0F3C0AD8">
      <w:pPr>
        <w:tabs>
          <w:tab w:val="left" w:pos="1260"/>
        </w:tabs>
        <w:spacing w:before="65" w:line="229"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9"/>
          <w:sz w:val="20"/>
          <w:szCs w:val="20"/>
        </w:rPr>
        <w:t>（发包人名称</w:t>
      </w:r>
      <w:r>
        <w:rPr>
          <w:rFonts w:ascii="仿宋" w:hAnsi="仿宋" w:eastAsia="仿宋" w:cs="仿宋"/>
          <w:spacing w:val="-52"/>
          <w:sz w:val="20"/>
          <w:szCs w:val="20"/>
        </w:rPr>
        <w:t>）：</w:t>
      </w:r>
    </w:p>
    <w:p w14:paraId="45E65EB8">
      <w:pPr>
        <w:spacing w:before="159" w:line="229" w:lineRule="auto"/>
        <w:ind w:left="437"/>
        <w:rPr>
          <w:rFonts w:ascii="仿宋" w:hAnsi="仿宋" w:eastAsia="仿宋" w:cs="仿宋"/>
          <w:sz w:val="20"/>
          <w:szCs w:val="20"/>
        </w:rPr>
      </w:pPr>
      <w:r>
        <w:rPr>
          <w:rFonts w:ascii="仿宋" w:hAnsi="仿宋" w:eastAsia="仿宋" w:cs="仿宋"/>
          <w:spacing w:val="6"/>
          <w:sz w:val="20"/>
          <w:szCs w:val="20"/>
        </w:rPr>
        <w:t>鉴于</w:t>
      </w:r>
      <w:r>
        <w:rPr>
          <w:rFonts w:ascii="仿宋" w:hAnsi="仿宋" w:eastAsia="仿宋" w:cs="仿宋"/>
          <w:spacing w:val="-99"/>
          <w:sz w:val="20"/>
          <w:szCs w:val="20"/>
        </w:rPr>
        <w:t xml:space="preserve"> </w:t>
      </w:r>
      <w:r>
        <w:rPr>
          <w:rFonts w:ascii="仿宋" w:hAnsi="仿宋" w:eastAsia="仿宋" w:cs="仿宋"/>
          <w:spacing w:val="6"/>
          <w:sz w:val="20"/>
          <w:szCs w:val="20"/>
          <w:u w:val="single" w:color="auto"/>
        </w:rPr>
        <w:t xml:space="preserve">                </w:t>
      </w:r>
      <w:r>
        <w:rPr>
          <w:rFonts w:ascii="仿宋" w:hAnsi="仿宋" w:eastAsia="仿宋" w:cs="仿宋"/>
          <w:spacing w:val="6"/>
          <w:sz w:val="20"/>
          <w:szCs w:val="20"/>
        </w:rPr>
        <w:t>（发包</w:t>
      </w:r>
      <w:r>
        <w:rPr>
          <w:rFonts w:ascii="仿宋" w:hAnsi="仿宋" w:eastAsia="仿宋" w:cs="仿宋"/>
          <w:spacing w:val="5"/>
          <w:sz w:val="20"/>
          <w:szCs w:val="20"/>
        </w:rPr>
        <w:t>人名称，</w:t>
      </w:r>
      <w:r>
        <w:rPr>
          <w:rFonts w:ascii="仿宋" w:hAnsi="仿宋" w:eastAsia="仿宋" w:cs="仿宋"/>
          <w:spacing w:val="-58"/>
          <w:sz w:val="20"/>
          <w:szCs w:val="20"/>
        </w:rPr>
        <w:t xml:space="preserve"> </w:t>
      </w:r>
      <w:r>
        <w:rPr>
          <w:rFonts w:ascii="仿宋" w:hAnsi="仿宋" w:eastAsia="仿宋" w:cs="仿宋"/>
          <w:spacing w:val="5"/>
          <w:sz w:val="20"/>
          <w:szCs w:val="20"/>
        </w:rPr>
        <w:t>以下简称</w:t>
      </w:r>
      <w:r>
        <w:rPr>
          <w:rFonts w:ascii="Times New Roman" w:hAnsi="Times New Roman" w:eastAsia="Times New Roman" w:cs="Times New Roman"/>
          <w:spacing w:val="5"/>
          <w:sz w:val="20"/>
          <w:szCs w:val="20"/>
        </w:rPr>
        <w:t>“</w:t>
      </w:r>
      <w:r>
        <w:rPr>
          <w:rFonts w:ascii="Times New Roman" w:hAnsi="Times New Roman" w:eastAsia="Times New Roman" w:cs="Times New Roman"/>
          <w:spacing w:val="-32"/>
          <w:sz w:val="20"/>
          <w:szCs w:val="20"/>
        </w:rPr>
        <w:t xml:space="preserve"> </w:t>
      </w:r>
      <w:r>
        <w:rPr>
          <w:rFonts w:ascii="仿宋" w:hAnsi="仿宋" w:eastAsia="仿宋" w:cs="仿宋"/>
          <w:spacing w:val="5"/>
          <w:sz w:val="20"/>
          <w:szCs w:val="20"/>
        </w:rPr>
        <w:t>发包人</w:t>
      </w:r>
      <w:r>
        <w:rPr>
          <w:rFonts w:ascii="Times New Roman" w:hAnsi="Times New Roman" w:eastAsia="Times New Roman" w:cs="Times New Roman"/>
          <w:spacing w:val="5"/>
          <w:sz w:val="20"/>
          <w:szCs w:val="20"/>
        </w:rPr>
        <w:t>”</w:t>
      </w:r>
      <w:r>
        <w:rPr>
          <w:rFonts w:ascii="仿宋" w:hAnsi="仿宋" w:eastAsia="仿宋" w:cs="仿宋"/>
          <w:spacing w:val="5"/>
          <w:sz w:val="20"/>
          <w:szCs w:val="20"/>
        </w:rPr>
        <w:t>）与</w:t>
      </w:r>
    </w:p>
    <w:p w14:paraId="237491CA">
      <w:pPr>
        <w:tabs>
          <w:tab w:val="left" w:pos="3155"/>
        </w:tabs>
        <w:spacing w:before="160" w:line="376" w:lineRule="auto"/>
        <w:ind w:left="13" w:hanging="13"/>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z w:val="20"/>
          <w:szCs w:val="20"/>
          <w:u w:val="single" w:color="auto"/>
        </w:rPr>
        <w:tab/>
      </w:r>
      <w:r>
        <w:rPr>
          <w:rFonts w:ascii="仿宋" w:hAnsi="仿宋" w:eastAsia="仿宋" w:cs="仿宋"/>
          <w:spacing w:val="9"/>
          <w:sz w:val="20"/>
          <w:szCs w:val="20"/>
        </w:rPr>
        <w:t>（承包人名称</w:t>
      </w:r>
      <w:r>
        <w:rPr>
          <w:rFonts w:ascii="仿宋" w:hAnsi="仿宋" w:eastAsia="仿宋" w:cs="仿宋"/>
          <w:spacing w:val="-23"/>
          <w:sz w:val="20"/>
          <w:szCs w:val="20"/>
        </w:rPr>
        <w:t>）（</w:t>
      </w:r>
      <w:r>
        <w:rPr>
          <w:rFonts w:ascii="仿宋" w:hAnsi="仿宋" w:eastAsia="仿宋" w:cs="仿宋"/>
          <w:spacing w:val="-46"/>
          <w:sz w:val="20"/>
          <w:szCs w:val="20"/>
        </w:rPr>
        <w:t xml:space="preserve"> </w:t>
      </w:r>
      <w:r>
        <w:rPr>
          <w:rFonts w:ascii="仿宋" w:hAnsi="仿宋" w:eastAsia="仿宋" w:cs="仿宋"/>
          <w:spacing w:val="9"/>
          <w:sz w:val="20"/>
          <w:szCs w:val="20"/>
        </w:rPr>
        <w:t>以下称</w:t>
      </w:r>
      <w:r>
        <w:rPr>
          <w:rFonts w:ascii="Times New Roman" w:hAnsi="Times New Roman" w:eastAsia="Times New Roman" w:cs="Times New Roman"/>
          <w:spacing w:val="9"/>
          <w:sz w:val="20"/>
          <w:szCs w:val="20"/>
        </w:rPr>
        <w:t>“</w:t>
      </w:r>
      <w:r>
        <w:rPr>
          <w:rFonts w:ascii="Times New Roman" w:hAnsi="Times New Roman" w:eastAsia="Times New Roman" w:cs="Times New Roman"/>
          <w:spacing w:val="-20"/>
          <w:sz w:val="20"/>
          <w:szCs w:val="20"/>
        </w:rPr>
        <w:t xml:space="preserve"> </w:t>
      </w:r>
      <w:r>
        <w:rPr>
          <w:rFonts w:ascii="仿宋" w:hAnsi="仿宋" w:eastAsia="仿宋" w:cs="仿宋"/>
          <w:spacing w:val="9"/>
          <w:sz w:val="20"/>
          <w:szCs w:val="20"/>
        </w:rPr>
        <w:t>承包人</w:t>
      </w:r>
      <w:r>
        <w:rPr>
          <w:rFonts w:ascii="Times New Roman" w:hAnsi="Times New Roman" w:eastAsia="Times New Roman" w:cs="Times New Roman"/>
          <w:spacing w:val="9"/>
          <w:sz w:val="20"/>
          <w:szCs w:val="20"/>
        </w:rPr>
        <w:t>”</w:t>
      </w:r>
      <w:r>
        <w:rPr>
          <w:rFonts w:ascii="仿宋" w:hAnsi="仿宋" w:eastAsia="仿宋" w:cs="仿宋"/>
          <w:spacing w:val="9"/>
          <w:sz w:val="20"/>
          <w:szCs w:val="20"/>
        </w:rPr>
        <w:t>）</w:t>
      </w:r>
      <w:r>
        <w:rPr>
          <w:rFonts w:ascii="仿宋" w:hAnsi="仿宋" w:eastAsia="仿宋" w:cs="仿宋"/>
          <w:spacing w:val="-41"/>
          <w:sz w:val="20"/>
          <w:szCs w:val="20"/>
        </w:rPr>
        <w:t xml:space="preserve"> </w:t>
      </w:r>
      <w:r>
        <w:rPr>
          <w:rFonts w:ascii="仿宋" w:hAnsi="仿宋" w:eastAsia="仿宋" w:cs="仿宋"/>
          <w:spacing w:val="9"/>
          <w:sz w:val="20"/>
          <w:szCs w:val="20"/>
        </w:rPr>
        <w:t>于</w:t>
      </w:r>
      <w:r>
        <w:rPr>
          <w:rFonts w:ascii="仿宋" w:hAnsi="仿宋" w:eastAsia="仿宋" w:cs="仿宋"/>
          <w:spacing w:val="-84"/>
          <w:sz w:val="20"/>
          <w:szCs w:val="20"/>
        </w:rPr>
        <w:t xml:space="preserve"> </w:t>
      </w:r>
      <w:r>
        <w:rPr>
          <w:rFonts w:ascii="仿宋" w:hAnsi="仿宋" w:eastAsia="仿宋" w:cs="仿宋"/>
          <w:spacing w:val="12"/>
          <w:sz w:val="20"/>
          <w:szCs w:val="20"/>
          <w:u w:val="single" w:color="auto"/>
        </w:rPr>
        <w:t xml:space="preserve">    </w:t>
      </w:r>
      <w:r>
        <w:rPr>
          <w:rFonts w:ascii="仿宋" w:hAnsi="仿宋" w:eastAsia="仿宋" w:cs="仿宋"/>
          <w:spacing w:val="-79"/>
          <w:sz w:val="20"/>
          <w:szCs w:val="20"/>
        </w:rPr>
        <w:t xml:space="preserve"> </w:t>
      </w:r>
      <w:r>
        <w:rPr>
          <w:rFonts w:ascii="仿宋" w:hAnsi="仿宋" w:eastAsia="仿宋" w:cs="仿宋"/>
          <w:spacing w:val="9"/>
          <w:sz w:val="20"/>
          <w:szCs w:val="20"/>
        </w:rPr>
        <w:t>年</w:t>
      </w:r>
      <w:r>
        <w:rPr>
          <w:rFonts w:ascii="仿宋" w:hAnsi="仿宋" w:eastAsia="仿宋" w:cs="仿宋"/>
          <w:spacing w:val="-83"/>
          <w:sz w:val="20"/>
          <w:szCs w:val="20"/>
        </w:rPr>
        <w:t xml:space="preserve"> </w:t>
      </w:r>
      <w:r>
        <w:rPr>
          <w:rFonts w:ascii="仿宋" w:hAnsi="仿宋" w:eastAsia="仿宋" w:cs="仿宋"/>
          <w:spacing w:val="15"/>
          <w:sz w:val="20"/>
          <w:szCs w:val="20"/>
          <w:u w:val="single" w:color="auto"/>
        </w:rPr>
        <w:t xml:space="preserve">   </w:t>
      </w:r>
      <w:r>
        <w:rPr>
          <w:rFonts w:ascii="仿宋" w:hAnsi="仿宋" w:eastAsia="仿宋" w:cs="仿宋"/>
          <w:spacing w:val="-76"/>
          <w:sz w:val="20"/>
          <w:szCs w:val="20"/>
        </w:rPr>
        <w:t xml:space="preserve"> </w:t>
      </w:r>
      <w:r>
        <w:rPr>
          <w:rFonts w:ascii="仿宋" w:hAnsi="仿宋" w:eastAsia="仿宋" w:cs="仿宋"/>
          <w:spacing w:val="9"/>
          <w:sz w:val="20"/>
          <w:szCs w:val="20"/>
        </w:rPr>
        <w:t>月</w:t>
      </w:r>
      <w:r>
        <w:rPr>
          <w:rFonts w:ascii="仿宋" w:hAnsi="仿宋" w:eastAsia="仿宋" w:cs="仿宋"/>
          <w:spacing w:val="-83"/>
          <w:sz w:val="20"/>
          <w:szCs w:val="20"/>
        </w:rPr>
        <w:t xml:space="preserve"> </w:t>
      </w:r>
      <w:r>
        <w:rPr>
          <w:rFonts w:ascii="仿宋" w:hAnsi="仿宋" w:eastAsia="仿宋" w:cs="仿宋"/>
          <w:spacing w:val="15"/>
          <w:sz w:val="20"/>
          <w:szCs w:val="20"/>
          <w:u w:val="single" w:color="auto"/>
        </w:rPr>
        <w:t xml:space="preserve">   </w:t>
      </w:r>
      <w:r>
        <w:rPr>
          <w:rFonts w:ascii="仿宋" w:hAnsi="仿宋" w:eastAsia="仿宋" w:cs="仿宋"/>
          <w:spacing w:val="-42"/>
          <w:sz w:val="20"/>
          <w:szCs w:val="20"/>
        </w:rPr>
        <w:t xml:space="preserve"> </w:t>
      </w:r>
      <w:r>
        <w:rPr>
          <w:rFonts w:ascii="仿宋" w:hAnsi="仿宋" w:eastAsia="仿宋" w:cs="仿宋"/>
          <w:spacing w:val="9"/>
          <w:sz w:val="20"/>
          <w:szCs w:val="20"/>
        </w:rPr>
        <w:t>日就</w:t>
      </w:r>
      <w:r>
        <w:rPr>
          <w:rFonts w:ascii="仿宋" w:hAnsi="仿宋" w:eastAsia="仿宋" w:cs="仿宋"/>
          <w:spacing w:val="7"/>
          <w:sz w:val="20"/>
          <w:szCs w:val="20"/>
        </w:rPr>
        <w:t>（工程名称）施工及有关事项协商一致共同签订《建设工程施</w:t>
      </w:r>
      <w:r>
        <w:rPr>
          <w:rFonts w:ascii="仿宋" w:hAnsi="仿宋" w:eastAsia="仿宋" w:cs="仿宋"/>
          <w:spacing w:val="6"/>
          <w:sz w:val="20"/>
          <w:szCs w:val="20"/>
        </w:rPr>
        <w:t>工合同》。我方愿意无条件地、不可</w:t>
      </w:r>
      <w:r>
        <w:rPr>
          <w:rFonts w:ascii="仿宋" w:hAnsi="仿宋" w:eastAsia="仿宋" w:cs="仿宋"/>
          <w:spacing w:val="7"/>
          <w:sz w:val="20"/>
          <w:szCs w:val="20"/>
        </w:rPr>
        <w:t>撤销地就承包人履行与你方签订的合同，</w:t>
      </w:r>
      <w:r>
        <w:rPr>
          <w:rFonts w:ascii="仿宋" w:hAnsi="仿宋" w:eastAsia="仿宋" w:cs="仿宋"/>
          <w:spacing w:val="-36"/>
          <w:sz w:val="20"/>
          <w:szCs w:val="20"/>
        </w:rPr>
        <w:t xml:space="preserve"> </w:t>
      </w:r>
      <w:r>
        <w:rPr>
          <w:rFonts w:ascii="仿宋" w:hAnsi="仿宋" w:eastAsia="仿宋" w:cs="仿宋"/>
          <w:spacing w:val="7"/>
          <w:sz w:val="20"/>
          <w:szCs w:val="20"/>
        </w:rPr>
        <w:t>向你方提供连带责任担保。</w:t>
      </w:r>
    </w:p>
    <w:p w14:paraId="48B51BAA">
      <w:pPr>
        <w:spacing w:before="4" w:line="229" w:lineRule="auto"/>
        <w:ind w:left="445"/>
        <w:rPr>
          <w:rFonts w:ascii="仿宋" w:hAnsi="仿宋" w:eastAsia="仿宋" w:cs="仿宋"/>
          <w:sz w:val="20"/>
          <w:szCs w:val="20"/>
        </w:rPr>
      </w:pPr>
      <w:r>
        <w:rPr>
          <w:rFonts w:ascii="Times New Roman" w:hAnsi="Times New Roman" w:eastAsia="Times New Roman" w:cs="Times New Roman"/>
          <w:spacing w:val="2"/>
          <w:sz w:val="20"/>
          <w:szCs w:val="20"/>
        </w:rPr>
        <w:t xml:space="preserve">1.  </w:t>
      </w:r>
      <w:r>
        <w:rPr>
          <w:rFonts w:ascii="仿宋" w:hAnsi="仿宋" w:eastAsia="仿宋" w:cs="仿宋"/>
          <w:spacing w:val="2"/>
          <w:sz w:val="20"/>
          <w:szCs w:val="20"/>
        </w:rPr>
        <w:t>担保金额人民币（大写）</w:t>
      </w:r>
      <w:r>
        <w:rPr>
          <w:rFonts w:ascii="仿宋" w:hAnsi="仿宋" w:eastAsia="仿宋" w:cs="仿宋"/>
          <w:spacing w:val="5"/>
          <w:sz w:val="20"/>
          <w:szCs w:val="20"/>
          <w:u w:val="single" w:color="auto"/>
        </w:rPr>
        <w:t xml:space="preserve">           </w:t>
      </w:r>
      <w:r>
        <w:rPr>
          <w:rFonts w:ascii="仿宋" w:hAnsi="仿宋" w:eastAsia="仿宋" w:cs="仿宋"/>
          <w:spacing w:val="-77"/>
          <w:sz w:val="20"/>
          <w:szCs w:val="20"/>
        </w:rPr>
        <w:t xml:space="preserve"> </w:t>
      </w:r>
      <w:r>
        <w:rPr>
          <w:rFonts w:ascii="仿宋" w:hAnsi="仿宋" w:eastAsia="仿宋" w:cs="仿宋"/>
          <w:spacing w:val="2"/>
          <w:sz w:val="20"/>
          <w:szCs w:val="20"/>
        </w:rPr>
        <w:t>元</w:t>
      </w:r>
      <w:r>
        <w:rPr>
          <w:rFonts w:ascii="仿宋" w:hAnsi="仿宋" w:eastAsia="仿宋" w:cs="仿宋"/>
          <w:spacing w:val="18"/>
          <w:sz w:val="20"/>
          <w:szCs w:val="20"/>
        </w:rPr>
        <w:t xml:space="preserve"> </w:t>
      </w:r>
      <w:r>
        <w:rPr>
          <w:rFonts w:ascii="仿宋" w:hAnsi="仿宋" w:eastAsia="仿宋" w:cs="仿宋"/>
          <w:spacing w:val="2"/>
          <w:sz w:val="20"/>
          <w:szCs w:val="20"/>
        </w:rPr>
        <w:t>(</w:t>
      </w:r>
      <w:r>
        <w:rPr>
          <w:rFonts w:ascii="Times New Roman" w:hAnsi="Times New Roman" w:eastAsia="Times New Roman" w:cs="Times New Roman"/>
          <w:spacing w:val="2"/>
          <w:sz w:val="20"/>
          <w:szCs w:val="20"/>
        </w:rPr>
        <w:t>¥</w:t>
      </w:r>
      <w:r>
        <w:rPr>
          <w:rFonts w:ascii="Times New Roman" w:hAnsi="Times New Roman" w:eastAsia="Times New Roman" w:cs="Times New Roman"/>
          <w:spacing w:val="-49"/>
          <w:sz w:val="20"/>
          <w:szCs w:val="20"/>
        </w:rPr>
        <w:t xml:space="preserve"> </w:t>
      </w:r>
      <w:r>
        <w:rPr>
          <w:rFonts w:ascii="Times New Roman" w:hAnsi="Times New Roman" w:eastAsia="Times New Roman" w:cs="Times New Roman"/>
          <w:sz w:val="20"/>
          <w:szCs w:val="20"/>
          <w:u w:val="single" w:color="auto"/>
        </w:rPr>
        <w:t xml:space="preserve">                       </w:t>
      </w:r>
      <w:r>
        <w:rPr>
          <w:rFonts w:ascii="Times New Roman" w:hAnsi="Times New Roman" w:eastAsia="Times New Roman" w:cs="Times New Roman"/>
          <w:spacing w:val="-15"/>
          <w:sz w:val="20"/>
          <w:szCs w:val="20"/>
        </w:rPr>
        <w:t xml:space="preserve"> </w:t>
      </w:r>
      <w:r>
        <w:rPr>
          <w:rFonts w:ascii="仿宋" w:hAnsi="仿宋" w:eastAsia="仿宋" w:cs="仿宋"/>
          <w:spacing w:val="2"/>
          <w:sz w:val="20"/>
          <w:szCs w:val="20"/>
        </w:rPr>
        <w:t>)。</w:t>
      </w:r>
    </w:p>
    <w:p w14:paraId="6DC239B1">
      <w:pPr>
        <w:spacing w:before="159" w:line="378" w:lineRule="auto"/>
        <w:ind w:left="13" w:firstLine="411"/>
        <w:rPr>
          <w:rFonts w:ascii="仿宋" w:hAnsi="仿宋" w:eastAsia="仿宋" w:cs="仿宋"/>
          <w:sz w:val="20"/>
          <w:szCs w:val="20"/>
        </w:rPr>
      </w:pPr>
      <w:r>
        <w:rPr>
          <w:rFonts w:ascii="Times New Roman" w:hAnsi="Times New Roman" w:eastAsia="Times New Roman" w:cs="Times New Roman"/>
          <w:spacing w:val="10"/>
          <w:sz w:val="20"/>
          <w:szCs w:val="20"/>
        </w:rPr>
        <w:t xml:space="preserve">2.  </w:t>
      </w:r>
      <w:r>
        <w:rPr>
          <w:rFonts w:ascii="仿宋" w:hAnsi="仿宋" w:eastAsia="仿宋" w:cs="仿宋"/>
          <w:spacing w:val="10"/>
          <w:sz w:val="20"/>
          <w:szCs w:val="20"/>
        </w:rPr>
        <w:t>担保有效期自你方与承包人签订的合同生效之日起至你方签发或应签发工程接收</w:t>
      </w:r>
      <w:r>
        <w:rPr>
          <w:rFonts w:ascii="仿宋" w:hAnsi="仿宋" w:eastAsia="仿宋" w:cs="仿宋"/>
          <w:spacing w:val="9"/>
          <w:sz w:val="20"/>
          <w:szCs w:val="20"/>
        </w:rPr>
        <w:t>证书之日</w:t>
      </w:r>
      <w:r>
        <w:rPr>
          <w:rFonts w:ascii="仿宋" w:hAnsi="仿宋" w:eastAsia="仿宋" w:cs="仿宋"/>
          <w:spacing w:val="-3"/>
          <w:sz w:val="20"/>
          <w:szCs w:val="20"/>
        </w:rPr>
        <w:t>止。</w:t>
      </w:r>
    </w:p>
    <w:p w14:paraId="1275A899">
      <w:pPr>
        <w:spacing w:before="1" w:line="375" w:lineRule="auto"/>
        <w:ind w:left="19" w:firstLine="409"/>
        <w:rPr>
          <w:rFonts w:ascii="仿宋" w:hAnsi="仿宋" w:eastAsia="仿宋" w:cs="仿宋"/>
          <w:sz w:val="20"/>
          <w:szCs w:val="20"/>
        </w:rPr>
      </w:pPr>
      <w:r>
        <w:rPr>
          <w:rFonts w:ascii="Times New Roman" w:hAnsi="Times New Roman" w:eastAsia="Times New Roman" w:cs="Times New Roman"/>
          <w:spacing w:val="9"/>
          <w:sz w:val="20"/>
          <w:szCs w:val="20"/>
        </w:rPr>
        <w:t xml:space="preserve">3.  </w:t>
      </w:r>
      <w:r>
        <w:rPr>
          <w:rFonts w:ascii="仿宋" w:hAnsi="仿宋" w:eastAsia="仿宋" w:cs="仿宋"/>
          <w:spacing w:val="9"/>
          <w:sz w:val="20"/>
          <w:szCs w:val="20"/>
        </w:rPr>
        <w:t>在本担保有效期内，</w:t>
      </w:r>
      <w:r>
        <w:rPr>
          <w:rFonts w:ascii="仿宋" w:hAnsi="仿宋" w:eastAsia="仿宋" w:cs="仿宋"/>
          <w:spacing w:val="-57"/>
          <w:sz w:val="20"/>
          <w:szCs w:val="20"/>
        </w:rPr>
        <w:t xml:space="preserve"> </w:t>
      </w:r>
      <w:r>
        <w:rPr>
          <w:rFonts w:ascii="仿宋" w:hAnsi="仿宋" w:eastAsia="仿宋" w:cs="仿宋"/>
          <w:spacing w:val="9"/>
          <w:sz w:val="20"/>
          <w:szCs w:val="20"/>
        </w:rPr>
        <w:t>因承包人违反合同约定的义务给你方造成经济损</w:t>
      </w:r>
      <w:r>
        <w:rPr>
          <w:rFonts w:ascii="仿宋" w:hAnsi="仿宋" w:eastAsia="仿宋" w:cs="仿宋"/>
          <w:spacing w:val="8"/>
          <w:sz w:val="20"/>
          <w:szCs w:val="20"/>
        </w:rPr>
        <w:t>失时，我方在收到你方以书面形式提出的在担保金额内的赔偿要求后，在</w:t>
      </w:r>
      <w:r>
        <w:rPr>
          <w:rFonts w:ascii="仿宋" w:hAnsi="仿宋" w:eastAsia="仿宋" w:cs="仿宋"/>
          <w:spacing w:val="-36"/>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19"/>
          <w:sz w:val="20"/>
          <w:szCs w:val="20"/>
        </w:rPr>
        <w:t xml:space="preserve"> </w:t>
      </w:r>
      <w:r>
        <w:rPr>
          <w:rFonts w:ascii="仿宋" w:hAnsi="仿宋" w:eastAsia="仿宋" w:cs="仿宋"/>
          <w:spacing w:val="8"/>
          <w:sz w:val="20"/>
          <w:szCs w:val="20"/>
        </w:rPr>
        <w:t>天内无条件支付。</w:t>
      </w:r>
    </w:p>
    <w:p w14:paraId="03612F08">
      <w:pPr>
        <w:spacing w:before="3" w:line="229" w:lineRule="auto"/>
        <w:ind w:left="423"/>
        <w:rPr>
          <w:rFonts w:ascii="仿宋" w:hAnsi="仿宋" w:eastAsia="仿宋" w:cs="仿宋"/>
          <w:sz w:val="20"/>
          <w:szCs w:val="20"/>
        </w:rPr>
      </w:pPr>
      <w:r>
        <w:rPr>
          <w:rFonts w:ascii="Times New Roman" w:hAnsi="Times New Roman" w:eastAsia="Times New Roman" w:cs="Times New Roman"/>
          <w:spacing w:val="9"/>
          <w:sz w:val="20"/>
          <w:szCs w:val="20"/>
        </w:rPr>
        <w:t xml:space="preserve">4.  </w:t>
      </w:r>
      <w:r>
        <w:rPr>
          <w:rFonts w:ascii="仿宋" w:hAnsi="仿宋" w:eastAsia="仿宋" w:cs="仿宋"/>
          <w:spacing w:val="9"/>
          <w:sz w:val="20"/>
          <w:szCs w:val="20"/>
        </w:rPr>
        <w:t>你方和承包人按合同约定变更合同时，我方承担本担保</w:t>
      </w:r>
      <w:r>
        <w:rPr>
          <w:rFonts w:ascii="仿宋" w:hAnsi="仿宋" w:eastAsia="仿宋" w:cs="仿宋"/>
          <w:spacing w:val="8"/>
          <w:sz w:val="20"/>
          <w:szCs w:val="20"/>
        </w:rPr>
        <w:t>规定的义务不变。</w:t>
      </w:r>
    </w:p>
    <w:p w14:paraId="6DB98966">
      <w:pPr>
        <w:spacing w:before="159" w:line="377" w:lineRule="auto"/>
        <w:ind w:left="22" w:right="2" w:firstLine="408"/>
        <w:rPr>
          <w:rFonts w:ascii="仿宋" w:hAnsi="仿宋" w:eastAsia="仿宋" w:cs="仿宋"/>
          <w:sz w:val="20"/>
          <w:szCs w:val="20"/>
        </w:rPr>
      </w:pPr>
      <w:r>
        <w:rPr>
          <w:rFonts w:ascii="Times New Roman" w:hAnsi="Times New Roman" w:eastAsia="Times New Roman" w:cs="Times New Roman"/>
          <w:spacing w:val="8"/>
          <w:sz w:val="20"/>
          <w:szCs w:val="20"/>
        </w:rPr>
        <w:t>5.</w:t>
      </w:r>
      <w:r>
        <w:rPr>
          <w:rFonts w:ascii="Times New Roman" w:hAnsi="Times New Roman" w:eastAsia="Times New Roman" w:cs="Times New Roman"/>
          <w:spacing w:val="21"/>
          <w:sz w:val="20"/>
          <w:szCs w:val="20"/>
        </w:rPr>
        <w:t xml:space="preserve">  </w:t>
      </w:r>
      <w:r>
        <w:rPr>
          <w:rFonts w:ascii="仿宋" w:hAnsi="仿宋" w:eastAsia="仿宋" w:cs="仿宋"/>
          <w:spacing w:val="8"/>
          <w:sz w:val="20"/>
          <w:szCs w:val="20"/>
        </w:rPr>
        <w:t>因本保函发生的纠纷，可由双方协商解决，协商不成的，任何一方均可提请</w:t>
      </w:r>
      <w:r>
        <w:rPr>
          <w:rFonts w:ascii="仿宋" w:hAnsi="仿宋" w:eastAsia="仿宋" w:cs="仿宋"/>
          <w:spacing w:val="8"/>
          <w:sz w:val="20"/>
          <w:szCs w:val="20"/>
          <w:u w:val="single" w:color="auto"/>
        </w:rPr>
        <w:t xml:space="preserve">        </w:t>
      </w:r>
      <w:r>
        <w:rPr>
          <w:rFonts w:ascii="仿宋" w:hAnsi="仿宋" w:eastAsia="仿宋" w:cs="仿宋"/>
          <w:spacing w:val="-84"/>
          <w:sz w:val="20"/>
          <w:szCs w:val="20"/>
        </w:rPr>
        <w:t xml:space="preserve"> </w:t>
      </w:r>
      <w:r>
        <w:rPr>
          <w:rFonts w:ascii="仿宋" w:hAnsi="仿宋" w:eastAsia="仿宋" w:cs="仿宋"/>
          <w:spacing w:val="8"/>
          <w:sz w:val="20"/>
          <w:szCs w:val="20"/>
        </w:rPr>
        <w:t>仲裁</w:t>
      </w:r>
      <w:r>
        <w:rPr>
          <w:rFonts w:ascii="仿宋" w:hAnsi="仿宋" w:eastAsia="仿宋" w:cs="仿宋"/>
          <w:spacing w:val="4"/>
          <w:sz w:val="20"/>
          <w:szCs w:val="20"/>
        </w:rPr>
        <w:t>委员会仲裁。</w:t>
      </w:r>
    </w:p>
    <w:p w14:paraId="52109BF3">
      <w:pPr>
        <w:spacing w:before="1" w:line="228" w:lineRule="auto"/>
        <w:ind w:left="429"/>
        <w:rPr>
          <w:rFonts w:ascii="仿宋" w:hAnsi="仿宋" w:eastAsia="仿宋" w:cs="仿宋"/>
          <w:sz w:val="20"/>
          <w:szCs w:val="20"/>
        </w:rPr>
      </w:pPr>
      <w:r>
        <w:rPr>
          <w:rFonts w:ascii="Times New Roman" w:hAnsi="Times New Roman" w:eastAsia="Times New Roman" w:cs="Times New Roman"/>
          <w:spacing w:val="9"/>
          <w:sz w:val="20"/>
          <w:szCs w:val="20"/>
        </w:rPr>
        <w:t xml:space="preserve">6.  </w:t>
      </w:r>
      <w:r>
        <w:rPr>
          <w:rFonts w:ascii="仿宋" w:hAnsi="仿宋" w:eastAsia="仿宋" w:cs="仿宋"/>
          <w:spacing w:val="9"/>
          <w:sz w:val="20"/>
          <w:szCs w:val="20"/>
        </w:rPr>
        <w:t>本保函自我方法定代表人（或其授权代理人</w:t>
      </w:r>
      <w:r>
        <w:rPr>
          <w:rFonts w:ascii="仿宋" w:hAnsi="仿宋" w:eastAsia="仿宋" w:cs="仿宋"/>
          <w:spacing w:val="8"/>
          <w:sz w:val="20"/>
          <w:szCs w:val="20"/>
        </w:rPr>
        <w:t>）签字并加盖公章之日起生效。</w:t>
      </w:r>
    </w:p>
    <w:p w14:paraId="379C6903">
      <w:pPr>
        <w:spacing w:line="457" w:lineRule="auto"/>
        <w:rPr>
          <w:rFonts w:ascii="Arial"/>
          <w:sz w:val="21"/>
        </w:rPr>
      </w:pPr>
    </w:p>
    <w:p w14:paraId="27DECC00">
      <w:pPr>
        <w:spacing w:before="65" w:line="229" w:lineRule="auto"/>
        <w:ind w:left="16"/>
        <w:rPr>
          <w:rFonts w:ascii="仿宋" w:hAnsi="仿宋" w:eastAsia="仿宋" w:cs="仿宋"/>
          <w:sz w:val="20"/>
          <w:szCs w:val="20"/>
        </w:rPr>
      </w:pPr>
      <w:r>
        <w:rPr>
          <w:rFonts w:ascii="仿宋" w:hAnsi="仿宋" w:eastAsia="仿宋" w:cs="仿宋"/>
          <w:spacing w:val="11"/>
          <w:sz w:val="20"/>
          <w:szCs w:val="20"/>
        </w:rPr>
        <w:t>担 保</w:t>
      </w:r>
      <w:r>
        <w:rPr>
          <w:rFonts w:ascii="仿宋" w:hAnsi="仿宋" w:eastAsia="仿宋" w:cs="仿宋"/>
          <w:spacing w:val="26"/>
          <w:sz w:val="20"/>
          <w:szCs w:val="20"/>
        </w:rPr>
        <w:t xml:space="preserve"> </w:t>
      </w:r>
      <w:r>
        <w:rPr>
          <w:rFonts w:ascii="仿宋" w:hAnsi="仿宋" w:eastAsia="仿宋" w:cs="仿宋"/>
          <w:spacing w:val="11"/>
          <w:sz w:val="20"/>
          <w:szCs w:val="20"/>
        </w:rPr>
        <w:t>人</w:t>
      </w:r>
      <w:r>
        <w:rPr>
          <w:rFonts w:ascii="仿宋" w:hAnsi="仿宋" w:eastAsia="仿宋" w:cs="仿宋"/>
          <w:spacing w:val="-21"/>
          <w:sz w:val="20"/>
          <w:szCs w:val="20"/>
        </w:rPr>
        <w:t>：</w:t>
      </w:r>
      <w:r>
        <w:rPr>
          <w:rFonts w:ascii="仿宋" w:hAnsi="仿宋" w:eastAsia="仿宋" w:cs="仿宋"/>
          <w:spacing w:val="1"/>
          <w:sz w:val="20"/>
          <w:szCs w:val="20"/>
          <w:u w:val="single" w:color="auto"/>
        </w:rPr>
        <w:t xml:space="preserve">                            </w:t>
      </w:r>
      <w:r>
        <w:rPr>
          <w:rFonts w:ascii="仿宋" w:hAnsi="仿宋" w:eastAsia="仿宋" w:cs="仿宋"/>
          <w:spacing w:val="-21"/>
          <w:sz w:val="20"/>
          <w:szCs w:val="20"/>
        </w:rPr>
        <w:t>（</w:t>
      </w:r>
      <w:r>
        <w:rPr>
          <w:rFonts w:ascii="仿宋" w:hAnsi="仿宋" w:eastAsia="仿宋" w:cs="仿宋"/>
          <w:spacing w:val="11"/>
          <w:sz w:val="20"/>
          <w:szCs w:val="20"/>
        </w:rPr>
        <w:t>盖单位章）</w:t>
      </w:r>
    </w:p>
    <w:p w14:paraId="46D203FF">
      <w:pPr>
        <w:spacing w:before="159" w:line="232" w:lineRule="auto"/>
        <w:ind w:left="21"/>
        <w:rPr>
          <w:rFonts w:ascii="仿宋" w:hAnsi="仿宋" w:eastAsia="仿宋" w:cs="仿宋"/>
          <w:sz w:val="20"/>
          <w:szCs w:val="20"/>
        </w:rPr>
      </w:pPr>
      <w:r>
        <w:rPr>
          <w:rFonts w:ascii="仿宋" w:hAnsi="仿宋" w:eastAsia="仿宋" w:cs="仿宋"/>
          <w:spacing w:val="9"/>
          <w:sz w:val="20"/>
          <w:szCs w:val="20"/>
        </w:rPr>
        <w:t>法定代表人或其委托代理人</w:t>
      </w:r>
      <w:r>
        <w:rPr>
          <w:rFonts w:ascii="仿宋" w:hAnsi="仿宋" w:eastAsia="仿宋" w:cs="仿宋"/>
          <w:spacing w:val="1"/>
          <w:sz w:val="20"/>
          <w:szCs w:val="20"/>
        </w:rPr>
        <w:t>：</w:t>
      </w:r>
      <w:r>
        <w:rPr>
          <w:rFonts w:ascii="仿宋" w:hAnsi="仿宋" w:eastAsia="仿宋" w:cs="仿宋"/>
          <w:spacing w:val="5"/>
          <w:sz w:val="20"/>
          <w:szCs w:val="20"/>
          <w:u w:val="single" w:color="auto"/>
        </w:rPr>
        <w:t xml:space="preserve">               </w:t>
      </w:r>
      <w:r>
        <w:rPr>
          <w:rFonts w:ascii="仿宋" w:hAnsi="仿宋" w:eastAsia="仿宋" w:cs="仿宋"/>
          <w:spacing w:val="1"/>
          <w:sz w:val="20"/>
          <w:szCs w:val="20"/>
        </w:rPr>
        <w:t>（</w:t>
      </w:r>
      <w:r>
        <w:rPr>
          <w:rFonts w:ascii="仿宋" w:hAnsi="仿宋" w:eastAsia="仿宋" w:cs="仿宋"/>
          <w:spacing w:val="9"/>
          <w:sz w:val="20"/>
          <w:szCs w:val="20"/>
        </w:rPr>
        <w:t>签字）</w:t>
      </w:r>
    </w:p>
    <w:p w14:paraId="30763D43">
      <w:pPr>
        <w:spacing w:before="158"/>
        <w:ind w:left="15"/>
        <w:rPr>
          <w:rFonts w:ascii="仿宋" w:hAnsi="仿宋" w:eastAsia="仿宋" w:cs="仿宋"/>
          <w:sz w:val="20"/>
          <w:szCs w:val="20"/>
        </w:rPr>
      </w:pPr>
      <w:r>
        <w:rPr>
          <w:rFonts w:ascii="仿宋" w:hAnsi="仿宋" w:eastAsia="仿宋" w:cs="仿宋"/>
          <w:spacing w:val="-12"/>
          <w:sz w:val="20"/>
          <w:szCs w:val="20"/>
        </w:rPr>
        <w:t>地</w:t>
      </w:r>
      <w:r>
        <w:rPr>
          <w:rFonts w:ascii="仿宋" w:hAnsi="仿宋" w:eastAsia="仿宋" w:cs="仿宋"/>
          <w:spacing w:val="10"/>
          <w:sz w:val="20"/>
          <w:szCs w:val="20"/>
        </w:rPr>
        <w:t xml:space="preserve">    </w:t>
      </w:r>
      <w:r>
        <w:rPr>
          <w:rFonts w:ascii="仿宋" w:hAnsi="仿宋" w:eastAsia="仿宋" w:cs="仿宋"/>
          <w:spacing w:val="-12"/>
          <w:sz w:val="20"/>
          <w:szCs w:val="20"/>
        </w:rPr>
        <w:t>址</w:t>
      </w:r>
      <w:r>
        <w:rPr>
          <w:rFonts w:ascii="仿宋" w:hAnsi="仿宋" w:eastAsia="仿宋" w:cs="仿宋"/>
          <w:spacing w:val="-70"/>
          <w:sz w:val="20"/>
          <w:szCs w:val="20"/>
        </w:rPr>
        <w:t xml:space="preserve"> </w:t>
      </w:r>
      <w:r>
        <w:rPr>
          <w:rFonts w:ascii="仿宋" w:hAnsi="仿宋" w:eastAsia="仿宋" w:cs="仿宋"/>
          <w:spacing w:val="-12"/>
          <w:sz w:val="20"/>
          <w:szCs w:val="20"/>
        </w:rPr>
        <w:t>：</w:t>
      </w:r>
      <w:r>
        <w:rPr>
          <w:rFonts w:ascii="仿宋" w:hAnsi="仿宋" w:eastAsia="仿宋" w:cs="仿宋"/>
          <w:sz w:val="20"/>
          <w:szCs w:val="20"/>
          <w:u w:val="single" w:color="auto"/>
        </w:rPr>
        <w:t xml:space="preserve">                                        </w:t>
      </w:r>
    </w:p>
    <w:p w14:paraId="7E5F32FF">
      <w:pPr>
        <w:spacing w:before="148" w:line="230" w:lineRule="auto"/>
        <w:ind w:left="30"/>
        <w:rPr>
          <w:rFonts w:ascii="仿宋" w:hAnsi="仿宋" w:eastAsia="仿宋" w:cs="仿宋"/>
          <w:sz w:val="20"/>
          <w:szCs w:val="20"/>
        </w:rPr>
      </w:pPr>
      <w:r>
        <w:rPr>
          <w:rFonts w:ascii="仿宋" w:hAnsi="仿宋" w:eastAsia="仿宋" w:cs="仿宋"/>
          <w:spacing w:val="4"/>
          <w:sz w:val="20"/>
          <w:szCs w:val="20"/>
        </w:rPr>
        <w:t>邮政编码：</w:t>
      </w:r>
      <w:r>
        <w:rPr>
          <w:rFonts w:ascii="仿宋" w:hAnsi="仿宋" w:eastAsia="仿宋" w:cs="仿宋"/>
          <w:sz w:val="20"/>
          <w:szCs w:val="20"/>
          <w:u w:val="single" w:color="auto"/>
        </w:rPr>
        <w:t xml:space="preserve">                                        </w:t>
      </w:r>
    </w:p>
    <w:p w14:paraId="657A7F98">
      <w:pPr>
        <w:spacing w:before="160" w:line="232" w:lineRule="auto"/>
        <w:ind w:left="37"/>
        <w:rPr>
          <w:rFonts w:ascii="仿宋" w:hAnsi="仿宋" w:eastAsia="仿宋" w:cs="仿宋"/>
          <w:sz w:val="20"/>
          <w:szCs w:val="20"/>
        </w:rPr>
      </w:pPr>
      <w:r>
        <w:rPr>
          <w:rFonts w:ascii="仿宋" w:hAnsi="仿宋" w:eastAsia="仿宋" w:cs="仿宋"/>
          <w:spacing w:val="-18"/>
          <w:sz w:val="20"/>
          <w:szCs w:val="20"/>
        </w:rPr>
        <w:t>电</w:t>
      </w:r>
      <w:r>
        <w:rPr>
          <w:rFonts w:ascii="仿宋" w:hAnsi="仿宋" w:eastAsia="仿宋" w:cs="仿宋"/>
          <w:spacing w:val="9"/>
          <w:sz w:val="20"/>
          <w:szCs w:val="20"/>
        </w:rPr>
        <w:t xml:space="preserve">    </w:t>
      </w:r>
      <w:r>
        <w:rPr>
          <w:rFonts w:ascii="仿宋" w:hAnsi="仿宋" w:eastAsia="仿宋" w:cs="仿宋"/>
          <w:spacing w:val="-18"/>
          <w:sz w:val="20"/>
          <w:szCs w:val="20"/>
        </w:rPr>
        <w:t>话</w:t>
      </w:r>
      <w:r>
        <w:rPr>
          <w:rFonts w:ascii="仿宋" w:hAnsi="仿宋" w:eastAsia="仿宋" w:cs="仿宋"/>
          <w:spacing w:val="-70"/>
          <w:sz w:val="20"/>
          <w:szCs w:val="20"/>
        </w:rPr>
        <w:t xml:space="preserve"> </w:t>
      </w:r>
      <w:r>
        <w:rPr>
          <w:rFonts w:ascii="仿宋" w:hAnsi="仿宋" w:eastAsia="仿宋" w:cs="仿宋"/>
          <w:spacing w:val="-18"/>
          <w:sz w:val="20"/>
          <w:szCs w:val="20"/>
        </w:rPr>
        <w:t>：</w:t>
      </w:r>
      <w:r>
        <w:rPr>
          <w:rFonts w:ascii="仿宋" w:hAnsi="仿宋" w:eastAsia="仿宋" w:cs="仿宋"/>
          <w:sz w:val="20"/>
          <w:szCs w:val="20"/>
          <w:u w:val="single" w:color="auto"/>
        </w:rPr>
        <w:t xml:space="preserve">                                        </w:t>
      </w:r>
    </w:p>
    <w:p w14:paraId="18016E37">
      <w:pPr>
        <w:spacing w:before="157" w:line="232" w:lineRule="auto"/>
        <w:ind w:left="16"/>
        <w:rPr>
          <w:rFonts w:ascii="仿宋" w:hAnsi="仿宋" w:eastAsia="仿宋" w:cs="仿宋"/>
          <w:sz w:val="20"/>
          <w:szCs w:val="20"/>
        </w:rPr>
      </w:pPr>
      <w:r>
        <w:rPr>
          <w:rFonts w:ascii="仿宋" w:hAnsi="仿宋" w:eastAsia="仿宋" w:cs="仿宋"/>
          <w:spacing w:val="-13"/>
          <w:sz w:val="20"/>
          <w:szCs w:val="20"/>
        </w:rPr>
        <w:t>传</w:t>
      </w:r>
      <w:r>
        <w:rPr>
          <w:rFonts w:ascii="仿宋" w:hAnsi="仿宋" w:eastAsia="仿宋" w:cs="仿宋"/>
          <w:spacing w:val="10"/>
          <w:sz w:val="20"/>
          <w:szCs w:val="20"/>
        </w:rPr>
        <w:t xml:space="preserve">    </w:t>
      </w:r>
      <w:r>
        <w:rPr>
          <w:rFonts w:ascii="仿宋" w:hAnsi="仿宋" w:eastAsia="仿宋" w:cs="仿宋"/>
          <w:spacing w:val="-13"/>
          <w:sz w:val="20"/>
          <w:szCs w:val="20"/>
        </w:rPr>
        <w:t>真</w:t>
      </w:r>
      <w:r>
        <w:rPr>
          <w:rFonts w:ascii="仿宋" w:hAnsi="仿宋" w:eastAsia="仿宋" w:cs="仿宋"/>
          <w:spacing w:val="-68"/>
          <w:sz w:val="20"/>
          <w:szCs w:val="20"/>
        </w:rPr>
        <w:t xml:space="preserve"> </w:t>
      </w:r>
      <w:r>
        <w:rPr>
          <w:rFonts w:ascii="仿宋" w:hAnsi="仿宋" w:eastAsia="仿宋" w:cs="仿宋"/>
          <w:spacing w:val="-13"/>
          <w:sz w:val="20"/>
          <w:szCs w:val="20"/>
        </w:rPr>
        <w:t>：</w:t>
      </w:r>
      <w:r>
        <w:rPr>
          <w:rFonts w:ascii="仿宋" w:hAnsi="仿宋" w:eastAsia="仿宋" w:cs="仿宋"/>
          <w:sz w:val="20"/>
          <w:szCs w:val="20"/>
          <w:u w:val="single" w:color="auto"/>
        </w:rPr>
        <w:t xml:space="preserve">                                        </w:t>
      </w:r>
    </w:p>
    <w:p w14:paraId="5BA791FD">
      <w:pPr>
        <w:spacing w:line="451" w:lineRule="auto"/>
        <w:rPr>
          <w:rFonts w:ascii="Arial"/>
          <w:sz w:val="21"/>
        </w:rPr>
      </w:pPr>
    </w:p>
    <w:p w14:paraId="484B8F0F">
      <w:pPr>
        <w:tabs>
          <w:tab w:val="left" w:pos="2730"/>
        </w:tabs>
        <w:spacing w:before="66" w:line="231" w:lineRule="auto"/>
        <w:ind w:left="1680"/>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81"/>
          <w:sz w:val="20"/>
          <w:szCs w:val="20"/>
        </w:rPr>
        <w:t xml:space="preserve"> </w:t>
      </w:r>
      <w:r>
        <w:rPr>
          <w:rFonts w:ascii="仿宋" w:hAnsi="仿宋" w:eastAsia="仿宋" w:cs="仿宋"/>
          <w:spacing w:val="-8"/>
          <w:sz w:val="20"/>
          <w:szCs w:val="20"/>
        </w:rPr>
        <w:t>年</w:t>
      </w:r>
      <w:r>
        <w:rPr>
          <w:rFonts w:ascii="仿宋" w:hAnsi="仿宋" w:eastAsia="仿宋" w:cs="仿宋"/>
          <w:spacing w:val="4"/>
          <w:sz w:val="20"/>
          <w:szCs w:val="20"/>
          <w:u w:val="single" w:color="auto"/>
        </w:rPr>
        <w:t xml:space="preserve">        </w:t>
      </w:r>
      <w:r>
        <w:rPr>
          <w:rFonts w:ascii="仿宋" w:hAnsi="仿宋" w:eastAsia="仿宋" w:cs="仿宋"/>
          <w:spacing w:val="-69"/>
          <w:sz w:val="20"/>
          <w:szCs w:val="20"/>
        </w:rPr>
        <w:t xml:space="preserve"> </w:t>
      </w:r>
      <w:r>
        <w:rPr>
          <w:rFonts w:ascii="仿宋" w:hAnsi="仿宋" w:eastAsia="仿宋" w:cs="仿宋"/>
          <w:spacing w:val="-8"/>
          <w:sz w:val="20"/>
          <w:szCs w:val="20"/>
        </w:rPr>
        <w:t>月</w:t>
      </w:r>
      <w:r>
        <w:rPr>
          <w:rFonts w:ascii="仿宋" w:hAnsi="仿宋" w:eastAsia="仿宋" w:cs="仿宋"/>
          <w:spacing w:val="-98"/>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42"/>
          <w:sz w:val="20"/>
          <w:szCs w:val="20"/>
        </w:rPr>
        <w:t xml:space="preserve"> </w:t>
      </w:r>
      <w:r>
        <w:rPr>
          <w:rFonts w:ascii="仿宋" w:hAnsi="仿宋" w:eastAsia="仿宋" w:cs="仿宋"/>
          <w:spacing w:val="-8"/>
          <w:sz w:val="20"/>
          <w:szCs w:val="20"/>
        </w:rPr>
        <w:t>日</w:t>
      </w:r>
    </w:p>
    <w:p w14:paraId="12F60671">
      <w:pPr>
        <w:spacing w:line="231" w:lineRule="auto"/>
        <w:rPr>
          <w:rFonts w:ascii="仿宋" w:hAnsi="仿宋" w:eastAsia="仿宋" w:cs="仿宋"/>
          <w:sz w:val="20"/>
          <w:szCs w:val="20"/>
        </w:rPr>
        <w:sectPr>
          <w:footerReference r:id="rId430" w:type="default"/>
          <w:pgSz w:w="11907" w:h="16840"/>
          <w:pgMar w:top="400" w:right="1531" w:bottom="1105" w:left="1473" w:header="0" w:footer="943" w:gutter="0"/>
          <w:cols w:space="720" w:num="1"/>
        </w:sectPr>
      </w:pPr>
    </w:p>
    <w:p w14:paraId="48D88E84">
      <w:pPr>
        <w:spacing w:line="248" w:lineRule="auto"/>
        <w:rPr>
          <w:rFonts w:ascii="Arial"/>
          <w:sz w:val="21"/>
        </w:rPr>
      </w:pPr>
    </w:p>
    <w:p w14:paraId="761BF943">
      <w:pPr>
        <w:spacing w:line="248" w:lineRule="auto"/>
        <w:rPr>
          <w:rFonts w:ascii="Arial"/>
          <w:sz w:val="21"/>
        </w:rPr>
      </w:pPr>
    </w:p>
    <w:p w14:paraId="17E40789">
      <w:pPr>
        <w:spacing w:line="249" w:lineRule="auto"/>
        <w:rPr>
          <w:rFonts w:ascii="Arial"/>
          <w:sz w:val="21"/>
        </w:rPr>
      </w:pPr>
    </w:p>
    <w:p w14:paraId="216276AE">
      <w:pPr>
        <w:spacing w:line="249" w:lineRule="auto"/>
        <w:rPr>
          <w:rFonts w:ascii="Arial"/>
          <w:sz w:val="21"/>
        </w:rPr>
      </w:pPr>
    </w:p>
    <w:p w14:paraId="7C19C6CE">
      <w:pPr>
        <w:spacing w:line="249" w:lineRule="auto"/>
        <w:rPr>
          <w:rFonts w:ascii="Arial"/>
          <w:sz w:val="21"/>
        </w:rPr>
      </w:pPr>
    </w:p>
    <w:p w14:paraId="24F0026C">
      <w:pPr>
        <w:pStyle w:val="2"/>
        <w:spacing w:before="91" w:line="225" w:lineRule="auto"/>
        <w:ind w:left="27"/>
        <w:rPr>
          <w:sz w:val="28"/>
          <w:szCs w:val="28"/>
        </w:rPr>
      </w:pPr>
      <w:r>
        <w:rPr>
          <w:spacing w:val="-9"/>
          <w:sz w:val="28"/>
          <w:szCs w:val="28"/>
        </w:rPr>
        <w:t>附件</w:t>
      </w:r>
      <w:r>
        <w:rPr>
          <w:spacing w:val="-60"/>
          <w:sz w:val="28"/>
          <w:szCs w:val="28"/>
        </w:rPr>
        <w:t xml:space="preserve"> </w:t>
      </w:r>
      <w:r>
        <w:rPr>
          <w:rFonts w:ascii="Times New Roman" w:hAnsi="Times New Roman" w:eastAsia="Times New Roman" w:cs="Times New Roman"/>
          <w:spacing w:val="-9"/>
          <w:sz w:val="28"/>
          <w:szCs w:val="28"/>
        </w:rPr>
        <w:t>9</w:t>
      </w:r>
      <w:r>
        <w:rPr>
          <w:spacing w:val="-9"/>
          <w:sz w:val="28"/>
          <w:szCs w:val="28"/>
        </w:rPr>
        <w:t>：</w:t>
      </w:r>
    </w:p>
    <w:p w14:paraId="2CC1C352">
      <w:pPr>
        <w:spacing w:line="243" w:lineRule="auto"/>
        <w:rPr>
          <w:rFonts w:ascii="Arial"/>
          <w:sz w:val="21"/>
        </w:rPr>
      </w:pPr>
    </w:p>
    <w:p w14:paraId="614CEB96">
      <w:pPr>
        <w:spacing w:before="120" w:line="183" w:lineRule="auto"/>
        <w:ind w:left="4037"/>
        <w:rPr>
          <w:rFonts w:ascii="微软雅黑" w:hAnsi="微软雅黑" w:eastAsia="微软雅黑" w:cs="微软雅黑"/>
          <w:sz w:val="28"/>
          <w:szCs w:val="28"/>
        </w:rPr>
      </w:pPr>
      <w:r>
        <w:rPr>
          <w:rFonts w:ascii="微软雅黑" w:hAnsi="微软雅黑" w:eastAsia="微软雅黑" w:cs="微软雅黑"/>
          <w:spacing w:val="-1"/>
          <w:sz w:val="28"/>
          <w:szCs w:val="28"/>
        </w:rPr>
        <w:t>预付款担保</w:t>
      </w:r>
    </w:p>
    <w:p w14:paraId="73A95DCF">
      <w:pPr>
        <w:spacing w:line="275" w:lineRule="auto"/>
        <w:rPr>
          <w:rFonts w:ascii="Arial"/>
          <w:sz w:val="21"/>
        </w:rPr>
      </w:pPr>
    </w:p>
    <w:p w14:paraId="10427B80">
      <w:pPr>
        <w:spacing w:line="275" w:lineRule="auto"/>
        <w:rPr>
          <w:rFonts w:ascii="Arial"/>
          <w:sz w:val="21"/>
        </w:rPr>
      </w:pPr>
    </w:p>
    <w:p w14:paraId="3BD66A20">
      <w:pPr>
        <w:tabs>
          <w:tab w:val="left" w:pos="1260"/>
        </w:tabs>
        <w:spacing w:before="65" w:line="229"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9"/>
          <w:sz w:val="20"/>
          <w:szCs w:val="20"/>
        </w:rPr>
        <w:t>（发包人名称</w:t>
      </w:r>
      <w:r>
        <w:rPr>
          <w:rFonts w:ascii="仿宋" w:hAnsi="仿宋" w:eastAsia="仿宋" w:cs="仿宋"/>
          <w:spacing w:val="-52"/>
          <w:sz w:val="20"/>
          <w:szCs w:val="20"/>
        </w:rPr>
        <w:t>）：</w:t>
      </w:r>
    </w:p>
    <w:p w14:paraId="10F9C0A4">
      <w:pPr>
        <w:spacing w:before="160" w:line="376" w:lineRule="auto"/>
        <w:ind w:left="14" w:firstLine="420"/>
        <w:jc w:val="both"/>
        <w:rPr>
          <w:rFonts w:ascii="仿宋" w:hAnsi="仿宋" w:eastAsia="仿宋" w:cs="仿宋"/>
          <w:sz w:val="20"/>
          <w:szCs w:val="20"/>
        </w:rPr>
      </w:pPr>
      <w:r>
        <w:rPr>
          <w:rFonts w:ascii="仿宋" w:hAnsi="仿宋" w:eastAsia="仿宋" w:cs="仿宋"/>
          <w:spacing w:val="-2"/>
          <w:sz w:val="20"/>
          <w:szCs w:val="20"/>
        </w:rPr>
        <w:t>根据</w:t>
      </w:r>
      <w:r>
        <w:rPr>
          <w:rFonts w:ascii="仿宋" w:hAnsi="仿宋" w:eastAsia="仿宋" w:cs="仿宋"/>
          <w:spacing w:val="-96"/>
          <w:sz w:val="20"/>
          <w:szCs w:val="20"/>
        </w:rPr>
        <w:t xml:space="preserve"> </w:t>
      </w:r>
      <w:r>
        <w:rPr>
          <w:rFonts w:ascii="仿宋" w:hAnsi="仿宋" w:eastAsia="仿宋" w:cs="仿宋"/>
          <w:spacing w:val="-2"/>
          <w:sz w:val="20"/>
          <w:szCs w:val="20"/>
          <w:u w:val="single" w:color="auto"/>
        </w:rPr>
        <w:t xml:space="preserve">                  </w:t>
      </w:r>
      <w:r>
        <w:rPr>
          <w:rFonts w:ascii="仿宋" w:hAnsi="仿宋" w:eastAsia="仿宋" w:cs="仿宋"/>
          <w:spacing w:val="-3"/>
          <w:sz w:val="20"/>
          <w:szCs w:val="20"/>
        </w:rPr>
        <w:t>（承包人名称</w:t>
      </w:r>
      <w:r>
        <w:rPr>
          <w:rFonts w:ascii="仿宋" w:hAnsi="仿宋" w:eastAsia="仿宋" w:cs="仿宋"/>
          <w:spacing w:val="-48"/>
          <w:w w:val="83"/>
          <w:sz w:val="20"/>
          <w:szCs w:val="20"/>
        </w:rPr>
        <w:t>）（</w:t>
      </w:r>
      <w:r>
        <w:rPr>
          <w:rFonts w:ascii="仿宋" w:hAnsi="仿宋" w:eastAsia="仿宋" w:cs="仿宋"/>
          <w:spacing w:val="-3"/>
          <w:sz w:val="20"/>
          <w:szCs w:val="20"/>
        </w:rPr>
        <w:t>以下称“承包人”）与</w:t>
      </w:r>
      <w:r>
        <w:rPr>
          <w:rFonts w:ascii="仿宋" w:hAnsi="仿宋" w:eastAsia="仿宋" w:cs="仿宋"/>
          <w:spacing w:val="1"/>
          <w:sz w:val="20"/>
          <w:szCs w:val="20"/>
          <w:u w:val="single" w:color="auto"/>
        </w:rPr>
        <w:t xml:space="preserve">                   </w:t>
      </w:r>
      <w:r>
        <w:rPr>
          <w:rFonts w:ascii="仿宋" w:hAnsi="仿宋" w:eastAsia="仿宋" w:cs="仿宋"/>
          <w:sz w:val="20"/>
          <w:szCs w:val="20"/>
          <w:u w:val="single" w:color="auto"/>
        </w:rPr>
        <w:t xml:space="preserve">      </w:t>
      </w:r>
      <w:r>
        <w:rPr>
          <w:rFonts w:ascii="仿宋" w:hAnsi="仿宋" w:eastAsia="仿宋" w:cs="仿宋"/>
          <w:spacing w:val="-3"/>
          <w:sz w:val="20"/>
          <w:szCs w:val="20"/>
        </w:rPr>
        <w:t>（发</w:t>
      </w:r>
      <w:r>
        <w:rPr>
          <w:rFonts w:ascii="仿宋" w:hAnsi="仿宋" w:eastAsia="仿宋" w:cs="仿宋"/>
          <w:spacing w:val="4"/>
          <w:sz w:val="20"/>
          <w:szCs w:val="20"/>
        </w:rPr>
        <w:t>包人名称</w:t>
      </w:r>
      <w:r>
        <w:rPr>
          <w:rFonts w:ascii="仿宋" w:hAnsi="仿宋" w:eastAsia="仿宋" w:cs="仿宋"/>
          <w:spacing w:val="-56"/>
          <w:sz w:val="20"/>
          <w:szCs w:val="20"/>
        </w:rPr>
        <w:t>）（</w:t>
      </w:r>
      <w:r>
        <w:rPr>
          <w:rFonts w:ascii="仿宋" w:hAnsi="仿宋" w:eastAsia="仿宋" w:cs="仿宋"/>
          <w:spacing w:val="4"/>
          <w:sz w:val="20"/>
          <w:szCs w:val="20"/>
        </w:rPr>
        <w:t>以下简称“发包人”）于</w:t>
      </w:r>
      <w:r>
        <w:rPr>
          <w:rFonts w:ascii="仿宋" w:hAnsi="仿宋" w:eastAsia="仿宋" w:cs="仿宋"/>
          <w:spacing w:val="-98"/>
          <w:sz w:val="20"/>
          <w:szCs w:val="20"/>
        </w:rPr>
        <w:t xml:space="preserve"> </w:t>
      </w:r>
      <w:r>
        <w:rPr>
          <w:rFonts w:ascii="仿宋" w:hAnsi="仿宋" w:eastAsia="仿宋" w:cs="仿宋"/>
          <w:spacing w:val="6"/>
          <w:sz w:val="20"/>
          <w:szCs w:val="20"/>
          <w:u w:val="single" w:color="auto"/>
        </w:rPr>
        <w:t xml:space="preserve">     </w:t>
      </w:r>
      <w:r>
        <w:rPr>
          <w:rFonts w:ascii="仿宋" w:hAnsi="仿宋" w:eastAsia="仿宋" w:cs="仿宋"/>
          <w:spacing w:val="-78"/>
          <w:sz w:val="20"/>
          <w:szCs w:val="20"/>
        </w:rPr>
        <w:t xml:space="preserve"> </w:t>
      </w:r>
      <w:r>
        <w:rPr>
          <w:rFonts w:ascii="仿宋" w:hAnsi="仿宋" w:eastAsia="仿宋" w:cs="仿宋"/>
          <w:spacing w:val="4"/>
          <w:sz w:val="20"/>
          <w:szCs w:val="20"/>
        </w:rPr>
        <w:t>年</w:t>
      </w:r>
      <w:r>
        <w:rPr>
          <w:rFonts w:ascii="仿宋" w:hAnsi="仿宋" w:eastAsia="仿宋" w:cs="仿宋"/>
          <w:spacing w:val="-99"/>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73"/>
          <w:sz w:val="20"/>
          <w:szCs w:val="20"/>
        </w:rPr>
        <w:t xml:space="preserve"> </w:t>
      </w:r>
      <w:r>
        <w:rPr>
          <w:rFonts w:ascii="仿宋" w:hAnsi="仿宋" w:eastAsia="仿宋" w:cs="仿宋"/>
          <w:spacing w:val="4"/>
          <w:sz w:val="20"/>
          <w:szCs w:val="20"/>
        </w:rPr>
        <w:t>月</w:t>
      </w:r>
      <w:r>
        <w:rPr>
          <w:rFonts w:ascii="仿宋" w:hAnsi="仿宋" w:eastAsia="仿宋" w:cs="仿宋"/>
          <w:spacing w:val="-96"/>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39"/>
          <w:sz w:val="20"/>
          <w:szCs w:val="20"/>
        </w:rPr>
        <w:t xml:space="preserve"> </w:t>
      </w:r>
      <w:r>
        <w:rPr>
          <w:rFonts w:ascii="仿宋" w:hAnsi="仿宋" w:eastAsia="仿宋" w:cs="仿宋"/>
          <w:spacing w:val="4"/>
          <w:sz w:val="20"/>
          <w:szCs w:val="20"/>
        </w:rPr>
        <w:t>日签</w:t>
      </w:r>
      <w:r>
        <w:rPr>
          <w:rFonts w:ascii="仿宋" w:hAnsi="仿宋" w:eastAsia="仿宋" w:cs="仿宋"/>
          <w:spacing w:val="3"/>
          <w:sz w:val="20"/>
          <w:szCs w:val="20"/>
        </w:rPr>
        <w:t>订的</w:t>
      </w:r>
      <w:r>
        <w:rPr>
          <w:rFonts w:ascii="仿宋" w:hAnsi="仿宋" w:eastAsia="仿宋" w:cs="仿宋"/>
          <w:spacing w:val="-97"/>
          <w:sz w:val="20"/>
          <w:szCs w:val="20"/>
        </w:rPr>
        <w:t xml:space="preserve"> </w:t>
      </w:r>
      <w:r>
        <w:rPr>
          <w:rFonts w:ascii="仿宋" w:hAnsi="仿宋" w:eastAsia="仿宋" w:cs="仿宋"/>
          <w:sz w:val="20"/>
          <w:szCs w:val="20"/>
          <w:u w:val="single" w:color="auto"/>
        </w:rPr>
        <w:t xml:space="preserve">                    </w:t>
      </w:r>
      <w:r>
        <w:rPr>
          <w:rFonts w:ascii="仿宋" w:hAnsi="仿宋" w:eastAsia="仿宋" w:cs="仿宋"/>
          <w:spacing w:val="3"/>
          <w:sz w:val="20"/>
          <w:szCs w:val="20"/>
        </w:rPr>
        <w:t>（工程名</w:t>
      </w:r>
      <w:r>
        <w:rPr>
          <w:rFonts w:ascii="仿宋" w:hAnsi="仿宋" w:eastAsia="仿宋" w:cs="仿宋"/>
          <w:spacing w:val="7"/>
          <w:sz w:val="20"/>
          <w:szCs w:val="20"/>
        </w:rPr>
        <w:t>称）《建设工程施工合同》，承包人按约定的金额向你方提</w:t>
      </w:r>
      <w:r>
        <w:rPr>
          <w:rFonts w:ascii="仿宋" w:hAnsi="仿宋" w:eastAsia="仿宋" w:cs="仿宋"/>
          <w:spacing w:val="6"/>
          <w:sz w:val="20"/>
          <w:szCs w:val="20"/>
        </w:rPr>
        <w:t>交一份预付款担保，即有权得到你方支</w:t>
      </w:r>
      <w:r>
        <w:rPr>
          <w:rFonts w:ascii="仿宋" w:hAnsi="仿宋" w:eastAsia="仿宋" w:cs="仿宋"/>
          <w:spacing w:val="9"/>
          <w:sz w:val="20"/>
          <w:szCs w:val="20"/>
        </w:rPr>
        <w:t>付相等金额的预付款。我方愿意就你方提供给承包人的预付款为承包人提供连带责任担保。</w:t>
      </w:r>
    </w:p>
    <w:p w14:paraId="40C223FE">
      <w:pPr>
        <w:spacing w:before="4" w:line="229" w:lineRule="auto"/>
        <w:ind w:left="445"/>
        <w:rPr>
          <w:rFonts w:ascii="仿宋" w:hAnsi="仿宋" w:eastAsia="仿宋" w:cs="仿宋"/>
          <w:sz w:val="20"/>
          <w:szCs w:val="20"/>
        </w:rPr>
      </w:pPr>
      <w:r>
        <w:rPr>
          <w:rFonts w:ascii="Times New Roman" w:hAnsi="Times New Roman" w:eastAsia="Times New Roman" w:cs="Times New Roman"/>
          <w:spacing w:val="2"/>
          <w:sz w:val="20"/>
          <w:szCs w:val="20"/>
        </w:rPr>
        <w:t xml:space="preserve">1.  </w:t>
      </w:r>
      <w:r>
        <w:rPr>
          <w:rFonts w:ascii="仿宋" w:hAnsi="仿宋" w:eastAsia="仿宋" w:cs="仿宋"/>
          <w:spacing w:val="2"/>
          <w:sz w:val="20"/>
          <w:szCs w:val="20"/>
        </w:rPr>
        <w:t>担保金额人民币（大写）</w:t>
      </w:r>
      <w:r>
        <w:rPr>
          <w:rFonts w:ascii="仿宋" w:hAnsi="仿宋" w:eastAsia="仿宋" w:cs="仿宋"/>
          <w:spacing w:val="5"/>
          <w:sz w:val="20"/>
          <w:szCs w:val="20"/>
          <w:u w:val="single" w:color="auto"/>
        </w:rPr>
        <w:t xml:space="preserve">            </w:t>
      </w:r>
      <w:r>
        <w:rPr>
          <w:rFonts w:ascii="仿宋" w:hAnsi="仿宋" w:eastAsia="仿宋" w:cs="仿宋"/>
          <w:spacing w:val="-76"/>
          <w:sz w:val="20"/>
          <w:szCs w:val="20"/>
        </w:rPr>
        <w:t xml:space="preserve"> </w:t>
      </w:r>
      <w:r>
        <w:rPr>
          <w:rFonts w:ascii="仿宋" w:hAnsi="仿宋" w:eastAsia="仿宋" w:cs="仿宋"/>
          <w:spacing w:val="2"/>
          <w:sz w:val="20"/>
          <w:szCs w:val="20"/>
        </w:rPr>
        <w:t>元</w:t>
      </w:r>
      <w:r>
        <w:rPr>
          <w:rFonts w:ascii="仿宋" w:hAnsi="仿宋" w:eastAsia="仿宋" w:cs="仿宋"/>
          <w:spacing w:val="18"/>
          <w:sz w:val="20"/>
          <w:szCs w:val="20"/>
        </w:rPr>
        <w:t xml:space="preserve"> </w:t>
      </w:r>
      <w:r>
        <w:rPr>
          <w:rFonts w:ascii="仿宋" w:hAnsi="仿宋" w:eastAsia="仿宋" w:cs="仿宋"/>
          <w:spacing w:val="2"/>
          <w:sz w:val="20"/>
          <w:szCs w:val="20"/>
        </w:rPr>
        <w:t>(</w:t>
      </w:r>
      <w:r>
        <w:rPr>
          <w:rFonts w:ascii="Times New Roman" w:hAnsi="Times New Roman" w:eastAsia="Times New Roman" w:cs="Times New Roman"/>
          <w:spacing w:val="2"/>
          <w:sz w:val="20"/>
          <w:szCs w:val="20"/>
        </w:rPr>
        <w:t>¥</w:t>
      </w:r>
      <w:r>
        <w:rPr>
          <w:rFonts w:ascii="Times New Roman" w:hAnsi="Times New Roman" w:eastAsia="Times New Roman" w:cs="Times New Roman"/>
          <w:spacing w:val="-49"/>
          <w:sz w:val="20"/>
          <w:szCs w:val="20"/>
        </w:rPr>
        <w:t xml:space="preserve"> </w:t>
      </w:r>
      <w:r>
        <w:rPr>
          <w:rFonts w:ascii="Times New Roman" w:hAnsi="Times New Roman" w:eastAsia="Times New Roman" w:cs="Times New Roman"/>
          <w:spacing w:val="2"/>
          <w:sz w:val="20"/>
          <w:szCs w:val="20"/>
          <w:u w:val="single" w:color="auto"/>
        </w:rPr>
        <w:t xml:space="preserve">                  </w:t>
      </w:r>
      <w:r>
        <w:rPr>
          <w:rFonts w:ascii="Times New Roman" w:hAnsi="Times New Roman" w:eastAsia="Times New Roman" w:cs="Times New Roman"/>
          <w:spacing w:val="-13"/>
          <w:sz w:val="20"/>
          <w:szCs w:val="20"/>
        </w:rPr>
        <w:t xml:space="preserve"> </w:t>
      </w:r>
      <w:r>
        <w:rPr>
          <w:rFonts w:ascii="仿宋" w:hAnsi="仿宋" w:eastAsia="仿宋" w:cs="仿宋"/>
          <w:spacing w:val="2"/>
          <w:sz w:val="20"/>
          <w:szCs w:val="20"/>
        </w:rPr>
        <w:t>)。</w:t>
      </w:r>
    </w:p>
    <w:p w14:paraId="7245F513">
      <w:pPr>
        <w:spacing w:before="159" w:line="378" w:lineRule="auto"/>
        <w:ind w:left="13" w:firstLine="411"/>
        <w:rPr>
          <w:rFonts w:ascii="仿宋" w:hAnsi="仿宋" w:eastAsia="仿宋" w:cs="仿宋"/>
          <w:sz w:val="20"/>
          <w:szCs w:val="20"/>
        </w:rPr>
      </w:pPr>
      <w:r>
        <w:rPr>
          <w:rFonts w:ascii="Times New Roman" w:hAnsi="Times New Roman" w:eastAsia="Times New Roman" w:cs="Times New Roman"/>
          <w:spacing w:val="10"/>
          <w:sz w:val="20"/>
          <w:szCs w:val="20"/>
        </w:rPr>
        <w:t xml:space="preserve">2.  </w:t>
      </w:r>
      <w:r>
        <w:rPr>
          <w:rFonts w:ascii="仿宋" w:hAnsi="仿宋" w:eastAsia="仿宋" w:cs="仿宋"/>
          <w:spacing w:val="10"/>
          <w:sz w:val="20"/>
          <w:szCs w:val="20"/>
        </w:rPr>
        <w:t>担保有效期自预付款支付给承包人起生效，至你方签发的进度款支付证书说明已</w:t>
      </w:r>
      <w:r>
        <w:rPr>
          <w:rFonts w:ascii="仿宋" w:hAnsi="仿宋" w:eastAsia="仿宋" w:cs="仿宋"/>
          <w:spacing w:val="9"/>
          <w:sz w:val="20"/>
          <w:szCs w:val="20"/>
        </w:rPr>
        <w:t>完全扣清</w:t>
      </w:r>
      <w:r>
        <w:rPr>
          <w:rFonts w:ascii="仿宋" w:hAnsi="仿宋" w:eastAsia="仿宋" w:cs="仿宋"/>
          <w:spacing w:val="-3"/>
          <w:sz w:val="20"/>
          <w:szCs w:val="20"/>
        </w:rPr>
        <w:t>止。</w:t>
      </w:r>
    </w:p>
    <w:p w14:paraId="2908B260">
      <w:pPr>
        <w:spacing w:before="3" w:line="375" w:lineRule="auto"/>
        <w:ind w:left="21" w:firstLine="408"/>
        <w:rPr>
          <w:rFonts w:ascii="仿宋" w:hAnsi="仿宋" w:eastAsia="仿宋" w:cs="仿宋"/>
          <w:sz w:val="20"/>
          <w:szCs w:val="20"/>
        </w:rPr>
      </w:pPr>
      <w:r>
        <w:rPr>
          <w:rFonts w:ascii="Times New Roman" w:hAnsi="Times New Roman" w:eastAsia="Times New Roman" w:cs="Times New Roman"/>
          <w:spacing w:val="9"/>
          <w:sz w:val="20"/>
          <w:szCs w:val="20"/>
        </w:rPr>
        <w:t xml:space="preserve">3.  </w:t>
      </w:r>
      <w:r>
        <w:rPr>
          <w:rFonts w:ascii="仿宋" w:hAnsi="仿宋" w:eastAsia="仿宋" w:cs="仿宋"/>
          <w:spacing w:val="9"/>
          <w:sz w:val="20"/>
          <w:szCs w:val="20"/>
        </w:rPr>
        <w:t>在本保函有效期内，</w:t>
      </w:r>
      <w:r>
        <w:rPr>
          <w:rFonts w:ascii="仿宋" w:hAnsi="仿宋" w:eastAsia="仿宋" w:cs="仿宋"/>
          <w:spacing w:val="-56"/>
          <w:sz w:val="20"/>
          <w:szCs w:val="20"/>
        </w:rPr>
        <w:t xml:space="preserve"> </w:t>
      </w:r>
      <w:r>
        <w:rPr>
          <w:rFonts w:ascii="仿宋" w:hAnsi="仿宋" w:eastAsia="仿宋" w:cs="仿宋"/>
          <w:spacing w:val="9"/>
          <w:sz w:val="20"/>
          <w:szCs w:val="20"/>
        </w:rPr>
        <w:t>因承包人违反合同约定的义务而要求收回预付款</w:t>
      </w:r>
      <w:r>
        <w:rPr>
          <w:rFonts w:ascii="仿宋" w:hAnsi="仿宋" w:eastAsia="仿宋" w:cs="仿宋"/>
          <w:spacing w:val="8"/>
          <w:sz w:val="20"/>
          <w:szCs w:val="20"/>
        </w:rPr>
        <w:t>时，我方在收到你方</w:t>
      </w:r>
      <w:r>
        <w:rPr>
          <w:rFonts w:ascii="仿宋" w:hAnsi="仿宋" w:eastAsia="仿宋" w:cs="仿宋"/>
          <w:spacing w:val="11"/>
          <w:sz w:val="20"/>
          <w:szCs w:val="20"/>
        </w:rPr>
        <w:t>的书面通知后，在</w:t>
      </w:r>
      <w:r>
        <w:rPr>
          <w:rFonts w:ascii="仿宋" w:hAnsi="仿宋" w:eastAsia="仿宋" w:cs="仿宋"/>
          <w:spacing w:val="-38"/>
          <w:sz w:val="20"/>
          <w:szCs w:val="20"/>
        </w:rPr>
        <w:t xml:space="preserve"> </w:t>
      </w:r>
      <w:r>
        <w:rPr>
          <w:rFonts w:ascii="仿宋" w:hAnsi="仿宋" w:eastAsia="仿宋" w:cs="仿宋"/>
          <w:spacing w:val="11"/>
          <w:sz w:val="20"/>
          <w:szCs w:val="20"/>
        </w:rPr>
        <w:t>7</w:t>
      </w:r>
      <w:r>
        <w:rPr>
          <w:rFonts w:ascii="仿宋" w:hAnsi="仿宋" w:eastAsia="仿宋" w:cs="仿宋"/>
          <w:spacing w:val="-22"/>
          <w:sz w:val="20"/>
          <w:szCs w:val="20"/>
        </w:rPr>
        <w:t xml:space="preserve"> </w:t>
      </w:r>
      <w:r>
        <w:rPr>
          <w:rFonts w:ascii="仿宋" w:hAnsi="仿宋" w:eastAsia="仿宋" w:cs="仿宋"/>
          <w:spacing w:val="11"/>
          <w:sz w:val="20"/>
          <w:szCs w:val="20"/>
        </w:rPr>
        <w:t>天内无条件支付。但本</w:t>
      </w:r>
      <w:r>
        <w:rPr>
          <w:rFonts w:ascii="仿宋" w:hAnsi="仿宋" w:eastAsia="仿宋" w:cs="仿宋"/>
          <w:spacing w:val="10"/>
          <w:sz w:val="20"/>
          <w:szCs w:val="20"/>
        </w:rPr>
        <w:t>保函的担保金额，在任何时候不应超过预付款金额减</w:t>
      </w:r>
      <w:r>
        <w:rPr>
          <w:rFonts w:ascii="仿宋" w:hAnsi="仿宋" w:eastAsia="仿宋" w:cs="仿宋"/>
          <w:spacing w:val="9"/>
          <w:sz w:val="20"/>
          <w:szCs w:val="20"/>
        </w:rPr>
        <w:t>去你方按合同约定在向承包人签发的进度款支付证书中扣除的</w:t>
      </w:r>
      <w:r>
        <w:rPr>
          <w:rFonts w:ascii="仿宋" w:hAnsi="仿宋" w:eastAsia="仿宋" w:cs="仿宋"/>
          <w:spacing w:val="8"/>
          <w:sz w:val="20"/>
          <w:szCs w:val="20"/>
        </w:rPr>
        <w:t>金额。</w:t>
      </w:r>
    </w:p>
    <w:p w14:paraId="69CE9D13">
      <w:pPr>
        <w:spacing w:before="3" w:line="229" w:lineRule="auto"/>
        <w:ind w:left="423"/>
        <w:rPr>
          <w:rFonts w:ascii="仿宋" w:hAnsi="仿宋" w:eastAsia="仿宋" w:cs="仿宋"/>
          <w:sz w:val="20"/>
          <w:szCs w:val="20"/>
        </w:rPr>
      </w:pPr>
      <w:r>
        <w:rPr>
          <w:rFonts w:ascii="Times New Roman" w:hAnsi="Times New Roman" w:eastAsia="Times New Roman" w:cs="Times New Roman"/>
          <w:spacing w:val="9"/>
          <w:sz w:val="20"/>
          <w:szCs w:val="20"/>
        </w:rPr>
        <w:t xml:space="preserve">4.  </w:t>
      </w:r>
      <w:r>
        <w:rPr>
          <w:rFonts w:ascii="仿宋" w:hAnsi="仿宋" w:eastAsia="仿宋" w:cs="仿宋"/>
          <w:spacing w:val="9"/>
          <w:sz w:val="20"/>
          <w:szCs w:val="20"/>
        </w:rPr>
        <w:t>你方和承包人按合同约定变更合同时，我方承担本保函</w:t>
      </w:r>
      <w:r>
        <w:rPr>
          <w:rFonts w:ascii="仿宋" w:hAnsi="仿宋" w:eastAsia="仿宋" w:cs="仿宋"/>
          <w:spacing w:val="8"/>
          <w:sz w:val="20"/>
          <w:szCs w:val="20"/>
        </w:rPr>
        <w:t>规定的义务不变。</w:t>
      </w:r>
    </w:p>
    <w:p w14:paraId="17FE95C3">
      <w:pPr>
        <w:spacing w:before="159" w:line="377" w:lineRule="auto"/>
        <w:ind w:left="22" w:right="2" w:firstLine="408"/>
        <w:rPr>
          <w:rFonts w:ascii="仿宋" w:hAnsi="仿宋" w:eastAsia="仿宋" w:cs="仿宋"/>
          <w:sz w:val="20"/>
          <w:szCs w:val="20"/>
        </w:rPr>
      </w:pPr>
      <w:r>
        <w:rPr>
          <w:rFonts w:ascii="Times New Roman" w:hAnsi="Times New Roman" w:eastAsia="Times New Roman" w:cs="Times New Roman"/>
          <w:spacing w:val="8"/>
          <w:sz w:val="20"/>
          <w:szCs w:val="20"/>
        </w:rPr>
        <w:t>5.</w:t>
      </w:r>
      <w:r>
        <w:rPr>
          <w:rFonts w:ascii="Times New Roman" w:hAnsi="Times New Roman" w:eastAsia="Times New Roman" w:cs="Times New Roman"/>
          <w:spacing w:val="21"/>
          <w:sz w:val="20"/>
          <w:szCs w:val="20"/>
        </w:rPr>
        <w:t xml:space="preserve">  </w:t>
      </w:r>
      <w:r>
        <w:rPr>
          <w:rFonts w:ascii="仿宋" w:hAnsi="仿宋" w:eastAsia="仿宋" w:cs="仿宋"/>
          <w:spacing w:val="8"/>
          <w:sz w:val="20"/>
          <w:szCs w:val="20"/>
        </w:rPr>
        <w:t>因本保函发生的纠纷，可由双方协商解决，协商不成的，任何一方均可提请</w:t>
      </w:r>
      <w:r>
        <w:rPr>
          <w:rFonts w:ascii="仿宋" w:hAnsi="仿宋" w:eastAsia="仿宋" w:cs="仿宋"/>
          <w:spacing w:val="8"/>
          <w:sz w:val="20"/>
          <w:szCs w:val="20"/>
          <w:u w:val="single" w:color="auto"/>
        </w:rPr>
        <w:t xml:space="preserve">        </w:t>
      </w:r>
      <w:r>
        <w:rPr>
          <w:rFonts w:ascii="仿宋" w:hAnsi="仿宋" w:eastAsia="仿宋" w:cs="仿宋"/>
          <w:spacing w:val="-84"/>
          <w:sz w:val="20"/>
          <w:szCs w:val="20"/>
        </w:rPr>
        <w:t xml:space="preserve"> </w:t>
      </w:r>
      <w:r>
        <w:rPr>
          <w:rFonts w:ascii="仿宋" w:hAnsi="仿宋" w:eastAsia="仿宋" w:cs="仿宋"/>
          <w:spacing w:val="8"/>
          <w:sz w:val="20"/>
          <w:szCs w:val="20"/>
        </w:rPr>
        <w:t>仲裁</w:t>
      </w:r>
      <w:r>
        <w:rPr>
          <w:rFonts w:ascii="仿宋" w:hAnsi="仿宋" w:eastAsia="仿宋" w:cs="仿宋"/>
          <w:spacing w:val="4"/>
          <w:sz w:val="20"/>
          <w:szCs w:val="20"/>
        </w:rPr>
        <w:t>委员会仲裁。</w:t>
      </w:r>
    </w:p>
    <w:p w14:paraId="03F65917">
      <w:pPr>
        <w:spacing w:before="1" w:line="229" w:lineRule="auto"/>
        <w:ind w:left="429"/>
        <w:rPr>
          <w:rFonts w:ascii="仿宋" w:hAnsi="仿宋" w:eastAsia="仿宋" w:cs="仿宋"/>
          <w:sz w:val="20"/>
          <w:szCs w:val="20"/>
        </w:rPr>
      </w:pPr>
      <w:r>
        <w:rPr>
          <w:rFonts w:ascii="Times New Roman" w:hAnsi="Times New Roman" w:eastAsia="Times New Roman" w:cs="Times New Roman"/>
          <w:spacing w:val="9"/>
          <w:sz w:val="20"/>
          <w:szCs w:val="20"/>
        </w:rPr>
        <w:t xml:space="preserve">6.  </w:t>
      </w:r>
      <w:r>
        <w:rPr>
          <w:rFonts w:ascii="仿宋" w:hAnsi="仿宋" w:eastAsia="仿宋" w:cs="仿宋"/>
          <w:spacing w:val="9"/>
          <w:sz w:val="20"/>
          <w:szCs w:val="20"/>
        </w:rPr>
        <w:t>本保函自我方法定代表人（或其授权代理人</w:t>
      </w:r>
      <w:r>
        <w:rPr>
          <w:rFonts w:ascii="仿宋" w:hAnsi="仿宋" w:eastAsia="仿宋" w:cs="仿宋"/>
          <w:spacing w:val="8"/>
          <w:sz w:val="20"/>
          <w:szCs w:val="20"/>
        </w:rPr>
        <w:t>）签字并加盖公章之日起生效。</w:t>
      </w:r>
    </w:p>
    <w:p w14:paraId="05BD43A4">
      <w:pPr>
        <w:spacing w:before="161" w:line="229" w:lineRule="auto"/>
        <w:ind w:left="16"/>
        <w:rPr>
          <w:rFonts w:ascii="仿宋" w:hAnsi="仿宋" w:eastAsia="仿宋" w:cs="仿宋"/>
          <w:sz w:val="20"/>
          <w:szCs w:val="20"/>
        </w:rPr>
      </w:pPr>
      <w:r>
        <w:rPr>
          <w:rFonts w:ascii="仿宋" w:hAnsi="仿宋" w:eastAsia="仿宋" w:cs="仿宋"/>
          <w:spacing w:val="10"/>
          <w:sz w:val="20"/>
          <w:szCs w:val="20"/>
        </w:rPr>
        <w:t>担保人</w:t>
      </w:r>
      <w:r>
        <w:rPr>
          <w:rFonts w:ascii="仿宋" w:hAnsi="仿宋" w:eastAsia="仿宋" w:cs="仿宋"/>
          <w:spacing w:val="-4"/>
          <w:sz w:val="20"/>
          <w:szCs w:val="20"/>
        </w:rPr>
        <w:t>：</w:t>
      </w:r>
      <w:r>
        <w:rPr>
          <w:rFonts w:ascii="仿宋" w:hAnsi="仿宋" w:eastAsia="仿宋" w:cs="仿宋"/>
          <w:spacing w:val="1"/>
          <w:sz w:val="20"/>
          <w:szCs w:val="20"/>
          <w:u w:val="single" w:color="auto"/>
        </w:rPr>
        <w:t xml:space="preserve">                           </w:t>
      </w:r>
      <w:r>
        <w:rPr>
          <w:rFonts w:ascii="仿宋" w:hAnsi="仿宋" w:eastAsia="仿宋" w:cs="仿宋"/>
          <w:spacing w:val="-4"/>
          <w:sz w:val="20"/>
          <w:szCs w:val="20"/>
        </w:rPr>
        <w:t>（</w:t>
      </w:r>
      <w:r>
        <w:rPr>
          <w:rFonts w:ascii="仿宋" w:hAnsi="仿宋" w:eastAsia="仿宋" w:cs="仿宋"/>
          <w:spacing w:val="10"/>
          <w:sz w:val="20"/>
          <w:szCs w:val="20"/>
        </w:rPr>
        <w:t>盖单位章）</w:t>
      </w:r>
    </w:p>
    <w:p w14:paraId="53F5BC28">
      <w:pPr>
        <w:spacing w:before="159" w:line="232" w:lineRule="auto"/>
        <w:ind w:left="21"/>
        <w:rPr>
          <w:rFonts w:ascii="仿宋" w:hAnsi="仿宋" w:eastAsia="仿宋" w:cs="仿宋"/>
          <w:sz w:val="20"/>
          <w:szCs w:val="20"/>
        </w:rPr>
      </w:pPr>
      <w:r>
        <w:rPr>
          <w:rFonts w:ascii="仿宋" w:hAnsi="仿宋" w:eastAsia="仿宋" w:cs="仿宋"/>
          <w:spacing w:val="9"/>
          <w:sz w:val="20"/>
          <w:szCs w:val="20"/>
        </w:rPr>
        <w:t>法定代表人或其委托代理人</w:t>
      </w:r>
      <w:r>
        <w:rPr>
          <w:rFonts w:ascii="仿宋" w:hAnsi="仿宋" w:eastAsia="仿宋" w:cs="仿宋"/>
          <w:spacing w:val="1"/>
          <w:sz w:val="20"/>
          <w:szCs w:val="20"/>
        </w:rPr>
        <w:t>：</w:t>
      </w:r>
      <w:r>
        <w:rPr>
          <w:rFonts w:ascii="仿宋" w:hAnsi="仿宋" w:eastAsia="仿宋" w:cs="仿宋"/>
          <w:spacing w:val="5"/>
          <w:sz w:val="20"/>
          <w:szCs w:val="20"/>
          <w:u w:val="single" w:color="auto"/>
        </w:rPr>
        <w:t xml:space="preserve">            </w:t>
      </w:r>
      <w:r>
        <w:rPr>
          <w:rFonts w:ascii="仿宋" w:hAnsi="仿宋" w:eastAsia="仿宋" w:cs="仿宋"/>
          <w:spacing w:val="1"/>
          <w:sz w:val="20"/>
          <w:szCs w:val="20"/>
        </w:rPr>
        <w:t>（</w:t>
      </w:r>
      <w:r>
        <w:rPr>
          <w:rFonts w:ascii="仿宋" w:hAnsi="仿宋" w:eastAsia="仿宋" w:cs="仿宋"/>
          <w:spacing w:val="9"/>
          <w:sz w:val="20"/>
          <w:szCs w:val="20"/>
        </w:rPr>
        <w:t>签字）</w:t>
      </w:r>
    </w:p>
    <w:p w14:paraId="55E1F3F6">
      <w:pPr>
        <w:spacing w:before="158"/>
        <w:ind w:left="15"/>
        <w:rPr>
          <w:rFonts w:ascii="仿宋" w:hAnsi="仿宋" w:eastAsia="仿宋" w:cs="仿宋"/>
          <w:sz w:val="20"/>
          <w:szCs w:val="20"/>
        </w:rPr>
      </w:pPr>
      <w:r>
        <w:rPr>
          <w:rFonts w:ascii="仿宋" w:hAnsi="仿宋" w:eastAsia="仿宋" w:cs="仿宋"/>
          <w:spacing w:val="-6"/>
          <w:sz w:val="20"/>
          <w:szCs w:val="20"/>
        </w:rPr>
        <w:t>地</w:t>
      </w:r>
      <w:r>
        <w:rPr>
          <w:rFonts w:ascii="仿宋" w:hAnsi="仿宋" w:eastAsia="仿宋" w:cs="仿宋"/>
          <w:spacing w:val="10"/>
          <w:sz w:val="20"/>
          <w:szCs w:val="20"/>
        </w:rPr>
        <w:t xml:space="preserve">    </w:t>
      </w:r>
      <w:r>
        <w:rPr>
          <w:rFonts w:ascii="仿宋" w:hAnsi="仿宋" w:eastAsia="仿宋" w:cs="仿宋"/>
          <w:spacing w:val="-6"/>
          <w:sz w:val="20"/>
          <w:szCs w:val="20"/>
        </w:rPr>
        <w:t>址</w:t>
      </w:r>
      <w:r>
        <w:rPr>
          <w:rFonts w:ascii="仿宋" w:hAnsi="仿宋" w:eastAsia="仿宋" w:cs="仿宋"/>
          <w:spacing w:val="-71"/>
          <w:sz w:val="20"/>
          <w:szCs w:val="20"/>
        </w:rPr>
        <w:t xml:space="preserve"> </w:t>
      </w:r>
      <w:r>
        <w:rPr>
          <w:rFonts w:ascii="仿宋" w:hAnsi="仿宋" w:eastAsia="仿宋" w:cs="仿宋"/>
          <w:spacing w:val="-6"/>
          <w:sz w:val="20"/>
          <w:szCs w:val="20"/>
        </w:rPr>
        <w:t>：</w:t>
      </w:r>
      <w:r>
        <w:rPr>
          <w:rFonts w:ascii="仿宋" w:hAnsi="仿宋" w:eastAsia="仿宋" w:cs="仿宋"/>
          <w:spacing w:val="-6"/>
          <w:sz w:val="20"/>
          <w:szCs w:val="20"/>
          <w:u w:val="single" w:color="auto"/>
        </w:rPr>
        <w:t xml:space="preserve">                     </w:t>
      </w:r>
      <w:r>
        <w:rPr>
          <w:rFonts w:ascii="仿宋" w:hAnsi="仿宋" w:eastAsia="仿宋" w:cs="仿宋"/>
          <w:spacing w:val="-7"/>
          <w:sz w:val="20"/>
          <w:szCs w:val="20"/>
          <w:u w:val="single" w:color="auto"/>
        </w:rPr>
        <w:t xml:space="preserve">                          </w:t>
      </w:r>
    </w:p>
    <w:p w14:paraId="00496BD3">
      <w:pPr>
        <w:spacing w:before="150" w:line="230" w:lineRule="auto"/>
        <w:ind w:left="30"/>
        <w:rPr>
          <w:rFonts w:ascii="仿宋" w:hAnsi="仿宋" w:eastAsia="仿宋" w:cs="仿宋"/>
          <w:sz w:val="20"/>
          <w:szCs w:val="20"/>
        </w:rPr>
      </w:pPr>
      <w:r>
        <w:rPr>
          <w:rFonts w:ascii="仿宋" w:hAnsi="仿宋" w:eastAsia="仿宋" w:cs="仿宋"/>
          <w:spacing w:val="4"/>
          <w:sz w:val="20"/>
          <w:szCs w:val="20"/>
        </w:rPr>
        <w:t>邮政编码：</w:t>
      </w:r>
      <w:r>
        <w:rPr>
          <w:rFonts w:ascii="仿宋" w:hAnsi="仿宋" w:eastAsia="仿宋" w:cs="仿宋"/>
          <w:sz w:val="20"/>
          <w:szCs w:val="20"/>
          <w:u w:val="single" w:color="auto"/>
        </w:rPr>
        <w:t xml:space="preserve">                                             </w:t>
      </w:r>
    </w:p>
    <w:p w14:paraId="7EB30237">
      <w:pPr>
        <w:spacing w:before="158" w:line="232" w:lineRule="auto"/>
        <w:ind w:left="37"/>
        <w:rPr>
          <w:rFonts w:ascii="仿宋" w:hAnsi="仿宋" w:eastAsia="仿宋" w:cs="仿宋"/>
          <w:sz w:val="20"/>
          <w:szCs w:val="20"/>
        </w:rPr>
      </w:pPr>
      <w:r>
        <w:rPr>
          <w:rFonts w:ascii="仿宋" w:hAnsi="仿宋" w:eastAsia="仿宋" w:cs="仿宋"/>
          <w:spacing w:val="-18"/>
          <w:sz w:val="20"/>
          <w:szCs w:val="20"/>
        </w:rPr>
        <w:t>电</w:t>
      </w:r>
      <w:r>
        <w:rPr>
          <w:rFonts w:ascii="仿宋" w:hAnsi="仿宋" w:eastAsia="仿宋" w:cs="仿宋"/>
          <w:spacing w:val="9"/>
          <w:sz w:val="20"/>
          <w:szCs w:val="20"/>
        </w:rPr>
        <w:t xml:space="preserve">    </w:t>
      </w:r>
      <w:r>
        <w:rPr>
          <w:rFonts w:ascii="仿宋" w:hAnsi="仿宋" w:eastAsia="仿宋" w:cs="仿宋"/>
          <w:spacing w:val="-18"/>
          <w:sz w:val="20"/>
          <w:szCs w:val="20"/>
        </w:rPr>
        <w:t>话</w:t>
      </w:r>
      <w:r>
        <w:rPr>
          <w:rFonts w:ascii="仿宋" w:hAnsi="仿宋" w:eastAsia="仿宋" w:cs="仿宋"/>
          <w:spacing w:val="-70"/>
          <w:sz w:val="20"/>
          <w:szCs w:val="20"/>
        </w:rPr>
        <w:t xml:space="preserve"> </w:t>
      </w:r>
      <w:r>
        <w:rPr>
          <w:rFonts w:ascii="仿宋" w:hAnsi="仿宋" w:eastAsia="仿宋" w:cs="仿宋"/>
          <w:spacing w:val="-18"/>
          <w:sz w:val="20"/>
          <w:szCs w:val="20"/>
        </w:rPr>
        <w:t>：</w:t>
      </w:r>
      <w:r>
        <w:rPr>
          <w:rFonts w:ascii="仿宋" w:hAnsi="仿宋" w:eastAsia="仿宋" w:cs="仿宋"/>
          <w:sz w:val="20"/>
          <w:szCs w:val="20"/>
          <w:u w:val="single" w:color="auto"/>
        </w:rPr>
        <w:t xml:space="preserve">                                             </w:t>
      </w:r>
    </w:p>
    <w:p w14:paraId="0B0AC4C3">
      <w:pPr>
        <w:spacing w:before="157" w:line="232" w:lineRule="auto"/>
        <w:ind w:left="16"/>
        <w:rPr>
          <w:rFonts w:ascii="仿宋" w:hAnsi="仿宋" w:eastAsia="仿宋" w:cs="仿宋"/>
          <w:sz w:val="20"/>
          <w:szCs w:val="20"/>
        </w:rPr>
      </w:pPr>
      <w:r>
        <w:rPr>
          <w:rFonts w:ascii="仿宋" w:hAnsi="仿宋" w:eastAsia="仿宋" w:cs="仿宋"/>
          <w:spacing w:val="-13"/>
          <w:sz w:val="20"/>
          <w:szCs w:val="20"/>
        </w:rPr>
        <w:t>传</w:t>
      </w:r>
      <w:r>
        <w:rPr>
          <w:rFonts w:ascii="仿宋" w:hAnsi="仿宋" w:eastAsia="仿宋" w:cs="仿宋"/>
          <w:spacing w:val="10"/>
          <w:sz w:val="20"/>
          <w:szCs w:val="20"/>
        </w:rPr>
        <w:t xml:space="preserve">    </w:t>
      </w:r>
      <w:r>
        <w:rPr>
          <w:rFonts w:ascii="仿宋" w:hAnsi="仿宋" w:eastAsia="仿宋" w:cs="仿宋"/>
          <w:spacing w:val="-13"/>
          <w:sz w:val="20"/>
          <w:szCs w:val="20"/>
        </w:rPr>
        <w:t>真</w:t>
      </w:r>
      <w:r>
        <w:rPr>
          <w:rFonts w:ascii="仿宋" w:hAnsi="仿宋" w:eastAsia="仿宋" w:cs="仿宋"/>
          <w:spacing w:val="-68"/>
          <w:sz w:val="20"/>
          <w:szCs w:val="20"/>
        </w:rPr>
        <w:t xml:space="preserve"> </w:t>
      </w:r>
      <w:r>
        <w:rPr>
          <w:rFonts w:ascii="仿宋" w:hAnsi="仿宋" w:eastAsia="仿宋" w:cs="仿宋"/>
          <w:spacing w:val="-13"/>
          <w:sz w:val="20"/>
          <w:szCs w:val="20"/>
        </w:rPr>
        <w:t>：</w:t>
      </w:r>
      <w:r>
        <w:rPr>
          <w:rFonts w:ascii="仿宋" w:hAnsi="仿宋" w:eastAsia="仿宋" w:cs="仿宋"/>
          <w:sz w:val="20"/>
          <w:szCs w:val="20"/>
          <w:u w:val="single" w:color="auto"/>
        </w:rPr>
        <w:t xml:space="preserve">                                             </w:t>
      </w:r>
    </w:p>
    <w:p w14:paraId="523B5B50">
      <w:pPr>
        <w:spacing w:line="451" w:lineRule="auto"/>
        <w:rPr>
          <w:rFonts w:ascii="Arial"/>
          <w:sz w:val="21"/>
        </w:rPr>
      </w:pPr>
    </w:p>
    <w:p w14:paraId="19CF647A">
      <w:pPr>
        <w:tabs>
          <w:tab w:val="left" w:pos="2833"/>
        </w:tabs>
        <w:spacing w:before="65" w:line="231" w:lineRule="auto"/>
        <w:ind w:left="1260"/>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82"/>
          <w:sz w:val="20"/>
          <w:szCs w:val="20"/>
        </w:rPr>
        <w:t xml:space="preserve"> </w:t>
      </w:r>
      <w:r>
        <w:rPr>
          <w:rFonts w:ascii="仿宋" w:hAnsi="仿宋" w:eastAsia="仿宋" w:cs="仿宋"/>
          <w:spacing w:val="-8"/>
          <w:sz w:val="20"/>
          <w:szCs w:val="20"/>
        </w:rPr>
        <w:t>年</w:t>
      </w:r>
      <w:r>
        <w:rPr>
          <w:rFonts w:ascii="仿宋" w:hAnsi="仿宋" w:eastAsia="仿宋" w:cs="仿宋"/>
          <w:spacing w:val="-98"/>
          <w:sz w:val="20"/>
          <w:szCs w:val="20"/>
        </w:rPr>
        <w:t xml:space="preserve"> </w:t>
      </w:r>
      <w:r>
        <w:rPr>
          <w:rFonts w:ascii="仿宋" w:hAnsi="仿宋" w:eastAsia="仿宋" w:cs="仿宋"/>
          <w:spacing w:val="4"/>
          <w:sz w:val="20"/>
          <w:szCs w:val="20"/>
          <w:u w:val="single" w:color="auto"/>
        </w:rPr>
        <w:t xml:space="preserve">      </w:t>
      </w:r>
      <w:r>
        <w:rPr>
          <w:rFonts w:ascii="仿宋" w:hAnsi="仿宋" w:eastAsia="仿宋" w:cs="仿宋"/>
          <w:spacing w:val="-71"/>
          <w:sz w:val="20"/>
          <w:szCs w:val="20"/>
        </w:rPr>
        <w:t xml:space="preserve"> </w:t>
      </w:r>
      <w:r>
        <w:rPr>
          <w:rFonts w:ascii="仿宋" w:hAnsi="仿宋" w:eastAsia="仿宋" w:cs="仿宋"/>
          <w:spacing w:val="-8"/>
          <w:sz w:val="20"/>
          <w:szCs w:val="20"/>
        </w:rPr>
        <w:t>月</w:t>
      </w:r>
      <w:r>
        <w:rPr>
          <w:rFonts w:ascii="仿宋" w:hAnsi="仿宋" w:eastAsia="仿宋" w:cs="仿宋"/>
          <w:spacing w:val="-99"/>
          <w:sz w:val="20"/>
          <w:szCs w:val="20"/>
        </w:rPr>
        <w:t xml:space="preserve"> </w:t>
      </w:r>
      <w:r>
        <w:rPr>
          <w:rFonts w:ascii="仿宋" w:hAnsi="仿宋" w:eastAsia="仿宋" w:cs="仿宋"/>
          <w:spacing w:val="4"/>
          <w:sz w:val="20"/>
          <w:szCs w:val="20"/>
          <w:u w:val="single" w:color="auto"/>
        </w:rPr>
        <w:t xml:space="preserve">      </w:t>
      </w:r>
      <w:r>
        <w:rPr>
          <w:rFonts w:ascii="仿宋" w:hAnsi="仿宋" w:eastAsia="仿宋" w:cs="仿宋"/>
          <w:spacing w:val="-37"/>
          <w:sz w:val="20"/>
          <w:szCs w:val="20"/>
        </w:rPr>
        <w:t xml:space="preserve"> </w:t>
      </w:r>
      <w:r>
        <w:rPr>
          <w:rFonts w:ascii="仿宋" w:hAnsi="仿宋" w:eastAsia="仿宋" w:cs="仿宋"/>
          <w:spacing w:val="-8"/>
          <w:sz w:val="20"/>
          <w:szCs w:val="20"/>
        </w:rPr>
        <w:t>日</w:t>
      </w:r>
    </w:p>
    <w:p w14:paraId="75BBB14C">
      <w:pPr>
        <w:spacing w:line="231" w:lineRule="auto"/>
        <w:rPr>
          <w:rFonts w:ascii="仿宋" w:hAnsi="仿宋" w:eastAsia="仿宋" w:cs="仿宋"/>
          <w:sz w:val="20"/>
          <w:szCs w:val="20"/>
        </w:rPr>
        <w:sectPr>
          <w:footerReference r:id="rId431" w:type="default"/>
          <w:pgSz w:w="11907" w:h="16840"/>
          <w:pgMar w:top="400" w:right="1531" w:bottom="1105" w:left="1473" w:header="0" w:footer="943" w:gutter="0"/>
          <w:cols w:space="720" w:num="1"/>
        </w:sectPr>
      </w:pPr>
    </w:p>
    <w:p w14:paraId="146D701B">
      <w:pPr>
        <w:spacing w:line="248" w:lineRule="auto"/>
        <w:rPr>
          <w:rFonts w:ascii="Arial"/>
          <w:sz w:val="21"/>
        </w:rPr>
      </w:pPr>
    </w:p>
    <w:p w14:paraId="565C64F5">
      <w:pPr>
        <w:spacing w:line="248" w:lineRule="auto"/>
        <w:rPr>
          <w:rFonts w:ascii="Arial"/>
          <w:sz w:val="21"/>
        </w:rPr>
      </w:pPr>
    </w:p>
    <w:p w14:paraId="1F5E3437">
      <w:pPr>
        <w:spacing w:line="249" w:lineRule="auto"/>
        <w:rPr>
          <w:rFonts w:ascii="Arial"/>
          <w:sz w:val="21"/>
        </w:rPr>
      </w:pPr>
    </w:p>
    <w:p w14:paraId="4548779E">
      <w:pPr>
        <w:spacing w:line="249" w:lineRule="auto"/>
        <w:rPr>
          <w:rFonts w:ascii="Arial"/>
          <w:sz w:val="21"/>
        </w:rPr>
      </w:pPr>
    </w:p>
    <w:p w14:paraId="6271DFC8">
      <w:pPr>
        <w:spacing w:line="249" w:lineRule="auto"/>
        <w:rPr>
          <w:rFonts w:ascii="Arial"/>
          <w:sz w:val="21"/>
        </w:rPr>
      </w:pPr>
    </w:p>
    <w:p w14:paraId="7AA21298">
      <w:pPr>
        <w:pStyle w:val="2"/>
        <w:spacing w:before="91" w:line="225" w:lineRule="auto"/>
        <w:ind w:left="27"/>
        <w:rPr>
          <w:sz w:val="28"/>
          <w:szCs w:val="28"/>
        </w:rPr>
      </w:pPr>
      <w:r>
        <w:rPr>
          <w:spacing w:val="-12"/>
          <w:sz w:val="28"/>
          <w:szCs w:val="28"/>
        </w:rPr>
        <w:t>附件</w:t>
      </w:r>
      <w:r>
        <w:rPr>
          <w:spacing w:val="-37"/>
          <w:sz w:val="28"/>
          <w:szCs w:val="28"/>
        </w:rPr>
        <w:t xml:space="preserve"> </w:t>
      </w:r>
      <w:r>
        <w:rPr>
          <w:rFonts w:ascii="Times New Roman" w:hAnsi="Times New Roman" w:eastAsia="Times New Roman" w:cs="Times New Roman"/>
          <w:spacing w:val="-12"/>
          <w:sz w:val="28"/>
          <w:szCs w:val="28"/>
        </w:rPr>
        <w:t>10</w:t>
      </w:r>
      <w:r>
        <w:rPr>
          <w:spacing w:val="-12"/>
          <w:sz w:val="28"/>
          <w:szCs w:val="28"/>
        </w:rPr>
        <w:t>：</w:t>
      </w:r>
    </w:p>
    <w:p w14:paraId="5B69DE02">
      <w:pPr>
        <w:spacing w:line="243" w:lineRule="auto"/>
        <w:rPr>
          <w:rFonts w:ascii="Arial"/>
          <w:sz w:val="21"/>
        </w:rPr>
      </w:pPr>
    </w:p>
    <w:p w14:paraId="55BEBAD1">
      <w:pPr>
        <w:spacing w:before="120" w:line="183" w:lineRule="auto"/>
        <w:ind w:left="3897"/>
        <w:rPr>
          <w:rFonts w:ascii="微软雅黑" w:hAnsi="微软雅黑" w:eastAsia="微软雅黑" w:cs="微软雅黑"/>
          <w:sz w:val="28"/>
          <w:szCs w:val="28"/>
        </w:rPr>
      </w:pPr>
      <w:r>
        <w:rPr>
          <w:rFonts w:ascii="微软雅黑" w:hAnsi="微软雅黑" w:eastAsia="微软雅黑" w:cs="微软雅黑"/>
          <w:spacing w:val="-2"/>
          <w:sz w:val="28"/>
          <w:szCs w:val="28"/>
        </w:rPr>
        <w:t>支付担保</w:t>
      </w:r>
    </w:p>
    <w:p w14:paraId="04A06379">
      <w:pPr>
        <w:spacing w:line="311" w:lineRule="auto"/>
        <w:rPr>
          <w:rFonts w:ascii="Arial"/>
          <w:sz w:val="21"/>
        </w:rPr>
      </w:pPr>
    </w:p>
    <w:p w14:paraId="4C600738">
      <w:pPr>
        <w:tabs>
          <w:tab w:val="left" w:pos="1260"/>
        </w:tabs>
        <w:spacing w:before="65" w:line="232"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9"/>
          <w:sz w:val="20"/>
          <w:szCs w:val="20"/>
        </w:rPr>
        <w:t>（承包人</w:t>
      </w:r>
      <w:r>
        <w:rPr>
          <w:rFonts w:ascii="仿宋" w:hAnsi="仿宋" w:eastAsia="仿宋" w:cs="仿宋"/>
          <w:spacing w:val="-53"/>
          <w:sz w:val="20"/>
          <w:szCs w:val="20"/>
        </w:rPr>
        <w:t>）：</w:t>
      </w:r>
    </w:p>
    <w:p w14:paraId="47306DF3">
      <w:pPr>
        <w:spacing w:before="157" w:line="376" w:lineRule="auto"/>
        <w:ind w:left="21" w:right="15" w:firstLine="415"/>
        <w:jc w:val="both"/>
        <w:rPr>
          <w:rFonts w:ascii="仿宋" w:hAnsi="仿宋" w:eastAsia="仿宋" w:cs="仿宋"/>
          <w:sz w:val="20"/>
          <w:szCs w:val="20"/>
        </w:rPr>
      </w:pPr>
      <w:r>
        <w:rPr>
          <w:rFonts w:ascii="仿宋" w:hAnsi="仿宋" w:eastAsia="仿宋" w:cs="仿宋"/>
          <w:spacing w:val="5"/>
          <w:sz w:val="20"/>
          <w:szCs w:val="20"/>
        </w:rPr>
        <w:t>鉴于你方作为承包人已经与</w:t>
      </w:r>
      <w:r>
        <w:rPr>
          <w:rFonts w:ascii="仿宋" w:hAnsi="仿宋" w:eastAsia="仿宋" w:cs="仿宋"/>
          <w:spacing w:val="-97"/>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5"/>
          <w:sz w:val="20"/>
          <w:szCs w:val="20"/>
        </w:rPr>
        <w:t>（发包人名称</w:t>
      </w:r>
      <w:r>
        <w:rPr>
          <w:rFonts w:ascii="仿宋" w:hAnsi="仿宋" w:eastAsia="仿宋" w:cs="仿宋"/>
          <w:spacing w:val="-57"/>
          <w:w w:val="98"/>
          <w:sz w:val="20"/>
          <w:szCs w:val="20"/>
        </w:rPr>
        <w:t>）（</w:t>
      </w:r>
      <w:r>
        <w:rPr>
          <w:rFonts w:ascii="仿宋" w:hAnsi="仿宋" w:eastAsia="仿宋" w:cs="仿宋"/>
          <w:spacing w:val="5"/>
          <w:sz w:val="20"/>
          <w:szCs w:val="20"/>
        </w:rPr>
        <w:t>以下称“</w:t>
      </w:r>
      <w:r>
        <w:rPr>
          <w:rFonts w:ascii="仿宋" w:hAnsi="仿宋" w:eastAsia="仿宋" w:cs="仿宋"/>
          <w:spacing w:val="4"/>
          <w:sz w:val="20"/>
          <w:szCs w:val="20"/>
        </w:rPr>
        <w:t>发包人”）于</w:t>
      </w:r>
      <w:r>
        <w:rPr>
          <w:rFonts w:ascii="仿宋" w:hAnsi="仿宋" w:eastAsia="仿宋" w:cs="仿宋"/>
          <w:spacing w:val="-98"/>
          <w:sz w:val="20"/>
          <w:szCs w:val="20"/>
        </w:rPr>
        <w:t xml:space="preserve"> </w:t>
      </w:r>
      <w:r>
        <w:rPr>
          <w:rFonts w:ascii="仿宋" w:hAnsi="仿宋" w:eastAsia="仿宋" w:cs="仿宋"/>
          <w:spacing w:val="4"/>
          <w:sz w:val="20"/>
          <w:szCs w:val="20"/>
          <w:u w:val="single" w:color="auto"/>
        </w:rPr>
        <w:t xml:space="preserve">   </w:t>
      </w:r>
      <w:r>
        <w:rPr>
          <w:rFonts w:ascii="仿宋" w:hAnsi="仿宋" w:eastAsia="仿宋" w:cs="仿宋"/>
          <w:spacing w:val="-79"/>
          <w:sz w:val="20"/>
          <w:szCs w:val="20"/>
        </w:rPr>
        <w:t xml:space="preserve"> </w:t>
      </w:r>
      <w:r>
        <w:rPr>
          <w:rFonts w:ascii="仿宋" w:hAnsi="仿宋" w:eastAsia="仿宋" w:cs="仿宋"/>
          <w:spacing w:val="4"/>
          <w:sz w:val="20"/>
          <w:szCs w:val="20"/>
        </w:rPr>
        <w:t>年</w:t>
      </w:r>
      <w:r>
        <w:rPr>
          <w:rFonts w:ascii="仿宋" w:hAnsi="仿宋" w:eastAsia="仿宋" w:cs="仿宋"/>
          <w:spacing w:val="-98"/>
          <w:sz w:val="20"/>
          <w:szCs w:val="20"/>
        </w:rPr>
        <w:t xml:space="preserve"> </w:t>
      </w:r>
      <w:r>
        <w:rPr>
          <w:rFonts w:ascii="仿宋" w:hAnsi="仿宋" w:eastAsia="仿宋" w:cs="仿宋"/>
          <w:spacing w:val="4"/>
          <w:sz w:val="20"/>
          <w:szCs w:val="20"/>
          <w:u w:val="single" w:color="auto"/>
        </w:rPr>
        <w:t xml:space="preserve">   </w:t>
      </w:r>
      <w:r>
        <w:rPr>
          <w:rFonts w:ascii="仿宋" w:hAnsi="仿宋" w:eastAsia="仿宋" w:cs="仿宋"/>
          <w:spacing w:val="-74"/>
          <w:sz w:val="20"/>
          <w:szCs w:val="20"/>
        </w:rPr>
        <w:t xml:space="preserve"> </w:t>
      </w:r>
      <w:r>
        <w:rPr>
          <w:rFonts w:ascii="仿宋" w:hAnsi="仿宋" w:eastAsia="仿宋" w:cs="仿宋"/>
          <w:spacing w:val="4"/>
          <w:sz w:val="20"/>
          <w:szCs w:val="20"/>
        </w:rPr>
        <w:t>月</w:t>
      </w:r>
      <w:r>
        <w:rPr>
          <w:rFonts w:ascii="仿宋" w:hAnsi="仿宋" w:eastAsia="仿宋" w:cs="仿宋"/>
          <w:spacing w:val="1"/>
          <w:sz w:val="20"/>
          <w:szCs w:val="20"/>
        </w:rPr>
        <w:t>日签订了</w:t>
      </w:r>
      <w:r>
        <w:rPr>
          <w:rFonts w:ascii="仿宋" w:hAnsi="仿宋" w:eastAsia="仿宋" w:cs="仿宋"/>
          <w:spacing w:val="-95"/>
          <w:sz w:val="20"/>
          <w:szCs w:val="20"/>
        </w:rPr>
        <w:t xml:space="preserve"> </w:t>
      </w:r>
      <w:r>
        <w:rPr>
          <w:rFonts w:ascii="仿宋" w:hAnsi="仿宋" w:eastAsia="仿宋" w:cs="仿宋"/>
          <w:spacing w:val="1"/>
          <w:sz w:val="20"/>
          <w:szCs w:val="20"/>
          <w:u w:val="single" w:color="auto"/>
        </w:rPr>
        <w:t xml:space="preserve">             </w:t>
      </w:r>
      <w:r>
        <w:rPr>
          <w:rFonts w:ascii="仿宋" w:hAnsi="仿宋" w:eastAsia="仿宋" w:cs="仿宋"/>
          <w:spacing w:val="1"/>
          <w:sz w:val="20"/>
          <w:szCs w:val="20"/>
        </w:rPr>
        <w:t>（工程名称）《建设工程施工合同》（</w:t>
      </w:r>
      <w:r>
        <w:rPr>
          <w:rFonts w:ascii="仿宋" w:hAnsi="仿宋" w:eastAsia="仿宋" w:cs="仿宋"/>
          <w:sz w:val="20"/>
          <w:szCs w:val="20"/>
        </w:rPr>
        <w:t>以下称“主合同”</w:t>
      </w:r>
      <w:r>
        <w:rPr>
          <w:rFonts w:ascii="仿宋" w:hAnsi="仿宋" w:eastAsia="仿宋" w:cs="仿宋"/>
          <w:spacing w:val="-39"/>
          <w:w w:val="69"/>
          <w:sz w:val="20"/>
          <w:szCs w:val="20"/>
        </w:rPr>
        <w:t>），</w:t>
      </w:r>
      <w:r>
        <w:rPr>
          <w:rFonts w:ascii="仿宋" w:hAnsi="仿宋" w:eastAsia="仿宋" w:cs="仿宋"/>
          <w:sz w:val="20"/>
          <w:szCs w:val="20"/>
        </w:rPr>
        <w:t>应发包人的申请，</w:t>
      </w:r>
      <w:r>
        <w:rPr>
          <w:rFonts w:ascii="仿宋" w:hAnsi="仿宋" w:eastAsia="仿宋" w:cs="仿宋"/>
          <w:spacing w:val="9"/>
          <w:sz w:val="20"/>
          <w:szCs w:val="20"/>
        </w:rPr>
        <w:t>我方愿就发包人履行主合同约定的工程款支付义务以保证的方式向你方提供如下担保：</w:t>
      </w:r>
    </w:p>
    <w:p w14:paraId="5049685C">
      <w:pPr>
        <w:pStyle w:val="2"/>
        <w:spacing w:before="1" w:line="230" w:lineRule="auto"/>
        <w:ind w:left="432"/>
        <w:rPr>
          <w:sz w:val="20"/>
          <w:szCs w:val="20"/>
        </w:rPr>
      </w:pPr>
      <w:r>
        <w:rPr>
          <w:spacing w:val="8"/>
          <w:sz w:val="20"/>
          <w:szCs w:val="20"/>
        </w:rPr>
        <w:t>一、保证的范围及保证金额</w:t>
      </w:r>
    </w:p>
    <w:p w14:paraId="7FE28E96">
      <w:pPr>
        <w:spacing w:before="162" w:line="229" w:lineRule="auto"/>
        <w:ind w:left="445"/>
        <w:rPr>
          <w:rFonts w:ascii="仿宋" w:hAnsi="仿宋" w:eastAsia="仿宋" w:cs="仿宋"/>
          <w:sz w:val="20"/>
          <w:szCs w:val="20"/>
        </w:rPr>
      </w:pPr>
      <w:r>
        <w:rPr>
          <w:rFonts w:ascii="Times New Roman" w:hAnsi="Times New Roman" w:eastAsia="Times New Roman" w:cs="Times New Roman"/>
          <w:spacing w:val="7"/>
          <w:sz w:val="20"/>
          <w:szCs w:val="20"/>
        </w:rPr>
        <w:t xml:space="preserve">1.  </w:t>
      </w:r>
      <w:r>
        <w:rPr>
          <w:rFonts w:ascii="仿宋" w:hAnsi="仿宋" w:eastAsia="仿宋" w:cs="仿宋"/>
          <w:spacing w:val="7"/>
          <w:sz w:val="20"/>
          <w:szCs w:val="20"/>
        </w:rPr>
        <w:t>我方的保证范围是主合同约定的工程款。</w:t>
      </w:r>
    </w:p>
    <w:p w14:paraId="3130DF4F">
      <w:pPr>
        <w:spacing w:before="160" w:line="229" w:lineRule="auto"/>
        <w:ind w:left="424"/>
        <w:rPr>
          <w:rFonts w:ascii="仿宋" w:hAnsi="仿宋" w:eastAsia="仿宋" w:cs="仿宋"/>
          <w:sz w:val="20"/>
          <w:szCs w:val="20"/>
        </w:rPr>
      </w:pPr>
      <w:r>
        <w:rPr>
          <w:rFonts w:ascii="Times New Roman" w:hAnsi="Times New Roman" w:eastAsia="Times New Roman" w:cs="Times New Roman"/>
          <w:spacing w:val="9"/>
          <w:sz w:val="20"/>
          <w:szCs w:val="20"/>
        </w:rPr>
        <w:t xml:space="preserve">2.  </w:t>
      </w:r>
      <w:r>
        <w:rPr>
          <w:rFonts w:ascii="仿宋" w:hAnsi="仿宋" w:eastAsia="仿宋" w:cs="仿宋"/>
          <w:spacing w:val="9"/>
          <w:sz w:val="20"/>
          <w:szCs w:val="20"/>
        </w:rPr>
        <w:t>本保函所称主合同约定的工程款是指主合同约定的除工程质量保证金以外的合</w:t>
      </w:r>
      <w:r>
        <w:rPr>
          <w:rFonts w:ascii="仿宋" w:hAnsi="仿宋" w:eastAsia="仿宋" w:cs="仿宋"/>
          <w:spacing w:val="8"/>
          <w:sz w:val="20"/>
          <w:szCs w:val="20"/>
        </w:rPr>
        <w:t>同价款。</w:t>
      </w:r>
    </w:p>
    <w:p w14:paraId="6A1B86D1">
      <w:pPr>
        <w:spacing w:before="158" w:line="378" w:lineRule="auto"/>
        <w:ind w:left="20" w:right="73" w:firstLine="408"/>
        <w:rPr>
          <w:rFonts w:ascii="仿宋" w:hAnsi="仿宋" w:eastAsia="仿宋" w:cs="仿宋"/>
          <w:sz w:val="20"/>
          <w:szCs w:val="20"/>
        </w:rPr>
      </w:pPr>
      <w:r>
        <w:rPr>
          <w:rFonts w:ascii="Times New Roman" w:hAnsi="Times New Roman" w:eastAsia="Times New Roman" w:cs="Times New Roman"/>
          <w:spacing w:val="22"/>
          <w:sz w:val="20"/>
          <w:szCs w:val="20"/>
        </w:rPr>
        <w:t>3.</w:t>
      </w:r>
      <w:r>
        <w:rPr>
          <w:rFonts w:ascii="Times New Roman" w:hAnsi="Times New Roman" w:eastAsia="Times New Roman" w:cs="Times New Roman"/>
          <w:spacing w:val="27"/>
          <w:w w:val="101"/>
          <w:sz w:val="20"/>
          <w:szCs w:val="20"/>
        </w:rPr>
        <w:t xml:space="preserve">  </w:t>
      </w:r>
      <w:r>
        <w:rPr>
          <w:rFonts w:ascii="仿宋" w:hAnsi="仿宋" w:eastAsia="仿宋" w:cs="仿宋"/>
          <w:spacing w:val="22"/>
          <w:sz w:val="20"/>
          <w:szCs w:val="20"/>
        </w:rPr>
        <w:t>我方保证的金额是主合同约定的工程款的</w:t>
      </w:r>
      <w:r>
        <w:rPr>
          <w:rFonts w:ascii="仿宋" w:hAnsi="仿宋" w:eastAsia="仿宋" w:cs="仿宋"/>
          <w:spacing w:val="-79"/>
          <w:sz w:val="20"/>
          <w:szCs w:val="20"/>
        </w:rPr>
        <w:t xml:space="preserve"> </w:t>
      </w:r>
      <w:r>
        <w:rPr>
          <w:rFonts w:ascii="仿宋" w:hAnsi="仿宋" w:eastAsia="仿宋" w:cs="仿宋"/>
          <w:spacing w:val="14"/>
          <w:sz w:val="20"/>
          <w:szCs w:val="20"/>
          <w:u w:val="single" w:color="auto"/>
        </w:rPr>
        <w:t xml:space="preserve">      </w:t>
      </w:r>
      <w:r>
        <w:rPr>
          <w:rFonts w:ascii="仿宋" w:hAnsi="仿宋" w:eastAsia="仿宋" w:cs="仿宋"/>
          <w:spacing w:val="-88"/>
          <w:sz w:val="20"/>
          <w:szCs w:val="20"/>
        </w:rPr>
        <w:t xml:space="preserve"> </w:t>
      </w:r>
      <w:r>
        <w:rPr>
          <w:rFonts w:ascii="Times New Roman" w:hAnsi="Times New Roman" w:eastAsia="Times New Roman" w:cs="Times New Roman"/>
          <w:spacing w:val="22"/>
          <w:sz w:val="20"/>
          <w:szCs w:val="20"/>
        </w:rPr>
        <w:t xml:space="preserve">% </w:t>
      </w:r>
      <w:r>
        <w:rPr>
          <w:rFonts w:ascii="仿宋" w:hAnsi="仿宋" w:eastAsia="仿宋" w:cs="仿宋"/>
          <w:spacing w:val="22"/>
          <w:sz w:val="20"/>
          <w:szCs w:val="20"/>
        </w:rPr>
        <w:t>，</w:t>
      </w:r>
      <w:r>
        <w:rPr>
          <w:rFonts w:ascii="仿宋" w:hAnsi="仿宋" w:eastAsia="仿宋" w:cs="仿宋"/>
          <w:spacing w:val="-59"/>
          <w:sz w:val="20"/>
          <w:szCs w:val="20"/>
        </w:rPr>
        <w:t xml:space="preserve"> </w:t>
      </w:r>
      <w:r>
        <w:rPr>
          <w:rFonts w:ascii="仿宋" w:hAnsi="仿宋" w:eastAsia="仿宋" w:cs="仿宋"/>
          <w:spacing w:val="22"/>
          <w:sz w:val="20"/>
          <w:szCs w:val="20"/>
        </w:rPr>
        <w:t>数额最高不超过人民币元（大</w:t>
      </w:r>
      <w:r>
        <w:rPr>
          <w:rFonts w:ascii="仿宋" w:hAnsi="仿宋" w:eastAsia="仿宋" w:cs="仿宋"/>
          <w:spacing w:val="9"/>
          <w:sz w:val="20"/>
          <w:szCs w:val="20"/>
        </w:rPr>
        <w:t>写</w:t>
      </w:r>
      <w:r>
        <w:rPr>
          <w:rFonts w:ascii="仿宋" w:hAnsi="仿宋" w:eastAsia="仿宋" w:cs="仿宋"/>
          <w:spacing w:val="-42"/>
          <w:sz w:val="20"/>
          <w:szCs w:val="20"/>
        </w:rPr>
        <w:t>：</w:t>
      </w:r>
      <w:r>
        <w:rPr>
          <w:rFonts w:ascii="仿宋" w:hAnsi="仿宋" w:eastAsia="仿宋" w:cs="仿宋"/>
          <w:spacing w:val="5"/>
          <w:sz w:val="20"/>
          <w:szCs w:val="20"/>
          <w:u w:val="single" w:color="auto"/>
        </w:rPr>
        <w:t xml:space="preserve">        </w:t>
      </w:r>
      <w:r>
        <w:rPr>
          <w:rFonts w:ascii="仿宋" w:hAnsi="仿宋" w:eastAsia="仿宋" w:cs="仿宋"/>
          <w:spacing w:val="-42"/>
          <w:sz w:val="20"/>
          <w:szCs w:val="20"/>
        </w:rPr>
        <w:t>）</w:t>
      </w:r>
      <w:r>
        <w:rPr>
          <w:rFonts w:ascii="仿宋" w:hAnsi="仿宋" w:eastAsia="仿宋" w:cs="仿宋"/>
          <w:spacing w:val="9"/>
          <w:sz w:val="20"/>
          <w:szCs w:val="20"/>
        </w:rPr>
        <w:t>。</w:t>
      </w:r>
    </w:p>
    <w:p w14:paraId="465AC3A9">
      <w:pPr>
        <w:pStyle w:val="2"/>
        <w:spacing w:before="1" w:line="229" w:lineRule="auto"/>
        <w:ind w:left="432"/>
        <w:rPr>
          <w:sz w:val="20"/>
          <w:szCs w:val="20"/>
        </w:rPr>
      </w:pPr>
      <w:r>
        <w:rPr>
          <w:spacing w:val="8"/>
          <w:sz w:val="20"/>
          <w:szCs w:val="20"/>
        </w:rPr>
        <w:t>二、保证的方式及保证期间</w:t>
      </w:r>
    </w:p>
    <w:p w14:paraId="6C6B93E9">
      <w:pPr>
        <w:spacing w:before="159" w:line="229" w:lineRule="auto"/>
        <w:ind w:left="445"/>
        <w:rPr>
          <w:rFonts w:ascii="仿宋" w:hAnsi="仿宋" w:eastAsia="仿宋" w:cs="仿宋"/>
          <w:sz w:val="20"/>
          <w:szCs w:val="20"/>
        </w:rPr>
      </w:pPr>
      <w:r>
        <w:rPr>
          <w:rFonts w:ascii="Times New Roman" w:hAnsi="Times New Roman" w:eastAsia="Times New Roman" w:cs="Times New Roman"/>
          <w:spacing w:val="6"/>
          <w:sz w:val="20"/>
          <w:szCs w:val="20"/>
        </w:rPr>
        <w:t xml:space="preserve">1.  </w:t>
      </w:r>
      <w:r>
        <w:rPr>
          <w:rFonts w:ascii="仿宋" w:hAnsi="仿宋" w:eastAsia="仿宋" w:cs="仿宋"/>
          <w:spacing w:val="6"/>
          <w:sz w:val="20"/>
          <w:szCs w:val="20"/>
        </w:rPr>
        <w:t>我方保证的方式为：连带责任保证。</w:t>
      </w:r>
    </w:p>
    <w:p w14:paraId="5E17D7BE">
      <w:pPr>
        <w:spacing w:before="161" w:line="229" w:lineRule="auto"/>
        <w:jc w:val="right"/>
        <w:rPr>
          <w:rFonts w:ascii="仿宋" w:hAnsi="仿宋" w:eastAsia="仿宋" w:cs="仿宋"/>
          <w:sz w:val="20"/>
          <w:szCs w:val="20"/>
        </w:rPr>
      </w:pPr>
      <w:r>
        <w:rPr>
          <w:rFonts w:ascii="Times New Roman" w:hAnsi="Times New Roman" w:eastAsia="Times New Roman" w:cs="Times New Roman"/>
          <w:spacing w:val="5"/>
          <w:sz w:val="20"/>
          <w:szCs w:val="20"/>
        </w:rPr>
        <w:t xml:space="preserve">2.  </w:t>
      </w:r>
      <w:r>
        <w:rPr>
          <w:rFonts w:ascii="仿宋" w:hAnsi="仿宋" w:eastAsia="仿宋" w:cs="仿宋"/>
          <w:spacing w:val="5"/>
          <w:sz w:val="20"/>
          <w:szCs w:val="20"/>
        </w:rPr>
        <w:t>我方保证的期间为：自本合同生效之日起至主合同约定的工程款支付完毕之日后</w:t>
      </w:r>
      <w:r>
        <w:rPr>
          <w:rFonts w:ascii="仿宋" w:hAnsi="仿宋" w:eastAsia="仿宋" w:cs="仿宋"/>
          <w:spacing w:val="-89"/>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42"/>
          <w:sz w:val="20"/>
          <w:szCs w:val="20"/>
        </w:rPr>
        <w:t xml:space="preserve"> </w:t>
      </w:r>
      <w:r>
        <w:rPr>
          <w:rFonts w:ascii="仿宋" w:hAnsi="仿宋" w:eastAsia="仿宋" w:cs="仿宋"/>
          <w:spacing w:val="5"/>
          <w:sz w:val="20"/>
          <w:szCs w:val="20"/>
        </w:rPr>
        <w:t>日内。</w:t>
      </w:r>
    </w:p>
    <w:p w14:paraId="578BDFC0">
      <w:pPr>
        <w:spacing w:before="158" w:line="377" w:lineRule="auto"/>
        <w:ind w:left="14" w:right="73" w:firstLine="414"/>
        <w:rPr>
          <w:rFonts w:ascii="仿宋" w:hAnsi="仿宋" w:eastAsia="仿宋" w:cs="仿宋"/>
          <w:sz w:val="20"/>
          <w:szCs w:val="20"/>
        </w:rPr>
      </w:pPr>
      <w:r>
        <w:rPr>
          <w:rFonts w:ascii="Times New Roman" w:hAnsi="Times New Roman" w:eastAsia="Times New Roman" w:cs="Times New Roman"/>
          <w:spacing w:val="10"/>
          <w:sz w:val="20"/>
          <w:szCs w:val="20"/>
        </w:rPr>
        <w:t xml:space="preserve">3.  </w:t>
      </w:r>
      <w:r>
        <w:rPr>
          <w:rFonts w:ascii="仿宋" w:hAnsi="仿宋" w:eastAsia="仿宋" w:cs="仿宋"/>
          <w:spacing w:val="10"/>
          <w:sz w:val="20"/>
          <w:szCs w:val="20"/>
        </w:rPr>
        <w:t>你方与发包人协议变更工程款支付日期的，经我方书面同意后，保证</w:t>
      </w:r>
      <w:r>
        <w:rPr>
          <w:rFonts w:ascii="仿宋" w:hAnsi="仿宋" w:eastAsia="仿宋" w:cs="仿宋"/>
          <w:spacing w:val="9"/>
          <w:sz w:val="20"/>
          <w:szCs w:val="20"/>
        </w:rPr>
        <w:t>期间按照变更后的支</w:t>
      </w:r>
      <w:r>
        <w:rPr>
          <w:rFonts w:ascii="仿宋" w:hAnsi="仿宋" w:eastAsia="仿宋" w:cs="仿宋"/>
          <w:spacing w:val="7"/>
          <w:sz w:val="20"/>
          <w:szCs w:val="20"/>
        </w:rPr>
        <w:t>付日期做相应调整。</w:t>
      </w:r>
    </w:p>
    <w:p w14:paraId="209FE265">
      <w:pPr>
        <w:pStyle w:val="2"/>
        <w:spacing w:before="3" w:line="229" w:lineRule="auto"/>
        <w:ind w:left="432"/>
        <w:rPr>
          <w:sz w:val="20"/>
          <w:szCs w:val="20"/>
        </w:rPr>
      </w:pPr>
      <w:r>
        <w:rPr>
          <w:spacing w:val="8"/>
          <w:sz w:val="20"/>
          <w:szCs w:val="20"/>
        </w:rPr>
        <w:t>三、承担保证责任的形式</w:t>
      </w:r>
    </w:p>
    <w:p w14:paraId="23E583D8">
      <w:pPr>
        <w:spacing w:before="161" w:line="375" w:lineRule="auto"/>
        <w:ind w:left="16" w:right="73" w:firstLine="425"/>
        <w:rPr>
          <w:rFonts w:ascii="仿宋" w:hAnsi="仿宋" w:eastAsia="仿宋" w:cs="仿宋"/>
          <w:sz w:val="20"/>
          <w:szCs w:val="20"/>
        </w:rPr>
      </w:pPr>
      <w:r>
        <w:rPr>
          <w:rFonts w:ascii="仿宋" w:hAnsi="仿宋" w:eastAsia="仿宋" w:cs="仿宋"/>
          <w:spacing w:val="10"/>
          <w:sz w:val="20"/>
          <w:szCs w:val="20"/>
        </w:rPr>
        <w:t>我方承担保证责任的形式是代为支付。发包人未按主合同约定向你方支付工程款的，</w:t>
      </w:r>
      <w:r>
        <w:rPr>
          <w:rFonts w:ascii="仿宋" w:hAnsi="仿宋" w:eastAsia="仿宋" w:cs="仿宋"/>
          <w:spacing w:val="-41"/>
          <w:sz w:val="20"/>
          <w:szCs w:val="20"/>
        </w:rPr>
        <w:t xml:space="preserve"> </w:t>
      </w:r>
      <w:r>
        <w:rPr>
          <w:rFonts w:ascii="仿宋" w:hAnsi="仿宋" w:eastAsia="仿宋" w:cs="仿宋"/>
          <w:spacing w:val="10"/>
          <w:sz w:val="20"/>
          <w:szCs w:val="20"/>
        </w:rPr>
        <w:t>由我方</w:t>
      </w:r>
      <w:r>
        <w:rPr>
          <w:rFonts w:ascii="仿宋" w:hAnsi="仿宋" w:eastAsia="仿宋" w:cs="仿宋"/>
          <w:spacing w:val="7"/>
          <w:sz w:val="20"/>
          <w:szCs w:val="20"/>
        </w:rPr>
        <w:t>在保证金额内代为支付。</w:t>
      </w:r>
    </w:p>
    <w:p w14:paraId="55283FB0">
      <w:pPr>
        <w:pStyle w:val="2"/>
        <w:spacing w:before="2" w:line="231" w:lineRule="auto"/>
        <w:ind w:left="441"/>
        <w:rPr>
          <w:sz w:val="20"/>
          <w:szCs w:val="20"/>
        </w:rPr>
      </w:pPr>
      <w:r>
        <w:rPr>
          <w:spacing w:val="6"/>
          <w:sz w:val="20"/>
          <w:szCs w:val="20"/>
        </w:rPr>
        <w:t>四、代偿的安排</w:t>
      </w:r>
    </w:p>
    <w:p w14:paraId="7CAA6366">
      <w:pPr>
        <w:spacing w:before="160" w:line="376" w:lineRule="auto"/>
        <w:ind w:left="16" w:right="73" w:firstLine="428"/>
        <w:rPr>
          <w:rFonts w:ascii="仿宋" w:hAnsi="仿宋" w:eastAsia="仿宋" w:cs="仿宋"/>
          <w:sz w:val="20"/>
          <w:szCs w:val="20"/>
        </w:rPr>
      </w:pPr>
      <w:r>
        <w:rPr>
          <w:rFonts w:ascii="Times New Roman" w:hAnsi="Times New Roman" w:eastAsia="Times New Roman" w:cs="Times New Roman"/>
          <w:spacing w:val="9"/>
          <w:sz w:val="20"/>
          <w:szCs w:val="20"/>
        </w:rPr>
        <w:t xml:space="preserve">1.  </w:t>
      </w:r>
      <w:r>
        <w:rPr>
          <w:rFonts w:ascii="仿宋" w:hAnsi="仿宋" w:eastAsia="仿宋" w:cs="仿宋"/>
          <w:spacing w:val="9"/>
          <w:sz w:val="20"/>
          <w:szCs w:val="20"/>
        </w:rPr>
        <w:t>你方要求我方承担保证责任的，应向我方发出书面索赔通知及发包人未支付主合同约定工程款的证明材料。索赔通知应写明要求索赔的金额，支付款项应到达的账号。</w:t>
      </w:r>
    </w:p>
    <w:p w14:paraId="655C8F0F">
      <w:pPr>
        <w:spacing w:before="2" w:line="377" w:lineRule="auto"/>
        <w:ind w:left="18" w:right="73" w:firstLine="406"/>
        <w:rPr>
          <w:rFonts w:ascii="仿宋" w:hAnsi="仿宋" w:eastAsia="仿宋" w:cs="仿宋"/>
          <w:sz w:val="20"/>
          <w:szCs w:val="20"/>
        </w:rPr>
      </w:pPr>
      <w:r>
        <w:rPr>
          <w:rFonts w:ascii="Times New Roman" w:hAnsi="Times New Roman" w:eastAsia="Times New Roman" w:cs="Times New Roman"/>
          <w:spacing w:val="10"/>
          <w:sz w:val="20"/>
          <w:szCs w:val="20"/>
        </w:rPr>
        <w:t xml:space="preserve">2.  </w:t>
      </w:r>
      <w:r>
        <w:rPr>
          <w:rFonts w:ascii="仿宋" w:hAnsi="仿宋" w:eastAsia="仿宋" w:cs="仿宋"/>
          <w:spacing w:val="10"/>
          <w:sz w:val="20"/>
          <w:szCs w:val="20"/>
        </w:rPr>
        <w:t>在出现你方与发包人因工程质量发生争议，发包人拒绝向你方支付工程款的情形</w:t>
      </w:r>
      <w:r>
        <w:rPr>
          <w:rFonts w:ascii="仿宋" w:hAnsi="仿宋" w:eastAsia="仿宋" w:cs="仿宋"/>
          <w:spacing w:val="9"/>
          <w:sz w:val="20"/>
          <w:szCs w:val="20"/>
        </w:rPr>
        <w:t>时，你方</w:t>
      </w:r>
      <w:r>
        <w:rPr>
          <w:rFonts w:ascii="仿宋" w:hAnsi="仿宋" w:eastAsia="仿宋" w:cs="仿宋"/>
          <w:spacing w:val="12"/>
          <w:sz w:val="20"/>
          <w:szCs w:val="20"/>
        </w:rPr>
        <w:t>要求我方履行保证责任代为支付的，需提供符</w:t>
      </w:r>
      <w:r>
        <w:rPr>
          <w:rFonts w:ascii="仿宋" w:hAnsi="仿宋" w:eastAsia="仿宋" w:cs="仿宋"/>
          <w:spacing w:val="11"/>
          <w:sz w:val="20"/>
          <w:szCs w:val="20"/>
        </w:rPr>
        <w:t>合相应条件要求的工程质量检测机构出具的质量说</w:t>
      </w:r>
      <w:r>
        <w:rPr>
          <w:rFonts w:ascii="仿宋" w:hAnsi="仿宋" w:eastAsia="仿宋" w:cs="仿宋"/>
          <w:spacing w:val="2"/>
          <w:sz w:val="20"/>
          <w:szCs w:val="20"/>
        </w:rPr>
        <w:t>明材料。</w:t>
      </w:r>
    </w:p>
    <w:p w14:paraId="382DADFC">
      <w:pPr>
        <w:spacing w:line="229" w:lineRule="auto"/>
        <w:ind w:left="429"/>
        <w:rPr>
          <w:rFonts w:ascii="仿宋" w:hAnsi="仿宋" w:eastAsia="仿宋" w:cs="仿宋"/>
          <w:sz w:val="20"/>
          <w:szCs w:val="20"/>
        </w:rPr>
      </w:pPr>
      <w:r>
        <w:rPr>
          <w:rFonts w:ascii="Times New Roman" w:hAnsi="Times New Roman" w:eastAsia="Times New Roman" w:cs="Times New Roman"/>
          <w:spacing w:val="11"/>
          <w:sz w:val="20"/>
          <w:szCs w:val="20"/>
        </w:rPr>
        <w:t xml:space="preserve">3.  </w:t>
      </w:r>
      <w:r>
        <w:rPr>
          <w:rFonts w:ascii="仿宋" w:hAnsi="仿宋" w:eastAsia="仿宋" w:cs="仿宋"/>
          <w:spacing w:val="11"/>
          <w:sz w:val="20"/>
          <w:szCs w:val="20"/>
        </w:rPr>
        <w:t>我方收到你方的书面索赔通知及相应的证明材料后7天内无条件支付。</w:t>
      </w:r>
    </w:p>
    <w:p w14:paraId="5059BE69">
      <w:pPr>
        <w:pStyle w:val="2"/>
        <w:spacing w:before="161" w:line="229" w:lineRule="auto"/>
        <w:ind w:left="434"/>
        <w:rPr>
          <w:sz w:val="20"/>
          <w:szCs w:val="20"/>
        </w:rPr>
      </w:pPr>
      <w:r>
        <w:rPr>
          <w:spacing w:val="8"/>
          <w:sz w:val="20"/>
          <w:szCs w:val="20"/>
        </w:rPr>
        <w:t>五、保证责任的解除</w:t>
      </w:r>
    </w:p>
    <w:p w14:paraId="2FCC9D3B">
      <w:pPr>
        <w:spacing w:before="160" w:line="376" w:lineRule="auto"/>
        <w:ind w:left="21" w:right="15" w:firstLine="423"/>
        <w:rPr>
          <w:rFonts w:ascii="仿宋" w:hAnsi="仿宋" w:eastAsia="仿宋" w:cs="仿宋"/>
          <w:sz w:val="20"/>
          <w:szCs w:val="20"/>
        </w:rPr>
      </w:pPr>
      <w:r>
        <w:rPr>
          <w:rFonts w:ascii="Times New Roman" w:hAnsi="Times New Roman" w:eastAsia="Times New Roman" w:cs="Times New Roman"/>
          <w:spacing w:val="6"/>
          <w:sz w:val="20"/>
          <w:szCs w:val="20"/>
        </w:rPr>
        <w:t xml:space="preserve">1.  </w:t>
      </w:r>
      <w:r>
        <w:rPr>
          <w:rFonts w:ascii="仿宋" w:hAnsi="仿宋" w:eastAsia="仿宋" w:cs="仿宋"/>
          <w:spacing w:val="6"/>
          <w:sz w:val="20"/>
          <w:szCs w:val="20"/>
        </w:rPr>
        <w:t>在本保函承诺的保证期间内，你方未书面向我方主张保证责任的，自保证期间届满次日起，我方保证责任解除。</w:t>
      </w:r>
    </w:p>
    <w:p w14:paraId="1ABE0104">
      <w:pPr>
        <w:spacing w:before="2" w:line="378" w:lineRule="auto"/>
        <w:ind w:left="15" w:right="73" w:firstLine="409"/>
        <w:rPr>
          <w:rFonts w:ascii="仿宋" w:hAnsi="仿宋" w:eastAsia="仿宋" w:cs="仿宋"/>
          <w:sz w:val="20"/>
          <w:szCs w:val="20"/>
        </w:rPr>
      </w:pPr>
      <w:r>
        <w:rPr>
          <w:rFonts w:ascii="Times New Roman" w:hAnsi="Times New Roman" w:eastAsia="Times New Roman" w:cs="Times New Roman"/>
          <w:spacing w:val="9"/>
          <w:sz w:val="20"/>
          <w:szCs w:val="20"/>
        </w:rPr>
        <w:t xml:space="preserve">2.  </w:t>
      </w:r>
      <w:r>
        <w:rPr>
          <w:rFonts w:ascii="仿宋" w:hAnsi="仿宋" w:eastAsia="仿宋" w:cs="仿宋"/>
          <w:spacing w:val="9"/>
          <w:sz w:val="20"/>
          <w:szCs w:val="20"/>
        </w:rPr>
        <w:t>发包人按主合同约定履行了工程款的全部</w:t>
      </w:r>
      <w:r>
        <w:rPr>
          <w:rFonts w:ascii="仿宋" w:hAnsi="仿宋" w:eastAsia="仿宋" w:cs="仿宋"/>
          <w:spacing w:val="8"/>
          <w:sz w:val="20"/>
          <w:szCs w:val="20"/>
        </w:rPr>
        <w:t>支付义务的，</w:t>
      </w:r>
      <w:r>
        <w:rPr>
          <w:rFonts w:ascii="仿宋" w:hAnsi="仿宋" w:eastAsia="仿宋" w:cs="仿宋"/>
          <w:spacing w:val="-40"/>
          <w:sz w:val="20"/>
          <w:szCs w:val="20"/>
        </w:rPr>
        <w:t xml:space="preserve"> </w:t>
      </w:r>
      <w:r>
        <w:rPr>
          <w:rFonts w:ascii="仿宋" w:hAnsi="仿宋" w:eastAsia="仿宋" w:cs="仿宋"/>
          <w:spacing w:val="8"/>
          <w:sz w:val="20"/>
          <w:szCs w:val="20"/>
        </w:rPr>
        <w:t>自本保函承诺的保证期间届满次日</w:t>
      </w:r>
      <w:r>
        <w:rPr>
          <w:rFonts w:ascii="仿宋" w:hAnsi="仿宋" w:eastAsia="仿宋" w:cs="仿宋"/>
          <w:spacing w:val="7"/>
          <w:sz w:val="20"/>
          <w:szCs w:val="20"/>
        </w:rPr>
        <w:t>起，我方保证责任解除。</w:t>
      </w:r>
    </w:p>
    <w:p w14:paraId="0308D33F">
      <w:pPr>
        <w:spacing w:line="378" w:lineRule="auto"/>
        <w:rPr>
          <w:rFonts w:ascii="仿宋" w:hAnsi="仿宋" w:eastAsia="仿宋" w:cs="仿宋"/>
          <w:sz w:val="20"/>
          <w:szCs w:val="20"/>
        </w:rPr>
        <w:sectPr>
          <w:footerReference r:id="rId432" w:type="default"/>
          <w:pgSz w:w="11907" w:h="16840"/>
          <w:pgMar w:top="400" w:right="1458" w:bottom="1105" w:left="1473" w:header="0" w:footer="943" w:gutter="0"/>
          <w:cols w:space="720" w:num="1"/>
        </w:sectPr>
      </w:pPr>
    </w:p>
    <w:p w14:paraId="7EBAB50B">
      <w:pPr>
        <w:spacing w:line="251" w:lineRule="auto"/>
        <w:rPr>
          <w:rFonts w:ascii="Arial"/>
          <w:sz w:val="21"/>
        </w:rPr>
      </w:pPr>
    </w:p>
    <w:p w14:paraId="47AF7688">
      <w:pPr>
        <w:spacing w:line="252" w:lineRule="auto"/>
        <w:rPr>
          <w:rFonts w:ascii="Arial"/>
          <w:sz w:val="21"/>
        </w:rPr>
      </w:pPr>
    </w:p>
    <w:p w14:paraId="2234C7D9">
      <w:pPr>
        <w:spacing w:line="252" w:lineRule="auto"/>
        <w:rPr>
          <w:rFonts w:ascii="Arial"/>
          <w:sz w:val="21"/>
        </w:rPr>
      </w:pPr>
    </w:p>
    <w:p w14:paraId="02DE6D6E">
      <w:pPr>
        <w:spacing w:line="252" w:lineRule="auto"/>
        <w:rPr>
          <w:rFonts w:ascii="Arial"/>
          <w:sz w:val="21"/>
        </w:rPr>
      </w:pPr>
    </w:p>
    <w:p w14:paraId="77FE07DC">
      <w:pPr>
        <w:spacing w:line="252" w:lineRule="auto"/>
        <w:rPr>
          <w:rFonts w:ascii="Arial"/>
          <w:sz w:val="21"/>
        </w:rPr>
      </w:pPr>
    </w:p>
    <w:p w14:paraId="5D0D868B">
      <w:pPr>
        <w:spacing w:before="65" w:line="376" w:lineRule="auto"/>
        <w:ind w:firstLine="414"/>
        <w:rPr>
          <w:rFonts w:ascii="仿宋" w:hAnsi="仿宋" w:eastAsia="仿宋" w:cs="仿宋"/>
          <w:sz w:val="20"/>
          <w:szCs w:val="20"/>
        </w:rPr>
      </w:pPr>
      <w:r>
        <w:rPr>
          <w:rFonts w:ascii="Times New Roman" w:hAnsi="Times New Roman" w:eastAsia="Times New Roman" w:cs="Times New Roman"/>
          <w:spacing w:val="8"/>
          <w:sz w:val="20"/>
          <w:szCs w:val="20"/>
        </w:rPr>
        <w:t xml:space="preserve">3.  </w:t>
      </w:r>
      <w:r>
        <w:rPr>
          <w:rFonts w:ascii="仿宋" w:hAnsi="仿宋" w:eastAsia="仿宋" w:cs="仿宋"/>
          <w:spacing w:val="8"/>
          <w:sz w:val="20"/>
          <w:szCs w:val="20"/>
        </w:rPr>
        <w:t>我方按照本保函向你方履行保证责任所支付金额达到本保函保证金额时，</w:t>
      </w:r>
      <w:r>
        <w:rPr>
          <w:rFonts w:ascii="仿宋" w:hAnsi="仿宋" w:eastAsia="仿宋" w:cs="仿宋"/>
          <w:spacing w:val="-23"/>
          <w:sz w:val="20"/>
          <w:szCs w:val="20"/>
        </w:rPr>
        <w:t xml:space="preserve"> </w:t>
      </w:r>
      <w:r>
        <w:rPr>
          <w:rFonts w:ascii="仿宋" w:hAnsi="仿宋" w:eastAsia="仿宋" w:cs="仿宋"/>
          <w:spacing w:val="8"/>
          <w:sz w:val="20"/>
          <w:szCs w:val="20"/>
        </w:rPr>
        <w:t>自我方向你方支</w:t>
      </w:r>
      <w:r>
        <w:rPr>
          <w:rFonts w:ascii="仿宋" w:hAnsi="仿宋" w:eastAsia="仿宋" w:cs="仿宋"/>
          <w:spacing w:val="9"/>
          <w:sz w:val="20"/>
          <w:szCs w:val="20"/>
        </w:rPr>
        <w:t>付（支付款项从我方账户划出）之日起，保证责任即解除。</w:t>
      </w:r>
    </w:p>
    <w:p w14:paraId="624148E6">
      <w:pPr>
        <w:spacing w:before="2" w:line="377" w:lineRule="auto"/>
        <w:ind w:left="1" w:firstLine="407"/>
        <w:rPr>
          <w:rFonts w:ascii="仿宋" w:hAnsi="仿宋" w:eastAsia="仿宋" w:cs="仿宋"/>
          <w:sz w:val="20"/>
          <w:szCs w:val="20"/>
        </w:rPr>
      </w:pPr>
      <w:r>
        <w:rPr>
          <w:rFonts w:ascii="Times New Roman" w:hAnsi="Times New Roman" w:eastAsia="Times New Roman" w:cs="Times New Roman"/>
          <w:spacing w:val="10"/>
          <w:sz w:val="20"/>
          <w:szCs w:val="20"/>
        </w:rPr>
        <w:t xml:space="preserve">4.  </w:t>
      </w:r>
      <w:r>
        <w:rPr>
          <w:rFonts w:ascii="仿宋" w:hAnsi="仿宋" w:eastAsia="仿宋" w:cs="仿宋"/>
          <w:spacing w:val="10"/>
          <w:sz w:val="20"/>
          <w:szCs w:val="20"/>
        </w:rPr>
        <w:t>按照法律法规的规定或出现应解除我方保证责任的其他情形的，我方在本保函项下</w:t>
      </w:r>
      <w:r>
        <w:rPr>
          <w:rFonts w:ascii="仿宋" w:hAnsi="仿宋" w:eastAsia="仿宋" w:cs="仿宋"/>
          <w:spacing w:val="9"/>
          <w:sz w:val="20"/>
          <w:szCs w:val="20"/>
        </w:rPr>
        <w:t>的保证</w:t>
      </w:r>
      <w:r>
        <w:rPr>
          <w:rFonts w:ascii="仿宋" w:hAnsi="仿宋" w:eastAsia="仿宋" w:cs="仿宋"/>
          <w:spacing w:val="5"/>
          <w:sz w:val="20"/>
          <w:szCs w:val="20"/>
        </w:rPr>
        <w:t>责任亦解除。</w:t>
      </w:r>
    </w:p>
    <w:p w14:paraId="752BCF04">
      <w:pPr>
        <w:spacing w:before="1" w:line="375" w:lineRule="auto"/>
        <w:ind w:right="2760" w:firstLine="415"/>
        <w:rPr>
          <w:rFonts w:ascii="仿宋" w:hAnsi="仿宋" w:eastAsia="仿宋" w:cs="仿宋"/>
          <w:sz w:val="20"/>
          <w:szCs w:val="20"/>
        </w:rPr>
      </w:pPr>
      <w:r>
        <w:rPr>
          <w:rFonts w:ascii="Times New Roman" w:hAnsi="Times New Roman" w:eastAsia="Times New Roman" w:cs="Times New Roman"/>
          <w:spacing w:val="8"/>
          <w:sz w:val="20"/>
          <w:szCs w:val="20"/>
        </w:rPr>
        <w:t xml:space="preserve">5.  </w:t>
      </w:r>
      <w:r>
        <w:rPr>
          <w:rFonts w:ascii="仿宋" w:hAnsi="仿宋" w:eastAsia="仿宋" w:cs="仿宋"/>
          <w:spacing w:val="8"/>
          <w:sz w:val="20"/>
          <w:szCs w:val="20"/>
        </w:rPr>
        <w:t>我方解除保证责任后，你方应自我方保证责任解除之日起</w:t>
      </w:r>
      <w:r>
        <w:rPr>
          <w:rFonts w:ascii="仿宋" w:hAnsi="仿宋" w:eastAsia="仿宋" w:cs="仿宋"/>
          <w:spacing w:val="8"/>
          <w:sz w:val="20"/>
          <w:szCs w:val="20"/>
          <w:u w:val="single" w:color="auto"/>
        </w:rPr>
        <w:t xml:space="preserve">  </w:t>
      </w:r>
      <w:r>
        <w:rPr>
          <w:rFonts w:ascii="仿宋" w:hAnsi="仿宋" w:eastAsia="仿宋" w:cs="仿宋"/>
          <w:spacing w:val="5"/>
          <w:sz w:val="20"/>
          <w:szCs w:val="20"/>
        </w:rPr>
        <w:t>个工作日</w:t>
      </w:r>
      <w:r>
        <w:rPr>
          <w:rFonts w:ascii="仿宋" w:hAnsi="仿宋" w:eastAsia="仿宋" w:cs="仿宋"/>
          <w:spacing w:val="-43"/>
          <w:sz w:val="20"/>
          <w:szCs w:val="20"/>
        </w:rPr>
        <w:t xml:space="preserve"> </w:t>
      </w:r>
      <w:r>
        <w:rPr>
          <w:rFonts w:ascii="仿宋" w:hAnsi="仿宋" w:eastAsia="仿宋" w:cs="仿宋"/>
          <w:spacing w:val="5"/>
          <w:sz w:val="20"/>
          <w:szCs w:val="20"/>
        </w:rPr>
        <w:t>内，将本保函原件返还我方。</w:t>
      </w:r>
    </w:p>
    <w:p w14:paraId="07F995C2">
      <w:pPr>
        <w:pStyle w:val="2"/>
        <w:spacing w:before="2" w:line="229" w:lineRule="auto"/>
        <w:ind w:left="420"/>
        <w:rPr>
          <w:sz w:val="20"/>
          <w:szCs w:val="20"/>
        </w:rPr>
      </w:pPr>
      <w:r>
        <w:rPr>
          <w:spacing w:val="7"/>
          <w:sz w:val="20"/>
          <w:szCs w:val="20"/>
        </w:rPr>
        <w:t>六、免责条款</w:t>
      </w:r>
    </w:p>
    <w:p w14:paraId="43661CA1">
      <w:pPr>
        <w:spacing w:before="160" w:line="229" w:lineRule="auto"/>
        <w:ind w:left="430"/>
        <w:rPr>
          <w:rFonts w:ascii="仿宋" w:hAnsi="仿宋" w:eastAsia="仿宋" w:cs="仿宋"/>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仿宋" w:hAnsi="仿宋" w:eastAsia="仿宋" w:cs="仿宋"/>
          <w:spacing w:val="7"/>
          <w:sz w:val="20"/>
          <w:szCs w:val="20"/>
        </w:rPr>
        <w:t>因你方违约致使发包人不能履行义务的，我方不承担保证责任。</w:t>
      </w:r>
    </w:p>
    <w:p w14:paraId="4263019A">
      <w:pPr>
        <w:spacing w:before="162" w:line="376" w:lineRule="auto"/>
        <w:ind w:left="7" w:firstLine="403"/>
        <w:rPr>
          <w:rFonts w:ascii="仿宋" w:hAnsi="仿宋" w:eastAsia="仿宋" w:cs="仿宋"/>
          <w:sz w:val="20"/>
          <w:szCs w:val="20"/>
        </w:rPr>
      </w:pPr>
      <w:r>
        <w:rPr>
          <w:rFonts w:ascii="Times New Roman" w:hAnsi="Times New Roman" w:eastAsia="Times New Roman" w:cs="Times New Roman"/>
          <w:spacing w:val="10"/>
          <w:sz w:val="20"/>
          <w:szCs w:val="20"/>
        </w:rPr>
        <w:t xml:space="preserve">2.  </w:t>
      </w:r>
      <w:r>
        <w:rPr>
          <w:rFonts w:ascii="仿宋" w:hAnsi="仿宋" w:eastAsia="仿宋" w:cs="仿宋"/>
          <w:spacing w:val="10"/>
          <w:sz w:val="20"/>
          <w:szCs w:val="20"/>
        </w:rPr>
        <w:t>依照法律法规的规定或你方与发包人的另行约定，免除发包人部分或全部义务的</w:t>
      </w:r>
      <w:r>
        <w:rPr>
          <w:rFonts w:ascii="仿宋" w:hAnsi="仿宋" w:eastAsia="仿宋" w:cs="仿宋"/>
          <w:spacing w:val="9"/>
          <w:sz w:val="20"/>
          <w:szCs w:val="20"/>
        </w:rPr>
        <w:t>，我方亦</w:t>
      </w:r>
      <w:r>
        <w:rPr>
          <w:rFonts w:ascii="仿宋" w:hAnsi="仿宋" w:eastAsia="仿宋" w:cs="仿宋"/>
          <w:spacing w:val="6"/>
          <w:sz w:val="20"/>
          <w:szCs w:val="20"/>
        </w:rPr>
        <w:t>免除其相应的保证责任。</w:t>
      </w:r>
    </w:p>
    <w:p w14:paraId="3CD91E0E">
      <w:pPr>
        <w:spacing w:before="2" w:line="377" w:lineRule="auto"/>
        <w:ind w:left="2" w:firstLine="412"/>
        <w:rPr>
          <w:rFonts w:ascii="仿宋" w:hAnsi="仿宋" w:eastAsia="仿宋" w:cs="仿宋"/>
          <w:sz w:val="20"/>
          <w:szCs w:val="20"/>
        </w:rPr>
      </w:pPr>
      <w:r>
        <w:rPr>
          <w:rFonts w:ascii="Times New Roman" w:hAnsi="Times New Roman" w:eastAsia="Times New Roman" w:cs="Times New Roman"/>
          <w:spacing w:val="10"/>
          <w:sz w:val="20"/>
          <w:szCs w:val="20"/>
        </w:rPr>
        <w:t xml:space="preserve">3.  </w:t>
      </w:r>
      <w:r>
        <w:rPr>
          <w:rFonts w:ascii="仿宋" w:hAnsi="仿宋" w:eastAsia="仿宋" w:cs="仿宋"/>
          <w:spacing w:val="10"/>
          <w:sz w:val="20"/>
          <w:szCs w:val="20"/>
        </w:rPr>
        <w:t>你方与发包人协议变更主合同的，如加重发包人责任致使我方保证责</w:t>
      </w:r>
      <w:r>
        <w:rPr>
          <w:rFonts w:ascii="仿宋" w:hAnsi="仿宋" w:eastAsia="仿宋" w:cs="仿宋"/>
          <w:spacing w:val="9"/>
          <w:sz w:val="20"/>
          <w:szCs w:val="20"/>
        </w:rPr>
        <w:t>任加重的，需征得我</w:t>
      </w:r>
      <w:r>
        <w:rPr>
          <w:rFonts w:ascii="仿宋" w:hAnsi="仿宋" w:eastAsia="仿宋" w:cs="仿宋"/>
          <w:spacing w:val="8"/>
          <w:sz w:val="20"/>
          <w:szCs w:val="20"/>
        </w:rPr>
        <w:t>方书面同意，否则我方不再承担因此而加重部分的保证责任，但主合同第</w:t>
      </w:r>
      <w:r>
        <w:rPr>
          <w:rFonts w:ascii="仿宋" w:hAnsi="仿宋" w:eastAsia="仿宋" w:cs="仿宋"/>
          <w:spacing w:val="-23"/>
          <w:sz w:val="20"/>
          <w:szCs w:val="20"/>
        </w:rPr>
        <w:t xml:space="preserve"> </w:t>
      </w:r>
      <w:r>
        <w:rPr>
          <w:rFonts w:ascii="Times New Roman" w:hAnsi="Times New Roman" w:eastAsia="Times New Roman" w:cs="Times New Roman"/>
          <w:spacing w:val="8"/>
          <w:sz w:val="20"/>
          <w:szCs w:val="20"/>
        </w:rPr>
        <w:t>10</w:t>
      </w:r>
      <w:r>
        <w:rPr>
          <w:rFonts w:ascii="Times New Roman" w:hAnsi="Times New Roman" w:eastAsia="Times New Roman" w:cs="Times New Roman"/>
          <w:spacing w:val="18"/>
          <w:sz w:val="20"/>
          <w:szCs w:val="20"/>
        </w:rPr>
        <w:t xml:space="preserve"> </w:t>
      </w:r>
      <w:r>
        <w:rPr>
          <w:rFonts w:ascii="仿宋" w:hAnsi="仿宋" w:eastAsia="仿宋" w:cs="仿宋"/>
          <w:spacing w:val="8"/>
          <w:sz w:val="20"/>
          <w:szCs w:val="20"/>
        </w:rPr>
        <w:t>条〔</w:t>
      </w:r>
      <w:r>
        <w:rPr>
          <w:rFonts w:ascii="仿宋" w:hAnsi="仿宋" w:eastAsia="仿宋" w:cs="仿宋"/>
          <w:spacing w:val="7"/>
          <w:sz w:val="20"/>
          <w:szCs w:val="20"/>
        </w:rPr>
        <w:t>变更〕约定的变</w:t>
      </w:r>
      <w:r>
        <w:rPr>
          <w:rFonts w:ascii="仿宋" w:hAnsi="仿宋" w:eastAsia="仿宋" w:cs="仿宋"/>
          <w:spacing w:val="6"/>
          <w:sz w:val="20"/>
          <w:szCs w:val="20"/>
        </w:rPr>
        <w:t>更不受本款限制。</w:t>
      </w:r>
    </w:p>
    <w:p w14:paraId="26AA852F">
      <w:pPr>
        <w:spacing w:line="229" w:lineRule="auto"/>
        <w:ind w:left="409"/>
        <w:rPr>
          <w:rFonts w:ascii="仿宋" w:hAnsi="仿宋" w:eastAsia="仿宋" w:cs="仿宋"/>
          <w:sz w:val="20"/>
          <w:szCs w:val="20"/>
        </w:rPr>
      </w:pPr>
      <w:r>
        <w:rPr>
          <w:rFonts w:ascii="Times New Roman" w:hAnsi="Times New Roman" w:eastAsia="Times New Roman" w:cs="Times New Roman"/>
          <w:spacing w:val="8"/>
          <w:sz w:val="20"/>
          <w:szCs w:val="20"/>
        </w:rPr>
        <w:t>4.</w:t>
      </w:r>
      <w:r>
        <w:rPr>
          <w:rFonts w:ascii="Times New Roman" w:hAnsi="Times New Roman" w:eastAsia="Times New Roman" w:cs="Times New Roman"/>
          <w:spacing w:val="19"/>
          <w:w w:val="101"/>
          <w:sz w:val="20"/>
          <w:szCs w:val="20"/>
        </w:rPr>
        <w:t xml:space="preserve">  </w:t>
      </w:r>
      <w:r>
        <w:rPr>
          <w:rFonts w:ascii="仿宋" w:hAnsi="仿宋" w:eastAsia="仿宋" w:cs="仿宋"/>
          <w:spacing w:val="8"/>
          <w:sz w:val="20"/>
          <w:szCs w:val="20"/>
        </w:rPr>
        <w:t>因不可抗力造成发包人不能履行义务的，我方不承担保证</w:t>
      </w:r>
      <w:r>
        <w:rPr>
          <w:rFonts w:ascii="仿宋" w:hAnsi="仿宋" w:eastAsia="仿宋" w:cs="仿宋"/>
          <w:spacing w:val="7"/>
          <w:sz w:val="20"/>
          <w:szCs w:val="20"/>
        </w:rPr>
        <w:t>责任。</w:t>
      </w:r>
    </w:p>
    <w:p w14:paraId="5EAD0F34">
      <w:pPr>
        <w:pStyle w:val="2"/>
        <w:spacing w:before="160" w:line="230" w:lineRule="auto"/>
        <w:ind w:left="413"/>
        <w:rPr>
          <w:sz w:val="20"/>
          <w:szCs w:val="20"/>
        </w:rPr>
      </w:pPr>
      <w:r>
        <w:rPr>
          <w:spacing w:val="8"/>
          <w:sz w:val="20"/>
          <w:szCs w:val="20"/>
        </w:rPr>
        <w:t>七、争议解决</w:t>
      </w:r>
    </w:p>
    <w:p w14:paraId="79A2AE1B">
      <w:pPr>
        <w:spacing w:before="158" w:line="378" w:lineRule="auto"/>
        <w:ind w:left="5" w:firstLine="436"/>
        <w:rPr>
          <w:rFonts w:ascii="仿宋" w:hAnsi="仿宋" w:eastAsia="仿宋" w:cs="仿宋"/>
          <w:sz w:val="20"/>
          <w:szCs w:val="20"/>
        </w:rPr>
      </w:pPr>
      <w:r>
        <w:rPr>
          <w:rFonts w:ascii="仿宋" w:hAnsi="仿宋" w:eastAsia="仿宋" w:cs="仿宋"/>
          <w:spacing w:val="8"/>
          <w:sz w:val="20"/>
          <w:szCs w:val="20"/>
        </w:rPr>
        <w:t>因本保函或本保函相关事项发生的纠纷，可由双方协商解决，协商不成的，按下列</w:t>
      </w:r>
      <w:r>
        <w:rPr>
          <w:rFonts w:ascii="仿宋" w:hAnsi="仿宋" w:eastAsia="仿宋" w:cs="仿宋"/>
          <w:spacing w:val="7"/>
          <w:sz w:val="20"/>
          <w:szCs w:val="20"/>
        </w:rPr>
        <w:t>第</w:t>
      </w:r>
      <w:r>
        <w:rPr>
          <w:rFonts w:ascii="仿宋" w:hAnsi="仿宋" w:eastAsia="仿宋" w:cs="仿宋"/>
          <w:spacing w:val="-99"/>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83"/>
          <w:sz w:val="20"/>
          <w:szCs w:val="20"/>
        </w:rPr>
        <w:t xml:space="preserve"> </w:t>
      </w:r>
      <w:r>
        <w:rPr>
          <w:rFonts w:ascii="仿宋" w:hAnsi="仿宋" w:eastAsia="仿宋" w:cs="仿宋"/>
          <w:spacing w:val="7"/>
          <w:sz w:val="20"/>
          <w:szCs w:val="20"/>
        </w:rPr>
        <w:t>种</w:t>
      </w:r>
      <w:r>
        <w:rPr>
          <w:rFonts w:ascii="仿宋" w:hAnsi="仿宋" w:eastAsia="仿宋" w:cs="仿宋"/>
          <w:spacing w:val="4"/>
          <w:sz w:val="20"/>
          <w:szCs w:val="20"/>
        </w:rPr>
        <w:t>方式解决：</w:t>
      </w:r>
    </w:p>
    <w:p w14:paraId="7E372C5C">
      <w:pPr>
        <w:spacing w:before="1" w:line="228" w:lineRule="auto"/>
        <w:ind w:left="424"/>
        <w:rPr>
          <w:rFonts w:ascii="仿宋" w:hAnsi="仿宋" w:eastAsia="仿宋" w:cs="仿宋"/>
          <w:sz w:val="20"/>
          <w:szCs w:val="20"/>
        </w:rPr>
      </w:pPr>
      <w:r>
        <w:rPr>
          <w:rFonts w:ascii="仿宋" w:hAnsi="仿宋" w:eastAsia="仿宋" w:cs="仿宋"/>
          <w:spacing w:val="2"/>
          <w:sz w:val="20"/>
          <w:szCs w:val="20"/>
        </w:rPr>
        <w:t>（</w:t>
      </w:r>
      <w:r>
        <w:rPr>
          <w:rFonts w:ascii="Times New Roman" w:hAnsi="Times New Roman" w:eastAsia="Times New Roman" w:cs="Times New Roman"/>
          <w:spacing w:val="2"/>
          <w:sz w:val="20"/>
          <w:szCs w:val="20"/>
        </w:rPr>
        <w:t>1</w:t>
      </w:r>
      <w:r>
        <w:rPr>
          <w:rFonts w:ascii="仿宋" w:hAnsi="仿宋" w:eastAsia="仿宋" w:cs="仿宋"/>
          <w:spacing w:val="2"/>
          <w:sz w:val="20"/>
          <w:szCs w:val="20"/>
        </w:rPr>
        <w:t>）</w:t>
      </w:r>
      <w:r>
        <w:rPr>
          <w:rFonts w:ascii="仿宋" w:hAnsi="仿宋" w:eastAsia="仿宋" w:cs="仿宋"/>
          <w:spacing w:val="-42"/>
          <w:sz w:val="20"/>
          <w:szCs w:val="20"/>
        </w:rPr>
        <w:t xml:space="preserve"> </w:t>
      </w:r>
      <w:r>
        <w:rPr>
          <w:rFonts w:ascii="仿宋" w:hAnsi="仿宋" w:eastAsia="仿宋" w:cs="仿宋"/>
          <w:spacing w:val="2"/>
          <w:sz w:val="20"/>
          <w:szCs w:val="20"/>
        </w:rPr>
        <w:t>向</w:t>
      </w:r>
      <w:r>
        <w:rPr>
          <w:rFonts w:ascii="仿宋" w:hAnsi="仿宋" w:eastAsia="仿宋" w:cs="仿宋"/>
          <w:spacing w:val="-98"/>
          <w:sz w:val="20"/>
          <w:szCs w:val="20"/>
        </w:rPr>
        <w:t xml:space="preserve"> </w:t>
      </w:r>
      <w:r>
        <w:rPr>
          <w:rFonts w:ascii="仿宋" w:hAnsi="仿宋" w:eastAsia="仿宋" w:cs="仿宋"/>
          <w:sz w:val="20"/>
          <w:szCs w:val="20"/>
          <w:u w:val="single" w:color="auto"/>
        </w:rPr>
        <w:t xml:space="preserve">                      </w:t>
      </w:r>
      <w:r>
        <w:rPr>
          <w:rFonts w:ascii="仿宋" w:hAnsi="仿宋" w:eastAsia="仿宋" w:cs="仿宋"/>
          <w:spacing w:val="-79"/>
          <w:sz w:val="20"/>
          <w:szCs w:val="20"/>
        </w:rPr>
        <w:t xml:space="preserve"> </w:t>
      </w:r>
      <w:r>
        <w:rPr>
          <w:rFonts w:ascii="仿宋" w:hAnsi="仿宋" w:eastAsia="仿宋" w:cs="仿宋"/>
          <w:spacing w:val="2"/>
          <w:sz w:val="20"/>
          <w:szCs w:val="20"/>
        </w:rPr>
        <w:t>仲裁委员会申请仲裁；</w:t>
      </w:r>
    </w:p>
    <w:p w14:paraId="5C47BC5D">
      <w:pPr>
        <w:spacing w:before="160" w:line="231" w:lineRule="auto"/>
        <w:ind w:left="424"/>
        <w:rPr>
          <w:rFonts w:ascii="仿宋" w:hAnsi="仿宋" w:eastAsia="仿宋" w:cs="仿宋"/>
          <w:sz w:val="20"/>
          <w:szCs w:val="20"/>
        </w:rPr>
      </w:pPr>
      <w:r>
        <w:rPr>
          <w:rFonts w:ascii="仿宋" w:hAnsi="仿宋" w:eastAsia="仿宋" w:cs="仿宋"/>
          <w:sz w:val="20"/>
          <w:szCs w:val="20"/>
        </w:rPr>
        <w:t>（</w:t>
      </w:r>
      <w:r>
        <w:rPr>
          <w:rFonts w:ascii="Times New Roman" w:hAnsi="Times New Roman" w:eastAsia="Times New Roman" w:cs="Times New Roman"/>
          <w:sz w:val="20"/>
          <w:szCs w:val="20"/>
        </w:rPr>
        <w:t>2</w:t>
      </w:r>
      <w:r>
        <w:rPr>
          <w:rFonts w:ascii="仿宋" w:hAnsi="仿宋" w:eastAsia="仿宋" w:cs="仿宋"/>
          <w:sz w:val="20"/>
          <w:szCs w:val="20"/>
        </w:rPr>
        <w:t>）</w:t>
      </w:r>
      <w:r>
        <w:rPr>
          <w:rFonts w:ascii="仿宋" w:hAnsi="仿宋" w:eastAsia="仿宋" w:cs="仿宋"/>
          <w:spacing w:val="-47"/>
          <w:sz w:val="20"/>
          <w:szCs w:val="20"/>
        </w:rPr>
        <w:t xml:space="preserve"> </w:t>
      </w:r>
      <w:r>
        <w:rPr>
          <w:rFonts w:ascii="仿宋" w:hAnsi="仿宋" w:eastAsia="仿宋" w:cs="仿宋"/>
          <w:sz w:val="20"/>
          <w:szCs w:val="20"/>
        </w:rPr>
        <w:t>向</w:t>
      </w:r>
      <w:r>
        <w:rPr>
          <w:rFonts w:ascii="仿宋" w:hAnsi="仿宋" w:eastAsia="仿宋" w:cs="仿宋"/>
          <w:spacing w:val="-98"/>
          <w:sz w:val="20"/>
          <w:szCs w:val="20"/>
        </w:rPr>
        <w:t xml:space="preserve"> </w:t>
      </w:r>
      <w:r>
        <w:rPr>
          <w:rFonts w:ascii="仿宋" w:hAnsi="仿宋" w:eastAsia="仿宋" w:cs="仿宋"/>
          <w:sz w:val="20"/>
          <w:szCs w:val="20"/>
          <w:u w:val="single" w:color="auto"/>
        </w:rPr>
        <w:t xml:space="preserve">                      </w:t>
      </w:r>
      <w:r>
        <w:rPr>
          <w:rFonts w:ascii="仿宋" w:hAnsi="仿宋" w:eastAsia="仿宋" w:cs="仿宋"/>
          <w:spacing w:val="-77"/>
          <w:sz w:val="20"/>
          <w:szCs w:val="20"/>
        </w:rPr>
        <w:t xml:space="preserve"> </w:t>
      </w:r>
      <w:r>
        <w:rPr>
          <w:rFonts w:ascii="仿宋" w:hAnsi="仿宋" w:eastAsia="仿宋" w:cs="仿宋"/>
          <w:sz w:val="20"/>
          <w:szCs w:val="20"/>
        </w:rPr>
        <w:t>人民法院起诉。</w:t>
      </w:r>
    </w:p>
    <w:p w14:paraId="4DC97170">
      <w:pPr>
        <w:pStyle w:val="2"/>
        <w:spacing w:before="158" w:line="229" w:lineRule="auto"/>
        <w:ind w:left="414"/>
        <w:rPr>
          <w:sz w:val="20"/>
          <w:szCs w:val="20"/>
        </w:rPr>
      </w:pPr>
      <w:r>
        <w:rPr>
          <w:spacing w:val="8"/>
          <w:sz w:val="20"/>
          <w:szCs w:val="20"/>
        </w:rPr>
        <w:t>八、保函的生效</w:t>
      </w:r>
    </w:p>
    <w:p w14:paraId="2175B0FC">
      <w:pPr>
        <w:spacing w:before="159" w:line="229" w:lineRule="auto"/>
        <w:ind w:left="420"/>
        <w:rPr>
          <w:rFonts w:ascii="仿宋" w:hAnsi="仿宋" w:eastAsia="仿宋" w:cs="仿宋"/>
          <w:sz w:val="20"/>
          <w:szCs w:val="20"/>
        </w:rPr>
      </w:pPr>
      <w:r>
        <w:rPr>
          <w:rFonts w:ascii="仿宋" w:hAnsi="仿宋" w:eastAsia="仿宋" w:cs="仿宋"/>
          <w:spacing w:val="9"/>
          <w:sz w:val="20"/>
          <w:szCs w:val="20"/>
        </w:rPr>
        <w:t>本保函自我方法定代表人（或其授权代理人）签字并加盖公章之日起生效。</w:t>
      </w:r>
    </w:p>
    <w:p w14:paraId="490EF2F0">
      <w:pPr>
        <w:spacing w:line="457" w:lineRule="auto"/>
        <w:rPr>
          <w:rFonts w:ascii="Arial"/>
          <w:sz w:val="21"/>
        </w:rPr>
      </w:pPr>
    </w:p>
    <w:p w14:paraId="140E0FED">
      <w:pPr>
        <w:spacing w:before="66" w:line="229" w:lineRule="auto"/>
        <w:ind w:left="1"/>
        <w:rPr>
          <w:rFonts w:ascii="仿宋" w:hAnsi="仿宋" w:eastAsia="仿宋" w:cs="仿宋"/>
          <w:sz w:val="20"/>
          <w:szCs w:val="20"/>
        </w:rPr>
      </w:pPr>
      <w:r>
        <w:rPr>
          <w:rFonts w:ascii="仿宋" w:hAnsi="仿宋" w:eastAsia="仿宋" w:cs="仿宋"/>
          <w:spacing w:val="10"/>
          <w:sz w:val="20"/>
          <w:szCs w:val="20"/>
        </w:rPr>
        <w:t>担保人</w:t>
      </w:r>
      <w:r>
        <w:rPr>
          <w:rFonts w:ascii="仿宋" w:hAnsi="仿宋" w:eastAsia="仿宋" w:cs="仿宋"/>
          <w:spacing w:val="-5"/>
          <w:sz w:val="20"/>
          <w:szCs w:val="20"/>
        </w:rPr>
        <w:t>：</w:t>
      </w:r>
      <w:r>
        <w:rPr>
          <w:rFonts w:ascii="仿宋" w:hAnsi="仿宋" w:eastAsia="仿宋" w:cs="仿宋"/>
          <w:spacing w:val="2"/>
          <w:sz w:val="20"/>
          <w:szCs w:val="20"/>
          <w:u w:val="single" w:color="auto"/>
        </w:rPr>
        <w:t xml:space="preserve">                                    </w:t>
      </w:r>
      <w:r>
        <w:rPr>
          <w:rFonts w:ascii="仿宋" w:hAnsi="仿宋" w:eastAsia="仿宋" w:cs="仿宋"/>
          <w:spacing w:val="-5"/>
          <w:sz w:val="20"/>
          <w:szCs w:val="20"/>
        </w:rPr>
        <w:t>（</w:t>
      </w:r>
      <w:r>
        <w:rPr>
          <w:rFonts w:ascii="仿宋" w:hAnsi="仿宋" w:eastAsia="仿宋" w:cs="仿宋"/>
          <w:spacing w:val="10"/>
          <w:sz w:val="20"/>
          <w:szCs w:val="20"/>
        </w:rPr>
        <w:t>盖章）</w:t>
      </w:r>
    </w:p>
    <w:p w14:paraId="40C034D3">
      <w:pPr>
        <w:spacing w:before="159" w:line="232" w:lineRule="auto"/>
        <w:ind w:left="6"/>
        <w:rPr>
          <w:rFonts w:ascii="仿宋" w:hAnsi="仿宋" w:eastAsia="仿宋" w:cs="仿宋"/>
          <w:sz w:val="20"/>
          <w:szCs w:val="20"/>
        </w:rPr>
      </w:pPr>
      <w:r>
        <w:rPr>
          <w:rFonts w:ascii="仿宋" w:hAnsi="仿宋" w:eastAsia="仿宋" w:cs="仿宋"/>
          <w:spacing w:val="9"/>
          <w:sz w:val="20"/>
          <w:szCs w:val="20"/>
        </w:rPr>
        <w:t>法定代表人或委托代理人</w:t>
      </w:r>
      <w:r>
        <w:rPr>
          <w:rFonts w:ascii="仿宋" w:hAnsi="仿宋" w:eastAsia="仿宋" w:cs="仿宋"/>
          <w:sz w:val="20"/>
          <w:szCs w:val="20"/>
        </w:rPr>
        <w:t>：</w:t>
      </w:r>
      <w:r>
        <w:rPr>
          <w:rFonts w:ascii="仿宋" w:hAnsi="仿宋" w:eastAsia="仿宋" w:cs="仿宋"/>
          <w:spacing w:val="5"/>
          <w:sz w:val="20"/>
          <w:szCs w:val="20"/>
          <w:u w:val="single" w:color="auto"/>
        </w:rPr>
        <w:t xml:space="preserve">                 </w:t>
      </w:r>
      <w:r>
        <w:rPr>
          <w:rFonts w:ascii="仿宋" w:hAnsi="仿宋" w:eastAsia="仿宋" w:cs="仿宋"/>
          <w:sz w:val="20"/>
          <w:szCs w:val="20"/>
        </w:rPr>
        <w:t>（</w:t>
      </w:r>
      <w:r>
        <w:rPr>
          <w:rFonts w:ascii="仿宋" w:hAnsi="仿宋" w:eastAsia="仿宋" w:cs="仿宋"/>
          <w:spacing w:val="9"/>
          <w:sz w:val="20"/>
          <w:szCs w:val="20"/>
        </w:rPr>
        <w:t>签字）</w:t>
      </w:r>
    </w:p>
    <w:p w14:paraId="7255BCF1">
      <w:pPr>
        <w:spacing w:before="157"/>
        <w:rPr>
          <w:rFonts w:ascii="仿宋" w:hAnsi="仿宋" w:eastAsia="仿宋" w:cs="仿宋"/>
          <w:sz w:val="20"/>
          <w:szCs w:val="20"/>
        </w:rPr>
      </w:pPr>
      <w:r>
        <w:rPr>
          <w:rFonts w:ascii="仿宋" w:hAnsi="仿宋" w:eastAsia="仿宋" w:cs="仿宋"/>
          <w:spacing w:val="-12"/>
          <w:sz w:val="20"/>
          <w:szCs w:val="20"/>
        </w:rPr>
        <w:t>地</w:t>
      </w:r>
      <w:r>
        <w:rPr>
          <w:rFonts w:ascii="仿宋" w:hAnsi="仿宋" w:eastAsia="仿宋" w:cs="仿宋"/>
          <w:spacing w:val="10"/>
          <w:sz w:val="20"/>
          <w:szCs w:val="20"/>
        </w:rPr>
        <w:t xml:space="preserve">    </w:t>
      </w:r>
      <w:r>
        <w:rPr>
          <w:rFonts w:ascii="仿宋" w:hAnsi="仿宋" w:eastAsia="仿宋" w:cs="仿宋"/>
          <w:spacing w:val="-12"/>
          <w:sz w:val="20"/>
          <w:szCs w:val="20"/>
        </w:rPr>
        <w:t>址</w:t>
      </w:r>
      <w:r>
        <w:rPr>
          <w:rFonts w:ascii="仿宋" w:hAnsi="仿宋" w:eastAsia="仿宋" w:cs="仿宋"/>
          <w:spacing w:val="-70"/>
          <w:sz w:val="20"/>
          <w:szCs w:val="20"/>
        </w:rPr>
        <w:t xml:space="preserve"> </w:t>
      </w:r>
      <w:r>
        <w:rPr>
          <w:rFonts w:ascii="仿宋" w:hAnsi="仿宋" w:eastAsia="仿宋" w:cs="仿宋"/>
          <w:spacing w:val="-12"/>
          <w:sz w:val="20"/>
          <w:szCs w:val="20"/>
        </w:rPr>
        <w:t>：</w:t>
      </w:r>
      <w:r>
        <w:rPr>
          <w:rFonts w:ascii="仿宋" w:hAnsi="仿宋" w:eastAsia="仿宋" w:cs="仿宋"/>
          <w:sz w:val="20"/>
          <w:szCs w:val="20"/>
          <w:u w:val="single" w:color="auto"/>
        </w:rPr>
        <w:t xml:space="preserve">                                           </w:t>
      </w:r>
    </w:p>
    <w:p w14:paraId="16AEE86D">
      <w:pPr>
        <w:spacing w:before="148" w:line="230" w:lineRule="auto"/>
        <w:ind w:left="15"/>
        <w:rPr>
          <w:rFonts w:ascii="仿宋" w:hAnsi="仿宋" w:eastAsia="仿宋" w:cs="仿宋"/>
          <w:sz w:val="20"/>
          <w:szCs w:val="20"/>
        </w:rPr>
      </w:pPr>
      <w:r>
        <w:rPr>
          <w:rFonts w:ascii="仿宋" w:hAnsi="仿宋" w:eastAsia="仿宋" w:cs="仿宋"/>
          <w:spacing w:val="4"/>
          <w:sz w:val="20"/>
          <w:szCs w:val="20"/>
        </w:rPr>
        <w:t>邮政编码：</w:t>
      </w:r>
      <w:r>
        <w:rPr>
          <w:rFonts w:ascii="仿宋" w:hAnsi="仿宋" w:eastAsia="仿宋" w:cs="仿宋"/>
          <w:sz w:val="20"/>
          <w:szCs w:val="20"/>
          <w:u w:val="single" w:color="auto"/>
        </w:rPr>
        <w:t xml:space="preserve">                                           </w:t>
      </w:r>
    </w:p>
    <w:p w14:paraId="2E62420E">
      <w:pPr>
        <w:spacing w:before="158" w:line="232" w:lineRule="auto"/>
        <w:ind w:left="2"/>
        <w:rPr>
          <w:rFonts w:ascii="仿宋" w:hAnsi="仿宋" w:eastAsia="仿宋" w:cs="仿宋"/>
          <w:sz w:val="20"/>
          <w:szCs w:val="20"/>
        </w:rPr>
      </w:pPr>
      <w:r>
        <w:rPr>
          <w:rFonts w:ascii="仿宋" w:hAnsi="仿宋" w:eastAsia="仿宋" w:cs="仿宋"/>
          <w:spacing w:val="-7"/>
          <w:sz w:val="20"/>
          <w:szCs w:val="20"/>
        </w:rPr>
        <w:t>传</w:t>
      </w:r>
      <w:r>
        <w:rPr>
          <w:rFonts w:ascii="仿宋" w:hAnsi="仿宋" w:eastAsia="仿宋" w:cs="仿宋"/>
          <w:spacing w:val="10"/>
          <w:sz w:val="20"/>
          <w:szCs w:val="20"/>
        </w:rPr>
        <w:t xml:space="preserve">    </w:t>
      </w:r>
      <w:r>
        <w:rPr>
          <w:rFonts w:ascii="仿宋" w:hAnsi="仿宋" w:eastAsia="仿宋" w:cs="仿宋"/>
          <w:spacing w:val="-7"/>
          <w:sz w:val="20"/>
          <w:szCs w:val="20"/>
        </w:rPr>
        <w:t>真</w:t>
      </w:r>
      <w:r>
        <w:rPr>
          <w:rFonts w:ascii="仿宋" w:hAnsi="仿宋" w:eastAsia="仿宋" w:cs="仿宋"/>
          <w:spacing w:val="-68"/>
          <w:sz w:val="20"/>
          <w:szCs w:val="20"/>
        </w:rPr>
        <w:t xml:space="preserve"> </w:t>
      </w:r>
      <w:r>
        <w:rPr>
          <w:rFonts w:ascii="仿宋" w:hAnsi="仿宋" w:eastAsia="仿宋" w:cs="仿宋"/>
          <w:spacing w:val="-7"/>
          <w:sz w:val="20"/>
          <w:szCs w:val="20"/>
        </w:rPr>
        <w:t>：</w:t>
      </w:r>
      <w:r>
        <w:rPr>
          <w:rFonts w:ascii="仿宋" w:hAnsi="仿宋" w:eastAsia="仿宋" w:cs="仿宋"/>
          <w:spacing w:val="-7"/>
          <w:sz w:val="20"/>
          <w:szCs w:val="20"/>
          <w:u w:val="single" w:color="auto"/>
        </w:rPr>
        <w:t xml:space="preserve">                                          </w:t>
      </w:r>
      <w:r>
        <w:rPr>
          <w:rFonts w:ascii="仿宋" w:hAnsi="仿宋" w:eastAsia="仿宋" w:cs="仿宋"/>
          <w:spacing w:val="-8"/>
          <w:sz w:val="20"/>
          <w:szCs w:val="20"/>
          <w:u w:val="single" w:color="auto"/>
        </w:rPr>
        <w:t xml:space="preserve">   </w:t>
      </w:r>
    </w:p>
    <w:p w14:paraId="3FC3CF13">
      <w:pPr>
        <w:spacing w:line="451" w:lineRule="auto"/>
        <w:rPr>
          <w:rFonts w:ascii="Arial"/>
          <w:sz w:val="21"/>
        </w:rPr>
      </w:pPr>
    </w:p>
    <w:p w14:paraId="2E3EABFD">
      <w:pPr>
        <w:tabs>
          <w:tab w:val="left" w:pos="3345"/>
        </w:tabs>
        <w:spacing w:before="66" w:line="231" w:lineRule="auto"/>
        <w:ind w:left="1876"/>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81"/>
          <w:sz w:val="20"/>
          <w:szCs w:val="20"/>
        </w:rPr>
        <w:t xml:space="preserve"> </w:t>
      </w:r>
      <w:r>
        <w:rPr>
          <w:rFonts w:ascii="仿宋" w:hAnsi="仿宋" w:eastAsia="仿宋" w:cs="仿宋"/>
          <w:spacing w:val="-8"/>
          <w:sz w:val="20"/>
          <w:szCs w:val="20"/>
        </w:rPr>
        <w:t>年</w:t>
      </w:r>
      <w:r>
        <w:rPr>
          <w:rFonts w:ascii="仿宋" w:hAnsi="仿宋" w:eastAsia="仿宋" w:cs="仿宋"/>
          <w:spacing w:val="-99"/>
          <w:sz w:val="20"/>
          <w:szCs w:val="20"/>
        </w:rPr>
        <w:t xml:space="preserve"> </w:t>
      </w:r>
      <w:r>
        <w:rPr>
          <w:rFonts w:ascii="仿宋" w:hAnsi="仿宋" w:eastAsia="仿宋" w:cs="仿宋"/>
          <w:spacing w:val="4"/>
          <w:sz w:val="20"/>
          <w:szCs w:val="20"/>
          <w:u w:val="single" w:color="auto"/>
        </w:rPr>
        <w:t xml:space="preserve">      </w:t>
      </w:r>
      <w:r>
        <w:rPr>
          <w:rFonts w:ascii="仿宋" w:hAnsi="仿宋" w:eastAsia="仿宋" w:cs="仿宋"/>
          <w:spacing w:val="-71"/>
          <w:sz w:val="20"/>
          <w:szCs w:val="20"/>
        </w:rPr>
        <w:t xml:space="preserve"> </w:t>
      </w:r>
      <w:r>
        <w:rPr>
          <w:rFonts w:ascii="仿宋" w:hAnsi="仿宋" w:eastAsia="仿宋" w:cs="仿宋"/>
          <w:spacing w:val="-8"/>
          <w:sz w:val="20"/>
          <w:szCs w:val="20"/>
        </w:rPr>
        <w:t>月</w:t>
      </w:r>
      <w:r>
        <w:rPr>
          <w:rFonts w:ascii="仿宋" w:hAnsi="仿宋" w:eastAsia="仿宋" w:cs="仿宋"/>
          <w:spacing w:val="-99"/>
          <w:sz w:val="20"/>
          <w:szCs w:val="20"/>
        </w:rPr>
        <w:t xml:space="preserve"> </w:t>
      </w:r>
      <w:r>
        <w:rPr>
          <w:rFonts w:ascii="仿宋" w:hAnsi="仿宋" w:eastAsia="仿宋" w:cs="仿宋"/>
          <w:spacing w:val="4"/>
          <w:sz w:val="20"/>
          <w:szCs w:val="20"/>
          <w:u w:val="single" w:color="auto"/>
        </w:rPr>
        <w:t xml:space="preserve">      </w:t>
      </w:r>
      <w:r>
        <w:rPr>
          <w:rFonts w:ascii="仿宋" w:hAnsi="仿宋" w:eastAsia="仿宋" w:cs="仿宋"/>
          <w:spacing w:val="-36"/>
          <w:sz w:val="20"/>
          <w:szCs w:val="20"/>
        </w:rPr>
        <w:t xml:space="preserve"> </w:t>
      </w:r>
      <w:r>
        <w:rPr>
          <w:rFonts w:ascii="仿宋" w:hAnsi="仿宋" w:eastAsia="仿宋" w:cs="仿宋"/>
          <w:spacing w:val="-8"/>
          <w:sz w:val="20"/>
          <w:szCs w:val="20"/>
        </w:rPr>
        <w:t>日</w:t>
      </w:r>
    </w:p>
    <w:p w14:paraId="24AB1BE0">
      <w:pPr>
        <w:spacing w:line="231" w:lineRule="auto"/>
        <w:rPr>
          <w:rFonts w:ascii="仿宋" w:hAnsi="仿宋" w:eastAsia="仿宋" w:cs="仿宋"/>
          <w:sz w:val="20"/>
          <w:szCs w:val="20"/>
        </w:rPr>
        <w:sectPr>
          <w:footerReference r:id="rId433" w:type="default"/>
          <w:pgSz w:w="11907" w:h="16840"/>
          <w:pgMar w:top="400" w:right="1531" w:bottom="1105" w:left="1487" w:header="0" w:footer="943" w:gutter="0"/>
          <w:cols w:space="720" w:num="1"/>
        </w:sectPr>
      </w:pPr>
    </w:p>
    <w:p w14:paraId="0F1B5400">
      <w:pPr>
        <w:spacing w:line="248" w:lineRule="auto"/>
        <w:rPr>
          <w:rFonts w:ascii="Arial"/>
          <w:sz w:val="21"/>
        </w:rPr>
      </w:pPr>
    </w:p>
    <w:p w14:paraId="308A6E49">
      <w:pPr>
        <w:spacing w:line="248" w:lineRule="auto"/>
        <w:rPr>
          <w:rFonts w:ascii="Arial"/>
          <w:sz w:val="21"/>
        </w:rPr>
      </w:pPr>
    </w:p>
    <w:p w14:paraId="67B124F6">
      <w:pPr>
        <w:spacing w:line="249" w:lineRule="auto"/>
        <w:rPr>
          <w:rFonts w:ascii="Arial"/>
          <w:sz w:val="21"/>
        </w:rPr>
      </w:pPr>
    </w:p>
    <w:p w14:paraId="63ACD131">
      <w:pPr>
        <w:spacing w:line="249" w:lineRule="auto"/>
        <w:rPr>
          <w:rFonts w:ascii="Arial"/>
          <w:sz w:val="21"/>
        </w:rPr>
      </w:pPr>
    </w:p>
    <w:p w14:paraId="2FC0B421">
      <w:pPr>
        <w:spacing w:line="249" w:lineRule="auto"/>
        <w:rPr>
          <w:rFonts w:ascii="Arial"/>
          <w:sz w:val="21"/>
        </w:rPr>
      </w:pPr>
    </w:p>
    <w:p w14:paraId="7E9A65B5">
      <w:pPr>
        <w:pStyle w:val="2"/>
        <w:spacing w:before="91" w:line="225" w:lineRule="auto"/>
        <w:ind w:left="110"/>
        <w:rPr>
          <w:sz w:val="28"/>
          <w:szCs w:val="28"/>
        </w:rPr>
      </w:pPr>
      <w:r>
        <w:rPr>
          <w:spacing w:val="-13"/>
          <w:sz w:val="28"/>
          <w:szCs w:val="28"/>
        </w:rPr>
        <w:t>附件</w:t>
      </w:r>
      <w:r>
        <w:rPr>
          <w:spacing w:val="-38"/>
          <w:sz w:val="28"/>
          <w:szCs w:val="28"/>
        </w:rPr>
        <w:t xml:space="preserve"> </w:t>
      </w:r>
      <w:r>
        <w:rPr>
          <w:rFonts w:ascii="Times New Roman" w:hAnsi="Times New Roman" w:eastAsia="Times New Roman" w:cs="Times New Roman"/>
          <w:spacing w:val="-13"/>
          <w:sz w:val="28"/>
          <w:szCs w:val="28"/>
        </w:rPr>
        <w:t>11</w:t>
      </w:r>
      <w:r>
        <w:rPr>
          <w:spacing w:val="-13"/>
          <w:sz w:val="28"/>
          <w:szCs w:val="28"/>
        </w:rPr>
        <w:t>：</w:t>
      </w:r>
    </w:p>
    <w:p w14:paraId="6EDC67EC">
      <w:pPr>
        <w:spacing w:before="351" w:line="212" w:lineRule="auto"/>
        <w:ind w:left="3284"/>
        <w:rPr>
          <w:rFonts w:ascii="微软雅黑" w:hAnsi="微软雅黑" w:eastAsia="微软雅黑" w:cs="微软雅黑"/>
          <w:sz w:val="28"/>
          <w:szCs w:val="28"/>
        </w:rPr>
      </w:pPr>
      <w:r>
        <w:rPr>
          <w:rFonts w:ascii="Arial" w:hAnsi="Arial" w:eastAsia="Arial" w:cs="Arial"/>
          <w:spacing w:val="-1"/>
          <w:sz w:val="28"/>
          <w:szCs w:val="28"/>
        </w:rPr>
        <w:t>11-1</w:t>
      </w:r>
      <w:r>
        <w:rPr>
          <w:rFonts w:ascii="微软雅黑" w:hAnsi="微软雅黑" w:eastAsia="微软雅黑" w:cs="微软雅黑"/>
          <w:spacing w:val="-1"/>
          <w:sz w:val="28"/>
          <w:szCs w:val="28"/>
        </w:rPr>
        <w:t>：材料暂估价表</w:t>
      </w:r>
    </w:p>
    <w:p w14:paraId="772D7B45">
      <w:pPr>
        <w:spacing w:line="180" w:lineRule="exact"/>
      </w:pPr>
    </w:p>
    <w:tbl>
      <w:tblPr>
        <w:tblStyle w:val="5"/>
        <w:tblW w:w="8868"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7"/>
        <w:gridCol w:w="1978"/>
        <w:gridCol w:w="849"/>
        <w:gridCol w:w="772"/>
        <w:gridCol w:w="1348"/>
        <w:gridCol w:w="1414"/>
        <w:gridCol w:w="1710"/>
      </w:tblGrid>
      <w:tr w14:paraId="72D63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797" w:type="dxa"/>
            <w:tcBorders>
              <w:top w:val="single" w:color="000000" w:sz="10" w:space="0"/>
              <w:left w:val="single" w:color="000000" w:sz="10" w:space="0"/>
            </w:tcBorders>
            <w:vAlign w:val="top"/>
          </w:tcPr>
          <w:p w14:paraId="6677C227">
            <w:pPr>
              <w:spacing w:before="116" w:line="231" w:lineRule="auto"/>
              <w:ind w:left="179"/>
              <w:rPr>
                <w:rFonts w:ascii="黑体" w:hAnsi="黑体" w:eastAsia="黑体" w:cs="黑体"/>
                <w:sz w:val="20"/>
                <w:szCs w:val="20"/>
              </w:rPr>
            </w:pPr>
            <w:r>
              <w:rPr>
                <w:rFonts w:ascii="黑体" w:hAnsi="黑体" w:eastAsia="黑体" w:cs="黑体"/>
                <w:spacing w:val="4"/>
                <w:sz w:val="20"/>
                <w:szCs w:val="20"/>
              </w:rPr>
              <w:t>序号</w:t>
            </w:r>
          </w:p>
        </w:tc>
        <w:tc>
          <w:tcPr>
            <w:tcW w:w="1978" w:type="dxa"/>
            <w:tcBorders>
              <w:top w:val="single" w:color="000000" w:sz="10" w:space="0"/>
            </w:tcBorders>
            <w:vAlign w:val="top"/>
          </w:tcPr>
          <w:p w14:paraId="2B6D7514">
            <w:pPr>
              <w:spacing w:before="116" w:line="230" w:lineRule="auto"/>
              <w:ind w:left="776"/>
              <w:rPr>
                <w:rFonts w:ascii="黑体" w:hAnsi="黑体" w:eastAsia="黑体" w:cs="黑体"/>
                <w:sz w:val="20"/>
                <w:szCs w:val="20"/>
              </w:rPr>
            </w:pPr>
            <w:r>
              <w:rPr>
                <w:rFonts w:ascii="黑体" w:hAnsi="黑体" w:eastAsia="黑体" w:cs="黑体"/>
                <w:spacing w:val="3"/>
                <w:sz w:val="20"/>
                <w:szCs w:val="20"/>
              </w:rPr>
              <w:t>名称</w:t>
            </w:r>
          </w:p>
        </w:tc>
        <w:tc>
          <w:tcPr>
            <w:tcW w:w="849" w:type="dxa"/>
            <w:tcBorders>
              <w:top w:val="single" w:color="000000" w:sz="10" w:space="0"/>
            </w:tcBorders>
            <w:vAlign w:val="top"/>
          </w:tcPr>
          <w:p w14:paraId="1595A090">
            <w:pPr>
              <w:spacing w:before="116" w:line="231" w:lineRule="auto"/>
              <w:ind w:left="218"/>
              <w:rPr>
                <w:rFonts w:ascii="黑体" w:hAnsi="黑体" w:eastAsia="黑体" w:cs="黑体"/>
                <w:sz w:val="20"/>
                <w:szCs w:val="20"/>
              </w:rPr>
            </w:pPr>
            <w:r>
              <w:rPr>
                <w:rFonts w:ascii="黑体" w:hAnsi="黑体" w:eastAsia="黑体" w:cs="黑体"/>
                <w:spacing w:val="2"/>
                <w:sz w:val="20"/>
                <w:szCs w:val="20"/>
              </w:rPr>
              <w:t>单位</w:t>
            </w:r>
          </w:p>
        </w:tc>
        <w:tc>
          <w:tcPr>
            <w:tcW w:w="772" w:type="dxa"/>
            <w:tcBorders>
              <w:top w:val="single" w:color="000000" w:sz="10" w:space="0"/>
            </w:tcBorders>
            <w:vAlign w:val="top"/>
          </w:tcPr>
          <w:p w14:paraId="6F363E95">
            <w:pPr>
              <w:spacing w:before="116" w:line="231" w:lineRule="auto"/>
              <w:ind w:left="178"/>
              <w:rPr>
                <w:rFonts w:ascii="黑体" w:hAnsi="黑体" w:eastAsia="黑体" w:cs="黑体"/>
                <w:sz w:val="20"/>
                <w:szCs w:val="20"/>
              </w:rPr>
            </w:pPr>
            <w:r>
              <w:rPr>
                <w:rFonts w:ascii="黑体" w:hAnsi="黑体" w:eastAsia="黑体" w:cs="黑体"/>
                <w:spacing w:val="4"/>
                <w:sz w:val="20"/>
                <w:szCs w:val="20"/>
              </w:rPr>
              <w:t>数量</w:t>
            </w:r>
          </w:p>
        </w:tc>
        <w:tc>
          <w:tcPr>
            <w:tcW w:w="1348" w:type="dxa"/>
            <w:tcBorders>
              <w:top w:val="single" w:color="000000" w:sz="10" w:space="0"/>
            </w:tcBorders>
            <w:vAlign w:val="top"/>
          </w:tcPr>
          <w:p w14:paraId="5D98C54B">
            <w:pPr>
              <w:spacing w:before="116" w:line="230" w:lineRule="auto"/>
              <w:ind w:left="160"/>
              <w:rPr>
                <w:rFonts w:ascii="黑体" w:hAnsi="黑体" w:eastAsia="黑体" w:cs="黑体"/>
                <w:sz w:val="20"/>
                <w:szCs w:val="20"/>
              </w:rPr>
            </w:pPr>
            <w:r>
              <w:rPr>
                <w:rFonts w:ascii="黑体" w:hAnsi="黑体" w:eastAsia="黑体" w:cs="黑体"/>
                <w:spacing w:val="4"/>
                <w:sz w:val="20"/>
                <w:szCs w:val="20"/>
              </w:rPr>
              <w:t>单价（元）</w:t>
            </w:r>
          </w:p>
        </w:tc>
        <w:tc>
          <w:tcPr>
            <w:tcW w:w="1414" w:type="dxa"/>
            <w:tcBorders>
              <w:top w:val="single" w:color="000000" w:sz="10" w:space="0"/>
            </w:tcBorders>
            <w:vAlign w:val="top"/>
          </w:tcPr>
          <w:p w14:paraId="6B7303E2">
            <w:pPr>
              <w:spacing w:before="116" w:line="230" w:lineRule="auto"/>
              <w:ind w:left="192"/>
              <w:rPr>
                <w:rFonts w:ascii="黑体" w:hAnsi="黑体" w:eastAsia="黑体" w:cs="黑体"/>
                <w:sz w:val="20"/>
                <w:szCs w:val="20"/>
              </w:rPr>
            </w:pPr>
            <w:r>
              <w:rPr>
                <w:rFonts w:ascii="黑体" w:hAnsi="黑体" w:eastAsia="黑体" w:cs="黑体"/>
                <w:spacing w:val="5"/>
                <w:sz w:val="20"/>
                <w:szCs w:val="20"/>
              </w:rPr>
              <w:t>合价（元）</w:t>
            </w:r>
          </w:p>
        </w:tc>
        <w:tc>
          <w:tcPr>
            <w:tcW w:w="1710" w:type="dxa"/>
            <w:tcBorders>
              <w:top w:val="single" w:color="000000" w:sz="10" w:space="0"/>
              <w:right w:val="single" w:color="000000" w:sz="10" w:space="0"/>
            </w:tcBorders>
            <w:vAlign w:val="top"/>
          </w:tcPr>
          <w:p w14:paraId="133FC9AB">
            <w:pPr>
              <w:spacing w:before="116" w:line="230" w:lineRule="auto"/>
              <w:ind w:left="651"/>
              <w:rPr>
                <w:rFonts w:ascii="黑体" w:hAnsi="黑体" w:eastAsia="黑体" w:cs="黑体"/>
                <w:sz w:val="20"/>
                <w:szCs w:val="20"/>
              </w:rPr>
            </w:pPr>
            <w:r>
              <w:rPr>
                <w:rFonts w:ascii="黑体" w:hAnsi="黑体" w:eastAsia="黑体" w:cs="黑体"/>
                <w:spacing w:val="4"/>
                <w:sz w:val="20"/>
                <w:szCs w:val="20"/>
              </w:rPr>
              <w:t>备注</w:t>
            </w:r>
          </w:p>
        </w:tc>
      </w:tr>
      <w:tr w14:paraId="44BDB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797" w:type="dxa"/>
            <w:tcBorders>
              <w:left w:val="single" w:color="000000" w:sz="10" w:space="0"/>
            </w:tcBorders>
            <w:vAlign w:val="top"/>
          </w:tcPr>
          <w:p w14:paraId="59345809">
            <w:pPr>
              <w:rPr>
                <w:rFonts w:ascii="Arial"/>
                <w:sz w:val="21"/>
              </w:rPr>
            </w:pPr>
          </w:p>
        </w:tc>
        <w:tc>
          <w:tcPr>
            <w:tcW w:w="1978" w:type="dxa"/>
            <w:vAlign w:val="top"/>
          </w:tcPr>
          <w:p w14:paraId="1B022DBD">
            <w:pPr>
              <w:rPr>
                <w:rFonts w:ascii="Arial"/>
                <w:sz w:val="21"/>
              </w:rPr>
            </w:pPr>
          </w:p>
        </w:tc>
        <w:tc>
          <w:tcPr>
            <w:tcW w:w="849" w:type="dxa"/>
            <w:vAlign w:val="top"/>
          </w:tcPr>
          <w:p w14:paraId="38ABB301">
            <w:pPr>
              <w:rPr>
                <w:rFonts w:ascii="Arial"/>
                <w:sz w:val="21"/>
              </w:rPr>
            </w:pPr>
          </w:p>
        </w:tc>
        <w:tc>
          <w:tcPr>
            <w:tcW w:w="772" w:type="dxa"/>
            <w:vAlign w:val="top"/>
          </w:tcPr>
          <w:p w14:paraId="6B7B7A98">
            <w:pPr>
              <w:rPr>
                <w:rFonts w:ascii="Arial"/>
                <w:sz w:val="21"/>
              </w:rPr>
            </w:pPr>
          </w:p>
        </w:tc>
        <w:tc>
          <w:tcPr>
            <w:tcW w:w="1348" w:type="dxa"/>
            <w:vAlign w:val="top"/>
          </w:tcPr>
          <w:p w14:paraId="6826AA98">
            <w:pPr>
              <w:rPr>
                <w:rFonts w:ascii="Arial"/>
                <w:sz w:val="21"/>
              </w:rPr>
            </w:pPr>
          </w:p>
        </w:tc>
        <w:tc>
          <w:tcPr>
            <w:tcW w:w="1414" w:type="dxa"/>
            <w:vAlign w:val="top"/>
          </w:tcPr>
          <w:p w14:paraId="4E72CDAE">
            <w:pPr>
              <w:rPr>
                <w:rFonts w:ascii="Arial"/>
                <w:sz w:val="21"/>
              </w:rPr>
            </w:pPr>
          </w:p>
        </w:tc>
        <w:tc>
          <w:tcPr>
            <w:tcW w:w="1710" w:type="dxa"/>
            <w:tcBorders>
              <w:right w:val="single" w:color="000000" w:sz="10" w:space="0"/>
            </w:tcBorders>
            <w:vAlign w:val="top"/>
          </w:tcPr>
          <w:p w14:paraId="3AD1E2F6">
            <w:pPr>
              <w:rPr>
                <w:rFonts w:ascii="Arial"/>
                <w:sz w:val="21"/>
              </w:rPr>
            </w:pPr>
          </w:p>
        </w:tc>
      </w:tr>
      <w:tr w14:paraId="51B0B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797" w:type="dxa"/>
            <w:tcBorders>
              <w:left w:val="single" w:color="000000" w:sz="10" w:space="0"/>
            </w:tcBorders>
            <w:vAlign w:val="top"/>
          </w:tcPr>
          <w:p w14:paraId="78DAE6D4">
            <w:pPr>
              <w:rPr>
                <w:rFonts w:ascii="Arial"/>
                <w:sz w:val="21"/>
              </w:rPr>
            </w:pPr>
          </w:p>
        </w:tc>
        <w:tc>
          <w:tcPr>
            <w:tcW w:w="1978" w:type="dxa"/>
            <w:vAlign w:val="top"/>
          </w:tcPr>
          <w:p w14:paraId="245D2D99">
            <w:pPr>
              <w:rPr>
                <w:rFonts w:ascii="Arial"/>
                <w:sz w:val="21"/>
              </w:rPr>
            </w:pPr>
          </w:p>
        </w:tc>
        <w:tc>
          <w:tcPr>
            <w:tcW w:w="849" w:type="dxa"/>
            <w:vAlign w:val="top"/>
          </w:tcPr>
          <w:p w14:paraId="29B47B5F">
            <w:pPr>
              <w:rPr>
                <w:rFonts w:ascii="Arial"/>
                <w:sz w:val="21"/>
              </w:rPr>
            </w:pPr>
          </w:p>
        </w:tc>
        <w:tc>
          <w:tcPr>
            <w:tcW w:w="772" w:type="dxa"/>
            <w:vAlign w:val="top"/>
          </w:tcPr>
          <w:p w14:paraId="4E30C162">
            <w:pPr>
              <w:rPr>
                <w:rFonts w:ascii="Arial"/>
                <w:sz w:val="21"/>
              </w:rPr>
            </w:pPr>
          </w:p>
        </w:tc>
        <w:tc>
          <w:tcPr>
            <w:tcW w:w="1348" w:type="dxa"/>
            <w:vAlign w:val="top"/>
          </w:tcPr>
          <w:p w14:paraId="77E5704E">
            <w:pPr>
              <w:rPr>
                <w:rFonts w:ascii="Arial"/>
                <w:sz w:val="21"/>
              </w:rPr>
            </w:pPr>
          </w:p>
        </w:tc>
        <w:tc>
          <w:tcPr>
            <w:tcW w:w="1414" w:type="dxa"/>
            <w:vAlign w:val="top"/>
          </w:tcPr>
          <w:p w14:paraId="09AB308B">
            <w:pPr>
              <w:rPr>
                <w:rFonts w:ascii="Arial"/>
                <w:sz w:val="21"/>
              </w:rPr>
            </w:pPr>
          </w:p>
        </w:tc>
        <w:tc>
          <w:tcPr>
            <w:tcW w:w="1710" w:type="dxa"/>
            <w:tcBorders>
              <w:right w:val="single" w:color="000000" w:sz="10" w:space="0"/>
            </w:tcBorders>
            <w:vAlign w:val="top"/>
          </w:tcPr>
          <w:p w14:paraId="03C86569">
            <w:pPr>
              <w:rPr>
                <w:rFonts w:ascii="Arial"/>
                <w:sz w:val="21"/>
              </w:rPr>
            </w:pPr>
          </w:p>
        </w:tc>
      </w:tr>
      <w:tr w14:paraId="25CA9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797" w:type="dxa"/>
            <w:tcBorders>
              <w:left w:val="single" w:color="000000" w:sz="10" w:space="0"/>
            </w:tcBorders>
            <w:vAlign w:val="top"/>
          </w:tcPr>
          <w:p w14:paraId="2ABA115C">
            <w:pPr>
              <w:rPr>
                <w:rFonts w:ascii="Arial"/>
                <w:sz w:val="21"/>
              </w:rPr>
            </w:pPr>
          </w:p>
        </w:tc>
        <w:tc>
          <w:tcPr>
            <w:tcW w:w="1978" w:type="dxa"/>
            <w:vAlign w:val="top"/>
          </w:tcPr>
          <w:p w14:paraId="72B35FCC">
            <w:pPr>
              <w:rPr>
                <w:rFonts w:ascii="Arial"/>
                <w:sz w:val="21"/>
              </w:rPr>
            </w:pPr>
          </w:p>
        </w:tc>
        <w:tc>
          <w:tcPr>
            <w:tcW w:w="849" w:type="dxa"/>
            <w:vAlign w:val="top"/>
          </w:tcPr>
          <w:p w14:paraId="4F798F8F">
            <w:pPr>
              <w:rPr>
                <w:rFonts w:ascii="Arial"/>
                <w:sz w:val="21"/>
              </w:rPr>
            </w:pPr>
          </w:p>
        </w:tc>
        <w:tc>
          <w:tcPr>
            <w:tcW w:w="772" w:type="dxa"/>
            <w:vAlign w:val="top"/>
          </w:tcPr>
          <w:p w14:paraId="7C45E633">
            <w:pPr>
              <w:rPr>
                <w:rFonts w:ascii="Arial"/>
                <w:sz w:val="21"/>
              </w:rPr>
            </w:pPr>
          </w:p>
        </w:tc>
        <w:tc>
          <w:tcPr>
            <w:tcW w:w="1348" w:type="dxa"/>
            <w:vAlign w:val="top"/>
          </w:tcPr>
          <w:p w14:paraId="7E1502C6">
            <w:pPr>
              <w:rPr>
                <w:rFonts w:ascii="Arial"/>
                <w:sz w:val="21"/>
              </w:rPr>
            </w:pPr>
          </w:p>
        </w:tc>
        <w:tc>
          <w:tcPr>
            <w:tcW w:w="1414" w:type="dxa"/>
            <w:vAlign w:val="top"/>
          </w:tcPr>
          <w:p w14:paraId="1C5FA3C9">
            <w:pPr>
              <w:rPr>
                <w:rFonts w:ascii="Arial"/>
                <w:sz w:val="21"/>
              </w:rPr>
            </w:pPr>
          </w:p>
        </w:tc>
        <w:tc>
          <w:tcPr>
            <w:tcW w:w="1710" w:type="dxa"/>
            <w:tcBorders>
              <w:right w:val="single" w:color="000000" w:sz="10" w:space="0"/>
            </w:tcBorders>
            <w:vAlign w:val="top"/>
          </w:tcPr>
          <w:p w14:paraId="1211D0F5">
            <w:pPr>
              <w:rPr>
                <w:rFonts w:ascii="Arial"/>
                <w:sz w:val="21"/>
              </w:rPr>
            </w:pPr>
          </w:p>
        </w:tc>
      </w:tr>
      <w:tr w14:paraId="49CAA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1A2F3578">
            <w:pPr>
              <w:rPr>
                <w:rFonts w:ascii="Arial"/>
                <w:sz w:val="21"/>
              </w:rPr>
            </w:pPr>
          </w:p>
        </w:tc>
        <w:tc>
          <w:tcPr>
            <w:tcW w:w="1978" w:type="dxa"/>
            <w:vAlign w:val="top"/>
          </w:tcPr>
          <w:p w14:paraId="602F21DD">
            <w:pPr>
              <w:rPr>
                <w:rFonts w:ascii="Arial"/>
                <w:sz w:val="21"/>
              </w:rPr>
            </w:pPr>
          </w:p>
        </w:tc>
        <w:tc>
          <w:tcPr>
            <w:tcW w:w="849" w:type="dxa"/>
            <w:vAlign w:val="top"/>
          </w:tcPr>
          <w:p w14:paraId="25EA98D5">
            <w:pPr>
              <w:rPr>
                <w:rFonts w:ascii="Arial"/>
                <w:sz w:val="21"/>
              </w:rPr>
            </w:pPr>
          </w:p>
        </w:tc>
        <w:tc>
          <w:tcPr>
            <w:tcW w:w="772" w:type="dxa"/>
            <w:vAlign w:val="top"/>
          </w:tcPr>
          <w:p w14:paraId="3332BEFF">
            <w:pPr>
              <w:rPr>
                <w:rFonts w:ascii="Arial"/>
                <w:sz w:val="21"/>
              </w:rPr>
            </w:pPr>
          </w:p>
        </w:tc>
        <w:tc>
          <w:tcPr>
            <w:tcW w:w="1348" w:type="dxa"/>
            <w:vAlign w:val="top"/>
          </w:tcPr>
          <w:p w14:paraId="60E783A1">
            <w:pPr>
              <w:rPr>
                <w:rFonts w:ascii="Arial"/>
                <w:sz w:val="21"/>
              </w:rPr>
            </w:pPr>
          </w:p>
        </w:tc>
        <w:tc>
          <w:tcPr>
            <w:tcW w:w="1414" w:type="dxa"/>
            <w:vAlign w:val="top"/>
          </w:tcPr>
          <w:p w14:paraId="43AFC3A7">
            <w:pPr>
              <w:rPr>
                <w:rFonts w:ascii="Arial"/>
                <w:sz w:val="21"/>
              </w:rPr>
            </w:pPr>
          </w:p>
        </w:tc>
        <w:tc>
          <w:tcPr>
            <w:tcW w:w="1710" w:type="dxa"/>
            <w:tcBorders>
              <w:right w:val="single" w:color="000000" w:sz="10" w:space="0"/>
            </w:tcBorders>
            <w:vAlign w:val="top"/>
          </w:tcPr>
          <w:p w14:paraId="7FE3D815">
            <w:pPr>
              <w:rPr>
                <w:rFonts w:ascii="Arial"/>
                <w:sz w:val="21"/>
              </w:rPr>
            </w:pPr>
          </w:p>
        </w:tc>
      </w:tr>
      <w:tr w14:paraId="420CF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2E921709">
            <w:pPr>
              <w:rPr>
                <w:rFonts w:ascii="Arial"/>
                <w:sz w:val="21"/>
              </w:rPr>
            </w:pPr>
          </w:p>
        </w:tc>
        <w:tc>
          <w:tcPr>
            <w:tcW w:w="1978" w:type="dxa"/>
            <w:vAlign w:val="top"/>
          </w:tcPr>
          <w:p w14:paraId="433C17F1">
            <w:pPr>
              <w:rPr>
                <w:rFonts w:ascii="Arial"/>
                <w:sz w:val="21"/>
              </w:rPr>
            </w:pPr>
          </w:p>
        </w:tc>
        <w:tc>
          <w:tcPr>
            <w:tcW w:w="849" w:type="dxa"/>
            <w:vAlign w:val="top"/>
          </w:tcPr>
          <w:p w14:paraId="4D739AA6">
            <w:pPr>
              <w:rPr>
                <w:rFonts w:ascii="Arial"/>
                <w:sz w:val="21"/>
              </w:rPr>
            </w:pPr>
          </w:p>
        </w:tc>
        <w:tc>
          <w:tcPr>
            <w:tcW w:w="772" w:type="dxa"/>
            <w:vAlign w:val="top"/>
          </w:tcPr>
          <w:p w14:paraId="52BBABF1">
            <w:pPr>
              <w:rPr>
                <w:rFonts w:ascii="Arial"/>
                <w:sz w:val="21"/>
              </w:rPr>
            </w:pPr>
          </w:p>
        </w:tc>
        <w:tc>
          <w:tcPr>
            <w:tcW w:w="1348" w:type="dxa"/>
            <w:vAlign w:val="top"/>
          </w:tcPr>
          <w:p w14:paraId="54AD22E4">
            <w:pPr>
              <w:rPr>
                <w:rFonts w:ascii="Arial"/>
                <w:sz w:val="21"/>
              </w:rPr>
            </w:pPr>
          </w:p>
        </w:tc>
        <w:tc>
          <w:tcPr>
            <w:tcW w:w="1414" w:type="dxa"/>
            <w:vAlign w:val="top"/>
          </w:tcPr>
          <w:p w14:paraId="4F20E40A">
            <w:pPr>
              <w:rPr>
                <w:rFonts w:ascii="Arial"/>
                <w:sz w:val="21"/>
              </w:rPr>
            </w:pPr>
          </w:p>
        </w:tc>
        <w:tc>
          <w:tcPr>
            <w:tcW w:w="1710" w:type="dxa"/>
            <w:tcBorders>
              <w:right w:val="single" w:color="000000" w:sz="10" w:space="0"/>
            </w:tcBorders>
            <w:vAlign w:val="top"/>
          </w:tcPr>
          <w:p w14:paraId="7205DD1D">
            <w:pPr>
              <w:rPr>
                <w:rFonts w:ascii="Arial"/>
                <w:sz w:val="21"/>
              </w:rPr>
            </w:pPr>
          </w:p>
        </w:tc>
      </w:tr>
      <w:tr w14:paraId="3D5A9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42CCF580">
            <w:pPr>
              <w:rPr>
                <w:rFonts w:ascii="Arial"/>
                <w:sz w:val="21"/>
              </w:rPr>
            </w:pPr>
          </w:p>
        </w:tc>
        <w:tc>
          <w:tcPr>
            <w:tcW w:w="1978" w:type="dxa"/>
            <w:vAlign w:val="top"/>
          </w:tcPr>
          <w:p w14:paraId="52577EB1">
            <w:pPr>
              <w:rPr>
                <w:rFonts w:ascii="Arial"/>
                <w:sz w:val="21"/>
              </w:rPr>
            </w:pPr>
          </w:p>
        </w:tc>
        <w:tc>
          <w:tcPr>
            <w:tcW w:w="849" w:type="dxa"/>
            <w:vAlign w:val="top"/>
          </w:tcPr>
          <w:p w14:paraId="051DFB82">
            <w:pPr>
              <w:rPr>
                <w:rFonts w:ascii="Arial"/>
                <w:sz w:val="21"/>
              </w:rPr>
            </w:pPr>
          </w:p>
        </w:tc>
        <w:tc>
          <w:tcPr>
            <w:tcW w:w="772" w:type="dxa"/>
            <w:vAlign w:val="top"/>
          </w:tcPr>
          <w:p w14:paraId="6B7A5D38">
            <w:pPr>
              <w:rPr>
                <w:rFonts w:ascii="Arial"/>
                <w:sz w:val="21"/>
              </w:rPr>
            </w:pPr>
          </w:p>
        </w:tc>
        <w:tc>
          <w:tcPr>
            <w:tcW w:w="1348" w:type="dxa"/>
            <w:vAlign w:val="top"/>
          </w:tcPr>
          <w:p w14:paraId="16C716AE">
            <w:pPr>
              <w:rPr>
                <w:rFonts w:ascii="Arial"/>
                <w:sz w:val="21"/>
              </w:rPr>
            </w:pPr>
          </w:p>
        </w:tc>
        <w:tc>
          <w:tcPr>
            <w:tcW w:w="1414" w:type="dxa"/>
            <w:vAlign w:val="top"/>
          </w:tcPr>
          <w:p w14:paraId="2E51C8FD">
            <w:pPr>
              <w:rPr>
                <w:rFonts w:ascii="Arial"/>
                <w:sz w:val="21"/>
              </w:rPr>
            </w:pPr>
          </w:p>
        </w:tc>
        <w:tc>
          <w:tcPr>
            <w:tcW w:w="1710" w:type="dxa"/>
            <w:tcBorders>
              <w:right w:val="single" w:color="000000" w:sz="10" w:space="0"/>
            </w:tcBorders>
            <w:vAlign w:val="top"/>
          </w:tcPr>
          <w:p w14:paraId="137308E4">
            <w:pPr>
              <w:rPr>
                <w:rFonts w:ascii="Arial"/>
                <w:sz w:val="21"/>
              </w:rPr>
            </w:pPr>
          </w:p>
        </w:tc>
      </w:tr>
      <w:tr w14:paraId="6EEAD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540A1A4C">
            <w:pPr>
              <w:rPr>
                <w:rFonts w:ascii="Arial"/>
                <w:sz w:val="21"/>
              </w:rPr>
            </w:pPr>
          </w:p>
        </w:tc>
        <w:tc>
          <w:tcPr>
            <w:tcW w:w="1978" w:type="dxa"/>
            <w:vAlign w:val="top"/>
          </w:tcPr>
          <w:p w14:paraId="71CE4406">
            <w:pPr>
              <w:rPr>
                <w:rFonts w:ascii="Arial"/>
                <w:sz w:val="21"/>
              </w:rPr>
            </w:pPr>
          </w:p>
        </w:tc>
        <w:tc>
          <w:tcPr>
            <w:tcW w:w="849" w:type="dxa"/>
            <w:vAlign w:val="top"/>
          </w:tcPr>
          <w:p w14:paraId="56DFEC6E">
            <w:pPr>
              <w:rPr>
                <w:rFonts w:ascii="Arial"/>
                <w:sz w:val="21"/>
              </w:rPr>
            </w:pPr>
          </w:p>
        </w:tc>
        <w:tc>
          <w:tcPr>
            <w:tcW w:w="772" w:type="dxa"/>
            <w:vAlign w:val="top"/>
          </w:tcPr>
          <w:p w14:paraId="04F56387">
            <w:pPr>
              <w:rPr>
                <w:rFonts w:ascii="Arial"/>
                <w:sz w:val="21"/>
              </w:rPr>
            </w:pPr>
          </w:p>
        </w:tc>
        <w:tc>
          <w:tcPr>
            <w:tcW w:w="1348" w:type="dxa"/>
            <w:vAlign w:val="top"/>
          </w:tcPr>
          <w:p w14:paraId="0623A9E8">
            <w:pPr>
              <w:rPr>
                <w:rFonts w:ascii="Arial"/>
                <w:sz w:val="21"/>
              </w:rPr>
            </w:pPr>
          </w:p>
        </w:tc>
        <w:tc>
          <w:tcPr>
            <w:tcW w:w="1414" w:type="dxa"/>
            <w:vAlign w:val="top"/>
          </w:tcPr>
          <w:p w14:paraId="64972A5B">
            <w:pPr>
              <w:rPr>
                <w:rFonts w:ascii="Arial"/>
                <w:sz w:val="21"/>
              </w:rPr>
            </w:pPr>
          </w:p>
        </w:tc>
        <w:tc>
          <w:tcPr>
            <w:tcW w:w="1710" w:type="dxa"/>
            <w:tcBorders>
              <w:right w:val="single" w:color="000000" w:sz="10" w:space="0"/>
            </w:tcBorders>
            <w:vAlign w:val="top"/>
          </w:tcPr>
          <w:p w14:paraId="6D7F7F4F">
            <w:pPr>
              <w:rPr>
                <w:rFonts w:ascii="Arial"/>
                <w:sz w:val="21"/>
              </w:rPr>
            </w:pPr>
          </w:p>
        </w:tc>
      </w:tr>
      <w:tr w14:paraId="78B75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72031FD3">
            <w:pPr>
              <w:rPr>
                <w:rFonts w:ascii="Arial"/>
                <w:sz w:val="21"/>
              </w:rPr>
            </w:pPr>
          </w:p>
        </w:tc>
        <w:tc>
          <w:tcPr>
            <w:tcW w:w="1978" w:type="dxa"/>
            <w:vAlign w:val="top"/>
          </w:tcPr>
          <w:p w14:paraId="64ED3913">
            <w:pPr>
              <w:rPr>
                <w:rFonts w:ascii="Arial"/>
                <w:sz w:val="21"/>
              </w:rPr>
            </w:pPr>
          </w:p>
        </w:tc>
        <w:tc>
          <w:tcPr>
            <w:tcW w:w="849" w:type="dxa"/>
            <w:vAlign w:val="top"/>
          </w:tcPr>
          <w:p w14:paraId="3B901DE3">
            <w:pPr>
              <w:rPr>
                <w:rFonts w:ascii="Arial"/>
                <w:sz w:val="21"/>
              </w:rPr>
            </w:pPr>
          </w:p>
        </w:tc>
        <w:tc>
          <w:tcPr>
            <w:tcW w:w="772" w:type="dxa"/>
            <w:vAlign w:val="top"/>
          </w:tcPr>
          <w:p w14:paraId="6E95246E">
            <w:pPr>
              <w:rPr>
                <w:rFonts w:ascii="Arial"/>
                <w:sz w:val="21"/>
              </w:rPr>
            </w:pPr>
          </w:p>
        </w:tc>
        <w:tc>
          <w:tcPr>
            <w:tcW w:w="1348" w:type="dxa"/>
            <w:vAlign w:val="top"/>
          </w:tcPr>
          <w:p w14:paraId="1FE8D5A9">
            <w:pPr>
              <w:rPr>
                <w:rFonts w:ascii="Arial"/>
                <w:sz w:val="21"/>
              </w:rPr>
            </w:pPr>
          </w:p>
        </w:tc>
        <w:tc>
          <w:tcPr>
            <w:tcW w:w="1414" w:type="dxa"/>
            <w:vAlign w:val="top"/>
          </w:tcPr>
          <w:p w14:paraId="0FEB2FAF">
            <w:pPr>
              <w:rPr>
                <w:rFonts w:ascii="Arial"/>
                <w:sz w:val="21"/>
              </w:rPr>
            </w:pPr>
          </w:p>
        </w:tc>
        <w:tc>
          <w:tcPr>
            <w:tcW w:w="1710" w:type="dxa"/>
            <w:tcBorders>
              <w:right w:val="single" w:color="000000" w:sz="10" w:space="0"/>
            </w:tcBorders>
            <w:vAlign w:val="top"/>
          </w:tcPr>
          <w:p w14:paraId="1E8D054A">
            <w:pPr>
              <w:rPr>
                <w:rFonts w:ascii="Arial"/>
                <w:sz w:val="21"/>
              </w:rPr>
            </w:pPr>
          </w:p>
        </w:tc>
      </w:tr>
      <w:tr w14:paraId="7BBB8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2C0D4E9C">
            <w:pPr>
              <w:rPr>
                <w:rFonts w:ascii="Arial"/>
                <w:sz w:val="21"/>
              </w:rPr>
            </w:pPr>
          </w:p>
        </w:tc>
        <w:tc>
          <w:tcPr>
            <w:tcW w:w="1978" w:type="dxa"/>
            <w:vAlign w:val="top"/>
          </w:tcPr>
          <w:p w14:paraId="289AC1BB">
            <w:pPr>
              <w:rPr>
                <w:rFonts w:ascii="Arial"/>
                <w:sz w:val="21"/>
              </w:rPr>
            </w:pPr>
          </w:p>
        </w:tc>
        <w:tc>
          <w:tcPr>
            <w:tcW w:w="849" w:type="dxa"/>
            <w:vAlign w:val="top"/>
          </w:tcPr>
          <w:p w14:paraId="0435FE8C">
            <w:pPr>
              <w:rPr>
                <w:rFonts w:ascii="Arial"/>
                <w:sz w:val="21"/>
              </w:rPr>
            </w:pPr>
          </w:p>
        </w:tc>
        <w:tc>
          <w:tcPr>
            <w:tcW w:w="772" w:type="dxa"/>
            <w:vAlign w:val="top"/>
          </w:tcPr>
          <w:p w14:paraId="083FAC14">
            <w:pPr>
              <w:rPr>
                <w:rFonts w:ascii="Arial"/>
                <w:sz w:val="21"/>
              </w:rPr>
            </w:pPr>
          </w:p>
        </w:tc>
        <w:tc>
          <w:tcPr>
            <w:tcW w:w="1348" w:type="dxa"/>
            <w:vAlign w:val="top"/>
          </w:tcPr>
          <w:p w14:paraId="7C8C2AC4">
            <w:pPr>
              <w:rPr>
                <w:rFonts w:ascii="Arial"/>
                <w:sz w:val="21"/>
              </w:rPr>
            </w:pPr>
          </w:p>
        </w:tc>
        <w:tc>
          <w:tcPr>
            <w:tcW w:w="1414" w:type="dxa"/>
            <w:vAlign w:val="top"/>
          </w:tcPr>
          <w:p w14:paraId="52E26171">
            <w:pPr>
              <w:rPr>
                <w:rFonts w:ascii="Arial"/>
                <w:sz w:val="21"/>
              </w:rPr>
            </w:pPr>
          </w:p>
        </w:tc>
        <w:tc>
          <w:tcPr>
            <w:tcW w:w="1710" w:type="dxa"/>
            <w:tcBorders>
              <w:right w:val="single" w:color="000000" w:sz="10" w:space="0"/>
            </w:tcBorders>
            <w:vAlign w:val="top"/>
          </w:tcPr>
          <w:p w14:paraId="47330E61">
            <w:pPr>
              <w:rPr>
                <w:rFonts w:ascii="Arial"/>
                <w:sz w:val="21"/>
              </w:rPr>
            </w:pPr>
          </w:p>
        </w:tc>
      </w:tr>
      <w:tr w14:paraId="69161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64EDA1EF">
            <w:pPr>
              <w:rPr>
                <w:rFonts w:ascii="Arial"/>
                <w:sz w:val="21"/>
              </w:rPr>
            </w:pPr>
          </w:p>
        </w:tc>
        <w:tc>
          <w:tcPr>
            <w:tcW w:w="1978" w:type="dxa"/>
            <w:vAlign w:val="top"/>
          </w:tcPr>
          <w:p w14:paraId="0BDC9493">
            <w:pPr>
              <w:rPr>
                <w:rFonts w:ascii="Arial"/>
                <w:sz w:val="21"/>
              </w:rPr>
            </w:pPr>
          </w:p>
        </w:tc>
        <w:tc>
          <w:tcPr>
            <w:tcW w:w="849" w:type="dxa"/>
            <w:vAlign w:val="top"/>
          </w:tcPr>
          <w:p w14:paraId="7A342539">
            <w:pPr>
              <w:rPr>
                <w:rFonts w:ascii="Arial"/>
                <w:sz w:val="21"/>
              </w:rPr>
            </w:pPr>
          </w:p>
        </w:tc>
        <w:tc>
          <w:tcPr>
            <w:tcW w:w="772" w:type="dxa"/>
            <w:vAlign w:val="top"/>
          </w:tcPr>
          <w:p w14:paraId="22B7597C">
            <w:pPr>
              <w:rPr>
                <w:rFonts w:ascii="Arial"/>
                <w:sz w:val="21"/>
              </w:rPr>
            </w:pPr>
          </w:p>
        </w:tc>
        <w:tc>
          <w:tcPr>
            <w:tcW w:w="1348" w:type="dxa"/>
            <w:vAlign w:val="top"/>
          </w:tcPr>
          <w:p w14:paraId="44A32AAC">
            <w:pPr>
              <w:rPr>
                <w:rFonts w:ascii="Arial"/>
                <w:sz w:val="21"/>
              </w:rPr>
            </w:pPr>
          </w:p>
        </w:tc>
        <w:tc>
          <w:tcPr>
            <w:tcW w:w="1414" w:type="dxa"/>
            <w:vAlign w:val="top"/>
          </w:tcPr>
          <w:p w14:paraId="3FB57E0E">
            <w:pPr>
              <w:rPr>
                <w:rFonts w:ascii="Arial"/>
                <w:sz w:val="21"/>
              </w:rPr>
            </w:pPr>
          </w:p>
        </w:tc>
        <w:tc>
          <w:tcPr>
            <w:tcW w:w="1710" w:type="dxa"/>
            <w:tcBorders>
              <w:right w:val="single" w:color="000000" w:sz="10" w:space="0"/>
            </w:tcBorders>
            <w:vAlign w:val="top"/>
          </w:tcPr>
          <w:p w14:paraId="06E2EC75">
            <w:pPr>
              <w:rPr>
                <w:rFonts w:ascii="Arial"/>
                <w:sz w:val="21"/>
              </w:rPr>
            </w:pPr>
          </w:p>
        </w:tc>
      </w:tr>
      <w:tr w14:paraId="131131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6E27518F">
            <w:pPr>
              <w:rPr>
                <w:rFonts w:ascii="Arial"/>
                <w:sz w:val="21"/>
              </w:rPr>
            </w:pPr>
          </w:p>
        </w:tc>
        <w:tc>
          <w:tcPr>
            <w:tcW w:w="1978" w:type="dxa"/>
            <w:vAlign w:val="top"/>
          </w:tcPr>
          <w:p w14:paraId="0347344B">
            <w:pPr>
              <w:rPr>
                <w:rFonts w:ascii="Arial"/>
                <w:sz w:val="21"/>
              </w:rPr>
            </w:pPr>
          </w:p>
        </w:tc>
        <w:tc>
          <w:tcPr>
            <w:tcW w:w="849" w:type="dxa"/>
            <w:vAlign w:val="top"/>
          </w:tcPr>
          <w:p w14:paraId="139C8216">
            <w:pPr>
              <w:rPr>
                <w:rFonts w:ascii="Arial"/>
                <w:sz w:val="21"/>
              </w:rPr>
            </w:pPr>
          </w:p>
        </w:tc>
        <w:tc>
          <w:tcPr>
            <w:tcW w:w="772" w:type="dxa"/>
            <w:vAlign w:val="top"/>
          </w:tcPr>
          <w:p w14:paraId="7C02F4AA">
            <w:pPr>
              <w:rPr>
                <w:rFonts w:ascii="Arial"/>
                <w:sz w:val="21"/>
              </w:rPr>
            </w:pPr>
          </w:p>
        </w:tc>
        <w:tc>
          <w:tcPr>
            <w:tcW w:w="1348" w:type="dxa"/>
            <w:vAlign w:val="top"/>
          </w:tcPr>
          <w:p w14:paraId="1FF5AD27">
            <w:pPr>
              <w:rPr>
                <w:rFonts w:ascii="Arial"/>
                <w:sz w:val="21"/>
              </w:rPr>
            </w:pPr>
          </w:p>
        </w:tc>
        <w:tc>
          <w:tcPr>
            <w:tcW w:w="1414" w:type="dxa"/>
            <w:vAlign w:val="top"/>
          </w:tcPr>
          <w:p w14:paraId="57BAC29A">
            <w:pPr>
              <w:rPr>
                <w:rFonts w:ascii="Arial"/>
                <w:sz w:val="21"/>
              </w:rPr>
            </w:pPr>
          </w:p>
        </w:tc>
        <w:tc>
          <w:tcPr>
            <w:tcW w:w="1710" w:type="dxa"/>
            <w:tcBorders>
              <w:right w:val="single" w:color="000000" w:sz="10" w:space="0"/>
            </w:tcBorders>
            <w:vAlign w:val="top"/>
          </w:tcPr>
          <w:p w14:paraId="72B69B1D">
            <w:pPr>
              <w:rPr>
                <w:rFonts w:ascii="Arial"/>
                <w:sz w:val="21"/>
              </w:rPr>
            </w:pPr>
          </w:p>
        </w:tc>
      </w:tr>
      <w:tr w14:paraId="1399D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581CED8F">
            <w:pPr>
              <w:rPr>
                <w:rFonts w:ascii="Arial"/>
                <w:sz w:val="21"/>
              </w:rPr>
            </w:pPr>
          </w:p>
        </w:tc>
        <w:tc>
          <w:tcPr>
            <w:tcW w:w="1978" w:type="dxa"/>
            <w:vAlign w:val="top"/>
          </w:tcPr>
          <w:p w14:paraId="1B04F607">
            <w:pPr>
              <w:rPr>
                <w:rFonts w:ascii="Arial"/>
                <w:sz w:val="21"/>
              </w:rPr>
            </w:pPr>
          </w:p>
        </w:tc>
        <w:tc>
          <w:tcPr>
            <w:tcW w:w="849" w:type="dxa"/>
            <w:vAlign w:val="top"/>
          </w:tcPr>
          <w:p w14:paraId="50B81A9D">
            <w:pPr>
              <w:rPr>
                <w:rFonts w:ascii="Arial"/>
                <w:sz w:val="21"/>
              </w:rPr>
            </w:pPr>
          </w:p>
        </w:tc>
        <w:tc>
          <w:tcPr>
            <w:tcW w:w="772" w:type="dxa"/>
            <w:vAlign w:val="top"/>
          </w:tcPr>
          <w:p w14:paraId="2768F501">
            <w:pPr>
              <w:rPr>
                <w:rFonts w:ascii="Arial"/>
                <w:sz w:val="21"/>
              </w:rPr>
            </w:pPr>
          </w:p>
        </w:tc>
        <w:tc>
          <w:tcPr>
            <w:tcW w:w="1348" w:type="dxa"/>
            <w:vAlign w:val="top"/>
          </w:tcPr>
          <w:p w14:paraId="523247CC">
            <w:pPr>
              <w:rPr>
                <w:rFonts w:ascii="Arial"/>
                <w:sz w:val="21"/>
              </w:rPr>
            </w:pPr>
          </w:p>
        </w:tc>
        <w:tc>
          <w:tcPr>
            <w:tcW w:w="1414" w:type="dxa"/>
            <w:vAlign w:val="top"/>
          </w:tcPr>
          <w:p w14:paraId="2CFDFAB6">
            <w:pPr>
              <w:rPr>
                <w:rFonts w:ascii="Arial"/>
                <w:sz w:val="21"/>
              </w:rPr>
            </w:pPr>
          </w:p>
        </w:tc>
        <w:tc>
          <w:tcPr>
            <w:tcW w:w="1710" w:type="dxa"/>
            <w:tcBorders>
              <w:right w:val="single" w:color="000000" w:sz="10" w:space="0"/>
            </w:tcBorders>
            <w:vAlign w:val="top"/>
          </w:tcPr>
          <w:p w14:paraId="2FA31989">
            <w:pPr>
              <w:rPr>
                <w:rFonts w:ascii="Arial"/>
                <w:sz w:val="21"/>
              </w:rPr>
            </w:pPr>
          </w:p>
        </w:tc>
      </w:tr>
      <w:tr w14:paraId="3A3955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53FEC670">
            <w:pPr>
              <w:rPr>
                <w:rFonts w:ascii="Arial"/>
                <w:sz w:val="21"/>
              </w:rPr>
            </w:pPr>
          </w:p>
        </w:tc>
        <w:tc>
          <w:tcPr>
            <w:tcW w:w="1978" w:type="dxa"/>
            <w:vAlign w:val="top"/>
          </w:tcPr>
          <w:p w14:paraId="45014DB1">
            <w:pPr>
              <w:rPr>
                <w:rFonts w:ascii="Arial"/>
                <w:sz w:val="21"/>
              </w:rPr>
            </w:pPr>
          </w:p>
        </w:tc>
        <w:tc>
          <w:tcPr>
            <w:tcW w:w="849" w:type="dxa"/>
            <w:vAlign w:val="top"/>
          </w:tcPr>
          <w:p w14:paraId="717D72A6">
            <w:pPr>
              <w:rPr>
                <w:rFonts w:ascii="Arial"/>
                <w:sz w:val="21"/>
              </w:rPr>
            </w:pPr>
          </w:p>
        </w:tc>
        <w:tc>
          <w:tcPr>
            <w:tcW w:w="772" w:type="dxa"/>
            <w:vAlign w:val="top"/>
          </w:tcPr>
          <w:p w14:paraId="4B1F1746">
            <w:pPr>
              <w:rPr>
                <w:rFonts w:ascii="Arial"/>
                <w:sz w:val="21"/>
              </w:rPr>
            </w:pPr>
          </w:p>
        </w:tc>
        <w:tc>
          <w:tcPr>
            <w:tcW w:w="1348" w:type="dxa"/>
            <w:vAlign w:val="top"/>
          </w:tcPr>
          <w:p w14:paraId="646FC61A">
            <w:pPr>
              <w:rPr>
                <w:rFonts w:ascii="Arial"/>
                <w:sz w:val="21"/>
              </w:rPr>
            </w:pPr>
          </w:p>
        </w:tc>
        <w:tc>
          <w:tcPr>
            <w:tcW w:w="1414" w:type="dxa"/>
            <w:vAlign w:val="top"/>
          </w:tcPr>
          <w:p w14:paraId="158EC74A">
            <w:pPr>
              <w:rPr>
                <w:rFonts w:ascii="Arial"/>
                <w:sz w:val="21"/>
              </w:rPr>
            </w:pPr>
          </w:p>
        </w:tc>
        <w:tc>
          <w:tcPr>
            <w:tcW w:w="1710" w:type="dxa"/>
            <w:tcBorders>
              <w:right w:val="single" w:color="000000" w:sz="10" w:space="0"/>
            </w:tcBorders>
            <w:vAlign w:val="top"/>
          </w:tcPr>
          <w:p w14:paraId="0DB6DC03">
            <w:pPr>
              <w:rPr>
                <w:rFonts w:ascii="Arial"/>
                <w:sz w:val="21"/>
              </w:rPr>
            </w:pPr>
          </w:p>
        </w:tc>
      </w:tr>
      <w:tr w14:paraId="16782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7D56163A">
            <w:pPr>
              <w:rPr>
                <w:rFonts w:ascii="Arial"/>
                <w:sz w:val="21"/>
              </w:rPr>
            </w:pPr>
          </w:p>
        </w:tc>
        <w:tc>
          <w:tcPr>
            <w:tcW w:w="1978" w:type="dxa"/>
            <w:vAlign w:val="top"/>
          </w:tcPr>
          <w:p w14:paraId="5EFD5E4D">
            <w:pPr>
              <w:rPr>
                <w:rFonts w:ascii="Arial"/>
                <w:sz w:val="21"/>
              </w:rPr>
            </w:pPr>
          </w:p>
        </w:tc>
        <w:tc>
          <w:tcPr>
            <w:tcW w:w="849" w:type="dxa"/>
            <w:vAlign w:val="top"/>
          </w:tcPr>
          <w:p w14:paraId="5BDA8BB9">
            <w:pPr>
              <w:rPr>
                <w:rFonts w:ascii="Arial"/>
                <w:sz w:val="21"/>
              </w:rPr>
            </w:pPr>
          </w:p>
        </w:tc>
        <w:tc>
          <w:tcPr>
            <w:tcW w:w="772" w:type="dxa"/>
            <w:vAlign w:val="top"/>
          </w:tcPr>
          <w:p w14:paraId="430E9112">
            <w:pPr>
              <w:rPr>
                <w:rFonts w:ascii="Arial"/>
                <w:sz w:val="21"/>
              </w:rPr>
            </w:pPr>
          </w:p>
        </w:tc>
        <w:tc>
          <w:tcPr>
            <w:tcW w:w="1348" w:type="dxa"/>
            <w:vAlign w:val="top"/>
          </w:tcPr>
          <w:p w14:paraId="3035D7AE">
            <w:pPr>
              <w:rPr>
                <w:rFonts w:ascii="Arial"/>
                <w:sz w:val="21"/>
              </w:rPr>
            </w:pPr>
          </w:p>
        </w:tc>
        <w:tc>
          <w:tcPr>
            <w:tcW w:w="1414" w:type="dxa"/>
            <w:vAlign w:val="top"/>
          </w:tcPr>
          <w:p w14:paraId="71C10204">
            <w:pPr>
              <w:rPr>
                <w:rFonts w:ascii="Arial"/>
                <w:sz w:val="21"/>
              </w:rPr>
            </w:pPr>
          </w:p>
        </w:tc>
        <w:tc>
          <w:tcPr>
            <w:tcW w:w="1710" w:type="dxa"/>
            <w:tcBorders>
              <w:right w:val="single" w:color="000000" w:sz="10" w:space="0"/>
            </w:tcBorders>
            <w:vAlign w:val="top"/>
          </w:tcPr>
          <w:p w14:paraId="302C9DEC">
            <w:pPr>
              <w:rPr>
                <w:rFonts w:ascii="Arial"/>
                <w:sz w:val="21"/>
              </w:rPr>
            </w:pPr>
          </w:p>
        </w:tc>
      </w:tr>
      <w:tr w14:paraId="48D95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2FD16667">
            <w:pPr>
              <w:rPr>
                <w:rFonts w:ascii="Arial"/>
                <w:sz w:val="21"/>
              </w:rPr>
            </w:pPr>
          </w:p>
        </w:tc>
        <w:tc>
          <w:tcPr>
            <w:tcW w:w="1978" w:type="dxa"/>
            <w:vAlign w:val="top"/>
          </w:tcPr>
          <w:p w14:paraId="07CC57DC">
            <w:pPr>
              <w:rPr>
                <w:rFonts w:ascii="Arial"/>
                <w:sz w:val="21"/>
              </w:rPr>
            </w:pPr>
          </w:p>
        </w:tc>
        <w:tc>
          <w:tcPr>
            <w:tcW w:w="849" w:type="dxa"/>
            <w:vAlign w:val="top"/>
          </w:tcPr>
          <w:p w14:paraId="5E99B624">
            <w:pPr>
              <w:rPr>
                <w:rFonts w:ascii="Arial"/>
                <w:sz w:val="21"/>
              </w:rPr>
            </w:pPr>
          </w:p>
        </w:tc>
        <w:tc>
          <w:tcPr>
            <w:tcW w:w="772" w:type="dxa"/>
            <w:vAlign w:val="top"/>
          </w:tcPr>
          <w:p w14:paraId="5C67AF06">
            <w:pPr>
              <w:rPr>
                <w:rFonts w:ascii="Arial"/>
                <w:sz w:val="21"/>
              </w:rPr>
            </w:pPr>
          </w:p>
        </w:tc>
        <w:tc>
          <w:tcPr>
            <w:tcW w:w="1348" w:type="dxa"/>
            <w:vAlign w:val="top"/>
          </w:tcPr>
          <w:p w14:paraId="2D2DD103">
            <w:pPr>
              <w:rPr>
                <w:rFonts w:ascii="Arial"/>
                <w:sz w:val="21"/>
              </w:rPr>
            </w:pPr>
          </w:p>
        </w:tc>
        <w:tc>
          <w:tcPr>
            <w:tcW w:w="1414" w:type="dxa"/>
            <w:vAlign w:val="top"/>
          </w:tcPr>
          <w:p w14:paraId="7A72B34B">
            <w:pPr>
              <w:rPr>
                <w:rFonts w:ascii="Arial"/>
                <w:sz w:val="21"/>
              </w:rPr>
            </w:pPr>
          </w:p>
        </w:tc>
        <w:tc>
          <w:tcPr>
            <w:tcW w:w="1710" w:type="dxa"/>
            <w:tcBorders>
              <w:right w:val="single" w:color="000000" w:sz="10" w:space="0"/>
            </w:tcBorders>
            <w:vAlign w:val="top"/>
          </w:tcPr>
          <w:p w14:paraId="7C0689F1">
            <w:pPr>
              <w:rPr>
                <w:rFonts w:ascii="Arial"/>
                <w:sz w:val="21"/>
              </w:rPr>
            </w:pPr>
          </w:p>
        </w:tc>
      </w:tr>
      <w:tr w14:paraId="354E7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3F5F123D">
            <w:pPr>
              <w:rPr>
                <w:rFonts w:ascii="Arial"/>
                <w:sz w:val="21"/>
              </w:rPr>
            </w:pPr>
          </w:p>
        </w:tc>
        <w:tc>
          <w:tcPr>
            <w:tcW w:w="1978" w:type="dxa"/>
            <w:vAlign w:val="top"/>
          </w:tcPr>
          <w:p w14:paraId="69AFD51D">
            <w:pPr>
              <w:rPr>
                <w:rFonts w:ascii="Arial"/>
                <w:sz w:val="21"/>
              </w:rPr>
            </w:pPr>
          </w:p>
        </w:tc>
        <w:tc>
          <w:tcPr>
            <w:tcW w:w="849" w:type="dxa"/>
            <w:vAlign w:val="top"/>
          </w:tcPr>
          <w:p w14:paraId="30733C86">
            <w:pPr>
              <w:rPr>
                <w:rFonts w:ascii="Arial"/>
                <w:sz w:val="21"/>
              </w:rPr>
            </w:pPr>
          </w:p>
        </w:tc>
        <w:tc>
          <w:tcPr>
            <w:tcW w:w="772" w:type="dxa"/>
            <w:vAlign w:val="top"/>
          </w:tcPr>
          <w:p w14:paraId="143D7F80">
            <w:pPr>
              <w:rPr>
                <w:rFonts w:ascii="Arial"/>
                <w:sz w:val="21"/>
              </w:rPr>
            </w:pPr>
          </w:p>
        </w:tc>
        <w:tc>
          <w:tcPr>
            <w:tcW w:w="1348" w:type="dxa"/>
            <w:vAlign w:val="top"/>
          </w:tcPr>
          <w:p w14:paraId="1BAE5822">
            <w:pPr>
              <w:rPr>
                <w:rFonts w:ascii="Arial"/>
                <w:sz w:val="21"/>
              </w:rPr>
            </w:pPr>
          </w:p>
        </w:tc>
        <w:tc>
          <w:tcPr>
            <w:tcW w:w="1414" w:type="dxa"/>
            <w:vAlign w:val="top"/>
          </w:tcPr>
          <w:p w14:paraId="4D1B2B62">
            <w:pPr>
              <w:rPr>
                <w:rFonts w:ascii="Arial"/>
                <w:sz w:val="21"/>
              </w:rPr>
            </w:pPr>
          </w:p>
        </w:tc>
        <w:tc>
          <w:tcPr>
            <w:tcW w:w="1710" w:type="dxa"/>
            <w:tcBorders>
              <w:right w:val="single" w:color="000000" w:sz="10" w:space="0"/>
            </w:tcBorders>
            <w:vAlign w:val="top"/>
          </w:tcPr>
          <w:p w14:paraId="127A4B5A">
            <w:pPr>
              <w:rPr>
                <w:rFonts w:ascii="Arial"/>
                <w:sz w:val="21"/>
              </w:rPr>
            </w:pPr>
          </w:p>
        </w:tc>
      </w:tr>
      <w:tr w14:paraId="5A86F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753E5FD7">
            <w:pPr>
              <w:rPr>
                <w:rFonts w:ascii="Arial"/>
                <w:sz w:val="21"/>
              </w:rPr>
            </w:pPr>
          </w:p>
        </w:tc>
        <w:tc>
          <w:tcPr>
            <w:tcW w:w="1978" w:type="dxa"/>
            <w:vAlign w:val="top"/>
          </w:tcPr>
          <w:p w14:paraId="75651EE8">
            <w:pPr>
              <w:rPr>
                <w:rFonts w:ascii="Arial"/>
                <w:sz w:val="21"/>
              </w:rPr>
            </w:pPr>
          </w:p>
        </w:tc>
        <w:tc>
          <w:tcPr>
            <w:tcW w:w="849" w:type="dxa"/>
            <w:vAlign w:val="top"/>
          </w:tcPr>
          <w:p w14:paraId="12C4E838">
            <w:pPr>
              <w:rPr>
                <w:rFonts w:ascii="Arial"/>
                <w:sz w:val="21"/>
              </w:rPr>
            </w:pPr>
          </w:p>
        </w:tc>
        <w:tc>
          <w:tcPr>
            <w:tcW w:w="772" w:type="dxa"/>
            <w:vAlign w:val="top"/>
          </w:tcPr>
          <w:p w14:paraId="4D3AE5DA">
            <w:pPr>
              <w:rPr>
                <w:rFonts w:ascii="Arial"/>
                <w:sz w:val="21"/>
              </w:rPr>
            </w:pPr>
          </w:p>
        </w:tc>
        <w:tc>
          <w:tcPr>
            <w:tcW w:w="1348" w:type="dxa"/>
            <w:vAlign w:val="top"/>
          </w:tcPr>
          <w:p w14:paraId="72CC8F50">
            <w:pPr>
              <w:rPr>
                <w:rFonts w:ascii="Arial"/>
                <w:sz w:val="21"/>
              </w:rPr>
            </w:pPr>
          </w:p>
        </w:tc>
        <w:tc>
          <w:tcPr>
            <w:tcW w:w="1414" w:type="dxa"/>
            <w:vAlign w:val="top"/>
          </w:tcPr>
          <w:p w14:paraId="2A285815">
            <w:pPr>
              <w:rPr>
                <w:rFonts w:ascii="Arial"/>
                <w:sz w:val="21"/>
              </w:rPr>
            </w:pPr>
          </w:p>
        </w:tc>
        <w:tc>
          <w:tcPr>
            <w:tcW w:w="1710" w:type="dxa"/>
            <w:tcBorders>
              <w:right w:val="single" w:color="000000" w:sz="10" w:space="0"/>
            </w:tcBorders>
            <w:vAlign w:val="top"/>
          </w:tcPr>
          <w:p w14:paraId="54AAEC7F">
            <w:pPr>
              <w:rPr>
                <w:rFonts w:ascii="Arial"/>
                <w:sz w:val="21"/>
              </w:rPr>
            </w:pPr>
          </w:p>
        </w:tc>
      </w:tr>
      <w:tr w14:paraId="34ECD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0667809A">
            <w:pPr>
              <w:rPr>
                <w:rFonts w:ascii="Arial"/>
                <w:sz w:val="21"/>
              </w:rPr>
            </w:pPr>
          </w:p>
        </w:tc>
        <w:tc>
          <w:tcPr>
            <w:tcW w:w="1978" w:type="dxa"/>
            <w:vAlign w:val="top"/>
          </w:tcPr>
          <w:p w14:paraId="7720AE54">
            <w:pPr>
              <w:rPr>
                <w:rFonts w:ascii="Arial"/>
                <w:sz w:val="21"/>
              </w:rPr>
            </w:pPr>
          </w:p>
        </w:tc>
        <w:tc>
          <w:tcPr>
            <w:tcW w:w="849" w:type="dxa"/>
            <w:vAlign w:val="top"/>
          </w:tcPr>
          <w:p w14:paraId="75DE61FF">
            <w:pPr>
              <w:rPr>
                <w:rFonts w:ascii="Arial"/>
                <w:sz w:val="21"/>
              </w:rPr>
            </w:pPr>
          </w:p>
        </w:tc>
        <w:tc>
          <w:tcPr>
            <w:tcW w:w="772" w:type="dxa"/>
            <w:vAlign w:val="top"/>
          </w:tcPr>
          <w:p w14:paraId="653989DF">
            <w:pPr>
              <w:rPr>
                <w:rFonts w:ascii="Arial"/>
                <w:sz w:val="21"/>
              </w:rPr>
            </w:pPr>
          </w:p>
        </w:tc>
        <w:tc>
          <w:tcPr>
            <w:tcW w:w="1348" w:type="dxa"/>
            <w:vAlign w:val="top"/>
          </w:tcPr>
          <w:p w14:paraId="23B7A06D">
            <w:pPr>
              <w:rPr>
                <w:rFonts w:ascii="Arial"/>
                <w:sz w:val="21"/>
              </w:rPr>
            </w:pPr>
          </w:p>
        </w:tc>
        <w:tc>
          <w:tcPr>
            <w:tcW w:w="1414" w:type="dxa"/>
            <w:vAlign w:val="top"/>
          </w:tcPr>
          <w:p w14:paraId="19ACFCB8">
            <w:pPr>
              <w:rPr>
                <w:rFonts w:ascii="Arial"/>
                <w:sz w:val="21"/>
              </w:rPr>
            </w:pPr>
          </w:p>
        </w:tc>
        <w:tc>
          <w:tcPr>
            <w:tcW w:w="1710" w:type="dxa"/>
            <w:tcBorders>
              <w:right w:val="single" w:color="000000" w:sz="10" w:space="0"/>
            </w:tcBorders>
            <w:vAlign w:val="top"/>
          </w:tcPr>
          <w:p w14:paraId="0A8B8FEA">
            <w:pPr>
              <w:rPr>
                <w:rFonts w:ascii="Arial"/>
                <w:sz w:val="21"/>
              </w:rPr>
            </w:pPr>
          </w:p>
        </w:tc>
      </w:tr>
      <w:tr w14:paraId="0FEDA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2ACC8E1A">
            <w:pPr>
              <w:rPr>
                <w:rFonts w:ascii="Arial"/>
                <w:sz w:val="21"/>
              </w:rPr>
            </w:pPr>
          </w:p>
        </w:tc>
        <w:tc>
          <w:tcPr>
            <w:tcW w:w="1978" w:type="dxa"/>
            <w:vAlign w:val="top"/>
          </w:tcPr>
          <w:p w14:paraId="78EA6C3B">
            <w:pPr>
              <w:rPr>
                <w:rFonts w:ascii="Arial"/>
                <w:sz w:val="21"/>
              </w:rPr>
            </w:pPr>
          </w:p>
        </w:tc>
        <w:tc>
          <w:tcPr>
            <w:tcW w:w="849" w:type="dxa"/>
            <w:vAlign w:val="top"/>
          </w:tcPr>
          <w:p w14:paraId="128198B1">
            <w:pPr>
              <w:rPr>
                <w:rFonts w:ascii="Arial"/>
                <w:sz w:val="21"/>
              </w:rPr>
            </w:pPr>
          </w:p>
        </w:tc>
        <w:tc>
          <w:tcPr>
            <w:tcW w:w="772" w:type="dxa"/>
            <w:vAlign w:val="top"/>
          </w:tcPr>
          <w:p w14:paraId="2B2AFF34">
            <w:pPr>
              <w:rPr>
                <w:rFonts w:ascii="Arial"/>
                <w:sz w:val="21"/>
              </w:rPr>
            </w:pPr>
          </w:p>
        </w:tc>
        <w:tc>
          <w:tcPr>
            <w:tcW w:w="1348" w:type="dxa"/>
            <w:vAlign w:val="top"/>
          </w:tcPr>
          <w:p w14:paraId="00E35AF2">
            <w:pPr>
              <w:rPr>
                <w:rFonts w:ascii="Arial"/>
                <w:sz w:val="21"/>
              </w:rPr>
            </w:pPr>
          </w:p>
        </w:tc>
        <w:tc>
          <w:tcPr>
            <w:tcW w:w="1414" w:type="dxa"/>
            <w:vAlign w:val="top"/>
          </w:tcPr>
          <w:p w14:paraId="0BACAFAE">
            <w:pPr>
              <w:rPr>
                <w:rFonts w:ascii="Arial"/>
                <w:sz w:val="21"/>
              </w:rPr>
            </w:pPr>
          </w:p>
        </w:tc>
        <w:tc>
          <w:tcPr>
            <w:tcW w:w="1710" w:type="dxa"/>
            <w:tcBorders>
              <w:right w:val="single" w:color="000000" w:sz="10" w:space="0"/>
            </w:tcBorders>
            <w:vAlign w:val="top"/>
          </w:tcPr>
          <w:p w14:paraId="3720DAD8">
            <w:pPr>
              <w:rPr>
                <w:rFonts w:ascii="Arial"/>
                <w:sz w:val="21"/>
              </w:rPr>
            </w:pPr>
          </w:p>
        </w:tc>
      </w:tr>
      <w:tr w14:paraId="74C65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0E63159D">
            <w:pPr>
              <w:rPr>
                <w:rFonts w:ascii="Arial"/>
                <w:sz w:val="21"/>
              </w:rPr>
            </w:pPr>
          </w:p>
        </w:tc>
        <w:tc>
          <w:tcPr>
            <w:tcW w:w="1978" w:type="dxa"/>
            <w:vAlign w:val="top"/>
          </w:tcPr>
          <w:p w14:paraId="30F89BBC">
            <w:pPr>
              <w:rPr>
                <w:rFonts w:ascii="Arial"/>
                <w:sz w:val="21"/>
              </w:rPr>
            </w:pPr>
          </w:p>
        </w:tc>
        <w:tc>
          <w:tcPr>
            <w:tcW w:w="849" w:type="dxa"/>
            <w:vAlign w:val="top"/>
          </w:tcPr>
          <w:p w14:paraId="3DA20B0E">
            <w:pPr>
              <w:rPr>
                <w:rFonts w:ascii="Arial"/>
                <w:sz w:val="21"/>
              </w:rPr>
            </w:pPr>
          </w:p>
        </w:tc>
        <w:tc>
          <w:tcPr>
            <w:tcW w:w="772" w:type="dxa"/>
            <w:vAlign w:val="top"/>
          </w:tcPr>
          <w:p w14:paraId="44D6FAFE">
            <w:pPr>
              <w:rPr>
                <w:rFonts w:ascii="Arial"/>
                <w:sz w:val="21"/>
              </w:rPr>
            </w:pPr>
          </w:p>
        </w:tc>
        <w:tc>
          <w:tcPr>
            <w:tcW w:w="1348" w:type="dxa"/>
            <w:vAlign w:val="top"/>
          </w:tcPr>
          <w:p w14:paraId="21168234">
            <w:pPr>
              <w:rPr>
                <w:rFonts w:ascii="Arial"/>
                <w:sz w:val="21"/>
              </w:rPr>
            </w:pPr>
          </w:p>
        </w:tc>
        <w:tc>
          <w:tcPr>
            <w:tcW w:w="1414" w:type="dxa"/>
            <w:vAlign w:val="top"/>
          </w:tcPr>
          <w:p w14:paraId="1B4B15E3">
            <w:pPr>
              <w:rPr>
                <w:rFonts w:ascii="Arial"/>
                <w:sz w:val="21"/>
              </w:rPr>
            </w:pPr>
          </w:p>
        </w:tc>
        <w:tc>
          <w:tcPr>
            <w:tcW w:w="1710" w:type="dxa"/>
            <w:tcBorders>
              <w:right w:val="single" w:color="000000" w:sz="10" w:space="0"/>
            </w:tcBorders>
            <w:vAlign w:val="top"/>
          </w:tcPr>
          <w:p w14:paraId="214A4E9D">
            <w:pPr>
              <w:rPr>
                <w:rFonts w:ascii="Arial"/>
                <w:sz w:val="21"/>
              </w:rPr>
            </w:pPr>
          </w:p>
        </w:tc>
      </w:tr>
      <w:tr w14:paraId="3ADF4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4870008D">
            <w:pPr>
              <w:rPr>
                <w:rFonts w:ascii="Arial"/>
                <w:sz w:val="21"/>
              </w:rPr>
            </w:pPr>
          </w:p>
        </w:tc>
        <w:tc>
          <w:tcPr>
            <w:tcW w:w="1978" w:type="dxa"/>
            <w:vAlign w:val="top"/>
          </w:tcPr>
          <w:p w14:paraId="1CC39B86">
            <w:pPr>
              <w:rPr>
                <w:rFonts w:ascii="Arial"/>
                <w:sz w:val="21"/>
              </w:rPr>
            </w:pPr>
          </w:p>
        </w:tc>
        <w:tc>
          <w:tcPr>
            <w:tcW w:w="849" w:type="dxa"/>
            <w:vAlign w:val="top"/>
          </w:tcPr>
          <w:p w14:paraId="6F84DE7F">
            <w:pPr>
              <w:rPr>
                <w:rFonts w:ascii="Arial"/>
                <w:sz w:val="21"/>
              </w:rPr>
            </w:pPr>
          </w:p>
        </w:tc>
        <w:tc>
          <w:tcPr>
            <w:tcW w:w="772" w:type="dxa"/>
            <w:vAlign w:val="top"/>
          </w:tcPr>
          <w:p w14:paraId="78DCF659">
            <w:pPr>
              <w:rPr>
                <w:rFonts w:ascii="Arial"/>
                <w:sz w:val="21"/>
              </w:rPr>
            </w:pPr>
          </w:p>
        </w:tc>
        <w:tc>
          <w:tcPr>
            <w:tcW w:w="1348" w:type="dxa"/>
            <w:vAlign w:val="top"/>
          </w:tcPr>
          <w:p w14:paraId="6A9E5DA9">
            <w:pPr>
              <w:rPr>
                <w:rFonts w:ascii="Arial"/>
                <w:sz w:val="21"/>
              </w:rPr>
            </w:pPr>
          </w:p>
        </w:tc>
        <w:tc>
          <w:tcPr>
            <w:tcW w:w="1414" w:type="dxa"/>
            <w:vAlign w:val="top"/>
          </w:tcPr>
          <w:p w14:paraId="3259AB5F">
            <w:pPr>
              <w:rPr>
                <w:rFonts w:ascii="Arial"/>
                <w:sz w:val="21"/>
              </w:rPr>
            </w:pPr>
          </w:p>
        </w:tc>
        <w:tc>
          <w:tcPr>
            <w:tcW w:w="1710" w:type="dxa"/>
            <w:tcBorders>
              <w:right w:val="single" w:color="000000" w:sz="10" w:space="0"/>
            </w:tcBorders>
            <w:vAlign w:val="top"/>
          </w:tcPr>
          <w:p w14:paraId="6D56A37B">
            <w:pPr>
              <w:rPr>
                <w:rFonts w:ascii="Arial"/>
                <w:sz w:val="21"/>
              </w:rPr>
            </w:pPr>
          </w:p>
        </w:tc>
      </w:tr>
      <w:tr w14:paraId="1D301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20D0F007">
            <w:pPr>
              <w:rPr>
                <w:rFonts w:ascii="Arial"/>
                <w:sz w:val="21"/>
              </w:rPr>
            </w:pPr>
          </w:p>
        </w:tc>
        <w:tc>
          <w:tcPr>
            <w:tcW w:w="1978" w:type="dxa"/>
            <w:vAlign w:val="top"/>
          </w:tcPr>
          <w:p w14:paraId="6968E93D">
            <w:pPr>
              <w:rPr>
                <w:rFonts w:ascii="Arial"/>
                <w:sz w:val="21"/>
              </w:rPr>
            </w:pPr>
          </w:p>
        </w:tc>
        <w:tc>
          <w:tcPr>
            <w:tcW w:w="849" w:type="dxa"/>
            <w:vAlign w:val="top"/>
          </w:tcPr>
          <w:p w14:paraId="5A189641">
            <w:pPr>
              <w:rPr>
                <w:rFonts w:ascii="Arial"/>
                <w:sz w:val="21"/>
              </w:rPr>
            </w:pPr>
          </w:p>
        </w:tc>
        <w:tc>
          <w:tcPr>
            <w:tcW w:w="772" w:type="dxa"/>
            <w:vAlign w:val="top"/>
          </w:tcPr>
          <w:p w14:paraId="1C0B2A3D">
            <w:pPr>
              <w:rPr>
                <w:rFonts w:ascii="Arial"/>
                <w:sz w:val="21"/>
              </w:rPr>
            </w:pPr>
          </w:p>
        </w:tc>
        <w:tc>
          <w:tcPr>
            <w:tcW w:w="1348" w:type="dxa"/>
            <w:vAlign w:val="top"/>
          </w:tcPr>
          <w:p w14:paraId="210EFE11">
            <w:pPr>
              <w:rPr>
                <w:rFonts w:ascii="Arial"/>
                <w:sz w:val="21"/>
              </w:rPr>
            </w:pPr>
          </w:p>
        </w:tc>
        <w:tc>
          <w:tcPr>
            <w:tcW w:w="1414" w:type="dxa"/>
            <w:vAlign w:val="top"/>
          </w:tcPr>
          <w:p w14:paraId="198F9B76">
            <w:pPr>
              <w:rPr>
                <w:rFonts w:ascii="Arial"/>
                <w:sz w:val="21"/>
              </w:rPr>
            </w:pPr>
          </w:p>
        </w:tc>
        <w:tc>
          <w:tcPr>
            <w:tcW w:w="1710" w:type="dxa"/>
            <w:tcBorders>
              <w:right w:val="single" w:color="000000" w:sz="10" w:space="0"/>
            </w:tcBorders>
            <w:vAlign w:val="top"/>
          </w:tcPr>
          <w:p w14:paraId="4E319D2A">
            <w:pPr>
              <w:rPr>
                <w:rFonts w:ascii="Arial"/>
                <w:sz w:val="21"/>
              </w:rPr>
            </w:pPr>
          </w:p>
        </w:tc>
      </w:tr>
      <w:tr w14:paraId="53311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26153AA4">
            <w:pPr>
              <w:rPr>
                <w:rFonts w:ascii="Arial"/>
                <w:sz w:val="21"/>
              </w:rPr>
            </w:pPr>
          </w:p>
        </w:tc>
        <w:tc>
          <w:tcPr>
            <w:tcW w:w="1978" w:type="dxa"/>
            <w:vAlign w:val="top"/>
          </w:tcPr>
          <w:p w14:paraId="231510D9">
            <w:pPr>
              <w:rPr>
                <w:rFonts w:ascii="Arial"/>
                <w:sz w:val="21"/>
              </w:rPr>
            </w:pPr>
          </w:p>
        </w:tc>
        <w:tc>
          <w:tcPr>
            <w:tcW w:w="849" w:type="dxa"/>
            <w:vAlign w:val="top"/>
          </w:tcPr>
          <w:p w14:paraId="6023C34F">
            <w:pPr>
              <w:rPr>
                <w:rFonts w:ascii="Arial"/>
                <w:sz w:val="21"/>
              </w:rPr>
            </w:pPr>
          </w:p>
        </w:tc>
        <w:tc>
          <w:tcPr>
            <w:tcW w:w="772" w:type="dxa"/>
            <w:vAlign w:val="top"/>
          </w:tcPr>
          <w:p w14:paraId="36CA53EC">
            <w:pPr>
              <w:rPr>
                <w:rFonts w:ascii="Arial"/>
                <w:sz w:val="21"/>
              </w:rPr>
            </w:pPr>
          </w:p>
        </w:tc>
        <w:tc>
          <w:tcPr>
            <w:tcW w:w="1348" w:type="dxa"/>
            <w:vAlign w:val="top"/>
          </w:tcPr>
          <w:p w14:paraId="70977C05">
            <w:pPr>
              <w:rPr>
                <w:rFonts w:ascii="Arial"/>
                <w:sz w:val="21"/>
              </w:rPr>
            </w:pPr>
          </w:p>
        </w:tc>
        <w:tc>
          <w:tcPr>
            <w:tcW w:w="1414" w:type="dxa"/>
            <w:vAlign w:val="top"/>
          </w:tcPr>
          <w:p w14:paraId="495C7E75">
            <w:pPr>
              <w:rPr>
                <w:rFonts w:ascii="Arial"/>
                <w:sz w:val="21"/>
              </w:rPr>
            </w:pPr>
          </w:p>
        </w:tc>
        <w:tc>
          <w:tcPr>
            <w:tcW w:w="1710" w:type="dxa"/>
            <w:tcBorders>
              <w:right w:val="single" w:color="000000" w:sz="10" w:space="0"/>
            </w:tcBorders>
            <w:vAlign w:val="top"/>
          </w:tcPr>
          <w:p w14:paraId="0B6268B4">
            <w:pPr>
              <w:rPr>
                <w:rFonts w:ascii="Arial"/>
                <w:sz w:val="21"/>
              </w:rPr>
            </w:pPr>
          </w:p>
        </w:tc>
      </w:tr>
      <w:tr w14:paraId="36850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797" w:type="dxa"/>
            <w:tcBorders>
              <w:left w:val="single" w:color="000000" w:sz="10" w:space="0"/>
              <w:bottom w:val="single" w:color="000000" w:sz="10" w:space="0"/>
            </w:tcBorders>
            <w:vAlign w:val="top"/>
          </w:tcPr>
          <w:p w14:paraId="599B295C">
            <w:pPr>
              <w:rPr>
                <w:rFonts w:ascii="Arial"/>
                <w:sz w:val="21"/>
              </w:rPr>
            </w:pPr>
          </w:p>
        </w:tc>
        <w:tc>
          <w:tcPr>
            <w:tcW w:w="1978" w:type="dxa"/>
            <w:tcBorders>
              <w:bottom w:val="single" w:color="000000" w:sz="10" w:space="0"/>
            </w:tcBorders>
            <w:vAlign w:val="top"/>
          </w:tcPr>
          <w:p w14:paraId="31685CC5">
            <w:pPr>
              <w:rPr>
                <w:rFonts w:ascii="Arial"/>
                <w:sz w:val="21"/>
              </w:rPr>
            </w:pPr>
          </w:p>
        </w:tc>
        <w:tc>
          <w:tcPr>
            <w:tcW w:w="849" w:type="dxa"/>
            <w:tcBorders>
              <w:bottom w:val="single" w:color="000000" w:sz="10" w:space="0"/>
            </w:tcBorders>
            <w:vAlign w:val="top"/>
          </w:tcPr>
          <w:p w14:paraId="31DCBBDF">
            <w:pPr>
              <w:rPr>
                <w:rFonts w:ascii="Arial"/>
                <w:sz w:val="21"/>
              </w:rPr>
            </w:pPr>
          </w:p>
        </w:tc>
        <w:tc>
          <w:tcPr>
            <w:tcW w:w="772" w:type="dxa"/>
            <w:tcBorders>
              <w:bottom w:val="single" w:color="000000" w:sz="10" w:space="0"/>
            </w:tcBorders>
            <w:vAlign w:val="top"/>
          </w:tcPr>
          <w:p w14:paraId="2EA59E67">
            <w:pPr>
              <w:rPr>
                <w:rFonts w:ascii="Arial"/>
                <w:sz w:val="21"/>
              </w:rPr>
            </w:pPr>
          </w:p>
        </w:tc>
        <w:tc>
          <w:tcPr>
            <w:tcW w:w="1348" w:type="dxa"/>
            <w:tcBorders>
              <w:bottom w:val="single" w:color="000000" w:sz="10" w:space="0"/>
            </w:tcBorders>
            <w:vAlign w:val="top"/>
          </w:tcPr>
          <w:p w14:paraId="37A7DC34">
            <w:pPr>
              <w:rPr>
                <w:rFonts w:ascii="Arial"/>
                <w:sz w:val="21"/>
              </w:rPr>
            </w:pPr>
          </w:p>
        </w:tc>
        <w:tc>
          <w:tcPr>
            <w:tcW w:w="1414" w:type="dxa"/>
            <w:tcBorders>
              <w:bottom w:val="single" w:color="000000" w:sz="10" w:space="0"/>
            </w:tcBorders>
            <w:vAlign w:val="top"/>
          </w:tcPr>
          <w:p w14:paraId="65F0FB7D">
            <w:pPr>
              <w:rPr>
                <w:rFonts w:ascii="Arial"/>
                <w:sz w:val="21"/>
              </w:rPr>
            </w:pPr>
          </w:p>
        </w:tc>
        <w:tc>
          <w:tcPr>
            <w:tcW w:w="1710" w:type="dxa"/>
            <w:tcBorders>
              <w:bottom w:val="single" w:color="000000" w:sz="10" w:space="0"/>
              <w:right w:val="single" w:color="000000" w:sz="10" w:space="0"/>
            </w:tcBorders>
            <w:vAlign w:val="top"/>
          </w:tcPr>
          <w:p w14:paraId="06D99DB7">
            <w:pPr>
              <w:rPr>
                <w:rFonts w:ascii="Arial"/>
                <w:sz w:val="21"/>
              </w:rPr>
            </w:pPr>
          </w:p>
        </w:tc>
      </w:tr>
    </w:tbl>
    <w:p w14:paraId="0ED12684">
      <w:pPr>
        <w:rPr>
          <w:rFonts w:ascii="Arial"/>
          <w:sz w:val="21"/>
        </w:rPr>
      </w:pPr>
    </w:p>
    <w:p w14:paraId="311D687C">
      <w:pPr>
        <w:rPr>
          <w:rFonts w:ascii="Arial" w:hAnsi="Arial" w:eastAsia="Arial" w:cs="Arial"/>
          <w:sz w:val="21"/>
          <w:szCs w:val="21"/>
        </w:rPr>
        <w:sectPr>
          <w:footerReference r:id="rId434" w:type="default"/>
          <w:pgSz w:w="11907" w:h="16840"/>
          <w:pgMar w:top="400" w:right="1623" w:bottom="1105" w:left="1389" w:header="0" w:footer="943" w:gutter="0"/>
          <w:cols w:space="720" w:num="1"/>
        </w:sectPr>
      </w:pPr>
    </w:p>
    <w:p w14:paraId="067FD0F7">
      <w:pPr>
        <w:spacing w:line="272" w:lineRule="auto"/>
        <w:rPr>
          <w:rFonts w:ascii="Arial"/>
          <w:sz w:val="21"/>
        </w:rPr>
      </w:pPr>
    </w:p>
    <w:p w14:paraId="219B719A">
      <w:pPr>
        <w:spacing w:line="272" w:lineRule="auto"/>
        <w:rPr>
          <w:rFonts w:ascii="Arial"/>
          <w:sz w:val="21"/>
        </w:rPr>
      </w:pPr>
    </w:p>
    <w:p w14:paraId="57936CD8">
      <w:pPr>
        <w:spacing w:line="272" w:lineRule="auto"/>
        <w:rPr>
          <w:rFonts w:ascii="Arial"/>
          <w:sz w:val="21"/>
        </w:rPr>
      </w:pPr>
    </w:p>
    <w:p w14:paraId="423268A9">
      <w:pPr>
        <w:spacing w:line="272" w:lineRule="auto"/>
        <w:rPr>
          <w:rFonts w:ascii="Arial"/>
          <w:sz w:val="21"/>
        </w:rPr>
      </w:pPr>
    </w:p>
    <w:p w14:paraId="54CDA5DE">
      <w:pPr>
        <w:spacing w:line="273" w:lineRule="auto"/>
        <w:rPr>
          <w:rFonts w:ascii="Arial"/>
          <w:sz w:val="21"/>
        </w:rPr>
      </w:pPr>
    </w:p>
    <w:p w14:paraId="5144713C">
      <w:pPr>
        <w:spacing w:before="120" w:line="212" w:lineRule="auto"/>
        <w:ind w:left="2961"/>
        <w:rPr>
          <w:rFonts w:ascii="微软雅黑" w:hAnsi="微软雅黑" w:eastAsia="微软雅黑" w:cs="微软雅黑"/>
          <w:sz w:val="28"/>
          <w:szCs w:val="28"/>
        </w:rPr>
      </w:pPr>
      <w:r>
        <w:rPr>
          <w:rFonts w:ascii="Arial" w:hAnsi="Arial" w:eastAsia="Arial" w:cs="Arial"/>
          <w:sz w:val="28"/>
          <w:szCs w:val="28"/>
        </w:rPr>
        <w:t>11-2</w:t>
      </w:r>
      <w:r>
        <w:rPr>
          <w:rFonts w:ascii="微软雅黑" w:hAnsi="微软雅黑" w:eastAsia="微软雅黑" w:cs="微软雅黑"/>
          <w:sz w:val="28"/>
          <w:szCs w:val="28"/>
        </w:rPr>
        <w:t>：工程设备暂估价表</w:t>
      </w:r>
    </w:p>
    <w:p w14:paraId="798BE14C">
      <w:pPr>
        <w:spacing w:line="180" w:lineRule="exact"/>
      </w:pPr>
    </w:p>
    <w:tbl>
      <w:tblPr>
        <w:tblStyle w:val="5"/>
        <w:tblW w:w="8826"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75"/>
        <w:gridCol w:w="1658"/>
        <w:gridCol w:w="849"/>
        <w:gridCol w:w="772"/>
        <w:gridCol w:w="1348"/>
        <w:gridCol w:w="1414"/>
        <w:gridCol w:w="1710"/>
      </w:tblGrid>
      <w:tr w14:paraId="45845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1075" w:type="dxa"/>
            <w:tcBorders>
              <w:top w:val="single" w:color="000000" w:sz="10" w:space="0"/>
              <w:left w:val="single" w:color="000000" w:sz="10" w:space="0"/>
            </w:tcBorders>
            <w:vAlign w:val="top"/>
          </w:tcPr>
          <w:p w14:paraId="079C913F">
            <w:pPr>
              <w:spacing w:before="117" w:line="231" w:lineRule="auto"/>
              <w:ind w:left="320"/>
              <w:rPr>
                <w:rFonts w:ascii="黑体" w:hAnsi="黑体" w:eastAsia="黑体" w:cs="黑体"/>
                <w:sz w:val="20"/>
                <w:szCs w:val="20"/>
              </w:rPr>
            </w:pPr>
            <w:r>
              <w:rPr>
                <w:rFonts w:ascii="黑体" w:hAnsi="黑体" w:eastAsia="黑体" w:cs="黑体"/>
                <w:spacing w:val="4"/>
                <w:sz w:val="20"/>
                <w:szCs w:val="20"/>
              </w:rPr>
              <w:t>序号</w:t>
            </w:r>
          </w:p>
        </w:tc>
        <w:tc>
          <w:tcPr>
            <w:tcW w:w="1658" w:type="dxa"/>
            <w:tcBorders>
              <w:top w:val="single" w:color="000000" w:sz="10" w:space="0"/>
            </w:tcBorders>
            <w:vAlign w:val="top"/>
          </w:tcPr>
          <w:p w14:paraId="50D2E4CB">
            <w:pPr>
              <w:spacing w:before="116" w:line="230" w:lineRule="auto"/>
              <w:ind w:left="617"/>
              <w:rPr>
                <w:rFonts w:ascii="黑体" w:hAnsi="黑体" w:eastAsia="黑体" w:cs="黑体"/>
                <w:sz w:val="20"/>
                <w:szCs w:val="20"/>
              </w:rPr>
            </w:pPr>
            <w:r>
              <w:rPr>
                <w:rFonts w:ascii="黑体" w:hAnsi="黑体" w:eastAsia="黑体" w:cs="黑体"/>
                <w:spacing w:val="3"/>
                <w:sz w:val="20"/>
                <w:szCs w:val="20"/>
              </w:rPr>
              <w:t>名称</w:t>
            </w:r>
          </w:p>
        </w:tc>
        <w:tc>
          <w:tcPr>
            <w:tcW w:w="849" w:type="dxa"/>
            <w:tcBorders>
              <w:top w:val="single" w:color="000000" w:sz="10" w:space="0"/>
            </w:tcBorders>
            <w:vAlign w:val="top"/>
          </w:tcPr>
          <w:p w14:paraId="23D0C8D4">
            <w:pPr>
              <w:spacing w:before="116" w:line="231" w:lineRule="auto"/>
              <w:ind w:left="218"/>
              <w:rPr>
                <w:rFonts w:ascii="黑体" w:hAnsi="黑体" w:eastAsia="黑体" w:cs="黑体"/>
                <w:sz w:val="20"/>
                <w:szCs w:val="20"/>
              </w:rPr>
            </w:pPr>
            <w:r>
              <w:rPr>
                <w:rFonts w:ascii="黑体" w:hAnsi="黑体" w:eastAsia="黑体" w:cs="黑体"/>
                <w:spacing w:val="2"/>
                <w:sz w:val="20"/>
                <w:szCs w:val="20"/>
              </w:rPr>
              <w:t>单位</w:t>
            </w:r>
          </w:p>
        </w:tc>
        <w:tc>
          <w:tcPr>
            <w:tcW w:w="772" w:type="dxa"/>
            <w:tcBorders>
              <w:top w:val="single" w:color="000000" w:sz="10" w:space="0"/>
            </w:tcBorders>
            <w:vAlign w:val="top"/>
          </w:tcPr>
          <w:p w14:paraId="628370CD">
            <w:pPr>
              <w:spacing w:before="116" w:line="231" w:lineRule="auto"/>
              <w:ind w:left="178"/>
              <w:rPr>
                <w:rFonts w:ascii="黑体" w:hAnsi="黑体" w:eastAsia="黑体" w:cs="黑体"/>
                <w:sz w:val="20"/>
                <w:szCs w:val="20"/>
              </w:rPr>
            </w:pPr>
            <w:r>
              <w:rPr>
                <w:rFonts w:ascii="黑体" w:hAnsi="黑体" w:eastAsia="黑体" w:cs="黑体"/>
                <w:spacing w:val="4"/>
                <w:sz w:val="20"/>
                <w:szCs w:val="20"/>
              </w:rPr>
              <w:t>数量</w:t>
            </w:r>
          </w:p>
        </w:tc>
        <w:tc>
          <w:tcPr>
            <w:tcW w:w="1348" w:type="dxa"/>
            <w:tcBorders>
              <w:top w:val="single" w:color="000000" w:sz="10" w:space="0"/>
            </w:tcBorders>
            <w:vAlign w:val="top"/>
          </w:tcPr>
          <w:p w14:paraId="422BFB9F">
            <w:pPr>
              <w:spacing w:before="116" w:line="230" w:lineRule="auto"/>
              <w:ind w:left="160"/>
              <w:rPr>
                <w:rFonts w:ascii="黑体" w:hAnsi="黑体" w:eastAsia="黑体" w:cs="黑体"/>
                <w:sz w:val="20"/>
                <w:szCs w:val="20"/>
              </w:rPr>
            </w:pPr>
            <w:r>
              <w:rPr>
                <w:rFonts w:ascii="黑体" w:hAnsi="黑体" w:eastAsia="黑体" w:cs="黑体"/>
                <w:spacing w:val="4"/>
                <w:sz w:val="20"/>
                <w:szCs w:val="20"/>
              </w:rPr>
              <w:t>单价（元）</w:t>
            </w:r>
          </w:p>
        </w:tc>
        <w:tc>
          <w:tcPr>
            <w:tcW w:w="1414" w:type="dxa"/>
            <w:tcBorders>
              <w:top w:val="single" w:color="000000" w:sz="10" w:space="0"/>
            </w:tcBorders>
            <w:vAlign w:val="top"/>
          </w:tcPr>
          <w:p w14:paraId="27991A71">
            <w:pPr>
              <w:spacing w:before="116" w:line="230" w:lineRule="auto"/>
              <w:ind w:left="192"/>
              <w:rPr>
                <w:rFonts w:ascii="黑体" w:hAnsi="黑体" w:eastAsia="黑体" w:cs="黑体"/>
                <w:sz w:val="20"/>
                <w:szCs w:val="20"/>
              </w:rPr>
            </w:pPr>
            <w:r>
              <w:rPr>
                <w:rFonts w:ascii="黑体" w:hAnsi="黑体" w:eastAsia="黑体" w:cs="黑体"/>
                <w:spacing w:val="5"/>
                <w:sz w:val="20"/>
                <w:szCs w:val="20"/>
              </w:rPr>
              <w:t>合价（元）</w:t>
            </w:r>
          </w:p>
        </w:tc>
        <w:tc>
          <w:tcPr>
            <w:tcW w:w="1710" w:type="dxa"/>
            <w:tcBorders>
              <w:top w:val="single" w:color="000000" w:sz="10" w:space="0"/>
              <w:right w:val="single" w:color="000000" w:sz="10" w:space="0"/>
            </w:tcBorders>
            <w:vAlign w:val="top"/>
          </w:tcPr>
          <w:p w14:paraId="7128A0B6">
            <w:pPr>
              <w:spacing w:before="116" w:line="230" w:lineRule="auto"/>
              <w:ind w:left="651"/>
              <w:rPr>
                <w:rFonts w:ascii="黑体" w:hAnsi="黑体" w:eastAsia="黑体" w:cs="黑体"/>
                <w:sz w:val="20"/>
                <w:szCs w:val="20"/>
              </w:rPr>
            </w:pPr>
            <w:r>
              <w:rPr>
                <w:rFonts w:ascii="黑体" w:hAnsi="黑体" w:eastAsia="黑体" w:cs="黑体"/>
                <w:spacing w:val="4"/>
                <w:sz w:val="20"/>
                <w:szCs w:val="20"/>
              </w:rPr>
              <w:t>备注</w:t>
            </w:r>
          </w:p>
        </w:tc>
      </w:tr>
      <w:tr w14:paraId="7E97F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1075" w:type="dxa"/>
            <w:tcBorders>
              <w:left w:val="single" w:color="000000" w:sz="10" w:space="0"/>
            </w:tcBorders>
            <w:vAlign w:val="top"/>
          </w:tcPr>
          <w:p w14:paraId="27D89662">
            <w:pPr>
              <w:rPr>
                <w:rFonts w:ascii="Arial"/>
                <w:sz w:val="21"/>
              </w:rPr>
            </w:pPr>
          </w:p>
        </w:tc>
        <w:tc>
          <w:tcPr>
            <w:tcW w:w="1658" w:type="dxa"/>
            <w:vAlign w:val="top"/>
          </w:tcPr>
          <w:p w14:paraId="62F91D02">
            <w:pPr>
              <w:rPr>
                <w:rFonts w:ascii="Arial"/>
                <w:sz w:val="21"/>
              </w:rPr>
            </w:pPr>
          </w:p>
        </w:tc>
        <w:tc>
          <w:tcPr>
            <w:tcW w:w="849" w:type="dxa"/>
            <w:vAlign w:val="top"/>
          </w:tcPr>
          <w:p w14:paraId="3326AA79">
            <w:pPr>
              <w:rPr>
                <w:rFonts w:ascii="Arial"/>
                <w:sz w:val="21"/>
              </w:rPr>
            </w:pPr>
          </w:p>
        </w:tc>
        <w:tc>
          <w:tcPr>
            <w:tcW w:w="772" w:type="dxa"/>
            <w:vAlign w:val="top"/>
          </w:tcPr>
          <w:p w14:paraId="2B1E8FAE">
            <w:pPr>
              <w:rPr>
                <w:rFonts w:ascii="Arial"/>
                <w:sz w:val="21"/>
              </w:rPr>
            </w:pPr>
          </w:p>
        </w:tc>
        <w:tc>
          <w:tcPr>
            <w:tcW w:w="1348" w:type="dxa"/>
            <w:vAlign w:val="top"/>
          </w:tcPr>
          <w:p w14:paraId="0172B077">
            <w:pPr>
              <w:rPr>
                <w:rFonts w:ascii="Arial"/>
                <w:sz w:val="21"/>
              </w:rPr>
            </w:pPr>
          </w:p>
        </w:tc>
        <w:tc>
          <w:tcPr>
            <w:tcW w:w="1414" w:type="dxa"/>
            <w:vAlign w:val="top"/>
          </w:tcPr>
          <w:p w14:paraId="00C5379A">
            <w:pPr>
              <w:rPr>
                <w:rFonts w:ascii="Arial"/>
                <w:sz w:val="21"/>
              </w:rPr>
            </w:pPr>
          </w:p>
        </w:tc>
        <w:tc>
          <w:tcPr>
            <w:tcW w:w="1710" w:type="dxa"/>
            <w:tcBorders>
              <w:right w:val="single" w:color="000000" w:sz="10" w:space="0"/>
            </w:tcBorders>
            <w:vAlign w:val="top"/>
          </w:tcPr>
          <w:p w14:paraId="38ACC3CF">
            <w:pPr>
              <w:rPr>
                <w:rFonts w:ascii="Arial"/>
                <w:sz w:val="21"/>
              </w:rPr>
            </w:pPr>
          </w:p>
        </w:tc>
      </w:tr>
      <w:tr w14:paraId="058DC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1075" w:type="dxa"/>
            <w:tcBorders>
              <w:left w:val="single" w:color="000000" w:sz="10" w:space="0"/>
            </w:tcBorders>
            <w:vAlign w:val="top"/>
          </w:tcPr>
          <w:p w14:paraId="50E2C2E3">
            <w:pPr>
              <w:rPr>
                <w:rFonts w:ascii="Arial"/>
                <w:sz w:val="21"/>
              </w:rPr>
            </w:pPr>
          </w:p>
        </w:tc>
        <w:tc>
          <w:tcPr>
            <w:tcW w:w="1658" w:type="dxa"/>
            <w:vAlign w:val="top"/>
          </w:tcPr>
          <w:p w14:paraId="43FAA5F1">
            <w:pPr>
              <w:rPr>
                <w:rFonts w:ascii="Arial"/>
                <w:sz w:val="21"/>
              </w:rPr>
            </w:pPr>
          </w:p>
        </w:tc>
        <w:tc>
          <w:tcPr>
            <w:tcW w:w="849" w:type="dxa"/>
            <w:vAlign w:val="top"/>
          </w:tcPr>
          <w:p w14:paraId="537E7D3C">
            <w:pPr>
              <w:rPr>
                <w:rFonts w:ascii="Arial"/>
                <w:sz w:val="21"/>
              </w:rPr>
            </w:pPr>
          </w:p>
        </w:tc>
        <w:tc>
          <w:tcPr>
            <w:tcW w:w="772" w:type="dxa"/>
            <w:vAlign w:val="top"/>
          </w:tcPr>
          <w:p w14:paraId="4EFA78E1">
            <w:pPr>
              <w:rPr>
                <w:rFonts w:ascii="Arial"/>
                <w:sz w:val="21"/>
              </w:rPr>
            </w:pPr>
          </w:p>
        </w:tc>
        <w:tc>
          <w:tcPr>
            <w:tcW w:w="1348" w:type="dxa"/>
            <w:vAlign w:val="top"/>
          </w:tcPr>
          <w:p w14:paraId="573C2CD0">
            <w:pPr>
              <w:rPr>
                <w:rFonts w:ascii="Arial"/>
                <w:sz w:val="21"/>
              </w:rPr>
            </w:pPr>
          </w:p>
        </w:tc>
        <w:tc>
          <w:tcPr>
            <w:tcW w:w="1414" w:type="dxa"/>
            <w:vAlign w:val="top"/>
          </w:tcPr>
          <w:p w14:paraId="3F26D5D1">
            <w:pPr>
              <w:rPr>
                <w:rFonts w:ascii="Arial"/>
                <w:sz w:val="21"/>
              </w:rPr>
            </w:pPr>
          </w:p>
        </w:tc>
        <w:tc>
          <w:tcPr>
            <w:tcW w:w="1710" w:type="dxa"/>
            <w:tcBorders>
              <w:right w:val="single" w:color="000000" w:sz="10" w:space="0"/>
            </w:tcBorders>
            <w:vAlign w:val="top"/>
          </w:tcPr>
          <w:p w14:paraId="50DBDAF7">
            <w:pPr>
              <w:rPr>
                <w:rFonts w:ascii="Arial"/>
                <w:sz w:val="21"/>
              </w:rPr>
            </w:pPr>
          </w:p>
        </w:tc>
      </w:tr>
      <w:tr w14:paraId="23C48F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75" w:type="dxa"/>
            <w:tcBorders>
              <w:left w:val="single" w:color="000000" w:sz="10" w:space="0"/>
            </w:tcBorders>
            <w:vAlign w:val="top"/>
          </w:tcPr>
          <w:p w14:paraId="70FB0A53">
            <w:pPr>
              <w:rPr>
                <w:rFonts w:ascii="Arial"/>
                <w:sz w:val="21"/>
              </w:rPr>
            </w:pPr>
          </w:p>
        </w:tc>
        <w:tc>
          <w:tcPr>
            <w:tcW w:w="1658" w:type="dxa"/>
            <w:vAlign w:val="top"/>
          </w:tcPr>
          <w:p w14:paraId="636A8370">
            <w:pPr>
              <w:rPr>
                <w:rFonts w:ascii="Arial"/>
                <w:sz w:val="21"/>
              </w:rPr>
            </w:pPr>
          </w:p>
        </w:tc>
        <w:tc>
          <w:tcPr>
            <w:tcW w:w="849" w:type="dxa"/>
            <w:vAlign w:val="top"/>
          </w:tcPr>
          <w:p w14:paraId="7ECFFF74">
            <w:pPr>
              <w:rPr>
                <w:rFonts w:ascii="Arial"/>
                <w:sz w:val="21"/>
              </w:rPr>
            </w:pPr>
          </w:p>
        </w:tc>
        <w:tc>
          <w:tcPr>
            <w:tcW w:w="772" w:type="dxa"/>
            <w:vAlign w:val="top"/>
          </w:tcPr>
          <w:p w14:paraId="53CAEB1B">
            <w:pPr>
              <w:rPr>
                <w:rFonts w:ascii="Arial"/>
                <w:sz w:val="21"/>
              </w:rPr>
            </w:pPr>
          </w:p>
        </w:tc>
        <w:tc>
          <w:tcPr>
            <w:tcW w:w="1348" w:type="dxa"/>
            <w:vAlign w:val="top"/>
          </w:tcPr>
          <w:p w14:paraId="7BFA9E63">
            <w:pPr>
              <w:rPr>
                <w:rFonts w:ascii="Arial"/>
                <w:sz w:val="21"/>
              </w:rPr>
            </w:pPr>
          </w:p>
        </w:tc>
        <w:tc>
          <w:tcPr>
            <w:tcW w:w="1414" w:type="dxa"/>
            <w:vAlign w:val="top"/>
          </w:tcPr>
          <w:p w14:paraId="7E16A17B">
            <w:pPr>
              <w:rPr>
                <w:rFonts w:ascii="Arial"/>
                <w:sz w:val="21"/>
              </w:rPr>
            </w:pPr>
          </w:p>
        </w:tc>
        <w:tc>
          <w:tcPr>
            <w:tcW w:w="1710" w:type="dxa"/>
            <w:tcBorders>
              <w:right w:val="single" w:color="000000" w:sz="10" w:space="0"/>
            </w:tcBorders>
            <w:vAlign w:val="top"/>
          </w:tcPr>
          <w:p w14:paraId="3DD0B5B0">
            <w:pPr>
              <w:rPr>
                <w:rFonts w:ascii="Arial"/>
                <w:sz w:val="21"/>
              </w:rPr>
            </w:pPr>
          </w:p>
        </w:tc>
      </w:tr>
      <w:tr w14:paraId="518C1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45B57DE9">
            <w:pPr>
              <w:rPr>
                <w:rFonts w:ascii="Arial"/>
                <w:sz w:val="21"/>
              </w:rPr>
            </w:pPr>
          </w:p>
        </w:tc>
        <w:tc>
          <w:tcPr>
            <w:tcW w:w="1658" w:type="dxa"/>
            <w:vAlign w:val="top"/>
          </w:tcPr>
          <w:p w14:paraId="02F04CB3">
            <w:pPr>
              <w:rPr>
                <w:rFonts w:ascii="Arial"/>
                <w:sz w:val="21"/>
              </w:rPr>
            </w:pPr>
          </w:p>
        </w:tc>
        <w:tc>
          <w:tcPr>
            <w:tcW w:w="849" w:type="dxa"/>
            <w:vAlign w:val="top"/>
          </w:tcPr>
          <w:p w14:paraId="30BD8457">
            <w:pPr>
              <w:rPr>
                <w:rFonts w:ascii="Arial"/>
                <w:sz w:val="21"/>
              </w:rPr>
            </w:pPr>
          </w:p>
        </w:tc>
        <w:tc>
          <w:tcPr>
            <w:tcW w:w="772" w:type="dxa"/>
            <w:vAlign w:val="top"/>
          </w:tcPr>
          <w:p w14:paraId="54CFA6DF">
            <w:pPr>
              <w:rPr>
                <w:rFonts w:ascii="Arial"/>
                <w:sz w:val="21"/>
              </w:rPr>
            </w:pPr>
          </w:p>
        </w:tc>
        <w:tc>
          <w:tcPr>
            <w:tcW w:w="1348" w:type="dxa"/>
            <w:vAlign w:val="top"/>
          </w:tcPr>
          <w:p w14:paraId="00B5C839">
            <w:pPr>
              <w:rPr>
                <w:rFonts w:ascii="Arial"/>
                <w:sz w:val="21"/>
              </w:rPr>
            </w:pPr>
          </w:p>
        </w:tc>
        <w:tc>
          <w:tcPr>
            <w:tcW w:w="1414" w:type="dxa"/>
            <w:vAlign w:val="top"/>
          </w:tcPr>
          <w:p w14:paraId="25C914D8">
            <w:pPr>
              <w:rPr>
                <w:rFonts w:ascii="Arial"/>
                <w:sz w:val="21"/>
              </w:rPr>
            </w:pPr>
          </w:p>
        </w:tc>
        <w:tc>
          <w:tcPr>
            <w:tcW w:w="1710" w:type="dxa"/>
            <w:tcBorders>
              <w:right w:val="single" w:color="000000" w:sz="10" w:space="0"/>
            </w:tcBorders>
            <w:vAlign w:val="top"/>
          </w:tcPr>
          <w:p w14:paraId="44D4B6CA">
            <w:pPr>
              <w:rPr>
                <w:rFonts w:ascii="Arial"/>
                <w:sz w:val="21"/>
              </w:rPr>
            </w:pPr>
          </w:p>
        </w:tc>
      </w:tr>
      <w:tr w14:paraId="45E58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7C72C56C">
            <w:pPr>
              <w:rPr>
                <w:rFonts w:ascii="Arial"/>
                <w:sz w:val="21"/>
              </w:rPr>
            </w:pPr>
          </w:p>
        </w:tc>
        <w:tc>
          <w:tcPr>
            <w:tcW w:w="1658" w:type="dxa"/>
            <w:vAlign w:val="top"/>
          </w:tcPr>
          <w:p w14:paraId="63440A4F">
            <w:pPr>
              <w:rPr>
                <w:rFonts w:ascii="Arial"/>
                <w:sz w:val="21"/>
              </w:rPr>
            </w:pPr>
          </w:p>
        </w:tc>
        <w:tc>
          <w:tcPr>
            <w:tcW w:w="849" w:type="dxa"/>
            <w:vAlign w:val="top"/>
          </w:tcPr>
          <w:p w14:paraId="71C06ADE">
            <w:pPr>
              <w:rPr>
                <w:rFonts w:ascii="Arial"/>
                <w:sz w:val="21"/>
              </w:rPr>
            </w:pPr>
          </w:p>
        </w:tc>
        <w:tc>
          <w:tcPr>
            <w:tcW w:w="772" w:type="dxa"/>
            <w:vAlign w:val="top"/>
          </w:tcPr>
          <w:p w14:paraId="3483FBBF">
            <w:pPr>
              <w:rPr>
                <w:rFonts w:ascii="Arial"/>
                <w:sz w:val="21"/>
              </w:rPr>
            </w:pPr>
          </w:p>
        </w:tc>
        <w:tc>
          <w:tcPr>
            <w:tcW w:w="1348" w:type="dxa"/>
            <w:vAlign w:val="top"/>
          </w:tcPr>
          <w:p w14:paraId="07565C0F">
            <w:pPr>
              <w:rPr>
                <w:rFonts w:ascii="Arial"/>
                <w:sz w:val="21"/>
              </w:rPr>
            </w:pPr>
          </w:p>
        </w:tc>
        <w:tc>
          <w:tcPr>
            <w:tcW w:w="1414" w:type="dxa"/>
            <w:vAlign w:val="top"/>
          </w:tcPr>
          <w:p w14:paraId="6C962515">
            <w:pPr>
              <w:rPr>
                <w:rFonts w:ascii="Arial"/>
                <w:sz w:val="21"/>
              </w:rPr>
            </w:pPr>
          </w:p>
        </w:tc>
        <w:tc>
          <w:tcPr>
            <w:tcW w:w="1710" w:type="dxa"/>
            <w:tcBorders>
              <w:right w:val="single" w:color="000000" w:sz="10" w:space="0"/>
            </w:tcBorders>
            <w:vAlign w:val="top"/>
          </w:tcPr>
          <w:p w14:paraId="64116A4B">
            <w:pPr>
              <w:rPr>
                <w:rFonts w:ascii="Arial"/>
                <w:sz w:val="21"/>
              </w:rPr>
            </w:pPr>
          </w:p>
        </w:tc>
      </w:tr>
      <w:tr w14:paraId="1079A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66FDFF97">
            <w:pPr>
              <w:rPr>
                <w:rFonts w:ascii="Arial"/>
                <w:sz w:val="21"/>
              </w:rPr>
            </w:pPr>
          </w:p>
        </w:tc>
        <w:tc>
          <w:tcPr>
            <w:tcW w:w="1658" w:type="dxa"/>
            <w:vAlign w:val="top"/>
          </w:tcPr>
          <w:p w14:paraId="18310F60">
            <w:pPr>
              <w:rPr>
                <w:rFonts w:ascii="Arial"/>
                <w:sz w:val="21"/>
              </w:rPr>
            </w:pPr>
          </w:p>
        </w:tc>
        <w:tc>
          <w:tcPr>
            <w:tcW w:w="849" w:type="dxa"/>
            <w:vAlign w:val="top"/>
          </w:tcPr>
          <w:p w14:paraId="53833CBA">
            <w:pPr>
              <w:rPr>
                <w:rFonts w:ascii="Arial"/>
                <w:sz w:val="21"/>
              </w:rPr>
            </w:pPr>
          </w:p>
        </w:tc>
        <w:tc>
          <w:tcPr>
            <w:tcW w:w="772" w:type="dxa"/>
            <w:vAlign w:val="top"/>
          </w:tcPr>
          <w:p w14:paraId="257AB1C5">
            <w:pPr>
              <w:rPr>
                <w:rFonts w:ascii="Arial"/>
                <w:sz w:val="21"/>
              </w:rPr>
            </w:pPr>
          </w:p>
        </w:tc>
        <w:tc>
          <w:tcPr>
            <w:tcW w:w="1348" w:type="dxa"/>
            <w:vAlign w:val="top"/>
          </w:tcPr>
          <w:p w14:paraId="175A6A76">
            <w:pPr>
              <w:rPr>
                <w:rFonts w:ascii="Arial"/>
                <w:sz w:val="21"/>
              </w:rPr>
            </w:pPr>
          </w:p>
        </w:tc>
        <w:tc>
          <w:tcPr>
            <w:tcW w:w="1414" w:type="dxa"/>
            <w:vAlign w:val="top"/>
          </w:tcPr>
          <w:p w14:paraId="1A1959A3">
            <w:pPr>
              <w:rPr>
                <w:rFonts w:ascii="Arial"/>
                <w:sz w:val="21"/>
              </w:rPr>
            </w:pPr>
          </w:p>
        </w:tc>
        <w:tc>
          <w:tcPr>
            <w:tcW w:w="1710" w:type="dxa"/>
            <w:tcBorders>
              <w:right w:val="single" w:color="000000" w:sz="10" w:space="0"/>
            </w:tcBorders>
            <w:vAlign w:val="top"/>
          </w:tcPr>
          <w:p w14:paraId="79C58AB3">
            <w:pPr>
              <w:rPr>
                <w:rFonts w:ascii="Arial"/>
                <w:sz w:val="21"/>
              </w:rPr>
            </w:pPr>
          </w:p>
        </w:tc>
      </w:tr>
      <w:tr w14:paraId="0189F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10CD60A8">
            <w:pPr>
              <w:rPr>
                <w:rFonts w:ascii="Arial"/>
                <w:sz w:val="21"/>
              </w:rPr>
            </w:pPr>
          </w:p>
        </w:tc>
        <w:tc>
          <w:tcPr>
            <w:tcW w:w="1658" w:type="dxa"/>
            <w:vAlign w:val="top"/>
          </w:tcPr>
          <w:p w14:paraId="45864927">
            <w:pPr>
              <w:rPr>
                <w:rFonts w:ascii="Arial"/>
                <w:sz w:val="21"/>
              </w:rPr>
            </w:pPr>
          </w:p>
        </w:tc>
        <w:tc>
          <w:tcPr>
            <w:tcW w:w="849" w:type="dxa"/>
            <w:vAlign w:val="top"/>
          </w:tcPr>
          <w:p w14:paraId="409EA40E">
            <w:pPr>
              <w:rPr>
                <w:rFonts w:ascii="Arial"/>
                <w:sz w:val="21"/>
              </w:rPr>
            </w:pPr>
          </w:p>
        </w:tc>
        <w:tc>
          <w:tcPr>
            <w:tcW w:w="772" w:type="dxa"/>
            <w:vAlign w:val="top"/>
          </w:tcPr>
          <w:p w14:paraId="1E614CCE">
            <w:pPr>
              <w:rPr>
                <w:rFonts w:ascii="Arial"/>
                <w:sz w:val="21"/>
              </w:rPr>
            </w:pPr>
          </w:p>
        </w:tc>
        <w:tc>
          <w:tcPr>
            <w:tcW w:w="1348" w:type="dxa"/>
            <w:vAlign w:val="top"/>
          </w:tcPr>
          <w:p w14:paraId="67AEF2E6">
            <w:pPr>
              <w:rPr>
                <w:rFonts w:ascii="Arial"/>
                <w:sz w:val="21"/>
              </w:rPr>
            </w:pPr>
          </w:p>
        </w:tc>
        <w:tc>
          <w:tcPr>
            <w:tcW w:w="1414" w:type="dxa"/>
            <w:vAlign w:val="top"/>
          </w:tcPr>
          <w:p w14:paraId="05559FAB">
            <w:pPr>
              <w:rPr>
                <w:rFonts w:ascii="Arial"/>
                <w:sz w:val="21"/>
              </w:rPr>
            </w:pPr>
          </w:p>
        </w:tc>
        <w:tc>
          <w:tcPr>
            <w:tcW w:w="1710" w:type="dxa"/>
            <w:tcBorders>
              <w:right w:val="single" w:color="000000" w:sz="10" w:space="0"/>
            </w:tcBorders>
            <w:vAlign w:val="top"/>
          </w:tcPr>
          <w:p w14:paraId="355B6880">
            <w:pPr>
              <w:rPr>
                <w:rFonts w:ascii="Arial"/>
                <w:sz w:val="21"/>
              </w:rPr>
            </w:pPr>
          </w:p>
        </w:tc>
      </w:tr>
      <w:tr w14:paraId="0BD26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4E6940C1">
            <w:pPr>
              <w:rPr>
                <w:rFonts w:ascii="Arial"/>
                <w:sz w:val="21"/>
              </w:rPr>
            </w:pPr>
          </w:p>
        </w:tc>
        <w:tc>
          <w:tcPr>
            <w:tcW w:w="1658" w:type="dxa"/>
            <w:vAlign w:val="top"/>
          </w:tcPr>
          <w:p w14:paraId="5D243FA6">
            <w:pPr>
              <w:rPr>
                <w:rFonts w:ascii="Arial"/>
                <w:sz w:val="21"/>
              </w:rPr>
            </w:pPr>
          </w:p>
        </w:tc>
        <w:tc>
          <w:tcPr>
            <w:tcW w:w="849" w:type="dxa"/>
            <w:vAlign w:val="top"/>
          </w:tcPr>
          <w:p w14:paraId="0C81FBB6">
            <w:pPr>
              <w:rPr>
                <w:rFonts w:ascii="Arial"/>
                <w:sz w:val="21"/>
              </w:rPr>
            </w:pPr>
          </w:p>
        </w:tc>
        <w:tc>
          <w:tcPr>
            <w:tcW w:w="772" w:type="dxa"/>
            <w:vAlign w:val="top"/>
          </w:tcPr>
          <w:p w14:paraId="426887AF">
            <w:pPr>
              <w:rPr>
                <w:rFonts w:ascii="Arial"/>
                <w:sz w:val="21"/>
              </w:rPr>
            </w:pPr>
          </w:p>
        </w:tc>
        <w:tc>
          <w:tcPr>
            <w:tcW w:w="1348" w:type="dxa"/>
            <w:vAlign w:val="top"/>
          </w:tcPr>
          <w:p w14:paraId="02D310E2">
            <w:pPr>
              <w:rPr>
                <w:rFonts w:ascii="Arial"/>
                <w:sz w:val="21"/>
              </w:rPr>
            </w:pPr>
          </w:p>
        </w:tc>
        <w:tc>
          <w:tcPr>
            <w:tcW w:w="1414" w:type="dxa"/>
            <w:vAlign w:val="top"/>
          </w:tcPr>
          <w:p w14:paraId="62972568">
            <w:pPr>
              <w:rPr>
                <w:rFonts w:ascii="Arial"/>
                <w:sz w:val="21"/>
              </w:rPr>
            </w:pPr>
          </w:p>
        </w:tc>
        <w:tc>
          <w:tcPr>
            <w:tcW w:w="1710" w:type="dxa"/>
            <w:tcBorders>
              <w:right w:val="single" w:color="000000" w:sz="10" w:space="0"/>
            </w:tcBorders>
            <w:vAlign w:val="top"/>
          </w:tcPr>
          <w:p w14:paraId="1B57FCF4">
            <w:pPr>
              <w:rPr>
                <w:rFonts w:ascii="Arial"/>
                <w:sz w:val="21"/>
              </w:rPr>
            </w:pPr>
          </w:p>
        </w:tc>
      </w:tr>
      <w:tr w14:paraId="1616A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04D89D10">
            <w:pPr>
              <w:rPr>
                <w:rFonts w:ascii="Arial"/>
                <w:sz w:val="21"/>
              </w:rPr>
            </w:pPr>
          </w:p>
        </w:tc>
        <w:tc>
          <w:tcPr>
            <w:tcW w:w="1658" w:type="dxa"/>
            <w:vAlign w:val="top"/>
          </w:tcPr>
          <w:p w14:paraId="1C1437F4">
            <w:pPr>
              <w:rPr>
                <w:rFonts w:ascii="Arial"/>
                <w:sz w:val="21"/>
              </w:rPr>
            </w:pPr>
          </w:p>
        </w:tc>
        <w:tc>
          <w:tcPr>
            <w:tcW w:w="849" w:type="dxa"/>
            <w:vAlign w:val="top"/>
          </w:tcPr>
          <w:p w14:paraId="13EB57EB">
            <w:pPr>
              <w:rPr>
                <w:rFonts w:ascii="Arial"/>
                <w:sz w:val="21"/>
              </w:rPr>
            </w:pPr>
          </w:p>
        </w:tc>
        <w:tc>
          <w:tcPr>
            <w:tcW w:w="772" w:type="dxa"/>
            <w:vAlign w:val="top"/>
          </w:tcPr>
          <w:p w14:paraId="18430983">
            <w:pPr>
              <w:rPr>
                <w:rFonts w:ascii="Arial"/>
                <w:sz w:val="21"/>
              </w:rPr>
            </w:pPr>
          </w:p>
        </w:tc>
        <w:tc>
          <w:tcPr>
            <w:tcW w:w="1348" w:type="dxa"/>
            <w:vAlign w:val="top"/>
          </w:tcPr>
          <w:p w14:paraId="72FD7A59">
            <w:pPr>
              <w:rPr>
                <w:rFonts w:ascii="Arial"/>
                <w:sz w:val="21"/>
              </w:rPr>
            </w:pPr>
          </w:p>
        </w:tc>
        <w:tc>
          <w:tcPr>
            <w:tcW w:w="1414" w:type="dxa"/>
            <w:vAlign w:val="top"/>
          </w:tcPr>
          <w:p w14:paraId="74118742">
            <w:pPr>
              <w:rPr>
                <w:rFonts w:ascii="Arial"/>
                <w:sz w:val="21"/>
              </w:rPr>
            </w:pPr>
          </w:p>
        </w:tc>
        <w:tc>
          <w:tcPr>
            <w:tcW w:w="1710" w:type="dxa"/>
            <w:tcBorders>
              <w:right w:val="single" w:color="000000" w:sz="10" w:space="0"/>
            </w:tcBorders>
            <w:vAlign w:val="top"/>
          </w:tcPr>
          <w:p w14:paraId="5454AED8">
            <w:pPr>
              <w:rPr>
                <w:rFonts w:ascii="Arial"/>
                <w:sz w:val="21"/>
              </w:rPr>
            </w:pPr>
          </w:p>
        </w:tc>
      </w:tr>
      <w:tr w14:paraId="4F9E6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5661ADBB">
            <w:pPr>
              <w:rPr>
                <w:rFonts w:ascii="Arial"/>
                <w:sz w:val="21"/>
              </w:rPr>
            </w:pPr>
          </w:p>
        </w:tc>
        <w:tc>
          <w:tcPr>
            <w:tcW w:w="1658" w:type="dxa"/>
            <w:vAlign w:val="top"/>
          </w:tcPr>
          <w:p w14:paraId="3071B425">
            <w:pPr>
              <w:rPr>
                <w:rFonts w:ascii="Arial"/>
                <w:sz w:val="21"/>
              </w:rPr>
            </w:pPr>
          </w:p>
        </w:tc>
        <w:tc>
          <w:tcPr>
            <w:tcW w:w="849" w:type="dxa"/>
            <w:vAlign w:val="top"/>
          </w:tcPr>
          <w:p w14:paraId="7E3B828F">
            <w:pPr>
              <w:rPr>
                <w:rFonts w:ascii="Arial"/>
                <w:sz w:val="21"/>
              </w:rPr>
            </w:pPr>
          </w:p>
        </w:tc>
        <w:tc>
          <w:tcPr>
            <w:tcW w:w="772" w:type="dxa"/>
            <w:vAlign w:val="top"/>
          </w:tcPr>
          <w:p w14:paraId="70DF419D">
            <w:pPr>
              <w:rPr>
                <w:rFonts w:ascii="Arial"/>
                <w:sz w:val="21"/>
              </w:rPr>
            </w:pPr>
          </w:p>
        </w:tc>
        <w:tc>
          <w:tcPr>
            <w:tcW w:w="1348" w:type="dxa"/>
            <w:vAlign w:val="top"/>
          </w:tcPr>
          <w:p w14:paraId="5A6FA4FC">
            <w:pPr>
              <w:rPr>
                <w:rFonts w:ascii="Arial"/>
                <w:sz w:val="21"/>
              </w:rPr>
            </w:pPr>
          </w:p>
        </w:tc>
        <w:tc>
          <w:tcPr>
            <w:tcW w:w="1414" w:type="dxa"/>
            <w:vAlign w:val="top"/>
          </w:tcPr>
          <w:p w14:paraId="113CBDC7">
            <w:pPr>
              <w:rPr>
                <w:rFonts w:ascii="Arial"/>
                <w:sz w:val="21"/>
              </w:rPr>
            </w:pPr>
          </w:p>
        </w:tc>
        <w:tc>
          <w:tcPr>
            <w:tcW w:w="1710" w:type="dxa"/>
            <w:tcBorders>
              <w:right w:val="single" w:color="000000" w:sz="10" w:space="0"/>
            </w:tcBorders>
            <w:vAlign w:val="top"/>
          </w:tcPr>
          <w:p w14:paraId="02B9C6E6">
            <w:pPr>
              <w:rPr>
                <w:rFonts w:ascii="Arial"/>
                <w:sz w:val="21"/>
              </w:rPr>
            </w:pPr>
          </w:p>
        </w:tc>
      </w:tr>
      <w:tr w14:paraId="716FF5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662BAC5E">
            <w:pPr>
              <w:rPr>
                <w:rFonts w:ascii="Arial"/>
                <w:sz w:val="21"/>
              </w:rPr>
            </w:pPr>
          </w:p>
        </w:tc>
        <w:tc>
          <w:tcPr>
            <w:tcW w:w="1658" w:type="dxa"/>
            <w:vAlign w:val="top"/>
          </w:tcPr>
          <w:p w14:paraId="18D57529">
            <w:pPr>
              <w:rPr>
                <w:rFonts w:ascii="Arial"/>
                <w:sz w:val="21"/>
              </w:rPr>
            </w:pPr>
          </w:p>
        </w:tc>
        <w:tc>
          <w:tcPr>
            <w:tcW w:w="849" w:type="dxa"/>
            <w:vAlign w:val="top"/>
          </w:tcPr>
          <w:p w14:paraId="6D97DF72">
            <w:pPr>
              <w:rPr>
                <w:rFonts w:ascii="Arial"/>
                <w:sz w:val="21"/>
              </w:rPr>
            </w:pPr>
          </w:p>
        </w:tc>
        <w:tc>
          <w:tcPr>
            <w:tcW w:w="772" w:type="dxa"/>
            <w:vAlign w:val="top"/>
          </w:tcPr>
          <w:p w14:paraId="4D15428C">
            <w:pPr>
              <w:rPr>
                <w:rFonts w:ascii="Arial"/>
                <w:sz w:val="21"/>
              </w:rPr>
            </w:pPr>
          </w:p>
        </w:tc>
        <w:tc>
          <w:tcPr>
            <w:tcW w:w="1348" w:type="dxa"/>
            <w:vAlign w:val="top"/>
          </w:tcPr>
          <w:p w14:paraId="20BB3393">
            <w:pPr>
              <w:rPr>
                <w:rFonts w:ascii="Arial"/>
                <w:sz w:val="21"/>
              </w:rPr>
            </w:pPr>
          </w:p>
        </w:tc>
        <w:tc>
          <w:tcPr>
            <w:tcW w:w="1414" w:type="dxa"/>
            <w:vAlign w:val="top"/>
          </w:tcPr>
          <w:p w14:paraId="377452FE">
            <w:pPr>
              <w:rPr>
                <w:rFonts w:ascii="Arial"/>
                <w:sz w:val="21"/>
              </w:rPr>
            </w:pPr>
          </w:p>
        </w:tc>
        <w:tc>
          <w:tcPr>
            <w:tcW w:w="1710" w:type="dxa"/>
            <w:tcBorders>
              <w:right w:val="single" w:color="000000" w:sz="10" w:space="0"/>
            </w:tcBorders>
            <w:vAlign w:val="top"/>
          </w:tcPr>
          <w:p w14:paraId="266FBC7D">
            <w:pPr>
              <w:rPr>
                <w:rFonts w:ascii="Arial"/>
                <w:sz w:val="21"/>
              </w:rPr>
            </w:pPr>
          </w:p>
        </w:tc>
      </w:tr>
      <w:tr w14:paraId="68207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2229E369">
            <w:pPr>
              <w:rPr>
                <w:rFonts w:ascii="Arial"/>
                <w:sz w:val="21"/>
              </w:rPr>
            </w:pPr>
          </w:p>
        </w:tc>
        <w:tc>
          <w:tcPr>
            <w:tcW w:w="1658" w:type="dxa"/>
            <w:vAlign w:val="top"/>
          </w:tcPr>
          <w:p w14:paraId="55226FB2">
            <w:pPr>
              <w:rPr>
                <w:rFonts w:ascii="Arial"/>
                <w:sz w:val="21"/>
              </w:rPr>
            </w:pPr>
          </w:p>
        </w:tc>
        <w:tc>
          <w:tcPr>
            <w:tcW w:w="849" w:type="dxa"/>
            <w:vAlign w:val="top"/>
          </w:tcPr>
          <w:p w14:paraId="11C7EBB7">
            <w:pPr>
              <w:rPr>
                <w:rFonts w:ascii="Arial"/>
                <w:sz w:val="21"/>
              </w:rPr>
            </w:pPr>
          </w:p>
        </w:tc>
        <w:tc>
          <w:tcPr>
            <w:tcW w:w="772" w:type="dxa"/>
            <w:vAlign w:val="top"/>
          </w:tcPr>
          <w:p w14:paraId="1507F1A5">
            <w:pPr>
              <w:rPr>
                <w:rFonts w:ascii="Arial"/>
                <w:sz w:val="21"/>
              </w:rPr>
            </w:pPr>
          </w:p>
        </w:tc>
        <w:tc>
          <w:tcPr>
            <w:tcW w:w="1348" w:type="dxa"/>
            <w:vAlign w:val="top"/>
          </w:tcPr>
          <w:p w14:paraId="4286BFA8">
            <w:pPr>
              <w:rPr>
                <w:rFonts w:ascii="Arial"/>
                <w:sz w:val="21"/>
              </w:rPr>
            </w:pPr>
          </w:p>
        </w:tc>
        <w:tc>
          <w:tcPr>
            <w:tcW w:w="1414" w:type="dxa"/>
            <w:vAlign w:val="top"/>
          </w:tcPr>
          <w:p w14:paraId="1A593A5F">
            <w:pPr>
              <w:rPr>
                <w:rFonts w:ascii="Arial"/>
                <w:sz w:val="21"/>
              </w:rPr>
            </w:pPr>
          </w:p>
        </w:tc>
        <w:tc>
          <w:tcPr>
            <w:tcW w:w="1710" w:type="dxa"/>
            <w:tcBorders>
              <w:right w:val="single" w:color="000000" w:sz="10" w:space="0"/>
            </w:tcBorders>
            <w:vAlign w:val="top"/>
          </w:tcPr>
          <w:p w14:paraId="28B812F4">
            <w:pPr>
              <w:rPr>
                <w:rFonts w:ascii="Arial"/>
                <w:sz w:val="21"/>
              </w:rPr>
            </w:pPr>
          </w:p>
        </w:tc>
      </w:tr>
      <w:tr w14:paraId="0DABD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0FE8A9D5">
            <w:pPr>
              <w:rPr>
                <w:rFonts w:ascii="Arial"/>
                <w:sz w:val="21"/>
              </w:rPr>
            </w:pPr>
          </w:p>
        </w:tc>
        <w:tc>
          <w:tcPr>
            <w:tcW w:w="1658" w:type="dxa"/>
            <w:vAlign w:val="top"/>
          </w:tcPr>
          <w:p w14:paraId="69F05807">
            <w:pPr>
              <w:rPr>
                <w:rFonts w:ascii="Arial"/>
                <w:sz w:val="21"/>
              </w:rPr>
            </w:pPr>
          </w:p>
        </w:tc>
        <w:tc>
          <w:tcPr>
            <w:tcW w:w="849" w:type="dxa"/>
            <w:vAlign w:val="top"/>
          </w:tcPr>
          <w:p w14:paraId="416B61BE">
            <w:pPr>
              <w:rPr>
                <w:rFonts w:ascii="Arial"/>
                <w:sz w:val="21"/>
              </w:rPr>
            </w:pPr>
          </w:p>
        </w:tc>
        <w:tc>
          <w:tcPr>
            <w:tcW w:w="772" w:type="dxa"/>
            <w:vAlign w:val="top"/>
          </w:tcPr>
          <w:p w14:paraId="52558902">
            <w:pPr>
              <w:rPr>
                <w:rFonts w:ascii="Arial"/>
                <w:sz w:val="21"/>
              </w:rPr>
            </w:pPr>
          </w:p>
        </w:tc>
        <w:tc>
          <w:tcPr>
            <w:tcW w:w="1348" w:type="dxa"/>
            <w:vAlign w:val="top"/>
          </w:tcPr>
          <w:p w14:paraId="31048E12">
            <w:pPr>
              <w:rPr>
                <w:rFonts w:ascii="Arial"/>
                <w:sz w:val="21"/>
              </w:rPr>
            </w:pPr>
          </w:p>
        </w:tc>
        <w:tc>
          <w:tcPr>
            <w:tcW w:w="1414" w:type="dxa"/>
            <w:vAlign w:val="top"/>
          </w:tcPr>
          <w:p w14:paraId="330A0A34">
            <w:pPr>
              <w:rPr>
                <w:rFonts w:ascii="Arial"/>
                <w:sz w:val="21"/>
              </w:rPr>
            </w:pPr>
          </w:p>
        </w:tc>
        <w:tc>
          <w:tcPr>
            <w:tcW w:w="1710" w:type="dxa"/>
            <w:tcBorders>
              <w:right w:val="single" w:color="000000" w:sz="10" w:space="0"/>
            </w:tcBorders>
            <w:vAlign w:val="top"/>
          </w:tcPr>
          <w:p w14:paraId="30FAB8DC">
            <w:pPr>
              <w:rPr>
                <w:rFonts w:ascii="Arial"/>
                <w:sz w:val="21"/>
              </w:rPr>
            </w:pPr>
          </w:p>
        </w:tc>
      </w:tr>
      <w:tr w14:paraId="12175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6C8E0347">
            <w:pPr>
              <w:rPr>
                <w:rFonts w:ascii="Arial"/>
                <w:sz w:val="21"/>
              </w:rPr>
            </w:pPr>
          </w:p>
        </w:tc>
        <w:tc>
          <w:tcPr>
            <w:tcW w:w="1658" w:type="dxa"/>
            <w:vAlign w:val="top"/>
          </w:tcPr>
          <w:p w14:paraId="5B9A9BC7">
            <w:pPr>
              <w:rPr>
                <w:rFonts w:ascii="Arial"/>
                <w:sz w:val="21"/>
              </w:rPr>
            </w:pPr>
          </w:p>
        </w:tc>
        <w:tc>
          <w:tcPr>
            <w:tcW w:w="849" w:type="dxa"/>
            <w:vAlign w:val="top"/>
          </w:tcPr>
          <w:p w14:paraId="0A3701E6">
            <w:pPr>
              <w:rPr>
                <w:rFonts w:ascii="Arial"/>
                <w:sz w:val="21"/>
              </w:rPr>
            </w:pPr>
          </w:p>
        </w:tc>
        <w:tc>
          <w:tcPr>
            <w:tcW w:w="772" w:type="dxa"/>
            <w:vAlign w:val="top"/>
          </w:tcPr>
          <w:p w14:paraId="585CA5D9">
            <w:pPr>
              <w:rPr>
                <w:rFonts w:ascii="Arial"/>
                <w:sz w:val="21"/>
              </w:rPr>
            </w:pPr>
          </w:p>
        </w:tc>
        <w:tc>
          <w:tcPr>
            <w:tcW w:w="1348" w:type="dxa"/>
            <w:vAlign w:val="top"/>
          </w:tcPr>
          <w:p w14:paraId="49814CEA">
            <w:pPr>
              <w:rPr>
                <w:rFonts w:ascii="Arial"/>
                <w:sz w:val="21"/>
              </w:rPr>
            </w:pPr>
          </w:p>
        </w:tc>
        <w:tc>
          <w:tcPr>
            <w:tcW w:w="1414" w:type="dxa"/>
            <w:vAlign w:val="top"/>
          </w:tcPr>
          <w:p w14:paraId="262196B2">
            <w:pPr>
              <w:rPr>
                <w:rFonts w:ascii="Arial"/>
                <w:sz w:val="21"/>
              </w:rPr>
            </w:pPr>
          </w:p>
        </w:tc>
        <w:tc>
          <w:tcPr>
            <w:tcW w:w="1710" w:type="dxa"/>
            <w:tcBorders>
              <w:right w:val="single" w:color="000000" w:sz="10" w:space="0"/>
            </w:tcBorders>
            <w:vAlign w:val="top"/>
          </w:tcPr>
          <w:p w14:paraId="3A8A4370">
            <w:pPr>
              <w:rPr>
                <w:rFonts w:ascii="Arial"/>
                <w:sz w:val="21"/>
              </w:rPr>
            </w:pPr>
          </w:p>
        </w:tc>
      </w:tr>
      <w:tr w14:paraId="2800A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7385CD4B">
            <w:pPr>
              <w:rPr>
                <w:rFonts w:ascii="Arial"/>
                <w:sz w:val="21"/>
              </w:rPr>
            </w:pPr>
          </w:p>
        </w:tc>
        <w:tc>
          <w:tcPr>
            <w:tcW w:w="1658" w:type="dxa"/>
            <w:vAlign w:val="top"/>
          </w:tcPr>
          <w:p w14:paraId="42E71786">
            <w:pPr>
              <w:rPr>
                <w:rFonts w:ascii="Arial"/>
                <w:sz w:val="21"/>
              </w:rPr>
            </w:pPr>
          </w:p>
        </w:tc>
        <w:tc>
          <w:tcPr>
            <w:tcW w:w="849" w:type="dxa"/>
            <w:vAlign w:val="top"/>
          </w:tcPr>
          <w:p w14:paraId="4E1E43E4">
            <w:pPr>
              <w:rPr>
                <w:rFonts w:ascii="Arial"/>
                <w:sz w:val="21"/>
              </w:rPr>
            </w:pPr>
          </w:p>
        </w:tc>
        <w:tc>
          <w:tcPr>
            <w:tcW w:w="772" w:type="dxa"/>
            <w:vAlign w:val="top"/>
          </w:tcPr>
          <w:p w14:paraId="3F6DDC47">
            <w:pPr>
              <w:rPr>
                <w:rFonts w:ascii="Arial"/>
                <w:sz w:val="21"/>
              </w:rPr>
            </w:pPr>
          </w:p>
        </w:tc>
        <w:tc>
          <w:tcPr>
            <w:tcW w:w="1348" w:type="dxa"/>
            <w:vAlign w:val="top"/>
          </w:tcPr>
          <w:p w14:paraId="5AC4E1B3">
            <w:pPr>
              <w:rPr>
                <w:rFonts w:ascii="Arial"/>
                <w:sz w:val="21"/>
              </w:rPr>
            </w:pPr>
          </w:p>
        </w:tc>
        <w:tc>
          <w:tcPr>
            <w:tcW w:w="1414" w:type="dxa"/>
            <w:vAlign w:val="top"/>
          </w:tcPr>
          <w:p w14:paraId="788046CB">
            <w:pPr>
              <w:rPr>
                <w:rFonts w:ascii="Arial"/>
                <w:sz w:val="21"/>
              </w:rPr>
            </w:pPr>
          </w:p>
        </w:tc>
        <w:tc>
          <w:tcPr>
            <w:tcW w:w="1710" w:type="dxa"/>
            <w:tcBorders>
              <w:right w:val="single" w:color="000000" w:sz="10" w:space="0"/>
            </w:tcBorders>
            <w:vAlign w:val="top"/>
          </w:tcPr>
          <w:p w14:paraId="6FC1EA9D">
            <w:pPr>
              <w:rPr>
                <w:rFonts w:ascii="Arial"/>
                <w:sz w:val="21"/>
              </w:rPr>
            </w:pPr>
          </w:p>
        </w:tc>
      </w:tr>
      <w:tr w14:paraId="05B70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73E943C3">
            <w:pPr>
              <w:rPr>
                <w:rFonts w:ascii="Arial"/>
                <w:sz w:val="21"/>
              </w:rPr>
            </w:pPr>
          </w:p>
        </w:tc>
        <w:tc>
          <w:tcPr>
            <w:tcW w:w="1658" w:type="dxa"/>
            <w:vAlign w:val="top"/>
          </w:tcPr>
          <w:p w14:paraId="74190ACB">
            <w:pPr>
              <w:rPr>
                <w:rFonts w:ascii="Arial"/>
                <w:sz w:val="21"/>
              </w:rPr>
            </w:pPr>
          </w:p>
        </w:tc>
        <w:tc>
          <w:tcPr>
            <w:tcW w:w="849" w:type="dxa"/>
            <w:vAlign w:val="top"/>
          </w:tcPr>
          <w:p w14:paraId="3ECA550F">
            <w:pPr>
              <w:rPr>
                <w:rFonts w:ascii="Arial"/>
                <w:sz w:val="21"/>
              </w:rPr>
            </w:pPr>
          </w:p>
        </w:tc>
        <w:tc>
          <w:tcPr>
            <w:tcW w:w="772" w:type="dxa"/>
            <w:vAlign w:val="top"/>
          </w:tcPr>
          <w:p w14:paraId="2712D8F7">
            <w:pPr>
              <w:rPr>
                <w:rFonts w:ascii="Arial"/>
                <w:sz w:val="21"/>
              </w:rPr>
            </w:pPr>
          </w:p>
        </w:tc>
        <w:tc>
          <w:tcPr>
            <w:tcW w:w="1348" w:type="dxa"/>
            <w:vAlign w:val="top"/>
          </w:tcPr>
          <w:p w14:paraId="5C174522">
            <w:pPr>
              <w:rPr>
                <w:rFonts w:ascii="Arial"/>
                <w:sz w:val="21"/>
              </w:rPr>
            </w:pPr>
          </w:p>
        </w:tc>
        <w:tc>
          <w:tcPr>
            <w:tcW w:w="1414" w:type="dxa"/>
            <w:vAlign w:val="top"/>
          </w:tcPr>
          <w:p w14:paraId="6BC770C4">
            <w:pPr>
              <w:rPr>
                <w:rFonts w:ascii="Arial"/>
                <w:sz w:val="21"/>
              </w:rPr>
            </w:pPr>
          </w:p>
        </w:tc>
        <w:tc>
          <w:tcPr>
            <w:tcW w:w="1710" w:type="dxa"/>
            <w:tcBorders>
              <w:right w:val="single" w:color="000000" w:sz="10" w:space="0"/>
            </w:tcBorders>
            <w:vAlign w:val="top"/>
          </w:tcPr>
          <w:p w14:paraId="61B356D5">
            <w:pPr>
              <w:rPr>
                <w:rFonts w:ascii="Arial"/>
                <w:sz w:val="21"/>
              </w:rPr>
            </w:pPr>
          </w:p>
        </w:tc>
      </w:tr>
      <w:tr w14:paraId="2B0DA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7CD57F38">
            <w:pPr>
              <w:rPr>
                <w:rFonts w:ascii="Arial"/>
                <w:sz w:val="21"/>
              </w:rPr>
            </w:pPr>
          </w:p>
        </w:tc>
        <w:tc>
          <w:tcPr>
            <w:tcW w:w="1658" w:type="dxa"/>
            <w:vAlign w:val="top"/>
          </w:tcPr>
          <w:p w14:paraId="19B6CF11">
            <w:pPr>
              <w:rPr>
                <w:rFonts w:ascii="Arial"/>
                <w:sz w:val="21"/>
              </w:rPr>
            </w:pPr>
          </w:p>
        </w:tc>
        <w:tc>
          <w:tcPr>
            <w:tcW w:w="849" w:type="dxa"/>
            <w:vAlign w:val="top"/>
          </w:tcPr>
          <w:p w14:paraId="5DEAF047">
            <w:pPr>
              <w:rPr>
                <w:rFonts w:ascii="Arial"/>
                <w:sz w:val="21"/>
              </w:rPr>
            </w:pPr>
          </w:p>
        </w:tc>
        <w:tc>
          <w:tcPr>
            <w:tcW w:w="772" w:type="dxa"/>
            <w:vAlign w:val="top"/>
          </w:tcPr>
          <w:p w14:paraId="5F4D0D36">
            <w:pPr>
              <w:rPr>
                <w:rFonts w:ascii="Arial"/>
                <w:sz w:val="21"/>
              </w:rPr>
            </w:pPr>
          </w:p>
        </w:tc>
        <w:tc>
          <w:tcPr>
            <w:tcW w:w="1348" w:type="dxa"/>
            <w:vAlign w:val="top"/>
          </w:tcPr>
          <w:p w14:paraId="0655BED6">
            <w:pPr>
              <w:rPr>
                <w:rFonts w:ascii="Arial"/>
                <w:sz w:val="21"/>
              </w:rPr>
            </w:pPr>
          </w:p>
        </w:tc>
        <w:tc>
          <w:tcPr>
            <w:tcW w:w="1414" w:type="dxa"/>
            <w:vAlign w:val="top"/>
          </w:tcPr>
          <w:p w14:paraId="3D09C22B">
            <w:pPr>
              <w:rPr>
                <w:rFonts w:ascii="Arial"/>
                <w:sz w:val="21"/>
              </w:rPr>
            </w:pPr>
          </w:p>
        </w:tc>
        <w:tc>
          <w:tcPr>
            <w:tcW w:w="1710" w:type="dxa"/>
            <w:tcBorders>
              <w:right w:val="single" w:color="000000" w:sz="10" w:space="0"/>
            </w:tcBorders>
            <w:vAlign w:val="top"/>
          </w:tcPr>
          <w:p w14:paraId="2AFBD693">
            <w:pPr>
              <w:rPr>
                <w:rFonts w:ascii="Arial"/>
                <w:sz w:val="21"/>
              </w:rPr>
            </w:pPr>
          </w:p>
        </w:tc>
      </w:tr>
      <w:tr w14:paraId="34884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097A9719">
            <w:pPr>
              <w:rPr>
                <w:rFonts w:ascii="Arial"/>
                <w:sz w:val="21"/>
              </w:rPr>
            </w:pPr>
          </w:p>
        </w:tc>
        <w:tc>
          <w:tcPr>
            <w:tcW w:w="1658" w:type="dxa"/>
            <w:vAlign w:val="top"/>
          </w:tcPr>
          <w:p w14:paraId="6C83C23F">
            <w:pPr>
              <w:rPr>
                <w:rFonts w:ascii="Arial"/>
                <w:sz w:val="21"/>
              </w:rPr>
            </w:pPr>
          </w:p>
        </w:tc>
        <w:tc>
          <w:tcPr>
            <w:tcW w:w="849" w:type="dxa"/>
            <w:vAlign w:val="top"/>
          </w:tcPr>
          <w:p w14:paraId="7B5FB64A">
            <w:pPr>
              <w:rPr>
                <w:rFonts w:ascii="Arial"/>
                <w:sz w:val="21"/>
              </w:rPr>
            </w:pPr>
          </w:p>
        </w:tc>
        <w:tc>
          <w:tcPr>
            <w:tcW w:w="772" w:type="dxa"/>
            <w:vAlign w:val="top"/>
          </w:tcPr>
          <w:p w14:paraId="630C1AB3">
            <w:pPr>
              <w:rPr>
                <w:rFonts w:ascii="Arial"/>
                <w:sz w:val="21"/>
              </w:rPr>
            </w:pPr>
          </w:p>
        </w:tc>
        <w:tc>
          <w:tcPr>
            <w:tcW w:w="1348" w:type="dxa"/>
            <w:vAlign w:val="top"/>
          </w:tcPr>
          <w:p w14:paraId="4CFA3106">
            <w:pPr>
              <w:rPr>
                <w:rFonts w:ascii="Arial"/>
                <w:sz w:val="21"/>
              </w:rPr>
            </w:pPr>
          </w:p>
        </w:tc>
        <w:tc>
          <w:tcPr>
            <w:tcW w:w="1414" w:type="dxa"/>
            <w:vAlign w:val="top"/>
          </w:tcPr>
          <w:p w14:paraId="28E77AB6">
            <w:pPr>
              <w:rPr>
                <w:rFonts w:ascii="Arial"/>
                <w:sz w:val="21"/>
              </w:rPr>
            </w:pPr>
          </w:p>
        </w:tc>
        <w:tc>
          <w:tcPr>
            <w:tcW w:w="1710" w:type="dxa"/>
            <w:tcBorders>
              <w:right w:val="single" w:color="000000" w:sz="10" w:space="0"/>
            </w:tcBorders>
            <w:vAlign w:val="top"/>
          </w:tcPr>
          <w:p w14:paraId="2A301580">
            <w:pPr>
              <w:rPr>
                <w:rFonts w:ascii="Arial"/>
                <w:sz w:val="21"/>
              </w:rPr>
            </w:pPr>
          </w:p>
        </w:tc>
      </w:tr>
      <w:tr w14:paraId="10849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4863797C">
            <w:pPr>
              <w:rPr>
                <w:rFonts w:ascii="Arial"/>
                <w:sz w:val="21"/>
              </w:rPr>
            </w:pPr>
          </w:p>
        </w:tc>
        <w:tc>
          <w:tcPr>
            <w:tcW w:w="1658" w:type="dxa"/>
            <w:vAlign w:val="top"/>
          </w:tcPr>
          <w:p w14:paraId="1E9F5C46">
            <w:pPr>
              <w:rPr>
                <w:rFonts w:ascii="Arial"/>
                <w:sz w:val="21"/>
              </w:rPr>
            </w:pPr>
          </w:p>
        </w:tc>
        <w:tc>
          <w:tcPr>
            <w:tcW w:w="849" w:type="dxa"/>
            <w:vAlign w:val="top"/>
          </w:tcPr>
          <w:p w14:paraId="273822E9">
            <w:pPr>
              <w:rPr>
                <w:rFonts w:ascii="Arial"/>
                <w:sz w:val="21"/>
              </w:rPr>
            </w:pPr>
          </w:p>
        </w:tc>
        <w:tc>
          <w:tcPr>
            <w:tcW w:w="772" w:type="dxa"/>
            <w:vAlign w:val="top"/>
          </w:tcPr>
          <w:p w14:paraId="2B8CAADD">
            <w:pPr>
              <w:rPr>
                <w:rFonts w:ascii="Arial"/>
                <w:sz w:val="21"/>
              </w:rPr>
            </w:pPr>
          </w:p>
        </w:tc>
        <w:tc>
          <w:tcPr>
            <w:tcW w:w="1348" w:type="dxa"/>
            <w:vAlign w:val="top"/>
          </w:tcPr>
          <w:p w14:paraId="6499C2FD">
            <w:pPr>
              <w:rPr>
                <w:rFonts w:ascii="Arial"/>
                <w:sz w:val="21"/>
              </w:rPr>
            </w:pPr>
          </w:p>
        </w:tc>
        <w:tc>
          <w:tcPr>
            <w:tcW w:w="1414" w:type="dxa"/>
            <w:vAlign w:val="top"/>
          </w:tcPr>
          <w:p w14:paraId="51BA0656">
            <w:pPr>
              <w:rPr>
                <w:rFonts w:ascii="Arial"/>
                <w:sz w:val="21"/>
              </w:rPr>
            </w:pPr>
          </w:p>
        </w:tc>
        <w:tc>
          <w:tcPr>
            <w:tcW w:w="1710" w:type="dxa"/>
            <w:tcBorders>
              <w:right w:val="single" w:color="000000" w:sz="10" w:space="0"/>
            </w:tcBorders>
            <w:vAlign w:val="top"/>
          </w:tcPr>
          <w:p w14:paraId="006C84E1">
            <w:pPr>
              <w:rPr>
                <w:rFonts w:ascii="Arial"/>
                <w:sz w:val="21"/>
              </w:rPr>
            </w:pPr>
          </w:p>
        </w:tc>
      </w:tr>
      <w:tr w14:paraId="58FABA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57BBE23F">
            <w:pPr>
              <w:rPr>
                <w:rFonts w:ascii="Arial"/>
                <w:sz w:val="21"/>
              </w:rPr>
            </w:pPr>
          </w:p>
        </w:tc>
        <w:tc>
          <w:tcPr>
            <w:tcW w:w="1658" w:type="dxa"/>
            <w:vAlign w:val="top"/>
          </w:tcPr>
          <w:p w14:paraId="59613503">
            <w:pPr>
              <w:rPr>
                <w:rFonts w:ascii="Arial"/>
                <w:sz w:val="21"/>
              </w:rPr>
            </w:pPr>
          </w:p>
        </w:tc>
        <w:tc>
          <w:tcPr>
            <w:tcW w:w="849" w:type="dxa"/>
            <w:vAlign w:val="top"/>
          </w:tcPr>
          <w:p w14:paraId="051DD20A">
            <w:pPr>
              <w:rPr>
                <w:rFonts w:ascii="Arial"/>
                <w:sz w:val="21"/>
              </w:rPr>
            </w:pPr>
          </w:p>
        </w:tc>
        <w:tc>
          <w:tcPr>
            <w:tcW w:w="772" w:type="dxa"/>
            <w:vAlign w:val="top"/>
          </w:tcPr>
          <w:p w14:paraId="0513CAA0">
            <w:pPr>
              <w:rPr>
                <w:rFonts w:ascii="Arial"/>
                <w:sz w:val="21"/>
              </w:rPr>
            </w:pPr>
          </w:p>
        </w:tc>
        <w:tc>
          <w:tcPr>
            <w:tcW w:w="1348" w:type="dxa"/>
            <w:vAlign w:val="top"/>
          </w:tcPr>
          <w:p w14:paraId="1C3D1FD8">
            <w:pPr>
              <w:rPr>
                <w:rFonts w:ascii="Arial"/>
                <w:sz w:val="21"/>
              </w:rPr>
            </w:pPr>
          </w:p>
        </w:tc>
        <w:tc>
          <w:tcPr>
            <w:tcW w:w="1414" w:type="dxa"/>
            <w:vAlign w:val="top"/>
          </w:tcPr>
          <w:p w14:paraId="588A1C0B">
            <w:pPr>
              <w:rPr>
                <w:rFonts w:ascii="Arial"/>
                <w:sz w:val="21"/>
              </w:rPr>
            </w:pPr>
          </w:p>
        </w:tc>
        <w:tc>
          <w:tcPr>
            <w:tcW w:w="1710" w:type="dxa"/>
            <w:tcBorders>
              <w:right w:val="single" w:color="000000" w:sz="10" w:space="0"/>
            </w:tcBorders>
            <w:vAlign w:val="top"/>
          </w:tcPr>
          <w:p w14:paraId="15C3FFED">
            <w:pPr>
              <w:rPr>
                <w:rFonts w:ascii="Arial"/>
                <w:sz w:val="21"/>
              </w:rPr>
            </w:pPr>
          </w:p>
        </w:tc>
      </w:tr>
      <w:tr w14:paraId="5ACA7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1A860075">
            <w:pPr>
              <w:rPr>
                <w:rFonts w:ascii="Arial"/>
                <w:sz w:val="21"/>
              </w:rPr>
            </w:pPr>
          </w:p>
        </w:tc>
        <w:tc>
          <w:tcPr>
            <w:tcW w:w="1658" w:type="dxa"/>
            <w:vAlign w:val="top"/>
          </w:tcPr>
          <w:p w14:paraId="41ED31E9">
            <w:pPr>
              <w:rPr>
                <w:rFonts w:ascii="Arial"/>
                <w:sz w:val="21"/>
              </w:rPr>
            </w:pPr>
          </w:p>
        </w:tc>
        <w:tc>
          <w:tcPr>
            <w:tcW w:w="849" w:type="dxa"/>
            <w:vAlign w:val="top"/>
          </w:tcPr>
          <w:p w14:paraId="2DC3488E">
            <w:pPr>
              <w:rPr>
                <w:rFonts w:ascii="Arial"/>
                <w:sz w:val="21"/>
              </w:rPr>
            </w:pPr>
          </w:p>
        </w:tc>
        <w:tc>
          <w:tcPr>
            <w:tcW w:w="772" w:type="dxa"/>
            <w:vAlign w:val="top"/>
          </w:tcPr>
          <w:p w14:paraId="12F37D12">
            <w:pPr>
              <w:rPr>
                <w:rFonts w:ascii="Arial"/>
                <w:sz w:val="21"/>
              </w:rPr>
            </w:pPr>
          </w:p>
        </w:tc>
        <w:tc>
          <w:tcPr>
            <w:tcW w:w="1348" w:type="dxa"/>
            <w:vAlign w:val="top"/>
          </w:tcPr>
          <w:p w14:paraId="4C2AF291">
            <w:pPr>
              <w:rPr>
                <w:rFonts w:ascii="Arial"/>
                <w:sz w:val="21"/>
              </w:rPr>
            </w:pPr>
          </w:p>
        </w:tc>
        <w:tc>
          <w:tcPr>
            <w:tcW w:w="1414" w:type="dxa"/>
            <w:vAlign w:val="top"/>
          </w:tcPr>
          <w:p w14:paraId="6FAF0AE0">
            <w:pPr>
              <w:rPr>
                <w:rFonts w:ascii="Arial"/>
                <w:sz w:val="21"/>
              </w:rPr>
            </w:pPr>
          </w:p>
        </w:tc>
        <w:tc>
          <w:tcPr>
            <w:tcW w:w="1710" w:type="dxa"/>
            <w:tcBorders>
              <w:right w:val="single" w:color="000000" w:sz="10" w:space="0"/>
            </w:tcBorders>
            <w:vAlign w:val="top"/>
          </w:tcPr>
          <w:p w14:paraId="4AF558E3">
            <w:pPr>
              <w:rPr>
                <w:rFonts w:ascii="Arial"/>
                <w:sz w:val="21"/>
              </w:rPr>
            </w:pPr>
          </w:p>
        </w:tc>
      </w:tr>
      <w:tr w14:paraId="22E75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018746EC">
            <w:pPr>
              <w:rPr>
                <w:rFonts w:ascii="Arial"/>
                <w:sz w:val="21"/>
              </w:rPr>
            </w:pPr>
          </w:p>
        </w:tc>
        <w:tc>
          <w:tcPr>
            <w:tcW w:w="1658" w:type="dxa"/>
            <w:vAlign w:val="top"/>
          </w:tcPr>
          <w:p w14:paraId="05D66837">
            <w:pPr>
              <w:rPr>
                <w:rFonts w:ascii="Arial"/>
                <w:sz w:val="21"/>
              </w:rPr>
            </w:pPr>
          </w:p>
        </w:tc>
        <w:tc>
          <w:tcPr>
            <w:tcW w:w="849" w:type="dxa"/>
            <w:vAlign w:val="top"/>
          </w:tcPr>
          <w:p w14:paraId="013E2FCC">
            <w:pPr>
              <w:rPr>
                <w:rFonts w:ascii="Arial"/>
                <w:sz w:val="21"/>
              </w:rPr>
            </w:pPr>
          </w:p>
        </w:tc>
        <w:tc>
          <w:tcPr>
            <w:tcW w:w="772" w:type="dxa"/>
            <w:vAlign w:val="top"/>
          </w:tcPr>
          <w:p w14:paraId="52F88204">
            <w:pPr>
              <w:rPr>
                <w:rFonts w:ascii="Arial"/>
                <w:sz w:val="21"/>
              </w:rPr>
            </w:pPr>
          </w:p>
        </w:tc>
        <w:tc>
          <w:tcPr>
            <w:tcW w:w="1348" w:type="dxa"/>
            <w:vAlign w:val="top"/>
          </w:tcPr>
          <w:p w14:paraId="0BC48C77">
            <w:pPr>
              <w:rPr>
                <w:rFonts w:ascii="Arial"/>
                <w:sz w:val="21"/>
              </w:rPr>
            </w:pPr>
          </w:p>
        </w:tc>
        <w:tc>
          <w:tcPr>
            <w:tcW w:w="1414" w:type="dxa"/>
            <w:vAlign w:val="top"/>
          </w:tcPr>
          <w:p w14:paraId="233C689B">
            <w:pPr>
              <w:rPr>
                <w:rFonts w:ascii="Arial"/>
                <w:sz w:val="21"/>
              </w:rPr>
            </w:pPr>
          </w:p>
        </w:tc>
        <w:tc>
          <w:tcPr>
            <w:tcW w:w="1710" w:type="dxa"/>
            <w:tcBorders>
              <w:right w:val="single" w:color="000000" w:sz="10" w:space="0"/>
            </w:tcBorders>
            <w:vAlign w:val="top"/>
          </w:tcPr>
          <w:p w14:paraId="54F101E3">
            <w:pPr>
              <w:rPr>
                <w:rFonts w:ascii="Arial"/>
                <w:sz w:val="21"/>
              </w:rPr>
            </w:pPr>
          </w:p>
        </w:tc>
      </w:tr>
      <w:tr w14:paraId="0B2B4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4BF84F68">
            <w:pPr>
              <w:rPr>
                <w:rFonts w:ascii="Arial"/>
                <w:sz w:val="21"/>
              </w:rPr>
            </w:pPr>
          </w:p>
        </w:tc>
        <w:tc>
          <w:tcPr>
            <w:tcW w:w="1658" w:type="dxa"/>
            <w:vAlign w:val="top"/>
          </w:tcPr>
          <w:p w14:paraId="7EEA88B5">
            <w:pPr>
              <w:rPr>
                <w:rFonts w:ascii="Arial"/>
                <w:sz w:val="21"/>
              </w:rPr>
            </w:pPr>
          </w:p>
        </w:tc>
        <w:tc>
          <w:tcPr>
            <w:tcW w:w="849" w:type="dxa"/>
            <w:vAlign w:val="top"/>
          </w:tcPr>
          <w:p w14:paraId="54680DFB">
            <w:pPr>
              <w:rPr>
                <w:rFonts w:ascii="Arial"/>
                <w:sz w:val="21"/>
              </w:rPr>
            </w:pPr>
          </w:p>
        </w:tc>
        <w:tc>
          <w:tcPr>
            <w:tcW w:w="772" w:type="dxa"/>
            <w:vAlign w:val="top"/>
          </w:tcPr>
          <w:p w14:paraId="10F8564F">
            <w:pPr>
              <w:rPr>
                <w:rFonts w:ascii="Arial"/>
                <w:sz w:val="21"/>
              </w:rPr>
            </w:pPr>
          </w:p>
        </w:tc>
        <w:tc>
          <w:tcPr>
            <w:tcW w:w="1348" w:type="dxa"/>
            <w:vAlign w:val="top"/>
          </w:tcPr>
          <w:p w14:paraId="1BD298CB">
            <w:pPr>
              <w:rPr>
                <w:rFonts w:ascii="Arial"/>
                <w:sz w:val="21"/>
              </w:rPr>
            </w:pPr>
          </w:p>
        </w:tc>
        <w:tc>
          <w:tcPr>
            <w:tcW w:w="1414" w:type="dxa"/>
            <w:vAlign w:val="top"/>
          </w:tcPr>
          <w:p w14:paraId="40900434">
            <w:pPr>
              <w:rPr>
                <w:rFonts w:ascii="Arial"/>
                <w:sz w:val="21"/>
              </w:rPr>
            </w:pPr>
          </w:p>
        </w:tc>
        <w:tc>
          <w:tcPr>
            <w:tcW w:w="1710" w:type="dxa"/>
            <w:tcBorders>
              <w:right w:val="single" w:color="000000" w:sz="10" w:space="0"/>
            </w:tcBorders>
            <w:vAlign w:val="top"/>
          </w:tcPr>
          <w:p w14:paraId="191B577E">
            <w:pPr>
              <w:rPr>
                <w:rFonts w:ascii="Arial"/>
                <w:sz w:val="21"/>
              </w:rPr>
            </w:pPr>
          </w:p>
        </w:tc>
      </w:tr>
      <w:tr w14:paraId="6DD2B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1075" w:type="dxa"/>
            <w:tcBorders>
              <w:left w:val="single" w:color="000000" w:sz="10" w:space="0"/>
              <w:bottom w:val="single" w:color="000000" w:sz="10" w:space="0"/>
            </w:tcBorders>
            <w:vAlign w:val="top"/>
          </w:tcPr>
          <w:p w14:paraId="32B46B76">
            <w:pPr>
              <w:rPr>
                <w:rFonts w:ascii="Arial"/>
                <w:sz w:val="21"/>
              </w:rPr>
            </w:pPr>
          </w:p>
        </w:tc>
        <w:tc>
          <w:tcPr>
            <w:tcW w:w="1658" w:type="dxa"/>
            <w:tcBorders>
              <w:bottom w:val="single" w:color="000000" w:sz="10" w:space="0"/>
            </w:tcBorders>
            <w:vAlign w:val="top"/>
          </w:tcPr>
          <w:p w14:paraId="4BAFF9CE">
            <w:pPr>
              <w:rPr>
                <w:rFonts w:ascii="Arial"/>
                <w:sz w:val="21"/>
              </w:rPr>
            </w:pPr>
          </w:p>
        </w:tc>
        <w:tc>
          <w:tcPr>
            <w:tcW w:w="849" w:type="dxa"/>
            <w:tcBorders>
              <w:bottom w:val="single" w:color="000000" w:sz="10" w:space="0"/>
            </w:tcBorders>
            <w:vAlign w:val="top"/>
          </w:tcPr>
          <w:p w14:paraId="6D8761E3">
            <w:pPr>
              <w:rPr>
                <w:rFonts w:ascii="Arial"/>
                <w:sz w:val="21"/>
              </w:rPr>
            </w:pPr>
          </w:p>
        </w:tc>
        <w:tc>
          <w:tcPr>
            <w:tcW w:w="772" w:type="dxa"/>
            <w:tcBorders>
              <w:bottom w:val="single" w:color="000000" w:sz="10" w:space="0"/>
            </w:tcBorders>
            <w:vAlign w:val="top"/>
          </w:tcPr>
          <w:p w14:paraId="66FF8D83">
            <w:pPr>
              <w:rPr>
                <w:rFonts w:ascii="Arial"/>
                <w:sz w:val="21"/>
              </w:rPr>
            </w:pPr>
          </w:p>
        </w:tc>
        <w:tc>
          <w:tcPr>
            <w:tcW w:w="1348" w:type="dxa"/>
            <w:tcBorders>
              <w:bottom w:val="single" w:color="000000" w:sz="10" w:space="0"/>
            </w:tcBorders>
            <w:vAlign w:val="top"/>
          </w:tcPr>
          <w:p w14:paraId="74803E42">
            <w:pPr>
              <w:rPr>
                <w:rFonts w:ascii="Arial"/>
                <w:sz w:val="21"/>
              </w:rPr>
            </w:pPr>
          </w:p>
        </w:tc>
        <w:tc>
          <w:tcPr>
            <w:tcW w:w="1414" w:type="dxa"/>
            <w:tcBorders>
              <w:bottom w:val="single" w:color="000000" w:sz="10" w:space="0"/>
            </w:tcBorders>
            <w:vAlign w:val="top"/>
          </w:tcPr>
          <w:p w14:paraId="0F2D0D5D">
            <w:pPr>
              <w:rPr>
                <w:rFonts w:ascii="Arial"/>
                <w:sz w:val="21"/>
              </w:rPr>
            </w:pPr>
          </w:p>
        </w:tc>
        <w:tc>
          <w:tcPr>
            <w:tcW w:w="1710" w:type="dxa"/>
            <w:tcBorders>
              <w:bottom w:val="single" w:color="000000" w:sz="10" w:space="0"/>
              <w:right w:val="single" w:color="000000" w:sz="10" w:space="0"/>
            </w:tcBorders>
            <w:vAlign w:val="top"/>
          </w:tcPr>
          <w:p w14:paraId="603D3B82">
            <w:pPr>
              <w:rPr>
                <w:rFonts w:ascii="Arial"/>
                <w:sz w:val="21"/>
              </w:rPr>
            </w:pPr>
          </w:p>
        </w:tc>
      </w:tr>
    </w:tbl>
    <w:p w14:paraId="3EC56C7E">
      <w:pPr>
        <w:rPr>
          <w:rFonts w:ascii="Arial"/>
          <w:sz w:val="21"/>
        </w:rPr>
      </w:pPr>
    </w:p>
    <w:p w14:paraId="0CB2CF95">
      <w:pPr>
        <w:rPr>
          <w:rFonts w:ascii="Arial" w:hAnsi="Arial" w:eastAsia="Arial" w:cs="Arial"/>
          <w:sz w:val="21"/>
          <w:szCs w:val="21"/>
        </w:rPr>
        <w:sectPr>
          <w:footerReference r:id="rId435" w:type="default"/>
          <w:pgSz w:w="11907" w:h="16840"/>
          <w:pgMar w:top="400" w:right="1623" w:bottom="1105" w:left="1431" w:header="0" w:footer="943" w:gutter="0"/>
          <w:cols w:space="720" w:num="1"/>
        </w:sectPr>
      </w:pPr>
    </w:p>
    <w:p w14:paraId="69F5471E">
      <w:pPr>
        <w:spacing w:line="272" w:lineRule="auto"/>
        <w:rPr>
          <w:rFonts w:ascii="Arial"/>
          <w:sz w:val="21"/>
        </w:rPr>
      </w:pPr>
    </w:p>
    <w:p w14:paraId="535CF9FA">
      <w:pPr>
        <w:spacing w:line="272" w:lineRule="auto"/>
        <w:rPr>
          <w:rFonts w:ascii="Arial"/>
          <w:sz w:val="21"/>
        </w:rPr>
      </w:pPr>
    </w:p>
    <w:p w14:paraId="11E189CA">
      <w:pPr>
        <w:spacing w:line="272" w:lineRule="auto"/>
        <w:rPr>
          <w:rFonts w:ascii="Arial"/>
          <w:sz w:val="21"/>
        </w:rPr>
      </w:pPr>
    </w:p>
    <w:p w14:paraId="4A67F4E8">
      <w:pPr>
        <w:spacing w:line="272" w:lineRule="auto"/>
        <w:rPr>
          <w:rFonts w:ascii="Arial"/>
          <w:sz w:val="21"/>
        </w:rPr>
      </w:pPr>
    </w:p>
    <w:p w14:paraId="5C40ECF8">
      <w:pPr>
        <w:spacing w:line="273" w:lineRule="auto"/>
        <w:rPr>
          <w:rFonts w:ascii="Arial"/>
          <w:sz w:val="21"/>
        </w:rPr>
      </w:pPr>
    </w:p>
    <w:p w14:paraId="4E7FB5BC">
      <w:pPr>
        <w:spacing w:before="120" w:line="212" w:lineRule="auto"/>
        <w:ind w:left="2891"/>
        <w:rPr>
          <w:rFonts w:ascii="微软雅黑" w:hAnsi="微软雅黑" w:eastAsia="微软雅黑" w:cs="微软雅黑"/>
          <w:sz w:val="28"/>
          <w:szCs w:val="28"/>
        </w:rPr>
      </w:pPr>
      <w:r>
        <w:rPr>
          <w:rFonts w:ascii="Arial" w:hAnsi="Arial" w:eastAsia="Arial" w:cs="Arial"/>
          <w:sz w:val="28"/>
          <w:szCs w:val="28"/>
        </w:rPr>
        <w:t>11-3</w:t>
      </w:r>
      <w:r>
        <w:rPr>
          <w:rFonts w:ascii="微软雅黑" w:hAnsi="微软雅黑" w:eastAsia="微软雅黑" w:cs="微软雅黑"/>
          <w:sz w:val="28"/>
          <w:szCs w:val="28"/>
        </w:rPr>
        <w:t>：专业工程暂估价表</w:t>
      </w:r>
    </w:p>
    <w:p w14:paraId="3E0ABA49">
      <w:pPr>
        <w:spacing w:line="180" w:lineRule="exact"/>
      </w:pPr>
    </w:p>
    <w:tbl>
      <w:tblPr>
        <w:tblStyle w:val="5"/>
        <w:tblW w:w="8820"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1"/>
        <w:gridCol w:w="1978"/>
        <w:gridCol w:w="4665"/>
        <w:gridCol w:w="1286"/>
      </w:tblGrid>
      <w:tr w14:paraId="48420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891" w:type="dxa"/>
            <w:tcBorders>
              <w:top w:val="single" w:color="000000" w:sz="10" w:space="0"/>
              <w:left w:val="single" w:color="000000" w:sz="10" w:space="0"/>
            </w:tcBorders>
            <w:vAlign w:val="top"/>
          </w:tcPr>
          <w:p w14:paraId="5A80794C">
            <w:pPr>
              <w:spacing w:before="117" w:line="231" w:lineRule="auto"/>
              <w:ind w:left="226"/>
              <w:rPr>
                <w:rFonts w:ascii="黑体" w:hAnsi="黑体" w:eastAsia="黑体" w:cs="黑体"/>
                <w:sz w:val="20"/>
                <w:szCs w:val="20"/>
              </w:rPr>
            </w:pPr>
            <w:r>
              <w:rPr>
                <w:rFonts w:ascii="黑体" w:hAnsi="黑体" w:eastAsia="黑体" w:cs="黑体"/>
                <w:spacing w:val="4"/>
                <w:sz w:val="20"/>
                <w:szCs w:val="20"/>
              </w:rPr>
              <w:t>序号</w:t>
            </w:r>
          </w:p>
        </w:tc>
        <w:tc>
          <w:tcPr>
            <w:tcW w:w="1978" w:type="dxa"/>
            <w:tcBorders>
              <w:top w:val="single" w:color="000000" w:sz="10" w:space="0"/>
            </w:tcBorders>
            <w:vAlign w:val="top"/>
          </w:tcPr>
          <w:p w14:paraId="0716E27F">
            <w:pPr>
              <w:spacing w:before="116" w:line="230" w:lineRule="auto"/>
              <w:ind w:left="359"/>
              <w:rPr>
                <w:rFonts w:ascii="黑体" w:hAnsi="黑体" w:eastAsia="黑体" w:cs="黑体"/>
                <w:sz w:val="20"/>
                <w:szCs w:val="20"/>
              </w:rPr>
            </w:pPr>
            <w:r>
              <w:rPr>
                <w:rFonts w:ascii="黑体" w:hAnsi="黑体" w:eastAsia="黑体" w:cs="黑体"/>
                <w:spacing w:val="7"/>
                <w:sz w:val="20"/>
                <w:szCs w:val="20"/>
              </w:rPr>
              <w:t>专业工程名称</w:t>
            </w:r>
          </w:p>
        </w:tc>
        <w:tc>
          <w:tcPr>
            <w:tcW w:w="4665" w:type="dxa"/>
            <w:tcBorders>
              <w:top w:val="single" w:color="000000" w:sz="10" w:space="0"/>
            </w:tcBorders>
            <w:vAlign w:val="top"/>
          </w:tcPr>
          <w:p w14:paraId="2FBD56B2">
            <w:pPr>
              <w:spacing w:before="116" w:line="230" w:lineRule="auto"/>
              <w:ind w:left="1918"/>
              <w:rPr>
                <w:rFonts w:ascii="黑体" w:hAnsi="黑体" w:eastAsia="黑体" w:cs="黑体"/>
                <w:sz w:val="20"/>
                <w:szCs w:val="20"/>
              </w:rPr>
            </w:pPr>
            <w:r>
              <w:rPr>
                <w:rFonts w:ascii="黑体" w:hAnsi="黑体" w:eastAsia="黑体" w:cs="黑体"/>
                <w:spacing w:val="7"/>
                <w:sz w:val="20"/>
                <w:szCs w:val="20"/>
              </w:rPr>
              <w:t>工程内容</w:t>
            </w:r>
          </w:p>
        </w:tc>
        <w:tc>
          <w:tcPr>
            <w:tcW w:w="1286" w:type="dxa"/>
            <w:tcBorders>
              <w:top w:val="single" w:color="000000" w:sz="10" w:space="0"/>
              <w:right w:val="single" w:color="000000" w:sz="10" w:space="0"/>
            </w:tcBorders>
            <w:vAlign w:val="top"/>
          </w:tcPr>
          <w:p w14:paraId="081C8189">
            <w:pPr>
              <w:spacing w:before="116" w:line="230" w:lineRule="auto"/>
              <w:ind w:left="440"/>
              <w:rPr>
                <w:rFonts w:ascii="黑体" w:hAnsi="黑体" w:eastAsia="黑体" w:cs="黑体"/>
                <w:sz w:val="20"/>
                <w:szCs w:val="20"/>
              </w:rPr>
            </w:pPr>
            <w:r>
              <w:rPr>
                <w:rFonts w:ascii="黑体" w:hAnsi="黑体" w:eastAsia="黑体" w:cs="黑体"/>
                <w:spacing w:val="4"/>
                <w:sz w:val="20"/>
                <w:szCs w:val="20"/>
              </w:rPr>
              <w:t>金额</w:t>
            </w:r>
          </w:p>
        </w:tc>
      </w:tr>
      <w:tr w14:paraId="15610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891" w:type="dxa"/>
            <w:tcBorders>
              <w:left w:val="single" w:color="000000" w:sz="10" w:space="0"/>
            </w:tcBorders>
            <w:vAlign w:val="top"/>
          </w:tcPr>
          <w:p w14:paraId="1DAA602F">
            <w:pPr>
              <w:rPr>
                <w:rFonts w:ascii="Arial"/>
                <w:sz w:val="21"/>
              </w:rPr>
            </w:pPr>
          </w:p>
        </w:tc>
        <w:tc>
          <w:tcPr>
            <w:tcW w:w="1978" w:type="dxa"/>
            <w:vAlign w:val="top"/>
          </w:tcPr>
          <w:p w14:paraId="7A6E203C">
            <w:pPr>
              <w:rPr>
                <w:rFonts w:ascii="Arial"/>
                <w:sz w:val="21"/>
              </w:rPr>
            </w:pPr>
          </w:p>
        </w:tc>
        <w:tc>
          <w:tcPr>
            <w:tcW w:w="4665" w:type="dxa"/>
            <w:vAlign w:val="top"/>
          </w:tcPr>
          <w:p w14:paraId="1F150B80">
            <w:pPr>
              <w:rPr>
                <w:rFonts w:ascii="Arial"/>
                <w:sz w:val="21"/>
              </w:rPr>
            </w:pPr>
          </w:p>
        </w:tc>
        <w:tc>
          <w:tcPr>
            <w:tcW w:w="1286" w:type="dxa"/>
            <w:tcBorders>
              <w:right w:val="single" w:color="000000" w:sz="10" w:space="0"/>
            </w:tcBorders>
            <w:vAlign w:val="top"/>
          </w:tcPr>
          <w:p w14:paraId="3BA9B017">
            <w:pPr>
              <w:rPr>
                <w:rFonts w:ascii="Arial"/>
                <w:sz w:val="21"/>
              </w:rPr>
            </w:pPr>
          </w:p>
        </w:tc>
      </w:tr>
      <w:tr w14:paraId="622CB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891" w:type="dxa"/>
            <w:tcBorders>
              <w:left w:val="single" w:color="000000" w:sz="10" w:space="0"/>
            </w:tcBorders>
            <w:vAlign w:val="top"/>
          </w:tcPr>
          <w:p w14:paraId="7C402126">
            <w:pPr>
              <w:rPr>
                <w:rFonts w:ascii="Arial"/>
                <w:sz w:val="21"/>
              </w:rPr>
            </w:pPr>
          </w:p>
        </w:tc>
        <w:tc>
          <w:tcPr>
            <w:tcW w:w="1978" w:type="dxa"/>
            <w:vAlign w:val="top"/>
          </w:tcPr>
          <w:p w14:paraId="572E24B0">
            <w:pPr>
              <w:rPr>
                <w:rFonts w:ascii="Arial"/>
                <w:sz w:val="21"/>
              </w:rPr>
            </w:pPr>
          </w:p>
        </w:tc>
        <w:tc>
          <w:tcPr>
            <w:tcW w:w="4665" w:type="dxa"/>
            <w:vAlign w:val="top"/>
          </w:tcPr>
          <w:p w14:paraId="478B57BA">
            <w:pPr>
              <w:rPr>
                <w:rFonts w:ascii="Arial"/>
                <w:sz w:val="21"/>
              </w:rPr>
            </w:pPr>
          </w:p>
        </w:tc>
        <w:tc>
          <w:tcPr>
            <w:tcW w:w="1286" w:type="dxa"/>
            <w:tcBorders>
              <w:right w:val="single" w:color="000000" w:sz="10" w:space="0"/>
            </w:tcBorders>
            <w:vAlign w:val="top"/>
          </w:tcPr>
          <w:p w14:paraId="65A5601A">
            <w:pPr>
              <w:rPr>
                <w:rFonts w:ascii="Arial"/>
                <w:sz w:val="21"/>
              </w:rPr>
            </w:pPr>
          </w:p>
        </w:tc>
      </w:tr>
      <w:tr w14:paraId="72255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891" w:type="dxa"/>
            <w:tcBorders>
              <w:left w:val="single" w:color="000000" w:sz="10" w:space="0"/>
            </w:tcBorders>
            <w:vAlign w:val="top"/>
          </w:tcPr>
          <w:p w14:paraId="0BF80D64">
            <w:pPr>
              <w:rPr>
                <w:rFonts w:ascii="Arial"/>
                <w:sz w:val="21"/>
              </w:rPr>
            </w:pPr>
          </w:p>
        </w:tc>
        <w:tc>
          <w:tcPr>
            <w:tcW w:w="1978" w:type="dxa"/>
            <w:vAlign w:val="top"/>
          </w:tcPr>
          <w:p w14:paraId="27A1601F">
            <w:pPr>
              <w:rPr>
                <w:rFonts w:ascii="Arial"/>
                <w:sz w:val="21"/>
              </w:rPr>
            </w:pPr>
          </w:p>
        </w:tc>
        <w:tc>
          <w:tcPr>
            <w:tcW w:w="4665" w:type="dxa"/>
            <w:vAlign w:val="top"/>
          </w:tcPr>
          <w:p w14:paraId="6CA4FC92">
            <w:pPr>
              <w:rPr>
                <w:rFonts w:ascii="Arial"/>
                <w:sz w:val="21"/>
              </w:rPr>
            </w:pPr>
          </w:p>
        </w:tc>
        <w:tc>
          <w:tcPr>
            <w:tcW w:w="1286" w:type="dxa"/>
            <w:tcBorders>
              <w:right w:val="single" w:color="000000" w:sz="10" w:space="0"/>
            </w:tcBorders>
            <w:vAlign w:val="top"/>
          </w:tcPr>
          <w:p w14:paraId="1BCFF627">
            <w:pPr>
              <w:rPr>
                <w:rFonts w:ascii="Arial"/>
                <w:sz w:val="21"/>
              </w:rPr>
            </w:pPr>
          </w:p>
        </w:tc>
      </w:tr>
      <w:tr w14:paraId="5AB01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5D165E21">
            <w:pPr>
              <w:rPr>
                <w:rFonts w:ascii="Arial"/>
                <w:sz w:val="21"/>
              </w:rPr>
            </w:pPr>
          </w:p>
        </w:tc>
        <w:tc>
          <w:tcPr>
            <w:tcW w:w="1978" w:type="dxa"/>
            <w:vAlign w:val="top"/>
          </w:tcPr>
          <w:p w14:paraId="2CB1BB27">
            <w:pPr>
              <w:rPr>
                <w:rFonts w:ascii="Arial"/>
                <w:sz w:val="21"/>
              </w:rPr>
            </w:pPr>
          </w:p>
        </w:tc>
        <w:tc>
          <w:tcPr>
            <w:tcW w:w="4665" w:type="dxa"/>
            <w:vAlign w:val="top"/>
          </w:tcPr>
          <w:p w14:paraId="48BF8839">
            <w:pPr>
              <w:rPr>
                <w:rFonts w:ascii="Arial"/>
                <w:sz w:val="21"/>
              </w:rPr>
            </w:pPr>
          </w:p>
        </w:tc>
        <w:tc>
          <w:tcPr>
            <w:tcW w:w="1286" w:type="dxa"/>
            <w:tcBorders>
              <w:right w:val="single" w:color="000000" w:sz="10" w:space="0"/>
            </w:tcBorders>
            <w:vAlign w:val="top"/>
          </w:tcPr>
          <w:p w14:paraId="395A69C6">
            <w:pPr>
              <w:rPr>
                <w:rFonts w:ascii="Arial"/>
                <w:sz w:val="21"/>
              </w:rPr>
            </w:pPr>
          </w:p>
        </w:tc>
      </w:tr>
      <w:tr w14:paraId="596F0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0BC4FAC0">
            <w:pPr>
              <w:rPr>
                <w:rFonts w:ascii="Arial"/>
                <w:sz w:val="21"/>
              </w:rPr>
            </w:pPr>
          </w:p>
        </w:tc>
        <w:tc>
          <w:tcPr>
            <w:tcW w:w="1978" w:type="dxa"/>
            <w:vAlign w:val="top"/>
          </w:tcPr>
          <w:p w14:paraId="02E34653">
            <w:pPr>
              <w:rPr>
                <w:rFonts w:ascii="Arial"/>
                <w:sz w:val="21"/>
              </w:rPr>
            </w:pPr>
          </w:p>
        </w:tc>
        <w:tc>
          <w:tcPr>
            <w:tcW w:w="4665" w:type="dxa"/>
            <w:vAlign w:val="top"/>
          </w:tcPr>
          <w:p w14:paraId="630C6D54">
            <w:pPr>
              <w:rPr>
                <w:rFonts w:ascii="Arial"/>
                <w:sz w:val="21"/>
              </w:rPr>
            </w:pPr>
          </w:p>
        </w:tc>
        <w:tc>
          <w:tcPr>
            <w:tcW w:w="1286" w:type="dxa"/>
            <w:tcBorders>
              <w:right w:val="single" w:color="000000" w:sz="10" w:space="0"/>
            </w:tcBorders>
            <w:vAlign w:val="top"/>
          </w:tcPr>
          <w:p w14:paraId="04E5EBC6">
            <w:pPr>
              <w:rPr>
                <w:rFonts w:ascii="Arial"/>
                <w:sz w:val="21"/>
              </w:rPr>
            </w:pPr>
          </w:p>
        </w:tc>
      </w:tr>
      <w:tr w14:paraId="4C4965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5F8F94BF">
            <w:pPr>
              <w:rPr>
                <w:rFonts w:ascii="Arial"/>
                <w:sz w:val="21"/>
              </w:rPr>
            </w:pPr>
          </w:p>
        </w:tc>
        <w:tc>
          <w:tcPr>
            <w:tcW w:w="1978" w:type="dxa"/>
            <w:vAlign w:val="top"/>
          </w:tcPr>
          <w:p w14:paraId="505E25A6">
            <w:pPr>
              <w:rPr>
                <w:rFonts w:ascii="Arial"/>
                <w:sz w:val="21"/>
              </w:rPr>
            </w:pPr>
          </w:p>
        </w:tc>
        <w:tc>
          <w:tcPr>
            <w:tcW w:w="4665" w:type="dxa"/>
            <w:vAlign w:val="top"/>
          </w:tcPr>
          <w:p w14:paraId="208A28C6">
            <w:pPr>
              <w:rPr>
                <w:rFonts w:ascii="Arial"/>
                <w:sz w:val="21"/>
              </w:rPr>
            </w:pPr>
          </w:p>
        </w:tc>
        <w:tc>
          <w:tcPr>
            <w:tcW w:w="1286" w:type="dxa"/>
            <w:tcBorders>
              <w:right w:val="single" w:color="000000" w:sz="10" w:space="0"/>
            </w:tcBorders>
            <w:vAlign w:val="top"/>
          </w:tcPr>
          <w:p w14:paraId="40B6FE73">
            <w:pPr>
              <w:rPr>
                <w:rFonts w:ascii="Arial"/>
                <w:sz w:val="21"/>
              </w:rPr>
            </w:pPr>
          </w:p>
        </w:tc>
      </w:tr>
      <w:tr w14:paraId="6B2E4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3B77BE25">
            <w:pPr>
              <w:rPr>
                <w:rFonts w:ascii="Arial"/>
                <w:sz w:val="21"/>
              </w:rPr>
            </w:pPr>
          </w:p>
        </w:tc>
        <w:tc>
          <w:tcPr>
            <w:tcW w:w="1978" w:type="dxa"/>
            <w:vAlign w:val="top"/>
          </w:tcPr>
          <w:p w14:paraId="2743ADDD">
            <w:pPr>
              <w:rPr>
                <w:rFonts w:ascii="Arial"/>
                <w:sz w:val="21"/>
              </w:rPr>
            </w:pPr>
          </w:p>
        </w:tc>
        <w:tc>
          <w:tcPr>
            <w:tcW w:w="4665" w:type="dxa"/>
            <w:vAlign w:val="top"/>
          </w:tcPr>
          <w:p w14:paraId="268714C4">
            <w:pPr>
              <w:rPr>
                <w:rFonts w:ascii="Arial"/>
                <w:sz w:val="21"/>
              </w:rPr>
            </w:pPr>
          </w:p>
        </w:tc>
        <w:tc>
          <w:tcPr>
            <w:tcW w:w="1286" w:type="dxa"/>
            <w:tcBorders>
              <w:right w:val="single" w:color="000000" w:sz="10" w:space="0"/>
            </w:tcBorders>
            <w:vAlign w:val="top"/>
          </w:tcPr>
          <w:p w14:paraId="68D33996">
            <w:pPr>
              <w:rPr>
                <w:rFonts w:ascii="Arial"/>
                <w:sz w:val="21"/>
              </w:rPr>
            </w:pPr>
          </w:p>
        </w:tc>
      </w:tr>
      <w:tr w14:paraId="3EC35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91" w:type="dxa"/>
            <w:tcBorders>
              <w:left w:val="single" w:color="000000" w:sz="10" w:space="0"/>
            </w:tcBorders>
            <w:vAlign w:val="top"/>
          </w:tcPr>
          <w:p w14:paraId="16B6FAF0">
            <w:pPr>
              <w:rPr>
                <w:rFonts w:ascii="Arial"/>
                <w:sz w:val="21"/>
              </w:rPr>
            </w:pPr>
          </w:p>
        </w:tc>
        <w:tc>
          <w:tcPr>
            <w:tcW w:w="1978" w:type="dxa"/>
            <w:vAlign w:val="top"/>
          </w:tcPr>
          <w:p w14:paraId="0407609E">
            <w:pPr>
              <w:rPr>
                <w:rFonts w:ascii="Arial"/>
                <w:sz w:val="21"/>
              </w:rPr>
            </w:pPr>
          </w:p>
        </w:tc>
        <w:tc>
          <w:tcPr>
            <w:tcW w:w="4665" w:type="dxa"/>
            <w:vAlign w:val="top"/>
          </w:tcPr>
          <w:p w14:paraId="650A0765">
            <w:pPr>
              <w:rPr>
                <w:rFonts w:ascii="Arial"/>
                <w:sz w:val="21"/>
              </w:rPr>
            </w:pPr>
          </w:p>
        </w:tc>
        <w:tc>
          <w:tcPr>
            <w:tcW w:w="1286" w:type="dxa"/>
            <w:tcBorders>
              <w:right w:val="single" w:color="000000" w:sz="10" w:space="0"/>
            </w:tcBorders>
            <w:vAlign w:val="top"/>
          </w:tcPr>
          <w:p w14:paraId="7A0602A4">
            <w:pPr>
              <w:rPr>
                <w:rFonts w:ascii="Arial"/>
                <w:sz w:val="21"/>
              </w:rPr>
            </w:pPr>
          </w:p>
        </w:tc>
      </w:tr>
      <w:tr w14:paraId="1DE626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9" w:hRule="atLeast"/>
        </w:trPr>
        <w:tc>
          <w:tcPr>
            <w:tcW w:w="891" w:type="dxa"/>
            <w:tcBorders>
              <w:left w:val="single" w:color="000000" w:sz="10" w:space="0"/>
            </w:tcBorders>
            <w:vAlign w:val="top"/>
          </w:tcPr>
          <w:p w14:paraId="0939B3B5">
            <w:pPr>
              <w:rPr>
                <w:rFonts w:ascii="Arial"/>
                <w:sz w:val="21"/>
              </w:rPr>
            </w:pPr>
          </w:p>
        </w:tc>
        <w:tc>
          <w:tcPr>
            <w:tcW w:w="1978" w:type="dxa"/>
            <w:vAlign w:val="top"/>
          </w:tcPr>
          <w:p w14:paraId="55059671">
            <w:pPr>
              <w:rPr>
                <w:rFonts w:ascii="Arial"/>
                <w:sz w:val="21"/>
              </w:rPr>
            </w:pPr>
          </w:p>
        </w:tc>
        <w:tc>
          <w:tcPr>
            <w:tcW w:w="4665" w:type="dxa"/>
            <w:vAlign w:val="top"/>
          </w:tcPr>
          <w:p w14:paraId="3764DA56">
            <w:pPr>
              <w:rPr>
                <w:rFonts w:ascii="Arial"/>
                <w:sz w:val="21"/>
              </w:rPr>
            </w:pPr>
          </w:p>
        </w:tc>
        <w:tc>
          <w:tcPr>
            <w:tcW w:w="1286" w:type="dxa"/>
            <w:tcBorders>
              <w:right w:val="single" w:color="000000" w:sz="10" w:space="0"/>
            </w:tcBorders>
            <w:vAlign w:val="top"/>
          </w:tcPr>
          <w:p w14:paraId="2B78E515">
            <w:pPr>
              <w:rPr>
                <w:rFonts w:ascii="Arial"/>
                <w:sz w:val="21"/>
              </w:rPr>
            </w:pPr>
          </w:p>
        </w:tc>
      </w:tr>
      <w:tr w14:paraId="4C3A7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2202D060">
            <w:pPr>
              <w:rPr>
                <w:rFonts w:ascii="Arial"/>
                <w:sz w:val="21"/>
              </w:rPr>
            </w:pPr>
          </w:p>
        </w:tc>
        <w:tc>
          <w:tcPr>
            <w:tcW w:w="1978" w:type="dxa"/>
            <w:vAlign w:val="top"/>
          </w:tcPr>
          <w:p w14:paraId="378D7AD8">
            <w:pPr>
              <w:rPr>
                <w:rFonts w:ascii="Arial"/>
                <w:sz w:val="21"/>
              </w:rPr>
            </w:pPr>
          </w:p>
        </w:tc>
        <w:tc>
          <w:tcPr>
            <w:tcW w:w="4665" w:type="dxa"/>
            <w:vAlign w:val="top"/>
          </w:tcPr>
          <w:p w14:paraId="7877CF95">
            <w:pPr>
              <w:rPr>
                <w:rFonts w:ascii="Arial"/>
                <w:sz w:val="21"/>
              </w:rPr>
            </w:pPr>
          </w:p>
        </w:tc>
        <w:tc>
          <w:tcPr>
            <w:tcW w:w="1286" w:type="dxa"/>
            <w:tcBorders>
              <w:right w:val="single" w:color="000000" w:sz="10" w:space="0"/>
            </w:tcBorders>
            <w:vAlign w:val="top"/>
          </w:tcPr>
          <w:p w14:paraId="3BEE5FF9">
            <w:pPr>
              <w:rPr>
                <w:rFonts w:ascii="Arial"/>
                <w:sz w:val="21"/>
              </w:rPr>
            </w:pPr>
          </w:p>
        </w:tc>
      </w:tr>
      <w:tr w14:paraId="2A06B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9" w:hRule="atLeast"/>
        </w:trPr>
        <w:tc>
          <w:tcPr>
            <w:tcW w:w="891" w:type="dxa"/>
            <w:tcBorders>
              <w:left w:val="single" w:color="000000" w:sz="10" w:space="0"/>
            </w:tcBorders>
            <w:vAlign w:val="top"/>
          </w:tcPr>
          <w:p w14:paraId="48A02A33">
            <w:pPr>
              <w:rPr>
                <w:rFonts w:ascii="Arial"/>
                <w:sz w:val="21"/>
              </w:rPr>
            </w:pPr>
          </w:p>
        </w:tc>
        <w:tc>
          <w:tcPr>
            <w:tcW w:w="1978" w:type="dxa"/>
            <w:vAlign w:val="top"/>
          </w:tcPr>
          <w:p w14:paraId="08EDFE5E">
            <w:pPr>
              <w:rPr>
                <w:rFonts w:ascii="Arial"/>
                <w:sz w:val="21"/>
              </w:rPr>
            </w:pPr>
          </w:p>
        </w:tc>
        <w:tc>
          <w:tcPr>
            <w:tcW w:w="4665" w:type="dxa"/>
            <w:vAlign w:val="top"/>
          </w:tcPr>
          <w:p w14:paraId="175DE590">
            <w:pPr>
              <w:rPr>
                <w:rFonts w:ascii="Arial"/>
                <w:sz w:val="21"/>
              </w:rPr>
            </w:pPr>
          </w:p>
        </w:tc>
        <w:tc>
          <w:tcPr>
            <w:tcW w:w="1286" w:type="dxa"/>
            <w:tcBorders>
              <w:right w:val="single" w:color="000000" w:sz="10" w:space="0"/>
            </w:tcBorders>
            <w:vAlign w:val="top"/>
          </w:tcPr>
          <w:p w14:paraId="5A50D9A6">
            <w:pPr>
              <w:rPr>
                <w:rFonts w:ascii="Arial"/>
                <w:sz w:val="21"/>
              </w:rPr>
            </w:pPr>
          </w:p>
        </w:tc>
      </w:tr>
      <w:tr w14:paraId="7AE82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6E844622">
            <w:pPr>
              <w:rPr>
                <w:rFonts w:ascii="Arial"/>
                <w:sz w:val="21"/>
              </w:rPr>
            </w:pPr>
          </w:p>
        </w:tc>
        <w:tc>
          <w:tcPr>
            <w:tcW w:w="1978" w:type="dxa"/>
            <w:vAlign w:val="top"/>
          </w:tcPr>
          <w:p w14:paraId="2DE7A485">
            <w:pPr>
              <w:rPr>
                <w:rFonts w:ascii="Arial"/>
                <w:sz w:val="21"/>
              </w:rPr>
            </w:pPr>
          </w:p>
        </w:tc>
        <w:tc>
          <w:tcPr>
            <w:tcW w:w="4665" w:type="dxa"/>
            <w:vAlign w:val="top"/>
          </w:tcPr>
          <w:p w14:paraId="3ADE97C2">
            <w:pPr>
              <w:rPr>
                <w:rFonts w:ascii="Arial"/>
                <w:sz w:val="21"/>
              </w:rPr>
            </w:pPr>
          </w:p>
        </w:tc>
        <w:tc>
          <w:tcPr>
            <w:tcW w:w="1286" w:type="dxa"/>
            <w:tcBorders>
              <w:right w:val="single" w:color="000000" w:sz="10" w:space="0"/>
            </w:tcBorders>
            <w:vAlign w:val="top"/>
          </w:tcPr>
          <w:p w14:paraId="6ED0BE47">
            <w:pPr>
              <w:rPr>
                <w:rFonts w:ascii="Arial"/>
                <w:sz w:val="21"/>
              </w:rPr>
            </w:pPr>
          </w:p>
        </w:tc>
      </w:tr>
      <w:tr w14:paraId="38D3D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519F0ED9">
            <w:pPr>
              <w:rPr>
                <w:rFonts w:ascii="Arial"/>
                <w:sz w:val="21"/>
              </w:rPr>
            </w:pPr>
          </w:p>
        </w:tc>
        <w:tc>
          <w:tcPr>
            <w:tcW w:w="1978" w:type="dxa"/>
            <w:vAlign w:val="top"/>
          </w:tcPr>
          <w:p w14:paraId="6FF4F371">
            <w:pPr>
              <w:rPr>
                <w:rFonts w:ascii="Arial"/>
                <w:sz w:val="21"/>
              </w:rPr>
            </w:pPr>
          </w:p>
        </w:tc>
        <w:tc>
          <w:tcPr>
            <w:tcW w:w="4665" w:type="dxa"/>
            <w:vAlign w:val="top"/>
          </w:tcPr>
          <w:p w14:paraId="62D9E6A1">
            <w:pPr>
              <w:rPr>
                <w:rFonts w:ascii="Arial"/>
                <w:sz w:val="21"/>
              </w:rPr>
            </w:pPr>
          </w:p>
        </w:tc>
        <w:tc>
          <w:tcPr>
            <w:tcW w:w="1286" w:type="dxa"/>
            <w:tcBorders>
              <w:right w:val="single" w:color="000000" w:sz="10" w:space="0"/>
            </w:tcBorders>
            <w:vAlign w:val="top"/>
          </w:tcPr>
          <w:p w14:paraId="47A58C93">
            <w:pPr>
              <w:rPr>
                <w:rFonts w:ascii="Arial"/>
                <w:sz w:val="21"/>
              </w:rPr>
            </w:pPr>
          </w:p>
        </w:tc>
      </w:tr>
      <w:tr w14:paraId="3E3FF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2B7F5E2A">
            <w:pPr>
              <w:rPr>
                <w:rFonts w:ascii="Arial"/>
                <w:sz w:val="21"/>
              </w:rPr>
            </w:pPr>
          </w:p>
        </w:tc>
        <w:tc>
          <w:tcPr>
            <w:tcW w:w="1978" w:type="dxa"/>
            <w:vAlign w:val="top"/>
          </w:tcPr>
          <w:p w14:paraId="5406588D">
            <w:pPr>
              <w:rPr>
                <w:rFonts w:ascii="Arial"/>
                <w:sz w:val="21"/>
              </w:rPr>
            </w:pPr>
          </w:p>
        </w:tc>
        <w:tc>
          <w:tcPr>
            <w:tcW w:w="4665" w:type="dxa"/>
            <w:vAlign w:val="top"/>
          </w:tcPr>
          <w:p w14:paraId="0689BDD1">
            <w:pPr>
              <w:rPr>
                <w:rFonts w:ascii="Arial"/>
                <w:sz w:val="21"/>
              </w:rPr>
            </w:pPr>
          </w:p>
        </w:tc>
        <w:tc>
          <w:tcPr>
            <w:tcW w:w="1286" w:type="dxa"/>
            <w:tcBorders>
              <w:right w:val="single" w:color="000000" w:sz="10" w:space="0"/>
            </w:tcBorders>
            <w:vAlign w:val="top"/>
          </w:tcPr>
          <w:p w14:paraId="3B984A71">
            <w:pPr>
              <w:rPr>
                <w:rFonts w:ascii="Arial"/>
                <w:sz w:val="21"/>
              </w:rPr>
            </w:pPr>
          </w:p>
        </w:tc>
      </w:tr>
      <w:tr w14:paraId="673E5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9" w:hRule="atLeast"/>
        </w:trPr>
        <w:tc>
          <w:tcPr>
            <w:tcW w:w="891" w:type="dxa"/>
            <w:tcBorders>
              <w:left w:val="single" w:color="000000" w:sz="10" w:space="0"/>
            </w:tcBorders>
            <w:vAlign w:val="top"/>
          </w:tcPr>
          <w:p w14:paraId="24A25527">
            <w:pPr>
              <w:rPr>
                <w:rFonts w:ascii="Arial"/>
                <w:sz w:val="21"/>
              </w:rPr>
            </w:pPr>
          </w:p>
        </w:tc>
        <w:tc>
          <w:tcPr>
            <w:tcW w:w="1978" w:type="dxa"/>
            <w:vAlign w:val="top"/>
          </w:tcPr>
          <w:p w14:paraId="7128049E">
            <w:pPr>
              <w:rPr>
                <w:rFonts w:ascii="Arial"/>
                <w:sz w:val="21"/>
              </w:rPr>
            </w:pPr>
          </w:p>
        </w:tc>
        <w:tc>
          <w:tcPr>
            <w:tcW w:w="4665" w:type="dxa"/>
            <w:vAlign w:val="top"/>
          </w:tcPr>
          <w:p w14:paraId="41DA1628">
            <w:pPr>
              <w:rPr>
                <w:rFonts w:ascii="Arial"/>
                <w:sz w:val="21"/>
              </w:rPr>
            </w:pPr>
          </w:p>
        </w:tc>
        <w:tc>
          <w:tcPr>
            <w:tcW w:w="1286" w:type="dxa"/>
            <w:tcBorders>
              <w:right w:val="single" w:color="000000" w:sz="10" w:space="0"/>
            </w:tcBorders>
            <w:vAlign w:val="top"/>
          </w:tcPr>
          <w:p w14:paraId="137287C6">
            <w:pPr>
              <w:rPr>
                <w:rFonts w:ascii="Arial"/>
                <w:sz w:val="21"/>
              </w:rPr>
            </w:pPr>
          </w:p>
        </w:tc>
      </w:tr>
      <w:tr w14:paraId="367475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9" w:hRule="atLeast"/>
        </w:trPr>
        <w:tc>
          <w:tcPr>
            <w:tcW w:w="891" w:type="dxa"/>
            <w:tcBorders>
              <w:left w:val="single" w:color="000000" w:sz="10" w:space="0"/>
            </w:tcBorders>
            <w:vAlign w:val="top"/>
          </w:tcPr>
          <w:p w14:paraId="5A5A5733">
            <w:pPr>
              <w:rPr>
                <w:rFonts w:ascii="Arial"/>
                <w:sz w:val="21"/>
              </w:rPr>
            </w:pPr>
          </w:p>
        </w:tc>
        <w:tc>
          <w:tcPr>
            <w:tcW w:w="1978" w:type="dxa"/>
            <w:vAlign w:val="top"/>
          </w:tcPr>
          <w:p w14:paraId="323C1532">
            <w:pPr>
              <w:rPr>
                <w:rFonts w:ascii="Arial"/>
                <w:sz w:val="21"/>
              </w:rPr>
            </w:pPr>
          </w:p>
        </w:tc>
        <w:tc>
          <w:tcPr>
            <w:tcW w:w="4665" w:type="dxa"/>
            <w:vAlign w:val="top"/>
          </w:tcPr>
          <w:p w14:paraId="2B7261A2">
            <w:pPr>
              <w:rPr>
                <w:rFonts w:ascii="Arial"/>
                <w:sz w:val="21"/>
              </w:rPr>
            </w:pPr>
          </w:p>
        </w:tc>
        <w:tc>
          <w:tcPr>
            <w:tcW w:w="1286" w:type="dxa"/>
            <w:tcBorders>
              <w:right w:val="single" w:color="000000" w:sz="10" w:space="0"/>
            </w:tcBorders>
            <w:vAlign w:val="top"/>
          </w:tcPr>
          <w:p w14:paraId="4EA99FDE">
            <w:pPr>
              <w:rPr>
                <w:rFonts w:ascii="Arial"/>
                <w:sz w:val="21"/>
              </w:rPr>
            </w:pPr>
          </w:p>
        </w:tc>
      </w:tr>
      <w:tr w14:paraId="1BEAF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5EF34A56">
            <w:pPr>
              <w:rPr>
                <w:rFonts w:ascii="Arial"/>
                <w:sz w:val="21"/>
              </w:rPr>
            </w:pPr>
          </w:p>
        </w:tc>
        <w:tc>
          <w:tcPr>
            <w:tcW w:w="1978" w:type="dxa"/>
            <w:vAlign w:val="top"/>
          </w:tcPr>
          <w:p w14:paraId="41FB6060">
            <w:pPr>
              <w:rPr>
                <w:rFonts w:ascii="Arial"/>
                <w:sz w:val="21"/>
              </w:rPr>
            </w:pPr>
          </w:p>
        </w:tc>
        <w:tc>
          <w:tcPr>
            <w:tcW w:w="4665" w:type="dxa"/>
            <w:vAlign w:val="top"/>
          </w:tcPr>
          <w:p w14:paraId="7ACDD891">
            <w:pPr>
              <w:rPr>
                <w:rFonts w:ascii="Arial"/>
                <w:sz w:val="21"/>
              </w:rPr>
            </w:pPr>
          </w:p>
        </w:tc>
        <w:tc>
          <w:tcPr>
            <w:tcW w:w="1286" w:type="dxa"/>
            <w:tcBorders>
              <w:right w:val="single" w:color="000000" w:sz="10" w:space="0"/>
            </w:tcBorders>
            <w:vAlign w:val="top"/>
          </w:tcPr>
          <w:p w14:paraId="4E4D3DC4">
            <w:pPr>
              <w:rPr>
                <w:rFonts w:ascii="Arial"/>
                <w:sz w:val="21"/>
              </w:rPr>
            </w:pPr>
          </w:p>
        </w:tc>
      </w:tr>
      <w:tr w14:paraId="7F4A4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0A4CF3CC">
            <w:pPr>
              <w:rPr>
                <w:rFonts w:ascii="Arial"/>
                <w:sz w:val="21"/>
              </w:rPr>
            </w:pPr>
          </w:p>
        </w:tc>
        <w:tc>
          <w:tcPr>
            <w:tcW w:w="1978" w:type="dxa"/>
            <w:vAlign w:val="top"/>
          </w:tcPr>
          <w:p w14:paraId="675785DB">
            <w:pPr>
              <w:rPr>
                <w:rFonts w:ascii="Arial"/>
                <w:sz w:val="21"/>
              </w:rPr>
            </w:pPr>
          </w:p>
        </w:tc>
        <w:tc>
          <w:tcPr>
            <w:tcW w:w="4665" w:type="dxa"/>
            <w:vAlign w:val="top"/>
          </w:tcPr>
          <w:p w14:paraId="3567592C">
            <w:pPr>
              <w:rPr>
                <w:rFonts w:ascii="Arial"/>
                <w:sz w:val="21"/>
              </w:rPr>
            </w:pPr>
          </w:p>
        </w:tc>
        <w:tc>
          <w:tcPr>
            <w:tcW w:w="1286" w:type="dxa"/>
            <w:tcBorders>
              <w:right w:val="single" w:color="000000" w:sz="10" w:space="0"/>
            </w:tcBorders>
            <w:vAlign w:val="top"/>
          </w:tcPr>
          <w:p w14:paraId="73CAFDBD">
            <w:pPr>
              <w:rPr>
                <w:rFonts w:ascii="Arial"/>
                <w:sz w:val="21"/>
              </w:rPr>
            </w:pPr>
          </w:p>
        </w:tc>
      </w:tr>
      <w:tr w14:paraId="12172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288BC482">
            <w:pPr>
              <w:rPr>
                <w:rFonts w:ascii="Arial"/>
                <w:sz w:val="21"/>
              </w:rPr>
            </w:pPr>
          </w:p>
        </w:tc>
        <w:tc>
          <w:tcPr>
            <w:tcW w:w="1978" w:type="dxa"/>
            <w:vAlign w:val="top"/>
          </w:tcPr>
          <w:p w14:paraId="53566D40">
            <w:pPr>
              <w:rPr>
                <w:rFonts w:ascii="Arial"/>
                <w:sz w:val="21"/>
              </w:rPr>
            </w:pPr>
          </w:p>
        </w:tc>
        <w:tc>
          <w:tcPr>
            <w:tcW w:w="4665" w:type="dxa"/>
            <w:vAlign w:val="top"/>
          </w:tcPr>
          <w:p w14:paraId="2A11FC76">
            <w:pPr>
              <w:rPr>
                <w:rFonts w:ascii="Arial"/>
                <w:sz w:val="21"/>
              </w:rPr>
            </w:pPr>
          </w:p>
        </w:tc>
        <w:tc>
          <w:tcPr>
            <w:tcW w:w="1286" w:type="dxa"/>
            <w:tcBorders>
              <w:right w:val="single" w:color="000000" w:sz="10" w:space="0"/>
            </w:tcBorders>
            <w:vAlign w:val="top"/>
          </w:tcPr>
          <w:p w14:paraId="49CBEE42">
            <w:pPr>
              <w:rPr>
                <w:rFonts w:ascii="Arial"/>
                <w:sz w:val="21"/>
              </w:rPr>
            </w:pPr>
          </w:p>
        </w:tc>
      </w:tr>
      <w:tr w14:paraId="409068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9" w:hRule="atLeast"/>
        </w:trPr>
        <w:tc>
          <w:tcPr>
            <w:tcW w:w="891" w:type="dxa"/>
            <w:tcBorders>
              <w:left w:val="single" w:color="000000" w:sz="10" w:space="0"/>
            </w:tcBorders>
            <w:vAlign w:val="top"/>
          </w:tcPr>
          <w:p w14:paraId="350A2137">
            <w:pPr>
              <w:rPr>
                <w:rFonts w:ascii="Arial"/>
                <w:sz w:val="21"/>
              </w:rPr>
            </w:pPr>
          </w:p>
        </w:tc>
        <w:tc>
          <w:tcPr>
            <w:tcW w:w="1978" w:type="dxa"/>
            <w:vAlign w:val="top"/>
          </w:tcPr>
          <w:p w14:paraId="595A9B07">
            <w:pPr>
              <w:rPr>
                <w:rFonts w:ascii="Arial"/>
                <w:sz w:val="21"/>
              </w:rPr>
            </w:pPr>
          </w:p>
        </w:tc>
        <w:tc>
          <w:tcPr>
            <w:tcW w:w="4665" w:type="dxa"/>
            <w:vAlign w:val="top"/>
          </w:tcPr>
          <w:p w14:paraId="23337A27">
            <w:pPr>
              <w:rPr>
                <w:rFonts w:ascii="Arial"/>
                <w:sz w:val="21"/>
              </w:rPr>
            </w:pPr>
          </w:p>
        </w:tc>
        <w:tc>
          <w:tcPr>
            <w:tcW w:w="1286" w:type="dxa"/>
            <w:tcBorders>
              <w:right w:val="single" w:color="000000" w:sz="10" w:space="0"/>
            </w:tcBorders>
            <w:vAlign w:val="top"/>
          </w:tcPr>
          <w:p w14:paraId="2AD0ADB8">
            <w:pPr>
              <w:rPr>
                <w:rFonts w:ascii="Arial"/>
                <w:sz w:val="21"/>
              </w:rPr>
            </w:pPr>
          </w:p>
        </w:tc>
      </w:tr>
      <w:tr w14:paraId="441B0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059194A7">
            <w:pPr>
              <w:rPr>
                <w:rFonts w:ascii="Arial"/>
                <w:sz w:val="21"/>
              </w:rPr>
            </w:pPr>
          </w:p>
        </w:tc>
        <w:tc>
          <w:tcPr>
            <w:tcW w:w="1978" w:type="dxa"/>
            <w:vAlign w:val="top"/>
          </w:tcPr>
          <w:p w14:paraId="45EFA666">
            <w:pPr>
              <w:rPr>
                <w:rFonts w:ascii="Arial"/>
                <w:sz w:val="21"/>
              </w:rPr>
            </w:pPr>
          </w:p>
        </w:tc>
        <w:tc>
          <w:tcPr>
            <w:tcW w:w="4665" w:type="dxa"/>
            <w:vAlign w:val="top"/>
          </w:tcPr>
          <w:p w14:paraId="42045787">
            <w:pPr>
              <w:rPr>
                <w:rFonts w:ascii="Arial"/>
                <w:sz w:val="21"/>
              </w:rPr>
            </w:pPr>
          </w:p>
        </w:tc>
        <w:tc>
          <w:tcPr>
            <w:tcW w:w="1286" w:type="dxa"/>
            <w:tcBorders>
              <w:right w:val="single" w:color="000000" w:sz="10" w:space="0"/>
            </w:tcBorders>
            <w:vAlign w:val="top"/>
          </w:tcPr>
          <w:p w14:paraId="11FA17AF">
            <w:pPr>
              <w:rPr>
                <w:rFonts w:ascii="Arial"/>
                <w:sz w:val="21"/>
              </w:rPr>
            </w:pPr>
          </w:p>
        </w:tc>
      </w:tr>
      <w:tr w14:paraId="68580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7E3115D0">
            <w:pPr>
              <w:rPr>
                <w:rFonts w:ascii="Arial"/>
                <w:sz w:val="21"/>
              </w:rPr>
            </w:pPr>
          </w:p>
        </w:tc>
        <w:tc>
          <w:tcPr>
            <w:tcW w:w="1978" w:type="dxa"/>
            <w:vAlign w:val="top"/>
          </w:tcPr>
          <w:p w14:paraId="758F789C">
            <w:pPr>
              <w:rPr>
                <w:rFonts w:ascii="Arial"/>
                <w:sz w:val="21"/>
              </w:rPr>
            </w:pPr>
          </w:p>
        </w:tc>
        <w:tc>
          <w:tcPr>
            <w:tcW w:w="4665" w:type="dxa"/>
            <w:vAlign w:val="top"/>
          </w:tcPr>
          <w:p w14:paraId="7820760C">
            <w:pPr>
              <w:rPr>
                <w:rFonts w:ascii="Arial"/>
                <w:sz w:val="21"/>
              </w:rPr>
            </w:pPr>
          </w:p>
        </w:tc>
        <w:tc>
          <w:tcPr>
            <w:tcW w:w="1286" w:type="dxa"/>
            <w:tcBorders>
              <w:right w:val="single" w:color="000000" w:sz="10" w:space="0"/>
            </w:tcBorders>
            <w:vAlign w:val="top"/>
          </w:tcPr>
          <w:p w14:paraId="3ABAA92C">
            <w:pPr>
              <w:rPr>
                <w:rFonts w:ascii="Arial"/>
                <w:sz w:val="21"/>
              </w:rPr>
            </w:pPr>
          </w:p>
        </w:tc>
      </w:tr>
      <w:tr w14:paraId="4F958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2BF81FF9">
            <w:pPr>
              <w:rPr>
                <w:rFonts w:ascii="Arial"/>
                <w:sz w:val="21"/>
              </w:rPr>
            </w:pPr>
          </w:p>
        </w:tc>
        <w:tc>
          <w:tcPr>
            <w:tcW w:w="1978" w:type="dxa"/>
            <w:vAlign w:val="top"/>
          </w:tcPr>
          <w:p w14:paraId="392582E0">
            <w:pPr>
              <w:rPr>
                <w:rFonts w:ascii="Arial"/>
                <w:sz w:val="21"/>
              </w:rPr>
            </w:pPr>
          </w:p>
        </w:tc>
        <w:tc>
          <w:tcPr>
            <w:tcW w:w="4665" w:type="dxa"/>
            <w:vAlign w:val="top"/>
          </w:tcPr>
          <w:p w14:paraId="4CC9ECE4">
            <w:pPr>
              <w:rPr>
                <w:rFonts w:ascii="Arial"/>
                <w:sz w:val="21"/>
              </w:rPr>
            </w:pPr>
          </w:p>
        </w:tc>
        <w:tc>
          <w:tcPr>
            <w:tcW w:w="1286" w:type="dxa"/>
            <w:tcBorders>
              <w:right w:val="single" w:color="000000" w:sz="10" w:space="0"/>
            </w:tcBorders>
            <w:vAlign w:val="top"/>
          </w:tcPr>
          <w:p w14:paraId="74FF9A33">
            <w:pPr>
              <w:rPr>
                <w:rFonts w:ascii="Arial"/>
                <w:sz w:val="21"/>
              </w:rPr>
            </w:pPr>
          </w:p>
        </w:tc>
      </w:tr>
      <w:tr w14:paraId="28F27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1" w:hRule="atLeast"/>
        </w:trPr>
        <w:tc>
          <w:tcPr>
            <w:tcW w:w="8820" w:type="dxa"/>
            <w:gridSpan w:val="4"/>
            <w:tcBorders>
              <w:left w:val="single" w:color="000000" w:sz="10" w:space="0"/>
              <w:bottom w:val="single" w:color="000000" w:sz="10" w:space="0"/>
              <w:right w:val="single" w:color="000000" w:sz="10" w:space="0"/>
            </w:tcBorders>
            <w:vAlign w:val="top"/>
          </w:tcPr>
          <w:p w14:paraId="19CB5CF7">
            <w:pPr>
              <w:spacing w:before="135" w:line="231" w:lineRule="auto"/>
              <w:ind w:left="4095"/>
              <w:rPr>
                <w:rFonts w:ascii="仿宋" w:hAnsi="仿宋" w:eastAsia="仿宋" w:cs="仿宋"/>
                <w:sz w:val="20"/>
                <w:szCs w:val="20"/>
              </w:rPr>
            </w:pPr>
            <w:r>
              <w:rPr>
                <w:rFonts w:ascii="仿宋" w:hAnsi="仿宋" w:eastAsia="仿宋" w:cs="仿宋"/>
                <w:spacing w:val="1"/>
                <w:sz w:val="20"/>
                <w:szCs w:val="20"/>
              </w:rPr>
              <w:t>小计：</w:t>
            </w:r>
          </w:p>
        </w:tc>
      </w:tr>
    </w:tbl>
    <w:p w14:paraId="322AEA1F">
      <w:pPr>
        <w:rPr>
          <w:rFonts w:ascii="Arial"/>
          <w:sz w:val="21"/>
        </w:rPr>
      </w:pPr>
    </w:p>
    <w:p w14:paraId="3FC8F3AD">
      <w:pPr>
        <w:rPr>
          <w:rFonts w:ascii="Arial" w:hAnsi="Arial" w:eastAsia="Arial" w:cs="Arial"/>
          <w:sz w:val="21"/>
          <w:szCs w:val="21"/>
        </w:rPr>
        <w:sectPr>
          <w:footerReference r:id="rId436" w:type="default"/>
          <w:pgSz w:w="11907" w:h="16840"/>
          <w:pgMar w:top="400" w:right="1559" w:bottom="1105" w:left="1501" w:header="0" w:footer="943" w:gutter="0"/>
          <w:cols w:space="720" w:num="1"/>
        </w:sectPr>
      </w:pPr>
    </w:p>
    <w:p w14:paraId="11432D0E">
      <w:pPr>
        <w:spacing w:line="249" w:lineRule="auto"/>
        <w:rPr>
          <w:rFonts w:ascii="Arial"/>
          <w:sz w:val="21"/>
        </w:rPr>
      </w:pPr>
    </w:p>
    <w:p w14:paraId="762A6EAA">
      <w:pPr>
        <w:spacing w:line="250" w:lineRule="auto"/>
        <w:rPr>
          <w:rFonts w:ascii="Arial"/>
          <w:sz w:val="21"/>
        </w:rPr>
      </w:pPr>
    </w:p>
    <w:p w14:paraId="2D352A2D">
      <w:pPr>
        <w:spacing w:line="250" w:lineRule="auto"/>
        <w:rPr>
          <w:rFonts w:ascii="Arial"/>
          <w:sz w:val="21"/>
        </w:rPr>
      </w:pPr>
    </w:p>
    <w:p w14:paraId="0FBEA709">
      <w:pPr>
        <w:spacing w:line="250" w:lineRule="auto"/>
        <w:rPr>
          <w:rFonts w:ascii="Arial"/>
          <w:sz w:val="21"/>
        </w:rPr>
      </w:pPr>
    </w:p>
    <w:p w14:paraId="60EC2A0A">
      <w:pPr>
        <w:spacing w:line="250" w:lineRule="auto"/>
        <w:rPr>
          <w:rFonts w:ascii="Arial"/>
          <w:sz w:val="21"/>
        </w:rPr>
      </w:pPr>
    </w:p>
    <w:p w14:paraId="495CDE2D">
      <w:pPr>
        <w:spacing w:line="250" w:lineRule="auto"/>
        <w:rPr>
          <w:rFonts w:ascii="Arial"/>
          <w:sz w:val="21"/>
        </w:rPr>
      </w:pPr>
    </w:p>
    <w:p w14:paraId="74D89826">
      <w:pPr>
        <w:spacing w:line="250" w:lineRule="auto"/>
        <w:rPr>
          <w:rFonts w:ascii="Arial"/>
          <w:sz w:val="21"/>
        </w:rPr>
      </w:pPr>
    </w:p>
    <w:p w14:paraId="268B2750">
      <w:pPr>
        <w:spacing w:line="250" w:lineRule="auto"/>
        <w:rPr>
          <w:rFonts w:ascii="Arial"/>
          <w:sz w:val="21"/>
        </w:rPr>
      </w:pPr>
    </w:p>
    <w:p w14:paraId="1C2962A8">
      <w:pPr>
        <w:spacing w:line="250" w:lineRule="auto"/>
        <w:rPr>
          <w:rFonts w:ascii="Arial"/>
          <w:sz w:val="21"/>
        </w:rPr>
      </w:pPr>
    </w:p>
    <w:p w14:paraId="722D04D3">
      <w:pPr>
        <w:spacing w:line="250" w:lineRule="auto"/>
        <w:rPr>
          <w:rFonts w:ascii="Arial"/>
          <w:sz w:val="21"/>
        </w:rPr>
      </w:pPr>
    </w:p>
    <w:p w14:paraId="3B5E5B66">
      <w:pPr>
        <w:spacing w:line="250" w:lineRule="auto"/>
        <w:rPr>
          <w:rFonts w:ascii="Arial"/>
          <w:sz w:val="21"/>
        </w:rPr>
      </w:pPr>
    </w:p>
    <w:p w14:paraId="7573CC97">
      <w:pPr>
        <w:spacing w:line="250" w:lineRule="auto"/>
        <w:rPr>
          <w:rFonts w:ascii="Arial"/>
          <w:sz w:val="21"/>
        </w:rPr>
      </w:pPr>
    </w:p>
    <w:p w14:paraId="75EE5461">
      <w:pPr>
        <w:spacing w:line="250" w:lineRule="auto"/>
        <w:rPr>
          <w:rFonts w:ascii="Arial"/>
          <w:sz w:val="21"/>
        </w:rPr>
      </w:pPr>
    </w:p>
    <w:p w14:paraId="565495A8">
      <w:pPr>
        <w:spacing w:line="250" w:lineRule="auto"/>
        <w:rPr>
          <w:rFonts w:ascii="Arial"/>
          <w:sz w:val="21"/>
        </w:rPr>
      </w:pPr>
    </w:p>
    <w:p w14:paraId="18387EA4">
      <w:pPr>
        <w:spacing w:line="250" w:lineRule="auto"/>
        <w:rPr>
          <w:rFonts w:ascii="Arial"/>
          <w:sz w:val="21"/>
        </w:rPr>
      </w:pPr>
    </w:p>
    <w:p w14:paraId="284454BD">
      <w:pPr>
        <w:spacing w:line="250" w:lineRule="auto"/>
        <w:rPr>
          <w:rFonts w:ascii="Arial"/>
          <w:sz w:val="21"/>
        </w:rPr>
      </w:pPr>
    </w:p>
    <w:p w14:paraId="2D00B441">
      <w:pPr>
        <w:pStyle w:val="2"/>
        <w:spacing w:before="100" w:line="227" w:lineRule="auto"/>
        <w:ind w:left="2728"/>
        <w:outlineLvl w:val="0"/>
        <w:rPr>
          <w:sz w:val="31"/>
          <w:szCs w:val="31"/>
        </w:rPr>
      </w:pPr>
      <w:bookmarkStart w:id="349" w:name="bookmark332"/>
      <w:bookmarkEnd w:id="349"/>
      <w:r>
        <w:rPr>
          <w:spacing w:val="7"/>
          <w:sz w:val="31"/>
          <w:szCs w:val="31"/>
        </w:rPr>
        <w:t>第五章  工程量清单</w:t>
      </w:r>
    </w:p>
    <w:p w14:paraId="4FB1D079">
      <w:pPr>
        <w:spacing w:line="227" w:lineRule="auto"/>
        <w:rPr>
          <w:sz w:val="31"/>
          <w:szCs w:val="31"/>
        </w:rPr>
        <w:sectPr>
          <w:footerReference r:id="rId437" w:type="default"/>
          <w:pgSz w:w="11907" w:h="16840"/>
          <w:pgMar w:top="400" w:right="1786" w:bottom="1105" w:left="1786" w:header="0" w:footer="943" w:gutter="0"/>
          <w:cols w:space="720" w:num="1"/>
        </w:sectPr>
      </w:pPr>
    </w:p>
    <w:p w14:paraId="526B09C3">
      <w:pPr>
        <w:spacing w:line="245" w:lineRule="auto"/>
        <w:rPr>
          <w:rFonts w:ascii="Arial"/>
          <w:sz w:val="21"/>
        </w:rPr>
      </w:pPr>
    </w:p>
    <w:p w14:paraId="0E44D4B9">
      <w:pPr>
        <w:spacing w:line="246" w:lineRule="auto"/>
        <w:rPr>
          <w:rFonts w:ascii="Arial"/>
          <w:sz w:val="21"/>
        </w:rPr>
      </w:pPr>
    </w:p>
    <w:p w14:paraId="71CC75E3">
      <w:pPr>
        <w:spacing w:line="246" w:lineRule="auto"/>
        <w:rPr>
          <w:rFonts w:ascii="Arial"/>
          <w:sz w:val="21"/>
        </w:rPr>
      </w:pPr>
    </w:p>
    <w:p w14:paraId="4C661D3B">
      <w:pPr>
        <w:spacing w:line="246" w:lineRule="auto"/>
        <w:rPr>
          <w:rFonts w:ascii="Arial"/>
          <w:sz w:val="21"/>
        </w:rPr>
      </w:pPr>
    </w:p>
    <w:p w14:paraId="54F1FAEB">
      <w:pPr>
        <w:pStyle w:val="2"/>
        <w:spacing w:before="91" w:line="222" w:lineRule="auto"/>
        <w:ind w:left="3421"/>
        <w:rPr>
          <w:sz w:val="28"/>
          <w:szCs w:val="28"/>
        </w:rPr>
      </w:pPr>
      <w:bookmarkStart w:id="350" w:name="bookmark333"/>
      <w:bookmarkEnd w:id="350"/>
      <w:r>
        <w:rPr>
          <w:spacing w:val="-1"/>
          <w:sz w:val="28"/>
          <w:szCs w:val="28"/>
        </w:rPr>
        <w:t>第五章  工程量清单</w:t>
      </w:r>
    </w:p>
    <w:p w14:paraId="61075BFF">
      <w:pPr>
        <w:spacing w:line="373" w:lineRule="auto"/>
        <w:rPr>
          <w:rFonts w:ascii="Arial"/>
          <w:sz w:val="21"/>
        </w:rPr>
      </w:pPr>
    </w:p>
    <w:p w14:paraId="3CF6793C">
      <w:pPr>
        <w:pStyle w:val="2"/>
        <w:spacing w:before="78" w:line="221" w:lineRule="auto"/>
        <w:ind w:left="9"/>
        <w:outlineLvl w:val="1"/>
        <w:rPr>
          <w:sz w:val="24"/>
          <w:szCs w:val="24"/>
        </w:rPr>
      </w:pPr>
      <w:bookmarkStart w:id="351" w:name="bookmark468"/>
      <w:bookmarkEnd w:id="351"/>
      <w:r>
        <w:rPr>
          <w:rFonts w:ascii="Times New Roman" w:hAnsi="Times New Roman" w:eastAsia="Times New Roman" w:cs="Times New Roman"/>
          <w:spacing w:val="-3"/>
          <w:sz w:val="24"/>
          <w:szCs w:val="24"/>
        </w:rPr>
        <w:t>1.</w:t>
      </w:r>
      <w:r>
        <w:rPr>
          <w:spacing w:val="-3"/>
          <w:sz w:val="24"/>
          <w:szCs w:val="24"/>
        </w:rPr>
        <w:t>招标工程量清单说明</w:t>
      </w:r>
    </w:p>
    <w:p w14:paraId="3517E7C1">
      <w:pPr>
        <w:pStyle w:val="2"/>
        <w:spacing w:before="163" w:line="397" w:lineRule="auto"/>
        <w:ind w:left="755" w:right="67" w:hanging="756"/>
        <w:rPr>
          <w:rFonts w:ascii="宋体" w:hAnsi="宋体" w:eastAsia="宋体" w:cs="宋体"/>
          <w:sz w:val="20"/>
          <w:szCs w:val="20"/>
        </w:rPr>
      </w:pPr>
      <w:r>
        <w:rPr>
          <w:spacing w:val="7"/>
          <w:sz w:val="20"/>
          <w:szCs w:val="20"/>
        </w:rPr>
        <w:t xml:space="preserve">1.1    </w:t>
      </w:r>
      <w:r>
        <w:rPr>
          <w:rFonts w:ascii="宋体" w:hAnsi="宋体" w:eastAsia="宋体" w:cs="宋体"/>
          <w:spacing w:val="7"/>
          <w:sz w:val="20"/>
          <w:szCs w:val="20"/>
        </w:rPr>
        <w:t>本招标工程量清单是依据中华人民共和国国家标准《建</w:t>
      </w:r>
      <w:r>
        <w:rPr>
          <w:rFonts w:ascii="宋体" w:hAnsi="宋体" w:eastAsia="宋体" w:cs="宋体"/>
          <w:spacing w:val="6"/>
          <w:sz w:val="20"/>
          <w:szCs w:val="20"/>
        </w:rPr>
        <w:t>设工程工程量清单计价规范》（</w:t>
      </w:r>
      <w:r>
        <w:rPr>
          <w:rFonts w:ascii="宋体" w:hAnsi="宋体" w:eastAsia="宋体" w:cs="宋体"/>
          <w:sz w:val="20"/>
          <w:szCs w:val="20"/>
        </w:rPr>
        <w:t xml:space="preserve">GB </w:t>
      </w:r>
      <w:r>
        <w:rPr>
          <w:rFonts w:ascii="宋体" w:hAnsi="宋体" w:eastAsia="宋体" w:cs="宋体"/>
          <w:spacing w:val="5"/>
          <w:sz w:val="20"/>
          <w:szCs w:val="20"/>
        </w:rPr>
        <w:t>50500-2013）和配套的工程量计算规范（</w:t>
      </w:r>
      <w:r>
        <w:rPr>
          <w:rFonts w:ascii="宋体" w:hAnsi="宋体" w:eastAsia="宋体" w:cs="宋体"/>
          <w:sz w:val="20"/>
          <w:szCs w:val="20"/>
        </w:rPr>
        <w:t>GB</w:t>
      </w:r>
      <w:r>
        <w:rPr>
          <w:rFonts w:ascii="宋体" w:hAnsi="宋体" w:eastAsia="宋体" w:cs="宋体"/>
          <w:spacing w:val="-34"/>
          <w:sz w:val="20"/>
          <w:szCs w:val="20"/>
        </w:rPr>
        <w:t xml:space="preserve"> </w:t>
      </w:r>
      <w:r>
        <w:rPr>
          <w:rFonts w:ascii="宋体" w:hAnsi="宋体" w:eastAsia="宋体" w:cs="宋体"/>
          <w:spacing w:val="5"/>
          <w:sz w:val="20"/>
          <w:szCs w:val="20"/>
        </w:rPr>
        <w:t>50854-2013～</w:t>
      </w:r>
      <w:r>
        <w:rPr>
          <w:rFonts w:ascii="宋体" w:hAnsi="宋体" w:eastAsia="宋体" w:cs="宋体"/>
          <w:sz w:val="20"/>
          <w:szCs w:val="20"/>
        </w:rPr>
        <w:t>GB</w:t>
      </w:r>
      <w:r>
        <w:rPr>
          <w:rFonts w:ascii="宋体" w:hAnsi="宋体" w:eastAsia="宋体" w:cs="宋体"/>
          <w:spacing w:val="-37"/>
          <w:sz w:val="20"/>
          <w:szCs w:val="20"/>
        </w:rPr>
        <w:t xml:space="preserve"> </w:t>
      </w:r>
      <w:r>
        <w:rPr>
          <w:rFonts w:ascii="宋体" w:hAnsi="宋体" w:eastAsia="宋体" w:cs="宋体"/>
          <w:spacing w:val="5"/>
          <w:sz w:val="20"/>
          <w:szCs w:val="20"/>
        </w:rPr>
        <w:t>50862-2013</w:t>
      </w:r>
      <w:r>
        <w:rPr>
          <w:rFonts w:ascii="宋体" w:hAnsi="宋体" w:eastAsia="宋体" w:cs="宋体"/>
          <w:spacing w:val="-54"/>
          <w:w w:val="93"/>
          <w:sz w:val="20"/>
          <w:szCs w:val="20"/>
        </w:rPr>
        <w:t>）（</w:t>
      </w:r>
      <w:r>
        <w:rPr>
          <w:rFonts w:ascii="宋体" w:hAnsi="宋体" w:eastAsia="宋体" w:cs="宋体"/>
          <w:spacing w:val="5"/>
          <w:sz w:val="20"/>
          <w:szCs w:val="20"/>
        </w:rPr>
        <w:t>以下简称“计</w:t>
      </w:r>
      <w:r>
        <w:rPr>
          <w:rFonts w:ascii="宋体" w:hAnsi="宋体" w:eastAsia="宋体" w:cs="宋体"/>
          <w:sz w:val="20"/>
          <w:szCs w:val="20"/>
        </w:rPr>
        <w:t>价规范</w:t>
      </w:r>
      <w:r>
        <w:rPr>
          <w:rFonts w:ascii="宋体" w:hAnsi="宋体" w:eastAsia="宋体" w:cs="宋体"/>
          <w:spacing w:val="-54"/>
          <w:sz w:val="20"/>
          <w:szCs w:val="20"/>
        </w:rPr>
        <w:t xml:space="preserve"> </w:t>
      </w:r>
      <w:r>
        <w:rPr>
          <w:rFonts w:ascii="宋体" w:hAnsi="宋体" w:eastAsia="宋体" w:cs="宋体"/>
          <w:sz w:val="20"/>
          <w:szCs w:val="20"/>
        </w:rPr>
        <w:t>”“计量规范</w:t>
      </w:r>
      <w:r>
        <w:rPr>
          <w:rFonts w:ascii="宋体" w:hAnsi="宋体" w:eastAsia="宋体" w:cs="宋体"/>
          <w:spacing w:val="-70"/>
          <w:sz w:val="20"/>
          <w:szCs w:val="20"/>
        </w:rPr>
        <w:t xml:space="preserve"> </w:t>
      </w:r>
      <w:r>
        <w:rPr>
          <w:rFonts w:ascii="宋体" w:hAnsi="宋体" w:eastAsia="宋体" w:cs="宋体"/>
          <w:sz w:val="20"/>
          <w:szCs w:val="20"/>
        </w:rPr>
        <w:t>”或“计价计量规范”）、鄂建文[</w:t>
      </w:r>
      <w:r>
        <w:fldChar w:fldCharType="begin"/>
      </w:r>
      <w:r>
        <w:instrText xml:space="preserve"> HYPERLINK \l "bookmark469" </w:instrText>
      </w:r>
      <w:r>
        <w:fldChar w:fldCharType="separate"/>
      </w:r>
      <w:r>
        <w:rPr>
          <w:rFonts w:ascii="宋体" w:hAnsi="宋体" w:eastAsia="宋体" w:cs="宋体"/>
          <w:sz w:val="20"/>
          <w:szCs w:val="20"/>
        </w:rPr>
        <w:t>2013</w:t>
      </w:r>
      <w:r>
        <w:rPr>
          <w:rFonts w:ascii="宋体" w:hAnsi="宋体" w:eastAsia="宋体" w:cs="宋体"/>
          <w:sz w:val="20"/>
          <w:szCs w:val="20"/>
        </w:rPr>
        <w:fldChar w:fldCharType="end"/>
      </w:r>
      <w:r>
        <w:rPr>
          <w:rFonts w:ascii="宋体" w:hAnsi="宋体" w:eastAsia="宋体" w:cs="宋体"/>
          <w:sz w:val="20"/>
          <w:szCs w:val="20"/>
        </w:rPr>
        <w:t>]39</w:t>
      </w:r>
      <w:r>
        <w:rPr>
          <w:rFonts w:ascii="宋体" w:hAnsi="宋体" w:eastAsia="宋体" w:cs="宋体"/>
          <w:spacing w:val="-33"/>
          <w:sz w:val="20"/>
          <w:szCs w:val="20"/>
        </w:rPr>
        <w:t xml:space="preserve"> </w:t>
      </w:r>
      <w:r>
        <w:rPr>
          <w:rFonts w:ascii="宋体" w:hAnsi="宋体" w:eastAsia="宋体" w:cs="宋体"/>
          <w:sz w:val="20"/>
          <w:szCs w:val="20"/>
        </w:rPr>
        <w:t>号《关于执行&lt;房屋建筑与</w:t>
      </w:r>
      <w:r>
        <w:rPr>
          <w:rFonts w:ascii="宋体" w:hAnsi="宋体" w:eastAsia="宋体" w:cs="宋体"/>
          <w:spacing w:val="5"/>
          <w:sz w:val="20"/>
          <w:szCs w:val="20"/>
        </w:rPr>
        <w:t>装饰工程工程量计算规范&gt;（</w:t>
      </w:r>
      <w:r>
        <w:rPr>
          <w:rFonts w:ascii="宋体" w:hAnsi="宋体" w:eastAsia="宋体" w:cs="宋体"/>
          <w:sz w:val="20"/>
          <w:szCs w:val="20"/>
        </w:rPr>
        <w:t>GB</w:t>
      </w:r>
      <w:r>
        <w:rPr>
          <w:rFonts w:ascii="宋体" w:hAnsi="宋体" w:eastAsia="宋体" w:cs="宋体"/>
          <w:spacing w:val="5"/>
          <w:sz w:val="20"/>
          <w:szCs w:val="20"/>
        </w:rPr>
        <w:t xml:space="preserve"> 50584-2013）等</w:t>
      </w:r>
      <w:r>
        <w:rPr>
          <w:rFonts w:ascii="宋体" w:hAnsi="宋体" w:eastAsia="宋体" w:cs="宋体"/>
          <w:spacing w:val="-39"/>
          <w:sz w:val="20"/>
          <w:szCs w:val="20"/>
        </w:rPr>
        <w:t xml:space="preserve"> </w:t>
      </w:r>
      <w:r>
        <w:rPr>
          <w:rFonts w:ascii="宋体" w:hAnsi="宋体" w:eastAsia="宋体" w:cs="宋体"/>
          <w:spacing w:val="5"/>
          <w:sz w:val="20"/>
          <w:szCs w:val="20"/>
        </w:rPr>
        <w:t>9</w:t>
      </w:r>
      <w:r>
        <w:rPr>
          <w:rFonts w:ascii="宋体" w:hAnsi="宋体" w:eastAsia="宋体" w:cs="宋体"/>
          <w:spacing w:val="-35"/>
          <w:sz w:val="20"/>
          <w:szCs w:val="20"/>
        </w:rPr>
        <w:t xml:space="preserve"> </w:t>
      </w:r>
      <w:r>
        <w:rPr>
          <w:rFonts w:ascii="宋体" w:hAnsi="宋体" w:eastAsia="宋体" w:cs="宋体"/>
          <w:spacing w:val="5"/>
          <w:sz w:val="20"/>
          <w:szCs w:val="20"/>
        </w:rPr>
        <w:t>项工程量计算规范有关问题的通知</w:t>
      </w:r>
      <w:r>
        <w:rPr>
          <w:rFonts w:ascii="宋体" w:hAnsi="宋体" w:eastAsia="宋体" w:cs="宋体"/>
          <w:spacing w:val="4"/>
          <w:sz w:val="20"/>
          <w:szCs w:val="20"/>
        </w:rPr>
        <w:t>》、</w:t>
      </w:r>
      <w:r>
        <w:rPr>
          <w:rFonts w:ascii="宋体" w:hAnsi="宋体" w:eastAsia="宋体" w:cs="宋体"/>
          <w:spacing w:val="12"/>
          <w:sz w:val="20"/>
          <w:szCs w:val="20"/>
        </w:rPr>
        <w:t>湖北省建设行政主管部门发布的建设工程计价依据以及招标</w:t>
      </w:r>
      <w:r>
        <w:rPr>
          <w:rFonts w:ascii="宋体" w:hAnsi="宋体" w:eastAsia="宋体" w:cs="宋体"/>
          <w:spacing w:val="11"/>
          <w:sz w:val="20"/>
          <w:szCs w:val="20"/>
        </w:rPr>
        <w:t>文件中包括的图纸等编制。</w:t>
      </w:r>
      <w:r>
        <w:rPr>
          <w:rFonts w:ascii="宋体" w:hAnsi="宋体" w:eastAsia="宋体" w:cs="宋体"/>
          <w:spacing w:val="9"/>
          <w:sz w:val="20"/>
          <w:szCs w:val="20"/>
        </w:rPr>
        <w:t>计量采用中华人民共和国法定的基本计量单位。</w:t>
      </w:r>
    </w:p>
    <w:p w14:paraId="584EAE13">
      <w:pPr>
        <w:pStyle w:val="2"/>
        <w:spacing w:before="2" w:line="394" w:lineRule="auto"/>
        <w:ind w:left="746" w:right="68" w:hanging="747"/>
        <w:rPr>
          <w:rFonts w:ascii="宋体" w:hAnsi="宋体" w:eastAsia="宋体" w:cs="宋体"/>
          <w:sz w:val="20"/>
          <w:szCs w:val="20"/>
        </w:rPr>
      </w:pPr>
      <w:r>
        <w:rPr>
          <w:spacing w:val="7"/>
          <w:sz w:val="20"/>
          <w:szCs w:val="20"/>
        </w:rPr>
        <w:t xml:space="preserve">1.2    </w:t>
      </w:r>
      <w:r>
        <w:rPr>
          <w:rFonts w:ascii="宋体" w:hAnsi="宋体" w:eastAsia="宋体" w:cs="宋体"/>
          <w:spacing w:val="7"/>
          <w:sz w:val="20"/>
          <w:szCs w:val="20"/>
        </w:rPr>
        <w:t>本招标工程量清单应与招标文件中的投</w:t>
      </w:r>
      <w:r>
        <w:rPr>
          <w:rFonts w:ascii="宋体" w:hAnsi="宋体" w:eastAsia="宋体" w:cs="宋体"/>
          <w:spacing w:val="6"/>
          <w:sz w:val="20"/>
          <w:szCs w:val="20"/>
        </w:rPr>
        <w:t>标人须知、通用合同条款、专用合同条款、技术标</w:t>
      </w:r>
      <w:r>
        <w:rPr>
          <w:rFonts w:ascii="宋体" w:hAnsi="宋体" w:eastAsia="宋体" w:cs="宋体"/>
          <w:spacing w:val="8"/>
          <w:sz w:val="20"/>
          <w:szCs w:val="20"/>
        </w:rPr>
        <w:t>准和要求及图纸等章节内容一起阅读和理解。</w:t>
      </w:r>
    </w:p>
    <w:p w14:paraId="0A3A8F33">
      <w:pPr>
        <w:pStyle w:val="2"/>
        <w:spacing w:before="3" w:line="230" w:lineRule="auto"/>
        <w:ind w:left="5"/>
        <w:rPr>
          <w:rFonts w:ascii="宋体" w:hAnsi="宋体" w:eastAsia="宋体" w:cs="宋体"/>
          <w:sz w:val="20"/>
          <w:szCs w:val="20"/>
        </w:rPr>
      </w:pPr>
      <w:r>
        <w:rPr>
          <w:rFonts w:ascii="Times New Roman" w:hAnsi="Times New Roman" w:eastAsia="Times New Roman" w:cs="Times New Roman"/>
          <w:spacing w:val="8"/>
          <w:sz w:val="20"/>
          <w:szCs w:val="20"/>
        </w:rPr>
        <w:t>1</w:t>
      </w:r>
      <w:r>
        <w:rPr>
          <w:spacing w:val="8"/>
          <w:sz w:val="20"/>
          <w:szCs w:val="20"/>
        </w:rPr>
        <w:t xml:space="preserve">.3    </w:t>
      </w:r>
      <w:r>
        <w:rPr>
          <w:rFonts w:ascii="宋体" w:hAnsi="宋体" w:eastAsia="宋体" w:cs="宋体"/>
          <w:spacing w:val="8"/>
          <w:sz w:val="20"/>
          <w:szCs w:val="20"/>
        </w:rPr>
        <w:t>本招标工程量清单作为招标文件的组成部分，其准确性和完整性应由招标人负责。</w:t>
      </w:r>
    </w:p>
    <w:p w14:paraId="2574DBCC">
      <w:pPr>
        <w:pStyle w:val="2"/>
        <w:spacing w:before="180" w:line="396" w:lineRule="auto"/>
        <w:ind w:left="706" w:right="68" w:hanging="707"/>
        <w:rPr>
          <w:rFonts w:ascii="宋体" w:hAnsi="宋体" w:eastAsia="宋体" w:cs="宋体"/>
          <w:sz w:val="20"/>
          <w:szCs w:val="20"/>
        </w:rPr>
      </w:pPr>
      <w:r>
        <w:rPr>
          <w:spacing w:val="7"/>
          <w:sz w:val="20"/>
          <w:szCs w:val="20"/>
        </w:rPr>
        <w:t xml:space="preserve">1.4    </w:t>
      </w:r>
      <w:r>
        <w:rPr>
          <w:rFonts w:ascii="宋体" w:hAnsi="宋体" w:eastAsia="宋体" w:cs="宋体"/>
          <w:spacing w:val="7"/>
          <w:sz w:val="20"/>
          <w:szCs w:val="20"/>
        </w:rPr>
        <w:t>分部分项工程和单价措施项目清单必须</w:t>
      </w:r>
      <w:r>
        <w:rPr>
          <w:rFonts w:ascii="宋体" w:hAnsi="宋体" w:eastAsia="宋体" w:cs="宋体"/>
          <w:spacing w:val="6"/>
          <w:sz w:val="20"/>
          <w:szCs w:val="20"/>
        </w:rPr>
        <w:t>载明项目编码、项目名称、项目特征、计量单位和</w:t>
      </w:r>
      <w:r>
        <w:rPr>
          <w:rFonts w:ascii="宋体" w:hAnsi="宋体" w:eastAsia="宋体" w:cs="宋体"/>
          <w:spacing w:val="4"/>
          <w:sz w:val="20"/>
          <w:szCs w:val="20"/>
        </w:rPr>
        <w:t>工程量。</w:t>
      </w:r>
    </w:p>
    <w:p w14:paraId="496DCB52">
      <w:pPr>
        <w:pStyle w:val="2"/>
        <w:spacing w:before="5" w:line="395" w:lineRule="auto"/>
        <w:ind w:left="774" w:hanging="770"/>
        <w:rPr>
          <w:rFonts w:ascii="宋体" w:hAnsi="宋体" w:eastAsia="宋体" w:cs="宋体"/>
          <w:sz w:val="20"/>
          <w:szCs w:val="20"/>
        </w:rPr>
      </w:pPr>
      <w:r>
        <w:rPr>
          <w:rFonts w:ascii="宋体" w:hAnsi="宋体" w:eastAsia="宋体" w:cs="宋体"/>
          <w:spacing w:val="8"/>
          <w:sz w:val="20"/>
          <w:szCs w:val="20"/>
        </w:rPr>
        <w:t>1</w:t>
      </w:r>
      <w:r>
        <w:rPr>
          <w:spacing w:val="8"/>
          <w:sz w:val="20"/>
          <w:szCs w:val="20"/>
        </w:rPr>
        <w:t xml:space="preserve">.5    </w:t>
      </w:r>
      <w:r>
        <w:rPr>
          <w:rFonts w:ascii="宋体" w:hAnsi="宋体" w:eastAsia="宋体" w:cs="宋体"/>
          <w:spacing w:val="8"/>
          <w:sz w:val="20"/>
          <w:szCs w:val="20"/>
        </w:rPr>
        <w:t>分部分项工程和单价措施项目清单必须根据相关工程现行国家计量规范规定的</w:t>
      </w:r>
      <w:r>
        <w:rPr>
          <w:rFonts w:ascii="宋体" w:hAnsi="宋体" w:eastAsia="宋体" w:cs="宋体"/>
          <w:spacing w:val="7"/>
          <w:sz w:val="20"/>
          <w:szCs w:val="20"/>
        </w:rPr>
        <w:t>项目编码、</w:t>
      </w:r>
      <w:r>
        <w:rPr>
          <w:rFonts w:ascii="宋体" w:hAnsi="宋体" w:eastAsia="宋体" w:cs="宋体"/>
          <w:spacing w:val="9"/>
          <w:sz w:val="20"/>
          <w:szCs w:val="20"/>
        </w:rPr>
        <w:t>项目名称、项目特征、计量单位和工程量计算规则进行编制。</w:t>
      </w:r>
    </w:p>
    <w:p w14:paraId="2F5B3A52">
      <w:pPr>
        <w:pStyle w:val="2"/>
        <w:spacing w:before="3" w:line="229" w:lineRule="auto"/>
        <w:ind w:left="4"/>
        <w:rPr>
          <w:rFonts w:ascii="宋体" w:hAnsi="宋体" w:eastAsia="宋体" w:cs="宋体"/>
          <w:sz w:val="20"/>
          <w:szCs w:val="20"/>
        </w:rPr>
      </w:pPr>
      <w:r>
        <w:rPr>
          <w:rFonts w:ascii="宋体" w:hAnsi="宋体" w:eastAsia="宋体" w:cs="宋体"/>
          <w:spacing w:val="8"/>
          <w:sz w:val="20"/>
          <w:szCs w:val="20"/>
        </w:rPr>
        <w:t>1</w:t>
      </w:r>
      <w:r>
        <w:rPr>
          <w:spacing w:val="8"/>
          <w:sz w:val="20"/>
          <w:szCs w:val="20"/>
        </w:rPr>
        <w:t xml:space="preserve">.6    </w:t>
      </w:r>
      <w:r>
        <w:rPr>
          <w:rFonts w:ascii="宋体" w:hAnsi="宋体" w:eastAsia="宋体" w:cs="宋体"/>
          <w:spacing w:val="8"/>
          <w:sz w:val="20"/>
          <w:szCs w:val="20"/>
        </w:rPr>
        <w:t>总价措施项目清单必须根据相关工程现行国家计量规范的规定编制。</w:t>
      </w:r>
    </w:p>
    <w:p w14:paraId="3BA978F3">
      <w:pPr>
        <w:pStyle w:val="2"/>
        <w:spacing w:before="181" w:line="229" w:lineRule="auto"/>
        <w:rPr>
          <w:rFonts w:ascii="宋体" w:hAnsi="宋体" w:eastAsia="宋体" w:cs="宋体"/>
          <w:sz w:val="20"/>
          <w:szCs w:val="20"/>
        </w:rPr>
      </w:pPr>
      <w:r>
        <w:rPr>
          <w:spacing w:val="8"/>
          <w:sz w:val="20"/>
          <w:szCs w:val="20"/>
        </w:rPr>
        <w:t xml:space="preserve">1.7    </w:t>
      </w:r>
      <w:r>
        <w:rPr>
          <w:rFonts w:ascii="宋体" w:hAnsi="宋体" w:eastAsia="宋体" w:cs="宋体"/>
          <w:spacing w:val="8"/>
          <w:sz w:val="20"/>
          <w:szCs w:val="20"/>
        </w:rPr>
        <w:t>其他项目、规费和税金项目清单应按照现行国家计价规范的规定编制。</w:t>
      </w:r>
    </w:p>
    <w:p w14:paraId="3FF06C00">
      <w:pPr>
        <w:pStyle w:val="2"/>
        <w:spacing w:before="181" w:line="396" w:lineRule="auto"/>
        <w:ind w:left="725" w:right="68" w:hanging="726"/>
        <w:rPr>
          <w:rFonts w:ascii="宋体" w:hAnsi="宋体" w:eastAsia="宋体" w:cs="宋体"/>
          <w:sz w:val="20"/>
          <w:szCs w:val="20"/>
        </w:rPr>
      </w:pPr>
      <w:r>
        <w:rPr>
          <w:spacing w:val="7"/>
          <w:sz w:val="20"/>
          <w:szCs w:val="20"/>
        </w:rPr>
        <w:t xml:space="preserve">1.8    </w:t>
      </w:r>
      <w:r>
        <w:rPr>
          <w:rFonts w:ascii="宋体" w:hAnsi="宋体" w:eastAsia="宋体" w:cs="宋体"/>
          <w:spacing w:val="7"/>
          <w:sz w:val="20"/>
          <w:szCs w:val="20"/>
        </w:rPr>
        <w:t>编制招标工程量清单出现相关工程现行</w:t>
      </w:r>
      <w:r>
        <w:rPr>
          <w:rFonts w:ascii="宋体" w:hAnsi="宋体" w:eastAsia="宋体" w:cs="宋体"/>
          <w:spacing w:val="6"/>
          <w:sz w:val="20"/>
          <w:szCs w:val="20"/>
        </w:rPr>
        <w:t>国家计量规范附录中未包括的项目，编制人应做补</w:t>
      </w:r>
      <w:r>
        <w:rPr>
          <w:rFonts w:ascii="宋体" w:hAnsi="宋体" w:eastAsia="宋体" w:cs="宋体"/>
          <w:spacing w:val="-1"/>
          <w:sz w:val="20"/>
          <w:szCs w:val="20"/>
        </w:rPr>
        <w:t>充。</w:t>
      </w:r>
    </w:p>
    <w:p w14:paraId="0D2AB726">
      <w:pPr>
        <w:spacing w:before="3" w:line="397" w:lineRule="auto"/>
        <w:ind w:left="731" w:right="68" w:hanging="8"/>
        <w:rPr>
          <w:rFonts w:ascii="宋体" w:hAnsi="宋体" w:eastAsia="宋体" w:cs="宋体"/>
          <w:sz w:val="20"/>
          <w:szCs w:val="20"/>
        </w:rPr>
      </w:pPr>
      <w:r>
        <w:rPr>
          <w:rFonts w:ascii="宋体" w:hAnsi="宋体" w:eastAsia="宋体" w:cs="宋体"/>
          <w:spacing w:val="7"/>
          <w:sz w:val="20"/>
          <w:szCs w:val="20"/>
        </w:rPr>
        <w:t>补充项目的编码规则按相关工程现行国家计量规范的规定编制，同一招标工程的项目不得</w:t>
      </w:r>
      <w:r>
        <w:rPr>
          <w:rFonts w:ascii="宋体" w:hAnsi="宋体" w:eastAsia="宋体" w:cs="宋体"/>
          <w:spacing w:val="2"/>
          <w:sz w:val="20"/>
          <w:szCs w:val="20"/>
        </w:rPr>
        <w:t>重码。</w:t>
      </w:r>
    </w:p>
    <w:p w14:paraId="749F4F3F">
      <w:pPr>
        <w:spacing w:before="1" w:line="396" w:lineRule="auto"/>
        <w:ind w:left="796" w:right="68" w:hanging="73"/>
        <w:rPr>
          <w:rFonts w:ascii="宋体" w:hAnsi="宋体" w:eastAsia="宋体" w:cs="宋体"/>
          <w:sz w:val="20"/>
          <w:szCs w:val="20"/>
        </w:rPr>
      </w:pPr>
      <w:r>
        <w:rPr>
          <w:rFonts w:ascii="宋体" w:hAnsi="宋体" w:eastAsia="宋体" w:cs="宋体"/>
          <w:spacing w:val="7"/>
          <w:sz w:val="20"/>
          <w:szCs w:val="20"/>
        </w:rPr>
        <w:t>补充的工程量清单需附有补充项目的名称、项目特征、计量单位、工程量计算规则、工作</w:t>
      </w:r>
      <w:r>
        <w:rPr>
          <w:rFonts w:ascii="宋体" w:hAnsi="宋体" w:eastAsia="宋体" w:cs="宋体"/>
          <w:spacing w:val="9"/>
          <w:sz w:val="20"/>
          <w:szCs w:val="20"/>
        </w:rPr>
        <w:t>内容。不能计量的措施项目，需附有补充项目的名</w:t>
      </w:r>
      <w:r>
        <w:rPr>
          <w:rFonts w:ascii="宋体" w:hAnsi="宋体" w:eastAsia="宋体" w:cs="宋体"/>
          <w:spacing w:val="8"/>
          <w:sz w:val="20"/>
          <w:szCs w:val="20"/>
        </w:rPr>
        <w:t>称、工作内容及包含范围。</w:t>
      </w:r>
    </w:p>
    <w:p w14:paraId="3A0943D2">
      <w:pPr>
        <w:pStyle w:val="2"/>
        <w:spacing w:before="1" w:line="397" w:lineRule="auto"/>
        <w:ind w:left="730" w:right="68" w:hanging="731"/>
        <w:rPr>
          <w:rFonts w:ascii="宋体" w:hAnsi="宋体" w:eastAsia="宋体" w:cs="宋体"/>
          <w:sz w:val="20"/>
          <w:szCs w:val="20"/>
        </w:rPr>
      </w:pPr>
      <w:r>
        <w:rPr>
          <w:spacing w:val="7"/>
          <w:sz w:val="20"/>
          <w:szCs w:val="20"/>
        </w:rPr>
        <w:t xml:space="preserve">1.9    </w:t>
      </w:r>
      <w:r>
        <w:rPr>
          <w:rFonts w:ascii="宋体" w:hAnsi="宋体" w:eastAsia="宋体" w:cs="宋体"/>
          <w:spacing w:val="7"/>
          <w:sz w:val="20"/>
          <w:szCs w:val="20"/>
        </w:rPr>
        <w:t>本招标工程量清单仅是投标报价的共同</w:t>
      </w:r>
      <w:r>
        <w:rPr>
          <w:rFonts w:ascii="宋体" w:hAnsi="宋体" w:eastAsia="宋体" w:cs="宋体"/>
          <w:spacing w:val="6"/>
          <w:sz w:val="20"/>
          <w:szCs w:val="20"/>
        </w:rPr>
        <w:t>基础，采用工程量清单方式招标形成的无论是单价</w:t>
      </w:r>
      <w:r>
        <w:rPr>
          <w:rFonts w:ascii="宋体" w:hAnsi="宋体" w:eastAsia="宋体" w:cs="宋体"/>
          <w:spacing w:val="12"/>
          <w:sz w:val="20"/>
          <w:szCs w:val="20"/>
        </w:rPr>
        <w:t>合同还是总价合同，其工程量必须以承包人完成合同工程应予计量的工程量确定。合同</w:t>
      </w:r>
      <w:r>
        <w:rPr>
          <w:rFonts w:ascii="宋体" w:hAnsi="宋体" w:eastAsia="宋体" w:cs="宋体"/>
          <w:spacing w:val="7"/>
          <w:sz w:val="20"/>
          <w:szCs w:val="20"/>
        </w:rPr>
        <w:t>价格的确定以及价款支付应遵循合同条款（包括通用合同条款和专用合同条款</w:t>
      </w:r>
      <w:r>
        <w:rPr>
          <w:rFonts w:ascii="宋体" w:hAnsi="宋体" w:eastAsia="宋体" w:cs="宋体"/>
          <w:spacing w:val="6"/>
          <w:sz w:val="20"/>
          <w:szCs w:val="20"/>
        </w:rPr>
        <w:t>）、技术标</w:t>
      </w:r>
      <w:r>
        <w:rPr>
          <w:rFonts w:ascii="宋体" w:hAnsi="宋体" w:eastAsia="宋体" w:cs="宋体"/>
          <w:spacing w:val="8"/>
          <w:sz w:val="20"/>
          <w:szCs w:val="20"/>
        </w:rPr>
        <w:t>准和要求以及本章的有关约定。</w:t>
      </w:r>
    </w:p>
    <w:p w14:paraId="1DA6D493">
      <w:pPr>
        <w:pStyle w:val="2"/>
        <w:spacing w:before="2" w:line="396" w:lineRule="auto"/>
        <w:ind w:left="770" w:right="68" w:hanging="770"/>
        <w:rPr>
          <w:rFonts w:ascii="宋体" w:hAnsi="宋体" w:eastAsia="宋体" w:cs="宋体"/>
          <w:sz w:val="20"/>
          <w:szCs w:val="20"/>
        </w:rPr>
      </w:pPr>
      <w:r>
        <w:rPr>
          <w:spacing w:val="6"/>
          <w:sz w:val="20"/>
          <w:szCs w:val="20"/>
        </w:rPr>
        <w:t xml:space="preserve">1.10   </w:t>
      </w:r>
      <w:r>
        <w:rPr>
          <w:rFonts w:ascii="宋体" w:hAnsi="宋体" w:eastAsia="宋体" w:cs="宋体"/>
          <w:spacing w:val="6"/>
          <w:sz w:val="20"/>
          <w:szCs w:val="20"/>
        </w:rPr>
        <w:t>除招标文件另有约定外，本条第</w:t>
      </w:r>
      <w:r>
        <w:rPr>
          <w:rFonts w:ascii="宋体" w:hAnsi="宋体" w:eastAsia="宋体" w:cs="宋体"/>
          <w:spacing w:val="-24"/>
          <w:sz w:val="20"/>
          <w:szCs w:val="20"/>
        </w:rPr>
        <w:t xml:space="preserve"> </w:t>
      </w:r>
      <w:r>
        <w:rPr>
          <w:rFonts w:ascii="宋体" w:hAnsi="宋体" w:eastAsia="宋体" w:cs="宋体"/>
          <w:spacing w:val="6"/>
          <w:sz w:val="20"/>
          <w:szCs w:val="20"/>
        </w:rPr>
        <w:t>1.1</w:t>
      </w:r>
      <w:r>
        <w:rPr>
          <w:rFonts w:ascii="宋体" w:hAnsi="宋体" w:eastAsia="宋体" w:cs="宋体"/>
          <w:spacing w:val="-39"/>
          <w:sz w:val="20"/>
          <w:szCs w:val="20"/>
        </w:rPr>
        <w:t xml:space="preserve"> </w:t>
      </w:r>
      <w:r>
        <w:rPr>
          <w:rFonts w:ascii="宋体" w:hAnsi="宋体" w:eastAsia="宋体" w:cs="宋体"/>
          <w:spacing w:val="6"/>
          <w:sz w:val="20"/>
          <w:szCs w:val="20"/>
        </w:rPr>
        <w:t>款中约定</w:t>
      </w:r>
      <w:r>
        <w:rPr>
          <w:rFonts w:ascii="宋体" w:hAnsi="宋体" w:eastAsia="宋体" w:cs="宋体"/>
          <w:spacing w:val="5"/>
          <w:sz w:val="20"/>
          <w:szCs w:val="20"/>
        </w:rPr>
        <w:t>的计量和计价规则适用于本招标工程发承包</w:t>
      </w:r>
      <w:r>
        <w:rPr>
          <w:rFonts w:ascii="宋体" w:hAnsi="宋体" w:eastAsia="宋体" w:cs="宋体"/>
          <w:spacing w:val="11"/>
          <w:sz w:val="20"/>
          <w:szCs w:val="20"/>
        </w:rPr>
        <w:t>及实施阶段的计价活动包括：招标工程量清单、招标控制价、投标报价的编制，工程合同价款的约定，竣工结算的办理以及施工过程中的工程量计量、合同价款支付、施工索</w:t>
      </w:r>
      <w:r>
        <w:rPr>
          <w:rFonts w:ascii="宋体" w:hAnsi="宋体" w:eastAsia="宋体" w:cs="宋体"/>
          <w:spacing w:val="9"/>
          <w:sz w:val="20"/>
          <w:szCs w:val="20"/>
        </w:rPr>
        <w:t>赔与现场签证、合同价款调整和合同价款争议的解决等活动。</w:t>
      </w:r>
    </w:p>
    <w:p w14:paraId="4CE62642">
      <w:pPr>
        <w:spacing w:line="396" w:lineRule="auto"/>
        <w:rPr>
          <w:rFonts w:ascii="宋体" w:hAnsi="宋体" w:eastAsia="宋体" w:cs="宋体"/>
          <w:sz w:val="20"/>
          <w:szCs w:val="20"/>
        </w:rPr>
        <w:sectPr>
          <w:footerReference r:id="rId438" w:type="default"/>
          <w:pgSz w:w="11907" w:h="16840"/>
          <w:pgMar w:top="400" w:right="1487" w:bottom="1105" w:left="1549" w:header="0" w:footer="943" w:gutter="0"/>
          <w:cols w:space="720" w:num="1"/>
        </w:sectPr>
      </w:pPr>
    </w:p>
    <w:p w14:paraId="550F5F53">
      <w:pPr>
        <w:spacing w:line="277" w:lineRule="auto"/>
        <w:rPr>
          <w:rFonts w:ascii="Arial"/>
          <w:sz w:val="21"/>
        </w:rPr>
      </w:pPr>
    </w:p>
    <w:p w14:paraId="26B17F2F">
      <w:pPr>
        <w:spacing w:line="278" w:lineRule="auto"/>
        <w:rPr>
          <w:rFonts w:ascii="Arial"/>
          <w:sz w:val="21"/>
        </w:rPr>
      </w:pPr>
    </w:p>
    <w:p w14:paraId="65984B30">
      <w:pPr>
        <w:spacing w:line="278" w:lineRule="auto"/>
        <w:rPr>
          <w:rFonts w:ascii="Arial"/>
          <w:sz w:val="21"/>
        </w:rPr>
      </w:pPr>
    </w:p>
    <w:p w14:paraId="0080260E">
      <w:pPr>
        <w:spacing w:line="278" w:lineRule="auto"/>
        <w:rPr>
          <w:rFonts w:ascii="Arial"/>
          <w:sz w:val="21"/>
        </w:rPr>
      </w:pPr>
    </w:p>
    <w:p w14:paraId="0D177EE6">
      <w:pPr>
        <w:pStyle w:val="2"/>
        <w:spacing w:before="65" w:line="229" w:lineRule="auto"/>
        <w:ind w:left="13"/>
        <w:rPr>
          <w:rFonts w:ascii="宋体" w:hAnsi="宋体" w:eastAsia="宋体" w:cs="宋体"/>
          <w:sz w:val="20"/>
          <w:szCs w:val="20"/>
        </w:rPr>
      </w:pPr>
      <w:r>
        <w:rPr>
          <w:spacing w:val="7"/>
          <w:sz w:val="20"/>
          <w:szCs w:val="20"/>
        </w:rPr>
        <w:t xml:space="preserve">1.11   </w:t>
      </w:r>
      <w:r>
        <w:rPr>
          <w:rFonts w:ascii="宋体" w:hAnsi="宋体" w:eastAsia="宋体" w:cs="宋体"/>
          <w:spacing w:val="7"/>
          <w:sz w:val="20"/>
          <w:szCs w:val="20"/>
        </w:rPr>
        <w:t>本条与下述第</w:t>
      </w:r>
      <w:r>
        <w:rPr>
          <w:rFonts w:ascii="宋体" w:hAnsi="宋体" w:eastAsia="宋体" w:cs="宋体"/>
          <w:spacing w:val="-20"/>
          <w:sz w:val="20"/>
          <w:szCs w:val="20"/>
        </w:rPr>
        <w:t xml:space="preserve"> </w:t>
      </w:r>
      <w:r>
        <w:rPr>
          <w:rFonts w:ascii="宋体" w:hAnsi="宋体" w:eastAsia="宋体" w:cs="宋体"/>
          <w:spacing w:val="7"/>
          <w:sz w:val="20"/>
          <w:szCs w:val="20"/>
        </w:rPr>
        <w:t>2</w:t>
      </w:r>
      <w:r>
        <w:rPr>
          <w:rFonts w:ascii="宋体" w:hAnsi="宋体" w:eastAsia="宋体" w:cs="宋体"/>
          <w:spacing w:val="-37"/>
          <w:sz w:val="20"/>
          <w:szCs w:val="20"/>
        </w:rPr>
        <w:t xml:space="preserve"> </w:t>
      </w:r>
      <w:r>
        <w:rPr>
          <w:rFonts w:ascii="宋体" w:hAnsi="宋体" w:eastAsia="宋体" w:cs="宋体"/>
          <w:spacing w:val="7"/>
          <w:sz w:val="20"/>
          <w:szCs w:val="20"/>
        </w:rPr>
        <w:t>条和第</w:t>
      </w:r>
      <w:r>
        <w:rPr>
          <w:rFonts w:ascii="宋体" w:hAnsi="宋体" w:eastAsia="宋体" w:cs="宋体"/>
          <w:spacing w:val="-35"/>
          <w:sz w:val="20"/>
          <w:szCs w:val="20"/>
        </w:rPr>
        <w:t xml:space="preserve"> </w:t>
      </w:r>
      <w:r>
        <w:rPr>
          <w:rFonts w:ascii="宋体" w:hAnsi="宋体" w:eastAsia="宋体" w:cs="宋体"/>
          <w:spacing w:val="7"/>
          <w:sz w:val="20"/>
          <w:szCs w:val="20"/>
        </w:rPr>
        <w:t>3</w:t>
      </w:r>
      <w:r>
        <w:rPr>
          <w:rFonts w:ascii="宋体" w:hAnsi="宋体" w:eastAsia="宋体" w:cs="宋体"/>
          <w:spacing w:val="-36"/>
          <w:sz w:val="20"/>
          <w:szCs w:val="20"/>
        </w:rPr>
        <w:t xml:space="preserve"> </w:t>
      </w:r>
      <w:r>
        <w:rPr>
          <w:rFonts w:ascii="宋体" w:hAnsi="宋体" w:eastAsia="宋体" w:cs="宋体"/>
          <w:spacing w:val="7"/>
          <w:sz w:val="20"/>
          <w:szCs w:val="20"/>
        </w:rPr>
        <w:t>条的说明内容是构成合同文件的已标价工程量清单的组成部分。</w:t>
      </w:r>
    </w:p>
    <w:p w14:paraId="680BF789">
      <w:pPr>
        <w:pStyle w:val="2"/>
        <w:spacing w:before="231" w:line="221" w:lineRule="auto"/>
        <w:outlineLvl w:val="1"/>
        <w:rPr>
          <w:sz w:val="24"/>
          <w:szCs w:val="24"/>
        </w:rPr>
      </w:pPr>
      <w:bookmarkStart w:id="352" w:name="bookmark334"/>
      <w:bookmarkEnd w:id="352"/>
      <w:r>
        <w:rPr>
          <w:rFonts w:ascii="Times New Roman" w:hAnsi="Times New Roman" w:eastAsia="Times New Roman" w:cs="Times New Roman"/>
          <w:spacing w:val="-1"/>
          <w:sz w:val="24"/>
          <w:szCs w:val="24"/>
        </w:rPr>
        <w:t>2.</w:t>
      </w:r>
      <w:r>
        <w:rPr>
          <w:spacing w:val="-1"/>
          <w:sz w:val="24"/>
          <w:szCs w:val="24"/>
        </w:rPr>
        <w:t>投标报价说明</w:t>
      </w:r>
    </w:p>
    <w:p w14:paraId="7C91A5E7">
      <w:pPr>
        <w:pStyle w:val="2"/>
        <w:spacing w:before="162" w:line="229" w:lineRule="auto"/>
        <w:ind w:left="1"/>
        <w:rPr>
          <w:rFonts w:ascii="宋体" w:hAnsi="宋体" w:eastAsia="宋体" w:cs="宋体"/>
          <w:sz w:val="20"/>
          <w:szCs w:val="20"/>
        </w:rPr>
      </w:pPr>
      <w:r>
        <w:rPr>
          <w:spacing w:val="9"/>
          <w:sz w:val="20"/>
          <w:szCs w:val="20"/>
        </w:rPr>
        <w:t xml:space="preserve">2.1    </w:t>
      </w:r>
      <w:r>
        <w:rPr>
          <w:rFonts w:ascii="宋体" w:hAnsi="宋体" w:eastAsia="宋体" w:cs="宋体"/>
          <w:spacing w:val="9"/>
          <w:sz w:val="20"/>
          <w:szCs w:val="20"/>
        </w:rPr>
        <w:t>投标报价应根据招标文件中的有关计</w:t>
      </w:r>
      <w:r>
        <w:rPr>
          <w:rFonts w:ascii="宋体" w:hAnsi="宋体" w:eastAsia="宋体" w:cs="宋体"/>
          <w:spacing w:val="8"/>
          <w:sz w:val="20"/>
          <w:szCs w:val="20"/>
        </w:rPr>
        <w:t>价要求，并按照下列依据自主报价。</w:t>
      </w:r>
    </w:p>
    <w:p w14:paraId="7F9D2D8D">
      <w:pPr>
        <w:pStyle w:val="2"/>
        <w:spacing w:before="181" w:line="229" w:lineRule="auto"/>
        <w:ind w:left="748"/>
        <w:rPr>
          <w:rFonts w:ascii="宋体" w:hAnsi="宋体" w:eastAsia="宋体" w:cs="宋体"/>
          <w:sz w:val="20"/>
          <w:szCs w:val="20"/>
        </w:rPr>
      </w:pPr>
      <w:r>
        <w:rPr>
          <w:spacing w:val="4"/>
          <w:sz w:val="20"/>
          <w:szCs w:val="20"/>
        </w:rPr>
        <w:t xml:space="preserve">（1） </w:t>
      </w:r>
      <w:r>
        <w:rPr>
          <w:rFonts w:ascii="宋体" w:hAnsi="宋体" w:eastAsia="宋体" w:cs="宋体"/>
          <w:spacing w:val="4"/>
          <w:sz w:val="20"/>
          <w:szCs w:val="20"/>
        </w:rPr>
        <w:t>《建设工程工程量清单计价规范》（</w:t>
      </w:r>
      <w:r>
        <w:rPr>
          <w:rFonts w:ascii="宋体" w:hAnsi="宋体" w:eastAsia="宋体" w:cs="宋体"/>
          <w:sz w:val="20"/>
          <w:szCs w:val="20"/>
        </w:rPr>
        <w:t>GB</w:t>
      </w:r>
      <w:r>
        <w:rPr>
          <w:rFonts w:ascii="宋体" w:hAnsi="宋体" w:eastAsia="宋体" w:cs="宋体"/>
          <w:spacing w:val="4"/>
          <w:sz w:val="20"/>
          <w:szCs w:val="20"/>
        </w:rPr>
        <w:t xml:space="preserve"> 50500-20</w:t>
      </w:r>
      <w:r>
        <w:rPr>
          <w:rFonts w:ascii="宋体" w:hAnsi="宋体" w:eastAsia="宋体" w:cs="宋体"/>
          <w:spacing w:val="3"/>
          <w:sz w:val="20"/>
          <w:szCs w:val="20"/>
        </w:rPr>
        <w:t>13</w:t>
      </w:r>
      <w:r>
        <w:rPr>
          <w:rFonts w:ascii="宋体" w:hAnsi="宋体" w:eastAsia="宋体" w:cs="宋体"/>
          <w:spacing w:val="-54"/>
          <w:w w:val="99"/>
          <w:sz w:val="20"/>
          <w:szCs w:val="20"/>
        </w:rPr>
        <w:t>）；</w:t>
      </w:r>
    </w:p>
    <w:p w14:paraId="4CE0F06D">
      <w:pPr>
        <w:pStyle w:val="2"/>
        <w:spacing w:before="183" w:line="229" w:lineRule="auto"/>
        <w:ind w:left="748"/>
        <w:rPr>
          <w:rFonts w:ascii="宋体" w:hAnsi="宋体" w:eastAsia="宋体" w:cs="宋体"/>
          <w:sz w:val="20"/>
          <w:szCs w:val="20"/>
        </w:rPr>
      </w:pPr>
      <w:r>
        <w:rPr>
          <w:spacing w:val="8"/>
          <w:sz w:val="20"/>
          <w:szCs w:val="20"/>
        </w:rPr>
        <w:t xml:space="preserve">（2）  </w:t>
      </w:r>
      <w:r>
        <w:rPr>
          <w:rFonts w:ascii="宋体" w:hAnsi="宋体" w:eastAsia="宋体" w:cs="宋体"/>
          <w:spacing w:val="8"/>
          <w:sz w:val="20"/>
          <w:szCs w:val="20"/>
        </w:rPr>
        <w:t>国家或省级、行业建设主管部门颁发的计价办法；</w:t>
      </w:r>
    </w:p>
    <w:p w14:paraId="4156FB84">
      <w:pPr>
        <w:pStyle w:val="2"/>
        <w:spacing w:before="181" w:line="229" w:lineRule="auto"/>
        <w:ind w:left="748"/>
        <w:rPr>
          <w:rFonts w:ascii="宋体" w:hAnsi="宋体" w:eastAsia="宋体" w:cs="宋体"/>
          <w:sz w:val="20"/>
          <w:szCs w:val="20"/>
        </w:rPr>
      </w:pPr>
      <w:r>
        <w:rPr>
          <w:spacing w:val="9"/>
          <w:sz w:val="20"/>
          <w:szCs w:val="20"/>
        </w:rPr>
        <w:t xml:space="preserve">（3）  </w:t>
      </w:r>
      <w:r>
        <w:rPr>
          <w:rFonts w:ascii="宋体" w:hAnsi="宋体" w:eastAsia="宋体" w:cs="宋体"/>
          <w:spacing w:val="9"/>
          <w:sz w:val="20"/>
          <w:szCs w:val="20"/>
        </w:rPr>
        <w:t>企业定额，国家或省级、行业建</w:t>
      </w:r>
      <w:r>
        <w:rPr>
          <w:rFonts w:ascii="宋体" w:hAnsi="宋体" w:eastAsia="宋体" w:cs="宋体"/>
          <w:spacing w:val="8"/>
          <w:sz w:val="20"/>
          <w:szCs w:val="20"/>
        </w:rPr>
        <w:t>设主管部门颁发的计价定额和计价办法；</w:t>
      </w:r>
    </w:p>
    <w:p w14:paraId="268C0807">
      <w:pPr>
        <w:pStyle w:val="2"/>
        <w:spacing w:before="181" w:line="231" w:lineRule="auto"/>
        <w:ind w:left="748"/>
        <w:rPr>
          <w:rFonts w:ascii="宋体" w:hAnsi="宋体" w:eastAsia="宋体" w:cs="宋体"/>
          <w:sz w:val="20"/>
          <w:szCs w:val="20"/>
        </w:rPr>
      </w:pPr>
      <w:r>
        <w:rPr>
          <w:spacing w:val="8"/>
          <w:sz w:val="20"/>
          <w:szCs w:val="20"/>
        </w:rPr>
        <w:t xml:space="preserve">（4）  </w:t>
      </w:r>
      <w:r>
        <w:rPr>
          <w:rFonts w:ascii="宋体" w:hAnsi="宋体" w:eastAsia="宋体" w:cs="宋体"/>
          <w:spacing w:val="8"/>
          <w:sz w:val="20"/>
          <w:szCs w:val="20"/>
        </w:rPr>
        <w:t>招标文件（包括招标工程量清单）及其澄清、修改文件；</w:t>
      </w:r>
    </w:p>
    <w:p w14:paraId="69A0E28B">
      <w:pPr>
        <w:pStyle w:val="2"/>
        <w:spacing w:before="180" w:line="231" w:lineRule="auto"/>
        <w:ind w:left="748"/>
        <w:rPr>
          <w:rFonts w:ascii="宋体" w:hAnsi="宋体" w:eastAsia="宋体" w:cs="宋体"/>
          <w:sz w:val="20"/>
          <w:szCs w:val="20"/>
        </w:rPr>
      </w:pPr>
      <w:r>
        <w:rPr>
          <w:spacing w:val="7"/>
          <w:sz w:val="20"/>
          <w:szCs w:val="20"/>
        </w:rPr>
        <w:t xml:space="preserve">（5）  </w:t>
      </w:r>
      <w:r>
        <w:rPr>
          <w:rFonts w:ascii="宋体" w:hAnsi="宋体" w:eastAsia="宋体" w:cs="宋体"/>
          <w:spacing w:val="7"/>
          <w:sz w:val="20"/>
          <w:szCs w:val="20"/>
        </w:rPr>
        <w:t>建设工程设计文件及相关资料；</w:t>
      </w:r>
    </w:p>
    <w:p w14:paraId="43FEB5BD">
      <w:pPr>
        <w:pStyle w:val="2"/>
        <w:spacing w:before="179" w:line="230" w:lineRule="auto"/>
        <w:ind w:left="748"/>
        <w:rPr>
          <w:rFonts w:ascii="宋体" w:hAnsi="宋体" w:eastAsia="宋体" w:cs="宋体"/>
          <w:sz w:val="20"/>
          <w:szCs w:val="20"/>
        </w:rPr>
      </w:pPr>
      <w:r>
        <w:rPr>
          <w:spacing w:val="8"/>
          <w:sz w:val="20"/>
          <w:szCs w:val="20"/>
        </w:rPr>
        <w:t xml:space="preserve">（6）  </w:t>
      </w:r>
      <w:r>
        <w:rPr>
          <w:rFonts w:ascii="宋体" w:hAnsi="宋体" w:eastAsia="宋体" w:cs="宋体"/>
          <w:spacing w:val="8"/>
          <w:sz w:val="20"/>
          <w:szCs w:val="20"/>
        </w:rPr>
        <w:t>施工现场情况、工程特点及投标时拟定的施工组织设计或施工方案；</w:t>
      </w:r>
    </w:p>
    <w:p w14:paraId="417FF98A">
      <w:pPr>
        <w:pStyle w:val="2"/>
        <w:spacing w:before="173" w:line="231" w:lineRule="auto"/>
        <w:ind w:left="748"/>
        <w:rPr>
          <w:rFonts w:ascii="宋体" w:hAnsi="宋体" w:eastAsia="宋体" w:cs="宋体"/>
          <w:sz w:val="20"/>
          <w:szCs w:val="20"/>
        </w:rPr>
      </w:pPr>
      <w:r>
        <w:rPr>
          <w:spacing w:val="7"/>
          <w:sz w:val="20"/>
          <w:szCs w:val="20"/>
        </w:rPr>
        <w:t xml:space="preserve">（7）  </w:t>
      </w:r>
      <w:r>
        <w:rPr>
          <w:rFonts w:ascii="宋体" w:hAnsi="宋体" w:eastAsia="宋体" w:cs="宋体"/>
          <w:spacing w:val="7"/>
          <w:sz w:val="20"/>
          <w:szCs w:val="20"/>
        </w:rPr>
        <w:t>与建设项目相关的标准、规范等技术资料；</w:t>
      </w:r>
    </w:p>
    <w:p w14:paraId="38811725">
      <w:pPr>
        <w:pStyle w:val="2"/>
        <w:spacing w:before="171" w:line="229" w:lineRule="auto"/>
        <w:ind w:left="748"/>
        <w:rPr>
          <w:rFonts w:ascii="宋体" w:hAnsi="宋体" w:eastAsia="宋体" w:cs="宋体"/>
          <w:sz w:val="20"/>
          <w:szCs w:val="20"/>
        </w:rPr>
      </w:pPr>
      <w:r>
        <w:rPr>
          <w:spacing w:val="8"/>
          <w:sz w:val="20"/>
          <w:szCs w:val="20"/>
        </w:rPr>
        <w:t xml:space="preserve">（8）  </w:t>
      </w:r>
      <w:r>
        <w:rPr>
          <w:rFonts w:ascii="宋体" w:hAnsi="宋体" w:eastAsia="宋体" w:cs="宋体"/>
          <w:spacing w:val="8"/>
          <w:sz w:val="20"/>
          <w:szCs w:val="20"/>
        </w:rPr>
        <w:t>市场价格信息或工程造价管理机构发布的工程造价信息；</w:t>
      </w:r>
    </w:p>
    <w:p w14:paraId="2251C755">
      <w:pPr>
        <w:pStyle w:val="2"/>
        <w:spacing w:before="172" w:line="231" w:lineRule="auto"/>
        <w:ind w:left="748"/>
        <w:rPr>
          <w:rFonts w:ascii="宋体" w:hAnsi="宋体" w:eastAsia="宋体" w:cs="宋体"/>
          <w:sz w:val="20"/>
          <w:szCs w:val="20"/>
        </w:rPr>
      </w:pPr>
      <w:r>
        <w:rPr>
          <w:spacing w:val="4"/>
          <w:sz w:val="20"/>
          <w:szCs w:val="20"/>
        </w:rPr>
        <w:t>（9）</w:t>
      </w:r>
      <w:r>
        <w:rPr>
          <w:spacing w:val="15"/>
          <w:sz w:val="20"/>
          <w:szCs w:val="20"/>
        </w:rPr>
        <w:t xml:space="preserve">  </w:t>
      </w:r>
      <w:r>
        <w:rPr>
          <w:rFonts w:ascii="宋体" w:hAnsi="宋体" w:eastAsia="宋体" w:cs="宋体"/>
          <w:spacing w:val="4"/>
          <w:sz w:val="20"/>
          <w:szCs w:val="20"/>
        </w:rPr>
        <w:t>其他的相关资料。</w:t>
      </w:r>
    </w:p>
    <w:p w14:paraId="61124A94">
      <w:pPr>
        <w:pStyle w:val="2"/>
        <w:spacing w:before="169" w:line="387" w:lineRule="auto"/>
        <w:ind w:left="741" w:right="100" w:hanging="740"/>
        <w:rPr>
          <w:rFonts w:ascii="宋体" w:hAnsi="宋体" w:eastAsia="宋体" w:cs="宋体"/>
          <w:sz w:val="20"/>
          <w:szCs w:val="20"/>
        </w:rPr>
      </w:pPr>
      <w:r>
        <w:rPr>
          <w:spacing w:val="7"/>
          <w:sz w:val="20"/>
          <w:szCs w:val="20"/>
        </w:rPr>
        <w:t xml:space="preserve">2.2    </w:t>
      </w:r>
      <w:r>
        <w:rPr>
          <w:rFonts w:ascii="宋体" w:hAnsi="宋体" w:eastAsia="宋体" w:cs="宋体"/>
          <w:spacing w:val="7"/>
          <w:sz w:val="20"/>
          <w:szCs w:val="20"/>
        </w:rPr>
        <w:t>投标人必须按招标工程量清单填报价格。项目编码、项目名称、项</w:t>
      </w:r>
      <w:r>
        <w:rPr>
          <w:rFonts w:ascii="宋体" w:hAnsi="宋体" w:eastAsia="宋体" w:cs="宋体"/>
          <w:spacing w:val="6"/>
          <w:sz w:val="20"/>
          <w:szCs w:val="20"/>
        </w:rPr>
        <w:t>目特征、计量单位必须</w:t>
      </w:r>
      <w:r>
        <w:rPr>
          <w:rFonts w:ascii="宋体" w:hAnsi="宋体" w:eastAsia="宋体" w:cs="宋体"/>
          <w:spacing w:val="7"/>
          <w:sz w:val="20"/>
          <w:szCs w:val="20"/>
        </w:rPr>
        <w:t>与招标工程量清单一致。</w:t>
      </w:r>
    </w:p>
    <w:p w14:paraId="5B87DD0F">
      <w:pPr>
        <w:pStyle w:val="2"/>
        <w:spacing w:line="388" w:lineRule="auto"/>
        <w:ind w:left="769" w:right="100" w:hanging="768"/>
        <w:rPr>
          <w:rFonts w:ascii="宋体" w:hAnsi="宋体" w:eastAsia="宋体" w:cs="宋体"/>
          <w:sz w:val="20"/>
          <w:szCs w:val="20"/>
        </w:rPr>
      </w:pPr>
      <w:r>
        <w:rPr>
          <w:spacing w:val="7"/>
          <w:sz w:val="20"/>
          <w:szCs w:val="20"/>
        </w:rPr>
        <w:t xml:space="preserve">2.3    </w:t>
      </w:r>
      <w:r>
        <w:rPr>
          <w:rFonts w:ascii="宋体" w:hAnsi="宋体" w:eastAsia="宋体" w:cs="宋体"/>
          <w:spacing w:val="7"/>
          <w:sz w:val="20"/>
          <w:szCs w:val="20"/>
        </w:rPr>
        <w:t>工程量清单应采用综合单价计价。综合单价中应包括招标文件中划</w:t>
      </w:r>
      <w:r>
        <w:rPr>
          <w:rFonts w:ascii="宋体" w:hAnsi="宋体" w:eastAsia="宋体" w:cs="宋体"/>
          <w:spacing w:val="6"/>
          <w:sz w:val="20"/>
          <w:szCs w:val="20"/>
        </w:rPr>
        <w:t>分的应由投标人承担的</w:t>
      </w:r>
      <w:r>
        <w:rPr>
          <w:rFonts w:ascii="宋体" w:hAnsi="宋体" w:eastAsia="宋体" w:cs="宋体"/>
          <w:spacing w:val="12"/>
          <w:sz w:val="20"/>
          <w:szCs w:val="20"/>
        </w:rPr>
        <w:t>风险范围及其费用，招标文件中没有明确的，应提请招标</w:t>
      </w:r>
      <w:r>
        <w:rPr>
          <w:rFonts w:ascii="宋体" w:hAnsi="宋体" w:eastAsia="宋体" w:cs="宋体"/>
          <w:spacing w:val="11"/>
          <w:sz w:val="20"/>
          <w:szCs w:val="20"/>
        </w:rPr>
        <w:t>人明确。即工程量清单中标价的单价或金额，应包括所需人工费、材料费、施工</w:t>
      </w:r>
      <w:r>
        <w:rPr>
          <w:rFonts w:ascii="宋体" w:hAnsi="宋体" w:eastAsia="宋体" w:cs="宋体"/>
          <w:spacing w:val="10"/>
          <w:sz w:val="20"/>
          <w:szCs w:val="20"/>
        </w:rPr>
        <w:t>机械使用费和企业管理费及利润，</w:t>
      </w:r>
      <w:r>
        <w:rPr>
          <w:rFonts w:ascii="宋体" w:hAnsi="宋体" w:eastAsia="宋体" w:cs="宋体"/>
          <w:spacing w:val="-59"/>
          <w:sz w:val="20"/>
          <w:szCs w:val="20"/>
        </w:rPr>
        <w:t xml:space="preserve"> </w:t>
      </w:r>
      <w:r>
        <w:rPr>
          <w:rFonts w:ascii="宋体" w:hAnsi="宋体" w:eastAsia="宋体" w:cs="宋体"/>
          <w:spacing w:val="10"/>
          <w:sz w:val="20"/>
          <w:szCs w:val="20"/>
        </w:rPr>
        <w:t>以</w:t>
      </w:r>
      <w:r>
        <w:rPr>
          <w:rFonts w:ascii="宋体" w:hAnsi="宋体" w:eastAsia="宋体" w:cs="宋体"/>
          <w:spacing w:val="8"/>
          <w:sz w:val="20"/>
          <w:szCs w:val="20"/>
        </w:rPr>
        <w:t>及一定范围内的风险费用。所谓“一定范围内的风险</w:t>
      </w:r>
      <w:r>
        <w:rPr>
          <w:rFonts w:ascii="宋体" w:hAnsi="宋体" w:eastAsia="宋体" w:cs="宋体"/>
          <w:spacing w:val="-52"/>
          <w:sz w:val="20"/>
          <w:szCs w:val="20"/>
        </w:rPr>
        <w:t xml:space="preserve"> </w:t>
      </w:r>
      <w:r>
        <w:rPr>
          <w:rFonts w:ascii="宋体" w:hAnsi="宋体" w:eastAsia="宋体" w:cs="宋体"/>
          <w:spacing w:val="8"/>
          <w:sz w:val="20"/>
          <w:szCs w:val="20"/>
        </w:rPr>
        <w:t>”是指合同约定的风险。</w:t>
      </w:r>
    </w:p>
    <w:p w14:paraId="171EA828">
      <w:pPr>
        <w:pStyle w:val="2"/>
        <w:spacing w:before="1" w:line="387" w:lineRule="auto"/>
        <w:ind w:left="758" w:right="100" w:hanging="743"/>
        <w:rPr>
          <w:rFonts w:ascii="宋体" w:hAnsi="宋体" w:eastAsia="宋体" w:cs="宋体"/>
          <w:sz w:val="20"/>
          <w:szCs w:val="20"/>
        </w:rPr>
      </w:pPr>
      <w:r>
        <w:rPr>
          <w:spacing w:val="11"/>
          <w:sz w:val="20"/>
          <w:szCs w:val="20"/>
        </w:rPr>
        <w:t xml:space="preserve">2.4    </w:t>
      </w:r>
      <w:r>
        <w:rPr>
          <w:rFonts w:ascii="宋体" w:hAnsi="宋体" w:eastAsia="宋体" w:cs="宋体"/>
          <w:spacing w:val="11"/>
          <w:sz w:val="20"/>
          <w:szCs w:val="20"/>
        </w:rPr>
        <w:t>招标工程量清单与计价表中列明的所有需要填写单价和合价的项目，投标人均应填写且</w:t>
      </w:r>
      <w:r>
        <w:rPr>
          <w:rFonts w:ascii="宋体" w:hAnsi="宋体" w:eastAsia="宋体" w:cs="宋体"/>
          <w:spacing w:val="12"/>
          <w:sz w:val="20"/>
          <w:szCs w:val="20"/>
        </w:rPr>
        <w:t>只允许有一个报价。未填写单价和合价的项目，可视为此项费用已经包含在已标价</w:t>
      </w:r>
      <w:r>
        <w:rPr>
          <w:rFonts w:ascii="宋体" w:hAnsi="宋体" w:eastAsia="宋体" w:cs="宋体"/>
          <w:spacing w:val="11"/>
          <w:sz w:val="20"/>
          <w:szCs w:val="20"/>
        </w:rPr>
        <w:t>工程</w:t>
      </w:r>
      <w:r>
        <w:rPr>
          <w:rFonts w:ascii="宋体" w:hAnsi="宋体" w:eastAsia="宋体" w:cs="宋体"/>
          <w:spacing w:val="9"/>
          <w:sz w:val="20"/>
          <w:szCs w:val="20"/>
        </w:rPr>
        <w:t>量清单中其他项目的单价或合价之中。当竣工结算时，此项目不得重新组价予以调整。</w:t>
      </w:r>
    </w:p>
    <w:p w14:paraId="1CC263A0">
      <w:pPr>
        <w:pStyle w:val="2"/>
        <w:spacing w:line="388" w:lineRule="auto"/>
        <w:ind w:left="769" w:right="100" w:hanging="768"/>
        <w:rPr>
          <w:rFonts w:ascii="宋体" w:hAnsi="宋体" w:eastAsia="宋体" w:cs="宋体"/>
          <w:sz w:val="20"/>
          <w:szCs w:val="20"/>
        </w:rPr>
      </w:pPr>
      <w:r>
        <w:rPr>
          <w:spacing w:val="7"/>
          <w:sz w:val="20"/>
          <w:szCs w:val="20"/>
        </w:rPr>
        <w:t>2.5</w:t>
      </w:r>
      <w:r>
        <w:rPr>
          <w:spacing w:val="2"/>
          <w:sz w:val="20"/>
          <w:szCs w:val="20"/>
        </w:rPr>
        <w:t xml:space="preserve">    </w:t>
      </w:r>
      <w:r>
        <w:rPr>
          <w:rFonts w:ascii="宋体" w:hAnsi="宋体" w:eastAsia="宋体" w:cs="宋体"/>
          <w:spacing w:val="7"/>
          <w:sz w:val="20"/>
          <w:szCs w:val="20"/>
        </w:rPr>
        <w:t>“投标报价汇总表</w:t>
      </w:r>
      <w:r>
        <w:rPr>
          <w:rFonts w:ascii="宋体" w:hAnsi="宋体" w:eastAsia="宋体" w:cs="宋体"/>
          <w:spacing w:val="-72"/>
          <w:sz w:val="20"/>
          <w:szCs w:val="20"/>
        </w:rPr>
        <w:t xml:space="preserve"> </w:t>
      </w:r>
      <w:r>
        <w:rPr>
          <w:rFonts w:ascii="宋体" w:hAnsi="宋体" w:eastAsia="宋体" w:cs="宋体"/>
          <w:spacing w:val="7"/>
          <w:sz w:val="20"/>
          <w:szCs w:val="20"/>
        </w:rPr>
        <w:t>”中的投标总价由分部分项工</w:t>
      </w:r>
      <w:r>
        <w:rPr>
          <w:rFonts w:ascii="宋体" w:hAnsi="宋体" w:eastAsia="宋体" w:cs="宋体"/>
          <w:spacing w:val="6"/>
          <w:sz w:val="20"/>
          <w:szCs w:val="20"/>
        </w:rPr>
        <w:t>程费、措施项目费、其他项目费、规费和</w:t>
      </w:r>
      <w:r>
        <w:rPr>
          <w:rFonts w:ascii="宋体" w:hAnsi="宋体" w:eastAsia="宋体" w:cs="宋体"/>
          <w:spacing w:val="11"/>
          <w:sz w:val="20"/>
          <w:szCs w:val="20"/>
        </w:rPr>
        <w:t>税金组成，并且“投标报价汇总表</w:t>
      </w:r>
      <w:r>
        <w:rPr>
          <w:rFonts w:ascii="宋体" w:hAnsi="宋体" w:eastAsia="宋体" w:cs="宋体"/>
          <w:spacing w:val="-70"/>
          <w:sz w:val="20"/>
          <w:szCs w:val="20"/>
        </w:rPr>
        <w:t xml:space="preserve"> </w:t>
      </w:r>
      <w:r>
        <w:rPr>
          <w:rFonts w:ascii="宋体" w:hAnsi="宋体" w:eastAsia="宋体" w:cs="宋体"/>
          <w:spacing w:val="11"/>
          <w:sz w:val="20"/>
          <w:szCs w:val="20"/>
        </w:rPr>
        <w:t>”中的投标总价应当与构成已标价工程量</w:t>
      </w:r>
      <w:r>
        <w:rPr>
          <w:rFonts w:ascii="宋体" w:hAnsi="宋体" w:eastAsia="宋体" w:cs="宋体"/>
          <w:spacing w:val="10"/>
          <w:sz w:val="20"/>
          <w:szCs w:val="20"/>
        </w:rPr>
        <w:t>清单的分部</w:t>
      </w:r>
      <w:r>
        <w:rPr>
          <w:rFonts w:ascii="宋体" w:hAnsi="宋体" w:eastAsia="宋体" w:cs="宋体"/>
          <w:spacing w:val="9"/>
          <w:sz w:val="20"/>
          <w:szCs w:val="20"/>
        </w:rPr>
        <w:t>分项工程费、措施项目费、其他项目费、规费、税金的合计金额一致。</w:t>
      </w:r>
    </w:p>
    <w:p w14:paraId="0A3C0FA4">
      <w:pPr>
        <w:pStyle w:val="2"/>
        <w:spacing w:before="1" w:line="229" w:lineRule="auto"/>
        <w:ind w:left="1"/>
        <w:rPr>
          <w:rFonts w:ascii="宋体" w:hAnsi="宋体" w:eastAsia="宋体" w:cs="宋体"/>
          <w:sz w:val="20"/>
          <w:szCs w:val="20"/>
        </w:rPr>
      </w:pPr>
      <w:r>
        <w:rPr>
          <w:spacing w:val="8"/>
          <w:sz w:val="20"/>
          <w:szCs w:val="20"/>
        </w:rPr>
        <w:t xml:space="preserve">2.6    </w:t>
      </w:r>
      <w:r>
        <w:rPr>
          <w:rFonts w:ascii="宋体" w:hAnsi="宋体" w:eastAsia="宋体" w:cs="宋体"/>
          <w:spacing w:val="8"/>
          <w:sz w:val="20"/>
          <w:szCs w:val="20"/>
        </w:rPr>
        <w:t>分部分项工程和单价措施项目按下列要求报价：</w:t>
      </w:r>
    </w:p>
    <w:p w14:paraId="6967BAD6">
      <w:pPr>
        <w:pStyle w:val="2"/>
        <w:spacing w:before="171" w:line="386" w:lineRule="auto"/>
        <w:ind w:left="739" w:right="100" w:hanging="738"/>
        <w:rPr>
          <w:rFonts w:ascii="宋体" w:hAnsi="宋体" w:eastAsia="宋体" w:cs="宋体"/>
          <w:sz w:val="20"/>
          <w:szCs w:val="20"/>
        </w:rPr>
      </w:pPr>
      <w:r>
        <w:rPr>
          <w:spacing w:val="7"/>
          <w:sz w:val="20"/>
          <w:szCs w:val="20"/>
        </w:rPr>
        <w:t xml:space="preserve">2.6.1  </w:t>
      </w:r>
      <w:r>
        <w:rPr>
          <w:rFonts w:ascii="宋体" w:hAnsi="宋体" w:eastAsia="宋体" w:cs="宋体"/>
          <w:spacing w:val="7"/>
          <w:sz w:val="20"/>
          <w:szCs w:val="20"/>
        </w:rPr>
        <w:t>分部分项工程和单价措施项目，应根据招标文件和招标工程量清单</w:t>
      </w:r>
      <w:r>
        <w:rPr>
          <w:rFonts w:ascii="宋体" w:hAnsi="宋体" w:eastAsia="宋体" w:cs="宋体"/>
          <w:spacing w:val="6"/>
          <w:sz w:val="20"/>
          <w:szCs w:val="20"/>
        </w:rPr>
        <w:t>中的项目特征描述确定</w:t>
      </w:r>
      <w:r>
        <w:rPr>
          <w:rFonts w:ascii="宋体" w:hAnsi="宋体" w:eastAsia="宋体" w:cs="宋体"/>
          <w:spacing w:val="5"/>
          <w:sz w:val="20"/>
          <w:szCs w:val="20"/>
        </w:rPr>
        <w:t>综合单价。</w:t>
      </w:r>
    </w:p>
    <w:p w14:paraId="71376C15">
      <w:pPr>
        <w:pStyle w:val="2"/>
        <w:spacing w:before="4" w:line="386" w:lineRule="auto"/>
        <w:ind w:left="770" w:right="100" w:hanging="769"/>
        <w:rPr>
          <w:rFonts w:ascii="宋体" w:hAnsi="宋体" w:eastAsia="宋体" w:cs="宋体"/>
          <w:sz w:val="20"/>
          <w:szCs w:val="20"/>
        </w:rPr>
      </w:pPr>
      <w:r>
        <w:rPr>
          <w:spacing w:val="6"/>
          <w:sz w:val="20"/>
          <w:szCs w:val="20"/>
        </w:rPr>
        <w:t xml:space="preserve">2.6.2  </w:t>
      </w:r>
      <w:r>
        <w:rPr>
          <w:rFonts w:ascii="宋体" w:hAnsi="宋体" w:eastAsia="宋体" w:cs="宋体"/>
          <w:spacing w:val="6"/>
          <w:sz w:val="20"/>
          <w:szCs w:val="20"/>
        </w:rPr>
        <w:t>如果分部分项工程和单价措施项目清单中涉及“材料（工程设备）暂估单价表</w:t>
      </w:r>
      <w:r>
        <w:rPr>
          <w:rFonts w:ascii="宋体" w:hAnsi="宋体" w:eastAsia="宋体" w:cs="宋体"/>
          <w:spacing w:val="-64"/>
          <w:sz w:val="20"/>
          <w:szCs w:val="20"/>
        </w:rPr>
        <w:t xml:space="preserve"> </w:t>
      </w:r>
      <w:r>
        <w:rPr>
          <w:rFonts w:ascii="宋体" w:hAnsi="宋体" w:eastAsia="宋体" w:cs="宋体"/>
          <w:spacing w:val="6"/>
          <w:sz w:val="20"/>
          <w:szCs w:val="20"/>
        </w:rPr>
        <w:t>”中列出的</w:t>
      </w:r>
      <w:r>
        <w:rPr>
          <w:rFonts w:ascii="宋体" w:hAnsi="宋体" w:eastAsia="宋体" w:cs="宋体"/>
          <w:spacing w:val="7"/>
          <w:sz w:val="20"/>
          <w:szCs w:val="20"/>
        </w:rPr>
        <w:t>材料和工程设备，则按照本节第</w:t>
      </w:r>
      <w:r>
        <w:rPr>
          <w:rFonts w:ascii="宋体" w:hAnsi="宋体" w:eastAsia="宋体" w:cs="宋体"/>
          <w:spacing w:val="-19"/>
          <w:sz w:val="20"/>
          <w:szCs w:val="20"/>
        </w:rPr>
        <w:t xml:space="preserve"> </w:t>
      </w:r>
      <w:r>
        <w:rPr>
          <w:rFonts w:ascii="Times New Roman" w:hAnsi="Times New Roman" w:eastAsia="Times New Roman" w:cs="Times New Roman"/>
          <w:spacing w:val="7"/>
          <w:sz w:val="20"/>
          <w:szCs w:val="20"/>
        </w:rPr>
        <w:t xml:space="preserve">3.3.2 </w:t>
      </w:r>
      <w:r>
        <w:rPr>
          <w:rFonts w:ascii="宋体" w:hAnsi="宋体" w:eastAsia="宋体" w:cs="宋体"/>
          <w:spacing w:val="7"/>
          <w:sz w:val="20"/>
          <w:szCs w:val="20"/>
        </w:rPr>
        <w:t>项的报价原则计价。</w:t>
      </w:r>
    </w:p>
    <w:p w14:paraId="19C434B4">
      <w:pPr>
        <w:pStyle w:val="2"/>
        <w:spacing w:before="4" w:line="386" w:lineRule="auto"/>
        <w:ind w:left="774" w:hanging="773"/>
        <w:rPr>
          <w:rFonts w:ascii="宋体" w:hAnsi="宋体" w:eastAsia="宋体" w:cs="宋体"/>
          <w:sz w:val="20"/>
          <w:szCs w:val="20"/>
        </w:rPr>
      </w:pPr>
      <w:r>
        <w:rPr>
          <w:spacing w:val="13"/>
          <w:sz w:val="20"/>
          <w:szCs w:val="20"/>
        </w:rPr>
        <w:t xml:space="preserve">2.6.3  </w:t>
      </w:r>
      <w:r>
        <w:rPr>
          <w:rFonts w:ascii="宋体" w:hAnsi="宋体" w:eastAsia="宋体" w:cs="宋体"/>
          <w:spacing w:val="13"/>
          <w:sz w:val="20"/>
          <w:szCs w:val="20"/>
        </w:rPr>
        <w:t>如果分部分项工程和单价措施项目清单中涉及“发包人提供的材料和工程设备一</w:t>
      </w:r>
      <w:r>
        <w:rPr>
          <w:rFonts w:ascii="宋体" w:hAnsi="宋体" w:eastAsia="宋体" w:cs="宋体"/>
          <w:spacing w:val="12"/>
          <w:sz w:val="20"/>
          <w:szCs w:val="20"/>
        </w:rPr>
        <w:t>览表</w:t>
      </w:r>
      <w:r>
        <w:rPr>
          <w:rFonts w:ascii="宋体" w:hAnsi="宋体" w:eastAsia="宋体" w:cs="宋体"/>
          <w:spacing w:val="-70"/>
          <w:sz w:val="20"/>
          <w:szCs w:val="20"/>
        </w:rPr>
        <w:t xml:space="preserve"> </w:t>
      </w:r>
      <w:r>
        <w:rPr>
          <w:rFonts w:ascii="宋体" w:hAnsi="宋体" w:eastAsia="宋体" w:cs="宋体"/>
          <w:spacing w:val="12"/>
          <w:sz w:val="20"/>
          <w:szCs w:val="20"/>
        </w:rPr>
        <w:t>”</w:t>
      </w:r>
      <w:r>
        <w:rPr>
          <w:rFonts w:ascii="宋体" w:hAnsi="宋体" w:eastAsia="宋体" w:cs="宋体"/>
          <w:spacing w:val="7"/>
          <w:sz w:val="20"/>
          <w:szCs w:val="20"/>
        </w:rPr>
        <w:t>列出的材料和工程设备。</w:t>
      </w:r>
    </w:p>
    <w:p w14:paraId="36546AF7">
      <w:pPr>
        <w:spacing w:before="3" w:line="226" w:lineRule="auto"/>
        <w:ind w:left="770"/>
        <w:rPr>
          <w:rFonts w:ascii="宋体" w:hAnsi="宋体" w:eastAsia="宋体" w:cs="宋体"/>
          <w:sz w:val="20"/>
          <w:szCs w:val="20"/>
        </w:rPr>
      </w:pPr>
      <w:r>
        <w:rPr>
          <w:rFonts w:ascii="宋体" w:hAnsi="宋体" w:eastAsia="宋体" w:cs="宋体"/>
          <w:spacing w:val="7"/>
          <w:sz w:val="20"/>
          <w:szCs w:val="20"/>
        </w:rPr>
        <w:t>采用一般计税方法的，</w:t>
      </w:r>
      <w:r>
        <w:rPr>
          <w:rFonts w:ascii="宋体" w:hAnsi="宋体" w:eastAsia="宋体" w:cs="宋体"/>
          <w:spacing w:val="-52"/>
          <w:sz w:val="20"/>
          <w:szCs w:val="20"/>
        </w:rPr>
        <w:t xml:space="preserve"> </w:t>
      </w:r>
      <w:r>
        <w:rPr>
          <w:rFonts w:ascii="宋体" w:hAnsi="宋体" w:eastAsia="宋体" w:cs="宋体"/>
          <w:spacing w:val="7"/>
          <w:sz w:val="20"/>
          <w:szCs w:val="20"/>
        </w:rPr>
        <w:t>甲供材不计入除税工程造价。</w:t>
      </w:r>
    </w:p>
    <w:p w14:paraId="02CAD7D1">
      <w:pPr>
        <w:spacing w:line="226" w:lineRule="auto"/>
        <w:rPr>
          <w:rFonts w:ascii="宋体" w:hAnsi="宋体" w:eastAsia="宋体" w:cs="宋体"/>
          <w:sz w:val="20"/>
          <w:szCs w:val="20"/>
        </w:rPr>
        <w:sectPr>
          <w:footerReference r:id="rId439" w:type="default"/>
          <w:pgSz w:w="11907" w:h="16840"/>
          <w:pgMar w:top="400" w:right="1455" w:bottom="1105" w:left="1536" w:header="0" w:footer="943" w:gutter="0"/>
          <w:cols w:space="720" w:num="1"/>
        </w:sectPr>
      </w:pPr>
    </w:p>
    <w:p w14:paraId="5DB09379">
      <w:pPr>
        <w:spacing w:line="275" w:lineRule="auto"/>
        <w:rPr>
          <w:rFonts w:ascii="Arial"/>
          <w:sz w:val="21"/>
        </w:rPr>
      </w:pPr>
    </w:p>
    <w:p w14:paraId="02FDF5E1">
      <w:pPr>
        <w:spacing w:line="275" w:lineRule="auto"/>
        <w:rPr>
          <w:rFonts w:ascii="Arial"/>
          <w:sz w:val="21"/>
        </w:rPr>
      </w:pPr>
    </w:p>
    <w:p w14:paraId="5749FF5D">
      <w:pPr>
        <w:spacing w:line="275" w:lineRule="auto"/>
        <w:rPr>
          <w:rFonts w:ascii="Arial"/>
          <w:sz w:val="21"/>
        </w:rPr>
      </w:pPr>
    </w:p>
    <w:p w14:paraId="406E77FD">
      <w:pPr>
        <w:spacing w:line="276" w:lineRule="auto"/>
        <w:rPr>
          <w:rFonts w:ascii="Arial"/>
          <w:sz w:val="21"/>
        </w:rPr>
      </w:pPr>
    </w:p>
    <w:p w14:paraId="0A2BE2A2">
      <w:pPr>
        <w:spacing w:before="65" w:line="226" w:lineRule="auto"/>
        <w:ind w:left="735"/>
        <w:rPr>
          <w:rFonts w:ascii="宋体" w:hAnsi="宋体" w:eastAsia="宋体" w:cs="宋体"/>
          <w:sz w:val="20"/>
          <w:szCs w:val="20"/>
        </w:rPr>
      </w:pPr>
      <w:r>
        <w:rPr>
          <w:rFonts w:ascii="宋体" w:hAnsi="宋体" w:eastAsia="宋体" w:cs="宋体"/>
          <w:spacing w:val="7"/>
          <w:sz w:val="20"/>
          <w:szCs w:val="20"/>
        </w:rPr>
        <w:t>采用简易计税方法的，</w:t>
      </w:r>
      <w:r>
        <w:rPr>
          <w:rFonts w:ascii="宋体" w:hAnsi="宋体" w:eastAsia="宋体" w:cs="宋体"/>
          <w:spacing w:val="-54"/>
          <w:sz w:val="20"/>
          <w:szCs w:val="20"/>
        </w:rPr>
        <w:t xml:space="preserve"> </w:t>
      </w:r>
      <w:r>
        <w:rPr>
          <w:rFonts w:ascii="宋体" w:hAnsi="宋体" w:eastAsia="宋体" w:cs="宋体"/>
          <w:spacing w:val="7"/>
          <w:sz w:val="20"/>
          <w:szCs w:val="20"/>
        </w:rPr>
        <w:t>甲供材计入除税工程造价。</w:t>
      </w:r>
    </w:p>
    <w:p w14:paraId="30480893">
      <w:pPr>
        <w:pStyle w:val="2"/>
        <w:spacing w:before="173" w:line="388" w:lineRule="auto"/>
        <w:ind w:left="769" w:right="70" w:hanging="769"/>
        <w:rPr>
          <w:rFonts w:ascii="宋体" w:hAnsi="宋体" w:eastAsia="宋体" w:cs="宋体"/>
          <w:sz w:val="20"/>
          <w:szCs w:val="20"/>
        </w:rPr>
      </w:pPr>
      <w:r>
        <w:rPr>
          <w:spacing w:val="7"/>
          <w:sz w:val="20"/>
          <w:szCs w:val="20"/>
        </w:rPr>
        <w:t>2.6.4</w:t>
      </w:r>
      <w:r>
        <w:rPr>
          <w:spacing w:val="85"/>
          <w:sz w:val="20"/>
          <w:szCs w:val="20"/>
        </w:rPr>
        <w:t xml:space="preserve"> </w:t>
      </w:r>
      <w:r>
        <w:rPr>
          <w:rFonts w:ascii="宋体" w:hAnsi="宋体" w:eastAsia="宋体" w:cs="宋体"/>
          <w:spacing w:val="7"/>
          <w:sz w:val="20"/>
          <w:szCs w:val="20"/>
        </w:rPr>
        <w:t>“分部分项工程和单价措施项目清单与计价表</w:t>
      </w:r>
      <w:r>
        <w:rPr>
          <w:rFonts w:ascii="宋体" w:hAnsi="宋体" w:eastAsia="宋体" w:cs="宋体"/>
          <w:spacing w:val="-70"/>
          <w:sz w:val="20"/>
          <w:szCs w:val="20"/>
        </w:rPr>
        <w:t xml:space="preserve"> </w:t>
      </w:r>
      <w:r>
        <w:rPr>
          <w:rFonts w:ascii="宋体" w:hAnsi="宋体" w:eastAsia="宋体" w:cs="宋体"/>
          <w:spacing w:val="7"/>
          <w:sz w:val="20"/>
          <w:szCs w:val="20"/>
        </w:rPr>
        <w:t>”所列各项目的综</w:t>
      </w:r>
      <w:r>
        <w:rPr>
          <w:rFonts w:ascii="宋体" w:hAnsi="宋体" w:eastAsia="宋体" w:cs="宋体"/>
          <w:spacing w:val="6"/>
          <w:sz w:val="20"/>
          <w:szCs w:val="20"/>
        </w:rPr>
        <w:t>合单价组成中，各项目的</w:t>
      </w:r>
      <w:r>
        <w:rPr>
          <w:rFonts w:ascii="宋体" w:hAnsi="宋体" w:eastAsia="宋体" w:cs="宋体"/>
          <w:spacing w:val="12"/>
          <w:sz w:val="20"/>
          <w:szCs w:val="20"/>
        </w:rPr>
        <w:t>人工、材料和机械台班消耗量由投标人按照其自身情况</w:t>
      </w:r>
      <w:r>
        <w:rPr>
          <w:rFonts w:ascii="宋体" w:hAnsi="宋体" w:eastAsia="宋体" w:cs="宋体"/>
          <w:spacing w:val="11"/>
          <w:sz w:val="20"/>
          <w:szCs w:val="20"/>
        </w:rPr>
        <w:t>做充分的竞争性考虑。材料消耗</w:t>
      </w:r>
      <w:r>
        <w:rPr>
          <w:rFonts w:ascii="宋体" w:hAnsi="宋体" w:eastAsia="宋体" w:cs="宋体"/>
          <w:spacing w:val="7"/>
          <w:sz w:val="20"/>
          <w:szCs w:val="20"/>
        </w:rPr>
        <w:t>量包括损耗量。</w:t>
      </w:r>
    </w:p>
    <w:p w14:paraId="5A3D9183">
      <w:pPr>
        <w:pStyle w:val="2"/>
        <w:spacing w:before="1" w:line="386" w:lineRule="auto"/>
        <w:ind w:left="770" w:right="70" w:hanging="771"/>
        <w:rPr>
          <w:rFonts w:ascii="宋体" w:hAnsi="宋体" w:eastAsia="宋体" w:cs="宋体"/>
          <w:sz w:val="20"/>
          <w:szCs w:val="20"/>
        </w:rPr>
      </w:pPr>
      <w:r>
        <w:rPr>
          <w:spacing w:val="6"/>
          <w:sz w:val="20"/>
          <w:szCs w:val="20"/>
        </w:rPr>
        <w:t xml:space="preserve">2.6.5  </w:t>
      </w:r>
      <w:r>
        <w:rPr>
          <w:rFonts w:ascii="宋体" w:hAnsi="宋体" w:eastAsia="宋体" w:cs="宋体"/>
          <w:spacing w:val="6"/>
          <w:sz w:val="20"/>
          <w:szCs w:val="20"/>
        </w:rPr>
        <w:t>投标人在投标文件中提交并构成合同文件的“承包人提供主要材料和工程设备一览表</w:t>
      </w:r>
      <w:r>
        <w:rPr>
          <w:rFonts w:ascii="宋体" w:hAnsi="宋体" w:eastAsia="宋体" w:cs="宋体"/>
          <w:spacing w:val="-64"/>
          <w:sz w:val="20"/>
          <w:szCs w:val="20"/>
        </w:rPr>
        <w:t xml:space="preserve"> </w:t>
      </w:r>
      <w:r>
        <w:rPr>
          <w:rFonts w:ascii="宋体" w:hAnsi="宋体" w:eastAsia="宋体" w:cs="宋体"/>
          <w:spacing w:val="6"/>
          <w:sz w:val="20"/>
          <w:szCs w:val="20"/>
        </w:rPr>
        <w:t>”应符合下列要求。</w:t>
      </w:r>
    </w:p>
    <w:p w14:paraId="696DE8F0">
      <w:pPr>
        <w:spacing w:before="2" w:line="226" w:lineRule="auto"/>
        <w:ind w:left="735"/>
        <w:rPr>
          <w:rFonts w:ascii="宋体" w:hAnsi="宋体" w:eastAsia="宋体" w:cs="宋体"/>
          <w:sz w:val="20"/>
          <w:szCs w:val="20"/>
        </w:rPr>
      </w:pPr>
      <w:r>
        <w:rPr>
          <w:rFonts w:ascii="宋体" w:hAnsi="宋体" w:eastAsia="宋体" w:cs="宋体"/>
          <w:spacing w:val="9"/>
          <w:sz w:val="20"/>
          <w:szCs w:val="20"/>
        </w:rPr>
        <w:t>采用一般计税方法的，进入综合单价的材料和工程设备的价格为除税价格。</w:t>
      </w:r>
    </w:p>
    <w:p w14:paraId="2C04392A">
      <w:pPr>
        <w:spacing w:before="175" w:line="226" w:lineRule="auto"/>
        <w:ind w:left="735"/>
        <w:rPr>
          <w:rFonts w:ascii="宋体" w:hAnsi="宋体" w:eastAsia="宋体" w:cs="宋体"/>
          <w:sz w:val="20"/>
          <w:szCs w:val="20"/>
        </w:rPr>
      </w:pPr>
      <w:r>
        <w:rPr>
          <w:rFonts w:ascii="宋体" w:hAnsi="宋体" w:eastAsia="宋体" w:cs="宋体"/>
          <w:spacing w:val="9"/>
          <w:sz w:val="20"/>
          <w:szCs w:val="20"/>
        </w:rPr>
        <w:t>采用简易计税方法的，进入综合单价的材料和工程设备的价格为含税价格。</w:t>
      </w:r>
    </w:p>
    <w:p w14:paraId="662C282F">
      <w:pPr>
        <w:pStyle w:val="2"/>
        <w:spacing w:before="177" w:line="380" w:lineRule="auto"/>
        <w:ind w:left="769" w:right="70" w:hanging="769"/>
        <w:rPr>
          <w:rFonts w:ascii="宋体" w:hAnsi="宋体" w:eastAsia="宋体" w:cs="宋体"/>
          <w:sz w:val="20"/>
          <w:szCs w:val="20"/>
        </w:rPr>
      </w:pPr>
      <w:r>
        <w:rPr>
          <w:spacing w:val="6"/>
          <w:sz w:val="20"/>
          <w:szCs w:val="20"/>
        </w:rPr>
        <w:t xml:space="preserve">2.6.6  </w:t>
      </w:r>
      <w:r>
        <w:rPr>
          <w:rFonts w:ascii="宋体" w:hAnsi="宋体" w:eastAsia="宋体" w:cs="宋体"/>
          <w:spacing w:val="6"/>
          <w:sz w:val="20"/>
          <w:szCs w:val="20"/>
        </w:rPr>
        <w:t>投标人应对每一个分部分项工程和单价措施项目编制“综合单价分析表</w:t>
      </w:r>
      <w:r>
        <w:rPr>
          <w:rFonts w:ascii="宋体" w:hAnsi="宋体" w:eastAsia="宋体" w:cs="宋体"/>
          <w:spacing w:val="-64"/>
          <w:sz w:val="20"/>
          <w:szCs w:val="20"/>
        </w:rPr>
        <w:t xml:space="preserve"> </w:t>
      </w:r>
      <w:r>
        <w:rPr>
          <w:rFonts w:ascii="宋体" w:hAnsi="宋体" w:eastAsia="宋体" w:cs="宋体"/>
          <w:spacing w:val="6"/>
          <w:sz w:val="20"/>
          <w:szCs w:val="20"/>
        </w:rPr>
        <w:t>”，并按分部分项</w:t>
      </w:r>
      <w:r>
        <w:rPr>
          <w:rFonts w:ascii="宋体" w:hAnsi="宋体" w:eastAsia="宋体" w:cs="宋体"/>
          <w:sz w:val="20"/>
          <w:szCs w:val="20"/>
        </w:rPr>
        <w:t>工程和单价措施项目的顺序附在“分部分项工程和单价措施项目清单与计价表</w:t>
      </w:r>
      <w:r>
        <w:rPr>
          <w:rFonts w:ascii="宋体" w:hAnsi="宋体" w:eastAsia="宋体" w:cs="宋体"/>
          <w:spacing w:val="-57"/>
          <w:sz w:val="20"/>
          <w:szCs w:val="20"/>
        </w:rPr>
        <w:t xml:space="preserve"> </w:t>
      </w:r>
      <w:r>
        <w:rPr>
          <w:rFonts w:ascii="宋体" w:hAnsi="宋体" w:eastAsia="宋体" w:cs="宋体"/>
          <w:sz w:val="20"/>
          <w:szCs w:val="20"/>
        </w:rPr>
        <w:t>”之后，“综</w:t>
      </w:r>
      <w:r>
        <w:rPr>
          <w:rFonts w:ascii="宋体" w:hAnsi="宋体" w:eastAsia="宋体" w:cs="宋体"/>
          <w:spacing w:val="10"/>
          <w:sz w:val="20"/>
          <w:szCs w:val="20"/>
        </w:rPr>
        <w:t>合单价分析表</w:t>
      </w:r>
      <w:r>
        <w:rPr>
          <w:rFonts w:ascii="宋体" w:hAnsi="宋体" w:eastAsia="宋体" w:cs="宋体"/>
          <w:spacing w:val="-68"/>
          <w:sz w:val="20"/>
          <w:szCs w:val="20"/>
        </w:rPr>
        <w:t xml:space="preserve"> </w:t>
      </w:r>
      <w:r>
        <w:rPr>
          <w:rFonts w:ascii="宋体" w:hAnsi="宋体" w:eastAsia="宋体" w:cs="宋体"/>
          <w:spacing w:val="10"/>
          <w:sz w:val="20"/>
          <w:szCs w:val="20"/>
        </w:rPr>
        <w:t>”中的综合单价应与“分部分项工程和单价措施项目清单与计价表</w:t>
      </w:r>
      <w:r>
        <w:rPr>
          <w:rFonts w:ascii="宋体" w:hAnsi="宋体" w:eastAsia="宋体" w:cs="宋体"/>
          <w:spacing w:val="-69"/>
          <w:sz w:val="20"/>
          <w:szCs w:val="20"/>
        </w:rPr>
        <w:t xml:space="preserve"> </w:t>
      </w:r>
      <w:r>
        <w:rPr>
          <w:rFonts w:ascii="宋体" w:hAnsi="宋体" w:eastAsia="宋体" w:cs="宋体"/>
          <w:spacing w:val="10"/>
          <w:sz w:val="20"/>
          <w:szCs w:val="20"/>
        </w:rPr>
        <w:t>”中相</w:t>
      </w:r>
      <w:r>
        <w:rPr>
          <w:rFonts w:ascii="宋体" w:hAnsi="宋体" w:eastAsia="宋体" w:cs="宋体"/>
          <w:spacing w:val="7"/>
          <w:sz w:val="20"/>
          <w:szCs w:val="20"/>
        </w:rPr>
        <w:t>应的综合单价一致。</w:t>
      </w:r>
    </w:p>
    <w:p w14:paraId="3C766EDA">
      <w:pPr>
        <w:pStyle w:val="2"/>
        <w:spacing w:before="1" w:line="229" w:lineRule="auto"/>
        <w:rPr>
          <w:rFonts w:ascii="宋体" w:hAnsi="宋体" w:eastAsia="宋体" w:cs="宋体"/>
          <w:sz w:val="20"/>
          <w:szCs w:val="20"/>
        </w:rPr>
      </w:pPr>
      <w:r>
        <w:rPr>
          <w:spacing w:val="7"/>
          <w:sz w:val="20"/>
          <w:szCs w:val="20"/>
        </w:rPr>
        <w:t xml:space="preserve">2.7    </w:t>
      </w:r>
      <w:r>
        <w:rPr>
          <w:rFonts w:ascii="宋体" w:hAnsi="宋体" w:eastAsia="宋体" w:cs="宋体"/>
          <w:spacing w:val="7"/>
          <w:sz w:val="20"/>
          <w:szCs w:val="20"/>
        </w:rPr>
        <w:t>总价措施项目按下列要求报价：</w:t>
      </w:r>
    </w:p>
    <w:p w14:paraId="240FD947">
      <w:pPr>
        <w:pStyle w:val="2"/>
        <w:spacing w:before="164" w:line="386" w:lineRule="auto"/>
        <w:ind w:left="770" w:right="70" w:hanging="771"/>
        <w:rPr>
          <w:rFonts w:ascii="宋体" w:hAnsi="宋体" w:eastAsia="宋体" w:cs="宋体"/>
          <w:sz w:val="20"/>
          <w:szCs w:val="20"/>
        </w:rPr>
      </w:pPr>
      <w:r>
        <w:rPr>
          <w:spacing w:val="7"/>
          <w:sz w:val="20"/>
          <w:szCs w:val="20"/>
        </w:rPr>
        <w:t xml:space="preserve">2.7.1  </w:t>
      </w:r>
      <w:r>
        <w:rPr>
          <w:rFonts w:ascii="宋体" w:hAnsi="宋体" w:eastAsia="宋体" w:cs="宋体"/>
          <w:spacing w:val="7"/>
          <w:sz w:val="20"/>
          <w:szCs w:val="20"/>
        </w:rPr>
        <w:t>总价措施项目应根据招标文件及投标时拟定的施工组织设计或施工方案，以</w:t>
      </w:r>
      <w:r>
        <w:rPr>
          <w:rFonts w:ascii="Times New Roman" w:hAnsi="Times New Roman" w:eastAsia="Times New Roman" w:cs="Times New Roman"/>
          <w:spacing w:val="7"/>
          <w:sz w:val="20"/>
          <w:szCs w:val="20"/>
        </w:rPr>
        <w:t>“</w:t>
      </w:r>
      <w:r>
        <w:rPr>
          <w:rFonts w:ascii="宋体" w:hAnsi="宋体" w:eastAsia="宋体" w:cs="宋体"/>
          <w:spacing w:val="7"/>
          <w:sz w:val="20"/>
          <w:szCs w:val="20"/>
        </w:rPr>
        <w:t>项</w:t>
      </w:r>
      <w:r>
        <w:rPr>
          <w:rFonts w:ascii="Times New Roman" w:hAnsi="Times New Roman" w:eastAsia="Times New Roman" w:cs="Times New Roman"/>
          <w:spacing w:val="7"/>
          <w:sz w:val="20"/>
          <w:szCs w:val="20"/>
        </w:rPr>
        <w:t>”</w:t>
      </w:r>
      <w:r>
        <w:rPr>
          <w:rFonts w:ascii="宋体" w:hAnsi="宋体" w:eastAsia="宋体" w:cs="宋体"/>
          <w:spacing w:val="7"/>
          <w:sz w:val="20"/>
          <w:szCs w:val="20"/>
        </w:rPr>
        <w:t>为单位自</w:t>
      </w:r>
      <w:r>
        <w:rPr>
          <w:rFonts w:ascii="宋体" w:hAnsi="宋体" w:eastAsia="宋体" w:cs="宋体"/>
          <w:spacing w:val="9"/>
          <w:sz w:val="20"/>
          <w:szCs w:val="20"/>
        </w:rPr>
        <w:t>主确定价格</w:t>
      </w:r>
      <w:r>
        <w:rPr>
          <w:rFonts w:ascii="宋体" w:hAnsi="宋体" w:eastAsia="宋体" w:cs="宋体"/>
          <w:spacing w:val="9"/>
          <w:sz w:val="18"/>
          <w:szCs w:val="18"/>
        </w:rPr>
        <w:t>。</w:t>
      </w:r>
      <w:r>
        <w:rPr>
          <w:rFonts w:ascii="宋体" w:hAnsi="宋体" w:eastAsia="宋体" w:cs="宋体"/>
          <w:spacing w:val="9"/>
          <w:sz w:val="20"/>
          <w:szCs w:val="20"/>
        </w:rPr>
        <w:t>投标人所填报价格应包括除规费、税金外的全部费用。</w:t>
      </w:r>
    </w:p>
    <w:p w14:paraId="0765C451">
      <w:pPr>
        <w:pStyle w:val="2"/>
        <w:spacing w:before="3" w:line="387" w:lineRule="auto"/>
        <w:ind w:left="770" w:right="71" w:hanging="771"/>
        <w:rPr>
          <w:rFonts w:ascii="宋体" w:hAnsi="宋体" w:eastAsia="宋体" w:cs="宋体"/>
          <w:sz w:val="20"/>
          <w:szCs w:val="20"/>
        </w:rPr>
      </w:pPr>
      <w:r>
        <w:rPr>
          <w:spacing w:val="11"/>
          <w:sz w:val="20"/>
          <w:szCs w:val="20"/>
        </w:rPr>
        <w:t xml:space="preserve">2.7.2  </w:t>
      </w:r>
      <w:r>
        <w:rPr>
          <w:rFonts w:ascii="宋体" w:hAnsi="宋体" w:eastAsia="宋体" w:cs="宋体"/>
          <w:spacing w:val="11"/>
          <w:sz w:val="20"/>
          <w:szCs w:val="20"/>
        </w:rPr>
        <w:t>总价措施项目清单中的安全文明施工费必须按国家或省级、行业建设主管部门的规定计</w:t>
      </w:r>
      <w:r>
        <w:rPr>
          <w:rFonts w:ascii="宋体" w:hAnsi="宋体" w:eastAsia="宋体" w:cs="宋体"/>
          <w:spacing w:val="8"/>
          <w:sz w:val="20"/>
          <w:szCs w:val="20"/>
        </w:rPr>
        <w:t>算，不得作为竞争性费用。</w:t>
      </w:r>
    </w:p>
    <w:p w14:paraId="5FB46469">
      <w:pPr>
        <w:pStyle w:val="2"/>
        <w:spacing w:before="3" w:line="372" w:lineRule="auto"/>
        <w:ind w:left="789" w:hanging="789"/>
        <w:rPr>
          <w:rFonts w:ascii="宋体" w:hAnsi="宋体" w:eastAsia="宋体" w:cs="宋体"/>
          <w:sz w:val="20"/>
          <w:szCs w:val="20"/>
        </w:rPr>
      </w:pPr>
      <w:r>
        <w:rPr>
          <w:spacing w:val="7"/>
          <w:sz w:val="20"/>
          <w:szCs w:val="20"/>
        </w:rPr>
        <w:t>2.7.3</w:t>
      </w:r>
      <w:r>
        <w:rPr>
          <w:spacing w:val="85"/>
          <w:sz w:val="20"/>
          <w:szCs w:val="20"/>
        </w:rPr>
        <w:t xml:space="preserve"> </w:t>
      </w:r>
      <w:r>
        <w:rPr>
          <w:rFonts w:ascii="宋体" w:hAnsi="宋体" w:eastAsia="宋体" w:cs="宋体"/>
          <w:spacing w:val="7"/>
          <w:sz w:val="20"/>
          <w:szCs w:val="20"/>
        </w:rPr>
        <w:t>“总价措施项目清单与计价表</w:t>
      </w:r>
      <w:r>
        <w:rPr>
          <w:rFonts w:ascii="宋体" w:hAnsi="宋体" w:eastAsia="宋体" w:cs="宋体"/>
          <w:spacing w:val="-70"/>
          <w:sz w:val="20"/>
          <w:szCs w:val="20"/>
        </w:rPr>
        <w:t xml:space="preserve"> </w:t>
      </w:r>
      <w:r>
        <w:rPr>
          <w:rFonts w:ascii="宋体" w:hAnsi="宋体" w:eastAsia="宋体" w:cs="宋体"/>
          <w:spacing w:val="7"/>
          <w:sz w:val="20"/>
          <w:szCs w:val="20"/>
        </w:rPr>
        <w:t>”中所填写的报价金额，应全面涵</w:t>
      </w:r>
      <w:r>
        <w:rPr>
          <w:rFonts w:ascii="宋体" w:hAnsi="宋体" w:eastAsia="宋体" w:cs="宋体"/>
          <w:spacing w:val="6"/>
          <w:sz w:val="20"/>
          <w:szCs w:val="20"/>
        </w:rPr>
        <w:t>盖招标文件约定的投标人</w:t>
      </w:r>
      <w:r>
        <w:rPr>
          <w:rFonts w:ascii="宋体" w:hAnsi="宋体" w:eastAsia="宋体" w:cs="宋体"/>
          <w:spacing w:val="8"/>
          <w:sz w:val="20"/>
          <w:szCs w:val="20"/>
        </w:rPr>
        <w:t>中标后施工、竣工、交付本工程并维修其任何缺</w:t>
      </w:r>
      <w:r>
        <w:rPr>
          <w:rFonts w:ascii="宋体" w:hAnsi="宋体" w:eastAsia="宋体" w:cs="宋体"/>
          <w:spacing w:val="7"/>
          <w:sz w:val="20"/>
          <w:szCs w:val="20"/>
        </w:rPr>
        <w:t>陷所需要履行的责任和义务的全部费用。</w:t>
      </w:r>
    </w:p>
    <w:p w14:paraId="1A55CE24">
      <w:pPr>
        <w:pStyle w:val="2"/>
        <w:spacing w:line="229" w:lineRule="auto"/>
        <w:rPr>
          <w:rFonts w:ascii="宋体" w:hAnsi="宋体" w:eastAsia="宋体" w:cs="宋体"/>
          <w:sz w:val="20"/>
          <w:szCs w:val="20"/>
        </w:rPr>
      </w:pPr>
      <w:r>
        <w:rPr>
          <w:spacing w:val="7"/>
          <w:sz w:val="20"/>
          <w:szCs w:val="20"/>
        </w:rPr>
        <w:t xml:space="preserve">2.8    </w:t>
      </w:r>
      <w:r>
        <w:rPr>
          <w:rFonts w:ascii="宋体" w:hAnsi="宋体" w:eastAsia="宋体" w:cs="宋体"/>
          <w:spacing w:val="7"/>
          <w:sz w:val="20"/>
          <w:szCs w:val="20"/>
        </w:rPr>
        <w:t>其他项目应按下列规定报价：</w:t>
      </w:r>
    </w:p>
    <w:p w14:paraId="28711BBD">
      <w:pPr>
        <w:pStyle w:val="2"/>
        <w:spacing w:before="164" w:line="231" w:lineRule="auto"/>
        <w:ind w:left="4"/>
        <w:rPr>
          <w:rFonts w:ascii="宋体" w:hAnsi="宋体" w:eastAsia="宋体" w:cs="宋体"/>
          <w:sz w:val="20"/>
          <w:szCs w:val="20"/>
        </w:rPr>
      </w:pPr>
      <w:r>
        <w:rPr>
          <w:spacing w:val="8"/>
          <w:sz w:val="20"/>
          <w:szCs w:val="20"/>
        </w:rPr>
        <w:t xml:space="preserve">2.8.1  </w:t>
      </w:r>
      <w:r>
        <w:rPr>
          <w:rFonts w:ascii="宋体" w:hAnsi="宋体" w:eastAsia="宋体" w:cs="宋体"/>
          <w:spacing w:val="8"/>
          <w:sz w:val="20"/>
          <w:szCs w:val="20"/>
        </w:rPr>
        <w:t>暂列金额应按招标工程量清单“暂列金额明细表</w:t>
      </w:r>
      <w:r>
        <w:rPr>
          <w:rFonts w:ascii="宋体" w:hAnsi="宋体" w:eastAsia="宋体" w:cs="宋体"/>
          <w:spacing w:val="-69"/>
          <w:sz w:val="20"/>
          <w:szCs w:val="20"/>
        </w:rPr>
        <w:t xml:space="preserve"> </w:t>
      </w:r>
      <w:r>
        <w:rPr>
          <w:rFonts w:ascii="宋体" w:hAnsi="宋体" w:eastAsia="宋体" w:cs="宋体"/>
          <w:spacing w:val="8"/>
          <w:sz w:val="20"/>
          <w:szCs w:val="20"/>
        </w:rPr>
        <w:t>”中列出的金额填写，不得变动。</w:t>
      </w:r>
    </w:p>
    <w:p w14:paraId="649BF836">
      <w:pPr>
        <w:pStyle w:val="2"/>
        <w:spacing w:before="169" w:line="388" w:lineRule="auto"/>
        <w:ind w:left="718" w:right="69" w:hanging="714"/>
        <w:rPr>
          <w:rFonts w:ascii="宋体" w:hAnsi="宋体" w:eastAsia="宋体" w:cs="宋体"/>
          <w:sz w:val="20"/>
          <w:szCs w:val="20"/>
        </w:rPr>
      </w:pPr>
      <w:r>
        <w:rPr>
          <w:spacing w:val="11"/>
          <w:sz w:val="20"/>
          <w:szCs w:val="20"/>
        </w:rPr>
        <w:t xml:space="preserve">2.8.2  </w:t>
      </w:r>
      <w:r>
        <w:rPr>
          <w:rFonts w:ascii="宋体" w:hAnsi="宋体" w:eastAsia="宋体" w:cs="宋体"/>
          <w:spacing w:val="11"/>
          <w:sz w:val="20"/>
          <w:szCs w:val="20"/>
        </w:rPr>
        <w:t>暂估价分为材料（工程设备）暂估单价和专业工程暂估价两类。其中材料、工程设备暂</w:t>
      </w:r>
      <w:r>
        <w:rPr>
          <w:rFonts w:ascii="宋体" w:hAnsi="宋体" w:eastAsia="宋体" w:cs="宋体"/>
          <w:spacing w:val="5"/>
          <w:sz w:val="20"/>
          <w:szCs w:val="20"/>
        </w:rPr>
        <w:t>估单价应按招标工程量清单“材料（工程设备）暂估单价表</w:t>
      </w:r>
      <w:r>
        <w:rPr>
          <w:rFonts w:ascii="宋体" w:hAnsi="宋体" w:eastAsia="宋体" w:cs="宋体"/>
          <w:spacing w:val="-70"/>
          <w:sz w:val="20"/>
          <w:szCs w:val="20"/>
        </w:rPr>
        <w:t xml:space="preserve"> </w:t>
      </w:r>
      <w:r>
        <w:rPr>
          <w:rFonts w:ascii="宋体" w:hAnsi="宋体" w:eastAsia="宋体" w:cs="宋体"/>
          <w:spacing w:val="5"/>
          <w:sz w:val="20"/>
          <w:szCs w:val="20"/>
        </w:rPr>
        <w:t>”中列出的单</w:t>
      </w:r>
      <w:r>
        <w:rPr>
          <w:rFonts w:ascii="宋体" w:hAnsi="宋体" w:eastAsia="宋体" w:cs="宋体"/>
          <w:spacing w:val="4"/>
          <w:sz w:val="20"/>
          <w:szCs w:val="20"/>
        </w:rPr>
        <w:t>价和本节第</w:t>
      </w:r>
      <w:r>
        <w:rPr>
          <w:rFonts w:ascii="宋体" w:hAnsi="宋体" w:eastAsia="宋体" w:cs="宋体"/>
          <w:spacing w:val="-36"/>
          <w:sz w:val="20"/>
          <w:szCs w:val="20"/>
        </w:rPr>
        <w:t xml:space="preserve"> </w:t>
      </w:r>
      <w:r>
        <w:rPr>
          <w:rFonts w:ascii="Times New Roman" w:hAnsi="Times New Roman" w:eastAsia="Times New Roman" w:cs="Times New Roman"/>
          <w:spacing w:val="4"/>
          <w:sz w:val="20"/>
          <w:szCs w:val="20"/>
        </w:rPr>
        <w:t>3.3.2</w:t>
      </w:r>
      <w:r>
        <w:rPr>
          <w:rFonts w:ascii="宋体" w:hAnsi="宋体" w:eastAsia="宋体" w:cs="宋体"/>
          <w:spacing w:val="7"/>
          <w:sz w:val="20"/>
          <w:szCs w:val="20"/>
        </w:rPr>
        <w:t>项的报价原则进入分部分项工程和单价措施项目清单之综合单价，不得变动，不在“其他</w:t>
      </w:r>
      <w:r>
        <w:rPr>
          <w:rFonts w:ascii="宋体" w:hAnsi="宋体" w:eastAsia="宋体" w:cs="宋体"/>
          <w:spacing w:val="9"/>
          <w:sz w:val="20"/>
          <w:szCs w:val="20"/>
        </w:rPr>
        <w:t>项目清单与计价汇总表</w:t>
      </w:r>
      <w:r>
        <w:rPr>
          <w:rFonts w:ascii="宋体" w:hAnsi="宋体" w:eastAsia="宋体" w:cs="宋体"/>
          <w:spacing w:val="-58"/>
          <w:sz w:val="20"/>
          <w:szCs w:val="20"/>
        </w:rPr>
        <w:t xml:space="preserve"> </w:t>
      </w:r>
      <w:r>
        <w:rPr>
          <w:rFonts w:ascii="宋体" w:hAnsi="宋体" w:eastAsia="宋体" w:cs="宋体"/>
          <w:spacing w:val="9"/>
          <w:sz w:val="20"/>
          <w:szCs w:val="20"/>
        </w:rPr>
        <w:t>”中汇总；专业工程暂估价应按招标工程量清单 “专业工程暂估</w:t>
      </w:r>
      <w:r>
        <w:rPr>
          <w:rFonts w:ascii="宋体" w:hAnsi="宋体" w:eastAsia="宋体" w:cs="宋体"/>
          <w:spacing w:val="8"/>
          <w:sz w:val="20"/>
          <w:szCs w:val="20"/>
        </w:rPr>
        <w:t>价表</w:t>
      </w:r>
      <w:r>
        <w:rPr>
          <w:rFonts w:ascii="宋体" w:hAnsi="宋体" w:eastAsia="宋体" w:cs="宋体"/>
          <w:spacing w:val="-70"/>
          <w:sz w:val="20"/>
          <w:szCs w:val="20"/>
        </w:rPr>
        <w:t xml:space="preserve"> </w:t>
      </w:r>
      <w:r>
        <w:rPr>
          <w:rFonts w:ascii="宋体" w:hAnsi="宋体" w:eastAsia="宋体" w:cs="宋体"/>
          <w:spacing w:val="8"/>
          <w:sz w:val="20"/>
          <w:szCs w:val="20"/>
        </w:rPr>
        <w:t>”中列出的金额和本节第</w:t>
      </w:r>
      <w:r>
        <w:rPr>
          <w:rFonts w:ascii="宋体" w:hAnsi="宋体" w:eastAsia="宋体" w:cs="宋体"/>
          <w:spacing w:val="-38"/>
          <w:sz w:val="20"/>
          <w:szCs w:val="20"/>
        </w:rPr>
        <w:t xml:space="preserve"> </w:t>
      </w:r>
      <w:r>
        <w:rPr>
          <w:rFonts w:ascii="Times New Roman" w:hAnsi="Times New Roman" w:eastAsia="Times New Roman" w:cs="Times New Roman"/>
          <w:spacing w:val="8"/>
          <w:sz w:val="20"/>
          <w:szCs w:val="20"/>
        </w:rPr>
        <w:t xml:space="preserve">3.3.3 </w:t>
      </w:r>
      <w:r>
        <w:rPr>
          <w:rFonts w:ascii="宋体" w:hAnsi="宋体" w:eastAsia="宋体" w:cs="宋体"/>
          <w:spacing w:val="8"/>
          <w:sz w:val="20"/>
          <w:szCs w:val="20"/>
        </w:rPr>
        <w:t>项的报价原则</w:t>
      </w:r>
      <w:r>
        <w:rPr>
          <w:rFonts w:ascii="宋体" w:hAnsi="宋体" w:eastAsia="宋体" w:cs="宋体"/>
          <w:spacing w:val="7"/>
          <w:sz w:val="20"/>
          <w:szCs w:val="20"/>
        </w:rPr>
        <w:t>计入其他项目清单报价，不得变动。</w:t>
      </w:r>
    </w:p>
    <w:p w14:paraId="11E71B8D">
      <w:pPr>
        <w:pStyle w:val="2"/>
        <w:spacing w:before="1" w:line="385" w:lineRule="auto"/>
        <w:ind w:left="741" w:right="73" w:hanging="737"/>
        <w:rPr>
          <w:rFonts w:ascii="宋体" w:hAnsi="宋体" w:eastAsia="宋体" w:cs="宋体"/>
          <w:sz w:val="20"/>
          <w:szCs w:val="20"/>
        </w:rPr>
      </w:pPr>
      <w:r>
        <w:rPr>
          <w:spacing w:val="9"/>
          <w:sz w:val="20"/>
          <w:szCs w:val="20"/>
        </w:rPr>
        <w:t xml:space="preserve">2.8.3  </w:t>
      </w:r>
      <w:r>
        <w:rPr>
          <w:rFonts w:ascii="宋体" w:hAnsi="宋体" w:eastAsia="宋体" w:cs="宋体"/>
          <w:spacing w:val="9"/>
          <w:sz w:val="20"/>
          <w:szCs w:val="20"/>
        </w:rPr>
        <w:t>计日工应按招标工程量清单“计日工表</w:t>
      </w:r>
      <w:r>
        <w:rPr>
          <w:rFonts w:ascii="宋体" w:hAnsi="宋体" w:eastAsia="宋体" w:cs="宋体"/>
          <w:spacing w:val="-54"/>
          <w:sz w:val="20"/>
          <w:szCs w:val="20"/>
        </w:rPr>
        <w:t xml:space="preserve"> </w:t>
      </w:r>
      <w:r>
        <w:rPr>
          <w:rFonts w:ascii="宋体" w:hAnsi="宋体" w:eastAsia="宋体" w:cs="宋体"/>
          <w:spacing w:val="9"/>
          <w:sz w:val="20"/>
          <w:szCs w:val="20"/>
        </w:rPr>
        <w:t>”中列出的项目和数量，</w:t>
      </w:r>
      <w:r>
        <w:rPr>
          <w:rFonts w:ascii="宋体" w:hAnsi="宋体" w:eastAsia="宋体" w:cs="宋体"/>
          <w:spacing w:val="-46"/>
          <w:sz w:val="20"/>
          <w:szCs w:val="20"/>
        </w:rPr>
        <w:t xml:space="preserve"> </w:t>
      </w:r>
      <w:r>
        <w:rPr>
          <w:rFonts w:ascii="宋体" w:hAnsi="宋体" w:eastAsia="宋体" w:cs="宋体"/>
          <w:spacing w:val="9"/>
          <w:sz w:val="20"/>
          <w:szCs w:val="20"/>
        </w:rPr>
        <w:t>自主确定单价并计取企业管理费与利润。计日工单价不包括规费和税金。</w:t>
      </w:r>
    </w:p>
    <w:p w14:paraId="29266A8F">
      <w:pPr>
        <w:spacing w:before="5" w:line="226" w:lineRule="auto"/>
        <w:ind w:left="740"/>
        <w:rPr>
          <w:rFonts w:ascii="宋体" w:hAnsi="宋体" w:eastAsia="宋体" w:cs="宋体"/>
          <w:sz w:val="20"/>
          <w:szCs w:val="20"/>
        </w:rPr>
      </w:pPr>
      <w:r>
        <w:rPr>
          <w:rFonts w:ascii="宋体" w:hAnsi="宋体" w:eastAsia="宋体" w:cs="宋体"/>
          <w:spacing w:val="9"/>
          <w:sz w:val="20"/>
          <w:szCs w:val="20"/>
        </w:rPr>
        <w:t>采用一般计税方法的，计日工费用组成中的材料和机械的单价为除税价格。</w:t>
      </w:r>
    </w:p>
    <w:p w14:paraId="6324B1C8">
      <w:pPr>
        <w:spacing w:before="175" w:line="226" w:lineRule="auto"/>
        <w:ind w:left="740"/>
        <w:rPr>
          <w:rFonts w:ascii="宋体" w:hAnsi="宋体" w:eastAsia="宋体" w:cs="宋体"/>
          <w:sz w:val="20"/>
          <w:szCs w:val="20"/>
        </w:rPr>
      </w:pPr>
      <w:r>
        <w:rPr>
          <w:rFonts w:ascii="宋体" w:hAnsi="宋体" w:eastAsia="宋体" w:cs="宋体"/>
          <w:spacing w:val="9"/>
          <w:sz w:val="20"/>
          <w:szCs w:val="20"/>
        </w:rPr>
        <w:t>采用简易计税方法的，计日工费用组成中的材料和机械的单价为含税价格。</w:t>
      </w:r>
    </w:p>
    <w:p w14:paraId="7B60530D">
      <w:pPr>
        <w:pStyle w:val="2"/>
        <w:spacing w:before="174" w:line="386" w:lineRule="auto"/>
        <w:ind w:left="711" w:right="70" w:hanging="707"/>
        <w:rPr>
          <w:rFonts w:ascii="宋体" w:hAnsi="宋体" w:eastAsia="宋体" w:cs="宋体"/>
          <w:sz w:val="20"/>
          <w:szCs w:val="20"/>
        </w:rPr>
      </w:pPr>
      <w:r>
        <w:rPr>
          <w:spacing w:val="11"/>
          <w:sz w:val="20"/>
          <w:szCs w:val="20"/>
        </w:rPr>
        <w:t xml:space="preserve">2.8.4  </w:t>
      </w:r>
      <w:r>
        <w:rPr>
          <w:rFonts w:ascii="宋体" w:hAnsi="宋体" w:eastAsia="宋体" w:cs="宋体"/>
          <w:spacing w:val="11"/>
          <w:sz w:val="20"/>
          <w:szCs w:val="20"/>
        </w:rPr>
        <w:t>总承包服务费应按招标工程量清单“总承</w:t>
      </w:r>
      <w:r>
        <w:rPr>
          <w:rFonts w:ascii="宋体" w:hAnsi="宋体" w:eastAsia="宋体" w:cs="宋体"/>
          <w:spacing w:val="10"/>
          <w:sz w:val="20"/>
          <w:szCs w:val="20"/>
        </w:rPr>
        <w:t>包服务费计价表</w:t>
      </w:r>
      <w:r>
        <w:rPr>
          <w:rFonts w:ascii="宋体" w:hAnsi="宋体" w:eastAsia="宋体" w:cs="宋体"/>
          <w:spacing w:val="-68"/>
          <w:sz w:val="20"/>
          <w:szCs w:val="20"/>
        </w:rPr>
        <w:t xml:space="preserve"> </w:t>
      </w:r>
      <w:r>
        <w:rPr>
          <w:rFonts w:ascii="宋体" w:hAnsi="宋体" w:eastAsia="宋体" w:cs="宋体"/>
          <w:spacing w:val="10"/>
          <w:sz w:val="20"/>
          <w:szCs w:val="20"/>
        </w:rPr>
        <w:t>”中列出的内容和提出的要求</w:t>
      </w:r>
      <w:r>
        <w:rPr>
          <w:rFonts w:ascii="宋体" w:hAnsi="宋体" w:eastAsia="宋体" w:cs="宋体"/>
          <w:spacing w:val="-1"/>
          <w:sz w:val="20"/>
          <w:szCs w:val="20"/>
        </w:rPr>
        <w:t>自主报价。</w:t>
      </w:r>
    </w:p>
    <w:p w14:paraId="14BAE390">
      <w:pPr>
        <w:spacing w:before="5" w:line="226" w:lineRule="auto"/>
        <w:ind w:left="725"/>
        <w:rPr>
          <w:rFonts w:ascii="宋体" w:hAnsi="宋体" w:eastAsia="宋体" w:cs="宋体"/>
          <w:sz w:val="20"/>
          <w:szCs w:val="20"/>
        </w:rPr>
      </w:pPr>
      <w:r>
        <w:rPr>
          <w:rFonts w:ascii="宋体" w:hAnsi="宋体" w:eastAsia="宋体" w:cs="宋体"/>
          <w:spacing w:val="7"/>
          <w:sz w:val="20"/>
          <w:szCs w:val="20"/>
        </w:rPr>
        <w:t>采用一般计税方法的，总承包服务费的项目价值为除税价格。项目费率在原费率的基础上</w:t>
      </w:r>
    </w:p>
    <w:p w14:paraId="677C0AB1">
      <w:pPr>
        <w:spacing w:line="226" w:lineRule="auto"/>
        <w:rPr>
          <w:rFonts w:ascii="宋体" w:hAnsi="宋体" w:eastAsia="宋体" w:cs="宋体"/>
          <w:sz w:val="20"/>
          <w:szCs w:val="20"/>
        </w:rPr>
        <w:sectPr>
          <w:footerReference r:id="rId440" w:type="default"/>
          <w:pgSz w:w="11907" w:h="16840"/>
          <w:pgMar w:top="400" w:right="1484" w:bottom="1105" w:left="1537" w:header="0" w:footer="943" w:gutter="0"/>
          <w:cols w:space="720" w:num="1"/>
        </w:sectPr>
      </w:pPr>
    </w:p>
    <w:p w14:paraId="767DBD66">
      <w:pPr>
        <w:spacing w:line="275" w:lineRule="auto"/>
        <w:rPr>
          <w:rFonts w:ascii="Arial"/>
          <w:sz w:val="21"/>
        </w:rPr>
      </w:pPr>
    </w:p>
    <w:p w14:paraId="3AB0D0A3">
      <w:pPr>
        <w:spacing w:line="275" w:lineRule="auto"/>
        <w:rPr>
          <w:rFonts w:ascii="Arial"/>
          <w:sz w:val="21"/>
        </w:rPr>
      </w:pPr>
    </w:p>
    <w:p w14:paraId="7FBFDC31">
      <w:pPr>
        <w:spacing w:line="276" w:lineRule="auto"/>
        <w:rPr>
          <w:rFonts w:ascii="Arial"/>
          <w:sz w:val="21"/>
        </w:rPr>
      </w:pPr>
    </w:p>
    <w:p w14:paraId="51EAC19A">
      <w:pPr>
        <w:spacing w:line="276" w:lineRule="auto"/>
        <w:rPr>
          <w:rFonts w:ascii="Arial"/>
          <w:sz w:val="21"/>
        </w:rPr>
      </w:pPr>
    </w:p>
    <w:p w14:paraId="2C30027D">
      <w:pPr>
        <w:spacing w:before="65" w:line="228" w:lineRule="auto"/>
        <w:ind w:left="728"/>
        <w:rPr>
          <w:rFonts w:ascii="宋体" w:hAnsi="宋体" w:eastAsia="宋体" w:cs="宋体"/>
          <w:sz w:val="20"/>
          <w:szCs w:val="20"/>
        </w:rPr>
      </w:pPr>
      <w:r>
        <w:rPr>
          <w:rFonts w:ascii="宋体" w:hAnsi="宋体" w:eastAsia="宋体" w:cs="宋体"/>
          <w:spacing w:val="6"/>
          <w:sz w:val="20"/>
          <w:szCs w:val="20"/>
        </w:rPr>
        <w:t>可作适度上浮。</w:t>
      </w:r>
    </w:p>
    <w:p w14:paraId="35184A95">
      <w:pPr>
        <w:spacing w:before="172" w:line="226" w:lineRule="auto"/>
        <w:ind w:left="725"/>
        <w:rPr>
          <w:rFonts w:ascii="宋体" w:hAnsi="宋体" w:eastAsia="宋体" w:cs="宋体"/>
          <w:sz w:val="20"/>
          <w:szCs w:val="20"/>
        </w:rPr>
      </w:pPr>
      <w:r>
        <w:rPr>
          <w:rFonts w:ascii="宋体" w:hAnsi="宋体" w:eastAsia="宋体" w:cs="宋体"/>
          <w:spacing w:val="9"/>
          <w:sz w:val="20"/>
          <w:szCs w:val="20"/>
        </w:rPr>
        <w:t>采用简易计税方法的，总承包服务费的项目价值为含税价格。</w:t>
      </w:r>
    </w:p>
    <w:p w14:paraId="54AB56C7">
      <w:pPr>
        <w:pStyle w:val="2"/>
        <w:spacing w:before="175" w:line="229" w:lineRule="auto"/>
        <w:ind w:left="4"/>
        <w:rPr>
          <w:rFonts w:ascii="宋体" w:hAnsi="宋体" w:eastAsia="宋体" w:cs="宋体"/>
          <w:sz w:val="20"/>
          <w:szCs w:val="20"/>
        </w:rPr>
      </w:pPr>
      <w:r>
        <w:rPr>
          <w:spacing w:val="7"/>
          <w:sz w:val="20"/>
          <w:szCs w:val="20"/>
        </w:rPr>
        <w:t xml:space="preserve">2.9   </w:t>
      </w:r>
      <w:r>
        <w:rPr>
          <w:rFonts w:ascii="宋体" w:hAnsi="宋体" w:eastAsia="宋体" w:cs="宋体"/>
          <w:spacing w:val="7"/>
          <w:sz w:val="20"/>
          <w:szCs w:val="20"/>
        </w:rPr>
        <w:t>规费和税金项目按下列要求报价：</w:t>
      </w:r>
    </w:p>
    <w:p w14:paraId="2B1E6211">
      <w:pPr>
        <w:spacing w:before="171" w:line="228" w:lineRule="auto"/>
        <w:ind w:left="636"/>
        <w:rPr>
          <w:rFonts w:ascii="宋体" w:hAnsi="宋体" w:eastAsia="宋体" w:cs="宋体"/>
          <w:sz w:val="20"/>
          <w:szCs w:val="20"/>
        </w:rPr>
      </w:pPr>
      <w:r>
        <w:rPr>
          <w:rFonts w:ascii="宋体" w:hAnsi="宋体" w:eastAsia="宋体" w:cs="宋体"/>
          <w:spacing w:val="9"/>
          <w:sz w:val="20"/>
          <w:szCs w:val="20"/>
        </w:rPr>
        <w:t>规费和税金必须按国家或省级、行业建设主管部门的规定计算，不得作为竞争性费用。</w:t>
      </w:r>
    </w:p>
    <w:p w14:paraId="548C7476">
      <w:pPr>
        <w:pStyle w:val="2"/>
        <w:spacing w:before="173" w:line="386" w:lineRule="auto"/>
        <w:ind w:left="645" w:right="70" w:hanging="641"/>
        <w:rPr>
          <w:rFonts w:ascii="宋体" w:hAnsi="宋体" w:eastAsia="宋体" w:cs="宋体"/>
          <w:sz w:val="20"/>
          <w:szCs w:val="20"/>
        </w:rPr>
      </w:pPr>
      <w:r>
        <w:rPr>
          <w:spacing w:val="9"/>
          <w:sz w:val="20"/>
          <w:szCs w:val="20"/>
        </w:rPr>
        <w:t xml:space="preserve">2.10  </w:t>
      </w:r>
      <w:r>
        <w:rPr>
          <w:rFonts w:ascii="宋体" w:hAnsi="宋体" w:eastAsia="宋体" w:cs="宋体"/>
          <w:spacing w:val="9"/>
          <w:sz w:val="20"/>
          <w:szCs w:val="20"/>
        </w:rPr>
        <w:t>除招标文件有强制性规定以及不可竞争部分以外，投标报价由投标人自主确定，但不得低</w:t>
      </w:r>
      <w:r>
        <w:rPr>
          <w:rFonts w:ascii="宋体" w:hAnsi="宋体" w:eastAsia="宋体" w:cs="宋体"/>
          <w:spacing w:val="6"/>
          <w:sz w:val="20"/>
          <w:szCs w:val="20"/>
        </w:rPr>
        <w:t>于其工程成本。</w:t>
      </w:r>
    </w:p>
    <w:p w14:paraId="3F94DCD7">
      <w:pPr>
        <w:pStyle w:val="2"/>
        <w:spacing w:before="2" w:line="388" w:lineRule="auto"/>
        <w:ind w:left="629" w:right="68" w:hanging="627"/>
        <w:rPr>
          <w:rFonts w:ascii="宋体" w:hAnsi="宋体" w:eastAsia="宋体" w:cs="宋体"/>
          <w:sz w:val="20"/>
          <w:szCs w:val="20"/>
        </w:rPr>
      </w:pPr>
      <w:r>
        <w:rPr>
          <w:spacing w:val="9"/>
          <w:sz w:val="20"/>
          <w:szCs w:val="20"/>
        </w:rPr>
        <w:t xml:space="preserve">2.11  </w:t>
      </w:r>
      <w:r>
        <w:rPr>
          <w:rFonts w:ascii="宋体" w:hAnsi="宋体" w:eastAsia="宋体" w:cs="宋体"/>
          <w:spacing w:val="9"/>
          <w:sz w:val="20"/>
          <w:szCs w:val="20"/>
        </w:rPr>
        <w:t>工程量清单计价所涉及的生产资源（包括各类人工、材料、工程设备、施工设备、临时设</w:t>
      </w:r>
      <w:r>
        <w:rPr>
          <w:rFonts w:ascii="宋体" w:hAnsi="宋体" w:eastAsia="宋体" w:cs="宋体"/>
          <w:spacing w:val="10"/>
          <w:sz w:val="20"/>
          <w:szCs w:val="20"/>
        </w:rPr>
        <w:t>施、临时用水、临时用电等）的投标价格，应根据自身的信息渠道和采</w:t>
      </w:r>
      <w:r>
        <w:rPr>
          <w:rFonts w:ascii="宋体" w:hAnsi="宋体" w:eastAsia="宋体" w:cs="宋体"/>
          <w:spacing w:val="9"/>
          <w:sz w:val="20"/>
          <w:szCs w:val="20"/>
        </w:rPr>
        <w:t>购渠道，分析其市</w:t>
      </w:r>
      <w:r>
        <w:rPr>
          <w:rFonts w:ascii="宋体" w:hAnsi="宋体" w:eastAsia="宋体" w:cs="宋体"/>
          <w:spacing w:val="10"/>
          <w:sz w:val="20"/>
          <w:szCs w:val="20"/>
        </w:rPr>
        <w:t>场价格水平并判断其整个施工周期内的变化趋势，体现投标人自身的管理水平</w:t>
      </w:r>
      <w:r>
        <w:rPr>
          <w:rFonts w:ascii="宋体" w:hAnsi="宋体" w:eastAsia="宋体" w:cs="宋体"/>
          <w:spacing w:val="9"/>
          <w:sz w:val="20"/>
          <w:szCs w:val="20"/>
        </w:rPr>
        <w:t>、技术水平</w:t>
      </w:r>
      <w:r>
        <w:rPr>
          <w:rFonts w:ascii="宋体" w:hAnsi="宋体" w:eastAsia="宋体" w:cs="宋体"/>
          <w:spacing w:val="6"/>
          <w:sz w:val="20"/>
          <w:szCs w:val="20"/>
        </w:rPr>
        <w:t>和综合实力。</w:t>
      </w:r>
    </w:p>
    <w:p w14:paraId="3001709F">
      <w:pPr>
        <w:pStyle w:val="2"/>
        <w:spacing w:line="373" w:lineRule="auto"/>
        <w:ind w:left="660" w:right="70" w:hanging="656"/>
        <w:rPr>
          <w:rFonts w:ascii="宋体" w:hAnsi="宋体" w:eastAsia="宋体" w:cs="宋体"/>
          <w:sz w:val="20"/>
          <w:szCs w:val="20"/>
        </w:rPr>
      </w:pPr>
      <w:r>
        <w:rPr>
          <w:spacing w:val="9"/>
          <w:sz w:val="20"/>
          <w:szCs w:val="20"/>
        </w:rPr>
        <w:t xml:space="preserve">2.12  </w:t>
      </w:r>
      <w:r>
        <w:rPr>
          <w:rFonts w:ascii="宋体" w:hAnsi="宋体" w:eastAsia="宋体" w:cs="宋体"/>
          <w:spacing w:val="9"/>
          <w:sz w:val="20"/>
          <w:szCs w:val="20"/>
        </w:rPr>
        <w:t>企业管理费应由投标人在保证不低于其成本的基础上合理报价；利润由投标人根据自身情</w:t>
      </w:r>
      <w:r>
        <w:rPr>
          <w:rFonts w:ascii="宋体" w:hAnsi="宋体" w:eastAsia="宋体" w:cs="宋体"/>
          <w:spacing w:val="7"/>
          <w:sz w:val="20"/>
          <w:szCs w:val="20"/>
        </w:rPr>
        <w:t>况和综合实力合理报价。</w:t>
      </w:r>
    </w:p>
    <w:p w14:paraId="03EC8069">
      <w:pPr>
        <w:pStyle w:val="2"/>
        <w:spacing w:before="1" w:line="229" w:lineRule="auto"/>
        <w:rPr>
          <w:rFonts w:ascii="宋体" w:hAnsi="宋体" w:eastAsia="宋体" w:cs="宋体"/>
          <w:sz w:val="20"/>
          <w:szCs w:val="20"/>
        </w:rPr>
      </w:pPr>
      <w:r>
        <w:rPr>
          <w:spacing w:val="9"/>
          <w:sz w:val="20"/>
          <w:szCs w:val="20"/>
        </w:rPr>
        <w:t xml:space="preserve">2.13  </w:t>
      </w:r>
      <w:r>
        <w:rPr>
          <w:rFonts w:ascii="宋体" w:hAnsi="宋体" w:eastAsia="宋体" w:cs="宋体"/>
          <w:spacing w:val="9"/>
          <w:sz w:val="20"/>
          <w:szCs w:val="20"/>
        </w:rPr>
        <w:t>投标报价中应考虑招标文件中要求投标人承担</w:t>
      </w:r>
      <w:r>
        <w:rPr>
          <w:rFonts w:ascii="宋体" w:hAnsi="宋体" w:eastAsia="宋体" w:cs="宋体"/>
          <w:spacing w:val="8"/>
          <w:sz w:val="20"/>
          <w:szCs w:val="20"/>
        </w:rPr>
        <w:t>的风险范围以及相关的费用。</w:t>
      </w:r>
    </w:p>
    <w:p w14:paraId="1FA30EF0">
      <w:pPr>
        <w:pStyle w:val="2"/>
        <w:spacing w:before="164" w:line="372" w:lineRule="auto"/>
        <w:ind w:left="684" w:right="70" w:hanging="680"/>
        <w:rPr>
          <w:rFonts w:ascii="宋体" w:hAnsi="宋体" w:eastAsia="宋体" w:cs="宋体"/>
          <w:sz w:val="20"/>
          <w:szCs w:val="20"/>
        </w:rPr>
      </w:pPr>
      <w:r>
        <w:rPr>
          <w:spacing w:val="9"/>
          <w:sz w:val="20"/>
          <w:szCs w:val="20"/>
        </w:rPr>
        <w:t xml:space="preserve">2.14  </w:t>
      </w:r>
      <w:r>
        <w:rPr>
          <w:rFonts w:ascii="宋体" w:hAnsi="宋体" w:eastAsia="宋体" w:cs="宋体"/>
          <w:spacing w:val="9"/>
          <w:sz w:val="20"/>
          <w:szCs w:val="20"/>
        </w:rPr>
        <w:t>投标总价为投标人在投标文件中提出的各项支付金额的总和，为实施、完成招标工程并修补缺陷以及履行招标文件中约定的风险范围内的所有责任和义务所发生的全部费用。</w:t>
      </w:r>
    </w:p>
    <w:p w14:paraId="48C82E59">
      <w:pPr>
        <w:pStyle w:val="2"/>
        <w:spacing w:before="1" w:line="229" w:lineRule="auto"/>
        <w:rPr>
          <w:rFonts w:ascii="宋体" w:hAnsi="宋体" w:eastAsia="宋体" w:cs="宋体"/>
          <w:sz w:val="20"/>
          <w:szCs w:val="20"/>
        </w:rPr>
      </w:pPr>
      <w:r>
        <w:rPr>
          <w:spacing w:val="7"/>
          <w:sz w:val="20"/>
          <w:szCs w:val="20"/>
        </w:rPr>
        <w:t xml:space="preserve">2.15  </w:t>
      </w:r>
      <w:r>
        <w:rPr>
          <w:rFonts w:ascii="宋体" w:hAnsi="宋体" w:eastAsia="宋体" w:cs="宋体"/>
          <w:spacing w:val="7"/>
          <w:sz w:val="20"/>
          <w:szCs w:val="20"/>
        </w:rPr>
        <w:t>有关投标报价的其他说明：</w:t>
      </w:r>
    </w:p>
    <w:p w14:paraId="4D616817">
      <w:pPr>
        <w:spacing w:line="260" w:lineRule="auto"/>
        <w:rPr>
          <w:rFonts w:ascii="Arial"/>
          <w:sz w:val="21"/>
        </w:rPr>
      </w:pPr>
    </w:p>
    <w:p w14:paraId="274D3BCE">
      <w:pPr>
        <w:spacing w:line="261" w:lineRule="auto"/>
        <w:rPr>
          <w:rFonts w:ascii="Arial"/>
          <w:sz w:val="21"/>
        </w:rPr>
      </w:pPr>
      <w:r>
        <w:pict>
          <v:shape id="_x0000_s1110" o:spid="_x0000_s1110" style="position:absolute;left:0pt;margin-left:20.9pt;margin-top:3.8pt;height:0.5pt;width:393.75pt;z-index:251753472;mso-width-relative:page;mso-height-relative:page;" filled="f" stroked="t" coordsize="7875,10" path="m0,4l7874,4e">
            <v:fill on="f" focussize="0,0"/>
            <v:stroke weight="0.48pt" color="#000000" miterlimit="2" joinstyle="bevel"/>
            <v:imagedata o:title=""/>
            <o:lock v:ext="edit"/>
          </v:shape>
        </w:pict>
      </w:r>
    </w:p>
    <w:p w14:paraId="196CE2F3">
      <w:pPr>
        <w:pStyle w:val="2"/>
        <w:spacing w:before="79" w:line="221" w:lineRule="auto"/>
        <w:ind w:left="3"/>
        <w:outlineLvl w:val="1"/>
        <w:rPr>
          <w:sz w:val="24"/>
          <w:szCs w:val="24"/>
        </w:rPr>
      </w:pPr>
      <w:bookmarkStart w:id="353" w:name="bookmark335"/>
      <w:bookmarkEnd w:id="353"/>
      <w:r>
        <w:rPr>
          <w:rFonts w:ascii="Times New Roman" w:hAnsi="Times New Roman" w:eastAsia="Times New Roman" w:cs="Times New Roman"/>
          <w:spacing w:val="-2"/>
          <w:sz w:val="24"/>
          <w:szCs w:val="24"/>
        </w:rPr>
        <w:t>3.</w:t>
      </w:r>
      <w:r>
        <w:rPr>
          <w:spacing w:val="-2"/>
          <w:sz w:val="24"/>
          <w:szCs w:val="24"/>
        </w:rPr>
        <w:t>其他说明</w:t>
      </w:r>
    </w:p>
    <w:p w14:paraId="52804DE4">
      <w:pPr>
        <w:pStyle w:val="2"/>
        <w:spacing w:before="120" w:line="231" w:lineRule="auto"/>
        <w:ind w:left="1"/>
        <w:rPr>
          <w:sz w:val="20"/>
          <w:szCs w:val="20"/>
        </w:rPr>
      </w:pPr>
      <w:r>
        <w:rPr>
          <w:spacing w:val="5"/>
          <w:sz w:val="20"/>
          <w:szCs w:val="20"/>
        </w:rPr>
        <w:t>3.1</w:t>
      </w:r>
      <w:r>
        <w:rPr>
          <w:spacing w:val="-33"/>
          <w:sz w:val="20"/>
          <w:szCs w:val="20"/>
        </w:rPr>
        <w:t xml:space="preserve"> </w:t>
      </w:r>
      <w:r>
        <w:rPr>
          <w:spacing w:val="5"/>
          <w:sz w:val="20"/>
          <w:szCs w:val="20"/>
        </w:rPr>
        <w:t>词语和定义</w:t>
      </w:r>
    </w:p>
    <w:p w14:paraId="4534C313">
      <w:pPr>
        <w:pStyle w:val="2"/>
        <w:spacing w:before="253" w:line="231" w:lineRule="auto"/>
        <w:ind w:left="1"/>
        <w:rPr>
          <w:rFonts w:ascii="宋体" w:hAnsi="宋体" w:eastAsia="宋体" w:cs="宋体"/>
          <w:sz w:val="20"/>
          <w:szCs w:val="20"/>
        </w:rPr>
      </w:pPr>
      <w:r>
        <w:rPr>
          <w:spacing w:val="5"/>
          <w:sz w:val="20"/>
          <w:szCs w:val="20"/>
        </w:rPr>
        <w:t xml:space="preserve">3.1.1  </w:t>
      </w:r>
      <w:r>
        <w:rPr>
          <w:rFonts w:ascii="宋体" w:hAnsi="宋体" w:eastAsia="宋体" w:cs="宋体"/>
          <w:b/>
          <w:bCs/>
          <w:spacing w:val="5"/>
          <w:sz w:val="20"/>
          <w:szCs w:val="20"/>
        </w:rPr>
        <w:t>工程量清单</w:t>
      </w:r>
    </w:p>
    <w:p w14:paraId="59034AE5">
      <w:pPr>
        <w:spacing w:before="177" w:line="351" w:lineRule="auto"/>
        <w:ind w:left="737" w:right="70" w:firstLine="1"/>
        <w:rPr>
          <w:rFonts w:ascii="宋体" w:hAnsi="宋体" w:eastAsia="宋体" w:cs="宋体"/>
          <w:sz w:val="20"/>
          <w:szCs w:val="20"/>
        </w:rPr>
      </w:pPr>
      <w:r>
        <w:rPr>
          <w:rFonts w:ascii="宋体" w:hAnsi="宋体" w:eastAsia="宋体" w:cs="宋体"/>
          <w:spacing w:val="7"/>
          <w:sz w:val="20"/>
          <w:szCs w:val="20"/>
        </w:rPr>
        <w:t>是表现建设工程分部分项工程项目、措施项目、其他项目的名称和相应数量以及规费和税</w:t>
      </w:r>
      <w:r>
        <w:rPr>
          <w:rFonts w:ascii="宋体" w:hAnsi="宋体" w:eastAsia="宋体" w:cs="宋体"/>
          <w:spacing w:val="8"/>
          <w:sz w:val="20"/>
          <w:szCs w:val="20"/>
        </w:rPr>
        <w:t>金项目等内容的明细清单。</w:t>
      </w:r>
    </w:p>
    <w:p w14:paraId="0DE54A0A">
      <w:pPr>
        <w:pStyle w:val="2"/>
        <w:spacing w:before="31" w:line="231" w:lineRule="auto"/>
        <w:ind w:left="1"/>
        <w:rPr>
          <w:rFonts w:ascii="宋体" w:hAnsi="宋体" w:eastAsia="宋体" w:cs="宋体"/>
          <w:sz w:val="20"/>
          <w:szCs w:val="20"/>
        </w:rPr>
      </w:pPr>
      <w:r>
        <w:rPr>
          <w:spacing w:val="6"/>
          <w:sz w:val="20"/>
          <w:szCs w:val="20"/>
        </w:rPr>
        <w:t xml:space="preserve">3.1.2  </w:t>
      </w:r>
      <w:r>
        <w:rPr>
          <w:rFonts w:ascii="宋体" w:hAnsi="宋体" w:eastAsia="宋体" w:cs="宋体"/>
          <w:b/>
          <w:bCs/>
          <w:spacing w:val="6"/>
          <w:sz w:val="20"/>
          <w:szCs w:val="20"/>
        </w:rPr>
        <w:t>招标工程量清单</w:t>
      </w:r>
    </w:p>
    <w:p w14:paraId="0F3CC893">
      <w:pPr>
        <w:spacing w:before="170" w:line="384" w:lineRule="auto"/>
        <w:ind w:left="739"/>
        <w:rPr>
          <w:rFonts w:ascii="宋体" w:hAnsi="宋体" w:eastAsia="宋体" w:cs="宋体"/>
          <w:sz w:val="20"/>
          <w:szCs w:val="20"/>
        </w:rPr>
      </w:pPr>
      <w:r>
        <w:rPr>
          <w:rFonts w:ascii="宋体" w:hAnsi="宋体" w:eastAsia="宋体" w:cs="宋体"/>
          <w:spacing w:val="7"/>
          <w:sz w:val="20"/>
          <w:szCs w:val="20"/>
        </w:rPr>
        <w:t>是招标人依据国家标准、招标文件、设计文件以及施工现场实际情况编制的，随招标文件</w:t>
      </w:r>
      <w:r>
        <w:rPr>
          <w:rFonts w:ascii="宋体" w:hAnsi="宋体" w:eastAsia="宋体" w:cs="宋体"/>
          <w:spacing w:val="4"/>
          <w:sz w:val="20"/>
          <w:szCs w:val="20"/>
        </w:rPr>
        <w:t>发布供投标报价的工程量清单，包括其说明和表格，同</w:t>
      </w:r>
      <w:r>
        <w:rPr>
          <w:rFonts w:ascii="宋体" w:hAnsi="宋体" w:eastAsia="宋体" w:cs="宋体"/>
          <w:spacing w:val="3"/>
          <w:sz w:val="20"/>
          <w:szCs w:val="20"/>
        </w:rPr>
        <w:t>时也是编制招标控制价的依据之一。</w:t>
      </w:r>
    </w:p>
    <w:p w14:paraId="15BEA175">
      <w:pPr>
        <w:pStyle w:val="2"/>
        <w:spacing w:line="229" w:lineRule="auto"/>
        <w:ind w:left="1"/>
        <w:rPr>
          <w:rFonts w:ascii="宋体" w:hAnsi="宋体" w:eastAsia="宋体" w:cs="宋体"/>
          <w:sz w:val="20"/>
          <w:szCs w:val="20"/>
        </w:rPr>
      </w:pPr>
      <w:r>
        <w:rPr>
          <w:spacing w:val="4"/>
          <w:sz w:val="20"/>
          <w:szCs w:val="20"/>
        </w:rPr>
        <w:t>3.1.3</w:t>
      </w:r>
      <w:r>
        <w:rPr>
          <w:spacing w:val="11"/>
          <w:sz w:val="20"/>
          <w:szCs w:val="20"/>
        </w:rPr>
        <w:t xml:space="preserve">  </w:t>
      </w:r>
      <w:r>
        <w:rPr>
          <w:rFonts w:ascii="宋体" w:hAnsi="宋体" w:eastAsia="宋体" w:cs="宋体"/>
          <w:b/>
          <w:bCs/>
          <w:spacing w:val="4"/>
          <w:sz w:val="20"/>
          <w:szCs w:val="20"/>
        </w:rPr>
        <w:t>总价项目</w:t>
      </w:r>
    </w:p>
    <w:p w14:paraId="68706280">
      <w:pPr>
        <w:spacing w:before="178" w:line="352" w:lineRule="auto"/>
        <w:ind w:left="739" w:right="70" w:hanging="1"/>
        <w:rPr>
          <w:rFonts w:ascii="宋体" w:hAnsi="宋体" w:eastAsia="宋体" w:cs="宋体"/>
          <w:sz w:val="20"/>
          <w:szCs w:val="20"/>
        </w:rPr>
      </w:pPr>
      <w:r>
        <w:rPr>
          <w:rFonts w:ascii="宋体" w:hAnsi="宋体" w:eastAsia="宋体" w:cs="宋体"/>
          <w:spacing w:val="7"/>
          <w:sz w:val="20"/>
          <w:szCs w:val="20"/>
        </w:rPr>
        <w:t>工程量清单中以总价计价的项目，即此类项目在相关工程国家计量规范中无工程量计算规</w:t>
      </w:r>
      <w:r>
        <w:rPr>
          <w:rFonts w:ascii="宋体" w:hAnsi="宋体" w:eastAsia="宋体" w:cs="宋体"/>
          <w:spacing w:val="6"/>
          <w:sz w:val="20"/>
          <w:szCs w:val="20"/>
        </w:rPr>
        <w:t>则以总价（或计算基础乘费率）计算的项目，通常以“项</w:t>
      </w:r>
      <w:r>
        <w:rPr>
          <w:rFonts w:ascii="宋体" w:hAnsi="宋体" w:eastAsia="宋体" w:cs="宋体"/>
          <w:spacing w:val="-62"/>
          <w:sz w:val="20"/>
          <w:szCs w:val="20"/>
        </w:rPr>
        <w:t xml:space="preserve"> </w:t>
      </w:r>
      <w:r>
        <w:rPr>
          <w:rFonts w:ascii="宋体" w:hAnsi="宋体" w:eastAsia="宋体" w:cs="宋体"/>
          <w:spacing w:val="6"/>
          <w:sz w:val="20"/>
          <w:szCs w:val="20"/>
        </w:rPr>
        <w:t>”为计量单位，除专用合同条款</w:t>
      </w:r>
      <w:r>
        <w:rPr>
          <w:rFonts w:ascii="宋体" w:hAnsi="宋体" w:eastAsia="宋体" w:cs="宋体"/>
          <w:spacing w:val="8"/>
          <w:sz w:val="20"/>
          <w:szCs w:val="20"/>
        </w:rPr>
        <w:t>另有约定外，总价固定包干。</w:t>
      </w:r>
    </w:p>
    <w:p w14:paraId="4310A42A">
      <w:pPr>
        <w:pStyle w:val="2"/>
        <w:spacing w:before="22" w:line="229" w:lineRule="auto"/>
        <w:ind w:left="1"/>
        <w:rPr>
          <w:rFonts w:ascii="宋体" w:hAnsi="宋体" w:eastAsia="宋体" w:cs="宋体"/>
          <w:sz w:val="20"/>
          <w:szCs w:val="20"/>
        </w:rPr>
      </w:pPr>
      <w:r>
        <w:rPr>
          <w:spacing w:val="5"/>
          <w:sz w:val="20"/>
          <w:szCs w:val="20"/>
        </w:rPr>
        <w:t xml:space="preserve">3.1.4  </w:t>
      </w:r>
      <w:r>
        <w:rPr>
          <w:rFonts w:ascii="宋体" w:hAnsi="宋体" w:eastAsia="宋体" w:cs="宋体"/>
          <w:b/>
          <w:bCs/>
          <w:spacing w:val="5"/>
          <w:sz w:val="20"/>
          <w:szCs w:val="20"/>
        </w:rPr>
        <w:t>单价项目</w:t>
      </w:r>
    </w:p>
    <w:p w14:paraId="4797CD39">
      <w:pPr>
        <w:spacing w:before="179" w:line="352" w:lineRule="auto"/>
        <w:ind w:left="736" w:right="70" w:firstLine="2"/>
        <w:rPr>
          <w:rFonts w:ascii="宋体" w:hAnsi="宋体" w:eastAsia="宋体" w:cs="宋体"/>
          <w:sz w:val="20"/>
          <w:szCs w:val="20"/>
        </w:rPr>
      </w:pPr>
      <w:r>
        <w:rPr>
          <w:rFonts w:ascii="宋体" w:hAnsi="宋体" w:eastAsia="宋体" w:cs="宋体"/>
          <w:spacing w:val="7"/>
          <w:sz w:val="20"/>
          <w:szCs w:val="20"/>
        </w:rPr>
        <w:t>工程量清单中以单价计价的项目，即根据合同工程图纸（含设计变更）和相关工程国家计量规范规定的工程量计算规则进行计量，与已标价工程量清单相应综合单价进行价款计算</w:t>
      </w:r>
      <w:r>
        <w:rPr>
          <w:rFonts w:ascii="宋体" w:hAnsi="宋体" w:eastAsia="宋体" w:cs="宋体"/>
          <w:spacing w:val="5"/>
          <w:sz w:val="20"/>
          <w:szCs w:val="20"/>
        </w:rPr>
        <w:t>的项目。</w:t>
      </w:r>
    </w:p>
    <w:p w14:paraId="66EB1B3E">
      <w:pPr>
        <w:spacing w:line="352" w:lineRule="auto"/>
        <w:rPr>
          <w:rFonts w:ascii="宋体" w:hAnsi="宋体" w:eastAsia="宋体" w:cs="宋体"/>
          <w:sz w:val="20"/>
          <w:szCs w:val="20"/>
        </w:rPr>
        <w:sectPr>
          <w:footerReference r:id="rId441" w:type="default"/>
          <w:pgSz w:w="11907" w:h="16840"/>
          <w:pgMar w:top="400" w:right="1484" w:bottom="1105" w:left="1537" w:header="0" w:footer="943" w:gutter="0"/>
          <w:cols w:space="720" w:num="1"/>
        </w:sectPr>
      </w:pPr>
    </w:p>
    <w:p w14:paraId="18FAB296">
      <w:pPr>
        <w:spacing w:line="267" w:lineRule="auto"/>
        <w:rPr>
          <w:rFonts w:ascii="Arial"/>
          <w:sz w:val="21"/>
        </w:rPr>
      </w:pPr>
    </w:p>
    <w:p w14:paraId="6BBBDAD4">
      <w:pPr>
        <w:spacing w:line="267" w:lineRule="auto"/>
        <w:rPr>
          <w:rFonts w:ascii="Arial"/>
          <w:sz w:val="21"/>
        </w:rPr>
      </w:pPr>
    </w:p>
    <w:p w14:paraId="48ED9915">
      <w:pPr>
        <w:spacing w:line="268" w:lineRule="auto"/>
        <w:rPr>
          <w:rFonts w:ascii="Arial"/>
          <w:sz w:val="21"/>
        </w:rPr>
      </w:pPr>
    </w:p>
    <w:p w14:paraId="2780D75F">
      <w:pPr>
        <w:spacing w:line="268" w:lineRule="auto"/>
        <w:rPr>
          <w:rFonts w:ascii="Arial"/>
          <w:sz w:val="21"/>
        </w:rPr>
      </w:pPr>
    </w:p>
    <w:p w14:paraId="29A7F70D">
      <w:pPr>
        <w:pStyle w:val="2"/>
        <w:spacing w:before="65" w:line="231" w:lineRule="auto"/>
        <w:ind w:left="14"/>
        <w:rPr>
          <w:rFonts w:ascii="宋体" w:hAnsi="宋体" w:eastAsia="宋体" w:cs="宋体"/>
          <w:sz w:val="20"/>
          <w:szCs w:val="20"/>
        </w:rPr>
      </w:pPr>
      <w:r>
        <w:rPr>
          <w:spacing w:val="4"/>
          <w:sz w:val="20"/>
          <w:szCs w:val="20"/>
        </w:rPr>
        <w:t>3.1.5</w:t>
      </w:r>
      <w:r>
        <w:rPr>
          <w:spacing w:val="11"/>
          <w:sz w:val="20"/>
          <w:szCs w:val="20"/>
        </w:rPr>
        <w:t xml:space="preserve">  </w:t>
      </w:r>
      <w:r>
        <w:rPr>
          <w:rFonts w:ascii="宋体" w:hAnsi="宋体" w:eastAsia="宋体" w:cs="宋体"/>
          <w:b/>
          <w:bCs/>
          <w:spacing w:val="4"/>
          <w:sz w:val="20"/>
          <w:szCs w:val="20"/>
        </w:rPr>
        <w:t>项目编码</w:t>
      </w:r>
    </w:p>
    <w:p w14:paraId="27C6BBE4">
      <w:pPr>
        <w:spacing w:before="177" w:line="227" w:lineRule="auto"/>
        <w:ind w:left="741"/>
        <w:rPr>
          <w:rFonts w:ascii="宋体" w:hAnsi="宋体" w:eastAsia="宋体" w:cs="宋体"/>
          <w:sz w:val="20"/>
          <w:szCs w:val="20"/>
        </w:rPr>
      </w:pPr>
      <w:r>
        <w:rPr>
          <w:rFonts w:ascii="宋体" w:hAnsi="宋体" w:eastAsia="宋体" w:cs="宋体"/>
          <w:spacing w:val="9"/>
          <w:sz w:val="20"/>
          <w:szCs w:val="20"/>
        </w:rPr>
        <w:t>分部分项工程和措施项目清单名称的阿拉伯数字标识。项目编码与子目编码同义。</w:t>
      </w:r>
    </w:p>
    <w:p w14:paraId="1DB5E288">
      <w:pPr>
        <w:pStyle w:val="2"/>
        <w:spacing w:before="183" w:line="231" w:lineRule="auto"/>
        <w:ind w:left="14"/>
        <w:rPr>
          <w:rFonts w:ascii="宋体" w:hAnsi="宋体" w:eastAsia="宋体" w:cs="宋体"/>
          <w:sz w:val="20"/>
          <w:szCs w:val="20"/>
        </w:rPr>
      </w:pPr>
      <w:r>
        <w:rPr>
          <w:spacing w:val="4"/>
          <w:sz w:val="20"/>
          <w:szCs w:val="20"/>
        </w:rPr>
        <w:t>3.1.6</w:t>
      </w:r>
      <w:r>
        <w:rPr>
          <w:spacing w:val="11"/>
          <w:sz w:val="20"/>
          <w:szCs w:val="20"/>
        </w:rPr>
        <w:t xml:space="preserve">  </w:t>
      </w:r>
      <w:r>
        <w:rPr>
          <w:rFonts w:ascii="宋体" w:hAnsi="宋体" w:eastAsia="宋体" w:cs="宋体"/>
          <w:b/>
          <w:bCs/>
          <w:spacing w:val="4"/>
          <w:sz w:val="20"/>
          <w:szCs w:val="20"/>
        </w:rPr>
        <w:t>项目特征</w:t>
      </w:r>
    </w:p>
    <w:p w14:paraId="70B981A6">
      <w:pPr>
        <w:spacing w:before="177" w:line="226" w:lineRule="auto"/>
        <w:ind w:left="770"/>
        <w:rPr>
          <w:rFonts w:ascii="宋体" w:hAnsi="宋体" w:eastAsia="宋体" w:cs="宋体"/>
          <w:sz w:val="20"/>
          <w:szCs w:val="20"/>
        </w:rPr>
      </w:pPr>
      <w:r>
        <w:rPr>
          <w:rFonts w:ascii="宋体" w:hAnsi="宋体" w:eastAsia="宋体" w:cs="宋体"/>
          <w:spacing w:val="9"/>
          <w:sz w:val="20"/>
          <w:szCs w:val="20"/>
        </w:rPr>
        <w:t>构成分部分项工程项目、措施项目自身价值的本质特征，项目特征与子目特征同义。</w:t>
      </w:r>
    </w:p>
    <w:p w14:paraId="00D2426F">
      <w:pPr>
        <w:pStyle w:val="2"/>
        <w:spacing w:before="182" w:line="231" w:lineRule="auto"/>
        <w:ind w:left="14"/>
        <w:rPr>
          <w:rFonts w:ascii="宋体" w:hAnsi="宋体" w:eastAsia="宋体" w:cs="宋体"/>
          <w:sz w:val="20"/>
          <w:szCs w:val="20"/>
        </w:rPr>
      </w:pPr>
      <w:r>
        <w:rPr>
          <w:spacing w:val="3"/>
          <w:sz w:val="20"/>
          <w:szCs w:val="20"/>
        </w:rPr>
        <w:t>3.1.7</w:t>
      </w:r>
      <w:r>
        <w:rPr>
          <w:spacing w:val="10"/>
          <w:sz w:val="20"/>
          <w:szCs w:val="20"/>
        </w:rPr>
        <w:t xml:space="preserve">  </w:t>
      </w:r>
      <w:r>
        <w:rPr>
          <w:rFonts w:ascii="宋体" w:hAnsi="宋体" w:eastAsia="宋体" w:cs="宋体"/>
          <w:b/>
          <w:bCs/>
          <w:spacing w:val="3"/>
          <w:sz w:val="20"/>
          <w:szCs w:val="20"/>
        </w:rPr>
        <w:t>规费</w:t>
      </w:r>
    </w:p>
    <w:p w14:paraId="2033D7F6">
      <w:pPr>
        <w:spacing w:before="178" w:line="351" w:lineRule="auto"/>
        <w:ind w:left="747" w:right="87"/>
        <w:rPr>
          <w:rFonts w:ascii="宋体" w:hAnsi="宋体" w:eastAsia="宋体" w:cs="宋体"/>
          <w:sz w:val="20"/>
          <w:szCs w:val="20"/>
        </w:rPr>
      </w:pPr>
      <w:r>
        <w:rPr>
          <w:rFonts w:ascii="宋体" w:hAnsi="宋体" w:eastAsia="宋体" w:cs="宋体"/>
          <w:spacing w:val="7"/>
          <w:sz w:val="20"/>
          <w:szCs w:val="20"/>
        </w:rPr>
        <w:t>根据国家法律、法规规定，由省级政府或省级有关权力部门规定承包人必须缴纳的，应计</w:t>
      </w:r>
      <w:r>
        <w:rPr>
          <w:rFonts w:ascii="宋体" w:hAnsi="宋体" w:eastAsia="宋体" w:cs="宋体"/>
          <w:spacing w:val="8"/>
          <w:sz w:val="20"/>
          <w:szCs w:val="20"/>
        </w:rPr>
        <w:t>入建筑安装工程造价的费用。</w:t>
      </w:r>
    </w:p>
    <w:p w14:paraId="73E3D2F6">
      <w:pPr>
        <w:pStyle w:val="2"/>
        <w:spacing w:before="47" w:line="231" w:lineRule="auto"/>
        <w:ind w:left="14"/>
        <w:rPr>
          <w:rFonts w:ascii="宋体" w:hAnsi="宋体" w:eastAsia="宋体" w:cs="宋体"/>
          <w:sz w:val="20"/>
          <w:szCs w:val="20"/>
        </w:rPr>
      </w:pPr>
      <w:r>
        <w:rPr>
          <w:spacing w:val="3"/>
          <w:sz w:val="20"/>
          <w:szCs w:val="20"/>
        </w:rPr>
        <w:t>3.1.8</w:t>
      </w:r>
      <w:r>
        <w:rPr>
          <w:spacing w:val="10"/>
          <w:sz w:val="20"/>
          <w:szCs w:val="20"/>
        </w:rPr>
        <w:t xml:space="preserve">  </w:t>
      </w:r>
      <w:r>
        <w:rPr>
          <w:rFonts w:ascii="宋体" w:hAnsi="宋体" w:eastAsia="宋体" w:cs="宋体"/>
          <w:b/>
          <w:bCs/>
          <w:spacing w:val="3"/>
          <w:sz w:val="20"/>
          <w:szCs w:val="20"/>
        </w:rPr>
        <w:t>税金</w:t>
      </w:r>
    </w:p>
    <w:p w14:paraId="282010D2">
      <w:pPr>
        <w:spacing w:before="179" w:line="226" w:lineRule="auto"/>
        <w:ind w:left="769"/>
        <w:rPr>
          <w:rFonts w:ascii="宋体" w:hAnsi="宋体" w:eastAsia="宋体" w:cs="宋体"/>
          <w:sz w:val="20"/>
          <w:szCs w:val="20"/>
        </w:rPr>
      </w:pPr>
      <w:r>
        <w:rPr>
          <w:rFonts w:ascii="宋体" w:hAnsi="宋体" w:eastAsia="宋体" w:cs="宋体"/>
          <w:spacing w:val="8"/>
          <w:sz w:val="20"/>
          <w:szCs w:val="20"/>
        </w:rPr>
        <w:t>国家税法规定的应计入建筑安装工程造价内的增值税。</w:t>
      </w:r>
    </w:p>
    <w:p w14:paraId="42BCCE16">
      <w:pPr>
        <w:spacing w:before="134" w:line="227" w:lineRule="auto"/>
        <w:ind w:left="747"/>
        <w:rPr>
          <w:rFonts w:ascii="宋体" w:hAnsi="宋体" w:eastAsia="宋体" w:cs="宋体"/>
          <w:sz w:val="20"/>
          <w:szCs w:val="20"/>
        </w:rPr>
      </w:pPr>
      <w:r>
        <w:rPr>
          <w:rFonts w:ascii="宋体" w:hAnsi="宋体" w:eastAsia="宋体" w:cs="宋体"/>
          <w:spacing w:val="9"/>
          <w:sz w:val="20"/>
          <w:szCs w:val="20"/>
        </w:rPr>
        <w:t>采用一般计税方法的，税金指增值税的销项税额，附加税列入企业管理费。</w:t>
      </w:r>
    </w:p>
    <w:p w14:paraId="02FE16C3">
      <w:pPr>
        <w:spacing w:before="133" w:line="227" w:lineRule="auto"/>
        <w:ind w:left="747"/>
        <w:rPr>
          <w:rFonts w:ascii="宋体" w:hAnsi="宋体" w:eastAsia="宋体" w:cs="宋体"/>
          <w:sz w:val="20"/>
          <w:szCs w:val="20"/>
        </w:rPr>
      </w:pPr>
      <w:r>
        <w:rPr>
          <w:rFonts w:ascii="宋体" w:hAnsi="宋体" w:eastAsia="宋体" w:cs="宋体"/>
          <w:spacing w:val="9"/>
          <w:sz w:val="20"/>
          <w:szCs w:val="20"/>
        </w:rPr>
        <w:t>采用简易计税方法的，税金指增值税的征收率，附加税列入企业管理费。</w:t>
      </w:r>
    </w:p>
    <w:p w14:paraId="1FCCABCE">
      <w:pPr>
        <w:pStyle w:val="2"/>
        <w:spacing w:before="184" w:line="231" w:lineRule="auto"/>
        <w:ind w:left="14"/>
        <w:rPr>
          <w:rFonts w:ascii="宋体" w:hAnsi="宋体" w:eastAsia="宋体" w:cs="宋体"/>
          <w:sz w:val="20"/>
          <w:szCs w:val="20"/>
        </w:rPr>
      </w:pPr>
      <w:r>
        <w:rPr>
          <w:spacing w:val="5"/>
          <w:sz w:val="20"/>
          <w:szCs w:val="20"/>
        </w:rPr>
        <w:t xml:space="preserve">3.1.9  </w:t>
      </w:r>
      <w:r>
        <w:rPr>
          <w:rFonts w:ascii="宋体" w:hAnsi="宋体" w:eastAsia="宋体" w:cs="宋体"/>
          <w:b/>
          <w:bCs/>
          <w:spacing w:val="5"/>
          <w:sz w:val="20"/>
          <w:szCs w:val="20"/>
        </w:rPr>
        <w:t>总承包服务费</w:t>
      </w:r>
    </w:p>
    <w:p w14:paraId="02452318">
      <w:pPr>
        <w:spacing w:before="185" w:line="362" w:lineRule="auto"/>
        <w:ind w:left="798" w:right="87" w:hanging="10"/>
        <w:rPr>
          <w:rFonts w:ascii="宋体" w:hAnsi="宋体" w:eastAsia="宋体" w:cs="宋体"/>
          <w:sz w:val="20"/>
          <w:szCs w:val="20"/>
        </w:rPr>
      </w:pPr>
      <w:r>
        <w:rPr>
          <w:rFonts w:ascii="宋体" w:hAnsi="宋体" w:eastAsia="宋体" w:cs="宋体"/>
          <w:spacing w:val="12"/>
          <w:sz w:val="20"/>
          <w:szCs w:val="20"/>
        </w:rPr>
        <w:t>总承包人为配合协调发包人进行的专业工程</w:t>
      </w:r>
      <w:r>
        <w:rPr>
          <w:rFonts w:ascii="宋体" w:hAnsi="宋体" w:eastAsia="宋体" w:cs="宋体"/>
          <w:spacing w:val="11"/>
          <w:sz w:val="20"/>
          <w:szCs w:val="20"/>
        </w:rPr>
        <w:t>发包，对发包人自行采购的材料、工程设备</w:t>
      </w:r>
      <w:r>
        <w:rPr>
          <w:rFonts w:ascii="宋体" w:hAnsi="宋体" w:eastAsia="宋体" w:cs="宋体"/>
          <w:spacing w:val="9"/>
          <w:sz w:val="20"/>
          <w:szCs w:val="20"/>
        </w:rPr>
        <w:t>等进行保管以及施工现场管理、竣工资料汇总整理等服务所需的费用。</w:t>
      </w:r>
    </w:p>
    <w:p w14:paraId="607AD01D">
      <w:pPr>
        <w:pStyle w:val="2"/>
        <w:spacing w:before="36" w:line="231" w:lineRule="auto"/>
        <w:ind w:left="14"/>
        <w:rPr>
          <w:rFonts w:ascii="宋体" w:hAnsi="宋体" w:eastAsia="宋体" w:cs="宋体"/>
          <w:sz w:val="20"/>
          <w:szCs w:val="20"/>
        </w:rPr>
      </w:pPr>
      <w:r>
        <w:rPr>
          <w:spacing w:val="2"/>
          <w:sz w:val="20"/>
          <w:szCs w:val="20"/>
        </w:rPr>
        <w:t>3.1.10</w:t>
      </w:r>
      <w:r>
        <w:rPr>
          <w:spacing w:val="39"/>
          <w:sz w:val="20"/>
          <w:szCs w:val="20"/>
        </w:rPr>
        <w:t xml:space="preserve"> </w:t>
      </w:r>
      <w:r>
        <w:rPr>
          <w:rFonts w:ascii="宋体" w:hAnsi="宋体" w:eastAsia="宋体" w:cs="宋体"/>
          <w:b/>
          <w:bCs/>
          <w:spacing w:val="2"/>
          <w:sz w:val="20"/>
          <w:szCs w:val="20"/>
        </w:rPr>
        <w:t>同义词语</w:t>
      </w:r>
    </w:p>
    <w:p w14:paraId="05337281">
      <w:pPr>
        <w:spacing w:before="185" w:line="361" w:lineRule="auto"/>
        <w:ind w:left="748" w:right="87" w:firstLine="106"/>
        <w:rPr>
          <w:rFonts w:ascii="宋体" w:hAnsi="宋体" w:eastAsia="宋体" w:cs="宋体"/>
          <w:sz w:val="20"/>
          <w:szCs w:val="20"/>
        </w:rPr>
      </w:pPr>
      <w:r>
        <w:rPr>
          <w:rFonts w:ascii="宋体" w:hAnsi="宋体" w:eastAsia="宋体" w:cs="宋体"/>
          <w:spacing w:val="7"/>
          <w:sz w:val="20"/>
          <w:szCs w:val="20"/>
        </w:rPr>
        <w:t>本章中使用的词语“招标人</w:t>
      </w:r>
      <w:r>
        <w:rPr>
          <w:rFonts w:ascii="宋体" w:hAnsi="宋体" w:eastAsia="宋体" w:cs="宋体"/>
          <w:spacing w:val="-54"/>
          <w:sz w:val="20"/>
          <w:szCs w:val="20"/>
        </w:rPr>
        <w:t xml:space="preserve"> </w:t>
      </w:r>
      <w:r>
        <w:rPr>
          <w:rFonts w:ascii="宋体" w:hAnsi="宋体" w:eastAsia="宋体" w:cs="宋体"/>
          <w:spacing w:val="7"/>
          <w:sz w:val="20"/>
          <w:szCs w:val="20"/>
        </w:rPr>
        <w:t>”和“投标人</w:t>
      </w:r>
      <w:r>
        <w:rPr>
          <w:rFonts w:ascii="宋体" w:hAnsi="宋体" w:eastAsia="宋体" w:cs="宋体"/>
          <w:spacing w:val="-70"/>
          <w:sz w:val="20"/>
          <w:szCs w:val="20"/>
        </w:rPr>
        <w:t xml:space="preserve"> </w:t>
      </w:r>
      <w:r>
        <w:rPr>
          <w:rFonts w:ascii="宋体" w:hAnsi="宋体" w:eastAsia="宋体" w:cs="宋体"/>
          <w:spacing w:val="7"/>
          <w:sz w:val="20"/>
          <w:szCs w:val="20"/>
        </w:rPr>
        <w:t>”分别与合同条款中定义的“发包人</w:t>
      </w:r>
      <w:r>
        <w:rPr>
          <w:rFonts w:ascii="宋体" w:hAnsi="宋体" w:eastAsia="宋体" w:cs="宋体"/>
          <w:spacing w:val="-72"/>
          <w:sz w:val="20"/>
          <w:szCs w:val="20"/>
        </w:rPr>
        <w:t xml:space="preserve"> </w:t>
      </w:r>
      <w:r>
        <w:rPr>
          <w:rFonts w:ascii="宋体" w:hAnsi="宋体" w:eastAsia="宋体" w:cs="宋体"/>
          <w:spacing w:val="7"/>
          <w:sz w:val="20"/>
          <w:szCs w:val="20"/>
        </w:rPr>
        <w:t>”和“承</w:t>
      </w:r>
      <w:r>
        <w:rPr>
          <w:rFonts w:ascii="宋体" w:hAnsi="宋体" w:eastAsia="宋体" w:cs="宋体"/>
          <w:spacing w:val="2"/>
          <w:sz w:val="20"/>
          <w:szCs w:val="20"/>
        </w:rPr>
        <w:t>包人</w:t>
      </w:r>
      <w:r>
        <w:rPr>
          <w:rFonts w:ascii="宋体" w:hAnsi="宋体" w:eastAsia="宋体" w:cs="宋体"/>
          <w:spacing w:val="-70"/>
          <w:sz w:val="20"/>
          <w:szCs w:val="20"/>
        </w:rPr>
        <w:t xml:space="preserve"> </w:t>
      </w:r>
      <w:r>
        <w:rPr>
          <w:rFonts w:ascii="宋体" w:hAnsi="宋体" w:eastAsia="宋体" w:cs="宋体"/>
          <w:spacing w:val="2"/>
          <w:sz w:val="20"/>
          <w:szCs w:val="20"/>
        </w:rPr>
        <w:t>”同义；就工程量清单而言，“项目</w:t>
      </w:r>
      <w:r>
        <w:rPr>
          <w:rFonts w:ascii="宋体" w:hAnsi="宋体" w:eastAsia="宋体" w:cs="宋体"/>
          <w:spacing w:val="-70"/>
          <w:sz w:val="20"/>
          <w:szCs w:val="20"/>
        </w:rPr>
        <w:t xml:space="preserve"> </w:t>
      </w:r>
      <w:r>
        <w:rPr>
          <w:rFonts w:ascii="宋体" w:hAnsi="宋体" w:eastAsia="宋体" w:cs="宋体"/>
          <w:spacing w:val="2"/>
          <w:sz w:val="20"/>
          <w:szCs w:val="20"/>
        </w:rPr>
        <w:t>”与“子目</w:t>
      </w:r>
      <w:r>
        <w:rPr>
          <w:rFonts w:ascii="宋体" w:hAnsi="宋体" w:eastAsia="宋体" w:cs="宋体"/>
          <w:spacing w:val="-70"/>
          <w:sz w:val="20"/>
          <w:szCs w:val="20"/>
        </w:rPr>
        <w:t xml:space="preserve"> </w:t>
      </w:r>
      <w:r>
        <w:rPr>
          <w:rFonts w:ascii="宋体" w:hAnsi="宋体" w:eastAsia="宋体" w:cs="宋体"/>
          <w:spacing w:val="2"/>
          <w:sz w:val="20"/>
          <w:szCs w:val="20"/>
        </w:rPr>
        <w:t>”同义。</w:t>
      </w:r>
    </w:p>
    <w:p w14:paraId="69C98BA2">
      <w:pPr>
        <w:pStyle w:val="2"/>
        <w:spacing w:before="37" w:line="230" w:lineRule="auto"/>
        <w:ind w:left="14"/>
        <w:rPr>
          <w:sz w:val="20"/>
          <w:szCs w:val="20"/>
        </w:rPr>
      </w:pPr>
      <w:r>
        <w:rPr>
          <w:spacing w:val="6"/>
          <w:sz w:val="20"/>
          <w:szCs w:val="20"/>
        </w:rPr>
        <w:t>3.2</w:t>
      </w:r>
      <w:r>
        <w:rPr>
          <w:spacing w:val="-33"/>
          <w:sz w:val="20"/>
          <w:szCs w:val="20"/>
        </w:rPr>
        <w:t xml:space="preserve"> </w:t>
      </w:r>
      <w:r>
        <w:rPr>
          <w:spacing w:val="6"/>
          <w:sz w:val="20"/>
          <w:szCs w:val="20"/>
        </w:rPr>
        <w:t>工程量差异调整</w:t>
      </w:r>
    </w:p>
    <w:p w14:paraId="7FE7221F">
      <w:pPr>
        <w:pStyle w:val="2"/>
        <w:spacing w:before="182" w:line="350" w:lineRule="auto"/>
        <w:ind w:left="735" w:right="87" w:hanging="736"/>
        <w:rPr>
          <w:rFonts w:ascii="宋体" w:hAnsi="宋体" w:eastAsia="宋体" w:cs="宋体"/>
          <w:sz w:val="20"/>
          <w:szCs w:val="20"/>
        </w:rPr>
      </w:pPr>
      <w:r>
        <w:rPr>
          <w:spacing w:val="7"/>
          <w:sz w:val="20"/>
          <w:szCs w:val="20"/>
        </w:rPr>
        <w:t xml:space="preserve">3.2.1  </w:t>
      </w:r>
      <w:r>
        <w:rPr>
          <w:rFonts w:ascii="宋体" w:hAnsi="宋体" w:eastAsia="宋体" w:cs="宋体"/>
          <w:spacing w:val="7"/>
          <w:sz w:val="20"/>
          <w:szCs w:val="20"/>
        </w:rPr>
        <w:t>招标工程量清单中的工作内容分类、项目列项、特征描述以及“分部分项工程和单价措施项目清单与计价表</w:t>
      </w:r>
      <w:r>
        <w:rPr>
          <w:rFonts w:ascii="宋体" w:hAnsi="宋体" w:eastAsia="宋体" w:cs="宋体"/>
          <w:spacing w:val="-70"/>
          <w:sz w:val="20"/>
          <w:szCs w:val="20"/>
        </w:rPr>
        <w:t xml:space="preserve"> </w:t>
      </w:r>
      <w:r>
        <w:rPr>
          <w:rFonts w:ascii="宋体" w:hAnsi="宋体" w:eastAsia="宋体" w:cs="宋体"/>
          <w:spacing w:val="7"/>
          <w:sz w:val="20"/>
          <w:szCs w:val="20"/>
        </w:rPr>
        <w:t>”中附带的工程量都不应理解为是对</w:t>
      </w:r>
      <w:r>
        <w:rPr>
          <w:rFonts w:ascii="宋体" w:hAnsi="宋体" w:eastAsia="宋体" w:cs="宋体"/>
          <w:spacing w:val="6"/>
          <w:sz w:val="20"/>
          <w:szCs w:val="20"/>
        </w:rPr>
        <w:t>承包（招标）范围以及合同工作内</w:t>
      </w:r>
      <w:r>
        <w:rPr>
          <w:rFonts w:ascii="宋体" w:hAnsi="宋体" w:eastAsia="宋体" w:cs="宋体"/>
          <w:spacing w:val="8"/>
          <w:sz w:val="20"/>
          <w:szCs w:val="20"/>
        </w:rPr>
        <w:t>容的唯一的、最终的或全部的定义。</w:t>
      </w:r>
    </w:p>
    <w:p w14:paraId="6DF5FF48">
      <w:pPr>
        <w:pStyle w:val="2"/>
        <w:spacing w:line="351" w:lineRule="auto"/>
        <w:ind w:left="730" w:right="18" w:hanging="716"/>
        <w:rPr>
          <w:rFonts w:ascii="宋体" w:hAnsi="宋体" w:eastAsia="宋体" w:cs="宋体"/>
          <w:sz w:val="20"/>
          <w:szCs w:val="20"/>
        </w:rPr>
      </w:pPr>
      <w:r>
        <w:rPr>
          <w:spacing w:val="8"/>
          <w:sz w:val="20"/>
          <w:szCs w:val="20"/>
        </w:rPr>
        <w:t xml:space="preserve">3.2.2  </w:t>
      </w:r>
      <w:r>
        <w:rPr>
          <w:rFonts w:ascii="宋体" w:hAnsi="宋体" w:eastAsia="宋体" w:cs="宋体"/>
          <w:spacing w:val="8"/>
          <w:sz w:val="20"/>
          <w:szCs w:val="20"/>
        </w:rPr>
        <w:t>投标人可以对招标工程量清单进行复核。这种复核包括对招标工程量清单中的项目编码、项目名称、项目特征描述、计量单位、工程量的</w:t>
      </w:r>
      <w:r>
        <w:rPr>
          <w:rFonts w:ascii="宋体" w:hAnsi="宋体" w:eastAsia="宋体" w:cs="宋体"/>
          <w:spacing w:val="7"/>
          <w:sz w:val="20"/>
          <w:szCs w:val="20"/>
        </w:rPr>
        <w:t>准确性以及可能存在的任何书写、打印错</w:t>
      </w:r>
      <w:r>
        <w:rPr>
          <w:rFonts w:ascii="宋体" w:hAnsi="宋体" w:eastAsia="宋体" w:cs="宋体"/>
          <w:spacing w:val="8"/>
          <w:sz w:val="20"/>
          <w:szCs w:val="20"/>
        </w:rPr>
        <w:t>误进行检查和复核。如果投标人经过检查和复核</w:t>
      </w:r>
      <w:r>
        <w:rPr>
          <w:rFonts w:ascii="宋体" w:hAnsi="宋体" w:eastAsia="宋体" w:cs="宋体"/>
          <w:spacing w:val="7"/>
          <w:sz w:val="20"/>
          <w:szCs w:val="20"/>
        </w:rPr>
        <w:t>以后认为招标工程量清单存在差异，这种</w:t>
      </w:r>
      <w:r>
        <w:rPr>
          <w:rFonts w:ascii="宋体" w:hAnsi="宋体" w:eastAsia="宋体" w:cs="宋体"/>
          <w:spacing w:val="8"/>
          <w:sz w:val="20"/>
          <w:szCs w:val="20"/>
        </w:rPr>
        <w:t>差异的存在可能对造价产生重大影响的，则投标</w:t>
      </w:r>
      <w:r>
        <w:rPr>
          <w:rFonts w:ascii="宋体" w:hAnsi="宋体" w:eastAsia="宋体" w:cs="宋体"/>
          <w:spacing w:val="7"/>
          <w:sz w:val="20"/>
          <w:szCs w:val="20"/>
        </w:rPr>
        <w:t>人应将此类差异的详细情况连同按投标人</w:t>
      </w:r>
      <w:r>
        <w:rPr>
          <w:rFonts w:ascii="宋体" w:hAnsi="宋体" w:eastAsia="宋体" w:cs="宋体"/>
          <w:spacing w:val="8"/>
          <w:sz w:val="20"/>
          <w:szCs w:val="20"/>
        </w:rPr>
        <w:t>须知规定提交的要求招标人澄清的其他问题一起</w:t>
      </w:r>
      <w:r>
        <w:rPr>
          <w:rFonts w:ascii="宋体" w:hAnsi="宋体" w:eastAsia="宋体" w:cs="宋体"/>
          <w:spacing w:val="7"/>
          <w:sz w:val="20"/>
          <w:szCs w:val="20"/>
        </w:rPr>
        <w:t>提交给招标人，招标人在核实差异后将根</w:t>
      </w:r>
      <w:r>
        <w:rPr>
          <w:rFonts w:ascii="宋体" w:hAnsi="宋体" w:eastAsia="宋体" w:cs="宋体"/>
          <w:spacing w:val="9"/>
          <w:sz w:val="20"/>
          <w:szCs w:val="20"/>
        </w:rPr>
        <w:t>据实际情况决定是否颁发招标工程量清单的澄清和（或）修改文件。</w:t>
      </w:r>
    </w:p>
    <w:p w14:paraId="6CD92580">
      <w:pPr>
        <w:pStyle w:val="2"/>
        <w:spacing w:before="2" w:line="350" w:lineRule="auto"/>
        <w:ind w:left="734" w:hanging="734"/>
        <w:rPr>
          <w:rFonts w:ascii="宋体" w:hAnsi="宋体" w:eastAsia="宋体" w:cs="宋体"/>
          <w:sz w:val="20"/>
          <w:szCs w:val="20"/>
        </w:rPr>
      </w:pPr>
      <w:r>
        <w:rPr>
          <w:spacing w:val="9"/>
          <w:sz w:val="20"/>
          <w:szCs w:val="20"/>
        </w:rPr>
        <w:t xml:space="preserve">3.2.3  </w:t>
      </w:r>
      <w:r>
        <w:rPr>
          <w:rFonts w:ascii="宋体" w:hAnsi="宋体" w:eastAsia="宋体" w:cs="宋体"/>
          <w:spacing w:val="9"/>
          <w:sz w:val="20"/>
          <w:szCs w:val="20"/>
        </w:rPr>
        <w:t>如果招标人在检查投标人根</w:t>
      </w:r>
      <w:r>
        <w:rPr>
          <w:rFonts w:ascii="宋体" w:hAnsi="宋体" w:eastAsia="宋体" w:cs="宋体"/>
          <w:spacing w:val="8"/>
          <w:sz w:val="20"/>
          <w:szCs w:val="20"/>
        </w:rPr>
        <w:t>据上文第</w:t>
      </w:r>
      <w:r>
        <w:rPr>
          <w:rFonts w:ascii="宋体" w:hAnsi="宋体" w:eastAsia="宋体" w:cs="宋体"/>
          <w:spacing w:val="-36"/>
          <w:sz w:val="20"/>
          <w:szCs w:val="20"/>
        </w:rPr>
        <w:t xml:space="preserve"> </w:t>
      </w:r>
      <w:r>
        <w:rPr>
          <w:rFonts w:ascii="Times New Roman" w:hAnsi="Times New Roman" w:eastAsia="Times New Roman" w:cs="Times New Roman"/>
          <w:spacing w:val="8"/>
          <w:sz w:val="20"/>
          <w:szCs w:val="20"/>
        </w:rPr>
        <w:t xml:space="preserve">3.2.2 </w:t>
      </w:r>
      <w:r>
        <w:rPr>
          <w:rFonts w:ascii="宋体" w:hAnsi="宋体" w:eastAsia="宋体" w:cs="宋体"/>
          <w:spacing w:val="8"/>
          <w:sz w:val="20"/>
          <w:szCs w:val="20"/>
        </w:rPr>
        <w:t>项提交的差异问题后认为没有必要对招标工程</w:t>
      </w:r>
      <w:r>
        <w:rPr>
          <w:rFonts w:ascii="宋体" w:hAnsi="宋体" w:eastAsia="宋体" w:cs="宋体"/>
          <w:spacing w:val="9"/>
          <w:sz w:val="20"/>
          <w:szCs w:val="20"/>
        </w:rPr>
        <w:t>量清单进行澄清和（或）修改，或者招标人根据上文第</w:t>
      </w:r>
      <w:r>
        <w:rPr>
          <w:rFonts w:ascii="宋体" w:hAnsi="宋体" w:eastAsia="宋体" w:cs="宋体"/>
          <w:spacing w:val="-37"/>
          <w:sz w:val="20"/>
          <w:szCs w:val="20"/>
        </w:rPr>
        <w:t xml:space="preserve"> </w:t>
      </w:r>
      <w:r>
        <w:rPr>
          <w:rFonts w:ascii="Times New Roman" w:hAnsi="Times New Roman" w:eastAsia="Times New Roman" w:cs="Times New Roman"/>
          <w:spacing w:val="9"/>
          <w:sz w:val="20"/>
          <w:szCs w:val="20"/>
        </w:rPr>
        <w:t xml:space="preserve">3.2.2 </w:t>
      </w:r>
      <w:r>
        <w:rPr>
          <w:rFonts w:ascii="宋体" w:hAnsi="宋体" w:eastAsia="宋体" w:cs="宋体"/>
          <w:spacing w:val="9"/>
          <w:sz w:val="20"/>
          <w:szCs w:val="20"/>
        </w:rPr>
        <w:t>项对招标工程量清单进行了</w:t>
      </w:r>
      <w:r>
        <w:rPr>
          <w:rFonts w:ascii="宋体" w:hAnsi="宋体" w:eastAsia="宋体" w:cs="宋体"/>
          <w:spacing w:val="7"/>
          <w:sz w:val="20"/>
          <w:szCs w:val="20"/>
        </w:rPr>
        <w:t>澄清和（或）修改，但投标人认为招标工程量清单依然存在差异，则此类差异不再提交招</w:t>
      </w:r>
      <w:r>
        <w:rPr>
          <w:rFonts w:ascii="宋体" w:hAnsi="宋体" w:eastAsia="宋体" w:cs="宋体"/>
          <w:spacing w:val="4"/>
          <w:sz w:val="20"/>
          <w:szCs w:val="20"/>
        </w:rPr>
        <w:t>标人要求澄清和（或）修改，而是直接按招标工程量清单（包括招标人可能的澄清和（或）</w:t>
      </w:r>
      <w:r>
        <w:rPr>
          <w:rFonts w:ascii="宋体" w:hAnsi="宋体" w:eastAsia="宋体" w:cs="宋体"/>
          <w:spacing w:val="7"/>
          <w:sz w:val="20"/>
          <w:szCs w:val="20"/>
        </w:rPr>
        <w:t>修改）进行报价。</w:t>
      </w:r>
    </w:p>
    <w:p w14:paraId="49FFA136">
      <w:pPr>
        <w:pStyle w:val="2"/>
        <w:spacing w:before="3" w:line="350" w:lineRule="auto"/>
        <w:ind w:left="747" w:right="87" w:hanging="733"/>
        <w:rPr>
          <w:rFonts w:ascii="宋体" w:hAnsi="宋体" w:eastAsia="宋体" w:cs="宋体"/>
          <w:sz w:val="20"/>
          <w:szCs w:val="20"/>
        </w:rPr>
      </w:pPr>
      <w:r>
        <w:rPr>
          <w:spacing w:val="7"/>
          <w:sz w:val="20"/>
          <w:szCs w:val="20"/>
        </w:rPr>
        <w:t xml:space="preserve">3.2.4  </w:t>
      </w:r>
      <w:r>
        <w:rPr>
          <w:rFonts w:ascii="宋体" w:hAnsi="宋体" w:eastAsia="宋体" w:cs="宋体"/>
          <w:spacing w:val="7"/>
          <w:sz w:val="20"/>
          <w:szCs w:val="20"/>
        </w:rPr>
        <w:t>投标人在按照招标工程量清单进行报价时，不得改变招标工程量</w:t>
      </w:r>
      <w:r>
        <w:rPr>
          <w:rFonts w:ascii="宋体" w:hAnsi="宋体" w:eastAsia="宋体" w:cs="宋体"/>
          <w:spacing w:val="6"/>
          <w:sz w:val="20"/>
          <w:szCs w:val="20"/>
        </w:rPr>
        <w:t>清单的项目编码、项目名</w:t>
      </w:r>
      <w:r>
        <w:rPr>
          <w:rFonts w:ascii="宋体" w:hAnsi="宋体" w:eastAsia="宋体" w:cs="宋体"/>
          <w:spacing w:val="7"/>
          <w:sz w:val="20"/>
          <w:szCs w:val="20"/>
        </w:rPr>
        <w:t>称、项目特征描述、计量单位以及工程量，也不得改变其他项目清单及其载明的暂列金额和暂估价等内容。即使按照图纸和招标范围的约定并不存在的项目，只要在招标人提供的</w:t>
      </w:r>
    </w:p>
    <w:p w14:paraId="299642CE">
      <w:pPr>
        <w:spacing w:line="350" w:lineRule="auto"/>
        <w:rPr>
          <w:rFonts w:ascii="宋体" w:hAnsi="宋体" w:eastAsia="宋体" w:cs="宋体"/>
          <w:sz w:val="20"/>
          <w:szCs w:val="20"/>
        </w:rPr>
        <w:sectPr>
          <w:footerReference r:id="rId442" w:type="default"/>
          <w:pgSz w:w="11907" w:h="16840"/>
          <w:pgMar w:top="400" w:right="1468" w:bottom="1105" w:left="1524" w:header="0" w:footer="943" w:gutter="0"/>
          <w:cols w:space="720" w:num="1"/>
        </w:sectPr>
      </w:pPr>
    </w:p>
    <w:p w14:paraId="3EA62BA7">
      <w:pPr>
        <w:spacing w:line="267" w:lineRule="auto"/>
        <w:rPr>
          <w:rFonts w:ascii="Arial"/>
          <w:sz w:val="21"/>
        </w:rPr>
      </w:pPr>
    </w:p>
    <w:p w14:paraId="3A49B0A9">
      <w:pPr>
        <w:spacing w:line="267" w:lineRule="auto"/>
        <w:rPr>
          <w:rFonts w:ascii="Arial"/>
          <w:sz w:val="21"/>
        </w:rPr>
      </w:pPr>
    </w:p>
    <w:p w14:paraId="5423B9D6">
      <w:pPr>
        <w:spacing w:line="268" w:lineRule="auto"/>
        <w:rPr>
          <w:rFonts w:ascii="Arial"/>
          <w:sz w:val="21"/>
        </w:rPr>
      </w:pPr>
    </w:p>
    <w:p w14:paraId="124E5BB6">
      <w:pPr>
        <w:spacing w:line="268" w:lineRule="auto"/>
        <w:rPr>
          <w:rFonts w:ascii="Arial"/>
          <w:sz w:val="21"/>
        </w:rPr>
      </w:pPr>
    </w:p>
    <w:p w14:paraId="66DBCE6A">
      <w:pPr>
        <w:spacing w:before="65" w:line="226" w:lineRule="auto"/>
        <w:ind w:left="749"/>
        <w:rPr>
          <w:rFonts w:ascii="宋体" w:hAnsi="宋体" w:eastAsia="宋体" w:cs="宋体"/>
          <w:sz w:val="20"/>
          <w:szCs w:val="20"/>
        </w:rPr>
      </w:pPr>
      <w:r>
        <w:rPr>
          <w:rFonts w:ascii="宋体" w:hAnsi="宋体" w:eastAsia="宋体" w:cs="宋体"/>
          <w:spacing w:val="9"/>
          <w:sz w:val="20"/>
          <w:szCs w:val="20"/>
        </w:rPr>
        <w:t>招标工程量清单中已经列明，投标人都需要对其报价，并纳入投标总价的计算。</w:t>
      </w:r>
    </w:p>
    <w:p w14:paraId="37CAB8EB">
      <w:pPr>
        <w:pStyle w:val="2"/>
        <w:spacing w:before="134" w:line="230" w:lineRule="auto"/>
        <w:ind w:left="14"/>
        <w:rPr>
          <w:sz w:val="20"/>
          <w:szCs w:val="20"/>
        </w:rPr>
      </w:pPr>
      <w:r>
        <w:rPr>
          <w:spacing w:val="6"/>
          <w:sz w:val="20"/>
          <w:szCs w:val="20"/>
        </w:rPr>
        <w:t>3.3</w:t>
      </w:r>
      <w:r>
        <w:rPr>
          <w:spacing w:val="-31"/>
          <w:sz w:val="20"/>
          <w:szCs w:val="20"/>
        </w:rPr>
        <w:t xml:space="preserve"> </w:t>
      </w:r>
      <w:r>
        <w:rPr>
          <w:spacing w:val="6"/>
          <w:sz w:val="20"/>
          <w:szCs w:val="20"/>
        </w:rPr>
        <w:t>暂列金额和暂估价</w:t>
      </w:r>
    </w:p>
    <w:p w14:paraId="04463E63">
      <w:pPr>
        <w:pStyle w:val="2"/>
        <w:spacing w:before="133" w:line="350" w:lineRule="auto"/>
        <w:ind w:left="748" w:hanging="734"/>
        <w:rPr>
          <w:rFonts w:ascii="宋体" w:hAnsi="宋体" w:eastAsia="宋体" w:cs="宋体"/>
          <w:sz w:val="20"/>
          <w:szCs w:val="20"/>
        </w:rPr>
      </w:pPr>
      <w:r>
        <w:rPr>
          <w:spacing w:val="6"/>
          <w:sz w:val="20"/>
          <w:szCs w:val="20"/>
        </w:rPr>
        <w:t xml:space="preserve">3.3.1  </w:t>
      </w:r>
      <w:r>
        <w:rPr>
          <w:rFonts w:ascii="宋体" w:hAnsi="宋体" w:eastAsia="宋体" w:cs="宋体"/>
          <w:spacing w:val="6"/>
          <w:sz w:val="20"/>
          <w:szCs w:val="20"/>
        </w:rPr>
        <w:t>采用一般计税方法的，“暂列金额明细表</w:t>
      </w:r>
      <w:r>
        <w:rPr>
          <w:rFonts w:ascii="宋体" w:hAnsi="宋体" w:eastAsia="宋体" w:cs="宋体"/>
          <w:spacing w:val="-66"/>
          <w:sz w:val="20"/>
          <w:szCs w:val="20"/>
        </w:rPr>
        <w:t xml:space="preserve"> </w:t>
      </w:r>
      <w:r>
        <w:rPr>
          <w:rFonts w:ascii="宋体" w:hAnsi="宋体" w:eastAsia="宋体" w:cs="宋体"/>
          <w:spacing w:val="6"/>
          <w:sz w:val="20"/>
          <w:szCs w:val="20"/>
        </w:rPr>
        <w:t>”中所列暂列金额为不含进项税额和销项税额的</w:t>
      </w:r>
      <w:r>
        <w:rPr>
          <w:rFonts w:ascii="宋体" w:hAnsi="宋体" w:eastAsia="宋体" w:cs="宋体"/>
          <w:spacing w:val="7"/>
          <w:sz w:val="20"/>
          <w:szCs w:val="20"/>
        </w:rPr>
        <w:t>金额。投标人应按本招标文件规定将此类暂列金额直接纳入其他项目清单的投标价格，并</w:t>
      </w:r>
      <w:r>
        <w:rPr>
          <w:rFonts w:ascii="宋体" w:hAnsi="宋体" w:eastAsia="宋体" w:cs="宋体"/>
          <w:spacing w:val="8"/>
          <w:sz w:val="20"/>
          <w:szCs w:val="20"/>
        </w:rPr>
        <w:t>计取相应的销项税额。</w:t>
      </w:r>
    </w:p>
    <w:p w14:paraId="40B6039B">
      <w:pPr>
        <w:pStyle w:val="2"/>
        <w:spacing w:line="351" w:lineRule="auto"/>
        <w:ind w:left="747"/>
        <w:jc w:val="both"/>
        <w:rPr>
          <w:sz w:val="20"/>
          <w:szCs w:val="20"/>
        </w:rPr>
      </w:pPr>
      <w:r>
        <w:rPr>
          <w:rFonts w:ascii="宋体" w:hAnsi="宋体" w:eastAsia="宋体" w:cs="宋体"/>
          <w:spacing w:val="6"/>
          <w:sz w:val="20"/>
          <w:szCs w:val="20"/>
        </w:rPr>
        <w:t>采用简易计税方法，“暂列金额明细表</w:t>
      </w:r>
      <w:r>
        <w:rPr>
          <w:rFonts w:ascii="宋体" w:hAnsi="宋体" w:eastAsia="宋体" w:cs="宋体"/>
          <w:spacing w:val="-60"/>
          <w:sz w:val="20"/>
          <w:szCs w:val="20"/>
        </w:rPr>
        <w:t xml:space="preserve"> </w:t>
      </w:r>
      <w:r>
        <w:rPr>
          <w:rFonts w:ascii="宋体" w:hAnsi="宋体" w:eastAsia="宋体" w:cs="宋体"/>
          <w:spacing w:val="6"/>
          <w:sz w:val="20"/>
          <w:szCs w:val="20"/>
        </w:rPr>
        <w:t>”中所列暂列金额为含进项税额但不含销项税额的</w:t>
      </w:r>
      <w:r>
        <w:rPr>
          <w:rFonts w:ascii="宋体" w:hAnsi="宋体" w:eastAsia="宋体" w:cs="宋体"/>
          <w:spacing w:val="7"/>
          <w:sz w:val="20"/>
          <w:szCs w:val="20"/>
        </w:rPr>
        <w:t>金额。投标人应按本招标文件规定将此类暂列金额直接纳入其他项目清单的投标价格，并</w:t>
      </w:r>
      <w:r>
        <w:rPr>
          <w:rFonts w:ascii="宋体" w:hAnsi="宋体" w:eastAsia="宋体" w:cs="宋体"/>
          <w:spacing w:val="8"/>
          <w:sz w:val="20"/>
          <w:szCs w:val="20"/>
        </w:rPr>
        <w:t>计取相应的增值税征收率</w:t>
      </w:r>
      <w:r>
        <w:rPr>
          <w:spacing w:val="8"/>
          <w:sz w:val="20"/>
          <w:szCs w:val="20"/>
        </w:rPr>
        <w:t>。</w:t>
      </w:r>
    </w:p>
    <w:p w14:paraId="6DF42894">
      <w:pPr>
        <w:pStyle w:val="2"/>
        <w:spacing w:before="2" w:line="350" w:lineRule="auto"/>
        <w:ind w:left="735" w:hanging="735"/>
        <w:rPr>
          <w:rFonts w:ascii="宋体" w:hAnsi="宋体" w:eastAsia="宋体" w:cs="宋体"/>
          <w:sz w:val="20"/>
          <w:szCs w:val="20"/>
        </w:rPr>
      </w:pPr>
      <w:r>
        <w:rPr>
          <w:spacing w:val="7"/>
          <w:sz w:val="20"/>
          <w:szCs w:val="20"/>
        </w:rPr>
        <w:t>3.3.2</w:t>
      </w:r>
      <w:r>
        <w:rPr>
          <w:spacing w:val="1"/>
          <w:sz w:val="20"/>
          <w:szCs w:val="20"/>
        </w:rPr>
        <w:t xml:space="preserve">  </w:t>
      </w:r>
      <w:r>
        <w:rPr>
          <w:rFonts w:ascii="宋体" w:hAnsi="宋体" w:eastAsia="宋体" w:cs="宋体"/>
          <w:spacing w:val="7"/>
          <w:sz w:val="20"/>
          <w:szCs w:val="20"/>
        </w:rPr>
        <w:t>“材料（工程设备）暂估单价表</w:t>
      </w:r>
      <w:r>
        <w:rPr>
          <w:rFonts w:ascii="宋体" w:hAnsi="宋体" w:eastAsia="宋体" w:cs="宋体"/>
          <w:spacing w:val="-70"/>
          <w:sz w:val="20"/>
          <w:szCs w:val="20"/>
        </w:rPr>
        <w:t xml:space="preserve"> </w:t>
      </w:r>
      <w:r>
        <w:rPr>
          <w:rFonts w:ascii="宋体" w:hAnsi="宋体" w:eastAsia="宋体" w:cs="宋体"/>
          <w:spacing w:val="7"/>
          <w:sz w:val="20"/>
          <w:szCs w:val="20"/>
        </w:rPr>
        <w:t>”中所列的材料和工程</w:t>
      </w:r>
      <w:r>
        <w:rPr>
          <w:rFonts w:ascii="宋体" w:hAnsi="宋体" w:eastAsia="宋体" w:cs="宋体"/>
          <w:spacing w:val="6"/>
          <w:sz w:val="20"/>
          <w:szCs w:val="20"/>
        </w:rPr>
        <w:t>设备暂估价是此类材料、工程设备</w:t>
      </w:r>
      <w:r>
        <w:rPr>
          <w:rFonts w:ascii="宋体" w:hAnsi="宋体" w:eastAsia="宋体" w:cs="宋体"/>
          <w:spacing w:val="7"/>
          <w:sz w:val="20"/>
          <w:szCs w:val="20"/>
        </w:rPr>
        <w:t>本身运至施工现场内的工地地面价，除应按本招标文件规定将此类暂估价本身纳入分部分项工程和单价措施项目清单相应项目的综合单价以外，投标人还应将上述材料和工程设备</w:t>
      </w:r>
      <w:r>
        <w:rPr>
          <w:rFonts w:ascii="宋体" w:hAnsi="宋体" w:eastAsia="宋体" w:cs="宋体"/>
          <w:spacing w:val="13"/>
          <w:sz w:val="20"/>
          <w:szCs w:val="20"/>
        </w:rPr>
        <w:t>的安装及辅助工作所发生的费用以及与此类费用有关的企业管理费和利润包含</w:t>
      </w:r>
      <w:r>
        <w:rPr>
          <w:rFonts w:ascii="宋体" w:hAnsi="宋体" w:eastAsia="宋体" w:cs="宋体"/>
          <w:spacing w:val="12"/>
          <w:sz w:val="20"/>
          <w:szCs w:val="20"/>
        </w:rPr>
        <w:t>在分部分</w:t>
      </w:r>
      <w:r>
        <w:rPr>
          <w:rFonts w:ascii="宋体" w:hAnsi="宋体" w:eastAsia="宋体" w:cs="宋体"/>
          <w:spacing w:val="9"/>
          <w:sz w:val="20"/>
          <w:szCs w:val="20"/>
        </w:rPr>
        <w:t>项工程和单价措施项目清单相应项目的综合单价中。</w:t>
      </w:r>
    </w:p>
    <w:p w14:paraId="1C140B72">
      <w:pPr>
        <w:pStyle w:val="2"/>
        <w:spacing w:before="3" w:line="350" w:lineRule="auto"/>
        <w:ind w:left="750" w:hanging="736"/>
        <w:rPr>
          <w:rFonts w:ascii="宋体" w:hAnsi="宋体" w:eastAsia="宋体" w:cs="宋体"/>
          <w:sz w:val="20"/>
          <w:szCs w:val="20"/>
        </w:rPr>
      </w:pPr>
      <w:r>
        <w:rPr>
          <w:spacing w:val="6"/>
          <w:sz w:val="20"/>
          <w:szCs w:val="20"/>
        </w:rPr>
        <w:t xml:space="preserve">3.3.3  </w:t>
      </w:r>
      <w:r>
        <w:rPr>
          <w:rFonts w:ascii="宋体" w:hAnsi="宋体" w:eastAsia="宋体" w:cs="宋体"/>
          <w:spacing w:val="6"/>
          <w:sz w:val="20"/>
          <w:szCs w:val="20"/>
        </w:rPr>
        <w:t>采用一般计税方法的，“专业工程暂估价表</w:t>
      </w:r>
      <w:r>
        <w:rPr>
          <w:rFonts w:ascii="宋体" w:hAnsi="宋体" w:eastAsia="宋体" w:cs="宋体"/>
          <w:spacing w:val="-66"/>
          <w:sz w:val="20"/>
          <w:szCs w:val="20"/>
        </w:rPr>
        <w:t xml:space="preserve"> </w:t>
      </w:r>
      <w:r>
        <w:rPr>
          <w:rFonts w:ascii="宋体" w:hAnsi="宋体" w:eastAsia="宋体" w:cs="宋体"/>
          <w:spacing w:val="6"/>
          <w:sz w:val="20"/>
          <w:szCs w:val="20"/>
        </w:rPr>
        <w:t>”中所列专业工程暂估价为不含进项税额和销</w:t>
      </w:r>
      <w:r>
        <w:rPr>
          <w:rFonts w:ascii="宋体" w:hAnsi="宋体" w:eastAsia="宋体" w:cs="宋体"/>
          <w:spacing w:val="7"/>
          <w:sz w:val="20"/>
          <w:szCs w:val="20"/>
        </w:rPr>
        <w:t>项税额的金额。投标人应按本招标文件规定将此类专业工程暂估金额直接纳入其他项目清</w:t>
      </w:r>
      <w:r>
        <w:rPr>
          <w:rFonts w:ascii="宋体" w:hAnsi="宋体" w:eastAsia="宋体" w:cs="宋体"/>
          <w:spacing w:val="8"/>
          <w:sz w:val="20"/>
          <w:szCs w:val="20"/>
        </w:rPr>
        <w:t>单的投标价格，并计取相应的销项税额。</w:t>
      </w:r>
    </w:p>
    <w:p w14:paraId="32F1CFD7">
      <w:pPr>
        <w:spacing w:before="2" w:line="350" w:lineRule="auto"/>
        <w:ind w:left="747"/>
        <w:jc w:val="both"/>
        <w:rPr>
          <w:rFonts w:ascii="宋体" w:hAnsi="宋体" w:eastAsia="宋体" w:cs="宋体"/>
          <w:sz w:val="20"/>
          <w:szCs w:val="20"/>
        </w:rPr>
      </w:pPr>
      <w:r>
        <w:rPr>
          <w:rFonts w:ascii="宋体" w:hAnsi="宋体" w:eastAsia="宋体" w:cs="宋体"/>
          <w:spacing w:val="6"/>
          <w:sz w:val="20"/>
          <w:szCs w:val="20"/>
        </w:rPr>
        <w:t>采用简易计税方法的，“专业工程暂估价表</w:t>
      </w:r>
      <w:r>
        <w:rPr>
          <w:rFonts w:ascii="宋体" w:hAnsi="宋体" w:eastAsia="宋体" w:cs="宋体"/>
          <w:spacing w:val="-57"/>
          <w:sz w:val="20"/>
          <w:szCs w:val="20"/>
        </w:rPr>
        <w:t xml:space="preserve"> </w:t>
      </w:r>
      <w:r>
        <w:rPr>
          <w:rFonts w:ascii="宋体" w:hAnsi="宋体" w:eastAsia="宋体" w:cs="宋体"/>
          <w:spacing w:val="6"/>
          <w:sz w:val="20"/>
          <w:szCs w:val="20"/>
        </w:rPr>
        <w:t>”中所列专业工程暂估价为含进项税额但不含</w:t>
      </w:r>
      <w:r>
        <w:rPr>
          <w:rFonts w:ascii="宋体" w:hAnsi="宋体" w:eastAsia="宋体" w:cs="宋体"/>
          <w:spacing w:val="7"/>
          <w:sz w:val="20"/>
          <w:szCs w:val="20"/>
        </w:rPr>
        <w:t>销项税额的金额。投标人应按本招标文件规定将此类专业工程暂估金额直接纳入其他项目</w:t>
      </w:r>
      <w:r>
        <w:rPr>
          <w:rFonts w:ascii="宋体" w:hAnsi="宋体" w:eastAsia="宋体" w:cs="宋体"/>
          <w:spacing w:val="9"/>
          <w:sz w:val="20"/>
          <w:szCs w:val="20"/>
        </w:rPr>
        <w:t>清单的投标价格，并计取相应的增值税征收率。</w:t>
      </w:r>
    </w:p>
    <w:p w14:paraId="5B0B675D">
      <w:pPr>
        <w:pStyle w:val="2"/>
        <w:spacing w:before="1" w:line="229" w:lineRule="auto"/>
        <w:ind w:left="14"/>
        <w:outlineLvl w:val="1"/>
        <w:rPr>
          <w:sz w:val="20"/>
          <w:szCs w:val="20"/>
        </w:rPr>
      </w:pPr>
      <w:r>
        <w:rPr>
          <w:spacing w:val="6"/>
          <w:sz w:val="20"/>
          <w:szCs w:val="20"/>
        </w:rPr>
        <w:t>3.4</w:t>
      </w:r>
      <w:r>
        <w:rPr>
          <w:spacing w:val="-38"/>
          <w:sz w:val="20"/>
          <w:szCs w:val="20"/>
        </w:rPr>
        <w:t xml:space="preserve"> </w:t>
      </w:r>
      <w:r>
        <w:rPr>
          <w:spacing w:val="6"/>
          <w:sz w:val="20"/>
          <w:szCs w:val="20"/>
        </w:rPr>
        <w:t>其他补充说明</w:t>
      </w:r>
    </w:p>
    <w:p w14:paraId="5B2EB1F6">
      <w:pPr>
        <w:spacing w:line="328" w:lineRule="auto"/>
        <w:rPr>
          <w:rFonts w:ascii="Arial"/>
          <w:sz w:val="21"/>
        </w:rPr>
      </w:pPr>
    </w:p>
    <w:p w14:paraId="5462056D">
      <w:pPr>
        <w:spacing w:line="389" w:lineRule="exact"/>
        <w:ind w:firstLine="426"/>
      </w:pPr>
      <w:r>
        <w:rPr>
          <w:position w:val="-7"/>
        </w:rPr>
        <w:pict>
          <v:shape id="_x0000_s1111" o:spid="_x0000_s1111" style="height:19.45pt;width:404.25pt;" filled="f" stroked="t" coordsize="8085,389" path="m0,4l8085,4m0,383l8085,383e">
            <v:fill on="f" focussize="0,0"/>
            <v:stroke weight="0.48pt" color="#000000" miterlimit="2" joinstyle="bevel"/>
            <v:imagedata o:title=""/>
            <o:lock v:ext="edit"/>
            <w10:wrap type="none"/>
            <w10:anchorlock/>
          </v:shape>
        </w:pict>
      </w:r>
    </w:p>
    <w:p w14:paraId="007A40C4">
      <w:pPr>
        <w:spacing w:line="389" w:lineRule="exact"/>
        <w:sectPr>
          <w:footerReference r:id="rId443" w:type="default"/>
          <w:pgSz w:w="11907" w:h="16840"/>
          <w:pgMar w:top="400" w:right="1555" w:bottom="1105" w:left="1524" w:header="0" w:footer="943" w:gutter="0"/>
          <w:cols w:space="720" w:num="1"/>
        </w:sectPr>
      </w:pPr>
    </w:p>
    <w:p w14:paraId="5992C445">
      <w:pPr>
        <w:spacing w:line="275" w:lineRule="auto"/>
        <w:rPr>
          <w:rFonts w:ascii="Arial"/>
          <w:sz w:val="21"/>
        </w:rPr>
      </w:pPr>
    </w:p>
    <w:p w14:paraId="1105B53C">
      <w:pPr>
        <w:spacing w:line="275" w:lineRule="auto"/>
        <w:rPr>
          <w:rFonts w:ascii="Arial"/>
          <w:sz w:val="21"/>
        </w:rPr>
      </w:pPr>
    </w:p>
    <w:p w14:paraId="1531D604">
      <w:pPr>
        <w:spacing w:line="275" w:lineRule="auto"/>
        <w:rPr>
          <w:rFonts w:ascii="Arial"/>
          <w:sz w:val="21"/>
        </w:rPr>
      </w:pPr>
    </w:p>
    <w:p w14:paraId="2E38BE45">
      <w:pPr>
        <w:spacing w:line="275" w:lineRule="auto"/>
        <w:rPr>
          <w:rFonts w:ascii="Arial"/>
          <w:sz w:val="21"/>
        </w:rPr>
      </w:pPr>
    </w:p>
    <w:p w14:paraId="1FE3C0F7">
      <w:pPr>
        <w:pStyle w:val="2"/>
        <w:spacing w:before="91" w:line="222" w:lineRule="auto"/>
        <w:outlineLvl w:val="1"/>
        <w:rPr>
          <w:sz w:val="28"/>
          <w:szCs w:val="28"/>
        </w:rPr>
      </w:pPr>
      <w:bookmarkStart w:id="354" w:name="bookmark336"/>
      <w:bookmarkEnd w:id="354"/>
      <w:r>
        <w:rPr>
          <w:rFonts w:ascii="Times New Roman" w:hAnsi="Times New Roman" w:eastAsia="Times New Roman" w:cs="Times New Roman"/>
          <w:spacing w:val="-1"/>
          <w:sz w:val="28"/>
          <w:szCs w:val="28"/>
        </w:rPr>
        <w:t>4.</w:t>
      </w:r>
      <w:r>
        <w:rPr>
          <w:spacing w:val="-1"/>
          <w:sz w:val="28"/>
          <w:szCs w:val="28"/>
        </w:rPr>
        <w:t>工程量清单与计价表</w:t>
      </w:r>
    </w:p>
    <w:p w14:paraId="3A75A6EC">
      <w:pPr>
        <w:spacing w:line="244" w:lineRule="auto"/>
        <w:rPr>
          <w:rFonts w:ascii="Arial"/>
          <w:sz w:val="21"/>
        </w:rPr>
      </w:pPr>
    </w:p>
    <w:p w14:paraId="58543B9E">
      <w:pPr>
        <w:spacing w:line="244" w:lineRule="auto"/>
        <w:rPr>
          <w:rFonts w:ascii="Arial"/>
          <w:sz w:val="21"/>
        </w:rPr>
      </w:pPr>
    </w:p>
    <w:p w14:paraId="04396540">
      <w:pPr>
        <w:spacing w:line="244" w:lineRule="auto"/>
        <w:rPr>
          <w:rFonts w:ascii="Arial"/>
          <w:sz w:val="21"/>
        </w:rPr>
      </w:pPr>
    </w:p>
    <w:p w14:paraId="19CE9ACC">
      <w:pPr>
        <w:spacing w:line="244" w:lineRule="auto"/>
        <w:rPr>
          <w:rFonts w:ascii="Arial"/>
          <w:sz w:val="21"/>
        </w:rPr>
      </w:pPr>
    </w:p>
    <w:p w14:paraId="5E99706B">
      <w:pPr>
        <w:spacing w:line="244" w:lineRule="auto"/>
        <w:rPr>
          <w:rFonts w:ascii="Arial"/>
          <w:sz w:val="21"/>
        </w:rPr>
      </w:pPr>
    </w:p>
    <w:p w14:paraId="5835F5FE">
      <w:pPr>
        <w:spacing w:line="244" w:lineRule="auto"/>
        <w:rPr>
          <w:rFonts w:ascii="Arial"/>
          <w:sz w:val="21"/>
        </w:rPr>
      </w:pPr>
    </w:p>
    <w:p w14:paraId="082F8C1C">
      <w:pPr>
        <w:spacing w:line="244" w:lineRule="auto"/>
        <w:rPr>
          <w:rFonts w:ascii="Arial"/>
          <w:sz w:val="21"/>
        </w:rPr>
      </w:pPr>
    </w:p>
    <w:p w14:paraId="12BC1A87">
      <w:pPr>
        <w:spacing w:line="244" w:lineRule="auto"/>
        <w:rPr>
          <w:rFonts w:ascii="Arial"/>
          <w:sz w:val="21"/>
        </w:rPr>
      </w:pPr>
    </w:p>
    <w:p w14:paraId="06AD2B8D">
      <w:pPr>
        <w:spacing w:line="244" w:lineRule="auto"/>
        <w:rPr>
          <w:rFonts w:ascii="Arial"/>
          <w:sz w:val="21"/>
        </w:rPr>
      </w:pPr>
    </w:p>
    <w:p w14:paraId="047BA745">
      <w:pPr>
        <w:spacing w:line="244" w:lineRule="auto"/>
        <w:rPr>
          <w:rFonts w:ascii="Arial"/>
          <w:sz w:val="21"/>
        </w:rPr>
      </w:pPr>
    </w:p>
    <w:p w14:paraId="3C99AD37">
      <w:pPr>
        <w:spacing w:line="244" w:lineRule="auto"/>
        <w:rPr>
          <w:rFonts w:ascii="Arial"/>
          <w:sz w:val="21"/>
        </w:rPr>
      </w:pPr>
    </w:p>
    <w:p w14:paraId="4115E665">
      <w:pPr>
        <w:spacing w:line="244" w:lineRule="auto"/>
        <w:rPr>
          <w:rFonts w:ascii="Arial"/>
          <w:sz w:val="21"/>
        </w:rPr>
      </w:pPr>
    </w:p>
    <w:p w14:paraId="3D49AA40">
      <w:pPr>
        <w:spacing w:line="244" w:lineRule="auto"/>
        <w:rPr>
          <w:rFonts w:ascii="Arial"/>
          <w:sz w:val="21"/>
        </w:rPr>
      </w:pPr>
    </w:p>
    <w:p w14:paraId="670397A1">
      <w:pPr>
        <w:spacing w:line="244" w:lineRule="auto"/>
        <w:rPr>
          <w:rFonts w:ascii="Arial"/>
          <w:sz w:val="21"/>
        </w:rPr>
      </w:pPr>
    </w:p>
    <w:p w14:paraId="715738BA">
      <w:pPr>
        <w:spacing w:line="244" w:lineRule="auto"/>
        <w:rPr>
          <w:rFonts w:ascii="Arial"/>
          <w:sz w:val="21"/>
        </w:rPr>
      </w:pPr>
    </w:p>
    <w:p w14:paraId="3E350D9E">
      <w:pPr>
        <w:spacing w:line="244" w:lineRule="auto"/>
        <w:rPr>
          <w:rFonts w:ascii="Arial"/>
          <w:sz w:val="21"/>
        </w:rPr>
      </w:pPr>
    </w:p>
    <w:p w14:paraId="2323CC72">
      <w:pPr>
        <w:spacing w:line="244" w:lineRule="auto"/>
        <w:rPr>
          <w:rFonts w:ascii="Arial"/>
          <w:sz w:val="21"/>
        </w:rPr>
      </w:pPr>
    </w:p>
    <w:p w14:paraId="354F4ECD">
      <w:pPr>
        <w:spacing w:line="244" w:lineRule="auto"/>
        <w:rPr>
          <w:rFonts w:ascii="Arial"/>
          <w:sz w:val="21"/>
        </w:rPr>
      </w:pPr>
    </w:p>
    <w:p w14:paraId="00B01D8F">
      <w:pPr>
        <w:spacing w:line="244" w:lineRule="auto"/>
        <w:rPr>
          <w:rFonts w:ascii="Arial"/>
          <w:sz w:val="21"/>
        </w:rPr>
      </w:pPr>
    </w:p>
    <w:p w14:paraId="5931806F">
      <w:pPr>
        <w:spacing w:line="244" w:lineRule="auto"/>
        <w:rPr>
          <w:rFonts w:ascii="Arial"/>
          <w:sz w:val="21"/>
        </w:rPr>
      </w:pPr>
    </w:p>
    <w:p w14:paraId="581B7D93">
      <w:pPr>
        <w:spacing w:line="244" w:lineRule="auto"/>
        <w:rPr>
          <w:rFonts w:ascii="Arial"/>
          <w:sz w:val="21"/>
        </w:rPr>
      </w:pPr>
    </w:p>
    <w:p w14:paraId="0BBF7C13">
      <w:pPr>
        <w:spacing w:line="244" w:lineRule="auto"/>
        <w:rPr>
          <w:rFonts w:ascii="Arial"/>
          <w:sz w:val="21"/>
        </w:rPr>
      </w:pPr>
    </w:p>
    <w:p w14:paraId="38D4528B">
      <w:pPr>
        <w:spacing w:line="244" w:lineRule="auto"/>
        <w:rPr>
          <w:rFonts w:ascii="Arial"/>
          <w:sz w:val="21"/>
        </w:rPr>
      </w:pPr>
    </w:p>
    <w:p w14:paraId="0A4B859D">
      <w:pPr>
        <w:spacing w:line="244" w:lineRule="auto"/>
        <w:rPr>
          <w:rFonts w:ascii="Arial"/>
          <w:sz w:val="21"/>
        </w:rPr>
      </w:pPr>
    </w:p>
    <w:p w14:paraId="608D8FF2">
      <w:pPr>
        <w:spacing w:line="244" w:lineRule="auto"/>
        <w:rPr>
          <w:rFonts w:ascii="Arial"/>
          <w:sz w:val="21"/>
        </w:rPr>
      </w:pPr>
    </w:p>
    <w:p w14:paraId="36E32994">
      <w:pPr>
        <w:spacing w:line="244" w:lineRule="auto"/>
        <w:rPr>
          <w:rFonts w:ascii="Arial"/>
          <w:sz w:val="21"/>
        </w:rPr>
      </w:pPr>
    </w:p>
    <w:p w14:paraId="75DC9FDB">
      <w:pPr>
        <w:spacing w:line="244" w:lineRule="auto"/>
        <w:rPr>
          <w:rFonts w:ascii="Arial"/>
          <w:sz w:val="21"/>
        </w:rPr>
      </w:pPr>
    </w:p>
    <w:p w14:paraId="3539EFC3">
      <w:pPr>
        <w:spacing w:line="244" w:lineRule="auto"/>
        <w:rPr>
          <w:rFonts w:ascii="Arial"/>
          <w:sz w:val="21"/>
        </w:rPr>
      </w:pPr>
    </w:p>
    <w:p w14:paraId="75DAB146">
      <w:pPr>
        <w:spacing w:line="244" w:lineRule="auto"/>
        <w:rPr>
          <w:rFonts w:ascii="Arial"/>
          <w:sz w:val="21"/>
        </w:rPr>
      </w:pPr>
    </w:p>
    <w:p w14:paraId="02A41407">
      <w:pPr>
        <w:spacing w:line="244" w:lineRule="auto"/>
        <w:rPr>
          <w:rFonts w:ascii="Arial"/>
          <w:sz w:val="21"/>
        </w:rPr>
      </w:pPr>
    </w:p>
    <w:p w14:paraId="73751564">
      <w:pPr>
        <w:spacing w:line="244" w:lineRule="auto"/>
        <w:rPr>
          <w:rFonts w:ascii="Arial"/>
          <w:sz w:val="21"/>
        </w:rPr>
      </w:pPr>
    </w:p>
    <w:p w14:paraId="3E34F93E">
      <w:pPr>
        <w:spacing w:line="245" w:lineRule="auto"/>
        <w:rPr>
          <w:rFonts w:ascii="Arial"/>
          <w:sz w:val="21"/>
        </w:rPr>
      </w:pPr>
    </w:p>
    <w:p w14:paraId="50C8D04E">
      <w:pPr>
        <w:spacing w:line="245" w:lineRule="auto"/>
        <w:rPr>
          <w:rFonts w:ascii="Arial"/>
          <w:sz w:val="21"/>
        </w:rPr>
      </w:pPr>
    </w:p>
    <w:p w14:paraId="36DCC983">
      <w:pPr>
        <w:spacing w:line="245" w:lineRule="auto"/>
        <w:rPr>
          <w:rFonts w:ascii="Arial"/>
          <w:sz w:val="21"/>
        </w:rPr>
      </w:pPr>
    </w:p>
    <w:p w14:paraId="7F502407">
      <w:pPr>
        <w:spacing w:line="245" w:lineRule="auto"/>
        <w:rPr>
          <w:rFonts w:ascii="Arial"/>
          <w:sz w:val="21"/>
        </w:rPr>
      </w:pPr>
    </w:p>
    <w:p w14:paraId="15FE7CC8">
      <w:pPr>
        <w:spacing w:line="245" w:lineRule="auto"/>
        <w:rPr>
          <w:rFonts w:ascii="Arial"/>
          <w:sz w:val="21"/>
        </w:rPr>
      </w:pPr>
    </w:p>
    <w:p w14:paraId="653A21F4">
      <w:pPr>
        <w:spacing w:line="245" w:lineRule="auto"/>
        <w:rPr>
          <w:rFonts w:ascii="Arial"/>
          <w:sz w:val="21"/>
        </w:rPr>
      </w:pPr>
    </w:p>
    <w:p w14:paraId="63FF9C01">
      <w:pPr>
        <w:spacing w:line="245" w:lineRule="auto"/>
        <w:rPr>
          <w:rFonts w:ascii="Arial"/>
          <w:sz w:val="21"/>
        </w:rPr>
      </w:pPr>
    </w:p>
    <w:p w14:paraId="07ACE739">
      <w:pPr>
        <w:spacing w:line="245" w:lineRule="auto"/>
        <w:rPr>
          <w:rFonts w:ascii="Arial"/>
          <w:sz w:val="21"/>
        </w:rPr>
      </w:pPr>
    </w:p>
    <w:p w14:paraId="1A68F979">
      <w:pPr>
        <w:spacing w:line="245" w:lineRule="auto"/>
        <w:rPr>
          <w:rFonts w:ascii="Arial"/>
          <w:sz w:val="21"/>
        </w:rPr>
      </w:pPr>
    </w:p>
    <w:p w14:paraId="60A576A9">
      <w:pPr>
        <w:spacing w:line="245" w:lineRule="auto"/>
        <w:rPr>
          <w:rFonts w:ascii="Arial"/>
          <w:sz w:val="21"/>
        </w:rPr>
      </w:pPr>
    </w:p>
    <w:p w14:paraId="14BDC546">
      <w:pPr>
        <w:spacing w:line="245" w:lineRule="auto"/>
        <w:rPr>
          <w:rFonts w:ascii="Arial"/>
          <w:sz w:val="21"/>
        </w:rPr>
      </w:pPr>
    </w:p>
    <w:p w14:paraId="3204F41E">
      <w:pPr>
        <w:spacing w:line="245" w:lineRule="auto"/>
        <w:rPr>
          <w:rFonts w:ascii="Arial"/>
          <w:sz w:val="21"/>
        </w:rPr>
      </w:pPr>
    </w:p>
    <w:p w14:paraId="0A01BB26">
      <w:pPr>
        <w:spacing w:line="245" w:lineRule="auto"/>
        <w:rPr>
          <w:rFonts w:ascii="Arial"/>
          <w:sz w:val="21"/>
        </w:rPr>
      </w:pPr>
    </w:p>
    <w:p w14:paraId="78CF475D">
      <w:pPr>
        <w:spacing w:line="245" w:lineRule="auto"/>
        <w:rPr>
          <w:rFonts w:ascii="Arial"/>
          <w:sz w:val="21"/>
        </w:rPr>
      </w:pPr>
    </w:p>
    <w:p w14:paraId="48B2964A">
      <w:pPr>
        <w:spacing w:before="65" w:line="227" w:lineRule="auto"/>
        <w:ind w:left="6"/>
        <w:rPr>
          <w:rFonts w:ascii="宋体" w:hAnsi="宋体" w:eastAsia="宋体" w:cs="宋体"/>
          <w:sz w:val="20"/>
          <w:szCs w:val="20"/>
        </w:rPr>
      </w:pPr>
      <w:r>
        <w:rPr>
          <w:rFonts w:ascii="宋体" w:hAnsi="宋体" w:eastAsia="宋体" w:cs="宋体"/>
          <w:spacing w:val="5"/>
          <w:sz w:val="20"/>
          <w:szCs w:val="20"/>
        </w:rPr>
        <w:t>备注：1.</w:t>
      </w:r>
      <w:r>
        <w:rPr>
          <w:rFonts w:ascii="宋体" w:hAnsi="宋体" w:eastAsia="宋体" w:cs="宋体"/>
          <w:spacing w:val="51"/>
          <w:sz w:val="20"/>
          <w:szCs w:val="20"/>
        </w:rPr>
        <w:t xml:space="preserve"> </w:t>
      </w:r>
      <w:r>
        <w:rPr>
          <w:rFonts w:ascii="宋体" w:hAnsi="宋体" w:eastAsia="宋体" w:cs="宋体"/>
          <w:spacing w:val="5"/>
          <w:sz w:val="20"/>
          <w:szCs w:val="20"/>
        </w:rPr>
        <w:t>以下表格供招标人参考。</w:t>
      </w:r>
    </w:p>
    <w:p w14:paraId="38546881">
      <w:pPr>
        <w:spacing w:before="133" w:line="353" w:lineRule="auto"/>
        <w:ind w:left="952" w:hanging="318"/>
        <w:rPr>
          <w:rFonts w:ascii="宋体" w:hAnsi="宋体" w:eastAsia="宋体" w:cs="宋体"/>
          <w:sz w:val="20"/>
          <w:szCs w:val="20"/>
        </w:rPr>
      </w:pPr>
      <w:r>
        <w:rPr>
          <w:rFonts w:ascii="宋体" w:hAnsi="宋体" w:eastAsia="宋体" w:cs="宋体"/>
          <w:spacing w:val="7"/>
          <w:sz w:val="20"/>
          <w:szCs w:val="20"/>
        </w:rPr>
        <w:t>2.</w:t>
      </w:r>
      <w:r>
        <w:rPr>
          <w:rFonts w:ascii="宋体" w:hAnsi="宋体" w:eastAsia="宋体" w:cs="宋体"/>
          <w:spacing w:val="51"/>
          <w:sz w:val="20"/>
          <w:szCs w:val="20"/>
        </w:rPr>
        <w:t xml:space="preserve"> </w:t>
      </w:r>
      <w:r>
        <w:rPr>
          <w:rFonts w:ascii="宋体" w:hAnsi="宋体" w:eastAsia="宋体" w:cs="宋体"/>
          <w:spacing w:val="7"/>
          <w:sz w:val="20"/>
          <w:szCs w:val="20"/>
        </w:rPr>
        <w:t>以下表格中的单价应根据所选用计税方法不同进行调整。一般计税方法应为除税价格，</w:t>
      </w:r>
      <w:r>
        <w:rPr>
          <w:rFonts w:ascii="宋体" w:hAnsi="宋体" w:eastAsia="宋体" w:cs="宋体"/>
          <w:spacing w:val="8"/>
          <w:sz w:val="20"/>
          <w:szCs w:val="20"/>
        </w:rPr>
        <w:t>简易计税方法应为含税价格。</w:t>
      </w:r>
    </w:p>
    <w:p w14:paraId="2A3FB265">
      <w:pPr>
        <w:spacing w:line="353" w:lineRule="auto"/>
        <w:rPr>
          <w:rFonts w:ascii="宋体" w:hAnsi="宋体" w:eastAsia="宋体" w:cs="宋体"/>
          <w:sz w:val="20"/>
          <w:szCs w:val="20"/>
        </w:rPr>
        <w:sectPr>
          <w:footerReference r:id="rId444" w:type="default"/>
          <w:pgSz w:w="11907" w:h="16840"/>
          <w:pgMar w:top="400" w:right="1503" w:bottom="1105" w:left="1535" w:header="0" w:footer="943" w:gutter="0"/>
          <w:cols w:space="720" w:num="1"/>
        </w:sectPr>
      </w:pPr>
    </w:p>
    <w:p w14:paraId="4423059A">
      <w:pPr>
        <w:spacing w:line="271" w:lineRule="auto"/>
        <w:rPr>
          <w:rFonts w:ascii="Arial"/>
          <w:sz w:val="21"/>
        </w:rPr>
      </w:pPr>
    </w:p>
    <w:p w14:paraId="7F0C57EE">
      <w:pPr>
        <w:spacing w:line="271" w:lineRule="auto"/>
        <w:rPr>
          <w:rFonts w:ascii="Arial"/>
          <w:sz w:val="21"/>
        </w:rPr>
      </w:pPr>
    </w:p>
    <w:p w14:paraId="66EDBF5E">
      <w:pPr>
        <w:spacing w:line="271" w:lineRule="auto"/>
        <w:rPr>
          <w:rFonts w:ascii="Arial"/>
          <w:sz w:val="21"/>
        </w:rPr>
      </w:pPr>
    </w:p>
    <w:p w14:paraId="6F998745">
      <w:pPr>
        <w:spacing w:line="271" w:lineRule="auto"/>
        <w:rPr>
          <w:rFonts w:ascii="Arial"/>
          <w:sz w:val="21"/>
        </w:rPr>
      </w:pPr>
    </w:p>
    <w:p w14:paraId="44BE6F47">
      <w:pPr>
        <w:tabs>
          <w:tab w:val="left" w:pos="6592"/>
        </w:tabs>
        <w:spacing w:before="91" w:line="221" w:lineRule="auto"/>
        <w:ind w:left="1972"/>
        <w:rPr>
          <w:rFonts w:ascii="宋体" w:hAnsi="宋体" w:eastAsia="宋体" w:cs="宋体"/>
          <w:sz w:val="28"/>
          <w:szCs w:val="28"/>
        </w:rPr>
      </w:pPr>
      <w:bookmarkStart w:id="355" w:name="bookmark337"/>
      <w:bookmarkEnd w:id="355"/>
      <w:r>
        <w:rPr>
          <w:rFonts w:ascii="宋体" w:hAnsi="宋体" w:eastAsia="宋体" w:cs="宋体"/>
          <w:sz w:val="28"/>
          <w:szCs w:val="28"/>
          <w:u w:val="single" w:color="auto"/>
        </w:rPr>
        <w:tab/>
      </w:r>
      <w:r>
        <w:rPr>
          <w:rFonts w:ascii="宋体" w:hAnsi="宋体" w:eastAsia="宋体" w:cs="宋体"/>
          <w:spacing w:val="-124"/>
          <w:sz w:val="28"/>
          <w:szCs w:val="28"/>
        </w:rPr>
        <w:t xml:space="preserve"> </w:t>
      </w:r>
      <w:r>
        <w:rPr>
          <w:rFonts w:ascii="宋体" w:hAnsi="宋体" w:eastAsia="宋体" w:cs="宋体"/>
          <w:b/>
          <w:bCs/>
          <w:spacing w:val="-10"/>
          <w:sz w:val="28"/>
          <w:szCs w:val="28"/>
        </w:rPr>
        <w:t>工程</w:t>
      </w:r>
    </w:p>
    <w:p w14:paraId="1F2E0EB3">
      <w:pPr>
        <w:spacing w:line="266" w:lineRule="auto"/>
        <w:rPr>
          <w:rFonts w:ascii="Arial"/>
          <w:sz w:val="21"/>
        </w:rPr>
      </w:pPr>
    </w:p>
    <w:p w14:paraId="45028B5E">
      <w:pPr>
        <w:spacing w:line="266" w:lineRule="auto"/>
        <w:rPr>
          <w:rFonts w:ascii="Arial"/>
          <w:sz w:val="21"/>
        </w:rPr>
      </w:pPr>
    </w:p>
    <w:p w14:paraId="0857B5B6">
      <w:pPr>
        <w:spacing w:line="266" w:lineRule="auto"/>
        <w:rPr>
          <w:rFonts w:ascii="Arial"/>
          <w:sz w:val="21"/>
        </w:rPr>
      </w:pPr>
    </w:p>
    <w:p w14:paraId="1D8288F1">
      <w:pPr>
        <w:spacing w:line="266" w:lineRule="auto"/>
        <w:rPr>
          <w:rFonts w:ascii="Arial"/>
          <w:sz w:val="21"/>
        </w:rPr>
      </w:pPr>
    </w:p>
    <w:p w14:paraId="4A866E8F">
      <w:pPr>
        <w:spacing w:line="266" w:lineRule="auto"/>
        <w:rPr>
          <w:rFonts w:ascii="Arial"/>
          <w:sz w:val="21"/>
        </w:rPr>
      </w:pPr>
    </w:p>
    <w:p w14:paraId="75E19D9A">
      <w:pPr>
        <w:spacing w:line="266" w:lineRule="auto"/>
        <w:rPr>
          <w:rFonts w:ascii="Arial"/>
          <w:sz w:val="21"/>
        </w:rPr>
      </w:pPr>
    </w:p>
    <w:p w14:paraId="4DF1427F">
      <w:pPr>
        <w:spacing w:line="266" w:lineRule="auto"/>
        <w:rPr>
          <w:rFonts w:ascii="Arial"/>
          <w:sz w:val="21"/>
        </w:rPr>
      </w:pPr>
    </w:p>
    <w:p w14:paraId="6266375B">
      <w:pPr>
        <w:spacing w:line="267" w:lineRule="auto"/>
        <w:rPr>
          <w:rFonts w:ascii="Arial"/>
          <w:sz w:val="21"/>
        </w:rPr>
      </w:pPr>
    </w:p>
    <w:p w14:paraId="6C789F6D">
      <w:pPr>
        <w:pStyle w:val="2"/>
        <w:spacing w:before="114" w:line="227" w:lineRule="auto"/>
        <w:ind w:left="2979"/>
        <w:outlineLvl w:val="2"/>
        <w:rPr>
          <w:sz w:val="35"/>
          <w:szCs w:val="35"/>
        </w:rPr>
      </w:pPr>
      <w:r>
        <w:rPr>
          <w:spacing w:val="-2"/>
          <w:sz w:val="35"/>
          <w:szCs w:val="35"/>
        </w:rPr>
        <w:t>招 标</w:t>
      </w:r>
      <w:r>
        <w:rPr>
          <w:spacing w:val="23"/>
          <w:sz w:val="35"/>
          <w:szCs w:val="35"/>
        </w:rPr>
        <w:t xml:space="preserve"> </w:t>
      </w:r>
      <w:r>
        <w:rPr>
          <w:spacing w:val="-2"/>
          <w:sz w:val="35"/>
          <w:szCs w:val="35"/>
        </w:rPr>
        <w:t>工</w:t>
      </w:r>
      <w:r>
        <w:rPr>
          <w:spacing w:val="17"/>
          <w:sz w:val="35"/>
          <w:szCs w:val="35"/>
        </w:rPr>
        <w:t xml:space="preserve"> </w:t>
      </w:r>
      <w:r>
        <w:rPr>
          <w:spacing w:val="-2"/>
          <w:sz w:val="35"/>
          <w:szCs w:val="35"/>
        </w:rPr>
        <w:t>程</w:t>
      </w:r>
      <w:r>
        <w:rPr>
          <w:spacing w:val="24"/>
          <w:sz w:val="35"/>
          <w:szCs w:val="35"/>
        </w:rPr>
        <w:t xml:space="preserve"> </w:t>
      </w:r>
      <w:r>
        <w:rPr>
          <w:spacing w:val="-2"/>
          <w:sz w:val="35"/>
          <w:szCs w:val="35"/>
        </w:rPr>
        <w:t>量</w:t>
      </w:r>
      <w:r>
        <w:rPr>
          <w:spacing w:val="23"/>
          <w:sz w:val="35"/>
          <w:szCs w:val="35"/>
        </w:rPr>
        <w:t xml:space="preserve"> </w:t>
      </w:r>
      <w:r>
        <w:rPr>
          <w:spacing w:val="-2"/>
          <w:sz w:val="35"/>
          <w:szCs w:val="35"/>
        </w:rPr>
        <w:t>清</w:t>
      </w:r>
      <w:r>
        <w:rPr>
          <w:spacing w:val="29"/>
          <w:sz w:val="35"/>
          <w:szCs w:val="35"/>
        </w:rPr>
        <w:t xml:space="preserve"> </w:t>
      </w:r>
      <w:r>
        <w:rPr>
          <w:spacing w:val="-2"/>
          <w:sz w:val="35"/>
          <w:szCs w:val="35"/>
        </w:rPr>
        <w:t>单</w:t>
      </w:r>
    </w:p>
    <w:p w14:paraId="0034BF78">
      <w:pPr>
        <w:spacing w:line="249" w:lineRule="auto"/>
        <w:rPr>
          <w:rFonts w:ascii="Arial"/>
          <w:sz w:val="21"/>
        </w:rPr>
      </w:pPr>
    </w:p>
    <w:p w14:paraId="4D99E5BE">
      <w:pPr>
        <w:spacing w:line="249" w:lineRule="auto"/>
        <w:rPr>
          <w:rFonts w:ascii="Arial"/>
          <w:sz w:val="21"/>
        </w:rPr>
      </w:pPr>
    </w:p>
    <w:p w14:paraId="3838E1C0">
      <w:pPr>
        <w:spacing w:line="249" w:lineRule="auto"/>
        <w:rPr>
          <w:rFonts w:ascii="Arial"/>
          <w:sz w:val="21"/>
        </w:rPr>
      </w:pPr>
    </w:p>
    <w:p w14:paraId="209B0AD4">
      <w:pPr>
        <w:spacing w:line="249" w:lineRule="auto"/>
        <w:rPr>
          <w:rFonts w:ascii="Arial"/>
          <w:sz w:val="21"/>
        </w:rPr>
      </w:pPr>
    </w:p>
    <w:p w14:paraId="23A9C4BA">
      <w:pPr>
        <w:spacing w:line="249" w:lineRule="auto"/>
        <w:rPr>
          <w:rFonts w:ascii="Arial"/>
          <w:sz w:val="21"/>
        </w:rPr>
      </w:pPr>
    </w:p>
    <w:p w14:paraId="3A0FCBB0">
      <w:pPr>
        <w:spacing w:line="249" w:lineRule="auto"/>
        <w:rPr>
          <w:rFonts w:ascii="Arial"/>
          <w:sz w:val="21"/>
        </w:rPr>
      </w:pPr>
    </w:p>
    <w:p w14:paraId="3C5C86E2">
      <w:pPr>
        <w:spacing w:line="249" w:lineRule="auto"/>
        <w:rPr>
          <w:rFonts w:ascii="Arial"/>
          <w:sz w:val="21"/>
        </w:rPr>
      </w:pPr>
    </w:p>
    <w:p w14:paraId="0E304174">
      <w:pPr>
        <w:spacing w:line="249" w:lineRule="auto"/>
        <w:rPr>
          <w:rFonts w:ascii="Arial"/>
          <w:sz w:val="21"/>
        </w:rPr>
      </w:pPr>
    </w:p>
    <w:p w14:paraId="5D061986">
      <w:pPr>
        <w:spacing w:line="249" w:lineRule="auto"/>
        <w:rPr>
          <w:rFonts w:ascii="Arial"/>
          <w:sz w:val="21"/>
        </w:rPr>
      </w:pPr>
    </w:p>
    <w:p w14:paraId="5287E018">
      <w:pPr>
        <w:spacing w:line="249" w:lineRule="auto"/>
        <w:rPr>
          <w:rFonts w:ascii="Arial"/>
          <w:sz w:val="21"/>
        </w:rPr>
      </w:pPr>
    </w:p>
    <w:p w14:paraId="6ED5D2CB">
      <w:pPr>
        <w:spacing w:line="249" w:lineRule="auto"/>
        <w:rPr>
          <w:rFonts w:ascii="Arial"/>
          <w:sz w:val="21"/>
        </w:rPr>
      </w:pPr>
    </w:p>
    <w:p w14:paraId="4A0E746A">
      <w:pPr>
        <w:spacing w:line="249" w:lineRule="auto"/>
        <w:rPr>
          <w:rFonts w:ascii="Arial"/>
          <w:sz w:val="21"/>
        </w:rPr>
      </w:pPr>
    </w:p>
    <w:p w14:paraId="52F03D13">
      <w:pPr>
        <w:spacing w:line="249" w:lineRule="auto"/>
        <w:rPr>
          <w:rFonts w:ascii="Arial"/>
          <w:sz w:val="21"/>
        </w:rPr>
      </w:pPr>
    </w:p>
    <w:p w14:paraId="0B33AF5A">
      <w:pPr>
        <w:spacing w:line="249" w:lineRule="auto"/>
        <w:rPr>
          <w:rFonts w:ascii="Arial"/>
          <w:sz w:val="21"/>
        </w:rPr>
      </w:pPr>
    </w:p>
    <w:p w14:paraId="7AD589A2">
      <w:pPr>
        <w:spacing w:line="249" w:lineRule="auto"/>
        <w:rPr>
          <w:rFonts w:ascii="Arial"/>
          <w:sz w:val="21"/>
        </w:rPr>
      </w:pPr>
    </w:p>
    <w:p w14:paraId="02E0CC34">
      <w:pPr>
        <w:spacing w:line="249" w:lineRule="auto"/>
        <w:rPr>
          <w:rFonts w:ascii="Arial"/>
          <w:sz w:val="21"/>
        </w:rPr>
      </w:pPr>
    </w:p>
    <w:p w14:paraId="7971194B">
      <w:pPr>
        <w:spacing w:line="250" w:lineRule="auto"/>
        <w:rPr>
          <w:rFonts w:ascii="Arial"/>
          <w:sz w:val="21"/>
        </w:rPr>
      </w:pPr>
    </w:p>
    <w:p w14:paraId="48C46107">
      <w:pPr>
        <w:spacing w:before="78" w:line="199" w:lineRule="auto"/>
        <w:ind w:left="1926"/>
        <w:rPr>
          <w:rFonts w:ascii="宋体" w:hAnsi="宋体" w:eastAsia="宋体" w:cs="宋体"/>
          <w:sz w:val="24"/>
          <w:szCs w:val="24"/>
        </w:rPr>
      </w:pPr>
      <w:r>
        <w:rPr>
          <w:rFonts w:ascii="宋体" w:hAnsi="宋体" w:eastAsia="宋体" w:cs="宋体"/>
          <w:spacing w:val="-16"/>
          <w:sz w:val="24"/>
          <w:szCs w:val="24"/>
        </w:rPr>
        <w:t>招</w:t>
      </w:r>
      <w:r>
        <w:rPr>
          <w:rFonts w:ascii="宋体" w:hAnsi="宋体" w:eastAsia="宋体" w:cs="宋体"/>
          <w:spacing w:val="5"/>
          <w:sz w:val="24"/>
          <w:szCs w:val="24"/>
        </w:rPr>
        <w:t xml:space="preserve">  </w:t>
      </w:r>
      <w:r>
        <w:rPr>
          <w:rFonts w:ascii="宋体" w:hAnsi="宋体" w:eastAsia="宋体" w:cs="宋体"/>
          <w:spacing w:val="-16"/>
          <w:sz w:val="24"/>
          <w:szCs w:val="24"/>
        </w:rPr>
        <w:t>标</w:t>
      </w:r>
      <w:r>
        <w:rPr>
          <w:rFonts w:ascii="宋体" w:hAnsi="宋体" w:eastAsia="宋体" w:cs="宋体"/>
          <w:spacing w:val="6"/>
          <w:sz w:val="24"/>
          <w:szCs w:val="24"/>
        </w:rPr>
        <w:t xml:space="preserve">  </w:t>
      </w:r>
      <w:r>
        <w:rPr>
          <w:rFonts w:ascii="宋体" w:hAnsi="宋体" w:eastAsia="宋体" w:cs="宋体"/>
          <w:spacing w:val="-16"/>
          <w:sz w:val="24"/>
          <w:szCs w:val="24"/>
        </w:rPr>
        <w:t>人</w:t>
      </w:r>
      <w:r>
        <w:rPr>
          <w:rFonts w:ascii="宋体" w:hAnsi="宋体" w:eastAsia="宋体" w:cs="宋体"/>
          <w:spacing w:val="-90"/>
          <w:sz w:val="24"/>
          <w:szCs w:val="24"/>
        </w:rPr>
        <w:t xml:space="preserve"> </w:t>
      </w:r>
      <w:r>
        <w:rPr>
          <w:rFonts w:ascii="宋体" w:hAnsi="宋体" w:eastAsia="宋体" w:cs="宋体"/>
          <w:spacing w:val="-16"/>
          <w:sz w:val="24"/>
          <w:szCs w:val="24"/>
        </w:rPr>
        <w:t>：</w:t>
      </w:r>
      <w:r>
        <w:rPr>
          <w:rFonts w:ascii="宋体" w:hAnsi="宋体" w:eastAsia="宋体" w:cs="宋体"/>
          <w:sz w:val="24"/>
          <w:szCs w:val="24"/>
          <w:u w:val="single" w:color="auto"/>
        </w:rPr>
        <w:t xml:space="preserve">                          </w:t>
      </w:r>
    </w:p>
    <w:p w14:paraId="7A52862C">
      <w:pPr>
        <w:spacing w:line="218" w:lineRule="auto"/>
        <w:ind w:left="4096"/>
        <w:rPr>
          <w:rFonts w:ascii="宋体" w:hAnsi="宋体" w:eastAsia="宋体" w:cs="宋体"/>
          <w:sz w:val="24"/>
          <w:szCs w:val="24"/>
        </w:rPr>
      </w:pPr>
      <w:r>
        <w:rPr>
          <w:rFonts w:ascii="宋体" w:hAnsi="宋体" w:eastAsia="宋体" w:cs="宋体"/>
          <w:spacing w:val="-4"/>
          <w:sz w:val="24"/>
          <w:szCs w:val="24"/>
        </w:rPr>
        <w:t>（单位盖章）</w:t>
      </w:r>
    </w:p>
    <w:p w14:paraId="7F950C7B">
      <w:pPr>
        <w:spacing w:line="336" w:lineRule="auto"/>
        <w:rPr>
          <w:rFonts w:ascii="Arial"/>
          <w:sz w:val="21"/>
        </w:rPr>
      </w:pPr>
    </w:p>
    <w:p w14:paraId="0A0EF97A">
      <w:pPr>
        <w:spacing w:line="337" w:lineRule="auto"/>
        <w:rPr>
          <w:rFonts w:ascii="Arial"/>
          <w:sz w:val="21"/>
        </w:rPr>
      </w:pPr>
    </w:p>
    <w:p w14:paraId="0A000799">
      <w:pPr>
        <w:spacing w:before="78" w:line="199" w:lineRule="auto"/>
        <w:ind w:left="1924"/>
        <w:rPr>
          <w:rFonts w:ascii="宋体" w:hAnsi="宋体" w:eastAsia="宋体" w:cs="宋体"/>
          <w:sz w:val="24"/>
          <w:szCs w:val="24"/>
        </w:rPr>
      </w:pPr>
      <w:r>
        <w:rPr>
          <w:rFonts w:ascii="宋体" w:hAnsi="宋体" w:eastAsia="宋体" w:cs="宋体"/>
          <w:spacing w:val="-2"/>
          <w:sz w:val="24"/>
          <w:szCs w:val="24"/>
        </w:rPr>
        <w:t>造价咨询人：</w:t>
      </w:r>
      <w:r>
        <w:rPr>
          <w:rFonts w:ascii="宋体" w:hAnsi="宋体" w:eastAsia="宋体" w:cs="宋体"/>
          <w:sz w:val="24"/>
          <w:szCs w:val="24"/>
          <w:u w:val="single" w:color="auto"/>
        </w:rPr>
        <w:t xml:space="preserve">                          </w:t>
      </w:r>
    </w:p>
    <w:p w14:paraId="0275ABD9">
      <w:pPr>
        <w:spacing w:before="2" w:line="219" w:lineRule="auto"/>
        <w:ind w:left="4096"/>
        <w:rPr>
          <w:rFonts w:ascii="宋体" w:hAnsi="宋体" w:eastAsia="宋体" w:cs="宋体"/>
          <w:sz w:val="24"/>
          <w:szCs w:val="24"/>
        </w:rPr>
      </w:pPr>
      <w:r>
        <w:rPr>
          <w:rFonts w:ascii="宋体" w:hAnsi="宋体" w:eastAsia="宋体" w:cs="宋体"/>
          <w:spacing w:val="-4"/>
          <w:sz w:val="24"/>
          <w:szCs w:val="24"/>
        </w:rPr>
        <w:t>（单位盖章）</w:t>
      </w:r>
    </w:p>
    <w:p w14:paraId="36332C0D">
      <w:pPr>
        <w:spacing w:line="294" w:lineRule="auto"/>
        <w:rPr>
          <w:rFonts w:ascii="Arial"/>
          <w:sz w:val="21"/>
        </w:rPr>
      </w:pPr>
    </w:p>
    <w:p w14:paraId="2F176C66">
      <w:pPr>
        <w:spacing w:line="295" w:lineRule="auto"/>
        <w:rPr>
          <w:rFonts w:ascii="Arial"/>
          <w:sz w:val="21"/>
        </w:rPr>
      </w:pPr>
    </w:p>
    <w:p w14:paraId="0A78F430">
      <w:pPr>
        <w:spacing w:before="79" w:line="219" w:lineRule="auto"/>
        <w:ind w:left="3966"/>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3"/>
          <w:sz w:val="24"/>
          <w:szCs w:val="24"/>
        </w:rPr>
        <w:t xml:space="preserve">    </w:t>
      </w:r>
      <w:r>
        <w:rPr>
          <w:rFonts w:ascii="宋体" w:hAnsi="宋体" w:eastAsia="宋体" w:cs="宋体"/>
          <w:spacing w:val="-9"/>
          <w:sz w:val="24"/>
          <w:szCs w:val="24"/>
        </w:rPr>
        <w:t>月</w:t>
      </w:r>
      <w:r>
        <w:rPr>
          <w:rFonts w:ascii="宋体" w:hAnsi="宋体" w:eastAsia="宋体" w:cs="宋体"/>
          <w:spacing w:val="13"/>
          <w:sz w:val="24"/>
          <w:szCs w:val="24"/>
        </w:rPr>
        <w:t xml:space="preserve">    </w:t>
      </w:r>
      <w:r>
        <w:rPr>
          <w:rFonts w:ascii="宋体" w:hAnsi="宋体" w:eastAsia="宋体" w:cs="宋体"/>
          <w:spacing w:val="-9"/>
          <w:sz w:val="24"/>
          <w:szCs w:val="24"/>
        </w:rPr>
        <w:t>日</w:t>
      </w:r>
    </w:p>
    <w:p w14:paraId="0C272EDA">
      <w:pPr>
        <w:spacing w:line="219" w:lineRule="auto"/>
        <w:rPr>
          <w:rFonts w:ascii="宋体" w:hAnsi="宋体" w:eastAsia="宋体" w:cs="宋体"/>
          <w:sz w:val="24"/>
          <w:szCs w:val="24"/>
        </w:rPr>
        <w:sectPr>
          <w:headerReference r:id="rId445" w:type="default"/>
          <w:footerReference r:id="rId446" w:type="default"/>
          <w:pgSz w:w="11907" w:h="16840"/>
          <w:pgMar w:top="1838" w:right="1786" w:bottom="1105" w:left="1535" w:header="1469" w:footer="943" w:gutter="0"/>
          <w:cols w:space="720" w:num="1"/>
        </w:sectPr>
      </w:pPr>
    </w:p>
    <w:p w14:paraId="4C2A2986">
      <w:pPr>
        <w:spacing w:line="261" w:lineRule="auto"/>
        <w:rPr>
          <w:rFonts w:ascii="Arial"/>
          <w:sz w:val="21"/>
        </w:rPr>
      </w:pPr>
    </w:p>
    <w:p w14:paraId="09938608">
      <w:pPr>
        <w:spacing w:line="262" w:lineRule="auto"/>
        <w:rPr>
          <w:rFonts w:ascii="Arial"/>
          <w:sz w:val="21"/>
        </w:rPr>
      </w:pPr>
    </w:p>
    <w:p w14:paraId="73FAC841">
      <w:pPr>
        <w:spacing w:line="262" w:lineRule="auto"/>
        <w:rPr>
          <w:rFonts w:ascii="Arial"/>
          <w:sz w:val="21"/>
        </w:rPr>
      </w:pPr>
    </w:p>
    <w:p w14:paraId="6722859C">
      <w:pPr>
        <w:spacing w:line="262" w:lineRule="auto"/>
        <w:rPr>
          <w:rFonts w:ascii="Arial"/>
          <w:sz w:val="21"/>
        </w:rPr>
      </w:pPr>
    </w:p>
    <w:p w14:paraId="67BFC5B7">
      <w:pPr>
        <w:pStyle w:val="2"/>
        <w:spacing w:before="78" w:line="222" w:lineRule="auto"/>
        <w:outlineLvl w:val="2"/>
        <w:rPr>
          <w:sz w:val="24"/>
          <w:szCs w:val="24"/>
        </w:rPr>
      </w:pPr>
      <w:r>
        <w:rPr>
          <w:rFonts w:ascii="Times New Roman" w:hAnsi="Times New Roman" w:eastAsia="Times New Roman" w:cs="Times New Roman"/>
          <w:spacing w:val="-1"/>
          <w:sz w:val="24"/>
          <w:szCs w:val="24"/>
        </w:rPr>
        <w:t xml:space="preserve">4.2 </w:t>
      </w:r>
      <w:r>
        <w:rPr>
          <w:spacing w:val="-1"/>
          <w:sz w:val="24"/>
          <w:szCs w:val="24"/>
        </w:rPr>
        <w:t>招标工程量清单扉页</w:t>
      </w:r>
    </w:p>
    <w:p w14:paraId="1522FD9E">
      <w:pPr>
        <w:spacing w:line="270" w:lineRule="auto"/>
        <w:rPr>
          <w:rFonts w:ascii="Arial"/>
          <w:sz w:val="21"/>
        </w:rPr>
      </w:pPr>
    </w:p>
    <w:p w14:paraId="06ED543B">
      <w:pPr>
        <w:spacing w:line="270" w:lineRule="auto"/>
        <w:rPr>
          <w:rFonts w:ascii="Arial"/>
          <w:sz w:val="21"/>
        </w:rPr>
      </w:pPr>
    </w:p>
    <w:p w14:paraId="1CC9BD64">
      <w:pPr>
        <w:spacing w:line="271" w:lineRule="auto"/>
        <w:rPr>
          <w:rFonts w:ascii="Arial"/>
          <w:sz w:val="21"/>
        </w:rPr>
      </w:pPr>
    </w:p>
    <w:p w14:paraId="5BB5C00D">
      <w:pPr>
        <w:tabs>
          <w:tab w:val="left" w:pos="6715"/>
        </w:tabs>
        <w:spacing w:before="65" w:line="228" w:lineRule="auto"/>
        <w:ind w:left="2095"/>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8"/>
          <w:sz w:val="20"/>
          <w:szCs w:val="20"/>
        </w:rPr>
        <w:t xml:space="preserve"> </w:t>
      </w:r>
      <w:r>
        <w:rPr>
          <w:rFonts w:ascii="宋体" w:hAnsi="宋体" w:eastAsia="宋体" w:cs="宋体"/>
          <w:b/>
          <w:bCs/>
          <w:spacing w:val="2"/>
          <w:sz w:val="20"/>
          <w:szCs w:val="20"/>
        </w:rPr>
        <w:t>工程</w:t>
      </w:r>
    </w:p>
    <w:p w14:paraId="748E636C">
      <w:pPr>
        <w:spacing w:line="347" w:lineRule="auto"/>
        <w:rPr>
          <w:rFonts w:ascii="Arial"/>
          <w:sz w:val="21"/>
        </w:rPr>
      </w:pPr>
    </w:p>
    <w:p w14:paraId="2DF3F483">
      <w:pPr>
        <w:spacing w:line="348" w:lineRule="auto"/>
        <w:rPr>
          <w:rFonts w:ascii="Arial"/>
          <w:sz w:val="21"/>
        </w:rPr>
      </w:pPr>
    </w:p>
    <w:p w14:paraId="5270C8C4">
      <w:pPr>
        <w:pStyle w:val="2"/>
        <w:spacing w:before="101" w:line="227" w:lineRule="auto"/>
        <w:ind w:left="3136"/>
        <w:rPr>
          <w:sz w:val="31"/>
          <w:szCs w:val="31"/>
        </w:rPr>
      </w:pPr>
      <w:bookmarkStart w:id="356" w:name="bookmark338"/>
      <w:bookmarkEnd w:id="356"/>
      <w:r>
        <w:rPr>
          <w:spacing w:val="-2"/>
          <w:sz w:val="31"/>
          <w:szCs w:val="31"/>
        </w:rPr>
        <w:t>招 标</w:t>
      </w:r>
      <w:r>
        <w:rPr>
          <w:spacing w:val="26"/>
          <w:sz w:val="31"/>
          <w:szCs w:val="31"/>
        </w:rPr>
        <w:t xml:space="preserve"> </w:t>
      </w:r>
      <w:r>
        <w:rPr>
          <w:spacing w:val="-2"/>
          <w:sz w:val="31"/>
          <w:szCs w:val="31"/>
        </w:rPr>
        <w:t>工</w:t>
      </w:r>
      <w:r>
        <w:rPr>
          <w:spacing w:val="17"/>
          <w:sz w:val="31"/>
          <w:szCs w:val="31"/>
        </w:rPr>
        <w:t xml:space="preserve"> </w:t>
      </w:r>
      <w:r>
        <w:rPr>
          <w:spacing w:val="-2"/>
          <w:sz w:val="31"/>
          <w:szCs w:val="31"/>
        </w:rPr>
        <w:t>程</w:t>
      </w:r>
      <w:r>
        <w:rPr>
          <w:spacing w:val="22"/>
          <w:sz w:val="31"/>
          <w:szCs w:val="31"/>
        </w:rPr>
        <w:t xml:space="preserve"> </w:t>
      </w:r>
      <w:r>
        <w:rPr>
          <w:spacing w:val="-2"/>
          <w:sz w:val="31"/>
          <w:szCs w:val="31"/>
        </w:rPr>
        <w:t>量</w:t>
      </w:r>
      <w:r>
        <w:rPr>
          <w:spacing w:val="22"/>
          <w:sz w:val="31"/>
          <w:szCs w:val="31"/>
        </w:rPr>
        <w:t xml:space="preserve"> </w:t>
      </w:r>
      <w:r>
        <w:rPr>
          <w:spacing w:val="-2"/>
          <w:sz w:val="31"/>
          <w:szCs w:val="31"/>
        </w:rPr>
        <w:t>清</w:t>
      </w:r>
      <w:r>
        <w:rPr>
          <w:spacing w:val="27"/>
          <w:sz w:val="31"/>
          <w:szCs w:val="31"/>
        </w:rPr>
        <w:t xml:space="preserve"> </w:t>
      </w:r>
      <w:r>
        <w:rPr>
          <w:spacing w:val="-2"/>
          <w:sz w:val="31"/>
          <w:szCs w:val="31"/>
        </w:rPr>
        <w:t>单</w:t>
      </w:r>
    </w:p>
    <w:p w14:paraId="61892673">
      <w:pPr>
        <w:spacing w:line="266" w:lineRule="auto"/>
        <w:rPr>
          <w:rFonts w:ascii="Arial"/>
          <w:sz w:val="21"/>
        </w:rPr>
      </w:pPr>
    </w:p>
    <w:p w14:paraId="3F6433DA">
      <w:pPr>
        <w:spacing w:line="266" w:lineRule="auto"/>
        <w:rPr>
          <w:rFonts w:ascii="Arial"/>
          <w:sz w:val="21"/>
        </w:rPr>
      </w:pPr>
    </w:p>
    <w:p w14:paraId="0994B454">
      <w:pPr>
        <w:spacing w:line="266" w:lineRule="auto"/>
        <w:rPr>
          <w:rFonts w:ascii="Arial"/>
          <w:sz w:val="21"/>
        </w:rPr>
      </w:pPr>
    </w:p>
    <w:p w14:paraId="0B11F65C">
      <w:pPr>
        <w:spacing w:line="266" w:lineRule="auto"/>
        <w:rPr>
          <w:rFonts w:ascii="Arial"/>
          <w:sz w:val="21"/>
        </w:rPr>
      </w:pPr>
    </w:p>
    <w:p w14:paraId="5938D6D3">
      <w:pPr>
        <w:spacing w:line="266" w:lineRule="auto"/>
        <w:rPr>
          <w:rFonts w:ascii="Arial"/>
          <w:sz w:val="21"/>
        </w:rPr>
      </w:pPr>
    </w:p>
    <w:p w14:paraId="7F6E65AF">
      <w:pPr>
        <w:spacing w:line="266" w:lineRule="auto"/>
        <w:rPr>
          <w:rFonts w:ascii="Arial"/>
          <w:sz w:val="21"/>
        </w:rPr>
      </w:pPr>
    </w:p>
    <w:p w14:paraId="0E5217F1">
      <w:pPr>
        <w:spacing w:line="266" w:lineRule="auto"/>
        <w:rPr>
          <w:rFonts w:ascii="Arial"/>
          <w:sz w:val="21"/>
        </w:rPr>
      </w:pPr>
    </w:p>
    <w:p w14:paraId="4054C02E">
      <w:pPr>
        <w:spacing w:line="267" w:lineRule="auto"/>
        <w:rPr>
          <w:rFonts w:ascii="Arial"/>
          <w:sz w:val="21"/>
        </w:rPr>
      </w:pPr>
    </w:p>
    <w:p w14:paraId="5AA25B1A">
      <w:pPr>
        <w:spacing w:line="267" w:lineRule="auto"/>
        <w:rPr>
          <w:rFonts w:ascii="Arial"/>
          <w:sz w:val="21"/>
        </w:rPr>
      </w:pPr>
    </w:p>
    <w:p w14:paraId="6BDCACBF">
      <w:pPr>
        <w:spacing w:before="65" w:line="226" w:lineRule="auto"/>
        <w:ind w:left="5"/>
        <w:rPr>
          <w:rFonts w:ascii="宋体" w:hAnsi="宋体" w:eastAsia="宋体" w:cs="宋体"/>
          <w:sz w:val="20"/>
          <w:szCs w:val="20"/>
        </w:rPr>
      </w:pPr>
      <w:r>
        <w:rPr>
          <w:rFonts w:ascii="宋体" w:hAnsi="宋体" w:eastAsia="宋体" w:cs="宋体"/>
          <w:spacing w:val="4"/>
          <w:sz w:val="20"/>
          <w:szCs w:val="20"/>
        </w:rPr>
        <w:t>招标人：</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造价咨询人：</w:t>
      </w:r>
      <w:r>
        <w:rPr>
          <w:rFonts w:ascii="宋体" w:hAnsi="宋体" w:eastAsia="宋体" w:cs="宋体"/>
          <w:spacing w:val="4"/>
          <w:sz w:val="20"/>
          <w:szCs w:val="20"/>
          <w:u w:val="single" w:color="auto"/>
        </w:rPr>
        <w:t xml:space="preserve">                           </w:t>
      </w:r>
    </w:p>
    <w:p w14:paraId="584413B8">
      <w:pPr>
        <w:spacing w:before="14" w:line="227" w:lineRule="auto"/>
        <w:ind w:left="1588"/>
        <w:rPr>
          <w:rFonts w:ascii="宋体" w:hAnsi="宋体" w:eastAsia="宋体" w:cs="宋体"/>
          <w:sz w:val="20"/>
          <w:szCs w:val="20"/>
        </w:rPr>
      </w:pPr>
      <w:r>
        <w:rPr>
          <w:rFonts w:ascii="宋体" w:hAnsi="宋体" w:eastAsia="宋体" w:cs="宋体"/>
          <w:spacing w:val="9"/>
          <w:sz w:val="20"/>
          <w:szCs w:val="20"/>
        </w:rPr>
        <w:t>（单位盖章</w:t>
      </w:r>
      <w:r>
        <w:rPr>
          <w:rFonts w:ascii="宋体" w:hAnsi="宋体" w:eastAsia="宋体" w:cs="宋体"/>
          <w:spacing w:val="-8"/>
          <w:sz w:val="20"/>
          <w:szCs w:val="20"/>
        </w:rPr>
        <w:t>）</w:t>
      </w:r>
      <w:r>
        <w:rPr>
          <w:rFonts w:ascii="宋体" w:hAnsi="宋体" w:eastAsia="宋体" w:cs="宋体"/>
          <w:spacing w:val="2"/>
          <w:sz w:val="20"/>
          <w:szCs w:val="20"/>
        </w:rPr>
        <w:t xml:space="preserve">                              </w:t>
      </w:r>
      <w:r>
        <w:rPr>
          <w:rFonts w:ascii="宋体" w:hAnsi="宋体" w:eastAsia="宋体" w:cs="宋体"/>
          <w:spacing w:val="-8"/>
          <w:sz w:val="20"/>
          <w:szCs w:val="20"/>
        </w:rPr>
        <w:t>（</w:t>
      </w:r>
      <w:r>
        <w:rPr>
          <w:rFonts w:ascii="宋体" w:hAnsi="宋体" w:eastAsia="宋体" w:cs="宋体"/>
          <w:spacing w:val="9"/>
          <w:sz w:val="20"/>
          <w:szCs w:val="20"/>
        </w:rPr>
        <w:t>单位资质专用章）</w:t>
      </w:r>
    </w:p>
    <w:p w14:paraId="5915E011">
      <w:pPr>
        <w:spacing w:line="282" w:lineRule="auto"/>
        <w:rPr>
          <w:rFonts w:ascii="Arial"/>
          <w:sz w:val="21"/>
        </w:rPr>
      </w:pPr>
    </w:p>
    <w:p w14:paraId="551BDC30">
      <w:pPr>
        <w:spacing w:line="282" w:lineRule="auto"/>
        <w:rPr>
          <w:rFonts w:ascii="Arial"/>
          <w:sz w:val="21"/>
        </w:rPr>
      </w:pPr>
    </w:p>
    <w:p w14:paraId="0B6AF22F">
      <w:pPr>
        <w:spacing w:line="282" w:lineRule="auto"/>
        <w:rPr>
          <w:rFonts w:ascii="Arial"/>
          <w:sz w:val="21"/>
        </w:rPr>
      </w:pPr>
    </w:p>
    <w:p w14:paraId="5E63CE82">
      <w:pPr>
        <w:spacing w:line="283" w:lineRule="auto"/>
        <w:rPr>
          <w:rFonts w:ascii="Arial"/>
          <w:sz w:val="21"/>
        </w:rPr>
      </w:pPr>
    </w:p>
    <w:p w14:paraId="386B7A0B">
      <w:pPr>
        <w:spacing w:line="283" w:lineRule="auto"/>
        <w:rPr>
          <w:rFonts w:ascii="Arial"/>
          <w:sz w:val="21"/>
        </w:rPr>
      </w:pPr>
    </w:p>
    <w:p w14:paraId="40975DCC">
      <w:pPr>
        <w:spacing w:before="65" w:line="228" w:lineRule="auto"/>
        <w:ind w:left="5"/>
        <w:rPr>
          <w:rFonts w:ascii="宋体" w:hAnsi="宋体" w:eastAsia="宋体" w:cs="宋体"/>
          <w:sz w:val="20"/>
          <w:szCs w:val="20"/>
        </w:rPr>
      </w:pPr>
      <w:r>
        <w:rPr>
          <w:rFonts w:ascii="宋体" w:hAnsi="宋体" w:eastAsia="宋体" w:cs="宋体"/>
          <w:spacing w:val="6"/>
          <w:sz w:val="20"/>
          <w:szCs w:val="20"/>
        </w:rPr>
        <w:t>法定代表人                            法定代表人</w:t>
      </w:r>
    </w:p>
    <w:p w14:paraId="3EBD1DF3">
      <w:pPr>
        <w:spacing w:line="228" w:lineRule="auto"/>
        <w:ind w:left="6"/>
        <w:rPr>
          <w:rFonts w:ascii="宋体" w:hAnsi="宋体" w:eastAsia="宋体" w:cs="宋体"/>
          <w:sz w:val="20"/>
          <w:szCs w:val="20"/>
        </w:rPr>
      </w:pPr>
      <w:r>
        <w:rPr>
          <w:rFonts w:ascii="宋体" w:hAnsi="宋体" w:eastAsia="宋体" w:cs="宋体"/>
          <w:spacing w:val="4"/>
          <w:sz w:val="20"/>
          <w:szCs w:val="20"/>
        </w:rPr>
        <w:t>或其授权人：</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或其授权人：</w:t>
      </w:r>
      <w:r>
        <w:rPr>
          <w:rFonts w:ascii="宋体" w:hAnsi="宋体" w:eastAsia="宋体" w:cs="宋体"/>
          <w:spacing w:val="4"/>
          <w:sz w:val="20"/>
          <w:szCs w:val="20"/>
          <w:u w:val="single" w:color="auto"/>
        </w:rPr>
        <w:t xml:space="preserve">                           </w:t>
      </w:r>
    </w:p>
    <w:p w14:paraId="3A7D6BF3">
      <w:pPr>
        <w:spacing w:before="15" w:line="227" w:lineRule="auto"/>
        <w:ind w:left="1588"/>
        <w:rPr>
          <w:rFonts w:ascii="宋体" w:hAnsi="宋体" w:eastAsia="宋体" w:cs="宋体"/>
          <w:sz w:val="20"/>
          <w:szCs w:val="20"/>
        </w:rPr>
      </w:pPr>
      <w:r>
        <w:rPr>
          <w:rFonts w:ascii="宋体" w:hAnsi="宋体" w:eastAsia="宋体" w:cs="宋体"/>
          <w:spacing w:val="10"/>
          <w:sz w:val="20"/>
          <w:szCs w:val="20"/>
        </w:rPr>
        <w:t>（签字或盖章</w:t>
      </w:r>
      <w:r>
        <w:rPr>
          <w:rFonts w:ascii="宋体" w:hAnsi="宋体" w:eastAsia="宋体" w:cs="宋体"/>
          <w:spacing w:val="-14"/>
          <w:sz w:val="20"/>
          <w:szCs w:val="20"/>
        </w:rPr>
        <w:t>）</w:t>
      </w:r>
      <w:r>
        <w:rPr>
          <w:rFonts w:ascii="宋体" w:hAnsi="宋体" w:eastAsia="宋体" w:cs="宋体"/>
          <w:spacing w:val="2"/>
          <w:sz w:val="20"/>
          <w:szCs w:val="20"/>
        </w:rPr>
        <w:t xml:space="preserve">                           </w:t>
      </w:r>
      <w:r>
        <w:rPr>
          <w:rFonts w:ascii="宋体" w:hAnsi="宋体" w:eastAsia="宋体" w:cs="宋体"/>
          <w:spacing w:val="1"/>
          <w:sz w:val="20"/>
          <w:szCs w:val="20"/>
        </w:rPr>
        <w:t xml:space="preserve">  </w:t>
      </w:r>
      <w:r>
        <w:rPr>
          <w:rFonts w:ascii="宋体" w:hAnsi="宋体" w:eastAsia="宋体" w:cs="宋体"/>
          <w:spacing w:val="-14"/>
          <w:sz w:val="20"/>
          <w:szCs w:val="20"/>
        </w:rPr>
        <w:t>（</w:t>
      </w:r>
      <w:r>
        <w:rPr>
          <w:rFonts w:ascii="宋体" w:hAnsi="宋体" w:eastAsia="宋体" w:cs="宋体"/>
          <w:spacing w:val="10"/>
          <w:sz w:val="20"/>
          <w:szCs w:val="20"/>
        </w:rPr>
        <w:t>签字或盖章）</w:t>
      </w:r>
    </w:p>
    <w:p w14:paraId="1EBCAAB1">
      <w:pPr>
        <w:spacing w:line="243" w:lineRule="auto"/>
        <w:rPr>
          <w:rFonts w:ascii="Arial"/>
          <w:sz w:val="21"/>
        </w:rPr>
      </w:pPr>
    </w:p>
    <w:p w14:paraId="01D1B100">
      <w:pPr>
        <w:spacing w:line="243" w:lineRule="auto"/>
        <w:rPr>
          <w:rFonts w:ascii="Arial"/>
          <w:sz w:val="21"/>
        </w:rPr>
      </w:pPr>
    </w:p>
    <w:p w14:paraId="70A265C7">
      <w:pPr>
        <w:spacing w:line="243" w:lineRule="auto"/>
        <w:rPr>
          <w:rFonts w:ascii="Arial"/>
          <w:sz w:val="21"/>
        </w:rPr>
      </w:pPr>
    </w:p>
    <w:p w14:paraId="151F7FC8">
      <w:pPr>
        <w:spacing w:line="243" w:lineRule="auto"/>
        <w:rPr>
          <w:rFonts w:ascii="Arial"/>
          <w:sz w:val="21"/>
        </w:rPr>
      </w:pPr>
    </w:p>
    <w:p w14:paraId="5038F527">
      <w:pPr>
        <w:spacing w:line="243" w:lineRule="auto"/>
        <w:rPr>
          <w:rFonts w:ascii="Arial"/>
          <w:sz w:val="21"/>
        </w:rPr>
      </w:pPr>
    </w:p>
    <w:p w14:paraId="49249392">
      <w:pPr>
        <w:spacing w:line="243" w:lineRule="auto"/>
        <w:rPr>
          <w:rFonts w:ascii="Arial"/>
          <w:sz w:val="21"/>
        </w:rPr>
      </w:pPr>
    </w:p>
    <w:p w14:paraId="2C91E8D9">
      <w:pPr>
        <w:spacing w:before="65" w:line="228" w:lineRule="auto"/>
        <w:ind w:left="5"/>
        <w:rPr>
          <w:rFonts w:ascii="宋体" w:hAnsi="宋体" w:eastAsia="宋体" w:cs="宋体"/>
          <w:sz w:val="20"/>
          <w:szCs w:val="20"/>
        </w:rPr>
      </w:pPr>
      <w:r>
        <w:rPr>
          <w:rFonts w:ascii="宋体" w:hAnsi="宋体" w:eastAsia="宋体" w:cs="宋体"/>
          <w:spacing w:val="4"/>
          <w:sz w:val="20"/>
          <w:szCs w:val="20"/>
        </w:rPr>
        <w:t>编制人：</w:t>
      </w:r>
      <w:r>
        <w:rPr>
          <w:rFonts w:ascii="宋体" w:hAnsi="宋体" w:eastAsia="宋体" w:cs="宋体"/>
          <w:spacing w:val="4"/>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4"/>
          <w:sz w:val="20"/>
          <w:szCs w:val="20"/>
        </w:rPr>
        <w:t>复核人：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23A62A86">
      <w:pPr>
        <w:spacing w:before="15" w:line="226" w:lineRule="auto"/>
        <w:ind w:left="1063"/>
        <w:rPr>
          <w:rFonts w:ascii="宋体" w:hAnsi="宋体" w:eastAsia="宋体" w:cs="宋体"/>
          <w:sz w:val="20"/>
          <w:szCs w:val="20"/>
        </w:rPr>
      </w:pPr>
      <w:r>
        <w:rPr>
          <w:rFonts w:ascii="宋体" w:hAnsi="宋体" w:eastAsia="宋体" w:cs="宋体"/>
          <w:spacing w:val="10"/>
          <w:sz w:val="20"/>
          <w:szCs w:val="20"/>
        </w:rPr>
        <w:t>（造价人员签字盖专用章</w:t>
      </w:r>
      <w:r>
        <w:rPr>
          <w:rFonts w:ascii="宋体" w:hAnsi="宋体" w:eastAsia="宋体" w:cs="宋体"/>
          <w:spacing w:val="-13"/>
          <w:sz w:val="20"/>
          <w:szCs w:val="20"/>
        </w:rPr>
        <w:t>）</w:t>
      </w:r>
      <w:r>
        <w:rPr>
          <w:rFonts w:ascii="宋体" w:hAnsi="宋体" w:eastAsia="宋体" w:cs="宋体"/>
          <w:sz w:val="20"/>
          <w:szCs w:val="20"/>
        </w:rPr>
        <w:t xml:space="preserve">                    </w:t>
      </w:r>
      <w:r>
        <w:rPr>
          <w:rFonts w:ascii="宋体" w:hAnsi="宋体" w:eastAsia="宋体" w:cs="宋体"/>
          <w:spacing w:val="-13"/>
          <w:sz w:val="20"/>
          <w:szCs w:val="20"/>
        </w:rPr>
        <w:t>（</w:t>
      </w:r>
      <w:r>
        <w:rPr>
          <w:rFonts w:ascii="宋体" w:hAnsi="宋体" w:eastAsia="宋体" w:cs="宋体"/>
          <w:spacing w:val="10"/>
          <w:sz w:val="20"/>
          <w:szCs w:val="20"/>
        </w:rPr>
        <w:t>造价工程师签字盖专用</w:t>
      </w:r>
      <w:r>
        <w:rPr>
          <w:rFonts w:ascii="宋体" w:hAnsi="宋体" w:eastAsia="宋体" w:cs="宋体"/>
          <w:spacing w:val="9"/>
          <w:sz w:val="20"/>
          <w:szCs w:val="20"/>
        </w:rPr>
        <w:t>章）</w:t>
      </w:r>
    </w:p>
    <w:p w14:paraId="7765D756">
      <w:pPr>
        <w:spacing w:line="271" w:lineRule="auto"/>
        <w:rPr>
          <w:rFonts w:ascii="Arial"/>
          <w:sz w:val="21"/>
        </w:rPr>
      </w:pPr>
    </w:p>
    <w:p w14:paraId="2DA06D36">
      <w:pPr>
        <w:spacing w:line="271" w:lineRule="auto"/>
        <w:rPr>
          <w:rFonts w:ascii="Arial"/>
          <w:sz w:val="21"/>
        </w:rPr>
      </w:pPr>
    </w:p>
    <w:p w14:paraId="31278029">
      <w:pPr>
        <w:spacing w:line="271" w:lineRule="auto"/>
        <w:rPr>
          <w:rFonts w:ascii="Arial"/>
          <w:sz w:val="21"/>
        </w:rPr>
      </w:pPr>
    </w:p>
    <w:p w14:paraId="2DBE0EE2">
      <w:pPr>
        <w:spacing w:line="271" w:lineRule="auto"/>
        <w:rPr>
          <w:rFonts w:ascii="Arial"/>
          <w:sz w:val="21"/>
        </w:rPr>
      </w:pPr>
    </w:p>
    <w:p w14:paraId="64154F19">
      <w:pPr>
        <w:spacing w:line="272" w:lineRule="auto"/>
        <w:rPr>
          <w:rFonts w:ascii="Arial"/>
          <w:sz w:val="21"/>
        </w:rPr>
      </w:pPr>
    </w:p>
    <w:p w14:paraId="5EF2C21A">
      <w:pPr>
        <w:spacing w:before="66" w:line="228" w:lineRule="auto"/>
        <w:ind w:left="5"/>
        <w:rPr>
          <w:rFonts w:ascii="宋体" w:hAnsi="宋体" w:eastAsia="宋体" w:cs="宋体"/>
          <w:sz w:val="20"/>
          <w:szCs w:val="20"/>
        </w:rPr>
      </w:pPr>
      <w:r>
        <w:rPr>
          <w:rFonts w:ascii="宋体" w:hAnsi="宋体" w:eastAsia="宋体" w:cs="宋体"/>
          <w:spacing w:val="2"/>
          <w:sz w:val="20"/>
          <w:szCs w:val="20"/>
        </w:rPr>
        <w:t>编制时间：</w:t>
      </w:r>
      <w:r>
        <w:rPr>
          <w:rFonts w:ascii="宋体" w:hAnsi="宋体" w:eastAsia="宋体" w:cs="宋体"/>
          <w:spacing w:val="10"/>
          <w:sz w:val="20"/>
          <w:szCs w:val="20"/>
        </w:rPr>
        <w:t xml:space="preserve">    </w:t>
      </w:r>
      <w:r>
        <w:rPr>
          <w:rFonts w:ascii="宋体" w:hAnsi="宋体" w:eastAsia="宋体" w:cs="宋体"/>
          <w:spacing w:val="2"/>
          <w:sz w:val="20"/>
          <w:szCs w:val="20"/>
        </w:rPr>
        <w:t>年</w:t>
      </w:r>
      <w:r>
        <w:rPr>
          <w:rFonts w:ascii="宋体" w:hAnsi="宋体" w:eastAsia="宋体" w:cs="宋体"/>
          <w:spacing w:val="8"/>
          <w:sz w:val="20"/>
          <w:szCs w:val="20"/>
        </w:rPr>
        <w:t xml:space="preserve">    </w:t>
      </w:r>
      <w:r>
        <w:rPr>
          <w:rFonts w:ascii="宋体" w:hAnsi="宋体" w:eastAsia="宋体" w:cs="宋体"/>
          <w:spacing w:val="2"/>
          <w:sz w:val="20"/>
          <w:szCs w:val="20"/>
        </w:rPr>
        <w:t>月</w:t>
      </w:r>
      <w:r>
        <w:rPr>
          <w:rFonts w:ascii="宋体" w:hAnsi="宋体" w:eastAsia="宋体" w:cs="宋体"/>
          <w:spacing w:val="16"/>
          <w:sz w:val="20"/>
          <w:szCs w:val="20"/>
        </w:rPr>
        <w:t xml:space="preserve">    </w:t>
      </w:r>
      <w:r>
        <w:rPr>
          <w:rFonts w:ascii="宋体" w:hAnsi="宋体" w:eastAsia="宋体" w:cs="宋体"/>
          <w:spacing w:val="2"/>
          <w:sz w:val="20"/>
          <w:szCs w:val="20"/>
        </w:rPr>
        <w:t>日</w:t>
      </w:r>
      <w:r>
        <w:rPr>
          <w:rFonts w:ascii="宋体" w:hAnsi="宋体" w:eastAsia="宋体" w:cs="宋体"/>
          <w:spacing w:val="6"/>
          <w:sz w:val="20"/>
          <w:szCs w:val="20"/>
        </w:rPr>
        <w:t xml:space="preserve">           </w:t>
      </w:r>
      <w:r>
        <w:rPr>
          <w:rFonts w:ascii="宋体" w:hAnsi="宋体" w:eastAsia="宋体" w:cs="宋体"/>
          <w:spacing w:val="2"/>
          <w:sz w:val="20"/>
          <w:szCs w:val="20"/>
        </w:rPr>
        <w:t>复核时间：</w:t>
      </w:r>
      <w:r>
        <w:rPr>
          <w:rFonts w:ascii="宋体" w:hAnsi="宋体" w:eastAsia="宋体" w:cs="宋体"/>
          <w:spacing w:val="12"/>
          <w:sz w:val="20"/>
          <w:szCs w:val="20"/>
        </w:rPr>
        <w:t xml:space="preserve">    </w:t>
      </w:r>
      <w:r>
        <w:rPr>
          <w:rFonts w:ascii="宋体" w:hAnsi="宋体" w:eastAsia="宋体" w:cs="宋体"/>
          <w:spacing w:val="2"/>
          <w:sz w:val="20"/>
          <w:szCs w:val="20"/>
        </w:rPr>
        <w:t>年    月</w:t>
      </w:r>
      <w:r>
        <w:rPr>
          <w:rFonts w:ascii="宋体" w:hAnsi="宋体" w:eastAsia="宋体" w:cs="宋体"/>
          <w:spacing w:val="17"/>
          <w:sz w:val="20"/>
          <w:szCs w:val="20"/>
        </w:rPr>
        <w:t xml:space="preserve">    </w:t>
      </w:r>
      <w:r>
        <w:rPr>
          <w:rFonts w:ascii="宋体" w:hAnsi="宋体" w:eastAsia="宋体" w:cs="宋体"/>
          <w:spacing w:val="2"/>
          <w:sz w:val="20"/>
          <w:szCs w:val="20"/>
        </w:rPr>
        <w:t>日</w:t>
      </w:r>
    </w:p>
    <w:p w14:paraId="4635E589">
      <w:pPr>
        <w:spacing w:line="228" w:lineRule="auto"/>
        <w:rPr>
          <w:rFonts w:ascii="宋体" w:hAnsi="宋体" w:eastAsia="宋体" w:cs="宋体"/>
          <w:sz w:val="20"/>
          <w:szCs w:val="20"/>
        </w:rPr>
        <w:sectPr>
          <w:headerReference r:id="rId447" w:type="default"/>
          <w:footerReference r:id="rId448" w:type="default"/>
          <w:pgSz w:w="11907" w:h="16840"/>
          <w:pgMar w:top="400" w:right="1786" w:bottom="1105" w:left="1535" w:header="0" w:footer="943" w:gutter="0"/>
          <w:cols w:space="720" w:num="1"/>
        </w:sectPr>
      </w:pPr>
    </w:p>
    <w:p w14:paraId="34A6A8BF">
      <w:pPr>
        <w:spacing w:line="261" w:lineRule="auto"/>
        <w:rPr>
          <w:rFonts w:ascii="Arial"/>
          <w:sz w:val="21"/>
        </w:rPr>
      </w:pPr>
    </w:p>
    <w:p w14:paraId="58095971">
      <w:pPr>
        <w:spacing w:line="262" w:lineRule="auto"/>
        <w:rPr>
          <w:rFonts w:ascii="Arial"/>
          <w:sz w:val="21"/>
        </w:rPr>
      </w:pPr>
    </w:p>
    <w:p w14:paraId="2853E48A">
      <w:pPr>
        <w:spacing w:line="262" w:lineRule="auto"/>
        <w:rPr>
          <w:rFonts w:ascii="Arial"/>
          <w:sz w:val="21"/>
        </w:rPr>
      </w:pPr>
    </w:p>
    <w:p w14:paraId="64F4EF1B">
      <w:pPr>
        <w:spacing w:line="262" w:lineRule="auto"/>
        <w:rPr>
          <w:rFonts w:ascii="Arial"/>
          <w:sz w:val="21"/>
        </w:rPr>
      </w:pPr>
    </w:p>
    <w:p w14:paraId="563E0B52">
      <w:pPr>
        <w:pStyle w:val="2"/>
        <w:spacing w:before="78" w:line="222" w:lineRule="auto"/>
        <w:outlineLvl w:val="2"/>
        <w:rPr>
          <w:sz w:val="24"/>
          <w:szCs w:val="24"/>
        </w:rPr>
      </w:pPr>
      <w:r>
        <w:rPr>
          <w:rFonts w:ascii="Times New Roman" w:hAnsi="Times New Roman" w:eastAsia="Times New Roman" w:cs="Times New Roman"/>
          <w:spacing w:val="-1"/>
          <w:sz w:val="24"/>
          <w:szCs w:val="24"/>
        </w:rPr>
        <w:t xml:space="preserve">4.3 </w:t>
      </w:r>
      <w:r>
        <w:rPr>
          <w:spacing w:val="-1"/>
          <w:sz w:val="24"/>
          <w:szCs w:val="24"/>
        </w:rPr>
        <w:t>投标总价封面</w:t>
      </w:r>
    </w:p>
    <w:p w14:paraId="10B2B72D">
      <w:pPr>
        <w:spacing w:line="247" w:lineRule="auto"/>
        <w:rPr>
          <w:rFonts w:ascii="Arial"/>
          <w:sz w:val="21"/>
        </w:rPr>
      </w:pPr>
    </w:p>
    <w:p w14:paraId="65B7382B">
      <w:pPr>
        <w:spacing w:line="247" w:lineRule="auto"/>
        <w:rPr>
          <w:rFonts w:ascii="Arial"/>
          <w:sz w:val="21"/>
        </w:rPr>
      </w:pPr>
    </w:p>
    <w:p w14:paraId="4FF862A8">
      <w:pPr>
        <w:spacing w:line="247" w:lineRule="auto"/>
        <w:rPr>
          <w:rFonts w:ascii="Arial"/>
          <w:sz w:val="21"/>
        </w:rPr>
      </w:pPr>
    </w:p>
    <w:p w14:paraId="343F0774">
      <w:pPr>
        <w:spacing w:line="247" w:lineRule="auto"/>
        <w:rPr>
          <w:rFonts w:ascii="Arial"/>
          <w:sz w:val="21"/>
        </w:rPr>
      </w:pPr>
    </w:p>
    <w:p w14:paraId="5883D03A">
      <w:pPr>
        <w:spacing w:line="247" w:lineRule="auto"/>
        <w:rPr>
          <w:rFonts w:ascii="Arial"/>
          <w:sz w:val="21"/>
        </w:rPr>
      </w:pPr>
    </w:p>
    <w:p w14:paraId="458336A1">
      <w:pPr>
        <w:spacing w:line="247" w:lineRule="auto"/>
        <w:rPr>
          <w:rFonts w:ascii="Arial"/>
          <w:sz w:val="21"/>
        </w:rPr>
      </w:pPr>
    </w:p>
    <w:p w14:paraId="1CA5AA5E">
      <w:pPr>
        <w:spacing w:line="247" w:lineRule="auto"/>
        <w:rPr>
          <w:rFonts w:ascii="Arial"/>
          <w:sz w:val="21"/>
        </w:rPr>
      </w:pPr>
    </w:p>
    <w:p w14:paraId="24EB235D">
      <w:pPr>
        <w:spacing w:line="247" w:lineRule="auto"/>
        <w:rPr>
          <w:rFonts w:ascii="Arial"/>
          <w:sz w:val="21"/>
        </w:rPr>
      </w:pPr>
    </w:p>
    <w:p w14:paraId="497ED5A2">
      <w:pPr>
        <w:spacing w:line="248" w:lineRule="auto"/>
        <w:rPr>
          <w:rFonts w:ascii="Arial"/>
          <w:sz w:val="21"/>
        </w:rPr>
      </w:pPr>
    </w:p>
    <w:p w14:paraId="3A378FE7">
      <w:pPr>
        <w:spacing w:line="248" w:lineRule="auto"/>
        <w:rPr>
          <w:rFonts w:ascii="Arial"/>
          <w:sz w:val="21"/>
        </w:rPr>
      </w:pPr>
    </w:p>
    <w:p w14:paraId="772D4937">
      <w:pPr>
        <w:spacing w:line="248" w:lineRule="auto"/>
        <w:rPr>
          <w:rFonts w:ascii="Arial"/>
          <w:sz w:val="21"/>
        </w:rPr>
      </w:pPr>
    </w:p>
    <w:p w14:paraId="301BE5A0">
      <w:pPr>
        <w:pStyle w:val="2"/>
        <w:spacing w:before="114" w:line="227" w:lineRule="auto"/>
        <w:ind w:left="4017"/>
        <w:rPr>
          <w:sz w:val="35"/>
          <w:szCs w:val="35"/>
        </w:rPr>
      </w:pPr>
      <w:bookmarkStart w:id="357" w:name="bookmark339"/>
      <w:bookmarkEnd w:id="357"/>
      <w:r>
        <w:rPr>
          <w:spacing w:val="37"/>
          <w:sz w:val="35"/>
          <w:szCs w:val="35"/>
        </w:rPr>
        <w:t>投标总价</w:t>
      </w:r>
    </w:p>
    <w:p w14:paraId="2164C5B3">
      <w:pPr>
        <w:spacing w:line="244" w:lineRule="auto"/>
        <w:rPr>
          <w:rFonts w:ascii="Arial"/>
          <w:sz w:val="21"/>
        </w:rPr>
      </w:pPr>
    </w:p>
    <w:p w14:paraId="2CCD97D3">
      <w:pPr>
        <w:spacing w:line="245" w:lineRule="auto"/>
        <w:rPr>
          <w:rFonts w:ascii="Arial"/>
          <w:sz w:val="21"/>
        </w:rPr>
      </w:pPr>
    </w:p>
    <w:p w14:paraId="05BF502C">
      <w:pPr>
        <w:spacing w:line="245" w:lineRule="auto"/>
        <w:rPr>
          <w:rFonts w:ascii="Arial"/>
          <w:sz w:val="21"/>
        </w:rPr>
      </w:pPr>
    </w:p>
    <w:p w14:paraId="63CB4AF7">
      <w:pPr>
        <w:spacing w:line="245" w:lineRule="auto"/>
        <w:rPr>
          <w:rFonts w:ascii="Arial"/>
          <w:sz w:val="21"/>
        </w:rPr>
      </w:pPr>
    </w:p>
    <w:p w14:paraId="619AA599">
      <w:pPr>
        <w:spacing w:line="245" w:lineRule="auto"/>
        <w:rPr>
          <w:rFonts w:ascii="Arial"/>
          <w:sz w:val="21"/>
        </w:rPr>
      </w:pPr>
    </w:p>
    <w:p w14:paraId="4B4AB286">
      <w:pPr>
        <w:spacing w:line="245" w:lineRule="auto"/>
        <w:rPr>
          <w:rFonts w:ascii="Arial"/>
          <w:sz w:val="21"/>
        </w:rPr>
      </w:pPr>
    </w:p>
    <w:p w14:paraId="2CC6F24A">
      <w:pPr>
        <w:spacing w:line="245" w:lineRule="auto"/>
        <w:rPr>
          <w:rFonts w:ascii="Arial"/>
          <w:sz w:val="21"/>
        </w:rPr>
      </w:pPr>
    </w:p>
    <w:p w14:paraId="4FAF9154">
      <w:pPr>
        <w:spacing w:line="245" w:lineRule="auto"/>
        <w:rPr>
          <w:rFonts w:ascii="Arial"/>
          <w:sz w:val="21"/>
        </w:rPr>
      </w:pPr>
    </w:p>
    <w:p w14:paraId="38FFEF2B">
      <w:pPr>
        <w:spacing w:line="245" w:lineRule="auto"/>
        <w:rPr>
          <w:rFonts w:ascii="Arial"/>
          <w:sz w:val="21"/>
        </w:rPr>
      </w:pPr>
    </w:p>
    <w:p w14:paraId="260A0EB2">
      <w:pPr>
        <w:spacing w:line="245" w:lineRule="auto"/>
        <w:rPr>
          <w:rFonts w:ascii="Arial"/>
          <w:sz w:val="21"/>
        </w:rPr>
      </w:pPr>
    </w:p>
    <w:p w14:paraId="5D09DFA3">
      <w:pPr>
        <w:spacing w:line="245" w:lineRule="auto"/>
        <w:rPr>
          <w:rFonts w:ascii="Arial"/>
          <w:sz w:val="21"/>
        </w:rPr>
      </w:pPr>
    </w:p>
    <w:p w14:paraId="1F857A6D">
      <w:pPr>
        <w:spacing w:line="245" w:lineRule="auto"/>
        <w:rPr>
          <w:rFonts w:ascii="Arial"/>
          <w:sz w:val="21"/>
        </w:rPr>
      </w:pPr>
    </w:p>
    <w:p w14:paraId="62C19C75">
      <w:pPr>
        <w:spacing w:line="245" w:lineRule="auto"/>
        <w:rPr>
          <w:rFonts w:ascii="Arial"/>
          <w:sz w:val="21"/>
        </w:rPr>
      </w:pPr>
    </w:p>
    <w:p w14:paraId="15232078">
      <w:pPr>
        <w:spacing w:line="245" w:lineRule="auto"/>
        <w:rPr>
          <w:rFonts w:ascii="Arial"/>
          <w:sz w:val="21"/>
        </w:rPr>
      </w:pPr>
    </w:p>
    <w:p w14:paraId="249257E0">
      <w:pPr>
        <w:spacing w:line="245" w:lineRule="auto"/>
        <w:rPr>
          <w:rFonts w:ascii="Arial"/>
          <w:sz w:val="21"/>
        </w:rPr>
      </w:pPr>
    </w:p>
    <w:p w14:paraId="7EBEE70F">
      <w:pPr>
        <w:spacing w:line="245" w:lineRule="auto"/>
        <w:rPr>
          <w:rFonts w:ascii="Arial"/>
          <w:sz w:val="21"/>
        </w:rPr>
      </w:pPr>
    </w:p>
    <w:p w14:paraId="095BDDF1">
      <w:pPr>
        <w:spacing w:line="245" w:lineRule="auto"/>
        <w:rPr>
          <w:rFonts w:ascii="Arial"/>
          <w:sz w:val="21"/>
        </w:rPr>
      </w:pPr>
    </w:p>
    <w:p w14:paraId="6B217FB6">
      <w:pPr>
        <w:spacing w:line="245" w:lineRule="auto"/>
        <w:rPr>
          <w:rFonts w:ascii="Arial"/>
          <w:sz w:val="21"/>
        </w:rPr>
      </w:pPr>
    </w:p>
    <w:p w14:paraId="02F7CAB8">
      <w:pPr>
        <w:spacing w:line="245" w:lineRule="auto"/>
        <w:rPr>
          <w:rFonts w:ascii="Arial"/>
          <w:sz w:val="21"/>
        </w:rPr>
      </w:pPr>
    </w:p>
    <w:p w14:paraId="1905CDF4">
      <w:pPr>
        <w:spacing w:line="245" w:lineRule="auto"/>
        <w:rPr>
          <w:rFonts w:ascii="Arial"/>
          <w:sz w:val="21"/>
        </w:rPr>
      </w:pPr>
    </w:p>
    <w:p w14:paraId="38C2EA31">
      <w:pPr>
        <w:spacing w:line="245" w:lineRule="auto"/>
        <w:rPr>
          <w:rFonts w:ascii="Arial"/>
          <w:sz w:val="21"/>
        </w:rPr>
      </w:pPr>
    </w:p>
    <w:p w14:paraId="42243848">
      <w:pPr>
        <w:spacing w:line="245" w:lineRule="auto"/>
        <w:rPr>
          <w:rFonts w:ascii="Arial"/>
          <w:sz w:val="21"/>
        </w:rPr>
      </w:pPr>
    </w:p>
    <w:p w14:paraId="0D1962D5">
      <w:pPr>
        <w:spacing w:line="245" w:lineRule="auto"/>
        <w:rPr>
          <w:rFonts w:ascii="Arial"/>
          <w:sz w:val="21"/>
        </w:rPr>
      </w:pPr>
    </w:p>
    <w:p w14:paraId="7CF55771">
      <w:pPr>
        <w:spacing w:line="245" w:lineRule="auto"/>
        <w:rPr>
          <w:rFonts w:ascii="Arial"/>
          <w:sz w:val="21"/>
        </w:rPr>
      </w:pPr>
    </w:p>
    <w:p w14:paraId="49B6CD14">
      <w:pPr>
        <w:spacing w:line="245" w:lineRule="auto"/>
        <w:rPr>
          <w:rFonts w:ascii="Arial"/>
          <w:sz w:val="21"/>
        </w:rPr>
      </w:pPr>
    </w:p>
    <w:p w14:paraId="684EB94C">
      <w:pPr>
        <w:spacing w:line="245" w:lineRule="auto"/>
        <w:rPr>
          <w:rFonts w:ascii="Arial"/>
          <w:sz w:val="21"/>
        </w:rPr>
      </w:pPr>
    </w:p>
    <w:p w14:paraId="29AC9BB7">
      <w:pPr>
        <w:spacing w:before="78" w:line="220" w:lineRule="auto"/>
        <w:ind w:left="2048"/>
        <w:rPr>
          <w:rFonts w:ascii="宋体" w:hAnsi="宋体" w:eastAsia="宋体" w:cs="宋体"/>
          <w:sz w:val="24"/>
          <w:szCs w:val="24"/>
        </w:rPr>
      </w:pPr>
      <w:r>
        <w:rPr>
          <w:rFonts w:ascii="宋体" w:hAnsi="宋体" w:eastAsia="宋体" w:cs="宋体"/>
          <w:spacing w:val="-17"/>
          <w:sz w:val="24"/>
          <w:szCs w:val="24"/>
        </w:rPr>
        <w:t>投</w:t>
      </w:r>
      <w:r>
        <w:rPr>
          <w:rFonts w:ascii="宋体" w:hAnsi="宋体" w:eastAsia="宋体" w:cs="宋体"/>
          <w:spacing w:val="13"/>
          <w:sz w:val="24"/>
          <w:szCs w:val="24"/>
        </w:rPr>
        <w:t xml:space="preserve"> </w:t>
      </w:r>
      <w:r>
        <w:rPr>
          <w:rFonts w:ascii="宋体" w:hAnsi="宋体" w:eastAsia="宋体" w:cs="宋体"/>
          <w:spacing w:val="-17"/>
          <w:sz w:val="24"/>
          <w:szCs w:val="24"/>
        </w:rPr>
        <w:t>标</w:t>
      </w:r>
      <w:r>
        <w:rPr>
          <w:rFonts w:ascii="宋体" w:hAnsi="宋体" w:eastAsia="宋体" w:cs="宋体"/>
          <w:spacing w:val="11"/>
          <w:sz w:val="24"/>
          <w:szCs w:val="24"/>
        </w:rPr>
        <w:t xml:space="preserve"> </w:t>
      </w:r>
      <w:r>
        <w:rPr>
          <w:rFonts w:ascii="宋体" w:hAnsi="宋体" w:eastAsia="宋体" w:cs="宋体"/>
          <w:spacing w:val="-17"/>
          <w:sz w:val="24"/>
          <w:szCs w:val="24"/>
        </w:rPr>
        <w:t>人</w:t>
      </w:r>
      <w:r>
        <w:rPr>
          <w:rFonts w:ascii="宋体" w:hAnsi="宋体" w:eastAsia="宋体" w:cs="宋体"/>
          <w:spacing w:val="-90"/>
          <w:sz w:val="24"/>
          <w:szCs w:val="24"/>
        </w:rPr>
        <w:t xml:space="preserve"> </w:t>
      </w:r>
      <w:r>
        <w:rPr>
          <w:rFonts w:ascii="宋体" w:hAnsi="宋体" w:eastAsia="宋体" w:cs="宋体"/>
          <w:spacing w:val="-17"/>
          <w:sz w:val="24"/>
          <w:szCs w:val="24"/>
        </w:rPr>
        <w:t>：</w:t>
      </w:r>
      <w:r>
        <w:rPr>
          <w:rFonts w:ascii="宋体" w:hAnsi="宋体" w:eastAsia="宋体" w:cs="宋体"/>
          <w:sz w:val="24"/>
          <w:szCs w:val="24"/>
          <w:u w:val="single" w:color="auto"/>
        </w:rPr>
        <w:t xml:space="preserve">                               </w:t>
      </w:r>
    </w:p>
    <w:p w14:paraId="1B5F39B5">
      <w:pPr>
        <w:spacing w:before="32" w:line="219" w:lineRule="auto"/>
        <w:ind w:left="4456"/>
        <w:rPr>
          <w:rFonts w:ascii="宋体" w:hAnsi="宋体" w:eastAsia="宋体" w:cs="宋体"/>
          <w:sz w:val="24"/>
          <w:szCs w:val="24"/>
        </w:rPr>
      </w:pPr>
      <w:r>
        <w:rPr>
          <w:rFonts w:ascii="宋体" w:hAnsi="宋体" w:eastAsia="宋体" w:cs="宋体"/>
          <w:spacing w:val="-4"/>
          <w:sz w:val="24"/>
          <w:szCs w:val="24"/>
        </w:rPr>
        <w:t>（单位盖章）</w:t>
      </w:r>
    </w:p>
    <w:p w14:paraId="390E6180">
      <w:pPr>
        <w:spacing w:line="253" w:lineRule="auto"/>
        <w:rPr>
          <w:rFonts w:ascii="Arial"/>
          <w:sz w:val="21"/>
        </w:rPr>
      </w:pPr>
    </w:p>
    <w:p w14:paraId="719D5BCC">
      <w:pPr>
        <w:spacing w:line="254" w:lineRule="auto"/>
        <w:rPr>
          <w:rFonts w:ascii="Arial"/>
          <w:sz w:val="21"/>
        </w:rPr>
      </w:pPr>
    </w:p>
    <w:p w14:paraId="5C8F6939">
      <w:pPr>
        <w:spacing w:line="254" w:lineRule="auto"/>
        <w:rPr>
          <w:rFonts w:ascii="Arial"/>
          <w:sz w:val="21"/>
        </w:rPr>
      </w:pPr>
    </w:p>
    <w:p w14:paraId="2FB82DE6">
      <w:pPr>
        <w:spacing w:before="78" w:line="219" w:lineRule="auto"/>
        <w:ind w:left="4146"/>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2"/>
          <w:sz w:val="24"/>
          <w:szCs w:val="24"/>
        </w:rPr>
        <w:t xml:space="preserve">      </w:t>
      </w:r>
      <w:r>
        <w:rPr>
          <w:rFonts w:ascii="宋体" w:hAnsi="宋体" w:eastAsia="宋体" w:cs="宋体"/>
          <w:spacing w:val="-9"/>
          <w:sz w:val="24"/>
          <w:szCs w:val="24"/>
        </w:rPr>
        <w:t>月</w:t>
      </w:r>
      <w:r>
        <w:rPr>
          <w:rFonts w:ascii="宋体" w:hAnsi="宋体" w:eastAsia="宋体" w:cs="宋体"/>
          <w:spacing w:val="9"/>
          <w:sz w:val="24"/>
          <w:szCs w:val="24"/>
        </w:rPr>
        <w:t xml:space="preserve">      </w:t>
      </w:r>
      <w:r>
        <w:rPr>
          <w:rFonts w:ascii="宋体" w:hAnsi="宋体" w:eastAsia="宋体" w:cs="宋体"/>
          <w:spacing w:val="-9"/>
          <w:sz w:val="24"/>
          <w:szCs w:val="24"/>
        </w:rPr>
        <w:t>日</w:t>
      </w:r>
    </w:p>
    <w:p w14:paraId="0598E297">
      <w:pPr>
        <w:spacing w:line="219" w:lineRule="auto"/>
        <w:rPr>
          <w:rFonts w:ascii="宋体" w:hAnsi="宋体" w:eastAsia="宋体" w:cs="宋体"/>
          <w:sz w:val="24"/>
          <w:szCs w:val="24"/>
        </w:rPr>
        <w:sectPr>
          <w:footerReference r:id="rId449" w:type="default"/>
          <w:pgSz w:w="11907" w:h="16840"/>
          <w:pgMar w:top="400" w:right="1786" w:bottom="1105" w:left="1535" w:header="0" w:footer="943" w:gutter="0"/>
          <w:cols w:space="720" w:num="1"/>
        </w:sectPr>
      </w:pPr>
    </w:p>
    <w:p w14:paraId="16F5A35F">
      <w:pPr>
        <w:spacing w:line="261" w:lineRule="auto"/>
        <w:rPr>
          <w:rFonts w:ascii="Arial"/>
          <w:sz w:val="21"/>
        </w:rPr>
      </w:pPr>
    </w:p>
    <w:p w14:paraId="7CFA65EA">
      <w:pPr>
        <w:spacing w:line="262" w:lineRule="auto"/>
        <w:rPr>
          <w:rFonts w:ascii="Arial"/>
          <w:sz w:val="21"/>
        </w:rPr>
      </w:pPr>
    </w:p>
    <w:p w14:paraId="7027E01D">
      <w:pPr>
        <w:spacing w:line="262" w:lineRule="auto"/>
        <w:rPr>
          <w:rFonts w:ascii="Arial"/>
          <w:sz w:val="21"/>
        </w:rPr>
      </w:pPr>
    </w:p>
    <w:p w14:paraId="39F14763">
      <w:pPr>
        <w:spacing w:line="262" w:lineRule="auto"/>
        <w:rPr>
          <w:rFonts w:ascii="Arial"/>
          <w:sz w:val="21"/>
        </w:rPr>
      </w:pPr>
    </w:p>
    <w:p w14:paraId="648A4C01">
      <w:pPr>
        <w:pStyle w:val="2"/>
        <w:spacing w:before="78" w:line="222" w:lineRule="auto"/>
        <w:outlineLvl w:val="2"/>
        <w:rPr>
          <w:sz w:val="24"/>
          <w:szCs w:val="24"/>
        </w:rPr>
      </w:pPr>
      <w:r>
        <w:rPr>
          <w:rFonts w:ascii="Times New Roman" w:hAnsi="Times New Roman" w:eastAsia="Times New Roman" w:cs="Times New Roman"/>
          <w:spacing w:val="-1"/>
          <w:sz w:val="24"/>
          <w:szCs w:val="24"/>
        </w:rPr>
        <w:t xml:space="preserve">4.4 </w:t>
      </w:r>
      <w:r>
        <w:rPr>
          <w:spacing w:val="-1"/>
          <w:sz w:val="24"/>
          <w:szCs w:val="24"/>
        </w:rPr>
        <w:t>投标总价扉页</w:t>
      </w:r>
    </w:p>
    <w:p w14:paraId="1D7A1A28">
      <w:pPr>
        <w:spacing w:line="265" w:lineRule="auto"/>
        <w:rPr>
          <w:rFonts w:ascii="Arial"/>
          <w:sz w:val="21"/>
        </w:rPr>
      </w:pPr>
    </w:p>
    <w:p w14:paraId="762D9E1E">
      <w:pPr>
        <w:spacing w:line="265" w:lineRule="auto"/>
        <w:rPr>
          <w:rFonts w:ascii="Arial"/>
          <w:sz w:val="21"/>
        </w:rPr>
      </w:pPr>
    </w:p>
    <w:p w14:paraId="410A28CD">
      <w:pPr>
        <w:spacing w:line="265" w:lineRule="auto"/>
        <w:rPr>
          <w:rFonts w:ascii="Arial"/>
          <w:sz w:val="21"/>
        </w:rPr>
      </w:pPr>
    </w:p>
    <w:p w14:paraId="0EC6EBAC">
      <w:pPr>
        <w:spacing w:line="265" w:lineRule="auto"/>
        <w:rPr>
          <w:rFonts w:ascii="Arial"/>
          <w:sz w:val="21"/>
        </w:rPr>
      </w:pPr>
    </w:p>
    <w:p w14:paraId="26D17291">
      <w:pPr>
        <w:pStyle w:val="2"/>
        <w:spacing w:before="101" w:line="227" w:lineRule="auto"/>
        <w:ind w:left="4057"/>
        <w:rPr>
          <w:sz w:val="31"/>
          <w:szCs w:val="31"/>
        </w:rPr>
      </w:pPr>
      <w:bookmarkStart w:id="358" w:name="bookmark340"/>
      <w:bookmarkEnd w:id="358"/>
      <w:r>
        <w:rPr>
          <w:spacing w:val="37"/>
          <w:sz w:val="31"/>
          <w:szCs w:val="31"/>
        </w:rPr>
        <w:t>投标总价</w:t>
      </w:r>
    </w:p>
    <w:p w14:paraId="530A2575">
      <w:pPr>
        <w:spacing w:line="255" w:lineRule="auto"/>
        <w:rPr>
          <w:rFonts w:ascii="Arial"/>
          <w:sz w:val="21"/>
        </w:rPr>
      </w:pPr>
    </w:p>
    <w:p w14:paraId="5FAFE760">
      <w:pPr>
        <w:spacing w:line="256" w:lineRule="auto"/>
        <w:rPr>
          <w:rFonts w:ascii="Arial"/>
          <w:sz w:val="21"/>
        </w:rPr>
      </w:pPr>
    </w:p>
    <w:p w14:paraId="22C0D5CF">
      <w:pPr>
        <w:spacing w:line="256" w:lineRule="auto"/>
        <w:rPr>
          <w:rFonts w:ascii="Arial"/>
          <w:sz w:val="21"/>
        </w:rPr>
      </w:pPr>
    </w:p>
    <w:p w14:paraId="508B1858">
      <w:pPr>
        <w:spacing w:line="256" w:lineRule="auto"/>
        <w:rPr>
          <w:rFonts w:ascii="Arial"/>
          <w:sz w:val="21"/>
        </w:rPr>
      </w:pPr>
    </w:p>
    <w:p w14:paraId="2BC5D104">
      <w:pPr>
        <w:spacing w:line="256" w:lineRule="auto"/>
        <w:rPr>
          <w:rFonts w:ascii="Arial"/>
          <w:sz w:val="21"/>
        </w:rPr>
      </w:pPr>
    </w:p>
    <w:p w14:paraId="06408E6E">
      <w:pPr>
        <w:spacing w:line="256" w:lineRule="auto"/>
        <w:rPr>
          <w:rFonts w:ascii="Arial"/>
          <w:sz w:val="21"/>
        </w:rPr>
      </w:pPr>
    </w:p>
    <w:p w14:paraId="58203D2C">
      <w:pPr>
        <w:spacing w:before="65" w:line="228" w:lineRule="auto"/>
        <w:ind w:left="425"/>
        <w:rPr>
          <w:rFonts w:ascii="宋体" w:hAnsi="宋体" w:eastAsia="宋体" w:cs="宋体"/>
          <w:sz w:val="20"/>
          <w:szCs w:val="20"/>
        </w:rPr>
      </w:pPr>
      <w:r>
        <w:rPr>
          <w:rFonts w:ascii="宋体" w:hAnsi="宋体" w:eastAsia="宋体" w:cs="宋体"/>
          <w:spacing w:val="-3"/>
          <w:sz w:val="20"/>
          <w:szCs w:val="20"/>
        </w:rPr>
        <w:t>招</w:t>
      </w:r>
      <w:r>
        <w:rPr>
          <w:rFonts w:ascii="宋体" w:hAnsi="宋体" w:eastAsia="宋体" w:cs="宋体"/>
          <w:spacing w:val="29"/>
          <w:sz w:val="20"/>
          <w:szCs w:val="20"/>
        </w:rPr>
        <w:t xml:space="preserve"> </w:t>
      </w:r>
      <w:r>
        <w:rPr>
          <w:rFonts w:ascii="宋体" w:hAnsi="宋体" w:eastAsia="宋体" w:cs="宋体"/>
          <w:spacing w:val="-3"/>
          <w:sz w:val="20"/>
          <w:szCs w:val="20"/>
        </w:rPr>
        <w:t>标</w:t>
      </w:r>
      <w:r>
        <w:rPr>
          <w:rFonts w:ascii="宋体" w:hAnsi="宋体" w:eastAsia="宋体" w:cs="宋体"/>
          <w:spacing w:val="15"/>
          <w:sz w:val="20"/>
          <w:szCs w:val="20"/>
        </w:rPr>
        <w:t xml:space="preserve"> </w:t>
      </w:r>
      <w:r>
        <w:rPr>
          <w:rFonts w:ascii="宋体" w:hAnsi="宋体" w:eastAsia="宋体" w:cs="宋体"/>
          <w:spacing w:val="-3"/>
          <w:sz w:val="20"/>
          <w:szCs w:val="20"/>
        </w:rPr>
        <w:t>人</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5E7B42A3">
      <w:pPr>
        <w:spacing w:line="286" w:lineRule="auto"/>
        <w:rPr>
          <w:rFonts w:ascii="Arial"/>
          <w:sz w:val="21"/>
        </w:rPr>
      </w:pPr>
    </w:p>
    <w:p w14:paraId="11F5CDAA">
      <w:pPr>
        <w:spacing w:before="65" w:line="228" w:lineRule="auto"/>
        <w:ind w:left="426"/>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69EEAF1C">
      <w:pPr>
        <w:spacing w:line="286" w:lineRule="auto"/>
        <w:rPr>
          <w:rFonts w:ascii="Arial"/>
          <w:sz w:val="21"/>
        </w:rPr>
      </w:pPr>
    </w:p>
    <w:p w14:paraId="0ECBD5ED">
      <w:pPr>
        <w:spacing w:before="65" w:line="226" w:lineRule="auto"/>
        <w:ind w:left="426"/>
        <w:rPr>
          <w:rFonts w:ascii="宋体" w:hAnsi="宋体" w:eastAsia="宋体" w:cs="宋体"/>
          <w:sz w:val="20"/>
          <w:szCs w:val="20"/>
        </w:rPr>
      </w:pPr>
      <w:r>
        <w:rPr>
          <w:rFonts w:ascii="宋体" w:hAnsi="宋体" w:eastAsia="宋体" w:cs="宋体"/>
          <w:spacing w:val="6"/>
          <w:sz w:val="20"/>
          <w:szCs w:val="20"/>
        </w:rPr>
        <w:t>投标总价（小写</w:t>
      </w:r>
      <w:r>
        <w:rPr>
          <w:rFonts w:ascii="宋体" w:hAnsi="宋体" w:eastAsia="宋体" w:cs="宋体"/>
          <w:spacing w:val="-6"/>
          <w:sz w:val="20"/>
          <w:szCs w:val="20"/>
        </w:rPr>
        <w:t>）</w:t>
      </w:r>
      <w:r>
        <w:rPr>
          <w:rFonts w:ascii="宋体" w:hAnsi="宋体" w:eastAsia="宋体" w:cs="宋体"/>
          <w:spacing w:val="45"/>
          <w:sz w:val="20"/>
          <w:szCs w:val="20"/>
        </w:rPr>
        <w:t xml:space="preserve"> </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
          <w:sz w:val="20"/>
          <w:szCs w:val="20"/>
          <w:u w:val="single" w:color="auto"/>
        </w:rPr>
        <w:t>元</w:t>
      </w:r>
      <w:r>
        <w:rPr>
          <w:rFonts w:ascii="宋体" w:hAnsi="宋体" w:eastAsia="宋体" w:cs="宋体"/>
          <w:spacing w:val="3"/>
          <w:sz w:val="20"/>
          <w:szCs w:val="20"/>
          <w:u w:val="single" w:color="auto"/>
        </w:rPr>
        <w:t xml:space="preserve">    </w:t>
      </w:r>
    </w:p>
    <w:p w14:paraId="472D86CC">
      <w:pPr>
        <w:spacing w:line="288" w:lineRule="auto"/>
        <w:rPr>
          <w:rFonts w:ascii="Arial"/>
          <w:sz w:val="21"/>
        </w:rPr>
      </w:pPr>
    </w:p>
    <w:p w14:paraId="174BB1AF">
      <w:pPr>
        <w:spacing w:before="65" w:line="228" w:lineRule="auto"/>
        <w:ind w:left="1274"/>
        <w:rPr>
          <w:rFonts w:ascii="宋体" w:hAnsi="宋体" w:eastAsia="宋体" w:cs="宋体"/>
          <w:sz w:val="20"/>
          <w:szCs w:val="20"/>
        </w:rPr>
      </w:pPr>
      <w:r>
        <w:rPr>
          <w:rFonts w:ascii="宋体" w:hAnsi="宋体" w:eastAsia="宋体" w:cs="宋体"/>
          <w:spacing w:val="1"/>
          <w:sz w:val="20"/>
          <w:szCs w:val="20"/>
        </w:rPr>
        <w:t>（大写</w:t>
      </w:r>
      <w:r>
        <w:rPr>
          <w:rFonts w:ascii="宋体" w:hAnsi="宋体" w:eastAsia="宋体" w:cs="宋体"/>
          <w:spacing w:val="-8"/>
          <w:sz w:val="20"/>
          <w:szCs w:val="20"/>
        </w:rPr>
        <w:t>）</w:t>
      </w:r>
      <w:r>
        <w:rPr>
          <w:rFonts w:ascii="宋体" w:hAnsi="宋体" w:eastAsia="宋体" w:cs="宋体"/>
          <w:spacing w:val="45"/>
          <w:sz w:val="20"/>
          <w:szCs w:val="20"/>
        </w:rPr>
        <w:t xml:space="preserve"> </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元</w:t>
      </w:r>
      <w:r>
        <w:rPr>
          <w:rFonts w:ascii="宋体" w:hAnsi="宋体" w:eastAsia="宋体" w:cs="宋体"/>
          <w:spacing w:val="3"/>
          <w:sz w:val="20"/>
          <w:szCs w:val="20"/>
          <w:u w:val="single" w:color="auto"/>
        </w:rPr>
        <w:t xml:space="preserve">    </w:t>
      </w:r>
    </w:p>
    <w:p w14:paraId="6448D4A3">
      <w:pPr>
        <w:spacing w:line="250" w:lineRule="auto"/>
        <w:rPr>
          <w:rFonts w:ascii="Arial"/>
          <w:sz w:val="21"/>
        </w:rPr>
      </w:pPr>
    </w:p>
    <w:p w14:paraId="38373B83">
      <w:pPr>
        <w:spacing w:line="251" w:lineRule="auto"/>
        <w:rPr>
          <w:rFonts w:ascii="Arial"/>
          <w:sz w:val="21"/>
        </w:rPr>
      </w:pPr>
    </w:p>
    <w:p w14:paraId="45B15558">
      <w:pPr>
        <w:spacing w:line="251" w:lineRule="auto"/>
        <w:rPr>
          <w:rFonts w:ascii="Arial"/>
          <w:sz w:val="21"/>
        </w:rPr>
      </w:pPr>
    </w:p>
    <w:p w14:paraId="71865623">
      <w:pPr>
        <w:spacing w:line="251" w:lineRule="auto"/>
        <w:rPr>
          <w:rFonts w:ascii="Arial"/>
          <w:sz w:val="21"/>
        </w:rPr>
      </w:pPr>
    </w:p>
    <w:p w14:paraId="10F4BD98">
      <w:pPr>
        <w:spacing w:line="251" w:lineRule="auto"/>
        <w:rPr>
          <w:rFonts w:ascii="Arial"/>
          <w:sz w:val="21"/>
        </w:rPr>
      </w:pPr>
    </w:p>
    <w:p w14:paraId="2CC4E8AB">
      <w:pPr>
        <w:spacing w:before="65" w:line="228" w:lineRule="auto"/>
        <w:ind w:left="426"/>
        <w:rPr>
          <w:rFonts w:ascii="宋体" w:hAnsi="宋体" w:eastAsia="宋体" w:cs="宋体"/>
          <w:sz w:val="20"/>
          <w:szCs w:val="20"/>
        </w:rPr>
      </w:pPr>
      <w:r>
        <w:rPr>
          <w:rFonts w:ascii="宋体" w:hAnsi="宋体" w:eastAsia="宋体" w:cs="宋体"/>
          <w:spacing w:val="-3"/>
          <w:sz w:val="20"/>
          <w:szCs w:val="20"/>
        </w:rPr>
        <w:t>投</w:t>
      </w:r>
      <w:r>
        <w:rPr>
          <w:rFonts w:ascii="宋体" w:hAnsi="宋体" w:eastAsia="宋体" w:cs="宋体"/>
          <w:spacing w:val="28"/>
          <w:sz w:val="20"/>
          <w:szCs w:val="20"/>
        </w:rPr>
        <w:t xml:space="preserve"> </w:t>
      </w:r>
      <w:r>
        <w:rPr>
          <w:rFonts w:ascii="宋体" w:hAnsi="宋体" w:eastAsia="宋体" w:cs="宋体"/>
          <w:spacing w:val="-3"/>
          <w:sz w:val="20"/>
          <w:szCs w:val="20"/>
        </w:rPr>
        <w:t>标</w:t>
      </w:r>
      <w:r>
        <w:rPr>
          <w:rFonts w:ascii="宋体" w:hAnsi="宋体" w:eastAsia="宋体" w:cs="宋体"/>
          <w:spacing w:val="15"/>
          <w:sz w:val="20"/>
          <w:szCs w:val="20"/>
        </w:rPr>
        <w:t xml:space="preserve"> </w:t>
      </w:r>
      <w:r>
        <w:rPr>
          <w:rFonts w:ascii="宋体" w:hAnsi="宋体" w:eastAsia="宋体" w:cs="宋体"/>
          <w:spacing w:val="-3"/>
          <w:sz w:val="20"/>
          <w:szCs w:val="20"/>
        </w:rPr>
        <w:t>人</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6A3FBEC7">
      <w:pPr>
        <w:spacing w:before="74" w:line="227" w:lineRule="auto"/>
        <w:ind w:left="4214"/>
        <w:rPr>
          <w:rFonts w:ascii="宋体" w:hAnsi="宋体" w:eastAsia="宋体" w:cs="宋体"/>
          <w:sz w:val="20"/>
          <w:szCs w:val="20"/>
        </w:rPr>
      </w:pPr>
      <w:r>
        <w:rPr>
          <w:rFonts w:ascii="宋体" w:hAnsi="宋体" w:eastAsia="宋体" w:cs="宋体"/>
          <w:spacing w:val="4"/>
          <w:sz w:val="20"/>
          <w:szCs w:val="20"/>
        </w:rPr>
        <w:t>（单位盖章）</w:t>
      </w:r>
    </w:p>
    <w:p w14:paraId="7F1AFE2B">
      <w:pPr>
        <w:spacing w:line="432" w:lineRule="auto"/>
        <w:rPr>
          <w:rFonts w:ascii="Arial"/>
          <w:sz w:val="21"/>
        </w:rPr>
      </w:pPr>
    </w:p>
    <w:p w14:paraId="3A260680">
      <w:pPr>
        <w:spacing w:before="66" w:line="228" w:lineRule="auto"/>
        <w:ind w:left="425"/>
        <w:rPr>
          <w:rFonts w:ascii="宋体" w:hAnsi="宋体" w:eastAsia="宋体" w:cs="宋体"/>
          <w:sz w:val="20"/>
          <w:szCs w:val="20"/>
        </w:rPr>
      </w:pPr>
      <w:r>
        <w:rPr>
          <w:rFonts w:ascii="宋体" w:hAnsi="宋体" w:eastAsia="宋体" w:cs="宋体"/>
          <w:spacing w:val="7"/>
          <w:sz w:val="20"/>
          <w:szCs w:val="20"/>
        </w:rPr>
        <w:t>法定代表人</w:t>
      </w:r>
    </w:p>
    <w:p w14:paraId="3A19CE03">
      <w:pPr>
        <w:spacing w:before="159" w:line="228" w:lineRule="auto"/>
        <w:ind w:left="426"/>
        <w:rPr>
          <w:rFonts w:ascii="宋体" w:hAnsi="宋体" w:eastAsia="宋体" w:cs="宋体"/>
          <w:sz w:val="20"/>
          <w:szCs w:val="20"/>
        </w:rPr>
      </w:pPr>
      <w:r>
        <w:rPr>
          <w:rFonts w:ascii="宋体" w:hAnsi="宋体" w:eastAsia="宋体" w:cs="宋体"/>
          <w:spacing w:val="4"/>
          <w:sz w:val="20"/>
          <w:szCs w:val="20"/>
        </w:rPr>
        <w:t>或其授权人：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2C930E85">
      <w:pPr>
        <w:spacing w:before="72" w:line="227" w:lineRule="auto"/>
        <w:ind w:left="4003"/>
        <w:rPr>
          <w:rFonts w:ascii="宋体" w:hAnsi="宋体" w:eastAsia="宋体" w:cs="宋体"/>
          <w:sz w:val="20"/>
          <w:szCs w:val="20"/>
        </w:rPr>
      </w:pPr>
      <w:r>
        <w:rPr>
          <w:rFonts w:ascii="宋体" w:hAnsi="宋体" w:eastAsia="宋体" w:cs="宋体"/>
          <w:spacing w:val="5"/>
          <w:sz w:val="20"/>
          <w:szCs w:val="20"/>
        </w:rPr>
        <w:t>（签字或盖章）</w:t>
      </w:r>
    </w:p>
    <w:p w14:paraId="344E85BA">
      <w:pPr>
        <w:spacing w:line="322" w:lineRule="auto"/>
        <w:rPr>
          <w:rFonts w:ascii="Arial"/>
          <w:sz w:val="21"/>
        </w:rPr>
      </w:pPr>
    </w:p>
    <w:p w14:paraId="1DB5F759">
      <w:pPr>
        <w:spacing w:line="322" w:lineRule="auto"/>
        <w:rPr>
          <w:rFonts w:ascii="Arial"/>
          <w:sz w:val="21"/>
        </w:rPr>
      </w:pPr>
    </w:p>
    <w:p w14:paraId="41D0BA9C">
      <w:pPr>
        <w:spacing w:before="66" w:line="228" w:lineRule="auto"/>
        <w:ind w:left="425"/>
        <w:rPr>
          <w:rFonts w:ascii="宋体" w:hAnsi="宋体" w:eastAsia="宋体" w:cs="宋体"/>
          <w:sz w:val="20"/>
          <w:szCs w:val="20"/>
        </w:rPr>
      </w:pPr>
      <w:r>
        <w:rPr>
          <w:rFonts w:ascii="宋体" w:hAnsi="宋体" w:eastAsia="宋体" w:cs="宋体"/>
          <w:spacing w:val="4"/>
          <w:sz w:val="20"/>
          <w:szCs w:val="20"/>
        </w:rPr>
        <w:t>编制人：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115EB386">
      <w:pPr>
        <w:spacing w:before="73" w:line="226" w:lineRule="auto"/>
        <w:ind w:left="3583"/>
        <w:rPr>
          <w:rFonts w:ascii="宋体" w:hAnsi="宋体" w:eastAsia="宋体" w:cs="宋体"/>
          <w:sz w:val="20"/>
          <w:szCs w:val="20"/>
        </w:rPr>
      </w:pPr>
      <w:r>
        <w:rPr>
          <w:rFonts w:ascii="宋体" w:hAnsi="宋体" w:eastAsia="宋体" w:cs="宋体"/>
          <w:spacing w:val="7"/>
          <w:sz w:val="20"/>
          <w:szCs w:val="20"/>
        </w:rPr>
        <w:t>（造价人员签字盖专用章）</w:t>
      </w:r>
    </w:p>
    <w:p w14:paraId="25D90DED">
      <w:pPr>
        <w:spacing w:line="270" w:lineRule="auto"/>
        <w:rPr>
          <w:rFonts w:ascii="Arial"/>
          <w:sz w:val="21"/>
        </w:rPr>
      </w:pPr>
    </w:p>
    <w:p w14:paraId="45EECAAC">
      <w:pPr>
        <w:spacing w:line="271" w:lineRule="auto"/>
        <w:rPr>
          <w:rFonts w:ascii="Arial"/>
          <w:sz w:val="21"/>
        </w:rPr>
      </w:pPr>
    </w:p>
    <w:p w14:paraId="2D457AED">
      <w:pPr>
        <w:spacing w:line="271" w:lineRule="auto"/>
        <w:rPr>
          <w:rFonts w:ascii="Arial"/>
          <w:sz w:val="21"/>
        </w:rPr>
      </w:pPr>
    </w:p>
    <w:p w14:paraId="604173E3">
      <w:pPr>
        <w:spacing w:before="65" w:line="228" w:lineRule="auto"/>
        <w:ind w:left="425"/>
        <w:rPr>
          <w:rFonts w:ascii="宋体" w:hAnsi="宋体" w:eastAsia="宋体" w:cs="宋体"/>
          <w:sz w:val="20"/>
          <w:szCs w:val="20"/>
        </w:rPr>
      </w:pPr>
      <w:r>
        <w:rPr>
          <w:rFonts w:ascii="宋体" w:hAnsi="宋体" w:eastAsia="宋体" w:cs="宋体"/>
          <w:spacing w:val="2"/>
          <w:sz w:val="20"/>
          <w:szCs w:val="20"/>
        </w:rPr>
        <w:t>编制时间：</w:t>
      </w:r>
      <w:r>
        <w:rPr>
          <w:rFonts w:ascii="宋体" w:hAnsi="宋体" w:eastAsia="宋体" w:cs="宋体"/>
          <w:spacing w:val="7"/>
          <w:sz w:val="20"/>
          <w:szCs w:val="20"/>
        </w:rPr>
        <w:t xml:space="preserve">              </w:t>
      </w:r>
      <w:r>
        <w:rPr>
          <w:rFonts w:ascii="宋体" w:hAnsi="宋体" w:eastAsia="宋体" w:cs="宋体"/>
          <w:spacing w:val="2"/>
          <w:sz w:val="20"/>
          <w:szCs w:val="20"/>
        </w:rPr>
        <w:t>年</w:t>
      </w:r>
      <w:r>
        <w:rPr>
          <w:rFonts w:ascii="宋体" w:hAnsi="宋体" w:eastAsia="宋体" w:cs="宋体"/>
          <w:spacing w:val="7"/>
          <w:sz w:val="20"/>
          <w:szCs w:val="20"/>
        </w:rPr>
        <w:t xml:space="preserve">      </w:t>
      </w:r>
      <w:r>
        <w:rPr>
          <w:rFonts w:ascii="宋体" w:hAnsi="宋体" w:eastAsia="宋体" w:cs="宋体"/>
          <w:spacing w:val="2"/>
          <w:sz w:val="20"/>
          <w:szCs w:val="20"/>
        </w:rPr>
        <w:t>月</w:t>
      </w:r>
      <w:r>
        <w:rPr>
          <w:rFonts w:ascii="宋体" w:hAnsi="宋体" w:eastAsia="宋体" w:cs="宋体"/>
          <w:spacing w:val="12"/>
          <w:sz w:val="20"/>
          <w:szCs w:val="20"/>
        </w:rPr>
        <w:t xml:space="preserve">      </w:t>
      </w:r>
      <w:r>
        <w:rPr>
          <w:rFonts w:ascii="宋体" w:hAnsi="宋体" w:eastAsia="宋体" w:cs="宋体"/>
          <w:spacing w:val="2"/>
          <w:sz w:val="20"/>
          <w:szCs w:val="20"/>
        </w:rPr>
        <w:t>日</w:t>
      </w:r>
    </w:p>
    <w:p w14:paraId="736455BE">
      <w:pPr>
        <w:spacing w:line="274" w:lineRule="auto"/>
        <w:rPr>
          <w:rFonts w:ascii="Arial"/>
          <w:sz w:val="21"/>
        </w:rPr>
      </w:pPr>
    </w:p>
    <w:p w14:paraId="63A4539C">
      <w:pPr>
        <w:spacing w:line="274" w:lineRule="auto"/>
        <w:rPr>
          <w:rFonts w:ascii="Arial"/>
          <w:sz w:val="21"/>
        </w:rPr>
      </w:pPr>
    </w:p>
    <w:p w14:paraId="1986D4F0">
      <w:pPr>
        <w:spacing w:line="275" w:lineRule="auto"/>
        <w:rPr>
          <w:rFonts w:ascii="Arial"/>
          <w:sz w:val="21"/>
        </w:rPr>
      </w:pPr>
    </w:p>
    <w:p w14:paraId="4B5CD63B">
      <w:pPr>
        <w:spacing w:before="66" w:line="226" w:lineRule="auto"/>
        <w:ind w:left="424"/>
        <w:rPr>
          <w:rFonts w:ascii="宋体" w:hAnsi="宋体" w:eastAsia="宋体" w:cs="宋体"/>
          <w:sz w:val="20"/>
          <w:szCs w:val="20"/>
        </w:rPr>
      </w:pPr>
      <w:r>
        <w:rPr>
          <w:rFonts w:ascii="宋体" w:hAnsi="宋体" w:eastAsia="宋体" w:cs="宋体"/>
          <w:spacing w:val="8"/>
          <w:sz w:val="20"/>
          <w:szCs w:val="20"/>
        </w:rPr>
        <w:t>注：1.投标总价可按四舍五入精确到元。</w:t>
      </w:r>
    </w:p>
    <w:p w14:paraId="5CE3E765">
      <w:pPr>
        <w:spacing w:before="136" w:line="351" w:lineRule="auto"/>
        <w:ind w:left="1164" w:hanging="318"/>
        <w:rPr>
          <w:rFonts w:ascii="宋体" w:hAnsi="宋体" w:eastAsia="宋体" w:cs="宋体"/>
          <w:sz w:val="20"/>
          <w:szCs w:val="20"/>
        </w:rPr>
      </w:pPr>
      <w:r>
        <w:rPr>
          <w:rFonts w:ascii="宋体" w:hAnsi="宋体" w:eastAsia="宋体" w:cs="宋体"/>
          <w:spacing w:val="1"/>
          <w:sz w:val="20"/>
          <w:szCs w:val="20"/>
        </w:rPr>
        <w:t>2.</w:t>
      </w:r>
      <w:r>
        <w:rPr>
          <w:rFonts w:ascii="宋体" w:hAnsi="宋体" w:eastAsia="宋体" w:cs="宋体"/>
          <w:spacing w:val="29"/>
          <w:sz w:val="20"/>
          <w:szCs w:val="20"/>
        </w:rPr>
        <w:t xml:space="preserve"> </w:t>
      </w:r>
      <w:r>
        <w:rPr>
          <w:rFonts w:ascii="宋体" w:hAnsi="宋体" w:eastAsia="宋体" w:cs="宋体"/>
          <w:spacing w:val="1"/>
          <w:sz w:val="20"/>
          <w:szCs w:val="20"/>
        </w:rPr>
        <w:t>因“</w:t>
      </w:r>
      <w:r>
        <w:rPr>
          <w:rFonts w:ascii="宋体" w:hAnsi="宋体" w:eastAsia="宋体" w:cs="宋体"/>
          <w:spacing w:val="-68"/>
          <w:sz w:val="20"/>
          <w:szCs w:val="20"/>
        </w:rPr>
        <w:t xml:space="preserve"> </w:t>
      </w:r>
      <w:r>
        <w:rPr>
          <w:rFonts w:ascii="宋体" w:hAnsi="宋体" w:eastAsia="宋体" w:cs="宋体"/>
          <w:spacing w:val="1"/>
          <w:sz w:val="20"/>
          <w:szCs w:val="20"/>
        </w:rPr>
        <w:t>电子交易平台</w:t>
      </w:r>
      <w:r>
        <w:rPr>
          <w:rFonts w:ascii="宋体" w:hAnsi="宋体" w:eastAsia="宋体" w:cs="宋体"/>
          <w:spacing w:val="-70"/>
          <w:sz w:val="20"/>
          <w:szCs w:val="20"/>
        </w:rPr>
        <w:t xml:space="preserve"> </w:t>
      </w:r>
      <w:r>
        <w:rPr>
          <w:rFonts w:ascii="宋体" w:hAnsi="宋体" w:eastAsia="宋体" w:cs="宋体"/>
          <w:spacing w:val="1"/>
          <w:sz w:val="20"/>
          <w:szCs w:val="20"/>
        </w:rPr>
        <w:t>”未要求造价人员办理</w:t>
      </w:r>
      <w:r>
        <w:rPr>
          <w:rFonts w:ascii="宋体" w:hAnsi="宋体" w:eastAsia="宋体" w:cs="宋体"/>
          <w:spacing w:val="-38"/>
          <w:sz w:val="20"/>
          <w:szCs w:val="20"/>
        </w:rPr>
        <w:t xml:space="preserve"> </w:t>
      </w:r>
      <w:r>
        <w:rPr>
          <w:rFonts w:ascii="宋体" w:hAnsi="宋体" w:eastAsia="宋体" w:cs="宋体"/>
          <w:sz w:val="20"/>
          <w:szCs w:val="20"/>
        </w:rPr>
        <w:t>CA</w:t>
      </w:r>
      <w:r>
        <w:rPr>
          <w:rFonts w:ascii="宋体" w:hAnsi="宋体" w:eastAsia="宋体" w:cs="宋体"/>
          <w:spacing w:val="-39"/>
          <w:sz w:val="20"/>
          <w:szCs w:val="20"/>
        </w:rPr>
        <w:t xml:space="preserve"> </w:t>
      </w:r>
      <w:r>
        <w:rPr>
          <w:rFonts w:ascii="宋体" w:hAnsi="宋体" w:eastAsia="宋体" w:cs="宋体"/>
          <w:spacing w:val="1"/>
          <w:sz w:val="20"/>
          <w:szCs w:val="20"/>
        </w:rPr>
        <w:t>数字证书</w:t>
      </w:r>
      <w:r>
        <w:rPr>
          <w:rFonts w:ascii="宋体" w:hAnsi="宋体" w:eastAsia="宋体" w:cs="宋体"/>
          <w:sz w:val="20"/>
          <w:szCs w:val="20"/>
        </w:rPr>
        <w:t>，“造价人员签字盖专用章</w:t>
      </w:r>
      <w:r>
        <w:rPr>
          <w:rFonts w:ascii="宋体" w:hAnsi="宋体" w:eastAsia="宋体" w:cs="宋体"/>
          <w:spacing w:val="-70"/>
          <w:sz w:val="20"/>
          <w:szCs w:val="20"/>
        </w:rPr>
        <w:t xml:space="preserve"> </w:t>
      </w:r>
      <w:r>
        <w:rPr>
          <w:rFonts w:ascii="宋体" w:hAnsi="宋体" w:eastAsia="宋体" w:cs="宋体"/>
          <w:sz w:val="20"/>
          <w:szCs w:val="20"/>
        </w:rPr>
        <w:t>”处</w:t>
      </w:r>
      <w:r>
        <w:rPr>
          <w:rFonts w:ascii="宋体" w:hAnsi="宋体" w:eastAsia="宋体" w:cs="宋体"/>
          <w:spacing w:val="7"/>
          <w:sz w:val="20"/>
          <w:szCs w:val="20"/>
        </w:rPr>
        <w:t>暂无需签字和盖专用章。</w:t>
      </w:r>
    </w:p>
    <w:p w14:paraId="01E64D34">
      <w:pPr>
        <w:spacing w:line="351" w:lineRule="auto"/>
        <w:rPr>
          <w:rFonts w:ascii="宋体" w:hAnsi="宋体" w:eastAsia="宋体" w:cs="宋体"/>
          <w:sz w:val="20"/>
          <w:szCs w:val="20"/>
        </w:rPr>
        <w:sectPr>
          <w:footerReference r:id="rId450" w:type="default"/>
          <w:pgSz w:w="11907" w:h="16840"/>
          <w:pgMar w:top="400" w:right="1555" w:bottom="1105" w:left="1535" w:header="0" w:footer="943" w:gutter="0"/>
          <w:cols w:space="720" w:num="1"/>
        </w:sectPr>
      </w:pPr>
    </w:p>
    <w:p w14:paraId="2C790133">
      <w:pPr>
        <w:pStyle w:val="2"/>
        <w:spacing w:before="41" w:line="222" w:lineRule="auto"/>
        <w:ind w:left="4143"/>
        <w:outlineLvl w:val="2"/>
        <w:rPr>
          <w:sz w:val="28"/>
          <w:szCs w:val="28"/>
        </w:rPr>
      </w:pPr>
      <w:bookmarkStart w:id="359" w:name="bookmark341"/>
      <w:bookmarkEnd w:id="359"/>
      <w:r>
        <w:rPr>
          <w:spacing w:val="-11"/>
          <w:sz w:val="28"/>
          <w:szCs w:val="28"/>
        </w:rPr>
        <w:t>总</w:t>
      </w:r>
      <w:r>
        <w:rPr>
          <w:spacing w:val="16"/>
          <w:sz w:val="28"/>
          <w:szCs w:val="28"/>
        </w:rPr>
        <w:t xml:space="preserve"> </w:t>
      </w:r>
      <w:r>
        <w:rPr>
          <w:spacing w:val="-11"/>
          <w:sz w:val="28"/>
          <w:szCs w:val="28"/>
        </w:rPr>
        <w:t>说</w:t>
      </w:r>
      <w:r>
        <w:rPr>
          <w:spacing w:val="23"/>
          <w:sz w:val="28"/>
          <w:szCs w:val="28"/>
        </w:rPr>
        <w:t xml:space="preserve"> </w:t>
      </w:r>
      <w:r>
        <w:rPr>
          <w:spacing w:val="-11"/>
          <w:sz w:val="28"/>
          <w:szCs w:val="28"/>
        </w:rPr>
        <w:t>明</w:t>
      </w:r>
    </w:p>
    <w:p w14:paraId="70EEB44B">
      <w:pPr>
        <w:spacing w:line="277" w:lineRule="auto"/>
        <w:rPr>
          <w:rFonts w:ascii="Arial"/>
          <w:sz w:val="21"/>
        </w:rPr>
      </w:pPr>
    </w:p>
    <w:p w14:paraId="605CA02A">
      <w:pPr>
        <w:spacing w:before="65" w:line="228" w:lineRule="auto"/>
        <w:ind w:left="6"/>
        <w:rPr>
          <w:rFonts w:ascii="宋体" w:hAnsi="宋体" w:eastAsia="宋体" w:cs="宋体"/>
          <w:sz w:val="20"/>
          <w:szCs w:val="20"/>
        </w:rPr>
      </w:pPr>
      <w:r>
        <w:rPr>
          <w:rFonts w:ascii="宋体" w:hAnsi="宋体" w:eastAsia="宋体" w:cs="宋体"/>
          <w:spacing w:val="3"/>
          <w:sz w:val="20"/>
          <w:szCs w:val="20"/>
        </w:rPr>
        <w:t>工程名称：</w:t>
      </w:r>
      <w:r>
        <w:rPr>
          <w:rFonts w:ascii="宋体" w:hAnsi="宋体" w:eastAsia="宋体" w:cs="宋体"/>
          <w:spacing w:val="1"/>
          <w:sz w:val="20"/>
          <w:szCs w:val="20"/>
        </w:rPr>
        <w:t xml:space="preserve">                              </w:t>
      </w:r>
      <w:r>
        <w:rPr>
          <w:rFonts w:ascii="宋体" w:hAnsi="宋体" w:eastAsia="宋体" w:cs="宋体"/>
          <w:sz w:val="20"/>
          <w:szCs w:val="20"/>
        </w:rPr>
        <w:t xml:space="preserve">             </w:t>
      </w:r>
      <w:r>
        <w:rPr>
          <w:rFonts w:ascii="宋体" w:hAnsi="宋体" w:eastAsia="宋体" w:cs="宋体"/>
          <w:spacing w:val="3"/>
          <w:sz w:val="20"/>
          <w:szCs w:val="20"/>
        </w:rPr>
        <w:t>第</w:t>
      </w:r>
      <w:r>
        <w:rPr>
          <w:rFonts w:ascii="宋体" w:hAnsi="宋体" w:eastAsia="宋体" w:cs="宋体"/>
          <w:spacing w:val="13"/>
          <w:sz w:val="20"/>
          <w:szCs w:val="20"/>
        </w:rPr>
        <w:t xml:space="preserve">  </w:t>
      </w:r>
      <w:r>
        <w:rPr>
          <w:rFonts w:ascii="宋体" w:hAnsi="宋体" w:eastAsia="宋体" w:cs="宋体"/>
          <w:spacing w:val="3"/>
          <w:sz w:val="20"/>
          <w:szCs w:val="20"/>
        </w:rPr>
        <w:t>页 共</w:t>
      </w:r>
      <w:r>
        <w:rPr>
          <w:rFonts w:ascii="宋体" w:hAnsi="宋体" w:eastAsia="宋体" w:cs="宋体"/>
          <w:spacing w:val="12"/>
          <w:sz w:val="20"/>
          <w:szCs w:val="20"/>
        </w:rPr>
        <w:t xml:space="preserve">  </w:t>
      </w:r>
      <w:r>
        <w:rPr>
          <w:rFonts w:ascii="宋体" w:hAnsi="宋体" w:eastAsia="宋体" w:cs="宋体"/>
          <w:spacing w:val="3"/>
          <w:sz w:val="20"/>
          <w:szCs w:val="20"/>
        </w:rPr>
        <w:t>页</w:t>
      </w:r>
    </w:p>
    <w:p w14:paraId="4AEB50D8">
      <w:pPr>
        <w:spacing w:line="129" w:lineRule="exact"/>
      </w:pPr>
    </w:p>
    <w:tbl>
      <w:tblPr>
        <w:tblStyle w:val="5"/>
        <w:tblW w:w="8416" w:type="dxa"/>
        <w:tblInd w:w="198"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416"/>
      </w:tblGrid>
      <w:tr w14:paraId="128D482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0731" w:hRule="atLeast"/>
        </w:trPr>
        <w:tc>
          <w:tcPr>
            <w:tcW w:w="8416" w:type="dxa"/>
            <w:vAlign w:val="top"/>
          </w:tcPr>
          <w:p w14:paraId="774A2A3B">
            <w:pPr>
              <w:rPr>
                <w:rFonts w:ascii="Arial"/>
                <w:sz w:val="21"/>
              </w:rPr>
            </w:pPr>
          </w:p>
        </w:tc>
      </w:tr>
    </w:tbl>
    <w:p w14:paraId="545396CA">
      <w:pPr>
        <w:rPr>
          <w:rFonts w:ascii="Arial"/>
          <w:sz w:val="21"/>
        </w:rPr>
      </w:pPr>
    </w:p>
    <w:p w14:paraId="7EC14A85">
      <w:pPr>
        <w:rPr>
          <w:rFonts w:ascii="Arial" w:hAnsi="Arial" w:eastAsia="Arial" w:cs="Arial"/>
          <w:sz w:val="21"/>
          <w:szCs w:val="21"/>
        </w:rPr>
        <w:sectPr>
          <w:headerReference r:id="rId451" w:type="default"/>
          <w:footerReference r:id="rId452" w:type="default"/>
          <w:pgSz w:w="11907" w:h="16840"/>
          <w:pgMar w:top="2218" w:right="1754" w:bottom="1105" w:left="1535" w:header="1848" w:footer="943" w:gutter="0"/>
          <w:cols w:space="720" w:num="1"/>
        </w:sectPr>
      </w:pPr>
    </w:p>
    <w:p w14:paraId="0F897696">
      <w:pPr>
        <w:spacing w:line="261" w:lineRule="auto"/>
        <w:rPr>
          <w:rFonts w:ascii="Arial"/>
          <w:sz w:val="21"/>
        </w:rPr>
      </w:pPr>
    </w:p>
    <w:p w14:paraId="3B5BEA77">
      <w:pPr>
        <w:spacing w:line="262" w:lineRule="auto"/>
        <w:rPr>
          <w:rFonts w:ascii="Arial"/>
          <w:sz w:val="21"/>
        </w:rPr>
      </w:pPr>
    </w:p>
    <w:p w14:paraId="53AD0248">
      <w:pPr>
        <w:spacing w:line="262" w:lineRule="auto"/>
        <w:rPr>
          <w:rFonts w:ascii="Arial"/>
          <w:sz w:val="21"/>
        </w:rPr>
      </w:pPr>
    </w:p>
    <w:p w14:paraId="13F42044">
      <w:pPr>
        <w:spacing w:line="262" w:lineRule="auto"/>
        <w:rPr>
          <w:rFonts w:ascii="Arial"/>
          <w:sz w:val="21"/>
        </w:rPr>
      </w:pPr>
    </w:p>
    <w:p w14:paraId="03E2403E">
      <w:pPr>
        <w:pStyle w:val="2"/>
        <w:spacing w:before="78" w:line="222" w:lineRule="auto"/>
        <w:outlineLvl w:val="2"/>
        <w:rPr>
          <w:sz w:val="24"/>
          <w:szCs w:val="24"/>
        </w:rPr>
      </w:pPr>
      <w:bookmarkStart w:id="360" w:name="bookmark342"/>
      <w:bookmarkEnd w:id="360"/>
      <w:r>
        <w:rPr>
          <w:rFonts w:ascii="Times New Roman" w:hAnsi="Times New Roman" w:eastAsia="Times New Roman" w:cs="Times New Roman"/>
          <w:spacing w:val="-1"/>
          <w:sz w:val="24"/>
          <w:szCs w:val="24"/>
        </w:rPr>
        <w:t xml:space="preserve">4.6 </w:t>
      </w:r>
      <w:r>
        <w:rPr>
          <w:spacing w:val="-1"/>
          <w:sz w:val="24"/>
          <w:szCs w:val="24"/>
        </w:rPr>
        <w:t>建设项目投标报价汇总表</w:t>
      </w:r>
    </w:p>
    <w:p w14:paraId="64045EBF">
      <w:pPr>
        <w:pStyle w:val="2"/>
        <w:spacing w:before="61" w:line="222" w:lineRule="auto"/>
        <w:ind w:left="3158"/>
        <w:rPr>
          <w:sz w:val="28"/>
          <w:szCs w:val="28"/>
        </w:rPr>
      </w:pPr>
      <w:r>
        <w:rPr>
          <w:spacing w:val="-1"/>
          <w:sz w:val="28"/>
          <w:szCs w:val="28"/>
        </w:rPr>
        <w:t>建设项目投标报价汇总表</w:t>
      </w:r>
    </w:p>
    <w:p w14:paraId="55E5C3DA">
      <w:pPr>
        <w:spacing w:line="276" w:lineRule="auto"/>
        <w:rPr>
          <w:rFonts w:ascii="Arial"/>
          <w:sz w:val="21"/>
        </w:rPr>
      </w:pPr>
    </w:p>
    <w:p w14:paraId="416E9B05">
      <w:pPr>
        <w:spacing w:before="65" w:line="228" w:lineRule="auto"/>
        <w:ind w:left="6"/>
        <w:rPr>
          <w:rFonts w:ascii="宋体" w:hAnsi="宋体" w:eastAsia="宋体" w:cs="宋体"/>
          <w:sz w:val="20"/>
          <w:szCs w:val="20"/>
        </w:rPr>
      </w:pPr>
      <w:r>
        <w:rPr>
          <w:rFonts w:ascii="宋体" w:hAnsi="宋体" w:eastAsia="宋体" w:cs="宋体"/>
          <w:spacing w:val="3"/>
          <w:sz w:val="20"/>
          <w:szCs w:val="20"/>
        </w:rPr>
        <w:t>工程名称：</w:t>
      </w:r>
      <w:r>
        <w:rPr>
          <w:rFonts w:ascii="宋体" w:hAnsi="宋体" w:eastAsia="宋体" w:cs="宋体"/>
          <w:spacing w:val="1"/>
          <w:sz w:val="20"/>
          <w:szCs w:val="20"/>
        </w:rPr>
        <w:t xml:space="preserve">                                             </w:t>
      </w:r>
      <w:r>
        <w:rPr>
          <w:rFonts w:ascii="宋体" w:hAnsi="宋体" w:eastAsia="宋体" w:cs="宋体"/>
          <w:spacing w:val="3"/>
          <w:sz w:val="20"/>
          <w:szCs w:val="20"/>
        </w:rPr>
        <w:t>第</w:t>
      </w:r>
      <w:r>
        <w:rPr>
          <w:rFonts w:ascii="宋体" w:hAnsi="宋体" w:eastAsia="宋体" w:cs="宋体"/>
          <w:spacing w:val="12"/>
          <w:sz w:val="20"/>
          <w:szCs w:val="20"/>
        </w:rPr>
        <w:t xml:space="preserve">  </w:t>
      </w:r>
      <w:r>
        <w:rPr>
          <w:rFonts w:ascii="宋体" w:hAnsi="宋体" w:eastAsia="宋体" w:cs="宋体"/>
          <w:spacing w:val="3"/>
          <w:sz w:val="20"/>
          <w:szCs w:val="20"/>
        </w:rPr>
        <w:t>页  共</w:t>
      </w:r>
      <w:r>
        <w:rPr>
          <w:rFonts w:ascii="宋体" w:hAnsi="宋体" w:eastAsia="宋体" w:cs="宋体"/>
          <w:spacing w:val="12"/>
          <w:sz w:val="20"/>
          <w:szCs w:val="20"/>
        </w:rPr>
        <w:t xml:space="preserve">  </w:t>
      </w:r>
      <w:r>
        <w:rPr>
          <w:rFonts w:ascii="宋体" w:hAnsi="宋体" w:eastAsia="宋体" w:cs="宋体"/>
          <w:spacing w:val="3"/>
          <w:sz w:val="20"/>
          <w:szCs w:val="20"/>
        </w:rPr>
        <w:t>页</w:t>
      </w:r>
    </w:p>
    <w:p w14:paraId="08CB2262">
      <w:pPr>
        <w:spacing w:line="129" w:lineRule="exact"/>
      </w:pPr>
    </w:p>
    <w:tbl>
      <w:tblPr>
        <w:tblStyle w:val="5"/>
        <w:tblW w:w="8580" w:type="dxa"/>
        <w:tblInd w:w="11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4"/>
        <w:gridCol w:w="3316"/>
        <w:gridCol w:w="1217"/>
        <w:gridCol w:w="965"/>
        <w:gridCol w:w="1399"/>
        <w:gridCol w:w="929"/>
      </w:tblGrid>
      <w:tr w14:paraId="4013C2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754" w:type="dxa"/>
            <w:vMerge w:val="restart"/>
            <w:tcBorders>
              <w:bottom w:val="nil"/>
            </w:tcBorders>
            <w:vAlign w:val="top"/>
          </w:tcPr>
          <w:p w14:paraId="138A99CB">
            <w:pPr>
              <w:spacing w:line="418" w:lineRule="auto"/>
              <w:rPr>
                <w:rFonts w:ascii="Arial"/>
                <w:sz w:val="21"/>
              </w:rPr>
            </w:pPr>
          </w:p>
          <w:p w14:paraId="240261B1">
            <w:pPr>
              <w:pStyle w:val="6"/>
              <w:spacing w:before="65" w:line="229" w:lineRule="auto"/>
              <w:ind w:left="172"/>
            </w:pPr>
            <w:r>
              <w:rPr>
                <w:spacing w:val="5"/>
              </w:rPr>
              <w:t>序号</w:t>
            </w:r>
          </w:p>
        </w:tc>
        <w:tc>
          <w:tcPr>
            <w:tcW w:w="3316" w:type="dxa"/>
            <w:vMerge w:val="restart"/>
            <w:tcBorders>
              <w:bottom w:val="nil"/>
            </w:tcBorders>
            <w:vAlign w:val="top"/>
          </w:tcPr>
          <w:p w14:paraId="63694213">
            <w:pPr>
              <w:spacing w:line="418" w:lineRule="auto"/>
              <w:rPr>
                <w:rFonts w:ascii="Arial"/>
                <w:sz w:val="21"/>
              </w:rPr>
            </w:pPr>
          </w:p>
          <w:p w14:paraId="71AFDC69">
            <w:pPr>
              <w:pStyle w:val="6"/>
              <w:spacing w:before="65" w:line="228" w:lineRule="auto"/>
              <w:ind w:left="1033"/>
            </w:pPr>
            <w:r>
              <w:rPr>
                <w:spacing w:val="7"/>
              </w:rPr>
              <w:t>单项工程名称</w:t>
            </w:r>
          </w:p>
        </w:tc>
        <w:tc>
          <w:tcPr>
            <w:tcW w:w="1217" w:type="dxa"/>
            <w:vMerge w:val="restart"/>
            <w:tcBorders>
              <w:bottom w:val="nil"/>
            </w:tcBorders>
            <w:vAlign w:val="top"/>
          </w:tcPr>
          <w:p w14:paraId="54359E15">
            <w:pPr>
              <w:spacing w:line="417" w:lineRule="auto"/>
              <w:rPr>
                <w:rFonts w:ascii="Arial"/>
                <w:sz w:val="21"/>
              </w:rPr>
            </w:pPr>
          </w:p>
          <w:p w14:paraId="4BB5D99A">
            <w:pPr>
              <w:pStyle w:val="6"/>
              <w:spacing w:before="65" w:line="228" w:lineRule="auto"/>
              <w:ind w:left="115"/>
            </w:pPr>
            <w:r>
              <w:rPr>
                <w:spacing w:val="5"/>
              </w:rPr>
              <w:t>金额（元）</w:t>
            </w:r>
          </w:p>
        </w:tc>
        <w:tc>
          <w:tcPr>
            <w:tcW w:w="3293" w:type="dxa"/>
            <w:gridSpan w:val="3"/>
            <w:vAlign w:val="top"/>
          </w:tcPr>
          <w:p w14:paraId="40DC31EB">
            <w:pPr>
              <w:pStyle w:val="6"/>
              <w:spacing w:before="178" w:line="228" w:lineRule="auto"/>
              <w:ind w:left="968"/>
            </w:pPr>
            <w:r>
              <w:rPr>
                <w:spacing w:val="5"/>
              </w:rPr>
              <w:t>其</w:t>
            </w:r>
            <w:r>
              <w:rPr>
                <w:spacing w:val="19"/>
              </w:rPr>
              <w:t xml:space="preserve">  </w:t>
            </w:r>
            <w:r>
              <w:rPr>
                <w:spacing w:val="5"/>
              </w:rPr>
              <w:t>中</w:t>
            </w:r>
            <w:r>
              <w:rPr>
                <w:spacing w:val="-72"/>
              </w:rPr>
              <w:t xml:space="preserve"> </w:t>
            </w:r>
            <w:r>
              <w:rPr>
                <w:spacing w:val="-47"/>
                <w:w w:val="88"/>
              </w:rPr>
              <w:t>：（</w:t>
            </w:r>
            <w:r>
              <w:rPr>
                <w:spacing w:val="5"/>
              </w:rPr>
              <w:t>元）</w:t>
            </w:r>
          </w:p>
        </w:tc>
      </w:tr>
      <w:tr w14:paraId="064F40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754" w:type="dxa"/>
            <w:vMerge w:val="continue"/>
            <w:tcBorders>
              <w:top w:val="nil"/>
            </w:tcBorders>
            <w:vAlign w:val="top"/>
          </w:tcPr>
          <w:p w14:paraId="30671307">
            <w:pPr>
              <w:rPr>
                <w:rFonts w:ascii="Arial"/>
                <w:sz w:val="21"/>
              </w:rPr>
            </w:pPr>
          </w:p>
        </w:tc>
        <w:tc>
          <w:tcPr>
            <w:tcW w:w="3316" w:type="dxa"/>
            <w:vMerge w:val="continue"/>
            <w:tcBorders>
              <w:top w:val="nil"/>
            </w:tcBorders>
            <w:vAlign w:val="top"/>
          </w:tcPr>
          <w:p w14:paraId="75604CC8">
            <w:pPr>
              <w:rPr>
                <w:rFonts w:ascii="Arial"/>
                <w:sz w:val="21"/>
              </w:rPr>
            </w:pPr>
          </w:p>
        </w:tc>
        <w:tc>
          <w:tcPr>
            <w:tcW w:w="1217" w:type="dxa"/>
            <w:vMerge w:val="continue"/>
            <w:tcBorders>
              <w:top w:val="nil"/>
            </w:tcBorders>
            <w:vAlign w:val="top"/>
          </w:tcPr>
          <w:p w14:paraId="1FD87AF8">
            <w:pPr>
              <w:rPr>
                <w:rFonts w:ascii="Arial"/>
                <w:sz w:val="21"/>
              </w:rPr>
            </w:pPr>
          </w:p>
        </w:tc>
        <w:tc>
          <w:tcPr>
            <w:tcW w:w="965" w:type="dxa"/>
            <w:vAlign w:val="top"/>
          </w:tcPr>
          <w:p w14:paraId="0CDED882">
            <w:pPr>
              <w:pStyle w:val="6"/>
              <w:spacing w:before="211" w:line="226" w:lineRule="auto"/>
              <w:ind w:left="179"/>
            </w:pPr>
            <w:r>
              <w:rPr>
                <w:spacing w:val="4"/>
              </w:rPr>
              <w:t>暂估价</w:t>
            </w:r>
          </w:p>
        </w:tc>
        <w:tc>
          <w:tcPr>
            <w:tcW w:w="1399" w:type="dxa"/>
            <w:vAlign w:val="top"/>
          </w:tcPr>
          <w:p w14:paraId="2A1F7991">
            <w:pPr>
              <w:pStyle w:val="6"/>
              <w:spacing w:before="59" w:line="247" w:lineRule="auto"/>
              <w:ind w:left="390" w:right="278" w:hanging="100"/>
            </w:pPr>
            <w:r>
              <w:rPr>
                <w:spacing w:val="6"/>
              </w:rPr>
              <w:t>安全文明</w:t>
            </w:r>
            <w:r>
              <w:rPr>
                <w:spacing w:val="7"/>
              </w:rPr>
              <w:t>施工费</w:t>
            </w:r>
          </w:p>
        </w:tc>
        <w:tc>
          <w:tcPr>
            <w:tcW w:w="929" w:type="dxa"/>
            <w:vAlign w:val="top"/>
          </w:tcPr>
          <w:p w14:paraId="0A972373">
            <w:pPr>
              <w:pStyle w:val="6"/>
              <w:spacing w:before="60" w:line="228" w:lineRule="auto"/>
              <w:ind w:left="260"/>
            </w:pPr>
            <w:r>
              <w:rPr>
                <w:spacing w:val="4"/>
              </w:rPr>
              <w:t>规费</w:t>
            </w:r>
          </w:p>
        </w:tc>
      </w:tr>
      <w:tr w14:paraId="234B09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6C842E83">
            <w:pPr>
              <w:pStyle w:val="6"/>
              <w:spacing w:before="165" w:line="270" w:lineRule="exact"/>
              <w:ind w:left="344"/>
            </w:pPr>
            <w:r>
              <w:rPr>
                <w:position w:val="1"/>
              </w:rPr>
              <w:t>1</w:t>
            </w:r>
          </w:p>
        </w:tc>
        <w:tc>
          <w:tcPr>
            <w:tcW w:w="3316" w:type="dxa"/>
            <w:vAlign w:val="top"/>
          </w:tcPr>
          <w:p w14:paraId="23A7D1D3">
            <w:pPr>
              <w:pStyle w:val="6"/>
              <w:spacing w:before="165" w:line="228" w:lineRule="auto"/>
              <w:ind w:left="114"/>
            </w:pPr>
            <w:r>
              <w:rPr>
                <w:spacing w:val="6"/>
              </w:rPr>
              <w:t>单项工程</w:t>
            </w:r>
          </w:p>
        </w:tc>
        <w:tc>
          <w:tcPr>
            <w:tcW w:w="1217" w:type="dxa"/>
            <w:vAlign w:val="top"/>
          </w:tcPr>
          <w:p w14:paraId="4A2DCE4C">
            <w:pPr>
              <w:rPr>
                <w:rFonts w:ascii="Arial"/>
                <w:sz w:val="21"/>
              </w:rPr>
            </w:pPr>
          </w:p>
        </w:tc>
        <w:tc>
          <w:tcPr>
            <w:tcW w:w="965" w:type="dxa"/>
            <w:vAlign w:val="top"/>
          </w:tcPr>
          <w:p w14:paraId="4CCF2388">
            <w:pPr>
              <w:rPr>
                <w:rFonts w:ascii="Arial"/>
                <w:sz w:val="21"/>
              </w:rPr>
            </w:pPr>
          </w:p>
        </w:tc>
        <w:tc>
          <w:tcPr>
            <w:tcW w:w="1399" w:type="dxa"/>
            <w:vAlign w:val="top"/>
          </w:tcPr>
          <w:p w14:paraId="2D73FA37">
            <w:pPr>
              <w:rPr>
                <w:rFonts w:ascii="Arial"/>
                <w:sz w:val="21"/>
              </w:rPr>
            </w:pPr>
          </w:p>
        </w:tc>
        <w:tc>
          <w:tcPr>
            <w:tcW w:w="929" w:type="dxa"/>
            <w:vAlign w:val="top"/>
          </w:tcPr>
          <w:p w14:paraId="7C5EE65A">
            <w:pPr>
              <w:rPr>
                <w:rFonts w:ascii="Arial"/>
                <w:sz w:val="21"/>
              </w:rPr>
            </w:pPr>
          </w:p>
        </w:tc>
      </w:tr>
      <w:tr w14:paraId="7088FC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6FB96A68">
            <w:pPr>
              <w:rPr>
                <w:rFonts w:ascii="Arial"/>
                <w:sz w:val="21"/>
              </w:rPr>
            </w:pPr>
          </w:p>
        </w:tc>
        <w:tc>
          <w:tcPr>
            <w:tcW w:w="3316" w:type="dxa"/>
            <w:vAlign w:val="top"/>
          </w:tcPr>
          <w:p w14:paraId="149DE760">
            <w:pPr>
              <w:rPr>
                <w:rFonts w:ascii="Arial"/>
                <w:sz w:val="21"/>
              </w:rPr>
            </w:pPr>
          </w:p>
        </w:tc>
        <w:tc>
          <w:tcPr>
            <w:tcW w:w="1217" w:type="dxa"/>
            <w:vAlign w:val="top"/>
          </w:tcPr>
          <w:p w14:paraId="59FAED4A">
            <w:pPr>
              <w:rPr>
                <w:rFonts w:ascii="Arial"/>
                <w:sz w:val="21"/>
              </w:rPr>
            </w:pPr>
          </w:p>
        </w:tc>
        <w:tc>
          <w:tcPr>
            <w:tcW w:w="965" w:type="dxa"/>
            <w:vAlign w:val="top"/>
          </w:tcPr>
          <w:p w14:paraId="0BA6F95B">
            <w:pPr>
              <w:rPr>
                <w:rFonts w:ascii="Arial"/>
                <w:sz w:val="21"/>
              </w:rPr>
            </w:pPr>
          </w:p>
        </w:tc>
        <w:tc>
          <w:tcPr>
            <w:tcW w:w="1399" w:type="dxa"/>
            <w:vAlign w:val="top"/>
          </w:tcPr>
          <w:p w14:paraId="108950BB">
            <w:pPr>
              <w:rPr>
                <w:rFonts w:ascii="Arial"/>
                <w:sz w:val="21"/>
              </w:rPr>
            </w:pPr>
          </w:p>
        </w:tc>
        <w:tc>
          <w:tcPr>
            <w:tcW w:w="929" w:type="dxa"/>
            <w:vAlign w:val="top"/>
          </w:tcPr>
          <w:p w14:paraId="0CA1BCF3">
            <w:pPr>
              <w:rPr>
                <w:rFonts w:ascii="Arial"/>
                <w:sz w:val="21"/>
              </w:rPr>
            </w:pPr>
          </w:p>
        </w:tc>
      </w:tr>
      <w:tr w14:paraId="7EA13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754" w:type="dxa"/>
            <w:vAlign w:val="top"/>
          </w:tcPr>
          <w:p w14:paraId="7EEE84B1">
            <w:pPr>
              <w:rPr>
                <w:rFonts w:ascii="Arial"/>
                <w:sz w:val="21"/>
              </w:rPr>
            </w:pPr>
          </w:p>
        </w:tc>
        <w:tc>
          <w:tcPr>
            <w:tcW w:w="3316" w:type="dxa"/>
            <w:vAlign w:val="top"/>
          </w:tcPr>
          <w:p w14:paraId="70124465">
            <w:pPr>
              <w:pStyle w:val="6"/>
              <w:spacing w:before="165" w:line="228" w:lineRule="auto"/>
              <w:ind w:left="115"/>
            </w:pPr>
            <w:r>
              <w:rPr>
                <w:spacing w:val="6"/>
              </w:rPr>
              <w:t>建设项目数据：</w:t>
            </w:r>
          </w:p>
        </w:tc>
        <w:tc>
          <w:tcPr>
            <w:tcW w:w="1217" w:type="dxa"/>
            <w:vAlign w:val="top"/>
          </w:tcPr>
          <w:p w14:paraId="45169D01">
            <w:pPr>
              <w:rPr>
                <w:rFonts w:ascii="Arial"/>
                <w:sz w:val="21"/>
              </w:rPr>
            </w:pPr>
          </w:p>
        </w:tc>
        <w:tc>
          <w:tcPr>
            <w:tcW w:w="965" w:type="dxa"/>
            <w:vAlign w:val="top"/>
          </w:tcPr>
          <w:p w14:paraId="61F70BAB">
            <w:pPr>
              <w:rPr>
                <w:rFonts w:ascii="Arial"/>
                <w:sz w:val="21"/>
              </w:rPr>
            </w:pPr>
          </w:p>
        </w:tc>
        <w:tc>
          <w:tcPr>
            <w:tcW w:w="1399" w:type="dxa"/>
            <w:vAlign w:val="top"/>
          </w:tcPr>
          <w:p w14:paraId="7025A698">
            <w:pPr>
              <w:rPr>
                <w:rFonts w:ascii="Arial"/>
                <w:sz w:val="21"/>
              </w:rPr>
            </w:pPr>
          </w:p>
        </w:tc>
        <w:tc>
          <w:tcPr>
            <w:tcW w:w="929" w:type="dxa"/>
            <w:vAlign w:val="top"/>
          </w:tcPr>
          <w:p w14:paraId="4967C42F">
            <w:pPr>
              <w:rPr>
                <w:rFonts w:ascii="Arial"/>
                <w:sz w:val="21"/>
              </w:rPr>
            </w:pPr>
          </w:p>
        </w:tc>
      </w:tr>
      <w:tr w14:paraId="08080C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754" w:type="dxa"/>
            <w:vAlign w:val="top"/>
          </w:tcPr>
          <w:p w14:paraId="6BF4EA3B">
            <w:pPr>
              <w:rPr>
                <w:rFonts w:ascii="Arial"/>
                <w:sz w:val="21"/>
              </w:rPr>
            </w:pPr>
          </w:p>
        </w:tc>
        <w:tc>
          <w:tcPr>
            <w:tcW w:w="3316" w:type="dxa"/>
            <w:vAlign w:val="top"/>
          </w:tcPr>
          <w:p w14:paraId="557E5006">
            <w:pPr>
              <w:pStyle w:val="6"/>
              <w:spacing w:before="166" w:line="228" w:lineRule="auto"/>
              <w:ind w:left="114"/>
            </w:pPr>
            <w:r>
              <w:rPr>
                <w:spacing w:val="6"/>
              </w:rPr>
              <w:t>人工费</w:t>
            </w:r>
          </w:p>
        </w:tc>
        <w:tc>
          <w:tcPr>
            <w:tcW w:w="1217" w:type="dxa"/>
            <w:vAlign w:val="top"/>
          </w:tcPr>
          <w:p w14:paraId="31C938AF">
            <w:pPr>
              <w:rPr>
                <w:rFonts w:ascii="Arial"/>
                <w:sz w:val="21"/>
              </w:rPr>
            </w:pPr>
          </w:p>
        </w:tc>
        <w:tc>
          <w:tcPr>
            <w:tcW w:w="965" w:type="dxa"/>
            <w:vAlign w:val="top"/>
          </w:tcPr>
          <w:p w14:paraId="6A73D4F0">
            <w:pPr>
              <w:rPr>
                <w:rFonts w:ascii="Arial"/>
                <w:sz w:val="21"/>
              </w:rPr>
            </w:pPr>
          </w:p>
        </w:tc>
        <w:tc>
          <w:tcPr>
            <w:tcW w:w="1399" w:type="dxa"/>
            <w:vAlign w:val="top"/>
          </w:tcPr>
          <w:p w14:paraId="5FB4CFE9">
            <w:pPr>
              <w:rPr>
                <w:rFonts w:ascii="Arial"/>
                <w:sz w:val="21"/>
              </w:rPr>
            </w:pPr>
          </w:p>
        </w:tc>
        <w:tc>
          <w:tcPr>
            <w:tcW w:w="929" w:type="dxa"/>
            <w:vAlign w:val="top"/>
          </w:tcPr>
          <w:p w14:paraId="53D93057">
            <w:pPr>
              <w:rPr>
                <w:rFonts w:ascii="Arial"/>
                <w:sz w:val="21"/>
              </w:rPr>
            </w:pPr>
          </w:p>
        </w:tc>
      </w:tr>
      <w:tr w14:paraId="1DF3A9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111CC93C">
            <w:pPr>
              <w:rPr>
                <w:rFonts w:ascii="Arial"/>
                <w:sz w:val="21"/>
              </w:rPr>
            </w:pPr>
          </w:p>
        </w:tc>
        <w:tc>
          <w:tcPr>
            <w:tcW w:w="3316" w:type="dxa"/>
            <w:vAlign w:val="top"/>
          </w:tcPr>
          <w:p w14:paraId="2715AC5F">
            <w:pPr>
              <w:pStyle w:val="6"/>
              <w:spacing w:before="167" w:line="227" w:lineRule="auto"/>
              <w:ind w:left="112"/>
            </w:pPr>
            <w:r>
              <w:rPr>
                <w:spacing w:val="6"/>
              </w:rPr>
              <w:t>材料费</w:t>
            </w:r>
          </w:p>
        </w:tc>
        <w:tc>
          <w:tcPr>
            <w:tcW w:w="1217" w:type="dxa"/>
            <w:vAlign w:val="top"/>
          </w:tcPr>
          <w:p w14:paraId="182D6435">
            <w:pPr>
              <w:rPr>
                <w:rFonts w:ascii="Arial"/>
                <w:sz w:val="21"/>
              </w:rPr>
            </w:pPr>
          </w:p>
        </w:tc>
        <w:tc>
          <w:tcPr>
            <w:tcW w:w="965" w:type="dxa"/>
            <w:vAlign w:val="top"/>
          </w:tcPr>
          <w:p w14:paraId="6C0C9915">
            <w:pPr>
              <w:rPr>
                <w:rFonts w:ascii="Arial"/>
                <w:sz w:val="21"/>
              </w:rPr>
            </w:pPr>
          </w:p>
        </w:tc>
        <w:tc>
          <w:tcPr>
            <w:tcW w:w="1399" w:type="dxa"/>
            <w:vAlign w:val="top"/>
          </w:tcPr>
          <w:p w14:paraId="2E2C2437">
            <w:pPr>
              <w:rPr>
                <w:rFonts w:ascii="Arial"/>
                <w:sz w:val="21"/>
              </w:rPr>
            </w:pPr>
          </w:p>
        </w:tc>
        <w:tc>
          <w:tcPr>
            <w:tcW w:w="929" w:type="dxa"/>
            <w:vAlign w:val="top"/>
          </w:tcPr>
          <w:p w14:paraId="3B11D254">
            <w:pPr>
              <w:rPr>
                <w:rFonts w:ascii="Arial"/>
                <w:sz w:val="21"/>
              </w:rPr>
            </w:pPr>
          </w:p>
        </w:tc>
      </w:tr>
      <w:tr w14:paraId="4B649F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55E75D13">
            <w:pPr>
              <w:rPr>
                <w:rFonts w:ascii="Arial"/>
                <w:sz w:val="21"/>
              </w:rPr>
            </w:pPr>
          </w:p>
        </w:tc>
        <w:tc>
          <w:tcPr>
            <w:tcW w:w="3316" w:type="dxa"/>
            <w:vAlign w:val="top"/>
          </w:tcPr>
          <w:p w14:paraId="378F2ECE">
            <w:pPr>
              <w:pStyle w:val="6"/>
              <w:spacing w:before="167" w:line="227" w:lineRule="auto"/>
              <w:ind w:left="111"/>
            </w:pPr>
            <w:r>
              <w:rPr>
                <w:spacing w:val="7"/>
              </w:rPr>
              <w:t>机械费</w:t>
            </w:r>
          </w:p>
        </w:tc>
        <w:tc>
          <w:tcPr>
            <w:tcW w:w="1217" w:type="dxa"/>
            <w:vAlign w:val="top"/>
          </w:tcPr>
          <w:p w14:paraId="554A102F">
            <w:pPr>
              <w:rPr>
                <w:rFonts w:ascii="Arial"/>
                <w:sz w:val="21"/>
              </w:rPr>
            </w:pPr>
          </w:p>
        </w:tc>
        <w:tc>
          <w:tcPr>
            <w:tcW w:w="965" w:type="dxa"/>
            <w:vAlign w:val="top"/>
          </w:tcPr>
          <w:p w14:paraId="0F333129">
            <w:pPr>
              <w:rPr>
                <w:rFonts w:ascii="Arial"/>
                <w:sz w:val="21"/>
              </w:rPr>
            </w:pPr>
          </w:p>
        </w:tc>
        <w:tc>
          <w:tcPr>
            <w:tcW w:w="1399" w:type="dxa"/>
            <w:vAlign w:val="top"/>
          </w:tcPr>
          <w:p w14:paraId="264E870A">
            <w:pPr>
              <w:rPr>
                <w:rFonts w:ascii="Arial"/>
                <w:sz w:val="21"/>
              </w:rPr>
            </w:pPr>
          </w:p>
        </w:tc>
        <w:tc>
          <w:tcPr>
            <w:tcW w:w="929" w:type="dxa"/>
            <w:vAlign w:val="top"/>
          </w:tcPr>
          <w:p w14:paraId="79D41E0F">
            <w:pPr>
              <w:rPr>
                <w:rFonts w:ascii="Arial"/>
                <w:sz w:val="21"/>
              </w:rPr>
            </w:pPr>
          </w:p>
        </w:tc>
      </w:tr>
      <w:tr w14:paraId="01CE7E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6217ACA9">
            <w:pPr>
              <w:rPr>
                <w:rFonts w:ascii="Arial"/>
                <w:sz w:val="21"/>
              </w:rPr>
            </w:pPr>
          </w:p>
        </w:tc>
        <w:tc>
          <w:tcPr>
            <w:tcW w:w="3316" w:type="dxa"/>
            <w:vAlign w:val="top"/>
          </w:tcPr>
          <w:p w14:paraId="740E3BF1">
            <w:pPr>
              <w:pStyle w:val="6"/>
              <w:spacing w:before="167" w:line="228" w:lineRule="auto"/>
              <w:ind w:left="116"/>
            </w:pPr>
            <w:r>
              <w:rPr>
                <w:spacing w:val="5"/>
              </w:rPr>
              <w:t>设备费</w:t>
            </w:r>
          </w:p>
        </w:tc>
        <w:tc>
          <w:tcPr>
            <w:tcW w:w="1217" w:type="dxa"/>
            <w:vAlign w:val="top"/>
          </w:tcPr>
          <w:p w14:paraId="05BDBABF">
            <w:pPr>
              <w:rPr>
                <w:rFonts w:ascii="Arial"/>
                <w:sz w:val="21"/>
              </w:rPr>
            </w:pPr>
          </w:p>
        </w:tc>
        <w:tc>
          <w:tcPr>
            <w:tcW w:w="965" w:type="dxa"/>
            <w:vAlign w:val="top"/>
          </w:tcPr>
          <w:p w14:paraId="491EBE22">
            <w:pPr>
              <w:rPr>
                <w:rFonts w:ascii="Arial"/>
                <w:sz w:val="21"/>
              </w:rPr>
            </w:pPr>
          </w:p>
        </w:tc>
        <w:tc>
          <w:tcPr>
            <w:tcW w:w="1399" w:type="dxa"/>
            <w:vAlign w:val="top"/>
          </w:tcPr>
          <w:p w14:paraId="4D6AFDB1">
            <w:pPr>
              <w:rPr>
                <w:rFonts w:ascii="Arial"/>
                <w:sz w:val="21"/>
              </w:rPr>
            </w:pPr>
          </w:p>
        </w:tc>
        <w:tc>
          <w:tcPr>
            <w:tcW w:w="929" w:type="dxa"/>
            <w:vAlign w:val="top"/>
          </w:tcPr>
          <w:p w14:paraId="09793C2B">
            <w:pPr>
              <w:rPr>
                <w:rFonts w:ascii="Arial"/>
                <w:sz w:val="21"/>
              </w:rPr>
            </w:pPr>
          </w:p>
        </w:tc>
      </w:tr>
      <w:tr w14:paraId="7283EB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6C0EDBF5">
            <w:pPr>
              <w:rPr>
                <w:rFonts w:ascii="Arial"/>
                <w:sz w:val="21"/>
              </w:rPr>
            </w:pPr>
          </w:p>
        </w:tc>
        <w:tc>
          <w:tcPr>
            <w:tcW w:w="3316" w:type="dxa"/>
            <w:vAlign w:val="top"/>
          </w:tcPr>
          <w:p w14:paraId="02E0D949">
            <w:pPr>
              <w:pStyle w:val="6"/>
              <w:spacing w:before="167" w:line="227" w:lineRule="auto"/>
              <w:ind w:left="114"/>
            </w:pPr>
            <w:r>
              <w:rPr>
                <w:spacing w:val="6"/>
              </w:rPr>
              <w:t>主材费</w:t>
            </w:r>
          </w:p>
        </w:tc>
        <w:tc>
          <w:tcPr>
            <w:tcW w:w="1217" w:type="dxa"/>
            <w:vAlign w:val="top"/>
          </w:tcPr>
          <w:p w14:paraId="005B8971">
            <w:pPr>
              <w:rPr>
                <w:rFonts w:ascii="Arial"/>
                <w:sz w:val="21"/>
              </w:rPr>
            </w:pPr>
          </w:p>
        </w:tc>
        <w:tc>
          <w:tcPr>
            <w:tcW w:w="965" w:type="dxa"/>
            <w:vAlign w:val="top"/>
          </w:tcPr>
          <w:p w14:paraId="29918EDC">
            <w:pPr>
              <w:rPr>
                <w:rFonts w:ascii="Arial"/>
                <w:sz w:val="21"/>
              </w:rPr>
            </w:pPr>
          </w:p>
        </w:tc>
        <w:tc>
          <w:tcPr>
            <w:tcW w:w="1399" w:type="dxa"/>
            <w:vAlign w:val="top"/>
          </w:tcPr>
          <w:p w14:paraId="263918A7">
            <w:pPr>
              <w:rPr>
                <w:rFonts w:ascii="Arial"/>
                <w:sz w:val="21"/>
              </w:rPr>
            </w:pPr>
          </w:p>
        </w:tc>
        <w:tc>
          <w:tcPr>
            <w:tcW w:w="929" w:type="dxa"/>
            <w:vAlign w:val="top"/>
          </w:tcPr>
          <w:p w14:paraId="7363AEF7">
            <w:pPr>
              <w:rPr>
                <w:rFonts w:ascii="Arial"/>
                <w:sz w:val="21"/>
              </w:rPr>
            </w:pPr>
          </w:p>
        </w:tc>
      </w:tr>
      <w:tr w14:paraId="57F66B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7197E47A">
            <w:pPr>
              <w:rPr>
                <w:rFonts w:ascii="Arial"/>
                <w:sz w:val="21"/>
              </w:rPr>
            </w:pPr>
          </w:p>
        </w:tc>
        <w:tc>
          <w:tcPr>
            <w:tcW w:w="3316" w:type="dxa"/>
            <w:vAlign w:val="top"/>
          </w:tcPr>
          <w:p w14:paraId="62427E9A">
            <w:pPr>
              <w:rPr>
                <w:rFonts w:ascii="Arial"/>
                <w:sz w:val="21"/>
              </w:rPr>
            </w:pPr>
          </w:p>
        </w:tc>
        <w:tc>
          <w:tcPr>
            <w:tcW w:w="1217" w:type="dxa"/>
            <w:vAlign w:val="top"/>
          </w:tcPr>
          <w:p w14:paraId="506B1E85">
            <w:pPr>
              <w:rPr>
                <w:rFonts w:ascii="Arial"/>
                <w:sz w:val="21"/>
              </w:rPr>
            </w:pPr>
          </w:p>
        </w:tc>
        <w:tc>
          <w:tcPr>
            <w:tcW w:w="965" w:type="dxa"/>
            <w:vAlign w:val="top"/>
          </w:tcPr>
          <w:p w14:paraId="3917CB4F">
            <w:pPr>
              <w:rPr>
                <w:rFonts w:ascii="Arial"/>
                <w:sz w:val="21"/>
              </w:rPr>
            </w:pPr>
          </w:p>
        </w:tc>
        <w:tc>
          <w:tcPr>
            <w:tcW w:w="1399" w:type="dxa"/>
            <w:vAlign w:val="top"/>
          </w:tcPr>
          <w:p w14:paraId="4B78117A">
            <w:pPr>
              <w:rPr>
                <w:rFonts w:ascii="Arial"/>
                <w:sz w:val="21"/>
              </w:rPr>
            </w:pPr>
          </w:p>
        </w:tc>
        <w:tc>
          <w:tcPr>
            <w:tcW w:w="929" w:type="dxa"/>
            <w:vAlign w:val="top"/>
          </w:tcPr>
          <w:p w14:paraId="5E6BC902">
            <w:pPr>
              <w:rPr>
                <w:rFonts w:ascii="Arial"/>
                <w:sz w:val="21"/>
              </w:rPr>
            </w:pPr>
          </w:p>
        </w:tc>
      </w:tr>
      <w:tr w14:paraId="455BDF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037879C7">
            <w:pPr>
              <w:rPr>
                <w:rFonts w:ascii="Arial"/>
                <w:sz w:val="21"/>
              </w:rPr>
            </w:pPr>
          </w:p>
        </w:tc>
        <w:tc>
          <w:tcPr>
            <w:tcW w:w="3316" w:type="dxa"/>
            <w:vAlign w:val="top"/>
          </w:tcPr>
          <w:p w14:paraId="7C21361A">
            <w:pPr>
              <w:rPr>
                <w:rFonts w:ascii="Arial"/>
                <w:sz w:val="21"/>
              </w:rPr>
            </w:pPr>
          </w:p>
        </w:tc>
        <w:tc>
          <w:tcPr>
            <w:tcW w:w="1217" w:type="dxa"/>
            <w:vAlign w:val="top"/>
          </w:tcPr>
          <w:p w14:paraId="6244E6A1">
            <w:pPr>
              <w:rPr>
                <w:rFonts w:ascii="Arial"/>
                <w:sz w:val="21"/>
              </w:rPr>
            </w:pPr>
          </w:p>
        </w:tc>
        <w:tc>
          <w:tcPr>
            <w:tcW w:w="965" w:type="dxa"/>
            <w:vAlign w:val="top"/>
          </w:tcPr>
          <w:p w14:paraId="3B2B4092">
            <w:pPr>
              <w:rPr>
                <w:rFonts w:ascii="Arial"/>
                <w:sz w:val="21"/>
              </w:rPr>
            </w:pPr>
          </w:p>
        </w:tc>
        <w:tc>
          <w:tcPr>
            <w:tcW w:w="1399" w:type="dxa"/>
            <w:vAlign w:val="top"/>
          </w:tcPr>
          <w:p w14:paraId="168A3D9D">
            <w:pPr>
              <w:rPr>
                <w:rFonts w:ascii="Arial"/>
                <w:sz w:val="21"/>
              </w:rPr>
            </w:pPr>
          </w:p>
        </w:tc>
        <w:tc>
          <w:tcPr>
            <w:tcW w:w="929" w:type="dxa"/>
            <w:vAlign w:val="top"/>
          </w:tcPr>
          <w:p w14:paraId="29DE3EBE">
            <w:pPr>
              <w:rPr>
                <w:rFonts w:ascii="Arial"/>
                <w:sz w:val="21"/>
              </w:rPr>
            </w:pPr>
          </w:p>
        </w:tc>
      </w:tr>
      <w:tr w14:paraId="12B6C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754" w:type="dxa"/>
            <w:vAlign w:val="top"/>
          </w:tcPr>
          <w:p w14:paraId="0B48CD54">
            <w:pPr>
              <w:rPr>
                <w:rFonts w:ascii="Arial"/>
                <w:sz w:val="21"/>
              </w:rPr>
            </w:pPr>
          </w:p>
        </w:tc>
        <w:tc>
          <w:tcPr>
            <w:tcW w:w="3316" w:type="dxa"/>
            <w:vAlign w:val="top"/>
          </w:tcPr>
          <w:p w14:paraId="4DF802DC">
            <w:pPr>
              <w:rPr>
                <w:rFonts w:ascii="Arial"/>
                <w:sz w:val="21"/>
              </w:rPr>
            </w:pPr>
          </w:p>
        </w:tc>
        <w:tc>
          <w:tcPr>
            <w:tcW w:w="1217" w:type="dxa"/>
            <w:vAlign w:val="top"/>
          </w:tcPr>
          <w:p w14:paraId="3DAB43CA">
            <w:pPr>
              <w:rPr>
                <w:rFonts w:ascii="Arial"/>
                <w:sz w:val="21"/>
              </w:rPr>
            </w:pPr>
          </w:p>
        </w:tc>
        <w:tc>
          <w:tcPr>
            <w:tcW w:w="965" w:type="dxa"/>
            <w:vAlign w:val="top"/>
          </w:tcPr>
          <w:p w14:paraId="2ADB779D">
            <w:pPr>
              <w:rPr>
                <w:rFonts w:ascii="Arial"/>
                <w:sz w:val="21"/>
              </w:rPr>
            </w:pPr>
          </w:p>
        </w:tc>
        <w:tc>
          <w:tcPr>
            <w:tcW w:w="1399" w:type="dxa"/>
            <w:vAlign w:val="top"/>
          </w:tcPr>
          <w:p w14:paraId="7DDAE44C">
            <w:pPr>
              <w:rPr>
                <w:rFonts w:ascii="Arial"/>
                <w:sz w:val="21"/>
              </w:rPr>
            </w:pPr>
          </w:p>
        </w:tc>
        <w:tc>
          <w:tcPr>
            <w:tcW w:w="929" w:type="dxa"/>
            <w:vAlign w:val="top"/>
          </w:tcPr>
          <w:p w14:paraId="2724FC0B">
            <w:pPr>
              <w:rPr>
                <w:rFonts w:ascii="Arial"/>
                <w:sz w:val="21"/>
              </w:rPr>
            </w:pPr>
          </w:p>
        </w:tc>
      </w:tr>
      <w:tr w14:paraId="113696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23711FD9">
            <w:pPr>
              <w:rPr>
                <w:rFonts w:ascii="Arial"/>
                <w:sz w:val="21"/>
              </w:rPr>
            </w:pPr>
          </w:p>
        </w:tc>
        <w:tc>
          <w:tcPr>
            <w:tcW w:w="3316" w:type="dxa"/>
            <w:vAlign w:val="top"/>
          </w:tcPr>
          <w:p w14:paraId="76B56A6A">
            <w:pPr>
              <w:rPr>
                <w:rFonts w:ascii="Arial"/>
                <w:sz w:val="21"/>
              </w:rPr>
            </w:pPr>
          </w:p>
        </w:tc>
        <w:tc>
          <w:tcPr>
            <w:tcW w:w="1217" w:type="dxa"/>
            <w:vAlign w:val="top"/>
          </w:tcPr>
          <w:p w14:paraId="3DCE25A0">
            <w:pPr>
              <w:rPr>
                <w:rFonts w:ascii="Arial"/>
                <w:sz w:val="21"/>
              </w:rPr>
            </w:pPr>
          </w:p>
        </w:tc>
        <w:tc>
          <w:tcPr>
            <w:tcW w:w="965" w:type="dxa"/>
            <w:vAlign w:val="top"/>
          </w:tcPr>
          <w:p w14:paraId="37B9733D">
            <w:pPr>
              <w:rPr>
                <w:rFonts w:ascii="Arial"/>
                <w:sz w:val="21"/>
              </w:rPr>
            </w:pPr>
          </w:p>
        </w:tc>
        <w:tc>
          <w:tcPr>
            <w:tcW w:w="1399" w:type="dxa"/>
            <w:vAlign w:val="top"/>
          </w:tcPr>
          <w:p w14:paraId="66B8C0E5">
            <w:pPr>
              <w:rPr>
                <w:rFonts w:ascii="Arial"/>
                <w:sz w:val="21"/>
              </w:rPr>
            </w:pPr>
          </w:p>
        </w:tc>
        <w:tc>
          <w:tcPr>
            <w:tcW w:w="929" w:type="dxa"/>
            <w:vAlign w:val="top"/>
          </w:tcPr>
          <w:p w14:paraId="681F8ACA">
            <w:pPr>
              <w:rPr>
                <w:rFonts w:ascii="Arial"/>
                <w:sz w:val="21"/>
              </w:rPr>
            </w:pPr>
          </w:p>
        </w:tc>
      </w:tr>
      <w:tr w14:paraId="36126F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57AF52C2">
            <w:pPr>
              <w:rPr>
                <w:rFonts w:ascii="Arial"/>
                <w:sz w:val="21"/>
              </w:rPr>
            </w:pPr>
          </w:p>
        </w:tc>
        <w:tc>
          <w:tcPr>
            <w:tcW w:w="3316" w:type="dxa"/>
            <w:vAlign w:val="top"/>
          </w:tcPr>
          <w:p w14:paraId="7CA6F600">
            <w:pPr>
              <w:rPr>
                <w:rFonts w:ascii="Arial"/>
                <w:sz w:val="21"/>
              </w:rPr>
            </w:pPr>
          </w:p>
        </w:tc>
        <w:tc>
          <w:tcPr>
            <w:tcW w:w="1217" w:type="dxa"/>
            <w:vAlign w:val="top"/>
          </w:tcPr>
          <w:p w14:paraId="3718F59C">
            <w:pPr>
              <w:rPr>
                <w:rFonts w:ascii="Arial"/>
                <w:sz w:val="21"/>
              </w:rPr>
            </w:pPr>
          </w:p>
        </w:tc>
        <w:tc>
          <w:tcPr>
            <w:tcW w:w="965" w:type="dxa"/>
            <w:vAlign w:val="top"/>
          </w:tcPr>
          <w:p w14:paraId="624BC15D">
            <w:pPr>
              <w:rPr>
                <w:rFonts w:ascii="Arial"/>
                <w:sz w:val="21"/>
              </w:rPr>
            </w:pPr>
          </w:p>
        </w:tc>
        <w:tc>
          <w:tcPr>
            <w:tcW w:w="1399" w:type="dxa"/>
            <w:vAlign w:val="top"/>
          </w:tcPr>
          <w:p w14:paraId="4D9BE98A">
            <w:pPr>
              <w:rPr>
                <w:rFonts w:ascii="Arial"/>
                <w:sz w:val="21"/>
              </w:rPr>
            </w:pPr>
          </w:p>
        </w:tc>
        <w:tc>
          <w:tcPr>
            <w:tcW w:w="929" w:type="dxa"/>
            <w:vAlign w:val="top"/>
          </w:tcPr>
          <w:p w14:paraId="1DA2D0BC">
            <w:pPr>
              <w:rPr>
                <w:rFonts w:ascii="Arial"/>
                <w:sz w:val="21"/>
              </w:rPr>
            </w:pPr>
          </w:p>
        </w:tc>
      </w:tr>
      <w:tr w14:paraId="291CEB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6E61128B">
            <w:pPr>
              <w:rPr>
                <w:rFonts w:ascii="Arial"/>
                <w:sz w:val="21"/>
              </w:rPr>
            </w:pPr>
          </w:p>
        </w:tc>
        <w:tc>
          <w:tcPr>
            <w:tcW w:w="3316" w:type="dxa"/>
            <w:vAlign w:val="top"/>
          </w:tcPr>
          <w:p w14:paraId="2351C62B">
            <w:pPr>
              <w:rPr>
                <w:rFonts w:ascii="Arial"/>
                <w:sz w:val="21"/>
              </w:rPr>
            </w:pPr>
          </w:p>
        </w:tc>
        <w:tc>
          <w:tcPr>
            <w:tcW w:w="1217" w:type="dxa"/>
            <w:vAlign w:val="top"/>
          </w:tcPr>
          <w:p w14:paraId="079C3FE7">
            <w:pPr>
              <w:rPr>
                <w:rFonts w:ascii="Arial"/>
                <w:sz w:val="21"/>
              </w:rPr>
            </w:pPr>
          </w:p>
        </w:tc>
        <w:tc>
          <w:tcPr>
            <w:tcW w:w="965" w:type="dxa"/>
            <w:vAlign w:val="top"/>
          </w:tcPr>
          <w:p w14:paraId="60C4B295">
            <w:pPr>
              <w:rPr>
                <w:rFonts w:ascii="Arial"/>
                <w:sz w:val="21"/>
              </w:rPr>
            </w:pPr>
          </w:p>
        </w:tc>
        <w:tc>
          <w:tcPr>
            <w:tcW w:w="1399" w:type="dxa"/>
            <w:vAlign w:val="top"/>
          </w:tcPr>
          <w:p w14:paraId="682402CD">
            <w:pPr>
              <w:rPr>
                <w:rFonts w:ascii="Arial"/>
                <w:sz w:val="21"/>
              </w:rPr>
            </w:pPr>
          </w:p>
        </w:tc>
        <w:tc>
          <w:tcPr>
            <w:tcW w:w="929" w:type="dxa"/>
            <w:vAlign w:val="top"/>
          </w:tcPr>
          <w:p w14:paraId="1D2232C6">
            <w:pPr>
              <w:rPr>
                <w:rFonts w:ascii="Arial"/>
                <w:sz w:val="21"/>
              </w:rPr>
            </w:pPr>
          </w:p>
        </w:tc>
      </w:tr>
      <w:tr w14:paraId="3FA5AE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5CFED479">
            <w:pPr>
              <w:rPr>
                <w:rFonts w:ascii="Arial"/>
                <w:sz w:val="21"/>
              </w:rPr>
            </w:pPr>
          </w:p>
        </w:tc>
        <w:tc>
          <w:tcPr>
            <w:tcW w:w="3316" w:type="dxa"/>
            <w:vAlign w:val="top"/>
          </w:tcPr>
          <w:p w14:paraId="76A7D710">
            <w:pPr>
              <w:rPr>
                <w:rFonts w:ascii="Arial"/>
                <w:sz w:val="21"/>
              </w:rPr>
            </w:pPr>
          </w:p>
        </w:tc>
        <w:tc>
          <w:tcPr>
            <w:tcW w:w="1217" w:type="dxa"/>
            <w:vAlign w:val="top"/>
          </w:tcPr>
          <w:p w14:paraId="3C376758">
            <w:pPr>
              <w:rPr>
                <w:rFonts w:ascii="Arial"/>
                <w:sz w:val="21"/>
              </w:rPr>
            </w:pPr>
          </w:p>
        </w:tc>
        <w:tc>
          <w:tcPr>
            <w:tcW w:w="965" w:type="dxa"/>
            <w:vAlign w:val="top"/>
          </w:tcPr>
          <w:p w14:paraId="40D44012">
            <w:pPr>
              <w:rPr>
                <w:rFonts w:ascii="Arial"/>
                <w:sz w:val="21"/>
              </w:rPr>
            </w:pPr>
          </w:p>
        </w:tc>
        <w:tc>
          <w:tcPr>
            <w:tcW w:w="1399" w:type="dxa"/>
            <w:vAlign w:val="top"/>
          </w:tcPr>
          <w:p w14:paraId="16789775">
            <w:pPr>
              <w:rPr>
                <w:rFonts w:ascii="Arial"/>
                <w:sz w:val="21"/>
              </w:rPr>
            </w:pPr>
          </w:p>
        </w:tc>
        <w:tc>
          <w:tcPr>
            <w:tcW w:w="929" w:type="dxa"/>
            <w:vAlign w:val="top"/>
          </w:tcPr>
          <w:p w14:paraId="37E3CA6C">
            <w:pPr>
              <w:rPr>
                <w:rFonts w:ascii="Arial"/>
                <w:sz w:val="21"/>
              </w:rPr>
            </w:pPr>
          </w:p>
        </w:tc>
      </w:tr>
      <w:tr w14:paraId="10F52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7FB919EE">
            <w:pPr>
              <w:rPr>
                <w:rFonts w:ascii="Arial"/>
                <w:sz w:val="21"/>
              </w:rPr>
            </w:pPr>
          </w:p>
        </w:tc>
        <w:tc>
          <w:tcPr>
            <w:tcW w:w="3316" w:type="dxa"/>
            <w:vAlign w:val="top"/>
          </w:tcPr>
          <w:p w14:paraId="6E13E40A">
            <w:pPr>
              <w:rPr>
                <w:rFonts w:ascii="Arial"/>
                <w:sz w:val="21"/>
              </w:rPr>
            </w:pPr>
          </w:p>
        </w:tc>
        <w:tc>
          <w:tcPr>
            <w:tcW w:w="1217" w:type="dxa"/>
            <w:vAlign w:val="top"/>
          </w:tcPr>
          <w:p w14:paraId="2B82942D">
            <w:pPr>
              <w:rPr>
                <w:rFonts w:ascii="Arial"/>
                <w:sz w:val="21"/>
              </w:rPr>
            </w:pPr>
          </w:p>
        </w:tc>
        <w:tc>
          <w:tcPr>
            <w:tcW w:w="965" w:type="dxa"/>
            <w:vAlign w:val="top"/>
          </w:tcPr>
          <w:p w14:paraId="4532B02A">
            <w:pPr>
              <w:rPr>
                <w:rFonts w:ascii="Arial"/>
                <w:sz w:val="21"/>
              </w:rPr>
            </w:pPr>
          </w:p>
        </w:tc>
        <w:tc>
          <w:tcPr>
            <w:tcW w:w="1399" w:type="dxa"/>
            <w:vAlign w:val="top"/>
          </w:tcPr>
          <w:p w14:paraId="6E704E44">
            <w:pPr>
              <w:rPr>
                <w:rFonts w:ascii="Arial"/>
                <w:sz w:val="21"/>
              </w:rPr>
            </w:pPr>
          </w:p>
        </w:tc>
        <w:tc>
          <w:tcPr>
            <w:tcW w:w="929" w:type="dxa"/>
            <w:vAlign w:val="top"/>
          </w:tcPr>
          <w:p w14:paraId="58EF6C68">
            <w:pPr>
              <w:rPr>
                <w:rFonts w:ascii="Arial"/>
                <w:sz w:val="21"/>
              </w:rPr>
            </w:pPr>
          </w:p>
        </w:tc>
      </w:tr>
      <w:tr w14:paraId="772766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4070" w:type="dxa"/>
            <w:gridSpan w:val="2"/>
            <w:vAlign w:val="top"/>
          </w:tcPr>
          <w:p w14:paraId="25F6CF66">
            <w:pPr>
              <w:pStyle w:val="6"/>
              <w:spacing w:before="185" w:line="229" w:lineRule="auto"/>
              <w:ind w:left="1779"/>
            </w:pPr>
            <w:r>
              <w:t>合</w:t>
            </w:r>
            <w:r>
              <w:rPr>
                <w:spacing w:val="13"/>
              </w:rPr>
              <w:t xml:space="preserve"> </w:t>
            </w:r>
            <w:r>
              <w:t>计</w:t>
            </w:r>
          </w:p>
        </w:tc>
        <w:tc>
          <w:tcPr>
            <w:tcW w:w="1217" w:type="dxa"/>
            <w:vAlign w:val="top"/>
          </w:tcPr>
          <w:p w14:paraId="042A29F5">
            <w:pPr>
              <w:rPr>
                <w:rFonts w:ascii="Arial"/>
                <w:sz w:val="21"/>
              </w:rPr>
            </w:pPr>
          </w:p>
        </w:tc>
        <w:tc>
          <w:tcPr>
            <w:tcW w:w="965" w:type="dxa"/>
            <w:vAlign w:val="top"/>
          </w:tcPr>
          <w:p w14:paraId="4B7361EF">
            <w:pPr>
              <w:rPr>
                <w:rFonts w:ascii="Arial"/>
                <w:sz w:val="21"/>
              </w:rPr>
            </w:pPr>
          </w:p>
        </w:tc>
        <w:tc>
          <w:tcPr>
            <w:tcW w:w="1399" w:type="dxa"/>
            <w:vAlign w:val="top"/>
          </w:tcPr>
          <w:p w14:paraId="4D7933DB">
            <w:pPr>
              <w:rPr>
                <w:rFonts w:ascii="Arial"/>
                <w:sz w:val="21"/>
              </w:rPr>
            </w:pPr>
          </w:p>
        </w:tc>
        <w:tc>
          <w:tcPr>
            <w:tcW w:w="929" w:type="dxa"/>
            <w:vAlign w:val="top"/>
          </w:tcPr>
          <w:p w14:paraId="545D5DB2">
            <w:pPr>
              <w:rPr>
                <w:rFonts w:ascii="Arial"/>
                <w:sz w:val="21"/>
              </w:rPr>
            </w:pPr>
          </w:p>
        </w:tc>
      </w:tr>
    </w:tbl>
    <w:p w14:paraId="67D95075">
      <w:pPr>
        <w:rPr>
          <w:rFonts w:ascii="Arial"/>
          <w:sz w:val="21"/>
        </w:rPr>
      </w:pPr>
    </w:p>
    <w:p w14:paraId="521F3BF9">
      <w:pPr>
        <w:rPr>
          <w:rFonts w:ascii="Arial" w:hAnsi="Arial" w:eastAsia="Arial" w:cs="Arial"/>
          <w:sz w:val="21"/>
          <w:szCs w:val="21"/>
        </w:rPr>
        <w:sectPr>
          <w:headerReference r:id="rId453" w:type="default"/>
          <w:footerReference r:id="rId454" w:type="default"/>
          <w:pgSz w:w="11907" w:h="16840"/>
          <w:pgMar w:top="400" w:right="1672" w:bottom="1105" w:left="1535" w:header="0" w:footer="943" w:gutter="0"/>
          <w:cols w:space="720" w:num="1"/>
        </w:sectPr>
      </w:pPr>
    </w:p>
    <w:p w14:paraId="3A6224DA">
      <w:pPr>
        <w:spacing w:line="261" w:lineRule="auto"/>
        <w:rPr>
          <w:rFonts w:ascii="Arial"/>
          <w:sz w:val="21"/>
        </w:rPr>
      </w:pPr>
    </w:p>
    <w:p w14:paraId="1474C41D">
      <w:pPr>
        <w:spacing w:line="262" w:lineRule="auto"/>
        <w:rPr>
          <w:rFonts w:ascii="Arial"/>
          <w:sz w:val="21"/>
        </w:rPr>
      </w:pPr>
    </w:p>
    <w:p w14:paraId="32338884">
      <w:pPr>
        <w:spacing w:line="262" w:lineRule="auto"/>
        <w:rPr>
          <w:rFonts w:ascii="Arial"/>
          <w:sz w:val="21"/>
        </w:rPr>
      </w:pPr>
    </w:p>
    <w:p w14:paraId="24253A83">
      <w:pPr>
        <w:spacing w:line="262" w:lineRule="auto"/>
        <w:rPr>
          <w:rFonts w:ascii="Arial"/>
          <w:sz w:val="21"/>
        </w:rPr>
      </w:pPr>
    </w:p>
    <w:p w14:paraId="412E1C1F">
      <w:pPr>
        <w:pStyle w:val="2"/>
        <w:spacing w:before="78" w:line="222" w:lineRule="auto"/>
        <w:outlineLvl w:val="2"/>
        <w:rPr>
          <w:sz w:val="24"/>
          <w:szCs w:val="24"/>
        </w:rPr>
      </w:pPr>
      <w:bookmarkStart w:id="361" w:name="bookmark343"/>
      <w:bookmarkEnd w:id="361"/>
      <w:r>
        <w:rPr>
          <w:rFonts w:ascii="Times New Roman" w:hAnsi="Times New Roman" w:eastAsia="Times New Roman" w:cs="Times New Roman"/>
          <w:spacing w:val="-2"/>
          <w:sz w:val="24"/>
          <w:szCs w:val="24"/>
        </w:rPr>
        <w:t>4.7</w:t>
      </w:r>
      <w:r>
        <w:rPr>
          <w:rFonts w:ascii="Times New Roman" w:hAnsi="Times New Roman" w:eastAsia="Times New Roman" w:cs="Times New Roman"/>
          <w:spacing w:val="23"/>
          <w:sz w:val="24"/>
          <w:szCs w:val="24"/>
        </w:rPr>
        <w:t xml:space="preserve"> </w:t>
      </w:r>
      <w:r>
        <w:rPr>
          <w:spacing w:val="-2"/>
          <w:sz w:val="24"/>
          <w:szCs w:val="24"/>
        </w:rPr>
        <w:t>单项工程投标报价汇总表</w:t>
      </w:r>
    </w:p>
    <w:p w14:paraId="4B3695F8">
      <w:pPr>
        <w:pStyle w:val="2"/>
        <w:spacing w:before="61" w:line="222" w:lineRule="auto"/>
        <w:ind w:left="2885"/>
        <w:rPr>
          <w:sz w:val="28"/>
          <w:szCs w:val="28"/>
        </w:rPr>
      </w:pPr>
      <w:r>
        <w:rPr>
          <w:spacing w:val="-2"/>
          <w:sz w:val="28"/>
          <w:szCs w:val="28"/>
        </w:rPr>
        <w:t>单项工程投标报价汇总表</w:t>
      </w:r>
    </w:p>
    <w:p w14:paraId="358127A1">
      <w:pPr>
        <w:spacing w:before="223" w:line="228" w:lineRule="auto"/>
        <w:ind w:left="6"/>
        <w:rPr>
          <w:rFonts w:ascii="宋体" w:hAnsi="宋体" w:eastAsia="宋体" w:cs="宋体"/>
          <w:sz w:val="20"/>
          <w:szCs w:val="20"/>
        </w:rPr>
      </w:pPr>
      <w:r>
        <w:rPr>
          <w:rFonts w:ascii="宋体" w:hAnsi="宋体" w:eastAsia="宋体" w:cs="宋体"/>
          <w:spacing w:val="3"/>
          <w:sz w:val="20"/>
          <w:szCs w:val="20"/>
        </w:rPr>
        <w:t>工程名称：</w:t>
      </w:r>
      <w:r>
        <w:rPr>
          <w:rFonts w:ascii="宋体" w:hAnsi="宋体" w:eastAsia="宋体" w:cs="宋体"/>
          <w:spacing w:val="1"/>
          <w:sz w:val="20"/>
          <w:szCs w:val="20"/>
        </w:rPr>
        <w:t xml:space="preserve">                                                 </w:t>
      </w:r>
      <w:r>
        <w:rPr>
          <w:rFonts w:ascii="宋体" w:hAnsi="宋体" w:eastAsia="宋体" w:cs="宋体"/>
          <w:spacing w:val="3"/>
          <w:sz w:val="20"/>
          <w:szCs w:val="20"/>
        </w:rPr>
        <w:t>第</w:t>
      </w:r>
      <w:r>
        <w:rPr>
          <w:rFonts w:ascii="宋体" w:hAnsi="宋体" w:eastAsia="宋体" w:cs="宋体"/>
          <w:spacing w:val="20"/>
          <w:sz w:val="20"/>
          <w:szCs w:val="20"/>
        </w:rPr>
        <w:t xml:space="preserve">  </w:t>
      </w:r>
      <w:r>
        <w:rPr>
          <w:rFonts w:ascii="宋体" w:hAnsi="宋体" w:eastAsia="宋体" w:cs="宋体"/>
          <w:spacing w:val="3"/>
          <w:sz w:val="20"/>
          <w:szCs w:val="20"/>
        </w:rPr>
        <w:t>页  共</w:t>
      </w:r>
      <w:r>
        <w:rPr>
          <w:rFonts w:ascii="宋体" w:hAnsi="宋体" w:eastAsia="宋体" w:cs="宋体"/>
          <w:spacing w:val="12"/>
          <w:sz w:val="20"/>
          <w:szCs w:val="20"/>
        </w:rPr>
        <w:t xml:space="preserve">  </w:t>
      </w:r>
      <w:r>
        <w:rPr>
          <w:rFonts w:ascii="宋体" w:hAnsi="宋体" w:eastAsia="宋体" w:cs="宋体"/>
          <w:spacing w:val="3"/>
          <w:sz w:val="20"/>
          <w:szCs w:val="20"/>
        </w:rPr>
        <w:t>页</w:t>
      </w:r>
    </w:p>
    <w:p w14:paraId="544E5431">
      <w:pPr>
        <w:spacing w:line="129" w:lineRule="exact"/>
      </w:pPr>
    </w:p>
    <w:tbl>
      <w:tblPr>
        <w:tblStyle w:val="5"/>
        <w:tblW w:w="8580" w:type="dxa"/>
        <w:tblInd w:w="11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4"/>
        <w:gridCol w:w="3302"/>
        <w:gridCol w:w="1203"/>
        <w:gridCol w:w="923"/>
        <w:gridCol w:w="1469"/>
        <w:gridCol w:w="929"/>
      </w:tblGrid>
      <w:tr w14:paraId="6ED85D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754" w:type="dxa"/>
            <w:vMerge w:val="restart"/>
            <w:tcBorders>
              <w:bottom w:val="nil"/>
            </w:tcBorders>
            <w:vAlign w:val="top"/>
          </w:tcPr>
          <w:p w14:paraId="3157C46F">
            <w:pPr>
              <w:spacing w:line="418" w:lineRule="auto"/>
              <w:rPr>
                <w:rFonts w:ascii="Arial"/>
                <w:sz w:val="21"/>
              </w:rPr>
            </w:pPr>
          </w:p>
          <w:p w14:paraId="35F9723E">
            <w:pPr>
              <w:pStyle w:val="6"/>
              <w:spacing w:before="65" w:line="229" w:lineRule="auto"/>
              <w:ind w:left="172"/>
            </w:pPr>
            <w:r>
              <w:rPr>
                <w:spacing w:val="5"/>
              </w:rPr>
              <w:t>序号</w:t>
            </w:r>
          </w:p>
        </w:tc>
        <w:tc>
          <w:tcPr>
            <w:tcW w:w="3302" w:type="dxa"/>
            <w:vMerge w:val="restart"/>
            <w:tcBorders>
              <w:bottom w:val="nil"/>
            </w:tcBorders>
            <w:vAlign w:val="top"/>
          </w:tcPr>
          <w:p w14:paraId="1765D837">
            <w:pPr>
              <w:spacing w:line="418" w:lineRule="auto"/>
              <w:rPr>
                <w:rFonts w:ascii="Arial"/>
                <w:sz w:val="21"/>
              </w:rPr>
            </w:pPr>
          </w:p>
          <w:p w14:paraId="0BA3FF72">
            <w:pPr>
              <w:pStyle w:val="6"/>
              <w:spacing w:before="65" w:line="228" w:lineRule="auto"/>
              <w:ind w:left="1026"/>
            </w:pPr>
            <w:r>
              <w:rPr>
                <w:spacing w:val="7"/>
              </w:rPr>
              <w:t>单位工程名称</w:t>
            </w:r>
          </w:p>
        </w:tc>
        <w:tc>
          <w:tcPr>
            <w:tcW w:w="1203" w:type="dxa"/>
            <w:vMerge w:val="restart"/>
            <w:tcBorders>
              <w:bottom w:val="nil"/>
            </w:tcBorders>
            <w:vAlign w:val="top"/>
          </w:tcPr>
          <w:p w14:paraId="4AC48D3A">
            <w:pPr>
              <w:spacing w:line="417" w:lineRule="auto"/>
              <w:rPr>
                <w:rFonts w:ascii="Arial"/>
                <w:sz w:val="21"/>
              </w:rPr>
            </w:pPr>
          </w:p>
          <w:p w14:paraId="6C312B8B">
            <w:pPr>
              <w:pStyle w:val="6"/>
              <w:spacing w:before="65" w:line="228" w:lineRule="auto"/>
              <w:ind w:left="114"/>
            </w:pPr>
            <w:r>
              <w:rPr>
                <w:spacing w:val="5"/>
              </w:rPr>
              <w:t>金额（元）</w:t>
            </w:r>
          </w:p>
        </w:tc>
        <w:tc>
          <w:tcPr>
            <w:tcW w:w="3321" w:type="dxa"/>
            <w:gridSpan w:val="3"/>
            <w:vAlign w:val="top"/>
          </w:tcPr>
          <w:p w14:paraId="2B5C2FE4">
            <w:pPr>
              <w:pStyle w:val="6"/>
              <w:spacing w:before="178" w:line="228" w:lineRule="auto"/>
              <w:ind w:left="984"/>
            </w:pPr>
            <w:r>
              <w:rPr>
                <w:spacing w:val="5"/>
              </w:rPr>
              <w:t>其</w:t>
            </w:r>
            <w:r>
              <w:rPr>
                <w:spacing w:val="19"/>
              </w:rPr>
              <w:t xml:space="preserve">  </w:t>
            </w:r>
            <w:r>
              <w:rPr>
                <w:spacing w:val="5"/>
              </w:rPr>
              <w:t>中</w:t>
            </w:r>
            <w:r>
              <w:rPr>
                <w:spacing w:val="-74"/>
              </w:rPr>
              <w:t xml:space="preserve"> </w:t>
            </w:r>
            <w:r>
              <w:rPr>
                <w:spacing w:val="-47"/>
                <w:w w:val="88"/>
              </w:rPr>
              <w:t>：（</w:t>
            </w:r>
            <w:r>
              <w:rPr>
                <w:spacing w:val="5"/>
              </w:rPr>
              <w:t>元）</w:t>
            </w:r>
          </w:p>
        </w:tc>
      </w:tr>
      <w:tr w14:paraId="2EC4A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754" w:type="dxa"/>
            <w:vMerge w:val="continue"/>
            <w:tcBorders>
              <w:top w:val="nil"/>
            </w:tcBorders>
            <w:vAlign w:val="top"/>
          </w:tcPr>
          <w:p w14:paraId="6E8822F4">
            <w:pPr>
              <w:rPr>
                <w:rFonts w:ascii="Arial"/>
                <w:sz w:val="21"/>
              </w:rPr>
            </w:pPr>
          </w:p>
        </w:tc>
        <w:tc>
          <w:tcPr>
            <w:tcW w:w="3302" w:type="dxa"/>
            <w:vMerge w:val="continue"/>
            <w:tcBorders>
              <w:top w:val="nil"/>
            </w:tcBorders>
            <w:vAlign w:val="top"/>
          </w:tcPr>
          <w:p w14:paraId="7D6017D4">
            <w:pPr>
              <w:rPr>
                <w:rFonts w:ascii="Arial"/>
                <w:sz w:val="21"/>
              </w:rPr>
            </w:pPr>
          </w:p>
        </w:tc>
        <w:tc>
          <w:tcPr>
            <w:tcW w:w="1203" w:type="dxa"/>
            <w:vMerge w:val="continue"/>
            <w:tcBorders>
              <w:top w:val="nil"/>
            </w:tcBorders>
            <w:vAlign w:val="top"/>
          </w:tcPr>
          <w:p w14:paraId="68CEA3D5">
            <w:pPr>
              <w:rPr>
                <w:rFonts w:ascii="Arial"/>
                <w:sz w:val="21"/>
              </w:rPr>
            </w:pPr>
          </w:p>
        </w:tc>
        <w:tc>
          <w:tcPr>
            <w:tcW w:w="923" w:type="dxa"/>
            <w:vAlign w:val="top"/>
          </w:tcPr>
          <w:p w14:paraId="55B84FAD">
            <w:pPr>
              <w:pStyle w:val="6"/>
              <w:spacing w:before="211" w:line="226" w:lineRule="auto"/>
              <w:ind w:left="159"/>
            </w:pPr>
            <w:r>
              <w:rPr>
                <w:spacing w:val="4"/>
              </w:rPr>
              <w:t>暂估价</w:t>
            </w:r>
          </w:p>
        </w:tc>
        <w:tc>
          <w:tcPr>
            <w:tcW w:w="1469" w:type="dxa"/>
            <w:vAlign w:val="top"/>
          </w:tcPr>
          <w:p w14:paraId="107D4FD9">
            <w:pPr>
              <w:pStyle w:val="6"/>
              <w:spacing w:before="59" w:line="247" w:lineRule="auto"/>
              <w:ind w:left="426" w:right="312" w:hanging="100"/>
            </w:pPr>
            <w:r>
              <w:rPr>
                <w:spacing w:val="6"/>
              </w:rPr>
              <w:t>安全文明</w:t>
            </w:r>
            <w:r>
              <w:rPr>
                <w:spacing w:val="7"/>
              </w:rPr>
              <w:t>施工费</w:t>
            </w:r>
          </w:p>
        </w:tc>
        <w:tc>
          <w:tcPr>
            <w:tcW w:w="929" w:type="dxa"/>
            <w:vAlign w:val="top"/>
          </w:tcPr>
          <w:p w14:paraId="2F7F7554">
            <w:pPr>
              <w:pStyle w:val="6"/>
              <w:spacing w:before="211" w:line="228" w:lineRule="auto"/>
              <w:ind w:left="260"/>
            </w:pPr>
            <w:r>
              <w:rPr>
                <w:spacing w:val="4"/>
              </w:rPr>
              <w:t>规费</w:t>
            </w:r>
          </w:p>
        </w:tc>
      </w:tr>
      <w:tr w14:paraId="3C05AB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2115029C">
            <w:pPr>
              <w:pStyle w:val="6"/>
              <w:spacing w:before="151" w:line="270" w:lineRule="exact"/>
              <w:ind w:left="344"/>
            </w:pPr>
            <w:r>
              <w:rPr>
                <w:position w:val="1"/>
              </w:rPr>
              <w:t>1</w:t>
            </w:r>
          </w:p>
        </w:tc>
        <w:tc>
          <w:tcPr>
            <w:tcW w:w="3302" w:type="dxa"/>
            <w:vAlign w:val="top"/>
          </w:tcPr>
          <w:p w14:paraId="2CC6E4EF">
            <w:pPr>
              <w:pStyle w:val="6"/>
              <w:spacing w:before="151" w:line="228" w:lineRule="auto"/>
              <w:ind w:left="114"/>
            </w:pPr>
            <w:r>
              <w:rPr>
                <w:spacing w:val="6"/>
              </w:rPr>
              <w:t>单位工程</w:t>
            </w:r>
          </w:p>
        </w:tc>
        <w:tc>
          <w:tcPr>
            <w:tcW w:w="1203" w:type="dxa"/>
            <w:vAlign w:val="top"/>
          </w:tcPr>
          <w:p w14:paraId="2341A6F6">
            <w:pPr>
              <w:rPr>
                <w:rFonts w:ascii="Arial"/>
                <w:sz w:val="21"/>
              </w:rPr>
            </w:pPr>
          </w:p>
        </w:tc>
        <w:tc>
          <w:tcPr>
            <w:tcW w:w="923" w:type="dxa"/>
            <w:vAlign w:val="top"/>
          </w:tcPr>
          <w:p w14:paraId="00188DF6">
            <w:pPr>
              <w:rPr>
                <w:rFonts w:ascii="Arial"/>
                <w:sz w:val="21"/>
              </w:rPr>
            </w:pPr>
          </w:p>
        </w:tc>
        <w:tc>
          <w:tcPr>
            <w:tcW w:w="1469" w:type="dxa"/>
            <w:vAlign w:val="top"/>
          </w:tcPr>
          <w:p w14:paraId="4FC9B91F">
            <w:pPr>
              <w:rPr>
                <w:rFonts w:ascii="Arial"/>
                <w:sz w:val="21"/>
              </w:rPr>
            </w:pPr>
          </w:p>
        </w:tc>
        <w:tc>
          <w:tcPr>
            <w:tcW w:w="929" w:type="dxa"/>
            <w:vAlign w:val="top"/>
          </w:tcPr>
          <w:p w14:paraId="6180542E">
            <w:pPr>
              <w:rPr>
                <w:rFonts w:ascii="Arial"/>
                <w:sz w:val="21"/>
              </w:rPr>
            </w:pPr>
          </w:p>
        </w:tc>
      </w:tr>
      <w:tr w14:paraId="7C0926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762E72E4">
            <w:pPr>
              <w:rPr>
                <w:rFonts w:ascii="Arial"/>
                <w:sz w:val="21"/>
              </w:rPr>
            </w:pPr>
          </w:p>
        </w:tc>
        <w:tc>
          <w:tcPr>
            <w:tcW w:w="3302" w:type="dxa"/>
            <w:vAlign w:val="top"/>
          </w:tcPr>
          <w:p w14:paraId="347AAE3B">
            <w:pPr>
              <w:rPr>
                <w:rFonts w:ascii="Arial"/>
                <w:sz w:val="21"/>
              </w:rPr>
            </w:pPr>
          </w:p>
        </w:tc>
        <w:tc>
          <w:tcPr>
            <w:tcW w:w="1203" w:type="dxa"/>
            <w:vAlign w:val="top"/>
          </w:tcPr>
          <w:p w14:paraId="4E71B8F9">
            <w:pPr>
              <w:rPr>
                <w:rFonts w:ascii="Arial"/>
                <w:sz w:val="21"/>
              </w:rPr>
            </w:pPr>
          </w:p>
        </w:tc>
        <w:tc>
          <w:tcPr>
            <w:tcW w:w="923" w:type="dxa"/>
            <w:vAlign w:val="top"/>
          </w:tcPr>
          <w:p w14:paraId="59CA0158">
            <w:pPr>
              <w:rPr>
                <w:rFonts w:ascii="Arial"/>
                <w:sz w:val="21"/>
              </w:rPr>
            </w:pPr>
          </w:p>
        </w:tc>
        <w:tc>
          <w:tcPr>
            <w:tcW w:w="1469" w:type="dxa"/>
            <w:vAlign w:val="top"/>
          </w:tcPr>
          <w:p w14:paraId="0D9C3C5B">
            <w:pPr>
              <w:rPr>
                <w:rFonts w:ascii="Arial"/>
                <w:sz w:val="21"/>
              </w:rPr>
            </w:pPr>
          </w:p>
        </w:tc>
        <w:tc>
          <w:tcPr>
            <w:tcW w:w="929" w:type="dxa"/>
            <w:vAlign w:val="top"/>
          </w:tcPr>
          <w:p w14:paraId="6D1E8C4D">
            <w:pPr>
              <w:rPr>
                <w:rFonts w:ascii="Arial"/>
                <w:sz w:val="21"/>
              </w:rPr>
            </w:pPr>
          </w:p>
        </w:tc>
      </w:tr>
      <w:tr w14:paraId="4B329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754" w:type="dxa"/>
            <w:vAlign w:val="top"/>
          </w:tcPr>
          <w:p w14:paraId="1906198B">
            <w:pPr>
              <w:rPr>
                <w:rFonts w:ascii="Arial"/>
                <w:sz w:val="21"/>
              </w:rPr>
            </w:pPr>
          </w:p>
        </w:tc>
        <w:tc>
          <w:tcPr>
            <w:tcW w:w="3302" w:type="dxa"/>
            <w:vAlign w:val="top"/>
          </w:tcPr>
          <w:p w14:paraId="0A6E0F88">
            <w:pPr>
              <w:pStyle w:val="6"/>
              <w:spacing w:before="151" w:line="228" w:lineRule="auto"/>
              <w:ind w:left="114"/>
            </w:pPr>
            <w:r>
              <w:rPr>
                <w:spacing w:val="6"/>
              </w:rPr>
              <w:t>单项工程数据：</w:t>
            </w:r>
          </w:p>
        </w:tc>
        <w:tc>
          <w:tcPr>
            <w:tcW w:w="1203" w:type="dxa"/>
            <w:vAlign w:val="top"/>
          </w:tcPr>
          <w:p w14:paraId="3B82E634">
            <w:pPr>
              <w:rPr>
                <w:rFonts w:ascii="Arial"/>
                <w:sz w:val="21"/>
              </w:rPr>
            </w:pPr>
          </w:p>
        </w:tc>
        <w:tc>
          <w:tcPr>
            <w:tcW w:w="923" w:type="dxa"/>
            <w:vAlign w:val="top"/>
          </w:tcPr>
          <w:p w14:paraId="618CBAEE">
            <w:pPr>
              <w:rPr>
                <w:rFonts w:ascii="Arial"/>
                <w:sz w:val="21"/>
              </w:rPr>
            </w:pPr>
          </w:p>
        </w:tc>
        <w:tc>
          <w:tcPr>
            <w:tcW w:w="1469" w:type="dxa"/>
            <w:vAlign w:val="top"/>
          </w:tcPr>
          <w:p w14:paraId="5C947FBA">
            <w:pPr>
              <w:rPr>
                <w:rFonts w:ascii="Arial"/>
                <w:sz w:val="21"/>
              </w:rPr>
            </w:pPr>
          </w:p>
        </w:tc>
        <w:tc>
          <w:tcPr>
            <w:tcW w:w="929" w:type="dxa"/>
            <w:vAlign w:val="top"/>
          </w:tcPr>
          <w:p w14:paraId="2CFD682B">
            <w:pPr>
              <w:rPr>
                <w:rFonts w:ascii="Arial"/>
                <w:sz w:val="21"/>
              </w:rPr>
            </w:pPr>
          </w:p>
        </w:tc>
      </w:tr>
      <w:tr w14:paraId="571C35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22862F5F">
            <w:pPr>
              <w:rPr>
                <w:rFonts w:ascii="Arial"/>
                <w:sz w:val="21"/>
              </w:rPr>
            </w:pPr>
          </w:p>
        </w:tc>
        <w:tc>
          <w:tcPr>
            <w:tcW w:w="3302" w:type="dxa"/>
            <w:vAlign w:val="top"/>
          </w:tcPr>
          <w:p w14:paraId="649C992A">
            <w:pPr>
              <w:pStyle w:val="6"/>
              <w:spacing w:before="150" w:line="228" w:lineRule="auto"/>
              <w:ind w:left="114"/>
            </w:pPr>
            <w:r>
              <w:rPr>
                <w:spacing w:val="6"/>
              </w:rPr>
              <w:t>人工费</w:t>
            </w:r>
          </w:p>
        </w:tc>
        <w:tc>
          <w:tcPr>
            <w:tcW w:w="1203" w:type="dxa"/>
            <w:vAlign w:val="top"/>
          </w:tcPr>
          <w:p w14:paraId="52F2D826">
            <w:pPr>
              <w:rPr>
                <w:rFonts w:ascii="Arial"/>
                <w:sz w:val="21"/>
              </w:rPr>
            </w:pPr>
          </w:p>
        </w:tc>
        <w:tc>
          <w:tcPr>
            <w:tcW w:w="923" w:type="dxa"/>
            <w:vAlign w:val="top"/>
          </w:tcPr>
          <w:p w14:paraId="0B46361F">
            <w:pPr>
              <w:rPr>
                <w:rFonts w:ascii="Arial"/>
                <w:sz w:val="21"/>
              </w:rPr>
            </w:pPr>
          </w:p>
        </w:tc>
        <w:tc>
          <w:tcPr>
            <w:tcW w:w="1469" w:type="dxa"/>
            <w:vAlign w:val="top"/>
          </w:tcPr>
          <w:p w14:paraId="71C3FC86">
            <w:pPr>
              <w:rPr>
                <w:rFonts w:ascii="Arial"/>
                <w:sz w:val="21"/>
              </w:rPr>
            </w:pPr>
          </w:p>
        </w:tc>
        <w:tc>
          <w:tcPr>
            <w:tcW w:w="929" w:type="dxa"/>
            <w:vAlign w:val="top"/>
          </w:tcPr>
          <w:p w14:paraId="2C2C483B">
            <w:pPr>
              <w:rPr>
                <w:rFonts w:ascii="Arial"/>
                <w:sz w:val="21"/>
              </w:rPr>
            </w:pPr>
          </w:p>
        </w:tc>
      </w:tr>
      <w:tr w14:paraId="5A3EE2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3" w:hRule="atLeast"/>
        </w:trPr>
        <w:tc>
          <w:tcPr>
            <w:tcW w:w="754" w:type="dxa"/>
            <w:vAlign w:val="top"/>
          </w:tcPr>
          <w:p w14:paraId="6877F394">
            <w:pPr>
              <w:rPr>
                <w:rFonts w:ascii="Arial"/>
                <w:sz w:val="21"/>
              </w:rPr>
            </w:pPr>
          </w:p>
        </w:tc>
        <w:tc>
          <w:tcPr>
            <w:tcW w:w="3302" w:type="dxa"/>
            <w:vAlign w:val="top"/>
          </w:tcPr>
          <w:p w14:paraId="58B85BB0">
            <w:pPr>
              <w:pStyle w:val="6"/>
              <w:spacing w:before="150" w:line="227" w:lineRule="auto"/>
              <w:ind w:left="112"/>
            </w:pPr>
            <w:r>
              <w:rPr>
                <w:spacing w:val="6"/>
              </w:rPr>
              <w:t>材料费</w:t>
            </w:r>
          </w:p>
        </w:tc>
        <w:tc>
          <w:tcPr>
            <w:tcW w:w="1203" w:type="dxa"/>
            <w:vAlign w:val="top"/>
          </w:tcPr>
          <w:p w14:paraId="0EA31BF1">
            <w:pPr>
              <w:rPr>
                <w:rFonts w:ascii="Arial"/>
                <w:sz w:val="21"/>
              </w:rPr>
            </w:pPr>
          </w:p>
        </w:tc>
        <w:tc>
          <w:tcPr>
            <w:tcW w:w="923" w:type="dxa"/>
            <w:vAlign w:val="top"/>
          </w:tcPr>
          <w:p w14:paraId="6AAFD3ED">
            <w:pPr>
              <w:rPr>
                <w:rFonts w:ascii="Arial"/>
                <w:sz w:val="21"/>
              </w:rPr>
            </w:pPr>
          </w:p>
        </w:tc>
        <w:tc>
          <w:tcPr>
            <w:tcW w:w="1469" w:type="dxa"/>
            <w:vAlign w:val="top"/>
          </w:tcPr>
          <w:p w14:paraId="3B39D12D">
            <w:pPr>
              <w:rPr>
                <w:rFonts w:ascii="Arial"/>
                <w:sz w:val="21"/>
              </w:rPr>
            </w:pPr>
          </w:p>
        </w:tc>
        <w:tc>
          <w:tcPr>
            <w:tcW w:w="929" w:type="dxa"/>
            <w:vAlign w:val="top"/>
          </w:tcPr>
          <w:p w14:paraId="79A67AFE">
            <w:pPr>
              <w:rPr>
                <w:rFonts w:ascii="Arial"/>
                <w:sz w:val="21"/>
              </w:rPr>
            </w:pPr>
          </w:p>
        </w:tc>
      </w:tr>
      <w:tr w14:paraId="49B836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13CC5465">
            <w:pPr>
              <w:rPr>
                <w:rFonts w:ascii="Arial"/>
                <w:sz w:val="21"/>
              </w:rPr>
            </w:pPr>
          </w:p>
        </w:tc>
        <w:tc>
          <w:tcPr>
            <w:tcW w:w="3302" w:type="dxa"/>
            <w:vAlign w:val="top"/>
          </w:tcPr>
          <w:p w14:paraId="4C7C272D">
            <w:pPr>
              <w:pStyle w:val="6"/>
              <w:spacing w:before="151" w:line="227" w:lineRule="auto"/>
              <w:ind w:left="111"/>
            </w:pPr>
            <w:r>
              <w:rPr>
                <w:spacing w:val="7"/>
              </w:rPr>
              <w:t>机械费</w:t>
            </w:r>
          </w:p>
        </w:tc>
        <w:tc>
          <w:tcPr>
            <w:tcW w:w="1203" w:type="dxa"/>
            <w:vAlign w:val="top"/>
          </w:tcPr>
          <w:p w14:paraId="28644DF5">
            <w:pPr>
              <w:rPr>
                <w:rFonts w:ascii="Arial"/>
                <w:sz w:val="21"/>
              </w:rPr>
            </w:pPr>
          </w:p>
        </w:tc>
        <w:tc>
          <w:tcPr>
            <w:tcW w:w="923" w:type="dxa"/>
            <w:vAlign w:val="top"/>
          </w:tcPr>
          <w:p w14:paraId="0027CC5D">
            <w:pPr>
              <w:rPr>
                <w:rFonts w:ascii="Arial"/>
                <w:sz w:val="21"/>
              </w:rPr>
            </w:pPr>
          </w:p>
        </w:tc>
        <w:tc>
          <w:tcPr>
            <w:tcW w:w="1469" w:type="dxa"/>
            <w:vAlign w:val="top"/>
          </w:tcPr>
          <w:p w14:paraId="1F3EFFDE">
            <w:pPr>
              <w:rPr>
                <w:rFonts w:ascii="Arial"/>
                <w:sz w:val="21"/>
              </w:rPr>
            </w:pPr>
          </w:p>
        </w:tc>
        <w:tc>
          <w:tcPr>
            <w:tcW w:w="929" w:type="dxa"/>
            <w:vAlign w:val="top"/>
          </w:tcPr>
          <w:p w14:paraId="64542CED">
            <w:pPr>
              <w:rPr>
                <w:rFonts w:ascii="Arial"/>
                <w:sz w:val="21"/>
              </w:rPr>
            </w:pPr>
          </w:p>
        </w:tc>
      </w:tr>
      <w:tr w14:paraId="200A6C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650DEF9F">
            <w:pPr>
              <w:rPr>
                <w:rFonts w:ascii="Arial"/>
                <w:sz w:val="21"/>
              </w:rPr>
            </w:pPr>
          </w:p>
        </w:tc>
        <w:tc>
          <w:tcPr>
            <w:tcW w:w="3302" w:type="dxa"/>
            <w:vAlign w:val="top"/>
          </w:tcPr>
          <w:p w14:paraId="243834BC">
            <w:pPr>
              <w:pStyle w:val="6"/>
              <w:spacing w:before="152" w:line="228" w:lineRule="auto"/>
              <w:ind w:left="116"/>
            </w:pPr>
            <w:r>
              <w:rPr>
                <w:spacing w:val="5"/>
              </w:rPr>
              <w:t>设备费</w:t>
            </w:r>
          </w:p>
        </w:tc>
        <w:tc>
          <w:tcPr>
            <w:tcW w:w="1203" w:type="dxa"/>
            <w:vAlign w:val="top"/>
          </w:tcPr>
          <w:p w14:paraId="3460FFCC">
            <w:pPr>
              <w:rPr>
                <w:rFonts w:ascii="Arial"/>
                <w:sz w:val="21"/>
              </w:rPr>
            </w:pPr>
          </w:p>
        </w:tc>
        <w:tc>
          <w:tcPr>
            <w:tcW w:w="923" w:type="dxa"/>
            <w:vAlign w:val="top"/>
          </w:tcPr>
          <w:p w14:paraId="6D717AAE">
            <w:pPr>
              <w:rPr>
                <w:rFonts w:ascii="Arial"/>
                <w:sz w:val="21"/>
              </w:rPr>
            </w:pPr>
          </w:p>
        </w:tc>
        <w:tc>
          <w:tcPr>
            <w:tcW w:w="1469" w:type="dxa"/>
            <w:vAlign w:val="top"/>
          </w:tcPr>
          <w:p w14:paraId="4A99F32B">
            <w:pPr>
              <w:rPr>
                <w:rFonts w:ascii="Arial"/>
                <w:sz w:val="21"/>
              </w:rPr>
            </w:pPr>
          </w:p>
        </w:tc>
        <w:tc>
          <w:tcPr>
            <w:tcW w:w="929" w:type="dxa"/>
            <w:vAlign w:val="top"/>
          </w:tcPr>
          <w:p w14:paraId="4AB90A6C">
            <w:pPr>
              <w:rPr>
                <w:rFonts w:ascii="Arial"/>
                <w:sz w:val="21"/>
              </w:rPr>
            </w:pPr>
          </w:p>
        </w:tc>
      </w:tr>
      <w:tr w14:paraId="0D79C2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5227FD47">
            <w:pPr>
              <w:rPr>
                <w:rFonts w:ascii="Arial"/>
                <w:sz w:val="21"/>
              </w:rPr>
            </w:pPr>
          </w:p>
        </w:tc>
        <w:tc>
          <w:tcPr>
            <w:tcW w:w="3302" w:type="dxa"/>
            <w:vAlign w:val="top"/>
          </w:tcPr>
          <w:p w14:paraId="626A8E01">
            <w:pPr>
              <w:pStyle w:val="6"/>
              <w:spacing w:before="151" w:line="227" w:lineRule="auto"/>
              <w:ind w:left="114"/>
            </w:pPr>
            <w:r>
              <w:rPr>
                <w:spacing w:val="6"/>
              </w:rPr>
              <w:t>主材费</w:t>
            </w:r>
          </w:p>
        </w:tc>
        <w:tc>
          <w:tcPr>
            <w:tcW w:w="1203" w:type="dxa"/>
            <w:vAlign w:val="top"/>
          </w:tcPr>
          <w:p w14:paraId="046A9E52">
            <w:pPr>
              <w:rPr>
                <w:rFonts w:ascii="Arial"/>
                <w:sz w:val="21"/>
              </w:rPr>
            </w:pPr>
          </w:p>
        </w:tc>
        <w:tc>
          <w:tcPr>
            <w:tcW w:w="923" w:type="dxa"/>
            <w:vAlign w:val="top"/>
          </w:tcPr>
          <w:p w14:paraId="0E71E964">
            <w:pPr>
              <w:rPr>
                <w:rFonts w:ascii="Arial"/>
                <w:sz w:val="21"/>
              </w:rPr>
            </w:pPr>
          </w:p>
        </w:tc>
        <w:tc>
          <w:tcPr>
            <w:tcW w:w="1469" w:type="dxa"/>
            <w:vAlign w:val="top"/>
          </w:tcPr>
          <w:p w14:paraId="16F35B70">
            <w:pPr>
              <w:rPr>
                <w:rFonts w:ascii="Arial"/>
                <w:sz w:val="21"/>
              </w:rPr>
            </w:pPr>
          </w:p>
        </w:tc>
        <w:tc>
          <w:tcPr>
            <w:tcW w:w="929" w:type="dxa"/>
            <w:vAlign w:val="top"/>
          </w:tcPr>
          <w:p w14:paraId="25184D16">
            <w:pPr>
              <w:rPr>
                <w:rFonts w:ascii="Arial"/>
                <w:sz w:val="21"/>
              </w:rPr>
            </w:pPr>
          </w:p>
        </w:tc>
      </w:tr>
      <w:tr w14:paraId="6CA110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20906037">
            <w:pPr>
              <w:rPr>
                <w:rFonts w:ascii="Arial"/>
                <w:sz w:val="21"/>
              </w:rPr>
            </w:pPr>
          </w:p>
        </w:tc>
        <w:tc>
          <w:tcPr>
            <w:tcW w:w="3302" w:type="dxa"/>
            <w:vAlign w:val="top"/>
          </w:tcPr>
          <w:p w14:paraId="116D30A5">
            <w:pPr>
              <w:rPr>
                <w:rFonts w:ascii="Arial"/>
                <w:sz w:val="21"/>
              </w:rPr>
            </w:pPr>
          </w:p>
        </w:tc>
        <w:tc>
          <w:tcPr>
            <w:tcW w:w="1203" w:type="dxa"/>
            <w:vAlign w:val="top"/>
          </w:tcPr>
          <w:p w14:paraId="14638868">
            <w:pPr>
              <w:rPr>
                <w:rFonts w:ascii="Arial"/>
                <w:sz w:val="21"/>
              </w:rPr>
            </w:pPr>
          </w:p>
        </w:tc>
        <w:tc>
          <w:tcPr>
            <w:tcW w:w="923" w:type="dxa"/>
            <w:vAlign w:val="top"/>
          </w:tcPr>
          <w:p w14:paraId="47F006DA">
            <w:pPr>
              <w:rPr>
                <w:rFonts w:ascii="Arial"/>
                <w:sz w:val="21"/>
              </w:rPr>
            </w:pPr>
          </w:p>
        </w:tc>
        <w:tc>
          <w:tcPr>
            <w:tcW w:w="1469" w:type="dxa"/>
            <w:vAlign w:val="top"/>
          </w:tcPr>
          <w:p w14:paraId="464315F9">
            <w:pPr>
              <w:rPr>
                <w:rFonts w:ascii="Arial"/>
                <w:sz w:val="21"/>
              </w:rPr>
            </w:pPr>
          </w:p>
        </w:tc>
        <w:tc>
          <w:tcPr>
            <w:tcW w:w="929" w:type="dxa"/>
            <w:vAlign w:val="top"/>
          </w:tcPr>
          <w:p w14:paraId="244EE460">
            <w:pPr>
              <w:rPr>
                <w:rFonts w:ascii="Arial"/>
                <w:sz w:val="21"/>
              </w:rPr>
            </w:pPr>
          </w:p>
        </w:tc>
      </w:tr>
      <w:tr w14:paraId="7E6690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0533BB95">
            <w:pPr>
              <w:rPr>
                <w:rFonts w:ascii="Arial"/>
                <w:sz w:val="21"/>
              </w:rPr>
            </w:pPr>
          </w:p>
        </w:tc>
        <w:tc>
          <w:tcPr>
            <w:tcW w:w="3302" w:type="dxa"/>
            <w:vAlign w:val="top"/>
          </w:tcPr>
          <w:p w14:paraId="0FBC20A6">
            <w:pPr>
              <w:rPr>
                <w:rFonts w:ascii="Arial"/>
                <w:sz w:val="21"/>
              </w:rPr>
            </w:pPr>
          </w:p>
        </w:tc>
        <w:tc>
          <w:tcPr>
            <w:tcW w:w="1203" w:type="dxa"/>
            <w:vAlign w:val="top"/>
          </w:tcPr>
          <w:p w14:paraId="78201C3F">
            <w:pPr>
              <w:rPr>
                <w:rFonts w:ascii="Arial"/>
                <w:sz w:val="21"/>
              </w:rPr>
            </w:pPr>
          </w:p>
        </w:tc>
        <w:tc>
          <w:tcPr>
            <w:tcW w:w="923" w:type="dxa"/>
            <w:vAlign w:val="top"/>
          </w:tcPr>
          <w:p w14:paraId="442BF0AE">
            <w:pPr>
              <w:rPr>
                <w:rFonts w:ascii="Arial"/>
                <w:sz w:val="21"/>
              </w:rPr>
            </w:pPr>
          </w:p>
        </w:tc>
        <w:tc>
          <w:tcPr>
            <w:tcW w:w="1469" w:type="dxa"/>
            <w:vAlign w:val="top"/>
          </w:tcPr>
          <w:p w14:paraId="6C0CCF5B">
            <w:pPr>
              <w:rPr>
                <w:rFonts w:ascii="Arial"/>
                <w:sz w:val="21"/>
              </w:rPr>
            </w:pPr>
          </w:p>
        </w:tc>
        <w:tc>
          <w:tcPr>
            <w:tcW w:w="929" w:type="dxa"/>
            <w:vAlign w:val="top"/>
          </w:tcPr>
          <w:p w14:paraId="0C47ADAE">
            <w:pPr>
              <w:rPr>
                <w:rFonts w:ascii="Arial"/>
                <w:sz w:val="21"/>
              </w:rPr>
            </w:pPr>
          </w:p>
        </w:tc>
      </w:tr>
      <w:tr w14:paraId="3FC01A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3AAF1A99">
            <w:pPr>
              <w:rPr>
                <w:rFonts w:ascii="Arial"/>
                <w:sz w:val="21"/>
              </w:rPr>
            </w:pPr>
          </w:p>
        </w:tc>
        <w:tc>
          <w:tcPr>
            <w:tcW w:w="3302" w:type="dxa"/>
            <w:vAlign w:val="top"/>
          </w:tcPr>
          <w:p w14:paraId="13340177">
            <w:pPr>
              <w:rPr>
                <w:rFonts w:ascii="Arial"/>
                <w:sz w:val="21"/>
              </w:rPr>
            </w:pPr>
          </w:p>
        </w:tc>
        <w:tc>
          <w:tcPr>
            <w:tcW w:w="1203" w:type="dxa"/>
            <w:vAlign w:val="top"/>
          </w:tcPr>
          <w:p w14:paraId="088429E1">
            <w:pPr>
              <w:rPr>
                <w:rFonts w:ascii="Arial"/>
                <w:sz w:val="21"/>
              </w:rPr>
            </w:pPr>
          </w:p>
        </w:tc>
        <w:tc>
          <w:tcPr>
            <w:tcW w:w="923" w:type="dxa"/>
            <w:vAlign w:val="top"/>
          </w:tcPr>
          <w:p w14:paraId="654B7577">
            <w:pPr>
              <w:rPr>
                <w:rFonts w:ascii="Arial"/>
                <w:sz w:val="21"/>
              </w:rPr>
            </w:pPr>
          </w:p>
        </w:tc>
        <w:tc>
          <w:tcPr>
            <w:tcW w:w="1469" w:type="dxa"/>
            <w:vAlign w:val="top"/>
          </w:tcPr>
          <w:p w14:paraId="7FF3D46D">
            <w:pPr>
              <w:rPr>
                <w:rFonts w:ascii="Arial"/>
                <w:sz w:val="21"/>
              </w:rPr>
            </w:pPr>
          </w:p>
        </w:tc>
        <w:tc>
          <w:tcPr>
            <w:tcW w:w="929" w:type="dxa"/>
            <w:vAlign w:val="top"/>
          </w:tcPr>
          <w:p w14:paraId="27910858">
            <w:pPr>
              <w:rPr>
                <w:rFonts w:ascii="Arial"/>
                <w:sz w:val="21"/>
              </w:rPr>
            </w:pPr>
          </w:p>
        </w:tc>
      </w:tr>
      <w:tr w14:paraId="44BC0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754" w:type="dxa"/>
            <w:vAlign w:val="top"/>
          </w:tcPr>
          <w:p w14:paraId="20FB5728">
            <w:pPr>
              <w:rPr>
                <w:rFonts w:ascii="Arial"/>
                <w:sz w:val="21"/>
              </w:rPr>
            </w:pPr>
          </w:p>
        </w:tc>
        <w:tc>
          <w:tcPr>
            <w:tcW w:w="3302" w:type="dxa"/>
            <w:vAlign w:val="top"/>
          </w:tcPr>
          <w:p w14:paraId="42DF521C">
            <w:pPr>
              <w:rPr>
                <w:rFonts w:ascii="Arial"/>
                <w:sz w:val="21"/>
              </w:rPr>
            </w:pPr>
          </w:p>
        </w:tc>
        <w:tc>
          <w:tcPr>
            <w:tcW w:w="1203" w:type="dxa"/>
            <w:vAlign w:val="top"/>
          </w:tcPr>
          <w:p w14:paraId="67BED16E">
            <w:pPr>
              <w:rPr>
                <w:rFonts w:ascii="Arial"/>
                <w:sz w:val="21"/>
              </w:rPr>
            </w:pPr>
          </w:p>
        </w:tc>
        <w:tc>
          <w:tcPr>
            <w:tcW w:w="923" w:type="dxa"/>
            <w:vAlign w:val="top"/>
          </w:tcPr>
          <w:p w14:paraId="38069F1F">
            <w:pPr>
              <w:rPr>
                <w:rFonts w:ascii="Arial"/>
                <w:sz w:val="21"/>
              </w:rPr>
            </w:pPr>
          </w:p>
        </w:tc>
        <w:tc>
          <w:tcPr>
            <w:tcW w:w="1469" w:type="dxa"/>
            <w:vAlign w:val="top"/>
          </w:tcPr>
          <w:p w14:paraId="7B17C648">
            <w:pPr>
              <w:rPr>
                <w:rFonts w:ascii="Arial"/>
                <w:sz w:val="21"/>
              </w:rPr>
            </w:pPr>
          </w:p>
        </w:tc>
        <w:tc>
          <w:tcPr>
            <w:tcW w:w="929" w:type="dxa"/>
            <w:vAlign w:val="top"/>
          </w:tcPr>
          <w:p w14:paraId="3D5E6C69">
            <w:pPr>
              <w:rPr>
                <w:rFonts w:ascii="Arial"/>
                <w:sz w:val="21"/>
              </w:rPr>
            </w:pPr>
          </w:p>
        </w:tc>
      </w:tr>
      <w:tr w14:paraId="704AA6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46FD29C9">
            <w:pPr>
              <w:rPr>
                <w:rFonts w:ascii="Arial"/>
                <w:sz w:val="21"/>
              </w:rPr>
            </w:pPr>
          </w:p>
        </w:tc>
        <w:tc>
          <w:tcPr>
            <w:tcW w:w="3302" w:type="dxa"/>
            <w:vAlign w:val="top"/>
          </w:tcPr>
          <w:p w14:paraId="6D3F20A3">
            <w:pPr>
              <w:rPr>
                <w:rFonts w:ascii="Arial"/>
                <w:sz w:val="21"/>
              </w:rPr>
            </w:pPr>
          </w:p>
        </w:tc>
        <w:tc>
          <w:tcPr>
            <w:tcW w:w="1203" w:type="dxa"/>
            <w:vAlign w:val="top"/>
          </w:tcPr>
          <w:p w14:paraId="7C100F18">
            <w:pPr>
              <w:rPr>
                <w:rFonts w:ascii="Arial"/>
                <w:sz w:val="21"/>
              </w:rPr>
            </w:pPr>
          </w:p>
        </w:tc>
        <w:tc>
          <w:tcPr>
            <w:tcW w:w="923" w:type="dxa"/>
            <w:vAlign w:val="top"/>
          </w:tcPr>
          <w:p w14:paraId="4FE7B77B">
            <w:pPr>
              <w:rPr>
                <w:rFonts w:ascii="Arial"/>
                <w:sz w:val="21"/>
              </w:rPr>
            </w:pPr>
          </w:p>
        </w:tc>
        <w:tc>
          <w:tcPr>
            <w:tcW w:w="1469" w:type="dxa"/>
            <w:vAlign w:val="top"/>
          </w:tcPr>
          <w:p w14:paraId="73DB6C9C">
            <w:pPr>
              <w:rPr>
                <w:rFonts w:ascii="Arial"/>
                <w:sz w:val="21"/>
              </w:rPr>
            </w:pPr>
          </w:p>
        </w:tc>
        <w:tc>
          <w:tcPr>
            <w:tcW w:w="929" w:type="dxa"/>
            <w:vAlign w:val="top"/>
          </w:tcPr>
          <w:p w14:paraId="0E0BC959">
            <w:pPr>
              <w:rPr>
                <w:rFonts w:ascii="Arial"/>
                <w:sz w:val="21"/>
              </w:rPr>
            </w:pPr>
          </w:p>
        </w:tc>
      </w:tr>
      <w:tr w14:paraId="4195C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65E5A4F8">
            <w:pPr>
              <w:rPr>
                <w:rFonts w:ascii="Arial"/>
                <w:sz w:val="21"/>
              </w:rPr>
            </w:pPr>
          </w:p>
        </w:tc>
        <w:tc>
          <w:tcPr>
            <w:tcW w:w="3302" w:type="dxa"/>
            <w:vAlign w:val="top"/>
          </w:tcPr>
          <w:p w14:paraId="1C1F63B5">
            <w:pPr>
              <w:rPr>
                <w:rFonts w:ascii="Arial"/>
                <w:sz w:val="21"/>
              </w:rPr>
            </w:pPr>
          </w:p>
        </w:tc>
        <w:tc>
          <w:tcPr>
            <w:tcW w:w="1203" w:type="dxa"/>
            <w:vAlign w:val="top"/>
          </w:tcPr>
          <w:p w14:paraId="083AC333">
            <w:pPr>
              <w:rPr>
                <w:rFonts w:ascii="Arial"/>
                <w:sz w:val="21"/>
              </w:rPr>
            </w:pPr>
          </w:p>
        </w:tc>
        <w:tc>
          <w:tcPr>
            <w:tcW w:w="923" w:type="dxa"/>
            <w:vAlign w:val="top"/>
          </w:tcPr>
          <w:p w14:paraId="6DE4C958">
            <w:pPr>
              <w:rPr>
                <w:rFonts w:ascii="Arial"/>
                <w:sz w:val="21"/>
              </w:rPr>
            </w:pPr>
          </w:p>
        </w:tc>
        <w:tc>
          <w:tcPr>
            <w:tcW w:w="1469" w:type="dxa"/>
            <w:vAlign w:val="top"/>
          </w:tcPr>
          <w:p w14:paraId="7EDDF21A">
            <w:pPr>
              <w:rPr>
                <w:rFonts w:ascii="Arial"/>
                <w:sz w:val="21"/>
              </w:rPr>
            </w:pPr>
          </w:p>
        </w:tc>
        <w:tc>
          <w:tcPr>
            <w:tcW w:w="929" w:type="dxa"/>
            <w:vAlign w:val="top"/>
          </w:tcPr>
          <w:p w14:paraId="2C447C6D">
            <w:pPr>
              <w:rPr>
                <w:rFonts w:ascii="Arial"/>
                <w:sz w:val="21"/>
              </w:rPr>
            </w:pPr>
          </w:p>
        </w:tc>
      </w:tr>
      <w:tr w14:paraId="76530D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2B34964F">
            <w:pPr>
              <w:rPr>
                <w:rFonts w:ascii="Arial"/>
                <w:sz w:val="21"/>
              </w:rPr>
            </w:pPr>
          </w:p>
        </w:tc>
        <w:tc>
          <w:tcPr>
            <w:tcW w:w="3302" w:type="dxa"/>
            <w:vAlign w:val="top"/>
          </w:tcPr>
          <w:p w14:paraId="28642A08">
            <w:pPr>
              <w:rPr>
                <w:rFonts w:ascii="Arial"/>
                <w:sz w:val="21"/>
              </w:rPr>
            </w:pPr>
          </w:p>
        </w:tc>
        <w:tc>
          <w:tcPr>
            <w:tcW w:w="1203" w:type="dxa"/>
            <w:vAlign w:val="top"/>
          </w:tcPr>
          <w:p w14:paraId="274423AD">
            <w:pPr>
              <w:rPr>
                <w:rFonts w:ascii="Arial"/>
                <w:sz w:val="21"/>
              </w:rPr>
            </w:pPr>
          </w:p>
        </w:tc>
        <w:tc>
          <w:tcPr>
            <w:tcW w:w="923" w:type="dxa"/>
            <w:vAlign w:val="top"/>
          </w:tcPr>
          <w:p w14:paraId="0BD59795">
            <w:pPr>
              <w:rPr>
                <w:rFonts w:ascii="Arial"/>
                <w:sz w:val="21"/>
              </w:rPr>
            </w:pPr>
          </w:p>
        </w:tc>
        <w:tc>
          <w:tcPr>
            <w:tcW w:w="1469" w:type="dxa"/>
            <w:vAlign w:val="top"/>
          </w:tcPr>
          <w:p w14:paraId="7A620486">
            <w:pPr>
              <w:rPr>
                <w:rFonts w:ascii="Arial"/>
                <w:sz w:val="21"/>
              </w:rPr>
            </w:pPr>
          </w:p>
        </w:tc>
        <w:tc>
          <w:tcPr>
            <w:tcW w:w="929" w:type="dxa"/>
            <w:vAlign w:val="top"/>
          </w:tcPr>
          <w:p w14:paraId="55232E76">
            <w:pPr>
              <w:rPr>
                <w:rFonts w:ascii="Arial"/>
                <w:sz w:val="21"/>
              </w:rPr>
            </w:pPr>
          </w:p>
        </w:tc>
      </w:tr>
      <w:tr w14:paraId="04C52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3A6E22C6">
            <w:pPr>
              <w:rPr>
                <w:rFonts w:ascii="Arial"/>
                <w:sz w:val="21"/>
              </w:rPr>
            </w:pPr>
          </w:p>
        </w:tc>
        <w:tc>
          <w:tcPr>
            <w:tcW w:w="3302" w:type="dxa"/>
            <w:vAlign w:val="top"/>
          </w:tcPr>
          <w:p w14:paraId="6CFDADB6">
            <w:pPr>
              <w:rPr>
                <w:rFonts w:ascii="Arial"/>
                <w:sz w:val="21"/>
              </w:rPr>
            </w:pPr>
          </w:p>
        </w:tc>
        <w:tc>
          <w:tcPr>
            <w:tcW w:w="1203" w:type="dxa"/>
            <w:vAlign w:val="top"/>
          </w:tcPr>
          <w:p w14:paraId="6ED96A75">
            <w:pPr>
              <w:rPr>
                <w:rFonts w:ascii="Arial"/>
                <w:sz w:val="21"/>
              </w:rPr>
            </w:pPr>
          </w:p>
        </w:tc>
        <w:tc>
          <w:tcPr>
            <w:tcW w:w="923" w:type="dxa"/>
            <w:vAlign w:val="top"/>
          </w:tcPr>
          <w:p w14:paraId="749A3D07">
            <w:pPr>
              <w:rPr>
                <w:rFonts w:ascii="Arial"/>
                <w:sz w:val="21"/>
              </w:rPr>
            </w:pPr>
          </w:p>
        </w:tc>
        <w:tc>
          <w:tcPr>
            <w:tcW w:w="1469" w:type="dxa"/>
            <w:vAlign w:val="top"/>
          </w:tcPr>
          <w:p w14:paraId="177FF47C">
            <w:pPr>
              <w:rPr>
                <w:rFonts w:ascii="Arial"/>
                <w:sz w:val="21"/>
              </w:rPr>
            </w:pPr>
          </w:p>
        </w:tc>
        <w:tc>
          <w:tcPr>
            <w:tcW w:w="929" w:type="dxa"/>
            <w:vAlign w:val="top"/>
          </w:tcPr>
          <w:p w14:paraId="2ED422F2">
            <w:pPr>
              <w:rPr>
                <w:rFonts w:ascii="Arial"/>
                <w:sz w:val="21"/>
              </w:rPr>
            </w:pPr>
          </w:p>
        </w:tc>
      </w:tr>
      <w:tr w14:paraId="059E53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268C24B8">
            <w:pPr>
              <w:rPr>
                <w:rFonts w:ascii="Arial"/>
                <w:sz w:val="21"/>
              </w:rPr>
            </w:pPr>
          </w:p>
        </w:tc>
        <w:tc>
          <w:tcPr>
            <w:tcW w:w="3302" w:type="dxa"/>
            <w:vAlign w:val="top"/>
          </w:tcPr>
          <w:p w14:paraId="26C2EE36">
            <w:pPr>
              <w:rPr>
                <w:rFonts w:ascii="Arial"/>
                <w:sz w:val="21"/>
              </w:rPr>
            </w:pPr>
          </w:p>
        </w:tc>
        <w:tc>
          <w:tcPr>
            <w:tcW w:w="1203" w:type="dxa"/>
            <w:vAlign w:val="top"/>
          </w:tcPr>
          <w:p w14:paraId="2A27F283">
            <w:pPr>
              <w:rPr>
                <w:rFonts w:ascii="Arial"/>
                <w:sz w:val="21"/>
              </w:rPr>
            </w:pPr>
          </w:p>
        </w:tc>
        <w:tc>
          <w:tcPr>
            <w:tcW w:w="923" w:type="dxa"/>
            <w:vAlign w:val="top"/>
          </w:tcPr>
          <w:p w14:paraId="0F5868A6">
            <w:pPr>
              <w:rPr>
                <w:rFonts w:ascii="Arial"/>
                <w:sz w:val="21"/>
              </w:rPr>
            </w:pPr>
          </w:p>
        </w:tc>
        <w:tc>
          <w:tcPr>
            <w:tcW w:w="1469" w:type="dxa"/>
            <w:vAlign w:val="top"/>
          </w:tcPr>
          <w:p w14:paraId="2ABA074F">
            <w:pPr>
              <w:rPr>
                <w:rFonts w:ascii="Arial"/>
                <w:sz w:val="21"/>
              </w:rPr>
            </w:pPr>
          </w:p>
        </w:tc>
        <w:tc>
          <w:tcPr>
            <w:tcW w:w="929" w:type="dxa"/>
            <w:vAlign w:val="top"/>
          </w:tcPr>
          <w:p w14:paraId="3F77CDAA">
            <w:pPr>
              <w:rPr>
                <w:rFonts w:ascii="Arial"/>
                <w:sz w:val="21"/>
              </w:rPr>
            </w:pPr>
          </w:p>
        </w:tc>
      </w:tr>
      <w:tr w14:paraId="531439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4056" w:type="dxa"/>
            <w:gridSpan w:val="2"/>
            <w:vAlign w:val="top"/>
          </w:tcPr>
          <w:p w14:paraId="081B1575">
            <w:pPr>
              <w:pStyle w:val="6"/>
              <w:spacing w:before="181" w:line="229" w:lineRule="auto"/>
              <w:ind w:left="1772"/>
            </w:pPr>
            <w:r>
              <w:t>合</w:t>
            </w:r>
            <w:r>
              <w:rPr>
                <w:spacing w:val="13"/>
              </w:rPr>
              <w:t xml:space="preserve"> </w:t>
            </w:r>
            <w:r>
              <w:t>计</w:t>
            </w:r>
          </w:p>
        </w:tc>
        <w:tc>
          <w:tcPr>
            <w:tcW w:w="1203" w:type="dxa"/>
            <w:vAlign w:val="top"/>
          </w:tcPr>
          <w:p w14:paraId="6CCFF1B2">
            <w:pPr>
              <w:rPr>
                <w:rFonts w:ascii="Arial"/>
                <w:sz w:val="21"/>
              </w:rPr>
            </w:pPr>
          </w:p>
        </w:tc>
        <w:tc>
          <w:tcPr>
            <w:tcW w:w="923" w:type="dxa"/>
            <w:vAlign w:val="top"/>
          </w:tcPr>
          <w:p w14:paraId="4B9B550F">
            <w:pPr>
              <w:rPr>
                <w:rFonts w:ascii="Arial"/>
                <w:sz w:val="21"/>
              </w:rPr>
            </w:pPr>
          </w:p>
        </w:tc>
        <w:tc>
          <w:tcPr>
            <w:tcW w:w="1469" w:type="dxa"/>
            <w:vAlign w:val="top"/>
          </w:tcPr>
          <w:p w14:paraId="6AFB8D4E">
            <w:pPr>
              <w:rPr>
                <w:rFonts w:ascii="Arial"/>
                <w:sz w:val="21"/>
              </w:rPr>
            </w:pPr>
          </w:p>
        </w:tc>
        <w:tc>
          <w:tcPr>
            <w:tcW w:w="929" w:type="dxa"/>
            <w:vAlign w:val="top"/>
          </w:tcPr>
          <w:p w14:paraId="2E7C3FB2">
            <w:pPr>
              <w:rPr>
                <w:rFonts w:ascii="Arial"/>
                <w:sz w:val="21"/>
              </w:rPr>
            </w:pPr>
          </w:p>
        </w:tc>
      </w:tr>
    </w:tbl>
    <w:p w14:paraId="1307A51B">
      <w:pPr>
        <w:rPr>
          <w:rFonts w:ascii="Arial"/>
          <w:sz w:val="21"/>
        </w:rPr>
      </w:pPr>
    </w:p>
    <w:p w14:paraId="3A7FA580">
      <w:pPr>
        <w:rPr>
          <w:rFonts w:ascii="Arial" w:hAnsi="Arial" w:eastAsia="Arial" w:cs="Arial"/>
          <w:sz w:val="21"/>
          <w:szCs w:val="21"/>
        </w:rPr>
        <w:sectPr>
          <w:footerReference r:id="rId455" w:type="default"/>
          <w:pgSz w:w="11907" w:h="16840"/>
          <w:pgMar w:top="400" w:right="1672" w:bottom="1105" w:left="1535" w:header="0" w:footer="943" w:gutter="0"/>
          <w:cols w:space="720" w:num="1"/>
        </w:sectPr>
      </w:pPr>
    </w:p>
    <w:p w14:paraId="335F07FB">
      <w:pPr>
        <w:spacing w:line="261" w:lineRule="auto"/>
        <w:rPr>
          <w:rFonts w:ascii="Arial"/>
          <w:sz w:val="21"/>
        </w:rPr>
      </w:pPr>
    </w:p>
    <w:p w14:paraId="743B2026">
      <w:pPr>
        <w:spacing w:line="262" w:lineRule="auto"/>
        <w:rPr>
          <w:rFonts w:ascii="Arial"/>
          <w:sz w:val="21"/>
        </w:rPr>
      </w:pPr>
    </w:p>
    <w:p w14:paraId="237CA7B1">
      <w:pPr>
        <w:spacing w:line="262" w:lineRule="auto"/>
        <w:rPr>
          <w:rFonts w:ascii="Arial"/>
          <w:sz w:val="21"/>
        </w:rPr>
      </w:pPr>
    </w:p>
    <w:p w14:paraId="575809B4">
      <w:pPr>
        <w:spacing w:line="262" w:lineRule="auto"/>
        <w:rPr>
          <w:rFonts w:ascii="Arial"/>
          <w:sz w:val="21"/>
        </w:rPr>
      </w:pPr>
    </w:p>
    <w:p w14:paraId="07FE13BE">
      <w:pPr>
        <w:pStyle w:val="2"/>
        <w:spacing w:before="78" w:line="222" w:lineRule="auto"/>
        <w:ind w:left="116"/>
        <w:outlineLvl w:val="2"/>
        <w:rPr>
          <w:sz w:val="24"/>
          <w:szCs w:val="24"/>
        </w:rPr>
      </w:pPr>
      <w:bookmarkStart w:id="362" w:name="bookmark344"/>
      <w:bookmarkEnd w:id="362"/>
      <w:r>
        <w:rPr>
          <w:rFonts w:ascii="Times New Roman" w:hAnsi="Times New Roman" w:eastAsia="Times New Roman" w:cs="Times New Roman"/>
          <w:spacing w:val="-2"/>
          <w:sz w:val="24"/>
          <w:szCs w:val="24"/>
        </w:rPr>
        <w:t>4.8</w:t>
      </w:r>
      <w:r>
        <w:rPr>
          <w:rFonts w:ascii="Times New Roman" w:hAnsi="Times New Roman" w:eastAsia="Times New Roman" w:cs="Times New Roman"/>
          <w:spacing w:val="23"/>
          <w:sz w:val="24"/>
          <w:szCs w:val="24"/>
        </w:rPr>
        <w:t xml:space="preserve"> </w:t>
      </w:r>
      <w:r>
        <w:rPr>
          <w:spacing w:val="-2"/>
          <w:sz w:val="24"/>
          <w:szCs w:val="24"/>
        </w:rPr>
        <w:t>单位工程投标报价汇总表</w:t>
      </w:r>
    </w:p>
    <w:p w14:paraId="2D9B3EF2">
      <w:pPr>
        <w:pStyle w:val="2"/>
        <w:spacing w:before="159" w:line="222" w:lineRule="auto"/>
        <w:ind w:left="3001"/>
        <w:rPr>
          <w:sz w:val="28"/>
          <w:szCs w:val="28"/>
        </w:rPr>
      </w:pPr>
      <w:r>
        <w:rPr>
          <w:spacing w:val="-2"/>
          <w:sz w:val="28"/>
          <w:szCs w:val="28"/>
        </w:rPr>
        <w:t>单位工程投标报价汇总表</w:t>
      </w:r>
    </w:p>
    <w:p w14:paraId="58D9D7CF">
      <w:pPr>
        <w:spacing w:before="134" w:line="228" w:lineRule="auto"/>
        <w:ind w:left="123"/>
        <w:rPr>
          <w:rFonts w:ascii="宋体" w:hAnsi="宋体" w:eastAsia="宋体" w:cs="宋体"/>
          <w:sz w:val="20"/>
          <w:szCs w:val="20"/>
        </w:rPr>
      </w:pPr>
      <w:r>
        <w:rPr>
          <w:rFonts w:ascii="宋体" w:hAnsi="宋体" w:eastAsia="宋体" w:cs="宋体"/>
          <w:spacing w:val="3"/>
          <w:sz w:val="20"/>
          <w:szCs w:val="20"/>
        </w:rPr>
        <w:t xml:space="preserve">工程名称：                                  </w:t>
      </w:r>
      <w:r>
        <w:rPr>
          <w:rFonts w:ascii="宋体" w:hAnsi="宋体" w:eastAsia="宋体" w:cs="宋体"/>
          <w:spacing w:val="2"/>
          <w:sz w:val="20"/>
          <w:szCs w:val="20"/>
        </w:rPr>
        <w:t xml:space="preserve">                     第  页   共  页</w:t>
      </w:r>
    </w:p>
    <w:p w14:paraId="55B63466">
      <w:pPr>
        <w:spacing w:line="114" w:lineRule="exact"/>
      </w:pPr>
    </w:p>
    <w:tbl>
      <w:tblPr>
        <w:tblStyle w:val="5"/>
        <w:tblW w:w="87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1"/>
        <w:gridCol w:w="2908"/>
        <w:gridCol w:w="3328"/>
        <w:gridCol w:w="1793"/>
      </w:tblGrid>
      <w:tr w14:paraId="14E95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31" w:type="dxa"/>
            <w:vAlign w:val="top"/>
          </w:tcPr>
          <w:p w14:paraId="10F02700">
            <w:pPr>
              <w:pStyle w:val="6"/>
              <w:spacing w:before="171" w:line="229" w:lineRule="auto"/>
              <w:ind w:left="160"/>
            </w:pPr>
            <w:r>
              <w:rPr>
                <w:spacing w:val="5"/>
              </w:rPr>
              <w:t>序号</w:t>
            </w:r>
          </w:p>
        </w:tc>
        <w:tc>
          <w:tcPr>
            <w:tcW w:w="2908" w:type="dxa"/>
            <w:vAlign w:val="top"/>
          </w:tcPr>
          <w:p w14:paraId="12D971DA">
            <w:pPr>
              <w:pStyle w:val="6"/>
              <w:spacing w:before="171" w:line="228" w:lineRule="auto"/>
              <w:ind w:left="1038"/>
            </w:pPr>
            <w:r>
              <w:rPr>
                <w:spacing w:val="7"/>
              </w:rPr>
              <w:t>汇总内容</w:t>
            </w:r>
          </w:p>
        </w:tc>
        <w:tc>
          <w:tcPr>
            <w:tcW w:w="3328" w:type="dxa"/>
            <w:vAlign w:val="top"/>
          </w:tcPr>
          <w:p w14:paraId="49994136">
            <w:pPr>
              <w:pStyle w:val="6"/>
              <w:spacing w:before="171" w:line="228" w:lineRule="auto"/>
              <w:ind w:left="1146"/>
            </w:pPr>
            <w:r>
              <w:rPr>
                <w:spacing w:val="6"/>
              </w:rPr>
              <w:t>金额（元）</w:t>
            </w:r>
          </w:p>
        </w:tc>
        <w:tc>
          <w:tcPr>
            <w:tcW w:w="1793" w:type="dxa"/>
            <w:vAlign w:val="top"/>
          </w:tcPr>
          <w:p w14:paraId="5CEC20C5">
            <w:pPr>
              <w:pStyle w:val="6"/>
              <w:spacing w:before="37" w:line="226" w:lineRule="auto"/>
              <w:ind w:left="273"/>
            </w:pPr>
            <w:r>
              <w:rPr>
                <w:spacing w:val="8"/>
              </w:rPr>
              <w:t>其中：暂估价</w:t>
            </w:r>
          </w:p>
          <w:p w14:paraId="18D60BD6">
            <w:pPr>
              <w:pStyle w:val="6"/>
              <w:spacing w:before="25" w:line="218" w:lineRule="auto"/>
              <w:ind w:left="596"/>
            </w:pPr>
            <w:r>
              <w:t>（元）</w:t>
            </w:r>
          </w:p>
        </w:tc>
      </w:tr>
      <w:tr w14:paraId="2D2590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731" w:type="dxa"/>
            <w:vAlign w:val="top"/>
          </w:tcPr>
          <w:p w14:paraId="792E0731">
            <w:pPr>
              <w:spacing w:before="133" w:line="275" w:lineRule="exact"/>
              <w:ind w:left="126"/>
              <w:rPr>
                <w:rFonts w:ascii="黑体" w:hAnsi="黑体" w:eastAsia="黑体" w:cs="黑体"/>
                <w:sz w:val="20"/>
                <w:szCs w:val="20"/>
              </w:rPr>
            </w:pPr>
            <w:r>
              <w:rPr>
                <w:rFonts w:ascii="黑体" w:hAnsi="黑体" w:eastAsia="黑体" w:cs="黑体"/>
                <w:position w:val="1"/>
                <w:sz w:val="20"/>
                <w:szCs w:val="20"/>
              </w:rPr>
              <w:t>1</w:t>
            </w:r>
          </w:p>
        </w:tc>
        <w:tc>
          <w:tcPr>
            <w:tcW w:w="2908" w:type="dxa"/>
            <w:vAlign w:val="top"/>
          </w:tcPr>
          <w:p w14:paraId="4DDEDAB8">
            <w:pPr>
              <w:pStyle w:val="6"/>
              <w:spacing w:before="132" w:line="228" w:lineRule="auto"/>
              <w:ind w:left="114"/>
            </w:pPr>
            <w:r>
              <w:rPr>
                <w:spacing w:val="7"/>
              </w:rPr>
              <w:t>分部分项工程</w:t>
            </w:r>
          </w:p>
        </w:tc>
        <w:tc>
          <w:tcPr>
            <w:tcW w:w="3328" w:type="dxa"/>
            <w:vAlign w:val="top"/>
          </w:tcPr>
          <w:p w14:paraId="5C43CF0B">
            <w:pPr>
              <w:rPr>
                <w:rFonts w:ascii="Arial"/>
                <w:sz w:val="21"/>
              </w:rPr>
            </w:pPr>
          </w:p>
        </w:tc>
        <w:tc>
          <w:tcPr>
            <w:tcW w:w="1793" w:type="dxa"/>
            <w:vAlign w:val="top"/>
          </w:tcPr>
          <w:p w14:paraId="22321AB7">
            <w:pPr>
              <w:rPr>
                <w:rFonts w:ascii="Arial"/>
                <w:sz w:val="21"/>
              </w:rPr>
            </w:pPr>
          </w:p>
        </w:tc>
      </w:tr>
      <w:tr w14:paraId="36DB0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324A1257">
            <w:pPr>
              <w:spacing w:before="135" w:line="274" w:lineRule="exact"/>
              <w:ind w:left="126"/>
              <w:rPr>
                <w:rFonts w:ascii="黑体" w:hAnsi="黑体" w:eastAsia="黑体" w:cs="黑体"/>
                <w:sz w:val="20"/>
                <w:szCs w:val="20"/>
              </w:rPr>
            </w:pPr>
            <w:r>
              <w:rPr>
                <w:rFonts w:ascii="黑体" w:hAnsi="黑体" w:eastAsia="黑体" w:cs="黑体"/>
                <w:spacing w:val="-2"/>
                <w:position w:val="1"/>
                <w:sz w:val="20"/>
                <w:szCs w:val="20"/>
              </w:rPr>
              <w:t>1.1</w:t>
            </w:r>
          </w:p>
        </w:tc>
        <w:tc>
          <w:tcPr>
            <w:tcW w:w="2908" w:type="dxa"/>
            <w:vAlign w:val="top"/>
          </w:tcPr>
          <w:p w14:paraId="2F2ED974">
            <w:pPr>
              <w:rPr>
                <w:rFonts w:ascii="Arial"/>
                <w:sz w:val="21"/>
              </w:rPr>
            </w:pPr>
          </w:p>
        </w:tc>
        <w:tc>
          <w:tcPr>
            <w:tcW w:w="3328" w:type="dxa"/>
            <w:vAlign w:val="top"/>
          </w:tcPr>
          <w:p w14:paraId="43D8AEEF">
            <w:pPr>
              <w:rPr>
                <w:rFonts w:ascii="Arial"/>
                <w:sz w:val="21"/>
              </w:rPr>
            </w:pPr>
          </w:p>
        </w:tc>
        <w:tc>
          <w:tcPr>
            <w:tcW w:w="1793" w:type="dxa"/>
            <w:vAlign w:val="top"/>
          </w:tcPr>
          <w:p w14:paraId="76EEDE65">
            <w:pPr>
              <w:rPr>
                <w:rFonts w:ascii="Arial"/>
                <w:sz w:val="21"/>
              </w:rPr>
            </w:pPr>
          </w:p>
        </w:tc>
      </w:tr>
      <w:tr w14:paraId="67B75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11145EA8">
            <w:pPr>
              <w:spacing w:before="134" w:line="274" w:lineRule="exact"/>
              <w:ind w:left="126"/>
              <w:rPr>
                <w:rFonts w:ascii="黑体" w:hAnsi="黑体" w:eastAsia="黑体" w:cs="黑体"/>
                <w:sz w:val="20"/>
                <w:szCs w:val="20"/>
              </w:rPr>
            </w:pPr>
            <w:r>
              <w:rPr>
                <w:rFonts w:ascii="黑体" w:hAnsi="黑体" w:eastAsia="黑体" w:cs="黑体"/>
                <w:spacing w:val="-2"/>
                <w:position w:val="1"/>
                <w:sz w:val="20"/>
                <w:szCs w:val="20"/>
              </w:rPr>
              <w:t>1.2</w:t>
            </w:r>
          </w:p>
        </w:tc>
        <w:tc>
          <w:tcPr>
            <w:tcW w:w="2908" w:type="dxa"/>
            <w:vAlign w:val="top"/>
          </w:tcPr>
          <w:p w14:paraId="68A8F301">
            <w:pPr>
              <w:rPr>
                <w:rFonts w:ascii="Arial"/>
                <w:sz w:val="21"/>
              </w:rPr>
            </w:pPr>
          </w:p>
        </w:tc>
        <w:tc>
          <w:tcPr>
            <w:tcW w:w="3328" w:type="dxa"/>
            <w:vAlign w:val="top"/>
          </w:tcPr>
          <w:p w14:paraId="368D37E6">
            <w:pPr>
              <w:rPr>
                <w:rFonts w:ascii="Arial"/>
                <w:sz w:val="21"/>
              </w:rPr>
            </w:pPr>
          </w:p>
        </w:tc>
        <w:tc>
          <w:tcPr>
            <w:tcW w:w="1793" w:type="dxa"/>
            <w:vAlign w:val="top"/>
          </w:tcPr>
          <w:p w14:paraId="0E8F132D">
            <w:pPr>
              <w:rPr>
                <w:rFonts w:ascii="Arial"/>
                <w:sz w:val="21"/>
              </w:rPr>
            </w:pPr>
          </w:p>
        </w:tc>
      </w:tr>
      <w:tr w14:paraId="727DFD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731" w:type="dxa"/>
            <w:vAlign w:val="top"/>
          </w:tcPr>
          <w:p w14:paraId="7A1F11C7">
            <w:pPr>
              <w:spacing w:before="135" w:line="273" w:lineRule="exact"/>
              <w:ind w:left="126"/>
              <w:rPr>
                <w:rFonts w:ascii="黑体" w:hAnsi="黑体" w:eastAsia="黑体" w:cs="黑体"/>
                <w:sz w:val="20"/>
                <w:szCs w:val="20"/>
              </w:rPr>
            </w:pPr>
            <w:r>
              <w:rPr>
                <w:rFonts w:ascii="黑体" w:hAnsi="黑体" w:eastAsia="黑体" w:cs="黑体"/>
                <w:spacing w:val="-2"/>
                <w:position w:val="1"/>
                <w:sz w:val="20"/>
                <w:szCs w:val="20"/>
              </w:rPr>
              <w:t>1.3</w:t>
            </w:r>
          </w:p>
        </w:tc>
        <w:tc>
          <w:tcPr>
            <w:tcW w:w="2908" w:type="dxa"/>
            <w:vAlign w:val="top"/>
          </w:tcPr>
          <w:p w14:paraId="2B18AF27">
            <w:pPr>
              <w:rPr>
                <w:rFonts w:ascii="Arial"/>
                <w:sz w:val="21"/>
              </w:rPr>
            </w:pPr>
          </w:p>
        </w:tc>
        <w:tc>
          <w:tcPr>
            <w:tcW w:w="3328" w:type="dxa"/>
            <w:vAlign w:val="top"/>
          </w:tcPr>
          <w:p w14:paraId="149ED910">
            <w:pPr>
              <w:rPr>
                <w:rFonts w:ascii="Arial"/>
                <w:sz w:val="21"/>
              </w:rPr>
            </w:pPr>
          </w:p>
        </w:tc>
        <w:tc>
          <w:tcPr>
            <w:tcW w:w="1793" w:type="dxa"/>
            <w:vAlign w:val="top"/>
          </w:tcPr>
          <w:p w14:paraId="726E53F9">
            <w:pPr>
              <w:rPr>
                <w:rFonts w:ascii="Arial"/>
                <w:sz w:val="21"/>
              </w:rPr>
            </w:pPr>
          </w:p>
        </w:tc>
      </w:tr>
      <w:tr w14:paraId="3DC5CA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4BB24E7A">
            <w:pPr>
              <w:spacing w:before="135" w:line="274" w:lineRule="exact"/>
              <w:ind w:left="126"/>
              <w:rPr>
                <w:rFonts w:ascii="黑体" w:hAnsi="黑体" w:eastAsia="黑体" w:cs="黑体"/>
                <w:sz w:val="20"/>
                <w:szCs w:val="20"/>
              </w:rPr>
            </w:pPr>
            <w:r>
              <w:rPr>
                <w:rFonts w:ascii="黑体" w:hAnsi="黑体" w:eastAsia="黑体" w:cs="黑体"/>
                <w:spacing w:val="-2"/>
                <w:position w:val="1"/>
                <w:sz w:val="20"/>
                <w:szCs w:val="20"/>
              </w:rPr>
              <w:t>1.4</w:t>
            </w:r>
          </w:p>
        </w:tc>
        <w:tc>
          <w:tcPr>
            <w:tcW w:w="2908" w:type="dxa"/>
            <w:vAlign w:val="top"/>
          </w:tcPr>
          <w:p w14:paraId="3A0EBD21">
            <w:pPr>
              <w:rPr>
                <w:rFonts w:ascii="Arial"/>
                <w:sz w:val="21"/>
              </w:rPr>
            </w:pPr>
          </w:p>
        </w:tc>
        <w:tc>
          <w:tcPr>
            <w:tcW w:w="3328" w:type="dxa"/>
            <w:vAlign w:val="top"/>
          </w:tcPr>
          <w:p w14:paraId="0B7C4A9D">
            <w:pPr>
              <w:rPr>
                <w:rFonts w:ascii="Arial"/>
                <w:sz w:val="21"/>
              </w:rPr>
            </w:pPr>
          </w:p>
        </w:tc>
        <w:tc>
          <w:tcPr>
            <w:tcW w:w="1793" w:type="dxa"/>
            <w:vAlign w:val="top"/>
          </w:tcPr>
          <w:p w14:paraId="46F5DB81">
            <w:pPr>
              <w:rPr>
                <w:rFonts w:ascii="Arial"/>
                <w:sz w:val="21"/>
              </w:rPr>
            </w:pPr>
          </w:p>
        </w:tc>
      </w:tr>
      <w:tr w14:paraId="5E81C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731" w:type="dxa"/>
            <w:vAlign w:val="top"/>
          </w:tcPr>
          <w:p w14:paraId="5E0210E3">
            <w:pPr>
              <w:spacing w:before="136" w:line="272" w:lineRule="exact"/>
              <w:ind w:left="126"/>
              <w:rPr>
                <w:rFonts w:ascii="黑体" w:hAnsi="黑体" w:eastAsia="黑体" w:cs="黑体"/>
                <w:sz w:val="20"/>
                <w:szCs w:val="20"/>
              </w:rPr>
            </w:pPr>
            <w:r>
              <w:rPr>
                <w:rFonts w:ascii="黑体" w:hAnsi="黑体" w:eastAsia="黑体" w:cs="黑体"/>
                <w:spacing w:val="-2"/>
                <w:position w:val="1"/>
                <w:sz w:val="20"/>
                <w:szCs w:val="20"/>
              </w:rPr>
              <w:t>1.5</w:t>
            </w:r>
          </w:p>
        </w:tc>
        <w:tc>
          <w:tcPr>
            <w:tcW w:w="2908" w:type="dxa"/>
            <w:vAlign w:val="top"/>
          </w:tcPr>
          <w:p w14:paraId="4D61E67D">
            <w:pPr>
              <w:rPr>
                <w:rFonts w:ascii="Arial"/>
                <w:sz w:val="21"/>
              </w:rPr>
            </w:pPr>
          </w:p>
        </w:tc>
        <w:tc>
          <w:tcPr>
            <w:tcW w:w="3328" w:type="dxa"/>
            <w:vAlign w:val="top"/>
          </w:tcPr>
          <w:p w14:paraId="76F1B641">
            <w:pPr>
              <w:rPr>
                <w:rFonts w:ascii="Arial"/>
                <w:sz w:val="21"/>
              </w:rPr>
            </w:pPr>
          </w:p>
        </w:tc>
        <w:tc>
          <w:tcPr>
            <w:tcW w:w="1793" w:type="dxa"/>
            <w:vAlign w:val="top"/>
          </w:tcPr>
          <w:p w14:paraId="14123664">
            <w:pPr>
              <w:rPr>
                <w:rFonts w:ascii="Arial"/>
                <w:sz w:val="21"/>
              </w:rPr>
            </w:pPr>
          </w:p>
        </w:tc>
      </w:tr>
      <w:tr w14:paraId="4F2F7B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6C5368A6">
            <w:pPr>
              <w:spacing w:before="136" w:line="272" w:lineRule="exact"/>
              <w:ind w:left="126"/>
              <w:rPr>
                <w:rFonts w:ascii="黑体" w:hAnsi="黑体" w:eastAsia="黑体" w:cs="黑体"/>
                <w:sz w:val="20"/>
                <w:szCs w:val="20"/>
              </w:rPr>
            </w:pPr>
            <w:r>
              <w:rPr>
                <w:rFonts w:ascii="黑体" w:hAnsi="黑体" w:eastAsia="黑体" w:cs="黑体"/>
                <w:spacing w:val="-2"/>
                <w:position w:val="1"/>
                <w:sz w:val="20"/>
                <w:szCs w:val="20"/>
              </w:rPr>
              <w:t>1.6</w:t>
            </w:r>
          </w:p>
        </w:tc>
        <w:tc>
          <w:tcPr>
            <w:tcW w:w="2908" w:type="dxa"/>
            <w:vAlign w:val="top"/>
          </w:tcPr>
          <w:p w14:paraId="4FBEF178">
            <w:pPr>
              <w:rPr>
                <w:rFonts w:ascii="Arial"/>
                <w:sz w:val="21"/>
              </w:rPr>
            </w:pPr>
          </w:p>
        </w:tc>
        <w:tc>
          <w:tcPr>
            <w:tcW w:w="3328" w:type="dxa"/>
            <w:vAlign w:val="top"/>
          </w:tcPr>
          <w:p w14:paraId="085D5F4C">
            <w:pPr>
              <w:rPr>
                <w:rFonts w:ascii="Arial"/>
                <w:sz w:val="21"/>
              </w:rPr>
            </w:pPr>
          </w:p>
        </w:tc>
        <w:tc>
          <w:tcPr>
            <w:tcW w:w="1793" w:type="dxa"/>
            <w:vAlign w:val="top"/>
          </w:tcPr>
          <w:p w14:paraId="23671E7E">
            <w:pPr>
              <w:rPr>
                <w:rFonts w:ascii="Arial"/>
                <w:sz w:val="21"/>
              </w:rPr>
            </w:pPr>
          </w:p>
        </w:tc>
      </w:tr>
      <w:tr w14:paraId="6B360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06BC1CD8">
            <w:pPr>
              <w:spacing w:before="137" w:line="274" w:lineRule="exact"/>
              <w:ind w:left="126"/>
              <w:rPr>
                <w:rFonts w:ascii="黑体" w:hAnsi="黑体" w:eastAsia="黑体" w:cs="黑体"/>
                <w:sz w:val="20"/>
                <w:szCs w:val="20"/>
              </w:rPr>
            </w:pPr>
            <w:r>
              <w:rPr>
                <w:rFonts w:ascii="黑体" w:hAnsi="黑体" w:eastAsia="黑体" w:cs="黑体"/>
                <w:spacing w:val="-2"/>
                <w:position w:val="1"/>
                <w:sz w:val="20"/>
                <w:szCs w:val="20"/>
              </w:rPr>
              <w:t>1.7</w:t>
            </w:r>
          </w:p>
        </w:tc>
        <w:tc>
          <w:tcPr>
            <w:tcW w:w="2908" w:type="dxa"/>
            <w:vAlign w:val="top"/>
          </w:tcPr>
          <w:p w14:paraId="4C76BD31">
            <w:pPr>
              <w:rPr>
                <w:rFonts w:ascii="Arial"/>
                <w:sz w:val="21"/>
              </w:rPr>
            </w:pPr>
          </w:p>
        </w:tc>
        <w:tc>
          <w:tcPr>
            <w:tcW w:w="3328" w:type="dxa"/>
            <w:vAlign w:val="top"/>
          </w:tcPr>
          <w:p w14:paraId="1B0F18A8">
            <w:pPr>
              <w:rPr>
                <w:rFonts w:ascii="Arial"/>
                <w:sz w:val="21"/>
              </w:rPr>
            </w:pPr>
          </w:p>
        </w:tc>
        <w:tc>
          <w:tcPr>
            <w:tcW w:w="1793" w:type="dxa"/>
            <w:vAlign w:val="top"/>
          </w:tcPr>
          <w:p w14:paraId="204A1D46">
            <w:pPr>
              <w:rPr>
                <w:rFonts w:ascii="Arial"/>
                <w:sz w:val="21"/>
              </w:rPr>
            </w:pPr>
          </w:p>
        </w:tc>
      </w:tr>
      <w:tr w14:paraId="09AC87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11DF2087">
            <w:pPr>
              <w:spacing w:before="136" w:line="272" w:lineRule="exact"/>
              <w:ind w:left="126"/>
              <w:rPr>
                <w:rFonts w:ascii="黑体" w:hAnsi="黑体" w:eastAsia="黑体" w:cs="黑体"/>
                <w:sz w:val="20"/>
                <w:szCs w:val="20"/>
              </w:rPr>
            </w:pPr>
            <w:r>
              <w:rPr>
                <w:rFonts w:ascii="黑体" w:hAnsi="黑体" w:eastAsia="黑体" w:cs="黑体"/>
                <w:spacing w:val="-2"/>
                <w:position w:val="1"/>
                <w:sz w:val="20"/>
                <w:szCs w:val="20"/>
              </w:rPr>
              <w:t>1.8</w:t>
            </w:r>
          </w:p>
        </w:tc>
        <w:tc>
          <w:tcPr>
            <w:tcW w:w="2908" w:type="dxa"/>
            <w:vAlign w:val="top"/>
          </w:tcPr>
          <w:p w14:paraId="0EEABAD5">
            <w:pPr>
              <w:rPr>
                <w:rFonts w:ascii="Arial"/>
                <w:sz w:val="21"/>
              </w:rPr>
            </w:pPr>
          </w:p>
        </w:tc>
        <w:tc>
          <w:tcPr>
            <w:tcW w:w="3328" w:type="dxa"/>
            <w:vAlign w:val="top"/>
          </w:tcPr>
          <w:p w14:paraId="35274FF4">
            <w:pPr>
              <w:rPr>
                <w:rFonts w:ascii="Arial"/>
                <w:sz w:val="21"/>
              </w:rPr>
            </w:pPr>
          </w:p>
        </w:tc>
        <w:tc>
          <w:tcPr>
            <w:tcW w:w="1793" w:type="dxa"/>
            <w:vAlign w:val="top"/>
          </w:tcPr>
          <w:p w14:paraId="542DEB3F">
            <w:pPr>
              <w:rPr>
                <w:rFonts w:ascii="Arial"/>
                <w:sz w:val="21"/>
              </w:rPr>
            </w:pPr>
          </w:p>
        </w:tc>
      </w:tr>
      <w:tr w14:paraId="3D7C2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4A7EE2C6">
            <w:pPr>
              <w:spacing w:before="137" w:line="273" w:lineRule="exact"/>
              <w:ind w:left="126"/>
              <w:rPr>
                <w:rFonts w:ascii="黑体" w:hAnsi="黑体" w:eastAsia="黑体" w:cs="黑体"/>
                <w:sz w:val="20"/>
                <w:szCs w:val="20"/>
              </w:rPr>
            </w:pPr>
            <w:r>
              <w:rPr>
                <w:rFonts w:ascii="黑体" w:hAnsi="黑体" w:eastAsia="黑体" w:cs="黑体"/>
                <w:spacing w:val="-2"/>
                <w:position w:val="1"/>
                <w:sz w:val="20"/>
                <w:szCs w:val="20"/>
              </w:rPr>
              <w:t>1.9</w:t>
            </w:r>
          </w:p>
        </w:tc>
        <w:tc>
          <w:tcPr>
            <w:tcW w:w="2908" w:type="dxa"/>
            <w:vAlign w:val="top"/>
          </w:tcPr>
          <w:p w14:paraId="45068E95">
            <w:pPr>
              <w:rPr>
                <w:rFonts w:ascii="Arial"/>
                <w:sz w:val="21"/>
              </w:rPr>
            </w:pPr>
          </w:p>
        </w:tc>
        <w:tc>
          <w:tcPr>
            <w:tcW w:w="3328" w:type="dxa"/>
            <w:vAlign w:val="top"/>
          </w:tcPr>
          <w:p w14:paraId="57E295A0">
            <w:pPr>
              <w:rPr>
                <w:rFonts w:ascii="Arial"/>
                <w:sz w:val="21"/>
              </w:rPr>
            </w:pPr>
          </w:p>
        </w:tc>
        <w:tc>
          <w:tcPr>
            <w:tcW w:w="1793" w:type="dxa"/>
            <w:vAlign w:val="top"/>
          </w:tcPr>
          <w:p w14:paraId="1FF4749A">
            <w:pPr>
              <w:rPr>
                <w:rFonts w:ascii="Arial"/>
                <w:sz w:val="21"/>
              </w:rPr>
            </w:pPr>
          </w:p>
        </w:tc>
      </w:tr>
      <w:tr w14:paraId="24133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0AE72AC0">
            <w:pPr>
              <w:spacing w:before="136" w:line="269" w:lineRule="exact"/>
              <w:ind w:left="126"/>
              <w:rPr>
                <w:rFonts w:ascii="黑体" w:hAnsi="黑体" w:eastAsia="黑体" w:cs="黑体"/>
                <w:sz w:val="20"/>
                <w:szCs w:val="20"/>
              </w:rPr>
            </w:pPr>
            <w:r>
              <w:rPr>
                <w:rFonts w:ascii="黑体" w:hAnsi="黑体" w:eastAsia="黑体" w:cs="黑体"/>
                <w:position w:val="1"/>
                <w:sz w:val="20"/>
                <w:szCs w:val="20"/>
              </w:rPr>
              <w:t>1.10</w:t>
            </w:r>
          </w:p>
        </w:tc>
        <w:tc>
          <w:tcPr>
            <w:tcW w:w="2908" w:type="dxa"/>
            <w:vAlign w:val="top"/>
          </w:tcPr>
          <w:p w14:paraId="16BCF9B5">
            <w:pPr>
              <w:rPr>
                <w:rFonts w:ascii="Arial"/>
                <w:sz w:val="21"/>
              </w:rPr>
            </w:pPr>
          </w:p>
        </w:tc>
        <w:tc>
          <w:tcPr>
            <w:tcW w:w="3328" w:type="dxa"/>
            <w:vAlign w:val="top"/>
          </w:tcPr>
          <w:p w14:paraId="72CE2093">
            <w:pPr>
              <w:rPr>
                <w:rFonts w:ascii="Arial"/>
                <w:sz w:val="21"/>
              </w:rPr>
            </w:pPr>
          </w:p>
        </w:tc>
        <w:tc>
          <w:tcPr>
            <w:tcW w:w="1793" w:type="dxa"/>
            <w:vAlign w:val="top"/>
          </w:tcPr>
          <w:p w14:paraId="20356C14">
            <w:pPr>
              <w:rPr>
                <w:rFonts w:ascii="Arial"/>
                <w:sz w:val="21"/>
              </w:rPr>
            </w:pPr>
          </w:p>
        </w:tc>
      </w:tr>
      <w:tr w14:paraId="2EE813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35277D76">
            <w:pPr>
              <w:spacing w:before="137" w:line="274" w:lineRule="exact"/>
              <w:ind w:left="126"/>
              <w:rPr>
                <w:rFonts w:ascii="黑体" w:hAnsi="黑体" w:eastAsia="黑体" w:cs="黑体"/>
                <w:sz w:val="20"/>
                <w:szCs w:val="20"/>
              </w:rPr>
            </w:pPr>
            <w:r>
              <w:rPr>
                <w:rFonts w:ascii="黑体" w:hAnsi="黑体" w:eastAsia="黑体" w:cs="黑体"/>
                <w:position w:val="1"/>
                <w:sz w:val="20"/>
                <w:szCs w:val="20"/>
              </w:rPr>
              <w:t>1.11</w:t>
            </w:r>
          </w:p>
        </w:tc>
        <w:tc>
          <w:tcPr>
            <w:tcW w:w="2908" w:type="dxa"/>
            <w:vAlign w:val="top"/>
          </w:tcPr>
          <w:p w14:paraId="4AA532D8">
            <w:pPr>
              <w:rPr>
                <w:rFonts w:ascii="Arial"/>
                <w:sz w:val="21"/>
              </w:rPr>
            </w:pPr>
          </w:p>
        </w:tc>
        <w:tc>
          <w:tcPr>
            <w:tcW w:w="3328" w:type="dxa"/>
            <w:vAlign w:val="top"/>
          </w:tcPr>
          <w:p w14:paraId="24ADD3FB">
            <w:pPr>
              <w:rPr>
                <w:rFonts w:ascii="Arial"/>
                <w:sz w:val="21"/>
              </w:rPr>
            </w:pPr>
          </w:p>
        </w:tc>
        <w:tc>
          <w:tcPr>
            <w:tcW w:w="1793" w:type="dxa"/>
            <w:vAlign w:val="top"/>
          </w:tcPr>
          <w:p w14:paraId="132F0E91">
            <w:pPr>
              <w:rPr>
                <w:rFonts w:ascii="Arial"/>
                <w:sz w:val="21"/>
              </w:rPr>
            </w:pPr>
          </w:p>
        </w:tc>
      </w:tr>
      <w:tr w14:paraId="09243B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6D8E6F74">
            <w:pPr>
              <w:spacing w:before="136" w:line="274" w:lineRule="exact"/>
              <w:ind w:left="126"/>
              <w:rPr>
                <w:rFonts w:ascii="黑体" w:hAnsi="黑体" w:eastAsia="黑体" w:cs="黑体"/>
                <w:sz w:val="20"/>
                <w:szCs w:val="20"/>
              </w:rPr>
            </w:pPr>
            <w:r>
              <w:rPr>
                <w:rFonts w:ascii="黑体" w:hAnsi="黑体" w:eastAsia="黑体" w:cs="黑体"/>
                <w:position w:val="1"/>
                <w:sz w:val="20"/>
                <w:szCs w:val="20"/>
              </w:rPr>
              <w:t>1.12</w:t>
            </w:r>
          </w:p>
        </w:tc>
        <w:tc>
          <w:tcPr>
            <w:tcW w:w="2908" w:type="dxa"/>
            <w:vAlign w:val="top"/>
          </w:tcPr>
          <w:p w14:paraId="509EB0AF">
            <w:pPr>
              <w:rPr>
                <w:rFonts w:ascii="Arial"/>
                <w:sz w:val="21"/>
              </w:rPr>
            </w:pPr>
          </w:p>
        </w:tc>
        <w:tc>
          <w:tcPr>
            <w:tcW w:w="3328" w:type="dxa"/>
            <w:vAlign w:val="top"/>
          </w:tcPr>
          <w:p w14:paraId="562BE3DA">
            <w:pPr>
              <w:rPr>
                <w:rFonts w:ascii="Arial"/>
                <w:sz w:val="21"/>
              </w:rPr>
            </w:pPr>
          </w:p>
        </w:tc>
        <w:tc>
          <w:tcPr>
            <w:tcW w:w="1793" w:type="dxa"/>
            <w:vAlign w:val="top"/>
          </w:tcPr>
          <w:p w14:paraId="6C2A6831">
            <w:pPr>
              <w:rPr>
                <w:rFonts w:ascii="Arial"/>
                <w:sz w:val="21"/>
              </w:rPr>
            </w:pPr>
          </w:p>
        </w:tc>
      </w:tr>
      <w:tr w14:paraId="794EAF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38033B3D">
            <w:pPr>
              <w:spacing w:before="137" w:line="273" w:lineRule="exact"/>
              <w:ind w:left="126"/>
              <w:rPr>
                <w:rFonts w:ascii="黑体" w:hAnsi="黑体" w:eastAsia="黑体" w:cs="黑体"/>
                <w:sz w:val="20"/>
                <w:szCs w:val="20"/>
              </w:rPr>
            </w:pPr>
            <w:r>
              <w:rPr>
                <w:rFonts w:ascii="黑体" w:hAnsi="黑体" w:eastAsia="黑体" w:cs="黑体"/>
                <w:position w:val="1"/>
                <w:sz w:val="20"/>
                <w:szCs w:val="20"/>
              </w:rPr>
              <w:t>1.13</w:t>
            </w:r>
          </w:p>
        </w:tc>
        <w:tc>
          <w:tcPr>
            <w:tcW w:w="2908" w:type="dxa"/>
            <w:vAlign w:val="top"/>
          </w:tcPr>
          <w:p w14:paraId="22E33F04">
            <w:pPr>
              <w:rPr>
                <w:rFonts w:ascii="Arial"/>
                <w:sz w:val="21"/>
              </w:rPr>
            </w:pPr>
          </w:p>
        </w:tc>
        <w:tc>
          <w:tcPr>
            <w:tcW w:w="3328" w:type="dxa"/>
            <w:vAlign w:val="top"/>
          </w:tcPr>
          <w:p w14:paraId="382ADE48">
            <w:pPr>
              <w:rPr>
                <w:rFonts w:ascii="Arial"/>
                <w:sz w:val="21"/>
              </w:rPr>
            </w:pPr>
          </w:p>
        </w:tc>
        <w:tc>
          <w:tcPr>
            <w:tcW w:w="1793" w:type="dxa"/>
            <w:vAlign w:val="top"/>
          </w:tcPr>
          <w:p w14:paraId="7BE2AF77">
            <w:pPr>
              <w:rPr>
                <w:rFonts w:ascii="Arial"/>
                <w:sz w:val="21"/>
              </w:rPr>
            </w:pPr>
          </w:p>
        </w:tc>
      </w:tr>
      <w:tr w14:paraId="4BE0A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731" w:type="dxa"/>
            <w:vAlign w:val="top"/>
          </w:tcPr>
          <w:p w14:paraId="773FEECB">
            <w:pPr>
              <w:rPr>
                <w:rFonts w:ascii="Arial"/>
                <w:sz w:val="21"/>
              </w:rPr>
            </w:pPr>
          </w:p>
        </w:tc>
        <w:tc>
          <w:tcPr>
            <w:tcW w:w="2908" w:type="dxa"/>
            <w:vAlign w:val="top"/>
          </w:tcPr>
          <w:p w14:paraId="59D11A79">
            <w:pPr>
              <w:pStyle w:val="6"/>
              <w:spacing w:before="136" w:line="228" w:lineRule="auto"/>
              <w:ind w:left="113"/>
            </w:pPr>
            <w:r>
              <w:rPr>
                <w:spacing w:val="8"/>
              </w:rPr>
              <w:t>其中：人工费</w:t>
            </w:r>
          </w:p>
        </w:tc>
        <w:tc>
          <w:tcPr>
            <w:tcW w:w="3328" w:type="dxa"/>
            <w:vAlign w:val="top"/>
          </w:tcPr>
          <w:p w14:paraId="1AB31E97">
            <w:pPr>
              <w:rPr>
                <w:rFonts w:ascii="Arial"/>
                <w:sz w:val="21"/>
              </w:rPr>
            </w:pPr>
          </w:p>
        </w:tc>
        <w:tc>
          <w:tcPr>
            <w:tcW w:w="1793" w:type="dxa"/>
            <w:vAlign w:val="top"/>
          </w:tcPr>
          <w:p w14:paraId="70C6EA0F">
            <w:pPr>
              <w:rPr>
                <w:rFonts w:ascii="Arial"/>
                <w:sz w:val="21"/>
              </w:rPr>
            </w:pPr>
          </w:p>
        </w:tc>
      </w:tr>
      <w:tr w14:paraId="7EE0CF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1A3F6823">
            <w:pPr>
              <w:rPr>
                <w:rFonts w:ascii="Arial"/>
                <w:sz w:val="21"/>
              </w:rPr>
            </w:pPr>
          </w:p>
        </w:tc>
        <w:tc>
          <w:tcPr>
            <w:tcW w:w="2908" w:type="dxa"/>
            <w:vAlign w:val="top"/>
          </w:tcPr>
          <w:p w14:paraId="12B00566">
            <w:pPr>
              <w:pStyle w:val="6"/>
              <w:spacing w:before="138" w:line="227" w:lineRule="auto"/>
              <w:ind w:left="113"/>
            </w:pPr>
            <w:r>
              <w:rPr>
                <w:spacing w:val="8"/>
              </w:rPr>
              <w:t>其中：施工机具使用费</w:t>
            </w:r>
          </w:p>
        </w:tc>
        <w:tc>
          <w:tcPr>
            <w:tcW w:w="3328" w:type="dxa"/>
            <w:vAlign w:val="top"/>
          </w:tcPr>
          <w:p w14:paraId="45449D79">
            <w:pPr>
              <w:rPr>
                <w:rFonts w:ascii="Arial"/>
                <w:sz w:val="21"/>
              </w:rPr>
            </w:pPr>
          </w:p>
        </w:tc>
        <w:tc>
          <w:tcPr>
            <w:tcW w:w="1793" w:type="dxa"/>
            <w:vAlign w:val="top"/>
          </w:tcPr>
          <w:p w14:paraId="5987635E">
            <w:pPr>
              <w:rPr>
                <w:rFonts w:ascii="Arial"/>
                <w:sz w:val="21"/>
              </w:rPr>
            </w:pPr>
          </w:p>
        </w:tc>
      </w:tr>
      <w:tr w14:paraId="5E2716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52BE0FE3">
            <w:pPr>
              <w:spacing w:before="137" w:line="275" w:lineRule="exact"/>
              <w:ind w:left="114"/>
              <w:rPr>
                <w:rFonts w:ascii="黑体" w:hAnsi="黑体" w:eastAsia="黑体" w:cs="黑体"/>
                <w:sz w:val="20"/>
                <w:szCs w:val="20"/>
              </w:rPr>
            </w:pPr>
            <w:r>
              <w:rPr>
                <w:rFonts w:ascii="黑体" w:hAnsi="黑体" w:eastAsia="黑体" w:cs="黑体"/>
                <w:position w:val="1"/>
                <w:sz w:val="20"/>
                <w:szCs w:val="20"/>
              </w:rPr>
              <w:t>2</w:t>
            </w:r>
          </w:p>
        </w:tc>
        <w:tc>
          <w:tcPr>
            <w:tcW w:w="2908" w:type="dxa"/>
            <w:vAlign w:val="top"/>
          </w:tcPr>
          <w:p w14:paraId="15C2E059">
            <w:pPr>
              <w:pStyle w:val="6"/>
              <w:spacing w:before="137" w:line="228" w:lineRule="auto"/>
              <w:ind w:left="112"/>
            </w:pPr>
            <w:r>
              <w:rPr>
                <w:spacing w:val="7"/>
              </w:rPr>
              <w:t>措施项目</w:t>
            </w:r>
          </w:p>
        </w:tc>
        <w:tc>
          <w:tcPr>
            <w:tcW w:w="3328" w:type="dxa"/>
            <w:vAlign w:val="top"/>
          </w:tcPr>
          <w:p w14:paraId="273029EF">
            <w:pPr>
              <w:rPr>
                <w:rFonts w:ascii="Arial"/>
                <w:sz w:val="21"/>
              </w:rPr>
            </w:pPr>
          </w:p>
        </w:tc>
        <w:tc>
          <w:tcPr>
            <w:tcW w:w="1793" w:type="dxa"/>
            <w:vAlign w:val="top"/>
          </w:tcPr>
          <w:p w14:paraId="49F80D96">
            <w:pPr>
              <w:rPr>
                <w:rFonts w:ascii="Arial"/>
                <w:sz w:val="21"/>
              </w:rPr>
            </w:pPr>
          </w:p>
        </w:tc>
      </w:tr>
      <w:tr w14:paraId="785DA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04BF5B1F">
            <w:pPr>
              <w:spacing w:before="138" w:line="274" w:lineRule="exact"/>
              <w:ind w:left="114"/>
              <w:rPr>
                <w:rFonts w:ascii="黑体" w:hAnsi="黑体" w:eastAsia="黑体" w:cs="黑体"/>
                <w:sz w:val="20"/>
                <w:szCs w:val="20"/>
              </w:rPr>
            </w:pPr>
            <w:r>
              <w:rPr>
                <w:rFonts w:ascii="黑体" w:hAnsi="黑体" w:eastAsia="黑体" w:cs="黑体"/>
                <w:spacing w:val="3"/>
                <w:position w:val="1"/>
                <w:sz w:val="20"/>
                <w:szCs w:val="20"/>
              </w:rPr>
              <w:t>2.1</w:t>
            </w:r>
          </w:p>
        </w:tc>
        <w:tc>
          <w:tcPr>
            <w:tcW w:w="2908" w:type="dxa"/>
            <w:vAlign w:val="top"/>
          </w:tcPr>
          <w:p w14:paraId="00139D7E">
            <w:pPr>
              <w:pStyle w:val="6"/>
              <w:spacing w:before="138" w:line="226" w:lineRule="auto"/>
              <w:ind w:left="114"/>
            </w:pPr>
            <w:r>
              <w:rPr>
                <w:spacing w:val="7"/>
              </w:rPr>
              <w:t>单价措施项目</w:t>
            </w:r>
          </w:p>
        </w:tc>
        <w:tc>
          <w:tcPr>
            <w:tcW w:w="3328" w:type="dxa"/>
            <w:vAlign w:val="top"/>
          </w:tcPr>
          <w:p w14:paraId="73644F29">
            <w:pPr>
              <w:rPr>
                <w:rFonts w:ascii="Arial"/>
                <w:sz w:val="21"/>
              </w:rPr>
            </w:pPr>
          </w:p>
        </w:tc>
        <w:tc>
          <w:tcPr>
            <w:tcW w:w="1793" w:type="dxa"/>
            <w:vAlign w:val="top"/>
          </w:tcPr>
          <w:p w14:paraId="1870DE28">
            <w:pPr>
              <w:rPr>
                <w:rFonts w:ascii="Arial"/>
                <w:sz w:val="21"/>
              </w:rPr>
            </w:pPr>
          </w:p>
        </w:tc>
      </w:tr>
      <w:tr w14:paraId="5A314D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7837C267">
            <w:pPr>
              <w:rPr>
                <w:rFonts w:ascii="Arial"/>
                <w:sz w:val="21"/>
              </w:rPr>
            </w:pPr>
          </w:p>
        </w:tc>
        <w:tc>
          <w:tcPr>
            <w:tcW w:w="2908" w:type="dxa"/>
            <w:vAlign w:val="top"/>
          </w:tcPr>
          <w:p w14:paraId="3F381B1F">
            <w:pPr>
              <w:pStyle w:val="6"/>
              <w:spacing w:before="137" w:line="228" w:lineRule="auto"/>
              <w:ind w:left="113"/>
            </w:pPr>
            <w:r>
              <w:rPr>
                <w:spacing w:val="8"/>
              </w:rPr>
              <w:t>其中：人工费</w:t>
            </w:r>
          </w:p>
        </w:tc>
        <w:tc>
          <w:tcPr>
            <w:tcW w:w="3328" w:type="dxa"/>
            <w:vAlign w:val="top"/>
          </w:tcPr>
          <w:p w14:paraId="1717AA13">
            <w:pPr>
              <w:rPr>
                <w:rFonts w:ascii="Arial"/>
                <w:sz w:val="21"/>
              </w:rPr>
            </w:pPr>
          </w:p>
        </w:tc>
        <w:tc>
          <w:tcPr>
            <w:tcW w:w="1793" w:type="dxa"/>
            <w:vAlign w:val="top"/>
          </w:tcPr>
          <w:p w14:paraId="257FD58D">
            <w:pPr>
              <w:rPr>
                <w:rFonts w:ascii="Arial"/>
                <w:sz w:val="21"/>
              </w:rPr>
            </w:pPr>
          </w:p>
        </w:tc>
      </w:tr>
      <w:tr w14:paraId="736569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26DF3290">
            <w:pPr>
              <w:rPr>
                <w:rFonts w:ascii="Arial"/>
                <w:sz w:val="21"/>
              </w:rPr>
            </w:pPr>
          </w:p>
        </w:tc>
        <w:tc>
          <w:tcPr>
            <w:tcW w:w="2908" w:type="dxa"/>
            <w:vAlign w:val="top"/>
          </w:tcPr>
          <w:p w14:paraId="62F21DA1">
            <w:pPr>
              <w:pStyle w:val="6"/>
              <w:spacing w:before="138" w:line="227" w:lineRule="auto"/>
              <w:ind w:left="113"/>
            </w:pPr>
            <w:r>
              <w:rPr>
                <w:spacing w:val="8"/>
              </w:rPr>
              <w:t>其中：施工机具使用费</w:t>
            </w:r>
          </w:p>
        </w:tc>
        <w:tc>
          <w:tcPr>
            <w:tcW w:w="3328" w:type="dxa"/>
            <w:vAlign w:val="top"/>
          </w:tcPr>
          <w:p w14:paraId="3E60A827">
            <w:pPr>
              <w:rPr>
                <w:rFonts w:ascii="Arial"/>
                <w:sz w:val="21"/>
              </w:rPr>
            </w:pPr>
          </w:p>
        </w:tc>
        <w:tc>
          <w:tcPr>
            <w:tcW w:w="1793" w:type="dxa"/>
            <w:vAlign w:val="top"/>
          </w:tcPr>
          <w:p w14:paraId="7187033B">
            <w:pPr>
              <w:rPr>
                <w:rFonts w:ascii="Arial"/>
                <w:sz w:val="21"/>
              </w:rPr>
            </w:pPr>
          </w:p>
        </w:tc>
      </w:tr>
      <w:tr w14:paraId="3E0C86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4E9073EF">
            <w:pPr>
              <w:spacing w:before="137" w:line="274" w:lineRule="exact"/>
              <w:ind w:left="114"/>
              <w:rPr>
                <w:rFonts w:ascii="黑体" w:hAnsi="黑体" w:eastAsia="黑体" w:cs="黑体"/>
                <w:sz w:val="20"/>
                <w:szCs w:val="20"/>
              </w:rPr>
            </w:pPr>
            <w:r>
              <w:rPr>
                <w:rFonts w:ascii="黑体" w:hAnsi="黑体" w:eastAsia="黑体" w:cs="黑体"/>
                <w:spacing w:val="3"/>
                <w:position w:val="1"/>
                <w:sz w:val="20"/>
                <w:szCs w:val="20"/>
              </w:rPr>
              <w:t>2.2</w:t>
            </w:r>
          </w:p>
        </w:tc>
        <w:tc>
          <w:tcPr>
            <w:tcW w:w="2908" w:type="dxa"/>
            <w:vAlign w:val="top"/>
          </w:tcPr>
          <w:p w14:paraId="5BA04F72">
            <w:pPr>
              <w:pStyle w:val="6"/>
              <w:spacing w:before="137" w:line="226" w:lineRule="auto"/>
              <w:ind w:left="117"/>
            </w:pPr>
            <w:r>
              <w:rPr>
                <w:spacing w:val="7"/>
              </w:rPr>
              <w:t>总价措施项目</w:t>
            </w:r>
          </w:p>
        </w:tc>
        <w:tc>
          <w:tcPr>
            <w:tcW w:w="3328" w:type="dxa"/>
            <w:vAlign w:val="top"/>
          </w:tcPr>
          <w:p w14:paraId="504B2E75">
            <w:pPr>
              <w:rPr>
                <w:rFonts w:ascii="Arial"/>
                <w:sz w:val="21"/>
              </w:rPr>
            </w:pPr>
          </w:p>
        </w:tc>
        <w:tc>
          <w:tcPr>
            <w:tcW w:w="1793" w:type="dxa"/>
            <w:vAlign w:val="top"/>
          </w:tcPr>
          <w:p w14:paraId="413698FC">
            <w:pPr>
              <w:pStyle w:val="6"/>
              <w:spacing w:before="235" w:line="136" w:lineRule="exact"/>
              <w:ind w:left="796"/>
            </w:pPr>
            <w:r>
              <w:rPr>
                <w:spacing w:val="2"/>
                <w:position w:val="-3"/>
              </w:rPr>
              <w:t>—</w:t>
            </w:r>
          </w:p>
        </w:tc>
      </w:tr>
      <w:tr w14:paraId="6120A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31424D29">
            <w:pPr>
              <w:spacing w:before="138" w:line="273" w:lineRule="exact"/>
              <w:ind w:left="116"/>
              <w:rPr>
                <w:rFonts w:ascii="黑体" w:hAnsi="黑体" w:eastAsia="黑体" w:cs="黑体"/>
                <w:sz w:val="20"/>
                <w:szCs w:val="20"/>
              </w:rPr>
            </w:pPr>
            <w:r>
              <w:rPr>
                <w:rFonts w:ascii="黑体" w:hAnsi="黑体" w:eastAsia="黑体" w:cs="黑体"/>
                <w:position w:val="1"/>
                <w:sz w:val="20"/>
                <w:szCs w:val="20"/>
              </w:rPr>
              <w:t>3</w:t>
            </w:r>
          </w:p>
        </w:tc>
        <w:tc>
          <w:tcPr>
            <w:tcW w:w="2908" w:type="dxa"/>
            <w:vAlign w:val="top"/>
          </w:tcPr>
          <w:p w14:paraId="419744B9">
            <w:pPr>
              <w:pStyle w:val="6"/>
              <w:spacing w:before="138" w:line="228" w:lineRule="auto"/>
              <w:ind w:left="113"/>
            </w:pPr>
            <w:r>
              <w:rPr>
                <w:spacing w:val="7"/>
              </w:rPr>
              <w:t>其他项目</w:t>
            </w:r>
          </w:p>
        </w:tc>
        <w:tc>
          <w:tcPr>
            <w:tcW w:w="3328" w:type="dxa"/>
            <w:vAlign w:val="top"/>
          </w:tcPr>
          <w:p w14:paraId="6A1A1F7C">
            <w:pPr>
              <w:rPr>
                <w:rFonts w:ascii="Arial"/>
                <w:sz w:val="21"/>
              </w:rPr>
            </w:pPr>
          </w:p>
        </w:tc>
        <w:tc>
          <w:tcPr>
            <w:tcW w:w="1793" w:type="dxa"/>
            <w:vAlign w:val="top"/>
          </w:tcPr>
          <w:p w14:paraId="5FC180ED">
            <w:pPr>
              <w:pStyle w:val="6"/>
              <w:spacing w:before="236" w:line="136" w:lineRule="exact"/>
              <w:ind w:left="796"/>
            </w:pPr>
            <w:r>
              <w:rPr>
                <w:spacing w:val="2"/>
                <w:position w:val="-3"/>
              </w:rPr>
              <w:t>—</w:t>
            </w:r>
          </w:p>
        </w:tc>
      </w:tr>
      <w:tr w14:paraId="1BFABA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7CBC5AAB">
            <w:pPr>
              <w:rPr>
                <w:rFonts w:ascii="Arial"/>
                <w:sz w:val="21"/>
              </w:rPr>
            </w:pPr>
          </w:p>
        </w:tc>
        <w:tc>
          <w:tcPr>
            <w:tcW w:w="2908" w:type="dxa"/>
            <w:vAlign w:val="top"/>
          </w:tcPr>
          <w:p w14:paraId="070DAD80">
            <w:pPr>
              <w:pStyle w:val="6"/>
              <w:spacing w:before="137" w:line="228" w:lineRule="auto"/>
              <w:ind w:left="113"/>
            </w:pPr>
            <w:r>
              <w:rPr>
                <w:spacing w:val="8"/>
              </w:rPr>
              <w:t>其中：人工费</w:t>
            </w:r>
          </w:p>
        </w:tc>
        <w:tc>
          <w:tcPr>
            <w:tcW w:w="3328" w:type="dxa"/>
            <w:vAlign w:val="top"/>
          </w:tcPr>
          <w:p w14:paraId="0DAFEA45">
            <w:pPr>
              <w:rPr>
                <w:rFonts w:ascii="Arial"/>
                <w:sz w:val="21"/>
              </w:rPr>
            </w:pPr>
          </w:p>
        </w:tc>
        <w:tc>
          <w:tcPr>
            <w:tcW w:w="1793" w:type="dxa"/>
            <w:vAlign w:val="top"/>
          </w:tcPr>
          <w:p w14:paraId="6009FE97">
            <w:pPr>
              <w:rPr>
                <w:rFonts w:ascii="Arial"/>
                <w:sz w:val="21"/>
              </w:rPr>
            </w:pPr>
          </w:p>
        </w:tc>
      </w:tr>
      <w:tr w14:paraId="342E15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731" w:type="dxa"/>
            <w:vAlign w:val="top"/>
          </w:tcPr>
          <w:p w14:paraId="561005B5">
            <w:pPr>
              <w:rPr>
                <w:rFonts w:ascii="Arial"/>
                <w:sz w:val="21"/>
              </w:rPr>
            </w:pPr>
          </w:p>
        </w:tc>
        <w:tc>
          <w:tcPr>
            <w:tcW w:w="2908" w:type="dxa"/>
            <w:vAlign w:val="top"/>
          </w:tcPr>
          <w:p w14:paraId="151B2E42">
            <w:pPr>
              <w:pStyle w:val="6"/>
              <w:spacing w:before="138" w:line="227" w:lineRule="auto"/>
              <w:ind w:left="113"/>
            </w:pPr>
            <w:r>
              <w:rPr>
                <w:spacing w:val="8"/>
              </w:rPr>
              <w:t>其中：施工机具使用费</w:t>
            </w:r>
          </w:p>
        </w:tc>
        <w:tc>
          <w:tcPr>
            <w:tcW w:w="3328" w:type="dxa"/>
            <w:vAlign w:val="top"/>
          </w:tcPr>
          <w:p w14:paraId="1A51AB11">
            <w:pPr>
              <w:rPr>
                <w:rFonts w:ascii="Arial"/>
                <w:sz w:val="21"/>
              </w:rPr>
            </w:pPr>
          </w:p>
        </w:tc>
        <w:tc>
          <w:tcPr>
            <w:tcW w:w="1793" w:type="dxa"/>
            <w:vAlign w:val="top"/>
          </w:tcPr>
          <w:p w14:paraId="3C9849D4">
            <w:pPr>
              <w:rPr>
                <w:rFonts w:ascii="Arial"/>
                <w:sz w:val="21"/>
              </w:rPr>
            </w:pPr>
          </w:p>
        </w:tc>
      </w:tr>
    </w:tbl>
    <w:p w14:paraId="23CBA2A7">
      <w:pPr>
        <w:rPr>
          <w:rFonts w:ascii="Arial"/>
          <w:sz w:val="21"/>
        </w:rPr>
      </w:pPr>
    </w:p>
    <w:p w14:paraId="44ED9E28">
      <w:pPr>
        <w:rPr>
          <w:rFonts w:ascii="Arial" w:hAnsi="Arial" w:eastAsia="Arial" w:cs="Arial"/>
          <w:sz w:val="21"/>
          <w:szCs w:val="21"/>
        </w:rPr>
        <w:sectPr>
          <w:footerReference r:id="rId456" w:type="default"/>
          <w:pgSz w:w="11907" w:h="16840"/>
          <w:pgMar w:top="400" w:right="1723" w:bottom="1105" w:left="1418" w:header="0" w:footer="943" w:gutter="0"/>
          <w:cols w:space="720" w:num="1"/>
        </w:sectPr>
      </w:pPr>
    </w:p>
    <w:p w14:paraId="6A4F1724">
      <w:pPr>
        <w:spacing w:before="13"/>
      </w:pPr>
    </w:p>
    <w:p w14:paraId="5F21B3F8">
      <w:pPr>
        <w:spacing w:before="13"/>
      </w:pPr>
    </w:p>
    <w:p w14:paraId="5D399B78">
      <w:pPr>
        <w:spacing w:before="13"/>
      </w:pPr>
    </w:p>
    <w:p w14:paraId="02614ACA">
      <w:pPr>
        <w:spacing w:before="13"/>
      </w:pPr>
    </w:p>
    <w:tbl>
      <w:tblPr>
        <w:tblStyle w:val="5"/>
        <w:tblW w:w="87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1"/>
        <w:gridCol w:w="2908"/>
        <w:gridCol w:w="3328"/>
        <w:gridCol w:w="1793"/>
      </w:tblGrid>
      <w:tr w14:paraId="1A2B5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31" w:type="dxa"/>
            <w:vAlign w:val="top"/>
          </w:tcPr>
          <w:p w14:paraId="457F37A8">
            <w:pPr>
              <w:spacing w:before="138" w:line="275" w:lineRule="exact"/>
              <w:ind w:left="110"/>
              <w:rPr>
                <w:rFonts w:ascii="黑体" w:hAnsi="黑体" w:eastAsia="黑体" w:cs="黑体"/>
                <w:sz w:val="20"/>
                <w:szCs w:val="20"/>
              </w:rPr>
            </w:pPr>
            <w:r>
              <w:rPr>
                <w:rFonts w:ascii="黑体" w:hAnsi="黑体" w:eastAsia="黑体" w:cs="黑体"/>
                <w:spacing w:val="1"/>
                <w:position w:val="1"/>
                <w:sz w:val="20"/>
                <w:szCs w:val="20"/>
              </w:rPr>
              <w:t>4</w:t>
            </w:r>
          </w:p>
        </w:tc>
        <w:tc>
          <w:tcPr>
            <w:tcW w:w="2908" w:type="dxa"/>
            <w:vAlign w:val="top"/>
          </w:tcPr>
          <w:p w14:paraId="1912B389">
            <w:pPr>
              <w:pStyle w:val="6"/>
              <w:spacing w:before="138" w:line="228" w:lineRule="auto"/>
              <w:ind w:left="113"/>
            </w:pPr>
            <w:r>
              <w:rPr>
                <w:spacing w:val="4"/>
              </w:rPr>
              <w:t>规费</w:t>
            </w:r>
          </w:p>
        </w:tc>
        <w:tc>
          <w:tcPr>
            <w:tcW w:w="3328" w:type="dxa"/>
            <w:vAlign w:val="top"/>
          </w:tcPr>
          <w:p w14:paraId="2EA9649A">
            <w:pPr>
              <w:rPr>
                <w:rFonts w:ascii="Arial"/>
                <w:sz w:val="21"/>
              </w:rPr>
            </w:pPr>
          </w:p>
        </w:tc>
        <w:tc>
          <w:tcPr>
            <w:tcW w:w="1793" w:type="dxa"/>
            <w:vAlign w:val="top"/>
          </w:tcPr>
          <w:p w14:paraId="7B919516">
            <w:pPr>
              <w:pStyle w:val="6"/>
              <w:spacing w:before="236" w:line="136" w:lineRule="exact"/>
              <w:ind w:left="796"/>
            </w:pPr>
            <w:r>
              <w:rPr>
                <w:spacing w:val="2"/>
                <w:position w:val="-3"/>
              </w:rPr>
              <w:t>—</w:t>
            </w:r>
          </w:p>
        </w:tc>
      </w:tr>
      <w:tr w14:paraId="250D9C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41B5BB48">
            <w:pPr>
              <w:spacing w:before="133" w:line="272" w:lineRule="exact"/>
              <w:ind w:left="111"/>
              <w:rPr>
                <w:rFonts w:ascii="黑体" w:hAnsi="黑体" w:eastAsia="黑体" w:cs="黑体"/>
                <w:sz w:val="20"/>
                <w:szCs w:val="20"/>
              </w:rPr>
            </w:pPr>
            <w:r>
              <w:rPr>
                <w:rFonts w:ascii="黑体" w:hAnsi="黑体" w:eastAsia="黑体" w:cs="黑体"/>
                <w:spacing w:val="1"/>
                <w:position w:val="1"/>
                <w:sz w:val="20"/>
                <w:szCs w:val="20"/>
              </w:rPr>
              <w:t>5</w:t>
            </w:r>
          </w:p>
        </w:tc>
        <w:tc>
          <w:tcPr>
            <w:tcW w:w="2908" w:type="dxa"/>
            <w:vAlign w:val="top"/>
          </w:tcPr>
          <w:p w14:paraId="503074AB">
            <w:pPr>
              <w:pStyle w:val="6"/>
              <w:spacing w:before="133" w:line="226" w:lineRule="auto"/>
              <w:ind w:left="124"/>
            </w:pPr>
            <w:r>
              <w:rPr>
                <w:spacing w:val="7"/>
              </w:rPr>
              <w:t>除税</w:t>
            </w:r>
            <w:r>
              <w:rPr>
                <w:rFonts w:ascii="Times New Roman" w:hAnsi="Times New Roman" w:eastAsia="Times New Roman" w:cs="Times New Roman"/>
                <w:spacing w:val="7"/>
              </w:rPr>
              <w:t>/</w:t>
            </w:r>
            <w:r>
              <w:rPr>
                <w:spacing w:val="7"/>
              </w:rPr>
              <w:t>不含税工程造价</w:t>
            </w:r>
          </w:p>
        </w:tc>
        <w:tc>
          <w:tcPr>
            <w:tcW w:w="3328" w:type="dxa"/>
            <w:vAlign w:val="top"/>
          </w:tcPr>
          <w:p w14:paraId="69D2B92F">
            <w:pPr>
              <w:rPr>
                <w:rFonts w:ascii="Arial"/>
                <w:sz w:val="21"/>
              </w:rPr>
            </w:pPr>
          </w:p>
        </w:tc>
        <w:tc>
          <w:tcPr>
            <w:tcW w:w="1793" w:type="dxa"/>
            <w:vAlign w:val="top"/>
          </w:tcPr>
          <w:p w14:paraId="4DD3074D">
            <w:pPr>
              <w:rPr>
                <w:rFonts w:ascii="Arial"/>
                <w:sz w:val="21"/>
              </w:rPr>
            </w:pPr>
          </w:p>
        </w:tc>
      </w:tr>
      <w:tr w14:paraId="15D0E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3C9E87EF">
            <w:pPr>
              <w:spacing w:before="134" w:line="272" w:lineRule="exact"/>
              <w:ind w:left="115"/>
              <w:rPr>
                <w:rFonts w:ascii="黑体" w:hAnsi="黑体" w:eastAsia="黑体" w:cs="黑体"/>
                <w:sz w:val="20"/>
                <w:szCs w:val="20"/>
              </w:rPr>
            </w:pPr>
            <w:r>
              <w:rPr>
                <w:rFonts w:ascii="黑体" w:hAnsi="黑体" w:eastAsia="黑体" w:cs="黑体"/>
                <w:position w:val="1"/>
                <w:sz w:val="20"/>
                <w:szCs w:val="20"/>
              </w:rPr>
              <w:t>6</w:t>
            </w:r>
          </w:p>
        </w:tc>
        <w:tc>
          <w:tcPr>
            <w:tcW w:w="2908" w:type="dxa"/>
            <w:vAlign w:val="top"/>
          </w:tcPr>
          <w:p w14:paraId="0375948B">
            <w:pPr>
              <w:pStyle w:val="6"/>
              <w:spacing w:before="134" w:line="228" w:lineRule="auto"/>
              <w:ind w:left="111"/>
            </w:pPr>
            <w:r>
              <w:rPr>
                <w:spacing w:val="5"/>
              </w:rPr>
              <w:t>税金</w:t>
            </w:r>
          </w:p>
        </w:tc>
        <w:tc>
          <w:tcPr>
            <w:tcW w:w="3328" w:type="dxa"/>
            <w:vAlign w:val="top"/>
          </w:tcPr>
          <w:p w14:paraId="4A95554C">
            <w:pPr>
              <w:rPr>
                <w:rFonts w:ascii="Arial"/>
                <w:sz w:val="21"/>
              </w:rPr>
            </w:pPr>
          </w:p>
        </w:tc>
        <w:tc>
          <w:tcPr>
            <w:tcW w:w="1793" w:type="dxa"/>
            <w:vAlign w:val="top"/>
          </w:tcPr>
          <w:p w14:paraId="408B7752">
            <w:pPr>
              <w:pStyle w:val="6"/>
              <w:spacing w:before="232" w:line="136" w:lineRule="exact"/>
              <w:ind w:left="796"/>
            </w:pPr>
            <w:r>
              <w:rPr>
                <w:spacing w:val="2"/>
                <w:position w:val="-3"/>
              </w:rPr>
              <w:t>—</w:t>
            </w:r>
          </w:p>
        </w:tc>
      </w:tr>
      <w:tr w14:paraId="1830E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73B32EE6">
            <w:pPr>
              <w:spacing w:before="133" w:line="275" w:lineRule="exact"/>
              <w:ind w:left="116"/>
              <w:rPr>
                <w:rFonts w:ascii="黑体" w:hAnsi="黑体" w:eastAsia="黑体" w:cs="黑体"/>
                <w:sz w:val="20"/>
                <w:szCs w:val="20"/>
              </w:rPr>
            </w:pPr>
            <w:r>
              <w:rPr>
                <w:rFonts w:ascii="黑体" w:hAnsi="黑体" w:eastAsia="黑体" w:cs="黑体"/>
                <w:position w:val="1"/>
                <w:sz w:val="20"/>
                <w:szCs w:val="20"/>
              </w:rPr>
              <w:t>7</w:t>
            </w:r>
          </w:p>
        </w:tc>
        <w:tc>
          <w:tcPr>
            <w:tcW w:w="2908" w:type="dxa"/>
            <w:vAlign w:val="top"/>
          </w:tcPr>
          <w:p w14:paraId="239E5127">
            <w:pPr>
              <w:pStyle w:val="6"/>
              <w:spacing w:before="133" w:line="226" w:lineRule="auto"/>
              <w:ind w:left="112"/>
            </w:pPr>
            <w:r>
              <w:rPr>
                <w:spacing w:val="8"/>
              </w:rPr>
              <w:t>含税工程造价</w:t>
            </w:r>
          </w:p>
        </w:tc>
        <w:tc>
          <w:tcPr>
            <w:tcW w:w="3328" w:type="dxa"/>
            <w:vAlign w:val="top"/>
          </w:tcPr>
          <w:p w14:paraId="3120FF80">
            <w:pPr>
              <w:rPr>
                <w:rFonts w:ascii="Arial"/>
                <w:sz w:val="21"/>
              </w:rPr>
            </w:pPr>
          </w:p>
        </w:tc>
        <w:tc>
          <w:tcPr>
            <w:tcW w:w="1793" w:type="dxa"/>
            <w:vAlign w:val="top"/>
          </w:tcPr>
          <w:p w14:paraId="49C20C95">
            <w:pPr>
              <w:rPr>
                <w:rFonts w:ascii="Arial"/>
                <w:sz w:val="21"/>
              </w:rPr>
            </w:pPr>
          </w:p>
        </w:tc>
      </w:tr>
      <w:tr w14:paraId="7B0AA7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731" w:type="dxa"/>
            <w:vAlign w:val="top"/>
          </w:tcPr>
          <w:p w14:paraId="789557C1">
            <w:pPr>
              <w:rPr>
                <w:rFonts w:ascii="Arial"/>
                <w:sz w:val="21"/>
              </w:rPr>
            </w:pPr>
          </w:p>
        </w:tc>
        <w:tc>
          <w:tcPr>
            <w:tcW w:w="2908" w:type="dxa"/>
            <w:vAlign w:val="top"/>
          </w:tcPr>
          <w:p w14:paraId="33C29861">
            <w:pPr>
              <w:pStyle w:val="6"/>
              <w:spacing w:before="124" w:line="228" w:lineRule="auto"/>
              <w:ind w:left="114"/>
            </w:pPr>
            <w:r>
              <w:rPr>
                <w:spacing w:val="6"/>
              </w:rPr>
              <w:t>单位工程数据：</w:t>
            </w:r>
          </w:p>
        </w:tc>
        <w:tc>
          <w:tcPr>
            <w:tcW w:w="3328" w:type="dxa"/>
            <w:vAlign w:val="top"/>
          </w:tcPr>
          <w:p w14:paraId="45AFB2D8">
            <w:pPr>
              <w:rPr>
                <w:rFonts w:ascii="Arial"/>
                <w:sz w:val="21"/>
              </w:rPr>
            </w:pPr>
          </w:p>
        </w:tc>
        <w:tc>
          <w:tcPr>
            <w:tcW w:w="1793" w:type="dxa"/>
            <w:vAlign w:val="top"/>
          </w:tcPr>
          <w:p w14:paraId="06FB7253">
            <w:pPr>
              <w:rPr>
                <w:rFonts w:ascii="Arial"/>
                <w:sz w:val="21"/>
              </w:rPr>
            </w:pPr>
          </w:p>
        </w:tc>
      </w:tr>
      <w:tr w14:paraId="6AD3F8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731" w:type="dxa"/>
            <w:vAlign w:val="top"/>
          </w:tcPr>
          <w:p w14:paraId="7AFE72D1">
            <w:pPr>
              <w:rPr>
                <w:rFonts w:ascii="Arial"/>
                <w:sz w:val="21"/>
              </w:rPr>
            </w:pPr>
          </w:p>
        </w:tc>
        <w:tc>
          <w:tcPr>
            <w:tcW w:w="2908" w:type="dxa"/>
            <w:vAlign w:val="top"/>
          </w:tcPr>
          <w:p w14:paraId="156BD4CF">
            <w:pPr>
              <w:pStyle w:val="6"/>
              <w:spacing w:before="127" w:line="228" w:lineRule="auto"/>
              <w:ind w:left="114"/>
            </w:pPr>
            <w:r>
              <w:rPr>
                <w:spacing w:val="6"/>
              </w:rPr>
              <w:t>人工费</w:t>
            </w:r>
          </w:p>
        </w:tc>
        <w:tc>
          <w:tcPr>
            <w:tcW w:w="3328" w:type="dxa"/>
            <w:vAlign w:val="top"/>
          </w:tcPr>
          <w:p w14:paraId="6AA76156">
            <w:pPr>
              <w:rPr>
                <w:rFonts w:ascii="Arial"/>
                <w:sz w:val="21"/>
              </w:rPr>
            </w:pPr>
          </w:p>
        </w:tc>
        <w:tc>
          <w:tcPr>
            <w:tcW w:w="1793" w:type="dxa"/>
            <w:vAlign w:val="top"/>
          </w:tcPr>
          <w:p w14:paraId="40417FB8">
            <w:pPr>
              <w:rPr>
                <w:rFonts w:ascii="Arial"/>
                <w:sz w:val="21"/>
              </w:rPr>
            </w:pPr>
          </w:p>
        </w:tc>
      </w:tr>
      <w:tr w14:paraId="3C3880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731" w:type="dxa"/>
            <w:vAlign w:val="top"/>
          </w:tcPr>
          <w:p w14:paraId="5F592F3C">
            <w:pPr>
              <w:rPr>
                <w:rFonts w:ascii="Arial"/>
                <w:sz w:val="21"/>
              </w:rPr>
            </w:pPr>
          </w:p>
        </w:tc>
        <w:tc>
          <w:tcPr>
            <w:tcW w:w="2908" w:type="dxa"/>
            <w:vAlign w:val="top"/>
          </w:tcPr>
          <w:p w14:paraId="5BBB9D66">
            <w:pPr>
              <w:pStyle w:val="6"/>
              <w:spacing w:before="126" w:line="227" w:lineRule="auto"/>
              <w:ind w:left="112"/>
            </w:pPr>
            <w:r>
              <w:rPr>
                <w:spacing w:val="6"/>
              </w:rPr>
              <w:t>材料费</w:t>
            </w:r>
          </w:p>
        </w:tc>
        <w:tc>
          <w:tcPr>
            <w:tcW w:w="3328" w:type="dxa"/>
            <w:vAlign w:val="top"/>
          </w:tcPr>
          <w:p w14:paraId="6BD90D44">
            <w:pPr>
              <w:rPr>
                <w:rFonts w:ascii="Arial"/>
                <w:sz w:val="21"/>
              </w:rPr>
            </w:pPr>
          </w:p>
        </w:tc>
        <w:tc>
          <w:tcPr>
            <w:tcW w:w="1793" w:type="dxa"/>
            <w:vAlign w:val="top"/>
          </w:tcPr>
          <w:p w14:paraId="41B578FC">
            <w:pPr>
              <w:rPr>
                <w:rFonts w:ascii="Arial"/>
                <w:sz w:val="21"/>
              </w:rPr>
            </w:pPr>
          </w:p>
        </w:tc>
      </w:tr>
      <w:tr w14:paraId="413B3E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731" w:type="dxa"/>
            <w:vAlign w:val="top"/>
          </w:tcPr>
          <w:p w14:paraId="5113A2D7">
            <w:pPr>
              <w:rPr>
                <w:rFonts w:ascii="Arial"/>
                <w:sz w:val="21"/>
              </w:rPr>
            </w:pPr>
          </w:p>
        </w:tc>
        <w:tc>
          <w:tcPr>
            <w:tcW w:w="2908" w:type="dxa"/>
            <w:vAlign w:val="top"/>
          </w:tcPr>
          <w:p w14:paraId="06A47A93">
            <w:pPr>
              <w:pStyle w:val="6"/>
              <w:spacing w:before="128" w:line="227" w:lineRule="auto"/>
              <w:ind w:left="111"/>
            </w:pPr>
            <w:r>
              <w:rPr>
                <w:spacing w:val="7"/>
              </w:rPr>
              <w:t>机械费</w:t>
            </w:r>
          </w:p>
        </w:tc>
        <w:tc>
          <w:tcPr>
            <w:tcW w:w="3328" w:type="dxa"/>
            <w:vAlign w:val="top"/>
          </w:tcPr>
          <w:p w14:paraId="30ED2557">
            <w:pPr>
              <w:rPr>
                <w:rFonts w:ascii="Arial"/>
                <w:sz w:val="21"/>
              </w:rPr>
            </w:pPr>
          </w:p>
        </w:tc>
        <w:tc>
          <w:tcPr>
            <w:tcW w:w="1793" w:type="dxa"/>
            <w:vAlign w:val="top"/>
          </w:tcPr>
          <w:p w14:paraId="72B53F43">
            <w:pPr>
              <w:rPr>
                <w:rFonts w:ascii="Arial"/>
                <w:sz w:val="21"/>
              </w:rPr>
            </w:pPr>
          </w:p>
        </w:tc>
      </w:tr>
      <w:tr w14:paraId="3C7AE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31" w:type="dxa"/>
            <w:vAlign w:val="top"/>
          </w:tcPr>
          <w:p w14:paraId="05B8CC90">
            <w:pPr>
              <w:rPr>
                <w:rFonts w:ascii="Arial"/>
                <w:sz w:val="21"/>
              </w:rPr>
            </w:pPr>
          </w:p>
        </w:tc>
        <w:tc>
          <w:tcPr>
            <w:tcW w:w="2908" w:type="dxa"/>
            <w:vAlign w:val="top"/>
          </w:tcPr>
          <w:p w14:paraId="22ABAF9B">
            <w:pPr>
              <w:pStyle w:val="6"/>
              <w:spacing w:before="129" w:line="228" w:lineRule="auto"/>
              <w:ind w:left="115"/>
            </w:pPr>
            <w:r>
              <w:rPr>
                <w:spacing w:val="5"/>
              </w:rPr>
              <w:t>设备费</w:t>
            </w:r>
          </w:p>
        </w:tc>
        <w:tc>
          <w:tcPr>
            <w:tcW w:w="3328" w:type="dxa"/>
            <w:vAlign w:val="top"/>
          </w:tcPr>
          <w:p w14:paraId="6671F18D">
            <w:pPr>
              <w:rPr>
                <w:rFonts w:ascii="Arial"/>
                <w:sz w:val="21"/>
              </w:rPr>
            </w:pPr>
          </w:p>
        </w:tc>
        <w:tc>
          <w:tcPr>
            <w:tcW w:w="1793" w:type="dxa"/>
            <w:vAlign w:val="top"/>
          </w:tcPr>
          <w:p w14:paraId="248C9E18">
            <w:pPr>
              <w:rPr>
                <w:rFonts w:ascii="Arial"/>
                <w:sz w:val="21"/>
              </w:rPr>
            </w:pPr>
          </w:p>
        </w:tc>
      </w:tr>
      <w:tr w14:paraId="6A5644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31" w:type="dxa"/>
            <w:vAlign w:val="top"/>
          </w:tcPr>
          <w:p w14:paraId="69A66564">
            <w:pPr>
              <w:rPr>
                <w:rFonts w:ascii="Arial"/>
                <w:sz w:val="21"/>
              </w:rPr>
            </w:pPr>
          </w:p>
        </w:tc>
        <w:tc>
          <w:tcPr>
            <w:tcW w:w="2908" w:type="dxa"/>
            <w:vAlign w:val="top"/>
          </w:tcPr>
          <w:p w14:paraId="51C62816">
            <w:pPr>
              <w:pStyle w:val="6"/>
              <w:spacing w:before="129" w:line="227" w:lineRule="auto"/>
              <w:ind w:left="114"/>
            </w:pPr>
            <w:r>
              <w:rPr>
                <w:spacing w:val="6"/>
              </w:rPr>
              <w:t>主材费</w:t>
            </w:r>
          </w:p>
        </w:tc>
        <w:tc>
          <w:tcPr>
            <w:tcW w:w="3328" w:type="dxa"/>
            <w:vAlign w:val="top"/>
          </w:tcPr>
          <w:p w14:paraId="5A2B2920">
            <w:pPr>
              <w:rPr>
                <w:rFonts w:ascii="Arial"/>
                <w:sz w:val="21"/>
              </w:rPr>
            </w:pPr>
          </w:p>
        </w:tc>
        <w:tc>
          <w:tcPr>
            <w:tcW w:w="1793" w:type="dxa"/>
            <w:vAlign w:val="top"/>
          </w:tcPr>
          <w:p w14:paraId="36458FAC">
            <w:pPr>
              <w:rPr>
                <w:rFonts w:ascii="Arial"/>
                <w:sz w:val="21"/>
              </w:rPr>
            </w:pPr>
          </w:p>
        </w:tc>
      </w:tr>
      <w:tr w14:paraId="7A7077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34D41F6D">
            <w:pPr>
              <w:rPr>
                <w:rFonts w:ascii="Arial"/>
                <w:sz w:val="21"/>
              </w:rPr>
            </w:pPr>
          </w:p>
        </w:tc>
        <w:tc>
          <w:tcPr>
            <w:tcW w:w="2908" w:type="dxa"/>
            <w:vAlign w:val="top"/>
          </w:tcPr>
          <w:p w14:paraId="55DF01D1">
            <w:pPr>
              <w:rPr>
                <w:rFonts w:ascii="Arial"/>
                <w:sz w:val="21"/>
              </w:rPr>
            </w:pPr>
          </w:p>
        </w:tc>
        <w:tc>
          <w:tcPr>
            <w:tcW w:w="3328" w:type="dxa"/>
            <w:vAlign w:val="top"/>
          </w:tcPr>
          <w:p w14:paraId="49BF14F8">
            <w:pPr>
              <w:rPr>
                <w:rFonts w:ascii="Arial"/>
                <w:sz w:val="21"/>
              </w:rPr>
            </w:pPr>
          </w:p>
        </w:tc>
        <w:tc>
          <w:tcPr>
            <w:tcW w:w="1793" w:type="dxa"/>
            <w:vAlign w:val="top"/>
          </w:tcPr>
          <w:p w14:paraId="786FDA7C">
            <w:pPr>
              <w:rPr>
                <w:rFonts w:ascii="Arial"/>
                <w:sz w:val="21"/>
              </w:rPr>
            </w:pPr>
          </w:p>
        </w:tc>
      </w:tr>
      <w:tr w14:paraId="63EC86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226562D0">
            <w:pPr>
              <w:rPr>
                <w:rFonts w:ascii="Arial"/>
                <w:sz w:val="21"/>
              </w:rPr>
            </w:pPr>
          </w:p>
        </w:tc>
        <w:tc>
          <w:tcPr>
            <w:tcW w:w="2908" w:type="dxa"/>
            <w:vAlign w:val="top"/>
          </w:tcPr>
          <w:p w14:paraId="52A0C61A">
            <w:pPr>
              <w:rPr>
                <w:rFonts w:ascii="Arial"/>
                <w:sz w:val="21"/>
              </w:rPr>
            </w:pPr>
          </w:p>
        </w:tc>
        <w:tc>
          <w:tcPr>
            <w:tcW w:w="3328" w:type="dxa"/>
            <w:vAlign w:val="top"/>
          </w:tcPr>
          <w:p w14:paraId="77C03342">
            <w:pPr>
              <w:rPr>
                <w:rFonts w:ascii="Arial"/>
                <w:sz w:val="21"/>
              </w:rPr>
            </w:pPr>
          </w:p>
        </w:tc>
        <w:tc>
          <w:tcPr>
            <w:tcW w:w="1793" w:type="dxa"/>
            <w:vAlign w:val="top"/>
          </w:tcPr>
          <w:p w14:paraId="157E6F4D">
            <w:pPr>
              <w:rPr>
                <w:rFonts w:ascii="Arial"/>
                <w:sz w:val="21"/>
              </w:rPr>
            </w:pPr>
          </w:p>
        </w:tc>
      </w:tr>
      <w:tr w14:paraId="11751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5541FF36">
            <w:pPr>
              <w:rPr>
                <w:rFonts w:ascii="Arial"/>
                <w:sz w:val="21"/>
              </w:rPr>
            </w:pPr>
          </w:p>
        </w:tc>
        <w:tc>
          <w:tcPr>
            <w:tcW w:w="2908" w:type="dxa"/>
            <w:vAlign w:val="top"/>
          </w:tcPr>
          <w:p w14:paraId="13C01512">
            <w:pPr>
              <w:rPr>
                <w:rFonts w:ascii="Arial"/>
                <w:sz w:val="21"/>
              </w:rPr>
            </w:pPr>
          </w:p>
        </w:tc>
        <w:tc>
          <w:tcPr>
            <w:tcW w:w="3328" w:type="dxa"/>
            <w:vAlign w:val="top"/>
          </w:tcPr>
          <w:p w14:paraId="60649FE2">
            <w:pPr>
              <w:rPr>
                <w:rFonts w:ascii="Arial"/>
                <w:sz w:val="21"/>
              </w:rPr>
            </w:pPr>
          </w:p>
        </w:tc>
        <w:tc>
          <w:tcPr>
            <w:tcW w:w="1793" w:type="dxa"/>
            <w:vAlign w:val="top"/>
          </w:tcPr>
          <w:p w14:paraId="7158907C">
            <w:pPr>
              <w:rPr>
                <w:rFonts w:ascii="Arial"/>
                <w:sz w:val="21"/>
              </w:rPr>
            </w:pPr>
          </w:p>
        </w:tc>
      </w:tr>
      <w:tr w14:paraId="354D7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14477D90">
            <w:pPr>
              <w:rPr>
                <w:rFonts w:ascii="Arial"/>
                <w:sz w:val="21"/>
              </w:rPr>
            </w:pPr>
          </w:p>
        </w:tc>
        <w:tc>
          <w:tcPr>
            <w:tcW w:w="2908" w:type="dxa"/>
            <w:vAlign w:val="top"/>
          </w:tcPr>
          <w:p w14:paraId="04174E8D">
            <w:pPr>
              <w:rPr>
                <w:rFonts w:ascii="Arial"/>
                <w:sz w:val="21"/>
              </w:rPr>
            </w:pPr>
          </w:p>
        </w:tc>
        <w:tc>
          <w:tcPr>
            <w:tcW w:w="3328" w:type="dxa"/>
            <w:vAlign w:val="top"/>
          </w:tcPr>
          <w:p w14:paraId="112A64EC">
            <w:pPr>
              <w:rPr>
                <w:rFonts w:ascii="Arial"/>
                <w:sz w:val="21"/>
              </w:rPr>
            </w:pPr>
          </w:p>
        </w:tc>
        <w:tc>
          <w:tcPr>
            <w:tcW w:w="1793" w:type="dxa"/>
            <w:vAlign w:val="top"/>
          </w:tcPr>
          <w:p w14:paraId="2469672D">
            <w:pPr>
              <w:rPr>
                <w:rFonts w:ascii="Arial"/>
                <w:sz w:val="21"/>
              </w:rPr>
            </w:pPr>
          </w:p>
        </w:tc>
      </w:tr>
      <w:tr w14:paraId="1B0DB1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6E044785">
            <w:pPr>
              <w:rPr>
                <w:rFonts w:ascii="Arial"/>
                <w:sz w:val="21"/>
              </w:rPr>
            </w:pPr>
          </w:p>
        </w:tc>
        <w:tc>
          <w:tcPr>
            <w:tcW w:w="2908" w:type="dxa"/>
            <w:vAlign w:val="top"/>
          </w:tcPr>
          <w:p w14:paraId="301D434B">
            <w:pPr>
              <w:rPr>
                <w:rFonts w:ascii="Arial"/>
                <w:sz w:val="21"/>
              </w:rPr>
            </w:pPr>
          </w:p>
        </w:tc>
        <w:tc>
          <w:tcPr>
            <w:tcW w:w="3328" w:type="dxa"/>
            <w:vAlign w:val="top"/>
          </w:tcPr>
          <w:p w14:paraId="09122474">
            <w:pPr>
              <w:rPr>
                <w:rFonts w:ascii="Arial"/>
                <w:sz w:val="21"/>
              </w:rPr>
            </w:pPr>
          </w:p>
        </w:tc>
        <w:tc>
          <w:tcPr>
            <w:tcW w:w="1793" w:type="dxa"/>
            <w:vAlign w:val="top"/>
          </w:tcPr>
          <w:p w14:paraId="616A586E">
            <w:pPr>
              <w:rPr>
                <w:rFonts w:ascii="Arial"/>
                <w:sz w:val="21"/>
              </w:rPr>
            </w:pPr>
          </w:p>
        </w:tc>
      </w:tr>
      <w:tr w14:paraId="7302F5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6748A986">
            <w:pPr>
              <w:rPr>
                <w:rFonts w:ascii="Arial"/>
                <w:sz w:val="21"/>
              </w:rPr>
            </w:pPr>
          </w:p>
        </w:tc>
        <w:tc>
          <w:tcPr>
            <w:tcW w:w="2908" w:type="dxa"/>
            <w:vAlign w:val="top"/>
          </w:tcPr>
          <w:p w14:paraId="509FD582">
            <w:pPr>
              <w:rPr>
                <w:rFonts w:ascii="Arial"/>
                <w:sz w:val="21"/>
              </w:rPr>
            </w:pPr>
          </w:p>
        </w:tc>
        <w:tc>
          <w:tcPr>
            <w:tcW w:w="3328" w:type="dxa"/>
            <w:vAlign w:val="top"/>
          </w:tcPr>
          <w:p w14:paraId="57BEBB6A">
            <w:pPr>
              <w:rPr>
                <w:rFonts w:ascii="Arial"/>
                <w:sz w:val="21"/>
              </w:rPr>
            </w:pPr>
          </w:p>
        </w:tc>
        <w:tc>
          <w:tcPr>
            <w:tcW w:w="1793" w:type="dxa"/>
            <w:vAlign w:val="top"/>
          </w:tcPr>
          <w:p w14:paraId="0A4DFA6A">
            <w:pPr>
              <w:rPr>
                <w:rFonts w:ascii="Arial"/>
                <w:sz w:val="21"/>
              </w:rPr>
            </w:pPr>
          </w:p>
        </w:tc>
      </w:tr>
      <w:tr w14:paraId="27AD56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2967CF50">
            <w:pPr>
              <w:rPr>
                <w:rFonts w:ascii="Arial"/>
                <w:sz w:val="21"/>
              </w:rPr>
            </w:pPr>
          </w:p>
        </w:tc>
        <w:tc>
          <w:tcPr>
            <w:tcW w:w="2908" w:type="dxa"/>
            <w:vAlign w:val="top"/>
          </w:tcPr>
          <w:p w14:paraId="01747FEB">
            <w:pPr>
              <w:rPr>
                <w:rFonts w:ascii="Arial"/>
                <w:sz w:val="21"/>
              </w:rPr>
            </w:pPr>
          </w:p>
        </w:tc>
        <w:tc>
          <w:tcPr>
            <w:tcW w:w="3328" w:type="dxa"/>
            <w:vAlign w:val="top"/>
          </w:tcPr>
          <w:p w14:paraId="49D150EF">
            <w:pPr>
              <w:rPr>
                <w:rFonts w:ascii="Arial"/>
                <w:sz w:val="21"/>
              </w:rPr>
            </w:pPr>
          </w:p>
        </w:tc>
        <w:tc>
          <w:tcPr>
            <w:tcW w:w="1793" w:type="dxa"/>
            <w:vAlign w:val="top"/>
          </w:tcPr>
          <w:p w14:paraId="5CA1D359">
            <w:pPr>
              <w:rPr>
                <w:rFonts w:ascii="Arial"/>
                <w:sz w:val="21"/>
              </w:rPr>
            </w:pPr>
          </w:p>
        </w:tc>
      </w:tr>
      <w:tr w14:paraId="3A18D2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4B83E916">
            <w:pPr>
              <w:rPr>
                <w:rFonts w:ascii="Arial"/>
                <w:sz w:val="21"/>
              </w:rPr>
            </w:pPr>
          </w:p>
        </w:tc>
        <w:tc>
          <w:tcPr>
            <w:tcW w:w="2908" w:type="dxa"/>
            <w:vAlign w:val="top"/>
          </w:tcPr>
          <w:p w14:paraId="76BA0355">
            <w:pPr>
              <w:rPr>
                <w:rFonts w:ascii="Arial"/>
                <w:sz w:val="21"/>
              </w:rPr>
            </w:pPr>
          </w:p>
        </w:tc>
        <w:tc>
          <w:tcPr>
            <w:tcW w:w="3328" w:type="dxa"/>
            <w:vAlign w:val="top"/>
          </w:tcPr>
          <w:p w14:paraId="3F598D72">
            <w:pPr>
              <w:rPr>
                <w:rFonts w:ascii="Arial"/>
                <w:sz w:val="21"/>
              </w:rPr>
            </w:pPr>
          </w:p>
        </w:tc>
        <w:tc>
          <w:tcPr>
            <w:tcW w:w="1793" w:type="dxa"/>
            <w:vAlign w:val="top"/>
          </w:tcPr>
          <w:p w14:paraId="2383965F">
            <w:pPr>
              <w:rPr>
                <w:rFonts w:ascii="Arial"/>
                <w:sz w:val="21"/>
              </w:rPr>
            </w:pPr>
          </w:p>
        </w:tc>
      </w:tr>
      <w:tr w14:paraId="3ABB35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7609AA12">
            <w:pPr>
              <w:rPr>
                <w:rFonts w:ascii="Arial"/>
                <w:sz w:val="21"/>
              </w:rPr>
            </w:pPr>
          </w:p>
        </w:tc>
        <w:tc>
          <w:tcPr>
            <w:tcW w:w="2908" w:type="dxa"/>
            <w:vAlign w:val="top"/>
          </w:tcPr>
          <w:p w14:paraId="20B86648">
            <w:pPr>
              <w:rPr>
                <w:rFonts w:ascii="Arial"/>
                <w:sz w:val="21"/>
              </w:rPr>
            </w:pPr>
          </w:p>
        </w:tc>
        <w:tc>
          <w:tcPr>
            <w:tcW w:w="3328" w:type="dxa"/>
            <w:vAlign w:val="top"/>
          </w:tcPr>
          <w:p w14:paraId="0A376D8A">
            <w:pPr>
              <w:rPr>
                <w:rFonts w:ascii="Arial"/>
                <w:sz w:val="21"/>
              </w:rPr>
            </w:pPr>
          </w:p>
        </w:tc>
        <w:tc>
          <w:tcPr>
            <w:tcW w:w="1793" w:type="dxa"/>
            <w:vAlign w:val="top"/>
          </w:tcPr>
          <w:p w14:paraId="025F2291">
            <w:pPr>
              <w:rPr>
                <w:rFonts w:ascii="Arial"/>
                <w:sz w:val="21"/>
              </w:rPr>
            </w:pPr>
          </w:p>
        </w:tc>
      </w:tr>
      <w:tr w14:paraId="3AB0D6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3F80435A">
            <w:pPr>
              <w:rPr>
                <w:rFonts w:ascii="Arial"/>
                <w:sz w:val="21"/>
              </w:rPr>
            </w:pPr>
          </w:p>
        </w:tc>
        <w:tc>
          <w:tcPr>
            <w:tcW w:w="2908" w:type="dxa"/>
            <w:vAlign w:val="top"/>
          </w:tcPr>
          <w:p w14:paraId="01D9698F">
            <w:pPr>
              <w:rPr>
                <w:rFonts w:ascii="Arial"/>
                <w:sz w:val="21"/>
              </w:rPr>
            </w:pPr>
          </w:p>
        </w:tc>
        <w:tc>
          <w:tcPr>
            <w:tcW w:w="3328" w:type="dxa"/>
            <w:vAlign w:val="top"/>
          </w:tcPr>
          <w:p w14:paraId="668165A8">
            <w:pPr>
              <w:rPr>
                <w:rFonts w:ascii="Arial"/>
                <w:sz w:val="21"/>
              </w:rPr>
            </w:pPr>
          </w:p>
        </w:tc>
        <w:tc>
          <w:tcPr>
            <w:tcW w:w="1793" w:type="dxa"/>
            <w:vAlign w:val="top"/>
          </w:tcPr>
          <w:p w14:paraId="31F2A5C4">
            <w:pPr>
              <w:rPr>
                <w:rFonts w:ascii="Arial"/>
                <w:sz w:val="21"/>
              </w:rPr>
            </w:pPr>
          </w:p>
        </w:tc>
      </w:tr>
      <w:tr w14:paraId="4EBA5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3639" w:type="dxa"/>
            <w:gridSpan w:val="2"/>
            <w:vAlign w:val="top"/>
          </w:tcPr>
          <w:p w14:paraId="79A37DFD">
            <w:pPr>
              <w:pStyle w:val="6"/>
              <w:spacing w:before="100" w:line="281" w:lineRule="exact"/>
              <w:ind w:left="118"/>
              <w:rPr>
                <w:rFonts w:ascii="Times New Roman" w:hAnsi="Times New Roman" w:eastAsia="Times New Roman" w:cs="Times New Roman"/>
              </w:rPr>
            </w:pPr>
            <w:r>
              <w:rPr>
                <w:spacing w:val="6"/>
                <w:position w:val="1"/>
              </w:rPr>
              <w:t>投标报价合计</w:t>
            </w:r>
            <w:r>
              <w:rPr>
                <w:rFonts w:ascii="Times New Roman" w:hAnsi="Times New Roman" w:eastAsia="Times New Roman" w:cs="Times New Roman"/>
                <w:spacing w:val="6"/>
                <w:position w:val="1"/>
              </w:rPr>
              <w:t>=1+2+3+4+5+6</w:t>
            </w:r>
          </w:p>
        </w:tc>
        <w:tc>
          <w:tcPr>
            <w:tcW w:w="3328" w:type="dxa"/>
            <w:vAlign w:val="top"/>
          </w:tcPr>
          <w:p w14:paraId="632C63E5">
            <w:pPr>
              <w:rPr>
                <w:rFonts w:ascii="Arial"/>
                <w:sz w:val="21"/>
              </w:rPr>
            </w:pPr>
          </w:p>
        </w:tc>
        <w:tc>
          <w:tcPr>
            <w:tcW w:w="1793" w:type="dxa"/>
            <w:vAlign w:val="top"/>
          </w:tcPr>
          <w:p w14:paraId="6AAA3D42">
            <w:pPr>
              <w:rPr>
                <w:rFonts w:ascii="Arial"/>
                <w:sz w:val="21"/>
              </w:rPr>
            </w:pPr>
          </w:p>
        </w:tc>
      </w:tr>
    </w:tbl>
    <w:p w14:paraId="4A14BC1F">
      <w:pPr>
        <w:spacing w:before="272" w:line="226" w:lineRule="auto"/>
        <w:ind w:left="121"/>
        <w:rPr>
          <w:rFonts w:ascii="宋体" w:hAnsi="宋体" w:eastAsia="宋体" w:cs="宋体"/>
          <w:sz w:val="20"/>
          <w:szCs w:val="20"/>
        </w:rPr>
      </w:pPr>
      <w:r>
        <w:rPr>
          <w:rFonts w:ascii="宋体" w:hAnsi="宋体" w:eastAsia="宋体" w:cs="宋体"/>
          <w:spacing w:val="10"/>
          <w:sz w:val="20"/>
          <w:szCs w:val="20"/>
        </w:rPr>
        <w:t>注：本表适用于单位工程投标报价的汇总，</w:t>
      </w:r>
      <w:r>
        <w:rPr>
          <w:rFonts w:ascii="宋体" w:hAnsi="宋体" w:eastAsia="宋体" w:cs="宋体"/>
          <w:spacing w:val="9"/>
          <w:sz w:val="20"/>
          <w:szCs w:val="20"/>
        </w:rPr>
        <w:t>如无单位工程的划分，单项工程也使用本汇总表。</w:t>
      </w:r>
    </w:p>
    <w:p w14:paraId="3DFCAE7E">
      <w:pPr>
        <w:spacing w:line="226" w:lineRule="auto"/>
        <w:rPr>
          <w:rFonts w:ascii="宋体" w:hAnsi="宋体" w:eastAsia="宋体" w:cs="宋体"/>
          <w:sz w:val="20"/>
          <w:szCs w:val="20"/>
        </w:rPr>
        <w:sectPr>
          <w:footerReference r:id="rId457" w:type="default"/>
          <w:pgSz w:w="11907" w:h="16840"/>
          <w:pgMar w:top="400" w:right="1723" w:bottom="1105" w:left="1418" w:header="0" w:footer="943" w:gutter="0"/>
          <w:cols w:space="720" w:num="1"/>
        </w:sectPr>
      </w:pPr>
    </w:p>
    <w:p w14:paraId="79CCF9A2">
      <w:pPr>
        <w:spacing w:line="261" w:lineRule="auto"/>
        <w:rPr>
          <w:rFonts w:ascii="Arial"/>
          <w:sz w:val="21"/>
        </w:rPr>
      </w:pPr>
    </w:p>
    <w:p w14:paraId="199B2DB1">
      <w:pPr>
        <w:spacing w:line="262" w:lineRule="auto"/>
        <w:rPr>
          <w:rFonts w:ascii="Arial"/>
          <w:sz w:val="21"/>
        </w:rPr>
      </w:pPr>
    </w:p>
    <w:p w14:paraId="419AD6A3">
      <w:pPr>
        <w:spacing w:line="262" w:lineRule="auto"/>
        <w:rPr>
          <w:rFonts w:ascii="Arial"/>
          <w:sz w:val="21"/>
        </w:rPr>
      </w:pPr>
    </w:p>
    <w:p w14:paraId="5E23F30F">
      <w:pPr>
        <w:spacing w:line="262" w:lineRule="auto"/>
        <w:rPr>
          <w:rFonts w:ascii="Arial"/>
          <w:sz w:val="21"/>
        </w:rPr>
      </w:pPr>
    </w:p>
    <w:p w14:paraId="31795A4D">
      <w:pPr>
        <w:pStyle w:val="2"/>
        <w:spacing w:before="78" w:line="222" w:lineRule="auto"/>
        <w:outlineLvl w:val="2"/>
        <w:rPr>
          <w:sz w:val="24"/>
          <w:szCs w:val="24"/>
        </w:rPr>
      </w:pPr>
      <w:bookmarkStart w:id="363" w:name="bookmark345"/>
      <w:bookmarkEnd w:id="363"/>
      <w:r>
        <w:rPr>
          <w:rFonts w:ascii="Times New Roman" w:hAnsi="Times New Roman" w:eastAsia="Times New Roman" w:cs="Times New Roman"/>
          <w:spacing w:val="-1"/>
          <w:sz w:val="24"/>
          <w:szCs w:val="24"/>
        </w:rPr>
        <w:t>4.9</w:t>
      </w:r>
      <w:r>
        <w:rPr>
          <w:rFonts w:ascii="Times New Roman" w:hAnsi="Times New Roman" w:eastAsia="Times New Roman" w:cs="Times New Roman"/>
          <w:spacing w:val="17"/>
          <w:sz w:val="24"/>
          <w:szCs w:val="24"/>
        </w:rPr>
        <w:t xml:space="preserve"> </w:t>
      </w:r>
      <w:r>
        <w:rPr>
          <w:spacing w:val="-1"/>
          <w:sz w:val="24"/>
          <w:szCs w:val="24"/>
        </w:rPr>
        <w:t>分部分项工程和单价措施项目清单与计价表</w:t>
      </w:r>
    </w:p>
    <w:p w14:paraId="0F8E7484">
      <w:pPr>
        <w:pStyle w:val="2"/>
        <w:spacing w:before="279" w:line="222" w:lineRule="auto"/>
        <w:ind w:left="1763"/>
        <w:rPr>
          <w:sz w:val="28"/>
          <w:szCs w:val="28"/>
        </w:rPr>
      </w:pPr>
      <w:r>
        <w:rPr>
          <w:spacing w:val="-1"/>
          <w:sz w:val="28"/>
          <w:szCs w:val="28"/>
        </w:rPr>
        <w:t>分部分项工程和单价措施项目清单与计价表</w:t>
      </w:r>
    </w:p>
    <w:p w14:paraId="79E0E062">
      <w:pPr>
        <w:spacing w:before="254" w:line="228" w:lineRule="auto"/>
        <w:ind w:left="6"/>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1"/>
          <w:sz w:val="20"/>
          <w:szCs w:val="20"/>
        </w:rPr>
        <w:t xml:space="preserve">                      </w:t>
      </w:r>
      <w:r>
        <w:rPr>
          <w:rFonts w:ascii="宋体" w:hAnsi="宋体" w:eastAsia="宋体" w:cs="宋体"/>
          <w:spacing w:val="4"/>
          <w:sz w:val="20"/>
          <w:szCs w:val="20"/>
        </w:rPr>
        <w:t>标段名称：</w:t>
      </w:r>
      <w:r>
        <w:rPr>
          <w:rFonts w:ascii="宋体" w:hAnsi="宋体" w:eastAsia="宋体" w:cs="宋体"/>
          <w:spacing w:val="2"/>
          <w:sz w:val="20"/>
          <w:szCs w:val="20"/>
        </w:rPr>
        <w:t xml:space="preserve">                       </w:t>
      </w:r>
      <w:r>
        <w:rPr>
          <w:rFonts w:ascii="宋体" w:hAnsi="宋体" w:eastAsia="宋体" w:cs="宋体"/>
          <w:spacing w:val="4"/>
          <w:sz w:val="20"/>
          <w:szCs w:val="20"/>
        </w:rPr>
        <w:t>第  页</w:t>
      </w:r>
      <w:r>
        <w:rPr>
          <w:rFonts w:ascii="宋体" w:hAnsi="宋体" w:eastAsia="宋体" w:cs="宋体"/>
          <w:spacing w:val="9"/>
          <w:sz w:val="20"/>
          <w:szCs w:val="20"/>
        </w:rPr>
        <w:t xml:space="preserve">  </w:t>
      </w:r>
      <w:r>
        <w:rPr>
          <w:rFonts w:ascii="宋体" w:hAnsi="宋体" w:eastAsia="宋体" w:cs="宋体"/>
          <w:spacing w:val="4"/>
          <w:sz w:val="20"/>
          <w:szCs w:val="20"/>
        </w:rPr>
        <w:t>共</w:t>
      </w:r>
      <w:r>
        <w:rPr>
          <w:rFonts w:ascii="宋体" w:hAnsi="宋体" w:eastAsia="宋体" w:cs="宋体"/>
          <w:spacing w:val="12"/>
          <w:sz w:val="20"/>
          <w:szCs w:val="20"/>
        </w:rPr>
        <w:t xml:space="preserve">  </w:t>
      </w:r>
      <w:r>
        <w:rPr>
          <w:rFonts w:ascii="宋体" w:hAnsi="宋体" w:eastAsia="宋体" w:cs="宋体"/>
          <w:spacing w:val="4"/>
          <w:sz w:val="20"/>
          <w:szCs w:val="20"/>
        </w:rPr>
        <w:t>页</w:t>
      </w:r>
    </w:p>
    <w:p w14:paraId="7596F8DE">
      <w:pPr>
        <w:spacing w:line="234" w:lineRule="exact"/>
      </w:pPr>
    </w:p>
    <w:tbl>
      <w:tblPr>
        <w:tblStyle w:val="5"/>
        <w:tblW w:w="8482" w:type="dxa"/>
        <w:tblInd w:w="16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9"/>
        <w:gridCol w:w="1046"/>
        <w:gridCol w:w="1025"/>
        <w:gridCol w:w="1456"/>
        <w:gridCol w:w="1018"/>
        <w:gridCol w:w="837"/>
        <w:gridCol w:w="764"/>
        <w:gridCol w:w="740"/>
        <w:gridCol w:w="947"/>
      </w:tblGrid>
      <w:tr w14:paraId="5D3CB0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49" w:type="dxa"/>
            <w:vMerge w:val="restart"/>
            <w:tcBorders>
              <w:top w:val="single" w:color="000000" w:sz="4" w:space="0"/>
              <w:left w:val="single" w:color="000000" w:sz="4" w:space="0"/>
              <w:bottom w:val="nil"/>
            </w:tcBorders>
            <w:vAlign w:val="top"/>
          </w:tcPr>
          <w:p w14:paraId="70ACB477">
            <w:pPr>
              <w:spacing w:line="310" w:lineRule="auto"/>
              <w:rPr>
                <w:rFonts w:ascii="Arial"/>
                <w:sz w:val="21"/>
              </w:rPr>
            </w:pPr>
          </w:p>
          <w:p w14:paraId="019F4D36">
            <w:pPr>
              <w:pStyle w:val="6"/>
              <w:spacing w:before="61" w:line="230" w:lineRule="auto"/>
              <w:ind w:left="125"/>
              <w:rPr>
                <w:sz w:val="19"/>
                <w:szCs w:val="19"/>
              </w:rPr>
            </w:pPr>
            <w:r>
              <w:rPr>
                <w:spacing w:val="5"/>
                <w:sz w:val="19"/>
                <w:szCs w:val="19"/>
              </w:rPr>
              <w:t>序号</w:t>
            </w:r>
          </w:p>
        </w:tc>
        <w:tc>
          <w:tcPr>
            <w:tcW w:w="1046" w:type="dxa"/>
            <w:vMerge w:val="restart"/>
            <w:tcBorders>
              <w:top w:val="single" w:color="000000" w:sz="4" w:space="0"/>
              <w:bottom w:val="nil"/>
              <w:right w:val="single" w:color="000000" w:sz="4" w:space="0"/>
            </w:tcBorders>
            <w:vAlign w:val="top"/>
          </w:tcPr>
          <w:p w14:paraId="0C09FCDA">
            <w:pPr>
              <w:spacing w:line="310" w:lineRule="auto"/>
              <w:rPr>
                <w:rFonts w:ascii="Arial"/>
                <w:sz w:val="21"/>
              </w:rPr>
            </w:pPr>
          </w:p>
          <w:p w14:paraId="10568B2A">
            <w:pPr>
              <w:pStyle w:val="6"/>
              <w:spacing w:before="62" w:line="228" w:lineRule="auto"/>
              <w:ind w:left="128"/>
              <w:rPr>
                <w:sz w:val="19"/>
                <w:szCs w:val="19"/>
              </w:rPr>
            </w:pPr>
            <w:r>
              <w:rPr>
                <w:spacing w:val="7"/>
                <w:sz w:val="19"/>
                <w:szCs w:val="19"/>
              </w:rPr>
              <w:t>项目编码</w:t>
            </w:r>
          </w:p>
        </w:tc>
        <w:tc>
          <w:tcPr>
            <w:tcW w:w="1025" w:type="dxa"/>
            <w:vMerge w:val="restart"/>
            <w:tcBorders>
              <w:top w:val="single" w:color="000000" w:sz="4" w:space="0"/>
              <w:left w:val="single" w:color="000000" w:sz="4" w:space="0"/>
              <w:bottom w:val="nil"/>
              <w:right w:val="single" w:color="000000" w:sz="4" w:space="0"/>
            </w:tcBorders>
            <w:vAlign w:val="top"/>
          </w:tcPr>
          <w:p w14:paraId="3161BAA3">
            <w:pPr>
              <w:spacing w:line="310" w:lineRule="auto"/>
              <w:rPr>
                <w:rFonts w:ascii="Arial"/>
                <w:sz w:val="21"/>
              </w:rPr>
            </w:pPr>
          </w:p>
          <w:p w14:paraId="741B45F5">
            <w:pPr>
              <w:pStyle w:val="6"/>
              <w:spacing w:before="62" w:line="229" w:lineRule="auto"/>
              <w:ind w:left="116"/>
              <w:rPr>
                <w:sz w:val="19"/>
                <w:szCs w:val="19"/>
              </w:rPr>
            </w:pPr>
            <w:r>
              <w:rPr>
                <w:spacing w:val="7"/>
                <w:sz w:val="19"/>
                <w:szCs w:val="19"/>
              </w:rPr>
              <w:t>项目名称</w:t>
            </w:r>
          </w:p>
        </w:tc>
        <w:tc>
          <w:tcPr>
            <w:tcW w:w="1456" w:type="dxa"/>
            <w:vMerge w:val="restart"/>
            <w:tcBorders>
              <w:top w:val="single" w:color="000000" w:sz="4" w:space="0"/>
              <w:left w:val="single" w:color="000000" w:sz="4" w:space="0"/>
              <w:bottom w:val="nil"/>
            </w:tcBorders>
            <w:vAlign w:val="top"/>
          </w:tcPr>
          <w:p w14:paraId="6768CE6F">
            <w:pPr>
              <w:spacing w:line="310" w:lineRule="auto"/>
              <w:rPr>
                <w:rFonts w:ascii="Arial"/>
                <w:sz w:val="21"/>
              </w:rPr>
            </w:pPr>
          </w:p>
          <w:p w14:paraId="4926428F">
            <w:pPr>
              <w:pStyle w:val="6"/>
              <w:spacing w:before="62" w:line="228" w:lineRule="auto"/>
              <w:ind w:left="133"/>
              <w:rPr>
                <w:sz w:val="19"/>
                <w:szCs w:val="19"/>
              </w:rPr>
            </w:pPr>
            <w:r>
              <w:rPr>
                <w:spacing w:val="8"/>
                <w:sz w:val="19"/>
                <w:szCs w:val="19"/>
              </w:rPr>
              <w:t>项目特征描述</w:t>
            </w:r>
          </w:p>
        </w:tc>
        <w:tc>
          <w:tcPr>
            <w:tcW w:w="1018" w:type="dxa"/>
            <w:vMerge w:val="restart"/>
            <w:tcBorders>
              <w:top w:val="single" w:color="000000" w:sz="4" w:space="0"/>
              <w:bottom w:val="nil"/>
              <w:right w:val="single" w:color="000000" w:sz="4" w:space="0"/>
            </w:tcBorders>
            <w:vAlign w:val="top"/>
          </w:tcPr>
          <w:p w14:paraId="7E981657">
            <w:pPr>
              <w:spacing w:line="310" w:lineRule="auto"/>
              <w:rPr>
                <w:rFonts w:ascii="Arial"/>
                <w:sz w:val="21"/>
              </w:rPr>
            </w:pPr>
          </w:p>
          <w:p w14:paraId="5DA33FE5">
            <w:pPr>
              <w:pStyle w:val="6"/>
              <w:spacing w:before="62" w:line="229" w:lineRule="auto"/>
              <w:ind w:left="114"/>
              <w:rPr>
                <w:sz w:val="19"/>
                <w:szCs w:val="19"/>
              </w:rPr>
            </w:pPr>
            <w:r>
              <w:rPr>
                <w:spacing w:val="7"/>
                <w:sz w:val="19"/>
                <w:szCs w:val="19"/>
              </w:rPr>
              <w:t>计量单位</w:t>
            </w:r>
          </w:p>
        </w:tc>
        <w:tc>
          <w:tcPr>
            <w:tcW w:w="837" w:type="dxa"/>
            <w:vMerge w:val="restart"/>
            <w:tcBorders>
              <w:top w:val="single" w:color="000000" w:sz="4" w:space="0"/>
              <w:left w:val="single" w:color="000000" w:sz="4" w:space="0"/>
              <w:bottom w:val="nil"/>
              <w:right w:val="single" w:color="000000" w:sz="4" w:space="0"/>
            </w:tcBorders>
            <w:vAlign w:val="top"/>
          </w:tcPr>
          <w:p w14:paraId="79C65107">
            <w:pPr>
              <w:spacing w:line="310" w:lineRule="auto"/>
              <w:rPr>
                <w:rFonts w:ascii="Arial"/>
                <w:sz w:val="21"/>
              </w:rPr>
            </w:pPr>
          </w:p>
          <w:p w14:paraId="7E7E66F7">
            <w:pPr>
              <w:pStyle w:val="6"/>
              <w:spacing w:before="62" w:line="229" w:lineRule="auto"/>
              <w:ind w:left="125"/>
              <w:rPr>
                <w:sz w:val="19"/>
                <w:szCs w:val="19"/>
              </w:rPr>
            </w:pPr>
            <w:r>
              <w:rPr>
                <w:spacing w:val="6"/>
                <w:sz w:val="19"/>
                <w:szCs w:val="19"/>
              </w:rPr>
              <w:t>工程量</w:t>
            </w:r>
          </w:p>
        </w:tc>
        <w:tc>
          <w:tcPr>
            <w:tcW w:w="2451" w:type="dxa"/>
            <w:gridSpan w:val="3"/>
            <w:tcBorders>
              <w:top w:val="single" w:color="000000" w:sz="4" w:space="0"/>
              <w:left w:val="single" w:color="000000" w:sz="4" w:space="0"/>
              <w:right w:val="single" w:color="000000" w:sz="4" w:space="0"/>
            </w:tcBorders>
            <w:vAlign w:val="top"/>
          </w:tcPr>
          <w:p w14:paraId="24C47735">
            <w:pPr>
              <w:pStyle w:val="6"/>
              <w:spacing w:before="110" w:line="228" w:lineRule="auto"/>
              <w:ind w:left="730"/>
              <w:rPr>
                <w:sz w:val="19"/>
                <w:szCs w:val="19"/>
              </w:rPr>
            </w:pPr>
            <w:r>
              <w:rPr>
                <w:spacing w:val="5"/>
                <w:sz w:val="19"/>
                <w:szCs w:val="19"/>
              </w:rPr>
              <w:t>金额（元）</w:t>
            </w:r>
          </w:p>
        </w:tc>
      </w:tr>
      <w:tr w14:paraId="6734CB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649" w:type="dxa"/>
            <w:vMerge w:val="continue"/>
            <w:tcBorders>
              <w:top w:val="nil"/>
              <w:left w:val="single" w:color="000000" w:sz="4" w:space="0"/>
            </w:tcBorders>
            <w:vAlign w:val="top"/>
          </w:tcPr>
          <w:p w14:paraId="4ADFD322">
            <w:pPr>
              <w:rPr>
                <w:rFonts w:ascii="Arial"/>
                <w:sz w:val="21"/>
              </w:rPr>
            </w:pPr>
          </w:p>
        </w:tc>
        <w:tc>
          <w:tcPr>
            <w:tcW w:w="1046" w:type="dxa"/>
            <w:vMerge w:val="continue"/>
            <w:tcBorders>
              <w:top w:val="nil"/>
              <w:right w:val="single" w:color="000000" w:sz="4" w:space="0"/>
            </w:tcBorders>
            <w:vAlign w:val="top"/>
          </w:tcPr>
          <w:p w14:paraId="65F00E89">
            <w:pPr>
              <w:rPr>
                <w:rFonts w:ascii="Arial"/>
                <w:sz w:val="21"/>
              </w:rPr>
            </w:pPr>
          </w:p>
        </w:tc>
        <w:tc>
          <w:tcPr>
            <w:tcW w:w="1025" w:type="dxa"/>
            <w:vMerge w:val="continue"/>
            <w:tcBorders>
              <w:top w:val="nil"/>
              <w:left w:val="single" w:color="000000" w:sz="4" w:space="0"/>
              <w:right w:val="single" w:color="000000" w:sz="4" w:space="0"/>
            </w:tcBorders>
            <w:vAlign w:val="top"/>
          </w:tcPr>
          <w:p w14:paraId="3D288E76">
            <w:pPr>
              <w:rPr>
                <w:rFonts w:ascii="Arial"/>
                <w:sz w:val="21"/>
              </w:rPr>
            </w:pPr>
          </w:p>
        </w:tc>
        <w:tc>
          <w:tcPr>
            <w:tcW w:w="1456" w:type="dxa"/>
            <w:vMerge w:val="continue"/>
            <w:tcBorders>
              <w:top w:val="nil"/>
              <w:left w:val="single" w:color="000000" w:sz="4" w:space="0"/>
            </w:tcBorders>
            <w:vAlign w:val="top"/>
          </w:tcPr>
          <w:p w14:paraId="1EB18ED9">
            <w:pPr>
              <w:rPr>
                <w:rFonts w:ascii="Arial"/>
                <w:sz w:val="21"/>
              </w:rPr>
            </w:pPr>
          </w:p>
        </w:tc>
        <w:tc>
          <w:tcPr>
            <w:tcW w:w="1018" w:type="dxa"/>
            <w:vMerge w:val="continue"/>
            <w:tcBorders>
              <w:top w:val="nil"/>
              <w:right w:val="single" w:color="000000" w:sz="4" w:space="0"/>
            </w:tcBorders>
            <w:vAlign w:val="top"/>
          </w:tcPr>
          <w:p w14:paraId="31359629">
            <w:pPr>
              <w:rPr>
                <w:rFonts w:ascii="Arial"/>
                <w:sz w:val="21"/>
              </w:rPr>
            </w:pPr>
          </w:p>
        </w:tc>
        <w:tc>
          <w:tcPr>
            <w:tcW w:w="837" w:type="dxa"/>
            <w:vMerge w:val="continue"/>
            <w:tcBorders>
              <w:top w:val="nil"/>
              <w:left w:val="single" w:color="000000" w:sz="4" w:space="0"/>
              <w:right w:val="single" w:color="000000" w:sz="4" w:space="0"/>
            </w:tcBorders>
            <w:vAlign w:val="top"/>
          </w:tcPr>
          <w:p w14:paraId="57A4A5DC">
            <w:pPr>
              <w:rPr>
                <w:rFonts w:ascii="Arial"/>
                <w:sz w:val="21"/>
              </w:rPr>
            </w:pPr>
          </w:p>
        </w:tc>
        <w:tc>
          <w:tcPr>
            <w:tcW w:w="764" w:type="dxa"/>
            <w:tcBorders>
              <w:left w:val="single" w:color="000000" w:sz="4" w:space="0"/>
            </w:tcBorders>
            <w:vAlign w:val="top"/>
          </w:tcPr>
          <w:p w14:paraId="19B82DB9">
            <w:pPr>
              <w:pStyle w:val="6"/>
              <w:spacing w:before="31" w:line="229" w:lineRule="auto"/>
              <w:ind w:left="188"/>
              <w:rPr>
                <w:sz w:val="19"/>
                <w:szCs w:val="19"/>
              </w:rPr>
            </w:pPr>
            <w:r>
              <w:rPr>
                <w:spacing w:val="4"/>
                <w:sz w:val="19"/>
                <w:szCs w:val="19"/>
              </w:rPr>
              <w:t>综合</w:t>
            </w:r>
          </w:p>
          <w:p w14:paraId="46738156">
            <w:pPr>
              <w:pStyle w:val="6"/>
              <w:spacing w:before="23" w:line="216" w:lineRule="auto"/>
              <w:ind w:left="187"/>
              <w:rPr>
                <w:sz w:val="19"/>
                <w:szCs w:val="19"/>
              </w:rPr>
            </w:pPr>
            <w:r>
              <w:rPr>
                <w:spacing w:val="4"/>
                <w:sz w:val="19"/>
                <w:szCs w:val="19"/>
              </w:rPr>
              <w:t>单价</w:t>
            </w:r>
          </w:p>
        </w:tc>
        <w:tc>
          <w:tcPr>
            <w:tcW w:w="740" w:type="dxa"/>
            <w:tcBorders>
              <w:right w:val="single" w:color="000000" w:sz="4" w:space="0"/>
            </w:tcBorders>
            <w:vAlign w:val="top"/>
          </w:tcPr>
          <w:p w14:paraId="016D9C7A">
            <w:pPr>
              <w:pStyle w:val="6"/>
              <w:spacing w:before="161" w:line="227" w:lineRule="auto"/>
              <w:ind w:left="179"/>
              <w:rPr>
                <w:sz w:val="19"/>
                <w:szCs w:val="19"/>
              </w:rPr>
            </w:pPr>
            <w:r>
              <w:rPr>
                <w:spacing w:val="4"/>
                <w:sz w:val="19"/>
                <w:szCs w:val="19"/>
              </w:rPr>
              <w:t>合价</w:t>
            </w:r>
          </w:p>
        </w:tc>
        <w:tc>
          <w:tcPr>
            <w:tcW w:w="947" w:type="dxa"/>
            <w:tcBorders>
              <w:left w:val="single" w:color="000000" w:sz="4" w:space="0"/>
              <w:right w:val="single" w:color="000000" w:sz="4" w:space="0"/>
            </w:tcBorders>
            <w:vAlign w:val="top"/>
          </w:tcPr>
          <w:p w14:paraId="23193DFD">
            <w:pPr>
              <w:pStyle w:val="6"/>
              <w:spacing w:before="31" w:line="234" w:lineRule="auto"/>
              <w:ind w:left="275" w:right="105" w:hanging="160"/>
              <w:rPr>
                <w:sz w:val="19"/>
                <w:szCs w:val="19"/>
              </w:rPr>
            </w:pPr>
            <w:r>
              <w:rPr>
                <w:spacing w:val="-11"/>
                <w:sz w:val="19"/>
                <w:szCs w:val="19"/>
              </w:rPr>
              <w:t>其中：暂</w:t>
            </w:r>
            <w:r>
              <w:rPr>
                <w:spacing w:val="5"/>
                <w:sz w:val="19"/>
                <w:szCs w:val="19"/>
              </w:rPr>
              <w:t>估价</w:t>
            </w:r>
          </w:p>
        </w:tc>
      </w:tr>
      <w:tr w14:paraId="532EE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9" w:type="dxa"/>
            <w:tcBorders>
              <w:left w:val="single" w:color="000000" w:sz="4" w:space="0"/>
            </w:tcBorders>
            <w:vAlign w:val="top"/>
          </w:tcPr>
          <w:p w14:paraId="3C037693">
            <w:pPr>
              <w:rPr>
                <w:rFonts w:ascii="Arial"/>
                <w:sz w:val="21"/>
              </w:rPr>
            </w:pPr>
          </w:p>
        </w:tc>
        <w:tc>
          <w:tcPr>
            <w:tcW w:w="1046" w:type="dxa"/>
            <w:tcBorders>
              <w:right w:val="single" w:color="000000" w:sz="4" w:space="0"/>
            </w:tcBorders>
            <w:vAlign w:val="top"/>
          </w:tcPr>
          <w:p w14:paraId="139A6818">
            <w:pPr>
              <w:rPr>
                <w:rFonts w:ascii="Arial"/>
                <w:sz w:val="21"/>
              </w:rPr>
            </w:pPr>
          </w:p>
        </w:tc>
        <w:tc>
          <w:tcPr>
            <w:tcW w:w="1025" w:type="dxa"/>
            <w:tcBorders>
              <w:left w:val="single" w:color="000000" w:sz="4" w:space="0"/>
              <w:right w:val="single" w:color="000000" w:sz="4" w:space="0"/>
            </w:tcBorders>
            <w:vAlign w:val="top"/>
          </w:tcPr>
          <w:p w14:paraId="6B84BB43">
            <w:pPr>
              <w:rPr>
                <w:rFonts w:ascii="Arial"/>
                <w:sz w:val="21"/>
              </w:rPr>
            </w:pPr>
          </w:p>
        </w:tc>
        <w:tc>
          <w:tcPr>
            <w:tcW w:w="1456" w:type="dxa"/>
            <w:tcBorders>
              <w:left w:val="single" w:color="000000" w:sz="4" w:space="0"/>
            </w:tcBorders>
            <w:vAlign w:val="top"/>
          </w:tcPr>
          <w:p w14:paraId="0BB25396">
            <w:pPr>
              <w:rPr>
                <w:rFonts w:ascii="Arial"/>
                <w:sz w:val="21"/>
              </w:rPr>
            </w:pPr>
          </w:p>
        </w:tc>
        <w:tc>
          <w:tcPr>
            <w:tcW w:w="1018" w:type="dxa"/>
            <w:tcBorders>
              <w:right w:val="single" w:color="000000" w:sz="4" w:space="0"/>
            </w:tcBorders>
            <w:vAlign w:val="top"/>
          </w:tcPr>
          <w:p w14:paraId="10ECD558">
            <w:pPr>
              <w:rPr>
                <w:rFonts w:ascii="Arial"/>
                <w:sz w:val="21"/>
              </w:rPr>
            </w:pPr>
          </w:p>
        </w:tc>
        <w:tc>
          <w:tcPr>
            <w:tcW w:w="837" w:type="dxa"/>
            <w:tcBorders>
              <w:left w:val="single" w:color="000000" w:sz="4" w:space="0"/>
              <w:right w:val="single" w:color="000000" w:sz="4" w:space="0"/>
            </w:tcBorders>
            <w:vAlign w:val="top"/>
          </w:tcPr>
          <w:p w14:paraId="394162F5">
            <w:pPr>
              <w:rPr>
                <w:rFonts w:ascii="Arial"/>
                <w:sz w:val="21"/>
              </w:rPr>
            </w:pPr>
          </w:p>
        </w:tc>
        <w:tc>
          <w:tcPr>
            <w:tcW w:w="764" w:type="dxa"/>
            <w:tcBorders>
              <w:left w:val="single" w:color="000000" w:sz="4" w:space="0"/>
            </w:tcBorders>
            <w:vAlign w:val="top"/>
          </w:tcPr>
          <w:p w14:paraId="6419CA55">
            <w:pPr>
              <w:rPr>
                <w:rFonts w:ascii="Arial"/>
                <w:sz w:val="21"/>
              </w:rPr>
            </w:pPr>
          </w:p>
        </w:tc>
        <w:tc>
          <w:tcPr>
            <w:tcW w:w="740" w:type="dxa"/>
            <w:tcBorders>
              <w:right w:val="single" w:color="000000" w:sz="4" w:space="0"/>
            </w:tcBorders>
            <w:vAlign w:val="top"/>
          </w:tcPr>
          <w:p w14:paraId="00895905">
            <w:pPr>
              <w:rPr>
                <w:rFonts w:ascii="Arial"/>
                <w:sz w:val="21"/>
              </w:rPr>
            </w:pPr>
          </w:p>
        </w:tc>
        <w:tc>
          <w:tcPr>
            <w:tcW w:w="947" w:type="dxa"/>
            <w:tcBorders>
              <w:left w:val="single" w:color="000000" w:sz="4" w:space="0"/>
              <w:right w:val="single" w:color="000000" w:sz="4" w:space="0"/>
            </w:tcBorders>
            <w:vAlign w:val="top"/>
          </w:tcPr>
          <w:p w14:paraId="59FB87A9">
            <w:pPr>
              <w:rPr>
                <w:rFonts w:ascii="Arial"/>
                <w:sz w:val="21"/>
              </w:rPr>
            </w:pPr>
          </w:p>
        </w:tc>
      </w:tr>
      <w:tr w14:paraId="30FB5A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649" w:type="dxa"/>
            <w:tcBorders>
              <w:left w:val="single" w:color="000000" w:sz="4" w:space="0"/>
            </w:tcBorders>
            <w:vAlign w:val="top"/>
          </w:tcPr>
          <w:p w14:paraId="3FE85516">
            <w:pPr>
              <w:rPr>
                <w:rFonts w:ascii="Arial"/>
                <w:sz w:val="21"/>
              </w:rPr>
            </w:pPr>
          </w:p>
        </w:tc>
        <w:tc>
          <w:tcPr>
            <w:tcW w:w="1046" w:type="dxa"/>
            <w:tcBorders>
              <w:right w:val="single" w:color="000000" w:sz="4" w:space="0"/>
            </w:tcBorders>
            <w:vAlign w:val="top"/>
          </w:tcPr>
          <w:p w14:paraId="6C7F1274">
            <w:pPr>
              <w:rPr>
                <w:rFonts w:ascii="Arial"/>
                <w:sz w:val="21"/>
              </w:rPr>
            </w:pPr>
          </w:p>
        </w:tc>
        <w:tc>
          <w:tcPr>
            <w:tcW w:w="1025" w:type="dxa"/>
            <w:tcBorders>
              <w:left w:val="single" w:color="000000" w:sz="4" w:space="0"/>
              <w:right w:val="single" w:color="000000" w:sz="4" w:space="0"/>
            </w:tcBorders>
            <w:vAlign w:val="top"/>
          </w:tcPr>
          <w:p w14:paraId="4EA484D4">
            <w:pPr>
              <w:rPr>
                <w:rFonts w:ascii="Arial"/>
                <w:sz w:val="21"/>
              </w:rPr>
            </w:pPr>
          </w:p>
        </w:tc>
        <w:tc>
          <w:tcPr>
            <w:tcW w:w="1456" w:type="dxa"/>
            <w:tcBorders>
              <w:left w:val="single" w:color="000000" w:sz="4" w:space="0"/>
            </w:tcBorders>
            <w:vAlign w:val="top"/>
          </w:tcPr>
          <w:p w14:paraId="4670A883">
            <w:pPr>
              <w:rPr>
                <w:rFonts w:ascii="Arial"/>
                <w:sz w:val="21"/>
              </w:rPr>
            </w:pPr>
          </w:p>
        </w:tc>
        <w:tc>
          <w:tcPr>
            <w:tcW w:w="1018" w:type="dxa"/>
            <w:tcBorders>
              <w:right w:val="single" w:color="000000" w:sz="4" w:space="0"/>
            </w:tcBorders>
            <w:vAlign w:val="top"/>
          </w:tcPr>
          <w:p w14:paraId="6B102A95">
            <w:pPr>
              <w:rPr>
                <w:rFonts w:ascii="Arial"/>
                <w:sz w:val="21"/>
              </w:rPr>
            </w:pPr>
          </w:p>
        </w:tc>
        <w:tc>
          <w:tcPr>
            <w:tcW w:w="837" w:type="dxa"/>
            <w:tcBorders>
              <w:left w:val="single" w:color="000000" w:sz="4" w:space="0"/>
              <w:right w:val="single" w:color="000000" w:sz="4" w:space="0"/>
            </w:tcBorders>
            <w:vAlign w:val="top"/>
          </w:tcPr>
          <w:p w14:paraId="71B18FF7">
            <w:pPr>
              <w:rPr>
                <w:rFonts w:ascii="Arial"/>
                <w:sz w:val="21"/>
              </w:rPr>
            </w:pPr>
          </w:p>
        </w:tc>
        <w:tc>
          <w:tcPr>
            <w:tcW w:w="764" w:type="dxa"/>
            <w:tcBorders>
              <w:left w:val="single" w:color="000000" w:sz="4" w:space="0"/>
            </w:tcBorders>
            <w:vAlign w:val="top"/>
          </w:tcPr>
          <w:p w14:paraId="256ADCA4">
            <w:pPr>
              <w:rPr>
                <w:rFonts w:ascii="Arial"/>
                <w:sz w:val="21"/>
              </w:rPr>
            </w:pPr>
          </w:p>
        </w:tc>
        <w:tc>
          <w:tcPr>
            <w:tcW w:w="740" w:type="dxa"/>
            <w:tcBorders>
              <w:right w:val="single" w:color="000000" w:sz="4" w:space="0"/>
            </w:tcBorders>
            <w:vAlign w:val="top"/>
          </w:tcPr>
          <w:p w14:paraId="5889086F">
            <w:pPr>
              <w:rPr>
                <w:rFonts w:ascii="Arial"/>
                <w:sz w:val="21"/>
              </w:rPr>
            </w:pPr>
          </w:p>
        </w:tc>
        <w:tc>
          <w:tcPr>
            <w:tcW w:w="947" w:type="dxa"/>
            <w:tcBorders>
              <w:left w:val="single" w:color="000000" w:sz="4" w:space="0"/>
              <w:right w:val="single" w:color="000000" w:sz="4" w:space="0"/>
            </w:tcBorders>
            <w:vAlign w:val="top"/>
          </w:tcPr>
          <w:p w14:paraId="6D73570E">
            <w:pPr>
              <w:rPr>
                <w:rFonts w:ascii="Arial"/>
                <w:sz w:val="21"/>
              </w:rPr>
            </w:pPr>
          </w:p>
        </w:tc>
      </w:tr>
      <w:tr w14:paraId="5064EE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649" w:type="dxa"/>
            <w:tcBorders>
              <w:left w:val="single" w:color="000000" w:sz="4" w:space="0"/>
            </w:tcBorders>
            <w:vAlign w:val="top"/>
          </w:tcPr>
          <w:p w14:paraId="31D42A64">
            <w:pPr>
              <w:rPr>
                <w:rFonts w:ascii="Arial"/>
                <w:sz w:val="21"/>
              </w:rPr>
            </w:pPr>
          </w:p>
        </w:tc>
        <w:tc>
          <w:tcPr>
            <w:tcW w:w="1046" w:type="dxa"/>
            <w:tcBorders>
              <w:right w:val="single" w:color="000000" w:sz="4" w:space="0"/>
            </w:tcBorders>
            <w:vAlign w:val="top"/>
          </w:tcPr>
          <w:p w14:paraId="7E798C5C">
            <w:pPr>
              <w:rPr>
                <w:rFonts w:ascii="Arial"/>
                <w:sz w:val="21"/>
              </w:rPr>
            </w:pPr>
          </w:p>
        </w:tc>
        <w:tc>
          <w:tcPr>
            <w:tcW w:w="1025" w:type="dxa"/>
            <w:tcBorders>
              <w:left w:val="single" w:color="000000" w:sz="4" w:space="0"/>
              <w:right w:val="single" w:color="000000" w:sz="4" w:space="0"/>
            </w:tcBorders>
            <w:vAlign w:val="top"/>
          </w:tcPr>
          <w:p w14:paraId="2E859B72">
            <w:pPr>
              <w:rPr>
                <w:rFonts w:ascii="Arial"/>
                <w:sz w:val="21"/>
              </w:rPr>
            </w:pPr>
          </w:p>
        </w:tc>
        <w:tc>
          <w:tcPr>
            <w:tcW w:w="1456" w:type="dxa"/>
            <w:tcBorders>
              <w:left w:val="single" w:color="000000" w:sz="4" w:space="0"/>
            </w:tcBorders>
            <w:vAlign w:val="top"/>
          </w:tcPr>
          <w:p w14:paraId="7A5FBF34">
            <w:pPr>
              <w:rPr>
                <w:rFonts w:ascii="Arial"/>
                <w:sz w:val="21"/>
              </w:rPr>
            </w:pPr>
          </w:p>
        </w:tc>
        <w:tc>
          <w:tcPr>
            <w:tcW w:w="1018" w:type="dxa"/>
            <w:tcBorders>
              <w:right w:val="single" w:color="000000" w:sz="4" w:space="0"/>
            </w:tcBorders>
            <w:vAlign w:val="top"/>
          </w:tcPr>
          <w:p w14:paraId="60CEF28E">
            <w:pPr>
              <w:rPr>
                <w:rFonts w:ascii="Arial"/>
                <w:sz w:val="21"/>
              </w:rPr>
            </w:pPr>
          </w:p>
        </w:tc>
        <w:tc>
          <w:tcPr>
            <w:tcW w:w="837" w:type="dxa"/>
            <w:tcBorders>
              <w:left w:val="single" w:color="000000" w:sz="4" w:space="0"/>
              <w:right w:val="single" w:color="000000" w:sz="4" w:space="0"/>
            </w:tcBorders>
            <w:vAlign w:val="top"/>
          </w:tcPr>
          <w:p w14:paraId="1CC36931">
            <w:pPr>
              <w:rPr>
                <w:rFonts w:ascii="Arial"/>
                <w:sz w:val="21"/>
              </w:rPr>
            </w:pPr>
          </w:p>
        </w:tc>
        <w:tc>
          <w:tcPr>
            <w:tcW w:w="764" w:type="dxa"/>
            <w:tcBorders>
              <w:left w:val="single" w:color="000000" w:sz="4" w:space="0"/>
            </w:tcBorders>
            <w:vAlign w:val="top"/>
          </w:tcPr>
          <w:p w14:paraId="65A3FACF">
            <w:pPr>
              <w:rPr>
                <w:rFonts w:ascii="Arial"/>
                <w:sz w:val="21"/>
              </w:rPr>
            </w:pPr>
          </w:p>
        </w:tc>
        <w:tc>
          <w:tcPr>
            <w:tcW w:w="740" w:type="dxa"/>
            <w:tcBorders>
              <w:right w:val="single" w:color="000000" w:sz="4" w:space="0"/>
            </w:tcBorders>
            <w:vAlign w:val="top"/>
          </w:tcPr>
          <w:p w14:paraId="5FF49B3E">
            <w:pPr>
              <w:rPr>
                <w:rFonts w:ascii="Arial"/>
                <w:sz w:val="21"/>
              </w:rPr>
            </w:pPr>
          </w:p>
        </w:tc>
        <w:tc>
          <w:tcPr>
            <w:tcW w:w="947" w:type="dxa"/>
            <w:tcBorders>
              <w:left w:val="single" w:color="000000" w:sz="4" w:space="0"/>
              <w:right w:val="single" w:color="000000" w:sz="4" w:space="0"/>
            </w:tcBorders>
            <w:vAlign w:val="top"/>
          </w:tcPr>
          <w:p w14:paraId="3BAA0BC0">
            <w:pPr>
              <w:rPr>
                <w:rFonts w:ascii="Arial"/>
                <w:sz w:val="21"/>
              </w:rPr>
            </w:pPr>
          </w:p>
        </w:tc>
      </w:tr>
      <w:tr w14:paraId="33D10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9" w:type="dxa"/>
            <w:tcBorders>
              <w:left w:val="single" w:color="000000" w:sz="4" w:space="0"/>
            </w:tcBorders>
            <w:vAlign w:val="top"/>
          </w:tcPr>
          <w:p w14:paraId="65B741BB">
            <w:pPr>
              <w:rPr>
                <w:rFonts w:ascii="Arial"/>
                <w:sz w:val="21"/>
              </w:rPr>
            </w:pPr>
          </w:p>
        </w:tc>
        <w:tc>
          <w:tcPr>
            <w:tcW w:w="1046" w:type="dxa"/>
            <w:tcBorders>
              <w:right w:val="single" w:color="000000" w:sz="4" w:space="0"/>
            </w:tcBorders>
            <w:vAlign w:val="top"/>
          </w:tcPr>
          <w:p w14:paraId="1AA07873">
            <w:pPr>
              <w:rPr>
                <w:rFonts w:ascii="Arial"/>
                <w:sz w:val="21"/>
              </w:rPr>
            </w:pPr>
          </w:p>
        </w:tc>
        <w:tc>
          <w:tcPr>
            <w:tcW w:w="1025" w:type="dxa"/>
            <w:tcBorders>
              <w:left w:val="single" w:color="000000" w:sz="4" w:space="0"/>
              <w:right w:val="single" w:color="000000" w:sz="4" w:space="0"/>
            </w:tcBorders>
            <w:vAlign w:val="top"/>
          </w:tcPr>
          <w:p w14:paraId="1F65D6E3">
            <w:pPr>
              <w:rPr>
                <w:rFonts w:ascii="Arial"/>
                <w:sz w:val="21"/>
              </w:rPr>
            </w:pPr>
          </w:p>
        </w:tc>
        <w:tc>
          <w:tcPr>
            <w:tcW w:w="1456" w:type="dxa"/>
            <w:tcBorders>
              <w:left w:val="single" w:color="000000" w:sz="4" w:space="0"/>
            </w:tcBorders>
            <w:vAlign w:val="top"/>
          </w:tcPr>
          <w:p w14:paraId="761CB0B7">
            <w:pPr>
              <w:rPr>
                <w:rFonts w:ascii="Arial"/>
                <w:sz w:val="21"/>
              </w:rPr>
            </w:pPr>
          </w:p>
        </w:tc>
        <w:tc>
          <w:tcPr>
            <w:tcW w:w="1018" w:type="dxa"/>
            <w:tcBorders>
              <w:right w:val="single" w:color="000000" w:sz="4" w:space="0"/>
            </w:tcBorders>
            <w:vAlign w:val="top"/>
          </w:tcPr>
          <w:p w14:paraId="119CACDC">
            <w:pPr>
              <w:rPr>
                <w:rFonts w:ascii="Arial"/>
                <w:sz w:val="21"/>
              </w:rPr>
            </w:pPr>
          </w:p>
        </w:tc>
        <w:tc>
          <w:tcPr>
            <w:tcW w:w="837" w:type="dxa"/>
            <w:tcBorders>
              <w:left w:val="single" w:color="000000" w:sz="4" w:space="0"/>
              <w:right w:val="single" w:color="000000" w:sz="4" w:space="0"/>
            </w:tcBorders>
            <w:vAlign w:val="top"/>
          </w:tcPr>
          <w:p w14:paraId="7CA17E99">
            <w:pPr>
              <w:rPr>
                <w:rFonts w:ascii="Arial"/>
                <w:sz w:val="21"/>
              </w:rPr>
            </w:pPr>
          </w:p>
        </w:tc>
        <w:tc>
          <w:tcPr>
            <w:tcW w:w="764" w:type="dxa"/>
            <w:tcBorders>
              <w:left w:val="single" w:color="000000" w:sz="4" w:space="0"/>
            </w:tcBorders>
            <w:vAlign w:val="top"/>
          </w:tcPr>
          <w:p w14:paraId="75BC02BD">
            <w:pPr>
              <w:rPr>
                <w:rFonts w:ascii="Arial"/>
                <w:sz w:val="21"/>
              </w:rPr>
            </w:pPr>
          </w:p>
        </w:tc>
        <w:tc>
          <w:tcPr>
            <w:tcW w:w="740" w:type="dxa"/>
            <w:tcBorders>
              <w:right w:val="single" w:color="000000" w:sz="4" w:space="0"/>
            </w:tcBorders>
            <w:vAlign w:val="top"/>
          </w:tcPr>
          <w:p w14:paraId="1B613CB8">
            <w:pPr>
              <w:rPr>
                <w:rFonts w:ascii="Arial"/>
                <w:sz w:val="21"/>
              </w:rPr>
            </w:pPr>
          </w:p>
        </w:tc>
        <w:tc>
          <w:tcPr>
            <w:tcW w:w="947" w:type="dxa"/>
            <w:tcBorders>
              <w:left w:val="single" w:color="000000" w:sz="4" w:space="0"/>
              <w:right w:val="single" w:color="000000" w:sz="4" w:space="0"/>
            </w:tcBorders>
            <w:vAlign w:val="top"/>
          </w:tcPr>
          <w:p w14:paraId="694B99CA">
            <w:pPr>
              <w:rPr>
                <w:rFonts w:ascii="Arial"/>
                <w:sz w:val="21"/>
              </w:rPr>
            </w:pPr>
          </w:p>
        </w:tc>
      </w:tr>
      <w:tr w14:paraId="3630F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9" w:type="dxa"/>
            <w:tcBorders>
              <w:left w:val="single" w:color="000000" w:sz="4" w:space="0"/>
            </w:tcBorders>
            <w:vAlign w:val="top"/>
          </w:tcPr>
          <w:p w14:paraId="63326977">
            <w:pPr>
              <w:rPr>
                <w:rFonts w:ascii="Arial"/>
                <w:sz w:val="21"/>
              </w:rPr>
            </w:pPr>
          </w:p>
        </w:tc>
        <w:tc>
          <w:tcPr>
            <w:tcW w:w="1046" w:type="dxa"/>
            <w:tcBorders>
              <w:right w:val="single" w:color="000000" w:sz="4" w:space="0"/>
            </w:tcBorders>
            <w:vAlign w:val="top"/>
          </w:tcPr>
          <w:p w14:paraId="718F3F48">
            <w:pPr>
              <w:rPr>
                <w:rFonts w:ascii="Arial"/>
                <w:sz w:val="21"/>
              </w:rPr>
            </w:pPr>
          </w:p>
        </w:tc>
        <w:tc>
          <w:tcPr>
            <w:tcW w:w="1025" w:type="dxa"/>
            <w:tcBorders>
              <w:left w:val="single" w:color="000000" w:sz="4" w:space="0"/>
              <w:right w:val="single" w:color="000000" w:sz="4" w:space="0"/>
            </w:tcBorders>
            <w:vAlign w:val="top"/>
          </w:tcPr>
          <w:p w14:paraId="7CA22184">
            <w:pPr>
              <w:rPr>
                <w:rFonts w:ascii="Arial"/>
                <w:sz w:val="21"/>
              </w:rPr>
            </w:pPr>
          </w:p>
        </w:tc>
        <w:tc>
          <w:tcPr>
            <w:tcW w:w="1456" w:type="dxa"/>
            <w:tcBorders>
              <w:left w:val="single" w:color="000000" w:sz="4" w:space="0"/>
            </w:tcBorders>
            <w:vAlign w:val="top"/>
          </w:tcPr>
          <w:p w14:paraId="412F571A">
            <w:pPr>
              <w:rPr>
                <w:rFonts w:ascii="Arial"/>
                <w:sz w:val="21"/>
              </w:rPr>
            </w:pPr>
          </w:p>
        </w:tc>
        <w:tc>
          <w:tcPr>
            <w:tcW w:w="1018" w:type="dxa"/>
            <w:tcBorders>
              <w:right w:val="single" w:color="000000" w:sz="4" w:space="0"/>
            </w:tcBorders>
            <w:vAlign w:val="top"/>
          </w:tcPr>
          <w:p w14:paraId="7BB8EF68">
            <w:pPr>
              <w:rPr>
                <w:rFonts w:ascii="Arial"/>
                <w:sz w:val="21"/>
              </w:rPr>
            </w:pPr>
          </w:p>
        </w:tc>
        <w:tc>
          <w:tcPr>
            <w:tcW w:w="837" w:type="dxa"/>
            <w:tcBorders>
              <w:left w:val="single" w:color="000000" w:sz="4" w:space="0"/>
              <w:right w:val="single" w:color="000000" w:sz="4" w:space="0"/>
            </w:tcBorders>
            <w:vAlign w:val="top"/>
          </w:tcPr>
          <w:p w14:paraId="1F4C9743">
            <w:pPr>
              <w:rPr>
                <w:rFonts w:ascii="Arial"/>
                <w:sz w:val="21"/>
              </w:rPr>
            </w:pPr>
          </w:p>
        </w:tc>
        <w:tc>
          <w:tcPr>
            <w:tcW w:w="764" w:type="dxa"/>
            <w:tcBorders>
              <w:left w:val="single" w:color="000000" w:sz="4" w:space="0"/>
            </w:tcBorders>
            <w:vAlign w:val="top"/>
          </w:tcPr>
          <w:p w14:paraId="61941A46">
            <w:pPr>
              <w:rPr>
                <w:rFonts w:ascii="Arial"/>
                <w:sz w:val="21"/>
              </w:rPr>
            </w:pPr>
          </w:p>
        </w:tc>
        <w:tc>
          <w:tcPr>
            <w:tcW w:w="740" w:type="dxa"/>
            <w:tcBorders>
              <w:right w:val="single" w:color="000000" w:sz="4" w:space="0"/>
            </w:tcBorders>
            <w:vAlign w:val="top"/>
          </w:tcPr>
          <w:p w14:paraId="18E7E96B">
            <w:pPr>
              <w:rPr>
                <w:rFonts w:ascii="Arial"/>
                <w:sz w:val="21"/>
              </w:rPr>
            </w:pPr>
          </w:p>
        </w:tc>
        <w:tc>
          <w:tcPr>
            <w:tcW w:w="947" w:type="dxa"/>
            <w:tcBorders>
              <w:left w:val="single" w:color="000000" w:sz="4" w:space="0"/>
              <w:right w:val="single" w:color="000000" w:sz="4" w:space="0"/>
            </w:tcBorders>
            <w:vAlign w:val="top"/>
          </w:tcPr>
          <w:p w14:paraId="03EFBD90">
            <w:pPr>
              <w:rPr>
                <w:rFonts w:ascii="Arial"/>
                <w:sz w:val="21"/>
              </w:rPr>
            </w:pPr>
          </w:p>
        </w:tc>
      </w:tr>
      <w:tr w14:paraId="4DA7C7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9" w:type="dxa"/>
            <w:tcBorders>
              <w:left w:val="single" w:color="000000" w:sz="4" w:space="0"/>
            </w:tcBorders>
            <w:vAlign w:val="top"/>
          </w:tcPr>
          <w:p w14:paraId="54576996">
            <w:pPr>
              <w:rPr>
                <w:rFonts w:ascii="Arial"/>
                <w:sz w:val="21"/>
              </w:rPr>
            </w:pPr>
          </w:p>
        </w:tc>
        <w:tc>
          <w:tcPr>
            <w:tcW w:w="1046" w:type="dxa"/>
            <w:tcBorders>
              <w:right w:val="single" w:color="000000" w:sz="4" w:space="0"/>
            </w:tcBorders>
            <w:vAlign w:val="top"/>
          </w:tcPr>
          <w:p w14:paraId="75D9AF97">
            <w:pPr>
              <w:rPr>
                <w:rFonts w:ascii="Arial"/>
                <w:sz w:val="21"/>
              </w:rPr>
            </w:pPr>
          </w:p>
        </w:tc>
        <w:tc>
          <w:tcPr>
            <w:tcW w:w="1025" w:type="dxa"/>
            <w:tcBorders>
              <w:left w:val="single" w:color="000000" w:sz="4" w:space="0"/>
              <w:right w:val="single" w:color="000000" w:sz="4" w:space="0"/>
            </w:tcBorders>
            <w:vAlign w:val="top"/>
          </w:tcPr>
          <w:p w14:paraId="6D03EF87">
            <w:pPr>
              <w:rPr>
                <w:rFonts w:ascii="Arial"/>
                <w:sz w:val="21"/>
              </w:rPr>
            </w:pPr>
          </w:p>
        </w:tc>
        <w:tc>
          <w:tcPr>
            <w:tcW w:w="1456" w:type="dxa"/>
            <w:tcBorders>
              <w:left w:val="single" w:color="000000" w:sz="4" w:space="0"/>
            </w:tcBorders>
            <w:vAlign w:val="top"/>
          </w:tcPr>
          <w:p w14:paraId="65D1BE57">
            <w:pPr>
              <w:rPr>
                <w:rFonts w:ascii="Arial"/>
                <w:sz w:val="21"/>
              </w:rPr>
            </w:pPr>
          </w:p>
        </w:tc>
        <w:tc>
          <w:tcPr>
            <w:tcW w:w="1018" w:type="dxa"/>
            <w:tcBorders>
              <w:right w:val="single" w:color="000000" w:sz="4" w:space="0"/>
            </w:tcBorders>
            <w:vAlign w:val="top"/>
          </w:tcPr>
          <w:p w14:paraId="4460FEA9">
            <w:pPr>
              <w:rPr>
                <w:rFonts w:ascii="Arial"/>
                <w:sz w:val="21"/>
              </w:rPr>
            </w:pPr>
          </w:p>
        </w:tc>
        <w:tc>
          <w:tcPr>
            <w:tcW w:w="837" w:type="dxa"/>
            <w:tcBorders>
              <w:left w:val="single" w:color="000000" w:sz="4" w:space="0"/>
              <w:right w:val="single" w:color="000000" w:sz="4" w:space="0"/>
            </w:tcBorders>
            <w:vAlign w:val="top"/>
          </w:tcPr>
          <w:p w14:paraId="32F3DE44">
            <w:pPr>
              <w:rPr>
                <w:rFonts w:ascii="Arial"/>
                <w:sz w:val="21"/>
              </w:rPr>
            </w:pPr>
          </w:p>
        </w:tc>
        <w:tc>
          <w:tcPr>
            <w:tcW w:w="764" w:type="dxa"/>
            <w:tcBorders>
              <w:left w:val="single" w:color="000000" w:sz="4" w:space="0"/>
            </w:tcBorders>
            <w:vAlign w:val="top"/>
          </w:tcPr>
          <w:p w14:paraId="1521480F">
            <w:pPr>
              <w:rPr>
                <w:rFonts w:ascii="Arial"/>
                <w:sz w:val="21"/>
              </w:rPr>
            </w:pPr>
          </w:p>
        </w:tc>
        <w:tc>
          <w:tcPr>
            <w:tcW w:w="740" w:type="dxa"/>
            <w:tcBorders>
              <w:right w:val="single" w:color="000000" w:sz="4" w:space="0"/>
            </w:tcBorders>
            <w:vAlign w:val="top"/>
          </w:tcPr>
          <w:p w14:paraId="69A396C9">
            <w:pPr>
              <w:rPr>
                <w:rFonts w:ascii="Arial"/>
                <w:sz w:val="21"/>
              </w:rPr>
            </w:pPr>
          </w:p>
        </w:tc>
        <w:tc>
          <w:tcPr>
            <w:tcW w:w="947" w:type="dxa"/>
            <w:tcBorders>
              <w:left w:val="single" w:color="000000" w:sz="4" w:space="0"/>
              <w:right w:val="single" w:color="000000" w:sz="4" w:space="0"/>
            </w:tcBorders>
            <w:vAlign w:val="top"/>
          </w:tcPr>
          <w:p w14:paraId="10E39317">
            <w:pPr>
              <w:rPr>
                <w:rFonts w:ascii="Arial"/>
                <w:sz w:val="21"/>
              </w:rPr>
            </w:pPr>
          </w:p>
        </w:tc>
      </w:tr>
      <w:tr w14:paraId="2514E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9" w:type="dxa"/>
            <w:tcBorders>
              <w:left w:val="single" w:color="000000" w:sz="4" w:space="0"/>
            </w:tcBorders>
            <w:vAlign w:val="top"/>
          </w:tcPr>
          <w:p w14:paraId="7F6E109E">
            <w:pPr>
              <w:rPr>
                <w:rFonts w:ascii="Arial"/>
                <w:sz w:val="21"/>
              </w:rPr>
            </w:pPr>
          </w:p>
        </w:tc>
        <w:tc>
          <w:tcPr>
            <w:tcW w:w="1046" w:type="dxa"/>
            <w:tcBorders>
              <w:right w:val="single" w:color="000000" w:sz="4" w:space="0"/>
            </w:tcBorders>
            <w:vAlign w:val="top"/>
          </w:tcPr>
          <w:p w14:paraId="71480468">
            <w:pPr>
              <w:rPr>
                <w:rFonts w:ascii="Arial"/>
                <w:sz w:val="21"/>
              </w:rPr>
            </w:pPr>
          </w:p>
        </w:tc>
        <w:tc>
          <w:tcPr>
            <w:tcW w:w="1025" w:type="dxa"/>
            <w:tcBorders>
              <w:left w:val="single" w:color="000000" w:sz="4" w:space="0"/>
              <w:right w:val="single" w:color="000000" w:sz="4" w:space="0"/>
            </w:tcBorders>
            <w:vAlign w:val="top"/>
          </w:tcPr>
          <w:p w14:paraId="2189C257">
            <w:pPr>
              <w:rPr>
                <w:rFonts w:ascii="Arial"/>
                <w:sz w:val="21"/>
              </w:rPr>
            </w:pPr>
          </w:p>
        </w:tc>
        <w:tc>
          <w:tcPr>
            <w:tcW w:w="1456" w:type="dxa"/>
            <w:tcBorders>
              <w:left w:val="single" w:color="000000" w:sz="4" w:space="0"/>
            </w:tcBorders>
            <w:vAlign w:val="top"/>
          </w:tcPr>
          <w:p w14:paraId="06A23741">
            <w:pPr>
              <w:rPr>
                <w:rFonts w:ascii="Arial"/>
                <w:sz w:val="21"/>
              </w:rPr>
            </w:pPr>
          </w:p>
        </w:tc>
        <w:tc>
          <w:tcPr>
            <w:tcW w:w="1018" w:type="dxa"/>
            <w:tcBorders>
              <w:right w:val="single" w:color="000000" w:sz="4" w:space="0"/>
            </w:tcBorders>
            <w:vAlign w:val="top"/>
          </w:tcPr>
          <w:p w14:paraId="5B070D10">
            <w:pPr>
              <w:rPr>
                <w:rFonts w:ascii="Arial"/>
                <w:sz w:val="21"/>
              </w:rPr>
            </w:pPr>
          </w:p>
        </w:tc>
        <w:tc>
          <w:tcPr>
            <w:tcW w:w="837" w:type="dxa"/>
            <w:tcBorders>
              <w:left w:val="single" w:color="000000" w:sz="4" w:space="0"/>
              <w:right w:val="single" w:color="000000" w:sz="4" w:space="0"/>
            </w:tcBorders>
            <w:vAlign w:val="top"/>
          </w:tcPr>
          <w:p w14:paraId="7E090511">
            <w:pPr>
              <w:rPr>
                <w:rFonts w:ascii="Arial"/>
                <w:sz w:val="21"/>
              </w:rPr>
            </w:pPr>
          </w:p>
        </w:tc>
        <w:tc>
          <w:tcPr>
            <w:tcW w:w="764" w:type="dxa"/>
            <w:tcBorders>
              <w:left w:val="single" w:color="000000" w:sz="4" w:space="0"/>
            </w:tcBorders>
            <w:vAlign w:val="top"/>
          </w:tcPr>
          <w:p w14:paraId="35947A5B">
            <w:pPr>
              <w:rPr>
                <w:rFonts w:ascii="Arial"/>
                <w:sz w:val="21"/>
              </w:rPr>
            </w:pPr>
          </w:p>
        </w:tc>
        <w:tc>
          <w:tcPr>
            <w:tcW w:w="740" w:type="dxa"/>
            <w:tcBorders>
              <w:right w:val="single" w:color="000000" w:sz="4" w:space="0"/>
            </w:tcBorders>
            <w:vAlign w:val="top"/>
          </w:tcPr>
          <w:p w14:paraId="413179F0">
            <w:pPr>
              <w:rPr>
                <w:rFonts w:ascii="Arial"/>
                <w:sz w:val="21"/>
              </w:rPr>
            </w:pPr>
          </w:p>
        </w:tc>
        <w:tc>
          <w:tcPr>
            <w:tcW w:w="947" w:type="dxa"/>
            <w:tcBorders>
              <w:left w:val="single" w:color="000000" w:sz="4" w:space="0"/>
              <w:right w:val="single" w:color="000000" w:sz="4" w:space="0"/>
            </w:tcBorders>
            <w:vAlign w:val="top"/>
          </w:tcPr>
          <w:p w14:paraId="203BFE2E">
            <w:pPr>
              <w:rPr>
                <w:rFonts w:ascii="Arial"/>
                <w:sz w:val="21"/>
              </w:rPr>
            </w:pPr>
          </w:p>
        </w:tc>
      </w:tr>
      <w:tr w14:paraId="359F1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649" w:type="dxa"/>
            <w:tcBorders>
              <w:left w:val="single" w:color="000000" w:sz="4" w:space="0"/>
            </w:tcBorders>
            <w:vAlign w:val="top"/>
          </w:tcPr>
          <w:p w14:paraId="52B2E43A">
            <w:pPr>
              <w:rPr>
                <w:rFonts w:ascii="Arial"/>
                <w:sz w:val="21"/>
              </w:rPr>
            </w:pPr>
          </w:p>
        </w:tc>
        <w:tc>
          <w:tcPr>
            <w:tcW w:w="1046" w:type="dxa"/>
            <w:tcBorders>
              <w:right w:val="single" w:color="000000" w:sz="4" w:space="0"/>
            </w:tcBorders>
            <w:vAlign w:val="top"/>
          </w:tcPr>
          <w:p w14:paraId="6C26F42A">
            <w:pPr>
              <w:rPr>
                <w:rFonts w:ascii="Arial"/>
                <w:sz w:val="21"/>
              </w:rPr>
            </w:pPr>
          </w:p>
        </w:tc>
        <w:tc>
          <w:tcPr>
            <w:tcW w:w="1025" w:type="dxa"/>
            <w:tcBorders>
              <w:left w:val="single" w:color="000000" w:sz="4" w:space="0"/>
              <w:right w:val="single" w:color="000000" w:sz="4" w:space="0"/>
            </w:tcBorders>
            <w:vAlign w:val="top"/>
          </w:tcPr>
          <w:p w14:paraId="77C9A9BF">
            <w:pPr>
              <w:rPr>
                <w:rFonts w:ascii="Arial"/>
                <w:sz w:val="21"/>
              </w:rPr>
            </w:pPr>
          </w:p>
        </w:tc>
        <w:tc>
          <w:tcPr>
            <w:tcW w:w="1456" w:type="dxa"/>
            <w:tcBorders>
              <w:left w:val="single" w:color="000000" w:sz="4" w:space="0"/>
            </w:tcBorders>
            <w:vAlign w:val="top"/>
          </w:tcPr>
          <w:p w14:paraId="7424D937">
            <w:pPr>
              <w:rPr>
                <w:rFonts w:ascii="Arial"/>
                <w:sz w:val="21"/>
              </w:rPr>
            </w:pPr>
          </w:p>
        </w:tc>
        <w:tc>
          <w:tcPr>
            <w:tcW w:w="1018" w:type="dxa"/>
            <w:tcBorders>
              <w:right w:val="single" w:color="000000" w:sz="4" w:space="0"/>
            </w:tcBorders>
            <w:vAlign w:val="top"/>
          </w:tcPr>
          <w:p w14:paraId="61B04BA7">
            <w:pPr>
              <w:rPr>
                <w:rFonts w:ascii="Arial"/>
                <w:sz w:val="21"/>
              </w:rPr>
            </w:pPr>
          </w:p>
        </w:tc>
        <w:tc>
          <w:tcPr>
            <w:tcW w:w="837" w:type="dxa"/>
            <w:tcBorders>
              <w:left w:val="single" w:color="000000" w:sz="4" w:space="0"/>
              <w:right w:val="single" w:color="000000" w:sz="4" w:space="0"/>
            </w:tcBorders>
            <w:vAlign w:val="top"/>
          </w:tcPr>
          <w:p w14:paraId="0BFE599C">
            <w:pPr>
              <w:rPr>
                <w:rFonts w:ascii="Arial"/>
                <w:sz w:val="21"/>
              </w:rPr>
            </w:pPr>
          </w:p>
        </w:tc>
        <w:tc>
          <w:tcPr>
            <w:tcW w:w="764" w:type="dxa"/>
            <w:tcBorders>
              <w:left w:val="single" w:color="000000" w:sz="4" w:space="0"/>
            </w:tcBorders>
            <w:vAlign w:val="top"/>
          </w:tcPr>
          <w:p w14:paraId="5C3ED099">
            <w:pPr>
              <w:rPr>
                <w:rFonts w:ascii="Arial"/>
                <w:sz w:val="21"/>
              </w:rPr>
            </w:pPr>
          </w:p>
        </w:tc>
        <w:tc>
          <w:tcPr>
            <w:tcW w:w="740" w:type="dxa"/>
            <w:tcBorders>
              <w:right w:val="single" w:color="000000" w:sz="4" w:space="0"/>
            </w:tcBorders>
            <w:vAlign w:val="top"/>
          </w:tcPr>
          <w:p w14:paraId="02ACE1FB">
            <w:pPr>
              <w:rPr>
                <w:rFonts w:ascii="Arial"/>
                <w:sz w:val="21"/>
              </w:rPr>
            </w:pPr>
          </w:p>
        </w:tc>
        <w:tc>
          <w:tcPr>
            <w:tcW w:w="947" w:type="dxa"/>
            <w:tcBorders>
              <w:left w:val="single" w:color="000000" w:sz="4" w:space="0"/>
              <w:right w:val="single" w:color="000000" w:sz="4" w:space="0"/>
            </w:tcBorders>
            <w:vAlign w:val="top"/>
          </w:tcPr>
          <w:p w14:paraId="136934FC">
            <w:pPr>
              <w:rPr>
                <w:rFonts w:ascii="Arial"/>
                <w:sz w:val="21"/>
              </w:rPr>
            </w:pPr>
          </w:p>
        </w:tc>
      </w:tr>
      <w:tr w14:paraId="3B1125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9" w:type="dxa"/>
            <w:tcBorders>
              <w:left w:val="single" w:color="000000" w:sz="4" w:space="0"/>
            </w:tcBorders>
            <w:vAlign w:val="top"/>
          </w:tcPr>
          <w:p w14:paraId="1DE7712C">
            <w:pPr>
              <w:rPr>
                <w:rFonts w:ascii="Arial"/>
                <w:sz w:val="21"/>
              </w:rPr>
            </w:pPr>
          </w:p>
        </w:tc>
        <w:tc>
          <w:tcPr>
            <w:tcW w:w="1046" w:type="dxa"/>
            <w:tcBorders>
              <w:right w:val="single" w:color="000000" w:sz="4" w:space="0"/>
            </w:tcBorders>
            <w:vAlign w:val="top"/>
          </w:tcPr>
          <w:p w14:paraId="7ADA8AB0">
            <w:pPr>
              <w:rPr>
                <w:rFonts w:ascii="Arial"/>
                <w:sz w:val="21"/>
              </w:rPr>
            </w:pPr>
          </w:p>
        </w:tc>
        <w:tc>
          <w:tcPr>
            <w:tcW w:w="1025" w:type="dxa"/>
            <w:tcBorders>
              <w:left w:val="single" w:color="000000" w:sz="4" w:space="0"/>
              <w:right w:val="single" w:color="000000" w:sz="4" w:space="0"/>
            </w:tcBorders>
            <w:vAlign w:val="top"/>
          </w:tcPr>
          <w:p w14:paraId="792DEEFD">
            <w:pPr>
              <w:rPr>
                <w:rFonts w:ascii="Arial"/>
                <w:sz w:val="21"/>
              </w:rPr>
            </w:pPr>
          </w:p>
        </w:tc>
        <w:tc>
          <w:tcPr>
            <w:tcW w:w="1456" w:type="dxa"/>
            <w:tcBorders>
              <w:left w:val="single" w:color="000000" w:sz="4" w:space="0"/>
            </w:tcBorders>
            <w:vAlign w:val="top"/>
          </w:tcPr>
          <w:p w14:paraId="02F5E44D">
            <w:pPr>
              <w:rPr>
                <w:rFonts w:ascii="Arial"/>
                <w:sz w:val="21"/>
              </w:rPr>
            </w:pPr>
          </w:p>
        </w:tc>
        <w:tc>
          <w:tcPr>
            <w:tcW w:w="1018" w:type="dxa"/>
            <w:tcBorders>
              <w:right w:val="single" w:color="000000" w:sz="4" w:space="0"/>
            </w:tcBorders>
            <w:vAlign w:val="top"/>
          </w:tcPr>
          <w:p w14:paraId="637043CC">
            <w:pPr>
              <w:rPr>
                <w:rFonts w:ascii="Arial"/>
                <w:sz w:val="21"/>
              </w:rPr>
            </w:pPr>
          </w:p>
        </w:tc>
        <w:tc>
          <w:tcPr>
            <w:tcW w:w="837" w:type="dxa"/>
            <w:tcBorders>
              <w:left w:val="single" w:color="000000" w:sz="4" w:space="0"/>
              <w:right w:val="single" w:color="000000" w:sz="4" w:space="0"/>
            </w:tcBorders>
            <w:vAlign w:val="top"/>
          </w:tcPr>
          <w:p w14:paraId="17CBB7FA">
            <w:pPr>
              <w:rPr>
                <w:rFonts w:ascii="Arial"/>
                <w:sz w:val="21"/>
              </w:rPr>
            </w:pPr>
          </w:p>
        </w:tc>
        <w:tc>
          <w:tcPr>
            <w:tcW w:w="764" w:type="dxa"/>
            <w:tcBorders>
              <w:left w:val="single" w:color="000000" w:sz="4" w:space="0"/>
            </w:tcBorders>
            <w:vAlign w:val="top"/>
          </w:tcPr>
          <w:p w14:paraId="391F6971">
            <w:pPr>
              <w:rPr>
                <w:rFonts w:ascii="Arial"/>
                <w:sz w:val="21"/>
              </w:rPr>
            </w:pPr>
          </w:p>
        </w:tc>
        <w:tc>
          <w:tcPr>
            <w:tcW w:w="740" w:type="dxa"/>
            <w:tcBorders>
              <w:right w:val="single" w:color="000000" w:sz="4" w:space="0"/>
            </w:tcBorders>
            <w:vAlign w:val="top"/>
          </w:tcPr>
          <w:p w14:paraId="49178BFF">
            <w:pPr>
              <w:rPr>
                <w:rFonts w:ascii="Arial"/>
                <w:sz w:val="21"/>
              </w:rPr>
            </w:pPr>
          </w:p>
        </w:tc>
        <w:tc>
          <w:tcPr>
            <w:tcW w:w="947" w:type="dxa"/>
            <w:tcBorders>
              <w:left w:val="single" w:color="000000" w:sz="4" w:space="0"/>
              <w:right w:val="single" w:color="000000" w:sz="4" w:space="0"/>
            </w:tcBorders>
            <w:vAlign w:val="top"/>
          </w:tcPr>
          <w:p w14:paraId="3C35E5E4">
            <w:pPr>
              <w:rPr>
                <w:rFonts w:ascii="Arial"/>
                <w:sz w:val="21"/>
              </w:rPr>
            </w:pPr>
          </w:p>
        </w:tc>
      </w:tr>
      <w:tr w14:paraId="6C43DE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9" w:type="dxa"/>
            <w:tcBorders>
              <w:left w:val="single" w:color="000000" w:sz="4" w:space="0"/>
            </w:tcBorders>
            <w:vAlign w:val="top"/>
          </w:tcPr>
          <w:p w14:paraId="0B58FD28">
            <w:pPr>
              <w:rPr>
                <w:rFonts w:ascii="Arial"/>
                <w:sz w:val="21"/>
              </w:rPr>
            </w:pPr>
          </w:p>
        </w:tc>
        <w:tc>
          <w:tcPr>
            <w:tcW w:w="1046" w:type="dxa"/>
            <w:tcBorders>
              <w:right w:val="single" w:color="000000" w:sz="4" w:space="0"/>
            </w:tcBorders>
            <w:vAlign w:val="top"/>
          </w:tcPr>
          <w:p w14:paraId="5FE30041">
            <w:pPr>
              <w:rPr>
                <w:rFonts w:ascii="Arial"/>
                <w:sz w:val="21"/>
              </w:rPr>
            </w:pPr>
          </w:p>
        </w:tc>
        <w:tc>
          <w:tcPr>
            <w:tcW w:w="1025" w:type="dxa"/>
            <w:tcBorders>
              <w:left w:val="single" w:color="000000" w:sz="4" w:space="0"/>
              <w:right w:val="single" w:color="000000" w:sz="4" w:space="0"/>
            </w:tcBorders>
            <w:vAlign w:val="top"/>
          </w:tcPr>
          <w:p w14:paraId="6F4D79F6">
            <w:pPr>
              <w:rPr>
                <w:rFonts w:ascii="Arial"/>
                <w:sz w:val="21"/>
              </w:rPr>
            </w:pPr>
          </w:p>
        </w:tc>
        <w:tc>
          <w:tcPr>
            <w:tcW w:w="1456" w:type="dxa"/>
            <w:tcBorders>
              <w:left w:val="single" w:color="000000" w:sz="4" w:space="0"/>
            </w:tcBorders>
            <w:vAlign w:val="top"/>
          </w:tcPr>
          <w:p w14:paraId="43AFB2DD">
            <w:pPr>
              <w:rPr>
                <w:rFonts w:ascii="Arial"/>
                <w:sz w:val="21"/>
              </w:rPr>
            </w:pPr>
          </w:p>
        </w:tc>
        <w:tc>
          <w:tcPr>
            <w:tcW w:w="1018" w:type="dxa"/>
            <w:tcBorders>
              <w:right w:val="single" w:color="000000" w:sz="4" w:space="0"/>
            </w:tcBorders>
            <w:vAlign w:val="top"/>
          </w:tcPr>
          <w:p w14:paraId="329452A2">
            <w:pPr>
              <w:rPr>
                <w:rFonts w:ascii="Arial"/>
                <w:sz w:val="21"/>
              </w:rPr>
            </w:pPr>
          </w:p>
        </w:tc>
        <w:tc>
          <w:tcPr>
            <w:tcW w:w="837" w:type="dxa"/>
            <w:tcBorders>
              <w:left w:val="single" w:color="000000" w:sz="4" w:space="0"/>
              <w:right w:val="single" w:color="000000" w:sz="4" w:space="0"/>
            </w:tcBorders>
            <w:vAlign w:val="top"/>
          </w:tcPr>
          <w:p w14:paraId="25AC24D7">
            <w:pPr>
              <w:rPr>
                <w:rFonts w:ascii="Arial"/>
                <w:sz w:val="21"/>
              </w:rPr>
            </w:pPr>
          </w:p>
        </w:tc>
        <w:tc>
          <w:tcPr>
            <w:tcW w:w="764" w:type="dxa"/>
            <w:tcBorders>
              <w:left w:val="single" w:color="000000" w:sz="4" w:space="0"/>
            </w:tcBorders>
            <w:vAlign w:val="top"/>
          </w:tcPr>
          <w:p w14:paraId="7CCDC47E">
            <w:pPr>
              <w:rPr>
                <w:rFonts w:ascii="Arial"/>
                <w:sz w:val="21"/>
              </w:rPr>
            </w:pPr>
          </w:p>
        </w:tc>
        <w:tc>
          <w:tcPr>
            <w:tcW w:w="740" w:type="dxa"/>
            <w:tcBorders>
              <w:right w:val="single" w:color="000000" w:sz="4" w:space="0"/>
            </w:tcBorders>
            <w:vAlign w:val="top"/>
          </w:tcPr>
          <w:p w14:paraId="6D9B6CAD">
            <w:pPr>
              <w:rPr>
                <w:rFonts w:ascii="Arial"/>
                <w:sz w:val="21"/>
              </w:rPr>
            </w:pPr>
          </w:p>
        </w:tc>
        <w:tc>
          <w:tcPr>
            <w:tcW w:w="947" w:type="dxa"/>
            <w:tcBorders>
              <w:left w:val="single" w:color="000000" w:sz="4" w:space="0"/>
              <w:right w:val="single" w:color="000000" w:sz="4" w:space="0"/>
            </w:tcBorders>
            <w:vAlign w:val="top"/>
          </w:tcPr>
          <w:p w14:paraId="35C1A473">
            <w:pPr>
              <w:rPr>
                <w:rFonts w:ascii="Arial"/>
                <w:sz w:val="21"/>
              </w:rPr>
            </w:pPr>
          </w:p>
        </w:tc>
      </w:tr>
      <w:tr w14:paraId="6A2882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649" w:type="dxa"/>
            <w:tcBorders>
              <w:left w:val="single" w:color="000000" w:sz="4" w:space="0"/>
            </w:tcBorders>
            <w:vAlign w:val="top"/>
          </w:tcPr>
          <w:p w14:paraId="125FC6A8">
            <w:pPr>
              <w:rPr>
                <w:rFonts w:ascii="Arial"/>
                <w:sz w:val="21"/>
              </w:rPr>
            </w:pPr>
          </w:p>
        </w:tc>
        <w:tc>
          <w:tcPr>
            <w:tcW w:w="1046" w:type="dxa"/>
            <w:tcBorders>
              <w:right w:val="single" w:color="000000" w:sz="4" w:space="0"/>
            </w:tcBorders>
            <w:vAlign w:val="top"/>
          </w:tcPr>
          <w:p w14:paraId="56C7D732">
            <w:pPr>
              <w:rPr>
                <w:rFonts w:ascii="Arial"/>
                <w:sz w:val="21"/>
              </w:rPr>
            </w:pPr>
          </w:p>
        </w:tc>
        <w:tc>
          <w:tcPr>
            <w:tcW w:w="1025" w:type="dxa"/>
            <w:tcBorders>
              <w:left w:val="single" w:color="000000" w:sz="4" w:space="0"/>
              <w:right w:val="single" w:color="000000" w:sz="4" w:space="0"/>
            </w:tcBorders>
            <w:vAlign w:val="top"/>
          </w:tcPr>
          <w:p w14:paraId="1719F246">
            <w:pPr>
              <w:rPr>
                <w:rFonts w:ascii="Arial"/>
                <w:sz w:val="21"/>
              </w:rPr>
            </w:pPr>
          </w:p>
        </w:tc>
        <w:tc>
          <w:tcPr>
            <w:tcW w:w="1456" w:type="dxa"/>
            <w:tcBorders>
              <w:left w:val="single" w:color="000000" w:sz="4" w:space="0"/>
            </w:tcBorders>
            <w:vAlign w:val="top"/>
          </w:tcPr>
          <w:p w14:paraId="34500C0C">
            <w:pPr>
              <w:rPr>
                <w:rFonts w:ascii="Arial"/>
                <w:sz w:val="21"/>
              </w:rPr>
            </w:pPr>
          </w:p>
        </w:tc>
        <w:tc>
          <w:tcPr>
            <w:tcW w:w="1018" w:type="dxa"/>
            <w:tcBorders>
              <w:right w:val="single" w:color="000000" w:sz="4" w:space="0"/>
            </w:tcBorders>
            <w:vAlign w:val="top"/>
          </w:tcPr>
          <w:p w14:paraId="1E126214">
            <w:pPr>
              <w:rPr>
                <w:rFonts w:ascii="Arial"/>
                <w:sz w:val="21"/>
              </w:rPr>
            </w:pPr>
          </w:p>
        </w:tc>
        <w:tc>
          <w:tcPr>
            <w:tcW w:w="837" w:type="dxa"/>
            <w:tcBorders>
              <w:left w:val="single" w:color="000000" w:sz="4" w:space="0"/>
              <w:right w:val="single" w:color="000000" w:sz="4" w:space="0"/>
            </w:tcBorders>
            <w:vAlign w:val="top"/>
          </w:tcPr>
          <w:p w14:paraId="68D80B83">
            <w:pPr>
              <w:rPr>
                <w:rFonts w:ascii="Arial"/>
                <w:sz w:val="21"/>
              </w:rPr>
            </w:pPr>
          </w:p>
        </w:tc>
        <w:tc>
          <w:tcPr>
            <w:tcW w:w="764" w:type="dxa"/>
            <w:tcBorders>
              <w:left w:val="single" w:color="000000" w:sz="4" w:space="0"/>
            </w:tcBorders>
            <w:vAlign w:val="top"/>
          </w:tcPr>
          <w:p w14:paraId="3A7B6882">
            <w:pPr>
              <w:rPr>
                <w:rFonts w:ascii="Arial"/>
                <w:sz w:val="21"/>
              </w:rPr>
            </w:pPr>
          </w:p>
        </w:tc>
        <w:tc>
          <w:tcPr>
            <w:tcW w:w="740" w:type="dxa"/>
            <w:tcBorders>
              <w:right w:val="single" w:color="000000" w:sz="4" w:space="0"/>
            </w:tcBorders>
            <w:vAlign w:val="top"/>
          </w:tcPr>
          <w:p w14:paraId="719803D6">
            <w:pPr>
              <w:rPr>
                <w:rFonts w:ascii="Arial"/>
                <w:sz w:val="21"/>
              </w:rPr>
            </w:pPr>
          </w:p>
        </w:tc>
        <w:tc>
          <w:tcPr>
            <w:tcW w:w="947" w:type="dxa"/>
            <w:tcBorders>
              <w:left w:val="single" w:color="000000" w:sz="4" w:space="0"/>
              <w:right w:val="single" w:color="000000" w:sz="4" w:space="0"/>
            </w:tcBorders>
            <w:vAlign w:val="top"/>
          </w:tcPr>
          <w:p w14:paraId="7DA5143D">
            <w:pPr>
              <w:rPr>
                <w:rFonts w:ascii="Arial"/>
                <w:sz w:val="21"/>
              </w:rPr>
            </w:pPr>
          </w:p>
        </w:tc>
      </w:tr>
      <w:tr w14:paraId="211E07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9" w:type="dxa"/>
            <w:tcBorders>
              <w:left w:val="single" w:color="000000" w:sz="4" w:space="0"/>
            </w:tcBorders>
            <w:vAlign w:val="top"/>
          </w:tcPr>
          <w:p w14:paraId="1E3F0199">
            <w:pPr>
              <w:rPr>
                <w:rFonts w:ascii="Arial"/>
                <w:sz w:val="21"/>
              </w:rPr>
            </w:pPr>
          </w:p>
        </w:tc>
        <w:tc>
          <w:tcPr>
            <w:tcW w:w="1046" w:type="dxa"/>
            <w:tcBorders>
              <w:right w:val="single" w:color="000000" w:sz="4" w:space="0"/>
            </w:tcBorders>
            <w:vAlign w:val="top"/>
          </w:tcPr>
          <w:p w14:paraId="11009C1F">
            <w:pPr>
              <w:rPr>
                <w:rFonts w:ascii="Arial"/>
                <w:sz w:val="21"/>
              </w:rPr>
            </w:pPr>
          </w:p>
        </w:tc>
        <w:tc>
          <w:tcPr>
            <w:tcW w:w="1025" w:type="dxa"/>
            <w:tcBorders>
              <w:left w:val="single" w:color="000000" w:sz="4" w:space="0"/>
              <w:right w:val="single" w:color="000000" w:sz="4" w:space="0"/>
            </w:tcBorders>
            <w:vAlign w:val="top"/>
          </w:tcPr>
          <w:p w14:paraId="2CCCAEA3">
            <w:pPr>
              <w:rPr>
                <w:rFonts w:ascii="Arial"/>
                <w:sz w:val="21"/>
              </w:rPr>
            </w:pPr>
          </w:p>
        </w:tc>
        <w:tc>
          <w:tcPr>
            <w:tcW w:w="1456" w:type="dxa"/>
            <w:tcBorders>
              <w:left w:val="single" w:color="000000" w:sz="4" w:space="0"/>
            </w:tcBorders>
            <w:vAlign w:val="top"/>
          </w:tcPr>
          <w:p w14:paraId="17118007">
            <w:pPr>
              <w:rPr>
                <w:rFonts w:ascii="Arial"/>
                <w:sz w:val="21"/>
              </w:rPr>
            </w:pPr>
          </w:p>
        </w:tc>
        <w:tc>
          <w:tcPr>
            <w:tcW w:w="1018" w:type="dxa"/>
            <w:tcBorders>
              <w:right w:val="single" w:color="000000" w:sz="4" w:space="0"/>
            </w:tcBorders>
            <w:vAlign w:val="top"/>
          </w:tcPr>
          <w:p w14:paraId="293198D9">
            <w:pPr>
              <w:rPr>
                <w:rFonts w:ascii="Arial"/>
                <w:sz w:val="21"/>
              </w:rPr>
            </w:pPr>
          </w:p>
        </w:tc>
        <w:tc>
          <w:tcPr>
            <w:tcW w:w="837" w:type="dxa"/>
            <w:tcBorders>
              <w:left w:val="single" w:color="000000" w:sz="4" w:space="0"/>
              <w:right w:val="single" w:color="000000" w:sz="4" w:space="0"/>
            </w:tcBorders>
            <w:vAlign w:val="top"/>
          </w:tcPr>
          <w:p w14:paraId="71BB21DC">
            <w:pPr>
              <w:rPr>
                <w:rFonts w:ascii="Arial"/>
                <w:sz w:val="21"/>
              </w:rPr>
            </w:pPr>
          </w:p>
        </w:tc>
        <w:tc>
          <w:tcPr>
            <w:tcW w:w="764" w:type="dxa"/>
            <w:tcBorders>
              <w:left w:val="single" w:color="000000" w:sz="4" w:space="0"/>
            </w:tcBorders>
            <w:vAlign w:val="top"/>
          </w:tcPr>
          <w:p w14:paraId="18166CEB">
            <w:pPr>
              <w:rPr>
                <w:rFonts w:ascii="Arial"/>
                <w:sz w:val="21"/>
              </w:rPr>
            </w:pPr>
          </w:p>
        </w:tc>
        <w:tc>
          <w:tcPr>
            <w:tcW w:w="740" w:type="dxa"/>
            <w:tcBorders>
              <w:right w:val="single" w:color="000000" w:sz="4" w:space="0"/>
            </w:tcBorders>
            <w:vAlign w:val="top"/>
          </w:tcPr>
          <w:p w14:paraId="3070C3B9">
            <w:pPr>
              <w:rPr>
                <w:rFonts w:ascii="Arial"/>
                <w:sz w:val="21"/>
              </w:rPr>
            </w:pPr>
          </w:p>
        </w:tc>
        <w:tc>
          <w:tcPr>
            <w:tcW w:w="947" w:type="dxa"/>
            <w:tcBorders>
              <w:left w:val="single" w:color="000000" w:sz="4" w:space="0"/>
              <w:right w:val="single" w:color="000000" w:sz="4" w:space="0"/>
            </w:tcBorders>
            <w:vAlign w:val="top"/>
          </w:tcPr>
          <w:p w14:paraId="38E5DD43">
            <w:pPr>
              <w:rPr>
                <w:rFonts w:ascii="Arial"/>
                <w:sz w:val="21"/>
              </w:rPr>
            </w:pPr>
          </w:p>
        </w:tc>
      </w:tr>
      <w:tr w14:paraId="08D1C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9" w:type="dxa"/>
            <w:tcBorders>
              <w:left w:val="single" w:color="000000" w:sz="4" w:space="0"/>
            </w:tcBorders>
            <w:vAlign w:val="top"/>
          </w:tcPr>
          <w:p w14:paraId="623A5B9A">
            <w:pPr>
              <w:rPr>
                <w:rFonts w:ascii="Arial"/>
                <w:sz w:val="21"/>
              </w:rPr>
            </w:pPr>
          </w:p>
        </w:tc>
        <w:tc>
          <w:tcPr>
            <w:tcW w:w="1046" w:type="dxa"/>
            <w:tcBorders>
              <w:right w:val="single" w:color="000000" w:sz="4" w:space="0"/>
            </w:tcBorders>
            <w:vAlign w:val="top"/>
          </w:tcPr>
          <w:p w14:paraId="24CBBC78">
            <w:pPr>
              <w:rPr>
                <w:rFonts w:ascii="Arial"/>
                <w:sz w:val="21"/>
              </w:rPr>
            </w:pPr>
          </w:p>
        </w:tc>
        <w:tc>
          <w:tcPr>
            <w:tcW w:w="1025" w:type="dxa"/>
            <w:tcBorders>
              <w:left w:val="single" w:color="000000" w:sz="4" w:space="0"/>
              <w:right w:val="single" w:color="000000" w:sz="4" w:space="0"/>
            </w:tcBorders>
            <w:vAlign w:val="top"/>
          </w:tcPr>
          <w:p w14:paraId="3A1E0760">
            <w:pPr>
              <w:rPr>
                <w:rFonts w:ascii="Arial"/>
                <w:sz w:val="21"/>
              </w:rPr>
            </w:pPr>
          </w:p>
        </w:tc>
        <w:tc>
          <w:tcPr>
            <w:tcW w:w="1456" w:type="dxa"/>
            <w:tcBorders>
              <w:left w:val="single" w:color="000000" w:sz="4" w:space="0"/>
            </w:tcBorders>
            <w:vAlign w:val="top"/>
          </w:tcPr>
          <w:p w14:paraId="5408D6B9">
            <w:pPr>
              <w:rPr>
                <w:rFonts w:ascii="Arial"/>
                <w:sz w:val="21"/>
              </w:rPr>
            </w:pPr>
          </w:p>
        </w:tc>
        <w:tc>
          <w:tcPr>
            <w:tcW w:w="1018" w:type="dxa"/>
            <w:tcBorders>
              <w:right w:val="single" w:color="000000" w:sz="4" w:space="0"/>
            </w:tcBorders>
            <w:vAlign w:val="top"/>
          </w:tcPr>
          <w:p w14:paraId="7DE6B569">
            <w:pPr>
              <w:rPr>
                <w:rFonts w:ascii="Arial"/>
                <w:sz w:val="21"/>
              </w:rPr>
            </w:pPr>
          </w:p>
        </w:tc>
        <w:tc>
          <w:tcPr>
            <w:tcW w:w="837" w:type="dxa"/>
            <w:tcBorders>
              <w:left w:val="single" w:color="000000" w:sz="4" w:space="0"/>
              <w:right w:val="single" w:color="000000" w:sz="4" w:space="0"/>
            </w:tcBorders>
            <w:vAlign w:val="top"/>
          </w:tcPr>
          <w:p w14:paraId="0EBDA1E6">
            <w:pPr>
              <w:rPr>
                <w:rFonts w:ascii="Arial"/>
                <w:sz w:val="21"/>
              </w:rPr>
            </w:pPr>
          </w:p>
        </w:tc>
        <w:tc>
          <w:tcPr>
            <w:tcW w:w="764" w:type="dxa"/>
            <w:tcBorders>
              <w:left w:val="single" w:color="000000" w:sz="4" w:space="0"/>
            </w:tcBorders>
            <w:vAlign w:val="top"/>
          </w:tcPr>
          <w:p w14:paraId="4C88E0BC">
            <w:pPr>
              <w:rPr>
                <w:rFonts w:ascii="Arial"/>
                <w:sz w:val="21"/>
              </w:rPr>
            </w:pPr>
          </w:p>
        </w:tc>
        <w:tc>
          <w:tcPr>
            <w:tcW w:w="740" w:type="dxa"/>
            <w:tcBorders>
              <w:right w:val="single" w:color="000000" w:sz="4" w:space="0"/>
            </w:tcBorders>
            <w:vAlign w:val="top"/>
          </w:tcPr>
          <w:p w14:paraId="02A0519E">
            <w:pPr>
              <w:rPr>
                <w:rFonts w:ascii="Arial"/>
                <w:sz w:val="21"/>
              </w:rPr>
            </w:pPr>
          </w:p>
        </w:tc>
        <w:tc>
          <w:tcPr>
            <w:tcW w:w="947" w:type="dxa"/>
            <w:tcBorders>
              <w:left w:val="single" w:color="000000" w:sz="4" w:space="0"/>
              <w:right w:val="single" w:color="000000" w:sz="4" w:space="0"/>
            </w:tcBorders>
            <w:vAlign w:val="top"/>
          </w:tcPr>
          <w:p w14:paraId="36DEAC1A">
            <w:pPr>
              <w:rPr>
                <w:rFonts w:ascii="Arial"/>
                <w:sz w:val="21"/>
              </w:rPr>
            </w:pPr>
          </w:p>
        </w:tc>
      </w:tr>
      <w:tr w14:paraId="29937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649" w:type="dxa"/>
            <w:tcBorders>
              <w:left w:val="single" w:color="000000" w:sz="4" w:space="0"/>
            </w:tcBorders>
            <w:vAlign w:val="top"/>
          </w:tcPr>
          <w:p w14:paraId="06C796AB">
            <w:pPr>
              <w:rPr>
                <w:rFonts w:ascii="Arial"/>
                <w:sz w:val="21"/>
              </w:rPr>
            </w:pPr>
          </w:p>
        </w:tc>
        <w:tc>
          <w:tcPr>
            <w:tcW w:w="1046" w:type="dxa"/>
            <w:tcBorders>
              <w:right w:val="single" w:color="000000" w:sz="4" w:space="0"/>
            </w:tcBorders>
            <w:vAlign w:val="top"/>
          </w:tcPr>
          <w:p w14:paraId="385178D2">
            <w:pPr>
              <w:rPr>
                <w:rFonts w:ascii="Arial"/>
                <w:sz w:val="21"/>
              </w:rPr>
            </w:pPr>
          </w:p>
        </w:tc>
        <w:tc>
          <w:tcPr>
            <w:tcW w:w="1025" w:type="dxa"/>
            <w:tcBorders>
              <w:left w:val="single" w:color="000000" w:sz="4" w:space="0"/>
              <w:right w:val="single" w:color="000000" w:sz="4" w:space="0"/>
            </w:tcBorders>
            <w:vAlign w:val="top"/>
          </w:tcPr>
          <w:p w14:paraId="4F977614">
            <w:pPr>
              <w:rPr>
                <w:rFonts w:ascii="Arial"/>
                <w:sz w:val="21"/>
              </w:rPr>
            </w:pPr>
          </w:p>
        </w:tc>
        <w:tc>
          <w:tcPr>
            <w:tcW w:w="1456" w:type="dxa"/>
            <w:tcBorders>
              <w:left w:val="single" w:color="000000" w:sz="4" w:space="0"/>
            </w:tcBorders>
            <w:vAlign w:val="top"/>
          </w:tcPr>
          <w:p w14:paraId="3FFB8F6A">
            <w:pPr>
              <w:rPr>
                <w:rFonts w:ascii="Arial"/>
                <w:sz w:val="21"/>
              </w:rPr>
            </w:pPr>
          </w:p>
        </w:tc>
        <w:tc>
          <w:tcPr>
            <w:tcW w:w="1018" w:type="dxa"/>
            <w:tcBorders>
              <w:right w:val="single" w:color="000000" w:sz="4" w:space="0"/>
            </w:tcBorders>
            <w:vAlign w:val="top"/>
          </w:tcPr>
          <w:p w14:paraId="32377F4F">
            <w:pPr>
              <w:rPr>
                <w:rFonts w:ascii="Arial"/>
                <w:sz w:val="21"/>
              </w:rPr>
            </w:pPr>
          </w:p>
        </w:tc>
        <w:tc>
          <w:tcPr>
            <w:tcW w:w="837" w:type="dxa"/>
            <w:tcBorders>
              <w:left w:val="single" w:color="000000" w:sz="4" w:space="0"/>
              <w:right w:val="single" w:color="000000" w:sz="4" w:space="0"/>
            </w:tcBorders>
            <w:vAlign w:val="top"/>
          </w:tcPr>
          <w:p w14:paraId="250EFAA2">
            <w:pPr>
              <w:rPr>
                <w:rFonts w:ascii="Arial"/>
                <w:sz w:val="21"/>
              </w:rPr>
            </w:pPr>
          </w:p>
        </w:tc>
        <w:tc>
          <w:tcPr>
            <w:tcW w:w="764" w:type="dxa"/>
            <w:tcBorders>
              <w:left w:val="single" w:color="000000" w:sz="4" w:space="0"/>
            </w:tcBorders>
            <w:vAlign w:val="top"/>
          </w:tcPr>
          <w:p w14:paraId="2715D78B">
            <w:pPr>
              <w:rPr>
                <w:rFonts w:ascii="Arial"/>
                <w:sz w:val="21"/>
              </w:rPr>
            </w:pPr>
          </w:p>
        </w:tc>
        <w:tc>
          <w:tcPr>
            <w:tcW w:w="740" w:type="dxa"/>
            <w:tcBorders>
              <w:right w:val="single" w:color="000000" w:sz="4" w:space="0"/>
            </w:tcBorders>
            <w:vAlign w:val="top"/>
          </w:tcPr>
          <w:p w14:paraId="36A4CF20">
            <w:pPr>
              <w:rPr>
                <w:rFonts w:ascii="Arial"/>
                <w:sz w:val="21"/>
              </w:rPr>
            </w:pPr>
          </w:p>
        </w:tc>
        <w:tc>
          <w:tcPr>
            <w:tcW w:w="947" w:type="dxa"/>
            <w:tcBorders>
              <w:left w:val="single" w:color="000000" w:sz="4" w:space="0"/>
              <w:right w:val="single" w:color="000000" w:sz="4" w:space="0"/>
            </w:tcBorders>
            <w:vAlign w:val="top"/>
          </w:tcPr>
          <w:p w14:paraId="5806AF24">
            <w:pPr>
              <w:rPr>
                <w:rFonts w:ascii="Arial"/>
                <w:sz w:val="21"/>
              </w:rPr>
            </w:pPr>
          </w:p>
        </w:tc>
      </w:tr>
      <w:tr w14:paraId="7CE489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9" w:type="dxa"/>
            <w:tcBorders>
              <w:left w:val="single" w:color="000000" w:sz="4" w:space="0"/>
            </w:tcBorders>
            <w:vAlign w:val="top"/>
          </w:tcPr>
          <w:p w14:paraId="0920D40E">
            <w:pPr>
              <w:rPr>
                <w:rFonts w:ascii="Arial"/>
                <w:sz w:val="21"/>
              </w:rPr>
            </w:pPr>
          </w:p>
        </w:tc>
        <w:tc>
          <w:tcPr>
            <w:tcW w:w="1046" w:type="dxa"/>
            <w:tcBorders>
              <w:right w:val="single" w:color="000000" w:sz="4" w:space="0"/>
            </w:tcBorders>
            <w:vAlign w:val="top"/>
          </w:tcPr>
          <w:p w14:paraId="08B11085">
            <w:pPr>
              <w:rPr>
                <w:rFonts w:ascii="Arial"/>
                <w:sz w:val="21"/>
              </w:rPr>
            </w:pPr>
          </w:p>
        </w:tc>
        <w:tc>
          <w:tcPr>
            <w:tcW w:w="1025" w:type="dxa"/>
            <w:tcBorders>
              <w:left w:val="single" w:color="000000" w:sz="4" w:space="0"/>
              <w:right w:val="single" w:color="000000" w:sz="4" w:space="0"/>
            </w:tcBorders>
            <w:vAlign w:val="top"/>
          </w:tcPr>
          <w:p w14:paraId="4FB60665">
            <w:pPr>
              <w:rPr>
                <w:rFonts w:ascii="Arial"/>
                <w:sz w:val="21"/>
              </w:rPr>
            </w:pPr>
          </w:p>
        </w:tc>
        <w:tc>
          <w:tcPr>
            <w:tcW w:w="1456" w:type="dxa"/>
            <w:tcBorders>
              <w:left w:val="single" w:color="000000" w:sz="4" w:space="0"/>
            </w:tcBorders>
            <w:vAlign w:val="top"/>
          </w:tcPr>
          <w:p w14:paraId="254F1D7F">
            <w:pPr>
              <w:rPr>
                <w:rFonts w:ascii="Arial"/>
                <w:sz w:val="21"/>
              </w:rPr>
            </w:pPr>
          </w:p>
        </w:tc>
        <w:tc>
          <w:tcPr>
            <w:tcW w:w="1018" w:type="dxa"/>
            <w:tcBorders>
              <w:right w:val="single" w:color="000000" w:sz="4" w:space="0"/>
            </w:tcBorders>
            <w:vAlign w:val="top"/>
          </w:tcPr>
          <w:p w14:paraId="165D2D05">
            <w:pPr>
              <w:rPr>
                <w:rFonts w:ascii="Arial"/>
                <w:sz w:val="21"/>
              </w:rPr>
            </w:pPr>
          </w:p>
        </w:tc>
        <w:tc>
          <w:tcPr>
            <w:tcW w:w="837" w:type="dxa"/>
            <w:tcBorders>
              <w:left w:val="single" w:color="000000" w:sz="4" w:space="0"/>
              <w:right w:val="single" w:color="000000" w:sz="4" w:space="0"/>
            </w:tcBorders>
            <w:vAlign w:val="top"/>
          </w:tcPr>
          <w:p w14:paraId="432008CB">
            <w:pPr>
              <w:rPr>
                <w:rFonts w:ascii="Arial"/>
                <w:sz w:val="21"/>
              </w:rPr>
            </w:pPr>
          </w:p>
        </w:tc>
        <w:tc>
          <w:tcPr>
            <w:tcW w:w="764" w:type="dxa"/>
            <w:tcBorders>
              <w:left w:val="single" w:color="000000" w:sz="4" w:space="0"/>
            </w:tcBorders>
            <w:vAlign w:val="top"/>
          </w:tcPr>
          <w:p w14:paraId="6CECF25F">
            <w:pPr>
              <w:rPr>
                <w:rFonts w:ascii="Arial"/>
                <w:sz w:val="21"/>
              </w:rPr>
            </w:pPr>
          </w:p>
        </w:tc>
        <w:tc>
          <w:tcPr>
            <w:tcW w:w="740" w:type="dxa"/>
            <w:tcBorders>
              <w:right w:val="single" w:color="000000" w:sz="4" w:space="0"/>
            </w:tcBorders>
            <w:vAlign w:val="top"/>
          </w:tcPr>
          <w:p w14:paraId="5F18417F">
            <w:pPr>
              <w:rPr>
                <w:rFonts w:ascii="Arial"/>
                <w:sz w:val="21"/>
              </w:rPr>
            </w:pPr>
          </w:p>
        </w:tc>
        <w:tc>
          <w:tcPr>
            <w:tcW w:w="947" w:type="dxa"/>
            <w:tcBorders>
              <w:left w:val="single" w:color="000000" w:sz="4" w:space="0"/>
              <w:right w:val="single" w:color="000000" w:sz="4" w:space="0"/>
            </w:tcBorders>
            <w:vAlign w:val="top"/>
          </w:tcPr>
          <w:p w14:paraId="4988ECE2">
            <w:pPr>
              <w:rPr>
                <w:rFonts w:ascii="Arial"/>
                <w:sz w:val="21"/>
              </w:rPr>
            </w:pPr>
          </w:p>
        </w:tc>
      </w:tr>
      <w:tr w14:paraId="39B189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9" w:type="dxa"/>
            <w:tcBorders>
              <w:left w:val="single" w:color="000000" w:sz="4" w:space="0"/>
            </w:tcBorders>
            <w:vAlign w:val="top"/>
          </w:tcPr>
          <w:p w14:paraId="32E72246">
            <w:pPr>
              <w:rPr>
                <w:rFonts w:ascii="Arial"/>
                <w:sz w:val="21"/>
              </w:rPr>
            </w:pPr>
          </w:p>
        </w:tc>
        <w:tc>
          <w:tcPr>
            <w:tcW w:w="1046" w:type="dxa"/>
            <w:tcBorders>
              <w:right w:val="single" w:color="000000" w:sz="4" w:space="0"/>
            </w:tcBorders>
            <w:vAlign w:val="top"/>
          </w:tcPr>
          <w:p w14:paraId="33B31A24">
            <w:pPr>
              <w:rPr>
                <w:rFonts w:ascii="Arial"/>
                <w:sz w:val="21"/>
              </w:rPr>
            </w:pPr>
          </w:p>
        </w:tc>
        <w:tc>
          <w:tcPr>
            <w:tcW w:w="1025" w:type="dxa"/>
            <w:tcBorders>
              <w:left w:val="single" w:color="000000" w:sz="4" w:space="0"/>
              <w:right w:val="single" w:color="000000" w:sz="4" w:space="0"/>
            </w:tcBorders>
            <w:vAlign w:val="top"/>
          </w:tcPr>
          <w:p w14:paraId="021C464D">
            <w:pPr>
              <w:rPr>
                <w:rFonts w:ascii="Arial"/>
                <w:sz w:val="21"/>
              </w:rPr>
            </w:pPr>
          </w:p>
        </w:tc>
        <w:tc>
          <w:tcPr>
            <w:tcW w:w="1456" w:type="dxa"/>
            <w:tcBorders>
              <w:left w:val="single" w:color="000000" w:sz="4" w:space="0"/>
            </w:tcBorders>
            <w:vAlign w:val="top"/>
          </w:tcPr>
          <w:p w14:paraId="5D147686">
            <w:pPr>
              <w:rPr>
                <w:rFonts w:ascii="Arial"/>
                <w:sz w:val="21"/>
              </w:rPr>
            </w:pPr>
          </w:p>
        </w:tc>
        <w:tc>
          <w:tcPr>
            <w:tcW w:w="1018" w:type="dxa"/>
            <w:tcBorders>
              <w:right w:val="single" w:color="000000" w:sz="4" w:space="0"/>
            </w:tcBorders>
            <w:vAlign w:val="top"/>
          </w:tcPr>
          <w:p w14:paraId="7F2FEB04">
            <w:pPr>
              <w:rPr>
                <w:rFonts w:ascii="Arial"/>
                <w:sz w:val="21"/>
              </w:rPr>
            </w:pPr>
          </w:p>
        </w:tc>
        <w:tc>
          <w:tcPr>
            <w:tcW w:w="837" w:type="dxa"/>
            <w:tcBorders>
              <w:left w:val="single" w:color="000000" w:sz="4" w:space="0"/>
              <w:right w:val="single" w:color="000000" w:sz="4" w:space="0"/>
            </w:tcBorders>
            <w:vAlign w:val="top"/>
          </w:tcPr>
          <w:p w14:paraId="47478CDC">
            <w:pPr>
              <w:rPr>
                <w:rFonts w:ascii="Arial"/>
                <w:sz w:val="21"/>
              </w:rPr>
            </w:pPr>
          </w:p>
        </w:tc>
        <w:tc>
          <w:tcPr>
            <w:tcW w:w="764" w:type="dxa"/>
            <w:tcBorders>
              <w:left w:val="single" w:color="000000" w:sz="4" w:space="0"/>
            </w:tcBorders>
            <w:vAlign w:val="top"/>
          </w:tcPr>
          <w:p w14:paraId="31EFEDE4">
            <w:pPr>
              <w:rPr>
                <w:rFonts w:ascii="Arial"/>
                <w:sz w:val="21"/>
              </w:rPr>
            </w:pPr>
          </w:p>
        </w:tc>
        <w:tc>
          <w:tcPr>
            <w:tcW w:w="740" w:type="dxa"/>
            <w:tcBorders>
              <w:right w:val="single" w:color="000000" w:sz="4" w:space="0"/>
            </w:tcBorders>
            <w:vAlign w:val="top"/>
          </w:tcPr>
          <w:p w14:paraId="19DB6536">
            <w:pPr>
              <w:rPr>
                <w:rFonts w:ascii="Arial"/>
                <w:sz w:val="21"/>
              </w:rPr>
            </w:pPr>
          </w:p>
        </w:tc>
        <w:tc>
          <w:tcPr>
            <w:tcW w:w="947" w:type="dxa"/>
            <w:tcBorders>
              <w:left w:val="single" w:color="000000" w:sz="4" w:space="0"/>
              <w:right w:val="single" w:color="000000" w:sz="4" w:space="0"/>
            </w:tcBorders>
            <w:vAlign w:val="top"/>
          </w:tcPr>
          <w:p w14:paraId="4A4962F1">
            <w:pPr>
              <w:rPr>
                <w:rFonts w:ascii="Arial"/>
                <w:sz w:val="21"/>
              </w:rPr>
            </w:pPr>
          </w:p>
        </w:tc>
      </w:tr>
      <w:tr w14:paraId="15F13A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6795" w:type="dxa"/>
            <w:gridSpan w:val="7"/>
            <w:tcBorders>
              <w:left w:val="single" w:color="000000" w:sz="4" w:space="0"/>
            </w:tcBorders>
            <w:vAlign w:val="top"/>
          </w:tcPr>
          <w:p w14:paraId="4AA0D35A">
            <w:pPr>
              <w:pStyle w:val="6"/>
              <w:spacing w:before="150" w:line="227" w:lineRule="auto"/>
              <w:ind w:left="2983"/>
            </w:pPr>
            <w:r>
              <w:rPr>
                <w:spacing w:val="7"/>
              </w:rPr>
              <w:t>本页小计</w:t>
            </w:r>
          </w:p>
        </w:tc>
        <w:tc>
          <w:tcPr>
            <w:tcW w:w="740" w:type="dxa"/>
            <w:tcBorders>
              <w:right w:val="single" w:color="000000" w:sz="4" w:space="0"/>
            </w:tcBorders>
            <w:vAlign w:val="top"/>
          </w:tcPr>
          <w:p w14:paraId="2A0BD246">
            <w:pPr>
              <w:rPr>
                <w:rFonts w:ascii="Arial"/>
                <w:sz w:val="21"/>
              </w:rPr>
            </w:pPr>
          </w:p>
        </w:tc>
        <w:tc>
          <w:tcPr>
            <w:tcW w:w="947" w:type="dxa"/>
            <w:tcBorders>
              <w:left w:val="single" w:color="000000" w:sz="4" w:space="0"/>
              <w:right w:val="single" w:color="000000" w:sz="4" w:space="0"/>
            </w:tcBorders>
            <w:vAlign w:val="top"/>
          </w:tcPr>
          <w:p w14:paraId="28027B53">
            <w:pPr>
              <w:rPr>
                <w:rFonts w:ascii="Arial"/>
                <w:sz w:val="21"/>
              </w:rPr>
            </w:pPr>
          </w:p>
        </w:tc>
      </w:tr>
      <w:tr w14:paraId="377FA8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6795" w:type="dxa"/>
            <w:gridSpan w:val="7"/>
            <w:tcBorders>
              <w:left w:val="single" w:color="000000" w:sz="4" w:space="0"/>
              <w:bottom w:val="single" w:color="000000" w:sz="4" w:space="0"/>
            </w:tcBorders>
            <w:vAlign w:val="top"/>
          </w:tcPr>
          <w:p w14:paraId="3D0E74A6">
            <w:pPr>
              <w:pStyle w:val="6"/>
              <w:spacing w:before="152" w:line="229" w:lineRule="auto"/>
              <w:ind w:left="3088"/>
            </w:pPr>
            <w:r>
              <w:t>合</w:t>
            </w:r>
            <w:r>
              <w:rPr>
                <w:spacing w:val="9"/>
              </w:rPr>
              <w:t xml:space="preserve">  </w:t>
            </w:r>
            <w:r>
              <w:t>计</w:t>
            </w:r>
          </w:p>
        </w:tc>
        <w:tc>
          <w:tcPr>
            <w:tcW w:w="740" w:type="dxa"/>
            <w:tcBorders>
              <w:bottom w:val="single" w:color="000000" w:sz="4" w:space="0"/>
              <w:right w:val="single" w:color="000000" w:sz="4" w:space="0"/>
            </w:tcBorders>
            <w:vAlign w:val="top"/>
          </w:tcPr>
          <w:p w14:paraId="7780D30F">
            <w:pPr>
              <w:rPr>
                <w:rFonts w:ascii="Arial"/>
                <w:sz w:val="21"/>
              </w:rPr>
            </w:pPr>
          </w:p>
        </w:tc>
        <w:tc>
          <w:tcPr>
            <w:tcW w:w="947" w:type="dxa"/>
            <w:tcBorders>
              <w:left w:val="single" w:color="000000" w:sz="4" w:space="0"/>
              <w:bottom w:val="single" w:color="000000" w:sz="4" w:space="0"/>
              <w:right w:val="single" w:color="000000" w:sz="4" w:space="0"/>
            </w:tcBorders>
            <w:vAlign w:val="top"/>
          </w:tcPr>
          <w:p w14:paraId="1E0B8CD7">
            <w:pPr>
              <w:rPr>
                <w:rFonts w:ascii="Arial"/>
                <w:sz w:val="21"/>
              </w:rPr>
            </w:pPr>
          </w:p>
        </w:tc>
      </w:tr>
    </w:tbl>
    <w:p w14:paraId="19092221">
      <w:pPr>
        <w:spacing w:line="357" w:lineRule="auto"/>
        <w:rPr>
          <w:rFonts w:ascii="Arial"/>
          <w:sz w:val="21"/>
        </w:rPr>
      </w:pPr>
    </w:p>
    <w:p w14:paraId="37943E3D">
      <w:pPr>
        <w:spacing w:before="59" w:line="230" w:lineRule="auto"/>
        <w:ind w:left="3"/>
        <w:rPr>
          <w:rFonts w:ascii="宋体" w:hAnsi="宋体" w:eastAsia="宋体" w:cs="宋体"/>
          <w:sz w:val="18"/>
          <w:szCs w:val="18"/>
        </w:rPr>
      </w:pPr>
      <w:r>
        <w:rPr>
          <w:rFonts w:ascii="宋体" w:hAnsi="宋体" w:eastAsia="宋体" w:cs="宋体"/>
          <w:spacing w:val="10"/>
          <w:sz w:val="18"/>
          <w:szCs w:val="18"/>
        </w:rPr>
        <w:t>注：为计取规费等的使用，可在表中增设其中：“定额人工费”。</w:t>
      </w:r>
    </w:p>
    <w:p w14:paraId="13A4CF9B">
      <w:pPr>
        <w:spacing w:line="230" w:lineRule="auto"/>
        <w:rPr>
          <w:rFonts w:ascii="宋体" w:hAnsi="宋体" w:eastAsia="宋体" w:cs="宋体"/>
          <w:sz w:val="18"/>
          <w:szCs w:val="18"/>
        </w:rPr>
        <w:sectPr>
          <w:footerReference r:id="rId458" w:type="default"/>
          <w:pgSz w:w="11907" w:h="16840"/>
          <w:pgMar w:top="400" w:right="1718" w:bottom="1105" w:left="1535" w:header="0" w:footer="943" w:gutter="0"/>
          <w:cols w:space="720" w:num="1"/>
        </w:sectPr>
      </w:pPr>
    </w:p>
    <w:p w14:paraId="5031BD31">
      <w:pPr>
        <w:spacing w:line="261" w:lineRule="auto"/>
        <w:rPr>
          <w:rFonts w:ascii="Arial"/>
          <w:sz w:val="21"/>
        </w:rPr>
      </w:pPr>
    </w:p>
    <w:p w14:paraId="31D0750F">
      <w:pPr>
        <w:spacing w:line="262" w:lineRule="auto"/>
        <w:rPr>
          <w:rFonts w:ascii="Arial"/>
          <w:sz w:val="21"/>
        </w:rPr>
      </w:pPr>
    </w:p>
    <w:p w14:paraId="3F56EFBF">
      <w:pPr>
        <w:spacing w:line="262" w:lineRule="auto"/>
        <w:rPr>
          <w:rFonts w:ascii="Arial"/>
          <w:sz w:val="21"/>
        </w:rPr>
      </w:pPr>
    </w:p>
    <w:p w14:paraId="659E94DD">
      <w:pPr>
        <w:spacing w:line="262" w:lineRule="auto"/>
        <w:rPr>
          <w:rFonts w:ascii="Arial"/>
          <w:sz w:val="21"/>
        </w:rPr>
      </w:pPr>
    </w:p>
    <w:p w14:paraId="630F08B8">
      <w:pPr>
        <w:pStyle w:val="2"/>
        <w:spacing w:before="78" w:line="222" w:lineRule="auto"/>
        <w:ind w:left="70"/>
        <w:outlineLvl w:val="2"/>
        <w:rPr>
          <w:sz w:val="24"/>
          <w:szCs w:val="24"/>
        </w:rPr>
      </w:pPr>
      <w:bookmarkStart w:id="364" w:name="bookmark346"/>
      <w:bookmarkEnd w:id="364"/>
      <w:r>
        <w:rPr>
          <w:rFonts w:ascii="Times New Roman" w:hAnsi="Times New Roman" w:eastAsia="Times New Roman" w:cs="Times New Roman"/>
          <w:spacing w:val="-3"/>
          <w:sz w:val="24"/>
          <w:szCs w:val="24"/>
        </w:rPr>
        <w:t>4.</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3"/>
          <w:sz w:val="24"/>
          <w:szCs w:val="24"/>
        </w:rPr>
        <w:t xml:space="preserve">10 </w:t>
      </w:r>
      <w:r>
        <w:rPr>
          <w:spacing w:val="-3"/>
          <w:sz w:val="24"/>
          <w:szCs w:val="24"/>
        </w:rPr>
        <w:t>综合单价分析表</w:t>
      </w:r>
    </w:p>
    <w:p w14:paraId="446AA4D9">
      <w:pPr>
        <w:pStyle w:val="2"/>
        <w:spacing w:before="159" w:line="222" w:lineRule="auto"/>
        <w:ind w:left="3504"/>
        <w:rPr>
          <w:sz w:val="28"/>
          <w:szCs w:val="28"/>
        </w:rPr>
      </w:pPr>
      <w:r>
        <w:rPr>
          <w:spacing w:val="-2"/>
          <w:sz w:val="28"/>
          <w:szCs w:val="28"/>
        </w:rPr>
        <w:t>综合单价分析表</w:t>
      </w:r>
    </w:p>
    <w:p w14:paraId="3994D921">
      <w:pPr>
        <w:spacing w:before="134" w:line="228" w:lineRule="auto"/>
        <w:ind w:left="77"/>
        <w:rPr>
          <w:rFonts w:ascii="宋体" w:hAnsi="宋体" w:eastAsia="宋体" w:cs="宋体"/>
          <w:sz w:val="20"/>
          <w:szCs w:val="20"/>
        </w:rPr>
      </w:pPr>
      <w:r>
        <w:rPr>
          <w:rFonts w:ascii="宋体" w:hAnsi="宋体" w:eastAsia="宋体" w:cs="宋体"/>
          <w:spacing w:val="3"/>
          <w:sz w:val="20"/>
          <w:szCs w:val="20"/>
        </w:rPr>
        <w:t>工程名称</w:t>
      </w:r>
      <w:r>
        <w:rPr>
          <w:rFonts w:ascii="Times New Roman" w:hAnsi="Times New Roman" w:eastAsia="Times New Roman" w:cs="Times New Roman"/>
          <w:spacing w:val="3"/>
          <w:sz w:val="20"/>
          <w:szCs w:val="20"/>
        </w:rPr>
        <w:t xml:space="preserve">:                         </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标段名称：</w:t>
      </w:r>
      <w:r>
        <w:rPr>
          <w:rFonts w:ascii="宋体" w:hAnsi="宋体" w:eastAsia="宋体" w:cs="宋体"/>
          <w:spacing w:val="1"/>
          <w:sz w:val="20"/>
          <w:szCs w:val="20"/>
        </w:rPr>
        <w:t xml:space="preserve">                     </w:t>
      </w:r>
      <w:r>
        <w:rPr>
          <w:rFonts w:ascii="宋体" w:hAnsi="宋体" w:eastAsia="宋体" w:cs="宋体"/>
          <w:spacing w:val="2"/>
          <w:sz w:val="20"/>
          <w:szCs w:val="20"/>
        </w:rPr>
        <w:t>第  页</w:t>
      </w:r>
      <w:r>
        <w:rPr>
          <w:rFonts w:ascii="宋体" w:hAnsi="宋体" w:eastAsia="宋体" w:cs="宋体"/>
          <w:spacing w:val="9"/>
          <w:sz w:val="20"/>
          <w:szCs w:val="20"/>
        </w:rPr>
        <w:t xml:space="preserve">  </w:t>
      </w:r>
      <w:r>
        <w:rPr>
          <w:rFonts w:ascii="宋体" w:hAnsi="宋体" w:eastAsia="宋体" w:cs="宋体"/>
          <w:spacing w:val="2"/>
          <w:sz w:val="20"/>
          <w:szCs w:val="20"/>
        </w:rPr>
        <w:t>共</w:t>
      </w:r>
      <w:r>
        <w:rPr>
          <w:rFonts w:ascii="宋体" w:hAnsi="宋体" w:eastAsia="宋体" w:cs="宋体"/>
          <w:spacing w:val="12"/>
          <w:sz w:val="20"/>
          <w:szCs w:val="20"/>
        </w:rPr>
        <w:t xml:space="preserve">  </w:t>
      </w:r>
      <w:r>
        <w:rPr>
          <w:rFonts w:ascii="宋体" w:hAnsi="宋体" w:eastAsia="宋体" w:cs="宋体"/>
          <w:spacing w:val="2"/>
          <w:sz w:val="20"/>
          <w:szCs w:val="20"/>
        </w:rPr>
        <w:t>页</w:t>
      </w:r>
    </w:p>
    <w:p w14:paraId="551A626F">
      <w:pPr>
        <w:spacing w:line="114" w:lineRule="exact"/>
      </w:pPr>
    </w:p>
    <w:tbl>
      <w:tblPr>
        <w:tblStyle w:val="5"/>
        <w:tblW w:w="8944"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5"/>
        <w:gridCol w:w="521"/>
        <w:gridCol w:w="160"/>
        <w:gridCol w:w="682"/>
        <w:gridCol w:w="250"/>
        <w:gridCol w:w="176"/>
        <w:gridCol w:w="426"/>
        <w:gridCol w:w="514"/>
        <w:gridCol w:w="521"/>
        <w:gridCol w:w="632"/>
        <w:gridCol w:w="942"/>
        <w:gridCol w:w="89"/>
        <w:gridCol w:w="914"/>
        <w:gridCol w:w="347"/>
        <w:gridCol w:w="943"/>
        <w:gridCol w:w="1122"/>
      </w:tblGrid>
      <w:tr w14:paraId="5F90DF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 w:hRule="atLeast"/>
        </w:trPr>
        <w:tc>
          <w:tcPr>
            <w:tcW w:w="1226" w:type="dxa"/>
            <w:gridSpan w:val="2"/>
            <w:tcBorders>
              <w:top w:val="single" w:color="000000" w:sz="4" w:space="0"/>
              <w:left w:val="single" w:color="000000" w:sz="4" w:space="0"/>
              <w:right w:val="single" w:color="000000" w:sz="4" w:space="0"/>
            </w:tcBorders>
            <w:vAlign w:val="top"/>
          </w:tcPr>
          <w:p w14:paraId="24D3E486">
            <w:pPr>
              <w:pStyle w:val="6"/>
              <w:spacing w:before="165" w:line="228" w:lineRule="auto"/>
              <w:ind w:left="218"/>
              <w:rPr>
                <w:sz w:val="19"/>
                <w:szCs w:val="19"/>
              </w:rPr>
            </w:pPr>
            <w:r>
              <w:rPr>
                <w:spacing w:val="7"/>
                <w:sz w:val="19"/>
                <w:szCs w:val="19"/>
              </w:rPr>
              <w:t>项目编码</w:t>
            </w:r>
          </w:p>
        </w:tc>
        <w:tc>
          <w:tcPr>
            <w:tcW w:w="1092" w:type="dxa"/>
            <w:gridSpan w:val="3"/>
            <w:tcBorders>
              <w:top w:val="single" w:color="000000" w:sz="4" w:space="0"/>
              <w:left w:val="single" w:color="000000" w:sz="4" w:space="0"/>
              <w:right w:val="single" w:color="000000" w:sz="4" w:space="0"/>
            </w:tcBorders>
            <w:vAlign w:val="top"/>
          </w:tcPr>
          <w:p w14:paraId="5DC4839C">
            <w:pPr>
              <w:rPr>
                <w:rFonts w:ascii="Arial"/>
                <w:sz w:val="21"/>
              </w:rPr>
            </w:pPr>
          </w:p>
        </w:tc>
        <w:tc>
          <w:tcPr>
            <w:tcW w:w="1116" w:type="dxa"/>
            <w:gridSpan w:val="3"/>
            <w:tcBorders>
              <w:top w:val="single" w:color="000000" w:sz="4" w:space="0"/>
              <w:left w:val="single" w:color="000000" w:sz="4" w:space="0"/>
            </w:tcBorders>
            <w:vAlign w:val="top"/>
          </w:tcPr>
          <w:p w14:paraId="7EF11ABE">
            <w:pPr>
              <w:pStyle w:val="6"/>
              <w:spacing w:before="165" w:line="229" w:lineRule="auto"/>
              <w:ind w:left="122"/>
              <w:rPr>
                <w:sz w:val="19"/>
                <w:szCs w:val="19"/>
              </w:rPr>
            </w:pPr>
            <w:r>
              <w:rPr>
                <w:spacing w:val="7"/>
                <w:sz w:val="19"/>
                <w:szCs w:val="19"/>
              </w:rPr>
              <w:t>项目名称</w:t>
            </w:r>
          </w:p>
        </w:tc>
        <w:tc>
          <w:tcPr>
            <w:tcW w:w="1153" w:type="dxa"/>
            <w:gridSpan w:val="2"/>
            <w:tcBorders>
              <w:top w:val="single" w:color="000000" w:sz="4" w:space="0"/>
              <w:right w:val="single" w:color="000000" w:sz="4" w:space="0"/>
            </w:tcBorders>
            <w:vAlign w:val="top"/>
          </w:tcPr>
          <w:p w14:paraId="66C263B4">
            <w:pPr>
              <w:rPr>
                <w:rFonts w:ascii="Arial"/>
                <w:sz w:val="21"/>
              </w:rPr>
            </w:pPr>
          </w:p>
        </w:tc>
        <w:tc>
          <w:tcPr>
            <w:tcW w:w="1031" w:type="dxa"/>
            <w:gridSpan w:val="2"/>
            <w:tcBorders>
              <w:top w:val="single" w:color="000000" w:sz="4" w:space="0"/>
              <w:left w:val="single" w:color="000000" w:sz="4" w:space="0"/>
              <w:right w:val="single" w:color="000000" w:sz="4" w:space="0"/>
            </w:tcBorders>
            <w:vAlign w:val="top"/>
          </w:tcPr>
          <w:p w14:paraId="17FCAAF4">
            <w:pPr>
              <w:pStyle w:val="6"/>
              <w:spacing w:before="35" w:line="230" w:lineRule="auto"/>
              <w:ind w:left="320"/>
              <w:rPr>
                <w:sz w:val="19"/>
                <w:szCs w:val="19"/>
              </w:rPr>
            </w:pPr>
            <w:r>
              <w:rPr>
                <w:spacing w:val="5"/>
                <w:sz w:val="19"/>
                <w:szCs w:val="19"/>
              </w:rPr>
              <w:t>计量</w:t>
            </w:r>
          </w:p>
          <w:p w14:paraId="54E9C33B">
            <w:pPr>
              <w:pStyle w:val="6"/>
              <w:spacing w:before="22" w:line="217" w:lineRule="auto"/>
              <w:ind w:left="321"/>
              <w:rPr>
                <w:sz w:val="19"/>
                <w:szCs w:val="19"/>
              </w:rPr>
            </w:pPr>
            <w:r>
              <w:rPr>
                <w:spacing w:val="4"/>
                <w:sz w:val="19"/>
                <w:szCs w:val="19"/>
              </w:rPr>
              <w:t>单位</w:t>
            </w:r>
          </w:p>
        </w:tc>
        <w:tc>
          <w:tcPr>
            <w:tcW w:w="914" w:type="dxa"/>
            <w:tcBorders>
              <w:top w:val="single" w:color="000000" w:sz="4" w:space="0"/>
              <w:left w:val="single" w:color="000000" w:sz="4" w:space="0"/>
              <w:right w:val="single" w:color="000000" w:sz="4" w:space="0"/>
            </w:tcBorders>
            <w:vAlign w:val="top"/>
          </w:tcPr>
          <w:p w14:paraId="64D20705">
            <w:pPr>
              <w:rPr>
                <w:rFonts w:ascii="Arial"/>
                <w:sz w:val="21"/>
              </w:rPr>
            </w:pPr>
          </w:p>
        </w:tc>
        <w:tc>
          <w:tcPr>
            <w:tcW w:w="1290" w:type="dxa"/>
            <w:gridSpan w:val="2"/>
            <w:tcBorders>
              <w:top w:val="single" w:color="000000" w:sz="4" w:space="0"/>
              <w:left w:val="single" w:color="000000" w:sz="4" w:space="0"/>
              <w:right w:val="single" w:color="000000" w:sz="4" w:space="0"/>
            </w:tcBorders>
            <w:vAlign w:val="top"/>
          </w:tcPr>
          <w:p w14:paraId="6B6D8B19">
            <w:pPr>
              <w:pStyle w:val="6"/>
              <w:spacing w:before="165" w:line="229" w:lineRule="auto"/>
              <w:ind w:left="309"/>
              <w:rPr>
                <w:sz w:val="19"/>
                <w:szCs w:val="19"/>
              </w:rPr>
            </w:pPr>
            <w:r>
              <w:rPr>
                <w:spacing w:val="6"/>
                <w:sz w:val="19"/>
                <w:szCs w:val="19"/>
              </w:rPr>
              <w:t>工程量</w:t>
            </w:r>
          </w:p>
        </w:tc>
        <w:tc>
          <w:tcPr>
            <w:tcW w:w="1122" w:type="dxa"/>
            <w:tcBorders>
              <w:top w:val="single" w:color="000000" w:sz="4" w:space="0"/>
              <w:left w:val="single" w:color="000000" w:sz="4" w:space="0"/>
              <w:right w:val="single" w:color="000000" w:sz="4" w:space="0"/>
            </w:tcBorders>
            <w:vAlign w:val="top"/>
          </w:tcPr>
          <w:p w14:paraId="5F607BB2">
            <w:pPr>
              <w:rPr>
                <w:rFonts w:ascii="Arial"/>
                <w:sz w:val="21"/>
              </w:rPr>
            </w:pPr>
          </w:p>
        </w:tc>
      </w:tr>
      <w:tr w14:paraId="2046E9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8944" w:type="dxa"/>
            <w:gridSpan w:val="16"/>
            <w:tcBorders>
              <w:left w:val="single" w:color="000000" w:sz="4" w:space="0"/>
              <w:right w:val="single" w:color="000000" w:sz="4" w:space="0"/>
            </w:tcBorders>
            <w:vAlign w:val="top"/>
          </w:tcPr>
          <w:p w14:paraId="19AB1304">
            <w:pPr>
              <w:pStyle w:val="6"/>
              <w:spacing w:before="173" w:line="226" w:lineRule="auto"/>
              <w:ind w:left="3424"/>
            </w:pPr>
            <w:r>
              <w:rPr>
                <w:spacing w:val="8"/>
              </w:rPr>
              <w:t>清单综合单价组成明细</w:t>
            </w:r>
          </w:p>
        </w:tc>
      </w:tr>
      <w:tr w14:paraId="5CD351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05" w:type="dxa"/>
            <w:vMerge w:val="restart"/>
            <w:tcBorders>
              <w:left w:val="single" w:color="000000" w:sz="4" w:space="0"/>
              <w:bottom w:val="nil"/>
            </w:tcBorders>
            <w:vAlign w:val="top"/>
          </w:tcPr>
          <w:p w14:paraId="4E7CB90D">
            <w:pPr>
              <w:spacing w:line="263" w:lineRule="auto"/>
              <w:rPr>
                <w:rFonts w:ascii="Arial"/>
                <w:sz w:val="21"/>
              </w:rPr>
            </w:pPr>
          </w:p>
          <w:p w14:paraId="4FEA9B85">
            <w:pPr>
              <w:spacing w:line="263" w:lineRule="auto"/>
              <w:rPr>
                <w:rFonts w:ascii="Arial"/>
                <w:sz w:val="21"/>
              </w:rPr>
            </w:pPr>
          </w:p>
          <w:p w14:paraId="50F2B05C">
            <w:pPr>
              <w:spacing w:line="264" w:lineRule="auto"/>
              <w:rPr>
                <w:rFonts w:ascii="Arial"/>
                <w:sz w:val="21"/>
              </w:rPr>
            </w:pPr>
          </w:p>
          <w:p w14:paraId="30C953F7">
            <w:pPr>
              <w:pStyle w:val="6"/>
              <w:spacing w:before="65" w:line="254" w:lineRule="auto"/>
              <w:ind w:left="145" w:right="144" w:firstLine="3"/>
            </w:pPr>
            <w:r>
              <w:rPr>
                <w:spacing w:val="2"/>
              </w:rPr>
              <w:t>定额</w:t>
            </w:r>
            <w:r>
              <w:rPr>
                <w:spacing w:val="3"/>
              </w:rPr>
              <w:t>编号</w:t>
            </w:r>
          </w:p>
        </w:tc>
        <w:tc>
          <w:tcPr>
            <w:tcW w:w="681" w:type="dxa"/>
            <w:gridSpan w:val="2"/>
            <w:vMerge w:val="restart"/>
            <w:tcBorders>
              <w:bottom w:val="nil"/>
              <w:right w:val="single" w:color="000000" w:sz="4" w:space="0"/>
            </w:tcBorders>
            <w:vAlign w:val="top"/>
          </w:tcPr>
          <w:p w14:paraId="3C1E754A">
            <w:pPr>
              <w:spacing w:line="327" w:lineRule="auto"/>
              <w:rPr>
                <w:rFonts w:ascii="Arial"/>
                <w:sz w:val="21"/>
              </w:rPr>
            </w:pPr>
          </w:p>
          <w:p w14:paraId="3831BE6D">
            <w:pPr>
              <w:spacing w:line="327" w:lineRule="auto"/>
              <w:rPr>
                <w:rFonts w:ascii="Arial"/>
                <w:sz w:val="21"/>
              </w:rPr>
            </w:pPr>
          </w:p>
          <w:p w14:paraId="129D94E0">
            <w:pPr>
              <w:pStyle w:val="6"/>
              <w:spacing w:before="65" w:line="253" w:lineRule="auto"/>
              <w:ind w:left="134" w:right="131" w:firstLine="2"/>
              <w:jc w:val="both"/>
            </w:pPr>
            <w:r>
              <w:rPr>
                <w:spacing w:val="2"/>
              </w:rPr>
              <w:t>定额</w:t>
            </w:r>
            <w:r>
              <w:rPr>
                <w:spacing w:val="3"/>
              </w:rPr>
              <w:t>项目名称</w:t>
            </w:r>
          </w:p>
        </w:tc>
        <w:tc>
          <w:tcPr>
            <w:tcW w:w="682" w:type="dxa"/>
            <w:vMerge w:val="restart"/>
            <w:tcBorders>
              <w:left w:val="single" w:color="000000" w:sz="4" w:space="0"/>
              <w:bottom w:val="nil"/>
              <w:right w:val="single" w:color="000000" w:sz="4" w:space="0"/>
            </w:tcBorders>
            <w:vAlign w:val="top"/>
          </w:tcPr>
          <w:p w14:paraId="51110D1E">
            <w:pPr>
              <w:spacing w:line="263" w:lineRule="auto"/>
              <w:rPr>
                <w:rFonts w:ascii="Arial"/>
                <w:sz w:val="21"/>
              </w:rPr>
            </w:pPr>
          </w:p>
          <w:p w14:paraId="27429AB4">
            <w:pPr>
              <w:spacing w:line="264" w:lineRule="auto"/>
              <w:rPr>
                <w:rFonts w:ascii="Arial"/>
                <w:sz w:val="21"/>
              </w:rPr>
            </w:pPr>
          </w:p>
          <w:p w14:paraId="2ACFDD0D">
            <w:pPr>
              <w:spacing w:line="264" w:lineRule="auto"/>
              <w:rPr>
                <w:rFonts w:ascii="Arial"/>
                <w:sz w:val="21"/>
              </w:rPr>
            </w:pPr>
          </w:p>
          <w:p w14:paraId="1ECBFF1F">
            <w:pPr>
              <w:pStyle w:val="6"/>
              <w:spacing w:before="65" w:line="254" w:lineRule="auto"/>
              <w:ind w:left="132" w:right="131" w:firstLine="3"/>
            </w:pPr>
            <w:r>
              <w:rPr>
                <w:spacing w:val="2"/>
              </w:rPr>
              <w:t>定额</w:t>
            </w:r>
            <w:r>
              <w:rPr>
                <w:spacing w:val="3"/>
              </w:rPr>
              <w:t>单位</w:t>
            </w:r>
          </w:p>
        </w:tc>
        <w:tc>
          <w:tcPr>
            <w:tcW w:w="426" w:type="dxa"/>
            <w:gridSpan w:val="2"/>
            <w:vMerge w:val="restart"/>
            <w:tcBorders>
              <w:left w:val="single" w:color="000000" w:sz="4" w:space="0"/>
              <w:bottom w:val="nil"/>
              <w:right w:val="single" w:color="000000" w:sz="4" w:space="0"/>
            </w:tcBorders>
            <w:textDirection w:val="tbRlV"/>
            <w:vAlign w:val="top"/>
          </w:tcPr>
          <w:p w14:paraId="571A501F">
            <w:pPr>
              <w:pStyle w:val="6"/>
              <w:spacing w:before="106" w:line="216" w:lineRule="auto"/>
              <w:ind w:left="860"/>
            </w:pPr>
            <w:r>
              <w:rPr>
                <w:spacing w:val="8"/>
              </w:rPr>
              <w:t>数</w:t>
            </w:r>
            <w:r>
              <w:rPr>
                <w:spacing w:val="-35"/>
              </w:rPr>
              <w:t xml:space="preserve"> </w:t>
            </w:r>
            <w:r>
              <w:rPr>
                <w:spacing w:val="8"/>
              </w:rPr>
              <w:t>量</w:t>
            </w:r>
          </w:p>
        </w:tc>
        <w:tc>
          <w:tcPr>
            <w:tcW w:w="2093" w:type="dxa"/>
            <w:gridSpan w:val="4"/>
            <w:tcBorders>
              <w:left w:val="single" w:color="000000" w:sz="4" w:space="0"/>
              <w:right w:val="single" w:color="000000" w:sz="4" w:space="0"/>
            </w:tcBorders>
            <w:vAlign w:val="top"/>
          </w:tcPr>
          <w:p w14:paraId="63FB35B8">
            <w:pPr>
              <w:pStyle w:val="6"/>
              <w:spacing w:before="176" w:line="226" w:lineRule="auto"/>
              <w:ind w:left="841"/>
            </w:pPr>
            <w:r>
              <w:rPr>
                <w:spacing w:val="3"/>
              </w:rPr>
              <w:t>单价</w:t>
            </w:r>
          </w:p>
        </w:tc>
        <w:tc>
          <w:tcPr>
            <w:tcW w:w="4357" w:type="dxa"/>
            <w:gridSpan w:val="6"/>
            <w:tcBorders>
              <w:left w:val="single" w:color="000000" w:sz="4" w:space="0"/>
              <w:right w:val="single" w:color="000000" w:sz="4" w:space="0"/>
            </w:tcBorders>
            <w:vAlign w:val="top"/>
          </w:tcPr>
          <w:p w14:paraId="46277177">
            <w:pPr>
              <w:pStyle w:val="6"/>
              <w:spacing w:before="176" w:line="226" w:lineRule="auto"/>
              <w:ind w:left="1972"/>
            </w:pPr>
            <w:r>
              <w:rPr>
                <w:spacing w:val="4"/>
              </w:rPr>
              <w:t>合价</w:t>
            </w:r>
          </w:p>
        </w:tc>
      </w:tr>
      <w:tr w14:paraId="30B8B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05" w:type="dxa"/>
            <w:vMerge w:val="continue"/>
            <w:tcBorders>
              <w:top w:val="nil"/>
              <w:left w:val="single" w:color="000000" w:sz="4" w:space="0"/>
            </w:tcBorders>
            <w:vAlign w:val="top"/>
          </w:tcPr>
          <w:p w14:paraId="565900F8">
            <w:pPr>
              <w:rPr>
                <w:rFonts w:ascii="Arial"/>
                <w:sz w:val="21"/>
              </w:rPr>
            </w:pPr>
          </w:p>
        </w:tc>
        <w:tc>
          <w:tcPr>
            <w:tcW w:w="681" w:type="dxa"/>
            <w:gridSpan w:val="2"/>
            <w:vMerge w:val="continue"/>
            <w:tcBorders>
              <w:top w:val="nil"/>
              <w:right w:val="single" w:color="000000" w:sz="4" w:space="0"/>
            </w:tcBorders>
            <w:vAlign w:val="top"/>
          </w:tcPr>
          <w:p w14:paraId="1566B647">
            <w:pPr>
              <w:rPr>
                <w:rFonts w:ascii="Arial"/>
                <w:sz w:val="21"/>
              </w:rPr>
            </w:pPr>
          </w:p>
        </w:tc>
        <w:tc>
          <w:tcPr>
            <w:tcW w:w="682" w:type="dxa"/>
            <w:vMerge w:val="continue"/>
            <w:tcBorders>
              <w:top w:val="nil"/>
              <w:left w:val="single" w:color="000000" w:sz="4" w:space="0"/>
              <w:right w:val="single" w:color="000000" w:sz="4" w:space="0"/>
            </w:tcBorders>
            <w:vAlign w:val="top"/>
          </w:tcPr>
          <w:p w14:paraId="3AF38176">
            <w:pPr>
              <w:rPr>
                <w:rFonts w:ascii="Arial"/>
                <w:sz w:val="21"/>
              </w:rPr>
            </w:pPr>
          </w:p>
        </w:tc>
        <w:tc>
          <w:tcPr>
            <w:tcW w:w="426" w:type="dxa"/>
            <w:gridSpan w:val="2"/>
            <w:vMerge w:val="continue"/>
            <w:tcBorders>
              <w:top w:val="nil"/>
              <w:left w:val="single" w:color="000000" w:sz="4" w:space="0"/>
              <w:right w:val="single" w:color="000000" w:sz="4" w:space="0"/>
            </w:tcBorders>
            <w:textDirection w:val="tbRlV"/>
            <w:vAlign w:val="top"/>
          </w:tcPr>
          <w:p w14:paraId="7B68BABA">
            <w:pPr>
              <w:rPr>
                <w:rFonts w:ascii="Arial"/>
                <w:sz w:val="21"/>
              </w:rPr>
            </w:pPr>
          </w:p>
        </w:tc>
        <w:tc>
          <w:tcPr>
            <w:tcW w:w="426" w:type="dxa"/>
            <w:tcBorders>
              <w:left w:val="single" w:color="000000" w:sz="4" w:space="0"/>
              <w:right w:val="single" w:color="000000" w:sz="4" w:space="0"/>
            </w:tcBorders>
            <w:textDirection w:val="tbRlV"/>
            <w:vAlign w:val="top"/>
          </w:tcPr>
          <w:p w14:paraId="025F5972">
            <w:pPr>
              <w:pStyle w:val="6"/>
              <w:spacing w:before="105" w:line="215" w:lineRule="auto"/>
              <w:ind w:left="442"/>
            </w:pPr>
            <w:r>
              <w:rPr>
                <w:spacing w:val="8"/>
              </w:rPr>
              <w:t>人</w:t>
            </w:r>
            <w:r>
              <w:rPr>
                <w:spacing w:val="-37"/>
              </w:rPr>
              <w:t xml:space="preserve"> </w:t>
            </w:r>
            <w:r>
              <w:rPr>
                <w:spacing w:val="8"/>
              </w:rPr>
              <w:t>工</w:t>
            </w:r>
            <w:r>
              <w:rPr>
                <w:spacing w:val="-37"/>
              </w:rPr>
              <w:t xml:space="preserve"> </w:t>
            </w:r>
            <w:r>
              <w:rPr>
                <w:spacing w:val="8"/>
              </w:rPr>
              <w:t>费</w:t>
            </w:r>
          </w:p>
        </w:tc>
        <w:tc>
          <w:tcPr>
            <w:tcW w:w="514" w:type="dxa"/>
            <w:tcBorders>
              <w:left w:val="single" w:color="000000" w:sz="4" w:space="0"/>
            </w:tcBorders>
            <w:textDirection w:val="tbRlV"/>
            <w:vAlign w:val="top"/>
          </w:tcPr>
          <w:p w14:paraId="3044B38D">
            <w:pPr>
              <w:pStyle w:val="6"/>
              <w:spacing w:before="148" w:line="215" w:lineRule="auto"/>
              <w:ind w:left="442"/>
            </w:pPr>
            <w:r>
              <w:rPr>
                <w:spacing w:val="8"/>
              </w:rPr>
              <w:t>材</w:t>
            </w:r>
            <w:r>
              <w:rPr>
                <w:spacing w:val="-37"/>
              </w:rPr>
              <w:t xml:space="preserve"> </w:t>
            </w:r>
            <w:r>
              <w:rPr>
                <w:spacing w:val="8"/>
              </w:rPr>
              <w:t>料</w:t>
            </w:r>
            <w:r>
              <w:rPr>
                <w:spacing w:val="-37"/>
              </w:rPr>
              <w:t xml:space="preserve"> </w:t>
            </w:r>
            <w:r>
              <w:rPr>
                <w:spacing w:val="8"/>
              </w:rPr>
              <w:t>费</w:t>
            </w:r>
          </w:p>
        </w:tc>
        <w:tc>
          <w:tcPr>
            <w:tcW w:w="521" w:type="dxa"/>
            <w:tcBorders>
              <w:right w:val="single" w:color="000000" w:sz="4" w:space="0"/>
            </w:tcBorders>
            <w:textDirection w:val="tbRlV"/>
            <w:vAlign w:val="top"/>
          </w:tcPr>
          <w:p w14:paraId="74EEA8A6">
            <w:pPr>
              <w:pStyle w:val="6"/>
              <w:spacing w:before="143" w:line="216" w:lineRule="auto"/>
              <w:ind w:left="442"/>
            </w:pPr>
            <w:r>
              <w:rPr>
                <w:spacing w:val="8"/>
              </w:rPr>
              <w:t>机</w:t>
            </w:r>
            <w:r>
              <w:rPr>
                <w:spacing w:val="-37"/>
              </w:rPr>
              <w:t xml:space="preserve"> </w:t>
            </w:r>
            <w:r>
              <w:rPr>
                <w:spacing w:val="8"/>
              </w:rPr>
              <w:t>械</w:t>
            </w:r>
            <w:r>
              <w:rPr>
                <w:spacing w:val="-37"/>
              </w:rPr>
              <w:t xml:space="preserve"> </w:t>
            </w:r>
            <w:r>
              <w:rPr>
                <w:spacing w:val="8"/>
              </w:rPr>
              <w:t>费</w:t>
            </w:r>
          </w:p>
        </w:tc>
        <w:tc>
          <w:tcPr>
            <w:tcW w:w="632" w:type="dxa"/>
            <w:tcBorders>
              <w:left w:val="single" w:color="000000" w:sz="4" w:space="0"/>
              <w:right w:val="single" w:color="000000" w:sz="4" w:space="0"/>
            </w:tcBorders>
            <w:textDirection w:val="tbRlV"/>
            <w:vAlign w:val="top"/>
          </w:tcPr>
          <w:p w14:paraId="377997FB">
            <w:pPr>
              <w:pStyle w:val="6"/>
              <w:spacing w:before="202" w:line="215" w:lineRule="auto"/>
              <w:ind w:left="34"/>
            </w:pPr>
            <w:r>
              <w:rPr>
                <w:spacing w:val="8"/>
              </w:rPr>
              <w:t>管</w:t>
            </w:r>
            <w:r>
              <w:rPr>
                <w:spacing w:val="-34"/>
              </w:rPr>
              <w:t xml:space="preserve"> </w:t>
            </w:r>
            <w:r>
              <w:rPr>
                <w:spacing w:val="8"/>
              </w:rPr>
              <w:t>理</w:t>
            </w:r>
            <w:r>
              <w:rPr>
                <w:spacing w:val="-38"/>
              </w:rPr>
              <w:t xml:space="preserve"> </w:t>
            </w:r>
            <w:r>
              <w:rPr>
                <w:spacing w:val="8"/>
              </w:rPr>
              <w:t>费</w:t>
            </w:r>
            <w:r>
              <w:rPr>
                <w:spacing w:val="-35"/>
              </w:rPr>
              <w:t xml:space="preserve"> </w:t>
            </w:r>
            <w:r>
              <w:rPr>
                <w:spacing w:val="8"/>
              </w:rPr>
              <w:t>和</w:t>
            </w:r>
            <w:r>
              <w:rPr>
                <w:spacing w:val="-38"/>
              </w:rPr>
              <w:t xml:space="preserve"> </w:t>
            </w:r>
            <w:r>
              <w:rPr>
                <w:spacing w:val="8"/>
              </w:rPr>
              <w:t>利</w:t>
            </w:r>
            <w:r>
              <w:rPr>
                <w:spacing w:val="-35"/>
              </w:rPr>
              <w:t xml:space="preserve"> </w:t>
            </w:r>
            <w:r>
              <w:rPr>
                <w:spacing w:val="8"/>
              </w:rPr>
              <w:t>润</w:t>
            </w:r>
          </w:p>
        </w:tc>
        <w:tc>
          <w:tcPr>
            <w:tcW w:w="942" w:type="dxa"/>
            <w:tcBorders>
              <w:left w:val="single" w:color="000000" w:sz="4" w:space="0"/>
              <w:right w:val="single" w:color="000000" w:sz="4" w:space="0"/>
            </w:tcBorders>
            <w:vAlign w:val="top"/>
          </w:tcPr>
          <w:p w14:paraId="43FFFEE7">
            <w:pPr>
              <w:spacing w:line="322" w:lineRule="auto"/>
              <w:rPr>
                <w:rFonts w:ascii="Arial"/>
                <w:sz w:val="21"/>
              </w:rPr>
            </w:pPr>
          </w:p>
          <w:p w14:paraId="32178F5D">
            <w:pPr>
              <w:spacing w:line="322" w:lineRule="auto"/>
              <w:rPr>
                <w:rFonts w:ascii="Arial"/>
                <w:sz w:val="21"/>
              </w:rPr>
            </w:pPr>
          </w:p>
          <w:p w14:paraId="28C50E86">
            <w:pPr>
              <w:pStyle w:val="6"/>
              <w:spacing w:before="65" w:line="228" w:lineRule="auto"/>
              <w:ind w:left="161"/>
            </w:pPr>
            <w:r>
              <w:rPr>
                <w:spacing w:val="6"/>
              </w:rPr>
              <w:t>人工费</w:t>
            </w:r>
          </w:p>
        </w:tc>
        <w:tc>
          <w:tcPr>
            <w:tcW w:w="1350" w:type="dxa"/>
            <w:gridSpan w:val="3"/>
            <w:tcBorders>
              <w:left w:val="single" w:color="000000" w:sz="4" w:space="0"/>
              <w:right w:val="single" w:color="000000" w:sz="4" w:space="0"/>
            </w:tcBorders>
            <w:vAlign w:val="top"/>
          </w:tcPr>
          <w:p w14:paraId="1F8DC57D">
            <w:pPr>
              <w:spacing w:line="322" w:lineRule="auto"/>
              <w:rPr>
                <w:rFonts w:ascii="Arial"/>
                <w:sz w:val="21"/>
              </w:rPr>
            </w:pPr>
          </w:p>
          <w:p w14:paraId="0CEF6FA1">
            <w:pPr>
              <w:spacing w:line="322" w:lineRule="auto"/>
              <w:rPr>
                <w:rFonts w:ascii="Arial"/>
                <w:sz w:val="21"/>
              </w:rPr>
            </w:pPr>
          </w:p>
          <w:p w14:paraId="3FB80823">
            <w:pPr>
              <w:pStyle w:val="6"/>
              <w:spacing w:before="65" w:line="227" w:lineRule="auto"/>
              <w:ind w:left="365"/>
            </w:pPr>
            <w:r>
              <w:rPr>
                <w:spacing w:val="6"/>
              </w:rPr>
              <w:t>材料费</w:t>
            </w:r>
          </w:p>
        </w:tc>
        <w:tc>
          <w:tcPr>
            <w:tcW w:w="943" w:type="dxa"/>
            <w:tcBorders>
              <w:left w:val="single" w:color="000000" w:sz="4" w:space="0"/>
              <w:right w:val="single" w:color="000000" w:sz="4" w:space="0"/>
            </w:tcBorders>
            <w:vAlign w:val="top"/>
          </w:tcPr>
          <w:p w14:paraId="51079412">
            <w:pPr>
              <w:spacing w:line="322" w:lineRule="auto"/>
              <w:rPr>
                <w:rFonts w:ascii="Arial"/>
                <w:sz w:val="21"/>
              </w:rPr>
            </w:pPr>
          </w:p>
          <w:p w14:paraId="311C42AE">
            <w:pPr>
              <w:spacing w:line="322" w:lineRule="auto"/>
              <w:rPr>
                <w:rFonts w:ascii="Arial"/>
                <w:sz w:val="21"/>
              </w:rPr>
            </w:pPr>
          </w:p>
          <w:p w14:paraId="7CB1CDB0">
            <w:pPr>
              <w:pStyle w:val="6"/>
              <w:spacing w:before="65" w:line="227" w:lineRule="auto"/>
              <w:ind w:left="163"/>
            </w:pPr>
            <w:r>
              <w:rPr>
                <w:spacing w:val="7"/>
              </w:rPr>
              <w:t>机械费</w:t>
            </w:r>
          </w:p>
        </w:tc>
        <w:tc>
          <w:tcPr>
            <w:tcW w:w="1122" w:type="dxa"/>
            <w:tcBorders>
              <w:left w:val="single" w:color="000000" w:sz="4" w:space="0"/>
              <w:right w:val="single" w:color="000000" w:sz="4" w:space="0"/>
            </w:tcBorders>
            <w:vAlign w:val="top"/>
          </w:tcPr>
          <w:p w14:paraId="60462218">
            <w:pPr>
              <w:spacing w:line="373" w:lineRule="auto"/>
              <w:rPr>
                <w:rFonts w:ascii="Arial"/>
                <w:sz w:val="21"/>
              </w:rPr>
            </w:pPr>
          </w:p>
          <w:p w14:paraId="1AD6CFF7">
            <w:pPr>
              <w:pStyle w:val="6"/>
              <w:spacing w:before="65" w:line="252" w:lineRule="auto"/>
              <w:ind w:left="357" w:right="345" w:firstLine="4"/>
              <w:jc w:val="both"/>
            </w:pPr>
            <w:r>
              <w:rPr>
                <w:spacing w:val="2"/>
              </w:rPr>
              <w:t>管理</w:t>
            </w:r>
            <w:r>
              <w:rPr>
                <w:spacing w:val="4"/>
              </w:rPr>
              <w:t>费和利润</w:t>
            </w:r>
          </w:p>
        </w:tc>
      </w:tr>
      <w:tr w14:paraId="09744E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705" w:type="dxa"/>
            <w:tcBorders>
              <w:left w:val="single" w:color="000000" w:sz="4" w:space="0"/>
            </w:tcBorders>
            <w:vAlign w:val="top"/>
          </w:tcPr>
          <w:p w14:paraId="0EF38FE2">
            <w:pPr>
              <w:rPr>
                <w:rFonts w:ascii="Arial"/>
                <w:sz w:val="21"/>
              </w:rPr>
            </w:pPr>
          </w:p>
        </w:tc>
        <w:tc>
          <w:tcPr>
            <w:tcW w:w="681" w:type="dxa"/>
            <w:gridSpan w:val="2"/>
            <w:tcBorders>
              <w:right w:val="single" w:color="000000" w:sz="4" w:space="0"/>
            </w:tcBorders>
            <w:vAlign w:val="top"/>
          </w:tcPr>
          <w:p w14:paraId="671C207B">
            <w:pPr>
              <w:rPr>
                <w:rFonts w:ascii="Arial"/>
                <w:sz w:val="21"/>
              </w:rPr>
            </w:pPr>
          </w:p>
        </w:tc>
        <w:tc>
          <w:tcPr>
            <w:tcW w:w="682" w:type="dxa"/>
            <w:tcBorders>
              <w:left w:val="single" w:color="000000" w:sz="4" w:space="0"/>
              <w:right w:val="single" w:color="000000" w:sz="4" w:space="0"/>
            </w:tcBorders>
            <w:vAlign w:val="top"/>
          </w:tcPr>
          <w:p w14:paraId="209683D8">
            <w:pPr>
              <w:rPr>
                <w:rFonts w:ascii="Arial"/>
                <w:sz w:val="21"/>
              </w:rPr>
            </w:pPr>
          </w:p>
        </w:tc>
        <w:tc>
          <w:tcPr>
            <w:tcW w:w="426" w:type="dxa"/>
            <w:gridSpan w:val="2"/>
            <w:tcBorders>
              <w:left w:val="single" w:color="000000" w:sz="4" w:space="0"/>
              <w:right w:val="single" w:color="000000" w:sz="4" w:space="0"/>
            </w:tcBorders>
            <w:vAlign w:val="top"/>
          </w:tcPr>
          <w:p w14:paraId="58C379FC">
            <w:pPr>
              <w:rPr>
                <w:rFonts w:ascii="Arial"/>
                <w:sz w:val="21"/>
              </w:rPr>
            </w:pPr>
          </w:p>
        </w:tc>
        <w:tc>
          <w:tcPr>
            <w:tcW w:w="426" w:type="dxa"/>
            <w:tcBorders>
              <w:left w:val="single" w:color="000000" w:sz="4" w:space="0"/>
              <w:right w:val="single" w:color="000000" w:sz="4" w:space="0"/>
            </w:tcBorders>
            <w:vAlign w:val="top"/>
          </w:tcPr>
          <w:p w14:paraId="23A8A3C4">
            <w:pPr>
              <w:rPr>
                <w:rFonts w:ascii="Arial"/>
                <w:sz w:val="21"/>
              </w:rPr>
            </w:pPr>
          </w:p>
        </w:tc>
        <w:tc>
          <w:tcPr>
            <w:tcW w:w="514" w:type="dxa"/>
            <w:tcBorders>
              <w:left w:val="single" w:color="000000" w:sz="4" w:space="0"/>
            </w:tcBorders>
            <w:vAlign w:val="top"/>
          </w:tcPr>
          <w:p w14:paraId="39A2E2AE">
            <w:pPr>
              <w:rPr>
                <w:rFonts w:ascii="Arial"/>
                <w:sz w:val="21"/>
              </w:rPr>
            </w:pPr>
          </w:p>
        </w:tc>
        <w:tc>
          <w:tcPr>
            <w:tcW w:w="521" w:type="dxa"/>
            <w:tcBorders>
              <w:right w:val="single" w:color="000000" w:sz="4" w:space="0"/>
            </w:tcBorders>
            <w:vAlign w:val="top"/>
          </w:tcPr>
          <w:p w14:paraId="2288C53F">
            <w:pPr>
              <w:rPr>
                <w:rFonts w:ascii="Arial"/>
                <w:sz w:val="21"/>
              </w:rPr>
            </w:pPr>
          </w:p>
        </w:tc>
        <w:tc>
          <w:tcPr>
            <w:tcW w:w="632" w:type="dxa"/>
            <w:tcBorders>
              <w:left w:val="single" w:color="000000" w:sz="4" w:space="0"/>
              <w:right w:val="single" w:color="000000" w:sz="4" w:space="0"/>
            </w:tcBorders>
            <w:vAlign w:val="top"/>
          </w:tcPr>
          <w:p w14:paraId="28F4F767">
            <w:pPr>
              <w:rPr>
                <w:rFonts w:ascii="Arial"/>
                <w:sz w:val="21"/>
              </w:rPr>
            </w:pPr>
          </w:p>
        </w:tc>
        <w:tc>
          <w:tcPr>
            <w:tcW w:w="942" w:type="dxa"/>
            <w:tcBorders>
              <w:left w:val="single" w:color="000000" w:sz="4" w:space="0"/>
              <w:right w:val="single" w:color="000000" w:sz="4" w:space="0"/>
            </w:tcBorders>
            <w:vAlign w:val="top"/>
          </w:tcPr>
          <w:p w14:paraId="189E1573">
            <w:pPr>
              <w:rPr>
                <w:rFonts w:ascii="Arial"/>
                <w:sz w:val="21"/>
              </w:rPr>
            </w:pPr>
          </w:p>
        </w:tc>
        <w:tc>
          <w:tcPr>
            <w:tcW w:w="1350" w:type="dxa"/>
            <w:gridSpan w:val="3"/>
            <w:tcBorders>
              <w:left w:val="single" w:color="000000" w:sz="4" w:space="0"/>
              <w:right w:val="single" w:color="000000" w:sz="4" w:space="0"/>
            </w:tcBorders>
            <w:vAlign w:val="top"/>
          </w:tcPr>
          <w:p w14:paraId="02D91676">
            <w:pPr>
              <w:rPr>
                <w:rFonts w:ascii="Arial"/>
                <w:sz w:val="21"/>
              </w:rPr>
            </w:pPr>
          </w:p>
        </w:tc>
        <w:tc>
          <w:tcPr>
            <w:tcW w:w="943" w:type="dxa"/>
            <w:tcBorders>
              <w:left w:val="single" w:color="000000" w:sz="4" w:space="0"/>
              <w:right w:val="single" w:color="000000" w:sz="4" w:space="0"/>
            </w:tcBorders>
            <w:vAlign w:val="top"/>
          </w:tcPr>
          <w:p w14:paraId="01CDAD89">
            <w:pPr>
              <w:rPr>
                <w:rFonts w:ascii="Arial"/>
                <w:sz w:val="21"/>
              </w:rPr>
            </w:pPr>
          </w:p>
        </w:tc>
        <w:tc>
          <w:tcPr>
            <w:tcW w:w="1122" w:type="dxa"/>
            <w:tcBorders>
              <w:left w:val="single" w:color="000000" w:sz="4" w:space="0"/>
              <w:right w:val="single" w:color="000000" w:sz="4" w:space="0"/>
            </w:tcBorders>
            <w:vAlign w:val="top"/>
          </w:tcPr>
          <w:p w14:paraId="4722FF43">
            <w:pPr>
              <w:rPr>
                <w:rFonts w:ascii="Arial"/>
                <w:sz w:val="21"/>
              </w:rPr>
            </w:pPr>
          </w:p>
        </w:tc>
      </w:tr>
      <w:tr w14:paraId="0927E7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05" w:type="dxa"/>
            <w:tcBorders>
              <w:left w:val="single" w:color="000000" w:sz="4" w:space="0"/>
            </w:tcBorders>
            <w:vAlign w:val="top"/>
          </w:tcPr>
          <w:p w14:paraId="04A16C51">
            <w:pPr>
              <w:rPr>
                <w:rFonts w:ascii="Arial"/>
                <w:sz w:val="21"/>
              </w:rPr>
            </w:pPr>
          </w:p>
        </w:tc>
        <w:tc>
          <w:tcPr>
            <w:tcW w:w="681" w:type="dxa"/>
            <w:gridSpan w:val="2"/>
            <w:tcBorders>
              <w:right w:val="single" w:color="000000" w:sz="4" w:space="0"/>
            </w:tcBorders>
            <w:vAlign w:val="top"/>
          </w:tcPr>
          <w:p w14:paraId="14EFE732">
            <w:pPr>
              <w:rPr>
                <w:rFonts w:ascii="Arial"/>
                <w:sz w:val="21"/>
              </w:rPr>
            </w:pPr>
          </w:p>
        </w:tc>
        <w:tc>
          <w:tcPr>
            <w:tcW w:w="682" w:type="dxa"/>
            <w:tcBorders>
              <w:left w:val="single" w:color="000000" w:sz="4" w:space="0"/>
              <w:right w:val="single" w:color="000000" w:sz="4" w:space="0"/>
            </w:tcBorders>
            <w:vAlign w:val="top"/>
          </w:tcPr>
          <w:p w14:paraId="4CF005DA">
            <w:pPr>
              <w:rPr>
                <w:rFonts w:ascii="Arial"/>
                <w:sz w:val="21"/>
              </w:rPr>
            </w:pPr>
          </w:p>
        </w:tc>
        <w:tc>
          <w:tcPr>
            <w:tcW w:w="426" w:type="dxa"/>
            <w:gridSpan w:val="2"/>
            <w:tcBorders>
              <w:left w:val="single" w:color="000000" w:sz="4" w:space="0"/>
              <w:right w:val="single" w:color="000000" w:sz="4" w:space="0"/>
            </w:tcBorders>
            <w:vAlign w:val="top"/>
          </w:tcPr>
          <w:p w14:paraId="7E429D7C">
            <w:pPr>
              <w:rPr>
                <w:rFonts w:ascii="Arial"/>
                <w:sz w:val="21"/>
              </w:rPr>
            </w:pPr>
          </w:p>
        </w:tc>
        <w:tc>
          <w:tcPr>
            <w:tcW w:w="426" w:type="dxa"/>
            <w:tcBorders>
              <w:left w:val="single" w:color="000000" w:sz="4" w:space="0"/>
              <w:right w:val="single" w:color="000000" w:sz="4" w:space="0"/>
            </w:tcBorders>
            <w:vAlign w:val="top"/>
          </w:tcPr>
          <w:p w14:paraId="66DC5839">
            <w:pPr>
              <w:rPr>
                <w:rFonts w:ascii="Arial"/>
                <w:sz w:val="21"/>
              </w:rPr>
            </w:pPr>
          </w:p>
        </w:tc>
        <w:tc>
          <w:tcPr>
            <w:tcW w:w="514" w:type="dxa"/>
            <w:tcBorders>
              <w:left w:val="single" w:color="000000" w:sz="4" w:space="0"/>
            </w:tcBorders>
            <w:vAlign w:val="top"/>
          </w:tcPr>
          <w:p w14:paraId="617EB1C4">
            <w:pPr>
              <w:rPr>
                <w:rFonts w:ascii="Arial"/>
                <w:sz w:val="21"/>
              </w:rPr>
            </w:pPr>
          </w:p>
        </w:tc>
        <w:tc>
          <w:tcPr>
            <w:tcW w:w="521" w:type="dxa"/>
            <w:tcBorders>
              <w:right w:val="single" w:color="000000" w:sz="4" w:space="0"/>
            </w:tcBorders>
            <w:vAlign w:val="top"/>
          </w:tcPr>
          <w:p w14:paraId="553B2625">
            <w:pPr>
              <w:rPr>
                <w:rFonts w:ascii="Arial"/>
                <w:sz w:val="21"/>
              </w:rPr>
            </w:pPr>
          </w:p>
        </w:tc>
        <w:tc>
          <w:tcPr>
            <w:tcW w:w="632" w:type="dxa"/>
            <w:tcBorders>
              <w:left w:val="single" w:color="000000" w:sz="4" w:space="0"/>
              <w:right w:val="single" w:color="000000" w:sz="4" w:space="0"/>
            </w:tcBorders>
            <w:vAlign w:val="top"/>
          </w:tcPr>
          <w:p w14:paraId="39235834">
            <w:pPr>
              <w:rPr>
                <w:rFonts w:ascii="Arial"/>
                <w:sz w:val="21"/>
              </w:rPr>
            </w:pPr>
          </w:p>
        </w:tc>
        <w:tc>
          <w:tcPr>
            <w:tcW w:w="942" w:type="dxa"/>
            <w:tcBorders>
              <w:left w:val="single" w:color="000000" w:sz="4" w:space="0"/>
              <w:right w:val="single" w:color="000000" w:sz="4" w:space="0"/>
            </w:tcBorders>
            <w:vAlign w:val="top"/>
          </w:tcPr>
          <w:p w14:paraId="54BA4806">
            <w:pPr>
              <w:rPr>
                <w:rFonts w:ascii="Arial"/>
                <w:sz w:val="21"/>
              </w:rPr>
            </w:pPr>
          </w:p>
        </w:tc>
        <w:tc>
          <w:tcPr>
            <w:tcW w:w="1350" w:type="dxa"/>
            <w:gridSpan w:val="3"/>
            <w:tcBorders>
              <w:left w:val="single" w:color="000000" w:sz="4" w:space="0"/>
              <w:right w:val="single" w:color="000000" w:sz="4" w:space="0"/>
            </w:tcBorders>
            <w:vAlign w:val="top"/>
          </w:tcPr>
          <w:p w14:paraId="5AA11757">
            <w:pPr>
              <w:rPr>
                <w:rFonts w:ascii="Arial"/>
                <w:sz w:val="21"/>
              </w:rPr>
            </w:pPr>
          </w:p>
        </w:tc>
        <w:tc>
          <w:tcPr>
            <w:tcW w:w="943" w:type="dxa"/>
            <w:tcBorders>
              <w:left w:val="single" w:color="000000" w:sz="4" w:space="0"/>
              <w:right w:val="single" w:color="000000" w:sz="4" w:space="0"/>
            </w:tcBorders>
            <w:vAlign w:val="top"/>
          </w:tcPr>
          <w:p w14:paraId="6645E0A0">
            <w:pPr>
              <w:rPr>
                <w:rFonts w:ascii="Arial"/>
                <w:sz w:val="21"/>
              </w:rPr>
            </w:pPr>
          </w:p>
        </w:tc>
        <w:tc>
          <w:tcPr>
            <w:tcW w:w="1122" w:type="dxa"/>
            <w:tcBorders>
              <w:left w:val="single" w:color="000000" w:sz="4" w:space="0"/>
              <w:right w:val="single" w:color="000000" w:sz="4" w:space="0"/>
            </w:tcBorders>
            <w:vAlign w:val="top"/>
          </w:tcPr>
          <w:p w14:paraId="3D88E480">
            <w:pPr>
              <w:rPr>
                <w:rFonts w:ascii="Arial"/>
                <w:sz w:val="21"/>
              </w:rPr>
            </w:pPr>
          </w:p>
        </w:tc>
      </w:tr>
      <w:tr w14:paraId="669E6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05" w:type="dxa"/>
            <w:tcBorders>
              <w:left w:val="single" w:color="000000" w:sz="4" w:space="0"/>
            </w:tcBorders>
            <w:vAlign w:val="top"/>
          </w:tcPr>
          <w:p w14:paraId="5574BA8E">
            <w:pPr>
              <w:rPr>
                <w:rFonts w:ascii="Arial"/>
                <w:sz w:val="21"/>
              </w:rPr>
            </w:pPr>
          </w:p>
        </w:tc>
        <w:tc>
          <w:tcPr>
            <w:tcW w:w="681" w:type="dxa"/>
            <w:gridSpan w:val="2"/>
            <w:tcBorders>
              <w:right w:val="single" w:color="000000" w:sz="4" w:space="0"/>
            </w:tcBorders>
            <w:vAlign w:val="top"/>
          </w:tcPr>
          <w:p w14:paraId="410E7985">
            <w:pPr>
              <w:rPr>
                <w:rFonts w:ascii="Arial"/>
                <w:sz w:val="21"/>
              </w:rPr>
            </w:pPr>
          </w:p>
        </w:tc>
        <w:tc>
          <w:tcPr>
            <w:tcW w:w="682" w:type="dxa"/>
            <w:tcBorders>
              <w:left w:val="single" w:color="000000" w:sz="4" w:space="0"/>
              <w:right w:val="single" w:color="000000" w:sz="4" w:space="0"/>
            </w:tcBorders>
            <w:vAlign w:val="top"/>
          </w:tcPr>
          <w:p w14:paraId="62666F75">
            <w:pPr>
              <w:rPr>
                <w:rFonts w:ascii="Arial"/>
                <w:sz w:val="21"/>
              </w:rPr>
            </w:pPr>
          </w:p>
        </w:tc>
        <w:tc>
          <w:tcPr>
            <w:tcW w:w="426" w:type="dxa"/>
            <w:gridSpan w:val="2"/>
            <w:tcBorders>
              <w:left w:val="single" w:color="000000" w:sz="4" w:space="0"/>
              <w:right w:val="single" w:color="000000" w:sz="4" w:space="0"/>
            </w:tcBorders>
            <w:vAlign w:val="top"/>
          </w:tcPr>
          <w:p w14:paraId="7DBA2E7C">
            <w:pPr>
              <w:rPr>
                <w:rFonts w:ascii="Arial"/>
                <w:sz w:val="21"/>
              </w:rPr>
            </w:pPr>
          </w:p>
        </w:tc>
        <w:tc>
          <w:tcPr>
            <w:tcW w:w="426" w:type="dxa"/>
            <w:tcBorders>
              <w:left w:val="single" w:color="000000" w:sz="4" w:space="0"/>
              <w:right w:val="single" w:color="000000" w:sz="4" w:space="0"/>
            </w:tcBorders>
            <w:vAlign w:val="top"/>
          </w:tcPr>
          <w:p w14:paraId="6BA866A6">
            <w:pPr>
              <w:rPr>
                <w:rFonts w:ascii="Arial"/>
                <w:sz w:val="21"/>
              </w:rPr>
            </w:pPr>
          </w:p>
        </w:tc>
        <w:tc>
          <w:tcPr>
            <w:tcW w:w="514" w:type="dxa"/>
            <w:tcBorders>
              <w:left w:val="single" w:color="000000" w:sz="4" w:space="0"/>
            </w:tcBorders>
            <w:vAlign w:val="top"/>
          </w:tcPr>
          <w:p w14:paraId="49DC7BEF">
            <w:pPr>
              <w:rPr>
                <w:rFonts w:ascii="Arial"/>
                <w:sz w:val="21"/>
              </w:rPr>
            </w:pPr>
          </w:p>
        </w:tc>
        <w:tc>
          <w:tcPr>
            <w:tcW w:w="521" w:type="dxa"/>
            <w:tcBorders>
              <w:right w:val="single" w:color="000000" w:sz="4" w:space="0"/>
            </w:tcBorders>
            <w:vAlign w:val="top"/>
          </w:tcPr>
          <w:p w14:paraId="792C6DD3">
            <w:pPr>
              <w:rPr>
                <w:rFonts w:ascii="Arial"/>
                <w:sz w:val="21"/>
              </w:rPr>
            </w:pPr>
          </w:p>
        </w:tc>
        <w:tc>
          <w:tcPr>
            <w:tcW w:w="632" w:type="dxa"/>
            <w:tcBorders>
              <w:left w:val="single" w:color="000000" w:sz="4" w:space="0"/>
              <w:right w:val="single" w:color="000000" w:sz="4" w:space="0"/>
            </w:tcBorders>
            <w:vAlign w:val="top"/>
          </w:tcPr>
          <w:p w14:paraId="703EBBA9">
            <w:pPr>
              <w:rPr>
                <w:rFonts w:ascii="Arial"/>
                <w:sz w:val="21"/>
              </w:rPr>
            </w:pPr>
          </w:p>
        </w:tc>
        <w:tc>
          <w:tcPr>
            <w:tcW w:w="942" w:type="dxa"/>
            <w:tcBorders>
              <w:left w:val="single" w:color="000000" w:sz="4" w:space="0"/>
              <w:right w:val="single" w:color="000000" w:sz="4" w:space="0"/>
            </w:tcBorders>
            <w:vAlign w:val="top"/>
          </w:tcPr>
          <w:p w14:paraId="2099C45D">
            <w:pPr>
              <w:rPr>
                <w:rFonts w:ascii="Arial"/>
                <w:sz w:val="21"/>
              </w:rPr>
            </w:pPr>
          </w:p>
        </w:tc>
        <w:tc>
          <w:tcPr>
            <w:tcW w:w="1350" w:type="dxa"/>
            <w:gridSpan w:val="3"/>
            <w:tcBorders>
              <w:left w:val="single" w:color="000000" w:sz="4" w:space="0"/>
              <w:right w:val="single" w:color="000000" w:sz="4" w:space="0"/>
            </w:tcBorders>
            <w:vAlign w:val="top"/>
          </w:tcPr>
          <w:p w14:paraId="0F47B028">
            <w:pPr>
              <w:rPr>
                <w:rFonts w:ascii="Arial"/>
                <w:sz w:val="21"/>
              </w:rPr>
            </w:pPr>
          </w:p>
        </w:tc>
        <w:tc>
          <w:tcPr>
            <w:tcW w:w="943" w:type="dxa"/>
            <w:tcBorders>
              <w:left w:val="single" w:color="000000" w:sz="4" w:space="0"/>
              <w:right w:val="single" w:color="000000" w:sz="4" w:space="0"/>
            </w:tcBorders>
            <w:vAlign w:val="top"/>
          </w:tcPr>
          <w:p w14:paraId="6FB5ECE7">
            <w:pPr>
              <w:rPr>
                <w:rFonts w:ascii="Arial"/>
                <w:sz w:val="21"/>
              </w:rPr>
            </w:pPr>
          </w:p>
        </w:tc>
        <w:tc>
          <w:tcPr>
            <w:tcW w:w="1122" w:type="dxa"/>
            <w:tcBorders>
              <w:left w:val="single" w:color="000000" w:sz="4" w:space="0"/>
              <w:right w:val="single" w:color="000000" w:sz="4" w:space="0"/>
            </w:tcBorders>
            <w:vAlign w:val="top"/>
          </w:tcPr>
          <w:p w14:paraId="7D955762">
            <w:pPr>
              <w:rPr>
                <w:rFonts w:ascii="Arial"/>
                <w:sz w:val="21"/>
              </w:rPr>
            </w:pPr>
          </w:p>
        </w:tc>
      </w:tr>
      <w:tr w14:paraId="78B11B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05" w:type="dxa"/>
            <w:tcBorders>
              <w:left w:val="single" w:color="000000" w:sz="4" w:space="0"/>
            </w:tcBorders>
            <w:vAlign w:val="top"/>
          </w:tcPr>
          <w:p w14:paraId="3912EA8E">
            <w:pPr>
              <w:rPr>
                <w:rFonts w:ascii="Arial"/>
                <w:sz w:val="21"/>
              </w:rPr>
            </w:pPr>
          </w:p>
        </w:tc>
        <w:tc>
          <w:tcPr>
            <w:tcW w:w="681" w:type="dxa"/>
            <w:gridSpan w:val="2"/>
            <w:tcBorders>
              <w:right w:val="single" w:color="000000" w:sz="4" w:space="0"/>
            </w:tcBorders>
            <w:vAlign w:val="top"/>
          </w:tcPr>
          <w:p w14:paraId="7AB32768">
            <w:pPr>
              <w:rPr>
                <w:rFonts w:ascii="Arial"/>
                <w:sz w:val="21"/>
              </w:rPr>
            </w:pPr>
          </w:p>
        </w:tc>
        <w:tc>
          <w:tcPr>
            <w:tcW w:w="682" w:type="dxa"/>
            <w:tcBorders>
              <w:left w:val="single" w:color="000000" w:sz="4" w:space="0"/>
              <w:right w:val="single" w:color="000000" w:sz="4" w:space="0"/>
            </w:tcBorders>
            <w:vAlign w:val="top"/>
          </w:tcPr>
          <w:p w14:paraId="2A8D31BD">
            <w:pPr>
              <w:rPr>
                <w:rFonts w:ascii="Arial"/>
                <w:sz w:val="21"/>
              </w:rPr>
            </w:pPr>
          </w:p>
        </w:tc>
        <w:tc>
          <w:tcPr>
            <w:tcW w:w="426" w:type="dxa"/>
            <w:gridSpan w:val="2"/>
            <w:tcBorders>
              <w:left w:val="single" w:color="000000" w:sz="4" w:space="0"/>
              <w:right w:val="single" w:color="000000" w:sz="4" w:space="0"/>
            </w:tcBorders>
            <w:vAlign w:val="top"/>
          </w:tcPr>
          <w:p w14:paraId="1B34D439">
            <w:pPr>
              <w:rPr>
                <w:rFonts w:ascii="Arial"/>
                <w:sz w:val="21"/>
              </w:rPr>
            </w:pPr>
          </w:p>
        </w:tc>
        <w:tc>
          <w:tcPr>
            <w:tcW w:w="426" w:type="dxa"/>
            <w:tcBorders>
              <w:left w:val="single" w:color="000000" w:sz="4" w:space="0"/>
              <w:right w:val="single" w:color="000000" w:sz="4" w:space="0"/>
            </w:tcBorders>
            <w:vAlign w:val="top"/>
          </w:tcPr>
          <w:p w14:paraId="1EA5A706">
            <w:pPr>
              <w:rPr>
                <w:rFonts w:ascii="Arial"/>
                <w:sz w:val="21"/>
              </w:rPr>
            </w:pPr>
          </w:p>
        </w:tc>
        <w:tc>
          <w:tcPr>
            <w:tcW w:w="514" w:type="dxa"/>
            <w:tcBorders>
              <w:left w:val="single" w:color="000000" w:sz="4" w:space="0"/>
            </w:tcBorders>
            <w:vAlign w:val="top"/>
          </w:tcPr>
          <w:p w14:paraId="0D1DCCD8">
            <w:pPr>
              <w:rPr>
                <w:rFonts w:ascii="Arial"/>
                <w:sz w:val="21"/>
              </w:rPr>
            </w:pPr>
          </w:p>
        </w:tc>
        <w:tc>
          <w:tcPr>
            <w:tcW w:w="521" w:type="dxa"/>
            <w:tcBorders>
              <w:right w:val="single" w:color="000000" w:sz="4" w:space="0"/>
            </w:tcBorders>
            <w:vAlign w:val="top"/>
          </w:tcPr>
          <w:p w14:paraId="2789359F">
            <w:pPr>
              <w:rPr>
                <w:rFonts w:ascii="Arial"/>
                <w:sz w:val="21"/>
              </w:rPr>
            </w:pPr>
          </w:p>
        </w:tc>
        <w:tc>
          <w:tcPr>
            <w:tcW w:w="632" w:type="dxa"/>
            <w:tcBorders>
              <w:left w:val="single" w:color="000000" w:sz="4" w:space="0"/>
              <w:right w:val="single" w:color="000000" w:sz="4" w:space="0"/>
            </w:tcBorders>
            <w:vAlign w:val="top"/>
          </w:tcPr>
          <w:p w14:paraId="4F80566B">
            <w:pPr>
              <w:rPr>
                <w:rFonts w:ascii="Arial"/>
                <w:sz w:val="21"/>
              </w:rPr>
            </w:pPr>
          </w:p>
        </w:tc>
        <w:tc>
          <w:tcPr>
            <w:tcW w:w="942" w:type="dxa"/>
            <w:tcBorders>
              <w:left w:val="single" w:color="000000" w:sz="4" w:space="0"/>
              <w:right w:val="single" w:color="000000" w:sz="4" w:space="0"/>
            </w:tcBorders>
            <w:vAlign w:val="top"/>
          </w:tcPr>
          <w:p w14:paraId="58F2AF3B">
            <w:pPr>
              <w:rPr>
                <w:rFonts w:ascii="Arial"/>
                <w:sz w:val="21"/>
              </w:rPr>
            </w:pPr>
          </w:p>
        </w:tc>
        <w:tc>
          <w:tcPr>
            <w:tcW w:w="1350" w:type="dxa"/>
            <w:gridSpan w:val="3"/>
            <w:tcBorders>
              <w:left w:val="single" w:color="000000" w:sz="4" w:space="0"/>
              <w:right w:val="single" w:color="000000" w:sz="4" w:space="0"/>
            </w:tcBorders>
            <w:vAlign w:val="top"/>
          </w:tcPr>
          <w:p w14:paraId="7B8FAB6D">
            <w:pPr>
              <w:rPr>
                <w:rFonts w:ascii="Arial"/>
                <w:sz w:val="21"/>
              </w:rPr>
            </w:pPr>
          </w:p>
        </w:tc>
        <w:tc>
          <w:tcPr>
            <w:tcW w:w="943" w:type="dxa"/>
            <w:tcBorders>
              <w:left w:val="single" w:color="000000" w:sz="4" w:space="0"/>
              <w:right w:val="single" w:color="000000" w:sz="4" w:space="0"/>
            </w:tcBorders>
            <w:vAlign w:val="top"/>
          </w:tcPr>
          <w:p w14:paraId="38509DE3">
            <w:pPr>
              <w:rPr>
                <w:rFonts w:ascii="Arial"/>
                <w:sz w:val="21"/>
              </w:rPr>
            </w:pPr>
          </w:p>
        </w:tc>
        <w:tc>
          <w:tcPr>
            <w:tcW w:w="1122" w:type="dxa"/>
            <w:tcBorders>
              <w:left w:val="single" w:color="000000" w:sz="4" w:space="0"/>
              <w:right w:val="single" w:color="000000" w:sz="4" w:space="0"/>
            </w:tcBorders>
            <w:vAlign w:val="top"/>
          </w:tcPr>
          <w:p w14:paraId="73CC5E08">
            <w:pPr>
              <w:rPr>
                <w:rFonts w:ascii="Arial"/>
                <w:sz w:val="21"/>
              </w:rPr>
            </w:pPr>
          </w:p>
        </w:tc>
      </w:tr>
      <w:tr w14:paraId="184CCB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1386" w:type="dxa"/>
            <w:gridSpan w:val="3"/>
            <w:tcBorders>
              <w:left w:val="single" w:color="000000" w:sz="4" w:space="0"/>
              <w:right w:val="single" w:color="000000" w:sz="4" w:space="0"/>
            </w:tcBorders>
            <w:vAlign w:val="top"/>
          </w:tcPr>
          <w:p w14:paraId="5B7BDC18">
            <w:pPr>
              <w:pStyle w:val="6"/>
              <w:spacing w:before="179" w:line="226" w:lineRule="auto"/>
              <w:ind w:left="277"/>
            </w:pPr>
            <w:r>
              <w:rPr>
                <w:spacing w:val="6"/>
              </w:rPr>
              <w:t>人工单价</w:t>
            </w:r>
          </w:p>
        </w:tc>
        <w:tc>
          <w:tcPr>
            <w:tcW w:w="3201" w:type="dxa"/>
            <w:gridSpan w:val="7"/>
            <w:tcBorders>
              <w:left w:val="single" w:color="000000" w:sz="4" w:space="0"/>
              <w:right w:val="single" w:color="000000" w:sz="4" w:space="0"/>
            </w:tcBorders>
            <w:vAlign w:val="top"/>
          </w:tcPr>
          <w:p w14:paraId="33D1FFE6">
            <w:pPr>
              <w:pStyle w:val="6"/>
              <w:spacing w:before="179" w:line="229" w:lineRule="auto"/>
              <w:ind w:left="1398"/>
            </w:pPr>
            <w:r>
              <w:rPr>
                <w:spacing w:val="2"/>
              </w:rPr>
              <w:t>小计</w:t>
            </w:r>
          </w:p>
        </w:tc>
        <w:tc>
          <w:tcPr>
            <w:tcW w:w="942" w:type="dxa"/>
            <w:tcBorders>
              <w:left w:val="single" w:color="000000" w:sz="4" w:space="0"/>
              <w:right w:val="single" w:color="000000" w:sz="4" w:space="0"/>
            </w:tcBorders>
            <w:vAlign w:val="top"/>
          </w:tcPr>
          <w:p w14:paraId="191DA144">
            <w:pPr>
              <w:rPr>
                <w:rFonts w:ascii="Arial"/>
                <w:sz w:val="21"/>
              </w:rPr>
            </w:pPr>
          </w:p>
        </w:tc>
        <w:tc>
          <w:tcPr>
            <w:tcW w:w="1350" w:type="dxa"/>
            <w:gridSpan w:val="3"/>
            <w:tcBorders>
              <w:left w:val="single" w:color="000000" w:sz="4" w:space="0"/>
              <w:right w:val="single" w:color="000000" w:sz="4" w:space="0"/>
            </w:tcBorders>
            <w:vAlign w:val="top"/>
          </w:tcPr>
          <w:p w14:paraId="657FDC95">
            <w:pPr>
              <w:rPr>
                <w:rFonts w:ascii="Arial"/>
                <w:sz w:val="21"/>
              </w:rPr>
            </w:pPr>
          </w:p>
        </w:tc>
        <w:tc>
          <w:tcPr>
            <w:tcW w:w="943" w:type="dxa"/>
            <w:tcBorders>
              <w:left w:val="single" w:color="000000" w:sz="4" w:space="0"/>
              <w:right w:val="single" w:color="000000" w:sz="4" w:space="0"/>
            </w:tcBorders>
            <w:vAlign w:val="top"/>
          </w:tcPr>
          <w:p w14:paraId="32377C3D">
            <w:pPr>
              <w:rPr>
                <w:rFonts w:ascii="Arial"/>
                <w:sz w:val="21"/>
              </w:rPr>
            </w:pPr>
          </w:p>
        </w:tc>
        <w:tc>
          <w:tcPr>
            <w:tcW w:w="1122" w:type="dxa"/>
            <w:tcBorders>
              <w:left w:val="single" w:color="000000" w:sz="4" w:space="0"/>
              <w:right w:val="single" w:color="000000" w:sz="4" w:space="0"/>
            </w:tcBorders>
            <w:vAlign w:val="top"/>
          </w:tcPr>
          <w:p w14:paraId="58862A9B">
            <w:pPr>
              <w:rPr>
                <w:rFonts w:ascii="Arial"/>
                <w:sz w:val="21"/>
              </w:rPr>
            </w:pPr>
          </w:p>
        </w:tc>
      </w:tr>
      <w:tr w14:paraId="17490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386" w:type="dxa"/>
            <w:gridSpan w:val="3"/>
            <w:tcBorders>
              <w:left w:val="single" w:color="000000" w:sz="4" w:space="0"/>
              <w:right w:val="single" w:color="000000" w:sz="4" w:space="0"/>
            </w:tcBorders>
            <w:vAlign w:val="top"/>
          </w:tcPr>
          <w:p w14:paraId="23F5C728">
            <w:pPr>
              <w:pStyle w:val="6"/>
              <w:spacing w:before="179" w:line="228" w:lineRule="auto"/>
              <w:ind w:left="563"/>
            </w:pPr>
            <w:r>
              <w:rPr>
                <w:spacing w:val="5"/>
              </w:rPr>
              <w:t>元</w:t>
            </w:r>
            <w:r>
              <w:rPr>
                <w:rFonts w:ascii="Times New Roman" w:hAnsi="Times New Roman" w:eastAsia="Times New Roman" w:cs="Times New Roman"/>
                <w:spacing w:val="5"/>
              </w:rPr>
              <w:t>/</w:t>
            </w:r>
            <w:r>
              <w:rPr>
                <w:spacing w:val="5"/>
              </w:rPr>
              <w:t>工日</w:t>
            </w:r>
          </w:p>
        </w:tc>
        <w:tc>
          <w:tcPr>
            <w:tcW w:w="3201" w:type="dxa"/>
            <w:gridSpan w:val="7"/>
            <w:tcBorders>
              <w:left w:val="single" w:color="000000" w:sz="4" w:space="0"/>
              <w:right w:val="single" w:color="000000" w:sz="4" w:space="0"/>
            </w:tcBorders>
            <w:vAlign w:val="top"/>
          </w:tcPr>
          <w:p w14:paraId="6061DF44">
            <w:pPr>
              <w:pStyle w:val="6"/>
              <w:spacing w:before="178" w:line="226" w:lineRule="auto"/>
              <w:ind w:left="976"/>
            </w:pPr>
            <w:r>
              <w:rPr>
                <w:spacing w:val="7"/>
              </w:rPr>
              <w:t>未计价材料费</w:t>
            </w:r>
          </w:p>
        </w:tc>
        <w:tc>
          <w:tcPr>
            <w:tcW w:w="4357" w:type="dxa"/>
            <w:gridSpan w:val="6"/>
            <w:tcBorders>
              <w:left w:val="single" w:color="000000" w:sz="4" w:space="0"/>
              <w:right w:val="single" w:color="000000" w:sz="4" w:space="0"/>
            </w:tcBorders>
            <w:vAlign w:val="top"/>
          </w:tcPr>
          <w:p w14:paraId="4C541FC3">
            <w:pPr>
              <w:rPr>
                <w:rFonts w:ascii="Arial"/>
                <w:sz w:val="21"/>
              </w:rPr>
            </w:pPr>
          </w:p>
        </w:tc>
      </w:tr>
      <w:tr w14:paraId="2A8EC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4587" w:type="dxa"/>
            <w:gridSpan w:val="10"/>
            <w:tcBorders>
              <w:left w:val="single" w:color="000000" w:sz="4" w:space="0"/>
              <w:right w:val="single" w:color="000000" w:sz="4" w:space="0"/>
            </w:tcBorders>
            <w:vAlign w:val="top"/>
          </w:tcPr>
          <w:p w14:paraId="10D41A53">
            <w:pPr>
              <w:pStyle w:val="6"/>
              <w:spacing w:before="181" w:line="226" w:lineRule="auto"/>
              <w:ind w:left="1458"/>
            </w:pPr>
            <w:r>
              <w:rPr>
                <w:spacing w:val="8"/>
              </w:rPr>
              <w:t>清单项目综合单价</w:t>
            </w:r>
          </w:p>
        </w:tc>
        <w:tc>
          <w:tcPr>
            <w:tcW w:w="4357" w:type="dxa"/>
            <w:gridSpan w:val="6"/>
            <w:tcBorders>
              <w:left w:val="single" w:color="000000" w:sz="4" w:space="0"/>
              <w:right w:val="single" w:color="000000" w:sz="4" w:space="0"/>
            </w:tcBorders>
            <w:vAlign w:val="top"/>
          </w:tcPr>
          <w:p w14:paraId="444EAFBE">
            <w:pPr>
              <w:rPr>
                <w:rFonts w:ascii="Arial"/>
                <w:sz w:val="21"/>
              </w:rPr>
            </w:pPr>
          </w:p>
        </w:tc>
      </w:tr>
      <w:tr w14:paraId="76FB7A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705" w:type="dxa"/>
            <w:vMerge w:val="restart"/>
            <w:tcBorders>
              <w:left w:val="single" w:color="000000" w:sz="4" w:space="0"/>
              <w:bottom w:val="nil"/>
            </w:tcBorders>
            <w:textDirection w:val="tbRlV"/>
            <w:vAlign w:val="top"/>
          </w:tcPr>
          <w:p w14:paraId="313DAE46">
            <w:pPr>
              <w:pStyle w:val="6"/>
              <w:spacing w:before="247" w:line="215" w:lineRule="auto"/>
              <w:ind w:left="1335"/>
            </w:pPr>
            <w:r>
              <w:rPr>
                <w:spacing w:val="8"/>
              </w:rPr>
              <w:t>材</w:t>
            </w:r>
            <w:r>
              <w:rPr>
                <w:spacing w:val="-35"/>
              </w:rPr>
              <w:t xml:space="preserve"> </w:t>
            </w:r>
            <w:r>
              <w:rPr>
                <w:spacing w:val="8"/>
              </w:rPr>
              <w:t>料</w:t>
            </w:r>
            <w:r>
              <w:rPr>
                <w:spacing w:val="-35"/>
              </w:rPr>
              <w:t xml:space="preserve"> </w:t>
            </w:r>
            <w:r>
              <w:rPr>
                <w:spacing w:val="8"/>
              </w:rPr>
              <w:t>费</w:t>
            </w:r>
            <w:r>
              <w:rPr>
                <w:spacing w:val="-38"/>
              </w:rPr>
              <w:t xml:space="preserve"> </w:t>
            </w:r>
            <w:r>
              <w:rPr>
                <w:spacing w:val="8"/>
              </w:rPr>
              <w:t>明</w:t>
            </w:r>
            <w:r>
              <w:rPr>
                <w:spacing w:val="-35"/>
              </w:rPr>
              <w:t xml:space="preserve"> </w:t>
            </w:r>
            <w:r>
              <w:rPr>
                <w:spacing w:val="8"/>
              </w:rPr>
              <w:t>细</w:t>
            </w:r>
          </w:p>
        </w:tc>
        <w:tc>
          <w:tcPr>
            <w:tcW w:w="2215" w:type="dxa"/>
            <w:gridSpan w:val="6"/>
            <w:tcBorders>
              <w:right w:val="single" w:color="000000" w:sz="4" w:space="0"/>
            </w:tcBorders>
            <w:vAlign w:val="top"/>
          </w:tcPr>
          <w:p w14:paraId="0E6070A9">
            <w:pPr>
              <w:pStyle w:val="6"/>
              <w:spacing w:before="43" w:line="227" w:lineRule="auto"/>
              <w:ind w:right="15"/>
              <w:jc w:val="right"/>
            </w:pPr>
            <w:r>
              <w:rPr>
                <w:spacing w:val="7"/>
              </w:rPr>
              <w:t>主要材料名称、规格、</w:t>
            </w:r>
          </w:p>
          <w:p w14:paraId="1245AC3B">
            <w:pPr>
              <w:pStyle w:val="6"/>
              <w:spacing w:before="25" w:line="217" w:lineRule="auto"/>
              <w:ind w:left="906"/>
            </w:pPr>
            <w:r>
              <w:rPr>
                <w:spacing w:val="1"/>
              </w:rPr>
              <w:t>型号</w:t>
            </w:r>
          </w:p>
        </w:tc>
        <w:tc>
          <w:tcPr>
            <w:tcW w:w="514" w:type="dxa"/>
            <w:tcBorders>
              <w:left w:val="single" w:color="000000" w:sz="4" w:space="0"/>
            </w:tcBorders>
            <w:textDirection w:val="tbRlV"/>
            <w:vAlign w:val="top"/>
          </w:tcPr>
          <w:p w14:paraId="3DEB9470">
            <w:pPr>
              <w:pStyle w:val="6"/>
              <w:spacing w:before="149" w:line="216" w:lineRule="auto"/>
              <w:ind w:left="44"/>
            </w:pPr>
            <w:r>
              <w:rPr>
                <w:spacing w:val="8"/>
              </w:rPr>
              <w:t>单</w:t>
            </w:r>
            <w:r>
              <w:rPr>
                <w:spacing w:val="-38"/>
              </w:rPr>
              <w:t xml:space="preserve"> </w:t>
            </w:r>
            <w:r>
              <w:rPr>
                <w:spacing w:val="8"/>
              </w:rPr>
              <w:t>位</w:t>
            </w:r>
          </w:p>
        </w:tc>
        <w:tc>
          <w:tcPr>
            <w:tcW w:w="1153" w:type="dxa"/>
            <w:gridSpan w:val="2"/>
            <w:tcBorders>
              <w:right w:val="single" w:color="000000" w:sz="4" w:space="0"/>
            </w:tcBorders>
            <w:vAlign w:val="top"/>
          </w:tcPr>
          <w:p w14:paraId="5824AABE">
            <w:pPr>
              <w:pStyle w:val="6"/>
              <w:spacing w:before="178" w:line="228" w:lineRule="auto"/>
              <w:ind w:left="376"/>
            </w:pPr>
            <w:r>
              <w:rPr>
                <w:spacing w:val="3"/>
              </w:rPr>
              <w:t>数量</w:t>
            </w:r>
          </w:p>
        </w:tc>
        <w:tc>
          <w:tcPr>
            <w:tcW w:w="942" w:type="dxa"/>
            <w:tcBorders>
              <w:left w:val="single" w:color="000000" w:sz="4" w:space="0"/>
              <w:right w:val="single" w:color="000000" w:sz="4" w:space="0"/>
            </w:tcBorders>
            <w:vAlign w:val="top"/>
          </w:tcPr>
          <w:p w14:paraId="274B7120">
            <w:pPr>
              <w:pStyle w:val="6"/>
              <w:spacing w:before="42" w:line="234" w:lineRule="auto"/>
              <w:ind w:left="170" w:right="169" w:firstLine="97"/>
            </w:pPr>
            <w:r>
              <w:rPr>
                <w:spacing w:val="3"/>
              </w:rPr>
              <w:t>单价</w:t>
            </w:r>
            <w:r>
              <w:rPr>
                <w:spacing w:val="-3"/>
              </w:rPr>
              <w:t>（元）</w:t>
            </w:r>
          </w:p>
        </w:tc>
        <w:tc>
          <w:tcPr>
            <w:tcW w:w="1003" w:type="dxa"/>
            <w:gridSpan w:val="2"/>
            <w:tcBorders>
              <w:left w:val="single" w:color="000000" w:sz="4" w:space="0"/>
            </w:tcBorders>
            <w:vAlign w:val="top"/>
          </w:tcPr>
          <w:p w14:paraId="58A1AF5E">
            <w:pPr>
              <w:pStyle w:val="6"/>
              <w:spacing w:before="42" w:line="234" w:lineRule="auto"/>
              <w:ind w:left="204" w:right="198" w:firstLine="96"/>
            </w:pPr>
            <w:r>
              <w:rPr>
                <w:spacing w:val="4"/>
              </w:rPr>
              <w:t>合价</w:t>
            </w:r>
            <w:r>
              <w:rPr>
                <w:spacing w:val="-3"/>
              </w:rPr>
              <w:t>（元）</w:t>
            </w:r>
          </w:p>
        </w:tc>
        <w:tc>
          <w:tcPr>
            <w:tcW w:w="1290" w:type="dxa"/>
            <w:gridSpan w:val="2"/>
            <w:tcBorders>
              <w:right w:val="single" w:color="000000" w:sz="4" w:space="0"/>
            </w:tcBorders>
            <w:vAlign w:val="top"/>
          </w:tcPr>
          <w:p w14:paraId="21E9CEDB">
            <w:pPr>
              <w:pStyle w:val="6"/>
              <w:spacing w:before="42" w:line="234" w:lineRule="auto"/>
              <w:ind w:left="353" w:right="214" w:hanging="109"/>
            </w:pPr>
            <w:r>
              <w:rPr>
                <w:spacing w:val="5"/>
              </w:rPr>
              <w:t>暂估单价</w:t>
            </w:r>
            <w:r>
              <w:rPr>
                <w:spacing w:val="-1"/>
              </w:rPr>
              <w:t>（元）</w:t>
            </w:r>
          </w:p>
        </w:tc>
        <w:tc>
          <w:tcPr>
            <w:tcW w:w="1122" w:type="dxa"/>
            <w:tcBorders>
              <w:left w:val="single" w:color="000000" w:sz="4" w:space="0"/>
              <w:right w:val="single" w:color="000000" w:sz="4" w:space="0"/>
            </w:tcBorders>
            <w:vAlign w:val="top"/>
          </w:tcPr>
          <w:p w14:paraId="0BE0A8D6">
            <w:pPr>
              <w:pStyle w:val="6"/>
              <w:spacing w:before="42" w:line="234" w:lineRule="auto"/>
              <w:ind w:left="260" w:right="134" w:hanging="106"/>
            </w:pPr>
            <w:r>
              <w:rPr>
                <w:spacing w:val="5"/>
              </w:rPr>
              <w:t>暂估合价</w:t>
            </w:r>
            <w:r>
              <w:rPr>
                <w:spacing w:val="-1"/>
              </w:rPr>
              <w:t>（元）</w:t>
            </w:r>
          </w:p>
        </w:tc>
      </w:tr>
      <w:tr w14:paraId="6758B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05" w:type="dxa"/>
            <w:vMerge w:val="continue"/>
            <w:tcBorders>
              <w:top w:val="nil"/>
              <w:left w:val="single" w:color="000000" w:sz="4" w:space="0"/>
              <w:bottom w:val="nil"/>
            </w:tcBorders>
            <w:textDirection w:val="tbRlV"/>
            <w:vAlign w:val="top"/>
          </w:tcPr>
          <w:p w14:paraId="392322D3">
            <w:pPr>
              <w:rPr>
                <w:rFonts w:ascii="Arial"/>
                <w:sz w:val="21"/>
              </w:rPr>
            </w:pPr>
          </w:p>
        </w:tc>
        <w:tc>
          <w:tcPr>
            <w:tcW w:w="2215" w:type="dxa"/>
            <w:gridSpan w:val="6"/>
            <w:tcBorders>
              <w:right w:val="single" w:color="000000" w:sz="4" w:space="0"/>
            </w:tcBorders>
            <w:vAlign w:val="top"/>
          </w:tcPr>
          <w:p w14:paraId="52DD9C17">
            <w:pPr>
              <w:rPr>
                <w:rFonts w:ascii="Arial"/>
                <w:sz w:val="21"/>
              </w:rPr>
            </w:pPr>
          </w:p>
        </w:tc>
        <w:tc>
          <w:tcPr>
            <w:tcW w:w="514" w:type="dxa"/>
            <w:tcBorders>
              <w:left w:val="single" w:color="000000" w:sz="4" w:space="0"/>
            </w:tcBorders>
            <w:vAlign w:val="top"/>
          </w:tcPr>
          <w:p w14:paraId="04A70DAA">
            <w:pPr>
              <w:rPr>
                <w:rFonts w:ascii="Arial"/>
                <w:sz w:val="21"/>
              </w:rPr>
            </w:pPr>
          </w:p>
        </w:tc>
        <w:tc>
          <w:tcPr>
            <w:tcW w:w="1153" w:type="dxa"/>
            <w:gridSpan w:val="2"/>
            <w:tcBorders>
              <w:right w:val="single" w:color="000000" w:sz="4" w:space="0"/>
            </w:tcBorders>
            <w:vAlign w:val="top"/>
          </w:tcPr>
          <w:p w14:paraId="429233E5">
            <w:pPr>
              <w:rPr>
                <w:rFonts w:ascii="Arial"/>
                <w:sz w:val="21"/>
              </w:rPr>
            </w:pPr>
          </w:p>
        </w:tc>
        <w:tc>
          <w:tcPr>
            <w:tcW w:w="942" w:type="dxa"/>
            <w:tcBorders>
              <w:left w:val="single" w:color="000000" w:sz="4" w:space="0"/>
              <w:right w:val="single" w:color="000000" w:sz="4" w:space="0"/>
            </w:tcBorders>
            <w:vAlign w:val="top"/>
          </w:tcPr>
          <w:p w14:paraId="4B15B2FD">
            <w:pPr>
              <w:rPr>
                <w:rFonts w:ascii="Arial"/>
                <w:sz w:val="21"/>
              </w:rPr>
            </w:pPr>
          </w:p>
        </w:tc>
        <w:tc>
          <w:tcPr>
            <w:tcW w:w="1003" w:type="dxa"/>
            <w:gridSpan w:val="2"/>
            <w:tcBorders>
              <w:left w:val="single" w:color="000000" w:sz="4" w:space="0"/>
            </w:tcBorders>
            <w:vAlign w:val="top"/>
          </w:tcPr>
          <w:p w14:paraId="2EF8639B">
            <w:pPr>
              <w:rPr>
                <w:rFonts w:ascii="Arial"/>
                <w:sz w:val="21"/>
              </w:rPr>
            </w:pPr>
          </w:p>
        </w:tc>
        <w:tc>
          <w:tcPr>
            <w:tcW w:w="1290" w:type="dxa"/>
            <w:gridSpan w:val="2"/>
            <w:tcBorders>
              <w:right w:val="single" w:color="000000" w:sz="4" w:space="0"/>
            </w:tcBorders>
            <w:vAlign w:val="top"/>
          </w:tcPr>
          <w:p w14:paraId="496CE058">
            <w:pPr>
              <w:rPr>
                <w:rFonts w:ascii="Arial"/>
                <w:sz w:val="21"/>
              </w:rPr>
            </w:pPr>
          </w:p>
        </w:tc>
        <w:tc>
          <w:tcPr>
            <w:tcW w:w="1122" w:type="dxa"/>
            <w:tcBorders>
              <w:left w:val="single" w:color="000000" w:sz="4" w:space="0"/>
              <w:right w:val="single" w:color="000000" w:sz="4" w:space="0"/>
            </w:tcBorders>
            <w:vAlign w:val="top"/>
          </w:tcPr>
          <w:p w14:paraId="3FC4D6EC">
            <w:pPr>
              <w:rPr>
                <w:rFonts w:ascii="Arial"/>
                <w:sz w:val="21"/>
              </w:rPr>
            </w:pPr>
          </w:p>
        </w:tc>
      </w:tr>
      <w:tr w14:paraId="5B324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05" w:type="dxa"/>
            <w:vMerge w:val="continue"/>
            <w:tcBorders>
              <w:top w:val="nil"/>
              <w:left w:val="single" w:color="000000" w:sz="4" w:space="0"/>
              <w:bottom w:val="nil"/>
            </w:tcBorders>
            <w:textDirection w:val="tbRlV"/>
            <w:vAlign w:val="top"/>
          </w:tcPr>
          <w:p w14:paraId="6186A546">
            <w:pPr>
              <w:rPr>
                <w:rFonts w:ascii="Arial"/>
                <w:sz w:val="21"/>
              </w:rPr>
            </w:pPr>
          </w:p>
        </w:tc>
        <w:tc>
          <w:tcPr>
            <w:tcW w:w="2215" w:type="dxa"/>
            <w:gridSpan w:val="6"/>
            <w:tcBorders>
              <w:right w:val="single" w:color="000000" w:sz="4" w:space="0"/>
            </w:tcBorders>
            <w:vAlign w:val="top"/>
          </w:tcPr>
          <w:p w14:paraId="59EF05D0">
            <w:pPr>
              <w:rPr>
                <w:rFonts w:ascii="Arial"/>
                <w:sz w:val="21"/>
              </w:rPr>
            </w:pPr>
          </w:p>
        </w:tc>
        <w:tc>
          <w:tcPr>
            <w:tcW w:w="514" w:type="dxa"/>
            <w:tcBorders>
              <w:left w:val="single" w:color="000000" w:sz="4" w:space="0"/>
            </w:tcBorders>
            <w:vAlign w:val="top"/>
          </w:tcPr>
          <w:p w14:paraId="49BC77F8">
            <w:pPr>
              <w:rPr>
                <w:rFonts w:ascii="Arial"/>
                <w:sz w:val="21"/>
              </w:rPr>
            </w:pPr>
          </w:p>
        </w:tc>
        <w:tc>
          <w:tcPr>
            <w:tcW w:w="1153" w:type="dxa"/>
            <w:gridSpan w:val="2"/>
            <w:tcBorders>
              <w:right w:val="single" w:color="000000" w:sz="4" w:space="0"/>
            </w:tcBorders>
            <w:vAlign w:val="top"/>
          </w:tcPr>
          <w:p w14:paraId="63431234">
            <w:pPr>
              <w:rPr>
                <w:rFonts w:ascii="Arial"/>
                <w:sz w:val="21"/>
              </w:rPr>
            </w:pPr>
          </w:p>
        </w:tc>
        <w:tc>
          <w:tcPr>
            <w:tcW w:w="942" w:type="dxa"/>
            <w:tcBorders>
              <w:left w:val="single" w:color="000000" w:sz="4" w:space="0"/>
              <w:right w:val="single" w:color="000000" w:sz="4" w:space="0"/>
            </w:tcBorders>
            <w:vAlign w:val="top"/>
          </w:tcPr>
          <w:p w14:paraId="3DB947CC">
            <w:pPr>
              <w:rPr>
                <w:rFonts w:ascii="Arial"/>
                <w:sz w:val="21"/>
              </w:rPr>
            </w:pPr>
          </w:p>
        </w:tc>
        <w:tc>
          <w:tcPr>
            <w:tcW w:w="1003" w:type="dxa"/>
            <w:gridSpan w:val="2"/>
            <w:tcBorders>
              <w:left w:val="single" w:color="000000" w:sz="4" w:space="0"/>
            </w:tcBorders>
            <w:vAlign w:val="top"/>
          </w:tcPr>
          <w:p w14:paraId="5C77331F">
            <w:pPr>
              <w:rPr>
                <w:rFonts w:ascii="Arial"/>
                <w:sz w:val="21"/>
              </w:rPr>
            </w:pPr>
          </w:p>
        </w:tc>
        <w:tc>
          <w:tcPr>
            <w:tcW w:w="1290" w:type="dxa"/>
            <w:gridSpan w:val="2"/>
            <w:tcBorders>
              <w:right w:val="single" w:color="000000" w:sz="4" w:space="0"/>
            </w:tcBorders>
            <w:vAlign w:val="top"/>
          </w:tcPr>
          <w:p w14:paraId="6682DDAD">
            <w:pPr>
              <w:rPr>
                <w:rFonts w:ascii="Arial"/>
                <w:sz w:val="21"/>
              </w:rPr>
            </w:pPr>
          </w:p>
        </w:tc>
        <w:tc>
          <w:tcPr>
            <w:tcW w:w="1122" w:type="dxa"/>
            <w:tcBorders>
              <w:left w:val="single" w:color="000000" w:sz="4" w:space="0"/>
              <w:right w:val="single" w:color="000000" w:sz="4" w:space="0"/>
            </w:tcBorders>
            <w:vAlign w:val="top"/>
          </w:tcPr>
          <w:p w14:paraId="1C1440F6">
            <w:pPr>
              <w:rPr>
                <w:rFonts w:ascii="Arial"/>
                <w:sz w:val="21"/>
              </w:rPr>
            </w:pPr>
          </w:p>
        </w:tc>
      </w:tr>
      <w:tr w14:paraId="09D598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05" w:type="dxa"/>
            <w:vMerge w:val="continue"/>
            <w:tcBorders>
              <w:top w:val="nil"/>
              <w:left w:val="single" w:color="000000" w:sz="4" w:space="0"/>
              <w:bottom w:val="nil"/>
            </w:tcBorders>
            <w:textDirection w:val="tbRlV"/>
            <w:vAlign w:val="top"/>
          </w:tcPr>
          <w:p w14:paraId="3FD3D32E">
            <w:pPr>
              <w:rPr>
                <w:rFonts w:ascii="Arial"/>
                <w:sz w:val="21"/>
              </w:rPr>
            </w:pPr>
          </w:p>
        </w:tc>
        <w:tc>
          <w:tcPr>
            <w:tcW w:w="2215" w:type="dxa"/>
            <w:gridSpan w:val="6"/>
            <w:tcBorders>
              <w:right w:val="single" w:color="000000" w:sz="4" w:space="0"/>
            </w:tcBorders>
            <w:vAlign w:val="top"/>
          </w:tcPr>
          <w:p w14:paraId="2A54EE2A">
            <w:pPr>
              <w:rPr>
                <w:rFonts w:ascii="Arial"/>
                <w:sz w:val="21"/>
              </w:rPr>
            </w:pPr>
          </w:p>
        </w:tc>
        <w:tc>
          <w:tcPr>
            <w:tcW w:w="514" w:type="dxa"/>
            <w:tcBorders>
              <w:left w:val="single" w:color="000000" w:sz="4" w:space="0"/>
            </w:tcBorders>
            <w:vAlign w:val="top"/>
          </w:tcPr>
          <w:p w14:paraId="475297BC">
            <w:pPr>
              <w:rPr>
                <w:rFonts w:ascii="Arial"/>
                <w:sz w:val="21"/>
              </w:rPr>
            </w:pPr>
          </w:p>
        </w:tc>
        <w:tc>
          <w:tcPr>
            <w:tcW w:w="1153" w:type="dxa"/>
            <w:gridSpan w:val="2"/>
            <w:tcBorders>
              <w:right w:val="single" w:color="000000" w:sz="4" w:space="0"/>
            </w:tcBorders>
            <w:vAlign w:val="top"/>
          </w:tcPr>
          <w:p w14:paraId="43133EDE">
            <w:pPr>
              <w:rPr>
                <w:rFonts w:ascii="Arial"/>
                <w:sz w:val="21"/>
              </w:rPr>
            </w:pPr>
          </w:p>
        </w:tc>
        <w:tc>
          <w:tcPr>
            <w:tcW w:w="942" w:type="dxa"/>
            <w:tcBorders>
              <w:left w:val="single" w:color="000000" w:sz="4" w:space="0"/>
              <w:right w:val="single" w:color="000000" w:sz="4" w:space="0"/>
            </w:tcBorders>
            <w:vAlign w:val="top"/>
          </w:tcPr>
          <w:p w14:paraId="2B650BDD">
            <w:pPr>
              <w:rPr>
                <w:rFonts w:ascii="Arial"/>
                <w:sz w:val="21"/>
              </w:rPr>
            </w:pPr>
          </w:p>
        </w:tc>
        <w:tc>
          <w:tcPr>
            <w:tcW w:w="1003" w:type="dxa"/>
            <w:gridSpan w:val="2"/>
            <w:tcBorders>
              <w:left w:val="single" w:color="000000" w:sz="4" w:space="0"/>
            </w:tcBorders>
            <w:vAlign w:val="top"/>
          </w:tcPr>
          <w:p w14:paraId="4F00C0D4">
            <w:pPr>
              <w:rPr>
                <w:rFonts w:ascii="Arial"/>
                <w:sz w:val="21"/>
              </w:rPr>
            </w:pPr>
          </w:p>
        </w:tc>
        <w:tc>
          <w:tcPr>
            <w:tcW w:w="1290" w:type="dxa"/>
            <w:gridSpan w:val="2"/>
            <w:tcBorders>
              <w:right w:val="single" w:color="000000" w:sz="4" w:space="0"/>
            </w:tcBorders>
            <w:vAlign w:val="top"/>
          </w:tcPr>
          <w:p w14:paraId="54B949B2">
            <w:pPr>
              <w:rPr>
                <w:rFonts w:ascii="Arial"/>
                <w:sz w:val="21"/>
              </w:rPr>
            </w:pPr>
          </w:p>
        </w:tc>
        <w:tc>
          <w:tcPr>
            <w:tcW w:w="1122" w:type="dxa"/>
            <w:tcBorders>
              <w:left w:val="single" w:color="000000" w:sz="4" w:space="0"/>
              <w:right w:val="single" w:color="000000" w:sz="4" w:space="0"/>
            </w:tcBorders>
            <w:vAlign w:val="top"/>
          </w:tcPr>
          <w:p w14:paraId="2A30A134">
            <w:pPr>
              <w:rPr>
                <w:rFonts w:ascii="Arial"/>
                <w:sz w:val="21"/>
              </w:rPr>
            </w:pPr>
          </w:p>
        </w:tc>
      </w:tr>
      <w:tr w14:paraId="68251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05" w:type="dxa"/>
            <w:vMerge w:val="continue"/>
            <w:tcBorders>
              <w:top w:val="nil"/>
              <w:left w:val="single" w:color="000000" w:sz="4" w:space="0"/>
              <w:bottom w:val="nil"/>
            </w:tcBorders>
            <w:textDirection w:val="tbRlV"/>
            <w:vAlign w:val="top"/>
          </w:tcPr>
          <w:p w14:paraId="3FEA58F3">
            <w:pPr>
              <w:rPr>
                <w:rFonts w:ascii="Arial"/>
                <w:sz w:val="21"/>
              </w:rPr>
            </w:pPr>
          </w:p>
        </w:tc>
        <w:tc>
          <w:tcPr>
            <w:tcW w:w="2215" w:type="dxa"/>
            <w:gridSpan w:val="6"/>
            <w:tcBorders>
              <w:right w:val="single" w:color="000000" w:sz="4" w:space="0"/>
            </w:tcBorders>
            <w:vAlign w:val="top"/>
          </w:tcPr>
          <w:p w14:paraId="78101679">
            <w:pPr>
              <w:rPr>
                <w:rFonts w:ascii="Arial"/>
                <w:sz w:val="21"/>
              </w:rPr>
            </w:pPr>
          </w:p>
        </w:tc>
        <w:tc>
          <w:tcPr>
            <w:tcW w:w="514" w:type="dxa"/>
            <w:tcBorders>
              <w:left w:val="single" w:color="000000" w:sz="4" w:space="0"/>
            </w:tcBorders>
            <w:vAlign w:val="top"/>
          </w:tcPr>
          <w:p w14:paraId="42D206C7">
            <w:pPr>
              <w:rPr>
                <w:rFonts w:ascii="Arial"/>
                <w:sz w:val="21"/>
              </w:rPr>
            </w:pPr>
          </w:p>
        </w:tc>
        <w:tc>
          <w:tcPr>
            <w:tcW w:w="1153" w:type="dxa"/>
            <w:gridSpan w:val="2"/>
            <w:tcBorders>
              <w:right w:val="single" w:color="000000" w:sz="4" w:space="0"/>
            </w:tcBorders>
            <w:vAlign w:val="top"/>
          </w:tcPr>
          <w:p w14:paraId="704522F9">
            <w:pPr>
              <w:rPr>
                <w:rFonts w:ascii="Arial"/>
                <w:sz w:val="21"/>
              </w:rPr>
            </w:pPr>
          </w:p>
        </w:tc>
        <w:tc>
          <w:tcPr>
            <w:tcW w:w="942" w:type="dxa"/>
            <w:tcBorders>
              <w:left w:val="single" w:color="000000" w:sz="4" w:space="0"/>
              <w:right w:val="single" w:color="000000" w:sz="4" w:space="0"/>
            </w:tcBorders>
            <w:vAlign w:val="top"/>
          </w:tcPr>
          <w:p w14:paraId="74C0C5A6">
            <w:pPr>
              <w:rPr>
                <w:rFonts w:ascii="Arial"/>
                <w:sz w:val="21"/>
              </w:rPr>
            </w:pPr>
          </w:p>
        </w:tc>
        <w:tc>
          <w:tcPr>
            <w:tcW w:w="1003" w:type="dxa"/>
            <w:gridSpan w:val="2"/>
            <w:tcBorders>
              <w:left w:val="single" w:color="000000" w:sz="4" w:space="0"/>
            </w:tcBorders>
            <w:vAlign w:val="top"/>
          </w:tcPr>
          <w:p w14:paraId="5E52B860">
            <w:pPr>
              <w:rPr>
                <w:rFonts w:ascii="Arial"/>
                <w:sz w:val="21"/>
              </w:rPr>
            </w:pPr>
          </w:p>
        </w:tc>
        <w:tc>
          <w:tcPr>
            <w:tcW w:w="1290" w:type="dxa"/>
            <w:gridSpan w:val="2"/>
            <w:tcBorders>
              <w:right w:val="single" w:color="000000" w:sz="4" w:space="0"/>
            </w:tcBorders>
            <w:vAlign w:val="top"/>
          </w:tcPr>
          <w:p w14:paraId="5A44EA5E">
            <w:pPr>
              <w:rPr>
                <w:rFonts w:ascii="Arial"/>
                <w:sz w:val="21"/>
              </w:rPr>
            </w:pPr>
          </w:p>
        </w:tc>
        <w:tc>
          <w:tcPr>
            <w:tcW w:w="1122" w:type="dxa"/>
            <w:tcBorders>
              <w:left w:val="single" w:color="000000" w:sz="4" w:space="0"/>
              <w:right w:val="single" w:color="000000" w:sz="4" w:space="0"/>
            </w:tcBorders>
            <w:vAlign w:val="top"/>
          </w:tcPr>
          <w:p w14:paraId="4561D516">
            <w:pPr>
              <w:rPr>
                <w:rFonts w:ascii="Arial"/>
                <w:sz w:val="21"/>
              </w:rPr>
            </w:pPr>
          </w:p>
        </w:tc>
      </w:tr>
      <w:tr w14:paraId="17DB3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05" w:type="dxa"/>
            <w:vMerge w:val="continue"/>
            <w:tcBorders>
              <w:top w:val="nil"/>
              <w:left w:val="single" w:color="000000" w:sz="4" w:space="0"/>
              <w:bottom w:val="nil"/>
            </w:tcBorders>
            <w:textDirection w:val="tbRlV"/>
            <w:vAlign w:val="top"/>
          </w:tcPr>
          <w:p w14:paraId="7CD052DE">
            <w:pPr>
              <w:rPr>
                <w:rFonts w:ascii="Arial"/>
                <w:sz w:val="21"/>
              </w:rPr>
            </w:pPr>
          </w:p>
        </w:tc>
        <w:tc>
          <w:tcPr>
            <w:tcW w:w="3882" w:type="dxa"/>
            <w:gridSpan w:val="9"/>
            <w:tcBorders>
              <w:right w:val="single" w:color="000000" w:sz="4" w:space="0"/>
            </w:tcBorders>
            <w:vAlign w:val="top"/>
          </w:tcPr>
          <w:p w14:paraId="5DC81812">
            <w:pPr>
              <w:pStyle w:val="6"/>
              <w:spacing w:before="181" w:line="227" w:lineRule="auto"/>
              <w:ind w:left="1419"/>
            </w:pPr>
            <w:r>
              <w:rPr>
                <w:spacing w:val="7"/>
              </w:rPr>
              <w:t>其他材料费</w:t>
            </w:r>
          </w:p>
        </w:tc>
        <w:tc>
          <w:tcPr>
            <w:tcW w:w="942" w:type="dxa"/>
            <w:tcBorders>
              <w:left w:val="single" w:color="000000" w:sz="4" w:space="0"/>
              <w:right w:val="single" w:color="000000" w:sz="4" w:space="0"/>
            </w:tcBorders>
            <w:vAlign w:val="top"/>
          </w:tcPr>
          <w:p w14:paraId="6FB7E909">
            <w:pPr>
              <w:pStyle w:val="6"/>
              <w:spacing w:before="280" w:line="136" w:lineRule="exact"/>
              <w:ind w:left="369"/>
            </w:pPr>
            <w:r>
              <w:rPr>
                <w:spacing w:val="2"/>
                <w:position w:val="-3"/>
              </w:rPr>
              <w:t>—</w:t>
            </w:r>
          </w:p>
        </w:tc>
        <w:tc>
          <w:tcPr>
            <w:tcW w:w="1003" w:type="dxa"/>
            <w:gridSpan w:val="2"/>
            <w:tcBorders>
              <w:left w:val="single" w:color="000000" w:sz="4" w:space="0"/>
            </w:tcBorders>
            <w:vAlign w:val="top"/>
          </w:tcPr>
          <w:p w14:paraId="17191FCE">
            <w:pPr>
              <w:rPr>
                <w:rFonts w:ascii="Arial"/>
                <w:sz w:val="21"/>
              </w:rPr>
            </w:pPr>
          </w:p>
        </w:tc>
        <w:tc>
          <w:tcPr>
            <w:tcW w:w="1290" w:type="dxa"/>
            <w:gridSpan w:val="2"/>
            <w:tcBorders>
              <w:right w:val="single" w:color="000000" w:sz="4" w:space="0"/>
            </w:tcBorders>
            <w:vAlign w:val="top"/>
          </w:tcPr>
          <w:p w14:paraId="5D322C6C">
            <w:pPr>
              <w:pStyle w:val="6"/>
              <w:spacing w:before="280" w:line="136" w:lineRule="exact"/>
              <w:ind w:left="550"/>
            </w:pPr>
            <w:r>
              <w:rPr>
                <w:spacing w:val="2"/>
                <w:position w:val="-3"/>
              </w:rPr>
              <w:t>—</w:t>
            </w:r>
          </w:p>
        </w:tc>
        <w:tc>
          <w:tcPr>
            <w:tcW w:w="1122" w:type="dxa"/>
            <w:tcBorders>
              <w:left w:val="single" w:color="000000" w:sz="4" w:space="0"/>
              <w:right w:val="single" w:color="000000" w:sz="4" w:space="0"/>
            </w:tcBorders>
            <w:vAlign w:val="top"/>
          </w:tcPr>
          <w:p w14:paraId="708F83D7">
            <w:pPr>
              <w:rPr>
                <w:rFonts w:ascii="Arial"/>
                <w:sz w:val="21"/>
              </w:rPr>
            </w:pPr>
          </w:p>
        </w:tc>
      </w:tr>
      <w:tr w14:paraId="3FC93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05" w:type="dxa"/>
            <w:vMerge w:val="continue"/>
            <w:tcBorders>
              <w:top w:val="nil"/>
              <w:left w:val="single" w:color="000000" w:sz="4" w:space="0"/>
              <w:bottom w:val="single" w:color="000000" w:sz="4" w:space="0"/>
            </w:tcBorders>
            <w:textDirection w:val="tbRlV"/>
            <w:vAlign w:val="top"/>
          </w:tcPr>
          <w:p w14:paraId="2A22E6A3">
            <w:pPr>
              <w:rPr>
                <w:rFonts w:ascii="Arial"/>
                <w:sz w:val="21"/>
              </w:rPr>
            </w:pPr>
          </w:p>
        </w:tc>
        <w:tc>
          <w:tcPr>
            <w:tcW w:w="3882" w:type="dxa"/>
            <w:gridSpan w:val="9"/>
            <w:tcBorders>
              <w:bottom w:val="single" w:color="000000" w:sz="4" w:space="0"/>
              <w:right w:val="single" w:color="000000" w:sz="4" w:space="0"/>
            </w:tcBorders>
            <w:vAlign w:val="top"/>
          </w:tcPr>
          <w:p w14:paraId="3863AB84">
            <w:pPr>
              <w:pStyle w:val="6"/>
              <w:spacing w:before="182" w:line="227" w:lineRule="auto"/>
              <w:ind w:left="1418"/>
            </w:pPr>
            <w:r>
              <w:rPr>
                <w:spacing w:val="8"/>
              </w:rPr>
              <w:t>材料费小计</w:t>
            </w:r>
          </w:p>
        </w:tc>
        <w:tc>
          <w:tcPr>
            <w:tcW w:w="942" w:type="dxa"/>
            <w:tcBorders>
              <w:left w:val="single" w:color="000000" w:sz="4" w:space="0"/>
              <w:bottom w:val="single" w:color="000000" w:sz="4" w:space="0"/>
              <w:right w:val="single" w:color="000000" w:sz="4" w:space="0"/>
            </w:tcBorders>
            <w:vAlign w:val="top"/>
          </w:tcPr>
          <w:p w14:paraId="37BF751F">
            <w:pPr>
              <w:pStyle w:val="6"/>
              <w:spacing w:before="280" w:line="136" w:lineRule="exact"/>
              <w:ind w:left="369"/>
            </w:pPr>
            <w:r>
              <w:rPr>
                <w:spacing w:val="2"/>
                <w:position w:val="-3"/>
              </w:rPr>
              <w:t>—</w:t>
            </w:r>
          </w:p>
        </w:tc>
        <w:tc>
          <w:tcPr>
            <w:tcW w:w="1003" w:type="dxa"/>
            <w:gridSpan w:val="2"/>
            <w:tcBorders>
              <w:left w:val="single" w:color="000000" w:sz="4" w:space="0"/>
              <w:bottom w:val="single" w:color="000000" w:sz="4" w:space="0"/>
            </w:tcBorders>
            <w:vAlign w:val="top"/>
          </w:tcPr>
          <w:p w14:paraId="70359EAD">
            <w:pPr>
              <w:rPr>
                <w:rFonts w:ascii="Arial"/>
                <w:sz w:val="21"/>
              </w:rPr>
            </w:pPr>
          </w:p>
        </w:tc>
        <w:tc>
          <w:tcPr>
            <w:tcW w:w="1290" w:type="dxa"/>
            <w:gridSpan w:val="2"/>
            <w:tcBorders>
              <w:bottom w:val="single" w:color="000000" w:sz="4" w:space="0"/>
              <w:right w:val="single" w:color="000000" w:sz="4" w:space="0"/>
            </w:tcBorders>
            <w:vAlign w:val="top"/>
          </w:tcPr>
          <w:p w14:paraId="4E7F55E5">
            <w:pPr>
              <w:pStyle w:val="6"/>
              <w:spacing w:before="280" w:line="136" w:lineRule="exact"/>
              <w:ind w:left="550"/>
            </w:pPr>
            <w:r>
              <w:rPr>
                <w:spacing w:val="2"/>
                <w:position w:val="-3"/>
              </w:rPr>
              <w:t>—</w:t>
            </w:r>
          </w:p>
        </w:tc>
        <w:tc>
          <w:tcPr>
            <w:tcW w:w="1122" w:type="dxa"/>
            <w:tcBorders>
              <w:left w:val="single" w:color="000000" w:sz="4" w:space="0"/>
              <w:bottom w:val="single" w:color="000000" w:sz="4" w:space="0"/>
              <w:right w:val="single" w:color="000000" w:sz="4" w:space="0"/>
            </w:tcBorders>
            <w:vAlign w:val="top"/>
          </w:tcPr>
          <w:p w14:paraId="3025A2C9">
            <w:pPr>
              <w:rPr>
                <w:rFonts w:ascii="Arial"/>
                <w:sz w:val="21"/>
              </w:rPr>
            </w:pPr>
          </w:p>
        </w:tc>
      </w:tr>
    </w:tbl>
    <w:p w14:paraId="1B401581">
      <w:pPr>
        <w:pStyle w:val="2"/>
        <w:spacing w:before="304" w:line="229" w:lineRule="auto"/>
        <w:ind w:left="74"/>
        <w:rPr>
          <w:rFonts w:ascii="宋体" w:hAnsi="宋体" w:eastAsia="宋体" w:cs="宋体"/>
          <w:sz w:val="20"/>
          <w:szCs w:val="20"/>
        </w:rPr>
      </w:pPr>
      <w:r>
        <w:rPr>
          <w:rFonts w:ascii="宋体" w:hAnsi="宋体" w:eastAsia="宋体" w:cs="宋体"/>
          <w:spacing w:val="9"/>
          <w:sz w:val="20"/>
          <w:szCs w:val="20"/>
        </w:rPr>
        <w:t>注：</w:t>
      </w:r>
      <w:r>
        <w:rPr>
          <w:spacing w:val="9"/>
          <w:sz w:val="20"/>
          <w:szCs w:val="20"/>
        </w:rPr>
        <w:t>1.</w:t>
      </w:r>
      <w:r>
        <w:rPr>
          <w:rFonts w:ascii="宋体" w:hAnsi="宋体" w:eastAsia="宋体" w:cs="宋体"/>
          <w:spacing w:val="9"/>
          <w:sz w:val="20"/>
          <w:szCs w:val="20"/>
        </w:rPr>
        <w:t>如不使用省级或行业建设主管部门发布的计价依据，可不填定额编号、名称等。</w:t>
      </w:r>
    </w:p>
    <w:p w14:paraId="7E7478A8">
      <w:pPr>
        <w:spacing w:before="24" w:line="254" w:lineRule="auto"/>
        <w:ind w:left="702" w:hanging="212"/>
        <w:rPr>
          <w:rFonts w:ascii="宋体" w:hAnsi="宋体" w:eastAsia="宋体" w:cs="宋体"/>
          <w:sz w:val="20"/>
          <w:szCs w:val="20"/>
        </w:rPr>
      </w:pPr>
      <w:r>
        <w:rPr>
          <w:rFonts w:ascii="Times New Roman" w:hAnsi="Times New Roman" w:eastAsia="Times New Roman" w:cs="Times New Roman"/>
          <w:spacing w:val="10"/>
          <w:sz w:val="20"/>
          <w:szCs w:val="20"/>
        </w:rPr>
        <w:t xml:space="preserve">2.  </w:t>
      </w:r>
      <w:r>
        <w:rPr>
          <w:rFonts w:ascii="宋体" w:hAnsi="宋体" w:eastAsia="宋体" w:cs="宋体"/>
          <w:spacing w:val="10"/>
          <w:sz w:val="20"/>
          <w:szCs w:val="20"/>
        </w:rPr>
        <w:t>招标文件提供了暂估单价的材料，按暂估的单价填入表内“暂估单价</w:t>
      </w:r>
      <w:r>
        <w:rPr>
          <w:rFonts w:ascii="宋体" w:hAnsi="宋体" w:eastAsia="宋体" w:cs="宋体"/>
          <w:spacing w:val="-65"/>
          <w:sz w:val="20"/>
          <w:szCs w:val="20"/>
        </w:rPr>
        <w:t xml:space="preserve"> </w:t>
      </w:r>
      <w:r>
        <w:rPr>
          <w:rFonts w:ascii="宋体" w:hAnsi="宋体" w:eastAsia="宋体" w:cs="宋体"/>
          <w:spacing w:val="10"/>
          <w:sz w:val="20"/>
          <w:szCs w:val="20"/>
        </w:rPr>
        <w:t>”栏及“暂估合价</w:t>
      </w:r>
      <w:r>
        <w:rPr>
          <w:rFonts w:ascii="宋体" w:hAnsi="宋体" w:eastAsia="宋体" w:cs="宋体"/>
          <w:spacing w:val="-70"/>
          <w:sz w:val="20"/>
          <w:szCs w:val="20"/>
        </w:rPr>
        <w:t xml:space="preserve"> </w:t>
      </w:r>
      <w:r>
        <w:rPr>
          <w:rFonts w:ascii="宋体" w:hAnsi="宋体" w:eastAsia="宋体" w:cs="宋体"/>
          <w:spacing w:val="10"/>
          <w:sz w:val="20"/>
          <w:szCs w:val="20"/>
        </w:rPr>
        <w:t>”</w:t>
      </w:r>
      <w:r>
        <w:rPr>
          <w:rFonts w:ascii="宋体" w:hAnsi="宋体" w:eastAsia="宋体" w:cs="宋体"/>
          <w:sz w:val="20"/>
          <w:szCs w:val="20"/>
        </w:rPr>
        <w:t>栏。</w:t>
      </w:r>
    </w:p>
    <w:p w14:paraId="6ED0CA59">
      <w:pPr>
        <w:spacing w:line="254" w:lineRule="auto"/>
        <w:rPr>
          <w:rFonts w:ascii="宋体" w:hAnsi="宋体" w:eastAsia="宋体" w:cs="宋体"/>
          <w:sz w:val="20"/>
          <w:szCs w:val="20"/>
        </w:rPr>
        <w:sectPr>
          <w:footerReference r:id="rId459" w:type="default"/>
          <w:pgSz w:w="11907" w:h="16840"/>
          <w:pgMar w:top="400" w:right="1405" w:bottom="1105" w:left="1464" w:header="0" w:footer="943" w:gutter="0"/>
          <w:cols w:space="720" w:num="1"/>
        </w:sectPr>
      </w:pPr>
    </w:p>
    <w:p w14:paraId="5FF50F67">
      <w:pPr>
        <w:spacing w:line="257" w:lineRule="auto"/>
        <w:rPr>
          <w:rFonts w:ascii="Arial"/>
          <w:sz w:val="21"/>
        </w:rPr>
      </w:pPr>
    </w:p>
    <w:p w14:paraId="336B079C">
      <w:pPr>
        <w:spacing w:line="257" w:lineRule="auto"/>
        <w:rPr>
          <w:rFonts w:ascii="Arial"/>
          <w:sz w:val="21"/>
        </w:rPr>
      </w:pPr>
    </w:p>
    <w:p w14:paraId="737764BC">
      <w:pPr>
        <w:spacing w:line="258" w:lineRule="auto"/>
        <w:rPr>
          <w:rFonts w:ascii="Arial"/>
          <w:sz w:val="21"/>
        </w:rPr>
      </w:pPr>
    </w:p>
    <w:p w14:paraId="5DA601AF">
      <w:pPr>
        <w:spacing w:line="258" w:lineRule="auto"/>
        <w:rPr>
          <w:rFonts w:ascii="Arial"/>
          <w:sz w:val="21"/>
        </w:rPr>
      </w:pPr>
    </w:p>
    <w:p w14:paraId="13986D2D">
      <w:pPr>
        <w:spacing w:line="258" w:lineRule="auto"/>
        <w:rPr>
          <w:rFonts w:ascii="Arial"/>
          <w:sz w:val="21"/>
        </w:rPr>
      </w:pPr>
    </w:p>
    <w:p w14:paraId="34C693DB">
      <w:pPr>
        <w:pStyle w:val="2"/>
        <w:spacing w:before="78" w:line="222" w:lineRule="auto"/>
        <w:outlineLvl w:val="2"/>
        <w:rPr>
          <w:sz w:val="24"/>
          <w:szCs w:val="24"/>
        </w:rPr>
      </w:pPr>
      <w:bookmarkStart w:id="365" w:name="bookmark347"/>
      <w:bookmarkEnd w:id="365"/>
      <w:r>
        <w:rPr>
          <w:rFonts w:ascii="Times New Roman" w:hAnsi="Times New Roman" w:eastAsia="Times New Roman" w:cs="Times New Roman"/>
          <w:spacing w:val="-1"/>
          <w:sz w:val="24"/>
          <w:szCs w:val="24"/>
        </w:rPr>
        <w:t xml:space="preserve">4.11 </w:t>
      </w:r>
      <w:r>
        <w:rPr>
          <w:spacing w:val="-1"/>
          <w:sz w:val="24"/>
          <w:szCs w:val="24"/>
        </w:rPr>
        <w:t>总价措施项目清单与计价表</w:t>
      </w:r>
    </w:p>
    <w:p w14:paraId="046CAA6A">
      <w:pPr>
        <w:pStyle w:val="2"/>
        <w:spacing w:before="157" w:line="275" w:lineRule="auto"/>
        <w:ind w:left="6" w:right="2728" w:firstLine="2737"/>
        <w:rPr>
          <w:rFonts w:ascii="宋体" w:hAnsi="宋体" w:eastAsia="宋体" w:cs="宋体"/>
          <w:sz w:val="20"/>
          <w:szCs w:val="20"/>
        </w:rPr>
      </w:pPr>
      <w:r>
        <w:pict>
          <v:shape id="_x0000_s1112" o:spid="_x0000_s1112" o:spt="202" type="#_x0000_t202" style="position:absolute;left:0pt;margin-left:329.9pt;margin-top:30.55pt;height:14.35pt;width:69.8pt;z-index:251754496;mso-width-relative:page;mso-height-relative:page;" filled="f" stroked="f" coordsize="21600,21600">
            <v:path/>
            <v:fill on="f" focussize="0,0"/>
            <v:stroke on="f"/>
            <v:imagedata o:title=""/>
            <o:lock v:ext="edit" aspectratio="f"/>
            <v:textbox inset="0mm,0mm,0mm,0mm">
              <w:txbxContent>
                <w:p w14:paraId="4FD309E0">
                  <w:pPr>
                    <w:spacing w:before="19" w:line="228" w:lineRule="auto"/>
                    <w:ind w:left="20"/>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2"/>
                      <w:sz w:val="20"/>
                      <w:szCs w:val="20"/>
                    </w:rPr>
                    <w:t xml:space="preserve">  </w:t>
                  </w:r>
                  <w:r>
                    <w:rPr>
                      <w:rFonts w:ascii="宋体" w:hAnsi="宋体" w:eastAsia="宋体" w:cs="宋体"/>
                      <w:spacing w:val="-1"/>
                      <w:sz w:val="20"/>
                      <w:szCs w:val="20"/>
                    </w:rPr>
                    <w:t>页</w:t>
                  </w:r>
                  <w:r>
                    <w:rPr>
                      <w:rFonts w:ascii="宋体" w:hAnsi="宋体" w:eastAsia="宋体" w:cs="宋体"/>
                      <w:spacing w:val="14"/>
                      <w:sz w:val="20"/>
                      <w:szCs w:val="20"/>
                    </w:rPr>
                    <w:t xml:space="preserve"> </w:t>
                  </w:r>
                  <w:r>
                    <w:rPr>
                      <w:rFonts w:ascii="宋体" w:hAnsi="宋体" w:eastAsia="宋体" w:cs="宋体"/>
                      <w:spacing w:val="-1"/>
                      <w:sz w:val="20"/>
                      <w:szCs w:val="20"/>
                    </w:rPr>
                    <w:t>共</w:t>
                  </w:r>
                  <w:r>
                    <w:rPr>
                      <w:rFonts w:ascii="宋体" w:hAnsi="宋体" w:eastAsia="宋体" w:cs="宋体"/>
                      <w:spacing w:val="12"/>
                      <w:sz w:val="20"/>
                      <w:szCs w:val="20"/>
                    </w:rPr>
                    <w:t xml:space="preserve">  </w:t>
                  </w:r>
                  <w:r>
                    <w:rPr>
                      <w:rFonts w:ascii="宋体" w:hAnsi="宋体" w:eastAsia="宋体" w:cs="宋体"/>
                      <w:spacing w:val="-1"/>
                      <w:sz w:val="20"/>
                      <w:szCs w:val="20"/>
                    </w:rPr>
                    <w:t>页</w:t>
                  </w:r>
                </w:p>
              </w:txbxContent>
            </v:textbox>
          </v:shape>
        </w:pict>
      </w:r>
      <w:r>
        <w:rPr>
          <w:spacing w:val="-2"/>
          <w:sz w:val="28"/>
          <w:szCs w:val="28"/>
        </w:rPr>
        <w:t>总价措施项目清单与计价表</w:t>
      </w:r>
      <w:r>
        <w:rPr>
          <w:rFonts w:ascii="宋体" w:hAnsi="宋体" w:eastAsia="宋体" w:cs="宋体"/>
          <w:spacing w:val="5"/>
          <w:sz w:val="20"/>
          <w:szCs w:val="20"/>
        </w:rPr>
        <w:t>工程名称：</w:t>
      </w:r>
      <w:r>
        <w:rPr>
          <w:rFonts w:ascii="宋体" w:hAnsi="宋体" w:eastAsia="宋体" w:cs="宋体"/>
          <w:spacing w:val="1"/>
          <w:sz w:val="20"/>
          <w:szCs w:val="20"/>
        </w:rPr>
        <w:t xml:space="preserve">                         </w:t>
      </w:r>
      <w:r>
        <w:rPr>
          <w:rFonts w:ascii="宋体" w:hAnsi="宋体" w:eastAsia="宋体" w:cs="宋体"/>
          <w:spacing w:val="5"/>
          <w:sz w:val="20"/>
          <w:szCs w:val="20"/>
        </w:rPr>
        <w:t>标段名称：</w:t>
      </w:r>
    </w:p>
    <w:tbl>
      <w:tblPr>
        <w:tblStyle w:val="5"/>
        <w:tblW w:w="8532" w:type="dxa"/>
        <w:tblInd w:w="1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2"/>
        <w:gridCol w:w="1151"/>
        <w:gridCol w:w="2157"/>
        <w:gridCol w:w="1258"/>
        <w:gridCol w:w="1079"/>
        <w:gridCol w:w="1259"/>
        <w:gridCol w:w="1046"/>
      </w:tblGrid>
      <w:tr w14:paraId="425A6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0" w:hRule="atLeast"/>
        </w:trPr>
        <w:tc>
          <w:tcPr>
            <w:tcW w:w="582" w:type="dxa"/>
            <w:tcBorders>
              <w:top w:val="single" w:color="000000" w:sz="4" w:space="0"/>
              <w:left w:val="single" w:color="000000" w:sz="4" w:space="0"/>
            </w:tcBorders>
            <w:textDirection w:val="tbRlV"/>
            <w:vAlign w:val="top"/>
          </w:tcPr>
          <w:p w14:paraId="0B5E3B2C">
            <w:pPr>
              <w:pStyle w:val="6"/>
              <w:spacing w:before="185" w:line="218" w:lineRule="auto"/>
              <w:ind w:left="178"/>
            </w:pPr>
            <w:r>
              <w:rPr>
                <w:spacing w:val="8"/>
              </w:rPr>
              <w:t>序</w:t>
            </w:r>
            <w:r>
              <w:rPr>
                <w:spacing w:val="-38"/>
              </w:rPr>
              <w:t xml:space="preserve"> </w:t>
            </w:r>
            <w:r>
              <w:rPr>
                <w:spacing w:val="8"/>
              </w:rPr>
              <w:t>号</w:t>
            </w:r>
          </w:p>
        </w:tc>
        <w:tc>
          <w:tcPr>
            <w:tcW w:w="1151" w:type="dxa"/>
            <w:tcBorders>
              <w:top w:val="single" w:color="000000" w:sz="4" w:space="0"/>
            </w:tcBorders>
            <w:vAlign w:val="top"/>
          </w:tcPr>
          <w:p w14:paraId="5A654DFB">
            <w:pPr>
              <w:spacing w:line="246" w:lineRule="auto"/>
              <w:rPr>
                <w:rFonts w:ascii="Arial"/>
                <w:sz w:val="21"/>
              </w:rPr>
            </w:pPr>
          </w:p>
          <w:p w14:paraId="50FAEDD2">
            <w:pPr>
              <w:pStyle w:val="6"/>
              <w:spacing w:before="65" w:line="228" w:lineRule="auto"/>
              <w:ind w:left="160"/>
            </w:pPr>
            <w:r>
              <w:rPr>
                <w:spacing w:val="6"/>
              </w:rPr>
              <w:t>项目编码</w:t>
            </w:r>
          </w:p>
        </w:tc>
        <w:tc>
          <w:tcPr>
            <w:tcW w:w="2157" w:type="dxa"/>
            <w:tcBorders>
              <w:top w:val="single" w:color="000000" w:sz="4" w:space="0"/>
            </w:tcBorders>
            <w:vAlign w:val="top"/>
          </w:tcPr>
          <w:p w14:paraId="634C4C93">
            <w:pPr>
              <w:spacing w:line="247" w:lineRule="auto"/>
              <w:rPr>
                <w:rFonts w:ascii="Arial"/>
                <w:sz w:val="21"/>
              </w:rPr>
            </w:pPr>
          </w:p>
          <w:p w14:paraId="67BFF4F4">
            <w:pPr>
              <w:pStyle w:val="6"/>
              <w:spacing w:before="65" w:line="228" w:lineRule="auto"/>
              <w:ind w:left="665"/>
            </w:pPr>
            <w:r>
              <w:rPr>
                <w:spacing w:val="6"/>
              </w:rPr>
              <w:t>项目名称</w:t>
            </w:r>
          </w:p>
        </w:tc>
        <w:tc>
          <w:tcPr>
            <w:tcW w:w="1258" w:type="dxa"/>
            <w:tcBorders>
              <w:top w:val="single" w:color="000000" w:sz="4" w:space="0"/>
            </w:tcBorders>
            <w:vAlign w:val="top"/>
          </w:tcPr>
          <w:p w14:paraId="18E70692">
            <w:pPr>
              <w:spacing w:line="246" w:lineRule="auto"/>
              <w:rPr>
                <w:rFonts w:ascii="Arial"/>
                <w:sz w:val="21"/>
              </w:rPr>
            </w:pPr>
          </w:p>
          <w:p w14:paraId="2E5672C1">
            <w:pPr>
              <w:pStyle w:val="6"/>
              <w:spacing w:before="65" w:line="228" w:lineRule="auto"/>
              <w:ind w:left="216"/>
            </w:pPr>
            <w:r>
              <w:rPr>
                <w:spacing w:val="7"/>
              </w:rPr>
              <w:t>计算基础</w:t>
            </w:r>
          </w:p>
        </w:tc>
        <w:tc>
          <w:tcPr>
            <w:tcW w:w="1079" w:type="dxa"/>
            <w:tcBorders>
              <w:top w:val="single" w:color="000000" w:sz="4" w:space="0"/>
            </w:tcBorders>
            <w:vAlign w:val="top"/>
          </w:tcPr>
          <w:p w14:paraId="2099DBE0">
            <w:pPr>
              <w:spacing w:line="246" w:lineRule="auto"/>
              <w:rPr>
                <w:rFonts w:ascii="Arial"/>
                <w:sz w:val="21"/>
              </w:rPr>
            </w:pPr>
          </w:p>
          <w:p w14:paraId="483C1420">
            <w:pPr>
              <w:pStyle w:val="6"/>
              <w:spacing w:before="65" w:line="228" w:lineRule="auto"/>
              <w:ind w:left="126"/>
            </w:pPr>
            <w:r>
              <w:rPr>
                <w:spacing w:val="25"/>
              </w:rPr>
              <w:t>费率(%)</w:t>
            </w:r>
          </w:p>
        </w:tc>
        <w:tc>
          <w:tcPr>
            <w:tcW w:w="1259" w:type="dxa"/>
            <w:tcBorders>
              <w:top w:val="single" w:color="000000" w:sz="4" w:space="0"/>
            </w:tcBorders>
            <w:vAlign w:val="top"/>
          </w:tcPr>
          <w:p w14:paraId="01D2C1E6">
            <w:pPr>
              <w:spacing w:line="246" w:lineRule="auto"/>
              <w:rPr>
                <w:rFonts w:ascii="Arial"/>
                <w:sz w:val="21"/>
              </w:rPr>
            </w:pPr>
          </w:p>
          <w:p w14:paraId="542E4734">
            <w:pPr>
              <w:pStyle w:val="6"/>
              <w:spacing w:before="65" w:line="228" w:lineRule="auto"/>
              <w:ind w:left="118"/>
            </w:pPr>
            <w:r>
              <w:rPr>
                <w:spacing w:val="6"/>
              </w:rPr>
              <w:t>金额（元）</w:t>
            </w:r>
          </w:p>
        </w:tc>
        <w:tc>
          <w:tcPr>
            <w:tcW w:w="1046" w:type="dxa"/>
            <w:tcBorders>
              <w:top w:val="single" w:color="000000" w:sz="4" w:space="0"/>
              <w:right w:val="single" w:color="000000" w:sz="4" w:space="0"/>
            </w:tcBorders>
            <w:vAlign w:val="top"/>
          </w:tcPr>
          <w:p w14:paraId="30FA2C71">
            <w:pPr>
              <w:spacing w:line="246" w:lineRule="auto"/>
              <w:rPr>
                <w:rFonts w:ascii="Arial"/>
                <w:sz w:val="21"/>
              </w:rPr>
            </w:pPr>
          </w:p>
          <w:p w14:paraId="320EB3EB">
            <w:pPr>
              <w:pStyle w:val="6"/>
              <w:spacing w:before="65" w:line="229" w:lineRule="auto"/>
              <w:ind w:left="321"/>
            </w:pPr>
            <w:r>
              <w:rPr>
                <w:spacing w:val="3"/>
              </w:rPr>
              <w:t>备注</w:t>
            </w:r>
          </w:p>
        </w:tc>
      </w:tr>
      <w:tr w14:paraId="3EA9F6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6" w:hRule="atLeast"/>
        </w:trPr>
        <w:tc>
          <w:tcPr>
            <w:tcW w:w="582" w:type="dxa"/>
            <w:tcBorders>
              <w:left w:val="single" w:color="000000" w:sz="4" w:space="0"/>
            </w:tcBorders>
            <w:vAlign w:val="top"/>
          </w:tcPr>
          <w:p w14:paraId="7CAAC205">
            <w:pPr>
              <w:rPr>
                <w:rFonts w:ascii="Arial"/>
                <w:sz w:val="21"/>
              </w:rPr>
            </w:pPr>
          </w:p>
        </w:tc>
        <w:tc>
          <w:tcPr>
            <w:tcW w:w="1151" w:type="dxa"/>
            <w:vAlign w:val="top"/>
          </w:tcPr>
          <w:p w14:paraId="4B029141">
            <w:pPr>
              <w:rPr>
                <w:rFonts w:ascii="Arial"/>
                <w:sz w:val="21"/>
              </w:rPr>
            </w:pPr>
          </w:p>
        </w:tc>
        <w:tc>
          <w:tcPr>
            <w:tcW w:w="2157" w:type="dxa"/>
            <w:vAlign w:val="top"/>
          </w:tcPr>
          <w:p w14:paraId="70A43FD9">
            <w:pPr>
              <w:spacing w:line="243" w:lineRule="auto"/>
              <w:rPr>
                <w:rFonts w:ascii="Arial"/>
                <w:sz w:val="21"/>
              </w:rPr>
            </w:pPr>
          </w:p>
          <w:p w14:paraId="46D7BED7">
            <w:pPr>
              <w:pStyle w:val="6"/>
              <w:spacing w:before="65" w:line="228" w:lineRule="auto"/>
              <w:ind w:left="114"/>
            </w:pPr>
            <w:r>
              <w:rPr>
                <w:spacing w:val="8"/>
              </w:rPr>
              <w:t>安全文明施工费</w:t>
            </w:r>
          </w:p>
        </w:tc>
        <w:tc>
          <w:tcPr>
            <w:tcW w:w="1258" w:type="dxa"/>
            <w:vAlign w:val="top"/>
          </w:tcPr>
          <w:p w14:paraId="5504B709">
            <w:pPr>
              <w:rPr>
                <w:rFonts w:ascii="Arial"/>
                <w:sz w:val="21"/>
              </w:rPr>
            </w:pPr>
          </w:p>
        </w:tc>
        <w:tc>
          <w:tcPr>
            <w:tcW w:w="1079" w:type="dxa"/>
            <w:vAlign w:val="top"/>
          </w:tcPr>
          <w:p w14:paraId="7714B9F8">
            <w:pPr>
              <w:rPr>
                <w:rFonts w:ascii="Arial"/>
                <w:sz w:val="21"/>
              </w:rPr>
            </w:pPr>
          </w:p>
        </w:tc>
        <w:tc>
          <w:tcPr>
            <w:tcW w:w="1259" w:type="dxa"/>
            <w:vAlign w:val="top"/>
          </w:tcPr>
          <w:p w14:paraId="06442862">
            <w:pPr>
              <w:rPr>
                <w:rFonts w:ascii="Arial"/>
                <w:sz w:val="21"/>
              </w:rPr>
            </w:pPr>
          </w:p>
        </w:tc>
        <w:tc>
          <w:tcPr>
            <w:tcW w:w="1046" w:type="dxa"/>
            <w:tcBorders>
              <w:right w:val="single" w:color="000000" w:sz="4" w:space="0"/>
            </w:tcBorders>
            <w:vAlign w:val="top"/>
          </w:tcPr>
          <w:p w14:paraId="6221B23C">
            <w:pPr>
              <w:rPr>
                <w:rFonts w:ascii="Arial"/>
                <w:sz w:val="21"/>
              </w:rPr>
            </w:pPr>
          </w:p>
        </w:tc>
      </w:tr>
      <w:tr w14:paraId="2897C3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6" w:hRule="atLeast"/>
        </w:trPr>
        <w:tc>
          <w:tcPr>
            <w:tcW w:w="582" w:type="dxa"/>
            <w:tcBorders>
              <w:left w:val="single" w:color="000000" w:sz="4" w:space="0"/>
              <w:bottom w:val="single" w:color="000000" w:sz="4" w:space="0"/>
            </w:tcBorders>
            <w:vAlign w:val="top"/>
          </w:tcPr>
          <w:p w14:paraId="5260E60A">
            <w:pPr>
              <w:rPr>
                <w:rFonts w:ascii="Arial"/>
                <w:sz w:val="21"/>
              </w:rPr>
            </w:pPr>
          </w:p>
        </w:tc>
        <w:tc>
          <w:tcPr>
            <w:tcW w:w="1151" w:type="dxa"/>
            <w:vAlign w:val="top"/>
          </w:tcPr>
          <w:p w14:paraId="1321FFF1">
            <w:pPr>
              <w:rPr>
                <w:rFonts w:ascii="Arial"/>
                <w:sz w:val="21"/>
              </w:rPr>
            </w:pPr>
          </w:p>
        </w:tc>
        <w:tc>
          <w:tcPr>
            <w:tcW w:w="2157" w:type="dxa"/>
            <w:vAlign w:val="top"/>
          </w:tcPr>
          <w:p w14:paraId="7ECB0788">
            <w:pPr>
              <w:spacing w:line="245" w:lineRule="auto"/>
              <w:rPr>
                <w:rFonts w:ascii="Arial"/>
                <w:sz w:val="21"/>
              </w:rPr>
            </w:pPr>
          </w:p>
          <w:p w14:paraId="6A71B81A">
            <w:pPr>
              <w:pStyle w:val="6"/>
              <w:spacing w:before="65" w:line="228" w:lineRule="auto"/>
              <w:ind w:left="113"/>
            </w:pPr>
            <w:r>
              <w:rPr>
                <w:spacing w:val="8"/>
              </w:rPr>
              <w:t>夜间施工增加费</w:t>
            </w:r>
          </w:p>
        </w:tc>
        <w:tc>
          <w:tcPr>
            <w:tcW w:w="1258" w:type="dxa"/>
            <w:vAlign w:val="top"/>
          </w:tcPr>
          <w:p w14:paraId="455DB964">
            <w:pPr>
              <w:rPr>
                <w:rFonts w:ascii="Arial"/>
                <w:sz w:val="21"/>
              </w:rPr>
            </w:pPr>
          </w:p>
        </w:tc>
        <w:tc>
          <w:tcPr>
            <w:tcW w:w="1079" w:type="dxa"/>
            <w:vAlign w:val="top"/>
          </w:tcPr>
          <w:p w14:paraId="22A80047">
            <w:pPr>
              <w:rPr>
                <w:rFonts w:ascii="Arial"/>
                <w:sz w:val="21"/>
              </w:rPr>
            </w:pPr>
          </w:p>
        </w:tc>
        <w:tc>
          <w:tcPr>
            <w:tcW w:w="1259" w:type="dxa"/>
            <w:vAlign w:val="top"/>
          </w:tcPr>
          <w:p w14:paraId="5F2FCFDC">
            <w:pPr>
              <w:rPr>
                <w:rFonts w:ascii="Arial"/>
                <w:sz w:val="21"/>
              </w:rPr>
            </w:pPr>
          </w:p>
        </w:tc>
        <w:tc>
          <w:tcPr>
            <w:tcW w:w="1046" w:type="dxa"/>
            <w:tcBorders>
              <w:right w:val="single" w:color="000000" w:sz="4" w:space="0"/>
            </w:tcBorders>
            <w:vAlign w:val="top"/>
          </w:tcPr>
          <w:p w14:paraId="07DE60A2">
            <w:pPr>
              <w:rPr>
                <w:rFonts w:ascii="Arial"/>
                <w:sz w:val="21"/>
              </w:rPr>
            </w:pPr>
          </w:p>
        </w:tc>
      </w:tr>
      <w:tr w14:paraId="280E62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6" w:hRule="atLeast"/>
        </w:trPr>
        <w:tc>
          <w:tcPr>
            <w:tcW w:w="582" w:type="dxa"/>
            <w:tcBorders>
              <w:top w:val="single" w:color="000000" w:sz="4" w:space="0"/>
              <w:left w:val="single" w:color="000000" w:sz="4" w:space="0"/>
            </w:tcBorders>
            <w:vAlign w:val="top"/>
          </w:tcPr>
          <w:p w14:paraId="54B5E01E">
            <w:pPr>
              <w:rPr>
                <w:rFonts w:ascii="Arial"/>
                <w:sz w:val="21"/>
              </w:rPr>
            </w:pPr>
          </w:p>
        </w:tc>
        <w:tc>
          <w:tcPr>
            <w:tcW w:w="1151" w:type="dxa"/>
            <w:vAlign w:val="top"/>
          </w:tcPr>
          <w:p w14:paraId="1AEF22E9">
            <w:pPr>
              <w:rPr>
                <w:rFonts w:ascii="Arial"/>
                <w:sz w:val="21"/>
              </w:rPr>
            </w:pPr>
          </w:p>
        </w:tc>
        <w:tc>
          <w:tcPr>
            <w:tcW w:w="2157" w:type="dxa"/>
            <w:vAlign w:val="top"/>
          </w:tcPr>
          <w:p w14:paraId="22F56F82">
            <w:pPr>
              <w:spacing w:line="246" w:lineRule="auto"/>
              <w:rPr>
                <w:rFonts w:ascii="Arial"/>
                <w:sz w:val="21"/>
              </w:rPr>
            </w:pPr>
          </w:p>
          <w:p w14:paraId="277E9CA4">
            <w:pPr>
              <w:pStyle w:val="6"/>
              <w:spacing w:before="65" w:line="228" w:lineRule="auto"/>
              <w:ind w:left="113"/>
            </w:pPr>
            <w:r>
              <w:rPr>
                <w:spacing w:val="7"/>
              </w:rPr>
              <w:t>二次搬运费</w:t>
            </w:r>
          </w:p>
        </w:tc>
        <w:tc>
          <w:tcPr>
            <w:tcW w:w="1258" w:type="dxa"/>
            <w:vAlign w:val="top"/>
          </w:tcPr>
          <w:p w14:paraId="7360EF9D">
            <w:pPr>
              <w:rPr>
                <w:rFonts w:ascii="Arial"/>
                <w:sz w:val="21"/>
              </w:rPr>
            </w:pPr>
          </w:p>
        </w:tc>
        <w:tc>
          <w:tcPr>
            <w:tcW w:w="1079" w:type="dxa"/>
            <w:vAlign w:val="top"/>
          </w:tcPr>
          <w:p w14:paraId="4E96782B">
            <w:pPr>
              <w:rPr>
                <w:rFonts w:ascii="Arial"/>
                <w:sz w:val="21"/>
              </w:rPr>
            </w:pPr>
          </w:p>
        </w:tc>
        <w:tc>
          <w:tcPr>
            <w:tcW w:w="1259" w:type="dxa"/>
            <w:vAlign w:val="top"/>
          </w:tcPr>
          <w:p w14:paraId="6F417097">
            <w:pPr>
              <w:rPr>
                <w:rFonts w:ascii="Arial"/>
                <w:sz w:val="21"/>
              </w:rPr>
            </w:pPr>
          </w:p>
        </w:tc>
        <w:tc>
          <w:tcPr>
            <w:tcW w:w="1046" w:type="dxa"/>
            <w:tcBorders>
              <w:right w:val="single" w:color="000000" w:sz="4" w:space="0"/>
            </w:tcBorders>
            <w:vAlign w:val="top"/>
          </w:tcPr>
          <w:p w14:paraId="2351A612">
            <w:pPr>
              <w:rPr>
                <w:rFonts w:ascii="Arial"/>
                <w:sz w:val="21"/>
              </w:rPr>
            </w:pPr>
          </w:p>
        </w:tc>
      </w:tr>
      <w:tr w14:paraId="341EB5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5" w:hRule="atLeast"/>
        </w:trPr>
        <w:tc>
          <w:tcPr>
            <w:tcW w:w="582" w:type="dxa"/>
            <w:tcBorders>
              <w:left w:val="single" w:color="000000" w:sz="4" w:space="0"/>
            </w:tcBorders>
            <w:vAlign w:val="top"/>
          </w:tcPr>
          <w:p w14:paraId="208F3F03">
            <w:pPr>
              <w:rPr>
                <w:rFonts w:ascii="Arial"/>
                <w:sz w:val="21"/>
              </w:rPr>
            </w:pPr>
          </w:p>
        </w:tc>
        <w:tc>
          <w:tcPr>
            <w:tcW w:w="1151" w:type="dxa"/>
            <w:vAlign w:val="top"/>
          </w:tcPr>
          <w:p w14:paraId="7A18FCD0">
            <w:pPr>
              <w:rPr>
                <w:rFonts w:ascii="Arial"/>
                <w:sz w:val="21"/>
              </w:rPr>
            </w:pPr>
          </w:p>
        </w:tc>
        <w:tc>
          <w:tcPr>
            <w:tcW w:w="2157" w:type="dxa"/>
            <w:vAlign w:val="top"/>
          </w:tcPr>
          <w:p w14:paraId="12A45CE9">
            <w:pPr>
              <w:spacing w:line="245" w:lineRule="auto"/>
              <w:rPr>
                <w:rFonts w:ascii="Arial"/>
                <w:sz w:val="21"/>
              </w:rPr>
            </w:pPr>
          </w:p>
          <w:p w14:paraId="4ED676C6">
            <w:pPr>
              <w:pStyle w:val="6"/>
              <w:spacing w:before="65" w:line="228" w:lineRule="auto"/>
              <w:ind w:left="115"/>
            </w:pPr>
            <w:r>
              <w:rPr>
                <w:spacing w:val="8"/>
              </w:rPr>
              <w:t>冬雨季施工增加费</w:t>
            </w:r>
          </w:p>
        </w:tc>
        <w:tc>
          <w:tcPr>
            <w:tcW w:w="1258" w:type="dxa"/>
            <w:vAlign w:val="top"/>
          </w:tcPr>
          <w:p w14:paraId="7A980AB1">
            <w:pPr>
              <w:rPr>
                <w:rFonts w:ascii="Arial"/>
                <w:sz w:val="21"/>
              </w:rPr>
            </w:pPr>
          </w:p>
        </w:tc>
        <w:tc>
          <w:tcPr>
            <w:tcW w:w="1079" w:type="dxa"/>
            <w:vAlign w:val="top"/>
          </w:tcPr>
          <w:p w14:paraId="24C580D0">
            <w:pPr>
              <w:rPr>
                <w:rFonts w:ascii="Arial"/>
                <w:sz w:val="21"/>
              </w:rPr>
            </w:pPr>
          </w:p>
        </w:tc>
        <w:tc>
          <w:tcPr>
            <w:tcW w:w="1259" w:type="dxa"/>
            <w:vAlign w:val="top"/>
          </w:tcPr>
          <w:p w14:paraId="5AF7446C">
            <w:pPr>
              <w:rPr>
                <w:rFonts w:ascii="Arial"/>
                <w:sz w:val="21"/>
              </w:rPr>
            </w:pPr>
          </w:p>
        </w:tc>
        <w:tc>
          <w:tcPr>
            <w:tcW w:w="1046" w:type="dxa"/>
            <w:tcBorders>
              <w:right w:val="single" w:color="000000" w:sz="4" w:space="0"/>
            </w:tcBorders>
            <w:vAlign w:val="top"/>
          </w:tcPr>
          <w:p w14:paraId="63E01F4C">
            <w:pPr>
              <w:rPr>
                <w:rFonts w:ascii="Arial"/>
                <w:sz w:val="21"/>
              </w:rPr>
            </w:pPr>
          </w:p>
        </w:tc>
      </w:tr>
      <w:tr w14:paraId="7C960F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6" w:hRule="atLeast"/>
        </w:trPr>
        <w:tc>
          <w:tcPr>
            <w:tcW w:w="582" w:type="dxa"/>
            <w:tcBorders>
              <w:left w:val="single" w:color="000000" w:sz="4" w:space="0"/>
            </w:tcBorders>
            <w:vAlign w:val="top"/>
          </w:tcPr>
          <w:p w14:paraId="454C8E50">
            <w:pPr>
              <w:rPr>
                <w:rFonts w:ascii="Arial"/>
                <w:sz w:val="21"/>
              </w:rPr>
            </w:pPr>
          </w:p>
        </w:tc>
        <w:tc>
          <w:tcPr>
            <w:tcW w:w="1151" w:type="dxa"/>
            <w:vAlign w:val="top"/>
          </w:tcPr>
          <w:p w14:paraId="3874657F">
            <w:pPr>
              <w:rPr>
                <w:rFonts w:ascii="Arial"/>
                <w:sz w:val="21"/>
              </w:rPr>
            </w:pPr>
          </w:p>
        </w:tc>
        <w:tc>
          <w:tcPr>
            <w:tcW w:w="2157" w:type="dxa"/>
            <w:vAlign w:val="top"/>
          </w:tcPr>
          <w:p w14:paraId="55516872">
            <w:pPr>
              <w:pStyle w:val="6"/>
              <w:spacing w:before="178" w:line="254" w:lineRule="auto"/>
              <w:ind w:left="121" w:right="107" w:firstLine="11"/>
            </w:pPr>
            <w:r>
              <w:rPr>
                <w:spacing w:val="12"/>
              </w:rPr>
              <w:t>已完工程及设备保护</w:t>
            </w:r>
            <w:r>
              <w:t>费</w:t>
            </w:r>
          </w:p>
        </w:tc>
        <w:tc>
          <w:tcPr>
            <w:tcW w:w="1258" w:type="dxa"/>
            <w:vAlign w:val="top"/>
          </w:tcPr>
          <w:p w14:paraId="7B8851D8">
            <w:pPr>
              <w:rPr>
                <w:rFonts w:ascii="Arial"/>
                <w:sz w:val="21"/>
              </w:rPr>
            </w:pPr>
          </w:p>
        </w:tc>
        <w:tc>
          <w:tcPr>
            <w:tcW w:w="1079" w:type="dxa"/>
            <w:vAlign w:val="top"/>
          </w:tcPr>
          <w:p w14:paraId="0E0F683A">
            <w:pPr>
              <w:rPr>
                <w:rFonts w:ascii="Arial"/>
                <w:sz w:val="21"/>
              </w:rPr>
            </w:pPr>
          </w:p>
        </w:tc>
        <w:tc>
          <w:tcPr>
            <w:tcW w:w="1259" w:type="dxa"/>
            <w:vAlign w:val="top"/>
          </w:tcPr>
          <w:p w14:paraId="3F7F4299">
            <w:pPr>
              <w:rPr>
                <w:rFonts w:ascii="Arial"/>
                <w:sz w:val="21"/>
              </w:rPr>
            </w:pPr>
          </w:p>
        </w:tc>
        <w:tc>
          <w:tcPr>
            <w:tcW w:w="1046" w:type="dxa"/>
            <w:tcBorders>
              <w:right w:val="single" w:color="000000" w:sz="4" w:space="0"/>
            </w:tcBorders>
            <w:vAlign w:val="top"/>
          </w:tcPr>
          <w:p w14:paraId="2B31FE39">
            <w:pPr>
              <w:rPr>
                <w:rFonts w:ascii="Arial"/>
                <w:sz w:val="21"/>
              </w:rPr>
            </w:pPr>
          </w:p>
        </w:tc>
      </w:tr>
      <w:tr w14:paraId="709DC6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6" w:hRule="atLeast"/>
        </w:trPr>
        <w:tc>
          <w:tcPr>
            <w:tcW w:w="582" w:type="dxa"/>
            <w:tcBorders>
              <w:left w:val="single" w:color="000000" w:sz="4" w:space="0"/>
            </w:tcBorders>
            <w:vAlign w:val="top"/>
          </w:tcPr>
          <w:p w14:paraId="75A75A45">
            <w:pPr>
              <w:rPr>
                <w:rFonts w:ascii="Arial"/>
                <w:sz w:val="21"/>
              </w:rPr>
            </w:pPr>
          </w:p>
        </w:tc>
        <w:tc>
          <w:tcPr>
            <w:tcW w:w="1151" w:type="dxa"/>
            <w:vAlign w:val="top"/>
          </w:tcPr>
          <w:p w14:paraId="4AC06CBD">
            <w:pPr>
              <w:rPr>
                <w:rFonts w:ascii="Arial"/>
                <w:sz w:val="21"/>
              </w:rPr>
            </w:pPr>
          </w:p>
        </w:tc>
        <w:tc>
          <w:tcPr>
            <w:tcW w:w="2157" w:type="dxa"/>
            <w:vAlign w:val="top"/>
          </w:tcPr>
          <w:p w14:paraId="5818300E">
            <w:pPr>
              <w:rPr>
                <w:rFonts w:ascii="Arial"/>
                <w:sz w:val="21"/>
              </w:rPr>
            </w:pPr>
          </w:p>
        </w:tc>
        <w:tc>
          <w:tcPr>
            <w:tcW w:w="1258" w:type="dxa"/>
            <w:vAlign w:val="top"/>
          </w:tcPr>
          <w:p w14:paraId="79C5D81F">
            <w:pPr>
              <w:rPr>
                <w:rFonts w:ascii="Arial"/>
                <w:sz w:val="21"/>
              </w:rPr>
            </w:pPr>
          </w:p>
        </w:tc>
        <w:tc>
          <w:tcPr>
            <w:tcW w:w="1079" w:type="dxa"/>
            <w:vAlign w:val="top"/>
          </w:tcPr>
          <w:p w14:paraId="0DCC7C51">
            <w:pPr>
              <w:rPr>
                <w:rFonts w:ascii="Arial"/>
                <w:sz w:val="21"/>
              </w:rPr>
            </w:pPr>
          </w:p>
        </w:tc>
        <w:tc>
          <w:tcPr>
            <w:tcW w:w="1259" w:type="dxa"/>
            <w:vAlign w:val="top"/>
          </w:tcPr>
          <w:p w14:paraId="097B627F">
            <w:pPr>
              <w:rPr>
                <w:rFonts w:ascii="Arial"/>
                <w:sz w:val="21"/>
              </w:rPr>
            </w:pPr>
          </w:p>
        </w:tc>
        <w:tc>
          <w:tcPr>
            <w:tcW w:w="1046" w:type="dxa"/>
            <w:tcBorders>
              <w:right w:val="single" w:color="000000" w:sz="4" w:space="0"/>
            </w:tcBorders>
            <w:vAlign w:val="top"/>
          </w:tcPr>
          <w:p w14:paraId="6FA7C13F">
            <w:pPr>
              <w:rPr>
                <w:rFonts w:ascii="Arial"/>
                <w:sz w:val="21"/>
              </w:rPr>
            </w:pPr>
          </w:p>
        </w:tc>
      </w:tr>
      <w:tr w14:paraId="498856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6" w:hRule="atLeast"/>
        </w:trPr>
        <w:tc>
          <w:tcPr>
            <w:tcW w:w="582" w:type="dxa"/>
            <w:tcBorders>
              <w:left w:val="single" w:color="000000" w:sz="4" w:space="0"/>
            </w:tcBorders>
            <w:vAlign w:val="top"/>
          </w:tcPr>
          <w:p w14:paraId="14409FAF">
            <w:pPr>
              <w:rPr>
                <w:rFonts w:ascii="Arial"/>
                <w:sz w:val="21"/>
              </w:rPr>
            </w:pPr>
          </w:p>
        </w:tc>
        <w:tc>
          <w:tcPr>
            <w:tcW w:w="1151" w:type="dxa"/>
            <w:vAlign w:val="top"/>
          </w:tcPr>
          <w:p w14:paraId="72993C45">
            <w:pPr>
              <w:rPr>
                <w:rFonts w:ascii="Arial"/>
                <w:sz w:val="21"/>
              </w:rPr>
            </w:pPr>
          </w:p>
        </w:tc>
        <w:tc>
          <w:tcPr>
            <w:tcW w:w="2157" w:type="dxa"/>
            <w:vAlign w:val="top"/>
          </w:tcPr>
          <w:p w14:paraId="6A1F5B15">
            <w:pPr>
              <w:rPr>
                <w:rFonts w:ascii="Arial"/>
                <w:sz w:val="21"/>
              </w:rPr>
            </w:pPr>
          </w:p>
        </w:tc>
        <w:tc>
          <w:tcPr>
            <w:tcW w:w="1258" w:type="dxa"/>
            <w:vAlign w:val="top"/>
          </w:tcPr>
          <w:p w14:paraId="06118438">
            <w:pPr>
              <w:rPr>
                <w:rFonts w:ascii="Arial"/>
                <w:sz w:val="21"/>
              </w:rPr>
            </w:pPr>
          </w:p>
        </w:tc>
        <w:tc>
          <w:tcPr>
            <w:tcW w:w="1079" w:type="dxa"/>
            <w:vAlign w:val="top"/>
          </w:tcPr>
          <w:p w14:paraId="793B6889">
            <w:pPr>
              <w:rPr>
                <w:rFonts w:ascii="Arial"/>
                <w:sz w:val="21"/>
              </w:rPr>
            </w:pPr>
          </w:p>
        </w:tc>
        <w:tc>
          <w:tcPr>
            <w:tcW w:w="1259" w:type="dxa"/>
            <w:vAlign w:val="top"/>
          </w:tcPr>
          <w:p w14:paraId="4E521721">
            <w:pPr>
              <w:rPr>
                <w:rFonts w:ascii="Arial"/>
                <w:sz w:val="21"/>
              </w:rPr>
            </w:pPr>
          </w:p>
        </w:tc>
        <w:tc>
          <w:tcPr>
            <w:tcW w:w="1046" w:type="dxa"/>
            <w:tcBorders>
              <w:right w:val="single" w:color="000000" w:sz="4" w:space="0"/>
            </w:tcBorders>
            <w:vAlign w:val="top"/>
          </w:tcPr>
          <w:p w14:paraId="703613AC">
            <w:pPr>
              <w:rPr>
                <w:rFonts w:ascii="Arial"/>
                <w:sz w:val="21"/>
              </w:rPr>
            </w:pPr>
          </w:p>
        </w:tc>
      </w:tr>
      <w:tr w14:paraId="103095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5" w:hRule="atLeast"/>
        </w:trPr>
        <w:tc>
          <w:tcPr>
            <w:tcW w:w="582" w:type="dxa"/>
            <w:tcBorders>
              <w:left w:val="single" w:color="000000" w:sz="4" w:space="0"/>
            </w:tcBorders>
            <w:vAlign w:val="top"/>
          </w:tcPr>
          <w:p w14:paraId="32C9F14C">
            <w:pPr>
              <w:rPr>
                <w:rFonts w:ascii="Arial"/>
                <w:sz w:val="21"/>
              </w:rPr>
            </w:pPr>
          </w:p>
        </w:tc>
        <w:tc>
          <w:tcPr>
            <w:tcW w:w="1151" w:type="dxa"/>
            <w:vAlign w:val="top"/>
          </w:tcPr>
          <w:p w14:paraId="254DD7C3">
            <w:pPr>
              <w:rPr>
                <w:rFonts w:ascii="Arial"/>
                <w:sz w:val="21"/>
              </w:rPr>
            </w:pPr>
          </w:p>
        </w:tc>
        <w:tc>
          <w:tcPr>
            <w:tcW w:w="2157" w:type="dxa"/>
            <w:vAlign w:val="top"/>
          </w:tcPr>
          <w:p w14:paraId="0B14C7F4">
            <w:pPr>
              <w:rPr>
                <w:rFonts w:ascii="Arial"/>
                <w:sz w:val="21"/>
              </w:rPr>
            </w:pPr>
          </w:p>
        </w:tc>
        <w:tc>
          <w:tcPr>
            <w:tcW w:w="1258" w:type="dxa"/>
            <w:vAlign w:val="top"/>
          </w:tcPr>
          <w:p w14:paraId="17ACB18B">
            <w:pPr>
              <w:rPr>
                <w:rFonts w:ascii="Arial"/>
                <w:sz w:val="21"/>
              </w:rPr>
            </w:pPr>
          </w:p>
        </w:tc>
        <w:tc>
          <w:tcPr>
            <w:tcW w:w="1079" w:type="dxa"/>
            <w:vAlign w:val="top"/>
          </w:tcPr>
          <w:p w14:paraId="5ACC99AA">
            <w:pPr>
              <w:rPr>
                <w:rFonts w:ascii="Arial"/>
                <w:sz w:val="21"/>
              </w:rPr>
            </w:pPr>
          </w:p>
        </w:tc>
        <w:tc>
          <w:tcPr>
            <w:tcW w:w="1259" w:type="dxa"/>
            <w:vAlign w:val="top"/>
          </w:tcPr>
          <w:p w14:paraId="08E55FAC">
            <w:pPr>
              <w:rPr>
                <w:rFonts w:ascii="Arial"/>
                <w:sz w:val="21"/>
              </w:rPr>
            </w:pPr>
          </w:p>
        </w:tc>
        <w:tc>
          <w:tcPr>
            <w:tcW w:w="1046" w:type="dxa"/>
            <w:tcBorders>
              <w:right w:val="single" w:color="000000" w:sz="4" w:space="0"/>
            </w:tcBorders>
            <w:vAlign w:val="top"/>
          </w:tcPr>
          <w:p w14:paraId="3DA0D5BD">
            <w:pPr>
              <w:rPr>
                <w:rFonts w:ascii="Arial"/>
                <w:sz w:val="21"/>
              </w:rPr>
            </w:pPr>
          </w:p>
        </w:tc>
      </w:tr>
      <w:tr w14:paraId="669BB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6" w:hRule="atLeast"/>
        </w:trPr>
        <w:tc>
          <w:tcPr>
            <w:tcW w:w="582" w:type="dxa"/>
            <w:tcBorders>
              <w:left w:val="single" w:color="000000" w:sz="4" w:space="0"/>
            </w:tcBorders>
            <w:vAlign w:val="top"/>
          </w:tcPr>
          <w:p w14:paraId="3C1D0324">
            <w:pPr>
              <w:rPr>
                <w:rFonts w:ascii="Arial"/>
                <w:sz w:val="21"/>
              </w:rPr>
            </w:pPr>
          </w:p>
        </w:tc>
        <w:tc>
          <w:tcPr>
            <w:tcW w:w="1151" w:type="dxa"/>
            <w:vAlign w:val="top"/>
          </w:tcPr>
          <w:p w14:paraId="4BD8BDC9">
            <w:pPr>
              <w:rPr>
                <w:rFonts w:ascii="Arial"/>
                <w:sz w:val="21"/>
              </w:rPr>
            </w:pPr>
          </w:p>
        </w:tc>
        <w:tc>
          <w:tcPr>
            <w:tcW w:w="2157" w:type="dxa"/>
            <w:vAlign w:val="top"/>
          </w:tcPr>
          <w:p w14:paraId="0E4488FE">
            <w:pPr>
              <w:rPr>
                <w:rFonts w:ascii="Arial"/>
                <w:sz w:val="21"/>
              </w:rPr>
            </w:pPr>
          </w:p>
        </w:tc>
        <w:tc>
          <w:tcPr>
            <w:tcW w:w="1258" w:type="dxa"/>
            <w:vAlign w:val="top"/>
          </w:tcPr>
          <w:p w14:paraId="371674BF">
            <w:pPr>
              <w:rPr>
                <w:rFonts w:ascii="Arial"/>
                <w:sz w:val="21"/>
              </w:rPr>
            </w:pPr>
          </w:p>
        </w:tc>
        <w:tc>
          <w:tcPr>
            <w:tcW w:w="1079" w:type="dxa"/>
            <w:vAlign w:val="top"/>
          </w:tcPr>
          <w:p w14:paraId="3B860836">
            <w:pPr>
              <w:rPr>
                <w:rFonts w:ascii="Arial"/>
                <w:sz w:val="21"/>
              </w:rPr>
            </w:pPr>
          </w:p>
        </w:tc>
        <w:tc>
          <w:tcPr>
            <w:tcW w:w="1259" w:type="dxa"/>
            <w:vAlign w:val="top"/>
          </w:tcPr>
          <w:p w14:paraId="3F0CAEEF">
            <w:pPr>
              <w:rPr>
                <w:rFonts w:ascii="Arial"/>
                <w:sz w:val="21"/>
              </w:rPr>
            </w:pPr>
          </w:p>
        </w:tc>
        <w:tc>
          <w:tcPr>
            <w:tcW w:w="1046" w:type="dxa"/>
            <w:tcBorders>
              <w:right w:val="single" w:color="000000" w:sz="4" w:space="0"/>
            </w:tcBorders>
            <w:vAlign w:val="top"/>
          </w:tcPr>
          <w:p w14:paraId="26DCD2A5">
            <w:pPr>
              <w:rPr>
                <w:rFonts w:ascii="Arial"/>
                <w:sz w:val="21"/>
              </w:rPr>
            </w:pPr>
          </w:p>
        </w:tc>
      </w:tr>
      <w:tr w14:paraId="740085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6227" w:type="dxa"/>
            <w:gridSpan w:val="5"/>
            <w:tcBorders>
              <w:left w:val="single" w:color="000000" w:sz="4" w:space="0"/>
              <w:bottom w:val="single" w:color="000000" w:sz="4" w:space="0"/>
            </w:tcBorders>
            <w:vAlign w:val="top"/>
          </w:tcPr>
          <w:p w14:paraId="3D3875B7">
            <w:pPr>
              <w:spacing w:line="253" w:lineRule="auto"/>
              <w:rPr>
                <w:rFonts w:ascii="Arial"/>
                <w:sz w:val="21"/>
              </w:rPr>
            </w:pPr>
          </w:p>
          <w:p w14:paraId="308D35A6">
            <w:pPr>
              <w:spacing w:before="65" w:line="232" w:lineRule="auto"/>
              <w:ind w:left="2909"/>
              <w:rPr>
                <w:rFonts w:ascii="黑体" w:hAnsi="黑体" w:eastAsia="黑体" w:cs="黑体"/>
                <w:sz w:val="20"/>
                <w:szCs w:val="20"/>
              </w:rPr>
            </w:pPr>
            <w:r>
              <w:rPr>
                <w:rFonts w:ascii="黑体" w:hAnsi="黑体" w:eastAsia="黑体" w:cs="黑体"/>
                <w:spacing w:val="4"/>
                <w:sz w:val="20"/>
                <w:szCs w:val="20"/>
              </w:rPr>
              <w:t>合计</w:t>
            </w:r>
          </w:p>
        </w:tc>
        <w:tc>
          <w:tcPr>
            <w:tcW w:w="1259" w:type="dxa"/>
            <w:tcBorders>
              <w:bottom w:val="single" w:color="000000" w:sz="4" w:space="0"/>
            </w:tcBorders>
            <w:vAlign w:val="top"/>
          </w:tcPr>
          <w:p w14:paraId="510A445B">
            <w:pPr>
              <w:rPr>
                <w:rFonts w:ascii="Arial"/>
                <w:sz w:val="21"/>
              </w:rPr>
            </w:pPr>
          </w:p>
        </w:tc>
        <w:tc>
          <w:tcPr>
            <w:tcW w:w="1046" w:type="dxa"/>
            <w:tcBorders>
              <w:bottom w:val="single" w:color="000000" w:sz="4" w:space="0"/>
              <w:right w:val="single" w:color="000000" w:sz="4" w:space="0"/>
            </w:tcBorders>
            <w:vAlign w:val="top"/>
          </w:tcPr>
          <w:p w14:paraId="731A4BAA">
            <w:pPr>
              <w:rPr>
                <w:rFonts w:ascii="Arial"/>
                <w:sz w:val="21"/>
              </w:rPr>
            </w:pPr>
          </w:p>
        </w:tc>
      </w:tr>
    </w:tbl>
    <w:p w14:paraId="495E29A2">
      <w:pPr>
        <w:spacing w:before="277" w:line="226" w:lineRule="auto"/>
        <w:ind w:left="5"/>
        <w:rPr>
          <w:rFonts w:ascii="宋体" w:hAnsi="宋体" w:eastAsia="宋体" w:cs="宋体"/>
          <w:sz w:val="20"/>
          <w:szCs w:val="20"/>
        </w:rPr>
      </w:pPr>
      <w:r>
        <w:rPr>
          <w:rFonts w:ascii="宋体" w:hAnsi="宋体" w:eastAsia="宋体" w:cs="宋体"/>
          <w:spacing w:val="8"/>
          <w:sz w:val="20"/>
          <w:szCs w:val="20"/>
        </w:rPr>
        <w:t>编制人（造价人员</w:t>
      </w:r>
      <w:r>
        <w:rPr>
          <w:rFonts w:ascii="宋体" w:hAnsi="宋体" w:eastAsia="宋体" w:cs="宋体"/>
          <w:spacing w:val="-53"/>
          <w:sz w:val="20"/>
          <w:szCs w:val="20"/>
        </w:rPr>
        <w:t>）：</w:t>
      </w:r>
      <w:r>
        <w:rPr>
          <w:rFonts w:ascii="宋体" w:hAnsi="宋体" w:eastAsia="宋体" w:cs="宋体"/>
          <w:spacing w:val="2"/>
          <w:sz w:val="20"/>
          <w:szCs w:val="20"/>
        </w:rPr>
        <w:t xml:space="preserve">                            </w:t>
      </w:r>
      <w:r>
        <w:rPr>
          <w:rFonts w:ascii="宋体" w:hAnsi="宋体" w:eastAsia="宋体" w:cs="宋体"/>
          <w:spacing w:val="8"/>
          <w:sz w:val="20"/>
          <w:szCs w:val="20"/>
        </w:rPr>
        <w:t>复核人（造价工程师</w:t>
      </w:r>
      <w:r>
        <w:rPr>
          <w:rFonts w:ascii="宋体" w:hAnsi="宋体" w:eastAsia="宋体" w:cs="宋体"/>
          <w:spacing w:val="-53"/>
          <w:sz w:val="20"/>
          <w:szCs w:val="20"/>
        </w:rPr>
        <w:t>）：</w:t>
      </w:r>
    </w:p>
    <w:p w14:paraId="42F7BB52">
      <w:pPr>
        <w:spacing w:before="305" w:line="251" w:lineRule="auto"/>
        <w:ind w:left="734" w:hanging="730"/>
        <w:rPr>
          <w:rFonts w:ascii="宋体" w:hAnsi="宋体" w:eastAsia="宋体" w:cs="宋体"/>
          <w:sz w:val="20"/>
          <w:szCs w:val="20"/>
        </w:rPr>
      </w:pPr>
      <w:r>
        <w:rPr>
          <w:rFonts w:ascii="宋体" w:hAnsi="宋体" w:eastAsia="宋体" w:cs="宋体"/>
          <w:spacing w:val="6"/>
          <w:sz w:val="20"/>
          <w:szCs w:val="20"/>
        </w:rPr>
        <w:t>注：</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4"/>
          <w:sz w:val="20"/>
          <w:szCs w:val="20"/>
        </w:rPr>
        <w:t xml:space="preserve"> </w:t>
      </w:r>
      <w:r>
        <w:rPr>
          <w:rFonts w:ascii="宋体" w:hAnsi="宋体" w:eastAsia="宋体" w:cs="宋体"/>
          <w:spacing w:val="6"/>
          <w:sz w:val="20"/>
          <w:szCs w:val="20"/>
        </w:rPr>
        <w:t>．</w:t>
      </w:r>
      <w:r>
        <w:rPr>
          <w:rFonts w:ascii="Times New Roman" w:hAnsi="Times New Roman" w:eastAsia="Times New Roman" w:cs="Times New Roman"/>
          <w:spacing w:val="6"/>
          <w:sz w:val="20"/>
          <w:szCs w:val="20"/>
        </w:rPr>
        <w:t>“</w:t>
      </w:r>
      <w:r>
        <w:rPr>
          <w:rFonts w:ascii="宋体" w:hAnsi="宋体" w:eastAsia="宋体" w:cs="宋体"/>
          <w:spacing w:val="6"/>
          <w:sz w:val="20"/>
          <w:szCs w:val="20"/>
        </w:rPr>
        <w:t>计价基础</w:t>
      </w:r>
      <w:r>
        <w:rPr>
          <w:rFonts w:ascii="Times New Roman" w:hAnsi="Times New Roman" w:eastAsia="Times New Roman" w:cs="Times New Roman"/>
          <w:spacing w:val="6"/>
          <w:sz w:val="20"/>
          <w:szCs w:val="20"/>
        </w:rPr>
        <w:t>”</w:t>
      </w:r>
      <w:r>
        <w:rPr>
          <w:rFonts w:ascii="Times New Roman" w:hAnsi="Times New Roman" w:eastAsia="Times New Roman" w:cs="Times New Roman"/>
          <w:spacing w:val="-22"/>
          <w:sz w:val="20"/>
          <w:szCs w:val="20"/>
        </w:rPr>
        <w:t xml:space="preserve"> </w:t>
      </w:r>
      <w:r>
        <w:rPr>
          <w:rFonts w:ascii="宋体" w:hAnsi="宋体" w:eastAsia="宋体" w:cs="宋体"/>
          <w:spacing w:val="6"/>
          <w:sz w:val="20"/>
          <w:szCs w:val="20"/>
        </w:rPr>
        <w:t>中安全文明施工费可为</w:t>
      </w:r>
      <w:r>
        <w:rPr>
          <w:rFonts w:ascii="Times New Roman" w:hAnsi="Times New Roman" w:eastAsia="Times New Roman" w:cs="Times New Roman"/>
          <w:spacing w:val="6"/>
          <w:sz w:val="20"/>
          <w:szCs w:val="20"/>
        </w:rPr>
        <w:t>“</w:t>
      </w:r>
      <w:r>
        <w:rPr>
          <w:rFonts w:ascii="宋体" w:hAnsi="宋体" w:eastAsia="宋体" w:cs="宋体"/>
          <w:spacing w:val="6"/>
          <w:sz w:val="20"/>
          <w:szCs w:val="20"/>
        </w:rPr>
        <w:t>定额人工费</w:t>
      </w:r>
      <w:r>
        <w:rPr>
          <w:rFonts w:ascii="Times New Roman" w:hAnsi="Times New Roman" w:eastAsia="Times New Roman" w:cs="Times New Roman"/>
          <w:spacing w:val="6"/>
          <w:sz w:val="20"/>
          <w:szCs w:val="20"/>
        </w:rPr>
        <w:t>+</w:t>
      </w:r>
      <w:r>
        <w:rPr>
          <w:rFonts w:ascii="宋体" w:hAnsi="宋体" w:eastAsia="宋体" w:cs="宋体"/>
          <w:spacing w:val="6"/>
          <w:sz w:val="20"/>
          <w:szCs w:val="20"/>
        </w:rPr>
        <w:t>定额机械费</w:t>
      </w:r>
      <w:r>
        <w:rPr>
          <w:rFonts w:ascii="Times New Roman" w:hAnsi="Times New Roman" w:eastAsia="Times New Roman" w:cs="Times New Roman"/>
          <w:spacing w:val="6"/>
          <w:sz w:val="20"/>
          <w:szCs w:val="20"/>
        </w:rPr>
        <w:t>”</w:t>
      </w:r>
      <w:r>
        <w:rPr>
          <w:rFonts w:ascii="Times New Roman" w:hAnsi="Times New Roman" w:eastAsia="Times New Roman" w:cs="Times New Roman"/>
          <w:spacing w:val="-26"/>
          <w:sz w:val="20"/>
          <w:szCs w:val="20"/>
        </w:rPr>
        <w:t xml:space="preserve"> </w:t>
      </w:r>
      <w:r>
        <w:rPr>
          <w:rFonts w:ascii="宋体" w:hAnsi="宋体" w:eastAsia="宋体" w:cs="宋体"/>
          <w:spacing w:val="6"/>
          <w:sz w:val="20"/>
          <w:szCs w:val="20"/>
        </w:rPr>
        <w:t>，其他项目可为</w:t>
      </w:r>
      <w:r>
        <w:rPr>
          <w:rFonts w:ascii="Times New Roman" w:hAnsi="Times New Roman" w:eastAsia="Times New Roman" w:cs="Times New Roman"/>
          <w:spacing w:val="6"/>
          <w:sz w:val="20"/>
          <w:szCs w:val="20"/>
        </w:rPr>
        <w:t>“</w:t>
      </w:r>
      <w:r>
        <w:rPr>
          <w:rFonts w:ascii="宋体" w:hAnsi="宋体" w:eastAsia="宋体" w:cs="宋体"/>
          <w:spacing w:val="6"/>
          <w:sz w:val="20"/>
          <w:szCs w:val="20"/>
        </w:rPr>
        <w:t>定额人工费</w:t>
      </w:r>
      <w:r>
        <w:rPr>
          <w:rFonts w:ascii="Times New Roman" w:hAnsi="Times New Roman" w:eastAsia="Times New Roman" w:cs="Times New Roman"/>
          <w:spacing w:val="7"/>
          <w:sz w:val="20"/>
          <w:szCs w:val="20"/>
        </w:rPr>
        <w:t>+</w:t>
      </w:r>
      <w:r>
        <w:rPr>
          <w:rFonts w:ascii="宋体" w:hAnsi="宋体" w:eastAsia="宋体" w:cs="宋体"/>
          <w:spacing w:val="7"/>
          <w:sz w:val="20"/>
          <w:szCs w:val="20"/>
        </w:rPr>
        <w:t>定额机械费</w:t>
      </w:r>
      <w:r>
        <w:rPr>
          <w:rFonts w:ascii="Times New Roman" w:hAnsi="Times New Roman" w:eastAsia="Times New Roman" w:cs="Times New Roman"/>
          <w:spacing w:val="7"/>
          <w:sz w:val="20"/>
          <w:szCs w:val="20"/>
        </w:rPr>
        <w:t>”</w:t>
      </w:r>
      <w:r>
        <w:rPr>
          <w:rFonts w:ascii="宋体" w:hAnsi="宋体" w:eastAsia="宋体" w:cs="宋体"/>
          <w:spacing w:val="7"/>
          <w:sz w:val="20"/>
          <w:szCs w:val="20"/>
        </w:rPr>
        <w:t>。</w:t>
      </w:r>
    </w:p>
    <w:p w14:paraId="5BC97666">
      <w:pPr>
        <w:spacing w:before="1" w:line="251" w:lineRule="auto"/>
        <w:ind w:left="737" w:hanging="317"/>
        <w:rPr>
          <w:rFonts w:ascii="宋体" w:hAnsi="宋体" w:eastAsia="宋体" w:cs="宋体"/>
          <w:sz w:val="20"/>
          <w:szCs w:val="20"/>
        </w:rPr>
      </w:pPr>
      <w:r>
        <w:rPr>
          <w:rFonts w:ascii="Times New Roman" w:hAnsi="Times New Roman" w:eastAsia="Times New Roman" w:cs="Times New Roman"/>
          <w:spacing w:val="7"/>
          <w:sz w:val="20"/>
          <w:szCs w:val="20"/>
        </w:rPr>
        <w:t>2</w:t>
      </w:r>
      <w:r>
        <w:rPr>
          <w:rFonts w:ascii="Times New Roman" w:hAnsi="Times New Roman" w:eastAsia="Times New Roman" w:cs="Times New Roman"/>
          <w:spacing w:val="-21"/>
          <w:sz w:val="20"/>
          <w:szCs w:val="20"/>
        </w:rPr>
        <w:t xml:space="preserve"> </w:t>
      </w:r>
      <w:r>
        <w:rPr>
          <w:rFonts w:ascii="宋体" w:hAnsi="宋体" w:eastAsia="宋体" w:cs="宋体"/>
          <w:spacing w:val="7"/>
          <w:sz w:val="20"/>
          <w:szCs w:val="20"/>
        </w:rPr>
        <w:t>．按施工方案计算的措施费，若无</w:t>
      </w:r>
      <w:r>
        <w:rPr>
          <w:rFonts w:ascii="Times New Roman" w:hAnsi="Times New Roman" w:eastAsia="Times New Roman" w:cs="Times New Roman"/>
          <w:spacing w:val="7"/>
          <w:sz w:val="20"/>
          <w:szCs w:val="20"/>
        </w:rPr>
        <w:t>“</w:t>
      </w:r>
      <w:r>
        <w:rPr>
          <w:rFonts w:ascii="宋体" w:hAnsi="宋体" w:eastAsia="宋体" w:cs="宋体"/>
          <w:spacing w:val="7"/>
          <w:sz w:val="20"/>
          <w:szCs w:val="20"/>
        </w:rPr>
        <w:t>计算基础</w:t>
      </w:r>
      <w:r>
        <w:rPr>
          <w:rFonts w:ascii="Times New Roman" w:hAnsi="Times New Roman" w:eastAsia="Times New Roman" w:cs="Times New Roman"/>
          <w:spacing w:val="7"/>
          <w:sz w:val="20"/>
          <w:szCs w:val="20"/>
        </w:rPr>
        <w:t>”</w:t>
      </w:r>
      <w:r>
        <w:rPr>
          <w:rFonts w:ascii="宋体" w:hAnsi="宋体" w:eastAsia="宋体" w:cs="宋体"/>
          <w:spacing w:val="6"/>
          <w:sz w:val="20"/>
          <w:szCs w:val="20"/>
        </w:rPr>
        <w:t>和</w:t>
      </w:r>
      <w:r>
        <w:rPr>
          <w:rFonts w:ascii="Times New Roman" w:hAnsi="Times New Roman" w:eastAsia="Times New Roman" w:cs="Times New Roman"/>
          <w:spacing w:val="6"/>
          <w:sz w:val="20"/>
          <w:szCs w:val="20"/>
        </w:rPr>
        <w:t>“</w:t>
      </w:r>
      <w:r>
        <w:rPr>
          <w:rFonts w:ascii="Times New Roman" w:hAnsi="Times New Roman" w:eastAsia="Times New Roman" w:cs="Times New Roman"/>
          <w:spacing w:val="-30"/>
          <w:sz w:val="20"/>
          <w:szCs w:val="20"/>
        </w:rPr>
        <w:t xml:space="preserve"> </w:t>
      </w:r>
      <w:r>
        <w:rPr>
          <w:rFonts w:ascii="宋体" w:hAnsi="宋体" w:eastAsia="宋体" w:cs="宋体"/>
          <w:spacing w:val="6"/>
          <w:sz w:val="20"/>
          <w:szCs w:val="20"/>
        </w:rPr>
        <w:t>费率</w:t>
      </w:r>
      <w:r>
        <w:rPr>
          <w:rFonts w:ascii="Times New Roman" w:hAnsi="Times New Roman" w:eastAsia="Times New Roman" w:cs="Times New Roman"/>
          <w:spacing w:val="6"/>
          <w:sz w:val="20"/>
          <w:szCs w:val="20"/>
        </w:rPr>
        <w:t>”</w:t>
      </w:r>
      <w:r>
        <w:rPr>
          <w:rFonts w:ascii="Times New Roman" w:hAnsi="Times New Roman" w:eastAsia="Times New Roman" w:cs="Times New Roman"/>
          <w:spacing w:val="-23"/>
          <w:sz w:val="20"/>
          <w:szCs w:val="20"/>
        </w:rPr>
        <w:t xml:space="preserve"> </w:t>
      </w:r>
      <w:r>
        <w:rPr>
          <w:rFonts w:ascii="宋体" w:hAnsi="宋体" w:eastAsia="宋体" w:cs="宋体"/>
          <w:spacing w:val="6"/>
          <w:sz w:val="20"/>
          <w:szCs w:val="20"/>
        </w:rPr>
        <w:t>的数值，也可只填</w:t>
      </w:r>
      <w:r>
        <w:rPr>
          <w:rFonts w:ascii="Times New Roman" w:hAnsi="Times New Roman" w:eastAsia="Times New Roman" w:cs="Times New Roman"/>
          <w:spacing w:val="6"/>
          <w:sz w:val="20"/>
          <w:szCs w:val="20"/>
        </w:rPr>
        <w:t>“</w:t>
      </w:r>
      <w:r>
        <w:rPr>
          <w:rFonts w:ascii="宋体" w:hAnsi="宋体" w:eastAsia="宋体" w:cs="宋体"/>
          <w:spacing w:val="6"/>
          <w:sz w:val="20"/>
          <w:szCs w:val="20"/>
        </w:rPr>
        <w:t>金额</w:t>
      </w:r>
      <w:r>
        <w:rPr>
          <w:rFonts w:ascii="Times New Roman" w:hAnsi="Times New Roman" w:eastAsia="Times New Roman" w:cs="Times New Roman"/>
          <w:spacing w:val="6"/>
          <w:sz w:val="20"/>
          <w:szCs w:val="20"/>
        </w:rPr>
        <w:t>”</w:t>
      </w:r>
      <w:r>
        <w:rPr>
          <w:rFonts w:ascii="宋体" w:hAnsi="宋体" w:eastAsia="宋体" w:cs="宋体"/>
          <w:spacing w:val="6"/>
          <w:sz w:val="20"/>
          <w:szCs w:val="20"/>
        </w:rPr>
        <w:t>数值，但应</w:t>
      </w:r>
      <w:r>
        <w:rPr>
          <w:rFonts w:ascii="宋体" w:hAnsi="宋体" w:eastAsia="宋体" w:cs="宋体"/>
          <w:spacing w:val="8"/>
          <w:sz w:val="20"/>
          <w:szCs w:val="20"/>
        </w:rPr>
        <w:t>在备注栏说明施工方案出处或计算方法。</w:t>
      </w:r>
    </w:p>
    <w:p w14:paraId="6EE133D1">
      <w:pPr>
        <w:spacing w:line="251" w:lineRule="auto"/>
        <w:rPr>
          <w:rFonts w:ascii="宋体" w:hAnsi="宋体" w:eastAsia="宋体" w:cs="宋体"/>
          <w:sz w:val="20"/>
          <w:szCs w:val="20"/>
        </w:rPr>
        <w:sectPr>
          <w:footerReference r:id="rId460" w:type="default"/>
          <w:pgSz w:w="11907" w:h="16840"/>
          <w:pgMar w:top="400" w:right="1555" w:bottom="1105" w:left="1535" w:header="0" w:footer="943" w:gutter="0"/>
          <w:cols w:space="720" w:num="1"/>
        </w:sectPr>
      </w:pPr>
    </w:p>
    <w:p w14:paraId="07F7DF4E">
      <w:pPr>
        <w:spacing w:line="261" w:lineRule="auto"/>
        <w:rPr>
          <w:rFonts w:ascii="Arial"/>
          <w:sz w:val="21"/>
        </w:rPr>
      </w:pPr>
    </w:p>
    <w:p w14:paraId="5DE9D11A">
      <w:pPr>
        <w:spacing w:line="262" w:lineRule="auto"/>
        <w:rPr>
          <w:rFonts w:ascii="Arial"/>
          <w:sz w:val="21"/>
        </w:rPr>
      </w:pPr>
    </w:p>
    <w:p w14:paraId="223BC76F">
      <w:pPr>
        <w:spacing w:line="262" w:lineRule="auto"/>
        <w:rPr>
          <w:rFonts w:ascii="Arial"/>
          <w:sz w:val="21"/>
        </w:rPr>
      </w:pPr>
    </w:p>
    <w:p w14:paraId="0DFD2831">
      <w:pPr>
        <w:spacing w:line="262" w:lineRule="auto"/>
        <w:rPr>
          <w:rFonts w:ascii="Arial"/>
          <w:sz w:val="21"/>
        </w:rPr>
      </w:pPr>
    </w:p>
    <w:p w14:paraId="514B8715">
      <w:pPr>
        <w:pStyle w:val="2"/>
        <w:spacing w:before="78" w:line="222" w:lineRule="auto"/>
        <w:outlineLvl w:val="2"/>
        <w:rPr>
          <w:sz w:val="24"/>
          <w:szCs w:val="24"/>
        </w:rPr>
      </w:pPr>
      <w:bookmarkStart w:id="366" w:name="bookmark348"/>
      <w:bookmarkEnd w:id="366"/>
      <w:r>
        <w:rPr>
          <w:rFonts w:ascii="Times New Roman" w:hAnsi="Times New Roman" w:eastAsia="Times New Roman" w:cs="Times New Roman"/>
          <w:spacing w:val="-2"/>
          <w:sz w:val="24"/>
          <w:szCs w:val="24"/>
        </w:rPr>
        <w:t>4.</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2"/>
          <w:sz w:val="24"/>
          <w:szCs w:val="24"/>
        </w:rPr>
        <w:t xml:space="preserve">12 </w:t>
      </w:r>
      <w:r>
        <w:rPr>
          <w:spacing w:val="-2"/>
          <w:sz w:val="24"/>
          <w:szCs w:val="24"/>
        </w:rPr>
        <w:t>其他项目清单与计价汇总表</w:t>
      </w:r>
    </w:p>
    <w:p w14:paraId="67FD670D">
      <w:pPr>
        <w:pStyle w:val="2"/>
        <w:spacing w:before="159" w:line="222" w:lineRule="auto"/>
        <w:ind w:left="2741"/>
        <w:rPr>
          <w:sz w:val="28"/>
          <w:szCs w:val="28"/>
        </w:rPr>
      </w:pPr>
      <w:r>
        <w:rPr>
          <w:spacing w:val="-2"/>
          <w:sz w:val="28"/>
          <w:szCs w:val="28"/>
        </w:rPr>
        <w:t>其他项目清单与计价汇总表</w:t>
      </w:r>
    </w:p>
    <w:p w14:paraId="255AC0D2">
      <w:pPr>
        <w:spacing w:before="134" w:line="223" w:lineRule="auto"/>
        <w:ind w:left="6"/>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2"/>
          <w:sz w:val="20"/>
          <w:szCs w:val="20"/>
        </w:rPr>
        <w:t xml:space="preserve">                          </w:t>
      </w:r>
      <w:r>
        <w:rPr>
          <w:rFonts w:ascii="宋体" w:hAnsi="宋体" w:eastAsia="宋体" w:cs="宋体"/>
          <w:spacing w:val="4"/>
          <w:sz w:val="20"/>
          <w:szCs w:val="20"/>
        </w:rPr>
        <w:t>标段名称：</w:t>
      </w:r>
      <w:r>
        <w:rPr>
          <w:rFonts w:ascii="宋体" w:hAnsi="宋体" w:eastAsia="宋体" w:cs="宋体"/>
          <w:sz w:val="20"/>
          <w:szCs w:val="20"/>
        </w:rPr>
        <w:t xml:space="preserve">                 </w:t>
      </w:r>
      <w:r>
        <w:rPr>
          <w:rFonts w:ascii="宋体" w:hAnsi="宋体" w:eastAsia="宋体" w:cs="宋体"/>
          <w:spacing w:val="4"/>
          <w:sz w:val="20"/>
          <w:szCs w:val="20"/>
        </w:rPr>
        <w:t>第  页</w:t>
      </w:r>
      <w:r>
        <w:rPr>
          <w:rFonts w:ascii="宋体" w:hAnsi="宋体" w:eastAsia="宋体" w:cs="宋体"/>
          <w:spacing w:val="21"/>
          <w:sz w:val="20"/>
          <w:szCs w:val="20"/>
        </w:rPr>
        <w:t xml:space="preserve"> </w:t>
      </w:r>
      <w:r>
        <w:rPr>
          <w:rFonts w:ascii="宋体" w:hAnsi="宋体" w:eastAsia="宋体" w:cs="宋体"/>
          <w:spacing w:val="4"/>
          <w:sz w:val="20"/>
          <w:szCs w:val="20"/>
        </w:rPr>
        <w:t>共</w:t>
      </w:r>
      <w:r>
        <w:rPr>
          <w:rFonts w:ascii="宋体" w:hAnsi="宋体" w:eastAsia="宋体" w:cs="宋体"/>
          <w:spacing w:val="12"/>
          <w:sz w:val="20"/>
          <w:szCs w:val="20"/>
        </w:rPr>
        <w:t xml:space="preserve">  </w:t>
      </w:r>
      <w:r>
        <w:rPr>
          <w:rFonts w:ascii="宋体" w:hAnsi="宋体" w:eastAsia="宋体" w:cs="宋体"/>
          <w:spacing w:val="4"/>
          <w:sz w:val="20"/>
          <w:szCs w:val="20"/>
        </w:rPr>
        <w:t>页</w:t>
      </w:r>
    </w:p>
    <w:tbl>
      <w:tblPr>
        <w:tblStyle w:val="5"/>
        <w:tblW w:w="8467" w:type="dxa"/>
        <w:tblInd w:w="17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5"/>
        <w:gridCol w:w="2921"/>
        <w:gridCol w:w="1571"/>
        <w:gridCol w:w="1571"/>
        <w:gridCol w:w="1579"/>
      </w:tblGrid>
      <w:tr w14:paraId="06198D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4" w:hRule="atLeast"/>
        </w:trPr>
        <w:tc>
          <w:tcPr>
            <w:tcW w:w="825" w:type="dxa"/>
            <w:tcBorders>
              <w:top w:val="single" w:color="000000" w:sz="4" w:space="0"/>
              <w:left w:val="single" w:color="000000" w:sz="4" w:space="0"/>
            </w:tcBorders>
            <w:vAlign w:val="top"/>
          </w:tcPr>
          <w:p w14:paraId="1B3D47FF">
            <w:pPr>
              <w:spacing w:line="279" w:lineRule="auto"/>
              <w:rPr>
                <w:rFonts w:ascii="Arial"/>
                <w:sz w:val="21"/>
              </w:rPr>
            </w:pPr>
          </w:p>
          <w:p w14:paraId="0BB3844F">
            <w:pPr>
              <w:pStyle w:val="6"/>
              <w:spacing w:before="65" w:line="229" w:lineRule="auto"/>
              <w:ind w:left="202"/>
            </w:pPr>
            <w:r>
              <w:rPr>
                <w:spacing w:val="5"/>
              </w:rPr>
              <w:t>序号</w:t>
            </w:r>
          </w:p>
        </w:tc>
        <w:tc>
          <w:tcPr>
            <w:tcW w:w="2921" w:type="dxa"/>
            <w:tcBorders>
              <w:top w:val="single" w:color="000000" w:sz="4" w:space="0"/>
            </w:tcBorders>
            <w:vAlign w:val="top"/>
          </w:tcPr>
          <w:p w14:paraId="337A3538">
            <w:pPr>
              <w:spacing w:line="280" w:lineRule="auto"/>
              <w:rPr>
                <w:rFonts w:ascii="Arial"/>
                <w:sz w:val="21"/>
              </w:rPr>
            </w:pPr>
          </w:p>
          <w:p w14:paraId="0E86459D">
            <w:pPr>
              <w:pStyle w:val="6"/>
              <w:spacing w:before="65" w:line="228" w:lineRule="auto"/>
              <w:ind w:left="1047"/>
            </w:pPr>
            <w:r>
              <w:rPr>
                <w:spacing w:val="6"/>
              </w:rPr>
              <w:t>项目名称</w:t>
            </w:r>
          </w:p>
        </w:tc>
        <w:tc>
          <w:tcPr>
            <w:tcW w:w="1571" w:type="dxa"/>
            <w:tcBorders>
              <w:top w:val="single" w:color="000000" w:sz="4" w:space="0"/>
            </w:tcBorders>
            <w:vAlign w:val="top"/>
          </w:tcPr>
          <w:p w14:paraId="3E29EB7A">
            <w:pPr>
              <w:spacing w:line="279" w:lineRule="auto"/>
              <w:rPr>
                <w:rFonts w:ascii="Arial"/>
                <w:sz w:val="21"/>
              </w:rPr>
            </w:pPr>
          </w:p>
          <w:p w14:paraId="23FCDD16">
            <w:pPr>
              <w:pStyle w:val="6"/>
              <w:spacing w:before="65" w:line="228" w:lineRule="auto"/>
              <w:ind w:left="267"/>
            </w:pPr>
            <w:r>
              <w:rPr>
                <w:spacing w:val="5"/>
              </w:rPr>
              <w:t>金额（元）</w:t>
            </w:r>
          </w:p>
        </w:tc>
        <w:tc>
          <w:tcPr>
            <w:tcW w:w="1571" w:type="dxa"/>
            <w:tcBorders>
              <w:top w:val="single" w:color="000000" w:sz="4" w:space="0"/>
            </w:tcBorders>
            <w:vAlign w:val="top"/>
          </w:tcPr>
          <w:p w14:paraId="6C0B8D5F">
            <w:pPr>
              <w:spacing w:line="279" w:lineRule="auto"/>
              <w:rPr>
                <w:rFonts w:ascii="Arial"/>
                <w:sz w:val="21"/>
              </w:rPr>
            </w:pPr>
          </w:p>
          <w:p w14:paraId="365F4D32">
            <w:pPr>
              <w:pStyle w:val="6"/>
              <w:spacing w:before="65" w:line="228" w:lineRule="auto"/>
              <w:ind w:right="7"/>
              <w:jc w:val="right"/>
            </w:pPr>
            <w:r>
              <w:rPr>
                <w:spacing w:val="5"/>
              </w:rPr>
              <w:t>结算金额（元）</w:t>
            </w:r>
          </w:p>
        </w:tc>
        <w:tc>
          <w:tcPr>
            <w:tcW w:w="1579" w:type="dxa"/>
            <w:tcBorders>
              <w:top w:val="single" w:color="000000" w:sz="4" w:space="0"/>
              <w:right w:val="single" w:color="000000" w:sz="4" w:space="0"/>
            </w:tcBorders>
            <w:vAlign w:val="top"/>
          </w:tcPr>
          <w:p w14:paraId="759DACB2">
            <w:pPr>
              <w:spacing w:line="279" w:lineRule="auto"/>
              <w:rPr>
                <w:rFonts w:ascii="Arial"/>
                <w:sz w:val="21"/>
              </w:rPr>
            </w:pPr>
          </w:p>
          <w:p w14:paraId="6FAEE88B">
            <w:pPr>
              <w:pStyle w:val="6"/>
              <w:spacing w:before="65" w:line="229" w:lineRule="auto"/>
              <w:ind w:left="587"/>
            </w:pPr>
            <w:r>
              <w:rPr>
                <w:spacing w:val="3"/>
              </w:rPr>
              <w:t>备注</w:t>
            </w:r>
          </w:p>
        </w:tc>
      </w:tr>
      <w:tr w14:paraId="621E7C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825" w:type="dxa"/>
            <w:tcBorders>
              <w:left w:val="single" w:color="000000" w:sz="4" w:space="0"/>
            </w:tcBorders>
            <w:vAlign w:val="top"/>
          </w:tcPr>
          <w:p w14:paraId="240A3BE9">
            <w:pPr>
              <w:spacing w:line="275" w:lineRule="auto"/>
              <w:rPr>
                <w:rFonts w:ascii="Arial"/>
                <w:sz w:val="21"/>
              </w:rPr>
            </w:pPr>
          </w:p>
          <w:p w14:paraId="5362CDFF">
            <w:pPr>
              <w:spacing w:before="65" w:line="275" w:lineRule="exact"/>
              <w:ind w:left="372"/>
              <w:rPr>
                <w:rFonts w:ascii="黑体" w:hAnsi="黑体" w:eastAsia="黑体" w:cs="黑体"/>
                <w:sz w:val="20"/>
                <w:szCs w:val="20"/>
              </w:rPr>
            </w:pPr>
            <w:r>
              <w:rPr>
                <w:rFonts w:ascii="黑体" w:hAnsi="黑体" w:eastAsia="黑体" w:cs="黑体"/>
                <w:position w:val="1"/>
                <w:sz w:val="20"/>
                <w:szCs w:val="20"/>
              </w:rPr>
              <w:t>1</w:t>
            </w:r>
          </w:p>
        </w:tc>
        <w:tc>
          <w:tcPr>
            <w:tcW w:w="2921" w:type="dxa"/>
            <w:vAlign w:val="top"/>
          </w:tcPr>
          <w:p w14:paraId="00002D24">
            <w:pPr>
              <w:spacing w:line="275" w:lineRule="auto"/>
              <w:rPr>
                <w:rFonts w:ascii="Arial"/>
                <w:sz w:val="21"/>
              </w:rPr>
            </w:pPr>
          </w:p>
          <w:p w14:paraId="59D987C1">
            <w:pPr>
              <w:pStyle w:val="6"/>
              <w:spacing w:before="65" w:line="228" w:lineRule="auto"/>
              <w:ind w:left="116"/>
            </w:pPr>
            <w:r>
              <w:rPr>
                <w:spacing w:val="5"/>
              </w:rPr>
              <w:t>暂列金额</w:t>
            </w:r>
          </w:p>
        </w:tc>
        <w:tc>
          <w:tcPr>
            <w:tcW w:w="1571" w:type="dxa"/>
            <w:vAlign w:val="top"/>
          </w:tcPr>
          <w:p w14:paraId="02374C7E">
            <w:pPr>
              <w:rPr>
                <w:rFonts w:ascii="Arial"/>
                <w:sz w:val="21"/>
              </w:rPr>
            </w:pPr>
          </w:p>
        </w:tc>
        <w:tc>
          <w:tcPr>
            <w:tcW w:w="1571" w:type="dxa"/>
            <w:vAlign w:val="top"/>
          </w:tcPr>
          <w:p w14:paraId="05980F96">
            <w:pPr>
              <w:rPr>
                <w:rFonts w:ascii="Arial"/>
                <w:sz w:val="21"/>
              </w:rPr>
            </w:pPr>
          </w:p>
        </w:tc>
        <w:tc>
          <w:tcPr>
            <w:tcW w:w="1579" w:type="dxa"/>
            <w:tcBorders>
              <w:right w:val="single" w:color="000000" w:sz="4" w:space="0"/>
            </w:tcBorders>
            <w:vAlign w:val="top"/>
          </w:tcPr>
          <w:p w14:paraId="1BD8281E">
            <w:pPr>
              <w:pStyle w:val="6"/>
              <w:spacing w:before="208" w:line="252" w:lineRule="auto"/>
              <w:ind w:left="392" w:right="365" w:firstLine="3"/>
              <w:rPr>
                <w:rFonts w:ascii="Times New Roman" w:hAnsi="Times New Roman" w:eastAsia="Times New Roman" w:cs="Times New Roman"/>
              </w:rPr>
            </w:pPr>
            <w:r>
              <w:rPr>
                <w:spacing w:val="2"/>
              </w:rPr>
              <w:t>明细详见</w:t>
            </w:r>
            <w:r>
              <w:rPr>
                <w:spacing w:val="-4"/>
              </w:rPr>
              <w:t>表</w:t>
            </w:r>
            <w:r>
              <w:rPr>
                <w:spacing w:val="-42"/>
              </w:rPr>
              <w:t xml:space="preserve"> </w:t>
            </w:r>
            <w:r>
              <w:rPr>
                <w:rFonts w:ascii="Times New Roman" w:hAnsi="Times New Roman" w:eastAsia="Times New Roman" w:cs="Times New Roman"/>
                <w:spacing w:val="-4"/>
              </w:rPr>
              <w:t>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12-</w:t>
            </w:r>
            <w:r>
              <w:rPr>
                <w:rFonts w:ascii="Times New Roman" w:hAnsi="Times New Roman" w:eastAsia="Times New Roman" w:cs="Times New Roman"/>
                <w:spacing w:val="-28"/>
              </w:rPr>
              <w:t xml:space="preserve"> </w:t>
            </w:r>
            <w:r>
              <w:rPr>
                <w:rFonts w:ascii="Times New Roman" w:hAnsi="Times New Roman" w:eastAsia="Times New Roman" w:cs="Times New Roman"/>
                <w:spacing w:val="-4"/>
              </w:rPr>
              <w:t>1</w:t>
            </w:r>
          </w:p>
        </w:tc>
      </w:tr>
      <w:tr w14:paraId="06569C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825" w:type="dxa"/>
            <w:tcBorders>
              <w:left w:val="single" w:color="000000" w:sz="4" w:space="0"/>
              <w:bottom w:val="single" w:color="000000" w:sz="4" w:space="0"/>
            </w:tcBorders>
            <w:vAlign w:val="top"/>
          </w:tcPr>
          <w:p w14:paraId="06D34586">
            <w:pPr>
              <w:spacing w:line="277" w:lineRule="auto"/>
              <w:rPr>
                <w:rFonts w:ascii="Arial"/>
                <w:sz w:val="21"/>
              </w:rPr>
            </w:pPr>
          </w:p>
          <w:p w14:paraId="3DB5F90A">
            <w:pPr>
              <w:spacing w:before="65" w:line="275" w:lineRule="exact"/>
              <w:ind w:left="360"/>
              <w:rPr>
                <w:rFonts w:ascii="黑体" w:hAnsi="黑体" w:eastAsia="黑体" w:cs="黑体"/>
                <w:sz w:val="20"/>
                <w:szCs w:val="20"/>
              </w:rPr>
            </w:pPr>
            <w:r>
              <w:rPr>
                <w:rFonts w:ascii="黑体" w:hAnsi="黑体" w:eastAsia="黑体" w:cs="黑体"/>
                <w:position w:val="1"/>
                <w:sz w:val="20"/>
                <w:szCs w:val="20"/>
              </w:rPr>
              <w:t>2</w:t>
            </w:r>
          </w:p>
        </w:tc>
        <w:tc>
          <w:tcPr>
            <w:tcW w:w="2921" w:type="dxa"/>
            <w:vAlign w:val="top"/>
          </w:tcPr>
          <w:p w14:paraId="3558E65C">
            <w:pPr>
              <w:spacing w:line="277" w:lineRule="auto"/>
              <w:rPr>
                <w:rFonts w:ascii="Arial"/>
                <w:sz w:val="21"/>
              </w:rPr>
            </w:pPr>
          </w:p>
          <w:p w14:paraId="2FA01C7B">
            <w:pPr>
              <w:pStyle w:val="6"/>
              <w:spacing w:before="65" w:line="226" w:lineRule="auto"/>
              <w:ind w:left="116"/>
            </w:pPr>
            <w:r>
              <w:rPr>
                <w:spacing w:val="4"/>
              </w:rPr>
              <w:t>暂估价</w:t>
            </w:r>
          </w:p>
        </w:tc>
        <w:tc>
          <w:tcPr>
            <w:tcW w:w="1571" w:type="dxa"/>
            <w:vAlign w:val="top"/>
          </w:tcPr>
          <w:p w14:paraId="00644B17">
            <w:pPr>
              <w:rPr>
                <w:rFonts w:ascii="Arial"/>
                <w:sz w:val="21"/>
              </w:rPr>
            </w:pPr>
          </w:p>
        </w:tc>
        <w:tc>
          <w:tcPr>
            <w:tcW w:w="1571" w:type="dxa"/>
            <w:vAlign w:val="top"/>
          </w:tcPr>
          <w:p w14:paraId="65C6A172">
            <w:pPr>
              <w:rPr>
                <w:rFonts w:ascii="Arial"/>
                <w:sz w:val="21"/>
              </w:rPr>
            </w:pPr>
          </w:p>
        </w:tc>
        <w:tc>
          <w:tcPr>
            <w:tcW w:w="1579" w:type="dxa"/>
            <w:tcBorders>
              <w:right w:val="single" w:color="000000" w:sz="4" w:space="0"/>
            </w:tcBorders>
            <w:vAlign w:val="top"/>
          </w:tcPr>
          <w:p w14:paraId="3CA55856">
            <w:pPr>
              <w:rPr>
                <w:rFonts w:ascii="Arial"/>
                <w:sz w:val="21"/>
              </w:rPr>
            </w:pPr>
          </w:p>
        </w:tc>
      </w:tr>
      <w:tr w14:paraId="6F02D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825" w:type="dxa"/>
            <w:tcBorders>
              <w:top w:val="single" w:color="000000" w:sz="4" w:space="0"/>
              <w:left w:val="single" w:color="000000" w:sz="4" w:space="0"/>
            </w:tcBorders>
            <w:vAlign w:val="top"/>
          </w:tcPr>
          <w:p w14:paraId="348E5920">
            <w:pPr>
              <w:spacing w:line="279" w:lineRule="auto"/>
              <w:rPr>
                <w:rFonts w:ascii="Arial"/>
                <w:sz w:val="21"/>
              </w:rPr>
            </w:pPr>
          </w:p>
          <w:p w14:paraId="42F8F093">
            <w:pPr>
              <w:spacing w:before="65" w:line="274" w:lineRule="exact"/>
              <w:ind w:left="254"/>
              <w:rPr>
                <w:rFonts w:ascii="黑体" w:hAnsi="黑体" w:eastAsia="黑体" w:cs="黑体"/>
                <w:sz w:val="20"/>
                <w:szCs w:val="20"/>
              </w:rPr>
            </w:pPr>
            <w:r>
              <w:rPr>
                <w:rFonts w:ascii="黑体" w:hAnsi="黑体" w:eastAsia="黑体" w:cs="黑体"/>
                <w:spacing w:val="3"/>
                <w:position w:val="1"/>
                <w:sz w:val="20"/>
                <w:szCs w:val="20"/>
              </w:rPr>
              <w:t>2.1</w:t>
            </w:r>
          </w:p>
        </w:tc>
        <w:tc>
          <w:tcPr>
            <w:tcW w:w="2921" w:type="dxa"/>
            <w:vAlign w:val="top"/>
          </w:tcPr>
          <w:p w14:paraId="16B8BC33">
            <w:pPr>
              <w:spacing w:line="279" w:lineRule="auto"/>
              <w:rPr>
                <w:rFonts w:ascii="Arial"/>
                <w:sz w:val="21"/>
              </w:rPr>
            </w:pPr>
          </w:p>
          <w:p w14:paraId="5383C7DD">
            <w:pPr>
              <w:pStyle w:val="6"/>
              <w:spacing w:before="65" w:line="226" w:lineRule="auto"/>
              <w:ind w:left="110"/>
            </w:pPr>
            <w:r>
              <w:rPr>
                <w:spacing w:val="9"/>
              </w:rPr>
              <w:t>材料（工程设备）暂估价</w:t>
            </w:r>
          </w:p>
        </w:tc>
        <w:tc>
          <w:tcPr>
            <w:tcW w:w="1571" w:type="dxa"/>
            <w:vAlign w:val="top"/>
          </w:tcPr>
          <w:p w14:paraId="7E7B7DCA">
            <w:pPr>
              <w:spacing w:line="377" w:lineRule="auto"/>
              <w:rPr>
                <w:rFonts w:ascii="Arial"/>
                <w:sz w:val="21"/>
              </w:rPr>
            </w:pPr>
          </w:p>
          <w:p w14:paraId="0397AAFC">
            <w:pPr>
              <w:pStyle w:val="6"/>
              <w:spacing w:before="65" w:line="136" w:lineRule="exact"/>
              <w:ind w:left="684"/>
            </w:pPr>
            <w:r>
              <w:rPr>
                <w:spacing w:val="2"/>
                <w:position w:val="-3"/>
              </w:rPr>
              <w:t>—</w:t>
            </w:r>
          </w:p>
        </w:tc>
        <w:tc>
          <w:tcPr>
            <w:tcW w:w="1571" w:type="dxa"/>
            <w:vAlign w:val="top"/>
          </w:tcPr>
          <w:p w14:paraId="13B290CE">
            <w:pPr>
              <w:rPr>
                <w:rFonts w:ascii="Arial"/>
                <w:sz w:val="21"/>
              </w:rPr>
            </w:pPr>
          </w:p>
        </w:tc>
        <w:tc>
          <w:tcPr>
            <w:tcW w:w="1579" w:type="dxa"/>
            <w:tcBorders>
              <w:right w:val="single" w:color="000000" w:sz="4" w:space="0"/>
            </w:tcBorders>
            <w:vAlign w:val="top"/>
          </w:tcPr>
          <w:p w14:paraId="5CB8DCDB">
            <w:pPr>
              <w:pStyle w:val="6"/>
              <w:spacing w:before="210" w:line="252" w:lineRule="auto"/>
              <w:ind w:left="392" w:right="365" w:firstLine="3"/>
              <w:rPr>
                <w:rFonts w:ascii="Times New Roman" w:hAnsi="Times New Roman" w:eastAsia="Times New Roman" w:cs="Times New Roman"/>
              </w:rPr>
            </w:pPr>
            <w:r>
              <w:rPr>
                <w:spacing w:val="2"/>
              </w:rPr>
              <w:t>明细详见</w:t>
            </w:r>
            <w:r>
              <w:rPr>
                <w:spacing w:val="-1"/>
              </w:rPr>
              <w:t>表</w:t>
            </w:r>
            <w:r>
              <w:rPr>
                <w:spacing w:val="-41"/>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25"/>
              </w:rPr>
              <w:t xml:space="preserve"> </w:t>
            </w:r>
            <w:r>
              <w:rPr>
                <w:rFonts w:ascii="Times New Roman" w:hAnsi="Times New Roman" w:eastAsia="Times New Roman" w:cs="Times New Roman"/>
                <w:spacing w:val="-1"/>
              </w:rPr>
              <w:t>12-2</w:t>
            </w:r>
          </w:p>
        </w:tc>
      </w:tr>
      <w:tr w14:paraId="45100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trPr>
        <w:tc>
          <w:tcPr>
            <w:tcW w:w="825" w:type="dxa"/>
            <w:tcBorders>
              <w:left w:val="single" w:color="000000" w:sz="4" w:space="0"/>
            </w:tcBorders>
            <w:vAlign w:val="top"/>
          </w:tcPr>
          <w:p w14:paraId="165CA97A">
            <w:pPr>
              <w:spacing w:line="279" w:lineRule="auto"/>
              <w:rPr>
                <w:rFonts w:ascii="Arial"/>
                <w:sz w:val="21"/>
              </w:rPr>
            </w:pPr>
          </w:p>
          <w:p w14:paraId="4DD9C212">
            <w:pPr>
              <w:spacing w:before="65" w:line="274" w:lineRule="exact"/>
              <w:ind w:left="254"/>
              <w:rPr>
                <w:rFonts w:ascii="黑体" w:hAnsi="黑体" w:eastAsia="黑体" w:cs="黑体"/>
                <w:sz w:val="20"/>
                <w:szCs w:val="20"/>
              </w:rPr>
            </w:pPr>
            <w:r>
              <w:rPr>
                <w:rFonts w:ascii="黑体" w:hAnsi="黑体" w:eastAsia="黑体" w:cs="黑体"/>
                <w:spacing w:val="3"/>
                <w:position w:val="1"/>
                <w:sz w:val="20"/>
                <w:szCs w:val="20"/>
              </w:rPr>
              <w:t>2.2</w:t>
            </w:r>
          </w:p>
        </w:tc>
        <w:tc>
          <w:tcPr>
            <w:tcW w:w="2921" w:type="dxa"/>
            <w:vAlign w:val="top"/>
          </w:tcPr>
          <w:p w14:paraId="331A9613">
            <w:pPr>
              <w:spacing w:line="279" w:lineRule="auto"/>
              <w:rPr>
                <w:rFonts w:ascii="Arial"/>
                <w:sz w:val="21"/>
              </w:rPr>
            </w:pPr>
          </w:p>
          <w:p w14:paraId="345C1DCF">
            <w:pPr>
              <w:pStyle w:val="6"/>
              <w:spacing w:before="65" w:line="226" w:lineRule="auto"/>
              <w:ind w:left="111"/>
            </w:pPr>
            <w:r>
              <w:rPr>
                <w:spacing w:val="8"/>
              </w:rPr>
              <w:t>专业工程暂估价</w:t>
            </w:r>
          </w:p>
        </w:tc>
        <w:tc>
          <w:tcPr>
            <w:tcW w:w="1571" w:type="dxa"/>
            <w:vAlign w:val="top"/>
          </w:tcPr>
          <w:p w14:paraId="04A9A557">
            <w:pPr>
              <w:rPr>
                <w:rFonts w:ascii="Arial"/>
                <w:sz w:val="21"/>
              </w:rPr>
            </w:pPr>
          </w:p>
        </w:tc>
        <w:tc>
          <w:tcPr>
            <w:tcW w:w="1571" w:type="dxa"/>
            <w:vAlign w:val="top"/>
          </w:tcPr>
          <w:p w14:paraId="74D07F17">
            <w:pPr>
              <w:rPr>
                <w:rFonts w:ascii="Arial"/>
                <w:sz w:val="21"/>
              </w:rPr>
            </w:pPr>
          </w:p>
        </w:tc>
        <w:tc>
          <w:tcPr>
            <w:tcW w:w="1579" w:type="dxa"/>
            <w:tcBorders>
              <w:right w:val="single" w:color="000000" w:sz="4" w:space="0"/>
            </w:tcBorders>
            <w:vAlign w:val="top"/>
          </w:tcPr>
          <w:p w14:paraId="23182A83">
            <w:pPr>
              <w:pStyle w:val="6"/>
              <w:spacing w:before="208" w:line="255" w:lineRule="auto"/>
              <w:ind w:left="392" w:right="365" w:firstLine="3"/>
              <w:rPr>
                <w:rFonts w:ascii="Times New Roman" w:hAnsi="Times New Roman" w:eastAsia="Times New Roman" w:cs="Times New Roman"/>
              </w:rPr>
            </w:pPr>
            <w:r>
              <w:rPr>
                <w:spacing w:val="2"/>
              </w:rPr>
              <w:t>明细详见</w:t>
            </w:r>
            <w:r>
              <w:rPr>
                <w:spacing w:val="-1"/>
              </w:rPr>
              <w:t>表</w:t>
            </w:r>
            <w:r>
              <w:rPr>
                <w:spacing w:val="-41"/>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25"/>
              </w:rPr>
              <w:t xml:space="preserve"> </w:t>
            </w:r>
            <w:r>
              <w:rPr>
                <w:rFonts w:ascii="Times New Roman" w:hAnsi="Times New Roman" w:eastAsia="Times New Roman" w:cs="Times New Roman"/>
                <w:spacing w:val="-1"/>
              </w:rPr>
              <w:t>12-3</w:t>
            </w:r>
          </w:p>
        </w:tc>
      </w:tr>
      <w:tr w14:paraId="63778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825" w:type="dxa"/>
            <w:tcBorders>
              <w:left w:val="single" w:color="000000" w:sz="4" w:space="0"/>
            </w:tcBorders>
            <w:vAlign w:val="top"/>
          </w:tcPr>
          <w:p w14:paraId="0EE52A9F">
            <w:pPr>
              <w:spacing w:line="280" w:lineRule="auto"/>
              <w:rPr>
                <w:rFonts w:ascii="Arial"/>
                <w:sz w:val="21"/>
              </w:rPr>
            </w:pPr>
          </w:p>
          <w:p w14:paraId="4B630452">
            <w:pPr>
              <w:spacing w:before="65" w:line="272" w:lineRule="exact"/>
              <w:ind w:left="361"/>
              <w:rPr>
                <w:rFonts w:ascii="黑体" w:hAnsi="黑体" w:eastAsia="黑体" w:cs="黑体"/>
                <w:sz w:val="20"/>
                <w:szCs w:val="20"/>
              </w:rPr>
            </w:pPr>
            <w:r>
              <w:rPr>
                <w:rFonts w:ascii="黑体" w:hAnsi="黑体" w:eastAsia="黑体" w:cs="黑体"/>
                <w:position w:val="1"/>
                <w:sz w:val="20"/>
                <w:szCs w:val="20"/>
              </w:rPr>
              <w:t>3</w:t>
            </w:r>
          </w:p>
        </w:tc>
        <w:tc>
          <w:tcPr>
            <w:tcW w:w="2921" w:type="dxa"/>
            <w:vAlign w:val="top"/>
          </w:tcPr>
          <w:p w14:paraId="19B25C21">
            <w:pPr>
              <w:spacing w:line="280" w:lineRule="auto"/>
              <w:rPr>
                <w:rFonts w:ascii="Arial"/>
                <w:sz w:val="21"/>
              </w:rPr>
            </w:pPr>
          </w:p>
          <w:p w14:paraId="59DAAA2A">
            <w:pPr>
              <w:pStyle w:val="6"/>
              <w:spacing w:before="65" w:line="229" w:lineRule="auto"/>
              <w:ind w:left="110"/>
            </w:pPr>
            <w:r>
              <w:rPr>
                <w:spacing w:val="6"/>
              </w:rPr>
              <w:t>计日工</w:t>
            </w:r>
          </w:p>
        </w:tc>
        <w:tc>
          <w:tcPr>
            <w:tcW w:w="1571" w:type="dxa"/>
            <w:vAlign w:val="top"/>
          </w:tcPr>
          <w:p w14:paraId="2A4B748B">
            <w:pPr>
              <w:rPr>
                <w:rFonts w:ascii="Arial"/>
                <w:sz w:val="21"/>
              </w:rPr>
            </w:pPr>
          </w:p>
        </w:tc>
        <w:tc>
          <w:tcPr>
            <w:tcW w:w="1571" w:type="dxa"/>
            <w:vAlign w:val="top"/>
          </w:tcPr>
          <w:p w14:paraId="0DC09587">
            <w:pPr>
              <w:rPr>
                <w:rFonts w:ascii="Arial"/>
                <w:sz w:val="21"/>
              </w:rPr>
            </w:pPr>
          </w:p>
        </w:tc>
        <w:tc>
          <w:tcPr>
            <w:tcW w:w="1579" w:type="dxa"/>
            <w:tcBorders>
              <w:right w:val="single" w:color="000000" w:sz="4" w:space="0"/>
            </w:tcBorders>
            <w:vAlign w:val="top"/>
          </w:tcPr>
          <w:p w14:paraId="6F3A5111">
            <w:pPr>
              <w:pStyle w:val="6"/>
              <w:spacing w:before="209" w:line="255" w:lineRule="auto"/>
              <w:ind w:left="392" w:right="365" w:firstLine="3"/>
              <w:rPr>
                <w:rFonts w:ascii="Times New Roman" w:hAnsi="Times New Roman" w:eastAsia="Times New Roman" w:cs="Times New Roman"/>
              </w:rPr>
            </w:pPr>
            <w:r>
              <w:rPr>
                <w:spacing w:val="2"/>
              </w:rPr>
              <w:t>明细详见</w:t>
            </w:r>
            <w:r>
              <w:rPr>
                <w:spacing w:val="-1"/>
              </w:rPr>
              <w:t>表</w:t>
            </w:r>
            <w:r>
              <w:rPr>
                <w:spacing w:val="-41"/>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25"/>
              </w:rPr>
              <w:t xml:space="preserve"> </w:t>
            </w:r>
            <w:r>
              <w:rPr>
                <w:rFonts w:ascii="Times New Roman" w:hAnsi="Times New Roman" w:eastAsia="Times New Roman" w:cs="Times New Roman"/>
                <w:spacing w:val="-1"/>
              </w:rPr>
              <w:t>12-4</w:t>
            </w:r>
          </w:p>
        </w:tc>
      </w:tr>
      <w:tr w14:paraId="60627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825" w:type="dxa"/>
            <w:tcBorders>
              <w:left w:val="single" w:color="000000" w:sz="4" w:space="0"/>
            </w:tcBorders>
            <w:vAlign w:val="top"/>
          </w:tcPr>
          <w:p w14:paraId="26E24381">
            <w:pPr>
              <w:spacing w:line="282" w:lineRule="auto"/>
              <w:rPr>
                <w:rFonts w:ascii="Arial"/>
                <w:sz w:val="21"/>
              </w:rPr>
            </w:pPr>
          </w:p>
          <w:p w14:paraId="4CA40965">
            <w:pPr>
              <w:spacing w:before="65" w:line="275" w:lineRule="exact"/>
              <w:ind w:left="356"/>
              <w:rPr>
                <w:rFonts w:ascii="黑体" w:hAnsi="黑体" w:eastAsia="黑体" w:cs="黑体"/>
                <w:sz w:val="20"/>
                <w:szCs w:val="20"/>
              </w:rPr>
            </w:pPr>
            <w:r>
              <w:rPr>
                <w:rFonts w:ascii="黑体" w:hAnsi="黑体" w:eastAsia="黑体" w:cs="黑体"/>
                <w:spacing w:val="1"/>
                <w:position w:val="1"/>
                <w:sz w:val="20"/>
                <w:szCs w:val="20"/>
              </w:rPr>
              <w:t>4</w:t>
            </w:r>
          </w:p>
        </w:tc>
        <w:tc>
          <w:tcPr>
            <w:tcW w:w="2921" w:type="dxa"/>
            <w:vAlign w:val="top"/>
          </w:tcPr>
          <w:p w14:paraId="6EA41BB1">
            <w:pPr>
              <w:spacing w:line="282" w:lineRule="auto"/>
              <w:rPr>
                <w:rFonts w:ascii="Arial"/>
                <w:sz w:val="21"/>
              </w:rPr>
            </w:pPr>
          </w:p>
          <w:p w14:paraId="5442E391">
            <w:pPr>
              <w:pStyle w:val="6"/>
              <w:spacing w:before="65" w:line="228" w:lineRule="auto"/>
              <w:ind w:left="116"/>
            </w:pPr>
            <w:r>
              <w:rPr>
                <w:spacing w:val="7"/>
              </w:rPr>
              <w:t>总承包服务费</w:t>
            </w:r>
          </w:p>
        </w:tc>
        <w:tc>
          <w:tcPr>
            <w:tcW w:w="1571" w:type="dxa"/>
            <w:vAlign w:val="top"/>
          </w:tcPr>
          <w:p w14:paraId="2EBE6141">
            <w:pPr>
              <w:rPr>
                <w:rFonts w:ascii="Arial"/>
                <w:sz w:val="21"/>
              </w:rPr>
            </w:pPr>
          </w:p>
        </w:tc>
        <w:tc>
          <w:tcPr>
            <w:tcW w:w="1571" w:type="dxa"/>
            <w:vAlign w:val="top"/>
          </w:tcPr>
          <w:p w14:paraId="2097057D">
            <w:pPr>
              <w:rPr>
                <w:rFonts w:ascii="Arial"/>
                <w:sz w:val="21"/>
              </w:rPr>
            </w:pPr>
          </w:p>
        </w:tc>
        <w:tc>
          <w:tcPr>
            <w:tcW w:w="1579" w:type="dxa"/>
            <w:tcBorders>
              <w:right w:val="single" w:color="000000" w:sz="4" w:space="0"/>
            </w:tcBorders>
            <w:vAlign w:val="top"/>
          </w:tcPr>
          <w:p w14:paraId="19E5488C">
            <w:pPr>
              <w:pStyle w:val="6"/>
              <w:spacing w:before="213" w:line="252" w:lineRule="auto"/>
              <w:ind w:left="392" w:right="365" w:firstLine="3"/>
              <w:rPr>
                <w:rFonts w:ascii="Times New Roman" w:hAnsi="Times New Roman" w:eastAsia="Times New Roman" w:cs="Times New Roman"/>
              </w:rPr>
            </w:pPr>
            <w:r>
              <w:rPr>
                <w:spacing w:val="2"/>
              </w:rPr>
              <w:t>明细详见</w:t>
            </w:r>
            <w:r>
              <w:rPr>
                <w:spacing w:val="-1"/>
              </w:rPr>
              <w:t>表</w:t>
            </w:r>
            <w:r>
              <w:rPr>
                <w:spacing w:val="-41"/>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25"/>
              </w:rPr>
              <w:t xml:space="preserve"> </w:t>
            </w:r>
            <w:r>
              <w:rPr>
                <w:rFonts w:ascii="Times New Roman" w:hAnsi="Times New Roman" w:eastAsia="Times New Roman" w:cs="Times New Roman"/>
                <w:spacing w:val="-1"/>
              </w:rPr>
              <w:t>12-5</w:t>
            </w:r>
          </w:p>
        </w:tc>
      </w:tr>
      <w:tr w14:paraId="65FD09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825" w:type="dxa"/>
            <w:tcBorders>
              <w:left w:val="single" w:color="000000" w:sz="4" w:space="0"/>
            </w:tcBorders>
            <w:vAlign w:val="top"/>
          </w:tcPr>
          <w:p w14:paraId="6A4E00A0">
            <w:pPr>
              <w:rPr>
                <w:rFonts w:ascii="Arial"/>
                <w:sz w:val="21"/>
              </w:rPr>
            </w:pPr>
          </w:p>
        </w:tc>
        <w:tc>
          <w:tcPr>
            <w:tcW w:w="2921" w:type="dxa"/>
            <w:vAlign w:val="top"/>
          </w:tcPr>
          <w:p w14:paraId="2DA26BFD">
            <w:pPr>
              <w:rPr>
                <w:rFonts w:ascii="Arial"/>
                <w:sz w:val="21"/>
              </w:rPr>
            </w:pPr>
          </w:p>
        </w:tc>
        <w:tc>
          <w:tcPr>
            <w:tcW w:w="1571" w:type="dxa"/>
            <w:vAlign w:val="top"/>
          </w:tcPr>
          <w:p w14:paraId="271BD956">
            <w:pPr>
              <w:rPr>
                <w:rFonts w:ascii="Arial"/>
                <w:sz w:val="21"/>
              </w:rPr>
            </w:pPr>
          </w:p>
        </w:tc>
        <w:tc>
          <w:tcPr>
            <w:tcW w:w="1571" w:type="dxa"/>
            <w:vAlign w:val="top"/>
          </w:tcPr>
          <w:p w14:paraId="2D8BF0B2">
            <w:pPr>
              <w:rPr>
                <w:rFonts w:ascii="Arial"/>
                <w:sz w:val="21"/>
              </w:rPr>
            </w:pPr>
          </w:p>
        </w:tc>
        <w:tc>
          <w:tcPr>
            <w:tcW w:w="1579" w:type="dxa"/>
            <w:tcBorders>
              <w:right w:val="single" w:color="000000" w:sz="4" w:space="0"/>
            </w:tcBorders>
            <w:vAlign w:val="top"/>
          </w:tcPr>
          <w:p w14:paraId="5538A9C6">
            <w:pPr>
              <w:rPr>
                <w:rFonts w:ascii="Arial"/>
                <w:sz w:val="21"/>
              </w:rPr>
            </w:pPr>
          </w:p>
        </w:tc>
      </w:tr>
      <w:tr w14:paraId="732197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trPr>
        <w:tc>
          <w:tcPr>
            <w:tcW w:w="825" w:type="dxa"/>
            <w:tcBorders>
              <w:left w:val="single" w:color="000000" w:sz="4" w:space="0"/>
            </w:tcBorders>
            <w:vAlign w:val="top"/>
          </w:tcPr>
          <w:p w14:paraId="1B3C39BC">
            <w:pPr>
              <w:rPr>
                <w:rFonts w:ascii="Arial"/>
                <w:sz w:val="21"/>
              </w:rPr>
            </w:pPr>
          </w:p>
        </w:tc>
        <w:tc>
          <w:tcPr>
            <w:tcW w:w="2921" w:type="dxa"/>
            <w:vAlign w:val="top"/>
          </w:tcPr>
          <w:p w14:paraId="5E710182">
            <w:pPr>
              <w:rPr>
                <w:rFonts w:ascii="Arial"/>
                <w:sz w:val="21"/>
              </w:rPr>
            </w:pPr>
          </w:p>
        </w:tc>
        <w:tc>
          <w:tcPr>
            <w:tcW w:w="1571" w:type="dxa"/>
            <w:vAlign w:val="top"/>
          </w:tcPr>
          <w:p w14:paraId="6F5B23CC">
            <w:pPr>
              <w:rPr>
                <w:rFonts w:ascii="Arial"/>
                <w:sz w:val="21"/>
              </w:rPr>
            </w:pPr>
          </w:p>
        </w:tc>
        <w:tc>
          <w:tcPr>
            <w:tcW w:w="1571" w:type="dxa"/>
            <w:vAlign w:val="top"/>
          </w:tcPr>
          <w:p w14:paraId="5582EECA">
            <w:pPr>
              <w:rPr>
                <w:rFonts w:ascii="Arial"/>
                <w:sz w:val="21"/>
              </w:rPr>
            </w:pPr>
          </w:p>
        </w:tc>
        <w:tc>
          <w:tcPr>
            <w:tcW w:w="1579" w:type="dxa"/>
            <w:tcBorders>
              <w:right w:val="single" w:color="000000" w:sz="4" w:space="0"/>
            </w:tcBorders>
            <w:vAlign w:val="top"/>
          </w:tcPr>
          <w:p w14:paraId="49A441D9">
            <w:pPr>
              <w:rPr>
                <w:rFonts w:ascii="Arial"/>
                <w:sz w:val="21"/>
              </w:rPr>
            </w:pPr>
          </w:p>
        </w:tc>
      </w:tr>
      <w:tr w14:paraId="700A9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825" w:type="dxa"/>
            <w:tcBorders>
              <w:left w:val="single" w:color="000000" w:sz="4" w:space="0"/>
            </w:tcBorders>
            <w:vAlign w:val="top"/>
          </w:tcPr>
          <w:p w14:paraId="57C4C842">
            <w:pPr>
              <w:rPr>
                <w:rFonts w:ascii="Arial"/>
                <w:sz w:val="21"/>
              </w:rPr>
            </w:pPr>
          </w:p>
        </w:tc>
        <w:tc>
          <w:tcPr>
            <w:tcW w:w="2921" w:type="dxa"/>
            <w:vAlign w:val="top"/>
          </w:tcPr>
          <w:p w14:paraId="59215EC2">
            <w:pPr>
              <w:rPr>
                <w:rFonts w:ascii="Arial"/>
                <w:sz w:val="21"/>
              </w:rPr>
            </w:pPr>
          </w:p>
        </w:tc>
        <w:tc>
          <w:tcPr>
            <w:tcW w:w="1571" w:type="dxa"/>
            <w:vAlign w:val="top"/>
          </w:tcPr>
          <w:p w14:paraId="522D6353">
            <w:pPr>
              <w:rPr>
                <w:rFonts w:ascii="Arial"/>
                <w:sz w:val="21"/>
              </w:rPr>
            </w:pPr>
          </w:p>
        </w:tc>
        <w:tc>
          <w:tcPr>
            <w:tcW w:w="1571" w:type="dxa"/>
            <w:vAlign w:val="top"/>
          </w:tcPr>
          <w:p w14:paraId="18972BF7">
            <w:pPr>
              <w:rPr>
                <w:rFonts w:ascii="Arial"/>
                <w:sz w:val="21"/>
              </w:rPr>
            </w:pPr>
          </w:p>
        </w:tc>
        <w:tc>
          <w:tcPr>
            <w:tcW w:w="1579" w:type="dxa"/>
            <w:tcBorders>
              <w:right w:val="single" w:color="000000" w:sz="4" w:space="0"/>
            </w:tcBorders>
            <w:vAlign w:val="top"/>
          </w:tcPr>
          <w:p w14:paraId="3E24707F">
            <w:pPr>
              <w:rPr>
                <w:rFonts w:ascii="Arial"/>
                <w:sz w:val="21"/>
              </w:rPr>
            </w:pPr>
          </w:p>
        </w:tc>
      </w:tr>
      <w:tr w14:paraId="1DC68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0" w:hRule="atLeast"/>
        </w:trPr>
        <w:tc>
          <w:tcPr>
            <w:tcW w:w="3746" w:type="dxa"/>
            <w:gridSpan w:val="2"/>
            <w:tcBorders>
              <w:left w:val="single" w:color="000000" w:sz="4" w:space="0"/>
              <w:bottom w:val="single" w:color="000000" w:sz="4" w:space="0"/>
            </w:tcBorders>
            <w:vAlign w:val="top"/>
          </w:tcPr>
          <w:p w14:paraId="5F318472">
            <w:pPr>
              <w:spacing w:line="285" w:lineRule="auto"/>
              <w:rPr>
                <w:rFonts w:ascii="Arial"/>
                <w:sz w:val="21"/>
              </w:rPr>
            </w:pPr>
          </w:p>
          <w:p w14:paraId="512C48D4">
            <w:pPr>
              <w:pStyle w:val="6"/>
              <w:spacing w:before="65" w:line="229" w:lineRule="auto"/>
              <w:ind w:left="1668"/>
            </w:pPr>
            <w:r>
              <w:rPr>
                <w:spacing w:val="4"/>
              </w:rPr>
              <w:t>合计</w:t>
            </w:r>
          </w:p>
        </w:tc>
        <w:tc>
          <w:tcPr>
            <w:tcW w:w="1571" w:type="dxa"/>
            <w:tcBorders>
              <w:bottom w:val="single" w:color="000000" w:sz="4" w:space="0"/>
            </w:tcBorders>
            <w:vAlign w:val="top"/>
          </w:tcPr>
          <w:p w14:paraId="055A18E5">
            <w:pPr>
              <w:rPr>
                <w:rFonts w:ascii="Arial"/>
                <w:sz w:val="21"/>
              </w:rPr>
            </w:pPr>
          </w:p>
        </w:tc>
        <w:tc>
          <w:tcPr>
            <w:tcW w:w="1571" w:type="dxa"/>
            <w:tcBorders>
              <w:bottom w:val="single" w:color="000000" w:sz="4" w:space="0"/>
            </w:tcBorders>
            <w:vAlign w:val="top"/>
          </w:tcPr>
          <w:p w14:paraId="5A60AB99">
            <w:pPr>
              <w:rPr>
                <w:rFonts w:ascii="Arial"/>
                <w:sz w:val="21"/>
              </w:rPr>
            </w:pPr>
          </w:p>
        </w:tc>
        <w:tc>
          <w:tcPr>
            <w:tcW w:w="1579" w:type="dxa"/>
            <w:tcBorders>
              <w:bottom w:val="single" w:color="000000" w:sz="4" w:space="0"/>
              <w:right w:val="single" w:color="000000" w:sz="4" w:space="0"/>
            </w:tcBorders>
            <w:vAlign w:val="top"/>
          </w:tcPr>
          <w:p w14:paraId="7203A301">
            <w:pPr>
              <w:spacing w:line="382" w:lineRule="auto"/>
              <w:rPr>
                <w:rFonts w:ascii="Arial"/>
                <w:sz w:val="21"/>
              </w:rPr>
            </w:pPr>
          </w:p>
          <w:p w14:paraId="56A3C65B">
            <w:pPr>
              <w:pStyle w:val="6"/>
              <w:spacing w:before="65" w:line="137" w:lineRule="exact"/>
              <w:ind w:left="688"/>
            </w:pPr>
            <w:r>
              <w:rPr>
                <w:spacing w:val="2"/>
                <w:position w:val="-3"/>
              </w:rPr>
              <w:t>—</w:t>
            </w:r>
          </w:p>
        </w:tc>
      </w:tr>
    </w:tbl>
    <w:p w14:paraId="716377AC">
      <w:pPr>
        <w:spacing w:before="151" w:line="226" w:lineRule="auto"/>
        <w:ind w:left="4"/>
        <w:rPr>
          <w:rFonts w:ascii="宋体" w:hAnsi="宋体" w:eastAsia="宋体" w:cs="宋体"/>
          <w:sz w:val="20"/>
          <w:szCs w:val="20"/>
        </w:rPr>
      </w:pPr>
      <w:r>
        <w:rPr>
          <w:rFonts w:ascii="宋体" w:hAnsi="宋体" w:eastAsia="宋体" w:cs="宋体"/>
          <w:spacing w:val="9"/>
          <w:sz w:val="20"/>
          <w:szCs w:val="20"/>
        </w:rPr>
        <w:t>注：材料（工程设备）暂估单价进入清单项目综合单价，此处不汇总。</w:t>
      </w:r>
    </w:p>
    <w:p w14:paraId="79A17D2F">
      <w:pPr>
        <w:spacing w:line="226" w:lineRule="auto"/>
        <w:rPr>
          <w:rFonts w:ascii="宋体" w:hAnsi="宋体" w:eastAsia="宋体" w:cs="宋体"/>
          <w:sz w:val="20"/>
          <w:szCs w:val="20"/>
        </w:rPr>
        <w:sectPr>
          <w:footerReference r:id="rId461" w:type="default"/>
          <w:pgSz w:w="11907" w:h="16840"/>
          <w:pgMar w:top="400" w:right="1726" w:bottom="1105" w:left="1535" w:header="0" w:footer="943" w:gutter="0"/>
          <w:cols w:space="720" w:num="1"/>
        </w:sectPr>
      </w:pPr>
    </w:p>
    <w:p w14:paraId="38858CEE">
      <w:pPr>
        <w:spacing w:line="261" w:lineRule="auto"/>
        <w:rPr>
          <w:rFonts w:ascii="Arial"/>
          <w:sz w:val="21"/>
        </w:rPr>
      </w:pPr>
    </w:p>
    <w:p w14:paraId="3BF62565">
      <w:pPr>
        <w:spacing w:line="262" w:lineRule="auto"/>
        <w:rPr>
          <w:rFonts w:ascii="Arial"/>
          <w:sz w:val="21"/>
        </w:rPr>
      </w:pPr>
    </w:p>
    <w:p w14:paraId="0EF344B2">
      <w:pPr>
        <w:spacing w:line="262" w:lineRule="auto"/>
        <w:rPr>
          <w:rFonts w:ascii="Arial"/>
          <w:sz w:val="21"/>
        </w:rPr>
      </w:pPr>
    </w:p>
    <w:p w14:paraId="3D5E4960">
      <w:pPr>
        <w:spacing w:line="262" w:lineRule="auto"/>
        <w:rPr>
          <w:rFonts w:ascii="Arial"/>
          <w:sz w:val="21"/>
        </w:rPr>
      </w:pPr>
    </w:p>
    <w:p w14:paraId="7B94A803">
      <w:pPr>
        <w:pStyle w:val="2"/>
        <w:spacing w:before="78" w:line="221" w:lineRule="auto"/>
        <w:outlineLvl w:val="3"/>
        <w:rPr>
          <w:sz w:val="24"/>
          <w:szCs w:val="24"/>
        </w:rPr>
      </w:pPr>
      <w:bookmarkStart w:id="367" w:name="bookmark349"/>
      <w:bookmarkEnd w:id="367"/>
      <w:r>
        <w:rPr>
          <w:rFonts w:ascii="Times New Roman" w:hAnsi="Times New Roman" w:eastAsia="Times New Roman" w:cs="Times New Roman"/>
          <w:spacing w:val="-4"/>
          <w:sz w:val="24"/>
          <w:szCs w:val="24"/>
        </w:rPr>
        <w:t>4.12-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18"/>
          <w:sz w:val="24"/>
          <w:szCs w:val="24"/>
        </w:rPr>
        <w:t xml:space="preserve"> </w:t>
      </w:r>
      <w:r>
        <w:rPr>
          <w:spacing w:val="-4"/>
          <w:sz w:val="24"/>
          <w:szCs w:val="24"/>
        </w:rPr>
        <w:t>暂列金额明细表</w:t>
      </w:r>
    </w:p>
    <w:p w14:paraId="4F0FF81B">
      <w:pPr>
        <w:pStyle w:val="2"/>
        <w:spacing w:before="159" w:line="222" w:lineRule="auto"/>
        <w:ind w:left="3446"/>
        <w:rPr>
          <w:sz w:val="28"/>
          <w:szCs w:val="28"/>
        </w:rPr>
      </w:pPr>
      <w:r>
        <w:rPr>
          <w:spacing w:val="-3"/>
          <w:sz w:val="28"/>
          <w:szCs w:val="28"/>
        </w:rPr>
        <w:t>暂列金额明细表</w:t>
      </w:r>
    </w:p>
    <w:p w14:paraId="129046A8">
      <w:pPr>
        <w:spacing w:before="135" w:line="223" w:lineRule="auto"/>
        <w:ind w:left="6"/>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2"/>
          <w:sz w:val="20"/>
          <w:szCs w:val="20"/>
        </w:rPr>
        <w:t xml:space="preserve">                           </w:t>
      </w:r>
      <w:r>
        <w:rPr>
          <w:rFonts w:ascii="宋体" w:hAnsi="宋体" w:eastAsia="宋体" w:cs="宋体"/>
          <w:spacing w:val="4"/>
          <w:sz w:val="20"/>
          <w:szCs w:val="20"/>
        </w:rPr>
        <w:t>标段名称：</w:t>
      </w:r>
      <w:r>
        <w:rPr>
          <w:rFonts w:ascii="宋体" w:hAnsi="宋体" w:eastAsia="宋体" w:cs="宋体"/>
          <w:spacing w:val="7"/>
          <w:sz w:val="20"/>
          <w:szCs w:val="20"/>
        </w:rPr>
        <w:t xml:space="preserve">               </w:t>
      </w:r>
      <w:r>
        <w:rPr>
          <w:rFonts w:ascii="宋体" w:hAnsi="宋体" w:eastAsia="宋体" w:cs="宋体"/>
          <w:spacing w:val="4"/>
          <w:sz w:val="20"/>
          <w:szCs w:val="20"/>
        </w:rPr>
        <w:t>第  页</w:t>
      </w:r>
      <w:r>
        <w:rPr>
          <w:rFonts w:ascii="宋体" w:hAnsi="宋体" w:eastAsia="宋体" w:cs="宋体"/>
          <w:spacing w:val="9"/>
          <w:sz w:val="20"/>
          <w:szCs w:val="20"/>
        </w:rPr>
        <w:t xml:space="preserve">  </w:t>
      </w:r>
      <w:r>
        <w:rPr>
          <w:rFonts w:ascii="宋体" w:hAnsi="宋体" w:eastAsia="宋体" w:cs="宋体"/>
          <w:spacing w:val="4"/>
          <w:sz w:val="20"/>
          <w:szCs w:val="20"/>
        </w:rPr>
        <w:t>共</w:t>
      </w:r>
      <w:r>
        <w:rPr>
          <w:rFonts w:ascii="宋体" w:hAnsi="宋体" w:eastAsia="宋体" w:cs="宋体"/>
          <w:spacing w:val="13"/>
          <w:sz w:val="20"/>
          <w:szCs w:val="20"/>
        </w:rPr>
        <w:t xml:space="preserve">  </w:t>
      </w:r>
      <w:r>
        <w:rPr>
          <w:rFonts w:ascii="宋体" w:hAnsi="宋体" w:eastAsia="宋体" w:cs="宋体"/>
          <w:spacing w:val="4"/>
          <w:sz w:val="20"/>
          <w:szCs w:val="20"/>
        </w:rPr>
        <w:t>页</w:t>
      </w:r>
    </w:p>
    <w:tbl>
      <w:tblPr>
        <w:tblStyle w:val="5"/>
        <w:tblW w:w="8473" w:type="dxa"/>
        <w:tblInd w:w="16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5"/>
        <w:gridCol w:w="3065"/>
        <w:gridCol w:w="1525"/>
        <w:gridCol w:w="1525"/>
        <w:gridCol w:w="1533"/>
      </w:tblGrid>
      <w:tr w14:paraId="0E3E57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825" w:type="dxa"/>
            <w:tcBorders>
              <w:top w:val="single" w:color="000000" w:sz="4" w:space="0"/>
              <w:left w:val="single" w:color="000000" w:sz="4" w:space="0"/>
            </w:tcBorders>
            <w:vAlign w:val="top"/>
          </w:tcPr>
          <w:p w14:paraId="69BCA014">
            <w:pPr>
              <w:spacing w:line="263" w:lineRule="auto"/>
              <w:rPr>
                <w:rFonts w:ascii="Arial"/>
                <w:sz w:val="21"/>
              </w:rPr>
            </w:pPr>
          </w:p>
          <w:p w14:paraId="400A5858">
            <w:pPr>
              <w:pStyle w:val="6"/>
              <w:spacing w:before="65" w:line="229" w:lineRule="auto"/>
              <w:ind w:left="203"/>
            </w:pPr>
            <w:r>
              <w:rPr>
                <w:spacing w:val="5"/>
              </w:rPr>
              <w:t>序号</w:t>
            </w:r>
          </w:p>
        </w:tc>
        <w:tc>
          <w:tcPr>
            <w:tcW w:w="3065" w:type="dxa"/>
            <w:tcBorders>
              <w:top w:val="single" w:color="000000" w:sz="4" w:space="0"/>
            </w:tcBorders>
            <w:vAlign w:val="top"/>
          </w:tcPr>
          <w:p w14:paraId="1FEB37AD">
            <w:pPr>
              <w:spacing w:line="263" w:lineRule="auto"/>
              <w:rPr>
                <w:rFonts w:ascii="Arial"/>
                <w:sz w:val="21"/>
              </w:rPr>
            </w:pPr>
          </w:p>
          <w:p w14:paraId="38815C84">
            <w:pPr>
              <w:pStyle w:val="6"/>
              <w:spacing w:before="65" w:line="228" w:lineRule="auto"/>
              <w:ind w:left="1119"/>
            </w:pPr>
            <w:r>
              <w:rPr>
                <w:spacing w:val="6"/>
              </w:rPr>
              <w:t>项目名称</w:t>
            </w:r>
          </w:p>
        </w:tc>
        <w:tc>
          <w:tcPr>
            <w:tcW w:w="1525" w:type="dxa"/>
            <w:tcBorders>
              <w:top w:val="single" w:color="000000" w:sz="4" w:space="0"/>
            </w:tcBorders>
            <w:vAlign w:val="top"/>
          </w:tcPr>
          <w:p w14:paraId="5E3119AD">
            <w:pPr>
              <w:spacing w:line="263" w:lineRule="auto"/>
              <w:rPr>
                <w:rFonts w:ascii="Arial"/>
                <w:sz w:val="21"/>
              </w:rPr>
            </w:pPr>
          </w:p>
          <w:p w14:paraId="0953A300">
            <w:pPr>
              <w:pStyle w:val="6"/>
              <w:spacing w:before="65" w:line="228" w:lineRule="auto"/>
              <w:ind w:left="348"/>
            </w:pPr>
            <w:r>
              <w:rPr>
                <w:spacing w:val="7"/>
              </w:rPr>
              <w:t>计量单位</w:t>
            </w:r>
          </w:p>
        </w:tc>
        <w:tc>
          <w:tcPr>
            <w:tcW w:w="1525" w:type="dxa"/>
            <w:tcBorders>
              <w:top w:val="single" w:color="000000" w:sz="4" w:space="0"/>
            </w:tcBorders>
            <w:vAlign w:val="top"/>
          </w:tcPr>
          <w:p w14:paraId="05D5CA98">
            <w:pPr>
              <w:pStyle w:val="6"/>
              <w:spacing w:before="193" w:line="254" w:lineRule="auto"/>
              <w:ind w:left="465" w:right="340" w:hanging="109"/>
            </w:pPr>
            <w:r>
              <w:rPr>
                <w:spacing w:val="5"/>
              </w:rPr>
              <w:t>暂定金额</w:t>
            </w:r>
            <w:r>
              <w:t>（元）</w:t>
            </w:r>
          </w:p>
        </w:tc>
        <w:tc>
          <w:tcPr>
            <w:tcW w:w="1533" w:type="dxa"/>
            <w:tcBorders>
              <w:top w:val="single" w:color="000000" w:sz="4" w:space="0"/>
              <w:right w:val="single" w:color="000000" w:sz="4" w:space="0"/>
            </w:tcBorders>
            <w:vAlign w:val="top"/>
          </w:tcPr>
          <w:p w14:paraId="298BCBE2">
            <w:pPr>
              <w:spacing w:line="263" w:lineRule="auto"/>
              <w:rPr>
                <w:rFonts w:ascii="Arial"/>
                <w:sz w:val="21"/>
              </w:rPr>
            </w:pPr>
          </w:p>
          <w:p w14:paraId="2508E46F">
            <w:pPr>
              <w:pStyle w:val="6"/>
              <w:spacing w:before="65" w:line="229" w:lineRule="auto"/>
              <w:ind w:left="564"/>
            </w:pPr>
            <w:r>
              <w:rPr>
                <w:spacing w:val="3"/>
              </w:rPr>
              <w:t>备注</w:t>
            </w:r>
          </w:p>
        </w:tc>
      </w:tr>
      <w:tr w14:paraId="7BE15A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trPr>
        <w:tc>
          <w:tcPr>
            <w:tcW w:w="825" w:type="dxa"/>
            <w:tcBorders>
              <w:left w:val="single" w:color="000000" w:sz="4" w:space="0"/>
            </w:tcBorders>
            <w:vAlign w:val="top"/>
          </w:tcPr>
          <w:p w14:paraId="40AD0041">
            <w:pPr>
              <w:rPr>
                <w:rFonts w:ascii="Arial"/>
                <w:sz w:val="21"/>
              </w:rPr>
            </w:pPr>
          </w:p>
        </w:tc>
        <w:tc>
          <w:tcPr>
            <w:tcW w:w="3065" w:type="dxa"/>
            <w:vAlign w:val="top"/>
          </w:tcPr>
          <w:p w14:paraId="56B819C8">
            <w:pPr>
              <w:rPr>
                <w:rFonts w:ascii="Arial"/>
                <w:sz w:val="21"/>
              </w:rPr>
            </w:pPr>
          </w:p>
        </w:tc>
        <w:tc>
          <w:tcPr>
            <w:tcW w:w="1525" w:type="dxa"/>
            <w:vAlign w:val="top"/>
          </w:tcPr>
          <w:p w14:paraId="5593E4B0">
            <w:pPr>
              <w:rPr>
                <w:rFonts w:ascii="Arial"/>
                <w:sz w:val="21"/>
              </w:rPr>
            </w:pPr>
          </w:p>
        </w:tc>
        <w:tc>
          <w:tcPr>
            <w:tcW w:w="1525" w:type="dxa"/>
            <w:vAlign w:val="top"/>
          </w:tcPr>
          <w:p w14:paraId="66241F24">
            <w:pPr>
              <w:rPr>
                <w:rFonts w:ascii="Arial"/>
                <w:sz w:val="21"/>
              </w:rPr>
            </w:pPr>
          </w:p>
        </w:tc>
        <w:tc>
          <w:tcPr>
            <w:tcW w:w="1533" w:type="dxa"/>
            <w:tcBorders>
              <w:right w:val="single" w:color="000000" w:sz="4" w:space="0"/>
            </w:tcBorders>
            <w:vAlign w:val="top"/>
          </w:tcPr>
          <w:p w14:paraId="291B64A8">
            <w:pPr>
              <w:rPr>
                <w:rFonts w:ascii="Arial"/>
                <w:sz w:val="21"/>
              </w:rPr>
            </w:pPr>
          </w:p>
        </w:tc>
      </w:tr>
      <w:tr w14:paraId="1BCA1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trPr>
        <w:tc>
          <w:tcPr>
            <w:tcW w:w="825" w:type="dxa"/>
            <w:tcBorders>
              <w:left w:val="single" w:color="000000" w:sz="4" w:space="0"/>
              <w:bottom w:val="single" w:color="000000" w:sz="4" w:space="0"/>
            </w:tcBorders>
            <w:vAlign w:val="top"/>
          </w:tcPr>
          <w:p w14:paraId="43F6B815">
            <w:pPr>
              <w:rPr>
                <w:rFonts w:ascii="Arial"/>
                <w:sz w:val="21"/>
              </w:rPr>
            </w:pPr>
          </w:p>
        </w:tc>
        <w:tc>
          <w:tcPr>
            <w:tcW w:w="3065" w:type="dxa"/>
            <w:vAlign w:val="top"/>
          </w:tcPr>
          <w:p w14:paraId="14339016">
            <w:pPr>
              <w:rPr>
                <w:rFonts w:ascii="Arial"/>
                <w:sz w:val="21"/>
              </w:rPr>
            </w:pPr>
          </w:p>
        </w:tc>
        <w:tc>
          <w:tcPr>
            <w:tcW w:w="1525" w:type="dxa"/>
            <w:vAlign w:val="top"/>
          </w:tcPr>
          <w:p w14:paraId="2C9C471B">
            <w:pPr>
              <w:rPr>
                <w:rFonts w:ascii="Arial"/>
                <w:sz w:val="21"/>
              </w:rPr>
            </w:pPr>
          </w:p>
        </w:tc>
        <w:tc>
          <w:tcPr>
            <w:tcW w:w="1525" w:type="dxa"/>
            <w:vAlign w:val="top"/>
          </w:tcPr>
          <w:p w14:paraId="19C34848">
            <w:pPr>
              <w:rPr>
                <w:rFonts w:ascii="Arial"/>
                <w:sz w:val="21"/>
              </w:rPr>
            </w:pPr>
          </w:p>
        </w:tc>
        <w:tc>
          <w:tcPr>
            <w:tcW w:w="1533" w:type="dxa"/>
            <w:tcBorders>
              <w:right w:val="single" w:color="000000" w:sz="4" w:space="0"/>
            </w:tcBorders>
            <w:vAlign w:val="top"/>
          </w:tcPr>
          <w:p w14:paraId="2EB09B53">
            <w:pPr>
              <w:rPr>
                <w:rFonts w:ascii="Arial"/>
                <w:sz w:val="21"/>
              </w:rPr>
            </w:pPr>
          </w:p>
        </w:tc>
      </w:tr>
      <w:tr w14:paraId="0242F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trPr>
        <w:tc>
          <w:tcPr>
            <w:tcW w:w="825" w:type="dxa"/>
            <w:tcBorders>
              <w:top w:val="single" w:color="000000" w:sz="4" w:space="0"/>
              <w:left w:val="single" w:color="000000" w:sz="4" w:space="0"/>
            </w:tcBorders>
            <w:vAlign w:val="top"/>
          </w:tcPr>
          <w:p w14:paraId="3F69767B">
            <w:pPr>
              <w:rPr>
                <w:rFonts w:ascii="Arial"/>
                <w:sz w:val="21"/>
              </w:rPr>
            </w:pPr>
          </w:p>
        </w:tc>
        <w:tc>
          <w:tcPr>
            <w:tcW w:w="3065" w:type="dxa"/>
            <w:vAlign w:val="top"/>
          </w:tcPr>
          <w:p w14:paraId="3391FEB6">
            <w:pPr>
              <w:rPr>
                <w:rFonts w:ascii="Arial"/>
                <w:sz w:val="21"/>
              </w:rPr>
            </w:pPr>
          </w:p>
        </w:tc>
        <w:tc>
          <w:tcPr>
            <w:tcW w:w="1525" w:type="dxa"/>
            <w:vAlign w:val="top"/>
          </w:tcPr>
          <w:p w14:paraId="22F5EEA8">
            <w:pPr>
              <w:rPr>
                <w:rFonts w:ascii="Arial"/>
                <w:sz w:val="21"/>
              </w:rPr>
            </w:pPr>
          </w:p>
        </w:tc>
        <w:tc>
          <w:tcPr>
            <w:tcW w:w="1525" w:type="dxa"/>
            <w:vAlign w:val="top"/>
          </w:tcPr>
          <w:p w14:paraId="74A43AD5">
            <w:pPr>
              <w:rPr>
                <w:rFonts w:ascii="Arial"/>
                <w:sz w:val="21"/>
              </w:rPr>
            </w:pPr>
          </w:p>
        </w:tc>
        <w:tc>
          <w:tcPr>
            <w:tcW w:w="1533" w:type="dxa"/>
            <w:tcBorders>
              <w:right w:val="single" w:color="000000" w:sz="4" w:space="0"/>
            </w:tcBorders>
            <w:vAlign w:val="top"/>
          </w:tcPr>
          <w:p w14:paraId="175ED420">
            <w:pPr>
              <w:rPr>
                <w:rFonts w:ascii="Arial"/>
                <w:sz w:val="21"/>
              </w:rPr>
            </w:pPr>
          </w:p>
        </w:tc>
      </w:tr>
      <w:tr w14:paraId="66533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trPr>
        <w:tc>
          <w:tcPr>
            <w:tcW w:w="825" w:type="dxa"/>
            <w:tcBorders>
              <w:left w:val="single" w:color="000000" w:sz="4" w:space="0"/>
            </w:tcBorders>
            <w:vAlign w:val="top"/>
          </w:tcPr>
          <w:p w14:paraId="54BC99D9">
            <w:pPr>
              <w:rPr>
                <w:rFonts w:ascii="Arial"/>
                <w:sz w:val="21"/>
              </w:rPr>
            </w:pPr>
          </w:p>
        </w:tc>
        <w:tc>
          <w:tcPr>
            <w:tcW w:w="3065" w:type="dxa"/>
            <w:vAlign w:val="top"/>
          </w:tcPr>
          <w:p w14:paraId="3C61FD55">
            <w:pPr>
              <w:rPr>
                <w:rFonts w:ascii="Arial"/>
                <w:sz w:val="21"/>
              </w:rPr>
            </w:pPr>
          </w:p>
        </w:tc>
        <w:tc>
          <w:tcPr>
            <w:tcW w:w="1525" w:type="dxa"/>
            <w:vAlign w:val="top"/>
          </w:tcPr>
          <w:p w14:paraId="5D2E4C1F">
            <w:pPr>
              <w:rPr>
                <w:rFonts w:ascii="Arial"/>
                <w:sz w:val="21"/>
              </w:rPr>
            </w:pPr>
          </w:p>
        </w:tc>
        <w:tc>
          <w:tcPr>
            <w:tcW w:w="1525" w:type="dxa"/>
            <w:vAlign w:val="top"/>
          </w:tcPr>
          <w:p w14:paraId="0333C685">
            <w:pPr>
              <w:rPr>
                <w:rFonts w:ascii="Arial"/>
                <w:sz w:val="21"/>
              </w:rPr>
            </w:pPr>
          </w:p>
        </w:tc>
        <w:tc>
          <w:tcPr>
            <w:tcW w:w="1533" w:type="dxa"/>
            <w:tcBorders>
              <w:right w:val="single" w:color="000000" w:sz="4" w:space="0"/>
            </w:tcBorders>
            <w:vAlign w:val="top"/>
          </w:tcPr>
          <w:p w14:paraId="1AC75CB3">
            <w:pPr>
              <w:rPr>
                <w:rFonts w:ascii="Arial"/>
                <w:sz w:val="21"/>
              </w:rPr>
            </w:pPr>
          </w:p>
        </w:tc>
      </w:tr>
      <w:tr w14:paraId="59DD12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trPr>
        <w:tc>
          <w:tcPr>
            <w:tcW w:w="825" w:type="dxa"/>
            <w:tcBorders>
              <w:left w:val="single" w:color="000000" w:sz="4" w:space="0"/>
            </w:tcBorders>
            <w:vAlign w:val="top"/>
          </w:tcPr>
          <w:p w14:paraId="0CAB32E9">
            <w:pPr>
              <w:rPr>
                <w:rFonts w:ascii="Arial"/>
                <w:sz w:val="21"/>
              </w:rPr>
            </w:pPr>
          </w:p>
        </w:tc>
        <w:tc>
          <w:tcPr>
            <w:tcW w:w="3065" w:type="dxa"/>
            <w:vAlign w:val="top"/>
          </w:tcPr>
          <w:p w14:paraId="354076B0">
            <w:pPr>
              <w:rPr>
                <w:rFonts w:ascii="Arial"/>
                <w:sz w:val="21"/>
              </w:rPr>
            </w:pPr>
          </w:p>
        </w:tc>
        <w:tc>
          <w:tcPr>
            <w:tcW w:w="1525" w:type="dxa"/>
            <w:vAlign w:val="top"/>
          </w:tcPr>
          <w:p w14:paraId="43A5DAA3">
            <w:pPr>
              <w:rPr>
                <w:rFonts w:ascii="Arial"/>
                <w:sz w:val="21"/>
              </w:rPr>
            </w:pPr>
          </w:p>
        </w:tc>
        <w:tc>
          <w:tcPr>
            <w:tcW w:w="1525" w:type="dxa"/>
            <w:vAlign w:val="top"/>
          </w:tcPr>
          <w:p w14:paraId="34E649E2">
            <w:pPr>
              <w:rPr>
                <w:rFonts w:ascii="Arial"/>
                <w:sz w:val="21"/>
              </w:rPr>
            </w:pPr>
          </w:p>
        </w:tc>
        <w:tc>
          <w:tcPr>
            <w:tcW w:w="1533" w:type="dxa"/>
            <w:tcBorders>
              <w:right w:val="single" w:color="000000" w:sz="4" w:space="0"/>
            </w:tcBorders>
            <w:vAlign w:val="top"/>
          </w:tcPr>
          <w:p w14:paraId="145D8807">
            <w:pPr>
              <w:rPr>
                <w:rFonts w:ascii="Arial"/>
                <w:sz w:val="21"/>
              </w:rPr>
            </w:pPr>
          </w:p>
        </w:tc>
      </w:tr>
      <w:tr w14:paraId="340557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trPr>
        <w:tc>
          <w:tcPr>
            <w:tcW w:w="825" w:type="dxa"/>
            <w:tcBorders>
              <w:left w:val="single" w:color="000000" w:sz="4" w:space="0"/>
            </w:tcBorders>
            <w:vAlign w:val="top"/>
          </w:tcPr>
          <w:p w14:paraId="1583F443">
            <w:pPr>
              <w:rPr>
                <w:rFonts w:ascii="Arial"/>
                <w:sz w:val="21"/>
              </w:rPr>
            </w:pPr>
          </w:p>
        </w:tc>
        <w:tc>
          <w:tcPr>
            <w:tcW w:w="3065" w:type="dxa"/>
            <w:vAlign w:val="top"/>
          </w:tcPr>
          <w:p w14:paraId="04F9DA43">
            <w:pPr>
              <w:rPr>
                <w:rFonts w:ascii="Arial"/>
                <w:sz w:val="21"/>
              </w:rPr>
            </w:pPr>
          </w:p>
        </w:tc>
        <w:tc>
          <w:tcPr>
            <w:tcW w:w="1525" w:type="dxa"/>
            <w:vAlign w:val="top"/>
          </w:tcPr>
          <w:p w14:paraId="2270BE0A">
            <w:pPr>
              <w:rPr>
                <w:rFonts w:ascii="Arial"/>
                <w:sz w:val="21"/>
              </w:rPr>
            </w:pPr>
          </w:p>
        </w:tc>
        <w:tc>
          <w:tcPr>
            <w:tcW w:w="1525" w:type="dxa"/>
            <w:vAlign w:val="top"/>
          </w:tcPr>
          <w:p w14:paraId="547A94A8">
            <w:pPr>
              <w:rPr>
                <w:rFonts w:ascii="Arial"/>
                <w:sz w:val="21"/>
              </w:rPr>
            </w:pPr>
          </w:p>
        </w:tc>
        <w:tc>
          <w:tcPr>
            <w:tcW w:w="1533" w:type="dxa"/>
            <w:tcBorders>
              <w:right w:val="single" w:color="000000" w:sz="4" w:space="0"/>
            </w:tcBorders>
            <w:vAlign w:val="top"/>
          </w:tcPr>
          <w:p w14:paraId="60C2E1BF">
            <w:pPr>
              <w:rPr>
                <w:rFonts w:ascii="Arial"/>
                <w:sz w:val="21"/>
              </w:rPr>
            </w:pPr>
          </w:p>
        </w:tc>
      </w:tr>
      <w:tr w14:paraId="21FB6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trPr>
        <w:tc>
          <w:tcPr>
            <w:tcW w:w="825" w:type="dxa"/>
            <w:tcBorders>
              <w:left w:val="single" w:color="000000" w:sz="4" w:space="0"/>
            </w:tcBorders>
            <w:vAlign w:val="top"/>
          </w:tcPr>
          <w:p w14:paraId="37D9A70F">
            <w:pPr>
              <w:rPr>
                <w:rFonts w:ascii="Arial"/>
                <w:sz w:val="21"/>
              </w:rPr>
            </w:pPr>
          </w:p>
        </w:tc>
        <w:tc>
          <w:tcPr>
            <w:tcW w:w="3065" w:type="dxa"/>
            <w:vAlign w:val="top"/>
          </w:tcPr>
          <w:p w14:paraId="3F062785">
            <w:pPr>
              <w:rPr>
                <w:rFonts w:ascii="Arial"/>
                <w:sz w:val="21"/>
              </w:rPr>
            </w:pPr>
          </w:p>
        </w:tc>
        <w:tc>
          <w:tcPr>
            <w:tcW w:w="1525" w:type="dxa"/>
            <w:vAlign w:val="top"/>
          </w:tcPr>
          <w:p w14:paraId="233266F8">
            <w:pPr>
              <w:rPr>
                <w:rFonts w:ascii="Arial"/>
                <w:sz w:val="21"/>
              </w:rPr>
            </w:pPr>
          </w:p>
        </w:tc>
        <w:tc>
          <w:tcPr>
            <w:tcW w:w="1525" w:type="dxa"/>
            <w:vAlign w:val="top"/>
          </w:tcPr>
          <w:p w14:paraId="68A82DD1">
            <w:pPr>
              <w:rPr>
                <w:rFonts w:ascii="Arial"/>
                <w:sz w:val="21"/>
              </w:rPr>
            </w:pPr>
          </w:p>
        </w:tc>
        <w:tc>
          <w:tcPr>
            <w:tcW w:w="1533" w:type="dxa"/>
            <w:tcBorders>
              <w:right w:val="single" w:color="000000" w:sz="4" w:space="0"/>
            </w:tcBorders>
            <w:vAlign w:val="top"/>
          </w:tcPr>
          <w:p w14:paraId="15EE66AA">
            <w:pPr>
              <w:rPr>
                <w:rFonts w:ascii="Arial"/>
                <w:sz w:val="21"/>
              </w:rPr>
            </w:pPr>
          </w:p>
        </w:tc>
      </w:tr>
      <w:tr w14:paraId="6A113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trPr>
        <w:tc>
          <w:tcPr>
            <w:tcW w:w="825" w:type="dxa"/>
            <w:tcBorders>
              <w:left w:val="single" w:color="000000" w:sz="4" w:space="0"/>
            </w:tcBorders>
            <w:vAlign w:val="top"/>
          </w:tcPr>
          <w:p w14:paraId="06E7BFD7">
            <w:pPr>
              <w:rPr>
                <w:rFonts w:ascii="Arial"/>
                <w:sz w:val="21"/>
              </w:rPr>
            </w:pPr>
          </w:p>
        </w:tc>
        <w:tc>
          <w:tcPr>
            <w:tcW w:w="3065" w:type="dxa"/>
            <w:vAlign w:val="top"/>
          </w:tcPr>
          <w:p w14:paraId="05CA422A">
            <w:pPr>
              <w:rPr>
                <w:rFonts w:ascii="Arial"/>
                <w:sz w:val="21"/>
              </w:rPr>
            </w:pPr>
          </w:p>
        </w:tc>
        <w:tc>
          <w:tcPr>
            <w:tcW w:w="1525" w:type="dxa"/>
            <w:vAlign w:val="top"/>
          </w:tcPr>
          <w:p w14:paraId="44C2CD4F">
            <w:pPr>
              <w:rPr>
                <w:rFonts w:ascii="Arial"/>
                <w:sz w:val="21"/>
              </w:rPr>
            </w:pPr>
          </w:p>
        </w:tc>
        <w:tc>
          <w:tcPr>
            <w:tcW w:w="1525" w:type="dxa"/>
            <w:vAlign w:val="top"/>
          </w:tcPr>
          <w:p w14:paraId="7584090D">
            <w:pPr>
              <w:rPr>
                <w:rFonts w:ascii="Arial"/>
                <w:sz w:val="21"/>
              </w:rPr>
            </w:pPr>
          </w:p>
        </w:tc>
        <w:tc>
          <w:tcPr>
            <w:tcW w:w="1533" w:type="dxa"/>
            <w:tcBorders>
              <w:right w:val="single" w:color="000000" w:sz="4" w:space="0"/>
            </w:tcBorders>
            <w:vAlign w:val="top"/>
          </w:tcPr>
          <w:p w14:paraId="4BCB7EFC">
            <w:pPr>
              <w:rPr>
                <w:rFonts w:ascii="Arial"/>
                <w:sz w:val="21"/>
              </w:rPr>
            </w:pPr>
          </w:p>
        </w:tc>
      </w:tr>
      <w:tr w14:paraId="32857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trPr>
        <w:tc>
          <w:tcPr>
            <w:tcW w:w="825" w:type="dxa"/>
            <w:tcBorders>
              <w:left w:val="single" w:color="000000" w:sz="4" w:space="0"/>
            </w:tcBorders>
            <w:vAlign w:val="top"/>
          </w:tcPr>
          <w:p w14:paraId="72E12985">
            <w:pPr>
              <w:rPr>
                <w:rFonts w:ascii="Arial"/>
                <w:sz w:val="21"/>
              </w:rPr>
            </w:pPr>
          </w:p>
        </w:tc>
        <w:tc>
          <w:tcPr>
            <w:tcW w:w="3065" w:type="dxa"/>
            <w:vAlign w:val="top"/>
          </w:tcPr>
          <w:p w14:paraId="442E69DA">
            <w:pPr>
              <w:rPr>
                <w:rFonts w:ascii="Arial"/>
                <w:sz w:val="21"/>
              </w:rPr>
            </w:pPr>
          </w:p>
        </w:tc>
        <w:tc>
          <w:tcPr>
            <w:tcW w:w="1525" w:type="dxa"/>
            <w:vAlign w:val="top"/>
          </w:tcPr>
          <w:p w14:paraId="710AE536">
            <w:pPr>
              <w:rPr>
                <w:rFonts w:ascii="Arial"/>
                <w:sz w:val="21"/>
              </w:rPr>
            </w:pPr>
          </w:p>
        </w:tc>
        <w:tc>
          <w:tcPr>
            <w:tcW w:w="1525" w:type="dxa"/>
            <w:vAlign w:val="top"/>
          </w:tcPr>
          <w:p w14:paraId="1D2D6F9F">
            <w:pPr>
              <w:rPr>
                <w:rFonts w:ascii="Arial"/>
                <w:sz w:val="21"/>
              </w:rPr>
            </w:pPr>
          </w:p>
        </w:tc>
        <w:tc>
          <w:tcPr>
            <w:tcW w:w="1533" w:type="dxa"/>
            <w:tcBorders>
              <w:right w:val="single" w:color="000000" w:sz="4" w:space="0"/>
            </w:tcBorders>
            <w:vAlign w:val="top"/>
          </w:tcPr>
          <w:p w14:paraId="48B740C2">
            <w:pPr>
              <w:rPr>
                <w:rFonts w:ascii="Arial"/>
                <w:sz w:val="21"/>
              </w:rPr>
            </w:pPr>
          </w:p>
        </w:tc>
      </w:tr>
      <w:tr w14:paraId="1C61D4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6" w:hRule="atLeast"/>
        </w:trPr>
        <w:tc>
          <w:tcPr>
            <w:tcW w:w="825" w:type="dxa"/>
            <w:tcBorders>
              <w:left w:val="single" w:color="000000" w:sz="4" w:space="0"/>
            </w:tcBorders>
            <w:vAlign w:val="top"/>
          </w:tcPr>
          <w:p w14:paraId="1FE74AF1">
            <w:pPr>
              <w:rPr>
                <w:rFonts w:ascii="Arial"/>
                <w:sz w:val="21"/>
              </w:rPr>
            </w:pPr>
          </w:p>
        </w:tc>
        <w:tc>
          <w:tcPr>
            <w:tcW w:w="3065" w:type="dxa"/>
            <w:vAlign w:val="top"/>
          </w:tcPr>
          <w:p w14:paraId="0ABB6F4D">
            <w:pPr>
              <w:rPr>
                <w:rFonts w:ascii="Arial"/>
                <w:sz w:val="21"/>
              </w:rPr>
            </w:pPr>
          </w:p>
        </w:tc>
        <w:tc>
          <w:tcPr>
            <w:tcW w:w="1525" w:type="dxa"/>
            <w:vAlign w:val="top"/>
          </w:tcPr>
          <w:p w14:paraId="43BCF82F">
            <w:pPr>
              <w:rPr>
                <w:rFonts w:ascii="Arial"/>
                <w:sz w:val="21"/>
              </w:rPr>
            </w:pPr>
          </w:p>
        </w:tc>
        <w:tc>
          <w:tcPr>
            <w:tcW w:w="1525" w:type="dxa"/>
            <w:vAlign w:val="top"/>
          </w:tcPr>
          <w:p w14:paraId="4514C37D">
            <w:pPr>
              <w:rPr>
                <w:rFonts w:ascii="Arial"/>
                <w:sz w:val="21"/>
              </w:rPr>
            </w:pPr>
          </w:p>
        </w:tc>
        <w:tc>
          <w:tcPr>
            <w:tcW w:w="1533" w:type="dxa"/>
            <w:tcBorders>
              <w:right w:val="single" w:color="000000" w:sz="4" w:space="0"/>
            </w:tcBorders>
            <w:vAlign w:val="top"/>
          </w:tcPr>
          <w:p w14:paraId="592FD656">
            <w:pPr>
              <w:rPr>
                <w:rFonts w:ascii="Arial"/>
                <w:sz w:val="21"/>
              </w:rPr>
            </w:pPr>
          </w:p>
        </w:tc>
      </w:tr>
      <w:tr w14:paraId="1147DF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5415" w:type="dxa"/>
            <w:gridSpan w:val="3"/>
            <w:tcBorders>
              <w:left w:val="single" w:color="000000" w:sz="4" w:space="0"/>
              <w:bottom w:val="single" w:color="000000" w:sz="4" w:space="0"/>
            </w:tcBorders>
            <w:vAlign w:val="top"/>
          </w:tcPr>
          <w:p w14:paraId="378E6EFD">
            <w:pPr>
              <w:spacing w:line="268" w:lineRule="auto"/>
              <w:rPr>
                <w:rFonts w:ascii="Arial"/>
                <w:sz w:val="21"/>
              </w:rPr>
            </w:pPr>
          </w:p>
          <w:p w14:paraId="15EDCF0B">
            <w:pPr>
              <w:pStyle w:val="6"/>
              <w:spacing w:before="65" w:line="229" w:lineRule="auto"/>
              <w:ind w:left="2503"/>
            </w:pPr>
            <w:r>
              <w:rPr>
                <w:spacing w:val="4"/>
              </w:rPr>
              <w:t>合计</w:t>
            </w:r>
          </w:p>
        </w:tc>
        <w:tc>
          <w:tcPr>
            <w:tcW w:w="1525" w:type="dxa"/>
            <w:tcBorders>
              <w:bottom w:val="single" w:color="000000" w:sz="4" w:space="0"/>
            </w:tcBorders>
            <w:vAlign w:val="top"/>
          </w:tcPr>
          <w:p w14:paraId="3215B1EB">
            <w:pPr>
              <w:rPr>
                <w:rFonts w:ascii="Arial"/>
                <w:sz w:val="21"/>
              </w:rPr>
            </w:pPr>
          </w:p>
        </w:tc>
        <w:tc>
          <w:tcPr>
            <w:tcW w:w="1533" w:type="dxa"/>
            <w:tcBorders>
              <w:bottom w:val="single" w:color="000000" w:sz="4" w:space="0"/>
              <w:right w:val="single" w:color="000000" w:sz="4" w:space="0"/>
            </w:tcBorders>
            <w:vAlign w:val="top"/>
          </w:tcPr>
          <w:p w14:paraId="71F93E17">
            <w:pPr>
              <w:spacing w:line="366" w:lineRule="auto"/>
              <w:rPr>
                <w:rFonts w:ascii="Arial"/>
                <w:sz w:val="21"/>
              </w:rPr>
            </w:pPr>
          </w:p>
          <w:p w14:paraId="18BB9132">
            <w:pPr>
              <w:pStyle w:val="6"/>
              <w:spacing w:before="65" w:line="136" w:lineRule="exact"/>
              <w:ind w:left="666"/>
            </w:pPr>
            <w:r>
              <w:rPr>
                <w:spacing w:val="2"/>
                <w:position w:val="-3"/>
              </w:rPr>
              <w:t>—</w:t>
            </w:r>
          </w:p>
        </w:tc>
      </w:tr>
    </w:tbl>
    <w:p w14:paraId="085C7CD7">
      <w:pPr>
        <w:spacing w:before="152" w:line="251" w:lineRule="auto"/>
        <w:ind w:left="426" w:hanging="422"/>
        <w:rPr>
          <w:rFonts w:ascii="宋体" w:hAnsi="宋体" w:eastAsia="宋体" w:cs="宋体"/>
          <w:sz w:val="20"/>
          <w:szCs w:val="20"/>
        </w:rPr>
      </w:pPr>
      <w:r>
        <w:rPr>
          <w:rFonts w:ascii="宋体" w:hAnsi="宋体" w:eastAsia="宋体" w:cs="宋体"/>
          <w:spacing w:val="10"/>
          <w:sz w:val="20"/>
          <w:szCs w:val="20"/>
        </w:rPr>
        <w:t>注：此表由招标人填写，如不能详列明细，也可只列暂列金总额，投标人</w:t>
      </w:r>
      <w:r>
        <w:rPr>
          <w:rFonts w:ascii="宋体" w:hAnsi="宋体" w:eastAsia="宋体" w:cs="宋体"/>
          <w:spacing w:val="9"/>
          <w:sz w:val="20"/>
          <w:szCs w:val="20"/>
        </w:rPr>
        <w:t>应将上述暂列金额计入</w:t>
      </w:r>
      <w:r>
        <w:rPr>
          <w:rFonts w:ascii="宋体" w:hAnsi="宋体" w:eastAsia="宋体" w:cs="宋体"/>
          <w:spacing w:val="6"/>
          <w:sz w:val="20"/>
          <w:szCs w:val="20"/>
        </w:rPr>
        <w:t>投标总价中。</w:t>
      </w:r>
    </w:p>
    <w:p w14:paraId="58CB9034">
      <w:pPr>
        <w:spacing w:line="251" w:lineRule="auto"/>
        <w:rPr>
          <w:rFonts w:ascii="宋体" w:hAnsi="宋体" w:eastAsia="宋体" w:cs="宋体"/>
          <w:sz w:val="20"/>
          <w:szCs w:val="20"/>
        </w:rPr>
        <w:sectPr>
          <w:footerReference r:id="rId462" w:type="default"/>
          <w:pgSz w:w="11907" w:h="16840"/>
          <w:pgMar w:top="400" w:right="1555" w:bottom="1105" w:left="1535" w:header="0" w:footer="943" w:gutter="0"/>
          <w:cols w:space="720" w:num="1"/>
        </w:sectPr>
      </w:pPr>
    </w:p>
    <w:p w14:paraId="75D653E4">
      <w:pPr>
        <w:spacing w:line="261" w:lineRule="auto"/>
        <w:rPr>
          <w:rFonts w:ascii="Arial"/>
          <w:sz w:val="21"/>
        </w:rPr>
      </w:pPr>
    </w:p>
    <w:p w14:paraId="0A487552">
      <w:pPr>
        <w:spacing w:line="262" w:lineRule="auto"/>
        <w:rPr>
          <w:rFonts w:ascii="Arial"/>
          <w:sz w:val="21"/>
        </w:rPr>
      </w:pPr>
    </w:p>
    <w:p w14:paraId="45BCDB9D">
      <w:pPr>
        <w:spacing w:line="262" w:lineRule="auto"/>
        <w:rPr>
          <w:rFonts w:ascii="Arial"/>
          <w:sz w:val="21"/>
        </w:rPr>
      </w:pPr>
    </w:p>
    <w:p w14:paraId="36431219">
      <w:pPr>
        <w:spacing w:line="262" w:lineRule="auto"/>
        <w:rPr>
          <w:rFonts w:ascii="Arial"/>
          <w:sz w:val="21"/>
        </w:rPr>
      </w:pPr>
    </w:p>
    <w:p w14:paraId="7F6A7DEF">
      <w:pPr>
        <w:pStyle w:val="2"/>
        <w:spacing w:before="78" w:line="222" w:lineRule="auto"/>
        <w:outlineLvl w:val="3"/>
        <w:rPr>
          <w:sz w:val="24"/>
          <w:szCs w:val="24"/>
        </w:rPr>
      </w:pPr>
      <w:bookmarkStart w:id="368" w:name="bookmark350"/>
      <w:bookmarkEnd w:id="368"/>
      <w:r>
        <w:rPr>
          <w:rFonts w:ascii="Times New Roman" w:hAnsi="Times New Roman" w:eastAsia="Times New Roman" w:cs="Times New Roman"/>
          <w:spacing w:val="-1"/>
          <w:sz w:val="24"/>
          <w:szCs w:val="24"/>
        </w:rPr>
        <w:t xml:space="preserve">4.12-2 </w:t>
      </w:r>
      <w:r>
        <w:rPr>
          <w:spacing w:val="-1"/>
          <w:sz w:val="24"/>
          <w:szCs w:val="24"/>
        </w:rPr>
        <w:t>材料（工程设备）暂估单价表</w:t>
      </w:r>
    </w:p>
    <w:p w14:paraId="1B22A65D">
      <w:pPr>
        <w:spacing w:line="378" w:lineRule="auto"/>
        <w:rPr>
          <w:rFonts w:ascii="Arial"/>
          <w:sz w:val="21"/>
        </w:rPr>
      </w:pPr>
    </w:p>
    <w:p w14:paraId="44605E84">
      <w:pPr>
        <w:pStyle w:val="2"/>
        <w:spacing w:before="91" w:line="222" w:lineRule="auto"/>
        <w:ind w:left="2595"/>
        <w:rPr>
          <w:sz w:val="28"/>
          <w:szCs w:val="28"/>
        </w:rPr>
      </w:pPr>
      <w:r>
        <w:rPr>
          <w:spacing w:val="-1"/>
          <w:sz w:val="28"/>
          <w:szCs w:val="28"/>
        </w:rPr>
        <w:t>材料（工程设备）暂估单价表</w:t>
      </w:r>
    </w:p>
    <w:p w14:paraId="621E8679">
      <w:pPr>
        <w:spacing w:line="274" w:lineRule="auto"/>
        <w:rPr>
          <w:rFonts w:ascii="Arial"/>
          <w:sz w:val="21"/>
        </w:rPr>
      </w:pPr>
    </w:p>
    <w:p w14:paraId="67840A79">
      <w:pPr>
        <w:spacing w:line="275" w:lineRule="auto"/>
        <w:rPr>
          <w:rFonts w:ascii="Arial"/>
          <w:sz w:val="21"/>
        </w:rPr>
      </w:pPr>
    </w:p>
    <w:p w14:paraId="145C58F8">
      <w:pPr>
        <w:spacing w:before="65" w:line="223" w:lineRule="auto"/>
        <w:ind w:left="6"/>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2"/>
          <w:sz w:val="20"/>
          <w:szCs w:val="20"/>
        </w:rPr>
        <w:t xml:space="preserve">                    </w:t>
      </w:r>
      <w:r>
        <w:rPr>
          <w:rFonts w:ascii="宋体" w:hAnsi="宋体" w:eastAsia="宋体" w:cs="宋体"/>
          <w:spacing w:val="1"/>
          <w:sz w:val="20"/>
          <w:szCs w:val="20"/>
        </w:rPr>
        <w:t xml:space="preserve">   </w:t>
      </w:r>
      <w:r>
        <w:rPr>
          <w:rFonts w:ascii="宋体" w:hAnsi="宋体" w:eastAsia="宋体" w:cs="宋体"/>
          <w:spacing w:val="4"/>
          <w:sz w:val="20"/>
          <w:szCs w:val="20"/>
        </w:rPr>
        <w:t>标段名称：</w:t>
      </w:r>
      <w:r>
        <w:rPr>
          <w:rFonts w:ascii="宋体" w:hAnsi="宋体" w:eastAsia="宋体" w:cs="宋体"/>
          <w:sz w:val="20"/>
          <w:szCs w:val="20"/>
        </w:rPr>
        <w:t xml:space="preserve">                    </w:t>
      </w:r>
      <w:r>
        <w:rPr>
          <w:rFonts w:ascii="宋体" w:hAnsi="宋体" w:eastAsia="宋体" w:cs="宋体"/>
          <w:spacing w:val="4"/>
          <w:sz w:val="20"/>
          <w:szCs w:val="20"/>
        </w:rPr>
        <w:t>第  页</w:t>
      </w:r>
      <w:r>
        <w:rPr>
          <w:rFonts w:ascii="宋体" w:hAnsi="宋体" w:eastAsia="宋体" w:cs="宋体"/>
          <w:spacing w:val="17"/>
          <w:sz w:val="20"/>
          <w:szCs w:val="20"/>
        </w:rPr>
        <w:t xml:space="preserve">  </w:t>
      </w:r>
      <w:r>
        <w:rPr>
          <w:rFonts w:ascii="宋体" w:hAnsi="宋体" w:eastAsia="宋体" w:cs="宋体"/>
          <w:spacing w:val="4"/>
          <w:sz w:val="20"/>
          <w:szCs w:val="20"/>
        </w:rPr>
        <w:t>共</w:t>
      </w:r>
      <w:r>
        <w:rPr>
          <w:rFonts w:ascii="宋体" w:hAnsi="宋体" w:eastAsia="宋体" w:cs="宋体"/>
          <w:spacing w:val="13"/>
          <w:sz w:val="20"/>
          <w:szCs w:val="20"/>
        </w:rPr>
        <w:t xml:space="preserve">  </w:t>
      </w:r>
      <w:r>
        <w:rPr>
          <w:rFonts w:ascii="宋体" w:hAnsi="宋体" w:eastAsia="宋体" w:cs="宋体"/>
          <w:spacing w:val="4"/>
          <w:sz w:val="20"/>
          <w:szCs w:val="20"/>
        </w:rPr>
        <w:t>页</w:t>
      </w:r>
    </w:p>
    <w:tbl>
      <w:tblPr>
        <w:tblStyle w:val="5"/>
        <w:tblW w:w="8599" w:type="dxa"/>
        <w:tblInd w:w="1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8"/>
        <w:gridCol w:w="1500"/>
        <w:gridCol w:w="660"/>
        <w:gridCol w:w="1079"/>
        <w:gridCol w:w="958"/>
        <w:gridCol w:w="1473"/>
        <w:gridCol w:w="1397"/>
        <w:gridCol w:w="834"/>
      </w:tblGrid>
      <w:tr w14:paraId="3C3AE7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3" w:hRule="atLeast"/>
        </w:trPr>
        <w:tc>
          <w:tcPr>
            <w:tcW w:w="698" w:type="dxa"/>
            <w:vMerge w:val="restart"/>
            <w:tcBorders>
              <w:top w:val="single" w:color="000000" w:sz="4" w:space="0"/>
              <w:left w:val="single" w:color="000000" w:sz="4" w:space="0"/>
              <w:bottom w:val="nil"/>
            </w:tcBorders>
            <w:vAlign w:val="top"/>
          </w:tcPr>
          <w:p w14:paraId="1D1DD7CB">
            <w:pPr>
              <w:spacing w:line="347" w:lineRule="auto"/>
              <w:rPr>
                <w:rFonts w:ascii="Arial"/>
                <w:sz w:val="21"/>
              </w:rPr>
            </w:pPr>
          </w:p>
          <w:p w14:paraId="300F35D2">
            <w:pPr>
              <w:spacing w:line="347" w:lineRule="auto"/>
              <w:rPr>
                <w:rFonts w:ascii="Arial"/>
                <w:sz w:val="21"/>
              </w:rPr>
            </w:pPr>
          </w:p>
          <w:p w14:paraId="57BBB79E">
            <w:pPr>
              <w:pStyle w:val="6"/>
              <w:spacing w:before="65" w:line="229" w:lineRule="auto"/>
              <w:ind w:left="138"/>
            </w:pPr>
            <w:r>
              <w:rPr>
                <w:spacing w:val="5"/>
              </w:rPr>
              <w:t>序号</w:t>
            </w:r>
          </w:p>
        </w:tc>
        <w:tc>
          <w:tcPr>
            <w:tcW w:w="1500" w:type="dxa"/>
            <w:vMerge w:val="restart"/>
            <w:tcBorders>
              <w:top w:val="single" w:color="000000" w:sz="4" w:space="0"/>
              <w:bottom w:val="nil"/>
            </w:tcBorders>
            <w:vAlign w:val="top"/>
          </w:tcPr>
          <w:p w14:paraId="2715654C">
            <w:pPr>
              <w:spacing w:line="424" w:lineRule="auto"/>
              <w:rPr>
                <w:rFonts w:ascii="Arial"/>
                <w:sz w:val="21"/>
              </w:rPr>
            </w:pPr>
          </w:p>
          <w:p w14:paraId="4CB81D11">
            <w:pPr>
              <w:pStyle w:val="6"/>
              <w:spacing w:before="65" w:line="227" w:lineRule="auto"/>
              <w:ind w:left="121"/>
            </w:pPr>
            <w:r>
              <w:rPr>
                <w:spacing w:val="8"/>
              </w:rPr>
              <w:t>材料（工程设</w:t>
            </w:r>
          </w:p>
          <w:p w14:paraId="4D009B11">
            <w:pPr>
              <w:pStyle w:val="6"/>
              <w:spacing w:before="25" w:line="229" w:lineRule="auto"/>
              <w:ind w:left="123"/>
            </w:pPr>
            <w:r>
              <w:rPr>
                <w:spacing w:val="7"/>
              </w:rPr>
              <w:t>备）名称、规</w:t>
            </w:r>
          </w:p>
          <w:p w14:paraId="57F39959">
            <w:pPr>
              <w:pStyle w:val="6"/>
              <w:spacing w:before="22" w:line="228" w:lineRule="auto"/>
              <w:ind w:left="332"/>
            </w:pPr>
            <w:r>
              <w:rPr>
                <w:spacing w:val="7"/>
              </w:rPr>
              <w:t>格、型号</w:t>
            </w:r>
          </w:p>
        </w:tc>
        <w:tc>
          <w:tcPr>
            <w:tcW w:w="660" w:type="dxa"/>
            <w:vMerge w:val="restart"/>
            <w:tcBorders>
              <w:top w:val="single" w:color="000000" w:sz="4" w:space="0"/>
              <w:bottom w:val="nil"/>
            </w:tcBorders>
            <w:vAlign w:val="top"/>
          </w:tcPr>
          <w:p w14:paraId="78DC690C">
            <w:pPr>
              <w:spacing w:line="280" w:lineRule="auto"/>
              <w:rPr>
                <w:rFonts w:ascii="Arial"/>
                <w:sz w:val="21"/>
              </w:rPr>
            </w:pPr>
          </w:p>
          <w:p w14:paraId="6629DB41">
            <w:pPr>
              <w:spacing w:line="280" w:lineRule="auto"/>
              <w:rPr>
                <w:rFonts w:ascii="Arial"/>
                <w:sz w:val="21"/>
              </w:rPr>
            </w:pPr>
          </w:p>
          <w:p w14:paraId="744938CD">
            <w:pPr>
              <w:pStyle w:val="6"/>
              <w:spacing w:before="65" w:line="252" w:lineRule="auto"/>
              <w:ind w:left="124" w:right="121" w:hanging="1"/>
            </w:pPr>
            <w:r>
              <w:rPr>
                <w:spacing w:val="4"/>
              </w:rPr>
              <w:t>计量</w:t>
            </w:r>
            <w:r>
              <w:rPr>
                <w:spacing w:val="3"/>
              </w:rPr>
              <w:t>单位</w:t>
            </w:r>
          </w:p>
        </w:tc>
        <w:tc>
          <w:tcPr>
            <w:tcW w:w="2037" w:type="dxa"/>
            <w:gridSpan w:val="2"/>
            <w:tcBorders>
              <w:top w:val="single" w:color="000000" w:sz="4" w:space="0"/>
            </w:tcBorders>
            <w:vAlign w:val="top"/>
          </w:tcPr>
          <w:p w14:paraId="4FD4415C">
            <w:pPr>
              <w:spacing w:line="257" w:lineRule="auto"/>
              <w:rPr>
                <w:rFonts w:ascii="Arial"/>
                <w:sz w:val="21"/>
              </w:rPr>
            </w:pPr>
          </w:p>
          <w:p w14:paraId="59F99C0E">
            <w:pPr>
              <w:pStyle w:val="6"/>
              <w:spacing w:before="65" w:line="228" w:lineRule="auto"/>
              <w:ind w:left="813"/>
            </w:pPr>
            <w:r>
              <w:rPr>
                <w:spacing w:val="3"/>
              </w:rPr>
              <w:t>数量</w:t>
            </w:r>
          </w:p>
        </w:tc>
        <w:tc>
          <w:tcPr>
            <w:tcW w:w="2870" w:type="dxa"/>
            <w:gridSpan w:val="2"/>
            <w:tcBorders>
              <w:top w:val="single" w:color="000000" w:sz="4" w:space="0"/>
            </w:tcBorders>
            <w:vAlign w:val="top"/>
          </w:tcPr>
          <w:p w14:paraId="32EE0747">
            <w:pPr>
              <w:spacing w:line="257" w:lineRule="auto"/>
              <w:rPr>
                <w:rFonts w:ascii="Arial"/>
                <w:sz w:val="21"/>
              </w:rPr>
            </w:pPr>
          </w:p>
          <w:p w14:paraId="27AF5653">
            <w:pPr>
              <w:pStyle w:val="6"/>
              <w:spacing w:before="65" w:line="226" w:lineRule="auto"/>
              <w:ind w:left="872"/>
            </w:pPr>
            <w:r>
              <w:rPr>
                <w:spacing w:val="4"/>
              </w:rPr>
              <w:t>暂估 （元）</w:t>
            </w:r>
          </w:p>
        </w:tc>
        <w:tc>
          <w:tcPr>
            <w:tcW w:w="834" w:type="dxa"/>
            <w:tcBorders>
              <w:top w:val="single" w:color="000000" w:sz="4" w:space="0"/>
              <w:right w:val="single" w:color="000000" w:sz="4" w:space="0"/>
            </w:tcBorders>
            <w:vAlign w:val="top"/>
          </w:tcPr>
          <w:p w14:paraId="3FAFC441">
            <w:pPr>
              <w:spacing w:line="257" w:lineRule="auto"/>
              <w:rPr>
                <w:rFonts w:ascii="Arial"/>
                <w:sz w:val="21"/>
              </w:rPr>
            </w:pPr>
          </w:p>
          <w:p w14:paraId="64BA53F0">
            <w:pPr>
              <w:pStyle w:val="6"/>
              <w:spacing w:before="65" w:line="229" w:lineRule="auto"/>
              <w:ind w:left="215"/>
            </w:pPr>
            <w:r>
              <w:rPr>
                <w:spacing w:val="3"/>
              </w:rPr>
              <w:t>备注</w:t>
            </w:r>
          </w:p>
        </w:tc>
      </w:tr>
      <w:tr w14:paraId="01BC1F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1" w:hRule="atLeast"/>
        </w:trPr>
        <w:tc>
          <w:tcPr>
            <w:tcW w:w="698" w:type="dxa"/>
            <w:vMerge w:val="continue"/>
            <w:tcBorders>
              <w:top w:val="nil"/>
              <w:left w:val="single" w:color="000000" w:sz="4" w:space="0"/>
            </w:tcBorders>
            <w:vAlign w:val="top"/>
          </w:tcPr>
          <w:p w14:paraId="577061D2">
            <w:pPr>
              <w:rPr>
                <w:rFonts w:ascii="Arial"/>
                <w:sz w:val="21"/>
              </w:rPr>
            </w:pPr>
          </w:p>
        </w:tc>
        <w:tc>
          <w:tcPr>
            <w:tcW w:w="1500" w:type="dxa"/>
            <w:vMerge w:val="continue"/>
            <w:tcBorders>
              <w:top w:val="nil"/>
            </w:tcBorders>
            <w:vAlign w:val="top"/>
          </w:tcPr>
          <w:p w14:paraId="39965C8D">
            <w:pPr>
              <w:rPr>
                <w:rFonts w:ascii="Arial"/>
                <w:sz w:val="21"/>
              </w:rPr>
            </w:pPr>
          </w:p>
        </w:tc>
        <w:tc>
          <w:tcPr>
            <w:tcW w:w="660" w:type="dxa"/>
            <w:vMerge w:val="continue"/>
            <w:tcBorders>
              <w:top w:val="nil"/>
            </w:tcBorders>
            <w:vAlign w:val="top"/>
          </w:tcPr>
          <w:p w14:paraId="252EB3BC">
            <w:pPr>
              <w:rPr>
                <w:rFonts w:ascii="Arial"/>
                <w:sz w:val="21"/>
              </w:rPr>
            </w:pPr>
          </w:p>
        </w:tc>
        <w:tc>
          <w:tcPr>
            <w:tcW w:w="1079" w:type="dxa"/>
            <w:vAlign w:val="top"/>
          </w:tcPr>
          <w:p w14:paraId="3F533A39">
            <w:pPr>
              <w:spacing w:line="261" w:lineRule="auto"/>
              <w:rPr>
                <w:rFonts w:ascii="Arial"/>
                <w:sz w:val="21"/>
              </w:rPr>
            </w:pPr>
          </w:p>
          <w:p w14:paraId="1EE251A3">
            <w:pPr>
              <w:pStyle w:val="6"/>
              <w:spacing w:before="65" w:line="226" w:lineRule="auto"/>
              <w:ind w:left="341"/>
            </w:pPr>
            <w:r>
              <w:rPr>
                <w:spacing w:val="1"/>
              </w:rPr>
              <w:t>暂估</w:t>
            </w:r>
          </w:p>
        </w:tc>
        <w:tc>
          <w:tcPr>
            <w:tcW w:w="958" w:type="dxa"/>
            <w:vAlign w:val="top"/>
          </w:tcPr>
          <w:p w14:paraId="65F4F9AA">
            <w:pPr>
              <w:spacing w:line="261" w:lineRule="auto"/>
              <w:rPr>
                <w:rFonts w:ascii="Arial"/>
                <w:sz w:val="21"/>
              </w:rPr>
            </w:pPr>
          </w:p>
          <w:p w14:paraId="56108237">
            <w:pPr>
              <w:pStyle w:val="6"/>
              <w:spacing w:before="65" w:line="228" w:lineRule="auto"/>
              <w:ind w:left="273"/>
            </w:pPr>
            <w:r>
              <w:rPr>
                <w:spacing w:val="4"/>
              </w:rPr>
              <w:t>确认</w:t>
            </w:r>
          </w:p>
        </w:tc>
        <w:tc>
          <w:tcPr>
            <w:tcW w:w="1473" w:type="dxa"/>
            <w:vAlign w:val="top"/>
          </w:tcPr>
          <w:p w14:paraId="4048FEFF">
            <w:pPr>
              <w:spacing w:line="261" w:lineRule="auto"/>
              <w:rPr>
                <w:rFonts w:ascii="Arial"/>
                <w:sz w:val="21"/>
              </w:rPr>
            </w:pPr>
          </w:p>
          <w:p w14:paraId="5AB83376">
            <w:pPr>
              <w:pStyle w:val="6"/>
              <w:spacing w:before="65" w:line="226" w:lineRule="auto"/>
              <w:ind w:left="533"/>
            </w:pPr>
            <w:r>
              <w:rPr>
                <w:spacing w:val="3"/>
              </w:rPr>
              <w:t>单价</w:t>
            </w:r>
          </w:p>
        </w:tc>
        <w:tc>
          <w:tcPr>
            <w:tcW w:w="1397" w:type="dxa"/>
            <w:vAlign w:val="top"/>
          </w:tcPr>
          <w:p w14:paraId="2A34BF58">
            <w:pPr>
              <w:spacing w:line="261" w:lineRule="auto"/>
              <w:rPr>
                <w:rFonts w:ascii="Arial"/>
                <w:sz w:val="21"/>
              </w:rPr>
            </w:pPr>
          </w:p>
          <w:p w14:paraId="425D66E8">
            <w:pPr>
              <w:pStyle w:val="6"/>
              <w:spacing w:before="65" w:line="226" w:lineRule="auto"/>
              <w:ind w:left="497"/>
            </w:pPr>
            <w:r>
              <w:rPr>
                <w:spacing w:val="4"/>
              </w:rPr>
              <w:t>合价</w:t>
            </w:r>
          </w:p>
        </w:tc>
        <w:tc>
          <w:tcPr>
            <w:tcW w:w="834" w:type="dxa"/>
            <w:tcBorders>
              <w:right w:val="single" w:color="000000" w:sz="4" w:space="0"/>
            </w:tcBorders>
            <w:vAlign w:val="top"/>
          </w:tcPr>
          <w:p w14:paraId="69E71368">
            <w:pPr>
              <w:rPr>
                <w:rFonts w:ascii="Arial"/>
                <w:sz w:val="21"/>
              </w:rPr>
            </w:pPr>
          </w:p>
        </w:tc>
      </w:tr>
      <w:tr w14:paraId="0E036E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59" w:hRule="atLeast"/>
        </w:trPr>
        <w:tc>
          <w:tcPr>
            <w:tcW w:w="698" w:type="dxa"/>
            <w:tcBorders>
              <w:left w:val="single" w:color="000000" w:sz="4" w:space="0"/>
              <w:bottom w:val="single" w:color="000000" w:sz="4" w:space="0"/>
            </w:tcBorders>
            <w:vAlign w:val="top"/>
          </w:tcPr>
          <w:p w14:paraId="121FFCFD">
            <w:pPr>
              <w:rPr>
                <w:rFonts w:ascii="Arial"/>
                <w:sz w:val="21"/>
              </w:rPr>
            </w:pPr>
          </w:p>
        </w:tc>
        <w:tc>
          <w:tcPr>
            <w:tcW w:w="1500" w:type="dxa"/>
            <w:vAlign w:val="top"/>
          </w:tcPr>
          <w:p w14:paraId="6B98271B">
            <w:pPr>
              <w:rPr>
                <w:rFonts w:ascii="Arial"/>
                <w:sz w:val="21"/>
              </w:rPr>
            </w:pPr>
          </w:p>
        </w:tc>
        <w:tc>
          <w:tcPr>
            <w:tcW w:w="660" w:type="dxa"/>
            <w:vAlign w:val="top"/>
          </w:tcPr>
          <w:p w14:paraId="4BC8D650">
            <w:pPr>
              <w:rPr>
                <w:rFonts w:ascii="Arial"/>
                <w:sz w:val="21"/>
              </w:rPr>
            </w:pPr>
          </w:p>
        </w:tc>
        <w:tc>
          <w:tcPr>
            <w:tcW w:w="1079" w:type="dxa"/>
            <w:vAlign w:val="top"/>
          </w:tcPr>
          <w:p w14:paraId="5F0BA56F">
            <w:pPr>
              <w:rPr>
                <w:rFonts w:ascii="Arial"/>
                <w:sz w:val="21"/>
              </w:rPr>
            </w:pPr>
          </w:p>
        </w:tc>
        <w:tc>
          <w:tcPr>
            <w:tcW w:w="958" w:type="dxa"/>
            <w:vAlign w:val="top"/>
          </w:tcPr>
          <w:p w14:paraId="14FA77A0">
            <w:pPr>
              <w:rPr>
                <w:rFonts w:ascii="Arial"/>
                <w:sz w:val="21"/>
              </w:rPr>
            </w:pPr>
          </w:p>
        </w:tc>
        <w:tc>
          <w:tcPr>
            <w:tcW w:w="1473" w:type="dxa"/>
            <w:vAlign w:val="top"/>
          </w:tcPr>
          <w:p w14:paraId="2E64178F">
            <w:pPr>
              <w:rPr>
                <w:rFonts w:ascii="Arial"/>
                <w:sz w:val="21"/>
              </w:rPr>
            </w:pPr>
          </w:p>
        </w:tc>
        <w:tc>
          <w:tcPr>
            <w:tcW w:w="1397" w:type="dxa"/>
            <w:vAlign w:val="top"/>
          </w:tcPr>
          <w:p w14:paraId="1DEBEBA7">
            <w:pPr>
              <w:rPr>
                <w:rFonts w:ascii="Arial"/>
                <w:sz w:val="21"/>
              </w:rPr>
            </w:pPr>
          </w:p>
        </w:tc>
        <w:tc>
          <w:tcPr>
            <w:tcW w:w="834" w:type="dxa"/>
            <w:tcBorders>
              <w:right w:val="single" w:color="000000" w:sz="4" w:space="0"/>
            </w:tcBorders>
            <w:vAlign w:val="top"/>
          </w:tcPr>
          <w:p w14:paraId="5865FE47">
            <w:pPr>
              <w:rPr>
                <w:rFonts w:ascii="Arial"/>
                <w:sz w:val="21"/>
              </w:rPr>
            </w:pPr>
          </w:p>
        </w:tc>
      </w:tr>
      <w:tr w14:paraId="3DD0B3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698" w:type="dxa"/>
            <w:tcBorders>
              <w:top w:val="single" w:color="000000" w:sz="4" w:space="0"/>
              <w:left w:val="single" w:color="000000" w:sz="4" w:space="0"/>
            </w:tcBorders>
            <w:vAlign w:val="top"/>
          </w:tcPr>
          <w:p w14:paraId="21B1C948">
            <w:pPr>
              <w:rPr>
                <w:rFonts w:ascii="Arial"/>
                <w:sz w:val="21"/>
              </w:rPr>
            </w:pPr>
          </w:p>
        </w:tc>
        <w:tc>
          <w:tcPr>
            <w:tcW w:w="1500" w:type="dxa"/>
            <w:vAlign w:val="top"/>
          </w:tcPr>
          <w:p w14:paraId="7D7BA4DC">
            <w:pPr>
              <w:rPr>
                <w:rFonts w:ascii="Arial"/>
                <w:sz w:val="21"/>
              </w:rPr>
            </w:pPr>
          </w:p>
        </w:tc>
        <w:tc>
          <w:tcPr>
            <w:tcW w:w="660" w:type="dxa"/>
            <w:vAlign w:val="top"/>
          </w:tcPr>
          <w:p w14:paraId="53C11779">
            <w:pPr>
              <w:rPr>
                <w:rFonts w:ascii="Arial"/>
                <w:sz w:val="21"/>
              </w:rPr>
            </w:pPr>
          </w:p>
        </w:tc>
        <w:tc>
          <w:tcPr>
            <w:tcW w:w="1079" w:type="dxa"/>
            <w:vAlign w:val="top"/>
          </w:tcPr>
          <w:p w14:paraId="6466B5DB">
            <w:pPr>
              <w:rPr>
                <w:rFonts w:ascii="Arial"/>
                <w:sz w:val="21"/>
              </w:rPr>
            </w:pPr>
          </w:p>
        </w:tc>
        <w:tc>
          <w:tcPr>
            <w:tcW w:w="958" w:type="dxa"/>
            <w:vAlign w:val="top"/>
          </w:tcPr>
          <w:p w14:paraId="021A7968">
            <w:pPr>
              <w:rPr>
                <w:rFonts w:ascii="Arial"/>
                <w:sz w:val="21"/>
              </w:rPr>
            </w:pPr>
          </w:p>
        </w:tc>
        <w:tc>
          <w:tcPr>
            <w:tcW w:w="1473" w:type="dxa"/>
            <w:vAlign w:val="top"/>
          </w:tcPr>
          <w:p w14:paraId="349A4306">
            <w:pPr>
              <w:rPr>
                <w:rFonts w:ascii="Arial"/>
                <w:sz w:val="21"/>
              </w:rPr>
            </w:pPr>
          </w:p>
        </w:tc>
        <w:tc>
          <w:tcPr>
            <w:tcW w:w="1397" w:type="dxa"/>
            <w:vAlign w:val="top"/>
          </w:tcPr>
          <w:p w14:paraId="2E431953">
            <w:pPr>
              <w:rPr>
                <w:rFonts w:ascii="Arial"/>
                <w:sz w:val="21"/>
              </w:rPr>
            </w:pPr>
          </w:p>
        </w:tc>
        <w:tc>
          <w:tcPr>
            <w:tcW w:w="834" w:type="dxa"/>
            <w:tcBorders>
              <w:right w:val="single" w:color="000000" w:sz="4" w:space="0"/>
            </w:tcBorders>
            <w:vAlign w:val="top"/>
          </w:tcPr>
          <w:p w14:paraId="34523A21">
            <w:pPr>
              <w:rPr>
                <w:rFonts w:ascii="Arial"/>
                <w:sz w:val="21"/>
              </w:rPr>
            </w:pPr>
          </w:p>
        </w:tc>
      </w:tr>
      <w:tr w14:paraId="618F5A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698" w:type="dxa"/>
            <w:tcBorders>
              <w:left w:val="single" w:color="000000" w:sz="4" w:space="0"/>
            </w:tcBorders>
            <w:vAlign w:val="top"/>
          </w:tcPr>
          <w:p w14:paraId="73EE2CDE">
            <w:pPr>
              <w:rPr>
                <w:rFonts w:ascii="Arial"/>
                <w:sz w:val="21"/>
              </w:rPr>
            </w:pPr>
          </w:p>
        </w:tc>
        <w:tc>
          <w:tcPr>
            <w:tcW w:w="1500" w:type="dxa"/>
            <w:vAlign w:val="top"/>
          </w:tcPr>
          <w:p w14:paraId="0586EAA9">
            <w:pPr>
              <w:rPr>
                <w:rFonts w:ascii="Arial"/>
                <w:sz w:val="21"/>
              </w:rPr>
            </w:pPr>
          </w:p>
        </w:tc>
        <w:tc>
          <w:tcPr>
            <w:tcW w:w="660" w:type="dxa"/>
            <w:vAlign w:val="top"/>
          </w:tcPr>
          <w:p w14:paraId="22403A78">
            <w:pPr>
              <w:rPr>
                <w:rFonts w:ascii="Arial"/>
                <w:sz w:val="21"/>
              </w:rPr>
            </w:pPr>
          </w:p>
        </w:tc>
        <w:tc>
          <w:tcPr>
            <w:tcW w:w="1079" w:type="dxa"/>
            <w:vAlign w:val="top"/>
          </w:tcPr>
          <w:p w14:paraId="27BEA7CD">
            <w:pPr>
              <w:rPr>
                <w:rFonts w:ascii="Arial"/>
                <w:sz w:val="21"/>
              </w:rPr>
            </w:pPr>
          </w:p>
        </w:tc>
        <w:tc>
          <w:tcPr>
            <w:tcW w:w="958" w:type="dxa"/>
            <w:vAlign w:val="top"/>
          </w:tcPr>
          <w:p w14:paraId="623FA284">
            <w:pPr>
              <w:rPr>
                <w:rFonts w:ascii="Arial"/>
                <w:sz w:val="21"/>
              </w:rPr>
            </w:pPr>
          </w:p>
        </w:tc>
        <w:tc>
          <w:tcPr>
            <w:tcW w:w="1473" w:type="dxa"/>
            <w:vAlign w:val="top"/>
          </w:tcPr>
          <w:p w14:paraId="316EE726">
            <w:pPr>
              <w:rPr>
                <w:rFonts w:ascii="Arial"/>
                <w:sz w:val="21"/>
              </w:rPr>
            </w:pPr>
          </w:p>
        </w:tc>
        <w:tc>
          <w:tcPr>
            <w:tcW w:w="1397" w:type="dxa"/>
            <w:vAlign w:val="top"/>
          </w:tcPr>
          <w:p w14:paraId="24B2114B">
            <w:pPr>
              <w:rPr>
                <w:rFonts w:ascii="Arial"/>
                <w:sz w:val="21"/>
              </w:rPr>
            </w:pPr>
          </w:p>
        </w:tc>
        <w:tc>
          <w:tcPr>
            <w:tcW w:w="834" w:type="dxa"/>
            <w:tcBorders>
              <w:right w:val="single" w:color="000000" w:sz="4" w:space="0"/>
            </w:tcBorders>
            <w:vAlign w:val="top"/>
          </w:tcPr>
          <w:p w14:paraId="2E543E01">
            <w:pPr>
              <w:rPr>
                <w:rFonts w:ascii="Arial"/>
                <w:sz w:val="21"/>
              </w:rPr>
            </w:pPr>
          </w:p>
        </w:tc>
      </w:tr>
      <w:tr w14:paraId="13BEA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698" w:type="dxa"/>
            <w:tcBorders>
              <w:left w:val="single" w:color="000000" w:sz="4" w:space="0"/>
            </w:tcBorders>
            <w:vAlign w:val="top"/>
          </w:tcPr>
          <w:p w14:paraId="008D3AD7">
            <w:pPr>
              <w:rPr>
                <w:rFonts w:ascii="Arial"/>
                <w:sz w:val="21"/>
              </w:rPr>
            </w:pPr>
          </w:p>
        </w:tc>
        <w:tc>
          <w:tcPr>
            <w:tcW w:w="1500" w:type="dxa"/>
            <w:vAlign w:val="top"/>
          </w:tcPr>
          <w:p w14:paraId="293E8EE5">
            <w:pPr>
              <w:rPr>
                <w:rFonts w:ascii="Arial"/>
                <w:sz w:val="21"/>
              </w:rPr>
            </w:pPr>
          </w:p>
        </w:tc>
        <w:tc>
          <w:tcPr>
            <w:tcW w:w="660" w:type="dxa"/>
            <w:vAlign w:val="top"/>
          </w:tcPr>
          <w:p w14:paraId="391CC7E2">
            <w:pPr>
              <w:rPr>
                <w:rFonts w:ascii="Arial"/>
                <w:sz w:val="21"/>
              </w:rPr>
            </w:pPr>
          </w:p>
        </w:tc>
        <w:tc>
          <w:tcPr>
            <w:tcW w:w="1079" w:type="dxa"/>
            <w:vAlign w:val="top"/>
          </w:tcPr>
          <w:p w14:paraId="22F37C2A">
            <w:pPr>
              <w:rPr>
                <w:rFonts w:ascii="Arial"/>
                <w:sz w:val="21"/>
              </w:rPr>
            </w:pPr>
          </w:p>
        </w:tc>
        <w:tc>
          <w:tcPr>
            <w:tcW w:w="958" w:type="dxa"/>
            <w:vAlign w:val="top"/>
          </w:tcPr>
          <w:p w14:paraId="65E521AE">
            <w:pPr>
              <w:rPr>
                <w:rFonts w:ascii="Arial"/>
                <w:sz w:val="21"/>
              </w:rPr>
            </w:pPr>
          </w:p>
        </w:tc>
        <w:tc>
          <w:tcPr>
            <w:tcW w:w="1473" w:type="dxa"/>
            <w:vAlign w:val="top"/>
          </w:tcPr>
          <w:p w14:paraId="0287ED33">
            <w:pPr>
              <w:rPr>
                <w:rFonts w:ascii="Arial"/>
                <w:sz w:val="21"/>
              </w:rPr>
            </w:pPr>
          </w:p>
        </w:tc>
        <w:tc>
          <w:tcPr>
            <w:tcW w:w="1397" w:type="dxa"/>
            <w:vAlign w:val="top"/>
          </w:tcPr>
          <w:p w14:paraId="53A62811">
            <w:pPr>
              <w:rPr>
                <w:rFonts w:ascii="Arial"/>
                <w:sz w:val="21"/>
              </w:rPr>
            </w:pPr>
          </w:p>
        </w:tc>
        <w:tc>
          <w:tcPr>
            <w:tcW w:w="834" w:type="dxa"/>
            <w:tcBorders>
              <w:right w:val="single" w:color="000000" w:sz="4" w:space="0"/>
            </w:tcBorders>
            <w:vAlign w:val="top"/>
          </w:tcPr>
          <w:p w14:paraId="1B6979BC">
            <w:pPr>
              <w:rPr>
                <w:rFonts w:ascii="Arial"/>
                <w:sz w:val="21"/>
              </w:rPr>
            </w:pPr>
          </w:p>
        </w:tc>
      </w:tr>
      <w:tr w14:paraId="15CB7F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698" w:type="dxa"/>
            <w:tcBorders>
              <w:left w:val="single" w:color="000000" w:sz="4" w:space="0"/>
            </w:tcBorders>
            <w:vAlign w:val="top"/>
          </w:tcPr>
          <w:p w14:paraId="40679910">
            <w:pPr>
              <w:rPr>
                <w:rFonts w:ascii="Arial"/>
                <w:sz w:val="21"/>
              </w:rPr>
            </w:pPr>
          </w:p>
        </w:tc>
        <w:tc>
          <w:tcPr>
            <w:tcW w:w="1500" w:type="dxa"/>
            <w:vAlign w:val="top"/>
          </w:tcPr>
          <w:p w14:paraId="05D10E5F">
            <w:pPr>
              <w:rPr>
                <w:rFonts w:ascii="Arial"/>
                <w:sz w:val="21"/>
              </w:rPr>
            </w:pPr>
          </w:p>
        </w:tc>
        <w:tc>
          <w:tcPr>
            <w:tcW w:w="660" w:type="dxa"/>
            <w:vAlign w:val="top"/>
          </w:tcPr>
          <w:p w14:paraId="74964A49">
            <w:pPr>
              <w:rPr>
                <w:rFonts w:ascii="Arial"/>
                <w:sz w:val="21"/>
              </w:rPr>
            </w:pPr>
          </w:p>
        </w:tc>
        <w:tc>
          <w:tcPr>
            <w:tcW w:w="1079" w:type="dxa"/>
            <w:vAlign w:val="top"/>
          </w:tcPr>
          <w:p w14:paraId="3EC95478">
            <w:pPr>
              <w:rPr>
                <w:rFonts w:ascii="Arial"/>
                <w:sz w:val="21"/>
              </w:rPr>
            </w:pPr>
          </w:p>
        </w:tc>
        <w:tc>
          <w:tcPr>
            <w:tcW w:w="958" w:type="dxa"/>
            <w:vAlign w:val="top"/>
          </w:tcPr>
          <w:p w14:paraId="1D951180">
            <w:pPr>
              <w:rPr>
                <w:rFonts w:ascii="Arial"/>
                <w:sz w:val="21"/>
              </w:rPr>
            </w:pPr>
          </w:p>
        </w:tc>
        <w:tc>
          <w:tcPr>
            <w:tcW w:w="1473" w:type="dxa"/>
            <w:vAlign w:val="top"/>
          </w:tcPr>
          <w:p w14:paraId="0D85EFAF">
            <w:pPr>
              <w:rPr>
                <w:rFonts w:ascii="Arial"/>
                <w:sz w:val="21"/>
              </w:rPr>
            </w:pPr>
          </w:p>
        </w:tc>
        <w:tc>
          <w:tcPr>
            <w:tcW w:w="1397" w:type="dxa"/>
            <w:vAlign w:val="top"/>
          </w:tcPr>
          <w:p w14:paraId="0A9D6B9F">
            <w:pPr>
              <w:rPr>
                <w:rFonts w:ascii="Arial"/>
                <w:sz w:val="21"/>
              </w:rPr>
            </w:pPr>
          </w:p>
        </w:tc>
        <w:tc>
          <w:tcPr>
            <w:tcW w:w="834" w:type="dxa"/>
            <w:tcBorders>
              <w:right w:val="single" w:color="000000" w:sz="4" w:space="0"/>
            </w:tcBorders>
            <w:vAlign w:val="top"/>
          </w:tcPr>
          <w:p w14:paraId="288808A4">
            <w:pPr>
              <w:rPr>
                <w:rFonts w:ascii="Arial"/>
                <w:sz w:val="21"/>
              </w:rPr>
            </w:pPr>
          </w:p>
        </w:tc>
      </w:tr>
      <w:tr w14:paraId="60652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698" w:type="dxa"/>
            <w:tcBorders>
              <w:left w:val="single" w:color="000000" w:sz="4" w:space="0"/>
            </w:tcBorders>
            <w:vAlign w:val="top"/>
          </w:tcPr>
          <w:p w14:paraId="7B2ED49A">
            <w:pPr>
              <w:rPr>
                <w:rFonts w:ascii="Arial"/>
                <w:sz w:val="21"/>
              </w:rPr>
            </w:pPr>
          </w:p>
        </w:tc>
        <w:tc>
          <w:tcPr>
            <w:tcW w:w="1500" w:type="dxa"/>
            <w:vAlign w:val="top"/>
          </w:tcPr>
          <w:p w14:paraId="7B313553">
            <w:pPr>
              <w:rPr>
                <w:rFonts w:ascii="Arial"/>
                <w:sz w:val="21"/>
              </w:rPr>
            </w:pPr>
          </w:p>
        </w:tc>
        <w:tc>
          <w:tcPr>
            <w:tcW w:w="660" w:type="dxa"/>
            <w:vAlign w:val="top"/>
          </w:tcPr>
          <w:p w14:paraId="0530B56E">
            <w:pPr>
              <w:rPr>
                <w:rFonts w:ascii="Arial"/>
                <w:sz w:val="21"/>
              </w:rPr>
            </w:pPr>
          </w:p>
        </w:tc>
        <w:tc>
          <w:tcPr>
            <w:tcW w:w="1079" w:type="dxa"/>
            <w:vAlign w:val="top"/>
          </w:tcPr>
          <w:p w14:paraId="6E70C44A">
            <w:pPr>
              <w:rPr>
                <w:rFonts w:ascii="Arial"/>
                <w:sz w:val="21"/>
              </w:rPr>
            </w:pPr>
          </w:p>
        </w:tc>
        <w:tc>
          <w:tcPr>
            <w:tcW w:w="958" w:type="dxa"/>
            <w:vAlign w:val="top"/>
          </w:tcPr>
          <w:p w14:paraId="6BEF9287">
            <w:pPr>
              <w:rPr>
                <w:rFonts w:ascii="Arial"/>
                <w:sz w:val="21"/>
              </w:rPr>
            </w:pPr>
          </w:p>
        </w:tc>
        <w:tc>
          <w:tcPr>
            <w:tcW w:w="1473" w:type="dxa"/>
            <w:vAlign w:val="top"/>
          </w:tcPr>
          <w:p w14:paraId="773430D4">
            <w:pPr>
              <w:rPr>
                <w:rFonts w:ascii="Arial"/>
                <w:sz w:val="21"/>
              </w:rPr>
            </w:pPr>
          </w:p>
        </w:tc>
        <w:tc>
          <w:tcPr>
            <w:tcW w:w="1397" w:type="dxa"/>
            <w:vAlign w:val="top"/>
          </w:tcPr>
          <w:p w14:paraId="73487D53">
            <w:pPr>
              <w:rPr>
                <w:rFonts w:ascii="Arial"/>
                <w:sz w:val="21"/>
              </w:rPr>
            </w:pPr>
          </w:p>
        </w:tc>
        <w:tc>
          <w:tcPr>
            <w:tcW w:w="834" w:type="dxa"/>
            <w:tcBorders>
              <w:right w:val="single" w:color="000000" w:sz="4" w:space="0"/>
            </w:tcBorders>
            <w:vAlign w:val="top"/>
          </w:tcPr>
          <w:p w14:paraId="6471550A">
            <w:pPr>
              <w:rPr>
                <w:rFonts w:ascii="Arial"/>
                <w:sz w:val="21"/>
              </w:rPr>
            </w:pPr>
          </w:p>
        </w:tc>
      </w:tr>
      <w:tr w14:paraId="3982E3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698" w:type="dxa"/>
            <w:tcBorders>
              <w:left w:val="single" w:color="000000" w:sz="4" w:space="0"/>
            </w:tcBorders>
            <w:vAlign w:val="top"/>
          </w:tcPr>
          <w:p w14:paraId="34261D74">
            <w:pPr>
              <w:rPr>
                <w:rFonts w:ascii="Arial"/>
                <w:sz w:val="21"/>
              </w:rPr>
            </w:pPr>
          </w:p>
        </w:tc>
        <w:tc>
          <w:tcPr>
            <w:tcW w:w="1500" w:type="dxa"/>
            <w:vAlign w:val="top"/>
          </w:tcPr>
          <w:p w14:paraId="3D007A74">
            <w:pPr>
              <w:rPr>
                <w:rFonts w:ascii="Arial"/>
                <w:sz w:val="21"/>
              </w:rPr>
            </w:pPr>
          </w:p>
        </w:tc>
        <w:tc>
          <w:tcPr>
            <w:tcW w:w="660" w:type="dxa"/>
            <w:vAlign w:val="top"/>
          </w:tcPr>
          <w:p w14:paraId="6FF128B7">
            <w:pPr>
              <w:rPr>
                <w:rFonts w:ascii="Arial"/>
                <w:sz w:val="21"/>
              </w:rPr>
            </w:pPr>
          </w:p>
        </w:tc>
        <w:tc>
          <w:tcPr>
            <w:tcW w:w="1079" w:type="dxa"/>
            <w:vAlign w:val="top"/>
          </w:tcPr>
          <w:p w14:paraId="7CDCA4BB">
            <w:pPr>
              <w:rPr>
                <w:rFonts w:ascii="Arial"/>
                <w:sz w:val="21"/>
              </w:rPr>
            </w:pPr>
          </w:p>
        </w:tc>
        <w:tc>
          <w:tcPr>
            <w:tcW w:w="958" w:type="dxa"/>
            <w:vAlign w:val="top"/>
          </w:tcPr>
          <w:p w14:paraId="2BF648F8">
            <w:pPr>
              <w:rPr>
                <w:rFonts w:ascii="Arial"/>
                <w:sz w:val="21"/>
              </w:rPr>
            </w:pPr>
          </w:p>
        </w:tc>
        <w:tc>
          <w:tcPr>
            <w:tcW w:w="1473" w:type="dxa"/>
            <w:vAlign w:val="top"/>
          </w:tcPr>
          <w:p w14:paraId="51F097B6">
            <w:pPr>
              <w:rPr>
                <w:rFonts w:ascii="Arial"/>
                <w:sz w:val="21"/>
              </w:rPr>
            </w:pPr>
          </w:p>
        </w:tc>
        <w:tc>
          <w:tcPr>
            <w:tcW w:w="1397" w:type="dxa"/>
            <w:vAlign w:val="top"/>
          </w:tcPr>
          <w:p w14:paraId="73BC9681">
            <w:pPr>
              <w:rPr>
                <w:rFonts w:ascii="Arial"/>
                <w:sz w:val="21"/>
              </w:rPr>
            </w:pPr>
          </w:p>
        </w:tc>
        <w:tc>
          <w:tcPr>
            <w:tcW w:w="834" w:type="dxa"/>
            <w:tcBorders>
              <w:right w:val="single" w:color="000000" w:sz="4" w:space="0"/>
            </w:tcBorders>
            <w:vAlign w:val="top"/>
          </w:tcPr>
          <w:p w14:paraId="4FA94300">
            <w:pPr>
              <w:rPr>
                <w:rFonts w:ascii="Arial"/>
                <w:sz w:val="21"/>
              </w:rPr>
            </w:pPr>
          </w:p>
        </w:tc>
      </w:tr>
      <w:tr w14:paraId="4898AE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698" w:type="dxa"/>
            <w:tcBorders>
              <w:left w:val="single" w:color="000000" w:sz="4" w:space="0"/>
            </w:tcBorders>
            <w:vAlign w:val="top"/>
          </w:tcPr>
          <w:p w14:paraId="45C0F18A">
            <w:pPr>
              <w:rPr>
                <w:rFonts w:ascii="Arial"/>
                <w:sz w:val="21"/>
              </w:rPr>
            </w:pPr>
          </w:p>
        </w:tc>
        <w:tc>
          <w:tcPr>
            <w:tcW w:w="1500" w:type="dxa"/>
            <w:vAlign w:val="top"/>
          </w:tcPr>
          <w:p w14:paraId="3CBED873">
            <w:pPr>
              <w:rPr>
                <w:rFonts w:ascii="Arial"/>
                <w:sz w:val="21"/>
              </w:rPr>
            </w:pPr>
          </w:p>
        </w:tc>
        <w:tc>
          <w:tcPr>
            <w:tcW w:w="660" w:type="dxa"/>
            <w:vAlign w:val="top"/>
          </w:tcPr>
          <w:p w14:paraId="06356251">
            <w:pPr>
              <w:rPr>
                <w:rFonts w:ascii="Arial"/>
                <w:sz w:val="21"/>
              </w:rPr>
            </w:pPr>
          </w:p>
        </w:tc>
        <w:tc>
          <w:tcPr>
            <w:tcW w:w="1079" w:type="dxa"/>
            <w:vAlign w:val="top"/>
          </w:tcPr>
          <w:p w14:paraId="2D443ECE">
            <w:pPr>
              <w:rPr>
                <w:rFonts w:ascii="Arial"/>
                <w:sz w:val="21"/>
              </w:rPr>
            </w:pPr>
          </w:p>
        </w:tc>
        <w:tc>
          <w:tcPr>
            <w:tcW w:w="958" w:type="dxa"/>
            <w:vAlign w:val="top"/>
          </w:tcPr>
          <w:p w14:paraId="258D2DA4">
            <w:pPr>
              <w:rPr>
                <w:rFonts w:ascii="Arial"/>
                <w:sz w:val="21"/>
              </w:rPr>
            </w:pPr>
          </w:p>
        </w:tc>
        <w:tc>
          <w:tcPr>
            <w:tcW w:w="1473" w:type="dxa"/>
            <w:vAlign w:val="top"/>
          </w:tcPr>
          <w:p w14:paraId="386710E8">
            <w:pPr>
              <w:rPr>
                <w:rFonts w:ascii="Arial"/>
                <w:sz w:val="21"/>
              </w:rPr>
            </w:pPr>
          </w:p>
        </w:tc>
        <w:tc>
          <w:tcPr>
            <w:tcW w:w="1397" w:type="dxa"/>
            <w:vAlign w:val="top"/>
          </w:tcPr>
          <w:p w14:paraId="18977300">
            <w:pPr>
              <w:rPr>
                <w:rFonts w:ascii="Arial"/>
                <w:sz w:val="21"/>
              </w:rPr>
            </w:pPr>
          </w:p>
        </w:tc>
        <w:tc>
          <w:tcPr>
            <w:tcW w:w="834" w:type="dxa"/>
            <w:tcBorders>
              <w:right w:val="single" w:color="000000" w:sz="4" w:space="0"/>
            </w:tcBorders>
            <w:vAlign w:val="top"/>
          </w:tcPr>
          <w:p w14:paraId="624EAEE6">
            <w:pPr>
              <w:rPr>
                <w:rFonts w:ascii="Arial"/>
                <w:sz w:val="21"/>
              </w:rPr>
            </w:pPr>
          </w:p>
        </w:tc>
      </w:tr>
      <w:tr w14:paraId="5FAC6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2858" w:type="dxa"/>
            <w:gridSpan w:val="3"/>
            <w:tcBorders>
              <w:left w:val="single" w:color="000000" w:sz="4" w:space="0"/>
              <w:bottom w:val="single" w:color="000000" w:sz="4" w:space="0"/>
            </w:tcBorders>
            <w:vAlign w:val="top"/>
          </w:tcPr>
          <w:p w14:paraId="0DFDF88E">
            <w:pPr>
              <w:spacing w:line="263" w:lineRule="auto"/>
              <w:rPr>
                <w:rFonts w:ascii="Arial"/>
                <w:sz w:val="21"/>
              </w:rPr>
            </w:pPr>
          </w:p>
          <w:p w14:paraId="0BDDBEDE">
            <w:pPr>
              <w:pStyle w:val="6"/>
              <w:spacing w:before="65" w:line="229" w:lineRule="auto"/>
              <w:ind w:left="1222"/>
            </w:pPr>
            <w:r>
              <w:rPr>
                <w:spacing w:val="4"/>
              </w:rPr>
              <w:t>合计</w:t>
            </w:r>
          </w:p>
        </w:tc>
        <w:tc>
          <w:tcPr>
            <w:tcW w:w="1079" w:type="dxa"/>
            <w:tcBorders>
              <w:bottom w:val="single" w:color="000000" w:sz="4" w:space="0"/>
            </w:tcBorders>
            <w:vAlign w:val="top"/>
          </w:tcPr>
          <w:p w14:paraId="0E08B10B">
            <w:pPr>
              <w:rPr>
                <w:rFonts w:ascii="Arial"/>
                <w:sz w:val="21"/>
              </w:rPr>
            </w:pPr>
          </w:p>
        </w:tc>
        <w:tc>
          <w:tcPr>
            <w:tcW w:w="958" w:type="dxa"/>
            <w:tcBorders>
              <w:bottom w:val="single" w:color="000000" w:sz="4" w:space="0"/>
            </w:tcBorders>
            <w:vAlign w:val="top"/>
          </w:tcPr>
          <w:p w14:paraId="5D5FFEB3">
            <w:pPr>
              <w:rPr>
                <w:rFonts w:ascii="Arial"/>
                <w:sz w:val="21"/>
              </w:rPr>
            </w:pPr>
          </w:p>
        </w:tc>
        <w:tc>
          <w:tcPr>
            <w:tcW w:w="1473" w:type="dxa"/>
            <w:tcBorders>
              <w:bottom w:val="single" w:color="000000" w:sz="4" w:space="0"/>
            </w:tcBorders>
            <w:vAlign w:val="top"/>
          </w:tcPr>
          <w:p w14:paraId="40155F2A">
            <w:pPr>
              <w:rPr>
                <w:rFonts w:ascii="Arial"/>
                <w:sz w:val="21"/>
              </w:rPr>
            </w:pPr>
          </w:p>
        </w:tc>
        <w:tc>
          <w:tcPr>
            <w:tcW w:w="1397" w:type="dxa"/>
            <w:tcBorders>
              <w:bottom w:val="single" w:color="000000" w:sz="4" w:space="0"/>
            </w:tcBorders>
            <w:vAlign w:val="top"/>
          </w:tcPr>
          <w:p w14:paraId="56F41337">
            <w:pPr>
              <w:rPr>
                <w:rFonts w:ascii="Arial"/>
                <w:sz w:val="21"/>
              </w:rPr>
            </w:pPr>
          </w:p>
        </w:tc>
        <w:tc>
          <w:tcPr>
            <w:tcW w:w="834" w:type="dxa"/>
            <w:tcBorders>
              <w:bottom w:val="single" w:color="000000" w:sz="4" w:space="0"/>
              <w:right w:val="single" w:color="000000" w:sz="4" w:space="0"/>
            </w:tcBorders>
            <w:vAlign w:val="top"/>
          </w:tcPr>
          <w:p w14:paraId="2AC7F846">
            <w:pPr>
              <w:rPr>
                <w:rFonts w:ascii="Arial"/>
                <w:sz w:val="21"/>
              </w:rPr>
            </w:pPr>
          </w:p>
        </w:tc>
      </w:tr>
    </w:tbl>
    <w:p w14:paraId="0513431D">
      <w:pPr>
        <w:spacing w:line="475" w:lineRule="auto"/>
        <w:rPr>
          <w:rFonts w:ascii="Arial"/>
          <w:sz w:val="21"/>
        </w:rPr>
      </w:pPr>
    </w:p>
    <w:p w14:paraId="36F3250E">
      <w:pPr>
        <w:spacing w:before="65" w:line="226" w:lineRule="auto"/>
        <w:jc w:val="right"/>
        <w:rPr>
          <w:rFonts w:ascii="宋体" w:hAnsi="宋体" w:eastAsia="宋体" w:cs="宋体"/>
          <w:sz w:val="20"/>
          <w:szCs w:val="20"/>
        </w:rPr>
      </w:pPr>
      <w:r>
        <w:rPr>
          <w:rFonts w:ascii="宋体" w:hAnsi="宋体" w:eastAsia="宋体" w:cs="宋体"/>
          <w:spacing w:val="4"/>
          <w:sz w:val="20"/>
          <w:szCs w:val="20"/>
        </w:rPr>
        <w:t>注：此表由招标人填写“暂估单价</w:t>
      </w:r>
      <w:r>
        <w:rPr>
          <w:rFonts w:ascii="宋体" w:hAnsi="宋体" w:eastAsia="宋体" w:cs="宋体"/>
          <w:spacing w:val="-62"/>
          <w:sz w:val="20"/>
          <w:szCs w:val="20"/>
        </w:rPr>
        <w:t xml:space="preserve"> </w:t>
      </w:r>
      <w:r>
        <w:rPr>
          <w:rFonts w:ascii="宋体" w:hAnsi="宋体" w:eastAsia="宋体" w:cs="宋体"/>
          <w:spacing w:val="4"/>
          <w:sz w:val="20"/>
          <w:szCs w:val="20"/>
        </w:rPr>
        <w:t>”，并在备注栏说明暂估价的材料、工程设备拟用在那些清单项</w:t>
      </w:r>
    </w:p>
    <w:p w14:paraId="0CE1BDC8">
      <w:pPr>
        <w:spacing w:before="28" w:line="226" w:lineRule="auto"/>
        <w:ind w:left="464"/>
        <w:rPr>
          <w:rFonts w:ascii="宋体" w:hAnsi="宋体" w:eastAsia="宋体" w:cs="宋体"/>
          <w:sz w:val="20"/>
          <w:szCs w:val="20"/>
        </w:rPr>
      </w:pPr>
      <w:r>
        <w:rPr>
          <w:rFonts w:ascii="宋体" w:hAnsi="宋体" w:eastAsia="宋体" w:cs="宋体"/>
          <w:spacing w:val="8"/>
          <w:sz w:val="20"/>
          <w:szCs w:val="20"/>
        </w:rPr>
        <w:t>目上，投标人应将上述材料、工程设备暂估单价计入工程量清单综合单价报价中。</w:t>
      </w:r>
    </w:p>
    <w:p w14:paraId="2A4AB7C3">
      <w:pPr>
        <w:spacing w:line="226" w:lineRule="auto"/>
        <w:rPr>
          <w:rFonts w:ascii="宋体" w:hAnsi="宋体" w:eastAsia="宋体" w:cs="宋体"/>
          <w:sz w:val="20"/>
          <w:szCs w:val="20"/>
        </w:rPr>
        <w:sectPr>
          <w:footerReference r:id="rId463" w:type="default"/>
          <w:pgSz w:w="11907" w:h="16840"/>
          <w:pgMar w:top="400" w:right="1555" w:bottom="1105" w:left="1535" w:header="0" w:footer="943" w:gutter="0"/>
          <w:cols w:space="720" w:num="1"/>
        </w:sectPr>
      </w:pPr>
    </w:p>
    <w:p w14:paraId="1D559BC8">
      <w:pPr>
        <w:spacing w:line="261" w:lineRule="auto"/>
        <w:rPr>
          <w:rFonts w:ascii="Arial"/>
          <w:sz w:val="21"/>
        </w:rPr>
      </w:pPr>
    </w:p>
    <w:p w14:paraId="44D19B4D">
      <w:pPr>
        <w:spacing w:line="262" w:lineRule="auto"/>
        <w:rPr>
          <w:rFonts w:ascii="Arial"/>
          <w:sz w:val="21"/>
        </w:rPr>
      </w:pPr>
    </w:p>
    <w:p w14:paraId="0750DF18">
      <w:pPr>
        <w:spacing w:line="262" w:lineRule="auto"/>
        <w:rPr>
          <w:rFonts w:ascii="Arial"/>
          <w:sz w:val="21"/>
        </w:rPr>
      </w:pPr>
    </w:p>
    <w:p w14:paraId="604412FB">
      <w:pPr>
        <w:spacing w:line="262" w:lineRule="auto"/>
        <w:rPr>
          <w:rFonts w:ascii="Arial"/>
          <w:sz w:val="21"/>
        </w:rPr>
      </w:pPr>
    </w:p>
    <w:p w14:paraId="4D637606">
      <w:pPr>
        <w:pStyle w:val="2"/>
        <w:spacing w:before="78" w:line="222" w:lineRule="auto"/>
        <w:outlineLvl w:val="3"/>
        <w:rPr>
          <w:sz w:val="24"/>
          <w:szCs w:val="24"/>
        </w:rPr>
      </w:pPr>
      <w:bookmarkStart w:id="369" w:name="bookmark351"/>
      <w:bookmarkEnd w:id="369"/>
      <w:r>
        <w:rPr>
          <w:rFonts w:ascii="Times New Roman" w:hAnsi="Times New Roman" w:eastAsia="Times New Roman" w:cs="Times New Roman"/>
          <w:spacing w:val="-1"/>
          <w:sz w:val="24"/>
          <w:szCs w:val="24"/>
        </w:rPr>
        <w:t xml:space="preserve">4.12-3 </w:t>
      </w:r>
      <w:r>
        <w:rPr>
          <w:spacing w:val="-1"/>
          <w:sz w:val="24"/>
          <w:szCs w:val="24"/>
        </w:rPr>
        <w:t>专业工程暂估价表</w:t>
      </w:r>
    </w:p>
    <w:p w14:paraId="7333D098">
      <w:pPr>
        <w:spacing w:line="273" w:lineRule="auto"/>
        <w:rPr>
          <w:rFonts w:ascii="Arial"/>
          <w:sz w:val="21"/>
        </w:rPr>
      </w:pPr>
    </w:p>
    <w:p w14:paraId="7641A547">
      <w:pPr>
        <w:spacing w:line="274" w:lineRule="auto"/>
        <w:rPr>
          <w:rFonts w:ascii="Arial"/>
          <w:sz w:val="21"/>
        </w:rPr>
      </w:pPr>
    </w:p>
    <w:p w14:paraId="5AA95693">
      <w:pPr>
        <w:pStyle w:val="2"/>
        <w:spacing w:before="91" w:line="222" w:lineRule="auto"/>
        <w:ind w:left="3303"/>
        <w:rPr>
          <w:sz w:val="28"/>
          <w:szCs w:val="28"/>
        </w:rPr>
      </w:pPr>
      <w:r>
        <w:rPr>
          <w:spacing w:val="-2"/>
          <w:sz w:val="28"/>
          <w:szCs w:val="28"/>
        </w:rPr>
        <w:t>专业工程暂估价表</w:t>
      </w:r>
    </w:p>
    <w:p w14:paraId="79A95A89">
      <w:pPr>
        <w:spacing w:before="135" w:line="224" w:lineRule="auto"/>
        <w:ind w:left="6"/>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2"/>
          <w:sz w:val="20"/>
          <w:szCs w:val="20"/>
        </w:rPr>
        <w:t xml:space="preserve">                        </w:t>
      </w:r>
      <w:r>
        <w:rPr>
          <w:rFonts w:ascii="宋体" w:hAnsi="宋体" w:eastAsia="宋体" w:cs="宋体"/>
          <w:spacing w:val="4"/>
          <w:sz w:val="20"/>
          <w:szCs w:val="20"/>
        </w:rPr>
        <w:t>标段名称：</w:t>
      </w:r>
      <w:r>
        <w:rPr>
          <w:rFonts w:ascii="宋体" w:hAnsi="宋体" w:eastAsia="宋体" w:cs="宋体"/>
          <w:spacing w:val="6"/>
          <w:sz w:val="20"/>
          <w:szCs w:val="20"/>
        </w:rPr>
        <w:t xml:space="preserve">                </w:t>
      </w:r>
      <w:r>
        <w:rPr>
          <w:rFonts w:ascii="宋体" w:hAnsi="宋体" w:eastAsia="宋体" w:cs="宋体"/>
          <w:spacing w:val="4"/>
          <w:sz w:val="20"/>
          <w:szCs w:val="20"/>
        </w:rPr>
        <w:t>第  页</w:t>
      </w:r>
      <w:r>
        <w:rPr>
          <w:rFonts w:ascii="宋体" w:hAnsi="宋体" w:eastAsia="宋体" w:cs="宋体"/>
          <w:spacing w:val="11"/>
          <w:sz w:val="20"/>
          <w:szCs w:val="20"/>
        </w:rPr>
        <w:t xml:space="preserve">  </w:t>
      </w:r>
      <w:r>
        <w:rPr>
          <w:rFonts w:ascii="宋体" w:hAnsi="宋体" w:eastAsia="宋体" w:cs="宋体"/>
          <w:spacing w:val="4"/>
          <w:sz w:val="20"/>
          <w:szCs w:val="20"/>
        </w:rPr>
        <w:t>共</w:t>
      </w:r>
      <w:r>
        <w:rPr>
          <w:rFonts w:ascii="宋体" w:hAnsi="宋体" w:eastAsia="宋体" w:cs="宋体"/>
          <w:spacing w:val="12"/>
          <w:sz w:val="20"/>
          <w:szCs w:val="20"/>
        </w:rPr>
        <w:t xml:space="preserve">  </w:t>
      </w:r>
      <w:r>
        <w:rPr>
          <w:rFonts w:ascii="宋体" w:hAnsi="宋体" w:eastAsia="宋体" w:cs="宋体"/>
          <w:spacing w:val="4"/>
          <w:sz w:val="20"/>
          <w:szCs w:val="20"/>
        </w:rPr>
        <w:t>页</w:t>
      </w:r>
    </w:p>
    <w:tbl>
      <w:tblPr>
        <w:tblStyle w:val="5"/>
        <w:tblW w:w="8501" w:type="dxa"/>
        <w:tblInd w:w="15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7"/>
        <w:gridCol w:w="1556"/>
        <w:gridCol w:w="2455"/>
        <w:gridCol w:w="2482"/>
        <w:gridCol w:w="1161"/>
      </w:tblGrid>
      <w:tr w14:paraId="592886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3" w:hRule="atLeast"/>
        </w:trPr>
        <w:tc>
          <w:tcPr>
            <w:tcW w:w="847" w:type="dxa"/>
            <w:tcBorders>
              <w:top w:val="single" w:color="000000" w:sz="4" w:space="0"/>
              <w:left w:val="single" w:color="000000" w:sz="4" w:space="0"/>
            </w:tcBorders>
            <w:vAlign w:val="top"/>
          </w:tcPr>
          <w:p w14:paraId="7947F0EC">
            <w:pPr>
              <w:spacing w:line="259" w:lineRule="auto"/>
              <w:rPr>
                <w:rFonts w:ascii="Arial"/>
                <w:sz w:val="21"/>
              </w:rPr>
            </w:pPr>
          </w:p>
          <w:p w14:paraId="660645E9">
            <w:pPr>
              <w:pStyle w:val="6"/>
              <w:spacing w:before="65" w:line="229" w:lineRule="auto"/>
              <w:ind w:left="214"/>
            </w:pPr>
            <w:r>
              <w:rPr>
                <w:spacing w:val="5"/>
              </w:rPr>
              <w:t>序号</w:t>
            </w:r>
          </w:p>
        </w:tc>
        <w:tc>
          <w:tcPr>
            <w:tcW w:w="1556" w:type="dxa"/>
            <w:tcBorders>
              <w:top w:val="single" w:color="000000" w:sz="4" w:space="0"/>
            </w:tcBorders>
            <w:vAlign w:val="top"/>
          </w:tcPr>
          <w:p w14:paraId="7065B5D2">
            <w:pPr>
              <w:spacing w:line="259" w:lineRule="auto"/>
              <w:rPr>
                <w:rFonts w:ascii="Arial"/>
                <w:sz w:val="21"/>
              </w:rPr>
            </w:pPr>
          </w:p>
          <w:p w14:paraId="7CD45B10">
            <w:pPr>
              <w:pStyle w:val="6"/>
              <w:spacing w:before="65" w:line="228" w:lineRule="auto"/>
              <w:ind w:left="362"/>
            </w:pPr>
            <w:r>
              <w:rPr>
                <w:spacing w:val="6"/>
              </w:rPr>
              <w:t>工程名称</w:t>
            </w:r>
          </w:p>
        </w:tc>
        <w:tc>
          <w:tcPr>
            <w:tcW w:w="2455" w:type="dxa"/>
            <w:tcBorders>
              <w:top w:val="single" w:color="000000" w:sz="4" w:space="0"/>
            </w:tcBorders>
            <w:vAlign w:val="top"/>
          </w:tcPr>
          <w:p w14:paraId="336318BF">
            <w:pPr>
              <w:spacing w:line="258" w:lineRule="auto"/>
              <w:rPr>
                <w:rFonts w:ascii="Arial"/>
                <w:sz w:val="21"/>
              </w:rPr>
            </w:pPr>
          </w:p>
          <w:p w14:paraId="499E9711">
            <w:pPr>
              <w:pStyle w:val="6"/>
              <w:spacing w:before="65" w:line="228" w:lineRule="auto"/>
              <w:ind w:left="815"/>
            </w:pPr>
            <w:r>
              <w:rPr>
                <w:spacing w:val="6"/>
              </w:rPr>
              <w:t>工程内容</w:t>
            </w:r>
          </w:p>
        </w:tc>
        <w:tc>
          <w:tcPr>
            <w:tcW w:w="2482" w:type="dxa"/>
            <w:tcBorders>
              <w:top w:val="single" w:color="000000" w:sz="4" w:space="0"/>
            </w:tcBorders>
            <w:vAlign w:val="top"/>
          </w:tcPr>
          <w:p w14:paraId="7541E810">
            <w:pPr>
              <w:spacing w:line="259" w:lineRule="auto"/>
              <w:rPr>
                <w:rFonts w:ascii="Arial"/>
                <w:sz w:val="21"/>
              </w:rPr>
            </w:pPr>
          </w:p>
          <w:p w14:paraId="6E63504C">
            <w:pPr>
              <w:pStyle w:val="6"/>
              <w:spacing w:before="65" w:line="226" w:lineRule="auto"/>
              <w:ind w:left="519"/>
            </w:pPr>
            <w:r>
              <w:rPr>
                <w:spacing w:val="6"/>
              </w:rPr>
              <w:t>暂估金额（元）</w:t>
            </w:r>
          </w:p>
        </w:tc>
        <w:tc>
          <w:tcPr>
            <w:tcW w:w="1161" w:type="dxa"/>
            <w:tcBorders>
              <w:top w:val="single" w:color="000000" w:sz="4" w:space="0"/>
              <w:right w:val="single" w:color="000000" w:sz="4" w:space="0"/>
            </w:tcBorders>
            <w:vAlign w:val="top"/>
          </w:tcPr>
          <w:p w14:paraId="4CB62564">
            <w:pPr>
              <w:spacing w:line="259" w:lineRule="auto"/>
              <w:rPr>
                <w:rFonts w:ascii="Arial"/>
                <w:sz w:val="21"/>
              </w:rPr>
            </w:pPr>
          </w:p>
          <w:p w14:paraId="67177420">
            <w:pPr>
              <w:pStyle w:val="6"/>
              <w:spacing w:before="65" w:line="229" w:lineRule="auto"/>
              <w:ind w:left="378"/>
            </w:pPr>
            <w:r>
              <w:rPr>
                <w:spacing w:val="3"/>
              </w:rPr>
              <w:t>备注</w:t>
            </w:r>
          </w:p>
        </w:tc>
      </w:tr>
      <w:tr w14:paraId="5814D9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847" w:type="dxa"/>
            <w:tcBorders>
              <w:left w:val="single" w:color="000000" w:sz="4" w:space="0"/>
            </w:tcBorders>
            <w:vAlign w:val="top"/>
          </w:tcPr>
          <w:p w14:paraId="3B16E958">
            <w:pPr>
              <w:rPr>
                <w:rFonts w:ascii="Arial"/>
                <w:sz w:val="21"/>
              </w:rPr>
            </w:pPr>
          </w:p>
        </w:tc>
        <w:tc>
          <w:tcPr>
            <w:tcW w:w="1556" w:type="dxa"/>
            <w:vAlign w:val="top"/>
          </w:tcPr>
          <w:p w14:paraId="58A7C33D">
            <w:pPr>
              <w:rPr>
                <w:rFonts w:ascii="Arial"/>
                <w:sz w:val="21"/>
              </w:rPr>
            </w:pPr>
          </w:p>
        </w:tc>
        <w:tc>
          <w:tcPr>
            <w:tcW w:w="2455" w:type="dxa"/>
            <w:vAlign w:val="top"/>
          </w:tcPr>
          <w:p w14:paraId="5CECE898">
            <w:pPr>
              <w:rPr>
                <w:rFonts w:ascii="Arial"/>
                <w:sz w:val="21"/>
              </w:rPr>
            </w:pPr>
          </w:p>
        </w:tc>
        <w:tc>
          <w:tcPr>
            <w:tcW w:w="2482" w:type="dxa"/>
            <w:vAlign w:val="top"/>
          </w:tcPr>
          <w:p w14:paraId="2D69B796">
            <w:pPr>
              <w:rPr>
                <w:rFonts w:ascii="Arial"/>
                <w:sz w:val="21"/>
              </w:rPr>
            </w:pPr>
          </w:p>
        </w:tc>
        <w:tc>
          <w:tcPr>
            <w:tcW w:w="1161" w:type="dxa"/>
            <w:tcBorders>
              <w:right w:val="single" w:color="000000" w:sz="4" w:space="0"/>
            </w:tcBorders>
            <w:vAlign w:val="top"/>
          </w:tcPr>
          <w:p w14:paraId="2A55090E">
            <w:pPr>
              <w:rPr>
                <w:rFonts w:ascii="Arial"/>
                <w:sz w:val="21"/>
              </w:rPr>
            </w:pPr>
          </w:p>
        </w:tc>
      </w:tr>
      <w:tr w14:paraId="5AC483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847" w:type="dxa"/>
            <w:tcBorders>
              <w:left w:val="single" w:color="000000" w:sz="4" w:space="0"/>
              <w:bottom w:val="single" w:color="000000" w:sz="4" w:space="0"/>
            </w:tcBorders>
            <w:vAlign w:val="top"/>
          </w:tcPr>
          <w:p w14:paraId="6782DE3C">
            <w:pPr>
              <w:rPr>
                <w:rFonts w:ascii="Arial"/>
                <w:sz w:val="21"/>
              </w:rPr>
            </w:pPr>
          </w:p>
        </w:tc>
        <w:tc>
          <w:tcPr>
            <w:tcW w:w="1556" w:type="dxa"/>
            <w:vAlign w:val="top"/>
          </w:tcPr>
          <w:p w14:paraId="3F77E49F">
            <w:pPr>
              <w:rPr>
                <w:rFonts w:ascii="Arial"/>
                <w:sz w:val="21"/>
              </w:rPr>
            </w:pPr>
          </w:p>
        </w:tc>
        <w:tc>
          <w:tcPr>
            <w:tcW w:w="2455" w:type="dxa"/>
            <w:vAlign w:val="top"/>
          </w:tcPr>
          <w:p w14:paraId="2CA60031">
            <w:pPr>
              <w:rPr>
                <w:rFonts w:ascii="Arial"/>
                <w:sz w:val="21"/>
              </w:rPr>
            </w:pPr>
          </w:p>
        </w:tc>
        <w:tc>
          <w:tcPr>
            <w:tcW w:w="2482" w:type="dxa"/>
            <w:vAlign w:val="top"/>
          </w:tcPr>
          <w:p w14:paraId="3E564BA7">
            <w:pPr>
              <w:rPr>
                <w:rFonts w:ascii="Arial"/>
                <w:sz w:val="21"/>
              </w:rPr>
            </w:pPr>
          </w:p>
        </w:tc>
        <w:tc>
          <w:tcPr>
            <w:tcW w:w="1161" w:type="dxa"/>
            <w:tcBorders>
              <w:right w:val="single" w:color="000000" w:sz="4" w:space="0"/>
            </w:tcBorders>
            <w:vAlign w:val="top"/>
          </w:tcPr>
          <w:p w14:paraId="01F36624">
            <w:pPr>
              <w:rPr>
                <w:rFonts w:ascii="Arial"/>
                <w:sz w:val="21"/>
              </w:rPr>
            </w:pPr>
          </w:p>
        </w:tc>
      </w:tr>
      <w:tr w14:paraId="537E7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847" w:type="dxa"/>
            <w:tcBorders>
              <w:top w:val="single" w:color="000000" w:sz="4" w:space="0"/>
              <w:left w:val="single" w:color="000000" w:sz="4" w:space="0"/>
            </w:tcBorders>
            <w:vAlign w:val="top"/>
          </w:tcPr>
          <w:p w14:paraId="60795CA4">
            <w:pPr>
              <w:rPr>
                <w:rFonts w:ascii="Arial"/>
                <w:sz w:val="21"/>
              </w:rPr>
            </w:pPr>
          </w:p>
        </w:tc>
        <w:tc>
          <w:tcPr>
            <w:tcW w:w="1556" w:type="dxa"/>
            <w:vAlign w:val="top"/>
          </w:tcPr>
          <w:p w14:paraId="0F1339CA">
            <w:pPr>
              <w:rPr>
                <w:rFonts w:ascii="Arial"/>
                <w:sz w:val="21"/>
              </w:rPr>
            </w:pPr>
          </w:p>
        </w:tc>
        <w:tc>
          <w:tcPr>
            <w:tcW w:w="2455" w:type="dxa"/>
            <w:vAlign w:val="top"/>
          </w:tcPr>
          <w:p w14:paraId="1F5EA669">
            <w:pPr>
              <w:rPr>
                <w:rFonts w:ascii="Arial"/>
                <w:sz w:val="21"/>
              </w:rPr>
            </w:pPr>
          </w:p>
        </w:tc>
        <w:tc>
          <w:tcPr>
            <w:tcW w:w="2482" w:type="dxa"/>
            <w:vAlign w:val="top"/>
          </w:tcPr>
          <w:p w14:paraId="6A783E64">
            <w:pPr>
              <w:rPr>
                <w:rFonts w:ascii="Arial"/>
                <w:sz w:val="21"/>
              </w:rPr>
            </w:pPr>
          </w:p>
        </w:tc>
        <w:tc>
          <w:tcPr>
            <w:tcW w:w="1161" w:type="dxa"/>
            <w:tcBorders>
              <w:right w:val="single" w:color="000000" w:sz="4" w:space="0"/>
            </w:tcBorders>
            <w:vAlign w:val="top"/>
          </w:tcPr>
          <w:p w14:paraId="7624876D">
            <w:pPr>
              <w:rPr>
                <w:rFonts w:ascii="Arial"/>
                <w:sz w:val="21"/>
              </w:rPr>
            </w:pPr>
          </w:p>
        </w:tc>
      </w:tr>
      <w:tr w14:paraId="0CB2C6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847" w:type="dxa"/>
            <w:tcBorders>
              <w:left w:val="single" w:color="000000" w:sz="4" w:space="0"/>
            </w:tcBorders>
            <w:vAlign w:val="top"/>
          </w:tcPr>
          <w:p w14:paraId="738EDBAE">
            <w:pPr>
              <w:rPr>
                <w:rFonts w:ascii="Arial"/>
                <w:sz w:val="21"/>
              </w:rPr>
            </w:pPr>
          </w:p>
        </w:tc>
        <w:tc>
          <w:tcPr>
            <w:tcW w:w="1556" w:type="dxa"/>
            <w:vAlign w:val="top"/>
          </w:tcPr>
          <w:p w14:paraId="06FED0BE">
            <w:pPr>
              <w:rPr>
                <w:rFonts w:ascii="Arial"/>
                <w:sz w:val="21"/>
              </w:rPr>
            </w:pPr>
          </w:p>
        </w:tc>
        <w:tc>
          <w:tcPr>
            <w:tcW w:w="2455" w:type="dxa"/>
            <w:vAlign w:val="top"/>
          </w:tcPr>
          <w:p w14:paraId="51F5B89B">
            <w:pPr>
              <w:rPr>
                <w:rFonts w:ascii="Arial"/>
                <w:sz w:val="21"/>
              </w:rPr>
            </w:pPr>
          </w:p>
        </w:tc>
        <w:tc>
          <w:tcPr>
            <w:tcW w:w="2482" w:type="dxa"/>
            <w:vAlign w:val="top"/>
          </w:tcPr>
          <w:p w14:paraId="51B2DAFD">
            <w:pPr>
              <w:rPr>
                <w:rFonts w:ascii="Arial"/>
                <w:sz w:val="21"/>
              </w:rPr>
            </w:pPr>
          </w:p>
        </w:tc>
        <w:tc>
          <w:tcPr>
            <w:tcW w:w="1161" w:type="dxa"/>
            <w:tcBorders>
              <w:right w:val="single" w:color="000000" w:sz="4" w:space="0"/>
            </w:tcBorders>
            <w:vAlign w:val="top"/>
          </w:tcPr>
          <w:p w14:paraId="3A132290">
            <w:pPr>
              <w:rPr>
                <w:rFonts w:ascii="Arial"/>
                <w:sz w:val="21"/>
              </w:rPr>
            </w:pPr>
          </w:p>
        </w:tc>
      </w:tr>
      <w:tr w14:paraId="32607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847" w:type="dxa"/>
            <w:tcBorders>
              <w:left w:val="single" w:color="000000" w:sz="4" w:space="0"/>
            </w:tcBorders>
            <w:vAlign w:val="top"/>
          </w:tcPr>
          <w:p w14:paraId="35402C94">
            <w:pPr>
              <w:rPr>
                <w:rFonts w:ascii="Arial"/>
                <w:sz w:val="21"/>
              </w:rPr>
            </w:pPr>
          </w:p>
        </w:tc>
        <w:tc>
          <w:tcPr>
            <w:tcW w:w="1556" w:type="dxa"/>
            <w:vAlign w:val="top"/>
          </w:tcPr>
          <w:p w14:paraId="0A554571">
            <w:pPr>
              <w:rPr>
                <w:rFonts w:ascii="Arial"/>
                <w:sz w:val="21"/>
              </w:rPr>
            </w:pPr>
          </w:p>
        </w:tc>
        <w:tc>
          <w:tcPr>
            <w:tcW w:w="2455" w:type="dxa"/>
            <w:vAlign w:val="top"/>
          </w:tcPr>
          <w:p w14:paraId="3E452924">
            <w:pPr>
              <w:rPr>
                <w:rFonts w:ascii="Arial"/>
                <w:sz w:val="21"/>
              </w:rPr>
            </w:pPr>
          </w:p>
        </w:tc>
        <w:tc>
          <w:tcPr>
            <w:tcW w:w="2482" w:type="dxa"/>
            <w:vAlign w:val="top"/>
          </w:tcPr>
          <w:p w14:paraId="10D4C20A">
            <w:pPr>
              <w:rPr>
                <w:rFonts w:ascii="Arial"/>
                <w:sz w:val="21"/>
              </w:rPr>
            </w:pPr>
          </w:p>
        </w:tc>
        <w:tc>
          <w:tcPr>
            <w:tcW w:w="1161" w:type="dxa"/>
            <w:tcBorders>
              <w:right w:val="single" w:color="000000" w:sz="4" w:space="0"/>
            </w:tcBorders>
            <w:vAlign w:val="top"/>
          </w:tcPr>
          <w:p w14:paraId="58F145FC">
            <w:pPr>
              <w:rPr>
                <w:rFonts w:ascii="Arial"/>
                <w:sz w:val="21"/>
              </w:rPr>
            </w:pPr>
          </w:p>
        </w:tc>
      </w:tr>
      <w:tr w14:paraId="3716C7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847" w:type="dxa"/>
            <w:tcBorders>
              <w:left w:val="single" w:color="000000" w:sz="4" w:space="0"/>
            </w:tcBorders>
            <w:vAlign w:val="top"/>
          </w:tcPr>
          <w:p w14:paraId="136D26ED">
            <w:pPr>
              <w:rPr>
                <w:rFonts w:ascii="Arial"/>
                <w:sz w:val="21"/>
              </w:rPr>
            </w:pPr>
          </w:p>
        </w:tc>
        <w:tc>
          <w:tcPr>
            <w:tcW w:w="1556" w:type="dxa"/>
            <w:vAlign w:val="top"/>
          </w:tcPr>
          <w:p w14:paraId="5326A3F2">
            <w:pPr>
              <w:rPr>
                <w:rFonts w:ascii="Arial"/>
                <w:sz w:val="21"/>
              </w:rPr>
            </w:pPr>
          </w:p>
        </w:tc>
        <w:tc>
          <w:tcPr>
            <w:tcW w:w="2455" w:type="dxa"/>
            <w:vAlign w:val="top"/>
          </w:tcPr>
          <w:p w14:paraId="06C54B26">
            <w:pPr>
              <w:rPr>
                <w:rFonts w:ascii="Arial"/>
                <w:sz w:val="21"/>
              </w:rPr>
            </w:pPr>
          </w:p>
        </w:tc>
        <w:tc>
          <w:tcPr>
            <w:tcW w:w="2482" w:type="dxa"/>
            <w:vAlign w:val="top"/>
          </w:tcPr>
          <w:p w14:paraId="42144F20">
            <w:pPr>
              <w:rPr>
                <w:rFonts w:ascii="Arial"/>
                <w:sz w:val="21"/>
              </w:rPr>
            </w:pPr>
          </w:p>
        </w:tc>
        <w:tc>
          <w:tcPr>
            <w:tcW w:w="1161" w:type="dxa"/>
            <w:tcBorders>
              <w:right w:val="single" w:color="000000" w:sz="4" w:space="0"/>
            </w:tcBorders>
            <w:vAlign w:val="top"/>
          </w:tcPr>
          <w:p w14:paraId="01315F2D">
            <w:pPr>
              <w:rPr>
                <w:rFonts w:ascii="Arial"/>
                <w:sz w:val="21"/>
              </w:rPr>
            </w:pPr>
          </w:p>
        </w:tc>
      </w:tr>
      <w:tr w14:paraId="3331DF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847" w:type="dxa"/>
            <w:tcBorders>
              <w:left w:val="single" w:color="000000" w:sz="4" w:space="0"/>
            </w:tcBorders>
            <w:vAlign w:val="top"/>
          </w:tcPr>
          <w:p w14:paraId="2B5A9003">
            <w:pPr>
              <w:rPr>
                <w:rFonts w:ascii="Arial"/>
                <w:sz w:val="21"/>
              </w:rPr>
            </w:pPr>
          </w:p>
        </w:tc>
        <w:tc>
          <w:tcPr>
            <w:tcW w:w="1556" w:type="dxa"/>
            <w:vAlign w:val="top"/>
          </w:tcPr>
          <w:p w14:paraId="30F67167">
            <w:pPr>
              <w:rPr>
                <w:rFonts w:ascii="Arial"/>
                <w:sz w:val="21"/>
              </w:rPr>
            </w:pPr>
          </w:p>
        </w:tc>
        <w:tc>
          <w:tcPr>
            <w:tcW w:w="2455" w:type="dxa"/>
            <w:vAlign w:val="top"/>
          </w:tcPr>
          <w:p w14:paraId="32D0ECA8">
            <w:pPr>
              <w:rPr>
                <w:rFonts w:ascii="Arial"/>
                <w:sz w:val="21"/>
              </w:rPr>
            </w:pPr>
          </w:p>
        </w:tc>
        <w:tc>
          <w:tcPr>
            <w:tcW w:w="2482" w:type="dxa"/>
            <w:vAlign w:val="top"/>
          </w:tcPr>
          <w:p w14:paraId="66526DF0">
            <w:pPr>
              <w:rPr>
                <w:rFonts w:ascii="Arial"/>
                <w:sz w:val="21"/>
              </w:rPr>
            </w:pPr>
          </w:p>
        </w:tc>
        <w:tc>
          <w:tcPr>
            <w:tcW w:w="1161" w:type="dxa"/>
            <w:tcBorders>
              <w:right w:val="single" w:color="000000" w:sz="4" w:space="0"/>
            </w:tcBorders>
            <w:vAlign w:val="top"/>
          </w:tcPr>
          <w:p w14:paraId="06778DFC">
            <w:pPr>
              <w:rPr>
                <w:rFonts w:ascii="Arial"/>
                <w:sz w:val="21"/>
              </w:rPr>
            </w:pPr>
          </w:p>
        </w:tc>
      </w:tr>
      <w:tr w14:paraId="73656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847" w:type="dxa"/>
            <w:tcBorders>
              <w:left w:val="single" w:color="000000" w:sz="4" w:space="0"/>
            </w:tcBorders>
            <w:vAlign w:val="top"/>
          </w:tcPr>
          <w:p w14:paraId="16D0B8E5">
            <w:pPr>
              <w:rPr>
                <w:rFonts w:ascii="Arial"/>
                <w:sz w:val="21"/>
              </w:rPr>
            </w:pPr>
          </w:p>
        </w:tc>
        <w:tc>
          <w:tcPr>
            <w:tcW w:w="1556" w:type="dxa"/>
            <w:vAlign w:val="top"/>
          </w:tcPr>
          <w:p w14:paraId="73A47E19">
            <w:pPr>
              <w:rPr>
                <w:rFonts w:ascii="Arial"/>
                <w:sz w:val="21"/>
              </w:rPr>
            </w:pPr>
          </w:p>
        </w:tc>
        <w:tc>
          <w:tcPr>
            <w:tcW w:w="2455" w:type="dxa"/>
            <w:vAlign w:val="top"/>
          </w:tcPr>
          <w:p w14:paraId="571417B8">
            <w:pPr>
              <w:rPr>
                <w:rFonts w:ascii="Arial"/>
                <w:sz w:val="21"/>
              </w:rPr>
            </w:pPr>
          </w:p>
        </w:tc>
        <w:tc>
          <w:tcPr>
            <w:tcW w:w="2482" w:type="dxa"/>
            <w:vAlign w:val="top"/>
          </w:tcPr>
          <w:p w14:paraId="0DC1E96F">
            <w:pPr>
              <w:rPr>
                <w:rFonts w:ascii="Arial"/>
                <w:sz w:val="21"/>
              </w:rPr>
            </w:pPr>
          </w:p>
        </w:tc>
        <w:tc>
          <w:tcPr>
            <w:tcW w:w="1161" w:type="dxa"/>
            <w:tcBorders>
              <w:right w:val="single" w:color="000000" w:sz="4" w:space="0"/>
            </w:tcBorders>
            <w:vAlign w:val="top"/>
          </w:tcPr>
          <w:p w14:paraId="3AE4AB43">
            <w:pPr>
              <w:rPr>
                <w:rFonts w:ascii="Arial"/>
                <w:sz w:val="21"/>
              </w:rPr>
            </w:pPr>
          </w:p>
        </w:tc>
      </w:tr>
      <w:tr w14:paraId="438BB1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847" w:type="dxa"/>
            <w:tcBorders>
              <w:left w:val="single" w:color="000000" w:sz="4" w:space="0"/>
            </w:tcBorders>
            <w:vAlign w:val="top"/>
          </w:tcPr>
          <w:p w14:paraId="2B7143D6">
            <w:pPr>
              <w:rPr>
                <w:rFonts w:ascii="Arial"/>
                <w:sz w:val="21"/>
              </w:rPr>
            </w:pPr>
          </w:p>
        </w:tc>
        <w:tc>
          <w:tcPr>
            <w:tcW w:w="1556" w:type="dxa"/>
            <w:vAlign w:val="top"/>
          </w:tcPr>
          <w:p w14:paraId="43B990BA">
            <w:pPr>
              <w:rPr>
                <w:rFonts w:ascii="Arial"/>
                <w:sz w:val="21"/>
              </w:rPr>
            </w:pPr>
          </w:p>
        </w:tc>
        <w:tc>
          <w:tcPr>
            <w:tcW w:w="2455" w:type="dxa"/>
            <w:vAlign w:val="top"/>
          </w:tcPr>
          <w:p w14:paraId="46F81F2F">
            <w:pPr>
              <w:rPr>
                <w:rFonts w:ascii="Arial"/>
                <w:sz w:val="21"/>
              </w:rPr>
            </w:pPr>
          </w:p>
        </w:tc>
        <w:tc>
          <w:tcPr>
            <w:tcW w:w="2482" w:type="dxa"/>
            <w:vAlign w:val="top"/>
          </w:tcPr>
          <w:p w14:paraId="3595ACBD">
            <w:pPr>
              <w:rPr>
                <w:rFonts w:ascii="Arial"/>
                <w:sz w:val="21"/>
              </w:rPr>
            </w:pPr>
          </w:p>
        </w:tc>
        <w:tc>
          <w:tcPr>
            <w:tcW w:w="1161" w:type="dxa"/>
            <w:tcBorders>
              <w:right w:val="single" w:color="000000" w:sz="4" w:space="0"/>
            </w:tcBorders>
            <w:vAlign w:val="top"/>
          </w:tcPr>
          <w:p w14:paraId="503AFD9D">
            <w:pPr>
              <w:rPr>
                <w:rFonts w:ascii="Arial"/>
                <w:sz w:val="21"/>
              </w:rPr>
            </w:pPr>
          </w:p>
        </w:tc>
      </w:tr>
      <w:tr w14:paraId="45D69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847" w:type="dxa"/>
            <w:tcBorders>
              <w:left w:val="single" w:color="000000" w:sz="4" w:space="0"/>
            </w:tcBorders>
            <w:vAlign w:val="top"/>
          </w:tcPr>
          <w:p w14:paraId="4FAC21D9">
            <w:pPr>
              <w:rPr>
                <w:rFonts w:ascii="Arial"/>
                <w:sz w:val="21"/>
              </w:rPr>
            </w:pPr>
          </w:p>
        </w:tc>
        <w:tc>
          <w:tcPr>
            <w:tcW w:w="1556" w:type="dxa"/>
            <w:vAlign w:val="top"/>
          </w:tcPr>
          <w:p w14:paraId="56BB219F">
            <w:pPr>
              <w:rPr>
                <w:rFonts w:ascii="Arial"/>
                <w:sz w:val="21"/>
              </w:rPr>
            </w:pPr>
          </w:p>
        </w:tc>
        <w:tc>
          <w:tcPr>
            <w:tcW w:w="2455" w:type="dxa"/>
            <w:vAlign w:val="top"/>
          </w:tcPr>
          <w:p w14:paraId="144ED06D">
            <w:pPr>
              <w:rPr>
                <w:rFonts w:ascii="Arial"/>
                <w:sz w:val="21"/>
              </w:rPr>
            </w:pPr>
          </w:p>
        </w:tc>
        <w:tc>
          <w:tcPr>
            <w:tcW w:w="2482" w:type="dxa"/>
            <w:vAlign w:val="top"/>
          </w:tcPr>
          <w:p w14:paraId="7BFDD558">
            <w:pPr>
              <w:rPr>
                <w:rFonts w:ascii="Arial"/>
                <w:sz w:val="21"/>
              </w:rPr>
            </w:pPr>
          </w:p>
        </w:tc>
        <w:tc>
          <w:tcPr>
            <w:tcW w:w="1161" w:type="dxa"/>
            <w:tcBorders>
              <w:right w:val="single" w:color="000000" w:sz="4" w:space="0"/>
            </w:tcBorders>
            <w:vAlign w:val="top"/>
          </w:tcPr>
          <w:p w14:paraId="1FBCA03A">
            <w:pPr>
              <w:rPr>
                <w:rFonts w:ascii="Arial"/>
                <w:sz w:val="21"/>
              </w:rPr>
            </w:pPr>
          </w:p>
        </w:tc>
      </w:tr>
      <w:tr w14:paraId="57626E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4858" w:type="dxa"/>
            <w:gridSpan w:val="3"/>
            <w:tcBorders>
              <w:left w:val="single" w:color="000000" w:sz="4" w:space="0"/>
              <w:bottom w:val="single" w:color="000000" w:sz="4" w:space="0"/>
            </w:tcBorders>
            <w:vAlign w:val="top"/>
          </w:tcPr>
          <w:p w14:paraId="573227F6">
            <w:pPr>
              <w:spacing w:line="264" w:lineRule="auto"/>
              <w:rPr>
                <w:rFonts w:ascii="Arial"/>
                <w:sz w:val="21"/>
              </w:rPr>
            </w:pPr>
          </w:p>
          <w:p w14:paraId="56C603C7">
            <w:pPr>
              <w:pStyle w:val="6"/>
              <w:spacing w:before="65" w:line="229" w:lineRule="auto"/>
              <w:ind w:left="2225"/>
            </w:pPr>
            <w:r>
              <w:rPr>
                <w:spacing w:val="4"/>
              </w:rPr>
              <w:t>合计</w:t>
            </w:r>
          </w:p>
        </w:tc>
        <w:tc>
          <w:tcPr>
            <w:tcW w:w="2482" w:type="dxa"/>
            <w:tcBorders>
              <w:bottom w:val="single" w:color="000000" w:sz="4" w:space="0"/>
            </w:tcBorders>
            <w:vAlign w:val="top"/>
          </w:tcPr>
          <w:p w14:paraId="7D8C2C36">
            <w:pPr>
              <w:rPr>
                <w:rFonts w:ascii="Arial"/>
                <w:sz w:val="21"/>
              </w:rPr>
            </w:pPr>
          </w:p>
        </w:tc>
        <w:tc>
          <w:tcPr>
            <w:tcW w:w="1161" w:type="dxa"/>
            <w:tcBorders>
              <w:bottom w:val="single" w:color="000000" w:sz="4" w:space="0"/>
              <w:right w:val="single" w:color="000000" w:sz="4" w:space="0"/>
            </w:tcBorders>
            <w:vAlign w:val="top"/>
          </w:tcPr>
          <w:p w14:paraId="12831588">
            <w:pPr>
              <w:rPr>
                <w:rFonts w:ascii="Arial"/>
                <w:sz w:val="21"/>
              </w:rPr>
            </w:pPr>
          </w:p>
        </w:tc>
      </w:tr>
    </w:tbl>
    <w:p w14:paraId="11716A21">
      <w:pPr>
        <w:spacing w:line="475" w:lineRule="auto"/>
        <w:rPr>
          <w:rFonts w:ascii="Arial"/>
          <w:sz w:val="21"/>
        </w:rPr>
      </w:pPr>
    </w:p>
    <w:p w14:paraId="288DBB4D">
      <w:pPr>
        <w:spacing w:before="65" w:line="254" w:lineRule="auto"/>
        <w:ind w:left="429" w:hanging="425"/>
        <w:rPr>
          <w:rFonts w:ascii="宋体" w:hAnsi="宋体" w:eastAsia="宋体" w:cs="宋体"/>
          <w:sz w:val="20"/>
          <w:szCs w:val="20"/>
        </w:rPr>
      </w:pPr>
      <w:r>
        <w:rPr>
          <w:rFonts w:ascii="宋体" w:hAnsi="宋体" w:eastAsia="宋体" w:cs="宋体"/>
          <w:spacing w:val="9"/>
          <w:sz w:val="20"/>
          <w:szCs w:val="20"/>
        </w:rPr>
        <w:t>注：此表“暂估金额</w:t>
      </w:r>
      <w:r>
        <w:rPr>
          <w:rFonts w:ascii="宋体" w:hAnsi="宋体" w:eastAsia="宋体" w:cs="宋体"/>
          <w:spacing w:val="-72"/>
          <w:sz w:val="20"/>
          <w:szCs w:val="20"/>
        </w:rPr>
        <w:t xml:space="preserve"> </w:t>
      </w:r>
      <w:r>
        <w:rPr>
          <w:rFonts w:ascii="宋体" w:hAnsi="宋体" w:eastAsia="宋体" w:cs="宋体"/>
          <w:spacing w:val="9"/>
          <w:sz w:val="20"/>
          <w:szCs w:val="20"/>
        </w:rPr>
        <w:t>”由招标人填写，投标</w:t>
      </w:r>
      <w:r>
        <w:rPr>
          <w:rFonts w:ascii="宋体" w:hAnsi="宋体" w:eastAsia="宋体" w:cs="宋体"/>
          <w:spacing w:val="8"/>
          <w:sz w:val="20"/>
          <w:szCs w:val="20"/>
        </w:rPr>
        <w:t>人应将“暂估金额</w:t>
      </w:r>
      <w:r>
        <w:rPr>
          <w:rFonts w:ascii="宋体" w:hAnsi="宋体" w:eastAsia="宋体" w:cs="宋体"/>
          <w:spacing w:val="-73"/>
          <w:sz w:val="20"/>
          <w:szCs w:val="20"/>
        </w:rPr>
        <w:t xml:space="preserve"> </w:t>
      </w:r>
      <w:r>
        <w:rPr>
          <w:rFonts w:ascii="宋体" w:hAnsi="宋体" w:eastAsia="宋体" w:cs="宋体"/>
          <w:spacing w:val="8"/>
          <w:sz w:val="20"/>
          <w:szCs w:val="20"/>
        </w:rPr>
        <w:t>”计入投标总价中。结算时按合同</w:t>
      </w:r>
      <w:r>
        <w:rPr>
          <w:rFonts w:ascii="宋体" w:hAnsi="宋体" w:eastAsia="宋体" w:cs="宋体"/>
          <w:spacing w:val="7"/>
          <w:sz w:val="20"/>
          <w:szCs w:val="20"/>
        </w:rPr>
        <w:t>约定结算金额填写。</w:t>
      </w:r>
    </w:p>
    <w:p w14:paraId="5ABA2E63">
      <w:pPr>
        <w:spacing w:line="254" w:lineRule="auto"/>
        <w:rPr>
          <w:rFonts w:ascii="宋体" w:hAnsi="宋体" w:eastAsia="宋体" w:cs="宋体"/>
          <w:sz w:val="20"/>
          <w:szCs w:val="20"/>
        </w:rPr>
        <w:sectPr>
          <w:footerReference r:id="rId464" w:type="default"/>
          <w:pgSz w:w="11907" w:h="16840"/>
          <w:pgMar w:top="400" w:right="1555" w:bottom="1105" w:left="1535" w:header="0" w:footer="943" w:gutter="0"/>
          <w:cols w:space="720" w:num="1"/>
        </w:sectPr>
      </w:pPr>
    </w:p>
    <w:p w14:paraId="6EF3DED6">
      <w:pPr>
        <w:spacing w:line="264" w:lineRule="auto"/>
        <w:rPr>
          <w:rFonts w:ascii="Arial"/>
          <w:sz w:val="21"/>
        </w:rPr>
      </w:pPr>
    </w:p>
    <w:p w14:paraId="1D24AB9B">
      <w:pPr>
        <w:spacing w:line="264" w:lineRule="auto"/>
        <w:rPr>
          <w:rFonts w:ascii="Arial"/>
          <w:sz w:val="21"/>
        </w:rPr>
      </w:pPr>
    </w:p>
    <w:p w14:paraId="50BA552A">
      <w:pPr>
        <w:pStyle w:val="2"/>
        <w:spacing w:before="91" w:line="224" w:lineRule="auto"/>
        <w:ind w:left="3857"/>
        <w:outlineLvl w:val="3"/>
        <w:rPr>
          <w:sz w:val="28"/>
          <w:szCs w:val="28"/>
        </w:rPr>
      </w:pPr>
      <w:bookmarkStart w:id="370" w:name="bookmark352"/>
      <w:bookmarkEnd w:id="370"/>
      <w:r>
        <w:rPr>
          <w:spacing w:val="-3"/>
          <w:sz w:val="28"/>
          <w:szCs w:val="28"/>
        </w:rPr>
        <w:t>计日工表</w:t>
      </w:r>
    </w:p>
    <w:p w14:paraId="32C7FF53">
      <w:pPr>
        <w:spacing w:line="274" w:lineRule="auto"/>
        <w:rPr>
          <w:rFonts w:ascii="Arial"/>
          <w:sz w:val="21"/>
        </w:rPr>
      </w:pPr>
    </w:p>
    <w:p w14:paraId="0506310F">
      <w:pPr>
        <w:spacing w:line="275" w:lineRule="auto"/>
        <w:rPr>
          <w:rFonts w:ascii="Arial"/>
          <w:sz w:val="21"/>
        </w:rPr>
      </w:pPr>
    </w:p>
    <w:p w14:paraId="70391C3E">
      <w:pPr>
        <w:spacing w:before="65" w:line="222" w:lineRule="auto"/>
        <w:ind w:left="6"/>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2"/>
          <w:sz w:val="20"/>
          <w:szCs w:val="20"/>
        </w:rPr>
        <w:t xml:space="preserve">                          </w:t>
      </w:r>
      <w:r>
        <w:rPr>
          <w:rFonts w:ascii="宋体" w:hAnsi="宋体" w:eastAsia="宋体" w:cs="宋体"/>
          <w:spacing w:val="4"/>
          <w:sz w:val="20"/>
          <w:szCs w:val="20"/>
        </w:rPr>
        <w:t>标段名称：</w:t>
      </w:r>
      <w:r>
        <w:rPr>
          <w:rFonts w:ascii="宋体" w:hAnsi="宋体" w:eastAsia="宋体" w:cs="宋体"/>
          <w:spacing w:val="6"/>
          <w:sz w:val="20"/>
          <w:szCs w:val="20"/>
        </w:rPr>
        <w:t xml:space="preserve">              </w:t>
      </w:r>
      <w:r>
        <w:rPr>
          <w:rFonts w:ascii="宋体" w:hAnsi="宋体" w:eastAsia="宋体" w:cs="宋体"/>
          <w:spacing w:val="4"/>
          <w:sz w:val="20"/>
          <w:szCs w:val="20"/>
        </w:rPr>
        <w:t>第  页</w:t>
      </w:r>
      <w:r>
        <w:rPr>
          <w:rFonts w:ascii="宋体" w:hAnsi="宋体" w:eastAsia="宋体" w:cs="宋体"/>
          <w:spacing w:val="15"/>
          <w:sz w:val="20"/>
          <w:szCs w:val="20"/>
        </w:rPr>
        <w:t xml:space="preserve">  </w:t>
      </w:r>
      <w:r>
        <w:rPr>
          <w:rFonts w:ascii="宋体" w:hAnsi="宋体" w:eastAsia="宋体" w:cs="宋体"/>
          <w:spacing w:val="4"/>
          <w:sz w:val="20"/>
          <w:szCs w:val="20"/>
        </w:rPr>
        <w:t>共</w:t>
      </w:r>
      <w:r>
        <w:rPr>
          <w:rFonts w:ascii="宋体" w:hAnsi="宋体" w:eastAsia="宋体" w:cs="宋体"/>
          <w:spacing w:val="12"/>
          <w:sz w:val="20"/>
          <w:szCs w:val="20"/>
        </w:rPr>
        <w:t xml:space="preserve">  </w:t>
      </w:r>
      <w:r>
        <w:rPr>
          <w:rFonts w:ascii="宋体" w:hAnsi="宋体" w:eastAsia="宋体" w:cs="宋体"/>
          <w:spacing w:val="4"/>
          <w:sz w:val="20"/>
          <w:szCs w:val="20"/>
        </w:rPr>
        <w:t>页</w:t>
      </w:r>
    </w:p>
    <w:tbl>
      <w:tblPr>
        <w:tblStyle w:val="5"/>
        <w:tblW w:w="8736" w:type="dxa"/>
        <w:tblInd w:w="3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9"/>
        <w:gridCol w:w="1915"/>
        <w:gridCol w:w="714"/>
        <w:gridCol w:w="903"/>
        <w:gridCol w:w="900"/>
        <w:gridCol w:w="1214"/>
        <w:gridCol w:w="1133"/>
        <w:gridCol w:w="1168"/>
      </w:tblGrid>
      <w:tr w14:paraId="476AF2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789" w:type="dxa"/>
            <w:vMerge w:val="restart"/>
            <w:tcBorders>
              <w:top w:val="single" w:color="000000" w:sz="4" w:space="0"/>
              <w:left w:val="single" w:color="000000" w:sz="4" w:space="0"/>
              <w:bottom w:val="nil"/>
            </w:tcBorders>
            <w:vAlign w:val="top"/>
          </w:tcPr>
          <w:p w14:paraId="57200288">
            <w:pPr>
              <w:spacing w:line="317" w:lineRule="auto"/>
              <w:rPr>
                <w:rFonts w:ascii="Arial"/>
                <w:sz w:val="21"/>
              </w:rPr>
            </w:pPr>
          </w:p>
          <w:p w14:paraId="7D161919">
            <w:pPr>
              <w:pStyle w:val="6"/>
              <w:spacing w:before="65" w:line="228" w:lineRule="auto"/>
              <w:ind w:left="187"/>
            </w:pPr>
            <w:r>
              <w:rPr>
                <w:spacing w:val="3"/>
              </w:rPr>
              <w:t>编号</w:t>
            </w:r>
          </w:p>
        </w:tc>
        <w:tc>
          <w:tcPr>
            <w:tcW w:w="1915" w:type="dxa"/>
            <w:vMerge w:val="restart"/>
            <w:tcBorders>
              <w:top w:val="single" w:color="000000" w:sz="4" w:space="0"/>
              <w:bottom w:val="nil"/>
              <w:right w:val="single" w:color="000000" w:sz="4" w:space="0"/>
            </w:tcBorders>
            <w:vAlign w:val="top"/>
          </w:tcPr>
          <w:p w14:paraId="499E9EA8">
            <w:pPr>
              <w:spacing w:line="318" w:lineRule="auto"/>
              <w:rPr>
                <w:rFonts w:ascii="Arial"/>
                <w:sz w:val="21"/>
              </w:rPr>
            </w:pPr>
          </w:p>
          <w:p w14:paraId="49ECDCBF">
            <w:pPr>
              <w:pStyle w:val="6"/>
              <w:spacing w:before="65" w:line="228" w:lineRule="auto"/>
              <w:ind w:left="542"/>
            </w:pPr>
            <w:r>
              <w:rPr>
                <w:spacing w:val="6"/>
              </w:rPr>
              <w:t>项目名称</w:t>
            </w:r>
          </w:p>
        </w:tc>
        <w:tc>
          <w:tcPr>
            <w:tcW w:w="714" w:type="dxa"/>
            <w:vMerge w:val="restart"/>
            <w:tcBorders>
              <w:top w:val="single" w:color="000000" w:sz="4" w:space="0"/>
              <w:left w:val="single" w:color="000000" w:sz="4" w:space="0"/>
              <w:bottom w:val="nil"/>
            </w:tcBorders>
            <w:vAlign w:val="top"/>
          </w:tcPr>
          <w:p w14:paraId="070719FE">
            <w:pPr>
              <w:spacing w:line="318" w:lineRule="auto"/>
              <w:rPr>
                <w:rFonts w:ascii="Arial"/>
                <w:sz w:val="21"/>
              </w:rPr>
            </w:pPr>
          </w:p>
          <w:p w14:paraId="30C03807">
            <w:pPr>
              <w:pStyle w:val="6"/>
              <w:spacing w:before="65" w:line="228" w:lineRule="auto"/>
              <w:ind w:left="150"/>
            </w:pPr>
            <w:r>
              <w:rPr>
                <w:spacing w:val="3"/>
              </w:rPr>
              <w:t>单位</w:t>
            </w:r>
          </w:p>
        </w:tc>
        <w:tc>
          <w:tcPr>
            <w:tcW w:w="903" w:type="dxa"/>
            <w:vMerge w:val="restart"/>
            <w:tcBorders>
              <w:top w:val="single" w:color="000000" w:sz="4" w:space="0"/>
              <w:bottom w:val="nil"/>
              <w:right w:val="single" w:color="000000" w:sz="4" w:space="0"/>
            </w:tcBorders>
            <w:vAlign w:val="top"/>
          </w:tcPr>
          <w:p w14:paraId="4DCF79B2">
            <w:pPr>
              <w:pStyle w:val="6"/>
              <w:spacing w:before="248" w:line="254" w:lineRule="auto"/>
              <w:ind w:left="247" w:right="240" w:firstLine="4"/>
            </w:pPr>
            <w:r>
              <w:rPr>
                <w:spacing w:val="1"/>
              </w:rPr>
              <w:t>暂定</w:t>
            </w:r>
            <w:r>
              <w:rPr>
                <w:spacing w:val="3"/>
              </w:rPr>
              <w:t>数量</w:t>
            </w:r>
          </w:p>
        </w:tc>
        <w:tc>
          <w:tcPr>
            <w:tcW w:w="900" w:type="dxa"/>
            <w:vMerge w:val="restart"/>
            <w:tcBorders>
              <w:top w:val="single" w:color="000000" w:sz="4" w:space="0"/>
              <w:left w:val="single" w:color="000000" w:sz="4" w:space="0"/>
              <w:bottom w:val="nil"/>
            </w:tcBorders>
            <w:vAlign w:val="top"/>
          </w:tcPr>
          <w:p w14:paraId="43676D6A">
            <w:pPr>
              <w:pStyle w:val="6"/>
              <w:spacing w:before="248" w:line="254" w:lineRule="auto"/>
              <w:ind w:left="244" w:right="240" w:firstLine="3"/>
            </w:pPr>
            <w:r>
              <w:rPr>
                <w:spacing w:val="2"/>
              </w:rPr>
              <w:t>实际</w:t>
            </w:r>
            <w:r>
              <w:rPr>
                <w:spacing w:val="3"/>
              </w:rPr>
              <w:t>数量</w:t>
            </w:r>
          </w:p>
        </w:tc>
        <w:tc>
          <w:tcPr>
            <w:tcW w:w="1214" w:type="dxa"/>
            <w:vMerge w:val="restart"/>
            <w:tcBorders>
              <w:top w:val="single" w:color="000000" w:sz="4" w:space="0"/>
              <w:bottom w:val="nil"/>
            </w:tcBorders>
            <w:vAlign w:val="top"/>
          </w:tcPr>
          <w:p w14:paraId="68BB4F5F">
            <w:pPr>
              <w:spacing w:line="318" w:lineRule="auto"/>
              <w:rPr>
                <w:rFonts w:ascii="Arial"/>
                <w:sz w:val="21"/>
              </w:rPr>
            </w:pPr>
          </w:p>
          <w:p w14:paraId="633DAC17">
            <w:pPr>
              <w:pStyle w:val="6"/>
              <w:spacing w:before="65" w:line="226" w:lineRule="auto"/>
              <w:ind w:left="117"/>
            </w:pPr>
            <w:r>
              <w:rPr>
                <w:spacing w:val="5"/>
              </w:rPr>
              <w:t>单价（元）</w:t>
            </w:r>
          </w:p>
        </w:tc>
        <w:tc>
          <w:tcPr>
            <w:tcW w:w="2301" w:type="dxa"/>
            <w:gridSpan w:val="2"/>
            <w:tcBorders>
              <w:top w:val="single" w:color="000000" w:sz="4" w:space="0"/>
              <w:right w:val="single" w:color="000000" w:sz="4" w:space="0"/>
            </w:tcBorders>
            <w:vAlign w:val="top"/>
          </w:tcPr>
          <w:p w14:paraId="2BB81AB6">
            <w:pPr>
              <w:pStyle w:val="6"/>
              <w:spacing w:before="140" w:line="226" w:lineRule="auto"/>
              <w:ind w:left="632"/>
            </w:pPr>
            <w:r>
              <w:rPr>
                <w:spacing w:val="5"/>
              </w:rPr>
              <w:t>合价（元）</w:t>
            </w:r>
          </w:p>
        </w:tc>
      </w:tr>
      <w:tr w14:paraId="23224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789" w:type="dxa"/>
            <w:vMerge w:val="continue"/>
            <w:tcBorders>
              <w:top w:val="nil"/>
              <w:left w:val="single" w:color="000000" w:sz="4" w:space="0"/>
            </w:tcBorders>
            <w:vAlign w:val="top"/>
          </w:tcPr>
          <w:p w14:paraId="66AE5CC5">
            <w:pPr>
              <w:rPr>
                <w:rFonts w:ascii="Arial"/>
                <w:sz w:val="21"/>
              </w:rPr>
            </w:pPr>
          </w:p>
        </w:tc>
        <w:tc>
          <w:tcPr>
            <w:tcW w:w="1915" w:type="dxa"/>
            <w:vMerge w:val="continue"/>
            <w:tcBorders>
              <w:top w:val="nil"/>
              <w:right w:val="single" w:color="000000" w:sz="4" w:space="0"/>
            </w:tcBorders>
            <w:vAlign w:val="top"/>
          </w:tcPr>
          <w:p w14:paraId="5CAE39C8">
            <w:pPr>
              <w:rPr>
                <w:rFonts w:ascii="Arial"/>
                <w:sz w:val="21"/>
              </w:rPr>
            </w:pPr>
          </w:p>
        </w:tc>
        <w:tc>
          <w:tcPr>
            <w:tcW w:w="714" w:type="dxa"/>
            <w:vMerge w:val="continue"/>
            <w:tcBorders>
              <w:top w:val="nil"/>
              <w:left w:val="single" w:color="000000" w:sz="4" w:space="0"/>
            </w:tcBorders>
            <w:vAlign w:val="top"/>
          </w:tcPr>
          <w:p w14:paraId="1C7DEAA5">
            <w:pPr>
              <w:rPr>
                <w:rFonts w:ascii="Arial"/>
                <w:sz w:val="21"/>
              </w:rPr>
            </w:pPr>
          </w:p>
        </w:tc>
        <w:tc>
          <w:tcPr>
            <w:tcW w:w="903" w:type="dxa"/>
            <w:vMerge w:val="continue"/>
            <w:tcBorders>
              <w:top w:val="nil"/>
              <w:right w:val="single" w:color="000000" w:sz="4" w:space="0"/>
            </w:tcBorders>
            <w:vAlign w:val="top"/>
          </w:tcPr>
          <w:p w14:paraId="5A20F48E">
            <w:pPr>
              <w:rPr>
                <w:rFonts w:ascii="Arial"/>
                <w:sz w:val="21"/>
              </w:rPr>
            </w:pPr>
          </w:p>
        </w:tc>
        <w:tc>
          <w:tcPr>
            <w:tcW w:w="900" w:type="dxa"/>
            <w:vMerge w:val="continue"/>
            <w:tcBorders>
              <w:top w:val="nil"/>
              <w:left w:val="single" w:color="000000" w:sz="4" w:space="0"/>
            </w:tcBorders>
            <w:vAlign w:val="top"/>
          </w:tcPr>
          <w:p w14:paraId="19727915">
            <w:pPr>
              <w:rPr>
                <w:rFonts w:ascii="Arial"/>
                <w:sz w:val="21"/>
              </w:rPr>
            </w:pPr>
          </w:p>
        </w:tc>
        <w:tc>
          <w:tcPr>
            <w:tcW w:w="1214" w:type="dxa"/>
            <w:vMerge w:val="continue"/>
            <w:tcBorders>
              <w:top w:val="nil"/>
            </w:tcBorders>
            <w:vAlign w:val="top"/>
          </w:tcPr>
          <w:p w14:paraId="5843A891">
            <w:pPr>
              <w:rPr>
                <w:rFonts w:ascii="Arial"/>
                <w:sz w:val="21"/>
              </w:rPr>
            </w:pPr>
          </w:p>
        </w:tc>
        <w:tc>
          <w:tcPr>
            <w:tcW w:w="1133" w:type="dxa"/>
            <w:vAlign w:val="top"/>
          </w:tcPr>
          <w:p w14:paraId="17DEE56F">
            <w:pPr>
              <w:pStyle w:val="6"/>
              <w:spacing w:before="136" w:line="228" w:lineRule="auto"/>
              <w:ind w:left="372"/>
            </w:pPr>
            <w:r>
              <w:rPr>
                <w:spacing w:val="1"/>
              </w:rPr>
              <w:t>暂定</w:t>
            </w:r>
          </w:p>
        </w:tc>
        <w:tc>
          <w:tcPr>
            <w:tcW w:w="1168" w:type="dxa"/>
            <w:tcBorders>
              <w:right w:val="single" w:color="000000" w:sz="4" w:space="0"/>
            </w:tcBorders>
            <w:vAlign w:val="top"/>
          </w:tcPr>
          <w:p w14:paraId="0F7F992C">
            <w:pPr>
              <w:pStyle w:val="6"/>
              <w:spacing w:before="136" w:line="228" w:lineRule="auto"/>
              <w:ind w:left="384"/>
            </w:pPr>
            <w:r>
              <w:rPr>
                <w:spacing w:val="2"/>
              </w:rPr>
              <w:t>实际</w:t>
            </w:r>
          </w:p>
        </w:tc>
      </w:tr>
      <w:tr w14:paraId="65EE0B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789" w:type="dxa"/>
            <w:tcBorders>
              <w:left w:val="single" w:color="000000" w:sz="4" w:space="0"/>
            </w:tcBorders>
            <w:vAlign w:val="top"/>
          </w:tcPr>
          <w:p w14:paraId="761CB5CB">
            <w:pPr>
              <w:spacing w:before="226" w:line="145" w:lineRule="exact"/>
              <w:ind w:left="295"/>
              <w:rPr>
                <w:rFonts w:ascii="黑体" w:hAnsi="黑体" w:eastAsia="黑体" w:cs="黑体"/>
                <w:sz w:val="20"/>
                <w:szCs w:val="20"/>
              </w:rPr>
            </w:pPr>
            <w:r>
              <w:rPr>
                <w:rFonts w:ascii="黑体" w:hAnsi="黑体" w:eastAsia="黑体" w:cs="黑体"/>
                <w:position w:val="-3"/>
                <w:sz w:val="20"/>
                <w:szCs w:val="20"/>
              </w:rPr>
              <w:t>一</w:t>
            </w:r>
          </w:p>
        </w:tc>
        <w:tc>
          <w:tcPr>
            <w:tcW w:w="1915" w:type="dxa"/>
            <w:tcBorders>
              <w:right w:val="single" w:color="000000" w:sz="4" w:space="0"/>
            </w:tcBorders>
            <w:vAlign w:val="top"/>
          </w:tcPr>
          <w:p w14:paraId="52056475">
            <w:pPr>
              <w:pStyle w:val="6"/>
              <w:spacing w:before="135" w:line="231" w:lineRule="auto"/>
              <w:ind w:left="752"/>
            </w:pPr>
            <w:r>
              <w:rPr>
                <w:spacing w:val="3"/>
              </w:rPr>
              <w:t>人工</w:t>
            </w:r>
          </w:p>
        </w:tc>
        <w:tc>
          <w:tcPr>
            <w:tcW w:w="714" w:type="dxa"/>
            <w:tcBorders>
              <w:left w:val="single" w:color="000000" w:sz="4" w:space="0"/>
            </w:tcBorders>
            <w:vAlign w:val="top"/>
          </w:tcPr>
          <w:p w14:paraId="2526FAE8">
            <w:pPr>
              <w:rPr>
                <w:rFonts w:ascii="Arial"/>
                <w:sz w:val="21"/>
              </w:rPr>
            </w:pPr>
          </w:p>
        </w:tc>
        <w:tc>
          <w:tcPr>
            <w:tcW w:w="903" w:type="dxa"/>
            <w:tcBorders>
              <w:right w:val="single" w:color="000000" w:sz="4" w:space="0"/>
            </w:tcBorders>
            <w:vAlign w:val="top"/>
          </w:tcPr>
          <w:p w14:paraId="7B6B257F">
            <w:pPr>
              <w:rPr>
                <w:rFonts w:ascii="Arial"/>
                <w:sz w:val="21"/>
              </w:rPr>
            </w:pPr>
          </w:p>
        </w:tc>
        <w:tc>
          <w:tcPr>
            <w:tcW w:w="900" w:type="dxa"/>
            <w:tcBorders>
              <w:left w:val="single" w:color="000000" w:sz="4" w:space="0"/>
            </w:tcBorders>
            <w:vAlign w:val="top"/>
          </w:tcPr>
          <w:p w14:paraId="1CC9732B">
            <w:pPr>
              <w:rPr>
                <w:rFonts w:ascii="Arial"/>
                <w:sz w:val="21"/>
              </w:rPr>
            </w:pPr>
          </w:p>
        </w:tc>
        <w:tc>
          <w:tcPr>
            <w:tcW w:w="1214" w:type="dxa"/>
            <w:vAlign w:val="top"/>
          </w:tcPr>
          <w:p w14:paraId="4B8B608B">
            <w:pPr>
              <w:rPr>
                <w:rFonts w:ascii="Arial"/>
                <w:sz w:val="21"/>
              </w:rPr>
            </w:pPr>
          </w:p>
        </w:tc>
        <w:tc>
          <w:tcPr>
            <w:tcW w:w="1133" w:type="dxa"/>
            <w:vAlign w:val="top"/>
          </w:tcPr>
          <w:p w14:paraId="54403770">
            <w:pPr>
              <w:rPr>
                <w:rFonts w:ascii="Arial"/>
                <w:sz w:val="21"/>
              </w:rPr>
            </w:pPr>
          </w:p>
        </w:tc>
        <w:tc>
          <w:tcPr>
            <w:tcW w:w="1168" w:type="dxa"/>
            <w:tcBorders>
              <w:right w:val="single" w:color="000000" w:sz="4" w:space="0"/>
            </w:tcBorders>
            <w:vAlign w:val="top"/>
          </w:tcPr>
          <w:p w14:paraId="3282FDA1">
            <w:pPr>
              <w:rPr>
                <w:rFonts w:ascii="Arial"/>
                <w:sz w:val="21"/>
              </w:rPr>
            </w:pPr>
          </w:p>
        </w:tc>
      </w:tr>
      <w:tr w14:paraId="583339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789" w:type="dxa"/>
            <w:tcBorders>
              <w:left w:val="single" w:color="000000" w:sz="4" w:space="0"/>
              <w:bottom w:val="single" w:color="000000" w:sz="4" w:space="0"/>
            </w:tcBorders>
            <w:vAlign w:val="top"/>
          </w:tcPr>
          <w:p w14:paraId="7D83744C">
            <w:pPr>
              <w:spacing w:before="136" w:line="275" w:lineRule="exact"/>
              <w:ind w:left="355"/>
              <w:rPr>
                <w:rFonts w:ascii="黑体" w:hAnsi="黑体" w:eastAsia="黑体" w:cs="黑体"/>
                <w:sz w:val="20"/>
                <w:szCs w:val="20"/>
              </w:rPr>
            </w:pPr>
            <w:r>
              <w:rPr>
                <w:rFonts w:ascii="黑体" w:hAnsi="黑体" w:eastAsia="黑体" w:cs="黑体"/>
                <w:position w:val="1"/>
                <w:sz w:val="20"/>
                <w:szCs w:val="20"/>
              </w:rPr>
              <w:t>1</w:t>
            </w:r>
          </w:p>
        </w:tc>
        <w:tc>
          <w:tcPr>
            <w:tcW w:w="1915" w:type="dxa"/>
            <w:tcBorders>
              <w:right w:val="single" w:color="000000" w:sz="4" w:space="0"/>
            </w:tcBorders>
            <w:vAlign w:val="top"/>
          </w:tcPr>
          <w:p w14:paraId="0E724C81">
            <w:pPr>
              <w:rPr>
                <w:rFonts w:ascii="Arial"/>
                <w:sz w:val="21"/>
              </w:rPr>
            </w:pPr>
          </w:p>
        </w:tc>
        <w:tc>
          <w:tcPr>
            <w:tcW w:w="714" w:type="dxa"/>
            <w:tcBorders>
              <w:left w:val="single" w:color="000000" w:sz="4" w:space="0"/>
            </w:tcBorders>
            <w:vAlign w:val="top"/>
          </w:tcPr>
          <w:p w14:paraId="522FBD55">
            <w:pPr>
              <w:rPr>
                <w:rFonts w:ascii="Arial"/>
                <w:sz w:val="21"/>
              </w:rPr>
            </w:pPr>
          </w:p>
        </w:tc>
        <w:tc>
          <w:tcPr>
            <w:tcW w:w="903" w:type="dxa"/>
            <w:tcBorders>
              <w:right w:val="single" w:color="000000" w:sz="4" w:space="0"/>
            </w:tcBorders>
            <w:vAlign w:val="top"/>
          </w:tcPr>
          <w:p w14:paraId="681928CA">
            <w:pPr>
              <w:rPr>
                <w:rFonts w:ascii="Arial"/>
                <w:sz w:val="21"/>
              </w:rPr>
            </w:pPr>
          </w:p>
        </w:tc>
        <w:tc>
          <w:tcPr>
            <w:tcW w:w="900" w:type="dxa"/>
            <w:tcBorders>
              <w:left w:val="single" w:color="000000" w:sz="4" w:space="0"/>
            </w:tcBorders>
            <w:vAlign w:val="top"/>
          </w:tcPr>
          <w:p w14:paraId="1EE2FAFD">
            <w:pPr>
              <w:rPr>
                <w:rFonts w:ascii="Arial"/>
                <w:sz w:val="21"/>
              </w:rPr>
            </w:pPr>
          </w:p>
        </w:tc>
        <w:tc>
          <w:tcPr>
            <w:tcW w:w="1214" w:type="dxa"/>
            <w:vAlign w:val="top"/>
          </w:tcPr>
          <w:p w14:paraId="3247ED29">
            <w:pPr>
              <w:rPr>
                <w:rFonts w:ascii="Arial"/>
                <w:sz w:val="21"/>
              </w:rPr>
            </w:pPr>
          </w:p>
        </w:tc>
        <w:tc>
          <w:tcPr>
            <w:tcW w:w="1133" w:type="dxa"/>
            <w:vAlign w:val="top"/>
          </w:tcPr>
          <w:p w14:paraId="3385D4C5">
            <w:pPr>
              <w:rPr>
                <w:rFonts w:ascii="Arial"/>
                <w:sz w:val="21"/>
              </w:rPr>
            </w:pPr>
          </w:p>
        </w:tc>
        <w:tc>
          <w:tcPr>
            <w:tcW w:w="1168" w:type="dxa"/>
            <w:tcBorders>
              <w:right w:val="single" w:color="000000" w:sz="4" w:space="0"/>
            </w:tcBorders>
            <w:vAlign w:val="top"/>
          </w:tcPr>
          <w:p w14:paraId="0A0461FA">
            <w:pPr>
              <w:rPr>
                <w:rFonts w:ascii="Arial"/>
                <w:sz w:val="21"/>
              </w:rPr>
            </w:pPr>
          </w:p>
        </w:tc>
      </w:tr>
      <w:tr w14:paraId="7CC7D7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789" w:type="dxa"/>
            <w:tcBorders>
              <w:top w:val="single" w:color="000000" w:sz="4" w:space="0"/>
              <w:left w:val="single" w:color="000000" w:sz="4" w:space="0"/>
            </w:tcBorders>
            <w:vAlign w:val="top"/>
          </w:tcPr>
          <w:p w14:paraId="11B555E6">
            <w:pPr>
              <w:spacing w:before="137" w:line="275" w:lineRule="exact"/>
              <w:ind w:left="342"/>
              <w:rPr>
                <w:rFonts w:ascii="黑体" w:hAnsi="黑体" w:eastAsia="黑体" w:cs="黑体"/>
                <w:sz w:val="20"/>
                <w:szCs w:val="20"/>
              </w:rPr>
            </w:pPr>
            <w:r>
              <w:rPr>
                <w:rFonts w:ascii="黑体" w:hAnsi="黑体" w:eastAsia="黑体" w:cs="黑体"/>
                <w:position w:val="1"/>
                <w:sz w:val="20"/>
                <w:szCs w:val="20"/>
              </w:rPr>
              <w:t>2</w:t>
            </w:r>
          </w:p>
        </w:tc>
        <w:tc>
          <w:tcPr>
            <w:tcW w:w="1915" w:type="dxa"/>
            <w:tcBorders>
              <w:right w:val="single" w:color="000000" w:sz="4" w:space="0"/>
            </w:tcBorders>
            <w:vAlign w:val="top"/>
          </w:tcPr>
          <w:p w14:paraId="3E42B06A">
            <w:pPr>
              <w:rPr>
                <w:rFonts w:ascii="Arial"/>
                <w:sz w:val="21"/>
              </w:rPr>
            </w:pPr>
          </w:p>
        </w:tc>
        <w:tc>
          <w:tcPr>
            <w:tcW w:w="714" w:type="dxa"/>
            <w:tcBorders>
              <w:left w:val="single" w:color="000000" w:sz="4" w:space="0"/>
            </w:tcBorders>
            <w:vAlign w:val="top"/>
          </w:tcPr>
          <w:p w14:paraId="0B24703C">
            <w:pPr>
              <w:rPr>
                <w:rFonts w:ascii="Arial"/>
                <w:sz w:val="21"/>
              </w:rPr>
            </w:pPr>
          </w:p>
        </w:tc>
        <w:tc>
          <w:tcPr>
            <w:tcW w:w="903" w:type="dxa"/>
            <w:tcBorders>
              <w:right w:val="single" w:color="000000" w:sz="4" w:space="0"/>
            </w:tcBorders>
            <w:vAlign w:val="top"/>
          </w:tcPr>
          <w:p w14:paraId="76A67853">
            <w:pPr>
              <w:rPr>
                <w:rFonts w:ascii="Arial"/>
                <w:sz w:val="21"/>
              </w:rPr>
            </w:pPr>
          </w:p>
        </w:tc>
        <w:tc>
          <w:tcPr>
            <w:tcW w:w="900" w:type="dxa"/>
            <w:tcBorders>
              <w:left w:val="single" w:color="000000" w:sz="4" w:space="0"/>
            </w:tcBorders>
            <w:vAlign w:val="top"/>
          </w:tcPr>
          <w:p w14:paraId="673066EC">
            <w:pPr>
              <w:rPr>
                <w:rFonts w:ascii="Arial"/>
                <w:sz w:val="21"/>
              </w:rPr>
            </w:pPr>
          </w:p>
        </w:tc>
        <w:tc>
          <w:tcPr>
            <w:tcW w:w="1214" w:type="dxa"/>
            <w:vAlign w:val="top"/>
          </w:tcPr>
          <w:p w14:paraId="24FE7A78">
            <w:pPr>
              <w:rPr>
                <w:rFonts w:ascii="Arial"/>
                <w:sz w:val="21"/>
              </w:rPr>
            </w:pPr>
          </w:p>
        </w:tc>
        <w:tc>
          <w:tcPr>
            <w:tcW w:w="1133" w:type="dxa"/>
            <w:vAlign w:val="top"/>
          </w:tcPr>
          <w:p w14:paraId="0F23E936">
            <w:pPr>
              <w:rPr>
                <w:rFonts w:ascii="Arial"/>
                <w:sz w:val="21"/>
              </w:rPr>
            </w:pPr>
          </w:p>
        </w:tc>
        <w:tc>
          <w:tcPr>
            <w:tcW w:w="1168" w:type="dxa"/>
            <w:tcBorders>
              <w:right w:val="single" w:color="000000" w:sz="4" w:space="0"/>
            </w:tcBorders>
            <w:vAlign w:val="top"/>
          </w:tcPr>
          <w:p w14:paraId="6CCA98AF">
            <w:pPr>
              <w:rPr>
                <w:rFonts w:ascii="Arial"/>
                <w:sz w:val="21"/>
              </w:rPr>
            </w:pPr>
          </w:p>
        </w:tc>
      </w:tr>
      <w:tr w14:paraId="338158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789" w:type="dxa"/>
            <w:tcBorders>
              <w:left w:val="single" w:color="000000" w:sz="4" w:space="0"/>
            </w:tcBorders>
            <w:vAlign w:val="top"/>
          </w:tcPr>
          <w:p w14:paraId="63DACFA7">
            <w:pPr>
              <w:spacing w:before="138" w:line="272" w:lineRule="exact"/>
              <w:ind w:left="344"/>
              <w:rPr>
                <w:rFonts w:ascii="黑体" w:hAnsi="黑体" w:eastAsia="黑体" w:cs="黑体"/>
                <w:sz w:val="20"/>
                <w:szCs w:val="20"/>
              </w:rPr>
            </w:pPr>
            <w:r>
              <w:rPr>
                <w:rFonts w:ascii="黑体" w:hAnsi="黑体" w:eastAsia="黑体" w:cs="黑体"/>
                <w:position w:val="1"/>
                <w:sz w:val="20"/>
                <w:szCs w:val="20"/>
              </w:rPr>
              <w:t>3</w:t>
            </w:r>
          </w:p>
        </w:tc>
        <w:tc>
          <w:tcPr>
            <w:tcW w:w="1915" w:type="dxa"/>
            <w:tcBorders>
              <w:right w:val="single" w:color="000000" w:sz="4" w:space="0"/>
            </w:tcBorders>
            <w:vAlign w:val="top"/>
          </w:tcPr>
          <w:p w14:paraId="0B4DAA1A">
            <w:pPr>
              <w:rPr>
                <w:rFonts w:ascii="Arial"/>
                <w:sz w:val="21"/>
              </w:rPr>
            </w:pPr>
          </w:p>
        </w:tc>
        <w:tc>
          <w:tcPr>
            <w:tcW w:w="714" w:type="dxa"/>
            <w:tcBorders>
              <w:left w:val="single" w:color="000000" w:sz="4" w:space="0"/>
            </w:tcBorders>
            <w:vAlign w:val="top"/>
          </w:tcPr>
          <w:p w14:paraId="3836C195">
            <w:pPr>
              <w:rPr>
                <w:rFonts w:ascii="Arial"/>
                <w:sz w:val="21"/>
              </w:rPr>
            </w:pPr>
          </w:p>
        </w:tc>
        <w:tc>
          <w:tcPr>
            <w:tcW w:w="903" w:type="dxa"/>
            <w:tcBorders>
              <w:right w:val="single" w:color="000000" w:sz="4" w:space="0"/>
            </w:tcBorders>
            <w:vAlign w:val="top"/>
          </w:tcPr>
          <w:p w14:paraId="6A6A93DD">
            <w:pPr>
              <w:rPr>
                <w:rFonts w:ascii="Arial"/>
                <w:sz w:val="21"/>
              </w:rPr>
            </w:pPr>
          </w:p>
        </w:tc>
        <w:tc>
          <w:tcPr>
            <w:tcW w:w="900" w:type="dxa"/>
            <w:tcBorders>
              <w:left w:val="single" w:color="000000" w:sz="4" w:space="0"/>
            </w:tcBorders>
            <w:vAlign w:val="top"/>
          </w:tcPr>
          <w:p w14:paraId="5A5059FF">
            <w:pPr>
              <w:rPr>
                <w:rFonts w:ascii="Arial"/>
                <w:sz w:val="21"/>
              </w:rPr>
            </w:pPr>
          </w:p>
        </w:tc>
        <w:tc>
          <w:tcPr>
            <w:tcW w:w="1214" w:type="dxa"/>
            <w:vAlign w:val="top"/>
          </w:tcPr>
          <w:p w14:paraId="2B7CED65">
            <w:pPr>
              <w:rPr>
                <w:rFonts w:ascii="Arial"/>
                <w:sz w:val="21"/>
              </w:rPr>
            </w:pPr>
          </w:p>
        </w:tc>
        <w:tc>
          <w:tcPr>
            <w:tcW w:w="1133" w:type="dxa"/>
            <w:vAlign w:val="top"/>
          </w:tcPr>
          <w:p w14:paraId="47208958">
            <w:pPr>
              <w:rPr>
                <w:rFonts w:ascii="Arial"/>
                <w:sz w:val="21"/>
              </w:rPr>
            </w:pPr>
          </w:p>
        </w:tc>
        <w:tc>
          <w:tcPr>
            <w:tcW w:w="1168" w:type="dxa"/>
            <w:tcBorders>
              <w:right w:val="single" w:color="000000" w:sz="4" w:space="0"/>
            </w:tcBorders>
            <w:vAlign w:val="top"/>
          </w:tcPr>
          <w:p w14:paraId="151789BD">
            <w:pPr>
              <w:rPr>
                <w:rFonts w:ascii="Arial"/>
                <w:sz w:val="21"/>
              </w:rPr>
            </w:pPr>
          </w:p>
        </w:tc>
      </w:tr>
      <w:tr w14:paraId="6B0D7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6435" w:type="dxa"/>
            <w:gridSpan w:val="6"/>
            <w:tcBorders>
              <w:left w:val="single" w:color="000000" w:sz="4" w:space="0"/>
              <w:right w:val="single" w:color="000000" w:sz="4" w:space="0"/>
            </w:tcBorders>
            <w:vAlign w:val="top"/>
          </w:tcPr>
          <w:p w14:paraId="18DAC55C">
            <w:pPr>
              <w:pStyle w:val="6"/>
              <w:spacing w:before="139" w:line="229" w:lineRule="auto"/>
              <w:ind w:left="2803"/>
            </w:pPr>
            <w:r>
              <w:rPr>
                <w:spacing w:val="6"/>
              </w:rPr>
              <w:t>人工小计</w:t>
            </w:r>
          </w:p>
        </w:tc>
        <w:tc>
          <w:tcPr>
            <w:tcW w:w="1133" w:type="dxa"/>
            <w:tcBorders>
              <w:left w:val="single" w:color="000000" w:sz="4" w:space="0"/>
              <w:right w:val="single" w:color="000000" w:sz="4" w:space="0"/>
            </w:tcBorders>
            <w:vAlign w:val="top"/>
          </w:tcPr>
          <w:p w14:paraId="7099D40D">
            <w:pPr>
              <w:rPr>
                <w:rFonts w:ascii="Arial"/>
                <w:sz w:val="21"/>
              </w:rPr>
            </w:pPr>
          </w:p>
        </w:tc>
        <w:tc>
          <w:tcPr>
            <w:tcW w:w="1168" w:type="dxa"/>
            <w:tcBorders>
              <w:left w:val="single" w:color="000000" w:sz="4" w:space="0"/>
              <w:right w:val="single" w:color="000000" w:sz="4" w:space="0"/>
            </w:tcBorders>
            <w:vAlign w:val="top"/>
          </w:tcPr>
          <w:p w14:paraId="66E9EBE5">
            <w:pPr>
              <w:rPr>
                <w:rFonts w:ascii="Arial"/>
                <w:sz w:val="21"/>
              </w:rPr>
            </w:pPr>
          </w:p>
        </w:tc>
      </w:tr>
      <w:tr w14:paraId="62F15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789" w:type="dxa"/>
            <w:tcBorders>
              <w:left w:val="single" w:color="000000" w:sz="4" w:space="0"/>
            </w:tcBorders>
            <w:vAlign w:val="top"/>
          </w:tcPr>
          <w:p w14:paraId="3882E58A">
            <w:pPr>
              <w:pStyle w:val="6"/>
              <w:spacing w:before="179" w:line="183" w:lineRule="auto"/>
              <w:ind w:left="295"/>
            </w:pPr>
            <w:r>
              <w:t>二</w:t>
            </w:r>
          </w:p>
        </w:tc>
        <w:tc>
          <w:tcPr>
            <w:tcW w:w="1915" w:type="dxa"/>
            <w:tcBorders>
              <w:right w:val="single" w:color="000000" w:sz="4" w:space="0"/>
            </w:tcBorders>
            <w:vAlign w:val="top"/>
          </w:tcPr>
          <w:p w14:paraId="6A2D54D1">
            <w:pPr>
              <w:pStyle w:val="6"/>
              <w:spacing w:before="139" w:line="227" w:lineRule="auto"/>
              <w:ind w:left="750"/>
            </w:pPr>
            <w:r>
              <w:rPr>
                <w:spacing w:val="4"/>
              </w:rPr>
              <w:t>材料</w:t>
            </w:r>
          </w:p>
        </w:tc>
        <w:tc>
          <w:tcPr>
            <w:tcW w:w="714" w:type="dxa"/>
            <w:tcBorders>
              <w:left w:val="single" w:color="000000" w:sz="4" w:space="0"/>
            </w:tcBorders>
            <w:vAlign w:val="top"/>
          </w:tcPr>
          <w:p w14:paraId="31DEE9FD">
            <w:pPr>
              <w:rPr>
                <w:rFonts w:ascii="Arial"/>
                <w:sz w:val="21"/>
              </w:rPr>
            </w:pPr>
          </w:p>
        </w:tc>
        <w:tc>
          <w:tcPr>
            <w:tcW w:w="903" w:type="dxa"/>
            <w:tcBorders>
              <w:right w:val="single" w:color="000000" w:sz="4" w:space="0"/>
            </w:tcBorders>
            <w:vAlign w:val="top"/>
          </w:tcPr>
          <w:p w14:paraId="56E2DFB6">
            <w:pPr>
              <w:rPr>
                <w:rFonts w:ascii="Arial"/>
                <w:sz w:val="21"/>
              </w:rPr>
            </w:pPr>
          </w:p>
        </w:tc>
        <w:tc>
          <w:tcPr>
            <w:tcW w:w="900" w:type="dxa"/>
            <w:tcBorders>
              <w:left w:val="single" w:color="000000" w:sz="4" w:space="0"/>
            </w:tcBorders>
            <w:vAlign w:val="top"/>
          </w:tcPr>
          <w:p w14:paraId="108D77F0">
            <w:pPr>
              <w:rPr>
                <w:rFonts w:ascii="Arial"/>
                <w:sz w:val="21"/>
              </w:rPr>
            </w:pPr>
          </w:p>
        </w:tc>
        <w:tc>
          <w:tcPr>
            <w:tcW w:w="1214" w:type="dxa"/>
            <w:vAlign w:val="top"/>
          </w:tcPr>
          <w:p w14:paraId="1FCD8490">
            <w:pPr>
              <w:rPr>
                <w:rFonts w:ascii="Arial"/>
                <w:sz w:val="21"/>
              </w:rPr>
            </w:pPr>
          </w:p>
        </w:tc>
        <w:tc>
          <w:tcPr>
            <w:tcW w:w="1133" w:type="dxa"/>
            <w:vAlign w:val="top"/>
          </w:tcPr>
          <w:p w14:paraId="40008A2B">
            <w:pPr>
              <w:rPr>
                <w:rFonts w:ascii="Arial"/>
                <w:sz w:val="21"/>
              </w:rPr>
            </w:pPr>
          </w:p>
        </w:tc>
        <w:tc>
          <w:tcPr>
            <w:tcW w:w="1168" w:type="dxa"/>
            <w:tcBorders>
              <w:right w:val="single" w:color="000000" w:sz="4" w:space="0"/>
            </w:tcBorders>
            <w:vAlign w:val="top"/>
          </w:tcPr>
          <w:p w14:paraId="66FD921E">
            <w:pPr>
              <w:rPr>
                <w:rFonts w:ascii="Arial"/>
                <w:sz w:val="21"/>
              </w:rPr>
            </w:pPr>
          </w:p>
        </w:tc>
      </w:tr>
      <w:tr w14:paraId="3112DB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789" w:type="dxa"/>
            <w:tcBorders>
              <w:left w:val="single" w:color="000000" w:sz="4" w:space="0"/>
            </w:tcBorders>
            <w:vAlign w:val="top"/>
          </w:tcPr>
          <w:p w14:paraId="357986C8">
            <w:pPr>
              <w:spacing w:before="141" w:line="275" w:lineRule="exact"/>
              <w:ind w:left="355"/>
              <w:rPr>
                <w:rFonts w:ascii="黑体" w:hAnsi="黑体" w:eastAsia="黑体" w:cs="黑体"/>
                <w:sz w:val="20"/>
                <w:szCs w:val="20"/>
              </w:rPr>
            </w:pPr>
            <w:r>
              <w:rPr>
                <w:rFonts w:ascii="黑体" w:hAnsi="黑体" w:eastAsia="黑体" w:cs="黑体"/>
                <w:position w:val="1"/>
                <w:sz w:val="20"/>
                <w:szCs w:val="20"/>
              </w:rPr>
              <w:t>1</w:t>
            </w:r>
          </w:p>
        </w:tc>
        <w:tc>
          <w:tcPr>
            <w:tcW w:w="1915" w:type="dxa"/>
            <w:tcBorders>
              <w:right w:val="single" w:color="000000" w:sz="4" w:space="0"/>
            </w:tcBorders>
            <w:vAlign w:val="top"/>
          </w:tcPr>
          <w:p w14:paraId="018F3793">
            <w:pPr>
              <w:rPr>
                <w:rFonts w:ascii="Arial"/>
                <w:sz w:val="21"/>
              </w:rPr>
            </w:pPr>
          </w:p>
        </w:tc>
        <w:tc>
          <w:tcPr>
            <w:tcW w:w="714" w:type="dxa"/>
            <w:tcBorders>
              <w:left w:val="single" w:color="000000" w:sz="4" w:space="0"/>
            </w:tcBorders>
            <w:vAlign w:val="top"/>
          </w:tcPr>
          <w:p w14:paraId="79318FD7">
            <w:pPr>
              <w:rPr>
                <w:rFonts w:ascii="Arial"/>
                <w:sz w:val="21"/>
              </w:rPr>
            </w:pPr>
          </w:p>
        </w:tc>
        <w:tc>
          <w:tcPr>
            <w:tcW w:w="903" w:type="dxa"/>
            <w:tcBorders>
              <w:right w:val="single" w:color="000000" w:sz="4" w:space="0"/>
            </w:tcBorders>
            <w:vAlign w:val="top"/>
          </w:tcPr>
          <w:p w14:paraId="4AB01388">
            <w:pPr>
              <w:rPr>
                <w:rFonts w:ascii="Arial"/>
                <w:sz w:val="21"/>
              </w:rPr>
            </w:pPr>
          </w:p>
        </w:tc>
        <w:tc>
          <w:tcPr>
            <w:tcW w:w="900" w:type="dxa"/>
            <w:tcBorders>
              <w:left w:val="single" w:color="000000" w:sz="4" w:space="0"/>
            </w:tcBorders>
            <w:vAlign w:val="top"/>
          </w:tcPr>
          <w:p w14:paraId="5E0EE482">
            <w:pPr>
              <w:rPr>
                <w:rFonts w:ascii="Arial"/>
                <w:sz w:val="21"/>
              </w:rPr>
            </w:pPr>
          </w:p>
        </w:tc>
        <w:tc>
          <w:tcPr>
            <w:tcW w:w="1214" w:type="dxa"/>
            <w:vAlign w:val="top"/>
          </w:tcPr>
          <w:p w14:paraId="2623D83F">
            <w:pPr>
              <w:rPr>
                <w:rFonts w:ascii="Arial"/>
                <w:sz w:val="21"/>
              </w:rPr>
            </w:pPr>
          </w:p>
        </w:tc>
        <w:tc>
          <w:tcPr>
            <w:tcW w:w="1133" w:type="dxa"/>
            <w:vAlign w:val="top"/>
          </w:tcPr>
          <w:p w14:paraId="25A32997">
            <w:pPr>
              <w:rPr>
                <w:rFonts w:ascii="Arial"/>
                <w:sz w:val="21"/>
              </w:rPr>
            </w:pPr>
          </w:p>
        </w:tc>
        <w:tc>
          <w:tcPr>
            <w:tcW w:w="1168" w:type="dxa"/>
            <w:tcBorders>
              <w:right w:val="single" w:color="000000" w:sz="4" w:space="0"/>
            </w:tcBorders>
            <w:vAlign w:val="top"/>
          </w:tcPr>
          <w:p w14:paraId="39BC288D">
            <w:pPr>
              <w:rPr>
                <w:rFonts w:ascii="Arial"/>
                <w:sz w:val="21"/>
              </w:rPr>
            </w:pPr>
          </w:p>
        </w:tc>
      </w:tr>
      <w:tr w14:paraId="16E88F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789" w:type="dxa"/>
            <w:tcBorders>
              <w:left w:val="single" w:color="000000" w:sz="4" w:space="0"/>
            </w:tcBorders>
            <w:vAlign w:val="top"/>
          </w:tcPr>
          <w:p w14:paraId="6D11E44A">
            <w:pPr>
              <w:spacing w:before="141" w:line="275" w:lineRule="exact"/>
              <w:ind w:left="342"/>
              <w:rPr>
                <w:rFonts w:ascii="黑体" w:hAnsi="黑体" w:eastAsia="黑体" w:cs="黑体"/>
                <w:sz w:val="20"/>
                <w:szCs w:val="20"/>
              </w:rPr>
            </w:pPr>
            <w:r>
              <w:rPr>
                <w:rFonts w:ascii="黑体" w:hAnsi="黑体" w:eastAsia="黑体" w:cs="黑体"/>
                <w:position w:val="1"/>
                <w:sz w:val="20"/>
                <w:szCs w:val="20"/>
              </w:rPr>
              <w:t>2</w:t>
            </w:r>
          </w:p>
        </w:tc>
        <w:tc>
          <w:tcPr>
            <w:tcW w:w="1915" w:type="dxa"/>
            <w:tcBorders>
              <w:right w:val="single" w:color="000000" w:sz="4" w:space="0"/>
            </w:tcBorders>
            <w:vAlign w:val="top"/>
          </w:tcPr>
          <w:p w14:paraId="745775A7">
            <w:pPr>
              <w:rPr>
                <w:rFonts w:ascii="Arial"/>
                <w:sz w:val="21"/>
              </w:rPr>
            </w:pPr>
          </w:p>
        </w:tc>
        <w:tc>
          <w:tcPr>
            <w:tcW w:w="714" w:type="dxa"/>
            <w:tcBorders>
              <w:left w:val="single" w:color="000000" w:sz="4" w:space="0"/>
            </w:tcBorders>
            <w:vAlign w:val="top"/>
          </w:tcPr>
          <w:p w14:paraId="25C08FF8">
            <w:pPr>
              <w:rPr>
                <w:rFonts w:ascii="Arial"/>
                <w:sz w:val="21"/>
              </w:rPr>
            </w:pPr>
          </w:p>
        </w:tc>
        <w:tc>
          <w:tcPr>
            <w:tcW w:w="903" w:type="dxa"/>
            <w:tcBorders>
              <w:right w:val="single" w:color="000000" w:sz="4" w:space="0"/>
            </w:tcBorders>
            <w:vAlign w:val="top"/>
          </w:tcPr>
          <w:p w14:paraId="4ACEEBAD">
            <w:pPr>
              <w:rPr>
                <w:rFonts w:ascii="Arial"/>
                <w:sz w:val="21"/>
              </w:rPr>
            </w:pPr>
          </w:p>
        </w:tc>
        <w:tc>
          <w:tcPr>
            <w:tcW w:w="900" w:type="dxa"/>
            <w:tcBorders>
              <w:left w:val="single" w:color="000000" w:sz="4" w:space="0"/>
            </w:tcBorders>
            <w:vAlign w:val="top"/>
          </w:tcPr>
          <w:p w14:paraId="50FF80EE">
            <w:pPr>
              <w:rPr>
                <w:rFonts w:ascii="Arial"/>
                <w:sz w:val="21"/>
              </w:rPr>
            </w:pPr>
          </w:p>
        </w:tc>
        <w:tc>
          <w:tcPr>
            <w:tcW w:w="1214" w:type="dxa"/>
            <w:vAlign w:val="top"/>
          </w:tcPr>
          <w:p w14:paraId="2A9C0608">
            <w:pPr>
              <w:rPr>
                <w:rFonts w:ascii="Arial"/>
                <w:sz w:val="21"/>
              </w:rPr>
            </w:pPr>
          </w:p>
        </w:tc>
        <w:tc>
          <w:tcPr>
            <w:tcW w:w="1133" w:type="dxa"/>
            <w:vAlign w:val="top"/>
          </w:tcPr>
          <w:p w14:paraId="0A3B0100">
            <w:pPr>
              <w:rPr>
                <w:rFonts w:ascii="Arial"/>
                <w:sz w:val="21"/>
              </w:rPr>
            </w:pPr>
          </w:p>
        </w:tc>
        <w:tc>
          <w:tcPr>
            <w:tcW w:w="1168" w:type="dxa"/>
            <w:tcBorders>
              <w:right w:val="single" w:color="000000" w:sz="4" w:space="0"/>
            </w:tcBorders>
            <w:vAlign w:val="top"/>
          </w:tcPr>
          <w:p w14:paraId="4AAA0A44">
            <w:pPr>
              <w:rPr>
                <w:rFonts w:ascii="Arial"/>
                <w:sz w:val="21"/>
              </w:rPr>
            </w:pPr>
          </w:p>
        </w:tc>
      </w:tr>
      <w:tr w14:paraId="186075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789" w:type="dxa"/>
            <w:tcBorders>
              <w:left w:val="single" w:color="000000" w:sz="4" w:space="0"/>
            </w:tcBorders>
            <w:vAlign w:val="top"/>
          </w:tcPr>
          <w:p w14:paraId="32845E16">
            <w:pPr>
              <w:spacing w:before="141" w:line="272" w:lineRule="exact"/>
              <w:ind w:left="344"/>
              <w:rPr>
                <w:rFonts w:ascii="黑体" w:hAnsi="黑体" w:eastAsia="黑体" w:cs="黑体"/>
                <w:sz w:val="20"/>
                <w:szCs w:val="20"/>
              </w:rPr>
            </w:pPr>
            <w:r>
              <w:rPr>
                <w:rFonts w:ascii="黑体" w:hAnsi="黑体" w:eastAsia="黑体" w:cs="黑体"/>
                <w:position w:val="1"/>
                <w:sz w:val="20"/>
                <w:szCs w:val="20"/>
              </w:rPr>
              <w:t>3</w:t>
            </w:r>
          </w:p>
        </w:tc>
        <w:tc>
          <w:tcPr>
            <w:tcW w:w="1915" w:type="dxa"/>
            <w:tcBorders>
              <w:right w:val="single" w:color="000000" w:sz="4" w:space="0"/>
            </w:tcBorders>
            <w:vAlign w:val="top"/>
          </w:tcPr>
          <w:p w14:paraId="1B0A867C">
            <w:pPr>
              <w:rPr>
                <w:rFonts w:ascii="Arial"/>
                <w:sz w:val="21"/>
              </w:rPr>
            </w:pPr>
          </w:p>
        </w:tc>
        <w:tc>
          <w:tcPr>
            <w:tcW w:w="714" w:type="dxa"/>
            <w:tcBorders>
              <w:left w:val="single" w:color="000000" w:sz="4" w:space="0"/>
            </w:tcBorders>
            <w:vAlign w:val="top"/>
          </w:tcPr>
          <w:p w14:paraId="38C1E12F">
            <w:pPr>
              <w:rPr>
                <w:rFonts w:ascii="Arial"/>
                <w:sz w:val="21"/>
              </w:rPr>
            </w:pPr>
          </w:p>
        </w:tc>
        <w:tc>
          <w:tcPr>
            <w:tcW w:w="903" w:type="dxa"/>
            <w:tcBorders>
              <w:right w:val="single" w:color="000000" w:sz="4" w:space="0"/>
            </w:tcBorders>
            <w:vAlign w:val="top"/>
          </w:tcPr>
          <w:p w14:paraId="7424EF47">
            <w:pPr>
              <w:rPr>
                <w:rFonts w:ascii="Arial"/>
                <w:sz w:val="21"/>
              </w:rPr>
            </w:pPr>
          </w:p>
        </w:tc>
        <w:tc>
          <w:tcPr>
            <w:tcW w:w="900" w:type="dxa"/>
            <w:tcBorders>
              <w:left w:val="single" w:color="000000" w:sz="4" w:space="0"/>
            </w:tcBorders>
            <w:vAlign w:val="top"/>
          </w:tcPr>
          <w:p w14:paraId="14C93D24">
            <w:pPr>
              <w:rPr>
                <w:rFonts w:ascii="Arial"/>
                <w:sz w:val="21"/>
              </w:rPr>
            </w:pPr>
          </w:p>
        </w:tc>
        <w:tc>
          <w:tcPr>
            <w:tcW w:w="1214" w:type="dxa"/>
            <w:vAlign w:val="top"/>
          </w:tcPr>
          <w:p w14:paraId="19CA1545">
            <w:pPr>
              <w:rPr>
                <w:rFonts w:ascii="Arial"/>
                <w:sz w:val="21"/>
              </w:rPr>
            </w:pPr>
          </w:p>
        </w:tc>
        <w:tc>
          <w:tcPr>
            <w:tcW w:w="1133" w:type="dxa"/>
            <w:vAlign w:val="top"/>
          </w:tcPr>
          <w:p w14:paraId="0AAD8FF6">
            <w:pPr>
              <w:rPr>
                <w:rFonts w:ascii="Arial"/>
                <w:sz w:val="21"/>
              </w:rPr>
            </w:pPr>
          </w:p>
        </w:tc>
        <w:tc>
          <w:tcPr>
            <w:tcW w:w="1168" w:type="dxa"/>
            <w:tcBorders>
              <w:right w:val="single" w:color="000000" w:sz="4" w:space="0"/>
            </w:tcBorders>
            <w:vAlign w:val="top"/>
          </w:tcPr>
          <w:p w14:paraId="343ECE34">
            <w:pPr>
              <w:rPr>
                <w:rFonts w:ascii="Arial"/>
                <w:sz w:val="21"/>
              </w:rPr>
            </w:pPr>
          </w:p>
        </w:tc>
      </w:tr>
      <w:tr w14:paraId="447736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6435" w:type="dxa"/>
            <w:gridSpan w:val="6"/>
            <w:tcBorders>
              <w:left w:val="single" w:color="000000" w:sz="4" w:space="0"/>
              <w:right w:val="single" w:color="000000" w:sz="4" w:space="0"/>
            </w:tcBorders>
            <w:vAlign w:val="top"/>
          </w:tcPr>
          <w:p w14:paraId="12B7858C">
            <w:pPr>
              <w:pStyle w:val="6"/>
              <w:spacing w:before="141" w:line="227" w:lineRule="auto"/>
              <w:ind w:left="2802"/>
            </w:pPr>
            <w:r>
              <w:rPr>
                <w:spacing w:val="7"/>
              </w:rPr>
              <w:t>材料小计</w:t>
            </w:r>
          </w:p>
        </w:tc>
        <w:tc>
          <w:tcPr>
            <w:tcW w:w="1133" w:type="dxa"/>
            <w:tcBorders>
              <w:left w:val="single" w:color="000000" w:sz="4" w:space="0"/>
              <w:right w:val="single" w:color="000000" w:sz="4" w:space="0"/>
            </w:tcBorders>
            <w:vAlign w:val="top"/>
          </w:tcPr>
          <w:p w14:paraId="673FBE86">
            <w:pPr>
              <w:rPr>
                <w:rFonts w:ascii="Arial"/>
                <w:sz w:val="21"/>
              </w:rPr>
            </w:pPr>
          </w:p>
        </w:tc>
        <w:tc>
          <w:tcPr>
            <w:tcW w:w="1168" w:type="dxa"/>
            <w:tcBorders>
              <w:left w:val="single" w:color="000000" w:sz="4" w:space="0"/>
              <w:right w:val="single" w:color="000000" w:sz="4" w:space="0"/>
            </w:tcBorders>
            <w:vAlign w:val="top"/>
          </w:tcPr>
          <w:p w14:paraId="6D89F8AA">
            <w:pPr>
              <w:rPr>
                <w:rFonts w:ascii="Arial"/>
                <w:sz w:val="21"/>
              </w:rPr>
            </w:pPr>
          </w:p>
        </w:tc>
      </w:tr>
      <w:tr w14:paraId="527ADC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789" w:type="dxa"/>
            <w:tcBorders>
              <w:left w:val="single" w:color="000000" w:sz="4" w:space="0"/>
            </w:tcBorders>
            <w:vAlign w:val="top"/>
          </w:tcPr>
          <w:p w14:paraId="759B0B63">
            <w:pPr>
              <w:pStyle w:val="6"/>
              <w:spacing w:before="142" w:line="265" w:lineRule="exact"/>
              <w:ind w:left="291"/>
            </w:pPr>
            <w:r>
              <w:rPr>
                <w:position w:val="1"/>
              </w:rPr>
              <w:t>三</w:t>
            </w:r>
          </w:p>
        </w:tc>
        <w:tc>
          <w:tcPr>
            <w:tcW w:w="1915" w:type="dxa"/>
            <w:tcBorders>
              <w:right w:val="single" w:color="000000" w:sz="4" w:space="0"/>
            </w:tcBorders>
            <w:vAlign w:val="top"/>
          </w:tcPr>
          <w:p w14:paraId="0182D743">
            <w:pPr>
              <w:pStyle w:val="6"/>
              <w:spacing w:before="141" w:line="227" w:lineRule="auto"/>
              <w:ind w:left="538"/>
            </w:pPr>
            <w:r>
              <w:rPr>
                <w:spacing w:val="7"/>
              </w:rPr>
              <w:t>施工机械</w:t>
            </w:r>
          </w:p>
        </w:tc>
        <w:tc>
          <w:tcPr>
            <w:tcW w:w="714" w:type="dxa"/>
            <w:tcBorders>
              <w:left w:val="single" w:color="000000" w:sz="4" w:space="0"/>
            </w:tcBorders>
            <w:vAlign w:val="top"/>
          </w:tcPr>
          <w:p w14:paraId="7A06AD37">
            <w:pPr>
              <w:rPr>
                <w:rFonts w:ascii="Arial"/>
                <w:sz w:val="21"/>
              </w:rPr>
            </w:pPr>
          </w:p>
        </w:tc>
        <w:tc>
          <w:tcPr>
            <w:tcW w:w="903" w:type="dxa"/>
            <w:tcBorders>
              <w:right w:val="single" w:color="000000" w:sz="4" w:space="0"/>
            </w:tcBorders>
            <w:vAlign w:val="top"/>
          </w:tcPr>
          <w:p w14:paraId="74C2ED41">
            <w:pPr>
              <w:rPr>
                <w:rFonts w:ascii="Arial"/>
                <w:sz w:val="21"/>
              </w:rPr>
            </w:pPr>
          </w:p>
        </w:tc>
        <w:tc>
          <w:tcPr>
            <w:tcW w:w="900" w:type="dxa"/>
            <w:tcBorders>
              <w:left w:val="single" w:color="000000" w:sz="4" w:space="0"/>
            </w:tcBorders>
            <w:vAlign w:val="top"/>
          </w:tcPr>
          <w:p w14:paraId="2A8F6D87">
            <w:pPr>
              <w:rPr>
                <w:rFonts w:ascii="Arial"/>
                <w:sz w:val="21"/>
              </w:rPr>
            </w:pPr>
          </w:p>
        </w:tc>
        <w:tc>
          <w:tcPr>
            <w:tcW w:w="1214" w:type="dxa"/>
            <w:vAlign w:val="top"/>
          </w:tcPr>
          <w:p w14:paraId="03162EB8">
            <w:pPr>
              <w:rPr>
                <w:rFonts w:ascii="Arial"/>
                <w:sz w:val="21"/>
              </w:rPr>
            </w:pPr>
          </w:p>
        </w:tc>
        <w:tc>
          <w:tcPr>
            <w:tcW w:w="1133" w:type="dxa"/>
            <w:vAlign w:val="top"/>
          </w:tcPr>
          <w:p w14:paraId="18034D6F">
            <w:pPr>
              <w:rPr>
                <w:rFonts w:ascii="Arial"/>
                <w:sz w:val="21"/>
              </w:rPr>
            </w:pPr>
          </w:p>
        </w:tc>
        <w:tc>
          <w:tcPr>
            <w:tcW w:w="1168" w:type="dxa"/>
            <w:tcBorders>
              <w:right w:val="single" w:color="000000" w:sz="4" w:space="0"/>
            </w:tcBorders>
            <w:vAlign w:val="top"/>
          </w:tcPr>
          <w:p w14:paraId="3253D4B4">
            <w:pPr>
              <w:rPr>
                <w:rFonts w:ascii="Arial"/>
                <w:sz w:val="21"/>
              </w:rPr>
            </w:pPr>
          </w:p>
        </w:tc>
      </w:tr>
      <w:tr w14:paraId="74D27F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789" w:type="dxa"/>
            <w:tcBorders>
              <w:left w:val="single" w:color="000000" w:sz="4" w:space="0"/>
            </w:tcBorders>
            <w:vAlign w:val="top"/>
          </w:tcPr>
          <w:p w14:paraId="0E2A669D">
            <w:pPr>
              <w:spacing w:before="142" w:line="275" w:lineRule="exact"/>
              <w:ind w:left="355"/>
              <w:rPr>
                <w:rFonts w:ascii="黑体" w:hAnsi="黑体" w:eastAsia="黑体" w:cs="黑体"/>
                <w:sz w:val="20"/>
                <w:szCs w:val="20"/>
              </w:rPr>
            </w:pPr>
            <w:r>
              <w:rPr>
                <w:rFonts w:ascii="黑体" w:hAnsi="黑体" w:eastAsia="黑体" w:cs="黑体"/>
                <w:position w:val="1"/>
                <w:sz w:val="20"/>
                <w:szCs w:val="20"/>
              </w:rPr>
              <w:t>1</w:t>
            </w:r>
          </w:p>
        </w:tc>
        <w:tc>
          <w:tcPr>
            <w:tcW w:w="1915" w:type="dxa"/>
            <w:tcBorders>
              <w:right w:val="single" w:color="000000" w:sz="4" w:space="0"/>
            </w:tcBorders>
            <w:vAlign w:val="top"/>
          </w:tcPr>
          <w:p w14:paraId="6D4CCD2D">
            <w:pPr>
              <w:rPr>
                <w:rFonts w:ascii="Arial"/>
                <w:sz w:val="21"/>
              </w:rPr>
            </w:pPr>
          </w:p>
        </w:tc>
        <w:tc>
          <w:tcPr>
            <w:tcW w:w="714" w:type="dxa"/>
            <w:tcBorders>
              <w:left w:val="single" w:color="000000" w:sz="4" w:space="0"/>
            </w:tcBorders>
            <w:vAlign w:val="top"/>
          </w:tcPr>
          <w:p w14:paraId="114BC918">
            <w:pPr>
              <w:rPr>
                <w:rFonts w:ascii="Arial"/>
                <w:sz w:val="21"/>
              </w:rPr>
            </w:pPr>
          </w:p>
        </w:tc>
        <w:tc>
          <w:tcPr>
            <w:tcW w:w="903" w:type="dxa"/>
            <w:tcBorders>
              <w:right w:val="single" w:color="000000" w:sz="4" w:space="0"/>
            </w:tcBorders>
            <w:vAlign w:val="top"/>
          </w:tcPr>
          <w:p w14:paraId="1659B511">
            <w:pPr>
              <w:rPr>
                <w:rFonts w:ascii="Arial"/>
                <w:sz w:val="21"/>
              </w:rPr>
            </w:pPr>
          </w:p>
        </w:tc>
        <w:tc>
          <w:tcPr>
            <w:tcW w:w="900" w:type="dxa"/>
            <w:tcBorders>
              <w:left w:val="single" w:color="000000" w:sz="4" w:space="0"/>
            </w:tcBorders>
            <w:vAlign w:val="top"/>
          </w:tcPr>
          <w:p w14:paraId="25C79C0E">
            <w:pPr>
              <w:rPr>
                <w:rFonts w:ascii="Arial"/>
                <w:sz w:val="21"/>
              </w:rPr>
            </w:pPr>
          </w:p>
        </w:tc>
        <w:tc>
          <w:tcPr>
            <w:tcW w:w="1214" w:type="dxa"/>
            <w:vAlign w:val="top"/>
          </w:tcPr>
          <w:p w14:paraId="2DB5BDC3">
            <w:pPr>
              <w:rPr>
                <w:rFonts w:ascii="Arial"/>
                <w:sz w:val="21"/>
              </w:rPr>
            </w:pPr>
          </w:p>
        </w:tc>
        <w:tc>
          <w:tcPr>
            <w:tcW w:w="1133" w:type="dxa"/>
            <w:vAlign w:val="top"/>
          </w:tcPr>
          <w:p w14:paraId="75A9A806">
            <w:pPr>
              <w:rPr>
                <w:rFonts w:ascii="Arial"/>
                <w:sz w:val="21"/>
              </w:rPr>
            </w:pPr>
          </w:p>
        </w:tc>
        <w:tc>
          <w:tcPr>
            <w:tcW w:w="1168" w:type="dxa"/>
            <w:tcBorders>
              <w:right w:val="single" w:color="000000" w:sz="4" w:space="0"/>
            </w:tcBorders>
            <w:vAlign w:val="top"/>
          </w:tcPr>
          <w:p w14:paraId="1A798AD4">
            <w:pPr>
              <w:rPr>
                <w:rFonts w:ascii="Arial"/>
                <w:sz w:val="21"/>
              </w:rPr>
            </w:pPr>
          </w:p>
        </w:tc>
      </w:tr>
      <w:tr w14:paraId="3E9980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789" w:type="dxa"/>
            <w:tcBorders>
              <w:left w:val="single" w:color="000000" w:sz="4" w:space="0"/>
            </w:tcBorders>
            <w:vAlign w:val="top"/>
          </w:tcPr>
          <w:p w14:paraId="3E005BC7">
            <w:pPr>
              <w:spacing w:before="143" w:line="275" w:lineRule="exact"/>
              <w:ind w:left="342"/>
              <w:rPr>
                <w:rFonts w:ascii="黑体" w:hAnsi="黑体" w:eastAsia="黑体" w:cs="黑体"/>
                <w:sz w:val="20"/>
                <w:szCs w:val="20"/>
              </w:rPr>
            </w:pPr>
            <w:r>
              <w:rPr>
                <w:rFonts w:ascii="黑体" w:hAnsi="黑体" w:eastAsia="黑体" w:cs="黑体"/>
                <w:position w:val="1"/>
                <w:sz w:val="20"/>
                <w:szCs w:val="20"/>
              </w:rPr>
              <w:t>2</w:t>
            </w:r>
          </w:p>
        </w:tc>
        <w:tc>
          <w:tcPr>
            <w:tcW w:w="1915" w:type="dxa"/>
            <w:tcBorders>
              <w:right w:val="single" w:color="000000" w:sz="4" w:space="0"/>
            </w:tcBorders>
            <w:vAlign w:val="top"/>
          </w:tcPr>
          <w:p w14:paraId="72FFBE01">
            <w:pPr>
              <w:rPr>
                <w:rFonts w:ascii="Arial"/>
                <w:sz w:val="21"/>
              </w:rPr>
            </w:pPr>
          </w:p>
        </w:tc>
        <w:tc>
          <w:tcPr>
            <w:tcW w:w="714" w:type="dxa"/>
            <w:tcBorders>
              <w:left w:val="single" w:color="000000" w:sz="4" w:space="0"/>
            </w:tcBorders>
            <w:vAlign w:val="top"/>
          </w:tcPr>
          <w:p w14:paraId="1B294592">
            <w:pPr>
              <w:rPr>
                <w:rFonts w:ascii="Arial"/>
                <w:sz w:val="21"/>
              </w:rPr>
            </w:pPr>
          </w:p>
        </w:tc>
        <w:tc>
          <w:tcPr>
            <w:tcW w:w="903" w:type="dxa"/>
            <w:tcBorders>
              <w:right w:val="single" w:color="000000" w:sz="4" w:space="0"/>
            </w:tcBorders>
            <w:vAlign w:val="top"/>
          </w:tcPr>
          <w:p w14:paraId="492463F7">
            <w:pPr>
              <w:rPr>
                <w:rFonts w:ascii="Arial"/>
                <w:sz w:val="21"/>
              </w:rPr>
            </w:pPr>
          </w:p>
        </w:tc>
        <w:tc>
          <w:tcPr>
            <w:tcW w:w="900" w:type="dxa"/>
            <w:tcBorders>
              <w:left w:val="single" w:color="000000" w:sz="4" w:space="0"/>
            </w:tcBorders>
            <w:vAlign w:val="top"/>
          </w:tcPr>
          <w:p w14:paraId="2EB59B6F">
            <w:pPr>
              <w:rPr>
                <w:rFonts w:ascii="Arial"/>
                <w:sz w:val="21"/>
              </w:rPr>
            </w:pPr>
          </w:p>
        </w:tc>
        <w:tc>
          <w:tcPr>
            <w:tcW w:w="1214" w:type="dxa"/>
            <w:vAlign w:val="top"/>
          </w:tcPr>
          <w:p w14:paraId="5B5DE8F7">
            <w:pPr>
              <w:rPr>
                <w:rFonts w:ascii="Arial"/>
                <w:sz w:val="21"/>
              </w:rPr>
            </w:pPr>
          </w:p>
        </w:tc>
        <w:tc>
          <w:tcPr>
            <w:tcW w:w="1133" w:type="dxa"/>
            <w:vAlign w:val="top"/>
          </w:tcPr>
          <w:p w14:paraId="236F297F">
            <w:pPr>
              <w:rPr>
                <w:rFonts w:ascii="Arial"/>
                <w:sz w:val="21"/>
              </w:rPr>
            </w:pPr>
          </w:p>
        </w:tc>
        <w:tc>
          <w:tcPr>
            <w:tcW w:w="1168" w:type="dxa"/>
            <w:tcBorders>
              <w:right w:val="single" w:color="000000" w:sz="4" w:space="0"/>
            </w:tcBorders>
            <w:vAlign w:val="top"/>
          </w:tcPr>
          <w:p w14:paraId="25CFD15A">
            <w:pPr>
              <w:rPr>
                <w:rFonts w:ascii="Arial"/>
                <w:sz w:val="21"/>
              </w:rPr>
            </w:pPr>
          </w:p>
        </w:tc>
      </w:tr>
      <w:tr w14:paraId="748802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789" w:type="dxa"/>
            <w:tcBorders>
              <w:left w:val="single" w:color="000000" w:sz="4" w:space="0"/>
            </w:tcBorders>
            <w:vAlign w:val="top"/>
          </w:tcPr>
          <w:p w14:paraId="53D82AE8">
            <w:pPr>
              <w:spacing w:before="143" w:line="272" w:lineRule="exact"/>
              <w:ind w:left="344"/>
              <w:rPr>
                <w:rFonts w:ascii="黑体" w:hAnsi="黑体" w:eastAsia="黑体" w:cs="黑体"/>
                <w:sz w:val="20"/>
                <w:szCs w:val="20"/>
              </w:rPr>
            </w:pPr>
            <w:r>
              <w:rPr>
                <w:rFonts w:ascii="黑体" w:hAnsi="黑体" w:eastAsia="黑体" w:cs="黑体"/>
                <w:position w:val="1"/>
                <w:sz w:val="20"/>
                <w:szCs w:val="20"/>
              </w:rPr>
              <w:t>3</w:t>
            </w:r>
          </w:p>
        </w:tc>
        <w:tc>
          <w:tcPr>
            <w:tcW w:w="1915" w:type="dxa"/>
            <w:tcBorders>
              <w:right w:val="single" w:color="000000" w:sz="4" w:space="0"/>
            </w:tcBorders>
            <w:vAlign w:val="top"/>
          </w:tcPr>
          <w:p w14:paraId="171DF288">
            <w:pPr>
              <w:rPr>
                <w:rFonts w:ascii="Arial"/>
                <w:sz w:val="21"/>
              </w:rPr>
            </w:pPr>
          </w:p>
        </w:tc>
        <w:tc>
          <w:tcPr>
            <w:tcW w:w="714" w:type="dxa"/>
            <w:tcBorders>
              <w:left w:val="single" w:color="000000" w:sz="4" w:space="0"/>
            </w:tcBorders>
            <w:vAlign w:val="top"/>
          </w:tcPr>
          <w:p w14:paraId="480435D1">
            <w:pPr>
              <w:rPr>
                <w:rFonts w:ascii="Arial"/>
                <w:sz w:val="21"/>
              </w:rPr>
            </w:pPr>
          </w:p>
        </w:tc>
        <w:tc>
          <w:tcPr>
            <w:tcW w:w="903" w:type="dxa"/>
            <w:tcBorders>
              <w:right w:val="single" w:color="000000" w:sz="4" w:space="0"/>
            </w:tcBorders>
            <w:vAlign w:val="top"/>
          </w:tcPr>
          <w:p w14:paraId="3AEA9BA5">
            <w:pPr>
              <w:rPr>
                <w:rFonts w:ascii="Arial"/>
                <w:sz w:val="21"/>
              </w:rPr>
            </w:pPr>
          </w:p>
        </w:tc>
        <w:tc>
          <w:tcPr>
            <w:tcW w:w="900" w:type="dxa"/>
            <w:tcBorders>
              <w:left w:val="single" w:color="000000" w:sz="4" w:space="0"/>
            </w:tcBorders>
            <w:vAlign w:val="top"/>
          </w:tcPr>
          <w:p w14:paraId="62F5075A">
            <w:pPr>
              <w:rPr>
                <w:rFonts w:ascii="Arial"/>
                <w:sz w:val="21"/>
              </w:rPr>
            </w:pPr>
          </w:p>
        </w:tc>
        <w:tc>
          <w:tcPr>
            <w:tcW w:w="1214" w:type="dxa"/>
            <w:vAlign w:val="top"/>
          </w:tcPr>
          <w:p w14:paraId="298A3602">
            <w:pPr>
              <w:rPr>
                <w:rFonts w:ascii="Arial"/>
                <w:sz w:val="21"/>
              </w:rPr>
            </w:pPr>
          </w:p>
        </w:tc>
        <w:tc>
          <w:tcPr>
            <w:tcW w:w="1133" w:type="dxa"/>
            <w:vAlign w:val="top"/>
          </w:tcPr>
          <w:p w14:paraId="15C9D778">
            <w:pPr>
              <w:rPr>
                <w:rFonts w:ascii="Arial"/>
                <w:sz w:val="21"/>
              </w:rPr>
            </w:pPr>
          </w:p>
        </w:tc>
        <w:tc>
          <w:tcPr>
            <w:tcW w:w="1168" w:type="dxa"/>
            <w:tcBorders>
              <w:right w:val="single" w:color="000000" w:sz="4" w:space="0"/>
            </w:tcBorders>
            <w:vAlign w:val="top"/>
          </w:tcPr>
          <w:p w14:paraId="142C3B82">
            <w:pPr>
              <w:rPr>
                <w:rFonts w:ascii="Arial"/>
                <w:sz w:val="21"/>
              </w:rPr>
            </w:pPr>
          </w:p>
        </w:tc>
      </w:tr>
      <w:tr w14:paraId="4CC1E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6435" w:type="dxa"/>
            <w:gridSpan w:val="6"/>
            <w:tcBorders>
              <w:left w:val="single" w:color="000000" w:sz="4" w:space="0"/>
            </w:tcBorders>
            <w:vAlign w:val="top"/>
          </w:tcPr>
          <w:p w14:paraId="0A3661AF">
            <w:pPr>
              <w:pStyle w:val="6"/>
              <w:spacing w:before="143" w:line="227" w:lineRule="auto"/>
              <w:ind w:left="2592"/>
            </w:pPr>
            <w:r>
              <w:rPr>
                <w:spacing w:val="8"/>
              </w:rPr>
              <w:t>施工机械小计</w:t>
            </w:r>
          </w:p>
        </w:tc>
        <w:tc>
          <w:tcPr>
            <w:tcW w:w="1133" w:type="dxa"/>
            <w:vAlign w:val="top"/>
          </w:tcPr>
          <w:p w14:paraId="61D057F8">
            <w:pPr>
              <w:rPr>
                <w:rFonts w:ascii="Arial"/>
                <w:sz w:val="21"/>
              </w:rPr>
            </w:pPr>
          </w:p>
        </w:tc>
        <w:tc>
          <w:tcPr>
            <w:tcW w:w="1168" w:type="dxa"/>
            <w:tcBorders>
              <w:right w:val="single" w:color="000000" w:sz="4" w:space="0"/>
            </w:tcBorders>
            <w:vAlign w:val="top"/>
          </w:tcPr>
          <w:p w14:paraId="136902F3">
            <w:pPr>
              <w:rPr>
                <w:rFonts w:ascii="Arial"/>
                <w:sz w:val="21"/>
              </w:rPr>
            </w:pPr>
          </w:p>
        </w:tc>
      </w:tr>
      <w:tr w14:paraId="0432BC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6435" w:type="dxa"/>
            <w:gridSpan w:val="6"/>
            <w:tcBorders>
              <w:left w:val="single" w:color="000000" w:sz="4" w:space="0"/>
            </w:tcBorders>
            <w:vAlign w:val="top"/>
          </w:tcPr>
          <w:p w14:paraId="16E5251F">
            <w:pPr>
              <w:pStyle w:val="6"/>
              <w:spacing w:before="143" w:line="228" w:lineRule="auto"/>
              <w:ind w:left="133"/>
            </w:pPr>
            <w:r>
              <w:rPr>
                <w:spacing w:val="6"/>
              </w:rPr>
              <w:t>四、企业管理费和利润</w:t>
            </w:r>
          </w:p>
        </w:tc>
        <w:tc>
          <w:tcPr>
            <w:tcW w:w="1133" w:type="dxa"/>
            <w:vAlign w:val="top"/>
          </w:tcPr>
          <w:p w14:paraId="39924E57">
            <w:pPr>
              <w:rPr>
                <w:rFonts w:ascii="Arial"/>
                <w:sz w:val="21"/>
              </w:rPr>
            </w:pPr>
          </w:p>
        </w:tc>
        <w:tc>
          <w:tcPr>
            <w:tcW w:w="1168" w:type="dxa"/>
            <w:tcBorders>
              <w:right w:val="single" w:color="000000" w:sz="4" w:space="0"/>
            </w:tcBorders>
            <w:vAlign w:val="top"/>
          </w:tcPr>
          <w:p w14:paraId="0B4715F5">
            <w:pPr>
              <w:rPr>
                <w:rFonts w:ascii="Arial"/>
                <w:sz w:val="21"/>
              </w:rPr>
            </w:pPr>
          </w:p>
        </w:tc>
      </w:tr>
      <w:tr w14:paraId="6DF49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6" w:hRule="atLeast"/>
        </w:trPr>
        <w:tc>
          <w:tcPr>
            <w:tcW w:w="6435" w:type="dxa"/>
            <w:gridSpan w:val="6"/>
            <w:tcBorders>
              <w:left w:val="single" w:color="000000" w:sz="4" w:space="0"/>
              <w:bottom w:val="single" w:color="000000" w:sz="4" w:space="0"/>
            </w:tcBorders>
            <w:vAlign w:val="top"/>
          </w:tcPr>
          <w:p w14:paraId="60EF010A">
            <w:pPr>
              <w:pStyle w:val="6"/>
              <w:spacing w:before="145" w:line="229" w:lineRule="auto"/>
              <w:ind w:left="3018"/>
            </w:pPr>
            <w:r>
              <w:rPr>
                <w:spacing w:val="2"/>
              </w:rPr>
              <w:t>总计</w:t>
            </w:r>
          </w:p>
        </w:tc>
        <w:tc>
          <w:tcPr>
            <w:tcW w:w="1133" w:type="dxa"/>
            <w:tcBorders>
              <w:bottom w:val="single" w:color="000000" w:sz="4" w:space="0"/>
            </w:tcBorders>
            <w:vAlign w:val="top"/>
          </w:tcPr>
          <w:p w14:paraId="2E236ABC">
            <w:pPr>
              <w:rPr>
                <w:rFonts w:ascii="Arial"/>
                <w:sz w:val="21"/>
              </w:rPr>
            </w:pPr>
          </w:p>
        </w:tc>
        <w:tc>
          <w:tcPr>
            <w:tcW w:w="1168" w:type="dxa"/>
            <w:tcBorders>
              <w:bottom w:val="single" w:color="000000" w:sz="4" w:space="0"/>
              <w:right w:val="single" w:color="000000" w:sz="4" w:space="0"/>
            </w:tcBorders>
            <w:vAlign w:val="top"/>
          </w:tcPr>
          <w:p w14:paraId="1A170FCB">
            <w:pPr>
              <w:rPr>
                <w:rFonts w:ascii="Arial"/>
                <w:sz w:val="21"/>
              </w:rPr>
            </w:pPr>
          </w:p>
        </w:tc>
      </w:tr>
    </w:tbl>
    <w:p w14:paraId="57E48795">
      <w:pPr>
        <w:spacing w:line="266" w:lineRule="auto"/>
        <w:rPr>
          <w:rFonts w:ascii="Arial"/>
          <w:sz w:val="21"/>
        </w:rPr>
      </w:pPr>
    </w:p>
    <w:p w14:paraId="7EB8E4DA">
      <w:pPr>
        <w:spacing w:line="267" w:lineRule="auto"/>
        <w:rPr>
          <w:rFonts w:ascii="Arial"/>
          <w:sz w:val="21"/>
        </w:rPr>
      </w:pPr>
    </w:p>
    <w:p w14:paraId="5036B7B9">
      <w:pPr>
        <w:spacing w:before="65" w:line="277" w:lineRule="auto"/>
        <w:ind w:left="424" w:hanging="420"/>
        <w:rPr>
          <w:rFonts w:ascii="宋体" w:hAnsi="宋体" w:eastAsia="宋体" w:cs="宋体"/>
          <w:sz w:val="20"/>
          <w:szCs w:val="20"/>
        </w:rPr>
      </w:pPr>
      <w:r>
        <w:rPr>
          <w:rFonts w:ascii="宋体" w:hAnsi="宋体" w:eastAsia="宋体" w:cs="宋体"/>
          <w:spacing w:val="10"/>
          <w:sz w:val="20"/>
          <w:szCs w:val="20"/>
        </w:rPr>
        <w:t>注：此表项目名称、暂定数量由招标人填写，编制招标控制价时，单价由</w:t>
      </w:r>
      <w:r>
        <w:rPr>
          <w:rFonts w:ascii="宋体" w:hAnsi="宋体" w:eastAsia="宋体" w:cs="宋体"/>
          <w:spacing w:val="9"/>
          <w:sz w:val="20"/>
          <w:szCs w:val="20"/>
        </w:rPr>
        <w:t>招标人按有关计价规定</w:t>
      </w:r>
      <w:r>
        <w:rPr>
          <w:rFonts w:ascii="宋体" w:hAnsi="宋体" w:eastAsia="宋体" w:cs="宋体"/>
          <w:spacing w:val="10"/>
          <w:sz w:val="20"/>
          <w:szCs w:val="20"/>
        </w:rPr>
        <w:t>确定：投标时，单价由投标人自主报价，按暂定数量计算合价计入投</w:t>
      </w:r>
      <w:r>
        <w:rPr>
          <w:rFonts w:ascii="宋体" w:hAnsi="宋体" w:eastAsia="宋体" w:cs="宋体"/>
          <w:spacing w:val="9"/>
          <w:sz w:val="20"/>
          <w:szCs w:val="20"/>
        </w:rPr>
        <w:t>标总价中。结算时，按</w:t>
      </w:r>
      <w:r>
        <w:rPr>
          <w:rFonts w:ascii="宋体" w:hAnsi="宋体" w:eastAsia="宋体" w:cs="宋体"/>
          <w:spacing w:val="8"/>
          <w:sz w:val="20"/>
          <w:szCs w:val="20"/>
        </w:rPr>
        <w:t>承发包双方确认的实际数量计算合价。</w:t>
      </w:r>
    </w:p>
    <w:p w14:paraId="5C401F64">
      <w:pPr>
        <w:spacing w:line="277" w:lineRule="auto"/>
        <w:rPr>
          <w:rFonts w:ascii="宋体" w:hAnsi="宋体" w:eastAsia="宋体" w:cs="宋体"/>
          <w:sz w:val="20"/>
          <w:szCs w:val="20"/>
        </w:rPr>
        <w:sectPr>
          <w:headerReference r:id="rId465" w:type="default"/>
          <w:footerReference r:id="rId466" w:type="default"/>
          <w:pgSz w:w="11907" w:h="16840"/>
          <w:pgMar w:top="1838" w:right="1555" w:bottom="1105" w:left="1535" w:header="1469" w:footer="943" w:gutter="0"/>
          <w:cols w:space="720" w:num="1"/>
        </w:sectPr>
      </w:pPr>
    </w:p>
    <w:p w14:paraId="479C26F4">
      <w:pPr>
        <w:spacing w:line="261" w:lineRule="auto"/>
        <w:rPr>
          <w:rFonts w:ascii="Arial"/>
          <w:sz w:val="21"/>
        </w:rPr>
      </w:pPr>
    </w:p>
    <w:p w14:paraId="0776FA40">
      <w:pPr>
        <w:spacing w:line="262" w:lineRule="auto"/>
        <w:rPr>
          <w:rFonts w:ascii="Arial"/>
          <w:sz w:val="21"/>
        </w:rPr>
      </w:pPr>
    </w:p>
    <w:p w14:paraId="7C319608">
      <w:pPr>
        <w:spacing w:line="262" w:lineRule="auto"/>
        <w:rPr>
          <w:rFonts w:ascii="Arial"/>
          <w:sz w:val="21"/>
        </w:rPr>
      </w:pPr>
    </w:p>
    <w:p w14:paraId="6ABFCE8A">
      <w:pPr>
        <w:spacing w:line="262" w:lineRule="auto"/>
        <w:rPr>
          <w:rFonts w:ascii="Arial"/>
          <w:sz w:val="21"/>
        </w:rPr>
      </w:pPr>
    </w:p>
    <w:p w14:paraId="233DE810">
      <w:pPr>
        <w:pStyle w:val="2"/>
        <w:spacing w:before="78" w:line="221" w:lineRule="auto"/>
        <w:outlineLvl w:val="3"/>
        <w:rPr>
          <w:sz w:val="24"/>
          <w:szCs w:val="24"/>
        </w:rPr>
      </w:pPr>
      <w:bookmarkStart w:id="371" w:name="bookmark353"/>
      <w:bookmarkEnd w:id="371"/>
      <w:r>
        <w:rPr>
          <w:rFonts w:ascii="Times New Roman" w:hAnsi="Times New Roman" w:eastAsia="Times New Roman" w:cs="Times New Roman"/>
          <w:spacing w:val="-1"/>
          <w:sz w:val="24"/>
          <w:szCs w:val="24"/>
        </w:rPr>
        <w:t xml:space="preserve">4.12-5 </w:t>
      </w:r>
      <w:r>
        <w:rPr>
          <w:spacing w:val="-1"/>
          <w:sz w:val="24"/>
          <w:szCs w:val="24"/>
        </w:rPr>
        <w:t>总承包服务费计价表</w:t>
      </w:r>
    </w:p>
    <w:p w14:paraId="0D136869">
      <w:pPr>
        <w:spacing w:line="273" w:lineRule="auto"/>
        <w:rPr>
          <w:rFonts w:ascii="Arial"/>
          <w:sz w:val="21"/>
        </w:rPr>
      </w:pPr>
    </w:p>
    <w:p w14:paraId="5ACB6E70">
      <w:pPr>
        <w:spacing w:line="274" w:lineRule="auto"/>
        <w:rPr>
          <w:rFonts w:ascii="Arial"/>
          <w:sz w:val="21"/>
        </w:rPr>
      </w:pPr>
    </w:p>
    <w:p w14:paraId="409F17A0">
      <w:pPr>
        <w:pStyle w:val="2"/>
        <w:spacing w:before="91" w:line="222" w:lineRule="auto"/>
        <w:ind w:left="3163"/>
        <w:rPr>
          <w:sz w:val="28"/>
          <w:szCs w:val="28"/>
        </w:rPr>
      </w:pPr>
      <w:r>
        <w:rPr>
          <w:spacing w:val="-2"/>
          <w:sz w:val="28"/>
          <w:szCs w:val="28"/>
        </w:rPr>
        <w:t>总承包服务费计价表</w:t>
      </w:r>
    </w:p>
    <w:p w14:paraId="140E087D">
      <w:pPr>
        <w:spacing w:before="135" w:line="228" w:lineRule="auto"/>
        <w:ind w:left="6"/>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2"/>
          <w:sz w:val="20"/>
          <w:szCs w:val="20"/>
        </w:rPr>
        <w:t xml:space="preserve">                    </w:t>
      </w:r>
      <w:r>
        <w:rPr>
          <w:rFonts w:ascii="宋体" w:hAnsi="宋体" w:eastAsia="宋体" w:cs="宋体"/>
          <w:spacing w:val="1"/>
          <w:sz w:val="20"/>
          <w:szCs w:val="20"/>
        </w:rPr>
        <w:t xml:space="preserve">   </w:t>
      </w:r>
      <w:r>
        <w:rPr>
          <w:rFonts w:ascii="宋体" w:hAnsi="宋体" w:eastAsia="宋体" w:cs="宋体"/>
          <w:spacing w:val="4"/>
          <w:sz w:val="20"/>
          <w:szCs w:val="20"/>
        </w:rPr>
        <w:t>标段名称：</w:t>
      </w:r>
      <w:r>
        <w:rPr>
          <w:rFonts w:ascii="宋体" w:hAnsi="宋体" w:eastAsia="宋体" w:cs="宋体"/>
          <w:sz w:val="20"/>
          <w:szCs w:val="20"/>
        </w:rPr>
        <w:t xml:space="preserve">                  </w:t>
      </w:r>
      <w:r>
        <w:rPr>
          <w:rFonts w:ascii="宋体" w:hAnsi="宋体" w:eastAsia="宋体" w:cs="宋体"/>
          <w:spacing w:val="4"/>
          <w:sz w:val="20"/>
          <w:szCs w:val="20"/>
        </w:rPr>
        <w:t>第  页</w:t>
      </w:r>
      <w:r>
        <w:rPr>
          <w:rFonts w:ascii="宋体" w:hAnsi="宋体" w:eastAsia="宋体" w:cs="宋体"/>
          <w:spacing w:val="12"/>
          <w:sz w:val="20"/>
          <w:szCs w:val="20"/>
        </w:rPr>
        <w:t xml:space="preserve">  </w:t>
      </w:r>
      <w:r>
        <w:rPr>
          <w:rFonts w:ascii="宋体" w:hAnsi="宋体" w:eastAsia="宋体" w:cs="宋体"/>
          <w:spacing w:val="4"/>
          <w:sz w:val="20"/>
          <w:szCs w:val="20"/>
        </w:rPr>
        <w:t>共</w:t>
      </w:r>
      <w:r>
        <w:rPr>
          <w:rFonts w:ascii="宋体" w:hAnsi="宋体" w:eastAsia="宋体" w:cs="宋体"/>
          <w:spacing w:val="12"/>
          <w:sz w:val="20"/>
          <w:szCs w:val="20"/>
        </w:rPr>
        <w:t xml:space="preserve">  </w:t>
      </w:r>
      <w:r>
        <w:rPr>
          <w:rFonts w:ascii="宋体" w:hAnsi="宋体" w:eastAsia="宋体" w:cs="宋体"/>
          <w:spacing w:val="4"/>
          <w:sz w:val="20"/>
          <w:szCs w:val="20"/>
        </w:rPr>
        <w:t>页</w:t>
      </w:r>
    </w:p>
    <w:p w14:paraId="33A999F2">
      <w:pPr>
        <w:spacing w:line="116" w:lineRule="exact"/>
      </w:pPr>
    </w:p>
    <w:tbl>
      <w:tblPr>
        <w:tblStyle w:val="5"/>
        <w:tblW w:w="8545" w:type="dxa"/>
        <w:tblInd w:w="1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6"/>
        <w:gridCol w:w="2172"/>
        <w:gridCol w:w="1079"/>
        <w:gridCol w:w="1079"/>
        <w:gridCol w:w="1163"/>
        <w:gridCol w:w="829"/>
        <w:gridCol w:w="1577"/>
      </w:tblGrid>
      <w:tr w14:paraId="60C14B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8" w:hRule="atLeast"/>
        </w:trPr>
        <w:tc>
          <w:tcPr>
            <w:tcW w:w="646" w:type="dxa"/>
            <w:tcBorders>
              <w:top w:val="single" w:color="000000" w:sz="4" w:space="0"/>
              <w:left w:val="single" w:color="000000" w:sz="4" w:space="0"/>
            </w:tcBorders>
            <w:vAlign w:val="top"/>
          </w:tcPr>
          <w:p w14:paraId="61622FB6">
            <w:pPr>
              <w:spacing w:line="287" w:lineRule="auto"/>
              <w:rPr>
                <w:rFonts w:ascii="Arial"/>
                <w:sz w:val="21"/>
              </w:rPr>
            </w:pPr>
          </w:p>
          <w:p w14:paraId="6F549449">
            <w:pPr>
              <w:pStyle w:val="6"/>
              <w:spacing w:before="65" w:line="229" w:lineRule="auto"/>
              <w:ind w:left="114"/>
            </w:pPr>
            <w:r>
              <w:rPr>
                <w:spacing w:val="5"/>
              </w:rPr>
              <w:t>序号</w:t>
            </w:r>
          </w:p>
        </w:tc>
        <w:tc>
          <w:tcPr>
            <w:tcW w:w="2172" w:type="dxa"/>
            <w:tcBorders>
              <w:top w:val="single" w:color="000000" w:sz="4" w:space="0"/>
            </w:tcBorders>
            <w:vAlign w:val="top"/>
          </w:tcPr>
          <w:p w14:paraId="3D94B31D">
            <w:pPr>
              <w:spacing w:line="288" w:lineRule="auto"/>
              <w:rPr>
                <w:rFonts w:ascii="Arial"/>
                <w:sz w:val="21"/>
              </w:rPr>
            </w:pPr>
          </w:p>
          <w:p w14:paraId="7B682E9D">
            <w:pPr>
              <w:pStyle w:val="6"/>
              <w:spacing w:before="65" w:line="228" w:lineRule="auto"/>
              <w:ind w:left="671"/>
            </w:pPr>
            <w:r>
              <w:rPr>
                <w:spacing w:val="6"/>
              </w:rPr>
              <w:t>工程名称</w:t>
            </w:r>
          </w:p>
        </w:tc>
        <w:tc>
          <w:tcPr>
            <w:tcW w:w="1079" w:type="dxa"/>
            <w:tcBorders>
              <w:top w:val="single" w:color="000000" w:sz="4" w:space="0"/>
              <w:right w:val="single" w:color="000000" w:sz="4" w:space="0"/>
            </w:tcBorders>
            <w:vAlign w:val="top"/>
          </w:tcPr>
          <w:p w14:paraId="3947D994">
            <w:pPr>
              <w:pStyle w:val="6"/>
              <w:spacing w:before="217" w:line="252" w:lineRule="auto"/>
              <w:ind w:left="239" w:right="117" w:hanging="112"/>
            </w:pPr>
            <w:r>
              <w:rPr>
                <w:spacing w:val="6"/>
              </w:rPr>
              <w:t>项目价值</w:t>
            </w:r>
            <w:r>
              <w:rPr>
                <w:spacing w:val="-1"/>
              </w:rPr>
              <w:t>（元）</w:t>
            </w:r>
          </w:p>
        </w:tc>
        <w:tc>
          <w:tcPr>
            <w:tcW w:w="1079" w:type="dxa"/>
            <w:tcBorders>
              <w:top w:val="single" w:color="000000" w:sz="4" w:space="0"/>
              <w:left w:val="single" w:color="000000" w:sz="4" w:space="0"/>
            </w:tcBorders>
            <w:vAlign w:val="top"/>
          </w:tcPr>
          <w:p w14:paraId="24AE2CBA">
            <w:pPr>
              <w:spacing w:line="287" w:lineRule="auto"/>
              <w:rPr>
                <w:rFonts w:ascii="Arial"/>
                <w:sz w:val="21"/>
              </w:rPr>
            </w:pPr>
          </w:p>
          <w:p w14:paraId="0648EDF3">
            <w:pPr>
              <w:pStyle w:val="6"/>
              <w:spacing w:before="65" w:line="228" w:lineRule="auto"/>
              <w:ind w:left="122"/>
            </w:pPr>
            <w:r>
              <w:rPr>
                <w:spacing w:val="7"/>
              </w:rPr>
              <w:t>服务内容</w:t>
            </w:r>
          </w:p>
        </w:tc>
        <w:tc>
          <w:tcPr>
            <w:tcW w:w="1163" w:type="dxa"/>
            <w:tcBorders>
              <w:top w:val="single" w:color="000000" w:sz="4" w:space="0"/>
            </w:tcBorders>
            <w:vAlign w:val="top"/>
          </w:tcPr>
          <w:p w14:paraId="06AB2CA4">
            <w:pPr>
              <w:spacing w:line="287" w:lineRule="auto"/>
              <w:rPr>
                <w:rFonts w:ascii="Arial"/>
                <w:sz w:val="21"/>
              </w:rPr>
            </w:pPr>
          </w:p>
          <w:p w14:paraId="6975CCEB">
            <w:pPr>
              <w:pStyle w:val="6"/>
              <w:spacing w:before="65" w:line="228" w:lineRule="auto"/>
              <w:ind w:left="169"/>
            </w:pPr>
            <w:r>
              <w:rPr>
                <w:spacing w:val="7"/>
              </w:rPr>
              <w:t>计算基础</w:t>
            </w:r>
          </w:p>
        </w:tc>
        <w:tc>
          <w:tcPr>
            <w:tcW w:w="829" w:type="dxa"/>
            <w:tcBorders>
              <w:top w:val="single" w:color="000000" w:sz="4" w:space="0"/>
            </w:tcBorders>
            <w:vAlign w:val="top"/>
          </w:tcPr>
          <w:p w14:paraId="4265B3CD">
            <w:pPr>
              <w:pStyle w:val="6"/>
              <w:spacing w:before="217" w:line="258" w:lineRule="auto"/>
              <w:ind w:left="168" w:right="165" w:firstLine="56"/>
            </w:pPr>
            <w:r>
              <w:rPr>
                <w:spacing w:val="-1"/>
              </w:rPr>
              <w:t>费率</w:t>
            </w:r>
            <w:r>
              <w:rPr>
                <w:spacing w:val="-4"/>
              </w:rPr>
              <w:t>（%）</w:t>
            </w:r>
          </w:p>
        </w:tc>
        <w:tc>
          <w:tcPr>
            <w:tcW w:w="1577" w:type="dxa"/>
            <w:tcBorders>
              <w:top w:val="single" w:color="000000" w:sz="4" w:space="0"/>
              <w:right w:val="single" w:color="000000" w:sz="4" w:space="0"/>
            </w:tcBorders>
            <w:vAlign w:val="top"/>
          </w:tcPr>
          <w:p w14:paraId="1F9FE562">
            <w:pPr>
              <w:spacing w:line="287" w:lineRule="auto"/>
              <w:rPr>
                <w:rFonts w:ascii="Arial"/>
                <w:sz w:val="21"/>
              </w:rPr>
            </w:pPr>
          </w:p>
          <w:p w14:paraId="151E604F">
            <w:pPr>
              <w:pStyle w:val="6"/>
              <w:spacing w:before="65" w:line="228" w:lineRule="auto"/>
              <w:ind w:left="272"/>
            </w:pPr>
            <w:r>
              <w:rPr>
                <w:spacing w:val="5"/>
              </w:rPr>
              <w:t>金额（元）</w:t>
            </w:r>
          </w:p>
        </w:tc>
      </w:tr>
      <w:tr w14:paraId="18C757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trPr>
        <w:tc>
          <w:tcPr>
            <w:tcW w:w="646" w:type="dxa"/>
            <w:tcBorders>
              <w:left w:val="single" w:color="000000" w:sz="4" w:space="0"/>
            </w:tcBorders>
            <w:vAlign w:val="top"/>
          </w:tcPr>
          <w:p w14:paraId="5399CB9E">
            <w:pPr>
              <w:spacing w:line="281" w:lineRule="auto"/>
              <w:rPr>
                <w:rFonts w:ascii="Arial"/>
                <w:sz w:val="21"/>
              </w:rPr>
            </w:pPr>
          </w:p>
          <w:p w14:paraId="381E4414">
            <w:pPr>
              <w:spacing w:before="65" w:line="275" w:lineRule="exact"/>
              <w:ind w:left="281"/>
              <w:rPr>
                <w:rFonts w:ascii="黑体" w:hAnsi="黑体" w:eastAsia="黑体" w:cs="黑体"/>
                <w:sz w:val="20"/>
                <w:szCs w:val="20"/>
              </w:rPr>
            </w:pPr>
            <w:r>
              <w:rPr>
                <w:rFonts w:ascii="黑体" w:hAnsi="黑体" w:eastAsia="黑体" w:cs="黑体"/>
                <w:position w:val="1"/>
                <w:sz w:val="20"/>
                <w:szCs w:val="20"/>
              </w:rPr>
              <w:t>1</w:t>
            </w:r>
          </w:p>
        </w:tc>
        <w:tc>
          <w:tcPr>
            <w:tcW w:w="2172" w:type="dxa"/>
            <w:vAlign w:val="top"/>
          </w:tcPr>
          <w:p w14:paraId="2A3859EA">
            <w:pPr>
              <w:spacing w:line="281" w:lineRule="auto"/>
              <w:rPr>
                <w:rFonts w:ascii="Arial"/>
                <w:sz w:val="21"/>
              </w:rPr>
            </w:pPr>
          </w:p>
          <w:p w14:paraId="3C638A1D">
            <w:pPr>
              <w:pStyle w:val="6"/>
              <w:spacing w:before="65" w:line="228" w:lineRule="auto"/>
              <w:ind w:left="113"/>
            </w:pPr>
            <w:r>
              <w:rPr>
                <w:spacing w:val="8"/>
              </w:rPr>
              <w:t>发包人发包专业工程</w:t>
            </w:r>
          </w:p>
        </w:tc>
        <w:tc>
          <w:tcPr>
            <w:tcW w:w="1079" w:type="dxa"/>
            <w:tcBorders>
              <w:right w:val="single" w:color="000000" w:sz="4" w:space="0"/>
            </w:tcBorders>
            <w:vAlign w:val="top"/>
          </w:tcPr>
          <w:p w14:paraId="547E34EB">
            <w:pPr>
              <w:rPr>
                <w:rFonts w:ascii="Arial"/>
                <w:sz w:val="21"/>
              </w:rPr>
            </w:pPr>
          </w:p>
        </w:tc>
        <w:tc>
          <w:tcPr>
            <w:tcW w:w="1079" w:type="dxa"/>
            <w:tcBorders>
              <w:left w:val="single" w:color="000000" w:sz="4" w:space="0"/>
            </w:tcBorders>
            <w:vAlign w:val="top"/>
          </w:tcPr>
          <w:p w14:paraId="70DFBE79">
            <w:pPr>
              <w:rPr>
                <w:rFonts w:ascii="Arial"/>
                <w:sz w:val="21"/>
              </w:rPr>
            </w:pPr>
          </w:p>
        </w:tc>
        <w:tc>
          <w:tcPr>
            <w:tcW w:w="1163" w:type="dxa"/>
            <w:vAlign w:val="top"/>
          </w:tcPr>
          <w:p w14:paraId="52049D1C">
            <w:pPr>
              <w:rPr>
                <w:rFonts w:ascii="Arial"/>
                <w:sz w:val="21"/>
              </w:rPr>
            </w:pPr>
          </w:p>
        </w:tc>
        <w:tc>
          <w:tcPr>
            <w:tcW w:w="829" w:type="dxa"/>
            <w:vAlign w:val="top"/>
          </w:tcPr>
          <w:p w14:paraId="36D7EFE1">
            <w:pPr>
              <w:rPr>
                <w:rFonts w:ascii="Arial"/>
                <w:sz w:val="21"/>
              </w:rPr>
            </w:pPr>
          </w:p>
        </w:tc>
        <w:tc>
          <w:tcPr>
            <w:tcW w:w="1577" w:type="dxa"/>
            <w:tcBorders>
              <w:right w:val="single" w:color="000000" w:sz="4" w:space="0"/>
            </w:tcBorders>
            <w:vAlign w:val="top"/>
          </w:tcPr>
          <w:p w14:paraId="5330D002">
            <w:pPr>
              <w:rPr>
                <w:rFonts w:ascii="Arial"/>
                <w:sz w:val="21"/>
              </w:rPr>
            </w:pPr>
          </w:p>
        </w:tc>
      </w:tr>
      <w:tr w14:paraId="4865E3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trPr>
        <w:tc>
          <w:tcPr>
            <w:tcW w:w="646" w:type="dxa"/>
            <w:tcBorders>
              <w:left w:val="single" w:color="000000" w:sz="4" w:space="0"/>
              <w:bottom w:val="single" w:color="000000" w:sz="4" w:space="0"/>
            </w:tcBorders>
            <w:vAlign w:val="top"/>
          </w:tcPr>
          <w:p w14:paraId="53603823">
            <w:pPr>
              <w:spacing w:line="284" w:lineRule="auto"/>
              <w:rPr>
                <w:rFonts w:ascii="Arial"/>
                <w:sz w:val="21"/>
              </w:rPr>
            </w:pPr>
          </w:p>
          <w:p w14:paraId="53210DC7">
            <w:pPr>
              <w:spacing w:before="65" w:line="275" w:lineRule="exact"/>
              <w:ind w:left="269"/>
              <w:rPr>
                <w:rFonts w:ascii="黑体" w:hAnsi="黑体" w:eastAsia="黑体" w:cs="黑体"/>
                <w:sz w:val="20"/>
                <w:szCs w:val="20"/>
              </w:rPr>
            </w:pPr>
            <w:r>
              <w:rPr>
                <w:rFonts w:ascii="黑体" w:hAnsi="黑体" w:eastAsia="黑体" w:cs="黑体"/>
                <w:position w:val="1"/>
                <w:sz w:val="20"/>
                <w:szCs w:val="20"/>
              </w:rPr>
              <w:t>2</w:t>
            </w:r>
          </w:p>
        </w:tc>
        <w:tc>
          <w:tcPr>
            <w:tcW w:w="2172" w:type="dxa"/>
            <w:vAlign w:val="top"/>
          </w:tcPr>
          <w:p w14:paraId="4594D678">
            <w:pPr>
              <w:spacing w:line="284" w:lineRule="auto"/>
              <w:rPr>
                <w:rFonts w:ascii="Arial"/>
                <w:sz w:val="21"/>
              </w:rPr>
            </w:pPr>
          </w:p>
          <w:p w14:paraId="2E03C3DF">
            <w:pPr>
              <w:pStyle w:val="6"/>
              <w:spacing w:before="65" w:line="227" w:lineRule="auto"/>
              <w:ind w:left="113"/>
            </w:pPr>
            <w:r>
              <w:rPr>
                <w:spacing w:val="8"/>
              </w:rPr>
              <w:t>发包人提供材料</w:t>
            </w:r>
          </w:p>
        </w:tc>
        <w:tc>
          <w:tcPr>
            <w:tcW w:w="1079" w:type="dxa"/>
            <w:tcBorders>
              <w:right w:val="single" w:color="000000" w:sz="4" w:space="0"/>
            </w:tcBorders>
            <w:vAlign w:val="top"/>
          </w:tcPr>
          <w:p w14:paraId="0C2F9A89">
            <w:pPr>
              <w:rPr>
                <w:rFonts w:ascii="Arial"/>
                <w:sz w:val="21"/>
              </w:rPr>
            </w:pPr>
          </w:p>
        </w:tc>
        <w:tc>
          <w:tcPr>
            <w:tcW w:w="1079" w:type="dxa"/>
            <w:tcBorders>
              <w:left w:val="single" w:color="000000" w:sz="4" w:space="0"/>
            </w:tcBorders>
            <w:vAlign w:val="top"/>
          </w:tcPr>
          <w:p w14:paraId="7FED3A45">
            <w:pPr>
              <w:rPr>
                <w:rFonts w:ascii="Arial"/>
                <w:sz w:val="21"/>
              </w:rPr>
            </w:pPr>
          </w:p>
        </w:tc>
        <w:tc>
          <w:tcPr>
            <w:tcW w:w="1163" w:type="dxa"/>
            <w:vAlign w:val="top"/>
          </w:tcPr>
          <w:p w14:paraId="477A8AC0">
            <w:pPr>
              <w:rPr>
                <w:rFonts w:ascii="Arial"/>
                <w:sz w:val="21"/>
              </w:rPr>
            </w:pPr>
          </w:p>
        </w:tc>
        <w:tc>
          <w:tcPr>
            <w:tcW w:w="829" w:type="dxa"/>
            <w:vAlign w:val="top"/>
          </w:tcPr>
          <w:p w14:paraId="5D683DB8">
            <w:pPr>
              <w:rPr>
                <w:rFonts w:ascii="Arial"/>
                <w:sz w:val="21"/>
              </w:rPr>
            </w:pPr>
          </w:p>
        </w:tc>
        <w:tc>
          <w:tcPr>
            <w:tcW w:w="1577" w:type="dxa"/>
            <w:tcBorders>
              <w:right w:val="single" w:color="000000" w:sz="4" w:space="0"/>
            </w:tcBorders>
            <w:vAlign w:val="top"/>
          </w:tcPr>
          <w:p w14:paraId="41BA12F8">
            <w:pPr>
              <w:rPr>
                <w:rFonts w:ascii="Arial"/>
                <w:sz w:val="21"/>
              </w:rPr>
            </w:pPr>
          </w:p>
        </w:tc>
      </w:tr>
      <w:tr w14:paraId="61AE37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trPr>
        <w:tc>
          <w:tcPr>
            <w:tcW w:w="646" w:type="dxa"/>
            <w:tcBorders>
              <w:top w:val="single" w:color="000000" w:sz="4" w:space="0"/>
              <w:left w:val="single" w:color="000000" w:sz="4" w:space="0"/>
            </w:tcBorders>
            <w:vAlign w:val="top"/>
          </w:tcPr>
          <w:p w14:paraId="77316C41">
            <w:pPr>
              <w:rPr>
                <w:rFonts w:ascii="Arial"/>
                <w:sz w:val="21"/>
              </w:rPr>
            </w:pPr>
          </w:p>
        </w:tc>
        <w:tc>
          <w:tcPr>
            <w:tcW w:w="2172" w:type="dxa"/>
            <w:vAlign w:val="top"/>
          </w:tcPr>
          <w:p w14:paraId="2E360FE9">
            <w:pPr>
              <w:rPr>
                <w:rFonts w:ascii="Arial"/>
                <w:sz w:val="21"/>
              </w:rPr>
            </w:pPr>
          </w:p>
        </w:tc>
        <w:tc>
          <w:tcPr>
            <w:tcW w:w="1079" w:type="dxa"/>
            <w:tcBorders>
              <w:right w:val="single" w:color="000000" w:sz="4" w:space="0"/>
            </w:tcBorders>
            <w:vAlign w:val="top"/>
          </w:tcPr>
          <w:p w14:paraId="327084E7">
            <w:pPr>
              <w:rPr>
                <w:rFonts w:ascii="Arial"/>
                <w:sz w:val="21"/>
              </w:rPr>
            </w:pPr>
          </w:p>
        </w:tc>
        <w:tc>
          <w:tcPr>
            <w:tcW w:w="1079" w:type="dxa"/>
            <w:tcBorders>
              <w:left w:val="single" w:color="000000" w:sz="4" w:space="0"/>
            </w:tcBorders>
            <w:vAlign w:val="top"/>
          </w:tcPr>
          <w:p w14:paraId="6EEEF0E2">
            <w:pPr>
              <w:rPr>
                <w:rFonts w:ascii="Arial"/>
                <w:sz w:val="21"/>
              </w:rPr>
            </w:pPr>
          </w:p>
        </w:tc>
        <w:tc>
          <w:tcPr>
            <w:tcW w:w="1163" w:type="dxa"/>
            <w:vAlign w:val="top"/>
          </w:tcPr>
          <w:p w14:paraId="1D5DD2F7">
            <w:pPr>
              <w:rPr>
                <w:rFonts w:ascii="Arial"/>
                <w:sz w:val="21"/>
              </w:rPr>
            </w:pPr>
          </w:p>
        </w:tc>
        <w:tc>
          <w:tcPr>
            <w:tcW w:w="829" w:type="dxa"/>
            <w:vAlign w:val="top"/>
          </w:tcPr>
          <w:p w14:paraId="4E2CD548">
            <w:pPr>
              <w:rPr>
                <w:rFonts w:ascii="Arial"/>
                <w:sz w:val="21"/>
              </w:rPr>
            </w:pPr>
          </w:p>
        </w:tc>
        <w:tc>
          <w:tcPr>
            <w:tcW w:w="1577" w:type="dxa"/>
            <w:tcBorders>
              <w:right w:val="single" w:color="000000" w:sz="4" w:space="0"/>
            </w:tcBorders>
            <w:vAlign w:val="top"/>
          </w:tcPr>
          <w:p w14:paraId="21040406">
            <w:pPr>
              <w:rPr>
                <w:rFonts w:ascii="Arial"/>
                <w:sz w:val="21"/>
              </w:rPr>
            </w:pPr>
          </w:p>
        </w:tc>
      </w:tr>
      <w:tr w14:paraId="45353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3" w:hRule="atLeast"/>
        </w:trPr>
        <w:tc>
          <w:tcPr>
            <w:tcW w:w="646" w:type="dxa"/>
            <w:tcBorders>
              <w:left w:val="single" w:color="000000" w:sz="4" w:space="0"/>
            </w:tcBorders>
            <w:vAlign w:val="top"/>
          </w:tcPr>
          <w:p w14:paraId="2C1FD4B9">
            <w:pPr>
              <w:rPr>
                <w:rFonts w:ascii="Arial"/>
                <w:sz w:val="21"/>
              </w:rPr>
            </w:pPr>
          </w:p>
        </w:tc>
        <w:tc>
          <w:tcPr>
            <w:tcW w:w="2172" w:type="dxa"/>
            <w:vAlign w:val="top"/>
          </w:tcPr>
          <w:p w14:paraId="67EF8685">
            <w:pPr>
              <w:rPr>
                <w:rFonts w:ascii="Arial"/>
                <w:sz w:val="21"/>
              </w:rPr>
            </w:pPr>
          </w:p>
        </w:tc>
        <w:tc>
          <w:tcPr>
            <w:tcW w:w="1079" w:type="dxa"/>
            <w:tcBorders>
              <w:right w:val="single" w:color="000000" w:sz="4" w:space="0"/>
            </w:tcBorders>
            <w:vAlign w:val="top"/>
          </w:tcPr>
          <w:p w14:paraId="459FDB91">
            <w:pPr>
              <w:rPr>
                <w:rFonts w:ascii="Arial"/>
                <w:sz w:val="21"/>
              </w:rPr>
            </w:pPr>
          </w:p>
        </w:tc>
        <w:tc>
          <w:tcPr>
            <w:tcW w:w="1079" w:type="dxa"/>
            <w:tcBorders>
              <w:left w:val="single" w:color="000000" w:sz="4" w:space="0"/>
            </w:tcBorders>
            <w:vAlign w:val="top"/>
          </w:tcPr>
          <w:p w14:paraId="31A0967D">
            <w:pPr>
              <w:rPr>
                <w:rFonts w:ascii="Arial"/>
                <w:sz w:val="21"/>
              </w:rPr>
            </w:pPr>
          </w:p>
        </w:tc>
        <w:tc>
          <w:tcPr>
            <w:tcW w:w="1163" w:type="dxa"/>
            <w:vAlign w:val="top"/>
          </w:tcPr>
          <w:p w14:paraId="6AEB452A">
            <w:pPr>
              <w:rPr>
                <w:rFonts w:ascii="Arial"/>
                <w:sz w:val="21"/>
              </w:rPr>
            </w:pPr>
          </w:p>
        </w:tc>
        <w:tc>
          <w:tcPr>
            <w:tcW w:w="829" w:type="dxa"/>
            <w:vAlign w:val="top"/>
          </w:tcPr>
          <w:p w14:paraId="2B4F81D5">
            <w:pPr>
              <w:rPr>
                <w:rFonts w:ascii="Arial"/>
                <w:sz w:val="21"/>
              </w:rPr>
            </w:pPr>
          </w:p>
        </w:tc>
        <w:tc>
          <w:tcPr>
            <w:tcW w:w="1577" w:type="dxa"/>
            <w:tcBorders>
              <w:right w:val="single" w:color="000000" w:sz="4" w:space="0"/>
            </w:tcBorders>
            <w:vAlign w:val="top"/>
          </w:tcPr>
          <w:p w14:paraId="4E91E867">
            <w:pPr>
              <w:rPr>
                <w:rFonts w:ascii="Arial"/>
                <w:sz w:val="21"/>
              </w:rPr>
            </w:pPr>
          </w:p>
        </w:tc>
      </w:tr>
      <w:tr w14:paraId="71218E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trPr>
        <w:tc>
          <w:tcPr>
            <w:tcW w:w="646" w:type="dxa"/>
            <w:tcBorders>
              <w:left w:val="single" w:color="000000" w:sz="4" w:space="0"/>
            </w:tcBorders>
            <w:vAlign w:val="top"/>
          </w:tcPr>
          <w:p w14:paraId="0C4A2894">
            <w:pPr>
              <w:rPr>
                <w:rFonts w:ascii="Arial"/>
                <w:sz w:val="21"/>
              </w:rPr>
            </w:pPr>
          </w:p>
        </w:tc>
        <w:tc>
          <w:tcPr>
            <w:tcW w:w="2172" w:type="dxa"/>
            <w:vAlign w:val="top"/>
          </w:tcPr>
          <w:p w14:paraId="0DA9CB7E">
            <w:pPr>
              <w:rPr>
                <w:rFonts w:ascii="Arial"/>
                <w:sz w:val="21"/>
              </w:rPr>
            </w:pPr>
          </w:p>
        </w:tc>
        <w:tc>
          <w:tcPr>
            <w:tcW w:w="1079" w:type="dxa"/>
            <w:tcBorders>
              <w:right w:val="single" w:color="000000" w:sz="4" w:space="0"/>
            </w:tcBorders>
            <w:vAlign w:val="top"/>
          </w:tcPr>
          <w:p w14:paraId="21DC05A5">
            <w:pPr>
              <w:rPr>
                <w:rFonts w:ascii="Arial"/>
                <w:sz w:val="21"/>
              </w:rPr>
            </w:pPr>
          </w:p>
        </w:tc>
        <w:tc>
          <w:tcPr>
            <w:tcW w:w="1079" w:type="dxa"/>
            <w:tcBorders>
              <w:left w:val="single" w:color="000000" w:sz="4" w:space="0"/>
            </w:tcBorders>
            <w:vAlign w:val="top"/>
          </w:tcPr>
          <w:p w14:paraId="44F3CC4A">
            <w:pPr>
              <w:rPr>
                <w:rFonts w:ascii="Arial"/>
                <w:sz w:val="21"/>
              </w:rPr>
            </w:pPr>
          </w:p>
        </w:tc>
        <w:tc>
          <w:tcPr>
            <w:tcW w:w="1163" w:type="dxa"/>
            <w:vAlign w:val="top"/>
          </w:tcPr>
          <w:p w14:paraId="53CF3520">
            <w:pPr>
              <w:rPr>
                <w:rFonts w:ascii="Arial"/>
                <w:sz w:val="21"/>
              </w:rPr>
            </w:pPr>
          </w:p>
        </w:tc>
        <w:tc>
          <w:tcPr>
            <w:tcW w:w="829" w:type="dxa"/>
            <w:vAlign w:val="top"/>
          </w:tcPr>
          <w:p w14:paraId="31A59C5B">
            <w:pPr>
              <w:rPr>
                <w:rFonts w:ascii="Arial"/>
                <w:sz w:val="21"/>
              </w:rPr>
            </w:pPr>
          </w:p>
        </w:tc>
        <w:tc>
          <w:tcPr>
            <w:tcW w:w="1577" w:type="dxa"/>
            <w:tcBorders>
              <w:right w:val="single" w:color="000000" w:sz="4" w:space="0"/>
            </w:tcBorders>
            <w:vAlign w:val="top"/>
          </w:tcPr>
          <w:p w14:paraId="4D999055">
            <w:pPr>
              <w:rPr>
                <w:rFonts w:ascii="Arial"/>
                <w:sz w:val="21"/>
              </w:rPr>
            </w:pPr>
          </w:p>
        </w:tc>
      </w:tr>
      <w:tr w14:paraId="6BBD16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trPr>
        <w:tc>
          <w:tcPr>
            <w:tcW w:w="646" w:type="dxa"/>
            <w:tcBorders>
              <w:left w:val="single" w:color="000000" w:sz="4" w:space="0"/>
            </w:tcBorders>
            <w:vAlign w:val="top"/>
          </w:tcPr>
          <w:p w14:paraId="3C6F5460">
            <w:pPr>
              <w:rPr>
                <w:rFonts w:ascii="Arial"/>
                <w:sz w:val="21"/>
              </w:rPr>
            </w:pPr>
          </w:p>
        </w:tc>
        <w:tc>
          <w:tcPr>
            <w:tcW w:w="2172" w:type="dxa"/>
            <w:vAlign w:val="top"/>
          </w:tcPr>
          <w:p w14:paraId="52EAFE2C">
            <w:pPr>
              <w:rPr>
                <w:rFonts w:ascii="Arial"/>
                <w:sz w:val="21"/>
              </w:rPr>
            </w:pPr>
          </w:p>
        </w:tc>
        <w:tc>
          <w:tcPr>
            <w:tcW w:w="1079" w:type="dxa"/>
            <w:tcBorders>
              <w:right w:val="single" w:color="000000" w:sz="4" w:space="0"/>
            </w:tcBorders>
            <w:vAlign w:val="top"/>
          </w:tcPr>
          <w:p w14:paraId="1367C728">
            <w:pPr>
              <w:rPr>
                <w:rFonts w:ascii="Arial"/>
                <w:sz w:val="21"/>
              </w:rPr>
            </w:pPr>
          </w:p>
        </w:tc>
        <w:tc>
          <w:tcPr>
            <w:tcW w:w="1079" w:type="dxa"/>
            <w:tcBorders>
              <w:left w:val="single" w:color="000000" w:sz="4" w:space="0"/>
            </w:tcBorders>
            <w:vAlign w:val="top"/>
          </w:tcPr>
          <w:p w14:paraId="7F31D371">
            <w:pPr>
              <w:rPr>
                <w:rFonts w:ascii="Arial"/>
                <w:sz w:val="21"/>
              </w:rPr>
            </w:pPr>
          </w:p>
        </w:tc>
        <w:tc>
          <w:tcPr>
            <w:tcW w:w="1163" w:type="dxa"/>
            <w:vAlign w:val="top"/>
          </w:tcPr>
          <w:p w14:paraId="3E10AECE">
            <w:pPr>
              <w:rPr>
                <w:rFonts w:ascii="Arial"/>
                <w:sz w:val="21"/>
              </w:rPr>
            </w:pPr>
          </w:p>
        </w:tc>
        <w:tc>
          <w:tcPr>
            <w:tcW w:w="829" w:type="dxa"/>
            <w:vAlign w:val="top"/>
          </w:tcPr>
          <w:p w14:paraId="2C1A9950">
            <w:pPr>
              <w:rPr>
                <w:rFonts w:ascii="Arial"/>
                <w:sz w:val="21"/>
              </w:rPr>
            </w:pPr>
          </w:p>
        </w:tc>
        <w:tc>
          <w:tcPr>
            <w:tcW w:w="1577" w:type="dxa"/>
            <w:tcBorders>
              <w:right w:val="single" w:color="000000" w:sz="4" w:space="0"/>
            </w:tcBorders>
            <w:vAlign w:val="top"/>
          </w:tcPr>
          <w:p w14:paraId="66931237">
            <w:pPr>
              <w:rPr>
                <w:rFonts w:ascii="Arial"/>
                <w:sz w:val="21"/>
              </w:rPr>
            </w:pPr>
          </w:p>
        </w:tc>
      </w:tr>
      <w:tr w14:paraId="1C59D5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trPr>
        <w:tc>
          <w:tcPr>
            <w:tcW w:w="646" w:type="dxa"/>
            <w:tcBorders>
              <w:left w:val="single" w:color="000000" w:sz="4" w:space="0"/>
            </w:tcBorders>
            <w:vAlign w:val="top"/>
          </w:tcPr>
          <w:p w14:paraId="4811B957">
            <w:pPr>
              <w:rPr>
                <w:rFonts w:ascii="Arial"/>
                <w:sz w:val="21"/>
              </w:rPr>
            </w:pPr>
          </w:p>
        </w:tc>
        <w:tc>
          <w:tcPr>
            <w:tcW w:w="2172" w:type="dxa"/>
            <w:vAlign w:val="top"/>
          </w:tcPr>
          <w:p w14:paraId="1D001CB7">
            <w:pPr>
              <w:rPr>
                <w:rFonts w:ascii="Arial"/>
                <w:sz w:val="21"/>
              </w:rPr>
            </w:pPr>
          </w:p>
        </w:tc>
        <w:tc>
          <w:tcPr>
            <w:tcW w:w="1079" w:type="dxa"/>
            <w:tcBorders>
              <w:right w:val="single" w:color="000000" w:sz="4" w:space="0"/>
            </w:tcBorders>
            <w:vAlign w:val="top"/>
          </w:tcPr>
          <w:p w14:paraId="50237AEE">
            <w:pPr>
              <w:rPr>
                <w:rFonts w:ascii="Arial"/>
                <w:sz w:val="21"/>
              </w:rPr>
            </w:pPr>
          </w:p>
        </w:tc>
        <w:tc>
          <w:tcPr>
            <w:tcW w:w="1079" w:type="dxa"/>
            <w:tcBorders>
              <w:left w:val="single" w:color="000000" w:sz="4" w:space="0"/>
            </w:tcBorders>
            <w:vAlign w:val="top"/>
          </w:tcPr>
          <w:p w14:paraId="36666E16">
            <w:pPr>
              <w:rPr>
                <w:rFonts w:ascii="Arial"/>
                <w:sz w:val="21"/>
              </w:rPr>
            </w:pPr>
          </w:p>
        </w:tc>
        <w:tc>
          <w:tcPr>
            <w:tcW w:w="1163" w:type="dxa"/>
            <w:vAlign w:val="top"/>
          </w:tcPr>
          <w:p w14:paraId="3323956A">
            <w:pPr>
              <w:rPr>
                <w:rFonts w:ascii="Arial"/>
                <w:sz w:val="21"/>
              </w:rPr>
            </w:pPr>
          </w:p>
        </w:tc>
        <w:tc>
          <w:tcPr>
            <w:tcW w:w="829" w:type="dxa"/>
            <w:vAlign w:val="top"/>
          </w:tcPr>
          <w:p w14:paraId="57C854D2">
            <w:pPr>
              <w:rPr>
                <w:rFonts w:ascii="Arial"/>
                <w:sz w:val="21"/>
              </w:rPr>
            </w:pPr>
          </w:p>
        </w:tc>
        <w:tc>
          <w:tcPr>
            <w:tcW w:w="1577" w:type="dxa"/>
            <w:tcBorders>
              <w:right w:val="single" w:color="000000" w:sz="4" w:space="0"/>
            </w:tcBorders>
            <w:vAlign w:val="top"/>
          </w:tcPr>
          <w:p w14:paraId="5F4A5DB8">
            <w:pPr>
              <w:rPr>
                <w:rFonts w:ascii="Arial"/>
                <w:sz w:val="21"/>
              </w:rPr>
            </w:pPr>
          </w:p>
        </w:tc>
      </w:tr>
      <w:tr w14:paraId="5EE70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3" w:hRule="atLeast"/>
        </w:trPr>
        <w:tc>
          <w:tcPr>
            <w:tcW w:w="646" w:type="dxa"/>
            <w:tcBorders>
              <w:left w:val="single" w:color="000000" w:sz="4" w:space="0"/>
            </w:tcBorders>
            <w:vAlign w:val="top"/>
          </w:tcPr>
          <w:p w14:paraId="40D7509C">
            <w:pPr>
              <w:rPr>
                <w:rFonts w:ascii="Arial"/>
                <w:sz w:val="21"/>
              </w:rPr>
            </w:pPr>
          </w:p>
        </w:tc>
        <w:tc>
          <w:tcPr>
            <w:tcW w:w="2172" w:type="dxa"/>
            <w:vAlign w:val="top"/>
          </w:tcPr>
          <w:p w14:paraId="23C360D6">
            <w:pPr>
              <w:rPr>
                <w:rFonts w:ascii="Arial"/>
                <w:sz w:val="21"/>
              </w:rPr>
            </w:pPr>
          </w:p>
        </w:tc>
        <w:tc>
          <w:tcPr>
            <w:tcW w:w="1079" w:type="dxa"/>
            <w:tcBorders>
              <w:right w:val="single" w:color="000000" w:sz="4" w:space="0"/>
            </w:tcBorders>
            <w:vAlign w:val="top"/>
          </w:tcPr>
          <w:p w14:paraId="7133EC1F">
            <w:pPr>
              <w:rPr>
                <w:rFonts w:ascii="Arial"/>
                <w:sz w:val="21"/>
              </w:rPr>
            </w:pPr>
          </w:p>
        </w:tc>
        <w:tc>
          <w:tcPr>
            <w:tcW w:w="1079" w:type="dxa"/>
            <w:tcBorders>
              <w:left w:val="single" w:color="000000" w:sz="4" w:space="0"/>
            </w:tcBorders>
            <w:vAlign w:val="top"/>
          </w:tcPr>
          <w:p w14:paraId="403C7ED0">
            <w:pPr>
              <w:rPr>
                <w:rFonts w:ascii="Arial"/>
                <w:sz w:val="21"/>
              </w:rPr>
            </w:pPr>
          </w:p>
        </w:tc>
        <w:tc>
          <w:tcPr>
            <w:tcW w:w="1163" w:type="dxa"/>
            <w:vAlign w:val="top"/>
          </w:tcPr>
          <w:p w14:paraId="4BF10005">
            <w:pPr>
              <w:rPr>
                <w:rFonts w:ascii="Arial"/>
                <w:sz w:val="21"/>
              </w:rPr>
            </w:pPr>
          </w:p>
        </w:tc>
        <w:tc>
          <w:tcPr>
            <w:tcW w:w="829" w:type="dxa"/>
            <w:vAlign w:val="top"/>
          </w:tcPr>
          <w:p w14:paraId="3107EE2C">
            <w:pPr>
              <w:rPr>
                <w:rFonts w:ascii="Arial"/>
                <w:sz w:val="21"/>
              </w:rPr>
            </w:pPr>
          </w:p>
        </w:tc>
        <w:tc>
          <w:tcPr>
            <w:tcW w:w="1577" w:type="dxa"/>
            <w:tcBorders>
              <w:right w:val="single" w:color="000000" w:sz="4" w:space="0"/>
            </w:tcBorders>
            <w:vAlign w:val="top"/>
          </w:tcPr>
          <w:p w14:paraId="6B08E2FC">
            <w:pPr>
              <w:rPr>
                <w:rFonts w:ascii="Arial"/>
                <w:sz w:val="21"/>
              </w:rPr>
            </w:pPr>
          </w:p>
        </w:tc>
      </w:tr>
      <w:tr w14:paraId="781B96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trPr>
        <w:tc>
          <w:tcPr>
            <w:tcW w:w="646" w:type="dxa"/>
            <w:tcBorders>
              <w:left w:val="single" w:color="000000" w:sz="4" w:space="0"/>
            </w:tcBorders>
            <w:vAlign w:val="top"/>
          </w:tcPr>
          <w:p w14:paraId="4185279D">
            <w:pPr>
              <w:rPr>
                <w:rFonts w:ascii="Arial"/>
                <w:sz w:val="21"/>
              </w:rPr>
            </w:pPr>
          </w:p>
        </w:tc>
        <w:tc>
          <w:tcPr>
            <w:tcW w:w="2172" w:type="dxa"/>
            <w:vAlign w:val="top"/>
          </w:tcPr>
          <w:p w14:paraId="3E87FE32">
            <w:pPr>
              <w:rPr>
                <w:rFonts w:ascii="Arial"/>
                <w:sz w:val="21"/>
              </w:rPr>
            </w:pPr>
          </w:p>
        </w:tc>
        <w:tc>
          <w:tcPr>
            <w:tcW w:w="1079" w:type="dxa"/>
            <w:tcBorders>
              <w:right w:val="single" w:color="000000" w:sz="4" w:space="0"/>
            </w:tcBorders>
            <w:vAlign w:val="top"/>
          </w:tcPr>
          <w:p w14:paraId="2115D989">
            <w:pPr>
              <w:rPr>
                <w:rFonts w:ascii="Arial"/>
                <w:sz w:val="21"/>
              </w:rPr>
            </w:pPr>
          </w:p>
        </w:tc>
        <w:tc>
          <w:tcPr>
            <w:tcW w:w="1079" w:type="dxa"/>
            <w:tcBorders>
              <w:left w:val="single" w:color="000000" w:sz="4" w:space="0"/>
            </w:tcBorders>
            <w:vAlign w:val="top"/>
          </w:tcPr>
          <w:p w14:paraId="7242AB8F">
            <w:pPr>
              <w:rPr>
                <w:rFonts w:ascii="Arial"/>
                <w:sz w:val="21"/>
              </w:rPr>
            </w:pPr>
          </w:p>
        </w:tc>
        <w:tc>
          <w:tcPr>
            <w:tcW w:w="1163" w:type="dxa"/>
            <w:vAlign w:val="top"/>
          </w:tcPr>
          <w:p w14:paraId="11563468">
            <w:pPr>
              <w:rPr>
                <w:rFonts w:ascii="Arial"/>
                <w:sz w:val="21"/>
              </w:rPr>
            </w:pPr>
          </w:p>
        </w:tc>
        <w:tc>
          <w:tcPr>
            <w:tcW w:w="829" w:type="dxa"/>
            <w:vAlign w:val="top"/>
          </w:tcPr>
          <w:p w14:paraId="286D7405">
            <w:pPr>
              <w:rPr>
                <w:rFonts w:ascii="Arial"/>
                <w:sz w:val="21"/>
              </w:rPr>
            </w:pPr>
          </w:p>
        </w:tc>
        <w:tc>
          <w:tcPr>
            <w:tcW w:w="1577" w:type="dxa"/>
            <w:tcBorders>
              <w:right w:val="single" w:color="000000" w:sz="4" w:space="0"/>
            </w:tcBorders>
            <w:vAlign w:val="top"/>
          </w:tcPr>
          <w:p w14:paraId="387CD127">
            <w:pPr>
              <w:rPr>
                <w:rFonts w:ascii="Arial"/>
                <w:sz w:val="21"/>
              </w:rPr>
            </w:pPr>
          </w:p>
        </w:tc>
      </w:tr>
      <w:tr w14:paraId="5477D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646" w:type="dxa"/>
            <w:tcBorders>
              <w:left w:val="single" w:color="000000" w:sz="4" w:space="0"/>
              <w:bottom w:val="single" w:color="000000" w:sz="4" w:space="0"/>
            </w:tcBorders>
            <w:vAlign w:val="top"/>
          </w:tcPr>
          <w:p w14:paraId="754B672C">
            <w:pPr>
              <w:rPr>
                <w:rFonts w:ascii="Arial"/>
                <w:sz w:val="21"/>
              </w:rPr>
            </w:pPr>
          </w:p>
        </w:tc>
        <w:tc>
          <w:tcPr>
            <w:tcW w:w="2172" w:type="dxa"/>
            <w:tcBorders>
              <w:bottom w:val="single" w:color="000000" w:sz="4" w:space="0"/>
            </w:tcBorders>
            <w:vAlign w:val="top"/>
          </w:tcPr>
          <w:p w14:paraId="1D0F24CF">
            <w:pPr>
              <w:spacing w:line="292" w:lineRule="auto"/>
              <w:rPr>
                <w:rFonts w:ascii="Arial"/>
                <w:sz w:val="21"/>
              </w:rPr>
            </w:pPr>
          </w:p>
          <w:p w14:paraId="69A10E71">
            <w:pPr>
              <w:pStyle w:val="6"/>
              <w:spacing w:before="65" w:line="229" w:lineRule="auto"/>
              <w:ind w:left="878"/>
            </w:pPr>
            <w:r>
              <w:rPr>
                <w:spacing w:val="4"/>
              </w:rPr>
              <w:t>合计</w:t>
            </w:r>
          </w:p>
        </w:tc>
        <w:tc>
          <w:tcPr>
            <w:tcW w:w="1079" w:type="dxa"/>
            <w:tcBorders>
              <w:bottom w:val="single" w:color="000000" w:sz="4" w:space="0"/>
              <w:right w:val="single" w:color="000000" w:sz="4" w:space="0"/>
            </w:tcBorders>
            <w:vAlign w:val="top"/>
          </w:tcPr>
          <w:p w14:paraId="0E73C1CF">
            <w:pPr>
              <w:spacing w:line="390" w:lineRule="auto"/>
              <w:rPr>
                <w:rFonts w:ascii="Arial"/>
                <w:sz w:val="21"/>
              </w:rPr>
            </w:pPr>
          </w:p>
          <w:p w14:paraId="317A8E55">
            <w:pPr>
              <w:pStyle w:val="6"/>
              <w:spacing w:before="65" w:line="136" w:lineRule="exact"/>
              <w:ind w:left="437"/>
            </w:pPr>
            <w:r>
              <w:rPr>
                <w:spacing w:val="2"/>
                <w:position w:val="-3"/>
              </w:rPr>
              <w:t>—</w:t>
            </w:r>
          </w:p>
        </w:tc>
        <w:tc>
          <w:tcPr>
            <w:tcW w:w="1079" w:type="dxa"/>
            <w:tcBorders>
              <w:left w:val="single" w:color="000000" w:sz="4" w:space="0"/>
              <w:bottom w:val="single" w:color="000000" w:sz="4" w:space="0"/>
            </w:tcBorders>
            <w:vAlign w:val="top"/>
          </w:tcPr>
          <w:p w14:paraId="640541F3">
            <w:pPr>
              <w:spacing w:line="390" w:lineRule="auto"/>
              <w:rPr>
                <w:rFonts w:ascii="Arial"/>
                <w:sz w:val="21"/>
              </w:rPr>
            </w:pPr>
          </w:p>
          <w:p w14:paraId="485809BD">
            <w:pPr>
              <w:pStyle w:val="6"/>
              <w:spacing w:before="65" w:line="136" w:lineRule="exact"/>
              <w:ind w:left="435"/>
            </w:pPr>
            <w:r>
              <w:rPr>
                <w:spacing w:val="2"/>
                <w:position w:val="-3"/>
              </w:rPr>
              <w:t>—</w:t>
            </w:r>
          </w:p>
        </w:tc>
        <w:tc>
          <w:tcPr>
            <w:tcW w:w="1163" w:type="dxa"/>
            <w:tcBorders>
              <w:bottom w:val="single" w:color="000000" w:sz="4" w:space="0"/>
            </w:tcBorders>
            <w:vAlign w:val="top"/>
          </w:tcPr>
          <w:p w14:paraId="71FB5E0F">
            <w:pPr>
              <w:rPr>
                <w:rFonts w:ascii="Arial"/>
                <w:sz w:val="21"/>
              </w:rPr>
            </w:pPr>
          </w:p>
        </w:tc>
        <w:tc>
          <w:tcPr>
            <w:tcW w:w="829" w:type="dxa"/>
            <w:tcBorders>
              <w:bottom w:val="single" w:color="000000" w:sz="4" w:space="0"/>
            </w:tcBorders>
            <w:vAlign w:val="top"/>
          </w:tcPr>
          <w:p w14:paraId="4CF02AC2">
            <w:pPr>
              <w:spacing w:line="390" w:lineRule="auto"/>
              <w:rPr>
                <w:rFonts w:ascii="Arial"/>
                <w:sz w:val="21"/>
              </w:rPr>
            </w:pPr>
          </w:p>
          <w:p w14:paraId="4E46CB67">
            <w:pPr>
              <w:pStyle w:val="6"/>
              <w:spacing w:before="65" w:line="136" w:lineRule="exact"/>
              <w:ind w:left="315"/>
            </w:pPr>
            <w:r>
              <w:rPr>
                <w:spacing w:val="2"/>
                <w:position w:val="-3"/>
              </w:rPr>
              <w:t>—</w:t>
            </w:r>
          </w:p>
        </w:tc>
        <w:tc>
          <w:tcPr>
            <w:tcW w:w="1577" w:type="dxa"/>
            <w:tcBorders>
              <w:bottom w:val="single" w:color="000000" w:sz="4" w:space="0"/>
              <w:right w:val="single" w:color="000000" w:sz="4" w:space="0"/>
            </w:tcBorders>
            <w:vAlign w:val="top"/>
          </w:tcPr>
          <w:p w14:paraId="56263CE8">
            <w:pPr>
              <w:rPr>
                <w:rFonts w:ascii="Arial"/>
                <w:sz w:val="21"/>
              </w:rPr>
            </w:pPr>
          </w:p>
        </w:tc>
      </w:tr>
    </w:tbl>
    <w:p w14:paraId="09D9EB27">
      <w:pPr>
        <w:spacing w:line="444" w:lineRule="auto"/>
        <w:rPr>
          <w:rFonts w:ascii="Arial"/>
          <w:sz w:val="21"/>
        </w:rPr>
      </w:pPr>
    </w:p>
    <w:p w14:paraId="44C2EF2A">
      <w:pPr>
        <w:spacing w:before="65" w:line="253" w:lineRule="auto"/>
        <w:ind w:left="424" w:hanging="420"/>
        <w:rPr>
          <w:rFonts w:ascii="宋体" w:hAnsi="宋体" w:eastAsia="宋体" w:cs="宋体"/>
          <w:sz w:val="20"/>
          <w:szCs w:val="20"/>
        </w:rPr>
      </w:pPr>
      <w:r>
        <w:rPr>
          <w:rFonts w:ascii="宋体" w:hAnsi="宋体" w:eastAsia="宋体" w:cs="宋体"/>
          <w:spacing w:val="10"/>
          <w:sz w:val="20"/>
          <w:szCs w:val="20"/>
        </w:rPr>
        <w:t>注：此表项目名称、服务内容由招标人填写，编制招标控制价时，费率及</w:t>
      </w:r>
      <w:r>
        <w:rPr>
          <w:rFonts w:ascii="宋体" w:hAnsi="宋体" w:eastAsia="宋体" w:cs="宋体"/>
          <w:spacing w:val="9"/>
          <w:sz w:val="20"/>
          <w:szCs w:val="20"/>
        </w:rPr>
        <w:t>金额由招标人按有关计价规定确定：投标时，费率及金额由投标人自主报价，计入投标总价中。</w:t>
      </w:r>
    </w:p>
    <w:p w14:paraId="45FA2D77">
      <w:pPr>
        <w:spacing w:line="253" w:lineRule="auto"/>
        <w:rPr>
          <w:rFonts w:ascii="宋体" w:hAnsi="宋体" w:eastAsia="宋体" w:cs="宋体"/>
          <w:sz w:val="20"/>
          <w:szCs w:val="20"/>
        </w:rPr>
        <w:sectPr>
          <w:headerReference r:id="rId467" w:type="default"/>
          <w:footerReference r:id="rId468" w:type="default"/>
          <w:pgSz w:w="11907" w:h="16840"/>
          <w:pgMar w:top="400" w:right="1555" w:bottom="1105" w:left="1535" w:header="0" w:footer="943" w:gutter="0"/>
          <w:cols w:space="720" w:num="1"/>
        </w:sectPr>
      </w:pPr>
    </w:p>
    <w:p w14:paraId="5A566F73">
      <w:pPr>
        <w:spacing w:line="261" w:lineRule="auto"/>
        <w:rPr>
          <w:rFonts w:ascii="Arial"/>
          <w:sz w:val="21"/>
        </w:rPr>
      </w:pPr>
    </w:p>
    <w:p w14:paraId="42673D01">
      <w:pPr>
        <w:spacing w:line="262" w:lineRule="auto"/>
        <w:rPr>
          <w:rFonts w:ascii="Arial"/>
          <w:sz w:val="21"/>
        </w:rPr>
      </w:pPr>
    </w:p>
    <w:p w14:paraId="48392236">
      <w:pPr>
        <w:spacing w:line="262" w:lineRule="auto"/>
        <w:rPr>
          <w:rFonts w:ascii="Arial"/>
          <w:sz w:val="21"/>
        </w:rPr>
      </w:pPr>
    </w:p>
    <w:p w14:paraId="28DBF4C2">
      <w:pPr>
        <w:spacing w:line="262" w:lineRule="auto"/>
        <w:rPr>
          <w:rFonts w:ascii="Arial"/>
          <w:sz w:val="21"/>
        </w:rPr>
      </w:pPr>
    </w:p>
    <w:p w14:paraId="37E53C6F">
      <w:pPr>
        <w:pStyle w:val="2"/>
        <w:spacing w:before="78" w:line="221" w:lineRule="auto"/>
        <w:outlineLvl w:val="2"/>
        <w:rPr>
          <w:sz w:val="24"/>
          <w:szCs w:val="24"/>
        </w:rPr>
      </w:pPr>
      <w:bookmarkStart w:id="372" w:name="bookmark354"/>
      <w:bookmarkEnd w:id="372"/>
      <w:r>
        <w:rPr>
          <w:rFonts w:ascii="Times New Roman" w:hAnsi="Times New Roman" w:eastAsia="Times New Roman" w:cs="Times New Roman"/>
          <w:spacing w:val="-3"/>
          <w:sz w:val="24"/>
          <w:szCs w:val="24"/>
        </w:rPr>
        <w:t>4.</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3"/>
          <w:sz w:val="24"/>
          <w:szCs w:val="24"/>
        </w:rPr>
        <w:t xml:space="preserve">13 </w:t>
      </w:r>
      <w:r>
        <w:rPr>
          <w:spacing w:val="-3"/>
          <w:sz w:val="24"/>
          <w:szCs w:val="24"/>
        </w:rPr>
        <w:t>规费、税金项目计价表</w:t>
      </w:r>
    </w:p>
    <w:p w14:paraId="140281DD">
      <w:pPr>
        <w:spacing w:line="378" w:lineRule="auto"/>
        <w:rPr>
          <w:rFonts w:ascii="Arial"/>
          <w:sz w:val="21"/>
        </w:rPr>
      </w:pPr>
    </w:p>
    <w:p w14:paraId="4275A095">
      <w:pPr>
        <w:pStyle w:val="2"/>
        <w:spacing w:before="91" w:line="222" w:lineRule="auto"/>
        <w:ind w:left="3014"/>
        <w:rPr>
          <w:sz w:val="28"/>
          <w:szCs w:val="28"/>
        </w:rPr>
      </w:pPr>
      <w:r>
        <w:rPr>
          <w:spacing w:val="-1"/>
          <w:sz w:val="28"/>
          <w:szCs w:val="28"/>
        </w:rPr>
        <w:t>规费、税金项目计价表</w:t>
      </w:r>
    </w:p>
    <w:p w14:paraId="72B37EAA">
      <w:pPr>
        <w:spacing w:line="275" w:lineRule="auto"/>
        <w:rPr>
          <w:rFonts w:ascii="Arial"/>
          <w:sz w:val="21"/>
        </w:rPr>
      </w:pPr>
    </w:p>
    <w:p w14:paraId="7E67FDBB">
      <w:pPr>
        <w:spacing w:line="275" w:lineRule="auto"/>
        <w:rPr>
          <w:rFonts w:ascii="Arial"/>
          <w:sz w:val="21"/>
        </w:rPr>
      </w:pPr>
    </w:p>
    <w:p w14:paraId="4B621249">
      <w:pPr>
        <w:spacing w:before="65" w:line="223" w:lineRule="auto"/>
        <w:ind w:left="6"/>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2"/>
          <w:sz w:val="20"/>
          <w:szCs w:val="20"/>
        </w:rPr>
        <w:t xml:space="preserve">                         </w:t>
      </w:r>
      <w:r>
        <w:rPr>
          <w:rFonts w:ascii="宋体" w:hAnsi="宋体" w:eastAsia="宋体" w:cs="宋体"/>
          <w:spacing w:val="4"/>
          <w:sz w:val="20"/>
          <w:szCs w:val="20"/>
        </w:rPr>
        <w:t>标段名称：</w:t>
      </w:r>
      <w:r>
        <w:rPr>
          <w:rFonts w:ascii="宋体" w:hAnsi="宋体" w:eastAsia="宋体" w:cs="宋体"/>
          <w:sz w:val="20"/>
          <w:szCs w:val="20"/>
        </w:rPr>
        <w:t xml:space="preserve">                  </w:t>
      </w:r>
      <w:r>
        <w:rPr>
          <w:rFonts w:ascii="宋体" w:hAnsi="宋体" w:eastAsia="宋体" w:cs="宋体"/>
          <w:spacing w:val="4"/>
          <w:sz w:val="20"/>
          <w:szCs w:val="20"/>
        </w:rPr>
        <w:t>第  页</w:t>
      </w:r>
      <w:r>
        <w:rPr>
          <w:rFonts w:ascii="宋体" w:hAnsi="宋体" w:eastAsia="宋体" w:cs="宋体"/>
          <w:spacing w:val="14"/>
          <w:sz w:val="20"/>
          <w:szCs w:val="20"/>
        </w:rPr>
        <w:t xml:space="preserve">  </w:t>
      </w:r>
      <w:r>
        <w:rPr>
          <w:rFonts w:ascii="宋体" w:hAnsi="宋体" w:eastAsia="宋体" w:cs="宋体"/>
          <w:spacing w:val="4"/>
          <w:sz w:val="20"/>
          <w:szCs w:val="20"/>
        </w:rPr>
        <w:t>共</w:t>
      </w:r>
      <w:r>
        <w:rPr>
          <w:rFonts w:ascii="宋体" w:hAnsi="宋体" w:eastAsia="宋体" w:cs="宋体"/>
          <w:spacing w:val="12"/>
          <w:sz w:val="20"/>
          <w:szCs w:val="20"/>
        </w:rPr>
        <w:t xml:space="preserve">  </w:t>
      </w:r>
      <w:r>
        <w:rPr>
          <w:rFonts w:ascii="宋体" w:hAnsi="宋体" w:eastAsia="宋体" w:cs="宋体"/>
          <w:spacing w:val="4"/>
          <w:sz w:val="20"/>
          <w:szCs w:val="20"/>
        </w:rPr>
        <w:t>页</w:t>
      </w:r>
    </w:p>
    <w:tbl>
      <w:tblPr>
        <w:tblStyle w:val="5"/>
        <w:tblW w:w="8532" w:type="dxa"/>
        <w:tblInd w:w="1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0"/>
        <w:gridCol w:w="1788"/>
        <w:gridCol w:w="1788"/>
        <w:gridCol w:w="1224"/>
        <w:gridCol w:w="1363"/>
        <w:gridCol w:w="1379"/>
      </w:tblGrid>
      <w:tr w14:paraId="7C01B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8" w:hRule="atLeast"/>
        </w:trPr>
        <w:tc>
          <w:tcPr>
            <w:tcW w:w="990" w:type="dxa"/>
            <w:tcBorders>
              <w:top w:val="single" w:color="000000" w:sz="4" w:space="0"/>
              <w:left w:val="single" w:color="000000" w:sz="4" w:space="0"/>
            </w:tcBorders>
            <w:vAlign w:val="top"/>
          </w:tcPr>
          <w:p w14:paraId="71F34D71">
            <w:pPr>
              <w:pStyle w:val="6"/>
              <w:spacing w:before="283" w:line="229" w:lineRule="auto"/>
              <w:ind w:left="287"/>
            </w:pPr>
            <w:r>
              <w:rPr>
                <w:spacing w:val="5"/>
              </w:rPr>
              <w:t>序号</w:t>
            </w:r>
          </w:p>
        </w:tc>
        <w:tc>
          <w:tcPr>
            <w:tcW w:w="1788" w:type="dxa"/>
            <w:tcBorders>
              <w:top w:val="single" w:color="000000" w:sz="4" w:space="0"/>
            </w:tcBorders>
            <w:vAlign w:val="top"/>
          </w:tcPr>
          <w:p w14:paraId="4BF6DEC6">
            <w:pPr>
              <w:pStyle w:val="6"/>
              <w:spacing w:before="283" w:line="228" w:lineRule="auto"/>
              <w:ind w:left="479"/>
            </w:pPr>
            <w:r>
              <w:rPr>
                <w:spacing w:val="6"/>
              </w:rPr>
              <w:t>项目名称</w:t>
            </w:r>
          </w:p>
        </w:tc>
        <w:tc>
          <w:tcPr>
            <w:tcW w:w="1788" w:type="dxa"/>
            <w:tcBorders>
              <w:top w:val="single" w:color="000000" w:sz="4" w:space="0"/>
            </w:tcBorders>
            <w:vAlign w:val="top"/>
          </w:tcPr>
          <w:p w14:paraId="541DA681">
            <w:pPr>
              <w:pStyle w:val="6"/>
              <w:spacing w:before="283" w:line="228" w:lineRule="auto"/>
              <w:ind w:left="479"/>
            </w:pPr>
            <w:r>
              <w:rPr>
                <w:spacing w:val="7"/>
              </w:rPr>
              <w:t>计算基础</w:t>
            </w:r>
          </w:p>
        </w:tc>
        <w:tc>
          <w:tcPr>
            <w:tcW w:w="1224" w:type="dxa"/>
            <w:tcBorders>
              <w:top w:val="single" w:color="000000" w:sz="4" w:space="0"/>
            </w:tcBorders>
            <w:vAlign w:val="top"/>
          </w:tcPr>
          <w:p w14:paraId="6D2E60AA">
            <w:pPr>
              <w:pStyle w:val="6"/>
              <w:spacing w:before="283" w:line="228" w:lineRule="auto"/>
              <w:ind w:left="198"/>
            </w:pPr>
            <w:r>
              <w:rPr>
                <w:spacing w:val="7"/>
              </w:rPr>
              <w:t>计算基数</w:t>
            </w:r>
          </w:p>
        </w:tc>
        <w:tc>
          <w:tcPr>
            <w:tcW w:w="1363" w:type="dxa"/>
            <w:tcBorders>
              <w:top w:val="single" w:color="000000" w:sz="4" w:space="0"/>
            </w:tcBorders>
            <w:vAlign w:val="top"/>
          </w:tcPr>
          <w:p w14:paraId="1A90816D">
            <w:pPr>
              <w:pStyle w:val="6"/>
              <w:spacing w:before="283" w:line="228" w:lineRule="auto"/>
              <w:ind w:left="195"/>
            </w:pPr>
            <w:r>
              <w:rPr>
                <w:spacing w:val="3"/>
              </w:rPr>
              <w:t>费率（</w:t>
            </w:r>
            <w:r>
              <w:rPr>
                <w:rFonts w:ascii="Times New Roman" w:hAnsi="Times New Roman" w:eastAsia="Times New Roman" w:cs="Times New Roman"/>
                <w:spacing w:val="3"/>
              </w:rPr>
              <w:t>%</w:t>
            </w:r>
            <w:r>
              <w:rPr>
                <w:spacing w:val="3"/>
              </w:rPr>
              <w:t>）</w:t>
            </w:r>
          </w:p>
        </w:tc>
        <w:tc>
          <w:tcPr>
            <w:tcW w:w="1379" w:type="dxa"/>
            <w:tcBorders>
              <w:top w:val="single" w:color="000000" w:sz="4" w:space="0"/>
              <w:right w:val="single" w:color="000000" w:sz="4" w:space="0"/>
            </w:tcBorders>
            <w:vAlign w:val="top"/>
          </w:tcPr>
          <w:p w14:paraId="7EA3062E">
            <w:pPr>
              <w:pStyle w:val="6"/>
              <w:spacing w:before="283" w:line="228" w:lineRule="auto"/>
              <w:ind w:left="171"/>
            </w:pPr>
            <w:r>
              <w:rPr>
                <w:spacing w:val="5"/>
              </w:rPr>
              <w:t>金额（元）</w:t>
            </w:r>
          </w:p>
        </w:tc>
      </w:tr>
      <w:tr w14:paraId="504619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8" w:hRule="atLeast"/>
        </w:trPr>
        <w:tc>
          <w:tcPr>
            <w:tcW w:w="990" w:type="dxa"/>
            <w:tcBorders>
              <w:left w:val="single" w:color="000000" w:sz="4" w:space="0"/>
            </w:tcBorders>
            <w:vAlign w:val="top"/>
          </w:tcPr>
          <w:p w14:paraId="1E8DF057">
            <w:pPr>
              <w:spacing w:before="285" w:line="275" w:lineRule="exact"/>
              <w:ind w:left="454"/>
              <w:rPr>
                <w:rFonts w:ascii="黑体" w:hAnsi="黑体" w:eastAsia="黑体" w:cs="黑体"/>
                <w:sz w:val="20"/>
                <w:szCs w:val="20"/>
              </w:rPr>
            </w:pPr>
            <w:r>
              <w:rPr>
                <w:rFonts w:ascii="黑体" w:hAnsi="黑体" w:eastAsia="黑体" w:cs="黑体"/>
                <w:position w:val="1"/>
                <w:sz w:val="20"/>
                <w:szCs w:val="20"/>
              </w:rPr>
              <w:t>1</w:t>
            </w:r>
          </w:p>
        </w:tc>
        <w:tc>
          <w:tcPr>
            <w:tcW w:w="1788" w:type="dxa"/>
            <w:vAlign w:val="top"/>
          </w:tcPr>
          <w:p w14:paraId="577AEE95">
            <w:pPr>
              <w:pStyle w:val="6"/>
              <w:spacing w:before="285" w:line="228" w:lineRule="auto"/>
              <w:ind w:left="688"/>
            </w:pPr>
            <w:r>
              <w:rPr>
                <w:spacing w:val="4"/>
              </w:rPr>
              <w:t>规费</w:t>
            </w:r>
          </w:p>
        </w:tc>
        <w:tc>
          <w:tcPr>
            <w:tcW w:w="1788" w:type="dxa"/>
            <w:vAlign w:val="top"/>
          </w:tcPr>
          <w:p w14:paraId="34873B36">
            <w:pPr>
              <w:pStyle w:val="6"/>
              <w:spacing w:before="285" w:line="227" w:lineRule="auto"/>
              <w:ind w:left="211"/>
            </w:pPr>
            <w:r>
              <w:rPr>
                <w:spacing w:val="7"/>
              </w:rPr>
              <w:t>人工费</w:t>
            </w:r>
            <w:r>
              <w:rPr>
                <w:rFonts w:ascii="Times New Roman" w:hAnsi="Times New Roman" w:eastAsia="Times New Roman" w:cs="Times New Roman"/>
                <w:spacing w:val="7"/>
              </w:rPr>
              <w:t>+</w:t>
            </w:r>
            <w:r>
              <w:rPr>
                <w:spacing w:val="7"/>
              </w:rPr>
              <w:t>机械费</w:t>
            </w:r>
          </w:p>
        </w:tc>
        <w:tc>
          <w:tcPr>
            <w:tcW w:w="1224" w:type="dxa"/>
            <w:vAlign w:val="top"/>
          </w:tcPr>
          <w:p w14:paraId="50D160D5">
            <w:pPr>
              <w:rPr>
                <w:rFonts w:ascii="Arial"/>
                <w:sz w:val="21"/>
              </w:rPr>
            </w:pPr>
          </w:p>
        </w:tc>
        <w:tc>
          <w:tcPr>
            <w:tcW w:w="1363" w:type="dxa"/>
            <w:vAlign w:val="top"/>
          </w:tcPr>
          <w:p w14:paraId="116FD799">
            <w:pPr>
              <w:rPr>
                <w:rFonts w:ascii="Arial"/>
                <w:sz w:val="21"/>
              </w:rPr>
            </w:pPr>
          </w:p>
        </w:tc>
        <w:tc>
          <w:tcPr>
            <w:tcW w:w="1379" w:type="dxa"/>
            <w:tcBorders>
              <w:right w:val="single" w:color="000000" w:sz="4" w:space="0"/>
            </w:tcBorders>
            <w:vAlign w:val="top"/>
          </w:tcPr>
          <w:p w14:paraId="3ADD26BD">
            <w:pPr>
              <w:rPr>
                <w:rFonts w:ascii="Arial"/>
                <w:sz w:val="21"/>
              </w:rPr>
            </w:pPr>
          </w:p>
        </w:tc>
      </w:tr>
      <w:tr w14:paraId="1E758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990" w:type="dxa"/>
            <w:tcBorders>
              <w:left w:val="single" w:color="000000" w:sz="4" w:space="0"/>
              <w:bottom w:val="single" w:color="000000" w:sz="4" w:space="0"/>
            </w:tcBorders>
            <w:vAlign w:val="top"/>
          </w:tcPr>
          <w:p w14:paraId="44D04062">
            <w:pPr>
              <w:spacing w:before="279" w:line="274" w:lineRule="exact"/>
              <w:ind w:left="349"/>
              <w:rPr>
                <w:rFonts w:ascii="黑体" w:hAnsi="黑体" w:eastAsia="黑体" w:cs="黑体"/>
                <w:sz w:val="20"/>
                <w:szCs w:val="20"/>
              </w:rPr>
            </w:pPr>
            <w:r>
              <w:rPr>
                <w:rFonts w:ascii="黑体" w:hAnsi="黑体" w:eastAsia="黑体" w:cs="黑体"/>
                <w:spacing w:val="-2"/>
                <w:position w:val="1"/>
                <w:sz w:val="20"/>
                <w:szCs w:val="20"/>
              </w:rPr>
              <w:t>1.1</w:t>
            </w:r>
          </w:p>
        </w:tc>
        <w:tc>
          <w:tcPr>
            <w:tcW w:w="1788" w:type="dxa"/>
            <w:vAlign w:val="top"/>
          </w:tcPr>
          <w:p w14:paraId="5CD2AD1D">
            <w:pPr>
              <w:pStyle w:val="6"/>
              <w:spacing w:before="279" w:line="227" w:lineRule="auto"/>
              <w:ind w:left="372"/>
            </w:pPr>
            <w:r>
              <w:rPr>
                <w:spacing w:val="7"/>
              </w:rPr>
              <w:t>社会保险费</w:t>
            </w:r>
          </w:p>
        </w:tc>
        <w:tc>
          <w:tcPr>
            <w:tcW w:w="1788" w:type="dxa"/>
            <w:vAlign w:val="top"/>
          </w:tcPr>
          <w:p w14:paraId="025D3524">
            <w:pPr>
              <w:pStyle w:val="6"/>
              <w:spacing w:before="279" w:line="227" w:lineRule="auto"/>
              <w:ind w:left="211"/>
            </w:pPr>
            <w:r>
              <w:rPr>
                <w:spacing w:val="7"/>
              </w:rPr>
              <w:t>人工费</w:t>
            </w:r>
            <w:r>
              <w:rPr>
                <w:rFonts w:ascii="Times New Roman" w:hAnsi="Times New Roman" w:eastAsia="Times New Roman" w:cs="Times New Roman"/>
                <w:spacing w:val="7"/>
              </w:rPr>
              <w:t>+</w:t>
            </w:r>
            <w:r>
              <w:rPr>
                <w:spacing w:val="7"/>
              </w:rPr>
              <w:t>机械费</w:t>
            </w:r>
          </w:p>
        </w:tc>
        <w:tc>
          <w:tcPr>
            <w:tcW w:w="1224" w:type="dxa"/>
            <w:vAlign w:val="top"/>
          </w:tcPr>
          <w:p w14:paraId="4F0C3F94">
            <w:pPr>
              <w:rPr>
                <w:rFonts w:ascii="Arial"/>
                <w:sz w:val="21"/>
              </w:rPr>
            </w:pPr>
          </w:p>
        </w:tc>
        <w:tc>
          <w:tcPr>
            <w:tcW w:w="1363" w:type="dxa"/>
            <w:vAlign w:val="top"/>
          </w:tcPr>
          <w:p w14:paraId="55EDED28">
            <w:pPr>
              <w:rPr>
                <w:rFonts w:ascii="Arial"/>
                <w:sz w:val="21"/>
              </w:rPr>
            </w:pPr>
          </w:p>
        </w:tc>
        <w:tc>
          <w:tcPr>
            <w:tcW w:w="1379" w:type="dxa"/>
            <w:tcBorders>
              <w:right w:val="single" w:color="000000" w:sz="4" w:space="0"/>
            </w:tcBorders>
            <w:vAlign w:val="top"/>
          </w:tcPr>
          <w:p w14:paraId="23413D08">
            <w:pPr>
              <w:rPr>
                <w:rFonts w:ascii="Arial"/>
                <w:sz w:val="21"/>
              </w:rPr>
            </w:pPr>
          </w:p>
        </w:tc>
      </w:tr>
      <w:tr w14:paraId="637004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990" w:type="dxa"/>
            <w:tcBorders>
              <w:top w:val="single" w:color="000000" w:sz="4" w:space="0"/>
              <w:left w:val="single" w:color="000000" w:sz="4" w:space="0"/>
            </w:tcBorders>
            <w:vAlign w:val="top"/>
          </w:tcPr>
          <w:p w14:paraId="51E8EAC1">
            <w:pPr>
              <w:spacing w:before="281" w:line="242" w:lineRule="auto"/>
              <w:ind w:left="253"/>
              <w:rPr>
                <w:rFonts w:ascii="黑体" w:hAnsi="黑体" w:eastAsia="黑体" w:cs="黑体"/>
                <w:sz w:val="20"/>
                <w:szCs w:val="20"/>
              </w:rPr>
            </w:pPr>
            <w:r>
              <w:rPr>
                <w:rFonts w:ascii="黑体" w:hAnsi="黑体" w:eastAsia="黑体" w:cs="黑体"/>
                <w:spacing w:val="-5"/>
                <w:sz w:val="20"/>
                <w:szCs w:val="20"/>
              </w:rPr>
              <w:t>（1）</w:t>
            </w:r>
          </w:p>
        </w:tc>
        <w:tc>
          <w:tcPr>
            <w:tcW w:w="1788" w:type="dxa"/>
            <w:vAlign w:val="top"/>
          </w:tcPr>
          <w:p w14:paraId="5BEE729F">
            <w:pPr>
              <w:pStyle w:val="6"/>
              <w:spacing w:before="281" w:line="228" w:lineRule="auto"/>
              <w:ind w:left="371"/>
            </w:pPr>
            <w:r>
              <w:rPr>
                <w:spacing w:val="7"/>
              </w:rPr>
              <w:t>养老保险费</w:t>
            </w:r>
          </w:p>
        </w:tc>
        <w:tc>
          <w:tcPr>
            <w:tcW w:w="1788" w:type="dxa"/>
            <w:vAlign w:val="top"/>
          </w:tcPr>
          <w:p w14:paraId="46875EC5">
            <w:pPr>
              <w:pStyle w:val="6"/>
              <w:spacing w:before="281" w:line="227" w:lineRule="auto"/>
              <w:ind w:left="211"/>
            </w:pPr>
            <w:r>
              <w:rPr>
                <w:spacing w:val="7"/>
              </w:rPr>
              <w:t>人工费</w:t>
            </w:r>
            <w:r>
              <w:rPr>
                <w:rFonts w:ascii="Times New Roman" w:hAnsi="Times New Roman" w:eastAsia="Times New Roman" w:cs="Times New Roman"/>
                <w:spacing w:val="7"/>
              </w:rPr>
              <w:t>+</w:t>
            </w:r>
            <w:r>
              <w:rPr>
                <w:spacing w:val="7"/>
              </w:rPr>
              <w:t>机械费</w:t>
            </w:r>
          </w:p>
        </w:tc>
        <w:tc>
          <w:tcPr>
            <w:tcW w:w="1224" w:type="dxa"/>
            <w:vAlign w:val="top"/>
          </w:tcPr>
          <w:p w14:paraId="2B67801B">
            <w:pPr>
              <w:rPr>
                <w:rFonts w:ascii="Arial"/>
                <w:sz w:val="21"/>
              </w:rPr>
            </w:pPr>
          </w:p>
        </w:tc>
        <w:tc>
          <w:tcPr>
            <w:tcW w:w="1363" w:type="dxa"/>
            <w:vAlign w:val="top"/>
          </w:tcPr>
          <w:p w14:paraId="2E06DADC">
            <w:pPr>
              <w:rPr>
                <w:rFonts w:ascii="Arial"/>
                <w:sz w:val="21"/>
              </w:rPr>
            </w:pPr>
          </w:p>
        </w:tc>
        <w:tc>
          <w:tcPr>
            <w:tcW w:w="1379" w:type="dxa"/>
            <w:tcBorders>
              <w:right w:val="single" w:color="000000" w:sz="4" w:space="0"/>
            </w:tcBorders>
            <w:vAlign w:val="top"/>
          </w:tcPr>
          <w:p w14:paraId="63EC7841">
            <w:pPr>
              <w:rPr>
                <w:rFonts w:ascii="Arial"/>
                <w:sz w:val="21"/>
              </w:rPr>
            </w:pPr>
          </w:p>
        </w:tc>
      </w:tr>
      <w:tr w14:paraId="18C9B5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990" w:type="dxa"/>
            <w:tcBorders>
              <w:left w:val="single" w:color="000000" w:sz="4" w:space="0"/>
            </w:tcBorders>
            <w:vAlign w:val="top"/>
          </w:tcPr>
          <w:p w14:paraId="1845744B">
            <w:pPr>
              <w:spacing w:before="203" w:line="242" w:lineRule="auto"/>
              <w:ind w:left="253"/>
              <w:rPr>
                <w:rFonts w:ascii="黑体" w:hAnsi="黑体" w:eastAsia="黑体" w:cs="黑体"/>
                <w:sz w:val="20"/>
                <w:szCs w:val="20"/>
              </w:rPr>
            </w:pPr>
            <w:r>
              <w:rPr>
                <w:rFonts w:ascii="黑体" w:hAnsi="黑体" w:eastAsia="黑体" w:cs="黑体"/>
                <w:spacing w:val="-5"/>
                <w:sz w:val="20"/>
                <w:szCs w:val="20"/>
              </w:rPr>
              <w:t>（2）</w:t>
            </w:r>
          </w:p>
        </w:tc>
        <w:tc>
          <w:tcPr>
            <w:tcW w:w="1788" w:type="dxa"/>
            <w:vAlign w:val="top"/>
          </w:tcPr>
          <w:p w14:paraId="447DCF7F">
            <w:pPr>
              <w:pStyle w:val="6"/>
              <w:spacing w:before="204" w:line="228" w:lineRule="auto"/>
              <w:ind w:left="376"/>
            </w:pPr>
            <w:r>
              <w:rPr>
                <w:spacing w:val="7"/>
              </w:rPr>
              <w:t>失业保险费</w:t>
            </w:r>
          </w:p>
        </w:tc>
        <w:tc>
          <w:tcPr>
            <w:tcW w:w="1788" w:type="dxa"/>
            <w:vAlign w:val="top"/>
          </w:tcPr>
          <w:p w14:paraId="4E8D87E3">
            <w:pPr>
              <w:pStyle w:val="6"/>
              <w:spacing w:before="203" w:line="227" w:lineRule="auto"/>
              <w:ind w:left="211"/>
            </w:pPr>
            <w:r>
              <w:rPr>
                <w:spacing w:val="7"/>
              </w:rPr>
              <w:t>人工费</w:t>
            </w:r>
            <w:r>
              <w:rPr>
                <w:rFonts w:ascii="Times New Roman" w:hAnsi="Times New Roman" w:eastAsia="Times New Roman" w:cs="Times New Roman"/>
                <w:spacing w:val="7"/>
              </w:rPr>
              <w:t>+</w:t>
            </w:r>
            <w:r>
              <w:rPr>
                <w:spacing w:val="7"/>
              </w:rPr>
              <w:t>机械费</w:t>
            </w:r>
          </w:p>
        </w:tc>
        <w:tc>
          <w:tcPr>
            <w:tcW w:w="1224" w:type="dxa"/>
            <w:vAlign w:val="top"/>
          </w:tcPr>
          <w:p w14:paraId="002001D8">
            <w:pPr>
              <w:rPr>
                <w:rFonts w:ascii="Arial"/>
                <w:sz w:val="21"/>
              </w:rPr>
            </w:pPr>
          </w:p>
        </w:tc>
        <w:tc>
          <w:tcPr>
            <w:tcW w:w="1363" w:type="dxa"/>
            <w:vAlign w:val="top"/>
          </w:tcPr>
          <w:p w14:paraId="0E41F79F">
            <w:pPr>
              <w:rPr>
                <w:rFonts w:ascii="Arial"/>
                <w:sz w:val="21"/>
              </w:rPr>
            </w:pPr>
          </w:p>
        </w:tc>
        <w:tc>
          <w:tcPr>
            <w:tcW w:w="1379" w:type="dxa"/>
            <w:tcBorders>
              <w:right w:val="single" w:color="000000" w:sz="4" w:space="0"/>
            </w:tcBorders>
            <w:vAlign w:val="top"/>
          </w:tcPr>
          <w:p w14:paraId="469079AF">
            <w:pPr>
              <w:rPr>
                <w:rFonts w:ascii="Arial"/>
                <w:sz w:val="21"/>
              </w:rPr>
            </w:pPr>
          </w:p>
        </w:tc>
      </w:tr>
      <w:tr w14:paraId="609065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990" w:type="dxa"/>
            <w:tcBorders>
              <w:left w:val="single" w:color="000000" w:sz="4" w:space="0"/>
            </w:tcBorders>
            <w:vAlign w:val="top"/>
          </w:tcPr>
          <w:p w14:paraId="35B7FC69">
            <w:pPr>
              <w:spacing w:before="201" w:line="242" w:lineRule="auto"/>
              <w:ind w:left="253"/>
              <w:rPr>
                <w:rFonts w:ascii="黑体" w:hAnsi="黑体" w:eastAsia="黑体" w:cs="黑体"/>
                <w:sz w:val="20"/>
                <w:szCs w:val="20"/>
              </w:rPr>
            </w:pPr>
            <w:r>
              <w:rPr>
                <w:rFonts w:ascii="黑体" w:hAnsi="黑体" w:eastAsia="黑体" w:cs="黑体"/>
                <w:spacing w:val="-5"/>
                <w:sz w:val="20"/>
                <w:szCs w:val="20"/>
              </w:rPr>
              <w:t>（3）</w:t>
            </w:r>
          </w:p>
        </w:tc>
        <w:tc>
          <w:tcPr>
            <w:tcW w:w="1788" w:type="dxa"/>
            <w:vAlign w:val="top"/>
          </w:tcPr>
          <w:p w14:paraId="095DE28C">
            <w:pPr>
              <w:pStyle w:val="6"/>
              <w:spacing w:before="202" w:line="228" w:lineRule="auto"/>
              <w:ind w:left="380"/>
            </w:pPr>
            <w:r>
              <w:rPr>
                <w:spacing w:val="6"/>
              </w:rPr>
              <w:t>医疗保险费</w:t>
            </w:r>
          </w:p>
        </w:tc>
        <w:tc>
          <w:tcPr>
            <w:tcW w:w="1788" w:type="dxa"/>
            <w:vAlign w:val="top"/>
          </w:tcPr>
          <w:p w14:paraId="063C5FD4">
            <w:pPr>
              <w:pStyle w:val="6"/>
              <w:spacing w:before="202" w:line="227" w:lineRule="auto"/>
              <w:ind w:left="211"/>
            </w:pPr>
            <w:r>
              <w:rPr>
                <w:spacing w:val="7"/>
              </w:rPr>
              <w:t>人工费</w:t>
            </w:r>
            <w:r>
              <w:rPr>
                <w:rFonts w:ascii="Times New Roman" w:hAnsi="Times New Roman" w:eastAsia="Times New Roman" w:cs="Times New Roman"/>
                <w:spacing w:val="7"/>
              </w:rPr>
              <w:t>+</w:t>
            </w:r>
            <w:r>
              <w:rPr>
                <w:spacing w:val="7"/>
              </w:rPr>
              <w:t>机械费</w:t>
            </w:r>
          </w:p>
        </w:tc>
        <w:tc>
          <w:tcPr>
            <w:tcW w:w="1224" w:type="dxa"/>
            <w:vAlign w:val="top"/>
          </w:tcPr>
          <w:p w14:paraId="506EF1FE">
            <w:pPr>
              <w:rPr>
                <w:rFonts w:ascii="Arial"/>
                <w:sz w:val="21"/>
              </w:rPr>
            </w:pPr>
          </w:p>
        </w:tc>
        <w:tc>
          <w:tcPr>
            <w:tcW w:w="1363" w:type="dxa"/>
            <w:vAlign w:val="top"/>
          </w:tcPr>
          <w:p w14:paraId="09180A29">
            <w:pPr>
              <w:rPr>
                <w:rFonts w:ascii="Arial"/>
                <w:sz w:val="21"/>
              </w:rPr>
            </w:pPr>
          </w:p>
        </w:tc>
        <w:tc>
          <w:tcPr>
            <w:tcW w:w="1379" w:type="dxa"/>
            <w:tcBorders>
              <w:right w:val="single" w:color="000000" w:sz="4" w:space="0"/>
            </w:tcBorders>
            <w:vAlign w:val="top"/>
          </w:tcPr>
          <w:p w14:paraId="490AE791">
            <w:pPr>
              <w:rPr>
                <w:rFonts w:ascii="Arial"/>
                <w:sz w:val="21"/>
              </w:rPr>
            </w:pPr>
          </w:p>
        </w:tc>
      </w:tr>
      <w:tr w14:paraId="4A660F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990" w:type="dxa"/>
            <w:tcBorders>
              <w:left w:val="single" w:color="000000" w:sz="4" w:space="0"/>
            </w:tcBorders>
            <w:vAlign w:val="top"/>
          </w:tcPr>
          <w:p w14:paraId="6DC1F903">
            <w:pPr>
              <w:spacing w:before="205" w:line="242" w:lineRule="auto"/>
              <w:ind w:left="253"/>
              <w:rPr>
                <w:rFonts w:ascii="黑体" w:hAnsi="黑体" w:eastAsia="黑体" w:cs="黑体"/>
                <w:sz w:val="20"/>
                <w:szCs w:val="20"/>
              </w:rPr>
            </w:pPr>
            <w:r>
              <w:rPr>
                <w:rFonts w:ascii="黑体" w:hAnsi="黑体" w:eastAsia="黑体" w:cs="黑体"/>
                <w:spacing w:val="-5"/>
                <w:sz w:val="20"/>
                <w:szCs w:val="20"/>
              </w:rPr>
              <w:t>（4）</w:t>
            </w:r>
          </w:p>
        </w:tc>
        <w:tc>
          <w:tcPr>
            <w:tcW w:w="1788" w:type="dxa"/>
            <w:vAlign w:val="top"/>
          </w:tcPr>
          <w:p w14:paraId="22F9B41A">
            <w:pPr>
              <w:pStyle w:val="6"/>
              <w:spacing w:before="205" w:line="228" w:lineRule="auto"/>
              <w:ind w:left="373"/>
            </w:pPr>
            <w:r>
              <w:rPr>
                <w:spacing w:val="7"/>
              </w:rPr>
              <w:t>工伤保险费</w:t>
            </w:r>
          </w:p>
        </w:tc>
        <w:tc>
          <w:tcPr>
            <w:tcW w:w="1788" w:type="dxa"/>
            <w:vAlign w:val="top"/>
          </w:tcPr>
          <w:p w14:paraId="7D1BB2DD">
            <w:pPr>
              <w:pStyle w:val="6"/>
              <w:spacing w:before="205" w:line="227" w:lineRule="auto"/>
              <w:ind w:left="211"/>
            </w:pPr>
            <w:r>
              <w:rPr>
                <w:spacing w:val="7"/>
              </w:rPr>
              <w:t>人工费</w:t>
            </w:r>
            <w:r>
              <w:rPr>
                <w:rFonts w:ascii="Times New Roman" w:hAnsi="Times New Roman" w:eastAsia="Times New Roman" w:cs="Times New Roman"/>
                <w:spacing w:val="7"/>
              </w:rPr>
              <w:t>+</w:t>
            </w:r>
            <w:r>
              <w:rPr>
                <w:spacing w:val="7"/>
              </w:rPr>
              <w:t>机械费</w:t>
            </w:r>
          </w:p>
        </w:tc>
        <w:tc>
          <w:tcPr>
            <w:tcW w:w="1224" w:type="dxa"/>
            <w:vAlign w:val="top"/>
          </w:tcPr>
          <w:p w14:paraId="0CE970BD">
            <w:pPr>
              <w:rPr>
                <w:rFonts w:ascii="Arial"/>
                <w:sz w:val="21"/>
              </w:rPr>
            </w:pPr>
          </w:p>
        </w:tc>
        <w:tc>
          <w:tcPr>
            <w:tcW w:w="1363" w:type="dxa"/>
            <w:vAlign w:val="top"/>
          </w:tcPr>
          <w:p w14:paraId="45A4C612">
            <w:pPr>
              <w:rPr>
                <w:rFonts w:ascii="Arial"/>
                <w:sz w:val="21"/>
              </w:rPr>
            </w:pPr>
          </w:p>
        </w:tc>
        <w:tc>
          <w:tcPr>
            <w:tcW w:w="1379" w:type="dxa"/>
            <w:tcBorders>
              <w:right w:val="single" w:color="000000" w:sz="4" w:space="0"/>
            </w:tcBorders>
            <w:vAlign w:val="top"/>
          </w:tcPr>
          <w:p w14:paraId="7D48447D">
            <w:pPr>
              <w:rPr>
                <w:rFonts w:ascii="Arial"/>
                <w:sz w:val="21"/>
              </w:rPr>
            </w:pPr>
          </w:p>
        </w:tc>
      </w:tr>
      <w:tr w14:paraId="798701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990" w:type="dxa"/>
            <w:tcBorders>
              <w:left w:val="single" w:color="000000" w:sz="4" w:space="0"/>
            </w:tcBorders>
            <w:vAlign w:val="top"/>
          </w:tcPr>
          <w:p w14:paraId="24CB4BA0">
            <w:pPr>
              <w:spacing w:before="204" w:line="242" w:lineRule="auto"/>
              <w:ind w:left="253"/>
              <w:rPr>
                <w:rFonts w:ascii="黑体" w:hAnsi="黑体" w:eastAsia="黑体" w:cs="黑体"/>
                <w:sz w:val="20"/>
                <w:szCs w:val="20"/>
              </w:rPr>
            </w:pPr>
            <w:r>
              <w:rPr>
                <w:rFonts w:ascii="黑体" w:hAnsi="黑体" w:eastAsia="黑体" w:cs="黑体"/>
                <w:spacing w:val="-5"/>
                <w:sz w:val="20"/>
                <w:szCs w:val="20"/>
              </w:rPr>
              <w:t>（5）</w:t>
            </w:r>
          </w:p>
        </w:tc>
        <w:tc>
          <w:tcPr>
            <w:tcW w:w="1788" w:type="dxa"/>
            <w:vAlign w:val="top"/>
          </w:tcPr>
          <w:p w14:paraId="73E1F434">
            <w:pPr>
              <w:pStyle w:val="6"/>
              <w:spacing w:before="204" w:line="228" w:lineRule="auto"/>
              <w:ind w:left="372"/>
            </w:pPr>
            <w:r>
              <w:rPr>
                <w:spacing w:val="7"/>
              </w:rPr>
              <w:t>生育保险费</w:t>
            </w:r>
          </w:p>
        </w:tc>
        <w:tc>
          <w:tcPr>
            <w:tcW w:w="1788" w:type="dxa"/>
            <w:vAlign w:val="top"/>
          </w:tcPr>
          <w:p w14:paraId="4303A635">
            <w:pPr>
              <w:pStyle w:val="6"/>
              <w:spacing w:before="204" w:line="227" w:lineRule="auto"/>
              <w:ind w:left="211"/>
            </w:pPr>
            <w:r>
              <w:rPr>
                <w:spacing w:val="7"/>
              </w:rPr>
              <w:t>人工费</w:t>
            </w:r>
            <w:r>
              <w:rPr>
                <w:rFonts w:ascii="Times New Roman" w:hAnsi="Times New Roman" w:eastAsia="Times New Roman" w:cs="Times New Roman"/>
                <w:spacing w:val="7"/>
              </w:rPr>
              <w:t>+</w:t>
            </w:r>
            <w:r>
              <w:rPr>
                <w:spacing w:val="7"/>
              </w:rPr>
              <w:t>机械费</w:t>
            </w:r>
          </w:p>
        </w:tc>
        <w:tc>
          <w:tcPr>
            <w:tcW w:w="1224" w:type="dxa"/>
            <w:vAlign w:val="top"/>
          </w:tcPr>
          <w:p w14:paraId="62CB4CD8">
            <w:pPr>
              <w:rPr>
                <w:rFonts w:ascii="Arial"/>
                <w:sz w:val="21"/>
              </w:rPr>
            </w:pPr>
          </w:p>
        </w:tc>
        <w:tc>
          <w:tcPr>
            <w:tcW w:w="1363" w:type="dxa"/>
            <w:vAlign w:val="top"/>
          </w:tcPr>
          <w:p w14:paraId="7A9AB6E3">
            <w:pPr>
              <w:rPr>
                <w:rFonts w:ascii="Arial"/>
                <w:sz w:val="21"/>
              </w:rPr>
            </w:pPr>
          </w:p>
        </w:tc>
        <w:tc>
          <w:tcPr>
            <w:tcW w:w="1379" w:type="dxa"/>
            <w:tcBorders>
              <w:right w:val="single" w:color="000000" w:sz="4" w:space="0"/>
            </w:tcBorders>
            <w:vAlign w:val="top"/>
          </w:tcPr>
          <w:p w14:paraId="218A6C83">
            <w:pPr>
              <w:rPr>
                <w:rFonts w:ascii="Arial"/>
                <w:sz w:val="21"/>
              </w:rPr>
            </w:pPr>
          </w:p>
        </w:tc>
      </w:tr>
      <w:tr w14:paraId="1A21D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990" w:type="dxa"/>
            <w:tcBorders>
              <w:left w:val="single" w:color="000000" w:sz="4" w:space="0"/>
            </w:tcBorders>
            <w:vAlign w:val="top"/>
          </w:tcPr>
          <w:p w14:paraId="56382FFD">
            <w:pPr>
              <w:spacing w:before="205" w:line="274" w:lineRule="exact"/>
              <w:ind w:left="349"/>
              <w:rPr>
                <w:rFonts w:ascii="黑体" w:hAnsi="黑体" w:eastAsia="黑体" w:cs="黑体"/>
                <w:sz w:val="20"/>
                <w:szCs w:val="20"/>
              </w:rPr>
            </w:pPr>
            <w:r>
              <w:rPr>
                <w:rFonts w:ascii="黑体" w:hAnsi="黑体" w:eastAsia="黑体" w:cs="黑体"/>
                <w:spacing w:val="-2"/>
                <w:position w:val="1"/>
                <w:sz w:val="20"/>
                <w:szCs w:val="20"/>
              </w:rPr>
              <w:t>1.2</w:t>
            </w:r>
          </w:p>
        </w:tc>
        <w:tc>
          <w:tcPr>
            <w:tcW w:w="1788" w:type="dxa"/>
            <w:vAlign w:val="top"/>
          </w:tcPr>
          <w:p w14:paraId="068AD138">
            <w:pPr>
              <w:pStyle w:val="6"/>
              <w:spacing w:before="205" w:line="228" w:lineRule="auto"/>
              <w:ind w:left="370"/>
            </w:pPr>
            <w:r>
              <w:rPr>
                <w:spacing w:val="8"/>
              </w:rPr>
              <w:t>住房公积金</w:t>
            </w:r>
          </w:p>
        </w:tc>
        <w:tc>
          <w:tcPr>
            <w:tcW w:w="1788" w:type="dxa"/>
            <w:vAlign w:val="top"/>
          </w:tcPr>
          <w:p w14:paraId="6492A5F1">
            <w:pPr>
              <w:pStyle w:val="6"/>
              <w:spacing w:before="204" w:line="227" w:lineRule="auto"/>
              <w:ind w:left="211"/>
            </w:pPr>
            <w:r>
              <w:rPr>
                <w:spacing w:val="7"/>
              </w:rPr>
              <w:t>人工费</w:t>
            </w:r>
            <w:r>
              <w:rPr>
                <w:rFonts w:ascii="Times New Roman" w:hAnsi="Times New Roman" w:eastAsia="Times New Roman" w:cs="Times New Roman"/>
                <w:spacing w:val="7"/>
              </w:rPr>
              <w:t>+</w:t>
            </w:r>
            <w:r>
              <w:rPr>
                <w:spacing w:val="7"/>
              </w:rPr>
              <w:t>机械费</w:t>
            </w:r>
          </w:p>
        </w:tc>
        <w:tc>
          <w:tcPr>
            <w:tcW w:w="1224" w:type="dxa"/>
            <w:vAlign w:val="top"/>
          </w:tcPr>
          <w:p w14:paraId="111724DA">
            <w:pPr>
              <w:rPr>
                <w:rFonts w:ascii="Arial"/>
                <w:sz w:val="21"/>
              </w:rPr>
            </w:pPr>
          </w:p>
        </w:tc>
        <w:tc>
          <w:tcPr>
            <w:tcW w:w="1363" w:type="dxa"/>
            <w:vAlign w:val="top"/>
          </w:tcPr>
          <w:p w14:paraId="5CCD1779">
            <w:pPr>
              <w:rPr>
                <w:rFonts w:ascii="Arial"/>
                <w:sz w:val="21"/>
              </w:rPr>
            </w:pPr>
          </w:p>
        </w:tc>
        <w:tc>
          <w:tcPr>
            <w:tcW w:w="1379" w:type="dxa"/>
            <w:tcBorders>
              <w:right w:val="single" w:color="000000" w:sz="4" w:space="0"/>
            </w:tcBorders>
            <w:vAlign w:val="top"/>
          </w:tcPr>
          <w:p w14:paraId="4E082B76">
            <w:pPr>
              <w:rPr>
                <w:rFonts w:ascii="Arial"/>
                <w:sz w:val="21"/>
              </w:rPr>
            </w:pPr>
          </w:p>
        </w:tc>
      </w:tr>
      <w:tr w14:paraId="28CA4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3" w:hRule="atLeast"/>
        </w:trPr>
        <w:tc>
          <w:tcPr>
            <w:tcW w:w="990" w:type="dxa"/>
            <w:tcBorders>
              <w:left w:val="single" w:color="000000" w:sz="4" w:space="0"/>
            </w:tcBorders>
            <w:vAlign w:val="top"/>
          </w:tcPr>
          <w:p w14:paraId="449CC606">
            <w:pPr>
              <w:spacing w:line="272" w:lineRule="auto"/>
              <w:rPr>
                <w:rFonts w:ascii="Arial"/>
                <w:sz w:val="21"/>
              </w:rPr>
            </w:pPr>
          </w:p>
          <w:p w14:paraId="7434A473">
            <w:pPr>
              <w:spacing w:before="65" w:line="273" w:lineRule="exact"/>
              <w:ind w:left="349"/>
              <w:rPr>
                <w:rFonts w:ascii="黑体" w:hAnsi="黑体" w:eastAsia="黑体" w:cs="黑体"/>
                <w:sz w:val="20"/>
                <w:szCs w:val="20"/>
              </w:rPr>
            </w:pPr>
            <w:r>
              <w:rPr>
                <w:rFonts w:ascii="黑体" w:hAnsi="黑体" w:eastAsia="黑体" w:cs="黑体"/>
                <w:spacing w:val="-2"/>
                <w:position w:val="1"/>
                <w:sz w:val="20"/>
                <w:szCs w:val="20"/>
              </w:rPr>
              <w:t>1.3</w:t>
            </w:r>
          </w:p>
        </w:tc>
        <w:tc>
          <w:tcPr>
            <w:tcW w:w="1788" w:type="dxa"/>
            <w:vAlign w:val="top"/>
          </w:tcPr>
          <w:p w14:paraId="6556FA3A">
            <w:pPr>
              <w:spacing w:line="272" w:lineRule="auto"/>
              <w:rPr>
                <w:rFonts w:ascii="Arial"/>
                <w:sz w:val="21"/>
              </w:rPr>
            </w:pPr>
          </w:p>
          <w:p w14:paraId="4B0F1B34">
            <w:pPr>
              <w:pStyle w:val="6"/>
              <w:spacing w:before="65" w:line="228" w:lineRule="auto"/>
              <w:ind w:left="373"/>
            </w:pPr>
            <w:r>
              <w:rPr>
                <w:spacing w:val="7"/>
              </w:rPr>
              <w:t>工程排污费</w:t>
            </w:r>
          </w:p>
        </w:tc>
        <w:tc>
          <w:tcPr>
            <w:tcW w:w="1788" w:type="dxa"/>
            <w:vAlign w:val="top"/>
          </w:tcPr>
          <w:p w14:paraId="4856D8D3">
            <w:pPr>
              <w:spacing w:line="272" w:lineRule="auto"/>
              <w:rPr>
                <w:rFonts w:ascii="Arial"/>
                <w:sz w:val="21"/>
              </w:rPr>
            </w:pPr>
          </w:p>
          <w:p w14:paraId="3AA1FA6F">
            <w:pPr>
              <w:pStyle w:val="6"/>
              <w:spacing w:before="65" w:line="227" w:lineRule="auto"/>
              <w:ind w:left="211"/>
            </w:pPr>
            <w:r>
              <w:rPr>
                <w:spacing w:val="7"/>
              </w:rPr>
              <w:t>人工费</w:t>
            </w:r>
            <w:r>
              <w:rPr>
                <w:rFonts w:ascii="Times New Roman" w:hAnsi="Times New Roman" w:eastAsia="Times New Roman" w:cs="Times New Roman"/>
                <w:spacing w:val="7"/>
              </w:rPr>
              <w:t>+</w:t>
            </w:r>
            <w:r>
              <w:rPr>
                <w:spacing w:val="7"/>
              </w:rPr>
              <w:t>机械费</w:t>
            </w:r>
          </w:p>
        </w:tc>
        <w:tc>
          <w:tcPr>
            <w:tcW w:w="1224" w:type="dxa"/>
            <w:vAlign w:val="top"/>
          </w:tcPr>
          <w:p w14:paraId="743E5006">
            <w:pPr>
              <w:rPr>
                <w:rFonts w:ascii="Arial"/>
                <w:sz w:val="21"/>
              </w:rPr>
            </w:pPr>
          </w:p>
        </w:tc>
        <w:tc>
          <w:tcPr>
            <w:tcW w:w="1363" w:type="dxa"/>
            <w:vAlign w:val="top"/>
          </w:tcPr>
          <w:p w14:paraId="761EE3A2">
            <w:pPr>
              <w:rPr>
                <w:rFonts w:ascii="Arial"/>
                <w:sz w:val="21"/>
              </w:rPr>
            </w:pPr>
          </w:p>
        </w:tc>
        <w:tc>
          <w:tcPr>
            <w:tcW w:w="1379" w:type="dxa"/>
            <w:tcBorders>
              <w:right w:val="single" w:color="000000" w:sz="4" w:space="0"/>
            </w:tcBorders>
            <w:vAlign w:val="top"/>
          </w:tcPr>
          <w:p w14:paraId="0C0862A0">
            <w:pPr>
              <w:rPr>
                <w:rFonts w:ascii="Arial"/>
                <w:sz w:val="21"/>
              </w:rPr>
            </w:pPr>
          </w:p>
        </w:tc>
      </w:tr>
      <w:tr w14:paraId="478BD3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990" w:type="dxa"/>
            <w:tcBorders>
              <w:left w:val="single" w:color="000000" w:sz="4" w:space="0"/>
            </w:tcBorders>
            <w:vAlign w:val="top"/>
          </w:tcPr>
          <w:p w14:paraId="1E92286F">
            <w:pPr>
              <w:rPr>
                <w:rFonts w:ascii="Arial"/>
                <w:sz w:val="21"/>
              </w:rPr>
            </w:pPr>
          </w:p>
        </w:tc>
        <w:tc>
          <w:tcPr>
            <w:tcW w:w="1788" w:type="dxa"/>
            <w:vAlign w:val="top"/>
          </w:tcPr>
          <w:p w14:paraId="0F0BBAD0">
            <w:pPr>
              <w:rPr>
                <w:rFonts w:ascii="Arial"/>
                <w:sz w:val="21"/>
              </w:rPr>
            </w:pPr>
          </w:p>
        </w:tc>
        <w:tc>
          <w:tcPr>
            <w:tcW w:w="1788" w:type="dxa"/>
            <w:vAlign w:val="top"/>
          </w:tcPr>
          <w:p w14:paraId="61A4AB94">
            <w:pPr>
              <w:rPr>
                <w:rFonts w:ascii="Arial"/>
                <w:sz w:val="21"/>
              </w:rPr>
            </w:pPr>
          </w:p>
        </w:tc>
        <w:tc>
          <w:tcPr>
            <w:tcW w:w="1224" w:type="dxa"/>
            <w:vAlign w:val="top"/>
          </w:tcPr>
          <w:p w14:paraId="63040460">
            <w:pPr>
              <w:rPr>
                <w:rFonts w:ascii="Arial"/>
                <w:sz w:val="21"/>
              </w:rPr>
            </w:pPr>
          </w:p>
        </w:tc>
        <w:tc>
          <w:tcPr>
            <w:tcW w:w="1363" w:type="dxa"/>
            <w:vAlign w:val="top"/>
          </w:tcPr>
          <w:p w14:paraId="6F50A898">
            <w:pPr>
              <w:rPr>
                <w:rFonts w:ascii="Arial"/>
                <w:sz w:val="21"/>
              </w:rPr>
            </w:pPr>
          </w:p>
        </w:tc>
        <w:tc>
          <w:tcPr>
            <w:tcW w:w="1379" w:type="dxa"/>
            <w:tcBorders>
              <w:right w:val="single" w:color="000000" w:sz="4" w:space="0"/>
            </w:tcBorders>
            <w:vAlign w:val="top"/>
          </w:tcPr>
          <w:p w14:paraId="3820827C">
            <w:pPr>
              <w:rPr>
                <w:rFonts w:ascii="Arial"/>
                <w:sz w:val="21"/>
              </w:rPr>
            </w:pPr>
          </w:p>
        </w:tc>
      </w:tr>
      <w:tr w14:paraId="50E1D8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3" w:hRule="atLeast"/>
        </w:trPr>
        <w:tc>
          <w:tcPr>
            <w:tcW w:w="990" w:type="dxa"/>
            <w:tcBorders>
              <w:left w:val="single" w:color="000000" w:sz="4" w:space="0"/>
            </w:tcBorders>
            <w:vAlign w:val="top"/>
          </w:tcPr>
          <w:p w14:paraId="2319176B">
            <w:pPr>
              <w:spacing w:line="317" w:lineRule="auto"/>
              <w:rPr>
                <w:rFonts w:ascii="Arial"/>
                <w:sz w:val="21"/>
              </w:rPr>
            </w:pPr>
          </w:p>
          <w:p w14:paraId="066EA826">
            <w:pPr>
              <w:spacing w:before="58" w:line="195" w:lineRule="auto"/>
              <w:ind w:left="440"/>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788" w:type="dxa"/>
            <w:vAlign w:val="top"/>
          </w:tcPr>
          <w:p w14:paraId="495012C1">
            <w:pPr>
              <w:spacing w:line="275" w:lineRule="auto"/>
              <w:rPr>
                <w:rFonts w:ascii="Arial"/>
                <w:sz w:val="21"/>
              </w:rPr>
            </w:pPr>
          </w:p>
          <w:p w14:paraId="53EF11DD">
            <w:pPr>
              <w:pStyle w:val="6"/>
              <w:spacing w:before="65" w:line="228" w:lineRule="auto"/>
              <w:ind w:left="687"/>
            </w:pPr>
            <w:r>
              <w:rPr>
                <w:spacing w:val="5"/>
              </w:rPr>
              <w:t>税金</w:t>
            </w:r>
          </w:p>
        </w:tc>
        <w:tc>
          <w:tcPr>
            <w:tcW w:w="1788" w:type="dxa"/>
            <w:vAlign w:val="top"/>
          </w:tcPr>
          <w:p w14:paraId="663A0E40">
            <w:pPr>
              <w:pStyle w:val="6"/>
              <w:spacing w:before="70" w:line="247" w:lineRule="auto"/>
              <w:ind w:left="145" w:right="145" w:firstLine="21"/>
              <w:jc w:val="both"/>
            </w:pPr>
            <w:r>
              <w:rPr>
                <w:spacing w:val="8"/>
              </w:rPr>
              <w:t>分部分项工程费</w:t>
            </w:r>
            <w:r>
              <w:rPr>
                <w:rFonts w:ascii="Times New Roman" w:hAnsi="Times New Roman" w:eastAsia="Times New Roman" w:cs="Times New Roman"/>
                <w:spacing w:val="8"/>
              </w:rPr>
              <w:t>+</w:t>
            </w:r>
            <w:r>
              <w:rPr>
                <w:spacing w:val="8"/>
              </w:rPr>
              <w:t>措施项目费</w:t>
            </w:r>
            <w:r>
              <w:rPr>
                <w:rFonts w:ascii="Times New Roman" w:hAnsi="Times New Roman" w:eastAsia="Times New Roman" w:cs="Times New Roman"/>
                <w:spacing w:val="8"/>
              </w:rPr>
              <w:t>+</w:t>
            </w:r>
            <w:r>
              <w:rPr>
                <w:spacing w:val="8"/>
              </w:rPr>
              <w:t>其</w:t>
            </w:r>
            <w:r>
              <w:rPr>
                <w:spacing w:val="16"/>
              </w:rPr>
              <w:t>他项目费</w:t>
            </w:r>
            <w:r>
              <w:rPr>
                <w:rFonts w:ascii="Times New Roman" w:hAnsi="Times New Roman" w:eastAsia="Times New Roman" w:cs="Times New Roman"/>
                <w:spacing w:val="16"/>
              </w:rPr>
              <w:t>+</w:t>
            </w:r>
            <w:r>
              <w:rPr>
                <w:spacing w:val="16"/>
              </w:rPr>
              <w:t>规费</w:t>
            </w:r>
          </w:p>
        </w:tc>
        <w:tc>
          <w:tcPr>
            <w:tcW w:w="1224" w:type="dxa"/>
            <w:vAlign w:val="top"/>
          </w:tcPr>
          <w:p w14:paraId="05258489">
            <w:pPr>
              <w:rPr>
                <w:rFonts w:ascii="Arial"/>
                <w:sz w:val="21"/>
              </w:rPr>
            </w:pPr>
          </w:p>
        </w:tc>
        <w:tc>
          <w:tcPr>
            <w:tcW w:w="1363" w:type="dxa"/>
            <w:vAlign w:val="top"/>
          </w:tcPr>
          <w:p w14:paraId="1B58D084">
            <w:pPr>
              <w:rPr>
                <w:rFonts w:ascii="Arial"/>
                <w:sz w:val="21"/>
              </w:rPr>
            </w:pPr>
          </w:p>
        </w:tc>
        <w:tc>
          <w:tcPr>
            <w:tcW w:w="1379" w:type="dxa"/>
            <w:tcBorders>
              <w:right w:val="single" w:color="000000" w:sz="4" w:space="0"/>
            </w:tcBorders>
            <w:vAlign w:val="top"/>
          </w:tcPr>
          <w:p w14:paraId="411E84D6">
            <w:pPr>
              <w:rPr>
                <w:rFonts w:ascii="Arial"/>
                <w:sz w:val="21"/>
              </w:rPr>
            </w:pPr>
          </w:p>
        </w:tc>
      </w:tr>
      <w:tr w14:paraId="6E1F7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3" w:hRule="atLeast"/>
        </w:trPr>
        <w:tc>
          <w:tcPr>
            <w:tcW w:w="5790" w:type="dxa"/>
            <w:gridSpan w:val="4"/>
            <w:tcBorders>
              <w:left w:val="single" w:color="000000" w:sz="4" w:space="0"/>
              <w:bottom w:val="single" w:color="000000" w:sz="4" w:space="0"/>
            </w:tcBorders>
            <w:vAlign w:val="top"/>
          </w:tcPr>
          <w:p w14:paraId="05C41C54">
            <w:pPr>
              <w:spacing w:line="277" w:lineRule="auto"/>
              <w:rPr>
                <w:rFonts w:ascii="Arial"/>
                <w:sz w:val="21"/>
              </w:rPr>
            </w:pPr>
          </w:p>
          <w:p w14:paraId="7E2A29FD">
            <w:pPr>
              <w:pStyle w:val="6"/>
              <w:spacing w:before="65" w:line="229" w:lineRule="auto"/>
              <w:ind w:left="2691"/>
            </w:pPr>
            <w:r>
              <w:rPr>
                <w:spacing w:val="4"/>
              </w:rPr>
              <w:t>合计</w:t>
            </w:r>
          </w:p>
        </w:tc>
        <w:tc>
          <w:tcPr>
            <w:tcW w:w="1363" w:type="dxa"/>
            <w:tcBorders>
              <w:bottom w:val="single" w:color="000000" w:sz="4" w:space="0"/>
            </w:tcBorders>
            <w:vAlign w:val="top"/>
          </w:tcPr>
          <w:p w14:paraId="5A197A83">
            <w:pPr>
              <w:rPr>
                <w:rFonts w:ascii="Arial"/>
                <w:sz w:val="21"/>
              </w:rPr>
            </w:pPr>
          </w:p>
        </w:tc>
        <w:tc>
          <w:tcPr>
            <w:tcW w:w="1379" w:type="dxa"/>
            <w:tcBorders>
              <w:bottom w:val="single" w:color="000000" w:sz="4" w:space="0"/>
              <w:right w:val="single" w:color="000000" w:sz="4" w:space="0"/>
            </w:tcBorders>
            <w:vAlign w:val="top"/>
          </w:tcPr>
          <w:p w14:paraId="03A86B87">
            <w:pPr>
              <w:rPr>
                <w:rFonts w:ascii="Arial"/>
                <w:sz w:val="21"/>
              </w:rPr>
            </w:pPr>
          </w:p>
        </w:tc>
      </w:tr>
    </w:tbl>
    <w:p w14:paraId="2001381B">
      <w:pPr>
        <w:spacing w:line="445" w:lineRule="auto"/>
        <w:rPr>
          <w:rFonts w:ascii="Arial"/>
          <w:sz w:val="21"/>
        </w:rPr>
      </w:pPr>
    </w:p>
    <w:p w14:paraId="774FADD9">
      <w:pPr>
        <w:spacing w:before="65" w:line="226" w:lineRule="auto"/>
        <w:ind w:left="5"/>
        <w:rPr>
          <w:rFonts w:ascii="宋体" w:hAnsi="宋体" w:eastAsia="宋体" w:cs="宋体"/>
          <w:sz w:val="20"/>
          <w:szCs w:val="20"/>
        </w:rPr>
      </w:pPr>
      <w:r>
        <w:rPr>
          <w:rFonts w:ascii="宋体" w:hAnsi="宋体" w:eastAsia="宋体" w:cs="宋体"/>
          <w:spacing w:val="8"/>
          <w:sz w:val="20"/>
          <w:szCs w:val="20"/>
        </w:rPr>
        <w:t>编制人（造价人员</w:t>
      </w:r>
      <w:r>
        <w:rPr>
          <w:rFonts w:ascii="宋体" w:hAnsi="宋体" w:eastAsia="宋体" w:cs="宋体"/>
          <w:spacing w:val="-53"/>
          <w:sz w:val="20"/>
          <w:szCs w:val="20"/>
        </w:rPr>
        <w:t>）：</w:t>
      </w:r>
      <w:r>
        <w:rPr>
          <w:rFonts w:ascii="宋体" w:hAnsi="宋体" w:eastAsia="宋体" w:cs="宋体"/>
          <w:spacing w:val="2"/>
          <w:sz w:val="20"/>
          <w:szCs w:val="20"/>
        </w:rPr>
        <w:t xml:space="preserve">                            </w:t>
      </w:r>
      <w:r>
        <w:rPr>
          <w:rFonts w:ascii="宋体" w:hAnsi="宋体" w:eastAsia="宋体" w:cs="宋体"/>
          <w:spacing w:val="8"/>
          <w:sz w:val="20"/>
          <w:szCs w:val="20"/>
        </w:rPr>
        <w:t>复核人（造价工程师</w:t>
      </w:r>
      <w:r>
        <w:rPr>
          <w:rFonts w:ascii="宋体" w:hAnsi="宋体" w:eastAsia="宋体" w:cs="宋体"/>
          <w:spacing w:val="-53"/>
          <w:sz w:val="20"/>
          <w:szCs w:val="20"/>
        </w:rPr>
        <w:t>）：</w:t>
      </w:r>
    </w:p>
    <w:p w14:paraId="60513780">
      <w:pPr>
        <w:spacing w:line="226" w:lineRule="auto"/>
        <w:rPr>
          <w:rFonts w:ascii="宋体" w:hAnsi="宋体" w:eastAsia="宋体" w:cs="宋体"/>
          <w:sz w:val="20"/>
          <w:szCs w:val="20"/>
        </w:rPr>
        <w:sectPr>
          <w:footerReference r:id="rId469" w:type="default"/>
          <w:pgSz w:w="11907" w:h="16840"/>
          <w:pgMar w:top="400" w:right="1693" w:bottom="1105" w:left="1535" w:header="0" w:footer="943" w:gutter="0"/>
          <w:cols w:space="720" w:num="1"/>
        </w:sectPr>
      </w:pPr>
    </w:p>
    <w:p w14:paraId="1C017224">
      <w:pPr>
        <w:spacing w:line="265" w:lineRule="auto"/>
        <w:rPr>
          <w:rFonts w:ascii="Arial"/>
          <w:sz w:val="21"/>
        </w:rPr>
      </w:pPr>
    </w:p>
    <w:p w14:paraId="1E8BEE69">
      <w:pPr>
        <w:spacing w:line="266" w:lineRule="auto"/>
        <w:rPr>
          <w:rFonts w:ascii="Arial"/>
          <w:sz w:val="21"/>
        </w:rPr>
      </w:pPr>
    </w:p>
    <w:p w14:paraId="7DC3AA78">
      <w:pPr>
        <w:spacing w:line="266" w:lineRule="auto"/>
        <w:rPr>
          <w:rFonts w:ascii="Arial"/>
          <w:sz w:val="21"/>
        </w:rPr>
      </w:pPr>
    </w:p>
    <w:p w14:paraId="5792C004">
      <w:pPr>
        <w:spacing w:line="266" w:lineRule="auto"/>
        <w:rPr>
          <w:rFonts w:ascii="Arial"/>
          <w:sz w:val="21"/>
        </w:rPr>
      </w:pPr>
    </w:p>
    <w:p w14:paraId="28BD695D">
      <w:pPr>
        <w:spacing w:line="266" w:lineRule="auto"/>
        <w:rPr>
          <w:rFonts w:ascii="Arial"/>
          <w:sz w:val="21"/>
        </w:rPr>
      </w:pPr>
    </w:p>
    <w:p w14:paraId="09C77EBB">
      <w:pPr>
        <w:pStyle w:val="2"/>
        <w:spacing w:before="78" w:line="221" w:lineRule="auto"/>
        <w:ind w:left="116"/>
        <w:outlineLvl w:val="2"/>
        <w:rPr>
          <w:sz w:val="24"/>
          <w:szCs w:val="24"/>
        </w:rPr>
      </w:pPr>
      <w:bookmarkStart w:id="373" w:name="bookmark355"/>
      <w:bookmarkEnd w:id="373"/>
      <w:r>
        <w:rPr>
          <w:rFonts w:ascii="Times New Roman" w:hAnsi="Times New Roman" w:eastAsia="Times New Roman" w:cs="Times New Roman"/>
          <w:spacing w:val="-2"/>
          <w:sz w:val="24"/>
          <w:szCs w:val="24"/>
        </w:rPr>
        <w:t>4.</w:t>
      </w:r>
      <w:r>
        <w:rPr>
          <w:rFonts w:ascii="Times New Roman" w:hAnsi="Times New Roman" w:eastAsia="Times New Roman" w:cs="Times New Roman"/>
          <w:spacing w:val="-25"/>
          <w:sz w:val="24"/>
          <w:szCs w:val="24"/>
        </w:rPr>
        <w:t xml:space="preserve"> </w:t>
      </w:r>
      <w:r>
        <w:rPr>
          <w:rFonts w:ascii="Times New Roman" w:hAnsi="Times New Roman" w:eastAsia="Times New Roman" w:cs="Times New Roman"/>
          <w:spacing w:val="-2"/>
          <w:sz w:val="24"/>
          <w:szCs w:val="24"/>
        </w:rPr>
        <w:t xml:space="preserve">14 </w:t>
      </w:r>
      <w:r>
        <w:rPr>
          <w:spacing w:val="-2"/>
          <w:sz w:val="24"/>
          <w:szCs w:val="24"/>
        </w:rPr>
        <w:t>发包人提供材料和工程设备一览表</w:t>
      </w:r>
    </w:p>
    <w:p w14:paraId="3751BBC1">
      <w:pPr>
        <w:spacing w:line="428" w:lineRule="auto"/>
        <w:rPr>
          <w:rFonts w:ascii="Arial"/>
          <w:sz w:val="21"/>
        </w:rPr>
      </w:pPr>
    </w:p>
    <w:p w14:paraId="7BAB1114">
      <w:pPr>
        <w:pStyle w:val="2"/>
        <w:spacing w:before="91" w:line="222" w:lineRule="auto"/>
        <w:ind w:left="2477"/>
        <w:rPr>
          <w:sz w:val="28"/>
          <w:szCs w:val="28"/>
        </w:rPr>
      </w:pPr>
      <w:r>
        <w:rPr>
          <w:spacing w:val="-1"/>
          <w:sz w:val="28"/>
          <w:szCs w:val="28"/>
        </w:rPr>
        <w:t>发包人提供材料和工程设备一览表</w:t>
      </w:r>
    </w:p>
    <w:p w14:paraId="013C0A57">
      <w:pPr>
        <w:spacing w:before="258" w:line="223" w:lineRule="auto"/>
        <w:ind w:left="123"/>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2"/>
          <w:sz w:val="20"/>
          <w:szCs w:val="20"/>
        </w:rPr>
        <w:t xml:space="preserve">                         </w:t>
      </w:r>
      <w:r>
        <w:rPr>
          <w:rFonts w:ascii="宋体" w:hAnsi="宋体" w:eastAsia="宋体" w:cs="宋体"/>
          <w:spacing w:val="4"/>
          <w:sz w:val="20"/>
          <w:szCs w:val="20"/>
        </w:rPr>
        <w:t>标段名称：</w:t>
      </w:r>
      <w:r>
        <w:rPr>
          <w:rFonts w:ascii="宋体" w:hAnsi="宋体" w:eastAsia="宋体" w:cs="宋体"/>
          <w:sz w:val="20"/>
          <w:szCs w:val="20"/>
        </w:rPr>
        <w:t xml:space="preserve">                  </w:t>
      </w:r>
      <w:r>
        <w:rPr>
          <w:rFonts w:ascii="宋体" w:hAnsi="宋体" w:eastAsia="宋体" w:cs="宋体"/>
          <w:spacing w:val="4"/>
          <w:sz w:val="20"/>
          <w:szCs w:val="20"/>
        </w:rPr>
        <w:t>第  页</w:t>
      </w:r>
      <w:r>
        <w:rPr>
          <w:rFonts w:ascii="宋体" w:hAnsi="宋体" w:eastAsia="宋体" w:cs="宋体"/>
          <w:spacing w:val="14"/>
          <w:sz w:val="20"/>
          <w:szCs w:val="20"/>
        </w:rPr>
        <w:t xml:space="preserve">  </w:t>
      </w:r>
      <w:r>
        <w:rPr>
          <w:rFonts w:ascii="宋体" w:hAnsi="宋体" w:eastAsia="宋体" w:cs="宋体"/>
          <w:spacing w:val="4"/>
          <w:sz w:val="20"/>
          <w:szCs w:val="20"/>
        </w:rPr>
        <w:t>共</w:t>
      </w:r>
      <w:r>
        <w:rPr>
          <w:rFonts w:ascii="宋体" w:hAnsi="宋体" w:eastAsia="宋体" w:cs="宋体"/>
          <w:spacing w:val="12"/>
          <w:sz w:val="20"/>
          <w:szCs w:val="20"/>
        </w:rPr>
        <w:t xml:space="preserve">  </w:t>
      </w:r>
      <w:r>
        <w:rPr>
          <w:rFonts w:ascii="宋体" w:hAnsi="宋体" w:eastAsia="宋体" w:cs="宋体"/>
          <w:spacing w:val="4"/>
          <w:sz w:val="20"/>
          <w:szCs w:val="20"/>
        </w:rPr>
        <w:t>页</w:t>
      </w:r>
    </w:p>
    <w:tbl>
      <w:tblPr>
        <w:tblStyle w:val="5"/>
        <w:tblW w:w="91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1979"/>
        <w:gridCol w:w="899"/>
        <w:gridCol w:w="900"/>
        <w:gridCol w:w="846"/>
        <w:gridCol w:w="1354"/>
        <w:gridCol w:w="1578"/>
        <w:gridCol w:w="904"/>
      </w:tblGrid>
      <w:tr w14:paraId="4E122A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5" w:hRule="atLeast"/>
        </w:trPr>
        <w:tc>
          <w:tcPr>
            <w:tcW w:w="652" w:type="dxa"/>
            <w:vAlign w:val="top"/>
          </w:tcPr>
          <w:p w14:paraId="6430E649">
            <w:pPr>
              <w:spacing w:line="275" w:lineRule="auto"/>
              <w:rPr>
                <w:rFonts w:ascii="Arial"/>
                <w:sz w:val="21"/>
              </w:rPr>
            </w:pPr>
          </w:p>
          <w:p w14:paraId="6A8E8CF1">
            <w:pPr>
              <w:pStyle w:val="6"/>
              <w:spacing w:before="65" w:line="229" w:lineRule="auto"/>
              <w:ind w:left="121"/>
            </w:pPr>
            <w:r>
              <w:rPr>
                <w:spacing w:val="5"/>
              </w:rPr>
              <w:t>序号</w:t>
            </w:r>
          </w:p>
        </w:tc>
        <w:tc>
          <w:tcPr>
            <w:tcW w:w="1979" w:type="dxa"/>
            <w:vAlign w:val="top"/>
          </w:tcPr>
          <w:p w14:paraId="48D1C7A7">
            <w:pPr>
              <w:pStyle w:val="6"/>
              <w:spacing w:before="204" w:line="252" w:lineRule="auto"/>
              <w:ind w:left="156" w:right="149" w:hanging="2"/>
            </w:pPr>
            <w:r>
              <w:rPr>
                <w:spacing w:val="6"/>
              </w:rPr>
              <w:t>材料（工程设备）</w:t>
            </w:r>
            <w:r>
              <w:rPr>
                <w:spacing w:val="8"/>
              </w:rPr>
              <w:t>名称、规格、型号</w:t>
            </w:r>
          </w:p>
        </w:tc>
        <w:tc>
          <w:tcPr>
            <w:tcW w:w="899" w:type="dxa"/>
            <w:vAlign w:val="top"/>
          </w:tcPr>
          <w:p w14:paraId="313DECB4">
            <w:pPr>
              <w:spacing w:line="275" w:lineRule="auto"/>
              <w:rPr>
                <w:rFonts w:ascii="Arial"/>
                <w:sz w:val="21"/>
              </w:rPr>
            </w:pPr>
          </w:p>
          <w:p w14:paraId="2B940893">
            <w:pPr>
              <w:pStyle w:val="6"/>
              <w:spacing w:before="65" w:line="228" w:lineRule="auto"/>
              <w:ind w:left="246"/>
            </w:pPr>
            <w:r>
              <w:rPr>
                <w:spacing w:val="3"/>
              </w:rPr>
              <w:t>单位</w:t>
            </w:r>
          </w:p>
        </w:tc>
        <w:tc>
          <w:tcPr>
            <w:tcW w:w="900" w:type="dxa"/>
            <w:vAlign w:val="top"/>
          </w:tcPr>
          <w:p w14:paraId="4814C548">
            <w:pPr>
              <w:spacing w:line="274" w:lineRule="auto"/>
              <w:rPr>
                <w:rFonts w:ascii="Arial"/>
                <w:sz w:val="21"/>
              </w:rPr>
            </w:pPr>
          </w:p>
          <w:p w14:paraId="03F75F61">
            <w:pPr>
              <w:pStyle w:val="6"/>
              <w:spacing w:before="65" w:line="228" w:lineRule="auto"/>
              <w:ind w:left="247"/>
            </w:pPr>
            <w:r>
              <w:rPr>
                <w:spacing w:val="3"/>
              </w:rPr>
              <w:t>数量</w:t>
            </w:r>
          </w:p>
        </w:tc>
        <w:tc>
          <w:tcPr>
            <w:tcW w:w="846" w:type="dxa"/>
            <w:vAlign w:val="top"/>
          </w:tcPr>
          <w:p w14:paraId="48503930">
            <w:pPr>
              <w:pStyle w:val="6"/>
              <w:spacing w:before="205" w:line="252" w:lineRule="auto"/>
              <w:ind w:left="123" w:right="124" w:firstLine="97"/>
            </w:pPr>
            <w:r>
              <w:rPr>
                <w:spacing w:val="3"/>
              </w:rPr>
              <w:t>单价</w:t>
            </w:r>
            <w:r>
              <w:rPr>
                <w:spacing w:val="-3"/>
              </w:rPr>
              <w:t>（元）</w:t>
            </w:r>
          </w:p>
        </w:tc>
        <w:tc>
          <w:tcPr>
            <w:tcW w:w="1354" w:type="dxa"/>
            <w:vAlign w:val="top"/>
          </w:tcPr>
          <w:p w14:paraId="632C39AB">
            <w:pPr>
              <w:pStyle w:val="6"/>
              <w:spacing w:before="206" w:line="252" w:lineRule="auto"/>
              <w:ind w:left="473" w:right="467" w:firstLine="3"/>
            </w:pPr>
            <w:r>
              <w:rPr>
                <w:spacing w:val="2"/>
              </w:rPr>
              <w:t>交货</w:t>
            </w:r>
            <w:r>
              <w:rPr>
                <w:spacing w:val="4"/>
              </w:rPr>
              <w:t>方式</w:t>
            </w:r>
          </w:p>
        </w:tc>
        <w:tc>
          <w:tcPr>
            <w:tcW w:w="1578" w:type="dxa"/>
            <w:vAlign w:val="top"/>
          </w:tcPr>
          <w:p w14:paraId="739ECFCB">
            <w:pPr>
              <w:pStyle w:val="6"/>
              <w:spacing w:before="204" w:line="254" w:lineRule="auto"/>
              <w:ind w:left="584" w:right="578" w:hanging="1"/>
            </w:pPr>
            <w:r>
              <w:rPr>
                <w:spacing w:val="5"/>
              </w:rPr>
              <w:t>送达</w:t>
            </w:r>
            <w:r>
              <w:rPr>
                <w:spacing w:val="4"/>
              </w:rPr>
              <w:t>地点</w:t>
            </w:r>
          </w:p>
        </w:tc>
        <w:tc>
          <w:tcPr>
            <w:tcW w:w="904" w:type="dxa"/>
            <w:vAlign w:val="top"/>
          </w:tcPr>
          <w:p w14:paraId="347C8108">
            <w:pPr>
              <w:spacing w:line="275" w:lineRule="auto"/>
              <w:rPr>
                <w:rFonts w:ascii="Arial"/>
                <w:sz w:val="21"/>
              </w:rPr>
            </w:pPr>
          </w:p>
          <w:p w14:paraId="43641DBC">
            <w:pPr>
              <w:pStyle w:val="6"/>
              <w:spacing w:before="65" w:line="229" w:lineRule="auto"/>
              <w:ind w:left="250"/>
            </w:pPr>
            <w:r>
              <w:rPr>
                <w:spacing w:val="3"/>
              </w:rPr>
              <w:t>备注</w:t>
            </w:r>
          </w:p>
        </w:tc>
      </w:tr>
      <w:tr w14:paraId="110E36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652" w:type="dxa"/>
            <w:vAlign w:val="top"/>
          </w:tcPr>
          <w:p w14:paraId="7A221880">
            <w:pPr>
              <w:rPr>
                <w:rFonts w:ascii="Arial"/>
                <w:sz w:val="21"/>
              </w:rPr>
            </w:pPr>
          </w:p>
        </w:tc>
        <w:tc>
          <w:tcPr>
            <w:tcW w:w="1979" w:type="dxa"/>
            <w:vAlign w:val="top"/>
          </w:tcPr>
          <w:p w14:paraId="607541C0">
            <w:pPr>
              <w:rPr>
                <w:rFonts w:ascii="Arial"/>
                <w:sz w:val="21"/>
              </w:rPr>
            </w:pPr>
          </w:p>
        </w:tc>
        <w:tc>
          <w:tcPr>
            <w:tcW w:w="899" w:type="dxa"/>
            <w:vAlign w:val="top"/>
          </w:tcPr>
          <w:p w14:paraId="1F2BA46D">
            <w:pPr>
              <w:rPr>
                <w:rFonts w:ascii="Arial"/>
                <w:sz w:val="21"/>
              </w:rPr>
            </w:pPr>
          </w:p>
        </w:tc>
        <w:tc>
          <w:tcPr>
            <w:tcW w:w="900" w:type="dxa"/>
            <w:vAlign w:val="top"/>
          </w:tcPr>
          <w:p w14:paraId="02124FF9">
            <w:pPr>
              <w:rPr>
                <w:rFonts w:ascii="Arial"/>
                <w:sz w:val="21"/>
              </w:rPr>
            </w:pPr>
          </w:p>
        </w:tc>
        <w:tc>
          <w:tcPr>
            <w:tcW w:w="846" w:type="dxa"/>
            <w:vAlign w:val="top"/>
          </w:tcPr>
          <w:p w14:paraId="616DFECD">
            <w:pPr>
              <w:rPr>
                <w:rFonts w:ascii="Arial"/>
                <w:sz w:val="21"/>
              </w:rPr>
            </w:pPr>
          </w:p>
        </w:tc>
        <w:tc>
          <w:tcPr>
            <w:tcW w:w="1354" w:type="dxa"/>
            <w:vAlign w:val="top"/>
          </w:tcPr>
          <w:p w14:paraId="7468ECAD">
            <w:pPr>
              <w:rPr>
                <w:rFonts w:ascii="Arial"/>
                <w:sz w:val="21"/>
              </w:rPr>
            </w:pPr>
          </w:p>
        </w:tc>
        <w:tc>
          <w:tcPr>
            <w:tcW w:w="1578" w:type="dxa"/>
            <w:vAlign w:val="top"/>
          </w:tcPr>
          <w:p w14:paraId="126B152D">
            <w:pPr>
              <w:rPr>
                <w:rFonts w:ascii="Arial"/>
                <w:sz w:val="21"/>
              </w:rPr>
            </w:pPr>
          </w:p>
        </w:tc>
        <w:tc>
          <w:tcPr>
            <w:tcW w:w="904" w:type="dxa"/>
            <w:vAlign w:val="top"/>
          </w:tcPr>
          <w:p w14:paraId="79818C2A">
            <w:pPr>
              <w:rPr>
                <w:rFonts w:ascii="Arial"/>
                <w:sz w:val="21"/>
              </w:rPr>
            </w:pPr>
          </w:p>
        </w:tc>
      </w:tr>
      <w:tr w14:paraId="09D4B9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652" w:type="dxa"/>
            <w:vAlign w:val="top"/>
          </w:tcPr>
          <w:p w14:paraId="32419B6C">
            <w:pPr>
              <w:rPr>
                <w:rFonts w:ascii="Arial"/>
                <w:sz w:val="21"/>
              </w:rPr>
            </w:pPr>
          </w:p>
        </w:tc>
        <w:tc>
          <w:tcPr>
            <w:tcW w:w="1979" w:type="dxa"/>
            <w:vAlign w:val="top"/>
          </w:tcPr>
          <w:p w14:paraId="28481F30">
            <w:pPr>
              <w:rPr>
                <w:rFonts w:ascii="Arial"/>
                <w:sz w:val="21"/>
              </w:rPr>
            </w:pPr>
          </w:p>
        </w:tc>
        <w:tc>
          <w:tcPr>
            <w:tcW w:w="899" w:type="dxa"/>
            <w:vAlign w:val="top"/>
          </w:tcPr>
          <w:p w14:paraId="396664F8">
            <w:pPr>
              <w:rPr>
                <w:rFonts w:ascii="Arial"/>
                <w:sz w:val="21"/>
              </w:rPr>
            </w:pPr>
          </w:p>
        </w:tc>
        <w:tc>
          <w:tcPr>
            <w:tcW w:w="900" w:type="dxa"/>
            <w:vAlign w:val="top"/>
          </w:tcPr>
          <w:p w14:paraId="0466E81D">
            <w:pPr>
              <w:rPr>
                <w:rFonts w:ascii="Arial"/>
                <w:sz w:val="21"/>
              </w:rPr>
            </w:pPr>
          </w:p>
        </w:tc>
        <w:tc>
          <w:tcPr>
            <w:tcW w:w="846" w:type="dxa"/>
            <w:vAlign w:val="top"/>
          </w:tcPr>
          <w:p w14:paraId="7C0C72A1">
            <w:pPr>
              <w:rPr>
                <w:rFonts w:ascii="Arial"/>
                <w:sz w:val="21"/>
              </w:rPr>
            </w:pPr>
          </w:p>
        </w:tc>
        <w:tc>
          <w:tcPr>
            <w:tcW w:w="1354" w:type="dxa"/>
            <w:vAlign w:val="top"/>
          </w:tcPr>
          <w:p w14:paraId="462A0C04">
            <w:pPr>
              <w:rPr>
                <w:rFonts w:ascii="Arial"/>
                <w:sz w:val="21"/>
              </w:rPr>
            </w:pPr>
          </w:p>
        </w:tc>
        <w:tc>
          <w:tcPr>
            <w:tcW w:w="1578" w:type="dxa"/>
            <w:vAlign w:val="top"/>
          </w:tcPr>
          <w:p w14:paraId="42DD5D35">
            <w:pPr>
              <w:rPr>
                <w:rFonts w:ascii="Arial"/>
                <w:sz w:val="21"/>
              </w:rPr>
            </w:pPr>
          </w:p>
        </w:tc>
        <w:tc>
          <w:tcPr>
            <w:tcW w:w="904" w:type="dxa"/>
            <w:vAlign w:val="top"/>
          </w:tcPr>
          <w:p w14:paraId="59C6CFD5">
            <w:pPr>
              <w:rPr>
                <w:rFonts w:ascii="Arial"/>
                <w:sz w:val="21"/>
              </w:rPr>
            </w:pPr>
          </w:p>
        </w:tc>
      </w:tr>
      <w:tr w14:paraId="2B8702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652" w:type="dxa"/>
            <w:vAlign w:val="top"/>
          </w:tcPr>
          <w:p w14:paraId="22A09927">
            <w:pPr>
              <w:rPr>
                <w:rFonts w:ascii="Arial"/>
                <w:sz w:val="21"/>
              </w:rPr>
            </w:pPr>
          </w:p>
        </w:tc>
        <w:tc>
          <w:tcPr>
            <w:tcW w:w="1979" w:type="dxa"/>
            <w:vAlign w:val="top"/>
          </w:tcPr>
          <w:p w14:paraId="51646699">
            <w:pPr>
              <w:rPr>
                <w:rFonts w:ascii="Arial"/>
                <w:sz w:val="21"/>
              </w:rPr>
            </w:pPr>
          </w:p>
        </w:tc>
        <w:tc>
          <w:tcPr>
            <w:tcW w:w="899" w:type="dxa"/>
            <w:vAlign w:val="top"/>
          </w:tcPr>
          <w:p w14:paraId="35197E76">
            <w:pPr>
              <w:rPr>
                <w:rFonts w:ascii="Arial"/>
                <w:sz w:val="21"/>
              </w:rPr>
            </w:pPr>
          </w:p>
        </w:tc>
        <w:tc>
          <w:tcPr>
            <w:tcW w:w="900" w:type="dxa"/>
            <w:vAlign w:val="top"/>
          </w:tcPr>
          <w:p w14:paraId="7A3C5723">
            <w:pPr>
              <w:rPr>
                <w:rFonts w:ascii="Arial"/>
                <w:sz w:val="21"/>
              </w:rPr>
            </w:pPr>
          </w:p>
        </w:tc>
        <w:tc>
          <w:tcPr>
            <w:tcW w:w="846" w:type="dxa"/>
            <w:vAlign w:val="top"/>
          </w:tcPr>
          <w:p w14:paraId="12D9CFD1">
            <w:pPr>
              <w:rPr>
                <w:rFonts w:ascii="Arial"/>
                <w:sz w:val="21"/>
              </w:rPr>
            </w:pPr>
          </w:p>
        </w:tc>
        <w:tc>
          <w:tcPr>
            <w:tcW w:w="1354" w:type="dxa"/>
            <w:vAlign w:val="top"/>
          </w:tcPr>
          <w:p w14:paraId="3DCEE655">
            <w:pPr>
              <w:rPr>
                <w:rFonts w:ascii="Arial"/>
                <w:sz w:val="21"/>
              </w:rPr>
            </w:pPr>
          </w:p>
        </w:tc>
        <w:tc>
          <w:tcPr>
            <w:tcW w:w="1578" w:type="dxa"/>
            <w:vAlign w:val="top"/>
          </w:tcPr>
          <w:p w14:paraId="60570C12">
            <w:pPr>
              <w:rPr>
                <w:rFonts w:ascii="Arial"/>
                <w:sz w:val="21"/>
              </w:rPr>
            </w:pPr>
          </w:p>
        </w:tc>
        <w:tc>
          <w:tcPr>
            <w:tcW w:w="904" w:type="dxa"/>
            <w:vAlign w:val="top"/>
          </w:tcPr>
          <w:p w14:paraId="1473433F">
            <w:pPr>
              <w:rPr>
                <w:rFonts w:ascii="Arial"/>
                <w:sz w:val="21"/>
              </w:rPr>
            </w:pPr>
          </w:p>
        </w:tc>
      </w:tr>
      <w:tr w14:paraId="200532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652" w:type="dxa"/>
            <w:vAlign w:val="top"/>
          </w:tcPr>
          <w:p w14:paraId="6164A5D6">
            <w:pPr>
              <w:rPr>
                <w:rFonts w:ascii="Arial"/>
                <w:sz w:val="21"/>
              </w:rPr>
            </w:pPr>
          </w:p>
        </w:tc>
        <w:tc>
          <w:tcPr>
            <w:tcW w:w="1979" w:type="dxa"/>
            <w:vAlign w:val="top"/>
          </w:tcPr>
          <w:p w14:paraId="46789992">
            <w:pPr>
              <w:rPr>
                <w:rFonts w:ascii="Arial"/>
                <w:sz w:val="21"/>
              </w:rPr>
            </w:pPr>
          </w:p>
        </w:tc>
        <w:tc>
          <w:tcPr>
            <w:tcW w:w="899" w:type="dxa"/>
            <w:vAlign w:val="top"/>
          </w:tcPr>
          <w:p w14:paraId="2D17F419">
            <w:pPr>
              <w:rPr>
                <w:rFonts w:ascii="Arial"/>
                <w:sz w:val="21"/>
              </w:rPr>
            </w:pPr>
          </w:p>
        </w:tc>
        <w:tc>
          <w:tcPr>
            <w:tcW w:w="900" w:type="dxa"/>
            <w:vAlign w:val="top"/>
          </w:tcPr>
          <w:p w14:paraId="1B86910B">
            <w:pPr>
              <w:rPr>
                <w:rFonts w:ascii="Arial"/>
                <w:sz w:val="21"/>
              </w:rPr>
            </w:pPr>
          </w:p>
        </w:tc>
        <w:tc>
          <w:tcPr>
            <w:tcW w:w="846" w:type="dxa"/>
            <w:vAlign w:val="top"/>
          </w:tcPr>
          <w:p w14:paraId="06F54DB8">
            <w:pPr>
              <w:rPr>
                <w:rFonts w:ascii="Arial"/>
                <w:sz w:val="21"/>
              </w:rPr>
            </w:pPr>
          </w:p>
        </w:tc>
        <w:tc>
          <w:tcPr>
            <w:tcW w:w="1354" w:type="dxa"/>
            <w:vAlign w:val="top"/>
          </w:tcPr>
          <w:p w14:paraId="28A6AA5B">
            <w:pPr>
              <w:rPr>
                <w:rFonts w:ascii="Arial"/>
                <w:sz w:val="21"/>
              </w:rPr>
            </w:pPr>
          </w:p>
        </w:tc>
        <w:tc>
          <w:tcPr>
            <w:tcW w:w="1578" w:type="dxa"/>
            <w:vAlign w:val="top"/>
          </w:tcPr>
          <w:p w14:paraId="19B478D7">
            <w:pPr>
              <w:rPr>
                <w:rFonts w:ascii="Arial"/>
                <w:sz w:val="21"/>
              </w:rPr>
            </w:pPr>
          </w:p>
        </w:tc>
        <w:tc>
          <w:tcPr>
            <w:tcW w:w="904" w:type="dxa"/>
            <w:vAlign w:val="top"/>
          </w:tcPr>
          <w:p w14:paraId="7B26EFB8">
            <w:pPr>
              <w:rPr>
                <w:rFonts w:ascii="Arial"/>
                <w:sz w:val="21"/>
              </w:rPr>
            </w:pPr>
          </w:p>
        </w:tc>
      </w:tr>
      <w:tr w14:paraId="42CE56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652" w:type="dxa"/>
            <w:vAlign w:val="top"/>
          </w:tcPr>
          <w:p w14:paraId="020F704D">
            <w:pPr>
              <w:rPr>
                <w:rFonts w:ascii="Arial"/>
                <w:sz w:val="21"/>
              </w:rPr>
            </w:pPr>
          </w:p>
        </w:tc>
        <w:tc>
          <w:tcPr>
            <w:tcW w:w="1979" w:type="dxa"/>
            <w:vAlign w:val="top"/>
          </w:tcPr>
          <w:p w14:paraId="12EC189D">
            <w:pPr>
              <w:rPr>
                <w:rFonts w:ascii="Arial"/>
                <w:sz w:val="21"/>
              </w:rPr>
            </w:pPr>
          </w:p>
        </w:tc>
        <w:tc>
          <w:tcPr>
            <w:tcW w:w="899" w:type="dxa"/>
            <w:vAlign w:val="top"/>
          </w:tcPr>
          <w:p w14:paraId="58C1DD37">
            <w:pPr>
              <w:rPr>
                <w:rFonts w:ascii="Arial"/>
                <w:sz w:val="21"/>
              </w:rPr>
            </w:pPr>
          </w:p>
        </w:tc>
        <w:tc>
          <w:tcPr>
            <w:tcW w:w="900" w:type="dxa"/>
            <w:vAlign w:val="top"/>
          </w:tcPr>
          <w:p w14:paraId="48125565">
            <w:pPr>
              <w:rPr>
                <w:rFonts w:ascii="Arial"/>
                <w:sz w:val="21"/>
              </w:rPr>
            </w:pPr>
          </w:p>
        </w:tc>
        <w:tc>
          <w:tcPr>
            <w:tcW w:w="846" w:type="dxa"/>
            <w:vAlign w:val="top"/>
          </w:tcPr>
          <w:p w14:paraId="52401CDD">
            <w:pPr>
              <w:rPr>
                <w:rFonts w:ascii="Arial"/>
                <w:sz w:val="21"/>
              </w:rPr>
            </w:pPr>
          </w:p>
        </w:tc>
        <w:tc>
          <w:tcPr>
            <w:tcW w:w="1354" w:type="dxa"/>
            <w:vAlign w:val="top"/>
          </w:tcPr>
          <w:p w14:paraId="1871AF5A">
            <w:pPr>
              <w:rPr>
                <w:rFonts w:ascii="Arial"/>
                <w:sz w:val="21"/>
              </w:rPr>
            </w:pPr>
          </w:p>
        </w:tc>
        <w:tc>
          <w:tcPr>
            <w:tcW w:w="1578" w:type="dxa"/>
            <w:vAlign w:val="top"/>
          </w:tcPr>
          <w:p w14:paraId="443A6DF0">
            <w:pPr>
              <w:rPr>
                <w:rFonts w:ascii="Arial"/>
                <w:sz w:val="21"/>
              </w:rPr>
            </w:pPr>
          </w:p>
        </w:tc>
        <w:tc>
          <w:tcPr>
            <w:tcW w:w="904" w:type="dxa"/>
            <w:vAlign w:val="top"/>
          </w:tcPr>
          <w:p w14:paraId="5898D88A">
            <w:pPr>
              <w:rPr>
                <w:rFonts w:ascii="Arial"/>
                <w:sz w:val="21"/>
              </w:rPr>
            </w:pPr>
          </w:p>
        </w:tc>
      </w:tr>
      <w:tr w14:paraId="647A1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652" w:type="dxa"/>
            <w:vAlign w:val="top"/>
          </w:tcPr>
          <w:p w14:paraId="2F218F40">
            <w:pPr>
              <w:rPr>
                <w:rFonts w:ascii="Arial"/>
                <w:sz w:val="21"/>
              </w:rPr>
            </w:pPr>
          </w:p>
        </w:tc>
        <w:tc>
          <w:tcPr>
            <w:tcW w:w="1979" w:type="dxa"/>
            <w:vAlign w:val="top"/>
          </w:tcPr>
          <w:p w14:paraId="634754DE">
            <w:pPr>
              <w:rPr>
                <w:rFonts w:ascii="Arial"/>
                <w:sz w:val="21"/>
              </w:rPr>
            </w:pPr>
          </w:p>
        </w:tc>
        <w:tc>
          <w:tcPr>
            <w:tcW w:w="899" w:type="dxa"/>
            <w:vAlign w:val="top"/>
          </w:tcPr>
          <w:p w14:paraId="7E6756C7">
            <w:pPr>
              <w:rPr>
                <w:rFonts w:ascii="Arial"/>
                <w:sz w:val="21"/>
              </w:rPr>
            </w:pPr>
          </w:p>
        </w:tc>
        <w:tc>
          <w:tcPr>
            <w:tcW w:w="900" w:type="dxa"/>
            <w:vAlign w:val="top"/>
          </w:tcPr>
          <w:p w14:paraId="4ADD3A77">
            <w:pPr>
              <w:rPr>
                <w:rFonts w:ascii="Arial"/>
                <w:sz w:val="21"/>
              </w:rPr>
            </w:pPr>
          </w:p>
        </w:tc>
        <w:tc>
          <w:tcPr>
            <w:tcW w:w="846" w:type="dxa"/>
            <w:vAlign w:val="top"/>
          </w:tcPr>
          <w:p w14:paraId="4EDE6D21">
            <w:pPr>
              <w:rPr>
                <w:rFonts w:ascii="Arial"/>
                <w:sz w:val="21"/>
              </w:rPr>
            </w:pPr>
          </w:p>
        </w:tc>
        <w:tc>
          <w:tcPr>
            <w:tcW w:w="1354" w:type="dxa"/>
            <w:vAlign w:val="top"/>
          </w:tcPr>
          <w:p w14:paraId="17A7D6C9">
            <w:pPr>
              <w:rPr>
                <w:rFonts w:ascii="Arial"/>
                <w:sz w:val="21"/>
              </w:rPr>
            </w:pPr>
          </w:p>
        </w:tc>
        <w:tc>
          <w:tcPr>
            <w:tcW w:w="1578" w:type="dxa"/>
            <w:vAlign w:val="top"/>
          </w:tcPr>
          <w:p w14:paraId="11596236">
            <w:pPr>
              <w:rPr>
                <w:rFonts w:ascii="Arial"/>
                <w:sz w:val="21"/>
              </w:rPr>
            </w:pPr>
          </w:p>
        </w:tc>
        <w:tc>
          <w:tcPr>
            <w:tcW w:w="904" w:type="dxa"/>
            <w:vAlign w:val="top"/>
          </w:tcPr>
          <w:p w14:paraId="53FFD416">
            <w:pPr>
              <w:rPr>
                <w:rFonts w:ascii="Arial"/>
                <w:sz w:val="21"/>
              </w:rPr>
            </w:pPr>
          </w:p>
        </w:tc>
      </w:tr>
      <w:tr w14:paraId="70B3B3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652" w:type="dxa"/>
            <w:vAlign w:val="top"/>
          </w:tcPr>
          <w:p w14:paraId="2EA719A7">
            <w:pPr>
              <w:rPr>
                <w:rFonts w:ascii="Arial"/>
                <w:sz w:val="21"/>
              </w:rPr>
            </w:pPr>
          </w:p>
        </w:tc>
        <w:tc>
          <w:tcPr>
            <w:tcW w:w="1979" w:type="dxa"/>
            <w:vAlign w:val="top"/>
          </w:tcPr>
          <w:p w14:paraId="43FAFEF3">
            <w:pPr>
              <w:rPr>
                <w:rFonts w:ascii="Arial"/>
                <w:sz w:val="21"/>
              </w:rPr>
            </w:pPr>
          </w:p>
        </w:tc>
        <w:tc>
          <w:tcPr>
            <w:tcW w:w="899" w:type="dxa"/>
            <w:vAlign w:val="top"/>
          </w:tcPr>
          <w:p w14:paraId="6B9F041F">
            <w:pPr>
              <w:rPr>
                <w:rFonts w:ascii="Arial"/>
                <w:sz w:val="21"/>
              </w:rPr>
            </w:pPr>
          </w:p>
        </w:tc>
        <w:tc>
          <w:tcPr>
            <w:tcW w:w="900" w:type="dxa"/>
            <w:vAlign w:val="top"/>
          </w:tcPr>
          <w:p w14:paraId="3EB10FB1">
            <w:pPr>
              <w:rPr>
                <w:rFonts w:ascii="Arial"/>
                <w:sz w:val="21"/>
              </w:rPr>
            </w:pPr>
          </w:p>
        </w:tc>
        <w:tc>
          <w:tcPr>
            <w:tcW w:w="846" w:type="dxa"/>
            <w:vAlign w:val="top"/>
          </w:tcPr>
          <w:p w14:paraId="4D04EDF4">
            <w:pPr>
              <w:rPr>
                <w:rFonts w:ascii="Arial"/>
                <w:sz w:val="21"/>
              </w:rPr>
            </w:pPr>
          </w:p>
        </w:tc>
        <w:tc>
          <w:tcPr>
            <w:tcW w:w="1354" w:type="dxa"/>
            <w:vAlign w:val="top"/>
          </w:tcPr>
          <w:p w14:paraId="4463B784">
            <w:pPr>
              <w:rPr>
                <w:rFonts w:ascii="Arial"/>
                <w:sz w:val="21"/>
              </w:rPr>
            </w:pPr>
          </w:p>
        </w:tc>
        <w:tc>
          <w:tcPr>
            <w:tcW w:w="1578" w:type="dxa"/>
            <w:vAlign w:val="top"/>
          </w:tcPr>
          <w:p w14:paraId="797D5766">
            <w:pPr>
              <w:rPr>
                <w:rFonts w:ascii="Arial"/>
                <w:sz w:val="21"/>
              </w:rPr>
            </w:pPr>
          </w:p>
        </w:tc>
        <w:tc>
          <w:tcPr>
            <w:tcW w:w="904" w:type="dxa"/>
            <w:vAlign w:val="top"/>
          </w:tcPr>
          <w:p w14:paraId="68FFD67A">
            <w:pPr>
              <w:rPr>
                <w:rFonts w:ascii="Arial"/>
                <w:sz w:val="21"/>
              </w:rPr>
            </w:pPr>
          </w:p>
        </w:tc>
      </w:tr>
      <w:tr w14:paraId="16F4FA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652" w:type="dxa"/>
            <w:vAlign w:val="top"/>
          </w:tcPr>
          <w:p w14:paraId="740A7B7F">
            <w:pPr>
              <w:rPr>
                <w:rFonts w:ascii="Arial"/>
                <w:sz w:val="21"/>
              </w:rPr>
            </w:pPr>
          </w:p>
        </w:tc>
        <w:tc>
          <w:tcPr>
            <w:tcW w:w="1979" w:type="dxa"/>
            <w:vAlign w:val="top"/>
          </w:tcPr>
          <w:p w14:paraId="4348D10B">
            <w:pPr>
              <w:rPr>
                <w:rFonts w:ascii="Arial"/>
                <w:sz w:val="21"/>
              </w:rPr>
            </w:pPr>
          </w:p>
        </w:tc>
        <w:tc>
          <w:tcPr>
            <w:tcW w:w="899" w:type="dxa"/>
            <w:vAlign w:val="top"/>
          </w:tcPr>
          <w:p w14:paraId="283C3C2B">
            <w:pPr>
              <w:rPr>
                <w:rFonts w:ascii="Arial"/>
                <w:sz w:val="21"/>
              </w:rPr>
            </w:pPr>
          </w:p>
        </w:tc>
        <w:tc>
          <w:tcPr>
            <w:tcW w:w="900" w:type="dxa"/>
            <w:vAlign w:val="top"/>
          </w:tcPr>
          <w:p w14:paraId="3BE1EC86">
            <w:pPr>
              <w:rPr>
                <w:rFonts w:ascii="Arial"/>
                <w:sz w:val="21"/>
              </w:rPr>
            </w:pPr>
          </w:p>
        </w:tc>
        <w:tc>
          <w:tcPr>
            <w:tcW w:w="846" w:type="dxa"/>
            <w:vAlign w:val="top"/>
          </w:tcPr>
          <w:p w14:paraId="77BA4A58">
            <w:pPr>
              <w:rPr>
                <w:rFonts w:ascii="Arial"/>
                <w:sz w:val="21"/>
              </w:rPr>
            </w:pPr>
          </w:p>
        </w:tc>
        <w:tc>
          <w:tcPr>
            <w:tcW w:w="1354" w:type="dxa"/>
            <w:vAlign w:val="top"/>
          </w:tcPr>
          <w:p w14:paraId="158A82AD">
            <w:pPr>
              <w:rPr>
                <w:rFonts w:ascii="Arial"/>
                <w:sz w:val="21"/>
              </w:rPr>
            </w:pPr>
          </w:p>
        </w:tc>
        <w:tc>
          <w:tcPr>
            <w:tcW w:w="1578" w:type="dxa"/>
            <w:vAlign w:val="top"/>
          </w:tcPr>
          <w:p w14:paraId="6F19706D">
            <w:pPr>
              <w:rPr>
                <w:rFonts w:ascii="Arial"/>
                <w:sz w:val="21"/>
              </w:rPr>
            </w:pPr>
          </w:p>
        </w:tc>
        <w:tc>
          <w:tcPr>
            <w:tcW w:w="904" w:type="dxa"/>
            <w:vAlign w:val="top"/>
          </w:tcPr>
          <w:p w14:paraId="1CC0DF66">
            <w:pPr>
              <w:rPr>
                <w:rFonts w:ascii="Arial"/>
                <w:sz w:val="21"/>
              </w:rPr>
            </w:pPr>
          </w:p>
        </w:tc>
      </w:tr>
      <w:tr w14:paraId="1FB077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652" w:type="dxa"/>
            <w:vAlign w:val="top"/>
          </w:tcPr>
          <w:p w14:paraId="60A9F11B">
            <w:pPr>
              <w:rPr>
                <w:rFonts w:ascii="Arial"/>
                <w:sz w:val="21"/>
              </w:rPr>
            </w:pPr>
          </w:p>
        </w:tc>
        <w:tc>
          <w:tcPr>
            <w:tcW w:w="1979" w:type="dxa"/>
            <w:vAlign w:val="top"/>
          </w:tcPr>
          <w:p w14:paraId="1D649EC1">
            <w:pPr>
              <w:rPr>
                <w:rFonts w:ascii="Arial"/>
                <w:sz w:val="21"/>
              </w:rPr>
            </w:pPr>
          </w:p>
        </w:tc>
        <w:tc>
          <w:tcPr>
            <w:tcW w:w="899" w:type="dxa"/>
            <w:vAlign w:val="top"/>
          </w:tcPr>
          <w:p w14:paraId="14BB746A">
            <w:pPr>
              <w:rPr>
                <w:rFonts w:ascii="Arial"/>
                <w:sz w:val="21"/>
              </w:rPr>
            </w:pPr>
          </w:p>
        </w:tc>
        <w:tc>
          <w:tcPr>
            <w:tcW w:w="900" w:type="dxa"/>
            <w:vAlign w:val="top"/>
          </w:tcPr>
          <w:p w14:paraId="72F9EB30">
            <w:pPr>
              <w:rPr>
                <w:rFonts w:ascii="Arial"/>
                <w:sz w:val="21"/>
              </w:rPr>
            </w:pPr>
          </w:p>
        </w:tc>
        <w:tc>
          <w:tcPr>
            <w:tcW w:w="846" w:type="dxa"/>
            <w:vAlign w:val="top"/>
          </w:tcPr>
          <w:p w14:paraId="50088D03">
            <w:pPr>
              <w:rPr>
                <w:rFonts w:ascii="Arial"/>
                <w:sz w:val="21"/>
              </w:rPr>
            </w:pPr>
          </w:p>
        </w:tc>
        <w:tc>
          <w:tcPr>
            <w:tcW w:w="1354" w:type="dxa"/>
            <w:vAlign w:val="top"/>
          </w:tcPr>
          <w:p w14:paraId="5B5625E8">
            <w:pPr>
              <w:rPr>
                <w:rFonts w:ascii="Arial"/>
                <w:sz w:val="21"/>
              </w:rPr>
            </w:pPr>
          </w:p>
        </w:tc>
        <w:tc>
          <w:tcPr>
            <w:tcW w:w="1578" w:type="dxa"/>
            <w:vAlign w:val="top"/>
          </w:tcPr>
          <w:p w14:paraId="1990A1DF">
            <w:pPr>
              <w:rPr>
                <w:rFonts w:ascii="Arial"/>
                <w:sz w:val="21"/>
              </w:rPr>
            </w:pPr>
          </w:p>
        </w:tc>
        <w:tc>
          <w:tcPr>
            <w:tcW w:w="904" w:type="dxa"/>
            <w:vAlign w:val="top"/>
          </w:tcPr>
          <w:p w14:paraId="77123D21">
            <w:pPr>
              <w:rPr>
                <w:rFonts w:ascii="Arial"/>
                <w:sz w:val="21"/>
              </w:rPr>
            </w:pPr>
          </w:p>
        </w:tc>
      </w:tr>
      <w:tr w14:paraId="423F1A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652" w:type="dxa"/>
            <w:vAlign w:val="top"/>
          </w:tcPr>
          <w:p w14:paraId="03A91D4C">
            <w:pPr>
              <w:rPr>
                <w:rFonts w:ascii="Arial"/>
                <w:sz w:val="21"/>
              </w:rPr>
            </w:pPr>
          </w:p>
        </w:tc>
        <w:tc>
          <w:tcPr>
            <w:tcW w:w="1979" w:type="dxa"/>
            <w:vAlign w:val="top"/>
          </w:tcPr>
          <w:p w14:paraId="67B34F13">
            <w:pPr>
              <w:rPr>
                <w:rFonts w:ascii="Arial"/>
                <w:sz w:val="21"/>
              </w:rPr>
            </w:pPr>
          </w:p>
        </w:tc>
        <w:tc>
          <w:tcPr>
            <w:tcW w:w="899" w:type="dxa"/>
            <w:vAlign w:val="top"/>
          </w:tcPr>
          <w:p w14:paraId="57D47AE1">
            <w:pPr>
              <w:rPr>
                <w:rFonts w:ascii="Arial"/>
                <w:sz w:val="21"/>
              </w:rPr>
            </w:pPr>
          </w:p>
        </w:tc>
        <w:tc>
          <w:tcPr>
            <w:tcW w:w="900" w:type="dxa"/>
            <w:vAlign w:val="top"/>
          </w:tcPr>
          <w:p w14:paraId="639CA09F">
            <w:pPr>
              <w:rPr>
                <w:rFonts w:ascii="Arial"/>
                <w:sz w:val="21"/>
              </w:rPr>
            </w:pPr>
          </w:p>
        </w:tc>
        <w:tc>
          <w:tcPr>
            <w:tcW w:w="846" w:type="dxa"/>
            <w:vAlign w:val="top"/>
          </w:tcPr>
          <w:p w14:paraId="5FAE59A5">
            <w:pPr>
              <w:rPr>
                <w:rFonts w:ascii="Arial"/>
                <w:sz w:val="21"/>
              </w:rPr>
            </w:pPr>
          </w:p>
        </w:tc>
        <w:tc>
          <w:tcPr>
            <w:tcW w:w="1354" w:type="dxa"/>
            <w:vAlign w:val="top"/>
          </w:tcPr>
          <w:p w14:paraId="196EE194">
            <w:pPr>
              <w:rPr>
                <w:rFonts w:ascii="Arial"/>
                <w:sz w:val="21"/>
              </w:rPr>
            </w:pPr>
          </w:p>
        </w:tc>
        <w:tc>
          <w:tcPr>
            <w:tcW w:w="1578" w:type="dxa"/>
            <w:vAlign w:val="top"/>
          </w:tcPr>
          <w:p w14:paraId="07187769">
            <w:pPr>
              <w:rPr>
                <w:rFonts w:ascii="Arial"/>
                <w:sz w:val="21"/>
              </w:rPr>
            </w:pPr>
          </w:p>
        </w:tc>
        <w:tc>
          <w:tcPr>
            <w:tcW w:w="904" w:type="dxa"/>
            <w:vAlign w:val="top"/>
          </w:tcPr>
          <w:p w14:paraId="4CCDAC66">
            <w:pPr>
              <w:rPr>
                <w:rFonts w:ascii="Arial"/>
                <w:sz w:val="21"/>
              </w:rPr>
            </w:pPr>
          </w:p>
        </w:tc>
      </w:tr>
      <w:tr w14:paraId="0E0BD3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trPr>
        <w:tc>
          <w:tcPr>
            <w:tcW w:w="652" w:type="dxa"/>
            <w:vAlign w:val="top"/>
          </w:tcPr>
          <w:p w14:paraId="6AA40FD8">
            <w:pPr>
              <w:rPr>
                <w:rFonts w:ascii="Arial"/>
                <w:sz w:val="21"/>
              </w:rPr>
            </w:pPr>
          </w:p>
        </w:tc>
        <w:tc>
          <w:tcPr>
            <w:tcW w:w="1979" w:type="dxa"/>
            <w:vAlign w:val="top"/>
          </w:tcPr>
          <w:p w14:paraId="1A42C0E6">
            <w:pPr>
              <w:rPr>
                <w:rFonts w:ascii="Arial"/>
                <w:sz w:val="21"/>
              </w:rPr>
            </w:pPr>
          </w:p>
        </w:tc>
        <w:tc>
          <w:tcPr>
            <w:tcW w:w="899" w:type="dxa"/>
            <w:vAlign w:val="top"/>
          </w:tcPr>
          <w:p w14:paraId="51CB0B83">
            <w:pPr>
              <w:rPr>
                <w:rFonts w:ascii="Arial"/>
                <w:sz w:val="21"/>
              </w:rPr>
            </w:pPr>
          </w:p>
        </w:tc>
        <w:tc>
          <w:tcPr>
            <w:tcW w:w="900" w:type="dxa"/>
            <w:vAlign w:val="top"/>
          </w:tcPr>
          <w:p w14:paraId="38F53634">
            <w:pPr>
              <w:rPr>
                <w:rFonts w:ascii="Arial"/>
                <w:sz w:val="21"/>
              </w:rPr>
            </w:pPr>
          </w:p>
        </w:tc>
        <w:tc>
          <w:tcPr>
            <w:tcW w:w="846" w:type="dxa"/>
            <w:vAlign w:val="top"/>
          </w:tcPr>
          <w:p w14:paraId="1A9D853C">
            <w:pPr>
              <w:rPr>
                <w:rFonts w:ascii="Arial"/>
                <w:sz w:val="21"/>
              </w:rPr>
            </w:pPr>
          </w:p>
        </w:tc>
        <w:tc>
          <w:tcPr>
            <w:tcW w:w="1354" w:type="dxa"/>
            <w:vAlign w:val="top"/>
          </w:tcPr>
          <w:p w14:paraId="4CFB44FA">
            <w:pPr>
              <w:rPr>
                <w:rFonts w:ascii="Arial"/>
                <w:sz w:val="21"/>
              </w:rPr>
            </w:pPr>
          </w:p>
        </w:tc>
        <w:tc>
          <w:tcPr>
            <w:tcW w:w="1578" w:type="dxa"/>
            <w:vAlign w:val="top"/>
          </w:tcPr>
          <w:p w14:paraId="69981AFB">
            <w:pPr>
              <w:rPr>
                <w:rFonts w:ascii="Arial"/>
                <w:sz w:val="21"/>
              </w:rPr>
            </w:pPr>
          </w:p>
        </w:tc>
        <w:tc>
          <w:tcPr>
            <w:tcW w:w="904" w:type="dxa"/>
            <w:vAlign w:val="top"/>
          </w:tcPr>
          <w:p w14:paraId="2EFAA7B2">
            <w:pPr>
              <w:rPr>
                <w:rFonts w:ascii="Arial"/>
                <w:sz w:val="21"/>
              </w:rPr>
            </w:pPr>
          </w:p>
        </w:tc>
      </w:tr>
    </w:tbl>
    <w:p w14:paraId="4BCD4A7B">
      <w:pPr>
        <w:spacing w:line="445" w:lineRule="auto"/>
        <w:rPr>
          <w:rFonts w:ascii="Arial"/>
          <w:sz w:val="21"/>
        </w:rPr>
      </w:pPr>
    </w:p>
    <w:p w14:paraId="6CF2D496">
      <w:pPr>
        <w:spacing w:before="65" w:line="226" w:lineRule="auto"/>
        <w:ind w:left="120"/>
        <w:rPr>
          <w:rFonts w:ascii="宋体" w:hAnsi="宋体" w:eastAsia="宋体" w:cs="宋体"/>
          <w:sz w:val="20"/>
          <w:szCs w:val="20"/>
        </w:rPr>
      </w:pPr>
      <w:r>
        <w:rPr>
          <w:rFonts w:ascii="宋体" w:hAnsi="宋体" w:eastAsia="宋体" w:cs="宋体"/>
          <w:spacing w:val="9"/>
          <w:sz w:val="20"/>
          <w:szCs w:val="20"/>
        </w:rPr>
        <w:t>注：此表由招标人填写，供投标人在投标报价、确定总承包服务费时参考。</w:t>
      </w:r>
    </w:p>
    <w:p w14:paraId="239E4D89">
      <w:pPr>
        <w:spacing w:line="226" w:lineRule="auto"/>
        <w:rPr>
          <w:rFonts w:ascii="宋体" w:hAnsi="宋体" w:eastAsia="宋体" w:cs="宋体"/>
          <w:sz w:val="20"/>
          <w:szCs w:val="20"/>
        </w:rPr>
        <w:sectPr>
          <w:footerReference r:id="rId470" w:type="default"/>
          <w:pgSz w:w="11907" w:h="16840"/>
          <w:pgMar w:top="400" w:right="1428" w:bottom="1247" w:left="1361" w:header="0" w:footer="1085" w:gutter="0"/>
          <w:cols w:space="720" w:num="1"/>
        </w:sectPr>
      </w:pPr>
    </w:p>
    <w:p w14:paraId="13D707A8">
      <w:pPr>
        <w:spacing w:line="265" w:lineRule="auto"/>
        <w:rPr>
          <w:rFonts w:ascii="Arial"/>
          <w:sz w:val="21"/>
        </w:rPr>
      </w:pPr>
    </w:p>
    <w:p w14:paraId="34611006">
      <w:pPr>
        <w:spacing w:line="266" w:lineRule="auto"/>
        <w:rPr>
          <w:rFonts w:ascii="Arial"/>
          <w:sz w:val="21"/>
        </w:rPr>
      </w:pPr>
    </w:p>
    <w:p w14:paraId="24EA64D0">
      <w:pPr>
        <w:spacing w:line="266" w:lineRule="auto"/>
        <w:rPr>
          <w:rFonts w:ascii="Arial"/>
          <w:sz w:val="21"/>
        </w:rPr>
      </w:pPr>
    </w:p>
    <w:p w14:paraId="448BBF3E">
      <w:pPr>
        <w:spacing w:line="266" w:lineRule="auto"/>
        <w:rPr>
          <w:rFonts w:ascii="Arial"/>
          <w:sz w:val="21"/>
        </w:rPr>
      </w:pPr>
    </w:p>
    <w:p w14:paraId="082DDBD4">
      <w:pPr>
        <w:spacing w:line="266" w:lineRule="auto"/>
        <w:rPr>
          <w:rFonts w:ascii="Arial"/>
          <w:sz w:val="21"/>
        </w:rPr>
      </w:pPr>
    </w:p>
    <w:p w14:paraId="00EB9BEE">
      <w:pPr>
        <w:pStyle w:val="2"/>
        <w:spacing w:before="78" w:line="221" w:lineRule="auto"/>
        <w:ind w:left="116"/>
        <w:outlineLvl w:val="2"/>
        <w:rPr>
          <w:rFonts w:ascii="宋体" w:hAnsi="宋体" w:eastAsia="宋体" w:cs="宋体"/>
          <w:sz w:val="24"/>
          <w:szCs w:val="24"/>
        </w:rPr>
      </w:pPr>
      <w:bookmarkStart w:id="374" w:name="bookmark356"/>
      <w:bookmarkEnd w:id="374"/>
      <w:bookmarkStart w:id="375" w:name="bookmark357"/>
      <w:bookmarkEnd w:id="375"/>
      <w:r>
        <w:rPr>
          <w:rFonts w:ascii="Times New Roman" w:hAnsi="Times New Roman" w:eastAsia="Times New Roman" w:cs="Times New Roman"/>
          <w:spacing w:val="-1"/>
          <w:sz w:val="24"/>
          <w:szCs w:val="24"/>
        </w:rPr>
        <w:t>4.</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1"/>
          <w:sz w:val="24"/>
          <w:szCs w:val="24"/>
        </w:rPr>
        <w:t xml:space="preserve">15 </w:t>
      </w:r>
      <w:r>
        <w:rPr>
          <w:spacing w:val="-1"/>
          <w:sz w:val="24"/>
          <w:szCs w:val="24"/>
        </w:rPr>
        <w:t>承包人提供主要材料和工程设备一览表</w:t>
      </w:r>
      <w:r>
        <w:rPr>
          <w:rFonts w:ascii="宋体" w:hAnsi="宋体" w:eastAsia="宋体" w:cs="宋体"/>
          <w:spacing w:val="-1"/>
          <w:sz w:val="24"/>
          <w:szCs w:val="24"/>
        </w:rPr>
        <w:t>（适用于造价信息差额调整法）</w:t>
      </w:r>
    </w:p>
    <w:p w14:paraId="2DF1DD3C">
      <w:pPr>
        <w:spacing w:line="429" w:lineRule="auto"/>
        <w:rPr>
          <w:rFonts w:ascii="Arial"/>
          <w:sz w:val="21"/>
        </w:rPr>
      </w:pPr>
    </w:p>
    <w:p w14:paraId="4EDAF10D">
      <w:pPr>
        <w:pStyle w:val="2"/>
        <w:spacing w:before="91" w:line="222" w:lineRule="auto"/>
        <w:ind w:left="2193"/>
        <w:rPr>
          <w:sz w:val="28"/>
          <w:szCs w:val="28"/>
        </w:rPr>
      </w:pPr>
      <w:r>
        <w:rPr>
          <w:spacing w:val="-1"/>
          <w:sz w:val="28"/>
          <w:szCs w:val="28"/>
        </w:rPr>
        <w:t>承包人提供主要材料和工程设备一览表</w:t>
      </w:r>
    </w:p>
    <w:p w14:paraId="47BDA086">
      <w:pPr>
        <w:spacing w:before="257" w:line="223" w:lineRule="auto"/>
        <w:ind w:left="123"/>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2"/>
          <w:sz w:val="20"/>
          <w:szCs w:val="20"/>
        </w:rPr>
        <w:t xml:space="preserve">                         </w:t>
      </w:r>
      <w:r>
        <w:rPr>
          <w:rFonts w:ascii="宋体" w:hAnsi="宋体" w:eastAsia="宋体" w:cs="宋体"/>
          <w:spacing w:val="4"/>
          <w:sz w:val="20"/>
          <w:szCs w:val="20"/>
        </w:rPr>
        <w:t>标段名称：</w:t>
      </w:r>
      <w:r>
        <w:rPr>
          <w:rFonts w:ascii="宋体" w:hAnsi="宋体" w:eastAsia="宋体" w:cs="宋体"/>
          <w:sz w:val="20"/>
          <w:szCs w:val="20"/>
        </w:rPr>
        <w:t xml:space="preserve">                  </w:t>
      </w:r>
      <w:r>
        <w:rPr>
          <w:rFonts w:ascii="宋体" w:hAnsi="宋体" w:eastAsia="宋体" w:cs="宋体"/>
          <w:spacing w:val="4"/>
          <w:sz w:val="20"/>
          <w:szCs w:val="20"/>
        </w:rPr>
        <w:t>第  页</w:t>
      </w:r>
      <w:r>
        <w:rPr>
          <w:rFonts w:ascii="宋体" w:hAnsi="宋体" w:eastAsia="宋体" w:cs="宋体"/>
          <w:spacing w:val="14"/>
          <w:sz w:val="20"/>
          <w:szCs w:val="20"/>
        </w:rPr>
        <w:t xml:space="preserve">  </w:t>
      </w:r>
      <w:r>
        <w:rPr>
          <w:rFonts w:ascii="宋体" w:hAnsi="宋体" w:eastAsia="宋体" w:cs="宋体"/>
          <w:spacing w:val="4"/>
          <w:sz w:val="20"/>
          <w:szCs w:val="20"/>
        </w:rPr>
        <w:t>共</w:t>
      </w:r>
      <w:r>
        <w:rPr>
          <w:rFonts w:ascii="宋体" w:hAnsi="宋体" w:eastAsia="宋体" w:cs="宋体"/>
          <w:spacing w:val="12"/>
          <w:sz w:val="20"/>
          <w:szCs w:val="20"/>
        </w:rPr>
        <w:t xml:space="preserve">  </w:t>
      </w:r>
      <w:r>
        <w:rPr>
          <w:rFonts w:ascii="宋体" w:hAnsi="宋体" w:eastAsia="宋体" w:cs="宋体"/>
          <w:spacing w:val="4"/>
          <w:sz w:val="20"/>
          <w:szCs w:val="20"/>
        </w:rPr>
        <w:t>页</w:t>
      </w:r>
    </w:p>
    <w:tbl>
      <w:tblPr>
        <w:tblStyle w:val="5"/>
        <w:tblW w:w="91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1"/>
        <w:gridCol w:w="1724"/>
        <w:gridCol w:w="649"/>
        <w:gridCol w:w="768"/>
        <w:gridCol w:w="880"/>
        <w:gridCol w:w="928"/>
        <w:gridCol w:w="1373"/>
        <w:gridCol w:w="1550"/>
        <w:gridCol w:w="659"/>
      </w:tblGrid>
      <w:tr w14:paraId="2EA84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5" w:hRule="atLeast"/>
        </w:trPr>
        <w:tc>
          <w:tcPr>
            <w:tcW w:w="591" w:type="dxa"/>
            <w:textDirection w:val="tbRlV"/>
            <w:vAlign w:val="top"/>
          </w:tcPr>
          <w:p w14:paraId="18E84D3E">
            <w:pPr>
              <w:pStyle w:val="6"/>
              <w:spacing w:before="190" w:line="218" w:lineRule="auto"/>
              <w:ind w:left="205"/>
            </w:pPr>
            <w:r>
              <w:rPr>
                <w:spacing w:val="8"/>
              </w:rPr>
              <w:t>序</w:t>
            </w:r>
            <w:r>
              <w:rPr>
                <w:spacing w:val="-38"/>
              </w:rPr>
              <w:t xml:space="preserve"> </w:t>
            </w:r>
            <w:r>
              <w:rPr>
                <w:spacing w:val="8"/>
              </w:rPr>
              <w:t>号</w:t>
            </w:r>
          </w:p>
        </w:tc>
        <w:tc>
          <w:tcPr>
            <w:tcW w:w="1724" w:type="dxa"/>
            <w:vAlign w:val="top"/>
          </w:tcPr>
          <w:p w14:paraId="51B33282">
            <w:pPr>
              <w:pStyle w:val="6"/>
              <w:spacing w:before="206" w:line="252" w:lineRule="auto"/>
              <w:ind w:left="765" w:right="126" w:hanging="631"/>
            </w:pPr>
            <w:r>
              <w:rPr>
                <w:spacing w:val="8"/>
              </w:rPr>
              <w:t>名称、规格、型</w:t>
            </w:r>
            <w:r>
              <w:t>号</w:t>
            </w:r>
          </w:p>
        </w:tc>
        <w:tc>
          <w:tcPr>
            <w:tcW w:w="649" w:type="dxa"/>
            <w:vAlign w:val="top"/>
          </w:tcPr>
          <w:p w14:paraId="0256E424">
            <w:pPr>
              <w:spacing w:line="275" w:lineRule="auto"/>
              <w:rPr>
                <w:rFonts w:ascii="Arial"/>
                <w:sz w:val="21"/>
              </w:rPr>
            </w:pPr>
          </w:p>
          <w:p w14:paraId="14E96DA1">
            <w:pPr>
              <w:pStyle w:val="6"/>
              <w:spacing w:before="65" w:line="228" w:lineRule="auto"/>
              <w:ind w:left="120"/>
            </w:pPr>
            <w:r>
              <w:rPr>
                <w:spacing w:val="3"/>
              </w:rPr>
              <w:t>单位</w:t>
            </w:r>
          </w:p>
        </w:tc>
        <w:tc>
          <w:tcPr>
            <w:tcW w:w="768" w:type="dxa"/>
            <w:vAlign w:val="top"/>
          </w:tcPr>
          <w:p w14:paraId="5686D278">
            <w:pPr>
              <w:spacing w:line="274" w:lineRule="auto"/>
              <w:rPr>
                <w:rFonts w:ascii="Arial"/>
                <w:sz w:val="21"/>
              </w:rPr>
            </w:pPr>
          </w:p>
          <w:p w14:paraId="605B0BF6">
            <w:pPr>
              <w:pStyle w:val="6"/>
              <w:spacing w:before="65" w:line="228" w:lineRule="auto"/>
              <w:ind w:left="179"/>
            </w:pPr>
            <w:r>
              <w:rPr>
                <w:spacing w:val="3"/>
              </w:rPr>
              <w:t>数量</w:t>
            </w:r>
          </w:p>
        </w:tc>
        <w:tc>
          <w:tcPr>
            <w:tcW w:w="880" w:type="dxa"/>
            <w:vAlign w:val="top"/>
          </w:tcPr>
          <w:p w14:paraId="468FCD9E">
            <w:pPr>
              <w:pStyle w:val="6"/>
              <w:spacing w:before="68" w:line="228" w:lineRule="auto"/>
              <w:ind w:left="236"/>
            </w:pPr>
            <w:r>
              <w:rPr>
                <w:spacing w:val="4"/>
              </w:rPr>
              <w:t>风险</w:t>
            </w:r>
          </w:p>
          <w:p w14:paraId="091D2F53">
            <w:pPr>
              <w:pStyle w:val="6"/>
              <w:spacing w:before="25" w:line="251" w:lineRule="auto"/>
              <w:ind w:left="156" w:right="161" w:firstLine="82"/>
            </w:pPr>
            <w:r>
              <w:rPr>
                <w:spacing w:val="2"/>
              </w:rPr>
              <w:t>系数</w:t>
            </w:r>
            <w:r>
              <w:rPr>
                <w:spacing w:val="-4"/>
              </w:rPr>
              <w:t>（</w:t>
            </w:r>
            <w:r>
              <w:rPr>
                <w:rFonts w:ascii="Times New Roman" w:hAnsi="Times New Roman" w:eastAsia="Times New Roman" w:cs="Times New Roman"/>
                <w:spacing w:val="-4"/>
              </w:rPr>
              <w:t>%</w:t>
            </w:r>
            <w:r>
              <w:rPr>
                <w:spacing w:val="-4"/>
              </w:rPr>
              <w:t>）</w:t>
            </w:r>
          </w:p>
        </w:tc>
        <w:tc>
          <w:tcPr>
            <w:tcW w:w="928" w:type="dxa"/>
            <w:vAlign w:val="top"/>
          </w:tcPr>
          <w:p w14:paraId="5963608D">
            <w:pPr>
              <w:pStyle w:val="6"/>
              <w:spacing w:before="68" w:line="229" w:lineRule="auto"/>
              <w:ind w:left="257"/>
            </w:pPr>
            <w:r>
              <w:rPr>
                <w:spacing w:val="4"/>
              </w:rPr>
              <w:t>基准</w:t>
            </w:r>
          </w:p>
          <w:p w14:paraId="3D0B4DC0">
            <w:pPr>
              <w:pStyle w:val="6"/>
              <w:spacing w:before="24" w:line="251" w:lineRule="auto"/>
              <w:ind w:left="164" w:right="165" w:firstLine="94"/>
            </w:pPr>
            <w:r>
              <w:rPr>
                <w:spacing w:val="3"/>
              </w:rPr>
              <w:t>单价</w:t>
            </w:r>
            <w:r>
              <w:rPr>
                <w:spacing w:val="-3"/>
              </w:rPr>
              <w:t>（元）</w:t>
            </w:r>
          </w:p>
        </w:tc>
        <w:tc>
          <w:tcPr>
            <w:tcW w:w="1373" w:type="dxa"/>
            <w:vAlign w:val="top"/>
          </w:tcPr>
          <w:p w14:paraId="3B647D05">
            <w:pPr>
              <w:pStyle w:val="6"/>
              <w:spacing w:before="205" w:line="252" w:lineRule="auto"/>
              <w:ind w:left="388" w:right="265" w:hanging="113"/>
            </w:pPr>
            <w:r>
              <w:rPr>
                <w:spacing w:val="6"/>
              </w:rPr>
              <w:t>投标单价</w:t>
            </w:r>
            <w:r>
              <w:rPr>
                <w:spacing w:val="-1"/>
              </w:rPr>
              <w:t>（元）</w:t>
            </w:r>
          </w:p>
        </w:tc>
        <w:tc>
          <w:tcPr>
            <w:tcW w:w="1550" w:type="dxa"/>
            <w:vAlign w:val="top"/>
          </w:tcPr>
          <w:p w14:paraId="7A7266F2">
            <w:pPr>
              <w:pStyle w:val="6"/>
              <w:spacing w:before="205" w:line="251" w:lineRule="auto"/>
              <w:ind w:left="257" w:right="142" w:hanging="101"/>
            </w:pPr>
            <w:r>
              <w:rPr>
                <w:spacing w:val="7"/>
              </w:rPr>
              <w:t>发承包人确认</w:t>
            </w:r>
            <w:r>
              <w:rPr>
                <w:spacing w:val="5"/>
              </w:rPr>
              <w:t>单价（元）</w:t>
            </w:r>
          </w:p>
        </w:tc>
        <w:tc>
          <w:tcPr>
            <w:tcW w:w="659" w:type="dxa"/>
            <w:vAlign w:val="top"/>
          </w:tcPr>
          <w:p w14:paraId="0460F2C0">
            <w:pPr>
              <w:spacing w:line="275" w:lineRule="auto"/>
              <w:rPr>
                <w:rFonts w:ascii="Arial"/>
                <w:sz w:val="21"/>
              </w:rPr>
            </w:pPr>
          </w:p>
          <w:p w14:paraId="36E2D750">
            <w:pPr>
              <w:pStyle w:val="6"/>
              <w:spacing w:before="65" w:line="229" w:lineRule="auto"/>
              <w:ind w:left="127"/>
            </w:pPr>
            <w:r>
              <w:rPr>
                <w:spacing w:val="3"/>
              </w:rPr>
              <w:t>备注</w:t>
            </w:r>
          </w:p>
        </w:tc>
      </w:tr>
      <w:tr w14:paraId="1DB92A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591" w:type="dxa"/>
            <w:vAlign w:val="top"/>
          </w:tcPr>
          <w:p w14:paraId="50F74969">
            <w:pPr>
              <w:rPr>
                <w:rFonts w:ascii="Arial"/>
                <w:sz w:val="21"/>
              </w:rPr>
            </w:pPr>
          </w:p>
        </w:tc>
        <w:tc>
          <w:tcPr>
            <w:tcW w:w="1724" w:type="dxa"/>
            <w:vAlign w:val="top"/>
          </w:tcPr>
          <w:p w14:paraId="536079F3">
            <w:pPr>
              <w:rPr>
                <w:rFonts w:ascii="Arial"/>
                <w:sz w:val="21"/>
              </w:rPr>
            </w:pPr>
          </w:p>
        </w:tc>
        <w:tc>
          <w:tcPr>
            <w:tcW w:w="649" w:type="dxa"/>
            <w:vAlign w:val="top"/>
          </w:tcPr>
          <w:p w14:paraId="5E16BB3D">
            <w:pPr>
              <w:rPr>
                <w:rFonts w:ascii="Arial"/>
                <w:sz w:val="21"/>
              </w:rPr>
            </w:pPr>
          </w:p>
        </w:tc>
        <w:tc>
          <w:tcPr>
            <w:tcW w:w="768" w:type="dxa"/>
            <w:vAlign w:val="top"/>
          </w:tcPr>
          <w:p w14:paraId="2440CE67">
            <w:pPr>
              <w:rPr>
                <w:rFonts w:ascii="Arial"/>
                <w:sz w:val="21"/>
              </w:rPr>
            </w:pPr>
          </w:p>
        </w:tc>
        <w:tc>
          <w:tcPr>
            <w:tcW w:w="880" w:type="dxa"/>
            <w:vAlign w:val="top"/>
          </w:tcPr>
          <w:p w14:paraId="25A1974C">
            <w:pPr>
              <w:rPr>
                <w:rFonts w:ascii="Arial"/>
                <w:sz w:val="21"/>
              </w:rPr>
            </w:pPr>
          </w:p>
        </w:tc>
        <w:tc>
          <w:tcPr>
            <w:tcW w:w="928" w:type="dxa"/>
            <w:vAlign w:val="top"/>
          </w:tcPr>
          <w:p w14:paraId="75992914">
            <w:pPr>
              <w:rPr>
                <w:rFonts w:ascii="Arial"/>
                <w:sz w:val="21"/>
              </w:rPr>
            </w:pPr>
          </w:p>
        </w:tc>
        <w:tc>
          <w:tcPr>
            <w:tcW w:w="1373" w:type="dxa"/>
            <w:vAlign w:val="top"/>
          </w:tcPr>
          <w:p w14:paraId="5ED3C63D">
            <w:pPr>
              <w:rPr>
                <w:rFonts w:ascii="Arial"/>
                <w:sz w:val="21"/>
              </w:rPr>
            </w:pPr>
          </w:p>
        </w:tc>
        <w:tc>
          <w:tcPr>
            <w:tcW w:w="1550" w:type="dxa"/>
            <w:vAlign w:val="top"/>
          </w:tcPr>
          <w:p w14:paraId="5C3D7DE9">
            <w:pPr>
              <w:rPr>
                <w:rFonts w:ascii="Arial"/>
                <w:sz w:val="21"/>
              </w:rPr>
            </w:pPr>
          </w:p>
        </w:tc>
        <w:tc>
          <w:tcPr>
            <w:tcW w:w="659" w:type="dxa"/>
            <w:vAlign w:val="top"/>
          </w:tcPr>
          <w:p w14:paraId="6AC62831">
            <w:pPr>
              <w:rPr>
                <w:rFonts w:ascii="Arial"/>
                <w:sz w:val="21"/>
              </w:rPr>
            </w:pPr>
          </w:p>
        </w:tc>
      </w:tr>
      <w:tr w14:paraId="6584F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591" w:type="dxa"/>
            <w:vAlign w:val="top"/>
          </w:tcPr>
          <w:p w14:paraId="7CE10672">
            <w:pPr>
              <w:rPr>
                <w:rFonts w:ascii="Arial"/>
                <w:sz w:val="21"/>
              </w:rPr>
            </w:pPr>
          </w:p>
        </w:tc>
        <w:tc>
          <w:tcPr>
            <w:tcW w:w="1724" w:type="dxa"/>
            <w:vAlign w:val="top"/>
          </w:tcPr>
          <w:p w14:paraId="4D4C26ED">
            <w:pPr>
              <w:rPr>
                <w:rFonts w:ascii="Arial"/>
                <w:sz w:val="21"/>
              </w:rPr>
            </w:pPr>
          </w:p>
        </w:tc>
        <w:tc>
          <w:tcPr>
            <w:tcW w:w="649" w:type="dxa"/>
            <w:vAlign w:val="top"/>
          </w:tcPr>
          <w:p w14:paraId="08464E9F">
            <w:pPr>
              <w:rPr>
                <w:rFonts w:ascii="Arial"/>
                <w:sz w:val="21"/>
              </w:rPr>
            </w:pPr>
          </w:p>
        </w:tc>
        <w:tc>
          <w:tcPr>
            <w:tcW w:w="768" w:type="dxa"/>
            <w:vAlign w:val="top"/>
          </w:tcPr>
          <w:p w14:paraId="356E869A">
            <w:pPr>
              <w:rPr>
                <w:rFonts w:ascii="Arial"/>
                <w:sz w:val="21"/>
              </w:rPr>
            </w:pPr>
          </w:p>
        </w:tc>
        <w:tc>
          <w:tcPr>
            <w:tcW w:w="880" w:type="dxa"/>
            <w:vAlign w:val="top"/>
          </w:tcPr>
          <w:p w14:paraId="11DB568C">
            <w:pPr>
              <w:rPr>
                <w:rFonts w:ascii="Arial"/>
                <w:sz w:val="21"/>
              </w:rPr>
            </w:pPr>
          </w:p>
        </w:tc>
        <w:tc>
          <w:tcPr>
            <w:tcW w:w="928" w:type="dxa"/>
            <w:vAlign w:val="top"/>
          </w:tcPr>
          <w:p w14:paraId="4BD8F41A">
            <w:pPr>
              <w:rPr>
                <w:rFonts w:ascii="Arial"/>
                <w:sz w:val="21"/>
              </w:rPr>
            </w:pPr>
          </w:p>
        </w:tc>
        <w:tc>
          <w:tcPr>
            <w:tcW w:w="1373" w:type="dxa"/>
            <w:vAlign w:val="top"/>
          </w:tcPr>
          <w:p w14:paraId="3870C03A">
            <w:pPr>
              <w:rPr>
                <w:rFonts w:ascii="Arial"/>
                <w:sz w:val="21"/>
              </w:rPr>
            </w:pPr>
          </w:p>
        </w:tc>
        <w:tc>
          <w:tcPr>
            <w:tcW w:w="1550" w:type="dxa"/>
            <w:vAlign w:val="top"/>
          </w:tcPr>
          <w:p w14:paraId="293C3447">
            <w:pPr>
              <w:rPr>
                <w:rFonts w:ascii="Arial"/>
                <w:sz w:val="21"/>
              </w:rPr>
            </w:pPr>
          </w:p>
        </w:tc>
        <w:tc>
          <w:tcPr>
            <w:tcW w:w="659" w:type="dxa"/>
            <w:vAlign w:val="top"/>
          </w:tcPr>
          <w:p w14:paraId="36281420">
            <w:pPr>
              <w:rPr>
                <w:rFonts w:ascii="Arial"/>
                <w:sz w:val="21"/>
              </w:rPr>
            </w:pPr>
          </w:p>
        </w:tc>
      </w:tr>
      <w:tr w14:paraId="164BF0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591" w:type="dxa"/>
            <w:vAlign w:val="top"/>
          </w:tcPr>
          <w:p w14:paraId="55AB928D">
            <w:pPr>
              <w:rPr>
                <w:rFonts w:ascii="Arial"/>
                <w:sz w:val="21"/>
              </w:rPr>
            </w:pPr>
          </w:p>
        </w:tc>
        <w:tc>
          <w:tcPr>
            <w:tcW w:w="1724" w:type="dxa"/>
            <w:vAlign w:val="top"/>
          </w:tcPr>
          <w:p w14:paraId="08985CAB">
            <w:pPr>
              <w:rPr>
                <w:rFonts w:ascii="Arial"/>
                <w:sz w:val="21"/>
              </w:rPr>
            </w:pPr>
          </w:p>
        </w:tc>
        <w:tc>
          <w:tcPr>
            <w:tcW w:w="649" w:type="dxa"/>
            <w:vAlign w:val="top"/>
          </w:tcPr>
          <w:p w14:paraId="2287229B">
            <w:pPr>
              <w:rPr>
                <w:rFonts w:ascii="Arial"/>
                <w:sz w:val="21"/>
              </w:rPr>
            </w:pPr>
          </w:p>
        </w:tc>
        <w:tc>
          <w:tcPr>
            <w:tcW w:w="768" w:type="dxa"/>
            <w:vAlign w:val="top"/>
          </w:tcPr>
          <w:p w14:paraId="16180346">
            <w:pPr>
              <w:rPr>
                <w:rFonts w:ascii="Arial"/>
                <w:sz w:val="21"/>
              </w:rPr>
            </w:pPr>
          </w:p>
        </w:tc>
        <w:tc>
          <w:tcPr>
            <w:tcW w:w="880" w:type="dxa"/>
            <w:vAlign w:val="top"/>
          </w:tcPr>
          <w:p w14:paraId="04135AB5">
            <w:pPr>
              <w:rPr>
                <w:rFonts w:ascii="Arial"/>
                <w:sz w:val="21"/>
              </w:rPr>
            </w:pPr>
          </w:p>
        </w:tc>
        <w:tc>
          <w:tcPr>
            <w:tcW w:w="928" w:type="dxa"/>
            <w:vAlign w:val="top"/>
          </w:tcPr>
          <w:p w14:paraId="6EB90480">
            <w:pPr>
              <w:rPr>
                <w:rFonts w:ascii="Arial"/>
                <w:sz w:val="21"/>
              </w:rPr>
            </w:pPr>
          </w:p>
        </w:tc>
        <w:tc>
          <w:tcPr>
            <w:tcW w:w="1373" w:type="dxa"/>
            <w:vAlign w:val="top"/>
          </w:tcPr>
          <w:p w14:paraId="680CFF78">
            <w:pPr>
              <w:rPr>
                <w:rFonts w:ascii="Arial"/>
                <w:sz w:val="21"/>
              </w:rPr>
            </w:pPr>
          </w:p>
        </w:tc>
        <w:tc>
          <w:tcPr>
            <w:tcW w:w="1550" w:type="dxa"/>
            <w:vAlign w:val="top"/>
          </w:tcPr>
          <w:p w14:paraId="60D5329B">
            <w:pPr>
              <w:rPr>
                <w:rFonts w:ascii="Arial"/>
                <w:sz w:val="21"/>
              </w:rPr>
            </w:pPr>
          </w:p>
        </w:tc>
        <w:tc>
          <w:tcPr>
            <w:tcW w:w="659" w:type="dxa"/>
            <w:vAlign w:val="top"/>
          </w:tcPr>
          <w:p w14:paraId="2E2AA765">
            <w:pPr>
              <w:rPr>
                <w:rFonts w:ascii="Arial"/>
                <w:sz w:val="21"/>
              </w:rPr>
            </w:pPr>
          </w:p>
        </w:tc>
      </w:tr>
      <w:tr w14:paraId="1796C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591" w:type="dxa"/>
            <w:vAlign w:val="top"/>
          </w:tcPr>
          <w:p w14:paraId="34BD67ED">
            <w:pPr>
              <w:rPr>
                <w:rFonts w:ascii="Arial"/>
                <w:sz w:val="21"/>
              </w:rPr>
            </w:pPr>
          </w:p>
        </w:tc>
        <w:tc>
          <w:tcPr>
            <w:tcW w:w="1724" w:type="dxa"/>
            <w:vAlign w:val="top"/>
          </w:tcPr>
          <w:p w14:paraId="143AF9CB">
            <w:pPr>
              <w:rPr>
                <w:rFonts w:ascii="Arial"/>
                <w:sz w:val="21"/>
              </w:rPr>
            </w:pPr>
          </w:p>
        </w:tc>
        <w:tc>
          <w:tcPr>
            <w:tcW w:w="649" w:type="dxa"/>
            <w:vAlign w:val="top"/>
          </w:tcPr>
          <w:p w14:paraId="70A6F62C">
            <w:pPr>
              <w:rPr>
                <w:rFonts w:ascii="Arial"/>
                <w:sz w:val="21"/>
              </w:rPr>
            </w:pPr>
          </w:p>
        </w:tc>
        <w:tc>
          <w:tcPr>
            <w:tcW w:w="768" w:type="dxa"/>
            <w:vAlign w:val="top"/>
          </w:tcPr>
          <w:p w14:paraId="7797DFFB">
            <w:pPr>
              <w:rPr>
                <w:rFonts w:ascii="Arial"/>
                <w:sz w:val="21"/>
              </w:rPr>
            </w:pPr>
          </w:p>
        </w:tc>
        <w:tc>
          <w:tcPr>
            <w:tcW w:w="880" w:type="dxa"/>
            <w:vAlign w:val="top"/>
          </w:tcPr>
          <w:p w14:paraId="69F81567">
            <w:pPr>
              <w:rPr>
                <w:rFonts w:ascii="Arial"/>
                <w:sz w:val="21"/>
              </w:rPr>
            </w:pPr>
          </w:p>
        </w:tc>
        <w:tc>
          <w:tcPr>
            <w:tcW w:w="928" w:type="dxa"/>
            <w:vAlign w:val="top"/>
          </w:tcPr>
          <w:p w14:paraId="620AB9FF">
            <w:pPr>
              <w:rPr>
                <w:rFonts w:ascii="Arial"/>
                <w:sz w:val="21"/>
              </w:rPr>
            </w:pPr>
          </w:p>
        </w:tc>
        <w:tc>
          <w:tcPr>
            <w:tcW w:w="1373" w:type="dxa"/>
            <w:vAlign w:val="top"/>
          </w:tcPr>
          <w:p w14:paraId="0861043F">
            <w:pPr>
              <w:rPr>
                <w:rFonts w:ascii="Arial"/>
                <w:sz w:val="21"/>
              </w:rPr>
            </w:pPr>
          </w:p>
        </w:tc>
        <w:tc>
          <w:tcPr>
            <w:tcW w:w="1550" w:type="dxa"/>
            <w:vAlign w:val="top"/>
          </w:tcPr>
          <w:p w14:paraId="52879F79">
            <w:pPr>
              <w:rPr>
                <w:rFonts w:ascii="Arial"/>
                <w:sz w:val="21"/>
              </w:rPr>
            </w:pPr>
          </w:p>
        </w:tc>
        <w:tc>
          <w:tcPr>
            <w:tcW w:w="659" w:type="dxa"/>
            <w:vAlign w:val="top"/>
          </w:tcPr>
          <w:p w14:paraId="783EBDDE">
            <w:pPr>
              <w:rPr>
                <w:rFonts w:ascii="Arial"/>
                <w:sz w:val="21"/>
              </w:rPr>
            </w:pPr>
          </w:p>
        </w:tc>
      </w:tr>
      <w:tr w14:paraId="76946F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591" w:type="dxa"/>
            <w:vAlign w:val="top"/>
          </w:tcPr>
          <w:p w14:paraId="1434F473">
            <w:pPr>
              <w:rPr>
                <w:rFonts w:ascii="Arial"/>
                <w:sz w:val="21"/>
              </w:rPr>
            </w:pPr>
          </w:p>
        </w:tc>
        <w:tc>
          <w:tcPr>
            <w:tcW w:w="1724" w:type="dxa"/>
            <w:vAlign w:val="top"/>
          </w:tcPr>
          <w:p w14:paraId="0377B17B">
            <w:pPr>
              <w:rPr>
                <w:rFonts w:ascii="Arial"/>
                <w:sz w:val="21"/>
              </w:rPr>
            </w:pPr>
          </w:p>
        </w:tc>
        <w:tc>
          <w:tcPr>
            <w:tcW w:w="649" w:type="dxa"/>
            <w:vAlign w:val="top"/>
          </w:tcPr>
          <w:p w14:paraId="064A735E">
            <w:pPr>
              <w:rPr>
                <w:rFonts w:ascii="Arial"/>
                <w:sz w:val="21"/>
              </w:rPr>
            </w:pPr>
          </w:p>
        </w:tc>
        <w:tc>
          <w:tcPr>
            <w:tcW w:w="768" w:type="dxa"/>
            <w:vAlign w:val="top"/>
          </w:tcPr>
          <w:p w14:paraId="689F6A45">
            <w:pPr>
              <w:rPr>
                <w:rFonts w:ascii="Arial"/>
                <w:sz w:val="21"/>
              </w:rPr>
            </w:pPr>
          </w:p>
        </w:tc>
        <w:tc>
          <w:tcPr>
            <w:tcW w:w="880" w:type="dxa"/>
            <w:vAlign w:val="top"/>
          </w:tcPr>
          <w:p w14:paraId="682CAFEE">
            <w:pPr>
              <w:rPr>
                <w:rFonts w:ascii="Arial"/>
                <w:sz w:val="21"/>
              </w:rPr>
            </w:pPr>
          </w:p>
        </w:tc>
        <w:tc>
          <w:tcPr>
            <w:tcW w:w="928" w:type="dxa"/>
            <w:vAlign w:val="top"/>
          </w:tcPr>
          <w:p w14:paraId="3E483980">
            <w:pPr>
              <w:rPr>
                <w:rFonts w:ascii="Arial"/>
                <w:sz w:val="21"/>
              </w:rPr>
            </w:pPr>
          </w:p>
        </w:tc>
        <w:tc>
          <w:tcPr>
            <w:tcW w:w="1373" w:type="dxa"/>
            <w:vAlign w:val="top"/>
          </w:tcPr>
          <w:p w14:paraId="1CD8B97D">
            <w:pPr>
              <w:rPr>
                <w:rFonts w:ascii="Arial"/>
                <w:sz w:val="21"/>
              </w:rPr>
            </w:pPr>
          </w:p>
        </w:tc>
        <w:tc>
          <w:tcPr>
            <w:tcW w:w="1550" w:type="dxa"/>
            <w:vAlign w:val="top"/>
          </w:tcPr>
          <w:p w14:paraId="2D89BC9E">
            <w:pPr>
              <w:rPr>
                <w:rFonts w:ascii="Arial"/>
                <w:sz w:val="21"/>
              </w:rPr>
            </w:pPr>
          </w:p>
        </w:tc>
        <w:tc>
          <w:tcPr>
            <w:tcW w:w="659" w:type="dxa"/>
            <w:vAlign w:val="top"/>
          </w:tcPr>
          <w:p w14:paraId="613580F2">
            <w:pPr>
              <w:rPr>
                <w:rFonts w:ascii="Arial"/>
                <w:sz w:val="21"/>
              </w:rPr>
            </w:pPr>
          </w:p>
        </w:tc>
      </w:tr>
      <w:tr w14:paraId="3793FE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75" w:hRule="atLeast"/>
        </w:trPr>
        <w:tc>
          <w:tcPr>
            <w:tcW w:w="591" w:type="dxa"/>
            <w:vAlign w:val="top"/>
          </w:tcPr>
          <w:p w14:paraId="1CAE5BE7">
            <w:pPr>
              <w:rPr>
                <w:rFonts w:ascii="Arial"/>
                <w:sz w:val="21"/>
              </w:rPr>
            </w:pPr>
          </w:p>
        </w:tc>
        <w:tc>
          <w:tcPr>
            <w:tcW w:w="1724" w:type="dxa"/>
            <w:vAlign w:val="top"/>
          </w:tcPr>
          <w:p w14:paraId="7792607F">
            <w:pPr>
              <w:rPr>
                <w:rFonts w:ascii="Arial"/>
                <w:sz w:val="21"/>
              </w:rPr>
            </w:pPr>
          </w:p>
        </w:tc>
        <w:tc>
          <w:tcPr>
            <w:tcW w:w="649" w:type="dxa"/>
            <w:vAlign w:val="top"/>
          </w:tcPr>
          <w:p w14:paraId="69868980">
            <w:pPr>
              <w:rPr>
                <w:rFonts w:ascii="Arial"/>
                <w:sz w:val="21"/>
              </w:rPr>
            </w:pPr>
          </w:p>
        </w:tc>
        <w:tc>
          <w:tcPr>
            <w:tcW w:w="768" w:type="dxa"/>
            <w:vAlign w:val="top"/>
          </w:tcPr>
          <w:p w14:paraId="52B4D87F">
            <w:pPr>
              <w:rPr>
                <w:rFonts w:ascii="Arial"/>
                <w:sz w:val="21"/>
              </w:rPr>
            </w:pPr>
          </w:p>
        </w:tc>
        <w:tc>
          <w:tcPr>
            <w:tcW w:w="880" w:type="dxa"/>
            <w:vAlign w:val="top"/>
          </w:tcPr>
          <w:p w14:paraId="12CB4294">
            <w:pPr>
              <w:rPr>
                <w:rFonts w:ascii="Arial"/>
                <w:sz w:val="21"/>
              </w:rPr>
            </w:pPr>
          </w:p>
        </w:tc>
        <w:tc>
          <w:tcPr>
            <w:tcW w:w="928" w:type="dxa"/>
            <w:vAlign w:val="top"/>
          </w:tcPr>
          <w:p w14:paraId="73E3D174">
            <w:pPr>
              <w:rPr>
                <w:rFonts w:ascii="Arial"/>
                <w:sz w:val="21"/>
              </w:rPr>
            </w:pPr>
          </w:p>
        </w:tc>
        <w:tc>
          <w:tcPr>
            <w:tcW w:w="1373" w:type="dxa"/>
            <w:vAlign w:val="top"/>
          </w:tcPr>
          <w:p w14:paraId="54A43536">
            <w:pPr>
              <w:rPr>
                <w:rFonts w:ascii="Arial"/>
                <w:sz w:val="21"/>
              </w:rPr>
            </w:pPr>
          </w:p>
        </w:tc>
        <w:tc>
          <w:tcPr>
            <w:tcW w:w="1550" w:type="dxa"/>
            <w:vAlign w:val="top"/>
          </w:tcPr>
          <w:p w14:paraId="65854FF3">
            <w:pPr>
              <w:rPr>
                <w:rFonts w:ascii="Arial"/>
                <w:sz w:val="21"/>
              </w:rPr>
            </w:pPr>
          </w:p>
        </w:tc>
        <w:tc>
          <w:tcPr>
            <w:tcW w:w="659" w:type="dxa"/>
            <w:vAlign w:val="top"/>
          </w:tcPr>
          <w:p w14:paraId="27C88864">
            <w:pPr>
              <w:rPr>
                <w:rFonts w:ascii="Arial"/>
                <w:sz w:val="21"/>
              </w:rPr>
            </w:pPr>
          </w:p>
        </w:tc>
      </w:tr>
      <w:tr w14:paraId="173D2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591" w:type="dxa"/>
            <w:vAlign w:val="top"/>
          </w:tcPr>
          <w:p w14:paraId="0C461428">
            <w:pPr>
              <w:rPr>
                <w:rFonts w:ascii="Arial"/>
                <w:sz w:val="21"/>
              </w:rPr>
            </w:pPr>
          </w:p>
        </w:tc>
        <w:tc>
          <w:tcPr>
            <w:tcW w:w="1724" w:type="dxa"/>
            <w:vAlign w:val="top"/>
          </w:tcPr>
          <w:p w14:paraId="18CFACDE">
            <w:pPr>
              <w:rPr>
                <w:rFonts w:ascii="Arial"/>
                <w:sz w:val="21"/>
              </w:rPr>
            </w:pPr>
          </w:p>
        </w:tc>
        <w:tc>
          <w:tcPr>
            <w:tcW w:w="649" w:type="dxa"/>
            <w:vAlign w:val="top"/>
          </w:tcPr>
          <w:p w14:paraId="55F02F9D">
            <w:pPr>
              <w:rPr>
                <w:rFonts w:ascii="Arial"/>
                <w:sz w:val="21"/>
              </w:rPr>
            </w:pPr>
          </w:p>
        </w:tc>
        <w:tc>
          <w:tcPr>
            <w:tcW w:w="768" w:type="dxa"/>
            <w:vAlign w:val="top"/>
          </w:tcPr>
          <w:p w14:paraId="5F7A9B8F">
            <w:pPr>
              <w:rPr>
                <w:rFonts w:ascii="Arial"/>
                <w:sz w:val="21"/>
              </w:rPr>
            </w:pPr>
          </w:p>
        </w:tc>
        <w:tc>
          <w:tcPr>
            <w:tcW w:w="880" w:type="dxa"/>
            <w:vAlign w:val="top"/>
          </w:tcPr>
          <w:p w14:paraId="4A48E8EB">
            <w:pPr>
              <w:rPr>
                <w:rFonts w:ascii="Arial"/>
                <w:sz w:val="21"/>
              </w:rPr>
            </w:pPr>
          </w:p>
        </w:tc>
        <w:tc>
          <w:tcPr>
            <w:tcW w:w="928" w:type="dxa"/>
            <w:vAlign w:val="top"/>
          </w:tcPr>
          <w:p w14:paraId="1D083546">
            <w:pPr>
              <w:rPr>
                <w:rFonts w:ascii="Arial"/>
                <w:sz w:val="21"/>
              </w:rPr>
            </w:pPr>
          </w:p>
        </w:tc>
        <w:tc>
          <w:tcPr>
            <w:tcW w:w="1373" w:type="dxa"/>
            <w:vAlign w:val="top"/>
          </w:tcPr>
          <w:p w14:paraId="04E714BC">
            <w:pPr>
              <w:rPr>
                <w:rFonts w:ascii="Arial"/>
                <w:sz w:val="21"/>
              </w:rPr>
            </w:pPr>
          </w:p>
        </w:tc>
        <w:tc>
          <w:tcPr>
            <w:tcW w:w="1550" w:type="dxa"/>
            <w:vAlign w:val="top"/>
          </w:tcPr>
          <w:p w14:paraId="4146E1DD">
            <w:pPr>
              <w:rPr>
                <w:rFonts w:ascii="Arial"/>
                <w:sz w:val="21"/>
              </w:rPr>
            </w:pPr>
          </w:p>
        </w:tc>
        <w:tc>
          <w:tcPr>
            <w:tcW w:w="659" w:type="dxa"/>
            <w:vAlign w:val="top"/>
          </w:tcPr>
          <w:p w14:paraId="59762163">
            <w:pPr>
              <w:rPr>
                <w:rFonts w:ascii="Arial"/>
                <w:sz w:val="21"/>
              </w:rPr>
            </w:pPr>
          </w:p>
        </w:tc>
      </w:tr>
      <w:tr w14:paraId="2D3EF2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591" w:type="dxa"/>
            <w:vAlign w:val="top"/>
          </w:tcPr>
          <w:p w14:paraId="0297788B">
            <w:pPr>
              <w:rPr>
                <w:rFonts w:ascii="Arial"/>
                <w:sz w:val="21"/>
              </w:rPr>
            </w:pPr>
          </w:p>
        </w:tc>
        <w:tc>
          <w:tcPr>
            <w:tcW w:w="1724" w:type="dxa"/>
            <w:vAlign w:val="top"/>
          </w:tcPr>
          <w:p w14:paraId="18FB138E">
            <w:pPr>
              <w:rPr>
                <w:rFonts w:ascii="Arial"/>
                <w:sz w:val="21"/>
              </w:rPr>
            </w:pPr>
          </w:p>
        </w:tc>
        <w:tc>
          <w:tcPr>
            <w:tcW w:w="649" w:type="dxa"/>
            <w:vAlign w:val="top"/>
          </w:tcPr>
          <w:p w14:paraId="0EE60C9D">
            <w:pPr>
              <w:rPr>
                <w:rFonts w:ascii="Arial"/>
                <w:sz w:val="21"/>
              </w:rPr>
            </w:pPr>
          </w:p>
        </w:tc>
        <w:tc>
          <w:tcPr>
            <w:tcW w:w="768" w:type="dxa"/>
            <w:vAlign w:val="top"/>
          </w:tcPr>
          <w:p w14:paraId="6CC0D386">
            <w:pPr>
              <w:rPr>
                <w:rFonts w:ascii="Arial"/>
                <w:sz w:val="21"/>
              </w:rPr>
            </w:pPr>
          </w:p>
        </w:tc>
        <w:tc>
          <w:tcPr>
            <w:tcW w:w="880" w:type="dxa"/>
            <w:vAlign w:val="top"/>
          </w:tcPr>
          <w:p w14:paraId="61BBB784">
            <w:pPr>
              <w:rPr>
                <w:rFonts w:ascii="Arial"/>
                <w:sz w:val="21"/>
              </w:rPr>
            </w:pPr>
          </w:p>
        </w:tc>
        <w:tc>
          <w:tcPr>
            <w:tcW w:w="928" w:type="dxa"/>
            <w:vAlign w:val="top"/>
          </w:tcPr>
          <w:p w14:paraId="3B31DCA2">
            <w:pPr>
              <w:rPr>
                <w:rFonts w:ascii="Arial"/>
                <w:sz w:val="21"/>
              </w:rPr>
            </w:pPr>
          </w:p>
        </w:tc>
        <w:tc>
          <w:tcPr>
            <w:tcW w:w="1373" w:type="dxa"/>
            <w:vAlign w:val="top"/>
          </w:tcPr>
          <w:p w14:paraId="1B4FD47E">
            <w:pPr>
              <w:rPr>
                <w:rFonts w:ascii="Arial"/>
                <w:sz w:val="21"/>
              </w:rPr>
            </w:pPr>
          </w:p>
        </w:tc>
        <w:tc>
          <w:tcPr>
            <w:tcW w:w="1550" w:type="dxa"/>
            <w:vAlign w:val="top"/>
          </w:tcPr>
          <w:p w14:paraId="620F19C3">
            <w:pPr>
              <w:rPr>
                <w:rFonts w:ascii="Arial"/>
                <w:sz w:val="21"/>
              </w:rPr>
            </w:pPr>
          </w:p>
        </w:tc>
        <w:tc>
          <w:tcPr>
            <w:tcW w:w="659" w:type="dxa"/>
            <w:vAlign w:val="top"/>
          </w:tcPr>
          <w:p w14:paraId="52ACE3A5">
            <w:pPr>
              <w:rPr>
                <w:rFonts w:ascii="Arial"/>
                <w:sz w:val="21"/>
              </w:rPr>
            </w:pPr>
          </w:p>
        </w:tc>
      </w:tr>
      <w:tr w14:paraId="60F05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591" w:type="dxa"/>
            <w:vAlign w:val="top"/>
          </w:tcPr>
          <w:p w14:paraId="000E0F25">
            <w:pPr>
              <w:rPr>
                <w:rFonts w:ascii="Arial"/>
                <w:sz w:val="21"/>
              </w:rPr>
            </w:pPr>
          </w:p>
        </w:tc>
        <w:tc>
          <w:tcPr>
            <w:tcW w:w="1724" w:type="dxa"/>
            <w:vAlign w:val="top"/>
          </w:tcPr>
          <w:p w14:paraId="2E54E0A5">
            <w:pPr>
              <w:rPr>
                <w:rFonts w:ascii="Arial"/>
                <w:sz w:val="21"/>
              </w:rPr>
            </w:pPr>
          </w:p>
        </w:tc>
        <w:tc>
          <w:tcPr>
            <w:tcW w:w="649" w:type="dxa"/>
            <w:vAlign w:val="top"/>
          </w:tcPr>
          <w:p w14:paraId="50C2092B">
            <w:pPr>
              <w:rPr>
                <w:rFonts w:ascii="Arial"/>
                <w:sz w:val="21"/>
              </w:rPr>
            </w:pPr>
          </w:p>
        </w:tc>
        <w:tc>
          <w:tcPr>
            <w:tcW w:w="768" w:type="dxa"/>
            <w:vAlign w:val="top"/>
          </w:tcPr>
          <w:p w14:paraId="574207FC">
            <w:pPr>
              <w:rPr>
                <w:rFonts w:ascii="Arial"/>
                <w:sz w:val="21"/>
              </w:rPr>
            </w:pPr>
          </w:p>
        </w:tc>
        <w:tc>
          <w:tcPr>
            <w:tcW w:w="880" w:type="dxa"/>
            <w:vAlign w:val="top"/>
          </w:tcPr>
          <w:p w14:paraId="7911BD89">
            <w:pPr>
              <w:rPr>
                <w:rFonts w:ascii="Arial"/>
                <w:sz w:val="21"/>
              </w:rPr>
            </w:pPr>
          </w:p>
        </w:tc>
        <w:tc>
          <w:tcPr>
            <w:tcW w:w="928" w:type="dxa"/>
            <w:vAlign w:val="top"/>
          </w:tcPr>
          <w:p w14:paraId="48DBC316">
            <w:pPr>
              <w:rPr>
                <w:rFonts w:ascii="Arial"/>
                <w:sz w:val="21"/>
              </w:rPr>
            </w:pPr>
          </w:p>
        </w:tc>
        <w:tc>
          <w:tcPr>
            <w:tcW w:w="1373" w:type="dxa"/>
            <w:vAlign w:val="top"/>
          </w:tcPr>
          <w:p w14:paraId="6407D35C">
            <w:pPr>
              <w:rPr>
                <w:rFonts w:ascii="Arial"/>
                <w:sz w:val="21"/>
              </w:rPr>
            </w:pPr>
          </w:p>
        </w:tc>
        <w:tc>
          <w:tcPr>
            <w:tcW w:w="1550" w:type="dxa"/>
            <w:vAlign w:val="top"/>
          </w:tcPr>
          <w:p w14:paraId="29DFF397">
            <w:pPr>
              <w:rPr>
                <w:rFonts w:ascii="Arial"/>
                <w:sz w:val="21"/>
              </w:rPr>
            </w:pPr>
          </w:p>
        </w:tc>
        <w:tc>
          <w:tcPr>
            <w:tcW w:w="659" w:type="dxa"/>
            <w:vAlign w:val="top"/>
          </w:tcPr>
          <w:p w14:paraId="7018F096">
            <w:pPr>
              <w:rPr>
                <w:rFonts w:ascii="Arial"/>
                <w:sz w:val="21"/>
              </w:rPr>
            </w:pPr>
          </w:p>
        </w:tc>
      </w:tr>
      <w:tr w14:paraId="6F6D0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591" w:type="dxa"/>
            <w:vAlign w:val="top"/>
          </w:tcPr>
          <w:p w14:paraId="01CDE704">
            <w:pPr>
              <w:rPr>
                <w:rFonts w:ascii="Arial"/>
                <w:sz w:val="21"/>
              </w:rPr>
            </w:pPr>
          </w:p>
        </w:tc>
        <w:tc>
          <w:tcPr>
            <w:tcW w:w="1724" w:type="dxa"/>
            <w:vAlign w:val="top"/>
          </w:tcPr>
          <w:p w14:paraId="7F9D95D6">
            <w:pPr>
              <w:rPr>
                <w:rFonts w:ascii="Arial"/>
                <w:sz w:val="21"/>
              </w:rPr>
            </w:pPr>
          </w:p>
        </w:tc>
        <w:tc>
          <w:tcPr>
            <w:tcW w:w="649" w:type="dxa"/>
            <w:vAlign w:val="top"/>
          </w:tcPr>
          <w:p w14:paraId="12A5469E">
            <w:pPr>
              <w:rPr>
                <w:rFonts w:ascii="Arial"/>
                <w:sz w:val="21"/>
              </w:rPr>
            </w:pPr>
          </w:p>
        </w:tc>
        <w:tc>
          <w:tcPr>
            <w:tcW w:w="768" w:type="dxa"/>
            <w:vAlign w:val="top"/>
          </w:tcPr>
          <w:p w14:paraId="4797FE0C">
            <w:pPr>
              <w:rPr>
                <w:rFonts w:ascii="Arial"/>
                <w:sz w:val="21"/>
              </w:rPr>
            </w:pPr>
          </w:p>
        </w:tc>
        <w:tc>
          <w:tcPr>
            <w:tcW w:w="880" w:type="dxa"/>
            <w:vAlign w:val="top"/>
          </w:tcPr>
          <w:p w14:paraId="7DBA0AF8">
            <w:pPr>
              <w:rPr>
                <w:rFonts w:ascii="Arial"/>
                <w:sz w:val="21"/>
              </w:rPr>
            </w:pPr>
          </w:p>
        </w:tc>
        <w:tc>
          <w:tcPr>
            <w:tcW w:w="928" w:type="dxa"/>
            <w:vAlign w:val="top"/>
          </w:tcPr>
          <w:p w14:paraId="1538C92F">
            <w:pPr>
              <w:rPr>
                <w:rFonts w:ascii="Arial"/>
                <w:sz w:val="21"/>
              </w:rPr>
            </w:pPr>
          </w:p>
        </w:tc>
        <w:tc>
          <w:tcPr>
            <w:tcW w:w="1373" w:type="dxa"/>
            <w:vAlign w:val="top"/>
          </w:tcPr>
          <w:p w14:paraId="620AA67F">
            <w:pPr>
              <w:rPr>
                <w:rFonts w:ascii="Arial"/>
                <w:sz w:val="21"/>
              </w:rPr>
            </w:pPr>
          </w:p>
        </w:tc>
        <w:tc>
          <w:tcPr>
            <w:tcW w:w="1550" w:type="dxa"/>
            <w:vAlign w:val="top"/>
          </w:tcPr>
          <w:p w14:paraId="7260D5B8">
            <w:pPr>
              <w:rPr>
                <w:rFonts w:ascii="Arial"/>
                <w:sz w:val="21"/>
              </w:rPr>
            </w:pPr>
          </w:p>
        </w:tc>
        <w:tc>
          <w:tcPr>
            <w:tcW w:w="659" w:type="dxa"/>
            <w:vAlign w:val="top"/>
          </w:tcPr>
          <w:p w14:paraId="762223C9">
            <w:pPr>
              <w:rPr>
                <w:rFonts w:ascii="Arial"/>
                <w:sz w:val="21"/>
              </w:rPr>
            </w:pPr>
          </w:p>
        </w:tc>
      </w:tr>
      <w:tr w14:paraId="09B391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trPr>
        <w:tc>
          <w:tcPr>
            <w:tcW w:w="591" w:type="dxa"/>
            <w:vAlign w:val="top"/>
          </w:tcPr>
          <w:p w14:paraId="66AB51D9">
            <w:pPr>
              <w:rPr>
                <w:rFonts w:ascii="Arial"/>
                <w:sz w:val="21"/>
              </w:rPr>
            </w:pPr>
          </w:p>
        </w:tc>
        <w:tc>
          <w:tcPr>
            <w:tcW w:w="1724" w:type="dxa"/>
            <w:vAlign w:val="top"/>
          </w:tcPr>
          <w:p w14:paraId="72F078B5">
            <w:pPr>
              <w:rPr>
                <w:rFonts w:ascii="Arial"/>
                <w:sz w:val="21"/>
              </w:rPr>
            </w:pPr>
          </w:p>
        </w:tc>
        <w:tc>
          <w:tcPr>
            <w:tcW w:w="649" w:type="dxa"/>
            <w:vAlign w:val="top"/>
          </w:tcPr>
          <w:p w14:paraId="2575D97E">
            <w:pPr>
              <w:rPr>
                <w:rFonts w:ascii="Arial"/>
                <w:sz w:val="21"/>
              </w:rPr>
            </w:pPr>
          </w:p>
        </w:tc>
        <w:tc>
          <w:tcPr>
            <w:tcW w:w="768" w:type="dxa"/>
            <w:vAlign w:val="top"/>
          </w:tcPr>
          <w:p w14:paraId="08DA11C3">
            <w:pPr>
              <w:rPr>
                <w:rFonts w:ascii="Arial"/>
                <w:sz w:val="21"/>
              </w:rPr>
            </w:pPr>
          </w:p>
        </w:tc>
        <w:tc>
          <w:tcPr>
            <w:tcW w:w="880" w:type="dxa"/>
            <w:vAlign w:val="top"/>
          </w:tcPr>
          <w:p w14:paraId="738014FF">
            <w:pPr>
              <w:rPr>
                <w:rFonts w:ascii="Arial"/>
                <w:sz w:val="21"/>
              </w:rPr>
            </w:pPr>
          </w:p>
        </w:tc>
        <w:tc>
          <w:tcPr>
            <w:tcW w:w="928" w:type="dxa"/>
            <w:vAlign w:val="top"/>
          </w:tcPr>
          <w:p w14:paraId="21C4BCB7">
            <w:pPr>
              <w:rPr>
                <w:rFonts w:ascii="Arial"/>
                <w:sz w:val="21"/>
              </w:rPr>
            </w:pPr>
          </w:p>
        </w:tc>
        <w:tc>
          <w:tcPr>
            <w:tcW w:w="1373" w:type="dxa"/>
            <w:vAlign w:val="top"/>
          </w:tcPr>
          <w:p w14:paraId="1AE5F15D">
            <w:pPr>
              <w:rPr>
                <w:rFonts w:ascii="Arial"/>
                <w:sz w:val="21"/>
              </w:rPr>
            </w:pPr>
          </w:p>
        </w:tc>
        <w:tc>
          <w:tcPr>
            <w:tcW w:w="1550" w:type="dxa"/>
            <w:vAlign w:val="top"/>
          </w:tcPr>
          <w:p w14:paraId="764C4E1B">
            <w:pPr>
              <w:rPr>
                <w:rFonts w:ascii="Arial"/>
                <w:sz w:val="21"/>
              </w:rPr>
            </w:pPr>
          </w:p>
        </w:tc>
        <w:tc>
          <w:tcPr>
            <w:tcW w:w="659" w:type="dxa"/>
            <w:vAlign w:val="top"/>
          </w:tcPr>
          <w:p w14:paraId="789DEC6C">
            <w:pPr>
              <w:rPr>
                <w:rFonts w:ascii="Arial"/>
                <w:sz w:val="21"/>
              </w:rPr>
            </w:pPr>
          </w:p>
        </w:tc>
      </w:tr>
    </w:tbl>
    <w:p w14:paraId="60D77665">
      <w:pPr>
        <w:spacing w:before="273" w:line="226" w:lineRule="auto"/>
        <w:ind w:left="120"/>
        <w:rPr>
          <w:rFonts w:ascii="宋体" w:hAnsi="宋体" w:eastAsia="宋体" w:cs="宋体"/>
          <w:sz w:val="20"/>
          <w:szCs w:val="20"/>
        </w:rPr>
      </w:pPr>
      <w:r>
        <w:rPr>
          <w:rFonts w:ascii="宋体" w:hAnsi="宋体" w:eastAsia="宋体" w:cs="宋体"/>
          <w:spacing w:val="8"/>
          <w:sz w:val="20"/>
          <w:szCs w:val="20"/>
        </w:rPr>
        <w:t>注：</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1"/>
          <w:sz w:val="20"/>
          <w:szCs w:val="20"/>
        </w:rPr>
        <w:t xml:space="preserve"> </w:t>
      </w:r>
      <w:r>
        <w:rPr>
          <w:rFonts w:ascii="宋体" w:hAnsi="宋体" w:eastAsia="宋体" w:cs="宋体"/>
          <w:spacing w:val="8"/>
          <w:sz w:val="20"/>
          <w:szCs w:val="20"/>
        </w:rPr>
        <w:t>．此表由招标人填写除“投标单价</w:t>
      </w:r>
      <w:r>
        <w:rPr>
          <w:rFonts w:ascii="宋体" w:hAnsi="宋体" w:eastAsia="宋体" w:cs="宋体"/>
          <w:spacing w:val="-70"/>
          <w:sz w:val="20"/>
          <w:szCs w:val="20"/>
        </w:rPr>
        <w:t xml:space="preserve"> </w:t>
      </w:r>
      <w:r>
        <w:rPr>
          <w:rFonts w:ascii="宋体" w:hAnsi="宋体" w:eastAsia="宋体" w:cs="宋体"/>
          <w:spacing w:val="8"/>
          <w:sz w:val="20"/>
          <w:szCs w:val="20"/>
        </w:rPr>
        <w:t>”栏的内容，投标人在投标时自主确定</w:t>
      </w:r>
      <w:r>
        <w:rPr>
          <w:rFonts w:ascii="宋体" w:hAnsi="宋体" w:eastAsia="宋体" w:cs="宋体"/>
          <w:spacing w:val="7"/>
          <w:sz w:val="20"/>
          <w:szCs w:val="20"/>
        </w:rPr>
        <w:t>投标单价。</w:t>
      </w:r>
    </w:p>
    <w:p w14:paraId="38C56142">
      <w:pPr>
        <w:spacing w:before="26" w:line="253" w:lineRule="auto"/>
        <w:ind w:left="854" w:right="115" w:hanging="318"/>
        <w:rPr>
          <w:rFonts w:ascii="宋体" w:hAnsi="宋体" w:eastAsia="宋体" w:cs="宋体"/>
          <w:sz w:val="20"/>
          <w:szCs w:val="20"/>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5"/>
          <w:sz w:val="20"/>
          <w:szCs w:val="20"/>
        </w:rPr>
        <w:t xml:space="preserve"> </w:t>
      </w:r>
      <w:r>
        <w:rPr>
          <w:rFonts w:ascii="宋体" w:hAnsi="宋体" w:eastAsia="宋体" w:cs="宋体"/>
          <w:spacing w:val="8"/>
          <w:sz w:val="20"/>
          <w:szCs w:val="20"/>
        </w:rPr>
        <w:t>．招标人应优先采用工程造价管理机构发布的单价作为基准单价，未发布的，通过市场调查</w:t>
      </w:r>
      <w:r>
        <w:rPr>
          <w:rFonts w:ascii="宋体" w:hAnsi="宋体" w:eastAsia="宋体" w:cs="宋体"/>
          <w:spacing w:val="7"/>
          <w:sz w:val="20"/>
          <w:szCs w:val="20"/>
        </w:rPr>
        <w:t>确定其基准单价。</w:t>
      </w:r>
    </w:p>
    <w:p w14:paraId="51E9468B">
      <w:pPr>
        <w:spacing w:line="253" w:lineRule="auto"/>
        <w:rPr>
          <w:rFonts w:ascii="宋体" w:hAnsi="宋体" w:eastAsia="宋体" w:cs="宋体"/>
          <w:sz w:val="20"/>
          <w:szCs w:val="20"/>
        </w:rPr>
        <w:sectPr>
          <w:footerReference r:id="rId471" w:type="default"/>
          <w:pgSz w:w="11907" w:h="16840"/>
          <w:pgMar w:top="400" w:right="1418" w:bottom="1247" w:left="1361" w:header="0" w:footer="1085" w:gutter="0"/>
          <w:cols w:space="720" w:num="1"/>
        </w:sectPr>
      </w:pPr>
    </w:p>
    <w:p w14:paraId="1052C0C6">
      <w:pPr>
        <w:spacing w:line="265" w:lineRule="auto"/>
        <w:rPr>
          <w:rFonts w:ascii="Arial"/>
          <w:sz w:val="21"/>
        </w:rPr>
      </w:pPr>
    </w:p>
    <w:p w14:paraId="532A5C57">
      <w:pPr>
        <w:spacing w:line="266" w:lineRule="auto"/>
        <w:rPr>
          <w:rFonts w:ascii="Arial"/>
          <w:sz w:val="21"/>
        </w:rPr>
      </w:pPr>
    </w:p>
    <w:p w14:paraId="7DE4257D">
      <w:pPr>
        <w:spacing w:line="266" w:lineRule="auto"/>
        <w:rPr>
          <w:rFonts w:ascii="Arial"/>
          <w:sz w:val="21"/>
        </w:rPr>
      </w:pPr>
    </w:p>
    <w:p w14:paraId="1FEBD84C">
      <w:pPr>
        <w:spacing w:line="266" w:lineRule="auto"/>
        <w:rPr>
          <w:rFonts w:ascii="Arial"/>
          <w:sz w:val="21"/>
        </w:rPr>
      </w:pPr>
    </w:p>
    <w:p w14:paraId="698C4279">
      <w:pPr>
        <w:spacing w:line="266" w:lineRule="auto"/>
        <w:rPr>
          <w:rFonts w:ascii="Arial"/>
          <w:sz w:val="21"/>
        </w:rPr>
      </w:pPr>
    </w:p>
    <w:p w14:paraId="3EE43986">
      <w:pPr>
        <w:pStyle w:val="2"/>
        <w:spacing w:before="78" w:line="221" w:lineRule="auto"/>
        <w:ind w:left="116"/>
        <w:outlineLvl w:val="2"/>
        <w:rPr>
          <w:rFonts w:ascii="宋体" w:hAnsi="宋体" w:eastAsia="宋体" w:cs="宋体"/>
          <w:sz w:val="24"/>
          <w:szCs w:val="24"/>
        </w:rPr>
      </w:pPr>
      <w:bookmarkStart w:id="376" w:name="bookmark358"/>
      <w:bookmarkEnd w:id="376"/>
      <w:bookmarkStart w:id="377" w:name="bookmark359"/>
      <w:bookmarkEnd w:id="377"/>
      <w:r>
        <w:rPr>
          <w:rFonts w:ascii="Times New Roman" w:hAnsi="Times New Roman" w:eastAsia="Times New Roman" w:cs="Times New Roman"/>
          <w:spacing w:val="-1"/>
          <w:sz w:val="24"/>
          <w:szCs w:val="24"/>
        </w:rPr>
        <w:t>4.</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1"/>
          <w:sz w:val="24"/>
          <w:szCs w:val="24"/>
        </w:rPr>
        <w:t xml:space="preserve">16 </w:t>
      </w:r>
      <w:r>
        <w:rPr>
          <w:spacing w:val="-1"/>
          <w:sz w:val="24"/>
          <w:szCs w:val="24"/>
        </w:rPr>
        <w:t>承包人提供主要材料和工程设备一览表</w:t>
      </w:r>
      <w:r>
        <w:rPr>
          <w:rFonts w:ascii="宋体" w:hAnsi="宋体" w:eastAsia="宋体" w:cs="宋体"/>
          <w:spacing w:val="-1"/>
          <w:sz w:val="24"/>
          <w:szCs w:val="24"/>
        </w:rPr>
        <w:t>（适用于价格指数差额调整法）</w:t>
      </w:r>
    </w:p>
    <w:p w14:paraId="0076A0C2">
      <w:pPr>
        <w:spacing w:line="429" w:lineRule="auto"/>
        <w:rPr>
          <w:rFonts w:ascii="Arial"/>
          <w:sz w:val="21"/>
        </w:rPr>
      </w:pPr>
    </w:p>
    <w:p w14:paraId="1AC4FA78">
      <w:pPr>
        <w:pStyle w:val="2"/>
        <w:spacing w:before="91" w:line="222" w:lineRule="auto"/>
        <w:ind w:left="2193"/>
        <w:rPr>
          <w:sz w:val="28"/>
          <w:szCs w:val="28"/>
        </w:rPr>
      </w:pPr>
      <w:r>
        <w:rPr>
          <w:spacing w:val="-1"/>
          <w:sz w:val="28"/>
          <w:szCs w:val="28"/>
        </w:rPr>
        <w:t>承包人提供主要材料和工程设备一览表</w:t>
      </w:r>
    </w:p>
    <w:p w14:paraId="2E3A515A">
      <w:pPr>
        <w:spacing w:before="257" w:line="223" w:lineRule="auto"/>
        <w:ind w:left="123"/>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2"/>
          <w:sz w:val="20"/>
          <w:szCs w:val="20"/>
        </w:rPr>
        <w:t xml:space="preserve">                    </w:t>
      </w:r>
      <w:r>
        <w:rPr>
          <w:rFonts w:ascii="宋体" w:hAnsi="宋体" w:eastAsia="宋体" w:cs="宋体"/>
          <w:spacing w:val="1"/>
          <w:sz w:val="20"/>
          <w:szCs w:val="20"/>
        </w:rPr>
        <w:t xml:space="preserve">   </w:t>
      </w:r>
      <w:r>
        <w:rPr>
          <w:rFonts w:ascii="宋体" w:hAnsi="宋体" w:eastAsia="宋体" w:cs="宋体"/>
          <w:spacing w:val="4"/>
          <w:sz w:val="20"/>
          <w:szCs w:val="20"/>
        </w:rPr>
        <w:t>标段名称：</w:t>
      </w:r>
      <w:r>
        <w:rPr>
          <w:rFonts w:ascii="宋体" w:hAnsi="宋体" w:eastAsia="宋体" w:cs="宋体"/>
          <w:sz w:val="20"/>
          <w:szCs w:val="20"/>
        </w:rPr>
        <w:t xml:space="preserve">                  </w:t>
      </w:r>
      <w:r>
        <w:rPr>
          <w:rFonts w:ascii="宋体" w:hAnsi="宋体" w:eastAsia="宋体" w:cs="宋体"/>
          <w:spacing w:val="4"/>
          <w:sz w:val="20"/>
          <w:szCs w:val="20"/>
        </w:rPr>
        <w:t>第  页</w:t>
      </w:r>
      <w:r>
        <w:rPr>
          <w:rFonts w:ascii="宋体" w:hAnsi="宋体" w:eastAsia="宋体" w:cs="宋体"/>
          <w:spacing w:val="12"/>
          <w:sz w:val="20"/>
          <w:szCs w:val="20"/>
        </w:rPr>
        <w:t xml:space="preserve">  </w:t>
      </w:r>
      <w:r>
        <w:rPr>
          <w:rFonts w:ascii="宋体" w:hAnsi="宋体" w:eastAsia="宋体" w:cs="宋体"/>
          <w:spacing w:val="4"/>
          <w:sz w:val="20"/>
          <w:szCs w:val="20"/>
        </w:rPr>
        <w:t>共</w:t>
      </w:r>
      <w:r>
        <w:rPr>
          <w:rFonts w:ascii="宋体" w:hAnsi="宋体" w:eastAsia="宋体" w:cs="宋体"/>
          <w:spacing w:val="12"/>
          <w:sz w:val="20"/>
          <w:szCs w:val="20"/>
        </w:rPr>
        <w:t xml:space="preserve">  </w:t>
      </w:r>
      <w:r>
        <w:rPr>
          <w:rFonts w:ascii="宋体" w:hAnsi="宋体" w:eastAsia="宋体" w:cs="宋体"/>
          <w:spacing w:val="4"/>
          <w:sz w:val="20"/>
          <w:szCs w:val="20"/>
        </w:rPr>
        <w:t>页</w:t>
      </w:r>
    </w:p>
    <w:tbl>
      <w:tblPr>
        <w:tblStyle w:val="5"/>
        <w:tblW w:w="85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8"/>
        <w:gridCol w:w="1843"/>
        <w:gridCol w:w="1439"/>
        <w:gridCol w:w="1799"/>
        <w:gridCol w:w="1731"/>
        <w:gridCol w:w="1152"/>
      </w:tblGrid>
      <w:tr w14:paraId="6B1B80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trPr>
        <w:tc>
          <w:tcPr>
            <w:tcW w:w="608" w:type="dxa"/>
            <w:textDirection w:val="tbRlV"/>
            <w:vAlign w:val="top"/>
          </w:tcPr>
          <w:p w14:paraId="7E10EDEB">
            <w:pPr>
              <w:pStyle w:val="6"/>
              <w:spacing w:before="197" w:line="218" w:lineRule="auto"/>
              <w:ind w:left="197"/>
            </w:pPr>
            <w:r>
              <w:rPr>
                <w:spacing w:val="8"/>
              </w:rPr>
              <w:t>序</w:t>
            </w:r>
            <w:r>
              <w:rPr>
                <w:spacing w:val="-38"/>
              </w:rPr>
              <w:t xml:space="preserve"> </w:t>
            </w:r>
            <w:r>
              <w:rPr>
                <w:spacing w:val="8"/>
              </w:rPr>
              <w:t>号</w:t>
            </w:r>
          </w:p>
        </w:tc>
        <w:tc>
          <w:tcPr>
            <w:tcW w:w="1843" w:type="dxa"/>
            <w:vAlign w:val="top"/>
          </w:tcPr>
          <w:p w14:paraId="7759E8A5">
            <w:pPr>
              <w:spacing w:line="265" w:lineRule="auto"/>
              <w:rPr>
                <w:rFonts w:ascii="Arial"/>
                <w:sz w:val="21"/>
              </w:rPr>
            </w:pPr>
          </w:p>
          <w:p w14:paraId="68C75F1B">
            <w:pPr>
              <w:pStyle w:val="6"/>
              <w:spacing w:before="65" w:line="228" w:lineRule="auto"/>
              <w:ind w:left="114"/>
            </w:pPr>
            <w:r>
              <w:rPr>
                <w:spacing w:val="1"/>
              </w:rPr>
              <w:t>名称、规格、型号</w:t>
            </w:r>
          </w:p>
        </w:tc>
        <w:tc>
          <w:tcPr>
            <w:tcW w:w="1439" w:type="dxa"/>
            <w:vAlign w:val="top"/>
          </w:tcPr>
          <w:p w14:paraId="60DCBBAC">
            <w:pPr>
              <w:spacing w:line="265" w:lineRule="auto"/>
              <w:rPr>
                <w:rFonts w:ascii="Arial"/>
                <w:sz w:val="21"/>
              </w:rPr>
            </w:pPr>
          </w:p>
          <w:p w14:paraId="6EAED569">
            <w:pPr>
              <w:pStyle w:val="6"/>
              <w:spacing w:before="65" w:line="228" w:lineRule="auto"/>
              <w:ind w:left="208"/>
              <w:rPr>
                <w:rFonts w:ascii="Times New Roman" w:hAnsi="Times New Roman" w:eastAsia="Times New Roman" w:cs="Times New Roman"/>
              </w:rPr>
            </w:pPr>
            <w:r>
              <w:rPr>
                <w:spacing w:val="6"/>
              </w:rPr>
              <w:t>变值权重</w:t>
            </w:r>
            <w:r>
              <w:rPr>
                <w:spacing w:val="-43"/>
              </w:rPr>
              <w:t xml:space="preserve"> </w:t>
            </w:r>
            <w:r>
              <w:rPr>
                <w:rFonts w:ascii="Times New Roman" w:hAnsi="Times New Roman" w:eastAsia="Times New Roman" w:cs="Times New Roman"/>
                <w:spacing w:val="6"/>
              </w:rPr>
              <w:t>B</w:t>
            </w:r>
          </w:p>
        </w:tc>
        <w:tc>
          <w:tcPr>
            <w:tcW w:w="1799" w:type="dxa"/>
            <w:vAlign w:val="top"/>
          </w:tcPr>
          <w:p w14:paraId="5F4829B4">
            <w:pPr>
              <w:spacing w:line="265" w:lineRule="auto"/>
              <w:rPr>
                <w:rFonts w:ascii="Arial"/>
                <w:sz w:val="21"/>
              </w:rPr>
            </w:pPr>
          </w:p>
          <w:p w14:paraId="40B44955">
            <w:pPr>
              <w:pStyle w:val="6"/>
              <w:spacing w:before="65" w:line="226" w:lineRule="auto"/>
              <w:ind w:left="156"/>
              <w:rPr>
                <w:rFonts w:ascii="Times New Roman" w:hAnsi="Times New Roman" w:eastAsia="Times New Roman" w:cs="Times New Roman"/>
                <w:sz w:val="13"/>
                <w:szCs w:val="13"/>
              </w:rPr>
            </w:pPr>
            <w:r>
              <w:rPr>
                <w:spacing w:val="6"/>
              </w:rPr>
              <w:t>基本价格指数</w:t>
            </w:r>
            <w:r>
              <w:rPr>
                <w:spacing w:val="-37"/>
              </w:rPr>
              <w:t xml:space="preserve"> </w:t>
            </w:r>
            <w:r>
              <w:rPr>
                <w:rFonts w:ascii="Times New Roman" w:hAnsi="Times New Roman" w:eastAsia="Times New Roman" w:cs="Times New Roman"/>
                <w:spacing w:val="6"/>
              </w:rPr>
              <w:t>F</w:t>
            </w:r>
            <w:r>
              <w:rPr>
                <w:rFonts w:ascii="Times New Roman" w:hAnsi="Times New Roman" w:eastAsia="Times New Roman" w:cs="Times New Roman"/>
                <w:spacing w:val="6"/>
                <w:position w:val="-1"/>
                <w:sz w:val="13"/>
                <w:szCs w:val="13"/>
              </w:rPr>
              <w:t>0</w:t>
            </w:r>
          </w:p>
        </w:tc>
        <w:tc>
          <w:tcPr>
            <w:tcW w:w="1731" w:type="dxa"/>
            <w:vAlign w:val="top"/>
          </w:tcPr>
          <w:p w14:paraId="2313D93D">
            <w:pPr>
              <w:spacing w:line="265" w:lineRule="auto"/>
              <w:rPr>
                <w:rFonts w:ascii="Arial"/>
                <w:sz w:val="21"/>
              </w:rPr>
            </w:pPr>
          </w:p>
          <w:p w14:paraId="28C851E0">
            <w:pPr>
              <w:pStyle w:val="6"/>
              <w:spacing w:before="65" w:line="226" w:lineRule="auto"/>
              <w:ind w:left="140"/>
              <w:rPr>
                <w:rFonts w:ascii="Times New Roman" w:hAnsi="Times New Roman" w:eastAsia="Times New Roman" w:cs="Times New Roman"/>
                <w:sz w:val="13"/>
                <w:szCs w:val="13"/>
              </w:rPr>
            </w:pPr>
            <w:r>
              <w:rPr>
                <w:spacing w:val="8"/>
              </w:rPr>
              <w:t>现行价格指数</w:t>
            </w:r>
            <w:r>
              <w:rPr>
                <w:spacing w:val="-38"/>
              </w:rPr>
              <w:t xml:space="preserve"> </w:t>
            </w:r>
            <w:r>
              <w:rPr>
                <w:rFonts w:ascii="Times New Roman" w:hAnsi="Times New Roman" w:eastAsia="Times New Roman" w:cs="Times New Roman"/>
              </w:rPr>
              <w:t>F</w:t>
            </w:r>
            <w:r>
              <w:rPr>
                <w:rFonts w:ascii="Times New Roman" w:hAnsi="Times New Roman" w:eastAsia="Times New Roman" w:cs="Times New Roman"/>
                <w:position w:val="-1"/>
                <w:sz w:val="13"/>
                <w:szCs w:val="13"/>
              </w:rPr>
              <w:t>t</w:t>
            </w:r>
          </w:p>
        </w:tc>
        <w:tc>
          <w:tcPr>
            <w:tcW w:w="1152" w:type="dxa"/>
            <w:vAlign w:val="top"/>
          </w:tcPr>
          <w:p w14:paraId="69742CC6">
            <w:pPr>
              <w:spacing w:line="265" w:lineRule="auto"/>
              <w:rPr>
                <w:rFonts w:ascii="Arial"/>
                <w:sz w:val="21"/>
              </w:rPr>
            </w:pPr>
          </w:p>
          <w:p w14:paraId="4350FC8D">
            <w:pPr>
              <w:pStyle w:val="6"/>
              <w:spacing w:before="65" w:line="229" w:lineRule="auto"/>
              <w:ind w:left="373"/>
            </w:pPr>
            <w:r>
              <w:rPr>
                <w:spacing w:val="3"/>
              </w:rPr>
              <w:t>备注</w:t>
            </w:r>
          </w:p>
        </w:tc>
      </w:tr>
      <w:tr w14:paraId="5A1D02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608" w:type="dxa"/>
            <w:vAlign w:val="top"/>
          </w:tcPr>
          <w:p w14:paraId="22AF39C3">
            <w:pPr>
              <w:rPr>
                <w:rFonts w:ascii="Arial"/>
                <w:sz w:val="21"/>
              </w:rPr>
            </w:pPr>
          </w:p>
        </w:tc>
        <w:tc>
          <w:tcPr>
            <w:tcW w:w="1843" w:type="dxa"/>
            <w:vAlign w:val="top"/>
          </w:tcPr>
          <w:p w14:paraId="2A838ADA">
            <w:pPr>
              <w:rPr>
                <w:rFonts w:ascii="Arial"/>
                <w:sz w:val="21"/>
              </w:rPr>
            </w:pPr>
          </w:p>
        </w:tc>
        <w:tc>
          <w:tcPr>
            <w:tcW w:w="1439" w:type="dxa"/>
            <w:vAlign w:val="top"/>
          </w:tcPr>
          <w:p w14:paraId="0E88430C">
            <w:pPr>
              <w:rPr>
                <w:rFonts w:ascii="Arial"/>
                <w:sz w:val="21"/>
              </w:rPr>
            </w:pPr>
          </w:p>
        </w:tc>
        <w:tc>
          <w:tcPr>
            <w:tcW w:w="1799" w:type="dxa"/>
            <w:vAlign w:val="top"/>
          </w:tcPr>
          <w:p w14:paraId="555D50DC">
            <w:pPr>
              <w:rPr>
                <w:rFonts w:ascii="Arial"/>
                <w:sz w:val="21"/>
              </w:rPr>
            </w:pPr>
          </w:p>
        </w:tc>
        <w:tc>
          <w:tcPr>
            <w:tcW w:w="1731" w:type="dxa"/>
            <w:vAlign w:val="top"/>
          </w:tcPr>
          <w:p w14:paraId="3E81A219">
            <w:pPr>
              <w:rPr>
                <w:rFonts w:ascii="Arial"/>
                <w:sz w:val="21"/>
              </w:rPr>
            </w:pPr>
          </w:p>
        </w:tc>
        <w:tc>
          <w:tcPr>
            <w:tcW w:w="1152" w:type="dxa"/>
            <w:vAlign w:val="top"/>
          </w:tcPr>
          <w:p w14:paraId="2CEFB0CB">
            <w:pPr>
              <w:rPr>
                <w:rFonts w:ascii="Arial"/>
                <w:sz w:val="21"/>
              </w:rPr>
            </w:pPr>
          </w:p>
        </w:tc>
      </w:tr>
      <w:tr w14:paraId="55AB8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608" w:type="dxa"/>
            <w:vAlign w:val="top"/>
          </w:tcPr>
          <w:p w14:paraId="61132DD6">
            <w:pPr>
              <w:rPr>
                <w:rFonts w:ascii="Arial"/>
                <w:sz w:val="21"/>
              </w:rPr>
            </w:pPr>
          </w:p>
        </w:tc>
        <w:tc>
          <w:tcPr>
            <w:tcW w:w="1843" w:type="dxa"/>
            <w:vAlign w:val="top"/>
          </w:tcPr>
          <w:p w14:paraId="2F85FC43">
            <w:pPr>
              <w:rPr>
                <w:rFonts w:ascii="Arial"/>
                <w:sz w:val="21"/>
              </w:rPr>
            </w:pPr>
          </w:p>
        </w:tc>
        <w:tc>
          <w:tcPr>
            <w:tcW w:w="1439" w:type="dxa"/>
            <w:vAlign w:val="top"/>
          </w:tcPr>
          <w:p w14:paraId="131EBCFD">
            <w:pPr>
              <w:rPr>
                <w:rFonts w:ascii="Arial"/>
                <w:sz w:val="21"/>
              </w:rPr>
            </w:pPr>
          </w:p>
        </w:tc>
        <w:tc>
          <w:tcPr>
            <w:tcW w:w="1799" w:type="dxa"/>
            <w:vAlign w:val="top"/>
          </w:tcPr>
          <w:p w14:paraId="3D9699A7">
            <w:pPr>
              <w:rPr>
                <w:rFonts w:ascii="Arial"/>
                <w:sz w:val="21"/>
              </w:rPr>
            </w:pPr>
          </w:p>
        </w:tc>
        <w:tc>
          <w:tcPr>
            <w:tcW w:w="1731" w:type="dxa"/>
            <w:vAlign w:val="top"/>
          </w:tcPr>
          <w:p w14:paraId="7D4C19FD">
            <w:pPr>
              <w:rPr>
                <w:rFonts w:ascii="Arial"/>
                <w:sz w:val="21"/>
              </w:rPr>
            </w:pPr>
          </w:p>
        </w:tc>
        <w:tc>
          <w:tcPr>
            <w:tcW w:w="1152" w:type="dxa"/>
            <w:vAlign w:val="top"/>
          </w:tcPr>
          <w:p w14:paraId="21832B07">
            <w:pPr>
              <w:rPr>
                <w:rFonts w:ascii="Arial"/>
                <w:sz w:val="21"/>
              </w:rPr>
            </w:pPr>
          </w:p>
        </w:tc>
      </w:tr>
      <w:tr w14:paraId="08E50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608" w:type="dxa"/>
            <w:vAlign w:val="top"/>
          </w:tcPr>
          <w:p w14:paraId="2E1A3BC5">
            <w:pPr>
              <w:rPr>
                <w:rFonts w:ascii="Arial"/>
                <w:sz w:val="21"/>
              </w:rPr>
            </w:pPr>
          </w:p>
        </w:tc>
        <w:tc>
          <w:tcPr>
            <w:tcW w:w="1843" w:type="dxa"/>
            <w:vAlign w:val="top"/>
          </w:tcPr>
          <w:p w14:paraId="2B738556">
            <w:pPr>
              <w:rPr>
                <w:rFonts w:ascii="Arial"/>
                <w:sz w:val="21"/>
              </w:rPr>
            </w:pPr>
          </w:p>
        </w:tc>
        <w:tc>
          <w:tcPr>
            <w:tcW w:w="1439" w:type="dxa"/>
            <w:vAlign w:val="top"/>
          </w:tcPr>
          <w:p w14:paraId="03215444">
            <w:pPr>
              <w:rPr>
                <w:rFonts w:ascii="Arial"/>
                <w:sz w:val="21"/>
              </w:rPr>
            </w:pPr>
          </w:p>
        </w:tc>
        <w:tc>
          <w:tcPr>
            <w:tcW w:w="1799" w:type="dxa"/>
            <w:vAlign w:val="top"/>
          </w:tcPr>
          <w:p w14:paraId="3542092C">
            <w:pPr>
              <w:rPr>
                <w:rFonts w:ascii="Arial"/>
                <w:sz w:val="21"/>
              </w:rPr>
            </w:pPr>
          </w:p>
        </w:tc>
        <w:tc>
          <w:tcPr>
            <w:tcW w:w="1731" w:type="dxa"/>
            <w:vAlign w:val="top"/>
          </w:tcPr>
          <w:p w14:paraId="2DF7E897">
            <w:pPr>
              <w:rPr>
                <w:rFonts w:ascii="Arial"/>
                <w:sz w:val="21"/>
              </w:rPr>
            </w:pPr>
          </w:p>
        </w:tc>
        <w:tc>
          <w:tcPr>
            <w:tcW w:w="1152" w:type="dxa"/>
            <w:vAlign w:val="top"/>
          </w:tcPr>
          <w:p w14:paraId="38BE3616">
            <w:pPr>
              <w:rPr>
                <w:rFonts w:ascii="Arial"/>
                <w:sz w:val="21"/>
              </w:rPr>
            </w:pPr>
          </w:p>
        </w:tc>
      </w:tr>
      <w:tr w14:paraId="678DE9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608" w:type="dxa"/>
            <w:vAlign w:val="top"/>
          </w:tcPr>
          <w:p w14:paraId="69CFE038">
            <w:pPr>
              <w:rPr>
                <w:rFonts w:ascii="Arial"/>
                <w:sz w:val="21"/>
              </w:rPr>
            </w:pPr>
          </w:p>
        </w:tc>
        <w:tc>
          <w:tcPr>
            <w:tcW w:w="1843" w:type="dxa"/>
            <w:vAlign w:val="top"/>
          </w:tcPr>
          <w:p w14:paraId="00D5AEF6">
            <w:pPr>
              <w:rPr>
                <w:rFonts w:ascii="Arial"/>
                <w:sz w:val="21"/>
              </w:rPr>
            </w:pPr>
          </w:p>
        </w:tc>
        <w:tc>
          <w:tcPr>
            <w:tcW w:w="1439" w:type="dxa"/>
            <w:vAlign w:val="top"/>
          </w:tcPr>
          <w:p w14:paraId="661A6838">
            <w:pPr>
              <w:rPr>
                <w:rFonts w:ascii="Arial"/>
                <w:sz w:val="21"/>
              </w:rPr>
            </w:pPr>
          </w:p>
        </w:tc>
        <w:tc>
          <w:tcPr>
            <w:tcW w:w="1799" w:type="dxa"/>
            <w:vAlign w:val="top"/>
          </w:tcPr>
          <w:p w14:paraId="7ACC3237">
            <w:pPr>
              <w:rPr>
                <w:rFonts w:ascii="Arial"/>
                <w:sz w:val="21"/>
              </w:rPr>
            </w:pPr>
          </w:p>
        </w:tc>
        <w:tc>
          <w:tcPr>
            <w:tcW w:w="1731" w:type="dxa"/>
            <w:vAlign w:val="top"/>
          </w:tcPr>
          <w:p w14:paraId="0D2B6895">
            <w:pPr>
              <w:rPr>
                <w:rFonts w:ascii="Arial"/>
                <w:sz w:val="21"/>
              </w:rPr>
            </w:pPr>
          </w:p>
        </w:tc>
        <w:tc>
          <w:tcPr>
            <w:tcW w:w="1152" w:type="dxa"/>
            <w:vAlign w:val="top"/>
          </w:tcPr>
          <w:p w14:paraId="68503319">
            <w:pPr>
              <w:rPr>
                <w:rFonts w:ascii="Arial"/>
                <w:sz w:val="21"/>
              </w:rPr>
            </w:pPr>
          </w:p>
        </w:tc>
      </w:tr>
      <w:tr w14:paraId="1076BF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608" w:type="dxa"/>
            <w:vAlign w:val="top"/>
          </w:tcPr>
          <w:p w14:paraId="5FD0591D">
            <w:pPr>
              <w:rPr>
                <w:rFonts w:ascii="Arial"/>
                <w:sz w:val="21"/>
              </w:rPr>
            </w:pPr>
          </w:p>
        </w:tc>
        <w:tc>
          <w:tcPr>
            <w:tcW w:w="1843" w:type="dxa"/>
            <w:vAlign w:val="top"/>
          </w:tcPr>
          <w:p w14:paraId="5AA15C1E">
            <w:pPr>
              <w:rPr>
                <w:rFonts w:ascii="Arial"/>
                <w:sz w:val="21"/>
              </w:rPr>
            </w:pPr>
          </w:p>
        </w:tc>
        <w:tc>
          <w:tcPr>
            <w:tcW w:w="1439" w:type="dxa"/>
            <w:vAlign w:val="top"/>
          </w:tcPr>
          <w:p w14:paraId="274C843A">
            <w:pPr>
              <w:rPr>
                <w:rFonts w:ascii="Arial"/>
                <w:sz w:val="21"/>
              </w:rPr>
            </w:pPr>
          </w:p>
        </w:tc>
        <w:tc>
          <w:tcPr>
            <w:tcW w:w="1799" w:type="dxa"/>
            <w:vAlign w:val="top"/>
          </w:tcPr>
          <w:p w14:paraId="7288E695">
            <w:pPr>
              <w:rPr>
                <w:rFonts w:ascii="Arial"/>
                <w:sz w:val="21"/>
              </w:rPr>
            </w:pPr>
          </w:p>
        </w:tc>
        <w:tc>
          <w:tcPr>
            <w:tcW w:w="1731" w:type="dxa"/>
            <w:vAlign w:val="top"/>
          </w:tcPr>
          <w:p w14:paraId="1376DACB">
            <w:pPr>
              <w:rPr>
                <w:rFonts w:ascii="Arial"/>
                <w:sz w:val="21"/>
              </w:rPr>
            </w:pPr>
          </w:p>
        </w:tc>
        <w:tc>
          <w:tcPr>
            <w:tcW w:w="1152" w:type="dxa"/>
            <w:vAlign w:val="top"/>
          </w:tcPr>
          <w:p w14:paraId="1990A693">
            <w:pPr>
              <w:rPr>
                <w:rFonts w:ascii="Arial"/>
                <w:sz w:val="21"/>
              </w:rPr>
            </w:pPr>
          </w:p>
        </w:tc>
      </w:tr>
      <w:tr w14:paraId="785A10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608" w:type="dxa"/>
            <w:vAlign w:val="top"/>
          </w:tcPr>
          <w:p w14:paraId="2A28BF97">
            <w:pPr>
              <w:rPr>
                <w:rFonts w:ascii="Arial"/>
                <w:sz w:val="21"/>
              </w:rPr>
            </w:pPr>
          </w:p>
        </w:tc>
        <w:tc>
          <w:tcPr>
            <w:tcW w:w="1843" w:type="dxa"/>
            <w:vAlign w:val="top"/>
          </w:tcPr>
          <w:p w14:paraId="54C4D5E0">
            <w:pPr>
              <w:rPr>
                <w:rFonts w:ascii="Arial"/>
                <w:sz w:val="21"/>
              </w:rPr>
            </w:pPr>
          </w:p>
        </w:tc>
        <w:tc>
          <w:tcPr>
            <w:tcW w:w="1439" w:type="dxa"/>
            <w:vAlign w:val="top"/>
          </w:tcPr>
          <w:p w14:paraId="6E228FAD">
            <w:pPr>
              <w:rPr>
                <w:rFonts w:ascii="Arial"/>
                <w:sz w:val="21"/>
              </w:rPr>
            </w:pPr>
          </w:p>
        </w:tc>
        <w:tc>
          <w:tcPr>
            <w:tcW w:w="1799" w:type="dxa"/>
            <w:vAlign w:val="top"/>
          </w:tcPr>
          <w:p w14:paraId="2CF800F5">
            <w:pPr>
              <w:rPr>
                <w:rFonts w:ascii="Arial"/>
                <w:sz w:val="21"/>
              </w:rPr>
            </w:pPr>
          </w:p>
        </w:tc>
        <w:tc>
          <w:tcPr>
            <w:tcW w:w="1731" w:type="dxa"/>
            <w:vAlign w:val="top"/>
          </w:tcPr>
          <w:p w14:paraId="1ED45BCD">
            <w:pPr>
              <w:rPr>
                <w:rFonts w:ascii="Arial"/>
                <w:sz w:val="21"/>
              </w:rPr>
            </w:pPr>
          </w:p>
        </w:tc>
        <w:tc>
          <w:tcPr>
            <w:tcW w:w="1152" w:type="dxa"/>
            <w:vAlign w:val="top"/>
          </w:tcPr>
          <w:p w14:paraId="1D346380">
            <w:pPr>
              <w:rPr>
                <w:rFonts w:ascii="Arial"/>
                <w:sz w:val="21"/>
              </w:rPr>
            </w:pPr>
          </w:p>
        </w:tc>
      </w:tr>
      <w:tr w14:paraId="173B2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608" w:type="dxa"/>
            <w:vAlign w:val="top"/>
          </w:tcPr>
          <w:p w14:paraId="0ECC128C">
            <w:pPr>
              <w:rPr>
                <w:rFonts w:ascii="Arial"/>
                <w:sz w:val="21"/>
              </w:rPr>
            </w:pPr>
          </w:p>
        </w:tc>
        <w:tc>
          <w:tcPr>
            <w:tcW w:w="1843" w:type="dxa"/>
            <w:vAlign w:val="top"/>
          </w:tcPr>
          <w:p w14:paraId="501485D3">
            <w:pPr>
              <w:rPr>
                <w:rFonts w:ascii="Arial"/>
                <w:sz w:val="21"/>
              </w:rPr>
            </w:pPr>
          </w:p>
        </w:tc>
        <w:tc>
          <w:tcPr>
            <w:tcW w:w="1439" w:type="dxa"/>
            <w:vAlign w:val="top"/>
          </w:tcPr>
          <w:p w14:paraId="17137195">
            <w:pPr>
              <w:rPr>
                <w:rFonts w:ascii="Arial"/>
                <w:sz w:val="21"/>
              </w:rPr>
            </w:pPr>
          </w:p>
        </w:tc>
        <w:tc>
          <w:tcPr>
            <w:tcW w:w="1799" w:type="dxa"/>
            <w:vAlign w:val="top"/>
          </w:tcPr>
          <w:p w14:paraId="20C162F6">
            <w:pPr>
              <w:rPr>
                <w:rFonts w:ascii="Arial"/>
                <w:sz w:val="21"/>
              </w:rPr>
            </w:pPr>
          </w:p>
        </w:tc>
        <w:tc>
          <w:tcPr>
            <w:tcW w:w="1731" w:type="dxa"/>
            <w:vAlign w:val="top"/>
          </w:tcPr>
          <w:p w14:paraId="58E696FC">
            <w:pPr>
              <w:rPr>
                <w:rFonts w:ascii="Arial"/>
                <w:sz w:val="21"/>
              </w:rPr>
            </w:pPr>
          </w:p>
        </w:tc>
        <w:tc>
          <w:tcPr>
            <w:tcW w:w="1152" w:type="dxa"/>
            <w:vAlign w:val="top"/>
          </w:tcPr>
          <w:p w14:paraId="71534503">
            <w:pPr>
              <w:rPr>
                <w:rFonts w:ascii="Arial"/>
                <w:sz w:val="21"/>
              </w:rPr>
            </w:pPr>
          </w:p>
        </w:tc>
      </w:tr>
      <w:tr w14:paraId="2D9458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608" w:type="dxa"/>
            <w:vAlign w:val="top"/>
          </w:tcPr>
          <w:p w14:paraId="2503A060">
            <w:pPr>
              <w:rPr>
                <w:rFonts w:ascii="Arial"/>
                <w:sz w:val="21"/>
              </w:rPr>
            </w:pPr>
          </w:p>
        </w:tc>
        <w:tc>
          <w:tcPr>
            <w:tcW w:w="1843" w:type="dxa"/>
            <w:vAlign w:val="top"/>
          </w:tcPr>
          <w:p w14:paraId="4DB8225A">
            <w:pPr>
              <w:spacing w:line="266" w:lineRule="auto"/>
              <w:rPr>
                <w:rFonts w:ascii="Arial"/>
                <w:sz w:val="21"/>
              </w:rPr>
            </w:pPr>
          </w:p>
          <w:p w14:paraId="365B1728">
            <w:pPr>
              <w:pStyle w:val="6"/>
              <w:spacing w:before="65" w:line="228" w:lineRule="auto"/>
              <w:ind w:left="407"/>
              <w:rPr>
                <w:rFonts w:ascii="Times New Roman" w:hAnsi="Times New Roman" w:eastAsia="Times New Roman" w:cs="Times New Roman"/>
              </w:rPr>
            </w:pPr>
            <w:r>
              <w:rPr>
                <w:spacing w:val="5"/>
              </w:rPr>
              <w:t>定值权重</w:t>
            </w:r>
            <w:r>
              <w:rPr>
                <w:spacing w:val="-40"/>
              </w:rPr>
              <w:t xml:space="preserve"> </w:t>
            </w:r>
            <w:r>
              <w:rPr>
                <w:rFonts w:ascii="Times New Roman" w:hAnsi="Times New Roman" w:eastAsia="Times New Roman" w:cs="Times New Roman"/>
                <w:spacing w:val="5"/>
              </w:rPr>
              <w:t>A</w:t>
            </w:r>
          </w:p>
        </w:tc>
        <w:tc>
          <w:tcPr>
            <w:tcW w:w="1439" w:type="dxa"/>
            <w:vAlign w:val="top"/>
          </w:tcPr>
          <w:p w14:paraId="3DB94331">
            <w:pPr>
              <w:rPr>
                <w:rFonts w:ascii="Arial"/>
                <w:sz w:val="21"/>
              </w:rPr>
            </w:pPr>
          </w:p>
        </w:tc>
        <w:tc>
          <w:tcPr>
            <w:tcW w:w="1799" w:type="dxa"/>
            <w:vAlign w:val="top"/>
          </w:tcPr>
          <w:p w14:paraId="7EC093E3">
            <w:pPr>
              <w:spacing w:line="365" w:lineRule="auto"/>
              <w:rPr>
                <w:rFonts w:ascii="Arial"/>
                <w:sz w:val="21"/>
              </w:rPr>
            </w:pPr>
          </w:p>
          <w:p w14:paraId="4345101B">
            <w:pPr>
              <w:pStyle w:val="6"/>
              <w:spacing w:before="65" w:line="136" w:lineRule="exact"/>
              <w:ind w:left="798"/>
            </w:pPr>
            <w:r>
              <w:rPr>
                <w:spacing w:val="2"/>
                <w:position w:val="-3"/>
              </w:rPr>
              <w:t>—</w:t>
            </w:r>
          </w:p>
        </w:tc>
        <w:tc>
          <w:tcPr>
            <w:tcW w:w="1731" w:type="dxa"/>
            <w:vAlign w:val="top"/>
          </w:tcPr>
          <w:p w14:paraId="4191CE3C">
            <w:pPr>
              <w:spacing w:line="365" w:lineRule="auto"/>
              <w:rPr>
                <w:rFonts w:ascii="Arial"/>
                <w:sz w:val="21"/>
              </w:rPr>
            </w:pPr>
          </w:p>
          <w:p w14:paraId="70CD7C9E">
            <w:pPr>
              <w:pStyle w:val="6"/>
              <w:spacing w:before="65" w:line="136" w:lineRule="exact"/>
              <w:ind w:left="765"/>
            </w:pPr>
            <w:r>
              <w:rPr>
                <w:spacing w:val="2"/>
                <w:position w:val="-3"/>
              </w:rPr>
              <w:t>—</w:t>
            </w:r>
          </w:p>
        </w:tc>
        <w:tc>
          <w:tcPr>
            <w:tcW w:w="1152" w:type="dxa"/>
            <w:vAlign w:val="top"/>
          </w:tcPr>
          <w:p w14:paraId="001F0A96">
            <w:pPr>
              <w:rPr>
                <w:rFonts w:ascii="Arial"/>
                <w:sz w:val="21"/>
              </w:rPr>
            </w:pPr>
          </w:p>
        </w:tc>
      </w:tr>
      <w:tr w14:paraId="01F06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trPr>
        <w:tc>
          <w:tcPr>
            <w:tcW w:w="2451" w:type="dxa"/>
            <w:gridSpan w:val="2"/>
            <w:vAlign w:val="top"/>
          </w:tcPr>
          <w:p w14:paraId="51D6C446">
            <w:pPr>
              <w:spacing w:line="265" w:lineRule="auto"/>
              <w:rPr>
                <w:rFonts w:ascii="Arial"/>
                <w:sz w:val="21"/>
              </w:rPr>
            </w:pPr>
          </w:p>
          <w:p w14:paraId="64D00217">
            <w:pPr>
              <w:pStyle w:val="6"/>
              <w:spacing w:before="65" w:line="229" w:lineRule="auto"/>
              <w:ind w:left="1023"/>
            </w:pPr>
            <w:r>
              <w:rPr>
                <w:spacing w:val="4"/>
              </w:rPr>
              <w:t>合计</w:t>
            </w:r>
          </w:p>
        </w:tc>
        <w:tc>
          <w:tcPr>
            <w:tcW w:w="1439" w:type="dxa"/>
            <w:vAlign w:val="top"/>
          </w:tcPr>
          <w:p w14:paraId="431F02F8">
            <w:pPr>
              <w:spacing w:line="311" w:lineRule="auto"/>
              <w:rPr>
                <w:rFonts w:ascii="Arial"/>
                <w:sz w:val="21"/>
              </w:rPr>
            </w:pPr>
          </w:p>
          <w:p w14:paraId="67DD537A">
            <w:pPr>
              <w:spacing w:before="57" w:line="195" w:lineRule="auto"/>
              <w:ind w:left="68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799" w:type="dxa"/>
            <w:vAlign w:val="top"/>
          </w:tcPr>
          <w:p w14:paraId="0078B354">
            <w:pPr>
              <w:spacing w:line="363" w:lineRule="auto"/>
              <w:rPr>
                <w:rFonts w:ascii="Arial"/>
                <w:sz w:val="21"/>
              </w:rPr>
            </w:pPr>
          </w:p>
          <w:p w14:paraId="626C1236">
            <w:pPr>
              <w:pStyle w:val="6"/>
              <w:spacing w:before="65" w:line="136" w:lineRule="exact"/>
              <w:ind w:left="798"/>
            </w:pPr>
            <w:r>
              <w:rPr>
                <w:spacing w:val="2"/>
                <w:position w:val="-3"/>
              </w:rPr>
              <w:t>—</w:t>
            </w:r>
          </w:p>
        </w:tc>
        <w:tc>
          <w:tcPr>
            <w:tcW w:w="1731" w:type="dxa"/>
            <w:vAlign w:val="top"/>
          </w:tcPr>
          <w:p w14:paraId="149845B1">
            <w:pPr>
              <w:spacing w:line="363" w:lineRule="auto"/>
              <w:rPr>
                <w:rFonts w:ascii="Arial"/>
                <w:sz w:val="21"/>
              </w:rPr>
            </w:pPr>
          </w:p>
          <w:p w14:paraId="2F0E4E8B">
            <w:pPr>
              <w:pStyle w:val="6"/>
              <w:spacing w:before="65" w:line="136" w:lineRule="exact"/>
              <w:ind w:left="765"/>
            </w:pPr>
            <w:r>
              <w:rPr>
                <w:spacing w:val="2"/>
                <w:position w:val="-3"/>
              </w:rPr>
              <w:t>—</w:t>
            </w:r>
          </w:p>
        </w:tc>
        <w:tc>
          <w:tcPr>
            <w:tcW w:w="1152" w:type="dxa"/>
            <w:vAlign w:val="top"/>
          </w:tcPr>
          <w:p w14:paraId="6DF41936">
            <w:pPr>
              <w:rPr>
                <w:rFonts w:ascii="Arial"/>
                <w:sz w:val="21"/>
              </w:rPr>
            </w:pPr>
          </w:p>
        </w:tc>
      </w:tr>
    </w:tbl>
    <w:p w14:paraId="6832C0AE">
      <w:pPr>
        <w:spacing w:line="343" w:lineRule="auto"/>
        <w:rPr>
          <w:rFonts w:ascii="Arial"/>
          <w:sz w:val="21"/>
        </w:rPr>
      </w:pPr>
    </w:p>
    <w:p w14:paraId="77E225E0">
      <w:pPr>
        <w:spacing w:line="343" w:lineRule="auto"/>
        <w:rPr>
          <w:rFonts w:ascii="Arial"/>
          <w:sz w:val="21"/>
        </w:rPr>
      </w:pPr>
    </w:p>
    <w:p w14:paraId="199A0DE1">
      <w:pPr>
        <w:spacing w:before="65" w:line="251" w:lineRule="auto"/>
        <w:ind w:left="959" w:hanging="839"/>
        <w:rPr>
          <w:rFonts w:ascii="宋体" w:hAnsi="宋体" w:eastAsia="宋体" w:cs="宋体"/>
          <w:sz w:val="20"/>
          <w:szCs w:val="20"/>
        </w:rPr>
      </w:pPr>
      <w:r>
        <w:rPr>
          <w:rFonts w:ascii="宋体" w:hAnsi="宋体" w:eastAsia="宋体" w:cs="宋体"/>
          <w:spacing w:val="5"/>
          <w:sz w:val="20"/>
          <w:szCs w:val="20"/>
        </w:rPr>
        <w:t>注：</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19"/>
          <w:sz w:val="20"/>
          <w:szCs w:val="20"/>
        </w:rPr>
        <w:t xml:space="preserve"> </w:t>
      </w:r>
      <w:r>
        <w:rPr>
          <w:rFonts w:ascii="宋体" w:hAnsi="宋体" w:eastAsia="宋体" w:cs="宋体"/>
          <w:spacing w:val="5"/>
          <w:sz w:val="20"/>
          <w:szCs w:val="20"/>
        </w:rPr>
        <w:t>．“名称、规格、型号</w:t>
      </w:r>
      <w:r>
        <w:rPr>
          <w:rFonts w:ascii="宋体" w:hAnsi="宋体" w:eastAsia="宋体" w:cs="宋体"/>
          <w:spacing w:val="-70"/>
          <w:sz w:val="20"/>
          <w:szCs w:val="20"/>
        </w:rPr>
        <w:t xml:space="preserve"> </w:t>
      </w:r>
      <w:r>
        <w:rPr>
          <w:rFonts w:ascii="宋体" w:hAnsi="宋体" w:eastAsia="宋体" w:cs="宋体"/>
          <w:spacing w:val="5"/>
          <w:sz w:val="20"/>
          <w:szCs w:val="20"/>
        </w:rPr>
        <w:t>”“ 基本价格指数</w:t>
      </w:r>
      <w:r>
        <w:rPr>
          <w:rFonts w:ascii="宋体" w:hAnsi="宋体" w:eastAsia="宋体" w:cs="宋体"/>
          <w:spacing w:val="-70"/>
          <w:sz w:val="20"/>
          <w:szCs w:val="20"/>
        </w:rPr>
        <w:t xml:space="preserve"> </w:t>
      </w:r>
      <w:r>
        <w:rPr>
          <w:rFonts w:ascii="宋体" w:hAnsi="宋体" w:eastAsia="宋体" w:cs="宋体"/>
          <w:spacing w:val="5"/>
          <w:sz w:val="20"/>
          <w:szCs w:val="20"/>
        </w:rPr>
        <w:t>”栏由</w:t>
      </w:r>
      <w:r>
        <w:rPr>
          <w:rFonts w:ascii="宋体" w:hAnsi="宋体" w:eastAsia="宋体" w:cs="宋体"/>
          <w:spacing w:val="4"/>
          <w:sz w:val="20"/>
          <w:szCs w:val="20"/>
        </w:rPr>
        <w:t>招标人填写，基本价格指数应首先采用工程</w:t>
      </w:r>
      <w:r>
        <w:rPr>
          <w:rFonts w:ascii="宋体" w:hAnsi="宋体" w:eastAsia="宋体" w:cs="宋体"/>
          <w:spacing w:val="12"/>
          <w:sz w:val="20"/>
          <w:szCs w:val="20"/>
        </w:rPr>
        <w:t>造价管理机构发布的价格指数，没有时，可用发布的价格代替。如人工、机械也</w:t>
      </w:r>
      <w:r>
        <w:rPr>
          <w:rFonts w:ascii="宋体" w:hAnsi="宋体" w:eastAsia="宋体" w:cs="宋体"/>
          <w:spacing w:val="11"/>
          <w:sz w:val="20"/>
          <w:szCs w:val="20"/>
        </w:rPr>
        <w:t>采用本</w:t>
      </w:r>
      <w:r>
        <w:rPr>
          <w:rFonts w:ascii="宋体" w:hAnsi="宋体" w:eastAsia="宋体" w:cs="宋体"/>
          <w:spacing w:val="4"/>
          <w:sz w:val="20"/>
          <w:szCs w:val="20"/>
        </w:rPr>
        <w:t>法调整，</w:t>
      </w:r>
      <w:r>
        <w:rPr>
          <w:rFonts w:ascii="宋体" w:hAnsi="宋体" w:eastAsia="宋体" w:cs="宋体"/>
          <w:spacing w:val="-47"/>
          <w:sz w:val="20"/>
          <w:szCs w:val="20"/>
        </w:rPr>
        <w:t xml:space="preserve"> </w:t>
      </w:r>
      <w:r>
        <w:rPr>
          <w:rFonts w:ascii="宋体" w:hAnsi="宋体" w:eastAsia="宋体" w:cs="宋体"/>
          <w:spacing w:val="4"/>
          <w:sz w:val="20"/>
          <w:szCs w:val="20"/>
        </w:rPr>
        <w:t>由招标人在“名称</w:t>
      </w:r>
      <w:r>
        <w:rPr>
          <w:rFonts w:ascii="宋体" w:hAnsi="宋体" w:eastAsia="宋体" w:cs="宋体"/>
          <w:spacing w:val="-70"/>
          <w:sz w:val="20"/>
          <w:szCs w:val="20"/>
        </w:rPr>
        <w:t xml:space="preserve"> </w:t>
      </w:r>
      <w:r>
        <w:rPr>
          <w:rFonts w:ascii="宋体" w:hAnsi="宋体" w:eastAsia="宋体" w:cs="宋体"/>
          <w:spacing w:val="4"/>
          <w:sz w:val="20"/>
          <w:szCs w:val="20"/>
        </w:rPr>
        <w:t>”栏填写。</w:t>
      </w:r>
    </w:p>
    <w:p w14:paraId="648D944F">
      <w:pPr>
        <w:spacing w:before="1" w:line="252" w:lineRule="auto"/>
        <w:ind w:left="975" w:right="2" w:hanging="424"/>
        <w:rPr>
          <w:rFonts w:ascii="宋体" w:hAnsi="宋体" w:eastAsia="宋体" w:cs="宋体"/>
          <w:sz w:val="20"/>
          <w:szCs w:val="20"/>
        </w:rPr>
      </w:pPr>
      <w:r>
        <w:rPr>
          <w:rFonts w:ascii="Times New Roman" w:hAnsi="Times New Roman" w:eastAsia="Times New Roman" w:cs="Times New Roman"/>
          <w:spacing w:val="7"/>
          <w:sz w:val="20"/>
          <w:szCs w:val="20"/>
        </w:rPr>
        <w:t>2</w:t>
      </w:r>
      <w:r>
        <w:rPr>
          <w:rFonts w:ascii="Times New Roman" w:hAnsi="Times New Roman" w:eastAsia="Times New Roman" w:cs="Times New Roman"/>
          <w:spacing w:val="-8"/>
          <w:sz w:val="20"/>
          <w:szCs w:val="20"/>
        </w:rPr>
        <w:t xml:space="preserve"> </w:t>
      </w:r>
      <w:r>
        <w:rPr>
          <w:rFonts w:ascii="宋体" w:hAnsi="宋体" w:eastAsia="宋体" w:cs="宋体"/>
          <w:spacing w:val="7"/>
          <w:sz w:val="20"/>
          <w:szCs w:val="20"/>
        </w:rPr>
        <w:t>．“变值权重</w:t>
      </w:r>
      <w:r>
        <w:rPr>
          <w:rFonts w:ascii="宋体" w:hAnsi="宋体" w:eastAsia="宋体" w:cs="宋体"/>
          <w:spacing w:val="-70"/>
          <w:sz w:val="20"/>
          <w:szCs w:val="20"/>
        </w:rPr>
        <w:t xml:space="preserve"> </w:t>
      </w:r>
      <w:r>
        <w:rPr>
          <w:rFonts w:ascii="宋体" w:hAnsi="宋体" w:eastAsia="宋体" w:cs="宋体"/>
          <w:spacing w:val="7"/>
          <w:sz w:val="20"/>
          <w:szCs w:val="20"/>
        </w:rPr>
        <w:t>”栏由投标人根据该项人工、机械费和材料、工程设备价值在投标总报价中所</w:t>
      </w:r>
      <w:r>
        <w:rPr>
          <w:rFonts w:ascii="宋体" w:hAnsi="宋体" w:eastAsia="宋体" w:cs="宋体"/>
          <w:spacing w:val="8"/>
          <w:sz w:val="20"/>
          <w:szCs w:val="20"/>
        </w:rPr>
        <w:t>站比例填写，</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减去其比例为定值权重。</w:t>
      </w:r>
    </w:p>
    <w:p w14:paraId="5717C33D">
      <w:pPr>
        <w:spacing w:before="2" w:line="250" w:lineRule="auto"/>
        <w:ind w:left="977" w:right="2" w:hanging="422"/>
        <w:rPr>
          <w:rFonts w:ascii="宋体" w:hAnsi="宋体" w:eastAsia="宋体" w:cs="宋体"/>
          <w:sz w:val="20"/>
          <w:szCs w:val="20"/>
        </w:rPr>
      </w:pPr>
      <w:r>
        <w:rPr>
          <w:rFonts w:ascii="Times New Roman" w:hAnsi="Times New Roman" w:eastAsia="Times New Roman" w:cs="Times New Roman"/>
          <w:spacing w:val="5"/>
          <w:sz w:val="20"/>
          <w:szCs w:val="20"/>
        </w:rPr>
        <w:t>3</w:t>
      </w:r>
      <w:r>
        <w:rPr>
          <w:rFonts w:ascii="宋体" w:hAnsi="宋体" w:eastAsia="宋体" w:cs="宋体"/>
          <w:spacing w:val="5"/>
          <w:sz w:val="20"/>
          <w:szCs w:val="20"/>
        </w:rPr>
        <w:t>．“现行价格指数</w:t>
      </w:r>
      <w:r>
        <w:rPr>
          <w:rFonts w:ascii="宋体" w:hAnsi="宋体" w:eastAsia="宋体" w:cs="宋体"/>
          <w:spacing w:val="-69"/>
          <w:sz w:val="20"/>
          <w:szCs w:val="20"/>
        </w:rPr>
        <w:t xml:space="preserve"> </w:t>
      </w:r>
      <w:r>
        <w:rPr>
          <w:rFonts w:ascii="宋体" w:hAnsi="宋体" w:eastAsia="宋体" w:cs="宋体"/>
          <w:spacing w:val="5"/>
          <w:sz w:val="20"/>
          <w:szCs w:val="20"/>
        </w:rPr>
        <w:t>”按约定的付款证书相关周期最后一天的前</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 xml:space="preserve">42 </w:t>
      </w:r>
      <w:r>
        <w:rPr>
          <w:rFonts w:ascii="宋体" w:hAnsi="宋体" w:eastAsia="宋体" w:cs="宋体"/>
          <w:spacing w:val="5"/>
          <w:sz w:val="20"/>
          <w:szCs w:val="20"/>
        </w:rPr>
        <w:t>天的各项价格指数填写，该</w:t>
      </w:r>
      <w:r>
        <w:rPr>
          <w:rFonts w:ascii="宋体" w:hAnsi="宋体" w:eastAsia="宋体" w:cs="宋体"/>
          <w:spacing w:val="9"/>
          <w:sz w:val="20"/>
          <w:szCs w:val="20"/>
        </w:rPr>
        <w:t>指数应首先采用工程造价管理机构发布的价格指数，没有时，可用发布的价格代替。</w:t>
      </w:r>
    </w:p>
    <w:p w14:paraId="58F0053E">
      <w:pPr>
        <w:spacing w:line="250" w:lineRule="auto"/>
        <w:rPr>
          <w:rFonts w:ascii="宋体" w:hAnsi="宋体" w:eastAsia="宋体" w:cs="宋体"/>
          <w:sz w:val="20"/>
          <w:szCs w:val="20"/>
        </w:rPr>
        <w:sectPr>
          <w:footerReference r:id="rId472" w:type="default"/>
          <w:pgSz w:w="11907" w:h="16840"/>
          <w:pgMar w:top="400" w:right="1531" w:bottom="1247" w:left="1361" w:header="0" w:footer="1085" w:gutter="0"/>
          <w:cols w:space="720" w:num="1"/>
        </w:sectPr>
      </w:pPr>
    </w:p>
    <w:p w14:paraId="25B17139">
      <w:pPr>
        <w:spacing w:line="252" w:lineRule="auto"/>
        <w:rPr>
          <w:rFonts w:ascii="Arial"/>
          <w:sz w:val="21"/>
        </w:rPr>
      </w:pPr>
    </w:p>
    <w:p w14:paraId="7C7F5BE9">
      <w:pPr>
        <w:spacing w:line="253" w:lineRule="auto"/>
        <w:rPr>
          <w:rFonts w:ascii="Arial"/>
          <w:sz w:val="21"/>
        </w:rPr>
      </w:pPr>
    </w:p>
    <w:p w14:paraId="4EDE7D4D">
      <w:pPr>
        <w:spacing w:line="253" w:lineRule="auto"/>
        <w:rPr>
          <w:rFonts w:ascii="Arial"/>
          <w:sz w:val="21"/>
        </w:rPr>
      </w:pPr>
    </w:p>
    <w:p w14:paraId="67C77ABB">
      <w:pPr>
        <w:spacing w:line="253" w:lineRule="auto"/>
        <w:rPr>
          <w:rFonts w:ascii="Arial"/>
          <w:sz w:val="21"/>
        </w:rPr>
      </w:pPr>
    </w:p>
    <w:p w14:paraId="4EF1EEFB">
      <w:pPr>
        <w:spacing w:line="253" w:lineRule="auto"/>
        <w:rPr>
          <w:rFonts w:ascii="Arial"/>
          <w:sz w:val="21"/>
        </w:rPr>
      </w:pPr>
    </w:p>
    <w:p w14:paraId="764F3ED0">
      <w:pPr>
        <w:spacing w:line="253" w:lineRule="auto"/>
        <w:rPr>
          <w:rFonts w:ascii="Arial"/>
          <w:sz w:val="21"/>
        </w:rPr>
      </w:pPr>
    </w:p>
    <w:p w14:paraId="58CDD5A2">
      <w:pPr>
        <w:spacing w:line="253" w:lineRule="auto"/>
        <w:rPr>
          <w:rFonts w:ascii="Arial"/>
          <w:sz w:val="21"/>
        </w:rPr>
      </w:pPr>
    </w:p>
    <w:p w14:paraId="46D5D6CE">
      <w:pPr>
        <w:spacing w:line="253" w:lineRule="auto"/>
        <w:rPr>
          <w:rFonts w:ascii="Arial"/>
          <w:sz w:val="21"/>
        </w:rPr>
      </w:pPr>
    </w:p>
    <w:p w14:paraId="718BC322">
      <w:pPr>
        <w:spacing w:line="253" w:lineRule="auto"/>
        <w:rPr>
          <w:rFonts w:ascii="Arial"/>
          <w:sz w:val="21"/>
        </w:rPr>
      </w:pPr>
    </w:p>
    <w:p w14:paraId="3BE8B51E">
      <w:pPr>
        <w:spacing w:line="253" w:lineRule="auto"/>
        <w:rPr>
          <w:rFonts w:ascii="Arial"/>
          <w:sz w:val="21"/>
        </w:rPr>
      </w:pPr>
    </w:p>
    <w:p w14:paraId="1835BB54">
      <w:pPr>
        <w:spacing w:line="253" w:lineRule="auto"/>
        <w:rPr>
          <w:rFonts w:ascii="Arial"/>
          <w:sz w:val="21"/>
        </w:rPr>
      </w:pPr>
    </w:p>
    <w:p w14:paraId="3A93A65D">
      <w:pPr>
        <w:spacing w:line="253" w:lineRule="auto"/>
        <w:rPr>
          <w:rFonts w:ascii="Arial"/>
          <w:sz w:val="21"/>
        </w:rPr>
      </w:pPr>
    </w:p>
    <w:p w14:paraId="1BC39B18">
      <w:pPr>
        <w:spacing w:line="253" w:lineRule="auto"/>
        <w:rPr>
          <w:rFonts w:ascii="Arial"/>
          <w:sz w:val="21"/>
        </w:rPr>
      </w:pPr>
    </w:p>
    <w:p w14:paraId="4C9789C2">
      <w:pPr>
        <w:spacing w:line="253" w:lineRule="auto"/>
        <w:rPr>
          <w:rFonts w:ascii="Arial"/>
          <w:sz w:val="21"/>
        </w:rPr>
      </w:pPr>
    </w:p>
    <w:p w14:paraId="23BA52F3">
      <w:pPr>
        <w:spacing w:line="253" w:lineRule="auto"/>
        <w:rPr>
          <w:rFonts w:ascii="Arial"/>
          <w:sz w:val="21"/>
        </w:rPr>
      </w:pPr>
    </w:p>
    <w:p w14:paraId="39B7BB4E">
      <w:pPr>
        <w:spacing w:line="253" w:lineRule="auto"/>
        <w:rPr>
          <w:rFonts w:ascii="Arial"/>
          <w:sz w:val="21"/>
        </w:rPr>
      </w:pPr>
    </w:p>
    <w:p w14:paraId="16292C70">
      <w:pPr>
        <w:pStyle w:val="2"/>
        <w:spacing w:before="153" w:line="226" w:lineRule="auto"/>
        <w:ind w:left="3438"/>
        <w:outlineLvl w:val="0"/>
        <w:rPr>
          <w:sz w:val="47"/>
          <w:szCs w:val="47"/>
        </w:rPr>
      </w:pPr>
      <w:bookmarkStart w:id="378" w:name="bookmark360"/>
      <w:bookmarkEnd w:id="378"/>
      <w:r>
        <w:rPr>
          <w:spacing w:val="3"/>
          <w:sz w:val="47"/>
          <w:szCs w:val="47"/>
        </w:rPr>
        <w:t>第二卷</w:t>
      </w:r>
    </w:p>
    <w:p w14:paraId="35FB407E">
      <w:pPr>
        <w:spacing w:line="226" w:lineRule="auto"/>
        <w:rPr>
          <w:sz w:val="47"/>
          <w:szCs w:val="47"/>
        </w:rPr>
        <w:sectPr>
          <w:footerReference r:id="rId473" w:type="default"/>
          <w:pgSz w:w="11907" w:h="16840"/>
          <w:pgMar w:top="400" w:right="1786" w:bottom="1247" w:left="1786" w:header="0" w:footer="1085" w:gutter="0"/>
          <w:cols w:space="720" w:num="1"/>
        </w:sectPr>
      </w:pPr>
    </w:p>
    <w:p w14:paraId="0A282E23">
      <w:pPr>
        <w:spacing w:line="251" w:lineRule="auto"/>
        <w:rPr>
          <w:rFonts w:ascii="Arial"/>
          <w:sz w:val="21"/>
        </w:rPr>
      </w:pPr>
    </w:p>
    <w:p w14:paraId="1CA932EC">
      <w:pPr>
        <w:spacing w:line="251" w:lineRule="auto"/>
        <w:rPr>
          <w:rFonts w:ascii="Arial"/>
          <w:sz w:val="21"/>
        </w:rPr>
      </w:pPr>
    </w:p>
    <w:p w14:paraId="2A243853">
      <w:pPr>
        <w:spacing w:line="251" w:lineRule="auto"/>
        <w:rPr>
          <w:rFonts w:ascii="Arial"/>
          <w:sz w:val="21"/>
        </w:rPr>
      </w:pPr>
    </w:p>
    <w:p w14:paraId="006DB096">
      <w:pPr>
        <w:spacing w:line="251" w:lineRule="auto"/>
        <w:rPr>
          <w:rFonts w:ascii="Arial"/>
          <w:sz w:val="21"/>
        </w:rPr>
      </w:pPr>
    </w:p>
    <w:p w14:paraId="12F648D1">
      <w:pPr>
        <w:spacing w:line="252" w:lineRule="auto"/>
        <w:rPr>
          <w:rFonts w:ascii="Arial"/>
          <w:sz w:val="21"/>
        </w:rPr>
      </w:pPr>
    </w:p>
    <w:p w14:paraId="7A88E23D">
      <w:pPr>
        <w:spacing w:line="252" w:lineRule="auto"/>
        <w:rPr>
          <w:rFonts w:ascii="Arial"/>
          <w:sz w:val="21"/>
        </w:rPr>
      </w:pPr>
    </w:p>
    <w:p w14:paraId="754C6603">
      <w:pPr>
        <w:spacing w:line="252" w:lineRule="auto"/>
        <w:rPr>
          <w:rFonts w:ascii="Arial"/>
          <w:sz w:val="21"/>
        </w:rPr>
      </w:pPr>
    </w:p>
    <w:p w14:paraId="3A9043AF">
      <w:pPr>
        <w:spacing w:line="252" w:lineRule="auto"/>
        <w:rPr>
          <w:rFonts w:ascii="Arial"/>
          <w:sz w:val="21"/>
        </w:rPr>
      </w:pPr>
    </w:p>
    <w:p w14:paraId="3972CC94">
      <w:pPr>
        <w:spacing w:line="252" w:lineRule="auto"/>
        <w:rPr>
          <w:rFonts w:ascii="Arial"/>
          <w:sz w:val="21"/>
        </w:rPr>
      </w:pPr>
    </w:p>
    <w:p w14:paraId="04E92DE3">
      <w:pPr>
        <w:spacing w:line="252" w:lineRule="auto"/>
        <w:rPr>
          <w:rFonts w:ascii="Arial"/>
          <w:sz w:val="21"/>
        </w:rPr>
      </w:pPr>
    </w:p>
    <w:p w14:paraId="5023DD8F">
      <w:pPr>
        <w:spacing w:line="252" w:lineRule="auto"/>
        <w:rPr>
          <w:rFonts w:ascii="Arial"/>
          <w:sz w:val="21"/>
        </w:rPr>
      </w:pPr>
    </w:p>
    <w:p w14:paraId="5147AAC0">
      <w:pPr>
        <w:spacing w:line="252" w:lineRule="auto"/>
        <w:rPr>
          <w:rFonts w:ascii="Arial"/>
          <w:sz w:val="21"/>
        </w:rPr>
      </w:pPr>
    </w:p>
    <w:p w14:paraId="6437E150">
      <w:pPr>
        <w:spacing w:line="252" w:lineRule="auto"/>
        <w:rPr>
          <w:rFonts w:ascii="Arial"/>
          <w:sz w:val="21"/>
        </w:rPr>
      </w:pPr>
    </w:p>
    <w:p w14:paraId="4C7FD998">
      <w:pPr>
        <w:spacing w:line="252" w:lineRule="auto"/>
        <w:rPr>
          <w:rFonts w:ascii="Arial"/>
          <w:sz w:val="21"/>
        </w:rPr>
      </w:pPr>
    </w:p>
    <w:p w14:paraId="166DC16B">
      <w:pPr>
        <w:spacing w:line="252" w:lineRule="auto"/>
        <w:rPr>
          <w:rFonts w:ascii="Arial"/>
          <w:sz w:val="21"/>
        </w:rPr>
      </w:pPr>
    </w:p>
    <w:p w14:paraId="57B2140E">
      <w:pPr>
        <w:spacing w:line="252" w:lineRule="auto"/>
        <w:rPr>
          <w:rFonts w:ascii="Arial"/>
          <w:sz w:val="21"/>
        </w:rPr>
      </w:pPr>
    </w:p>
    <w:p w14:paraId="0EFFAC57">
      <w:pPr>
        <w:spacing w:line="252" w:lineRule="auto"/>
        <w:rPr>
          <w:rFonts w:ascii="Arial"/>
          <w:sz w:val="21"/>
        </w:rPr>
      </w:pPr>
    </w:p>
    <w:p w14:paraId="6C93BE85">
      <w:pPr>
        <w:pStyle w:val="2"/>
        <w:spacing w:before="101" w:line="227" w:lineRule="auto"/>
        <w:ind w:left="3031"/>
        <w:outlineLvl w:val="0"/>
        <w:rPr>
          <w:sz w:val="31"/>
          <w:szCs w:val="31"/>
        </w:rPr>
      </w:pPr>
      <w:bookmarkStart w:id="379" w:name="bookmark361"/>
      <w:bookmarkEnd w:id="379"/>
      <w:r>
        <w:rPr>
          <w:spacing w:val="-1"/>
          <w:sz w:val="31"/>
          <w:szCs w:val="31"/>
        </w:rPr>
        <w:t>第六章</w:t>
      </w:r>
      <w:r>
        <w:rPr>
          <w:spacing w:val="20"/>
          <w:sz w:val="31"/>
          <w:szCs w:val="31"/>
        </w:rPr>
        <w:t xml:space="preserve">  </w:t>
      </w:r>
      <w:r>
        <w:rPr>
          <w:spacing w:val="-1"/>
          <w:sz w:val="31"/>
          <w:szCs w:val="31"/>
        </w:rPr>
        <w:t>图</w:t>
      </w:r>
      <w:r>
        <w:rPr>
          <w:spacing w:val="14"/>
          <w:sz w:val="31"/>
          <w:szCs w:val="31"/>
        </w:rPr>
        <w:t xml:space="preserve">  </w:t>
      </w:r>
      <w:r>
        <w:rPr>
          <w:spacing w:val="-1"/>
          <w:sz w:val="31"/>
          <w:szCs w:val="31"/>
        </w:rPr>
        <w:t>纸</w:t>
      </w:r>
    </w:p>
    <w:p w14:paraId="2157BFF3">
      <w:pPr>
        <w:spacing w:line="227" w:lineRule="auto"/>
        <w:rPr>
          <w:sz w:val="31"/>
          <w:szCs w:val="31"/>
        </w:rPr>
        <w:sectPr>
          <w:footerReference r:id="rId474" w:type="default"/>
          <w:pgSz w:w="11907" w:h="16840"/>
          <w:pgMar w:top="400" w:right="1786" w:bottom="1247" w:left="1786" w:header="0" w:footer="1085" w:gutter="0"/>
          <w:cols w:space="720" w:num="1"/>
        </w:sectPr>
      </w:pPr>
    </w:p>
    <w:p w14:paraId="1D7A9F42">
      <w:pPr>
        <w:spacing w:line="285" w:lineRule="auto"/>
        <w:rPr>
          <w:rFonts w:ascii="Arial"/>
          <w:sz w:val="21"/>
        </w:rPr>
      </w:pPr>
    </w:p>
    <w:p w14:paraId="0D19F185">
      <w:pPr>
        <w:spacing w:line="286" w:lineRule="auto"/>
        <w:rPr>
          <w:rFonts w:ascii="Arial"/>
          <w:sz w:val="21"/>
        </w:rPr>
      </w:pPr>
    </w:p>
    <w:p w14:paraId="60AC5D48">
      <w:pPr>
        <w:spacing w:line="286" w:lineRule="auto"/>
        <w:rPr>
          <w:rFonts w:ascii="Arial"/>
          <w:sz w:val="21"/>
        </w:rPr>
      </w:pPr>
    </w:p>
    <w:p w14:paraId="4F85190B">
      <w:pPr>
        <w:spacing w:line="286" w:lineRule="auto"/>
        <w:rPr>
          <w:rFonts w:ascii="Arial"/>
          <w:sz w:val="21"/>
        </w:rPr>
      </w:pPr>
    </w:p>
    <w:p w14:paraId="21BA3693">
      <w:pPr>
        <w:spacing w:line="286" w:lineRule="auto"/>
        <w:rPr>
          <w:rFonts w:ascii="Arial"/>
          <w:sz w:val="21"/>
        </w:rPr>
      </w:pPr>
    </w:p>
    <w:p w14:paraId="6FD5DE1B">
      <w:pPr>
        <w:pStyle w:val="2"/>
        <w:spacing w:before="78" w:line="219" w:lineRule="auto"/>
        <w:ind w:left="140"/>
        <w:outlineLvl w:val="1"/>
        <w:rPr>
          <w:sz w:val="24"/>
          <w:szCs w:val="24"/>
        </w:rPr>
      </w:pPr>
      <w:bookmarkStart w:id="380" w:name="bookmark362"/>
      <w:bookmarkEnd w:id="380"/>
      <w:r>
        <w:rPr>
          <w:rFonts w:ascii="Times New Roman" w:hAnsi="Times New Roman" w:eastAsia="Times New Roman" w:cs="Times New Roman"/>
          <w:spacing w:val="-5"/>
          <w:sz w:val="24"/>
          <w:szCs w:val="24"/>
        </w:rPr>
        <w:t>1.</w:t>
      </w:r>
      <w:r>
        <w:rPr>
          <w:spacing w:val="-5"/>
          <w:sz w:val="24"/>
          <w:szCs w:val="24"/>
        </w:rPr>
        <w:t>图纸目录</w:t>
      </w:r>
    </w:p>
    <w:tbl>
      <w:tblPr>
        <w:tblStyle w:val="5"/>
        <w:tblW w:w="87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57"/>
        <w:gridCol w:w="1452"/>
        <w:gridCol w:w="1452"/>
        <w:gridCol w:w="1452"/>
        <w:gridCol w:w="1453"/>
        <w:gridCol w:w="1458"/>
      </w:tblGrid>
      <w:tr w14:paraId="3AE847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457" w:type="dxa"/>
            <w:vAlign w:val="top"/>
          </w:tcPr>
          <w:p w14:paraId="12087CA4">
            <w:pPr>
              <w:pStyle w:val="6"/>
              <w:spacing w:before="125" w:line="229" w:lineRule="auto"/>
              <w:ind w:left="522"/>
            </w:pPr>
            <w:r>
              <w:rPr>
                <w:spacing w:val="5"/>
              </w:rPr>
              <w:t>序号</w:t>
            </w:r>
          </w:p>
        </w:tc>
        <w:tc>
          <w:tcPr>
            <w:tcW w:w="1452" w:type="dxa"/>
            <w:vAlign w:val="top"/>
          </w:tcPr>
          <w:p w14:paraId="05DBC3D4">
            <w:pPr>
              <w:pStyle w:val="6"/>
              <w:spacing w:before="125" w:line="229" w:lineRule="auto"/>
              <w:ind w:left="541"/>
            </w:pPr>
            <w:r>
              <w:rPr>
                <w:spacing w:val="-6"/>
              </w:rPr>
              <w:t>图名</w:t>
            </w:r>
          </w:p>
        </w:tc>
        <w:tc>
          <w:tcPr>
            <w:tcW w:w="1452" w:type="dxa"/>
            <w:vAlign w:val="top"/>
          </w:tcPr>
          <w:p w14:paraId="22F4CFA0">
            <w:pPr>
              <w:pStyle w:val="6"/>
              <w:spacing w:before="125" w:line="229" w:lineRule="auto"/>
              <w:ind w:left="541"/>
            </w:pPr>
            <w:r>
              <w:rPr>
                <w:spacing w:val="-6"/>
              </w:rPr>
              <w:t>图号</w:t>
            </w:r>
          </w:p>
        </w:tc>
        <w:tc>
          <w:tcPr>
            <w:tcW w:w="1452" w:type="dxa"/>
            <w:vAlign w:val="top"/>
          </w:tcPr>
          <w:p w14:paraId="40CCDB79">
            <w:pPr>
              <w:pStyle w:val="6"/>
              <w:spacing w:before="125" w:line="227" w:lineRule="auto"/>
              <w:ind w:left="521"/>
            </w:pPr>
            <w:r>
              <w:rPr>
                <w:spacing w:val="4"/>
              </w:rPr>
              <w:t>版本</w:t>
            </w:r>
          </w:p>
        </w:tc>
        <w:tc>
          <w:tcPr>
            <w:tcW w:w="1453" w:type="dxa"/>
            <w:vAlign w:val="top"/>
          </w:tcPr>
          <w:p w14:paraId="6BE65566">
            <w:pPr>
              <w:pStyle w:val="6"/>
              <w:spacing w:before="126" w:line="228" w:lineRule="auto"/>
              <w:ind w:left="332"/>
            </w:pPr>
            <w:r>
              <w:rPr>
                <w:spacing w:val="2"/>
              </w:rPr>
              <w:t>出图日期</w:t>
            </w:r>
          </w:p>
        </w:tc>
        <w:tc>
          <w:tcPr>
            <w:tcW w:w="1458" w:type="dxa"/>
            <w:vAlign w:val="top"/>
          </w:tcPr>
          <w:p w14:paraId="0B67719B">
            <w:pPr>
              <w:pStyle w:val="6"/>
              <w:spacing w:before="125" w:line="229" w:lineRule="auto"/>
              <w:ind w:left="527"/>
            </w:pPr>
            <w:r>
              <w:rPr>
                <w:spacing w:val="3"/>
              </w:rPr>
              <w:t>备注</w:t>
            </w:r>
          </w:p>
        </w:tc>
      </w:tr>
      <w:tr w14:paraId="7667D6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45AF7E35">
            <w:pPr>
              <w:rPr>
                <w:rFonts w:ascii="Arial"/>
                <w:sz w:val="21"/>
              </w:rPr>
            </w:pPr>
          </w:p>
        </w:tc>
        <w:tc>
          <w:tcPr>
            <w:tcW w:w="1452" w:type="dxa"/>
            <w:vAlign w:val="top"/>
          </w:tcPr>
          <w:p w14:paraId="7E630232">
            <w:pPr>
              <w:rPr>
                <w:rFonts w:ascii="Arial"/>
                <w:sz w:val="21"/>
              </w:rPr>
            </w:pPr>
          </w:p>
        </w:tc>
        <w:tc>
          <w:tcPr>
            <w:tcW w:w="1452" w:type="dxa"/>
            <w:vAlign w:val="top"/>
          </w:tcPr>
          <w:p w14:paraId="4BE9D2D7">
            <w:pPr>
              <w:rPr>
                <w:rFonts w:ascii="Arial"/>
                <w:sz w:val="21"/>
              </w:rPr>
            </w:pPr>
          </w:p>
        </w:tc>
        <w:tc>
          <w:tcPr>
            <w:tcW w:w="1452" w:type="dxa"/>
            <w:vAlign w:val="top"/>
          </w:tcPr>
          <w:p w14:paraId="4CCF6F9B">
            <w:pPr>
              <w:rPr>
                <w:rFonts w:ascii="Arial"/>
                <w:sz w:val="21"/>
              </w:rPr>
            </w:pPr>
          </w:p>
        </w:tc>
        <w:tc>
          <w:tcPr>
            <w:tcW w:w="1453" w:type="dxa"/>
            <w:vAlign w:val="top"/>
          </w:tcPr>
          <w:p w14:paraId="750F3E98">
            <w:pPr>
              <w:rPr>
                <w:rFonts w:ascii="Arial"/>
                <w:sz w:val="21"/>
              </w:rPr>
            </w:pPr>
          </w:p>
        </w:tc>
        <w:tc>
          <w:tcPr>
            <w:tcW w:w="1458" w:type="dxa"/>
            <w:vAlign w:val="top"/>
          </w:tcPr>
          <w:p w14:paraId="4EF5F66C">
            <w:pPr>
              <w:rPr>
                <w:rFonts w:ascii="Arial"/>
                <w:sz w:val="21"/>
              </w:rPr>
            </w:pPr>
          </w:p>
        </w:tc>
      </w:tr>
      <w:tr w14:paraId="791518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764EBDDC">
            <w:pPr>
              <w:rPr>
                <w:rFonts w:ascii="Arial"/>
                <w:sz w:val="21"/>
              </w:rPr>
            </w:pPr>
          </w:p>
        </w:tc>
        <w:tc>
          <w:tcPr>
            <w:tcW w:w="1452" w:type="dxa"/>
            <w:vAlign w:val="top"/>
          </w:tcPr>
          <w:p w14:paraId="7C0224B1">
            <w:pPr>
              <w:rPr>
                <w:rFonts w:ascii="Arial"/>
                <w:sz w:val="21"/>
              </w:rPr>
            </w:pPr>
          </w:p>
        </w:tc>
        <w:tc>
          <w:tcPr>
            <w:tcW w:w="1452" w:type="dxa"/>
            <w:vAlign w:val="top"/>
          </w:tcPr>
          <w:p w14:paraId="6D14E97C">
            <w:pPr>
              <w:rPr>
                <w:rFonts w:ascii="Arial"/>
                <w:sz w:val="21"/>
              </w:rPr>
            </w:pPr>
          </w:p>
        </w:tc>
        <w:tc>
          <w:tcPr>
            <w:tcW w:w="1452" w:type="dxa"/>
            <w:vAlign w:val="top"/>
          </w:tcPr>
          <w:p w14:paraId="1129B9F4">
            <w:pPr>
              <w:rPr>
                <w:rFonts w:ascii="Arial"/>
                <w:sz w:val="21"/>
              </w:rPr>
            </w:pPr>
          </w:p>
        </w:tc>
        <w:tc>
          <w:tcPr>
            <w:tcW w:w="1453" w:type="dxa"/>
            <w:vAlign w:val="top"/>
          </w:tcPr>
          <w:p w14:paraId="6B8B1121">
            <w:pPr>
              <w:rPr>
                <w:rFonts w:ascii="Arial"/>
                <w:sz w:val="21"/>
              </w:rPr>
            </w:pPr>
          </w:p>
        </w:tc>
        <w:tc>
          <w:tcPr>
            <w:tcW w:w="1458" w:type="dxa"/>
            <w:vAlign w:val="top"/>
          </w:tcPr>
          <w:p w14:paraId="66CD84C4">
            <w:pPr>
              <w:rPr>
                <w:rFonts w:ascii="Arial"/>
                <w:sz w:val="21"/>
              </w:rPr>
            </w:pPr>
          </w:p>
        </w:tc>
      </w:tr>
      <w:tr w14:paraId="21267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457" w:type="dxa"/>
            <w:vAlign w:val="top"/>
          </w:tcPr>
          <w:p w14:paraId="356353EA">
            <w:pPr>
              <w:rPr>
                <w:rFonts w:ascii="Arial"/>
                <w:sz w:val="21"/>
              </w:rPr>
            </w:pPr>
          </w:p>
        </w:tc>
        <w:tc>
          <w:tcPr>
            <w:tcW w:w="1452" w:type="dxa"/>
            <w:vAlign w:val="top"/>
          </w:tcPr>
          <w:p w14:paraId="1AC998DF">
            <w:pPr>
              <w:rPr>
                <w:rFonts w:ascii="Arial"/>
                <w:sz w:val="21"/>
              </w:rPr>
            </w:pPr>
          </w:p>
        </w:tc>
        <w:tc>
          <w:tcPr>
            <w:tcW w:w="1452" w:type="dxa"/>
            <w:vAlign w:val="top"/>
          </w:tcPr>
          <w:p w14:paraId="5F0DA6C4">
            <w:pPr>
              <w:rPr>
                <w:rFonts w:ascii="Arial"/>
                <w:sz w:val="21"/>
              </w:rPr>
            </w:pPr>
          </w:p>
        </w:tc>
        <w:tc>
          <w:tcPr>
            <w:tcW w:w="1452" w:type="dxa"/>
            <w:vAlign w:val="top"/>
          </w:tcPr>
          <w:p w14:paraId="45AA22EE">
            <w:pPr>
              <w:rPr>
                <w:rFonts w:ascii="Arial"/>
                <w:sz w:val="21"/>
              </w:rPr>
            </w:pPr>
          </w:p>
        </w:tc>
        <w:tc>
          <w:tcPr>
            <w:tcW w:w="1453" w:type="dxa"/>
            <w:vAlign w:val="top"/>
          </w:tcPr>
          <w:p w14:paraId="32BB18A0">
            <w:pPr>
              <w:rPr>
                <w:rFonts w:ascii="Arial"/>
                <w:sz w:val="21"/>
              </w:rPr>
            </w:pPr>
          </w:p>
        </w:tc>
        <w:tc>
          <w:tcPr>
            <w:tcW w:w="1458" w:type="dxa"/>
            <w:vAlign w:val="top"/>
          </w:tcPr>
          <w:p w14:paraId="79771502">
            <w:pPr>
              <w:rPr>
                <w:rFonts w:ascii="Arial"/>
                <w:sz w:val="21"/>
              </w:rPr>
            </w:pPr>
          </w:p>
        </w:tc>
      </w:tr>
      <w:tr w14:paraId="0DD9EE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02BE1A63">
            <w:pPr>
              <w:rPr>
                <w:rFonts w:ascii="Arial"/>
                <w:sz w:val="21"/>
              </w:rPr>
            </w:pPr>
          </w:p>
        </w:tc>
        <w:tc>
          <w:tcPr>
            <w:tcW w:w="1452" w:type="dxa"/>
            <w:vAlign w:val="top"/>
          </w:tcPr>
          <w:p w14:paraId="3394ABEE">
            <w:pPr>
              <w:rPr>
                <w:rFonts w:ascii="Arial"/>
                <w:sz w:val="21"/>
              </w:rPr>
            </w:pPr>
          </w:p>
        </w:tc>
        <w:tc>
          <w:tcPr>
            <w:tcW w:w="1452" w:type="dxa"/>
            <w:vAlign w:val="top"/>
          </w:tcPr>
          <w:p w14:paraId="4711687C">
            <w:pPr>
              <w:rPr>
                <w:rFonts w:ascii="Arial"/>
                <w:sz w:val="21"/>
              </w:rPr>
            </w:pPr>
          </w:p>
        </w:tc>
        <w:tc>
          <w:tcPr>
            <w:tcW w:w="1452" w:type="dxa"/>
            <w:vAlign w:val="top"/>
          </w:tcPr>
          <w:p w14:paraId="32E1FEDE">
            <w:pPr>
              <w:rPr>
                <w:rFonts w:ascii="Arial"/>
                <w:sz w:val="21"/>
              </w:rPr>
            </w:pPr>
          </w:p>
        </w:tc>
        <w:tc>
          <w:tcPr>
            <w:tcW w:w="1453" w:type="dxa"/>
            <w:vAlign w:val="top"/>
          </w:tcPr>
          <w:p w14:paraId="679606FB">
            <w:pPr>
              <w:rPr>
                <w:rFonts w:ascii="Arial"/>
                <w:sz w:val="21"/>
              </w:rPr>
            </w:pPr>
          </w:p>
        </w:tc>
        <w:tc>
          <w:tcPr>
            <w:tcW w:w="1458" w:type="dxa"/>
            <w:vAlign w:val="top"/>
          </w:tcPr>
          <w:p w14:paraId="385B5ADB">
            <w:pPr>
              <w:rPr>
                <w:rFonts w:ascii="Arial"/>
                <w:sz w:val="21"/>
              </w:rPr>
            </w:pPr>
          </w:p>
        </w:tc>
      </w:tr>
      <w:tr w14:paraId="27B4D0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457" w:type="dxa"/>
            <w:vAlign w:val="top"/>
          </w:tcPr>
          <w:p w14:paraId="455EB86F">
            <w:pPr>
              <w:rPr>
                <w:rFonts w:ascii="Arial"/>
                <w:sz w:val="21"/>
              </w:rPr>
            </w:pPr>
          </w:p>
        </w:tc>
        <w:tc>
          <w:tcPr>
            <w:tcW w:w="1452" w:type="dxa"/>
            <w:vAlign w:val="top"/>
          </w:tcPr>
          <w:p w14:paraId="2A6EDAAF">
            <w:pPr>
              <w:rPr>
                <w:rFonts w:ascii="Arial"/>
                <w:sz w:val="21"/>
              </w:rPr>
            </w:pPr>
          </w:p>
        </w:tc>
        <w:tc>
          <w:tcPr>
            <w:tcW w:w="1452" w:type="dxa"/>
            <w:vAlign w:val="top"/>
          </w:tcPr>
          <w:p w14:paraId="32D329BD">
            <w:pPr>
              <w:rPr>
                <w:rFonts w:ascii="Arial"/>
                <w:sz w:val="21"/>
              </w:rPr>
            </w:pPr>
          </w:p>
        </w:tc>
        <w:tc>
          <w:tcPr>
            <w:tcW w:w="1452" w:type="dxa"/>
            <w:vAlign w:val="top"/>
          </w:tcPr>
          <w:p w14:paraId="4F96CA00">
            <w:pPr>
              <w:rPr>
                <w:rFonts w:ascii="Arial"/>
                <w:sz w:val="21"/>
              </w:rPr>
            </w:pPr>
          </w:p>
        </w:tc>
        <w:tc>
          <w:tcPr>
            <w:tcW w:w="1453" w:type="dxa"/>
            <w:vAlign w:val="top"/>
          </w:tcPr>
          <w:p w14:paraId="298112EF">
            <w:pPr>
              <w:rPr>
                <w:rFonts w:ascii="Arial"/>
                <w:sz w:val="21"/>
              </w:rPr>
            </w:pPr>
          </w:p>
        </w:tc>
        <w:tc>
          <w:tcPr>
            <w:tcW w:w="1458" w:type="dxa"/>
            <w:vAlign w:val="top"/>
          </w:tcPr>
          <w:p w14:paraId="0DEBFBE4">
            <w:pPr>
              <w:rPr>
                <w:rFonts w:ascii="Arial"/>
                <w:sz w:val="21"/>
              </w:rPr>
            </w:pPr>
          </w:p>
        </w:tc>
      </w:tr>
      <w:tr w14:paraId="01E64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3EE7DC9F">
            <w:pPr>
              <w:rPr>
                <w:rFonts w:ascii="Arial"/>
                <w:sz w:val="21"/>
              </w:rPr>
            </w:pPr>
          </w:p>
        </w:tc>
        <w:tc>
          <w:tcPr>
            <w:tcW w:w="1452" w:type="dxa"/>
            <w:vAlign w:val="top"/>
          </w:tcPr>
          <w:p w14:paraId="7E83830C">
            <w:pPr>
              <w:rPr>
                <w:rFonts w:ascii="Arial"/>
                <w:sz w:val="21"/>
              </w:rPr>
            </w:pPr>
          </w:p>
        </w:tc>
        <w:tc>
          <w:tcPr>
            <w:tcW w:w="1452" w:type="dxa"/>
            <w:vAlign w:val="top"/>
          </w:tcPr>
          <w:p w14:paraId="75F6AA7D">
            <w:pPr>
              <w:rPr>
                <w:rFonts w:ascii="Arial"/>
                <w:sz w:val="21"/>
              </w:rPr>
            </w:pPr>
          </w:p>
        </w:tc>
        <w:tc>
          <w:tcPr>
            <w:tcW w:w="1452" w:type="dxa"/>
            <w:vAlign w:val="top"/>
          </w:tcPr>
          <w:p w14:paraId="3BFC326F">
            <w:pPr>
              <w:rPr>
                <w:rFonts w:ascii="Arial"/>
                <w:sz w:val="21"/>
              </w:rPr>
            </w:pPr>
          </w:p>
        </w:tc>
        <w:tc>
          <w:tcPr>
            <w:tcW w:w="1453" w:type="dxa"/>
            <w:vAlign w:val="top"/>
          </w:tcPr>
          <w:p w14:paraId="2FE756F0">
            <w:pPr>
              <w:rPr>
                <w:rFonts w:ascii="Arial"/>
                <w:sz w:val="21"/>
              </w:rPr>
            </w:pPr>
          </w:p>
        </w:tc>
        <w:tc>
          <w:tcPr>
            <w:tcW w:w="1458" w:type="dxa"/>
            <w:vAlign w:val="top"/>
          </w:tcPr>
          <w:p w14:paraId="5AD20DB7">
            <w:pPr>
              <w:rPr>
                <w:rFonts w:ascii="Arial"/>
                <w:sz w:val="21"/>
              </w:rPr>
            </w:pPr>
          </w:p>
        </w:tc>
      </w:tr>
      <w:tr w14:paraId="284AC1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19CD2A2B">
            <w:pPr>
              <w:rPr>
                <w:rFonts w:ascii="Arial"/>
                <w:sz w:val="21"/>
              </w:rPr>
            </w:pPr>
          </w:p>
        </w:tc>
        <w:tc>
          <w:tcPr>
            <w:tcW w:w="1452" w:type="dxa"/>
            <w:vAlign w:val="top"/>
          </w:tcPr>
          <w:p w14:paraId="056EDC3C">
            <w:pPr>
              <w:rPr>
                <w:rFonts w:ascii="Arial"/>
                <w:sz w:val="21"/>
              </w:rPr>
            </w:pPr>
          </w:p>
        </w:tc>
        <w:tc>
          <w:tcPr>
            <w:tcW w:w="1452" w:type="dxa"/>
            <w:vAlign w:val="top"/>
          </w:tcPr>
          <w:p w14:paraId="6E8AB49A">
            <w:pPr>
              <w:rPr>
                <w:rFonts w:ascii="Arial"/>
                <w:sz w:val="21"/>
              </w:rPr>
            </w:pPr>
          </w:p>
        </w:tc>
        <w:tc>
          <w:tcPr>
            <w:tcW w:w="1452" w:type="dxa"/>
            <w:vAlign w:val="top"/>
          </w:tcPr>
          <w:p w14:paraId="641017C2">
            <w:pPr>
              <w:rPr>
                <w:rFonts w:ascii="Arial"/>
                <w:sz w:val="21"/>
              </w:rPr>
            </w:pPr>
          </w:p>
        </w:tc>
        <w:tc>
          <w:tcPr>
            <w:tcW w:w="1453" w:type="dxa"/>
            <w:vAlign w:val="top"/>
          </w:tcPr>
          <w:p w14:paraId="6640C65D">
            <w:pPr>
              <w:rPr>
                <w:rFonts w:ascii="Arial"/>
                <w:sz w:val="21"/>
              </w:rPr>
            </w:pPr>
          </w:p>
        </w:tc>
        <w:tc>
          <w:tcPr>
            <w:tcW w:w="1458" w:type="dxa"/>
            <w:vAlign w:val="top"/>
          </w:tcPr>
          <w:p w14:paraId="4C76D581">
            <w:pPr>
              <w:rPr>
                <w:rFonts w:ascii="Arial"/>
                <w:sz w:val="21"/>
              </w:rPr>
            </w:pPr>
          </w:p>
        </w:tc>
      </w:tr>
      <w:tr w14:paraId="7DF09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457" w:type="dxa"/>
            <w:vAlign w:val="top"/>
          </w:tcPr>
          <w:p w14:paraId="7CC1ED23">
            <w:pPr>
              <w:rPr>
                <w:rFonts w:ascii="Arial"/>
                <w:sz w:val="21"/>
              </w:rPr>
            </w:pPr>
          </w:p>
        </w:tc>
        <w:tc>
          <w:tcPr>
            <w:tcW w:w="1452" w:type="dxa"/>
            <w:vAlign w:val="top"/>
          </w:tcPr>
          <w:p w14:paraId="2204A124">
            <w:pPr>
              <w:rPr>
                <w:rFonts w:ascii="Arial"/>
                <w:sz w:val="21"/>
              </w:rPr>
            </w:pPr>
          </w:p>
        </w:tc>
        <w:tc>
          <w:tcPr>
            <w:tcW w:w="1452" w:type="dxa"/>
            <w:vAlign w:val="top"/>
          </w:tcPr>
          <w:p w14:paraId="63465AE6">
            <w:pPr>
              <w:rPr>
                <w:rFonts w:ascii="Arial"/>
                <w:sz w:val="21"/>
              </w:rPr>
            </w:pPr>
          </w:p>
        </w:tc>
        <w:tc>
          <w:tcPr>
            <w:tcW w:w="1452" w:type="dxa"/>
            <w:vAlign w:val="top"/>
          </w:tcPr>
          <w:p w14:paraId="524B71D3">
            <w:pPr>
              <w:rPr>
                <w:rFonts w:ascii="Arial"/>
                <w:sz w:val="21"/>
              </w:rPr>
            </w:pPr>
          </w:p>
        </w:tc>
        <w:tc>
          <w:tcPr>
            <w:tcW w:w="1453" w:type="dxa"/>
            <w:vAlign w:val="top"/>
          </w:tcPr>
          <w:p w14:paraId="17D8F4A1">
            <w:pPr>
              <w:rPr>
                <w:rFonts w:ascii="Arial"/>
                <w:sz w:val="21"/>
              </w:rPr>
            </w:pPr>
          </w:p>
        </w:tc>
        <w:tc>
          <w:tcPr>
            <w:tcW w:w="1458" w:type="dxa"/>
            <w:vAlign w:val="top"/>
          </w:tcPr>
          <w:p w14:paraId="0DF85DAC">
            <w:pPr>
              <w:rPr>
                <w:rFonts w:ascii="Arial"/>
                <w:sz w:val="21"/>
              </w:rPr>
            </w:pPr>
          </w:p>
        </w:tc>
      </w:tr>
      <w:tr w14:paraId="17C09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570531FE">
            <w:pPr>
              <w:rPr>
                <w:rFonts w:ascii="Arial"/>
                <w:sz w:val="21"/>
              </w:rPr>
            </w:pPr>
          </w:p>
        </w:tc>
        <w:tc>
          <w:tcPr>
            <w:tcW w:w="1452" w:type="dxa"/>
            <w:vAlign w:val="top"/>
          </w:tcPr>
          <w:p w14:paraId="4CD07A39">
            <w:pPr>
              <w:rPr>
                <w:rFonts w:ascii="Arial"/>
                <w:sz w:val="21"/>
              </w:rPr>
            </w:pPr>
          </w:p>
        </w:tc>
        <w:tc>
          <w:tcPr>
            <w:tcW w:w="1452" w:type="dxa"/>
            <w:vAlign w:val="top"/>
          </w:tcPr>
          <w:p w14:paraId="5DD29626">
            <w:pPr>
              <w:rPr>
                <w:rFonts w:ascii="Arial"/>
                <w:sz w:val="21"/>
              </w:rPr>
            </w:pPr>
          </w:p>
        </w:tc>
        <w:tc>
          <w:tcPr>
            <w:tcW w:w="1452" w:type="dxa"/>
            <w:vAlign w:val="top"/>
          </w:tcPr>
          <w:p w14:paraId="384F143B">
            <w:pPr>
              <w:rPr>
                <w:rFonts w:ascii="Arial"/>
                <w:sz w:val="21"/>
              </w:rPr>
            </w:pPr>
          </w:p>
        </w:tc>
        <w:tc>
          <w:tcPr>
            <w:tcW w:w="1453" w:type="dxa"/>
            <w:vAlign w:val="top"/>
          </w:tcPr>
          <w:p w14:paraId="59BAF528">
            <w:pPr>
              <w:rPr>
                <w:rFonts w:ascii="Arial"/>
                <w:sz w:val="21"/>
              </w:rPr>
            </w:pPr>
          </w:p>
        </w:tc>
        <w:tc>
          <w:tcPr>
            <w:tcW w:w="1458" w:type="dxa"/>
            <w:vAlign w:val="top"/>
          </w:tcPr>
          <w:p w14:paraId="042C0712">
            <w:pPr>
              <w:rPr>
                <w:rFonts w:ascii="Arial"/>
                <w:sz w:val="21"/>
              </w:rPr>
            </w:pPr>
          </w:p>
        </w:tc>
      </w:tr>
      <w:tr w14:paraId="7DF727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0B102D65">
            <w:pPr>
              <w:rPr>
                <w:rFonts w:ascii="Arial"/>
                <w:sz w:val="21"/>
              </w:rPr>
            </w:pPr>
          </w:p>
        </w:tc>
        <w:tc>
          <w:tcPr>
            <w:tcW w:w="1452" w:type="dxa"/>
            <w:vAlign w:val="top"/>
          </w:tcPr>
          <w:p w14:paraId="2833855E">
            <w:pPr>
              <w:rPr>
                <w:rFonts w:ascii="Arial"/>
                <w:sz w:val="21"/>
              </w:rPr>
            </w:pPr>
          </w:p>
        </w:tc>
        <w:tc>
          <w:tcPr>
            <w:tcW w:w="1452" w:type="dxa"/>
            <w:vAlign w:val="top"/>
          </w:tcPr>
          <w:p w14:paraId="6D75F560">
            <w:pPr>
              <w:rPr>
                <w:rFonts w:ascii="Arial"/>
                <w:sz w:val="21"/>
              </w:rPr>
            </w:pPr>
          </w:p>
        </w:tc>
        <w:tc>
          <w:tcPr>
            <w:tcW w:w="1452" w:type="dxa"/>
            <w:vAlign w:val="top"/>
          </w:tcPr>
          <w:p w14:paraId="27A4675A">
            <w:pPr>
              <w:rPr>
                <w:rFonts w:ascii="Arial"/>
                <w:sz w:val="21"/>
              </w:rPr>
            </w:pPr>
          </w:p>
        </w:tc>
        <w:tc>
          <w:tcPr>
            <w:tcW w:w="1453" w:type="dxa"/>
            <w:vAlign w:val="top"/>
          </w:tcPr>
          <w:p w14:paraId="1CF20091">
            <w:pPr>
              <w:rPr>
                <w:rFonts w:ascii="Arial"/>
                <w:sz w:val="21"/>
              </w:rPr>
            </w:pPr>
          </w:p>
        </w:tc>
        <w:tc>
          <w:tcPr>
            <w:tcW w:w="1458" w:type="dxa"/>
            <w:vAlign w:val="top"/>
          </w:tcPr>
          <w:p w14:paraId="1CAF33A0">
            <w:pPr>
              <w:rPr>
                <w:rFonts w:ascii="Arial"/>
                <w:sz w:val="21"/>
              </w:rPr>
            </w:pPr>
          </w:p>
        </w:tc>
      </w:tr>
      <w:tr w14:paraId="3A95DC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48BC68DA">
            <w:pPr>
              <w:rPr>
                <w:rFonts w:ascii="Arial"/>
                <w:sz w:val="21"/>
              </w:rPr>
            </w:pPr>
          </w:p>
        </w:tc>
        <w:tc>
          <w:tcPr>
            <w:tcW w:w="1452" w:type="dxa"/>
            <w:vAlign w:val="top"/>
          </w:tcPr>
          <w:p w14:paraId="10902BC5">
            <w:pPr>
              <w:rPr>
                <w:rFonts w:ascii="Arial"/>
                <w:sz w:val="21"/>
              </w:rPr>
            </w:pPr>
          </w:p>
        </w:tc>
        <w:tc>
          <w:tcPr>
            <w:tcW w:w="1452" w:type="dxa"/>
            <w:vAlign w:val="top"/>
          </w:tcPr>
          <w:p w14:paraId="137CD21A">
            <w:pPr>
              <w:rPr>
                <w:rFonts w:ascii="Arial"/>
                <w:sz w:val="21"/>
              </w:rPr>
            </w:pPr>
          </w:p>
        </w:tc>
        <w:tc>
          <w:tcPr>
            <w:tcW w:w="1452" w:type="dxa"/>
            <w:vAlign w:val="top"/>
          </w:tcPr>
          <w:p w14:paraId="0AF27D7A">
            <w:pPr>
              <w:rPr>
                <w:rFonts w:ascii="Arial"/>
                <w:sz w:val="21"/>
              </w:rPr>
            </w:pPr>
          </w:p>
        </w:tc>
        <w:tc>
          <w:tcPr>
            <w:tcW w:w="1453" w:type="dxa"/>
            <w:vAlign w:val="top"/>
          </w:tcPr>
          <w:p w14:paraId="62AB069B">
            <w:pPr>
              <w:rPr>
                <w:rFonts w:ascii="Arial"/>
                <w:sz w:val="21"/>
              </w:rPr>
            </w:pPr>
          </w:p>
        </w:tc>
        <w:tc>
          <w:tcPr>
            <w:tcW w:w="1458" w:type="dxa"/>
            <w:vAlign w:val="top"/>
          </w:tcPr>
          <w:p w14:paraId="113AE3D9">
            <w:pPr>
              <w:rPr>
                <w:rFonts w:ascii="Arial"/>
                <w:sz w:val="21"/>
              </w:rPr>
            </w:pPr>
          </w:p>
        </w:tc>
      </w:tr>
      <w:tr w14:paraId="49AE8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47F70B98">
            <w:pPr>
              <w:rPr>
                <w:rFonts w:ascii="Arial"/>
                <w:sz w:val="21"/>
              </w:rPr>
            </w:pPr>
          </w:p>
        </w:tc>
        <w:tc>
          <w:tcPr>
            <w:tcW w:w="1452" w:type="dxa"/>
            <w:vAlign w:val="top"/>
          </w:tcPr>
          <w:p w14:paraId="78A12A35">
            <w:pPr>
              <w:rPr>
                <w:rFonts w:ascii="Arial"/>
                <w:sz w:val="21"/>
              </w:rPr>
            </w:pPr>
          </w:p>
        </w:tc>
        <w:tc>
          <w:tcPr>
            <w:tcW w:w="1452" w:type="dxa"/>
            <w:vAlign w:val="top"/>
          </w:tcPr>
          <w:p w14:paraId="28F1DEC8">
            <w:pPr>
              <w:rPr>
                <w:rFonts w:ascii="Arial"/>
                <w:sz w:val="21"/>
              </w:rPr>
            </w:pPr>
          </w:p>
        </w:tc>
        <w:tc>
          <w:tcPr>
            <w:tcW w:w="1452" w:type="dxa"/>
            <w:vAlign w:val="top"/>
          </w:tcPr>
          <w:p w14:paraId="5977F100">
            <w:pPr>
              <w:rPr>
                <w:rFonts w:ascii="Arial"/>
                <w:sz w:val="21"/>
              </w:rPr>
            </w:pPr>
          </w:p>
        </w:tc>
        <w:tc>
          <w:tcPr>
            <w:tcW w:w="1453" w:type="dxa"/>
            <w:vAlign w:val="top"/>
          </w:tcPr>
          <w:p w14:paraId="37C5C6CA">
            <w:pPr>
              <w:rPr>
                <w:rFonts w:ascii="Arial"/>
                <w:sz w:val="21"/>
              </w:rPr>
            </w:pPr>
          </w:p>
        </w:tc>
        <w:tc>
          <w:tcPr>
            <w:tcW w:w="1458" w:type="dxa"/>
            <w:vAlign w:val="top"/>
          </w:tcPr>
          <w:p w14:paraId="12D2F699">
            <w:pPr>
              <w:rPr>
                <w:rFonts w:ascii="Arial"/>
                <w:sz w:val="21"/>
              </w:rPr>
            </w:pPr>
          </w:p>
        </w:tc>
      </w:tr>
      <w:tr w14:paraId="153CF8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66DC09AC">
            <w:pPr>
              <w:rPr>
                <w:rFonts w:ascii="Arial"/>
                <w:sz w:val="21"/>
              </w:rPr>
            </w:pPr>
          </w:p>
        </w:tc>
        <w:tc>
          <w:tcPr>
            <w:tcW w:w="1452" w:type="dxa"/>
            <w:vAlign w:val="top"/>
          </w:tcPr>
          <w:p w14:paraId="4DF403D6">
            <w:pPr>
              <w:rPr>
                <w:rFonts w:ascii="Arial"/>
                <w:sz w:val="21"/>
              </w:rPr>
            </w:pPr>
          </w:p>
        </w:tc>
        <w:tc>
          <w:tcPr>
            <w:tcW w:w="1452" w:type="dxa"/>
            <w:vAlign w:val="top"/>
          </w:tcPr>
          <w:p w14:paraId="2FA898FD">
            <w:pPr>
              <w:rPr>
                <w:rFonts w:ascii="Arial"/>
                <w:sz w:val="21"/>
              </w:rPr>
            </w:pPr>
          </w:p>
        </w:tc>
        <w:tc>
          <w:tcPr>
            <w:tcW w:w="1452" w:type="dxa"/>
            <w:vAlign w:val="top"/>
          </w:tcPr>
          <w:p w14:paraId="167D3FBF">
            <w:pPr>
              <w:rPr>
                <w:rFonts w:ascii="Arial"/>
                <w:sz w:val="21"/>
              </w:rPr>
            </w:pPr>
          </w:p>
        </w:tc>
        <w:tc>
          <w:tcPr>
            <w:tcW w:w="1453" w:type="dxa"/>
            <w:vAlign w:val="top"/>
          </w:tcPr>
          <w:p w14:paraId="7640C9AB">
            <w:pPr>
              <w:rPr>
                <w:rFonts w:ascii="Arial"/>
                <w:sz w:val="21"/>
              </w:rPr>
            </w:pPr>
          </w:p>
        </w:tc>
        <w:tc>
          <w:tcPr>
            <w:tcW w:w="1458" w:type="dxa"/>
            <w:vAlign w:val="top"/>
          </w:tcPr>
          <w:p w14:paraId="6B554BDB">
            <w:pPr>
              <w:rPr>
                <w:rFonts w:ascii="Arial"/>
                <w:sz w:val="21"/>
              </w:rPr>
            </w:pPr>
          </w:p>
        </w:tc>
      </w:tr>
      <w:tr w14:paraId="15C3CA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25AB6C60">
            <w:pPr>
              <w:rPr>
                <w:rFonts w:ascii="Arial"/>
                <w:sz w:val="21"/>
              </w:rPr>
            </w:pPr>
          </w:p>
        </w:tc>
        <w:tc>
          <w:tcPr>
            <w:tcW w:w="1452" w:type="dxa"/>
            <w:vAlign w:val="top"/>
          </w:tcPr>
          <w:p w14:paraId="2390D734">
            <w:pPr>
              <w:rPr>
                <w:rFonts w:ascii="Arial"/>
                <w:sz w:val="21"/>
              </w:rPr>
            </w:pPr>
          </w:p>
        </w:tc>
        <w:tc>
          <w:tcPr>
            <w:tcW w:w="1452" w:type="dxa"/>
            <w:vAlign w:val="top"/>
          </w:tcPr>
          <w:p w14:paraId="771DEAFA">
            <w:pPr>
              <w:rPr>
                <w:rFonts w:ascii="Arial"/>
                <w:sz w:val="21"/>
              </w:rPr>
            </w:pPr>
          </w:p>
        </w:tc>
        <w:tc>
          <w:tcPr>
            <w:tcW w:w="1452" w:type="dxa"/>
            <w:vAlign w:val="top"/>
          </w:tcPr>
          <w:p w14:paraId="1DAF3946">
            <w:pPr>
              <w:rPr>
                <w:rFonts w:ascii="Arial"/>
                <w:sz w:val="21"/>
              </w:rPr>
            </w:pPr>
          </w:p>
        </w:tc>
        <w:tc>
          <w:tcPr>
            <w:tcW w:w="1453" w:type="dxa"/>
            <w:vAlign w:val="top"/>
          </w:tcPr>
          <w:p w14:paraId="3A53175D">
            <w:pPr>
              <w:rPr>
                <w:rFonts w:ascii="Arial"/>
                <w:sz w:val="21"/>
              </w:rPr>
            </w:pPr>
          </w:p>
        </w:tc>
        <w:tc>
          <w:tcPr>
            <w:tcW w:w="1458" w:type="dxa"/>
            <w:vAlign w:val="top"/>
          </w:tcPr>
          <w:p w14:paraId="276462C5">
            <w:pPr>
              <w:rPr>
                <w:rFonts w:ascii="Arial"/>
                <w:sz w:val="21"/>
              </w:rPr>
            </w:pPr>
          </w:p>
        </w:tc>
      </w:tr>
      <w:tr w14:paraId="74076A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71A3540F">
            <w:pPr>
              <w:rPr>
                <w:rFonts w:ascii="Arial"/>
                <w:sz w:val="21"/>
              </w:rPr>
            </w:pPr>
          </w:p>
        </w:tc>
        <w:tc>
          <w:tcPr>
            <w:tcW w:w="1452" w:type="dxa"/>
            <w:vAlign w:val="top"/>
          </w:tcPr>
          <w:p w14:paraId="0AA7CBA4">
            <w:pPr>
              <w:rPr>
                <w:rFonts w:ascii="Arial"/>
                <w:sz w:val="21"/>
              </w:rPr>
            </w:pPr>
          </w:p>
        </w:tc>
        <w:tc>
          <w:tcPr>
            <w:tcW w:w="1452" w:type="dxa"/>
            <w:vAlign w:val="top"/>
          </w:tcPr>
          <w:p w14:paraId="5541F7FF">
            <w:pPr>
              <w:rPr>
                <w:rFonts w:ascii="Arial"/>
                <w:sz w:val="21"/>
              </w:rPr>
            </w:pPr>
          </w:p>
        </w:tc>
        <w:tc>
          <w:tcPr>
            <w:tcW w:w="1452" w:type="dxa"/>
            <w:vAlign w:val="top"/>
          </w:tcPr>
          <w:p w14:paraId="6DEFB962">
            <w:pPr>
              <w:rPr>
                <w:rFonts w:ascii="Arial"/>
                <w:sz w:val="21"/>
              </w:rPr>
            </w:pPr>
          </w:p>
        </w:tc>
        <w:tc>
          <w:tcPr>
            <w:tcW w:w="1453" w:type="dxa"/>
            <w:vAlign w:val="top"/>
          </w:tcPr>
          <w:p w14:paraId="5165599F">
            <w:pPr>
              <w:rPr>
                <w:rFonts w:ascii="Arial"/>
                <w:sz w:val="21"/>
              </w:rPr>
            </w:pPr>
          </w:p>
        </w:tc>
        <w:tc>
          <w:tcPr>
            <w:tcW w:w="1458" w:type="dxa"/>
            <w:vAlign w:val="top"/>
          </w:tcPr>
          <w:p w14:paraId="704D0BF5">
            <w:pPr>
              <w:rPr>
                <w:rFonts w:ascii="Arial"/>
                <w:sz w:val="21"/>
              </w:rPr>
            </w:pPr>
          </w:p>
        </w:tc>
      </w:tr>
      <w:tr w14:paraId="56905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18B605A0">
            <w:pPr>
              <w:rPr>
                <w:rFonts w:ascii="Arial"/>
                <w:sz w:val="21"/>
              </w:rPr>
            </w:pPr>
          </w:p>
        </w:tc>
        <w:tc>
          <w:tcPr>
            <w:tcW w:w="1452" w:type="dxa"/>
            <w:vAlign w:val="top"/>
          </w:tcPr>
          <w:p w14:paraId="53FE6F52">
            <w:pPr>
              <w:rPr>
                <w:rFonts w:ascii="Arial"/>
                <w:sz w:val="21"/>
              </w:rPr>
            </w:pPr>
          </w:p>
        </w:tc>
        <w:tc>
          <w:tcPr>
            <w:tcW w:w="1452" w:type="dxa"/>
            <w:vAlign w:val="top"/>
          </w:tcPr>
          <w:p w14:paraId="561EC67D">
            <w:pPr>
              <w:rPr>
                <w:rFonts w:ascii="Arial"/>
                <w:sz w:val="21"/>
              </w:rPr>
            </w:pPr>
          </w:p>
        </w:tc>
        <w:tc>
          <w:tcPr>
            <w:tcW w:w="1452" w:type="dxa"/>
            <w:vAlign w:val="top"/>
          </w:tcPr>
          <w:p w14:paraId="1299D0CE">
            <w:pPr>
              <w:rPr>
                <w:rFonts w:ascii="Arial"/>
                <w:sz w:val="21"/>
              </w:rPr>
            </w:pPr>
          </w:p>
        </w:tc>
        <w:tc>
          <w:tcPr>
            <w:tcW w:w="1453" w:type="dxa"/>
            <w:vAlign w:val="top"/>
          </w:tcPr>
          <w:p w14:paraId="3E1C1EB3">
            <w:pPr>
              <w:rPr>
                <w:rFonts w:ascii="Arial"/>
                <w:sz w:val="21"/>
              </w:rPr>
            </w:pPr>
          </w:p>
        </w:tc>
        <w:tc>
          <w:tcPr>
            <w:tcW w:w="1458" w:type="dxa"/>
            <w:vAlign w:val="top"/>
          </w:tcPr>
          <w:p w14:paraId="37CDF20B">
            <w:pPr>
              <w:rPr>
                <w:rFonts w:ascii="Arial"/>
                <w:sz w:val="21"/>
              </w:rPr>
            </w:pPr>
          </w:p>
        </w:tc>
      </w:tr>
      <w:tr w14:paraId="5E70C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19E0D922">
            <w:pPr>
              <w:rPr>
                <w:rFonts w:ascii="Arial"/>
                <w:sz w:val="21"/>
              </w:rPr>
            </w:pPr>
          </w:p>
        </w:tc>
        <w:tc>
          <w:tcPr>
            <w:tcW w:w="1452" w:type="dxa"/>
            <w:vAlign w:val="top"/>
          </w:tcPr>
          <w:p w14:paraId="764F0ABE">
            <w:pPr>
              <w:rPr>
                <w:rFonts w:ascii="Arial"/>
                <w:sz w:val="21"/>
              </w:rPr>
            </w:pPr>
          </w:p>
        </w:tc>
        <w:tc>
          <w:tcPr>
            <w:tcW w:w="1452" w:type="dxa"/>
            <w:vAlign w:val="top"/>
          </w:tcPr>
          <w:p w14:paraId="068972CF">
            <w:pPr>
              <w:rPr>
                <w:rFonts w:ascii="Arial"/>
                <w:sz w:val="21"/>
              </w:rPr>
            </w:pPr>
          </w:p>
        </w:tc>
        <w:tc>
          <w:tcPr>
            <w:tcW w:w="1452" w:type="dxa"/>
            <w:vAlign w:val="top"/>
          </w:tcPr>
          <w:p w14:paraId="3090C845">
            <w:pPr>
              <w:rPr>
                <w:rFonts w:ascii="Arial"/>
                <w:sz w:val="21"/>
              </w:rPr>
            </w:pPr>
          </w:p>
        </w:tc>
        <w:tc>
          <w:tcPr>
            <w:tcW w:w="1453" w:type="dxa"/>
            <w:vAlign w:val="top"/>
          </w:tcPr>
          <w:p w14:paraId="016DB9AA">
            <w:pPr>
              <w:rPr>
                <w:rFonts w:ascii="Arial"/>
                <w:sz w:val="21"/>
              </w:rPr>
            </w:pPr>
          </w:p>
        </w:tc>
        <w:tc>
          <w:tcPr>
            <w:tcW w:w="1458" w:type="dxa"/>
            <w:vAlign w:val="top"/>
          </w:tcPr>
          <w:p w14:paraId="4BC200AF">
            <w:pPr>
              <w:rPr>
                <w:rFonts w:ascii="Arial"/>
                <w:sz w:val="21"/>
              </w:rPr>
            </w:pPr>
          </w:p>
        </w:tc>
      </w:tr>
      <w:tr w14:paraId="7B3F54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3753B337">
            <w:pPr>
              <w:rPr>
                <w:rFonts w:ascii="Arial"/>
                <w:sz w:val="21"/>
              </w:rPr>
            </w:pPr>
          </w:p>
        </w:tc>
        <w:tc>
          <w:tcPr>
            <w:tcW w:w="1452" w:type="dxa"/>
            <w:vAlign w:val="top"/>
          </w:tcPr>
          <w:p w14:paraId="5E29D457">
            <w:pPr>
              <w:rPr>
                <w:rFonts w:ascii="Arial"/>
                <w:sz w:val="21"/>
              </w:rPr>
            </w:pPr>
          </w:p>
        </w:tc>
        <w:tc>
          <w:tcPr>
            <w:tcW w:w="1452" w:type="dxa"/>
            <w:vAlign w:val="top"/>
          </w:tcPr>
          <w:p w14:paraId="3AA75F6D">
            <w:pPr>
              <w:rPr>
                <w:rFonts w:ascii="Arial"/>
                <w:sz w:val="21"/>
              </w:rPr>
            </w:pPr>
          </w:p>
        </w:tc>
        <w:tc>
          <w:tcPr>
            <w:tcW w:w="1452" w:type="dxa"/>
            <w:vAlign w:val="top"/>
          </w:tcPr>
          <w:p w14:paraId="6D4B2C6D">
            <w:pPr>
              <w:rPr>
                <w:rFonts w:ascii="Arial"/>
                <w:sz w:val="21"/>
              </w:rPr>
            </w:pPr>
          </w:p>
        </w:tc>
        <w:tc>
          <w:tcPr>
            <w:tcW w:w="1453" w:type="dxa"/>
            <w:vAlign w:val="top"/>
          </w:tcPr>
          <w:p w14:paraId="66C5916C">
            <w:pPr>
              <w:rPr>
                <w:rFonts w:ascii="Arial"/>
                <w:sz w:val="21"/>
              </w:rPr>
            </w:pPr>
          </w:p>
        </w:tc>
        <w:tc>
          <w:tcPr>
            <w:tcW w:w="1458" w:type="dxa"/>
            <w:vAlign w:val="top"/>
          </w:tcPr>
          <w:p w14:paraId="4E2D53CB">
            <w:pPr>
              <w:rPr>
                <w:rFonts w:ascii="Arial"/>
                <w:sz w:val="21"/>
              </w:rPr>
            </w:pPr>
          </w:p>
        </w:tc>
      </w:tr>
      <w:tr w14:paraId="70DC22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01DA87DB">
            <w:pPr>
              <w:rPr>
                <w:rFonts w:ascii="Arial"/>
                <w:sz w:val="21"/>
              </w:rPr>
            </w:pPr>
          </w:p>
        </w:tc>
        <w:tc>
          <w:tcPr>
            <w:tcW w:w="1452" w:type="dxa"/>
            <w:vAlign w:val="top"/>
          </w:tcPr>
          <w:p w14:paraId="1F1BF04B">
            <w:pPr>
              <w:rPr>
                <w:rFonts w:ascii="Arial"/>
                <w:sz w:val="21"/>
              </w:rPr>
            </w:pPr>
          </w:p>
        </w:tc>
        <w:tc>
          <w:tcPr>
            <w:tcW w:w="1452" w:type="dxa"/>
            <w:vAlign w:val="top"/>
          </w:tcPr>
          <w:p w14:paraId="3807A09C">
            <w:pPr>
              <w:rPr>
                <w:rFonts w:ascii="Arial"/>
                <w:sz w:val="21"/>
              </w:rPr>
            </w:pPr>
          </w:p>
        </w:tc>
        <w:tc>
          <w:tcPr>
            <w:tcW w:w="1452" w:type="dxa"/>
            <w:vAlign w:val="top"/>
          </w:tcPr>
          <w:p w14:paraId="4AA30E1B">
            <w:pPr>
              <w:rPr>
                <w:rFonts w:ascii="Arial"/>
                <w:sz w:val="21"/>
              </w:rPr>
            </w:pPr>
          </w:p>
        </w:tc>
        <w:tc>
          <w:tcPr>
            <w:tcW w:w="1453" w:type="dxa"/>
            <w:vAlign w:val="top"/>
          </w:tcPr>
          <w:p w14:paraId="5EB7426E">
            <w:pPr>
              <w:rPr>
                <w:rFonts w:ascii="Arial"/>
                <w:sz w:val="21"/>
              </w:rPr>
            </w:pPr>
          </w:p>
        </w:tc>
        <w:tc>
          <w:tcPr>
            <w:tcW w:w="1458" w:type="dxa"/>
            <w:vAlign w:val="top"/>
          </w:tcPr>
          <w:p w14:paraId="0DC4DCE9">
            <w:pPr>
              <w:rPr>
                <w:rFonts w:ascii="Arial"/>
                <w:sz w:val="21"/>
              </w:rPr>
            </w:pPr>
          </w:p>
        </w:tc>
      </w:tr>
      <w:tr w14:paraId="44626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0BEBFEFE">
            <w:pPr>
              <w:rPr>
                <w:rFonts w:ascii="Arial"/>
                <w:sz w:val="21"/>
              </w:rPr>
            </w:pPr>
          </w:p>
        </w:tc>
        <w:tc>
          <w:tcPr>
            <w:tcW w:w="1452" w:type="dxa"/>
            <w:vAlign w:val="top"/>
          </w:tcPr>
          <w:p w14:paraId="53553452">
            <w:pPr>
              <w:rPr>
                <w:rFonts w:ascii="Arial"/>
                <w:sz w:val="21"/>
              </w:rPr>
            </w:pPr>
          </w:p>
        </w:tc>
        <w:tc>
          <w:tcPr>
            <w:tcW w:w="1452" w:type="dxa"/>
            <w:vAlign w:val="top"/>
          </w:tcPr>
          <w:p w14:paraId="74E1DA6C">
            <w:pPr>
              <w:rPr>
                <w:rFonts w:ascii="Arial"/>
                <w:sz w:val="21"/>
              </w:rPr>
            </w:pPr>
          </w:p>
        </w:tc>
        <w:tc>
          <w:tcPr>
            <w:tcW w:w="1452" w:type="dxa"/>
            <w:vAlign w:val="top"/>
          </w:tcPr>
          <w:p w14:paraId="39106D0F">
            <w:pPr>
              <w:rPr>
                <w:rFonts w:ascii="Arial"/>
                <w:sz w:val="21"/>
              </w:rPr>
            </w:pPr>
          </w:p>
        </w:tc>
        <w:tc>
          <w:tcPr>
            <w:tcW w:w="1453" w:type="dxa"/>
            <w:vAlign w:val="top"/>
          </w:tcPr>
          <w:p w14:paraId="219C45D2">
            <w:pPr>
              <w:rPr>
                <w:rFonts w:ascii="Arial"/>
                <w:sz w:val="21"/>
              </w:rPr>
            </w:pPr>
          </w:p>
        </w:tc>
        <w:tc>
          <w:tcPr>
            <w:tcW w:w="1458" w:type="dxa"/>
            <w:vAlign w:val="top"/>
          </w:tcPr>
          <w:p w14:paraId="473DBFCC">
            <w:pPr>
              <w:rPr>
                <w:rFonts w:ascii="Arial"/>
                <w:sz w:val="21"/>
              </w:rPr>
            </w:pPr>
          </w:p>
        </w:tc>
      </w:tr>
      <w:tr w14:paraId="0C477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457" w:type="dxa"/>
            <w:vAlign w:val="top"/>
          </w:tcPr>
          <w:p w14:paraId="60F94BDF">
            <w:pPr>
              <w:rPr>
                <w:rFonts w:ascii="Arial"/>
                <w:sz w:val="21"/>
              </w:rPr>
            </w:pPr>
          </w:p>
        </w:tc>
        <w:tc>
          <w:tcPr>
            <w:tcW w:w="1452" w:type="dxa"/>
            <w:vAlign w:val="top"/>
          </w:tcPr>
          <w:p w14:paraId="61DB7348">
            <w:pPr>
              <w:rPr>
                <w:rFonts w:ascii="Arial"/>
                <w:sz w:val="21"/>
              </w:rPr>
            </w:pPr>
          </w:p>
        </w:tc>
        <w:tc>
          <w:tcPr>
            <w:tcW w:w="1452" w:type="dxa"/>
            <w:vAlign w:val="top"/>
          </w:tcPr>
          <w:p w14:paraId="5CB0BFC2">
            <w:pPr>
              <w:rPr>
                <w:rFonts w:ascii="Arial"/>
                <w:sz w:val="21"/>
              </w:rPr>
            </w:pPr>
          </w:p>
        </w:tc>
        <w:tc>
          <w:tcPr>
            <w:tcW w:w="1452" w:type="dxa"/>
            <w:vAlign w:val="top"/>
          </w:tcPr>
          <w:p w14:paraId="4DFB2C13">
            <w:pPr>
              <w:rPr>
                <w:rFonts w:ascii="Arial"/>
                <w:sz w:val="21"/>
              </w:rPr>
            </w:pPr>
          </w:p>
        </w:tc>
        <w:tc>
          <w:tcPr>
            <w:tcW w:w="1453" w:type="dxa"/>
            <w:vAlign w:val="top"/>
          </w:tcPr>
          <w:p w14:paraId="4F4579A7">
            <w:pPr>
              <w:rPr>
                <w:rFonts w:ascii="Arial"/>
                <w:sz w:val="21"/>
              </w:rPr>
            </w:pPr>
          </w:p>
        </w:tc>
        <w:tc>
          <w:tcPr>
            <w:tcW w:w="1458" w:type="dxa"/>
            <w:vAlign w:val="top"/>
          </w:tcPr>
          <w:p w14:paraId="2EF76289">
            <w:pPr>
              <w:rPr>
                <w:rFonts w:ascii="Arial"/>
                <w:sz w:val="21"/>
              </w:rPr>
            </w:pPr>
          </w:p>
        </w:tc>
      </w:tr>
      <w:tr w14:paraId="742B4E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461FC777">
            <w:pPr>
              <w:rPr>
                <w:rFonts w:ascii="Arial"/>
                <w:sz w:val="21"/>
              </w:rPr>
            </w:pPr>
          </w:p>
        </w:tc>
        <w:tc>
          <w:tcPr>
            <w:tcW w:w="1452" w:type="dxa"/>
            <w:vAlign w:val="top"/>
          </w:tcPr>
          <w:p w14:paraId="0EBCCE8F">
            <w:pPr>
              <w:rPr>
                <w:rFonts w:ascii="Arial"/>
                <w:sz w:val="21"/>
              </w:rPr>
            </w:pPr>
          </w:p>
        </w:tc>
        <w:tc>
          <w:tcPr>
            <w:tcW w:w="1452" w:type="dxa"/>
            <w:vAlign w:val="top"/>
          </w:tcPr>
          <w:p w14:paraId="16F5EB14">
            <w:pPr>
              <w:rPr>
                <w:rFonts w:ascii="Arial"/>
                <w:sz w:val="21"/>
              </w:rPr>
            </w:pPr>
          </w:p>
        </w:tc>
        <w:tc>
          <w:tcPr>
            <w:tcW w:w="1452" w:type="dxa"/>
            <w:vAlign w:val="top"/>
          </w:tcPr>
          <w:p w14:paraId="53E6FF91">
            <w:pPr>
              <w:rPr>
                <w:rFonts w:ascii="Arial"/>
                <w:sz w:val="21"/>
              </w:rPr>
            </w:pPr>
          </w:p>
        </w:tc>
        <w:tc>
          <w:tcPr>
            <w:tcW w:w="1453" w:type="dxa"/>
            <w:vAlign w:val="top"/>
          </w:tcPr>
          <w:p w14:paraId="7DA52BF0">
            <w:pPr>
              <w:rPr>
                <w:rFonts w:ascii="Arial"/>
                <w:sz w:val="21"/>
              </w:rPr>
            </w:pPr>
          </w:p>
        </w:tc>
        <w:tc>
          <w:tcPr>
            <w:tcW w:w="1458" w:type="dxa"/>
            <w:vAlign w:val="top"/>
          </w:tcPr>
          <w:p w14:paraId="16AEB78D">
            <w:pPr>
              <w:rPr>
                <w:rFonts w:ascii="Arial"/>
                <w:sz w:val="21"/>
              </w:rPr>
            </w:pPr>
          </w:p>
        </w:tc>
      </w:tr>
      <w:tr w14:paraId="4306C2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645F155B">
            <w:pPr>
              <w:rPr>
                <w:rFonts w:ascii="Arial"/>
                <w:sz w:val="21"/>
              </w:rPr>
            </w:pPr>
          </w:p>
        </w:tc>
        <w:tc>
          <w:tcPr>
            <w:tcW w:w="1452" w:type="dxa"/>
            <w:vAlign w:val="top"/>
          </w:tcPr>
          <w:p w14:paraId="0AF4FCEF">
            <w:pPr>
              <w:rPr>
                <w:rFonts w:ascii="Arial"/>
                <w:sz w:val="21"/>
              </w:rPr>
            </w:pPr>
          </w:p>
        </w:tc>
        <w:tc>
          <w:tcPr>
            <w:tcW w:w="1452" w:type="dxa"/>
            <w:vAlign w:val="top"/>
          </w:tcPr>
          <w:p w14:paraId="2A441664">
            <w:pPr>
              <w:rPr>
                <w:rFonts w:ascii="Arial"/>
                <w:sz w:val="21"/>
              </w:rPr>
            </w:pPr>
          </w:p>
        </w:tc>
        <w:tc>
          <w:tcPr>
            <w:tcW w:w="1452" w:type="dxa"/>
            <w:vAlign w:val="top"/>
          </w:tcPr>
          <w:p w14:paraId="76639136">
            <w:pPr>
              <w:rPr>
                <w:rFonts w:ascii="Arial"/>
                <w:sz w:val="21"/>
              </w:rPr>
            </w:pPr>
          </w:p>
        </w:tc>
        <w:tc>
          <w:tcPr>
            <w:tcW w:w="1453" w:type="dxa"/>
            <w:vAlign w:val="top"/>
          </w:tcPr>
          <w:p w14:paraId="40AE14BA">
            <w:pPr>
              <w:rPr>
                <w:rFonts w:ascii="Arial"/>
                <w:sz w:val="21"/>
              </w:rPr>
            </w:pPr>
          </w:p>
        </w:tc>
        <w:tc>
          <w:tcPr>
            <w:tcW w:w="1458" w:type="dxa"/>
            <w:vAlign w:val="top"/>
          </w:tcPr>
          <w:p w14:paraId="5460ED73">
            <w:pPr>
              <w:rPr>
                <w:rFonts w:ascii="Arial"/>
                <w:sz w:val="21"/>
              </w:rPr>
            </w:pPr>
          </w:p>
        </w:tc>
      </w:tr>
      <w:tr w14:paraId="4A218B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27878F0D">
            <w:pPr>
              <w:rPr>
                <w:rFonts w:ascii="Arial"/>
                <w:sz w:val="21"/>
              </w:rPr>
            </w:pPr>
          </w:p>
        </w:tc>
        <w:tc>
          <w:tcPr>
            <w:tcW w:w="1452" w:type="dxa"/>
            <w:vAlign w:val="top"/>
          </w:tcPr>
          <w:p w14:paraId="4E325B52">
            <w:pPr>
              <w:rPr>
                <w:rFonts w:ascii="Arial"/>
                <w:sz w:val="21"/>
              </w:rPr>
            </w:pPr>
          </w:p>
        </w:tc>
        <w:tc>
          <w:tcPr>
            <w:tcW w:w="1452" w:type="dxa"/>
            <w:vAlign w:val="top"/>
          </w:tcPr>
          <w:p w14:paraId="53C28B49">
            <w:pPr>
              <w:rPr>
                <w:rFonts w:ascii="Arial"/>
                <w:sz w:val="21"/>
              </w:rPr>
            </w:pPr>
          </w:p>
        </w:tc>
        <w:tc>
          <w:tcPr>
            <w:tcW w:w="1452" w:type="dxa"/>
            <w:vAlign w:val="top"/>
          </w:tcPr>
          <w:p w14:paraId="5AF22CBF">
            <w:pPr>
              <w:rPr>
                <w:rFonts w:ascii="Arial"/>
                <w:sz w:val="21"/>
              </w:rPr>
            </w:pPr>
          </w:p>
        </w:tc>
        <w:tc>
          <w:tcPr>
            <w:tcW w:w="1453" w:type="dxa"/>
            <w:vAlign w:val="top"/>
          </w:tcPr>
          <w:p w14:paraId="68F4C018">
            <w:pPr>
              <w:rPr>
                <w:rFonts w:ascii="Arial"/>
                <w:sz w:val="21"/>
              </w:rPr>
            </w:pPr>
          </w:p>
        </w:tc>
        <w:tc>
          <w:tcPr>
            <w:tcW w:w="1458" w:type="dxa"/>
            <w:vAlign w:val="top"/>
          </w:tcPr>
          <w:p w14:paraId="0C099C32">
            <w:pPr>
              <w:rPr>
                <w:rFonts w:ascii="Arial"/>
                <w:sz w:val="21"/>
              </w:rPr>
            </w:pPr>
          </w:p>
        </w:tc>
      </w:tr>
      <w:tr w14:paraId="69B130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457" w:type="dxa"/>
            <w:vAlign w:val="top"/>
          </w:tcPr>
          <w:p w14:paraId="199A9CF9">
            <w:pPr>
              <w:rPr>
                <w:rFonts w:ascii="Arial"/>
                <w:sz w:val="21"/>
              </w:rPr>
            </w:pPr>
          </w:p>
        </w:tc>
        <w:tc>
          <w:tcPr>
            <w:tcW w:w="1452" w:type="dxa"/>
            <w:vAlign w:val="top"/>
          </w:tcPr>
          <w:p w14:paraId="1991DCB9">
            <w:pPr>
              <w:rPr>
                <w:rFonts w:ascii="Arial"/>
                <w:sz w:val="21"/>
              </w:rPr>
            </w:pPr>
          </w:p>
        </w:tc>
        <w:tc>
          <w:tcPr>
            <w:tcW w:w="1452" w:type="dxa"/>
            <w:vAlign w:val="top"/>
          </w:tcPr>
          <w:p w14:paraId="082AD2B9">
            <w:pPr>
              <w:rPr>
                <w:rFonts w:ascii="Arial"/>
                <w:sz w:val="21"/>
              </w:rPr>
            </w:pPr>
          </w:p>
        </w:tc>
        <w:tc>
          <w:tcPr>
            <w:tcW w:w="1452" w:type="dxa"/>
            <w:vAlign w:val="top"/>
          </w:tcPr>
          <w:p w14:paraId="7193E3E1">
            <w:pPr>
              <w:rPr>
                <w:rFonts w:ascii="Arial"/>
                <w:sz w:val="21"/>
              </w:rPr>
            </w:pPr>
          </w:p>
        </w:tc>
        <w:tc>
          <w:tcPr>
            <w:tcW w:w="1453" w:type="dxa"/>
            <w:vAlign w:val="top"/>
          </w:tcPr>
          <w:p w14:paraId="1AD34E54">
            <w:pPr>
              <w:rPr>
                <w:rFonts w:ascii="Arial"/>
                <w:sz w:val="21"/>
              </w:rPr>
            </w:pPr>
          </w:p>
        </w:tc>
        <w:tc>
          <w:tcPr>
            <w:tcW w:w="1458" w:type="dxa"/>
            <w:vAlign w:val="top"/>
          </w:tcPr>
          <w:p w14:paraId="5753B1DB">
            <w:pPr>
              <w:rPr>
                <w:rFonts w:ascii="Arial"/>
                <w:sz w:val="21"/>
              </w:rPr>
            </w:pPr>
          </w:p>
        </w:tc>
      </w:tr>
    </w:tbl>
    <w:p w14:paraId="215775B4">
      <w:pPr>
        <w:rPr>
          <w:rFonts w:ascii="Arial"/>
          <w:sz w:val="21"/>
        </w:rPr>
      </w:pPr>
    </w:p>
    <w:p w14:paraId="3E5E11FC">
      <w:pPr>
        <w:rPr>
          <w:rFonts w:ascii="Arial" w:hAnsi="Arial" w:eastAsia="Arial" w:cs="Arial"/>
          <w:sz w:val="21"/>
          <w:szCs w:val="21"/>
        </w:rPr>
        <w:sectPr>
          <w:footerReference r:id="rId475" w:type="default"/>
          <w:pgSz w:w="11907" w:h="16840"/>
          <w:pgMar w:top="400" w:right="1786" w:bottom="1247" w:left="1361" w:header="0" w:footer="1084" w:gutter="0"/>
          <w:cols w:space="720" w:num="1"/>
        </w:sectPr>
      </w:pPr>
    </w:p>
    <w:p w14:paraId="1E9F21DD">
      <w:pPr>
        <w:spacing w:line="278" w:lineRule="auto"/>
        <w:rPr>
          <w:rFonts w:ascii="Arial"/>
          <w:sz w:val="21"/>
        </w:rPr>
      </w:pPr>
    </w:p>
    <w:p w14:paraId="721B7DE6">
      <w:pPr>
        <w:spacing w:line="278" w:lineRule="auto"/>
        <w:rPr>
          <w:rFonts w:ascii="Arial"/>
          <w:sz w:val="21"/>
        </w:rPr>
      </w:pPr>
    </w:p>
    <w:p w14:paraId="57F7DAE9">
      <w:pPr>
        <w:spacing w:line="278" w:lineRule="auto"/>
        <w:rPr>
          <w:rFonts w:ascii="Arial"/>
          <w:sz w:val="21"/>
        </w:rPr>
      </w:pPr>
    </w:p>
    <w:p w14:paraId="36E0A491">
      <w:pPr>
        <w:spacing w:line="278" w:lineRule="auto"/>
        <w:rPr>
          <w:rFonts w:ascii="Arial"/>
          <w:sz w:val="21"/>
        </w:rPr>
      </w:pPr>
    </w:p>
    <w:p w14:paraId="02B9A0B4">
      <w:pPr>
        <w:spacing w:line="278" w:lineRule="auto"/>
        <w:rPr>
          <w:rFonts w:ascii="Arial"/>
          <w:sz w:val="21"/>
        </w:rPr>
      </w:pPr>
    </w:p>
    <w:p w14:paraId="5383298F">
      <w:pPr>
        <w:spacing w:line="278" w:lineRule="auto"/>
        <w:rPr>
          <w:rFonts w:ascii="Arial"/>
          <w:sz w:val="21"/>
        </w:rPr>
      </w:pPr>
    </w:p>
    <w:p w14:paraId="616D8239">
      <w:pPr>
        <w:pStyle w:val="2"/>
        <w:spacing w:before="78" w:line="222" w:lineRule="auto"/>
        <w:outlineLvl w:val="1"/>
        <w:rPr>
          <w:sz w:val="24"/>
          <w:szCs w:val="24"/>
        </w:rPr>
      </w:pPr>
      <w:bookmarkStart w:id="381" w:name="bookmark363"/>
      <w:bookmarkEnd w:id="381"/>
      <w:r>
        <w:rPr>
          <w:rFonts w:ascii="Times New Roman" w:hAnsi="Times New Roman" w:eastAsia="Times New Roman" w:cs="Times New Roman"/>
          <w:spacing w:val="-2"/>
          <w:sz w:val="24"/>
          <w:szCs w:val="24"/>
        </w:rPr>
        <w:t>2.</w:t>
      </w:r>
      <w:r>
        <w:rPr>
          <w:spacing w:val="-2"/>
          <w:sz w:val="24"/>
          <w:szCs w:val="24"/>
        </w:rPr>
        <w:t>图</w:t>
      </w:r>
      <w:r>
        <w:rPr>
          <w:spacing w:val="3"/>
          <w:sz w:val="24"/>
          <w:szCs w:val="24"/>
        </w:rPr>
        <w:t xml:space="preserve">    </w:t>
      </w:r>
      <w:r>
        <w:rPr>
          <w:spacing w:val="-2"/>
          <w:sz w:val="24"/>
          <w:szCs w:val="24"/>
        </w:rPr>
        <w:t>纸</w:t>
      </w:r>
    </w:p>
    <w:p w14:paraId="072DABCD">
      <w:pPr>
        <w:spacing w:line="222" w:lineRule="auto"/>
        <w:rPr>
          <w:sz w:val="24"/>
          <w:szCs w:val="24"/>
        </w:rPr>
        <w:sectPr>
          <w:footerReference r:id="rId476" w:type="default"/>
          <w:pgSz w:w="11907" w:h="16840"/>
          <w:pgMar w:top="400" w:right="1786" w:bottom="1247" w:left="1478" w:header="0" w:footer="1084" w:gutter="0"/>
          <w:cols w:space="720" w:num="1"/>
        </w:sectPr>
      </w:pPr>
    </w:p>
    <w:p w14:paraId="30B3DF44">
      <w:pPr>
        <w:rPr>
          <w:rFonts w:ascii="Arial"/>
          <w:sz w:val="21"/>
        </w:rPr>
      </w:pPr>
    </w:p>
    <w:p w14:paraId="1902D16B">
      <w:pPr>
        <w:rPr>
          <w:rFonts w:ascii="Arial"/>
          <w:sz w:val="21"/>
        </w:rPr>
      </w:pPr>
    </w:p>
    <w:p w14:paraId="044FEF63">
      <w:pPr>
        <w:rPr>
          <w:rFonts w:ascii="Arial"/>
          <w:sz w:val="21"/>
        </w:rPr>
      </w:pPr>
    </w:p>
    <w:p w14:paraId="77E3D3A1">
      <w:pPr>
        <w:rPr>
          <w:rFonts w:ascii="Arial"/>
          <w:sz w:val="21"/>
        </w:rPr>
      </w:pPr>
    </w:p>
    <w:p w14:paraId="729C8A39">
      <w:pPr>
        <w:rPr>
          <w:rFonts w:ascii="Arial"/>
          <w:sz w:val="21"/>
        </w:rPr>
      </w:pPr>
    </w:p>
    <w:p w14:paraId="043FB2FB">
      <w:pPr>
        <w:rPr>
          <w:rFonts w:ascii="Arial"/>
          <w:sz w:val="21"/>
        </w:rPr>
      </w:pPr>
    </w:p>
    <w:p w14:paraId="6EC8457C">
      <w:pPr>
        <w:rPr>
          <w:rFonts w:ascii="Arial"/>
          <w:sz w:val="21"/>
        </w:rPr>
      </w:pPr>
    </w:p>
    <w:p w14:paraId="77C00186">
      <w:pPr>
        <w:spacing w:line="241" w:lineRule="auto"/>
        <w:rPr>
          <w:rFonts w:ascii="Arial"/>
          <w:sz w:val="21"/>
        </w:rPr>
      </w:pPr>
    </w:p>
    <w:p w14:paraId="1590E7CB">
      <w:pPr>
        <w:spacing w:line="241" w:lineRule="auto"/>
        <w:rPr>
          <w:rFonts w:ascii="Arial"/>
          <w:sz w:val="21"/>
        </w:rPr>
      </w:pPr>
    </w:p>
    <w:p w14:paraId="67D37DDE">
      <w:pPr>
        <w:spacing w:line="241" w:lineRule="auto"/>
        <w:rPr>
          <w:rFonts w:ascii="Arial"/>
          <w:sz w:val="21"/>
        </w:rPr>
      </w:pPr>
    </w:p>
    <w:p w14:paraId="4BA6CD39">
      <w:pPr>
        <w:spacing w:line="241" w:lineRule="auto"/>
        <w:rPr>
          <w:rFonts w:ascii="Arial"/>
          <w:sz w:val="21"/>
        </w:rPr>
      </w:pPr>
    </w:p>
    <w:p w14:paraId="5534AA01">
      <w:pPr>
        <w:spacing w:line="241" w:lineRule="auto"/>
        <w:rPr>
          <w:rFonts w:ascii="Arial"/>
          <w:sz w:val="21"/>
        </w:rPr>
      </w:pPr>
    </w:p>
    <w:p w14:paraId="21CABED2">
      <w:pPr>
        <w:spacing w:line="241" w:lineRule="auto"/>
        <w:rPr>
          <w:rFonts w:ascii="Arial"/>
          <w:sz w:val="21"/>
        </w:rPr>
      </w:pPr>
    </w:p>
    <w:p w14:paraId="17EFE862">
      <w:pPr>
        <w:spacing w:line="241" w:lineRule="auto"/>
        <w:rPr>
          <w:rFonts w:ascii="Arial"/>
          <w:sz w:val="21"/>
        </w:rPr>
      </w:pPr>
    </w:p>
    <w:p w14:paraId="736F4D06">
      <w:pPr>
        <w:spacing w:line="241" w:lineRule="auto"/>
        <w:rPr>
          <w:rFonts w:ascii="Arial"/>
          <w:sz w:val="21"/>
        </w:rPr>
      </w:pPr>
    </w:p>
    <w:p w14:paraId="758A3F93">
      <w:pPr>
        <w:spacing w:line="241" w:lineRule="auto"/>
        <w:rPr>
          <w:rFonts w:ascii="Arial"/>
          <w:sz w:val="21"/>
        </w:rPr>
      </w:pPr>
    </w:p>
    <w:p w14:paraId="0A934546">
      <w:pPr>
        <w:spacing w:line="241" w:lineRule="auto"/>
        <w:rPr>
          <w:rFonts w:ascii="Arial"/>
          <w:sz w:val="21"/>
        </w:rPr>
      </w:pPr>
    </w:p>
    <w:p w14:paraId="2F2EF4A9">
      <w:pPr>
        <w:pStyle w:val="2"/>
        <w:spacing w:before="153" w:line="226" w:lineRule="auto"/>
        <w:ind w:left="3438"/>
        <w:outlineLvl w:val="0"/>
        <w:rPr>
          <w:sz w:val="47"/>
          <w:szCs w:val="47"/>
        </w:rPr>
      </w:pPr>
      <w:bookmarkStart w:id="382" w:name="bookmark364"/>
      <w:bookmarkEnd w:id="382"/>
      <w:r>
        <w:rPr>
          <w:spacing w:val="3"/>
          <w:sz w:val="47"/>
          <w:szCs w:val="47"/>
        </w:rPr>
        <w:t>第三卷</w:t>
      </w:r>
    </w:p>
    <w:p w14:paraId="7867F454">
      <w:pPr>
        <w:spacing w:line="226" w:lineRule="auto"/>
        <w:rPr>
          <w:sz w:val="47"/>
          <w:szCs w:val="47"/>
        </w:rPr>
        <w:sectPr>
          <w:footerReference r:id="rId477" w:type="default"/>
          <w:pgSz w:w="11907" w:h="16840"/>
          <w:pgMar w:top="400" w:right="1786" w:bottom="1247" w:left="1786" w:header="0" w:footer="1085" w:gutter="0"/>
          <w:cols w:space="720" w:num="1"/>
        </w:sectPr>
      </w:pPr>
    </w:p>
    <w:p w14:paraId="263D90CC">
      <w:pPr>
        <w:spacing w:line="251" w:lineRule="auto"/>
        <w:rPr>
          <w:rFonts w:ascii="Arial"/>
          <w:sz w:val="21"/>
        </w:rPr>
      </w:pPr>
    </w:p>
    <w:p w14:paraId="7A6AEB34">
      <w:pPr>
        <w:spacing w:line="251" w:lineRule="auto"/>
        <w:rPr>
          <w:rFonts w:ascii="Arial"/>
          <w:sz w:val="21"/>
        </w:rPr>
      </w:pPr>
    </w:p>
    <w:p w14:paraId="6C917EDE">
      <w:pPr>
        <w:spacing w:line="251" w:lineRule="auto"/>
        <w:rPr>
          <w:rFonts w:ascii="Arial"/>
          <w:sz w:val="21"/>
        </w:rPr>
      </w:pPr>
    </w:p>
    <w:p w14:paraId="399961E3">
      <w:pPr>
        <w:spacing w:line="251" w:lineRule="auto"/>
        <w:rPr>
          <w:rFonts w:ascii="Arial"/>
          <w:sz w:val="21"/>
        </w:rPr>
      </w:pPr>
    </w:p>
    <w:p w14:paraId="62E3B076">
      <w:pPr>
        <w:spacing w:line="252" w:lineRule="auto"/>
        <w:rPr>
          <w:rFonts w:ascii="Arial"/>
          <w:sz w:val="21"/>
        </w:rPr>
      </w:pPr>
    </w:p>
    <w:p w14:paraId="1CB8F0EB">
      <w:pPr>
        <w:spacing w:line="252" w:lineRule="auto"/>
        <w:rPr>
          <w:rFonts w:ascii="Arial"/>
          <w:sz w:val="21"/>
        </w:rPr>
      </w:pPr>
    </w:p>
    <w:p w14:paraId="61422116">
      <w:pPr>
        <w:spacing w:line="252" w:lineRule="auto"/>
        <w:rPr>
          <w:rFonts w:ascii="Arial"/>
          <w:sz w:val="21"/>
        </w:rPr>
      </w:pPr>
    </w:p>
    <w:p w14:paraId="2A652714">
      <w:pPr>
        <w:spacing w:line="252" w:lineRule="auto"/>
        <w:rPr>
          <w:rFonts w:ascii="Arial"/>
          <w:sz w:val="21"/>
        </w:rPr>
      </w:pPr>
    </w:p>
    <w:p w14:paraId="251C8FDC">
      <w:pPr>
        <w:spacing w:line="252" w:lineRule="auto"/>
        <w:rPr>
          <w:rFonts w:ascii="Arial"/>
          <w:sz w:val="21"/>
        </w:rPr>
      </w:pPr>
    </w:p>
    <w:p w14:paraId="2712B4AE">
      <w:pPr>
        <w:spacing w:line="252" w:lineRule="auto"/>
        <w:rPr>
          <w:rFonts w:ascii="Arial"/>
          <w:sz w:val="21"/>
        </w:rPr>
      </w:pPr>
    </w:p>
    <w:p w14:paraId="695ED136">
      <w:pPr>
        <w:spacing w:line="252" w:lineRule="auto"/>
        <w:rPr>
          <w:rFonts w:ascii="Arial"/>
          <w:sz w:val="21"/>
        </w:rPr>
      </w:pPr>
    </w:p>
    <w:p w14:paraId="0C48B4F8">
      <w:pPr>
        <w:spacing w:line="252" w:lineRule="auto"/>
        <w:rPr>
          <w:rFonts w:ascii="Arial"/>
          <w:sz w:val="21"/>
        </w:rPr>
      </w:pPr>
    </w:p>
    <w:p w14:paraId="5F80E52A">
      <w:pPr>
        <w:spacing w:line="252" w:lineRule="auto"/>
        <w:rPr>
          <w:rFonts w:ascii="Arial"/>
          <w:sz w:val="21"/>
        </w:rPr>
      </w:pPr>
    </w:p>
    <w:p w14:paraId="0003D2BF">
      <w:pPr>
        <w:spacing w:line="252" w:lineRule="auto"/>
        <w:rPr>
          <w:rFonts w:ascii="Arial"/>
          <w:sz w:val="21"/>
        </w:rPr>
      </w:pPr>
    </w:p>
    <w:p w14:paraId="6801B225">
      <w:pPr>
        <w:spacing w:line="252" w:lineRule="auto"/>
        <w:rPr>
          <w:rFonts w:ascii="Arial"/>
          <w:sz w:val="21"/>
        </w:rPr>
      </w:pPr>
    </w:p>
    <w:p w14:paraId="6762FEC5">
      <w:pPr>
        <w:spacing w:line="252" w:lineRule="auto"/>
        <w:rPr>
          <w:rFonts w:ascii="Arial"/>
          <w:sz w:val="21"/>
        </w:rPr>
      </w:pPr>
    </w:p>
    <w:p w14:paraId="5ADD83B3">
      <w:pPr>
        <w:spacing w:line="252" w:lineRule="auto"/>
        <w:rPr>
          <w:rFonts w:ascii="Arial"/>
          <w:sz w:val="21"/>
        </w:rPr>
      </w:pPr>
    </w:p>
    <w:p w14:paraId="4708B1B1">
      <w:pPr>
        <w:pStyle w:val="2"/>
        <w:spacing w:before="101" w:line="227" w:lineRule="auto"/>
        <w:ind w:left="2390"/>
        <w:outlineLvl w:val="0"/>
        <w:rPr>
          <w:sz w:val="31"/>
          <w:szCs w:val="31"/>
        </w:rPr>
      </w:pPr>
      <w:bookmarkStart w:id="383" w:name="bookmark365"/>
      <w:bookmarkEnd w:id="383"/>
      <w:r>
        <w:rPr>
          <w:spacing w:val="8"/>
          <w:sz w:val="31"/>
          <w:szCs w:val="31"/>
        </w:rPr>
        <w:t>第七章  技术标准和要求</w:t>
      </w:r>
    </w:p>
    <w:p w14:paraId="0A842C27">
      <w:pPr>
        <w:spacing w:line="227" w:lineRule="auto"/>
        <w:rPr>
          <w:sz w:val="31"/>
          <w:szCs w:val="31"/>
        </w:rPr>
        <w:sectPr>
          <w:footerReference r:id="rId478" w:type="default"/>
          <w:pgSz w:w="11907" w:h="16840"/>
          <w:pgMar w:top="400" w:right="1786" w:bottom="1247" w:left="1786" w:header="0" w:footer="1084" w:gutter="0"/>
          <w:cols w:space="720" w:num="1"/>
        </w:sectPr>
      </w:pPr>
    </w:p>
    <w:p w14:paraId="114C7B0F">
      <w:pPr>
        <w:spacing w:line="272" w:lineRule="auto"/>
        <w:rPr>
          <w:rFonts w:ascii="Arial"/>
          <w:sz w:val="21"/>
        </w:rPr>
      </w:pPr>
    </w:p>
    <w:p w14:paraId="44F66AC4">
      <w:pPr>
        <w:spacing w:line="272" w:lineRule="auto"/>
        <w:rPr>
          <w:rFonts w:ascii="Arial"/>
          <w:sz w:val="21"/>
        </w:rPr>
      </w:pPr>
    </w:p>
    <w:p w14:paraId="4906DD8E">
      <w:pPr>
        <w:spacing w:line="272" w:lineRule="auto"/>
        <w:rPr>
          <w:rFonts w:ascii="Arial"/>
          <w:sz w:val="21"/>
        </w:rPr>
      </w:pPr>
    </w:p>
    <w:p w14:paraId="2D10B163">
      <w:pPr>
        <w:spacing w:line="273" w:lineRule="auto"/>
        <w:rPr>
          <w:rFonts w:ascii="Arial"/>
          <w:sz w:val="21"/>
        </w:rPr>
      </w:pPr>
    </w:p>
    <w:p w14:paraId="444B3E69">
      <w:pPr>
        <w:spacing w:line="273" w:lineRule="auto"/>
        <w:rPr>
          <w:rFonts w:ascii="Arial"/>
          <w:sz w:val="21"/>
        </w:rPr>
      </w:pPr>
    </w:p>
    <w:p w14:paraId="7A607DCA">
      <w:pPr>
        <w:pStyle w:val="2"/>
        <w:spacing w:before="91" w:line="222" w:lineRule="auto"/>
        <w:ind w:left="2903"/>
        <w:rPr>
          <w:sz w:val="28"/>
          <w:szCs w:val="28"/>
        </w:rPr>
      </w:pPr>
      <w:bookmarkStart w:id="384" w:name="bookmark366"/>
      <w:bookmarkEnd w:id="384"/>
      <w:r>
        <w:rPr>
          <w:spacing w:val="-1"/>
          <w:sz w:val="28"/>
          <w:szCs w:val="28"/>
        </w:rPr>
        <w:t>第七章  技术标准和要求</w:t>
      </w:r>
    </w:p>
    <w:p w14:paraId="44ED334F">
      <w:pPr>
        <w:pStyle w:val="2"/>
        <w:spacing w:before="302" w:line="222" w:lineRule="auto"/>
        <w:ind w:left="3392"/>
        <w:outlineLvl w:val="1"/>
        <w:rPr>
          <w:sz w:val="28"/>
          <w:szCs w:val="28"/>
        </w:rPr>
      </w:pPr>
      <w:bookmarkStart w:id="385" w:name="bookmark470"/>
      <w:bookmarkEnd w:id="385"/>
      <w:r>
        <w:rPr>
          <w:spacing w:val="-2"/>
          <w:sz w:val="28"/>
          <w:szCs w:val="28"/>
        </w:rPr>
        <w:t>第一节 一般要求</w:t>
      </w:r>
    </w:p>
    <w:p w14:paraId="5C296489">
      <w:pPr>
        <w:pStyle w:val="2"/>
        <w:spacing w:before="64" w:line="222" w:lineRule="auto"/>
        <w:ind w:left="14"/>
        <w:outlineLvl w:val="2"/>
        <w:rPr>
          <w:sz w:val="28"/>
          <w:szCs w:val="28"/>
        </w:rPr>
      </w:pPr>
      <w:bookmarkStart w:id="386" w:name="bookmark367"/>
      <w:bookmarkEnd w:id="386"/>
      <w:r>
        <w:rPr>
          <w:rFonts w:ascii="Times New Roman" w:hAnsi="Times New Roman" w:eastAsia="Times New Roman" w:cs="Times New Roman"/>
          <w:spacing w:val="-6"/>
          <w:sz w:val="28"/>
          <w:szCs w:val="28"/>
        </w:rPr>
        <w:t>1.</w:t>
      </w:r>
      <w:r>
        <w:rPr>
          <w:spacing w:val="-6"/>
          <w:sz w:val="28"/>
          <w:szCs w:val="28"/>
        </w:rPr>
        <w:t>工程说明</w:t>
      </w:r>
    </w:p>
    <w:p w14:paraId="454169B6">
      <w:pPr>
        <w:pStyle w:val="2"/>
        <w:spacing w:before="189" w:line="229" w:lineRule="auto"/>
        <w:rPr>
          <w:sz w:val="20"/>
          <w:szCs w:val="20"/>
        </w:rPr>
      </w:pPr>
      <w:r>
        <w:rPr>
          <w:spacing w:val="3"/>
          <w:sz w:val="20"/>
          <w:szCs w:val="20"/>
        </w:rPr>
        <w:t>1.1</w:t>
      </w:r>
      <w:r>
        <w:rPr>
          <w:spacing w:val="11"/>
          <w:sz w:val="20"/>
          <w:szCs w:val="20"/>
        </w:rPr>
        <w:t xml:space="preserve">  </w:t>
      </w:r>
      <w:r>
        <w:rPr>
          <w:spacing w:val="3"/>
          <w:sz w:val="20"/>
          <w:szCs w:val="20"/>
        </w:rPr>
        <w:t>工程概况</w:t>
      </w:r>
    </w:p>
    <w:p w14:paraId="7945DC99">
      <w:pPr>
        <w:spacing w:before="231" w:line="227" w:lineRule="auto"/>
        <w:ind w:left="1"/>
        <w:rPr>
          <w:rFonts w:ascii="宋体" w:hAnsi="宋体" w:eastAsia="宋体" w:cs="宋体"/>
          <w:sz w:val="20"/>
          <w:szCs w:val="20"/>
        </w:rPr>
      </w:pPr>
      <w:r>
        <w:rPr>
          <w:rFonts w:ascii="宋体" w:hAnsi="宋体" w:eastAsia="宋体" w:cs="宋体"/>
          <w:spacing w:val="6"/>
          <w:sz w:val="20"/>
          <w:szCs w:val="20"/>
        </w:rPr>
        <w:t>l.1.1  本工程基本情况如下：</w:t>
      </w:r>
    </w:p>
    <w:p w14:paraId="79CFBD32">
      <w:pPr>
        <w:tabs>
          <w:tab w:val="left" w:pos="7855"/>
        </w:tabs>
        <w:spacing w:before="240"/>
        <w:ind w:left="715"/>
        <w:rPr>
          <w:rFonts w:ascii="Arial"/>
          <w:sz w:val="21"/>
        </w:rPr>
      </w:pPr>
      <w:r>
        <w:rPr>
          <w:rFonts w:ascii="Arial" w:hAnsi="Arial" w:eastAsia="Arial" w:cs="Arial"/>
          <w:sz w:val="21"/>
          <w:szCs w:val="21"/>
          <w:u w:val="single" w:color="auto"/>
        </w:rPr>
        <w:tab/>
      </w:r>
    </w:p>
    <w:p w14:paraId="78DEEBC6">
      <w:pPr>
        <w:spacing w:line="342" w:lineRule="auto"/>
        <w:rPr>
          <w:rFonts w:ascii="Arial"/>
          <w:sz w:val="21"/>
        </w:rPr>
      </w:pPr>
    </w:p>
    <w:p w14:paraId="6D29C05C">
      <w:pPr>
        <w:tabs>
          <w:tab w:val="left" w:pos="7855"/>
        </w:tabs>
        <w:spacing w:before="24" w:line="173" w:lineRule="auto"/>
        <w:ind w:left="7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5B60589">
      <w:pPr>
        <w:spacing w:before="279" w:line="227" w:lineRule="auto"/>
        <w:ind w:left="4"/>
        <w:rPr>
          <w:rFonts w:ascii="宋体" w:hAnsi="宋体" w:eastAsia="宋体" w:cs="宋体"/>
          <w:sz w:val="20"/>
          <w:szCs w:val="20"/>
        </w:rPr>
      </w:pPr>
      <w:r>
        <w:rPr>
          <w:rFonts w:ascii="宋体" w:hAnsi="宋体" w:eastAsia="宋体" w:cs="宋体"/>
          <w:spacing w:val="7"/>
          <w:sz w:val="20"/>
          <w:szCs w:val="20"/>
        </w:rPr>
        <w:t>1.1.2  本工程施工场地（现场）具体地理位置如下：</w:t>
      </w:r>
    </w:p>
    <w:p w14:paraId="628EB390">
      <w:pPr>
        <w:tabs>
          <w:tab w:val="left" w:pos="7855"/>
        </w:tabs>
        <w:spacing w:before="240"/>
        <w:ind w:left="715"/>
        <w:rPr>
          <w:rFonts w:ascii="Arial"/>
          <w:sz w:val="21"/>
        </w:rPr>
      </w:pPr>
      <w:r>
        <w:rPr>
          <w:rFonts w:ascii="Arial" w:hAnsi="Arial" w:eastAsia="Arial" w:cs="Arial"/>
          <w:sz w:val="21"/>
          <w:szCs w:val="21"/>
          <w:u w:val="single" w:color="auto"/>
        </w:rPr>
        <w:tab/>
      </w:r>
    </w:p>
    <w:p w14:paraId="0A187C84">
      <w:pPr>
        <w:spacing w:line="342" w:lineRule="auto"/>
        <w:rPr>
          <w:rFonts w:ascii="Arial"/>
          <w:sz w:val="21"/>
        </w:rPr>
      </w:pPr>
    </w:p>
    <w:p w14:paraId="5186C35C">
      <w:pPr>
        <w:tabs>
          <w:tab w:val="left" w:pos="7855"/>
        </w:tabs>
        <w:spacing w:before="24" w:line="173" w:lineRule="auto"/>
        <w:ind w:left="7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03AF97D">
      <w:pPr>
        <w:pStyle w:val="2"/>
        <w:spacing w:before="279" w:line="230" w:lineRule="auto"/>
        <w:rPr>
          <w:sz w:val="20"/>
          <w:szCs w:val="20"/>
        </w:rPr>
      </w:pPr>
      <w:r>
        <w:rPr>
          <w:spacing w:val="6"/>
          <w:sz w:val="20"/>
          <w:szCs w:val="20"/>
        </w:rPr>
        <w:t>1.2    现场条件和周围环境</w:t>
      </w:r>
    </w:p>
    <w:p w14:paraId="672A6563">
      <w:pPr>
        <w:spacing w:before="231" w:line="443" w:lineRule="auto"/>
        <w:ind w:left="722" w:hanging="718"/>
        <w:rPr>
          <w:rFonts w:ascii="宋体" w:hAnsi="宋体" w:eastAsia="宋体" w:cs="宋体"/>
          <w:sz w:val="20"/>
          <w:szCs w:val="20"/>
        </w:rPr>
      </w:pPr>
      <w:r>
        <w:rPr>
          <w:rFonts w:ascii="宋体" w:hAnsi="宋体" w:eastAsia="宋体" w:cs="宋体"/>
          <w:spacing w:val="8"/>
          <w:sz w:val="20"/>
          <w:szCs w:val="20"/>
        </w:rPr>
        <w:t>1.2.1  本工程施工场地（现场）已经具备施工条件。施工场地（现场）临时水源接口位置、临时</w:t>
      </w:r>
      <w:r>
        <w:rPr>
          <w:rFonts w:ascii="宋体" w:hAnsi="宋体" w:eastAsia="宋体" w:cs="宋体"/>
          <w:spacing w:val="9"/>
          <w:sz w:val="20"/>
          <w:szCs w:val="20"/>
        </w:rPr>
        <w:t>电源接口位置、临时排污口位置、建筑红线位置、道路交通和出入口、以及施工场地（现</w:t>
      </w:r>
      <w:r>
        <w:rPr>
          <w:rFonts w:ascii="宋体" w:hAnsi="宋体" w:eastAsia="宋体" w:cs="宋体"/>
          <w:spacing w:val="11"/>
          <w:sz w:val="20"/>
          <w:szCs w:val="20"/>
        </w:rPr>
        <w:t>场）和周围环境等情况见本章附件A：施工场地（现场）现状平面</w:t>
      </w:r>
      <w:r>
        <w:rPr>
          <w:rFonts w:ascii="宋体" w:hAnsi="宋体" w:eastAsia="宋体" w:cs="宋体"/>
          <w:spacing w:val="10"/>
          <w:sz w:val="20"/>
          <w:szCs w:val="20"/>
        </w:rPr>
        <w:t>图。</w:t>
      </w:r>
    </w:p>
    <w:p w14:paraId="01A1B60A">
      <w:pPr>
        <w:spacing w:before="1" w:line="226" w:lineRule="auto"/>
        <w:ind w:left="4"/>
        <w:rPr>
          <w:rFonts w:ascii="宋体" w:hAnsi="宋体" w:eastAsia="宋体" w:cs="宋体"/>
          <w:sz w:val="20"/>
          <w:szCs w:val="20"/>
        </w:rPr>
      </w:pPr>
      <w:r>
        <w:rPr>
          <w:rFonts w:ascii="宋体" w:hAnsi="宋体" w:eastAsia="宋体" w:cs="宋体"/>
          <w:spacing w:val="6"/>
          <w:sz w:val="20"/>
          <w:szCs w:val="20"/>
        </w:rPr>
        <w:t>1.2.2  施工场地（现场）临时供水管径</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06EA9A9">
      <w:pPr>
        <w:spacing w:before="234" w:line="228" w:lineRule="auto"/>
        <w:ind w:left="722"/>
        <w:rPr>
          <w:rFonts w:ascii="宋体" w:hAnsi="宋体" w:eastAsia="宋体" w:cs="宋体"/>
          <w:sz w:val="20"/>
          <w:szCs w:val="20"/>
        </w:rPr>
      </w:pPr>
      <w:r>
        <w:rPr>
          <w:rFonts w:ascii="宋体" w:hAnsi="宋体" w:eastAsia="宋体" w:cs="宋体"/>
          <w:spacing w:val="6"/>
          <w:sz w:val="20"/>
          <w:szCs w:val="20"/>
        </w:rPr>
        <w:t>施工场地（现场）临时排污管径</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6069118">
      <w:pPr>
        <w:spacing w:before="233" w:line="228" w:lineRule="auto"/>
        <w:ind w:left="682"/>
        <w:rPr>
          <w:rFonts w:ascii="宋体" w:hAnsi="宋体" w:eastAsia="宋体" w:cs="宋体"/>
          <w:sz w:val="20"/>
          <w:szCs w:val="20"/>
        </w:rPr>
      </w:pPr>
      <w:r>
        <w:rPr>
          <w:rFonts w:ascii="宋体" w:hAnsi="宋体" w:eastAsia="宋体" w:cs="宋体"/>
          <w:spacing w:val="6"/>
          <w:sz w:val="20"/>
          <w:szCs w:val="20"/>
        </w:rPr>
        <w:t>施工场地（现场）临时雨水管径</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BC0D99B">
      <w:pPr>
        <w:spacing w:before="234" w:line="227" w:lineRule="auto"/>
        <w:ind w:left="744"/>
        <w:rPr>
          <w:rFonts w:ascii="宋体" w:hAnsi="宋体" w:eastAsia="宋体" w:cs="宋体"/>
          <w:sz w:val="20"/>
          <w:szCs w:val="20"/>
        </w:rPr>
      </w:pPr>
      <w:r>
        <w:rPr>
          <w:rFonts w:ascii="宋体" w:hAnsi="宋体" w:eastAsia="宋体" w:cs="宋体"/>
          <w:spacing w:val="7"/>
          <w:sz w:val="20"/>
          <w:szCs w:val="20"/>
        </w:rPr>
        <w:t>施工现场临时供电容量（变压器输出功率）</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D3C87E6">
      <w:pPr>
        <w:spacing w:before="233" w:line="228" w:lineRule="auto"/>
        <w:ind w:left="4"/>
        <w:rPr>
          <w:rFonts w:ascii="宋体" w:hAnsi="宋体" w:eastAsia="宋体" w:cs="宋体"/>
          <w:sz w:val="20"/>
          <w:szCs w:val="20"/>
        </w:rPr>
      </w:pPr>
      <w:r>
        <w:rPr>
          <w:rFonts w:ascii="宋体" w:hAnsi="宋体" w:eastAsia="宋体" w:cs="宋体"/>
          <w:spacing w:val="7"/>
          <w:sz w:val="20"/>
          <w:szCs w:val="20"/>
        </w:rPr>
        <w:t>1.2.3  现场条件和周围环境的其他资料和信息数据如下：</w:t>
      </w:r>
    </w:p>
    <w:p w14:paraId="2CE78076">
      <w:pPr>
        <w:tabs>
          <w:tab w:val="left" w:pos="7855"/>
        </w:tabs>
        <w:spacing w:before="239"/>
        <w:ind w:left="715"/>
        <w:rPr>
          <w:rFonts w:ascii="Arial"/>
          <w:sz w:val="21"/>
        </w:rPr>
      </w:pPr>
      <w:r>
        <w:rPr>
          <w:rFonts w:ascii="Arial" w:hAnsi="Arial" w:eastAsia="Arial" w:cs="Arial"/>
          <w:sz w:val="21"/>
          <w:szCs w:val="21"/>
          <w:u w:val="single" w:color="auto"/>
        </w:rPr>
        <w:tab/>
      </w:r>
    </w:p>
    <w:p w14:paraId="463D2684">
      <w:pPr>
        <w:spacing w:line="342" w:lineRule="auto"/>
        <w:rPr>
          <w:rFonts w:ascii="Arial"/>
          <w:sz w:val="21"/>
        </w:rPr>
      </w:pPr>
    </w:p>
    <w:p w14:paraId="03ECD94E">
      <w:pPr>
        <w:tabs>
          <w:tab w:val="left" w:pos="7855"/>
        </w:tabs>
        <w:spacing w:before="24" w:line="173" w:lineRule="auto"/>
        <w:ind w:left="7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90E9C50">
      <w:pPr>
        <w:spacing w:before="280" w:line="443" w:lineRule="auto"/>
        <w:ind w:left="722" w:right="1029" w:hanging="718"/>
        <w:rPr>
          <w:rFonts w:ascii="宋体" w:hAnsi="宋体" w:eastAsia="宋体" w:cs="宋体"/>
          <w:sz w:val="20"/>
          <w:szCs w:val="20"/>
        </w:rPr>
      </w:pPr>
      <w:r>
        <w:rPr>
          <w:rFonts w:ascii="宋体" w:hAnsi="宋体" w:eastAsia="宋体" w:cs="宋体"/>
          <w:spacing w:val="9"/>
          <w:sz w:val="20"/>
          <w:szCs w:val="20"/>
        </w:rPr>
        <w:t>1.2.4  承包人被认为已在本工程投</w:t>
      </w:r>
      <w:r>
        <w:rPr>
          <w:rFonts w:ascii="宋体" w:hAnsi="宋体" w:eastAsia="宋体" w:cs="宋体"/>
          <w:spacing w:val="8"/>
          <w:sz w:val="20"/>
          <w:szCs w:val="20"/>
        </w:rPr>
        <w:t>标阶段踏勘现场时充分了解本工程现场条件和周围</w:t>
      </w:r>
      <w:r>
        <w:rPr>
          <w:rFonts w:ascii="宋体" w:hAnsi="宋体" w:eastAsia="宋体" w:cs="宋体"/>
          <w:spacing w:val="9"/>
          <w:sz w:val="20"/>
          <w:szCs w:val="20"/>
        </w:rPr>
        <w:t>环境，并已在其投标时就此给予了充分的考虑。</w:t>
      </w:r>
    </w:p>
    <w:p w14:paraId="1F279C70">
      <w:pPr>
        <w:pStyle w:val="2"/>
        <w:spacing w:before="1" w:line="229" w:lineRule="auto"/>
        <w:rPr>
          <w:sz w:val="20"/>
          <w:szCs w:val="20"/>
        </w:rPr>
      </w:pPr>
      <w:r>
        <w:rPr>
          <w:spacing w:val="6"/>
          <w:sz w:val="20"/>
          <w:szCs w:val="20"/>
        </w:rPr>
        <w:t>1.3   地质及水文资料</w:t>
      </w:r>
    </w:p>
    <w:p w14:paraId="6944BF21">
      <w:pPr>
        <w:spacing w:before="230" w:line="228" w:lineRule="auto"/>
        <w:ind w:left="4"/>
        <w:rPr>
          <w:rFonts w:ascii="宋体" w:hAnsi="宋体" w:eastAsia="宋体" w:cs="宋体"/>
          <w:sz w:val="20"/>
          <w:szCs w:val="20"/>
        </w:rPr>
      </w:pPr>
      <w:r>
        <w:rPr>
          <w:rFonts w:ascii="宋体" w:hAnsi="宋体" w:eastAsia="宋体" w:cs="宋体"/>
          <w:spacing w:val="7"/>
          <w:sz w:val="20"/>
          <w:szCs w:val="20"/>
        </w:rPr>
        <w:t>1.3.1  现场地质及水文资料和信息数据如下：</w:t>
      </w:r>
    </w:p>
    <w:p w14:paraId="4231479D">
      <w:pPr>
        <w:spacing w:line="259" w:lineRule="auto"/>
        <w:rPr>
          <w:rFonts w:ascii="Arial"/>
          <w:sz w:val="21"/>
        </w:rPr>
      </w:pPr>
    </w:p>
    <w:p w14:paraId="0BF17A75">
      <w:pPr>
        <w:spacing w:line="259" w:lineRule="auto"/>
        <w:rPr>
          <w:rFonts w:ascii="Arial"/>
          <w:sz w:val="21"/>
        </w:rPr>
      </w:pPr>
      <w:r>
        <w:pict>
          <v:shape id="_x0000_s1113" o:spid="_x0000_s1113" style="position:absolute;left:0pt;margin-left:36pt;margin-top:8.75pt;height:0.5pt;width:357pt;z-index:251755520;mso-width-relative:page;mso-height-relative:page;" filled="f" stroked="t" coordsize="7140,10" path="m0,4l7140,4e">
            <v:fill on="f" focussize="0,0"/>
            <v:stroke weight="0.48pt" color="#000000" miterlimit="2" joinstyle="bevel"/>
            <v:imagedata o:title=""/>
            <o:lock v:ext="edit"/>
          </v:shape>
        </w:pict>
      </w:r>
    </w:p>
    <w:p w14:paraId="70A72999">
      <w:pPr>
        <w:spacing w:line="260" w:lineRule="auto"/>
        <w:rPr>
          <w:rFonts w:ascii="Arial"/>
          <w:sz w:val="21"/>
        </w:rPr>
      </w:pPr>
    </w:p>
    <w:p w14:paraId="4F1AB4A2">
      <w:pPr>
        <w:spacing w:before="66" w:line="102" w:lineRule="exact"/>
        <w:ind w:left="7884"/>
        <w:rPr>
          <w:rFonts w:ascii="宋体" w:hAnsi="宋体" w:eastAsia="宋体" w:cs="宋体"/>
          <w:sz w:val="20"/>
          <w:szCs w:val="20"/>
        </w:rPr>
      </w:pPr>
      <w:r>
        <w:pict>
          <v:shape id="_x0000_s1114" o:spid="_x0000_s1114" style="position:absolute;left:0pt;margin-left:36pt;margin-top:6.6pt;height:0.5pt;width:357pt;z-index:251756544;mso-width-relative:page;mso-height-relative:page;" filled="f" stroked="t" coordsize="7140,10" path="m0,4l7140,4e">
            <v:fill on="f" focussize="0,0"/>
            <v:stroke weight="0.48pt" color="#000000" miterlimit="2" joinstyle="bevel"/>
            <v:imagedata o:title=""/>
            <o:lock v:ext="edit"/>
          </v:shape>
        </w:pict>
      </w:r>
      <w:r>
        <w:rPr>
          <w:rFonts w:ascii="宋体" w:hAnsi="宋体" w:eastAsia="宋体" w:cs="宋体"/>
          <w:position w:val="1"/>
          <w:sz w:val="20"/>
          <w:szCs w:val="20"/>
        </w:rPr>
        <w:t>。</w:t>
      </w:r>
    </w:p>
    <w:p w14:paraId="14C3D04C">
      <w:pPr>
        <w:pStyle w:val="2"/>
        <w:spacing w:before="243" w:line="230" w:lineRule="auto"/>
        <w:rPr>
          <w:sz w:val="20"/>
          <w:szCs w:val="20"/>
        </w:rPr>
      </w:pPr>
      <w:r>
        <w:rPr>
          <w:spacing w:val="5"/>
          <w:sz w:val="20"/>
          <w:szCs w:val="20"/>
        </w:rPr>
        <w:t>1.4</w:t>
      </w:r>
      <w:r>
        <w:rPr>
          <w:spacing w:val="9"/>
          <w:sz w:val="20"/>
          <w:szCs w:val="20"/>
        </w:rPr>
        <w:t xml:space="preserve">    </w:t>
      </w:r>
      <w:r>
        <w:rPr>
          <w:spacing w:val="5"/>
          <w:sz w:val="20"/>
          <w:szCs w:val="20"/>
        </w:rPr>
        <w:t>资料和信息的使用</w:t>
      </w:r>
    </w:p>
    <w:p w14:paraId="6C5A732E">
      <w:pPr>
        <w:spacing w:line="230" w:lineRule="auto"/>
        <w:rPr>
          <w:sz w:val="20"/>
          <w:szCs w:val="20"/>
        </w:rPr>
        <w:sectPr>
          <w:footerReference r:id="rId479" w:type="default"/>
          <w:pgSz w:w="11907" w:h="16840"/>
          <w:pgMar w:top="400" w:right="1531" w:bottom="1247" w:left="1492" w:header="0" w:footer="1085" w:gutter="0"/>
          <w:cols w:space="720" w:num="1"/>
        </w:sectPr>
      </w:pPr>
    </w:p>
    <w:p w14:paraId="33625592">
      <w:pPr>
        <w:spacing w:line="273" w:lineRule="auto"/>
        <w:rPr>
          <w:rFonts w:ascii="Arial"/>
          <w:sz w:val="21"/>
        </w:rPr>
      </w:pPr>
    </w:p>
    <w:p w14:paraId="05EA41F3">
      <w:pPr>
        <w:spacing w:line="274" w:lineRule="auto"/>
        <w:rPr>
          <w:rFonts w:ascii="Arial"/>
          <w:sz w:val="21"/>
        </w:rPr>
      </w:pPr>
    </w:p>
    <w:p w14:paraId="50F06747">
      <w:pPr>
        <w:spacing w:line="274" w:lineRule="auto"/>
        <w:rPr>
          <w:rFonts w:ascii="Arial"/>
          <w:sz w:val="21"/>
        </w:rPr>
      </w:pPr>
    </w:p>
    <w:p w14:paraId="7BCEADBC">
      <w:pPr>
        <w:spacing w:line="274" w:lineRule="auto"/>
        <w:rPr>
          <w:rFonts w:ascii="Arial"/>
          <w:sz w:val="21"/>
        </w:rPr>
      </w:pPr>
    </w:p>
    <w:p w14:paraId="05865635">
      <w:pPr>
        <w:spacing w:line="274" w:lineRule="auto"/>
        <w:rPr>
          <w:rFonts w:ascii="Arial"/>
          <w:sz w:val="21"/>
        </w:rPr>
      </w:pPr>
    </w:p>
    <w:p w14:paraId="5E6E222C">
      <w:pPr>
        <w:spacing w:before="65" w:line="350" w:lineRule="auto"/>
        <w:ind w:left="784" w:hanging="767"/>
        <w:rPr>
          <w:rFonts w:ascii="宋体" w:hAnsi="宋体" w:eastAsia="宋体" w:cs="宋体"/>
          <w:sz w:val="20"/>
          <w:szCs w:val="20"/>
        </w:rPr>
      </w:pPr>
      <w:r>
        <w:rPr>
          <w:rFonts w:ascii="宋体" w:hAnsi="宋体" w:eastAsia="宋体" w:cs="宋体"/>
          <w:spacing w:val="5"/>
          <w:sz w:val="20"/>
          <w:szCs w:val="20"/>
        </w:rPr>
        <w:t>1.4.1  合同文件中载明的涉及本工程现场条件、周围环境、地质及水文等情况的资料和信</w:t>
      </w:r>
      <w:r>
        <w:rPr>
          <w:rFonts w:ascii="宋体" w:hAnsi="宋体" w:eastAsia="宋体" w:cs="宋体"/>
          <w:spacing w:val="4"/>
          <w:sz w:val="20"/>
          <w:szCs w:val="20"/>
        </w:rPr>
        <w:t>息数据，</w:t>
      </w:r>
      <w:r>
        <w:rPr>
          <w:rFonts w:ascii="宋体" w:hAnsi="宋体" w:eastAsia="宋体" w:cs="宋体"/>
          <w:spacing w:val="8"/>
          <w:sz w:val="20"/>
          <w:szCs w:val="20"/>
        </w:rPr>
        <w:t>是发包人现有的和客观的，发包人保证有关资料和信息数据的真实、准确。</w:t>
      </w:r>
      <w:r>
        <w:rPr>
          <w:rFonts w:ascii="宋体" w:hAnsi="宋体" w:eastAsia="宋体" w:cs="宋体"/>
          <w:spacing w:val="7"/>
          <w:sz w:val="20"/>
          <w:szCs w:val="20"/>
        </w:rPr>
        <w:t>但承包人据此作出的推论、判断和决策，</w:t>
      </w:r>
      <w:r>
        <w:rPr>
          <w:rFonts w:ascii="宋体" w:hAnsi="宋体" w:eastAsia="宋体" w:cs="宋体"/>
          <w:spacing w:val="-58"/>
          <w:sz w:val="20"/>
          <w:szCs w:val="20"/>
        </w:rPr>
        <w:t xml:space="preserve"> </w:t>
      </w:r>
      <w:r>
        <w:rPr>
          <w:rFonts w:ascii="宋体" w:hAnsi="宋体" w:eastAsia="宋体" w:cs="宋体"/>
          <w:spacing w:val="7"/>
          <w:sz w:val="20"/>
          <w:szCs w:val="20"/>
        </w:rPr>
        <w:t>由承包人自行负</w:t>
      </w:r>
      <w:r>
        <w:rPr>
          <w:rFonts w:ascii="宋体" w:hAnsi="宋体" w:eastAsia="宋体" w:cs="宋体"/>
          <w:spacing w:val="6"/>
          <w:sz w:val="20"/>
          <w:szCs w:val="20"/>
        </w:rPr>
        <w:t>责。</w:t>
      </w:r>
    </w:p>
    <w:p w14:paraId="29994C7B">
      <w:pPr>
        <w:pStyle w:val="2"/>
        <w:spacing w:before="1" w:line="222" w:lineRule="auto"/>
        <w:outlineLvl w:val="2"/>
        <w:rPr>
          <w:sz w:val="28"/>
          <w:szCs w:val="28"/>
        </w:rPr>
      </w:pPr>
      <w:bookmarkStart w:id="387" w:name="bookmark368"/>
      <w:bookmarkEnd w:id="387"/>
      <w:r>
        <w:rPr>
          <w:rFonts w:ascii="Times New Roman" w:hAnsi="Times New Roman" w:eastAsia="Times New Roman" w:cs="Times New Roman"/>
          <w:spacing w:val="-1"/>
          <w:sz w:val="28"/>
          <w:szCs w:val="28"/>
        </w:rPr>
        <w:t>2.</w:t>
      </w:r>
      <w:r>
        <w:rPr>
          <w:spacing w:val="-1"/>
          <w:sz w:val="28"/>
          <w:szCs w:val="28"/>
        </w:rPr>
        <w:t>承包范围</w:t>
      </w:r>
    </w:p>
    <w:p w14:paraId="11667908">
      <w:pPr>
        <w:pStyle w:val="2"/>
        <w:spacing w:before="98" w:line="222" w:lineRule="auto"/>
        <w:ind w:left="1"/>
        <w:rPr>
          <w:sz w:val="24"/>
          <w:szCs w:val="24"/>
        </w:rPr>
      </w:pPr>
      <w:r>
        <w:rPr>
          <w:spacing w:val="-1"/>
          <w:sz w:val="24"/>
          <w:szCs w:val="24"/>
        </w:rPr>
        <w:t>2.1    承包范围</w:t>
      </w:r>
    </w:p>
    <w:p w14:paraId="26808CD6">
      <w:pPr>
        <w:pStyle w:val="2"/>
        <w:spacing w:before="136" w:line="230" w:lineRule="auto"/>
        <w:rPr>
          <w:sz w:val="20"/>
          <w:szCs w:val="20"/>
        </w:rPr>
      </w:pPr>
      <w:r>
        <w:rPr>
          <w:spacing w:val="7"/>
          <w:sz w:val="20"/>
          <w:szCs w:val="20"/>
        </w:rPr>
        <w:t>2.1.1   承包人自行施工范围</w:t>
      </w:r>
    </w:p>
    <w:p w14:paraId="2490A365">
      <w:pPr>
        <w:spacing w:before="151" w:line="227" w:lineRule="auto"/>
        <w:ind w:left="843"/>
        <w:rPr>
          <w:rFonts w:ascii="宋体" w:hAnsi="宋体" w:eastAsia="宋体" w:cs="宋体"/>
          <w:sz w:val="20"/>
          <w:szCs w:val="20"/>
        </w:rPr>
      </w:pPr>
      <w:r>
        <w:rPr>
          <w:rFonts w:ascii="宋体" w:hAnsi="宋体" w:eastAsia="宋体" w:cs="宋体"/>
          <w:spacing w:val="8"/>
          <w:sz w:val="20"/>
          <w:szCs w:val="20"/>
        </w:rPr>
        <w:t>本工程承包人自行施工的工程范围如下：</w:t>
      </w:r>
    </w:p>
    <w:p w14:paraId="258CCA48">
      <w:pPr>
        <w:tabs>
          <w:tab w:val="left" w:pos="7344"/>
        </w:tabs>
        <w:spacing w:before="238"/>
        <w:ind w:left="728"/>
        <w:rPr>
          <w:rFonts w:ascii="Arial"/>
          <w:sz w:val="21"/>
        </w:rPr>
      </w:pPr>
      <w:r>
        <w:rPr>
          <w:rFonts w:ascii="Arial" w:hAnsi="Arial" w:eastAsia="Arial" w:cs="Arial"/>
          <w:sz w:val="21"/>
          <w:szCs w:val="21"/>
          <w:u w:val="single" w:color="auto"/>
        </w:rPr>
        <w:tab/>
      </w:r>
    </w:p>
    <w:p w14:paraId="0C77AF1A">
      <w:pPr>
        <w:spacing w:line="362" w:lineRule="auto"/>
        <w:rPr>
          <w:rFonts w:ascii="Arial"/>
          <w:sz w:val="21"/>
        </w:rPr>
      </w:pPr>
    </w:p>
    <w:p w14:paraId="40ED9BE6">
      <w:pPr>
        <w:tabs>
          <w:tab w:val="left" w:pos="7344"/>
        </w:tabs>
        <w:spacing w:before="24" w:line="173" w:lineRule="auto"/>
        <w:ind w:left="728"/>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65A923C">
      <w:pPr>
        <w:pStyle w:val="2"/>
        <w:spacing w:before="219" w:line="230" w:lineRule="auto"/>
        <w:rPr>
          <w:sz w:val="20"/>
          <w:szCs w:val="20"/>
        </w:rPr>
      </w:pPr>
      <w:r>
        <w:rPr>
          <w:spacing w:val="7"/>
          <w:sz w:val="20"/>
          <w:szCs w:val="20"/>
        </w:rPr>
        <w:t>2.1.2    承包范围内的暂估价项目</w:t>
      </w:r>
    </w:p>
    <w:p w14:paraId="0048C403">
      <w:pPr>
        <w:spacing w:before="153" w:line="368" w:lineRule="auto"/>
        <w:ind w:left="946" w:right="54" w:hanging="942"/>
        <w:rPr>
          <w:rFonts w:ascii="宋体" w:hAnsi="宋体" w:eastAsia="宋体" w:cs="宋体"/>
          <w:sz w:val="20"/>
          <w:szCs w:val="20"/>
        </w:rPr>
      </w:pPr>
      <w:r>
        <w:rPr>
          <w:rFonts w:ascii="宋体" w:hAnsi="宋体" w:eastAsia="宋体" w:cs="宋体"/>
          <w:spacing w:val="8"/>
          <w:sz w:val="20"/>
          <w:szCs w:val="20"/>
        </w:rPr>
        <w:t>2.1.2.1  承包范围内以暂估价形式实施的专业工程见第五章“工程量清单</w:t>
      </w:r>
      <w:r>
        <w:rPr>
          <w:rFonts w:ascii="宋体" w:hAnsi="宋体" w:eastAsia="宋体" w:cs="宋体"/>
          <w:spacing w:val="-65"/>
          <w:sz w:val="20"/>
          <w:szCs w:val="20"/>
        </w:rPr>
        <w:t xml:space="preserve"> </w:t>
      </w:r>
      <w:r>
        <w:rPr>
          <w:rFonts w:ascii="宋体" w:hAnsi="宋体" w:eastAsia="宋体" w:cs="宋体"/>
          <w:spacing w:val="8"/>
          <w:sz w:val="20"/>
          <w:szCs w:val="20"/>
        </w:rPr>
        <w:t>”表</w:t>
      </w:r>
      <w:r>
        <w:rPr>
          <w:rFonts w:ascii="宋体" w:hAnsi="宋体" w:eastAsia="宋体" w:cs="宋体"/>
          <w:spacing w:val="-37"/>
          <w:sz w:val="20"/>
          <w:szCs w:val="20"/>
        </w:rPr>
        <w:t xml:space="preserve"> </w:t>
      </w:r>
      <w:r>
        <w:rPr>
          <w:rFonts w:ascii="宋体" w:hAnsi="宋体" w:eastAsia="宋体" w:cs="宋体"/>
          <w:spacing w:val="8"/>
          <w:sz w:val="20"/>
          <w:szCs w:val="20"/>
        </w:rPr>
        <w:t>4.11—3“专业工</w:t>
      </w:r>
      <w:r>
        <w:rPr>
          <w:rFonts w:ascii="宋体" w:hAnsi="宋体" w:eastAsia="宋体" w:cs="宋体"/>
          <w:spacing w:val="3"/>
          <w:sz w:val="20"/>
          <w:szCs w:val="20"/>
        </w:rPr>
        <w:t>程暂估价表</w:t>
      </w:r>
      <w:r>
        <w:rPr>
          <w:rFonts w:ascii="宋体" w:hAnsi="宋体" w:eastAsia="宋体" w:cs="宋体"/>
          <w:spacing w:val="-72"/>
          <w:sz w:val="20"/>
          <w:szCs w:val="20"/>
        </w:rPr>
        <w:t xml:space="preserve"> </w:t>
      </w:r>
      <w:r>
        <w:rPr>
          <w:rFonts w:ascii="宋体" w:hAnsi="宋体" w:eastAsia="宋体" w:cs="宋体"/>
          <w:spacing w:val="3"/>
          <w:sz w:val="20"/>
          <w:szCs w:val="20"/>
        </w:rPr>
        <w:t>”。</w:t>
      </w:r>
    </w:p>
    <w:p w14:paraId="0A58DDEA">
      <w:pPr>
        <w:spacing w:before="1" w:line="369" w:lineRule="auto"/>
        <w:ind w:left="947" w:right="54" w:hanging="943"/>
        <w:rPr>
          <w:rFonts w:ascii="宋体" w:hAnsi="宋体" w:eastAsia="宋体" w:cs="宋体"/>
          <w:sz w:val="20"/>
          <w:szCs w:val="20"/>
        </w:rPr>
      </w:pPr>
      <w:r>
        <w:rPr>
          <w:rFonts w:ascii="宋体" w:hAnsi="宋体" w:eastAsia="宋体" w:cs="宋体"/>
          <w:spacing w:val="4"/>
          <w:sz w:val="20"/>
          <w:szCs w:val="20"/>
        </w:rPr>
        <w:t>2.1.2.2  承包范围内以暂估价形式实施的材料和工程设备见第五章“工程量清单</w:t>
      </w:r>
      <w:r>
        <w:rPr>
          <w:rFonts w:ascii="宋体" w:hAnsi="宋体" w:eastAsia="宋体" w:cs="宋体"/>
          <w:spacing w:val="-70"/>
          <w:sz w:val="20"/>
          <w:szCs w:val="20"/>
        </w:rPr>
        <w:t xml:space="preserve"> </w:t>
      </w:r>
      <w:r>
        <w:rPr>
          <w:rFonts w:ascii="宋体" w:hAnsi="宋体" w:eastAsia="宋体" w:cs="宋体"/>
          <w:spacing w:val="4"/>
          <w:sz w:val="20"/>
          <w:szCs w:val="20"/>
        </w:rPr>
        <w:t>”表</w:t>
      </w:r>
      <w:r>
        <w:rPr>
          <w:rFonts w:ascii="宋体" w:hAnsi="宋体" w:eastAsia="宋体" w:cs="宋体"/>
          <w:spacing w:val="-37"/>
          <w:sz w:val="20"/>
          <w:szCs w:val="20"/>
        </w:rPr>
        <w:t xml:space="preserve"> </w:t>
      </w:r>
      <w:r>
        <w:rPr>
          <w:rFonts w:ascii="宋体" w:hAnsi="宋体" w:eastAsia="宋体" w:cs="宋体"/>
          <w:spacing w:val="4"/>
          <w:sz w:val="20"/>
          <w:szCs w:val="20"/>
        </w:rPr>
        <w:t>4.11—</w:t>
      </w:r>
      <w:r>
        <w:rPr>
          <w:rFonts w:ascii="宋体" w:hAnsi="宋体" w:eastAsia="宋体" w:cs="宋体"/>
          <w:spacing w:val="3"/>
          <w:sz w:val="20"/>
          <w:szCs w:val="20"/>
        </w:rPr>
        <w:t>2“材</w:t>
      </w:r>
      <w:r>
        <w:rPr>
          <w:rFonts w:ascii="宋体" w:hAnsi="宋体" w:eastAsia="宋体" w:cs="宋体"/>
          <w:spacing w:val="6"/>
          <w:sz w:val="20"/>
          <w:szCs w:val="20"/>
        </w:rPr>
        <w:t>料和工程设备暂估单价表</w:t>
      </w:r>
      <w:r>
        <w:rPr>
          <w:rFonts w:ascii="宋体" w:hAnsi="宋体" w:eastAsia="宋体" w:cs="宋体"/>
          <w:spacing w:val="-70"/>
          <w:sz w:val="20"/>
          <w:szCs w:val="20"/>
        </w:rPr>
        <w:t xml:space="preserve"> </w:t>
      </w:r>
      <w:r>
        <w:rPr>
          <w:rFonts w:ascii="宋体" w:hAnsi="宋体" w:eastAsia="宋体" w:cs="宋体"/>
          <w:spacing w:val="6"/>
          <w:sz w:val="20"/>
          <w:szCs w:val="20"/>
        </w:rPr>
        <w:t>”。</w:t>
      </w:r>
    </w:p>
    <w:p w14:paraId="4A58CBCA">
      <w:pPr>
        <w:spacing w:line="226" w:lineRule="auto"/>
        <w:ind w:left="4"/>
        <w:rPr>
          <w:rFonts w:ascii="宋体" w:hAnsi="宋体" w:eastAsia="宋体" w:cs="宋体"/>
          <w:sz w:val="20"/>
          <w:szCs w:val="20"/>
        </w:rPr>
      </w:pPr>
      <w:r>
        <w:rPr>
          <w:rFonts w:ascii="宋体" w:hAnsi="宋体" w:eastAsia="宋体" w:cs="宋体"/>
          <w:spacing w:val="8"/>
          <w:sz w:val="20"/>
          <w:szCs w:val="20"/>
        </w:rPr>
        <w:t>2.1.2.3  上述暂估价项目与本节</w:t>
      </w:r>
      <w:r>
        <w:rPr>
          <w:rFonts w:ascii="宋体" w:hAnsi="宋体" w:eastAsia="宋体" w:cs="宋体"/>
          <w:spacing w:val="7"/>
          <w:sz w:val="20"/>
          <w:szCs w:val="20"/>
        </w:rPr>
        <w:t>第</w:t>
      </w:r>
      <w:r>
        <w:rPr>
          <w:rFonts w:ascii="宋体" w:hAnsi="宋体" w:eastAsia="宋体" w:cs="宋体"/>
          <w:spacing w:val="-37"/>
          <w:sz w:val="20"/>
          <w:szCs w:val="20"/>
        </w:rPr>
        <w:t xml:space="preserve"> </w:t>
      </w:r>
      <w:r>
        <w:rPr>
          <w:rFonts w:ascii="宋体" w:hAnsi="宋体" w:eastAsia="宋体" w:cs="宋体"/>
          <w:spacing w:val="7"/>
          <w:sz w:val="20"/>
          <w:szCs w:val="20"/>
        </w:rPr>
        <w:t>2.1.1</w:t>
      </w:r>
      <w:r>
        <w:rPr>
          <w:rFonts w:ascii="宋体" w:hAnsi="宋体" w:eastAsia="宋体" w:cs="宋体"/>
          <w:spacing w:val="-35"/>
          <w:sz w:val="20"/>
          <w:szCs w:val="20"/>
        </w:rPr>
        <w:t xml:space="preserve"> </w:t>
      </w:r>
      <w:r>
        <w:rPr>
          <w:rFonts w:ascii="宋体" w:hAnsi="宋体" w:eastAsia="宋体" w:cs="宋体"/>
          <w:spacing w:val="7"/>
          <w:sz w:val="20"/>
          <w:szCs w:val="20"/>
        </w:rPr>
        <w:t>项承包人自行施工范围的工作界面划分如下：</w:t>
      </w:r>
    </w:p>
    <w:p w14:paraId="7A7BD88F">
      <w:pPr>
        <w:tabs>
          <w:tab w:val="left" w:pos="8079"/>
        </w:tabs>
        <w:spacing w:before="243" w:line="397" w:lineRule="auto"/>
        <w:ind w:left="1044" w:right="870"/>
        <w:rPr>
          <w:rFonts w:ascii="Arial" w:hAnsi="Arial" w:eastAsia="Arial" w:cs="Arial"/>
          <w:sz w:val="21"/>
          <w:szCs w:val="21"/>
        </w:rPr>
      </w:pP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p>
    <w:p w14:paraId="5A70D46F">
      <w:pPr>
        <w:tabs>
          <w:tab w:val="left" w:pos="8079"/>
        </w:tabs>
        <w:spacing w:before="148" w:line="173" w:lineRule="auto"/>
        <w:ind w:left="104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FC20371">
      <w:pPr>
        <w:pStyle w:val="2"/>
        <w:spacing w:before="201" w:line="230" w:lineRule="auto"/>
        <w:rPr>
          <w:sz w:val="20"/>
          <w:szCs w:val="20"/>
        </w:rPr>
      </w:pPr>
      <w:r>
        <w:rPr>
          <w:spacing w:val="7"/>
          <w:sz w:val="20"/>
          <w:szCs w:val="20"/>
        </w:rPr>
        <w:t>2.1.3     承包范围内的暂列金额项目</w:t>
      </w:r>
    </w:p>
    <w:p w14:paraId="7FDA9062">
      <w:pPr>
        <w:spacing w:before="149" w:line="227" w:lineRule="auto"/>
        <w:ind w:left="4"/>
        <w:rPr>
          <w:rFonts w:ascii="宋体" w:hAnsi="宋体" w:eastAsia="宋体" w:cs="宋体"/>
          <w:sz w:val="20"/>
          <w:szCs w:val="20"/>
        </w:rPr>
      </w:pPr>
      <w:r>
        <w:rPr>
          <w:rFonts w:ascii="宋体" w:hAnsi="宋体" w:eastAsia="宋体" w:cs="宋体"/>
          <w:spacing w:val="6"/>
          <w:sz w:val="20"/>
          <w:szCs w:val="20"/>
        </w:rPr>
        <w:t>2.1.3.1  承包范围内以暂列金额（包括计日工）方式实施的项目见第五章“工程量清单</w:t>
      </w:r>
      <w:r>
        <w:rPr>
          <w:rFonts w:ascii="宋体" w:hAnsi="宋体" w:eastAsia="宋体" w:cs="宋体"/>
          <w:spacing w:val="-63"/>
          <w:sz w:val="20"/>
          <w:szCs w:val="20"/>
        </w:rPr>
        <w:t xml:space="preserve"> </w:t>
      </w:r>
      <w:r>
        <w:rPr>
          <w:rFonts w:ascii="宋体" w:hAnsi="宋体" w:eastAsia="宋体" w:cs="宋体"/>
          <w:spacing w:val="6"/>
          <w:sz w:val="20"/>
          <w:szCs w:val="20"/>
        </w:rPr>
        <w:t>”表</w:t>
      </w:r>
      <w:r>
        <w:rPr>
          <w:rFonts w:ascii="宋体" w:hAnsi="宋体" w:eastAsia="宋体" w:cs="宋体"/>
          <w:spacing w:val="-40"/>
          <w:sz w:val="20"/>
          <w:szCs w:val="20"/>
        </w:rPr>
        <w:t xml:space="preserve"> </w:t>
      </w:r>
      <w:r>
        <w:rPr>
          <w:rFonts w:ascii="宋体" w:hAnsi="宋体" w:eastAsia="宋体" w:cs="宋体"/>
          <w:spacing w:val="6"/>
          <w:sz w:val="20"/>
          <w:szCs w:val="20"/>
        </w:rPr>
        <w:t>4.1l</w:t>
      </w:r>
    </w:p>
    <w:p w14:paraId="5112338A">
      <w:pPr>
        <w:spacing w:before="156" w:line="369" w:lineRule="auto"/>
        <w:ind w:left="949" w:right="54" w:hanging="3"/>
        <w:jc w:val="both"/>
        <w:rPr>
          <w:rFonts w:ascii="宋体" w:hAnsi="宋体" w:eastAsia="宋体" w:cs="宋体"/>
          <w:sz w:val="20"/>
          <w:szCs w:val="20"/>
        </w:rPr>
      </w:pPr>
      <w:r>
        <w:rPr>
          <w:rFonts w:ascii="宋体" w:hAnsi="宋体" w:eastAsia="宋体" w:cs="宋体"/>
          <w:spacing w:val="4"/>
          <w:sz w:val="20"/>
          <w:szCs w:val="20"/>
        </w:rPr>
        <w:t>—l“暂列金额明细表</w:t>
      </w:r>
      <w:r>
        <w:rPr>
          <w:rFonts w:ascii="宋体" w:hAnsi="宋体" w:eastAsia="宋体" w:cs="宋体"/>
          <w:spacing w:val="-70"/>
          <w:sz w:val="20"/>
          <w:szCs w:val="20"/>
        </w:rPr>
        <w:t xml:space="preserve"> </w:t>
      </w:r>
      <w:r>
        <w:rPr>
          <w:rFonts w:ascii="宋体" w:hAnsi="宋体" w:eastAsia="宋体" w:cs="宋体"/>
          <w:spacing w:val="4"/>
          <w:sz w:val="20"/>
          <w:szCs w:val="20"/>
        </w:rPr>
        <w:t>”（不包括计日工）和表4.1l</w:t>
      </w:r>
      <w:r>
        <w:rPr>
          <w:rFonts w:ascii="宋体" w:hAnsi="宋体" w:eastAsia="宋体" w:cs="宋体"/>
          <w:spacing w:val="-34"/>
          <w:sz w:val="20"/>
          <w:szCs w:val="20"/>
        </w:rPr>
        <w:t xml:space="preserve"> </w:t>
      </w:r>
      <w:r>
        <w:rPr>
          <w:rFonts w:ascii="宋体" w:hAnsi="宋体" w:eastAsia="宋体" w:cs="宋体"/>
          <w:spacing w:val="4"/>
          <w:sz w:val="20"/>
          <w:szCs w:val="20"/>
        </w:rPr>
        <w:t>一</w:t>
      </w:r>
      <w:r>
        <w:rPr>
          <w:rFonts w:ascii="宋体" w:hAnsi="宋体" w:eastAsia="宋体" w:cs="宋体"/>
          <w:spacing w:val="-40"/>
          <w:sz w:val="20"/>
          <w:szCs w:val="20"/>
        </w:rPr>
        <w:t xml:space="preserve"> </w:t>
      </w:r>
      <w:r>
        <w:rPr>
          <w:rFonts w:ascii="宋体" w:hAnsi="宋体" w:eastAsia="宋体" w:cs="宋体"/>
          <w:spacing w:val="4"/>
          <w:sz w:val="20"/>
          <w:szCs w:val="20"/>
        </w:rPr>
        <w:t>4“计日工表</w:t>
      </w:r>
      <w:r>
        <w:rPr>
          <w:rFonts w:ascii="宋体" w:hAnsi="宋体" w:eastAsia="宋体" w:cs="宋体"/>
          <w:spacing w:val="-68"/>
          <w:sz w:val="20"/>
          <w:szCs w:val="20"/>
        </w:rPr>
        <w:t xml:space="preserve"> </w:t>
      </w:r>
      <w:r>
        <w:rPr>
          <w:rFonts w:ascii="宋体" w:hAnsi="宋体" w:eastAsia="宋体" w:cs="宋体"/>
          <w:spacing w:val="4"/>
          <w:sz w:val="20"/>
          <w:szCs w:val="20"/>
        </w:rPr>
        <w:t>”，其中计</w:t>
      </w:r>
      <w:r>
        <w:rPr>
          <w:rFonts w:ascii="宋体" w:hAnsi="宋体" w:eastAsia="宋体" w:cs="宋体"/>
          <w:spacing w:val="3"/>
          <w:sz w:val="20"/>
          <w:szCs w:val="20"/>
        </w:rPr>
        <w:t>日工金额</w:t>
      </w:r>
      <w:r>
        <w:rPr>
          <w:rFonts w:ascii="宋体" w:hAnsi="宋体" w:eastAsia="宋体" w:cs="宋体"/>
          <w:spacing w:val="10"/>
          <w:sz w:val="20"/>
          <w:szCs w:val="20"/>
        </w:rPr>
        <w:t>为承包人在其投标报价中按表4.11—4“计日工表</w:t>
      </w:r>
      <w:r>
        <w:rPr>
          <w:rFonts w:ascii="宋体" w:hAnsi="宋体" w:eastAsia="宋体" w:cs="宋体"/>
          <w:spacing w:val="-55"/>
          <w:sz w:val="20"/>
          <w:szCs w:val="20"/>
        </w:rPr>
        <w:t xml:space="preserve"> </w:t>
      </w:r>
      <w:r>
        <w:rPr>
          <w:rFonts w:ascii="宋体" w:hAnsi="宋体" w:eastAsia="宋体" w:cs="宋体"/>
          <w:spacing w:val="10"/>
          <w:sz w:val="20"/>
          <w:szCs w:val="20"/>
        </w:rPr>
        <w:t>”所列计日工子目、数量和相应规定</w:t>
      </w:r>
      <w:r>
        <w:rPr>
          <w:rFonts w:ascii="宋体" w:hAnsi="宋体" w:eastAsia="宋体" w:cs="宋体"/>
          <w:spacing w:val="6"/>
          <w:sz w:val="20"/>
          <w:szCs w:val="20"/>
        </w:rPr>
        <w:t>填报的金额。</w:t>
      </w:r>
    </w:p>
    <w:p w14:paraId="71226542">
      <w:pPr>
        <w:spacing w:before="1" w:line="369" w:lineRule="auto"/>
        <w:ind w:left="947" w:right="54" w:hanging="943"/>
        <w:rPr>
          <w:rFonts w:ascii="宋体" w:hAnsi="宋体" w:eastAsia="宋体" w:cs="宋体"/>
          <w:sz w:val="20"/>
          <w:szCs w:val="20"/>
        </w:rPr>
      </w:pPr>
      <w:r>
        <w:rPr>
          <w:rFonts w:ascii="宋体" w:hAnsi="宋体" w:eastAsia="宋体" w:cs="宋体"/>
          <w:spacing w:val="8"/>
          <w:sz w:val="20"/>
          <w:szCs w:val="20"/>
        </w:rPr>
        <w:t>2.1.3.2  暂列金额明细表中每笔暂列金额所对应的子目，包括计日工，均只是可能发生的子目。</w:t>
      </w:r>
      <w:r>
        <w:rPr>
          <w:rFonts w:ascii="宋体" w:hAnsi="宋体" w:eastAsia="宋体" w:cs="宋体"/>
          <w:spacing w:val="9"/>
          <w:sz w:val="20"/>
          <w:szCs w:val="20"/>
        </w:rPr>
        <w:t>承包人应当充分认识到，合同履行过程中所列暂列金额可能不发生，也可能部分发生。即便发生，监理人按照合同约定发出的使用暂列金额的指示也不限于只能用于表中所列</w:t>
      </w:r>
      <w:r>
        <w:rPr>
          <w:rFonts w:ascii="宋体" w:hAnsi="宋体" w:eastAsia="宋体" w:cs="宋体"/>
          <w:spacing w:val="3"/>
          <w:sz w:val="20"/>
          <w:szCs w:val="20"/>
        </w:rPr>
        <w:t>子目。</w:t>
      </w:r>
    </w:p>
    <w:p w14:paraId="4D129788">
      <w:pPr>
        <w:spacing w:before="2" w:line="368" w:lineRule="auto"/>
        <w:ind w:left="947" w:right="51" w:hanging="943"/>
        <w:rPr>
          <w:rFonts w:ascii="宋体" w:hAnsi="宋体" w:eastAsia="宋体" w:cs="宋体"/>
          <w:sz w:val="20"/>
          <w:szCs w:val="20"/>
        </w:rPr>
      </w:pPr>
      <w:r>
        <w:rPr>
          <w:rFonts w:ascii="宋体" w:hAnsi="宋体" w:eastAsia="宋体" w:cs="宋体"/>
          <w:spacing w:val="8"/>
          <w:sz w:val="20"/>
          <w:szCs w:val="20"/>
        </w:rPr>
        <w:t>2.1.3.3  暂列金额是否实际发生、其再分和合并等均不应成为承包人要求任何追加费用和（或）</w:t>
      </w:r>
      <w:r>
        <w:rPr>
          <w:rFonts w:ascii="宋体" w:hAnsi="宋体" w:eastAsia="宋体" w:cs="宋体"/>
          <w:spacing w:val="7"/>
          <w:sz w:val="20"/>
          <w:szCs w:val="20"/>
        </w:rPr>
        <w:t>延长工期的理由。</w:t>
      </w:r>
    </w:p>
    <w:p w14:paraId="35C22707">
      <w:pPr>
        <w:spacing w:before="1" w:line="227" w:lineRule="auto"/>
        <w:ind w:left="4"/>
        <w:rPr>
          <w:rFonts w:ascii="宋体" w:hAnsi="宋体" w:eastAsia="宋体" w:cs="宋体"/>
          <w:sz w:val="20"/>
          <w:szCs w:val="20"/>
        </w:rPr>
      </w:pPr>
      <w:r>
        <w:rPr>
          <w:rFonts w:ascii="宋体" w:hAnsi="宋体" w:eastAsia="宋体" w:cs="宋体"/>
          <w:spacing w:val="6"/>
          <w:sz w:val="20"/>
          <w:szCs w:val="20"/>
        </w:rPr>
        <w:t>2.1.3.4  关于暂列金额的其他说明：</w:t>
      </w:r>
    </w:p>
    <w:p w14:paraId="6FFBB40D">
      <w:pPr>
        <w:tabs>
          <w:tab w:val="left" w:pos="8392"/>
        </w:tabs>
        <w:spacing w:before="159"/>
        <w:ind w:left="939"/>
        <w:rPr>
          <w:rFonts w:ascii="Arial"/>
          <w:sz w:val="21"/>
        </w:rPr>
      </w:pPr>
      <w:r>
        <w:rPr>
          <w:rFonts w:ascii="Arial" w:hAnsi="Arial" w:eastAsia="Arial" w:cs="Arial"/>
          <w:sz w:val="21"/>
          <w:szCs w:val="21"/>
          <w:u w:val="single" w:color="auto"/>
        </w:rPr>
        <w:tab/>
      </w:r>
    </w:p>
    <w:p w14:paraId="42DC828E">
      <w:pPr>
        <w:spacing w:line="262" w:lineRule="auto"/>
        <w:rPr>
          <w:rFonts w:ascii="Arial"/>
          <w:sz w:val="21"/>
        </w:rPr>
      </w:pPr>
    </w:p>
    <w:p w14:paraId="287FDA87">
      <w:pPr>
        <w:tabs>
          <w:tab w:val="left" w:pos="8287"/>
        </w:tabs>
        <w:spacing w:before="23" w:line="173" w:lineRule="auto"/>
        <w:ind w:left="939"/>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AF6A9DD">
      <w:pPr>
        <w:pStyle w:val="2"/>
        <w:spacing w:before="201" w:line="229" w:lineRule="auto"/>
        <w:rPr>
          <w:sz w:val="20"/>
          <w:szCs w:val="20"/>
        </w:rPr>
      </w:pPr>
      <w:r>
        <w:rPr>
          <w:spacing w:val="8"/>
          <w:sz w:val="20"/>
          <w:szCs w:val="20"/>
        </w:rPr>
        <w:t>2.2    发包人发包专业工程和发包人供应的材料和工程设备</w:t>
      </w:r>
    </w:p>
    <w:p w14:paraId="12EB1A92">
      <w:pPr>
        <w:spacing w:line="229" w:lineRule="auto"/>
        <w:rPr>
          <w:sz w:val="20"/>
          <w:szCs w:val="20"/>
        </w:rPr>
        <w:sectPr>
          <w:footerReference r:id="rId480" w:type="default"/>
          <w:pgSz w:w="11907" w:h="16840"/>
          <w:pgMar w:top="400" w:right="1477" w:bottom="1247" w:left="1479" w:header="0" w:footer="1085" w:gutter="0"/>
          <w:cols w:space="720" w:num="1"/>
        </w:sectPr>
      </w:pPr>
    </w:p>
    <w:p w14:paraId="32E39107">
      <w:pPr>
        <w:spacing w:line="273" w:lineRule="auto"/>
        <w:rPr>
          <w:rFonts w:ascii="Arial"/>
          <w:sz w:val="21"/>
        </w:rPr>
      </w:pPr>
    </w:p>
    <w:p w14:paraId="611020A4">
      <w:pPr>
        <w:spacing w:line="274" w:lineRule="auto"/>
        <w:rPr>
          <w:rFonts w:ascii="Arial"/>
          <w:sz w:val="21"/>
        </w:rPr>
      </w:pPr>
    </w:p>
    <w:p w14:paraId="39CFF3DD">
      <w:pPr>
        <w:spacing w:line="274" w:lineRule="auto"/>
        <w:rPr>
          <w:rFonts w:ascii="Arial"/>
          <w:sz w:val="21"/>
        </w:rPr>
      </w:pPr>
    </w:p>
    <w:p w14:paraId="138A5A85">
      <w:pPr>
        <w:spacing w:line="274" w:lineRule="auto"/>
        <w:rPr>
          <w:rFonts w:ascii="Arial"/>
          <w:sz w:val="21"/>
        </w:rPr>
      </w:pPr>
    </w:p>
    <w:p w14:paraId="78F222C8">
      <w:pPr>
        <w:spacing w:line="274" w:lineRule="auto"/>
        <w:rPr>
          <w:rFonts w:ascii="Arial"/>
          <w:sz w:val="21"/>
        </w:rPr>
      </w:pPr>
    </w:p>
    <w:p w14:paraId="47024B6D">
      <w:pPr>
        <w:spacing w:before="65" w:line="369" w:lineRule="auto"/>
        <w:ind w:left="740" w:right="73" w:hanging="733"/>
        <w:rPr>
          <w:rFonts w:ascii="宋体" w:hAnsi="宋体" w:eastAsia="宋体" w:cs="宋体"/>
          <w:sz w:val="20"/>
          <w:szCs w:val="20"/>
        </w:rPr>
      </w:pPr>
      <w:r>
        <w:rPr>
          <w:rFonts w:ascii="宋体" w:hAnsi="宋体" w:eastAsia="宋体" w:cs="宋体"/>
          <w:spacing w:val="9"/>
          <w:sz w:val="20"/>
          <w:szCs w:val="20"/>
        </w:rPr>
        <w:t>2.2.1  由发包人发包的专业工程属</w:t>
      </w:r>
      <w:r>
        <w:rPr>
          <w:rFonts w:ascii="宋体" w:hAnsi="宋体" w:eastAsia="宋体" w:cs="宋体"/>
          <w:spacing w:val="8"/>
          <w:sz w:val="20"/>
          <w:szCs w:val="20"/>
        </w:rPr>
        <w:t>于与本工程有关的其他工程，不属于承包人的承包范围。发包</w:t>
      </w:r>
      <w:r>
        <w:rPr>
          <w:rFonts w:ascii="宋体" w:hAnsi="宋体" w:eastAsia="宋体" w:cs="宋体"/>
          <w:spacing w:val="7"/>
          <w:sz w:val="20"/>
          <w:szCs w:val="20"/>
        </w:rPr>
        <w:t>人发包的专业工程如下：</w:t>
      </w:r>
    </w:p>
    <w:p w14:paraId="349E6CE2">
      <w:pPr>
        <w:tabs>
          <w:tab w:val="left" w:pos="7347"/>
        </w:tabs>
        <w:spacing w:before="85"/>
        <w:ind w:left="731"/>
        <w:rPr>
          <w:rFonts w:ascii="Arial"/>
          <w:sz w:val="21"/>
        </w:rPr>
      </w:pPr>
      <w:r>
        <w:rPr>
          <w:rFonts w:ascii="Arial" w:hAnsi="Arial" w:eastAsia="Arial" w:cs="Arial"/>
          <w:sz w:val="21"/>
          <w:szCs w:val="21"/>
          <w:u w:val="single" w:color="auto"/>
        </w:rPr>
        <w:tab/>
      </w:r>
    </w:p>
    <w:p w14:paraId="4E687897">
      <w:pPr>
        <w:spacing w:line="362" w:lineRule="auto"/>
        <w:rPr>
          <w:rFonts w:ascii="Arial"/>
          <w:sz w:val="21"/>
        </w:rPr>
      </w:pPr>
    </w:p>
    <w:p w14:paraId="71E98308">
      <w:pPr>
        <w:tabs>
          <w:tab w:val="left" w:pos="7347"/>
        </w:tabs>
        <w:spacing w:before="23" w:line="173" w:lineRule="auto"/>
        <w:ind w:left="73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1C6B0C4">
      <w:pPr>
        <w:spacing w:before="219" w:line="369" w:lineRule="auto"/>
        <w:ind w:left="742" w:right="70" w:hanging="735"/>
        <w:rPr>
          <w:rFonts w:ascii="宋体" w:hAnsi="宋体" w:eastAsia="宋体" w:cs="宋体"/>
          <w:sz w:val="20"/>
          <w:szCs w:val="20"/>
        </w:rPr>
      </w:pPr>
      <w:r>
        <w:rPr>
          <w:rFonts w:ascii="宋体" w:hAnsi="宋体" w:eastAsia="宋体" w:cs="宋体"/>
          <w:spacing w:val="9"/>
          <w:sz w:val="20"/>
          <w:szCs w:val="20"/>
        </w:rPr>
        <w:t>2.2.2  由发包人供应的材料和工程设备不</w:t>
      </w:r>
      <w:r>
        <w:rPr>
          <w:rFonts w:ascii="宋体" w:hAnsi="宋体" w:eastAsia="宋体" w:cs="宋体"/>
          <w:spacing w:val="8"/>
          <w:sz w:val="20"/>
          <w:szCs w:val="20"/>
        </w:rPr>
        <w:t>属于承包人的承包范围。发包人供应的材料和工程设备见合同附件二“发包人供应的材料和工程设备一览</w:t>
      </w:r>
      <w:r>
        <w:rPr>
          <w:rFonts w:ascii="宋体" w:hAnsi="宋体" w:eastAsia="宋体" w:cs="宋体"/>
          <w:spacing w:val="7"/>
          <w:sz w:val="20"/>
          <w:szCs w:val="20"/>
        </w:rPr>
        <w:t>表</w:t>
      </w:r>
      <w:r>
        <w:rPr>
          <w:rFonts w:ascii="宋体" w:hAnsi="宋体" w:eastAsia="宋体" w:cs="宋体"/>
          <w:spacing w:val="-70"/>
          <w:sz w:val="20"/>
          <w:szCs w:val="20"/>
        </w:rPr>
        <w:t xml:space="preserve"> </w:t>
      </w:r>
      <w:r>
        <w:rPr>
          <w:rFonts w:ascii="宋体" w:hAnsi="宋体" w:eastAsia="宋体" w:cs="宋体"/>
          <w:spacing w:val="7"/>
          <w:sz w:val="20"/>
          <w:szCs w:val="20"/>
        </w:rPr>
        <w:t>”。</w:t>
      </w:r>
    </w:p>
    <w:p w14:paraId="1500EAA8">
      <w:pPr>
        <w:pStyle w:val="2"/>
        <w:spacing w:line="229" w:lineRule="auto"/>
        <w:ind w:left="3"/>
        <w:rPr>
          <w:sz w:val="20"/>
          <w:szCs w:val="20"/>
        </w:rPr>
      </w:pPr>
      <w:r>
        <w:rPr>
          <w:spacing w:val="8"/>
          <w:sz w:val="20"/>
          <w:szCs w:val="20"/>
        </w:rPr>
        <w:t>2.3    承包人与发包人发包专业工程承包人的工作界面</w:t>
      </w:r>
    </w:p>
    <w:p w14:paraId="36E132E3">
      <w:pPr>
        <w:spacing w:before="153" w:line="369" w:lineRule="auto"/>
        <w:ind w:left="739" w:right="73" w:hanging="732"/>
        <w:rPr>
          <w:rFonts w:ascii="宋体" w:hAnsi="宋体" w:eastAsia="宋体" w:cs="宋体"/>
          <w:sz w:val="20"/>
          <w:szCs w:val="20"/>
        </w:rPr>
      </w:pPr>
      <w:r>
        <w:rPr>
          <w:rFonts w:ascii="宋体" w:hAnsi="宋体" w:eastAsia="宋体" w:cs="宋体"/>
          <w:spacing w:val="13"/>
          <w:sz w:val="20"/>
          <w:szCs w:val="20"/>
        </w:rPr>
        <w:t>2.3.1  承包人与发包人发包专业工程承包人以及与发包人供应的材料和设备的供应商之间的工</w:t>
      </w:r>
      <w:r>
        <w:rPr>
          <w:rFonts w:ascii="宋体" w:hAnsi="宋体" w:eastAsia="宋体" w:cs="宋体"/>
          <w:spacing w:val="7"/>
          <w:sz w:val="20"/>
          <w:szCs w:val="20"/>
        </w:rPr>
        <w:t>作界面划分如下：</w:t>
      </w:r>
    </w:p>
    <w:p w14:paraId="6294D749">
      <w:pPr>
        <w:tabs>
          <w:tab w:val="left" w:pos="7975"/>
        </w:tabs>
        <w:spacing w:before="85"/>
        <w:ind w:left="731"/>
        <w:rPr>
          <w:rFonts w:ascii="Arial"/>
          <w:sz w:val="21"/>
        </w:rPr>
      </w:pPr>
      <w:r>
        <w:rPr>
          <w:rFonts w:ascii="Arial" w:hAnsi="Arial" w:eastAsia="Arial" w:cs="Arial"/>
          <w:sz w:val="21"/>
          <w:szCs w:val="21"/>
          <w:u w:val="single" w:color="auto"/>
        </w:rPr>
        <w:tab/>
      </w:r>
    </w:p>
    <w:p w14:paraId="77216D8A">
      <w:pPr>
        <w:spacing w:line="362" w:lineRule="auto"/>
        <w:rPr>
          <w:rFonts w:ascii="Arial"/>
          <w:sz w:val="21"/>
        </w:rPr>
      </w:pPr>
    </w:p>
    <w:p w14:paraId="6A2BB839">
      <w:pPr>
        <w:tabs>
          <w:tab w:val="left" w:pos="7975"/>
        </w:tabs>
        <w:spacing w:before="23" w:line="173" w:lineRule="auto"/>
        <w:ind w:left="73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E803CE6">
      <w:pPr>
        <w:pStyle w:val="2"/>
        <w:spacing w:before="220" w:line="229" w:lineRule="auto"/>
        <w:ind w:left="3"/>
        <w:rPr>
          <w:sz w:val="20"/>
          <w:szCs w:val="20"/>
        </w:rPr>
      </w:pPr>
      <w:r>
        <w:rPr>
          <w:spacing w:val="9"/>
          <w:sz w:val="20"/>
          <w:szCs w:val="20"/>
        </w:rPr>
        <w:t>2.4    承包人需要为发包人和监理</w:t>
      </w:r>
      <w:r>
        <w:rPr>
          <w:spacing w:val="8"/>
          <w:sz w:val="20"/>
          <w:szCs w:val="20"/>
        </w:rPr>
        <w:t>人提供的现场办公条件和设施</w:t>
      </w:r>
    </w:p>
    <w:p w14:paraId="189B5CEC">
      <w:pPr>
        <w:spacing w:before="150" w:line="227" w:lineRule="auto"/>
        <w:ind w:left="7"/>
        <w:rPr>
          <w:rFonts w:ascii="宋体" w:hAnsi="宋体" w:eastAsia="宋体" w:cs="宋体"/>
          <w:sz w:val="20"/>
          <w:szCs w:val="20"/>
        </w:rPr>
      </w:pPr>
      <w:r>
        <w:rPr>
          <w:rFonts w:ascii="宋体" w:hAnsi="宋体" w:eastAsia="宋体" w:cs="宋体"/>
          <w:spacing w:val="9"/>
          <w:sz w:val="20"/>
          <w:szCs w:val="20"/>
        </w:rPr>
        <w:t>2.4.1  承包人需要为发包人和监理人提供的</w:t>
      </w:r>
      <w:r>
        <w:rPr>
          <w:rFonts w:ascii="宋体" w:hAnsi="宋体" w:eastAsia="宋体" w:cs="宋体"/>
          <w:spacing w:val="8"/>
          <w:sz w:val="20"/>
          <w:szCs w:val="20"/>
        </w:rPr>
        <w:t>现场办公条件和设施及其详细要求如下：</w:t>
      </w:r>
    </w:p>
    <w:p w14:paraId="532CC84F">
      <w:pPr>
        <w:spacing w:line="310" w:lineRule="auto"/>
        <w:rPr>
          <w:rFonts w:ascii="Arial"/>
          <w:sz w:val="21"/>
        </w:rPr>
      </w:pPr>
    </w:p>
    <w:p w14:paraId="29899D53">
      <w:pPr>
        <w:spacing w:line="311" w:lineRule="auto"/>
        <w:rPr>
          <w:rFonts w:ascii="Arial"/>
          <w:sz w:val="21"/>
        </w:rPr>
      </w:pPr>
      <w:r>
        <w:pict>
          <v:shape id="_x0000_s1115" o:spid="_x0000_s1115" style="position:absolute;left:0pt;margin-left:36.8pt;margin-top:2.25pt;height:0.5pt;width:341.25pt;z-index:251758592;mso-width-relative:page;mso-height-relative:page;" filled="f" stroked="t" coordsize="6825,10" path="m0,4l6825,4e">
            <v:fill on="f" focussize="0,0"/>
            <v:stroke weight="0.48pt" color="#000000" miterlimit="2" joinstyle="bevel"/>
            <v:imagedata o:title=""/>
            <o:lock v:ext="edit"/>
          </v:shape>
        </w:pict>
      </w:r>
    </w:p>
    <w:p w14:paraId="230ED610">
      <w:pPr>
        <w:spacing w:before="66" w:line="103" w:lineRule="exact"/>
        <w:ind w:left="7585"/>
        <w:rPr>
          <w:rFonts w:ascii="宋体" w:hAnsi="宋体" w:eastAsia="宋体" w:cs="宋体"/>
          <w:sz w:val="20"/>
          <w:szCs w:val="20"/>
        </w:rPr>
      </w:pPr>
      <w:r>
        <w:pict>
          <v:shape id="_x0000_s1116" o:spid="_x0000_s1116" style="position:absolute;left:0pt;margin-left:36.8pt;margin-top:6.6pt;height:0.5pt;width:341.25pt;z-index:251757568;mso-width-relative:page;mso-height-relative:page;" filled="f" stroked="t" coordsize="6825,10" path="m0,4l6825,4e">
            <v:fill on="f" focussize="0,0"/>
            <v:stroke weight="0.48pt" color="#000000" miterlimit="2" joinstyle="bevel"/>
            <v:imagedata o:title=""/>
            <o:lock v:ext="edit"/>
          </v:shape>
        </w:pict>
      </w:r>
      <w:r>
        <w:rPr>
          <w:rFonts w:ascii="宋体" w:hAnsi="宋体" w:eastAsia="宋体" w:cs="宋体"/>
          <w:position w:val="1"/>
          <w:sz w:val="20"/>
          <w:szCs w:val="20"/>
        </w:rPr>
        <w:t>。</w:t>
      </w:r>
    </w:p>
    <w:p w14:paraId="18E98A99">
      <w:pPr>
        <w:pStyle w:val="2"/>
        <w:spacing w:before="101" w:line="223" w:lineRule="auto"/>
        <w:ind w:left="8"/>
        <w:outlineLvl w:val="2"/>
        <w:rPr>
          <w:sz w:val="28"/>
          <w:szCs w:val="28"/>
        </w:rPr>
      </w:pPr>
      <w:bookmarkStart w:id="388" w:name="bookmark369"/>
      <w:bookmarkEnd w:id="388"/>
      <w:r>
        <w:rPr>
          <w:rFonts w:ascii="Times New Roman" w:hAnsi="Times New Roman" w:eastAsia="Times New Roman" w:cs="Times New Roman"/>
          <w:spacing w:val="-2"/>
          <w:sz w:val="28"/>
          <w:szCs w:val="28"/>
        </w:rPr>
        <w:t>3.</w:t>
      </w:r>
      <w:r>
        <w:rPr>
          <w:spacing w:val="-2"/>
          <w:sz w:val="28"/>
          <w:szCs w:val="28"/>
        </w:rPr>
        <w:t>工期要求</w:t>
      </w:r>
    </w:p>
    <w:p w14:paraId="6E4C4BE6">
      <w:pPr>
        <w:pStyle w:val="2"/>
        <w:spacing w:before="96" w:line="223" w:lineRule="auto"/>
        <w:ind w:left="6"/>
        <w:rPr>
          <w:sz w:val="24"/>
          <w:szCs w:val="24"/>
        </w:rPr>
      </w:pPr>
      <w:r>
        <w:rPr>
          <w:spacing w:val="-3"/>
          <w:sz w:val="24"/>
          <w:szCs w:val="24"/>
        </w:rPr>
        <w:t>3.1</w:t>
      </w:r>
      <w:r>
        <w:rPr>
          <w:spacing w:val="3"/>
          <w:sz w:val="24"/>
          <w:szCs w:val="24"/>
        </w:rPr>
        <w:t xml:space="preserve">   </w:t>
      </w:r>
      <w:r>
        <w:rPr>
          <w:spacing w:val="-3"/>
          <w:sz w:val="24"/>
          <w:szCs w:val="24"/>
        </w:rPr>
        <w:t>合同工期</w:t>
      </w:r>
    </w:p>
    <w:p w14:paraId="696BE734">
      <w:pPr>
        <w:spacing w:before="136" w:line="357" w:lineRule="auto"/>
        <w:ind w:left="753" w:right="73" w:hanging="49"/>
        <w:rPr>
          <w:rFonts w:ascii="宋体" w:hAnsi="宋体" w:eastAsia="宋体" w:cs="宋体"/>
          <w:sz w:val="20"/>
          <w:szCs w:val="20"/>
        </w:rPr>
      </w:pPr>
      <w:r>
        <w:rPr>
          <w:rFonts w:ascii="宋体" w:hAnsi="宋体" w:eastAsia="宋体" w:cs="宋体"/>
          <w:spacing w:val="10"/>
          <w:sz w:val="20"/>
          <w:szCs w:val="20"/>
        </w:rPr>
        <w:t>本工程合同工期和计划开、竣工日期为承包人在投标函附录中承诺的工期和计划开、竣工</w:t>
      </w:r>
      <w:r>
        <w:rPr>
          <w:rFonts w:ascii="宋体" w:hAnsi="宋体" w:eastAsia="宋体" w:cs="宋体"/>
          <w:spacing w:val="6"/>
          <w:sz w:val="20"/>
          <w:szCs w:val="20"/>
        </w:rPr>
        <w:t>日期，并在合同协议书中载明。</w:t>
      </w:r>
    </w:p>
    <w:p w14:paraId="4154117A">
      <w:pPr>
        <w:pStyle w:val="2"/>
        <w:spacing w:before="1" w:line="220" w:lineRule="auto"/>
        <w:ind w:left="6"/>
        <w:rPr>
          <w:sz w:val="24"/>
          <w:szCs w:val="24"/>
        </w:rPr>
      </w:pPr>
      <w:r>
        <w:rPr>
          <w:spacing w:val="-1"/>
          <w:sz w:val="24"/>
          <w:szCs w:val="24"/>
        </w:rPr>
        <w:t>3.2   关于工期的一般规定</w:t>
      </w:r>
    </w:p>
    <w:p w14:paraId="7B7ECA87">
      <w:pPr>
        <w:spacing w:before="141" w:line="369" w:lineRule="auto"/>
        <w:ind w:left="739" w:right="70" w:hanging="730"/>
        <w:rPr>
          <w:rFonts w:ascii="宋体" w:hAnsi="宋体" w:eastAsia="宋体" w:cs="宋体"/>
          <w:sz w:val="20"/>
          <w:szCs w:val="20"/>
        </w:rPr>
      </w:pPr>
      <w:r>
        <w:rPr>
          <w:rFonts w:ascii="宋体" w:hAnsi="宋体" w:eastAsia="宋体" w:cs="宋体"/>
          <w:spacing w:val="8"/>
          <w:sz w:val="20"/>
          <w:szCs w:val="20"/>
        </w:rPr>
        <w:t>3.2.1  承包人在投标函中承诺的工期和计划开、竣工日期之间发生矛盾或者不一致时，以承包人</w:t>
      </w:r>
      <w:r>
        <w:rPr>
          <w:rFonts w:ascii="宋体" w:hAnsi="宋体" w:eastAsia="宋体" w:cs="宋体"/>
          <w:spacing w:val="10"/>
          <w:sz w:val="20"/>
          <w:szCs w:val="20"/>
        </w:rPr>
        <w:t>承诺的工期为准。实际开工日期以通用合同条款第</w:t>
      </w:r>
      <w:r>
        <w:rPr>
          <w:rFonts w:ascii="宋体" w:hAnsi="宋体" w:eastAsia="宋体" w:cs="宋体"/>
          <w:spacing w:val="-5"/>
          <w:sz w:val="20"/>
          <w:szCs w:val="20"/>
        </w:rPr>
        <w:t xml:space="preserve"> </w:t>
      </w:r>
      <w:r>
        <w:rPr>
          <w:rFonts w:ascii="宋体" w:hAnsi="宋体" w:eastAsia="宋体" w:cs="宋体"/>
          <w:spacing w:val="10"/>
          <w:sz w:val="20"/>
          <w:szCs w:val="20"/>
        </w:rPr>
        <w:t>11.1</w:t>
      </w:r>
      <w:r>
        <w:rPr>
          <w:rFonts w:ascii="宋体" w:hAnsi="宋体" w:eastAsia="宋体" w:cs="宋体"/>
          <w:spacing w:val="-37"/>
          <w:sz w:val="20"/>
          <w:szCs w:val="20"/>
        </w:rPr>
        <w:t xml:space="preserve"> </w:t>
      </w:r>
      <w:r>
        <w:rPr>
          <w:rFonts w:ascii="宋体" w:hAnsi="宋体" w:eastAsia="宋体" w:cs="宋体"/>
          <w:spacing w:val="10"/>
          <w:sz w:val="20"/>
          <w:szCs w:val="20"/>
        </w:rPr>
        <w:t>款约定的监理人发出的开工通知</w:t>
      </w:r>
      <w:r>
        <w:rPr>
          <w:rFonts w:ascii="宋体" w:hAnsi="宋体" w:eastAsia="宋体" w:cs="宋体"/>
          <w:spacing w:val="8"/>
          <w:sz w:val="20"/>
          <w:szCs w:val="20"/>
        </w:rPr>
        <w:t>中载明的开工日期为准。</w:t>
      </w:r>
    </w:p>
    <w:p w14:paraId="3562EDA3">
      <w:pPr>
        <w:spacing w:before="4" w:line="368" w:lineRule="auto"/>
        <w:ind w:left="739" w:right="73" w:hanging="730"/>
        <w:rPr>
          <w:rFonts w:ascii="宋体" w:hAnsi="宋体" w:eastAsia="宋体" w:cs="宋体"/>
          <w:sz w:val="20"/>
          <w:szCs w:val="20"/>
        </w:rPr>
      </w:pPr>
      <w:r>
        <w:rPr>
          <w:rFonts w:ascii="宋体" w:hAnsi="宋体" w:eastAsia="宋体" w:cs="宋体"/>
          <w:spacing w:val="8"/>
          <w:sz w:val="20"/>
          <w:szCs w:val="20"/>
        </w:rPr>
        <w:t>3.2.2  如果承包人在投标函附录中承诺的工期提前于发包人在本工程招标文件中所要求的工期，</w:t>
      </w:r>
      <w:r>
        <w:rPr>
          <w:rFonts w:ascii="宋体" w:hAnsi="宋体" w:eastAsia="宋体" w:cs="宋体"/>
          <w:spacing w:val="9"/>
          <w:sz w:val="20"/>
          <w:szCs w:val="20"/>
        </w:rPr>
        <w:t>承包人在施工组织设计中应当制定相应的工期保证措施，由此而增加的费用应当被认为已经包括在投标总价中。除合同另有约定外，合同履约过程中发包人不会因此再向承包人支付任何性质的技术措施费用、赶工费用或其他任何性质的提前完工奖励等费用。</w:t>
      </w:r>
    </w:p>
    <w:p w14:paraId="7CEE0AA7">
      <w:pPr>
        <w:spacing w:before="1" w:line="341" w:lineRule="auto"/>
        <w:ind w:left="742" w:right="70" w:hanging="733"/>
        <w:rPr>
          <w:rFonts w:ascii="宋体" w:hAnsi="宋体" w:eastAsia="宋体" w:cs="宋体"/>
          <w:sz w:val="20"/>
          <w:szCs w:val="20"/>
        </w:rPr>
      </w:pPr>
      <w:r>
        <w:rPr>
          <w:rFonts w:ascii="宋体" w:hAnsi="宋体" w:eastAsia="宋体" w:cs="宋体"/>
          <w:spacing w:val="9"/>
          <w:sz w:val="20"/>
          <w:szCs w:val="20"/>
        </w:rPr>
        <w:t>3.2.3  承包人在投标函附录中所承诺的工期应当包括实施并完成本节上述2.1.2</w:t>
      </w:r>
      <w:r>
        <w:rPr>
          <w:rFonts w:ascii="宋体" w:hAnsi="宋体" w:eastAsia="宋体" w:cs="宋体"/>
          <w:spacing w:val="-44"/>
          <w:sz w:val="20"/>
          <w:szCs w:val="20"/>
        </w:rPr>
        <w:t xml:space="preserve"> </w:t>
      </w:r>
      <w:r>
        <w:rPr>
          <w:rFonts w:ascii="宋体" w:hAnsi="宋体" w:eastAsia="宋体" w:cs="宋体"/>
          <w:spacing w:val="9"/>
          <w:sz w:val="20"/>
          <w:szCs w:val="20"/>
        </w:rPr>
        <w:t>项规定的暂估价</w:t>
      </w:r>
      <w:r>
        <w:rPr>
          <w:rFonts w:ascii="宋体" w:hAnsi="宋体" w:eastAsia="宋体" w:cs="宋体"/>
          <w:spacing w:val="8"/>
          <w:sz w:val="20"/>
          <w:szCs w:val="20"/>
        </w:rPr>
        <w:t>项目和上述</w:t>
      </w:r>
      <w:r>
        <w:rPr>
          <w:rFonts w:ascii="宋体" w:hAnsi="宋体" w:eastAsia="宋体" w:cs="宋体"/>
          <w:spacing w:val="-35"/>
          <w:sz w:val="20"/>
          <w:szCs w:val="20"/>
        </w:rPr>
        <w:t xml:space="preserve"> </w:t>
      </w:r>
      <w:r>
        <w:rPr>
          <w:rFonts w:ascii="宋体" w:hAnsi="宋体" w:eastAsia="宋体" w:cs="宋体"/>
          <w:spacing w:val="8"/>
          <w:sz w:val="20"/>
          <w:szCs w:val="20"/>
        </w:rPr>
        <w:t>2.1.3</w:t>
      </w:r>
      <w:r>
        <w:rPr>
          <w:rFonts w:ascii="宋体" w:hAnsi="宋体" w:eastAsia="宋体" w:cs="宋体"/>
          <w:spacing w:val="-37"/>
          <w:sz w:val="20"/>
          <w:szCs w:val="20"/>
        </w:rPr>
        <w:t xml:space="preserve"> </w:t>
      </w:r>
      <w:r>
        <w:rPr>
          <w:rFonts w:ascii="宋体" w:hAnsi="宋体" w:eastAsia="宋体" w:cs="宋体"/>
          <w:spacing w:val="8"/>
          <w:sz w:val="20"/>
          <w:szCs w:val="20"/>
        </w:rPr>
        <w:t>项规定的实际可能发生的暂列金额在内的所有工作的工期。</w:t>
      </w:r>
    </w:p>
    <w:p w14:paraId="22484776">
      <w:pPr>
        <w:pStyle w:val="2"/>
        <w:spacing w:before="2" w:line="222" w:lineRule="auto"/>
        <w:ind w:left="1"/>
        <w:outlineLvl w:val="2"/>
        <w:rPr>
          <w:sz w:val="28"/>
          <w:szCs w:val="28"/>
        </w:rPr>
      </w:pPr>
      <w:bookmarkStart w:id="389" w:name="bookmark370"/>
      <w:bookmarkEnd w:id="389"/>
      <w:r>
        <w:rPr>
          <w:rFonts w:ascii="Times New Roman" w:hAnsi="Times New Roman" w:eastAsia="Times New Roman" w:cs="Times New Roman"/>
          <w:spacing w:val="-1"/>
          <w:sz w:val="28"/>
          <w:szCs w:val="28"/>
        </w:rPr>
        <w:t>4.</w:t>
      </w:r>
      <w:r>
        <w:rPr>
          <w:spacing w:val="-1"/>
          <w:sz w:val="28"/>
          <w:szCs w:val="28"/>
        </w:rPr>
        <w:t>质量要求</w:t>
      </w:r>
    </w:p>
    <w:p w14:paraId="35384228">
      <w:pPr>
        <w:pStyle w:val="2"/>
        <w:spacing w:before="98" w:line="222" w:lineRule="auto"/>
        <w:rPr>
          <w:sz w:val="24"/>
          <w:szCs w:val="24"/>
        </w:rPr>
      </w:pPr>
      <w:r>
        <w:rPr>
          <w:spacing w:val="-3"/>
          <w:sz w:val="24"/>
          <w:szCs w:val="24"/>
        </w:rPr>
        <w:t>4.1</w:t>
      </w:r>
      <w:r>
        <w:rPr>
          <w:spacing w:val="5"/>
          <w:sz w:val="24"/>
          <w:szCs w:val="24"/>
        </w:rPr>
        <w:t xml:space="preserve">   </w:t>
      </w:r>
      <w:r>
        <w:rPr>
          <w:spacing w:val="-3"/>
          <w:sz w:val="24"/>
          <w:szCs w:val="24"/>
        </w:rPr>
        <w:t>质量标准</w:t>
      </w:r>
    </w:p>
    <w:p w14:paraId="0DDA8066">
      <w:pPr>
        <w:spacing w:before="136" w:line="227" w:lineRule="auto"/>
        <w:jc w:val="right"/>
        <w:rPr>
          <w:rFonts w:ascii="宋体" w:hAnsi="宋体" w:eastAsia="宋体" w:cs="宋体"/>
          <w:sz w:val="20"/>
          <w:szCs w:val="20"/>
        </w:rPr>
      </w:pPr>
      <w:r>
        <w:rPr>
          <w:rFonts w:ascii="宋体" w:hAnsi="宋体" w:eastAsia="宋体" w:cs="宋体"/>
          <w:spacing w:val="6"/>
          <w:sz w:val="20"/>
          <w:szCs w:val="20"/>
        </w:rPr>
        <w:t>4.1.1  本工程要求的质量标准为</w:t>
      </w:r>
      <w:r>
        <w:rPr>
          <w:rFonts w:ascii="宋体" w:hAnsi="宋体" w:eastAsia="宋体" w:cs="宋体"/>
          <w:spacing w:val="6"/>
          <w:sz w:val="20"/>
          <w:szCs w:val="20"/>
          <w:u w:val="single" w:color="auto"/>
        </w:rPr>
        <w:t>符合现行国家有关工程施</w:t>
      </w:r>
      <w:r>
        <w:rPr>
          <w:rFonts w:ascii="宋体" w:hAnsi="宋体" w:eastAsia="宋体" w:cs="宋体"/>
          <w:spacing w:val="5"/>
          <w:sz w:val="20"/>
          <w:szCs w:val="20"/>
          <w:u w:val="single" w:color="auto"/>
        </w:rPr>
        <w:t>工验收规范和标准的要求（也称合格）</w:t>
      </w:r>
      <w:r>
        <w:rPr>
          <w:rFonts w:ascii="宋体" w:hAnsi="宋体" w:eastAsia="宋体" w:cs="宋体"/>
          <w:spacing w:val="5"/>
          <w:sz w:val="20"/>
          <w:szCs w:val="20"/>
        </w:rPr>
        <w:t>。</w:t>
      </w:r>
    </w:p>
    <w:p w14:paraId="2548F98F">
      <w:pPr>
        <w:spacing w:line="227" w:lineRule="auto"/>
        <w:rPr>
          <w:rFonts w:ascii="宋体" w:hAnsi="宋体" w:eastAsia="宋体" w:cs="宋体"/>
          <w:sz w:val="20"/>
          <w:szCs w:val="20"/>
        </w:rPr>
        <w:sectPr>
          <w:footerReference r:id="rId481" w:type="default"/>
          <w:pgSz w:w="11907" w:h="16840"/>
          <w:pgMar w:top="400" w:right="1460" w:bottom="1247" w:left="1476" w:header="0" w:footer="1085" w:gutter="0"/>
          <w:cols w:space="720" w:num="1"/>
        </w:sectPr>
      </w:pPr>
    </w:p>
    <w:p w14:paraId="414A0A1C">
      <w:pPr>
        <w:spacing w:line="269" w:lineRule="auto"/>
        <w:rPr>
          <w:rFonts w:ascii="Arial"/>
          <w:sz w:val="21"/>
        </w:rPr>
      </w:pPr>
    </w:p>
    <w:p w14:paraId="5D66EF8A">
      <w:pPr>
        <w:spacing w:line="269" w:lineRule="auto"/>
        <w:rPr>
          <w:rFonts w:ascii="Arial"/>
          <w:sz w:val="21"/>
        </w:rPr>
      </w:pPr>
    </w:p>
    <w:p w14:paraId="47067F37">
      <w:pPr>
        <w:spacing w:line="269" w:lineRule="auto"/>
        <w:rPr>
          <w:rFonts w:ascii="Arial"/>
          <w:sz w:val="21"/>
        </w:rPr>
      </w:pPr>
    </w:p>
    <w:p w14:paraId="0C189B3E">
      <w:pPr>
        <w:spacing w:line="269" w:lineRule="auto"/>
        <w:rPr>
          <w:rFonts w:ascii="Arial"/>
          <w:sz w:val="21"/>
        </w:rPr>
      </w:pPr>
    </w:p>
    <w:p w14:paraId="0791CD0E">
      <w:pPr>
        <w:spacing w:line="269" w:lineRule="auto"/>
        <w:rPr>
          <w:rFonts w:ascii="Arial"/>
          <w:sz w:val="21"/>
        </w:rPr>
      </w:pPr>
    </w:p>
    <w:p w14:paraId="12E53ECD">
      <w:pPr>
        <w:pStyle w:val="2"/>
        <w:spacing w:before="78" w:line="222" w:lineRule="auto"/>
        <w:rPr>
          <w:sz w:val="24"/>
          <w:szCs w:val="24"/>
        </w:rPr>
      </w:pPr>
      <w:r>
        <w:rPr>
          <w:spacing w:val="-1"/>
          <w:sz w:val="24"/>
          <w:szCs w:val="24"/>
        </w:rPr>
        <w:t>4.2   特殊质量要求</w:t>
      </w:r>
    </w:p>
    <w:p w14:paraId="0846E159">
      <w:pPr>
        <w:spacing w:before="165" w:line="227" w:lineRule="auto"/>
        <w:ind w:left="4"/>
        <w:rPr>
          <w:rFonts w:ascii="宋体" w:hAnsi="宋体" w:eastAsia="宋体" w:cs="宋体"/>
          <w:sz w:val="20"/>
          <w:szCs w:val="20"/>
        </w:rPr>
      </w:pPr>
      <w:r>
        <w:rPr>
          <w:rFonts w:ascii="宋体" w:hAnsi="宋体" w:eastAsia="宋体" w:cs="宋体"/>
          <w:spacing w:val="7"/>
          <w:sz w:val="20"/>
          <w:szCs w:val="20"/>
        </w:rPr>
        <w:t>4.2.1  有关本工程质量方面的特殊要求如下：</w:t>
      </w:r>
    </w:p>
    <w:p w14:paraId="263C51DD">
      <w:pPr>
        <w:spacing w:line="280" w:lineRule="auto"/>
        <w:rPr>
          <w:rFonts w:ascii="Arial"/>
          <w:sz w:val="21"/>
        </w:rPr>
      </w:pPr>
    </w:p>
    <w:p w14:paraId="4912463F">
      <w:pPr>
        <w:spacing w:line="280" w:lineRule="auto"/>
        <w:rPr>
          <w:rFonts w:ascii="Arial"/>
          <w:sz w:val="21"/>
        </w:rPr>
      </w:pPr>
      <w:r>
        <w:pict>
          <v:shape id="_x0000_s1117" o:spid="_x0000_s1117" style="position:absolute;left:0pt;margin-left:36.8pt;margin-top:7.7pt;height:0.5pt;width:330.85pt;z-index:251759616;mso-width-relative:page;mso-height-relative:page;" filled="f" stroked="t" coordsize="6617,10" path="m0,4l6616,4e">
            <v:fill on="f" focussize="0,0"/>
            <v:stroke weight="0.48pt" color="#000000" miterlimit="2" joinstyle="bevel"/>
            <v:imagedata o:title=""/>
            <o:lock v:ext="edit"/>
          </v:shape>
        </w:pict>
      </w:r>
    </w:p>
    <w:p w14:paraId="492ED46F">
      <w:pPr>
        <w:spacing w:line="280" w:lineRule="auto"/>
        <w:rPr>
          <w:rFonts w:ascii="Arial"/>
          <w:sz w:val="21"/>
        </w:rPr>
      </w:pPr>
    </w:p>
    <w:p w14:paraId="31D472C2">
      <w:pPr>
        <w:tabs>
          <w:tab w:val="left" w:pos="7347"/>
        </w:tabs>
        <w:spacing w:before="22" w:line="173" w:lineRule="auto"/>
        <w:ind w:left="73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A606BBE">
      <w:pPr>
        <w:pStyle w:val="2"/>
        <w:spacing w:before="157" w:line="224" w:lineRule="auto"/>
        <w:ind w:left="10"/>
        <w:outlineLvl w:val="2"/>
        <w:rPr>
          <w:sz w:val="28"/>
          <w:szCs w:val="28"/>
        </w:rPr>
      </w:pPr>
      <w:bookmarkStart w:id="390" w:name="bookmark371"/>
      <w:bookmarkEnd w:id="390"/>
      <w:r>
        <w:rPr>
          <w:rFonts w:ascii="Times New Roman" w:hAnsi="Times New Roman" w:eastAsia="Times New Roman" w:cs="Times New Roman"/>
          <w:spacing w:val="-2"/>
          <w:sz w:val="28"/>
          <w:szCs w:val="28"/>
        </w:rPr>
        <w:t>5.</w:t>
      </w:r>
      <w:r>
        <w:rPr>
          <w:spacing w:val="-2"/>
          <w:sz w:val="28"/>
          <w:szCs w:val="28"/>
        </w:rPr>
        <w:t>适用规范和标准</w:t>
      </w:r>
    </w:p>
    <w:p w14:paraId="56DAA575">
      <w:pPr>
        <w:pStyle w:val="2"/>
        <w:spacing w:before="137" w:line="222" w:lineRule="auto"/>
        <w:rPr>
          <w:sz w:val="24"/>
          <w:szCs w:val="24"/>
        </w:rPr>
      </w:pPr>
      <w:r>
        <w:rPr>
          <w:spacing w:val="-1"/>
          <w:sz w:val="24"/>
          <w:szCs w:val="24"/>
        </w:rPr>
        <w:t>5.1    适用的规范、标准和规程</w:t>
      </w:r>
    </w:p>
    <w:p w14:paraId="7E22E1A6">
      <w:pPr>
        <w:spacing w:before="180" w:line="388" w:lineRule="auto"/>
        <w:ind w:left="756" w:right="3" w:hanging="747"/>
        <w:rPr>
          <w:rFonts w:ascii="宋体" w:hAnsi="宋体" w:eastAsia="宋体" w:cs="宋体"/>
          <w:sz w:val="20"/>
          <w:szCs w:val="20"/>
        </w:rPr>
      </w:pPr>
      <w:r>
        <w:rPr>
          <w:rFonts w:ascii="宋体" w:hAnsi="宋体" w:eastAsia="宋体" w:cs="宋体"/>
          <w:spacing w:val="8"/>
          <w:sz w:val="20"/>
          <w:szCs w:val="20"/>
        </w:rPr>
        <w:t>5.1.1  除合同另有约定外，本工程适用现行国家、行业和地方规范、标准和规程。适用于本工程</w:t>
      </w:r>
      <w:r>
        <w:rPr>
          <w:rFonts w:ascii="宋体" w:hAnsi="宋体" w:eastAsia="宋体" w:cs="宋体"/>
          <w:spacing w:val="9"/>
          <w:sz w:val="20"/>
          <w:szCs w:val="20"/>
        </w:rPr>
        <w:t>的国家、行业和地方的规范、标准和规范等</w:t>
      </w:r>
      <w:r>
        <w:rPr>
          <w:rFonts w:ascii="宋体" w:hAnsi="宋体" w:eastAsia="宋体" w:cs="宋体"/>
          <w:spacing w:val="8"/>
          <w:sz w:val="20"/>
          <w:szCs w:val="20"/>
        </w:rPr>
        <w:t>的名录见本章第三节。</w:t>
      </w:r>
    </w:p>
    <w:p w14:paraId="54A639BE">
      <w:pPr>
        <w:spacing w:before="1" w:line="387" w:lineRule="auto"/>
        <w:ind w:left="744" w:right="1"/>
        <w:rPr>
          <w:rFonts w:ascii="宋体" w:hAnsi="宋体" w:eastAsia="宋体" w:cs="宋体"/>
          <w:sz w:val="20"/>
          <w:szCs w:val="20"/>
        </w:rPr>
      </w:pPr>
      <w:r>
        <w:rPr>
          <w:rFonts w:ascii="宋体" w:hAnsi="宋体" w:eastAsia="宋体" w:cs="宋体"/>
          <w:spacing w:val="9"/>
          <w:sz w:val="20"/>
          <w:szCs w:val="20"/>
        </w:rPr>
        <w:t>构成合同文件的任何内容与适用的规范、标准和规程之间出现矛盾，承包人应书面要求监理人予以澄清，除监理人有特别指示外，承包人应按照其中要求最严格的标准执行。</w:t>
      </w:r>
    </w:p>
    <w:p w14:paraId="0402295C">
      <w:pPr>
        <w:spacing w:before="3" w:line="387" w:lineRule="auto"/>
        <w:ind w:left="740" w:hanging="731"/>
        <w:rPr>
          <w:rFonts w:ascii="宋体" w:hAnsi="宋体" w:eastAsia="宋体" w:cs="宋体"/>
          <w:sz w:val="20"/>
          <w:szCs w:val="20"/>
        </w:rPr>
      </w:pPr>
      <w:r>
        <w:rPr>
          <w:rFonts w:ascii="宋体" w:hAnsi="宋体" w:eastAsia="宋体" w:cs="宋体"/>
          <w:spacing w:val="9"/>
          <w:sz w:val="20"/>
          <w:szCs w:val="20"/>
        </w:rPr>
        <w:t>5.1.2  除合同另有约定外，材料、施</w:t>
      </w:r>
      <w:r>
        <w:rPr>
          <w:rFonts w:ascii="宋体" w:hAnsi="宋体" w:eastAsia="宋体" w:cs="宋体"/>
          <w:spacing w:val="8"/>
          <w:sz w:val="20"/>
          <w:szCs w:val="20"/>
        </w:rPr>
        <w:t>工工艺和本工程都应依照本技术标准和要求以及适用的现行</w:t>
      </w:r>
      <w:r>
        <w:rPr>
          <w:rFonts w:ascii="宋体" w:hAnsi="宋体" w:eastAsia="宋体" w:cs="宋体"/>
          <w:spacing w:val="9"/>
          <w:sz w:val="20"/>
          <w:szCs w:val="20"/>
        </w:rPr>
        <w:t>规范、标准和规程的最新版本执行。若适用的现行规范、标准和规程的最新版本是在基准</w:t>
      </w:r>
      <w:r>
        <w:rPr>
          <w:rFonts w:ascii="宋体" w:hAnsi="宋体" w:eastAsia="宋体" w:cs="宋体"/>
          <w:spacing w:val="7"/>
          <w:sz w:val="20"/>
          <w:szCs w:val="20"/>
        </w:rPr>
        <w:t>日后颁布的，且相应标准发生变更并成为合同文件中最严格的标准，则应按合同条款第</w:t>
      </w:r>
      <w:r>
        <w:rPr>
          <w:rFonts w:ascii="宋体" w:hAnsi="宋体" w:eastAsia="宋体" w:cs="宋体"/>
          <w:spacing w:val="-22"/>
          <w:sz w:val="20"/>
          <w:szCs w:val="20"/>
        </w:rPr>
        <w:t xml:space="preserve"> </w:t>
      </w:r>
      <w:r>
        <w:rPr>
          <w:rFonts w:ascii="宋体" w:hAnsi="宋体" w:eastAsia="宋体" w:cs="宋体"/>
          <w:spacing w:val="7"/>
          <w:sz w:val="20"/>
          <w:szCs w:val="20"/>
        </w:rPr>
        <w:t>15</w:t>
      </w:r>
      <w:r>
        <w:rPr>
          <w:rFonts w:ascii="宋体" w:hAnsi="宋体" w:eastAsia="宋体" w:cs="宋体"/>
          <w:spacing w:val="6"/>
          <w:sz w:val="20"/>
          <w:szCs w:val="20"/>
        </w:rPr>
        <w:t>条的约定办理。</w:t>
      </w:r>
    </w:p>
    <w:p w14:paraId="21C91C63">
      <w:pPr>
        <w:pStyle w:val="2"/>
        <w:spacing w:before="1" w:line="221" w:lineRule="auto"/>
        <w:rPr>
          <w:sz w:val="24"/>
          <w:szCs w:val="24"/>
        </w:rPr>
      </w:pPr>
      <w:r>
        <w:rPr>
          <w:spacing w:val="-1"/>
          <w:sz w:val="24"/>
          <w:szCs w:val="24"/>
        </w:rPr>
        <w:t>5.2    特殊技术标准和要求</w:t>
      </w:r>
    </w:p>
    <w:p w14:paraId="381695FD">
      <w:pPr>
        <w:spacing w:before="189" w:line="227" w:lineRule="auto"/>
        <w:ind w:left="9"/>
        <w:rPr>
          <w:rFonts w:ascii="宋体" w:hAnsi="宋体" w:eastAsia="宋体" w:cs="宋体"/>
          <w:sz w:val="20"/>
          <w:szCs w:val="20"/>
        </w:rPr>
      </w:pPr>
      <w:r>
        <w:rPr>
          <w:rFonts w:ascii="宋体" w:hAnsi="宋体" w:eastAsia="宋体" w:cs="宋体"/>
          <w:spacing w:val="8"/>
          <w:sz w:val="20"/>
          <w:szCs w:val="20"/>
        </w:rPr>
        <w:t>5.2.1  适用本工程的特殊技术标准和要求见本章第</w:t>
      </w:r>
      <w:r>
        <w:rPr>
          <w:rFonts w:ascii="宋体" w:hAnsi="宋体" w:eastAsia="宋体" w:cs="宋体"/>
          <w:spacing w:val="7"/>
          <w:sz w:val="20"/>
          <w:szCs w:val="20"/>
        </w:rPr>
        <w:t>二节。</w:t>
      </w:r>
    </w:p>
    <w:p w14:paraId="4C568996">
      <w:pPr>
        <w:spacing w:before="184" w:line="227" w:lineRule="auto"/>
        <w:ind w:left="9"/>
        <w:rPr>
          <w:rFonts w:ascii="宋体" w:hAnsi="宋体" w:eastAsia="宋体" w:cs="宋体"/>
          <w:sz w:val="20"/>
          <w:szCs w:val="20"/>
        </w:rPr>
      </w:pPr>
      <w:r>
        <w:rPr>
          <w:rFonts w:ascii="宋体" w:hAnsi="宋体" w:eastAsia="宋体" w:cs="宋体"/>
          <w:spacing w:val="8"/>
          <w:sz w:val="20"/>
          <w:szCs w:val="20"/>
        </w:rPr>
        <w:t>5.2.2  有合同约束力的图纸和其他设计文件中的有关文字说明是本节的组成内容。</w:t>
      </w:r>
    </w:p>
    <w:p w14:paraId="288009EC">
      <w:pPr>
        <w:pStyle w:val="2"/>
        <w:spacing w:before="97" w:line="222" w:lineRule="auto"/>
        <w:ind w:left="9"/>
        <w:outlineLvl w:val="2"/>
        <w:rPr>
          <w:sz w:val="28"/>
          <w:szCs w:val="28"/>
        </w:rPr>
      </w:pPr>
      <w:bookmarkStart w:id="391" w:name="bookmark372"/>
      <w:bookmarkEnd w:id="391"/>
      <w:r>
        <w:rPr>
          <w:rFonts w:ascii="Times New Roman" w:hAnsi="Times New Roman" w:eastAsia="Times New Roman" w:cs="Times New Roman"/>
          <w:spacing w:val="-2"/>
          <w:sz w:val="28"/>
          <w:szCs w:val="28"/>
        </w:rPr>
        <w:t>6.</w:t>
      </w:r>
      <w:r>
        <w:rPr>
          <w:spacing w:val="-2"/>
          <w:sz w:val="28"/>
          <w:szCs w:val="28"/>
        </w:rPr>
        <w:t>安全文明施工</w:t>
      </w:r>
    </w:p>
    <w:p w14:paraId="13993522">
      <w:pPr>
        <w:pStyle w:val="2"/>
        <w:spacing w:before="100" w:line="221" w:lineRule="auto"/>
        <w:ind w:left="5"/>
        <w:rPr>
          <w:sz w:val="24"/>
          <w:szCs w:val="24"/>
        </w:rPr>
      </w:pPr>
      <w:r>
        <w:rPr>
          <w:spacing w:val="-4"/>
          <w:sz w:val="24"/>
          <w:szCs w:val="24"/>
        </w:rPr>
        <w:t>6.1</w:t>
      </w:r>
      <w:r>
        <w:rPr>
          <w:spacing w:val="6"/>
          <w:sz w:val="24"/>
          <w:szCs w:val="24"/>
        </w:rPr>
        <w:t xml:space="preserve">   </w:t>
      </w:r>
      <w:r>
        <w:rPr>
          <w:spacing w:val="-4"/>
          <w:sz w:val="24"/>
          <w:szCs w:val="24"/>
        </w:rPr>
        <w:t>安全防护</w:t>
      </w:r>
    </w:p>
    <w:p w14:paraId="569627DA">
      <w:pPr>
        <w:spacing w:before="163" w:line="397" w:lineRule="auto"/>
        <w:ind w:left="742" w:right="1" w:hanging="736"/>
        <w:rPr>
          <w:rFonts w:ascii="宋体" w:hAnsi="宋体" w:eastAsia="宋体" w:cs="宋体"/>
          <w:sz w:val="20"/>
          <w:szCs w:val="20"/>
        </w:rPr>
      </w:pPr>
      <w:r>
        <w:rPr>
          <w:rFonts w:ascii="宋体" w:hAnsi="宋体" w:eastAsia="宋体" w:cs="宋体"/>
          <w:spacing w:val="9"/>
          <w:sz w:val="20"/>
          <w:szCs w:val="20"/>
        </w:rPr>
        <w:t>6.1.1  在工程施工、竣工、交付及修</w:t>
      </w:r>
      <w:r>
        <w:rPr>
          <w:rFonts w:ascii="宋体" w:hAnsi="宋体" w:eastAsia="宋体" w:cs="宋体"/>
          <w:spacing w:val="8"/>
          <w:sz w:val="20"/>
          <w:szCs w:val="20"/>
        </w:rPr>
        <w:t>补任何缺陷的过程中，承包人应当始终遵守国家和地方有关</w:t>
      </w:r>
      <w:r>
        <w:rPr>
          <w:rFonts w:ascii="宋体" w:hAnsi="宋体" w:eastAsia="宋体" w:cs="宋体"/>
          <w:spacing w:val="10"/>
          <w:sz w:val="20"/>
          <w:szCs w:val="20"/>
        </w:rPr>
        <w:t>安全生产的法律、法规、规范、标准和规程等，按照通用合同条款第9</w:t>
      </w:r>
      <w:r>
        <w:rPr>
          <w:rFonts w:ascii="宋体" w:hAnsi="宋体" w:eastAsia="宋体" w:cs="宋体"/>
          <w:spacing w:val="9"/>
          <w:sz w:val="20"/>
          <w:szCs w:val="20"/>
        </w:rPr>
        <w:t>.2</w:t>
      </w:r>
      <w:r>
        <w:rPr>
          <w:rFonts w:ascii="宋体" w:hAnsi="宋体" w:eastAsia="宋体" w:cs="宋体"/>
          <w:spacing w:val="-37"/>
          <w:sz w:val="20"/>
          <w:szCs w:val="20"/>
        </w:rPr>
        <w:t xml:space="preserve"> </w:t>
      </w:r>
      <w:r>
        <w:rPr>
          <w:rFonts w:ascii="宋体" w:hAnsi="宋体" w:eastAsia="宋体" w:cs="宋体"/>
          <w:spacing w:val="9"/>
          <w:sz w:val="20"/>
          <w:szCs w:val="20"/>
        </w:rPr>
        <w:t>款的约定履行其</w:t>
      </w:r>
      <w:r>
        <w:rPr>
          <w:rFonts w:ascii="宋体" w:hAnsi="宋体" w:eastAsia="宋体" w:cs="宋体"/>
          <w:spacing w:val="6"/>
          <w:sz w:val="20"/>
          <w:szCs w:val="20"/>
        </w:rPr>
        <w:t>安全施工职责。</w:t>
      </w:r>
    </w:p>
    <w:p w14:paraId="37EF9A24">
      <w:pPr>
        <w:spacing w:before="1" w:line="394" w:lineRule="auto"/>
        <w:ind w:left="737" w:right="3" w:hanging="731"/>
        <w:rPr>
          <w:rFonts w:ascii="宋体" w:hAnsi="宋体" w:eastAsia="宋体" w:cs="宋体"/>
          <w:sz w:val="20"/>
          <w:szCs w:val="20"/>
        </w:rPr>
      </w:pPr>
      <w:r>
        <w:rPr>
          <w:rFonts w:ascii="宋体" w:hAnsi="宋体" w:eastAsia="宋体" w:cs="宋体"/>
          <w:spacing w:val="8"/>
          <w:sz w:val="20"/>
          <w:szCs w:val="20"/>
        </w:rPr>
        <w:t>6.1.2  承包人应坚持“安全第一，预防为主</w:t>
      </w:r>
      <w:r>
        <w:rPr>
          <w:rFonts w:ascii="宋体" w:hAnsi="宋体" w:eastAsia="宋体" w:cs="宋体"/>
          <w:spacing w:val="-70"/>
          <w:sz w:val="20"/>
          <w:szCs w:val="20"/>
        </w:rPr>
        <w:t xml:space="preserve"> </w:t>
      </w:r>
      <w:r>
        <w:rPr>
          <w:rFonts w:ascii="宋体" w:hAnsi="宋体" w:eastAsia="宋体" w:cs="宋体"/>
          <w:spacing w:val="8"/>
          <w:sz w:val="20"/>
          <w:szCs w:val="20"/>
        </w:rPr>
        <w:t>”的方针，建立、健全安全生</w:t>
      </w:r>
      <w:r>
        <w:rPr>
          <w:rFonts w:ascii="宋体" w:hAnsi="宋体" w:eastAsia="宋体" w:cs="宋体"/>
          <w:spacing w:val="7"/>
          <w:sz w:val="20"/>
          <w:szCs w:val="20"/>
        </w:rPr>
        <w:t>产责任制度和安全生产</w:t>
      </w:r>
      <w:r>
        <w:rPr>
          <w:rFonts w:ascii="宋体" w:hAnsi="宋体" w:eastAsia="宋体" w:cs="宋体"/>
          <w:spacing w:val="9"/>
          <w:sz w:val="20"/>
          <w:szCs w:val="20"/>
        </w:rPr>
        <w:t>教育培训制度。在整个工程施工期间，承包人应在施工场地（现场）设立、提供和维护并</w:t>
      </w:r>
      <w:r>
        <w:rPr>
          <w:rFonts w:ascii="宋体" w:hAnsi="宋体" w:eastAsia="宋体" w:cs="宋体"/>
          <w:spacing w:val="8"/>
          <w:sz w:val="20"/>
          <w:szCs w:val="20"/>
        </w:rPr>
        <w:t>在有关工作完成或竣工后撤除：</w:t>
      </w:r>
    </w:p>
    <w:p w14:paraId="2A3BB977">
      <w:pPr>
        <w:spacing w:before="2" w:line="382" w:lineRule="auto"/>
        <w:ind w:left="1079" w:right="1" w:hanging="541"/>
        <w:rPr>
          <w:rFonts w:ascii="宋体" w:hAnsi="宋体" w:eastAsia="宋体" w:cs="宋体"/>
          <w:sz w:val="20"/>
          <w:szCs w:val="20"/>
        </w:rPr>
      </w:pPr>
      <w:r>
        <w:rPr>
          <w:rFonts w:ascii="宋体" w:hAnsi="宋体" w:eastAsia="宋体" w:cs="宋体"/>
          <w:spacing w:val="11"/>
          <w:sz w:val="20"/>
          <w:szCs w:val="20"/>
        </w:rPr>
        <w:t>（1）设立在现场入口显著位置的现场施工总平面图、总平面管理、安全生产、文明施工、环境保护、质量控制、材料管理等的规章制度和主要参建单位名称和工程概况等说明</w:t>
      </w:r>
      <w:r>
        <w:rPr>
          <w:rFonts w:ascii="宋体" w:hAnsi="宋体" w:eastAsia="宋体" w:cs="宋体"/>
          <w:spacing w:val="5"/>
          <w:sz w:val="20"/>
          <w:szCs w:val="20"/>
        </w:rPr>
        <w:t>的图板；</w:t>
      </w:r>
    </w:p>
    <w:p w14:paraId="5FFE3C7E">
      <w:pPr>
        <w:spacing w:before="2" w:line="369" w:lineRule="auto"/>
        <w:ind w:left="1067" w:right="36" w:hanging="527"/>
        <w:rPr>
          <w:rFonts w:ascii="宋体" w:hAnsi="宋体" w:eastAsia="宋体" w:cs="宋体"/>
          <w:sz w:val="20"/>
          <w:szCs w:val="20"/>
        </w:rPr>
      </w:pPr>
      <w:r>
        <w:rPr>
          <w:rFonts w:ascii="宋体" w:hAnsi="宋体" w:eastAsia="宋体" w:cs="宋体"/>
          <w:spacing w:val="11"/>
          <w:sz w:val="20"/>
          <w:szCs w:val="20"/>
        </w:rPr>
        <w:t>（2）为确保工程安全施工须设立的足够的标志</w:t>
      </w:r>
      <w:r>
        <w:rPr>
          <w:rFonts w:ascii="宋体" w:hAnsi="宋体" w:eastAsia="宋体" w:cs="宋体"/>
          <w:spacing w:val="10"/>
          <w:sz w:val="20"/>
          <w:szCs w:val="20"/>
        </w:rPr>
        <w:t>、宣传画、标语、指示牌、警告牌、火警、</w:t>
      </w:r>
      <w:r>
        <w:rPr>
          <w:rFonts w:ascii="宋体" w:hAnsi="宋体" w:eastAsia="宋体" w:cs="宋体"/>
          <w:spacing w:val="7"/>
          <w:sz w:val="20"/>
          <w:szCs w:val="20"/>
        </w:rPr>
        <w:t>匪警和急救电话提示牌等等；</w:t>
      </w:r>
    </w:p>
    <w:p w14:paraId="310A75EE">
      <w:pPr>
        <w:spacing w:before="1" w:line="226" w:lineRule="auto"/>
        <w:ind w:right="1"/>
        <w:jc w:val="right"/>
        <w:rPr>
          <w:rFonts w:ascii="宋体" w:hAnsi="宋体" w:eastAsia="宋体" w:cs="宋体"/>
          <w:sz w:val="20"/>
          <w:szCs w:val="20"/>
        </w:rPr>
      </w:pPr>
      <w:r>
        <w:rPr>
          <w:rFonts w:ascii="宋体" w:hAnsi="宋体" w:eastAsia="宋体" w:cs="宋体"/>
          <w:spacing w:val="11"/>
          <w:sz w:val="20"/>
          <w:szCs w:val="20"/>
        </w:rPr>
        <w:t>（3）洞口和临边位置的安全防护设施，包括护身栏杆、脚手架、洞口盖板和加筋、竖井防</w:t>
      </w:r>
    </w:p>
    <w:p w14:paraId="1A5152CD">
      <w:pPr>
        <w:spacing w:line="226" w:lineRule="auto"/>
        <w:rPr>
          <w:rFonts w:ascii="宋体" w:hAnsi="宋体" w:eastAsia="宋体" w:cs="宋体"/>
          <w:sz w:val="20"/>
          <w:szCs w:val="20"/>
        </w:rPr>
        <w:sectPr>
          <w:footerReference r:id="rId482" w:type="default"/>
          <w:pgSz w:w="11907" w:h="16840"/>
          <w:pgMar w:top="400" w:right="1530" w:bottom="1247" w:left="1476" w:header="0" w:footer="1085" w:gutter="0"/>
          <w:cols w:space="720" w:num="1"/>
        </w:sectPr>
      </w:pPr>
    </w:p>
    <w:p w14:paraId="786A8BCD">
      <w:pPr>
        <w:spacing w:line="273" w:lineRule="auto"/>
        <w:rPr>
          <w:rFonts w:ascii="Arial"/>
          <w:sz w:val="21"/>
        </w:rPr>
      </w:pPr>
    </w:p>
    <w:p w14:paraId="3AB24257">
      <w:pPr>
        <w:spacing w:line="273" w:lineRule="auto"/>
        <w:rPr>
          <w:rFonts w:ascii="Arial"/>
          <w:sz w:val="21"/>
        </w:rPr>
      </w:pPr>
    </w:p>
    <w:p w14:paraId="5F6AE5BE">
      <w:pPr>
        <w:spacing w:line="274" w:lineRule="auto"/>
        <w:rPr>
          <w:rFonts w:ascii="Arial"/>
          <w:sz w:val="21"/>
        </w:rPr>
      </w:pPr>
    </w:p>
    <w:p w14:paraId="53EB2310">
      <w:pPr>
        <w:spacing w:line="274" w:lineRule="auto"/>
        <w:rPr>
          <w:rFonts w:ascii="Arial"/>
          <w:sz w:val="21"/>
        </w:rPr>
      </w:pPr>
    </w:p>
    <w:p w14:paraId="23845B1B">
      <w:pPr>
        <w:spacing w:line="274" w:lineRule="auto"/>
        <w:rPr>
          <w:rFonts w:ascii="Arial"/>
          <w:sz w:val="21"/>
        </w:rPr>
      </w:pPr>
    </w:p>
    <w:p w14:paraId="583A4D4A">
      <w:pPr>
        <w:spacing w:before="65" w:line="228" w:lineRule="auto"/>
        <w:ind w:left="1153"/>
        <w:rPr>
          <w:rFonts w:ascii="宋体" w:hAnsi="宋体" w:eastAsia="宋体" w:cs="宋体"/>
          <w:sz w:val="20"/>
          <w:szCs w:val="20"/>
        </w:rPr>
      </w:pPr>
      <w:r>
        <w:rPr>
          <w:rFonts w:ascii="宋体" w:hAnsi="宋体" w:eastAsia="宋体" w:cs="宋体"/>
          <w:spacing w:val="8"/>
          <w:sz w:val="20"/>
          <w:szCs w:val="20"/>
        </w:rPr>
        <w:t>护栏杆、防护棚、防护网、坡道等等；</w:t>
      </w:r>
    </w:p>
    <w:p w14:paraId="2C5E78D2">
      <w:pPr>
        <w:spacing w:before="151" w:line="370" w:lineRule="auto"/>
        <w:ind w:left="1152" w:hanging="618"/>
        <w:rPr>
          <w:rFonts w:ascii="宋体" w:hAnsi="宋体" w:eastAsia="宋体" w:cs="宋体"/>
          <w:sz w:val="20"/>
          <w:szCs w:val="20"/>
        </w:rPr>
      </w:pPr>
      <w:r>
        <w:rPr>
          <w:rFonts w:ascii="宋体" w:hAnsi="宋体" w:eastAsia="宋体" w:cs="宋体"/>
          <w:spacing w:val="11"/>
          <w:sz w:val="20"/>
          <w:szCs w:val="20"/>
        </w:rPr>
        <w:t>（4）安全带、安全绳、安全帽、安全网、绝缘鞋、绝缘手套、防护口罩和防护衣等安全生</w:t>
      </w:r>
      <w:r>
        <w:rPr>
          <w:rFonts w:ascii="宋体" w:hAnsi="宋体" w:eastAsia="宋体" w:cs="宋体"/>
          <w:spacing w:val="5"/>
          <w:sz w:val="20"/>
          <w:szCs w:val="20"/>
        </w:rPr>
        <w:t>产用品；</w:t>
      </w:r>
    </w:p>
    <w:p w14:paraId="5E85B50B">
      <w:pPr>
        <w:spacing w:line="226" w:lineRule="auto"/>
        <w:ind w:left="534"/>
        <w:rPr>
          <w:rFonts w:ascii="宋体" w:hAnsi="宋体" w:eastAsia="宋体" w:cs="宋体"/>
          <w:sz w:val="20"/>
          <w:szCs w:val="20"/>
        </w:rPr>
      </w:pPr>
      <w:r>
        <w:rPr>
          <w:rFonts w:ascii="宋体" w:hAnsi="宋体" w:eastAsia="宋体" w:cs="宋体"/>
          <w:spacing w:val="9"/>
          <w:sz w:val="20"/>
          <w:szCs w:val="20"/>
        </w:rPr>
        <w:t>（5）所有机械设备包括各类电动工具的安全保护和接地装置和</w:t>
      </w:r>
      <w:r>
        <w:rPr>
          <w:rFonts w:ascii="宋体" w:hAnsi="宋体" w:eastAsia="宋体" w:cs="宋体"/>
          <w:spacing w:val="8"/>
          <w:sz w:val="20"/>
          <w:szCs w:val="20"/>
        </w:rPr>
        <w:t>操作说明；</w:t>
      </w:r>
    </w:p>
    <w:p w14:paraId="20BE70F4">
      <w:pPr>
        <w:spacing w:before="152" w:line="228" w:lineRule="auto"/>
        <w:ind w:left="534"/>
        <w:rPr>
          <w:rFonts w:ascii="宋体" w:hAnsi="宋体" w:eastAsia="宋体" w:cs="宋体"/>
          <w:sz w:val="20"/>
          <w:szCs w:val="20"/>
        </w:rPr>
      </w:pPr>
      <w:r>
        <w:rPr>
          <w:rFonts w:ascii="宋体" w:hAnsi="宋体" w:eastAsia="宋体" w:cs="宋体"/>
          <w:spacing w:val="8"/>
          <w:sz w:val="20"/>
          <w:szCs w:val="20"/>
        </w:rPr>
        <w:t>（6）装备良好的临时急救站和配备称职的医护人员；</w:t>
      </w:r>
    </w:p>
    <w:p w14:paraId="3693841A">
      <w:pPr>
        <w:spacing w:before="154" w:line="369" w:lineRule="auto"/>
        <w:ind w:left="1051" w:right="2" w:hanging="517"/>
        <w:rPr>
          <w:rFonts w:ascii="宋体" w:hAnsi="宋体" w:eastAsia="宋体" w:cs="宋体"/>
          <w:sz w:val="20"/>
          <w:szCs w:val="20"/>
        </w:rPr>
      </w:pPr>
      <w:r>
        <w:rPr>
          <w:rFonts w:ascii="宋体" w:hAnsi="宋体" w:eastAsia="宋体" w:cs="宋体"/>
          <w:spacing w:val="10"/>
          <w:sz w:val="20"/>
          <w:szCs w:val="20"/>
        </w:rPr>
        <w:t>（7）主要作业场所和临时安全疏散通道</w:t>
      </w:r>
      <w:r>
        <w:rPr>
          <w:rFonts w:ascii="宋体" w:hAnsi="宋体" w:eastAsia="宋体" w:cs="宋体"/>
          <w:spacing w:val="-35"/>
          <w:sz w:val="20"/>
          <w:szCs w:val="20"/>
        </w:rPr>
        <w:t xml:space="preserve"> </w:t>
      </w:r>
      <w:r>
        <w:rPr>
          <w:rFonts w:ascii="宋体" w:hAnsi="宋体" w:eastAsia="宋体" w:cs="宋体"/>
          <w:spacing w:val="10"/>
          <w:sz w:val="20"/>
          <w:szCs w:val="20"/>
        </w:rPr>
        <w:t>24</w:t>
      </w:r>
      <w:r>
        <w:rPr>
          <w:rFonts w:ascii="宋体" w:hAnsi="宋体" w:eastAsia="宋体" w:cs="宋体"/>
          <w:spacing w:val="-32"/>
          <w:sz w:val="20"/>
          <w:szCs w:val="20"/>
        </w:rPr>
        <w:t xml:space="preserve"> </w:t>
      </w:r>
      <w:r>
        <w:rPr>
          <w:rFonts w:ascii="宋体" w:hAnsi="宋体" w:eastAsia="宋体" w:cs="宋体"/>
          <w:spacing w:val="9"/>
          <w:sz w:val="20"/>
          <w:szCs w:val="20"/>
        </w:rPr>
        <w:t>小时</w:t>
      </w:r>
      <w:r>
        <w:rPr>
          <w:rFonts w:ascii="宋体" w:hAnsi="宋体" w:eastAsia="宋体" w:cs="宋体"/>
          <w:spacing w:val="-30"/>
          <w:sz w:val="20"/>
          <w:szCs w:val="20"/>
        </w:rPr>
        <w:t xml:space="preserve"> </w:t>
      </w:r>
      <w:r>
        <w:rPr>
          <w:rFonts w:ascii="宋体" w:hAnsi="宋体" w:eastAsia="宋体" w:cs="宋体"/>
          <w:spacing w:val="9"/>
          <w:sz w:val="20"/>
          <w:szCs w:val="20"/>
        </w:rPr>
        <w:t>36</w:t>
      </w:r>
      <w:r>
        <w:rPr>
          <w:rFonts w:ascii="宋体" w:hAnsi="宋体" w:eastAsia="宋体" w:cs="宋体"/>
          <w:spacing w:val="-38"/>
          <w:sz w:val="20"/>
          <w:szCs w:val="20"/>
        </w:rPr>
        <w:t xml:space="preserve"> </w:t>
      </w:r>
      <w:r>
        <w:rPr>
          <w:rFonts w:ascii="宋体" w:hAnsi="宋体" w:eastAsia="宋体" w:cs="宋体"/>
          <w:spacing w:val="9"/>
          <w:sz w:val="20"/>
          <w:szCs w:val="20"/>
        </w:rPr>
        <w:t>伏安全照明和必要的警示等以防止各种</w:t>
      </w:r>
      <w:r>
        <w:rPr>
          <w:rFonts w:ascii="宋体" w:hAnsi="宋体" w:eastAsia="宋体" w:cs="宋体"/>
          <w:spacing w:val="6"/>
          <w:sz w:val="20"/>
          <w:szCs w:val="20"/>
        </w:rPr>
        <w:t>可能的事故；</w:t>
      </w:r>
    </w:p>
    <w:p w14:paraId="669BF41D">
      <w:pPr>
        <w:spacing w:line="227" w:lineRule="auto"/>
        <w:ind w:left="534"/>
        <w:rPr>
          <w:rFonts w:ascii="宋体" w:hAnsi="宋体" w:eastAsia="宋体" w:cs="宋体"/>
          <w:sz w:val="20"/>
          <w:szCs w:val="20"/>
        </w:rPr>
      </w:pPr>
      <w:r>
        <w:rPr>
          <w:rFonts w:ascii="宋体" w:hAnsi="宋体" w:eastAsia="宋体" w:cs="宋体"/>
          <w:spacing w:val="8"/>
          <w:sz w:val="20"/>
          <w:szCs w:val="20"/>
        </w:rPr>
        <w:t>（8）足够数量的和合格的手提灭火器；</w:t>
      </w:r>
    </w:p>
    <w:p w14:paraId="6E52DEBA">
      <w:pPr>
        <w:spacing w:before="155" w:line="226" w:lineRule="auto"/>
        <w:ind w:left="534"/>
        <w:rPr>
          <w:rFonts w:ascii="宋体" w:hAnsi="宋体" w:eastAsia="宋体" w:cs="宋体"/>
          <w:sz w:val="20"/>
          <w:szCs w:val="20"/>
        </w:rPr>
      </w:pPr>
      <w:r>
        <w:rPr>
          <w:rFonts w:ascii="宋体" w:hAnsi="宋体" w:eastAsia="宋体" w:cs="宋体"/>
          <w:spacing w:val="8"/>
          <w:sz w:val="20"/>
          <w:szCs w:val="20"/>
        </w:rPr>
        <w:t>（9）装备良好的易燃易爆物品仓库和相应的使用管理制度；</w:t>
      </w:r>
    </w:p>
    <w:p w14:paraId="03FFEA90">
      <w:pPr>
        <w:spacing w:before="155" w:line="228" w:lineRule="auto"/>
        <w:ind w:left="534"/>
        <w:rPr>
          <w:rFonts w:ascii="宋体" w:hAnsi="宋体" w:eastAsia="宋体" w:cs="宋体"/>
          <w:sz w:val="20"/>
          <w:szCs w:val="20"/>
        </w:rPr>
      </w:pPr>
      <w:r>
        <w:rPr>
          <w:rFonts w:ascii="宋体" w:hAnsi="宋体" w:eastAsia="宋体" w:cs="宋体"/>
          <w:spacing w:val="8"/>
          <w:sz w:val="20"/>
          <w:szCs w:val="20"/>
        </w:rPr>
        <w:t>（10）对涉及明火施工的工作制定诸如用火证等的管理制度；</w:t>
      </w:r>
    </w:p>
    <w:p w14:paraId="0A85DBA9">
      <w:pPr>
        <w:spacing w:before="152" w:line="228" w:lineRule="auto"/>
        <w:ind w:left="534"/>
        <w:rPr>
          <w:rFonts w:ascii="宋体" w:hAnsi="宋体" w:eastAsia="宋体" w:cs="宋体"/>
          <w:sz w:val="20"/>
          <w:szCs w:val="20"/>
        </w:rPr>
      </w:pPr>
      <w:r>
        <w:rPr>
          <w:rFonts w:ascii="宋体" w:hAnsi="宋体" w:eastAsia="宋体" w:cs="宋体"/>
          <w:spacing w:val="4"/>
          <w:sz w:val="20"/>
          <w:szCs w:val="20"/>
        </w:rPr>
        <w:t>（11）其他：</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4AEDD5BB">
      <w:pPr>
        <w:spacing w:before="153" w:line="369" w:lineRule="auto"/>
        <w:ind w:left="946" w:hanging="947"/>
        <w:rPr>
          <w:rFonts w:ascii="宋体" w:hAnsi="宋体" w:eastAsia="宋体" w:cs="宋体"/>
          <w:sz w:val="20"/>
          <w:szCs w:val="20"/>
        </w:rPr>
      </w:pPr>
      <w:r>
        <w:rPr>
          <w:rFonts w:ascii="宋体" w:hAnsi="宋体" w:eastAsia="宋体" w:cs="宋体"/>
          <w:spacing w:val="8"/>
          <w:sz w:val="20"/>
          <w:szCs w:val="20"/>
        </w:rPr>
        <w:t>6.1.3    安全文明施工费用必须专款专用，承包人应对其由于安全文明施工费用和施工安全措施不到位而发生的安全事故承担全部责任。</w:t>
      </w:r>
    </w:p>
    <w:p w14:paraId="1839AA8B">
      <w:pPr>
        <w:spacing w:before="2" w:line="369" w:lineRule="auto"/>
        <w:ind w:left="943" w:right="2" w:hanging="943"/>
        <w:rPr>
          <w:rFonts w:ascii="宋体" w:hAnsi="宋体" w:eastAsia="宋体" w:cs="宋体"/>
          <w:sz w:val="20"/>
          <w:szCs w:val="20"/>
        </w:rPr>
      </w:pPr>
      <w:r>
        <w:rPr>
          <w:rFonts w:ascii="宋体" w:hAnsi="宋体" w:eastAsia="宋体" w:cs="宋体"/>
          <w:spacing w:val="8"/>
          <w:sz w:val="20"/>
          <w:szCs w:val="20"/>
        </w:rPr>
        <w:t>6.1.4    承包人应建立专门的施工场地（现场）安全生产管理机构，配备足够数量的和符合有关</w:t>
      </w:r>
      <w:r>
        <w:rPr>
          <w:rFonts w:ascii="宋体" w:hAnsi="宋体" w:eastAsia="宋体" w:cs="宋体"/>
          <w:spacing w:val="9"/>
          <w:sz w:val="20"/>
          <w:szCs w:val="20"/>
        </w:rPr>
        <w:t>规定的专职安全生产管理人员，负责日常安全生产巡查和专项检查，召集和主持现场全</w:t>
      </w:r>
      <w:r>
        <w:rPr>
          <w:rFonts w:ascii="宋体" w:hAnsi="宋体" w:eastAsia="宋体" w:cs="宋体"/>
          <w:spacing w:val="11"/>
          <w:sz w:val="20"/>
          <w:szCs w:val="20"/>
        </w:rPr>
        <w:t>体人员参加的安全生产例会（每周至少一次</w:t>
      </w:r>
      <w:r>
        <w:rPr>
          <w:rFonts w:ascii="宋体" w:hAnsi="宋体" w:eastAsia="宋体" w:cs="宋体"/>
          <w:spacing w:val="-26"/>
          <w:sz w:val="20"/>
          <w:szCs w:val="20"/>
        </w:rPr>
        <w:t>），</w:t>
      </w:r>
      <w:r>
        <w:rPr>
          <w:rFonts w:ascii="宋体" w:hAnsi="宋体" w:eastAsia="宋体" w:cs="宋体"/>
          <w:spacing w:val="11"/>
          <w:sz w:val="20"/>
          <w:szCs w:val="20"/>
        </w:rPr>
        <w:t>负责安全技术交底和技术方案的安全把</w:t>
      </w:r>
      <w:r>
        <w:rPr>
          <w:rFonts w:ascii="宋体" w:hAnsi="宋体" w:eastAsia="宋体" w:cs="宋体"/>
          <w:spacing w:val="9"/>
          <w:sz w:val="20"/>
          <w:szCs w:val="20"/>
        </w:rPr>
        <w:t>关，负责制定或审核安全隐患的整改措施并监督落实，负责安全资料的整理和管理，及时消除安全隐患，做好安全检查记录，确保所有的安全设施都处于良好的运转状态。承包人项目经理和专职安全生产管理人员均应当具备有效的安全生产考核合格证书。</w:t>
      </w:r>
    </w:p>
    <w:p w14:paraId="48C4EEF3">
      <w:pPr>
        <w:spacing w:before="2" w:line="363" w:lineRule="auto"/>
        <w:ind w:left="943" w:right="2" w:hanging="943"/>
        <w:rPr>
          <w:rFonts w:ascii="宋体" w:hAnsi="宋体" w:eastAsia="宋体" w:cs="宋体"/>
          <w:sz w:val="20"/>
          <w:szCs w:val="20"/>
        </w:rPr>
      </w:pPr>
      <w:r>
        <w:rPr>
          <w:rFonts w:ascii="宋体" w:hAnsi="宋体" w:eastAsia="宋体" w:cs="宋体"/>
          <w:spacing w:val="8"/>
          <w:sz w:val="20"/>
          <w:szCs w:val="20"/>
        </w:rPr>
        <w:t>6.1.5    承包人应遵照有关法规要求，编印安全防护手册发给进场施工人员，做好进场施工人员</w:t>
      </w:r>
      <w:r>
        <w:rPr>
          <w:rFonts w:ascii="宋体" w:hAnsi="宋体" w:eastAsia="宋体" w:cs="宋体"/>
          <w:spacing w:val="9"/>
          <w:sz w:val="20"/>
          <w:szCs w:val="20"/>
        </w:rPr>
        <w:t>上岗前的安全教育和培训工作，并建立考核制度，只有考核合格的人员才能进场施工作业。特种作业人员还应经过专门的安全作业培训，并取得特种作业操作资格证书后方可上岗。在任何分部分项工程开始施工前，承包人应当就有关安全施工的技术要求向施工作业班组和作业人员等进行安全交底，并由双方签字确认。</w:t>
      </w:r>
    </w:p>
    <w:p w14:paraId="51BC59C3">
      <w:pPr>
        <w:spacing w:before="1" w:line="332" w:lineRule="auto"/>
        <w:ind w:left="945" w:hanging="945"/>
        <w:rPr>
          <w:rFonts w:ascii="宋体" w:hAnsi="宋体" w:eastAsia="宋体" w:cs="宋体"/>
          <w:sz w:val="20"/>
          <w:szCs w:val="20"/>
        </w:rPr>
      </w:pPr>
      <w:r>
        <w:rPr>
          <w:rFonts w:ascii="宋体" w:hAnsi="宋体" w:eastAsia="宋体" w:cs="宋体"/>
          <w:spacing w:val="13"/>
          <w:sz w:val="20"/>
          <w:szCs w:val="20"/>
        </w:rPr>
        <w:t>6.1.6    承包人应为其进场施工人员配备必需的安全防护设施和设备，</w:t>
      </w:r>
      <w:r>
        <w:rPr>
          <w:rFonts w:ascii="宋体" w:hAnsi="宋体" w:eastAsia="宋体" w:cs="宋体"/>
          <w:spacing w:val="12"/>
          <w:sz w:val="20"/>
          <w:szCs w:val="20"/>
        </w:rPr>
        <w:t>承包人还应为施工场地</w:t>
      </w:r>
      <w:r>
        <w:rPr>
          <w:rFonts w:ascii="宋体" w:hAnsi="宋体" w:eastAsia="宋体" w:cs="宋体"/>
          <w:spacing w:val="9"/>
          <w:sz w:val="20"/>
          <w:szCs w:val="20"/>
        </w:rPr>
        <w:t>（现场）邻近地区的所有者和占有者、公众和其他人员，提供一切必要的临时道路、人行道、防护棚、围栏及警告等，以确保财产和人身安全以及最大程度地降低施工可能造</w:t>
      </w:r>
      <w:r>
        <w:rPr>
          <w:rFonts w:ascii="宋体" w:hAnsi="宋体" w:eastAsia="宋体" w:cs="宋体"/>
          <w:spacing w:val="5"/>
          <w:sz w:val="20"/>
          <w:szCs w:val="20"/>
        </w:rPr>
        <w:t>成的不便。</w:t>
      </w:r>
    </w:p>
    <w:p w14:paraId="0496C997">
      <w:pPr>
        <w:spacing w:before="2" w:line="332" w:lineRule="auto"/>
        <w:ind w:left="943" w:hanging="943"/>
        <w:rPr>
          <w:rFonts w:ascii="宋体" w:hAnsi="宋体" w:eastAsia="宋体" w:cs="宋体"/>
          <w:sz w:val="20"/>
          <w:szCs w:val="20"/>
        </w:rPr>
      </w:pPr>
      <w:r>
        <w:rPr>
          <w:rFonts w:ascii="宋体" w:hAnsi="宋体" w:eastAsia="宋体" w:cs="宋体"/>
          <w:spacing w:val="8"/>
          <w:sz w:val="20"/>
          <w:szCs w:val="20"/>
        </w:rPr>
        <w:t>6.1.7    承包人应在施工场地（现场）入口处、施工起重机械、临时用电设施、脚手架、出入通</w:t>
      </w:r>
      <w:r>
        <w:rPr>
          <w:rFonts w:ascii="宋体" w:hAnsi="宋体" w:eastAsia="宋体" w:cs="宋体"/>
          <w:spacing w:val="9"/>
          <w:sz w:val="20"/>
          <w:szCs w:val="20"/>
        </w:rPr>
        <w:t>道口、楼梯口、电梯井口、孔洞口、隧道口、基坑边沿、危险品存放处等危险部位设置一切必需的安全警示标志，包括但不限于标准道路标志、报警标志、危险标志、控制标志、安全标志、指示标志、警告标志等，并配备必要的照明、防护和看守。承包人应当按监理人的指示，经常补充或更换失效的警示和标志。</w:t>
      </w:r>
    </w:p>
    <w:p w14:paraId="1F0D0001">
      <w:pPr>
        <w:spacing w:before="1" w:line="226" w:lineRule="auto"/>
        <w:rPr>
          <w:rFonts w:ascii="宋体" w:hAnsi="宋体" w:eastAsia="宋体" w:cs="宋体"/>
          <w:sz w:val="20"/>
          <w:szCs w:val="20"/>
        </w:rPr>
      </w:pPr>
      <w:r>
        <w:rPr>
          <w:rFonts w:ascii="宋体" w:hAnsi="宋体" w:eastAsia="宋体" w:cs="宋体"/>
          <w:spacing w:val="8"/>
          <w:sz w:val="20"/>
          <w:szCs w:val="20"/>
        </w:rPr>
        <w:t>6.1.8    承包人应对施工场地（现场）内由其提供并安装的所有提升架、外用电梯和塔吊等垂直</w:t>
      </w:r>
    </w:p>
    <w:p w14:paraId="6227AD93">
      <w:pPr>
        <w:spacing w:line="226" w:lineRule="auto"/>
        <w:rPr>
          <w:rFonts w:ascii="宋体" w:hAnsi="宋体" w:eastAsia="宋体" w:cs="宋体"/>
          <w:sz w:val="20"/>
          <w:szCs w:val="20"/>
        </w:rPr>
        <w:sectPr>
          <w:footerReference r:id="rId483" w:type="default"/>
          <w:pgSz w:w="11907" w:h="16840"/>
          <w:pgMar w:top="400" w:right="1531" w:bottom="1247" w:left="1483" w:header="0" w:footer="1085" w:gutter="0"/>
          <w:cols w:space="720" w:num="1"/>
        </w:sectPr>
      </w:pPr>
    </w:p>
    <w:p w14:paraId="021F3A08">
      <w:pPr>
        <w:spacing w:line="267" w:lineRule="auto"/>
        <w:rPr>
          <w:rFonts w:ascii="Arial"/>
          <w:sz w:val="21"/>
        </w:rPr>
      </w:pPr>
    </w:p>
    <w:p w14:paraId="7D8036C0">
      <w:pPr>
        <w:spacing w:line="267" w:lineRule="auto"/>
        <w:rPr>
          <w:rFonts w:ascii="Arial"/>
          <w:sz w:val="21"/>
        </w:rPr>
      </w:pPr>
    </w:p>
    <w:p w14:paraId="541F4569">
      <w:pPr>
        <w:spacing w:line="267" w:lineRule="auto"/>
        <w:rPr>
          <w:rFonts w:ascii="Arial"/>
          <w:sz w:val="21"/>
        </w:rPr>
      </w:pPr>
    </w:p>
    <w:p w14:paraId="3BAA07EE">
      <w:pPr>
        <w:spacing w:line="267" w:lineRule="auto"/>
        <w:rPr>
          <w:rFonts w:ascii="Arial"/>
          <w:sz w:val="21"/>
        </w:rPr>
      </w:pPr>
    </w:p>
    <w:p w14:paraId="6B5A5B46">
      <w:pPr>
        <w:spacing w:line="268" w:lineRule="auto"/>
        <w:rPr>
          <w:rFonts w:ascii="Arial"/>
          <w:sz w:val="21"/>
        </w:rPr>
      </w:pPr>
    </w:p>
    <w:p w14:paraId="72F45DD6">
      <w:pPr>
        <w:spacing w:before="65" w:line="332" w:lineRule="auto"/>
        <w:ind w:left="959" w:right="52" w:hanging="15"/>
        <w:jc w:val="both"/>
        <w:rPr>
          <w:rFonts w:ascii="宋体" w:hAnsi="宋体" w:eastAsia="宋体" w:cs="宋体"/>
          <w:sz w:val="20"/>
          <w:szCs w:val="20"/>
        </w:rPr>
      </w:pPr>
      <w:r>
        <w:rPr>
          <w:rFonts w:ascii="宋体" w:hAnsi="宋体" w:eastAsia="宋体" w:cs="宋体"/>
          <w:spacing w:val="9"/>
          <w:sz w:val="20"/>
          <w:szCs w:val="20"/>
        </w:rPr>
        <w:t>和水平运输机械进行安全围护，包括卸料平台门的安全开关、警示铃和警示灯，卸料平台的护身栏杆，脚手架和安全网等等；所有的机械设备</w:t>
      </w:r>
      <w:r>
        <w:rPr>
          <w:rFonts w:ascii="宋体" w:hAnsi="宋体" w:eastAsia="宋体" w:cs="宋体"/>
          <w:spacing w:val="8"/>
          <w:sz w:val="20"/>
          <w:szCs w:val="20"/>
        </w:rPr>
        <w:t>应设置安全操作防护罩，并在醒</w:t>
      </w:r>
      <w:r>
        <w:rPr>
          <w:rFonts w:ascii="宋体" w:hAnsi="宋体" w:eastAsia="宋体" w:cs="宋体"/>
          <w:spacing w:val="7"/>
          <w:sz w:val="20"/>
          <w:szCs w:val="20"/>
        </w:rPr>
        <w:t>目位置张挂详细的安全操作要点等。</w:t>
      </w:r>
    </w:p>
    <w:p w14:paraId="6523981E">
      <w:pPr>
        <w:spacing w:before="1" w:line="332" w:lineRule="auto"/>
        <w:ind w:left="946" w:hanging="947"/>
        <w:rPr>
          <w:rFonts w:ascii="宋体" w:hAnsi="宋体" w:eastAsia="宋体" w:cs="宋体"/>
          <w:sz w:val="20"/>
          <w:szCs w:val="20"/>
        </w:rPr>
      </w:pPr>
      <w:r>
        <w:rPr>
          <w:rFonts w:ascii="宋体" w:hAnsi="宋体" w:eastAsia="宋体" w:cs="宋体"/>
          <w:spacing w:val="5"/>
          <w:sz w:val="20"/>
          <w:szCs w:val="20"/>
        </w:rPr>
        <w:t>6.1.9    承包人应对所有用于提升的挂钩、挂环、钢丝绳、铁扁担等进行定期检测、检查和标定；</w:t>
      </w:r>
      <w:r>
        <w:rPr>
          <w:rFonts w:ascii="宋体" w:hAnsi="宋体" w:eastAsia="宋体" w:cs="宋体"/>
          <w:spacing w:val="9"/>
          <w:sz w:val="20"/>
          <w:szCs w:val="20"/>
        </w:rPr>
        <w:t>如果监理人认为，任何此类设施已经损坏或有使用不当之处，承包人应立即以合格的产品进行更换；所有垂直和水平运输机械的搭设、顶升、使用和拆除必须严格依照现行有</w:t>
      </w:r>
      <w:r>
        <w:rPr>
          <w:rFonts w:ascii="宋体" w:hAnsi="宋体" w:eastAsia="宋体" w:cs="宋体"/>
          <w:spacing w:val="8"/>
          <w:sz w:val="20"/>
          <w:szCs w:val="20"/>
        </w:rPr>
        <w:t>关法规、规章、规范、标准和规程等的要求。</w:t>
      </w:r>
    </w:p>
    <w:p w14:paraId="34102C41">
      <w:pPr>
        <w:spacing w:before="1" w:line="332" w:lineRule="auto"/>
        <w:ind w:left="943" w:right="52" w:hanging="943"/>
        <w:rPr>
          <w:rFonts w:ascii="宋体" w:hAnsi="宋体" w:eastAsia="宋体" w:cs="宋体"/>
          <w:sz w:val="20"/>
          <w:szCs w:val="20"/>
        </w:rPr>
      </w:pPr>
      <w:r>
        <w:rPr>
          <w:rFonts w:ascii="宋体" w:hAnsi="宋体" w:eastAsia="宋体" w:cs="宋体"/>
          <w:spacing w:val="8"/>
          <w:sz w:val="20"/>
          <w:szCs w:val="20"/>
        </w:rPr>
        <w:t>6.1.10   所有机械和工器具应定期保</w:t>
      </w:r>
      <w:r>
        <w:rPr>
          <w:rFonts w:ascii="宋体" w:hAnsi="宋体" w:eastAsia="宋体" w:cs="宋体"/>
          <w:spacing w:val="7"/>
          <w:sz w:val="20"/>
          <w:szCs w:val="20"/>
        </w:rPr>
        <w:t>养、校核和维护，</w:t>
      </w:r>
      <w:r>
        <w:rPr>
          <w:rFonts w:ascii="宋体" w:hAnsi="宋体" w:eastAsia="宋体" w:cs="宋体"/>
          <w:spacing w:val="-60"/>
          <w:sz w:val="20"/>
          <w:szCs w:val="20"/>
        </w:rPr>
        <w:t xml:space="preserve"> </w:t>
      </w:r>
      <w:r>
        <w:rPr>
          <w:rFonts w:ascii="宋体" w:hAnsi="宋体" w:eastAsia="宋体" w:cs="宋体"/>
          <w:spacing w:val="7"/>
          <w:sz w:val="20"/>
          <w:szCs w:val="20"/>
        </w:rPr>
        <w:t>以保证它们处于良好和安全的工作状态。</w:t>
      </w:r>
      <w:r>
        <w:rPr>
          <w:rFonts w:ascii="宋体" w:hAnsi="宋体" w:eastAsia="宋体" w:cs="宋体"/>
          <w:spacing w:val="9"/>
          <w:sz w:val="20"/>
          <w:szCs w:val="20"/>
        </w:rPr>
        <w:t>保养、校核和维护工作应尽可能安排在非工作时间进行，并为上述机械和工器具准备足够的备用配件，以确保工程的施工能不间断地进行。</w:t>
      </w:r>
    </w:p>
    <w:p w14:paraId="31A2B5E9">
      <w:pPr>
        <w:spacing w:before="1" w:line="332" w:lineRule="auto"/>
        <w:ind w:left="944" w:right="52" w:hanging="944"/>
        <w:rPr>
          <w:rFonts w:ascii="宋体" w:hAnsi="宋体" w:eastAsia="宋体" w:cs="宋体"/>
          <w:sz w:val="20"/>
          <w:szCs w:val="20"/>
        </w:rPr>
      </w:pPr>
      <w:r>
        <w:rPr>
          <w:rFonts w:ascii="宋体" w:hAnsi="宋体" w:eastAsia="宋体" w:cs="宋体"/>
          <w:spacing w:val="8"/>
          <w:sz w:val="20"/>
          <w:szCs w:val="20"/>
        </w:rPr>
        <w:t>6.1.11   在永久工程和施工边坡、建筑物基坑、地下洞室等的开挖过程中，应根据其施工安全的</w:t>
      </w:r>
      <w:r>
        <w:rPr>
          <w:rFonts w:ascii="宋体" w:hAnsi="宋体" w:eastAsia="宋体" w:cs="宋体"/>
          <w:spacing w:val="9"/>
          <w:sz w:val="20"/>
          <w:szCs w:val="20"/>
        </w:rPr>
        <w:t>需要和（或）监理人指示，安装必要的施工安全监测仪器，及时进行必要的施工安全监测，并定期将安全监测成果提交监理人，以防止引起任何沉降、变形或其他影响正常施</w:t>
      </w:r>
      <w:r>
        <w:rPr>
          <w:rFonts w:ascii="宋体" w:hAnsi="宋体" w:eastAsia="宋体" w:cs="宋体"/>
          <w:spacing w:val="6"/>
          <w:sz w:val="20"/>
          <w:szCs w:val="20"/>
        </w:rPr>
        <w:t>工进度的损害。</w:t>
      </w:r>
    </w:p>
    <w:p w14:paraId="31251BFA">
      <w:pPr>
        <w:spacing w:before="1" w:line="332" w:lineRule="auto"/>
        <w:ind w:left="943" w:right="52" w:hanging="943"/>
        <w:rPr>
          <w:rFonts w:ascii="宋体" w:hAnsi="宋体" w:eastAsia="宋体" w:cs="宋体"/>
          <w:sz w:val="20"/>
          <w:szCs w:val="20"/>
        </w:rPr>
      </w:pPr>
      <w:r>
        <w:rPr>
          <w:rFonts w:ascii="宋体" w:hAnsi="宋体" w:eastAsia="宋体" w:cs="宋体"/>
          <w:spacing w:val="8"/>
          <w:sz w:val="20"/>
          <w:szCs w:val="20"/>
        </w:rPr>
        <w:t>6.1.12   承包人应对任何施工中的永久工程进行必要的支撑或临时加固。除非承包人已获得监理</w:t>
      </w:r>
      <w:r>
        <w:rPr>
          <w:rFonts w:ascii="宋体" w:hAnsi="宋体" w:eastAsia="宋体" w:cs="宋体"/>
          <w:spacing w:val="9"/>
          <w:sz w:val="20"/>
          <w:szCs w:val="20"/>
        </w:rPr>
        <w:t>人书面许可并按要求进行了必要的加固或支撑，不允许承包人在任何已完成的永久性结构上堆放超过设计允许荷载的任何材料、物品或设备。在任何情况下，承包人均应对其任何上述超载行为引起的后果负责，并承担相应的修缮费用。</w:t>
      </w:r>
    </w:p>
    <w:p w14:paraId="0B7977A9">
      <w:pPr>
        <w:spacing w:before="1" w:line="332" w:lineRule="auto"/>
        <w:ind w:left="944" w:right="52" w:hanging="944"/>
        <w:rPr>
          <w:rFonts w:ascii="宋体" w:hAnsi="宋体" w:eastAsia="宋体" w:cs="宋体"/>
          <w:sz w:val="20"/>
          <w:szCs w:val="20"/>
        </w:rPr>
      </w:pPr>
      <w:r>
        <w:rPr>
          <w:rFonts w:ascii="宋体" w:hAnsi="宋体" w:eastAsia="宋体" w:cs="宋体"/>
          <w:spacing w:val="8"/>
          <w:sz w:val="20"/>
          <w:szCs w:val="20"/>
        </w:rPr>
        <w:t>6.1.13   承包人应成立应急救援小组，配备必要的应急救援器材和设备，制定灾害和生产安全事</w:t>
      </w:r>
      <w:r>
        <w:rPr>
          <w:rFonts w:ascii="宋体" w:hAnsi="宋体" w:eastAsia="宋体" w:cs="宋体"/>
          <w:spacing w:val="9"/>
          <w:sz w:val="20"/>
          <w:szCs w:val="20"/>
        </w:rPr>
        <w:t>故的应急救援预案，并将应急救援预案报送监理人。应急救援预案应能随时组织应救专</w:t>
      </w:r>
      <w:r>
        <w:rPr>
          <w:rFonts w:ascii="宋体" w:hAnsi="宋体" w:eastAsia="宋体" w:cs="宋体"/>
          <w:spacing w:val="8"/>
          <w:sz w:val="20"/>
          <w:szCs w:val="20"/>
        </w:rPr>
        <w:t>职人员、并定期组织演练。</w:t>
      </w:r>
    </w:p>
    <w:p w14:paraId="56963919">
      <w:pPr>
        <w:spacing w:line="226" w:lineRule="auto"/>
        <w:rPr>
          <w:rFonts w:ascii="宋体" w:hAnsi="宋体" w:eastAsia="宋体" w:cs="宋体"/>
          <w:sz w:val="20"/>
          <w:szCs w:val="20"/>
        </w:rPr>
      </w:pPr>
      <w:r>
        <w:rPr>
          <w:rFonts w:ascii="宋体" w:hAnsi="宋体" w:eastAsia="宋体" w:cs="宋体"/>
          <w:spacing w:val="9"/>
          <w:sz w:val="20"/>
          <w:szCs w:val="20"/>
        </w:rPr>
        <w:t>6.1.14   施工过程中需要使用爆破或带炸药的工具等危险性</w:t>
      </w:r>
      <w:r>
        <w:rPr>
          <w:rFonts w:ascii="宋体" w:hAnsi="宋体" w:eastAsia="宋体" w:cs="宋体"/>
          <w:spacing w:val="8"/>
          <w:sz w:val="20"/>
          <w:szCs w:val="20"/>
        </w:rPr>
        <w:t>施工方法时，承包人应提前通</w:t>
      </w:r>
    </w:p>
    <w:p w14:paraId="60CBCF49">
      <w:pPr>
        <w:spacing w:before="116" w:line="332" w:lineRule="auto"/>
        <w:ind w:left="945" w:right="52" w:firstLine="2"/>
        <w:jc w:val="both"/>
        <w:rPr>
          <w:rFonts w:ascii="宋体" w:hAnsi="宋体" w:eastAsia="宋体" w:cs="宋体"/>
          <w:sz w:val="20"/>
          <w:szCs w:val="20"/>
        </w:rPr>
      </w:pPr>
      <w:r>
        <w:rPr>
          <w:rFonts w:ascii="宋体" w:hAnsi="宋体" w:eastAsia="宋体" w:cs="宋体"/>
          <w:spacing w:val="9"/>
          <w:sz w:val="20"/>
          <w:szCs w:val="20"/>
        </w:rPr>
        <w:t>知监理人。经监理人批准后，承包人应依照有关法律、法规、规章以及政府有关主管机构制定的规范性文件等的规定，向有关机构提出申请并获得相关许可。承包人应严格依照上述规定使用、储藏、管理爆破物品或带炸药的工具等，并负责由于这类物品的使用可能引起的任何损失或损害的赔偿。任何情况下，承包人不得在已完永久性工程中和空</w:t>
      </w:r>
      <w:r>
        <w:rPr>
          <w:rFonts w:ascii="宋体" w:hAnsi="宋体" w:eastAsia="宋体" w:cs="宋体"/>
          <w:spacing w:val="7"/>
          <w:sz w:val="20"/>
          <w:szCs w:val="20"/>
        </w:rPr>
        <w:t>心砌体中使用爆破方法。</w:t>
      </w:r>
    </w:p>
    <w:p w14:paraId="07B543B1">
      <w:pPr>
        <w:spacing w:before="1" w:line="332" w:lineRule="auto"/>
        <w:ind w:left="943" w:right="52" w:hanging="943"/>
        <w:rPr>
          <w:rFonts w:ascii="宋体" w:hAnsi="宋体" w:eastAsia="宋体" w:cs="宋体"/>
          <w:sz w:val="20"/>
          <w:szCs w:val="20"/>
        </w:rPr>
      </w:pPr>
      <w:r>
        <w:rPr>
          <w:rFonts w:ascii="宋体" w:hAnsi="宋体" w:eastAsia="宋体" w:cs="宋体"/>
          <w:spacing w:val="8"/>
          <w:sz w:val="20"/>
          <w:szCs w:val="20"/>
        </w:rPr>
        <w:t>6.1.15   基坑支护与降水工程、土方开挖工程、模板工程、起重吊装工程、脚手架工程、拆除工</w:t>
      </w:r>
      <w:r>
        <w:rPr>
          <w:rFonts w:ascii="宋体" w:hAnsi="宋体" w:eastAsia="宋体" w:cs="宋体"/>
          <w:spacing w:val="9"/>
          <w:sz w:val="20"/>
          <w:szCs w:val="20"/>
        </w:rPr>
        <w:t>程和爆破工程等达到一定规模和危险性较大的分部分项工程，承包人应当编制专项施工方案，其中深基坑、地下暗挖和高大模板工程的专项施工方案，还应组织专家进行论证</w:t>
      </w:r>
      <w:r>
        <w:rPr>
          <w:rFonts w:ascii="宋体" w:hAnsi="宋体" w:eastAsia="宋体" w:cs="宋体"/>
          <w:spacing w:val="5"/>
          <w:sz w:val="20"/>
          <w:szCs w:val="20"/>
        </w:rPr>
        <w:t>和审查。</w:t>
      </w:r>
    </w:p>
    <w:p w14:paraId="393AE864">
      <w:pPr>
        <w:spacing w:before="4" w:line="332" w:lineRule="auto"/>
        <w:ind w:left="944" w:right="52" w:hanging="944"/>
        <w:rPr>
          <w:rFonts w:ascii="宋体" w:hAnsi="宋体" w:eastAsia="宋体" w:cs="宋体"/>
          <w:sz w:val="20"/>
          <w:szCs w:val="20"/>
        </w:rPr>
      </w:pPr>
      <w:r>
        <w:rPr>
          <w:rFonts w:ascii="宋体" w:hAnsi="宋体" w:eastAsia="宋体" w:cs="宋体"/>
          <w:spacing w:val="9"/>
          <w:sz w:val="20"/>
          <w:szCs w:val="20"/>
        </w:rPr>
        <w:t>6.1.16   承包人应按照通用合同条款第9.5</w:t>
      </w:r>
      <w:r>
        <w:rPr>
          <w:rFonts w:ascii="宋体" w:hAnsi="宋体" w:eastAsia="宋体" w:cs="宋体"/>
          <w:spacing w:val="-40"/>
          <w:sz w:val="20"/>
          <w:szCs w:val="20"/>
        </w:rPr>
        <w:t xml:space="preserve"> </w:t>
      </w:r>
      <w:r>
        <w:rPr>
          <w:rFonts w:ascii="宋体" w:hAnsi="宋体" w:eastAsia="宋体" w:cs="宋体"/>
          <w:spacing w:val="9"/>
          <w:sz w:val="20"/>
          <w:szCs w:val="20"/>
        </w:rPr>
        <w:t>款的约定处理本工程施工过程中发生的事故。发</w:t>
      </w:r>
      <w:r>
        <w:rPr>
          <w:rFonts w:ascii="宋体" w:hAnsi="宋体" w:eastAsia="宋体" w:cs="宋体"/>
          <w:spacing w:val="8"/>
          <w:sz w:val="20"/>
          <w:szCs w:val="20"/>
        </w:rPr>
        <w:t>生施</w:t>
      </w:r>
      <w:r>
        <w:rPr>
          <w:rFonts w:ascii="宋体" w:hAnsi="宋体" w:eastAsia="宋体" w:cs="宋体"/>
          <w:spacing w:val="9"/>
          <w:sz w:val="20"/>
          <w:szCs w:val="20"/>
        </w:rPr>
        <w:t>工安全事故后，承包人必须立即报告监理人和发包人，并在事故发生后一小时内向发包人提交事故情况书面报告，并根据《生产安全事故报告和调查处理条例》的规定，及时向工程所在地县级以上地方人民政府安全生产监督管理部门和建设行政主管部门报告。情况紧急时，事故现场有关人员可以直接向工程所在地县级以上地方人民政府安全生产</w:t>
      </w:r>
      <w:r>
        <w:rPr>
          <w:rFonts w:ascii="宋体" w:hAnsi="宋体" w:eastAsia="宋体" w:cs="宋体"/>
          <w:spacing w:val="8"/>
          <w:sz w:val="20"/>
          <w:szCs w:val="20"/>
        </w:rPr>
        <w:t>监督管理部门和建设行政主管部门报告。</w:t>
      </w:r>
    </w:p>
    <w:p w14:paraId="51AEEBAD">
      <w:pPr>
        <w:spacing w:line="332" w:lineRule="auto"/>
        <w:rPr>
          <w:rFonts w:ascii="宋体" w:hAnsi="宋体" w:eastAsia="宋体" w:cs="宋体"/>
          <w:sz w:val="20"/>
          <w:szCs w:val="20"/>
        </w:rPr>
        <w:sectPr>
          <w:footerReference r:id="rId484" w:type="default"/>
          <w:pgSz w:w="11907" w:h="16840"/>
          <w:pgMar w:top="400" w:right="1479" w:bottom="1247" w:left="1483" w:header="0" w:footer="1085" w:gutter="0"/>
          <w:cols w:space="720" w:num="1"/>
        </w:sectPr>
      </w:pPr>
    </w:p>
    <w:p w14:paraId="11D184F0">
      <w:pPr>
        <w:spacing w:line="267" w:lineRule="auto"/>
        <w:rPr>
          <w:rFonts w:ascii="Arial"/>
          <w:sz w:val="21"/>
        </w:rPr>
      </w:pPr>
    </w:p>
    <w:p w14:paraId="0F10063C">
      <w:pPr>
        <w:spacing w:line="267" w:lineRule="auto"/>
        <w:rPr>
          <w:rFonts w:ascii="Arial"/>
          <w:sz w:val="21"/>
        </w:rPr>
      </w:pPr>
    </w:p>
    <w:p w14:paraId="416388FE">
      <w:pPr>
        <w:spacing w:line="267" w:lineRule="auto"/>
        <w:rPr>
          <w:rFonts w:ascii="Arial"/>
          <w:sz w:val="21"/>
        </w:rPr>
      </w:pPr>
    </w:p>
    <w:p w14:paraId="648DA9F6">
      <w:pPr>
        <w:spacing w:line="267" w:lineRule="auto"/>
        <w:rPr>
          <w:rFonts w:ascii="Arial"/>
          <w:sz w:val="21"/>
        </w:rPr>
      </w:pPr>
    </w:p>
    <w:p w14:paraId="6013C104">
      <w:pPr>
        <w:spacing w:line="268" w:lineRule="auto"/>
        <w:rPr>
          <w:rFonts w:ascii="Arial"/>
          <w:sz w:val="21"/>
        </w:rPr>
      </w:pPr>
    </w:p>
    <w:p w14:paraId="026842DD">
      <w:pPr>
        <w:spacing w:before="65" w:line="332" w:lineRule="auto"/>
        <w:ind w:left="944" w:right="70" w:hanging="943"/>
        <w:rPr>
          <w:rFonts w:ascii="宋体" w:hAnsi="宋体" w:eastAsia="宋体" w:cs="宋体"/>
          <w:sz w:val="20"/>
          <w:szCs w:val="20"/>
        </w:rPr>
      </w:pPr>
      <w:r>
        <w:rPr>
          <w:rFonts w:ascii="宋体" w:hAnsi="宋体" w:eastAsia="宋体" w:cs="宋体"/>
          <w:spacing w:val="8"/>
          <w:sz w:val="20"/>
          <w:szCs w:val="20"/>
        </w:rPr>
        <w:t>6.1.17   承包人还应根据有关法律、法规、规定和条例等的要求，制定一套安全生产应急措施和</w:t>
      </w:r>
      <w:r>
        <w:rPr>
          <w:rFonts w:ascii="宋体" w:hAnsi="宋体" w:eastAsia="宋体" w:cs="宋体"/>
          <w:spacing w:val="9"/>
          <w:sz w:val="20"/>
          <w:szCs w:val="20"/>
        </w:rPr>
        <w:t>程序，保证一旦出现任何安全事故，能立即保护好现场，抢救伤员和财产，保证施工生</w:t>
      </w:r>
      <w:r>
        <w:rPr>
          <w:rFonts w:ascii="宋体" w:hAnsi="宋体" w:eastAsia="宋体" w:cs="宋体"/>
          <w:spacing w:val="8"/>
          <w:sz w:val="20"/>
          <w:szCs w:val="20"/>
        </w:rPr>
        <w:t>产的正常进行，防止损失扩大。</w:t>
      </w:r>
    </w:p>
    <w:p w14:paraId="71F0B5C7">
      <w:pPr>
        <w:spacing w:line="228" w:lineRule="auto"/>
        <w:ind w:left="1"/>
        <w:rPr>
          <w:rFonts w:ascii="宋体" w:hAnsi="宋体" w:eastAsia="宋体" w:cs="宋体"/>
          <w:sz w:val="20"/>
          <w:szCs w:val="20"/>
        </w:rPr>
      </w:pPr>
      <w:r>
        <w:rPr>
          <w:rFonts w:ascii="宋体" w:hAnsi="宋体" w:eastAsia="宋体" w:cs="宋体"/>
          <w:spacing w:val="7"/>
          <w:sz w:val="20"/>
          <w:szCs w:val="20"/>
        </w:rPr>
        <w:t>6.1.18   安全防护方面的其他要求如下：</w:t>
      </w:r>
    </w:p>
    <w:p w14:paraId="1D53658C">
      <w:pPr>
        <w:spacing w:line="277" w:lineRule="auto"/>
        <w:rPr>
          <w:rFonts w:ascii="Arial"/>
          <w:sz w:val="21"/>
        </w:rPr>
      </w:pPr>
    </w:p>
    <w:p w14:paraId="1911C08E">
      <w:pPr>
        <w:spacing w:line="277" w:lineRule="auto"/>
        <w:rPr>
          <w:rFonts w:ascii="Arial"/>
          <w:sz w:val="21"/>
        </w:rPr>
      </w:pPr>
      <w:r>
        <w:pict>
          <v:shape id="_x0000_s1118" o:spid="_x0000_s1118" style="position:absolute;left:0pt;margin-left:36.5pt;margin-top:7.45pt;height:0.5pt;width:330.85pt;z-index:251760640;mso-width-relative:page;mso-height-relative:page;" filled="f" stroked="t" coordsize="6617,10" path="m0,4l6616,4e">
            <v:fill on="f" focussize="0,0"/>
            <v:stroke weight="0.48pt" color="#000000" miterlimit="2" joinstyle="bevel"/>
            <v:imagedata o:title=""/>
            <o:lock v:ext="edit"/>
          </v:shape>
        </w:pict>
      </w:r>
    </w:p>
    <w:p w14:paraId="6F4F5B56">
      <w:pPr>
        <w:spacing w:line="277" w:lineRule="auto"/>
        <w:rPr>
          <w:rFonts w:ascii="Arial"/>
          <w:sz w:val="21"/>
        </w:rPr>
      </w:pPr>
    </w:p>
    <w:p w14:paraId="56946E4C">
      <w:pPr>
        <w:tabs>
          <w:tab w:val="left" w:pos="7342"/>
        </w:tabs>
        <w:spacing w:before="23" w:line="173" w:lineRule="auto"/>
        <w:ind w:left="72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301CCD4">
      <w:pPr>
        <w:pStyle w:val="2"/>
        <w:spacing w:before="233" w:line="221" w:lineRule="auto"/>
        <w:rPr>
          <w:sz w:val="24"/>
          <w:szCs w:val="24"/>
        </w:rPr>
      </w:pPr>
      <w:r>
        <w:rPr>
          <w:spacing w:val="-4"/>
          <w:sz w:val="24"/>
          <w:szCs w:val="24"/>
        </w:rPr>
        <w:t>6.2</w:t>
      </w:r>
      <w:r>
        <w:rPr>
          <w:spacing w:val="3"/>
          <w:sz w:val="24"/>
          <w:szCs w:val="24"/>
        </w:rPr>
        <w:t xml:space="preserve">     </w:t>
      </w:r>
      <w:r>
        <w:rPr>
          <w:spacing w:val="-4"/>
          <w:sz w:val="24"/>
          <w:szCs w:val="24"/>
        </w:rPr>
        <w:t>临时消防</w:t>
      </w:r>
    </w:p>
    <w:p w14:paraId="0E3C99E3">
      <w:pPr>
        <w:spacing w:before="203" w:line="369" w:lineRule="auto"/>
        <w:ind w:left="946" w:right="73" w:hanging="945"/>
        <w:rPr>
          <w:rFonts w:ascii="宋体" w:hAnsi="宋体" w:eastAsia="宋体" w:cs="宋体"/>
          <w:sz w:val="20"/>
          <w:szCs w:val="20"/>
        </w:rPr>
      </w:pPr>
      <w:r>
        <w:rPr>
          <w:rFonts w:ascii="宋体" w:hAnsi="宋体" w:eastAsia="宋体" w:cs="宋体"/>
          <w:spacing w:val="8"/>
          <w:sz w:val="20"/>
          <w:szCs w:val="20"/>
        </w:rPr>
        <w:t>6.2.1    承包人应建立消防安全责任制度，制定用火、用电和使用易燃易爆等危险品的消防安全</w:t>
      </w:r>
      <w:r>
        <w:rPr>
          <w:rFonts w:ascii="宋体" w:hAnsi="宋体" w:eastAsia="宋体" w:cs="宋体"/>
          <w:spacing w:val="9"/>
          <w:sz w:val="20"/>
          <w:szCs w:val="20"/>
        </w:rPr>
        <w:t>管理制度和操作规程。各项制度和规程等应满足相关法律法规和政府消防管理部门的要</w:t>
      </w:r>
      <w:r>
        <w:rPr>
          <w:rFonts w:ascii="宋体" w:hAnsi="宋体" w:eastAsia="宋体" w:cs="宋体"/>
          <w:spacing w:val="-1"/>
          <w:sz w:val="20"/>
          <w:szCs w:val="20"/>
        </w:rPr>
        <w:t>求。</w:t>
      </w:r>
    </w:p>
    <w:p w14:paraId="1AE3C629">
      <w:pPr>
        <w:spacing w:before="3" w:line="369" w:lineRule="auto"/>
        <w:ind w:left="944" w:hanging="943"/>
        <w:rPr>
          <w:rFonts w:ascii="宋体" w:hAnsi="宋体" w:eastAsia="宋体" w:cs="宋体"/>
          <w:sz w:val="20"/>
          <w:szCs w:val="20"/>
        </w:rPr>
      </w:pPr>
      <w:r>
        <w:rPr>
          <w:rFonts w:ascii="宋体" w:hAnsi="宋体" w:eastAsia="宋体" w:cs="宋体"/>
          <w:spacing w:val="8"/>
          <w:sz w:val="20"/>
          <w:szCs w:val="20"/>
        </w:rPr>
        <w:t>6.2.2    承包人应根据相关法律法规和消防管理部门的要求，为施工中的永久工程和所有临时工</w:t>
      </w:r>
      <w:r>
        <w:rPr>
          <w:rFonts w:ascii="宋体" w:hAnsi="宋体" w:eastAsia="宋体" w:cs="宋体"/>
          <w:spacing w:val="6"/>
          <w:sz w:val="20"/>
          <w:szCs w:val="20"/>
        </w:rPr>
        <w:t>程提供必要的临时消防和紧急疏散设施，包括提供并</w:t>
      </w:r>
      <w:r>
        <w:rPr>
          <w:rFonts w:ascii="宋体" w:hAnsi="宋体" w:eastAsia="宋体" w:cs="宋体"/>
          <w:spacing w:val="5"/>
          <w:sz w:val="20"/>
          <w:szCs w:val="20"/>
        </w:rPr>
        <w:t>维持畅通的消防通道、临时消火栓、</w:t>
      </w:r>
      <w:r>
        <w:rPr>
          <w:rFonts w:ascii="宋体" w:hAnsi="宋体" w:eastAsia="宋体" w:cs="宋体"/>
          <w:spacing w:val="6"/>
          <w:sz w:val="20"/>
          <w:szCs w:val="20"/>
        </w:rPr>
        <w:t>灭火器、水龙带、灭火桶、灭火铲、灭火斧、消防水</w:t>
      </w:r>
      <w:r>
        <w:rPr>
          <w:rFonts w:ascii="宋体" w:hAnsi="宋体" w:eastAsia="宋体" w:cs="宋体"/>
          <w:spacing w:val="5"/>
          <w:sz w:val="20"/>
          <w:szCs w:val="20"/>
        </w:rPr>
        <w:t>管、阀门、检查井、临时消防水箱、</w:t>
      </w:r>
      <w:r>
        <w:rPr>
          <w:rFonts w:ascii="宋体" w:hAnsi="宋体" w:eastAsia="宋体" w:cs="宋体"/>
          <w:spacing w:val="9"/>
          <w:sz w:val="20"/>
          <w:szCs w:val="20"/>
        </w:rPr>
        <w:t>泵房和紧随工作面的临时疏散楼梯或疏散设施，消防设施的设立和消防设备的型号和功</w:t>
      </w:r>
      <w:r>
        <w:rPr>
          <w:rFonts w:ascii="宋体" w:hAnsi="宋体" w:eastAsia="宋体" w:cs="宋体"/>
          <w:spacing w:val="10"/>
          <w:sz w:val="20"/>
          <w:szCs w:val="20"/>
        </w:rPr>
        <w:t>率应满足消防任务的需要，始终保持能够随时投入正常使用的状态，并设立明显标志。</w:t>
      </w:r>
      <w:r>
        <w:rPr>
          <w:rFonts w:ascii="宋体" w:hAnsi="宋体" w:eastAsia="宋体" w:cs="宋体"/>
          <w:spacing w:val="9"/>
          <w:sz w:val="20"/>
          <w:szCs w:val="20"/>
        </w:rPr>
        <w:t>承包人的临时消防系统和配置应分别经过监理人和消防管理部门的审批和验收；承包人还应自费获得消防管理部门的临时消防证书。所有的临时消防设施属于承包人所有，至工程实际竣工时且永久性消防系统投入使用后从现场拆除。</w:t>
      </w:r>
    </w:p>
    <w:p w14:paraId="185E7724">
      <w:pPr>
        <w:spacing w:before="1" w:line="369" w:lineRule="auto"/>
        <w:ind w:left="945" w:right="73" w:hanging="944"/>
        <w:rPr>
          <w:rFonts w:ascii="宋体" w:hAnsi="宋体" w:eastAsia="宋体" w:cs="宋体"/>
          <w:sz w:val="20"/>
          <w:szCs w:val="20"/>
        </w:rPr>
      </w:pPr>
      <w:r>
        <w:rPr>
          <w:rFonts w:ascii="宋体" w:hAnsi="宋体" w:eastAsia="宋体" w:cs="宋体"/>
          <w:spacing w:val="8"/>
          <w:sz w:val="20"/>
          <w:szCs w:val="20"/>
        </w:rPr>
        <w:t>6.2.3    承包人应当成立由项目主要负责人担任组长的临时消防组或消防队，宣传消防基本知识</w:t>
      </w:r>
      <w:r>
        <w:rPr>
          <w:rFonts w:ascii="宋体" w:hAnsi="宋体" w:eastAsia="宋体" w:cs="宋体"/>
          <w:spacing w:val="9"/>
          <w:sz w:val="20"/>
          <w:szCs w:val="20"/>
        </w:rPr>
        <w:t>和基本操作培训，组织消防演练，保证一旦发生火灾，能够组织有效的自救，保护生命</w:t>
      </w:r>
      <w:r>
        <w:rPr>
          <w:rFonts w:ascii="宋体" w:hAnsi="宋体" w:eastAsia="宋体" w:cs="宋体"/>
          <w:spacing w:val="6"/>
          <w:sz w:val="20"/>
          <w:szCs w:val="20"/>
        </w:rPr>
        <w:t>和财产安全。</w:t>
      </w:r>
    </w:p>
    <w:p w14:paraId="655C634B">
      <w:pPr>
        <w:spacing w:before="1" w:line="369" w:lineRule="auto"/>
        <w:ind w:left="944" w:right="70" w:hanging="943"/>
        <w:rPr>
          <w:rFonts w:ascii="宋体" w:hAnsi="宋体" w:eastAsia="宋体" w:cs="宋体"/>
          <w:sz w:val="20"/>
          <w:szCs w:val="20"/>
        </w:rPr>
      </w:pPr>
      <w:r>
        <w:rPr>
          <w:rFonts w:ascii="宋体" w:hAnsi="宋体" w:eastAsia="宋体" w:cs="宋体"/>
          <w:spacing w:val="8"/>
          <w:sz w:val="20"/>
          <w:szCs w:val="20"/>
        </w:rPr>
        <w:t>6.2.4    施工场地（现场）内的易燃、易爆物品应单独和安全地存放，设专人进行存放和领用管</w:t>
      </w:r>
      <w:r>
        <w:rPr>
          <w:rFonts w:ascii="宋体" w:hAnsi="宋体" w:eastAsia="宋体" w:cs="宋体"/>
          <w:spacing w:val="9"/>
          <w:sz w:val="20"/>
          <w:szCs w:val="20"/>
        </w:rPr>
        <w:t>理。施工场地（现场）储有或正在使用易燃、易爆或可燃材料时或有明火施工的工序，</w:t>
      </w:r>
      <w:r>
        <w:rPr>
          <w:rFonts w:ascii="宋体" w:hAnsi="宋体" w:eastAsia="宋体" w:cs="宋体"/>
          <w:spacing w:val="7"/>
          <w:sz w:val="20"/>
          <w:szCs w:val="20"/>
        </w:rPr>
        <w:t>应当实行严格的“用火证</w:t>
      </w:r>
      <w:r>
        <w:rPr>
          <w:rFonts w:ascii="宋体" w:hAnsi="宋体" w:eastAsia="宋体" w:cs="宋体"/>
          <w:spacing w:val="-71"/>
          <w:sz w:val="20"/>
          <w:szCs w:val="20"/>
        </w:rPr>
        <w:t xml:space="preserve"> </w:t>
      </w:r>
      <w:r>
        <w:rPr>
          <w:rFonts w:ascii="宋体" w:hAnsi="宋体" w:eastAsia="宋体" w:cs="宋体"/>
          <w:spacing w:val="7"/>
          <w:sz w:val="20"/>
          <w:szCs w:val="20"/>
        </w:rPr>
        <w:t>”管理制度。</w:t>
      </w:r>
    </w:p>
    <w:p w14:paraId="00127E8A">
      <w:pPr>
        <w:spacing w:line="227" w:lineRule="auto"/>
        <w:ind w:left="1"/>
        <w:rPr>
          <w:rFonts w:ascii="宋体" w:hAnsi="宋体" w:eastAsia="宋体" w:cs="宋体"/>
          <w:sz w:val="20"/>
          <w:szCs w:val="20"/>
        </w:rPr>
      </w:pPr>
      <w:r>
        <w:rPr>
          <w:rFonts w:ascii="宋体" w:hAnsi="宋体" w:eastAsia="宋体" w:cs="宋体"/>
          <w:spacing w:val="7"/>
          <w:sz w:val="20"/>
          <w:szCs w:val="20"/>
        </w:rPr>
        <w:t>6.2.5    临时消防方面的其他要求如下：</w:t>
      </w:r>
    </w:p>
    <w:p w14:paraId="68444FDB">
      <w:pPr>
        <w:tabs>
          <w:tab w:val="left" w:pos="7342"/>
        </w:tabs>
        <w:spacing w:before="239"/>
        <w:ind w:left="726"/>
        <w:rPr>
          <w:rFonts w:ascii="Arial"/>
          <w:sz w:val="21"/>
        </w:rPr>
      </w:pPr>
      <w:r>
        <w:rPr>
          <w:rFonts w:ascii="Arial" w:hAnsi="Arial" w:eastAsia="Arial" w:cs="Arial"/>
          <w:sz w:val="21"/>
          <w:szCs w:val="21"/>
          <w:u w:val="single" w:color="auto"/>
        </w:rPr>
        <w:tab/>
      </w:r>
    </w:p>
    <w:p w14:paraId="4D8CEA58">
      <w:pPr>
        <w:spacing w:line="362" w:lineRule="auto"/>
        <w:rPr>
          <w:rFonts w:ascii="Arial"/>
          <w:sz w:val="21"/>
        </w:rPr>
      </w:pPr>
    </w:p>
    <w:p w14:paraId="3E9DA58C">
      <w:pPr>
        <w:tabs>
          <w:tab w:val="left" w:pos="7342"/>
        </w:tabs>
        <w:spacing w:before="23" w:line="173" w:lineRule="auto"/>
        <w:ind w:left="72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C8FE85D">
      <w:pPr>
        <w:pStyle w:val="2"/>
        <w:spacing w:before="234" w:line="223" w:lineRule="auto"/>
        <w:rPr>
          <w:sz w:val="24"/>
          <w:szCs w:val="24"/>
        </w:rPr>
      </w:pPr>
      <w:r>
        <w:rPr>
          <w:spacing w:val="-4"/>
          <w:sz w:val="24"/>
          <w:szCs w:val="24"/>
        </w:rPr>
        <w:t>6.3</w:t>
      </w:r>
      <w:r>
        <w:rPr>
          <w:spacing w:val="3"/>
          <w:sz w:val="24"/>
          <w:szCs w:val="24"/>
        </w:rPr>
        <w:t xml:space="preserve">      </w:t>
      </w:r>
      <w:r>
        <w:rPr>
          <w:spacing w:val="-4"/>
          <w:sz w:val="24"/>
          <w:szCs w:val="24"/>
        </w:rPr>
        <w:t>临时供电</w:t>
      </w:r>
    </w:p>
    <w:p w14:paraId="3163F016">
      <w:pPr>
        <w:spacing w:before="194" w:line="360" w:lineRule="auto"/>
        <w:ind w:left="944" w:right="73" w:hanging="943"/>
        <w:rPr>
          <w:rFonts w:ascii="宋体" w:hAnsi="宋体" w:eastAsia="宋体" w:cs="宋体"/>
          <w:sz w:val="20"/>
          <w:szCs w:val="20"/>
        </w:rPr>
      </w:pPr>
      <w:r>
        <w:rPr>
          <w:rFonts w:ascii="宋体" w:hAnsi="宋体" w:eastAsia="宋体" w:cs="宋体"/>
          <w:spacing w:val="8"/>
          <w:sz w:val="20"/>
          <w:szCs w:val="20"/>
        </w:rPr>
        <w:t>6.3.1    承包人应当根据《建筑与市政</w:t>
      </w:r>
      <w:r>
        <w:rPr>
          <w:rFonts w:ascii="宋体" w:hAnsi="宋体" w:eastAsia="宋体" w:cs="宋体"/>
          <w:spacing w:val="7"/>
          <w:sz w:val="20"/>
          <w:szCs w:val="20"/>
        </w:rPr>
        <w:t>工程施工现场临时用电安全技术标准》（</w:t>
      </w:r>
      <w:r>
        <w:rPr>
          <w:rFonts w:ascii="宋体" w:hAnsi="宋体" w:eastAsia="宋体" w:cs="宋体"/>
          <w:sz w:val="20"/>
          <w:szCs w:val="20"/>
        </w:rPr>
        <w:t>JGJ</w:t>
      </w:r>
      <w:r>
        <w:rPr>
          <w:rFonts w:ascii="宋体" w:hAnsi="宋体" w:eastAsia="宋体" w:cs="宋体"/>
          <w:spacing w:val="7"/>
          <w:sz w:val="20"/>
          <w:szCs w:val="20"/>
        </w:rPr>
        <w:t>/T46-2024）</w:t>
      </w:r>
      <w:r>
        <w:rPr>
          <w:rFonts w:ascii="宋体" w:hAnsi="宋体" w:eastAsia="宋体" w:cs="宋体"/>
          <w:spacing w:val="9"/>
          <w:sz w:val="20"/>
          <w:szCs w:val="20"/>
        </w:rPr>
        <w:t>及其适用的修订版本的规定和施工要求编制施工临时用电方案。临时用电方案及其变更</w:t>
      </w:r>
      <w:r>
        <w:rPr>
          <w:rFonts w:ascii="宋体" w:hAnsi="宋体" w:eastAsia="宋体" w:cs="宋体"/>
          <w:spacing w:val="8"/>
          <w:sz w:val="20"/>
          <w:szCs w:val="20"/>
        </w:rPr>
        <w:t>必须履行“编制、审核、批准</w:t>
      </w:r>
      <w:r>
        <w:rPr>
          <w:rFonts w:ascii="宋体" w:hAnsi="宋体" w:eastAsia="宋体" w:cs="宋体"/>
          <w:spacing w:val="-59"/>
          <w:sz w:val="20"/>
          <w:szCs w:val="20"/>
        </w:rPr>
        <w:t xml:space="preserve"> </w:t>
      </w:r>
      <w:r>
        <w:rPr>
          <w:rFonts w:ascii="宋体" w:hAnsi="宋体" w:eastAsia="宋体" w:cs="宋体"/>
          <w:spacing w:val="8"/>
          <w:sz w:val="20"/>
          <w:szCs w:val="20"/>
        </w:rPr>
        <w:t>”程序。施工临时用电方案应当由电气工程技术人员组织</w:t>
      </w:r>
      <w:r>
        <w:rPr>
          <w:rFonts w:ascii="宋体" w:hAnsi="宋体" w:eastAsia="宋体" w:cs="宋体"/>
          <w:spacing w:val="9"/>
          <w:sz w:val="20"/>
          <w:szCs w:val="20"/>
        </w:rPr>
        <w:t>编制，经企业技术负责人批准后实施，经编制、审核、批准部门和使用单位共同验收合</w:t>
      </w:r>
    </w:p>
    <w:p w14:paraId="0519BED1">
      <w:pPr>
        <w:spacing w:line="360" w:lineRule="auto"/>
        <w:rPr>
          <w:rFonts w:ascii="宋体" w:hAnsi="宋体" w:eastAsia="宋体" w:cs="宋体"/>
          <w:sz w:val="20"/>
          <w:szCs w:val="20"/>
        </w:rPr>
        <w:sectPr>
          <w:footerReference r:id="rId485" w:type="default"/>
          <w:pgSz w:w="11907" w:h="16840"/>
          <w:pgMar w:top="400" w:right="1460" w:bottom="1247" w:left="1481" w:header="0" w:footer="1085" w:gutter="0"/>
          <w:cols w:space="720" w:num="1"/>
        </w:sectPr>
      </w:pPr>
    </w:p>
    <w:p w14:paraId="2CAE08E7">
      <w:pPr>
        <w:spacing w:line="271" w:lineRule="auto"/>
        <w:rPr>
          <w:rFonts w:ascii="Arial"/>
          <w:sz w:val="21"/>
        </w:rPr>
      </w:pPr>
    </w:p>
    <w:p w14:paraId="77845870">
      <w:pPr>
        <w:spacing w:line="271" w:lineRule="auto"/>
        <w:rPr>
          <w:rFonts w:ascii="Arial"/>
          <w:sz w:val="21"/>
        </w:rPr>
      </w:pPr>
    </w:p>
    <w:p w14:paraId="5B30AD2B">
      <w:pPr>
        <w:spacing w:line="272" w:lineRule="auto"/>
        <w:rPr>
          <w:rFonts w:ascii="Arial"/>
          <w:sz w:val="21"/>
        </w:rPr>
      </w:pPr>
    </w:p>
    <w:p w14:paraId="7A869D1C">
      <w:pPr>
        <w:spacing w:line="272" w:lineRule="auto"/>
        <w:rPr>
          <w:rFonts w:ascii="Arial"/>
          <w:sz w:val="21"/>
        </w:rPr>
      </w:pPr>
    </w:p>
    <w:p w14:paraId="3BB9900B">
      <w:pPr>
        <w:spacing w:line="272" w:lineRule="auto"/>
        <w:rPr>
          <w:rFonts w:ascii="Arial"/>
          <w:sz w:val="21"/>
        </w:rPr>
      </w:pPr>
    </w:p>
    <w:p w14:paraId="4AB868C6">
      <w:pPr>
        <w:spacing w:before="65" w:line="228" w:lineRule="auto"/>
        <w:ind w:left="945"/>
        <w:rPr>
          <w:rFonts w:ascii="宋体" w:hAnsi="宋体" w:eastAsia="宋体" w:cs="宋体"/>
          <w:sz w:val="20"/>
          <w:szCs w:val="20"/>
        </w:rPr>
      </w:pPr>
      <w:r>
        <w:rPr>
          <w:rFonts w:ascii="宋体" w:hAnsi="宋体" w:eastAsia="宋体" w:cs="宋体"/>
          <w:spacing w:val="7"/>
          <w:sz w:val="20"/>
          <w:szCs w:val="20"/>
        </w:rPr>
        <w:t>格后方可投入使用。</w:t>
      </w:r>
    </w:p>
    <w:p w14:paraId="133551CE">
      <w:pPr>
        <w:spacing w:before="143" w:line="360" w:lineRule="auto"/>
        <w:ind w:left="944" w:right="54" w:hanging="943"/>
        <w:rPr>
          <w:rFonts w:ascii="宋体" w:hAnsi="宋体" w:eastAsia="宋体" w:cs="宋体"/>
          <w:sz w:val="20"/>
          <w:szCs w:val="20"/>
        </w:rPr>
      </w:pPr>
      <w:r>
        <w:rPr>
          <w:rFonts w:ascii="宋体" w:hAnsi="宋体" w:eastAsia="宋体" w:cs="宋体"/>
          <w:spacing w:val="10"/>
          <w:sz w:val="20"/>
          <w:szCs w:val="20"/>
        </w:rPr>
        <w:t>6.3.2    承包人应为施工场地（现场</w:t>
      </w:r>
      <w:r>
        <w:rPr>
          <w:rFonts w:ascii="宋体" w:hAnsi="宋体" w:eastAsia="宋体" w:cs="宋体"/>
          <w:spacing w:val="-30"/>
          <w:sz w:val="20"/>
          <w:szCs w:val="20"/>
        </w:rPr>
        <w:t>），</w:t>
      </w:r>
      <w:r>
        <w:rPr>
          <w:rFonts w:ascii="宋体" w:hAnsi="宋体" w:eastAsia="宋体" w:cs="宋体"/>
          <w:spacing w:val="10"/>
          <w:sz w:val="20"/>
          <w:szCs w:val="20"/>
        </w:rPr>
        <w:t>包括为工程楼层或者各区域，提供、设立和维护必要的</w:t>
      </w:r>
      <w:r>
        <w:rPr>
          <w:rFonts w:ascii="宋体" w:hAnsi="宋体" w:eastAsia="宋体" w:cs="宋体"/>
          <w:spacing w:val="9"/>
          <w:sz w:val="20"/>
          <w:szCs w:val="20"/>
        </w:rPr>
        <w:t>临时电力供应系统，并保证电力供应系统始终处于满足供电管理部门要求和正常施工生产所要求的状态，并在工程实际竣工和相应永久系统投入使用后从现场拆除。</w:t>
      </w:r>
    </w:p>
    <w:p w14:paraId="23D65E7A">
      <w:pPr>
        <w:spacing w:line="360" w:lineRule="auto"/>
        <w:ind w:left="944" w:right="54" w:hanging="943"/>
        <w:rPr>
          <w:rFonts w:ascii="宋体" w:hAnsi="宋体" w:eastAsia="宋体" w:cs="宋体"/>
          <w:sz w:val="20"/>
          <w:szCs w:val="20"/>
        </w:rPr>
      </w:pPr>
      <w:r>
        <w:rPr>
          <w:rFonts w:ascii="宋体" w:hAnsi="宋体" w:eastAsia="宋体" w:cs="宋体"/>
          <w:spacing w:val="8"/>
          <w:sz w:val="20"/>
          <w:szCs w:val="20"/>
        </w:rPr>
        <w:t>6.3.3    临时供电系统的电缆、电线、配电箱、控制柜、开关箱、漏电保护器等材料设备均应当</w:t>
      </w:r>
      <w:r>
        <w:rPr>
          <w:rFonts w:ascii="宋体" w:hAnsi="宋体" w:eastAsia="宋体" w:cs="宋体"/>
          <w:spacing w:val="9"/>
          <w:sz w:val="20"/>
          <w:szCs w:val="20"/>
        </w:rPr>
        <w:t>具有生产（制造）许可证、产品合格证并经过检验合格的产品。临时用电采用三相五线制、三级配电和两极漏电保护供电，三相四线制配电的电缆线路必须采用五芯电缆，按规定设立零线和接地线。电缆和电线的铺设要符合安全用电标准要求，电缆线路应采用埋地或架空敷设，严禁地面明设，并应避免机械损伤和介质腐蚀。埋地电缆路径应设方位标志。各种配电设备均设有防止漏电和防雨防水设施。</w:t>
      </w:r>
    </w:p>
    <w:p w14:paraId="304189E9">
      <w:pPr>
        <w:spacing w:before="1" w:line="360" w:lineRule="auto"/>
        <w:ind w:left="947" w:right="56" w:hanging="946"/>
        <w:rPr>
          <w:rFonts w:ascii="宋体" w:hAnsi="宋体" w:eastAsia="宋体" w:cs="宋体"/>
          <w:sz w:val="20"/>
          <w:szCs w:val="20"/>
        </w:rPr>
      </w:pPr>
      <w:r>
        <w:rPr>
          <w:rFonts w:ascii="宋体" w:hAnsi="宋体" w:eastAsia="宋体" w:cs="宋体"/>
          <w:spacing w:val="8"/>
          <w:sz w:val="20"/>
          <w:szCs w:val="20"/>
        </w:rPr>
        <w:t>6.3.4    承包人应在施工作业区、施工道路、临时设施、办公区和生活区设置足够的照明，地下</w:t>
      </w:r>
      <w:r>
        <w:rPr>
          <w:rFonts w:ascii="宋体" w:hAnsi="宋体" w:eastAsia="宋体" w:cs="宋体"/>
          <w:spacing w:val="10"/>
          <w:sz w:val="20"/>
          <w:szCs w:val="20"/>
        </w:rPr>
        <w:t>工程照明系统的电压不得高于</w:t>
      </w:r>
      <w:r>
        <w:rPr>
          <w:rFonts w:ascii="宋体" w:hAnsi="宋体" w:eastAsia="宋体" w:cs="宋体"/>
          <w:spacing w:val="-35"/>
          <w:sz w:val="20"/>
          <w:szCs w:val="20"/>
        </w:rPr>
        <w:t xml:space="preserve"> </w:t>
      </w:r>
      <w:r>
        <w:rPr>
          <w:rFonts w:ascii="宋体" w:hAnsi="宋体" w:eastAsia="宋体" w:cs="宋体"/>
          <w:spacing w:val="10"/>
          <w:sz w:val="20"/>
          <w:szCs w:val="20"/>
        </w:rPr>
        <w:t>36V，在潮湿和易触及带</w:t>
      </w:r>
      <w:r>
        <w:rPr>
          <w:rFonts w:ascii="宋体" w:hAnsi="宋体" w:eastAsia="宋体" w:cs="宋体"/>
          <w:spacing w:val="9"/>
          <w:sz w:val="20"/>
          <w:szCs w:val="20"/>
        </w:rPr>
        <w:t>电体场所的照明供电电压不应大</w:t>
      </w:r>
      <w:r>
        <w:rPr>
          <w:rFonts w:ascii="宋体" w:hAnsi="宋体" w:eastAsia="宋体" w:cs="宋体"/>
          <w:spacing w:val="8"/>
          <w:sz w:val="20"/>
          <w:szCs w:val="20"/>
        </w:rPr>
        <w:t>于</w:t>
      </w:r>
      <w:r>
        <w:rPr>
          <w:rFonts w:ascii="宋体" w:hAnsi="宋体" w:eastAsia="宋体" w:cs="宋体"/>
          <w:spacing w:val="-31"/>
          <w:sz w:val="20"/>
          <w:szCs w:val="20"/>
        </w:rPr>
        <w:t xml:space="preserve"> </w:t>
      </w:r>
      <w:r>
        <w:rPr>
          <w:rFonts w:ascii="宋体" w:hAnsi="宋体" w:eastAsia="宋体" w:cs="宋体"/>
          <w:spacing w:val="8"/>
          <w:sz w:val="20"/>
          <w:szCs w:val="20"/>
        </w:rPr>
        <w:t>24V。不便于使用电器照明的工作面应采用特殊照明设施。</w:t>
      </w:r>
    </w:p>
    <w:p w14:paraId="22B4DAE1">
      <w:pPr>
        <w:spacing w:before="1" w:line="359" w:lineRule="auto"/>
        <w:ind w:left="949" w:right="54" w:hanging="948"/>
        <w:rPr>
          <w:rFonts w:ascii="宋体" w:hAnsi="宋体" w:eastAsia="宋体" w:cs="宋体"/>
          <w:sz w:val="20"/>
          <w:szCs w:val="20"/>
        </w:rPr>
      </w:pPr>
      <w:r>
        <w:rPr>
          <w:rFonts w:ascii="宋体" w:hAnsi="宋体" w:eastAsia="宋体" w:cs="宋体"/>
          <w:spacing w:val="8"/>
          <w:sz w:val="20"/>
          <w:szCs w:val="20"/>
        </w:rPr>
        <w:t>6.3.5    凡可能漏电伤人或易受雷击的电器及建筑物均应设置接地和避雷装置。承包人应负责避</w:t>
      </w:r>
      <w:r>
        <w:rPr>
          <w:rFonts w:ascii="宋体" w:hAnsi="宋体" w:eastAsia="宋体" w:cs="宋体"/>
          <w:spacing w:val="9"/>
          <w:sz w:val="20"/>
          <w:szCs w:val="20"/>
        </w:rPr>
        <w:t>雷装置的采购、安装、管理和维修，并建立定期检查制度。</w:t>
      </w:r>
    </w:p>
    <w:p w14:paraId="66CA377D">
      <w:pPr>
        <w:spacing w:before="1" w:line="227" w:lineRule="auto"/>
        <w:ind w:left="1"/>
        <w:rPr>
          <w:rFonts w:ascii="宋体" w:hAnsi="宋体" w:eastAsia="宋体" w:cs="宋体"/>
          <w:sz w:val="20"/>
          <w:szCs w:val="20"/>
        </w:rPr>
      </w:pPr>
      <w:r>
        <w:rPr>
          <w:rFonts w:ascii="宋体" w:hAnsi="宋体" w:eastAsia="宋体" w:cs="宋体"/>
          <w:spacing w:val="7"/>
          <w:sz w:val="20"/>
          <w:szCs w:val="20"/>
        </w:rPr>
        <w:t>6.3.6    临时用电方面的其他要求如下：</w:t>
      </w:r>
    </w:p>
    <w:p w14:paraId="0AF71C85">
      <w:pPr>
        <w:tabs>
          <w:tab w:val="left" w:pos="7550"/>
        </w:tabs>
        <w:spacing w:before="149"/>
        <w:ind w:left="937"/>
        <w:rPr>
          <w:rFonts w:ascii="Arial"/>
          <w:sz w:val="21"/>
        </w:rPr>
      </w:pPr>
      <w:r>
        <w:rPr>
          <w:rFonts w:ascii="Arial" w:hAnsi="Arial" w:eastAsia="Arial" w:cs="Arial"/>
          <w:sz w:val="21"/>
          <w:szCs w:val="21"/>
          <w:u w:val="single" w:color="auto"/>
        </w:rPr>
        <w:tab/>
      </w:r>
    </w:p>
    <w:p w14:paraId="5D3585F5">
      <w:pPr>
        <w:spacing w:line="252" w:lineRule="auto"/>
        <w:rPr>
          <w:rFonts w:ascii="Arial"/>
          <w:sz w:val="21"/>
        </w:rPr>
      </w:pPr>
    </w:p>
    <w:p w14:paraId="00975CEF">
      <w:pPr>
        <w:tabs>
          <w:tab w:val="left" w:pos="7550"/>
        </w:tabs>
        <w:spacing w:before="24" w:line="173" w:lineRule="auto"/>
        <w:ind w:left="937"/>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6DD258E">
      <w:pPr>
        <w:pStyle w:val="2"/>
        <w:spacing w:before="164" w:line="222" w:lineRule="auto"/>
        <w:rPr>
          <w:sz w:val="24"/>
          <w:szCs w:val="24"/>
        </w:rPr>
      </w:pPr>
      <w:r>
        <w:rPr>
          <w:spacing w:val="-4"/>
          <w:sz w:val="24"/>
          <w:szCs w:val="24"/>
        </w:rPr>
        <w:t>6.4</w:t>
      </w:r>
      <w:r>
        <w:rPr>
          <w:spacing w:val="3"/>
          <w:sz w:val="24"/>
          <w:szCs w:val="24"/>
        </w:rPr>
        <w:t xml:space="preserve">     </w:t>
      </w:r>
      <w:r>
        <w:rPr>
          <w:spacing w:val="-4"/>
          <w:sz w:val="24"/>
          <w:szCs w:val="24"/>
        </w:rPr>
        <w:t>劳动保护</w:t>
      </w:r>
    </w:p>
    <w:p w14:paraId="129B446F">
      <w:pPr>
        <w:spacing w:before="127" w:line="360" w:lineRule="auto"/>
        <w:ind w:left="944" w:hanging="943"/>
        <w:rPr>
          <w:rFonts w:ascii="宋体" w:hAnsi="宋体" w:eastAsia="宋体" w:cs="宋体"/>
          <w:sz w:val="20"/>
          <w:szCs w:val="20"/>
        </w:rPr>
      </w:pPr>
      <w:r>
        <w:rPr>
          <w:rFonts w:ascii="宋体" w:hAnsi="宋体" w:eastAsia="宋体" w:cs="宋体"/>
          <w:spacing w:val="8"/>
          <w:sz w:val="20"/>
          <w:szCs w:val="20"/>
        </w:rPr>
        <w:t>6.4.1    承包人应遵守所有适用于本合同的劳动法规及其他有关法律、法规、规章和规定中关于</w:t>
      </w:r>
      <w:r>
        <w:rPr>
          <w:rFonts w:ascii="宋体" w:hAnsi="宋体" w:eastAsia="宋体" w:cs="宋体"/>
          <w:spacing w:val="5"/>
          <w:sz w:val="20"/>
          <w:szCs w:val="20"/>
        </w:rPr>
        <w:t>工人工资标准、劳动时间和劳动条件的规定，合理安排现场作业人员的劳动和休息时间，</w:t>
      </w:r>
      <w:r>
        <w:rPr>
          <w:rFonts w:ascii="宋体" w:hAnsi="宋体" w:eastAsia="宋体" w:cs="宋体"/>
          <w:spacing w:val="9"/>
          <w:sz w:val="20"/>
          <w:szCs w:val="20"/>
        </w:rPr>
        <w:t>保障劳动者必须的休息时间，支付合理的报酬和费用。承包人应按有关行政管理部门的规定为本合同下雇佣的职员和工人办理任何必要的证件、许可、保险和注册等，并保障发包人免于因承包人不能依照或完全依照上述所有法律、法规、规章和规定等可能给发包人带来的任何处罚、索赔、损失和损害等。</w:t>
      </w:r>
    </w:p>
    <w:p w14:paraId="16280364">
      <w:pPr>
        <w:spacing w:before="2" w:line="359" w:lineRule="auto"/>
        <w:ind w:left="944" w:right="56" w:hanging="943"/>
        <w:rPr>
          <w:rFonts w:ascii="宋体" w:hAnsi="宋体" w:eastAsia="宋体" w:cs="宋体"/>
          <w:sz w:val="20"/>
          <w:szCs w:val="20"/>
        </w:rPr>
      </w:pPr>
      <w:r>
        <w:rPr>
          <w:rFonts w:ascii="宋体" w:hAnsi="宋体" w:eastAsia="宋体" w:cs="宋体"/>
          <w:spacing w:val="8"/>
          <w:sz w:val="20"/>
          <w:szCs w:val="20"/>
        </w:rPr>
        <w:t>6.4.2    承包人应按照国家《中华人民共和国劳动法》的规定，保障现场施工人员的劳动安全。</w:t>
      </w:r>
      <w:r>
        <w:rPr>
          <w:rFonts w:ascii="宋体" w:hAnsi="宋体" w:eastAsia="宋体" w:cs="宋体"/>
          <w:spacing w:val="9"/>
          <w:sz w:val="20"/>
          <w:szCs w:val="20"/>
        </w:rPr>
        <w:t>承包人应为本合同下雇佣的职员和工人提供适当和充分的劳动保护，包括但不限于安全防护、防寒、防雨、防尘、绝缘保护、常用药品、急救设备、传染病预防等。</w:t>
      </w:r>
    </w:p>
    <w:p w14:paraId="1DF0ADC4">
      <w:pPr>
        <w:spacing w:before="2" w:line="354" w:lineRule="auto"/>
        <w:ind w:left="944" w:hanging="943"/>
        <w:rPr>
          <w:rFonts w:ascii="宋体" w:hAnsi="宋体" w:eastAsia="宋体" w:cs="宋体"/>
          <w:sz w:val="20"/>
          <w:szCs w:val="20"/>
        </w:rPr>
      </w:pPr>
      <w:r>
        <w:rPr>
          <w:rFonts w:ascii="宋体" w:hAnsi="宋体" w:eastAsia="宋体" w:cs="宋体"/>
          <w:spacing w:val="13"/>
          <w:sz w:val="20"/>
          <w:szCs w:val="20"/>
        </w:rPr>
        <w:t>6.4.3    承包人应为其履行本合同所雇佣的职员和工人提供和维护任何</w:t>
      </w:r>
      <w:r>
        <w:rPr>
          <w:rFonts w:ascii="宋体" w:hAnsi="宋体" w:eastAsia="宋体" w:cs="宋体"/>
          <w:spacing w:val="12"/>
          <w:sz w:val="20"/>
          <w:szCs w:val="20"/>
        </w:rPr>
        <w:t>必要的膳宿条件和生活</w:t>
      </w:r>
      <w:r>
        <w:rPr>
          <w:rFonts w:ascii="宋体" w:hAnsi="宋体" w:eastAsia="宋体" w:cs="宋体"/>
          <w:spacing w:val="9"/>
          <w:sz w:val="20"/>
          <w:szCs w:val="20"/>
        </w:rPr>
        <w:t>环境，包括但不限于宿舍、围栏、供水（饮用及其他目的用水）、供电、卫生设备、食</w:t>
      </w:r>
      <w:r>
        <w:rPr>
          <w:rFonts w:ascii="宋体" w:hAnsi="宋体" w:eastAsia="宋体" w:cs="宋体"/>
          <w:spacing w:val="5"/>
          <w:sz w:val="20"/>
          <w:szCs w:val="20"/>
        </w:rPr>
        <w:t>堂及炊具、防火及灭火设备、供热、家具及其他正常膳宿条件和生活环境所需的必需品，</w:t>
      </w:r>
      <w:r>
        <w:rPr>
          <w:rFonts w:ascii="宋体" w:hAnsi="宋体" w:eastAsia="宋体" w:cs="宋体"/>
          <w:spacing w:val="8"/>
          <w:sz w:val="20"/>
          <w:szCs w:val="20"/>
        </w:rPr>
        <w:t>并应考虑宗教和民族习惯。</w:t>
      </w:r>
    </w:p>
    <w:p w14:paraId="655CBA77">
      <w:pPr>
        <w:spacing w:before="1" w:line="333" w:lineRule="auto"/>
        <w:ind w:left="944" w:right="54" w:hanging="943"/>
        <w:rPr>
          <w:rFonts w:ascii="宋体" w:hAnsi="宋体" w:eastAsia="宋体" w:cs="宋体"/>
          <w:sz w:val="20"/>
          <w:szCs w:val="20"/>
        </w:rPr>
      </w:pPr>
      <w:r>
        <w:rPr>
          <w:rFonts w:ascii="宋体" w:hAnsi="宋体" w:eastAsia="宋体" w:cs="宋体"/>
          <w:spacing w:val="8"/>
          <w:sz w:val="20"/>
          <w:szCs w:val="20"/>
        </w:rPr>
        <w:t>6.4.4    承包人应为现场工人提供符合政府卫生规定的生活条件并获得必要的许可，保证工人的</w:t>
      </w:r>
      <w:r>
        <w:rPr>
          <w:rFonts w:ascii="宋体" w:hAnsi="宋体" w:eastAsia="宋体" w:cs="宋体"/>
          <w:spacing w:val="9"/>
          <w:sz w:val="20"/>
          <w:szCs w:val="20"/>
        </w:rPr>
        <w:t>健康和防止任何传染病，包括工人的食堂、厕所、工具房、宿舍等；承包人应聘请专业</w:t>
      </w:r>
    </w:p>
    <w:p w14:paraId="66FBB56A">
      <w:pPr>
        <w:spacing w:line="333" w:lineRule="auto"/>
        <w:rPr>
          <w:rFonts w:ascii="宋体" w:hAnsi="宋体" w:eastAsia="宋体" w:cs="宋体"/>
          <w:sz w:val="20"/>
          <w:szCs w:val="20"/>
        </w:rPr>
        <w:sectPr>
          <w:footerReference r:id="rId486" w:type="default"/>
          <w:pgSz w:w="11907" w:h="16840"/>
          <w:pgMar w:top="400" w:right="1477" w:bottom="1247" w:left="1481" w:header="0" w:footer="1085" w:gutter="0"/>
          <w:cols w:space="720" w:num="1"/>
        </w:sectPr>
      </w:pPr>
    </w:p>
    <w:p w14:paraId="086AB991">
      <w:pPr>
        <w:spacing w:line="267" w:lineRule="auto"/>
        <w:rPr>
          <w:rFonts w:ascii="Arial"/>
          <w:sz w:val="21"/>
        </w:rPr>
      </w:pPr>
    </w:p>
    <w:p w14:paraId="4631DE2F">
      <w:pPr>
        <w:spacing w:line="267" w:lineRule="auto"/>
        <w:rPr>
          <w:rFonts w:ascii="Arial"/>
          <w:sz w:val="21"/>
        </w:rPr>
      </w:pPr>
    </w:p>
    <w:p w14:paraId="0C71C505">
      <w:pPr>
        <w:spacing w:line="267" w:lineRule="auto"/>
        <w:rPr>
          <w:rFonts w:ascii="Arial"/>
          <w:sz w:val="21"/>
        </w:rPr>
      </w:pPr>
    </w:p>
    <w:p w14:paraId="678FBF45">
      <w:pPr>
        <w:spacing w:line="267" w:lineRule="auto"/>
        <w:rPr>
          <w:rFonts w:ascii="Arial"/>
          <w:sz w:val="21"/>
        </w:rPr>
      </w:pPr>
    </w:p>
    <w:p w14:paraId="3DA58853">
      <w:pPr>
        <w:spacing w:line="268" w:lineRule="auto"/>
        <w:rPr>
          <w:rFonts w:ascii="Arial"/>
          <w:sz w:val="21"/>
        </w:rPr>
      </w:pPr>
    </w:p>
    <w:p w14:paraId="40023662">
      <w:pPr>
        <w:spacing w:before="65" w:line="332" w:lineRule="auto"/>
        <w:ind w:left="945" w:right="73" w:firstLine="17"/>
        <w:jc w:val="both"/>
        <w:rPr>
          <w:rFonts w:ascii="宋体" w:hAnsi="宋体" w:eastAsia="宋体" w:cs="宋体"/>
          <w:sz w:val="20"/>
          <w:szCs w:val="20"/>
        </w:rPr>
      </w:pPr>
      <w:r>
        <w:rPr>
          <w:rFonts w:ascii="宋体" w:hAnsi="宋体" w:eastAsia="宋体" w:cs="宋体"/>
          <w:spacing w:val="9"/>
          <w:sz w:val="20"/>
          <w:szCs w:val="20"/>
        </w:rPr>
        <w:t>的卫生防疫部门定期对现场、工人生活基地和工程进</w:t>
      </w:r>
      <w:r>
        <w:rPr>
          <w:rFonts w:ascii="宋体" w:hAnsi="宋体" w:eastAsia="宋体" w:cs="宋体"/>
          <w:spacing w:val="8"/>
          <w:sz w:val="20"/>
          <w:szCs w:val="20"/>
        </w:rPr>
        <w:t>行防疫和卫生的专业检查和处理，</w:t>
      </w:r>
      <w:r>
        <w:rPr>
          <w:rFonts w:ascii="宋体" w:hAnsi="宋体" w:eastAsia="宋体" w:cs="宋体"/>
          <w:spacing w:val="9"/>
          <w:sz w:val="20"/>
          <w:szCs w:val="20"/>
        </w:rPr>
        <w:t>包括消灭白蚁、鼠害、蚊蝇和其它害虫，以防对施工人员、现场和永久工程造成任何危</w:t>
      </w:r>
      <w:r>
        <w:rPr>
          <w:rFonts w:ascii="宋体" w:hAnsi="宋体" w:eastAsia="宋体" w:cs="宋体"/>
          <w:sz w:val="20"/>
          <w:szCs w:val="20"/>
        </w:rPr>
        <w:t>害。</w:t>
      </w:r>
    </w:p>
    <w:p w14:paraId="73CB8CAF">
      <w:pPr>
        <w:spacing w:line="332" w:lineRule="auto"/>
        <w:ind w:left="944" w:right="70" w:hanging="943"/>
        <w:rPr>
          <w:rFonts w:ascii="宋体" w:hAnsi="宋体" w:eastAsia="宋体" w:cs="宋体"/>
          <w:sz w:val="20"/>
          <w:szCs w:val="20"/>
        </w:rPr>
      </w:pPr>
      <w:r>
        <w:rPr>
          <w:rFonts w:ascii="宋体" w:hAnsi="宋体" w:eastAsia="宋体" w:cs="宋体"/>
          <w:spacing w:val="8"/>
          <w:sz w:val="20"/>
          <w:szCs w:val="20"/>
        </w:rPr>
        <w:t>6.4.5    承包人应在现场设立专门的临时医疗站，配备足够的设施、药物和称职的医务人员，承</w:t>
      </w:r>
      <w:r>
        <w:rPr>
          <w:rFonts w:ascii="宋体" w:hAnsi="宋体" w:eastAsia="宋体" w:cs="宋体"/>
          <w:spacing w:val="9"/>
          <w:sz w:val="20"/>
          <w:szCs w:val="20"/>
        </w:rPr>
        <w:t>包人还应准备急救担架，用于一旦发生安全事故时对受伤人员的急救。</w:t>
      </w:r>
    </w:p>
    <w:p w14:paraId="24FBEEBD">
      <w:pPr>
        <w:spacing w:line="227" w:lineRule="auto"/>
        <w:ind w:left="1"/>
        <w:rPr>
          <w:rFonts w:ascii="宋体" w:hAnsi="宋体" w:eastAsia="宋体" w:cs="宋体"/>
          <w:sz w:val="20"/>
          <w:szCs w:val="20"/>
        </w:rPr>
      </w:pPr>
      <w:r>
        <w:rPr>
          <w:rFonts w:ascii="宋体" w:hAnsi="宋体" w:eastAsia="宋体" w:cs="宋体"/>
          <w:spacing w:val="7"/>
          <w:sz w:val="20"/>
          <w:szCs w:val="20"/>
        </w:rPr>
        <w:t>6.4.6    劳动保护方面的其他要求如下：</w:t>
      </w:r>
    </w:p>
    <w:p w14:paraId="31894F7F">
      <w:pPr>
        <w:spacing w:line="242" w:lineRule="auto"/>
        <w:rPr>
          <w:rFonts w:ascii="Arial"/>
          <w:sz w:val="21"/>
        </w:rPr>
      </w:pPr>
    </w:p>
    <w:p w14:paraId="700B600A">
      <w:pPr>
        <w:spacing w:line="242" w:lineRule="auto"/>
        <w:rPr>
          <w:rFonts w:ascii="Arial"/>
          <w:sz w:val="21"/>
        </w:rPr>
      </w:pPr>
    </w:p>
    <w:p w14:paraId="2532597E">
      <w:pPr>
        <w:spacing w:line="242" w:lineRule="auto"/>
        <w:rPr>
          <w:rFonts w:ascii="Arial"/>
          <w:sz w:val="21"/>
        </w:rPr>
      </w:pPr>
      <w:r>
        <w:pict>
          <v:shape id="_x0000_s1119" o:spid="_x0000_s1119" style="position:absolute;left:0pt;margin-left:47.05pt;margin-top:1.1pt;height:0.5pt;width:330.7pt;z-index:251762688;mso-width-relative:page;mso-height-relative:page;" filled="f" stroked="t" coordsize="6614,10" path="m0,4l6613,4e">
            <v:fill on="f" focussize="0,0"/>
            <v:stroke weight="0.48pt" color="#000000" miterlimit="2" joinstyle="bevel"/>
            <v:imagedata o:title=""/>
            <o:lock v:ext="edit"/>
          </v:shape>
        </w:pict>
      </w:r>
    </w:p>
    <w:p w14:paraId="3847A481">
      <w:pPr>
        <w:spacing w:line="243" w:lineRule="auto"/>
        <w:rPr>
          <w:rFonts w:ascii="Arial"/>
          <w:sz w:val="21"/>
        </w:rPr>
      </w:pPr>
    </w:p>
    <w:p w14:paraId="3E30ECED">
      <w:pPr>
        <w:spacing w:before="65" w:line="45" w:lineRule="exact"/>
        <w:ind w:left="7580"/>
        <w:rPr>
          <w:rFonts w:ascii="宋体" w:hAnsi="宋体" w:eastAsia="宋体" w:cs="宋体"/>
          <w:sz w:val="20"/>
          <w:szCs w:val="20"/>
        </w:rPr>
      </w:pPr>
      <w:r>
        <w:pict>
          <v:shape id="_x0000_s1120" o:spid="_x0000_s1120" o:spt="202" type="#_x0000_t202" style="position:absolute;left:0pt;margin-left:45.85pt;margin-top:-4.1pt;height:14.1pt;width:332.7pt;z-index:251761664;mso-width-relative:page;mso-height-relative:page;" filled="f" stroked="f" coordsize="21600,21600">
            <v:path/>
            <v:fill on="f" focussize="0,0"/>
            <v:stroke on="f"/>
            <v:imagedata o:title=""/>
            <o:lock v:ext="edit" aspectratio="f"/>
            <v:textbox inset="0mm,0mm,0mm,0mm">
              <w:txbxContent>
                <w:p w14:paraId="6E068D54">
                  <w:pPr>
                    <w:tabs>
                      <w:tab w:val="left" w:pos="6632"/>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096C1399">
      <w:pPr>
        <w:pStyle w:val="2"/>
        <w:spacing w:before="203" w:line="223" w:lineRule="auto"/>
        <w:rPr>
          <w:sz w:val="24"/>
          <w:szCs w:val="24"/>
        </w:rPr>
      </w:pPr>
      <w:r>
        <w:rPr>
          <w:spacing w:val="-1"/>
          <w:sz w:val="24"/>
          <w:szCs w:val="24"/>
        </w:rPr>
        <w:t>6.5     脚手架</w:t>
      </w:r>
    </w:p>
    <w:p w14:paraId="4DC592C3">
      <w:pPr>
        <w:spacing w:before="110" w:line="351" w:lineRule="auto"/>
        <w:ind w:left="945" w:hanging="944"/>
        <w:rPr>
          <w:rFonts w:ascii="宋体" w:hAnsi="宋体" w:eastAsia="宋体" w:cs="宋体"/>
          <w:sz w:val="20"/>
          <w:szCs w:val="20"/>
        </w:rPr>
      </w:pPr>
      <w:r>
        <w:rPr>
          <w:rFonts w:ascii="宋体" w:hAnsi="宋体" w:eastAsia="宋体" w:cs="宋体"/>
          <w:spacing w:val="6"/>
          <w:sz w:val="20"/>
          <w:szCs w:val="20"/>
        </w:rPr>
        <w:t>6.5.1    承包人应搭设并维护一切必</w:t>
      </w:r>
      <w:r>
        <w:rPr>
          <w:rFonts w:ascii="宋体" w:hAnsi="宋体" w:eastAsia="宋体" w:cs="宋体"/>
          <w:spacing w:val="5"/>
          <w:sz w:val="20"/>
          <w:szCs w:val="20"/>
        </w:rPr>
        <w:t>要的临时脚手架、挑平台并配以脚手板、安全网、护身栏杆、</w:t>
      </w:r>
      <w:r>
        <w:rPr>
          <w:rFonts w:ascii="宋体" w:hAnsi="宋体" w:eastAsia="宋体" w:cs="宋体"/>
          <w:spacing w:val="9"/>
          <w:sz w:val="20"/>
          <w:szCs w:val="20"/>
        </w:rPr>
        <w:t>门架、马道、坡道、爬梯等等。脚手架和挑平台的搭设应满足有关安全生产的法律、法规、规范、标准和规程等的要求。新搭设的脚手架投入使用前，承包人必须组织安全检查和验收，并对使用脚手架的作业人员进行安全交底。</w:t>
      </w:r>
    </w:p>
    <w:p w14:paraId="15631AA0">
      <w:pPr>
        <w:spacing w:line="351" w:lineRule="auto"/>
        <w:ind w:left="946" w:right="70" w:hanging="945"/>
        <w:rPr>
          <w:rFonts w:ascii="宋体" w:hAnsi="宋体" w:eastAsia="宋体" w:cs="宋体"/>
          <w:sz w:val="20"/>
          <w:szCs w:val="20"/>
        </w:rPr>
      </w:pPr>
      <w:r>
        <w:rPr>
          <w:rFonts w:ascii="宋体" w:hAnsi="宋体" w:eastAsia="宋体" w:cs="宋体"/>
          <w:spacing w:val="8"/>
          <w:sz w:val="20"/>
          <w:szCs w:val="20"/>
        </w:rPr>
        <w:t>6.5.2    所有脚手架，尤其是大型、复杂、高耸和非常规脚手架，要编制专项施工方案，还应当</w:t>
      </w:r>
      <w:r>
        <w:rPr>
          <w:rFonts w:ascii="宋体" w:hAnsi="宋体" w:eastAsia="宋体" w:cs="宋体"/>
          <w:spacing w:val="9"/>
          <w:sz w:val="20"/>
          <w:szCs w:val="20"/>
        </w:rPr>
        <w:t>经过安全验算，脚手架安全验算结果必须报送监理人核查后方可实施。</w:t>
      </w:r>
    </w:p>
    <w:p w14:paraId="03FDB829">
      <w:pPr>
        <w:spacing w:before="3" w:line="350" w:lineRule="auto"/>
        <w:ind w:left="947" w:right="73" w:hanging="946"/>
        <w:rPr>
          <w:rFonts w:ascii="宋体" w:hAnsi="宋体" w:eastAsia="宋体" w:cs="宋体"/>
          <w:sz w:val="20"/>
          <w:szCs w:val="20"/>
        </w:rPr>
      </w:pPr>
      <w:r>
        <w:rPr>
          <w:rFonts w:ascii="宋体" w:hAnsi="宋体" w:eastAsia="宋体" w:cs="宋体"/>
          <w:spacing w:val="8"/>
          <w:sz w:val="20"/>
          <w:szCs w:val="20"/>
        </w:rPr>
        <w:t>6.5.3    搭设爬架、挂架、超高脚手架等特种或新型脚手架时，承包人应确保此类脚手架的安全</w:t>
      </w:r>
      <w:r>
        <w:rPr>
          <w:rFonts w:ascii="宋体" w:hAnsi="宋体" w:eastAsia="宋体" w:cs="宋体"/>
          <w:spacing w:val="9"/>
          <w:sz w:val="20"/>
          <w:szCs w:val="20"/>
        </w:rPr>
        <w:t>性和保证此类脚手架已经过有关行政管理部门允许使用的批准，并承担与此有关的一切</w:t>
      </w:r>
      <w:r>
        <w:rPr>
          <w:rFonts w:ascii="宋体" w:hAnsi="宋体" w:eastAsia="宋体" w:cs="宋体"/>
          <w:spacing w:val="2"/>
          <w:sz w:val="20"/>
          <w:szCs w:val="20"/>
        </w:rPr>
        <w:t>费用。</w:t>
      </w:r>
    </w:p>
    <w:p w14:paraId="276024C1">
      <w:pPr>
        <w:spacing w:before="2" w:line="350" w:lineRule="auto"/>
        <w:ind w:left="945" w:right="70" w:hanging="944"/>
        <w:rPr>
          <w:rFonts w:ascii="宋体" w:hAnsi="宋体" w:eastAsia="宋体" w:cs="宋体"/>
          <w:sz w:val="20"/>
          <w:szCs w:val="20"/>
        </w:rPr>
      </w:pPr>
      <w:r>
        <w:rPr>
          <w:rFonts w:ascii="宋体" w:hAnsi="宋体" w:eastAsia="宋体" w:cs="宋体"/>
          <w:spacing w:val="8"/>
          <w:sz w:val="20"/>
          <w:szCs w:val="20"/>
        </w:rPr>
        <w:t>6.5.4    承包人应当加强脚手架的日常安全巡查，及时对其中的安全隐患进行整改，确保脚手架</w:t>
      </w:r>
      <w:r>
        <w:rPr>
          <w:rFonts w:ascii="宋体" w:hAnsi="宋体" w:eastAsia="宋体" w:cs="宋体"/>
          <w:spacing w:val="9"/>
          <w:sz w:val="20"/>
          <w:szCs w:val="20"/>
        </w:rPr>
        <w:t>使用安全。雨、雪、雾、霜和大风等天气后，承包人必须对脚手架进行安全巡查，并及</w:t>
      </w:r>
      <w:r>
        <w:rPr>
          <w:rFonts w:ascii="宋体" w:hAnsi="宋体" w:eastAsia="宋体" w:cs="宋体"/>
          <w:spacing w:val="7"/>
          <w:sz w:val="20"/>
          <w:szCs w:val="20"/>
        </w:rPr>
        <w:t>时消除安全隐患。</w:t>
      </w:r>
    </w:p>
    <w:p w14:paraId="2E3EB269">
      <w:pPr>
        <w:spacing w:before="5" w:line="350" w:lineRule="auto"/>
        <w:ind w:left="946" w:right="73" w:hanging="945"/>
        <w:rPr>
          <w:rFonts w:ascii="宋体" w:hAnsi="宋体" w:eastAsia="宋体" w:cs="宋体"/>
          <w:sz w:val="20"/>
          <w:szCs w:val="20"/>
        </w:rPr>
      </w:pPr>
      <w:r>
        <w:rPr>
          <w:rFonts w:ascii="宋体" w:hAnsi="宋体" w:eastAsia="宋体" w:cs="宋体"/>
          <w:spacing w:val="8"/>
          <w:sz w:val="20"/>
          <w:szCs w:val="20"/>
        </w:rPr>
        <w:t>6.5.5    承包人应允许发包人、监理人、专业分包人、独立承包人（如果有）和有关行政管理部</w:t>
      </w:r>
      <w:r>
        <w:rPr>
          <w:rFonts w:ascii="宋体" w:hAnsi="宋体" w:eastAsia="宋体" w:cs="宋体"/>
          <w:spacing w:val="9"/>
          <w:sz w:val="20"/>
          <w:szCs w:val="20"/>
        </w:rPr>
        <w:t>门或者机构免费使用承包人在现场搭设的任何已有脚手架，并就其安全使用做必要交底说明。承包人在拆除任何脚手架前，应书面请示监理人他将要拆除的脚手架是否为发包人、监理人、专业分包人、独立承包人（如果有）和政府有关机构所需，只有在获得监理人书面批准后，承包人才能拆除相关脚手架，否则承包人应自费重新搭设。</w:t>
      </w:r>
    </w:p>
    <w:p w14:paraId="090377E0">
      <w:pPr>
        <w:spacing w:before="1" w:line="226" w:lineRule="auto"/>
        <w:ind w:left="1"/>
        <w:rPr>
          <w:rFonts w:ascii="宋体" w:hAnsi="宋体" w:eastAsia="宋体" w:cs="宋体"/>
          <w:sz w:val="20"/>
          <w:szCs w:val="20"/>
        </w:rPr>
      </w:pPr>
      <w:r>
        <w:rPr>
          <w:rFonts w:ascii="宋体" w:hAnsi="宋体" w:eastAsia="宋体" w:cs="宋体"/>
          <w:spacing w:val="6"/>
          <w:sz w:val="20"/>
          <w:szCs w:val="20"/>
        </w:rPr>
        <w:t>6.5.6    脚手架的其他要求如下：</w:t>
      </w:r>
    </w:p>
    <w:p w14:paraId="7C7E60CE">
      <w:pPr>
        <w:tabs>
          <w:tab w:val="left" w:pos="7550"/>
        </w:tabs>
        <w:spacing w:before="139"/>
        <w:ind w:left="937"/>
        <w:rPr>
          <w:rFonts w:ascii="Arial"/>
          <w:sz w:val="21"/>
        </w:rPr>
      </w:pPr>
      <w:r>
        <w:rPr>
          <w:rFonts w:ascii="Arial" w:hAnsi="Arial" w:eastAsia="Arial" w:cs="Arial"/>
          <w:sz w:val="21"/>
          <w:szCs w:val="21"/>
          <w:u w:val="single" w:color="auto"/>
        </w:rPr>
        <w:tab/>
      </w:r>
    </w:p>
    <w:p w14:paraId="31AED9C3">
      <w:pPr>
        <w:spacing w:line="242" w:lineRule="auto"/>
        <w:rPr>
          <w:rFonts w:ascii="Arial"/>
          <w:sz w:val="21"/>
        </w:rPr>
      </w:pPr>
    </w:p>
    <w:p w14:paraId="6973C0EE">
      <w:pPr>
        <w:tabs>
          <w:tab w:val="left" w:pos="7550"/>
        </w:tabs>
        <w:spacing w:before="23" w:line="173" w:lineRule="auto"/>
        <w:ind w:left="937"/>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FE4E528">
      <w:pPr>
        <w:pStyle w:val="2"/>
        <w:spacing w:before="234" w:line="223" w:lineRule="auto"/>
        <w:rPr>
          <w:sz w:val="24"/>
          <w:szCs w:val="24"/>
        </w:rPr>
      </w:pPr>
      <w:r>
        <w:rPr>
          <w:spacing w:val="-1"/>
          <w:sz w:val="24"/>
          <w:szCs w:val="24"/>
        </w:rPr>
        <w:t>6.6     施工安全措施计划</w:t>
      </w:r>
    </w:p>
    <w:p w14:paraId="3F26D19B">
      <w:pPr>
        <w:spacing w:before="188" w:line="370" w:lineRule="auto"/>
        <w:ind w:left="945" w:right="70" w:hanging="944"/>
        <w:rPr>
          <w:rFonts w:ascii="宋体" w:hAnsi="宋体" w:eastAsia="宋体" w:cs="宋体"/>
          <w:sz w:val="20"/>
          <w:szCs w:val="20"/>
        </w:rPr>
      </w:pPr>
      <w:r>
        <w:rPr>
          <w:rFonts w:ascii="宋体" w:hAnsi="宋体" w:eastAsia="宋体" w:cs="宋体"/>
          <w:spacing w:val="6"/>
          <w:sz w:val="20"/>
          <w:szCs w:val="20"/>
        </w:rPr>
        <w:t>6.6.1    承包人应根据《中华人民共和国安全生产法》、《职业健康安全管理体系 要求及使用指</w:t>
      </w:r>
      <w:r>
        <w:rPr>
          <w:rFonts w:ascii="宋体" w:hAnsi="宋体" w:eastAsia="宋体" w:cs="宋体"/>
          <w:spacing w:val="-1"/>
          <w:sz w:val="20"/>
          <w:szCs w:val="20"/>
        </w:rPr>
        <w:t>南》（GB/T 45001—2020）、《中华人民共和国消防法》、《中华人</w:t>
      </w:r>
      <w:r>
        <w:rPr>
          <w:rFonts w:ascii="宋体" w:hAnsi="宋体" w:eastAsia="宋体" w:cs="宋体"/>
          <w:spacing w:val="-2"/>
          <w:sz w:val="20"/>
          <w:szCs w:val="20"/>
        </w:rPr>
        <w:t>民共和国道路交通安全</w:t>
      </w:r>
      <w:r>
        <w:rPr>
          <w:rFonts w:ascii="宋体" w:hAnsi="宋体" w:eastAsia="宋体" w:cs="宋体"/>
          <w:spacing w:val="4"/>
          <w:sz w:val="20"/>
          <w:szCs w:val="20"/>
        </w:rPr>
        <w:t>法》、《中华人民共和国传染病防治法》和地方有关的法规等，按照合同条款第9.2.1</w:t>
      </w:r>
      <w:r>
        <w:rPr>
          <w:rFonts w:ascii="宋体" w:hAnsi="宋体" w:eastAsia="宋体" w:cs="宋体"/>
          <w:spacing w:val="-18"/>
          <w:sz w:val="20"/>
          <w:szCs w:val="20"/>
        </w:rPr>
        <w:t xml:space="preserve"> </w:t>
      </w:r>
      <w:r>
        <w:rPr>
          <w:rFonts w:ascii="宋体" w:hAnsi="宋体" w:eastAsia="宋体" w:cs="宋体"/>
          <w:spacing w:val="4"/>
          <w:sz w:val="20"/>
          <w:szCs w:val="20"/>
        </w:rPr>
        <w:t>项</w:t>
      </w:r>
      <w:r>
        <w:rPr>
          <w:rFonts w:ascii="宋体" w:hAnsi="宋体" w:eastAsia="宋体" w:cs="宋体"/>
          <w:spacing w:val="9"/>
          <w:sz w:val="20"/>
          <w:szCs w:val="20"/>
        </w:rPr>
        <w:t>的约定，编制一份施工安全措施计划，报送监理人审批。</w:t>
      </w:r>
    </w:p>
    <w:p w14:paraId="3A6B58B5">
      <w:pPr>
        <w:spacing w:line="370" w:lineRule="auto"/>
        <w:rPr>
          <w:rFonts w:ascii="宋体" w:hAnsi="宋体" w:eastAsia="宋体" w:cs="宋体"/>
          <w:sz w:val="20"/>
          <w:szCs w:val="20"/>
        </w:rPr>
        <w:sectPr>
          <w:footerReference r:id="rId487" w:type="default"/>
          <w:pgSz w:w="11907" w:h="16840"/>
          <w:pgMar w:top="400" w:right="1460" w:bottom="1247" w:left="1481" w:header="0" w:footer="1085" w:gutter="0"/>
          <w:cols w:space="720" w:num="1"/>
        </w:sectPr>
      </w:pPr>
    </w:p>
    <w:p w14:paraId="62F23798">
      <w:pPr>
        <w:spacing w:line="273" w:lineRule="auto"/>
        <w:rPr>
          <w:rFonts w:ascii="Arial"/>
          <w:sz w:val="21"/>
        </w:rPr>
      </w:pPr>
    </w:p>
    <w:p w14:paraId="45F71CFF">
      <w:pPr>
        <w:spacing w:line="274" w:lineRule="auto"/>
        <w:rPr>
          <w:rFonts w:ascii="Arial"/>
          <w:sz w:val="21"/>
        </w:rPr>
      </w:pPr>
    </w:p>
    <w:p w14:paraId="1C05247E">
      <w:pPr>
        <w:spacing w:line="274" w:lineRule="auto"/>
        <w:rPr>
          <w:rFonts w:ascii="Arial"/>
          <w:sz w:val="21"/>
        </w:rPr>
      </w:pPr>
    </w:p>
    <w:p w14:paraId="2979A733">
      <w:pPr>
        <w:spacing w:line="274" w:lineRule="auto"/>
        <w:rPr>
          <w:rFonts w:ascii="Arial"/>
          <w:sz w:val="21"/>
        </w:rPr>
      </w:pPr>
    </w:p>
    <w:p w14:paraId="11B25E62">
      <w:pPr>
        <w:spacing w:line="274" w:lineRule="auto"/>
        <w:rPr>
          <w:rFonts w:ascii="Arial"/>
          <w:sz w:val="21"/>
        </w:rPr>
      </w:pPr>
    </w:p>
    <w:p w14:paraId="72CC2825">
      <w:pPr>
        <w:spacing w:before="65" w:line="369" w:lineRule="auto"/>
        <w:ind w:left="946" w:right="225" w:hanging="945"/>
        <w:rPr>
          <w:rFonts w:ascii="宋体" w:hAnsi="宋体" w:eastAsia="宋体" w:cs="宋体"/>
          <w:sz w:val="20"/>
          <w:szCs w:val="20"/>
        </w:rPr>
      </w:pPr>
      <w:r>
        <w:rPr>
          <w:rFonts w:ascii="宋体" w:hAnsi="宋体" w:eastAsia="宋体" w:cs="宋体"/>
          <w:spacing w:val="8"/>
          <w:sz w:val="20"/>
          <w:szCs w:val="20"/>
        </w:rPr>
        <w:t>6.6.2    施工安全措施计划是承包人阐明其安全管理方针、管理体系、安全制度和安全措施等的</w:t>
      </w:r>
      <w:r>
        <w:rPr>
          <w:rFonts w:ascii="宋体" w:hAnsi="宋体" w:eastAsia="宋体" w:cs="宋体"/>
          <w:spacing w:val="9"/>
          <w:sz w:val="20"/>
          <w:szCs w:val="20"/>
        </w:rPr>
        <w:t>文件，其内容应当反映现行法律法规规定的和合同条款约定的以及本条上述约定的承包</w:t>
      </w:r>
      <w:r>
        <w:rPr>
          <w:rFonts w:ascii="宋体" w:hAnsi="宋体" w:eastAsia="宋体" w:cs="宋体"/>
          <w:spacing w:val="8"/>
          <w:sz w:val="20"/>
          <w:szCs w:val="20"/>
        </w:rPr>
        <w:t>人安全职责，包括但不限于：</w:t>
      </w:r>
    </w:p>
    <w:p w14:paraId="04F58B52">
      <w:pPr>
        <w:spacing w:line="226" w:lineRule="auto"/>
        <w:ind w:left="9"/>
        <w:rPr>
          <w:rFonts w:ascii="宋体" w:hAnsi="宋体" w:eastAsia="宋体" w:cs="宋体"/>
          <w:sz w:val="20"/>
          <w:szCs w:val="20"/>
        </w:rPr>
      </w:pPr>
      <w:r>
        <w:rPr>
          <w:rFonts w:ascii="宋体" w:hAnsi="宋体" w:eastAsia="宋体" w:cs="宋体"/>
          <w:spacing w:val="7"/>
          <w:sz w:val="20"/>
          <w:szCs w:val="20"/>
        </w:rPr>
        <w:t>（1）施工安全管理机构的设置；</w:t>
      </w:r>
    </w:p>
    <w:p w14:paraId="59607C12">
      <w:pPr>
        <w:spacing w:before="152" w:line="228" w:lineRule="auto"/>
        <w:ind w:left="9"/>
        <w:rPr>
          <w:rFonts w:ascii="宋体" w:hAnsi="宋体" w:eastAsia="宋体" w:cs="宋体"/>
          <w:sz w:val="20"/>
          <w:szCs w:val="20"/>
        </w:rPr>
      </w:pPr>
      <w:r>
        <w:rPr>
          <w:rFonts w:ascii="宋体" w:hAnsi="宋体" w:eastAsia="宋体" w:cs="宋体"/>
          <w:spacing w:val="7"/>
          <w:sz w:val="20"/>
          <w:szCs w:val="20"/>
        </w:rPr>
        <w:t>（2）专职安全管理人员的配备；</w:t>
      </w:r>
    </w:p>
    <w:p w14:paraId="7B411865">
      <w:pPr>
        <w:spacing w:before="153" w:line="228" w:lineRule="auto"/>
        <w:ind w:left="9"/>
        <w:rPr>
          <w:rFonts w:ascii="宋体" w:hAnsi="宋体" w:eastAsia="宋体" w:cs="宋体"/>
          <w:sz w:val="20"/>
          <w:szCs w:val="20"/>
        </w:rPr>
      </w:pPr>
      <w:r>
        <w:rPr>
          <w:rFonts w:ascii="宋体" w:hAnsi="宋体" w:eastAsia="宋体" w:cs="宋体"/>
          <w:spacing w:val="7"/>
          <w:sz w:val="20"/>
          <w:szCs w:val="20"/>
        </w:rPr>
        <w:t>（3）安全责任制度和管理措施；</w:t>
      </w:r>
    </w:p>
    <w:p w14:paraId="3EAE967F">
      <w:pPr>
        <w:spacing w:before="154" w:line="228" w:lineRule="auto"/>
        <w:ind w:left="9"/>
        <w:rPr>
          <w:rFonts w:ascii="宋体" w:hAnsi="宋体" w:eastAsia="宋体" w:cs="宋体"/>
          <w:sz w:val="20"/>
          <w:szCs w:val="20"/>
        </w:rPr>
      </w:pPr>
      <w:r>
        <w:rPr>
          <w:rFonts w:ascii="宋体" w:hAnsi="宋体" w:eastAsia="宋体" w:cs="宋体"/>
          <w:spacing w:val="8"/>
          <w:sz w:val="20"/>
          <w:szCs w:val="20"/>
        </w:rPr>
        <w:t>（4）安全教育和培训制度及管理措施；</w:t>
      </w:r>
    </w:p>
    <w:p w14:paraId="056E1870">
      <w:pPr>
        <w:spacing w:before="152" w:line="227" w:lineRule="auto"/>
        <w:ind w:left="9"/>
        <w:rPr>
          <w:rFonts w:ascii="宋体" w:hAnsi="宋体" w:eastAsia="宋体" w:cs="宋体"/>
          <w:sz w:val="20"/>
          <w:szCs w:val="20"/>
        </w:rPr>
      </w:pPr>
      <w:r>
        <w:rPr>
          <w:rFonts w:ascii="宋体" w:hAnsi="宋体" w:eastAsia="宋体" w:cs="宋体"/>
          <w:spacing w:val="8"/>
          <w:sz w:val="20"/>
          <w:szCs w:val="20"/>
        </w:rPr>
        <w:t>（5）各项安全生产规章制度和操作规程；</w:t>
      </w:r>
    </w:p>
    <w:p w14:paraId="1168AB82">
      <w:pPr>
        <w:spacing w:before="155" w:line="228" w:lineRule="auto"/>
        <w:ind w:left="9"/>
        <w:rPr>
          <w:rFonts w:ascii="宋体" w:hAnsi="宋体" w:eastAsia="宋体" w:cs="宋体"/>
          <w:sz w:val="20"/>
          <w:szCs w:val="20"/>
        </w:rPr>
      </w:pPr>
      <w:r>
        <w:rPr>
          <w:rFonts w:ascii="宋体" w:hAnsi="宋体" w:eastAsia="宋体" w:cs="宋体"/>
          <w:spacing w:val="8"/>
          <w:sz w:val="20"/>
          <w:szCs w:val="20"/>
        </w:rPr>
        <w:t>（6）各项施工安全措施和防护措施；</w:t>
      </w:r>
    </w:p>
    <w:p w14:paraId="7FED485E">
      <w:pPr>
        <w:spacing w:before="153" w:line="228" w:lineRule="auto"/>
        <w:ind w:left="9"/>
        <w:rPr>
          <w:rFonts w:ascii="宋体" w:hAnsi="宋体" w:eastAsia="宋体" w:cs="宋体"/>
          <w:sz w:val="20"/>
          <w:szCs w:val="20"/>
        </w:rPr>
      </w:pPr>
      <w:r>
        <w:rPr>
          <w:rFonts w:ascii="宋体" w:hAnsi="宋体" w:eastAsia="宋体" w:cs="宋体"/>
          <w:spacing w:val="7"/>
          <w:sz w:val="20"/>
          <w:szCs w:val="20"/>
        </w:rPr>
        <w:t>（7）危险品管理和使用制度；</w:t>
      </w:r>
    </w:p>
    <w:p w14:paraId="5053DD65">
      <w:pPr>
        <w:spacing w:before="152" w:line="227" w:lineRule="auto"/>
        <w:ind w:left="9"/>
        <w:rPr>
          <w:rFonts w:ascii="宋体" w:hAnsi="宋体" w:eastAsia="宋体" w:cs="宋体"/>
          <w:sz w:val="20"/>
          <w:szCs w:val="20"/>
        </w:rPr>
      </w:pPr>
      <w:r>
        <w:rPr>
          <w:rFonts w:ascii="宋体" w:hAnsi="宋体" w:eastAsia="宋体" w:cs="宋体"/>
          <w:spacing w:val="8"/>
          <w:sz w:val="20"/>
          <w:szCs w:val="20"/>
        </w:rPr>
        <w:t>（8）安全设施、设备、器材和劳动保护用品的配置；</w:t>
      </w:r>
    </w:p>
    <w:p w14:paraId="251EF678">
      <w:pPr>
        <w:spacing w:before="155" w:line="228" w:lineRule="auto"/>
        <w:ind w:left="9"/>
        <w:rPr>
          <w:rFonts w:ascii="宋体" w:hAnsi="宋体" w:eastAsia="宋体" w:cs="宋体"/>
          <w:sz w:val="20"/>
          <w:szCs w:val="20"/>
        </w:rPr>
      </w:pPr>
      <w:r>
        <w:rPr>
          <w:rFonts w:ascii="宋体" w:hAnsi="宋体" w:eastAsia="宋体" w:cs="宋体"/>
          <w:spacing w:val="5"/>
          <w:sz w:val="20"/>
          <w:szCs w:val="20"/>
        </w:rPr>
        <w:t>（9）其他：</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47DDF7D9">
      <w:pPr>
        <w:spacing w:before="153" w:line="369" w:lineRule="auto"/>
        <w:ind w:left="947" w:right="227" w:firstLine="18"/>
        <w:jc w:val="both"/>
        <w:rPr>
          <w:rFonts w:ascii="宋体" w:hAnsi="宋体" w:eastAsia="宋体" w:cs="宋体"/>
          <w:sz w:val="20"/>
          <w:szCs w:val="20"/>
        </w:rPr>
      </w:pPr>
      <w:r>
        <w:rPr>
          <w:rFonts w:ascii="宋体" w:hAnsi="宋体" w:eastAsia="宋体" w:cs="宋体"/>
          <w:spacing w:val="9"/>
          <w:sz w:val="20"/>
          <w:szCs w:val="20"/>
        </w:rPr>
        <w:t>施工安全措施的项目和范围，应符合《中华</w:t>
      </w:r>
      <w:r>
        <w:rPr>
          <w:rFonts w:ascii="宋体" w:hAnsi="宋体" w:eastAsia="宋体" w:cs="宋体"/>
          <w:spacing w:val="8"/>
          <w:sz w:val="20"/>
          <w:szCs w:val="20"/>
        </w:rPr>
        <w:t>人民共和国安全生产法》的规定，采取以改</w:t>
      </w:r>
      <w:r>
        <w:rPr>
          <w:rFonts w:ascii="宋体" w:hAnsi="宋体" w:eastAsia="宋体" w:cs="宋体"/>
          <w:spacing w:val="9"/>
          <w:sz w:val="20"/>
          <w:szCs w:val="20"/>
        </w:rPr>
        <w:t>善劳动条件，防止工伤事故，预防职业病和职业中毒为目的的一切施工安全措施，以及修建必要的安全设施、配备安全技术开发试验所需的器材、设备和技术资料，并对现场的施工管理及作业人员做好相应的安全宣传教育。</w:t>
      </w:r>
    </w:p>
    <w:p w14:paraId="76D1059A">
      <w:pPr>
        <w:spacing w:before="3" w:line="370" w:lineRule="auto"/>
        <w:ind w:left="944" w:right="225" w:hanging="943"/>
        <w:rPr>
          <w:rFonts w:ascii="宋体" w:hAnsi="宋体" w:eastAsia="宋体" w:cs="宋体"/>
          <w:sz w:val="20"/>
          <w:szCs w:val="20"/>
        </w:rPr>
      </w:pPr>
      <w:r>
        <w:rPr>
          <w:rFonts w:ascii="宋体" w:hAnsi="宋体" w:eastAsia="宋体" w:cs="宋体"/>
          <w:spacing w:val="7"/>
          <w:sz w:val="20"/>
          <w:szCs w:val="20"/>
        </w:rPr>
        <w:t>6.6.3    施工安全措施计划应当在专用合同条款第</w:t>
      </w:r>
      <w:r>
        <w:rPr>
          <w:rFonts w:ascii="宋体" w:hAnsi="宋体" w:eastAsia="宋体" w:cs="宋体"/>
          <w:spacing w:val="-18"/>
          <w:sz w:val="20"/>
          <w:szCs w:val="20"/>
        </w:rPr>
        <w:t xml:space="preserve"> </w:t>
      </w:r>
      <w:r>
        <w:rPr>
          <w:rFonts w:ascii="宋体" w:hAnsi="宋体" w:eastAsia="宋体" w:cs="宋体"/>
          <w:spacing w:val="7"/>
          <w:sz w:val="20"/>
          <w:szCs w:val="20"/>
        </w:rPr>
        <w:t>9.2.1</w:t>
      </w:r>
      <w:r>
        <w:rPr>
          <w:rFonts w:ascii="宋体" w:hAnsi="宋体" w:eastAsia="宋体" w:cs="宋体"/>
          <w:spacing w:val="-37"/>
          <w:sz w:val="20"/>
          <w:szCs w:val="20"/>
        </w:rPr>
        <w:t xml:space="preserve"> </w:t>
      </w:r>
      <w:r>
        <w:rPr>
          <w:rFonts w:ascii="宋体" w:hAnsi="宋体" w:eastAsia="宋体" w:cs="宋体"/>
          <w:spacing w:val="7"/>
          <w:sz w:val="20"/>
          <w:szCs w:val="20"/>
        </w:rPr>
        <w:t>项约定的期限内报送监理人。承包人应</w:t>
      </w:r>
      <w:r>
        <w:rPr>
          <w:rFonts w:ascii="宋体" w:hAnsi="宋体" w:eastAsia="宋体" w:cs="宋体"/>
          <w:spacing w:val="9"/>
          <w:sz w:val="20"/>
          <w:szCs w:val="20"/>
        </w:rPr>
        <w:t>当严格执行经监理人批准的施工安全措施计划，并及时补充、修订和完善施工安全措施</w:t>
      </w:r>
      <w:r>
        <w:rPr>
          <w:rFonts w:ascii="宋体" w:hAnsi="宋体" w:eastAsia="宋体" w:cs="宋体"/>
          <w:spacing w:val="8"/>
          <w:sz w:val="20"/>
          <w:szCs w:val="20"/>
        </w:rPr>
        <w:t>计划，确保安全生产。</w:t>
      </w:r>
    </w:p>
    <w:p w14:paraId="5E77DAE2">
      <w:pPr>
        <w:pStyle w:val="2"/>
        <w:spacing w:before="32" w:line="221" w:lineRule="auto"/>
        <w:rPr>
          <w:sz w:val="24"/>
          <w:szCs w:val="24"/>
        </w:rPr>
      </w:pPr>
      <w:r>
        <w:rPr>
          <w:spacing w:val="-3"/>
          <w:sz w:val="24"/>
          <w:szCs w:val="24"/>
        </w:rPr>
        <w:t>6.7</w:t>
      </w:r>
      <w:r>
        <w:rPr>
          <w:spacing w:val="3"/>
          <w:sz w:val="24"/>
          <w:szCs w:val="24"/>
        </w:rPr>
        <w:t xml:space="preserve">    </w:t>
      </w:r>
      <w:r>
        <w:rPr>
          <w:spacing w:val="-3"/>
          <w:sz w:val="24"/>
          <w:szCs w:val="24"/>
        </w:rPr>
        <w:t>文明施工</w:t>
      </w:r>
    </w:p>
    <w:p w14:paraId="73C160F2">
      <w:pPr>
        <w:spacing w:before="207" w:line="388" w:lineRule="auto"/>
        <w:ind w:left="946" w:right="225" w:hanging="945"/>
        <w:rPr>
          <w:rFonts w:ascii="宋体" w:hAnsi="宋体" w:eastAsia="宋体" w:cs="宋体"/>
          <w:sz w:val="20"/>
          <w:szCs w:val="20"/>
        </w:rPr>
      </w:pPr>
      <w:r>
        <w:rPr>
          <w:rFonts w:ascii="宋体" w:hAnsi="宋体" w:eastAsia="宋体" w:cs="宋体"/>
          <w:spacing w:val="8"/>
          <w:sz w:val="20"/>
          <w:szCs w:val="20"/>
        </w:rPr>
        <w:t>6.7.1    承包人应遵守国家和工程所在地有关法规、规范、规程和标准的规定，履行文明施工义务，确保文明施工专项费用专款专用。</w:t>
      </w:r>
    </w:p>
    <w:p w14:paraId="499CE070">
      <w:pPr>
        <w:spacing w:before="1" w:line="227" w:lineRule="auto"/>
        <w:ind w:left="1"/>
        <w:rPr>
          <w:rFonts w:ascii="宋体" w:hAnsi="宋体" w:eastAsia="宋体" w:cs="宋体"/>
          <w:sz w:val="20"/>
          <w:szCs w:val="20"/>
        </w:rPr>
      </w:pPr>
      <w:r>
        <w:rPr>
          <w:rFonts w:ascii="宋体" w:hAnsi="宋体" w:eastAsia="宋体" w:cs="宋体"/>
          <w:spacing w:val="8"/>
          <w:sz w:val="20"/>
          <w:szCs w:val="20"/>
        </w:rPr>
        <w:t>6.7.2     承包人应当规范现场施工秩序，实</w:t>
      </w:r>
      <w:r>
        <w:rPr>
          <w:rFonts w:ascii="宋体" w:hAnsi="宋体" w:eastAsia="宋体" w:cs="宋体"/>
          <w:spacing w:val="7"/>
          <w:sz w:val="20"/>
          <w:szCs w:val="20"/>
        </w:rPr>
        <w:t>行标准化管理：</w:t>
      </w:r>
    </w:p>
    <w:p w14:paraId="248BFE57">
      <w:pPr>
        <w:spacing w:before="173" w:line="388" w:lineRule="auto"/>
        <w:ind w:left="1366" w:right="227" w:hanging="305"/>
        <w:rPr>
          <w:rFonts w:ascii="宋体" w:hAnsi="宋体" w:eastAsia="宋体" w:cs="宋体"/>
          <w:sz w:val="20"/>
          <w:szCs w:val="20"/>
        </w:rPr>
      </w:pPr>
      <w:r>
        <w:rPr>
          <w:rFonts w:ascii="宋体" w:hAnsi="宋体" w:eastAsia="宋体" w:cs="宋体"/>
          <w:spacing w:val="9"/>
          <w:sz w:val="20"/>
          <w:szCs w:val="20"/>
        </w:rPr>
        <w:t>（1）承包人的施工场地（现场）必须干净整治、做到</w:t>
      </w:r>
      <w:r>
        <w:rPr>
          <w:rFonts w:ascii="宋体" w:hAnsi="宋体" w:eastAsia="宋体" w:cs="宋体"/>
          <w:spacing w:val="8"/>
          <w:sz w:val="20"/>
          <w:szCs w:val="20"/>
        </w:rPr>
        <w:t>无积水、无淤泥、无杂物，材料</w:t>
      </w:r>
      <w:r>
        <w:rPr>
          <w:rFonts w:ascii="宋体" w:hAnsi="宋体" w:eastAsia="宋体" w:cs="宋体"/>
          <w:spacing w:val="5"/>
          <w:sz w:val="20"/>
          <w:szCs w:val="20"/>
        </w:rPr>
        <w:t>堆放整齐；</w:t>
      </w:r>
    </w:p>
    <w:p w14:paraId="6A84117D">
      <w:pPr>
        <w:spacing w:line="227" w:lineRule="auto"/>
        <w:jc w:val="right"/>
        <w:rPr>
          <w:rFonts w:ascii="宋体" w:hAnsi="宋体" w:eastAsia="宋体" w:cs="宋体"/>
          <w:sz w:val="20"/>
          <w:szCs w:val="20"/>
        </w:rPr>
      </w:pPr>
      <w:r>
        <w:rPr>
          <w:rFonts w:ascii="宋体" w:hAnsi="宋体" w:eastAsia="宋体" w:cs="宋体"/>
          <w:spacing w:val="4"/>
          <w:sz w:val="20"/>
          <w:szCs w:val="20"/>
        </w:rPr>
        <w:t>（2）施工场地（现场）应进行硬化处理，定期定时洒水，做好防治扬尘和大气污</w:t>
      </w:r>
      <w:r>
        <w:rPr>
          <w:rFonts w:ascii="宋体" w:hAnsi="宋体" w:eastAsia="宋体" w:cs="宋体"/>
          <w:spacing w:val="3"/>
          <w:sz w:val="20"/>
          <w:szCs w:val="20"/>
        </w:rPr>
        <w:t>染工作；</w:t>
      </w:r>
    </w:p>
    <w:p w14:paraId="09E837C8">
      <w:pPr>
        <w:spacing w:before="174" w:line="373" w:lineRule="auto"/>
        <w:ind w:left="944" w:right="225" w:firstLine="116"/>
        <w:rPr>
          <w:rFonts w:ascii="宋体" w:hAnsi="宋体" w:eastAsia="宋体" w:cs="宋体"/>
          <w:sz w:val="20"/>
          <w:szCs w:val="20"/>
        </w:rPr>
      </w:pPr>
      <w:r>
        <w:rPr>
          <w:rFonts w:ascii="宋体" w:hAnsi="宋体" w:eastAsia="宋体" w:cs="宋体"/>
          <w:spacing w:val="8"/>
          <w:sz w:val="20"/>
          <w:szCs w:val="20"/>
        </w:rPr>
        <w:t>（3）严格遵守“工完、料尽、场地净</w:t>
      </w:r>
      <w:r>
        <w:rPr>
          <w:rFonts w:ascii="宋体" w:hAnsi="宋体" w:eastAsia="宋体" w:cs="宋体"/>
          <w:spacing w:val="-70"/>
          <w:sz w:val="20"/>
          <w:szCs w:val="20"/>
        </w:rPr>
        <w:t xml:space="preserve"> </w:t>
      </w:r>
      <w:r>
        <w:rPr>
          <w:rFonts w:ascii="宋体" w:hAnsi="宋体" w:eastAsia="宋体" w:cs="宋体"/>
          <w:spacing w:val="8"/>
          <w:sz w:val="20"/>
          <w:szCs w:val="20"/>
        </w:rPr>
        <w:t>”的原则，不留垃圾、不留剩余施工材料</w:t>
      </w:r>
      <w:r>
        <w:rPr>
          <w:rFonts w:ascii="宋体" w:hAnsi="宋体" w:eastAsia="宋体" w:cs="宋体"/>
          <w:spacing w:val="7"/>
          <w:sz w:val="20"/>
          <w:szCs w:val="20"/>
        </w:rPr>
        <w:t>和施工</w:t>
      </w:r>
      <w:r>
        <w:rPr>
          <w:rFonts w:ascii="宋体" w:hAnsi="宋体" w:eastAsia="宋体" w:cs="宋体"/>
          <w:spacing w:val="8"/>
          <w:sz w:val="20"/>
          <w:szCs w:val="20"/>
        </w:rPr>
        <w:t>机具，各种设备运转正常；</w:t>
      </w:r>
    </w:p>
    <w:p w14:paraId="24EB0D8E">
      <w:pPr>
        <w:spacing w:line="350" w:lineRule="auto"/>
        <w:ind w:left="1370" w:right="225" w:hanging="309"/>
        <w:rPr>
          <w:rFonts w:ascii="宋体" w:hAnsi="宋体" w:eastAsia="宋体" w:cs="宋体"/>
          <w:sz w:val="20"/>
          <w:szCs w:val="20"/>
        </w:rPr>
      </w:pPr>
      <w:r>
        <w:rPr>
          <w:rFonts w:ascii="宋体" w:hAnsi="宋体" w:eastAsia="宋体" w:cs="宋体"/>
          <w:spacing w:val="9"/>
          <w:sz w:val="20"/>
          <w:szCs w:val="20"/>
        </w:rPr>
        <w:t>（4）承包人修建的施工临时设施应符合监理人批准的施工规</w:t>
      </w:r>
      <w:r>
        <w:rPr>
          <w:rFonts w:ascii="宋体" w:hAnsi="宋体" w:eastAsia="宋体" w:cs="宋体"/>
          <w:spacing w:val="8"/>
          <w:sz w:val="20"/>
          <w:szCs w:val="20"/>
        </w:rPr>
        <w:t>划要求，并应满足本节规</w:t>
      </w:r>
      <w:r>
        <w:rPr>
          <w:rFonts w:ascii="宋体" w:hAnsi="宋体" w:eastAsia="宋体" w:cs="宋体"/>
          <w:spacing w:val="7"/>
          <w:sz w:val="20"/>
          <w:szCs w:val="20"/>
        </w:rPr>
        <w:t>定的各项安全要求；</w:t>
      </w:r>
    </w:p>
    <w:p w14:paraId="391CCBF1">
      <w:pPr>
        <w:spacing w:before="1" w:line="351" w:lineRule="auto"/>
        <w:ind w:left="1366" w:right="225" w:hanging="305"/>
        <w:rPr>
          <w:rFonts w:ascii="宋体" w:hAnsi="宋体" w:eastAsia="宋体" w:cs="宋体"/>
          <w:sz w:val="20"/>
          <w:szCs w:val="20"/>
        </w:rPr>
      </w:pPr>
      <w:r>
        <w:rPr>
          <w:rFonts w:ascii="宋体" w:hAnsi="宋体" w:eastAsia="宋体" w:cs="宋体"/>
          <w:spacing w:val="9"/>
          <w:sz w:val="20"/>
          <w:szCs w:val="20"/>
        </w:rPr>
        <w:t>（5）监理人可要求承包人在施工场地（现场）设置各级承包</w:t>
      </w:r>
      <w:r>
        <w:rPr>
          <w:rFonts w:ascii="宋体" w:hAnsi="宋体" w:eastAsia="宋体" w:cs="宋体"/>
          <w:spacing w:val="8"/>
          <w:sz w:val="20"/>
          <w:szCs w:val="20"/>
        </w:rPr>
        <w:t>人的安全文明施工责任牌</w:t>
      </w:r>
      <w:r>
        <w:rPr>
          <w:rFonts w:ascii="宋体" w:hAnsi="宋体" w:eastAsia="宋体" w:cs="宋体"/>
          <w:spacing w:val="7"/>
          <w:sz w:val="20"/>
          <w:szCs w:val="20"/>
        </w:rPr>
        <w:t>等文明施工警示牌；</w:t>
      </w:r>
    </w:p>
    <w:p w14:paraId="1EA4C581">
      <w:pPr>
        <w:spacing w:before="1" w:line="226" w:lineRule="auto"/>
        <w:ind w:left="1061"/>
        <w:rPr>
          <w:rFonts w:ascii="宋体" w:hAnsi="宋体" w:eastAsia="宋体" w:cs="宋体"/>
          <w:sz w:val="20"/>
          <w:szCs w:val="20"/>
        </w:rPr>
      </w:pPr>
      <w:r>
        <w:rPr>
          <w:rFonts w:ascii="宋体" w:hAnsi="宋体" w:eastAsia="宋体" w:cs="宋体"/>
          <w:spacing w:val="6"/>
          <w:sz w:val="20"/>
          <w:szCs w:val="20"/>
        </w:rPr>
        <w:t>（6）材料进入现场应按指定位置堆放整齐，不得影响现场施工</w:t>
      </w:r>
      <w:r>
        <w:rPr>
          <w:rFonts w:ascii="宋体" w:hAnsi="宋体" w:eastAsia="宋体" w:cs="宋体"/>
          <w:spacing w:val="5"/>
          <w:sz w:val="20"/>
          <w:szCs w:val="20"/>
        </w:rPr>
        <w:t>和堵塞施工、消防通道。</w:t>
      </w:r>
    </w:p>
    <w:p w14:paraId="296D29C8">
      <w:pPr>
        <w:spacing w:line="226" w:lineRule="auto"/>
        <w:rPr>
          <w:rFonts w:ascii="宋体" w:hAnsi="宋体" w:eastAsia="宋体" w:cs="宋体"/>
          <w:sz w:val="20"/>
          <w:szCs w:val="20"/>
        </w:rPr>
        <w:sectPr>
          <w:footerReference r:id="rId488" w:type="default"/>
          <w:pgSz w:w="11907" w:h="16840"/>
          <w:pgMar w:top="400" w:right="1306" w:bottom="1247" w:left="1481" w:header="0" w:footer="1085" w:gutter="0"/>
          <w:cols w:space="720" w:num="1"/>
        </w:sectPr>
      </w:pPr>
    </w:p>
    <w:p w14:paraId="3CAE31DF">
      <w:pPr>
        <w:spacing w:line="270" w:lineRule="auto"/>
        <w:rPr>
          <w:rFonts w:ascii="Arial"/>
          <w:sz w:val="21"/>
        </w:rPr>
      </w:pPr>
    </w:p>
    <w:p w14:paraId="6A788726">
      <w:pPr>
        <w:spacing w:line="270" w:lineRule="auto"/>
        <w:rPr>
          <w:rFonts w:ascii="Arial"/>
          <w:sz w:val="21"/>
        </w:rPr>
      </w:pPr>
    </w:p>
    <w:p w14:paraId="7FF6887A">
      <w:pPr>
        <w:spacing w:line="270" w:lineRule="auto"/>
        <w:rPr>
          <w:rFonts w:ascii="Arial"/>
          <w:sz w:val="21"/>
        </w:rPr>
      </w:pPr>
    </w:p>
    <w:p w14:paraId="46415B18">
      <w:pPr>
        <w:spacing w:line="271" w:lineRule="auto"/>
        <w:rPr>
          <w:rFonts w:ascii="Arial"/>
          <w:sz w:val="21"/>
        </w:rPr>
      </w:pPr>
    </w:p>
    <w:p w14:paraId="541B311E">
      <w:pPr>
        <w:spacing w:line="271" w:lineRule="auto"/>
        <w:rPr>
          <w:rFonts w:ascii="Arial"/>
          <w:sz w:val="21"/>
        </w:rPr>
      </w:pPr>
    </w:p>
    <w:p w14:paraId="327A8E31">
      <w:pPr>
        <w:spacing w:before="65" w:line="227" w:lineRule="auto"/>
        <w:ind w:left="1363"/>
        <w:rPr>
          <w:rFonts w:ascii="宋体" w:hAnsi="宋体" w:eastAsia="宋体" w:cs="宋体"/>
          <w:sz w:val="20"/>
          <w:szCs w:val="20"/>
        </w:rPr>
      </w:pPr>
      <w:r>
        <w:rPr>
          <w:rFonts w:ascii="宋体" w:hAnsi="宋体" w:eastAsia="宋体" w:cs="宋体"/>
          <w:spacing w:val="8"/>
          <w:sz w:val="20"/>
          <w:szCs w:val="20"/>
        </w:rPr>
        <w:t>材料堆放场地应有专职的管理人员；</w:t>
      </w:r>
    </w:p>
    <w:p w14:paraId="31F6D457">
      <w:pPr>
        <w:spacing w:before="133" w:line="351" w:lineRule="auto"/>
        <w:ind w:left="1388" w:right="30" w:hanging="329"/>
        <w:rPr>
          <w:rFonts w:ascii="宋体" w:hAnsi="宋体" w:eastAsia="宋体" w:cs="宋体"/>
          <w:sz w:val="20"/>
          <w:szCs w:val="20"/>
        </w:rPr>
      </w:pPr>
      <w:r>
        <w:rPr>
          <w:rFonts w:ascii="宋体" w:hAnsi="宋体" w:eastAsia="宋体" w:cs="宋体"/>
          <w:spacing w:val="9"/>
          <w:sz w:val="20"/>
          <w:szCs w:val="20"/>
        </w:rPr>
        <w:t>（7）施工和安装用的各种扣件、紧固件、绳索具、小</w:t>
      </w:r>
      <w:r>
        <w:rPr>
          <w:rFonts w:ascii="宋体" w:hAnsi="宋体" w:eastAsia="宋体" w:cs="宋体"/>
          <w:spacing w:val="8"/>
          <w:sz w:val="20"/>
          <w:szCs w:val="20"/>
        </w:rPr>
        <w:t>型配件、镙钉等应在专设的仓库</w:t>
      </w:r>
      <w:r>
        <w:rPr>
          <w:rFonts w:ascii="宋体" w:hAnsi="宋体" w:eastAsia="宋体" w:cs="宋体"/>
          <w:spacing w:val="2"/>
          <w:sz w:val="20"/>
          <w:szCs w:val="20"/>
        </w:rPr>
        <w:t>内装箱放置；</w:t>
      </w:r>
    </w:p>
    <w:p w14:paraId="006FE904">
      <w:pPr>
        <w:spacing w:line="351" w:lineRule="auto"/>
        <w:ind w:left="1364" w:right="27" w:hanging="305"/>
        <w:rPr>
          <w:rFonts w:ascii="宋体" w:hAnsi="宋体" w:eastAsia="宋体" w:cs="宋体"/>
          <w:sz w:val="20"/>
          <w:szCs w:val="20"/>
        </w:rPr>
      </w:pPr>
      <w:r>
        <w:rPr>
          <w:rFonts w:ascii="宋体" w:hAnsi="宋体" w:eastAsia="宋体" w:cs="宋体"/>
          <w:spacing w:val="9"/>
          <w:sz w:val="20"/>
          <w:szCs w:val="20"/>
        </w:rPr>
        <w:t>（8）现场风、水管及照明电线的布置应安全、合理、规范、</w:t>
      </w:r>
      <w:r>
        <w:rPr>
          <w:rFonts w:ascii="宋体" w:hAnsi="宋体" w:eastAsia="宋体" w:cs="宋体"/>
          <w:spacing w:val="8"/>
          <w:sz w:val="20"/>
          <w:szCs w:val="20"/>
        </w:rPr>
        <w:t>有序，做到整齐美观。不得随意架设和造成隐患或影响施工。</w:t>
      </w:r>
    </w:p>
    <w:p w14:paraId="343096CD">
      <w:pPr>
        <w:spacing w:line="350" w:lineRule="auto"/>
        <w:ind w:left="944" w:right="70" w:hanging="944"/>
        <w:rPr>
          <w:rFonts w:ascii="宋体" w:hAnsi="宋体" w:eastAsia="宋体" w:cs="宋体"/>
          <w:sz w:val="20"/>
          <w:szCs w:val="20"/>
        </w:rPr>
      </w:pPr>
      <w:r>
        <w:rPr>
          <w:rFonts w:ascii="宋体" w:hAnsi="宋体" w:eastAsia="宋体" w:cs="宋体"/>
          <w:spacing w:val="7"/>
          <w:sz w:val="20"/>
          <w:szCs w:val="20"/>
        </w:rPr>
        <w:t>6.7.3    承包人应为其雇佣的施工工人建立并维护相应的生活宿舍、食堂、浴室、厕所和文化活</w:t>
      </w:r>
      <w:r>
        <w:rPr>
          <w:rFonts w:ascii="宋体" w:hAnsi="宋体" w:eastAsia="宋体" w:cs="宋体"/>
          <w:spacing w:val="9"/>
          <w:sz w:val="20"/>
          <w:szCs w:val="20"/>
        </w:rPr>
        <w:t>动室等，其标准应满足政府有关机构的生活标准和卫生标准等的要求。</w:t>
      </w:r>
    </w:p>
    <w:p w14:paraId="0E484FEB">
      <w:pPr>
        <w:spacing w:before="4" w:line="350" w:lineRule="auto"/>
        <w:ind w:left="943" w:hanging="943"/>
        <w:rPr>
          <w:rFonts w:ascii="宋体" w:hAnsi="宋体" w:eastAsia="宋体" w:cs="宋体"/>
          <w:sz w:val="20"/>
          <w:szCs w:val="20"/>
        </w:rPr>
      </w:pPr>
      <w:r>
        <w:rPr>
          <w:rFonts w:ascii="宋体" w:hAnsi="宋体" w:eastAsia="宋体" w:cs="宋体"/>
          <w:spacing w:val="5"/>
          <w:sz w:val="20"/>
          <w:szCs w:val="20"/>
        </w:rPr>
        <w:t>6.7.4    承包人应为任何已完成的、正在施工的</w:t>
      </w:r>
      <w:r>
        <w:rPr>
          <w:rFonts w:ascii="宋体" w:hAnsi="宋体" w:eastAsia="宋体" w:cs="宋体"/>
          <w:spacing w:val="4"/>
          <w:sz w:val="20"/>
          <w:szCs w:val="20"/>
        </w:rPr>
        <w:t>和将要进行的任何永久和临时工程、材料、物品、</w:t>
      </w:r>
      <w:r>
        <w:rPr>
          <w:rFonts w:ascii="宋体" w:hAnsi="宋体" w:eastAsia="宋体" w:cs="宋体"/>
          <w:spacing w:val="8"/>
          <w:sz w:val="20"/>
          <w:szCs w:val="20"/>
        </w:rPr>
        <w:t>设备、以及因永久工程施工而暴露的任何毗邻财产提供必要的覆盖和保护措施，以避免恶劣天气影响工程施工和造成损失。保护措施包括必要的冬季供暖、雨季用阻燃防水油布覆盖、额外的临时仓库等等。因承包人措施不得力或不到位而给工程带来的任何损失或损害由承包人自己负责。</w:t>
      </w:r>
    </w:p>
    <w:p w14:paraId="6D05A8C7">
      <w:pPr>
        <w:spacing w:line="351" w:lineRule="auto"/>
        <w:ind w:left="945" w:right="40" w:hanging="946"/>
        <w:rPr>
          <w:rFonts w:ascii="宋体" w:hAnsi="宋体" w:eastAsia="宋体" w:cs="宋体"/>
          <w:sz w:val="20"/>
          <w:szCs w:val="20"/>
        </w:rPr>
      </w:pPr>
      <w:r>
        <w:rPr>
          <w:rFonts w:ascii="宋体" w:hAnsi="宋体" w:eastAsia="宋体" w:cs="宋体"/>
          <w:spacing w:val="7"/>
          <w:sz w:val="20"/>
          <w:szCs w:val="20"/>
        </w:rPr>
        <w:t>6.7.5    在工程施工期间，承包人应始终避免现场出现不必要的障碍物，妥当存放并处置施工设</w:t>
      </w:r>
      <w:r>
        <w:rPr>
          <w:rFonts w:ascii="宋体" w:hAnsi="宋体" w:eastAsia="宋体" w:cs="宋体"/>
          <w:spacing w:val="9"/>
          <w:sz w:val="20"/>
          <w:szCs w:val="20"/>
        </w:rPr>
        <w:t>备和多余的材料，及时从现场清除运走任何废料、垃圾或不再</w:t>
      </w:r>
      <w:r>
        <w:rPr>
          <w:rFonts w:ascii="宋体" w:hAnsi="宋体" w:eastAsia="宋体" w:cs="宋体"/>
          <w:spacing w:val="8"/>
          <w:sz w:val="20"/>
          <w:szCs w:val="20"/>
        </w:rPr>
        <w:t>需要的临时工程和设施。</w:t>
      </w:r>
    </w:p>
    <w:p w14:paraId="55829BF6">
      <w:pPr>
        <w:spacing w:before="2" w:line="350" w:lineRule="auto"/>
        <w:ind w:left="943" w:right="70" w:hanging="943"/>
        <w:rPr>
          <w:rFonts w:ascii="宋体" w:hAnsi="宋体" w:eastAsia="宋体" w:cs="宋体"/>
          <w:sz w:val="20"/>
          <w:szCs w:val="20"/>
        </w:rPr>
      </w:pPr>
      <w:r>
        <w:rPr>
          <w:rFonts w:ascii="宋体" w:hAnsi="宋体" w:eastAsia="宋体" w:cs="宋体"/>
          <w:spacing w:val="7"/>
          <w:sz w:val="20"/>
          <w:szCs w:val="20"/>
        </w:rPr>
        <w:t>6.7.6    承包人应为现场的工人和其他所有工作人员提供符合卫生要求的厕所，厕所应贴有磁砖</w:t>
      </w:r>
      <w:r>
        <w:rPr>
          <w:rFonts w:ascii="宋体" w:hAnsi="宋体" w:eastAsia="宋体" w:cs="宋体"/>
          <w:spacing w:val="8"/>
          <w:sz w:val="20"/>
          <w:szCs w:val="20"/>
        </w:rPr>
        <w:t>并带手动或自动冲刷设备和洗手盆；承包人负责支付与该厕所相关的所有费用，并在工程竣工时，从现场拆除。承包人应在工作区域设立必要的临时厕所，并安排专门人</w:t>
      </w:r>
      <w:r>
        <w:rPr>
          <w:rFonts w:ascii="宋体" w:hAnsi="宋体" w:eastAsia="宋体" w:cs="宋体"/>
          <w:spacing w:val="7"/>
          <w:sz w:val="20"/>
          <w:szCs w:val="20"/>
        </w:rPr>
        <w:t>员负</w:t>
      </w:r>
      <w:r>
        <w:rPr>
          <w:rFonts w:ascii="宋体" w:hAnsi="宋体" w:eastAsia="宋体" w:cs="宋体"/>
          <w:spacing w:val="9"/>
          <w:sz w:val="20"/>
          <w:szCs w:val="20"/>
        </w:rPr>
        <w:t>责看护和定时清理，以确保现场免于随地大小便的污染。</w:t>
      </w:r>
    </w:p>
    <w:p w14:paraId="257693A5">
      <w:pPr>
        <w:spacing w:before="1" w:line="351" w:lineRule="auto"/>
        <w:ind w:left="945" w:hanging="945"/>
        <w:rPr>
          <w:rFonts w:ascii="宋体" w:hAnsi="宋体" w:eastAsia="宋体" w:cs="宋体"/>
          <w:sz w:val="20"/>
          <w:szCs w:val="20"/>
        </w:rPr>
      </w:pPr>
      <w:r>
        <w:rPr>
          <w:rFonts w:ascii="宋体" w:hAnsi="宋体" w:eastAsia="宋体" w:cs="宋体"/>
          <w:spacing w:val="7"/>
          <w:sz w:val="20"/>
          <w:szCs w:val="20"/>
        </w:rPr>
        <w:t>6.7.7    承包人应在现场设立固定的垃圾临时存放点并在各楼层或区域设立必要的垃圾箱；所有</w:t>
      </w:r>
      <w:r>
        <w:rPr>
          <w:rFonts w:ascii="宋体" w:hAnsi="宋体" w:eastAsia="宋体" w:cs="宋体"/>
          <w:spacing w:val="4"/>
          <w:sz w:val="20"/>
          <w:szCs w:val="20"/>
        </w:rPr>
        <w:t>垃圾必须在当天清除出现场，并按有关行政管理部门的规定，运送到指定的垃圾消纳场。</w:t>
      </w:r>
    </w:p>
    <w:p w14:paraId="6CFCC92C">
      <w:pPr>
        <w:spacing w:before="2" w:line="350" w:lineRule="auto"/>
        <w:ind w:left="945" w:hanging="945"/>
        <w:rPr>
          <w:rFonts w:ascii="宋体" w:hAnsi="宋体" w:eastAsia="宋体" w:cs="宋体"/>
          <w:sz w:val="20"/>
          <w:szCs w:val="20"/>
        </w:rPr>
      </w:pPr>
      <w:r>
        <w:rPr>
          <w:rFonts w:ascii="宋体" w:hAnsi="宋体" w:eastAsia="宋体" w:cs="宋体"/>
          <w:spacing w:val="7"/>
          <w:sz w:val="20"/>
          <w:szCs w:val="20"/>
        </w:rPr>
        <w:t>6.7.8    承包人应对离场垃圾和所有车辆进行防遗洒和防污染公共道路的处理。承包人在运输任</w:t>
      </w:r>
      <w:r>
        <w:rPr>
          <w:rFonts w:ascii="宋体" w:hAnsi="宋体" w:eastAsia="宋体" w:cs="宋体"/>
          <w:spacing w:val="8"/>
          <w:sz w:val="20"/>
          <w:szCs w:val="20"/>
        </w:rPr>
        <w:t>何材料的过程中，应采取一切必要的措施，防止遗洒和污染公共道路；一旦出现上</w:t>
      </w:r>
      <w:r>
        <w:rPr>
          <w:rFonts w:ascii="宋体" w:hAnsi="宋体" w:eastAsia="宋体" w:cs="宋体"/>
          <w:spacing w:val="7"/>
          <w:sz w:val="20"/>
          <w:szCs w:val="20"/>
        </w:rPr>
        <w:t>述遗</w:t>
      </w:r>
      <w:r>
        <w:rPr>
          <w:rFonts w:ascii="宋体" w:hAnsi="宋体" w:eastAsia="宋体" w:cs="宋体"/>
          <w:spacing w:val="8"/>
          <w:sz w:val="20"/>
          <w:szCs w:val="20"/>
        </w:rPr>
        <w:t>洒或污染现象，承包人应立即采取措施进行清扫，并承担所有费用。承包人</w:t>
      </w:r>
      <w:r>
        <w:rPr>
          <w:rFonts w:ascii="宋体" w:hAnsi="宋体" w:eastAsia="宋体" w:cs="宋体"/>
          <w:spacing w:val="7"/>
          <w:sz w:val="20"/>
          <w:szCs w:val="20"/>
        </w:rPr>
        <w:t>在混凝土浇</w:t>
      </w:r>
      <w:r>
        <w:rPr>
          <w:rFonts w:ascii="宋体" w:hAnsi="宋体" w:eastAsia="宋体" w:cs="宋体"/>
          <w:spacing w:val="4"/>
          <w:sz w:val="20"/>
          <w:szCs w:val="20"/>
        </w:rPr>
        <w:t>筑、材料运输、材料装卸、现场清理等工作中应采取一切必要的措施防止影响公共交通。</w:t>
      </w:r>
    </w:p>
    <w:p w14:paraId="16446723">
      <w:pPr>
        <w:spacing w:before="3" w:line="350" w:lineRule="auto"/>
        <w:ind w:left="943" w:right="70" w:hanging="943"/>
        <w:rPr>
          <w:rFonts w:ascii="宋体" w:hAnsi="宋体" w:eastAsia="宋体" w:cs="宋体"/>
          <w:sz w:val="20"/>
          <w:szCs w:val="20"/>
        </w:rPr>
      </w:pPr>
      <w:r>
        <w:rPr>
          <w:rFonts w:ascii="宋体" w:hAnsi="宋体" w:eastAsia="宋体" w:cs="宋体"/>
          <w:spacing w:val="7"/>
          <w:sz w:val="20"/>
          <w:szCs w:val="20"/>
        </w:rPr>
        <w:t>6.7.9    承包人应当制订成品保护措施计划，并提供必要的人员、材料和设备用于整个工程的成</w:t>
      </w:r>
      <w:r>
        <w:rPr>
          <w:rFonts w:ascii="宋体" w:hAnsi="宋体" w:eastAsia="宋体" w:cs="宋体"/>
          <w:spacing w:val="8"/>
          <w:sz w:val="20"/>
          <w:szCs w:val="20"/>
        </w:rPr>
        <w:t>品保护，包括对已完成的所有分包人和独立承包人（如果有）的工程或工作的保护，防止已完工作遭受任何损坏或破坏。成品保护措施应当合理安排工序，并包括工作面移交制度和责任赔偿制度。成品保护措施计划最迟应当在任何专业分包人或独立承包人进场</w:t>
      </w:r>
      <w:r>
        <w:rPr>
          <w:rFonts w:ascii="宋体" w:hAnsi="宋体" w:eastAsia="宋体" w:cs="宋体"/>
          <w:spacing w:val="6"/>
          <w:sz w:val="20"/>
          <w:szCs w:val="20"/>
        </w:rPr>
        <w:t>施工前不少于</w:t>
      </w:r>
      <w:r>
        <w:rPr>
          <w:rFonts w:ascii="宋体" w:hAnsi="宋体" w:eastAsia="宋体" w:cs="宋体"/>
          <w:spacing w:val="-25"/>
          <w:sz w:val="20"/>
          <w:szCs w:val="20"/>
        </w:rPr>
        <w:t xml:space="preserve"> </w:t>
      </w:r>
      <w:r>
        <w:rPr>
          <w:rFonts w:ascii="宋体" w:hAnsi="宋体" w:eastAsia="宋体" w:cs="宋体"/>
          <w:spacing w:val="6"/>
          <w:sz w:val="20"/>
          <w:szCs w:val="20"/>
        </w:rPr>
        <w:t>28</w:t>
      </w:r>
      <w:r>
        <w:rPr>
          <w:rFonts w:ascii="宋体" w:hAnsi="宋体" w:eastAsia="宋体" w:cs="宋体"/>
          <w:spacing w:val="-36"/>
          <w:sz w:val="20"/>
          <w:szCs w:val="20"/>
        </w:rPr>
        <w:t xml:space="preserve"> </w:t>
      </w:r>
      <w:r>
        <w:rPr>
          <w:rFonts w:ascii="宋体" w:hAnsi="宋体" w:eastAsia="宋体" w:cs="宋体"/>
          <w:spacing w:val="6"/>
          <w:sz w:val="20"/>
          <w:szCs w:val="20"/>
        </w:rPr>
        <w:t>天报监理人审批。</w:t>
      </w:r>
    </w:p>
    <w:p w14:paraId="0409CBAA">
      <w:pPr>
        <w:spacing w:line="227" w:lineRule="auto"/>
        <w:rPr>
          <w:rFonts w:ascii="宋体" w:hAnsi="宋体" w:eastAsia="宋体" w:cs="宋体"/>
          <w:sz w:val="20"/>
          <w:szCs w:val="20"/>
        </w:rPr>
      </w:pPr>
      <w:r>
        <w:rPr>
          <w:rFonts w:ascii="宋体" w:hAnsi="宋体" w:eastAsia="宋体" w:cs="宋体"/>
          <w:spacing w:val="7"/>
          <w:sz w:val="20"/>
          <w:szCs w:val="20"/>
        </w:rPr>
        <w:t>6.7.10   文明施工方面的其他要求如下：</w:t>
      </w:r>
    </w:p>
    <w:p w14:paraId="06FCA3B0">
      <w:pPr>
        <w:tabs>
          <w:tab w:val="left" w:pos="8075"/>
        </w:tabs>
        <w:spacing w:before="138"/>
        <w:ind w:left="724"/>
        <w:rPr>
          <w:rFonts w:ascii="Arial"/>
          <w:sz w:val="21"/>
        </w:rPr>
      </w:pPr>
      <w:r>
        <w:rPr>
          <w:rFonts w:ascii="Arial" w:hAnsi="Arial" w:eastAsia="Arial" w:cs="Arial"/>
          <w:sz w:val="21"/>
          <w:szCs w:val="21"/>
          <w:u w:val="single" w:color="auto"/>
        </w:rPr>
        <w:tab/>
      </w:r>
    </w:p>
    <w:p w14:paraId="47B289FC">
      <w:pPr>
        <w:rPr>
          <w:rFonts w:ascii="Arial"/>
          <w:sz w:val="21"/>
        </w:rPr>
      </w:pPr>
    </w:p>
    <w:p w14:paraId="0DC9A3FA">
      <w:pPr>
        <w:tabs>
          <w:tab w:val="left" w:pos="8075"/>
        </w:tabs>
        <w:spacing w:before="24" w:line="173" w:lineRule="auto"/>
        <w:ind w:left="72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BDCAD70">
      <w:pPr>
        <w:spacing w:before="176" w:line="228" w:lineRule="auto"/>
        <w:rPr>
          <w:rFonts w:ascii="宋体" w:hAnsi="宋体" w:eastAsia="宋体" w:cs="宋体"/>
          <w:sz w:val="20"/>
          <w:szCs w:val="20"/>
        </w:rPr>
      </w:pPr>
      <w:r>
        <w:rPr>
          <w:rFonts w:ascii="宋体" w:hAnsi="宋体" w:eastAsia="宋体" w:cs="宋体"/>
          <w:b/>
          <w:bCs/>
          <w:spacing w:val="3"/>
          <w:sz w:val="20"/>
          <w:szCs w:val="20"/>
        </w:rPr>
        <w:t>6.8</w:t>
      </w:r>
      <w:r>
        <w:rPr>
          <w:rFonts w:ascii="宋体" w:hAnsi="宋体" w:eastAsia="宋体" w:cs="宋体"/>
          <w:spacing w:val="7"/>
          <w:sz w:val="20"/>
          <w:szCs w:val="20"/>
        </w:rPr>
        <w:t xml:space="preserve">      </w:t>
      </w:r>
      <w:r>
        <w:rPr>
          <w:rFonts w:ascii="宋体" w:hAnsi="宋体" w:eastAsia="宋体" w:cs="宋体"/>
          <w:b/>
          <w:bCs/>
          <w:spacing w:val="3"/>
          <w:sz w:val="20"/>
          <w:szCs w:val="20"/>
        </w:rPr>
        <w:t>环境保护</w:t>
      </w:r>
    </w:p>
    <w:p w14:paraId="1E9A5548">
      <w:pPr>
        <w:spacing w:before="132" w:line="349" w:lineRule="auto"/>
        <w:ind w:left="946" w:right="70" w:hanging="947"/>
        <w:rPr>
          <w:rFonts w:ascii="宋体" w:hAnsi="宋体" w:eastAsia="宋体" w:cs="宋体"/>
          <w:sz w:val="20"/>
          <w:szCs w:val="20"/>
        </w:rPr>
      </w:pPr>
      <w:r>
        <w:rPr>
          <w:rFonts w:ascii="宋体" w:hAnsi="宋体" w:eastAsia="宋体" w:cs="宋体"/>
          <w:spacing w:val="7"/>
          <w:sz w:val="20"/>
          <w:szCs w:val="20"/>
        </w:rPr>
        <w:t>6.8.1    在工程施工、完工及修补任何缺陷的过程中，承包人应当始终遵守国家和工程所在地有</w:t>
      </w:r>
      <w:r>
        <w:rPr>
          <w:rFonts w:ascii="宋体" w:hAnsi="宋体" w:eastAsia="宋体" w:cs="宋体"/>
          <w:spacing w:val="8"/>
          <w:sz w:val="20"/>
          <w:szCs w:val="20"/>
        </w:rPr>
        <w:t>关环境保护、水土保护和污染防治的法律、法规、规章、规范、标准和规程等</w:t>
      </w:r>
      <w:r>
        <w:rPr>
          <w:rFonts w:ascii="宋体" w:hAnsi="宋体" w:eastAsia="宋体" w:cs="宋体"/>
          <w:spacing w:val="7"/>
          <w:sz w:val="20"/>
          <w:szCs w:val="20"/>
        </w:rPr>
        <w:t>，按照通</w:t>
      </w:r>
    </w:p>
    <w:p w14:paraId="3CA5810B">
      <w:pPr>
        <w:spacing w:line="349" w:lineRule="auto"/>
        <w:rPr>
          <w:rFonts w:ascii="宋体" w:hAnsi="宋体" w:eastAsia="宋体" w:cs="宋体"/>
          <w:sz w:val="20"/>
          <w:szCs w:val="20"/>
        </w:rPr>
        <w:sectPr>
          <w:footerReference r:id="rId489" w:type="default"/>
          <w:pgSz w:w="11907" w:h="16840"/>
          <w:pgMar w:top="400" w:right="1504" w:bottom="1247" w:left="1483" w:header="0" w:footer="1085" w:gutter="0"/>
          <w:cols w:space="720" w:num="1"/>
        </w:sectPr>
      </w:pPr>
    </w:p>
    <w:p w14:paraId="75701ACF">
      <w:pPr>
        <w:spacing w:line="269" w:lineRule="auto"/>
        <w:rPr>
          <w:rFonts w:ascii="Arial"/>
          <w:sz w:val="21"/>
        </w:rPr>
      </w:pPr>
    </w:p>
    <w:p w14:paraId="1080882E">
      <w:pPr>
        <w:spacing w:line="270" w:lineRule="auto"/>
        <w:rPr>
          <w:rFonts w:ascii="Arial"/>
          <w:sz w:val="21"/>
        </w:rPr>
      </w:pPr>
    </w:p>
    <w:p w14:paraId="6B36C06D">
      <w:pPr>
        <w:spacing w:line="270" w:lineRule="auto"/>
        <w:rPr>
          <w:rFonts w:ascii="Arial"/>
          <w:sz w:val="21"/>
        </w:rPr>
      </w:pPr>
    </w:p>
    <w:p w14:paraId="0146E33E">
      <w:pPr>
        <w:spacing w:line="270" w:lineRule="auto"/>
        <w:rPr>
          <w:rFonts w:ascii="Arial"/>
          <w:sz w:val="21"/>
        </w:rPr>
      </w:pPr>
    </w:p>
    <w:p w14:paraId="5BF28F26">
      <w:pPr>
        <w:spacing w:line="270" w:lineRule="auto"/>
        <w:rPr>
          <w:rFonts w:ascii="Arial"/>
          <w:sz w:val="21"/>
        </w:rPr>
      </w:pPr>
    </w:p>
    <w:p w14:paraId="39D38B7B">
      <w:pPr>
        <w:spacing w:before="65" w:line="228" w:lineRule="auto"/>
        <w:ind w:left="945"/>
        <w:rPr>
          <w:rFonts w:ascii="宋体" w:hAnsi="宋体" w:eastAsia="宋体" w:cs="宋体"/>
          <w:sz w:val="20"/>
          <w:szCs w:val="20"/>
        </w:rPr>
      </w:pPr>
      <w:r>
        <w:rPr>
          <w:rFonts w:ascii="宋体" w:hAnsi="宋体" w:eastAsia="宋体" w:cs="宋体"/>
          <w:spacing w:val="9"/>
          <w:sz w:val="20"/>
          <w:szCs w:val="20"/>
        </w:rPr>
        <w:t>用合同条款第4.1.6</w:t>
      </w:r>
      <w:r>
        <w:rPr>
          <w:rFonts w:ascii="宋体" w:hAnsi="宋体" w:eastAsia="宋体" w:cs="宋体"/>
          <w:spacing w:val="-37"/>
          <w:sz w:val="20"/>
          <w:szCs w:val="20"/>
        </w:rPr>
        <w:t xml:space="preserve"> </w:t>
      </w:r>
      <w:r>
        <w:rPr>
          <w:rFonts w:ascii="宋体" w:hAnsi="宋体" w:eastAsia="宋体" w:cs="宋体"/>
          <w:spacing w:val="9"/>
          <w:sz w:val="20"/>
          <w:szCs w:val="20"/>
        </w:rPr>
        <w:t>项和第</w:t>
      </w:r>
      <w:r>
        <w:rPr>
          <w:rFonts w:ascii="宋体" w:hAnsi="宋体" w:eastAsia="宋体" w:cs="宋体"/>
          <w:spacing w:val="-36"/>
          <w:sz w:val="20"/>
          <w:szCs w:val="20"/>
        </w:rPr>
        <w:t xml:space="preserve"> </w:t>
      </w:r>
      <w:r>
        <w:rPr>
          <w:rFonts w:ascii="宋体" w:hAnsi="宋体" w:eastAsia="宋体" w:cs="宋体"/>
          <w:spacing w:val="9"/>
          <w:sz w:val="20"/>
          <w:szCs w:val="20"/>
        </w:rPr>
        <w:t>9.4</w:t>
      </w:r>
      <w:r>
        <w:rPr>
          <w:rFonts w:ascii="宋体" w:hAnsi="宋体" w:eastAsia="宋体" w:cs="宋体"/>
          <w:spacing w:val="-40"/>
          <w:sz w:val="20"/>
          <w:szCs w:val="20"/>
        </w:rPr>
        <w:t xml:space="preserve"> </w:t>
      </w:r>
      <w:r>
        <w:rPr>
          <w:rFonts w:ascii="宋体" w:hAnsi="宋体" w:eastAsia="宋体" w:cs="宋体"/>
          <w:spacing w:val="9"/>
          <w:sz w:val="20"/>
          <w:szCs w:val="20"/>
        </w:rPr>
        <w:t>款的约定履行其环境与</w:t>
      </w:r>
      <w:r>
        <w:rPr>
          <w:rFonts w:ascii="宋体" w:hAnsi="宋体" w:eastAsia="宋体" w:cs="宋体"/>
          <w:spacing w:val="8"/>
          <w:sz w:val="20"/>
          <w:szCs w:val="20"/>
        </w:rPr>
        <w:t>生态保护职责。</w:t>
      </w:r>
    </w:p>
    <w:p w14:paraId="14913D55">
      <w:pPr>
        <w:spacing w:before="131" w:line="349" w:lineRule="auto"/>
        <w:ind w:left="944" w:right="70" w:hanging="944"/>
        <w:rPr>
          <w:rFonts w:ascii="宋体" w:hAnsi="宋体" w:eastAsia="宋体" w:cs="宋体"/>
          <w:sz w:val="20"/>
          <w:szCs w:val="20"/>
        </w:rPr>
      </w:pPr>
      <w:r>
        <w:rPr>
          <w:rFonts w:ascii="宋体" w:hAnsi="宋体" w:eastAsia="宋体" w:cs="宋体"/>
          <w:spacing w:val="7"/>
          <w:sz w:val="20"/>
          <w:szCs w:val="20"/>
        </w:rPr>
        <w:t>6.8.2    承包人应按合同约定和监理人指示，接受国家和地方环境保护行政主管部门的监督、监</w:t>
      </w:r>
      <w:r>
        <w:rPr>
          <w:rFonts w:ascii="宋体" w:hAnsi="宋体" w:eastAsia="宋体" w:cs="宋体"/>
          <w:spacing w:val="8"/>
          <w:sz w:val="20"/>
          <w:szCs w:val="20"/>
        </w:rPr>
        <w:t>测和检查。承包人应对其违反现行法律、法规、规章、规范、标准和规程等以及本</w:t>
      </w:r>
      <w:r>
        <w:rPr>
          <w:rFonts w:ascii="宋体" w:hAnsi="宋体" w:eastAsia="宋体" w:cs="宋体"/>
          <w:spacing w:val="7"/>
          <w:sz w:val="20"/>
          <w:szCs w:val="20"/>
        </w:rPr>
        <w:t>合同</w:t>
      </w:r>
      <w:r>
        <w:rPr>
          <w:rFonts w:ascii="宋体" w:hAnsi="宋体" w:eastAsia="宋体" w:cs="宋体"/>
          <w:spacing w:val="9"/>
          <w:sz w:val="20"/>
          <w:szCs w:val="20"/>
        </w:rPr>
        <w:t>约定所造成的环境污染、水土流失、人员伤害和财产损失等承担赔偿责任。</w:t>
      </w:r>
    </w:p>
    <w:p w14:paraId="77CDA27F">
      <w:pPr>
        <w:spacing w:line="349" w:lineRule="auto"/>
        <w:ind w:left="945" w:hanging="945"/>
        <w:rPr>
          <w:rFonts w:ascii="宋体" w:hAnsi="宋体" w:eastAsia="宋体" w:cs="宋体"/>
          <w:sz w:val="20"/>
          <w:szCs w:val="20"/>
        </w:rPr>
      </w:pPr>
      <w:r>
        <w:rPr>
          <w:rFonts w:ascii="宋体" w:hAnsi="宋体" w:eastAsia="宋体" w:cs="宋体"/>
          <w:spacing w:val="9"/>
          <w:sz w:val="20"/>
          <w:szCs w:val="20"/>
        </w:rPr>
        <w:t>6.8.3    承包人制订施工方案和组织措施时应当同步考虑环境和资源保护，包括水土</w:t>
      </w:r>
      <w:r>
        <w:rPr>
          <w:rFonts w:ascii="宋体" w:hAnsi="宋体" w:eastAsia="宋体" w:cs="宋体"/>
          <w:spacing w:val="8"/>
          <w:sz w:val="20"/>
          <w:szCs w:val="20"/>
        </w:rPr>
        <w:t>资源保护、噪声、振动和照明污染防治、固体废弃物处理、污水和废气处理、粉尘和扬尘控制</w:t>
      </w:r>
      <w:r>
        <w:rPr>
          <w:rFonts w:ascii="宋体" w:hAnsi="宋体" w:eastAsia="宋体" w:cs="宋体"/>
          <w:spacing w:val="7"/>
          <w:sz w:val="20"/>
          <w:szCs w:val="20"/>
        </w:rPr>
        <w:t>、道</w:t>
      </w:r>
      <w:r>
        <w:rPr>
          <w:rFonts w:ascii="宋体" w:hAnsi="宋体" w:eastAsia="宋体" w:cs="宋体"/>
          <w:spacing w:val="4"/>
          <w:sz w:val="20"/>
          <w:szCs w:val="20"/>
        </w:rPr>
        <w:t>路污染防治、卫生防疫、禁止有害材料、节能减排以及不可再生资源的循环使用等因素。</w:t>
      </w:r>
    </w:p>
    <w:p w14:paraId="14260BF6">
      <w:pPr>
        <w:spacing w:before="5" w:line="348" w:lineRule="auto"/>
        <w:ind w:left="943" w:right="70" w:hanging="943"/>
        <w:rPr>
          <w:rFonts w:ascii="宋体" w:hAnsi="宋体" w:eastAsia="宋体" w:cs="宋体"/>
          <w:sz w:val="20"/>
          <w:szCs w:val="20"/>
        </w:rPr>
      </w:pPr>
      <w:r>
        <w:rPr>
          <w:rFonts w:ascii="宋体" w:hAnsi="宋体" w:eastAsia="宋体" w:cs="宋体"/>
          <w:spacing w:val="7"/>
          <w:sz w:val="20"/>
          <w:szCs w:val="20"/>
        </w:rPr>
        <w:t>6.8.4    承包人应当做好施工场地（现场）范围内各项工程的开挖支护、截水、降水、灌浆、衬</w:t>
      </w:r>
      <w:r>
        <w:rPr>
          <w:rFonts w:ascii="宋体" w:hAnsi="宋体" w:eastAsia="宋体" w:cs="宋体"/>
          <w:spacing w:val="8"/>
          <w:sz w:val="20"/>
          <w:szCs w:val="20"/>
        </w:rPr>
        <w:t>砌、挡护结构及排水等工程防护措施。施工场地（现场）内所有边坡应当采取有效的水土流失防治和保持措施。承包人采用的降水方案应当充分考虑对地下水的保护和合理使用，如果国家和（或）地方人民政府有特别规定的，承包人应当遵守有关规定。承包人还应设置完善的排水系统，保持施工场地（现场）始终处于良好的排水状态，防止降雨径流对施工场地（现场）的冲刷。</w:t>
      </w:r>
    </w:p>
    <w:p w14:paraId="7CFCC53E">
      <w:pPr>
        <w:spacing w:before="6" w:line="348" w:lineRule="auto"/>
        <w:ind w:left="943" w:right="40" w:hanging="943"/>
        <w:rPr>
          <w:rFonts w:ascii="宋体" w:hAnsi="宋体" w:eastAsia="宋体" w:cs="宋体"/>
          <w:sz w:val="20"/>
          <w:szCs w:val="20"/>
        </w:rPr>
      </w:pPr>
      <w:r>
        <w:rPr>
          <w:rFonts w:ascii="宋体" w:hAnsi="宋体" w:eastAsia="宋体" w:cs="宋体"/>
          <w:spacing w:val="8"/>
          <w:sz w:val="20"/>
          <w:szCs w:val="20"/>
        </w:rPr>
        <w:t>6.8.5    承包人应当确保其所提供的材料、工程设备、施工设备和其他材料都是绿色环保产品，列入国家强制认证产品名录的，还应当是通过国家强制认证的产品。承包人不得在任何临时和永久性工程中使用任何政府明令禁止使用的对人体有害的任何材料（如放射性材料、石棉制品等）和方法，同时也不得在永久性工程中使用政府虽未明令禁止但会给居住或使用人带来不适感觉或味觉的任何材料和添加剂等；承包人应在其施工环保措施计</w:t>
      </w:r>
      <w:r>
        <w:rPr>
          <w:rFonts w:ascii="宋体" w:hAnsi="宋体" w:eastAsia="宋体" w:cs="宋体"/>
          <w:spacing w:val="9"/>
          <w:sz w:val="20"/>
          <w:szCs w:val="20"/>
        </w:rPr>
        <w:t>划中明确防止误用的保证措施；承包人违背此项约定的责任和后果全</w:t>
      </w:r>
      <w:r>
        <w:rPr>
          <w:rFonts w:ascii="宋体" w:hAnsi="宋体" w:eastAsia="宋体" w:cs="宋体"/>
          <w:spacing w:val="8"/>
          <w:sz w:val="20"/>
          <w:szCs w:val="20"/>
        </w:rPr>
        <w:t>部由承包人承担。</w:t>
      </w:r>
    </w:p>
    <w:p w14:paraId="7E8837BD">
      <w:pPr>
        <w:spacing w:before="2" w:line="348" w:lineRule="auto"/>
        <w:ind w:left="948" w:right="70" w:hanging="948"/>
        <w:rPr>
          <w:rFonts w:ascii="宋体" w:hAnsi="宋体" w:eastAsia="宋体" w:cs="宋体"/>
          <w:sz w:val="20"/>
          <w:szCs w:val="20"/>
        </w:rPr>
      </w:pPr>
      <w:r>
        <w:rPr>
          <w:rFonts w:ascii="宋体" w:hAnsi="宋体" w:eastAsia="宋体" w:cs="宋体"/>
          <w:spacing w:val="12"/>
          <w:sz w:val="20"/>
          <w:szCs w:val="20"/>
        </w:rPr>
        <w:t>6.8.6    承包人应为防止进出场的车辆的遗洒和轮胎夹带物等污染周边和公共道路</w:t>
      </w:r>
      <w:r>
        <w:rPr>
          <w:rFonts w:ascii="宋体" w:hAnsi="宋体" w:eastAsia="宋体" w:cs="宋体"/>
          <w:spacing w:val="11"/>
          <w:sz w:val="20"/>
          <w:szCs w:val="20"/>
        </w:rPr>
        <w:t>等行为制定</w:t>
      </w:r>
      <w:r>
        <w:rPr>
          <w:rFonts w:ascii="宋体" w:hAnsi="宋体" w:eastAsia="宋体" w:cs="宋体"/>
          <w:spacing w:val="8"/>
          <w:sz w:val="20"/>
          <w:szCs w:val="20"/>
        </w:rPr>
        <w:t>并落实必要的措施，这类措施应至少包括在现场出入口设立冲刷池、对现场</w:t>
      </w:r>
      <w:r>
        <w:rPr>
          <w:rFonts w:ascii="宋体" w:hAnsi="宋体" w:eastAsia="宋体" w:cs="宋体"/>
          <w:spacing w:val="7"/>
          <w:sz w:val="20"/>
          <w:szCs w:val="20"/>
        </w:rPr>
        <w:t>道路做硬化</w:t>
      </w:r>
      <w:r>
        <w:rPr>
          <w:rFonts w:ascii="宋体" w:hAnsi="宋体" w:eastAsia="宋体" w:cs="宋体"/>
          <w:spacing w:val="9"/>
          <w:sz w:val="20"/>
          <w:szCs w:val="20"/>
        </w:rPr>
        <w:t>处理和采用密闭车厢或者对车厢进行必要的覆盖等等。</w:t>
      </w:r>
    </w:p>
    <w:p w14:paraId="664465B4">
      <w:pPr>
        <w:spacing w:before="3" w:line="349" w:lineRule="auto"/>
        <w:ind w:left="943" w:right="40" w:hanging="943"/>
        <w:rPr>
          <w:rFonts w:ascii="宋体" w:hAnsi="宋体" w:eastAsia="宋体" w:cs="宋体"/>
          <w:sz w:val="20"/>
          <w:szCs w:val="20"/>
        </w:rPr>
      </w:pPr>
      <w:r>
        <w:rPr>
          <w:rFonts w:ascii="宋体" w:hAnsi="宋体" w:eastAsia="宋体" w:cs="宋体"/>
          <w:spacing w:val="8"/>
          <w:sz w:val="20"/>
          <w:szCs w:val="20"/>
        </w:rPr>
        <w:t>6.8.7    承包人应当保证施工生产用水和生活用水符合国家有关标准的规定。承包人还应建设、</w:t>
      </w:r>
      <w:r>
        <w:rPr>
          <w:rFonts w:ascii="宋体" w:hAnsi="宋体" w:eastAsia="宋体" w:cs="宋体"/>
          <w:spacing w:val="10"/>
          <w:sz w:val="20"/>
          <w:szCs w:val="20"/>
        </w:rPr>
        <w:t>运行和维护施工生产和生活污水收集和处理系统（包括排污口接入</w:t>
      </w:r>
      <w:r>
        <w:rPr>
          <w:rFonts w:ascii="宋体" w:hAnsi="宋体" w:eastAsia="宋体" w:cs="宋体"/>
          <w:spacing w:val="-29"/>
          <w:sz w:val="20"/>
          <w:szCs w:val="20"/>
        </w:rPr>
        <w:t>），</w:t>
      </w:r>
      <w:r>
        <w:rPr>
          <w:rFonts w:ascii="宋体" w:hAnsi="宋体" w:eastAsia="宋体" w:cs="宋体"/>
          <w:spacing w:val="10"/>
          <w:sz w:val="20"/>
          <w:szCs w:val="20"/>
        </w:rPr>
        <w:t>建立符合排放标</w:t>
      </w:r>
      <w:r>
        <w:rPr>
          <w:rFonts w:ascii="宋体" w:hAnsi="宋体" w:eastAsia="宋体" w:cs="宋体"/>
          <w:spacing w:val="8"/>
          <w:sz w:val="20"/>
          <w:szCs w:val="20"/>
        </w:rPr>
        <w:t>准的临时沉淀池和化粪池等，不得将未处理的污水直接或间接排放或造成地表水体、地下水体或生产和生活供水系统的污染。</w:t>
      </w:r>
    </w:p>
    <w:p w14:paraId="00E2E275">
      <w:pPr>
        <w:spacing w:before="8" w:line="366" w:lineRule="auto"/>
        <w:ind w:left="944" w:right="70" w:hanging="944"/>
        <w:rPr>
          <w:rFonts w:ascii="宋体" w:hAnsi="宋体" w:eastAsia="宋体" w:cs="宋体"/>
          <w:sz w:val="20"/>
          <w:szCs w:val="20"/>
        </w:rPr>
      </w:pPr>
      <w:r>
        <w:rPr>
          <w:rFonts w:ascii="宋体" w:hAnsi="宋体" w:eastAsia="宋体" w:cs="宋体"/>
          <w:spacing w:val="7"/>
          <w:sz w:val="20"/>
          <w:szCs w:val="20"/>
        </w:rPr>
        <w:t>6.8.8    承包人应当采取有效措施，建立相应的过滤、分离、分解或沉淀等处理系统，不得让有</w:t>
      </w:r>
      <w:r>
        <w:rPr>
          <w:rFonts w:ascii="宋体" w:hAnsi="宋体" w:eastAsia="宋体" w:cs="宋体"/>
          <w:spacing w:val="8"/>
          <w:sz w:val="20"/>
          <w:szCs w:val="20"/>
        </w:rPr>
        <w:t>害物质（如燃料、油料、化学品、酸等，以及超过剂量的有害气体和尘埃、污水、泥土或水、弃渣等）污染施工场地（现场）及其周边环境。承包人施工工序、工作时间</w:t>
      </w:r>
      <w:r>
        <w:rPr>
          <w:rFonts w:ascii="宋体" w:hAnsi="宋体" w:eastAsia="宋体" w:cs="宋体"/>
          <w:spacing w:val="7"/>
          <w:sz w:val="20"/>
          <w:szCs w:val="20"/>
        </w:rPr>
        <w:t>安排</w:t>
      </w:r>
      <w:r>
        <w:rPr>
          <w:rFonts w:ascii="宋体" w:hAnsi="宋体" w:eastAsia="宋体" w:cs="宋体"/>
          <w:spacing w:val="11"/>
          <w:sz w:val="20"/>
          <w:szCs w:val="20"/>
        </w:rPr>
        <w:t>和施工设备的配置应当充分考虑降低噪声和照明等</w:t>
      </w:r>
      <w:r>
        <w:rPr>
          <w:rFonts w:ascii="宋体" w:hAnsi="宋体" w:eastAsia="宋体" w:cs="宋体"/>
          <w:spacing w:val="10"/>
          <w:sz w:val="20"/>
          <w:szCs w:val="20"/>
        </w:rPr>
        <w:t>对施工场地 （现场）周边生产和生</w:t>
      </w:r>
      <w:r>
        <w:rPr>
          <w:rFonts w:ascii="宋体" w:hAnsi="宋体" w:eastAsia="宋体" w:cs="宋体"/>
          <w:spacing w:val="9"/>
          <w:sz w:val="20"/>
          <w:szCs w:val="20"/>
        </w:rPr>
        <w:t>活的影响，并满足国家和地方政府有关规定的要求。</w:t>
      </w:r>
    </w:p>
    <w:p w14:paraId="157F4499">
      <w:pPr>
        <w:spacing w:before="1" w:line="228" w:lineRule="auto"/>
        <w:rPr>
          <w:rFonts w:ascii="宋体" w:hAnsi="宋体" w:eastAsia="宋体" w:cs="宋体"/>
          <w:sz w:val="20"/>
          <w:szCs w:val="20"/>
        </w:rPr>
      </w:pPr>
      <w:r>
        <w:rPr>
          <w:rFonts w:ascii="宋体" w:hAnsi="宋体" w:eastAsia="宋体" w:cs="宋体"/>
          <w:spacing w:val="7"/>
          <w:sz w:val="20"/>
          <w:szCs w:val="20"/>
        </w:rPr>
        <w:t>6.8.9    环境保护方面的其他要求如下：</w:t>
      </w:r>
    </w:p>
    <w:p w14:paraId="4009BE83">
      <w:pPr>
        <w:spacing w:line="344" w:lineRule="auto"/>
        <w:rPr>
          <w:rFonts w:ascii="Arial"/>
          <w:sz w:val="21"/>
        </w:rPr>
      </w:pPr>
    </w:p>
    <w:p w14:paraId="7C58BFBF">
      <w:pPr>
        <w:spacing w:line="345" w:lineRule="auto"/>
        <w:rPr>
          <w:rFonts w:ascii="Arial"/>
          <w:sz w:val="21"/>
        </w:rPr>
      </w:pPr>
      <w:r>
        <w:pict>
          <v:shape id="_x0000_s1121" o:spid="_x0000_s1121" style="position:absolute;left:0pt;margin-left:36.45pt;margin-top:2.05pt;height:0.5pt;width:367.55pt;z-index:251763712;mso-width-relative:page;mso-height-relative:page;" filled="f" stroked="t" coordsize="7350,10" path="m0,4l7350,4e">
            <v:fill on="f" focussize="0,0"/>
            <v:stroke weight="0.48pt" color="#000000" miterlimit="2" joinstyle="bevel"/>
            <v:imagedata o:title=""/>
            <o:lock v:ext="edit"/>
          </v:shape>
        </w:pict>
      </w:r>
    </w:p>
    <w:p w14:paraId="53342197">
      <w:pPr>
        <w:spacing w:before="65" w:line="103" w:lineRule="exact"/>
        <w:ind w:left="8104"/>
        <w:rPr>
          <w:rFonts w:ascii="宋体" w:hAnsi="宋体" w:eastAsia="宋体" w:cs="宋体"/>
          <w:sz w:val="20"/>
          <w:szCs w:val="20"/>
        </w:rPr>
      </w:pPr>
      <w:r>
        <w:pict>
          <v:shape id="_x0000_s1122" o:spid="_x0000_s1122" style="position:absolute;left:0pt;margin-left:36.45pt;margin-top:6.7pt;height:0.5pt;width:367.55pt;z-index:251764736;mso-width-relative:page;mso-height-relative:page;" filled="f" stroked="t" coordsize="7350,10" path="m0,4l7350,4e">
            <v:fill on="f" focussize="0,0"/>
            <v:stroke weight="0.48pt" color="#000000" miterlimit="2" joinstyle="bevel"/>
            <v:imagedata o:title=""/>
            <o:lock v:ext="edit"/>
          </v:shape>
        </w:pict>
      </w:r>
      <w:r>
        <w:rPr>
          <w:rFonts w:ascii="宋体" w:hAnsi="宋体" w:eastAsia="宋体" w:cs="宋体"/>
          <w:position w:val="1"/>
          <w:sz w:val="20"/>
          <w:szCs w:val="20"/>
        </w:rPr>
        <w:t>。</w:t>
      </w:r>
    </w:p>
    <w:p w14:paraId="2AD6412A">
      <w:pPr>
        <w:spacing w:line="103" w:lineRule="exact"/>
        <w:rPr>
          <w:rFonts w:ascii="宋体" w:hAnsi="宋体" w:eastAsia="宋体" w:cs="宋体"/>
          <w:sz w:val="20"/>
          <w:szCs w:val="20"/>
        </w:rPr>
        <w:sectPr>
          <w:footerReference r:id="rId490" w:type="default"/>
          <w:pgSz w:w="11907" w:h="16840"/>
          <w:pgMar w:top="400" w:right="1504" w:bottom="1247" w:left="1483" w:header="0" w:footer="1085" w:gutter="0"/>
          <w:cols w:space="720" w:num="1"/>
        </w:sectPr>
      </w:pPr>
    </w:p>
    <w:p w14:paraId="2B6FB4B2">
      <w:pPr>
        <w:spacing w:line="264" w:lineRule="auto"/>
        <w:rPr>
          <w:rFonts w:ascii="Arial"/>
          <w:sz w:val="21"/>
        </w:rPr>
      </w:pPr>
    </w:p>
    <w:p w14:paraId="406CEBF8">
      <w:pPr>
        <w:spacing w:line="265" w:lineRule="auto"/>
        <w:rPr>
          <w:rFonts w:ascii="Arial"/>
          <w:sz w:val="21"/>
        </w:rPr>
      </w:pPr>
    </w:p>
    <w:p w14:paraId="43BD20C6">
      <w:pPr>
        <w:spacing w:line="265" w:lineRule="auto"/>
        <w:rPr>
          <w:rFonts w:ascii="Arial"/>
          <w:sz w:val="21"/>
        </w:rPr>
      </w:pPr>
    </w:p>
    <w:p w14:paraId="635CF6C0">
      <w:pPr>
        <w:spacing w:line="265" w:lineRule="auto"/>
        <w:rPr>
          <w:rFonts w:ascii="Arial"/>
          <w:sz w:val="21"/>
        </w:rPr>
      </w:pPr>
    </w:p>
    <w:p w14:paraId="65FEF544">
      <w:pPr>
        <w:spacing w:line="265" w:lineRule="auto"/>
        <w:rPr>
          <w:rFonts w:ascii="Arial"/>
          <w:sz w:val="21"/>
        </w:rPr>
      </w:pPr>
    </w:p>
    <w:p w14:paraId="2E6EEB15">
      <w:pPr>
        <w:pStyle w:val="2"/>
        <w:spacing w:before="78" w:line="223" w:lineRule="auto"/>
        <w:rPr>
          <w:sz w:val="24"/>
          <w:szCs w:val="24"/>
        </w:rPr>
      </w:pPr>
      <w:r>
        <w:rPr>
          <w:spacing w:val="-1"/>
          <w:sz w:val="24"/>
          <w:szCs w:val="24"/>
        </w:rPr>
        <w:t>6.9     施工环保措施计划</w:t>
      </w:r>
    </w:p>
    <w:p w14:paraId="53BF0B67">
      <w:pPr>
        <w:spacing w:before="203" w:line="366" w:lineRule="auto"/>
        <w:ind w:left="944" w:right="90" w:hanging="943"/>
        <w:rPr>
          <w:rFonts w:ascii="宋体" w:hAnsi="宋体" w:eastAsia="宋体" w:cs="宋体"/>
          <w:sz w:val="20"/>
          <w:szCs w:val="20"/>
        </w:rPr>
      </w:pPr>
      <w:r>
        <w:rPr>
          <w:rFonts w:ascii="宋体" w:hAnsi="宋体" w:eastAsia="宋体" w:cs="宋体"/>
          <w:spacing w:val="11"/>
          <w:sz w:val="20"/>
          <w:szCs w:val="20"/>
        </w:rPr>
        <w:t>6.9.1    通用合同条款第</w:t>
      </w:r>
      <w:r>
        <w:rPr>
          <w:rFonts w:ascii="宋体" w:hAnsi="宋体" w:eastAsia="宋体" w:cs="宋体"/>
          <w:spacing w:val="-34"/>
          <w:sz w:val="20"/>
          <w:szCs w:val="20"/>
        </w:rPr>
        <w:t xml:space="preserve"> </w:t>
      </w:r>
      <w:r>
        <w:rPr>
          <w:rFonts w:ascii="宋体" w:hAnsi="宋体" w:eastAsia="宋体" w:cs="宋体"/>
          <w:spacing w:val="11"/>
          <w:sz w:val="20"/>
          <w:szCs w:val="20"/>
        </w:rPr>
        <w:t>9.4.2</w:t>
      </w:r>
      <w:r>
        <w:rPr>
          <w:rFonts w:ascii="宋体" w:hAnsi="宋体" w:eastAsia="宋体" w:cs="宋体"/>
          <w:spacing w:val="-32"/>
          <w:sz w:val="20"/>
          <w:szCs w:val="20"/>
        </w:rPr>
        <w:t xml:space="preserve"> </w:t>
      </w:r>
      <w:r>
        <w:rPr>
          <w:rFonts w:ascii="宋体" w:hAnsi="宋体" w:eastAsia="宋体" w:cs="宋体"/>
          <w:spacing w:val="11"/>
          <w:sz w:val="20"/>
          <w:szCs w:val="20"/>
        </w:rPr>
        <w:t>项约定的施工环保措施计划</w:t>
      </w:r>
      <w:r>
        <w:rPr>
          <w:rFonts w:ascii="宋体" w:hAnsi="宋体" w:eastAsia="宋体" w:cs="宋体"/>
          <w:spacing w:val="10"/>
          <w:sz w:val="20"/>
          <w:szCs w:val="20"/>
        </w:rPr>
        <w:t>是承包人阐明环保方针和拟采用的</w:t>
      </w:r>
      <w:r>
        <w:rPr>
          <w:rFonts w:ascii="宋体" w:hAnsi="宋体" w:eastAsia="宋体" w:cs="宋体"/>
          <w:spacing w:val="9"/>
          <w:sz w:val="20"/>
          <w:szCs w:val="20"/>
        </w:rPr>
        <w:t>环保措施及方法等的文件，其内容应包括但不限于：</w:t>
      </w:r>
    </w:p>
    <w:p w14:paraId="394F60AB">
      <w:pPr>
        <w:spacing w:line="227" w:lineRule="auto"/>
        <w:ind w:left="955"/>
        <w:rPr>
          <w:rFonts w:ascii="宋体" w:hAnsi="宋体" w:eastAsia="宋体" w:cs="宋体"/>
          <w:sz w:val="20"/>
          <w:szCs w:val="20"/>
        </w:rPr>
      </w:pPr>
      <w:r>
        <w:rPr>
          <w:rFonts w:ascii="宋体" w:hAnsi="宋体" w:eastAsia="宋体" w:cs="宋体"/>
          <w:spacing w:val="9"/>
          <w:sz w:val="20"/>
          <w:szCs w:val="20"/>
        </w:rPr>
        <w:t>（1）承包人生活区（如果有）的生活用水和</w:t>
      </w:r>
      <w:r>
        <w:rPr>
          <w:rFonts w:ascii="宋体" w:hAnsi="宋体" w:eastAsia="宋体" w:cs="宋体"/>
          <w:spacing w:val="8"/>
          <w:sz w:val="20"/>
          <w:szCs w:val="20"/>
        </w:rPr>
        <w:t>生活污水处理措施；</w:t>
      </w:r>
    </w:p>
    <w:p w14:paraId="72CFE759">
      <w:pPr>
        <w:spacing w:before="149" w:line="228" w:lineRule="auto"/>
        <w:ind w:left="955"/>
        <w:rPr>
          <w:rFonts w:ascii="宋体" w:hAnsi="宋体" w:eastAsia="宋体" w:cs="宋体"/>
          <w:sz w:val="20"/>
          <w:szCs w:val="20"/>
        </w:rPr>
      </w:pPr>
      <w:r>
        <w:rPr>
          <w:rFonts w:ascii="宋体" w:hAnsi="宋体" w:eastAsia="宋体" w:cs="宋体"/>
          <w:spacing w:val="7"/>
          <w:sz w:val="20"/>
          <w:szCs w:val="20"/>
        </w:rPr>
        <w:t>（2）施工生产废水处理措施；</w:t>
      </w:r>
    </w:p>
    <w:p w14:paraId="22E17066">
      <w:pPr>
        <w:spacing w:before="149" w:line="228" w:lineRule="auto"/>
        <w:ind w:left="955"/>
        <w:rPr>
          <w:rFonts w:ascii="宋体" w:hAnsi="宋体" w:eastAsia="宋体" w:cs="宋体"/>
          <w:sz w:val="20"/>
          <w:szCs w:val="20"/>
        </w:rPr>
      </w:pPr>
      <w:r>
        <w:rPr>
          <w:rFonts w:ascii="宋体" w:hAnsi="宋体" w:eastAsia="宋体" w:cs="宋体"/>
          <w:spacing w:val="7"/>
          <w:sz w:val="20"/>
          <w:szCs w:val="20"/>
        </w:rPr>
        <w:t>（3）施工扬尘和废气的处理措施；</w:t>
      </w:r>
    </w:p>
    <w:p w14:paraId="0A311E42">
      <w:pPr>
        <w:spacing w:before="149" w:line="228" w:lineRule="auto"/>
        <w:ind w:left="955"/>
        <w:rPr>
          <w:rFonts w:ascii="宋体" w:hAnsi="宋体" w:eastAsia="宋体" w:cs="宋体"/>
          <w:sz w:val="20"/>
          <w:szCs w:val="20"/>
        </w:rPr>
      </w:pPr>
      <w:r>
        <w:rPr>
          <w:rFonts w:ascii="宋体" w:hAnsi="宋体" w:eastAsia="宋体" w:cs="宋体"/>
          <w:spacing w:val="7"/>
          <w:sz w:val="20"/>
          <w:szCs w:val="20"/>
        </w:rPr>
        <w:t>（4）施工噪声和光污染控制措施；</w:t>
      </w:r>
    </w:p>
    <w:p w14:paraId="43E4D093">
      <w:pPr>
        <w:spacing w:before="149" w:line="228" w:lineRule="auto"/>
        <w:ind w:left="955"/>
        <w:rPr>
          <w:rFonts w:ascii="宋体" w:hAnsi="宋体" w:eastAsia="宋体" w:cs="宋体"/>
          <w:sz w:val="20"/>
          <w:szCs w:val="20"/>
        </w:rPr>
      </w:pPr>
      <w:r>
        <w:rPr>
          <w:rFonts w:ascii="宋体" w:hAnsi="宋体" w:eastAsia="宋体" w:cs="宋体"/>
          <w:spacing w:val="6"/>
          <w:sz w:val="20"/>
          <w:szCs w:val="20"/>
        </w:rPr>
        <w:t>（5）节能减排措施；</w:t>
      </w:r>
    </w:p>
    <w:p w14:paraId="6B096D01">
      <w:pPr>
        <w:spacing w:before="149" w:line="228" w:lineRule="auto"/>
        <w:ind w:left="955"/>
        <w:rPr>
          <w:rFonts w:ascii="宋体" w:hAnsi="宋体" w:eastAsia="宋体" w:cs="宋体"/>
          <w:sz w:val="20"/>
          <w:szCs w:val="20"/>
        </w:rPr>
      </w:pPr>
      <w:r>
        <w:rPr>
          <w:rFonts w:ascii="宋体" w:hAnsi="宋体" w:eastAsia="宋体" w:cs="宋体"/>
          <w:spacing w:val="7"/>
          <w:sz w:val="20"/>
          <w:szCs w:val="20"/>
        </w:rPr>
        <w:t>（6）不可再生资源循环利用措施；</w:t>
      </w:r>
    </w:p>
    <w:p w14:paraId="6FCEAADF">
      <w:pPr>
        <w:spacing w:before="149" w:line="228" w:lineRule="auto"/>
        <w:ind w:left="955"/>
        <w:rPr>
          <w:rFonts w:ascii="宋体" w:hAnsi="宋体" w:eastAsia="宋体" w:cs="宋体"/>
          <w:sz w:val="20"/>
          <w:szCs w:val="20"/>
        </w:rPr>
      </w:pPr>
      <w:r>
        <w:rPr>
          <w:rFonts w:ascii="宋体" w:hAnsi="宋体" w:eastAsia="宋体" w:cs="宋体"/>
          <w:spacing w:val="7"/>
          <w:sz w:val="20"/>
          <w:szCs w:val="20"/>
        </w:rPr>
        <w:t>（7）固体废弃物处理措施；</w:t>
      </w:r>
    </w:p>
    <w:p w14:paraId="6CFE084D">
      <w:pPr>
        <w:spacing w:before="149" w:line="228" w:lineRule="auto"/>
        <w:ind w:left="955"/>
        <w:rPr>
          <w:rFonts w:ascii="宋体" w:hAnsi="宋体" w:eastAsia="宋体" w:cs="宋体"/>
          <w:sz w:val="20"/>
          <w:szCs w:val="20"/>
        </w:rPr>
      </w:pPr>
      <w:r>
        <w:rPr>
          <w:rFonts w:ascii="宋体" w:hAnsi="宋体" w:eastAsia="宋体" w:cs="宋体"/>
          <w:spacing w:val="8"/>
          <w:sz w:val="20"/>
          <w:szCs w:val="20"/>
        </w:rPr>
        <w:t>（8）人群健康保护和卫生防疫措施；</w:t>
      </w:r>
    </w:p>
    <w:p w14:paraId="458C6871">
      <w:pPr>
        <w:spacing w:before="149" w:line="227" w:lineRule="auto"/>
        <w:ind w:left="955"/>
        <w:rPr>
          <w:rFonts w:ascii="宋体" w:hAnsi="宋体" w:eastAsia="宋体" w:cs="宋体"/>
          <w:sz w:val="20"/>
          <w:szCs w:val="20"/>
        </w:rPr>
      </w:pPr>
      <w:r>
        <w:rPr>
          <w:rFonts w:ascii="宋体" w:hAnsi="宋体" w:eastAsia="宋体" w:cs="宋体"/>
          <w:spacing w:val="8"/>
          <w:sz w:val="20"/>
          <w:szCs w:val="20"/>
        </w:rPr>
        <w:t>（9）防止误用有害材料的保证措施；</w:t>
      </w:r>
    </w:p>
    <w:p w14:paraId="07AD33D5">
      <w:pPr>
        <w:spacing w:before="150" w:line="228" w:lineRule="auto"/>
        <w:ind w:left="955"/>
        <w:rPr>
          <w:rFonts w:ascii="宋体" w:hAnsi="宋体" w:eastAsia="宋体" w:cs="宋体"/>
          <w:sz w:val="20"/>
          <w:szCs w:val="20"/>
        </w:rPr>
      </w:pPr>
      <w:r>
        <w:rPr>
          <w:rFonts w:ascii="宋体" w:hAnsi="宋体" w:eastAsia="宋体" w:cs="宋体"/>
          <w:spacing w:val="7"/>
          <w:sz w:val="20"/>
          <w:szCs w:val="20"/>
        </w:rPr>
        <w:t>（10）施工边坡工程的水土流失保护措施；</w:t>
      </w:r>
    </w:p>
    <w:p w14:paraId="4C88E123">
      <w:pPr>
        <w:spacing w:before="149" w:line="228" w:lineRule="auto"/>
        <w:ind w:left="955"/>
        <w:rPr>
          <w:rFonts w:ascii="宋体" w:hAnsi="宋体" w:eastAsia="宋体" w:cs="宋体"/>
          <w:sz w:val="20"/>
          <w:szCs w:val="20"/>
        </w:rPr>
      </w:pPr>
      <w:r>
        <w:rPr>
          <w:rFonts w:ascii="宋体" w:hAnsi="宋体" w:eastAsia="宋体" w:cs="宋体"/>
          <w:spacing w:val="6"/>
          <w:sz w:val="20"/>
          <w:szCs w:val="20"/>
        </w:rPr>
        <w:t>（11）道路污染防治措施；</w:t>
      </w:r>
    </w:p>
    <w:p w14:paraId="6C80EE9C">
      <w:pPr>
        <w:spacing w:before="149" w:line="228" w:lineRule="auto"/>
        <w:ind w:left="955"/>
        <w:rPr>
          <w:rFonts w:ascii="宋体" w:hAnsi="宋体" w:eastAsia="宋体" w:cs="宋体"/>
          <w:sz w:val="20"/>
          <w:szCs w:val="20"/>
        </w:rPr>
      </w:pPr>
      <w:r>
        <w:rPr>
          <w:rFonts w:ascii="宋体" w:hAnsi="宋体" w:eastAsia="宋体" w:cs="宋体"/>
          <w:spacing w:val="8"/>
          <w:sz w:val="20"/>
          <w:szCs w:val="20"/>
        </w:rPr>
        <w:t>（12）完工后场地清理及其植被（如果有）恢复的规划和措施；</w:t>
      </w:r>
    </w:p>
    <w:p w14:paraId="0317AFC4">
      <w:pPr>
        <w:spacing w:before="149" w:line="228" w:lineRule="auto"/>
        <w:ind w:left="955"/>
        <w:rPr>
          <w:rFonts w:ascii="宋体" w:hAnsi="宋体" w:eastAsia="宋体" w:cs="宋体"/>
          <w:sz w:val="20"/>
          <w:szCs w:val="20"/>
        </w:rPr>
      </w:pPr>
      <w:r>
        <w:rPr>
          <w:rFonts w:ascii="宋体" w:hAnsi="宋体" w:eastAsia="宋体" w:cs="宋体"/>
          <w:spacing w:val="5"/>
          <w:sz w:val="20"/>
          <w:szCs w:val="20"/>
        </w:rPr>
        <w:t>（13）其他：</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3C9490B8">
      <w:pPr>
        <w:spacing w:before="149" w:line="348" w:lineRule="auto"/>
        <w:ind w:left="944" w:right="90" w:hanging="943"/>
        <w:rPr>
          <w:rFonts w:ascii="宋体" w:hAnsi="宋体" w:eastAsia="宋体" w:cs="宋体"/>
          <w:sz w:val="20"/>
          <w:szCs w:val="20"/>
        </w:rPr>
      </w:pPr>
      <w:r>
        <w:rPr>
          <w:rFonts w:ascii="宋体" w:hAnsi="宋体" w:eastAsia="宋体" w:cs="宋体"/>
          <w:spacing w:val="7"/>
          <w:sz w:val="20"/>
          <w:szCs w:val="20"/>
        </w:rPr>
        <w:t>6.9.2    施工环保措施计划应当在专用合同条款第</w:t>
      </w:r>
      <w:r>
        <w:rPr>
          <w:rFonts w:ascii="宋体" w:hAnsi="宋体" w:eastAsia="宋体" w:cs="宋体"/>
          <w:spacing w:val="-36"/>
          <w:sz w:val="20"/>
          <w:szCs w:val="20"/>
        </w:rPr>
        <w:t xml:space="preserve"> </w:t>
      </w:r>
      <w:r>
        <w:rPr>
          <w:rFonts w:ascii="宋体" w:hAnsi="宋体" w:eastAsia="宋体" w:cs="宋体"/>
          <w:spacing w:val="7"/>
          <w:sz w:val="20"/>
          <w:szCs w:val="20"/>
        </w:rPr>
        <w:t>9.4</w:t>
      </w:r>
      <w:r>
        <w:rPr>
          <w:rFonts w:ascii="宋体" w:hAnsi="宋体" w:eastAsia="宋体" w:cs="宋体"/>
          <w:spacing w:val="-40"/>
          <w:sz w:val="20"/>
          <w:szCs w:val="20"/>
        </w:rPr>
        <w:t xml:space="preserve"> </w:t>
      </w:r>
      <w:r>
        <w:rPr>
          <w:rFonts w:ascii="宋体" w:hAnsi="宋体" w:eastAsia="宋体" w:cs="宋体"/>
          <w:spacing w:val="7"/>
          <w:sz w:val="20"/>
          <w:szCs w:val="20"/>
        </w:rPr>
        <w:t>款约定的期</w:t>
      </w:r>
      <w:r>
        <w:rPr>
          <w:rFonts w:ascii="宋体" w:hAnsi="宋体" w:eastAsia="宋体" w:cs="宋体"/>
          <w:spacing w:val="6"/>
          <w:sz w:val="20"/>
          <w:szCs w:val="20"/>
        </w:rPr>
        <w:t>限内报送监理人。承包人应当</w:t>
      </w:r>
      <w:r>
        <w:rPr>
          <w:rFonts w:ascii="宋体" w:hAnsi="宋体" w:eastAsia="宋体" w:cs="宋体"/>
          <w:spacing w:val="8"/>
          <w:sz w:val="20"/>
          <w:szCs w:val="20"/>
        </w:rPr>
        <w:t>严格执行经监理人批准的施工环保措施计划，并及时补充、修订和完善施工环保措施计</w:t>
      </w:r>
      <w:r>
        <w:rPr>
          <w:rFonts w:ascii="宋体" w:hAnsi="宋体" w:eastAsia="宋体" w:cs="宋体"/>
          <w:sz w:val="20"/>
          <w:szCs w:val="20"/>
        </w:rPr>
        <w:t>划。</w:t>
      </w:r>
    </w:p>
    <w:p w14:paraId="48A7B655">
      <w:pPr>
        <w:pStyle w:val="2"/>
        <w:spacing w:line="222" w:lineRule="auto"/>
        <w:ind w:left="1"/>
        <w:outlineLvl w:val="2"/>
        <w:rPr>
          <w:sz w:val="28"/>
          <w:szCs w:val="28"/>
        </w:rPr>
      </w:pPr>
      <w:bookmarkStart w:id="392" w:name="bookmark373"/>
      <w:bookmarkEnd w:id="392"/>
      <w:r>
        <w:rPr>
          <w:rFonts w:ascii="Times New Roman" w:hAnsi="Times New Roman" w:eastAsia="Times New Roman" w:cs="Times New Roman"/>
          <w:spacing w:val="-2"/>
          <w:sz w:val="28"/>
          <w:szCs w:val="28"/>
        </w:rPr>
        <w:t>7.</w:t>
      </w:r>
      <w:r>
        <w:rPr>
          <w:spacing w:val="-2"/>
          <w:sz w:val="28"/>
          <w:szCs w:val="28"/>
        </w:rPr>
        <w:t>治安保卫</w:t>
      </w:r>
    </w:p>
    <w:p w14:paraId="58C6C25D">
      <w:pPr>
        <w:spacing w:before="115" w:line="360" w:lineRule="auto"/>
        <w:ind w:left="945" w:hanging="941"/>
        <w:rPr>
          <w:rFonts w:ascii="宋体" w:hAnsi="宋体" w:eastAsia="宋体" w:cs="宋体"/>
          <w:sz w:val="20"/>
          <w:szCs w:val="20"/>
        </w:rPr>
      </w:pPr>
      <w:r>
        <w:rPr>
          <w:rFonts w:ascii="宋体" w:hAnsi="宋体" w:eastAsia="宋体" w:cs="宋体"/>
          <w:spacing w:val="17"/>
          <w:sz w:val="20"/>
          <w:szCs w:val="20"/>
        </w:rPr>
        <w:t>7.1</w:t>
      </w:r>
      <w:r>
        <w:rPr>
          <w:rFonts w:ascii="宋体" w:hAnsi="宋体" w:eastAsia="宋体" w:cs="宋体"/>
          <w:spacing w:val="9"/>
          <w:sz w:val="20"/>
          <w:szCs w:val="20"/>
        </w:rPr>
        <w:t xml:space="preserve">      </w:t>
      </w:r>
      <w:r>
        <w:rPr>
          <w:rFonts w:ascii="宋体" w:hAnsi="宋体" w:eastAsia="宋体" w:cs="宋体"/>
          <w:spacing w:val="17"/>
          <w:sz w:val="20"/>
          <w:szCs w:val="20"/>
        </w:rPr>
        <w:t>承包人应为施工场地（现场）</w:t>
      </w:r>
      <w:r>
        <w:rPr>
          <w:rFonts w:ascii="宋体" w:hAnsi="宋体" w:eastAsia="宋体" w:cs="宋体"/>
          <w:spacing w:val="-49"/>
          <w:sz w:val="20"/>
          <w:szCs w:val="20"/>
        </w:rPr>
        <w:t xml:space="preserve"> </w:t>
      </w:r>
      <w:r>
        <w:rPr>
          <w:rFonts w:ascii="宋体" w:hAnsi="宋体" w:eastAsia="宋体" w:cs="宋体"/>
          <w:spacing w:val="17"/>
          <w:sz w:val="20"/>
          <w:szCs w:val="20"/>
        </w:rPr>
        <w:t>提供</w:t>
      </w:r>
      <w:r>
        <w:rPr>
          <w:rFonts w:ascii="宋体" w:hAnsi="宋体" w:eastAsia="宋体" w:cs="宋体"/>
          <w:spacing w:val="-17"/>
          <w:sz w:val="20"/>
          <w:szCs w:val="20"/>
        </w:rPr>
        <w:t xml:space="preserve"> </w:t>
      </w:r>
      <w:r>
        <w:rPr>
          <w:rFonts w:ascii="宋体" w:hAnsi="宋体" w:eastAsia="宋体" w:cs="宋体"/>
          <w:spacing w:val="17"/>
          <w:sz w:val="20"/>
          <w:szCs w:val="20"/>
        </w:rPr>
        <w:t>24</w:t>
      </w:r>
      <w:r>
        <w:rPr>
          <w:rFonts w:ascii="宋体" w:hAnsi="宋体" w:eastAsia="宋体" w:cs="宋体"/>
          <w:spacing w:val="-20"/>
          <w:sz w:val="20"/>
          <w:szCs w:val="20"/>
        </w:rPr>
        <w:t xml:space="preserve"> </w:t>
      </w:r>
      <w:r>
        <w:rPr>
          <w:rFonts w:ascii="宋体" w:hAnsi="宋体" w:eastAsia="宋体" w:cs="宋体"/>
          <w:spacing w:val="17"/>
          <w:sz w:val="20"/>
          <w:szCs w:val="20"/>
        </w:rPr>
        <w:t>小时的保安保卫服务</w:t>
      </w:r>
      <w:r>
        <w:rPr>
          <w:rFonts w:ascii="宋体" w:hAnsi="宋体" w:eastAsia="宋体" w:cs="宋体"/>
          <w:spacing w:val="-58"/>
          <w:sz w:val="20"/>
          <w:szCs w:val="20"/>
        </w:rPr>
        <w:t xml:space="preserve"> </w:t>
      </w:r>
      <w:r>
        <w:rPr>
          <w:rFonts w:ascii="宋体" w:hAnsi="宋体" w:eastAsia="宋体" w:cs="宋体"/>
          <w:spacing w:val="17"/>
          <w:sz w:val="20"/>
          <w:szCs w:val="20"/>
        </w:rPr>
        <w:t>，配备足够的保安人员</w:t>
      </w:r>
      <w:r>
        <w:rPr>
          <w:rFonts w:ascii="宋体" w:hAnsi="宋体" w:eastAsia="宋体" w:cs="宋体"/>
          <w:spacing w:val="16"/>
          <w:sz w:val="20"/>
          <w:szCs w:val="20"/>
        </w:rPr>
        <w:t>和保安设备，防止未经批准的任何人进入现场，控制人员、材料和设备等的进出场，</w:t>
      </w:r>
      <w:r>
        <w:rPr>
          <w:rFonts w:ascii="宋体" w:hAnsi="宋体" w:eastAsia="宋体" w:cs="宋体"/>
          <w:spacing w:val="21"/>
          <w:sz w:val="20"/>
          <w:szCs w:val="20"/>
        </w:rPr>
        <w:t>防止现场材料、设备或其他任何物品的失窃，禁止任</w:t>
      </w:r>
      <w:r>
        <w:rPr>
          <w:rFonts w:ascii="宋体" w:hAnsi="宋体" w:eastAsia="宋体" w:cs="宋体"/>
          <w:spacing w:val="20"/>
          <w:sz w:val="20"/>
          <w:szCs w:val="20"/>
        </w:rPr>
        <w:t>何现场内的打架斗殴事件。</w:t>
      </w:r>
    </w:p>
    <w:p w14:paraId="52DF6F8C">
      <w:pPr>
        <w:spacing w:before="1" w:line="360" w:lineRule="auto"/>
        <w:ind w:left="943" w:right="49" w:hanging="939"/>
        <w:rPr>
          <w:rFonts w:ascii="宋体" w:hAnsi="宋体" w:eastAsia="宋体" w:cs="宋体"/>
          <w:sz w:val="20"/>
          <w:szCs w:val="20"/>
        </w:rPr>
      </w:pPr>
      <w:r>
        <w:rPr>
          <w:rFonts w:ascii="宋体" w:hAnsi="宋体" w:eastAsia="宋体" w:cs="宋体"/>
          <w:spacing w:val="8"/>
          <w:sz w:val="20"/>
          <w:szCs w:val="20"/>
        </w:rPr>
        <w:t>7.2      承包人的保安人员应是训练有素的专业保安人员，承包人可以雇佣专业保安公司负责现</w:t>
      </w:r>
      <w:r>
        <w:rPr>
          <w:rFonts w:ascii="宋体" w:hAnsi="宋体" w:eastAsia="宋体" w:cs="宋体"/>
          <w:spacing w:val="9"/>
          <w:sz w:val="20"/>
          <w:szCs w:val="20"/>
        </w:rPr>
        <w:t>场保安和保卫；保安保卫制度除规范现场出入大门控制外，还应规定定时和不定时的施</w:t>
      </w:r>
      <w:r>
        <w:rPr>
          <w:rFonts w:ascii="宋体" w:hAnsi="宋体" w:eastAsia="宋体" w:cs="宋体"/>
          <w:spacing w:val="8"/>
          <w:sz w:val="20"/>
          <w:szCs w:val="20"/>
        </w:rPr>
        <w:t>工场地（现场）周边和全现场的保安巡逻。</w:t>
      </w:r>
    </w:p>
    <w:p w14:paraId="5F948A02">
      <w:pPr>
        <w:spacing w:before="2" w:line="359" w:lineRule="auto"/>
        <w:ind w:left="945" w:right="49" w:hanging="941"/>
        <w:rPr>
          <w:rFonts w:ascii="宋体" w:hAnsi="宋体" w:eastAsia="宋体" w:cs="宋体"/>
          <w:sz w:val="20"/>
          <w:szCs w:val="20"/>
        </w:rPr>
      </w:pPr>
      <w:r>
        <w:rPr>
          <w:rFonts w:ascii="宋体" w:hAnsi="宋体" w:eastAsia="宋体" w:cs="宋体"/>
          <w:spacing w:val="8"/>
          <w:sz w:val="20"/>
          <w:szCs w:val="20"/>
        </w:rPr>
        <w:t>7.3      承包人应制定并实施严格的施工场地（现场）出入制度并报监理人审批；车辆的出入须</w:t>
      </w:r>
      <w:r>
        <w:rPr>
          <w:rFonts w:ascii="宋体" w:hAnsi="宋体" w:eastAsia="宋体" w:cs="宋体"/>
          <w:spacing w:val="9"/>
          <w:sz w:val="20"/>
          <w:szCs w:val="20"/>
        </w:rPr>
        <w:t>有出入审批制度，并有指定的专人负责管理；人员进出现场应有出入证，出入证须以经</w:t>
      </w:r>
      <w:r>
        <w:rPr>
          <w:rFonts w:ascii="宋体" w:hAnsi="宋体" w:eastAsia="宋体" w:cs="宋体"/>
          <w:spacing w:val="8"/>
          <w:sz w:val="20"/>
          <w:szCs w:val="20"/>
        </w:rPr>
        <w:t>过监理人批准的格式印制。</w:t>
      </w:r>
    </w:p>
    <w:p w14:paraId="7979F7A3">
      <w:pPr>
        <w:spacing w:before="3" w:line="360" w:lineRule="auto"/>
        <w:ind w:left="944" w:right="47" w:hanging="940"/>
        <w:rPr>
          <w:rFonts w:ascii="宋体" w:hAnsi="宋体" w:eastAsia="宋体" w:cs="宋体"/>
          <w:sz w:val="20"/>
          <w:szCs w:val="20"/>
        </w:rPr>
      </w:pPr>
      <w:r>
        <w:rPr>
          <w:rFonts w:ascii="宋体" w:hAnsi="宋体" w:eastAsia="宋体" w:cs="宋体"/>
          <w:spacing w:val="8"/>
          <w:sz w:val="20"/>
          <w:szCs w:val="20"/>
        </w:rPr>
        <w:t>7.4      承包人应确保任何未经监理人同意的参观人员进入现场；承包人应准备足够数量的专门</w:t>
      </w:r>
      <w:r>
        <w:rPr>
          <w:rFonts w:ascii="宋体" w:hAnsi="宋体" w:eastAsia="宋体" w:cs="宋体"/>
          <w:spacing w:val="9"/>
          <w:sz w:val="20"/>
          <w:szCs w:val="20"/>
        </w:rPr>
        <w:t>用于参观人员的安全帽并带明显标志，承包人同时应准备一个参观人员登记簿用于记录所有参观现场人员的姓名、参观目的和参观时间等内容；承包人应确保每个参观现场的人员了解和遵守现场的安全管理规章制度，佩带安全帽，确保所有经发包人和监理人批</w:t>
      </w:r>
      <w:r>
        <w:rPr>
          <w:rFonts w:ascii="宋体" w:hAnsi="宋体" w:eastAsia="宋体" w:cs="宋体"/>
          <w:spacing w:val="8"/>
          <w:sz w:val="20"/>
          <w:szCs w:val="20"/>
        </w:rPr>
        <w:t>准的参观人员的人身安全。</w:t>
      </w:r>
    </w:p>
    <w:p w14:paraId="380A1D49">
      <w:pPr>
        <w:spacing w:line="360" w:lineRule="auto"/>
        <w:rPr>
          <w:rFonts w:ascii="宋体" w:hAnsi="宋体" w:eastAsia="宋体" w:cs="宋体"/>
          <w:sz w:val="20"/>
          <w:szCs w:val="20"/>
        </w:rPr>
        <w:sectPr>
          <w:footerReference r:id="rId491" w:type="default"/>
          <w:pgSz w:w="11907" w:h="16840"/>
          <w:pgMar w:top="400" w:right="1484" w:bottom="1247" w:left="1481" w:header="0" w:footer="1085" w:gutter="0"/>
          <w:cols w:space="720" w:num="1"/>
        </w:sectPr>
      </w:pPr>
    </w:p>
    <w:p w14:paraId="291244FA">
      <w:pPr>
        <w:spacing w:line="271" w:lineRule="auto"/>
        <w:rPr>
          <w:rFonts w:ascii="Arial"/>
          <w:sz w:val="21"/>
        </w:rPr>
      </w:pPr>
    </w:p>
    <w:p w14:paraId="48C52F07">
      <w:pPr>
        <w:spacing w:line="272" w:lineRule="auto"/>
        <w:rPr>
          <w:rFonts w:ascii="Arial"/>
          <w:sz w:val="21"/>
        </w:rPr>
      </w:pPr>
    </w:p>
    <w:p w14:paraId="72DB022F">
      <w:pPr>
        <w:spacing w:line="272" w:lineRule="auto"/>
        <w:rPr>
          <w:rFonts w:ascii="Arial"/>
          <w:sz w:val="21"/>
        </w:rPr>
      </w:pPr>
    </w:p>
    <w:p w14:paraId="44FD8CEB">
      <w:pPr>
        <w:spacing w:line="272" w:lineRule="auto"/>
        <w:rPr>
          <w:rFonts w:ascii="Arial"/>
          <w:sz w:val="21"/>
        </w:rPr>
      </w:pPr>
    </w:p>
    <w:p w14:paraId="5FE24678">
      <w:pPr>
        <w:spacing w:line="272" w:lineRule="auto"/>
        <w:rPr>
          <w:rFonts w:ascii="Arial"/>
          <w:sz w:val="21"/>
        </w:rPr>
      </w:pPr>
    </w:p>
    <w:p w14:paraId="4B6A5701">
      <w:pPr>
        <w:spacing w:before="65" w:line="360" w:lineRule="auto"/>
        <w:ind w:left="947" w:hanging="943"/>
        <w:rPr>
          <w:rFonts w:ascii="宋体" w:hAnsi="宋体" w:eastAsia="宋体" w:cs="宋体"/>
          <w:sz w:val="20"/>
          <w:szCs w:val="20"/>
        </w:rPr>
      </w:pPr>
      <w:r>
        <w:rPr>
          <w:rFonts w:ascii="宋体" w:hAnsi="宋体" w:eastAsia="宋体" w:cs="宋体"/>
          <w:spacing w:val="8"/>
          <w:sz w:val="20"/>
          <w:szCs w:val="20"/>
        </w:rPr>
        <w:t>7.5      承包人应为施工场地（现场）提供和维护符合建设行政主管部门和市容管理部门规定的</w:t>
      </w:r>
      <w:r>
        <w:rPr>
          <w:rFonts w:ascii="宋体" w:hAnsi="宋体" w:eastAsia="宋体" w:cs="宋体"/>
          <w:spacing w:val="9"/>
          <w:sz w:val="20"/>
          <w:szCs w:val="20"/>
        </w:rPr>
        <w:t>临时围墙和其他安全维护，并在工程进度需要时，进行必要的改造。围墙和大门的表面维护应考虑定期的修补和重新刷漆，并应保证所有的乱涂乱画或招贴广告随时被清理。临时围墙和出入大门考虑必要的照明，照明系统要满足现场安全保卫和美观的要求。</w:t>
      </w:r>
    </w:p>
    <w:p w14:paraId="2DA73085">
      <w:pPr>
        <w:spacing w:line="360" w:lineRule="auto"/>
        <w:ind w:left="944" w:hanging="940"/>
        <w:rPr>
          <w:rFonts w:ascii="宋体" w:hAnsi="宋体" w:eastAsia="宋体" w:cs="宋体"/>
          <w:sz w:val="20"/>
          <w:szCs w:val="20"/>
        </w:rPr>
      </w:pPr>
      <w:r>
        <w:rPr>
          <w:rFonts w:ascii="宋体" w:hAnsi="宋体" w:eastAsia="宋体" w:cs="宋体"/>
          <w:spacing w:val="8"/>
          <w:sz w:val="20"/>
          <w:szCs w:val="20"/>
        </w:rPr>
        <w:t>7.6      承包人应当保证发包人支付的工程款项仅用于本合同目的，及时和足额地向所雇佣的人</w:t>
      </w:r>
      <w:r>
        <w:rPr>
          <w:rFonts w:ascii="宋体" w:hAnsi="宋体" w:eastAsia="宋体" w:cs="宋体"/>
          <w:spacing w:val="9"/>
          <w:sz w:val="20"/>
          <w:szCs w:val="20"/>
        </w:rPr>
        <w:t>员支付劳动报酬，并制定严格的工人工资支付保障措施，确保所有分包人及时支付所雇</w:t>
      </w:r>
      <w:r>
        <w:rPr>
          <w:rFonts w:ascii="宋体" w:hAnsi="宋体" w:eastAsia="宋体" w:cs="宋体"/>
          <w:spacing w:val="4"/>
          <w:sz w:val="20"/>
          <w:szCs w:val="20"/>
        </w:rPr>
        <w:t>佣工人的工资，有效防止影响社会安定的群体事件发生，并保障发包</w:t>
      </w:r>
      <w:r>
        <w:rPr>
          <w:rFonts w:ascii="宋体" w:hAnsi="宋体" w:eastAsia="宋体" w:cs="宋体"/>
          <w:spacing w:val="3"/>
          <w:sz w:val="20"/>
          <w:szCs w:val="20"/>
        </w:rPr>
        <w:t>人免于因承包人（包</w:t>
      </w:r>
      <w:r>
        <w:rPr>
          <w:rFonts w:ascii="宋体" w:hAnsi="宋体" w:eastAsia="宋体" w:cs="宋体"/>
          <w:spacing w:val="9"/>
          <w:sz w:val="20"/>
          <w:szCs w:val="20"/>
        </w:rPr>
        <w:t>括其分包人）拖欠工人工资而可能遭受的任何处罚、索赔、损失和损害等。</w:t>
      </w:r>
    </w:p>
    <w:p w14:paraId="66B416C4">
      <w:pPr>
        <w:spacing w:line="227" w:lineRule="auto"/>
        <w:ind w:left="4"/>
        <w:rPr>
          <w:rFonts w:ascii="宋体" w:hAnsi="宋体" w:eastAsia="宋体" w:cs="宋体"/>
          <w:sz w:val="20"/>
          <w:szCs w:val="20"/>
        </w:rPr>
      </w:pPr>
      <w:r>
        <w:rPr>
          <w:rFonts w:ascii="宋体" w:hAnsi="宋体" w:eastAsia="宋体" w:cs="宋体"/>
          <w:spacing w:val="7"/>
          <w:sz w:val="20"/>
          <w:szCs w:val="20"/>
        </w:rPr>
        <w:t>7.7      施工场地（现场）治安管理计划的要求：</w:t>
      </w:r>
    </w:p>
    <w:p w14:paraId="3E9C0924">
      <w:pPr>
        <w:spacing w:line="254" w:lineRule="auto"/>
        <w:rPr>
          <w:rFonts w:ascii="Arial"/>
          <w:sz w:val="21"/>
        </w:rPr>
      </w:pPr>
    </w:p>
    <w:p w14:paraId="55AE4816">
      <w:pPr>
        <w:tabs>
          <w:tab w:val="left" w:pos="8180"/>
        </w:tabs>
        <w:spacing w:before="23" w:line="173" w:lineRule="auto"/>
        <w:ind w:left="93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1CB0DBC">
      <w:pPr>
        <w:spacing w:before="188" w:line="228" w:lineRule="auto"/>
        <w:ind w:left="4"/>
        <w:rPr>
          <w:rFonts w:ascii="宋体" w:hAnsi="宋体" w:eastAsia="宋体" w:cs="宋体"/>
          <w:sz w:val="20"/>
          <w:szCs w:val="20"/>
        </w:rPr>
      </w:pPr>
      <w:r>
        <w:rPr>
          <w:rFonts w:ascii="宋体" w:hAnsi="宋体" w:eastAsia="宋体" w:cs="宋体"/>
          <w:spacing w:val="7"/>
          <w:sz w:val="20"/>
          <w:szCs w:val="20"/>
        </w:rPr>
        <w:t>7.8      突发治安事件紧急预案的要求：</w:t>
      </w:r>
    </w:p>
    <w:p w14:paraId="045E65F3">
      <w:pPr>
        <w:spacing w:line="254" w:lineRule="auto"/>
        <w:rPr>
          <w:rFonts w:ascii="Arial"/>
          <w:sz w:val="21"/>
        </w:rPr>
      </w:pPr>
    </w:p>
    <w:p w14:paraId="7AB58827">
      <w:pPr>
        <w:tabs>
          <w:tab w:val="left" w:pos="8180"/>
        </w:tabs>
        <w:spacing w:before="23" w:line="173" w:lineRule="auto"/>
        <w:ind w:left="93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B6368FF">
      <w:pPr>
        <w:spacing w:before="189" w:line="228" w:lineRule="auto"/>
        <w:ind w:left="4"/>
        <w:rPr>
          <w:rFonts w:ascii="宋体" w:hAnsi="宋体" w:eastAsia="宋体" w:cs="宋体"/>
          <w:sz w:val="20"/>
          <w:szCs w:val="20"/>
        </w:rPr>
      </w:pPr>
      <w:r>
        <w:rPr>
          <w:rFonts w:ascii="宋体" w:hAnsi="宋体" w:eastAsia="宋体" w:cs="宋体"/>
          <w:spacing w:val="7"/>
          <w:sz w:val="20"/>
          <w:szCs w:val="20"/>
        </w:rPr>
        <w:t>7.9      治安保卫方面的其他要求如下：</w:t>
      </w:r>
    </w:p>
    <w:p w14:paraId="6604A320">
      <w:pPr>
        <w:tabs>
          <w:tab w:val="left" w:pos="8180"/>
        </w:tabs>
        <w:spacing w:before="149"/>
        <w:ind w:left="936"/>
        <w:rPr>
          <w:rFonts w:ascii="Arial"/>
          <w:sz w:val="21"/>
        </w:rPr>
      </w:pPr>
      <w:r>
        <w:rPr>
          <w:rFonts w:ascii="Arial" w:hAnsi="Arial" w:eastAsia="Arial" w:cs="Arial"/>
          <w:sz w:val="21"/>
          <w:szCs w:val="21"/>
          <w:u w:val="single" w:color="auto"/>
        </w:rPr>
        <w:tab/>
      </w:r>
    </w:p>
    <w:p w14:paraId="33453895">
      <w:pPr>
        <w:spacing w:before="277" w:line="45" w:lineRule="exact"/>
        <w:ind w:left="8210"/>
        <w:rPr>
          <w:rFonts w:ascii="宋体" w:hAnsi="宋体" w:eastAsia="宋体" w:cs="宋体"/>
          <w:sz w:val="20"/>
          <w:szCs w:val="20"/>
        </w:rPr>
      </w:pPr>
      <w:r>
        <w:pict>
          <v:shape id="_x0000_s1123" o:spid="_x0000_s1123" o:spt="202" type="#_x0000_t202" style="position:absolute;left:0pt;margin-left:-0.55pt;margin-top:6.45pt;height:35.45pt;width:410.7pt;z-index:251765760;mso-width-relative:page;mso-height-relative:page;" filled="f" stroked="f" coordsize="21600,21600">
            <v:path/>
            <v:fill on="f" focussize="0,0"/>
            <v:stroke on="f"/>
            <v:imagedata o:title=""/>
            <o:lock v:ext="edit" aspectratio="f"/>
            <v:textbox inset="0mm,0mm,0mm,0mm">
              <w:txbxContent>
                <w:p w14:paraId="34D0EFC7">
                  <w:pPr>
                    <w:tabs>
                      <w:tab w:val="left" w:pos="8192"/>
                    </w:tabs>
                    <w:spacing w:before="19"/>
                    <w:ind w:left="948"/>
                    <w:rPr>
                      <w:rFonts w:ascii="Arial"/>
                      <w:sz w:val="21"/>
                    </w:rPr>
                  </w:pPr>
                  <w:r>
                    <w:rPr>
                      <w:rFonts w:ascii="Arial" w:hAnsi="Arial" w:eastAsia="Arial" w:cs="Arial"/>
                      <w:sz w:val="21"/>
                      <w:szCs w:val="21"/>
                      <w:u w:val="single" w:color="auto"/>
                    </w:rPr>
                    <w:tab/>
                  </w:r>
                </w:p>
                <w:p w14:paraId="68246842">
                  <w:pPr>
                    <w:pStyle w:val="2"/>
                    <w:spacing w:before="90" w:line="222" w:lineRule="auto"/>
                    <w:ind w:left="20"/>
                    <w:outlineLvl w:val="2"/>
                    <w:rPr>
                      <w:sz w:val="28"/>
                      <w:szCs w:val="28"/>
                    </w:rPr>
                  </w:pPr>
                  <w:bookmarkStart w:id="466" w:name="bookmark374"/>
                  <w:bookmarkEnd w:id="466"/>
                  <w:r>
                    <w:rPr>
                      <w:rFonts w:ascii="Times New Roman" w:hAnsi="Times New Roman" w:eastAsia="Times New Roman" w:cs="Times New Roman"/>
                      <w:spacing w:val="-1"/>
                      <w:sz w:val="28"/>
                      <w:szCs w:val="28"/>
                    </w:rPr>
                    <w:t>8.</w:t>
                  </w:r>
                  <w:r>
                    <w:rPr>
                      <w:spacing w:val="-1"/>
                      <w:sz w:val="28"/>
                      <w:szCs w:val="28"/>
                    </w:rPr>
                    <w:t>地上、地下设施和周边建筑物的临时保护</w:t>
                  </w:r>
                </w:p>
              </w:txbxContent>
            </v:textbox>
          </v:shape>
        </w:pict>
      </w:r>
      <w:r>
        <w:rPr>
          <w:rFonts w:ascii="宋体" w:hAnsi="宋体" w:eastAsia="宋体" w:cs="宋体"/>
          <w:position w:val="-1"/>
          <w:sz w:val="20"/>
          <w:szCs w:val="20"/>
        </w:rPr>
        <w:t>。</w:t>
      </w:r>
    </w:p>
    <w:p w14:paraId="5A72EC54">
      <w:pPr>
        <w:spacing w:line="270" w:lineRule="auto"/>
        <w:rPr>
          <w:rFonts w:ascii="Arial"/>
          <w:sz w:val="21"/>
        </w:rPr>
      </w:pPr>
    </w:p>
    <w:p w14:paraId="59EA4250">
      <w:pPr>
        <w:spacing w:line="271" w:lineRule="auto"/>
        <w:rPr>
          <w:rFonts w:ascii="Arial"/>
          <w:sz w:val="21"/>
        </w:rPr>
      </w:pPr>
    </w:p>
    <w:p w14:paraId="501FD46A">
      <w:pPr>
        <w:spacing w:before="66" w:line="362" w:lineRule="auto"/>
        <w:ind w:left="943" w:hanging="943"/>
        <w:rPr>
          <w:rFonts w:ascii="宋体" w:hAnsi="宋体" w:eastAsia="宋体" w:cs="宋体"/>
          <w:sz w:val="20"/>
          <w:szCs w:val="20"/>
        </w:rPr>
      </w:pPr>
      <w:r>
        <w:rPr>
          <w:rFonts w:ascii="宋体" w:hAnsi="宋体" w:eastAsia="宋体" w:cs="宋体"/>
          <w:spacing w:val="13"/>
          <w:sz w:val="20"/>
          <w:szCs w:val="20"/>
        </w:rPr>
        <w:t>8.1      承包人应为施工场地及其周边现有的地上、地下设施和建筑物提供足</w:t>
      </w:r>
      <w:r>
        <w:rPr>
          <w:rFonts w:ascii="宋体" w:hAnsi="宋体" w:eastAsia="宋体" w:cs="宋体"/>
          <w:spacing w:val="12"/>
          <w:sz w:val="20"/>
          <w:szCs w:val="20"/>
        </w:rPr>
        <w:t>够的临时保护设</w:t>
      </w:r>
      <w:r>
        <w:rPr>
          <w:rFonts w:ascii="宋体" w:hAnsi="宋体" w:eastAsia="宋体" w:cs="宋体"/>
          <w:spacing w:val="9"/>
          <w:sz w:val="20"/>
          <w:szCs w:val="20"/>
        </w:rPr>
        <w:t>施，确保施工过程中这些设施和建筑物不会受到干扰和破坏。</w:t>
      </w:r>
    </w:p>
    <w:p w14:paraId="64692208">
      <w:pPr>
        <w:spacing w:before="5" w:line="367" w:lineRule="auto"/>
        <w:ind w:left="944" w:hanging="944"/>
        <w:rPr>
          <w:rFonts w:ascii="宋体" w:hAnsi="宋体" w:eastAsia="宋体" w:cs="宋体"/>
          <w:sz w:val="20"/>
          <w:szCs w:val="20"/>
        </w:rPr>
      </w:pPr>
      <w:r>
        <w:rPr>
          <w:rFonts w:ascii="宋体" w:hAnsi="宋体" w:eastAsia="宋体" w:cs="宋体"/>
          <w:spacing w:val="9"/>
          <w:sz w:val="20"/>
          <w:szCs w:val="20"/>
        </w:rPr>
        <w:t>8.2      承包人应当制订现有设</w:t>
      </w:r>
      <w:r>
        <w:rPr>
          <w:rFonts w:ascii="宋体" w:hAnsi="宋体" w:eastAsia="宋体" w:cs="宋体"/>
          <w:spacing w:val="8"/>
          <w:sz w:val="20"/>
          <w:szCs w:val="20"/>
        </w:rPr>
        <w:t>施临时保护方案和应急处理方案，并在本工程开工前至少提前</w:t>
      </w:r>
      <w:r>
        <w:rPr>
          <w:rFonts w:ascii="宋体" w:hAnsi="宋体" w:eastAsia="宋体" w:cs="宋体"/>
          <w:spacing w:val="-34"/>
          <w:sz w:val="20"/>
          <w:szCs w:val="20"/>
        </w:rPr>
        <w:t xml:space="preserve"> </w:t>
      </w:r>
      <w:r>
        <w:rPr>
          <w:rFonts w:ascii="宋体" w:hAnsi="宋体" w:eastAsia="宋体" w:cs="宋体"/>
          <w:spacing w:val="8"/>
          <w:sz w:val="20"/>
          <w:szCs w:val="20"/>
        </w:rPr>
        <w:t>7天报送监理人，监理人应在收到现有设施临时保护方案后的</w:t>
      </w:r>
      <w:r>
        <w:rPr>
          <w:rFonts w:ascii="宋体" w:hAnsi="宋体" w:eastAsia="宋体" w:cs="宋体"/>
          <w:spacing w:val="-21"/>
          <w:sz w:val="20"/>
          <w:szCs w:val="20"/>
        </w:rPr>
        <w:t xml:space="preserve"> </w:t>
      </w:r>
      <w:r>
        <w:rPr>
          <w:rFonts w:ascii="宋体" w:hAnsi="宋体" w:eastAsia="宋体" w:cs="宋体"/>
          <w:spacing w:val="8"/>
          <w:sz w:val="20"/>
          <w:szCs w:val="20"/>
        </w:rPr>
        <w:t>3</w:t>
      </w:r>
      <w:r>
        <w:rPr>
          <w:rFonts w:ascii="宋体" w:hAnsi="宋体" w:eastAsia="宋体" w:cs="宋体"/>
          <w:spacing w:val="-36"/>
          <w:sz w:val="20"/>
          <w:szCs w:val="20"/>
        </w:rPr>
        <w:t xml:space="preserve"> </w:t>
      </w:r>
      <w:r>
        <w:rPr>
          <w:rFonts w:ascii="宋体" w:hAnsi="宋体" w:eastAsia="宋体" w:cs="宋体"/>
          <w:spacing w:val="8"/>
          <w:sz w:val="20"/>
          <w:szCs w:val="20"/>
        </w:rPr>
        <w:t>天内批复承包人。承包人</w:t>
      </w:r>
      <w:r>
        <w:rPr>
          <w:rFonts w:ascii="宋体" w:hAnsi="宋体" w:eastAsia="宋体" w:cs="宋体"/>
          <w:spacing w:val="9"/>
          <w:sz w:val="20"/>
          <w:szCs w:val="20"/>
        </w:rPr>
        <w:t>应当严格执行经监理人批准的保护方案，并保证在任何可能影响周边现有的地上、地下设施或周边建筑物的施工作业开始前，相应的临时保护设施能够落实到位。</w:t>
      </w:r>
    </w:p>
    <w:p w14:paraId="4C573B23">
      <w:pPr>
        <w:spacing w:before="1" w:line="227" w:lineRule="auto"/>
        <w:rPr>
          <w:rFonts w:ascii="宋体" w:hAnsi="宋体" w:eastAsia="宋体" w:cs="宋体"/>
          <w:sz w:val="20"/>
          <w:szCs w:val="20"/>
        </w:rPr>
      </w:pPr>
      <w:r>
        <w:rPr>
          <w:rFonts w:ascii="宋体" w:hAnsi="宋体" w:eastAsia="宋体" w:cs="宋体"/>
          <w:spacing w:val="8"/>
          <w:sz w:val="20"/>
          <w:szCs w:val="20"/>
        </w:rPr>
        <w:t>8.3      发包人特别提醒承包人注意以下地上、地下设施和周边建筑物的保护：</w:t>
      </w:r>
    </w:p>
    <w:p w14:paraId="3FEA1189">
      <w:pPr>
        <w:tabs>
          <w:tab w:val="left" w:pos="8180"/>
        </w:tabs>
        <w:spacing w:before="149" w:line="367" w:lineRule="auto"/>
        <w:ind w:left="936" w:right="711"/>
        <w:rPr>
          <w:rFonts w:ascii="Arial" w:hAnsi="Arial" w:eastAsia="Arial" w:cs="Arial"/>
          <w:sz w:val="21"/>
          <w:szCs w:val="21"/>
        </w:rPr>
      </w:pP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p>
    <w:p w14:paraId="6CC1FBE5">
      <w:pPr>
        <w:tabs>
          <w:tab w:val="left" w:pos="8180"/>
        </w:tabs>
        <w:spacing w:before="42"/>
        <w:ind w:left="936"/>
        <w:rPr>
          <w:rFonts w:ascii="Arial"/>
          <w:sz w:val="21"/>
        </w:rPr>
      </w:pPr>
      <w:r>
        <w:rPr>
          <w:rFonts w:ascii="Arial" w:hAnsi="Arial" w:eastAsia="Arial" w:cs="Arial"/>
          <w:sz w:val="21"/>
          <w:szCs w:val="21"/>
          <w:u w:val="single" w:color="auto"/>
        </w:rPr>
        <w:tab/>
      </w:r>
    </w:p>
    <w:p w14:paraId="6225CA89">
      <w:pPr>
        <w:spacing w:line="252" w:lineRule="auto"/>
        <w:rPr>
          <w:rFonts w:ascii="Arial"/>
          <w:sz w:val="21"/>
        </w:rPr>
      </w:pPr>
    </w:p>
    <w:p w14:paraId="33553432">
      <w:pPr>
        <w:tabs>
          <w:tab w:val="left" w:pos="8180"/>
        </w:tabs>
        <w:spacing w:before="24" w:line="173" w:lineRule="auto"/>
        <w:ind w:left="93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77810A1">
      <w:pPr>
        <w:spacing w:before="190" w:line="228" w:lineRule="auto"/>
        <w:rPr>
          <w:rFonts w:ascii="宋体" w:hAnsi="宋体" w:eastAsia="宋体" w:cs="宋体"/>
          <w:sz w:val="20"/>
          <w:szCs w:val="20"/>
        </w:rPr>
      </w:pPr>
      <w:r>
        <w:rPr>
          <w:rFonts w:ascii="宋体" w:hAnsi="宋体" w:eastAsia="宋体" w:cs="宋体"/>
          <w:spacing w:val="8"/>
          <w:sz w:val="20"/>
          <w:szCs w:val="20"/>
        </w:rPr>
        <w:t>8.4     地上、地下设施和周边建筑物的临时保护的其他要求如下</w:t>
      </w:r>
    </w:p>
    <w:p w14:paraId="5BE02444">
      <w:pPr>
        <w:spacing w:line="320" w:lineRule="auto"/>
        <w:rPr>
          <w:rFonts w:ascii="Arial"/>
          <w:sz w:val="21"/>
        </w:rPr>
      </w:pPr>
    </w:p>
    <w:p w14:paraId="1716A9D1">
      <w:pPr>
        <w:spacing w:line="321" w:lineRule="auto"/>
        <w:rPr>
          <w:rFonts w:ascii="Arial"/>
          <w:sz w:val="21"/>
        </w:rPr>
      </w:pPr>
      <w:r>
        <w:pict>
          <v:shape id="_x0000_s1124" o:spid="_x0000_s1124" style="position:absolute;left:0pt;margin-left:47.05pt;margin-top:1.05pt;height:0.5pt;width:362.25pt;z-index:251766784;mso-width-relative:page;mso-height-relative:page;" filled="f" stroked="t" coordsize="7245,10" path="m0,4l7245,4e">
            <v:fill on="f" focussize="0,0"/>
            <v:stroke weight="0.48pt" color="#000000" miterlimit="2" joinstyle="bevel"/>
            <v:imagedata o:title=""/>
            <o:lock v:ext="edit"/>
          </v:shape>
        </w:pict>
      </w:r>
    </w:p>
    <w:p w14:paraId="1B7B6E68">
      <w:pPr>
        <w:tabs>
          <w:tab w:val="left" w:pos="8180"/>
        </w:tabs>
        <w:spacing w:before="23" w:line="173" w:lineRule="auto"/>
        <w:ind w:left="93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01618F9">
      <w:pPr>
        <w:pStyle w:val="2"/>
        <w:spacing w:before="137" w:line="223" w:lineRule="auto"/>
        <w:ind w:left="2"/>
        <w:outlineLvl w:val="2"/>
        <w:rPr>
          <w:sz w:val="28"/>
          <w:szCs w:val="28"/>
        </w:rPr>
      </w:pPr>
      <w:bookmarkStart w:id="393" w:name="bookmark375"/>
      <w:bookmarkEnd w:id="393"/>
      <w:r>
        <w:rPr>
          <w:rFonts w:ascii="Times New Roman" w:hAnsi="Times New Roman" w:eastAsia="Times New Roman" w:cs="Times New Roman"/>
          <w:spacing w:val="-2"/>
          <w:sz w:val="28"/>
          <w:szCs w:val="28"/>
        </w:rPr>
        <w:t>9.</w:t>
      </w:r>
      <w:r>
        <w:rPr>
          <w:spacing w:val="-2"/>
          <w:sz w:val="28"/>
          <w:szCs w:val="28"/>
        </w:rPr>
        <w:t>样品和材料代换</w:t>
      </w:r>
    </w:p>
    <w:p w14:paraId="68957D8B">
      <w:pPr>
        <w:spacing w:before="121" w:line="228" w:lineRule="auto"/>
        <w:rPr>
          <w:rFonts w:ascii="宋体" w:hAnsi="宋体" w:eastAsia="宋体" w:cs="宋体"/>
          <w:sz w:val="20"/>
          <w:szCs w:val="20"/>
        </w:rPr>
      </w:pPr>
      <w:r>
        <w:rPr>
          <w:rFonts w:ascii="宋体" w:hAnsi="宋体" w:eastAsia="宋体" w:cs="宋体"/>
          <w:spacing w:val="3"/>
          <w:sz w:val="20"/>
          <w:szCs w:val="20"/>
        </w:rPr>
        <w:t>9.1</w:t>
      </w:r>
      <w:r>
        <w:rPr>
          <w:rFonts w:ascii="宋体" w:hAnsi="宋体" w:eastAsia="宋体" w:cs="宋体"/>
          <w:spacing w:val="6"/>
          <w:sz w:val="20"/>
          <w:szCs w:val="20"/>
        </w:rPr>
        <w:t xml:space="preserve">      </w:t>
      </w:r>
      <w:r>
        <w:rPr>
          <w:rFonts w:ascii="宋体" w:hAnsi="宋体" w:eastAsia="宋体" w:cs="宋体"/>
          <w:spacing w:val="3"/>
          <w:sz w:val="20"/>
          <w:szCs w:val="20"/>
        </w:rPr>
        <w:t>样品</w:t>
      </w:r>
    </w:p>
    <w:p w14:paraId="4C7CED0D">
      <w:pPr>
        <w:spacing w:before="154" w:line="227" w:lineRule="auto"/>
        <w:rPr>
          <w:rFonts w:ascii="宋体" w:hAnsi="宋体" w:eastAsia="宋体" w:cs="宋体"/>
          <w:sz w:val="20"/>
          <w:szCs w:val="20"/>
        </w:rPr>
      </w:pPr>
      <w:r>
        <w:rPr>
          <w:rFonts w:ascii="宋体" w:hAnsi="宋体" w:eastAsia="宋体" w:cs="宋体"/>
          <w:spacing w:val="8"/>
          <w:sz w:val="20"/>
          <w:szCs w:val="20"/>
        </w:rPr>
        <w:t>9.1.1    本工程需要承包人提供样品的材料和工程设备</w:t>
      </w:r>
      <w:r>
        <w:rPr>
          <w:rFonts w:ascii="宋体" w:hAnsi="宋体" w:eastAsia="宋体" w:cs="宋体"/>
          <w:spacing w:val="7"/>
          <w:sz w:val="20"/>
          <w:szCs w:val="20"/>
        </w:rPr>
        <w:t>如下：</w:t>
      </w:r>
    </w:p>
    <w:p w14:paraId="1EF73CD2">
      <w:pPr>
        <w:tabs>
          <w:tab w:val="left" w:pos="8180"/>
        </w:tabs>
        <w:spacing w:before="240"/>
        <w:ind w:left="936"/>
        <w:rPr>
          <w:rFonts w:ascii="Arial"/>
          <w:sz w:val="21"/>
        </w:rPr>
      </w:pPr>
      <w:r>
        <w:rPr>
          <w:rFonts w:ascii="Arial" w:hAnsi="Arial" w:eastAsia="Arial" w:cs="Arial"/>
          <w:sz w:val="21"/>
          <w:szCs w:val="21"/>
          <w:u w:val="single" w:color="auto"/>
        </w:rPr>
        <w:tab/>
      </w:r>
    </w:p>
    <w:p w14:paraId="4E1AD9D4">
      <w:pPr>
        <w:rPr>
          <w:rFonts w:ascii="Arial" w:hAnsi="Arial" w:eastAsia="Arial" w:cs="Arial"/>
          <w:sz w:val="21"/>
          <w:szCs w:val="21"/>
        </w:rPr>
        <w:sectPr>
          <w:footerReference r:id="rId492" w:type="default"/>
          <w:pgSz w:w="11907" w:h="16840"/>
          <w:pgMar w:top="400" w:right="1531" w:bottom="1247" w:left="1482" w:header="0" w:footer="1085" w:gutter="0"/>
          <w:cols w:space="720" w:num="1"/>
        </w:sectPr>
      </w:pPr>
    </w:p>
    <w:p w14:paraId="1EFB98B8">
      <w:pPr>
        <w:spacing w:before="67" w:line="360" w:lineRule="auto"/>
        <w:ind w:left="949" w:right="70" w:hanging="943"/>
        <w:rPr>
          <w:rFonts w:ascii="宋体" w:hAnsi="宋体" w:eastAsia="宋体" w:cs="宋体"/>
          <w:sz w:val="20"/>
          <w:szCs w:val="20"/>
        </w:rPr>
      </w:pPr>
      <w:r>
        <w:rPr>
          <w:rFonts w:ascii="宋体" w:hAnsi="宋体" w:eastAsia="宋体" w:cs="宋体"/>
          <w:spacing w:val="8"/>
          <w:sz w:val="20"/>
          <w:szCs w:val="20"/>
        </w:rPr>
        <w:t>9.1.2    对于本款第9.1.1</w:t>
      </w:r>
      <w:r>
        <w:rPr>
          <w:rFonts w:ascii="宋体" w:hAnsi="宋体" w:eastAsia="宋体" w:cs="宋体"/>
          <w:spacing w:val="-35"/>
          <w:sz w:val="20"/>
          <w:szCs w:val="20"/>
        </w:rPr>
        <w:t xml:space="preserve"> </w:t>
      </w:r>
      <w:r>
        <w:rPr>
          <w:rFonts w:ascii="宋体" w:hAnsi="宋体" w:eastAsia="宋体" w:cs="宋体"/>
          <w:spacing w:val="8"/>
          <w:sz w:val="20"/>
          <w:szCs w:val="20"/>
        </w:rPr>
        <w:t>项约定的材料和工程设备，承包人应按</w:t>
      </w:r>
      <w:r>
        <w:rPr>
          <w:rFonts w:ascii="宋体" w:hAnsi="宋体" w:eastAsia="宋体" w:cs="宋体"/>
          <w:spacing w:val="7"/>
          <w:sz w:val="20"/>
          <w:szCs w:val="20"/>
        </w:rPr>
        <w:t>照专用合同条款第</w:t>
      </w:r>
      <w:r>
        <w:rPr>
          <w:rFonts w:ascii="宋体" w:hAnsi="宋体" w:eastAsia="宋体" w:cs="宋体"/>
          <w:spacing w:val="-35"/>
          <w:sz w:val="20"/>
          <w:szCs w:val="20"/>
        </w:rPr>
        <w:t xml:space="preserve"> </w:t>
      </w:r>
      <w:r>
        <w:rPr>
          <w:rFonts w:ascii="宋体" w:hAnsi="宋体" w:eastAsia="宋体" w:cs="宋体"/>
          <w:spacing w:val="7"/>
          <w:sz w:val="20"/>
          <w:szCs w:val="20"/>
        </w:rPr>
        <w:t>5.1.2</w:t>
      </w:r>
      <w:r>
        <w:rPr>
          <w:rFonts w:ascii="宋体" w:hAnsi="宋体" w:eastAsia="宋体" w:cs="宋体"/>
          <w:spacing w:val="-34"/>
          <w:sz w:val="20"/>
          <w:szCs w:val="20"/>
        </w:rPr>
        <w:t xml:space="preserve"> </w:t>
      </w:r>
      <w:r>
        <w:rPr>
          <w:rFonts w:ascii="宋体" w:hAnsi="宋体" w:eastAsia="宋体" w:cs="宋体"/>
          <w:spacing w:val="7"/>
          <w:sz w:val="20"/>
          <w:szCs w:val="20"/>
        </w:rPr>
        <w:t>项约</w:t>
      </w:r>
      <w:r>
        <w:rPr>
          <w:rFonts w:ascii="宋体" w:hAnsi="宋体" w:eastAsia="宋体" w:cs="宋体"/>
          <w:spacing w:val="9"/>
          <w:sz w:val="20"/>
          <w:szCs w:val="20"/>
        </w:rPr>
        <w:t>定的期限，向监理人提交样品并附上任何必要的说明书、生产（制造）许可证书、出厂合格证明或者证书、出厂检测报告、性能介绍、使用说明等相关资料，同时注明材料和工程设备的供货人及品种、规格、数量和供货时间等，以供检验和审批。样品送达的地点和样品的数量或尺寸应符合监理人和发包人的要求。除合同另有约定外，承包人在报送任何样品时应按监理人同意的格式填写并递交样品报送单。监理人应</w:t>
      </w:r>
      <w:r>
        <w:rPr>
          <w:rFonts w:ascii="宋体" w:hAnsi="宋体" w:eastAsia="宋体" w:cs="宋体"/>
          <w:spacing w:val="8"/>
          <w:sz w:val="20"/>
          <w:szCs w:val="20"/>
        </w:rPr>
        <w:t>及时签收样品。</w:t>
      </w:r>
    </w:p>
    <w:p w14:paraId="4B712419">
      <w:pPr>
        <w:spacing w:line="360" w:lineRule="auto"/>
        <w:ind w:left="950" w:right="73" w:hanging="944"/>
        <w:rPr>
          <w:rFonts w:ascii="宋体" w:hAnsi="宋体" w:eastAsia="宋体" w:cs="宋体"/>
          <w:sz w:val="20"/>
          <w:szCs w:val="20"/>
        </w:rPr>
      </w:pPr>
      <w:r>
        <w:rPr>
          <w:rFonts w:ascii="宋体" w:hAnsi="宋体" w:eastAsia="宋体" w:cs="宋体"/>
          <w:spacing w:val="9"/>
          <w:sz w:val="20"/>
          <w:szCs w:val="20"/>
        </w:rPr>
        <w:t>9.1.3    合同条款第</w:t>
      </w:r>
      <w:r>
        <w:rPr>
          <w:rFonts w:ascii="宋体" w:hAnsi="宋体" w:eastAsia="宋体" w:cs="宋体"/>
          <w:spacing w:val="-18"/>
          <w:sz w:val="20"/>
          <w:szCs w:val="20"/>
        </w:rPr>
        <w:t xml:space="preserve"> </w:t>
      </w:r>
      <w:r>
        <w:rPr>
          <w:rFonts w:ascii="宋体" w:hAnsi="宋体" w:eastAsia="宋体" w:cs="宋体"/>
          <w:spacing w:val="9"/>
          <w:sz w:val="20"/>
          <w:szCs w:val="20"/>
        </w:rPr>
        <w:t>15.8.2</w:t>
      </w:r>
      <w:r>
        <w:rPr>
          <w:rFonts w:ascii="宋体" w:hAnsi="宋体" w:eastAsia="宋体" w:cs="宋体"/>
          <w:spacing w:val="-34"/>
          <w:sz w:val="20"/>
          <w:szCs w:val="20"/>
        </w:rPr>
        <w:t xml:space="preserve"> </w:t>
      </w:r>
      <w:r>
        <w:rPr>
          <w:rFonts w:ascii="宋体" w:hAnsi="宋体" w:eastAsia="宋体" w:cs="宋体"/>
          <w:spacing w:val="9"/>
          <w:sz w:val="20"/>
          <w:szCs w:val="20"/>
        </w:rPr>
        <w:t>项约定的依法不需要招标的、以暂估价形式包括在工程量清单中的</w:t>
      </w:r>
      <w:r>
        <w:rPr>
          <w:rFonts w:ascii="宋体" w:hAnsi="宋体" w:eastAsia="宋体" w:cs="宋体"/>
          <w:spacing w:val="10"/>
          <w:sz w:val="20"/>
          <w:szCs w:val="20"/>
        </w:rPr>
        <w:t>材料和工程设备，所附资料除本款第9.1</w:t>
      </w:r>
      <w:r>
        <w:rPr>
          <w:rFonts w:ascii="宋体" w:hAnsi="宋体" w:eastAsia="宋体" w:cs="宋体"/>
          <w:spacing w:val="9"/>
          <w:sz w:val="20"/>
          <w:szCs w:val="20"/>
        </w:rPr>
        <w:t>.2</w:t>
      </w:r>
      <w:r>
        <w:rPr>
          <w:rFonts w:ascii="宋体" w:hAnsi="宋体" w:eastAsia="宋体" w:cs="宋体"/>
          <w:spacing w:val="-35"/>
          <w:sz w:val="20"/>
          <w:szCs w:val="20"/>
        </w:rPr>
        <w:t xml:space="preserve"> </w:t>
      </w:r>
      <w:r>
        <w:rPr>
          <w:rFonts w:ascii="宋体" w:hAnsi="宋体" w:eastAsia="宋体" w:cs="宋体"/>
          <w:spacing w:val="9"/>
          <w:sz w:val="20"/>
          <w:szCs w:val="20"/>
        </w:rPr>
        <w:t>项约定的内容外，还应附上价格资料，每一类材料设备，至少应准备符合合同要求的三个产品，价格分高、中、低三档，以便监理</w:t>
      </w:r>
      <w:r>
        <w:rPr>
          <w:rFonts w:ascii="宋体" w:hAnsi="宋体" w:eastAsia="宋体" w:cs="宋体"/>
          <w:spacing w:val="8"/>
          <w:sz w:val="20"/>
          <w:szCs w:val="20"/>
        </w:rPr>
        <w:t>人和发包人选择和批准。</w:t>
      </w:r>
    </w:p>
    <w:p w14:paraId="30C505BB">
      <w:pPr>
        <w:spacing w:before="3" w:line="360" w:lineRule="auto"/>
        <w:ind w:left="949" w:hanging="943"/>
        <w:rPr>
          <w:rFonts w:ascii="宋体" w:hAnsi="宋体" w:eastAsia="宋体" w:cs="宋体"/>
          <w:sz w:val="20"/>
          <w:szCs w:val="20"/>
        </w:rPr>
      </w:pPr>
      <w:r>
        <w:rPr>
          <w:rFonts w:ascii="宋体" w:hAnsi="宋体" w:eastAsia="宋体" w:cs="宋体"/>
          <w:spacing w:val="9"/>
          <w:sz w:val="20"/>
          <w:szCs w:val="20"/>
        </w:rPr>
        <w:t>9.1.4    监理人应在收到承包人报送的样品</w:t>
      </w:r>
      <w:r>
        <w:rPr>
          <w:rFonts w:ascii="宋体" w:hAnsi="宋体" w:eastAsia="宋体" w:cs="宋体"/>
          <w:spacing w:val="8"/>
          <w:sz w:val="20"/>
          <w:szCs w:val="20"/>
        </w:rPr>
        <w:t>后</w:t>
      </w:r>
      <w:r>
        <w:rPr>
          <w:rFonts w:ascii="宋体" w:hAnsi="宋体" w:eastAsia="宋体" w:cs="宋体"/>
          <w:spacing w:val="-31"/>
          <w:sz w:val="20"/>
          <w:szCs w:val="20"/>
        </w:rPr>
        <w:t xml:space="preserve"> </w:t>
      </w:r>
      <w:r>
        <w:rPr>
          <w:rFonts w:ascii="宋体" w:hAnsi="宋体" w:eastAsia="宋体" w:cs="宋体"/>
          <w:spacing w:val="8"/>
          <w:sz w:val="20"/>
          <w:szCs w:val="20"/>
        </w:rPr>
        <w:t>7</w:t>
      </w:r>
      <w:r>
        <w:rPr>
          <w:rFonts w:ascii="宋体" w:hAnsi="宋体" w:eastAsia="宋体" w:cs="宋体"/>
          <w:spacing w:val="-36"/>
          <w:sz w:val="20"/>
          <w:szCs w:val="20"/>
        </w:rPr>
        <w:t xml:space="preserve"> </w:t>
      </w:r>
      <w:r>
        <w:rPr>
          <w:rFonts w:ascii="宋体" w:hAnsi="宋体" w:eastAsia="宋体" w:cs="宋体"/>
          <w:spacing w:val="8"/>
          <w:sz w:val="20"/>
          <w:szCs w:val="20"/>
        </w:rPr>
        <w:t>天内转呈发包人并附上监理人的书面审批意见。</w:t>
      </w:r>
      <w:r>
        <w:rPr>
          <w:rFonts w:ascii="宋体" w:hAnsi="宋体" w:eastAsia="宋体" w:cs="宋体"/>
          <w:spacing w:val="9"/>
          <w:sz w:val="20"/>
          <w:szCs w:val="20"/>
        </w:rPr>
        <w:t>发包人在收到通过监理人转交的样品以及监理人的审批意见后</w:t>
      </w:r>
      <w:r>
        <w:rPr>
          <w:rFonts w:ascii="宋体" w:hAnsi="宋体" w:eastAsia="宋体" w:cs="宋体"/>
          <w:spacing w:val="-46"/>
          <w:sz w:val="20"/>
          <w:szCs w:val="20"/>
        </w:rPr>
        <w:t xml:space="preserve"> </w:t>
      </w:r>
      <w:r>
        <w:rPr>
          <w:rFonts w:ascii="宋体" w:hAnsi="宋体" w:eastAsia="宋体" w:cs="宋体"/>
          <w:spacing w:val="9"/>
          <w:sz w:val="20"/>
          <w:szCs w:val="20"/>
        </w:rPr>
        <w:t>7</w:t>
      </w:r>
      <w:r>
        <w:rPr>
          <w:rFonts w:ascii="宋体" w:hAnsi="宋体" w:eastAsia="宋体" w:cs="宋体"/>
          <w:spacing w:val="-46"/>
          <w:sz w:val="20"/>
          <w:szCs w:val="20"/>
        </w:rPr>
        <w:t xml:space="preserve"> </w:t>
      </w:r>
      <w:r>
        <w:rPr>
          <w:rFonts w:ascii="宋体" w:hAnsi="宋体" w:eastAsia="宋体" w:cs="宋体"/>
          <w:spacing w:val="9"/>
          <w:sz w:val="20"/>
          <w:szCs w:val="20"/>
        </w:rPr>
        <w:t>天内就此样</w:t>
      </w:r>
      <w:r>
        <w:rPr>
          <w:rFonts w:ascii="宋体" w:hAnsi="宋体" w:eastAsia="宋体" w:cs="宋体"/>
          <w:spacing w:val="8"/>
          <w:sz w:val="20"/>
          <w:szCs w:val="20"/>
        </w:rPr>
        <w:t>品给出书面</w:t>
      </w:r>
      <w:r>
        <w:rPr>
          <w:rFonts w:ascii="宋体" w:hAnsi="宋体" w:eastAsia="宋体" w:cs="宋体"/>
          <w:spacing w:val="11"/>
          <w:sz w:val="20"/>
          <w:szCs w:val="20"/>
        </w:rPr>
        <w:t>批复。监理人应在收到样品后</w:t>
      </w:r>
      <w:r>
        <w:rPr>
          <w:rFonts w:ascii="宋体" w:hAnsi="宋体" w:eastAsia="宋体" w:cs="宋体"/>
          <w:spacing w:val="-32"/>
          <w:sz w:val="20"/>
          <w:szCs w:val="20"/>
        </w:rPr>
        <w:t xml:space="preserve"> </w:t>
      </w:r>
      <w:r>
        <w:rPr>
          <w:rFonts w:ascii="宋体" w:hAnsi="宋体" w:eastAsia="宋体" w:cs="宋体"/>
          <w:spacing w:val="11"/>
          <w:sz w:val="20"/>
          <w:szCs w:val="20"/>
        </w:rPr>
        <w:t>21</w:t>
      </w:r>
      <w:r>
        <w:rPr>
          <w:rFonts w:ascii="宋体" w:hAnsi="宋体" w:eastAsia="宋体" w:cs="宋体"/>
          <w:spacing w:val="-34"/>
          <w:sz w:val="20"/>
          <w:szCs w:val="20"/>
        </w:rPr>
        <w:t xml:space="preserve"> </w:t>
      </w:r>
      <w:r>
        <w:rPr>
          <w:rFonts w:ascii="宋体" w:hAnsi="宋体" w:eastAsia="宋体" w:cs="宋体"/>
          <w:spacing w:val="11"/>
          <w:sz w:val="20"/>
          <w:szCs w:val="20"/>
        </w:rPr>
        <w:t>天内通知承包人他相关样品所做出的</w:t>
      </w:r>
      <w:r>
        <w:rPr>
          <w:rFonts w:ascii="宋体" w:hAnsi="宋体" w:eastAsia="宋体" w:cs="宋体"/>
          <w:spacing w:val="10"/>
          <w:sz w:val="20"/>
          <w:szCs w:val="20"/>
        </w:rPr>
        <w:t>决定或指示（同</w:t>
      </w:r>
      <w:r>
        <w:rPr>
          <w:rFonts w:ascii="宋体" w:hAnsi="宋体" w:eastAsia="宋体" w:cs="宋体"/>
          <w:spacing w:val="6"/>
          <w:sz w:val="20"/>
          <w:szCs w:val="20"/>
        </w:rPr>
        <w:t>时抄送一份给发包人）。承包人应根据监理人的书面</w:t>
      </w:r>
      <w:r>
        <w:rPr>
          <w:rFonts w:ascii="宋体" w:hAnsi="宋体" w:eastAsia="宋体" w:cs="宋体"/>
          <w:spacing w:val="5"/>
          <w:sz w:val="20"/>
          <w:szCs w:val="20"/>
        </w:rPr>
        <w:t>批复和指示相应地进行下一步工作。</w:t>
      </w:r>
      <w:r>
        <w:rPr>
          <w:rFonts w:ascii="宋体" w:hAnsi="宋体" w:eastAsia="宋体" w:cs="宋体"/>
          <w:spacing w:val="7"/>
          <w:sz w:val="20"/>
          <w:szCs w:val="20"/>
        </w:rPr>
        <w:t>如果监理人未能在承包人报送样品后</w:t>
      </w:r>
      <w:r>
        <w:rPr>
          <w:rFonts w:ascii="宋体" w:hAnsi="宋体" w:eastAsia="宋体" w:cs="宋体"/>
          <w:spacing w:val="-19"/>
          <w:sz w:val="20"/>
          <w:szCs w:val="20"/>
        </w:rPr>
        <w:t xml:space="preserve"> </w:t>
      </w:r>
      <w:r>
        <w:rPr>
          <w:rFonts w:ascii="宋体" w:hAnsi="宋体" w:eastAsia="宋体" w:cs="宋体"/>
          <w:spacing w:val="7"/>
          <w:sz w:val="20"/>
          <w:szCs w:val="20"/>
        </w:rPr>
        <w:t>21</w:t>
      </w:r>
      <w:r>
        <w:rPr>
          <w:rFonts w:ascii="宋体" w:hAnsi="宋体" w:eastAsia="宋体" w:cs="宋体"/>
          <w:spacing w:val="-36"/>
          <w:sz w:val="20"/>
          <w:szCs w:val="20"/>
        </w:rPr>
        <w:t xml:space="preserve"> </w:t>
      </w:r>
      <w:r>
        <w:rPr>
          <w:rFonts w:ascii="宋体" w:hAnsi="宋体" w:eastAsia="宋体" w:cs="宋体"/>
          <w:spacing w:val="7"/>
          <w:sz w:val="20"/>
          <w:szCs w:val="20"/>
        </w:rPr>
        <w:t>天内给出书面批复，承包人应就此通知监理人，</w:t>
      </w:r>
      <w:r>
        <w:rPr>
          <w:rFonts w:ascii="宋体" w:hAnsi="宋体" w:eastAsia="宋体" w:cs="宋体"/>
          <w:spacing w:val="8"/>
          <w:sz w:val="20"/>
          <w:szCs w:val="20"/>
        </w:rPr>
        <w:t>要求尽快批复。如果发包人在收到此类通知后</w:t>
      </w:r>
      <w:r>
        <w:rPr>
          <w:rFonts w:ascii="宋体" w:hAnsi="宋体" w:eastAsia="宋体" w:cs="宋体"/>
          <w:spacing w:val="-20"/>
          <w:sz w:val="20"/>
          <w:szCs w:val="20"/>
        </w:rPr>
        <w:t xml:space="preserve"> </w:t>
      </w:r>
      <w:r>
        <w:rPr>
          <w:rFonts w:ascii="宋体" w:hAnsi="宋体" w:eastAsia="宋体" w:cs="宋体"/>
          <w:spacing w:val="8"/>
          <w:sz w:val="20"/>
          <w:szCs w:val="20"/>
        </w:rPr>
        <w:t>7</w:t>
      </w:r>
      <w:r>
        <w:rPr>
          <w:rFonts w:ascii="宋体" w:hAnsi="宋体" w:eastAsia="宋体" w:cs="宋体"/>
          <w:spacing w:val="-37"/>
          <w:sz w:val="20"/>
          <w:szCs w:val="20"/>
        </w:rPr>
        <w:t xml:space="preserve"> </w:t>
      </w:r>
      <w:r>
        <w:rPr>
          <w:rFonts w:ascii="宋体" w:hAnsi="宋体" w:eastAsia="宋体" w:cs="宋体"/>
          <w:spacing w:val="8"/>
          <w:sz w:val="20"/>
          <w:szCs w:val="20"/>
        </w:rPr>
        <w:t>天内仍未对样品进行批复，则视为监理人和发包人已经批准。</w:t>
      </w:r>
    </w:p>
    <w:p w14:paraId="6F1C8430">
      <w:pPr>
        <w:spacing w:before="7" w:line="374" w:lineRule="auto"/>
        <w:ind w:left="951" w:right="70" w:hanging="945"/>
        <w:rPr>
          <w:rFonts w:ascii="宋体" w:hAnsi="宋体" w:eastAsia="宋体" w:cs="宋体"/>
          <w:sz w:val="20"/>
          <w:szCs w:val="20"/>
        </w:rPr>
      </w:pPr>
      <w:r>
        <w:rPr>
          <w:rFonts w:ascii="宋体" w:hAnsi="宋体" w:eastAsia="宋体" w:cs="宋体"/>
          <w:spacing w:val="8"/>
          <w:sz w:val="20"/>
          <w:szCs w:val="20"/>
        </w:rPr>
        <w:t>9.1.5    得到批准后的样品由监理人负责存放。但承包人应为保存样品提供适当和固定的场所并保持适当和良好的环境条件。</w:t>
      </w:r>
    </w:p>
    <w:p w14:paraId="5C2BC907">
      <w:pPr>
        <w:spacing w:before="1" w:line="226" w:lineRule="auto"/>
        <w:ind w:left="6"/>
        <w:rPr>
          <w:rFonts w:ascii="宋体" w:hAnsi="宋体" w:eastAsia="宋体" w:cs="宋体"/>
          <w:sz w:val="20"/>
          <w:szCs w:val="20"/>
        </w:rPr>
      </w:pPr>
      <w:r>
        <w:rPr>
          <w:rFonts w:ascii="宋体" w:hAnsi="宋体" w:eastAsia="宋体" w:cs="宋体"/>
          <w:spacing w:val="8"/>
          <w:sz w:val="20"/>
          <w:szCs w:val="20"/>
        </w:rPr>
        <w:t>9.1.6    提供样品和提供存放样品场所的费用由承包人</w:t>
      </w:r>
      <w:r>
        <w:rPr>
          <w:rFonts w:ascii="宋体" w:hAnsi="宋体" w:eastAsia="宋体" w:cs="宋体"/>
          <w:spacing w:val="7"/>
          <w:sz w:val="20"/>
          <w:szCs w:val="20"/>
        </w:rPr>
        <w:t>承担。</w:t>
      </w:r>
    </w:p>
    <w:p w14:paraId="4DE6DC08">
      <w:pPr>
        <w:pStyle w:val="2"/>
        <w:spacing w:before="255" w:line="222" w:lineRule="auto"/>
        <w:rPr>
          <w:sz w:val="24"/>
          <w:szCs w:val="24"/>
        </w:rPr>
      </w:pPr>
      <w:r>
        <w:rPr>
          <w:spacing w:val="-1"/>
          <w:sz w:val="24"/>
          <w:szCs w:val="24"/>
        </w:rPr>
        <w:t>9.2     材料代换</w:t>
      </w:r>
    </w:p>
    <w:p w14:paraId="1BAD2D35">
      <w:pPr>
        <w:spacing w:before="265" w:line="374" w:lineRule="auto"/>
        <w:ind w:left="952" w:right="70" w:hanging="946"/>
        <w:rPr>
          <w:rFonts w:ascii="宋体" w:hAnsi="宋体" w:eastAsia="宋体" w:cs="宋体"/>
          <w:sz w:val="20"/>
          <w:szCs w:val="20"/>
        </w:rPr>
      </w:pPr>
      <w:r>
        <w:rPr>
          <w:rFonts w:ascii="宋体" w:hAnsi="宋体" w:eastAsia="宋体" w:cs="宋体"/>
          <w:spacing w:val="8"/>
          <w:sz w:val="20"/>
          <w:szCs w:val="20"/>
        </w:rPr>
        <w:t>9.2.1    如果任何后继法律、法规、规章、规范、标准和规程等等禁止使用合同中约定的材料和</w:t>
      </w:r>
      <w:r>
        <w:rPr>
          <w:rFonts w:ascii="宋体" w:hAnsi="宋体" w:eastAsia="宋体" w:cs="宋体"/>
          <w:spacing w:val="9"/>
          <w:sz w:val="20"/>
          <w:szCs w:val="20"/>
        </w:rPr>
        <w:t>工程设备，承包人应当按本款约定的程序使用其他替代品来实施工程或修补缺陷。监理</w:t>
      </w:r>
      <w:r>
        <w:rPr>
          <w:rFonts w:ascii="宋体" w:hAnsi="宋体" w:eastAsia="宋体" w:cs="宋体"/>
          <w:spacing w:val="15"/>
          <w:sz w:val="20"/>
          <w:szCs w:val="20"/>
        </w:rPr>
        <w:t>人对使用替代品的批准以及承包人据此使用替代品不应减免合</w:t>
      </w:r>
      <w:r>
        <w:rPr>
          <w:rFonts w:ascii="宋体" w:hAnsi="宋体" w:eastAsia="宋体" w:cs="宋体"/>
          <w:spacing w:val="14"/>
          <w:sz w:val="20"/>
          <w:szCs w:val="20"/>
        </w:rPr>
        <w:t>同约定的承包人的任何</w:t>
      </w:r>
      <w:r>
        <w:rPr>
          <w:rFonts w:ascii="宋体" w:hAnsi="宋体" w:eastAsia="宋体" w:cs="宋体"/>
          <w:spacing w:val="6"/>
          <w:sz w:val="20"/>
          <w:szCs w:val="20"/>
        </w:rPr>
        <w:t>责任和义务。</w:t>
      </w:r>
    </w:p>
    <w:p w14:paraId="7609BF91">
      <w:pPr>
        <w:spacing w:before="2" w:line="375" w:lineRule="auto"/>
        <w:ind w:left="954" w:right="73" w:hanging="948"/>
        <w:rPr>
          <w:rFonts w:ascii="宋体" w:hAnsi="宋体" w:eastAsia="宋体" w:cs="宋体"/>
          <w:sz w:val="20"/>
          <w:szCs w:val="20"/>
        </w:rPr>
      </w:pPr>
      <w:r>
        <w:rPr>
          <w:rFonts w:ascii="宋体" w:hAnsi="宋体" w:eastAsia="宋体" w:cs="宋体"/>
          <w:spacing w:val="10"/>
          <w:sz w:val="20"/>
          <w:szCs w:val="20"/>
        </w:rPr>
        <w:t>9.2.2    如果使用替代品，承包人应至少在被替代品按批准的</w:t>
      </w:r>
      <w:r>
        <w:rPr>
          <w:rFonts w:ascii="宋体" w:hAnsi="宋体" w:eastAsia="宋体" w:cs="宋体"/>
          <w:spacing w:val="9"/>
          <w:sz w:val="20"/>
          <w:szCs w:val="20"/>
        </w:rPr>
        <w:t>进度计划用于永久工程前</w:t>
      </w:r>
      <w:r>
        <w:rPr>
          <w:rFonts w:ascii="宋体" w:hAnsi="宋体" w:eastAsia="宋体" w:cs="宋体"/>
          <w:spacing w:val="-32"/>
          <w:sz w:val="20"/>
          <w:szCs w:val="20"/>
        </w:rPr>
        <w:t xml:space="preserve"> </w:t>
      </w:r>
      <w:r>
        <w:rPr>
          <w:rFonts w:ascii="宋体" w:hAnsi="宋体" w:eastAsia="宋体" w:cs="宋体"/>
          <w:spacing w:val="9"/>
          <w:sz w:val="20"/>
          <w:szCs w:val="20"/>
        </w:rPr>
        <w:t>56</w:t>
      </w:r>
      <w:r>
        <w:rPr>
          <w:rFonts w:ascii="宋体" w:hAnsi="宋体" w:eastAsia="宋体" w:cs="宋体"/>
          <w:spacing w:val="-34"/>
          <w:sz w:val="20"/>
          <w:szCs w:val="20"/>
        </w:rPr>
        <w:t xml:space="preserve"> </w:t>
      </w:r>
      <w:r>
        <w:rPr>
          <w:rFonts w:ascii="宋体" w:hAnsi="宋体" w:eastAsia="宋体" w:cs="宋体"/>
          <w:spacing w:val="9"/>
          <w:sz w:val="20"/>
          <w:szCs w:val="20"/>
        </w:rPr>
        <w:t>天以</w:t>
      </w:r>
      <w:r>
        <w:rPr>
          <w:rFonts w:ascii="宋体" w:hAnsi="宋体" w:eastAsia="宋体" w:cs="宋体"/>
          <w:spacing w:val="8"/>
          <w:sz w:val="20"/>
          <w:szCs w:val="20"/>
        </w:rPr>
        <w:t>书面形式通知监理人并随此通知提交下列文件：</w:t>
      </w:r>
    </w:p>
    <w:p w14:paraId="5D8538D9">
      <w:pPr>
        <w:spacing w:line="374" w:lineRule="auto"/>
        <w:ind w:left="1160" w:right="84" w:hanging="305"/>
        <w:rPr>
          <w:rFonts w:ascii="宋体" w:hAnsi="宋体" w:eastAsia="宋体" w:cs="宋体"/>
          <w:sz w:val="20"/>
          <w:szCs w:val="20"/>
        </w:rPr>
      </w:pPr>
      <w:r>
        <w:rPr>
          <w:rFonts w:ascii="宋体" w:hAnsi="宋体" w:eastAsia="宋体" w:cs="宋体"/>
          <w:spacing w:val="8"/>
          <w:sz w:val="20"/>
          <w:szCs w:val="20"/>
        </w:rPr>
        <w:t>（1）拟被替代的合同约定的材料和工程设备的名称、数量、规格、型号、品牌、性能、价格及其他任何详细资料；</w:t>
      </w:r>
    </w:p>
    <w:p w14:paraId="5AA509EA">
      <w:pPr>
        <w:spacing w:before="1" w:line="374" w:lineRule="auto"/>
        <w:ind w:left="1161" w:right="73" w:hanging="306"/>
        <w:rPr>
          <w:rFonts w:ascii="宋体" w:hAnsi="宋体" w:eastAsia="宋体" w:cs="宋体"/>
          <w:sz w:val="20"/>
          <w:szCs w:val="20"/>
        </w:rPr>
      </w:pPr>
      <w:r>
        <w:rPr>
          <w:rFonts w:ascii="宋体" w:hAnsi="宋体" w:eastAsia="宋体" w:cs="宋体"/>
          <w:spacing w:val="9"/>
          <w:sz w:val="20"/>
          <w:szCs w:val="20"/>
        </w:rPr>
        <w:t>（2）拟采用的替代品的名称、数量、规格、型号、品牌、性能</w:t>
      </w:r>
      <w:r>
        <w:rPr>
          <w:rFonts w:ascii="宋体" w:hAnsi="宋体" w:eastAsia="宋体" w:cs="宋体"/>
          <w:spacing w:val="8"/>
          <w:sz w:val="20"/>
          <w:szCs w:val="20"/>
        </w:rPr>
        <w:t>、价格及其他任何必要的</w:t>
      </w:r>
      <w:r>
        <w:rPr>
          <w:rFonts w:ascii="宋体" w:hAnsi="宋体" w:eastAsia="宋体" w:cs="宋体"/>
          <w:spacing w:val="5"/>
          <w:sz w:val="20"/>
          <w:szCs w:val="20"/>
        </w:rPr>
        <w:t>详细资料；</w:t>
      </w:r>
    </w:p>
    <w:p w14:paraId="5D1E1840">
      <w:pPr>
        <w:spacing w:before="1" w:line="227" w:lineRule="auto"/>
        <w:ind w:left="855"/>
        <w:rPr>
          <w:rFonts w:ascii="宋体" w:hAnsi="宋体" w:eastAsia="宋体" w:cs="宋体"/>
          <w:sz w:val="20"/>
          <w:szCs w:val="20"/>
        </w:rPr>
      </w:pPr>
      <w:r>
        <w:rPr>
          <w:rFonts w:ascii="宋体" w:hAnsi="宋体" w:eastAsia="宋体" w:cs="宋体"/>
          <w:spacing w:val="7"/>
          <w:sz w:val="20"/>
          <w:szCs w:val="20"/>
        </w:rPr>
        <w:t>（3）替代品使用的工程部位；</w:t>
      </w:r>
    </w:p>
    <w:p w14:paraId="2FB5E579">
      <w:pPr>
        <w:spacing w:line="227" w:lineRule="auto"/>
        <w:rPr>
          <w:rFonts w:ascii="宋体" w:hAnsi="宋体" w:eastAsia="宋体" w:cs="宋体"/>
          <w:sz w:val="20"/>
          <w:szCs w:val="20"/>
        </w:rPr>
        <w:sectPr>
          <w:headerReference r:id="rId493" w:type="default"/>
          <w:footerReference r:id="rId494" w:type="default"/>
          <w:pgSz w:w="11907" w:h="16840"/>
          <w:pgMar w:top="2266" w:right="1460" w:bottom="1247" w:left="1476" w:header="1918" w:footer="1085" w:gutter="0"/>
          <w:cols w:space="720" w:num="1"/>
        </w:sectPr>
      </w:pPr>
    </w:p>
    <w:p w14:paraId="6D7A7274">
      <w:pPr>
        <w:spacing w:line="274" w:lineRule="auto"/>
        <w:rPr>
          <w:rFonts w:ascii="Arial"/>
          <w:sz w:val="21"/>
        </w:rPr>
      </w:pPr>
    </w:p>
    <w:p w14:paraId="2ED38DDD">
      <w:pPr>
        <w:spacing w:line="274" w:lineRule="auto"/>
        <w:rPr>
          <w:rFonts w:ascii="Arial"/>
          <w:sz w:val="21"/>
        </w:rPr>
      </w:pPr>
    </w:p>
    <w:p w14:paraId="2537078F">
      <w:pPr>
        <w:spacing w:line="274" w:lineRule="auto"/>
        <w:rPr>
          <w:rFonts w:ascii="Arial"/>
          <w:sz w:val="21"/>
        </w:rPr>
      </w:pPr>
    </w:p>
    <w:p w14:paraId="6A599A87">
      <w:pPr>
        <w:spacing w:line="274" w:lineRule="auto"/>
        <w:rPr>
          <w:rFonts w:ascii="Arial"/>
          <w:sz w:val="21"/>
        </w:rPr>
      </w:pPr>
    </w:p>
    <w:p w14:paraId="7D4945B9">
      <w:pPr>
        <w:spacing w:line="275" w:lineRule="auto"/>
        <w:rPr>
          <w:rFonts w:ascii="Arial"/>
          <w:sz w:val="21"/>
        </w:rPr>
      </w:pPr>
    </w:p>
    <w:p w14:paraId="3512925D">
      <w:pPr>
        <w:spacing w:before="65" w:line="227" w:lineRule="auto"/>
        <w:ind w:left="849"/>
        <w:rPr>
          <w:rFonts w:ascii="宋体" w:hAnsi="宋体" w:eastAsia="宋体" w:cs="宋体"/>
          <w:sz w:val="20"/>
          <w:szCs w:val="20"/>
        </w:rPr>
      </w:pPr>
      <w:r>
        <w:rPr>
          <w:rFonts w:ascii="宋体" w:hAnsi="宋体" w:eastAsia="宋体" w:cs="宋体"/>
          <w:spacing w:val="8"/>
          <w:sz w:val="20"/>
          <w:szCs w:val="20"/>
        </w:rPr>
        <w:t>（4）采用替代品的理由和原因说明；</w:t>
      </w:r>
    </w:p>
    <w:p w14:paraId="750BC32B">
      <w:pPr>
        <w:spacing w:before="158" w:line="376" w:lineRule="auto"/>
        <w:ind w:left="1163" w:right="3" w:hanging="314"/>
        <w:rPr>
          <w:rFonts w:ascii="宋体" w:hAnsi="宋体" w:eastAsia="宋体" w:cs="宋体"/>
          <w:sz w:val="20"/>
          <w:szCs w:val="20"/>
        </w:rPr>
      </w:pPr>
      <w:r>
        <w:rPr>
          <w:rFonts w:ascii="宋体" w:hAnsi="宋体" w:eastAsia="宋体" w:cs="宋体"/>
          <w:spacing w:val="9"/>
          <w:sz w:val="20"/>
          <w:szCs w:val="20"/>
        </w:rPr>
        <w:t>（5）替代品与合同中约定的产品之间的差异以及使用替代品</w:t>
      </w:r>
      <w:r>
        <w:rPr>
          <w:rFonts w:ascii="宋体" w:hAnsi="宋体" w:eastAsia="宋体" w:cs="宋体"/>
          <w:spacing w:val="8"/>
          <w:sz w:val="20"/>
          <w:szCs w:val="20"/>
        </w:rPr>
        <w:t>后可能对工程产生的任何影</w:t>
      </w:r>
      <w:r>
        <w:rPr>
          <w:rFonts w:ascii="宋体" w:hAnsi="宋体" w:eastAsia="宋体" w:cs="宋体"/>
          <w:spacing w:val="-5"/>
          <w:sz w:val="20"/>
          <w:szCs w:val="20"/>
        </w:rPr>
        <w:t>响；</w:t>
      </w:r>
    </w:p>
    <w:p w14:paraId="144F5945">
      <w:pPr>
        <w:spacing w:line="226" w:lineRule="auto"/>
        <w:ind w:left="849"/>
        <w:rPr>
          <w:rFonts w:ascii="宋体" w:hAnsi="宋体" w:eastAsia="宋体" w:cs="宋体"/>
          <w:sz w:val="20"/>
          <w:szCs w:val="20"/>
        </w:rPr>
      </w:pPr>
      <w:r>
        <w:rPr>
          <w:rFonts w:ascii="宋体" w:hAnsi="宋体" w:eastAsia="宋体" w:cs="宋体"/>
          <w:spacing w:val="6"/>
          <w:sz w:val="20"/>
          <w:szCs w:val="20"/>
        </w:rPr>
        <w:t>（6）价格上的差异；</w:t>
      </w:r>
    </w:p>
    <w:p w14:paraId="3C7EEACA">
      <w:pPr>
        <w:spacing w:before="160" w:line="227" w:lineRule="auto"/>
        <w:ind w:left="849"/>
        <w:rPr>
          <w:rFonts w:ascii="宋体" w:hAnsi="宋体" w:eastAsia="宋体" w:cs="宋体"/>
          <w:sz w:val="20"/>
          <w:szCs w:val="20"/>
        </w:rPr>
      </w:pPr>
      <w:r>
        <w:rPr>
          <w:rFonts w:ascii="宋体" w:hAnsi="宋体" w:eastAsia="宋体" w:cs="宋体"/>
          <w:spacing w:val="9"/>
          <w:sz w:val="20"/>
          <w:szCs w:val="20"/>
        </w:rPr>
        <w:t>（7）监理人为做出适当的决定而随时要求承包人提供的任何</w:t>
      </w:r>
      <w:r>
        <w:rPr>
          <w:rFonts w:ascii="宋体" w:hAnsi="宋体" w:eastAsia="宋体" w:cs="宋体"/>
          <w:spacing w:val="8"/>
          <w:sz w:val="20"/>
          <w:szCs w:val="20"/>
        </w:rPr>
        <w:t>其他文件。</w:t>
      </w:r>
    </w:p>
    <w:p w14:paraId="5E9FB6E7">
      <w:pPr>
        <w:spacing w:before="160" w:line="375" w:lineRule="auto"/>
        <w:ind w:left="802" w:firstLine="457"/>
        <w:jc w:val="both"/>
        <w:rPr>
          <w:rFonts w:ascii="宋体" w:hAnsi="宋体" w:eastAsia="宋体" w:cs="宋体"/>
          <w:sz w:val="20"/>
          <w:szCs w:val="20"/>
        </w:rPr>
      </w:pPr>
      <w:r>
        <w:rPr>
          <w:rFonts w:ascii="宋体" w:hAnsi="宋体" w:eastAsia="宋体" w:cs="宋体"/>
          <w:spacing w:val="6"/>
          <w:sz w:val="20"/>
          <w:szCs w:val="20"/>
        </w:rPr>
        <w:t>监理人在收到此类通知及上述文件后，应在</w:t>
      </w:r>
      <w:r>
        <w:rPr>
          <w:rFonts w:ascii="宋体" w:hAnsi="宋体" w:eastAsia="宋体" w:cs="宋体"/>
          <w:spacing w:val="-27"/>
          <w:sz w:val="20"/>
          <w:szCs w:val="20"/>
        </w:rPr>
        <w:t xml:space="preserve"> </w:t>
      </w:r>
      <w:r>
        <w:rPr>
          <w:rFonts w:ascii="宋体" w:hAnsi="宋体" w:eastAsia="宋体" w:cs="宋体"/>
          <w:spacing w:val="6"/>
          <w:sz w:val="20"/>
          <w:szCs w:val="20"/>
        </w:rPr>
        <w:t>28</w:t>
      </w:r>
      <w:r>
        <w:rPr>
          <w:rFonts w:ascii="宋体" w:hAnsi="宋体" w:eastAsia="宋体" w:cs="宋体"/>
          <w:spacing w:val="-34"/>
          <w:sz w:val="20"/>
          <w:szCs w:val="20"/>
        </w:rPr>
        <w:t xml:space="preserve"> </w:t>
      </w:r>
      <w:r>
        <w:rPr>
          <w:rFonts w:ascii="宋体" w:hAnsi="宋体" w:eastAsia="宋体" w:cs="宋体"/>
          <w:spacing w:val="6"/>
          <w:sz w:val="20"/>
          <w:szCs w:val="20"/>
        </w:rPr>
        <w:t>天内向承包人给出书面指示。如果</w:t>
      </w:r>
      <w:r>
        <w:rPr>
          <w:rFonts w:ascii="宋体" w:hAnsi="宋体" w:eastAsia="宋体" w:cs="宋体"/>
          <w:spacing w:val="-35"/>
          <w:sz w:val="20"/>
          <w:szCs w:val="20"/>
        </w:rPr>
        <w:t xml:space="preserve"> </w:t>
      </w:r>
      <w:r>
        <w:rPr>
          <w:rFonts w:ascii="宋体" w:hAnsi="宋体" w:eastAsia="宋体" w:cs="宋体"/>
          <w:spacing w:val="6"/>
          <w:sz w:val="20"/>
          <w:szCs w:val="20"/>
        </w:rPr>
        <w:t>28</w:t>
      </w:r>
      <w:r>
        <w:rPr>
          <w:rFonts w:ascii="宋体" w:hAnsi="宋体" w:eastAsia="宋体" w:cs="宋体"/>
          <w:spacing w:val="7"/>
          <w:sz w:val="20"/>
          <w:szCs w:val="20"/>
        </w:rPr>
        <w:t>天内监理人未给出书面指示，应视为监理人和发包人已经批准使用上述替代品，承包人可以据此使用替代品。</w:t>
      </w:r>
    </w:p>
    <w:p w14:paraId="790ECFF6">
      <w:pPr>
        <w:spacing w:line="226" w:lineRule="auto"/>
        <w:rPr>
          <w:rFonts w:ascii="宋体" w:hAnsi="宋体" w:eastAsia="宋体" w:cs="宋体"/>
          <w:sz w:val="20"/>
          <w:szCs w:val="20"/>
        </w:rPr>
      </w:pPr>
      <w:r>
        <w:rPr>
          <w:rFonts w:ascii="宋体" w:hAnsi="宋体" w:eastAsia="宋体" w:cs="宋体"/>
          <w:spacing w:val="8"/>
          <w:sz w:val="20"/>
          <w:szCs w:val="20"/>
        </w:rPr>
        <w:t>9.2.3    任何情况下，替代品都应遵守本合同中对相关材料和工程设备的要求。</w:t>
      </w:r>
    </w:p>
    <w:p w14:paraId="04CADCF3">
      <w:pPr>
        <w:spacing w:before="161" w:line="374" w:lineRule="auto"/>
        <w:ind w:left="949" w:right="1" w:hanging="949"/>
        <w:rPr>
          <w:rFonts w:ascii="宋体" w:hAnsi="宋体" w:eastAsia="宋体" w:cs="宋体"/>
          <w:sz w:val="20"/>
          <w:szCs w:val="20"/>
        </w:rPr>
      </w:pPr>
      <w:r>
        <w:rPr>
          <w:rFonts w:ascii="宋体" w:hAnsi="宋体" w:eastAsia="宋体" w:cs="宋体"/>
          <w:spacing w:val="8"/>
          <w:sz w:val="20"/>
          <w:szCs w:val="20"/>
        </w:rPr>
        <w:t>9.2.4    如果承包人根据本条约定使用了替代品，监理人应与承包人适当协商之后并在合理的期</w:t>
      </w:r>
      <w:r>
        <w:rPr>
          <w:rFonts w:ascii="宋体" w:hAnsi="宋体" w:eastAsia="宋体" w:cs="宋体"/>
          <w:spacing w:val="15"/>
          <w:sz w:val="20"/>
          <w:szCs w:val="20"/>
        </w:rPr>
        <w:t>限内确定替代材料和工程设备与合同中约定的材料和</w:t>
      </w:r>
      <w:r>
        <w:rPr>
          <w:rFonts w:ascii="宋体" w:hAnsi="宋体" w:eastAsia="宋体" w:cs="宋体"/>
          <w:spacing w:val="14"/>
          <w:sz w:val="20"/>
          <w:szCs w:val="20"/>
        </w:rPr>
        <w:t>工程设备之间的价值差值，并决</w:t>
      </w:r>
      <w:r>
        <w:rPr>
          <w:rFonts w:ascii="宋体" w:hAnsi="宋体" w:eastAsia="宋体" w:cs="宋体"/>
          <w:spacing w:val="-3"/>
          <w:sz w:val="20"/>
          <w:szCs w:val="20"/>
        </w:rPr>
        <w:t>定：</w:t>
      </w:r>
    </w:p>
    <w:p w14:paraId="544E44ED">
      <w:pPr>
        <w:spacing w:line="375" w:lineRule="auto"/>
        <w:ind w:left="1171" w:right="1" w:hanging="322"/>
        <w:rPr>
          <w:rFonts w:ascii="宋体" w:hAnsi="宋体" w:eastAsia="宋体" w:cs="宋体"/>
          <w:sz w:val="20"/>
          <w:szCs w:val="20"/>
        </w:rPr>
      </w:pPr>
      <w:r>
        <w:rPr>
          <w:rFonts w:ascii="宋体" w:hAnsi="宋体" w:eastAsia="宋体" w:cs="宋体"/>
          <w:spacing w:val="9"/>
          <w:sz w:val="20"/>
          <w:szCs w:val="20"/>
        </w:rPr>
        <w:t>（1）如果替代材料和工程设备的价值高于合同中约定的材料和工程</w:t>
      </w:r>
      <w:r>
        <w:rPr>
          <w:rFonts w:ascii="宋体" w:hAnsi="宋体" w:eastAsia="宋体" w:cs="宋体"/>
          <w:spacing w:val="8"/>
          <w:sz w:val="20"/>
          <w:szCs w:val="20"/>
        </w:rPr>
        <w:t>设备的价值，则将高出部分的价值追加到合同价格中并相应地通知承包人；</w:t>
      </w:r>
    </w:p>
    <w:p w14:paraId="49F7673F">
      <w:pPr>
        <w:spacing w:before="1" w:line="345" w:lineRule="auto"/>
        <w:ind w:left="1154" w:right="1" w:hanging="305"/>
        <w:rPr>
          <w:rFonts w:ascii="宋体" w:hAnsi="宋体" w:eastAsia="宋体" w:cs="宋体"/>
          <w:sz w:val="20"/>
          <w:szCs w:val="20"/>
        </w:rPr>
      </w:pPr>
      <w:r>
        <w:rPr>
          <w:rFonts w:ascii="宋体" w:hAnsi="宋体" w:eastAsia="宋体" w:cs="宋体"/>
          <w:spacing w:val="9"/>
          <w:sz w:val="20"/>
          <w:szCs w:val="20"/>
        </w:rPr>
        <w:t>（2）如果替代材料和工程设备的价值低于合同中约定的材料和工程</w:t>
      </w:r>
      <w:r>
        <w:rPr>
          <w:rFonts w:ascii="宋体" w:hAnsi="宋体" w:eastAsia="宋体" w:cs="宋体"/>
          <w:spacing w:val="8"/>
          <w:sz w:val="20"/>
          <w:szCs w:val="20"/>
        </w:rPr>
        <w:t>设备的价值，则将节</w:t>
      </w:r>
      <w:r>
        <w:rPr>
          <w:rFonts w:ascii="宋体" w:hAnsi="宋体" w:eastAsia="宋体" w:cs="宋体"/>
          <w:spacing w:val="9"/>
          <w:sz w:val="20"/>
          <w:szCs w:val="20"/>
        </w:rPr>
        <w:t>余部分的价值从合同价格中扣除并相应地通知承包人。</w:t>
      </w:r>
    </w:p>
    <w:p w14:paraId="4A189FD7">
      <w:pPr>
        <w:pStyle w:val="2"/>
        <w:spacing w:line="222" w:lineRule="auto"/>
        <w:ind w:left="23"/>
        <w:outlineLvl w:val="2"/>
        <w:rPr>
          <w:sz w:val="28"/>
          <w:szCs w:val="28"/>
        </w:rPr>
      </w:pPr>
      <w:bookmarkStart w:id="394" w:name="bookmark376"/>
      <w:bookmarkEnd w:id="394"/>
      <w:r>
        <w:rPr>
          <w:rFonts w:ascii="Times New Roman" w:hAnsi="Times New Roman" w:eastAsia="Times New Roman" w:cs="Times New Roman"/>
          <w:spacing w:val="-3"/>
          <w:sz w:val="28"/>
          <w:szCs w:val="28"/>
        </w:rPr>
        <w:t>10.</w:t>
      </w:r>
      <w:r>
        <w:rPr>
          <w:spacing w:val="-3"/>
          <w:sz w:val="28"/>
          <w:szCs w:val="28"/>
        </w:rPr>
        <w:t>进口材料和工程设备</w:t>
      </w:r>
    </w:p>
    <w:p w14:paraId="723995BE">
      <w:pPr>
        <w:spacing w:before="202" w:line="227" w:lineRule="auto"/>
        <w:ind w:left="14"/>
        <w:rPr>
          <w:rFonts w:ascii="宋体" w:hAnsi="宋体" w:eastAsia="宋体" w:cs="宋体"/>
          <w:sz w:val="20"/>
          <w:szCs w:val="20"/>
        </w:rPr>
      </w:pPr>
      <w:r>
        <w:rPr>
          <w:rFonts w:ascii="宋体" w:hAnsi="宋体" w:eastAsia="宋体" w:cs="宋体"/>
          <w:spacing w:val="7"/>
          <w:sz w:val="20"/>
          <w:szCs w:val="20"/>
        </w:rPr>
        <w:t>10.1    本工程需要进口的材料和工程设备如下：</w:t>
      </w:r>
    </w:p>
    <w:p w14:paraId="1A429C48">
      <w:pPr>
        <w:tabs>
          <w:tab w:val="left" w:pos="8180"/>
        </w:tabs>
        <w:spacing w:before="261"/>
        <w:ind w:left="936"/>
        <w:rPr>
          <w:rFonts w:ascii="Arial"/>
          <w:sz w:val="21"/>
        </w:rPr>
      </w:pPr>
      <w:r>
        <w:rPr>
          <w:rFonts w:ascii="Arial" w:hAnsi="Arial" w:eastAsia="Arial" w:cs="Arial"/>
          <w:sz w:val="21"/>
          <w:szCs w:val="21"/>
          <w:u w:val="single" w:color="auto"/>
        </w:rPr>
        <w:tab/>
      </w:r>
    </w:p>
    <w:p w14:paraId="220B03D2">
      <w:pPr>
        <w:spacing w:line="362" w:lineRule="auto"/>
        <w:rPr>
          <w:rFonts w:ascii="Arial"/>
          <w:sz w:val="21"/>
        </w:rPr>
      </w:pPr>
    </w:p>
    <w:p w14:paraId="7B15FDE8">
      <w:pPr>
        <w:tabs>
          <w:tab w:val="left" w:pos="8180"/>
        </w:tabs>
        <w:spacing w:before="23" w:line="173" w:lineRule="auto"/>
        <w:ind w:left="93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C24B149">
      <w:pPr>
        <w:spacing w:before="300" w:line="464" w:lineRule="auto"/>
        <w:ind w:left="961" w:right="3" w:hanging="947"/>
        <w:rPr>
          <w:rFonts w:ascii="宋体" w:hAnsi="宋体" w:eastAsia="宋体" w:cs="宋体"/>
          <w:sz w:val="20"/>
          <w:szCs w:val="20"/>
        </w:rPr>
      </w:pPr>
      <w:r>
        <w:rPr>
          <w:rFonts w:ascii="宋体" w:hAnsi="宋体" w:eastAsia="宋体" w:cs="宋体"/>
          <w:spacing w:val="6"/>
          <w:sz w:val="20"/>
          <w:szCs w:val="20"/>
        </w:rPr>
        <w:t>10.2    上述进口材料和工程设备采购、进口、报关、清关、商检、境内运输（</w:t>
      </w:r>
      <w:r>
        <w:rPr>
          <w:rFonts w:ascii="宋体" w:hAnsi="宋体" w:eastAsia="宋体" w:cs="宋体"/>
          <w:spacing w:val="5"/>
          <w:sz w:val="20"/>
          <w:szCs w:val="20"/>
        </w:rPr>
        <w:t>包括保险）、保管</w:t>
      </w:r>
      <w:r>
        <w:rPr>
          <w:rFonts w:ascii="宋体" w:hAnsi="宋体" w:eastAsia="宋体" w:cs="宋体"/>
          <w:spacing w:val="7"/>
          <w:sz w:val="20"/>
          <w:szCs w:val="20"/>
        </w:rPr>
        <w:t>的责任以及费用承担方式划分如下：</w:t>
      </w:r>
    </w:p>
    <w:p w14:paraId="0AF5FD25">
      <w:pPr>
        <w:tabs>
          <w:tab w:val="left" w:pos="8180"/>
        </w:tabs>
        <w:ind w:left="936"/>
        <w:rPr>
          <w:rFonts w:ascii="Arial"/>
          <w:sz w:val="21"/>
        </w:rPr>
      </w:pPr>
      <w:r>
        <w:rPr>
          <w:rFonts w:ascii="Arial" w:hAnsi="Arial" w:eastAsia="Arial" w:cs="Arial"/>
          <w:sz w:val="21"/>
          <w:szCs w:val="21"/>
          <w:u w:val="single" w:color="auto"/>
        </w:rPr>
        <w:tab/>
      </w:r>
    </w:p>
    <w:p w14:paraId="3E4E4498">
      <w:pPr>
        <w:spacing w:line="319" w:lineRule="auto"/>
        <w:rPr>
          <w:rFonts w:ascii="Arial"/>
          <w:sz w:val="21"/>
        </w:rPr>
      </w:pPr>
    </w:p>
    <w:p w14:paraId="2F831B3E">
      <w:pPr>
        <w:spacing w:before="66" w:line="46" w:lineRule="exact"/>
        <w:ind w:left="8210"/>
        <w:rPr>
          <w:rFonts w:ascii="宋体" w:hAnsi="宋体" w:eastAsia="宋体" w:cs="宋体"/>
          <w:sz w:val="20"/>
          <w:szCs w:val="20"/>
        </w:rPr>
      </w:pPr>
      <w:r>
        <w:pict>
          <v:shape id="_x0000_s1125" o:spid="_x0000_s1125" o:spt="202" type="#_x0000_t202" style="position:absolute;left:0pt;margin-left:45.8pt;margin-top:-4.05pt;height:14.1pt;width:364.25pt;z-index:251767808;mso-width-relative:page;mso-height-relative:page;" filled="f" stroked="f" coordsize="21600,21600">
            <v:path/>
            <v:fill on="f" focussize="0,0"/>
            <v:stroke on="f"/>
            <v:imagedata o:title=""/>
            <o:lock v:ext="edit" aspectratio="f"/>
            <v:textbox inset="0mm,0mm,0mm,0mm">
              <w:txbxContent>
                <w:p w14:paraId="1E830144">
                  <w:pPr>
                    <w:tabs>
                      <w:tab w:val="left" w:pos="7265"/>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4F73ACEA">
      <w:pPr>
        <w:pStyle w:val="2"/>
        <w:spacing w:before="181" w:line="222" w:lineRule="auto"/>
        <w:ind w:left="23"/>
        <w:outlineLvl w:val="2"/>
        <w:rPr>
          <w:sz w:val="28"/>
          <w:szCs w:val="28"/>
        </w:rPr>
      </w:pPr>
      <w:bookmarkStart w:id="395" w:name="bookmark377"/>
      <w:bookmarkEnd w:id="395"/>
      <w:r>
        <w:rPr>
          <w:rFonts w:ascii="Times New Roman" w:hAnsi="Times New Roman" w:eastAsia="Times New Roman" w:cs="Times New Roman"/>
          <w:spacing w:val="-4"/>
          <w:sz w:val="28"/>
          <w:szCs w:val="28"/>
        </w:rPr>
        <w:t>11.</w:t>
      </w:r>
      <w:r>
        <w:rPr>
          <w:spacing w:val="-4"/>
          <w:sz w:val="28"/>
          <w:szCs w:val="28"/>
        </w:rPr>
        <w:t>进度报告和进度例会</w:t>
      </w:r>
    </w:p>
    <w:p w14:paraId="12181386">
      <w:pPr>
        <w:spacing w:before="128" w:line="226" w:lineRule="auto"/>
        <w:ind w:left="14"/>
        <w:rPr>
          <w:rFonts w:ascii="宋体" w:hAnsi="宋体" w:eastAsia="宋体" w:cs="宋体"/>
          <w:sz w:val="20"/>
          <w:szCs w:val="20"/>
        </w:rPr>
      </w:pPr>
      <w:r>
        <w:rPr>
          <w:rFonts w:ascii="宋体" w:hAnsi="宋体" w:eastAsia="宋体" w:cs="宋体"/>
          <w:spacing w:val="3"/>
          <w:sz w:val="20"/>
          <w:szCs w:val="20"/>
        </w:rPr>
        <w:t>11.1</w:t>
      </w:r>
      <w:r>
        <w:rPr>
          <w:rFonts w:ascii="宋体" w:hAnsi="宋体" w:eastAsia="宋体" w:cs="宋体"/>
          <w:spacing w:val="6"/>
          <w:sz w:val="20"/>
          <w:szCs w:val="20"/>
        </w:rPr>
        <w:t xml:space="preserve">     </w:t>
      </w:r>
      <w:r>
        <w:rPr>
          <w:rFonts w:ascii="宋体" w:hAnsi="宋体" w:eastAsia="宋体" w:cs="宋体"/>
          <w:spacing w:val="3"/>
          <w:sz w:val="20"/>
          <w:szCs w:val="20"/>
        </w:rPr>
        <w:t>进度报告</w:t>
      </w:r>
    </w:p>
    <w:p w14:paraId="1D9B59A4">
      <w:pPr>
        <w:spacing w:before="162" w:line="374" w:lineRule="auto"/>
        <w:ind w:left="942" w:right="1" w:hanging="928"/>
        <w:rPr>
          <w:rFonts w:ascii="宋体" w:hAnsi="宋体" w:eastAsia="宋体" w:cs="宋体"/>
          <w:sz w:val="20"/>
          <w:szCs w:val="20"/>
        </w:rPr>
      </w:pPr>
      <w:r>
        <w:rPr>
          <w:rFonts w:ascii="宋体" w:hAnsi="宋体" w:eastAsia="宋体" w:cs="宋体"/>
          <w:spacing w:val="8"/>
          <w:sz w:val="20"/>
          <w:szCs w:val="20"/>
        </w:rPr>
        <w:t>11.1.1   施工过程中，承包人应向监理人指定的代表呈递一份每日的日进度报表、每周的周</w:t>
      </w:r>
      <w:r>
        <w:rPr>
          <w:rFonts w:ascii="宋体" w:hAnsi="宋体" w:eastAsia="宋体" w:cs="宋体"/>
          <w:spacing w:val="7"/>
          <w:sz w:val="20"/>
          <w:szCs w:val="20"/>
        </w:rPr>
        <w:t>进度</w:t>
      </w:r>
      <w:r>
        <w:rPr>
          <w:rFonts w:ascii="宋体" w:hAnsi="宋体" w:eastAsia="宋体" w:cs="宋体"/>
          <w:spacing w:val="8"/>
          <w:sz w:val="20"/>
          <w:szCs w:val="20"/>
        </w:rPr>
        <w:t>报表和每月的月进度报表。除非监理人同意，</w:t>
      </w:r>
      <w:r>
        <w:rPr>
          <w:rFonts w:ascii="宋体" w:hAnsi="宋体" w:eastAsia="宋体" w:cs="宋体"/>
          <w:spacing w:val="-56"/>
          <w:sz w:val="20"/>
          <w:szCs w:val="20"/>
        </w:rPr>
        <w:t xml:space="preserve"> </w:t>
      </w:r>
      <w:r>
        <w:rPr>
          <w:rFonts w:ascii="宋体" w:hAnsi="宋体" w:eastAsia="宋体" w:cs="宋体"/>
          <w:spacing w:val="8"/>
          <w:sz w:val="20"/>
          <w:szCs w:val="20"/>
        </w:rPr>
        <w:t>日进度报表应在次日上午九点前递交，周进度报表应在次周的周一上午九时前递交，月进度报表应随合同条款第</w:t>
      </w:r>
      <w:r>
        <w:rPr>
          <w:rFonts w:ascii="宋体" w:hAnsi="宋体" w:eastAsia="宋体" w:cs="宋体"/>
          <w:spacing w:val="-19"/>
          <w:sz w:val="20"/>
          <w:szCs w:val="20"/>
        </w:rPr>
        <w:t xml:space="preserve"> </w:t>
      </w:r>
      <w:r>
        <w:rPr>
          <w:rFonts w:ascii="宋体" w:hAnsi="宋体" w:eastAsia="宋体" w:cs="宋体"/>
          <w:spacing w:val="8"/>
          <w:sz w:val="20"/>
          <w:szCs w:val="20"/>
        </w:rPr>
        <w:t>17.3.2</w:t>
      </w:r>
      <w:r>
        <w:rPr>
          <w:rFonts w:ascii="宋体" w:hAnsi="宋体" w:eastAsia="宋体" w:cs="宋体"/>
          <w:spacing w:val="-34"/>
          <w:sz w:val="20"/>
          <w:szCs w:val="20"/>
        </w:rPr>
        <w:t xml:space="preserve"> </w:t>
      </w:r>
      <w:r>
        <w:rPr>
          <w:rFonts w:ascii="宋体" w:hAnsi="宋体" w:eastAsia="宋体" w:cs="宋体"/>
          <w:spacing w:val="8"/>
          <w:sz w:val="20"/>
          <w:szCs w:val="20"/>
        </w:rPr>
        <w:t>项约定的进度付款申请单一并递交。</w:t>
      </w:r>
    </w:p>
    <w:p w14:paraId="5E84F931">
      <w:pPr>
        <w:spacing w:before="1" w:line="227" w:lineRule="auto"/>
        <w:ind w:left="14"/>
        <w:rPr>
          <w:rFonts w:ascii="宋体" w:hAnsi="宋体" w:eastAsia="宋体" w:cs="宋体"/>
          <w:sz w:val="20"/>
          <w:szCs w:val="20"/>
        </w:rPr>
      </w:pPr>
      <w:r>
        <w:rPr>
          <w:rFonts w:ascii="宋体" w:hAnsi="宋体" w:eastAsia="宋体" w:cs="宋体"/>
          <w:spacing w:val="8"/>
          <w:sz w:val="20"/>
          <w:szCs w:val="20"/>
        </w:rPr>
        <w:t>11.1.2   日和周进度报表的内容应至少包括每日在现场工作的技术管理人员数量、各工种技</w:t>
      </w:r>
      <w:r>
        <w:rPr>
          <w:rFonts w:ascii="宋体" w:hAnsi="宋体" w:eastAsia="宋体" w:cs="宋体"/>
          <w:spacing w:val="7"/>
          <w:sz w:val="20"/>
          <w:szCs w:val="20"/>
        </w:rPr>
        <w:t>术工</w:t>
      </w:r>
    </w:p>
    <w:p w14:paraId="19FD23F4">
      <w:pPr>
        <w:spacing w:line="227" w:lineRule="auto"/>
        <w:rPr>
          <w:rFonts w:ascii="宋体" w:hAnsi="宋体" w:eastAsia="宋体" w:cs="宋体"/>
          <w:sz w:val="20"/>
          <w:szCs w:val="20"/>
        </w:rPr>
        <w:sectPr>
          <w:headerReference r:id="rId495" w:type="default"/>
          <w:footerReference r:id="rId496" w:type="default"/>
          <w:pgSz w:w="11907" w:h="16840"/>
          <w:pgMar w:top="400" w:right="1530" w:bottom="1247" w:left="1482" w:header="0" w:footer="1085" w:gutter="0"/>
          <w:cols w:space="720" w:num="1"/>
        </w:sectPr>
      </w:pPr>
    </w:p>
    <w:p w14:paraId="43A1DD10">
      <w:pPr>
        <w:spacing w:line="274" w:lineRule="auto"/>
        <w:rPr>
          <w:rFonts w:ascii="Arial"/>
          <w:sz w:val="21"/>
        </w:rPr>
      </w:pPr>
    </w:p>
    <w:p w14:paraId="1ADB5729">
      <w:pPr>
        <w:spacing w:line="274" w:lineRule="auto"/>
        <w:rPr>
          <w:rFonts w:ascii="Arial"/>
          <w:sz w:val="21"/>
        </w:rPr>
      </w:pPr>
    </w:p>
    <w:p w14:paraId="7D1E45FD">
      <w:pPr>
        <w:spacing w:line="274" w:lineRule="auto"/>
        <w:rPr>
          <w:rFonts w:ascii="Arial"/>
          <w:sz w:val="21"/>
        </w:rPr>
      </w:pPr>
    </w:p>
    <w:p w14:paraId="46A3DE0F">
      <w:pPr>
        <w:spacing w:line="274" w:lineRule="auto"/>
        <w:rPr>
          <w:rFonts w:ascii="Arial"/>
          <w:sz w:val="21"/>
        </w:rPr>
      </w:pPr>
    </w:p>
    <w:p w14:paraId="4D11CB4B">
      <w:pPr>
        <w:spacing w:line="275" w:lineRule="auto"/>
        <w:rPr>
          <w:rFonts w:ascii="Arial"/>
          <w:sz w:val="21"/>
        </w:rPr>
      </w:pPr>
    </w:p>
    <w:p w14:paraId="46DBA8DE">
      <w:pPr>
        <w:spacing w:before="65" w:line="375" w:lineRule="auto"/>
        <w:ind w:left="950" w:right="68" w:firstLine="3"/>
        <w:jc w:val="both"/>
        <w:rPr>
          <w:rFonts w:ascii="宋体" w:hAnsi="宋体" w:eastAsia="宋体" w:cs="宋体"/>
          <w:sz w:val="20"/>
          <w:szCs w:val="20"/>
        </w:rPr>
      </w:pPr>
      <w:r>
        <w:rPr>
          <w:rFonts w:ascii="宋体" w:hAnsi="宋体" w:eastAsia="宋体" w:cs="宋体"/>
          <w:spacing w:val="9"/>
          <w:sz w:val="20"/>
          <w:szCs w:val="20"/>
        </w:rPr>
        <w:t>人和非技术工人数量、后勤人员数量、参观现场的人员数量，包括分包人人员数量；还应包括所使用的各种主要机械设备和车辆的型号、数量和台班，工作的区段，以及工程进度情况、天气情况记录、停工、质量和安全事故等特别事项说明；此外，应附上每日进场材料、物品或设备的分类汇总表、用于次日或次周的工程进度计划等。</w:t>
      </w:r>
    </w:p>
    <w:p w14:paraId="40A5D98C">
      <w:pPr>
        <w:spacing w:before="4" w:line="374" w:lineRule="auto"/>
        <w:ind w:left="951" w:hanging="930"/>
        <w:rPr>
          <w:rFonts w:ascii="宋体" w:hAnsi="宋体" w:eastAsia="宋体" w:cs="宋体"/>
          <w:sz w:val="20"/>
          <w:szCs w:val="20"/>
        </w:rPr>
      </w:pPr>
      <w:r>
        <w:rPr>
          <w:rFonts w:ascii="宋体" w:hAnsi="宋体" w:eastAsia="宋体" w:cs="宋体"/>
          <w:spacing w:val="6"/>
          <w:sz w:val="20"/>
          <w:szCs w:val="20"/>
        </w:rPr>
        <w:t>11.1.3   月进度报表应当反映月完成工程量和累计完成工程量（包括永久工程和临时工程）、材</w:t>
      </w:r>
      <w:r>
        <w:rPr>
          <w:rFonts w:ascii="宋体" w:hAnsi="宋体" w:eastAsia="宋体" w:cs="宋体"/>
          <w:spacing w:val="9"/>
          <w:sz w:val="20"/>
          <w:szCs w:val="20"/>
        </w:rPr>
        <w:t>料实际进货、消耗和库存量、现场施工设备的投运数量和运行状况、工程设备的到货情</w:t>
      </w:r>
      <w:r>
        <w:rPr>
          <w:rFonts w:ascii="宋体" w:hAnsi="宋体" w:eastAsia="宋体" w:cs="宋体"/>
          <w:spacing w:val="7"/>
          <w:sz w:val="20"/>
          <w:szCs w:val="20"/>
        </w:rPr>
        <w:t>况、劳动力数量（本月及预计未来三个月劳动力的数量）、当前影响施工进度计划的因</w:t>
      </w:r>
      <w:r>
        <w:rPr>
          <w:rFonts w:ascii="宋体" w:hAnsi="宋体" w:eastAsia="宋体" w:cs="宋体"/>
          <w:spacing w:val="9"/>
          <w:sz w:val="20"/>
          <w:szCs w:val="20"/>
        </w:rPr>
        <w:t>素和采取的改进措施、进度计划调整及其说明、质量事故和质量缺陷处理纪录、质量状</w:t>
      </w:r>
      <w:r>
        <w:rPr>
          <w:rFonts w:ascii="宋体" w:hAnsi="宋体" w:eastAsia="宋体" w:cs="宋体"/>
          <w:sz w:val="20"/>
          <w:szCs w:val="20"/>
        </w:rPr>
        <w:t>况评价、安全施工措施计划实施情况、安全事故以及人员伤亡和财产损失情况（如果有）、</w:t>
      </w:r>
      <w:r>
        <w:rPr>
          <w:rFonts w:ascii="宋体" w:hAnsi="宋体" w:eastAsia="宋体" w:cs="宋体"/>
          <w:spacing w:val="9"/>
          <w:sz w:val="20"/>
          <w:szCs w:val="20"/>
        </w:rPr>
        <w:t>环境保护措施实施和文明施工措施实施情况。</w:t>
      </w:r>
    </w:p>
    <w:p w14:paraId="67B7F3C9">
      <w:pPr>
        <w:spacing w:before="1" w:line="374" w:lineRule="auto"/>
        <w:ind w:left="929" w:right="68" w:hanging="929"/>
        <w:rPr>
          <w:rFonts w:ascii="宋体" w:hAnsi="宋体" w:eastAsia="宋体" w:cs="宋体"/>
          <w:sz w:val="20"/>
          <w:szCs w:val="20"/>
        </w:rPr>
      </w:pPr>
      <w:r>
        <w:rPr>
          <w:rFonts w:ascii="宋体" w:hAnsi="宋体" w:eastAsia="宋体" w:cs="宋体"/>
          <w:spacing w:val="9"/>
          <w:sz w:val="20"/>
          <w:szCs w:val="20"/>
        </w:rPr>
        <w:t>11.1.4   月进度报告还应附有一组充分</w:t>
      </w:r>
      <w:r>
        <w:rPr>
          <w:rFonts w:ascii="宋体" w:hAnsi="宋体" w:eastAsia="宋体" w:cs="宋体"/>
          <w:spacing w:val="8"/>
          <w:sz w:val="20"/>
          <w:szCs w:val="20"/>
        </w:rPr>
        <w:t>显示工程形象进度的定点摄影照片。照片应当在经监理人</w:t>
      </w:r>
      <w:r>
        <w:rPr>
          <w:rFonts w:ascii="宋体" w:hAnsi="宋体" w:eastAsia="宋体" w:cs="宋体"/>
          <w:spacing w:val="10"/>
          <w:sz w:val="20"/>
          <w:szCs w:val="20"/>
        </w:rPr>
        <w:t>批准的不同位置定期拍摄，每张照片都应标上相应的拍摄日期</w:t>
      </w:r>
      <w:r>
        <w:rPr>
          <w:rFonts w:ascii="宋体" w:hAnsi="宋体" w:eastAsia="宋体" w:cs="宋体"/>
          <w:spacing w:val="9"/>
          <w:sz w:val="20"/>
          <w:szCs w:val="20"/>
        </w:rPr>
        <w:t>和简要文字说明，且应用经发包人和监理人批准的标准或格式装裱后呈交。</w:t>
      </w:r>
    </w:p>
    <w:p w14:paraId="2752BFFE">
      <w:pPr>
        <w:spacing w:before="1" w:line="375" w:lineRule="auto"/>
        <w:ind w:left="950" w:right="70" w:hanging="929"/>
        <w:rPr>
          <w:rFonts w:ascii="宋体" w:hAnsi="宋体" w:eastAsia="宋体" w:cs="宋体"/>
          <w:sz w:val="20"/>
          <w:szCs w:val="20"/>
        </w:rPr>
      </w:pPr>
      <w:r>
        <w:rPr>
          <w:rFonts w:ascii="宋体" w:hAnsi="宋体" w:eastAsia="宋体" w:cs="宋体"/>
          <w:spacing w:val="8"/>
          <w:sz w:val="20"/>
          <w:szCs w:val="20"/>
        </w:rPr>
        <w:t>11.1.5   各个进度报表的格式和内容应经过监理人的审批。进度报表应如实填写，由承包人</w:t>
      </w:r>
      <w:r>
        <w:rPr>
          <w:rFonts w:ascii="宋体" w:hAnsi="宋体" w:eastAsia="宋体" w:cs="宋体"/>
          <w:spacing w:val="7"/>
          <w:sz w:val="20"/>
          <w:szCs w:val="20"/>
        </w:rPr>
        <w:t>授权</w:t>
      </w:r>
      <w:r>
        <w:rPr>
          <w:rFonts w:ascii="宋体" w:hAnsi="宋体" w:eastAsia="宋体" w:cs="宋体"/>
          <w:spacing w:val="9"/>
          <w:sz w:val="20"/>
          <w:szCs w:val="20"/>
        </w:rPr>
        <w:t>代表签名，并报监理人的指定代表签名确认后再行分发。</w:t>
      </w:r>
    </w:p>
    <w:p w14:paraId="1D2AF922">
      <w:pPr>
        <w:spacing w:line="374" w:lineRule="auto"/>
        <w:ind w:left="953" w:right="71" w:hanging="932"/>
        <w:rPr>
          <w:rFonts w:ascii="宋体" w:hAnsi="宋体" w:eastAsia="宋体" w:cs="宋体"/>
          <w:sz w:val="20"/>
          <w:szCs w:val="20"/>
        </w:rPr>
      </w:pPr>
      <w:r>
        <w:rPr>
          <w:rFonts w:ascii="宋体" w:hAnsi="宋体" w:eastAsia="宋体" w:cs="宋体"/>
          <w:spacing w:val="8"/>
          <w:sz w:val="20"/>
          <w:szCs w:val="20"/>
        </w:rPr>
        <w:t>11.1.6   如果监理人认为必要，进度报告和进度照片应同时以存储在磁盘或光盘中的数据文</w:t>
      </w:r>
      <w:r>
        <w:rPr>
          <w:rFonts w:ascii="宋体" w:hAnsi="宋体" w:eastAsia="宋体" w:cs="宋体"/>
          <w:spacing w:val="7"/>
          <w:sz w:val="20"/>
          <w:szCs w:val="20"/>
        </w:rPr>
        <w:t>件的</w:t>
      </w:r>
      <w:r>
        <w:rPr>
          <w:rFonts w:ascii="宋体" w:hAnsi="宋体" w:eastAsia="宋体" w:cs="宋体"/>
          <w:spacing w:val="9"/>
          <w:sz w:val="20"/>
          <w:szCs w:val="20"/>
        </w:rPr>
        <w:t>形式递交给发包人和监理人。数据文件采用的应用软件及其版</w:t>
      </w:r>
      <w:r>
        <w:rPr>
          <w:rFonts w:ascii="宋体" w:hAnsi="宋体" w:eastAsia="宋体" w:cs="宋体"/>
          <w:spacing w:val="8"/>
          <w:sz w:val="20"/>
          <w:szCs w:val="20"/>
        </w:rPr>
        <w:t>本应经过监理人的审批。</w:t>
      </w:r>
    </w:p>
    <w:p w14:paraId="70A91A36">
      <w:pPr>
        <w:spacing w:line="226" w:lineRule="auto"/>
        <w:ind w:left="21"/>
        <w:rPr>
          <w:rFonts w:ascii="宋体" w:hAnsi="宋体" w:eastAsia="宋体" w:cs="宋体"/>
          <w:sz w:val="20"/>
          <w:szCs w:val="20"/>
        </w:rPr>
      </w:pPr>
      <w:r>
        <w:rPr>
          <w:rFonts w:ascii="宋体" w:hAnsi="宋体" w:eastAsia="宋体" w:cs="宋体"/>
          <w:spacing w:val="6"/>
          <w:sz w:val="20"/>
          <w:szCs w:val="20"/>
        </w:rPr>
        <w:t>11.1.7   有关进度报告的其他要求：</w:t>
      </w:r>
    </w:p>
    <w:p w14:paraId="4C9ED46D">
      <w:pPr>
        <w:tabs>
          <w:tab w:val="left" w:pos="8187"/>
        </w:tabs>
        <w:spacing w:before="163"/>
        <w:ind w:left="943"/>
        <w:rPr>
          <w:rFonts w:ascii="Arial"/>
          <w:sz w:val="21"/>
        </w:rPr>
      </w:pPr>
      <w:r>
        <w:rPr>
          <w:rFonts w:ascii="Arial" w:hAnsi="Arial" w:eastAsia="Arial" w:cs="Arial"/>
          <w:sz w:val="21"/>
          <w:szCs w:val="21"/>
          <w:u w:val="single" w:color="auto"/>
        </w:rPr>
        <w:tab/>
      </w:r>
    </w:p>
    <w:p w14:paraId="6A210518">
      <w:pPr>
        <w:spacing w:before="287" w:line="45" w:lineRule="exact"/>
        <w:ind w:left="8217"/>
        <w:rPr>
          <w:rFonts w:ascii="宋体" w:hAnsi="宋体" w:eastAsia="宋体" w:cs="宋体"/>
          <w:sz w:val="20"/>
          <w:szCs w:val="20"/>
        </w:rPr>
      </w:pPr>
      <w:r>
        <w:pict>
          <v:shape id="_x0000_s1126" o:spid="_x0000_s1126" o:spt="202" type="#_x0000_t202" style="position:absolute;left:0pt;margin-left:46.15pt;margin-top:6.95pt;height:14.1pt;width:364.25pt;z-index:251768832;mso-width-relative:page;mso-height-relative:page;" filled="f" stroked="f" coordsize="21600,21600">
            <v:path/>
            <v:fill on="f" focussize="0,0"/>
            <v:stroke on="f"/>
            <v:imagedata o:title=""/>
            <o:lock v:ext="edit" aspectratio="f"/>
            <v:textbox inset="0mm,0mm,0mm,0mm">
              <w:txbxContent>
                <w:p w14:paraId="043551BE">
                  <w:pPr>
                    <w:tabs>
                      <w:tab w:val="left" w:pos="7265"/>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2EFDB300">
      <w:pPr>
        <w:pStyle w:val="2"/>
        <w:spacing w:before="198" w:line="222" w:lineRule="auto"/>
        <w:ind w:left="19"/>
        <w:rPr>
          <w:sz w:val="24"/>
          <w:szCs w:val="24"/>
        </w:rPr>
      </w:pPr>
      <w:r>
        <w:rPr>
          <w:spacing w:val="-4"/>
          <w:sz w:val="24"/>
          <w:szCs w:val="24"/>
        </w:rPr>
        <w:t>11.2</w:t>
      </w:r>
      <w:r>
        <w:rPr>
          <w:spacing w:val="1"/>
          <w:sz w:val="24"/>
          <w:szCs w:val="24"/>
        </w:rPr>
        <w:t xml:space="preserve">     </w:t>
      </w:r>
      <w:r>
        <w:rPr>
          <w:spacing w:val="-4"/>
          <w:sz w:val="24"/>
          <w:szCs w:val="24"/>
        </w:rPr>
        <w:t>进度例会</w:t>
      </w:r>
    </w:p>
    <w:p w14:paraId="1076EF81">
      <w:pPr>
        <w:spacing w:before="146" w:line="374" w:lineRule="auto"/>
        <w:ind w:left="951" w:right="68" w:hanging="930"/>
        <w:rPr>
          <w:rFonts w:ascii="宋体" w:hAnsi="宋体" w:eastAsia="宋体" w:cs="宋体"/>
          <w:sz w:val="20"/>
          <w:szCs w:val="20"/>
        </w:rPr>
      </w:pPr>
      <w:r>
        <w:rPr>
          <w:rFonts w:ascii="宋体" w:hAnsi="宋体" w:eastAsia="宋体" w:cs="宋体"/>
          <w:spacing w:val="8"/>
          <w:sz w:val="20"/>
          <w:szCs w:val="20"/>
        </w:rPr>
        <w:t>11.2.1   监理人将主持召开有发包人、承包人、独立承包人和主要分包人等与本工程建设有关各</w:t>
      </w:r>
      <w:r>
        <w:rPr>
          <w:rFonts w:ascii="宋体" w:hAnsi="宋体" w:eastAsia="宋体" w:cs="宋体"/>
          <w:spacing w:val="9"/>
          <w:sz w:val="20"/>
          <w:szCs w:val="20"/>
        </w:rPr>
        <w:t>方出席的每周一次的进度例会。必要时，监理人可随时召集所有上述各方或其中部分单位参加的会议。承包人应保证能代表其当场作出决定的高级管理人员出席会议。</w:t>
      </w:r>
    </w:p>
    <w:p w14:paraId="01514F66">
      <w:pPr>
        <w:spacing w:before="1" w:line="375" w:lineRule="auto"/>
        <w:ind w:left="952" w:right="70" w:hanging="931"/>
        <w:rPr>
          <w:rFonts w:ascii="宋体" w:hAnsi="宋体" w:eastAsia="宋体" w:cs="宋体"/>
          <w:sz w:val="20"/>
          <w:szCs w:val="20"/>
        </w:rPr>
      </w:pPr>
      <w:r>
        <w:rPr>
          <w:rFonts w:ascii="宋体" w:hAnsi="宋体" w:eastAsia="宋体" w:cs="宋体"/>
          <w:spacing w:val="8"/>
          <w:sz w:val="20"/>
          <w:szCs w:val="20"/>
        </w:rPr>
        <w:t>11.2.2   进度例会的内容将涉及合同管理、进度协调和工程管理的各个方面，由监理人准备</w:t>
      </w:r>
      <w:r>
        <w:rPr>
          <w:rFonts w:ascii="宋体" w:hAnsi="宋体" w:eastAsia="宋体" w:cs="宋体"/>
          <w:spacing w:val="7"/>
          <w:sz w:val="20"/>
          <w:szCs w:val="20"/>
        </w:rPr>
        <w:t>的会</w:t>
      </w:r>
      <w:r>
        <w:rPr>
          <w:rFonts w:ascii="宋体" w:hAnsi="宋体" w:eastAsia="宋体" w:cs="宋体"/>
          <w:spacing w:val="8"/>
          <w:sz w:val="20"/>
          <w:szCs w:val="20"/>
        </w:rPr>
        <w:t>议议题将随会议通知在会议召开前至少</w:t>
      </w:r>
      <w:r>
        <w:rPr>
          <w:rFonts w:ascii="宋体" w:hAnsi="宋体" w:eastAsia="宋体" w:cs="宋体"/>
          <w:spacing w:val="-37"/>
          <w:sz w:val="20"/>
          <w:szCs w:val="20"/>
        </w:rPr>
        <w:t xml:space="preserve"> </w:t>
      </w:r>
      <w:r>
        <w:rPr>
          <w:rFonts w:ascii="宋体" w:hAnsi="宋体" w:eastAsia="宋体" w:cs="宋体"/>
          <w:spacing w:val="8"/>
          <w:sz w:val="20"/>
          <w:szCs w:val="20"/>
        </w:rPr>
        <w:t>24</w:t>
      </w:r>
      <w:r>
        <w:rPr>
          <w:rFonts w:ascii="宋体" w:hAnsi="宋体" w:eastAsia="宋体" w:cs="宋体"/>
          <w:spacing w:val="-32"/>
          <w:sz w:val="20"/>
          <w:szCs w:val="20"/>
        </w:rPr>
        <w:t xml:space="preserve"> </w:t>
      </w:r>
      <w:r>
        <w:rPr>
          <w:rFonts w:ascii="宋体" w:hAnsi="宋体" w:eastAsia="宋体" w:cs="宋体"/>
          <w:spacing w:val="8"/>
          <w:sz w:val="20"/>
          <w:szCs w:val="20"/>
        </w:rPr>
        <w:t>小时发给各参</w:t>
      </w:r>
      <w:r>
        <w:rPr>
          <w:rFonts w:ascii="宋体" w:hAnsi="宋体" w:eastAsia="宋体" w:cs="宋体"/>
          <w:spacing w:val="7"/>
          <w:sz w:val="20"/>
          <w:szCs w:val="20"/>
        </w:rPr>
        <w:t>会方。</w:t>
      </w:r>
    </w:p>
    <w:p w14:paraId="31B9B03F">
      <w:pPr>
        <w:spacing w:before="1" w:line="375" w:lineRule="auto"/>
        <w:ind w:left="951" w:right="68" w:hanging="930"/>
        <w:rPr>
          <w:rFonts w:ascii="宋体" w:hAnsi="宋体" w:eastAsia="宋体" w:cs="宋体"/>
          <w:sz w:val="20"/>
          <w:szCs w:val="20"/>
        </w:rPr>
      </w:pPr>
      <w:r>
        <w:rPr>
          <w:rFonts w:ascii="宋体" w:hAnsi="宋体" w:eastAsia="宋体" w:cs="宋体"/>
          <w:spacing w:val="8"/>
          <w:sz w:val="20"/>
          <w:szCs w:val="20"/>
        </w:rPr>
        <w:t>11.2.3   监理人应当做好会议记录，并在会议结束时由与会各方签字确认。监理人应根据会议记</w:t>
      </w:r>
      <w:r>
        <w:rPr>
          <w:rFonts w:ascii="宋体" w:hAnsi="宋体" w:eastAsia="宋体" w:cs="宋体"/>
          <w:spacing w:val="9"/>
          <w:sz w:val="20"/>
          <w:szCs w:val="20"/>
        </w:rPr>
        <w:t>录整理出会议纪要，并在相应会议后</w:t>
      </w:r>
      <w:r>
        <w:rPr>
          <w:rFonts w:ascii="宋体" w:hAnsi="宋体" w:eastAsia="宋体" w:cs="宋体"/>
          <w:spacing w:val="-35"/>
          <w:sz w:val="20"/>
          <w:szCs w:val="20"/>
        </w:rPr>
        <w:t xml:space="preserve"> </w:t>
      </w:r>
      <w:r>
        <w:rPr>
          <w:rFonts w:ascii="宋体" w:hAnsi="宋体" w:eastAsia="宋体" w:cs="宋体"/>
          <w:spacing w:val="9"/>
          <w:sz w:val="20"/>
          <w:szCs w:val="20"/>
        </w:rPr>
        <w:t>24</w:t>
      </w:r>
      <w:r>
        <w:rPr>
          <w:rFonts w:ascii="宋体" w:hAnsi="宋体" w:eastAsia="宋体" w:cs="宋体"/>
          <w:spacing w:val="-34"/>
          <w:sz w:val="20"/>
          <w:szCs w:val="20"/>
        </w:rPr>
        <w:t xml:space="preserve"> </w:t>
      </w:r>
      <w:r>
        <w:rPr>
          <w:rFonts w:ascii="宋体" w:hAnsi="宋体" w:eastAsia="宋体" w:cs="宋体"/>
          <w:spacing w:val="9"/>
          <w:sz w:val="20"/>
          <w:szCs w:val="20"/>
        </w:rPr>
        <w:t>小时内分发给出席会</w:t>
      </w:r>
      <w:r>
        <w:rPr>
          <w:rFonts w:ascii="宋体" w:hAnsi="宋体" w:eastAsia="宋体" w:cs="宋体"/>
          <w:spacing w:val="8"/>
          <w:sz w:val="20"/>
          <w:szCs w:val="20"/>
        </w:rPr>
        <w:t>议的各方。会议纪要应当</w:t>
      </w:r>
      <w:r>
        <w:rPr>
          <w:rFonts w:ascii="宋体" w:hAnsi="宋体" w:eastAsia="宋体" w:cs="宋体"/>
          <w:spacing w:val="9"/>
          <w:sz w:val="20"/>
          <w:szCs w:val="20"/>
        </w:rPr>
        <w:t>如实反映会议记录的内容，包括任何决定、存在的问题、责任方、有关工作的时间目标等等。各方在收到会议纪要后</w:t>
      </w:r>
      <w:r>
        <w:rPr>
          <w:rFonts w:ascii="宋体" w:hAnsi="宋体" w:eastAsia="宋体" w:cs="宋体"/>
          <w:spacing w:val="-37"/>
          <w:sz w:val="20"/>
          <w:szCs w:val="20"/>
        </w:rPr>
        <w:t xml:space="preserve"> </w:t>
      </w:r>
      <w:r>
        <w:rPr>
          <w:rFonts w:ascii="宋体" w:hAnsi="宋体" w:eastAsia="宋体" w:cs="宋体"/>
          <w:spacing w:val="9"/>
          <w:sz w:val="20"/>
          <w:szCs w:val="20"/>
        </w:rPr>
        <w:t>24</w:t>
      </w:r>
      <w:r>
        <w:rPr>
          <w:rFonts w:ascii="宋体" w:hAnsi="宋体" w:eastAsia="宋体" w:cs="宋体"/>
          <w:spacing w:val="-32"/>
          <w:sz w:val="20"/>
          <w:szCs w:val="20"/>
        </w:rPr>
        <w:t xml:space="preserve"> </w:t>
      </w:r>
      <w:r>
        <w:rPr>
          <w:rFonts w:ascii="宋体" w:hAnsi="宋体" w:eastAsia="宋体" w:cs="宋体"/>
          <w:spacing w:val="9"/>
          <w:sz w:val="20"/>
          <w:szCs w:val="20"/>
        </w:rPr>
        <w:t>小时内给予签字确认，如有任何</w:t>
      </w:r>
      <w:r>
        <w:rPr>
          <w:rFonts w:ascii="宋体" w:hAnsi="宋体" w:eastAsia="宋体" w:cs="宋体"/>
          <w:spacing w:val="8"/>
          <w:sz w:val="20"/>
          <w:szCs w:val="20"/>
        </w:rPr>
        <w:t>异议，应将有关异议</w:t>
      </w:r>
      <w:r>
        <w:rPr>
          <w:rFonts w:ascii="宋体" w:hAnsi="宋体" w:eastAsia="宋体" w:cs="宋体"/>
          <w:spacing w:val="9"/>
          <w:sz w:val="20"/>
          <w:szCs w:val="20"/>
        </w:rPr>
        <w:t>以书面形式通知监理人，由监理人与有异议一方或各方共同核对会议记录，有异议的一方或者各方对与会议记录内容一致的会议纪要必须给予签字确认，否则监理人可以用会议记录作为会议纪要。经参会各方签字认可的会议纪要对各方有合同约束力。</w:t>
      </w:r>
    </w:p>
    <w:p w14:paraId="4BECE728">
      <w:pPr>
        <w:spacing w:line="375" w:lineRule="auto"/>
        <w:rPr>
          <w:rFonts w:ascii="宋体" w:hAnsi="宋体" w:eastAsia="宋体" w:cs="宋体"/>
          <w:sz w:val="20"/>
          <w:szCs w:val="20"/>
        </w:rPr>
        <w:sectPr>
          <w:footerReference r:id="rId497" w:type="default"/>
          <w:pgSz w:w="11907" w:h="16840"/>
          <w:pgMar w:top="400" w:right="1463" w:bottom="1247" w:left="1475" w:header="0" w:footer="1084" w:gutter="0"/>
          <w:cols w:space="720" w:num="1"/>
        </w:sectPr>
      </w:pPr>
    </w:p>
    <w:p w14:paraId="01BC1C14">
      <w:pPr>
        <w:spacing w:line="274" w:lineRule="auto"/>
        <w:rPr>
          <w:rFonts w:ascii="Arial"/>
          <w:sz w:val="21"/>
        </w:rPr>
      </w:pPr>
    </w:p>
    <w:p w14:paraId="1F7B67D3">
      <w:pPr>
        <w:spacing w:line="274" w:lineRule="auto"/>
        <w:rPr>
          <w:rFonts w:ascii="Arial"/>
          <w:sz w:val="21"/>
        </w:rPr>
      </w:pPr>
    </w:p>
    <w:p w14:paraId="53135278">
      <w:pPr>
        <w:spacing w:line="274" w:lineRule="auto"/>
        <w:rPr>
          <w:rFonts w:ascii="Arial"/>
          <w:sz w:val="21"/>
        </w:rPr>
      </w:pPr>
    </w:p>
    <w:p w14:paraId="5877A8CD">
      <w:pPr>
        <w:spacing w:line="274" w:lineRule="auto"/>
        <w:rPr>
          <w:rFonts w:ascii="Arial"/>
          <w:sz w:val="21"/>
        </w:rPr>
      </w:pPr>
    </w:p>
    <w:p w14:paraId="537CFCF4">
      <w:pPr>
        <w:spacing w:line="275" w:lineRule="auto"/>
        <w:rPr>
          <w:rFonts w:ascii="Arial"/>
          <w:sz w:val="21"/>
        </w:rPr>
      </w:pPr>
    </w:p>
    <w:p w14:paraId="521C6937">
      <w:pPr>
        <w:spacing w:before="65" w:line="227" w:lineRule="auto"/>
        <w:rPr>
          <w:rFonts w:ascii="宋体" w:hAnsi="宋体" w:eastAsia="宋体" w:cs="宋体"/>
          <w:sz w:val="20"/>
          <w:szCs w:val="20"/>
        </w:rPr>
      </w:pPr>
      <w:r>
        <w:rPr>
          <w:rFonts w:ascii="宋体" w:hAnsi="宋体" w:eastAsia="宋体" w:cs="宋体"/>
          <w:spacing w:val="6"/>
          <w:sz w:val="20"/>
          <w:szCs w:val="20"/>
        </w:rPr>
        <w:t>11.2.4   有关进度例会的其他要求：</w:t>
      </w:r>
    </w:p>
    <w:p w14:paraId="269D9332">
      <w:pPr>
        <w:tabs>
          <w:tab w:val="left" w:pos="8165"/>
        </w:tabs>
        <w:spacing w:before="162"/>
        <w:ind w:left="921"/>
        <w:rPr>
          <w:rFonts w:ascii="Arial"/>
          <w:sz w:val="21"/>
        </w:rPr>
      </w:pPr>
      <w:r>
        <w:rPr>
          <w:rFonts w:ascii="Arial" w:hAnsi="Arial" w:eastAsia="Arial" w:cs="Arial"/>
          <w:sz w:val="21"/>
          <w:szCs w:val="21"/>
          <w:u w:val="single" w:color="auto"/>
        </w:rPr>
        <w:tab/>
      </w:r>
    </w:p>
    <w:p w14:paraId="6F526506">
      <w:pPr>
        <w:spacing w:before="286" w:line="45" w:lineRule="exact"/>
        <w:ind w:left="8196"/>
        <w:rPr>
          <w:rFonts w:ascii="宋体" w:hAnsi="宋体" w:eastAsia="宋体" w:cs="宋体"/>
          <w:sz w:val="20"/>
          <w:szCs w:val="20"/>
        </w:rPr>
      </w:pPr>
      <w:r>
        <w:pict>
          <v:shape id="_x0000_s1127" o:spid="_x0000_s1127" o:spt="202" type="#_x0000_t202" style="position:absolute;left:0pt;margin-left:45.05pt;margin-top:6.95pt;height:14.1pt;width:364.25pt;z-index:251769856;mso-width-relative:page;mso-height-relative:page;" filled="f" stroked="f" coordsize="21600,21600">
            <v:path/>
            <v:fill on="f" focussize="0,0"/>
            <v:stroke on="f"/>
            <v:imagedata o:title=""/>
            <o:lock v:ext="edit" aspectratio="f"/>
            <v:textbox inset="0mm,0mm,0mm,0mm">
              <w:txbxContent>
                <w:p w14:paraId="1DB5031B">
                  <w:pPr>
                    <w:tabs>
                      <w:tab w:val="left" w:pos="7265"/>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0A683765">
      <w:pPr>
        <w:pStyle w:val="2"/>
        <w:spacing w:before="160" w:line="222" w:lineRule="auto"/>
        <w:ind w:left="9"/>
        <w:outlineLvl w:val="2"/>
        <w:rPr>
          <w:sz w:val="28"/>
          <w:szCs w:val="28"/>
        </w:rPr>
      </w:pPr>
      <w:bookmarkStart w:id="396" w:name="bookmark378"/>
      <w:bookmarkEnd w:id="396"/>
      <w:r>
        <w:rPr>
          <w:rFonts w:ascii="Times New Roman" w:hAnsi="Times New Roman" w:eastAsia="Times New Roman" w:cs="Times New Roman"/>
          <w:spacing w:val="-4"/>
          <w:sz w:val="28"/>
          <w:szCs w:val="28"/>
        </w:rPr>
        <w:t>12.</w:t>
      </w:r>
      <w:r>
        <w:rPr>
          <w:spacing w:val="-4"/>
          <w:sz w:val="28"/>
          <w:szCs w:val="28"/>
        </w:rPr>
        <w:t>试验和检验</w:t>
      </w:r>
    </w:p>
    <w:p w14:paraId="0DFC3070">
      <w:pPr>
        <w:spacing w:before="125" w:line="376" w:lineRule="auto"/>
        <w:ind w:left="933" w:right="152" w:hanging="933"/>
        <w:rPr>
          <w:rFonts w:ascii="宋体" w:hAnsi="宋体" w:eastAsia="宋体" w:cs="宋体"/>
          <w:sz w:val="20"/>
          <w:szCs w:val="20"/>
        </w:rPr>
      </w:pPr>
      <w:r>
        <w:rPr>
          <w:rFonts w:ascii="宋体" w:hAnsi="宋体" w:eastAsia="宋体" w:cs="宋体"/>
          <w:spacing w:val="8"/>
          <w:sz w:val="20"/>
          <w:szCs w:val="20"/>
        </w:rPr>
        <w:t>12.1     承包人应当按照工程施工验收规范和标</w:t>
      </w:r>
      <w:r>
        <w:rPr>
          <w:rFonts w:ascii="宋体" w:hAnsi="宋体" w:eastAsia="宋体" w:cs="宋体"/>
          <w:spacing w:val="7"/>
          <w:sz w:val="20"/>
          <w:szCs w:val="20"/>
        </w:rPr>
        <w:t>准的规定和通用合同条款第</w:t>
      </w:r>
      <w:r>
        <w:rPr>
          <w:rFonts w:ascii="宋体" w:hAnsi="宋体" w:eastAsia="宋体" w:cs="宋体"/>
          <w:spacing w:val="-24"/>
          <w:sz w:val="20"/>
          <w:szCs w:val="20"/>
        </w:rPr>
        <w:t xml:space="preserve"> </w:t>
      </w:r>
      <w:r>
        <w:rPr>
          <w:rFonts w:ascii="宋体" w:hAnsi="宋体" w:eastAsia="宋体" w:cs="宋体"/>
          <w:spacing w:val="7"/>
          <w:sz w:val="20"/>
          <w:szCs w:val="20"/>
        </w:rPr>
        <w:t>14</w:t>
      </w:r>
      <w:r>
        <w:rPr>
          <w:rFonts w:ascii="宋体" w:hAnsi="宋体" w:eastAsia="宋体" w:cs="宋体"/>
          <w:spacing w:val="-36"/>
          <w:sz w:val="20"/>
          <w:szCs w:val="20"/>
        </w:rPr>
        <w:t xml:space="preserve"> </w:t>
      </w:r>
      <w:r>
        <w:rPr>
          <w:rFonts w:ascii="宋体" w:hAnsi="宋体" w:eastAsia="宋体" w:cs="宋体"/>
          <w:spacing w:val="7"/>
          <w:sz w:val="20"/>
          <w:szCs w:val="20"/>
        </w:rPr>
        <w:t>条的约定，对用</w:t>
      </w:r>
      <w:r>
        <w:rPr>
          <w:rFonts w:ascii="宋体" w:hAnsi="宋体" w:eastAsia="宋体" w:cs="宋体"/>
          <w:spacing w:val="9"/>
          <w:sz w:val="20"/>
          <w:szCs w:val="20"/>
        </w:rPr>
        <w:t>于永久工程的主要材料、半成品、成品、建筑构配件、工程设备等进行试验和检验。</w:t>
      </w:r>
    </w:p>
    <w:p w14:paraId="2B0F905E">
      <w:pPr>
        <w:spacing w:before="1" w:line="226" w:lineRule="auto"/>
        <w:rPr>
          <w:rFonts w:ascii="宋体" w:hAnsi="宋体" w:eastAsia="宋体" w:cs="宋体"/>
          <w:sz w:val="20"/>
          <w:szCs w:val="20"/>
        </w:rPr>
      </w:pPr>
      <w:r>
        <w:rPr>
          <w:rFonts w:ascii="宋体" w:hAnsi="宋体" w:eastAsia="宋体" w:cs="宋体"/>
          <w:spacing w:val="8"/>
          <w:sz w:val="20"/>
          <w:szCs w:val="20"/>
        </w:rPr>
        <w:t>12.2     本工程需要承包人进行试验和检验的材料、工程设备</w:t>
      </w:r>
      <w:r>
        <w:rPr>
          <w:rFonts w:ascii="宋体" w:hAnsi="宋体" w:eastAsia="宋体" w:cs="宋体"/>
          <w:spacing w:val="7"/>
          <w:sz w:val="20"/>
          <w:szCs w:val="20"/>
        </w:rPr>
        <w:t>和工艺如下：</w:t>
      </w:r>
    </w:p>
    <w:p w14:paraId="7270D8E2">
      <w:pPr>
        <w:tabs>
          <w:tab w:val="left" w:pos="8165"/>
        </w:tabs>
        <w:spacing w:before="162"/>
        <w:ind w:left="921"/>
        <w:rPr>
          <w:rFonts w:ascii="Arial"/>
          <w:sz w:val="21"/>
        </w:rPr>
      </w:pPr>
      <w:r>
        <w:rPr>
          <w:rFonts w:ascii="Arial" w:hAnsi="Arial" w:eastAsia="Arial" w:cs="Arial"/>
          <w:sz w:val="21"/>
          <w:szCs w:val="21"/>
          <w:u w:val="single" w:color="auto"/>
        </w:rPr>
        <w:tab/>
      </w:r>
    </w:p>
    <w:p w14:paraId="17542D2A">
      <w:pPr>
        <w:tabs>
          <w:tab w:val="left" w:pos="8165"/>
        </w:tabs>
        <w:spacing w:before="152" w:line="371" w:lineRule="auto"/>
        <w:ind w:left="931" w:right="152" w:hanging="1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u w:val="single" w:color="auto"/>
        </w:rPr>
        <w:tab/>
      </w:r>
      <w:r>
        <w:rPr>
          <w:rFonts w:ascii="宋体" w:hAnsi="宋体" w:eastAsia="宋体" w:cs="宋体"/>
          <w:spacing w:val="-70"/>
          <w:sz w:val="20"/>
          <w:szCs w:val="20"/>
        </w:rPr>
        <w:t xml:space="preserve"> </w:t>
      </w:r>
      <w:r>
        <w:rPr>
          <w:rFonts w:ascii="宋体" w:hAnsi="宋体" w:eastAsia="宋体" w:cs="宋体"/>
          <w:sz w:val="20"/>
          <w:szCs w:val="20"/>
        </w:rPr>
        <w:t>。监理</w:t>
      </w:r>
      <w:r>
        <w:rPr>
          <w:rFonts w:ascii="宋体" w:hAnsi="宋体" w:eastAsia="宋体" w:cs="宋体"/>
          <w:spacing w:val="9"/>
          <w:sz w:val="20"/>
          <w:szCs w:val="20"/>
        </w:rPr>
        <w:t>人可以根据工程需要，指示承包人进行其他现场材料和工艺的试验和检验。</w:t>
      </w:r>
    </w:p>
    <w:p w14:paraId="314008F7">
      <w:pPr>
        <w:spacing w:before="1" w:line="227" w:lineRule="auto"/>
        <w:rPr>
          <w:rFonts w:ascii="宋体" w:hAnsi="宋体" w:eastAsia="宋体" w:cs="宋体"/>
          <w:sz w:val="20"/>
          <w:szCs w:val="20"/>
        </w:rPr>
      </w:pPr>
      <w:r>
        <w:rPr>
          <w:rFonts w:ascii="宋体" w:hAnsi="宋体" w:eastAsia="宋体" w:cs="宋体"/>
          <w:spacing w:val="15"/>
          <w:sz w:val="20"/>
          <w:szCs w:val="20"/>
        </w:rPr>
        <w:t>12.3</w:t>
      </w:r>
      <w:r>
        <w:rPr>
          <w:rFonts w:ascii="宋体" w:hAnsi="宋体" w:eastAsia="宋体" w:cs="宋体"/>
          <w:spacing w:val="8"/>
          <w:sz w:val="20"/>
          <w:szCs w:val="20"/>
        </w:rPr>
        <w:t xml:space="preserve">     </w:t>
      </w:r>
      <w:r>
        <w:rPr>
          <w:rFonts w:ascii="宋体" w:hAnsi="宋体" w:eastAsia="宋体" w:cs="宋体"/>
          <w:spacing w:val="15"/>
          <w:sz w:val="20"/>
          <w:szCs w:val="20"/>
        </w:rPr>
        <w:t>本工程需要由监理人和承包人共同进行试验和检验的材料、工程设备和工艺如下：</w:t>
      </w:r>
    </w:p>
    <w:p w14:paraId="58144D25">
      <w:pPr>
        <w:tabs>
          <w:tab w:val="left" w:pos="8165"/>
        </w:tabs>
        <w:spacing w:before="162"/>
        <w:ind w:left="921"/>
        <w:rPr>
          <w:rFonts w:ascii="Arial"/>
          <w:sz w:val="21"/>
        </w:rPr>
      </w:pPr>
      <w:r>
        <w:rPr>
          <w:rFonts w:ascii="Arial" w:hAnsi="Arial" w:eastAsia="Arial" w:cs="Arial"/>
          <w:sz w:val="21"/>
          <w:szCs w:val="21"/>
          <w:u w:val="single" w:color="auto"/>
        </w:rPr>
        <w:tab/>
      </w:r>
    </w:p>
    <w:p w14:paraId="0EB2ED30">
      <w:pPr>
        <w:spacing w:line="266" w:lineRule="auto"/>
        <w:rPr>
          <w:rFonts w:ascii="Arial"/>
          <w:sz w:val="21"/>
        </w:rPr>
      </w:pPr>
    </w:p>
    <w:p w14:paraId="32616776">
      <w:pPr>
        <w:tabs>
          <w:tab w:val="left" w:pos="8165"/>
        </w:tabs>
        <w:spacing w:before="24" w:line="173" w:lineRule="auto"/>
        <w:ind w:left="92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93ED3C1">
      <w:pPr>
        <w:spacing w:before="206" w:line="374" w:lineRule="auto"/>
        <w:ind w:left="933" w:right="258" w:hanging="933"/>
        <w:rPr>
          <w:rFonts w:ascii="宋体" w:hAnsi="宋体" w:eastAsia="宋体" w:cs="宋体"/>
          <w:sz w:val="20"/>
          <w:szCs w:val="20"/>
        </w:rPr>
      </w:pPr>
      <w:r>
        <w:rPr>
          <w:rFonts w:ascii="宋体" w:hAnsi="宋体" w:eastAsia="宋体" w:cs="宋体"/>
          <w:spacing w:val="9"/>
          <w:sz w:val="20"/>
          <w:szCs w:val="20"/>
        </w:rPr>
        <w:t>12.4     本条上述约定需要进行检验</w:t>
      </w:r>
      <w:r>
        <w:rPr>
          <w:rFonts w:ascii="宋体" w:hAnsi="宋体" w:eastAsia="宋体" w:cs="宋体"/>
          <w:spacing w:val="8"/>
          <w:sz w:val="20"/>
          <w:szCs w:val="20"/>
        </w:rPr>
        <w:t>的材料、工程设备和工艺在经过检验并获得监理人批准以前，不得用于任何永久工程。</w:t>
      </w:r>
    </w:p>
    <w:p w14:paraId="7BE45C3F">
      <w:pPr>
        <w:spacing w:before="4" w:line="374" w:lineRule="auto"/>
        <w:ind w:left="929" w:right="70" w:hanging="929"/>
        <w:rPr>
          <w:rFonts w:ascii="宋体" w:hAnsi="宋体" w:eastAsia="宋体" w:cs="宋体"/>
          <w:sz w:val="20"/>
          <w:szCs w:val="20"/>
        </w:rPr>
      </w:pPr>
      <w:r>
        <w:rPr>
          <w:rFonts w:ascii="宋体" w:hAnsi="宋体" w:eastAsia="宋体" w:cs="宋体"/>
          <w:spacing w:val="8"/>
          <w:sz w:val="20"/>
          <w:szCs w:val="20"/>
        </w:rPr>
        <w:t>12.5     承包人应为任何材料、工程设备和工艺的检查、检测和检验提供劳务、电力、燃料、备</w:t>
      </w:r>
      <w:r>
        <w:rPr>
          <w:rFonts w:ascii="宋体" w:hAnsi="宋体" w:eastAsia="宋体" w:cs="宋体"/>
          <w:spacing w:val="9"/>
          <w:sz w:val="20"/>
          <w:szCs w:val="20"/>
        </w:rPr>
        <w:t>用品、设备和仪器以及必要的协助。监理人及其任何授权人员应能够在任何时候进入现场及正在为工程制造、装配、准备材料和（或）工程设备的车间和场所进行任何必要的检查。无论这些车间和场所是否属于承包人，承包人都应提供一切便利，并协助其取得</w:t>
      </w:r>
      <w:r>
        <w:rPr>
          <w:rFonts w:ascii="宋体" w:hAnsi="宋体" w:eastAsia="宋体" w:cs="宋体"/>
          <w:spacing w:val="8"/>
          <w:sz w:val="20"/>
          <w:szCs w:val="20"/>
        </w:rPr>
        <w:t>相应的权力和（或）许可。</w:t>
      </w:r>
    </w:p>
    <w:p w14:paraId="66048A5C">
      <w:pPr>
        <w:spacing w:before="5" w:line="374" w:lineRule="auto"/>
        <w:ind w:left="928" w:right="70" w:hanging="928"/>
        <w:rPr>
          <w:rFonts w:ascii="宋体" w:hAnsi="宋体" w:eastAsia="宋体" w:cs="宋体"/>
          <w:sz w:val="20"/>
          <w:szCs w:val="20"/>
        </w:rPr>
      </w:pPr>
      <w:r>
        <w:rPr>
          <w:rFonts w:ascii="宋体" w:hAnsi="宋体" w:eastAsia="宋体" w:cs="宋体"/>
          <w:spacing w:val="8"/>
          <w:sz w:val="20"/>
          <w:szCs w:val="20"/>
        </w:rPr>
        <w:t>12.6     如果检查、检测、检验或试验的结果表明，材料、工程设备和工艺有缺陷或不符合</w:t>
      </w:r>
      <w:r>
        <w:rPr>
          <w:rFonts w:ascii="宋体" w:hAnsi="宋体" w:eastAsia="宋体" w:cs="宋体"/>
          <w:spacing w:val="7"/>
          <w:sz w:val="20"/>
          <w:szCs w:val="20"/>
        </w:rPr>
        <w:t>合同</w:t>
      </w:r>
      <w:r>
        <w:rPr>
          <w:rFonts w:ascii="宋体" w:hAnsi="宋体" w:eastAsia="宋体" w:cs="宋体"/>
          <w:spacing w:val="9"/>
          <w:sz w:val="20"/>
          <w:szCs w:val="20"/>
        </w:rPr>
        <w:t>约定，监理人和发包人可拒收此类材料、工程设备和工艺，并应立即通知承包人同时说明理由。承包人应立即修复上述缺陷并保证其符合合同约定。若监理人或发包人要求对此类工程设备、材料、设计或工艺重新进行检验，则此类检验应按相同条款和条件重新进行。如果此类拒收和重新检验致使发包人产生了额外费用，则此类费用应由承包人支付给发包人，或从发包人应支付给承包人的款项中扣除。</w:t>
      </w:r>
    </w:p>
    <w:p w14:paraId="4E160B9F">
      <w:pPr>
        <w:spacing w:before="1" w:line="374" w:lineRule="auto"/>
        <w:ind w:left="935" w:right="16" w:hanging="935"/>
        <w:rPr>
          <w:rFonts w:ascii="宋体" w:hAnsi="宋体" w:eastAsia="宋体" w:cs="宋体"/>
          <w:sz w:val="20"/>
          <w:szCs w:val="20"/>
        </w:rPr>
      </w:pPr>
      <w:r>
        <w:rPr>
          <w:rFonts w:ascii="宋体" w:hAnsi="宋体" w:eastAsia="宋体" w:cs="宋体"/>
          <w:spacing w:val="5"/>
          <w:sz w:val="20"/>
          <w:szCs w:val="20"/>
        </w:rPr>
        <w:t>12.7     承包人应在监理人的监督下，对涉及结构安全的试块、试件以及有关</w:t>
      </w:r>
      <w:r>
        <w:rPr>
          <w:rFonts w:ascii="宋体" w:hAnsi="宋体" w:eastAsia="宋体" w:cs="宋体"/>
          <w:spacing w:val="4"/>
          <w:sz w:val="20"/>
          <w:szCs w:val="20"/>
        </w:rPr>
        <w:t>材料进行现场取样，</w:t>
      </w:r>
      <w:r>
        <w:rPr>
          <w:rFonts w:ascii="宋体" w:hAnsi="宋体" w:eastAsia="宋体" w:cs="宋体"/>
          <w:spacing w:val="7"/>
          <w:sz w:val="20"/>
          <w:szCs w:val="20"/>
        </w:rPr>
        <w:t>并送</w:t>
      </w:r>
      <w:r>
        <w:rPr>
          <w:rFonts w:ascii="宋体" w:hAnsi="宋体" w:eastAsia="宋体" w:cs="宋体"/>
          <w:spacing w:val="-97"/>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77"/>
          <w:sz w:val="20"/>
          <w:szCs w:val="20"/>
        </w:rPr>
        <w:t xml:space="preserve"> </w:t>
      </w:r>
      <w:r>
        <w:rPr>
          <w:rFonts w:ascii="宋体" w:hAnsi="宋体" w:eastAsia="宋体" w:cs="宋体"/>
          <w:spacing w:val="7"/>
          <w:sz w:val="20"/>
          <w:szCs w:val="20"/>
        </w:rPr>
        <w:t>质量检测单位进行检测。</w:t>
      </w:r>
    </w:p>
    <w:p w14:paraId="3D177FB3">
      <w:pPr>
        <w:spacing w:before="1" w:line="226" w:lineRule="auto"/>
        <w:jc w:val="right"/>
        <w:rPr>
          <w:rFonts w:ascii="宋体" w:hAnsi="宋体" w:eastAsia="宋体" w:cs="宋体"/>
          <w:sz w:val="20"/>
          <w:szCs w:val="20"/>
        </w:rPr>
      </w:pPr>
      <w:r>
        <w:rPr>
          <w:rFonts w:ascii="宋体" w:hAnsi="宋体" w:eastAsia="宋体" w:cs="宋体"/>
          <w:spacing w:val="5"/>
          <w:sz w:val="20"/>
          <w:szCs w:val="20"/>
        </w:rPr>
        <w:t>12.8     除合同另有约定外，承包人应负担本合同项下的所有材料、工程设备和工艺检验的费用。</w:t>
      </w:r>
    </w:p>
    <w:p w14:paraId="37704E7E">
      <w:pPr>
        <w:pStyle w:val="2"/>
        <w:spacing w:before="96" w:line="225" w:lineRule="auto"/>
        <w:ind w:left="9"/>
        <w:outlineLvl w:val="2"/>
        <w:rPr>
          <w:sz w:val="28"/>
          <w:szCs w:val="28"/>
        </w:rPr>
      </w:pPr>
      <w:bookmarkStart w:id="397" w:name="bookmark379"/>
      <w:bookmarkEnd w:id="397"/>
      <w:r>
        <w:rPr>
          <w:rFonts w:ascii="Times New Roman" w:hAnsi="Times New Roman" w:eastAsia="Times New Roman" w:cs="Times New Roman"/>
          <w:spacing w:val="-6"/>
          <w:sz w:val="28"/>
          <w:szCs w:val="28"/>
        </w:rPr>
        <w:t>13.</w:t>
      </w:r>
      <w:r>
        <w:rPr>
          <w:spacing w:val="-6"/>
          <w:sz w:val="28"/>
          <w:szCs w:val="28"/>
        </w:rPr>
        <w:t>计日工</w:t>
      </w:r>
    </w:p>
    <w:p w14:paraId="73F538AD">
      <w:pPr>
        <w:spacing w:before="123" w:line="376" w:lineRule="auto"/>
        <w:ind w:left="930" w:right="73" w:hanging="930"/>
        <w:rPr>
          <w:rFonts w:ascii="宋体" w:hAnsi="宋体" w:eastAsia="宋体" w:cs="宋体"/>
          <w:sz w:val="20"/>
          <w:szCs w:val="20"/>
        </w:rPr>
      </w:pPr>
      <w:r>
        <w:rPr>
          <w:rFonts w:ascii="宋体" w:hAnsi="宋体" w:eastAsia="宋体" w:cs="宋体"/>
          <w:spacing w:val="8"/>
          <w:sz w:val="20"/>
          <w:szCs w:val="20"/>
        </w:rPr>
        <w:t>13.1     通用合同条款第</w:t>
      </w:r>
      <w:r>
        <w:rPr>
          <w:rFonts w:ascii="宋体" w:hAnsi="宋体" w:eastAsia="宋体" w:cs="宋体"/>
          <w:spacing w:val="-24"/>
          <w:sz w:val="20"/>
          <w:szCs w:val="20"/>
        </w:rPr>
        <w:t xml:space="preserve"> </w:t>
      </w:r>
      <w:r>
        <w:rPr>
          <w:rFonts w:ascii="宋体" w:hAnsi="宋体" w:eastAsia="宋体" w:cs="宋体"/>
          <w:spacing w:val="8"/>
          <w:sz w:val="20"/>
          <w:szCs w:val="20"/>
        </w:rPr>
        <w:t>15.7</w:t>
      </w:r>
      <w:r>
        <w:rPr>
          <w:rFonts w:ascii="宋体" w:hAnsi="宋体" w:eastAsia="宋体" w:cs="宋体"/>
          <w:spacing w:val="-40"/>
          <w:sz w:val="20"/>
          <w:szCs w:val="20"/>
        </w:rPr>
        <w:t xml:space="preserve"> </w:t>
      </w:r>
      <w:r>
        <w:rPr>
          <w:rFonts w:ascii="宋体" w:hAnsi="宋体" w:eastAsia="宋体" w:cs="宋体"/>
          <w:spacing w:val="7"/>
          <w:sz w:val="20"/>
          <w:szCs w:val="20"/>
        </w:rPr>
        <w:t>款约定的计日工，一般适用于合同约定之外的或者因变更而产生</w:t>
      </w:r>
      <w:r>
        <w:rPr>
          <w:rFonts w:ascii="宋体" w:hAnsi="宋体" w:eastAsia="宋体" w:cs="宋体"/>
          <w:spacing w:val="9"/>
          <w:sz w:val="20"/>
          <w:szCs w:val="20"/>
        </w:rPr>
        <w:t>的、工程量清单中没有设立相应子目或者即便有相应子目但因工作条件发生变化而无法适用的额外工作，尤其是那些时间不允许事先商定价格的额外工作。计日工在发包人认</w:t>
      </w:r>
    </w:p>
    <w:p w14:paraId="1DC6E410">
      <w:pPr>
        <w:spacing w:line="376" w:lineRule="auto"/>
        <w:rPr>
          <w:rFonts w:ascii="宋体" w:hAnsi="宋体" w:eastAsia="宋体" w:cs="宋体"/>
          <w:sz w:val="20"/>
          <w:szCs w:val="20"/>
        </w:rPr>
        <w:sectPr>
          <w:footerReference r:id="rId498" w:type="default"/>
          <w:pgSz w:w="11907" w:h="16840"/>
          <w:pgMar w:top="400" w:right="1460" w:bottom="1247" w:left="1497" w:header="0" w:footer="1084" w:gutter="0"/>
          <w:cols w:space="720" w:num="1"/>
        </w:sectPr>
      </w:pPr>
    </w:p>
    <w:p w14:paraId="31EF7911">
      <w:pPr>
        <w:spacing w:line="274" w:lineRule="auto"/>
        <w:rPr>
          <w:rFonts w:ascii="Arial"/>
          <w:sz w:val="21"/>
        </w:rPr>
      </w:pPr>
    </w:p>
    <w:p w14:paraId="09B00481">
      <w:pPr>
        <w:spacing w:line="274" w:lineRule="auto"/>
        <w:rPr>
          <w:rFonts w:ascii="Arial"/>
          <w:sz w:val="21"/>
        </w:rPr>
      </w:pPr>
    </w:p>
    <w:p w14:paraId="55F392AB">
      <w:pPr>
        <w:spacing w:line="274" w:lineRule="auto"/>
        <w:rPr>
          <w:rFonts w:ascii="Arial"/>
          <w:sz w:val="21"/>
        </w:rPr>
      </w:pPr>
    </w:p>
    <w:p w14:paraId="7933B4C1">
      <w:pPr>
        <w:spacing w:line="274" w:lineRule="auto"/>
        <w:rPr>
          <w:rFonts w:ascii="Arial"/>
          <w:sz w:val="21"/>
        </w:rPr>
      </w:pPr>
    </w:p>
    <w:p w14:paraId="13CB9724">
      <w:pPr>
        <w:spacing w:line="274" w:lineRule="auto"/>
        <w:rPr>
          <w:rFonts w:ascii="Arial"/>
          <w:sz w:val="21"/>
        </w:rPr>
      </w:pPr>
    </w:p>
    <w:p w14:paraId="40851310">
      <w:pPr>
        <w:spacing w:before="65" w:line="228" w:lineRule="auto"/>
        <w:ind w:left="934"/>
        <w:rPr>
          <w:rFonts w:ascii="宋体" w:hAnsi="宋体" w:eastAsia="宋体" w:cs="宋体"/>
          <w:sz w:val="20"/>
          <w:szCs w:val="20"/>
        </w:rPr>
      </w:pPr>
      <w:r>
        <w:rPr>
          <w:rFonts w:ascii="宋体" w:hAnsi="宋体" w:eastAsia="宋体" w:cs="宋体"/>
          <w:spacing w:val="7"/>
          <w:sz w:val="20"/>
          <w:szCs w:val="20"/>
        </w:rPr>
        <w:t>为必要时，由监理人按通用合同条款第</w:t>
      </w:r>
      <w:r>
        <w:rPr>
          <w:rFonts w:ascii="宋体" w:hAnsi="宋体" w:eastAsia="宋体" w:cs="宋体"/>
          <w:spacing w:val="-12"/>
          <w:sz w:val="20"/>
          <w:szCs w:val="20"/>
        </w:rPr>
        <w:t xml:space="preserve"> </w:t>
      </w:r>
      <w:r>
        <w:rPr>
          <w:rFonts w:ascii="宋体" w:hAnsi="宋体" w:eastAsia="宋体" w:cs="宋体"/>
          <w:spacing w:val="7"/>
          <w:sz w:val="20"/>
          <w:szCs w:val="20"/>
        </w:rPr>
        <w:t>15.7.1</w:t>
      </w:r>
      <w:r>
        <w:rPr>
          <w:rFonts w:ascii="宋体" w:hAnsi="宋体" w:eastAsia="宋体" w:cs="宋体"/>
          <w:spacing w:val="-35"/>
          <w:sz w:val="20"/>
          <w:szCs w:val="20"/>
        </w:rPr>
        <w:t xml:space="preserve"> </w:t>
      </w:r>
      <w:r>
        <w:rPr>
          <w:rFonts w:ascii="宋体" w:hAnsi="宋体" w:eastAsia="宋体" w:cs="宋体"/>
          <w:spacing w:val="7"/>
          <w:sz w:val="20"/>
          <w:szCs w:val="20"/>
        </w:rPr>
        <w:t>项约定通知承包人实施。</w:t>
      </w:r>
    </w:p>
    <w:p w14:paraId="69A94886">
      <w:pPr>
        <w:spacing w:before="159" w:line="375" w:lineRule="auto"/>
        <w:ind w:left="957" w:right="54" w:hanging="955"/>
        <w:rPr>
          <w:rFonts w:ascii="宋体" w:hAnsi="宋体" w:eastAsia="宋体" w:cs="宋体"/>
          <w:sz w:val="20"/>
          <w:szCs w:val="20"/>
        </w:rPr>
      </w:pPr>
      <w:r>
        <w:rPr>
          <w:rFonts w:ascii="宋体" w:hAnsi="宋体" w:eastAsia="宋体" w:cs="宋体"/>
          <w:spacing w:val="6"/>
          <w:sz w:val="20"/>
          <w:szCs w:val="20"/>
        </w:rPr>
        <w:t>13.2     在工程实际开工后</w:t>
      </w:r>
      <w:r>
        <w:rPr>
          <w:rFonts w:ascii="宋体" w:hAnsi="宋体" w:eastAsia="宋体" w:cs="宋体"/>
          <w:spacing w:val="-21"/>
          <w:sz w:val="20"/>
          <w:szCs w:val="20"/>
        </w:rPr>
        <w:t xml:space="preserve"> </w:t>
      </w:r>
      <w:r>
        <w:rPr>
          <w:rFonts w:ascii="宋体" w:hAnsi="宋体" w:eastAsia="宋体" w:cs="宋体"/>
          <w:spacing w:val="6"/>
          <w:sz w:val="20"/>
          <w:szCs w:val="20"/>
        </w:rPr>
        <w:t>14</w:t>
      </w:r>
      <w:r>
        <w:rPr>
          <w:rFonts w:ascii="宋体" w:hAnsi="宋体" w:eastAsia="宋体" w:cs="宋体"/>
          <w:spacing w:val="-36"/>
          <w:sz w:val="20"/>
          <w:szCs w:val="20"/>
        </w:rPr>
        <w:t xml:space="preserve"> </w:t>
      </w:r>
      <w:r>
        <w:rPr>
          <w:rFonts w:ascii="宋体" w:hAnsi="宋体" w:eastAsia="宋体" w:cs="宋体"/>
          <w:spacing w:val="6"/>
          <w:sz w:val="20"/>
          <w:szCs w:val="20"/>
        </w:rPr>
        <w:t>天内，承包人应当按通用合同条款第</w:t>
      </w:r>
      <w:r>
        <w:rPr>
          <w:rFonts w:ascii="宋体" w:hAnsi="宋体" w:eastAsia="宋体" w:cs="宋体"/>
          <w:spacing w:val="-24"/>
          <w:sz w:val="20"/>
          <w:szCs w:val="20"/>
        </w:rPr>
        <w:t xml:space="preserve"> </w:t>
      </w:r>
      <w:r>
        <w:rPr>
          <w:rFonts w:ascii="宋体" w:hAnsi="宋体" w:eastAsia="宋体" w:cs="宋体"/>
          <w:spacing w:val="6"/>
          <w:sz w:val="20"/>
          <w:szCs w:val="20"/>
        </w:rPr>
        <w:t>15.7.2</w:t>
      </w:r>
      <w:r>
        <w:rPr>
          <w:rFonts w:ascii="宋体" w:hAnsi="宋体" w:eastAsia="宋体" w:cs="宋体"/>
          <w:spacing w:val="-34"/>
          <w:sz w:val="20"/>
          <w:szCs w:val="20"/>
        </w:rPr>
        <w:t xml:space="preserve"> </w:t>
      </w:r>
      <w:r>
        <w:rPr>
          <w:rFonts w:ascii="宋体" w:hAnsi="宋体" w:eastAsia="宋体" w:cs="宋体"/>
          <w:spacing w:val="6"/>
          <w:sz w:val="20"/>
          <w:szCs w:val="20"/>
        </w:rPr>
        <w:t>项</w:t>
      </w:r>
      <w:r>
        <w:rPr>
          <w:rFonts w:ascii="宋体" w:hAnsi="宋体" w:eastAsia="宋体" w:cs="宋体"/>
          <w:spacing w:val="5"/>
          <w:sz w:val="20"/>
          <w:szCs w:val="20"/>
        </w:rPr>
        <w:t>约定的计日工报表</w:t>
      </w:r>
      <w:r>
        <w:rPr>
          <w:rFonts w:ascii="宋体" w:hAnsi="宋体" w:eastAsia="宋体" w:cs="宋体"/>
          <w:spacing w:val="8"/>
          <w:sz w:val="20"/>
          <w:szCs w:val="20"/>
        </w:rPr>
        <w:t>内容，准备一份计日工日报表的格式，报送监理人审</w:t>
      </w:r>
      <w:r>
        <w:rPr>
          <w:rFonts w:ascii="宋体" w:hAnsi="宋体" w:eastAsia="宋体" w:cs="宋体"/>
          <w:spacing w:val="7"/>
          <w:sz w:val="20"/>
          <w:szCs w:val="20"/>
        </w:rPr>
        <w:t>批，监理人应当在收到之日后</w:t>
      </w:r>
      <w:r>
        <w:rPr>
          <w:rFonts w:ascii="宋体" w:hAnsi="宋体" w:eastAsia="宋体" w:cs="宋体"/>
          <w:spacing w:val="-34"/>
          <w:sz w:val="20"/>
          <w:szCs w:val="20"/>
        </w:rPr>
        <w:t xml:space="preserve"> </w:t>
      </w:r>
      <w:r>
        <w:rPr>
          <w:rFonts w:ascii="宋体" w:hAnsi="宋体" w:eastAsia="宋体" w:cs="宋体"/>
          <w:spacing w:val="7"/>
          <w:sz w:val="20"/>
          <w:szCs w:val="20"/>
        </w:rPr>
        <w:t>7</w:t>
      </w:r>
      <w:r>
        <w:rPr>
          <w:rFonts w:ascii="宋体" w:hAnsi="宋体" w:eastAsia="宋体" w:cs="宋体"/>
          <w:spacing w:val="-34"/>
          <w:sz w:val="20"/>
          <w:szCs w:val="20"/>
        </w:rPr>
        <w:t xml:space="preserve"> </w:t>
      </w:r>
      <w:r>
        <w:rPr>
          <w:rFonts w:ascii="宋体" w:hAnsi="宋体" w:eastAsia="宋体" w:cs="宋体"/>
          <w:spacing w:val="7"/>
          <w:sz w:val="20"/>
          <w:szCs w:val="20"/>
        </w:rPr>
        <w:t>天</w:t>
      </w:r>
      <w:r>
        <w:rPr>
          <w:rFonts w:ascii="宋体" w:hAnsi="宋体" w:eastAsia="宋体" w:cs="宋体"/>
          <w:spacing w:val="6"/>
          <w:sz w:val="20"/>
          <w:szCs w:val="20"/>
        </w:rPr>
        <w:t>内给予批复或提出修改意见。</w:t>
      </w:r>
    </w:p>
    <w:p w14:paraId="06E308AE">
      <w:pPr>
        <w:spacing w:line="374" w:lineRule="auto"/>
        <w:ind w:left="936" w:right="54" w:hanging="934"/>
        <w:rPr>
          <w:rFonts w:ascii="宋体" w:hAnsi="宋体" w:eastAsia="宋体" w:cs="宋体"/>
          <w:sz w:val="20"/>
          <w:szCs w:val="20"/>
        </w:rPr>
      </w:pPr>
      <w:r>
        <w:rPr>
          <w:rFonts w:ascii="宋体" w:hAnsi="宋体" w:eastAsia="宋体" w:cs="宋体"/>
          <w:spacing w:val="8"/>
          <w:sz w:val="20"/>
          <w:szCs w:val="20"/>
        </w:rPr>
        <w:t>13.3     按计日工实施相关变更的过程中，承包人应当按经监理人批准的计日工日报表格式，每</w:t>
      </w:r>
      <w:r>
        <w:rPr>
          <w:rFonts w:ascii="宋体" w:hAnsi="宋体" w:eastAsia="宋体" w:cs="宋体"/>
          <w:spacing w:val="9"/>
          <w:sz w:val="20"/>
          <w:szCs w:val="20"/>
        </w:rPr>
        <w:t>天提交计日工报表和有关凭证，报送监理人审批，监理人应当在收到相关报表和凭证后</w:t>
      </w:r>
    </w:p>
    <w:p w14:paraId="757865FC">
      <w:pPr>
        <w:spacing w:line="227" w:lineRule="auto"/>
        <w:ind w:left="934"/>
        <w:rPr>
          <w:rFonts w:ascii="宋体" w:hAnsi="宋体" w:eastAsia="宋体" w:cs="宋体"/>
          <w:sz w:val="20"/>
          <w:szCs w:val="20"/>
        </w:rPr>
      </w:pPr>
      <w:r>
        <w:rPr>
          <w:rFonts w:ascii="宋体" w:hAnsi="宋体" w:eastAsia="宋体" w:cs="宋体"/>
          <w:spacing w:val="5"/>
          <w:sz w:val="20"/>
          <w:szCs w:val="20"/>
        </w:rPr>
        <w:t>24</w:t>
      </w:r>
      <w:r>
        <w:rPr>
          <w:rFonts w:ascii="宋体" w:hAnsi="宋体" w:eastAsia="宋体" w:cs="宋体"/>
          <w:spacing w:val="-32"/>
          <w:sz w:val="20"/>
          <w:szCs w:val="20"/>
        </w:rPr>
        <w:t xml:space="preserve"> </w:t>
      </w:r>
      <w:r>
        <w:rPr>
          <w:rFonts w:ascii="宋体" w:hAnsi="宋体" w:eastAsia="宋体" w:cs="宋体"/>
          <w:spacing w:val="5"/>
          <w:sz w:val="20"/>
          <w:szCs w:val="20"/>
        </w:rPr>
        <w:t>小时内给予批复。</w:t>
      </w:r>
    </w:p>
    <w:p w14:paraId="1881C841">
      <w:pPr>
        <w:spacing w:before="157" w:line="371" w:lineRule="auto"/>
        <w:ind w:left="932" w:right="54" w:hanging="930"/>
        <w:rPr>
          <w:rFonts w:ascii="宋体" w:hAnsi="宋体" w:eastAsia="宋体" w:cs="宋体"/>
          <w:sz w:val="20"/>
          <w:szCs w:val="20"/>
        </w:rPr>
      </w:pPr>
      <w:r>
        <w:rPr>
          <w:rFonts w:ascii="宋体" w:hAnsi="宋体" w:eastAsia="宋体" w:cs="宋体"/>
          <w:spacing w:val="6"/>
          <w:sz w:val="20"/>
          <w:szCs w:val="20"/>
        </w:rPr>
        <w:t>13.4     计日工劳务按工日（8</w:t>
      </w:r>
      <w:r>
        <w:rPr>
          <w:rFonts w:ascii="宋体" w:hAnsi="宋体" w:eastAsia="宋体" w:cs="宋体"/>
          <w:spacing w:val="-33"/>
          <w:sz w:val="20"/>
          <w:szCs w:val="20"/>
        </w:rPr>
        <w:t xml:space="preserve"> </w:t>
      </w:r>
      <w:r>
        <w:rPr>
          <w:rFonts w:ascii="宋体" w:hAnsi="宋体" w:eastAsia="宋体" w:cs="宋体"/>
          <w:spacing w:val="6"/>
          <w:sz w:val="20"/>
          <w:szCs w:val="20"/>
        </w:rPr>
        <w:t>小时）计量，单次</w:t>
      </w:r>
      <w:r>
        <w:rPr>
          <w:rFonts w:ascii="宋体" w:hAnsi="宋体" w:eastAsia="宋体" w:cs="宋体"/>
          <w:spacing w:val="-37"/>
          <w:sz w:val="20"/>
          <w:szCs w:val="20"/>
        </w:rPr>
        <w:t xml:space="preserve"> </w:t>
      </w:r>
      <w:r>
        <w:rPr>
          <w:rFonts w:ascii="宋体" w:hAnsi="宋体" w:eastAsia="宋体" w:cs="宋体"/>
          <w:spacing w:val="6"/>
          <w:sz w:val="20"/>
          <w:szCs w:val="20"/>
        </w:rPr>
        <w:t>4</w:t>
      </w:r>
      <w:r>
        <w:rPr>
          <w:rFonts w:ascii="宋体" w:hAnsi="宋体" w:eastAsia="宋体" w:cs="宋体"/>
          <w:spacing w:val="-35"/>
          <w:sz w:val="20"/>
          <w:szCs w:val="20"/>
        </w:rPr>
        <w:t xml:space="preserve"> </w:t>
      </w:r>
      <w:r>
        <w:rPr>
          <w:rFonts w:ascii="宋体" w:hAnsi="宋体" w:eastAsia="宋体" w:cs="宋体"/>
          <w:spacing w:val="6"/>
          <w:sz w:val="20"/>
          <w:szCs w:val="20"/>
        </w:rPr>
        <w:t>小</w:t>
      </w:r>
      <w:r>
        <w:rPr>
          <w:rFonts w:ascii="宋体" w:hAnsi="宋体" w:eastAsia="宋体" w:cs="宋体"/>
          <w:spacing w:val="5"/>
          <w:sz w:val="20"/>
          <w:szCs w:val="20"/>
        </w:rPr>
        <w:t>时以内按</w:t>
      </w:r>
      <w:r>
        <w:rPr>
          <w:rFonts w:ascii="宋体" w:hAnsi="宋体" w:eastAsia="宋体" w:cs="宋体"/>
          <w:spacing w:val="-35"/>
          <w:sz w:val="20"/>
          <w:szCs w:val="20"/>
        </w:rPr>
        <w:t xml:space="preserve"> </w:t>
      </w:r>
      <w:r>
        <w:rPr>
          <w:rFonts w:ascii="宋体" w:hAnsi="宋体" w:eastAsia="宋体" w:cs="宋体"/>
          <w:spacing w:val="5"/>
          <w:sz w:val="20"/>
          <w:szCs w:val="20"/>
        </w:rPr>
        <w:t>0.5</w:t>
      </w:r>
      <w:r>
        <w:rPr>
          <w:rFonts w:ascii="宋体" w:hAnsi="宋体" w:eastAsia="宋体" w:cs="宋体"/>
          <w:spacing w:val="-40"/>
          <w:sz w:val="20"/>
          <w:szCs w:val="20"/>
        </w:rPr>
        <w:t xml:space="preserve"> </w:t>
      </w:r>
      <w:r>
        <w:rPr>
          <w:rFonts w:ascii="宋体" w:hAnsi="宋体" w:eastAsia="宋体" w:cs="宋体"/>
          <w:spacing w:val="5"/>
          <w:sz w:val="20"/>
          <w:szCs w:val="20"/>
        </w:rPr>
        <w:t>个工日，单次</w:t>
      </w:r>
      <w:r>
        <w:rPr>
          <w:rFonts w:ascii="宋体" w:hAnsi="宋体" w:eastAsia="宋体" w:cs="宋体"/>
          <w:spacing w:val="-38"/>
          <w:sz w:val="20"/>
          <w:szCs w:val="20"/>
        </w:rPr>
        <w:t xml:space="preserve"> </w:t>
      </w:r>
      <w:r>
        <w:rPr>
          <w:rFonts w:ascii="宋体" w:hAnsi="宋体" w:eastAsia="宋体" w:cs="宋体"/>
          <w:spacing w:val="5"/>
          <w:sz w:val="20"/>
          <w:szCs w:val="20"/>
        </w:rPr>
        <w:t>4</w:t>
      </w:r>
      <w:r>
        <w:rPr>
          <w:rFonts w:ascii="宋体" w:hAnsi="宋体" w:eastAsia="宋体" w:cs="宋体"/>
          <w:spacing w:val="-35"/>
          <w:sz w:val="20"/>
          <w:szCs w:val="20"/>
        </w:rPr>
        <w:t xml:space="preserve"> </w:t>
      </w:r>
      <w:r>
        <w:rPr>
          <w:rFonts w:ascii="宋体" w:hAnsi="宋体" w:eastAsia="宋体" w:cs="宋体"/>
          <w:spacing w:val="5"/>
          <w:sz w:val="20"/>
          <w:szCs w:val="20"/>
        </w:rPr>
        <w:t>小时至</w:t>
      </w:r>
      <w:r>
        <w:rPr>
          <w:rFonts w:ascii="宋体" w:hAnsi="宋体" w:eastAsia="宋体" w:cs="宋体"/>
          <w:spacing w:val="-36"/>
          <w:sz w:val="20"/>
          <w:szCs w:val="20"/>
        </w:rPr>
        <w:t xml:space="preserve"> </w:t>
      </w:r>
      <w:r>
        <w:rPr>
          <w:rFonts w:ascii="宋体" w:hAnsi="宋体" w:eastAsia="宋体" w:cs="宋体"/>
          <w:spacing w:val="5"/>
          <w:sz w:val="20"/>
          <w:szCs w:val="20"/>
        </w:rPr>
        <w:t>8</w:t>
      </w:r>
      <w:r>
        <w:rPr>
          <w:rFonts w:ascii="宋体" w:hAnsi="宋体" w:eastAsia="宋体" w:cs="宋体"/>
          <w:spacing w:val="-35"/>
          <w:sz w:val="20"/>
          <w:szCs w:val="20"/>
        </w:rPr>
        <w:t xml:space="preserve"> </w:t>
      </w:r>
      <w:r>
        <w:rPr>
          <w:rFonts w:ascii="宋体" w:hAnsi="宋体" w:eastAsia="宋体" w:cs="宋体"/>
          <w:spacing w:val="5"/>
          <w:sz w:val="20"/>
          <w:szCs w:val="20"/>
        </w:rPr>
        <w:t>小</w:t>
      </w:r>
      <w:r>
        <w:rPr>
          <w:rFonts w:ascii="宋体" w:hAnsi="宋体" w:eastAsia="宋体" w:cs="宋体"/>
          <w:spacing w:val="8"/>
          <w:sz w:val="20"/>
          <w:szCs w:val="20"/>
        </w:rPr>
        <w:t>时按</w:t>
      </w:r>
      <w:r>
        <w:rPr>
          <w:rFonts w:ascii="宋体" w:hAnsi="宋体" w:eastAsia="宋体" w:cs="宋体"/>
          <w:spacing w:val="-17"/>
          <w:sz w:val="20"/>
          <w:szCs w:val="20"/>
        </w:rPr>
        <w:t xml:space="preserve"> </w:t>
      </w:r>
      <w:r>
        <w:rPr>
          <w:rFonts w:ascii="宋体" w:hAnsi="宋体" w:eastAsia="宋体" w:cs="宋体"/>
          <w:spacing w:val="8"/>
          <w:sz w:val="20"/>
          <w:szCs w:val="20"/>
        </w:rPr>
        <w:t>1</w:t>
      </w:r>
      <w:r>
        <w:rPr>
          <w:rFonts w:ascii="宋体" w:hAnsi="宋体" w:eastAsia="宋体" w:cs="宋体"/>
          <w:spacing w:val="-41"/>
          <w:sz w:val="20"/>
          <w:szCs w:val="20"/>
        </w:rPr>
        <w:t xml:space="preserve"> </w:t>
      </w:r>
      <w:r>
        <w:rPr>
          <w:rFonts w:ascii="宋体" w:hAnsi="宋体" w:eastAsia="宋体" w:cs="宋体"/>
          <w:spacing w:val="8"/>
          <w:sz w:val="20"/>
          <w:szCs w:val="20"/>
        </w:rPr>
        <w:t>个工日，加班时间按照国家劳动法律法规的规定办理。实施计日工的劳务人员仅</w:t>
      </w:r>
      <w:r>
        <w:rPr>
          <w:rFonts w:ascii="宋体" w:hAnsi="宋体" w:eastAsia="宋体" w:cs="宋体"/>
          <w:spacing w:val="9"/>
          <w:sz w:val="20"/>
          <w:szCs w:val="20"/>
        </w:rPr>
        <w:t>应包括直接从事计日工工作的工人和班组长（如果有</w:t>
      </w:r>
      <w:r>
        <w:rPr>
          <w:rFonts w:ascii="宋体" w:hAnsi="宋体" w:eastAsia="宋体" w:cs="宋体"/>
          <w:spacing w:val="-31"/>
          <w:sz w:val="20"/>
          <w:szCs w:val="20"/>
        </w:rPr>
        <w:t>），</w:t>
      </w:r>
      <w:r>
        <w:rPr>
          <w:rFonts w:ascii="宋体" w:hAnsi="宋体" w:eastAsia="宋体" w:cs="宋体"/>
          <w:spacing w:val="9"/>
          <w:sz w:val="20"/>
          <w:szCs w:val="20"/>
        </w:rPr>
        <w:t>不应包括工长及其以上管理人</w:t>
      </w:r>
      <w:r>
        <w:rPr>
          <w:rFonts w:ascii="宋体" w:hAnsi="宋体" w:eastAsia="宋体" w:cs="宋体"/>
          <w:sz w:val="20"/>
          <w:szCs w:val="20"/>
        </w:rPr>
        <w:t>员。</w:t>
      </w:r>
    </w:p>
    <w:p w14:paraId="25986F31">
      <w:pPr>
        <w:spacing w:before="1" w:line="371" w:lineRule="auto"/>
        <w:ind w:left="932" w:right="51" w:hanging="930"/>
        <w:rPr>
          <w:rFonts w:ascii="宋体" w:hAnsi="宋体" w:eastAsia="宋体" w:cs="宋体"/>
          <w:sz w:val="20"/>
          <w:szCs w:val="20"/>
        </w:rPr>
      </w:pPr>
      <w:r>
        <w:rPr>
          <w:rFonts w:ascii="宋体" w:hAnsi="宋体" w:eastAsia="宋体" w:cs="宋体"/>
          <w:spacing w:val="8"/>
          <w:sz w:val="20"/>
          <w:szCs w:val="20"/>
        </w:rPr>
        <w:t>13.5     已标价工程量清单计日工材料表中未列出的材料，实际发生于计日工时，其价格按</w:t>
      </w:r>
      <w:r>
        <w:rPr>
          <w:rFonts w:ascii="宋体" w:hAnsi="宋体" w:eastAsia="宋体" w:cs="宋体"/>
          <w:spacing w:val="7"/>
          <w:sz w:val="20"/>
          <w:szCs w:val="20"/>
        </w:rPr>
        <w:t>照经</w:t>
      </w:r>
      <w:r>
        <w:rPr>
          <w:rFonts w:ascii="宋体" w:hAnsi="宋体" w:eastAsia="宋体" w:cs="宋体"/>
          <w:spacing w:val="9"/>
          <w:sz w:val="20"/>
          <w:szCs w:val="20"/>
        </w:rPr>
        <w:t>监理人事先审批的材料运到现场的价格和有关材料采购的发票票面价格（运到现场价）中的较低者结算，另计一个在计日工材料表中填写的包括承包人企业管理费、利润在内</w:t>
      </w:r>
      <w:r>
        <w:rPr>
          <w:rFonts w:ascii="宋体" w:hAnsi="宋体" w:eastAsia="宋体" w:cs="宋体"/>
          <w:spacing w:val="8"/>
          <w:sz w:val="20"/>
          <w:szCs w:val="20"/>
        </w:rPr>
        <w:t>的一个固定百分比，规费和税金另计。</w:t>
      </w:r>
    </w:p>
    <w:p w14:paraId="0B40680B">
      <w:pPr>
        <w:spacing w:before="1" w:line="371" w:lineRule="auto"/>
        <w:ind w:left="931" w:right="54" w:hanging="929"/>
        <w:rPr>
          <w:rFonts w:ascii="宋体" w:hAnsi="宋体" w:eastAsia="宋体" w:cs="宋体"/>
          <w:sz w:val="20"/>
          <w:szCs w:val="20"/>
        </w:rPr>
      </w:pPr>
      <w:r>
        <w:rPr>
          <w:rFonts w:ascii="宋体" w:hAnsi="宋体" w:eastAsia="宋体" w:cs="宋体"/>
          <w:spacing w:val="7"/>
          <w:sz w:val="20"/>
          <w:szCs w:val="20"/>
        </w:rPr>
        <w:t>13.6     施工机械按台班计量（8</w:t>
      </w:r>
      <w:r>
        <w:rPr>
          <w:rFonts w:ascii="宋体" w:hAnsi="宋体" w:eastAsia="宋体" w:cs="宋体"/>
          <w:spacing w:val="-32"/>
          <w:sz w:val="20"/>
          <w:szCs w:val="20"/>
        </w:rPr>
        <w:t xml:space="preserve"> </w:t>
      </w:r>
      <w:r>
        <w:rPr>
          <w:rFonts w:ascii="宋体" w:hAnsi="宋体" w:eastAsia="宋体" w:cs="宋体"/>
          <w:spacing w:val="7"/>
          <w:sz w:val="20"/>
          <w:szCs w:val="20"/>
        </w:rPr>
        <w:t>小时</w:t>
      </w:r>
      <w:r>
        <w:rPr>
          <w:rFonts w:ascii="宋体" w:hAnsi="宋体" w:eastAsia="宋体" w:cs="宋体"/>
          <w:spacing w:val="-49"/>
          <w:sz w:val="20"/>
          <w:szCs w:val="20"/>
        </w:rPr>
        <w:t>），</w:t>
      </w:r>
      <w:r>
        <w:rPr>
          <w:rFonts w:ascii="宋体" w:hAnsi="宋体" w:eastAsia="宋体" w:cs="宋体"/>
          <w:spacing w:val="7"/>
          <w:sz w:val="20"/>
          <w:szCs w:val="20"/>
        </w:rPr>
        <w:t>单次</w:t>
      </w:r>
      <w:r>
        <w:rPr>
          <w:rFonts w:ascii="宋体" w:hAnsi="宋体" w:eastAsia="宋体" w:cs="宋体"/>
          <w:spacing w:val="-40"/>
          <w:sz w:val="20"/>
          <w:szCs w:val="20"/>
        </w:rPr>
        <w:t xml:space="preserve"> </w:t>
      </w:r>
      <w:r>
        <w:rPr>
          <w:rFonts w:ascii="宋体" w:hAnsi="宋体" w:eastAsia="宋体" w:cs="宋体"/>
          <w:spacing w:val="7"/>
          <w:sz w:val="20"/>
          <w:szCs w:val="20"/>
        </w:rPr>
        <w:t>4</w:t>
      </w:r>
      <w:r>
        <w:rPr>
          <w:rFonts w:ascii="宋体" w:hAnsi="宋体" w:eastAsia="宋体" w:cs="宋体"/>
          <w:spacing w:val="-32"/>
          <w:sz w:val="20"/>
          <w:szCs w:val="20"/>
        </w:rPr>
        <w:t xml:space="preserve"> </w:t>
      </w:r>
      <w:r>
        <w:rPr>
          <w:rFonts w:ascii="宋体" w:hAnsi="宋体" w:eastAsia="宋体" w:cs="宋体"/>
          <w:spacing w:val="7"/>
          <w:sz w:val="20"/>
          <w:szCs w:val="20"/>
        </w:rPr>
        <w:t>小时以内按</w:t>
      </w:r>
      <w:r>
        <w:rPr>
          <w:rFonts w:ascii="宋体" w:hAnsi="宋体" w:eastAsia="宋体" w:cs="宋体"/>
          <w:spacing w:val="-38"/>
          <w:sz w:val="20"/>
          <w:szCs w:val="20"/>
        </w:rPr>
        <w:t xml:space="preserve"> </w:t>
      </w:r>
      <w:r>
        <w:rPr>
          <w:rFonts w:ascii="宋体" w:hAnsi="宋体" w:eastAsia="宋体" w:cs="宋体"/>
          <w:spacing w:val="7"/>
          <w:sz w:val="20"/>
          <w:szCs w:val="20"/>
        </w:rPr>
        <w:t>0.5</w:t>
      </w:r>
      <w:r>
        <w:rPr>
          <w:rFonts w:ascii="宋体" w:hAnsi="宋体" w:eastAsia="宋体" w:cs="宋体"/>
          <w:spacing w:val="-38"/>
          <w:sz w:val="20"/>
          <w:szCs w:val="20"/>
        </w:rPr>
        <w:t xml:space="preserve"> </w:t>
      </w:r>
      <w:r>
        <w:rPr>
          <w:rFonts w:ascii="宋体" w:hAnsi="宋体" w:eastAsia="宋体" w:cs="宋体"/>
          <w:spacing w:val="7"/>
          <w:sz w:val="20"/>
          <w:szCs w:val="20"/>
        </w:rPr>
        <w:t>个台班，</w:t>
      </w:r>
      <w:r>
        <w:rPr>
          <w:rFonts w:ascii="宋体" w:hAnsi="宋体" w:eastAsia="宋体" w:cs="宋体"/>
          <w:spacing w:val="6"/>
          <w:sz w:val="20"/>
          <w:szCs w:val="20"/>
        </w:rPr>
        <w:t>单次4</w:t>
      </w:r>
      <w:r>
        <w:rPr>
          <w:rFonts w:ascii="宋体" w:hAnsi="宋体" w:eastAsia="宋体" w:cs="宋体"/>
          <w:spacing w:val="-32"/>
          <w:sz w:val="20"/>
          <w:szCs w:val="20"/>
        </w:rPr>
        <w:t xml:space="preserve"> </w:t>
      </w:r>
      <w:r>
        <w:rPr>
          <w:rFonts w:ascii="宋体" w:hAnsi="宋体" w:eastAsia="宋体" w:cs="宋体"/>
          <w:spacing w:val="6"/>
          <w:sz w:val="20"/>
          <w:szCs w:val="20"/>
        </w:rPr>
        <w:t>小时至8</w:t>
      </w:r>
      <w:r>
        <w:rPr>
          <w:rFonts w:ascii="宋体" w:hAnsi="宋体" w:eastAsia="宋体" w:cs="宋体"/>
          <w:spacing w:val="-32"/>
          <w:sz w:val="20"/>
          <w:szCs w:val="20"/>
        </w:rPr>
        <w:t xml:space="preserve"> </w:t>
      </w:r>
      <w:r>
        <w:rPr>
          <w:rFonts w:ascii="宋体" w:hAnsi="宋体" w:eastAsia="宋体" w:cs="宋体"/>
          <w:spacing w:val="6"/>
          <w:sz w:val="20"/>
          <w:szCs w:val="20"/>
        </w:rPr>
        <w:t>小时按</w:t>
      </w:r>
      <w:r>
        <w:rPr>
          <w:rFonts w:ascii="宋体" w:hAnsi="宋体" w:eastAsia="宋体" w:cs="宋体"/>
          <w:spacing w:val="9"/>
          <w:sz w:val="20"/>
          <w:szCs w:val="20"/>
        </w:rPr>
        <w:t>1</w:t>
      </w:r>
      <w:r>
        <w:rPr>
          <w:rFonts w:ascii="宋体" w:hAnsi="宋体" w:eastAsia="宋体" w:cs="宋体"/>
          <w:spacing w:val="-26"/>
          <w:sz w:val="20"/>
          <w:szCs w:val="20"/>
        </w:rPr>
        <w:t xml:space="preserve"> </w:t>
      </w:r>
      <w:r>
        <w:rPr>
          <w:rFonts w:ascii="宋体" w:hAnsi="宋体" w:eastAsia="宋体" w:cs="宋体"/>
          <w:spacing w:val="9"/>
          <w:sz w:val="20"/>
          <w:szCs w:val="20"/>
        </w:rPr>
        <w:t>个台班，操作人员加班时间按照国家劳动法律法规的规定办理。计日工如果需要使用场外施工机械，台班费用和进出场费用按市场平均价格，由承包人事</w:t>
      </w:r>
      <w:r>
        <w:rPr>
          <w:rFonts w:ascii="宋体" w:hAnsi="宋体" w:eastAsia="宋体" w:cs="宋体"/>
          <w:spacing w:val="8"/>
          <w:sz w:val="20"/>
          <w:szCs w:val="20"/>
        </w:rPr>
        <w:t>后报监理人审批。</w:t>
      </w:r>
    </w:p>
    <w:p w14:paraId="52C1D7D8">
      <w:pPr>
        <w:spacing w:line="228" w:lineRule="auto"/>
        <w:ind w:left="2"/>
        <w:rPr>
          <w:rFonts w:ascii="宋体" w:hAnsi="宋体" w:eastAsia="宋体" w:cs="宋体"/>
          <w:sz w:val="20"/>
          <w:szCs w:val="20"/>
        </w:rPr>
      </w:pPr>
      <w:r>
        <w:rPr>
          <w:rFonts w:ascii="宋体" w:hAnsi="宋体" w:eastAsia="宋体" w:cs="宋体"/>
          <w:spacing w:val="5"/>
          <w:sz w:val="20"/>
          <w:szCs w:val="20"/>
        </w:rPr>
        <w:t>13.7     关于计日工的其他约定：</w:t>
      </w:r>
    </w:p>
    <w:p w14:paraId="66FE1C08">
      <w:pPr>
        <w:spacing w:before="289" w:line="45" w:lineRule="exact"/>
        <w:ind w:left="8198"/>
        <w:rPr>
          <w:rFonts w:ascii="宋体" w:hAnsi="宋体" w:eastAsia="宋体" w:cs="宋体"/>
          <w:sz w:val="20"/>
          <w:szCs w:val="20"/>
        </w:rPr>
      </w:pPr>
      <w:r>
        <w:pict>
          <v:shape id="_x0000_s1128" o:spid="_x0000_s1128" o:spt="202" type="#_x0000_t202" style="position:absolute;left:0pt;margin-left:45.15pt;margin-top:7pt;height:14.1pt;width:364.25pt;z-index:251770880;mso-width-relative:page;mso-height-relative:page;" filled="f" stroked="f" coordsize="21600,21600">
            <v:path/>
            <v:fill on="f" focussize="0,0"/>
            <v:stroke on="f"/>
            <v:imagedata o:title=""/>
            <o:lock v:ext="edit" aspectratio="f"/>
            <v:textbox inset="0mm,0mm,0mm,0mm">
              <w:txbxContent>
                <w:p w14:paraId="69985494">
                  <w:pPr>
                    <w:tabs>
                      <w:tab w:val="left" w:pos="7265"/>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2E1803AF">
      <w:pPr>
        <w:pStyle w:val="2"/>
        <w:spacing w:before="162" w:line="224" w:lineRule="auto"/>
        <w:ind w:left="11"/>
        <w:outlineLvl w:val="2"/>
        <w:rPr>
          <w:sz w:val="28"/>
          <w:szCs w:val="28"/>
        </w:rPr>
      </w:pPr>
      <w:bookmarkStart w:id="398" w:name="bookmark380"/>
      <w:bookmarkEnd w:id="398"/>
      <w:r>
        <w:rPr>
          <w:rFonts w:ascii="Times New Roman" w:hAnsi="Times New Roman" w:eastAsia="Times New Roman" w:cs="Times New Roman"/>
          <w:spacing w:val="-4"/>
          <w:sz w:val="28"/>
          <w:szCs w:val="28"/>
        </w:rPr>
        <w:t>14.</w:t>
      </w:r>
      <w:r>
        <w:rPr>
          <w:spacing w:val="-4"/>
          <w:sz w:val="28"/>
          <w:szCs w:val="28"/>
        </w:rPr>
        <w:t>计量与支付</w:t>
      </w:r>
    </w:p>
    <w:p w14:paraId="0EF2E8B3">
      <w:pPr>
        <w:pStyle w:val="2"/>
        <w:spacing w:before="96" w:line="222" w:lineRule="auto"/>
        <w:rPr>
          <w:sz w:val="24"/>
          <w:szCs w:val="24"/>
        </w:rPr>
      </w:pPr>
      <w:r>
        <w:rPr>
          <w:spacing w:val="-4"/>
          <w:sz w:val="24"/>
          <w:szCs w:val="24"/>
        </w:rPr>
        <w:t>14.1</w:t>
      </w:r>
      <w:r>
        <w:rPr>
          <w:spacing w:val="3"/>
          <w:sz w:val="24"/>
          <w:szCs w:val="24"/>
        </w:rPr>
        <w:t xml:space="preserve">    </w:t>
      </w:r>
      <w:r>
        <w:rPr>
          <w:spacing w:val="-4"/>
          <w:sz w:val="24"/>
          <w:szCs w:val="24"/>
        </w:rPr>
        <w:t>付款申请单</w:t>
      </w:r>
    </w:p>
    <w:p w14:paraId="0FD00E67">
      <w:pPr>
        <w:spacing w:before="137" w:line="371" w:lineRule="auto"/>
        <w:ind w:left="930" w:right="54" w:hanging="928"/>
        <w:rPr>
          <w:rFonts w:ascii="宋体" w:hAnsi="宋体" w:eastAsia="宋体" w:cs="宋体"/>
          <w:sz w:val="20"/>
          <w:szCs w:val="20"/>
        </w:rPr>
      </w:pPr>
      <w:r>
        <w:rPr>
          <w:rFonts w:ascii="宋体" w:hAnsi="宋体" w:eastAsia="宋体" w:cs="宋体"/>
          <w:spacing w:val="6"/>
          <w:sz w:val="20"/>
          <w:szCs w:val="20"/>
        </w:rPr>
        <w:t>14.1.1   在工程实际开工后</w:t>
      </w:r>
      <w:r>
        <w:rPr>
          <w:rFonts w:ascii="宋体" w:hAnsi="宋体" w:eastAsia="宋体" w:cs="宋体"/>
          <w:spacing w:val="-15"/>
          <w:sz w:val="20"/>
          <w:szCs w:val="20"/>
        </w:rPr>
        <w:t xml:space="preserve"> </w:t>
      </w:r>
      <w:r>
        <w:rPr>
          <w:rFonts w:ascii="宋体" w:hAnsi="宋体" w:eastAsia="宋体" w:cs="宋体"/>
          <w:spacing w:val="6"/>
          <w:sz w:val="20"/>
          <w:szCs w:val="20"/>
        </w:rPr>
        <w:t>14</w:t>
      </w:r>
      <w:r>
        <w:rPr>
          <w:rFonts w:ascii="宋体" w:hAnsi="宋体" w:eastAsia="宋体" w:cs="宋体"/>
          <w:spacing w:val="-36"/>
          <w:sz w:val="20"/>
          <w:szCs w:val="20"/>
        </w:rPr>
        <w:t xml:space="preserve"> </w:t>
      </w:r>
      <w:r>
        <w:rPr>
          <w:rFonts w:ascii="宋体" w:hAnsi="宋体" w:eastAsia="宋体" w:cs="宋体"/>
          <w:spacing w:val="6"/>
          <w:sz w:val="20"/>
          <w:szCs w:val="20"/>
        </w:rPr>
        <w:t>天内，承包人应当按照合同条款第</w:t>
      </w:r>
      <w:r>
        <w:rPr>
          <w:rFonts w:ascii="宋体" w:hAnsi="宋体" w:eastAsia="宋体" w:cs="宋体"/>
          <w:spacing w:val="-22"/>
          <w:sz w:val="20"/>
          <w:szCs w:val="20"/>
        </w:rPr>
        <w:t xml:space="preserve"> </w:t>
      </w:r>
      <w:r>
        <w:rPr>
          <w:rFonts w:ascii="宋体" w:hAnsi="宋体" w:eastAsia="宋体" w:cs="宋体"/>
          <w:spacing w:val="6"/>
          <w:sz w:val="20"/>
          <w:szCs w:val="20"/>
        </w:rPr>
        <w:t>17</w:t>
      </w:r>
      <w:r>
        <w:rPr>
          <w:rFonts w:ascii="宋体" w:hAnsi="宋体" w:eastAsia="宋体" w:cs="宋体"/>
          <w:spacing w:val="-38"/>
          <w:sz w:val="20"/>
          <w:szCs w:val="20"/>
        </w:rPr>
        <w:t xml:space="preserve"> </w:t>
      </w:r>
      <w:r>
        <w:rPr>
          <w:rFonts w:ascii="宋体" w:hAnsi="宋体" w:eastAsia="宋体" w:cs="宋体"/>
          <w:spacing w:val="6"/>
          <w:sz w:val="20"/>
          <w:szCs w:val="20"/>
        </w:rPr>
        <w:t>条的约定，准备一份已完工</w:t>
      </w:r>
      <w:r>
        <w:rPr>
          <w:rFonts w:ascii="宋体" w:hAnsi="宋体" w:eastAsia="宋体" w:cs="宋体"/>
          <w:spacing w:val="9"/>
          <w:sz w:val="20"/>
          <w:szCs w:val="20"/>
        </w:rPr>
        <w:t>程量报表、进度付款申请单和计量文件的格式等报送监理人，监理人应当在收到承包人</w:t>
      </w:r>
      <w:r>
        <w:rPr>
          <w:rFonts w:ascii="宋体" w:hAnsi="宋体" w:eastAsia="宋体" w:cs="宋体"/>
          <w:spacing w:val="7"/>
          <w:sz w:val="20"/>
          <w:szCs w:val="20"/>
        </w:rPr>
        <w:t>报送的格式后</w:t>
      </w:r>
      <w:r>
        <w:rPr>
          <w:rFonts w:ascii="宋体" w:hAnsi="宋体" w:eastAsia="宋体" w:cs="宋体"/>
          <w:spacing w:val="-19"/>
          <w:sz w:val="20"/>
          <w:szCs w:val="20"/>
        </w:rPr>
        <w:t xml:space="preserve"> </w:t>
      </w:r>
      <w:r>
        <w:rPr>
          <w:rFonts w:ascii="宋体" w:hAnsi="宋体" w:eastAsia="宋体" w:cs="宋体"/>
          <w:spacing w:val="7"/>
          <w:sz w:val="20"/>
          <w:szCs w:val="20"/>
        </w:rPr>
        <w:t>7</w:t>
      </w:r>
      <w:r>
        <w:rPr>
          <w:rFonts w:ascii="宋体" w:hAnsi="宋体" w:eastAsia="宋体" w:cs="宋体"/>
          <w:spacing w:val="-36"/>
          <w:sz w:val="20"/>
          <w:szCs w:val="20"/>
        </w:rPr>
        <w:t xml:space="preserve"> </w:t>
      </w:r>
      <w:r>
        <w:rPr>
          <w:rFonts w:ascii="宋体" w:hAnsi="宋体" w:eastAsia="宋体" w:cs="宋体"/>
          <w:spacing w:val="7"/>
          <w:sz w:val="20"/>
          <w:szCs w:val="20"/>
        </w:rPr>
        <w:t>天内给予批复或者提出修改意见。</w:t>
      </w:r>
    </w:p>
    <w:p w14:paraId="44960B47">
      <w:pPr>
        <w:spacing w:before="1" w:line="371" w:lineRule="auto"/>
        <w:ind w:left="932" w:right="54" w:hanging="930"/>
        <w:rPr>
          <w:rFonts w:ascii="宋体" w:hAnsi="宋体" w:eastAsia="宋体" w:cs="宋体"/>
          <w:sz w:val="20"/>
          <w:szCs w:val="20"/>
        </w:rPr>
      </w:pPr>
      <w:r>
        <w:rPr>
          <w:rFonts w:ascii="宋体" w:hAnsi="宋体" w:eastAsia="宋体" w:cs="宋体"/>
          <w:spacing w:val="6"/>
          <w:sz w:val="20"/>
          <w:szCs w:val="20"/>
        </w:rPr>
        <w:t>14.1.2   根据合同条款第</w:t>
      </w:r>
      <w:r>
        <w:rPr>
          <w:rFonts w:ascii="宋体" w:hAnsi="宋体" w:eastAsia="宋体" w:cs="宋体"/>
          <w:spacing w:val="-24"/>
          <w:sz w:val="20"/>
          <w:szCs w:val="20"/>
        </w:rPr>
        <w:t xml:space="preserve"> </w:t>
      </w:r>
      <w:r>
        <w:rPr>
          <w:rFonts w:ascii="宋体" w:hAnsi="宋体" w:eastAsia="宋体" w:cs="宋体"/>
          <w:spacing w:val="6"/>
          <w:sz w:val="20"/>
          <w:szCs w:val="20"/>
        </w:rPr>
        <w:t>17.1</w:t>
      </w:r>
      <w:r>
        <w:rPr>
          <w:rFonts w:ascii="宋体" w:hAnsi="宋体" w:eastAsia="宋体" w:cs="宋体"/>
          <w:spacing w:val="-39"/>
          <w:sz w:val="20"/>
          <w:szCs w:val="20"/>
        </w:rPr>
        <w:t xml:space="preserve"> </w:t>
      </w:r>
      <w:r>
        <w:rPr>
          <w:rFonts w:ascii="宋体" w:hAnsi="宋体" w:eastAsia="宋体" w:cs="宋体"/>
          <w:spacing w:val="6"/>
          <w:sz w:val="20"/>
          <w:szCs w:val="20"/>
        </w:rPr>
        <w:t>款和第</w:t>
      </w:r>
      <w:r>
        <w:rPr>
          <w:rFonts w:ascii="宋体" w:hAnsi="宋体" w:eastAsia="宋体" w:cs="宋体"/>
          <w:spacing w:val="-24"/>
          <w:sz w:val="20"/>
          <w:szCs w:val="20"/>
        </w:rPr>
        <w:t xml:space="preserve"> </w:t>
      </w:r>
      <w:r>
        <w:rPr>
          <w:rFonts w:ascii="宋体" w:hAnsi="宋体" w:eastAsia="宋体" w:cs="宋体"/>
          <w:spacing w:val="6"/>
          <w:sz w:val="20"/>
          <w:szCs w:val="20"/>
        </w:rPr>
        <w:t>17.3</w:t>
      </w:r>
      <w:r>
        <w:rPr>
          <w:rFonts w:ascii="宋体" w:hAnsi="宋体" w:eastAsia="宋体" w:cs="宋体"/>
          <w:spacing w:val="-39"/>
          <w:sz w:val="20"/>
          <w:szCs w:val="20"/>
        </w:rPr>
        <w:t xml:space="preserve"> </w:t>
      </w:r>
      <w:r>
        <w:rPr>
          <w:rFonts w:ascii="宋体" w:hAnsi="宋体" w:eastAsia="宋体" w:cs="宋体"/>
          <w:spacing w:val="6"/>
          <w:sz w:val="20"/>
          <w:szCs w:val="20"/>
        </w:rPr>
        <w:t>款，  承包人应当在合同约定的每个付款周期</w:t>
      </w:r>
      <w:r>
        <w:rPr>
          <w:rFonts w:ascii="宋体" w:hAnsi="宋体" w:eastAsia="宋体" w:cs="宋体"/>
          <w:spacing w:val="5"/>
          <w:sz w:val="20"/>
          <w:szCs w:val="20"/>
        </w:rPr>
        <w:t>末，对</w:t>
      </w:r>
      <w:r>
        <w:rPr>
          <w:rFonts w:ascii="宋体" w:hAnsi="宋体" w:eastAsia="宋体" w:cs="宋体"/>
          <w:spacing w:val="8"/>
          <w:sz w:val="20"/>
          <w:szCs w:val="20"/>
        </w:rPr>
        <w:t>当期完成的各项工程量进行计量和计价，并按照第</w:t>
      </w:r>
      <w:r>
        <w:rPr>
          <w:rFonts w:ascii="宋体" w:hAnsi="宋体" w:eastAsia="宋体" w:cs="宋体"/>
          <w:spacing w:val="-21"/>
          <w:sz w:val="20"/>
          <w:szCs w:val="20"/>
        </w:rPr>
        <w:t xml:space="preserve"> </w:t>
      </w:r>
      <w:r>
        <w:rPr>
          <w:rFonts w:ascii="宋体" w:hAnsi="宋体" w:eastAsia="宋体" w:cs="宋体"/>
          <w:spacing w:val="8"/>
          <w:sz w:val="20"/>
          <w:szCs w:val="20"/>
        </w:rPr>
        <w:t>17.3.2</w:t>
      </w:r>
      <w:r>
        <w:rPr>
          <w:rFonts w:ascii="宋体" w:hAnsi="宋体" w:eastAsia="宋体" w:cs="宋体"/>
          <w:spacing w:val="-37"/>
          <w:sz w:val="20"/>
          <w:szCs w:val="20"/>
        </w:rPr>
        <w:t xml:space="preserve"> </w:t>
      </w:r>
      <w:r>
        <w:rPr>
          <w:rFonts w:ascii="宋体" w:hAnsi="宋体" w:eastAsia="宋体" w:cs="宋体"/>
          <w:spacing w:val="8"/>
          <w:sz w:val="20"/>
          <w:szCs w:val="20"/>
        </w:rPr>
        <w:t>项的约定，对当期应增加和</w:t>
      </w:r>
      <w:r>
        <w:rPr>
          <w:rFonts w:ascii="宋体" w:hAnsi="宋体" w:eastAsia="宋体" w:cs="宋体"/>
          <w:spacing w:val="9"/>
          <w:sz w:val="20"/>
          <w:szCs w:val="20"/>
        </w:rPr>
        <w:t>扣减的各类款项进行梳理和汇总，按经监理人批准的格式和专用合同条款约定的份数和内容准备并向监理人递交进度付款申请单，并将进度付款申请单连同已完工程量报表、</w:t>
      </w:r>
      <w:r>
        <w:rPr>
          <w:rFonts w:ascii="宋体" w:hAnsi="宋体" w:eastAsia="宋体" w:cs="宋体"/>
          <w:spacing w:val="10"/>
          <w:sz w:val="20"/>
          <w:szCs w:val="20"/>
        </w:rPr>
        <w:t>有关计量资料以及能够证明其进度付款申请单中所索要款</w:t>
      </w:r>
      <w:r>
        <w:rPr>
          <w:rFonts w:ascii="宋体" w:hAnsi="宋体" w:eastAsia="宋体" w:cs="宋体"/>
          <w:spacing w:val="9"/>
          <w:sz w:val="20"/>
          <w:szCs w:val="20"/>
        </w:rPr>
        <w:t>项符合合同约定的各个支持</w:t>
      </w:r>
      <w:r>
        <w:rPr>
          <w:rFonts w:ascii="宋体" w:hAnsi="宋体" w:eastAsia="宋体" w:cs="宋体"/>
          <w:spacing w:val="8"/>
          <w:sz w:val="20"/>
          <w:szCs w:val="20"/>
        </w:rPr>
        <w:t>性文件同时报送监理人审批。</w:t>
      </w:r>
    </w:p>
    <w:p w14:paraId="0D74D2DB">
      <w:pPr>
        <w:spacing w:line="373" w:lineRule="auto"/>
        <w:ind w:left="932" w:hanging="930"/>
        <w:rPr>
          <w:rFonts w:ascii="宋体" w:hAnsi="宋体" w:eastAsia="宋体" w:cs="宋体"/>
          <w:sz w:val="20"/>
          <w:szCs w:val="20"/>
        </w:rPr>
      </w:pPr>
      <w:r>
        <w:rPr>
          <w:rFonts w:ascii="宋体" w:hAnsi="宋体" w:eastAsia="宋体" w:cs="宋体"/>
          <w:spacing w:val="5"/>
          <w:sz w:val="20"/>
          <w:szCs w:val="20"/>
        </w:rPr>
        <w:t>14.1.3   竣工付款申诅单的内容按专用合同条款第</w:t>
      </w:r>
      <w:r>
        <w:rPr>
          <w:rFonts w:ascii="宋体" w:hAnsi="宋体" w:eastAsia="宋体" w:cs="宋体"/>
          <w:spacing w:val="-21"/>
          <w:sz w:val="20"/>
          <w:szCs w:val="20"/>
        </w:rPr>
        <w:t xml:space="preserve"> </w:t>
      </w:r>
      <w:r>
        <w:rPr>
          <w:rFonts w:ascii="宋体" w:hAnsi="宋体" w:eastAsia="宋体" w:cs="宋体"/>
          <w:spacing w:val="5"/>
          <w:sz w:val="20"/>
          <w:szCs w:val="20"/>
        </w:rPr>
        <w:t>17.5.1（1）目的约定。采用单价合同形</w:t>
      </w:r>
      <w:r>
        <w:rPr>
          <w:rFonts w:ascii="宋体" w:hAnsi="宋体" w:eastAsia="宋体" w:cs="宋体"/>
          <w:spacing w:val="4"/>
          <w:sz w:val="20"/>
          <w:szCs w:val="20"/>
        </w:rPr>
        <w:t>式的，</w:t>
      </w:r>
      <w:r>
        <w:rPr>
          <w:rFonts w:ascii="宋体" w:hAnsi="宋体" w:eastAsia="宋体" w:cs="宋体"/>
          <w:spacing w:val="7"/>
          <w:sz w:val="20"/>
          <w:szCs w:val="20"/>
        </w:rPr>
        <w:t>竣工付款申请单应当附上按通用合同条款第</w:t>
      </w:r>
      <w:r>
        <w:rPr>
          <w:rFonts w:ascii="宋体" w:hAnsi="宋体" w:eastAsia="宋体" w:cs="宋体"/>
          <w:spacing w:val="-24"/>
          <w:sz w:val="20"/>
          <w:szCs w:val="20"/>
        </w:rPr>
        <w:t xml:space="preserve"> </w:t>
      </w:r>
      <w:r>
        <w:rPr>
          <w:rFonts w:ascii="宋体" w:hAnsi="宋体" w:eastAsia="宋体" w:cs="宋体"/>
          <w:spacing w:val="7"/>
          <w:sz w:val="20"/>
          <w:szCs w:val="20"/>
        </w:rPr>
        <w:t>17.1.4（5）</w:t>
      </w:r>
      <w:r>
        <w:rPr>
          <w:rFonts w:ascii="宋体" w:hAnsi="宋体" w:eastAsia="宋体" w:cs="宋体"/>
          <w:spacing w:val="-42"/>
          <w:sz w:val="20"/>
          <w:szCs w:val="20"/>
        </w:rPr>
        <w:t xml:space="preserve"> </w:t>
      </w:r>
      <w:r>
        <w:rPr>
          <w:rFonts w:ascii="宋体" w:hAnsi="宋体" w:eastAsia="宋体" w:cs="宋体"/>
          <w:spacing w:val="7"/>
          <w:sz w:val="20"/>
          <w:szCs w:val="20"/>
        </w:rPr>
        <w:t>目确定的结算工程量</w:t>
      </w:r>
      <w:r>
        <w:rPr>
          <w:rFonts w:ascii="宋体" w:hAnsi="宋体" w:eastAsia="宋体" w:cs="宋体"/>
          <w:spacing w:val="6"/>
          <w:sz w:val="20"/>
          <w:szCs w:val="20"/>
        </w:rPr>
        <w:t>和最近一</w:t>
      </w:r>
    </w:p>
    <w:p w14:paraId="6482AC78">
      <w:pPr>
        <w:spacing w:line="373" w:lineRule="auto"/>
        <w:rPr>
          <w:rFonts w:ascii="宋体" w:hAnsi="宋体" w:eastAsia="宋体" w:cs="宋体"/>
          <w:sz w:val="20"/>
          <w:szCs w:val="20"/>
        </w:rPr>
        <w:sectPr>
          <w:footerReference r:id="rId499" w:type="default"/>
          <w:pgSz w:w="11907" w:h="16840"/>
          <w:pgMar w:top="400" w:right="1477" w:bottom="1247" w:left="1495" w:header="0" w:footer="1085" w:gutter="0"/>
          <w:cols w:space="720" w:num="1"/>
        </w:sectPr>
      </w:pPr>
    </w:p>
    <w:p w14:paraId="2F251195">
      <w:pPr>
        <w:spacing w:line="274" w:lineRule="auto"/>
        <w:rPr>
          <w:rFonts w:ascii="Arial"/>
          <w:sz w:val="21"/>
        </w:rPr>
      </w:pPr>
    </w:p>
    <w:p w14:paraId="1EBFEBA5">
      <w:pPr>
        <w:spacing w:line="274" w:lineRule="auto"/>
        <w:rPr>
          <w:rFonts w:ascii="Arial"/>
          <w:sz w:val="21"/>
        </w:rPr>
      </w:pPr>
    </w:p>
    <w:p w14:paraId="45974A7D">
      <w:pPr>
        <w:spacing w:line="274" w:lineRule="auto"/>
        <w:rPr>
          <w:rFonts w:ascii="Arial"/>
          <w:sz w:val="21"/>
        </w:rPr>
      </w:pPr>
    </w:p>
    <w:p w14:paraId="4DEAABDB">
      <w:pPr>
        <w:spacing w:line="274" w:lineRule="auto"/>
        <w:rPr>
          <w:rFonts w:ascii="Arial"/>
          <w:sz w:val="21"/>
        </w:rPr>
      </w:pPr>
    </w:p>
    <w:p w14:paraId="397617E5">
      <w:pPr>
        <w:spacing w:line="274" w:lineRule="auto"/>
        <w:rPr>
          <w:rFonts w:ascii="Arial"/>
          <w:sz w:val="21"/>
        </w:rPr>
      </w:pPr>
    </w:p>
    <w:p w14:paraId="3B8E3279">
      <w:pPr>
        <w:spacing w:before="65" w:line="371" w:lineRule="auto"/>
        <w:ind w:left="930"/>
        <w:jc w:val="both"/>
        <w:rPr>
          <w:rFonts w:ascii="宋体" w:hAnsi="宋体" w:eastAsia="宋体" w:cs="宋体"/>
          <w:sz w:val="20"/>
          <w:szCs w:val="20"/>
        </w:rPr>
      </w:pPr>
      <w:r>
        <w:rPr>
          <w:rFonts w:ascii="宋体" w:hAnsi="宋体" w:eastAsia="宋体" w:cs="宋体"/>
          <w:spacing w:val="9"/>
          <w:sz w:val="20"/>
          <w:szCs w:val="20"/>
        </w:rPr>
        <w:t>欠进度付款和竣工付款之间完成的各子目的工程量计量文件。采用总价合同形式的，签约合同价所基于的工程量就是相应的竣工结算工程量，但是，变更应按合同约定进行计</w:t>
      </w:r>
      <w:r>
        <w:rPr>
          <w:rFonts w:ascii="宋体" w:hAnsi="宋体" w:eastAsia="宋体" w:cs="宋体"/>
          <w:spacing w:val="5"/>
          <w:sz w:val="20"/>
          <w:szCs w:val="20"/>
        </w:rPr>
        <w:t>量和计价。</w:t>
      </w:r>
    </w:p>
    <w:p w14:paraId="3B592BBE">
      <w:pPr>
        <w:spacing w:line="226" w:lineRule="auto"/>
        <w:rPr>
          <w:rFonts w:ascii="宋体" w:hAnsi="宋体" w:eastAsia="宋体" w:cs="宋体"/>
          <w:sz w:val="20"/>
          <w:szCs w:val="20"/>
        </w:rPr>
      </w:pPr>
      <w:r>
        <w:rPr>
          <w:rFonts w:ascii="宋体" w:hAnsi="宋体" w:eastAsia="宋体" w:cs="宋体"/>
          <w:spacing w:val="7"/>
          <w:sz w:val="20"/>
          <w:szCs w:val="20"/>
        </w:rPr>
        <w:t>14.1.4   竣工结算总价（合同价格）应当按以下内容梳理：</w:t>
      </w:r>
    </w:p>
    <w:p w14:paraId="1F639AF7">
      <w:pPr>
        <w:spacing w:before="155" w:line="226" w:lineRule="auto"/>
        <w:ind w:left="940"/>
        <w:rPr>
          <w:rFonts w:ascii="宋体" w:hAnsi="宋体" w:eastAsia="宋体" w:cs="宋体"/>
          <w:sz w:val="20"/>
          <w:szCs w:val="20"/>
        </w:rPr>
      </w:pPr>
      <w:r>
        <w:rPr>
          <w:rFonts w:ascii="宋体" w:hAnsi="宋体" w:eastAsia="宋体" w:cs="宋体"/>
          <w:spacing w:val="6"/>
          <w:sz w:val="20"/>
          <w:szCs w:val="20"/>
        </w:rPr>
        <w:t>（1）签约合同价；</w:t>
      </w:r>
    </w:p>
    <w:p w14:paraId="7A0BA2A1">
      <w:pPr>
        <w:spacing w:before="158" w:line="228" w:lineRule="auto"/>
        <w:ind w:left="940"/>
        <w:rPr>
          <w:rFonts w:ascii="宋体" w:hAnsi="宋体" w:eastAsia="宋体" w:cs="宋体"/>
          <w:sz w:val="20"/>
          <w:szCs w:val="20"/>
        </w:rPr>
      </w:pPr>
      <w:r>
        <w:rPr>
          <w:rFonts w:ascii="宋体" w:hAnsi="宋体" w:eastAsia="宋体" w:cs="宋体"/>
          <w:spacing w:val="6"/>
          <w:sz w:val="20"/>
          <w:szCs w:val="20"/>
        </w:rPr>
        <w:t>（2）应当扣减的项目；</w:t>
      </w:r>
    </w:p>
    <w:p w14:paraId="463BCC0E">
      <w:pPr>
        <w:spacing w:before="153" w:line="228" w:lineRule="auto"/>
        <w:ind w:left="1260"/>
        <w:rPr>
          <w:rFonts w:ascii="宋体" w:hAnsi="宋体" w:eastAsia="宋体" w:cs="宋体"/>
          <w:sz w:val="20"/>
          <w:szCs w:val="20"/>
        </w:rPr>
      </w:pPr>
      <w:r>
        <w:rPr>
          <w:rFonts w:ascii="宋体" w:hAnsi="宋体" w:eastAsia="宋体" w:cs="宋体"/>
          <w:spacing w:val="5"/>
          <w:sz w:val="20"/>
          <w:szCs w:val="20"/>
        </w:rPr>
        <w:t>1）所有暂列金额；</w:t>
      </w:r>
    </w:p>
    <w:p w14:paraId="3B6CDD67">
      <w:pPr>
        <w:spacing w:before="156" w:line="226" w:lineRule="auto"/>
        <w:ind w:left="1247"/>
        <w:rPr>
          <w:rFonts w:ascii="宋体" w:hAnsi="宋体" w:eastAsia="宋体" w:cs="宋体"/>
          <w:sz w:val="20"/>
          <w:szCs w:val="20"/>
        </w:rPr>
      </w:pPr>
      <w:r>
        <w:rPr>
          <w:rFonts w:ascii="宋体" w:hAnsi="宋体" w:eastAsia="宋体" w:cs="宋体"/>
          <w:spacing w:val="6"/>
          <w:sz w:val="20"/>
          <w:szCs w:val="20"/>
        </w:rPr>
        <w:t>2）所有暂估价；</w:t>
      </w:r>
    </w:p>
    <w:p w14:paraId="355BE482">
      <w:pPr>
        <w:spacing w:before="204" w:line="228" w:lineRule="auto"/>
        <w:ind w:left="1248"/>
        <w:rPr>
          <w:rFonts w:ascii="宋体" w:hAnsi="宋体" w:eastAsia="宋体" w:cs="宋体"/>
          <w:sz w:val="20"/>
          <w:szCs w:val="20"/>
        </w:rPr>
      </w:pPr>
      <w:r>
        <w:rPr>
          <w:rFonts w:ascii="宋体" w:hAnsi="宋体" w:eastAsia="宋体" w:cs="宋体"/>
          <w:spacing w:val="6"/>
          <w:sz w:val="20"/>
          <w:szCs w:val="20"/>
        </w:rPr>
        <w:t>3）根据合同条款第</w:t>
      </w:r>
      <w:r>
        <w:rPr>
          <w:rFonts w:ascii="宋体" w:hAnsi="宋体" w:eastAsia="宋体" w:cs="宋体"/>
          <w:spacing w:val="-12"/>
          <w:sz w:val="20"/>
          <w:szCs w:val="20"/>
        </w:rPr>
        <w:t xml:space="preserve"> </w:t>
      </w:r>
      <w:r>
        <w:rPr>
          <w:rFonts w:ascii="宋体" w:hAnsi="宋体" w:eastAsia="宋体" w:cs="宋体"/>
          <w:spacing w:val="6"/>
          <w:sz w:val="20"/>
          <w:szCs w:val="20"/>
        </w:rPr>
        <w:t>15</w:t>
      </w:r>
      <w:r>
        <w:rPr>
          <w:rFonts w:ascii="宋体" w:hAnsi="宋体" w:eastAsia="宋体" w:cs="宋体"/>
          <w:spacing w:val="-39"/>
          <w:sz w:val="20"/>
          <w:szCs w:val="20"/>
        </w:rPr>
        <w:t xml:space="preserve"> </w:t>
      </w:r>
      <w:r>
        <w:rPr>
          <w:rFonts w:ascii="宋体" w:hAnsi="宋体" w:eastAsia="宋体" w:cs="宋体"/>
          <w:spacing w:val="6"/>
          <w:sz w:val="20"/>
          <w:szCs w:val="20"/>
        </w:rPr>
        <w:t>条应扣减的变更金额；</w:t>
      </w:r>
    </w:p>
    <w:p w14:paraId="626844D5">
      <w:pPr>
        <w:spacing w:before="212" w:line="226" w:lineRule="auto"/>
        <w:ind w:left="1243"/>
        <w:rPr>
          <w:rFonts w:ascii="宋体" w:hAnsi="宋体" w:eastAsia="宋体" w:cs="宋体"/>
          <w:sz w:val="20"/>
          <w:szCs w:val="20"/>
        </w:rPr>
      </w:pPr>
      <w:r>
        <w:rPr>
          <w:rFonts w:ascii="宋体" w:hAnsi="宋体" w:eastAsia="宋体" w:cs="宋体"/>
          <w:spacing w:val="7"/>
          <w:sz w:val="20"/>
          <w:szCs w:val="20"/>
        </w:rPr>
        <w:t>4）根据合同条款第</w:t>
      </w:r>
      <w:r>
        <w:rPr>
          <w:rFonts w:ascii="宋体" w:hAnsi="宋体" w:eastAsia="宋体" w:cs="宋体"/>
          <w:spacing w:val="-20"/>
          <w:sz w:val="20"/>
          <w:szCs w:val="20"/>
        </w:rPr>
        <w:t xml:space="preserve"> </w:t>
      </w:r>
      <w:r>
        <w:rPr>
          <w:rFonts w:ascii="宋体" w:hAnsi="宋体" w:eastAsia="宋体" w:cs="宋体"/>
          <w:spacing w:val="7"/>
          <w:sz w:val="20"/>
          <w:szCs w:val="20"/>
        </w:rPr>
        <w:t>16</w:t>
      </w:r>
      <w:r>
        <w:rPr>
          <w:rFonts w:ascii="宋体" w:hAnsi="宋体" w:eastAsia="宋体" w:cs="宋体"/>
          <w:spacing w:val="-39"/>
          <w:sz w:val="20"/>
          <w:szCs w:val="20"/>
        </w:rPr>
        <w:t xml:space="preserve"> </w:t>
      </w:r>
      <w:r>
        <w:rPr>
          <w:rFonts w:ascii="宋体" w:hAnsi="宋体" w:eastAsia="宋体" w:cs="宋体"/>
          <w:spacing w:val="7"/>
          <w:sz w:val="20"/>
          <w:szCs w:val="20"/>
        </w:rPr>
        <w:t>条应扣减的价格调整（下调部分</w:t>
      </w:r>
      <w:r>
        <w:rPr>
          <w:rFonts w:ascii="宋体" w:hAnsi="宋体" w:eastAsia="宋体" w:cs="宋体"/>
          <w:spacing w:val="-47"/>
          <w:sz w:val="20"/>
          <w:szCs w:val="20"/>
        </w:rPr>
        <w:t>）；</w:t>
      </w:r>
    </w:p>
    <w:p w14:paraId="54BD8E3F">
      <w:pPr>
        <w:spacing w:before="215" w:line="228" w:lineRule="auto"/>
        <w:ind w:left="1248"/>
        <w:rPr>
          <w:rFonts w:ascii="宋体" w:hAnsi="宋体" w:eastAsia="宋体" w:cs="宋体"/>
          <w:sz w:val="20"/>
          <w:szCs w:val="20"/>
        </w:rPr>
      </w:pPr>
      <w:r>
        <w:rPr>
          <w:rFonts w:ascii="宋体" w:hAnsi="宋体" w:eastAsia="宋体" w:cs="宋体"/>
          <w:spacing w:val="7"/>
          <w:sz w:val="20"/>
          <w:szCs w:val="20"/>
        </w:rPr>
        <w:t>5）根据合同条款第</w:t>
      </w:r>
      <w:r>
        <w:rPr>
          <w:rFonts w:ascii="宋体" w:hAnsi="宋体" w:eastAsia="宋体" w:cs="宋体"/>
          <w:spacing w:val="-30"/>
          <w:sz w:val="20"/>
          <w:szCs w:val="20"/>
        </w:rPr>
        <w:t xml:space="preserve"> </w:t>
      </w:r>
      <w:r>
        <w:rPr>
          <w:rFonts w:ascii="宋体" w:hAnsi="宋体" w:eastAsia="宋体" w:cs="宋体"/>
          <w:spacing w:val="7"/>
          <w:sz w:val="20"/>
          <w:szCs w:val="20"/>
        </w:rPr>
        <w:t>23.4</w:t>
      </w:r>
      <w:r>
        <w:rPr>
          <w:rFonts w:ascii="宋体" w:hAnsi="宋体" w:eastAsia="宋体" w:cs="宋体"/>
          <w:spacing w:val="-37"/>
          <w:sz w:val="20"/>
          <w:szCs w:val="20"/>
        </w:rPr>
        <w:t xml:space="preserve"> </w:t>
      </w:r>
      <w:r>
        <w:rPr>
          <w:rFonts w:ascii="宋体" w:hAnsi="宋体" w:eastAsia="宋体" w:cs="宋体"/>
          <w:spacing w:val="7"/>
          <w:sz w:val="20"/>
          <w:szCs w:val="20"/>
        </w:rPr>
        <w:t>款应扣减的发包人索赔金额；</w:t>
      </w:r>
    </w:p>
    <w:p w14:paraId="5D901CB9">
      <w:pPr>
        <w:spacing w:before="214" w:line="226" w:lineRule="auto"/>
        <w:ind w:left="1246"/>
        <w:rPr>
          <w:rFonts w:ascii="宋体" w:hAnsi="宋体" w:eastAsia="宋体" w:cs="宋体"/>
          <w:sz w:val="20"/>
          <w:szCs w:val="20"/>
        </w:rPr>
      </w:pPr>
      <w:r>
        <w:rPr>
          <w:rFonts w:ascii="宋体" w:hAnsi="宋体" w:eastAsia="宋体" w:cs="宋体"/>
          <w:spacing w:val="8"/>
          <w:sz w:val="20"/>
          <w:szCs w:val="20"/>
        </w:rPr>
        <w:t>6）甩项工程的合同价值（如果有</w:t>
      </w:r>
      <w:r>
        <w:rPr>
          <w:rFonts w:ascii="宋体" w:hAnsi="宋体" w:eastAsia="宋体" w:cs="宋体"/>
          <w:spacing w:val="-48"/>
          <w:sz w:val="20"/>
          <w:szCs w:val="20"/>
        </w:rPr>
        <w:t>）；</w:t>
      </w:r>
    </w:p>
    <w:p w14:paraId="0545FE39">
      <w:pPr>
        <w:spacing w:before="213" w:line="228" w:lineRule="auto"/>
        <w:ind w:left="1249"/>
        <w:rPr>
          <w:rFonts w:ascii="宋体" w:hAnsi="宋体" w:eastAsia="宋体" w:cs="宋体"/>
          <w:sz w:val="20"/>
          <w:szCs w:val="20"/>
        </w:rPr>
      </w:pPr>
      <w:r>
        <w:rPr>
          <w:rFonts w:ascii="宋体" w:hAnsi="宋体" w:eastAsia="宋体" w:cs="宋体"/>
          <w:spacing w:val="8"/>
          <w:sz w:val="20"/>
          <w:szCs w:val="20"/>
        </w:rPr>
        <w:t>7）根据合同约定发包人应扣减的其他金额。</w:t>
      </w:r>
    </w:p>
    <w:p w14:paraId="660D3952">
      <w:pPr>
        <w:spacing w:before="215" w:line="228" w:lineRule="auto"/>
        <w:ind w:left="940"/>
        <w:rPr>
          <w:rFonts w:ascii="宋体" w:hAnsi="宋体" w:eastAsia="宋体" w:cs="宋体"/>
          <w:sz w:val="20"/>
          <w:szCs w:val="20"/>
        </w:rPr>
      </w:pPr>
      <w:r>
        <w:rPr>
          <w:rFonts w:ascii="宋体" w:hAnsi="宋体" w:eastAsia="宋体" w:cs="宋体"/>
          <w:spacing w:val="6"/>
          <w:sz w:val="20"/>
          <w:szCs w:val="20"/>
        </w:rPr>
        <w:t>（3）应当增加的项目；</w:t>
      </w:r>
    </w:p>
    <w:p w14:paraId="3F320096">
      <w:pPr>
        <w:spacing w:before="213" w:line="228" w:lineRule="auto"/>
        <w:ind w:left="1260"/>
        <w:rPr>
          <w:rFonts w:ascii="宋体" w:hAnsi="宋体" w:eastAsia="宋体" w:cs="宋体"/>
          <w:sz w:val="20"/>
          <w:szCs w:val="20"/>
        </w:rPr>
      </w:pPr>
      <w:r>
        <w:rPr>
          <w:rFonts w:ascii="宋体" w:hAnsi="宋体" w:eastAsia="宋体" w:cs="宋体"/>
          <w:spacing w:val="8"/>
          <w:sz w:val="20"/>
          <w:szCs w:val="20"/>
        </w:rPr>
        <w:t>1）实际发生的暂列金额（包括计日工</w:t>
      </w:r>
      <w:r>
        <w:rPr>
          <w:rFonts w:ascii="宋体" w:hAnsi="宋体" w:eastAsia="宋体" w:cs="宋体"/>
          <w:spacing w:val="-53"/>
          <w:sz w:val="20"/>
          <w:szCs w:val="20"/>
        </w:rPr>
        <w:t>）；</w:t>
      </w:r>
    </w:p>
    <w:p w14:paraId="5859DED6">
      <w:pPr>
        <w:spacing w:before="212" w:line="226" w:lineRule="auto"/>
        <w:ind w:left="1247"/>
        <w:rPr>
          <w:rFonts w:ascii="宋体" w:hAnsi="宋体" w:eastAsia="宋体" w:cs="宋体"/>
          <w:sz w:val="20"/>
          <w:szCs w:val="20"/>
        </w:rPr>
      </w:pPr>
      <w:r>
        <w:rPr>
          <w:rFonts w:ascii="宋体" w:hAnsi="宋体" w:eastAsia="宋体" w:cs="宋体"/>
          <w:spacing w:val="7"/>
          <w:sz w:val="20"/>
          <w:szCs w:val="20"/>
        </w:rPr>
        <w:t>2）实际发生的暂估价；</w:t>
      </w:r>
    </w:p>
    <w:p w14:paraId="3B7A33BC">
      <w:pPr>
        <w:spacing w:before="215" w:line="228" w:lineRule="auto"/>
        <w:ind w:left="1248"/>
        <w:rPr>
          <w:rFonts w:ascii="宋体" w:hAnsi="宋体" w:eastAsia="宋体" w:cs="宋体"/>
          <w:sz w:val="20"/>
          <w:szCs w:val="20"/>
        </w:rPr>
      </w:pPr>
      <w:r>
        <w:rPr>
          <w:rFonts w:ascii="宋体" w:hAnsi="宋体" w:eastAsia="宋体" w:cs="宋体"/>
          <w:spacing w:val="6"/>
          <w:sz w:val="20"/>
          <w:szCs w:val="20"/>
        </w:rPr>
        <w:t>3）根据合同条款第</w:t>
      </w:r>
      <w:r>
        <w:rPr>
          <w:rFonts w:ascii="宋体" w:hAnsi="宋体" w:eastAsia="宋体" w:cs="宋体"/>
          <w:spacing w:val="-12"/>
          <w:sz w:val="20"/>
          <w:szCs w:val="20"/>
        </w:rPr>
        <w:t xml:space="preserve"> </w:t>
      </w:r>
      <w:r>
        <w:rPr>
          <w:rFonts w:ascii="宋体" w:hAnsi="宋体" w:eastAsia="宋体" w:cs="宋体"/>
          <w:spacing w:val="6"/>
          <w:sz w:val="20"/>
          <w:szCs w:val="20"/>
        </w:rPr>
        <w:t>15</w:t>
      </w:r>
      <w:r>
        <w:rPr>
          <w:rFonts w:ascii="宋体" w:hAnsi="宋体" w:eastAsia="宋体" w:cs="宋体"/>
          <w:spacing w:val="-39"/>
          <w:sz w:val="20"/>
          <w:szCs w:val="20"/>
        </w:rPr>
        <w:t xml:space="preserve"> </w:t>
      </w:r>
      <w:r>
        <w:rPr>
          <w:rFonts w:ascii="宋体" w:hAnsi="宋体" w:eastAsia="宋体" w:cs="宋体"/>
          <w:spacing w:val="6"/>
          <w:sz w:val="20"/>
          <w:szCs w:val="20"/>
        </w:rPr>
        <w:t>条应增加的变更金额；</w:t>
      </w:r>
    </w:p>
    <w:p w14:paraId="7FBA16BC">
      <w:pPr>
        <w:spacing w:before="215" w:line="226" w:lineRule="auto"/>
        <w:ind w:left="1243"/>
        <w:rPr>
          <w:rFonts w:ascii="宋体" w:hAnsi="宋体" w:eastAsia="宋体" w:cs="宋体"/>
          <w:sz w:val="20"/>
          <w:szCs w:val="20"/>
        </w:rPr>
      </w:pPr>
      <w:r>
        <w:rPr>
          <w:rFonts w:ascii="宋体" w:hAnsi="宋体" w:eastAsia="宋体" w:cs="宋体"/>
          <w:spacing w:val="7"/>
          <w:sz w:val="20"/>
          <w:szCs w:val="20"/>
        </w:rPr>
        <w:t>4）根据合同条款第</w:t>
      </w:r>
      <w:r>
        <w:rPr>
          <w:rFonts w:ascii="宋体" w:hAnsi="宋体" w:eastAsia="宋体" w:cs="宋体"/>
          <w:spacing w:val="-20"/>
          <w:sz w:val="20"/>
          <w:szCs w:val="20"/>
        </w:rPr>
        <w:t xml:space="preserve"> </w:t>
      </w:r>
      <w:r>
        <w:rPr>
          <w:rFonts w:ascii="宋体" w:hAnsi="宋体" w:eastAsia="宋体" w:cs="宋体"/>
          <w:spacing w:val="7"/>
          <w:sz w:val="20"/>
          <w:szCs w:val="20"/>
        </w:rPr>
        <w:t>16</w:t>
      </w:r>
      <w:r>
        <w:rPr>
          <w:rFonts w:ascii="宋体" w:hAnsi="宋体" w:eastAsia="宋体" w:cs="宋体"/>
          <w:spacing w:val="-39"/>
          <w:sz w:val="20"/>
          <w:szCs w:val="20"/>
        </w:rPr>
        <w:t xml:space="preserve"> </w:t>
      </w:r>
      <w:r>
        <w:rPr>
          <w:rFonts w:ascii="宋体" w:hAnsi="宋体" w:eastAsia="宋体" w:cs="宋体"/>
          <w:spacing w:val="7"/>
          <w:sz w:val="20"/>
          <w:szCs w:val="20"/>
        </w:rPr>
        <w:t>条应增加的价格调整（上调部分</w:t>
      </w:r>
      <w:r>
        <w:rPr>
          <w:rFonts w:ascii="宋体" w:hAnsi="宋体" w:eastAsia="宋体" w:cs="宋体"/>
          <w:spacing w:val="-47"/>
          <w:sz w:val="20"/>
          <w:szCs w:val="20"/>
        </w:rPr>
        <w:t>）；</w:t>
      </w:r>
    </w:p>
    <w:p w14:paraId="585BDB86">
      <w:pPr>
        <w:spacing w:before="213" w:line="228" w:lineRule="auto"/>
        <w:ind w:left="1248"/>
        <w:rPr>
          <w:rFonts w:ascii="宋体" w:hAnsi="宋体" w:eastAsia="宋体" w:cs="宋体"/>
          <w:sz w:val="20"/>
          <w:szCs w:val="20"/>
        </w:rPr>
      </w:pPr>
      <w:r>
        <w:rPr>
          <w:rFonts w:ascii="宋体" w:hAnsi="宋体" w:eastAsia="宋体" w:cs="宋体"/>
          <w:spacing w:val="7"/>
          <w:sz w:val="20"/>
          <w:szCs w:val="20"/>
        </w:rPr>
        <w:t>5）根据合同条款第</w:t>
      </w:r>
      <w:r>
        <w:rPr>
          <w:rFonts w:ascii="宋体" w:hAnsi="宋体" w:eastAsia="宋体" w:cs="宋体"/>
          <w:spacing w:val="-30"/>
          <w:sz w:val="20"/>
          <w:szCs w:val="20"/>
        </w:rPr>
        <w:t xml:space="preserve"> </w:t>
      </w:r>
      <w:r>
        <w:rPr>
          <w:rFonts w:ascii="宋体" w:hAnsi="宋体" w:eastAsia="宋体" w:cs="宋体"/>
          <w:spacing w:val="7"/>
          <w:sz w:val="20"/>
          <w:szCs w:val="20"/>
        </w:rPr>
        <w:t>23.2</w:t>
      </w:r>
      <w:r>
        <w:rPr>
          <w:rFonts w:ascii="宋体" w:hAnsi="宋体" w:eastAsia="宋体" w:cs="宋体"/>
          <w:spacing w:val="-37"/>
          <w:sz w:val="20"/>
          <w:szCs w:val="20"/>
        </w:rPr>
        <w:t xml:space="preserve"> </w:t>
      </w:r>
      <w:r>
        <w:rPr>
          <w:rFonts w:ascii="宋体" w:hAnsi="宋体" w:eastAsia="宋体" w:cs="宋体"/>
          <w:spacing w:val="7"/>
          <w:sz w:val="20"/>
          <w:szCs w:val="20"/>
        </w:rPr>
        <w:t>款应增加的承包人索赔金额；</w:t>
      </w:r>
    </w:p>
    <w:p w14:paraId="53E778AD">
      <w:pPr>
        <w:spacing w:before="214" w:line="228" w:lineRule="auto"/>
        <w:ind w:left="1246"/>
        <w:rPr>
          <w:rFonts w:ascii="宋体" w:hAnsi="宋体" w:eastAsia="宋体" w:cs="宋体"/>
          <w:sz w:val="20"/>
          <w:szCs w:val="20"/>
        </w:rPr>
      </w:pPr>
      <w:r>
        <w:rPr>
          <w:rFonts w:ascii="宋体" w:hAnsi="宋体" w:eastAsia="宋体" w:cs="宋体"/>
          <w:spacing w:val="8"/>
          <w:sz w:val="20"/>
          <w:szCs w:val="20"/>
        </w:rPr>
        <w:t>6）根据合同约定承包人应当得到的其他金额。</w:t>
      </w:r>
    </w:p>
    <w:p w14:paraId="26723E20">
      <w:pPr>
        <w:spacing w:before="213" w:line="228" w:lineRule="auto"/>
        <w:ind w:left="940"/>
        <w:rPr>
          <w:rFonts w:ascii="宋体" w:hAnsi="宋体" w:eastAsia="宋体" w:cs="宋体"/>
          <w:sz w:val="20"/>
          <w:szCs w:val="20"/>
        </w:rPr>
      </w:pPr>
      <w:r>
        <w:rPr>
          <w:rFonts w:ascii="宋体" w:hAnsi="宋体" w:eastAsia="宋体" w:cs="宋体"/>
          <w:spacing w:val="7"/>
          <w:sz w:val="20"/>
          <w:szCs w:val="20"/>
        </w:rPr>
        <w:t>（4）规费和税金差额部分。</w:t>
      </w:r>
    </w:p>
    <w:p w14:paraId="647F7834">
      <w:pPr>
        <w:spacing w:before="212" w:line="228" w:lineRule="auto"/>
        <w:rPr>
          <w:rFonts w:ascii="宋体" w:hAnsi="宋体" w:eastAsia="宋体" w:cs="宋体"/>
          <w:sz w:val="20"/>
          <w:szCs w:val="20"/>
        </w:rPr>
      </w:pPr>
      <w:r>
        <w:rPr>
          <w:rFonts w:ascii="宋体" w:hAnsi="宋体" w:eastAsia="宋体" w:cs="宋体"/>
          <w:spacing w:val="7"/>
          <w:sz w:val="20"/>
          <w:szCs w:val="20"/>
        </w:rPr>
        <w:t>14.1.5   最终结清申请单的应付金额应当按下列内容梳理：</w:t>
      </w:r>
    </w:p>
    <w:p w14:paraId="0264A08E">
      <w:pPr>
        <w:spacing w:before="214" w:line="228" w:lineRule="auto"/>
        <w:ind w:left="834"/>
        <w:rPr>
          <w:rFonts w:ascii="宋体" w:hAnsi="宋体" w:eastAsia="宋体" w:cs="宋体"/>
          <w:sz w:val="20"/>
          <w:szCs w:val="20"/>
        </w:rPr>
      </w:pPr>
      <w:r>
        <w:rPr>
          <w:rFonts w:ascii="宋体" w:hAnsi="宋体" w:eastAsia="宋体" w:cs="宋体"/>
          <w:spacing w:val="8"/>
          <w:sz w:val="20"/>
          <w:szCs w:val="20"/>
        </w:rPr>
        <w:t>（1）按合同约定扣留的质量保证金；</w:t>
      </w:r>
    </w:p>
    <w:p w14:paraId="26DC86E8">
      <w:pPr>
        <w:spacing w:before="213" w:line="228" w:lineRule="auto"/>
        <w:ind w:left="834"/>
        <w:rPr>
          <w:rFonts w:ascii="宋体" w:hAnsi="宋体" w:eastAsia="宋体" w:cs="宋体"/>
          <w:sz w:val="20"/>
          <w:szCs w:val="20"/>
        </w:rPr>
      </w:pPr>
      <w:r>
        <w:rPr>
          <w:rFonts w:ascii="宋体" w:hAnsi="宋体" w:eastAsia="宋体" w:cs="宋体"/>
          <w:spacing w:val="6"/>
          <w:sz w:val="20"/>
          <w:szCs w:val="20"/>
        </w:rPr>
        <w:t>（2）应当扣除的金额：</w:t>
      </w:r>
    </w:p>
    <w:p w14:paraId="478B8338">
      <w:pPr>
        <w:spacing w:before="212" w:line="228" w:lineRule="auto"/>
        <w:ind w:left="1154"/>
        <w:rPr>
          <w:rFonts w:ascii="宋体" w:hAnsi="宋体" w:eastAsia="宋体" w:cs="宋体"/>
          <w:sz w:val="20"/>
          <w:szCs w:val="20"/>
        </w:rPr>
      </w:pPr>
      <w:r>
        <w:rPr>
          <w:rFonts w:ascii="宋体" w:hAnsi="宋体" w:eastAsia="宋体" w:cs="宋体"/>
          <w:spacing w:val="6"/>
          <w:sz w:val="20"/>
          <w:szCs w:val="20"/>
        </w:rPr>
        <w:t>1）按通用合同条款</w:t>
      </w:r>
      <w:r>
        <w:rPr>
          <w:rFonts w:ascii="宋体" w:hAnsi="宋体" w:eastAsia="宋体" w:cs="宋体"/>
          <w:spacing w:val="-21"/>
          <w:sz w:val="20"/>
          <w:szCs w:val="20"/>
        </w:rPr>
        <w:t xml:space="preserve"> </w:t>
      </w:r>
      <w:r>
        <w:rPr>
          <w:rFonts w:ascii="宋体" w:hAnsi="宋体" w:eastAsia="宋体" w:cs="宋体"/>
          <w:spacing w:val="6"/>
          <w:sz w:val="20"/>
          <w:szCs w:val="20"/>
        </w:rPr>
        <w:t>17.4.3</w:t>
      </w:r>
      <w:r>
        <w:rPr>
          <w:rFonts w:ascii="宋体" w:hAnsi="宋体" w:eastAsia="宋体" w:cs="宋体"/>
          <w:spacing w:val="-37"/>
          <w:sz w:val="20"/>
          <w:szCs w:val="20"/>
        </w:rPr>
        <w:t xml:space="preserve"> </w:t>
      </w:r>
      <w:r>
        <w:rPr>
          <w:rFonts w:ascii="宋体" w:hAnsi="宋体" w:eastAsia="宋体" w:cs="宋体"/>
          <w:spacing w:val="6"/>
          <w:sz w:val="20"/>
          <w:szCs w:val="20"/>
        </w:rPr>
        <w:t>项约定扣留的质量保证金；</w:t>
      </w:r>
    </w:p>
    <w:p w14:paraId="55F46D23">
      <w:pPr>
        <w:spacing w:before="214" w:line="228" w:lineRule="auto"/>
        <w:ind w:left="1141"/>
        <w:rPr>
          <w:rFonts w:ascii="宋体" w:hAnsi="宋体" w:eastAsia="宋体" w:cs="宋体"/>
          <w:sz w:val="20"/>
          <w:szCs w:val="20"/>
        </w:rPr>
      </w:pPr>
      <w:r>
        <w:rPr>
          <w:rFonts w:ascii="宋体" w:hAnsi="宋体" w:eastAsia="宋体" w:cs="宋体"/>
          <w:spacing w:val="6"/>
          <w:sz w:val="20"/>
          <w:szCs w:val="20"/>
        </w:rPr>
        <w:t>2）按通用合同条款</w:t>
      </w:r>
      <w:r>
        <w:rPr>
          <w:rFonts w:ascii="宋体" w:hAnsi="宋体" w:eastAsia="宋体" w:cs="宋体"/>
          <w:spacing w:val="-8"/>
          <w:sz w:val="20"/>
          <w:szCs w:val="20"/>
        </w:rPr>
        <w:t xml:space="preserve"> </w:t>
      </w:r>
      <w:r>
        <w:rPr>
          <w:rFonts w:ascii="宋体" w:hAnsi="宋体" w:eastAsia="宋体" w:cs="宋体"/>
          <w:spacing w:val="6"/>
          <w:sz w:val="20"/>
          <w:szCs w:val="20"/>
        </w:rPr>
        <w:t>19.2.4</w:t>
      </w:r>
      <w:r>
        <w:rPr>
          <w:rFonts w:ascii="宋体" w:hAnsi="宋体" w:eastAsia="宋体" w:cs="宋体"/>
          <w:spacing w:val="-37"/>
          <w:sz w:val="20"/>
          <w:szCs w:val="20"/>
        </w:rPr>
        <w:t xml:space="preserve"> </w:t>
      </w:r>
      <w:r>
        <w:rPr>
          <w:rFonts w:ascii="宋体" w:hAnsi="宋体" w:eastAsia="宋体" w:cs="宋体"/>
          <w:spacing w:val="6"/>
          <w:sz w:val="20"/>
          <w:szCs w:val="20"/>
        </w:rPr>
        <w:t>项约定扣除的质量保证金；</w:t>
      </w:r>
    </w:p>
    <w:p w14:paraId="098E7EB7">
      <w:pPr>
        <w:spacing w:before="213" w:line="228" w:lineRule="auto"/>
        <w:ind w:left="1143"/>
        <w:rPr>
          <w:rFonts w:ascii="宋体" w:hAnsi="宋体" w:eastAsia="宋体" w:cs="宋体"/>
          <w:sz w:val="20"/>
          <w:szCs w:val="20"/>
        </w:rPr>
      </w:pPr>
      <w:r>
        <w:rPr>
          <w:rFonts w:ascii="宋体" w:hAnsi="宋体" w:eastAsia="宋体" w:cs="宋体"/>
          <w:spacing w:val="8"/>
          <w:sz w:val="20"/>
          <w:szCs w:val="20"/>
        </w:rPr>
        <w:t>3）根据合同条款第</w:t>
      </w:r>
      <w:r>
        <w:rPr>
          <w:rFonts w:ascii="宋体" w:hAnsi="宋体" w:eastAsia="宋体" w:cs="宋体"/>
          <w:spacing w:val="-34"/>
          <w:sz w:val="20"/>
          <w:szCs w:val="20"/>
        </w:rPr>
        <w:t xml:space="preserve"> </w:t>
      </w:r>
      <w:r>
        <w:rPr>
          <w:rFonts w:ascii="宋体" w:hAnsi="宋体" w:eastAsia="宋体" w:cs="宋体"/>
          <w:spacing w:val="8"/>
          <w:sz w:val="20"/>
          <w:szCs w:val="20"/>
        </w:rPr>
        <w:t>23.4</w:t>
      </w:r>
      <w:r>
        <w:rPr>
          <w:rFonts w:ascii="宋体" w:hAnsi="宋体" w:eastAsia="宋体" w:cs="宋体"/>
          <w:spacing w:val="-40"/>
          <w:sz w:val="20"/>
          <w:szCs w:val="20"/>
        </w:rPr>
        <w:t xml:space="preserve"> </w:t>
      </w:r>
      <w:r>
        <w:rPr>
          <w:rFonts w:ascii="宋体" w:hAnsi="宋体" w:eastAsia="宋体" w:cs="宋体"/>
          <w:spacing w:val="8"/>
          <w:sz w:val="20"/>
          <w:szCs w:val="20"/>
        </w:rPr>
        <w:t>款应扣减的缺陷责任期内发生的发包人索赔金额；</w:t>
      </w:r>
    </w:p>
    <w:p w14:paraId="0CE6A77B">
      <w:pPr>
        <w:spacing w:before="212" w:line="228" w:lineRule="auto"/>
        <w:ind w:left="1138"/>
        <w:rPr>
          <w:rFonts w:ascii="宋体" w:hAnsi="宋体" w:eastAsia="宋体" w:cs="宋体"/>
          <w:sz w:val="20"/>
          <w:szCs w:val="20"/>
        </w:rPr>
      </w:pPr>
      <w:r>
        <w:rPr>
          <w:rFonts w:ascii="宋体" w:hAnsi="宋体" w:eastAsia="宋体" w:cs="宋体"/>
          <w:spacing w:val="8"/>
          <w:sz w:val="20"/>
          <w:szCs w:val="20"/>
        </w:rPr>
        <w:t>4）根据合同约定应扣减的其他金额。</w:t>
      </w:r>
    </w:p>
    <w:p w14:paraId="1200AC89">
      <w:pPr>
        <w:spacing w:before="214" w:line="228" w:lineRule="auto"/>
        <w:ind w:left="834"/>
        <w:rPr>
          <w:rFonts w:ascii="宋体" w:hAnsi="宋体" w:eastAsia="宋体" w:cs="宋体"/>
          <w:sz w:val="20"/>
          <w:szCs w:val="20"/>
        </w:rPr>
      </w:pPr>
      <w:r>
        <w:rPr>
          <w:rFonts w:ascii="宋体" w:hAnsi="宋体" w:eastAsia="宋体" w:cs="宋体"/>
          <w:spacing w:val="6"/>
          <w:sz w:val="20"/>
          <w:szCs w:val="20"/>
        </w:rPr>
        <w:t>（3）应当增加的金额：</w:t>
      </w:r>
    </w:p>
    <w:p w14:paraId="554C567B">
      <w:pPr>
        <w:spacing w:before="214" w:line="226" w:lineRule="auto"/>
        <w:ind w:left="1154"/>
        <w:rPr>
          <w:rFonts w:ascii="宋体" w:hAnsi="宋体" w:eastAsia="宋体" w:cs="宋体"/>
          <w:sz w:val="20"/>
          <w:szCs w:val="20"/>
        </w:rPr>
      </w:pPr>
      <w:r>
        <w:rPr>
          <w:rFonts w:ascii="宋体" w:hAnsi="宋体" w:eastAsia="宋体" w:cs="宋体"/>
          <w:spacing w:val="5"/>
          <w:sz w:val="20"/>
          <w:szCs w:val="20"/>
        </w:rPr>
        <w:t>1）</w:t>
      </w:r>
      <w:r>
        <w:rPr>
          <w:rFonts w:ascii="宋体" w:hAnsi="宋体" w:eastAsia="宋体" w:cs="宋体"/>
          <w:spacing w:val="-39"/>
          <w:sz w:val="20"/>
          <w:szCs w:val="20"/>
        </w:rPr>
        <w:t xml:space="preserve"> </w:t>
      </w:r>
      <w:r>
        <w:rPr>
          <w:rFonts w:ascii="宋体" w:hAnsi="宋体" w:eastAsia="宋体" w:cs="宋体"/>
          <w:spacing w:val="5"/>
          <w:sz w:val="20"/>
          <w:szCs w:val="20"/>
        </w:rPr>
        <w:t>已完且符合合同约定的甩项工程的价值；</w:t>
      </w:r>
    </w:p>
    <w:p w14:paraId="1C30B283">
      <w:pPr>
        <w:spacing w:line="226" w:lineRule="auto"/>
        <w:rPr>
          <w:rFonts w:ascii="宋体" w:hAnsi="宋体" w:eastAsia="宋体" w:cs="宋体"/>
          <w:sz w:val="20"/>
          <w:szCs w:val="20"/>
        </w:rPr>
        <w:sectPr>
          <w:footerReference r:id="rId500" w:type="default"/>
          <w:pgSz w:w="11907" w:h="16840"/>
          <w:pgMar w:top="400" w:right="1531" w:bottom="1247" w:left="1497" w:header="0" w:footer="1084" w:gutter="0"/>
          <w:cols w:space="720" w:num="1"/>
        </w:sectPr>
      </w:pPr>
    </w:p>
    <w:p w14:paraId="62D42DE5">
      <w:pPr>
        <w:spacing w:line="283" w:lineRule="auto"/>
        <w:rPr>
          <w:rFonts w:ascii="Arial"/>
          <w:sz w:val="21"/>
        </w:rPr>
      </w:pPr>
    </w:p>
    <w:p w14:paraId="167C93D8">
      <w:pPr>
        <w:spacing w:line="283" w:lineRule="auto"/>
        <w:rPr>
          <w:rFonts w:ascii="Arial"/>
          <w:sz w:val="21"/>
        </w:rPr>
      </w:pPr>
    </w:p>
    <w:p w14:paraId="64A8299A">
      <w:pPr>
        <w:spacing w:line="283" w:lineRule="auto"/>
        <w:rPr>
          <w:rFonts w:ascii="Arial"/>
          <w:sz w:val="21"/>
        </w:rPr>
      </w:pPr>
    </w:p>
    <w:p w14:paraId="2F4A67C6">
      <w:pPr>
        <w:spacing w:line="283" w:lineRule="auto"/>
        <w:rPr>
          <w:rFonts w:ascii="Arial"/>
          <w:sz w:val="21"/>
        </w:rPr>
      </w:pPr>
    </w:p>
    <w:p w14:paraId="62602744">
      <w:pPr>
        <w:spacing w:line="284" w:lineRule="auto"/>
        <w:rPr>
          <w:rFonts w:ascii="Arial"/>
          <w:sz w:val="21"/>
        </w:rPr>
      </w:pPr>
    </w:p>
    <w:p w14:paraId="71FDFF38">
      <w:pPr>
        <w:spacing w:before="65" w:line="226" w:lineRule="auto"/>
        <w:ind w:left="1143"/>
        <w:rPr>
          <w:rFonts w:ascii="宋体" w:hAnsi="宋体" w:eastAsia="宋体" w:cs="宋体"/>
          <w:sz w:val="20"/>
          <w:szCs w:val="20"/>
        </w:rPr>
      </w:pPr>
      <w:r>
        <w:rPr>
          <w:rFonts w:ascii="宋体" w:hAnsi="宋体" w:eastAsia="宋体" w:cs="宋体"/>
          <w:spacing w:val="8"/>
          <w:sz w:val="20"/>
          <w:szCs w:val="20"/>
        </w:rPr>
        <w:t>2）按通用合同条款</w:t>
      </w:r>
      <w:r>
        <w:rPr>
          <w:rFonts w:ascii="宋体" w:hAnsi="宋体" w:eastAsia="宋体" w:cs="宋体"/>
          <w:spacing w:val="-23"/>
          <w:sz w:val="20"/>
          <w:szCs w:val="20"/>
        </w:rPr>
        <w:t xml:space="preserve"> </w:t>
      </w:r>
      <w:r>
        <w:rPr>
          <w:rFonts w:ascii="宋体" w:hAnsi="宋体" w:eastAsia="宋体" w:cs="宋体"/>
          <w:spacing w:val="8"/>
          <w:sz w:val="20"/>
          <w:szCs w:val="20"/>
        </w:rPr>
        <w:t>19.2.3</w:t>
      </w:r>
      <w:r>
        <w:rPr>
          <w:rFonts w:ascii="宋体" w:hAnsi="宋体" w:eastAsia="宋体" w:cs="宋体"/>
          <w:spacing w:val="-37"/>
          <w:sz w:val="20"/>
          <w:szCs w:val="20"/>
        </w:rPr>
        <w:t xml:space="preserve"> </w:t>
      </w:r>
      <w:r>
        <w:rPr>
          <w:rFonts w:ascii="宋体" w:hAnsi="宋体" w:eastAsia="宋体" w:cs="宋体"/>
          <w:spacing w:val="8"/>
          <w:sz w:val="20"/>
          <w:szCs w:val="20"/>
        </w:rPr>
        <w:t>项约定由承包人修复</w:t>
      </w:r>
      <w:r>
        <w:rPr>
          <w:rFonts w:ascii="宋体" w:hAnsi="宋体" w:eastAsia="宋体" w:cs="宋体"/>
          <w:spacing w:val="7"/>
          <w:sz w:val="20"/>
          <w:szCs w:val="20"/>
        </w:rPr>
        <w:t>的发包人原因造成的缺陷的价值；</w:t>
      </w:r>
    </w:p>
    <w:p w14:paraId="553DFFEB">
      <w:pPr>
        <w:spacing w:before="212" w:line="228" w:lineRule="auto"/>
        <w:ind w:left="1145"/>
        <w:rPr>
          <w:rFonts w:ascii="宋体" w:hAnsi="宋体" w:eastAsia="宋体" w:cs="宋体"/>
          <w:sz w:val="20"/>
          <w:szCs w:val="20"/>
        </w:rPr>
      </w:pPr>
      <w:r>
        <w:rPr>
          <w:rFonts w:ascii="宋体" w:hAnsi="宋体" w:eastAsia="宋体" w:cs="宋体"/>
          <w:spacing w:val="8"/>
          <w:sz w:val="20"/>
          <w:szCs w:val="20"/>
        </w:rPr>
        <w:t>3）根据合同条款第</w:t>
      </w:r>
      <w:r>
        <w:rPr>
          <w:rFonts w:ascii="宋体" w:hAnsi="宋体" w:eastAsia="宋体" w:cs="宋体"/>
          <w:spacing w:val="-34"/>
          <w:sz w:val="20"/>
          <w:szCs w:val="20"/>
        </w:rPr>
        <w:t xml:space="preserve"> </w:t>
      </w:r>
      <w:r>
        <w:rPr>
          <w:rFonts w:ascii="宋体" w:hAnsi="宋体" w:eastAsia="宋体" w:cs="宋体"/>
          <w:spacing w:val="8"/>
          <w:sz w:val="20"/>
          <w:szCs w:val="20"/>
        </w:rPr>
        <w:t>23.2</w:t>
      </w:r>
      <w:r>
        <w:rPr>
          <w:rFonts w:ascii="宋体" w:hAnsi="宋体" w:eastAsia="宋体" w:cs="宋体"/>
          <w:spacing w:val="-40"/>
          <w:sz w:val="20"/>
          <w:szCs w:val="20"/>
        </w:rPr>
        <w:t xml:space="preserve"> </w:t>
      </w:r>
      <w:r>
        <w:rPr>
          <w:rFonts w:ascii="宋体" w:hAnsi="宋体" w:eastAsia="宋体" w:cs="宋体"/>
          <w:spacing w:val="8"/>
          <w:sz w:val="20"/>
          <w:szCs w:val="20"/>
        </w:rPr>
        <w:t>款应增加的缺陷责任期内发生的承包人索赔金额；</w:t>
      </w:r>
    </w:p>
    <w:p w14:paraId="57D21187">
      <w:pPr>
        <w:spacing w:before="213" w:line="228" w:lineRule="auto"/>
        <w:ind w:left="1140"/>
        <w:rPr>
          <w:rFonts w:ascii="宋体" w:hAnsi="宋体" w:eastAsia="宋体" w:cs="宋体"/>
          <w:sz w:val="20"/>
          <w:szCs w:val="20"/>
        </w:rPr>
      </w:pPr>
      <w:r>
        <w:rPr>
          <w:rFonts w:ascii="宋体" w:hAnsi="宋体" w:eastAsia="宋体" w:cs="宋体"/>
          <w:spacing w:val="8"/>
          <w:sz w:val="20"/>
          <w:szCs w:val="20"/>
        </w:rPr>
        <w:t>4）根据合同约定承包人应当得到的其他金额。</w:t>
      </w:r>
    </w:p>
    <w:p w14:paraId="53A8F825">
      <w:pPr>
        <w:spacing w:before="214" w:line="228" w:lineRule="auto"/>
        <w:ind w:left="934"/>
        <w:rPr>
          <w:rFonts w:ascii="宋体" w:hAnsi="宋体" w:eastAsia="宋体" w:cs="宋体"/>
          <w:sz w:val="20"/>
          <w:szCs w:val="20"/>
        </w:rPr>
      </w:pPr>
      <w:r>
        <w:rPr>
          <w:rFonts w:ascii="宋体" w:hAnsi="宋体" w:eastAsia="宋体" w:cs="宋体"/>
          <w:spacing w:val="8"/>
          <w:sz w:val="20"/>
          <w:szCs w:val="20"/>
        </w:rPr>
        <w:t>最终结清应当由发包人和承包人按照“多退少补</w:t>
      </w:r>
      <w:r>
        <w:rPr>
          <w:rFonts w:ascii="宋体" w:hAnsi="宋体" w:eastAsia="宋体" w:cs="宋体"/>
          <w:spacing w:val="-67"/>
          <w:sz w:val="20"/>
          <w:szCs w:val="20"/>
        </w:rPr>
        <w:t xml:space="preserve"> </w:t>
      </w:r>
      <w:r>
        <w:rPr>
          <w:rFonts w:ascii="宋体" w:hAnsi="宋体" w:eastAsia="宋体" w:cs="宋体"/>
          <w:spacing w:val="8"/>
          <w:sz w:val="20"/>
          <w:szCs w:val="20"/>
        </w:rPr>
        <w:t>”的原则办理。</w:t>
      </w:r>
    </w:p>
    <w:p w14:paraId="2B18D648">
      <w:pPr>
        <w:spacing w:before="212" w:line="426" w:lineRule="auto"/>
        <w:ind w:left="951" w:right="2" w:hanging="949"/>
        <w:rPr>
          <w:rFonts w:ascii="宋体" w:hAnsi="宋体" w:eastAsia="宋体" w:cs="宋体"/>
          <w:sz w:val="20"/>
          <w:szCs w:val="20"/>
        </w:rPr>
      </w:pPr>
      <w:r>
        <w:rPr>
          <w:rFonts w:ascii="宋体" w:hAnsi="宋体" w:eastAsia="宋体" w:cs="宋体"/>
          <w:spacing w:val="8"/>
          <w:sz w:val="20"/>
          <w:szCs w:val="20"/>
        </w:rPr>
        <w:t>14.1.6   竣工付款申请单和最终结清申请单应当比照进度付款申请单的格式准备，并提供相</w:t>
      </w:r>
      <w:r>
        <w:rPr>
          <w:rFonts w:ascii="宋体" w:hAnsi="宋体" w:eastAsia="宋体" w:cs="宋体"/>
          <w:spacing w:val="7"/>
          <w:sz w:val="20"/>
          <w:szCs w:val="20"/>
        </w:rPr>
        <w:t>关证</w:t>
      </w:r>
      <w:r>
        <w:rPr>
          <w:rFonts w:ascii="宋体" w:hAnsi="宋体" w:eastAsia="宋体" w:cs="宋体"/>
          <w:sz w:val="20"/>
          <w:szCs w:val="20"/>
        </w:rPr>
        <w:t>明材料。</w:t>
      </w:r>
    </w:p>
    <w:p w14:paraId="6103C075">
      <w:pPr>
        <w:pStyle w:val="2"/>
        <w:spacing w:before="37" w:line="222" w:lineRule="auto"/>
        <w:rPr>
          <w:sz w:val="24"/>
          <w:szCs w:val="24"/>
        </w:rPr>
      </w:pPr>
      <w:r>
        <w:rPr>
          <w:spacing w:val="-5"/>
          <w:sz w:val="24"/>
          <w:szCs w:val="24"/>
        </w:rPr>
        <w:t>14.2</w:t>
      </w:r>
      <w:r>
        <w:rPr>
          <w:spacing w:val="4"/>
          <w:sz w:val="24"/>
          <w:szCs w:val="24"/>
        </w:rPr>
        <w:t xml:space="preserve">    </w:t>
      </w:r>
      <w:r>
        <w:rPr>
          <w:spacing w:val="-5"/>
          <w:sz w:val="24"/>
          <w:szCs w:val="24"/>
        </w:rPr>
        <w:t>其他约定</w:t>
      </w:r>
    </w:p>
    <w:p w14:paraId="3651BAFA">
      <w:pPr>
        <w:spacing w:before="258" w:line="228" w:lineRule="auto"/>
        <w:ind w:left="932"/>
        <w:rPr>
          <w:rFonts w:ascii="宋体" w:hAnsi="宋体" w:eastAsia="宋体" w:cs="宋体"/>
          <w:sz w:val="20"/>
          <w:szCs w:val="20"/>
        </w:rPr>
      </w:pPr>
      <w:r>
        <w:rPr>
          <w:rFonts w:ascii="宋体" w:hAnsi="宋体" w:eastAsia="宋体" w:cs="宋体"/>
          <w:spacing w:val="6"/>
          <w:sz w:val="20"/>
          <w:szCs w:val="20"/>
        </w:rPr>
        <w:t>其他约定内容：</w:t>
      </w:r>
    </w:p>
    <w:p w14:paraId="4F2A94CA">
      <w:pPr>
        <w:tabs>
          <w:tab w:val="left" w:pos="8167"/>
        </w:tabs>
        <w:spacing w:before="209"/>
        <w:ind w:left="923"/>
        <w:rPr>
          <w:rFonts w:ascii="Arial"/>
          <w:sz w:val="21"/>
        </w:rPr>
      </w:pPr>
      <w:r>
        <w:rPr>
          <w:rFonts w:ascii="Arial" w:hAnsi="Arial" w:eastAsia="Arial" w:cs="Arial"/>
          <w:sz w:val="21"/>
          <w:szCs w:val="21"/>
          <w:u w:val="single" w:color="auto"/>
        </w:rPr>
        <w:tab/>
      </w:r>
    </w:p>
    <w:p w14:paraId="7C99ECD1">
      <w:pPr>
        <w:spacing w:line="312" w:lineRule="auto"/>
        <w:rPr>
          <w:rFonts w:ascii="Arial"/>
          <w:sz w:val="21"/>
        </w:rPr>
      </w:pPr>
    </w:p>
    <w:p w14:paraId="26F03391">
      <w:pPr>
        <w:tabs>
          <w:tab w:val="left" w:pos="8167"/>
        </w:tabs>
        <w:spacing w:before="23" w:line="173" w:lineRule="auto"/>
        <w:ind w:left="92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8518013">
      <w:pPr>
        <w:pStyle w:val="2"/>
        <w:spacing w:before="148" w:line="222" w:lineRule="auto"/>
        <w:ind w:left="11"/>
        <w:outlineLvl w:val="2"/>
        <w:rPr>
          <w:sz w:val="28"/>
          <w:szCs w:val="28"/>
        </w:rPr>
      </w:pPr>
      <w:bookmarkStart w:id="399" w:name="bookmark381"/>
      <w:bookmarkEnd w:id="399"/>
      <w:r>
        <w:rPr>
          <w:rFonts w:ascii="Times New Roman" w:hAnsi="Times New Roman" w:eastAsia="Times New Roman" w:cs="Times New Roman"/>
          <w:spacing w:val="-3"/>
          <w:sz w:val="28"/>
          <w:szCs w:val="28"/>
        </w:rPr>
        <w:t>15.</w:t>
      </w:r>
      <w:r>
        <w:rPr>
          <w:spacing w:val="-3"/>
          <w:sz w:val="28"/>
          <w:szCs w:val="28"/>
        </w:rPr>
        <w:t>竣工验收和工程移交</w:t>
      </w:r>
    </w:p>
    <w:p w14:paraId="157747AD">
      <w:pPr>
        <w:pStyle w:val="2"/>
        <w:spacing w:before="126" w:line="221" w:lineRule="auto"/>
        <w:rPr>
          <w:sz w:val="24"/>
          <w:szCs w:val="24"/>
        </w:rPr>
      </w:pPr>
      <w:r>
        <w:rPr>
          <w:spacing w:val="-2"/>
          <w:sz w:val="24"/>
          <w:szCs w:val="24"/>
        </w:rPr>
        <w:t>15.1   竣工验收前的清理</w:t>
      </w:r>
    </w:p>
    <w:p w14:paraId="16124609">
      <w:pPr>
        <w:spacing w:before="164" w:line="388" w:lineRule="auto"/>
        <w:ind w:left="935" w:hanging="933"/>
        <w:rPr>
          <w:rFonts w:ascii="宋体" w:hAnsi="宋体" w:eastAsia="宋体" w:cs="宋体"/>
          <w:sz w:val="20"/>
          <w:szCs w:val="20"/>
        </w:rPr>
      </w:pPr>
      <w:r>
        <w:rPr>
          <w:rFonts w:ascii="宋体" w:hAnsi="宋体" w:eastAsia="宋体" w:cs="宋体"/>
          <w:spacing w:val="8"/>
          <w:sz w:val="20"/>
          <w:szCs w:val="20"/>
        </w:rPr>
        <w:t>15.1.1   在向监理人提交竣工验收申请报告前，承包人应当完成竣工验收前的清理工作，包括但</w:t>
      </w:r>
      <w:r>
        <w:rPr>
          <w:rFonts w:ascii="宋体" w:hAnsi="宋体" w:eastAsia="宋体" w:cs="宋体"/>
          <w:spacing w:val="4"/>
          <w:sz w:val="20"/>
          <w:szCs w:val="20"/>
        </w:rPr>
        <w:t>不限于：</w:t>
      </w:r>
    </w:p>
    <w:p w14:paraId="634882F7">
      <w:pPr>
        <w:spacing w:before="1" w:line="226" w:lineRule="auto"/>
        <w:ind w:left="942"/>
        <w:rPr>
          <w:rFonts w:ascii="宋体" w:hAnsi="宋体" w:eastAsia="宋体" w:cs="宋体"/>
          <w:sz w:val="20"/>
          <w:szCs w:val="20"/>
        </w:rPr>
      </w:pPr>
      <w:r>
        <w:rPr>
          <w:rFonts w:ascii="宋体" w:hAnsi="宋体" w:eastAsia="宋体" w:cs="宋体"/>
          <w:spacing w:val="8"/>
          <w:sz w:val="20"/>
          <w:szCs w:val="20"/>
        </w:rPr>
        <w:t>（1）从永久工程内清除所有剩余材料、杂物、垃圾等等；</w:t>
      </w:r>
    </w:p>
    <w:p w14:paraId="60510A22">
      <w:pPr>
        <w:spacing w:before="174" w:line="228" w:lineRule="auto"/>
        <w:ind w:left="942"/>
        <w:rPr>
          <w:rFonts w:ascii="宋体" w:hAnsi="宋体" w:eastAsia="宋体" w:cs="宋体"/>
          <w:sz w:val="20"/>
          <w:szCs w:val="20"/>
        </w:rPr>
      </w:pPr>
      <w:r>
        <w:rPr>
          <w:rFonts w:ascii="宋体" w:hAnsi="宋体" w:eastAsia="宋体" w:cs="宋体"/>
          <w:spacing w:val="8"/>
          <w:sz w:val="20"/>
          <w:szCs w:val="20"/>
        </w:rPr>
        <w:t>（2）清洗工程的所有地面、墙面、楼面、路面等表面；</w:t>
      </w:r>
    </w:p>
    <w:p w14:paraId="10B95319">
      <w:pPr>
        <w:spacing w:before="173" w:line="227" w:lineRule="auto"/>
        <w:ind w:left="942"/>
        <w:rPr>
          <w:rFonts w:ascii="宋体" w:hAnsi="宋体" w:eastAsia="宋体" w:cs="宋体"/>
          <w:sz w:val="20"/>
          <w:szCs w:val="20"/>
        </w:rPr>
      </w:pPr>
      <w:r>
        <w:rPr>
          <w:rFonts w:ascii="宋体" w:hAnsi="宋体" w:eastAsia="宋体" w:cs="宋体"/>
          <w:spacing w:val="8"/>
          <w:sz w:val="20"/>
          <w:szCs w:val="20"/>
        </w:rPr>
        <w:t>（3）清洗和擦洗所有玻璃、磁砖、石材和所有金属面；</w:t>
      </w:r>
    </w:p>
    <w:p w14:paraId="458F81EE">
      <w:pPr>
        <w:spacing w:before="174" w:line="227" w:lineRule="auto"/>
        <w:ind w:left="942"/>
        <w:rPr>
          <w:rFonts w:ascii="宋体" w:hAnsi="宋体" w:eastAsia="宋体" w:cs="宋体"/>
          <w:sz w:val="20"/>
          <w:szCs w:val="20"/>
        </w:rPr>
      </w:pPr>
      <w:r>
        <w:rPr>
          <w:rFonts w:ascii="宋体" w:hAnsi="宋体" w:eastAsia="宋体" w:cs="宋体"/>
          <w:spacing w:val="9"/>
          <w:sz w:val="20"/>
          <w:szCs w:val="20"/>
        </w:rPr>
        <w:t>（4）修缮所有损坏、清除所有污迹、替换</w:t>
      </w:r>
      <w:r>
        <w:rPr>
          <w:rFonts w:ascii="宋体" w:hAnsi="宋体" w:eastAsia="宋体" w:cs="宋体"/>
          <w:spacing w:val="8"/>
          <w:sz w:val="20"/>
          <w:szCs w:val="20"/>
        </w:rPr>
        <w:t>所有需更换的材料；</w:t>
      </w:r>
    </w:p>
    <w:p w14:paraId="4AE6D25A">
      <w:pPr>
        <w:spacing w:before="174" w:line="228" w:lineRule="auto"/>
        <w:ind w:left="942"/>
        <w:rPr>
          <w:rFonts w:ascii="宋体" w:hAnsi="宋体" w:eastAsia="宋体" w:cs="宋体"/>
          <w:sz w:val="20"/>
          <w:szCs w:val="20"/>
        </w:rPr>
      </w:pPr>
      <w:r>
        <w:rPr>
          <w:rFonts w:ascii="宋体" w:hAnsi="宋体" w:eastAsia="宋体" w:cs="宋体"/>
          <w:spacing w:val="8"/>
          <w:sz w:val="20"/>
          <w:szCs w:val="20"/>
        </w:rPr>
        <w:t>（5）所有表面完成约定的装修和装饰；</w:t>
      </w:r>
    </w:p>
    <w:p w14:paraId="018825CE">
      <w:pPr>
        <w:spacing w:before="173" w:line="228" w:lineRule="auto"/>
        <w:ind w:left="942"/>
        <w:rPr>
          <w:rFonts w:ascii="宋体" w:hAnsi="宋体" w:eastAsia="宋体" w:cs="宋体"/>
          <w:sz w:val="20"/>
          <w:szCs w:val="20"/>
        </w:rPr>
      </w:pPr>
      <w:r>
        <w:rPr>
          <w:rFonts w:ascii="宋体" w:hAnsi="宋体" w:eastAsia="宋体" w:cs="宋体"/>
          <w:spacing w:val="9"/>
          <w:sz w:val="20"/>
          <w:szCs w:val="20"/>
        </w:rPr>
        <w:t>（6）检查和调试所有的门、窗、抽屉等以确保他们</w:t>
      </w:r>
      <w:r>
        <w:rPr>
          <w:rFonts w:ascii="宋体" w:hAnsi="宋体" w:eastAsia="宋体" w:cs="宋体"/>
          <w:spacing w:val="8"/>
          <w:sz w:val="20"/>
          <w:szCs w:val="20"/>
        </w:rPr>
        <w:t>开启的顺畅；</w:t>
      </w:r>
    </w:p>
    <w:p w14:paraId="1EF29503">
      <w:pPr>
        <w:spacing w:before="173" w:line="228" w:lineRule="auto"/>
        <w:ind w:left="942"/>
        <w:rPr>
          <w:rFonts w:ascii="宋体" w:hAnsi="宋体" w:eastAsia="宋体" w:cs="宋体"/>
          <w:sz w:val="20"/>
          <w:szCs w:val="20"/>
        </w:rPr>
      </w:pPr>
      <w:r>
        <w:rPr>
          <w:rFonts w:ascii="宋体" w:hAnsi="宋体" w:eastAsia="宋体" w:cs="宋体"/>
          <w:spacing w:val="8"/>
          <w:sz w:val="20"/>
          <w:szCs w:val="20"/>
        </w:rPr>
        <w:t>（7）检查和调试所有的五金件并上油；</w:t>
      </w:r>
    </w:p>
    <w:p w14:paraId="182CDF1A">
      <w:pPr>
        <w:spacing w:before="173" w:line="228" w:lineRule="auto"/>
        <w:ind w:left="942"/>
        <w:rPr>
          <w:rFonts w:ascii="宋体" w:hAnsi="宋体" w:eastAsia="宋体" w:cs="宋体"/>
          <w:sz w:val="20"/>
          <w:szCs w:val="20"/>
        </w:rPr>
      </w:pPr>
      <w:r>
        <w:rPr>
          <w:rFonts w:ascii="宋体" w:hAnsi="宋体" w:eastAsia="宋体" w:cs="宋体"/>
          <w:spacing w:val="9"/>
          <w:sz w:val="20"/>
          <w:szCs w:val="20"/>
        </w:rPr>
        <w:t>（8）检查、测试和确保所有服务系统、设施和设备达到良好的运行状态和效果；</w:t>
      </w:r>
    </w:p>
    <w:p w14:paraId="1297DF6D">
      <w:pPr>
        <w:spacing w:before="173" w:line="228" w:lineRule="auto"/>
        <w:ind w:left="942"/>
        <w:rPr>
          <w:rFonts w:ascii="宋体" w:hAnsi="宋体" w:eastAsia="宋体" w:cs="宋体"/>
          <w:sz w:val="20"/>
          <w:szCs w:val="20"/>
        </w:rPr>
      </w:pPr>
      <w:r>
        <w:rPr>
          <w:rFonts w:ascii="宋体" w:hAnsi="宋体" w:eastAsia="宋体" w:cs="宋体"/>
          <w:spacing w:val="9"/>
          <w:sz w:val="20"/>
          <w:szCs w:val="20"/>
        </w:rPr>
        <w:t>（9）所有钥匙（如果有）贴上标签并固定到钥匙排上随时可以交给监</w:t>
      </w:r>
      <w:r>
        <w:rPr>
          <w:rFonts w:ascii="宋体" w:hAnsi="宋体" w:eastAsia="宋体" w:cs="宋体"/>
          <w:spacing w:val="8"/>
          <w:sz w:val="20"/>
          <w:szCs w:val="20"/>
        </w:rPr>
        <w:t>理人。</w:t>
      </w:r>
    </w:p>
    <w:p w14:paraId="108393FE">
      <w:pPr>
        <w:spacing w:before="173" w:line="228" w:lineRule="auto"/>
        <w:ind w:left="2"/>
        <w:rPr>
          <w:rFonts w:ascii="宋体" w:hAnsi="宋体" w:eastAsia="宋体" w:cs="宋体"/>
          <w:sz w:val="20"/>
          <w:szCs w:val="20"/>
        </w:rPr>
      </w:pPr>
      <w:r>
        <w:rPr>
          <w:rFonts w:ascii="宋体" w:hAnsi="宋体" w:eastAsia="宋体" w:cs="宋体"/>
          <w:spacing w:val="6"/>
          <w:sz w:val="20"/>
          <w:szCs w:val="20"/>
        </w:rPr>
        <w:t>15.1.2   清理工作所需费用由承包人承担。</w:t>
      </w:r>
    </w:p>
    <w:p w14:paraId="3B6EA5FC">
      <w:pPr>
        <w:pStyle w:val="2"/>
        <w:spacing w:before="218" w:line="221" w:lineRule="auto"/>
        <w:rPr>
          <w:sz w:val="24"/>
          <w:szCs w:val="24"/>
        </w:rPr>
      </w:pPr>
      <w:r>
        <w:rPr>
          <w:spacing w:val="-2"/>
          <w:sz w:val="24"/>
          <w:szCs w:val="24"/>
        </w:rPr>
        <w:t>15.2     竣工验收申请报告</w:t>
      </w:r>
    </w:p>
    <w:p w14:paraId="458EC9D1">
      <w:pPr>
        <w:spacing w:before="210" w:line="388" w:lineRule="auto"/>
        <w:ind w:left="930" w:hanging="928"/>
        <w:rPr>
          <w:rFonts w:ascii="宋体" w:hAnsi="宋体" w:eastAsia="宋体" w:cs="宋体"/>
          <w:sz w:val="20"/>
          <w:szCs w:val="20"/>
        </w:rPr>
      </w:pPr>
      <w:r>
        <w:rPr>
          <w:rFonts w:ascii="宋体" w:hAnsi="宋体" w:eastAsia="宋体" w:cs="宋体"/>
          <w:spacing w:val="8"/>
          <w:sz w:val="20"/>
          <w:szCs w:val="20"/>
        </w:rPr>
        <w:t>15.2.1   竣工验收申请报告，也称竣工验收报告，是承包人完成合同约定的工作内容后，按照国</w:t>
      </w:r>
      <w:r>
        <w:rPr>
          <w:rFonts w:ascii="宋体" w:hAnsi="宋体" w:eastAsia="宋体" w:cs="宋体"/>
          <w:spacing w:val="9"/>
          <w:sz w:val="20"/>
          <w:szCs w:val="20"/>
        </w:rPr>
        <w:t>家有关施工质量验收标准的规定，经其自行检查，证明已经完成合同工作内容并符合合同约定，达到竣工验收标准，而向监理人或发包人提交的请求发包人组织进行合同工程竣工验收的一份书面申请函，合同约定的竣工验收资料和其他文件一般作为竣工验收申请报告的附件，是竣工验收申请报告的组成部分。</w:t>
      </w:r>
    </w:p>
    <w:p w14:paraId="6CBDCA0F">
      <w:pPr>
        <w:spacing w:line="388" w:lineRule="auto"/>
        <w:rPr>
          <w:rFonts w:ascii="宋体" w:hAnsi="宋体" w:eastAsia="宋体" w:cs="宋体"/>
          <w:sz w:val="20"/>
          <w:szCs w:val="20"/>
        </w:rPr>
        <w:sectPr>
          <w:footerReference r:id="rId501" w:type="default"/>
          <w:pgSz w:w="11907" w:h="16840"/>
          <w:pgMar w:top="400" w:right="1531" w:bottom="1247" w:left="1495" w:header="0" w:footer="1085" w:gutter="0"/>
          <w:cols w:space="720" w:num="1"/>
        </w:sectPr>
      </w:pPr>
    </w:p>
    <w:p w14:paraId="15A5D896">
      <w:pPr>
        <w:spacing w:line="276" w:lineRule="auto"/>
        <w:rPr>
          <w:rFonts w:ascii="Arial"/>
          <w:sz w:val="21"/>
        </w:rPr>
      </w:pPr>
    </w:p>
    <w:p w14:paraId="312DB3D4">
      <w:pPr>
        <w:spacing w:line="276" w:lineRule="auto"/>
        <w:rPr>
          <w:rFonts w:ascii="Arial"/>
          <w:sz w:val="21"/>
        </w:rPr>
      </w:pPr>
    </w:p>
    <w:p w14:paraId="04AF22FF">
      <w:pPr>
        <w:spacing w:line="276" w:lineRule="auto"/>
        <w:rPr>
          <w:rFonts w:ascii="Arial"/>
          <w:sz w:val="21"/>
        </w:rPr>
      </w:pPr>
    </w:p>
    <w:p w14:paraId="776C2521">
      <w:pPr>
        <w:spacing w:line="277" w:lineRule="auto"/>
        <w:rPr>
          <w:rFonts w:ascii="Arial"/>
          <w:sz w:val="21"/>
        </w:rPr>
      </w:pPr>
    </w:p>
    <w:p w14:paraId="1CAA37AA">
      <w:pPr>
        <w:spacing w:line="277" w:lineRule="auto"/>
        <w:rPr>
          <w:rFonts w:ascii="Arial"/>
          <w:sz w:val="21"/>
        </w:rPr>
      </w:pPr>
    </w:p>
    <w:p w14:paraId="568967A4">
      <w:pPr>
        <w:spacing w:before="65" w:line="388" w:lineRule="auto"/>
        <w:ind w:left="951" w:right="52" w:hanging="931"/>
        <w:rPr>
          <w:rFonts w:ascii="宋体" w:hAnsi="宋体" w:eastAsia="宋体" w:cs="宋体"/>
          <w:sz w:val="20"/>
          <w:szCs w:val="20"/>
        </w:rPr>
      </w:pPr>
      <w:r>
        <w:rPr>
          <w:rFonts w:ascii="宋体" w:hAnsi="宋体" w:eastAsia="宋体" w:cs="宋体"/>
          <w:spacing w:val="8"/>
          <w:sz w:val="20"/>
          <w:szCs w:val="20"/>
        </w:rPr>
        <w:t>15.2.2   竣工验收申请报告一般应当包括工程概况说明，承包范围，分包工程情况，主要材料、设备供应情况，采用的主要施工方法，新材料、新技术和新工艺采用情况</w:t>
      </w:r>
      <w:r>
        <w:rPr>
          <w:rFonts w:ascii="宋体" w:hAnsi="宋体" w:eastAsia="宋体" w:cs="宋体"/>
          <w:spacing w:val="7"/>
          <w:sz w:val="20"/>
          <w:szCs w:val="20"/>
        </w:rPr>
        <w:t>，</w:t>
      </w:r>
      <w:r>
        <w:rPr>
          <w:rFonts w:ascii="宋体" w:hAnsi="宋体" w:eastAsia="宋体" w:cs="宋体"/>
          <w:spacing w:val="-53"/>
          <w:sz w:val="20"/>
          <w:szCs w:val="20"/>
        </w:rPr>
        <w:t xml:space="preserve"> </w:t>
      </w:r>
      <w:r>
        <w:rPr>
          <w:rFonts w:ascii="宋体" w:hAnsi="宋体" w:eastAsia="宋体" w:cs="宋体"/>
          <w:spacing w:val="7"/>
          <w:sz w:val="20"/>
          <w:szCs w:val="20"/>
        </w:rPr>
        <w:t>自检质量情</w:t>
      </w:r>
      <w:r>
        <w:rPr>
          <w:rFonts w:ascii="宋体" w:hAnsi="宋体" w:eastAsia="宋体" w:cs="宋体"/>
          <w:spacing w:val="9"/>
          <w:sz w:val="20"/>
          <w:szCs w:val="20"/>
        </w:rPr>
        <w:t>况等的说明。竣工验收申请报告的格式和应当包括的内容应事先经过监理人的审批。</w:t>
      </w:r>
    </w:p>
    <w:p w14:paraId="7C922294">
      <w:pPr>
        <w:spacing w:line="226" w:lineRule="auto"/>
        <w:ind w:left="20"/>
        <w:rPr>
          <w:rFonts w:ascii="宋体" w:hAnsi="宋体" w:eastAsia="宋体" w:cs="宋体"/>
          <w:sz w:val="20"/>
          <w:szCs w:val="20"/>
        </w:rPr>
      </w:pPr>
      <w:r>
        <w:rPr>
          <w:rFonts w:ascii="宋体" w:hAnsi="宋体" w:eastAsia="宋体" w:cs="宋体"/>
          <w:spacing w:val="7"/>
          <w:sz w:val="20"/>
          <w:szCs w:val="20"/>
        </w:rPr>
        <w:t>15.2.3   竣工验收申请报告应当</w:t>
      </w:r>
      <w:r>
        <w:rPr>
          <w:rFonts w:ascii="宋体" w:hAnsi="宋体" w:eastAsia="宋体" w:cs="宋体"/>
          <w:spacing w:val="6"/>
          <w:sz w:val="20"/>
          <w:szCs w:val="20"/>
        </w:rPr>
        <w:t>按通用合同条款第</w:t>
      </w:r>
      <w:r>
        <w:rPr>
          <w:rFonts w:ascii="宋体" w:hAnsi="宋体" w:eastAsia="宋体" w:cs="宋体"/>
          <w:spacing w:val="-21"/>
          <w:sz w:val="20"/>
          <w:szCs w:val="20"/>
        </w:rPr>
        <w:t xml:space="preserve"> </w:t>
      </w:r>
      <w:r>
        <w:rPr>
          <w:rFonts w:ascii="宋体" w:hAnsi="宋体" w:eastAsia="宋体" w:cs="宋体"/>
          <w:spacing w:val="6"/>
          <w:sz w:val="20"/>
          <w:szCs w:val="20"/>
        </w:rPr>
        <w:t>18.2</w:t>
      </w:r>
      <w:r>
        <w:rPr>
          <w:rFonts w:ascii="宋体" w:hAnsi="宋体" w:eastAsia="宋体" w:cs="宋体"/>
          <w:spacing w:val="-37"/>
          <w:sz w:val="20"/>
          <w:szCs w:val="20"/>
        </w:rPr>
        <w:t xml:space="preserve"> </w:t>
      </w:r>
      <w:r>
        <w:rPr>
          <w:rFonts w:ascii="宋体" w:hAnsi="宋体" w:eastAsia="宋体" w:cs="宋体"/>
          <w:spacing w:val="6"/>
          <w:sz w:val="20"/>
          <w:szCs w:val="20"/>
        </w:rPr>
        <w:t>款附上下列内容：</w:t>
      </w:r>
    </w:p>
    <w:p w14:paraId="228B1F51">
      <w:pPr>
        <w:spacing w:before="173" w:line="389" w:lineRule="auto"/>
        <w:ind w:left="1296" w:right="93" w:hanging="336"/>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48"/>
          <w:sz w:val="20"/>
          <w:szCs w:val="20"/>
        </w:rPr>
        <w:t xml:space="preserve"> </w:t>
      </w:r>
      <w:r>
        <w:rPr>
          <w:rFonts w:ascii="宋体" w:hAnsi="宋体" w:eastAsia="宋体" w:cs="宋体"/>
          <w:spacing w:val="17"/>
          <w:sz w:val="20"/>
          <w:szCs w:val="20"/>
        </w:rPr>
        <w:t>1）</w:t>
      </w:r>
      <w:r>
        <w:rPr>
          <w:rFonts w:ascii="宋体" w:hAnsi="宋体" w:eastAsia="宋体" w:cs="宋体"/>
          <w:spacing w:val="-53"/>
          <w:sz w:val="20"/>
          <w:szCs w:val="20"/>
        </w:rPr>
        <w:t xml:space="preserve"> </w:t>
      </w:r>
      <w:r>
        <w:rPr>
          <w:rFonts w:ascii="宋体" w:hAnsi="宋体" w:eastAsia="宋体" w:cs="宋体"/>
          <w:spacing w:val="17"/>
          <w:sz w:val="20"/>
          <w:szCs w:val="20"/>
        </w:rPr>
        <w:t>承包人的</w:t>
      </w:r>
      <w:r>
        <w:rPr>
          <w:rFonts w:ascii="宋体" w:hAnsi="宋体" w:eastAsia="宋体" w:cs="宋体"/>
          <w:spacing w:val="-36"/>
          <w:sz w:val="20"/>
          <w:szCs w:val="20"/>
        </w:rPr>
        <w:t xml:space="preserve"> </w:t>
      </w:r>
      <w:r>
        <w:rPr>
          <w:rFonts w:ascii="宋体" w:hAnsi="宋体" w:eastAsia="宋体" w:cs="宋体"/>
          <w:spacing w:val="17"/>
          <w:sz w:val="20"/>
          <w:szCs w:val="20"/>
        </w:rPr>
        <w:t>自行检查和评定记录文件</w:t>
      </w:r>
      <w:r>
        <w:rPr>
          <w:rFonts w:ascii="宋体" w:hAnsi="宋体" w:eastAsia="宋体" w:cs="宋体"/>
          <w:spacing w:val="-56"/>
          <w:sz w:val="20"/>
          <w:szCs w:val="20"/>
        </w:rPr>
        <w:t xml:space="preserve"> </w:t>
      </w:r>
      <w:r>
        <w:rPr>
          <w:rFonts w:ascii="宋体" w:hAnsi="宋体" w:eastAsia="宋体" w:cs="宋体"/>
          <w:spacing w:val="17"/>
          <w:sz w:val="20"/>
          <w:szCs w:val="20"/>
        </w:rPr>
        <w:t>，</w:t>
      </w:r>
      <w:r>
        <w:rPr>
          <w:rFonts w:ascii="宋体" w:hAnsi="宋体" w:eastAsia="宋体" w:cs="宋体"/>
          <w:spacing w:val="-48"/>
          <w:sz w:val="20"/>
          <w:szCs w:val="20"/>
        </w:rPr>
        <w:t xml:space="preserve"> </w:t>
      </w:r>
      <w:r>
        <w:rPr>
          <w:rFonts w:ascii="宋体" w:hAnsi="宋体" w:eastAsia="宋体" w:cs="宋体"/>
          <w:spacing w:val="17"/>
          <w:sz w:val="20"/>
          <w:szCs w:val="20"/>
        </w:rPr>
        <w:t>即</w:t>
      </w:r>
      <w:r>
        <w:rPr>
          <w:rFonts w:ascii="宋体" w:hAnsi="宋体" w:eastAsia="宋体" w:cs="宋体"/>
          <w:spacing w:val="-59"/>
          <w:sz w:val="20"/>
          <w:szCs w:val="20"/>
        </w:rPr>
        <w:t xml:space="preserve"> </w:t>
      </w:r>
      <w:r>
        <w:rPr>
          <w:rFonts w:ascii="宋体" w:hAnsi="宋体" w:eastAsia="宋体" w:cs="宋体"/>
          <w:spacing w:val="17"/>
          <w:sz w:val="20"/>
          <w:szCs w:val="20"/>
        </w:rPr>
        <w:t>除监理人同意列入缺</w:t>
      </w:r>
      <w:r>
        <w:rPr>
          <w:rFonts w:ascii="宋体" w:hAnsi="宋体" w:eastAsia="宋体" w:cs="宋体"/>
          <w:spacing w:val="-57"/>
          <w:sz w:val="20"/>
          <w:szCs w:val="20"/>
        </w:rPr>
        <w:t xml:space="preserve"> </w:t>
      </w:r>
      <w:r>
        <w:rPr>
          <w:rFonts w:ascii="宋体" w:hAnsi="宋体" w:eastAsia="宋体" w:cs="宋体"/>
          <w:spacing w:val="17"/>
          <w:sz w:val="20"/>
          <w:szCs w:val="20"/>
        </w:rPr>
        <w:t>陷责任期</w:t>
      </w:r>
      <w:r>
        <w:rPr>
          <w:rFonts w:ascii="宋体" w:hAnsi="宋体" w:eastAsia="宋体" w:cs="宋体"/>
          <w:spacing w:val="-45"/>
          <w:sz w:val="20"/>
          <w:szCs w:val="20"/>
        </w:rPr>
        <w:t xml:space="preserve"> </w:t>
      </w:r>
      <w:r>
        <w:rPr>
          <w:rFonts w:ascii="宋体" w:hAnsi="宋体" w:eastAsia="宋体" w:cs="宋体"/>
          <w:spacing w:val="17"/>
          <w:sz w:val="20"/>
          <w:szCs w:val="20"/>
        </w:rPr>
        <w:t>内完成</w:t>
      </w:r>
      <w:r>
        <w:rPr>
          <w:rFonts w:ascii="宋体" w:hAnsi="宋体" w:eastAsia="宋体" w:cs="宋体"/>
          <w:spacing w:val="-52"/>
          <w:sz w:val="20"/>
          <w:szCs w:val="20"/>
        </w:rPr>
        <w:t xml:space="preserve"> </w:t>
      </w:r>
      <w:r>
        <w:rPr>
          <w:rFonts w:ascii="宋体" w:hAnsi="宋体" w:eastAsia="宋体" w:cs="宋体"/>
          <w:spacing w:val="17"/>
          <w:sz w:val="20"/>
          <w:szCs w:val="20"/>
        </w:rPr>
        <w:t>的尾工（甩项）</w:t>
      </w:r>
      <w:r>
        <w:rPr>
          <w:rFonts w:ascii="宋体" w:hAnsi="宋体" w:eastAsia="宋体" w:cs="宋体"/>
          <w:spacing w:val="-40"/>
          <w:sz w:val="20"/>
          <w:szCs w:val="20"/>
        </w:rPr>
        <w:t xml:space="preserve"> </w:t>
      </w:r>
      <w:r>
        <w:rPr>
          <w:rFonts w:ascii="宋体" w:hAnsi="宋体" w:eastAsia="宋体" w:cs="宋体"/>
          <w:spacing w:val="17"/>
          <w:sz w:val="20"/>
          <w:szCs w:val="20"/>
        </w:rPr>
        <w:t>工程和缺</w:t>
      </w:r>
      <w:r>
        <w:rPr>
          <w:rFonts w:ascii="宋体" w:hAnsi="宋体" w:eastAsia="宋体" w:cs="宋体"/>
          <w:spacing w:val="-57"/>
          <w:sz w:val="20"/>
          <w:szCs w:val="20"/>
        </w:rPr>
        <w:t xml:space="preserve"> </w:t>
      </w:r>
      <w:r>
        <w:rPr>
          <w:rFonts w:ascii="宋体" w:hAnsi="宋体" w:eastAsia="宋体" w:cs="宋体"/>
          <w:spacing w:val="17"/>
          <w:sz w:val="20"/>
          <w:szCs w:val="20"/>
        </w:rPr>
        <w:t>陷修补工作外</w:t>
      </w:r>
      <w:r>
        <w:rPr>
          <w:rFonts w:ascii="宋体" w:hAnsi="宋体" w:eastAsia="宋体" w:cs="宋体"/>
          <w:spacing w:val="-54"/>
          <w:sz w:val="20"/>
          <w:szCs w:val="20"/>
        </w:rPr>
        <w:t xml:space="preserve"> </w:t>
      </w:r>
      <w:r>
        <w:rPr>
          <w:rFonts w:ascii="宋体" w:hAnsi="宋体" w:eastAsia="宋体" w:cs="宋体"/>
          <w:spacing w:val="17"/>
          <w:sz w:val="20"/>
          <w:szCs w:val="20"/>
        </w:rPr>
        <w:t>，合</w:t>
      </w:r>
      <w:r>
        <w:rPr>
          <w:rFonts w:ascii="宋体" w:hAnsi="宋体" w:eastAsia="宋体" w:cs="宋体"/>
          <w:spacing w:val="-49"/>
          <w:sz w:val="20"/>
          <w:szCs w:val="20"/>
        </w:rPr>
        <w:t xml:space="preserve"> </w:t>
      </w:r>
      <w:r>
        <w:rPr>
          <w:rFonts w:ascii="宋体" w:hAnsi="宋体" w:eastAsia="宋体" w:cs="宋体"/>
          <w:spacing w:val="17"/>
          <w:sz w:val="20"/>
          <w:szCs w:val="20"/>
        </w:rPr>
        <w:t>同范</w:t>
      </w:r>
      <w:r>
        <w:rPr>
          <w:rFonts w:ascii="宋体" w:hAnsi="宋体" w:eastAsia="宋体" w:cs="宋体"/>
          <w:spacing w:val="-52"/>
          <w:sz w:val="20"/>
          <w:szCs w:val="20"/>
        </w:rPr>
        <w:t xml:space="preserve"> </w:t>
      </w:r>
      <w:r>
        <w:rPr>
          <w:rFonts w:ascii="宋体" w:hAnsi="宋体" w:eastAsia="宋体" w:cs="宋体"/>
          <w:spacing w:val="17"/>
          <w:sz w:val="20"/>
          <w:szCs w:val="20"/>
        </w:rPr>
        <w:t>围内</w:t>
      </w:r>
      <w:r>
        <w:rPr>
          <w:rFonts w:ascii="宋体" w:hAnsi="宋体" w:eastAsia="宋体" w:cs="宋体"/>
          <w:spacing w:val="-53"/>
          <w:sz w:val="20"/>
          <w:szCs w:val="20"/>
        </w:rPr>
        <w:t xml:space="preserve"> </w:t>
      </w:r>
      <w:r>
        <w:rPr>
          <w:rFonts w:ascii="宋体" w:hAnsi="宋体" w:eastAsia="宋体" w:cs="宋体"/>
          <w:spacing w:val="17"/>
          <w:sz w:val="20"/>
          <w:szCs w:val="20"/>
        </w:rPr>
        <w:t>的全部单位工程</w:t>
      </w:r>
      <w:r>
        <w:rPr>
          <w:rFonts w:ascii="宋体" w:hAnsi="宋体" w:eastAsia="宋体" w:cs="宋体"/>
          <w:spacing w:val="-47"/>
          <w:sz w:val="20"/>
          <w:szCs w:val="20"/>
        </w:rPr>
        <w:t xml:space="preserve"> </w:t>
      </w:r>
      <w:r>
        <w:rPr>
          <w:rFonts w:ascii="宋体" w:hAnsi="宋体" w:eastAsia="宋体" w:cs="宋体"/>
          <w:spacing w:val="17"/>
          <w:sz w:val="20"/>
          <w:szCs w:val="20"/>
        </w:rPr>
        <w:t>以及有关工作</w:t>
      </w:r>
      <w:r>
        <w:rPr>
          <w:rFonts w:ascii="宋体" w:hAnsi="宋体" w:eastAsia="宋体" w:cs="宋体"/>
          <w:spacing w:val="-36"/>
          <w:sz w:val="20"/>
          <w:szCs w:val="20"/>
        </w:rPr>
        <w:t xml:space="preserve"> </w:t>
      </w:r>
      <w:r>
        <w:rPr>
          <w:rFonts w:ascii="宋体" w:hAnsi="宋体" w:eastAsia="宋体" w:cs="宋体"/>
          <w:spacing w:val="17"/>
          <w:sz w:val="20"/>
          <w:szCs w:val="20"/>
        </w:rPr>
        <w:t>，包括合</w:t>
      </w:r>
      <w:r>
        <w:rPr>
          <w:rFonts w:ascii="宋体" w:hAnsi="宋体" w:eastAsia="宋体" w:cs="宋体"/>
          <w:spacing w:val="-50"/>
          <w:sz w:val="20"/>
          <w:szCs w:val="20"/>
        </w:rPr>
        <w:t xml:space="preserve"> </w:t>
      </w:r>
      <w:r>
        <w:rPr>
          <w:rFonts w:ascii="宋体" w:hAnsi="宋体" w:eastAsia="宋体" w:cs="宋体"/>
          <w:spacing w:val="17"/>
          <w:sz w:val="20"/>
          <w:szCs w:val="20"/>
        </w:rPr>
        <w:t>同要求</w:t>
      </w:r>
      <w:r>
        <w:rPr>
          <w:rFonts w:ascii="宋体" w:hAnsi="宋体" w:eastAsia="宋体" w:cs="宋体"/>
          <w:spacing w:val="-53"/>
          <w:sz w:val="20"/>
          <w:szCs w:val="20"/>
        </w:rPr>
        <w:t xml:space="preserve"> </w:t>
      </w:r>
      <w:r>
        <w:rPr>
          <w:rFonts w:ascii="宋体" w:hAnsi="宋体" w:eastAsia="宋体" w:cs="宋体"/>
          <w:spacing w:val="17"/>
          <w:sz w:val="20"/>
          <w:szCs w:val="20"/>
        </w:rPr>
        <w:t>的试验</w:t>
      </w:r>
      <w:r>
        <w:rPr>
          <w:rFonts w:ascii="宋体" w:hAnsi="宋体" w:eastAsia="宋体" w:cs="宋体"/>
          <w:spacing w:val="-56"/>
          <w:sz w:val="20"/>
          <w:szCs w:val="20"/>
        </w:rPr>
        <w:t xml:space="preserve"> </w:t>
      </w:r>
      <w:r>
        <w:rPr>
          <w:rFonts w:ascii="宋体" w:hAnsi="宋体" w:eastAsia="宋体" w:cs="宋体"/>
          <w:spacing w:val="17"/>
          <w:sz w:val="20"/>
          <w:szCs w:val="20"/>
        </w:rPr>
        <w:t>、试运行</w:t>
      </w:r>
      <w:r>
        <w:rPr>
          <w:rFonts w:ascii="宋体" w:hAnsi="宋体" w:eastAsia="宋体" w:cs="宋体"/>
          <w:spacing w:val="-47"/>
          <w:sz w:val="20"/>
          <w:szCs w:val="20"/>
        </w:rPr>
        <w:t xml:space="preserve"> </w:t>
      </w:r>
      <w:r>
        <w:rPr>
          <w:rFonts w:ascii="宋体" w:hAnsi="宋体" w:eastAsia="宋体" w:cs="宋体"/>
          <w:spacing w:val="17"/>
          <w:sz w:val="20"/>
          <w:szCs w:val="20"/>
        </w:rPr>
        <w:t>以及检验和验收均</w:t>
      </w:r>
      <w:r>
        <w:rPr>
          <w:rFonts w:ascii="宋体" w:hAnsi="宋体" w:eastAsia="宋体" w:cs="宋体"/>
          <w:spacing w:val="-48"/>
          <w:sz w:val="20"/>
          <w:szCs w:val="20"/>
        </w:rPr>
        <w:t xml:space="preserve"> </w:t>
      </w:r>
      <w:r>
        <w:rPr>
          <w:rFonts w:ascii="宋体" w:hAnsi="宋体" w:eastAsia="宋体" w:cs="宋体"/>
          <w:spacing w:val="17"/>
          <w:sz w:val="20"/>
          <w:szCs w:val="20"/>
        </w:rPr>
        <w:t>已完成</w:t>
      </w:r>
      <w:r>
        <w:rPr>
          <w:rFonts w:ascii="宋体" w:hAnsi="宋体" w:eastAsia="宋体" w:cs="宋体"/>
          <w:spacing w:val="-53"/>
          <w:sz w:val="20"/>
          <w:szCs w:val="20"/>
        </w:rPr>
        <w:t xml:space="preserve"> </w:t>
      </w:r>
      <w:r>
        <w:rPr>
          <w:rFonts w:ascii="宋体" w:hAnsi="宋体" w:eastAsia="宋体" w:cs="宋体"/>
          <w:spacing w:val="17"/>
          <w:sz w:val="20"/>
          <w:szCs w:val="20"/>
        </w:rPr>
        <w:t>，</w:t>
      </w:r>
      <w:r>
        <w:rPr>
          <w:rFonts w:ascii="宋体" w:hAnsi="宋体" w:eastAsia="宋体" w:cs="宋体"/>
          <w:spacing w:val="-59"/>
          <w:sz w:val="20"/>
          <w:szCs w:val="20"/>
        </w:rPr>
        <w:t xml:space="preserve"> </w:t>
      </w:r>
      <w:r>
        <w:rPr>
          <w:rFonts w:ascii="宋体" w:hAnsi="宋体" w:eastAsia="宋体" w:cs="宋体"/>
          <w:spacing w:val="17"/>
          <w:sz w:val="20"/>
          <w:szCs w:val="20"/>
        </w:rPr>
        <w:t>并符合</w:t>
      </w:r>
      <w:r>
        <w:rPr>
          <w:rFonts w:ascii="宋体" w:hAnsi="宋体" w:eastAsia="宋体" w:cs="宋体"/>
          <w:spacing w:val="7"/>
          <w:sz w:val="20"/>
          <w:szCs w:val="20"/>
        </w:rPr>
        <w:t>合</w:t>
      </w:r>
      <w:r>
        <w:rPr>
          <w:rFonts w:ascii="宋体" w:hAnsi="宋体" w:eastAsia="宋体" w:cs="宋体"/>
          <w:spacing w:val="-48"/>
          <w:sz w:val="20"/>
          <w:szCs w:val="20"/>
        </w:rPr>
        <w:t xml:space="preserve"> </w:t>
      </w:r>
      <w:r>
        <w:rPr>
          <w:rFonts w:ascii="宋体" w:hAnsi="宋体" w:eastAsia="宋体" w:cs="宋体"/>
          <w:spacing w:val="7"/>
          <w:sz w:val="20"/>
          <w:szCs w:val="20"/>
        </w:rPr>
        <w:t>同要求；</w:t>
      </w:r>
    </w:p>
    <w:p w14:paraId="03AF06D4">
      <w:pPr>
        <w:spacing w:before="7" w:line="228" w:lineRule="auto"/>
        <w:ind w:left="960"/>
        <w:rPr>
          <w:rFonts w:ascii="宋体" w:hAnsi="宋体" w:eastAsia="宋体" w:cs="宋体"/>
          <w:sz w:val="20"/>
          <w:szCs w:val="20"/>
        </w:rPr>
      </w:pPr>
      <w:r>
        <w:rPr>
          <w:rFonts w:ascii="宋体" w:hAnsi="宋体" w:eastAsia="宋体" w:cs="宋体"/>
          <w:spacing w:val="6"/>
          <w:sz w:val="20"/>
          <w:szCs w:val="20"/>
        </w:rPr>
        <w:t>（2）按专用合同条款第</w:t>
      </w:r>
      <w:r>
        <w:rPr>
          <w:rFonts w:ascii="宋体" w:hAnsi="宋体" w:eastAsia="宋体" w:cs="宋体"/>
          <w:spacing w:val="-7"/>
          <w:sz w:val="20"/>
          <w:szCs w:val="20"/>
        </w:rPr>
        <w:t xml:space="preserve"> </w:t>
      </w:r>
      <w:r>
        <w:rPr>
          <w:rFonts w:ascii="宋体" w:hAnsi="宋体" w:eastAsia="宋体" w:cs="宋体"/>
          <w:spacing w:val="6"/>
          <w:sz w:val="20"/>
          <w:szCs w:val="20"/>
        </w:rPr>
        <w:t>18.2（2）</w:t>
      </w:r>
      <w:r>
        <w:rPr>
          <w:rFonts w:ascii="宋体" w:hAnsi="宋体" w:eastAsia="宋体" w:cs="宋体"/>
          <w:spacing w:val="-42"/>
          <w:sz w:val="20"/>
          <w:szCs w:val="20"/>
        </w:rPr>
        <w:t xml:space="preserve"> </w:t>
      </w:r>
      <w:r>
        <w:rPr>
          <w:rFonts w:ascii="宋体" w:hAnsi="宋体" w:eastAsia="宋体" w:cs="宋体"/>
          <w:spacing w:val="6"/>
          <w:sz w:val="20"/>
          <w:szCs w:val="20"/>
        </w:rPr>
        <w:t>目约定的内容和份数整理的符合要求的竣工资料；</w:t>
      </w:r>
    </w:p>
    <w:p w14:paraId="7A92A4E9">
      <w:pPr>
        <w:spacing w:before="190" w:line="402" w:lineRule="auto"/>
        <w:ind w:left="1475" w:right="133" w:hanging="515"/>
        <w:rPr>
          <w:rFonts w:ascii="宋体" w:hAnsi="宋体" w:eastAsia="宋体" w:cs="宋体"/>
          <w:sz w:val="20"/>
          <w:szCs w:val="20"/>
        </w:rPr>
      </w:pPr>
      <w:r>
        <w:rPr>
          <w:rFonts w:ascii="宋体" w:hAnsi="宋体" w:eastAsia="宋体" w:cs="宋体"/>
          <w:spacing w:val="9"/>
          <w:sz w:val="20"/>
          <w:szCs w:val="20"/>
        </w:rPr>
        <w:t>（3）按监理人的要求编制了在缺陷责任期内完成的尾工（甩项）工程和缺陷修补工作</w:t>
      </w:r>
      <w:r>
        <w:rPr>
          <w:rFonts w:ascii="宋体" w:hAnsi="宋体" w:eastAsia="宋体" w:cs="宋体"/>
          <w:spacing w:val="8"/>
          <w:sz w:val="20"/>
          <w:szCs w:val="20"/>
        </w:rPr>
        <w:t>清单以及相应施工计划；</w:t>
      </w:r>
    </w:p>
    <w:p w14:paraId="57D3C85C">
      <w:pPr>
        <w:spacing w:line="226" w:lineRule="auto"/>
        <w:ind w:left="960"/>
        <w:rPr>
          <w:rFonts w:ascii="宋体" w:hAnsi="宋体" w:eastAsia="宋体" w:cs="宋体"/>
          <w:sz w:val="20"/>
          <w:szCs w:val="20"/>
        </w:rPr>
      </w:pPr>
      <w:r>
        <w:rPr>
          <w:rFonts w:ascii="宋体" w:hAnsi="宋体" w:eastAsia="宋体" w:cs="宋体"/>
          <w:spacing w:val="9"/>
          <w:sz w:val="20"/>
          <w:szCs w:val="20"/>
        </w:rPr>
        <w:t>（4）监理人要求在竣工验收前应完成的其</w:t>
      </w:r>
      <w:r>
        <w:rPr>
          <w:rFonts w:ascii="宋体" w:hAnsi="宋体" w:eastAsia="宋体" w:cs="宋体"/>
          <w:spacing w:val="8"/>
          <w:sz w:val="20"/>
          <w:szCs w:val="20"/>
        </w:rPr>
        <w:t>他工作的证明材料；</w:t>
      </w:r>
    </w:p>
    <w:p w14:paraId="656CD59F">
      <w:pPr>
        <w:spacing w:before="191" w:line="228" w:lineRule="auto"/>
        <w:ind w:left="960"/>
        <w:rPr>
          <w:rFonts w:ascii="宋体" w:hAnsi="宋体" w:eastAsia="宋体" w:cs="宋体"/>
          <w:sz w:val="20"/>
          <w:szCs w:val="20"/>
        </w:rPr>
      </w:pPr>
      <w:r>
        <w:rPr>
          <w:rFonts w:ascii="宋体" w:hAnsi="宋体" w:eastAsia="宋体" w:cs="宋体"/>
          <w:spacing w:val="8"/>
          <w:sz w:val="20"/>
          <w:szCs w:val="20"/>
        </w:rPr>
        <w:t>（5）监理人要求提交的竣工验收资料清单；</w:t>
      </w:r>
    </w:p>
    <w:p w14:paraId="69C5F8FC">
      <w:pPr>
        <w:spacing w:before="190" w:line="228" w:lineRule="auto"/>
        <w:ind w:left="960"/>
        <w:rPr>
          <w:rFonts w:ascii="宋体" w:hAnsi="宋体" w:eastAsia="宋体" w:cs="宋体"/>
          <w:sz w:val="20"/>
          <w:szCs w:val="20"/>
        </w:rPr>
      </w:pPr>
      <w:r>
        <w:rPr>
          <w:rFonts w:ascii="宋体" w:hAnsi="宋体" w:eastAsia="宋体" w:cs="宋体"/>
          <w:spacing w:val="8"/>
          <w:sz w:val="20"/>
          <w:szCs w:val="20"/>
        </w:rPr>
        <w:t>（6）通用合同条款第</w:t>
      </w:r>
      <w:r>
        <w:rPr>
          <w:rFonts w:ascii="宋体" w:hAnsi="宋体" w:eastAsia="宋体" w:cs="宋体"/>
          <w:spacing w:val="-20"/>
          <w:sz w:val="20"/>
          <w:szCs w:val="20"/>
        </w:rPr>
        <w:t xml:space="preserve"> </w:t>
      </w:r>
      <w:r>
        <w:rPr>
          <w:rFonts w:ascii="宋体" w:hAnsi="宋体" w:eastAsia="宋体" w:cs="宋体"/>
          <w:spacing w:val="8"/>
          <w:sz w:val="20"/>
          <w:szCs w:val="20"/>
        </w:rPr>
        <w:t>18.4.1</w:t>
      </w:r>
      <w:r>
        <w:rPr>
          <w:rFonts w:ascii="宋体" w:hAnsi="宋体" w:eastAsia="宋体" w:cs="宋体"/>
          <w:spacing w:val="-37"/>
          <w:sz w:val="20"/>
          <w:szCs w:val="20"/>
        </w:rPr>
        <w:t xml:space="preserve"> </w:t>
      </w:r>
      <w:r>
        <w:rPr>
          <w:rFonts w:ascii="宋体" w:hAnsi="宋体" w:eastAsia="宋体" w:cs="宋体"/>
          <w:spacing w:val="8"/>
          <w:sz w:val="20"/>
          <w:szCs w:val="20"/>
        </w:rPr>
        <w:t>项约定的单位工</w:t>
      </w:r>
      <w:r>
        <w:rPr>
          <w:rFonts w:ascii="宋体" w:hAnsi="宋体" w:eastAsia="宋体" w:cs="宋体"/>
          <w:spacing w:val="7"/>
          <w:sz w:val="20"/>
          <w:szCs w:val="20"/>
        </w:rPr>
        <w:t>程竣工验收成果和结论文件（如果有</w:t>
      </w:r>
      <w:r>
        <w:rPr>
          <w:rFonts w:ascii="宋体" w:hAnsi="宋体" w:eastAsia="宋体" w:cs="宋体"/>
          <w:spacing w:val="-54"/>
          <w:sz w:val="20"/>
          <w:szCs w:val="20"/>
        </w:rPr>
        <w:t>）；</w:t>
      </w:r>
    </w:p>
    <w:p w14:paraId="1688D6FA">
      <w:pPr>
        <w:spacing w:before="187" w:line="227" w:lineRule="auto"/>
        <w:ind w:left="960"/>
        <w:rPr>
          <w:rFonts w:ascii="宋体" w:hAnsi="宋体" w:eastAsia="宋体" w:cs="宋体"/>
          <w:sz w:val="20"/>
          <w:szCs w:val="20"/>
        </w:rPr>
      </w:pPr>
      <w:r>
        <w:rPr>
          <w:rFonts w:ascii="宋体" w:hAnsi="宋体" w:eastAsia="宋体" w:cs="宋体"/>
          <w:spacing w:val="8"/>
          <w:sz w:val="20"/>
          <w:szCs w:val="20"/>
        </w:rPr>
        <w:t>（7）专用合同条款第</w:t>
      </w:r>
      <w:r>
        <w:rPr>
          <w:rFonts w:ascii="宋体" w:hAnsi="宋体" w:eastAsia="宋体" w:cs="宋体"/>
          <w:spacing w:val="-19"/>
          <w:sz w:val="20"/>
          <w:szCs w:val="20"/>
        </w:rPr>
        <w:t xml:space="preserve"> </w:t>
      </w:r>
      <w:r>
        <w:rPr>
          <w:rFonts w:ascii="宋体" w:hAnsi="宋体" w:eastAsia="宋体" w:cs="宋体"/>
          <w:spacing w:val="8"/>
          <w:sz w:val="20"/>
          <w:szCs w:val="20"/>
        </w:rPr>
        <w:t>19.7</w:t>
      </w:r>
      <w:r>
        <w:rPr>
          <w:rFonts w:ascii="宋体" w:hAnsi="宋体" w:eastAsia="宋体" w:cs="宋体"/>
          <w:spacing w:val="-39"/>
          <w:sz w:val="20"/>
          <w:szCs w:val="20"/>
        </w:rPr>
        <w:t xml:space="preserve"> </w:t>
      </w:r>
      <w:r>
        <w:rPr>
          <w:rFonts w:ascii="宋体" w:hAnsi="宋体" w:eastAsia="宋体" w:cs="宋体"/>
          <w:spacing w:val="8"/>
          <w:sz w:val="20"/>
          <w:szCs w:val="20"/>
        </w:rPr>
        <w:t>款约定的质量保修书（此</w:t>
      </w:r>
      <w:r>
        <w:rPr>
          <w:rFonts w:ascii="宋体" w:hAnsi="宋体" w:eastAsia="宋体" w:cs="宋体"/>
          <w:spacing w:val="7"/>
          <w:sz w:val="20"/>
          <w:szCs w:val="20"/>
        </w:rPr>
        <w:t>前已经提交的不再提交</w:t>
      </w:r>
      <w:r>
        <w:rPr>
          <w:rFonts w:ascii="宋体" w:hAnsi="宋体" w:eastAsia="宋体" w:cs="宋体"/>
          <w:spacing w:val="-54"/>
          <w:w w:val="99"/>
          <w:sz w:val="20"/>
          <w:szCs w:val="20"/>
        </w:rPr>
        <w:t>）；</w:t>
      </w:r>
    </w:p>
    <w:p w14:paraId="139C793C">
      <w:pPr>
        <w:spacing w:before="192" w:line="228" w:lineRule="auto"/>
        <w:ind w:left="960"/>
        <w:rPr>
          <w:rFonts w:ascii="宋体" w:hAnsi="宋体" w:eastAsia="宋体" w:cs="宋体"/>
          <w:sz w:val="20"/>
          <w:szCs w:val="20"/>
        </w:rPr>
      </w:pPr>
      <w:r>
        <w:rPr>
          <w:rFonts w:ascii="宋体" w:hAnsi="宋体" w:eastAsia="宋体" w:cs="宋体"/>
          <w:spacing w:val="5"/>
          <w:sz w:val="20"/>
          <w:szCs w:val="20"/>
        </w:rPr>
        <w:t>（8）其他：</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2ACEE48D">
      <w:pPr>
        <w:pStyle w:val="2"/>
        <w:spacing w:before="162" w:line="221" w:lineRule="auto"/>
        <w:ind w:left="18"/>
        <w:rPr>
          <w:sz w:val="24"/>
          <w:szCs w:val="24"/>
        </w:rPr>
      </w:pPr>
      <w:r>
        <w:rPr>
          <w:spacing w:val="-2"/>
          <w:sz w:val="24"/>
          <w:szCs w:val="24"/>
        </w:rPr>
        <w:t>15.3    竣工清场</w:t>
      </w:r>
    </w:p>
    <w:p w14:paraId="5BF86038">
      <w:pPr>
        <w:spacing w:before="175" w:line="403" w:lineRule="auto"/>
        <w:ind w:left="949" w:right="133" w:hanging="929"/>
        <w:rPr>
          <w:rFonts w:ascii="宋体" w:hAnsi="宋体" w:eastAsia="宋体" w:cs="宋体"/>
          <w:sz w:val="20"/>
          <w:szCs w:val="20"/>
        </w:rPr>
      </w:pPr>
      <w:r>
        <w:rPr>
          <w:rFonts w:ascii="宋体" w:hAnsi="宋体" w:eastAsia="宋体" w:cs="宋体"/>
          <w:spacing w:val="8"/>
          <w:sz w:val="20"/>
          <w:szCs w:val="20"/>
        </w:rPr>
        <w:t>15.3.1   监理人颁发（出具）工程接收证书后，承包人应在</w:t>
      </w:r>
      <w:r>
        <w:rPr>
          <w:rFonts w:ascii="宋体" w:hAnsi="宋体" w:eastAsia="宋体" w:cs="宋体"/>
          <w:spacing w:val="-33"/>
          <w:sz w:val="20"/>
          <w:szCs w:val="20"/>
        </w:rPr>
        <w:t xml:space="preserve"> </w:t>
      </w:r>
      <w:r>
        <w:rPr>
          <w:rFonts w:ascii="宋体" w:hAnsi="宋体" w:eastAsia="宋体" w:cs="宋体"/>
          <w:spacing w:val="8"/>
          <w:sz w:val="20"/>
          <w:szCs w:val="20"/>
        </w:rPr>
        <w:t>56</w:t>
      </w:r>
      <w:r>
        <w:rPr>
          <w:rFonts w:ascii="宋体" w:hAnsi="宋体" w:eastAsia="宋体" w:cs="宋体"/>
          <w:spacing w:val="-36"/>
          <w:sz w:val="20"/>
          <w:szCs w:val="20"/>
        </w:rPr>
        <w:t xml:space="preserve"> </w:t>
      </w:r>
      <w:r>
        <w:rPr>
          <w:rFonts w:ascii="宋体" w:hAnsi="宋体" w:eastAsia="宋体" w:cs="宋体"/>
          <w:spacing w:val="8"/>
          <w:sz w:val="20"/>
          <w:szCs w:val="20"/>
        </w:rPr>
        <w:t>天内</w:t>
      </w:r>
      <w:r>
        <w:rPr>
          <w:rFonts w:ascii="宋体" w:hAnsi="宋体" w:eastAsia="宋体" w:cs="宋体"/>
          <w:spacing w:val="7"/>
          <w:sz w:val="20"/>
          <w:szCs w:val="20"/>
        </w:rPr>
        <w:t>按以下要求对施工场地（现场）进行清理：</w:t>
      </w:r>
    </w:p>
    <w:p w14:paraId="4733C1F0">
      <w:pPr>
        <w:spacing w:line="227" w:lineRule="auto"/>
        <w:ind w:left="960"/>
        <w:rPr>
          <w:rFonts w:ascii="宋体" w:hAnsi="宋体" w:eastAsia="宋体" w:cs="宋体"/>
          <w:sz w:val="20"/>
          <w:szCs w:val="20"/>
        </w:rPr>
      </w:pPr>
      <w:r>
        <w:rPr>
          <w:rFonts w:ascii="宋体" w:hAnsi="宋体" w:eastAsia="宋体" w:cs="宋体"/>
          <w:spacing w:val="8"/>
          <w:sz w:val="20"/>
          <w:szCs w:val="20"/>
        </w:rPr>
        <w:t>（1）从施工场地（现场）清除所有杂物和垃圾等；</w:t>
      </w:r>
    </w:p>
    <w:p w14:paraId="490E8C71">
      <w:pPr>
        <w:spacing w:before="188" w:line="403" w:lineRule="auto"/>
        <w:ind w:left="1265" w:hanging="305"/>
        <w:rPr>
          <w:rFonts w:ascii="宋体" w:hAnsi="宋体" w:eastAsia="宋体" w:cs="宋体"/>
          <w:sz w:val="20"/>
          <w:szCs w:val="20"/>
        </w:rPr>
      </w:pPr>
      <w:r>
        <w:rPr>
          <w:rFonts w:ascii="宋体" w:hAnsi="宋体" w:eastAsia="宋体" w:cs="宋体"/>
          <w:spacing w:val="9"/>
          <w:sz w:val="20"/>
          <w:szCs w:val="20"/>
        </w:rPr>
        <w:t>（2）从施工场地现场拆除所有的临时工程和临时设施并恢复地面原状，但经监理人批</w:t>
      </w:r>
      <w:r>
        <w:rPr>
          <w:rFonts w:ascii="宋体" w:hAnsi="宋体" w:eastAsia="宋体" w:cs="宋体"/>
          <w:spacing w:val="8"/>
          <w:sz w:val="20"/>
          <w:szCs w:val="20"/>
        </w:rPr>
        <w:t>准的护坡桩、锚杆、塔吊基础和无法拆除的埋入式模板</w:t>
      </w:r>
      <w:r>
        <w:rPr>
          <w:rFonts w:ascii="宋体" w:hAnsi="宋体" w:eastAsia="宋体" w:cs="宋体"/>
          <w:spacing w:val="7"/>
          <w:sz w:val="20"/>
          <w:szCs w:val="20"/>
        </w:rPr>
        <w:t>等无法拆除的临时设施除外；</w:t>
      </w:r>
    </w:p>
    <w:p w14:paraId="69A57162">
      <w:pPr>
        <w:spacing w:before="1" w:line="402" w:lineRule="auto"/>
        <w:ind w:left="1415" w:right="136" w:hanging="455"/>
        <w:rPr>
          <w:rFonts w:ascii="宋体" w:hAnsi="宋体" w:eastAsia="宋体" w:cs="宋体"/>
          <w:sz w:val="20"/>
          <w:szCs w:val="20"/>
        </w:rPr>
      </w:pPr>
      <w:r>
        <w:rPr>
          <w:rFonts w:ascii="宋体" w:hAnsi="宋体" w:eastAsia="宋体" w:cs="宋体"/>
          <w:spacing w:val="9"/>
          <w:sz w:val="20"/>
          <w:szCs w:val="20"/>
        </w:rPr>
        <w:t>（3）撤离所有承包人施工设备和剩余材料（经监理人同意需在缺陷责任期内继续使用</w:t>
      </w:r>
      <w:r>
        <w:rPr>
          <w:rFonts w:ascii="宋体" w:hAnsi="宋体" w:eastAsia="宋体" w:cs="宋体"/>
          <w:spacing w:val="1"/>
          <w:sz w:val="20"/>
          <w:szCs w:val="20"/>
        </w:rPr>
        <w:t>的除外</w:t>
      </w:r>
      <w:r>
        <w:rPr>
          <w:rFonts w:ascii="宋体" w:hAnsi="宋体" w:eastAsia="宋体" w:cs="宋体"/>
          <w:spacing w:val="-54"/>
          <w:sz w:val="20"/>
          <w:szCs w:val="20"/>
        </w:rPr>
        <w:t>）；</w:t>
      </w:r>
    </w:p>
    <w:p w14:paraId="7AD5BC57">
      <w:pPr>
        <w:spacing w:line="228" w:lineRule="auto"/>
        <w:ind w:left="960"/>
        <w:rPr>
          <w:rFonts w:ascii="宋体" w:hAnsi="宋体" w:eastAsia="宋体" w:cs="宋体"/>
          <w:sz w:val="20"/>
          <w:szCs w:val="20"/>
        </w:rPr>
      </w:pPr>
      <w:r>
        <w:rPr>
          <w:rFonts w:ascii="宋体" w:hAnsi="宋体" w:eastAsia="宋体" w:cs="宋体"/>
          <w:spacing w:val="7"/>
          <w:sz w:val="20"/>
          <w:szCs w:val="20"/>
        </w:rPr>
        <w:t>（4）监理人指示的其他清场工作。</w:t>
      </w:r>
    </w:p>
    <w:p w14:paraId="453FCC5E">
      <w:pPr>
        <w:pStyle w:val="2"/>
        <w:spacing w:before="99" w:line="223" w:lineRule="auto"/>
        <w:ind w:left="29"/>
        <w:outlineLvl w:val="2"/>
        <w:rPr>
          <w:sz w:val="28"/>
          <w:szCs w:val="28"/>
        </w:rPr>
      </w:pPr>
      <w:bookmarkStart w:id="400" w:name="bookmark382"/>
      <w:bookmarkEnd w:id="400"/>
      <w:r>
        <w:rPr>
          <w:rFonts w:ascii="Times New Roman" w:hAnsi="Times New Roman" w:eastAsia="Times New Roman" w:cs="Times New Roman"/>
          <w:spacing w:val="-5"/>
          <w:sz w:val="28"/>
          <w:szCs w:val="28"/>
        </w:rPr>
        <w:t>16.</w:t>
      </w:r>
      <w:r>
        <w:rPr>
          <w:spacing w:val="-5"/>
          <w:sz w:val="28"/>
          <w:szCs w:val="28"/>
        </w:rPr>
        <w:t>其他要求</w:t>
      </w:r>
    </w:p>
    <w:p w14:paraId="3EF6701D">
      <w:pPr>
        <w:spacing w:line="376" w:lineRule="auto"/>
        <w:rPr>
          <w:rFonts w:ascii="Arial"/>
          <w:sz w:val="21"/>
        </w:rPr>
      </w:pPr>
    </w:p>
    <w:p w14:paraId="6F726BF6">
      <w:pPr>
        <w:spacing w:before="65" w:line="462" w:lineRule="auto"/>
        <w:ind w:right="83" w:firstLine="440"/>
        <w:rPr>
          <w:rFonts w:ascii="宋体" w:hAnsi="宋体" w:eastAsia="宋体" w:cs="宋体"/>
          <w:sz w:val="20"/>
          <w:szCs w:val="20"/>
        </w:rPr>
      </w:pPr>
      <w:r>
        <w:rPr>
          <w:rFonts w:ascii="宋体" w:hAnsi="宋体" w:eastAsia="宋体" w:cs="宋体"/>
          <w:spacing w:val="10"/>
          <w:sz w:val="20"/>
          <w:szCs w:val="20"/>
        </w:rPr>
        <w:t>16.1</w:t>
      </w:r>
      <w:r>
        <w:rPr>
          <w:rFonts w:ascii="宋体" w:hAnsi="宋体" w:eastAsia="宋体" w:cs="宋体"/>
          <w:spacing w:val="-35"/>
          <w:sz w:val="20"/>
          <w:szCs w:val="20"/>
        </w:rPr>
        <w:t xml:space="preserve"> </w:t>
      </w:r>
      <w:r>
        <w:rPr>
          <w:rFonts w:ascii="宋体" w:hAnsi="宋体" w:eastAsia="宋体" w:cs="宋体"/>
          <w:spacing w:val="10"/>
          <w:sz w:val="20"/>
          <w:szCs w:val="20"/>
        </w:rPr>
        <w:t>本项目应按照相关规定采用</w:t>
      </w:r>
      <w:r>
        <w:rPr>
          <w:rFonts w:ascii="宋体" w:hAnsi="宋体" w:eastAsia="宋体" w:cs="宋体"/>
          <w:sz w:val="20"/>
          <w:szCs w:val="20"/>
        </w:rPr>
        <w:t>BIM</w:t>
      </w:r>
      <w:r>
        <w:rPr>
          <w:rFonts w:ascii="宋体" w:hAnsi="宋体" w:eastAsia="宋体" w:cs="宋体"/>
          <w:spacing w:val="-40"/>
          <w:sz w:val="20"/>
          <w:szCs w:val="20"/>
        </w:rPr>
        <w:t xml:space="preserve"> </w:t>
      </w:r>
      <w:r>
        <w:rPr>
          <w:rFonts w:ascii="宋体" w:hAnsi="宋体" w:eastAsia="宋体" w:cs="宋体"/>
          <w:spacing w:val="10"/>
          <w:sz w:val="20"/>
          <w:szCs w:val="20"/>
        </w:rPr>
        <w:t>技术，协助建设单位完成竣工验收、档案移交等环节的</w:t>
      </w:r>
      <w:r>
        <w:rPr>
          <w:rFonts w:ascii="宋体" w:hAnsi="宋体" w:eastAsia="宋体" w:cs="宋体"/>
          <w:sz w:val="20"/>
          <w:szCs w:val="20"/>
        </w:rPr>
        <w:t>BIM</w:t>
      </w:r>
      <w:r>
        <w:rPr>
          <w:rFonts w:ascii="宋体" w:hAnsi="宋体" w:eastAsia="宋体" w:cs="宋体"/>
          <w:spacing w:val="-38"/>
          <w:sz w:val="20"/>
          <w:szCs w:val="20"/>
        </w:rPr>
        <w:t xml:space="preserve"> </w:t>
      </w:r>
      <w:r>
        <w:rPr>
          <w:rFonts w:ascii="宋体" w:hAnsi="宋体" w:eastAsia="宋体" w:cs="宋体"/>
          <w:spacing w:val="6"/>
          <w:sz w:val="20"/>
          <w:szCs w:val="20"/>
        </w:rPr>
        <w:t>文件。</w:t>
      </w:r>
    </w:p>
    <w:p w14:paraId="21F51E97">
      <w:pPr>
        <w:spacing w:line="247" w:lineRule="auto"/>
        <w:ind w:left="440"/>
        <w:rPr>
          <w:rFonts w:ascii="宋体" w:hAnsi="宋体" w:eastAsia="宋体" w:cs="宋体"/>
          <w:sz w:val="20"/>
          <w:szCs w:val="20"/>
        </w:rPr>
      </w:pPr>
      <w:r>
        <w:rPr>
          <w:rFonts w:ascii="宋体" w:hAnsi="宋体" w:eastAsia="宋体" w:cs="宋体"/>
          <w:spacing w:val="-1"/>
          <w:sz w:val="20"/>
          <w:szCs w:val="20"/>
        </w:rPr>
        <w:t>16.2</w:t>
      </w:r>
      <w:r>
        <w:rPr>
          <w:rFonts w:ascii="宋体" w:hAnsi="宋体" w:eastAsia="宋体" w:cs="宋体"/>
          <w:spacing w:val="-1"/>
          <w:sz w:val="20"/>
          <w:szCs w:val="20"/>
          <w:u w:val="single" w:color="auto"/>
        </w:rPr>
        <w:t xml:space="preserve">                                                                         </w:t>
      </w:r>
    </w:p>
    <w:p w14:paraId="354B22D9">
      <w:pPr>
        <w:spacing w:line="341" w:lineRule="auto"/>
        <w:rPr>
          <w:rFonts w:ascii="Arial"/>
          <w:sz w:val="21"/>
        </w:rPr>
      </w:pPr>
    </w:p>
    <w:p w14:paraId="7D49A297">
      <w:pPr>
        <w:tabs>
          <w:tab w:val="left" w:pos="8187"/>
        </w:tabs>
        <w:spacing w:before="23" w:line="173" w:lineRule="auto"/>
        <w:ind w:left="94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4B2D115">
      <w:pPr>
        <w:spacing w:line="173" w:lineRule="auto"/>
        <w:rPr>
          <w:rFonts w:ascii="宋体" w:hAnsi="宋体" w:eastAsia="宋体" w:cs="宋体"/>
          <w:sz w:val="7"/>
          <w:szCs w:val="7"/>
        </w:rPr>
        <w:sectPr>
          <w:footerReference r:id="rId502" w:type="default"/>
          <w:pgSz w:w="11907" w:h="16840"/>
          <w:pgMar w:top="400" w:right="1479" w:bottom="1247" w:left="1476" w:header="0" w:footer="1085" w:gutter="0"/>
          <w:cols w:space="720" w:num="1"/>
        </w:sectPr>
      </w:pPr>
    </w:p>
    <w:p w14:paraId="68F94F62">
      <w:pPr>
        <w:spacing w:line="256" w:lineRule="auto"/>
        <w:rPr>
          <w:rFonts w:ascii="Arial"/>
          <w:sz w:val="21"/>
        </w:rPr>
      </w:pPr>
    </w:p>
    <w:p w14:paraId="6A83132F">
      <w:pPr>
        <w:spacing w:line="256" w:lineRule="auto"/>
        <w:rPr>
          <w:rFonts w:ascii="Arial"/>
          <w:sz w:val="21"/>
        </w:rPr>
      </w:pPr>
    </w:p>
    <w:p w14:paraId="7D43BD1D">
      <w:pPr>
        <w:spacing w:line="256" w:lineRule="auto"/>
        <w:rPr>
          <w:rFonts w:ascii="Arial"/>
          <w:sz w:val="21"/>
        </w:rPr>
      </w:pPr>
    </w:p>
    <w:p w14:paraId="21374A5F">
      <w:pPr>
        <w:spacing w:line="256" w:lineRule="auto"/>
        <w:rPr>
          <w:rFonts w:ascii="Arial"/>
          <w:sz w:val="21"/>
        </w:rPr>
      </w:pPr>
    </w:p>
    <w:p w14:paraId="2FFF0595">
      <w:pPr>
        <w:spacing w:line="257" w:lineRule="auto"/>
        <w:rPr>
          <w:rFonts w:ascii="Arial"/>
          <w:sz w:val="21"/>
        </w:rPr>
      </w:pPr>
    </w:p>
    <w:p w14:paraId="7343F743">
      <w:pPr>
        <w:pStyle w:val="2"/>
        <w:spacing w:before="91" w:line="222" w:lineRule="auto"/>
        <w:ind w:left="2825"/>
        <w:outlineLvl w:val="1"/>
        <w:rPr>
          <w:sz w:val="28"/>
          <w:szCs w:val="28"/>
        </w:rPr>
      </w:pPr>
      <w:bookmarkStart w:id="401" w:name="bookmark383"/>
      <w:bookmarkEnd w:id="401"/>
      <w:r>
        <w:rPr>
          <w:spacing w:val="-1"/>
          <w:sz w:val="28"/>
          <w:szCs w:val="28"/>
        </w:rPr>
        <w:t>第二节 特殊技术标准和要求</w:t>
      </w:r>
    </w:p>
    <w:p w14:paraId="3ACC70A3">
      <w:pPr>
        <w:spacing w:line="469" w:lineRule="auto"/>
        <w:rPr>
          <w:rFonts w:ascii="Arial"/>
          <w:sz w:val="21"/>
        </w:rPr>
      </w:pPr>
    </w:p>
    <w:p w14:paraId="62F2D363">
      <w:pPr>
        <w:pStyle w:val="2"/>
        <w:spacing w:before="91" w:line="222" w:lineRule="auto"/>
        <w:ind w:left="145"/>
        <w:outlineLvl w:val="2"/>
        <w:rPr>
          <w:sz w:val="28"/>
          <w:szCs w:val="28"/>
        </w:rPr>
      </w:pPr>
      <w:bookmarkStart w:id="402" w:name="bookmark384"/>
      <w:bookmarkEnd w:id="402"/>
      <w:r>
        <w:rPr>
          <w:rFonts w:ascii="Times New Roman" w:hAnsi="Times New Roman" w:eastAsia="Times New Roman" w:cs="Times New Roman"/>
          <w:spacing w:val="-3"/>
          <w:sz w:val="28"/>
          <w:szCs w:val="28"/>
        </w:rPr>
        <w:t>1.</w:t>
      </w:r>
      <w:r>
        <w:rPr>
          <w:spacing w:val="-3"/>
          <w:sz w:val="28"/>
          <w:szCs w:val="28"/>
        </w:rPr>
        <w:t>材料和工程设备技术要求</w:t>
      </w:r>
    </w:p>
    <w:p w14:paraId="0CEAE961">
      <w:pPr>
        <w:spacing w:before="204" w:line="227" w:lineRule="auto"/>
        <w:ind w:left="136"/>
        <w:rPr>
          <w:rFonts w:ascii="宋体" w:hAnsi="宋体" w:eastAsia="宋体" w:cs="宋体"/>
          <w:sz w:val="20"/>
          <w:szCs w:val="20"/>
        </w:rPr>
      </w:pPr>
      <w:r>
        <w:rPr>
          <w:rFonts w:ascii="宋体" w:hAnsi="宋体" w:eastAsia="宋体" w:cs="宋体"/>
          <w:spacing w:val="8"/>
          <w:sz w:val="20"/>
          <w:szCs w:val="20"/>
        </w:rPr>
        <w:t>1.1      承包人自行施工范围内的部分材料和工</w:t>
      </w:r>
      <w:r>
        <w:rPr>
          <w:rFonts w:ascii="宋体" w:hAnsi="宋体" w:eastAsia="宋体" w:cs="宋体"/>
          <w:spacing w:val="7"/>
          <w:sz w:val="20"/>
          <w:szCs w:val="20"/>
        </w:rPr>
        <w:t>程设备技术要求如下：</w:t>
      </w:r>
    </w:p>
    <w:p w14:paraId="1A0FCEAE">
      <w:pPr>
        <w:tabs>
          <w:tab w:val="left" w:pos="7565"/>
        </w:tabs>
        <w:spacing w:before="260" w:line="490" w:lineRule="auto"/>
        <w:ind w:left="1057" w:right="1447"/>
        <w:rPr>
          <w:rFonts w:ascii="Arial" w:hAnsi="Arial" w:eastAsia="Arial" w:cs="Arial"/>
          <w:sz w:val="21"/>
          <w:szCs w:val="21"/>
        </w:rPr>
      </w:pP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p>
    <w:p w14:paraId="49E6417F">
      <w:pPr>
        <w:tabs>
          <w:tab w:val="left" w:pos="7565"/>
        </w:tabs>
        <w:spacing w:before="169" w:line="173" w:lineRule="auto"/>
        <w:ind w:left="1057"/>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5F56C4D">
      <w:pPr>
        <w:spacing w:before="299" w:line="462" w:lineRule="auto"/>
        <w:ind w:left="1066" w:firstLine="1"/>
        <w:jc w:val="both"/>
        <w:rPr>
          <w:rFonts w:ascii="宋体" w:hAnsi="宋体" w:eastAsia="宋体" w:cs="宋体"/>
          <w:sz w:val="20"/>
          <w:szCs w:val="20"/>
        </w:rPr>
      </w:pPr>
      <w:r>
        <w:rPr>
          <w:rFonts w:ascii="宋体" w:hAnsi="宋体" w:eastAsia="宋体" w:cs="宋体"/>
          <w:spacing w:val="9"/>
          <w:sz w:val="20"/>
          <w:szCs w:val="20"/>
        </w:rPr>
        <w:t>上述材料和工程设备技术要求中如果出现了参考品牌或规格型号，其目的是为了方便承包人直观和准确地把握相应材料和工程设备的技术标准，不具指定或唯一的意思表示，承包人应当参考所列品牌的材料和工程设备，采购相当于或高于所列品牌技术标准的材</w:t>
      </w:r>
      <w:r>
        <w:rPr>
          <w:rFonts w:ascii="宋体" w:hAnsi="宋体" w:eastAsia="宋体" w:cs="宋体"/>
          <w:spacing w:val="7"/>
          <w:sz w:val="20"/>
          <w:szCs w:val="20"/>
        </w:rPr>
        <w:t>料和工程设备。</w:t>
      </w:r>
    </w:p>
    <w:p w14:paraId="28B6F859">
      <w:pPr>
        <w:spacing w:before="1" w:line="226" w:lineRule="auto"/>
        <w:ind w:left="136"/>
        <w:rPr>
          <w:rFonts w:ascii="宋体" w:hAnsi="宋体" w:eastAsia="宋体" w:cs="宋体"/>
          <w:sz w:val="20"/>
          <w:szCs w:val="20"/>
        </w:rPr>
      </w:pPr>
      <w:r>
        <w:rPr>
          <w:rFonts w:ascii="宋体" w:hAnsi="宋体" w:eastAsia="宋体" w:cs="宋体"/>
          <w:spacing w:val="8"/>
          <w:sz w:val="20"/>
          <w:szCs w:val="20"/>
        </w:rPr>
        <w:t>1.2      承包人自行施工范围内的材料和工程设备选型允</w:t>
      </w:r>
      <w:r>
        <w:rPr>
          <w:rFonts w:ascii="宋体" w:hAnsi="宋体" w:eastAsia="宋体" w:cs="宋体"/>
          <w:spacing w:val="7"/>
          <w:sz w:val="20"/>
          <w:szCs w:val="20"/>
        </w:rPr>
        <w:t>许的偏离如下：</w:t>
      </w:r>
    </w:p>
    <w:p w14:paraId="41A6D208">
      <w:pPr>
        <w:spacing w:line="33" w:lineRule="exact"/>
      </w:pPr>
    </w:p>
    <w:tbl>
      <w:tblPr>
        <w:tblStyle w:val="5"/>
        <w:tblW w:w="87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72"/>
        <w:gridCol w:w="2118"/>
        <w:gridCol w:w="1743"/>
        <w:gridCol w:w="1743"/>
        <w:gridCol w:w="1748"/>
      </w:tblGrid>
      <w:tr w14:paraId="2FA613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1372" w:type="dxa"/>
            <w:vAlign w:val="top"/>
          </w:tcPr>
          <w:p w14:paraId="4ED0FBEE">
            <w:pPr>
              <w:spacing w:line="259" w:lineRule="auto"/>
              <w:rPr>
                <w:rFonts w:ascii="Arial"/>
                <w:sz w:val="21"/>
              </w:rPr>
            </w:pPr>
          </w:p>
          <w:p w14:paraId="426D3389">
            <w:pPr>
              <w:pStyle w:val="6"/>
              <w:spacing w:before="65" w:line="229" w:lineRule="auto"/>
              <w:ind w:left="481"/>
            </w:pPr>
            <w:r>
              <w:rPr>
                <w:spacing w:val="5"/>
              </w:rPr>
              <w:t>序号</w:t>
            </w:r>
          </w:p>
        </w:tc>
        <w:tc>
          <w:tcPr>
            <w:tcW w:w="2118" w:type="dxa"/>
            <w:vAlign w:val="top"/>
          </w:tcPr>
          <w:p w14:paraId="31EA61A3">
            <w:pPr>
              <w:pStyle w:val="6"/>
              <w:spacing w:before="188" w:line="253" w:lineRule="auto"/>
              <w:ind w:left="854" w:right="322" w:hanging="525"/>
            </w:pPr>
            <w:r>
              <w:rPr>
                <w:spacing w:val="8"/>
              </w:rPr>
              <w:t>材料和工程设备</w:t>
            </w:r>
            <w:r>
              <w:rPr>
                <w:spacing w:val="3"/>
              </w:rPr>
              <w:t>名称</w:t>
            </w:r>
          </w:p>
        </w:tc>
        <w:tc>
          <w:tcPr>
            <w:tcW w:w="1743" w:type="dxa"/>
            <w:vAlign w:val="top"/>
          </w:tcPr>
          <w:p w14:paraId="49AC7778">
            <w:pPr>
              <w:spacing w:line="258" w:lineRule="auto"/>
              <w:rPr>
                <w:rFonts w:ascii="Arial"/>
                <w:sz w:val="21"/>
              </w:rPr>
            </w:pPr>
          </w:p>
          <w:p w14:paraId="4EDC6310">
            <w:pPr>
              <w:pStyle w:val="6"/>
              <w:spacing w:before="65" w:line="228" w:lineRule="auto"/>
              <w:ind w:left="459"/>
            </w:pPr>
            <w:r>
              <w:rPr>
                <w:spacing w:val="7"/>
              </w:rPr>
              <w:t>技术指标</w:t>
            </w:r>
          </w:p>
        </w:tc>
        <w:tc>
          <w:tcPr>
            <w:tcW w:w="1743" w:type="dxa"/>
            <w:vAlign w:val="top"/>
          </w:tcPr>
          <w:p w14:paraId="2B12426E">
            <w:pPr>
              <w:spacing w:line="258" w:lineRule="auto"/>
              <w:rPr>
                <w:rFonts w:ascii="Arial"/>
                <w:sz w:val="21"/>
              </w:rPr>
            </w:pPr>
          </w:p>
          <w:p w14:paraId="21C5329E">
            <w:pPr>
              <w:pStyle w:val="6"/>
              <w:spacing w:before="65" w:line="228" w:lineRule="auto"/>
              <w:ind w:left="256"/>
            </w:pPr>
            <w:r>
              <w:rPr>
                <w:spacing w:val="7"/>
              </w:rPr>
              <w:t>允许偏离范围</w:t>
            </w:r>
          </w:p>
        </w:tc>
        <w:tc>
          <w:tcPr>
            <w:tcW w:w="1748" w:type="dxa"/>
            <w:vAlign w:val="top"/>
          </w:tcPr>
          <w:p w14:paraId="7E098B8A">
            <w:pPr>
              <w:spacing w:line="259" w:lineRule="auto"/>
              <w:rPr>
                <w:rFonts w:ascii="Arial"/>
                <w:sz w:val="21"/>
              </w:rPr>
            </w:pPr>
          </w:p>
          <w:p w14:paraId="06C2B5CA">
            <w:pPr>
              <w:pStyle w:val="6"/>
              <w:spacing w:before="65" w:line="229" w:lineRule="auto"/>
              <w:ind w:left="462"/>
            </w:pPr>
            <w:r>
              <w:rPr>
                <w:spacing w:val="-1"/>
              </w:rPr>
              <w:t>备</w:t>
            </w:r>
            <w:r>
              <w:rPr>
                <w:spacing w:val="7"/>
              </w:rPr>
              <w:t xml:space="preserve">    </w:t>
            </w:r>
            <w:r>
              <w:rPr>
                <w:spacing w:val="-1"/>
              </w:rPr>
              <w:t>注</w:t>
            </w:r>
          </w:p>
        </w:tc>
      </w:tr>
      <w:tr w14:paraId="161F60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72" w:type="dxa"/>
            <w:vAlign w:val="top"/>
          </w:tcPr>
          <w:p w14:paraId="1E7E7FF4">
            <w:pPr>
              <w:pStyle w:val="6"/>
              <w:spacing w:before="66" w:line="268" w:lineRule="exact"/>
              <w:ind w:left="654"/>
            </w:pPr>
            <w:r>
              <w:rPr>
                <w:position w:val="1"/>
              </w:rPr>
              <w:t>1</w:t>
            </w:r>
          </w:p>
        </w:tc>
        <w:tc>
          <w:tcPr>
            <w:tcW w:w="2118" w:type="dxa"/>
            <w:vAlign w:val="top"/>
          </w:tcPr>
          <w:p w14:paraId="30E60E97">
            <w:pPr>
              <w:rPr>
                <w:rFonts w:ascii="Arial"/>
                <w:sz w:val="21"/>
              </w:rPr>
            </w:pPr>
          </w:p>
        </w:tc>
        <w:tc>
          <w:tcPr>
            <w:tcW w:w="1743" w:type="dxa"/>
            <w:vAlign w:val="top"/>
          </w:tcPr>
          <w:p w14:paraId="64E417B5">
            <w:pPr>
              <w:rPr>
                <w:rFonts w:ascii="Arial"/>
                <w:sz w:val="21"/>
              </w:rPr>
            </w:pPr>
          </w:p>
        </w:tc>
        <w:tc>
          <w:tcPr>
            <w:tcW w:w="1743" w:type="dxa"/>
            <w:vAlign w:val="top"/>
          </w:tcPr>
          <w:p w14:paraId="01502000">
            <w:pPr>
              <w:rPr>
                <w:rFonts w:ascii="Arial"/>
                <w:sz w:val="21"/>
              </w:rPr>
            </w:pPr>
          </w:p>
        </w:tc>
        <w:tc>
          <w:tcPr>
            <w:tcW w:w="1748" w:type="dxa"/>
            <w:vAlign w:val="top"/>
          </w:tcPr>
          <w:p w14:paraId="40CD81B6">
            <w:pPr>
              <w:rPr>
                <w:rFonts w:ascii="Arial"/>
                <w:sz w:val="21"/>
              </w:rPr>
            </w:pPr>
          </w:p>
        </w:tc>
      </w:tr>
      <w:tr w14:paraId="1069F1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72" w:type="dxa"/>
            <w:vAlign w:val="top"/>
          </w:tcPr>
          <w:p w14:paraId="13F8EA2B">
            <w:pPr>
              <w:pStyle w:val="6"/>
              <w:spacing w:before="68" w:line="266" w:lineRule="exact"/>
              <w:ind w:left="641"/>
            </w:pPr>
            <w:r>
              <w:rPr>
                <w:position w:val="1"/>
              </w:rPr>
              <w:t>2</w:t>
            </w:r>
          </w:p>
        </w:tc>
        <w:tc>
          <w:tcPr>
            <w:tcW w:w="2118" w:type="dxa"/>
            <w:vAlign w:val="top"/>
          </w:tcPr>
          <w:p w14:paraId="2C7C5CA4">
            <w:pPr>
              <w:rPr>
                <w:rFonts w:ascii="Arial"/>
                <w:sz w:val="21"/>
              </w:rPr>
            </w:pPr>
          </w:p>
        </w:tc>
        <w:tc>
          <w:tcPr>
            <w:tcW w:w="1743" w:type="dxa"/>
            <w:vAlign w:val="top"/>
          </w:tcPr>
          <w:p w14:paraId="558E78B8">
            <w:pPr>
              <w:rPr>
                <w:rFonts w:ascii="Arial"/>
                <w:sz w:val="21"/>
              </w:rPr>
            </w:pPr>
          </w:p>
        </w:tc>
        <w:tc>
          <w:tcPr>
            <w:tcW w:w="1743" w:type="dxa"/>
            <w:vAlign w:val="top"/>
          </w:tcPr>
          <w:p w14:paraId="74FB7EB4">
            <w:pPr>
              <w:rPr>
                <w:rFonts w:ascii="Arial"/>
                <w:sz w:val="21"/>
              </w:rPr>
            </w:pPr>
          </w:p>
        </w:tc>
        <w:tc>
          <w:tcPr>
            <w:tcW w:w="1748" w:type="dxa"/>
            <w:vAlign w:val="top"/>
          </w:tcPr>
          <w:p w14:paraId="03D03EBB">
            <w:pPr>
              <w:rPr>
                <w:rFonts w:ascii="Arial"/>
                <w:sz w:val="21"/>
              </w:rPr>
            </w:pPr>
          </w:p>
        </w:tc>
      </w:tr>
      <w:tr w14:paraId="1D5B2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72" w:type="dxa"/>
            <w:vAlign w:val="top"/>
          </w:tcPr>
          <w:p w14:paraId="1BD1CB3A">
            <w:pPr>
              <w:pStyle w:val="6"/>
              <w:spacing w:before="69" w:line="265" w:lineRule="exact"/>
              <w:ind w:left="495"/>
            </w:pPr>
            <w:r>
              <w:rPr>
                <w:spacing w:val="-2"/>
                <w:position w:val="1"/>
              </w:rPr>
              <w:t>……</w:t>
            </w:r>
          </w:p>
        </w:tc>
        <w:tc>
          <w:tcPr>
            <w:tcW w:w="2118" w:type="dxa"/>
            <w:vAlign w:val="top"/>
          </w:tcPr>
          <w:p w14:paraId="71FAB03E">
            <w:pPr>
              <w:rPr>
                <w:rFonts w:ascii="Arial"/>
                <w:sz w:val="21"/>
              </w:rPr>
            </w:pPr>
          </w:p>
        </w:tc>
        <w:tc>
          <w:tcPr>
            <w:tcW w:w="1743" w:type="dxa"/>
            <w:vAlign w:val="top"/>
          </w:tcPr>
          <w:p w14:paraId="0ED1DBFD">
            <w:pPr>
              <w:rPr>
                <w:rFonts w:ascii="Arial"/>
                <w:sz w:val="21"/>
              </w:rPr>
            </w:pPr>
          </w:p>
        </w:tc>
        <w:tc>
          <w:tcPr>
            <w:tcW w:w="1743" w:type="dxa"/>
            <w:vAlign w:val="top"/>
          </w:tcPr>
          <w:p w14:paraId="60B6AC9E">
            <w:pPr>
              <w:rPr>
                <w:rFonts w:ascii="Arial"/>
                <w:sz w:val="21"/>
              </w:rPr>
            </w:pPr>
          </w:p>
        </w:tc>
        <w:tc>
          <w:tcPr>
            <w:tcW w:w="1748" w:type="dxa"/>
            <w:vAlign w:val="top"/>
          </w:tcPr>
          <w:p w14:paraId="77CA5096">
            <w:pPr>
              <w:rPr>
                <w:rFonts w:ascii="Arial"/>
                <w:sz w:val="21"/>
              </w:rPr>
            </w:pPr>
          </w:p>
        </w:tc>
      </w:tr>
      <w:tr w14:paraId="0A35D1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372" w:type="dxa"/>
            <w:vAlign w:val="top"/>
          </w:tcPr>
          <w:p w14:paraId="35A85F73">
            <w:pPr>
              <w:rPr>
                <w:rFonts w:ascii="Arial"/>
                <w:sz w:val="21"/>
              </w:rPr>
            </w:pPr>
          </w:p>
        </w:tc>
        <w:tc>
          <w:tcPr>
            <w:tcW w:w="2118" w:type="dxa"/>
            <w:vAlign w:val="top"/>
          </w:tcPr>
          <w:p w14:paraId="7B6E4D23">
            <w:pPr>
              <w:rPr>
                <w:rFonts w:ascii="Arial"/>
                <w:sz w:val="21"/>
              </w:rPr>
            </w:pPr>
          </w:p>
        </w:tc>
        <w:tc>
          <w:tcPr>
            <w:tcW w:w="1743" w:type="dxa"/>
            <w:vAlign w:val="top"/>
          </w:tcPr>
          <w:p w14:paraId="1D440C93">
            <w:pPr>
              <w:rPr>
                <w:rFonts w:ascii="Arial"/>
                <w:sz w:val="21"/>
              </w:rPr>
            </w:pPr>
          </w:p>
        </w:tc>
        <w:tc>
          <w:tcPr>
            <w:tcW w:w="1743" w:type="dxa"/>
            <w:vAlign w:val="top"/>
          </w:tcPr>
          <w:p w14:paraId="17BCD155">
            <w:pPr>
              <w:rPr>
                <w:rFonts w:ascii="Arial"/>
                <w:sz w:val="21"/>
              </w:rPr>
            </w:pPr>
          </w:p>
        </w:tc>
        <w:tc>
          <w:tcPr>
            <w:tcW w:w="1748" w:type="dxa"/>
            <w:vAlign w:val="top"/>
          </w:tcPr>
          <w:p w14:paraId="701559FB">
            <w:pPr>
              <w:rPr>
                <w:rFonts w:ascii="Arial"/>
                <w:sz w:val="21"/>
              </w:rPr>
            </w:pPr>
          </w:p>
        </w:tc>
      </w:tr>
    </w:tbl>
    <w:p w14:paraId="0EA1795F">
      <w:pPr>
        <w:spacing w:before="220" w:line="227" w:lineRule="auto"/>
        <w:ind w:left="136"/>
        <w:rPr>
          <w:rFonts w:ascii="宋体" w:hAnsi="宋体" w:eastAsia="宋体" w:cs="宋体"/>
          <w:sz w:val="20"/>
          <w:szCs w:val="20"/>
        </w:rPr>
      </w:pPr>
      <w:r>
        <w:rPr>
          <w:rFonts w:ascii="宋体" w:hAnsi="宋体" w:eastAsia="宋体" w:cs="宋体"/>
          <w:spacing w:val="7"/>
          <w:sz w:val="20"/>
          <w:szCs w:val="20"/>
        </w:rPr>
        <w:t>1.3      本工程施工现场所用混凝土或砂浆的供应方式为</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5B3C0C97">
      <w:pPr>
        <w:spacing w:line="260" w:lineRule="auto"/>
        <w:rPr>
          <w:rFonts w:ascii="Arial"/>
          <w:sz w:val="21"/>
        </w:rPr>
      </w:pPr>
    </w:p>
    <w:p w14:paraId="309284E7">
      <w:pPr>
        <w:spacing w:line="260" w:lineRule="auto"/>
        <w:rPr>
          <w:rFonts w:ascii="Arial"/>
          <w:sz w:val="21"/>
        </w:rPr>
      </w:pPr>
    </w:p>
    <w:p w14:paraId="7955F5C6">
      <w:pPr>
        <w:pStyle w:val="2"/>
        <w:spacing w:before="91" w:line="222" w:lineRule="auto"/>
        <w:ind w:left="118"/>
        <w:outlineLvl w:val="2"/>
        <w:rPr>
          <w:sz w:val="28"/>
          <w:szCs w:val="28"/>
        </w:rPr>
      </w:pPr>
      <w:bookmarkStart w:id="403" w:name="bookmark385"/>
      <w:bookmarkEnd w:id="403"/>
      <w:r>
        <w:rPr>
          <w:rFonts w:ascii="Times New Roman" w:hAnsi="Times New Roman" w:eastAsia="Times New Roman" w:cs="Times New Roman"/>
          <w:spacing w:val="-1"/>
          <w:sz w:val="28"/>
          <w:szCs w:val="28"/>
        </w:rPr>
        <w:t>2.</w:t>
      </w:r>
      <w:r>
        <w:rPr>
          <w:spacing w:val="-1"/>
          <w:sz w:val="28"/>
          <w:szCs w:val="28"/>
        </w:rPr>
        <w:t>特殊技术要求</w:t>
      </w:r>
    </w:p>
    <w:p w14:paraId="63476B10">
      <w:pPr>
        <w:spacing w:before="205" w:line="227" w:lineRule="auto"/>
        <w:ind w:left="123"/>
        <w:rPr>
          <w:rFonts w:ascii="宋体" w:hAnsi="宋体" w:eastAsia="宋体" w:cs="宋体"/>
          <w:sz w:val="20"/>
          <w:szCs w:val="20"/>
        </w:rPr>
      </w:pPr>
      <w:r>
        <w:rPr>
          <w:rFonts w:ascii="宋体" w:hAnsi="宋体" w:eastAsia="宋体" w:cs="宋体"/>
          <w:spacing w:val="8"/>
          <w:sz w:val="20"/>
          <w:szCs w:val="20"/>
        </w:rPr>
        <w:t>2.1       除合同约定的技术要求外，本工程的特殊技术要求</w:t>
      </w:r>
      <w:r>
        <w:rPr>
          <w:rFonts w:ascii="宋体" w:hAnsi="宋体" w:eastAsia="宋体" w:cs="宋体"/>
          <w:spacing w:val="7"/>
          <w:sz w:val="20"/>
          <w:szCs w:val="20"/>
        </w:rPr>
        <w:t>如下：</w:t>
      </w:r>
    </w:p>
    <w:p w14:paraId="01835462">
      <w:pPr>
        <w:spacing w:line="272" w:lineRule="auto"/>
        <w:rPr>
          <w:rFonts w:ascii="Arial"/>
          <w:sz w:val="21"/>
        </w:rPr>
      </w:pPr>
    </w:p>
    <w:p w14:paraId="2CAD6C9F">
      <w:pPr>
        <w:spacing w:line="272" w:lineRule="auto"/>
        <w:rPr>
          <w:rFonts w:ascii="Arial"/>
          <w:sz w:val="21"/>
        </w:rPr>
      </w:pPr>
      <w:r>
        <w:pict>
          <v:shape id="_x0000_s1129" o:spid="_x0000_s1129" style="position:absolute;left:0pt;margin-left:53.1pt;margin-top:9.1pt;height:0.5pt;width:325.45pt;z-index:251772928;mso-width-relative:page;mso-height-relative:page;" filled="f" stroked="t" coordsize="6509,10" path="m0,4l6508,4e">
            <v:fill on="f" focussize="0,0"/>
            <v:stroke weight="0.48pt" color="#000000" miterlimit="2" joinstyle="bevel"/>
            <v:imagedata o:title=""/>
            <o:lock v:ext="edit"/>
          </v:shape>
        </w:pict>
      </w:r>
    </w:p>
    <w:p w14:paraId="2FABDEDF">
      <w:pPr>
        <w:spacing w:line="273" w:lineRule="auto"/>
        <w:rPr>
          <w:rFonts w:ascii="Arial"/>
          <w:sz w:val="21"/>
        </w:rPr>
      </w:pPr>
    </w:p>
    <w:p w14:paraId="74AC167B">
      <w:pPr>
        <w:spacing w:before="65" w:line="45" w:lineRule="exact"/>
        <w:ind w:left="7595"/>
        <w:rPr>
          <w:rFonts w:ascii="宋体" w:hAnsi="宋体" w:eastAsia="宋体" w:cs="宋体"/>
          <w:sz w:val="20"/>
          <w:szCs w:val="20"/>
        </w:rPr>
      </w:pPr>
      <w:r>
        <w:pict>
          <v:shape id="_x0000_s1130" o:spid="_x0000_s1130" o:spt="202" type="#_x0000_t202" style="position:absolute;left:0pt;margin-left:51.85pt;margin-top:-4.1pt;height:14.1pt;width:327.45pt;z-index:251771904;mso-width-relative:page;mso-height-relative:page;" filled="f" stroked="f" coordsize="21600,21600">
            <v:path/>
            <v:fill on="f" focussize="0,0"/>
            <v:stroke on="f"/>
            <v:imagedata o:title=""/>
            <o:lock v:ext="edit" aspectratio="f"/>
            <v:textbox inset="0mm,0mm,0mm,0mm">
              <w:txbxContent>
                <w:p w14:paraId="0A975FD0">
                  <w:pPr>
                    <w:tabs>
                      <w:tab w:val="left" w:pos="6527"/>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5DBB512A">
      <w:pPr>
        <w:spacing w:line="45" w:lineRule="exact"/>
        <w:rPr>
          <w:rFonts w:ascii="宋体" w:hAnsi="宋体" w:eastAsia="宋体" w:cs="宋体"/>
          <w:sz w:val="20"/>
          <w:szCs w:val="20"/>
        </w:rPr>
        <w:sectPr>
          <w:footerReference r:id="rId503" w:type="default"/>
          <w:pgSz w:w="11907" w:h="16840"/>
          <w:pgMar w:top="400" w:right="1531" w:bottom="1247" w:left="1361" w:header="0" w:footer="1085" w:gutter="0"/>
          <w:cols w:space="720" w:num="1"/>
        </w:sectPr>
      </w:pPr>
    </w:p>
    <w:p w14:paraId="1A95F5D1">
      <w:pPr>
        <w:spacing w:line="256" w:lineRule="auto"/>
        <w:rPr>
          <w:rFonts w:ascii="Arial"/>
          <w:sz w:val="21"/>
        </w:rPr>
      </w:pPr>
    </w:p>
    <w:p w14:paraId="6DC788CD">
      <w:pPr>
        <w:spacing w:line="256" w:lineRule="auto"/>
        <w:rPr>
          <w:rFonts w:ascii="Arial"/>
          <w:sz w:val="21"/>
        </w:rPr>
      </w:pPr>
    </w:p>
    <w:p w14:paraId="0927EDF8">
      <w:pPr>
        <w:spacing w:line="256" w:lineRule="auto"/>
        <w:rPr>
          <w:rFonts w:ascii="Arial"/>
          <w:sz w:val="21"/>
        </w:rPr>
      </w:pPr>
    </w:p>
    <w:p w14:paraId="3BA3112E">
      <w:pPr>
        <w:spacing w:line="256" w:lineRule="auto"/>
        <w:rPr>
          <w:rFonts w:ascii="Arial"/>
          <w:sz w:val="21"/>
        </w:rPr>
      </w:pPr>
    </w:p>
    <w:p w14:paraId="0DFB3B7F">
      <w:pPr>
        <w:spacing w:line="256" w:lineRule="auto"/>
        <w:rPr>
          <w:rFonts w:ascii="Arial"/>
          <w:sz w:val="21"/>
        </w:rPr>
      </w:pPr>
    </w:p>
    <w:p w14:paraId="7A3E4FAC">
      <w:pPr>
        <w:pStyle w:val="2"/>
        <w:spacing w:before="91" w:line="222" w:lineRule="auto"/>
        <w:ind w:left="7"/>
        <w:outlineLvl w:val="2"/>
        <w:rPr>
          <w:sz w:val="28"/>
          <w:szCs w:val="28"/>
        </w:rPr>
      </w:pPr>
      <w:bookmarkStart w:id="404" w:name="bookmark386"/>
      <w:bookmarkEnd w:id="404"/>
      <w:r>
        <w:rPr>
          <w:rFonts w:ascii="Times New Roman" w:hAnsi="Times New Roman" w:eastAsia="Times New Roman" w:cs="Times New Roman"/>
          <w:spacing w:val="-1"/>
          <w:sz w:val="28"/>
          <w:szCs w:val="28"/>
        </w:rPr>
        <w:t>3.</w:t>
      </w:r>
      <w:r>
        <w:rPr>
          <w:spacing w:val="-1"/>
          <w:sz w:val="28"/>
          <w:szCs w:val="28"/>
        </w:rPr>
        <w:t>新技术、新工艺和新材料</w:t>
      </w:r>
    </w:p>
    <w:p w14:paraId="27837041">
      <w:pPr>
        <w:spacing w:before="205" w:line="227" w:lineRule="auto"/>
        <w:ind w:left="7"/>
        <w:rPr>
          <w:rFonts w:ascii="宋体" w:hAnsi="宋体" w:eastAsia="宋体" w:cs="宋体"/>
          <w:sz w:val="20"/>
          <w:szCs w:val="20"/>
        </w:rPr>
      </w:pPr>
      <w:r>
        <w:rPr>
          <w:rFonts w:ascii="宋体" w:hAnsi="宋体" w:eastAsia="宋体" w:cs="宋体"/>
          <w:spacing w:val="8"/>
          <w:sz w:val="20"/>
          <w:szCs w:val="20"/>
        </w:rPr>
        <w:t>3.1     本工程涉及的新技术、新工艺和新材料及相应使用和操作说明如下：</w:t>
      </w:r>
    </w:p>
    <w:p w14:paraId="1DFB8E98">
      <w:pPr>
        <w:spacing w:line="272" w:lineRule="auto"/>
        <w:rPr>
          <w:rFonts w:ascii="Arial"/>
          <w:sz w:val="21"/>
        </w:rPr>
      </w:pPr>
    </w:p>
    <w:p w14:paraId="08381221">
      <w:pPr>
        <w:spacing w:line="272" w:lineRule="auto"/>
        <w:rPr>
          <w:rFonts w:ascii="Arial"/>
          <w:sz w:val="21"/>
        </w:rPr>
      </w:pPr>
      <w:r>
        <w:pict>
          <v:shape id="_x0000_s1131" o:spid="_x0000_s1131" style="position:absolute;left:0pt;margin-left:47.25pt;margin-top:9.1pt;height:0.5pt;width:325.45pt;z-index:251776000;mso-width-relative:page;mso-height-relative:page;" filled="f" stroked="t" coordsize="6509,10" path="m0,4l6508,4e">
            <v:fill on="f" focussize="0,0"/>
            <v:stroke weight="0.48pt" color="#000000" miterlimit="2" joinstyle="bevel"/>
            <v:imagedata o:title=""/>
            <o:lock v:ext="edit"/>
          </v:shape>
        </w:pict>
      </w:r>
    </w:p>
    <w:p w14:paraId="060B7A6A">
      <w:pPr>
        <w:spacing w:line="273" w:lineRule="auto"/>
        <w:rPr>
          <w:rFonts w:ascii="Arial"/>
          <w:sz w:val="21"/>
        </w:rPr>
      </w:pPr>
    </w:p>
    <w:p w14:paraId="315AF737">
      <w:pPr>
        <w:spacing w:before="65" w:line="45" w:lineRule="exact"/>
        <w:ind w:left="7478"/>
        <w:rPr>
          <w:rFonts w:ascii="宋体" w:hAnsi="宋体" w:eastAsia="宋体" w:cs="宋体"/>
          <w:sz w:val="20"/>
          <w:szCs w:val="20"/>
        </w:rPr>
      </w:pPr>
      <w:r>
        <w:pict>
          <v:shape id="_x0000_s1132" o:spid="_x0000_s1132" o:spt="202" type="#_x0000_t202" style="position:absolute;left:0pt;margin-left:46pt;margin-top:-4.1pt;height:14.1pt;width:327.45pt;z-index:251773952;mso-width-relative:page;mso-height-relative:page;" filled="f" stroked="f" coordsize="21600,21600">
            <v:path/>
            <v:fill on="f" focussize="0,0"/>
            <v:stroke on="f"/>
            <v:imagedata o:title=""/>
            <o:lock v:ext="edit" aspectratio="f"/>
            <v:textbox inset="0mm,0mm,0mm,0mm">
              <w:txbxContent>
                <w:p w14:paraId="4E01262F">
                  <w:pPr>
                    <w:tabs>
                      <w:tab w:val="left" w:pos="6527"/>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328BBFC6">
      <w:pPr>
        <w:spacing w:line="292" w:lineRule="auto"/>
        <w:rPr>
          <w:rFonts w:ascii="Arial"/>
          <w:sz w:val="21"/>
        </w:rPr>
      </w:pPr>
    </w:p>
    <w:p w14:paraId="53C78092">
      <w:pPr>
        <w:spacing w:line="293" w:lineRule="auto"/>
        <w:rPr>
          <w:rFonts w:ascii="Arial"/>
          <w:sz w:val="21"/>
        </w:rPr>
      </w:pPr>
    </w:p>
    <w:p w14:paraId="55429CAD">
      <w:pPr>
        <w:pStyle w:val="2"/>
        <w:spacing w:before="91" w:line="222" w:lineRule="auto"/>
        <w:outlineLvl w:val="1"/>
        <w:rPr>
          <w:sz w:val="28"/>
          <w:szCs w:val="28"/>
        </w:rPr>
      </w:pPr>
      <w:bookmarkStart w:id="405" w:name="bookmark387"/>
      <w:bookmarkEnd w:id="405"/>
      <w:r>
        <w:rPr>
          <w:rFonts w:ascii="Times New Roman" w:hAnsi="Times New Roman" w:eastAsia="Times New Roman" w:cs="Times New Roman"/>
          <w:spacing w:val="-1"/>
          <w:sz w:val="28"/>
          <w:szCs w:val="28"/>
        </w:rPr>
        <w:t>4.</w:t>
      </w:r>
      <w:r>
        <w:rPr>
          <w:spacing w:val="-1"/>
          <w:sz w:val="28"/>
          <w:szCs w:val="28"/>
        </w:rPr>
        <w:t>其他特殊技术标准和要求</w:t>
      </w:r>
    </w:p>
    <w:p w14:paraId="4E6A8734">
      <w:pPr>
        <w:spacing w:line="250" w:lineRule="auto"/>
        <w:rPr>
          <w:rFonts w:ascii="Arial"/>
          <w:sz w:val="21"/>
        </w:rPr>
      </w:pPr>
    </w:p>
    <w:p w14:paraId="6488AD2F">
      <w:pPr>
        <w:spacing w:line="250" w:lineRule="auto"/>
        <w:rPr>
          <w:rFonts w:ascii="Arial"/>
          <w:sz w:val="21"/>
        </w:rPr>
      </w:pPr>
      <w:r>
        <w:pict>
          <v:shape id="_x0000_s1133" o:spid="_x0000_s1133" style="position:absolute;left:0pt;margin-left:47.25pt;margin-top:7.7pt;height:0.5pt;width:325.45pt;z-index:251777024;mso-width-relative:page;mso-height-relative:page;" filled="f" stroked="t" coordsize="6509,10" path="m0,4l6508,4e">
            <v:fill on="f" focussize="0,0"/>
            <v:stroke weight="0.48pt" color="#000000" miterlimit="2" joinstyle="bevel"/>
            <v:imagedata o:title=""/>
            <o:lock v:ext="edit"/>
          </v:shape>
        </w:pict>
      </w:r>
    </w:p>
    <w:p w14:paraId="1BA9B6EE">
      <w:pPr>
        <w:spacing w:line="250" w:lineRule="auto"/>
        <w:rPr>
          <w:rFonts w:ascii="Arial"/>
          <w:sz w:val="21"/>
        </w:rPr>
      </w:pPr>
    </w:p>
    <w:p w14:paraId="34170395">
      <w:pPr>
        <w:spacing w:line="250" w:lineRule="auto"/>
        <w:rPr>
          <w:rFonts w:ascii="Arial"/>
          <w:sz w:val="21"/>
        </w:rPr>
      </w:pPr>
      <w:r>
        <w:pict>
          <v:shape id="_x0000_s1134" o:spid="_x0000_s1134" style="position:absolute;left:0pt;margin-left:47.25pt;margin-top:7.55pt;height:0.5pt;width:325.45pt;z-index:251781120;mso-width-relative:page;mso-height-relative:page;" filled="f" stroked="t" coordsize="6509,10" path="m0,4l6508,4e">
            <v:fill on="f" focussize="0,0"/>
            <v:stroke weight="0.48pt" color="#000000" miterlimit="2" joinstyle="bevel"/>
            <v:imagedata o:title=""/>
            <o:lock v:ext="edit"/>
          </v:shape>
        </w:pict>
      </w:r>
    </w:p>
    <w:p w14:paraId="4B7CCE26">
      <w:pPr>
        <w:spacing w:line="250" w:lineRule="auto"/>
        <w:rPr>
          <w:rFonts w:ascii="Arial"/>
          <w:sz w:val="21"/>
        </w:rPr>
      </w:pPr>
    </w:p>
    <w:p w14:paraId="41FFC24B">
      <w:pPr>
        <w:spacing w:line="250" w:lineRule="auto"/>
        <w:rPr>
          <w:rFonts w:ascii="Arial"/>
          <w:sz w:val="21"/>
        </w:rPr>
      </w:pPr>
      <w:r>
        <w:pict>
          <v:shape id="_x0000_s1135" o:spid="_x0000_s1135" style="position:absolute;left:0pt;margin-left:47.25pt;margin-top:7.45pt;height:0.5pt;width:325.45pt;z-index:251778048;mso-width-relative:page;mso-height-relative:page;" filled="f" stroked="t" coordsize="6509,10" path="m0,4l6508,4e">
            <v:fill on="f" focussize="0,0"/>
            <v:stroke weight="0.48pt" color="#000000" miterlimit="2" joinstyle="bevel"/>
            <v:imagedata o:title=""/>
            <o:lock v:ext="edit"/>
          </v:shape>
        </w:pict>
      </w:r>
    </w:p>
    <w:p w14:paraId="19AC82DD">
      <w:pPr>
        <w:spacing w:line="251" w:lineRule="auto"/>
        <w:rPr>
          <w:rFonts w:ascii="Arial"/>
          <w:sz w:val="21"/>
        </w:rPr>
      </w:pPr>
    </w:p>
    <w:p w14:paraId="7EE4A91F">
      <w:pPr>
        <w:spacing w:line="251" w:lineRule="auto"/>
        <w:rPr>
          <w:rFonts w:ascii="Arial"/>
          <w:sz w:val="21"/>
        </w:rPr>
      </w:pPr>
      <w:r>
        <w:pict>
          <v:shape id="_x0000_s1136" o:spid="_x0000_s1136" style="position:absolute;left:0pt;margin-left:47.25pt;margin-top:7.2pt;height:0.5pt;width:325.45pt;z-index:251779072;mso-width-relative:page;mso-height-relative:page;" filled="f" stroked="t" coordsize="6509,10" path="m0,4l6508,4e">
            <v:fill on="f" focussize="0,0"/>
            <v:stroke weight="0.48pt" color="#000000" miterlimit="2" joinstyle="bevel"/>
            <v:imagedata o:title=""/>
            <o:lock v:ext="edit"/>
          </v:shape>
        </w:pict>
      </w:r>
    </w:p>
    <w:p w14:paraId="23B4F81C">
      <w:pPr>
        <w:spacing w:line="251" w:lineRule="auto"/>
        <w:rPr>
          <w:rFonts w:ascii="Arial"/>
          <w:sz w:val="21"/>
        </w:rPr>
      </w:pPr>
    </w:p>
    <w:p w14:paraId="5996AC29">
      <w:pPr>
        <w:spacing w:line="251" w:lineRule="auto"/>
        <w:rPr>
          <w:rFonts w:ascii="Arial"/>
          <w:sz w:val="21"/>
        </w:rPr>
      </w:pPr>
      <w:r>
        <w:pict>
          <v:shape id="_x0000_s1137" o:spid="_x0000_s1137" style="position:absolute;left:0pt;margin-left:47.25pt;margin-top:6.95pt;height:0.5pt;width:325.45pt;z-index:251780096;mso-width-relative:page;mso-height-relative:page;" filled="f" stroked="t" coordsize="6509,10" path="m0,4l6508,4e">
            <v:fill on="f" focussize="0,0"/>
            <v:stroke weight="0.48pt" color="#000000" miterlimit="2" joinstyle="bevel"/>
            <v:imagedata o:title=""/>
            <o:lock v:ext="edit"/>
          </v:shape>
        </w:pict>
      </w:r>
    </w:p>
    <w:p w14:paraId="237EF8C7">
      <w:pPr>
        <w:spacing w:line="251" w:lineRule="auto"/>
        <w:rPr>
          <w:rFonts w:ascii="Arial"/>
          <w:sz w:val="21"/>
        </w:rPr>
      </w:pPr>
    </w:p>
    <w:p w14:paraId="0F8D5BF2">
      <w:pPr>
        <w:spacing w:before="66" w:line="45" w:lineRule="exact"/>
        <w:ind w:left="7478"/>
        <w:rPr>
          <w:rFonts w:ascii="宋体" w:hAnsi="宋体" w:eastAsia="宋体" w:cs="宋体"/>
          <w:sz w:val="20"/>
          <w:szCs w:val="20"/>
        </w:rPr>
      </w:pPr>
      <w:r>
        <w:pict>
          <v:shape id="_x0000_s1138" o:spid="_x0000_s1138" o:spt="202" type="#_x0000_t202" style="position:absolute;left:0pt;margin-left:46pt;margin-top:-4.05pt;height:14.1pt;width:327.45pt;z-index:251774976;mso-width-relative:page;mso-height-relative:page;" filled="f" stroked="f" coordsize="21600,21600">
            <v:path/>
            <v:fill on="f" focussize="0,0"/>
            <v:stroke on="f"/>
            <v:imagedata o:title=""/>
            <o:lock v:ext="edit" aspectratio="f"/>
            <v:textbox inset="0mm,0mm,0mm,0mm">
              <w:txbxContent>
                <w:p w14:paraId="793024C5">
                  <w:pPr>
                    <w:tabs>
                      <w:tab w:val="left" w:pos="6527"/>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29706F8F">
      <w:pPr>
        <w:spacing w:line="45" w:lineRule="exact"/>
        <w:rPr>
          <w:rFonts w:ascii="宋体" w:hAnsi="宋体" w:eastAsia="宋体" w:cs="宋体"/>
          <w:sz w:val="20"/>
          <w:szCs w:val="20"/>
        </w:rPr>
        <w:sectPr>
          <w:footerReference r:id="rId504" w:type="default"/>
          <w:pgSz w:w="11907" w:h="16840"/>
          <w:pgMar w:top="400" w:right="1786" w:bottom="1247" w:left="1478" w:header="0" w:footer="1085" w:gutter="0"/>
          <w:cols w:space="720" w:num="1"/>
        </w:sectPr>
      </w:pPr>
    </w:p>
    <w:p w14:paraId="5B0D13A0">
      <w:pPr>
        <w:spacing w:line="276" w:lineRule="auto"/>
        <w:rPr>
          <w:rFonts w:ascii="Arial"/>
          <w:sz w:val="21"/>
        </w:rPr>
      </w:pPr>
    </w:p>
    <w:p w14:paraId="6AA1A47E">
      <w:pPr>
        <w:spacing w:line="276" w:lineRule="auto"/>
        <w:rPr>
          <w:rFonts w:ascii="Arial"/>
          <w:sz w:val="21"/>
        </w:rPr>
      </w:pPr>
    </w:p>
    <w:p w14:paraId="0FDCEEEC">
      <w:pPr>
        <w:spacing w:line="276" w:lineRule="auto"/>
        <w:rPr>
          <w:rFonts w:ascii="Arial"/>
          <w:sz w:val="21"/>
        </w:rPr>
      </w:pPr>
    </w:p>
    <w:p w14:paraId="270260EE">
      <w:pPr>
        <w:spacing w:line="276" w:lineRule="auto"/>
        <w:rPr>
          <w:rFonts w:ascii="Arial"/>
          <w:sz w:val="21"/>
        </w:rPr>
      </w:pPr>
    </w:p>
    <w:p w14:paraId="7BCC2F53">
      <w:pPr>
        <w:spacing w:line="276" w:lineRule="auto"/>
        <w:rPr>
          <w:rFonts w:ascii="Arial"/>
          <w:sz w:val="21"/>
        </w:rPr>
      </w:pPr>
    </w:p>
    <w:p w14:paraId="64C97D00">
      <w:pPr>
        <w:pStyle w:val="2"/>
        <w:spacing w:before="91" w:line="222" w:lineRule="auto"/>
        <w:ind w:left="1165"/>
        <w:outlineLvl w:val="1"/>
        <w:rPr>
          <w:sz w:val="28"/>
          <w:szCs w:val="28"/>
        </w:rPr>
      </w:pPr>
      <w:bookmarkStart w:id="406" w:name="bookmark388"/>
      <w:bookmarkEnd w:id="406"/>
      <w:r>
        <w:rPr>
          <w:spacing w:val="-1"/>
          <w:sz w:val="28"/>
          <w:szCs w:val="28"/>
        </w:rPr>
        <w:t>第三节 适用的国家、行业以及地方规范、标准和规程</w:t>
      </w:r>
    </w:p>
    <w:p w14:paraId="5B999A0D">
      <w:pPr>
        <w:spacing w:line="283" w:lineRule="auto"/>
        <w:rPr>
          <w:rFonts w:ascii="Arial"/>
          <w:sz w:val="21"/>
        </w:rPr>
      </w:pPr>
    </w:p>
    <w:p w14:paraId="09FB2282">
      <w:pPr>
        <w:spacing w:line="283" w:lineRule="auto"/>
        <w:rPr>
          <w:rFonts w:ascii="Arial"/>
          <w:sz w:val="21"/>
        </w:rPr>
      </w:pPr>
    </w:p>
    <w:p w14:paraId="0CCCAE40">
      <w:pPr>
        <w:spacing w:line="283" w:lineRule="auto"/>
        <w:rPr>
          <w:rFonts w:ascii="Arial"/>
          <w:sz w:val="21"/>
        </w:rPr>
      </w:pPr>
    </w:p>
    <w:p w14:paraId="477C85C7">
      <w:pPr>
        <w:spacing w:line="283" w:lineRule="auto"/>
        <w:rPr>
          <w:rFonts w:ascii="Arial"/>
          <w:sz w:val="21"/>
        </w:rPr>
      </w:pPr>
    </w:p>
    <w:p w14:paraId="12361B85">
      <w:pPr>
        <w:pStyle w:val="2"/>
        <w:spacing w:before="65" w:line="459" w:lineRule="auto"/>
        <w:ind w:firstLine="4"/>
        <w:rPr>
          <w:rFonts w:ascii="宋体" w:hAnsi="宋体" w:eastAsia="宋体" w:cs="宋体"/>
          <w:sz w:val="20"/>
          <w:szCs w:val="20"/>
        </w:rPr>
      </w:pPr>
      <w:r>
        <w:rPr>
          <w:b/>
          <w:bCs/>
          <w:spacing w:val="10"/>
          <w:sz w:val="20"/>
          <w:szCs w:val="20"/>
        </w:rPr>
        <w:t>说明：</w:t>
      </w:r>
      <w:r>
        <w:rPr>
          <w:rFonts w:ascii="宋体" w:hAnsi="宋体" w:eastAsia="宋体" w:cs="宋体"/>
          <w:spacing w:val="10"/>
          <w:sz w:val="20"/>
          <w:szCs w:val="20"/>
        </w:rPr>
        <w:t>本节内容只需列出规范、标准、规程等的名称</w:t>
      </w:r>
      <w:r>
        <w:rPr>
          <w:rFonts w:ascii="宋体" w:hAnsi="宋体" w:eastAsia="宋体" w:cs="宋体"/>
          <w:spacing w:val="9"/>
          <w:sz w:val="20"/>
          <w:szCs w:val="20"/>
        </w:rPr>
        <w:t>、编号等内容。本节由招标人根据国家、行</w:t>
      </w:r>
      <w:r>
        <w:rPr>
          <w:rFonts w:ascii="宋体" w:hAnsi="宋体" w:eastAsia="宋体" w:cs="宋体"/>
          <w:spacing w:val="8"/>
          <w:sz w:val="20"/>
          <w:szCs w:val="20"/>
        </w:rPr>
        <w:t>业和地方现行标准、规范和规程等，</w:t>
      </w:r>
      <w:r>
        <w:rPr>
          <w:rFonts w:ascii="宋体" w:hAnsi="宋体" w:eastAsia="宋体" w:cs="宋体"/>
          <w:spacing w:val="-59"/>
          <w:sz w:val="20"/>
          <w:szCs w:val="20"/>
        </w:rPr>
        <w:t xml:space="preserve"> </w:t>
      </w:r>
      <w:r>
        <w:rPr>
          <w:rFonts w:ascii="宋体" w:hAnsi="宋体" w:eastAsia="宋体" w:cs="宋体"/>
          <w:spacing w:val="8"/>
          <w:sz w:val="20"/>
          <w:szCs w:val="20"/>
        </w:rPr>
        <w:t>以及项</w:t>
      </w:r>
      <w:r>
        <w:rPr>
          <w:rFonts w:ascii="宋体" w:hAnsi="宋体" w:eastAsia="宋体" w:cs="宋体"/>
          <w:spacing w:val="7"/>
          <w:sz w:val="20"/>
          <w:szCs w:val="20"/>
        </w:rPr>
        <w:t>目具体情况摘录。</w:t>
      </w:r>
    </w:p>
    <w:p w14:paraId="6D1CB796">
      <w:pPr>
        <w:spacing w:line="459" w:lineRule="auto"/>
        <w:rPr>
          <w:rFonts w:ascii="宋体" w:hAnsi="宋体" w:eastAsia="宋体" w:cs="宋体"/>
          <w:sz w:val="20"/>
          <w:szCs w:val="20"/>
        </w:rPr>
        <w:sectPr>
          <w:footerReference r:id="rId505" w:type="default"/>
          <w:pgSz w:w="11907" w:h="16840"/>
          <w:pgMar w:top="400" w:right="1613" w:bottom="1247" w:left="1480" w:header="0" w:footer="1085" w:gutter="0"/>
          <w:cols w:space="720" w:num="1"/>
        </w:sectPr>
      </w:pPr>
    </w:p>
    <w:p w14:paraId="5FD061DA">
      <w:pPr>
        <w:spacing w:line="281" w:lineRule="auto"/>
        <w:rPr>
          <w:rFonts w:ascii="Arial"/>
          <w:sz w:val="21"/>
        </w:rPr>
      </w:pPr>
    </w:p>
    <w:p w14:paraId="6A214E62">
      <w:pPr>
        <w:spacing w:line="281" w:lineRule="auto"/>
        <w:rPr>
          <w:rFonts w:ascii="Arial"/>
          <w:sz w:val="21"/>
        </w:rPr>
      </w:pPr>
    </w:p>
    <w:p w14:paraId="3B89B500">
      <w:pPr>
        <w:spacing w:line="281" w:lineRule="auto"/>
        <w:rPr>
          <w:rFonts w:ascii="Arial"/>
          <w:sz w:val="21"/>
        </w:rPr>
      </w:pPr>
    </w:p>
    <w:p w14:paraId="3393F129">
      <w:pPr>
        <w:spacing w:line="282" w:lineRule="auto"/>
        <w:rPr>
          <w:rFonts w:ascii="Arial"/>
          <w:sz w:val="21"/>
        </w:rPr>
      </w:pPr>
    </w:p>
    <w:p w14:paraId="402613A7">
      <w:pPr>
        <w:spacing w:line="282" w:lineRule="auto"/>
        <w:rPr>
          <w:rFonts w:ascii="Arial"/>
          <w:sz w:val="21"/>
        </w:rPr>
      </w:pPr>
    </w:p>
    <w:p w14:paraId="351B53B6">
      <w:pPr>
        <w:pStyle w:val="2"/>
        <w:spacing w:before="78" w:line="222" w:lineRule="auto"/>
        <w:ind w:left="11"/>
        <w:rPr>
          <w:sz w:val="24"/>
          <w:szCs w:val="24"/>
        </w:rPr>
      </w:pPr>
      <w:r>
        <w:rPr>
          <w:spacing w:val="-2"/>
          <w:sz w:val="24"/>
          <w:szCs w:val="24"/>
        </w:rPr>
        <w:t>附件</w:t>
      </w:r>
      <w:r>
        <w:rPr>
          <w:spacing w:val="-58"/>
          <w:sz w:val="24"/>
          <w:szCs w:val="24"/>
        </w:rPr>
        <w:t xml:space="preserve"> </w:t>
      </w:r>
      <w:r>
        <w:rPr>
          <w:spacing w:val="-2"/>
          <w:sz w:val="24"/>
          <w:szCs w:val="24"/>
        </w:rPr>
        <w:t>A：施工现场现状平面图</w:t>
      </w:r>
    </w:p>
    <w:p w14:paraId="4473C825">
      <w:pPr>
        <w:spacing w:line="324" w:lineRule="auto"/>
        <w:rPr>
          <w:rFonts w:ascii="Arial"/>
          <w:sz w:val="21"/>
        </w:rPr>
      </w:pPr>
    </w:p>
    <w:p w14:paraId="42D60D80">
      <w:pPr>
        <w:spacing w:line="325" w:lineRule="auto"/>
        <w:rPr>
          <w:rFonts w:ascii="Arial"/>
          <w:sz w:val="21"/>
        </w:rPr>
      </w:pPr>
    </w:p>
    <w:p w14:paraId="28F339E6">
      <w:pPr>
        <w:pStyle w:val="2"/>
        <w:spacing w:before="65" w:line="461" w:lineRule="auto"/>
        <w:rPr>
          <w:rFonts w:ascii="宋体" w:hAnsi="宋体" w:eastAsia="宋体" w:cs="宋体"/>
          <w:sz w:val="20"/>
          <w:szCs w:val="20"/>
        </w:rPr>
      </w:pPr>
      <w:r>
        <w:rPr>
          <w:spacing w:val="10"/>
          <w:sz w:val="20"/>
          <w:szCs w:val="20"/>
        </w:rPr>
        <w:t>说明：</w:t>
      </w:r>
      <w:r>
        <w:rPr>
          <w:rFonts w:ascii="宋体" w:hAnsi="宋体" w:eastAsia="宋体" w:cs="宋体"/>
          <w:spacing w:val="10"/>
          <w:sz w:val="20"/>
          <w:szCs w:val="20"/>
        </w:rPr>
        <w:t>该图由招标人准备，并作为招标文件本章的组成内容提供给</w:t>
      </w:r>
      <w:r>
        <w:rPr>
          <w:rFonts w:ascii="宋体" w:hAnsi="宋体" w:eastAsia="宋体" w:cs="宋体"/>
          <w:spacing w:val="9"/>
          <w:sz w:val="20"/>
          <w:szCs w:val="20"/>
        </w:rPr>
        <w:t>投标人。图中应当标示本章第</w:t>
      </w:r>
      <w:r>
        <w:rPr>
          <w:rFonts w:ascii="宋体" w:hAnsi="宋体" w:eastAsia="宋体" w:cs="宋体"/>
          <w:spacing w:val="6"/>
          <w:sz w:val="20"/>
          <w:szCs w:val="20"/>
        </w:rPr>
        <w:t>一节第</w:t>
      </w:r>
      <w:r>
        <w:rPr>
          <w:rFonts w:ascii="宋体" w:hAnsi="宋体" w:eastAsia="宋体" w:cs="宋体"/>
          <w:spacing w:val="-11"/>
          <w:sz w:val="20"/>
          <w:szCs w:val="20"/>
        </w:rPr>
        <w:t xml:space="preserve"> </w:t>
      </w:r>
      <w:r>
        <w:rPr>
          <w:rFonts w:ascii="宋体" w:hAnsi="宋体" w:eastAsia="宋体" w:cs="宋体"/>
          <w:spacing w:val="6"/>
          <w:sz w:val="20"/>
          <w:szCs w:val="20"/>
        </w:rPr>
        <w:t>1.2.1</w:t>
      </w:r>
      <w:r>
        <w:rPr>
          <w:rFonts w:ascii="宋体" w:hAnsi="宋体" w:eastAsia="宋体" w:cs="宋体"/>
          <w:spacing w:val="-34"/>
          <w:sz w:val="20"/>
          <w:szCs w:val="20"/>
        </w:rPr>
        <w:t xml:space="preserve"> </w:t>
      </w:r>
      <w:r>
        <w:rPr>
          <w:rFonts w:ascii="宋体" w:hAnsi="宋体" w:eastAsia="宋体" w:cs="宋体"/>
          <w:spacing w:val="6"/>
          <w:sz w:val="20"/>
          <w:szCs w:val="20"/>
        </w:rPr>
        <w:t>项规定的内容，并做必要的文字说明。</w:t>
      </w:r>
    </w:p>
    <w:p w14:paraId="7F8B8FAE">
      <w:pPr>
        <w:spacing w:line="461" w:lineRule="auto"/>
        <w:rPr>
          <w:rFonts w:ascii="宋体" w:hAnsi="宋体" w:eastAsia="宋体" w:cs="宋体"/>
          <w:sz w:val="20"/>
          <w:szCs w:val="20"/>
        </w:rPr>
        <w:sectPr>
          <w:footerReference r:id="rId506" w:type="default"/>
          <w:pgSz w:w="11907" w:h="16840"/>
          <w:pgMar w:top="400" w:right="1613" w:bottom="1247" w:left="1485" w:header="0" w:footer="1085" w:gutter="0"/>
          <w:cols w:space="720" w:num="1"/>
        </w:sectPr>
      </w:pPr>
    </w:p>
    <w:p w14:paraId="135EC35C">
      <w:pPr>
        <w:rPr>
          <w:rFonts w:ascii="Arial"/>
          <w:sz w:val="21"/>
        </w:rPr>
      </w:pPr>
    </w:p>
    <w:p w14:paraId="1D652043">
      <w:pPr>
        <w:rPr>
          <w:rFonts w:ascii="Arial"/>
          <w:sz w:val="21"/>
        </w:rPr>
      </w:pPr>
    </w:p>
    <w:p w14:paraId="472D177F">
      <w:pPr>
        <w:rPr>
          <w:rFonts w:ascii="Arial"/>
          <w:sz w:val="21"/>
        </w:rPr>
      </w:pPr>
    </w:p>
    <w:p w14:paraId="433409AD">
      <w:pPr>
        <w:rPr>
          <w:rFonts w:ascii="Arial"/>
          <w:sz w:val="21"/>
        </w:rPr>
      </w:pPr>
    </w:p>
    <w:p w14:paraId="59470E72">
      <w:pPr>
        <w:rPr>
          <w:rFonts w:ascii="Arial"/>
          <w:sz w:val="21"/>
        </w:rPr>
      </w:pPr>
    </w:p>
    <w:p w14:paraId="2609FC43">
      <w:pPr>
        <w:rPr>
          <w:rFonts w:ascii="Arial"/>
          <w:sz w:val="21"/>
        </w:rPr>
      </w:pPr>
    </w:p>
    <w:p w14:paraId="362E500F">
      <w:pPr>
        <w:rPr>
          <w:rFonts w:ascii="Arial"/>
          <w:sz w:val="21"/>
        </w:rPr>
      </w:pPr>
    </w:p>
    <w:p w14:paraId="0ED45419">
      <w:pPr>
        <w:spacing w:line="241" w:lineRule="auto"/>
        <w:rPr>
          <w:rFonts w:ascii="Arial"/>
          <w:sz w:val="21"/>
        </w:rPr>
      </w:pPr>
    </w:p>
    <w:p w14:paraId="2FE5B734">
      <w:pPr>
        <w:spacing w:line="241" w:lineRule="auto"/>
        <w:rPr>
          <w:rFonts w:ascii="Arial"/>
          <w:sz w:val="21"/>
        </w:rPr>
      </w:pPr>
    </w:p>
    <w:p w14:paraId="42AFC4BE">
      <w:pPr>
        <w:spacing w:line="241" w:lineRule="auto"/>
        <w:rPr>
          <w:rFonts w:ascii="Arial"/>
          <w:sz w:val="21"/>
        </w:rPr>
      </w:pPr>
    </w:p>
    <w:p w14:paraId="58A0019C">
      <w:pPr>
        <w:spacing w:line="241" w:lineRule="auto"/>
        <w:rPr>
          <w:rFonts w:ascii="Arial"/>
          <w:sz w:val="21"/>
        </w:rPr>
      </w:pPr>
    </w:p>
    <w:p w14:paraId="1606A28B">
      <w:pPr>
        <w:spacing w:line="241" w:lineRule="auto"/>
        <w:rPr>
          <w:rFonts w:ascii="Arial"/>
          <w:sz w:val="21"/>
        </w:rPr>
      </w:pPr>
    </w:p>
    <w:p w14:paraId="0BE5DA43">
      <w:pPr>
        <w:spacing w:line="241" w:lineRule="auto"/>
        <w:rPr>
          <w:rFonts w:ascii="Arial"/>
          <w:sz w:val="21"/>
        </w:rPr>
      </w:pPr>
    </w:p>
    <w:p w14:paraId="748F70D9">
      <w:pPr>
        <w:spacing w:line="241" w:lineRule="auto"/>
        <w:rPr>
          <w:rFonts w:ascii="Arial"/>
          <w:sz w:val="21"/>
        </w:rPr>
      </w:pPr>
    </w:p>
    <w:p w14:paraId="069B774B">
      <w:pPr>
        <w:spacing w:line="241" w:lineRule="auto"/>
        <w:rPr>
          <w:rFonts w:ascii="Arial"/>
          <w:sz w:val="21"/>
        </w:rPr>
      </w:pPr>
    </w:p>
    <w:p w14:paraId="24D24D24">
      <w:pPr>
        <w:spacing w:line="241" w:lineRule="auto"/>
        <w:rPr>
          <w:rFonts w:ascii="Arial"/>
          <w:sz w:val="21"/>
        </w:rPr>
      </w:pPr>
    </w:p>
    <w:p w14:paraId="343CCAAE">
      <w:pPr>
        <w:spacing w:line="241" w:lineRule="auto"/>
        <w:rPr>
          <w:rFonts w:ascii="Arial"/>
          <w:sz w:val="21"/>
        </w:rPr>
      </w:pPr>
    </w:p>
    <w:p w14:paraId="2BC9A2EC">
      <w:pPr>
        <w:pStyle w:val="2"/>
        <w:spacing w:before="153" w:line="226" w:lineRule="auto"/>
        <w:ind w:left="3438"/>
        <w:outlineLvl w:val="0"/>
        <w:rPr>
          <w:sz w:val="47"/>
          <w:szCs w:val="47"/>
        </w:rPr>
      </w:pPr>
      <w:bookmarkStart w:id="407" w:name="bookmark389"/>
      <w:bookmarkEnd w:id="407"/>
      <w:r>
        <w:rPr>
          <w:spacing w:val="3"/>
          <w:sz w:val="47"/>
          <w:szCs w:val="47"/>
        </w:rPr>
        <w:t>第四卷</w:t>
      </w:r>
    </w:p>
    <w:p w14:paraId="5513C34E">
      <w:pPr>
        <w:spacing w:line="226" w:lineRule="auto"/>
        <w:rPr>
          <w:sz w:val="47"/>
          <w:szCs w:val="47"/>
        </w:rPr>
        <w:sectPr>
          <w:footerReference r:id="rId507" w:type="default"/>
          <w:pgSz w:w="11907" w:h="16840"/>
          <w:pgMar w:top="400" w:right="1786" w:bottom="1247" w:left="1786" w:header="0" w:footer="1085" w:gutter="0"/>
          <w:cols w:space="720" w:num="1"/>
        </w:sectPr>
      </w:pPr>
    </w:p>
    <w:p w14:paraId="60212401">
      <w:pPr>
        <w:spacing w:line="251" w:lineRule="auto"/>
        <w:rPr>
          <w:rFonts w:ascii="Arial"/>
          <w:sz w:val="21"/>
        </w:rPr>
      </w:pPr>
    </w:p>
    <w:p w14:paraId="03F7C573">
      <w:pPr>
        <w:spacing w:line="251" w:lineRule="auto"/>
        <w:rPr>
          <w:rFonts w:ascii="Arial"/>
          <w:sz w:val="21"/>
        </w:rPr>
      </w:pPr>
    </w:p>
    <w:p w14:paraId="283E81FE">
      <w:pPr>
        <w:spacing w:line="251" w:lineRule="auto"/>
        <w:rPr>
          <w:rFonts w:ascii="Arial"/>
          <w:sz w:val="21"/>
        </w:rPr>
      </w:pPr>
    </w:p>
    <w:p w14:paraId="23BBCD58">
      <w:pPr>
        <w:spacing w:line="251" w:lineRule="auto"/>
        <w:rPr>
          <w:rFonts w:ascii="Arial"/>
          <w:sz w:val="21"/>
        </w:rPr>
      </w:pPr>
    </w:p>
    <w:p w14:paraId="1A63E87C">
      <w:pPr>
        <w:spacing w:line="252" w:lineRule="auto"/>
        <w:rPr>
          <w:rFonts w:ascii="Arial"/>
          <w:sz w:val="21"/>
        </w:rPr>
      </w:pPr>
    </w:p>
    <w:p w14:paraId="281B0EF0">
      <w:pPr>
        <w:spacing w:line="252" w:lineRule="auto"/>
        <w:rPr>
          <w:rFonts w:ascii="Arial"/>
          <w:sz w:val="21"/>
        </w:rPr>
      </w:pPr>
    </w:p>
    <w:p w14:paraId="4E218923">
      <w:pPr>
        <w:spacing w:line="252" w:lineRule="auto"/>
        <w:rPr>
          <w:rFonts w:ascii="Arial"/>
          <w:sz w:val="21"/>
        </w:rPr>
      </w:pPr>
    </w:p>
    <w:p w14:paraId="5A84C398">
      <w:pPr>
        <w:spacing w:line="252" w:lineRule="auto"/>
        <w:rPr>
          <w:rFonts w:ascii="Arial"/>
          <w:sz w:val="21"/>
        </w:rPr>
      </w:pPr>
    </w:p>
    <w:p w14:paraId="238456FA">
      <w:pPr>
        <w:spacing w:line="252" w:lineRule="auto"/>
        <w:rPr>
          <w:rFonts w:ascii="Arial"/>
          <w:sz w:val="21"/>
        </w:rPr>
      </w:pPr>
    </w:p>
    <w:p w14:paraId="1E75565A">
      <w:pPr>
        <w:spacing w:line="252" w:lineRule="auto"/>
        <w:rPr>
          <w:rFonts w:ascii="Arial"/>
          <w:sz w:val="21"/>
        </w:rPr>
      </w:pPr>
    </w:p>
    <w:p w14:paraId="4859659D">
      <w:pPr>
        <w:spacing w:line="252" w:lineRule="auto"/>
        <w:rPr>
          <w:rFonts w:ascii="Arial"/>
          <w:sz w:val="21"/>
        </w:rPr>
      </w:pPr>
    </w:p>
    <w:p w14:paraId="0C773746">
      <w:pPr>
        <w:spacing w:line="252" w:lineRule="auto"/>
        <w:rPr>
          <w:rFonts w:ascii="Arial"/>
          <w:sz w:val="21"/>
        </w:rPr>
      </w:pPr>
    </w:p>
    <w:p w14:paraId="605E04FD">
      <w:pPr>
        <w:spacing w:line="252" w:lineRule="auto"/>
        <w:rPr>
          <w:rFonts w:ascii="Arial"/>
          <w:sz w:val="21"/>
        </w:rPr>
      </w:pPr>
    </w:p>
    <w:p w14:paraId="6861C542">
      <w:pPr>
        <w:spacing w:line="252" w:lineRule="auto"/>
        <w:rPr>
          <w:rFonts w:ascii="Arial"/>
          <w:sz w:val="21"/>
        </w:rPr>
      </w:pPr>
    </w:p>
    <w:p w14:paraId="73BC8B72">
      <w:pPr>
        <w:spacing w:line="252" w:lineRule="auto"/>
        <w:rPr>
          <w:rFonts w:ascii="Arial"/>
          <w:sz w:val="21"/>
        </w:rPr>
      </w:pPr>
    </w:p>
    <w:p w14:paraId="6B3EDAE5">
      <w:pPr>
        <w:spacing w:line="252" w:lineRule="auto"/>
        <w:rPr>
          <w:rFonts w:ascii="Arial"/>
          <w:sz w:val="21"/>
        </w:rPr>
      </w:pPr>
    </w:p>
    <w:p w14:paraId="6A84DD79">
      <w:pPr>
        <w:spacing w:line="252" w:lineRule="auto"/>
        <w:rPr>
          <w:rFonts w:ascii="Arial"/>
          <w:sz w:val="21"/>
        </w:rPr>
      </w:pPr>
    </w:p>
    <w:p w14:paraId="07E6168C">
      <w:pPr>
        <w:pStyle w:val="2"/>
        <w:spacing w:before="101" w:line="227" w:lineRule="auto"/>
        <w:ind w:left="2551"/>
        <w:outlineLvl w:val="0"/>
        <w:rPr>
          <w:sz w:val="31"/>
          <w:szCs w:val="31"/>
        </w:rPr>
      </w:pPr>
      <w:bookmarkStart w:id="408" w:name="bookmark390"/>
      <w:bookmarkEnd w:id="408"/>
      <w:r>
        <w:rPr>
          <w:spacing w:val="7"/>
          <w:sz w:val="31"/>
          <w:szCs w:val="31"/>
        </w:rPr>
        <w:t>第八章  投标文件格式</w:t>
      </w:r>
    </w:p>
    <w:p w14:paraId="31288DF9">
      <w:pPr>
        <w:spacing w:line="227" w:lineRule="auto"/>
        <w:rPr>
          <w:sz w:val="31"/>
          <w:szCs w:val="31"/>
        </w:rPr>
        <w:sectPr>
          <w:footerReference r:id="rId508" w:type="default"/>
          <w:pgSz w:w="11907" w:h="16840"/>
          <w:pgMar w:top="400" w:right="1786" w:bottom="1247" w:left="1786" w:header="0" w:footer="1085" w:gutter="0"/>
          <w:cols w:space="720" w:num="1"/>
        </w:sectPr>
      </w:pPr>
    </w:p>
    <w:p w14:paraId="708D51F8">
      <w:pPr>
        <w:spacing w:line="243" w:lineRule="auto"/>
        <w:rPr>
          <w:rFonts w:ascii="Arial"/>
          <w:sz w:val="21"/>
        </w:rPr>
      </w:pPr>
    </w:p>
    <w:p w14:paraId="7981EE9B">
      <w:pPr>
        <w:spacing w:line="243" w:lineRule="auto"/>
        <w:rPr>
          <w:rFonts w:ascii="Arial"/>
          <w:sz w:val="21"/>
        </w:rPr>
      </w:pPr>
    </w:p>
    <w:p w14:paraId="17B9C75E">
      <w:pPr>
        <w:spacing w:line="243" w:lineRule="auto"/>
        <w:rPr>
          <w:rFonts w:ascii="Arial"/>
          <w:sz w:val="21"/>
        </w:rPr>
      </w:pPr>
    </w:p>
    <w:p w14:paraId="38B9F951">
      <w:pPr>
        <w:spacing w:line="243" w:lineRule="auto"/>
        <w:rPr>
          <w:rFonts w:ascii="Arial"/>
          <w:sz w:val="21"/>
        </w:rPr>
      </w:pPr>
    </w:p>
    <w:p w14:paraId="6655116F">
      <w:pPr>
        <w:spacing w:line="243" w:lineRule="auto"/>
        <w:rPr>
          <w:rFonts w:ascii="Arial"/>
          <w:sz w:val="21"/>
        </w:rPr>
      </w:pPr>
    </w:p>
    <w:p w14:paraId="3AABCE8B">
      <w:pPr>
        <w:spacing w:line="243" w:lineRule="auto"/>
        <w:rPr>
          <w:rFonts w:ascii="Arial"/>
          <w:sz w:val="21"/>
        </w:rPr>
      </w:pPr>
    </w:p>
    <w:p w14:paraId="30B96EC9">
      <w:pPr>
        <w:spacing w:line="243" w:lineRule="auto"/>
        <w:rPr>
          <w:rFonts w:ascii="Arial"/>
          <w:sz w:val="21"/>
        </w:rPr>
      </w:pPr>
    </w:p>
    <w:p w14:paraId="35FF8B6F">
      <w:pPr>
        <w:spacing w:line="243" w:lineRule="auto"/>
        <w:rPr>
          <w:rFonts w:ascii="Arial"/>
          <w:sz w:val="21"/>
        </w:rPr>
      </w:pPr>
    </w:p>
    <w:p w14:paraId="7D83D461">
      <w:pPr>
        <w:spacing w:line="243" w:lineRule="auto"/>
        <w:rPr>
          <w:rFonts w:ascii="Arial"/>
          <w:sz w:val="21"/>
        </w:rPr>
      </w:pPr>
    </w:p>
    <w:p w14:paraId="19A917FB">
      <w:pPr>
        <w:spacing w:line="243" w:lineRule="auto"/>
        <w:rPr>
          <w:rFonts w:ascii="Arial"/>
          <w:sz w:val="21"/>
        </w:rPr>
      </w:pPr>
    </w:p>
    <w:p w14:paraId="60E259D1">
      <w:pPr>
        <w:spacing w:line="243" w:lineRule="auto"/>
        <w:rPr>
          <w:rFonts w:ascii="Arial"/>
          <w:sz w:val="21"/>
        </w:rPr>
      </w:pPr>
    </w:p>
    <w:p w14:paraId="2BDCB896">
      <w:pPr>
        <w:spacing w:line="243" w:lineRule="auto"/>
        <w:rPr>
          <w:rFonts w:ascii="Arial"/>
          <w:sz w:val="21"/>
        </w:rPr>
      </w:pPr>
    </w:p>
    <w:p w14:paraId="24A5E88D">
      <w:pPr>
        <w:spacing w:line="243" w:lineRule="auto"/>
        <w:rPr>
          <w:rFonts w:ascii="Arial"/>
          <w:sz w:val="21"/>
        </w:rPr>
      </w:pPr>
    </w:p>
    <w:p w14:paraId="1A132CB3">
      <w:pPr>
        <w:spacing w:line="243" w:lineRule="auto"/>
        <w:rPr>
          <w:rFonts w:ascii="Arial"/>
          <w:sz w:val="21"/>
        </w:rPr>
      </w:pPr>
    </w:p>
    <w:p w14:paraId="35B6C27C">
      <w:pPr>
        <w:spacing w:line="243" w:lineRule="auto"/>
        <w:rPr>
          <w:rFonts w:ascii="Arial"/>
          <w:sz w:val="21"/>
        </w:rPr>
      </w:pPr>
    </w:p>
    <w:p w14:paraId="22E8B2B4">
      <w:pPr>
        <w:spacing w:line="243" w:lineRule="auto"/>
        <w:rPr>
          <w:rFonts w:ascii="Arial"/>
          <w:sz w:val="21"/>
        </w:rPr>
      </w:pPr>
    </w:p>
    <w:p w14:paraId="3BF981EA">
      <w:pPr>
        <w:spacing w:line="243" w:lineRule="auto"/>
        <w:rPr>
          <w:rFonts w:ascii="Arial"/>
          <w:sz w:val="21"/>
        </w:rPr>
      </w:pPr>
    </w:p>
    <w:p w14:paraId="0A1D8128">
      <w:pPr>
        <w:pStyle w:val="2"/>
        <w:tabs>
          <w:tab w:val="left" w:pos="2038"/>
        </w:tabs>
        <w:spacing w:before="91" w:line="224" w:lineRule="auto"/>
        <w:ind w:left="917"/>
        <w:rPr>
          <w:sz w:val="28"/>
          <w:szCs w:val="28"/>
        </w:rPr>
      </w:pPr>
      <w:r>
        <w:rPr>
          <w:rFonts w:ascii="宋体" w:hAnsi="宋体" w:eastAsia="宋体" w:cs="宋体"/>
          <w:sz w:val="28"/>
          <w:szCs w:val="28"/>
          <w:u w:val="single" w:color="auto"/>
        </w:rPr>
        <w:tab/>
      </w:r>
      <w:r>
        <w:rPr>
          <w:rFonts w:ascii="宋体" w:hAnsi="宋体" w:eastAsia="宋体" w:cs="宋体"/>
          <w:spacing w:val="3"/>
          <w:sz w:val="28"/>
          <w:szCs w:val="28"/>
        </w:rPr>
        <w:t>（项目名称</w:t>
      </w:r>
      <w:r>
        <w:rPr>
          <w:rFonts w:ascii="宋体" w:hAnsi="宋体" w:eastAsia="宋体" w:cs="宋体"/>
          <w:spacing w:val="-21"/>
          <w:sz w:val="28"/>
          <w:szCs w:val="28"/>
        </w:rPr>
        <w:t>）</w:t>
      </w:r>
      <w:r>
        <w:rPr>
          <w:rFonts w:ascii="宋体" w:hAnsi="宋体" w:eastAsia="宋体" w:cs="宋体"/>
          <w:sz w:val="28"/>
          <w:szCs w:val="28"/>
          <w:u w:val="single" w:color="auto"/>
        </w:rPr>
        <w:t xml:space="preserve">      </w:t>
      </w:r>
      <w:r>
        <w:rPr>
          <w:rFonts w:ascii="宋体" w:hAnsi="宋体" w:eastAsia="宋体" w:cs="宋体"/>
          <w:spacing w:val="-21"/>
          <w:sz w:val="28"/>
          <w:szCs w:val="28"/>
        </w:rPr>
        <w:t>（</w:t>
      </w:r>
      <w:r>
        <w:rPr>
          <w:rFonts w:ascii="宋体" w:hAnsi="宋体" w:eastAsia="宋体" w:cs="宋体"/>
          <w:spacing w:val="3"/>
          <w:sz w:val="28"/>
          <w:szCs w:val="28"/>
        </w:rPr>
        <w:t>标段名称）</w:t>
      </w:r>
      <w:r>
        <w:rPr>
          <w:spacing w:val="3"/>
          <w:sz w:val="28"/>
          <w:szCs w:val="28"/>
        </w:rPr>
        <w:t>施工招标</w:t>
      </w:r>
    </w:p>
    <w:p w14:paraId="033992DE">
      <w:pPr>
        <w:pStyle w:val="2"/>
        <w:spacing w:before="289" w:line="225" w:lineRule="auto"/>
        <w:ind w:left="2612"/>
      </w:pPr>
      <w:r>
        <w:rPr>
          <w:spacing w:val="-5"/>
        </w:rPr>
        <w:t>投</w:t>
      </w:r>
      <w:r>
        <w:rPr>
          <w:spacing w:val="10"/>
        </w:rPr>
        <w:t xml:space="preserve">  </w:t>
      </w:r>
      <w:r>
        <w:rPr>
          <w:spacing w:val="-5"/>
        </w:rPr>
        <w:t>标</w:t>
      </w:r>
      <w:r>
        <w:rPr>
          <w:spacing w:val="16"/>
        </w:rPr>
        <w:t xml:space="preserve">  </w:t>
      </w:r>
      <w:r>
        <w:rPr>
          <w:spacing w:val="-5"/>
        </w:rPr>
        <w:t>文</w:t>
      </w:r>
      <w:r>
        <w:rPr>
          <w:spacing w:val="13"/>
        </w:rPr>
        <w:t xml:space="preserve">  </w:t>
      </w:r>
      <w:r>
        <w:rPr>
          <w:spacing w:val="-5"/>
        </w:rPr>
        <w:t>件</w:t>
      </w:r>
    </w:p>
    <w:p w14:paraId="76973074">
      <w:pPr>
        <w:spacing w:line="241" w:lineRule="auto"/>
        <w:rPr>
          <w:rFonts w:ascii="Arial"/>
          <w:sz w:val="21"/>
        </w:rPr>
      </w:pPr>
    </w:p>
    <w:p w14:paraId="7472460A">
      <w:pPr>
        <w:spacing w:line="241" w:lineRule="auto"/>
        <w:rPr>
          <w:rFonts w:ascii="Arial"/>
          <w:sz w:val="21"/>
        </w:rPr>
      </w:pPr>
    </w:p>
    <w:p w14:paraId="3925F105">
      <w:pPr>
        <w:spacing w:line="241" w:lineRule="auto"/>
        <w:rPr>
          <w:rFonts w:ascii="Arial"/>
          <w:sz w:val="21"/>
        </w:rPr>
      </w:pPr>
    </w:p>
    <w:p w14:paraId="632FC053">
      <w:pPr>
        <w:spacing w:line="241" w:lineRule="auto"/>
        <w:rPr>
          <w:rFonts w:ascii="Arial"/>
          <w:sz w:val="21"/>
        </w:rPr>
      </w:pPr>
    </w:p>
    <w:p w14:paraId="5EFD8BFE">
      <w:pPr>
        <w:spacing w:line="241" w:lineRule="auto"/>
        <w:rPr>
          <w:rFonts w:ascii="Arial"/>
          <w:sz w:val="21"/>
        </w:rPr>
      </w:pPr>
    </w:p>
    <w:p w14:paraId="205A0B54">
      <w:pPr>
        <w:spacing w:line="241" w:lineRule="auto"/>
        <w:rPr>
          <w:rFonts w:ascii="Arial"/>
          <w:sz w:val="21"/>
        </w:rPr>
      </w:pPr>
    </w:p>
    <w:p w14:paraId="27E4F204">
      <w:pPr>
        <w:spacing w:line="242" w:lineRule="auto"/>
        <w:rPr>
          <w:rFonts w:ascii="Arial"/>
          <w:sz w:val="21"/>
        </w:rPr>
      </w:pPr>
    </w:p>
    <w:p w14:paraId="3A261C23">
      <w:pPr>
        <w:spacing w:line="242" w:lineRule="auto"/>
        <w:rPr>
          <w:rFonts w:ascii="Arial"/>
          <w:sz w:val="21"/>
        </w:rPr>
      </w:pPr>
    </w:p>
    <w:p w14:paraId="579C2AD9">
      <w:pPr>
        <w:spacing w:line="242" w:lineRule="auto"/>
        <w:rPr>
          <w:rFonts w:ascii="Arial"/>
          <w:sz w:val="21"/>
        </w:rPr>
      </w:pPr>
    </w:p>
    <w:p w14:paraId="317E0AC5">
      <w:pPr>
        <w:spacing w:line="242" w:lineRule="auto"/>
        <w:rPr>
          <w:rFonts w:ascii="Arial"/>
          <w:sz w:val="21"/>
        </w:rPr>
      </w:pPr>
    </w:p>
    <w:p w14:paraId="33434E44">
      <w:pPr>
        <w:spacing w:line="242" w:lineRule="auto"/>
        <w:rPr>
          <w:rFonts w:ascii="Arial"/>
          <w:sz w:val="21"/>
        </w:rPr>
      </w:pPr>
    </w:p>
    <w:p w14:paraId="2C9FAB04">
      <w:pPr>
        <w:spacing w:line="242" w:lineRule="auto"/>
        <w:rPr>
          <w:rFonts w:ascii="Arial"/>
          <w:sz w:val="21"/>
        </w:rPr>
      </w:pPr>
    </w:p>
    <w:p w14:paraId="03475598">
      <w:pPr>
        <w:spacing w:line="242" w:lineRule="auto"/>
        <w:rPr>
          <w:rFonts w:ascii="Arial"/>
          <w:sz w:val="21"/>
        </w:rPr>
      </w:pPr>
    </w:p>
    <w:p w14:paraId="1FB5EDE1">
      <w:pPr>
        <w:spacing w:line="242" w:lineRule="auto"/>
        <w:rPr>
          <w:rFonts w:ascii="Arial"/>
          <w:sz w:val="21"/>
        </w:rPr>
      </w:pPr>
    </w:p>
    <w:p w14:paraId="15A10A21">
      <w:pPr>
        <w:spacing w:line="242" w:lineRule="auto"/>
        <w:rPr>
          <w:rFonts w:ascii="Arial"/>
          <w:sz w:val="21"/>
        </w:rPr>
      </w:pPr>
    </w:p>
    <w:p w14:paraId="61476F2B">
      <w:pPr>
        <w:spacing w:line="242" w:lineRule="auto"/>
        <w:rPr>
          <w:rFonts w:ascii="Arial"/>
          <w:sz w:val="21"/>
        </w:rPr>
      </w:pPr>
    </w:p>
    <w:p w14:paraId="5E238CD0">
      <w:pPr>
        <w:spacing w:line="242" w:lineRule="auto"/>
        <w:rPr>
          <w:rFonts w:ascii="Arial"/>
          <w:sz w:val="21"/>
        </w:rPr>
      </w:pPr>
    </w:p>
    <w:p w14:paraId="71D650E4">
      <w:pPr>
        <w:spacing w:line="242" w:lineRule="auto"/>
        <w:rPr>
          <w:rFonts w:ascii="Arial"/>
          <w:sz w:val="21"/>
        </w:rPr>
      </w:pPr>
    </w:p>
    <w:p w14:paraId="656A89C8">
      <w:pPr>
        <w:spacing w:line="242" w:lineRule="auto"/>
        <w:rPr>
          <w:rFonts w:ascii="Arial"/>
          <w:sz w:val="21"/>
        </w:rPr>
      </w:pPr>
    </w:p>
    <w:p w14:paraId="54E38C4F">
      <w:pPr>
        <w:spacing w:line="242" w:lineRule="auto"/>
        <w:rPr>
          <w:rFonts w:ascii="Arial"/>
          <w:sz w:val="21"/>
        </w:rPr>
      </w:pPr>
    </w:p>
    <w:p w14:paraId="7DC31DD9">
      <w:pPr>
        <w:spacing w:line="242" w:lineRule="auto"/>
        <w:rPr>
          <w:rFonts w:ascii="Arial"/>
          <w:sz w:val="21"/>
        </w:rPr>
      </w:pPr>
    </w:p>
    <w:p w14:paraId="4DA9B91A">
      <w:pPr>
        <w:spacing w:line="242" w:lineRule="auto"/>
        <w:rPr>
          <w:rFonts w:ascii="Arial"/>
          <w:sz w:val="21"/>
        </w:rPr>
      </w:pPr>
    </w:p>
    <w:p w14:paraId="7412F911">
      <w:pPr>
        <w:spacing w:line="242" w:lineRule="auto"/>
        <w:rPr>
          <w:rFonts w:ascii="Arial"/>
          <w:sz w:val="21"/>
        </w:rPr>
      </w:pPr>
    </w:p>
    <w:p w14:paraId="1BE1EB77">
      <w:pPr>
        <w:spacing w:line="242" w:lineRule="auto"/>
        <w:rPr>
          <w:rFonts w:ascii="Arial"/>
          <w:sz w:val="21"/>
        </w:rPr>
      </w:pPr>
    </w:p>
    <w:p w14:paraId="056B24AC">
      <w:pPr>
        <w:spacing w:line="242" w:lineRule="auto"/>
        <w:rPr>
          <w:rFonts w:ascii="Arial"/>
          <w:sz w:val="21"/>
        </w:rPr>
      </w:pPr>
    </w:p>
    <w:p w14:paraId="41A3307D">
      <w:pPr>
        <w:spacing w:line="242" w:lineRule="auto"/>
        <w:rPr>
          <w:rFonts w:ascii="Arial"/>
          <w:sz w:val="21"/>
        </w:rPr>
      </w:pPr>
    </w:p>
    <w:p w14:paraId="161A8677">
      <w:pPr>
        <w:spacing w:line="242" w:lineRule="auto"/>
        <w:rPr>
          <w:rFonts w:ascii="Arial"/>
          <w:sz w:val="21"/>
        </w:rPr>
      </w:pPr>
    </w:p>
    <w:p w14:paraId="0661159F">
      <w:pPr>
        <w:pStyle w:val="2"/>
        <w:spacing w:before="91" w:line="222" w:lineRule="auto"/>
        <w:ind w:left="577"/>
        <w:rPr>
          <w:sz w:val="28"/>
          <w:szCs w:val="28"/>
        </w:rPr>
      </w:pPr>
      <w:r>
        <w:rPr>
          <w:spacing w:val="2"/>
          <w:sz w:val="28"/>
          <w:szCs w:val="28"/>
        </w:rPr>
        <w:t>投标人</w:t>
      </w:r>
      <w:r>
        <w:rPr>
          <w:spacing w:val="-12"/>
          <w:sz w:val="28"/>
          <w:szCs w:val="28"/>
        </w:rPr>
        <w:t>：</w:t>
      </w:r>
      <w:r>
        <w:rPr>
          <w:spacing w:val="5"/>
          <w:sz w:val="28"/>
          <w:szCs w:val="28"/>
          <w:u w:val="single" w:color="auto"/>
        </w:rPr>
        <w:t xml:space="preserve">                   </w:t>
      </w:r>
      <w:r>
        <w:rPr>
          <w:spacing w:val="4"/>
          <w:sz w:val="28"/>
          <w:szCs w:val="28"/>
          <w:u w:val="single" w:color="auto"/>
        </w:rPr>
        <w:t xml:space="preserve">           </w:t>
      </w:r>
      <w:r>
        <w:rPr>
          <w:spacing w:val="-12"/>
          <w:sz w:val="28"/>
          <w:szCs w:val="28"/>
        </w:rPr>
        <w:t>（</w:t>
      </w:r>
      <w:r>
        <w:rPr>
          <w:spacing w:val="2"/>
          <w:sz w:val="28"/>
          <w:szCs w:val="28"/>
        </w:rPr>
        <w:t>盖单位章）</w:t>
      </w:r>
    </w:p>
    <w:p w14:paraId="4490C7D9">
      <w:pPr>
        <w:pStyle w:val="2"/>
        <w:spacing w:before="208" w:line="222" w:lineRule="auto"/>
        <w:ind w:left="581"/>
        <w:rPr>
          <w:sz w:val="28"/>
          <w:szCs w:val="28"/>
        </w:rPr>
      </w:pPr>
      <w:r>
        <w:rPr>
          <w:spacing w:val="2"/>
          <w:sz w:val="28"/>
          <w:szCs w:val="28"/>
        </w:rPr>
        <w:t>法定代表人</w:t>
      </w:r>
      <w:r>
        <w:rPr>
          <w:spacing w:val="-16"/>
          <w:sz w:val="28"/>
          <w:szCs w:val="28"/>
        </w:rPr>
        <w:t>：</w:t>
      </w:r>
      <w:r>
        <w:rPr>
          <w:sz w:val="28"/>
          <w:szCs w:val="28"/>
          <w:u w:val="single" w:color="auto"/>
        </w:rPr>
        <w:t xml:space="preserve">                               </w:t>
      </w:r>
      <w:r>
        <w:rPr>
          <w:spacing w:val="-16"/>
          <w:sz w:val="28"/>
          <w:szCs w:val="28"/>
        </w:rPr>
        <w:t>（</w:t>
      </w:r>
      <w:r>
        <w:rPr>
          <w:spacing w:val="2"/>
          <w:sz w:val="28"/>
          <w:szCs w:val="28"/>
        </w:rPr>
        <w:t>签字）</w:t>
      </w:r>
    </w:p>
    <w:p w14:paraId="5A6EAF3B">
      <w:pPr>
        <w:spacing w:line="475" w:lineRule="auto"/>
        <w:rPr>
          <w:rFonts w:ascii="Arial"/>
          <w:sz w:val="21"/>
        </w:rPr>
      </w:pPr>
    </w:p>
    <w:p w14:paraId="11AB09F8">
      <w:pPr>
        <w:pStyle w:val="2"/>
        <w:tabs>
          <w:tab w:val="left" w:pos="3087"/>
        </w:tabs>
        <w:spacing w:before="91" w:line="224" w:lineRule="auto"/>
        <w:ind w:left="1827"/>
        <w:rPr>
          <w:sz w:val="28"/>
          <w:szCs w:val="28"/>
        </w:rPr>
      </w:pPr>
      <w:r>
        <w:rPr>
          <w:sz w:val="28"/>
          <w:szCs w:val="28"/>
          <w:u w:val="single" w:color="auto"/>
        </w:rPr>
        <w:tab/>
      </w:r>
      <w:r>
        <w:rPr>
          <w:spacing w:val="-126"/>
          <w:sz w:val="28"/>
          <w:szCs w:val="28"/>
        </w:rPr>
        <w:t xml:space="preserve"> </w:t>
      </w:r>
      <w:r>
        <w:rPr>
          <w:spacing w:val="-10"/>
          <w:sz w:val="28"/>
          <w:szCs w:val="28"/>
        </w:rPr>
        <w:t>年</w:t>
      </w:r>
      <w:r>
        <w:rPr>
          <w:spacing w:val="17"/>
          <w:sz w:val="28"/>
          <w:szCs w:val="28"/>
          <w:u w:val="single" w:color="auto"/>
        </w:rPr>
        <w:t xml:space="preserve">        </w:t>
      </w:r>
      <w:r>
        <w:rPr>
          <w:spacing w:val="-118"/>
          <w:sz w:val="28"/>
          <w:szCs w:val="28"/>
        </w:rPr>
        <w:t xml:space="preserve"> </w:t>
      </w:r>
      <w:r>
        <w:rPr>
          <w:spacing w:val="-10"/>
          <w:sz w:val="28"/>
          <w:szCs w:val="28"/>
        </w:rPr>
        <w:t>月</w:t>
      </w:r>
      <w:r>
        <w:rPr>
          <w:spacing w:val="17"/>
          <w:sz w:val="28"/>
          <w:szCs w:val="28"/>
          <w:u w:val="single" w:color="auto"/>
        </w:rPr>
        <w:t xml:space="preserve">        </w:t>
      </w:r>
      <w:r>
        <w:rPr>
          <w:spacing w:val="-82"/>
          <w:sz w:val="28"/>
          <w:szCs w:val="28"/>
        </w:rPr>
        <w:t xml:space="preserve"> </w:t>
      </w:r>
      <w:r>
        <w:rPr>
          <w:spacing w:val="-10"/>
          <w:sz w:val="28"/>
          <w:szCs w:val="28"/>
        </w:rPr>
        <w:t>日</w:t>
      </w:r>
    </w:p>
    <w:p w14:paraId="3763CB2B">
      <w:pPr>
        <w:spacing w:line="224" w:lineRule="auto"/>
        <w:rPr>
          <w:sz w:val="28"/>
          <w:szCs w:val="28"/>
        </w:rPr>
        <w:sectPr>
          <w:footerReference r:id="rId509" w:type="default"/>
          <w:pgSz w:w="11907" w:h="16840"/>
          <w:pgMar w:top="400" w:right="1786" w:bottom="1247" w:left="1786" w:header="0" w:footer="1085" w:gutter="0"/>
          <w:cols w:space="720" w:num="1"/>
        </w:sectPr>
      </w:pPr>
    </w:p>
    <w:p w14:paraId="0FB09F37">
      <w:pPr>
        <w:spacing w:line="248" w:lineRule="auto"/>
        <w:rPr>
          <w:rFonts w:ascii="Arial"/>
          <w:sz w:val="21"/>
        </w:rPr>
      </w:pPr>
    </w:p>
    <w:p w14:paraId="082163E2">
      <w:pPr>
        <w:spacing w:line="249" w:lineRule="auto"/>
        <w:rPr>
          <w:rFonts w:ascii="Arial"/>
          <w:sz w:val="21"/>
        </w:rPr>
      </w:pPr>
    </w:p>
    <w:p w14:paraId="15CF1A48">
      <w:pPr>
        <w:spacing w:line="249" w:lineRule="auto"/>
        <w:rPr>
          <w:rFonts w:ascii="Arial"/>
          <w:sz w:val="21"/>
        </w:rPr>
      </w:pPr>
    </w:p>
    <w:p w14:paraId="13F42D6C">
      <w:pPr>
        <w:spacing w:line="249" w:lineRule="auto"/>
        <w:rPr>
          <w:rFonts w:ascii="Arial"/>
          <w:sz w:val="21"/>
        </w:rPr>
      </w:pPr>
    </w:p>
    <w:p w14:paraId="7626D1A8">
      <w:pPr>
        <w:spacing w:line="249" w:lineRule="auto"/>
        <w:rPr>
          <w:rFonts w:ascii="Arial"/>
          <w:sz w:val="21"/>
        </w:rPr>
      </w:pPr>
    </w:p>
    <w:p w14:paraId="3E0F6A69">
      <w:pPr>
        <w:spacing w:line="249" w:lineRule="auto"/>
        <w:rPr>
          <w:rFonts w:ascii="Arial"/>
          <w:sz w:val="21"/>
        </w:rPr>
      </w:pPr>
    </w:p>
    <w:p w14:paraId="02396380">
      <w:pPr>
        <w:spacing w:line="249" w:lineRule="auto"/>
        <w:rPr>
          <w:rFonts w:ascii="Arial"/>
          <w:sz w:val="21"/>
        </w:rPr>
      </w:pPr>
    </w:p>
    <w:p w14:paraId="7F9E3699">
      <w:pPr>
        <w:pStyle w:val="2"/>
        <w:spacing w:before="91" w:line="222" w:lineRule="auto"/>
        <w:ind w:left="3929"/>
        <w:outlineLvl w:val="1"/>
        <w:rPr>
          <w:sz w:val="28"/>
          <w:szCs w:val="28"/>
        </w:rPr>
      </w:pPr>
      <w:bookmarkStart w:id="409" w:name="bookmark391"/>
      <w:bookmarkEnd w:id="409"/>
      <w:r>
        <w:rPr>
          <w:spacing w:val="-23"/>
          <w:sz w:val="28"/>
          <w:szCs w:val="28"/>
        </w:rPr>
        <w:t>目</w:t>
      </w:r>
      <w:r>
        <w:rPr>
          <w:spacing w:val="3"/>
          <w:sz w:val="28"/>
          <w:szCs w:val="28"/>
        </w:rPr>
        <w:t xml:space="preserve">    </w:t>
      </w:r>
      <w:r>
        <w:rPr>
          <w:spacing w:val="-23"/>
          <w:sz w:val="28"/>
          <w:szCs w:val="28"/>
        </w:rPr>
        <w:t>录</w:t>
      </w:r>
    </w:p>
    <w:p w14:paraId="1F998784">
      <w:pPr>
        <w:spacing w:before="283" w:line="227" w:lineRule="auto"/>
        <w:ind w:left="4"/>
        <w:outlineLvl w:val="1"/>
        <w:rPr>
          <w:rFonts w:ascii="宋体" w:hAnsi="宋体" w:eastAsia="宋体" w:cs="宋体"/>
          <w:sz w:val="20"/>
          <w:szCs w:val="20"/>
        </w:rPr>
      </w:pPr>
      <w:r>
        <w:rPr>
          <w:rFonts w:ascii="宋体" w:hAnsi="宋体" w:eastAsia="宋体" w:cs="宋体"/>
          <w:spacing w:val="8"/>
          <w:sz w:val="20"/>
          <w:szCs w:val="20"/>
        </w:rPr>
        <w:t>一、投标函及投标函附录</w:t>
      </w:r>
    </w:p>
    <w:p w14:paraId="36C6226E">
      <w:pPr>
        <w:spacing w:line="287" w:lineRule="auto"/>
        <w:rPr>
          <w:rFonts w:ascii="Arial"/>
          <w:sz w:val="21"/>
        </w:rPr>
      </w:pPr>
    </w:p>
    <w:sdt>
      <w:sdtPr>
        <w:rPr>
          <w:rFonts w:ascii="宋体" w:hAnsi="宋体" w:eastAsia="宋体" w:cs="宋体"/>
          <w:sz w:val="20"/>
          <w:szCs w:val="20"/>
        </w:rPr>
        <w:id w:val="147465280"/>
        <w:docPartObj>
          <w:docPartGallery w:val="Table of Contents"/>
          <w:docPartUnique/>
        </w:docPartObj>
      </w:sdtPr>
      <w:sdtEndPr>
        <w:rPr>
          <w:rFonts w:ascii="宋体" w:hAnsi="宋体" w:eastAsia="宋体" w:cs="宋体"/>
          <w:sz w:val="20"/>
          <w:szCs w:val="20"/>
        </w:rPr>
      </w:sdtEndPr>
      <w:sdtContent>
        <w:p w14:paraId="190819DD">
          <w:pPr>
            <w:spacing w:before="65" w:line="228" w:lineRule="auto"/>
            <w:ind w:left="4"/>
            <w:rPr>
              <w:rFonts w:ascii="宋体" w:hAnsi="宋体" w:eastAsia="宋体" w:cs="宋体"/>
              <w:sz w:val="20"/>
              <w:szCs w:val="20"/>
            </w:rPr>
          </w:pPr>
          <w:r>
            <w:rPr>
              <w:rFonts w:ascii="宋体" w:hAnsi="宋体" w:eastAsia="宋体" w:cs="宋体"/>
              <w:spacing w:val="8"/>
              <w:sz w:val="20"/>
              <w:szCs w:val="20"/>
            </w:rPr>
            <w:t>二、法定代表人身份证明</w:t>
          </w:r>
        </w:p>
        <w:p w14:paraId="717EB608">
          <w:pPr>
            <w:spacing w:line="287" w:lineRule="auto"/>
            <w:rPr>
              <w:rFonts w:ascii="Arial"/>
              <w:sz w:val="21"/>
            </w:rPr>
          </w:pPr>
        </w:p>
        <w:p w14:paraId="512A6C32">
          <w:pPr>
            <w:spacing w:before="65" w:line="228" w:lineRule="auto"/>
            <w:rPr>
              <w:rFonts w:ascii="宋体" w:hAnsi="宋体" w:eastAsia="宋体" w:cs="宋体"/>
              <w:sz w:val="20"/>
              <w:szCs w:val="20"/>
            </w:rPr>
          </w:pPr>
          <w:r>
            <w:rPr>
              <w:rFonts w:ascii="宋体" w:hAnsi="宋体" w:eastAsia="宋体" w:cs="宋体"/>
              <w:spacing w:val="8"/>
              <w:sz w:val="20"/>
              <w:szCs w:val="20"/>
            </w:rPr>
            <w:t>三、投标保证金</w:t>
          </w:r>
        </w:p>
        <w:p w14:paraId="356072D2">
          <w:pPr>
            <w:spacing w:line="285" w:lineRule="auto"/>
            <w:rPr>
              <w:rFonts w:ascii="Arial"/>
              <w:sz w:val="21"/>
            </w:rPr>
          </w:pPr>
        </w:p>
        <w:p w14:paraId="02A62374">
          <w:pPr>
            <w:spacing w:before="65" w:line="227" w:lineRule="auto"/>
            <w:ind w:left="20"/>
            <w:rPr>
              <w:rFonts w:ascii="宋体" w:hAnsi="宋体" w:eastAsia="宋体" w:cs="宋体"/>
              <w:sz w:val="20"/>
              <w:szCs w:val="20"/>
            </w:rPr>
          </w:pPr>
          <w:r>
            <w:rPr>
              <w:rFonts w:ascii="宋体" w:hAnsi="宋体" w:eastAsia="宋体" w:cs="宋体"/>
              <w:spacing w:val="6"/>
              <w:sz w:val="20"/>
              <w:szCs w:val="20"/>
            </w:rPr>
            <w:t>四、联合体协议书</w:t>
          </w:r>
        </w:p>
      </w:sdtContent>
    </w:sdt>
    <w:p w14:paraId="27CDFEF7">
      <w:pPr>
        <w:spacing w:line="287" w:lineRule="auto"/>
        <w:rPr>
          <w:rFonts w:ascii="Arial"/>
          <w:sz w:val="21"/>
        </w:rPr>
      </w:pPr>
    </w:p>
    <w:p w14:paraId="647002E6">
      <w:pPr>
        <w:spacing w:before="65" w:line="227" w:lineRule="auto"/>
        <w:ind w:left="4"/>
        <w:rPr>
          <w:rFonts w:ascii="宋体" w:hAnsi="宋体" w:eastAsia="宋体" w:cs="宋体"/>
          <w:sz w:val="20"/>
          <w:szCs w:val="20"/>
        </w:rPr>
      </w:pPr>
      <w:r>
        <w:rPr>
          <w:rFonts w:ascii="宋体" w:hAnsi="宋体" w:eastAsia="宋体" w:cs="宋体"/>
          <w:spacing w:val="9"/>
          <w:sz w:val="20"/>
          <w:szCs w:val="20"/>
        </w:rPr>
        <w:t>五、拟分包项目情况表（适用于非政府采购工</w:t>
      </w:r>
      <w:r>
        <w:rPr>
          <w:rFonts w:ascii="宋体" w:hAnsi="宋体" w:eastAsia="宋体" w:cs="宋体"/>
          <w:spacing w:val="8"/>
          <w:sz w:val="20"/>
          <w:szCs w:val="20"/>
        </w:rPr>
        <w:t>程）</w:t>
      </w:r>
    </w:p>
    <w:p w14:paraId="4D44A492">
      <w:pPr>
        <w:spacing w:line="287" w:lineRule="auto"/>
        <w:rPr>
          <w:rFonts w:ascii="Arial"/>
          <w:sz w:val="21"/>
        </w:rPr>
      </w:pPr>
    </w:p>
    <w:p w14:paraId="110FB315">
      <w:pPr>
        <w:spacing w:before="65" w:line="227" w:lineRule="auto"/>
        <w:ind w:left="4"/>
        <w:rPr>
          <w:rFonts w:ascii="宋体" w:hAnsi="宋体" w:eastAsia="宋体" w:cs="宋体"/>
          <w:sz w:val="20"/>
          <w:szCs w:val="20"/>
        </w:rPr>
      </w:pPr>
      <w:r>
        <w:rPr>
          <w:rFonts w:ascii="宋体" w:hAnsi="宋体" w:eastAsia="宋体" w:cs="宋体"/>
          <w:spacing w:val="8"/>
          <w:sz w:val="20"/>
          <w:szCs w:val="20"/>
        </w:rPr>
        <w:t>五、分包意向协议书（适用于政府采购工程）</w:t>
      </w:r>
    </w:p>
    <w:p w14:paraId="1E90AC20">
      <w:pPr>
        <w:spacing w:line="287" w:lineRule="auto"/>
        <w:rPr>
          <w:rFonts w:ascii="Arial"/>
          <w:sz w:val="21"/>
        </w:rPr>
      </w:pPr>
    </w:p>
    <w:p w14:paraId="28F943F4">
      <w:pPr>
        <w:spacing w:before="65" w:line="227" w:lineRule="auto"/>
        <w:ind w:left="2"/>
        <w:rPr>
          <w:rFonts w:ascii="宋体" w:hAnsi="宋体" w:eastAsia="宋体" w:cs="宋体"/>
          <w:sz w:val="20"/>
          <w:szCs w:val="20"/>
        </w:rPr>
      </w:pPr>
      <w:r>
        <w:rPr>
          <w:rFonts w:ascii="宋体" w:hAnsi="宋体" w:eastAsia="宋体" w:cs="宋体"/>
          <w:spacing w:val="8"/>
          <w:sz w:val="20"/>
          <w:szCs w:val="20"/>
        </w:rPr>
        <w:t>六、中小企业声明函（适用于政府采购工程）</w:t>
      </w:r>
    </w:p>
    <w:p w14:paraId="785F800B">
      <w:pPr>
        <w:spacing w:line="287" w:lineRule="auto"/>
        <w:rPr>
          <w:rFonts w:ascii="Arial"/>
          <w:sz w:val="21"/>
        </w:rPr>
      </w:pPr>
    </w:p>
    <w:sdt>
      <w:sdtPr>
        <w:rPr>
          <w:rFonts w:ascii="宋体" w:hAnsi="宋体" w:eastAsia="宋体" w:cs="宋体"/>
          <w:sz w:val="20"/>
          <w:szCs w:val="20"/>
        </w:rPr>
        <w:id w:val="147456381"/>
        <w:docPartObj>
          <w:docPartGallery w:val="Table of Contents"/>
          <w:docPartUnique/>
        </w:docPartObj>
      </w:sdtPr>
      <w:sdtEndPr>
        <w:rPr>
          <w:rFonts w:ascii="宋体" w:hAnsi="宋体" w:eastAsia="宋体" w:cs="宋体"/>
          <w:sz w:val="20"/>
          <w:szCs w:val="20"/>
        </w:rPr>
      </w:sdtEndPr>
      <w:sdtContent>
        <w:p w14:paraId="237446F3">
          <w:pPr>
            <w:spacing w:before="66" w:line="227" w:lineRule="auto"/>
            <w:rPr>
              <w:rFonts w:ascii="宋体" w:hAnsi="宋体" w:eastAsia="宋体" w:cs="宋体"/>
              <w:sz w:val="20"/>
              <w:szCs w:val="20"/>
            </w:rPr>
          </w:pPr>
          <w:r>
            <w:rPr>
              <w:rFonts w:ascii="宋体" w:hAnsi="宋体" w:eastAsia="宋体" w:cs="宋体"/>
              <w:spacing w:val="8"/>
              <w:sz w:val="20"/>
              <w:szCs w:val="20"/>
            </w:rPr>
            <w:t>七、项目管理机构</w:t>
          </w:r>
        </w:p>
        <w:p w14:paraId="5E1B8FE5">
          <w:pPr>
            <w:spacing w:line="287" w:lineRule="auto"/>
            <w:rPr>
              <w:rFonts w:ascii="Arial"/>
              <w:sz w:val="21"/>
            </w:rPr>
          </w:pPr>
        </w:p>
        <w:p w14:paraId="561ADFB7">
          <w:pPr>
            <w:spacing w:before="65" w:line="228" w:lineRule="auto"/>
            <w:ind w:left="4"/>
            <w:rPr>
              <w:rFonts w:ascii="宋体" w:hAnsi="宋体" w:eastAsia="宋体" w:cs="宋体"/>
              <w:sz w:val="20"/>
              <w:szCs w:val="20"/>
            </w:rPr>
          </w:pPr>
          <w:r>
            <w:rPr>
              <w:rFonts w:ascii="宋体" w:hAnsi="宋体" w:eastAsia="宋体" w:cs="宋体"/>
              <w:spacing w:val="8"/>
              <w:sz w:val="20"/>
              <w:szCs w:val="20"/>
            </w:rPr>
            <w:t>八、资格审查资料</w:t>
          </w:r>
        </w:p>
        <w:p w14:paraId="0CD51135">
          <w:pPr>
            <w:spacing w:line="286" w:lineRule="auto"/>
            <w:rPr>
              <w:rFonts w:ascii="Arial"/>
              <w:sz w:val="21"/>
            </w:rPr>
          </w:pPr>
        </w:p>
        <w:p w14:paraId="4AF4B2E2">
          <w:pPr>
            <w:spacing w:before="66" w:line="226" w:lineRule="auto"/>
            <w:ind w:left="5"/>
            <w:rPr>
              <w:rFonts w:ascii="宋体" w:hAnsi="宋体" w:eastAsia="宋体" w:cs="宋体"/>
              <w:sz w:val="20"/>
              <w:szCs w:val="20"/>
            </w:rPr>
          </w:pPr>
          <w:r>
            <w:rPr>
              <w:rFonts w:ascii="宋体" w:hAnsi="宋体" w:eastAsia="宋体" w:cs="宋体"/>
              <w:spacing w:val="8"/>
              <w:sz w:val="20"/>
              <w:szCs w:val="20"/>
            </w:rPr>
            <w:t>九、已标价工程量清单</w:t>
          </w:r>
        </w:p>
        <w:p w14:paraId="6B9D27A2">
          <w:pPr>
            <w:spacing w:line="288" w:lineRule="auto"/>
            <w:rPr>
              <w:rFonts w:ascii="Arial"/>
              <w:sz w:val="21"/>
            </w:rPr>
          </w:pPr>
        </w:p>
        <w:p w14:paraId="03A87A98">
          <w:pPr>
            <w:spacing w:before="65" w:line="229" w:lineRule="auto"/>
            <w:ind w:left="1"/>
            <w:rPr>
              <w:rFonts w:ascii="宋体" w:hAnsi="宋体" w:eastAsia="宋体" w:cs="宋体"/>
              <w:sz w:val="20"/>
              <w:szCs w:val="20"/>
            </w:rPr>
          </w:pPr>
          <w:r>
            <w:rPr>
              <w:rFonts w:ascii="宋体" w:hAnsi="宋体" w:eastAsia="宋体" w:cs="宋体"/>
              <w:spacing w:val="8"/>
              <w:sz w:val="20"/>
              <w:szCs w:val="20"/>
            </w:rPr>
            <w:t>十、施工组织设计</w:t>
          </w:r>
        </w:p>
        <w:p w14:paraId="601BE877">
          <w:pPr>
            <w:spacing w:line="284" w:lineRule="auto"/>
            <w:rPr>
              <w:rFonts w:ascii="Arial"/>
              <w:sz w:val="21"/>
            </w:rPr>
          </w:pPr>
        </w:p>
        <w:p w14:paraId="4200A1CB">
          <w:pPr>
            <w:spacing w:before="66" w:line="227" w:lineRule="auto"/>
            <w:ind w:left="1"/>
            <w:rPr>
              <w:rFonts w:ascii="宋体" w:hAnsi="宋体" w:eastAsia="宋体" w:cs="宋体"/>
              <w:sz w:val="20"/>
              <w:szCs w:val="20"/>
            </w:rPr>
          </w:pPr>
          <w:r>
            <w:rPr>
              <w:rFonts w:ascii="宋体" w:hAnsi="宋体" w:eastAsia="宋体" w:cs="宋体"/>
              <w:spacing w:val="8"/>
              <w:sz w:val="20"/>
              <w:szCs w:val="20"/>
            </w:rPr>
            <w:t>十一、其他材料</w:t>
          </w:r>
        </w:p>
      </w:sdtContent>
    </w:sdt>
    <w:p w14:paraId="152B2F59">
      <w:pPr>
        <w:spacing w:line="227" w:lineRule="auto"/>
        <w:rPr>
          <w:rFonts w:ascii="宋体" w:hAnsi="宋体" w:eastAsia="宋体" w:cs="宋体"/>
          <w:sz w:val="20"/>
          <w:szCs w:val="20"/>
        </w:rPr>
        <w:sectPr>
          <w:footerReference r:id="rId510" w:type="default"/>
          <w:pgSz w:w="11907" w:h="16840"/>
          <w:pgMar w:top="400" w:right="1786" w:bottom="1247" w:left="1480" w:header="0" w:footer="1085" w:gutter="0"/>
          <w:cols w:space="720" w:num="1"/>
        </w:sectPr>
      </w:pPr>
    </w:p>
    <w:p w14:paraId="6DF0C468">
      <w:pPr>
        <w:spacing w:line="276" w:lineRule="auto"/>
        <w:rPr>
          <w:rFonts w:ascii="Arial"/>
          <w:sz w:val="21"/>
        </w:rPr>
      </w:pPr>
    </w:p>
    <w:p w14:paraId="7364C678">
      <w:pPr>
        <w:spacing w:line="276" w:lineRule="auto"/>
        <w:rPr>
          <w:rFonts w:ascii="Arial"/>
          <w:sz w:val="21"/>
        </w:rPr>
      </w:pPr>
    </w:p>
    <w:p w14:paraId="7386017E">
      <w:pPr>
        <w:spacing w:line="276" w:lineRule="auto"/>
        <w:rPr>
          <w:rFonts w:ascii="Arial"/>
          <w:sz w:val="21"/>
        </w:rPr>
      </w:pPr>
    </w:p>
    <w:p w14:paraId="7DE27371">
      <w:pPr>
        <w:spacing w:line="277" w:lineRule="auto"/>
        <w:rPr>
          <w:rFonts w:ascii="Arial"/>
          <w:sz w:val="21"/>
        </w:rPr>
      </w:pPr>
    </w:p>
    <w:p w14:paraId="37BCC559">
      <w:pPr>
        <w:spacing w:line="277" w:lineRule="auto"/>
        <w:rPr>
          <w:rFonts w:ascii="Arial"/>
          <w:sz w:val="21"/>
        </w:rPr>
      </w:pPr>
    </w:p>
    <w:p w14:paraId="50D7EC7B">
      <w:pPr>
        <w:pStyle w:val="2"/>
        <w:spacing w:before="91" w:line="222" w:lineRule="auto"/>
        <w:ind w:left="2927"/>
        <w:outlineLvl w:val="1"/>
        <w:rPr>
          <w:sz w:val="28"/>
          <w:szCs w:val="28"/>
        </w:rPr>
      </w:pPr>
      <w:bookmarkStart w:id="410" w:name="bookmark392"/>
      <w:bookmarkEnd w:id="410"/>
      <w:bookmarkStart w:id="411" w:name="bookmark393"/>
      <w:bookmarkEnd w:id="411"/>
      <w:r>
        <w:rPr>
          <w:spacing w:val="-2"/>
          <w:sz w:val="28"/>
          <w:szCs w:val="28"/>
        </w:rPr>
        <w:t>一、投标函及投标函附录</w:t>
      </w:r>
    </w:p>
    <w:p w14:paraId="79F83B50">
      <w:pPr>
        <w:pStyle w:val="2"/>
        <w:spacing w:before="61" w:line="223" w:lineRule="auto"/>
        <w:ind w:left="3642"/>
        <w:outlineLvl w:val="2"/>
        <w:rPr>
          <w:sz w:val="28"/>
          <w:szCs w:val="28"/>
        </w:rPr>
      </w:pPr>
      <w:bookmarkStart w:id="412" w:name="bookmark471"/>
      <w:bookmarkEnd w:id="412"/>
      <w:r>
        <w:rPr>
          <w:spacing w:val="-5"/>
          <w:sz w:val="28"/>
          <w:szCs w:val="28"/>
        </w:rPr>
        <w:t>（一）投标函</w:t>
      </w:r>
    </w:p>
    <w:p w14:paraId="4FD67638">
      <w:pPr>
        <w:tabs>
          <w:tab w:val="left" w:pos="2520"/>
        </w:tabs>
        <w:spacing w:before="156"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（招标人名称</w:t>
      </w:r>
      <w:r>
        <w:rPr>
          <w:rFonts w:ascii="宋体" w:hAnsi="宋体" w:eastAsia="宋体" w:cs="宋体"/>
          <w:spacing w:val="-52"/>
          <w:sz w:val="20"/>
          <w:szCs w:val="20"/>
        </w:rPr>
        <w:t>）：</w:t>
      </w:r>
    </w:p>
    <w:p w14:paraId="2C8D664F">
      <w:pPr>
        <w:spacing w:before="161" w:line="369" w:lineRule="auto"/>
        <w:ind w:left="10" w:right="16" w:firstLine="434"/>
        <w:jc w:val="both"/>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1"/>
          <w:sz w:val="20"/>
          <w:szCs w:val="20"/>
        </w:rPr>
        <w:t xml:space="preserve"> </w:t>
      </w:r>
      <w:r>
        <w:rPr>
          <w:rFonts w:ascii="宋体" w:hAnsi="宋体" w:eastAsia="宋体" w:cs="宋体"/>
          <w:spacing w:val="7"/>
          <w:sz w:val="20"/>
          <w:szCs w:val="20"/>
        </w:rPr>
        <w:t>．我方已仔细研究了</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（项目名称</w:t>
      </w:r>
      <w:r>
        <w:rPr>
          <w:rFonts w:ascii="宋体" w:hAnsi="宋体" w:eastAsia="宋体" w:cs="宋体"/>
          <w:spacing w:val="-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9"/>
          <w:sz w:val="20"/>
          <w:szCs w:val="20"/>
        </w:rPr>
        <w:t>（</w:t>
      </w:r>
      <w:r>
        <w:rPr>
          <w:rFonts w:ascii="宋体" w:hAnsi="宋体" w:eastAsia="宋体" w:cs="宋体"/>
          <w:spacing w:val="6"/>
          <w:sz w:val="20"/>
          <w:szCs w:val="20"/>
        </w:rPr>
        <w:t>标段名称）施工招标文件的全部内容，</w:t>
      </w:r>
      <w:r>
        <w:rPr>
          <w:rFonts w:ascii="宋体" w:hAnsi="宋体" w:eastAsia="宋体" w:cs="宋体"/>
          <w:spacing w:val="4"/>
          <w:sz w:val="20"/>
          <w:szCs w:val="20"/>
        </w:rPr>
        <w:t>愿意以人民币（大写）</w:t>
      </w:r>
      <w:r>
        <w:rPr>
          <w:rFonts w:ascii="宋体" w:hAnsi="宋体" w:eastAsia="宋体" w:cs="宋体"/>
          <w:spacing w:val="4"/>
          <w:sz w:val="20"/>
          <w:szCs w:val="20"/>
          <w:u w:val="single" w:color="auto"/>
        </w:rPr>
        <w:t xml:space="preserve">         </w:t>
      </w:r>
      <w:r>
        <w:rPr>
          <w:rFonts w:ascii="宋体" w:hAnsi="宋体" w:eastAsia="宋体" w:cs="宋体"/>
          <w:spacing w:val="-75"/>
          <w:sz w:val="20"/>
          <w:szCs w:val="20"/>
        </w:rPr>
        <w:t xml:space="preserve"> </w:t>
      </w:r>
      <w:r>
        <w:rPr>
          <w:rFonts w:ascii="宋体" w:hAnsi="宋体" w:eastAsia="宋体" w:cs="宋体"/>
          <w:spacing w:val="4"/>
          <w:sz w:val="20"/>
          <w:szCs w:val="20"/>
        </w:rPr>
        <w:t>元 (</w:t>
      </w:r>
      <w:r>
        <w:rPr>
          <w:rFonts w:ascii="Times New Roman" w:hAnsi="Times New Roman" w:eastAsia="Times New Roman" w:cs="Times New Roman"/>
          <w:spacing w:val="4"/>
          <w:sz w:val="20"/>
          <w:szCs w:val="20"/>
        </w:rPr>
        <w:t>¥</w:t>
      </w:r>
      <w:r>
        <w:rPr>
          <w:rFonts w:ascii="Times New Roman" w:hAnsi="Times New Roman" w:eastAsia="Times New Roman" w:cs="Times New Roman"/>
          <w:spacing w:val="-50"/>
          <w:sz w:val="20"/>
          <w:szCs w:val="20"/>
        </w:rPr>
        <w:t xml:space="preserve"> </w:t>
      </w:r>
      <w:r>
        <w:rPr>
          <w:rFonts w:ascii="Times New Roman" w:hAnsi="Times New Roman" w:eastAsia="Times New Roman" w:cs="Times New Roman"/>
          <w:sz w:val="20"/>
          <w:szCs w:val="20"/>
          <w:u w:val="single" w:color="auto"/>
        </w:rPr>
        <w:t xml:space="preserve">                       </w:t>
      </w:r>
      <w:r>
        <w:rPr>
          <w:rFonts w:ascii="Times New Roman" w:hAnsi="Times New Roman" w:eastAsia="Times New Roman" w:cs="Times New Roman"/>
          <w:spacing w:val="-35"/>
          <w:sz w:val="20"/>
          <w:szCs w:val="20"/>
        </w:rPr>
        <w:t xml:space="preserve"> </w:t>
      </w:r>
      <w:r>
        <w:rPr>
          <w:rFonts w:ascii="宋体" w:hAnsi="宋体" w:eastAsia="宋体" w:cs="宋体"/>
          <w:spacing w:val="4"/>
          <w:sz w:val="20"/>
          <w:szCs w:val="20"/>
        </w:rPr>
        <w:t>元）的投标总报价，工期</w:t>
      </w:r>
      <w:r>
        <w:rPr>
          <w:rFonts w:ascii="宋体" w:hAnsi="宋体" w:eastAsia="宋体" w:cs="宋体"/>
          <w:spacing w:val="-96"/>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9"/>
          <w:sz w:val="20"/>
          <w:szCs w:val="20"/>
        </w:rPr>
        <w:t xml:space="preserve"> </w:t>
      </w:r>
      <w:r>
        <w:rPr>
          <w:rFonts w:ascii="宋体" w:hAnsi="宋体" w:eastAsia="宋体" w:cs="宋体"/>
          <w:spacing w:val="4"/>
          <w:sz w:val="20"/>
          <w:szCs w:val="20"/>
        </w:rPr>
        <w:t>日历天，</w:t>
      </w:r>
      <w:r>
        <w:rPr>
          <w:rFonts w:ascii="宋体" w:hAnsi="宋体" w:eastAsia="宋体" w:cs="宋体"/>
          <w:spacing w:val="8"/>
          <w:sz w:val="20"/>
          <w:szCs w:val="20"/>
        </w:rPr>
        <w:t>按合同约定实施和完成承包工程，修补工程中的任何缺陷，工程质量达到</w:t>
      </w:r>
      <w:r>
        <w:rPr>
          <w:rFonts w:ascii="宋体" w:hAnsi="宋体" w:eastAsia="宋体" w:cs="宋体"/>
          <w:spacing w:val="-90"/>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 xml:space="preserve"> 。</w:t>
      </w:r>
    </w:p>
    <w:p w14:paraId="551ECB5C">
      <w:pPr>
        <w:spacing w:before="1" w:line="368" w:lineRule="auto"/>
        <w:ind w:left="9" w:right="18" w:firstLine="418"/>
        <w:rPr>
          <w:rFonts w:ascii="宋体" w:hAnsi="宋体" w:eastAsia="宋体" w:cs="宋体"/>
          <w:sz w:val="20"/>
          <w:szCs w:val="20"/>
        </w:rPr>
      </w:pPr>
      <w:r>
        <w:rPr>
          <w:rFonts w:ascii="宋体" w:hAnsi="宋体" w:eastAsia="宋体" w:cs="宋体"/>
          <w:spacing w:val="-5"/>
          <w:sz w:val="20"/>
          <w:szCs w:val="20"/>
        </w:rPr>
        <w:t xml:space="preserve">在我方的上述投标总报价中，包括：安全文明施工费 </w:t>
      </w:r>
      <w:r>
        <w:rPr>
          <w:rFonts w:ascii="Times New Roman" w:hAnsi="Times New Roman" w:eastAsia="Times New Roman" w:cs="Times New Roman"/>
          <w:spacing w:val="-5"/>
          <w:sz w:val="20"/>
          <w:szCs w:val="20"/>
        </w:rPr>
        <w:t>¥</w:t>
      </w:r>
      <w:r>
        <w:rPr>
          <w:rFonts w:ascii="宋体" w:hAnsi="宋体" w:eastAsia="宋体" w:cs="宋体"/>
          <w:spacing w:val="-5"/>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5"/>
          <w:sz w:val="20"/>
          <w:szCs w:val="20"/>
        </w:rPr>
        <w:t xml:space="preserve">元；暂列金额 </w:t>
      </w:r>
      <w:r>
        <w:rPr>
          <w:rFonts w:ascii="Times New Roman" w:hAnsi="Times New Roman" w:eastAsia="Times New Roman" w:cs="Times New Roman"/>
          <w:spacing w:val="-5"/>
          <w:sz w:val="20"/>
          <w:szCs w:val="20"/>
        </w:rPr>
        <w:t>¥</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5"/>
          <w:sz w:val="20"/>
          <w:szCs w:val="20"/>
        </w:rPr>
        <w:t>元；</w:t>
      </w:r>
      <w:r>
        <w:rPr>
          <w:rFonts w:ascii="宋体" w:hAnsi="宋体" w:eastAsia="宋体" w:cs="宋体"/>
          <w:spacing w:val="6"/>
          <w:sz w:val="20"/>
          <w:szCs w:val="20"/>
        </w:rPr>
        <w:t xml:space="preserve">专业工程暂估价 </w:t>
      </w:r>
      <w:r>
        <w:rPr>
          <w:rFonts w:ascii="Times New Roman" w:hAnsi="Times New Roman" w:eastAsia="Times New Roman" w:cs="Times New Roman"/>
          <w:spacing w:val="6"/>
          <w:sz w:val="20"/>
          <w:szCs w:val="20"/>
        </w:rPr>
        <w:t>¥</w:t>
      </w:r>
      <w:r>
        <w:rPr>
          <w:rFonts w:ascii="宋体" w:hAnsi="宋体" w:eastAsia="宋体" w:cs="宋体"/>
          <w:spacing w:val="6"/>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5"/>
          <w:sz w:val="20"/>
          <w:szCs w:val="20"/>
        </w:rPr>
        <w:t>元。</w:t>
      </w:r>
    </w:p>
    <w:p w14:paraId="250BC6A9">
      <w:pPr>
        <w:spacing w:line="226" w:lineRule="auto"/>
        <w:ind w:left="424"/>
        <w:rPr>
          <w:rFonts w:ascii="宋体" w:hAnsi="宋体" w:eastAsia="宋体" w:cs="宋体"/>
          <w:sz w:val="20"/>
          <w:szCs w:val="20"/>
        </w:rPr>
      </w:pPr>
      <w:r>
        <w:rPr>
          <w:rFonts w:ascii="Times New Roman" w:hAnsi="Times New Roman" w:eastAsia="Times New Roman" w:cs="Times New Roman"/>
          <w:spacing w:val="8"/>
          <w:sz w:val="20"/>
          <w:szCs w:val="20"/>
        </w:rPr>
        <w:t xml:space="preserve">2.  </w:t>
      </w:r>
      <w:r>
        <w:rPr>
          <w:rFonts w:ascii="宋体" w:hAnsi="宋体" w:eastAsia="宋体" w:cs="宋体"/>
          <w:spacing w:val="8"/>
          <w:sz w:val="20"/>
          <w:szCs w:val="20"/>
        </w:rPr>
        <w:t>我方拟派的项目经理</w:t>
      </w:r>
      <w:r>
        <w:rPr>
          <w:rFonts w:ascii="宋体" w:hAnsi="宋体" w:eastAsia="宋体" w:cs="宋体"/>
          <w:spacing w:val="-1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5"/>
          <w:sz w:val="20"/>
          <w:szCs w:val="20"/>
        </w:rPr>
        <w:t>（</w:t>
      </w:r>
      <w:r>
        <w:rPr>
          <w:rFonts w:ascii="宋体" w:hAnsi="宋体" w:eastAsia="宋体" w:cs="宋体"/>
          <w:spacing w:val="8"/>
          <w:sz w:val="20"/>
          <w:szCs w:val="20"/>
        </w:rPr>
        <w:t>姓名</w:t>
      </w:r>
      <w:r>
        <w:rPr>
          <w:rFonts w:ascii="宋体" w:hAnsi="宋体" w:eastAsia="宋体" w:cs="宋体"/>
          <w:spacing w:val="-15"/>
          <w:sz w:val="20"/>
          <w:szCs w:val="20"/>
        </w:rPr>
        <w:t>），</w:t>
      </w:r>
      <w:r>
        <w:rPr>
          <w:rFonts w:ascii="宋体" w:hAnsi="宋体" w:eastAsia="宋体" w:cs="宋体"/>
          <w:spacing w:val="8"/>
          <w:sz w:val="20"/>
          <w:szCs w:val="20"/>
        </w:rPr>
        <w:t>证书名称</w:t>
      </w:r>
      <w:r>
        <w:rPr>
          <w:rFonts w:ascii="宋体" w:hAnsi="宋体" w:eastAsia="宋体" w:cs="宋体"/>
          <w:spacing w:val="-1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8"/>
          <w:sz w:val="20"/>
          <w:szCs w:val="20"/>
        </w:rPr>
        <w:t xml:space="preserve"> </w:t>
      </w:r>
      <w:r>
        <w:rPr>
          <w:rFonts w:ascii="宋体" w:hAnsi="宋体" w:eastAsia="宋体" w:cs="宋体"/>
          <w:spacing w:val="-15"/>
          <w:sz w:val="20"/>
          <w:szCs w:val="20"/>
        </w:rPr>
        <w:t>，</w:t>
      </w:r>
      <w:r>
        <w:rPr>
          <w:rFonts w:ascii="宋体" w:hAnsi="宋体" w:eastAsia="宋体" w:cs="宋体"/>
          <w:spacing w:val="8"/>
          <w:sz w:val="20"/>
          <w:szCs w:val="20"/>
        </w:rPr>
        <w:t>证书编号：</w:t>
      </w:r>
      <w:r>
        <w:rPr>
          <w:rFonts w:ascii="宋体" w:hAnsi="宋体" w:eastAsia="宋体" w:cs="宋体"/>
          <w:spacing w:val="8"/>
          <w:sz w:val="20"/>
          <w:szCs w:val="20"/>
          <w:u w:val="single" w:color="auto"/>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17B3D57D">
      <w:pPr>
        <w:spacing w:before="155" w:line="228" w:lineRule="auto"/>
        <w:ind w:left="429"/>
        <w:rPr>
          <w:rFonts w:ascii="宋体" w:hAnsi="宋体" w:eastAsia="宋体" w:cs="宋体"/>
          <w:sz w:val="20"/>
          <w:szCs w:val="20"/>
        </w:rPr>
      </w:pPr>
      <w:r>
        <w:rPr>
          <w:rFonts w:ascii="Times New Roman" w:hAnsi="Times New Roman" w:eastAsia="Times New Roman" w:cs="Times New Roman"/>
          <w:spacing w:val="7"/>
          <w:sz w:val="20"/>
          <w:szCs w:val="20"/>
        </w:rPr>
        <w:t>3</w:t>
      </w:r>
      <w:r>
        <w:rPr>
          <w:rFonts w:ascii="Times New Roman" w:hAnsi="Times New Roman" w:eastAsia="Times New Roman" w:cs="Times New Roman"/>
          <w:spacing w:val="-21"/>
          <w:sz w:val="20"/>
          <w:szCs w:val="20"/>
        </w:rPr>
        <w:t xml:space="preserve"> </w:t>
      </w:r>
      <w:r>
        <w:rPr>
          <w:rFonts w:ascii="宋体" w:hAnsi="宋体" w:eastAsia="宋体" w:cs="宋体"/>
          <w:spacing w:val="7"/>
          <w:sz w:val="20"/>
          <w:szCs w:val="20"/>
        </w:rPr>
        <w:t>．我方承诺在投标有效期</w:t>
      </w:r>
      <w:r>
        <w:rPr>
          <w:rFonts w:ascii="宋体" w:hAnsi="宋体" w:eastAsia="宋体" w:cs="宋体"/>
          <w:spacing w:val="7"/>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7"/>
          <w:sz w:val="20"/>
          <w:szCs w:val="20"/>
        </w:rPr>
        <w:t>天内不修改、撤销投标文</w:t>
      </w:r>
      <w:r>
        <w:rPr>
          <w:rFonts w:ascii="宋体" w:hAnsi="宋体" w:eastAsia="宋体" w:cs="宋体"/>
          <w:spacing w:val="6"/>
          <w:sz w:val="20"/>
          <w:szCs w:val="20"/>
        </w:rPr>
        <w:t>件。</w:t>
      </w:r>
    </w:p>
    <w:p w14:paraId="19BE2B94">
      <w:pPr>
        <w:spacing w:before="154" w:line="227" w:lineRule="auto"/>
        <w:ind w:left="423"/>
        <w:rPr>
          <w:rFonts w:ascii="宋体" w:hAnsi="宋体" w:eastAsia="宋体" w:cs="宋体"/>
          <w:sz w:val="20"/>
          <w:szCs w:val="20"/>
        </w:rPr>
      </w:pPr>
      <w:r>
        <w:rPr>
          <w:rFonts w:ascii="Times New Roman" w:hAnsi="Times New Roman" w:eastAsia="Times New Roman" w:cs="Times New Roman"/>
          <w:spacing w:val="5"/>
          <w:sz w:val="20"/>
          <w:szCs w:val="20"/>
        </w:rPr>
        <w:t>4</w:t>
      </w:r>
      <w:r>
        <w:rPr>
          <w:rFonts w:ascii="Times New Roman" w:hAnsi="Times New Roman" w:eastAsia="Times New Roman" w:cs="Times New Roman"/>
          <w:spacing w:val="-21"/>
          <w:sz w:val="20"/>
          <w:szCs w:val="20"/>
        </w:rPr>
        <w:t xml:space="preserve"> </w:t>
      </w:r>
      <w:r>
        <w:rPr>
          <w:rFonts w:ascii="宋体" w:hAnsi="宋体" w:eastAsia="宋体" w:cs="宋体"/>
          <w:spacing w:val="5"/>
          <w:sz w:val="20"/>
          <w:szCs w:val="20"/>
        </w:rPr>
        <w:t>．随同本投标函提交投标保证金一份，金额为人民币（大写）</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5"/>
          <w:sz w:val="20"/>
          <w:szCs w:val="20"/>
        </w:rPr>
        <w:t>元 (</w:t>
      </w:r>
      <w:r>
        <w:rPr>
          <w:rFonts w:ascii="Times New Roman" w:hAnsi="Times New Roman" w:eastAsia="Times New Roman" w:cs="Times New Roman"/>
          <w:spacing w:val="5"/>
          <w:sz w:val="20"/>
          <w:szCs w:val="20"/>
        </w:rPr>
        <w:t>¥</w:t>
      </w:r>
      <w:r>
        <w:rPr>
          <w:rFonts w:ascii="Times New Roman" w:hAnsi="Times New Roman" w:eastAsia="Times New Roman" w:cs="Times New Roman"/>
          <w:spacing w:val="-50"/>
          <w:sz w:val="20"/>
          <w:szCs w:val="20"/>
        </w:rPr>
        <w:t xml:space="preserve"> </w:t>
      </w:r>
      <w:r>
        <w:rPr>
          <w:rFonts w:ascii="Times New Roman" w:hAnsi="Times New Roman" w:eastAsia="Times New Roman" w:cs="Times New Roman"/>
          <w:spacing w:val="5"/>
          <w:sz w:val="20"/>
          <w:szCs w:val="20"/>
          <w:u w:val="single" w:color="auto"/>
        </w:rPr>
        <w:t xml:space="preserve">   </w:t>
      </w:r>
      <w:r>
        <w:rPr>
          <w:rFonts w:ascii="Times New Roman" w:hAnsi="Times New Roman" w:eastAsia="Times New Roman" w:cs="Times New Roman"/>
          <w:spacing w:val="4"/>
          <w:sz w:val="20"/>
          <w:szCs w:val="20"/>
          <w:u w:val="single" w:color="auto"/>
        </w:rPr>
        <w:t xml:space="preserve">         </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w:t>
      </w:r>
    </w:p>
    <w:p w14:paraId="668D647F">
      <w:pPr>
        <w:spacing w:before="153" w:line="228" w:lineRule="auto"/>
        <w:ind w:left="430"/>
        <w:rPr>
          <w:rFonts w:ascii="宋体" w:hAnsi="宋体" w:eastAsia="宋体" w:cs="宋体"/>
          <w:sz w:val="20"/>
          <w:szCs w:val="20"/>
        </w:rPr>
      </w:pPr>
      <w:r>
        <w:rPr>
          <w:rFonts w:ascii="Times New Roman" w:hAnsi="Times New Roman" w:eastAsia="Times New Roman" w:cs="Times New Roman"/>
          <w:spacing w:val="3"/>
          <w:sz w:val="20"/>
          <w:szCs w:val="20"/>
        </w:rPr>
        <w:t>5</w:t>
      </w:r>
      <w:r>
        <w:rPr>
          <w:rFonts w:ascii="Times New Roman" w:hAnsi="Times New Roman" w:eastAsia="Times New Roman" w:cs="Times New Roman"/>
          <w:spacing w:val="-22"/>
          <w:sz w:val="20"/>
          <w:szCs w:val="20"/>
        </w:rPr>
        <w:t xml:space="preserve"> </w:t>
      </w:r>
      <w:r>
        <w:rPr>
          <w:rFonts w:ascii="宋体" w:hAnsi="宋体" w:eastAsia="宋体" w:cs="宋体"/>
          <w:spacing w:val="3"/>
          <w:sz w:val="20"/>
          <w:szCs w:val="20"/>
        </w:rPr>
        <w:t>．如我方中标：</w:t>
      </w:r>
    </w:p>
    <w:p w14:paraId="14435E1F">
      <w:pPr>
        <w:spacing w:before="153" w:line="227" w:lineRule="auto"/>
        <w:ind w:left="736"/>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）我方承诺在收到中标通知书后，在中标通知书规定的期限内与你方签订合同。</w:t>
      </w:r>
    </w:p>
    <w:p w14:paraId="490A9419">
      <w:pPr>
        <w:spacing w:before="155" w:line="227" w:lineRule="auto"/>
        <w:ind w:left="736"/>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）随同本投标函递交的投标函附录属于合同文件</w:t>
      </w:r>
      <w:r>
        <w:rPr>
          <w:rFonts w:ascii="宋体" w:hAnsi="宋体" w:eastAsia="宋体" w:cs="宋体"/>
          <w:spacing w:val="8"/>
          <w:sz w:val="20"/>
          <w:szCs w:val="20"/>
        </w:rPr>
        <w:t>的组成部分。</w:t>
      </w:r>
    </w:p>
    <w:p w14:paraId="5B35129F">
      <w:pPr>
        <w:spacing w:before="152" w:line="228" w:lineRule="auto"/>
        <w:ind w:left="736"/>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）我方承诺按照招标文件规定向你方递交履约保证金。</w:t>
      </w:r>
    </w:p>
    <w:p w14:paraId="6E917172">
      <w:pPr>
        <w:spacing w:before="154" w:line="228" w:lineRule="auto"/>
        <w:ind w:left="736"/>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）我方承诺在合同约定的期限内完成并移交全</w:t>
      </w:r>
      <w:r>
        <w:rPr>
          <w:rFonts w:ascii="宋体" w:hAnsi="宋体" w:eastAsia="宋体" w:cs="宋体"/>
          <w:spacing w:val="8"/>
          <w:sz w:val="20"/>
          <w:szCs w:val="20"/>
        </w:rPr>
        <w:t>部合同工程。</w:t>
      </w:r>
    </w:p>
    <w:p w14:paraId="2C35884A">
      <w:pPr>
        <w:spacing w:before="154" w:line="369" w:lineRule="auto"/>
        <w:ind w:left="48" w:right="73" w:firstLine="380"/>
        <w:rPr>
          <w:rFonts w:ascii="宋体" w:hAnsi="宋体" w:eastAsia="宋体" w:cs="宋体"/>
          <w:sz w:val="20"/>
          <w:szCs w:val="20"/>
        </w:rPr>
      </w:pPr>
      <w:r>
        <w:rPr>
          <w:rFonts w:ascii="Times New Roman" w:hAnsi="Times New Roman" w:eastAsia="Times New Roman" w:cs="Times New Roman"/>
          <w:spacing w:val="8"/>
          <w:sz w:val="20"/>
          <w:szCs w:val="20"/>
        </w:rPr>
        <w:t>6</w:t>
      </w:r>
      <w:r>
        <w:rPr>
          <w:rFonts w:ascii="Times New Roman" w:hAnsi="Times New Roman" w:eastAsia="Times New Roman" w:cs="Times New Roman"/>
          <w:spacing w:val="-9"/>
          <w:sz w:val="20"/>
          <w:szCs w:val="20"/>
        </w:rPr>
        <w:t xml:space="preserve"> </w:t>
      </w:r>
      <w:r>
        <w:rPr>
          <w:rFonts w:ascii="宋体" w:hAnsi="宋体" w:eastAsia="宋体" w:cs="宋体"/>
          <w:spacing w:val="8"/>
          <w:sz w:val="20"/>
          <w:szCs w:val="20"/>
        </w:rPr>
        <w:t>．我方在此声明，所递交的投标文件及有关资料内容完整、真实和准确，且不存在本招标项</w:t>
      </w:r>
      <w:r>
        <w:rPr>
          <w:rFonts w:ascii="宋体" w:hAnsi="宋体" w:eastAsia="宋体" w:cs="宋体"/>
          <w:spacing w:val="5"/>
          <w:sz w:val="20"/>
          <w:szCs w:val="20"/>
        </w:rPr>
        <w:t>目资格预审文件第二章“</w:t>
      </w:r>
      <w:r>
        <w:rPr>
          <w:rFonts w:ascii="宋体" w:hAnsi="宋体" w:eastAsia="宋体" w:cs="宋体"/>
          <w:spacing w:val="-63"/>
          <w:sz w:val="20"/>
          <w:szCs w:val="20"/>
        </w:rPr>
        <w:t xml:space="preserve"> </w:t>
      </w:r>
      <w:r>
        <w:rPr>
          <w:rFonts w:ascii="宋体" w:hAnsi="宋体" w:eastAsia="宋体" w:cs="宋体"/>
          <w:spacing w:val="5"/>
          <w:sz w:val="20"/>
          <w:szCs w:val="20"/>
        </w:rPr>
        <w:t>申请人须知</w:t>
      </w:r>
      <w:r>
        <w:rPr>
          <w:rFonts w:ascii="宋体" w:hAnsi="宋体" w:eastAsia="宋体" w:cs="宋体"/>
          <w:spacing w:val="-72"/>
          <w:sz w:val="20"/>
          <w:szCs w:val="20"/>
        </w:rPr>
        <w:t xml:space="preserve"> </w:t>
      </w:r>
      <w:r>
        <w:rPr>
          <w:rFonts w:ascii="宋体" w:hAnsi="宋体" w:eastAsia="宋体" w:cs="宋体"/>
          <w:spacing w:val="5"/>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1.4.</w:t>
      </w:r>
      <w:r>
        <w:rPr>
          <w:rFonts w:ascii="Times New Roman" w:hAnsi="Times New Roman" w:eastAsia="Times New Roman" w:cs="Times New Roman"/>
          <w:spacing w:val="4"/>
          <w:sz w:val="20"/>
          <w:szCs w:val="20"/>
        </w:rPr>
        <w:t xml:space="preserve">3 </w:t>
      </w:r>
      <w:r>
        <w:rPr>
          <w:rFonts w:ascii="宋体" w:hAnsi="宋体" w:eastAsia="宋体" w:cs="宋体"/>
          <w:spacing w:val="4"/>
          <w:sz w:val="20"/>
          <w:szCs w:val="20"/>
        </w:rPr>
        <w:t>项规定的任何一种情形。</w:t>
      </w:r>
    </w:p>
    <w:p w14:paraId="1D69DC63">
      <w:pPr>
        <w:spacing w:before="2" w:line="368" w:lineRule="auto"/>
        <w:ind w:left="11" w:firstLine="417"/>
        <w:rPr>
          <w:rFonts w:ascii="宋体" w:hAnsi="宋体" w:eastAsia="宋体" w:cs="宋体"/>
          <w:sz w:val="20"/>
          <w:szCs w:val="20"/>
        </w:rPr>
      </w:pPr>
      <w:r>
        <w:rPr>
          <w:rFonts w:ascii="Times New Roman" w:hAnsi="Times New Roman" w:eastAsia="Times New Roman" w:cs="Times New Roman"/>
          <w:spacing w:val="4"/>
          <w:sz w:val="20"/>
          <w:szCs w:val="20"/>
        </w:rPr>
        <w:t>7</w:t>
      </w:r>
      <w:r>
        <w:rPr>
          <w:rFonts w:ascii="宋体" w:hAnsi="宋体" w:eastAsia="宋体" w:cs="宋体"/>
          <w:spacing w:val="4"/>
          <w:sz w:val="20"/>
          <w:szCs w:val="20"/>
        </w:rPr>
        <w:t>．我方在此声明，在投标截止时间，我方的资格条件与资格预审时相比</w:t>
      </w:r>
      <w:r>
        <w:rPr>
          <w:rFonts w:ascii="宋体" w:hAnsi="宋体" w:eastAsia="宋体" w:cs="宋体"/>
          <w:spacing w:val="4"/>
          <w:sz w:val="20"/>
          <w:szCs w:val="20"/>
          <w:u w:val="single" w:color="auto"/>
        </w:rPr>
        <w:t xml:space="preserve"> 未发生 </w:t>
      </w:r>
      <w:r>
        <w:rPr>
          <w:rFonts w:ascii="Times New Roman" w:hAnsi="Times New Roman" w:eastAsia="Times New Roman" w:cs="Times New Roman"/>
          <w:spacing w:val="4"/>
          <w:sz w:val="20"/>
          <w:szCs w:val="20"/>
          <w:u w:val="single" w:color="auto"/>
        </w:rPr>
        <w:t xml:space="preserve">/  </w:t>
      </w:r>
      <w:r>
        <w:rPr>
          <w:rFonts w:ascii="宋体" w:hAnsi="宋体" w:eastAsia="宋体" w:cs="宋体"/>
          <w:spacing w:val="4"/>
          <w:sz w:val="20"/>
          <w:szCs w:val="20"/>
          <w:u w:val="single" w:color="auto"/>
        </w:rPr>
        <w:t xml:space="preserve">发生 </w:t>
      </w:r>
      <w:r>
        <w:rPr>
          <w:rFonts w:ascii="宋体" w:hAnsi="宋体" w:eastAsia="宋体" w:cs="宋体"/>
          <w:spacing w:val="4"/>
          <w:sz w:val="20"/>
          <w:szCs w:val="20"/>
        </w:rPr>
        <w:t>变化。</w:t>
      </w:r>
      <w:r>
        <w:rPr>
          <w:rFonts w:ascii="宋体" w:hAnsi="宋体" w:eastAsia="宋体" w:cs="宋体"/>
          <w:spacing w:val="8"/>
          <w:sz w:val="20"/>
          <w:szCs w:val="20"/>
          <w:u w:val="single" w:color="auto"/>
        </w:rPr>
        <w:t>更新和补充的资料包括       等内容，并已附在投标文件中</w:t>
      </w:r>
      <w:r>
        <w:rPr>
          <w:rFonts w:ascii="宋体" w:hAnsi="宋体" w:eastAsia="宋体" w:cs="宋体"/>
          <w:spacing w:val="8"/>
          <w:sz w:val="20"/>
          <w:szCs w:val="20"/>
        </w:rPr>
        <w:t>。</w:t>
      </w:r>
    </w:p>
    <w:p w14:paraId="296159D2">
      <w:pPr>
        <w:spacing w:line="227" w:lineRule="auto"/>
        <w:ind w:left="433"/>
        <w:rPr>
          <w:rFonts w:ascii="宋体" w:hAnsi="宋体" w:eastAsia="宋体" w:cs="宋体"/>
          <w:sz w:val="20"/>
          <w:szCs w:val="20"/>
        </w:rPr>
      </w:pPr>
      <w:r>
        <w:rPr>
          <w:rFonts w:ascii="Times New Roman" w:hAnsi="Times New Roman" w:eastAsia="Times New Roman" w:cs="Times New Roman"/>
          <w:spacing w:val="1"/>
          <w:sz w:val="20"/>
          <w:szCs w:val="20"/>
        </w:rPr>
        <w:t>8</w:t>
      </w:r>
      <w:r>
        <w:rPr>
          <w:rFonts w:ascii="Times New Roman" w:hAnsi="Times New Roman" w:eastAsia="Times New Roman" w:cs="Times New Roman"/>
          <w:spacing w:val="-21"/>
          <w:sz w:val="20"/>
          <w:szCs w:val="20"/>
        </w:rPr>
        <w:t xml:space="preserve"> </w:t>
      </w:r>
      <w:r>
        <w:rPr>
          <w:rFonts w:ascii="宋体" w:hAnsi="宋体" w:eastAsia="宋体" w:cs="宋体"/>
          <w:spacing w:val="-17"/>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7"/>
          <w:sz w:val="20"/>
          <w:szCs w:val="20"/>
        </w:rPr>
        <w:t>（</w:t>
      </w:r>
      <w:r>
        <w:rPr>
          <w:rFonts w:ascii="宋体" w:hAnsi="宋体" w:eastAsia="宋体" w:cs="宋体"/>
          <w:spacing w:val="1"/>
          <w:sz w:val="20"/>
          <w:szCs w:val="20"/>
        </w:rPr>
        <w:t>其他补充说明）。</w:t>
      </w:r>
    </w:p>
    <w:p w14:paraId="2E1E0CFE">
      <w:pPr>
        <w:spacing w:before="155" w:line="227" w:lineRule="auto"/>
        <w:ind w:left="3685"/>
        <w:rPr>
          <w:rFonts w:ascii="宋体" w:hAnsi="宋体" w:eastAsia="宋体" w:cs="宋体"/>
          <w:sz w:val="20"/>
          <w:szCs w:val="20"/>
        </w:rPr>
      </w:pPr>
      <w:r>
        <w:rPr>
          <w:rFonts w:ascii="宋体" w:hAnsi="宋体" w:eastAsia="宋体" w:cs="宋体"/>
          <w:spacing w:val="12"/>
          <w:sz w:val="20"/>
          <w:szCs w:val="20"/>
        </w:rPr>
        <w:t>投 标</w:t>
      </w:r>
      <w:r>
        <w:rPr>
          <w:rFonts w:ascii="宋体" w:hAnsi="宋体" w:eastAsia="宋体" w:cs="宋体"/>
          <w:spacing w:val="16"/>
          <w:sz w:val="20"/>
          <w:szCs w:val="20"/>
        </w:rPr>
        <w:t xml:space="preserve"> </w:t>
      </w:r>
      <w:r>
        <w:rPr>
          <w:rFonts w:ascii="宋体" w:hAnsi="宋体" w:eastAsia="宋体" w:cs="宋体"/>
          <w:spacing w:val="12"/>
          <w:sz w:val="20"/>
          <w:szCs w:val="20"/>
        </w:rPr>
        <w:t>人</w:t>
      </w:r>
      <w:r>
        <w:rPr>
          <w:rFonts w:ascii="宋体" w:hAnsi="宋体" w:eastAsia="宋体" w:cs="宋体"/>
          <w:spacing w:val="-18"/>
          <w:sz w:val="20"/>
          <w:szCs w:val="20"/>
        </w:rPr>
        <w:t>：</w:t>
      </w:r>
      <w:r>
        <w:rPr>
          <w:rFonts w:ascii="宋体" w:hAnsi="宋体" w:eastAsia="宋体" w:cs="宋体"/>
          <w:sz w:val="20"/>
          <w:szCs w:val="20"/>
          <w:u w:val="single" w:color="auto"/>
        </w:rPr>
        <w:t xml:space="preserve">                       </w:t>
      </w:r>
      <w:r>
        <w:rPr>
          <w:rFonts w:ascii="宋体" w:hAnsi="宋体" w:eastAsia="宋体" w:cs="宋体"/>
          <w:spacing w:val="-18"/>
          <w:sz w:val="20"/>
          <w:szCs w:val="20"/>
        </w:rPr>
        <w:t>（</w:t>
      </w:r>
      <w:r>
        <w:rPr>
          <w:rFonts w:ascii="宋体" w:hAnsi="宋体" w:eastAsia="宋体" w:cs="宋体"/>
          <w:spacing w:val="12"/>
          <w:sz w:val="20"/>
          <w:szCs w:val="20"/>
        </w:rPr>
        <w:t>盖单位章）</w:t>
      </w:r>
    </w:p>
    <w:p w14:paraId="77C31433">
      <w:pPr>
        <w:spacing w:before="154" w:line="228" w:lineRule="auto"/>
        <w:ind w:left="3683"/>
        <w:rPr>
          <w:rFonts w:ascii="宋体" w:hAnsi="宋体" w:eastAsia="宋体" w:cs="宋体"/>
          <w:sz w:val="20"/>
          <w:szCs w:val="20"/>
        </w:rPr>
      </w:pPr>
      <w:r>
        <w:rPr>
          <w:rFonts w:ascii="宋体" w:hAnsi="宋体" w:eastAsia="宋体" w:cs="宋体"/>
          <w:spacing w:val="11"/>
          <w:sz w:val="20"/>
          <w:szCs w:val="20"/>
        </w:rPr>
        <w:t>法定代表人</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签字）</w:t>
      </w:r>
    </w:p>
    <w:p w14:paraId="30379D49">
      <w:pPr>
        <w:spacing w:before="152" w:line="237" w:lineRule="auto"/>
        <w:ind w:left="3683"/>
        <w:rPr>
          <w:rFonts w:ascii="宋体" w:hAnsi="宋体" w:eastAsia="宋体" w:cs="宋体"/>
          <w:sz w:val="20"/>
          <w:szCs w:val="20"/>
        </w:rPr>
      </w:pPr>
      <w:r>
        <w:rPr>
          <w:rFonts w:ascii="宋体" w:hAnsi="宋体" w:eastAsia="宋体" w:cs="宋体"/>
          <w:spacing w:val="7"/>
          <w:sz w:val="20"/>
          <w:szCs w:val="20"/>
        </w:rPr>
        <w:t>地址：</w:t>
      </w:r>
      <w:r>
        <w:rPr>
          <w:rFonts w:ascii="宋体" w:hAnsi="宋体" w:eastAsia="宋体" w:cs="宋体"/>
          <w:sz w:val="20"/>
          <w:szCs w:val="20"/>
          <w:u w:val="single" w:color="auto"/>
        </w:rPr>
        <w:t xml:space="preserve">                                       </w:t>
      </w:r>
    </w:p>
    <w:p w14:paraId="0592FF14">
      <w:pPr>
        <w:spacing w:before="144" w:line="233" w:lineRule="auto"/>
        <w:ind w:left="3699"/>
        <w:rPr>
          <w:rFonts w:ascii="宋体" w:hAnsi="宋体" w:eastAsia="宋体" w:cs="宋体"/>
          <w:sz w:val="20"/>
          <w:szCs w:val="20"/>
        </w:rPr>
      </w:pPr>
      <w:r>
        <w:rPr>
          <w:rFonts w:ascii="宋体" w:hAnsi="宋体" w:eastAsia="宋体" w:cs="宋体"/>
          <w:spacing w:val="2"/>
          <w:sz w:val="20"/>
          <w:szCs w:val="20"/>
        </w:rPr>
        <w:t>网址：</w:t>
      </w:r>
      <w:r>
        <w:rPr>
          <w:rFonts w:ascii="宋体" w:hAnsi="宋体" w:eastAsia="宋体" w:cs="宋体"/>
          <w:sz w:val="20"/>
          <w:szCs w:val="20"/>
          <w:u w:val="single" w:color="auto"/>
        </w:rPr>
        <w:t xml:space="preserve">                                       </w:t>
      </w:r>
    </w:p>
    <w:p w14:paraId="5CB9E260">
      <w:pPr>
        <w:spacing w:before="148" w:line="230" w:lineRule="auto"/>
        <w:ind w:left="3707"/>
        <w:rPr>
          <w:rFonts w:ascii="宋体" w:hAnsi="宋体" w:eastAsia="宋体" w:cs="宋体"/>
          <w:sz w:val="20"/>
          <w:szCs w:val="20"/>
        </w:rPr>
      </w:pPr>
      <w:r>
        <w:rPr>
          <w:rFonts w:ascii="宋体" w:hAnsi="宋体" w:eastAsia="宋体" w:cs="宋体"/>
          <w:sz w:val="20"/>
          <w:szCs w:val="20"/>
        </w:rPr>
        <w:t>电话：</w:t>
      </w:r>
      <w:r>
        <w:rPr>
          <w:rFonts w:ascii="宋体" w:hAnsi="宋体" w:eastAsia="宋体" w:cs="宋体"/>
          <w:sz w:val="20"/>
          <w:szCs w:val="20"/>
          <w:u w:val="single" w:color="auto"/>
        </w:rPr>
        <w:t xml:space="preserve">                     </w:t>
      </w:r>
      <w:r>
        <w:rPr>
          <w:rFonts w:ascii="宋体" w:hAnsi="宋体" w:eastAsia="宋体" w:cs="宋体"/>
          <w:spacing w:val="-1"/>
          <w:sz w:val="20"/>
          <w:szCs w:val="20"/>
          <w:u w:val="single" w:color="auto"/>
        </w:rPr>
        <w:t xml:space="preserve">                  </w:t>
      </w:r>
    </w:p>
    <w:p w14:paraId="7DEAB8A5">
      <w:pPr>
        <w:spacing w:before="149" w:line="227" w:lineRule="auto"/>
        <w:ind w:left="3681"/>
        <w:rPr>
          <w:rFonts w:ascii="宋体" w:hAnsi="宋体" w:eastAsia="宋体" w:cs="宋体"/>
          <w:sz w:val="20"/>
          <w:szCs w:val="20"/>
        </w:rPr>
      </w:pPr>
      <w:r>
        <w:rPr>
          <w:rFonts w:ascii="宋体" w:hAnsi="宋体" w:eastAsia="宋体" w:cs="宋体"/>
          <w:spacing w:val="8"/>
          <w:sz w:val="20"/>
          <w:szCs w:val="20"/>
        </w:rPr>
        <w:t>传真：</w:t>
      </w:r>
      <w:r>
        <w:rPr>
          <w:rFonts w:ascii="宋体" w:hAnsi="宋体" w:eastAsia="宋体" w:cs="宋体"/>
          <w:sz w:val="20"/>
          <w:szCs w:val="20"/>
          <w:u w:val="single" w:color="auto"/>
        </w:rPr>
        <w:t xml:space="preserve">                                       </w:t>
      </w:r>
    </w:p>
    <w:p w14:paraId="724FCC31">
      <w:pPr>
        <w:spacing w:before="155" w:line="228" w:lineRule="auto"/>
        <w:ind w:left="3698"/>
        <w:rPr>
          <w:rFonts w:ascii="宋体" w:hAnsi="宋体" w:eastAsia="宋体" w:cs="宋体"/>
          <w:sz w:val="20"/>
          <w:szCs w:val="20"/>
        </w:rPr>
      </w:pPr>
      <w:r>
        <w:rPr>
          <w:rFonts w:ascii="宋体" w:hAnsi="宋体" w:eastAsia="宋体" w:cs="宋体"/>
          <w:spacing w:val="2"/>
          <w:sz w:val="20"/>
          <w:szCs w:val="20"/>
        </w:rPr>
        <w:t>邮政编码：</w:t>
      </w:r>
      <w:r>
        <w:rPr>
          <w:rFonts w:ascii="宋体" w:hAnsi="宋体" w:eastAsia="宋体" w:cs="宋体"/>
          <w:spacing w:val="2"/>
          <w:sz w:val="20"/>
          <w:szCs w:val="20"/>
          <w:u w:val="single" w:color="auto"/>
        </w:rPr>
        <w:t xml:space="preserve">                                  </w:t>
      </w:r>
    </w:p>
    <w:p w14:paraId="34B44507">
      <w:pPr>
        <w:tabs>
          <w:tab w:val="left" w:pos="5879"/>
        </w:tabs>
        <w:spacing w:before="154" w:line="228" w:lineRule="auto"/>
        <w:ind w:left="503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48"/>
          <w:sz w:val="20"/>
          <w:szCs w:val="20"/>
        </w:rPr>
        <w:t xml:space="preserve"> </w:t>
      </w:r>
      <w:r>
        <w:rPr>
          <w:rFonts w:ascii="宋体" w:hAnsi="宋体" w:eastAsia="宋体" w:cs="宋体"/>
          <w:spacing w:val="-2"/>
          <w:sz w:val="20"/>
          <w:szCs w:val="20"/>
        </w:rPr>
        <w:t>日</w:t>
      </w:r>
    </w:p>
    <w:p w14:paraId="44E471B3">
      <w:pPr>
        <w:spacing w:before="44" w:line="227" w:lineRule="auto"/>
        <w:ind w:left="11"/>
        <w:rPr>
          <w:rFonts w:ascii="宋体" w:hAnsi="宋体" w:eastAsia="宋体" w:cs="宋体"/>
          <w:sz w:val="20"/>
          <w:szCs w:val="20"/>
        </w:rPr>
      </w:pPr>
      <w:r>
        <w:rPr>
          <w:rFonts w:ascii="宋体" w:hAnsi="宋体" w:eastAsia="宋体" w:cs="宋体"/>
          <w:spacing w:val="9"/>
          <w:sz w:val="20"/>
          <w:szCs w:val="20"/>
        </w:rPr>
        <w:t>备注：项目经理如是注册类执业资格，证书名称填写 专业类别 级别 注册建</w:t>
      </w:r>
      <w:r>
        <w:rPr>
          <w:rFonts w:ascii="宋体" w:hAnsi="宋体" w:eastAsia="宋体" w:cs="宋体"/>
          <w:spacing w:val="8"/>
          <w:sz w:val="20"/>
          <w:szCs w:val="20"/>
        </w:rPr>
        <w:t>造师，其证书编号应</w:t>
      </w:r>
    </w:p>
    <w:p w14:paraId="768611E4">
      <w:pPr>
        <w:spacing w:before="25" w:line="225" w:lineRule="auto"/>
        <w:ind w:left="641"/>
        <w:outlineLvl w:val="2"/>
        <w:rPr>
          <w:rFonts w:ascii="宋体" w:hAnsi="宋体" w:eastAsia="宋体" w:cs="宋体"/>
          <w:sz w:val="20"/>
          <w:szCs w:val="20"/>
        </w:rPr>
      </w:pPr>
      <w:r>
        <w:rPr>
          <w:rFonts w:ascii="宋体" w:hAnsi="宋体" w:eastAsia="宋体" w:cs="宋体"/>
          <w:spacing w:val="9"/>
          <w:sz w:val="20"/>
          <w:szCs w:val="20"/>
        </w:rPr>
        <w:t>填写注册执业证书编号。如是职称证书，证书名称填写专业类别 级别</w:t>
      </w:r>
      <w:r>
        <w:rPr>
          <w:rFonts w:ascii="宋体" w:hAnsi="宋体" w:eastAsia="宋体" w:cs="宋体"/>
          <w:spacing w:val="8"/>
          <w:sz w:val="20"/>
          <w:szCs w:val="20"/>
        </w:rPr>
        <w:t xml:space="preserve"> 工程师,其证书编号</w:t>
      </w:r>
    </w:p>
    <w:p w14:paraId="58569EAB">
      <w:pPr>
        <w:spacing w:before="30" w:line="227" w:lineRule="auto"/>
        <w:ind w:left="639"/>
        <w:rPr>
          <w:rFonts w:ascii="宋体" w:hAnsi="宋体" w:eastAsia="宋体" w:cs="宋体"/>
          <w:sz w:val="20"/>
          <w:szCs w:val="20"/>
        </w:rPr>
      </w:pPr>
      <w:r>
        <w:rPr>
          <w:rFonts w:ascii="宋体" w:hAnsi="宋体" w:eastAsia="宋体" w:cs="宋体"/>
          <w:spacing w:val="8"/>
          <w:sz w:val="20"/>
          <w:szCs w:val="20"/>
        </w:rPr>
        <w:t>应填写职称证书编号。</w:t>
      </w:r>
    </w:p>
    <w:p w14:paraId="06456E3D">
      <w:pPr>
        <w:spacing w:line="227" w:lineRule="auto"/>
        <w:rPr>
          <w:rFonts w:ascii="宋体" w:hAnsi="宋体" w:eastAsia="宋体" w:cs="宋体"/>
          <w:sz w:val="20"/>
          <w:szCs w:val="20"/>
        </w:rPr>
        <w:sectPr>
          <w:footerReference r:id="rId511" w:type="default"/>
          <w:pgSz w:w="11907" w:h="16840"/>
          <w:pgMar w:top="400" w:right="1460" w:bottom="1247" w:left="1473" w:header="0" w:footer="1085" w:gutter="0"/>
          <w:cols w:space="720" w:num="1"/>
        </w:sectPr>
      </w:pPr>
    </w:p>
    <w:p w14:paraId="07FF9A9F">
      <w:pPr>
        <w:spacing w:line="256" w:lineRule="auto"/>
        <w:rPr>
          <w:rFonts w:ascii="Arial"/>
          <w:sz w:val="21"/>
        </w:rPr>
      </w:pPr>
    </w:p>
    <w:p w14:paraId="49AFC7F4">
      <w:pPr>
        <w:spacing w:line="256" w:lineRule="auto"/>
        <w:rPr>
          <w:rFonts w:ascii="Arial"/>
          <w:sz w:val="21"/>
        </w:rPr>
      </w:pPr>
    </w:p>
    <w:p w14:paraId="4EEDF53A">
      <w:pPr>
        <w:spacing w:line="256" w:lineRule="auto"/>
        <w:rPr>
          <w:rFonts w:ascii="Arial"/>
          <w:sz w:val="21"/>
        </w:rPr>
      </w:pPr>
    </w:p>
    <w:p w14:paraId="0CBCE01E">
      <w:pPr>
        <w:spacing w:line="256" w:lineRule="auto"/>
        <w:rPr>
          <w:rFonts w:ascii="Arial"/>
          <w:sz w:val="21"/>
        </w:rPr>
      </w:pPr>
    </w:p>
    <w:p w14:paraId="1ABD5E05">
      <w:pPr>
        <w:spacing w:line="257" w:lineRule="auto"/>
        <w:rPr>
          <w:rFonts w:ascii="Arial"/>
          <w:sz w:val="21"/>
        </w:rPr>
      </w:pPr>
    </w:p>
    <w:p w14:paraId="4BADE58B">
      <w:pPr>
        <w:pStyle w:val="2"/>
        <w:spacing w:before="91" w:line="222" w:lineRule="auto"/>
        <w:ind w:left="3365"/>
        <w:outlineLvl w:val="2"/>
        <w:rPr>
          <w:sz w:val="28"/>
          <w:szCs w:val="28"/>
        </w:rPr>
      </w:pPr>
      <w:bookmarkStart w:id="413" w:name="bookmark394"/>
      <w:bookmarkEnd w:id="413"/>
      <w:r>
        <w:rPr>
          <w:spacing w:val="-4"/>
          <w:sz w:val="28"/>
          <w:szCs w:val="28"/>
        </w:rPr>
        <w:t>（二）投标函附录</w:t>
      </w:r>
    </w:p>
    <w:p w14:paraId="2EEEEE15">
      <w:pPr>
        <w:spacing w:before="286" w:line="228" w:lineRule="auto"/>
        <w:ind w:left="15"/>
        <w:rPr>
          <w:rFonts w:ascii="宋体" w:hAnsi="宋体" w:eastAsia="宋体" w:cs="宋体"/>
          <w:sz w:val="20"/>
          <w:szCs w:val="20"/>
        </w:rPr>
      </w:pPr>
      <w:r>
        <w:rPr>
          <w:rFonts w:ascii="宋体" w:hAnsi="宋体" w:eastAsia="宋体" w:cs="宋体"/>
          <w:b/>
          <w:bCs/>
          <w:spacing w:val="12"/>
          <w:sz w:val="20"/>
          <w:szCs w:val="20"/>
        </w:rPr>
        <w:t>工程名称</w:t>
      </w:r>
      <w:r>
        <w:rPr>
          <w:rFonts w:ascii="宋体" w:hAnsi="宋体" w:eastAsia="宋体" w:cs="宋体"/>
          <w:b/>
          <w:bCs/>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2"/>
          <w:sz w:val="20"/>
          <w:szCs w:val="20"/>
        </w:rPr>
        <w:t>项目名称</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2"/>
          <w:sz w:val="20"/>
          <w:szCs w:val="20"/>
        </w:rPr>
        <w:t>标段名称）</w:t>
      </w:r>
    </w:p>
    <w:p w14:paraId="6D881300">
      <w:pPr>
        <w:spacing w:before="25"/>
      </w:pPr>
    </w:p>
    <w:tbl>
      <w:tblPr>
        <w:tblStyle w:val="5"/>
        <w:tblW w:w="93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2699"/>
        <w:gridCol w:w="1439"/>
        <w:gridCol w:w="3778"/>
        <w:gridCol w:w="724"/>
      </w:tblGrid>
      <w:tr w14:paraId="1BBF9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724" w:type="dxa"/>
            <w:vAlign w:val="top"/>
          </w:tcPr>
          <w:p w14:paraId="7B4E9BAF">
            <w:pPr>
              <w:pStyle w:val="6"/>
              <w:spacing w:before="184" w:line="229" w:lineRule="auto"/>
              <w:ind w:left="157"/>
            </w:pPr>
            <w:r>
              <w:rPr>
                <w:spacing w:val="5"/>
              </w:rPr>
              <w:t>序号</w:t>
            </w:r>
          </w:p>
        </w:tc>
        <w:tc>
          <w:tcPr>
            <w:tcW w:w="2699" w:type="dxa"/>
            <w:vAlign w:val="top"/>
          </w:tcPr>
          <w:p w14:paraId="3BF3271D">
            <w:pPr>
              <w:pStyle w:val="6"/>
              <w:spacing w:before="183" w:line="228" w:lineRule="auto"/>
              <w:ind w:left="936"/>
            </w:pPr>
            <w:r>
              <w:rPr>
                <w:spacing w:val="6"/>
              </w:rPr>
              <w:t>条款内容</w:t>
            </w:r>
          </w:p>
        </w:tc>
        <w:tc>
          <w:tcPr>
            <w:tcW w:w="1439" w:type="dxa"/>
            <w:vAlign w:val="top"/>
          </w:tcPr>
          <w:p w14:paraId="382DF7F4">
            <w:pPr>
              <w:pStyle w:val="6"/>
              <w:spacing w:before="183" w:line="228" w:lineRule="auto"/>
              <w:ind w:left="199"/>
            </w:pPr>
            <w:r>
              <w:rPr>
                <w:spacing w:val="7"/>
              </w:rPr>
              <w:t>合同条款号</w:t>
            </w:r>
          </w:p>
        </w:tc>
        <w:tc>
          <w:tcPr>
            <w:tcW w:w="3778" w:type="dxa"/>
            <w:vAlign w:val="top"/>
          </w:tcPr>
          <w:p w14:paraId="20BE5F9D">
            <w:pPr>
              <w:pStyle w:val="6"/>
              <w:spacing w:before="183" w:line="228" w:lineRule="auto"/>
              <w:ind w:left="1481"/>
            </w:pPr>
            <w:r>
              <w:rPr>
                <w:spacing w:val="6"/>
              </w:rPr>
              <w:t>约定内容</w:t>
            </w:r>
          </w:p>
        </w:tc>
        <w:tc>
          <w:tcPr>
            <w:tcW w:w="724" w:type="dxa"/>
            <w:vAlign w:val="top"/>
          </w:tcPr>
          <w:p w14:paraId="7F285099">
            <w:pPr>
              <w:pStyle w:val="6"/>
              <w:spacing w:before="184" w:line="229" w:lineRule="auto"/>
              <w:ind w:left="161"/>
            </w:pPr>
            <w:r>
              <w:rPr>
                <w:spacing w:val="3"/>
              </w:rPr>
              <w:t>备注</w:t>
            </w:r>
          </w:p>
        </w:tc>
      </w:tr>
      <w:tr w14:paraId="658586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40FC64E7">
            <w:pPr>
              <w:pStyle w:val="6"/>
              <w:spacing w:before="179" w:line="270" w:lineRule="exact"/>
              <w:ind w:left="330"/>
            </w:pPr>
            <w:r>
              <w:rPr>
                <w:position w:val="1"/>
              </w:rPr>
              <w:t>1</w:t>
            </w:r>
          </w:p>
        </w:tc>
        <w:tc>
          <w:tcPr>
            <w:tcW w:w="2699" w:type="dxa"/>
            <w:vAlign w:val="top"/>
          </w:tcPr>
          <w:p w14:paraId="4ED4D2FE">
            <w:pPr>
              <w:pStyle w:val="6"/>
              <w:spacing w:before="179" w:line="228" w:lineRule="auto"/>
              <w:ind w:left="114"/>
            </w:pPr>
            <w:r>
              <w:rPr>
                <w:spacing w:val="6"/>
              </w:rPr>
              <w:t>项目经理</w:t>
            </w:r>
          </w:p>
        </w:tc>
        <w:tc>
          <w:tcPr>
            <w:tcW w:w="1439" w:type="dxa"/>
            <w:vAlign w:val="top"/>
          </w:tcPr>
          <w:p w14:paraId="6B865D18">
            <w:pPr>
              <w:pStyle w:val="6"/>
              <w:spacing w:before="205" w:line="268" w:lineRule="exact"/>
              <w:ind w:left="128"/>
            </w:pPr>
            <w:r>
              <w:rPr>
                <w:spacing w:val="1"/>
                <w:position w:val="1"/>
              </w:rPr>
              <w:t>1.1.2.4</w:t>
            </w:r>
          </w:p>
        </w:tc>
        <w:tc>
          <w:tcPr>
            <w:tcW w:w="3778" w:type="dxa"/>
            <w:vAlign w:val="top"/>
          </w:tcPr>
          <w:p w14:paraId="6B80F0DB">
            <w:pPr>
              <w:pStyle w:val="6"/>
              <w:spacing w:before="178" w:line="228" w:lineRule="auto"/>
              <w:ind w:left="123"/>
            </w:pPr>
            <w:r>
              <w:rPr>
                <w:spacing w:val="5"/>
              </w:rPr>
              <w:t>（见投标函）</w:t>
            </w:r>
          </w:p>
        </w:tc>
        <w:tc>
          <w:tcPr>
            <w:tcW w:w="724" w:type="dxa"/>
            <w:vAlign w:val="top"/>
          </w:tcPr>
          <w:p w14:paraId="6CEA16B9">
            <w:pPr>
              <w:rPr>
                <w:rFonts w:ascii="Arial"/>
                <w:sz w:val="21"/>
              </w:rPr>
            </w:pPr>
          </w:p>
        </w:tc>
      </w:tr>
      <w:tr w14:paraId="786BA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3278002C">
            <w:pPr>
              <w:pStyle w:val="6"/>
              <w:spacing w:before="181" w:line="270" w:lineRule="exact"/>
              <w:ind w:left="317"/>
            </w:pPr>
            <w:r>
              <w:rPr>
                <w:position w:val="1"/>
              </w:rPr>
              <w:t>2</w:t>
            </w:r>
          </w:p>
        </w:tc>
        <w:tc>
          <w:tcPr>
            <w:tcW w:w="2699" w:type="dxa"/>
            <w:vAlign w:val="top"/>
          </w:tcPr>
          <w:p w14:paraId="76CE71F7">
            <w:pPr>
              <w:pStyle w:val="6"/>
              <w:spacing w:before="181" w:line="228" w:lineRule="auto"/>
              <w:ind w:left="114"/>
            </w:pPr>
            <w:r>
              <w:rPr>
                <w:spacing w:val="3"/>
              </w:rPr>
              <w:t>工期</w:t>
            </w:r>
          </w:p>
        </w:tc>
        <w:tc>
          <w:tcPr>
            <w:tcW w:w="1439" w:type="dxa"/>
            <w:vAlign w:val="top"/>
          </w:tcPr>
          <w:p w14:paraId="221B57ED">
            <w:pPr>
              <w:pStyle w:val="6"/>
              <w:spacing w:before="217" w:line="268" w:lineRule="exact"/>
              <w:ind w:left="128"/>
            </w:pPr>
            <w:r>
              <w:rPr>
                <w:spacing w:val="1"/>
                <w:position w:val="1"/>
              </w:rPr>
              <w:t>1.1.4.3</w:t>
            </w:r>
          </w:p>
        </w:tc>
        <w:tc>
          <w:tcPr>
            <w:tcW w:w="3778" w:type="dxa"/>
            <w:vAlign w:val="top"/>
          </w:tcPr>
          <w:p w14:paraId="7A815EEB">
            <w:pPr>
              <w:pStyle w:val="6"/>
              <w:spacing w:before="181" w:line="228" w:lineRule="auto"/>
              <w:ind w:left="123"/>
            </w:pPr>
            <w:r>
              <w:rPr>
                <w:spacing w:val="5"/>
              </w:rPr>
              <w:t>（见投标函）</w:t>
            </w:r>
          </w:p>
        </w:tc>
        <w:tc>
          <w:tcPr>
            <w:tcW w:w="724" w:type="dxa"/>
            <w:vAlign w:val="top"/>
          </w:tcPr>
          <w:p w14:paraId="13AD00E1">
            <w:pPr>
              <w:rPr>
                <w:rFonts w:ascii="Arial"/>
                <w:sz w:val="21"/>
              </w:rPr>
            </w:pPr>
          </w:p>
        </w:tc>
      </w:tr>
      <w:tr w14:paraId="1E05EA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703AC7B2">
            <w:pPr>
              <w:pStyle w:val="6"/>
              <w:spacing w:before="180" w:line="268" w:lineRule="exact"/>
              <w:ind w:left="318"/>
            </w:pPr>
            <w:r>
              <w:rPr>
                <w:position w:val="1"/>
              </w:rPr>
              <w:t>3</w:t>
            </w:r>
          </w:p>
        </w:tc>
        <w:tc>
          <w:tcPr>
            <w:tcW w:w="2699" w:type="dxa"/>
            <w:vAlign w:val="top"/>
          </w:tcPr>
          <w:p w14:paraId="33CD987B">
            <w:pPr>
              <w:pStyle w:val="6"/>
              <w:spacing w:before="180" w:line="228" w:lineRule="auto"/>
              <w:ind w:left="111"/>
            </w:pPr>
            <w:r>
              <w:rPr>
                <w:spacing w:val="8"/>
              </w:rPr>
              <w:t>缺陷责任期</w:t>
            </w:r>
          </w:p>
        </w:tc>
        <w:tc>
          <w:tcPr>
            <w:tcW w:w="1439" w:type="dxa"/>
            <w:vAlign w:val="top"/>
          </w:tcPr>
          <w:p w14:paraId="502B2BD7">
            <w:pPr>
              <w:pStyle w:val="6"/>
              <w:spacing w:before="180" w:line="268" w:lineRule="exact"/>
              <w:ind w:left="190"/>
            </w:pPr>
            <w:r>
              <w:rPr>
                <w:spacing w:val="1"/>
                <w:position w:val="1"/>
              </w:rPr>
              <w:t>1.1.4.5</w:t>
            </w:r>
          </w:p>
        </w:tc>
        <w:tc>
          <w:tcPr>
            <w:tcW w:w="3778" w:type="dxa"/>
            <w:vAlign w:val="top"/>
          </w:tcPr>
          <w:p w14:paraId="6F004A2B">
            <w:pPr>
              <w:rPr>
                <w:rFonts w:ascii="Arial"/>
                <w:sz w:val="21"/>
              </w:rPr>
            </w:pPr>
          </w:p>
        </w:tc>
        <w:tc>
          <w:tcPr>
            <w:tcW w:w="724" w:type="dxa"/>
            <w:vAlign w:val="top"/>
          </w:tcPr>
          <w:p w14:paraId="7A2F3ABC">
            <w:pPr>
              <w:rPr>
                <w:rFonts w:ascii="Arial"/>
                <w:sz w:val="21"/>
              </w:rPr>
            </w:pPr>
          </w:p>
        </w:tc>
      </w:tr>
      <w:tr w14:paraId="217A9F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00682968">
            <w:pPr>
              <w:pStyle w:val="6"/>
              <w:spacing w:before="179" w:line="270" w:lineRule="exact"/>
              <w:ind w:left="313"/>
            </w:pPr>
            <w:r>
              <w:rPr>
                <w:position w:val="1"/>
              </w:rPr>
              <w:t>4</w:t>
            </w:r>
          </w:p>
        </w:tc>
        <w:tc>
          <w:tcPr>
            <w:tcW w:w="2699" w:type="dxa"/>
            <w:vAlign w:val="top"/>
          </w:tcPr>
          <w:p w14:paraId="3919123D">
            <w:pPr>
              <w:pStyle w:val="6"/>
              <w:spacing w:before="179" w:line="228" w:lineRule="auto"/>
              <w:ind w:left="111"/>
            </w:pPr>
            <w:r>
              <w:rPr>
                <w:spacing w:val="8"/>
              </w:rPr>
              <w:t>承包人履约担保金额</w:t>
            </w:r>
          </w:p>
        </w:tc>
        <w:tc>
          <w:tcPr>
            <w:tcW w:w="1439" w:type="dxa"/>
            <w:vAlign w:val="top"/>
          </w:tcPr>
          <w:p w14:paraId="7183AC43">
            <w:pPr>
              <w:pStyle w:val="6"/>
              <w:spacing w:before="179" w:line="268" w:lineRule="exact"/>
              <w:ind w:left="174"/>
            </w:pPr>
            <w:r>
              <w:rPr>
                <w:spacing w:val="2"/>
                <w:position w:val="1"/>
              </w:rPr>
              <w:t>4.2</w:t>
            </w:r>
          </w:p>
        </w:tc>
        <w:tc>
          <w:tcPr>
            <w:tcW w:w="3778" w:type="dxa"/>
            <w:vAlign w:val="top"/>
          </w:tcPr>
          <w:p w14:paraId="61D88235">
            <w:pPr>
              <w:rPr>
                <w:rFonts w:ascii="Arial"/>
                <w:sz w:val="21"/>
              </w:rPr>
            </w:pPr>
          </w:p>
        </w:tc>
        <w:tc>
          <w:tcPr>
            <w:tcW w:w="724" w:type="dxa"/>
            <w:vAlign w:val="top"/>
          </w:tcPr>
          <w:p w14:paraId="79B4807C">
            <w:pPr>
              <w:rPr>
                <w:rFonts w:ascii="Arial"/>
                <w:sz w:val="21"/>
              </w:rPr>
            </w:pPr>
          </w:p>
        </w:tc>
      </w:tr>
      <w:tr w14:paraId="2164F9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0048FCED">
            <w:pPr>
              <w:pStyle w:val="6"/>
              <w:spacing w:before="181" w:line="269" w:lineRule="exact"/>
              <w:ind w:left="318"/>
            </w:pPr>
            <w:r>
              <w:rPr>
                <w:position w:val="1"/>
              </w:rPr>
              <w:t>5</w:t>
            </w:r>
          </w:p>
        </w:tc>
        <w:tc>
          <w:tcPr>
            <w:tcW w:w="2699" w:type="dxa"/>
            <w:vAlign w:val="top"/>
          </w:tcPr>
          <w:p w14:paraId="78C63ACE">
            <w:pPr>
              <w:pStyle w:val="6"/>
              <w:spacing w:before="182" w:line="228" w:lineRule="auto"/>
              <w:ind w:left="114"/>
            </w:pPr>
            <w:r>
              <w:rPr>
                <w:spacing w:val="3"/>
              </w:rPr>
              <w:t>分包</w:t>
            </w:r>
          </w:p>
        </w:tc>
        <w:tc>
          <w:tcPr>
            <w:tcW w:w="1439" w:type="dxa"/>
            <w:vAlign w:val="top"/>
          </w:tcPr>
          <w:p w14:paraId="742C0985">
            <w:pPr>
              <w:pStyle w:val="6"/>
              <w:spacing w:before="181" w:line="268" w:lineRule="exact"/>
              <w:ind w:left="174"/>
            </w:pPr>
            <w:r>
              <w:rPr>
                <w:spacing w:val="3"/>
                <w:position w:val="1"/>
              </w:rPr>
              <w:t>4.3.4</w:t>
            </w:r>
          </w:p>
        </w:tc>
        <w:tc>
          <w:tcPr>
            <w:tcW w:w="3778" w:type="dxa"/>
            <w:vAlign w:val="top"/>
          </w:tcPr>
          <w:p w14:paraId="05212ABF">
            <w:pPr>
              <w:pStyle w:val="6"/>
              <w:spacing w:before="181" w:line="227" w:lineRule="auto"/>
              <w:ind w:left="116"/>
            </w:pPr>
            <w:r>
              <w:rPr>
                <w:spacing w:val="8"/>
              </w:rPr>
              <w:t>见拟分包计划表</w:t>
            </w:r>
          </w:p>
        </w:tc>
        <w:tc>
          <w:tcPr>
            <w:tcW w:w="724" w:type="dxa"/>
            <w:vAlign w:val="top"/>
          </w:tcPr>
          <w:p w14:paraId="6398D085">
            <w:pPr>
              <w:rPr>
                <w:rFonts w:ascii="Arial"/>
                <w:sz w:val="21"/>
              </w:rPr>
            </w:pPr>
          </w:p>
        </w:tc>
      </w:tr>
      <w:tr w14:paraId="4A540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3F0829FA">
            <w:pPr>
              <w:pStyle w:val="6"/>
              <w:spacing w:before="181" w:line="269" w:lineRule="exact"/>
              <w:ind w:left="316"/>
            </w:pPr>
            <w:r>
              <w:rPr>
                <w:position w:val="1"/>
              </w:rPr>
              <w:t>6</w:t>
            </w:r>
          </w:p>
        </w:tc>
        <w:tc>
          <w:tcPr>
            <w:tcW w:w="2699" w:type="dxa"/>
            <w:vAlign w:val="top"/>
          </w:tcPr>
          <w:p w14:paraId="75977722">
            <w:pPr>
              <w:pStyle w:val="6"/>
              <w:spacing w:before="181" w:line="228" w:lineRule="auto"/>
              <w:ind w:left="109"/>
            </w:pPr>
            <w:r>
              <w:rPr>
                <w:spacing w:val="8"/>
              </w:rPr>
              <w:t>逾期竣工违约金</w:t>
            </w:r>
          </w:p>
        </w:tc>
        <w:tc>
          <w:tcPr>
            <w:tcW w:w="1439" w:type="dxa"/>
            <w:vAlign w:val="top"/>
          </w:tcPr>
          <w:p w14:paraId="01AEC12B">
            <w:pPr>
              <w:pStyle w:val="6"/>
              <w:spacing w:before="181" w:line="268" w:lineRule="exact"/>
              <w:ind w:left="190"/>
            </w:pPr>
            <w:r>
              <w:rPr>
                <w:spacing w:val="-1"/>
                <w:position w:val="1"/>
              </w:rPr>
              <w:t>11.5</w:t>
            </w:r>
          </w:p>
        </w:tc>
        <w:tc>
          <w:tcPr>
            <w:tcW w:w="3778" w:type="dxa"/>
            <w:vAlign w:val="top"/>
          </w:tcPr>
          <w:p w14:paraId="5A26E7CF">
            <w:pPr>
              <w:pStyle w:val="6"/>
              <w:tabs>
                <w:tab w:val="left" w:pos="1259"/>
              </w:tabs>
              <w:spacing w:before="182" w:line="228" w:lineRule="auto"/>
              <w:ind w:left="104"/>
            </w:pPr>
            <w:r>
              <w:rPr>
                <w:u w:val="single" w:color="auto"/>
              </w:rPr>
              <w:tab/>
            </w:r>
            <w:r>
              <w:rPr>
                <w:spacing w:val="-90"/>
              </w:rPr>
              <w:t xml:space="preserve"> </w:t>
            </w:r>
            <w:r>
              <w:rPr>
                <w:spacing w:val="5"/>
              </w:rPr>
              <w:t>元/天</w:t>
            </w:r>
          </w:p>
        </w:tc>
        <w:tc>
          <w:tcPr>
            <w:tcW w:w="724" w:type="dxa"/>
            <w:vAlign w:val="top"/>
          </w:tcPr>
          <w:p w14:paraId="3DC62825">
            <w:pPr>
              <w:rPr>
                <w:rFonts w:ascii="Arial"/>
                <w:sz w:val="21"/>
              </w:rPr>
            </w:pPr>
          </w:p>
        </w:tc>
      </w:tr>
      <w:tr w14:paraId="1E2C5B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104741E4">
            <w:pPr>
              <w:pStyle w:val="6"/>
              <w:spacing w:before="183" w:line="268" w:lineRule="exact"/>
              <w:ind w:left="319"/>
            </w:pPr>
            <w:r>
              <w:rPr>
                <w:position w:val="1"/>
              </w:rPr>
              <w:t>7</w:t>
            </w:r>
          </w:p>
        </w:tc>
        <w:tc>
          <w:tcPr>
            <w:tcW w:w="2699" w:type="dxa"/>
            <w:vAlign w:val="top"/>
          </w:tcPr>
          <w:p w14:paraId="64D6CFAE">
            <w:pPr>
              <w:pStyle w:val="6"/>
              <w:spacing w:before="182" w:line="228" w:lineRule="auto"/>
              <w:ind w:left="109"/>
            </w:pPr>
            <w:r>
              <w:rPr>
                <w:spacing w:val="9"/>
              </w:rPr>
              <w:t>逾期竣工违约金最高限额</w:t>
            </w:r>
          </w:p>
        </w:tc>
        <w:tc>
          <w:tcPr>
            <w:tcW w:w="1439" w:type="dxa"/>
            <w:vAlign w:val="top"/>
          </w:tcPr>
          <w:p w14:paraId="19DA9F34">
            <w:pPr>
              <w:pStyle w:val="6"/>
              <w:spacing w:before="183" w:line="267" w:lineRule="exact"/>
              <w:ind w:left="190"/>
            </w:pPr>
            <w:r>
              <w:rPr>
                <w:spacing w:val="-1"/>
                <w:position w:val="1"/>
              </w:rPr>
              <w:t>11.5</w:t>
            </w:r>
          </w:p>
        </w:tc>
        <w:tc>
          <w:tcPr>
            <w:tcW w:w="3778" w:type="dxa"/>
            <w:vAlign w:val="top"/>
          </w:tcPr>
          <w:p w14:paraId="40E7E6A3">
            <w:pPr>
              <w:rPr>
                <w:rFonts w:ascii="Arial"/>
                <w:sz w:val="21"/>
              </w:rPr>
            </w:pPr>
            <w:r>
              <w:pict>
                <v:shape id="_x0000_s1139" o:spid="_x0000_s1139" style="position:absolute;left:0pt;margin-left:5.4pt;margin-top:19.25pt;height:0.5pt;width:68.3pt;mso-position-horizontal-relative:page;mso-position-vertical-relative:page;z-index:251782144;mso-width-relative:page;mso-height-relative:page;" filled="f" stroked="t" coordsize="1366,10" path="m0,4l1365,4e">
                  <v:fill on="f" focussize="0,0"/>
                  <v:stroke weight="0.48pt" color="#000000" miterlimit="2" joinstyle="bevel"/>
                  <v:imagedata o:title=""/>
                  <o:lock v:ext="edit"/>
                </v:shape>
              </w:pict>
            </w:r>
          </w:p>
        </w:tc>
        <w:tc>
          <w:tcPr>
            <w:tcW w:w="724" w:type="dxa"/>
            <w:vAlign w:val="top"/>
          </w:tcPr>
          <w:p w14:paraId="797D19A4">
            <w:pPr>
              <w:rPr>
                <w:rFonts w:ascii="Arial"/>
                <w:sz w:val="21"/>
              </w:rPr>
            </w:pPr>
          </w:p>
        </w:tc>
      </w:tr>
      <w:tr w14:paraId="0BFDB1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36A88A36">
            <w:pPr>
              <w:pStyle w:val="6"/>
              <w:spacing w:before="182" w:line="268" w:lineRule="exact"/>
              <w:ind w:left="315"/>
            </w:pPr>
            <w:r>
              <w:rPr>
                <w:position w:val="1"/>
              </w:rPr>
              <w:t>8</w:t>
            </w:r>
          </w:p>
        </w:tc>
        <w:tc>
          <w:tcPr>
            <w:tcW w:w="2699" w:type="dxa"/>
            <w:vAlign w:val="top"/>
          </w:tcPr>
          <w:p w14:paraId="07DE9C8A">
            <w:pPr>
              <w:pStyle w:val="6"/>
              <w:spacing w:before="182" w:line="228" w:lineRule="auto"/>
              <w:ind w:left="112"/>
            </w:pPr>
            <w:r>
              <w:rPr>
                <w:spacing w:val="7"/>
              </w:rPr>
              <w:t>质量标准</w:t>
            </w:r>
          </w:p>
        </w:tc>
        <w:tc>
          <w:tcPr>
            <w:tcW w:w="1439" w:type="dxa"/>
            <w:vAlign w:val="top"/>
          </w:tcPr>
          <w:p w14:paraId="1D728B42">
            <w:pPr>
              <w:pStyle w:val="6"/>
              <w:spacing w:before="182" w:line="267" w:lineRule="exact"/>
              <w:ind w:left="190"/>
            </w:pPr>
            <w:r>
              <w:rPr>
                <w:spacing w:val="-1"/>
                <w:position w:val="1"/>
              </w:rPr>
              <w:t>13.1</w:t>
            </w:r>
          </w:p>
        </w:tc>
        <w:tc>
          <w:tcPr>
            <w:tcW w:w="3778" w:type="dxa"/>
            <w:vAlign w:val="top"/>
          </w:tcPr>
          <w:p w14:paraId="18620A34">
            <w:pPr>
              <w:rPr>
                <w:rFonts w:ascii="Arial"/>
                <w:sz w:val="21"/>
              </w:rPr>
            </w:pPr>
          </w:p>
        </w:tc>
        <w:tc>
          <w:tcPr>
            <w:tcW w:w="724" w:type="dxa"/>
            <w:vAlign w:val="top"/>
          </w:tcPr>
          <w:p w14:paraId="304EAE71">
            <w:pPr>
              <w:rPr>
                <w:rFonts w:ascii="Arial"/>
                <w:sz w:val="21"/>
              </w:rPr>
            </w:pPr>
          </w:p>
        </w:tc>
      </w:tr>
      <w:tr w14:paraId="5B93F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432B6733">
            <w:pPr>
              <w:pStyle w:val="6"/>
              <w:spacing w:before="181" w:line="268" w:lineRule="exact"/>
              <w:ind w:left="315"/>
            </w:pPr>
            <w:r>
              <w:rPr>
                <w:position w:val="1"/>
              </w:rPr>
              <w:t>9</w:t>
            </w:r>
          </w:p>
        </w:tc>
        <w:tc>
          <w:tcPr>
            <w:tcW w:w="2699" w:type="dxa"/>
            <w:vAlign w:val="top"/>
          </w:tcPr>
          <w:p w14:paraId="0F7B792E">
            <w:pPr>
              <w:pStyle w:val="6"/>
              <w:spacing w:before="181" w:line="226" w:lineRule="auto"/>
              <w:ind w:left="112"/>
            </w:pPr>
            <w:r>
              <w:rPr>
                <w:spacing w:val="8"/>
              </w:rPr>
              <w:t>价格调整的差额计算</w:t>
            </w:r>
          </w:p>
        </w:tc>
        <w:tc>
          <w:tcPr>
            <w:tcW w:w="1439" w:type="dxa"/>
            <w:vAlign w:val="top"/>
          </w:tcPr>
          <w:p w14:paraId="5621DB5B">
            <w:pPr>
              <w:pStyle w:val="6"/>
              <w:spacing w:before="181" w:line="267" w:lineRule="exact"/>
              <w:ind w:left="190"/>
            </w:pPr>
            <w:r>
              <w:rPr>
                <w:spacing w:val="1"/>
                <w:position w:val="1"/>
              </w:rPr>
              <w:t>16.1.1</w:t>
            </w:r>
          </w:p>
        </w:tc>
        <w:tc>
          <w:tcPr>
            <w:tcW w:w="3778" w:type="dxa"/>
            <w:vAlign w:val="top"/>
          </w:tcPr>
          <w:p w14:paraId="6D4CFC21">
            <w:pPr>
              <w:pStyle w:val="6"/>
              <w:spacing w:before="181" w:line="226" w:lineRule="auto"/>
              <w:ind w:left="116"/>
            </w:pPr>
            <w:r>
              <w:rPr>
                <w:spacing w:val="8"/>
              </w:rPr>
              <w:t>见价格指数权重表</w:t>
            </w:r>
          </w:p>
        </w:tc>
        <w:tc>
          <w:tcPr>
            <w:tcW w:w="724" w:type="dxa"/>
            <w:vAlign w:val="top"/>
          </w:tcPr>
          <w:p w14:paraId="34A4D48E">
            <w:pPr>
              <w:rPr>
                <w:rFonts w:ascii="Arial"/>
                <w:sz w:val="21"/>
              </w:rPr>
            </w:pPr>
          </w:p>
        </w:tc>
      </w:tr>
      <w:tr w14:paraId="38BB2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76D5168B">
            <w:pPr>
              <w:pStyle w:val="6"/>
              <w:spacing w:before="182" w:line="269" w:lineRule="exact"/>
              <w:ind w:left="277"/>
            </w:pPr>
            <w:r>
              <w:rPr>
                <w:spacing w:val="-7"/>
                <w:position w:val="1"/>
              </w:rPr>
              <w:t>10</w:t>
            </w:r>
          </w:p>
        </w:tc>
        <w:tc>
          <w:tcPr>
            <w:tcW w:w="2699" w:type="dxa"/>
            <w:vAlign w:val="top"/>
          </w:tcPr>
          <w:p w14:paraId="38F52F72">
            <w:pPr>
              <w:pStyle w:val="6"/>
              <w:spacing w:before="182" w:line="228" w:lineRule="auto"/>
              <w:ind w:left="113"/>
            </w:pPr>
            <w:r>
              <w:rPr>
                <w:spacing w:val="7"/>
              </w:rPr>
              <w:t>预付款额度</w:t>
            </w:r>
          </w:p>
        </w:tc>
        <w:tc>
          <w:tcPr>
            <w:tcW w:w="1439" w:type="dxa"/>
            <w:vAlign w:val="top"/>
          </w:tcPr>
          <w:p w14:paraId="7EB8503E">
            <w:pPr>
              <w:pStyle w:val="6"/>
              <w:spacing w:before="182" w:line="268" w:lineRule="exact"/>
              <w:ind w:left="190"/>
            </w:pPr>
            <w:r>
              <w:rPr>
                <w:spacing w:val="1"/>
                <w:position w:val="1"/>
              </w:rPr>
              <w:t>17.2.1</w:t>
            </w:r>
          </w:p>
        </w:tc>
        <w:tc>
          <w:tcPr>
            <w:tcW w:w="3778" w:type="dxa"/>
            <w:vAlign w:val="top"/>
          </w:tcPr>
          <w:p w14:paraId="65B0A159">
            <w:pPr>
              <w:rPr>
                <w:rFonts w:ascii="Arial"/>
                <w:sz w:val="21"/>
              </w:rPr>
            </w:pPr>
          </w:p>
        </w:tc>
        <w:tc>
          <w:tcPr>
            <w:tcW w:w="724" w:type="dxa"/>
            <w:vAlign w:val="top"/>
          </w:tcPr>
          <w:p w14:paraId="0774C44E">
            <w:pPr>
              <w:rPr>
                <w:rFonts w:ascii="Arial"/>
                <w:sz w:val="21"/>
              </w:rPr>
            </w:pPr>
          </w:p>
        </w:tc>
      </w:tr>
      <w:tr w14:paraId="1A687C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19777266">
            <w:pPr>
              <w:pStyle w:val="6"/>
              <w:spacing w:before="182" w:line="270" w:lineRule="exact"/>
              <w:ind w:left="277"/>
            </w:pPr>
            <w:r>
              <w:rPr>
                <w:spacing w:val="-7"/>
                <w:position w:val="1"/>
              </w:rPr>
              <w:t>11</w:t>
            </w:r>
          </w:p>
        </w:tc>
        <w:tc>
          <w:tcPr>
            <w:tcW w:w="2699" w:type="dxa"/>
            <w:vAlign w:val="top"/>
          </w:tcPr>
          <w:p w14:paraId="6444123C">
            <w:pPr>
              <w:pStyle w:val="6"/>
              <w:spacing w:before="182" w:line="228" w:lineRule="auto"/>
              <w:ind w:left="113"/>
            </w:pPr>
            <w:r>
              <w:rPr>
                <w:spacing w:val="8"/>
              </w:rPr>
              <w:t>预付款保函金额</w:t>
            </w:r>
          </w:p>
        </w:tc>
        <w:tc>
          <w:tcPr>
            <w:tcW w:w="1439" w:type="dxa"/>
            <w:vAlign w:val="top"/>
          </w:tcPr>
          <w:p w14:paraId="3B1BA457">
            <w:pPr>
              <w:pStyle w:val="6"/>
              <w:spacing w:before="182" w:line="268" w:lineRule="exact"/>
              <w:ind w:left="190"/>
            </w:pPr>
            <w:r>
              <w:rPr>
                <w:spacing w:val="1"/>
                <w:position w:val="1"/>
              </w:rPr>
              <w:t>17.2.2</w:t>
            </w:r>
          </w:p>
        </w:tc>
        <w:tc>
          <w:tcPr>
            <w:tcW w:w="3778" w:type="dxa"/>
            <w:vAlign w:val="top"/>
          </w:tcPr>
          <w:p w14:paraId="1ABC9F17">
            <w:pPr>
              <w:rPr>
                <w:rFonts w:ascii="Arial"/>
                <w:sz w:val="21"/>
              </w:rPr>
            </w:pPr>
          </w:p>
        </w:tc>
        <w:tc>
          <w:tcPr>
            <w:tcW w:w="724" w:type="dxa"/>
            <w:vAlign w:val="top"/>
          </w:tcPr>
          <w:p w14:paraId="77A296D1">
            <w:pPr>
              <w:rPr>
                <w:rFonts w:ascii="Arial"/>
                <w:sz w:val="21"/>
              </w:rPr>
            </w:pPr>
          </w:p>
        </w:tc>
      </w:tr>
      <w:tr w14:paraId="4C04AC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687830D6">
            <w:pPr>
              <w:pStyle w:val="6"/>
              <w:spacing w:before="184" w:line="270" w:lineRule="exact"/>
              <w:ind w:left="277"/>
            </w:pPr>
            <w:r>
              <w:rPr>
                <w:spacing w:val="-7"/>
                <w:position w:val="1"/>
              </w:rPr>
              <w:t>12</w:t>
            </w:r>
          </w:p>
        </w:tc>
        <w:tc>
          <w:tcPr>
            <w:tcW w:w="2699" w:type="dxa"/>
            <w:vAlign w:val="top"/>
          </w:tcPr>
          <w:p w14:paraId="74B659F5">
            <w:pPr>
              <w:pStyle w:val="6"/>
              <w:spacing w:before="184" w:line="228" w:lineRule="auto"/>
              <w:ind w:left="112"/>
            </w:pPr>
            <w:r>
              <w:rPr>
                <w:spacing w:val="8"/>
              </w:rPr>
              <w:t>质量保证金扣留百分比</w:t>
            </w:r>
          </w:p>
        </w:tc>
        <w:tc>
          <w:tcPr>
            <w:tcW w:w="1439" w:type="dxa"/>
            <w:vAlign w:val="top"/>
          </w:tcPr>
          <w:p w14:paraId="7525BC4B">
            <w:pPr>
              <w:pStyle w:val="6"/>
              <w:spacing w:before="184" w:line="267" w:lineRule="exact"/>
              <w:ind w:left="190"/>
            </w:pPr>
            <w:r>
              <w:rPr>
                <w:spacing w:val="1"/>
                <w:position w:val="1"/>
              </w:rPr>
              <w:t>17.4.1</w:t>
            </w:r>
          </w:p>
        </w:tc>
        <w:tc>
          <w:tcPr>
            <w:tcW w:w="3778" w:type="dxa"/>
            <w:vAlign w:val="top"/>
          </w:tcPr>
          <w:p w14:paraId="3BA1155B">
            <w:pPr>
              <w:rPr>
                <w:rFonts w:ascii="Arial"/>
                <w:sz w:val="21"/>
              </w:rPr>
            </w:pPr>
          </w:p>
        </w:tc>
        <w:tc>
          <w:tcPr>
            <w:tcW w:w="724" w:type="dxa"/>
            <w:vAlign w:val="top"/>
          </w:tcPr>
          <w:p w14:paraId="331A0C0A">
            <w:pPr>
              <w:rPr>
                <w:rFonts w:ascii="Arial"/>
                <w:sz w:val="21"/>
              </w:rPr>
            </w:pPr>
          </w:p>
        </w:tc>
      </w:tr>
      <w:tr w14:paraId="42365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403D6258">
            <w:pPr>
              <w:pStyle w:val="6"/>
              <w:spacing w:before="183" w:line="268" w:lineRule="exact"/>
              <w:ind w:left="277"/>
            </w:pPr>
            <w:r>
              <w:rPr>
                <w:spacing w:val="-7"/>
                <w:position w:val="1"/>
              </w:rPr>
              <w:t>13</w:t>
            </w:r>
          </w:p>
        </w:tc>
        <w:tc>
          <w:tcPr>
            <w:tcW w:w="2699" w:type="dxa"/>
            <w:vAlign w:val="top"/>
          </w:tcPr>
          <w:p w14:paraId="1B8E6938">
            <w:pPr>
              <w:pStyle w:val="6"/>
              <w:spacing w:before="182" w:line="228" w:lineRule="auto"/>
              <w:ind w:left="112"/>
            </w:pPr>
            <w:r>
              <w:rPr>
                <w:spacing w:val="8"/>
              </w:rPr>
              <w:t>质量保证金额度</w:t>
            </w:r>
          </w:p>
        </w:tc>
        <w:tc>
          <w:tcPr>
            <w:tcW w:w="1439" w:type="dxa"/>
            <w:vAlign w:val="top"/>
          </w:tcPr>
          <w:p w14:paraId="6591115B">
            <w:pPr>
              <w:pStyle w:val="6"/>
              <w:spacing w:before="183" w:line="267" w:lineRule="exact"/>
              <w:ind w:left="190"/>
            </w:pPr>
            <w:r>
              <w:rPr>
                <w:spacing w:val="1"/>
                <w:position w:val="1"/>
              </w:rPr>
              <w:t>17.4.1</w:t>
            </w:r>
          </w:p>
        </w:tc>
        <w:tc>
          <w:tcPr>
            <w:tcW w:w="3778" w:type="dxa"/>
            <w:vAlign w:val="top"/>
          </w:tcPr>
          <w:p w14:paraId="131E702C">
            <w:pPr>
              <w:rPr>
                <w:rFonts w:ascii="Arial"/>
                <w:sz w:val="21"/>
              </w:rPr>
            </w:pPr>
          </w:p>
        </w:tc>
        <w:tc>
          <w:tcPr>
            <w:tcW w:w="724" w:type="dxa"/>
            <w:vAlign w:val="top"/>
          </w:tcPr>
          <w:p w14:paraId="0A2FD2DB">
            <w:pPr>
              <w:rPr>
                <w:rFonts w:ascii="Arial"/>
                <w:sz w:val="21"/>
              </w:rPr>
            </w:pPr>
          </w:p>
        </w:tc>
      </w:tr>
      <w:tr w14:paraId="4E0716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4F8CDBDD">
            <w:pPr>
              <w:pStyle w:val="6"/>
              <w:spacing w:before="220" w:line="270" w:lineRule="exact"/>
              <w:ind w:left="277"/>
            </w:pPr>
            <w:r>
              <w:rPr>
                <w:spacing w:val="-7"/>
                <w:position w:val="1"/>
              </w:rPr>
              <w:t>14</w:t>
            </w:r>
          </w:p>
        </w:tc>
        <w:tc>
          <w:tcPr>
            <w:tcW w:w="2699" w:type="dxa"/>
            <w:vAlign w:val="top"/>
          </w:tcPr>
          <w:p w14:paraId="077165A1">
            <w:pPr>
              <w:pStyle w:val="6"/>
              <w:spacing w:before="220" w:line="228" w:lineRule="auto"/>
              <w:ind w:left="112"/>
            </w:pPr>
            <w:r>
              <w:rPr>
                <w:spacing w:val="8"/>
              </w:rPr>
              <w:t>技术标准和要求</w:t>
            </w:r>
          </w:p>
        </w:tc>
        <w:tc>
          <w:tcPr>
            <w:tcW w:w="1439" w:type="dxa"/>
            <w:vAlign w:val="top"/>
          </w:tcPr>
          <w:p w14:paraId="473AA228">
            <w:pPr>
              <w:rPr>
                <w:rFonts w:ascii="Arial"/>
                <w:sz w:val="21"/>
              </w:rPr>
            </w:pPr>
          </w:p>
        </w:tc>
        <w:tc>
          <w:tcPr>
            <w:tcW w:w="3778" w:type="dxa"/>
            <w:vAlign w:val="top"/>
          </w:tcPr>
          <w:p w14:paraId="18278F68">
            <w:pPr>
              <w:pStyle w:val="6"/>
              <w:spacing w:before="220" w:line="227" w:lineRule="auto"/>
              <w:ind w:left="115"/>
            </w:pPr>
            <w:r>
              <w:rPr>
                <w:spacing w:val="7"/>
              </w:rPr>
              <w:t>符合第七章“技术标准和要求</w:t>
            </w:r>
            <w:r>
              <w:rPr>
                <w:spacing w:val="-66"/>
              </w:rPr>
              <w:t xml:space="preserve"> </w:t>
            </w:r>
            <w:r>
              <w:rPr>
                <w:spacing w:val="7"/>
              </w:rPr>
              <w:t>”规定</w:t>
            </w:r>
          </w:p>
        </w:tc>
        <w:tc>
          <w:tcPr>
            <w:tcW w:w="724" w:type="dxa"/>
            <w:vAlign w:val="top"/>
          </w:tcPr>
          <w:p w14:paraId="2BE22E6C">
            <w:pPr>
              <w:rPr>
                <w:rFonts w:ascii="Arial"/>
                <w:sz w:val="21"/>
              </w:rPr>
            </w:pPr>
          </w:p>
        </w:tc>
      </w:tr>
      <w:tr w14:paraId="65498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9364" w:type="dxa"/>
            <w:gridSpan w:val="5"/>
            <w:vAlign w:val="top"/>
          </w:tcPr>
          <w:p w14:paraId="42CFD2BE">
            <w:pPr>
              <w:pStyle w:val="6"/>
              <w:spacing w:before="36" w:line="234" w:lineRule="auto"/>
              <w:ind w:left="116" w:right="39" w:firstLine="1"/>
            </w:pPr>
            <w:r>
              <w:rPr>
                <w:spacing w:val="5"/>
              </w:rPr>
              <w:t>备注：投标人在响应招标文件中规定的实质性</w:t>
            </w:r>
            <w:r>
              <w:rPr>
                <w:spacing w:val="4"/>
              </w:rPr>
              <w:t>要求和条件的基础上，可做出其他有利于招标人的承诺。</w:t>
            </w:r>
            <w:r>
              <w:rPr>
                <w:spacing w:val="8"/>
              </w:rPr>
              <w:t>此类承诺可在本表中予以补充填写。</w:t>
            </w:r>
          </w:p>
        </w:tc>
      </w:tr>
    </w:tbl>
    <w:p w14:paraId="272B1E3B">
      <w:pPr>
        <w:spacing w:line="272" w:lineRule="auto"/>
        <w:rPr>
          <w:rFonts w:ascii="Arial"/>
          <w:sz w:val="21"/>
        </w:rPr>
      </w:pPr>
    </w:p>
    <w:p w14:paraId="1576B30D">
      <w:pPr>
        <w:spacing w:line="272" w:lineRule="auto"/>
        <w:rPr>
          <w:rFonts w:ascii="Arial"/>
          <w:sz w:val="21"/>
        </w:rPr>
      </w:pPr>
    </w:p>
    <w:p w14:paraId="38C0C209">
      <w:pPr>
        <w:spacing w:before="65" w:line="227" w:lineRule="auto"/>
        <w:ind w:left="3689"/>
        <w:rPr>
          <w:rFonts w:ascii="宋体" w:hAnsi="宋体" w:eastAsia="宋体" w:cs="宋体"/>
          <w:sz w:val="20"/>
          <w:szCs w:val="20"/>
        </w:rPr>
      </w:pPr>
      <w:r>
        <w:rPr>
          <w:rFonts w:ascii="宋体" w:hAnsi="宋体" w:eastAsia="宋体" w:cs="宋体"/>
          <w:spacing w:val="12"/>
          <w:sz w:val="20"/>
          <w:szCs w:val="20"/>
        </w:rPr>
        <w:t>投 标</w:t>
      </w:r>
      <w:r>
        <w:rPr>
          <w:rFonts w:ascii="宋体" w:hAnsi="宋体" w:eastAsia="宋体" w:cs="宋体"/>
          <w:spacing w:val="16"/>
          <w:sz w:val="20"/>
          <w:szCs w:val="20"/>
        </w:rPr>
        <w:t xml:space="preserve"> </w:t>
      </w:r>
      <w:r>
        <w:rPr>
          <w:rFonts w:ascii="宋体" w:hAnsi="宋体" w:eastAsia="宋体" w:cs="宋体"/>
          <w:spacing w:val="12"/>
          <w:sz w:val="20"/>
          <w:szCs w:val="20"/>
        </w:rPr>
        <w:t>人</w:t>
      </w:r>
      <w:r>
        <w:rPr>
          <w:rFonts w:ascii="宋体" w:hAnsi="宋体" w:eastAsia="宋体" w:cs="宋体"/>
          <w:spacing w:val="-18"/>
          <w:sz w:val="20"/>
          <w:szCs w:val="20"/>
        </w:rPr>
        <w:t>：</w:t>
      </w:r>
      <w:r>
        <w:rPr>
          <w:rFonts w:ascii="宋体" w:hAnsi="宋体" w:eastAsia="宋体" w:cs="宋体"/>
          <w:sz w:val="20"/>
          <w:szCs w:val="20"/>
          <w:u w:val="single" w:color="auto"/>
        </w:rPr>
        <w:t xml:space="preserve">                       </w:t>
      </w:r>
      <w:r>
        <w:rPr>
          <w:rFonts w:ascii="宋体" w:hAnsi="宋体" w:eastAsia="宋体" w:cs="宋体"/>
          <w:spacing w:val="-18"/>
          <w:sz w:val="20"/>
          <w:szCs w:val="20"/>
        </w:rPr>
        <w:t>（</w:t>
      </w:r>
      <w:r>
        <w:rPr>
          <w:rFonts w:ascii="宋体" w:hAnsi="宋体" w:eastAsia="宋体" w:cs="宋体"/>
          <w:spacing w:val="12"/>
          <w:sz w:val="20"/>
          <w:szCs w:val="20"/>
        </w:rPr>
        <w:t>盖单位章）</w:t>
      </w:r>
    </w:p>
    <w:p w14:paraId="2F9E8407">
      <w:pPr>
        <w:tabs>
          <w:tab w:val="left" w:pos="5989"/>
        </w:tabs>
        <w:spacing w:before="193" w:line="407" w:lineRule="auto"/>
        <w:ind w:left="5043" w:right="1070" w:hanging="1356"/>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w:t>
      </w: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14"/>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14"/>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4"/>
          <w:sz w:val="20"/>
          <w:szCs w:val="20"/>
        </w:rPr>
        <w:t>日</w:t>
      </w:r>
    </w:p>
    <w:p w14:paraId="2BE33256">
      <w:pPr>
        <w:spacing w:line="281" w:lineRule="auto"/>
        <w:rPr>
          <w:rFonts w:ascii="Arial"/>
          <w:sz w:val="21"/>
        </w:rPr>
      </w:pPr>
    </w:p>
    <w:p w14:paraId="22C089AE">
      <w:pPr>
        <w:spacing w:line="281" w:lineRule="auto"/>
        <w:rPr>
          <w:rFonts w:ascii="Arial"/>
          <w:sz w:val="21"/>
        </w:rPr>
      </w:pPr>
    </w:p>
    <w:p w14:paraId="736583ED">
      <w:pPr>
        <w:spacing w:before="65" w:line="227" w:lineRule="auto"/>
        <w:ind w:left="15"/>
        <w:rPr>
          <w:rFonts w:ascii="宋体" w:hAnsi="宋体" w:eastAsia="宋体" w:cs="宋体"/>
          <w:sz w:val="20"/>
          <w:szCs w:val="20"/>
        </w:rPr>
      </w:pPr>
      <w:r>
        <w:rPr>
          <w:rFonts w:ascii="宋体" w:hAnsi="宋体" w:eastAsia="宋体" w:cs="宋体"/>
          <w:spacing w:val="9"/>
          <w:sz w:val="20"/>
          <w:szCs w:val="20"/>
        </w:rPr>
        <w:t>备注：本附录适用于</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2010 </w:t>
      </w:r>
      <w:r>
        <w:rPr>
          <w:rFonts w:ascii="宋体" w:hAnsi="宋体" w:eastAsia="宋体" w:cs="宋体"/>
          <w:spacing w:val="9"/>
          <w:sz w:val="20"/>
          <w:szCs w:val="20"/>
        </w:rPr>
        <w:t>年版《房屋建筑和市政工程标准</w:t>
      </w:r>
      <w:r>
        <w:rPr>
          <w:rFonts w:ascii="宋体" w:hAnsi="宋体" w:eastAsia="宋体" w:cs="宋体"/>
          <w:spacing w:val="8"/>
          <w:sz w:val="20"/>
          <w:szCs w:val="20"/>
        </w:rPr>
        <w:t>施工招标文件》中的合同条款。</w:t>
      </w:r>
    </w:p>
    <w:p w14:paraId="217F35E7">
      <w:pPr>
        <w:spacing w:line="227" w:lineRule="auto"/>
        <w:rPr>
          <w:rFonts w:ascii="宋体" w:hAnsi="宋体" w:eastAsia="宋体" w:cs="宋体"/>
          <w:sz w:val="20"/>
          <w:szCs w:val="20"/>
        </w:rPr>
        <w:sectPr>
          <w:footerReference r:id="rId512" w:type="default"/>
          <w:pgSz w:w="11907" w:h="16840"/>
          <w:pgMar w:top="400" w:right="1068" w:bottom="1247" w:left="1469" w:header="0" w:footer="1085" w:gutter="0"/>
          <w:cols w:space="720" w:num="1"/>
        </w:sectPr>
      </w:pPr>
    </w:p>
    <w:tbl>
      <w:tblPr>
        <w:tblStyle w:val="5"/>
        <w:tblW w:w="93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2398"/>
        <w:gridCol w:w="1313"/>
        <w:gridCol w:w="4205"/>
        <w:gridCol w:w="724"/>
      </w:tblGrid>
      <w:tr w14:paraId="1944C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724" w:type="dxa"/>
            <w:tcBorders>
              <w:top w:val="nil"/>
            </w:tcBorders>
            <w:vAlign w:val="top"/>
          </w:tcPr>
          <w:p w14:paraId="1D7326CC">
            <w:pPr>
              <w:pStyle w:val="6"/>
              <w:spacing w:before="188" w:line="229" w:lineRule="auto"/>
              <w:ind w:left="157"/>
            </w:pPr>
            <w:r>
              <w:rPr>
                <w:spacing w:val="5"/>
              </w:rPr>
              <w:t>序号</w:t>
            </w:r>
          </w:p>
        </w:tc>
        <w:tc>
          <w:tcPr>
            <w:tcW w:w="2398" w:type="dxa"/>
            <w:tcBorders>
              <w:top w:val="nil"/>
            </w:tcBorders>
            <w:vAlign w:val="top"/>
          </w:tcPr>
          <w:p w14:paraId="2014BDAC">
            <w:pPr>
              <w:pStyle w:val="6"/>
              <w:spacing w:before="189" w:line="227" w:lineRule="auto"/>
              <w:ind w:left="785"/>
            </w:pPr>
            <w:r>
              <w:rPr>
                <w:spacing w:val="6"/>
              </w:rPr>
              <w:t>条款内容</w:t>
            </w:r>
          </w:p>
        </w:tc>
        <w:tc>
          <w:tcPr>
            <w:tcW w:w="1313" w:type="dxa"/>
            <w:tcBorders>
              <w:top w:val="nil"/>
            </w:tcBorders>
            <w:vAlign w:val="top"/>
          </w:tcPr>
          <w:p w14:paraId="392EC0AF">
            <w:pPr>
              <w:pStyle w:val="6"/>
              <w:spacing w:before="189" w:line="227" w:lineRule="auto"/>
              <w:ind w:left="138"/>
            </w:pPr>
            <w:bookmarkStart w:id="414" w:name="bookmark395"/>
            <w:bookmarkEnd w:id="414"/>
            <w:r>
              <w:rPr>
                <w:spacing w:val="7"/>
              </w:rPr>
              <w:t>合同条款号</w:t>
            </w:r>
          </w:p>
        </w:tc>
        <w:tc>
          <w:tcPr>
            <w:tcW w:w="4205" w:type="dxa"/>
            <w:tcBorders>
              <w:top w:val="nil"/>
            </w:tcBorders>
            <w:vAlign w:val="top"/>
          </w:tcPr>
          <w:p w14:paraId="257752B8">
            <w:pPr>
              <w:pStyle w:val="6"/>
              <w:spacing w:before="189" w:line="227" w:lineRule="auto"/>
              <w:ind w:left="1692"/>
            </w:pPr>
            <w:r>
              <w:rPr>
                <w:spacing w:val="6"/>
              </w:rPr>
              <w:t>约定内容</w:t>
            </w:r>
          </w:p>
        </w:tc>
        <w:tc>
          <w:tcPr>
            <w:tcW w:w="724" w:type="dxa"/>
            <w:tcBorders>
              <w:top w:val="nil"/>
            </w:tcBorders>
            <w:vAlign w:val="top"/>
          </w:tcPr>
          <w:p w14:paraId="3488A63F">
            <w:pPr>
              <w:pStyle w:val="6"/>
              <w:spacing w:before="188" w:line="229" w:lineRule="auto"/>
              <w:ind w:left="161"/>
            </w:pPr>
            <w:r>
              <w:rPr>
                <w:spacing w:val="3"/>
              </w:rPr>
              <w:t>备注</w:t>
            </w:r>
          </w:p>
        </w:tc>
      </w:tr>
      <w:tr w14:paraId="5EB6AC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724" w:type="dxa"/>
            <w:vAlign w:val="top"/>
          </w:tcPr>
          <w:p w14:paraId="5536FE7A">
            <w:pPr>
              <w:pStyle w:val="6"/>
              <w:spacing w:before="125" w:line="270" w:lineRule="exact"/>
              <w:ind w:left="330"/>
            </w:pPr>
            <w:r>
              <w:rPr>
                <w:position w:val="1"/>
              </w:rPr>
              <w:t>1</w:t>
            </w:r>
          </w:p>
        </w:tc>
        <w:tc>
          <w:tcPr>
            <w:tcW w:w="2398" w:type="dxa"/>
            <w:vAlign w:val="top"/>
          </w:tcPr>
          <w:p w14:paraId="09D142EE">
            <w:pPr>
              <w:pStyle w:val="6"/>
              <w:spacing w:before="125" w:line="228" w:lineRule="auto"/>
              <w:ind w:left="114"/>
            </w:pPr>
            <w:r>
              <w:rPr>
                <w:spacing w:val="6"/>
              </w:rPr>
              <w:t>项目经理</w:t>
            </w:r>
          </w:p>
        </w:tc>
        <w:tc>
          <w:tcPr>
            <w:tcW w:w="1313" w:type="dxa"/>
            <w:vAlign w:val="top"/>
          </w:tcPr>
          <w:p w14:paraId="3D5752E6">
            <w:pPr>
              <w:pStyle w:val="6"/>
              <w:spacing w:before="149" w:line="267" w:lineRule="exact"/>
              <w:ind w:left="129"/>
            </w:pPr>
            <w:r>
              <w:rPr>
                <w:spacing w:val="1"/>
                <w:position w:val="1"/>
              </w:rPr>
              <w:t>1.1.2.8</w:t>
            </w:r>
          </w:p>
        </w:tc>
        <w:tc>
          <w:tcPr>
            <w:tcW w:w="4205" w:type="dxa"/>
            <w:vAlign w:val="top"/>
          </w:tcPr>
          <w:p w14:paraId="66AF2BCC">
            <w:pPr>
              <w:pStyle w:val="6"/>
              <w:spacing w:before="125" w:line="227" w:lineRule="auto"/>
              <w:ind w:left="123"/>
            </w:pPr>
            <w:r>
              <w:rPr>
                <w:spacing w:val="5"/>
              </w:rPr>
              <w:t>（见投标函）</w:t>
            </w:r>
          </w:p>
        </w:tc>
        <w:tc>
          <w:tcPr>
            <w:tcW w:w="724" w:type="dxa"/>
            <w:vAlign w:val="top"/>
          </w:tcPr>
          <w:p w14:paraId="4E62312A">
            <w:pPr>
              <w:rPr>
                <w:rFonts w:ascii="Arial"/>
                <w:sz w:val="21"/>
              </w:rPr>
            </w:pPr>
          </w:p>
        </w:tc>
      </w:tr>
      <w:tr w14:paraId="133933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24" w:type="dxa"/>
            <w:vAlign w:val="top"/>
          </w:tcPr>
          <w:p w14:paraId="25252BF9">
            <w:pPr>
              <w:pStyle w:val="6"/>
              <w:spacing w:before="107" w:line="270" w:lineRule="exact"/>
              <w:ind w:left="317"/>
            </w:pPr>
            <w:r>
              <w:rPr>
                <w:position w:val="1"/>
              </w:rPr>
              <w:t>2</w:t>
            </w:r>
          </w:p>
        </w:tc>
        <w:tc>
          <w:tcPr>
            <w:tcW w:w="2398" w:type="dxa"/>
            <w:vAlign w:val="top"/>
          </w:tcPr>
          <w:p w14:paraId="61642BC3">
            <w:pPr>
              <w:pStyle w:val="6"/>
              <w:spacing w:before="107" w:line="228" w:lineRule="auto"/>
              <w:ind w:left="114"/>
            </w:pPr>
            <w:r>
              <w:rPr>
                <w:spacing w:val="3"/>
              </w:rPr>
              <w:t>工期</w:t>
            </w:r>
          </w:p>
        </w:tc>
        <w:tc>
          <w:tcPr>
            <w:tcW w:w="1313" w:type="dxa"/>
            <w:vAlign w:val="top"/>
          </w:tcPr>
          <w:p w14:paraId="27C554D7">
            <w:pPr>
              <w:pStyle w:val="6"/>
              <w:spacing w:before="131" w:line="267" w:lineRule="exact"/>
              <w:ind w:left="129"/>
            </w:pPr>
            <w:r>
              <w:rPr>
                <w:spacing w:val="1"/>
                <w:position w:val="1"/>
              </w:rPr>
              <w:t>1.1.4.3</w:t>
            </w:r>
          </w:p>
        </w:tc>
        <w:tc>
          <w:tcPr>
            <w:tcW w:w="4205" w:type="dxa"/>
            <w:vAlign w:val="top"/>
          </w:tcPr>
          <w:p w14:paraId="3F5F501B">
            <w:pPr>
              <w:pStyle w:val="6"/>
              <w:spacing w:before="107" w:line="227" w:lineRule="auto"/>
              <w:ind w:left="123"/>
            </w:pPr>
            <w:r>
              <w:rPr>
                <w:spacing w:val="5"/>
              </w:rPr>
              <w:t>（见投标函）</w:t>
            </w:r>
          </w:p>
        </w:tc>
        <w:tc>
          <w:tcPr>
            <w:tcW w:w="724" w:type="dxa"/>
            <w:vAlign w:val="top"/>
          </w:tcPr>
          <w:p w14:paraId="7FC1D965">
            <w:pPr>
              <w:rPr>
                <w:rFonts w:ascii="Arial"/>
                <w:sz w:val="21"/>
              </w:rPr>
            </w:pPr>
          </w:p>
        </w:tc>
      </w:tr>
      <w:tr w14:paraId="689DFA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24" w:type="dxa"/>
            <w:vAlign w:val="top"/>
          </w:tcPr>
          <w:p w14:paraId="7461C01F">
            <w:pPr>
              <w:pStyle w:val="6"/>
              <w:spacing w:before="104" w:line="268" w:lineRule="exact"/>
              <w:ind w:left="318"/>
            </w:pPr>
            <w:r>
              <w:rPr>
                <w:position w:val="1"/>
              </w:rPr>
              <w:t>3</w:t>
            </w:r>
          </w:p>
        </w:tc>
        <w:tc>
          <w:tcPr>
            <w:tcW w:w="2398" w:type="dxa"/>
            <w:vAlign w:val="top"/>
          </w:tcPr>
          <w:p w14:paraId="2ED40251">
            <w:pPr>
              <w:pStyle w:val="6"/>
              <w:spacing w:before="104" w:line="227" w:lineRule="auto"/>
              <w:ind w:left="111"/>
            </w:pPr>
            <w:r>
              <w:rPr>
                <w:spacing w:val="8"/>
              </w:rPr>
              <w:t>缺陷责任期</w:t>
            </w:r>
          </w:p>
        </w:tc>
        <w:tc>
          <w:tcPr>
            <w:tcW w:w="1313" w:type="dxa"/>
            <w:vAlign w:val="top"/>
          </w:tcPr>
          <w:p w14:paraId="61EB1E8D">
            <w:pPr>
              <w:pStyle w:val="6"/>
              <w:spacing w:before="128" w:line="267" w:lineRule="exact"/>
              <w:ind w:left="191"/>
            </w:pPr>
            <w:r>
              <w:rPr>
                <w:spacing w:val="1"/>
                <w:position w:val="1"/>
              </w:rPr>
              <w:t>1.1.4.4</w:t>
            </w:r>
          </w:p>
        </w:tc>
        <w:tc>
          <w:tcPr>
            <w:tcW w:w="4205" w:type="dxa"/>
            <w:vAlign w:val="top"/>
          </w:tcPr>
          <w:p w14:paraId="446FD278">
            <w:pPr>
              <w:rPr>
                <w:rFonts w:ascii="Arial"/>
                <w:sz w:val="21"/>
              </w:rPr>
            </w:pPr>
          </w:p>
        </w:tc>
        <w:tc>
          <w:tcPr>
            <w:tcW w:w="724" w:type="dxa"/>
            <w:vAlign w:val="top"/>
          </w:tcPr>
          <w:p w14:paraId="037A8F71">
            <w:pPr>
              <w:rPr>
                <w:rFonts w:ascii="Arial"/>
                <w:sz w:val="21"/>
              </w:rPr>
            </w:pPr>
          </w:p>
        </w:tc>
      </w:tr>
      <w:tr w14:paraId="3E8238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6397AD17">
            <w:pPr>
              <w:pStyle w:val="6"/>
              <w:spacing w:before="179" w:line="269" w:lineRule="exact"/>
              <w:ind w:left="313"/>
            </w:pPr>
            <w:r>
              <w:rPr>
                <w:position w:val="1"/>
              </w:rPr>
              <w:t>4</w:t>
            </w:r>
          </w:p>
        </w:tc>
        <w:tc>
          <w:tcPr>
            <w:tcW w:w="2398" w:type="dxa"/>
            <w:vAlign w:val="top"/>
          </w:tcPr>
          <w:p w14:paraId="3A203629">
            <w:pPr>
              <w:pStyle w:val="6"/>
              <w:spacing w:before="45" w:line="238" w:lineRule="auto"/>
              <w:ind w:left="110" w:right="107" w:firstLine="4"/>
            </w:pPr>
            <w:r>
              <w:rPr>
                <w:spacing w:val="17"/>
              </w:rPr>
              <w:t>项目经理每月在施工现</w:t>
            </w:r>
            <w:r>
              <w:rPr>
                <w:spacing w:val="7"/>
              </w:rPr>
              <w:t>场的时间</w:t>
            </w:r>
          </w:p>
        </w:tc>
        <w:tc>
          <w:tcPr>
            <w:tcW w:w="1313" w:type="dxa"/>
            <w:vAlign w:val="top"/>
          </w:tcPr>
          <w:p w14:paraId="520925A7">
            <w:pPr>
              <w:pStyle w:val="6"/>
              <w:spacing w:before="205" w:line="267" w:lineRule="exact"/>
              <w:ind w:left="180"/>
            </w:pPr>
            <w:r>
              <w:rPr>
                <w:spacing w:val="2"/>
                <w:position w:val="1"/>
              </w:rPr>
              <w:t>3.2.1</w:t>
            </w:r>
          </w:p>
        </w:tc>
        <w:tc>
          <w:tcPr>
            <w:tcW w:w="4205" w:type="dxa"/>
            <w:vAlign w:val="top"/>
          </w:tcPr>
          <w:p w14:paraId="592AFDA3">
            <w:pPr>
              <w:rPr>
                <w:rFonts w:ascii="Arial"/>
                <w:sz w:val="21"/>
              </w:rPr>
            </w:pPr>
          </w:p>
        </w:tc>
        <w:tc>
          <w:tcPr>
            <w:tcW w:w="724" w:type="dxa"/>
            <w:vAlign w:val="top"/>
          </w:tcPr>
          <w:p w14:paraId="635A360A">
            <w:pPr>
              <w:rPr>
                <w:rFonts w:ascii="Arial"/>
                <w:sz w:val="21"/>
              </w:rPr>
            </w:pPr>
          </w:p>
        </w:tc>
      </w:tr>
      <w:tr w14:paraId="6A720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04B69609">
            <w:pPr>
              <w:pStyle w:val="6"/>
              <w:spacing w:before="180" w:line="269" w:lineRule="exact"/>
              <w:ind w:left="318"/>
            </w:pPr>
            <w:r>
              <w:rPr>
                <w:position w:val="1"/>
              </w:rPr>
              <w:t>5</w:t>
            </w:r>
          </w:p>
        </w:tc>
        <w:tc>
          <w:tcPr>
            <w:tcW w:w="2398" w:type="dxa"/>
            <w:vAlign w:val="top"/>
          </w:tcPr>
          <w:p w14:paraId="1F89E403">
            <w:pPr>
              <w:pStyle w:val="6"/>
              <w:spacing w:before="43" w:line="239" w:lineRule="auto"/>
              <w:ind w:left="113" w:right="107" w:firstLine="1"/>
            </w:pPr>
            <w:r>
              <w:rPr>
                <w:spacing w:val="17"/>
              </w:rPr>
              <w:t>项目经理擅自离开施工</w:t>
            </w:r>
            <w:r>
              <w:rPr>
                <w:spacing w:val="8"/>
              </w:rPr>
              <w:t>现场的违约责任</w:t>
            </w:r>
          </w:p>
        </w:tc>
        <w:tc>
          <w:tcPr>
            <w:tcW w:w="1313" w:type="dxa"/>
            <w:vAlign w:val="top"/>
          </w:tcPr>
          <w:p w14:paraId="7EC56548">
            <w:pPr>
              <w:pStyle w:val="6"/>
              <w:spacing w:before="204" w:line="268" w:lineRule="exact"/>
              <w:ind w:left="180"/>
            </w:pPr>
            <w:r>
              <w:rPr>
                <w:spacing w:val="2"/>
                <w:position w:val="1"/>
              </w:rPr>
              <w:t>3.2.1</w:t>
            </w:r>
          </w:p>
        </w:tc>
        <w:tc>
          <w:tcPr>
            <w:tcW w:w="4205" w:type="dxa"/>
            <w:vAlign w:val="top"/>
          </w:tcPr>
          <w:p w14:paraId="70F092E7">
            <w:pPr>
              <w:rPr>
                <w:rFonts w:ascii="Arial"/>
                <w:sz w:val="21"/>
              </w:rPr>
            </w:pPr>
          </w:p>
        </w:tc>
        <w:tc>
          <w:tcPr>
            <w:tcW w:w="724" w:type="dxa"/>
            <w:vAlign w:val="top"/>
          </w:tcPr>
          <w:p w14:paraId="75CC2E36">
            <w:pPr>
              <w:rPr>
                <w:rFonts w:ascii="Arial"/>
                <w:sz w:val="21"/>
              </w:rPr>
            </w:pPr>
          </w:p>
        </w:tc>
      </w:tr>
      <w:tr w14:paraId="12F689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4EF3ABB2">
            <w:pPr>
              <w:pStyle w:val="6"/>
              <w:spacing w:before="180" w:line="268" w:lineRule="exact"/>
              <w:ind w:left="316"/>
            </w:pPr>
            <w:r>
              <w:rPr>
                <w:position w:val="1"/>
              </w:rPr>
              <w:t>6</w:t>
            </w:r>
          </w:p>
        </w:tc>
        <w:tc>
          <w:tcPr>
            <w:tcW w:w="2398" w:type="dxa"/>
            <w:vAlign w:val="top"/>
          </w:tcPr>
          <w:p w14:paraId="503302D1">
            <w:pPr>
              <w:pStyle w:val="6"/>
              <w:spacing w:before="45" w:line="238" w:lineRule="auto"/>
              <w:ind w:left="116" w:right="107" w:hanging="4"/>
            </w:pPr>
            <w:r>
              <w:rPr>
                <w:spacing w:val="17"/>
              </w:rPr>
              <w:t>擅自更换项目经理的违</w:t>
            </w:r>
            <w:r>
              <w:rPr>
                <w:spacing w:val="5"/>
              </w:rPr>
              <w:t>约责任</w:t>
            </w:r>
          </w:p>
        </w:tc>
        <w:tc>
          <w:tcPr>
            <w:tcW w:w="1313" w:type="dxa"/>
            <w:vAlign w:val="top"/>
          </w:tcPr>
          <w:p w14:paraId="553DB523">
            <w:pPr>
              <w:pStyle w:val="6"/>
              <w:spacing w:before="206" w:line="268" w:lineRule="exact"/>
              <w:ind w:left="180"/>
            </w:pPr>
            <w:r>
              <w:rPr>
                <w:spacing w:val="2"/>
                <w:position w:val="1"/>
              </w:rPr>
              <w:t>3.2.3</w:t>
            </w:r>
          </w:p>
        </w:tc>
        <w:tc>
          <w:tcPr>
            <w:tcW w:w="4205" w:type="dxa"/>
            <w:vAlign w:val="top"/>
          </w:tcPr>
          <w:p w14:paraId="711DF0B4">
            <w:pPr>
              <w:rPr>
                <w:rFonts w:ascii="Arial"/>
                <w:sz w:val="21"/>
              </w:rPr>
            </w:pPr>
          </w:p>
        </w:tc>
        <w:tc>
          <w:tcPr>
            <w:tcW w:w="724" w:type="dxa"/>
            <w:vAlign w:val="top"/>
          </w:tcPr>
          <w:p w14:paraId="5D2F376B">
            <w:pPr>
              <w:rPr>
                <w:rFonts w:ascii="Arial"/>
                <w:sz w:val="21"/>
              </w:rPr>
            </w:pPr>
          </w:p>
        </w:tc>
      </w:tr>
      <w:tr w14:paraId="41A20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70BE4F5D">
            <w:pPr>
              <w:pStyle w:val="6"/>
              <w:spacing w:before="181" w:line="269" w:lineRule="exact"/>
              <w:ind w:left="319"/>
            </w:pPr>
            <w:r>
              <w:rPr>
                <w:position w:val="1"/>
              </w:rPr>
              <w:t>7</w:t>
            </w:r>
          </w:p>
        </w:tc>
        <w:tc>
          <w:tcPr>
            <w:tcW w:w="2398" w:type="dxa"/>
            <w:vAlign w:val="top"/>
          </w:tcPr>
          <w:p w14:paraId="1D924FD4">
            <w:pPr>
              <w:pStyle w:val="6"/>
              <w:spacing w:before="45" w:line="238" w:lineRule="auto"/>
              <w:ind w:left="151" w:right="107" w:hanging="38"/>
            </w:pPr>
            <w:r>
              <w:rPr>
                <w:spacing w:val="17"/>
              </w:rPr>
              <w:t>无正当理由拒绝更换项</w:t>
            </w:r>
            <w:r>
              <w:rPr>
                <w:spacing w:val="3"/>
              </w:rPr>
              <w:t>目经理的违约责任</w:t>
            </w:r>
          </w:p>
        </w:tc>
        <w:tc>
          <w:tcPr>
            <w:tcW w:w="1313" w:type="dxa"/>
            <w:vAlign w:val="top"/>
          </w:tcPr>
          <w:p w14:paraId="0D0D8CE5">
            <w:pPr>
              <w:pStyle w:val="6"/>
              <w:spacing w:before="205" w:line="268" w:lineRule="exact"/>
              <w:ind w:left="180"/>
            </w:pPr>
            <w:r>
              <w:rPr>
                <w:spacing w:val="2"/>
                <w:position w:val="1"/>
              </w:rPr>
              <w:t>3.2.4</w:t>
            </w:r>
          </w:p>
        </w:tc>
        <w:tc>
          <w:tcPr>
            <w:tcW w:w="4205" w:type="dxa"/>
            <w:vAlign w:val="top"/>
          </w:tcPr>
          <w:p w14:paraId="1A7E11A3">
            <w:pPr>
              <w:rPr>
                <w:rFonts w:ascii="Arial"/>
                <w:sz w:val="21"/>
              </w:rPr>
            </w:pPr>
          </w:p>
        </w:tc>
        <w:tc>
          <w:tcPr>
            <w:tcW w:w="724" w:type="dxa"/>
            <w:vAlign w:val="top"/>
          </w:tcPr>
          <w:p w14:paraId="4A569C90">
            <w:pPr>
              <w:rPr>
                <w:rFonts w:ascii="Arial"/>
                <w:sz w:val="21"/>
              </w:rPr>
            </w:pPr>
          </w:p>
        </w:tc>
      </w:tr>
      <w:tr w14:paraId="22BB1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724" w:type="dxa"/>
            <w:vAlign w:val="top"/>
          </w:tcPr>
          <w:p w14:paraId="62CDA39D">
            <w:pPr>
              <w:pStyle w:val="6"/>
              <w:spacing w:before="90" w:line="268" w:lineRule="exact"/>
              <w:ind w:left="315"/>
            </w:pPr>
            <w:r>
              <w:rPr>
                <w:position w:val="1"/>
              </w:rPr>
              <w:t>8</w:t>
            </w:r>
          </w:p>
        </w:tc>
        <w:tc>
          <w:tcPr>
            <w:tcW w:w="2398" w:type="dxa"/>
            <w:vAlign w:val="top"/>
          </w:tcPr>
          <w:p w14:paraId="1B3765FC">
            <w:pPr>
              <w:pStyle w:val="6"/>
              <w:spacing w:before="90" w:line="227" w:lineRule="auto"/>
              <w:ind w:left="111"/>
            </w:pPr>
            <w:r>
              <w:rPr>
                <w:spacing w:val="8"/>
              </w:rPr>
              <w:t>承包人履约担保金额</w:t>
            </w:r>
          </w:p>
        </w:tc>
        <w:tc>
          <w:tcPr>
            <w:tcW w:w="1313" w:type="dxa"/>
            <w:vAlign w:val="top"/>
          </w:tcPr>
          <w:p w14:paraId="1EFC676B">
            <w:pPr>
              <w:pStyle w:val="6"/>
              <w:spacing w:before="90" w:line="267" w:lineRule="exact"/>
              <w:ind w:left="180"/>
            </w:pPr>
            <w:r>
              <w:rPr>
                <w:spacing w:val="1"/>
                <w:position w:val="1"/>
              </w:rPr>
              <w:t>3.7</w:t>
            </w:r>
          </w:p>
        </w:tc>
        <w:tc>
          <w:tcPr>
            <w:tcW w:w="4205" w:type="dxa"/>
            <w:vAlign w:val="top"/>
          </w:tcPr>
          <w:p w14:paraId="7AD7A7B0">
            <w:pPr>
              <w:rPr>
                <w:rFonts w:ascii="Arial"/>
                <w:sz w:val="21"/>
              </w:rPr>
            </w:pPr>
          </w:p>
        </w:tc>
        <w:tc>
          <w:tcPr>
            <w:tcW w:w="724" w:type="dxa"/>
            <w:vAlign w:val="top"/>
          </w:tcPr>
          <w:p w14:paraId="01D27DA9">
            <w:pPr>
              <w:rPr>
                <w:rFonts w:ascii="Arial"/>
                <w:sz w:val="21"/>
              </w:rPr>
            </w:pPr>
          </w:p>
        </w:tc>
      </w:tr>
      <w:tr w14:paraId="029E86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724" w:type="dxa"/>
            <w:vAlign w:val="top"/>
          </w:tcPr>
          <w:p w14:paraId="1931FCA0">
            <w:pPr>
              <w:pStyle w:val="6"/>
              <w:spacing w:before="73" w:line="268" w:lineRule="exact"/>
              <w:ind w:left="315"/>
            </w:pPr>
            <w:r>
              <w:rPr>
                <w:position w:val="1"/>
              </w:rPr>
              <w:t>9</w:t>
            </w:r>
          </w:p>
        </w:tc>
        <w:tc>
          <w:tcPr>
            <w:tcW w:w="2398" w:type="dxa"/>
            <w:vAlign w:val="top"/>
          </w:tcPr>
          <w:p w14:paraId="584D1FD1">
            <w:pPr>
              <w:pStyle w:val="6"/>
              <w:spacing w:before="73" w:line="228" w:lineRule="auto"/>
              <w:ind w:left="114"/>
            </w:pPr>
            <w:r>
              <w:rPr>
                <w:spacing w:val="3"/>
              </w:rPr>
              <w:t>分包</w:t>
            </w:r>
          </w:p>
        </w:tc>
        <w:tc>
          <w:tcPr>
            <w:tcW w:w="1313" w:type="dxa"/>
            <w:vAlign w:val="top"/>
          </w:tcPr>
          <w:p w14:paraId="6A27EB56">
            <w:pPr>
              <w:pStyle w:val="6"/>
              <w:spacing w:before="73" w:line="268" w:lineRule="exact"/>
              <w:ind w:left="180"/>
            </w:pPr>
            <w:r>
              <w:rPr>
                <w:spacing w:val="2"/>
                <w:position w:val="1"/>
              </w:rPr>
              <w:t>3.5.2</w:t>
            </w:r>
          </w:p>
        </w:tc>
        <w:tc>
          <w:tcPr>
            <w:tcW w:w="4205" w:type="dxa"/>
            <w:vAlign w:val="top"/>
          </w:tcPr>
          <w:p w14:paraId="1E04CBBE">
            <w:pPr>
              <w:pStyle w:val="6"/>
              <w:spacing w:before="73" w:line="227" w:lineRule="auto"/>
              <w:ind w:left="116"/>
            </w:pPr>
            <w:r>
              <w:rPr>
                <w:spacing w:val="8"/>
              </w:rPr>
              <w:t>见拟分包计划表</w:t>
            </w:r>
          </w:p>
        </w:tc>
        <w:tc>
          <w:tcPr>
            <w:tcW w:w="724" w:type="dxa"/>
            <w:vAlign w:val="top"/>
          </w:tcPr>
          <w:p w14:paraId="77BCDA4D">
            <w:pPr>
              <w:rPr>
                <w:rFonts w:ascii="Arial"/>
                <w:sz w:val="21"/>
              </w:rPr>
            </w:pPr>
          </w:p>
        </w:tc>
      </w:tr>
      <w:tr w14:paraId="75AAE7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24" w:type="dxa"/>
            <w:vAlign w:val="top"/>
          </w:tcPr>
          <w:p w14:paraId="493401DA">
            <w:pPr>
              <w:pStyle w:val="6"/>
              <w:spacing w:before="110" w:line="268" w:lineRule="exact"/>
              <w:ind w:left="277"/>
            </w:pPr>
            <w:r>
              <w:rPr>
                <w:spacing w:val="-7"/>
                <w:position w:val="1"/>
              </w:rPr>
              <w:t>10</w:t>
            </w:r>
          </w:p>
        </w:tc>
        <w:tc>
          <w:tcPr>
            <w:tcW w:w="2398" w:type="dxa"/>
            <w:vAlign w:val="top"/>
          </w:tcPr>
          <w:p w14:paraId="14837F51">
            <w:pPr>
              <w:pStyle w:val="6"/>
              <w:spacing w:before="111" w:line="227" w:lineRule="auto"/>
              <w:ind w:left="109"/>
            </w:pPr>
            <w:r>
              <w:rPr>
                <w:spacing w:val="8"/>
              </w:rPr>
              <w:t>逾期竣工违约金</w:t>
            </w:r>
          </w:p>
        </w:tc>
        <w:tc>
          <w:tcPr>
            <w:tcW w:w="1313" w:type="dxa"/>
            <w:vAlign w:val="top"/>
          </w:tcPr>
          <w:p w14:paraId="43B6878A">
            <w:pPr>
              <w:pStyle w:val="6"/>
              <w:spacing w:before="110" w:line="268" w:lineRule="exact"/>
              <w:ind w:left="180"/>
            </w:pPr>
            <w:r>
              <w:rPr>
                <w:spacing w:val="2"/>
                <w:position w:val="1"/>
              </w:rPr>
              <w:t>7.5.2</w:t>
            </w:r>
          </w:p>
        </w:tc>
        <w:tc>
          <w:tcPr>
            <w:tcW w:w="4205" w:type="dxa"/>
            <w:vAlign w:val="top"/>
          </w:tcPr>
          <w:p w14:paraId="4DD61EFE">
            <w:pPr>
              <w:pStyle w:val="6"/>
              <w:tabs>
                <w:tab w:val="left" w:pos="1258"/>
              </w:tabs>
              <w:spacing w:before="110" w:line="228" w:lineRule="auto"/>
              <w:ind w:left="104"/>
            </w:pPr>
            <w:r>
              <w:rPr>
                <w:u w:val="single" w:color="auto"/>
              </w:rPr>
              <w:tab/>
            </w:r>
            <w:r>
              <w:rPr>
                <w:spacing w:val="-89"/>
              </w:rPr>
              <w:t xml:space="preserve"> </w:t>
            </w:r>
            <w:r>
              <w:rPr>
                <w:spacing w:val="5"/>
              </w:rPr>
              <w:t>元/天</w:t>
            </w:r>
          </w:p>
        </w:tc>
        <w:tc>
          <w:tcPr>
            <w:tcW w:w="724" w:type="dxa"/>
            <w:vAlign w:val="top"/>
          </w:tcPr>
          <w:p w14:paraId="6AA7B231">
            <w:pPr>
              <w:rPr>
                <w:rFonts w:ascii="Arial"/>
                <w:sz w:val="21"/>
              </w:rPr>
            </w:pPr>
          </w:p>
        </w:tc>
      </w:tr>
      <w:tr w14:paraId="02855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24" w:type="dxa"/>
            <w:vAlign w:val="top"/>
          </w:tcPr>
          <w:p w14:paraId="247B72B4">
            <w:pPr>
              <w:pStyle w:val="6"/>
              <w:spacing w:before="105" w:line="270" w:lineRule="exact"/>
              <w:ind w:left="277"/>
            </w:pPr>
            <w:r>
              <w:rPr>
                <w:spacing w:val="-7"/>
                <w:position w:val="1"/>
              </w:rPr>
              <w:t>11</w:t>
            </w:r>
          </w:p>
        </w:tc>
        <w:tc>
          <w:tcPr>
            <w:tcW w:w="2398" w:type="dxa"/>
            <w:vAlign w:val="top"/>
          </w:tcPr>
          <w:p w14:paraId="2DC38E8A">
            <w:pPr>
              <w:pStyle w:val="6"/>
              <w:spacing w:before="106" w:line="227" w:lineRule="auto"/>
              <w:ind w:left="109"/>
            </w:pPr>
            <w:r>
              <w:rPr>
                <w:spacing w:val="9"/>
              </w:rPr>
              <w:t>逾期竣工违约金的上限</w:t>
            </w:r>
          </w:p>
        </w:tc>
        <w:tc>
          <w:tcPr>
            <w:tcW w:w="1313" w:type="dxa"/>
            <w:vAlign w:val="top"/>
          </w:tcPr>
          <w:p w14:paraId="02ED03C2">
            <w:pPr>
              <w:pStyle w:val="6"/>
              <w:spacing w:before="105" w:line="268" w:lineRule="exact"/>
              <w:ind w:left="180"/>
            </w:pPr>
            <w:r>
              <w:rPr>
                <w:spacing w:val="2"/>
                <w:position w:val="1"/>
              </w:rPr>
              <w:t>7.5.2</w:t>
            </w:r>
          </w:p>
        </w:tc>
        <w:tc>
          <w:tcPr>
            <w:tcW w:w="4205" w:type="dxa"/>
            <w:vAlign w:val="top"/>
          </w:tcPr>
          <w:p w14:paraId="76C1A2F8">
            <w:pPr>
              <w:rPr>
                <w:rFonts w:ascii="Arial"/>
                <w:sz w:val="21"/>
              </w:rPr>
            </w:pPr>
            <w:r>
              <w:pict>
                <v:shape id="_x0000_s1140" o:spid="_x0000_s1140" style="position:absolute;left:0pt;margin-left:5.4pt;margin-top:15.5pt;height:0.5pt;width:68.3pt;mso-position-horizontal-relative:page;mso-position-vertical-relative:page;z-index:251783168;mso-width-relative:page;mso-height-relative:page;" filled="f" stroked="t" coordsize="1366,10" path="m0,4l1365,4e">
                  <v:fill on="f" focussize="0,0"/>
                  <v:stroke weight="0.48pt" color="#000000" miterlimit="2" joinstyle="bevel"/>
                  <v:imagedata o:title=""/>
                  <o:lock v:ext="edit"/>
                </v:shape>
              </w:pict>
            </w:r>
          </w:p>
        </w:tc>
        <w:tc>
          <w:tcPr>
            <w:tcW w:w="724" w:type="dxa"/>
            <w:vAlign w:val="top"/>
          </w:tcPr>
          <w:p w14:paraId="4E8F7EEC">
            <w:pPr>
              <w:rPr>
                <w:rFonts w:ascii="Arial"/>
                <w:sz w:val="21"/>
              </w:rPr>
            </w:pPr>
          </w:p>
        </w:tc>
      </w:tr>
      <w:tr w14:paraId="05ED38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6A294F04">
            <w:pPr>
              <w:pStyle w:val="6"/>
              <w:spacing w:before="182" w:line="270" w:lineRule="exact"/>
              <w:ind w:left="277"/>
            </w:pPr>
            <w:r>
              <w:rPr>
                <w:spacing w:val="-7"/>
                <w:position w:val="1"/>
              </w:rPr>
              <w:t>12</w:t>
            </w:r>
          </w:p>
        </w:tc>
        <w:tc>
          <w:tcPr>
            <w:tcW w:w="2398" w:type="dxa"/>
            <w:vAlign w:val="top"/>
          </w:tcPr>
          <w:p w14:paraId="371987E5">
            <w:pPr>
              <w:pStyle w:val="6"/>
              <w:spacing w:before="182" w:line="226" w:lineRule="auto"/>
              <w:ind w:left="112"/>
            </w:pPr>
            <w:r>
              <w:rPr>
                <w:spacing w:val="8"/>
              </w:rPr>
              <w:t>价格调整的差额计算</w:t>
            </w:r>
          </w:p>
        </w:tc>
        <w:tc>
          <w:tcPr>
            <w:tcW w:w="1313" w:type="dxa"/>
            <w:vAlign w:val="top"/>
          </w:tcPr>
          <w:p w14:paraId="59956C3B">
            <w:pPr>
              <w:pStyle w:val="6"/>
              <w:spacing w:before="182" w:line="267" w:lineRule="exact"/>
              <w:ind w:left="191"/>
            </w:pPr>
            <w:r>
              <w:rPr>
                <w:spacing w:val="-2"/>
                <w:position w:val="1"/>
              </w:rPr>
              <w:t>11.1</w:t>
            </w:r>
          </w:p>
        </w:tc>
        <w:tc>
          <w:tcPr>
            <w:tcW w:w="4205" w:type="dxa"/>
            <w:vAlign w:val="top"/>
          </w:tcPr>
          <w:p w14:paraId="590E98A2">
            <w:pPr>
              <w:pStyle w:val="6"/>
              <w:spacing w:before="45" w:line="238" w:lineRule="auto"/>
              <w:ind w:left="112" w:right="105"/>
            </w:pPr>
            <w:r>
              <w:rPr>
                <w:spacing w:val="9"/>
              </w:rPr>
              <w:t>采用价格指数进行价格调整时，见价格指数</w:t>
            </w:r>
            <w:r>
              <w:rPr>
                <w:spacing w:val="7"/>
              </w:rPr>
              <w:t>权重表</w:t>
            </w:r>
          </w:p>
        </w:tc>
        <w:tc>
          <w:tcPr>
            <w:tcW w:w="724" w:type="dxa"/>
            <w:vAlign w:val="top"/>
          </w:tcPr>
          <w:p w14:paraId="75DFB314">
            <w:pPr>
              <w:rPr>
                <w:rFonts w:ascii="Arial"/>
                <w:sz w:val="21"/>
              </w:rPr>
            </w:pPr>
          </w:p>
        </w:tc>
      </w:tr>
      <w:tr w14:paraId="047F7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724" w:type="dxa"/>
            <w:vAlign w:val="top"/>
          </w:tcPr>
          <w:p w14:paraId="40E97C6E">
            <w:pPr>
              <w:pStyle w:val="6"/>
              <w:spacing w:before="119" w:line="268" w:lineRule="exact"/>
              <w:ind w:left="277"/>
            </w:pPr>
            <w:r>
              <w:rPr>
                <w:spacing w:val="-7"/>
                <w:position w:val="1"/>
              </w:rPr>
              <w:t>13</w:t>
            </w:r>
          </w:p>
        </w:tc>
        <w:tc>
          <w:tcPr>
            <w:tcW w:w="2398" w:type="dxa"/>
            <w:vAlign w:val="top"/>
          </w:tcPr>
          <w:p w14:paraId="20063F8C">
            <w:pPr>
              <w:pStyle w:val="6"/>
              <w:spacing w:before="119" w:line="227" w:lineRule="auto"/>
              <w:ind w:left="113"/>
            </w:pPr>
            <w:r>
              <w:rPr>
                <w:spacing w:val="9"/>
              </w:rPr>
              <w:t>预付款支付比例或金额</w:t>
            </w:r>
          </w:p>
        </w:tc>
        <w:tc>
          <w:tcPr>
            <w:tcW w:w="1313" w:type="dxa"/>
            <w:vAlign w:val="top"/>
          </w:tcPr>
          <w:p w14:paraId="535DEEAA">
            <w:pPr>
              <w:pStyle w:val="6"/>
              <w:spacing w:before="119" w:line="267" w:lineRule="exact"/>
              <w:ind w:left="191"/>
            </w:pPr>
            <w:r>
              <w:rPr>
                <w:spacing w:val="1"/>
                <w:position w:val="1"/>
              </w:rPr>
              <w:t>12.2.1</w:t>
            </w:r>
          </w:p>
        </w:tc>
        <w:tc>
          <w:tcPr>
            <w:tcW w:w="4205" w:type="dxa"/>
            <w:vAlign w:val="top"/>
          </w:tcPr>
          <w:p w14:paraId="6D426EE2">
            <w:pPr>
              <w:rPr>
                <w:rFonts w:ascii="Arial"/>
                <w:sz w:val="21"/>
              </w:rPr>
            </w:pPr>
          </w:p>
        </w:tc>
        <w:tc>
          <w:tcPr>
            <w:tcW w:w="724" w:type="dxa"/>
            <w:vAlign w:val="top"/>
          </w:tcPr>
          <w:p w14:paraId="66A99DB1">
            <w:pPr>
              <w:rPr>
                <w:rFonts w:ascii="Arial"/>
                <w:sz w:val="21"/>
              </w:rPr>
            </w:pPr>
          </w:p>
        </w:tc>
      </w:tr>
      <w:tr w14:paraId="227083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724" w:type="dxa"/>
            <w:vAlign w:val="top"/>
          </w:tcPr>
          <w:p w14:paraId="5BAB1B6A">
            <w:pPr>
              <w:pStyle w:val="6"/>
              <w:spacing w:before="153" w:line="270" w:lineRule="exact"/>
              <w:ind w:left="277"/>
            </w:pPr>
            <w:r>
              <w:rPr>
                <w:spacing w:val="-7"/>
                <w:position w:val="1"/>
              </w:rPr>
              <w:t>14</w:t>
            </w:r>
          </w:p>
        </w:tc>
        <w:tc>
          <w:tcPr>
            <w:tcW w:w="2398" w:type="dxa"/>
            <w:vAlign w:val="top"/>
          </w:tcPr>
          <w:p w14:paraId="1C302307">
            <w:pPr>
              <w:pStyle w:val="6"/>
              <w:spacing w:before="118" w:line="227" w:lineRule="auto"/>
              <w:ind w:left="112"/>
            </w:pPr>
            <w:r>
              <w:rPr>
                <w:spacing w:val="8"/>
              </w:rPr>
              <w:t>质量保证金额度</w:t>
            </w:r>
          </w:p>
        </w:tc>
        <w:tc>
          <w:tcPr>
            <w:tcW w:w="1313" w:type="dxa"/>
            <w:vAlign w:val="top"/>
          </w:tcPr>
          <w:p w14:paraId="7E984E08">
            <w:pPr>
              <w:pStyle w:val="6"/>
              <w:spacing w:before="118" w:line="267" w:lineRule="exact"/>
              <w:ind w:left="191"/>
            </w:pPr>
            <w:r>
              <w:rPr>
                <w:spacing w:val="1"/>
                <w:position w:val="1"/>
              </w:rPr>
              <w:t>15.3.1</w:t>
            </w:r>
          </w:p>
        </w:tc>
        <w:tc>
          <w:tcPr>
            <w:tcW w:w="4205" w:type="dxa"/>
            <w:vAlign w:val="top"/>
          </w:tcPr>
          <w:p w14:paraId="12093E91">
            <w:pPr>
              <w:rPr>
                <w:rFonts w:ascii="Arial"/>
                <w:sz w:val="21"/>
              </w:rPr>
            </w:pPr>
          </w:p>
        </w:tc>
        <w:tc>
          <w:tcPr>
            <w:tcW w:w="724" w:type="dxa"/>
            <w:vAlign w:val="top"/>
          </w:tcPr>
          <w:p w14:paraId="25420E7C">
            <w:pPr>
              <w:rPr>
                <w:rFonts w:ascii="Arial"/>
                <w:sz w:val="21"/>
              </w:rPr>
            </w:pPr>
          </w:p>
        </w:tc>
      </w:tr>
      <w:tr w14:paraId="199F0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24" w:type="dxa"/>
            <w:vAlign w:val="top"/>
          </w:tcPr>
          <w:p w14:paraId="757CB7C0">
            <w:pPr>
              <w:pStyle w:val="6"/>
              <w:spacing w:before="108" w:line="268" w:lineRule="exact"/>
              <w:ind w:left="277"/>
            </w:pPr>
            <w:r>
              <w:rPr>
                <w:spacing w:val="-7"/>
                <w:position w:val="1"/>
              </w:rPr>
              <w:t>15</w:t>
            </w:r>
          </w:p>
        </w:tc>
        <w:tc>
          <w:tcPr>
            <w:tcW w:w="2398" w:type="dxa"/>
            <w:vAlign w:val="top"/>
          </w:tcPr>
          <w:p w14:paraId="176EF4DE">
            <w:pPr>
              <w:pStyle w:val="6"/>
              <w:spacing w:before="108" w:line="228" w:lineRule="auto"/>
              <w:ind w:left="112"/>
            </w:pPr>
            <w:r>
              <w:rPr>
                <w:spacing w:val="8"/>
              </w:rPr>
              <w:t>质量保证金的扣留方式</w:t>
            </w:r>
          </w:p>
        </w:tc>
        <w:tc>
          <w:tcPr>
            <w:tcW w:w="1313" w:type="dxa"/>
            <w:vAlign w:val="top"/>
          </w:tcPr>
          <w:p w14:paraId="58CAC92C">
            <w:pPr>
              <w:pStyle w:val="6"/>
              <w:spacing w:before="108" w:line="267" w:lineRule="exact"/>
              <w:ind w:left="191"/>
            </w:pPr>
            <w:r>
              <w:rPr>
                <w:spacing w:val="1"/>
                <w:position w:val="1"/>
              </w:rPr>
              <w:t>15.3.2</w:t>
            </w:r>
          </w:p>
        </w:tc>
        <w:tc>
          <w:tcPr>
            <w:tcW w:w="4205" w:type="dxa"/>
            <w:vAlign w:val="top"/>
          </w:tcPr>
          <w:p w14:paraId="07655591">
            <w:pPr>
              <w:rPr>
                <w:rFonts w:ascii="Arial"/>
                <w:sz w:val="21"/>
              </w:rPr>
            </w:pPr>
          </w:p>
        </w:tc>
        <w:tc>
          <w:tcPr>
            <w:tcW w:w="724" w:type="dxa"/>
            <w:vAlign w:val="top"/>
          </w:tcPr>
          <w:p w14:paraId="3CFB293D">
            <w:pPr>
              <w:rPr>
                <w:rFonts w:ascii="Arial"/>
                <w:sz w:val="21"/>
              </w:rPr>
            </w:pPr>
          </w:p>
        </w:tc>
      </w:tr>
      <w:tr w14:paraId="19CD6C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724" w:type="dxa"/>
            <w:vAlign w:val="top"/>
          </w:tcPr>
          <w:p w14:paraId="55844AB9">
            <w:pPr>
              <w:pStyle w:val="6"/>
              <w:spacing w:before="202" w:line="268" w:lineRule="exact"/>
              <w:ind w:left="277"/>
            </w:pPr>
            <w:r>
              <w:rPr>
                <w:spacing w:val="-7"/>
                <w:position w:val="1"/>
              </w:rPr>
              <w:t>16</w:t>
            </w:r>
          </w:p>
        </w:tc>
        <w:tc>
          <w:tcPr>
            <w:tcW w:w="2398" w:type="dxa"/>
            <w:vAlign w:val="top"/>
          </w:tcPr>
          <w:p w14:paraId="298C46A8">
            <w:pPr>
              <w:pStyle w:val="6"/>
              <w:spacing w:before="202" w:line="227" w:lineRule="auto"/>
              <w:ind w:left="112"/>
            </w:pPr>
            <w:r>
              <w:rPr>
                <w:spacing w:val="8"/>
              </w:rPr>
              <w:t>技术标准和要求</w:t>
            </w:r>
          </w:p>
        </w:tc>
        <w:tc>
          <w:tcPr>
            <w:tcW w:w="1313" w:type="dxa"/>
            <w:vAlign w:val="top"/>
          </w:tcPr>
          <w:p w14:paraId="1A1ABCE0">
            <w:pPr>
              <w:rPr>
                <w:rFonts w:ascii="Arial"/>
                <w:sz w:val="21"/>
              </w:rPr>
            </w:pPr>
          </w:p>
        </w:tc>
        <w:tc>
          <w:tcPr>
            <w:tcW w:w="4205" w:type="dxa"/>
            <w:vAlign w:val="top"/>
          </w:tcPr>
          <w:p w14:paraId="281780E5">
            <w:pPr>
              <w:pStyle w:val="6"/>
              <w:spacing w:before="201" w:line="227" w:lineRule="auto"/>
              <w:ind w:left="115"/>
            </w:pPr>
            <w:r>
              <w:rPr>
                <w:spacing w:val="7"/>
              </w:rPr>
              <w:t>符合第七章“技术标准和要求</w:t>
            </w:r>
            <w:r>
              <w:rPr>
                <w:spacing w:val="-66"/>
              </w:rPr>
              <w:t xml:space="preserve"> </w:t>
            </w:r>
            <w:r>
              <w:rPr>
                <w:spacing w:val="7"/>
              </w:rPr>
              <w:t>”规定</w:t>
            </w:r>
          </w:p>
        </w:tc>
        <w:tc>
          <w:tcPr>
            <w:tcW w:w="724" w:type="dxa"/>
            <w:vAlign w:val="top"/>
          </w:tcPr>
          <w:p w14:paraId="1A8C7580">
            <w:pPr>
              <w:rPr>
                <w:rFonts w:ascii="Arial"/>
                <w:sz w:val="21"/>
              </w:rPr>
            </w:pPr>
          </w:p>
        </w:tc>
      </w:tr>
      <w:tr w14:paraId="53142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9364" w:type="dxa"/>
            <w:gridSpan w:val="5"/>
            <w:vAlign w:val="top"/>
          </w:tcPr>
          <w:p w14:paraId="67C1867D">
            <w:pPr>
              <w:pStyle w:val="6"/>
              <w:spacing w:before="120" w:line="251" w:lineRule="auto"/>
              <w:ind w:left="116" w:right="39" w:firstLine="1"/>
            </w:pPr>
            <w:r>
              <w:rPr>
                <w:spacing w:val="5"/>
              </w:rPr>
              <w:t>备注：投标人在响应招标文件中规定的实质性</w:t>
            </w:r>
            <w:r>
              <w:rPr>
                <w:spacing w:val="4"/>
              </w:rPr>
              <w:t>要求和条件的基础上，可做出其他有利于招标人的承诺。</w:t>
            </w:r>
            <w:r>
              <w:rPr>
                <w:spacing w:val="8"/>
              </w:rPr>
              <w:t>此类承诺可在本表中予以补充填写。</w:t>
            </w:r>
          </w:p>
        </w:tc>
      </w:tr>
    </w:tbl>
    <w:p w14:paraId="7BEB0BC2">
      <w:pPr>
        <w:spacing w:line="272" w:lineRule="auto"/>
        <w:rPr>
          <w:rFonts w:ascii="Arial"/>
          <w:sz w:val="21"/>
        </w:rPr>
      </w:pPr>
    </w:p>
    <w:p w14:paraId="144D8D08">
      <w:pPr>
        <w:spacing w:line="272" w:lineRule="auto"/>
        <w:rPr>
          <w:rFonts w:ascii="Arial"/>
          <w:sz w:val="21"/>
        </w:rPr>
      </w:pPr>
    </w:p>
    <w:p w14:paraId="1EFF3C31">
      <w:pPr>
        <w:spacing w:before="65" w:line="227" w:lineRule="auto"/>
        <w:ind w:left="3689"/>
        <w:rPr>
          <w:rFonts w:ascii="宋体" w:hAnsi="宋体" w:eastAsia="宋体" w:cs="宋体"/>
          <w:sz w:val="20"/>
          <w:szCs w:val="20"/>
        </w:rPr>
      </w:pPr>
      <w:r>
        <w:rPr>
          <w:rFonts w:ascii="宋体" w:hAnsi="宋体" w:eastAsia="宋体" w:cs="宋体"/>
          <w:spacing w:val="12"/>
          <w:sz w:val="20"/>
          <w:szCs w:val="20"/>
        </w:rPr>
        <w:t>投 标</w:t>
      </w:r>
      <w:r>
        <w:rPr>
          <w:rFonts w:ascii="宋体" w:hAnsi="宋体" w:eastAsia="宋体" w:cs="宋体"/>
          <w:spacing w:val="16"/>
          <w:sz w:val="20"/>
          <w:szCs w:val="20"/>
        </w:rPr>
        <w:t xml:space="preserve"> </w:t>
      </w:r>
      <w:r>
        <w:rPr>
          <w:rFonts w:ascii="宋体" w:hAnsi="宋体" w:eastAsia="宋体" w:cs="宋体"/>
          <w:spacing w:val="12"/>
          <w:sz w:val="20"/>
          <w:szCs w:val="20"/>
        </w:rPr>
        <w:t>人</w:t>
      </w:r>
      <w:r>
        <w:rPr>
          <w:rFonts w:ascii="宋体" w:hAnsi="宋体" w:eastAsia="宋体" w:cs="宋体"/>
          <w:spacing w:val="-18"/>
          <w:sz w:val="20"/>
          <w:szCs w:val="20"/>
        </w:rPr>
        <w:t>：</w:t>
      </w:r>
      <w:r>
        <w:rPr>
          <w:rFonts w:ascii="宋体" w:hAnsi="宋体" w:eastAsia="宋体" w:cs="宋体"/>
          <w:sz w:val="20"/>
          <w:szCs w:val="20"/>
          <w:u w:val="single" w:color="auto"/>
        </w:rPr>
        <w:t xml:space="preserve">                       </w:t>
      </w:r>
      <w:r>
        <w:rPr>
          <w:rFonts w:ascii="宋体" w:hAnsi="宋体" w:eastAsia="宋体" w:cs="宋体"/>
          <w:spacing w:val="-18"/>
          <w:sz w:val="20"/>
          <w:szCs w:val="20"/>
        </w:rPr>
        <w:t>（</w:t>
      </w:r>
      <w:r>
        <w:rPr>
          <w:rFonts w:ascii="宋体" w:hAnsi="宋体" w:eastAsia="宋体" w:cs="宋体"/>
          <w:spacing w:val="12"/>
          <w:sz w:val="20"/>
          <w:szCs w:val="20"/>
        </w:rPr>
        <w:t>盖单位章）</w:t>
      </w:r>
    </w:p>
    <w:p w14:paraId="24AF36F6">
      <w:pPr>
        <w:tabs>
          <w:tab w:val="left" w:pos="5989"/>
        </w:tabs>
        <w:spacing w:before="193" w:line="409" w:lineRule="auto"/>
        <w:ind w:left="5043" w:right="1070" w:hanging="1356"/>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w:t>
      </w: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14"/>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14"/>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4"/>
          <w:sz w:val="20"/>
          <w:szCs w:val="20"/>
        </w:rPr>
        <w:t>日</w:t>
      </w:r>
    </w:p>
    <w:p w14:paraId="1E6ECF7E">
      <w:pPr>
        <w:spacing w:line="400" w:lineRule="auto"/>
        <w:rPr>
          <w:rFonts w:ascii="Arial"/>
          <w:sz w:val="21"/>
        </w:rPr>
      </w:pPr>
    </w:p>
    <w:p w14:paraId="554C3284">
      <w:pPr>
        <w:spacing w:before="65" w:line="444" w:lineRule="auto"/>
        <w:ind w:left="646" w:right="557" w:hanging="631"/>
        <w:rPr>
          <w:rFonts w:ascii="宋体" w:hAnsi="宋体" w:eastAsia="宋体" w:cs="宋体"/>
          <w:sz w:val="20"/>
          <w:szCs w:val="20"/>
        </w:rPr>
      </w:pPr>
      <w:r>
        <w:rPr>
          <w:rFonts w:ascii="宋体" w:hAnsi="宋体" w:eastAsia="宋体" w:cs="宋体"/>
          <w:spacing w:val="5"/>
          <w:sz w:val="20"/>
          <w:szCs w:val="20"/>
        </w:rPr>
        <w:t>备注：本附录适用于《建设工程施工合同（</w:t>
      </w:r>
      <w:r>
        <w:rPr>
          <w:rFonts w:ascii="宋体" w:hAnsi="宋体" w:eastAsia="宋体" w:cs="宋体"/>
          <w:spacing w:val="4"/>
          <w:sz w:val="20"/>
          <w:szCs w:val="20"/>
        </w:rPr>
        <w:t>示范文本）》（</w:t>
      </w:r>
      <w:r>
        <w:rPr>
          <w:rFonts w:ascii="Times New Roman" w:hAnsi="Times New Roman" w:eastAsia="Times New Roman" w:cs="Times New Roman"/>
          <w:sz w:val="20"/>
          <w:szCs w:val="20"/>
        </w:rPr>
        <w:t>GF</w:t>
      </w:r>
      <w:r>
        <w:rPr>
          <w:rFonts w:ascii="Times New Roman" w:hAnsi="Times New Roman" w:eastAsia="Times New Roman" w:cs="Times New Roman"/>
          <w:spacing w:val="4"/>
          <w:sz w:val="20"/>
          <w:szCs w:val="20"/>
        </w:rPr>
        <w:t>-2017-0201</w:t>
      </w:r>
      <w:r>
        <w:rPr>
          <w:rFonts w:ascii="宋体" w:hAnsi="宋体" w:eastAsia="宋体" w:cs="宋体"/>
          <w:spacing w:val="4"/>
          <w:sz w:val="20"/>
          <w:szCs w:val="20"/>
        </w:rPr>
        <w:t>）及《湖北省建设工程施</w:t>
      </w:r>
      <w:r>
        <w:rPr>
          <w:rFonts w:ascii="宋体" w:hAnsi="宋体" w:eastAsia="宋体" w:cs="宋体"/>
          <w:spacing w:val="-6"/>
          <w:sz w:val="20"/>
          <w:szCs w:val="20"/>
        </w:rPr>
        <w:t>工合同（示范文本）》（</w:t>
      </w:r>
      <w:r>
        <w:rPr>
          <w:rFonts w:ascii="Times New Roman" w:hAnsi="Times New Roman" w:eastAsia="Times New Roman" w:cs="Times New Roman"/>
          <w:spacing w:val="-6"/>
          <w:sz w:val="20"/>
          <w:szCs w:val="20"/>
        </w:rPr>
        <w:t xml:space="preserve">2023 </w:t>
      </w:r>
      <w:r>
        <w:rPr>
          <w:rFonts w:ascii="宋体" w:hAnsi="宋体" w:eastAsia="宋体" w:cs="宋体"/>
          <w:spacing w:val="-6"/>
          <w:sz w:val="20"/>
          <w:szCs w:val="20"/>
        </w:rPr>
        <w:t>年修订版）。</w:t>
      </w:r>
    </w:p>
    <w:p w14:paraId="1B47D6AC">
      <w:pPr>
        <w:spacing w:line="444" w:lineRule="auto"/>
        <w:rPr>
          <w:rFonts w:ascii="宋体" w:hAnsi="宋体" w:eastAsia="宋体" w:cs="宋体"/>
          <w:sz w:val="20"/>
          <w:szCs w:val="20"/>
        </w:rPr>
        <w:sectPr>
          <w:headerReference r:id="rId513" w:type="default"/>
          <w:footerReference r:id="rId514" w:type="default"/>
          <w:pgSz w:w="11907" w:h="16840"/>
          <w:pgMar w:top="2927" w:right="1068" w:bottom="1247" w:left="1469" w:header="1706" w:footer="1085" w:gutter="0"/>
          <w:cols w:space="720" w:num="1"/>
        </w:sectPr>
      </w:pPr>
    </w:p>
    <w:p w14:paraId="0CDBC3CA">
      <w:pPr>
        <w:spacing w:line="248" w:lineRule="auto"/>
        <w:rPr>
          <w:rFonts w:ascii="Arial"/>
          <w:sz w:val="21"/>
        </w:rPr>
      </w:pPr>
    </w:p>
    <w:p w14:paraId="701D78A2">
      <w:pPr>
        <w:spacing w:line="248" w:lineRule="auto"/>
        <w:rPr>
          <w:rFonts w:ascii="Arial"/>
          <w:sz w:val="21"/>
        </w:rPr>
      </w:pPr>
    </w:p>
    <w:p w14:paraId="79D599CC">
      <w:pPr>
        <w:spacing w:line="248" w:lineRule="auto"/>
        <w:rPr>
          <w:rFonts w:ascii="Arial"/>
          <w:sz w:val="21"/>
        </w:rPr>
      </w:pPr>
    </w:p>
    <w:p w14:paraId="72A49A85">
      <w:pPr>
        <w:spacing w:line="249" w:lineRule="auto"/>
        <w:rPr>
          <w:rFonts w:ascii="Arial"/>
          <w:sz w:val="21"/>
        </w:rPr>
      </w:pPr>
    </w:p>
    <w:p w14:paraId="7E817D42">
      <w:pPr>
        <w:spacing w:line="249" w:lineRule="auto"/>
        <w:rPr>
          <w:rFonts w:ascii="Arial"/>
          <w:sz w:val="21"/>
        </w:rPr>
      </w:pPr>
    </w:p>
    <w:p w14:paraId="4875260C">
      <w:pPr>
        <w:spacing w:line="249" w:lineRule="auto"/>
        <w:rPr>
          <w:rFonts w:ascii="Arial"/>
          <w:sz w:val="21"/>
        </w:rPr>
      </w:pPr>
    </w:p>
    <w:p w14:paraId="122CA896">
      <w:pPr>
        <w:spacing w:line="249" w:lineRule="auto"/>
        <w:rPr>
          <w:rFonts w:ascii="Arial"/>
          <w:sz w:val="21"/>
        </w:rPr>
      </w:pPr>
    </w:p>
    <w:p w14:paraId="2B7FA329">
      <w:pPr>
        <w:spacing w:line="249" w:lineRule="auto"/>
        <w:rPr>
          <w:rFonts w:ascii="Arial"/>
          <w:sz w:val="21"/>
        </w:rPr>
      </w:pPr>
    </w:p>
    <w:p w14:paraId="10161E53">
      <w:pPr>
        <w:pStyle w:val="2"/>
        <w:spacing w:before="78" w:line="222" w:lineRule="auto"/>
        <w:ind w:left="3624"/>
        <w:rPr>
          <w:sz w:val="24"/>
          <w:szCs w:val="24"/>
        </w:rPr>
      </w:pPr>
      <w:r>
        <w:rPr>
          <w:spacing w:val="-2"/>
          <w:sz w:val="24"/>
          <w:szCs w:val="24"/>
        </w:rPr>
        <w:t>价格指数权重表</w:t>
      </w:r>
    </w:p>
    <w:p w14:paraId="63041C22">
      <w:pPr>
        <w:spacing w:line="132" w:lineRule="exact"/>
      </w:pPr>
    </w:p>
    <w:tbl>
      <w:tblPr>
        <w:tblStyle w:val="5"/>
        <w:tblW w:w="84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0"/>
        <w:gridCol w:w="988"/>
        <w:gridCol w:w="707"/>
        <w:gridCol w:w="988"/>
        <w:gridCol w:w="707"/>
        <w:gridCol w:w="1270"/>
        <w:gridCol w:w="1694"/>
        <w:gridCol w:w="1699"/>
      </w:tblGrid>
      <w:tr w14:paraId="781CB3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1418" w:type="dxa"/>
            <w:gridSpan w:val="2"/>
            <w:vMerge w:val="restart"/>
            <w:tcBorders>
              <w:bottom w:val="nil"/>
            </w:tcBorders>
            <w:vAlign w:val="top"/>
          </w:tcPr>
          <w:p w14:paraId="546E487F">
            <w:pPr>
              <w:pStyle w:val="6"/>
              <w:spacing w:before="198" w:line="230" w:lineRule="auto"/>
              <w:ind w:left="456"/>
            </w:pPr>
            <w:r>
              <w:t>名</w:t>
            </w:r>
            <w:r>
              <w:rPr>
                <w:spacing w:val="12"/>
              </w:rPr>
              <w:t xml:space="preserve"> </w:t>
            </w:r>
            <w:r>
              <w:t>称</w:t>
            </w:r>
          </w:p>
        </w:tc>
        <w:tc>
          <w:tcPr>
            <w:tcW w:w="1695" w:type="dxa"/>
            <w:gridSpan w:val="2"/>
            <w:vAlign w:val="top"/>
          </w:tcPr>
          <w:p w14:paraId="252CAE5A">
            <w:pPr>
              <w:pStyle w:val="6"/>
              <w:spacing w:before="59" w:line="226" w:lineRule="auto"/>
              <w:ind w:left="223"/>
            </w:pPr>
            <w:r>
              <w:rPr>
                <w:spacing w:val="8"/>
              </w:rPr>
              <w:t>基本价格指数</w:t>
            </w:r>
          </w:p>
        </w:tc>
        <w:tc>
          <w:tcPr>
            <w:tcW w:w="3671" w:type="dxa"/>
            <w:gridSpan w:val="3"/>
            <w:vAlign w:val="top"/>
          </w:tcPr>
          <w:p w14:paraId="38E6CDBF">
            <w:pPr>
              <w:pStyle w:val="6"/>
              <w:spacing w:before="59" w:line="228" w:lineRule="auto"/>
              <w:ind w:left="1369"/>
            </w:pPr>
            <w:r>
              <w:t>权</w:t>
            </w:r>
            <w:r>
              <w:rPr>
                <w:spacing w:val="7"/>
              </w:rPr>
              <w:t xml:space="preserve">     </w:t>
            </w:r>
            <w:r>
              <w:t>重</w:t>
            </w:r>
          </w:p>
        </w:tc>
        <w:tc>
          <w:tcPr>
            <w:tcW w:w="1699" w:type="dxa"/>
            <w:vMerge w:val="restart"/>
            <w:tcBorders>
              <w:bottom w:val="nil"/>
            </w:tcBorders>
            <w:vAlign w:val="top"/>
          </w:tcPr>
          <w:p w14:paraId="33278B6F">
            <w:pPr>
              <w:pStyle w:val="6"/>
              <w:spacing w:before="198" w:line="226" w:lineRule="auto"/>
              <w:ind w:left="225"/>
            </w:pPr>
            <w:r>
              <w:rPr>
                <w:spacing w:val="8"/>
              </w:rPr>
              <w:t>价格指数来源</w:t>
            </w:r>
          </w:p>
        </w:tc>
      </w:tr>
      <w:tr w14:paraId="3043F1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418" w:type="dxa"/>
            <w:gridSpan w:val="2"/>
            <w:vMerge w:val="continue"/>
            <w:tcBorders>
              <w:top w:val="nil"/>
            </w:tcBorders>
            <w:vAlign w:val="top"/>
          </w:tcPr>
          <w:p w14:paraId="76BE06A1">
            <w:pPr>
              <w:rPr>
                <w:rFonts w:ascii="Arial"/>
                <w:sz w:val="21"/>
              </w:rPr>
            </w:pPr>
          </w:p>
        </w:tc>
        <w:tc>
          <w:tcPr>
            <w:tcW w:w="707" w:type="dxa"/>
            <w:vAlign w:val="top"/>
          </w:tcPr>
          <w:p w14:paraId="5D522A60">
            <w:pPr>
              <w:pStyle w:val="6"/>
              <w:spacing w:before="30" w:line="219" w:lineRule="auto"/>
              <w:ind w:left="146"/>
            </w:pPr>
            <w:r>
              <w:rPr>
                <w:spacing w:val="5"/>
              </w:rPr>
              <w:t>代号</w:t>
            </w:r>
          </w:p>
        </w:tc>
        <w:tc>
          <w:tcPr>
            <w:tcW w:w="988" w:type="dxa"/>
            <w:vAlign w:val="top"/>
          </w:tcPr>
          <w:p w14:paraId="76644F57">
            <w:pPr>
              <w:pStyle w:val="6"/>
              <w:spacing w:before="30" w:line="219" w:lineRule="auto"/>
              <w:ind w:left="186"/>
            </w:pPr>
            <w:r>
              <w:rPr>
                <w:spacing w:val="6"/>
              </w:rPr>
              <w:t>指数值</w:t>
            </w:r>
          </w:p>
        </w:tc>
        <w:tc>
          <w:tcPr>
            <w:tcW w:w="707" w:type="dxa"/>
            <w:vAlign w:val="top"/>
          </w:tcPr>
          <w:p w14:paraId="2AB1FB59">
            <w:pPr>
              <w:pStyle w:val="6"/>
              <w:spacing w:before="30" w:line="219" w:lineRule="auto"/>
              <w:ind w:left="148"/>
            </w:pPr>
            <w:r>
              <w:rPr>
                <w:spacing w:val="5"/>
              </w:rPr>
              <w:t>代号</w:t>
            </w:r>
          </w:p>
        </w:tc>
        <w:tc>
          <w:tcPr>
            <w:tcW w:w="1270" w:type="dxa"/>
            <w:vAlign w:val="top"/>
          </w:tcPr>
          <w:p w14:paraId="52591B0D">
            <w:pPr>
              <w:pStyle w:val="6"/>
              <w:spacing w:before="30" w:line="219" w:lineRule="auto"/>
              <w:ind w:left="229"/>
            </w:pPr>
            <w:r>
              <w:rPr>
                <w:spacing w:val="5"/>
              </w:rPr>
              <w:t>允许范围</w:t>
            </w:r>
          </w:p>
        </w:tc>
        <w:tc>
          <w:tcPr>
            <w:tcW w:w="1694" w:type="dxa"/>
            <w:vAlign w:val="top"/>
          </w:tcPr>
          <w:p w14:paraId="1C2DE674">
            <w:pPr>
              <w:pStyle w:val="6"/>
              <w:spacing w:before="30" w:line="219" w:lineRule="auto"/>
              <w:ind w:left="226"/>
            </w:pPr>
            <w:r>
              <w:rPr>
                <w:spacing w:val="7"/>
              </w:rPr>
              <w:t>投标人建议值</w:t>
            </w:r>
          </w:p>
        </w:tc>
        <w:tc>
          <w:tcPr>
            <w:tcW w:w="1699" w:type="dxa"/>
            <w:vMerge w:val="continue"/>
            <w:tcBorders>
              <w:top w:val="nil"/>
            </w:tcBorders>
            <w:vAlign w:val="top"/>
          </w:tcPr>
          <w:p w14:paraId="3E2594D7">
            <w:pPr>
              <w:rPr>
                <w:rFonts w:ascii="Arial"/>
                <w:sz w:val="21"/>
              </w:rPr>
            </w:pPr>
          </w:p>
        </w:tc>
      </w:tr>
      <w:tr w14:paraId="475E63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418" w:type="dxa"/>
            <w:gridSpan w:val="2"/>
            <w:vAlign w:val="top"/>
          </w:tcPr>
          <w:p w14:paraId="7A823471">
            <w:pPr>
              <w:pStyle w:val="6"/>
              <w:spacing w:before="42" w:line="228" w:lineRule="auto"/>
              <w:ind w:left="300"/>
            </w:pPr>
            <w:r>
              <w:rPr>
                <w:spacing w:val="6"/>
              </w:rPr>
              <w:t>定值部分</w:t>
            </w:r>
          </w:p>
        </w:tc>
        <w:tc>
          <w:tcPr>
            <w:tcW w:w="707" w:type="dxa"/>
            <w:vAlign w:val="top"/>
          </w:tcPr>
          <w:p w14:paraId="35E66C3F">
            <w:pPr>
              <w:rPr>
                <w:rFonts w:ascii="Arial"/>
                <w:sz w:val="21"/>
              </w:rPr>
            </w:pPr>
          </w:p>
        </w:tc>
        <w:tc>
          <w:tcPr>
            <w:tcW w:w="988" w:type="dxa"/>
            <w:vAlign w:val="top"/>
          </w:tcPr>
          <w:p w14:paraId="3EA33CBD">
            <w:pPr>
              <w:rPr>
                <w:rFonts w:ascii="Arial"/>
                <w:sz w:val="21"/>
              </w:rPr>
            </w:pPr>
          </w:p>
        </w:tc>
        <w:tc>
          <w:tcPr>
            <w:tcW w:w="707" w:type="dxa"/>
            <w:vAlign w:val="top"/>
          </w:tcPr>
          <w:p w14:paraId="0DCB4C3D">
            <w:pPr>
              <w:pStyle w:val="6"/>
              <w:spacing w:before="74" w:line="190" w:lineRule="auto"/>
              <w:ind w:left="300"/>
            </w:pPr>
            <w:r>
              <w:rPr>
                <w:spacing w:val="2"/>
              </w:rPr>
              <w:t>A</w:t>
            </w:r>
          </w:p>
        </w:tc>
        <w:tc>
          <w:tcPr>
            <w:tcW w:w="1270" w:type="dxa"/>
            <w:vAlign w:val="top"/>
          </w:tcPr>
          <w:p w14:paraId="18112DAA">
            <w:pPr>
              <w:rPr>
                <w:rFonts w:ascii="Arial"/>
                <w:sz w:val="21"/>
              </w:rPr>
            </w:pPr>
          </w:p>
        </w:tc>
        <w:tc>
          <w:tcPr>
            <w:tcW w:w="1694" w:type="dxa"/>
            <w:vAlign w:val="top"/>
          </w:tcPr>
          <w:p w14:paraId="00748320">
            <w:pPr>
              <w:rPr>
                <w:rFonts w:ascii="Arial"/>
                <w:sz w:val="21"/>
              </w:rPr>
            </w:pPr>
          </w:p>
        </w:tc>
        <w:tc>
          <w:tcPr>
            <w:tcW w:w="1699" w:type="dxa"/>
            <w:vAlign w:val="top"/>
          </w:tcPr>
          <w:p w14:paraId="5673831C">
            <w:pPr>
              <w:rPr>
                <w:rFonts w:ascii="Arial"/>
                <w:sz w:val="21"/>
              </w:rPr>
            </w:pPr>
          </w:p>
        </w:tc>
      </w:tr>
      <w:tr w14:paraId="18E897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430" w:type="dxa"/>
            <w:vMerge w:val="restart"/>
            <w:tcBorders>
              <w:bottom w:val="nil"/>
            </w:tcBorders>
            <w:textDirection w:val="tbRlV"/>
            <w:vAlign w:val="top"/>
          </w:tcPr>
          <w:p w14:paraId="4DF564F3">
            <w:pPr>
              <w:pStyle w:val="6"/>
              <w:spacing w:before="108" w:line="216" w:lineRule="auto"/>
              <w:ind w:left="491"/>
            </w:pPr>
            <w:r>
              <w:rPr>
                <w:spacing w:val="8"/>
              </w:rPr>
              <w:t>变</w:t>
            </w:r>
            <w:r>
              <w:rPr>
                <w:spacing w:val="-34"/>
              </w:rPr>
              <w:t xml:space="preserve"> </w:t>
            </w:r>
            <w:r>
              <w:rPr>
                <w:spacing w:val="8"/>
              </w:rPr>
              <w:t>值</w:t>
            </w:r>
            <w:r>
              <w:rPr>
                <w:spacing w:val="-37"/>
              </w:rPr>
              <w:t xml:space="preserve"> </w:t>
            </w:r>
            <w:r>
              <w:rPr>
                <w:spacing w:val="8"/>
              </w:rPr>
              <w:t>部</w:t>
            </w:r>
            <w:r>
              <w:rPr>
                <w:spacing w:val="-35"/>
              </w:rPr>
              <w:t xml:space="preserve"> </w:t>
            </w:r>
            <w:r>
              <w:rPr>
                <w:spacing w:val="8"/>
              </w:rPr>
              <w:t>分</w:t>
            </w:r>
          </w:p>
        </w:tc>
        <w:tc>
          <w:tcPr>
            <w:tcW w:w="988" w:type="dxa"/>
            <w:vAlign w:val="top"/>
          </w:tcPr>
          <w:p w14:paraId="74BB8F87">
            <w:pPr>
              <w:pStyle w:val="6"/>
              <w:spacing w:before="50" w:line="226" w:lineRule="auto"/>
              <w:ind w:left="184"/>
            </w:pPr>
            <w:r>
              <w:rPr>
                <w:spacing w:val="6"/>
              </w:rPr>
              <w:t>人工费</w:t>
            </w:r>
          </w:p>
        </w:tc>
        <w:tc>
          <w:tcPr>
            <w:tcW w:w="707" w:type="dxa"/>
            <w:vAlign w:val="top"/>
          </w:tcPr>
          <w:p w14:paraId="49E575CF">
            <w:pPr>
              <w:pStyle w:val="6"/>
              <w:spacing w:before="83" w:line="195" w:lineRule="auto"/>
              <w:ind w:left="249"/>
              <w:rPr>
                <w:sz w:val="10"/>
                <w:szCs w:val="10"/>
              </w:rPr>
            </w:pPr>
            <w:r>
              <w:rPr>
                <w:spacing w:val="2"/>
                <w:position w:val="1"/>
              </w:rPr>
              <w:t>F</w:t>
            </w:r>
            <w:r>
              <w:rPr>
                <w:spacing w:val="2"/>
                <w:position w:val="-1"/>
                <w:sz w:val="10"/>
                <w:szCs w:val="10"/>
              </w:rPr>
              <w:t>01</w:t>
            </w:r>
          </w:p>
        </w:tc>
        <w:tc>
          <w:tcPr>
            <w:tcW w:w="988" w:type="dxa"/>
            <w:vAlign w:val="top"/>
          </w:tcPr>
          <w:p w14:paraId="126064A0">
            <w:pPr>
              <w:rPr>
                <w:rFonts w:ascii="Arial"/>
                <w:sz w:val="21"/>
              </w:rPr>
            </w:pPr>
          </w:p>
        </w:tc>
        <w:tc>
          <w:tcPr>
            <w:tcW w:w="707" w:type="dxa"/>
            <w:vAlign w:val="top"/>
          </w:tcPr>
          <w:p w14:paraId="63235F84">
            <w:pPr>
              <w:pStyle w:val="6"/>
              <w:spacing w:before="83" w:line="194" w:lineRule="auto"/>
              <w:ind w:left="276"/>
              <w:rPr>
                <w:sz w:val="10"/>
                <w:szCs w:val="10"/>
              </w:rPr>
            </w:pPr>
            <w:r>
              <w:rPr>
                <w:spacing w:val="1"/>
                <w:position w:val="1"/>
              </w:rPr>
              <w:t>B</w:t>
            </w:r>
            <w:r>
              <w:rPr>
                <w:spacing w:val="1"/>
                <w:position w:val="-2"/>
                <w:sz w:val="10"/>
                <w:szCs w:val="10"/>
              </w:rPr>
              <w:t>1</w:t>
            </w:r>
          </w:p>
        </w:tc>
        <w:tc>
          <w:tcPr>
            <w:tcW w:w="1270" w:type="dxa"/>
            <w:vAlign w:val="top"/>
          </w:tcPr>
          <w:p w14:paraId="5C17F9E7">
            <w:pPr>
              <w:pStyle w:val="6"/>
              <w:spacing w:before="50" w:line="226" w:lineRule="auto"/>
              <w:ind w:left="535"/>
            </w:pPr>
            <w:r>
              <w:t>至</w:t>
            </w:r>
          </w:p>
        </w:tc>
        <w:tc>
          <w:tcPr>
            <w:tcW w:w="1694" w:type="dxa"/>
            <w:vAlign w:val="top"/>
          </w:tcPr>
          <w:p w14:paraId="650EF280">
            <w:pPr>
              <w:rPr>
                <w:rFonts w:ascii="Arial"/>
                <w:sz w:val="21"/>
              </w:rPr>
            </w:pPr>
          </w:p>
        </w:tc>
        <w:tc>
          <w:tcPr>
            <w:tcW w:w="1699" w:type="dxa"/>
            <w:vAlign w:val="top"/>
          </w:tcPr>
          <w:p w14:paraId="4EE4E4CC">
            <w:pPr>
              <w:rPr>
                <w:rFonts w:ascii="Arial"/>
                <w:sz w:val="21"/>
              </w:rPr>
            </w:pPr>
          </w:p>
        </w:tc>
      </w:tr>
      <w:tr w14:paraId="410FE0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430" w:type="dxa"/>
            <w:vMerge w:val="continue"/>
            <w:tcBorders>
              <w:top w:val="nil"/>
              <w:bottom w:val="nil"/>
            </w:tcBorders>
            <w:textDirection w:val="tbRlV"/>
            <w:vAlign w:val="top"/>
          </w:tcPr>
          <w:p w14:paraId="66548D69">
            <w:pPr>
              <w:rPr>
                <w:rFonts w:ascii="Arial"/>
                <w:sz w:val="21"/>
              </w:rPr>
            </w:pPr>
          </w:p>
        </w:tc>
        <w:tc>
          <w:tcPr>
            <w:tcW w:w="988" w:type="dxa"/>
            <w:vAlign w:val="top"/>
          </w:tcPr>
          <w:p w14:paraId="19B7FC9C">
            <w:pPr>
              <w:pStyle w:val="6"/>
              <w:spacing w:before="75" w:line="227" w:lineRule="auto"/>
              <w:ind w:left="286"/>
            </w:pPr>
            <w:r>
              <w:rPr>
                <w:spacing w:val="5"/>
              </w:rPr>
              <w:t>钢材</w:t>
            </w:r>
          </w:p>
        </w:tc>
        <w:tc>
          <w:tcPr>
            <w:tcW w:w="707" w:type="dxa"/>
            <w:vAlign w:val="top"/>
          </w:tcPr>
          <w:p w14:paraId="6256DA92">
            <w:pPr>
              <w:pStyle w:val="6"/>
              <w:spacing w:before="110" w:line="202" w:lineRule="auto"/>
              <w:ind w:left="249"/>
              <w:rPr>
                <w:sz w:val="10"/>
                <w:szCs w:val="10"/>
              </w:rPr>
            </w:pPr>
            <w:r>
              <w:rPr>
                <w:spacing w:val="2"/>
                <w:position w:val="1"/>
              </w:rPr>
              <w:t>F</w:t>
            </w:r>
            <w:r>
              <w:rPr>
                <w:spacing w:val="2"/>
                <w:position w:val="-1"/>
                <w:sz w:val="10"/>
                <w:szCs w:val="10"/>
              </w:rPr>
              <w:t>02</w:t>
            </w:r>
          </w:p>
        </w:tc>
        <w:tc>
          <w:tcPr>
            <w:tcW w:w="988" w:type="dxa"/>
            <w:vAlign w:val="top"/>
          </w:tcPr>
          <w:p w14:paraId="5FDA877F">
            <w:pPr>
              <w:rPr>
                <w:rFonts w:ascii="Arial"/>
                <w:sz w:val="21"/>
              </w:rPr>
            </w:pPr>
          </w:p>
        </w:tc>
        <w:tc>
          <w:tcPr>
            <w:tcW w:w="707" w:type="dxa"/>
            <w:vAlign w:val="top"/>
          </w:tcPr>
          <w:p w14:paraId="441487DC">
            <w:pPr>
              <w:pStyle w:val="6"/>
              <w:spacing w:before="110" w:line="201" w:lineRule="auto"/>
              <w:ind w:left="276"/>
              <w:rPr>
                <w:sz w:val="10"/>
                <w:szCs w:val="10"/>
              </w:rPr>
            </w:pPr>
            <w:r>
              <w:rPr>
                <w:spacing w:val="1"/>
                <w:position w:val="1"/>
              </w:rPr>
              <w:t>B</w:t>
            </w:r>
            <w:r>
              <w:rPr>
                <w:spacing w:val="1"/>
                <w:position w:val="-2"/>
                <w:sz w:val="10"/>
                <w:szCs w:val="10"/>
              </w:rPr>
              <w:t>2</w:t>
            </w:r>
          </w:p>
        </w:tc>
        <w:tc>
          <w:tcPr>
            <w:tcW w:w="1270" w:type="dxa"/>
            <w:vAlign w:val="top"/>
          </w:tcPr>
          <w:p w14:paraId="007C02C1">
            <w:pPr>
              <w:pStyle w:val="6"/>
              <w:tabs>
                <w:tab w:val="left" w:pos="525"/>
              </w:tabs>
              <w:spacing w:before="75" w:line="234" w:lineRule="auto"/>
              <w:ind w:left="210"/>
            </w:pPr>
            <w:r>
              <w:rPr>
                <w:u w:val="single" w:color="auto"/>
              </w:rPr>
              <w:tab/>
            </w:r>
            <w:r>
              <w:rPr>
                <w:spacing w:val="-90"/>
              </w:rPr>
              <w:t xml:space="preserve"> </w:t>
            </w:r>
            <w:r>
              <w:rPr>
                <w:spacing w:val="-1"/>
              </w:rPr>
              <w:t>至</w:t>
            </w:r>
            <w:r>
              <w:rPr>
                <w:u w:val="single" w:color="auto"/>
              </w:rPr>
              <w:t xml:space="preserve">    </w:t>
            </w:r>
          </w:p>
        </w:tc>
        <w:tc>
          <w:tcPr>
            <w:tcW w:w="1694" w:type="dxa"/>
            <w:vAlign w:val="top"/>
          </w:tcPr>
          <w:p w14:paraId="6C707BDA">
            <w:pPr>
              <w:rPr>
                <w:rFonts w:ascii="Arial"/>
                <w:sz w:val="21"/>
              </w:rPr>
            </w:pPr>
          </w:p>
        </w:tc>
        <w:tc>
          <w:tcPr>
            <w:tcW w:w="1699" w:type="dxa"/>
            <w:vAlign w:val="top"/>
          </w:tcPr>
          <w:p w14:paraId="32A44979">
            <w:pPr>
              <w:rPr>
                <w:rFonts w:ascii="Arial"/>
                <w:sz w:val="21"/>
              </w:rPr>
            </w:pPr>
          </w:p>
        </w:tc>
      </w:tr>
      <w:tr w14:paraId="399C79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430" w:type="dxa"/>
            <w:vMerge w:val="continue"/>
            <w:tcBorders>
              <w:top w:val="nil"/>
              <w:bottom w:val="nil"/>
            </w:tcBorders>
            <w:textDirection w:val="tbRlV"/>
            <w:vAlign w:val="top"/>
          </w:tcPr>
          <w:p w14:paraId="5A23E6BB">
            <w:pPr>
              <w:rPr>
                <w:rFonts w:ascii="Arial"/>
                <w:sz w:val="21"/>
              </w:rPr>
            </w:pPr>
          </w:p>
        </w:tc>
        <w:tc>
          <w:tcPr>
            <w:tcW w:w="988" w:type="dxa"/>
            <w:vAlign w:val="top"/>
          </w:tcPr>
          <w:p w14:paraId="71939005">
            <w:pPr>
              <w:pStyle w:val="6"/>
              <w:spacing w:before="74" w:line="228" w:lineRule="auto"/>
              <w:ind w:left="290"/>
            </w:pPr>
            <w:r>
              <w:rPr>
                <w:spacing w:val="3"/>
              </w:rPr>
              <w:t>水泥</w:t>
            </w:r>
          </w:p>
        </w:tc>
        <w:tc>
          <w:tcPr>
            <w:tcW w:w="707" w:type="dxa"/>
            <w:vAlign w:val="top"/>
          </w:tcPr>
          <w:p w14:paraId="35C21AEB">
            <w:pPr>
              <w:pStyle w:val="6"/>
              <w:spacing w:before="109" w:line="203" w:lineRule="auto"/>
              <w:ind w:left="249"/>
              <w:rPr>
                <w:sz w:val="10"/>
                <w:szCs w:val="10"/>
              </w:rPr>
            </w:pPr>
            <w:r>
              <w:rPr>
                <w:spacing w:val="2"/>
                <w:position w:val="1"/>
              </w:rPr>
              <w:t>F</w:t>
            </w:r>
            <w:r>
              <w:rPr>
                <w:spacing w:val="2"/>
                <w:position w:val="-1"/>
                <w:sz w:val="10"/>
                <w:szCs w:val="10"/>
              </w:rPr>
              <w:t>03</w:t>
            </w:r>
          </w:p>
        </w:tc>
        <w:tc>
          <w:tcPr>
            <w:tcW w:w="988" w:type="dxa"/>
            <w:vAlign w:val="top"/>
          </w:tcPr>
          <w:p w14:paraId="760EDA0B">
            <w:pPr>
              <w:rPr>
                <w:rFonts w:ascii="Arial"/>
                <w:sz w:val="21"/>
              </w:rPr>
            </w:pPr>
          </w:p>
        </w:tc>
        <w:tc>
          <w:tcPr>
            <w:tcW w:w="707" w:type="dxa"/>
            <w:vAlign w:val="top"/>
          </w:tcPr>
          <w:p w14:paraId="61B83131">
            <w:pPr>
              <w:pStyle w:val="6"/>
              <w:spacing w:before="109" w:line="202" w:lineRule="auto"/>
              <w:ind w:left="276"/>
              <w:rPr>
                <w:sz w:val="10"/>
                <w:szCs w:val="10"/>
              </w:rPr>
            </w:pPr>
            <w:r>
              <w:rPr>
                <w:spacing w:val="1"/>
                <w:position w:val="1"/>
              </w:rPr>
              <w:t>B</w:t>
            </w:r>
            <w:r>
              <w:rPr>
                <w:spacing w:val="1"/>
                <w:position w:val="-2"/>
                <w:sz w:val="10"/>
                <w:szCs w:val="10"/>
              </w:rPr>
              <w:t>3</w:t>
            </w:r>
          </w:p>
        </w:tc>
        <w:tc>
          <w:tcPr>
            <w:tcW w:w="1270" w:type="dxa"/>
            <w:vAlign w:val="top"/>
          </w:tcPr>
          <w:p w14:paraId="4A0BD5C1">
            <w:pPr>
              <w:pStyle w:val="6"/>
              <w:tabs>
                <w:tab w:val="left" w:pos="525"/>
              </w:tabs>
              <w:spacing w:before="74" w:line="235" w:lineRule="auto"/>
              <w:ind w:left="210"/>
            </w:pPr>
            <w:r>
              <w:rPr>
                <w:u w:val="single" w:color="auto"/>
              </w:rPr>
              <w:tab/>
            </w:r>
            <w:r>
              <w:rPr>
                <w:spacing w:val="-90"/>
              </w:rPr>
              <w:t xml:space="preserve"> </w:t>
            </w:r>
            <w:r>
              <w:rPr>
                <w:spacing w:val="-1"/>
              </w:rPr>
              <w:t>至</w:t>
            </w:r>
            <w:r>
              <w:rPr>
                <w:u w:val="single" w:color="auto"/>
              </w:rPr>
              <w:t xml:space="preserve">    </w:t>
            </w:r>
          </w:p>
        </w:tc>
        <w:tc>
          <w:tcPr>
            <w:tcW w:w="1694" w:type="dxa"/>
            <w:vAlign w:val="top"/>
          </w:tcPr>
          <w:p w14:paraId="3DDDF7F9">
            <w:pPr>
              <w:rPr>
                <w:rFonts w:ascii="Arial"/>
                <w:sz w:val="21"/>
              </w:rPr>
            </w:pPr>
          </w:p>
        </w:tc>
        <w:tc>
          <w:tcPr>
            <w:tcW w:w="1699" w:type="dxa"/>
            <w:vAlign w:val="top"/>
          </w:tcPr>
          <w:p w14:paraId="49212D51">
            <w:pPr>
              <w:rPr>
                <w:rFonts w:ascii="Arial"/>
                <w:sz w:val="21"/>
              </w:rPr>
            </w:pPr>
          </w:p>
        </w:tc>
      </w:tr>
      <w:tr w14:paraId="3147A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430" w:type="dxa"/>
            <w:vMerge w:val="continue"/>
            <w:tcBorders>
              <w:top w:val="nil"/>
              <w:bottom w:val="nil"/>
            </w:tcBorders>
            <w:textDirection w:val="tbRlV"/>
            <w:vAlign w:val="top"/>
          </w:tcPr>
          <w:p w14:paraId="0E0F3801">
            <w:pPr>
              <w:rPr>
                <w:rFonts w:ascii="Arial"/>
                <w:sz w:val="21"/>
              </w:rPr>
            </w:pPr>
          </w:p>
        </w:tc>
        <w:tc>
          <w:tcPr>
            <w:tcW w:w="988" w:type="dxa"/>
            <w:vAlign w:val="top"/>
          </w:tcPr>
          <w:p w14:paraId="7AAF72A1">
            <w:pPr>
              <w:pStyle w:val="6"/>
              <w:spacing w:before="74" w:line="235" w:lineRule="auto"/>
              <w:ind w:left="301"/>
            </w:pPr>
            <w:r>
              <w:rPr>
                <w:spacing w:val="-2"/>
              </w:rPr>
              <w:t>……</w:t>
            </w:r>
          </w:p>
        </w:tc>
        <w:tc>
          <w:tcPr>
            <w:tcW w:w="707" w:type="dxa"/>
            <w:vAlign w:val="top"/>
          </w:tcPr>
          <w:p w14:paraId="11EE69F9">
            <w:pPr>
              <w:pStyle w:val="6"/>
              <w:spacing w:before="74" w:line="235" w:lineRule="auto"/>
              <w:ind w:left="160"/>
            </w:pPr>
            <w:r>
              <w:rPr>
                <w:spacing w:val="-2"/>
              </w:rPr>
              <w:t>……</w:t>
            </w:r>
          </w:p>
        </w:tc>
        <w:tc>
          <w:tcPr>
            <w:tcW w:w="988" w:type="dxa"/>
            <w:vAlign w:val="top"/>
          </w:tcPr>
          <w:p w14:paraId="2B63249C">
            <w:pPr>
              <w:rPr>
                <w:rFonts w:ascii="Arial"/>
                <w:sz w:val="21"/>
              </w:rPr>
            </w:pPr>
          </w:p>
        </w:tc>
        <w:tc>
          <w:tcPr>
            <w:tcW w:w="707" w:type="dxa"/>
            <w:vAlign w:val="top"/>
          </w:tcPr>
          <w:p w14:paraId="689B7CFB">
            <w:pPr>
              <w:pStyle w:val="6"/>
              <w:spacing w:before="74" w:line="235" w:lineRule="auto"/>
              <w:ind w:left="162"/>
            </w:pPr>
            <w:r>
              <w:rPr>
                <w:spacing w:val="-2"/>
              </w:rPr>
              <w:t>……</w:t>
            </w:r>
          </w:p>
        </w:tc>
        <w:tc>
          <w:tcPr>
            <w:tcW w:w="1270" w:type="dxa"/>
            <w:vAlign w:val="top"/>
          </w:tcPr>
          <w:p w14:paraId="6EB82CBC">
            <w:pPr>
              <w:pStyle w:val="6"/>
              <w:spacing w:before="74" w:line="235" w:lineRule="auto"/>
              <w:ind w:left="443"/>
            </w:pPr>
            <w:r>
              <w:rPr>
                <w:spacing w:val="-2"/>
              </w:rPr>
              <w:t>……</w:t>
            </w:r>
          </w:p>
        </w:tc>
        <w:tc>
          <w:tcPr>
            <w:tcW w:w="1694" w:type="dxa"/>
            <w:vAlign w:val="top"/>
          </w:tcPr>
          <w:p w14:paraId="35A0D19C">
            <w:pPr>
              <w:rPr>
                <w:rFonts w:ascii="Arial"/>
                <w:sz w:val="21"/>
              </w:rPr>
            </w:pPr>
          </w:p>
        </w:tc>
        <w:tc>
          <w:tcPr>
            <w:tcW w:w="1699" w:type="dxa"/>
            <w:vAlign w:val="top"/>
          </w:tcPr>
          <w:p w14:paraId="57AD5E42">
            <w:pPr>
              <w:rPr>
                <w:rFonts w:ascii="Arial"/>
                <w:sz w:val="21"/>
              </w:rPr>
            </w:pPr>
          </w:p>
        </w:tc>
      </w:tr>
      <w:tr w14:paraId="22D8EF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30" w:type="dxa"/>
            <w:vMerge w:val="continue"/>
            <w:tcBorders>
              <w:top w:val="nil"/>
              <w:bottom w:val="nil"/>
            </w:tcBorders>
            <w:textDirection w:val="tbRlV"/>
            <w:vAlign w:val="top"/>
          </w:tcPr>
          <w:p w14:paraId="4D8E6025">
            <w:pPr>
              <w:rPr>
                <w:rFonts w:ascii="Arial"/>
                <w:sz w:val="21"/>
              </w:rPr>
            </w:pPr>
          </w:p>
        </w:tc>
        <w:tc>
          <w:tcPr>
            <w:tcW w:w="988" w:type="dxa"/>
            <w:vAlign w:val="top"/>
          </w:tcPr>
          <w:p w14:paraId="497E8D5D">
            <w:pPr>
              <w:rPr>
                <w:rFonts w:ascii="Arial"/>
                <w:sz w:val="21"/>
              </w:rPr>
            </w:pPr>
          </w:p>
        </w:tc>
        <w:tc>
          <w:tcPr>
            <w:tcW w:w="707" w:type="dxa"/>
            <w:vAlign w:val="top"/>
          </w:tcPr>
          <w:p w14:paraId="4B30BC9B">
            <w:pPr>
              <w:rPr>
                <w:rFonts w:ascii="Arial"/>
                <w:sz w:val="21"/>
              </w:rPr>
            </w:pPr>
          </w:p>
        </w:tc>
        <w:tc>
          <w:tcPr>
            <w:tcW w:w="988" w:type="dxa"/>
            <w:vAlign w:val="top"/>
          </w:tcPr>
          <w:p w14:paraId="5EF70D7A">
            <w:pPr>
              <w:rPr>
                <w:rFonts w:ascii="Arial"/>
                <w:sz w:val="21"/>
              </w:rPr>
            </w:pPr>
          </w:p>
        </w:tc>
        <w:tc>
          <w:tcPr>
            <w:tcW w:w="707" w:type="dxa"/>
            <w:vAlign w:val="top"/>
          </w:tcPr>
          <w:p w14:paraId="6FE99806">
            <w:pPr>
              <w:rPr>
                <w:rFonts w:ascii="Arial"/>
                <w:sz w:val="21"/>
              </w:rPr>
            </w:pPr>
          </w:p>
        </w:tc>
        <w:tc>
          <w:tcPr>
            <w:tcW w:w="1270" w:type="dxa"/>
            <w:vAlign w:val="top"/>
          </w:tcPr>
          <w:p w14:paraId="054B1BA6">
            <w:pPr>
              <w:rPr>
                <w:rFonts w:ascii="Arial"/>
                <w:sz w:val="21"/>
              </w:rPr>
            </w:pPr>
          </w:p>
        </w:tc>
        <w:tc>
          <w:tcPr>
            <w:tcW w:w="1694" w:type="dxa"/>
            <w:vAlign w:val="top"/>
          </w:tcPr>
          <w:p w14:paraId="5D5B9303">
            <w:pPr>
              <w:rPr>
                <w:rFonts w:ascii="Arial"/>
                <w:sz w:val="21"/>
              </w:rPr>
            </w:pPr>
          </w:p>
        </w:tc>
        <w:tc>
          <w:tcPr>
            <w:tcW w:w="1699" w:type="dxa"/>
            <w:vAlign w:val="top"/>
          </w:tcPr>
          <w:p w14:paraId="4076AE4A">
            <w:pPr>
              <w:rPr>
                <w:rFonts w:ascii="Arial"/>
                <w:sz w:val="21"/>
              </w:rPr>
            </w:pPr>
          </w:p>
        </w:tc>
      </w:tr>
      <w:tr w14:paraId="7BB306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30" w:type="dxa"/>
            <w:vMerge w:val="continue"/>
            <w:tcBorders>
              <w:top w:val="nil"/>
            </w:tcBorders>
            <w:textDirection w:val="tbRlV"/>
            <w:vAlign w:val="top"/>
          </w:tcPr>
          <w:p w14:paraId="1E48F1AC">
            <w:pPr>
              <w:rPr>
                <w:rFonts w:ascii="Arial"/>
                <w:sz w:val="21"/>
              </w:rPr>
            </w:pPr>
          </w:p>
        </w:tc>
        <w:tc>
          <w:tcPr>
            <w:tcW w:w="988" w:type="dxa"/>
            <w:vAlign w:val="top"/>
          </w:tcPr>
          <w:p w14:paraId="76569CDA">
            <w:pPr>
              <w:rPr>
                <w:rFonts w:ascii="Arial"/>
                <w:sz w:val="21"/>
              </w:rPr>
            </w:pPr>
          </w:p>
        </w:tc>
        <w:tc>
          <w:tcPr>
            <w:tcW w:w="707" w:type="dxa"/>
            <w:vAlign w:val="top"/>
          </w:tcPr>
          <w:p w14:paraId="1E1D50DE">
            <w:pPr>
              <w:rPr>
                <w:rFonts w:ascii="Arial"/>
                <w:sz w:val="21"/>
              </w:rPr>
            </w:pPr>
          </w:p>
        </w:tc>
        <w:tc>
          <w:tcPr>
            <w:tcW w:w="988" w:type="dxa"/>
            <w:vAlign w:val="top"/>
          </w:tcPr>
          <w:p w14:paraId="577C9CBC">
            <w:pPr>
              <w:rPr>
                <w:rFonts w:ascii="Arial"/>
                <w:sz w:val="21"/>
              </w:rPr>
            </w:pPr>
          </w:p>
        </w:tc>
        <w:tc>
          <w:tcPr>
            <w:tcW w:w="707" w:type="dxa"/>
            <w:vAlign w:val="top"/>
          </w:tcPr>
          <w:p w14:paraId="18A5DEF6">
            <w:pPr>
              <w:rPr>
                <w:rFonts w:ascii="Arial"/>
                <w:sz w:val="21"/>
              </w:rPr>
            </w:pPr>
          </w:p>
        </w:tc>
        <w:tc>
          <w:tcPr>
            <w:tcW w:w="1270" w:type="dxa"/>
            <w:vAlign w:val="top"/>
          </w:tcPr>
          <w:p w14:paraId="6428E996">
            <w:pPr>
              <w:rPr>
                <w:rFonts w:ascii="Arial"/>
                <w:sz w:val="21"/>
              </w:rPr>
            </w:pPr>
          </w:p>
        </w:tc>
        <w:tc>
          <w:tcPr>
            <w:tcW w:w="1694" w:type="dxa"/>
            <w:vAlign w:val="top"/>
          </w:tcPr>
          <w:p w14:paraId="42ED341D">
            <w:pPr>
              <w:rPr>
                <w:rFonts w:ascii="Arial"/>
                <w:sz w:val="21"/>
              </w:rPr>
            </w:pPr>
          </w:p>
        </w:tc>
        <w:tc>
          <w:tcPr>
            <w:tcW w:w="1699" w:type="dxa"/>
            <w:vAlign w:val="top"/>
          </w:tcPr>
          <w:p w14:paraId="58D509B6">
            <w:pPr>
              <w:rPr>
                <w:rFonts w:ascii="Arial"/>
                <w:sz w:val="21"/>
              </w:rPr>
            </w:pPr>
          </w:p>
        </w:tc>
      </w:tr>
      <w:tr w14:paraId="06A53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090" w:type="dxa"/>
            <w:gridSpan w:val="6"/>
            <w:vAlign w:val="top"/>
          </w:tcPr>
          <w:p w14:paraId="1997EB7F">
            <w:pPr>
              <w:pStyle w:val="6"/>
              <w:spacing w:before="69" w:line="229" w:lineRule="auto"/>
              <w:ind w:left="1659"/>
            </w:pPr>
            <w:r>
              <w:t>合</w:t>
            </w:r>
            <w:r>
              <w:rPr>
                <w:spacing w:val="5"/>
              </w:rPr>
              <w:t xml:space="preserve">             </w:t>
            </w:r>
            <w:r>
              <w:t>计</w:t>
            </w:r>
          </w:p>
        </w:tc>
        <w:tc>
          <w:tcPr>
            <w:tcW w:w="1694" w:type="dxa"/>
            <w:vAlign w:val="top"/>
          </w:tcPr>
          <w:p w14:paraId="4A88B26D">
            <w:pPr>
              <w:pStyle w:val="6"/>
              <w:spacing w:before="69" w:line="265" w:lineRule="exact"/>
              <w:ind w:left="659"/>
            </w:pPr>
            <w:r>
              <w:rPr>
                <w:spacing w:val="-1"/>
                <w:position w:val="1"/>
              </w:rPr>
              <w:t>1.00</w:t>
            </w:r>
          </w:p>
        </w:tc>
        <w:tc>
          <w:tcPr>
            <w:tcW w:w="1699" w:type="dxa"/>
            <w:vAlign w:val="top"/>
          </w:tcPr>
          <w:p w14:paraId="2A45AB77">
            <w:pPr>
              <w:rPr>
                <w:rFonts w:ascii="Arial"/>
                <w:sz w:val="21"/>
              </w:rPr>
            </w:pPr>
          </w:p>
        </w:tc>
      </w:tr>
    </w:tbl>
    <w:p w14:paraId="3067AB00">
      <w:pPr>
        <w:spacing w:line="475" w:lineRule="auto"/>
        <w:rPr>
          <w:rFonts w:ascii="Arial"/>
          <w:sz w:val="21"/>
        </w:rPr>
      </w:pPr>
    </w:p>
    <w:p w14:paraId="63FE3278">
      <w:pPr>
        <w:spacing w:before="65" w:line="226" w:lineRule="auto"/>
        <w:jc w:val="right"/>
        <w:rPr>
          <w:rFonts w:ascii="宋体" w:hAnsi="宋体" w:eastAsia="宋体" w:cs="宋体"/>
          <w:sz w:val="20"/>
          <w:szCs w:val="20"/>
        </w:rPr>
      </w:pPr>
      <w:r>
        <w:rPr>
          <w:rFonts w:ascii="宋体" w:hAnsi="宋体" w:eastAsia="宋体" w:cs="宋体"/>
          <w:spacing w:val="11"/>
          <w:sz w:val="20"/>
          <w:szCs w:val="20"/>
        </w:rPr>
        <w:t>备注：专用合同条款约定采用价格指数法进行价格调整时适用本表。表中除“投标人建议值</w:t>
      </w:r>
      <w:r>
        <w:rPr>
          <w:rFonts w:ascii="宋体" w:hAnsi="宋体" w:eastAsia="宋体" w:cs="宋体"/>
          <w:spacing w:val="-70"/>
          <w:sz w:val="20"/>
          <w:szCs w:val="20"/>
        </w:rPr>
        <w:t xml:space="preserve"> </w:t>
      </w:r>
      <w:r>
        <w:rPr>
          <w:rFonts w:ascii="宋体" w:hAnsi="宋体" w:eastAsia="宋体" w:cs="宋体"/>
          <w:spacing w:val="10"/>
          <w:sz w:val="20"/>
          <w:szCs w:val="20"/>
        </w:rPr>
        <w:t>”由</w:t>
      </w:r>
    </w:p>
    <w:p w14:paraId="61096F46">
      <w:pPr>
        <w:spacing w:before="28" w:line="226" w:lineRule="auto"/>
        <w:ind w:left="646"/>
        <w:outlineLvl w:val="1"/>
        <w:rPr>
          <w:rFonts w:ascii="宋体" w:hAnsi="宋体" w:eastAsia="宋体" w:cs="宋体"/>
          <w:sz w:val="20"/>
          <w:szCs w:val="20"/>
        </w:rPr>
      </w:pPr>
      <w:r>
        <w:rPr>
          <w:rFonts w:ascii="宋体" w:hAnsi="宋体" w:eastAsia="宋体" w:cs="宋体"/>
          <w:spacing w:val="9"/>
          <w:sz w:val="20"/>
          <w:szCs w:val="20"/>
        </w:rPr>
        <w:t>投标人结合其投标报价情况选择填写外，其余均由招标人在招标文件发出前填写。</w:t>
      </w:r>
    </w:p>
    <w:p w14:paraId="26F2A125">
      <w:pPr>
        <w:spacing w:line="226" w:lineRule="auto"/>
        <w:rPr>
          <w:rFonts w:ascii="宋体" w:hAnsi="宋体" w:eastAsia="宋体" w:cs="宋体"/>
          <w:sz w:val="20"/>
          <w:szCs w:val="20"/>
        </w:rPr>
        <w:sectPr>
          <w:headerReference r:id="rId515" w:type="default"/>
          <w:footerReference r:id="rId516" w:type="default"/>
          <w:pgSz w:w="11907" w:h="16840"/>
          <w:pgMar w:top="400" w:right="1531" w:bottom="1247" w:left="1469" w:header="0" w:footer="1085" w:gutter="0"/>
          <w:cols w:space="720" w:num="1"/>
        </w:sectPr>
      </w:pPr>
    </w:p>
    <w:p w14:paraId="5ECFC679">
      <w:pPr>
        <w:spacing w:line="276" w:lineRule="auto"/>
        <w:rPr>
          <w:rFonts w:ascii="Arial"/>
          <w:sz w:val="21"/>
        </w:rPr>
      </w:pPr>
    </w:p>
    <w:p w14:paraId="2C28D55C">
      <w:pPr>
        <w:spacing w:line="276" w:lineRule="auto"/>
        <w:rPr>
          <w:rFonts w:ascii="Arial"/>
          <w:sz w:val="21"/>
        </w:rPr>
      </w:pPr>
    </w:p>
    <w:p w14:paraId="4767D821">
      <w:pPr>
        <w:spacing w:line="276" w:lineRule="auto"/>
        <w:rPr>
          <w:rFonts w:ascii="Arial"/>
          <w:sz w:val="21"/>
        </w:rPr>
      </w:pPr>
    </w:p>
    <w:p w14:paraId="684FF700">
      <w:pPr>
        <w:spacing w:line="276" w:lineRule="auto"/>
        <w:rPr>
          <w:rFonts w:ascii="Arial"/>
          <w:sz w:val="21"/>
        </w:rPr>
      </w:pPr>
    </w:p>
    <w:p w14:paraId="48AED2DF">
      <w:pPr>
        <w:spacing w:line="276" w:lineRule="auto"/>
        <w:rPr>
          <w:rFonts w:ascii="Arial"/>
          <w:sz w:val="21"/>
        </w:rPr>
      </w:pPr>
    </w:p>
    <w:p w14:paraId="0A271CBE">
      <w:pPr>
        <w:pStyle w:val="2"/>
        <w:spacing w:before="91" w:line="222" w:lineRule="auto"/>
        <w:ind w:left="2918"/>
        <w:outlineLvl w:val="1"/>
        <w:rPr>
          <w:sz w:val="28"/>
          <w:szCs w:val="28"/>
        </w:rPr>
      </w:pPr>
      <w:bookmarkStart w:id="415" w:name="bookmark396"/>
      <w:bookmarkEnd w:id="415"/>
      <w:r>
        <w:rPr>
          <w:spacing w:val="-2"/>
          <w:sz w:val="28"/>
          <w:szCs w:val="28"/>
        </w:rPr>
        <w:t>二、法定代表人身份证明</w:t>
      </w:r>
    </w:p>
    <w:p w14:paraId="2A289EFE">
      <w:pPr>
        <w:spacing w:before="203" w:line="228" w:lineRule="auto"/>
        <w:ind w:left="2"/>
        <w:rPr>
          <w:rFonts w:ascii="宋体" w:hAnsi="宋体" w:eastAsia="宋体" w:cs="宋体"/>
          <w:sz w:val="20"/>
          <w:szCs w:val="20"/>
        </w:rPr>
      </w:pPr>
      <w:r>
        <w:rPr>
          <w:rFonts w:ascii="宋体" w:hAnsi="宋体" w:eastAsia="宋体" w:cs="宋体"/>
          <w:spacing w:val="-5"/>
          <w:sz w:val="20"/>
          <w:szCs w:val="20"/>
        </w:rPr>
        <w:t>投</w:t>
      </w:r>
      <w:r>
        <w:rPr>
          <w:rFonts w:ascii="宋体" w:hAnsi="宋体" w:eastAsia="宋体" w:cs="宋体"/>
          <w:spacing w:val="15"/>
          <w:sz w:val="20"/>
          <w:szCs w:val="20"/>
        </w:rPr>
        <w:t xml:space="preserve"> </w:t>
      </w:r>
      <w:r>
        <w:rPr>
          <w:rFonts w:ascii="宋体" w:hAnsi="宋体" w:eastAsia="宋体" w:cs="宋体"/>
          <w:spacing w:val="-5"/>
          <w:sz w:val="20"/>
          <w:szCs w:val="20"/>
        </w:rPr>
        <w:t>标</w:t>
      </w:r>
      <w:r>
        <w:rPr>
          <w:rFonts w:ascii="宋体" w:hAnsi="宋体" w:eastAsia="宋体" w:cs="宋体"/>
          <w:spacing w:val="17"/>
          <w:sz w:val="20"/>
          <w:szCs w:val="20"/>
        </w:rPr>
        <w:t xml:space="preserve"> </w:t>
      </w:r>
      <w:r>
        <w:rPr>
          <w:rFonts w:ascii="宋体" w:hAnsi="宋体" w:eastAsia="宋体" w:cs="宋体"/>
          <w:spacing w:val="-5"/>
          <w:sz w:val="20"/>
          <w:szCs w:val="20"/>
        </w:rPr>
        <w:t>人</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723A973E">
      <w:pPr>
        <w:spacing w:before="254" w:line="228" w:lineRule="auto"/>
        <w:ind w:left="1"/>
        <w:rPr>
          <w:rFonts w:ascii="宋体" w:hAnsi="宋体" w:eastAsia="宋体" w:cs="宋体"/>
          <w:sz w:val="20"/>
          <w:szCs w:val="20"/>
        </w:rPr>
      </w:pPr>
      <w:r>
        <w:rPr>
          <w:rFonts w:ascii="宋体" w:hAnsi="宋体" w:eastAsia="宋体" w:cs="宋体"/>
          <w:spacing w:val="4"/>
          <w:sz w:val="20"/>
          <w:szCs w:val="20"/>
        </w:rPr>
        <w:t>单位性质：</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3C73397B">
      <w:pPr>
        <w:spacing w:before="252" w:line="237" w:lineRule="auto"/>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2"/>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26AB14B9">
      <w:pPr>
        <w:spacing w:before="242" w:line="228" w:lineRule="auto"/>
        <w:ind w:left="1"/>
        <w:rPr>
          <w:rFonts w:ascii="宋体" w:hAnsi="宋体" w:eastAsia="宋体" w:cs="宋体"/>
          <w:sz w:val="20"/>
          <w:szCs w:val="20"/>
        </w:rPr>
      </w:pPr>
      <w:r>
        <w:rPr>
          <w:rFonts w:ascii="宋体" w:hAnsi="宋体" w:eastAsia="宋体" w:cs="宋体"/>
          <w:spacing w:val="4"/>
          <w:sz w:val="20"/>
          <w:szCs w:val="20"/>
        </w:rPr>
        <w:t>成立时间：</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4"/>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4"/>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43"/>
          <w:sz w:val="20"/>
          <w:szCs w:val="20"/>
        </w:rPr>
        <w:t xml:space="preserve"> </w:t>
      </w:r>
      <w:r>
        <w:rPr>
          <w:rFonts w:ascii="宋体" w:hAnsi="宋体" w:eastAsia="宋体" w:cs="宋体"/>
          <w:spacing w:val="4"/>
          <w:sz w:val="20"/>
          <w:szCs w:val="20"/>
        </w:rPr>
        <w:t>日</w:t>
      </w:r>
    </w:p>
    <w:p w14:paraId="3926A069">
      <w:pPr>
        <w:spacing w:before="255" w:line="228" w:lineRule="auto"/>
        <w:ind w:left="1"/>
        <w:rPr>
          <w:rFonts w:ascii="宋体" w:hAnsi="宋体" w:eastAsia="宋体" w:cs="宋体"/>
          <w:sz w:val="20"/>
          <w:szCs w:val="20"/>
        </w:rPr>
      </w:pPr>
      <w:r>
        <w:rPr>
          <w:rFonts w:ascii="宋体" w:hAnsi="宋体" w:eastAsia="宋体" w:cs="宋体"/>
          <w:spacing w:val="4"/>
          <w:sz w:val="20"/>
          <w:szCs w:val="20"/>
        </w:rPr>
        <w:t>经营期限：</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4C8AB12D">
      <w:pPr>
        <w:spacing w:before="252" w:line="228" w:lineRule="auto"/>
        <w:rPr>
          <w:rFonts w:ascii="宋体" w:hAnsi="宋体" w:eastAsia="宋体" w:cs="宋体"/>
          <w:sz w:val="20"/>
          <w:szCs w:val="20"/>
        </w:rPr>
      </w:pPr>
      <w:r>
        <w:rPr>
          <w:rFonts w:ascii="宋体" w:hAnsi="宋体" w:eastAsia="宋体" w:cs="宋体"/>
          <w:spacing w:val="-3"/>
          <w:sz w:val="20"/>
          <w:szCs w:val="20"/>
        </w:rPr>
        <w:t>姓</w:t>
      </w:r>
      <w:r>
        <w:rPr>
          <w:rFonts w:ascii="宋体" w:hAnsi="宋体" w:eastAsia="宋体" w:cs="宋体"/>
          <w:spacing w:val="8"/>
          <w:sz w:val="20"/>
          <w:szCs w:val="20"/>
        </w:rPr>
        <w:t xml:space="preserve">    </w:t>
      </w:r>
      <w:r>
        <w:rPr>
          <w:rFonts w:ascii="宋体" w:hAnsi="宋体" w:eastAsia="宋体" w:cs="宋体"/>
          <w:spacing w:val="-3"/>
          <w:sz w:val="20"/>
          <w:szCs w:val="20"/>
        </w:rPr>
        <w:t>名</w:t>
      </w:r>
      <w:r>
        <w:rPr>
          <w:rFonts w:ascii="宋体" w:hAnsi="宋体" w:eastAsia="宋体" w:cs="宋体"/>
          <w:spacing w:val="-73"/>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r>
        <w:rPr>
          <w:rFonts w:ascii="宋体" w:hAnsi="宋体" w:eastAsia="宋体" w:cs="宋体"/>
          <w:spacing w:val="-4"/>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4"/>
          <w:sz w:val="20"/>
          <w:szCs w:val="20"/>
        </w:rPr>
        <w:t>性</w:t>
      </w:r>
      <w:r>
        <w:rPr>
          <w:rFonts w:ascii="宋体" w:hAnsi="宋体" w:eastAsia="宋体" w:cs="宋体"/>
          <w:spacing w:val="6"/>
          <w:sz w:val="20"/>
          <w:szCs w:val="20"/>
        </w:rPr>
        <w:t xml:space="preserve">        </w:t>
      </w:r>
      <w:r>
        <w:rPr>
          <w:rFonts w:ascii="宋体" w:hAnsi="宋体" w:eastAsia="宋体" w:cs="宋体"/>
          <w:spacing w:val="-4"/>
          <w:sz w:val="20"/>
          <w:szCs w:val="20"/>
        </w:rPr>
        <w:t>别</w:t>
      </w:r>
      <w:r>
        <w:rPr>
          <w:rFonts w:ascii="宋体" w:hAnsi="宋体" w:eastAsia="宋体" w:cs="宋体"/>
          <w:spacing w:val="-69"/>
          <w:sz w:val="20"/>
          <w:szCs w:val="20"/>
        </w:rPr>
        <w:t xml:space="preserve"> </w:t>
      </w:r>
      <w:r>
        <w:rPr>
          <w:rFonts w:ascii="宋体" w:hAnsi="宋体" w:eastAsia="宋体" w:cs="宋体"/>
          <w:spacing w:val="-4"/>
          <w:sz w:val="20"/>
          <w:szCs w:val="20"/>
        </w:rPr>
        <w:t>：</w:t>
      </w:r>
      <w:r>
        <w:rPr>
          <w:rFonts w:ascii="宋体" w:hAnsi="宋体" w:eastAsia="宋体" w:cs="宋体"/>
          <w:sz w:val="20"/>
          <w:szCs w:val="20"/>
          <w:u w:val="single" w:color="auto"/>
        </w:rPr>
        <w:t xml:space="preserve">                 </w:t>
      </w:r>
    </w:p>
    <w:p w14:paraId="758FB49F">
      <w:pPr>
        <w:spacing w:before="252" w:line="228" w:lineRule="auto"/>
        <w:rPr>
          <w:rFonts w:ascii="宋体" w:hAnsi="宋体" w:eastAsia="宋体" w:cs="宋体"/>
          <w:sz w:val="20"/>
          <w:szCs w:val="20"/>
        </w:rPr>
      </w:pPr>
      <w:r>
        <w:rPr>
          <w:rFonts w:ascii="宋体" w:hAnsi="宋体" w:eastAsia="宋体" w:cs="宋体"/>
          <w:spacing w:val="-3"/>
          <w:sz w:val="20"/>
          <w:szCs w:val="20"/>
        </w:rPr>
        <w:t>年</w:t>
      </w:r>
      <w:r>
        <w:rPr>
          <w:rFonts w:ascii="宋体" w:hAnsi="宋体" w:eastAsia="宋体" w:cs="宋体"/>
          <w:spacing w:val="7"/>
          <w:sz w:val="20"/>
          <w:szCs w:val="20"/>
        </w:rPr>
        <w:t xml:space="preserve">    </w:t>
      </w:r>
      <w:r>
        <w:rPr>
          <w:rFonts w:ascii="宋体" w:hAnsi="宋体" w:eastAsia="宋体" w:cs="宋体"/>
          <w:spacing w:val="-3"/>
          <w:sz w:val="20"/>
          <w:szCs w:val="20"/>
        </w:rPr>
        <w:t>龄</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3"/>
          <w:sz w:val="20"/>
          <w:szCs w:val="20"/>
        </w:rPr>
        <w:t>职</w:t>
      </w:r>
      <w:r>
        <w:rPr>
          <w:rFonts w:ascii="宋体" w:hAnsi="宋体" w:eastAsia="宋体" w:cs="宋体"/>
          <w:spacing w:val="6"/>
          <w:sz w:val="20"/>
          <w:szCs w:val="20"/>
        </w:rPr>
        <w:t xml:space="preserve">        </w:t>
      </w:r>
      <w:r>
        <w:rPr>
          <w:rFonts w:ascii="宋体" w:hAnsi="宋体" w:eastAsia="宋体" w:cs="宋体"/>
          <w:spacing w:val="-3"/>
          <w:sz w:val="20"/>
          <w:szCs w:val="20"/>
        </w:rPr>
        <w:t>务</w:t>
      </w:r>
      <w:r>
        <w:rPr>
          <w:rFonts w:ascii="宋体" w:hAnsi="宋体" w:eastAsia="宋体" w:cs="宋体"/>
          <w:spacing w:val="-70"/>
          <w:sz w:val="20"/>
          <w:szCs w:val="20"/>
        </w:rPr>
        <w:t xml:space="preserve"> </w:t>
      </w:r>
      <w:r>
        <w:rPr>
          <w:rFonts w:ascii="宋体" w:hAnsi="宋体" w:eastAsia="宋体" w:cs="宋体"/>
          <w:spacing w:val="-3"/>
          <w:sz w:val="20"/>
          <w:szCs w:val="20"/>
        </w:rPr>
        <w:t>：</w:t>
      </w:r>
      <w:r>
        <w:rPr>
          <w:rFonts w:ascii="宋体" w:hAnsi="宋体" w:eastAsia="宋体" w:cs="宋体"/>
          <w:sz w:val="20"/>
          <w:szCs w:val="20"/>
          <w:u w:val="single" w:color="auto"/>
        </w:rPr>
        <w:t xml:space="preserve">                 </w:t>
      </w:r>
    </w:p>
    <w:p w14:paraId="12AEA8B0">
      <w:pPr>
        <w:spacing w:before="254" w:line="228" w:lineRule="auto"/>
        <w:ind w:left="4"/>
        <w:rPr>
          <w:rFonts w:ascii="宋体" w:hAnsi="宋体" w:eastAsia="宋体" w:cs="宋体"/>
          <w:sz w:val="20"/>
          <w:szCs w:val="20"/>
        </w:rPr>
      </w:pPr>
      <w:r>
        <w:rPr>
          <w:rFonts w:ascii="宋体" w:hAnsi="宋体" w:eastAsia="宋体" w:cs="宋体"/>
          <w:spacing w:val="6"/>
          <w:sz w:val="20"/>
          <w:szCs w:val="20"/>
        </w:rPr>
        <w:t>系</w:t>
      </w:r>
      <w:r>
        <w:rPr>
          <w:rFonts w:ascii="宋体" w:hAnsi="宋体" w:eastAsia="宋体" w:cs="宋体"/>
          <w:spacing w:val="-99"/>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（投标人名称）的法定代表人。</w:t>
      </w:r>
    </w:p>
    <w:p w14:paraId="26A70046">
      <w:pPr>
        <w:spacing w:before="253" w:line="228" w:lineRule="auto"/>
        <w:rPr>
          <w:rFonts w:ascii="宋体" w:hAnsi="宋体" w:eastAsia="宋体" w:cs="宋体"/>
          <w:sz w:val="20"/>
          <w:szCs w:val="20"/>
        </w:rPr>
      </w:pPr>
      <w:r>
        <w:rPr>
          <w:rFonts w:ascii="宋体" w:hAnsi="宋体" w:eastAsia="宋体" w:cs="宋体"/>
          <w:spacing w:val="5"/>
          <w:sz w:val="20"/>
          <w:szCs w:val="20"/>
        </w:rPr>
        <w:t>特此证明。</w:t>
      </w:r>
    </w:p>
    <w:p w14:paraId="6AEDA1DA">
      <w:pPr>
        <w:spacing w:line="295" w:lineRule="auto"/>
        <w:rPr>
          <w:rFonts w:ascii="Arial"/>
          <w:sz w:val="21"/>
        </w:rPr>
      </w:pPr>
    </w:p>
    <w:p w14:paraId="44AE2E44">
      <w:pPr>
        <w:spacing w:line="295" w:lineRule="auto"/>
        <w:rPr>
          <w:rFonts w:ascii="Arial"/>
          <w:sz w:val="21"/>
        </w:rPr>
      </w:pPr>
    </w:p>
    <w:p w14:paraId="52291E84">
      <w:pPr>
        <w:spacing w:line="295" w:lineRule="auto"/>
        <w:rPr>
          <w:rFonts w:ascii="Arial"/>
          <w:sz w:val="21"/>
        </w:rPr>
      </w:pPr>
    </w:p>
    <w:p w14:paraId="3C07C588">
      <w:pPr>
        <w:spacing w:line="296" w:lineRule="auto"/>
        <w:rPr>
          <w:rFonts w:ascii="Arial"/>
          <w:sz w:val="21"/>
        </w:rPr>
      </w:pPr>
    </w:p>
    <w:p w14:paraId="57499D9C">
      <w:pPr>
        <w:spacing w:before="65" w:line="227" w:lineRule="auto"/>
        <w:jc w:val="right"/>
        <w:rPr>
          <w:rFonts w:ascii="宋体" w:hAnsi="宋体" w:eastAsia="宋体" w:cs="宋体"/>
          <w:sz w:val="20"/>
          <w:szCs w:val="20"/>
        </w:rPr>
      </w:pPr>
      <w:r>
        <w:rPr>
          <w:rFonts w:ascii="宋体" w:hAnsi="宋体" w:eastAsia="宋体" w:cs="宋体"/>
          <w:spacing w:val="9"/>
          <w:sz w:val="20"/>
          <w:szCs w:val="20"/>
        </w:rPr>
        <w:t>投标人</w:t>
      </w:r>
      <w:r>
        <w:rPr>
          <w:rFonts w:ascii="宋体" w:hAnsi="宋体" w:eastAsia="宋体" w:cs="宋体"/>
          <w:spacing w:val="-3"/>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9"/>
          <w:sz w:val="20"/>
          <w:szCs w:val="20"/>
        </w:rPr>
        <w:t>盖单位章）</w:t>
      </w:r>
    </w:p>
    <w:p w14:paraId="2F7651C6">
      <w:pPr>
        <w:tabs>
          <w:tab w:val="left" w:pos="6477"/>
        </w:tabs>
        <w:spacing w:before="253" w:line="228" w:lineRule="auto"/>
        <w:ind w:left="5533"/>
        <w:outlineLvl w:val="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2"/>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48"/>
          <w:sz w:val="20"/>
          <w:szCs w:val="20"/>
        </w:rPr>
        <w:t xml:space="preserve"> </w:t>
      </w:r>
      <w:r>
        <w:rPr>
          <w:rFonts w:ascii="宋体" w:hAnsi="宋体" w:eastAsia="宋体" w:cs="宋体"/>
          <w:spacing w:val="-2"/>
          <w:sz w:val="20"/>
          <w:szCs w:val="20"/>
        </w:rPr>
        <w:t>日</w:t>
      </w:r>
    </w:p>
    <w:p w14:paraId="75B1B6D2">
      <w:pPr>
        <w:spacing w:line="228" w:lineRule="auto"/>
        <w:rPr>
          <w:rFonts w:ascii="宋体" w:hAnsi="宋体" w:eastAsia="宋体" w:cs="宋体"/>
          <w:sz w:val="20"/>
          <w:szCs w:val="20"/>
        </w:rPr>
        <w:sectPr>
          <w:footerReference r:id="rId517" w:type="default"/>
          <w:pgSz w:w="11907" w:h="16840"/>
          <w:pgMar w:top="400" w:right="1552" w:bottom="1247" w:left="1481" w:header="0" w:footer="1085" w:gutter="0"/>
          <w:cols w:space="720" w:num="1"/>
        </w:sectPr>
      </w:pPr>
    </w:p>
    <w:p w14:paraId="20566736">
      <w:pPr>
        <w:spacing w:line="276" w:lineRule="auto"/>
        <w:rPr>
          <w:rFonts w:ascii="Arial"/>
          <w:sz w:val="21"/>
        </w:rPr>
      </w:pPr>
    </w:p>
    <w:p w14:paraId="3E4D47FC">
      <w:pPr>
        <w:spacing w:line="276" w:lineRule="auto"/>
        <w:rPr>
          <w:rFonts w:ascii="Arial"/>
          <w:sz w:val="21"/>
        </w:rPr>
      </w:pPr>
    </w:p>
    <w:p w14:paraId="71623938">
      <w:pPr>
        <w:spacing w:line="276" w:lineRule="auto"/>
        <w:rPr>
          <w:rFonts w:ascii="Arial"/>
          <w:sz w:val="21"/>
        </w:rPr>
      </w:pPr>
    </w:p>
    <w:p w14:paraId="222A1A7C">
      <w:pPr>
        <w:spacing w:line="276" w:lineRule="auto"/>
        <w:rPr>
          <w:rFonts w:ascii="Arial"/>
          <w:sz w:val="21"/>
        </w:rPr>
      </w:pPr>
    </w:p>
    <w:p w14:paraId="66E64A69">
      <w:pPr>
        <w:spacing w:line="277" w:lineRule="auto"/>
        <w:rPr>
          <w:rFonts w:ascii="Arial"/>
          <w:sz w:val="21"/>
        </w:rPr>
      </w:pPr>
    </w:p>
    <w:p w14:paraId="2829EE8F">
      <w:pPr>
        <w:pStyle w:val="2"/>
        <w:spacing w:before="91" w:line="223" w:lineRule="auto"/>
        <w:ind w:left="3488"/>
        <w:outlineLvl w:val="1"/>
        <w:rPr>
          <w:sz w:val="28"/>
          <w:szCs w:val="28"/>
        </w:rPr>
      </w:pPr>
      <w:bookmarkStart w:id="416" w:name="bookmark397"/>
      <w:bookmarkEnd w:id="416"/>
      <w:r>
        <w:rPr>
          <w:spacing w:val="-3"/>
          <w:sz w:val="28"/>
          <w:szCs w:val="28"/>
        </w:rPr>
        <w:t>三、投标保证金</w:t>
      </w:r>
    </w:p>
    <w:p w14:paraId="705F90FF">
      <w:pPr>
        <w:spacing w:line="266" w:lineRule="auto"/>
        <w:rPr>
          <w:rFonts w:ascii="Arial"/>
          <w:sz w:val="21"/>
        </w:rPr>
      </w:pPr>
    </w:p>
    <w:p w14:paraId="78FF59EA">
      <w:pPr>
        <w:spacing w:line="267" w:lineRule="auto"/>
        <w:rPr>
          <w:rFonts w:ascii="Arial"/>
          <w:sz w:val="21"/>
        </w:rPr>
      </w:pPr>
    </w:p>
    <w:p w14:paraId="0572EE2A">
      <w:pPr>
        <w:spacing w:before="65" w:line="227" w:lineRule="auto"/>
        <w:ind w:left="402"/>
        <w:rPr>
          <w:rFonts w:ascii="宋体" w:hAnsi="宋体" w:eastAsia="宋体" w:cs="宋体"/>
          <w:sz w:val="20"/>
          <w:szCs w:val="20"/>
        </w:rPr>
      </w:pPr>
      <w:r>
        <w:rPr>
          <w:rFonts w:ascii="宋体" w:hAnsi="宋体" w:eastAsia="宋体" w:cs="宋体"/>
          <w:spacing w:val="9"/>
          <w:sz w:val="20"/>
          <w:szCs w:val="20"/>
        </w:rPr>
        <w:t>若采用现金或支票，投标人应在此提供汇款凭证的扫描件。</w:t>
      </w:r>
    </w:p>
    <w:p w14:paraId="3ADD27AB">
      <w:pPr>
        <w:spacing w:before="152" w:line="227" w:lineRule="auto"/>
        <w:ind w:left="404"/>
        <w:rPr>
          <w:rFonts w:ascii="宋体" w:hAnsi="宋体" w:eastAsia="宋体" w:cs="宋体"/>
          <w:sz w:val="20"/>
          <w:szCs w:val="20"/>
        </w:rPr>
      </w:pPr>
      <w:r>
        <w:rPr>
          <w:rFonts w:ascii="宋体" w:hAnsi="宋体" w:eastAsia="宋体" w:cs="宋体"/>
          <w:spacing w:val="8"/>
          <w:sz w:val="20"/>
          <w:szCs w:val="20"/>
        </w:rPr>
        <w:t>如采用银行保函，格式如下。</w:t>
      </w:r>
    </w:p>
    <w:p w14:paraId="217BC0DF">
      <w:pPr>
        <w:spacing w:line="288" w:lineRule="auto"/>
        <w:rPr>
          <w:rFonts w:ascii="Arial"/>
          <w:sz w:val="21"/>
        </w:rPr>
      </w:pPr>
    </w:p>
    <w:p w14:paraId="170E166E">
      <w:pPr>
        <w:spacing w:line="288" w:lineRule="auto"/>
        <w:rPr>
          <w:rFonts w:ascii="Arial"/>
          <w:sz w:val="21"/>
        </w:rPr>
      </w:pPr>
    </w:p>
    <w:p w14:paraId="6327CE66">
      <w:pPr>
        <w:tabs>
          <w:tab w:val="left" w:pos="2206"/>
        </w:tabs>
        <w:spacing w:before="65" w:line="228" w:lineRule="auto"/>
        <w:ind w:left="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（招标人名称</w:t>
      </w:r>
      <w:r>
        <w:rPr>
          <w:rFonts w:ascii="宋体" w:hAnsi="宋体" w:eastAsia="宋体" w:cs="宋体"/>
          <w:spacing w:val="-52"/>
          <w:sz w:val="20"/>
          <w:szCs w:val="20"/>
        </w:rPr>
        <w:t>）：</w:t>
      </w:r>
    </w:p>
    <w:p w14:paraId="5F6870B2">
      <w:pPr>
        <w:spacing w:before="210" w:line="425" w:lineRule="auto"/>
        <w:ind w:firstLine="432"/>
        <w:jc w:val="both"/>
        <w:rPr>
          <w:rFonts w:ascii="宋体" w:hAnsi="宋体" w:eastAsia="宋体" w:cs="宋体"/>
          <w:sz w:val="20"/>
          <w:szCs w:val="20"/>
        </w:rPr>
      </w:pPr>
      <w:r>
        <w:rPr>
          <w:rFonts w:ascii="宋体" w:hAnsi="宋体" w:eastAsia="宋体" w:cs="宋体"/>
          <w:spacing w:val="7"/>
          <w:sz w:val="20"/>
          <w:szCs w:val="20"/>
        </w:rPr>
        <w:t>鉴于</w:t>
      </w:r>
      <w:r>
        <w:rPr>
          <w:rFonts w:ascii="宋体" w:hAnsi="宋体" w:eastAsia="宋体" w:cs="宋体"/>
          <w:spacing w:val="-97"/>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（投标人名称</w:t>
      </w:r>
      <w:r>
        <w:rPr>
          <w:rFonts w:ascii="宋体" w:hAnsi="宋体" w:eastAsia="宋体" w:cs="宋体"/>
          <w:spacing w:val="-50"/>
          <w:sz w:val="20"/>
          <w:szCs w:val="20"/>
        </w:rPr>
        <w:t>）（</w:t>
      </w:r>
      <w:r>
        <w:rPr>
          <w:rFonts w:ascii="宋体" w:hAnsi="宋体" w:eastAsia="宋体" w:cs="宋体"/>
          <w:spacing w:val="7"/>
          <w:sz w:val="20"/>
          <w:szCs w:val="20"/>
        </w:rPr>
        <w:t>以下简称“投标人”）参加你方</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（项目名</w:t>
      </w:r>
      <w:r>
        <w:rPr>
          <w:rFonts w:ascii="宋体" w:hAnsi="宋体" w:eastAsia="宋体" w:cs="宋体"/>
          <w:spacing w:val="17"/>
          <w:sz w:val="20"/>
          <w:szCs w:val="20"/>
        </w:rPr>
        <w:t>称</w:t>
      </w:r>
      <w:r>
        <w:rPr>
          <w:rFonts w:ascii="宋体" w:hAnsi="宋体" w:eastAsia="宋体" w:cs="宋体"/>
          <w:spacing w:val="-26"/>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26"/>
          <w:sz w:val="20"/>
          <w:szCs w:val="20"/>
        </w:rPr>
        <w:t>（</w:t>
      </w:r>
      <w:r>
        <w:rPr>
          <w:rFonts w:ascii="宋体" w:hAnsi="宋体" w:eastAsia="宋体" w:cs="宋体"/>
          <w:spacing w:val="17"/>
          <w:sz w:val="20"/>
          <w:szCs w:val="20"/>
        </w:rPr>
        <w:t>标段名称）的施工投标</w:t>
      </w:r>
      <w:r>
        <w:rPr>
          <w:rFonts w:ascii="宋体" w:hAnsi="宋体" w:eastAsia="宋体" w:cs="宋体"/>
          <w:spacing w:val="-26"/>
          <w:sz w:val="20"/>
          <w:szCs w:val="20"/>
        </w:rPr>
        <w:t>，</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pacing w:val="-26"/>
          <w:sz w:val="20"/>
          <w:szCs w:val="20"/>
        </w:rPr>
        <w:t>（</w:t>
      </w:r>
      <w:r>
        <w:rPr>
          <w:rFonts w:ascii="宋体" w:hAnsi="宋体" w:eastAsia="宋体" w:cs="宋体"/>
          <w:spacing w:val="17"/>
          <w:sz w:val="20"/>
          <w:szCs w:val="20"/>
        </w:rPr>
        <w:t>担保人名称</w:t>
      </w:r>
      <w:r>
        <w:rPr>
          <w:rFonts w:ascii="宋体" w:hAnsi="宋体" w:eastAsia="宋体" w:cs="宋体"/>
          <w:spacing w:val="-26"/>
          <w:sz w:val="20"/>
          <w:szCs w:val="20"/>
        </w:rPr>
        <w:t>）（</w:t>
      </w:r>
      <w:r>
        <w:rPr>
          <w:rFonts w:ascii="宋体" w:hAnsi="宋体" w:eastAsia="宋体" w:cs="宋体"/>
          <w:spacing w:val="17"/>
          <w:sz w:val="20"/>
          <w:szCs w:val="20"/>
        </w:rPr>
        <w:t>以下简称</w:t>
      </w:r>
      <w:r>
        <w:rPr>
          <w:rFonts w:ascii="宋体" w:hAnsi="宋体" w:eastAsia="宋体" w:cs="宋体"/>
          <w:spacing w:val="7"/>
          <w:sz w:val="20"/>
          <w:szCs w:val="20"/>
        </w:rPr>
        <w:t>“我方”）受该投标人委托，在此无条件地、不可撤销地保证：一旦收到你方提出的下述任何一种</w:t>
      </w:r>
      <w:r>
        <w:rPr>
          <w:rFonts w:ascii="宋体" w:hAnsi="宋体" w:eastAsia="宋体" w:cs="宋体"/>
          <w:spacing w:val="6"/>
          <w:sz w:val="20"/>
          <w:szCs w:val="20"/>
        </w:rPr>
        <w:t>事实的书面通知，在</w:t>
      </w:r>
      <w:r>
        <w:rPr>
          <w:rFonts w:ascii="宋体" w:hAnsi="宋体" w:eastAsia="宋体" w:cs="宋体"/>
          <w:spacing w:val="-30"/>
          <w:sz w:val="20"/>
          <w:szCs w:val="20"/>
        </w:rPr>
        <w:t xml:space="preserve"> </w:t>
      </w:r>
      <w:r>
        <w:rPr>
          <w:rFonts w:ascii="宋体" w:hAnsi="宋体" w:eastAsia="宋体" w:cs="宋体"/>
          <w:spacing w:val="6"/>
          <w:sz w:val="20"/>
          <w:szCs w:val="20"/>
        </w:rPr>
        <w:t>7 日内无条件地向你方支付总额不超过</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（投标保函额度）</w:t>
      </w:r>
      <w:r>
        <w:rPr>
          <w:rFonts w:ascii="宋体" w:hAnsi="宋体" w:eastAsia="宋体" w:cs="宋体"/>
          <w:spacing w:val="9"/>
          <w:sz w:val="20"/>
          <w:szCs w:val="20"/>
        </w:rPr>
        <w:t>的任何你方要求的金额：</w:t>
      </w:r>
    </w:p>
    <w:p w14:paraId="56CD9E33">
      <w:pPr>
        <w:spacing w:before="1" w:line="227" w:lineRule="auto"/>
        <w:ind w:left="445"/>
        <w:rPr>
          <w:rFonts w:ascii="宋体" w:hAnsi="宋体" w:eastAsia="宋体" w:cs="宋体"/>
          <w:sz w:val="20"/>
          <w:szCs w:val="20"/>
        </w:rPr>
      </w:pPr>
      <w:r>
        <w:rPr>
          <w:rFonts w:ascii="宋体" w:hAnsi="宋体" w:eastAsia="宋体" w:cs="宋体"/>
          <w:spacing w:val="8"/>
          <w:sz w:val="20"/>
          <w:szCs w:val="20"/>
        </w:rPr>
        <w:t>1．投标人在规定的投标有效期内撤销或者修改其投标文件。</w:t>
      </w:r>
    </w:p>
    <w:p w14:paraId="24DC8643">
      <w:pPr>
        <w:spacing w:before="213" w:line="425" w:lineRule="auto"/>
        <w:ind w:left="30" w:right="89" w:firstLine="402"/>
        <w:rPr>
          <w:rFonts w:ascii="宋体" w:hAnsi="宋体" w:eastAsia="宋体" w:cs="宋体"/>
          <w:sz w:val="20"/>
          <w:szCs w:val="20"/>
        </w:rPr>
      </w:pPr>
      <w:r>
        <w:rPr>
          <w:rFonts w:ascii="宋体" w:hAnsi="宋体" w:eastAsia="宋体" w:cs="宋体"/>
          <w:spacing w:val="9"/>
          <w:sz w:val="20"/>
          <w:szCs w:val="20"/>
        </w:rPr>
        <w:t>2．投标人在收到中标通知书后无正当理由而未在规定期限内与贵方签署合同，或者在签</w:t>
      </w:r>
      <w:r>
        <w:rPr>
          <w:rFonts w:ascii="宋体" w:hAnsi="宋体" w:eastAsia="宋体" w:cs="宋体"/>
          <w:spacing w:val="8"/>
          <w:sz w:val="20"/>
          <w:szCs w:val="20"/>
        </w:rPr>
        <w:t>订合</w:t>
      </w:r>
      <w:r>
        <w:rPr>
          <w:rFonts w:ascii="宋体" w:hAnsi="宋体" w:eastAsia="宋体" w:cs="宋体"/>
          <w:spacing w:val="6"/>
          <w:sz w:val="20"/>
          <w:szCs w:val="20"/>
        </w:rPr>
        <w:t>同时向招标人提出附加条件。</w:t>
      </w:r>
    </w:p>
    <w:p w14:paraId="728CBE2F">
      <w:pPr>
        <w:spacing w:before="1" w:line="226" w:lineRule="auto"/>
        <w:ind w:left="434"/>
        <w:rPr>
          <w:rFonts w:ascii="宋体" w:hAnsi="宋体" w:eastAsia="宋体" w:cs="宋体"/>
          <w:sz w:val="20"/>
          <w:szCs w:val="20"/>
        </w:rPr>
      </w:pPr>
      <w:r>
        <w:rPr>
          <w:rFonts w:ascii="宋体" w:hAnsi="宋体" w:eastAsia="宋体" w:cs="宋体"/>
          <w:spacing w:val="9"/>
          <w:sz w:val="20"/>
          <w:szCs w:val="20"/>
        </w:rPr>
        <w:t>3．投标人在收到中标通知书后未能在规定期限内向贵方提交招标文件所要求的履约担保。</w:t>
      </w:r>
    </w:p>
    <w:p w14:paraId="25B78736">
      <w:pPr>
        <w:spacing w:before="213" w:line="425" w:lineRule="auto"/>
        <w:ind w:left="27" w:right="87" w:firstLine="403"/>
        <w:rPr>
          <w:rFonts w:ascii="宋体" w:hAnsi="宋体" w:eastAsia="宋体" w:cs="宋体"/>
          <w:sz w:val="20"/>
          <w:szCs w:val="20"/>
        </w:rPr>
      </w:pPr>
      <w:r>
        <w:rPr>
          <w:rFonts w:ascii="宋体" w:hAnsi="宋体" w:eastAsia="宋体" w:cs="宋体"/>
          <w:spacing w:val="12"/>
          <w:sz w:val="20"/>
          <w:szCs w:val="20"/>
        </w:rPr>
        <w:t>本保函在投标有效期内保持有效，除非你方提前终止或解除本保函。要</w:t>
      </w:r>
      <w:r>
        <w:rPr>
          <w:rFonts w:ascii="宋体" w:hAnsi="宋体" w:eastAsia="宋体" w:cs="宋体"/>
          <w:spacing w:val="11"/>
          <w:sz w:val="20"/>
          <w:szCs w:val="20"/>
        </w:rPr>
        <w:t>求我方承担保证责任</w:t>
      </w:r>
      <w:r>
        <w:rPr>
          <w:rFonts w:ascii="宋体" w:hAnsi="宋体" w:eastAsia="宋体" w:cs="宋体"/>
          <w:spacing w:val="9"/>
          <w:sz w:val="20"/>
          <w:szCs w:val="20"/>
        </w:rPr>
        <w:t>的通知应在投标有效期内送达我方。保函失效后请将本保函交投标人退回我方注</w:t>
      </w:r>
      <w:r>
        <w:rPr>
          <w:rFonts w:ascii="宋体" w:hAnsi="宋体" w:eastAsia="宋体" w:cs="宋体"/>
          <w:spacing w:val="8"/>
          <w:sz w:val="20"/>
          <w:szCs w:val="20"/>
        </w:rPr>
        <w:t>销。</w:t>
      </w:r>
    </w:p>
    <w:p w14:paraId="189C84D5">
      <w:pPr>
        <w:spacing w:before="1" w:line="226" w:lineRule="auto"/>
        <w:ind w:left="430"/>
        <w:rPr>
          <w:rFonts w:ascii="宋体" w:hAnsi="宋体" w:eastAsia="宋体" w:cs="宋体"/>
          <w:sz w:val="20"/>
          <w:szCs w:val="20"/>
        </w:rPr>
      </w:pPr>
      <w:r>
        <w:rPr>
          <w:rFonts w:ascii="宋体" w:hAnsi="宋体" w:eastAsia="宋体" w:cs="宋体"/>
          <w:spacing w:val="9"/>
          <w:sz w:val="20"/>
          <w:szCs w:val="20"/>
        </w:rPr>
        <w:t>本保函项下所有权利和义务均受中华人民共和国法律管辖和制约。</w:t>
      </w:r>
    </w:p>
    <w:p w14:paraId="190121D9">
      <w:pPr>
        <w:spacing w:line="302" w:lineRule="auto"/>
        <w:rPr>
          <w:rFonts w:ascii="Arial"/>
          <w:sz w:val="21"/>
        </w:rPr>
      </w:pPr>
    </w:p>
    <w:p w14:paraId="2622CD8E">
      <w:pPr>
        <w:spacing w:line="302" w:lineRule="auto"/>
        <w:rPr>
          <w:rFonts w:ascii="Arial"/>
          <w:sz w:val="21"/>
        </w:rPr>
      </w:pPr>
    </w:p>
    <w:p w14:paraId="5DE11721">
      <w:pPr>
        <w:spacing w:before="65" w:line="227" w:lineRule="auto"/>
        <w:ind w:left="2110"/>
        <w:rPr>
          <w:rFonts w:ascii="宋体" w:hAnsi="宋体" w:eastAsia="宋体" w:cs="宋体"/>
          <w:sz w:val="20"/>
          <w:szCs w:val="20"/>
        </w:rPr>
      </w:pPr>
      <w:r>
        <w:rPr>
          <w:rFonts w:ascii="宋体" w:hAnsi="宋体" w:eastAsia="宋体" w:cs="宋体"/>
          <w:spacing w:val="11"/>
          <w:sz w:val="20"/>
          <w:szCs w:val="20"/>
        </w:rPr>
        <w:t>担保人名称</w:t>
      </w:r>
      <w:r>
        <w:rPr>
          <w:rFonts w:ascii="宋体" w:hAnsi="宋体" w:eastAsia="宋体" w:cs="宋体"/>
          <w:spacing w:val="-6"/>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1"/>
          <w:sz w:val="20"/>
          <w:szCs w:val="20"/>
        </w:rPr>
        <w:t>盖单位章）</w:t>
      </w:r>
    </w:p>
    <w:p w14:paraId="47AB8459">
      <w:pPr>
        <w:spacing w:before="215" w:line="228" w:lineRule="auto"/>
        <w:ind w:left="2110"/>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pacing w:val="-1"/>
          <w:sz w:val="20"/>
          <w:szCs w:val="20"/>
        </w:rPr>
        <w:t>：</w:t>
      </w:r>
      <w:r>
        <w:rPr>
          <w:rFonts w:ascii="宋体" w:hAnsi="宋体" w:eastAsia="宋体" w:cs="宋体"/>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0"/>
          <w:sz w:val="20"/>
          <w:szCs w:val="20"/>
        </w:rPr>
        <w:t>签字）</w:t>
      </w:r>
    </w:p>
    <w:p w14:paraId="0EB768BD">
      <w:pPr>
        <w:spacing w:before="212" w:line="237" w:lineRule="auto"/>
        <w:ind w:left="2110"/>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2"/>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1665A0D3">
      <w:pPr>
        <w:spacing w:before="203" w:line="228" w:lineRule="auto"/>
        <w:ind w:left="2125"/>
        <w:rPr>
          <w:rFonts w:ascii="宋体" w:hAnsi="宋体" w:eastAsia="宋体" w:cs="宋体"/>
          <w:sz w:val="20"/>
          <w:szCs w:val="20"/>
        </w:rPr>
      </w:pPr>
      <w:r>
        <w:rPr>
          <w:rFonts w:ascii="宋体" w:hAnsi="宋体" w:eastAsia="宋体" w:cs="宋体"/>
          <w:spacing w:val="5"/>
          <w:sz w:val="20"/>
          <w:szCs w:val="20"/>
        </w:rPr>
        <w:t>邮政编码：</w:t>
      </w:r>
      <w:r>
        <w:rPr>
          <w:rFonts w:ascii="宋体" w:hAnsi="宋体" w:eastAsia="宋体" w:cs="宋体"/>
          <w:sz w:val="20"/>
          <w:szCs w:val="20"/>
          <w:u w:val="single" w:color="auto"/>
        </w:rPr>
        <w:t xml:space="preserve">                                                </w:t>
      </w:r>
    </w:p>
    <w:p w14:paraId="3BDA74EE">
      <w:pPr>
        <w:spacing w:before="214" w:line="230" w:lineRule="auto"/>
        <w:ind w:left="2134"/>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7"/>
          <w:sz w:val="20"/>
          <w:szCs w:val="20"/>
        </w:rPr>
        <w:t xml:space="preserve">    </w:t>
      </w:r>
      <w:r>
        <w:rPr>
          <w:rFonts w:ascii="宋体" w:hAnsi="宋体" w:eastAsia="宋体" w:cs="宋体"/>
          <w:spacing w:val="-13"/>
          <w:sz w:val="20"/>
          <w:szCs w:val="20"/>
        </w:rPr>
        <w:t>话</w:t>
      </w:r>
      <w:r>
        <w:rPr>
          <w:rFonts w:ascii="宋体" w:hAnsi="宋体" w:eastAsia="宋体" w:cs="宋体"/>
          <w:spacing w:val="-73"/>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6ADE20B7">
      <w:pPr>
        <w:spacing w:before="210" w:line="227" w:lineRule="auto"/>
        <w:ind w:left="2108"/>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8"/>
          <w:sz w:val="20"/>
          <w:szCs w:val="20"/>
        </w:rPr>
        <w:t xml:space="preserve">    </w:t>
      </w:r>
      <w:r>
        <w:rPr>
          <w:rFonts w:ascii="宋体" w:hAnsi="宋体" w:eastAsia="宋体" w:cs="宋体"/>
          <w:spacing w:val="-5"/>
          <w:sz w:val="20"/>
          <w:szCs w:val="20"/>
        </w:rPr>
        <w:t>真</w:t>
      </w:r>
      <w:r>
        <w:rPr>
          <w:rFonts w:ascii="宋体" w:hAnsi="宋体" w:eastAsia="宋体" w:cs="宋体"/>
          <w:spacing w:val="-75"/>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4E49CAC6">
      <w:pPr>
        <w:tabs>
          <w:tab w:val="left" w:pos="6802"/>
        </w:tabs>
        <w:spacing w:before="214" w:line="228" w:lineRule="auto"/>
        <w:ind w:left="575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0"/>
          <w:sz w:val="20"/>
          <w:szCs w:val="20"/>
        </w:rPr>
        <w:t xml:space="preserve"> </w:t>
      </w:r>
      <w:r>
        <w:rPr>
          <w:rFonts w:ascii="宋体" w:hAnsi="宋体" w:eastAsia="宋体" w:cs="宋体"/>
          <w:spacing w:val="-2"/>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0"/>
          <w:sz w:val="20"/>
          <w:szCs w:val="20"/>
        </w:rPr>
        <w:t xml:space="preserve"> </w:t>
      </w:r>
      <w:r>
        <w:rPr>
          <w:rFonts w:ascii="宋体" w:hAnsi="宋体" w:eastAsia="宋体" w:cs="宋体"/>
          <w:spacing w:val="-2"/>
          <w:sz w:val="20"/>
          <w:szCs w:val="20"/>
        </w:rPr>
        <w:t>日</w:t>
      </w:r>
    </w:p>
    <w:p w14:paraId="0719F700">
      <w:pPr>
        <w:spacing w:line="278" w:lineRule="auto"/>
        <w:rPr>
          <w:rFonts w:ascii="Arial"/>
          <w:sz w:val="21"/>
        </w:rPr>
      </w:pPr>
    </w:p>
    <w:p w14:paraId="0E1C9E6F">
      <w:pPr>
        <w:spacing w:line="278" w:lineRule="auto"/>
        <w:rPr>
          <w:rFonts w:ascii="Arial"/>
          <w:sz w:val="21"/>
        </w:rPr>
      </w:pPr>
    </w:p>
    <w:p w14:paraId="5C6A2569">
      <w:pPr>
        <w:spacing w:before="65" w:line="227" w:lineRule="auto"/>
        <w:ind w:left="12"/>
        <w:rPr>
          <w:rFonts w:ascii="宋体" w:hAnsi="宋体" w:eastAsia="宋体" w:cs="宋体"/>
          <w:sz w:val="20"/>
          <w:szCs w:val="20"/>
        </w:rPr>
      </w:pPr>
      <w:r>
        <w:rPr>
          <w:rFonts w:ascii="宋体" w:hAnsi="宋体" w:eastAsia="宋体" w:cs="宋体"/>
          <w:spacing w:val="9"/>
          <w:sz w:val="20"/>
          <w:szCs w:val="20"/>
        </w:rPr>
        <w:t>备注：1.投标人采用保函形式提交投标保证金</w:t>
      </w:r>
      <w:r>
        <w:rPr>
          <w:rFonts w:ascii="宋体" w:hAnsi="宋体" w:eastAsia="宋体" w:cs="宋体"/>
          <w:spacing w:val="8"/>
          <w:sz w:val="20"/>
          <w:szCs w:val="20"/>
        </w:rPr>
        <w:t>的采用本格式。</w:t>
      </w:r>
    </w:p>
    <w:p w14:paraId="066022A2">
      <w:pPr>
        <w:spacing w:before="156" w:line="371" w:lineRule="auto"/>
        <w:ind w:left="848" w:right="87" w:hanging="205"/>
        <w:rPr>
          <w:rFonts w:ascii="宋体" w:hAnsi="宋体" w:eastAsia="宋体" w:cs="宋体"/>
          <w:sz w:val="20"/>
          <w:szCs w:val="20"/>
        </w:rPr>
      </w:pPr>
      <w:r>
        <w:rPr>
          <w:rFonts w:ascii="宋体" w:hAnsi="宋体" w:eastAsia="宋体" w:cs="宋体"/>
          <w:spacing w:val="11"/>
          <w:sz w:val="20"/>
          <w:szCs w:val="20"/>
        </w:rPr>
        <w:t>2.投标人可采用银行提供的保函格式，但担保内容不得背离招标文件约定的实质性内容或</w:t>
      </w:r>
      <w:r>
        <w:rPr>
          <w:rFonts w:ascii="宋体" w:hAnsi="宋体" w:eastAsia="宋体" w:cs="宋体"/>
          <w:spacing w:val="8"/>
          <w:sz w:val="20"/>
          <w:szCs w:val="20"/>
        </w:rPr>
        <w:t>对招标人的权利造成实质性的限制。</w:t>
      </w:r>
    </w:p>
    <w:p w14:paraId="4183E89E">
      <w:pPr>
        <w:spacing w:line="371" w:lineRule="auto"/>
        <w:rPr>
          <w:rFonts w:ascii="宋体" w:hAnsi="宋体" w:eastAsia="宋体" w:cs="宋体"/>
          <w:sz w:val="20"/>
          <w:szCs w:val="20"/>
        </w:rPr>
        <w:sectPr>
          <w:footerReference r:id="rId518" w:type="default"/>
          <w:pgSz w:w="11907" w:h="16840"/>
          <w:pgMar w:top="400" w:right="1444" w:bottom="1247" w:left="1471" w:header="0" w:footer="1085" w:gutter="0"/>
          <w:cols w:space="720" w:num="1"/>
        </w:sectPr>
      </w:pPr>
    </w:p>
    <w:p w14:paraId="7540D21B">
      <w:pPr>
        <w:spacing w:line="256" w:lineRule="auto"/>
        <w:rPr>
          <w:rFonts w:ascii="Arial"/>
          <w:sz w:val="21"/>
        </w:rPr>
      </w:pPr>
    </w:p>
    <w:p w14:paraId="105CF1E9">
      <w:pPr>
        <w:spacing w:line="256" w:lineRule="auto"/>
        <w:rPr>
          <w:rFonts w:ascii="Arial"/>
          <w:sz w:val="21"/>
        </w:rPr>
      </w:pPr>
    </w:p>
    <w:p w14:paraId="17F6C639">
      <w:pPr>
        <w:spacing w:line="256" w:lineRule="auto"/>
        <w:rPr>
          <w:rFonts w:ascii="Arial"/>
          <w:sz w:val="21"/>
        </w:rPr>
      </w:pPr>
    </w:p>
    <w:p w14:paraId="46B4A854">
      <w:pPr>
        <w:spacing w:line="256" w:lineRule="auto"/>
        <w:rPr>
          <w:rFonts w:ascii="Arial"/>
          <w:sz w:val="21"/>
        </w:rPr>
      </w:pPr>
    </w:p>
    <w:p w14:paraId="6EBCC11B">
      <w:pPr>
        <w:spacing w:line="257" w:lineRule="auto"/>
        <w:rPr>
          <w:rFonts w:ascii="Arial"/>
          <w:sz w:val="21"/>
        </w:rPr>
      </w:pPr>
    </w:p>
    <w:p w14:paraId="64BB949E">
      <w:pPr>
        <w:pStyle w:val="2"/>
        <w:spacing w:before="91" w:line="222" w:lineRule="auto"/>
        <w:ind w:left="3359"/>
        <w:outlineLvl w:val="1"/>
        <w:rPr>
          <w:sz w:val="28"/>
          <w:szCs w:val="28"/>
        </w:rPr>
      </w:pPr>
      <w:bookmarkStart w:id="417" w:name="bookmark398"/>
      <w:bookmarkEnd w:id="417"/>
      <w:r>
        <w:rPr>
          <w:spacing w:val="-4"/>
          <w:sz w:val="28"/>
          <w:szCs w:val="28"/>
        </w:rPr>
        <w:t>四、联合体协议书</w:t>
      </w:r>
    </w:p>
    <w:p w14:paraId="3F76E970">
      <w:pPr>
        <w:spacing w:line="444" w:lineRule="auto"/>
        <w:rPr>
          <w:rFonts w:ascii="Arial"/>
          <w:sz w:val="21"/>
        </w:rPr>
      </w:pPr>
    </w:p>
    <w:p w14:paraId="1DF3EFFA">
      <w:pPr>
        <w:spacing w:before="65" w:line="227" w:lineRule="auto"/>
        <w:ind w:left="10"/>
        <w:rPr>
          <w:rFonts w:ascii="宋体" w:hAnsi="宋体" w:eastAsia="宋体" w:cs="宋体"/>
          <w:sz w:val="20"/>
          <w:szCs w:val="20"/>
        </w:rPr>
      </w:pPr>
      <w:r>
        <w:rPr>
          <w:rFonts w:ascii="宋体" w:hAnsi="宋体" w:eastAsia="宋体" w:cs="宋体"/>
          <w:spacing w:val="8"/>
          <w:sz w:val="20"/>
          <w:szCs w:val="20"/>
        </w:rPr>
        <w:t>牵头人名称：</w:t>
      </w:r>
      <w:r>
        <w:rPr>
          <w:rFonts w:ascii="宋体" w:hAnsi="宋体" w:eastAsia="宋体" w:cs="宋体"/>
          <w:sz w:val="20"/>
          <w:szCs w:val="20"/>
          <w:u w:val="single" w:color="auto"/>
        </w:rPr>
        <w:t xml:space="preserve">                                                     </w:t>
      </w:r>
    </w:p>
    <w:p w14:paraId="08A4C601">
      <w:pPr>
        <w:spacing w:before="149" w:line="228" w:lineRule="auto"/>
        <w:ind w:left="9"/>
        <w:rPr>
          <w:rFonts w:ascii="宋体" w:hAnsi="宋体" w:eastAsia="宋体" w:cs="宋体"/>
          <w:sz w:val="20"/>
          <w:szCs w:val="20"/>
        </w:rPr>
      </w:pPr>
      <w:r>
        <w:rPr>
          <w:rFonts w:ascii="宋体" w:hAnsi="宋体" w:eastAsia="宋体" w:cs="宋体"/>
          <w:spacing w:val="8"/>
          <w:sz w:val="20"/>
          <w:szCs w:val="20"/>
        </w:rPr>
        <w:t>法定代表人：</w:t>
      </w:r>
      <w:r>
        <w:rPr>
          <w:rFonts w:ascii="宋体" w:hAnsi="宋体" w:eastAsia="宋体" w:cs="宋体"/>
          <w:sz w:val="20"/>
          <w:szCs w:val="20"/>
          <w:u w:val="single" w:color="auto"/>
        </w:rPr>
        <w:t xml:space="preserve">                                                     </w:t>
      </w:r>
    </w:p>
    <w:p w14:paraId="08587E3C">
      <w:pPr>
        <w:spacing w:before="147" w:line="228" w:lineRule="auto"/>
        <w:ind w:left="9"/>
        <w:rPr>
          <w:rFonts w:ascii="宋体" w:hAnsi="宋体" w:eastAsia="宋体" w:cs="宋体"/>
          <w:sz w:val="20"/>
          <w:szCs w:val="20"/>
        </w:rPr>
      </w:pPr>
      <w:r>
        <w:rPr>
          <w:rFonts w:ascii="宋体" w:hAnsi="宋体" w:eastAsia="宋体" w:cs="宋体"/>
          <w:spacing w:val="8"/>
          <w:sz w:val="20"/>
          <w:szCs w:val="20"/>
        </w:rPr>
        <w:t>法定住所：</w:t>
      </w:r>
      <w:r>
        <w:rPr>
          <w:rFonts w:ascii="宋体" w:hAnsi="宋体" w:eastAsia="宋体" w:cs="宋体"/>
          <w:sz w:val="20"/>
          <w:szCs w:val="20"/>
          <w:u w:val="single" w:color="auto"/>
        </w:rPr>
        <w:t xml:space="preserve">                                                       </w:t>
      </w:r>
    </w:p>
    <w:p w14:paraId="1A178B2A">
      <w:pPr>
        <w:spacing w:line="471" w:lineRule="auto"/>
        <w:rPr>
          <w:rFonts w:ascii="Arial"/>
          <w:sz w:val="21"/>
        </w:rPr>
      </w:pPr>
    </w:p>
    <w:p w14:paraId="32A154EF">
      <w:pPr>
        <w:spacing w:before="66" w:line="229" w:lineRule="auto"/>
        <w:ind w:left="10"/>
        <w:rPr>
          <w:rFonts w:ascii="宋体" w:hAnsi="宋体" w:eastAsia="宋体" w:cs="宋体"/>
          <w:sz w:val="20"/>
          <w:szCs w:val="20"/>
        </w:rPr>
      </w:pPr>
      <w:r>
        <w:rPr>
          <w:rFonts w:ascii="宋体" w:hAnsi="宋体" w:eastAsia="宋体" w:cs="宋体"/>
          <w:spacing w:val="8"/>
          <w:sz w:val="20"/>
          <w:szCs w:val="20"/>
        </w:rPr>
        <w:t>成员二名称：</w:t>
      </w:r>
      <w:r>
        <w:rPr>
          <w:rFonts w:ascii="宋体" w:hAnsi="宋体" w:eastAsia="宋体" w:cs="宋体"/>
          <w:sz w:val="20"/>
          <w:szCs w:val="20"/>
          <w:u w:val="single" w:color="auto"/>
        </w:rPr>
        <w:t xml:space="preserve">                                                     </w:t>
      </w:r>
    </w:p>
    <w:p w14:paraId="50DC4F18">
      <w:pPr>
        <w:spacing w:before="145" w:line="228" w:lineRule="auto"/>
        <w:ind w:left="9"/>
        <w:rPr>
          <w:rFonts w:ascii="宋体" w:hAnsi="宋体" w:eastAsia="宋体" w:cs="宋体"/>
          <w:sz w:val="20"/>
          <w:szCs w:val="20"/>
        </w:rPr>
      </w:pPr>
      <w:r>
        <w:rPr>
          <w:rFonts w:ascii="宋体" w:hAnsi="宋体" w:eastAsia="宋体" w:cs="宋体"/>
          <w:spacing w:val="8"/>
          <w:sz w:val="20"/>
          <w:szCs w:val="20"/>
        </w:rPr>
        <w:t>法定代表人：</w:t>
      </w:r>
      <w:r>
        <w:rPr>
          <w:rFonts w:ascii="宋体" w:hAnsi="宋体" w:eastAsia="宋体" w:cs="宋体"/>
          <w:sz w:val="20"/>
          <w:szCs w:val="20"/>
          <w:u w:val="single" w:color="auto"/>
        </w:rPr>
        <w:t xml:space="preserve">                                                     </w:t>
      </w:r>
    </w:p>
    <w:p w14:paraId="24CFB489">
      <w:pPr>
        <w:spacing w:before="148" w:line="364" w:lineRule="auto"/>
        <w:ind w:left="546" w:right="2478" w:hanging="537"/>
        <w:rPr>
          <w:rFonts w:ascii="宋体" w:hAnsi="宋体" w:eastAsia="宋体" w:cs="宋体"/>
          <w:sz w:val="20"/>
          <w:szCs w:val="20"/>
        </w:rPr>
      </w:pPr>
      <w:r>
        <w:rPr>
          <w:rFonts w:ascii="宋体" w:hAnsi="宋体" w:eastAsia="宋体" w:cs="宋体"/>
          <w:spacing w:val="5"/>
          <w:sz w:val="20"/>
          <w:szCs w:val="20"/>
        </w:rPr>
        <w:t>法定住所：</w:t>
      </w:r>
      <w:r>
        <w:rPr>
          <w:rFonts w:ascii="宋体" w:hAnsi="宋体" w:eastAsia="宋体" w:cs="宋体"/>
          <w:spacing w:val="5"/>
          <w:sz w:val="20"/>
          <w:szCs w:val="20"/>
          <w:u w:val="single" w:color="auto"/>
        </w:rPr>
        <w:t xml:space="preserve">                                                    </w:t>
      </w:r>
      <w:r>
        <w:rPr>
          <w:rFonts w:ascii="宋体" w:hAnsi="宋体" w:eastAsia="宋体" w:cs="宋体"/>
          <w:spacing w:val="-2"/>
          <w:sz w:val="20"/>
          <w:szCs w:val="20"/>
        </w:rPr>
        <w:t>……</w:t>
      </w:r>
    </w:p>
    <w:p w14:paraId="49563935">
      <w:pPr>
        <w:spacing w:line="227" w:lineRule="auto"/>
        <w:ind w:left="431"/>
        <w:rPr>
          <w:rFonts w:ascii="宋体" w:hAnsi="宋体" w:eastAsia="宋体" w:cs="宋体"/>
          <w:sz w:val="20"/>
          <w:szCs w:val="20"/>
        </w:rPr>
      </w:pPr>
      <w:r>
        <w:rPr>
          <w:rFonts w:ascii="宋体" w:hAnsi="宋体" w:eastAsia="宋体" w:cs="宋体"/>
          <w:spacing w:val="8"/>
          <w:sz w:val="20"/>
          <w:szCs w:val="20"/>
        </w:rPr>
        <w:t>鉴于上述各成员单位经过友好协商，</w:t>
      </w:r>
      <w:r>
        <w:rPr>
          <w:rFonts w:ascii="宋体" w:hAnsi="宋体" w:eastAsia="宋体" w:cs="宋体"/>
          <w:spacing w:val="-49"/>
          <w:sz w:val="20"/>
          <w:szCs w:val="20"/>
        </w:rPr>
        <w:t xml:space="preserve"> </w:t>
      </w:r>
      <w:r>
        <w:rPr>
          <w:rFonts w:ascii="宋体" w:hAnsi="宋体" w:eastAsia="宋体" w:cs="宋体"/>
          <w:spacing w:val="8"/>
          <w:sz w:val="20"/>
          <w:szCs w:val="20"/>
        </w:rPr>
        <w:t>自愿组成</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（联合体名称）联合体，共同参加</w:t>
      </w:r>
    </w:p>
    <w:p w14:paraId="5F632DE4">
      <w:pPr>
        <w:tabs>
          <w:tab w:val="left" w:pos="1890"/>
        </w:tabs>
        <w:spacing w:before="148" w:line="363" w:lineRule="auto"/>
        <w:ind w:left="8" w:hanging="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u w:val="single" w:color="auto"/>
        </w:rPr>
        <w:tab/>
      </w:r>
      <w:r>
        <w:rPr>
          <w:rFonts w:ascii="宋体" w:hAnsi="宋体" w:eastAsia="宋体" w:cs="宋体"/>
          <w:spacing w:val="13"/>
          <w:sz w:val="20"/>
          <w:szCs w:val="20"/>
        </w:rPr>
        <w:t>（招标人名称</w:t>
      </w:r>
      <w:r>
        <w:rPr>
          <w:rFonts w:ascii="宋体" w:hAnsi="宋体" w:eastAsia="宋体" w:cs="宋体"/>
          <w:spacing w:val="-43"/>
          <w:sz w:val="20"/>
          <w:szCs w:val="20"/>
        </w:rPr>
        <w:t>）（</w:t>
      </w:r>
      <w:r>
        <w:rPr>
          <w:rFonts w:ascii="宋体" w:hAnsi="宋体" w:eastAsia="宋体" w:cs="宋体"/>
          <w:spacing w:val="13"/>
          <w:sz w:val="20"/>
          <w:szCs w:val="20"/>
        </w:rPr>
        <w:t>以下简称招标人</w:t>
      </w:r>
      <w:r>
        <w:rPr>
          <w:rFonts w:ascii="宋体" w:hAnsi="宋体" w:eastAsia="宋体" w:cs="宋体"/>
          <w:spacing w:val="-4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3"/>
          <w:sz w:val="20"/>
          <w:szCs w:val="20"/>
        </w:rPr>
        <w:t>（</w:t>
      </w:r>
      <w:r>
        <w:rPr>
          <w:rFonts w:ascii="宋体" w:hAnsi="宋体" w:eastAsia="宋体" w:cs="宋体"/>
          <w:spacing w:val="13"/>
          <w:sz w:val="20"/>
          <w:szCs w:val="20"/>
        </w:rPr>
        <w:t>项目名称</w:t>
      </w:r>
      <w:r>
        <w:rPr>
          <w:rFonts w:ascii="宋体" w:hAnsi="宋体" w:eastAsia="宋体" w:cs="宋体"/>
          <w:spacing w:val="-4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3"/>
          <w:sz w:val="20"/>
          <w:szCs w:val="20"/>
        </w:rPr>
        <w:t>（</w:t>
      </w:r>
      <w:r>
        <w:rPr>
          <w:rFonts w:ascii="宋体" w:hAnsi="宋体" w:eastAsia="宋体" w:cs="宋体"/>
          <w:spacing w:val="13"/>
          <w:sz w:val="20"/>
          <w:szCs w:val="20"/>
        </w:rPr>
        <w:t>标段名称）</w:t>
      </w:r>
      <w:r>
        <w:rPr>
          <w:rFonts w:ascii="宋体" w:hAnsi="宋体" w:eastAsia="宋体" w:cs="宋体"/>
          <w:sz w:val="20"/>
          <w:szCs w:val="20"/>
        </w:rPr>
        <w:t xml:space="preserve"> </w:t>
      </w:r>
      <w:r>
        <w:rPr>
          <w:rFonts w:ascii="宋体" w:hAnsi="宋体" w:eastAsia="宋体" w:cs="宋体"/>
          <w:spacing w:val="7"/>
          <w:sz w:val="20"/>
          <w:szCs w:val="20"/>
        </w:rPr>
        <w:t>（以下简称本工程）的施工投标并争取赢得本工程施工承包合同（以下</w:t>
      </w:r>
      <w:r>
        <w:rPr>
          <w:rFonts w:ascii="宋体" w:hAnsi="宋体" w:eastAsia="宋体" w:cs="宋体"/>
          <w:spacing w:val="6"/>
          <w:sz w:val="20"/>
          <w:szCs w:val="20"/>
        </w:rPr>
        <w:t>简称合同）。现就联合体投</w:t>
      </w:r>
      <w:r>
        <w:rPr>
          <w:rFonts w:ascii="宋体" w:hAnsi="宋体" w:eastAsia="宋体" w:cs="宋体"/>
          <w:spacing w:val="7"/>
          <w:sz w:val="20"/>
          <w:szCs w:val="20"/>
        </w:rPr>
        <w:t>标事宜订立如下协议：</w:t>
      </w:r>
    </w:p>
    <w:p w14:paraId="22605F21">
      <w:pPr>
        <w:spacing w:before="1" w:line="226" w:lineRule="auto"/>
        <w:ind w:left="444"/>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8"/>
          <w:sz w:val="20"/>
          <w:szCs w:val="20"/>
        </w:rPr>
        <w:t>某成员单位名称）为</w:t>
      </w:r>
      <w:r>
        <w:rPr>
          <w:rFonts w:ascii="宋体" w:hAnsi="宋体" w:eastAsia="宋体" w:cs="宋体"/>
          <w:spacing w:val="-97"/>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（联合体名称）牵头人。</w:t>
      </w:r>
    </w:p>
    <w:p w14:paraId="677DB148">
      <w:pPr>
        <w:spacing w:before="152" w:line="363" w:lineRule="auto"/>
        <w:ind w:left="7" w:right="87" w:firstLine="423"/>
        <w:rPr>
          <w:rFonts w:ascii="宋体" w:hAnsi="宋体" w:eastAsia="宋体" w:cs="宋体"/>
          <w:sz w:val="20"/>
          <w:szCs w:val="20"/>
        </w:rPr>
      </w:pPr>
      <w:r>
        <w:rPr>
          <w:rFonts w:ascii="宋体" w:hAnsi="宋体" w:eastAsia="宋体" w:cs="宋体"/>
          <w:spacing w:val="9"/>
          <w:sz w:val="20"/>
          <w:szCs w:val="20"/>
        </w:rPr>
        <w:t>2．在本工程投标阶段，联合体牵头人合法代表联合体各成员负责本工程投标文件编制活动，</w:t>
      </w:r>
      <w:r>
        <w:rPr>
          <w:rFonts w:ascii="宋体" w:hAnsi="宋体" w:eastAsia="宋体" w:cs="宋体"/>
          <w:spacing w:val="12"/>
          <w:sz w:val="20"/>
          <w:szCs w:val="20"/>
        </w:rPr>
        <w:t>代表联合体提交和接收相关的资料、信息及指示，并处理与投标和中标</w:t>
      </w:r>
      <w:r>
        <w:rPr>
          <w:rFonts w:ascii="宋体" w:hAnsi="宋体" w:eastAsia="宋体" w:cs="宋体"/>
          <w:spacing w:val="11"/>
          <w:sz w:val="20"/>
          <w:szCs w:val="20"/>
        </w:rPr>
        <w:t>有关的一切事务；联合体</w:t>
      </w:r>
      <w:r>
        <w:rPr>
          <w:rFonts w:ascii="宋体" w:hAnsi="宋体" w:eastAsia="宋体" w:cs="宋体"/>
          <w:spacing w:val="9"/>
          <w:sz w:val="20"/>
          <w:szCs w:val="20"/>
        </w:rPr>
        <w:t>中标后，联合体牵头人负责合同订立和合同实施阶段的主办、组织和协调工作。</w:t>
      </w:r>
    </w:p>
    <w:p w14:paraId="3F377161">
      <w:pPr>
        <w:spacing w:line="364" w:lineRule="auto"/>
        <w:ind w:left="7" w:right="87" w:firstLine="425"/>
        <w:rPr>
          <w:rFonts w:ascii="宋体" w:hAnsi="宋体" w:eastAsia="宋体" w:cs="宋体"/>
          <w:sz w:val="20"/>
          <w:szCs w:val="20"/>
        </w:rPr>
      </w:pPr>
      <w:r>
        <w:rPr>
          <w:rFonts w:ascii="宋体" w:hAnsi="宋体" w:eastAsia="宋体" w:cs="宋体"/>
          <w:spacing w:val="9"/>
          <w:sz w:val="20"/>
          <w:szCs w:val="20"/>
        </w:rPr>
        <w:t>3．联合体将严格按照招标文件的各项要求，递交投标文件，履行投标义务和中标后的合同，</w:t>
      </w:r>
      <w:r>
        <w:rPr>
          <w:rFonts w:ascii="宋体" w:hAnsi="宋体" w:eastAsia="宋体" w:cs="宋体"/>
          <w:spacing w:val="12"/>
          <w:sz w:val="20"/>
          <w:szCs w:val="20"/>
        </w:rPr>
        <w:t>共同承担合同规定的一切义务和责任，联合体各成员单位按照内部职责</w:t>
      </w:r>
      <w:r>
        <w:rPr>
          <w:rFonts w:ascii="宋体" w:hAnsi="宋体" w:eastAsia="宋体" w:cs="宋体"/>
          <w:spacing w:val="11"/>
          <w:sz w:val="20"/>
          <w:szCs w:val="20"/>
        </w:rPr>
        <w:t>的部分，承担各自所负的</w:t>
      </w:r>
      <w:r>
        <w:rPr>
          <w:rFonts w:ascii="宋体" w:hAnsi="宋体" w:eastAsia="宋体" w:cs="宋体"/>
          <w:spacing w:val="8"/>
          <w:sz w:val="20"/>
          <w:szCs w:val="20"/>
        </w:rPr>
        <w:t>责任和风险，并向招标人承担连带责任。</w:t>
      </w:r>
    </w:p>
    <w:p w14:paraId="01179676">
      <w:pPr>
        <w:tabs>
          <w:tab w:val="left" w:pos="8294"/>
        </w:tabs>
        <w:spacing w:line="364" w:lineRule="auto"/>
        <w:ind w:right="87" w:firstLine="427"/>
        <w:rPr>
          <w:rFonts w:ascii="宋体" w:hAnsi="宋体" w:eastAsia="宋体" w:cs="宋体"/>
          <w:sz w:val="20"/>
          <w:szCs w:val="20"/>
        </w:rPr>
      </w:pPr>
      <w:r>
        <w:rPr>
          <w:rFonts w:ascii="宋体" w:hAnsi="宋体" w:eastAsia="宋体" w:cs="宋体"/>
          <w:spacing w:val="9"/>
          <w:sz w:val="20"/>
          <w:szCs w:val="20"/>
        </w:rPr>
        <w:t>4．联合体各成员单位内部的职责分工如下：</w:t>
      </w:r>
      <w:r>
        <w:rPr>
          <w:rFonts w:ascii="宋体" w:hAnsi="宋体" w:eastAsia="宋体" w:cs="宋体"/>
          <w:spacing w:val="2"/>
          <w:sz w:val="20"/>
          <w:szCs w:val="20"/>
          <w:u w:val="single" w:color="auto"/>
        </w:rPr>
        <w:t xml:space="preserve">                                           </w:t>
      </w:r>
      <w:r>
        <w:rPr>
          <w:rFonts w:ascii="宋体" w:hAnsi="宋体" w:eastAsia="宋体" w:cs="宋体"/>
          <w:sz w:val="20"/>
          <w:szCs w:val="20"/>
          <w:u w:val="single" w:color="auto"/>
        </w:rPr>
        <w:tab/>
      </w:r>
      <w:r>
        <w:rPr>
          <w:rFonts w:ascii="宋体" w:hAnsi="宋体" w:eastAsia="宋体" w:cs="宋体"/>
          <w:spacing w:val="1"/>
          <w:sz w:val="20"/>
          <w:szCs w:val="20"/>
        </w:rPr>
        <w:t>。按照</w:t>
      </w:r>
      <w:r>
        <w:rPr>
          <w:rFonts w:ascii="宋体" w:hAnsi="宋体" w:eastAsia="宋体" w:cs="宋体"/>
          <w:spacing w:val="7"/>
          <w:sz w:val="20"/>
          <w:szCs w:val="20"/>
        </w:rPr>
        <w:t>本条上述分工，联合体成员单位各自所承担的合同工作量比例如下：</w:t>
      </w:r>
      <w:r>
        <w:rPr>
          <w:rFonts w:ascii="宋体" w:hAnsi="宋体" w:eastAsia="宋体" w:cs="宋体"/>
          <w:spacing w:val="7"/>
          <w:sz w:val="20"/>
          <w:szCs w:val="20"/>
          <w:u w:val="single" w:color="auto"/>
        </w:rPr>
        <w:t xml:space="preserve">                         </w:t>
      </w:r>
    </w:p>
    <w:p w14:paraId="2FC73643">
      <w:pPr>
        <w:tabs>
          <w:tab w:val="left" w:pos="8714"/>
        </w:tabs>
        <w:spacing w:before="132" w:line="173" w:lineRule="auto"/>
        <w:ind w:left="10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B8F9E09">
      <w:pPr>
        <w:spacing w:before="193" w:line="228" w:lineRule="auto"/>
        <w:ind w:left="432"/>
        <w:rPr>
          <w:rFonts w:ascii="宋体" w:hAnsi="宋体" w:eastAsia="宋体" w:cs="宋体"/>
          <w:sz w:val="20"/>
          <w:szCs w:val="20"/>
        </w:rPr>
      </w:pPr>
      <w:r>
        <w:rPr>
          <w:rFonts w:ascii="宋体" w:hAnsi="宋体" w:eastAsia="宋体" w:cs="宋体"/>
          <w:spacing w:val="9"/>
          <w:sz w:val="20"/>
          <w:szCs w:val="20"/>
        </w:rPr>
        <w:t>5．投标工作和联合体在中标后工程实施过程中的有关费用按各自承担的工作量分摊。</w:t>
      </w:r>
    </w:p>
    <w:p w14:paraId="1995A2AC">
      <w:pPr>
        <w:spacing w:before="147" w:line="227" w:lineRule="auto"/>
        <w:ind w:left="430"/>
        <w:rPr>
          <w:rFonts w:ascii="宋体" w:hAnsi="宋体" w:eastAsia="宋体" w:cs="宋体"/>
          <w:sz w:val="20"/>
          <w:szCs w:val="20"/>
        </w:rPr>
      </w:pPr>
      <w:r>
        <w:rPr>
          <w:rFonts w:ascii="宋体" w:hAnsi="宋体" w:eastAsia="宋体" w:cs="宋体"/>
          <w:spacing w:val="9"/>
          <w:sz w:val="20"/>
          <w:szCs w:val="20"/>
        </w:rPr>
        <w:t>6．联合体中标后，本联合体协议是合同的附件，对联合体各成员单位有合同约束力。</w:t>
      </w:r>
    </w:p>
    <w:p w14:paraId="6501D0C6">
      <w:pPr>
        <w:spacing w:before="150" w:line="227" w:lineRule="auto"/>
        <w:ind w:left="433"/>
        <w:rPr>
          <w:rFonts w:ascii="宋体" w:hAnsi="宋体" w:eastAsia="宋体" w:cs="宋体"/>
          <w:sz w:val="20"/>
          <w:szCs w:val="20"/>
        </w:rPr>
      </w:pPr>
      <w:r>
        <w:rPr>
          <w:rFonts w:ascii="宋体" w:hAnsi="宋体" w:eastAsia="宋体" w:cs="宋体"/>
          <w:spacing w:val="9"/>
          <w:sz w:val="20"/>
          <w:szCs w:val="20"/>
        </w:rPr>
        <w:t>7．本协议书自签署之日起生效，联合体未中标或者中标合同履行完毕后自动失效。</w:t>
      </w:r>
    </w:p>
    <w:p w14:paraId="354DB3DA">
      <w:pPr>
        <w:spacing w:before="148" w:line="227" w:lineRule="auto"/>
        <w:ind w:left="429"/>
        <w:rPr>
          <w:rFonts w:ascii="宋体" w:hAnsi="宋体" w:eastAsia="宋体" w:cs="宋体"/>
          <w:sz w:val="20"/>
          <w:szCs w:val="20"/>
        </w:rPr>
      </w:pPr>
      <w:r>
        <w:rPr>
          <w:rFonts w:ascii="宋体" w:hAnsi="宋体" w:eastAsia="宋体" w:cs="宋体"/>
          <w:spacing w:val="7"/>
          <w:sz w:val="20"/>
          <w:szCs w:val="20"/>
        </w:rPr>
        <w:t>8．本协议书一式</w:t>
      </w:r>
      <w:r>
        <w:rPr>
          <w:rFonts w:ascii="宋体" w:hAnsi="宋体" w:eastAsia="宋体" w:cs="宋体"/>
          <w:spacing w:val="7"/>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7"/>
          <w:sz w:val="20"/>
          <w:szCs w:val="20"/>
        </w:rPr>
        <w:t>份，联合体成员和招标人各执一份。</w:t>
      </w:r>
    </w:p>
    <w:p w14:paraId="39A780F0">
      <w:pPr>
        <w:spacing w:line="251" w:lineRule="auto"/>
        <w:rPr>
          <w:rFonts w:ascii="Arial"/>
          <w:sz w:val="21"/>
        </w:rPr>
      </w:pPr>
    </w:p>
    <w:p w14:paraId="699D4BD3">
      <w:pPr>
        <w:spacing w:line="251" w:lineRule="auto"/>
        <w:rPr>
          <w:rFonts w:ascii="Arial"/>
          <w:sz w:val="21"/>
        </w:rPr>
      </w:pPr>
    </w:p>
    <w:p w14:paraId="684ACAF0">
      <w:pPr>
        <w:spacing w:line="251" w:lineRule="auto"/>
        <w:rPr>
          <w:rFonts w:ascii="Arial"/>
          <w:sz w:val="21"/>
        </w:rPr>
      </w:pPr>
    </w:p>
    <w:p w14:paraId="1B3C745F">
      <w:pPr>
        <w:spacing w:line="251" w:lineRule="auto"/>
        <w:rPr>
          <w:rFonts w:ascii="Arial"/>
          <w:sz w:val="21"/>
        </w:rPr>
      </w:pPr>
    </w:p>
    <w:p w14:paraId="4CFD9C64">
      <w:pPr>
        <w:spacing w:line="251" w:lineRule="auto"/>
        <w:rPr>
          <w:rFonts w:ascii="Arial"/>
          <w:sz w:val="21"/>
        </w:rPr>
      </w:pPr>
    </w:p>
    <w:p w14:paraId="72F52378">
      <w:pPr>
        <w:spacing w:before="66" w:line="227" w:lineRule="auto"/>
        <w:ind w:left="1796"/>
        <w:rPr>
          <w:rFonts w:ascii="宋体" w:hAnsi="宋体" w:eastAsia="宋体" w:cs="宋体"/>
          <w:sz w:val="20"/>
          <w:szCs w:val="20"/>
        </w:rPr>
      </w:pPr>
      <w:r>
        <w:rPr>
          <w:rFonts w:ascii="宋体" w:hAnsi="宋体" w:eastAsia="宋体" w:cs="宋体"/>
          <w:spacing w:val="10"/>
          <w:sz w:val="20"/>
          <w:szCs w:val="20"/>
        </w:rPr>
        <w:t>牵头人名称</w:t>
      </w:r>
      <w:r>
        <w:rPr>
          <w:rFonts w:ascii="宋体" w:hAnsi="宋体" w:eastAsia="宋体" w:cs="宋体"/>
          <w:spacing w:val="-1"/>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0"/>
          <w:sz w:val="20"/>
          <w:szCs w:val="20"/>
        </w:rPr>
        <w:t>盖单位章）</w:t>
      </w:r>
    </w:p>
    <w:p w14:paraId="679723D6">
      <w:pPr>
        <w:spacing w:before="149" w:line="228" w:lineRule="auto"/>
        <w:ind w:left="1795"/>
        <w:rPr>
          <w:rFonts w:ascii="宋体" w:hAnsi="宋体" w:eastAsia="宋体" w:cs="宋体"/>
          <w:sz w:val="20"/>
          <w:szCs w:val="20"/>
        </w:rPr>
      </w:pPr>
      <w:r>
        <w:rPr>
          <w:rFonts w:ascii="宋体" w:hAnsi="宋体" w:eastAsia="宋体" w:cs="宋体"/>
          <w:spacing w:val="11"/>
          <w:sz w:val="20"/>
          <w:szCs w:val="20"/>
        </w:rPr>
        <w:t>法定代表人</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签字）</w:t>
      </w:r>
    </w:p>
    <w:p w14:paraId="38F0EAB0">
      <w:pPr>
        <w:spacing w:line="228" w:lineRule="auto"/>
        <w:rPr>
          <w:rFonts w:ascii="宋体" w:hAnsi="宋体" w:eastAsia="宋体" w:cs="宋体"/>
          <w:sz w:val="20"/>
          <w:szCs w:val="20"/>
        </w:rPr>
        <w:sectPr>
          <w:footerReference r:id="rId519" w:type="default"/>
          <w:pgSz w:w="11907" w:h="16840"/>
          <w:pgMar w:top="400" w:right="1444" w:bottom="1247" w:left="1473" w:header="0" w:footer="1085" w:gutter="0"/>
          <w:cols w:space="720" w:num="1"/>
        </w:sectPr>
      </w:pPr>
    </w:p>
    <w:p w14:paraId="78CF4606">
      <w:pPr>
        <w:spacing w:line="250" w:lineRule="auto"/>
        <w:rPr>
          <w:rFonts w:ascii="Arial"/>
          <w:sz w:val="21"/>
        </w:rPr>
      </w:pPr>
    </w:p>
    <w:p w14:paraId="388461F9">
      <w:pPr>
        <w:spacing w:line="250" w:lineRule="auto"/>
        <w:rPr>
          <w:rFonts w:ascii="Arial"/>
          <w:sz w:val="21"/>
        </w:rPr>
      </w:pPr>
    </w:p>
    <w:p w14:paraId="74F21C62">
      <w:pPr>
        <w:spacing w:line="251" w:lineRule="auto"/>
        <w:rPr>
          <w:rFonts w:ascii="Arial"/>
          <w:sz w:val="21"/>
        </w:rPr>
      </w:pPr>
    </w:p>
    <w:p w14:paraId="3A09908D">
      <w:pPr>
        <w:spacing w:line="251" w:lineRule="auto"/>
        <w:rPr>
          <w:rFonts w:ascii="Arial"/>
          <w:sz w:val="21"/>
        </w:rPr>
      </w:pPr>
    </w:p>
    <w:p w14:paraId="066EE0BC">
      <w:pPr>
        <w:spacing w:line="251" w:lineRule="auto"/>
        <w:rPr>
          <w:rFonts w:ascii="Arial"/>
          <w:sz w:val="21"/>
        </w:rPr>
      </w:pPr>
    </w:p>
    <w:p w14:paraId="0E7B97C5">
      <w:pPr>
        <w:spacing w:line="251" w:lineRule="auto"/>
        <w:rPr>
          <w:rFonts w:ascii="Arial"/>
          <w:sz w:val="21"/>
        </w:rPr>
      </w:pPr>
    </w:p>
    <w:p w14:paraId="20D81672">
      <w:pPr>
        <w:spacing w:line="251" w:lineRule="auto"/>
        <w:rPr>
          <w:rFonts w:ascii="Arial"/>
          <w:sz w:val="21"/>
        </w:rPr>
      </w:pPr>
    </w:p>
    <w:p w14:paraId="26057519">
      <w:pPr>
        <w:spacing w:before="65" w:line="227" w:lineRule="auto"/>
        <w:ind w:left="1784"/>
        <w:rPr>
          <w:rFonts w:ascii="宋体" w:hAnsi="宋体" w:eastAsia="宋体" w:cs="宋体"/>
          <w:sz w:val="20"/>
          <w:szCs w:val="20"/>
        </w:rPr>
      </w:pPr>
      <w:r>
        <w:rPr>
          <w:rFonts w:ascii="宋体" w:hAnsi="宋体" w:eastAsia="宋体" w:cs="宋体"/>
          <w:spacing w:val="10"/>
          <w:sz w:val="20"/>
          <w:szCs w:val="20"/>
        </w:rPr>
        <w:t>成员二名称</w:t>
      </w:r>
      <w:r>
        <w:rPr>
          <w:rFonts w:ascii="宋体" w:hAnsi="宋体" w:eastAsia="宋体" w:cs="宋体"/>
          <w:spacing w:val="-1"/>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0"/>
          <w:sz w:val="20"/>
          <w:szCs w:val="20"/>
        </w:rPr>
        <w:t>盖单位章）</w:t>
      </w:r>
    </w:p>
    <w:p w14:paraId="7F9D3A93">
      <w:pPr>
        <w:spacing w:before="148" w:line="363" w:lineRule="auto"/>
        <w:ind w:left="2109" w:right="836" w:hanging="326"/>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6"/>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w:t>
      </w:r>
      <w:r>
        <w:rPr>
          <w:rFonts w:ascii="宋体" w:hAnsi="宋体" w:eastAsia="宋体" w:cs="宋体"/>
          <w:spacing w:val="19"/>
          <w:sz w:val="20"/>
          <w:szCs w:val="20"/>
        </w:rPr>
        <w:t xml:space="preserve"> </w:t>
      </w:r>
      <w:r>
        <w:rPr>
          <w:rFonts w:ascii="宋体" w:hAnsi="宋体" w:eastAsia="宋体" w:cs="宋体"/>
          <w:spacing w:val="-2"/>
          <w:sz w:val="20"/>
          <w:szCs w:val="20"/>
        </w:rPr>
        <w:t>……</w:t>
      </w:r>
    </w:p>
    <w:p w14:paraId="0DBC3AC2">
      <w:pPr>
        <w:tabs>
          <w:tab w:val="left" w:pos="5427"/>
        </w:tabs>
        <w:spacing w:line="227" w:lineRule="auto"/>
        <w:ind w:left="4587"/>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2"/>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59A65153">
      <w:pPr>
        <w:spacing w:line="251" w:lineRule="auto"/>
        <w:rPr>
          <w:rFonts w:ascii="Arial"/>
          <w:sz w:val="21"/>
        </w:rPr>
      </w:pPr>
    </w:p>
    <w:p w14:paraId="27A7806B">
      <w:pPr>
        <w:spacing w:line="251" w:lineRule="auto"/>
        <w:rPr>
          <w:rFonts w:ascii="Arial"/>
          <w:sz w:val="21"/>
        </w:rPr>
      </w:pPr>
    </w:p>
    <w:p w14:paraId="1E9C6CB0">
      <w:pPr>
        <w:spacing w:line="251" w:lineRule="auto"/>
        <w:rPr>
          <w:rFonts w:ascii="Arial"/>
          <w:sz w:val="21"/>
        </w:rPr>
      </w:pPr>
    </w:p>
    <w:p w14:paraId="6D2F1B15">
      <w:pPr>
        <w:spacing w:line="252" w:lineRule="auto"/>
        <w:rPr>
          <w:rFonts w:ascii="Arial"/>
          <w:sz w:val="21"/>
        </w:rPr>
      </w:pPr>
    </w:p>
    <w:p w14:paraId="7440B241">
      <w:pPr>
        <w:spacing w:line="252" w:lineRule="auto"/>
        <w:rPr>
          <w:rFonts w:ascii="Arial"/>
          <w:sz w:val="21"/>
        </w:rPr>
      </w:pPr>
    </w:p>
    <w:p w14:paraId="554E4D6B">
      <w:pPr>
        <w:spacing w:line="252" w:lineRule="auto"/>
        <w:rPr>
          <w:rFonts w:ascii="Arial"/>
          <w:sz w:val="21"/>
        </w:rPr>
      </w:pPr>
    </w:p>
    <w:p w14:paraId="610315E1">
      <w:pPr>
        <w:spacing w:line="252" w:lineRule="auto"/>
        <w:rPr>
          <w:rFonts w:ascii="Arial"/>
          <w:sz w:val="21"/>
        </w:rPr>
      </w:pPr>
    </w:p>
    <w:p w14:paraId="091A814C">
      <w:pPr>
        <w:spacing w:line="252" w:lineRule="auto"/>
        <w:rPr>
          <w:rFonts w:ascii="Arial"/>
          <w:sz w:val="21"/>
        </w:rPr>
      </w:pPr>
    </w:p>
    <w:p w14:paraId="77E80C12">
      <w:pPr>
        <w:spacing w:line="252" w:lineRule="auto"/>
        <w:rPr>
          <w:rFonts w:ascii="Arial"/>
          <w:sz w:val="21"/>
        </w:rPr>
      </w:pPr>
    </w:p>
    <w:p w14:paraId="155C3A6D">
      <w:pPr>
        <w:spacing w:line="252" w:lineRule="auto"/>
        <w:rPr>
          <w:rFonts w:ascii="Arial"/>
          <w:sz w:val="21"/>
        </w:rPr>
      </w:pPr>
    </w:p>
    <w:p w14:paraId="6FB4A05C">
      <w:pPr>
        <w:spacing w:line="252" w:lineRule="auto"/>
        <w:rPr>
          <w:rFonts w:ascii="Arial"/>
          <w:sz w:val="21"/>
        </w:rPr>
      </w:pPr>
    </w:p>
    <w:p w14:paraId="3CF765B2">
      <w:pPr>
        <w:spacing w:line="252" w:lineRule="auto"/>
        <w:rPr>
          <w:rFonts w:ascii="Arial"/>
          <w:sz w:val="21"/>
        </w:rPr>
      </w:pPr>
    </w:p>
    <w:p w14:paraId="7124E87D">
      <w:pPr>
        <w:spacing w:line="252" w:lineRule="auto"/>
        <w:rPr>
          <w:rFonts w:ascii="Arial"/>
          <w:sz w:val="21"/>
        </w:rPr>
      </w:pPr>
    </w:p>
    <w:p w14:paraId="7F74BFBF">
      <w:pPr>
        <w:spacing w:line="252" w:lineRule="auto"/>
        <w:rPr>
          <w:rFonts w:ascii="Arial"/>
          <w:sz w:val="21"/>
        </w:rPr>
      </w:pPr>
    </w:p>
    <w:p w14:paraId="17936215">
      <w:pPr>
        <w:spacing w:line="252" w:lineRule="auto"/>
        <w:rPr>
          <w:rFonts w:ascii="Arial"/>
          <w:sz w:val="21"/>
        </w:rPr>
      </w:pPr>
    </w:p>
    <w:p w14:paraId="2C712E61">
      <w:pPr>
        <w:spacing w:line="252" w:lineRule="auto"/>
        <w:rPr>
          <w:rFonts w:ascii="Arial"/>
          <w:sz w:val="21"/>
        </w:rPr>
      </w:pPr>
    </w:p>
    <w:p w14:paraId="48E3560A">
      <w:pPr>
        <w:spacing w:line="252" w:lineRule="auto"/>
        <w:rPr>
          <w:rFonts w:ascii="Arial"/>
          <w:sz w:val="21"/>
        </w:rPr>
      </w:pPr>
    </w:p>
    <w:p w14:paraId="6EA5E3CF">
      <w:pPr>
        <w:spacing w:line="252" w:lineRule="auto"/>
        <w:rPr>
          <w:rFonts w:ascii="Arial"/>
          <w:sz w:val="21"/>
        </w:rPr>
      </w:pPr>
    </w:p>
    <w:p w14:paraId="0D483D59">
      <w:pPr>
        <w:spacing w:line="252" w:lineRule="auto"/>
        <w:rPr>
          <w:rFonts w:ascii="Arial"/>
          <w:sz w:val="21"/>
        </w:rPr>
      </w:pPr>
    </w:p>
    <w:p w14:paraId="255479C9">
      <w:pPr>
        <w:spacing w:before="65" w:line="227" w:lineRule="auto"/>
        <w:rPr>
          <w:rFonts w:ascii="宋体" w:hAnsi="宋体" w:eastAsia="宋体" w:cs="宋体"/>
          <w:sz w:val="20"/>
          <w:szCs w:val="20"/>
        </w:rPr>
      </w:pPr>
      <w:r>
        <w:rPr>
          <w:rFonts w:ascii="宋体" w:hAnsi="宋体" w:eastAsia="宋体" w:cs="宋体"/>
          <w:spacing w:val="9"/>
          <w:sz w:val="20"/>
          <w:szCs w:val="20"/>
        </w:rPr>
        <w:t>备注：1.本协议书由委托代理人签字的，应附法定代表人签字的授权委托书。</w:t>
      </w:r>
    </w:p>
    <w:p w14:paraId="543FF3C9">
      <w:pPr>
        <w:spacing w:before="150" w:line="227" w:lineRule="auto"/>
        <w:ind w:left="631"/>
        <w:rPr>
          <w:rFonts w:ascii="宋体" w:hAnsi="宋体" w:eastAsia="宋体" w:cs="宋体"/>
          <w:sz w:val="20"/>
          <w:szCs w:val="20"/>
        </w:rPr>
      </w:pPr>
      <w:r>
        <w:rPr>
          <w:rFonts w:ascii="宋体" w:hAnsi="宋体" w:eastAsia="宋体" w:cs="宋体"/>
          <w:spacing w:val="9"/>
          <w:sz w:val="20"/>
          <w:szCs w:val="20"/>
        </w:rPr>
        <w:t>2.投标人未采用联合体投标的，投标文件中不需联合体协议书，也无须盖单位章和签字。</w:t>
      </w:r>
    </w:p>
    <w:p w14:paraId="161E8232">
      <w:pPr>
        <w:spacing w:before="154" w:line="369" w:lineRule="auto"/>
        <w:ind w:left="835" w:hanging="203"/>
        <w:rPr>
          <w:rFonts w:ascii="宋体" w:hAnsi="宋体" w:eastAsia="宋体" w:cs="宋体"/>
          <w:sz w:val="20"/>
          <w:szCs w:val="20"/>
        </w:rPr>
      </w:pPr>
      <w:r>
        <w:rPr>
          <w:rFonts w:ascii="宋体" w:hAnsi="宋体" w:eastAsia="宋体" w:cs="宋体"/>
          <w:spacing w:val="11"/>
          <w:sz w:val="20"/>
          <w:szCs w:val="20"/>
        </w:rPr>
        <w:t>3.政府采购工程部分预留专门面向中小企业采购的项目，招标人要求大型企业与中小微企</w:t>
      </w:r>
      <w:r>
        <w:rPr>
          <w:rFonts w:ascii="宋体" w:hAnsi="宋体" w:eastAsia="宋体" w:cs="宋体"/>
          <w:spacing w:val="12"/>
          <w:sz w:val="20"/>
          <w:szCs w:val="20"/>
        </w:rPr>
        <w:t>业组成联合体形式投标，且联合体中的中小企业承担的部分达到一定比例的，联</w:t>
      </w:r>
      <w:r>
        <w:rPr>
          <w:rFonts w:ascii="宋体" w:hAnsi="宋体" w:eastAsia="宋体" w:cs="宋体"/>
          <w:spacing w:val="11"/>
          <w:sz w:val="20"/>
          <w:szCs w:val="20"/>
        </w:rPr>
        <w:t>合体协议书第</w:t>
      </w:r>
      <w:r>
        <w:rPr>
          <w:rFonts w:ascii="宋体" w:hAnsi="宋体" w:eastAsia="宋体" w:cs="宋体"/>
          <w:spacing w:val="-29"/>
          <w:sz w:val="20"/>
          <w:szCs w:val="20"/>
        </w:rPr>
        <w:t xml:space="preserve"> </w:t>
      </w:r>
      <w:r>
        <w:rPr>
          <w:rFonts w:ascii="宋体" w:hAnsi="宋体" w:eastAsia="宋体" w:cs="宋体"/>
          <w:spacing w:val="11"/>
          <w:sz w:val="20"/>
          <w:szCs w:val="20"/>
        </w:rPr>
        <w:t>4</w:t>
      </w:r>
      <w:r>
        <w:rPr>
          <w:rFonts w:ascii="宋体" w:hAnsi="宋体" w:eastAsia="宋体" w:cs="宋体"/>
          <w:spacing w:val="-36"/>
          <w:sz w:val="20"/>
          <w:szCs w:val="20"/>
        </w:rPr>
        <w:t xml:space="preserve"> </w:t>
      </w:r>
      <w:r>
        <w:rPr>
          <w:rFonts w:ascii="宋体" w:hAnsi="宋体" w:eastAsia="宋体" w:cs="宋体"/>
          <w:spacing w:val="11"/>
          <w:sz w:val="20"/>
          <w:szCs w:val="20"/>
        </w:rPr>
        <w:t>条中应当按照资格预审文件第二章申请人须知附录二“政府采购工程预留工作及金额</w:t>
      </w:r>
      <w:r>
        <w:rPr>
          <w:rFonts w:ascii="宋体" w:hAnsi="宋体" w:eastAsia="宋体" w:cs="宋体"/>
          <w:spacing w:val="-68"/>
          <w:sz w:val="20"/>
          <w:szCs w:val="20"/>
        </w:rPr>
        <w:t xml:space="preserve"> </w:t>
      </w:r>
      <w:r>
        <w:rPr>
          <w:rFonts w:ascii="宋体" w:hAnsi="宋体" w:eastAsia="宋体" w:cs="宋体"/>
          <w:spacing w:val="11"/>
          <w:sz w:val="20"/>
          <w:szCs w:val="20"/>
        </w:rPr>
        <w:t>”的范围，明确联合体各方承担的合同工作内容、合同金额及合同金额与项目合</w:t>
      </w:r>
      <w:r>
        <w:rPr>
          <w:rFonts w:ascii="宋体" w:hAnsi="宋体" w:eastAsia="宋体" w:cs="宋体"/>
          <w:spacing w:val="12"/>
          <w:sz w:val="20"/>
          <w:szCs w:val="20"/>
        </w:rPr>
        <w:t>同金额的占比。同时，声明组成联合体的中小企业与联合体内其他企业之间是否</w:t>
      </w:r>
      <w:r>
        <w:rPr>
          <w:rFonts w:ascii="宋体" w:hAnsi="宋体" w:eastAsia="宋体" w:cs="宋体"/>
          <w:spacing w:val="11"/>
          <w:sz w:val="20"/>
          <w:szCs w:val="20"/>
        </w:rPr>
        <w:t>存在直</w:t>
      </w:r>
      <w:r>
        <w:rPr>
          <w:rFonts w:ascii="宋体" w:hAnsi="宋体" w:eastAsia="宋体" w:cs="宋体"/>
          <w:spacing w:val="7"/>
          <w:sz w:val="20"/>
          <w:szCs w:val="20"/>
        </w:rPr>
        <w:t>接控股、管理关系。</w:t>
      </w:r>
    </w:p>
    <w:p w14:paraId="78B80596">
      <w:pPr>
        <w:spacing w:before="5" w:line="369" w:lineRule="auto"/>
        <w:ind w:left="839" w:hanging="212"/>
        <w:rPr>
          <w:rFonts w:ascii="宋体" w:hAnsi="宋体" w:eastAsia="宋体" w:cs="宋体"/>
          <w:sz w:val="20"/>
          <w:szCs w:val="20"/>
        </w:rPr>
      </w:pPr>
      <w:r>
        <w:rPr>
          <w:rFonts w:ascii="宋体" w:hAnsi="宋体" w:eastAsia="宋体" w:cs="宋体"/>
          <w:spacing w:val="12"/>
          <w:sz w:val="20"/>
          <w:szCs w:val="20"/>
        </w:rPr>
        <w:t>4.政府采购工程未预留份额专门面向中小企业</w:t>
      </w:r>
      <w:r>
        <w:rPr>
          <w:rFonts w:ascii="宋体" w:hAnsi="宋体" w:eastAsia="宋体" w:cs="宋体"/>
          <w:spacing w:val="11"/>
          <w:sz w:val="20"/>
          <w:szCs w:val="20"/>
        </w:rPr>
        <w:t>采购的项目，招标人接受大中型企业与小微</w:t>
      </w:r>
      <w:r>
        <w:rPr>
          <w:rFonts w:ascii="宋体" w:hAnsi="宋体" w:eastAsia="宋体" w:cs="宋体"/>
          <w:spacing w:val="12"/>
          <w:sz w:val="20"/>
          <w:szCs w:val="20"/>
        </w:rPr>
        <w:t>企业组成联合体形式投标，且联合体中的小微企业承担的部分达到一定</w:t>
      </w:r>
      <w:r>
        <w:rPr>
          <w:rFonts w:ascii="宋体" w:hAnsi="宋体" w:eastAsia="宋体" w:cs="宋体"/>
          <w:spacing w:val="11"/>
          <w:sz w:val="20"/>
          <w:szCs w:val="20"/>
        </w:rPr>
        <w:t>比例可享受价格扣除或增加价格分优惠政策的，联合体协议书第</w:t>
      </w:r>
      <w:r>
        <w:rPr>
          <w:rFonts w:ascii="宋体" w:hAnsi="宋体" w:eastAsia="宋体" w:cs="宋体"/>
          <w:spacing w:val="-35"/>
          <w:sz w:val="20"/>
          <w:szCs w:val="20"/>
        </w:rPr>
        <w:t xml:space="preserve"> </w:t>
      </w:r>
      <w:r>
        <w:rPr>
          <w:rFonts w:ascii="宋体" w:hAnsi="宋体" w:eastAsia="宋体" w:cs="宋体"/>
          <w:spacing w:val="11"/>
          <w:sz w:val="20"/>
          <w:szCs w:val="20"/>
        </w:rPr>
        <w:t>4</w:t>
      </w:r>
      <w:r>
        <w:rPr>
          <w:rFonts w:ascii="宋体" w:hAnsi="宋体" w:eastAsia="宋体" w:cs="宋体"/>
          <w:spacing w:val="-36"/>
          <w:sz w:val="20"/>
          <w:szCs w:val="20"/>
        </w:rPr>
        <w:t xml:space="preserve"> </w:t>
      </w:r>
      <w:r>
        <w:rPr>
          <w:rFonts w:ascii="宋体" w:hAnsi="宋体" w:eastAsia="宋体" w:cs="宋体"/>
          <w:spacing w:val="11"/>
          <w:sz w:val="20"/>
          <w:szCs w:val="20"/>
        </w:rPr>
        <w:t>条中应当明确联合体各方承担的合同</w:t>
      </w:r>
      <w:r>
        <w:rPr>
          <w:rFonts w:ascii="宋体" w:hAnsi="宋体" w:eastAsia="宋体" w:cs="宋体"/>
          <w:spacing w:val="12"/>
          <w:sz w:val="20"/>
          <w:szCs w:val="20"/>
        </w:rPr>
        <w:t>工作内容、合同金额及合同金额与项目合同金额的占比。同时，声明组</w:t>
      </w:r>
      <w:r>
        <w:rPr>
          <w:rFonts w:ascii="宋体" w:hAnsi="宋体" w:eastAsia="宋体" w:cs="宋体"/>
          <w:spacing w:val="11"/>
          <w:sz w:val="20"/>
          <w:szCs w:val="20"/>
        </w:rPr>
        <w:t>成联合体的小微</w:t>
      </w:r>
      <w:r>
        <w:rPr>
          <w:rFonts w:ascii="宋体" w:hAnsi="宋体" w:eastAsia="宋体" w:cs="宋体"/>
          <w:spacing w:val="9"/>
          <w:sz w:val="20"/>
          <w:szCs w:val="20"/>
        </w:rPr>
        <w:t>企业与联合体内其他企业是否存在直接控股、管理关系。</w:t>
      </w:r>
    </w:p>
    <w:p w14:paraId="6815C6A4">
      <w:pPr>
        <w:spacing w:line="369" w:lineRule="auto"/>
        <w:rPr>
          <w:rFonts w:ascii="宋体" w:hAnsi="宋体" w:eastAsia="宋体" w:cs="宋体"/>
          <w:sz w:val="20"/>
          <w:szCs w:val="20"/>
        </w:rPr>
        <w:sectPr>
          <w:footerReference r:id="rId520" w:type="default"/>
          <w:pgSz w:w="11907" w:h="16840"/>
          <w:pgMar w:top="400" w:right="1531" w:bottom="1247" w:left="1484" w:header="0" w:footer="1085" w:gutter="0"/>
          <w:cols w:space="720" w:num="1"/>
        </w:sectPr>
      </w:pPr>
    </w:p>
    <w:p w14:paraId="66E867BA">
      <w:pPr>
        <w:spacing w:line="276" w:lineRule="auto"/>
        <w:rPr>
          <w:rFonts w:ascii="Arial"/>
          <w:sz w:val="21"/>
        </w:rPr>
      </w:pPr>
    </w:p>
    <w:p w14:paraId="166B184A">
      <w:pPr>
        <w:spacing w:line="276" w:lineRule="auto"/>
        <w:rPr>
          <w:rFonts w:ascii="Arial"/>
          <w:sz w:val="21"/>
        </w:rPr>
      </w:pPr>
    </w:p>
    <w:p w14:paraId="383EBE35">
      <w:pPr>
        <w:spacing w:line="276" w:lineRule="auto"/>
        <w:rPr>
          <w:rFonts w:ascii="Arial"/>
          <w:sz w:val="21"/>
        </w:rPr>
      </w:pPr>
    </w:p>
    <w:p w14:paraId="0E8AF79D">
      <w:pPr>
        <w:spacing w:line="277" w:lineRule="auto"/>
        <w:rPr>
          <w:rFonts w:ascii="Arial"/>
          <w:sz w:val="21"/>
        </w:rPr>
      </w:pPr>
    </w:p>
    <w:p w14:paraId="26A6EB73">
      <w:pPr>
        <w:spacing w:line="277" w:lineRule="auto"/>
        <w:rPr>
          <w:rFonts w:ascii="Arial"/>
          <w:sz w:val="21"/>
        </w:rPr>
      </w:pPr>
    </w:p>
    <w:p w14:paraId="04B674B3">
      <w:pPr>
        <w:pStyle w:val="2"/>
        <w:spacing w:before="91" w:line="222" w:lineRule="auto"/>
        <w:ind w:left="1659"/>
        <w:outlineLvl w:val="1"/>
        <w:rPr>
          <w:sz w:val="28"/>
          <w:szCs w:val="28"/>
        </w:rPr>
      </w:pPr>
      <w:bookmarkStart w:id="418" w:name="bookmark399"/>
      <w:bookmarkEnd w:id="418"/>
      <w:r>
        <w:rPr>
          <w:spacing w:val="-1"/>
          <w:sz w:val="28"/>
          <w:szCs w:val="28"/>
        </w:rPr>
        <w:t>五、拟分包计划表（适用于非政府采购工程）</w:t>
      </w:r>
    </w:p>
    <w:p w14:paraId="1E9A174D">
      <w:pPr>
        <w:spacing w:before="181"/>
      </w:pPr>
    </w:p>
    <w:tbl>
      <w:tblPr>
        <w:tblStyle w:val="5"/>
        <w:tblW w:w="8509" w:type="dxa"/>
        <w:tblInd w:w="1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3"/>
        <w:gridCol w:w="1842"/>
        <w:gridCol w:w="751"/>
        <w:gridCol w:w="949"/>
        <w:gridCol w:w="1122"/>
        <w:gridCol w:w="1089"/>
        <w:gridCol w:w="1196"/>
        <w:gridCol w:w="987"/>
      </w:tblGrid>
      <w:tr w14:paraId="51CDB7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573" w:type="dxa"/>
            <w:vMerge w:val="restart"/>
            <w:tcBorders>
              <w:bottom w:val="nil"/>
            </w:tcBorders>
            <w:textDirection w:val="tbRlV"/>
            <w:vAlign w:val="top"/>
          </w:tcPr>
          <w:p w14:paraId="4BD891E4">
            <w:pPr>
              <w:pStyle w:val="6"/>
              <w:spacing w:before="180" w:line="218" w:lineRule="auto"/>
              <w:ind w:left="223"/>
            </w:pPr>
            <w:r>
              <w:rPr>
                <w:spacing w:val="8"/>
              </w:rPr>
              <w:t>序</w:t>
            </w:r>
            <w:r>
              <w:rPr>
                <w:spacing w:val="-38"/>
              </w:rPr>
              <w:t xml:space="preserve"> </w:t>
            </w:r>
            <w:r>
              <w:rPr>
                <w:spacing w:val="8"/>
              </w:rPr>
              <w:t>号</w:t>
            </w:r>
          </w:p>
        </w:tc>
        <w:tc>
          <w:tcPr>
            <w:tcW w:w="1842" w:type="dxa"/>
            <w:vMerge w:val="restart"/>
            <w:tcBorders>
              <w:bottom w:val="nil"/>
            </w:tcBorders>
            <w:vAlign w:val="top"/>
          </w:tcPr>
          <w:p w14:paraId="50BBA363">
            <w:pPr>
              <w:pStyle w:val="6"/>
              <w:spacing w:before="223" w:line="252" w:lineRule="auto"/>
              <w:ind w:left="403" w:right="89" w:hanging="293"/>
            </w:pPr>
            <w:r>
              <w:rPr>
                <w:spacing w:val="4"/>
              </w:rPr>
              <w:t>拟分包项目名称、</w:t>
            </w:r>
            <w:r>
              <w:rPr>
                <w:spacing w:val="7"/>
              </w:rPr>
              <w:t>范围及理由</w:t>
            </w:r>
          </w:p>
        </w:tc>
        <w:tc>
          <w:tcPr>
            <w:tcW w:w="5107" w:type="dxa"/>
            <w:gridSpan w:val="5"/>
            <w:vAlign w:val="top"/>
          </w:tcPr>
          <w:p w14:paraId="34529999">
            <w:pPr>
              <w:pStyle w:val="6"/>
              <w:spacing w:before="127" w:line="227" w:lineRule="auto"/>
              <w:ind w:left="2033"/>
            </w:pPr>
            <w:r>
              <w:rPr>
                <w:spacing w:val="8"/>
              </w:rPr>
              <w:t>拟选分包人</w:t>
            </w:r>
          </w:p>
        </w:tc>
        <w:tc>
          <w:tcPr>
            <w:tcW w:w="987" w:type="dxa"/>
            <w:vMerge w:val="restart"/>
            <w:tcBorders>
              <w:bottom w:val="nil"/>
            </w:tcBorders>
            <w:vAlign w:val="top"/>
          </w:tcPr>
          <w:p w14:paraId="160AE824">
            <w:pPr>
              <w:spacing w:line="291" w:lineRule="auto"/>
              <w:rPr>
                <w:rFonts w:ascii="Arial"/>
                <w:sz w:val="21"/>
              </w:rPr>
            </w:pPr>
          </w:p>
          <w:p w14:paraId="250887D5">
            <w:pPr>
              <w:pStyle w:val="6"/>
              <w:spacing w:before="65" w:line="229" w:lineRule="auto"/>
              <w:ind w:left="291"/>
            </w:pPr>
            <w:r>
              <w:rPr>
                <w:spacing w:val="3"/>
              </w:rPr>
              <w:t>备注</w:t>
            </w:r>
          </w:p>
        </w:tc>
      </w:tr>
      <w:tr w14:paraId="1863E4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continue"/>
            <w:tcBorders>
              <w:top w:val="nil"/>
            </w:tcBorders>
            <w:textDirection w:val="tbRlV"/>
            <w:vAlign w:val="top"/>
          </w:tcPr>
          <w:p w14:paraId="01E210D9">
            <w:pPr>
              <w:rPr>
                <w:rFonts w:ascii="Arial"/>
                <w:sz w:val="21"/>
              </w:rPr>
            </w:pPr>
          </w:p>
        </w:tc>
        <w:tc>
          <w:tcPr>
            <w:tcW w:w="1842" w:type="dxa"/>
            <w:vMerge w:val="continue"/>
            <w:tcBorders>
              <w:top w:val="nil"/>
            </w:tcBorders>
            <w:vAlign w:val="top"/>
          </w:tcPr>
          <w:p w14:paraId="1CDE96EE">
            <w:pPr>
              <w:rPr>
                <w:rFonts w:ascii="Arial"/>
                <w:sz w:val="21"/>
              </w:rPr>
            </w:pPr>
          </w:p>
        </w:tc>
        <w:tc>
          <w:tcPr>
            <w:tcW w:w="1700" w:type="dxa"/>
            <w:gridSpan w:val="2"/>
            <w:vAlign w:val="top"/>
          </w:tcPr>
          <w:p w14:paraId="47CE372B">
            <w:pPr>
              <w:pStyle w:val="6"/>
              <w:spacing w:before="122" w:line="227" w:lineRule="auto"/>
              <w:ind w:left="118"/>
            </w:pPr>
            <w:r>
              <w:rPr>
                <w:spacing w:val="8"/>
              </w:rPr>
              <w:t>拟选分包人名称</w:t>
            </w:r>
          </w:p>
        </w:tc>
        <w:tc>
          <w:tcPr>
            <w:tcW w:w="1122" w:type="dxa"/>
            <w:vAlign w:val="top"/>
          </w:tcPr>
          <w:p w14:paraId="28A7BAF9">
            <w:pPr>
              <w:pStyle w:val="6"/>
              <w:spacing w:before="122" w:line="229" w:lineRule="auto"/>
              <w:ind w:left="146"/>
            </w:pPr>
            <w:r>
              <w:rPr>
                <w:spacing w:val="7"/>
              </w:rPr>
              <w:t>注册地点</w:t>
            </w:r>
          </w:p>
        </w:tc>
        <w:tc>
          <w:tcPr>
            <w:tcW w:w="1089" w:type="dxa"/>
            <w:vAlign w:val="top"/>
          </w:tcPr>
          <w:p w14:paraId="6E8A133A">
            <w:pPr>
              <w:pStyle w:val="6"/>
              <w:spacing w:before="123" w:line="228" w:lineRule="auto"/>
              <w:ind w:left="134"/>
            </w:pPr>
            <w:r>
              <w:rPr>
                <w:spacing w:val="6"/>
              </w:rPr>
              <w:t>企业资质</w:t>
            </w:r>
          </w:p>
        </w:tc>
        <w:tc>
          <w:tcPr>
            <w:tcW w:w="1196" w:type="dxa"/>
            <w:vAlign w:val="top"/>
          </w:tcPr>
          <w:p w14:paraId="2EB8F4F5">
            <w:pPr>
              <w:pStyle w:val="6"/>
              <w:spacing w:before="123" w:line="228" w:lineRule="auto"/>
              <w:ind w:left="185"/>
            </w:pPr>
            <w:r>
              <w:rPr>
                <w:spacing w:val="7"/>
              </w:rPr>
              <w:t>有关业绩</w:t>
            </w:r>
          </w:p>
        </w:tc>
        <w:tc>
          <w:tcPr>
            <w:tcW w:w="987" w:type="dxa"/>
            <w:vMerge w:val="continue"/>
            <w:tcBorders>
              <w:top w:val="nil"/>
            </w:tcBorders>
            <w:vAlign w:val="top"/>
          </w:tcPr>
          <w:p w14:paraId="2D073A9A">
            <w:pPr>
              <w:rPr>
                <w:rFonts w:ascii="Arial"/>
                <w:sz w:val="21"/>
              </w:rPr>
            </w:pPr>
          </w:p>
        </w:tc>
      </w:tr>
      <w:tr w14:paraId="6A630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restart"/>
            <w:tcBorders>
              <w:bottom w:val="nil"/>
            </w:tcBorders>
            <w:vAlign w:val="top"/>
          </w:tcPr>
          <w:p w14:paraId="4E741A3E">
            <w:pPr>
              <w:rPr>
                <w:rFonts w:ascii="Arial"/>
                <w:sz w:val="21"/>
              </w:rPr>
            </w:pPr>
          </w:p>
        </w:tc>
        <w:tc>
          <w:tcPr>
            <w:tcW w:w="1842" w:type="dxa"/>
            <w:vMerge w:val="restart"/>
            <w:tcBorders>
              <w:bottom w:val="nil"/>
            </w:tcBorders>
            <w:vAlign w:val="top"/>
          </w:tcPr>
          <w:p w14:paraId="5E920C15">
            <w:pPr>
              <w:rPr>
                <w:rFonts w:ascii="Arial"/>
                <w:sz w:val="21"/>
              </w:rPr>
            </w:pPr>
          </w:p>
        </w:tc>
        <w:tc>
          <w:tcPr>
            <w:tcW w:w="751" w:type="dxa"/>
            <w:vAlign w:val="top"/>
          </w:tcPr>
          <w:p w14:paraId="20B30146">
            <w:pPr>
              <w:spacing w:before="121" w:line="275" w:lineRule="exact"/>
              <w:ind w:left="338"/>
              <w:rPr>
                <w:rFonts w:ascii="黑体" w:hAnsi="黑体" w:eastAsia="黑体" w:cs="黑体"/>
                <w:sz w:val="20"/>
                <w:szCs w:val="20"/>
              </w:rPr>
            </w:pPr>
            <w:r>
              <w:rPr>
                <w:rFonts w:ascii="黑体" w:hAnsi="黑体" w:eastAsia="黑体" w:cs="黑体"/>
                <w:position w:val="1"/>
                <w:sz w:val="20"/>
                <w:szCs w:val="20"/>
              </w:rPr>
              <w:t>1</w:t>
            </w:r>
          </w:p>
        </w:tc>
        <w:tc>
          <w:tcPr>
            <w:tcW w:w="949" w:type="dxa"/>
            <w:vAlign w:val="top"/>
          </w:tcPr>
          <w:p w14:paraId="0CB673E3">
            <w:pPr>
              <w:rPr>
                <w:rFonts w:ascii="Arial"/>
                <w:sz w:val="21"/>
              </w:rPr>
            </w:pPr>
          </w:p>
        </w:tc>
        <w:tc>
          <w:tcPr>
            <w:tcW w:w="1122" w:type="dxa"/>
            <w:vAlign w:val="top"/>
          </w:tcPr>
          <w:p w14:paraId="60669003">
            <w:pPr>
              <w:rPr>
                <w:rFonts w:ascii="Arial"/>
                <w:sz w:val="21"/>
              </w:rPr>
            </w:pPr>
          </w:p>
        </w:tc>
        <w:tc>
          <w:tcPr>
            <w:tcW w:w="1089" w:type="dxa"/>
            <w:vAlign w:val="top"/>
          </w:tcPr>
          <w:p w14:paraId="3B833EBE">
            <w:pPr>
              <w:rPr>
                <w:rFonts w:ascii="Arial"/>
                <w:sz w:val="21"/>
              </w:rPr>
            </w:pPr>
          </w:p>
        </w:tc>
        <w:tc>
          <w:tcPr>
            <w:tcW w:w="1196" w:type="dxa"/>
            <w:vAlign w:val="top"/>
          </w:tcPr>
          <w:p w14:paraId="7714F9EF">
            <w:pPr>
              <w:rPr>
                <w:rFonts w:ascii="Arial"/>
                <w:sz w:val="21"/>
              </w:rPr>
            </w:pPr>
          </w:p>
        </w:tc>
        <w:tc>
          <w:tcPr>
            <w:tcW w:w="987" w:type="dxa"/>
            <w:vAlign w:val="top"/>
          </w:tcPr>
          <w:p w14:paraId="6923A9BF">
            <w:pPr>
              <w:rPr>
                <w:rFonts w:ascii="Arial"/>
                <w:sz w:val="21"/>
              </w:rPr>
            </w:pPr>
          </w:p>
        </w:tc>
      </w:tr>
      <w:tr w14:paraId="6A5C20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Merge w:val="continue"/>
            <w:tcBorders>
              <w:top w:val="nil"/>
              <w:bottom w:val="nil"/>
            </w:tcBorders>
            <w:vAlign w:val="top"/>
          </w:tcPr>
          <w:p w14:paraId="307D6064">
            <w:pPr>
              <w:rPr>
                <w:rFonts w:ascii="Arial"/>
                <w:sz w:val="21"/>
              </w:rPr>
            </w:pPr>
          </w:p>
        </w:tc>
        <w:tc>
          <w:tcPr>
            <w:tcW w:w="1842" w:type="dxa"/>
            <w:vMerge w:val="continue"/>
            <w:tcBorders>
              <w:top w:val="nil"/>
              <w:bottom w:val="nil"/>
            </w:tcBorders>
            <w:vAlign w:val="top"/>
          </w:tcPr>
          <w:p w14:paraId="0814BE60">
            <w:pPr>
              <w:rPr>
                <w:rFonts w:ascii="Arial"/>
                <w:sz w:val="21"/>
              </w:rPr>
            </w:pPr>
          </w:p>
        </w:tc>
        <w:tc>
          <w:tcPr>
            <w:tcW w:w="751" w:type="dxa"/>
            <w:vAlign w:val="top"/>
          </w:tcPr>
          <w:p w14:paraId="67A6AC24">
            <w:pPr>
              <w:spacing w:before="123" w:line="275" w:lineRule="exact"/>
              <w:ind w:left="325"/>
              <w:rPr>
                <w:rFonts w:ascii="黑体" w:hAnsi="黑体" w:eastAsia="黑体" w:cs="黑体"/>
                <w:sz w:val="20"/>
                <w:szCs w:val="20"/>
              </w:rPr>
            </w:pPr>
            <w:r>
              <w:rPr>
                <w:rFonts w:ascii="黑体" w:hAnsi="黑体" w:eastAsia="黑体" w:cs="黑体"/>
                <w:position w:val="1"/>
                <w:sz w:val="20"/>
                <w:szCs w:val="20"/>
              </w:rPr>
              <w:t>2</w:t>
            </w:r>
          </w:p>
        </w:tc>
        <w:tc>
          <w:tcPr>
            <w:tcW w:w="949" w:type="dxa"/>
            <w:vAlign w:val="top"/>
          </w:tcPr>
          <w:p w14:paraId="7940549D">
            <w:pPr>
              <w:rPr>
                <w:rFonts w:ascii="Arial"/>
                <w:sz w:val="21"/>
              </w:rPr>
            </w:pPr>
          </w:p>
        </w:tc>
        <w:tc>
          <w:tcPr>
            <w:tcW w:w="1122" w:type="dxa"/>
            <w:vAlign w:val="top"/>
          </w:tcPr>
          <w:p w14:paraId="4DBA6C0F">
            <w:pPr>
              <w:rPr>
                <w:rFonts w:ascii="Arial"/>
                <w:sz w:val="21"/>
              </w:rPr>
            </w:pPr>
          </w:p>
        </w:tc>
        <w:tc>
          <w:tcPr>
            <w:tcW w:w="1089" w:type="dxa"/>
            <w:vAlign w:val="top"/>
          </w:tcPr>
          <w:p w14:paraId="2B79D834">
            <w:pPr>
              <w:rPr>
                <w:rFonts w:ascii="Arial"/>
                <w:sz w:val="21"/>
              </w:rPr>
            </w:pPr>
          </w:p>
        </w:tc>
        <w:tc>
          <w:tcPr>
            <w:tcW w:w="1196" w:type="dxa"/>
            <w:vAlign w:val="top"/>
          </w:tcPr>
          <w:p w14:paraId="47DA2250">
            <w:pPr>
              <w:rPr>
                <w:rFonts w:ascii="Arial"/>
                <w:sz w:val="21"/>
              </w:rPr>
            </w:pPr>
          </w:p>
        </w:tc>
        <w:tc>
          <w:tcPr>
            <w:tcW w:w="987" w:type="dxa"/>
            <w:vAlign w:val="top"/>
          </w:tcPr>
          <w:p w14:paraId="33301728">
            <w:pPr>
              <w:rPr>
                <w:rFonts w:ascii="Arial"/>
                <w:sz w:val="21"/>
              </w:rPr>
            </w:pPr>
          </w:p>
        </w:tc>
      </w:tr>
      <w:tr w14:paraId="16375C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continue"/>
            <w:tcBorders>
              <w:top w:val="nil"/>
            </w:tcBorders>
            <w:vAlign w:val="top"/>
          </w:tcPr>
          <w:p w14:paraId="672138AB">
            <w:pPr>
              <w:rPr>
                <w:rFonts w:ascii="Arial"/>
                <w:sz w:val="21"/>
              </w:rPr>
            </w:pPr>
          </w:p>
        </w:tc>
        <w:tc>
          <w:tcPr>
            <w:tcW w:w="1842" w:type="dxa"/>
            <w:vMerge w:val="continue"/>
            <w:tcBorders>
              <w:top w:val="nil"/>
            </w:tcBorders>
            <w:vAlign w:val="top"/>
          </w:tcPr>
          <w:p w14:paraId="2C1CD479">
            <w:pPr>
              <w:rPr>
                <w:rFonts w:ascii="Arial"/>
                <w:sz w:val="21"/>
              </w:rPr>
            </w:pPr>
          </w:p>
        </w:tc>
        <w:tc>
          <w:tcPr>
            <w:tcW w:w="751" w:type="dxa"/>
            <w:vAlign w:val="top"/>
          </w:tcPr>
          <w:p w14:paraId="16AEF22E">
            <w:pPr>
              <w:spacing w:before="123" w:line="273" w:lineRule="exact"/>
              <w:ind w:left="327"/>
              <w:rPr>
                <w:rFonts w:ascii="黑体" w:hAnsi="黑体" w:eastAsia="黑体" w:cs="黑体"/>
                <w:sz w:val="20"/>
                <w:szCs w:val="20"/>
              </w:rPr>
            </w:pPr>
            <w:r>
              <w:rPr>
                <w:rFonts w:ascii="黑体" w:hAnsi="黑体" w:eastAsia="黑体" w:cs="黑体"/>
                <w:position w:val="1"/>
                <w:sz w:val="20"/>
                <w:szCs w:val="20"/>
              </w:rPr>
              <w:t>3</w:t>
            </w:r>
          </w:p>
        </w:tc>
        <w:tc>
          <w:tcPr>
            <w:tcW w:w="949" w:type="dxa"/>
            <w:vAlign w:val="top"/>
          </w:tcPr>
          <w:p w14:paraId="1F1FC210">
            <w:pPr>
              <w:rPr>
                <w:rFonts w:ascii="Arial"/>
                <w:sz w:val="21"/>
              </w:rPr>
            </w:pPr>
          </w:p>
        </w:tc>
        <w:tc>
          <w:tcPr>
            <w:tcW w:w="1122" w:type="dxa"/>
            <w:vAlign w:val="top"/>
          </w:tcPr>
          <w:p w14:paraId="2CC880A7">
            <w:pPr>
              <w:rPr>
                <w:rFonts w:ascii="Arial"/>
                <w:sz w:val="21"/>
              </w:rPr>
            </w:pPr>
          </w:p>
        </w:tc>
        <w:tc>
          <w:tcPr>
            <w:tcW w:w="1089" w:type="dxa"/>
            <w:vAlign w:val="top"/>
          </w:tcPr>
          <w:p w14:paraId="5B4BCCAD">
            <w:pPr>
              <w:rPr>
                <w:rFonts w:ascii="Arial"/>
                <w:sz w:val="21"/>
              </w:rPr>
            </w:pPr>
          </w:p>
        </w:tc>
        <w:tc>
          <w:tcPr>
            <w:tcW w:w="1196" w:type="dxa"/>
            <w:vAlign w:val="top"/>
          </w:tcPr>
          <w:p w14:paraId="0894D27C">
            <w:pPr>
              <w:rPr>
                <w:rFonts w:ascii="Arial"/>
                <w:sz w:val="21"/>
              </w:rPr>
            </w:pPr>
          </w:p>
        </w:tc>
        <w:tc>
          <w:tcPr>
            <w:tcW w:w="987" w:type="dxa"/>
            <w:vAlign w:val="top"/>
          </w:tcPr>
          <w:p w14:paraId="2E8DA6F0">
            <w:pPr>
              <w:rPr>
                <w:rFonts w:ascii="Arial"/>
                <w:sz w:val="21"/>
              </w:rPr>
            </w:pPr>
          </w:p>
        </w:tc>
      </w:tr>
      <w:tr w14:paraId="30754B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Merge w:val="restart"/>
            <w:tcBorders>
              <w:bottom w:val="nil"/>
            </w:tcBorders>
            <w:vAlign w:val="top"/>
          </w:tcPr>
          <w:p w14:paraId="3B092A49">
            <w:pPr>
              <w:rPr>
                <w:rFonts w:ascii="Arial"/>
                <w:sz w:val="21"/>
              </w:rPr>
            </w:pPr>
          </w:p>
        </w:tc>
        <w:tc>
          <w:tcPr>
            <w:tcW w:w="1842" w:type="dxa"/>
            <w:vMerge w:val="restart"/>
            <w:tcBorders>
              <w:bottom w:val="nil"/>
            </w:tcBorders>
            <w:vAlign w:val="top"/>
          </w:tcPr>
          <w:p w14:paraId="54096692">
            <w:pPr>
              <w:rPr>
                <w:rFonts w:ascii="Arial"/>
                <w:sz w:val="21"/>
              </w:rPr>
            </w:pPr>
          </w:p>
        </w:tc>
        <w:tc>
          <w:tcPr>
            <w:tcW w:w="751" w:type="dxa"/>
            <w:vAlign w:val="top"/>
          </w:tcPr>
          <w:p w14:paraId="09450CA3">
            <w:pPr>
              <w:spacing w:before="122" w:line="275" w:lineRule="exact"/>
              <w:ind w:left="338"/>
              <w:rPr>
                <w:rFonts w:ascii="黑体" w:hAnsi="黑体" w:eastAsia="黑体" w:cs="黑体"/>
                <w:sz w:val="20"/>
                <w:szCs w:val="20"/>
              </w:rPr>
            </w:pPr>
            <w:r>
              <w:rPr>
                <w:rFonts w:ascii="黑体" w:hAnsi="黑体" w:eastAsia="黑体" w:cs="黑体"/>
                <w:position w:val="1"/>
                <w:sz w:val="20"/>
                <w:szCs w:val="20"/>
              </w:rPr>
              <w:t>1</w:t>
            </w:r>
          </w:p>
        </w:tc>
        <w:tc>
          <w:tcPr>
            <w:tcW w:w="949" w:type="dxa"/>
            <w:vAlign w:val="top"/>
          </w:tcPr>
          <w:p w14:paraId="410BC2AB">
            <w:pPr>
              <w:rPr>
                <w:rFonts w:ascii="Arial"/>
                <w:sz w:val="21"/>
              </w:rPr>
            </w:pPr>
          </w:p>
        </w:tc>
        <w:tc>
          <w:tcPr>
            <w:tcW w:w="1122" w:type="dxa"/>
            <w:vAlign w:val="top"/>
          </w:tcPr>
          <w:p w14:paraId="47FE52FB">
            <w:pPr>
              <w:rPr>
                <w:rFonts w:ascii="Arial"/>
                <w:sz w:val="21"/>
              </w:rPr>
            </w:pPr>
          </w:p>
        </w:tc>
        <w:tc>
          <w:tcPr>
            <w:tcW w:w="1089" w:type="dxa"/>
            <w:vAlign w:val="top"/>
          </w:tcPr>
          <w:p w14:paraId="4BF07623">
            <w:pPr>
              <w:rPr>
                <w:rFonts w:ascii="Arial"/>
                <w:sz w:val="21"/>
              </w:rPr>
            </w:pPr>
          </w:p>
        </w:tc>
        <w:tc>
          <w:tcPr>
            <w:tcW w:w="1196" w:type="dxa"/>
            <w:vAlign w:val="top"/>
          </w:tcPr>
          <w:p w14:paraId="6BB71E28">
            <w:pPr>
              <w:rPr>
                <w:rFonts w:ascii="Arial"/>
                <w:sz w:val="21"/>
              </w:rPr>
            </w:pPr>
          </w:p>
        </w:tc>
        <w:tc>
          <w:tcPr>
            <w:tcW w:w="987" w:type="dxa"/>
            <w:vAlign w:val="top"/>
          </w:tcPr>
          <w:p w14:paraId="6FECC25E">
            <w:pPr>
              <w:rPr>
                <w:rFonts w:ascii="Arial"/>
                <w:sz w:val="21"/>
              </w:rPr>
            </w:pPr>
          </w:p>
        </w:tc>
      </w:tr>
      <w:tr w14:paraId="7BAB50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continue"/>
            <w:tcBorders>
              <w:top w:val="nil"/>
              <w:bottom w:val="nil"/>
            </w:tcBorders>
            <w:vAlign w:val="top"/>
          </w:tcPr>
          <w:p w14:paraId="6363DD25">
            <w:pPr>
              <w:rPr>
                <w:rFonts w:ascii="Arial"/>
                <w:sz w:val="21"/>
              </w:rPr>
            </w:pPr>
          </w:p>
        </w:tc>
        <w:tc>
          <w:tcPr>
            <w:tcW w:w="1842" w:type="dxa"/>
            <w:vMerge w:val="continue"/>
            <w:tcBorders>
              <w:top w:val="nil"/>
              <w:bottom w:val="nil"/>
            </w:tcBorders>
            <w:vAlign w:val="top"/>
          </w:tcPr>
          <w:p w14:paraId="5A4023B0">
            <w:pPr>
              <w:rPr>
                <w:rFonts w:ascii="Arial"/>
                <w:sz w:val="21"/>
              </w:rPr>
            </w:pPr>
          </w:p>
        </w:tc>
        <w:tc>
          <w:tcPr>
            <w:tcW w:w="751" w:type="dxa"/>
            <w:vAlign w:val="top"/>
          </w:tcPr>
          <w:p w14:paraId="11F223D5">
            <w:pPr>
              <w:spacing w:before="125" w:line="275" w:lineRule="exact"/>
              <w:ind w:left="325"/>
              <w:rPr>
                <w:rFonts w:ascii="黑体" w:hAnsi="黑体" w:eastAsia="黑体" w:cs="黑体"/>
                <w:sz w:val="20"/>
                <w:szCs w:val="20"/>
              </w:rPr>
            </w:pPr>
            <w:r>
              <w:rPr>
                <w:rFonts w:ascii="黑体" w:hAnsi="黑体" w:eastAsia="黑体" w:cs="黑体"/>
                <w:position w:val="1"/>
                <w:sz w:val="20"/>
                <w:szCs w:val="20"/>
              </w:rPr>
              <w:t>2</w:t>
            </w:r>
          </w:p>
        </w:tc>
        <w:tc>
          <w:tcPr>
            <w:tcW w:w="949" w:type="dxa"/>
            <w:vAlign w:val="top"/>
          </w:tcPr>
          <w:p w14:paraId="3A253F46">
            <w:pPr>
              <w:rPr>
                <w:rFonts w:ascii="Arial"/>
                <w:sz w:val="21"/>
              </w:rPr>
            </w:pPr>
          </w:p>
        </w:tc>
        <w:tc>
          <w:tcPr>
            <w:tcW w:w="1122" w:type="dxa"/>
            <w:vAlign w:val="top"/>
          </w:tcPr>
          <w:p w14:paraId="16F53FB2">
            <w:pPr>
              <w:rPr>
                <w:rFonts w:ascii="Arial"/>
                <w:sz w:val="21"/>
              </w:rPr>
            </w:pPr>
          </w:p>
        </w:tc>
        <w:tc>
          <w:tcPr>
            <w:tcW w:w="1089" w:type="dxa"/>
            <w:vAlign w:val="top"/>
          </w:tcPr>
          <w:p w14:paraId="6C4A95D0">
            <w:pPr>
              <w:rPr>
                <w:rFonts w:ascii="Arial"/>
                <w:sz w:val="21"/>
              </w:rPr>
            </w:pPr>
          </w:p>
        </w:tc>
        <w:tc>
          <w:tcPr>
            <w:tcW w:w="1196" w:type="dxa"/>
            <w:vAlign w:val="top"/>
          </w:tcPr>
          <w:p w14:paraId="3ADD3A7B">
            <w:pPr>
              <w:rPr>
                <w:rFonts w:ascii="Arial"/>
                <w:sz w:val="21"/>
              </w:rPr>
            </w:pPr>
          </w:p>
        </w:tc>
        <w:tc>
          <w:tcPr>
            <w:tcW w:w="987" w:type="dxa"/>
            <w:vAlign w:val="top"/>
          </w:tcPr>
          <w:p w14:paraId="6A3B28BC">
            <w:pPr>
              <w:rPr>
                <w:rFonts w:ascii="Arial"/>
                <w:sz w:val="21"/>
              </w:rPr>
            </w:pPr>
          </w:p>
        </w:tc>
      </w:tr>
      <w:tr w14:paraId="1AFA3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continue"/>
            <w:tcBorders>
              <w:top w:val="nil"/>
            </w:tcBorders>
            <w:vAlign w:val="top"/>
          </w:tcPr>
          <w:p w14:paraId="231BD2F9">
            <w:pPr>
              <w:rPr>
                <w:rFonts w:ascii="Arial"/>
                <w:sz w:val="21"/>
              </w:rPr>
            </w:pPr>
          </w:p>
        </w:tc>
        <w:tc>
          <w:tcPr>
            <w:tcW w:w="1842" w:type="dxa"/>
            <w:vMerge w:val="continue"/>
            <w:tcBorders>
              <w:top w:val="nil"/>
            </w:tcBorders>
            <w:vAlign w:val="top"/>
          </w:tcPr>
          <w:p w14:paraId="33DA7393">
            <w:pPr>
              <w:rPr>
                <w:rFonts w:ascii="Arial"/>
                <w:sz w:val="21"/>
              </w:rPr>
            </w:pPr>
          </w:p>
        </w:tc>
        <w:tc>
          <w:tcPr>
            <w:tcW w:w="751" w:type="dxa"/>
            <w:vAlign w:val="top"/>
          </w:tcPr>
          <w:p w14:paraId="4F52E60C">
            <w:pPr>
              <w:spacing w:before="124" w:line="273" w:lineRule="exact"/>
              <w:ind w:left="327"/>
              <w:rPr>
                <w:rFonts w:ascii="黑体" w:hAnsi="黑体" w:eastAsia="黑体" w:cs="黑体"/>
                <w:sz w:val="20"/>
                <w:szCs w:val="20"/>
              </w:rPr>
            </w:pPr>
            <w:r>
              <w:rPr>
                <w:rFonts w:ascii="黑体" w:hAnsi="黑体" w:eastAsia="黑体" w:cs="黑体"/>
                <w:position w:val="1"/>
                <w:sz w:val="20"/>
                <w:szCs w:val="20"/>
              </w:rPr>
              <w:t>3</w:t>
            </w:r>
          </w:p>
        </w:tc>
        <w:tc>
          <w:tcPr>
            <w:tcW w:w="949" w:type="dxa"/>
            <w:vAlign w:val="top"/>
          </w:tcPr>
          <w:p w14:paraId="4AF80BEE">
            <w:pPr>
              <w:rPr>
                <w:rFonts w:ascii="Arial"/>
                <w:sz w:val="21"/>
              </w:rPr>
            </w:pPr>
          </w:p>
        </w:tc>
        <w:tc>
          <w:tcPr>
            <w:tcW w:w="1122" w:type="dxa"/>
            <w:vAlign w:val="top"/>
          </w:tcPr>
          <w:p w14:paraId="56D6E606">
            <w:pPr>
              <w:rPr>
                <w:rFonts w:ascii="Arial"/>
                <w:sz w:val="21"/>
              </w:rPr>
            </w:pPr>
          </w:p>
        </w:tc>
        <w:tc>
          <w:tcPr>
            <w:tcW w:w="1089" w:type="dxa"/>
            <w:vAlign w:val="top"/>
          </w:tcPr>
          <w:p w14:paraId="02CB119E">
            <w:pPr>
              <w:rPr>
                <w:rFonts w:ascii="Arial"/>
                <w:sz w:val="21"/>
              </w:rPr>
            </w:pPr>
          </w:p>
        </w:tc>
        <w:tc>
          <w:tcPr>
            <w:tcW w:w="1196" w:type="dxa"/>
            <w:vAlign w:val="top"/>
          </w:tcPr>
          <w:p w14:paraId="7DD7D6E4">
            <w:pPr>
              <w:rPr>
                <w:rFonts w:ascii="Arial"/>
                <w:sz w:val="21"/>
              </w:rPr>
            </w:pPr>
          </w:p>
        </w:tc>
        <w:tc>
          <w:tcPr>
            <w:tcW w:w="987" w:type="dxa"/>
            <w:vAlign w:val="top"/>
          </w:tcPr>
          <w:p w14:paraId="727B6881">
            <w:pPr>
              <w:rPr>
                <w:rFonts w:ascii="Arial"/>
                <w:sz w:val="21"/>
              </w:rPr>
            </w:pPr>
          </w:p>
        </w:tc>
      </w:tr>
      <w:tr w14:paraId="132460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Merge w:val="restart"/>
            <w:tcBorders>
              <w:bottom w:val="nil"/>
            </w:tcBorders>
            <w:vAlign w:val="top"/>
          </w:tcPr>
          <w:p w14:paraId="687D4B41">
            <w:pPr>
              <w:rPr>
                <w:rFonts w:ascii="Arial"/>
                <w:sz w:val="21"/>
              </w:rPr>
            </w:pPr>
          </w:p>
        </w:tc>
        <w:tc>
          <w:tcPr>
            <w:tcW w:w="1842" w:type="dxa"/>
            <w:vMerge w:val="restart"/>
            <w:tcBorders>
              <w:bottom w:val="nil"/>
            </w:tcBorders>
            <w:vAlign w:val="top"/>
          </w:tcPr>
          <w:p w14:paraId="246A92ED">
            <w:pPr>
              <w:rPr>
                <w:rFonts w:ascii="Arial"/>
                <w:sz w:val="21"/>
              </w:rPr>
            </w:pPr>
          </w:p>
        </w:tc>
        <w:tc>
          <w:tcPr>
            <w:tcW w:w="751" w:type="dxa"/>
            <w:vAlign w:val="top"/>
          </w:tcPr>
          <w:p w14:paraId="40DB9571">
            <w:pPr>
              <w:spacing w:before="123" w:line="275" w:lineRule="exact"/>
              <w:ind w:left="338"/>
              <w:rPr>
                <w:rFonts w:ascii="黑体" w:hAnsi="黑体" w:eastAsia="黑体" w:cs="黑体"/>
                <w:sz w:val="20"/>
                <w:szCs w:val="20"/>
              </w:rPr>
            </w:pPr>
            <w:r>
              <w:rPr>
                <w:rFonts w:ascii="黑体" w:hAnsi="黑体" w:eastAsia="黑体" w:cs="黑体"/>
                <w:position w:val="1"/>
                <w:sz w:val="20"/>
                <w:szCs w:val="20"/>
              </w:rPr>
              <w:t>1</w:t>
            </w:r>
          </w:p>
        </w:tc>
        <w:tc>
          <w:tcPr>
            <w:tcW w:w="949" w:type="dxa"/>
            <w:vAlign w:val="top"/>
          </w:tcPr>
          <w:p w14:paraId="5BE8856D">
            <w:pPr>
              <w:rPr>
                <w:rFonts w:ascii="Arial"/>
                <w:sz w:val="21"/>
              </w:rPr>
            </w:pPr>
          </w:p>
        </w:tc>
        <w:tc>
          <w:tcPr>
            <w:tcW w:w="1122" w:type="dxa"/>
            <w:vAlign w:val="top"/>
          </w:tcPr>
          <w:p w14:paraId="540CC0BA">
            <w:pPr>
              <w:rPr>
                <w:rFonts w:ascii="Arial"/>
                <w:sz w:val="21"/>
              </w:rPr>
            </w:pPr>
          </w:p>
        </w:tc>
        <w:tc>
          <w:tcPr>
            <w:tcW w:w="1089" w:type="dxa"/>
            <w:vAlign w:val="top"/>
          </w:tcPr>
          <w:p w14:paraId="4A675D39">
            <w:pPr>
              <w:rPr>
                <w:rFonts w:ascii="Arial"/>
                <w:sz w:val="21"/>
              </w:rPr>
            </w:pPr>
          </w:p>
        </w:tc>
        <w:tc>
          <w:tcPr>
            <w:tcW w:w="1196" w:type="dxa"/>
            <w:vAlign w:val="top"/>
          </w:tcPr>
          <w:p w14:paraId="7814D907">
            <w:pPr>
              <w:rPr>
                <w:rFonts w:ascii="Arial"/>
                <w:sz w:val="21"/>
              </w:rPr>
            </w:pPr>
          </w:p>
        </w:tc>
        <w:tc>
          <w:tcPr>
            <w:tcW w:w="987" w:type="dxa"/>
            <w:vAlign w:val="top"/>
          </w:tcPr>
          <w:p w14:paraId="5BAD386B">
            <w:pPr>
              <w:rPr>
                <w:rFonts w:ascii="Arial"/>
                <w:sz w:val="21"/>
              </w:rPr>
            </w:pPr>
          </w:p>
        </w:tc>
      </w:tr>
      <w:tr w14:paraId="78E23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continue"/>
            <w:tcBorders>
              <w:top w:val="nil"/>
              <w:bottom w:val="nil"/>
            </w:tcBorders>
            <w:vAlign w:val="top"/>
          </w:tcPr>
          <w:p w14:paraId="7F8CF879">
            <w:pPr>
              <w:rPr>
                <w:rFonts w:ascii="Arial"/>
                <w:sz w:val="21"/>
              </w:rPr>
            </w:pPr>
          </w:p>
        </w:tc>
        <w:tc>
          <w:tcPr>
            <w:tcW w:w="1842" w:type="dxa"/>
            <w:vMerge w:val="continue"/>
            <w:tcBorders>
              <w:top w:val="nil"/>
              <w:bottom w:val="nil"/>
            </w:tcBorders>
            <w:vAlign w:val="top"/>
          </w:tcPr>
          <w:p w14:paraId="2CEE7F14">
            <w:pPr>
              <w:rPr>
                <w:rFonts w:ascii="Arial"/>
                <w:sz w:val="21"/>
              </w:rPr>
            </w:pPr>
          </w:p>
        </w:tc>
        <w:tc>
          <w:tcPr>
            <w:tcW w:w="751" w:type="dxa"/>
            <w:vAlign w:val="top"/>
          </w:tcPr>
          <w:p w14:paraId="6979FAAB">
            <w:pPr>
              <w:spacing w:before="126" w:line="275" w:lineRule="exact"/>
              <w:ind w:left="325"/>
              <w:rPr>
                <w:rFonts w:ascii="黑体" w:hAnsi="黑体" w:eastAsia="黑体" w:cs="黑体"/>
                <w:sz w:val="20"/>
                <w:szCs w:val="20"/>
              </w:rPr>
            </w:pPr>
            <w:r>
              <w:rPr>
                <w:rFonts w:ascii="黑体" w:hAnsi="黑体" w:eastAsia="黑体" w:cs="黑体"/>
                <w:position w:val="1"/>
                <w:sz w:val="20"/>
                <w:szCs w:val="20"/>
              </w:rPr>
              <w:t>2</w:t>
            </w:r>
          </w:p>
        </w:tc>
        <w:tc>
          <w:tcPr>
            <w:tcW w:w="949" w:type="dxa"/>
            <w:vAlign w:val="top"/>
          </w:tcPr>
          <w:p w14:paraId="37E580EA">
            <w:pPr>
              <w:rPr>
                <w:rFonts w:ascii="Arial"/>
                <w:sz w:val="21"/>
              </w:rPr>
            </w:pPr>
          </w:p>
        </w:tc>
        <w:tc>
          <w:tcPr>
            <w:tcW w:w="1122" w:type="dxa"/>
            <w:vAlign w:val="top"/>
          </w:tcPr>
          <w:p w14:paraId="09EDB8E0">
            <w:pPr>
              <w:rPr>
                <w:rFonts w:ascii="Arial"/>
                <w:sz w:val="21"/>
              </w:rPr>
            </w:pPr>
          </w:p>
        </w:tc>
        <w:tc>
          <w:tcPr>
            <w:tcW w:w="1089" w:type="dxa"/>
            <w:vAlign w:val="top"/>
          </w:tcPr>
          <w:p w14:paraId="71FA5831">
            <w:pPr>
              <w:rPr>
                <w:rFonts w:ascii="Arial"/>
                <w:sz w:val="21"/>
              </w:rPr>
            </w:pPr>
          </w:p>
        </w:tc>
        <w:tc>
          <w:tcPr>
            <w:tcW w:w="1196" w:type="dxa"/>
            <w:vAlign w:val="top"/>
          </w:tcPr>
          <w:p w14:paraId="7EBBDAAE">
            <w:pPr>
              <w:rPr>
                <w:rFonts w:ascii="Arial"/>
                <w:sz w:val="21"/>
              </w:rPr>
            </w:pPr>
          </w:p>
        </w:tc>
        <w:tc>
          <w:tcPr>
            <w:tcW w:w="987" w:type="dxa"/>
            <w:vAlign w:val="top"/>
          </w:tcPr>
          <w:p w14:paraId="47AD0CD7">
            <w:pPr>
              <w:rPr>
                <w:rFonts w:ascii="Arial"/>
                <w:sz w:val="21"/>
              </w:rPr>
            </w:pPr>
          </w:p>
        </w:tc>
      </w:tr>
      <w:tr w14:paraId="0170B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Merge w:val="continue"/>
            <w:tcBorders>
              <w:top w:val="nil"/>
            </w:tcBorders>
            <w:vAlign w:val="top"/>
          </w:tcPr>
          <w:p w14:paraId="2B812F70">
            <w:pPr>
              <w:rPr>
                <w:rFonts w:ascii="Arial"/>
                <w:sz w:val="21"/>
              </w:rPr>
            </w:pPr>
          </w:p>
        </w:tc>
        <w:tc>
          <w:tcPr>
            <w:tcW w:w="1842" w:type="dxa"/>
            <w:vMerge w:val="continue"/>
            <w:tcBorders>
              <w:top w:val="nil"/>
            </w:tcBorders>
            <w:vAlign w:val="top"/>
          </w:tcPr>
          <w:p w14:paraId="52E0A3EE">
            <w:pPr>
              <w:rPr>
                <w:rFonts w:ascii="Arial"/>
                <w:sz w:val="21"/>
              </w:rPr>
            </w:pPr>
          </w:p>
        </w:tc>
        <w:tc>
          <w:tcPr>
            <w:tcW w:w="751" w:type="dxa"/>
            <w:vAlign w:val="top"/>
          </w:tcPr>
          <w:p w14:paraId="3AE38B5D">
            <w:pPr>
              <w:spacing w:before="125" w:line="273" w:lineRule="exact"/>
              <w:ind w:left="327"/>
              <w:rPr>
                <w:rFonts w:ascii="黑体" w:hAnsi="黑体" w:eastAsia="黑体" w:cs="黑体"/>
                <w:sz w:val="20"/>
                <w:szCs w:val="20"/>
              </w:rPr>
            </w:pPr>
            <w:r>
              <w:rPr>
                <w:rFonts w:ascii="黑体" w:hAnsi="黑体" w:eastAsia="黑体" w:cs="黑体"/>
                <w:position w:val="1"/>
                <w:sz w:val="20"/>
                <w:szCs w:val="20"/>
              </w:rPr>
              <w:t>3</w:t>
            </w:r>
          </w:p>
        </w:tc>
        <w:tc>
          <w:tcPr>
            <w:tcW w:w="949" w:type="dxa"/>
            <w:vAlign w:val="top"/>
          </w:tcPr>
          <w:p w14:paraId="3FBFD4C5">
            <w:pPr>
              <w:rPr>
                <w:rFonts w:ascii="Arial"/>
                <w:sz w:val="21"/>
              </w:rPr>
            </w:pPr>
          </w:p>
        </w:tc>
        <w:tc>
          <w:tcPr>
            <w:tcW w:w="1122" w:type="dxa"/>
            <w:vAlign w:val="top"/>
          </w:tcPr>
          <w:p w14:paraId="2E2FC5DD">
            <w:pPr>
              <w:rPr>
                <w:rFonts w:ascii="Arial"/>
                <w:sz w:val="21"/>
              </w:rPr>
            </w:pPr>
          </w:p>
        </w:tc>
        <w:tc>
          <w:tcPr>
            <w:tcW w:w="1089" w:type="dxa"/>
            <w:vAlign w:val="top"/>
          </w:tcPr>
          <w:p w14:paraId="0C6EC62E">
            <w:pPr>
              <w:rPr>
                <w:rFonts w:ascii="Arial"/>
                <w:sz w:val="21"/>
              </w:rPr>
            </w:pPr>
          </w:p>
        </w:tc>
        <w:tc>
          <w:tcPr>
            <w:tcW w:w="1196" w:type="dxa"/>
            <w:vAlign w:val="top"/>
          </w:tcPr>
          <w:p w14:paraId="0ED060F8">
            <w:pPr>
              <w:rPr>
                <w:rFonts w:ascii="Arial"/>
                <w:sz w:val="21"/>
              </w:rPr>
            </w:pPr>
          </w:p>
        </w:tc>
        <w:tc>
          <w:tcPr>
            <w:tcW w:w="987" w:type="dxa"/>
            <w:vAlign w:val="top"/>
          </w:tcPr>
          <w:p w14:paraId="1F070ED5">
            <w:pPr>
              <w:rPr>
                <w:rFonts w:ascii="Arial"/>
                <w:sz w:val="21"/>
              </w:rPr>
            </w:pPr>
          </w:p>
        </w:tc>
      </w:tr>
      <w:tr w14:paraId="4F044C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restart"/>
            <w:tcBorders>
              <w:bottom w:val="nil"/>
            </w:tcBorders>
            <w:vAlign w:val="top"/>
          </w:tcPr>
          <w:p w14:paraId="7BF2AC79">
            <w:pPr>
              <w:rPr>
                <w:rFonts w:ascii="Arial"/>
                <w:sz w:val="21"/>
              </w:rPr>
            </w:pPr>
          </w:p>
        </w:tc>
        <w:tc>
          <w:tcPr>
            <w:tcW w:w="1842" w:type="dxa"/>
            <w:vMerge w:val="restart"/>
            <w:tcBorders>
              <w:bottom w:val="nil"/>
            </w:tcBorders>
            <w:vAlign w:val="top"/>
          </w:tcPr>
          <w:p w14:paraId="3DE29091">
            <w:pPr>
              <w:rPr>
                <w:rFonts w:ascii="Arial"/>
                <w:sz w:val="21"/>
              </w:rPr>
            </w:pPr>
          </w:p>
        </w:tc>
        <w:tc>
          <w:tcPr>
            <w:tcW w:w="751" w:type="dxa"/>
            <w:vAlign w:val="top"/>
          </w:tcPr>
          <w:p w14:paraId="69BDA802">
            <w:pPr>
              <w:spacing w:before="125" w:line="275" w:lineRule="exact"/>
              <w:ind w:left="338"/>
              <w:rPr>
                <w:rFonts w:ascii="黑体" w:hAnsi="黑体" w:eastAsia="黑体" w:cs="黑体"/>
                <w:sz w:val="20"/>
                <w:szCs w:val="20"/>
              </w:rPr>
            </w:pPr>
            <w:r>
              <w:rPr>
                <w:rFonts w:ascii="黑体" w:hAnsi="黑体" w:eastAsia="黑体" w:cs="黑体"/>
                <w:position w:val="1"/>
                <w:sz w:val="20"/>
                <w:szCs w:val="20"/>
              </w:rPr>
              <w:t>1</w:t>
            </w:r>
          </w:p>
        </w:tc>
        <w:tc>
          <w:tcPr>
            <w:tcW w:w="949" w:type="dxa"/>
            <w:vAlign w:val="top"/>
          </w:tcPr>
          <w:p w14:paraId="7BFE5370">
            <w:pPr>
              <w:rPr>
                <w:rFonts w:ascii="Arial"/>
                <w:sz w:val="21"/>
              </w:rPr>
            </w:pPr>
          </w:p>
        </w:tc>
        <w:tc>
          <w:tcPr>
            <w:tcW w:w="1122" w:type="dxa"/>
            <w:vAlign w:val="top"/>
          </w:tcPr>
          <w:p w14:paraId="175CF113">
            <w:pPr>
              <w:rPr>
                <w:rFonts w:ascii="Arial"/>
                <w:sz w:val="21"/>
              </w:rPr>
            </w:pPr>
          </w:p>
        </w:tc>
        <w:tc>
          <w:tcPr>
            <w:tcW w:w="1089" w:type="dxa"/>
            <w:vAlign w:val="top"/>
          </w:tcPr>
          <w:p w14:paraId="1D6D7112">
            <w:pPr>
              <w:rPr>
                <w:rFonts w:ascii="Arial"/>
                <w:sz w:val="21"/>
              </w:rPr>
            </w:pPr>
          </w:p>
        </w:tc>
        <w:tc>
          <w:tcPr>
            <w:tcW w:w="1196" w:type="dxa"/>
            <w:vAlign w:val="top"/>
          </w:tcPr>
          <w:p w14:paraId="4D78AAB4">
            <w:pPr>
              <w:rPr>
                <w:rFonts w:ascii="Arial"/>
                <w:sz w:val="21"/>
              </w:rPr>
            </w:pPr>
          </w:p>
        </w:tc>
        <w:tc>
          <w:tcPr>
            <w:tcW w:w="987" w:type="dxa"/>
            <w:vAlign w:val="top"/>
          </w:tcPr>
          <w:p w14:paraId="72ACC5D8">
            <w:pPr>
              <w:rPr>
                <w:rFonts w:ascii="Arial"/>
                <w:sz w:val="21"/>
              </w:rPr>
            </w:pPr>
          </w:p>
        </w:tc>
      </w:tr>
      <w:tr w14:paraId="09CB82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continue"/>
            <w:tcBorders>
              <w:top w:val="nil"/>
              <w:bottom w:val="nil"/>
            </w:tcBorders>
            <w:vAlign w:val="top"/>
          </w:tcPr>
          <w:p w14:paraId="3AA229FE">
            <w:pPr>
              <w:rPr>
                <w:rFonts w:ascii="Arial"/>
                <w:sz w:val="21"/>
              </w:rPr>
            </w:pPr>
          </w:p>
        </w:tc>
        <w:tc>
          <w:tcPr>
            <w:tcW w:w="1842" w:type="dxa"/>
            <w:vMerge w:val="continue"/>
            <w:tcBorders>
              <w:top w:val="nil"/>
              <w:bottom w:val="nil"/>
            </w:tcBorders>
            <w:vAlign w:val="top"/>
          </w:tcPr>
          <w:p w14:paraId="5C44FA2D">
            <w:pPr>
              <w:rPr>
                <w:rFonts w:ascii="Arial"/>
                <w:sz w:val="21"/>
              </w:rPr>
            </w:pPr>
          </w:p>
        </w:tc>
        <w:tc>
          <w:tcPr>
            <w:tcW w:w="751" w:type="dxa"/>
            <w:vAlign w:val="top"/>
          </w:tcPr>
          <w:p w14:paraId="18DFFDA4">
            <w:pPr>
              <w:spacing w:before="127" w:line="275" w:lineRule="exact"/>
              <w:ind w:left="325"/>
              <w:rPr>
                <w:rFonts w:ascii="黑体" w:hAnsi="黑体" w:eastAsia="黑体" w:cs="黑体"/>
                <w:sz w:val="20"/>
                <w:szCs w:val="20"/>
              </w:rPr>
            </w:pPr>
            <w:r>
              <w:rPr>
                <w:rFonts w:ascii="黑体" w:hAnsi="黑体" w:eastAsia="黑体" w:cs="黑体"/>
                <w:position w:val="1"/>
                <w:sz w:val="20"/>
                <w:szCs w:val="20"/>
              </w:rPr>
              <w:t>2</w:t>
            </w:r>
          </w:p>
        </w:tc>
        <w:tc>
          <w:tcPr>
            <w:tcW w:w="949" w:type="dxa"/>
            <w:vAlign w:val="top"/>
          </w:tcPr>
          <w:p w14:paraId="4C3D8E03">
            <w:pPr>
              <w:rPr>
                <w:rFonts w:ascii="Arial"/>
                <w:sz w:val="21"/>
              </w:rPr>
            </w:pPr>
          </w:p>
        </w:tc>
        <w:tc>
          <w:tcPr>
            <w:tcW w:w="1122" w:type="dxa"/>
            <w:vAlign w:val="top"/>
          </w:tcPr>
          <w:p w14:paraId="2326E2A2">
            <w:pPr>
              <w:rPr>
                <w:rFonts w:ascii="Arial"/>
                <w:sz w:val="21"/>
              </w:rPr>
            </w:pPr>
          </w:p>
        </w:tc>
        <w:tc>
          <w:tcPr>
            <w:tcW w:w="1089" w:type="dxa"/>
            <w:vAlign w:val="top"/>
          </w:tcPr>
          <w:p w14:paraId="70C61D41">
            <w:pPr>
              <w:rPr>
                <w:rFonts w:ascii="Arial"/>
                <w:sz w:val="21"/>
              </w:rPr>
            </w:pPr>
          </w:p>
        </w:tc>
        <w:tc>
          <w:tcPr>
            <w:tcW w:w="1196" w:type="dxa"/>
            <w:vAlign w:val="top"/>
          </w:tcPr>
          <w:p w14:paraId="48689799">
            <w:pPr>
              <w:rPr>
                <w:rFonts w:ascii="Arial"/>
                <w:sz w:val="21"/>
              </w:rPr>
            </w:pPr>
          </w:p>
        </w:tc>
        <w:tc>
          <w:tcPr>
            <w:tcW w:w="987" w:type="dxa"/>
            <w:vAlign w:val="top"/>
          </w:tcPr>
          <w:p w14:paraId="17D326CD">
            <w:pPr>
              <w:rPr>
                <w:rFonts w:ascii="Arial"/>
                <w:sz w:val="21"/>
              </w:rPr>
            </w:pPr>
          </w:p>
        </w:tc>
      </w:tr>
      <w:tr w14:paraId="032EED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573" w:type="dxa"/>
            <w:vMerge w:val="continue"/>
            <w:tcBorders>
              <w:top w:val="nil"/>
            </w:tcBorders>
            <w:vAlign w:val="top"/>
          </w:tcPr>
          <w:p w14:paraId="513CBE77">
            <w:pPr>
              <w:rPr>
                <w:rFonts w:ascii="Arial"/>
                <w:sz w:val="21"/>
              </w:rPr>
            </w:pPr>
          </w:p>
        </w:tc>
        <w:tc>
          <w:tcPr>
            <w:tcW w:w="1842" w:type="dxa"/>
            <w:vMerge w:val="continue"/>
            <w:tcBorders>
              <w:top w:val="nil"/>
            </w:tcBorders>
            <w:vAlign w:val="top"/>
          </w:tcPr>
          <w:p w14:paraId="74EEF44F">
            <w:pPr>
              <w:rPr>
                <w:rFonts w:ascii="Arial"/>
                <w:sz w:val="21"/>
              </w:rPr>
            </w:pPr>
          </w:p>
        </w:tc>
        <w:tc>
          <w:tcPr>
            <w:tcW w:w="751" w:type="dxa"/>
            <w:vAlign w:val="top"/>
          </w:tcPr>
          <w:p w14:paraId="15AA62A1">
            <w:pPr>
              <w:spacing w:before="126" w:line="273" w:lineRule="exact"/>
              <w:ind w:left="327"/>
              <w:rPr>
                <w:rFonts w:ascii="黑体" w:hAnsi="黑体" w:eastAsia="黑体" w:cs="黑体"/>
                <w:sz w:val="20"/>
                <w:szCs w:val="20"/>
              </w:rPr>
            </w:pPr>
            <w:r>
              <w:rPr>
                <w:rFonts w:ascii="黑体" w:hAnsi="黑体" w:eastAsia="黑体" w:cs="黑体"/>
                <w:position w:val="1"/>
                <w:sz w:val="20"/>
                <w:szCs w:val="20"/>
              </w:rPr>
              <w:t>3</w:t>
            </w:r>
          </w:p>
        </w:tc>
        <w:tc>
          <w:tcPr>
            <w:tcW w:w="949" w:type="dxa"/>
            <w:vAlign w:val="top"/>
          </w:tcPr>
          <w:p w14:paraId="39E4700D">
            <w:pPr>
              <w:rPr>
                <w:rFonts w:ascii="Arial"/>
                <w:sz w:val="21"/>
              </w:rPr>
            </w:pPr>
          </w:p>
        </w:tc>
        <w:tc>
          <w:tcPr>
            <w:tcW w:w="1122" w:type="dxa"/>
            <w:vAlign w:val="top"/>
          </w:tcPr>
          <w:p w14:paraId="591C939E">
            <w:pPr>
              <w:rPr>
                <w:rFonts w:ascii="Arial"/>
                <w:sz w:val="21"/>
              </w:rPr>
            </w:pPr>
          </w:p>
        </w:tc>
        <w:tc>
          <w:tcPr>
            <w:tcW w:w="1089" w:type="dxa"/>
            <w:vAlign w:val="top"/>
          </w:tcPr>
          <w:p w14:paraId="2399BE22">
            <w:pPr>
              <w:rPr>
                <w:rFonts w:ascii="Arial"/>
                <w:sz w:val="21"/>
              </w:rPr>
            </w:pPr>
          </w:p>
        </w:tc>
        <w:tc>
          <w:tcPr>
            <w:tcW w:w="1196" w:type="dxa"/>
            <w:vAlign w:val="top"/>
          </w:tcPr>
          <w:p w14:paraId="32E05269">
            <w:pPr>
              <w:rPr>
                <w:rFonts w:ascii="Arial"/>
                <w:sz w:val="21"/>
              </w:rPr>
            </w:pPr>
          </w:p>
        </w:tc>
        <w:tc>
          <w:tcPr>
            <w:tcW w:w="987" w:type="dxa"/>
            <w:vAlign w:val="top"/>
          </w:tcPr>
          <w:p w14:paraId="15494B5E">
            <w:pPr>
              <w:rPr>
                <w:rFonts w:ascii="Arial"/>
                <w:sz w:val="21"/>
              </w:rPr>
            </w:pPr>
          </w:p>
        </w:tc>
      </w:tr>
    </w:tbl>
    <w:p w14:paraId="387CC754">
      <w:pPr>
        <w:spacing w:line="245" w:lineRule="auto"/>
        <w:rPr>
          <w:rFonts w:ascii="Arial"/>
          <w:sz w:val="21"/>
        </w:rPr>
      </w:pPr>
    </w:p>
    <w:p w14:paraId="0FDD9EB8">
      <w:pPr>
        <w:spacing w:line="245" w:lineRule="auto"/>
        <w:rPr>
          <w:rFonts w:ascii="Arial"/>
          <w:sz w:val="21"/>
        </w:rPr>
      </w:pPr>
    </w:p>
    <w:p w14:paraId="73941AB6">
      <w:pPr>
        <w:spacing w:line="245" w:lineRule="auto"/>
        <w:rPr>
          <w:rFonts w:ascii="Arial"/>
          <w:sz w:val="21"/>
        </w:rPr>
      </w:pPr>
    </w:p>
    <w:p w14:paraId="15227958">
      <w:pPr>
        <w:spacing w:line="246" w:lineRule="auto"/>
        <w:rPr>
          <w:rFonts w:ascii="Arial"/>
          <w:sz w:val="21"/>
        </w:rPr>
      </w:pPr>
    </w:p>
    <w:p w14:paraId="74547DA9">
      <w:pPr>
        <w:spacing w:before="65" w:line="228" w:lineRule="auto"/>
        <w:ind w:left="5155"/>
        <w:rPr>
          <w:rFonts w:ascii="宋体" w:hAnsi="宋体" w:eastAsia="宋体" w:cs="宋体"/>
          <w:sz w:val="20"/>
          <w:szCs w:val="20"/>
        </w:rPr>
      </w:pPr>
      <w:r>
        <w:rPr>
          <w:rFonts w:ascii="宋体" w:hAnsi="宋体" w:eastAsia="宋体" w:cs="宋体"/>
          <w:spacing w:val="-7"/>
          <w:sz w:val="20"/>
          <w:szCs w:val="20"/>
        </w:rPr>
        <w:t>日</w:t>
      </w:r>
      <w:r>
        <w:rPr>
          <w:rFonts w:ascii="宋体" w:hAnsi="宋体" w:eastAsia="宋体" w:cs="宋体"/>
          <w:spacing w:val="20"/>
          <w:sz w:val="20"/>
          <w:szCs w:val="20"/>
        </w:rPr>
        <w:t xml:space="preserve"> </w:t>
      </w:r>
      <w:r>
        <w:rPr>
          <w:rFonts w:ascii="宋体" w:hAnsi="宋体" w:eastAsia="宋体" w:cs="宋体"/>
          <w:spacing w:val="-7"/>
          <w:sz w:val="20"/>
          <w:szCs w:val="20"/>
        </w:rPr>
        <w:t>期：</w:t>
      </w:r>
      <w:r>
        <w:rPr>
          <w:rFonts w:ascii="宋体" w:hAnsi="宋体" w:eastAsia="宋体" w:cs="宋体"/>
          <w:spacing w:val="12"/>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7"/>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7"/>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3"/>
          <w:sz w:val="20"/>
          <w:szCs w:val="20"/>
        </w:rPr>
        <w:t xml:space="preserve"> </w:t>
      </w:r>
      <w:r>
        <w:rPr>
          <w:rFonts w:ascii="宋体" w:hAnsi="宋体" w:eastAsia="宋体" w:cs="宋体"/>
          <w:spacing w:val="-7"/>
          <w:sz w:val="20"/>
          <w:szCs w:val="20"/>
        </w:rPr>
        <w:t>日</w:t>
      </w:r>
    </w:p>
    <w:p w14:paraId="0C125B87">
      <w:pPr>
        <w:spacing w:line="250" w:lineRule="auto"/>
        <w:rPr>
          <w:rFonts w:ascii="Arial"/>
          <w:sz w:val="21"/>
        </w:rPr>
      </w:pPr>
    </w:p>
    <w:p w14:paraId="5EEC8154">
      <w:pPr>
        <w:spacing w:line="250" w:lineRule="auto"/>
        <w:rPr>
          <w:rFonts w:ascii="Arial"/>
          <w:sz w:val="21"/>
        </w:rPr>
      </w:pPr>
    </w:p>
    <w:p w14:paraId="33B7EF71">
      <w:pPr>
        <w:spacing w:line="251" w:lineRule="auto"/>
        <w:rPr>
          <w:rFonts w:ascii="Arial"/>
          <w:sz w:val="21"/>
        </w:rPr>
      </w:pPr>
    </w:p>
    <w:p w14:paraId="22E254C3">
      <w:pPr>
        <w:spacing w:line="251" w:lineRule="auto"/>
        <w:rPr>
          <w:rFonts w:ascii="Arial"/>
          <w:sz w:val="21"/>
        </w:rPr>
      </w:pPr>
    </w:p>
    <w:p w14:paraId="5F43D698">
      <w:pPr>
        <w:spacing w:before="65" w:line="227" w:lineRule="auto"/>
        <w:rPr>
          <w:rFonts w:ascii="宋体" w:hAnsi="宋体" w:eastAsia="宋体" w:cs="宋体"/>
          <w:sz w:val="20"/>
          <w:szCs w:val="20"/>
        </w:rPr>
      </w:pPr>
      <w:r>
        <w:rPr>
          <w:rFonts w:ascii="宋体" w:hAnsi="宋体" w:eastAsia="宋体" w:cs="宋体"/>
          <w:spacing w:val="8"/>
          <w:sz w:val="20"/>
          <w:szCs w:val="20"/>
        </w:rPr>
        <w:t>备注：1.本表适用于非政府采购工程。</w:t>
      </w:r>
    </w:p>
    <w:p w14:paraId="794DB31A">
      <w:pPr>
        <w:spacing w:before="193" w:line="227" w:lineRule="auto"/>
        <w:ind w:left="631"/>
        <w:outlineLvl w:val="1"/>
        <w:rPr>
          <w:rFonts w:ascii="宋体" w:hAnsi="宋体" w:eastAsia="宋体" w:cs="宋体"/>
          <w:sz w:val="20"/>
          <w:szCs w:val="20"/>
        </w:rPr>
      </w:pPr>
      <w:r>
        <w:rPr>
          <w:rFonts w:ascii="宋体" w:hAnsi="宋体" w:eastAsia="宋体" w:cs="宋体"/>
          <w:spacing w:val="9"/>
          <w:sz w:val="20"/>
          <w:szCs w:val="20"/>
        </w:rPr>
        <w:t>2.本表所列分包仅限于承包人自行施工范围内的非主体、非关键</w:t>
      </w:r>
      <w:r>
        <w:rPr>
          <w:rFonts w:ascii="宋体" w:hAnsi="宋体" w:eastAsia="宋体" w:cs="宋体"/>
          <w:spacing w:val="8"/>
          <w:sz w:val="20"/>
          <w:szCs w:val="20"/>
        </w:rPr>
        <w:t>工程。</w:t>
      </w:r>
    </w:p>
    <w:p w14:paraId="4A344DE5">
      <w:pPr>
        <w:spacing w:line="227" w:lineRule="auto"/>
        <w:rPr>
          <w:rFonts w:ascii="宋体" w:hAnsi="宋体" w:eastAsia="宋体" w:cs="宋体"/>
          <w:sz w:val="20"/>
          <w:szCs w:val="20"/>
        </w:rPr>
        <w:sectPr>
          <w:footerReference r:id="rId521" w:type="default"/>
          <w:pgSz w:w="11907" w:h="16840"/>
          <w:pgMar w:top="400" w:right="1725" w:bottom="1247" w:left="1484" w:header="0" w:footer="1085" w:gutter="0"/>
          <w:cols w:space="720" w:num="1"/>
        </w:sectPr>
      </w:pPr>
    </w:p>
    <w:p w14:paraId="67DA7CAF">
      <w:pPr>
        <w:spacing w:line="276" w:lineRule="auto"/>
        <w:rPr>
          <w:rFonts w:ascii="Arial"/>
          <w:sz w:val="21"/>
        </w:rPr>
      </w:pPr>
    </w:p>
    <w:p w14:paraId="1B832566">
      <w:pPr>
        <w:spacing w:line="276" w:lineRule="auto"/>
        <w:rPr>
          <w:rFonts w:ascii="Arial"/>
          <w:sz w:val="21"/>
        </w:rPr>
      </w:pPr>
    </w:p>
    <w:p w14:paraId="43907919">
      <w:pPr>
        <w:spacing w:line="276" w:lineRule="auto"/>
        <w:rPr>
          <w:rFonts w:ascii="Arial"/>
          <w:sz w:val="21"/>
        </w:rPr>
      </w:pPr>
    </w:p>
    <w:p w14:paraId="3C299C73">
      <w:pPr>
        <w:spacing w:line="277" w:lineRule="auto"/>
        <w:rPr>
          <w:rFonts w:ascii="Arial"/>
          <w:sz w:val="21"/>
        </w:rPr>
      </w:pPr>
    </w:p>
    <w:p w14:paraId="77A9DCC8">
      <w:pPr>
        <w:spacing w:line="277" w:lineRule="auto"/>
        <w:rPr>
          <w:rFonts w:ascii="Arial"/>
          <w:sz w:val="21"/>
        </w:rPr>
      </w:pPr>
    </w:p>
    <w:p w14:paraId="7523E404">
      <w:pPr>
        <w:pStyle w:val="2"/>
        <w:spacing w:before="91" w:line="222" w:lineRule="auto"/>
        <w:ind w:left="1739"/>
        <w:outlineLvl w:val="1"/>
        <w:rPr>
          <w:sz w:val="28"/>
          <w:szCs w:val="28"/>
        </w:rPr>
      </w:pPr>
      <w:bookmarkStart w:id="419" w:name="bookmark400"/>
      <w:bookmarkEnd w:id="419"/>
      <w:r>
        <w:rPr>
          <w:spacing w:val="-1"/>
          <w:sz w:val="28"/>
          <w:szCs w:val="28"/>
        </w:rPr>
        <w:t>五、分包意向协议书（适用于政府采购工程）</w:t>
      </w:r>
    </w:p>
    <w:p w14:paraId="2D20FFB3">
      <w:pPr>
        <w:spacing w:line="258" w:lineRule="auto"/>
        <w:rPr>
          <w:rFonts w:ascii="Arial"/>
          <w:sz w:val="21"/>
        </w:rPr>
      </w:pPr>
    </w:p>
    <w:p w14:paraId="69F85810">
      <w:pPr>
        <w:spacing w:line="258" w:lineRule="auto"/>
        <w:rPr>
          <w:rFonts w:ascii="Arial"/>
          <w:sz w:val="21"/>
        </w:rPr>
      </w:pPr>
    </w:p>
    <w:p w14:paraId="3D625549">
      <w:pPr>
        <w:spacing w:before="65" w:line="228" w:lineRule="auto"/>
        <w:ind w:left="524"/>
        <w:rPr>
          <w:rFonts w:ascii="宋体" w:hAnsi="宋体" w:eastAsia="宋体" w:cs="宋体"/>
          <w:sz w:val="20"/>
          <w:szCs w:val="20"/>
        </w:rPr>
      </w:pPr>
      <w:r>
        <w:rPr>
          <w:rFonts w:ascii="宋体" w:hAnsi="宋体" w:eastAsia="宋体" w:cs="宋体"/>
          <w:spacing w:val="7"/>
          <w:sz w:val="20"/>
          <w:szCs w:val="20"/>
        </w:rPr>
        <w:t>甲方</w:t>
      </w:r>
      <w:r>
        <w:rPr>
          <w:rFonts w:ascii="宋体" w:hAnsi="宋体" w:eastAsia="宋体" w:cs="宋体"/>
          <w:spacing w:val="-2"/>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7"/>
          <w:sz w:val="20"/>
          <w:szCs w:val="20"/>
        </w:rPr>
        <w:t>投标人名称）</w:t>
      </w:r>
    </w:p>
    <w:p w14:paraId="45BA7FC7">
      <w:pPr>
        <w:spacing w:before="146" w:line="228" w:lineRule="auto"/>
        <w:ind w:left="518"/>
        <w:rPr>
          <w:rFonts w:ascii="宋体" w:hAnsi="宋体" w:eastAsia="宋体" w:cs="宋体"/>
          <w:sz w:val="20"/>
          <w:szCs w:val="20"/>
        </w:rPr>
      </w:pPr>
      <w:r>
        <w:rPr>
          <w:rFonts w:ascii="宋体" w:hAnsi="宋体" w:eastAsia="宋体" w:cs="宋体"/>
          <w:spacing w:val="9"/>
          <w:sz w:val="20"/>
          <w:szCs w:val="20"/>
        </w:rPr>
        <w:t>乙方</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9"/>
          <w:sz w:val="20"/>
          <w:szCs w:val="20"/>
        </w:rPr>
        <w:t>接受分包合同企业名称）</w:t>
      </w:r>
    </w:p>
    <w:p w14:paraId="04F1BB7B">
      <w:pPr>
        <w:spacing w:before="146" w:line="228" w:lineRule="auto"/>
        <w:ind w:left="518"/>
        <w:rPr>
          <w:rFonts w:ascii="宋体" w:hAnsi="宋体" w:eastAsia="宋体" w:cs="宋体"/>
          <w:sz w:val="20"/>
          <w:szCs w:val="20"/>
        </w:rPr>
      </w:pPr>
      <w:r>
        <w:rPr>
          <w:rFonts w:ascii="宋体" w:hAnsi="宋体" w:eastAsia="宋体" w:cs="宋体"/>
          <w:spacing w:val="9"/>
          <w:sz w:val="20"/>
          <w:szCs w:val="20"/>
        </w:rPr>
        <w:t>乙方</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9"/>
          <w:sz w:val="20"/>
          <w:szCs w:val="20"/>
        </w:rPr>
        <w:t>接受分包合同企业名称）</w:t>
      </w:r>
    </w:p>
    <w:p w14:paraId="4CC2C7EC">
      <w:pPr>
        <w:spacing w:line="248" w:lineRule="auto"/>
        <w:rPr>
          <w:rFonts w:ascii="Arial"/>
          <w:sz w:val="21"/>
        </w:rPr>
      </w:pPr>
    </w:p>
    <w:p w14:paraId="53F22CE9">
      <w:pPr>
        <w:spacing w:before="57" w:line="63" w:lineRule="exact"/>
        <w:ind w:left="513"/>
        <w:rPr>
          <w:rFonts w:ascii="Arial" w:hAnsi="Arial" w:eastAsia="Arial" w:cs="Arial"/>
          <w:sz w:val="20"/>
          <w:szCs w:val="20"/>
        </w:rPr>
      </w:pPr>
      <w:r>
        <w:rPr>
          <w:rFonts w:ascii="Arial" w:hAnsi="Arial" w:eastAsia="Arial" w:cs="Arial"/>
          <w:position w:val="1"/>
          <w:sz w:val="20"/>
          <w:szCs w:val="20"/>
        </w:rPr>
        <w:t>…</w:t>
      </w:r>
    </w:p>
    <w:p w14:paraId="5E5F63B5">
      <w:pPr>
        <w:spacing w:before="173" w:line="363" w:lineRule="auto"/>
        <w:ind w:left="80" w:right="70" w:firstLine="420"/>
        <w:rPr>
          <w:rFonts w:ascii="宋体" w:hAnsi="宋体" w:eastAsia="宋体" w:cs="宋体"/>
          <w:sz w:val="20"/>
          <w:szCs w:val="20"/>
        </w:rPr>
      </w:pPr>
      <w:r>
        <w:rPr>
          <w:rFonts w:ascii="宋体" w:hAnsi="宋体" w:eastAsia="宋体" w:cs="宋体"/>
          <w:spacing w:val="13"/>
          <w:sz w:val="20"/>
          <w:szCs w:val="20"/>
        </w:rPr>
        <w:t>鉴于甲方参加</w:t>
      </w:r>
      <w:r>
        <w:rPr>
          <w:rFonts w:ascii="宋体" w:hAnsi="宋体" w:eastAsia="宋体" w:cs="宋体"/>
          <w:spacing w:val="-96"/>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13"/>
          <w:sz w:val="20"/>
          <w:szCs w:val="20"/>
        </w:rPr>
        <w:t>（招标人名称</w:t>
      </w:r>
      <w:r>
        <w:rPr>
          <w:rFonts w:ascii="宋体" w:hAnsi="宋体" w:eastAsia="宋体" w:cs="宋体"/>
          <w:spacing w:val="-32"/>
          <w:sz w:val="20"/>
          <w:szCs w:val="20"/>
        </w:rPr>
        <w:t>）（</w:t>
      </w:r>
      <w:r>
        <w:rPr>
          <w:rFonts w:ascii="宋体" w:hAnsi="宋体" w:eastAsia="宋体" w:cs="宋体"/>
          <w:spacing w:val="13"/>
          <w:sz w:val="20"/>
          <w:szCs w:val="20"/>
        </w:rPr>
        <w:t>以下简称招标人或发包人</w:t>
      </w:r>
      <w:r>
        <w:rPr>
          <w:rFonts w:ascii="宋体" w:hAnsi="宋体" w:eastAsia="宋体" w:cs="宋体"/>
          <w:spacing w:val="-32"/>
          <w:sz w:val="20"/>
          <w:szCs w:val="20"/>
        </w:rPr>
        <w:t>）</w:t>
      </w:r>
      <w:r>
        <w:rPr>
          <w:rFonts w:ascii="宋体" w:hAnsi="宋体" w:eastAsia="宋体" w:cs="宋体"/>
          <w:spacing w:val="30"/>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32"/>
          <w:sz w:val="20"/>
          <w:szCs w:val="20"/>
        </w:rPr>
        <w:t>（</w:t>
      </w:r>
      <w:r>
        <w:rPr>
          <w:rFonts w:ascii="宋体" w:hAnsi="宋体" w:eastAsia="宋体" w:cs="宋体"/>
          <w:spacing w:val="13"/>
          <w:sz w:val="20"/>
          <w:szCs w:val="20"/>
        </w:rPr>
        <w:t>项目</w:t>
      </w:r>
      <w:r>
        <w:rPr>
          <w:rFonts w:ascii="宋体" w:hAnsi="宋体" w:eastAsia="宋体" w:cs="宋体"/>
          <w:spacing w:val="11"/>
          <w:sz w:val="20"/>
          <w:szCs w:val="20"/>
        </w:rPr>
        <w:t>名称</w:t>
      </w:r>
      <w:r>
        <w:rPr>
          <w:rFonts w:ascii="宋体" w:hAnsi="宋体" w:eastAsia="宋体" w:cs="宋体"/>
          <w:spacing w:val="-3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3"/>
          <w:sz w:val="20"/>
          <w:szCs w:val="20"/>
        </w:rPr>
        <w:t>（</w:t>
      </w:r>
      <w:r>
        <w:rPr>
          <w:rFonts w:ascii="宋体" w:hAnsi="宋体" w:eastAsia="宋体" w:cs="宋体"/>
          <w:spacing w:val="11"/>
          <w:sz w:val="20"/>
          <w:szCs w:val="20"/>
        </w:rPr>
        <w:t>标段名称</w:t>
      </w:r>
      <w:r>
        <w:rPr>
          <w:rFonts w:ascii="宋体" w:hAnsi="宋体" w:eastAsia="宋体" w:cs="宋体"/>
          <w:spacing w:val="-33"/>
          <w:sz w:val="20"/>
          <w:szCs w:val="20"/>
        </w:rPr>
        <w:t>）（</w:t>
      </w:r>
      <w:r>
        <w:rPr>
          <w:rFonts w:ascii="宋体" w:hAnsi="宋体" w:eastAsia="宋体" w:cs="宋体"/>
          <w:spacing w:val="11"/>
          <w:sz w:val="20"/>
          <w:szCs w:val="20"/>
        </w:rPr>
        <w:t>以下简称本工程）的施工招标资格预审（如有）和投标并争</w:t>
      </w:r>
      <w:r>
        <w:rPr>
          <w:rFonts w:ascii="宋体" w:hAnsi="宋体" w:eastAsia="宋体" w:cs="宋体"/>
          <w:spacing w:val="10"/>
          <w:sz w:val="20"/>
          <w:szCs w:val="20"/>
        </w:rPr>
        <w:t>取赢得本</w:t>
      </w:r>
      <w:r>
        <w:rPr>
          <w:rFonts w:ascii="宋体" w:hAnsi="宋体" w:eastAsia="宋体" w:cs="宋体"/>
          <w:spacing w:val="7"/>
          <w:sz w:val="20"/>
          <w:szCs w:val="20"/>
        </w:rPr>
        <w:t>工程施工承包合同（以下简称合同）。在遵守《建筑法》《招标投</w:t>
      </w:r>
      <w:r>
        <w:rPr>
          <w:rFonts w:ascii="宋体" w:hAnsi="宋体" w:eastAsia="宋体" w:cs="宋体"/>
          <w:spacing w:val="6"/>
          <w:sz w:val="20"/>
          <w:szCs w:val="20"/>
        </w:rPr>
        <w:t>标法》及其相关的法律法规规章</w:t>
      </w:r>
      <w:r>
        <w:rPr>
          <w:rFonts w:ascii="宋体" w:hAnsi="宋体" w:eastAsia="宋体" w:cs="宋体"/>
          <w:spacing w:val="9"/>
          <w:sz w:val="20"/>
          <w:szCs w:val="20"/>
        </w:rPr>
        <w:t>的前提下，经甲乙双方友好协商订立如下分包意向协议：</w:t>
      </w:r>
    </w:p>
    <w:p w14:paraId="0D2D1529">
      <w:pPr>
        <w:spacing w:line="364" w:lineRule="auto"/>
        <w:ind w:left="80" w:firstLine="432"/>
        <w:rPr>
          <w:rFonts w:ascii="宋体" w:hAnsi="宋体" w:eastAsia="宋体" w:cs="宋体"/>
          <w:sz w:val="20"/>
          <w:szCs w:val="20"/>
        </w:rPr>
      </w:pPr>
      <w:r>
        <w:rPr>
          <w:rFonts w:ascii="宋体" w:hAnsi="宋体" w:eastAsia="宋体" w:cs="宋体"/>
          <w:spacing w:val="9"/>
          <w:sz w:val="20"/>
          <w:szCs w:val="20"/>
        </w:rPr>
        <w:t>1．在本工程的投标阶段，</w:t>
      </w:r>
      <w:r>
        <w:rPr>
          <w:rFonts w:ascii="宋体" w:hAnsi="宋体" w:eastAsia="宋体" w:cs="宋体"/>
          <w:spacing w:val="-58"/>
          <w:sz w:val="20"/>
          <w:szCs w:val="20"/>
        </w:rPr>
        <w:t xml:space="preserve"> </w:t>
      </w:r>
      <w:r>
        <w:rPr>
          <w:rFonts w:ascii="宋体" w:hAnsi="宋体" w:eastAsia="宋体" w:cs="宋体"/>
          <w:spacing w:val="9"/>
          <w:sz w:val="20"/>
          <w:szCs w:val="20"/>
        </w:rPr>
        <w:t>甲方负责本工程资格预审申请</w:t>
      </w:r>
      <w:r>
        <w:rPr>
          <w:rFonts w:ascii="宋体" w:hAnsi="宋体" w:eastAsia="宋体" w:cs="宋体"/>
          <w:spacing w:val="8"/>
          <w:sz w:val="20"/>
          <w:szCs w:val="20"/>
        </w:rPr>
        <w:t>文件（如有）和投标文件编制活动，</w:t>
      </w:r>
      <w:r>
        <w:rPr>
          <w:rFonts w:ascii="宋体" w:hAnsi="宋体" w:eastAsia="宋体" w:cs="宋体"/>
          <w:spacing w:val="4"/>
          <w:sz w:val="20"/>
          <w:szCs w:val="20"/>
        </w:rPr>
        <w:t>并处理与资格预审（如有）、投标和中标有关的一切事务。中标</w:t>
      </w:r>
      <w:r>
        <w:rPr>
          <w:rFonts w:ascii="宋体" w:hAnsi="宋体" w:eastAsia="宋体" w:cs="宋体"/>
          <w:spacing w:val="3"/>
          <w:sz w:val="20"/>
          <w:szCs w:val="20"/>
        </w:rPr>
        <w:t>后，甲方负责合同订立和合同实施、</w:t>
      </w:r>
      <w:r>
        <w:rPr>
          <w:rFonts w:ascii="宋体" w:hAnsi="宋体" w:eastAsia="宋体" w:cs="宋体"/>
          <w:spacing w:val="7"/>
          <w:sz w:val="20"/>
          <w:szCs w:val="20"/>
        </w:rPr>
        <w:t>组织和协调工作。</w:t>
      </w:r>
    </w:p>
    <w:p w14:paraId="58685ECC">
      <w:pPr>
        <w:spacing w:before="1" w:line="363" w:lineRule="auto"/>
        <w:ind w:left="78" w:right="70" w:firstLine="421"/>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41"/>
          <w:sz w:val="20"/>
          <w:szCs w:val="20"/>
        </w:rPr>
        <w:t xml:space="preserve"> </w:t>
      </w:r>
      <w:r>
        <w:rPr>
          <w:rFonts w:ascii="宋体" w:hAnsi="宋体" w:eastAsia="宋体" w:cs="宋体"/>
          <w:spacing w:val="8"/>
          <w:sz w:val="20"/>
          <w:szCs w:val="20"/>
        </w:rPr>
        <w:t>乙方按照甲方的要求提供分包工作资格预审（如有）、投标所需的相关资料，包括但不限</w:t>
      </w:r>
      <w:r>
        <w:rPr>
          <w:rFonts w:ascii="宋体" w:hAnsi="宋体" w:eastAsia="宋体" w:cs="宋体"/>
          <w:spacing w:val="11"/>
          <w:sz w:val="20"/>
          <w:szCs w:val="20"/>
        </w:rPr>
        <w:t>于资质、资格、分包工作报价、技术文件、经营状况等资</w:t>
      </w:r>
      <w:r>
        <w:rPr>
          <w:rFonts w:ascii="宋体" w:hAnsi="宋体" w:eastAsia="宋体" w:cs="宋体"/>
          <w:spacing w:val="10"/>
          <w:sz w:val="20"/>
          <w:szCs w:val="20"/>
        </w:rPr>
        <w:t>料，并对所提供资料的真实性负责。</w:t>
      </w:r>
      <w:r>
        <w:rPr>
          <w:rFonts w:ascii="宋体" w:hAnsi="宋体" w:eastAsia="宋体" w:cs="宋体"/>
          <w:spacing w:val="-54"/>
          <w:sz w:val="20"/>
          <w:szCs w:val="20"/>
        </w:rPr>
        <w:t xml:space="preserve"> </w:t>
      </w:r>
      <w:r>
        <w:rPr>
          <w:rFonts w:ascii="宋体" w:hAnsi="宋体" w:eastAsia="宋体" w:cs="宋体"/>
          <w:spacing w:val="10"/>
          <w:sz w:val="20"/>
          <w:szCs w:val="20"/>
        </w:rPr>
        <w:t>甲</w:t>
      </w:r>
      <w:r>
        <w:rPr>
          <w:rFonts w:ascii="宋体" w:hAnsi="宋体" w:eastAsia="宋体" w:cs="宋体"/>
          <w:spacing w:val="8"/>
          <w:sz w:val="20"/>
          <w:szCs w:val="20"/>
        </w:rPr>
        <w:t>方为此提供便利条件，未经乙方同意，</w:t>
      </w:r>
      <w:r>
        <w:rPr>
          <w:rFonts w:ascii="宋体" w:hAnsi="宋体" w:eastAsia="宋体" w:cs="宋体"/>
          <w:spacing w:val="-49"/>
          <w:sz w:val="20"/>
          <w:szCs w:val="20"/>
        </w:rPr>
        <w:t xml:space="preserve"> </w:t>
      </w:r>
      <w:r>
        <w:rPr>
          <w:rFonts w:ascii="宋体" w:hAnsi="宋体" w:eastAsia="宋体" w:cs="宋体"/>
          <w:spacing w:val="8"/>
          <w:sz w:val="20"/>
          <w:szCs w:val="20"/>
        </w:rPr>
        <w:t>甲方不得擅自降低乙方提供的分包工作报价。</w:t>
      </w:r>
    </w:p>
    <w:p w14:paraId="67898BD3">
      <w:pPr>
        <w:spacing w:line="364" w:lineRule="auto"/>
        <w:ind w:left="78" w:right="70" w:firstLine="423"/>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40"/>
          <w:sz w:val="20"/>
          <w:szCs w:val="20"/>
        </w:rPr>
        <w:t xml:space="preserve"> </w:t>
      </w:r>
      <w:r>
        <w:rPr>
          <w:rFonts w:ascii="宋体" w:hAnsi="宋体" w:eastAsia="宋体" w:cs="宋体"/>
          <w:spacing w:val="8"/>
          <w:sz w:val="20"/>
          <w:szCs w:val="20"/>
        </w:rPr>
        <w:t>甲方承诺中标后，就本协议约定的分包工作以分包合同的形式交由乙方承担；乙方承诺按</w:t>
      </w:r>
      <w:r>
        <w:rPr>
          <w:rFonts w:ascii="宋体" w:hAnsi="宋体" w:eastAsia="宋体" w:cs="宋体"/>
          <w:spacing w:val="11"/>
          <w:sz w:val="20"/>
          <w:szCs w:val="20"/>
        </w:rPr>
        <w:t>照分包合同的约定履行责任和义务并对甲方负责。</w:t>
      </w:r>
      <w:r>
        <w:rPr>
          <w:rFonts w:ascii="宋体" w:hAnsi="宋体" w:eastAsia="宋体" w:cs="宋体"/>
          <w:spacing w:val="-57"/>
          <w:sz w:val="20"/>
          <w:szCs w:val="20"/>
        </w:rPr>
        <w:t xml:space="preserve"> </w:t>
      </w:r>
      <w:r>
        <w:rPr>
          <w:rFonts w:ascii="宋体" w:hAnsi="宋体" w:eastAsia="宋体" w:cs="宋体"/>
          <w:spacing w:val="11"/>
          <w:sz w:val="20"/>
          <w:szCs w:val="20"/>
        </w:rPr>
        <w:t>甲方和乙方就</w:t>
      </w:r>
      <w:r>
        <w:rPr>
          <w:rFonts w:ascii="宋体" w:hAnsi="宋体" w:eastAsia="宋体" w:cs="宋体"/>
          <w:spacing w:val="10"/>
          <w:sz w:val="20"/>
          <w:szCs w:val="20"/>
        </w:rPr>
        <w:t>分包工作对招标人（发包人）承</w:t>
      </w:r>
      <w:r>
        <w:rPr>
          <w:rFonts w:ascii="宋体" w:hAnsi="宋体" w:eastAsia="宋体" w:cs="宋体"/>
          <w:spacing w:val="6"/>
          <w:sz w:val="20"/>
          <w:szCs w:val="20"/>
        </w:rPr>
        <w:t>担连带责任。</w:t>
      </w:r>
    </w:p>
    <w:p w14:paraId="313D2504">
      <w:pPr>
        <w:spacing w:before="1" w:line="226" w:lineRule="auto"/>
        <w:ind w:left="496"/>
        <w:rPr>
          <w:rFonts w:ascii="宋体" w:hAnsi="宋体" w:eastAsia="宋体" w:cs="宋体"/>
          <w:sz w:val="20"/>
          <w:szCs w:val="20"/>
        </w:rPr>
      </w:pPr>
      <w:r>
        <w:rPr>
          <w:rFonts w:ascii="宋体" w:hAnsi="宋体" w:eastAsia="宋体" w:cs="宋体"/>
          <w:spacing w:val="8"/>
          <w:sz w:val="20"/>
          <w:szCs w:val="20"/>
        </w:rPr>
        <w:t>4.</w:t>
      </w:r>
      <w:r>
        <w:rPr>
          <w:rFonts w:ascii="宋体" w:hAnsi="宋体" w:eastAsia="宋体" w:cs="宋体"/>
          <w:spacing w:val="39"/>
          <w:sz w:val="20"/>
          <w:szCs w:val="20"/>
        </w:rPr>
        <w:t xml:space="preserve"> </w:t>
      </w:r>
      <w:r>
        <w:rPr>
          <w:rFonts w:ascii="宋体" w:hAnsi="宋体" w:eastAsia="宋体" w:cs="宋体"/>
          <w:spacing w:val="8"/>
          <w:sz w:val="20"/>
          <w:szCs w:val="20"/>
        </w:rPr>
        <w:t>甲方拟分包给乙方的工作、分包合同金额、分包合同金额占比如下：</w:t>
      </w:r>
    </w:p>
    <w:p w14:paraId="2552926F">
      <w:pPr>
        <w:spacing w:line="14" w:lineRule="exact"/>
      </w:pPr>
    </w:p>
    <w:tbl>
      <w:tblPr>
        <w:tblStyle w:val="5"/>
        <w:tblW w:w="90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3"/>
        <w:gridCol w:w="1596"/>
        <w:gridCol w:w="1721"/>
        <w:gridCol w:w="1154"/>
        <w:gridCol w:w="1154"/>
        <w:gridCol w:w="1427"/>
        <w:gridCol w:w="1411"/>
      </w:tblGrid>
      <w:tr w14:paraId="5098EB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573" w:type="dxa"/>
            <w:textDirection w:val="tbRlV"/>
            <w:vAlign w:val="top"/>
          </w:tcPr>
          <w:p w14:paraId="3AD2220A">
            <w:pPr>
              <w:pStyle w:val="6"/>
              <w:spacing w:before="179" w:line="218" w:lineRule="auto"/>
              <w:ind w:left="172"/>
            </w:pPr>
            <w:r>
              <w:rPr>
                <w:spacing w:val="8"/>
              </w:rPr>
              <w:t>序</w:t>
            </w:r>
            <w:r>
              <w:rPr>
                <w:spacing w:val="-38"/>
              </w:rPr>
              <w:t xml:space="preserve"> </w:t>
            </w:r>
            <w:r>
              <w:rPr>
                <w:spacing w:val="8"/>
              </w:rPr>
              <w:t>号</w:t>
            </w:r>
          </w:p>
        </w:tc>
        <w:tc>
          <w:tcPr>
            <w:tcW w:w="1596" w:type="dxa"/>
            <w:vAlign w:val="top"/>
          </w:tcPr>
          <w:p w14:paraId="4EA69C38">
            <w:pPr>
              <w:pStyle w:val="6"/>
              <w:spacing w:before="172" w:line="253" w:lineRule="auto"/>
              <w:ind w:left="382" w:right="169" w:hanging="212"/>
            </w:pPr>
            <w:r>
              <w:rPr>
                <w:spacing w:val="8"/>
              </w:rPr>
              <w:t>接受分包合同</w:t>
            </w:r>
            <w:r>
              <w:rPr>
                <w:spacing w:val="6"/>
              </w:rPr>
              <w:t>企业名称</w:t>
            </w:r>
          </w:p>
        </w:tc>
        <w:tc>
          <w:tcPr>
            <w:tcW w:w="1721" w:type="dxa"/>
            <w:vAlign w:val="top"/>
          </w:tcPr>
          <w:p w14:paraId="7AF396F6">
            <w:pPr>
              <w:pStyle w:val="6"/>
              <w:spacing w:before="172" w:line="228" w:lineRule="auto"/>
              <w:ind w:left="447"/>
            </w:pPr>
            <w:r>
              <w:rPr>
                <w:spacing w:val="6"/>
              </w:rPr>
              <w:t>分包合同</w:t>
            </w:r>
          </w:p>
          <w:p w14:paraId="6FB7B0A5">
            <w:pPr>
              <w:pStyle w:val="6"/>
              <w:spacing w:before="23" w:line="228" w:lineRule="auto"/>
              <w:ind w:left="236"/>
            </w:pPr>
            <w:r>
              <w:rPr>
                <w:spacing w:val="7"/>
              </w:rPr>
              <w:t>工作内容名称</w:t>
            </w:r>
          </w:p>
        </w:tc>
        <w:tc>
          <w:tcPr>
            <w:tcW w:w="1154" w:type="dxa"/>
            <w:vAlign w:val="top"/>
          </w:tcPr>
          <w:p w14:paraId="0119BC92">
            <w:pPr>
              <w:pStyle w:val="6"/>
              <w:spacing w:before="36" w:line="251" w:lineRule="auto"/>
              <w:ind w:left="374" w:right="157" w:hanging="210"/>
            </w:pPr>
            <w:r>
              <w:rPr>
                <w:spacing w:val="6"/>
              </w:rPr>
              <w:t>分包合同</w:t>
            </w:r>
            <w:r>
              <w:rPr>
                <w:spacing w:val="3"/>
              </w:rPr>
              <w:t>金额</w:t>
            </w:r>
          </w:p>
          <w:p w14:paraId="0C9D90F1">
            <w:pPr>
              <w:pStyle w:val="6"/>
              <w:spacing w:line="217" w:lineRule="auto"/>
              <w:ind w:left="171"/>
            </w:pPr>
            <w:r>
              <w:rPr>
                <w:spacing w:val="2"/>
              </w:rPr>
              <w:t>（万元）</w:t>
            </w:r>
          </w:p>
        </w:tc>
        <w:tc>
          <w:tcPr>
            <w:tcW w:w="1154" w:type="dxa"/>
            <w:vAlign w:val="top"/>
          </w:tcPr>
          <w:p w14:paraId="2CF31C46">
            <w:pPr>
              <w:pStyle w:val="6"/>
              <w:spacing w:before="36" w:line="228" w:lineRule="auto"/>
              <w:ind w:left="164"/>
            </w:pPr>
            <w:r>
              <w:rPr>
                <w:spacing w:val="6"/>
              </w:rPr>
              <w:t>分包合同</w:t>
            </w:r>
          </w:p>
          <w:p w14:paraId="2736EB9C">
            <w:pPr>
              <w:pStyle w:val="6"/>
              <w:spacing w:before="23" w:line="235" w:lineRule="auto"/>
              <w:ind w:left="329" w:right="157" w:hanging="166"/>
            </w:pPr>
            <w:r>
              <w:rPr>
                <w:spacing w:val="6"/>
              </w:rPr>
              <w:t>金额占比</w:t>
            </w:r>
            <w:r>
              <w:rPr>
                <w:spacing w:val="-1"/>
              </w:rPr>
              <w:t>（%）</w:t>
            </w:r>
          </w:p>
        </w:tc>
        <w:tc>
          <w:tcPr>
            <w:tcW w:w="1427" w:type="dxa"/>
            <w:vAlign w:val="top"/>
          </w:tcPr>
          <w:p w14:paraId="32CB18D7">
            <w:pPr>
              <w:pStyle w:val="6"/>
              <w:spacing w:before="35" w:line="228" w:lineRule="auto"/>
              <w:ind w:left="196"/>
            </w:pPr>
            <w:r>
              <w:rPr>
                <w:spacing w:val="8"/>
              </w:rPr>
              <w:t>满足分包工</w:t>
            </w:r>
          </w:p>
          <w:p w14:paraId="0C7A4936">
            <w:pPr>
              <w:pStyle w:val="6"/>
              <w:spacing w:before="24" w:line="228" w:lineRule="auto"/>
              <w:ind w:left="196"/>
            </w:pPr>
            <w:r>
              <w:rPr>
                <w:spacing w:val="7"/>
              </w:rPr>
              <w:t>作的企业资</w:t>
            </w:r>
          </w:p>
          <w:p w14:paraId="4EBF4AED">
            <w:pPr>
              <w:pStyle w:val="6"/>
              <w:spacing w:before="26" w:line="217" w:lineRule="auto"/>
              <w:ind w:left="196"/>
            </w:pPr>
            <w:r>
              <w:rPr>
                <w:spacing w:val="5"/>
              </w:rPr>
              <w:t>质（如需）</w:t>
            </w:r>
          </w:p>
        </w:tc>
        <w:tc>
          <w:tcPr>
            <w:tcW w:w="1411" w:type="dxa"/>
            <w:vAlign w:val="top"/>
          </w:tcPr>
          <w:p w14:paraId="3E2B0DD0">
            <w:pPr>
              <w:rPr>
                <w:rFonts w:ascii="Arial"/>
                <w:sz w:val="21"/>
              </w:rPr>
            </w:pPr>
          </w:p>
          <w:p w14:paraId="00873029">
            <w:pPr>
              <w:pStyle w:val="6"/>
              <w:spacing w:before="65" w:line="229" w:lineRule="auto"/>
              <w:ind w:left="504"/>
            </w:pPr>
            <w:r>
              <w:rPr>
                <w:spacing w:val="3"/>
              </w:rPr>
              <w:t>备注</w:t>
            </w:r>
          </w:p>
        </w:tc>
      </w:tr>
      <w:tr w14:paraId="7DEF7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Align w:val="top"/>
          </w:tcPr>
          <w:p w14:paraId="379FE09D">
            <w:pPr>
              <w:rPr>
                <w:rFonts w:ascii="Arial"/>
                <w:sz w:val="21"/>
              </w:rPr>
            </w:pPr>
          </w:p>
        </w:tc>
        <w:tc>
          <w:tcPr>
            <w:tcW w:w="1596" w:type="dxa"/>
            <w:vAlign w:val="top"/>
          </w:tcPr>
          <w:p w14:paraId="3FB69558">
            <w:pPr>
              <w:rPr>
                <w:rFonts w:ascii="Arial"/>
                <w:sz w:val="21"/>
              </w:rPr>
            </w:pPr>
          </w:p>
        </w:tc>
        <w:tc>
          <w:tcPr>
            <w:tcW w:w="1721" w:type="dxa"/>
            <w:vAlign w:val="top"/>
          </w:tcPr>
          <w:p w14:paraId="540BB673">
            <w:pPr>
              <w:rPr>
                <w:rFonts w:ascii="Arial"/>
                <w:sz w:val="21"/>
              </w:rPr>
            </w:pPr>
          </w:p>
        </w:tc>
        <w:tc>
          <w:tcPr>
            <w:tcW w:w="1154" w:type="dxa"/>
            <w:vAlign w:val="top"/>
          </w:tcPr>
          <w:p w14:paraId="5ACA4350">
            <w:pPr>
              <w:rPr>
                <w:rFonts w:ascii="Arial"/>
                <w:sz w:val="21"/>
              </w:rPr>
            </w:pPr>
          </w:p>
        </w:tc>
        <w:tc>
          <w:tcPr>
            <w:tcW w:w="1154" w:type="dxa"/>
            <w:vAlign w:val="top"/>
          </w:tcPr>
          <w:p w14:paraId="1055F18F">
            <w:pPr>
              <w:rPr>
                <w:rFonts w:ascii="Arial"/>
                <w:sz w:val="21"/>
              </w:rPr>
            </w:pPr>
          </w:p>
        </w:tc>
        <w:tc>
          <w:tcPr>
            <w:tcW w:w="1427" w:type="dxa"/>
            <w:vAlign w:val="top"/>
          </w:tcPr>
          <w:p w14:paraId="00BFE655">
            <w:pPr>
              <w:rPr>
                <w:rFonts w:ascii="Arial"/>
                <w:sz w:val="21"/>
              </w:rPr>
            </w:pPr>
          </w:p>
        </w:tc>
        <w:tc>
          <w:tcPr>
            <w:tcW w:w="1411" w:type="dxa"/>
            <w:vAlign w:val="top"/>
          </w:tcPr>
          <w:p w14:paraId="2993059A">
            <w:pPr>
              <w:rPr>
                <w:rFonts w:ascii="Arial"/>
                <w:sz w:val="21"/>
              </w:rPr>
            </w:pPr>
          </w:p>
        </w:tc>
      </w:tr>
      <w:tr w14:paraId="48184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Align w:val="top"/>
          </w:tcPr>
          <w:p w14:paraId="084BEC24">
            <w:pPr>
              <w:rPr>
                <w:rFonts w:ascii="Arial"/>
                <w:sz w:val="21"/>
              </w:rPr>
            </w:pPr>
          </w:p>
        </w:tc>
        <w:tc>
          <w:tcPr>
            <w:tcW w:w="1596" w:type="dxa"/>
            <w:vAlign w:val="top"/>
          </w:tcPr>
          <w:p w14:paraId="59A83788">
            <w:pPr>
              <w:rPr>
                <w:rFonts w:ascii="Arial"/>
                <w:sz w:val="21"/>
              </w:rPr>
            </w:pPr>
          </w:p>
        </w:tc>
        <w:tc>
          <w:tcPr>
            <w:tcW w:w="1721" w:type="dxa"/>
            <w:vAlign w:val="top"/>
          </w:tcPr>
          <w:p w14:paraId="42395DC5">
            <w:pPr>
              <w:rPr>
                <w:rFonts w:ascii="Arial"/>
                <w:sz w:val="21"/>
              </w:rPr>
            </w:pPr>
          </w:p>
        </w:tc>
        <w:tc>
          <w:tcPr>
            <w:tcW w:w="1154" w:type="dxa"/>
            <w:vAlign w:val="top"/>
          </w:tcPr>
          <w:p w14:paraId="7396C215">
            <w:pPr>
              <w:rPr>
                <w:rFonts w:ascii="Arial"/>
                <w:sz w:val="21"/>
              </w:rPr>
            </w:pPr>
          </w:p>
        </w:tc>
        <w:tc>
          <w:tcPr>
            <w:tcW w:w="1154" w:type="dxa"/>
            <w:vAlign w:val="top"/>
          </w:tcPr>
          <w:p w14:paraId="46C3A360">
            <w:pPr>
              <w:rPr>
                <w:rFonts w:ascii="Arial"/>
                <w:sz w:val="21"/>
              </w:rPr>
            </w:pPr>
          </w:p>
        </w:tc>
        <w:tc>
          <w:tcPr>
            <w:tcW w:w="1427" w:type="dxa"/>
            <w:vAlign w:val="top"/>
          </w:tcPr>
          <w:p w14:paraId="73BE4698">
            <w:pPr>
              <w:rPr>
                <w:rFonts w:ascii="Arial"/>
                <w:sz w:val="21"/>
              </w:rPr>
            </w:pPr>
          </w:p>
        </w:tc>
        <w:tc>
          <w:tcPr>
            <w:tcW w:w="1411" w:type="dxa"/>
            <w:vAlign w:val="top"/>
          </w:tcPr>
          <w:p w14:paraId="6961179B">
            <w:pPr>
              <w:rPr>
                <w:rFonts w:ascii="Arial"/>
                <w:sz w:val="21"/>
              </w:rPr>
            </w:pPr>
          </w:p>
        </w:tc>
      </w:tr>
      <w:tr w14:paraId="4D42E6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Align w:val="top"/>
          </w:tcPr>
          <w:p w14:paraId="0DDE4573">
            <w:pPr>
              <w:rPr>
                <w:rFonts w:ascii="Arial"/>
                <w:sz w:val="21"/>
              </w:rPr>
            </w:pPr>
          </w:p>
        </w:tc>
        <w:tc>
          <w:tcPr>
            <w:tcW w:w="1596" w:type="dxa"/>
            <w:vAlign w:val="top"/>
          </w:tcPr>
          <w:p w14:paraId="570BD52E">
            <w:pPr>
              <w:rPr>
                <w:rFonts w:ascii="Arial"/>
                <w:sz w:val="21"/>
              </w:rPr>
            </w:pPr>
          </w:p>
        </w:tc>
        <w:tc>
          <w:tcPr>
            <w:tcW w:w="1721" w:type="dxa"/>
            <w:vAlign w:val="top"/>
          </w:tcPr>
          <w:p w14:paraId="4676F699">
            <w:pPr>
              <w:rPr>
                <w:rFonts w:ascii="Arial"/>
                <w:sz w:val="21"/>
              </w:rPr>
            </w:pPr>
          </w:p>
        </w:tc>
        <w:tc>
          <w:tcPr>
            <w:tcW w:w="1154" w:type="dxa"/>
            <w:vAlign w:val="top"/>
          </w:tcPr>
          <w:p w14:paraId="1E9CC9CE">
            <w:pPr>
              <w:rPr>
                <w:rFonts w:ascii="Arial"/>
                <w:sz w:val="21"/>
              </w:rPr>
            </w:pPr>
          </w:p>
        </w:tc>
        <w:tc>
          <w:tcPr>
            <w:tcW w:w="1154" w:type="dxa"/>
            <w:vAlign w:val="top"/>
          </w:tcPr>
          <w:p w14:paraId="193CB307">
            <w:pPr>
              <w:rPr>
                <w:rFonts w:ascii="Arial"/>
                <w:sz w:val="21"/>
              </w:rPr>
            </w:pPr>
          </w:p>
        </w:tc>
        <w:tc>
          <w:tcPr>
            <w:tcW w:w="1427" w:type="dxa"/>
            <w:vAlign w:val="top"/>
          </w:tcPr>
          <w:p w14:paraId="6A88BE9D">
            <w:pPr>
              <w:rPr>
                <w:rFonts w:ascii="Arial"/>
                <w:sz w:val="21"/>
              </w:rPr>
            </w:pPr>
          </w:p>
        </w:tc>
        <w:tc>
          <w:tcPr>
            <w:tcW w:w="1411" w:type="dxa"/>
            <w:vAlign w:val="top"/>
          </w:tcPr>
          <w:p w14:paraId="68F84460">
            <w:pPr>
              <w:rPr>
                <w:rFonts w:ascii="Arial"/>
                <w:sz w:val="21"/>
              </w:rPr>
            </w:pPr>
          </w:p>
        </w:tc>
      </w:tr>
      <w:tr w14:paraId="70A075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Align w:val="top"/>
          </w:tcPr>
          <w:p w14:paraId="34B462F5">
            <w:pPr>
              <w:rPr>
                <w:rFonts w:ascii="Arial"/>
                <w:sz w:val="21"/>
              </w:rPr>
            </w:pPr>
          </w:p>
        </w:tc>
        <w:tc>
          <w:tcPr>
            <w:tcW w:w="1596" w:type="dxa"/>
            <w:vAlign w:val="top"/>
          </w:tcPr>
          <w:p w14:paraId="4EEED980">
            <w:pPr>
              <w:rPr>
                <w:rFonts w:ascii="Arial"/>
                <w:sz w:val="21"/>
              </w:rPr>
            </w:pPr>
          </w:p>
        </w:tc>
        <w:tc>
          <w:tcPr>
            <w:tcW w:w="1721" w:type="dxa"/>
            <w:vAlign w:val="top"/>
          </w:tcPr>
          <w:p w14:paraId="317133DD">
            <w:pPr>
              <w:rPr>
                <w:rFonts w:ascii="Arial"/>
                <w:sz w:val="21"/>
              </w:rPr>
            </w:pPr>
          </w:p>
        </w:tc>
        <w:tc>
          <w:tcPr>
            <w:tcW w:w="1154" w:type="dxa"/>
            <w:vAlign w:val="top"/>
          </w:tcPr>
          <w:p w14:paraId="25F7E433">
            <w:pPr>
              <w:rPr>
                <w:rFonts w:ascii="Arial"/>
                <w:sz w:val="21"/>
              </w:rPr>
            </w:pPr>
          </w:p>
        </w:tc>
        <w:tc>
          <w:tcPr>
            <w:tcW w:w="1154" w:type="dxa"/>
            <w:vAlign w:val="top"/>
          </w:tcPr>
          <w:p w14:paraId="7F4BCE8C">
            <w:pPr>
              <w:rPr>
                <w:rFonts w:ascii="Arial"/>
                <w:sz w:val="21"/>
              </w:rPr>
            </w:pPr>
          </w:p>
        </w:tc>
        <w:tc>
          <w:tcPr>
            <w:tcW w:w="1427" w:type="dxa"/>
            <w:vAlign w:val="top"/>
          </w:tcPr>
          <w:p w14:paraId="1EB52AE2">
            <w:pPr>
              <w:rPr>
                <w:rFonts w:ascii="Arial"/>
                <w:sz w:val="21"/>
              </w:rPr>
            </w:pPr>
          </w:p>
        </w:tc>
        <w:tc>
          <w:tcPr>
            <w:tcW w:w="1411" w:type="dxa"/>
            <w:vAlign w:val="top"/>
          </w:tcPr>
          <w:p w14:paraId="22207CF8">
            <w:pPr>
              <w:rPr>
                <w:rFonts w:ascii="Arial"/>
                <w:sz w:val="21"/>
              </w:rPr>
            </w:pPr>
          </w:p>
        </w:tc>
      </w:tr>
      <w:tr w14:paraId="026F4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Align w:val="top"/>
          </w:tcPr>
          <w:p w14:paraId="079EDD32">
            <w:pPr>
              <w:rPr>
                <w:rFonts w:ascii="Arial"/>
                <w:sz w:val="21"/>
              </w:rPr>
            </w:pPr>
          </w:p>
        </w:tc>
        <w:tc>
          <w:tcPr>
            <w:tcW w:w="1596" w:type="dxa"/>
            <w:vAlign w:val="top"/>
          </w:tcPr>
          <w:p w14:paraId="45FA11DB">
            <w:pPr>
              <w:rPr>
                <w:rFonts w:ascii="Arial"/>
                <w:sz w:val="21"/>
              </w:rPr>
            </w:pPr>
          </w:p>
        </w:tc>
        <w:tc>
          <w:tcPr>
            <w:tcW w:w="1721" w:type="dxa"/>
            <w:vAlign w:val="top"/>
          </w:tcPr>
          <w:p w14:paraId="3D3E07E1">
            <w:pPr>
              <w:rPr>
                <w:rFonts w:ascii="Arial"/>
                <w:sz w:val="21"/>
              </w:rPr>
            </w:pPr>
          </w:p>
        </w:tc>
        <w:tc>
          <w:tcPr>
            <w:tcW w:w="1154" w:type="dxa"/>
            <w:vAlign w:val="top"/>
          </w:tcPr>
          <w:p w14:paraId="39CDFA5A">
            <w:pPr>
              <w:rPr>
                <w:rFonts w:ascii="Arial"/>
                <w:sz w:val="21"/>
              </w:rPr>
            </w:pPr>
          </w:p>
        </w:tc>
        <w:tc>
          <w:tcPr>
            <w:tcW w:w="1154" w:type="dxa"/>
            <w:vAlign w:val="top"/>
          </w:tcPr>
          <w:p w14:paraId="428C5996">
            <w:pPr>
              <w:rPr>
                <w:rFonts w:ascii="Arial"/>
                <w:sz w:val="21"/>
              </w:rPr>
            </w:pPr>
          </w:p>
        </w:tc>
        <w:tc>
          <w:tcPr>
            <w:tcW w:w="1427" w:type="dxa"/>
            <w:vAlign w:val="top"/>
          </w:tcPr>
          <w:p w14:paraId="00008BED">
            <w:pPr>
              <w:rPr>
                <w:rFonts w:ascii="Arial"/>
                <w:sz w:val="21"/>
              </w:rPr>
            </w:pPr>
          </w:p>
        </w:tc>
        <w:tc>
          <w:tcPr>
            <w:tcW w:w="1411" w:type="dxa"/>
            <w:vAlign w:val="top"/>
          </w:tcPr>
          <w:p w14:paraId="6640998D">
            <w:pPr>
              <w:rPr>
                <w:rFonts w:ascii="Arial"/>
                <w:sz w:val="21"/>
              </w:rPr>
            </w:pPr>
          </w:p>
        </w:tc>
      </w:tr>
      <w:tr w14:paraId="45789C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Align w:val="top"/>
          </w:tcPr>
          <w:p w14:paraId="750AB093">
            <w:pPr>
              <w:rPr>
                <w:rFonts w:ascii="Arial"/>
                <w:sz w:val="21"/>
              </w:rPr>
            </w:pPr>
          </w:p>
        </w:tc>
        <w:tc>
          <w:tcPr>
            <w:tcW w:w="3317" w:type="dxa"/>
            <w:gridSpan w:val="2"/>
            <w:vAlign w:val="top"/>
          </w:tcPr>
          <w:p w14:paraId="160F3B67">
            <w:pPr>
              <w:pStyle w:val="6"/>
              <w:spacing w:before="126" w:line="229" w:lineRule="auto"/>
              <w:ind w:left="1451"/>
            </w:pPr>
            <w:r>
              <w:rPr>
                <w:spacing w:val="4"/>
              </w:rPr>
              <w:t>合计</w:t>
            </w:r>
          </w:p>
        </w:tc>
        <w:tc>
          <w:tcPr>
            <w:tcW w:w="1154" w:type="dxa"/>
            <w:vAlign w:val="top"/>
          </w:tcPr>
          <w:p w14:paraId="259DFEF5">
            <w:pPr>
              <w:rPr>
                <w:rFonts w:ascii="Arial"/>
                <w:sz w:val="21"/>
              </w:rPr>
            </w:pPr>
          </w:p>
        </w:tc>
        <w:tc>
          <w:tcPr>
            <w:tcW w:w="1154" w:type="dxa"/>
            <w:vAlign w:val="top"/>
          </w:tcPr>
          <w:p w14:paraId="66821CE6">
            <w:pPr>
              <w:rPr>
                <w:rFonts w:ascii="Arial"/>
                <w:sz w:val="21"/>
              </w:rPr>
            </w:pPr>
          </w:p>
        </w:tc>
        <w:tc>
          <w:tcPr>
            <w:tcW w:w="1427" w:type="dxa"/>
            <w:vAlign w:val="top"/>
          </w:tcPr>
          <w:p w14:paraId="4AE94CA7">
            <w:pPr>
              <w:rPr>
                <w:rFonts w:ascii="Arial"/>
                <w:sz w:val="21"/>
              </w:rPr>
            </w:pPr>
          </w:p>
        </w:tc>
        <w:tc>
          <w:tcPr>
            <w:tcW w:w="1411" w:type="dxa"/>
            <w:vAlign w:val="top"/>
          </w:tcPr>
          <w:p w14:paraId="24EFC28A">
            <w:pPr>
              <w:rPr>
                <w:rFonts w:ascii="Arial"/>
                <w:sz w:val="21"/>
              </w:rPr>
            </w:pPr>
          </w:p>
        </w:tc>
      </w:tr>
      <w:tr w14:paraId="47F11D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573" w:type="dxa"/>
            <w:vAlign w:val="top"/>
          </w:tcPr>
          <w:p w14:paraId="78F7B59F">
            <w:pPr>
              <w:rPr>
                <w:rFonts w:ascii="Arial"/>
                <w:sz w:val="21"/>
              </w:rPr>
            </w:pPr>
          </w:p>
        </w:tc>
        <w:tc>
          <w:tcPr>
            <w:tcW w:w="3317" w:type="dxa"/>
            <w:gridSpan w:val="2"/>
            <w:vAlign w:val="top"/>
          </w:tcPr>
          <w:p w14:paraId="2C83652D">
            <w:pPr>
              <w:pStyle w:val="6"/>
              <w:spacing w:before="125" w:line="227" w:lineRule="auto"/>
              <w:ind w:left="508"/>
            </w:pPr>
            <w:r>
              <w:rPr>
                <w:spacing w:val="8"/>
              </w:rPr>
              <w:t>本项目合同金额（万元）</w:t>
            </w:r>
          </w:p>
        </w:tc>
        <w:tc>
          <w:tcPr>
            <w:tcW w:w="2308" w:type="dxa"/>
            <w:gridSpan w:val="2"/>
            <w:vAlign w:val="top"/>
          </w:tcPr>
          <w:p w14:paraId="01271B4B">
            <w:pPr>
              <w:rPr>
                <w:rFonts w:ascii="Arial"/>
                <w:sz w:val="21"/>
              </w:rPr>
            </w:pPr>
          </w:p>
        </w:tc>
        <w:tc>
          <w:tcPr>
            <w:tcW w:w="2838" w:type="dxa"/>
            <w:gridSpan w:val="2"/>
            <w:vAlign w:val="top"/>
          </w:tcPr>
          <w:p w14:paraId="354D512E">
            <w:pPr>
              <w:rPr>
                <w:rFonts w:ascii="Arial"/>
                <w:sz w:val="21"/>
              </w:rPr>
            </w:pPr>
          </w:p>
        </w:tc>
      </w:tr>
    </w:tbl>
    <w:p w14:paraId="5553A406">
      <w:pPr>
        <w:spacing w:before="135" w:line="363" w:lineRule="auto"/>
        <w:ind w:left="76" w:right="70" w:firstLine="425"/>
        <w:rPr>
          <w:rFonts w:ascii="宋体" w:hAnsi="宋体" w:eastAsia="宋体" w:cs="宋体"/>
          <w:sz w:val="20"/>
          <w:szCs w:val="20"/>
        </w:rPr>
      </w:pPr>
      <w:r>
        <w:rPr>
          <w:rFonts w:ascii="宋体" w:hAnsi="宋体" w:eastAsia="宋体" w:cs="宋体"/>
          <w:spacing w:val="9"/>
          <w:sz w:val="20"/>
          <w:szCs w:val="20"/>
        </w:rPr>
        <w:t>5．本协议中接受分包合同的中小（小微）企业（乙方）与分包企业（甲方）之间不存在直接</w:t>
      </w:r>
      <w:r>
        <w:rPr>
          <w:rFonts w:ascii="宋体" w:hAnsi="宋体" w:eastAsia="宋体" w:cs="宋体"/>
          <w:spacing w:val="7"/>
          <w:sz w:val="20"/>
          <w:szCs w:val="20"/>
        </w:rPr>
        <w:t>控股、管理关系。</w:t>
      </w:r>
    </w:p>
    <w:p w14:paraId="72DAC01D">
      <w:pPr>
        <w:spacing w:before="1" w:line="226" w:lineRule="auto"/>
        <w:ind w:left="499"/>
        <w:rPr>
          <w:rFonts w:ascii="宋体" w:hAnsi="宋体" w:eastAsia="宋体" w:cs="宋体"/>
          <w:sz w:val="20"/>
          <w:szCs w:val="20"/>
        </w:rPr>
      </w:pPr>
      <w:r>
        <w:rPr>
          <w:rFonts w:ascii="宋体" w:hAnsi="宋体" w:eastAsia="宋体" w:cs="宋体"/>
          <w:spacing w:val="8"/>
          <w:sz w:val="20"/>
          <w:szCs w:val="20"/>
        </w:rPr>
        <w:t>6.</w:t>
      </w:r>
      <w:r>
        <w:rPr>
          <w:rFonts w:ascii="宋体" w:hAnsi="宋体" w:eastAsia="宋体" w:cs="宋体"/>
          <w:spacing w:val="32"/>
          <w:sz w:val="20"/>
          <w:szCs w:val="20"/>
        </w:rPr>
        <w:t xml:space="preserve"> </w:t>
      </w:r>
      <w:r>
        <w:rPr>
          <w:rFonts w:ascii="宋体" w:hAnsi="宋体" w:eastAsia="宋体" w:cs="宋体"/>
          <w:spacing w:val="8"/>
          <w:sz w:val="20"/>
          <w:szCs w:val="20"/>
        </w:rPr>
        <w:t>中标后，本协议是合同的组成部分，对甲乙双方有合同约束力。</w:t>
      </w:r>
    </w:p>
    <w:p w14:paraId="2408D3C1">
      <w:pPr>
        <w:spacing w:line="226" w:lineRule="auto"/>
        <w:rPr>
          <w:rFonts w:ascii="宋体" w:hAnsi="宋体" w:eastAsia="宋体" w:cs="宋体"/>
          <w:sz w:val="20"/>
          <w:szCs w:val="20"/>
        </w:rPr>
        <w:sectPr>
          <w:footerReference r:id="rId522" w:type="default"/>
          <w:pgSz w:w="11907" w:h="16840"/>
          <w:pgMar w:top="400" w:right="1460" w:bottom="1247" w:left="1404" w:header="0" w:footer="1085" w:gutter="0"/>
          <w:cols w:space="720" w:num="1"/>
        </w:sectPr>
      </w:pPr>
    </w:p>
    <w:p w14:paraId="71C6E9CD">
      <w:pPr>
        <w:spacing w:line="272" w:lineRule="auto"/>
        <w:rPr>
          <w:rFonts w:ascii="Arial"/>
          <w:sz w:val="21"/>
        </w:rPr>
      </w:pPr>
    </w:p>
    <w:p w14:paraId="0BEE6276">
      <w:pPr>
        <w:spacing w:line="273" w:lineRule="auto"/>
        <w:rPr>
          <w:rFonts w:ascii="Arial"/>
          <w:sz w:val="21"/>
        </w:rPr>
      </w:pPr>
    </w:p>
    <w:p w14:paraId="7ACFCED4">
      <w:pPr>
        <w:spacing w:line="273" w:lineRule="auto"/>
        <w:rPr>
          <w:rFonts w:ascii="Arial"/>
          <w:sz w:val="21"/>
        </w:rPr>
      </w:pPr>
    </w:p>
    <w:p w14:paraId="40EDB412">
      <w:pPr>
        <w:spacing w:line="273" w:lineRule="auto"/>
        <w:rPr>
          <w:rFonts w:ascii="Arial"/>
          <w:sz w:val="21"/>
        </w:rPr>
      </w:pPr>
    </w:p>
    <w:p w14:paraId="6AF9770A">
      <w:pPr>
        <w:spacing w:line="273" w:lineRule="auto"/>
        <w:rPr>
          <w:rFonts w:ascii="Arial"/>
          <w:sz w:val="21"/>
        </w:rPr>
      </w:pPr>
    </w:p>
    <w:p w14:paraId="395E7078">
      <w:pPr>
        <w:spacing w:before="65" w:line="363" w:lineRule="auto"/>
        <w:ind w:left="31" w:firstLine="390"/>
        <w:rPr>
          <w:rFonts w:ascii="宋体" w:hAnsi="宋体" w:eastAsia="宋体" w:cs="宋体"/>
          <w:sz w:val="20"/>
          <w:szCs w:val="20"/>
        </w:rPr>
      </w:pPr>
      <w:r>
        <w:rPr>
          <w:rFonts w:ascii="宋体" w:hAnsi="宋体" w:eastAsia="宋体" w:cs="宋体"/>
          <w:spacing w:val="9"/>
          <w:sz w:val="20"/>
          <w:szCs w:val="20"/>
        </w:rPr>
        <w:t>7．本协议书自签署之日起生效，未通过资格预审（如有）、未中标或者中标合同履行完</w:t>
      </w:r>
      <w:r>
        <w:rPr>
          <w:rFonts w:ascii="宋体" w:hAnsi="宋体" w:eastAsia="宋体" w:cs="宋体"/>
          <w:spacing w:val="8"/>
          <w:sz w:val="20"/>
          <w:szCs w:val="20"/>
        </w:rPr>
        <w:t>毕后</w:t>
      </w:r>
      <w:r>
        <w:rPr>
          <w:rFonts w:ascii="宋体" w:hAnsi="宋体" w:eastAsia="宋体" w:cs="宋体"/>
          <w:spacing w:val="-1"/>
          <w:sz w:val="20"/>
          <w:szCs w:val="20"/>
        </w:rPr>
        <w:t>自动失效。</w:t>
      </w:r>
    </w:p>
    <w:p w14:paraId="27D3EF3C">
      <w:pPr>
        <w:spacing w:line="226" w:lineRule="auto"/>
        <w:ind w:left="418"/>
        <w:rPr>
          <w:rFonts w:ascii="宋体" w:hAnsi="宋体" w:eastAsia="宋体" w:cs="宋体"/>
          <w:sz w:val="20"/>
          <w:szCs w:val="20"/>
        </w:rPr>
      </w:pPr>
      <w:r>
        <w:rPr>
          <w:rFonts w:ascii="宋体" w:hAnsi="宋体" w:eastAsia="宋体" w:cs="宋体"/>
          <w:spacing w:val="6"/>
          <w:sz w:val="20"/>
          <w:szCs w:val="20"/>
        </w:rPr>
        <w:t>8．本协议书一式</w:t>
      </w:r>
      <w:r>
        <w:rPr>
          <w:rFonts w:ascii="宋体" w:hAnsi="宋体" w:eastAsia="宋体" w:cs="宋体"/>
          <w:spacing w:val="6"/>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6"/>
          <w:sz w:val="20"/>
          <w:szCs w:val="20"/>
        </w:rPr>
        <w:t>份，</w:t>
      </w:r>
      <w:r>
        <w:rPr>
          <w:rFonts w:ascii="宋体" w:hAnsi="宋体" w:eastAsia="宋体" w:cs="宋体"/>
          <w:spacing w:val="-56"/>
          <w:sz w:val="20"/>
          <w:szCs w:val="20"/>
        </w:rPr>
        <w:t xml:space="preserve"> </w:t>
      </w:r>
      <w:r>
        <w:rPr>
          <w:rFonts w:ascii="宋体" w:hAnsi="宋体" w:eastAsia="宋体" w:cs="宋体"/>
          <w:spacing w:val="6"/>
          <w:sz w:val="20"/>
          <w:szCs w:val="20"/>
        </w:rPr>
        <w:t>甲方和乙方各</w:t>
      </w:r>
      <w:r>
        <w:rPr>
          <w:rFonts w:ascii="宋体" w:hAnsi="宋体" w:eastAsia="宋体" w:cs="宋体"/>
          <w:spacing w:val="5"/>
          <w:sz w:val="20"/>
          <w:szCs w:val="20"/>
        </w:rPr>
        <w:t>执一份。</w:t>
      </w:r>
    </w:p>
    <w:p w14:paraId="533AF2E3">
      <w:pPr>
        <w:spacing w:before="56"/>
      </w:pPr>
    </w:p>
    <w:p w14:paraId="5E76C1F7">
      <w:pPr>
        <w:spacing w:before="56"/>
      </w:pPr>
    </w:p>
    <w:p w14:paraId="137852D8">
      <w:pPr>
        <w:spacing w:before="56"/>
      </w:pPr>
    </w:p>
    <w:p w14:paraId="38AADB0A">
      <w:pPr>
        <w:sectPr>
          <w:footerReference r:id="rId523" w:type="default"/>
          <w:pgSz w:w="11907" w:h="16840"/>
          <w:pgMar w:top="400" w:right="1531" w:bottom="1247" w:left="1484" w:header="0" w:footer="1085" w:gutter="0"/>
          <w:cols w:equalWidth="0" w:num="1">
            <w:col w:w="8892"/>
          </w:cols>
        </w:sectPr>
      </w:pPr>
    </w:p>
    <w:p w14:paraId="0CED02DA">
      <w:pPr>
        <w:spacing w:before="42" w:line="227" w:lineRule="auto"/>
        <w:ind w:left="444"/>
        <w:rPr>
          <w:rFonts w:ascii="宋体" w:hAnsi="宋体" w:eastAsia="宋体" w:cs="宋体"/>
          <w:sz w:val="20"/>
          <w:szCs w:val="20"/>
        </w:rPr>
      </w:pPr>
      <w:r>
        <w:rPr>
          <w:rFonts w:ascii="宋体" w:hAnsi="宋体" w:eastAsia="宋体" w:cs="宋体"/>
          <w:spacing w:val="10"/>
          <w:sz w:val="20"/>
          <w:szCs w:val="20"/>
        </w:rPr>
        <w:t>甲  方</w:t>
      </w:r>
      <w:r>
        <w:rPr>
          <w:rFonts w:ascii="宋体" w:hAnsi="宋体" w:eastAsia="宋体" w:cs="宋体"/>
          <w:spacing w:val="-1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9"/>
          <w:sz w:val="20"/>
          <w:szCs w:val="20"/>
        </w:rPr>
        <w:t>（</w:t>
      </w:r>
      <w:r>
        <w:rPr>
          <w:rFonts w:ascii="宋体" w:hAnsi="宋体" w:eastAsia="宋体" w:cs="宋体"/>
          <w:spacing w:val="10"/>
          <w:sz w:val="20"/>
          <w:szCs w:val="20"/>
        </w:rPr>
        <w:t>盖单位章）</w:t>
      </w:r>
    </w:p>
    <w:p w14:paraId="17D18E24">
      <w:pPr>
        <w:spacing w:line="475" w:lineRule="auto"/>
        <w:rPr>
          <w:rFonts w:ascii="Arial"/>
          <w:sz w:val="21"/>
        </w:rPr>
      </w:pPr>
    </w:p>
    <w:p w14:paraId="5E7B0B52">
      <w:pPr>
        <w:spacing w:before="65" w:line="228" w:lineRule="auto"/>
        <w:ind w:left="418"/>
        <w:rPr>
          <w:rFonts w:ascii="宋体" w:hAnsi="宋体" w:eastAsia="宋体" w:cs="宋体"/>
          <w:sz w:val="20"/>
          <w:szCs w:val="20"/>
        </w:rPr>
      </w:pPr>
      <w:r>
        <w:rPr>
          <w:rFonts w:ascii="宋体" w:hAnsi="宋体" w:eastAsia="宋体" w:cs="宋体"/>
          <w:spacing w:val="10"/>
          <w:sz w:val="20"/>
          <w:szCs w:val="20"/>
        </w:rPr>
        <w:t>法定代表人或其委托人</w:t>
      </w:r>
      <w:r>
        <w:rPr>
          <w:rFonts w:ascii="宋体" w:hAnsi="宋体" w:eastAsia="宋体" w:cs="宋体"/>
          <w:spacing w:val="-1"/>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0"/>
          <w:sz w:val="20"/>
          <w:szCs w:val="20"/>
        </w:rPr>
        <w:t>签字）</w:t>
      </w:r>
    </w:p>
    <w:p w14:paraId="09847E9F">
      <w:pPr>
        <w:spacing w:before="22"/>
      </w:pPr>
    </w:p>
    <w:p w14:paraId="20329B33">
      <w:pPr>
        <w:spacing w:before="22"/>
      </w:pPr>
    </w:p>
    <w:p w14:paraId="130E2D03">
      <w:pPr>
        <w:spacing w:before="22"/>
      </w:pPr>
    </w:p>
    <w:p w14:paraId="1251C178">
      <w:pPr>
        <w:spacing w:before="22"/>
      </w:pPr>
    </w:p>
    <w:p w14:paraId="6F1454F8">
      <w:pPr>
        <w:spacing w:before="21"/>
      </w:pPr>
    </w:p>
    <w:p w14:paraId="05450904">
      <w:pPr>
        <w:spacing w:before="21"/>
      </w:pPr>
    </w:p>
    <w:p w14:paraId="17C37AB9">
      <w:pPr>
        <w:spacing w:line="14" w:lineRule="auto"/>
        <w:rPr>
          <w:rFonts w:ascii="Arial"/>
          <w:sz w:val="2"/>
        </w:rPr>
      </w:pPr>
      <w:r>
        <w:rPr>
          <w:rFonts w:ascii="Arial" w:hAnsi="Arial" w:eastAsia="Arial" w:cs="Arial"/>
          <w:sz w:val="2"/>
          <w:szCs w:val="2"/>
        </w:rPr>
        <w:br w:type="column"/>
      </w:r>
    </w:p>
    <w:p w14:paraId="52AC9C86">
      <w:pPr>
        <w:spacing w:before="40" w:line="227" w:lineRule="auto"/>
        <w:ind w:left="19"/>
        <w:rPr>
          <w:rFonts w:ascii="宋体" w:hAnsi="宋体" w:eastAsia="宋体" w:cs="宋体"/>
          <w:sz w:val="20"/>
          <w:szCs w:val="20"/>
        </w:rPr>
      </w:pPr>
      <w:r>
        <w:rPr>
          <w:rFonts w:ascii="宋体" w:hAnsi="宋体" w:eastAsia="宋体" w:cs="宋体"/>
          <w:spacing w:val="10"/>
          <w:sz w:val="20"/>
          <w:szCs w:val="20"/>
        </w:rPr>
        <w:t>乙  方</w:t>
      </w:r>
      <w:r>
        <w:rPr>
          <w:rFonts w:ascii="宋体" w:hAnsi="宋体" w:eastAsia="宋体" w:cs="宋体"/>
          <w:spacing w:val="-1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6"/>
          <w:sz w:val="20"/>
          <w:szCs w:val="20"/>
        </w:rPr>
        <w:t>（</w:t>
      </w:r>
      <w:r>
        <w:rPr>
          <w:rFonts w:ascii="宋体" w:hAnsi="宋体" w:eastAsia="宋体" w:cs="宋体"/>
          <w:spacing w:val="10"/>
          <w:sz w:val="20"/>
          <w:szCs w:val="20"/>
        </w:rPr>
        <w:t>盖单位章）</w:t>
      </w:r>
    </w:p>
    <w:p w14:paraId="54078074">
      <w:pPr>
        <w:spacing w:line="475" w:lineRule="auto"/>
        <w:rPr>
          <w:rFonts w:ascii="Arial"/>
          <w:sz w:val="21"/>
        </w:rPr>
      </w:pPr>
    </w:p>
    <w:p w14:paraId="1C35323D">
      <w:pPr>
        <w:spacing w:before="66" w:line="228" w:lineRule="auto"/>
        <w:rPr>
          <w:rFonts w:ascii="宋体" w:hAnsi="宋体" w:eastAsia="宋体" w:cs="宋体"/>
          <w:sz w:val="20"/>
          <w:szCs w:val="20"/>
        </w:rPr>
      </w:pPr>
      <w:r>
        <w:rPr>
          <w:rFonts w:ascii="宋体" w:hAnsi="宋体" w:eastAsia="宋体" w:cs="宋体"/>
          <w:spacing w:val="10"/>
          <w:sz w:val="20"/>
          <w:szCs w:val="20"/>
        </w:rPr>
        <w:t>法定代表人或其委托人</w:t>
      </w:r>
      <w:r>
        <w:rPr>
          <w:rFonts w:ascii="宋体" w:hAnsi="宋体" w:eastAsia="宋体" w:cs="宋体"/>
          <w:spacing w:val="-2"/>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签字）</w:t>
      </w:r>
    </w:p>
    <w:p w14:paraId="226AA4D4">
      <w:pPr>
        <w:spacing w:line="472" w:lineRule="auto"/>
        <w:rPr>
          <w:rFonts w:ascii="Arial"/>
          <w:sz w:val="21"/>
        </w:rPr>
      </w:pPr>
    </w:p>
    <w:p w14:paraId="2506DBB3">
      <w:pPr>
        <w:spacing w:before="65" w:line="227" w:lineRule="auto"/>
        <w:ind w:left="19"/>
        <w:rPr>
          <w:rFonts w:ascii="宋体" w:hAnsi="宋体" w:eastAsia="宋体" w:cs="宋体"/>
          <w:sz w:val="20"/>
          <w:szCs w:val="20"/>
        </w:rPr>
      </w:pPr>
      <w:r>
        <w:rPr>
          <w:rFonts w:ascii="宋体" w:hAnsi="宋体" w:eastAsia="宋体" w:cs="宋体"/>
          <w:spacing w:val="10"/>
          <w:sz w:val="20"/>
          <w:szCs w:val="20"/>
        </w:rPr>
        <w:t>乙  方</w:t>
      </w:r>
      <w:r>
        <w:rPr>
          <w:rFonts w:ascii="宋体" w:hAnsi="宋体" w:eastAsia="宋体" w:cs="宋体"/>
          <w:spacing w:val="-16"/>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16"/>
          <w:sz w:val="20"/>
          <w:szCs w:val="20"/>
        </w:rPr>
        <w:t>（</w:t>
      </w:r>
      <w:r>
        <w:rPr>
          <w:rFonts w:ascii="宋体" w:hAnsi="宋体" w:eastAsia="宋体" w:cs="宋体"/>
          <w:spacing w:val="10"/>
          <w:sz w:val="20"/>
          <w:szCs w:val="20"/>
        </w:rPr>
        <w:t>盖单位章）</w:t>
      </w:r>
    </w:p>
    <w:p w14:paraId="705A5FF7">
      <w:pPr>
        <w:spacing w:line="473" w:lineRule="auto"/>
        <w:rPr>
          <w:rFonts w:ascii="Arial"/>
          <w:sz w:val="21"/>
        </w:rPr>
      </w:pPr>
    </w:p>
    <w:p w14:paraId="5CD6A08D">
      <w:pPr>
        <w:spacing w:before="65" w:line="228" w:lineRule="auto"/>
        <w:rPr>
          <w:rFonts w:ascii="宋体" w:hAnsi="宋体" w:eastAsia="宋体" w:cs="宋体"/>
          <w:sz w:val="20"/>
          <w:szCs w:val="20"/>
        </w:rPr>
      </w:pPr>
      <w:r>
        <w:rPr>
          <w:rFonts w:ascii="宋体" w:hAnsi="宋体" w:eastAsia="宋体" w:cs="宋体"/>
          <w:spacing w:val="10"/>
          <w:sz w:val="20"/>
          <w:szCs w:val="20"/>
        </w:rPr>
        <w:t>法定代表人或其委托人</w:t>
      </w:r>
      <w:r>
        <w:rPr>
          <w:rFonts w:ascii="宋体" w:hAnsi="宋体" w:eastAsia="宋体" w:cs="宋体"/>
          <w:spacing w:val="-2"/>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签字）</w:t>
      </w:r>
    </w:p>
    <w:p w14:paraId="00CF1F5E">
      <w:pPr>
        <w:spacing w:line="228" w:lineRule="auto"/>
        <w:rPr>
          <w:rFonts w:ascii="宋体" w:hAnsi="宋体" w:eastAsia="宋体" w:cs="宋体"/>
          <w:sz w:val="20"/>
          <w:szCs w:val="20"/>
        </w:rPr>
        <w:sectPr>
          <w:type w:val="continuous"/>
          <w:pgSz w:w="11907" w:h="16840"/>
          <w:pgMar w:top="400" w:right="1531" w:bottom="1247" w:left="1484" w:header="0" w:footer="1085" w:gutter="0"/>
          <w:cols w:equalWidth="0" w:num="2">
            <w:col w:w="4730" w:space="100"/>
            <w:col w:w="4062"/>
          </w:cols>
        </w:sectPr>
      </w:pPr>
    </w:p>
    <w:p w14:paraId="46BF282E">
      <w:pPr>
        <w:spacing w:line="470" w:lineRule="auto"/>
        <w:rPr>
          <w:rFonts w:ascii="Arial"/>
          <w:sz w:val="21"/>
        </w:rPr>
      </w:pPr>
    </w:p>
    <w:p w14:paraId="2F47D9EB">
      <w:pPr>
        <w:spacing w:before="65" w:line="228" w:lineRule="auto"/>
        <w:ind w:left="5387"/>
        <w:rPr>
          <w:rFonts w:ascii="宋体" w:hAnsi="宋体" w:eastAsia="宋体" w:cs="宋体"/>
          <w:sz w:val="20"/>
          <w:szCs w:val="20"/>
        </w:rPr>
      </w:pPr>
      <w:r>
        <w:rPr>
          <w:rFonts w:ascii="宋体" w:hAnsi="宋体" w:eastAsia="宋体" w:cs="宋体"/>
          <w:spacing w:val="-11"/>
          <w:sz w:val="20"/>
          <w:szCs w:val="20"/>
        </w:rPr>
        <w:t>日期</w:t>
      </w:r>
      <w:r>
        <w:rPr>
          <w:rFonts w:ascii="宋体" w:hAnsi="宋体" w:eastAsia="宋体" w:cs="宋体"/>
          <w:spacing w:val="-59"/>
          <w:sz w:val="20"/>
          <w:szCs w:val="20"/>
        </w:rPr>
        <w:t xml:space="preserve"> </w:t>
      </w:r>
      <w:r>
        <w:rPr>
          <w:rFonts w:ascii="宋体" w:hAnsi="宋体" w:eastAsia="宋体" w:cs="宋体"/>
          <w:spacing w:val="-11"/>
          <w:sz w:val="20"/>
          <w:szCs w:val="20"/>
        </w:rPr>
        <w:t>:</w:t>
      </w:r>
      <w:r>
        <w:rPr>
          <w:rFonts w:ascii="宋体" w:hAnsi="宋体" w:eastAsia="宋体" w:cs="宋体"/>
          <w:spacing w:val="-10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11"/>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11"/>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11"/>
          <w:sz w:val="20"/>
          <w:szCs w:val="20"/>
        </w:rPr>
        <w:t>日</w:t>
      </w:r>
    </w:p>
    <w:p w14:paraId="2341F030">
      <w:pPr>
        <w:spacing w:line="261" w:lineRule="auto"/>
        <w:rPr>
          <w:rFonts w:ascii="Arial"/>
          <w:sz w:val="21"/>
        </w:rPr>
      </w:pPr>
    </w:p>
    <w:p w14:paraId="53D0663C">
      <w:pPr>
        <w:spacing w:line="261" w:lineRule="auto"/>
        <w:rPr>
          <w:rFonts w:ascii="Arial"/>
          <w:sz w:val="21"/>
        </w:rPr>
      </w:pPr>
    </w:p>
    <w:p w14:paraId="5D86F424">
      <w:pPr>
        <w:spacing w:before="66" w:line="370" w:lineRule="auto"/>
        <w:ind w:left="836" w:right="53" w:hanging="837"/>
        <w:rPr>
          <w:rFonts w:ascii="宋体" w:hAnsi="宋体" w:eastAsia="宋体" w:cs="宋体"/>
          <w:sz w:val="20"/>
          <w:szCs w:val="20"/>
        </w:rPr>
      </w:pPr>
      <w:r>
        <w:rPr>
          <w:rFonts w:ascii="宋体" w:hAnsi="宋体" w:eastAsia="宋体" w:cs="宋体"/>
          <w:spacing w:val="10"/>
          <w:sz w:val="20"/>
          <w:szCs w:val="20"/>
        </w:rPr>
        <w:t>备注：1.本分包意向协议书适用于政府采购工程，可以分开签署。协议书由委托代理人签字的，</w:t>
      </w:r>
      <w:r>
        <w:rPr>
          <w:rFonts w:ascii="宋体" w:hAnsi="宋体" w:eastAsia="宋体" w:cs="宋体"/>
          <w:spacing w:val="8"/>
          <w:sz w:val="20"/>
          <w:szCs w:val="20"/>
        </w:rPr>
        <w:t>应附法定代表人签字的授权委托书。</w:t>
      </w:r>
    </w:p>
    <w:p w14:paraId="6CA8CAF8">
      <w:pPr>
        <w:spacing w:before="2" w:line="368" w:lineRule="auto"/>
        <w:ind w:left="848" w:hanging="217"/>
        <w:rPr>
          <w:rFonts w:ascii="宋体" w:hAnsi="宋体" w:eastAsia="宋体" w:cs="宋体"/>
          <w:sz w:val="20"/>
          <w:szCs w:val="20"/>
        </w:rPr>
      </w:pPr>
      <w:r>
        <w:rPr>
          <w:rFonts w:ascii="宋体" w:hAnsi="宋体" w:eastAsia="宋体" w:cs="宋体"/>
          <w:spacing w:val="11"/>
          <w:sz w:val="20"/>
          <w:szCs w:val="20"/>
        </w:rPr>
        <w:t>2.政府采购工程投标人未采用向中小（小微）企业分包的形式参加投标的，投标文件中不</w:t>
      </w:r>
      <w:r>
        <w:rPr>
          <w:rFonts w:ascii="宋体" w:hAnsi="宋体" w:eastAsia="宋体" w:cs="宋体"/>
          <w:spacing w:val="8"/>
          <w:sz w:val="20"/>
          <w:szCs w:val="20"/>
        </w:rPr>
        <w:t>需分包意向协议书，也无须盖单位章和签字。</w:t>
      </w:r>
    </w:p>
    <w:p w14:paraId="1A701FDE">
      <w:pPr>
        <w:spacing w:before="1" w:line="369" w:lineRule="auto"/>
        <w:ind w:left="836" w:hanging="204"/>
        <w:rPr>
          <w:rFonts w:ascii="宋体" w:hAnsi="宋体" w:eastAsia="宋体" w:cs="宋体"/>
          <w:sz w:val="20"/>
          <w:szCs w:val="20"/>
        </w:rPr>
      </w:pPr>
      <w:r>
        <w:rPr>
          <w:rFonts w:ascii="宋体" w:hAnsi="宋体" w:eastAsia="宋体" w:cs="宋体"/>
          <w:spacing w:val="11"/>
          <w:sz w:val="20"/>
          <w:szCs w:val="20"/>
        </w:rPr>
        <w:t>3.政府采购工程部分预留专门面向中小企业采购的项目，招标人要求大企业向中小企业分</w:t>
      </w:r>
      <w:r>
        <w:rPr>
          <w:rFonts w:ascii="宋体" w:hAnsi="宋体" w:eastAsia="宋体" w:cs="宋体"/>
          <w:spacing w:val="12"/>
          <w:sz w:val="20"/>
          <w:szCs w:val="20"/>
        </w:rPr>
        <w:t>包的形式参加投标，且接受分包的中小企业承担的部分达到一定比例的，分包</w:t>
      </w:r>
      <w:r>
        <w:rPr>
          <w:rFonts w:ascii="宋体" w:hAnsi="宋体" w:eastAsia="宋体" w:cs="宋体"/>
          <w:spacing w:val="11"/>
          <w:sz w:val="20"/>
          <w:szCs w:val="20"/>
        </w:rPr>
        <w:t>意向协议书应当按照资格预审文件第二章申请人须知附录二“政府采购工程预留工作及金额</w:t>
      </w:r>
      <w:r>
        <w:rPr>
          <w:rFonts w:ascii="宋体" w:hAnsi="宋体" w:eastAsia="宋体" w:cs="宋体"/>
          <w:spacing w:val="-68"/>
          <w:sz w:val="20"/>
          <w:szCs w:val="20"/>
        </w:rPr>
        <w:t xml:space="preserve"> </w:t>
      </w:r>
      <w:r>
        <w:rPr>
          <w:rFonts w:ascii="宋体" w:hAnsi="宋体" w:eastAsia="宋体" w:cs="宋体"/>
          <w:spacing w:val="11"/>
          <w:sz w:val="20"/>
          <w:szCs w:val="20"/>
        </w:rPr>
        <w:t>”的</w:t>
      </w:r>
      <w:r>
        <w:rPr>
          <w:rFonts w:ascii="宋体" w:hAnsi="宋体" w:eastAsia="宋体" w:cs="宋体"/>
          <w:spacing w:val="12"/>
          <w:sz w:val="20"/>
          <w:szCs w:val="20"/>
        </w:rPr>
        <w:t>范围，明确接受分包的中小企业承担的合同工作内容、合同金额及合同金额与</w:t>
      </w:r>
      <w:r>
        <w:rPr>
          <w:rFonts w:ascii="宋体" w:hAnsi="宋体" w:eastAsia="宋体" w:cs="宋体"/>
          <w:spacing w:val="11"/>
          <w:sz w:val="20"/>
          <w:szCs w:val="20"/>
        </w:rPr>
        <w:t>项目合同</w:t>
      </w:r>
      <w:r>
        <w:rPr>
          <w:rFonts w:ascii="宋体" w:hAnsi="宋体" w:eastAsia="宋体" w:cs="宋体"/>
          <w:spacing w:val="12"/>
          <w:sz w:val="20"/>
          <w:szCs w:val="20"/>
        </w:rPr>
        <w:t>金额的占比。同时，声明接受分包的中小企业与分包企业之间是否存在直接控</w:t>
      </w:r>
      <w:r>
        <w:rPr>
          <w:rFonts w:ascii="宋体" w:hAnsi="宋体" w:eastAsia="宋体" w:cs="宋体"/>
          <w:spacing w:val="11"/>
          <w:sz w:val="20"/>
          <w:szCs w:val="20"/>
        </w:rPr>
        <w:t>股、管理</w:t>
      </w:r>
      <w:r>
        <w:rPr>
          <w:rFonts w:ascii="宋体" w:hAnsi="宋体" w:eastAsia="宋体" w:cs="宋体"/>
          <w:spacing w:val="3"/>
          <w:sz w:val="20"/>
          <w:szCs w:val="20"/>
        </w:rPr>
        <w:t>关系。</w:t>
      </w:r>
    </w:p>
    <w:p w14:paraId="539C3363">
      <w:pPr>
        <w:spacing w:before="1" w:line="369" w:lineRule="auto"/>
        <w:ind w:left="835" w:hanging="208"/>
        <w:rPr>
          <w:rFonts w:ascii="宋体" w:hAnsi="宋体" w:eastAsia="宋体" w:cs="宋体"/>
          <w:sz w:val="20"/>
          <w:szCs w:val="20"/>
        </w:rPr>
      </w:pPr>
      <w:r>
        <w:rPr>
          <w:rFonts w:ascii="宋体" w:hAnsi="宋体" w:eastAsia="宋体" w:cs="宋体"/>
          <w:spacing w:val="12"/>
          <w:sz w:val="20"/>
          <w:szCs w:val="20"/>
        </w:rPr>
        <w:t>4.政府采购工程未预留份额专门面向中小企业</w:t>
      </w:r>
      <w:r>
        <w:rPr>
          <w:rFonts w:ascii="宋体" w:hAnsi="宋体" w:eastAsia="宋体" w:cs="宋体"/>
          <w:spacing w:val="11"/>
          <w:sz w:val="20"/>
          <w:szCs w:val="20"/>
        </w:rPr>
        <w:t>采购的项目，招标人允许大中型企业以向一</w:t>
      </w:r>
      <w:r>
        <w:rPr>
          <w:rFonts w:ascii="宋体" w:hAnsi="宋体" w:eastAsia="宋体" w:cs="宋体"/>
          <w:spacing w:val="12"/>
          <w:sz w:val="20"/>
          <w:szCs w:val="20"/>
        </w:rPr>
        <w:t>家或者多家小微企业分包的形式参加投标，且接受分包的小微企业承担的部分达</w:t>
      </w:r>
      <w:r>
        <w:rPr>
          <w:rFonts w:ascii="宋体" w:hAnsi="宋体" w:eastAsia="宋体" w:cs="宋体"/>
          <w:spacing w:val="11"/>
          <w:sz w:val="20"/>
          <w:szCs w:val="20"/>
        </w:rPr>
        <w:t>到一定</w:t>
      </w:r>
      <w:r>
        <w:rPr>
          <w:rFonts w:ascii="宋体" w:hAnsi="宋体" w:eastAsia="宋体" w:cs="宋体"/>
          <w:spacing w:val="12"/>
          <w:sz w:val="20"/>
          <w:szCs w:val="20"/>
        </w:rPr>
        <w:t>比例可享受价格扣除或增加价格分优惠政策的，分包意向协议书应当明确接受分</w:t>
      </w:r>
      <w:r>
        <w:rPr>
          <w:rFonts w:ascii="宋体" w:hAnsi="宋体" w:eastAsia="宋体" w:cs="宋体"/>
          <w:spacing w:val="11"/>
          <w:sz w:val="20"/>
          <w:szCs w:val="20"/>
        </w:rPr>
        <w:t>包的小</w:t>
      </w:r>
      <w:r>
        <w:rPr>
          <w:rFonts w:ascii="宋体" w:hAnsi="宋体" w:eastAsia="宋体" w:cs="宋体"/>
          <w:spacing w:val="12"/>
          <w:sz w:val="20"/>
          <w:szCs w:val="20"/>
        </w:rPr>
        <w:t>微企业承担的合同工作内容、合同金额及合同金额与项目合同金额的占比。同时</w:t>
      </w:r>
      <w:r>
        <w:rPr>
          <w:rFonts w:ascii="宋体" w:hAnsi="宋体" w:eastAsia="宋体" w:cs="宋体"/>
          <w:spacing w:val="11"/>
          <w:sz w:val="20"/>
          <w:szCs w:val="20"/>
        </w:rPr>
        <w:t>，声明</w:t>
      </w:r>
      <w:r>
        <w:rPr>
          <w:rFonts w:ascii="宋体" w:hAnsi="宋体" w:eastAsia="宋体" w:cs="宋体"/>
          <w:spacing w:val="9"/>
          <w:sz w:val="20"/>
          <w:szCs w:val="20"/>
        </w:rPr>
        <w:t>接受分包的小微企业与分包企业之间是否存在直接控股、管理关系。</w:t>
      </w:r>
    </w:p>
    <w:p w14:paraId="13637BA5">
      <w:pPr>
        <w:spacing w:before="3" w:line="310" w:lineRule="auto"/>
        <w:ind w:left="835" w:hanging="203"/>
        <w:rPr>
          <w:rFonts w:ascii="宋体" w:hAnsi="宋体" w:eastAsia="宋体" w:cs="宋体"/>
          <w:sz w:val="20"/>
          <w:szCs w:val="20"/>
        </w:rPr>
      </w:pPr>
      <w:r>
        <w:rPr>
          <w:rFonts w:ascii="宋体" w:hAnsi="宋体" w:eastAsia="宋体" w:cs="宋体"/>
          <w:spacing w:val="11"/>
          <w:sz w:val="20"/>
          <w:szCs w:val="20"/>
        </w:rPr>
        <w:t>5.分包意向协议书后附接受分包的中小（小微）企业，能够承担分包工作所需的有效的营</w:t>
      </w:r>
      <w:r>
        <w:rPr>
          <w:rFonts w:ascii="宋体" w:hAnsi="宋体" w:eastAsia="宋体" w:cs="宋体"/>
          <w:spacing w:val="7"/>
          <w:sz w:val="20"/>
          <w:szCs w:val="20"/>
        </w:rPr>
        <w:t>业执照、企业资质证书（如需）、安全生产</w:t>
      </w:r>
      <w:r>
        <w:rPr>
          <w:rFonts w:ascii="宋体" w:hAnsi="宋体" w:eastAsia="宋体" w:cs="宋体"/>
          <w:spacing w:val="6"/>
          <w:sz w:val="20"/>
          <w:szCs w:val="20"/>
        </w:rPr>
        <w:t>许可证（如需）、项目负责人资格证件的扫描</w:t>
      </w:r>
      <w:r>
        <w:rPr>
          <w:rFonts w:ascii="宋体" w:hAnsi="宋体" w:eastAsia="宋体" w:cs="宋体"/>
          <w:sz w:val="20"/>
          <w:szCs w:val="20"/>
        </w:rPr>
        <w:t>件。</w:t>
      </w:r>
    </w:p>
    <w:p w14:paraId="1B259986">
      <w:pPr>
        <w:spacing w:line="310" w:lineRule="auto"/>
        <w:rPr>
          <w:rFonts w:ascii="宋体" w:hAnsi="宋体" w:eastAsia="宋体" w:cs="宋体"/>
          <w:sz w:val="20"/>
          <w:szCs w:val="20"/>
        </w:rPr>
        <w:sectPr>
          <w:type w:val="continuous"/>
          <w:pgSz w:w="11907" w:h="16840"/>
          <w:pgMar w:top="400" w:right="1531" w:bottom="1247" w:left="1484" w:header="0" w:footer="1085" w:gutter="0"/>
          <w:cols w:equalWidth="0" w:num="1">
            <w:col w:w="8892"/>
          </w:cols>
        </w:sectPr>
      </w:pPr>
    </w:p>
    <w:p w14:paraId="783247ED">
      <w:pPr>
        <w:spacing w:line="256" w:lineRule="auto"/>
        <w:rPr>
          <w:rFonts w:ascii="Arial"/>
          <w:sz w:val="21"/>
        </w:rPr>
      </w:pPr>
    </w:p>
    <w:p w14:paraId="3435AF6F">
      <w:pPr>
        <w:spacing w:line="256" w:lineRule="auto"/>
        <w:rPr>
          <w:rFonts w:ascii="Arial"/>
          <w:sz w:val="21"/>
        </w:rPr>
      </w:pPr>
    </w:p>
    <w:p w14:paraId="1E5213AB">
      <w:pPr>
        <w:spacing w:line="256" w:lineRule="auto"/>
        <w:rPr>
          <w:rFonts w:ascii="Arial"/>
          <w:sz w:val="21"/>
        </w:rPr>
      </w:pPr>
    </w:p>
    <w:p w14:paraId="6C8BBD25">
      <w:pPr>
        <w:spacing w:line="256" w:lineRule="auto"/>
        <w:rPr>
          <w:rFonts w:ascii="Arial"/>
          <w:sz w:val="21"/>
        </w:rPr>
      </w:pPr>
    </w:p>
    <w:p w14:paraId="26854A25">
      <w:pPr>
        <w:spacing w:line="256" w:lineRule="auto"/>
        <w:rPr>
          <w:rFonts w:ascii="Arial"/>
          <w:sz w:val="21"/>
        </w:rPr>
      </w:pPr>
    </w:p>
    <w:p w14:paraId="18AE1836">
      <w:pPr>
        <w:pStyle w:val="2"/>
        <w:spacing w:before="91" w:line="222" w:lineRule="auto"/>
        <w:ind w:left="1671"/>
        <w:outlineLvl w:val="1"/>
        <w:rPr>
          <w:sz w:val="28"/>
          <w:szCs w:val="28"/>
        </w:rPr>
      </w:pPr>
      <w:bookmarkStart w:id="420" w:name="bookmark401"/>
      <w:bookmarkEnd w:id="420"/>
      <w:r>
        <w:rPr>
          <w:spacing w:val="-1"/>
          <w:sz w:val="28"/>
          <w:szCs w:val="28"/>
        </w:rPr>
        <w:t>六、中小企业声明函（适用于政府采购工程）</w:t>
      </w:r>
    </w:p>
    <w:p w14:paraId="6BE1B25C">
      <w:pPr>
        <w:spacing w:line="246" w:lineRule="auto"/>
        <w:rPr>
          <w:rFonts w:ascii="Arial"/>
          <w:sz w:val="21"/>
        </w:rPr>
      </w:pPr>
    </w:p>
    <w:p w14:paraId="10D7026B">
      <w:pPr>
        <w:spacing w:line="247" w:lineRule="auto"/>
        <w:rPr>
          <w:rFonts w:ascii="Arial"/>
          <w:sz w:val="21"/>
        </w:rPr>
      </w:pPr>
    </w:p>
    <w:p w14:paraId="2BFD609F">
      <w:pPr>
        <w:tabs>
          <w:tab w:val="left" w:pos="2205"/>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（招标人名称</w:t>
      </w:r>
      <w:r>
        <w:rPr>
          <w:rFonts w:ascii="宋体" w:hAnsi="宋体" w:eastAsia="宋体" w:cs="宋体"/>
          <w:spacing w:val="-52"/>
          <w:sz w:val="20"/>
          <w:szCs w:val="20"/>
        </w:rPr>
        <w:t>）：</w:t>
      </w:r>
    </w:p>
    <w:p w14:paraId="6DA57EA4">
      <w:pPr>
        <w:spacing w:before="144" w:line="364" w:lineRule="auto"/>
        <w:ind w:left="9" w:right="53" w:firstLine="420"/>
        <w:jc w:val="both"/>
        <w:rPr>
          <w:rFonts w:ascii="宋体" w:hAnsi="宋体" w:eastAsia="宋体" w:cs="宋体"/>
          <w:sz w:val="20"/>
          <w:szCs w:val="20"/>
        </w:rPr>
      </w:pPr>
      <w:r>
        <w:rPr>
          <w:rFonts w:ascii="宋体" w:hAnsi="宋体" w:eastAsia="宋体" w:cs="宋体"/>
          <w:spacing w:val="6"/>
          <w:sz w:val="20"/>
          <w:szCs w:val="20"/>
        </w:rPr>
        <w:t>本公司（联合体）郑重声明，根据《政府采购促进中小企业发展管理办法》（财库﹝2020﹞46</w:t>
      </w:r>
      <w:r>
        <w:rPr>
          <w:rFonts w:ascii="宋体" w:hAnsi="宋体" w:eastAsia="宋体" w:cs="宋体"/>
          <w:spacing w:val="11"/>
          <w:sz w:val="20"/>
          <w:szCs w:val="20"/>
        </w:rPr>
        <w:t>号）的规定，本公司（联合体）参加</w:t>
      </w:r>
      <w:r>
        <w:rPr>
          <w:rFonts w:ascii="宋体" w:hAnsi="宋体" w:eastAsia="宋体" w:cs="宋体"/>
          <w:spacing w:val="-98"/>
          <w:sz w:val="20"/>
          <w:szCs w:val="20"/>
        </w:rPr>
        <w:t xml:space="preserve"> </w:t>
      </w:r>
      <w:r>
        <w:rPr>
          <w:rFonts w:ascii="宋体" w:hAnsi="宋体" w:eastAsia="宋体" w:cs="宋体"/>
          <w:spacing w:val="11"/>
          <w:sz w:val="20"/>
          <w:szCs w:val="20"/>
          <w:u w:val="single" w:color="auto"/>
        </w:rPr>
        <w:t xml:space="preserve">    </w:t>
      </w:r>
      <w:r>
        <w:rPr>
          <w:rFonts w:ascii="宋体" w:hAnsi="宋体" w:eastAsia="宋体" w:cs="宋体"/>
          <w:spacing w:val="10"/>
          <w:sz w:val="20"/>
          <w:szCs w:val="20"/>
          <w:u w:val="single" w:color="auto"/>
        </w:rPr>
        <w:t xml:space="preserve">  </w:t>
      </w:r>
      <w:r>
        <w:rPr>
          <w:rFonts w:ascii="宋体" w:hAnsi="宋体" w:eastAsia="宋体" w:cs="宋体"/>
          <w:spacing w:val="10"/>
          <w:sz w:val="20"/>
          <w:szCs w:val="20"/>
        </w:rPr>
        <w:t>（招标人名称）的</w:t>
      </w:r>
      <w:r>
        <w:rPr>
          <w:rFonts w:ascii="宋体" w:hAnsi="宋体" w:eastAsia="宋体" w:cs="宋体"/>
          <w:spacing w:val="-98"/>
          <w:sz w:val="20"/>
          <w:szCs w:val="20"/>
        </w:rPr>
        <w:t xml:space="preserve"> </w:t>
      </w:r>
      <w:r>
        <w:rPr>
          <w:rFonts w:ascii="宋体" w:hAnsi="宋体" w:eastAsia="宋体" w:cs="宋体"/>
          <w:spacing w:val="10"/>
          <w:sz w:val="20"/>
          <w:szCs w:val="20"/>
          <w:u w:val="single" w:color="auto"/>
        </w:rPr>
        <w:t xml:space="preserve">       </w:t>
      </w:r>
      <w:r>
        <w:rPr>
          <w:rFonts w:ascii="宋体" w:hAnsi="宋体" w:eastAsia="宋体" w:cs="宋体"/>
          <w:spacing w:val="10"/>
          <w:sz w:val="20"/>
          <w:szCs w:val="20"/>
        </w:rPr>
        <w:t>（项目名称</w:t>
      </w:r>
      <w:r>
        <w:rPr>
          <w:rFonts w:ascii="宋体" w:hAnsi="宋体" w:eastAsia="宋体" w:cs="宋体"/>
          <w:spacing w:val="-4"/>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0"/>
          <w:sz w:val="20"/>
          <w:szCs w:val="20"/>
        </w:rPr>
        <w:t>标段</w:t>
      </w:r>
      <w:r>
        <w:rPr>
          <w:rFonts w:ascii="宋体" w:hAnsi="宋体" w:eastAsia="宋体" w:cs="宋体"/>
          <w:spacing w:val="11"/>
          <w:sz w:val="20"/>
          <w:szCs w:val="20"/>
        </w:rPr>
        <w:t>名称</w:t>
      </w:r>
      <w:r>
        <w:rPr>
          <w:rFonts w:ascii="宋体" w:hAnsi="宋体" w:eastAsia="宋体" w:cs="宋体"/>
          <w:spacing w:val="-56"/>
          <w:sz w:val="20"/>
          <w:szCs w:val="20"/>
        </w:rPr>
        <w:t>）（</w:t>
      </w:r>
      <w:r>
        <w:rPr>
          <w:rFonts w:ascii="宋体" w:hAnsi="宋体" w:eastAsia="宋体" w:cs="宋体"/>
          <w:spacing w:val="11"/>
          <w:sz w:val="20"/>
          <w:szCs w:val="20"/>
        </w:rPr>
        <w:t>以下简称本工程）施工招标投标活动，本工程招标范围内的</w:t>
      </w:r>
      <w:r>
        <w:rPr>
          <w:rFonts w:ascii="宋体" w:hAnsi="宋体" w:eastAsia="宋体" w:cs="宋体"/>
          <w:spacing w:val="11"/>
          <w:sz w:val="20"/>
          <w:szCs w:val="20"/>
          <w:u w:val="single" w:color="auto"/>
        </w:rPr>
        <w:t xml:space="preserve"> </w:t>
      </w:r>
      <w:r>
        <w:rPr>
          <w:rFonts w:ascii="宋体" w:hAnsi="宋体" w:eastAsia="宋体" w:cs="宋体"/>
          <w:spacing w:val="10"/>
          <w:sz w:val="20"/>
          <w:szCs w:val="20"/>
          <w:u w:val="single" w:color="auto"/>
        </w:rPr>
        <w:t xml:space="preserve">   全部／部分   </w:t>
      </w:r>
      <w:r>
        <w:rPr>
          <w:rFonts w:ascii="宋体" w:hAnsi="宋体" w:eastAsia="宋体" w:cs="宋体"/>
          <w:spacing w:val="-66"/>
          <w:sz w:val="20"/>
          <w:szCs w:val="20"/>
        </w:rPr>
        <w:t xml:space="preserve"> </w:t>
      </w:r>
      <w:r>
        <w:rPr>
          <w:rFonts w:ascii="宋体" w:hAnsi="宋体" w:eastAsia="宋体" w:cs="宋体"/>
          <w:spacing w:val="10"/>
          <w:sz w:val="20"/>
          <w:szCs w:val="20"/>
        </w:rPr>
        <w:t>内容为符</w:t>
      </w:r>
      <w:r>
        <w:rPr>
          <w:rFonts w:ascii="宋体" w:hAnsi="宋体" w:eastAsia="宋体" w:cs="宋体"/>
          <w:spacing w:val="7"/>
          <w:sz w:val="20"/>
          <w:szCs w:val="20"/>
        </w:rPr>
        <w:t>合政策要求的中小企业承建（承接）。相关企业（含联合体中的中小企</w:t>
      </w:r>
      <w:r>
        <w:rPr>
          <w:rFonts w:ascii="宋体" w:hAnsi="宋体" w:eastAsia="宋体" w:cs="宋体"/>
          <w:spacing w:val="6"/>
          <w:sz w:val="20"/>
          <w:szCs w:val="20"/>
        </w:rPr>
        <w:t>业、签订分包意向协议的中</w:t>
      </w:r>
      <w:r>
        <w:rPr>
          <w:rFonts w:ascii="宋体" w:hAnsi="宋体" w:eastAsia="宋体" w:cs="宋体"/>
          <w:spacing w:val="8"/>
          <w:sz w:val="20"/>
          <w:szCs w:val="20"/>
        </w:rPr>
        <w:t>小企业）的具体情况如下：</w:t>
      </w:r>
    </w:p>
    <w:p w14:paraId="79F353CF">
      <w:pPr>
        <w:spacing w:before="1" w:line="363" w:lineRule="auto"/>
        <w:ind w:left="8" w:right="54" w:firstLine="435"/>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99"/>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（工作内容名称</w:t>
      </w:r>
      <w:r>
        <w:rPr>
          <w:rFonts w:ascii="宋体" w:hAnsi="宋体" w:eastAsia="宋体" w:cs="宋体"/>
          <w:spacing w:val="-19"/>
          <w:sz w:val="20"/>
          <w:szCs w:val="20"/>
        </w:rPr>
        <w:t>）</w:t>
      </w:r>
      <w:r>
        <w:rPr>
          <w:rFonts w:ascii="宋体" w:hAnsi="宋体" w:eastAsia="宋体" w:cs="宋体"/>
          <w:spacing w:val="47"/>
          <w:sz w:val="20"/>
          <w:szCs w:val="20"/>
        </w:rPr>
        <w:t xml:space="preserve"> </w:t>
      </w:r>
      <w:r>
        <w:rPr>
          <w:rFonts w:ascii="宋体" w:hAnsi="宋体" w:eastAsia="宋体" w:cs="宋体"/>
          <w:spacing w:val="-19"/>
          <w:sz w:val="20"/>
          <w:szCs w:val="20"/>
        </w:rPr>
        <w:t>，</w:t>
      </w:r>
      <w:r>
        <w:rPr>
          <w:rFonts w:ascii="宋体" w:hAnsi="宋体" w:eastAsia="宋体" w:cs="宋体"/>
          <w:spacing w:val="8"/>
          <w:sz w:val="20"/>
          <w:szCs w:val="20"/>
        </w:rPr>
        <w:t>属于</w:t>
      </w:r>
      <w:r>
        <w:rPr>
          <w:rFonts w:ascii="宋体" w:hAnsi="宋体" w:eastAsia="宋体" w:cs="宋体"/>
          <w:spacing w:val="-96"/>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（招标文件中明确的</w:t>
      </w:r>
      <w:r>
        <w:rPr>
          <w:rFonts w:ascii="宋体" w:hAnsi="宋体" w:eastAsia="宋体" w:cs="宋体"/>
          <w:spacing w:val="7"/>
          <w:sz w:val="20"/>
          <w:szCs w:val="20"/>
        </w:rPr>
        <w:t>所属行业</w:t>
      </w:r>
      <w:r>
        <w:rPr>
          <w:rFonts w:ascii="宋体" w:hAnsi="宋体" w:eastAsia="宋体" w:cs="宋体"/>
          <w:spacing w:val="-19"/>
          <w:sz w:val="20"/>
          <w:szCs w:val="20"/>
        </w:rPr>
        <w:t>）；</w:t>
      </w:r>
      <w:r>
        <w:rPr>
          <w:rFonts w:ascii="宋体" w:hAnsi="宋体" w:eastAsia="宋体" w:cs="宋体"/>
          <w:spacing w:val="7"/>
          <w:sz w:val="20"/>
          <w:szCs w:val="20"/>
        </w:rPr>
        <w:t>承建（承接）企业为</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（企业名称</w:t>
      </w:r>
      <w:r>
        <w:rPr>
          <w:rFonts w:ascii="宋体" w:hAnsi="宋体" w:eastAsia="宋体" w:cs="宋体"/>
          <w:spacing w:val="-4"/>
          <w:sz w:val="20"/>
          <w:szCs w:val="20"/>
        </w:rPr>
        <w:t>）</w:t>
      </w:r>
      <w:r>
        <w:rPr>
          <w:rFonts w:ascii="宋体" w:hAnsi="宋体" w:eastAsia="宋体" w:cs="宋体"/>
          <w:spacing w:val="39"/>
          <w:sz w:val="20"/>
          <w:szCs w:val="20"/>
        </w:rPr>
        <w:t xml:space="preserve"> </w:t>
      </w:r>
      <w:r>
        <w:rPr>
          <w:rFonts w:ascii="宋体" w:hAnsi="宋体" w:eastAsia="宋体" w:cs="宋体"/>
          <w:spacing w:val="-4"/>
          <w:sz w:val="20"/>
          <w:szCs w:val="20"/>
        </w:rPr>
        <w:t>，</w:t>
      </w:r>
      <w:r>
        <w:rPr>
          <w:rFonts w:ascii="宋体" w:hAnsi="宋体" w:eastAsia="宋体" w:cs="宋体"/>
          <w:spacing w:val="6"/>
          <w:sz w:val="20"/>
          <w:szCs w:val="20"/>
        </w:rPr>
        <w:t>从业人员</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人，营业收入为</w:t>
      </w:r>
      <w:r>
        <w:rPr>
          <w:rFonts w:ascii="宋体" w:hAnsi="宋体" w:eastAsia="宋体" w:cs="宋体"/>
          <w:spacing w:val="6"/>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6"/>
          <w:sz w:val="20"/>
          <w:szCs w:val="20"/>
        </w:rPr>
        <w:t>万元，资</w:t>
      </w:r>
      <w:r>
        <w:rPr>
          <w:rFonts w:ascii="宋体" w:hAnsi="宋体" w:eastAsia="宋体" w:cs="宋体"/>
          <w:spacing w:val="8"/>
          <w:sz w:val="20"/>
          <w:szCs w:val="20"/>
        </w:rPr>
        <w:t>产总额为</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8"/>
          <w:sz w:val="20"/>
          <w:szCs w:val="20"/>
        </w:rPr>
        <w:t>万元，属于</w:t>
      </w:r>
      <w:r>
        <w:rPr>
          <w:rFonts w:ascii="宋体" w:hAnsi="宋体" w:eastAsia="宋体" w:cs="宋体"/>
          <w:spacing w:val="8"/>
          <w:sz w:val="20"/>
          <w:szCs w:val="20"/>
          <w:u w:val="single" w:color="auto"/>
        </w:rPr>
        <w:t xml:space="preserve">   中型企业／小型企业／微型企业 </w:t>
      </w:r>
      <w:r>
        <w:rPr>
          <w:rFonts w:ascii="宋体" w:hAnsi="宋体" w:eastAsia="宋体" w:cs="宋体"/>
          <w:spacing w:val="8"/>
          <w:sz w:val="20"/>
          <w:szCs w:val="20"/>
        </w:rPr>
        <w:t>；</w:t>
      </w:r>
    </w:p>
    <w:p w14:paraId="2F19C8A8">
      <w:pPr>
        <w:spacing w:line="364" w:lineRule="auto"/>
        <w:ind w:left="8" w:right="54" w:firstLine="422"/>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100"/>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（工作内容名称</w:t>
      </w:r>
      <w:r>
        <w:rPr>
          <w:rFonts w:ascii="宋体" w:hAnsi="宋体" w:eastAsia="宋体" w:cs="宋体"/>
          <w:spacing w:val="-17"/>
          <w:sz w:val="20"/>
          <w:szCs w:val="20"/>
        </w:rPr>
        <w:t>）</w:t>
      </w:r>
      <w:r>
        <w:rPr>
          <w:rFonts w:ascii="宋体" w:hAnsi="宋体" w:eastAsia="宋体" w:cs="宋体"/>
          <w:spacing w:val="47"/>
          <w:sz w:val="20"/>
          <w:szCs w:val="20"/>
        </w:rPr>
        <w:t xml:space="preserve"> </w:t>
      </w:r>
      <w:r>
        <w:rPr>
          <w:rFonts w:ascii="宋体" w:hAnsi="宋体" w:eastAsia="宋体" w:cs="宋体"/>
          <w:spacing w:val="-17"/>
          <w:sz w:val="20"/>
          <w:szCs w:val="20"/>
        </w:rPr>
        <w:t>，</w:t>
      </w:r>
      <w:r>
        <w:rPr>
          <w:rFonts w:ascii="宋体" w:hAnsi="宋体" w:eastAsia="宋体" w:cs="宋体"/>
          <w:spacing w:val="8"/>
          <w:sz w:val="20"/>
          <w:szCs w:val="20"/>
        </w:rPr>
        <w:t>属于</w:t>
      </w:r>
      <w:r>
        <w:rPr>
          <w:rFonts w:ascii="宋体" w:hAnsi="宋体" w:eastAsia="宋体" w:cs="宋体"/>
          <w:spacing w:val="-96"/>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（招标文件中明确的所属行业</w:t>
      </w:r>
      <w:r>
        <w:rPr>
          <w:rFonts w:ascii="宋体" w:hAnsi="宋体" w:eastAsia="宋体" w:cs="宋体"/>
          <w:spacing w:val="-17"/>
          <w:sz w:val="20"/>
          <w:szCs w:val="20"/>
        </w:rPr>
        <w:t>）；</w:t>
      </w:r>
      <w:r>
        <w:rPr>
          <w:rFonts w:ascii="宋体" w:hAnsi="宋体" w:eastAsia="宋体" w:cs="宋体"/>
          <w:spacing w:val="8"/>
          <w:sz w:val="20"/>
          <w:szCs w:val="20"/>
        </w:rPr>
        <w:t>承建</w:t>
      </w:r>
      <w:r>
        <w:rPr>
          <w:rFonts w:ascii="宋体" w:hAnsi="宋体" w:eastAsia="宋体" w:cs="宋体"/>
          <w:spacing w:val="7"/>
          <w:sz w:val="20"/>
          <w:szCs w:val="20"/>
        </w:rPr>
        <w:t>（承接）企业为</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（企业名称</w:t>
      </w:r>
      <w:r>
        <w:rPr>
          <w:rFonts w:ascii="宋体" w:hAnsi="宋体" w:eastAsia="宋体" w:cs="宋体"/>
          <w:spacing w:val="-4"/>
          <w:sz w:val="20"/>
          <w:szCs w:val="20"/>
        </w:rPr>
        <w:t>）</w:t>
      </w:r>
      <w:r>
        <w:rPr>
          <w:rFonts w:ascii="宋体" w:hAnsi="宋体" w:eastAsia="宋体" w:cs="宋体"/>
          <w:spacing w:val="39"/>
          <w:sz w:val="20"/>
          <w:szCs w:val="20"/>
        </w:rPr>
        <w:t xml:space="preserve"> </w:t>
      </w:r>
      <w:r>
        <w:rPr>
          <w:rFonts w:ascii="宋体" w:hAnsi="宋体" w:eastAsia="宋体" w:cs="宋体"/>
          <w:spacing w:val="-4"/>
          <w:sz w:val="20"/>
          <w:szCs w:val="20"/>
        </w:rPr>
        <w:t>，</w:t>
      </w:r>
      <w:r>
        <w:rPr>
          <w:rFonts w:ascii="宋体" w:hAnsi="宋体" w:eastAsia="宋体" w:cs="宋体"/>
          <w:spacing w:val="6"/>
          <w:sz w:val="20"/>
          <w:szCs w:val="20"/>
        </w:rPr>
        <w:t>从业人员</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人，营业收入为</w:t>
      </w:r>
      <w:r>
        <w:rPr>
          <w:rFonts w:ascii="宋体" w:hAnsi="宋体" w:eastAsia="宋体" w:cs="宋体"/>
          <w:spacing w:val="6"/>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6"/>
          <w:sz w:val="20"/>
          <w:szCs w:val="20"/>
        </w:rPr>
        <w:t>万元，资</w:t>
      </w:r>
      <w:r>
        <w:rPr>
          <w:rFonts w:ascii="宋体" w:hAnsi="宋体" w:eastAsia="宋体" w:cs="宋体"/>
          <w:spacing w:val="8"/>
          <w:sz w:val="20"/>
          <w:szCs w:val="20"/>
        </w:rPr>
        <w:t>产总额为</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8"/>
          <w:sz w:val="20"/>
          <w:szCs w:val="20"/>
        </w:rPr>
        <w:t>万元，属于</w:t>
      </w:r>
      <w:r>
        <w:rPr>
          <w:rFonts w:ascii="宋体" w:hAnsi="宋体" w:eastAsia="宋体" w:cs="宋体"/>
          <w:spacing w:val="8"/>
          <w:sz w:val="20"/>
          <w:szCs w:val="20"/>
          <w:u w:val="single" w:color="auto"/>
        </w:rPr>
        <w:t xml:space="preserve">   中型企业／小型企业／微型企业 </w:t>
      </w:r>
      <w:r>
        <w:rPr>
          <w:rFonts w:ascii="宋体" w:hAnsi="宋体" w:eastAsia="宋体" w:cs="宋体"/>
          <w:spacing w:val="8"/>
          <w:sz w:val="20"/>
          <w:szCs w:val="20"/>
        </w:rPr>
        <w:t>；</w:t>
      </w:r>
    </w:p>
    <w:p w14:paraId="7712FD2C">
      <w:pPr>
        <w:spacing w:line="324" w:lineRule="exact"/>
        <w:ind w:left="441"/>
        <w:rPr>
          <w:rFonts w:ascii="宋体" w:hAnsi="宋体" w:eastAsia="宋体" w:cs="宋体"/>
          <w:sz w:val="20"/>
          <w:szCs w:val="20"/>
        </w:rPr>
      </w:pPr>
      <w:r>
        <w:rPr>
          <w:rFonts w:ascii="宋体" w:hAnsi="宋体" w:eastAsia="宋体" w:cs="宋体"/>
          <w:spacing w:val="-2"/>
          <w:position w:val="2"/>
          <w:sz w:val="20"/>
          <w:szCs w:val="20"/>
        </w:rPr>
        <w:t>……</w:t>
      </w:r>
    </w:p>
    <w:p w14:paraId="4DE96E90">
      <w:pPr>
        <w:spacing w:before="70" w:line="363" w:lineRule="auto"/>
        <w:ind w:left="25" w:right="54" w:firstLine="426"/>
        <w:rPr>
          <w:rFonts w:ascii="宋体" w:hAnsi="宋体" w:eastAsia="宋体" w:cs="宋体"/>
          <w:sz w:val="20"/>
          <w:szCs w:val="20"/>
        </w:rPr>
      </w:pPr>
      <w:r>
        <w:rPr>
          <w:rFonts w:ascii="宋体" w:hAnsi="宋体" w:eastAsia="宋体" w:cs="宋体"/>
          <w:spacing w:val="11"/>
          <w:sz w:val="20"/>
          <w:szCs w:val="20"/>
        </w:rPr>
        <w:t>以上企业，不属于大企业的分支机构，不存在控股股东为大企业的情形，也不存在与大企业</w:t>
      </w:r>
      <w:r>
        <w:rPr>
          <w:rFonts w:ascii="宋体" w:hAnsi="宋体" w:eastAsia="宋体" w:cs="宋体"/>
          <w:spacing w:val="6"/>
          <w:sz w:val="20"/>
          <w:szCs w:val="20"/>
        </w:rPr>
        <w:t>的负责人为同一人的情形。</w:t>
      </w:r>
    </w:p>
    <w:p w14:paraId="67FAA8B4">
      <w:pPr>
        <w:spacing w:before="1" w:line="226" w:lineRule="auto"/>
        <w:ind w:left="429"/>
        <w:rPr>
          <w:rFonts w:ascii="宋体" w:hAnsi="宋体" w:eastAsia="宋体" w:cs="宋体"/>
          <w:sz w:val="20"/>
          <w:szCs w:val="20"/>
        </w:rPr>
      </w:pPr>
      <w:r>
        <w:rPr>
          <w:rFonts w:ascii="宋体" w:hAnsi="宋体" w:eastAsia="宋体" w:cs="宋体"/>
          <w:spacing w:val="9"/>
          <w:sz w:val="20"/>
          <w:szCs w:val="20"/>
        </w:rPr>
        <w:t>本企业对上述声明内容的真实性负责。如有虚假，将依法承担相应责任。</w:t>
      </w:r>
    </w:p>
    <w:p w14:paraId="001608BD">
      <w:pPr>
        <w:spacing w:line="278" w:lineRule="auto"/>
        <w:rPr>
          <w:rFonts w:ascii="Arial"/>
          <w:sz w:val="21"/>
        </w:rPr>
      </w:pPr>
    </w:p>
    <w:p w14:paraId="2BC11BB2">
      <w:pPr>
        <w:spacing w:line="278" w:lineRule="auto"/>
        <w:rPr>
          <w:rFonts w:ascii="Arial"/>
          <w:sz w:val="21"/>
        </w:rPr>
      </w:pPr>
    </w:p>
    <w:p w14:paraId="208730A4">
      <w:pPr>
        <w:spacing w:before="66" w:line="227" w:lineRule="auto"/>
        <w:ind w:left="3582"/>
        <w:rPr>
          <w:rFonts w:ascii="宋体" w:hAnsi="宋体" w:eastAsia="宋体" w:cs="宋体"/>
          <w:sz w:val="20"/>
          <w:szCs w:val="20"/>
        </w:rPr>
      </w:pPr>
      <w:r>
        <w:rPr>
          <w:rFonts w:ascii="宋体" w:hAnsi="宋体" w:eastAsia="宋体" w:cs="宋体"/>
          <w:spacing w:val="11"/>
          <w:sz w:val="20"/>
          <w:szCs w:val="20"/>
        </w:rPr>
        <w:t>投标人</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1"/>
          <w:sz w:val="20"/>
          <w:szCs w:val="20"/>
        </w:rPr>
        <w:t>盖单位章）</w:t>
      </w:r>
    </w:p>
    <w:p w14:paraId="38FE0348">
      <w:pPr>
        <w:spacing w:before="193" w:line="228" w:lineRule="auto"/>
        <w:ind w:left="3615"/>
        <w:rPr>
          <w:rFonts w:ascii="宋体" w:hAnsi="宋体" w:eastAsia="宋体" w:cs="宋体"/>
          <w:sz w:val="20"/>
          <w:szCs w:val="20"/>
        </w:rPr>
      </w:pPr>
      <w:r>
        <w:rPr>
          <w:rFonts w:ascii="宋体" w:hAnsi="宋体" w:eastAsia="宋体" w:cs="宋体"/>
          <w:spacing w:val="-6"/>
          <w:sz w:val="20"/>
          <w:szCs w:val="20"/>
        </w:rPr>
        <w:t>日</w:t>
      </w:r>
      <w:r>
        <w:rPr>
          <w:rFonts w:ascii="宋体" w:hAnsi="宋体" w:eastAsia="宋体" w:cs="宋体"/>
          <w:spacing w:val="12"/>
          <w:sz w:val="20"/>
          <w:szCs w:val="20"/>
        </w:rPr>
        <w:t xml:space="preserve">  </w:t>
      </w:r>
      <w:r>
        <w:rPr>
          <w:rFonts w:ascii="宋体" w:hAnsi="宋体" w:eastAsia="宋体" w:cs="宋体"/>
          <w:spacing w:val="-6"/>
          <w:sz w:val="20"/>
          <w:szCs w:val="20"/>
        </w:rPr>
        <w:t>期：</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6"/>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6"/>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6"/>
          <w:sz w:val="20"/>
          <w:szCs w:val="20"/>
        </w:rPr>
        <w:t>日</w:t>
      </w:r>
    </w:p>
    <w:p w14:paraId="7C2EEE34">
      <w:pPr>
        <w:spacing w:line="247" w:lineRule="auto"/>
        <w:rPr>
          <w:rFonts w:ascii="Arial"/>
          <w:sz w:val="21"/>
        </w:rPr>
      </w:pPr>
    </w:p>
    <w:p w14:paraId="15E6CC9C">
      <w:pPr>
        <w:spacing w:line="248" w:lineRule="auto"/>
        <w:rPr>
          <w:rFonts w:ascii="Arial"/>
          <w:sz w:val="21"/>
        </w:rPr>
      </w:pPr>
    </w:p>
    <w:p w14:paraId="67254AB9">
      <w:pPr>
        <w:spacing w:line="248" w:lineRule="auto"/>
        <w:rPr>
          <w:rFonts w:ascii="Arial"/>
          <w:sz w:val="21"/>
        </w:rPr>
      </w:pPr>
    </w:p>
    <w:p w14:paraId="0F717DF6">
      <w:pPr>
        <w:spacing w:line="248" w:lineRule="auto"/>
        <w:rPr>
          <w:rFonts w:ascii="Arial"/>
          <w:sz w:val="21"/>
        </w:rPr>
      </w:pPr>
    </w:p>
    <w:p w14:paraId="052D4820">
      <w:pPr>
        <w:spacing w:before="65" w:line="369" w:lineRule="auto"/>
        <w:ind w:left="847" w:right="54" w:hanging="836"/>
        <w:rPr>
          <w:rFonts w:ascii="宋体" w:hAnsi="宋体" w:eastAsia="宋体" w:cs="宋体"/>
          <w:sz w:val="20"/>
          <w:szCs w:val="20"/>
        </w:rPr>
      </w:pPr>
      <w:r>
        <w:rPr>
          <w:rFonts w:ascii="宋体" w:hAnsi="宋体" w:eastAsia="宋体" w:cs="宋体"/>
          <w:spacing w:val="11"/>
          <w:sz w:val="20"/>
          <w:szCs w:val="20"/>
        </w:rPr>
        <w:t>备注：1.政府采购工程的投标人应当如实提供中小企业声明函，中小微企业划型按照《中小企业</w:t>
      </w:r>
      <w:r>
        <w:rPr>
          <w:rFonts w:ascii="宋体" w:hAnsi="宋体" w:eastAsia="宋体" w:cs="宋体"/>
          <w:spacing w:val="7"/>
          <w:sz w:val="20"/>
          <w:szCs w:val="20"/>
        </w:rPr>
        <w:t>划型标准规定》（工信部联企业〔2011〕300</w:t>
      </w:r>
      <w:r>
        <w:rPr>
          <w:rFonts w:ascii="宋体" w:hAnsi="宋体" w:eastAsia="宋体" w:cs="宋体"/>
          <w:spacing w:val="-33"/>
          <w:sz w:val="20"/>
          <w:szCs w:val="20"/>
        </w:rPr>
        <w:t xml:space="preserve"> </w:t>
      </w:r>
      <w:r>
        <w:rPr>
          <w:rFonts w:ascii="宋体" w:hAnsi="宋体" w:eastAsia="宋体" w:cs="宋体"/>
          <w:spacing w:val="7"/>
          <w:sz w:val="20"/>
          <w:szCs w:val="20"/>
        </w:rPr>
        <w:t>号）执行，非政府采购工</w:t>
      </w:r>
      <w:r>
        <w:rPr>
          <w:rFonts w:ascii="宋体" w:hAnsi="宋体" w:eastAsia="宋体" w:cs="宋体"/>
          <w:spacing w:val="6"/>
          <w:sz w:val="20"/>
          <w:szCs w:val="20"/>
        </w:rPr>
        <w:t>程的无需提供中小企业声明函。</w:t>
      </w:r>
    </w:p>
    <w:p w14:paraId="6722B683">
      <w:pPr>
        <w:spacing w:before="5" w:line="369" w:lineRule="auto"/>
        <w:ind w:left="849" w:hanging="202"/>
        <w:rPr>
          <w:rFonts w:ascii="宋体" w:hAnsi="宋体" w:eastAsia="宋体" w:cs="宋体"/>
          <w:sz w:val="20"/>
          <w:szCs w:val="20"/>
        </w:rPr>
      </w:pPr>
      <w:r>
        <w:rPr>
          <w:rFonts w:ascii="宋体" w:hAnsi="宋体" w:eastAsia="宋体" w:cs="宋体"/>
          <w:spacing w:val="11"/>
          <w:sz w:val="20"/>
          <w:szCs w:val="20"/>
        </w:rPr>
        <w:t>2.从业人员、营业收入、资产总额填报上一年度数据，无上一年度数据的新成立企业可不</w:t>
      </w:r>
      <w:r>
        <w:rPr>
          <w:rFonts w:ascii="宋体" w:hAnsi="宋体" w:eastAsia="宋体" w:cs="宋体"/>
          <w:spacing w:val="8"/>
          <w:sz w:val="20"/>
          <w:szCs w:val="20"/>
        </w:rPr>
        <w:t>填报。投标截止日如在6</w:t>
      </w:r>
      <w:r>
        <w:rPr>
          <w:rFonts w:ascii="宋体" w:hAnsi="宋体" w:eastAsia="宋体" w:cs="宋体"/>
          <w:spacing w:val="-33"/>
          <w:sz w:val="20"/>
          <w:szCs w:val="20"/>
        </w:rPr>
        <w:t xml:space="preserve"> </w:t>
      </w:r>
      <w:r>
        <w:rPr>
          <w:rFonts w:ascii="宋体" w:hAnsi="宋体" w:eastAsia="宋体" w:cs="宋体"/>
          <w:spacing w:val="8"/>
          <w:sz w:val="20"/>
          <w:szCs w:val="20"/>
        </w:rPr>
        <w:t>月</w:t>
      </w:r>
      <w:r>
        <w:rPr>
          <w:rFonts w:ascii="宋体" w:hAnsi="宋体" w:eastAsia="宋体" w:cs="宋体"/>
          <w:spacing w:val="-35"/>
          <w:sz w:val="20"/>
          <w:szCs w:val="20"/>
        </w:rPr>
        <w:t xml:space="preserve"> </w:t>
      </w:r>
      <w:r>
        <w:rPr>
          <w:rFonts w:ascii="宋体" w:hAnsi="宋体" w:eastAsia="宋体" w:cs="宋体"/>
          <w:spacing w:val="8"/>
          <w:sz w:val="20"/>
          <w:szCs w:val="20"/>
        </w:rPr>
        <w:t>30 日以前，则上一年度数据是指上上个年度的数据，</w:t>
      </w:r>
      <w:r>
        <w:rPr>
          <w:rFonts w:ascii="宋体" w:hAnsi="宋体" w:eastAsia="宋体" w:cs="宋体"/>
          <w:spacing w:val="7"/>
          <w:sz w:val="20"/>
          <w:szCs w:val="20"/>
        </w:rPr>
        <w:t>例如投</w:t>
      </w:r>
      <w:r>
        <w:rPr>
          <w:rFonts w:ascii="宋体" w:hAnsi="宋体" w:eastAsia="宋体" w:cs="宋体"/>
          <w:spacing w:val="5"/>
          <w:sz w:val="20"/>
          <w:szCs w:val="20"/>
        </w:rPr>
        <w:t>标截止日为</w:t>
      </w:r>
      <w:r>
        <w:rPr>
          <w:rFonts w:ascii="宋体" w:hAnsi="宋体" w:eastAsia="宋体" w:cs="宋体"/>
          <w:spacing w:val="-37"/>
          <w:sz w:val="20"/>
          <w:szCs w:val="20"/>
        </w:rPr>
        <w:t xml:space="preserve"> </w:t>
      </w:r>
      <w:r>
        <w:rPr>
          <w:rFonts w:ascii="宋体" w:hAnsi="宋体" w:eastAsia="宋体" w:cs="宋体"/>
          <w:spacing w:val="5"/>
          <w:sz w:val="20"/>
          <w:szCs w:val="20"/>
        </w:rPr>
        <w:t>2026</w:t>
      </w:r>
      <w:r>
        <w:rPr>
          <w:rFonts w:ascii="宋体" w:hAnsi="宋体" w:eastAsia="宋体" w:cs="宋体"/>
          <w:spacing w:val="-40"/>
          <w:sz w:val="20"/>
          <w:szCs w:val="20"/>
        </w:rPr>
        <w:t xml:space="preserve"> </w:t>
      </w:r>
      <w:r>
        <w:rPr>
          <w:rFonts w:ascii="宋体" w:hAnsi="宋体" w:eastAsia="宋体" w:cs="宋体"/>
          <w:spacing w:val="5"/>
          <w:sz w:val="20"/>
          <w:szCs w:val="20"/>
        </w:rPr>
        <w:t>年</w:t>
      </w:r>
      <w:r>
        <w:rPr>
          <w:rFonts w:ascii="宋体" w:hAnsi="宋体" w:eastAsia="宋体" w:cs="宋体"/>
          <w:spacing w:val="-35"/>
          <w:sz w:val="20"/>
          <w:szCs w:val="20"/>
        </w:rPr>
        <w:t xml:space="preserve"> </w:t>
      </w:r>
      <w:r>
        <w:rPr>
          <w:rFonts w:ascii="宋体" w:hAnsi="宋体" w:eastAsia="宋体" w:cs="宋体"/>
          <w:spacing w:val="5"/>
          <w:sz w:val="20"/>
          <w:szCs w:val="20"/>
        </w:rPr>
        <w:t>6</w:t>
      </w:r>
      <w:r>
        <w:rPr>
          <w:rFonts w:ascii="宋体" w:hAnsi="宋体" w:eastAsia="宋体" w:cs="宋体"/>
          <w:spacing w:val="-35"/>
          <w:sz w:val="20"/>
          <w:szCs w:val="20"/>
        </w:rPr>
        <w:t xml:space="preserve"> </w:t>
      </w:r>
      <w:r>
        <w:rPr>
          <w:rFonts w:ascii="宋体" w:hAnsi="宋体" w:eastAsia="宋体" w:cs="宋体"/>
          <w:spacing w:val="5"/>
          <w:sz w:val="20"/>
          <w:szCs w:val="20"/>
        </w:rPr>
        <w:t>月</w:t>
      </w:r>
      <w:r>
        <w:rPr>
          <w:rFonts w:ascii="宋体" w:hAnsi="宋体" w:eastAsia="宋体" w:cs="宋体"/>
          <w:spacing w:val="-33"/>
          <w:sz w:val="20"/>
          <w:szCs w:val="20"/>
        </w:rPr>
        <w:t xml:space="preserve"> </w:t>
      </w:r>
      <w:r>
        <w:rPr>
          <w:rFonts w:ascii="宋体" w:hAnsi="宋体" w:eastAsia="宋体" w:cs="宋体"/>
          <w:spacing w:val="5"/>
          <w:sz w:val="20"/>
          <w:szCs w:val="20"/>
        </w:rPr>
        <w:t>30 日，上一年度数据是指</w:t>
      </w:r>
      <w:r>
        <w:rPr>
          <w:rFonts w:ascii="宋体" w:hAnsi="宋体" w:eastAsia="宋体" w:cs="宋体"/>
          <w:spacing w:val="-34"/>
          <w:sz w:val="20"/>
          <w:szCs w:val="20"/>
        </w:rPr>
        <w:t xml:space="preserve"> </w:t>
      </w:r>
      <w:r>
        <w:rPr>
          <w:rFonts w:ascii="宋体" w:hAnsi="宋体" w:eastAsia="宋体" w:cs="宋体"/>
          <w:spacing w:val="5"/>
          <w:sz w:val="20"/>
          <w:szCs w:val="20"/>
        </w:rPr>
        <w:t>2024</w:t>
      </w:r>
      <w:r>
        <w:rPr>
          <w:rFonts w:ascii="宋体" w:hAnsi="宋体" w:eastAsia="宋体" w:cs="宋体"/>
          <w:spacing w:val="-40"/>
          <w:sz w:val="20"/>
          <w:szCs w:val="20"/>
        </w:rPr>
        <w:t xml:space="preserve"> </w:t>
      </w:r>
      <w:r>
        <w:rPr>
          <w:rFonts w:ascii="宋体" w:hAnsi="宋体" w:eastAsia="宋体" w:cs="宋体"/>
          <w:spacing w:val="5"/>
          <w:sz w:val="20"/>
          <w:szCs w:val="20"/>
        </w:rPr>
        <w:t>年度的数</w:t>
      </w:r>
      <w:r>
        <w:rPr>
          <w:rFonts w:ascii="宋体" w:hAnsi="宋体" w:eastAsia="宋体" w:cs="宋体"/>
          <w:spacing w:val="4"/>
          <w:sz w:val="20"/>
          <w:szCs w:val="20"/>
        </w:rPr>
        <w:t>据。如投标截止日如在</w:t>
      </w:r>
      <w:r>
        <w:rPr>
          <w:rFonts w:ascii="宋体" w:hAnsi="宋体" w:eastAsia="宋体" w:cs="宋体"/>
          <w:spacing w:val="-1"/>
          <w:sz w:val="20"/>
          <w:szCs w:val="20"/>
        </w:rPr>
        <w:t>6</w:t>
      </w:r>
      <w:r>
        <w:rPr>
          <w:rFonts w:ascii="宋体" w:hAnsi="宋体" w:eastAsia="宋体" w:cs="宋体"/>
          <w:spacing w:val="-33"/>
          <w:sz w:val="20"/>
          <w:szCs w:val="20"/>
        </w:rPr>
        <w:t xml:space="preserve"> </w:t>
      </w:r>
      <w:r>
        <w:rPr>
          <w:rFonts w:ascii="宋体" w:hAnsi="宋体" w:eastAsia="宋体" w:cs="宋体"/>
          <w:spacing w:val="-1"/>
          <w:sz w:val="20"/>
          <w:szCs w:val="20"/>
        </w:rPr>
        <w:t>月</w:t>
      </w:r>
      <w:r>
        <w:rPr>
          <w:rFonts w:ascii="宋体" w:hAnsi="宋体" w:eastAsia="宋体" w:cs="宋体"/>
          <w:spacing w:val="-35"/>
          <w:sz w:val="20"/>
          <w:szCs w:val="20"/>
        </w:rPr>
        <w:t xml:space="preserve"> </w:t>
      </w:r>
      <w:r>
        <w:rPr>
          <w:rFonts w:ascii="宋体" w:hAnsi="宋体" w:eastAsia="宋体" w:cs="宋体"/>
          <w:spacing w:val="-1"/>
          <w:sz w:val="20"/>
          <w:szCs w:val="20"/>
        </w:rPr>
        <w:t>30 日以后，则上一年度数据是指上个年度数据</w:t>
      </w:r>
      <w:r>
        <w:rPr>
          <w:rFonts w:ascii="宋体" w:hAnsi="宋体" w:eastAsia="宋体" w:cs="宋体"/>
          <w:spacing w:val="-2"/>
          <w:sz w:val="20"/>
          <w:szCs w:val="20"/>
        </w:rPr>
        <w:t>，例如投标截止日为</w:t>
      </w:r>
      <w:r>
        <w:rPr>
          <w:rFonts w:ascii="宋体" w:hAnsi="宋体" w:eastAsia="宋体" w:cs="宋体"/>
          <w:spacing w:val="-34"/>
          <w:sz w:val="20"/>
          <w:szCs w:val="20"/>
        </w:rPr>
        <w:t xml:space="preserve"> </w:t>
      </w:r>
      <w:r>
        <w:rPr>
          <w:rFonts w:ascii="宋体" w:hAnsi="宋体" w:eastAsia="宋体" w:cs="宋体"/>
          <w:spacing w:val="-2"/>
          <w:sz w:val="20"/>
          <w:szCs w:val="20"/>
        </w:rPr>
        <w:t>2026</w:t>
      </w:r>
      <w:r>
        <w:rPr>
          <w:rFonts w:ascii="宋体" w:hAnsi="宋体" w:eastAsia="宋体" w:cs="宋体"/>
          <w:spacing w:val="-37"/>
          <w:sz w:val="20"/>
          <w:szCs w:val="20"/>
        </w:rPr>
        <w:t xml:space="preserve"> </w:t>
      </w:r>
      <w:r>
        <w:rPr>
          <w:rFonts w:ascii="宋体" w:hAnsi="宋体" w:eastAsia="宋体" w:cs="宋体"/>
          <w:spacing w:val="-2"/>
          <w:sz w:val="20"/>
          <w:szCs w:val="20"/>
        </w:rPr>
        <w:t>年</w:t>
      </w:r>
      <w:r>
        <w:rPr>
          <w:rFonts w:ascii="宋体" w:hAnsi="宋体" w:eastAsia="宋体" w:cs="宋体"/>
          <w:spacing w:val="-34"/>
          <w:sz w:val="20"/>
          <w:szCs w:val="20"/>
        </w:rPr>
        <w:t xml:space="preserve"> </w:t>
      </w:r>
      <w:r>
        <w:rPr>
          <w:rFonts w:ascii="宋体" w:hAnsi="宋体" w:eastAsia="宋体" w:cs="宋体"/>
          <w:spacing w:val="-2"/>
          <w:sz w:val="20"/>
          <w:szCs w:val="20"/>
        </w:rPr>
        <w:t>7</w:t>
      </w:r>
      <w:r>
        <w:rPr>
          <w:rFonts w:ascii="宋体" w:hAnsi="宋体" w:eastAsia="宋体" w:cs="宋体"/>
          <w:spacing w:val="-33"/>
          <w:sz w:val="20"/>
          <w:szCs w:val="20"/>
        </w:rPr>
        <w:t xml:space="preserve"> </w:t>
      </w:r>
      <w:r>
        <w:rPr>
          <w:rFonts w:ascii="宋体" w:hAnsi="宋体" w:eastAsia="宋体" w:cs="宋体"/>
          <w:spacing w:val="-2"/>
          <w:sz w:val="20"/>
          <w:szCs w:val="20"/>
        </w:rPr>
        <w:t>月</w:t>
      </w:r>
      <w:r>
        <w:rPr>
          <w:rFonts w:ascii="宋体" w:hAnsi="宋体" w:eastAsia="宋体" w:cs="宋体"/>
          <w:spacing w:val="-24"/>
          <w:sz w:val="20"/>
          <w:szCs w:val="20"/>
        </w:rPr>
        <w:t xml:space="preserve"> </w:t>
      </w:r>
      <w:r>
        <w:rPr>
          <w:rFonts w:ascii="宋体" w:hAnsi="宋体" w:eastAsia="宋体" w:cs="宋体"/>
          <w:spacing w:val="-2"/>
          <w:sz w:val="20"/>
          <w:szCs w:val="20"/>
        </w:rPr>
        <w:t>1 日，</w:t>
      </w:r>
      <w:r>
        <w:rPr>
          <w:rFonts w:ascii="宋体" w:hAnsi="宋体" w:eastAsia="宋体" w:cs="宋体"/>
          <w:spacing w:val="6"/>
          <w:sz w:val="20"/>
          <w:szCs w:val="20"/>
        </w:rPr>
        <w:t>上一年度数据是</w:t>
      </w:r>
      <w:r>
        <w:rPr>
          <w:rFonts w:ascii="宋体" w:hAnsi="宋体" w:eastAsia="宋体" w:cs="宋体"/>
          <w:spacing w:val="-30"/>
          <w:sz w:val="20"/>
          <w:szCs w:val="20"/>
        </w:rPr>
        <w:t xml:space="preserve"> </w:t>
      </w:r>
      <w:r>
        <w:rPr>
          <w:rFonts w:ascii="宋体" w:hAnsi="宋体" w:eastAsia="宋体" w:cs="宋体"/>
          <w:spacing w:val="6"/>
          <w:sz w:val="20"/>
          <w:szCs w:val="20"/>
        </w:rPr>
        <w:t>2025</w:t>
      </w:r>
      <w:r>
        <w:rPr>
          <w:rFonts w:ascii="宋体" w:hAnsi="宋体" w:eastAsia="宋体" w:cs="宋体"/>
          <w:spacing w:val="-39"/>
          <w:sz w:val="20"/>
          <w:szCs w:val="20"/>
        </w:rPr>
        <w:t xml:space="preserve"> </w:t>
      </w:r>
      <w:r>
        <w:rPr>
          <w:rFonts w:ascii="宋体" w:hAnsi="宋体" w:eastAsia="宋体" w:cs="宋体"/>
          <w:spacing w:val="6"/>
          <w:sz w:val="20"/>
          <w:szCs w:val="20"/>
        </w:rPr>
        <w:t>年度的数据。</w:t>
      </w:r>
    </w:p>
    <w:p w14:paraId="365F974B">
      <w:pPr>
        <w:spacing w:line="369" w:lineRule="auto"/>
        <w:rPr>
          <w:rFonts w:ascii="宋体" w:hAnsi="宋体" w:eastAsia="宋体" w:cs="宋体"/>
          <w:sz w:val="20"/>
          <w:szCs w:val="20"/>
        </w:rPr>
        <w:sectPr>
          <w:footerReference r:id="rId524" w:type="default"/>
          <w:pgSz w:w="11907" w:h="16840"/>
          <w:pgMar w:top="400" w:right="1477" w:bottom="1247" w:left="1473" w:header="0" w:footer="1085" w:gutter="0"/>
          <w:cols w:space="720" w:num="1"/>
        </w:sectPr>
      </w:pPr>
    </w:p>
    <w:p w14:paraId="2E510640">
      <w:pPr>
        <w:spacing w:line="263" w:lineRule="auto"/>
        <w:rPr>
          <w:rFonts w:ascii="Arial"/>
          <w:sz w:val="21"/>
        </w:rPr>
      </w:pPr>
    </w:p>
    <w:p w14:paraId="2F5342C1">
      <w:pPr>
        <w:spacing w:line="264" w:lineRule="auto"/>
        <w:rPr>
          <w:rFonts w:ascii="Arial"/>
          <w:sz w:val="21"/>
        </w:rPr>
      </w:pPr>
    </w:p>
    <w:p w14:paraId="55DB057F">
      <w:pPr>
        <w:spacing w:line="264" w:lineRule="auto"/>
        <w:rPr>
          <w:rFonts w:ascii="Arial"/>
          <w:sz w:val="21"/>
        </w:rPr>
      </w:pPr>
    </w:p>
    <w:p w14:paraId="0E74D0DC">
      <w:pPr>
        <w:spacing w:line="264" w:lineRule="auto"/>
        <w:rPr>
          <w:rFonts w:ascii="Arial"/>
          <w:sz w:val="21"/>
        </w:rPr>
      </w:pPr>
    </w:p>
    <w:p w14:paraId="3F3FC244">
      <w:pPr>
        <w:pStyle w:val="2"/>
        <w:spacing w:before="91" w:line="222" w:lineRule="auto"/>
        <w:ind w:left="5669"/>
        <w:outlineLvl w:val="1"/>
        <w:rPr>
          <w:sz w:val="28"/>
          <w:szCs w:val="28"/>
        </w:rPr>
      </w:pPr>
      <w:bookmarkStart w:id="421" w:name="bookmark402"/>
      <w:bookmarkEnd w:id="421"/>
      <w:r>
        <w:rPr>
          <w:spacing w:val="-2"/>
          <w:sz w:val="28"/>
          <w:szCs w:val="28"/>
        </w:rPr>
        <w:t>七、项目管理机构</w:t>
      </w:r>
    </w:p>
    <w:p w14:paraId="467ABE56">
      <w:pPr>
        <w:spacing w:line="332" w:lineRule="auto"/>
        <w:rPr>
          <w:rFonts w:ascii="Arial"/>
          <w:sz w:val="21"/>
        </w:rPr>
      </w:pPr>
    </w:p>
    <w:p w14:paraId="6F75038C">
      <w:pPr>
        <w:pStyle w:val="2"/>
        <w:spacing w:before="91" w:line="212" w:lineRule="auto"/>
        <w:ind w:left="4849"/>
        <w:outlineLvl w:val="2"/>
        <w:rPr>
          <w:sz w:val="28"/>
          <w:szCs w:val="28"/>
        </w:rPr>
      </w:pPr>
      <w:bookmarkStart w:id="422" w:name="bookmark403"/>
      <w:bookmarkEnd w:id="422"/>
      <w:r>
        <w:rPr>
          <w:spacing w:val="-3"/>
          <w:sz w:val="28"/>
          <w:szCs w:val="28"/>
        </w:rPr>
        <w:t>（一）项目管理机构主要人员表</w:t>
      </w:r>
    </w:p>
    <w:tbl>
      <w:tblPr>
        <w:tblStyle w:val="5"/>
        <w:tblW w:w="136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5"/>
        <w:gridCol w:w="1219"/>
        <w:gridCol w:w="790"/>
        <w:gridCol w:w="510"/>
        <w:gridCol w:w="720"/>
        <w:gridCol w:w="720"/>
        <w:gridCol w:w="1209"/>
        <w:gridCol w:w="552"/>
        <w:gridCol w:w="540"/>
        <w:gridCol w:w="540"/>
        <w:gridCol w:w="540"/>
        <w:gridCol w:w="1244"/>
        <w:gridCol w:w="622"/>
        <w:gridCol w:w="1064"/>
        <w:gridCol w:w="1066"/>
        <w:gridCol w:w="1079"/>
        <w:gridCol w:w="904"/>
      </w:tblGrid>
      <w:tr w14:paraId="34308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365" w:type="dxa"/>
            <w:vMerge w:val="restart"/>
            <w:tcBorders>
              <w:bottom w:val="nil"/>
            </w:tcBorders>
            <w:textDirection w:val="tbRlV"/>
            <w:vAlign w:val="top"/>
          </w:tcPr>
          <w:p w14:paraId="29178FC7">
            <w:pPr>
              <w:pStyle w:val="6"/>
              <w:spacing w:before="75" w:line="218" w:lineRule="auto"/>
              <w:ind w:left="184"/>
            </w:pPr>
            <w:r>
              <w:rPr>
                <w:spacing w:val="8"/>
              </w:rPr>
              <w:t>序</w:t>
            </w:r>
            <w:r>
              <w:rPr>
                <w:spacing w:val="-38"/>
              </w:rPr>
              <w:t xml:space="preserve"> </w:t>
            </w:r>
            <w:r>
              <w:rPr>
                <w:spacing w:val="8"/>
              </w:rPr>
              <w:t>号</w:t>
            </w:r>
          </w:p>
        </w:tc>
        <w:tc>
          <w:tcPr>
            <w:tcW w:w="1219" w:type="dxa"/>
            <w:vMerge w:val="restart"/>
            <w:tcBorders>
              <w:bottom w:val="nil"/>
            </w:tcBorders>
            <w:vAlign w:val="top"/>
          </w:tcPr>
          <w:p w14:paraId="622B8373">
            <w:pPr>
              <w:spacing w:line="304" w:lineRule="auto"/>
              <w:rPr>
                <w:rFonts w:ascii="Arial"/>
                <w:sz w:val="21"/>
              </w:rPr>
            </w:pPr>
          </w:p>
          <w:p w14:paraId="3C472812">
            <w:pPr>
              <w:pStyle w:val="6"/>
              <w:spacing w:before="65" w:line="228" w:lineRule="auto"/>
              <w:ind w:left="424"/>
            </w:pPr>
            <w:r>
              <w:rPr>
                <w:spacing w:val="-7"/>
              </w:rPr>
              <w:t>岗位</w:t>
            </w:r>
          </w:p>
        </w:tc>
        <w:tc>
          <w:tcPr>
            <w:tcW w:w="790" w:type="dxa"/>
            <w:vMerge w:val="restart"/>
            <w:tcBorders>
              <w:bottom w:val="nil"/>
            </w:tcBorders>
            <w:vAlign w:val="top"/>
          </w:tcPr>
          <w:p w14:paraId="54902C3B">
            <w:pPr>
              <w:spacing w:line="249" w:lineRule="auto"/>
              <w:rPr>
                <w:rFonts w:ascii="Arial"/>
                <w:sz w:val="21"/>
              </w:rPr>
            </w:pPr>
          </w:p>
          <w:p w14:paraId="4F96E309">
            <w:pPr>
              <w:pStyle w:val="6"/>
              <w:spacing w:before="65" w:line="228" w:lineRule="auto"/>
              <w:ind w:left="188"/>
            </w:pPr>
            <w:r>
              <w:rPr>
                <w:spacing w:val="4"/>
              </w:rPr>
              <w:t>姓名</w:t>
            </w:r>
          </w:p>
        </w:tc>
        <w:tc>
          <w:tcPr>
            <w:tcW w:w="510" w:type="dxa"/>
            <w:vMerge w:val="restart"/>
            <w:tcBorders>
              <w:bottom w:val="nil"/>
            </w:tcBorders>
            <w:vAlign w:val="top"/>
          </w:tcPr>
          <w:p w14:paraId="7108D5D4">
            <w:pPr>
              <w:spacing w:line="250" w:lineRule="auto"/>
              <w:rPr>
                <w:rFonts w:ascii="Arial"/>
                <w:sz w:val="21"/>
              </w:rPr>
            </w:pPr>
          </w:p>
          <w:p w14:paraId="548334F7">
            <w:pPr>
              <w:pStyle w:val="6"/>
              <w:spacing w:before="65" w:line="228" w:lineRule="auto"/>
              <w:ind w:left="51"/>
            </w:pPr>
            <w:r>
              <w:rPr>
                <w:spacing w:val="3"/>
              </w:rPr>
              <w:t>性别</w:t>
            </w:r>
          </w:p>
        </w:tc>
        <w:tc>
          <w:tcPr>
            <w:tcW w:w="720" w:type="dxa"/>
            <w:vMerge w:val="restart"/>
            <w:tcBorders>
              <w:bottom w:val="nil"/>
            </w:tcBorders>
            <w:vAlign w:val="top"/>
          </w:tcPr>
          <w:p w14:paraId="55438E6E">
            <w:pPr>
              <w:spacing w:line="249" w:lineRule="auto"/>
              <w:rPr>
                <w:rFonts w:ascii="Arial"/>
                <w:sz w:val="21"/>
              </w:rPr>
            </w:pPr>
          </w:p>
          <w:p w14:paraId="1CAF045F">
            <w:pPr>
              <w:pStyle w:val="6"/>
              <w:spacing w:before="65" w:line="228" w:lineRule="auto"/>
              <w:ind w:left="154"/>
            </w:pPr>
            <w:r>
              <w:rPr>
                <w:spacing w:val="4"/>
              </w:rPr>
              <w:t>年龄</w:t>
            </w:r>
          </w:p>
        </w:tc>
        <w:tc>
          <w:tcPr>
            <w:tcW w:w="720" w:type="dxa"/>
            <w:vMerge w:val="restart"/>
            <w:tcBorders>
              <w:bottom w:val="nil"/>
            </w:tcBorders>
            <w:vAlign w:val="top"/>
          </w:tcPr>
          <w:p w14:paraId="02031D2B">
            <w:pPr>
              <w:spacing w:line="249" w:lineRule="auto"/>
              <w:rPr>
                <w:rFonts w:ascii="Arial"/>
                <w:sz w:val="21"/>
              </w:rPr>
            </w:pPr>
          </w:p>
          <w:p w14:paraId="665744B4">
            <w:pPr>
              <w:pStyle w:val="6"/>
              <w:spacing w:before="65" w:line="229" w:lineRule="auto"/>
              <w:ind w:left="157"/>
            </w:pPr>
            <w:r>
              <w:rPr>
                <w:spacing w:val="2"/>
              </w:rPr>
              <w:t>学历</w:t>
            </w:r>
          </w:p>
        </w:tc>
        <w:tc>
          <w:tcPr>
            <w:tcW w:w="1209" w:type="dxa"/>
            <w:vMerge w:val="restart"/>
            <w:tcBorders>
              <w:bottom w:val="nil"/>
            </w:tcBorders>
            <w:vAlign w:val="top"/>
          </w:tcPr>
          <w:p w14:paraId="7CF0D339">
            <w:pPr>
              <w:spacing w:line="250" w:lineRule="auto"/>
              <w:rPr>
                <w:rFonts w:ascii="Arial"/>
                <w:sz w:val="21"/>
              </w:rPr>
            </w:pPr>
          </w:p>
          <w:p w14:paraId="19300AAF">
            <w:pPr>
              <w:pStyle w:val="6"/>
              <w:spacing w:before="65" w:line="228" w:lineRule="auto"/>
              <w:ind w:left="399"/>
            </w:pPr>
            <w:r>
              <w:rPr>
                <w:spacing w:val="4"/>
              </w:rPr>
              <w:t>专业</w:t>
            </w:r>
          </w:p>
        </w:tc>
        <w:tc>
          <w:tcPr>
            <w:tcW w:w="552" w:type="dxa"/>
            <w:vMerge w:val="restart"/>
            <w:tcBorders>
              <w:bottom w:val="nil"/>
            </w:tcBorders>
            <w:vAlign w:val="top"/>
          </w:tcPr>
          <w:p w14:paraId="454C42F2">
            <w:pPr>
              <w:pStyle w:val="6"/>
              <w:spacing w:before="47" w:line="228" w:lineRule="auto"/>
              <w:ind w:left="70"/>
            </w:pPr>
            <w:r>
              <w:rPr>
                <w:spacing w:val="4"/>
              </w:rPr>
              <w:t>专业</w:t>
            </w:r>
          </w:p>
          <w:p w14:paraId="46673A87">
            <w:pPr>
              <w:pStyle w:val="6"/>
              <w:spacing w:before="24" w:line="228" w:lineRule="auto"/>
              <w:ind w:left="72"/>
            </w:pPr>
            <w:r>
              <w:rPr>
                <w:spacing w:val="3"/>
              </w:rPr>
              <w:t>工作</w:t>
            </w:r>
          </w:p>
          <w:p w14:paraId="74846582">
            <w:pPr>
              <w:pStyle w:val="6"/>
              <w:spacing w:before="25" w:line="228" w:lineRule="auto"/>
              <w:ind w:left="70"/>
            </w:pPr>
            <w:r>
              <w:rPr>
                <w:spacing w:val="4"/>
              </w:rPr>
              <w:t>年限</w:t>
            </w:r>
          </w:p>
        </w:tc>
        <w:tc>
          <w:tcPr>
            <w:tcW w:w="1620" w:type="dxa"/>
            <w:gridSpan w:val="3"/>
            <w:vAlign w:val="top"/>
          </w:tcPr>
          <w:p w14:paraId="75841C29">
            <w:pPr>
              <w:pStyle w:val="6"/>
              <w:spacing w:before="109" w:line="228" w:lineRule="auto"/>
              <w:ind w:left="186"/>
            </w:pPr>
            <w:r>
              <w:rPr>
                <w:spacing w:val="8"/>
              </w:rPr>
              <w:t>专业技术职称</w:t>
            </w:r>
          </w:p>
        </w:tc>
        <w:tc>
          <w:tcPr>
            <w:tcW w:w="3996" w:type="dxa"/>
            <w:gridSpan w:val="4"/>
            <w:vAlign w:val="top"/>
          </w:tcPr>
          <w:p w14:paraId="0F39FC7C">
            <w:pPr>
              <w:pStyle w:val="6"/>
              <w:spacing w:before="159" w:line="228" w:lineRule="auto"/>
              <w:ind w:left="1058"/>
            </w:pPr>
            <w:r>
              <w:rPr>
                <w:spacing w:val="8"/>
              </w:rPr>
              <w:t>执业或职业资格证明</w:t>
            </w:r>
          </w:p>
        </w:tc>
        <w:tc>
          <w:tcPr>
            <w:tcW w:w="1079" w:type="dxa"/>
            <w:vMerge w:val="restart"/>
            <w:tcBorders>
              <w:bottom w:val="nil"/>
            </w:tcBorders>
            <w:vAlign w:val="top"/>
          </w:tcPr>
          <w:p w14:paraId="7CBD97AD">
            <w:pPr>
              <w:spacing w:line="304" w:lineRule="auto"/>
              <w:rPr>
                <w:rFonts w:ascii="Arial"/>
                <w:sz w:val="21"/>
              </w:rPr>
            </w:pPr>
          </w:p>
          <w:p w14:paraId="1DE8C721">
            <w:pPr>
              <w:pStyle w:val="6"/>
              <w:spacing w:before="65" w:line="227" w:lineRule="auto"/>
              <w:ind w:left="129"/>
            </w:pPr>
            <w:r>
              <w:rPr>
                <w:spacing w:val="6"/>
              </w:rPr>
              <w:t>社会保险</w:t>
            </w:r>
          </w:p>
        </w:tc>
        <w:tc>
          <w:tcPr>
            <w:tcW w:w="904" w:type="dxa"/>
            <w:vMerge w:val="restart"/>
            <w:tcBorders>
              <w:bottom w:val="nil"/>
            </w:tcBorders>
            <w:vAlign w:val="top"/>
          </w:tcPr>
          <w:p w14:paraId="00553935">
            <w:pPr>
              <w:pStyle w:val="6"/>
              <w:spacing w:before="159" w:line="228" w:lineRule="auto"/>
              <w:ind w:left="143"/>
            </w:pPr>
            <w:r>
              <w:rPr>
                <w:spacing w:val="3"/>
              </w:rPr>
              <w:t>执业、</w:t>
            </w:r>
          </w:p>
          <w:p w14:paraId="3B1DB0A9">
            <w:pPr>
              <w:pStyle w:val="6"/>
              <w:spacing w:before="173" w:line="228" w:lineRule="auto"/>
              <w:ind w:left="38"/>
            </w:pPr>
            <w:r>
              <w:rPr>
                <w:spacing w:val="7"/>
              </w:rPr>
              <w:t>职业单位</w:t>
            </w:r>
          </w:p>
        </w:tc>
      </w:tr>
      <w:tr w14:paraId="66BC8E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65" w:type="dxa"/>
            <w:vMerge w:val="continue"/>
            <w:tcBorders>
              <w:top w:val="nil"/>
            </w:tcBorders>
            <w:textDirection w:val="tbRlV"/>
            <w:vAlign w:val="top"/>
          </w:tcPr>
          <w:p w14:paraId="168BFDE7">
            <w:pPr>
              <w:rPr>
                <w:rFonts w:ascii="Arial"/>
                <w:sz w:val="21"/>
              </w:rPr>
            </w:pPr>
          </w:p>
        </w:tc>
        <w:tc>
          <w:tcPr>
            <w:tcW w:w="1219" w:type="dxa"/>
            <w:vMerge w:val="continue"/>
            <w:tcBorders>
              <w:top w:val="nil"/>
            </w:tcBorders>
            <w:vAlign w:val="top"/>
          </w:tcPr>
          <w:p w14:paraId="36E6C0DC">
            <w:pPr>
              <w:rPr>
                <w:rFonts w:ascii="Arial"/>
                <w:sz w:val="21"/>
              </w:rPr>
            </w:pPr>
          </w:p>
        </w:tc>
        <w:tc>
          <w:tcPr>
            <w:tcW w:w="790" w:type="dxa"/>
            <w:vMerge w:val="continue"/>
            <w:tcBorders>
              <w:top w:val="nil"/>
            </w:tcBorders>
            <w:vAlign w:val="top"/>
          </w:tcPr>
          <w:p w14:paraId="20604514">
            <w:pPr>
              <w:rPr>
                <w:rFonts w:ascii="Arial"/>
                <w:sz w:val="21"/>
              </w:rPr>
            </w:pPr>
          </w:p>
        </w:tc>
        <w:tc>
          <w:tcPr>
            <w:tcW w:w="510" w:type="dxa"/>
            <w:vMerge w:val="continue"/>
            <w:tcBorders>
              <w:top w:val="nil"/>
            </w:tcBorders>
            <w:vAlign w:val="top"/>
          </w:tcPr>
          <w:p w14:paraId="2B9F90F8">
            <w:pPr>
              <w:rPr>
                <w:rFonts w:ascii="Arial"/>
                <w:sz w:val="21"/>
              </w:rPr>
            </w:pPr>
          </w:p>
        </w:tc>
        <w:tc>
          <w:tcPr>
            <w:tcW w:w="720" w:type="dxa"/>
            <w:vMerge w:val="continue"/>
            <w:tcBorders>
              <w:top w:val="nil"/>
            </w:tcBorders>
            <w:vAlign w:val="top"/>
          </w:tcPr>
          <w:p w14:paraId="3846D486">
            <w:pPr>
              <w:rPr>
                <w:rFonts w:ascii="Arial"/>
                <w:sz w:val="21"/>
              </w:rPr>
            </w:pPr>
          </w:p>
        </w:tc>
        <w:tc>
          <w:tcPr>
            <w:tcW w:w="720" w:type="dxa"/>
            <w:vMerge w:val="continue"/>
            <w:tcBorders>
              <w:top w:val="nil"/>
            </w:tcBorders>
            <w:vAlign w:val="top"/>
          </w:tcPr>
          <w:p w14:paraId="2A49C5BA">
            <w:pPr>
              <w:rPr>
                <w:rFonts w:ascii="Arial"/>
                <w:sz w:val="21"/>
              </w:rPr>
            </w:pPr>
          </w:p>
        </w:tc>
        <w:tc>
          <w:tcPr>
            <w:tcW w:w="1209" w:type="dxa"/>
            <w:vMerge w:val="continue"/>
            <w:tcBorders>
              <w:top w:val="nil"/>
            </w:tcBorders>
            <w:vAlign w:val="top"/>
          </w:tcPr>
          <w:p w14:paraId="1C7B0B19">
            <w:pPr>
              <w:rPr>
                <w:rFonts w:ascii="Arial"/>
                <w:sz w:val="21"/>
              </w:rPr>
            </w:pPr>
          </w:p>
        </w:tc>
        <w:tc>
          <w:tcPr>
            <w:tcW w:w="552" w:type="dxa"/>
            <w:vMerge w:val="continue"/>
            <w:tcBorders>
              <w:top w:val="nil"/>
            </w:tcBorders>
            <w:vAlign w:val="top"/>
          </w:tcPr>
          <w:p w14:paraId="529E19C7">
            <w:pPr>
              <w:rPr>
                <w:rFonts w:ascii="Arial"/>
                <w:sz w:val="21"/>
              </w:rPr>
            </w:pPr>
          </w:p>
        </w:tc>
        <w:tc>
          <w:tcPr>
            <w:tcW w:w="540" w:type="dxa"/>
            <w:vAlign w:val="top"/>
          </w:tcPr>
          <w:p w14:paraId="0EC5A1D4">
            <w:pPr>
              <w:pStyle w:val="6"/>
              <w:spacing w:before="100" w:line="230" w:lineRule="auto"/>
              <w:ind w:left="64"/>
            </w:pPr>
            <w:r>
              <w:rPr>
                <w:spacing w:val="5"/>
              </w:rPr>
              <w:t>初级</w:t>
            </w:r>
          </w:p>
        </w:tc>
        <w:tc>
          <w:tcPr>
            <w:tcW w:w="540" w:type="dxa"/>
            <w:vAlign w:val="top"/>
          </w:tcPr>
          <w:p w14:paraId="628C9B5F">
            <w:pPr>
              <w:pStyle w:val="6"/>
              <w:spacing w:before="101" w:line="228" w:lineRule="auto"/>
              <w:ind w:left="84"/>
            </w:pPr>
            <w:r>
              <w:rPr>
                <w:spacing w:val="-5"/>
              </w:rPr>
              <w:t>中级</w:t>
            </w:r>
          </w:p>
        </w:tc>
        <w:tc>
          <w:tcPr>
            <w:tcW w:w="540" w:type="dxa"/>
            <w:vAlign w:val="top"/>
          </w:tcPr>
          <w:p w14:paraId="34BA4E54">
            <w:pPr>
              <w:pStyle w:val="6"/>
              <w:spacing w:before="100" w:line="228" w:lineRule="auto"/>
              <w:ind w:left="70"/>
            </w:pPr>
            <w:r>
              <w:rPr>
                <w:spacing w:val="2"/>
              </w:rPr>
              <w:t>高级</w:t>
            </w:r>
          </w:p>
        </w:tc>
        <w:tc>
          <w:tcPr>
            <w:tcW w:w="1244" w:type="dxa"/>
            <w:vAlign w:val="top"/>
          </w:tcPr>
          <w:p w14:paraId="13CB1DB2">
            <w:pPr>
              <w:pStyle w:val="6"/>
              <w:spacing w:before="100" w:line="227" w:lineRule="auto"/>
              <w:ind w:left="206"/>
            </w:pPr>
            <w:r>
              <w:rPr>
                <w:spacing w:val="7"/>
              </w:rPr>
              <w:t>证书名称</w:t>
            </w:r>
          </w:p>
        </w:tc>
        <w:tc>
          <w:tcPr>
            <w:tcW w:w="622" w:type="dxa"/>
            <w:vAlign w:val="top"/>
          </w:tcPr>
          <w:p w14:paraId="37BD2A88">
            <w:pPr>
              <w:pStyle w:val="6"/>
              <w:spacing w:before="101" w:line="228" w:lineRule="auto"/>
              <w:ind w:left="111"/>
            </w:pPr>
            <w:r>
              <w:rPr>
                <w:spacing w:val="3"/>
              </w:rPr>
              <w:t>级别</w:t>
            </w:r>
          </w:p>
        </w:tc>
        <w:tc>
          <w:tcPr>
            <w:tcW w:w="1064" w:type="dxa"/>
            <w:vAlign w:val="top"/>
          </w:tcPr>
          <w:p w14:paraId="58C58B96">
            <w:pPr>
              <w:pStyle w:val="6"/>
              <w:spacing w:before="100" w:line="229" w:lineRule="auto"/>
              <w:ind w:left="328"/>
            </w:pPr>
            <w:r>
              <w:rPr>
                <w:spacing w:val="4"/>
              </w:rPr>
              <w:t>证号</w:t>
            </w:r>
          </w:p>
        </w:tc>
        <w:tc>
          <w:tcPr>
            <w:tcW w:w="1066" w:type="dxa"/>
            <w:vAlign w:val="top"/>
          </w:tcPr>
          <w:p w14:paraId="231995B9">
            <w:pPr>
              <w:pStyle w:val="6"/>
              <w:spacing w:before="101" w:line="228" w:lineRule="auto"/>
              <w:ind w:left="330"/>
            </w:pPr>
            <w:r>
              <w:rPr>
                <w:spacing w:val="4"/>
              </w:rPr>
              <w:t>专业</w:t>
            </w:r>
          </w:p>
        </w:tc>
        <w:tc>
          <w:tcPr>
            <w:tcW w:w="1079" w:type="dxa"/>
            <w:vMerge w:val="continue"/>
            <w:tcBorders>
              <w:top w:val="nil"/>
            </w:tcBorders>
            <w:vAlign w:val="top"/>
          </w:tcPr>
          <w:p w14:paraId="6071E388">
            <w:pPr>
              <w:rPr>
                <w:rFonts w:ascii="Arial"/>
                <w:sz w:val="21"/>
              </w:rPr>
            </w:pPr>
          </w:p>
        </w:tc>
        <w:tc>
          <w:tcPr>
            <w:tcW w:w="904" w:type="dxa"/>
            <w:vMerge w:val="continue"/>
            <w:tcBorders>
              <w:top w:val="nil"/>
            </w:tcBorders>
            <w:vAlign w:val="top"/>
          </w:tcPr>
          <w:p w14:paraId="07AB3BF4">
            <w:pPr>
              <w:rPr>
                <w:rFonts w:ascii="Arial"/>
                <w:sz w:val="21"/>
              </w:rPr>
            </w:pPr>
          </w:p>
        </w:tc>
      </w:tr>
      <w:tr w14:paraId="1A6FA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6B8A199D">
            <w:pPr>
              <w:spacing w:before="153" w:line="195" w:lineRule="auto"/>
              <w:ind w:left="152"/>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219" w:type="dxa"/>
            <w:vAlign w:val="top"/>
          </w:tcPr>
          <w:p w14:paraId="35A82B78">
            <w:pPr>
              <w:rPr>
                <w:rFonts w:ascii="Arial"/>
                <w:sz w:val="21"/>
              </w:rPr>
            </w:pPr>
          </w:p>
        </w:tc>
        <w:tc>
          <w:tcPr>
            <w:tcW w:w="790" w:type="dxa"/>
            <w:vAlign w:val="top"/>
          </w:tcPr>
          <w:p w14:paraId="77320244">
            <w:pPr>
              <w:rPr>
                <w:rFonts w:ascii="Arial"/>
                <w:sz w:val="21"/>
              </w:rPr>
            </w:pPr>
          </w:p>
        </w:tc>
        <w:tc>
          <w:tcPr>
            <w:tcW w:w="510" w:type="dxa"/>
            <w:vAlign w:val="top"/>
          </w:tcPr>
          <w:p w14:paraId="06194ED9">
            <w:pPr>
              <w:rPr>
                <w:rFonts w:ascii="Arial"/>
                <w:sz w:val="21"/>
              </w:rPr>
            </w:pPr>
          </w:p>
        </w:tc>
        <w:tc>
          <w:tcPr>
            <w:tcW w:w="720" w:type="dxa"/>
            <w:vAlign w:val="top"/>
          </w:tcPr>
          <w:p w14:paraId="5753C03F">
            <w:pPr>
              <w:rPr>
                <w:rFonts w:ascii="Arial"/>
                <w:sz w:val="21"/>
              </w:rPr>
            </w:pPr>
          </w:p>
        </w:tc>
        <w:tc>
          <w:tcPr>
            <w:tcW w:w="720" w:type="dxa"/>
            <w:vAlign w:val="top"/>
          </w:tcPr>
          <w:p w14:paraId="12488F50">
            <w:pPr>
              <w:rPr>
                <w:rFonts w:ascii="Arial"/>
                <w:sz w:val="21"/>
              </w:rPr>
            </w:pPr>
          </w:p>
        </w:tc>
        <w:tc>
          <w:tcPr>
            <w:tcW w:w="1209" w:type="dxa"/>
            <w:vAlign w:val="top"/>
          </w:tcPr>
          <w:p w14:paraId="34DA7EB4">
            <w:pPr>
              <w:rPr>
                <w:rFonts w:ascii="Arial"/>
                <w:sz w:val="21"/>
              </w:rPr>
            </w:pPr>
          </w:p>
        </w:tc>
        <w:tc>
          <w:tcPr>
            <w:tcW w:w="552" w:type="dxa"/>
            <w:vAlign w:val="top"/>
          </w:tcPr>
          <w:p w14:paraId="4D381037">
            <w:pPr>
              <w:rPr>
                <w:rFonts w:ascii="Arial"/>
                <w:sz w:val="21"/>
              </w:rPr>
            </w:pPr>
          </w:p>
        </w:tc>
        <w:tc>
          <w:tcPr>
            <w:tcW w:w="540" w:type="dxa"/>
            <w:vAlign w:val="top"/>
          </w:tcPr>
          <w:p w14:paraId="645ED977">
            <w:pPr>
              <w:rPr>
                <w:rFonts w:ascii="Arial"/>
                <w:sz w:val="21"/>
              </w:rPr>
            </w:pPr>
          </w:p>
        </w:tc>
        <w:tc>
          <w:tcPr>
            <w:tcW w:w="540" w:type="dxa"/>
            <w:vAlign w:val="top"/>
          </w:tcPr>
          <w:p w14:paraId="1C20E390">
            <w:pPr>
              <w:rPr>
                <w:rFonts w:ascii="Arial"/>
                <w:sz w:val="21"/>
              </w:rPr>
            </w:pPr>
          </w:p>
        </w:tc>
        <w:tc>
          <w:tcPr>
            <w:tcW w:w="540" w:type="dxa"/>
            <w:vAlign w:val="top"/>
          </w:tcPr>
          <w:p w14:paraId="29F02EE0">
            <w:pPr>
              <w:rPr>
                <w:rFonts w:ascii="Arial"/>
                <w:sz w:val="21"/>
              </w:rPr>
            </w:pPr>
          </w:p>
        </w:tc>
        <w:tc>
          <w:tcPr>
            <w:tcW w:w="1244" w:type="dxa"/>
            <w:vAlign w:val="top"/>
          </w:tcPr>
          <w:p w14:paraId="25C38A9A">
            <w:pPr>
              <w:rPr>
                <w:rFonts w:ascii="Arial"/>
                <w:sz w:val="21"/>
              </w:rPr>
            </w:pPr>
          </w:p>
        </w:tc>
        <w:tc>
          <w:tcPr>
            <w:tcW w:w="622" w:type="dxa"/>
            <w:vAlign w:val="top"/>
          </w:tcPr>
          <w:p w14:paraId="19AA6B72">
            <w:pPr>
              <w:rPr>
                <w:rFonts w:ascii="Arial"/>
                <w:sz w:val="21"/>
              </w:rPr>
            </w:pPr>
          </w:p>
        </w:tc>
        <w:tc>
          <w:tcPr>
            <w:tcW w:w="1064" w:type="dxa"/>
            <w:vAlign w:val="top"/>
          </w:tcPr>
          <w:p w14:paraId="66686E8B">
            <w:pPr>
              <w:rPr>
                <w:rFonts w:ascii="Arial"/>
                <w:sz w:val="21"/>
              </w:rPr>
            </w:pPr>
          </w:p>
        </w:tc>
        <w:tc>
          <w:tcPr>
            <w:tcW w:w="1066" w:type="dxa"/>
            <w:vAlign w:val="top"/>
          </w:tcPr>
          <w:p w14:paraId="68051BAC">
            <w:pPr>
              <w:rPr>
                <w:rFonts w:ascii="Arial"/>
                <w:sz w:val="21"/>
              </w:rPr>
            </w:pPr>
          </w:p>
        </w:tc>
        <w:tc>
          <w:tcPr>
            <w:tcW w:w="1079" w:type="dxa"/>
            <w:vAlign w:val="top"/>
          </w:tcPr>
          <w:p w14:paraId="4E9317C9">
            <w:pPr>
              <w:rPr>
                <w:rFonts w:ascii="Arial"/>
                <w:sz w:val="21"/>
              </w:rPr>
            </w:pPr>
          </w:p>
        </w:tc>
        <w:tc>
          <w:tcPr>
            <w:tcW w:w="904" w:type="dxa"/>
            <w:vAlign w:val="top"/>
          </w:tcPr>
          <w:p w14:paraId="3077E561">
            <w:pPr>
              <w:rPr>
                <w:rFonts w:ascii="Arial"/>
                <w:sz w:val="21"/>
              </w:rPr>
            </w:pPr>
          </w:p>
        </w:tc>
      </w:tr>
      <w:tr w14:paraId="32C9A9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75502286">
            <w:pPr>
              <w:spacing w:before="156" w:line="195" w:lineRule="auto"/>
              <w:ind w:left="13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219" w:type="dxa"/>
            <w:vAlign w:val="top"/>
          </w:tcPr>
          <w:p w14:paraId="77A5C2B5">
            <w:pPr>
              <w:rPr>
                <w:rFonts w:ascii="Arial"/>
                <w:sz w:val="21"/>
              </w:rPr>
            </w:pPr>
          </w:p>
        </w:tc>
        <w:tc>
          <w:tcPr>
            <w:tcW w:w="790" w:type="dxa"/>
            <w:vAlign w:val="top"/>
          </w:tcPr>
          <w:p w14:paraId="02A3BCD3">
            <w:pPr>
              <w:rPr>
                <w:rFonts w:ascii="Arial"/>
                <w:sz w:val="21"/>
              </w:rPr>
            </w:pPr>
          </w:p>
        </w:tc>
        <w:tc>
          <w:tcPr>
            <w:tcW w:w="510" w:type="dxa"/>
            <w:vAlign w:val="top"/>
          </w:tcPr>
          <w:p w14:paraId="21D17605">
            <w:pPr>
              <w:rPr>
                <w:rFonts w:ascii="Arial"/>
                <w:sz w:val="21"/>
              </w:rPr>
            </w:pPr>
          </w:p>
        </w:tc>
        <w:tc>
          <w:tcPr>
            <w:tcW w:w="720" w:type="dxa"/>
            <w:vAlign w:val="top"/>
          </w:tcPr>
          <w:p w14:paraId="1E3AF6D9">
            <w:pPr>
              <w:rPr>
                <w:rFonts w:ascii="Arial"/>
                <w:sz w:val="21"/>
              </w:rPr>
            </w:pPr>
          </w:p>
        </w:tc>
        <w:tc>
          <w:tcPr>
            <w:tcW w:w="720" w:type="dxa"/>
            <w:vAlign w:val="top"/>
          </w:tcPr>
          <w:p w14:paraId="10D9054E">
            <w:pPr>
              <w:rPr>
                <w:rFonts w:ascii="Arial"/>
                <w:sz w:val="21"/>
              </w:rPr>
            </w:pPr>
          </w:p>
        </w:tc>
        <w:tc>
          <w:tcPr>
            <w:tcW w:w="1209" w:type="dxa"/>
            <w:vAlign w:val="top"/>
          </w:tcPr>
          <w:p w14:paraId="2265F2A9">
            <w:pPr>
              <w:rPr>
                <w:rFonts w:ascii="Arial"/>
                <w:sz w:val="21"/>
              </w:rPr>
            </w:pPr>
          </w:p>
        </w:tc>
        <w:tc>
          <w:tcPr>
            <w:tcW w:w="552" w:type="dxa"/>
            <w:vAlign w:val="top"/>
          </w:tcPr>
          <w:p w14:paraId="7B46FC0E">
            <w:pPr>
              <w:rPr>
                <w:rFonts w:ascii="Arial"/>
                <w:sz w:val="21"/>
              </w:rPr>
            </w:pPr>
          </w:p>
        </w:tc>
        <w:tc>
          <w:tcPr>
            <w:tcW w:w="540" w:type="dxa"/>
            <w:vAlign w:val="top"/>
          </w:tcPr>
          <w:p w14:paraId="12CB2CA8">
            <w:pPr>
              <w:rPr>
                <w:rFonts w:ascii="Arial"/>
                <w:sz w:val="21"/>
              </w:rPr>
            </w:pPr>
          </w:p>
        </w:tc>
        <w:tc>
          <w:tcPr>
            <w:tcW w:w="540" w:type="dxa"/>
            <w:vAlign w:val="top"/>
          </w:tcPr>
          <w:p w14:paraId="754B2CA0">
            <w:pPr>
              <w:rPr>
                <w:rFonts w:ascii="Arial"/>
                <w:sz w:val="21"/>
              </w:rPr>
            </w:pPr>
          </w:p>
        </w:tc>
        <w:tc>
          <w:tcPr>
            <w:tcW w:w="540" w:type="dxa"/>
            <w:vAlign w:val="top"/>
          </w:tcPr>
          <w:p w14:paraId="65DCAC52">
            <w:pPr>
              <w:rPr>
                <w:rFonts w:ascii="Arial"/>
                <w:sz w:val="21"/>
              </w:rPr>
            </w:pPr>
          </w:p>
        </w:tc>
        <w:tc>
          <w:tcPr>
            <w:tcW w:w="1244" w:type="dxa"/>
            <w:vAlign w:val="top"/>
          </w:tcPr>
          <w:p w14:paraId="1FC7C447">
            <w:pPr>
              <w:rPr>
                <w:rFonts w:ascii="Arial"/>
                <w:sz w:val="21"/>
              </w:rPr>
            </w:pPr>
          </w:p>
        </w:tc>
        <w:tc>
          <w:tcPr>
            <w:tcW w:w="622" w:type="dxa"/>
            <w:vAlign w:val="top"/>
          </w:tcPr>
          <w:p w14:paraId="04C265F3">
            <w:pPr>
              <w:rPr>
                <w:rFonts w:ascii="Arial"/>
                <w:sz w:val="21"/>
              </w:rPr>
            </w:pPr>
          </w:p>
        </w:tc>
        <w:tc>
          <w:tcPr>
            <w:tcW w:w="1064" w:type="dxa"/>
            <w:vAlign w:val="top"/>
          </w:tcPr>
          <w:p w14:paraId="2B02167B">
            <w:pPr>
              <w:rPr>
                <w:rFonts w:ascii="Arial"/>
                <w:sz w:val="21"/>
              </w:rPr>
            </w:pPr>
          </w:p>
        </w:tc>
        <w:tc>
          <w:tcPr>
            <w:tcW w:w="1066" w:type="dxa"/>
            <w:vAlign w:val="top"/>
          </w:tcPr>
          <w:p w14:paraId="3EFB3831">
            <w:pPr>
              <w:rPr>
                <w:rFonts w:ascii="Arial"/>
                <w:sz w:val="21"/>
              </w:rPr>
            </w:pPr>
          </w:p>
        </w:tc>
        <w:tc>
          <w:tcPr>
            <w:tcW w:w="1079" w:type="dxa"/>
            <w:vAlign w:val="top"/>
          </w:tcPr>
          <w:p w14:paraId="62F7477A">
            <w:pPr>
              <w:rPr>
                <w:rFonts w:ascii="Arial"/>
                <w:sz w:val="21"/>
              </w:rPr>
            </w:pPr>
          </w:p>
        </w:tc>
        <w:tc>
          <w:tcPr>
            <w:tcW w:w="904" w:type="dxa"/>
            <w:vAlign w:val="top"/>
          </w:tcPr>
          <w:p w14:paraId="5BB1F2DB">
            <w:pPr>
              <w:rPr>
                <w:rFonts w:ascii="Arial"/>
                <w:sz w:val="21"/>
              </w:rPr>
            </w:pPr>
          </w:p>
        </w:tc>
      </w:tr>
      <w:tr w14:paraId="05CC9D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6B863225">
            <w:pPr>
              <w:spacing w:before="156" w:line="195" w:lineRule="auto"/>
              <w:ind w:left="136"/>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219" w:type="dxa"/>
            <w:vAlign w:val="top"/>
          </w:tcPr>
          <w:p w14:paraId="5720B5DA">
            <w:pPr>
              <w:rPr>
                <w:rFonts w:ascii="Arial"/>
                <w:sz w:val="21"/>
              </w:rPr>
            </w:pPr>
          </w:p>
        </w:tc>
        <w:tc>
          <w:tcPr>
            <w:tcW w:w="790" w:type="dxa"/>
            <w:vAlign w:val="top"/>
          </w:tcPr>
          <w:p w14:paraId="34A6F3C9">
            <w:pPr>
              <w:rPr>
                <w:rFonts w:ascii="Arial"/>
                <w:sz w:val="21"/>
              </w:rPr>
            </w:pPr>
          </w:p>
        </w:tc>
        <w:tc>
          <w:tcPr>
            <w:tcW w:w="510" w:type="dxa"/>
            <w:vAlign w:val="top"/>
          </w:tcPr>
          <w:p w14:paraId="661A3F93">
            <w:pPr>
              <w:rPr>
                <w:rFonts w:ascii="Arial"/>
                <w:sz w:val="21"/>
              </w:rPr>
            </w:pPr>
          </w:p>
        </w:tc>
        <w:tc>
          <w:tcPr>
            <w:tcW w:w="720" w:type="dxa"/>
            <w:vAlign w:val="top"/>
          </w:tcPr>
          <w:p w14:paraId="45F218B1">
            <w:pPr>
              <w:rPr>
                <w:rFonts w:ascii="Arial"/>
                <w:sz w:val="21"/>
              </w:rPr>
            </w:pPr>
          </w:p>
        </w:tc>
        <w:tc>
          <w:tcPr>
            <w:tcW w:w="720" w:type="dxa"/>
            <w:vAlign w:val="top"/>
          </w:tcPr>
          <w:p w14:paraId="0A7A3C6A">
            <w:pPr>
              <w:rPr>
                <w:rFonts w:ascii="Arial"/>
                <w:sz w:val="21"/>
              </w:rPr>
            </w:pPr>
          </w:p>
        </w:tc>
        <w:tc>
          <w:tcPr>
            <w:tcW w:w="1209" w:type="dxa"/>
            <w:vAlign w:val="top"/>
          </w:tcPr>
          <w:p w14:paraId="23443B4D">
            <w:pPr>
              <w:rPr>
                <w:rFonts w:ascii="Arial"/>
                <w:sz w:val="21"/>
              </w:rPr>
            </w:pPr>
          </w:p>
        </w:tc>
        <w:tc>
          <w:tcPr>
            <w:tcW w:w="552" w:type="dxa"/>
            <w:vAlign w:val="top"/>
          </w:tcPr>
          <w:p w14:paraId="4F38078D">
            <w:pPr>
              <w:rPr>
                <w:rFonts w:ascii="Arial"/>
                <w:sz w:val="21"/>
              </w:rPr>
            </w:pPr>
          </w:p>
        </w:tc>
        <w:tc>
          <w:tcPr>
            <w:tcW w:w="540" w:type="dxa"/>
            <w:vAlign w:val="top"/>
          </w:tcPr>
          <w:p w14:paraId="0D109D9A">
            <w:pPr>
              <w:rPr>
                <w:rFonts w:ascii="Arial"/>
                <w:sz w:val="21"/>
              </w:rPr>
            </w:pPr>
          </w:p>
        </w:tc>
        <w:tc>
          <w:tcPr>
            <w:tcW w:w="540" w:type="dxa"/>
            <w:vAlign w:val="top"/>
          </w:tcPr>
          <w:p w14:paraId="25E94C52">
            <w:pPr>
              <w:rPr>
                <w:rFonts w:ascii="Arial"/>
                <w:sz w:val="21"/>
              </w:rPr>
            </w:pPr>
          </w:p>
        </w:tc>
        <w:tc>
          <w:tcPr>
            <w:tcW w:w="540" w:type="dxa"/>
            <w:vAlign w:val="top"/>
          </w:tcPr>
          <w:p w14:paraId="28BEB863">
            <w:pPr>
              <w:rPr>
                <w:rFonts w:ascii="Arial"/>
                <w:sz w:val="21"/>
              </w:rPr>
            </w:pPr>
          </w:p>
        </w:tc>
        <w:tc>
          <w:tcPr>
            <w:tcW w:w="1244" w:type="dxa"/>
            <w:vAlign w:val="top"/>
          </w:tcPr>
          <w:p w14:paraId="1CA18F9E">
            <w:pPr>
              <w:rPr>
                <w:rFonts w:ascii="Arial"/>
                <w:sz w:val="21"/>
              </w:rPr>
            </w:pPr>
          </w:p>
        </w:tc>
        <w:tc>
          <w:tcPr>
            <w:tcW w:w="622" w:type="dxa"/>
            <w:vAlign w:val="top"/>
          </w:tcPr>
          <w:p w14:paraId="429B3CAD">
            <w:pPr>
              <w:rPr>
                <w:rFonts w:ascii="Arial"/>
                <w:sz w:val="21"/>
              </w:rPr>
            </w:pPr>
          </w:p>
        </w:tc>
        <w:tc>
          <w:tcPr>
            <w:tcW w:w="1064" w:type="dxa"/>
            <w:vAlign w:val="top"/>
          </w:tcPr>
          <w:p w14:paraId="005F37B8">
            <w:pPr>
              <w:rPr>
                <w:rFonts w:ascii="Arial"/>
                <w:sz w:val="21"/>
              </w:rPr>
            </w:pPr>
          </w:p>
        </w:tc>
        <w:tc>
          <w:tcPr>
            <w:tcW w:w="1066" w:type="dxa"/>
            <w:vAlign w:val="top"/>
          </w:tcPr>
          <w:p w14:paraId="71129FCF">
            <w:pPr>
              <w:rPr>
                <w:rFonts w:ascii="Arial"/>
                <w:sz w:val="21"/>
              </w:rPr>
            </w:pPr>
          </w:p>
        </w:tc>
        <w:tc>
          <w:tcPr>
            <w:tcW w:w="1079" w:type="dxa"/>
            <w:vAlign w:val="top"/>
          </w:tcPr>
          <w:p w14:paraId="0EF47C28">
            <w:pPr>
              <w:rPr>
                <w:rFonts w:ascii="Arial"/>
                <w:sz w:val="21"/>
              </w:rPr>
            </w:pPr>
          </w:p>
        </w:tc>
        <w:tc>
          <w:tcPr>
            <w:tcW w:w="904" w:type="dxa"/>
            <w:vAlign w:val="top"/>
          </w:tcPr>
          <w:p w14:paraId="455D4411">
            <w:pPr>
              <w:rPr>
                <w:rFonts w:ascii="Arial"/>
                <w:sz w:val="21"/>
              </w:rPr>
            </w:pPr>
          </w:p>
        </w:tc>
      </w:tr>
      <w:tr w14:paraId="60BD1E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37C72A2F">
            <w:pPr>
              <w:spacing w:before="156" w:line="195" w:lineRule="auto"/>
              <w:ind w:left="13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219" w:type="dxa"/>
            <w:vAlign w:val="top"/>
          </w:tcPr>
          <w:p w14:paraId="171E8A61">
            <w:pPr>
              <w:rPr>
                <w:rFonts w:ascii="Arial"/>
                <w:sz w:val="21"/>
              </w:rPr>
            </w:pPr>
          </w:p>
        </w:tc>
        <w:tc>
          <w:tcPr>
            <w:tcW w:w="790" w:type="dxa"/>
            <w:vAlign w:val="top"/>
          </w:tcPr>
          <w:p w14:paraId="5481FAE6">
            <w:pPr>
              <w:rPr>
                <w:rFonts w:ascii="Arial"/>
                <w:sz w:val="21"/>
              </w:rPr>
            </w:pPr>
          </w:p>
        </w:tc>
        <w:tc>
          <w:tcPr>
            <w:tcW w:w="510" w:type="dxa"/>
            <w:vAlign w:val="top"/>
          </w:tcPr>
          <w:p w14:paraId="6D14B68B">
            <w:pPr>
              <w:rPr>
                <w:rFonts w:ascii="Arial"/>
                <w:sz w:val="21"/>
              </w:rPr>
            </w:pPr>
          </w:p>
        </w:tc>
        <w:tc>
          <w:tcPr>
            <w:tcW w:w="720" w:type="dxa"/>
            <w:vAlign w:val="top"/>
          </w:tcPr>
          <w:p w14:paraId="4B655BE9">
            <w:pPr>
              <w:rPr>
                <w:rFonts w:ascii="Arial"/>
                <w:sz w:val="21"/>
              </w:rPr>
            </w:pPr>
          </w:p>
        </w:tc>
        <w:tc>
          <w:tcPr>
            <w:tcW w:w="720" w:type="dxa"/>
            <w:vAlign w:val="top"/>
          </w:tcPr>
          <w:p w14:paraId="38A6DD5E">
            <w:pPr>
              <w:rPr>
                <w:rFonts w:ascii="Arial"/>
                <w:sz w:val="21"/>
              </w:rPr>
            </w:pPr>
          </w:p>
        </w:tc>
        <w:tc>
          <w:tcPr>
            <w:tcW w:w="1209" w:type="dxa"/>
            <w:vAlign w:val="top"/>
          </w:tcPr>
          <w:p w14:paraId="5790B318">
            <w:pPr>
              <w:rPr>
                <w:rFonts w:ascii="Arial"/>
                <w:sz w:val="21"/>
              </w:rPr>
            </w:pPr>
          </w:p>
        </w:tc>
        <w:tc>
          <w:tcPr>
            <w:tcW w:w="552" w:type="dxa"/>
            <w:vAlign w:val="top"/>
          </w:tcPr>
          <w:p w14:paraId="6C2DD3FE">
            <w:pPr>
              <w:rPr>
                <w:rFonts w:ascii="Arial"/>
                <w:sz w:val="21"/>
              </w:rPr>
            </w:pPr>
          </w:p>
        </w:tc>
        <w:tc>
          <w:tcPr>
            <w:tcW w:w="540" w:type="dxa"/>
            <w:vAlign w:val="top"/>
          </w:tcPr>
          <w:p w14:paraId="12603B5C">
            <w:pPr>
              <w:rPr>
                <w:rFonts w:ascii="Arial"/>
                <w:sz w:val="21"/>
              </w:rPr>
            </w:pPr>
          </w:p>
        </w:tc>
        <w:tc>
          <w:tcPr>
            <w:tcW w:w="540" w:type="dxa"/>
            <w:vAlign w:val="top"/>
          </w:tcPr>
          <w:p w14:paraId="71EAC9B9">
            <w:pPr>
              <w:rPr>
                <w:rFonts w:ascii="Arial"/>
                <w:sz w:val="21"/>
              </w:rPr>
            </w:pPr>
          </w:p>
        </w:tc>
        <w:tc>
          <w:tcPr>
            <w:tcW w:w="540" w:type="dxa"/>
            <w:vAlign w:val="top"/>
          </w:tcPr>
          <w:p w14:paraId="55BE478A">
            <w:pPr>
              <w:rPr>
                <w:rFonts w:ascii="Arial"/>
                <w:sz w:val="21"/>
              </w:rPr>
            </w:pPr>
          </w:p>
        </w:tc>
        <w:tc>
          <w:tcPr>
            <w:tcW w:w="1244" w:type="dxa"/>
            <w:vAlign w:val="top"/>
          </w:tcPr>
          <w:p w14:paraId="12520E1B">
            <w:pPr>
              <w:rPr>
                <w:rFonts w:ascii="Arial"/>
                <w:sz w:val="21"/>
              </w:rPr>
            </w:pPr>
          </w:p>
        </w:tc>
        <w:tc>
          <w:tcPr>
            <w:tcW w:w="622" w:type="dxa"/>
            <w:vAlign w:val="top"/>
          </w:tcPr>
          <w:p w14:paraId="01B44AAC">
            <w:pPr>
              <w:rPr>
                <w:rFonts w:ascii="Arial"/>
                <w:sz w:val="21"/>
              </w:rPr>
            </w:pPr>
          </w:p>
        </w:tc>
        <w:tc>
          <w:tcPr>
            <w:tcW w:w="1064" w:type="dxa"/>
            <w:vAlign w:val="top"/>
          </w:tcPr>
          <w:p w14:paraId="4F10D6C8">
            <w:pPr>
              <w:rPr>
                <w:rFonts w:ascii="Arial"/>
                <w:sz w:val="21"/>
              </w:rPr>
            </w:pPr>
          </w:p>
        </w:tc>
        <w:tc>
          <w:tcPr>
            <w:tcW w:w="1066" w:type="dxa"/>
            <w:vAlign w:val="top"/>
          </w:tcPr>
          <w:p w14:paraId="2C77EE31">
            <w:pPr>
              <w:rPr>
                <w:rFonts w:ascii="Arial"/>
                <w:sz w:val="21"/>
              </w:rPr>
            </w:pPr>
          </w:p>
        </w:tc>
        <w:tc>
          <w:tcPr>
            <w:tcW w:w="1079" w:type="dxa"/>
            <w:vAlign w:val="top"/>
          </w:tcPr>
          <w:p w14:paraId="73C7B01F">
            <w:pPr>
              <w:rPr>
                <w:rFonts w:ascii="Arial"/>
                <w:sz w:val="21"/>
              </w:rPr>
            </w:pPr>
          </w:p>
        </w:tc>
        <w:tc>
          <w:tcPr>
            <w:tcW w:w="904" w:type="dxa"/>
            <w:vAlign w:val="top"/>
          </w:tcPr>
          <w:p w14:paraId="05256864">
            <w:pPr>
              <w:rPr>
                <w:rFonts w:ascii="Arial"/>
                <w:sz w:val="21"/>
              </w:rPr>
            </w:pPr>
          </w:p>
        </w:tc>
      </w:tr>
      <w:tr w14:paraId="7ED96A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0346D19C">
            <w:pPr>
              <w:spacing w:before="160" w:line="192" w:lineRule="auto"/>
              <w:ind w:left="137"/>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219" w:type="dxa"/>
            <w:vAlign w:val="top"/>
          </w:tcPr>
          <w:p w14:paraId="4150A0B9">
            <w:pPr>
              <w:rPr>
                <w:rFonts w:ascii="Arial"/>
                <w:sz w:val="21"/>
              </w:rPr>
            </w:pPr>
          </w:p>
        </w:tc>
        <w:tc>
          <w:tcPr>
            <w:tcW w:w="790" w:type="dxa"/>
            <w:vAlign w:val="top"/>
          </w:tcPr>
          <w:p w14:paraId="46776477">
            <w:pPr>
              <w:rPr>
                <w:rFonts w:ascii="Arial"/>
                <w:sz w:val="21"/>
              </w:rPr>
            </w:pPr>
          </w:p>
        </w:tc>
        <w:tc>
          <w:tcPr>
            <w:tcW w:w="510" w:type="dxa"/>
            <w:vAlign w:val="top"/>
          </w:tcPr>
          <w:p w14:paraId="1DDA9524">
            <w:pPr>
              <w:rPr>
                <w:rFonts w:ascii="Arial"/>
                <w:sz w:val="21"/>
              </w:rPr>
            </w:pPr>
          </w:p>
        </w:tc>
        <w:tc>
          <w:tcPr>
            <w:tcW w:w="720" w:type="dxa"/>
            <w:vAlign w:val="top"/>
          </w:tcPr>
          <w:p w14:paraId="2D5AF554">
            <w:pPr>
              <w:rPr>
                <w:rFonts w:ascii="Arial"/>
                <w:sz w:val="21"/>
              </w:rPr>
            </w:pPr>
          </w:p>
        </w:tc>
        <w:tc>
          <w:tcPr>
            <w:tcW w:w="720" w:type="dxa"/>
            <w:vAlign w:val="top"/>
          </w:tcPr>
          <w:p w14:paraId="788B3D9E">
            <w:pPr>
              <w:rPr>
                <w:rFonts w:ascii="Arial"/>
                <w:sz w:val="21"/>
              </w:rPr>
            </w:pPr>
          </w:p>
        </w:tc>
        <w:tc>
          <w:tcPr>
            <w:tcW w:w="1209" w:type="dxa"/>
            <w:vAlign w:val="top"/>
          </w:tcPr>
          <w:p w14:paraId="26EA9219">
            <w:pPr>
              <w:rPr>
                <w:rFonts w:ascii="Arial"/>
                <w:sz w:val="21"/>
              </w:rPr>
            </w:pPr>
          </w:p>
        </w:tc>
        <w:tc>
          <w:tcPr>
            <w:tcW w:w="552" w:type="dxa"/>
            <w:vAlign w:val="top"/>
          </w:tcPr>
          <w:p w14:paraId="39641547">
            <w:pPr>
              <w:rPr>
                <w:rFonts w:ascii="Arial"/>
                <w:sz w:val="21"/>
              </w:rPr>
            </w:pPr>
          </w:p>
        </w:tc>
        <w:tc>
          <w:tcPr>
            <w:tcW w:w="540" w:type="dxa"/>
            <w:vAlign w:val="top"/>
          </w:tcPr>
          <w:p w14:paraId="35A9A875">
            <w:pPr>
              <w:rPr>
                <w:rFonts w:ascii="Arial"/>
                <w:sz w:val="21"/>
              </w:rPr>
            </w:pPr>
          </w:p>
        </w:tc>
        <w:tc>
          <w:tcPr>
            <w:tcW w:w="540" w:type="dxa"/>
            <w:vAlign w:val="top"/>
          </w:tcPr>
          <w:p w14:paraId="44231915">
            <w:pPr>
              <w:rPr>
                <w:rFonts w:ascii="Arial"/>
                <w:sz w:val="21"/>
              </w:rPr>
            </w:pPr>
          </w:p>
        </w:tc>
        <w:tc>
          <w:tcPr>
            <w:tcW w:w="540" w:type="dxa"/>
            <w:vAlign w:val="top"/>
          </w:tcPr>
          <w:p w14:paraId="2E42E082">
            <w:pPr>
              <w:rPr>
                <w:rFonts w:ascii="Arial"/>
                <w:sz w:val="21"/>
              </w:rPr>
            </w:pPr>
          </w:p>
        </w:tc>
        <w:tc>
          <w:tcPr>
            <w:tcW w:w="1244" w:type="dxa"/>
            <w:vAlign w:val="top"/>
          </w:tcPr>
          <w:p w14:paraId="3ADC63C2">
            <w:pPr>
              <w:rPr>
                <w:rFonts w:ascii="Arial"/>
                <w:sz w:val="21"/>
              </w:rPr>
            </w:pPr>
          </w:p>
        </w:tc>
        <w:tc>
          <w:tcPr>
            <w:tcW w:w="622" w:type="dxa"/>
            <w:vAlign w:val="top"/>
          </w:tcPr>
          <w:p w14:paraId="09E83D26">
            <w:pPr>
              <w:rPr>
                <w:rFonts w:ascii="Arial"/>
                <w:sz w:val="21"/>
              </w:rPr>
            </w:pPr>
          </w:p>
        </w:tc>
        <w:tc>
          <w:tcPr>
            <w:tcW w:w="1064" w:type="dxa"/>
            <w:vAlign w:val="top"/>
          </w:tcPr>
          <w:p w14:paraId="1B1C60FF">
            <w:pPr>
              <w:rPr>
                <w:rFonts w:ascii="Arial"/>
                <w:sz w:val="21"/>
              </w:rPr>
            </w:pPr>
          </w:p>
        </w:tc>
        <w:tc>
          <w:tcPr>
            <w:tcW w:w="1066" w:type="dxa"/>
            <w:vAlign w:val="top"/>
          </w:tcPr>
          <w:p w14:paraId="29FFA559">
            <w:pPr>
              <w:rPr>
                <w:rFonts w:ascii="Arial"/>
                <w:sz w:val="21"/>
              </w:rPr>
            </w:pPr>
          </w:p>
        </w:tc>
        <w:tc>
          <w:tcPr>
            <w:tcW w:w="1079" w:type="dxa"/>
            <w:vAlign w:val="top"/>
          </w:tcPr>
          <w:p w14:paraId="5C76DCB3">
            <w:pPr>
              <w:rPr>
                <w:rFonts w:ascii="Arial"/>
                <w:sz w:val="21"/>
              </w:rPr>
            </w:pPr>
          </w:p>
        </w:tc>
        <w:tc>
          <w:tcPr>
            <w:tcW w:w="904" w:type="dxa"/>
            <w:vAlign w:val="top"/>
          </w:tcPr>
          <w:p w14:paraId="073A3C09">
            <w:pPr>
              <w:rPr>
                <w:rFonts w:ascii="Arial"/>
                <w:sz w:val="21"/>
              </w:rPr>
            </w:pPr>
          </w:p>
        </w:tc>
      </w:tr>
      <w:tr w14:paraId="59832C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00ADE7B9">
            <w:pPr>
              <w:spacing w:before="156" w:line="195" w:lineRule="auto"/>
              <w:ind w:left="136"/>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219" w:type="dxa"/>
            <w:vAlign w:val="top"/>
          </w:tcPr>
          <w:p w14:paraId="4D21368A">
            <w:pPr>
              <w:rPr>
                <w:rFonts w:ascii="Arial"/>
                <w:sz w:val="21"/>
              </w:rPr>
            </w:pPr>
          </w:p>
        </w:tc>
        <w:tc>
          <w:tcPr>
            <w:tcW w:w="790" w:type="dxa"/>
            <w:vAlign w:val="top"/>
          </w:tcPr>
          <w:p w14:paraId="6D418947">
            <w:pPr>
              <w:rPr>
                <w:rFonts w:ascii="Arial"/>
                <w:sz w:val="21"/>
              </w:rPr>
            </w:pPr>
          </w:p>
        </w:tc>
        <w:tc>
          <w:tcPr>
            <w:tcW w:w="510" w:type="dxa"/>
            <w:vAlign w:val="top"/>
          </w:tcPr>
          <w:p w14:paraId="08AE4ADC">
            <w:pPr>
              <w:rPr>
                <w:rFonts w:ascii="Arial"/>
                <w:sz w:val="21"/>
              </w:rPr>
            </w:pPr>
          </w:p>
        </w:tc>
        <w:tc>
          <w:tcPr>
            <w:tcW w:w="720" w:type="dxa"/>
            <w:vAlign w:val="top"/>
          </w:tcPr>
          <w:p w14:paraId="37CCADBF">
            <w:pPr>
              <w:rPr>
                <w:rFonts w:ascii="Arial"/>
                <w:sz w:val="21"/>
              </w:rPr>
            </w:pPr>
          </w:p>
        </w:tc>
        <w:tc>
          <w:tcPr>
            <w:tcW w:w="720" w:type="dxa"/>
            <w:vAlign w:val="top"/>
          </w:tcPr>
          <w:p w14:paraId="3E0FE36C">
            <w:pPr>
              <w:rPr>
                <w:rFonts w:ascii="Arial"/>
                <w:sz w:val="21"/>
              </w:rPr>
            </w:pPr>
          </w:p>
        </w:tc>
        <w:tc>
          <w:tcPr>
            <w:tcW w:w="1209" w:type="dxa"/>
            <w:vAlign w:val="top"/>
          </w:tcPr>
          <w:p w14:paraId="5D1287BA">
            <w:pPr>
              <w:rPr>
                <w:rFonts w:ascii="Arial"/>
                <w:sz w:val="21"/>
              </w:rPr>
            </w:pPr>
          </w:p>
        </w:tc>
        <w:tc>
          <w:tcPr>
            <w:tcW w:w="552" w:type="dxa"/>
            <w:vAlign w:val="top"/>
          </w:tcPr>
          <w:p w14:paraId="4276CEF8">
            <w:pPr>
              <w:rPr>
                <w:rFonts w:ascii="Arial"/>
                <w:sz w:val="21"/>
              </w:rPr>
            </w:pPr>
          </w:p>
        </w:tc>
        <w:tc>
          <w:tcPr>
            <w:tcW w:w="540" w:type="dxa"/>
            <w:vAlign w:val="top"/>
          </w:tcPr>
          <w:p w14:paraId="7893AFB3">
            <w:pPr>
              <w:rPr>
                <w:rFonts w:ascii="Arial"/>
                <w:sz w:val="21"/>
              </w:rPr>
            </w:pPr>
          </w:p>
        </w:tc>
        <w:tc>
          <w:tcPr>
            <w:tcW w:w="540" w:type="dxa"/>
            <w:vAlign w:val="top"/>
          </w:tcPr>
          <w:p w14:paraId="3820609B">
            <w:pPr>
              <w:rPr>
                <w:rFonts w:ascii="Arial"/>
                <w:sz w:val="21"/>
              </w:rPr>
            </w:pPr>
          </w:p>
        </w:tc>
        <w:tc>
          <w:tcPr>
            <w:tcW w:w="540" w:type="dxa"/>
            <w:vAlign w:val="top"/>
          </w:tcPr>
          <w:p w14:paraId="137E2F08">
            <w:pPr>
              <w:rPr>
                <w:rFonts w:ascii="Arial"/>
                <w:sz w:val="21"/>
              </w:rPr>
            </w:pPr>
          </w:p>
        </w:tc>
        <w:tc>
          <w:tcPr>
            <w:tcW w:w="1244" w:type="dxa"/>
            <w:vAlign w:val="top"/>
          </w:tcPr>
          <w:p w14:paraId="02584B2E">
            <w:pPr>
              <w:rPr>
                <w:rFonts w:ascii="Arial"/>
                <w:sz w:val="21"/>
              </w:rPr>
            </w:pPr>
          </w:p>
        </w:tc>
        <w:tc>
          <w:tcPr>
            <w:tcW w:w="622" w:type="dxa"/>
            <w:vAlign w:val="top"/>
          </w:tcPr>
          <w:p w14:paraId="5A5E6513">
            <w:pPr>
              <w:rPr>
                <w:rFonts w:ascii="Arial"/>
                <w:sz w:val="21"/>
              </w:rPr>
            </w:pPr>
          </w:p>
        </w:tc>
        <w:tc>
          <w:tcPr>
            <w:tcW w:w="1064" w:type="dxa"/>
            <w:vAlign w:val="top"/>
          </w:tcPr>
          <w:p w14:paraId="2B3F133E">
            <w:pPr>
              <w:rPr>
                <w:rFonts w:ascii="Arial"/>
                <w:sz w:val="21"/>
              </w:rPr>
            </w:pPr>
          </w:p>
        </w:tc>
        <w:tc>
          <w:tcPr>
            <w:tcW w:w="1066" w:type="dxa"/>
            <w:vAlign w:val="top"/>
          </w:tcPr>
          <w:p w14:paraId="735CA4EA">
            <w:pPr>
              <w:rPr>
                <w:rFonts w:ascii="Arial"/>
                <w:sz w:val="21"/>
              </w:rPr>
            </w:pPr>
          </w:p>
        </w:tc>
        <w:tc>
          <w:tcPr>
            <w:tcW w:w="1079" w:type="dxa"/>
            <w:vAlign w:val="top"/>
          </w:tcPr>
          <w:p w14:paraId="54A31FCD">
            <w:pPr>
              <w:rPr>
                <w:rFonts w:ascii="Arial"/>
                <w:sz w:val="21"/>
              </w:rPr>
            </w:pPr>
          </w:p>
        </w:tc>
        <w:tc>
          <w:tcPr>
            <w:tcW w:w="904" w:type="dxa"/>
            <w:vAlign w:val="top"/>
          </w:tcPr>
          <w:p w14:paraId="35BAB044">
            <w:pPr>
              <w:rPr>
                <w:rFonts w:ascii="Arial"/>
                <w:sz w:val="21"/>
              </w:rPr>
            </w:pPr>
          </w:p>
        </w:tc>
      </w:tr>
      <w:tr w14:paraId="2DC24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7AE32C42">
            <w:pPr>
              <w:spacing w:before="159" w:line="192" w:lineRule="auto"/>
              <w:ind w:left="135"/>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219" w:type="dxa"/>
            <w:vAlign w:val="top"/>
          </w:tcPr>
          <w:p w14:paraId="7A9EA90D">
            <w:pPr>
              <w:rPr>
                <w:rFonts w:ascii="Arial"/>
                <w:sz w:val="21"/>
              </w:rPr>
            </w:pPr>
          </w:p>
        </w:tc>
        <w:tc>
          <w:tcPr>
            <w:tcW w:w="790" w:type="dxa"/>
            <w:vAlign w:val="top"/>
          </w:tcPr>
          <w:p w14:paraId="022E4606">
            <w:pPr>
              <w:rPr>
                <w:rFonts w:ascii="Arial"/>
                <w:sz w:val="21"/>
              </w:rPr>
            </w:pPr>
          </w:p>
        </w:tc>
        <w:tc>
          <w:tcPr>
            <w:tcW w:w="510" w:type="dxa"/>
            <w:vAlign w:val="top"/>
          </w:tcPr>
          <w:p w14:paraId="52EA3DC5">
            <w:pPr>
              <w:rPr>
                <w:rFonts w:ascii="Arial"/>
                <w:sz w:val="21"/>
              </w:rPr>
            </w:pPr>
          </w:p>
        </w:tc>
        <w:tc>
          <w:tcPr>
            <w:tcW w:w="720" w:type="dxa"/>
            <w:vAlign w:val="top"/>
          </w:tcPr>
          <w:p w14:paraId="74E311AC">
            <w:pPr>
              <w:rPr>
                <w:rFonts w:ascii="Arial"/>
                <w:sz w:val="21"/>
              </w:rPr>
            </w:pPr>
          </w:p>
        </w:tc>
        <w:tc>
          <w:tcPr>
            <w:tcW w:w="720" w:type="dxa"/>
            <w:vAlign w:val="top"/>
          </w:tcPr>
          <w:p w14:paraId="137B0E89">
            <w:pPr>
              <w:rPr>
                <w:rFonts w:ascii="Arial"/>
                <w:sz w:val="21"/>
              </w:rPr>
            </w:pPr>
          </w:p>
        </w:tc>
        <w:tc>
          <w:tcPr>
            <w:tcW w:w="1209" w:type="dxa"/>
            <w:vAlign w:val="top"/>
          </w:tcPr>
          <w:p w14:paraId="5C226195">
            <w:pPr>
              <w:rPr>
                <w:rFonts w:ascii="Arial"/>
                <w:sz w:val="21"/>
              </w:rPr>
            </w:pPr>
          </w:p>
        </w:tc>
        <w:tc>
          <w:tcPr>
            <w:tcW w:w="552" w:type="dxa"/>
            <w:vAlign w:val="top"/>
          </w:tcPr>
          <w:p w14:paraId="08C9D045">
            <w:pPr>
              <w:rPr>
                <w:rFonts w:ascii="Arial"/>
                <w:sz w:val="21"/>
              </w:rPr>
            </w:pPr>
          </w:p>
        </w:tc>
        <w:tc>
          <w:tcPr>
            <w:tcW w:w="540" w:type="dxa"/>
            <w:vAlign w:val="top"/>
          </w:tcPr>
          <w:p w14:paraId="497AA7EA">
            <w:pPr>
              <w:rPr>
                <w:rFonts w:ascii="Arial"/>
                <w:sz w:val="21"/>
              </w:rPr>
            </w:pPr>
          </w:p>
        </w:tc>
        <w:tc>
          <w:tcPr>
            <w:tcW w:w="540" w:type="dxa"/>
            <w:vAlign w:val="top"/>
          </w:tcPr>
          <w:p w14:paraId="4EBA70CD">
            <w:pPr>
              <w:rPr>
                <w:rFonts w:ascii="Arial"/>
                <w:sz w:val="21"/>
              </w:rPr>
            </w:pPr>
          </w:p>
        </w:tc>
        <w:tc>
          <w:tcPr>
            <w:tcW w:w="540" w:type="dxa"/>
            <w:vAlign w:val="top"/>
          </w:tcPr>
          <w:p w14:paraId="562E2FD2">
            <w:pPr>
              <w:rPr>
                <w:rFonts w:ascii="Arial"/>
                <w:sz w:val="21"/>
              </w:rPr>
            </w:pPr>
          </w:p>
        </w:tc>
        <w:tc>
          <w:tcPr>
            <w:tcW w:w="1244" w:type="dxa"/>
            <w:vAlign w:val="top"/>
          </w:tcPr>
          <w:p w14:paraId="78DEA8C3">
            <w:pPr>
              <w:rPr>
                <w:rFonts w:ascii="Arial"/>
                <w:sz w:val="21"/>
              </w:rPr>
            </w:pPr>
          </w:p>
        </w:tc>
        <w:tc>
          <w:tcPr>
            <w:tcW w:w="622" w:type="dxa"/>
            <w:vAlign w:val="top"/>
          </w:tcPr>
          <w:p w14:paraId="2DBBA8C5">
            <w:pPr>
              <w:rPr>
                <w:rFonts w:ascii="Arial"/>
                <w:sz w:val="21"/>
              </w:rPr>
            </w:pPr>
          </w:p>
        </w:tc>
        <w:tc>
          <w:tcPr>
            <w:tcW w:w="1064" w:type="dxa"/>
            <w:vAlign w:val="top"/>
          </w:tcPr>
          <w:p w14:paraId="319EB1AB">
            <w:pPr>
              <w:rPr>
                <w:rFonts w:ascii="Arial"/>
                <w:sz w:val="21"/>
              </w:rPr>
            </w:pPr>
          </w:p>
        </w:tc>
        <w:tc>
          <w:tcPr>
            <w:tcW w:w="1066" w:type="dxa"/>
            <w:vAlign w:val="top"/>
          </w:tcPr>
          <w:p w14:paraId="72A979C4">
            <w:pPr>
              <w:rPr>
                <w:rFonts w:ascii="Arial"/>
                <w:sz w:val="21"/>
              </w:rPr>
            </w:pPr>
          </w:p>
        </w:tc>
        <w:tc>
          <w:tcPr>
            <w:tcW w:w="1079" w:type="dxa"/>
            <w:vAlign w:val="top"/>
          </w:tcPr>
          <w:p w14:paraId="641587B1">
            <w:pPr>
              <w:rPr>
                <w:rFonts w:ascii="Arial"/>
                <w:sz w:val="21"/>
              </w:rPr>
            </w:pPr>
          </w:p>
        </w:tc>
        <w:tc>
          <w:tcPr>
            <w:tcW w:w="904" w:type="dxa"/>
            <w:vAlign w:val="top"/>
          </w:tcPr>
          <w:p w14:paraId="1292FD74">
            <w:pPr>
              <w:rPr>
                <w:rFonts w:ascii="Arial"/>
                <w:sz w:val="21"/>
              </w:rPr>
            </w:pPr>
          </w:p>
        </w:tc>
      </w:tr>
      <w:tr w14:paraId="6ED5BC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70DCFAF9">
            <w:pPr>
              <w:spacing w:before="159" w:line="195" w:lineRule="auto"/>
              <w:ind w:left="140"/>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1219" w:type="dxa"/>
            <w:vAlign w:val="top"/>
          </w:tcPr>
          <w:p w14:paraId="5187C631">
            <w:pPr>
              <w:rPr>
                <w:rFonts w:ascii="Arial"/>
                <w:sz w:val="21"/>
              </w:rPr>
            </w:pPr>
          </w:p>
        </w:tc>
        <w:tc>
          <w:tcPr>
            <w:tcW w:w="790" w:type="dxa"/>
            <w:vAlign w:val="top"/>
          </w:tcPr>
          <w:p w14:paraId="52DBAD90">
            <w:pPr>
              <w:rPr>
                <w:rFonts w:ascii="Arial"/>
                <w:sz w:val="21"/>
              </w:rPr>
            </w:pPr>
          </w:p>
        </w:tc>
        <w:tc>
          <w:tcPr>
            <w:tcW w:w="510" w:type="dxa"/>
            <w:vAlign w:val="top"/>
          </w:tcPr>
          <w:p w14:paraId="191CE619">
            <w:pPr>
              <w:rPr>
                <w:rFonts w:ascii="Arial"/>
                <w:sz w:val="21"/>
              </w:rPr>
            </w:pPr>
          </w:p>
        </w:tc>
        <w:tc>
          <w:tcPr>
            <w:tcW w:w="720" w:type="dxa"/>
            <w:vAlign w:val="top"/>
          </w:tcPr>
          <w:p w14:paraId="63B336BF">
            <w:pPr>
              <w:rPr>
                <w:rFonts w:ascii="Arial"/>
                <w:sz w:val="21"/>
              </w:rPr>
            </w:pPr>
          </w:p>
        </w:tc>
        <w:tc>
          <w:tcPr>
            <w:tcW w:w="720" w:type="dxa"/>
            <w:vAlign w:val="top"/>
          </w:tcPr>
          <w:p w14:paraId="1928EC79">
            <w:pPr>
              <w:rPr>
                <w:rFonts w:ascii="Arial"/>
                <w:sz w:val="21"/>
              </w:rPr>
            </w:pPr>
          </w:p>
        </w:tc>
        <w:tc>
          <w:tcPr>
            <w:tcW w:w="1209" w:type="dxa"/>
            <w:vAlign w:val="top"/>
          </w:tcPr>
          <w:p w14:paraId="3D34548C">
            <w:pPr>
              <w:rPr>
                <w:rFonts w:ascii="Arial"/>
                <w:sz w:val="21"/>
              </w:rPr>
            </w:pPr>
          </w:p>
        </w:tc>
        <w:tc>
          <w:tcPr>
            <w:tcW w:w="552" w:type="dxa"/>
            <w:vAlign w:val="top"/>
          </w:tcPr>
          <w:p w14:paraId="148E8DAC">
            <w:pPr>
              <w:rPr>
                <w:rFonts w:ascii="Arial"/>
                <w:sz w:val="21"/>
              </w:rPr>
            </w:pPr>
          </w:p>
        </w:tc>
        <w:tc>
          <w:tcPr>
            <w:tcW w:w="540" w:type="dxa"/>
            <w:vAlign w:val="top"/>
          </w:tcPr>
          <w:p w14:paraId="47ED2794">
            <w:pPr>
              <w:rPr>
                <w:rFonts w:ascii="Arial"/>
                <w:sz w:val="21"/>
              </w:rPr>
            </w:pPr>
          </w:p>
        </w:tc>
        <w:tc>
          <w:tcPr>
            <w:tcW w:w="540" w:type="dxa"/>
            <w:vAlign w:val="top"/>
          </w:tcPr>
          <w:p w14:paraId="511730F7">
            <w:pPr>
              <w:rPr>
                <w:rFonts w:ascii="Arial"/>
                <w:sz w:val="21"/>
              </w:rPr>
            </w:pPr>
          </w:p>
        </w:tc>
        <w:tc>
          <w:tcPr>
            <w:tcW w:w="540" w:type="dxa"/>
            <w:vAlign w:val="top"/>
          </w:tcPr>
          <w:p w14:paraId="4C4BF2C1">
            <w:pPr>
              <w:rPr>
                <w:rFonts w:ascii="Arial"/>
                <w:sz w:val="21"/>
              </w:rPr>
            </w:pPr>
          </w:p>
        </w:tc>
        <w:tc>
          <w:tcPr>
            <w:tcW w:w="1244" w:type="dxa"/>
            <w:vAlign w:val="top"/>
          </w:tcPr>
          <w:p w14:paraId="543692C2">
            <w:pPr>
              <w:rPr>
                <w:rFonts w:ascii="Arial"/>
                <w:sz w:val="21"/>
              </w:rPr>
            </w:pPr>
          </w:p>
        </w:tc>
        <w:tc>
          <w:tcPr>
            <w:tcW w:w="622" w:type="dxa"/>
            <w:vAlign w:val="top"/>
          </w:tcPr>
          <w:p w14:paraId="124A7B22">
            <w:pPr>
              <w:rPr>
                <w:rFonts w:ascii="Arial"/>
                <w:sz w:val="21"/>
              </w:rPr>
            </w:pPr>
          </w:p>
        </w:tc>
        <w:tc>
          <w:tcPr>
            <w:tcW w:w="1064" w:type="dxa"/>
            <w:vAlign w:val="top"/>
          </w:tcPr>
          <w:p w14:paraId="4B86BFBC">
            <w:pPr>
              <w:rPr>
                <w:rFonts w:ascii="Arial"/>
                <w:sz w:val="21"/>
              </w:rPr>
            </w:pPr>
          </w:p>
        </w:tc>
        <w:tc>
          <w:tcPr>
            <w:tcW w:w="1066" w:type="dxa"/>
            <w:vAlign w:val="top"/>
          </w:tcPr>
          <w:p w14:paraId="0462E16E">
            <w:pPr>
              <w:rPr>
                <w:rFonts w:ascii="Arial"/>
                <w:sz w:val="21"/>
              </w:rPr>
            </w:pPr>
          </w:p>
        </w:tc>
        <w:tc>
          <w:tcPr>
            <w:tcW w:w="1079" w:type="dxa"/>
            <w:vAlign w:val="top"/>
          </w:tcPr>
          <w:p w14:paraId="3D12795C">
            <w:pPr>
              <w:rPr>
                <w:rFonts w:ascii="Arial"/>
                <w:sz w:val="21"/>
              </w:rPr>
            </w:pPr>
          </w:p>
        </w:tc>
        <w:tc>
          <w:tcPr>
            <w:tcW w:w="904" w:type="dxa"/>
            <w:vAlign w:val="top"/>
          </w:tcPr>
          <w:p w14:paraId="28909E69">
            <w:pPr>
              <w:rPr>
                <w:rFonts w:ascii="Arial"/>
                <w:sz w:val="21"/>
              </w:rPr>
            </w:pPr>
          </w:p>
        </w:tc>
      </w:tr>
      <w:tr w14:paraId="02E99C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365" w:type="dxa"/>
            <w:vAlign w:val="top"/>
          </w:tcPr>
          <w:p w14:paraId="013052B1">
            <w:pPr>
              <w:pStyle w:val="6"/>
              <w:spacing w:before="120" w:line="322" w:lineRule="exact"/>
              <w:ind w:left="96"/>
            </w:pPr>
            <w:r>
              <w:rPr>
                <w:position w:val="2"/>
              </w:rPr>
              <w:t>…</w:t>
            </w:r>
          </w:p>
        </w:tc>
        <w:tc>
          <w:tcPr>
            <w:tcW w:w="1219" w:type="dxa"/>
            <w:vAlign w:val="top"/>
          </w:tcPr>
          <w:p w14:paraId="412E7E36">
            <w:pPr>
              <w:rPr>
                <w:rFonts w:ascii="Arial"/>
                <w:sz w:val="21"/>
              </w:rPr>
            </w:pPr>
          </w:p>
        </w:tc>
        <w:tc>
          <w:tcPr>
            <w:tcW w:w="790" w:type="dxa"/>
            <w:vAlign w:val="top"/>
          </w:tcPr>
          <w:p w14:paraId="7B60F1E5">
            <w:pPr>
              <w:rPr>
                <w:rFonts w:ascii="Arial"/>
                <w:sz w:val="21"/>
              </w:rPr>
            </w:pPr>
          </w:p>
        </w:tc>
        <w:tc>
          <w:tcPr>
            <w:tcW w:w="510" w:type="dxa"/>
            <w:vAlign w:val="top"/>
          </w:tcPr>
          <w:p w14:paraId="02B27F9C">
            <w:pPr>
              <w:rPr>
                <w:rFonts w:ascii="Arial"/>
                <w:sz w:val="21"/>
              </w:rPr>
            </w:pPr>
          </w:p>
        </w:tc>
        <w:tc>
          <w:tcPr>
            <w:tcW w:w="720" w:type="dxa"/>
            <w:vAlign w:val="top"/>
          </w:tcPr>
          <w:p w14:paraId="2D7A1D20">
            <w:pPr>
              <w:rPr>
                <w:rFonts w:ascii="Arial"/>
                <w:sz w:val="21"/>
              </w:rPr>
            </w:pPr>
          </w:p>
        </w:tc>
        <w:tc>
          <w:tcPr>
            <w:tcW w:w="720" w:type="dxa"/>
            <w:vAlign w:val="top"/>
          </w:tcPr>
          <w:p w14:paraId="318D2508">
            <w:pPr>
              <w:rPr>
                <w:rFonts w:ascii="Arial"/>
                <w:sz w:val="21"/>
              </w:rPr>
            </w:pPr>
          </w:p>
        </w:tc>
        <w:tc>
          <w:tcPr>
            <w:tcW w:w="1209" w:type="dxa"/>
            <w:vAlign w:val="top"/>
          </w:tcPr>
          <w:p w14:paraId="49DE4502">
            <w:pPr>
              <w:rPr>
                <w:rFonts w:ascii="Arial"/>
                <w:sz w:val="21"/>
              </w:rPr>
            </w:pPr>
          </w:p>
        </w:tc>
        <w:tc>
          <w:tcPr>
            <w:tcW w:w="552" w:type="dxa"/>
            <w:vAlign w:val="top"/>
          </w:tcPr>
          <w:p w14:paraId="688F6541">
            <w:pPr>
              <w:rPr>
                <w:rFonts w:ascii="Arial"/>
                <w:sz w:val="21"/>
              </w:rPr>
            </w:pPr>
          </w:p>
        </w:tc>
        <w:tc>
          <w:tcPr>
            <w:tcW w:w="540" w:type="dxa"/>
            <w:vAlign w:val="top"/>
          </w:tcPr>
          <w:p w14:paraId="7E235451">
            <w:pPr>
              <w:rPr>
                <w:rFonts w:ascii="Arial"/>
                <w:sz w:val="21"/>
              </w:rPr>
            </w:pPr>
          </w:p>
        </w:tc>
        <w:tc>
          <w:tcPr>
            <w:tcW w:w="540" w:type="dxa"/>
            <w:vAlign w:val="top"/>
          </w:tcPr>
          <w:p w14:paraId="7F644D51">
            <w:pPr>
              <w:rPr>
                <w:rFonts w:ascii="Arial"/>
                <w:sz w:val="21"/>
              </w:rPr>
            </w:pPr>
          </w:p>
        </w:tc>
        <w:tc>
          <w:tcPr>
            <w:tcW w:w="540" w:type="dxa"/>
            <w:vAlign w:val="top"/>
          </w:tcPr>
          <w:p w14:paraId="3582D701">
            <w:pPr>
              <w:rPr>
                <w:rFonts w:ascii="Arial"/>
                <w:sz w:val="21"/>
              </w:rPr>
            </w:pPr>
          </w:p>
        </w:tc>
        <w:tc>
          <w:tcPr>
            <w:tcW w:w="1244" w:type="dxa"/>
            <w:vAlign w:val="top"/>
          </w:tcPr>
          <w:p w14:paraId="23263EB3">
            <w:pPr>
              <w:rPr>
                <w:rFonts w:ascii="Arial"/>
                <w:sz w:val="21"/>
              </w:rPr>
            </w:pPr>
          </w:p>
        </w:tc>
        <w:tc>
          <w:tcPr>
            <w:tcW w:w="622" w:type="dxa"/>
            <w:vAlign w:val="top"/>
          </w:tcPr>
          <w:p w14:paraId="3343AC08">
            <w:pPr>
              <w:rPr>
                <w:rFonts w:ascii="Arial"/>
                <w:sz w:val="21"/>
              </w:rPr>
            </w:pPr>
          </w:p>
        </w:tc>
        <w:tc>
          <w:tcPr>
            <w:tcW w:w="1064" w:type="dxa"/>
            <w:vAlign w:val="top"/>
          </w:tcPr>
          <w:p w14:paraId="68CBB34F">
            <w:pPr>
              <w:rPr>
                <w:rFonts w:ascii="Arial"/>
                <w:sz w:val="21"/>
              </w:rPr>
            </w:pPr>
          </w:p>
        </w:tc>
        <w:tc>
          <w:tcPr>
            <w:tcW w:w="1066" w:type="dxa"/>
            <w:vAlign w:val="top"/>
          </w:tcPr>
          <w:p w14:paraId="7108A882">
            <w:pPr>
              <w:rPr>
                <w:rFonts w:ascii="Arial"/>
                <w:sz w:val="21"/>
              </w:rPr>
            </w:pPr>
          </w:p>
        </w:tc>
        <w:tc>
          <w:tcPr>
            <w:tcW w:w="1079" w:type="dxa"/>
            <w:vAlign w:val="top"/>
          </w:tcPr>
          <w:p w14:paraId="2E555B96">
            <w:pPr>
              <w:rPr>
                <w:rFonts w:ascii="Arial"/>
                <w:sz w:val="21"/>
              </w:rPr>
            </w:pPr>
          </w:p>
        </w:tc>
        <w:tc>
          <w:tcPr>
            <w:tcW w:w="904" w:type="dxa"/>
            <w:vAlign w:val="top"/>
          </w:tcPr>
          <w:p w14:paraId="09B7E6A7">
            <w:pPr>
              <w:rPr>
                <w:rFonts w:ascii="Arial"/>
                <w:sz w:val="21"/>
              </w:rPr>
            </w:pPr>
          </w:p>
        </w:tc>
      </w:tr>
    </w:tbl>
    <w:p w14:paraId="6D1B35CF">
      <w:pPr>
        <w:spacing w:before="158" w:line="227" w:lineRule="auto"/>
        <w:ind w:left="16"/>
        <w:rPr>
          <w:rFonts w:ascii="宋体" w:hAnsi="宋体" w:eastAsia="宋体" w:cs="宋体"/>
          <w:sz w:val="20"/>
          <w:szCs w:val="20"/>
        </w:rPr>
      </w:pPr>
      <w:r>
        <w:rPr>
          <w:rFonts w:ascii="宋体" w:hAnsi="宋体" w:eastAsia="宋体" w:cs="宋体"/>
          <w:spacing w:val="9"/>
          <w:sz w:val="20"/>
          <w:szCs w:val="20"/>
        </w:rPr>
        <w:t>备注：1．执业、职业单位指拟投入的项目管理机构人员目前是否在投标人处注册执业或岗位登记。</w:t>
      </w:r>
    </w:p>
    <w:p w14:paraId="59AC670A">
      <w:pPr>
        <w:spacing w:before="153" w:line="388" w:lineRule="auto"/>
        <w:ind w:left="957" w:right="135" w:hanging="312"/>
        <w:rPr>
          <w:rFonts w:ascii="宋体" w:hAnsi="宋体" w:eastAsia="宋体" w:cs="宋体"/>
          <w:sz w:val="20"/>
          <w:szCs w:val="20"/>
        </w:rPr>
      </w:pPr>
      <w:r>
        <w:rPr>
          <w:rFonts w:ascii="宋体" w:hAnsi="宋体" w:eastAsia="宋体" w:cs="宋体"/>
          <w:spacing w:val="10"/>
          <w:sz w:val="20"/>
          <w:szCs w:val="20"/>
        </w:rPr>
        <w:t>2．附项目管理机构主要人员社会保险证明的扫描件。社会保险证明是指社会统筹保险基金管理部门出具的基本</w:t>
      </w:r>
      <w:r>
        <w:rPr>
          <w:rFonts w:ascii="宋体" w:hAnsi="宋体" w:eastAsia="宋体" w:cs="宋体"/>
          <w:spacing w:val="9"/>
          <w:sz w:val="20"/>
          <w:szCs w:val="20"/>
        </w:rPr>
        <w:t>养老保险对账单或加盖社会统筹保险基金管理部门公章的单位缴费明细，以及企业缴费凭证（社</w:t>
      </w:r>
      <w:r>
        <w:rPr>
          <w:rFonts w:ascii="宋体" w:hAnsi="宋体" w:eastAsia="宋体" w:cs="宋体"/>
          <w:spacing w:val="8"/>
          <w:sz w:val="20"/>
          <w:szCs w:val="20"/>
        </w:rPr>
        <w:t>会保险缴费发票或银行转账凭证等证明</w:t>
      </w:r>
      <w:r>
        <w:rPr>
          <w:rFonts w:ascii="宋体" w:hAnsi="宋体" w:eastAsia="宋体" w:cs="宋体"/>
          <w:spacing w:val="-54"/>
          <w:sz w:val="20"/>
          <w:szCs w:val="20"/>
        </w:rPr>
        <w:t>）；</w:t>
      </w:r>
      <w:r>
        <w:rPr>
          <w:rFonts w:ascii="宋体" w:hAnsi="宋体" w:eastAsia="宋体" w:cs="宋体"/>
          <w:spacing w:val="8"/>
          <w:sz w:val="20"/>
          <w:szCs w:val="20"/>
        </w:rPr>
        <w:t>社会保险证明应至少体现以下</w:t>
      </w:r>
      <w:r>
        <w:rPr>
          <w:rFonts w:ascii="宋体" w:hAnsi="宋体" w:eastAsia="宋体" w:cs="宋体"/>
          <w:spacing w:val="10"/>
          <w:sz w:val="20"/>
          <w:szCs w:val="20"/>
        </w:rPr>
        <w:t>内容：缴纳保险单位名称、人员姓名、社会保障号、险种、缴费期限等。社会保险证明中缴费单位应与投标单位一致。属于</w:t>
      </w:r>
      <w:r>
        <w:rPr>
          <w:rFonts w:ascii="宋体" w:hAnsi="宋体" w:eastAsia="宋体" w:cs="宋体"/>
          <w:spacing w:val="9"/>
          <w:sz w:val="20"/>
          <w:szCs w:val="20"/>
        </w:rPr>
        <w:t>退休人员的须</w:t>
      </w:r>
      <w:r>
        <w:rPr>
          <w:rFonts w:ascii="宋体" w:hAnsi="宋体" w:eastAsia="宋体" w:cs="宋体"/>
          <w:spacing w:val="6"/>
          <w:sz w:val="20"/>
          <w:szCs w:val="20"/>
        </w:rPr>
        <w:t>提供退休证明和投标人的聘用协议（或劳务合</w:t>
      </w:r>
      <w:r>
        <w:rPr>
          <w:rFonts w:ascii="宋体" w:hAnsi="宋体" w:eastAsia="宋体" w:cs="宋体"/>
          <w:spacing w:val="5"/>
          <w:sz w:val="20"/>
          <w:szCs w:val="20"/>
        </w:rPr>
        <w:t>同）。</w:t>
      </w:r>
    </w:p>
    <w:p w14:paraId="7BDC798A">
      <w:pPr>
        <w:spacing w:line="388" w:lineRule="auto"/>
        <w:rPr>
          <w:rFonts w:ascii="宋体" w:hAnsi="宋体" w:eastAsia="宋体" w:cs="宋体"/>
          <w:sz w:val="20"/>
          <w:szCs w:val="20"/>
        </w:rPr>
        <w:sectPr>
          <w:footerReference r:id="rId525" w:type="default"/>
          <w:pgSz w:w="16840" w:h="11907"/>
          <w:pgMar w:top="400" w:right="1567" w:bottom="1248" w:left="1583" w:header="0" w:footer="1086" w:gutter="0"/>
          <w:cols w:space="720" w:num="1"/>
        </w:sectPr>
      </w:pPr>
    </w:p>
    <w:p w14:paraId="6DDFCF5B">
      <w:pPr>
        <w:spacing w:line="256" w:lineRule="auto"/>
        <w:rPr>
          <w:rFonts w:ascii="Arial"/>
          <w:sz w:val="21"/>
        </w:rPr>
      </w:pPr>
    </w:p>
    <w:p w14:paraId="1F2F98D2">
      <w:pPr>
        <w:spacing w:line="256" w:lineRule="auto"/>
        <w:rPr>
          <w:rFonts w:ascii="Arial"/>
          <w:sz w:val="21"/>
        </w:rPr>
      </w:pPr>
    </w:p>
    <w:p w14:paraId="6598DDB0">
      <w:pPr>
        <w:spacing w:line="256" w:lineRule="auto"/>
        <w:rPr>
          <w:rFonts w:ascii="Arial"/>
          <w:sz w:val="21"/>
        </w:rPr>
      </w:pPr>
    </w:p>
    <w:p w14:paraId="04B3E412">
      <w:pPr>
        <w:spacing w:line="256" w:lineRule="auto"/>
        <w:rPr>
          <w:rFonts w:ascii="Arial"/>
          <w:sz w:val="21"/>
        </w:rPr>
      </w:pPr>
    </w:p>
    <w:p w14:paraId="432C52E2">
      <w:pPr>
        <w:spacing w:line="257" w:lineRule="auto"/>
        <w:rPr>
          <w:rFonts w:ascii="Arial"/>
          <w:sz w:val="21"/>
        </w:rPr>
      </w:pPr>
    </w:p>
    <w:p w14:paraId="198A06ED">
      <w:pPr>
        <w:pStyle w:val="2"/>
        <w:spacing w:before="91" w:line="222" w:lineRule="auto"/>
        <w:ind w:left="3084"/>
        <w:outlineLvl w:val="2"/>
        <w:rPr>
          <w:sz w:val="28"/>
          <w:szCs w:val="28"/>
        </w:rPr>
      </w:pPr>
      <w:bookmarkStart w:id="423" w:name="bookmark404"/>
      <w:bookmarkEnd w:id="423"/>
      <w:r>
        <w:rPr>
          <w:spacing w:val="-3"/>
          <w:sz w:val="28"/>
          <w:szCs w:val="28"/>
        </w:rPr>
        <w:t>（二）项目经理简历表</w:t>
      </w:r>
    </w:p>
    <w:p w14:paraId="60C1C8F0">
      <w:pPr>
        <w:spacing w:before="14"/>
      </w:pPr>
    </w:p>
    <w:tbl>
      <w:tblPr>
        <w:tblStyle w:val="5"/>
        <w:tblW w:w="88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6"/>
        <w:gridCol w:w="1034"/>
        <w:gridCol w:w="1133"/>
        <w:gridCol w:w="1274"/>
        <w:gridCol w:w="2123"/>
        <w:gridCol w:w="2164"/>
      </w:tblGrid>
      <w:tr w14:paraId="3FD4B6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096" w:type="dxa"/>
            <w:vAlign w:val="top"/>
          </w:tcPr>
          <w:p w14:paraId="53A2B39B">
            <w:pPr>
              <w:pStyle w:val="6"/>
              <w:spacing w:before="126" w:line="228" w:lineRule="auto"/>
              <w:ind w:left="237"/>
            </w:pPr>
            <w:r>
              <w:t>姓</w:t>
            </w:r>
            <w:r>
              <w:rPr>
                <w:spacing w:val="10"/>
              </w:rPr>
              <w:t xml:space="preserve">  </w:t>
            </w:r>
            <w:r>
              <w:t>名</w:t>
            </w:r>
          </w:p>
        </w:tc>
        <w:tc>
          <w:tcPr>
            <w:tcW w:w="1034" w:type="dxa"/>
            <w:vAlign w:val="top"/>
          </w:tcPr>
          <w:p w14:paraId="5C152B9C">
            <w:pPr>
              <w:rPr>
                <w:rFonts w:ascii="Arial"/>
                <w:sz w:val="21"/>
              </w:rPr>
            </w:pPr>
          </w:p>
        </w:tc>
        <w:tc>
          <w:tcPr>
            <w:tcW w:w="1133" w:type="dxa"/>
            <w:vAlign w:val="top"/>
          </w:tcPr>
          <w:p w14:paraId="08020150">
            <w:pPr>
              <w:pStyle w:val="6"/>
              <w:spacing w:before="126" w:line="228" w:lineRule="auto"/>
              <w:ind w:left="256"/>
            </w:pPr>
            <w:r>
              <w:t>年</w:t>
            </w:r>
            <w:r>
              <w:rPr>
                <w:spacing w:val="9"/>
              </w:rPr>
              <w:t xml:space="preserve">  </w:t>
            </w:r>
            <w:r>
              <w:t>龄</w:t>
            </w:r>
          </w:p>
        </w:tc>
        <w:tc>
          <w:tcPr>
            <w:tcW w:w="1274" w:type="dxa"/>
            <w:vAlign w:val="top"/>
          </w:tcPr>
          <w:p w14:paraId="096D6023">
            <w:pPr>
              <w:rPr>
                <w:rFonts w:ascii="Arial"/>
                <w:sz w:val="21"/>
              </w:rPr>
            </w:pPr>
          </w:p>
        </w:tc>
        <w:tc>
          <w:tcPr>
            <w:tcW w:w="2123" w:type="dxa"/>
            <w:vAlign w:val="top"/>
          </w:tcPr>
          <w:p w14:paraId="2E887358">
            <w:pPr>
              <w:pStyle w:val="6"/>
              <w:spacing w:before="126" w:line="229" w:lineRule="auto"/>
              <w:ind w:left="862"/>
            </w:pPr>
            <w:r>
              <w:rPr>
                <w:spacing w:val="2"/>
              </w:rPr>
              <w:t>学历</w:t>
            </w:r>
          </w:p>
        </w:tc>
        <w:tc>
          <w:tcPr>
            <w:tcW w:w="2164" w:type="dxa"/>
            <w:vAlign w:val="top"/>
          </w:tcPr>
          <w:p w14:paraId="299C7070">
            <w:pPr>
              <w:rPr>
                <w:rFonts w:ascii="Arial"/>
                <w:sz w:val="21"/>
              </w:rPr>
            </w:pPr>
          </w:p>
        </w:tc>
      </w:tr>
      <w:tr w14:paraId="0ADA9F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96" w:type="dxa"/>
            <w:vAlign w:val="top"/>
          </w:tcPr>
          <w:p w14:paraId="4C0AC4C0">
            <w:pPr>
              <w:pStyle w:val="6"/>
              <w:spacing w:before="121" w:line="230" w:lineRule="auto"/>
              <w:ind w:left="238"/>
            </w:pPr>
            <w:r>
              <w:t>职</w:t>
            </w:r>
            <w:r>
              <w:rPr>
                <w:spacing w:val="9"/>
              </w:rPr>
              <w:t xml:space="preserve">  </w:t>
            </w:r>
            <w:r>
              <w:t>称</w:t>
            </w:r>
          </w:p>
        </w:tc>
        <w:tc>
          <w:tcPr>
            <w:tcW w:w="1034" w:type="dxa"/>
            <w:vAlign w:val="top"/>
          </w:tcPr>
          <w:p w14:paraId="7F0EAA25">
            <w:pPr>
              <w:rPr>
                <w:rFonts w:ascii="Arial"/>
                <w:sz w:val="21"/>
              </w:rPr>
            </w:pPr>
          </w:p>
        </w:tc>
        <w:tc>
          <w:tcPr>
            <w:tcW w:w="1133" w:type="dxa"/>
            <w:vAlign w:val="top"/>
          </w:tcPr>
          <w:p w14:paraId="11E1EE34">
            <w:pPr>
              <w:pStyle w:val="6"/>
              <w:spacing w:before="121" w:line="228" w:lineRule="auto"/>
              <w:ind w:left="256"/>
            </w:pPr>
            <w:r>
              <w:t>职</w:t>
            </w:r>
            <w:r>
              <w:rPr>
                <w:spacing w:val="10"/>
              </w:rPr>
              <w:t xml:space="preserve">  </w:t>
            </w:r>
            <w:r>
              <w:t>务</w:t>
            </w:r>
          </w:p>
        </w:tc>
        <w:tc>
          <w:tcPr>
            <w:tcW w:w="1274" w:type="dxa"/>
            <w:vAlign w:val="top"/>
          </w:tcPr>
          <w:p w14:paraId="7FD44D7A">
            <w:pPr>
              <w:rPr>
                <w:rFonts w:ascii="Arial"/>
                <w:sz w:val="21"/>
              </w:rPr>
            </w:pPr>
          </w:p>
        </w:tc>
        <w:tc>
          <w:tcPr>
            <w:tcW w:w="2123" w:type="dxa"/>
            <w:vAlign w:val="top"/>
          </w:tcPr>
          <w:p w14:paraId="21364FCB">
            <w:pPr>
              <w:pStyle w:val="6"/>
              <w:spacing w:before="121" w:line="227" w:lineRule="auto"/>
              <w:ind w:left="332"/>
            </w:pPr>
            <w:r>
              <w:rPr>
                <w:spacing w:val="8"/>
              </w:rPr>
              <w:t>拟在本工程任职</w:t>
            </w:r>
          </w:p>
        </w:tc>
        <w:tc>
          <w:tcPr>
            <w:tcW w:w="2164" w:type="dxa"/>
            <w:vAlign w:val="top"/>
          </w:tcPr>
          <w:p w14:paraId="43D13963">
            <w:pPr>
              <w:pStyle w:val="6"/>
              <w:spacing w:before="122" w:line="228" w:lineRule="auto"/>
              <w:ind w:left="670"/>
            </w:pPr>
            <w:r>
              <w:rPr>
                <w:spacing w:val="6"/>
              </w:rPr>
              <w:t>项目经理</w:t>
            </w:r>
          </w:p>
        </w:tc>
      </w:tr>
      <w:tr w14:paraId="36772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3263" w:type="dxa"/>
            <w:gridSpan w:val="3"/>
            <w:vAlign w:val="top"/>
          </w:tcPr>
          <w:p w14:paraId="1E528544">
            <w:pPr>
              <w:pStyle w:val="6"/>
              <w:spacing w:before="123" w:line="228" w:lineRule="auto"/>
              <w:ind w:left="482"/>
            </w:pPr>
            <w:r>
              <w:rPr>
                <w:spacing w:val="9"/>
              </w:rPr>
              <w:t>注册建造师执业资格等级</w:t>
            </w:r>
          </w:p>
        </w:tc>
        <w:tc>
          <w:tcPr>
            <w:tcW w:w="1274" w:type="dxa"/>
            <w:vAlign w:val="top"/>
          </w:tcPr>
          <w:p w14:paraId="775CF4D0">
            <w:pPr>
              <w:pStyle w:val="6"/>
              <w:spacing w:before="123" w:line="230" w:lineRule="auto"/>
              <w:ind w:left="856"/>
            </w:pPr>
            <w:r>
              <w:t>级</w:t>
            </w:r>
          </w:p>
        </w:tc>
        <w:tc>
          <w:tcPr>
            <w:tcW w:w="2123" w:type="dxa"/>
            <w:vAlign w:val="top"/>
          </w:tcPr>
          <w:p w14:paraId="4D69EDAE">
            <w:pPr>
              <w:pStyle w:val="6"/>
              <w:spacing w:before="123" w:line="228" w:lineRule="auto"/>
              <w:ind w:left="546"/>
            </w:pPr>
            <w:r>
              <w:rPr>
                <w:spacing w:val="7"/>
              </w:rPr>
              <w:t>建造师专业</w:t>
            </w:r>
          </w:p>
        </w:tc>
        <w:tc>
          <w:tcPr>
            <w:tcW w:w="2164" w:type="dxa"/>
            <w:vAlign w:val="top"/>
          </w:tcPr>
          <w:p w14:paraId="65C99FD2">
            <w:pPr>
              <w:rPr>
                <w:rFonts w:ascii="Arial"/>
                <w:sz w:val="21"/>
              </w:rPr>
            </w:pPr>
          </w:p>
        </w:tc>
      </w:tr>
      <w:tr w14:paraId="17CA4D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3263" w:type="dxa"/>
            <w:gridSpan w:val="3"/>
            <w:vAlign w:val="top"/>
          </w:tcPr>
          <w:p w14:paraId="43D14418">
            <w:pPr>
              <w:pStyle w:val="6"/>
              <w:spacing w:before="122" w:line="227" w:lineRule="auto"/>
              <w:ind w:left="592"/>
            </w:pPr>
            <w:r>
              <w:rPr>
                <w:spacing w:val="8"/>
              </w:rPr>
              <w:t>安全生产考核合格证书</w:t>
            </w:r>
          </w:p>
        </w:tc>
        <w:tc>
          <w:tcPr>
            <w:tcW w:w="5561" w:type="dxa"/>
            <w:gridSpan w:val="3"/>
            <w:vAlign w:val="top"/>
          </w:tcPr>
          <w:p w14:paraId="48D5D961">
            <w:pPr>
              <w:rPr>
                <w:rFonts w:ascii="Arial"/>
                <w:sz w:val="21"/>
              </w:rPr>
            </w:pPr>
          </w:p>
        </w:tc>
      </w:tr>
      <w:tr w14:paraId="5DF6B1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96" w:type="dxa"/>
            <w:vAlign w:val="top"/>
          </w:tcPr>
          <w:p w14:paraId="03E66FEA">
            <w:pPr>
              <w:pStyle w:val="6"/>
              <w:spacing w:before="121" w:line="228" w:lineRule="auto"/>
              <w:ind w:left="138"/>
            </w:pPr>
            <w:r>
              <w:rPr>
                <w:spacing w:val="6"/>
              </w:rPr>
              <w:t>毕业学校</w:t>
            </w:r>
          </w:p>
        </w:tc>
        <w:tc>
          <w:tcPr>
            <w:tcW w:w="7728" w:type="dxa"/>
            <w:gridSpan w:val="5"/>
            <w:vAlign w:val="top"/>
          </w:tcPr>
          <w:p w14:paraId="4AB5CE09">
            <w:pPr>
              <w:pStyle w:val="6"/>
              <w:spacing w:before="121" w:line="228" w:lineRule="auto"/>
              <w:ind w:left="952"/>
            </w:pPr>
            <w:r>
              <w:rPr>
                <w:spacing w:val="5"/>
              </w:rPr>
              <w:t>年毕业于</w:t>
            </w:r>
            <w:r>
              <w:t xml:space="preserve">                   </w:t>
            </w:r>
            <w:r>
              <w:rPr>
                <w:spacing w:val="5"/>
              </w:rPr>
              <w:t>学校</w:t>
            </w:r>
            <w:r>
              <w:rPr>
                <w:spacing w:val="6"/>
              </w:rPr>
              <w:t xml:space="preserve">            </w:t>
            </w:r>
            <w:r>
              <w:rPr>
                <w:spacing w:val="5"/>
              </w:rPr>
              <w:t>专业</w:t>
            </w:r>
          </w:p>
        </w:tc>
      </w:tr>
      <w:tr w14:paraId="7CBBC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824" w:type="dxa"/>
            <w:gridSpan w:val="6"/>
            <w:vAlign w:val="top"/>
          </w:tcPr>
          <w:p w14:paraId="47677C38">
            <w:pPr>
              <w:pStyle w:val="6"/>
              <w:spacing w:before="123" w:line="228" w:lineRule="auto"/>
              <w:ind w:left="3789"/>
            </w:pPr>
            <w:r>
              <w:rPr>
                <w:spacing w:val="7"/>
              </w:rPr>
              <w:t>主要工作经历</w:t>
            </w:r>
          </w:p>
        </w:tc>
      </w:tr>
      <w:tr w14:paraId="242E4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96" w:type="dxa"/>
            <w:vAlign w:val="top"/>
          </w:tcPr>
          <w:p w14:paraId="1B9A8A23">
            <w:pPr>
              <w:pStyle w:val="6"/>
              <w:spacing w:before="122" w:line="230" w:lineRule="auto"/>
              <w:ind w:left="247"/>
            </w:pPr>
            <w:r>
              <w:rPr>
                <w:spacing w:val="-5"/>
              </w:rPr>
              <w:t>时</w:t>
            </w:r>
            <w:r>
              <w:rPr>
                <w:spacing w:val="17"/>
              </w:rPr>
              <w:t xml:space="preserve">  </w:t>
            </w:r>
            <w:r>
              <w:rPr>
                <w:spacing w:val="-5"/>
              </w:rPr>
              <w:t>间</w:t>
            </w:r>
          </w:p>
        </w:tc>
        <w:tc>
          <w:tcPr>
            <w:tcW w:w="3441" w:type="dxa"/>
            <w:gridSpan w:val="3"/>
            <w:vAlign w:val="top"/>
          </w:tcPr>
          <w:p w14:paraId="39783BEC">
            <w:pPr>
              <w:pStyle w:val="6"/>
              <w:spacing w:before="122" w:line="228" w:lineRule="auto"/>
              <w:ind w:left="677"/>
            </w:pPr>
            <w:r>
              <w:rPr>
                <w:spacing w:val="8"/>
              </w:rPr>
              <w:t>参加过的类似项目名称</w:t>
            </w:r>
          </w:p>
        </w:tc>
        <w:tc>
          <w:tcPr>
            <w:tcW w:w="2123" w:type="dxa"/>
            <w:vAlign w:val="top"/>
          </w:tcPr>
          <w:p w14:paraId="1813BC65">
            <w:pPr>
              <w:pStyle w:val="6"/>
              <w:spacing w:before="122" w:line="228" w:lineRule="auto"/>
              <w:ind w:left="441"/>
            </w:pPr>
            <w:r>
              <w:rPr>
                <w:spacing w:val="7"/>
              </w:rPr>
              <w:t>工程概况说明</w:t>
            </w:r>
          </w:p>
        </w:tc>
        <w:tc>
          <w:tcPr>
            <w:tcW w:w="2164" w:type="dxa"/>
            <w:vAlign w:val="top"/>
          </w:tcPr>
          <w:p w14:paraId="69C8C0D0">
            <w:pPr>
              <w:pStyle w:val="6"/>
              <w:spacing w:before="123" w:line="228" w:lineRule="auto"/>
              <w:ind w:left="250"/>
            </w:pPr>
            <w:r>
              <w:rPr>
                <w:spacing w:val="8"/>
              </w:rPr>
              <w:t>发包人及联系电话</w:t>
            </w:r>
          </w:p>
        </w:tc>
      </w:tr>
      <w:tr w14:paraId="18F777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6" w:type="dxa"/>
            <w:vAlign w:val="top"/>
          </w:tcPr>
          <w:p w14:paraId="28BAEE15">
            <w:pPr>
              <w:rPr>
                <w:rFonts w:ascii="Arial"/>
                <w:sz w:val="21"/>
              </w:rPr>
            </w:pPr>
          </w:p>
        </w:tc>
        <w:tc>
          <w:tcPr>
            <w:tcW w:w="3441" w:type="dxa"/>
            <w:gridSpan w:val="3"/>
            <w:vAlign w:val="top"/>
          </w:tcPr>
          <w:p w14:paraId="469943A8">
            <w:pPr>
              <w:rPr>
                <w:rFonts w:ascii="Arial"/>
                <w:sz w:val="21"/>
              </w:rPr>
            </w:pPr>
          </w:p>
        </w:tc>
        <w:tc>
          <w:tcPr>
            <w:tcW w:w="2123" w:type="dxa"/>
            <w:vAlign w:val="top"/>
          </w:tcPr>
          <w:p w14:paraId="42205BCE">
            <w:pPr>
              <w:rPr>
                <w:rFonts w:ascii="Arial"/>
                <w:sz w:val="21"/>
              </w:rPr>
            </w:pPr>
          </w:p>
        </w:tc>
        <w:tc>
          <w:tcPr>
            <w:tcW w:w="2164" w:type="dxa"/>
            <w:vAlign w:val="top"/>
          </w:tcPr>
          <w:p w14:paraId="749543B0">
            <w:pPr>
              <w:rPr>
                <w:rFonts w:ascii="Arial"/>
                <w:sz w:val="21"/>
              </w:rPr>
            </w:pPr>
          </w:p>
        </w:tc>
      </w:tr>
      <w:tr w14:paraId="581284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6" w:type="dxa"/>
            <w:vAlign w:val="top"/>
          </w:tcPr>
          <w:p w14:paraId="53ED50FB">
            <w:pPr>
              <w:rPr>
                <w:rFonts w:ascii="Arial"/>
                <w:sz w:val="21"/>
              </w:rPr>
            </w:pPr>
          </w:p>
        </w:tc>
        <w:tc>
          <w:tcPr>
            <w:tcW w:w="3441" w:type="dxa"/>
            <w:gridSpan w:val="3"/>
            <w:vAlign w:val="top"/>
          </w:tcPr>
          <w:p w14:paraId="00B3E4C9">
            <w:pPr>
              <w:rPr>
                <w:rFonts w:ascii="Arial"/>
                <w:sz w:val="21"/>
              </w:rPr>
            </w:pPr>
          </w:p>
        </w:tc>
        <w:tc>
          <w:tcPr>
            <w:tcW w:w="2123" w:type="dxa"/>
            <w:vAlign w:val="top"/>
          </w:tcPr>
          <w:p w14:paraId="6A783A48">
            <w:pPr>
              <w:rPr>
                <w:rFonts w:ascii="Arial"/>
                <w:sz w:val="21"/>
              </w:rPr>
            </w:pPr>
          </w:p>
        </w:tc>
        <w:tc>
          <w:tcPr>
            <w:tcW w:w="2164" w:type="dxa"/>
            <w:vAlign w:val="top"/>
          </w:tcPr>
          <w:p w14:paraId="6C26F5AB">
            <w:pPr>
              <w:rPr>
                <w:rFonts w:ascii="Arial"/>
                <w:sz w:val="21"/>
              </w:rPr>
            </w:pPr>
          </w:p>
        </w:tc>
      </w:tr>
      <w:tr w14:paraId="0E137D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6" w:type="dxa"/>
            <w:vAlign w:val="top"/>
          </w:tcPr>
          <w:p w14:paraId="469ABD0E">
            <w:pPr>
              <w:rPr>
                <w:rFonts w:ascii="Arial"/>
                <w:sz w:val="21"/>
              </w:rPr>
            </w:pPr>
          </w:p>
        </w:tc>
        <w:tc>
          <w:tcPr>
            <w:tcW w:w="3441" w:type="dxa"/>
            <w:gridSpan w:val="3"/>
            <w:vAlign w:val="top"/>
          </w:tcPr>
          <w:p w14:paraId="2299F39C">
            <w:pPr>
              <w:rPr>
                <w:rFonts w:ascii="Arial"/>
                <w:sz w:val="21"/>
              </w:rPr>
            </w:pPr>
          </w:p>
        </w:tc>
        <w:tc>
          <w:tcPr>
            <w:tcW w:w="2123" w:type="dxa"/>
            <w:vAlign w:val="top"/>
          </w:tcPr>
          <w:p w14:paraId="02892D9C">
            <w:pPr>
              <w:rPr>
                <w:rFonts w:ascii="Arial"/>
                <w:sz w:val="21"/>
              </w:rPr>
            </w:pPr>
          </w:p>
        </w:tc>
        <w:tc>
          <w:tcPr>
            <w:tcW w:w="2164" w:type="dxa"/>
            <w:vAlign w:val="top"/>
          </w:tcPr>
          <w:p w14:paraId="4AE2FCCC">
            <w:pPr>
              <w:rPr>
                <w:rFonts w:ascii="Arial"/>
                <w:sz w:val="21"/>
              </w:rPr>
            </w:pPr>
          </w:p>
        </w:tc>
      </w:tr>
      <w:tr w14:paraId="6872E3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6" w:type="dxa"/>
            <w:vAlign w:val="top"/>
          </w:tcPr>
          <w:p w14:paraId="7A679F9C">
            <w:pPr>
              <w:rPr>
                <w:rFonts w:ascii="Arial"/>
                <w:sz w:val="21"/>
              </w:rPr>
            </w:pPr>
          </w:p>
        </w:tc>
        <w:tc>
          <w:tcPr>
            <w:tcW w:w="3441" w:type="dxa"/>
            <w:gridSpan w:val="3"/>
            <w:vAlign w:val="top"/>
          </w:tcPr>
          <w:p w14:paraId="0CD08A71">
            <w:pPr>
              <w:rPr>
                <w:rFonts w:ascii="Arial"/>
                <w:sz w:val="21"/>
              </w:rPr>
            </w:pPr>
          </w:p>
        </w:tc>
        <w:tc>
          <w:tcPr>
            <w:tcW w:w="2123" w:type="dxa"/>
            <w:vAlign w:val="top"/>
          </w:tcPr>
          <w:p w14:paraId="7A615CF6">
            <w:pPr>
              <w:rPr>
                <w:rFonts w:ascii="Arial"/>
                <w:sz w:val="21"/>
              </w:rPr>
            </w:pPr>
          </w:p>
        </w:tc>
        <w:tc>
          <w:tcPr>
            <w:tcW w:w="2164" w:type="dxa"/>
            <w:vAlign w:val="top"/>
          </w:tcPr>
          <w:p w14:paraId="74E4068F">
            <w:pPr>
              <w:rPr>
                <w:rFonts w:ascii="Arial"/>
                <w:sz w:val="21"/>
              </w:rPr>
            </w:pPr>
          </w:p>
        </w:tc>
      </w:tr>
      <w:tr w14:paraId="4A1942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6" w:type="dxa"/>
            <w:vAlign w:val="top"/>
          </w:tcPr>
          <w:p w14:paraId="7B3D4931">
            <w:pPr>
              <w:rPr>
                <w:rFonts w:ascii="Arial"/>
                <w:sz w:val="21"/>
              </w:rPr>
            </w:pPr>
          </w:p>
        </w:tc>
        <w:tc>
          <w:tcPr>
            <w:tcW w:w="3441" w:type="dxa"/>
            <w:gridSpan w:val="3"/>
            <w:vAlign w:val="top"/>
          </w:tcPr>
          <w:p w14:paraId="3BDD83F0">
            <w:pPr>
              <w:rPr>
                <w:rFonts w:ascii="Arial"/>
                <w:sz w:val="21"/>
              </w:rPr>
            </w:pPr>
          </w:p>
        </w:tc>
        <w:tc>
          <w:tcPr>
            <w:tcW w:w="2123" w:type="dxa"/>
            <w:vAlign w:val="top"/>
          </w:tcPr>
          <w:p w14:paraId="0B276409">
            <w:pPr>
              <w:rPr>
                <w:rFonts w:ascii="Arial"/>
                <w:sz w:val="21"/>
              </w:rPr>
            </w:pPr>
          </w:p>
        </w:tc>
        <w:tc>
          <w:tcPr>
            <w:tcW w:w="2164" w:type="dxa"/>
            <w:vAlign w:val="top"/>
          </w:tcPr>
          <w:p w14:paraId="04C45F3A">
            <w:pPr>
              <w:rPr>
                <w:rFonts w:ascii="Arial"/>
                <w:sz w:val="21"/>
              </w:rPr>
            </w:pPr>
          </w:p>
        </w:tc>
      </w:tr>
      <w:tr w14:paraId="18A154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6" w:type="dxa"/>
            <w:vAlign w:val="top"/>
          </w:tcPr>
          <w:p w14:paraId="3364A47F">
            <w:pPr>
              <w:rPr>
                <w:rFonts w:ascii="Arial"/>
                <w:sz w:val="21"/>
              </w:rPr>
            </w:pPr>
          </w:p>
        </w:tc>
        <w:tc>
          <w:tcPr>
            <w:tcW w:w="3441" w:type="dxa"/>
            <w:gridSpan w:val="3"/>
            <w:vAlign w:val="top"/>
          </w:tcPr>
          <w:p w14:paraId="0CEA891D">
            <w:pPr>
              <w:rPr>
                <w:rFonts w:ascii="Arial"/>
                <w:sz w:val="21"/>
              </w:rPr>
            </w:pPr>
          </w:p>
        </w:tc>
        <w:tc>
          <w:tcPr>
            <w:tcW w:w="2123" w:type="dxa"/>
            <w:vAlign w:val="top"/>
          </w:tcPr>
          <w:p w14:paraId="2185E27B">
            <w:pPr>
              <w:rPr>
                <w:rFonts w:ascii="Arial"/>
                <w:sz w:val="21"/>
              </w:rPr>
            </w:pPr>
          </w:p>
        </w:tc>
        <w:tc>
          <w:tcPr>
            <w:tcW w:w="2164" w:type="dxa"/>
            <w:vAlign w:val="top"/>
          </w:tcPr>
          <w:p w14:paraId="1DCD36AD">
            <w:pPr>
              <w:rPr>
                <w:rFonts w:ascii="Arial"/>
                <w:sz w:val="21"/>
              </w:rPr>
            </w:pPr>
          </w:p>
        </w:tc>
      </w:tr>
      <w:tr w14:paraId="3F620F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6" w:type="dxa"/>
            <w:vAlign w:val="top"/>
          </w:tcPr>
          <w:p w14:paraId="11128087">
            <w:pPr>
              <w:rPr>
                <w:rFonts w:ascii="Arial"/>
                <w:sz w:val="21"/>
              </w:rPr>
            </w:pPr>
          </w:p>
        </w:tc>
        <w:tc>
          <w:tcPr>
            <w:tcW w:w="3441" w:type="dxa"/>
            <w:gridSpan w:val="3"/>
            <w:vAlign w:val="top"/>
          </w:tcPr>
          <w:p w14:paraId="00D3A271">
            <w:pPr>
              <w:rPr>
                <w:rFonts w:ascii="Arial"/>
                <w:sz w:val="21"/>
              </w:rPr>
            </w:pPr>
          </w:p>
        </w:tc>
        <w:tc>
          <w:tcPr>
            <w:tcW w:w="2123" w:type="dxa"/>
            <w:vAlign w:val="top"/>
          </w:tcPr>
          <w:p w14:paraId="1D47820D">
            <w:pPr>
              <w:rPr>
                <w:rFonts w:ascii="Arial"/>
                <w:sz w:val="21"/>
              </w:rPr>
            </w:pPr>
          </w:p>
        </w:tc>
        <w:tc>
          <w:tcPr>
            <w:tcW w:w="2164" w:type="dxa"/>
            <w:vAlign w:val="top"/>
          </w:tcPr>
          <w:p w14:paraId="7228DF2E">
            <w:pPr>
              <w:rPr>
                <w:rFonts w:ascii="Arial"/>
                <w:sz w:val="21"/>
              </w:rPr>
            </w:pPr>
          </w:p>
        </w:tc>
      </w:tr>
      <w:tr w14:paraId="5E0DA9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6" w:type="dxa"/>
            <w:vAlign w:val="top"/>
          </w:tcPr>
          <w:p w14:paraId="2C2C69F7">
            <w:pPr>
              <w:rPr>
                <w:rFonts w:ascii="Arial"/>
                <w:sz w:val="21"/>
              </w:rPr>
            </w:pPr>
          </w:p>
        </w:tc>
        <w:tc>
          <w:tcPr>
            <w:tcW w:w="3441" w:type="dxa"/>
            <w:gridSpan w:val="3"/>
            <w:vAlign w:val="top"/>
          </w:tcPr>
          <w:p w14:paraId="66A5D223">
            <w:pPr>
              <w:rPr>
                <w:rFonts w:ascii="Arial"/>
                <w:sz w:val="21"/>
              </w:rPr>
            </w:pPr>
          </w:p>
        </w:tc>
        <w:tc>
          <w:tcPr>
            <w:tcW w:w="2123" w:type="dxa"/>
            <w:vAlign w:val="top"/>
          </w:tcPr>
          <w:p w14:paraId="7AE2EB2F">
            <w:pPr>
              <w:rPr>
                <w:rFonts w:ascii="Arial"/>
                <w:sz w:val="21"/>
              </w:rPr>
            </w:pPr>
          </w:p>
        </w:tc>
        <w:tc>
          <w:tcPr>
            <w:tcW w:w="2164" w:type="dxa"/>
            <w:vAlign w:val="top"/>
          </w:tcPr>
          <w:p w14:paraId="06F5C7DA">
            <w:pPr>
              <w:rPr>
                <w:rFonts w:ascii="Arial"/>
                <w:sz w:val="21"/>
              </w:rPr>
            </w:pPr>
          </w:p>
        </w:tc>
      </w:tr>
      <w:tr w14:paraId="7EBE2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096" w:type="dxa"/>
            <w:vAlign w:val="top"/>
          </w:tcPr>
          <w:p w14:paraId="2E42E674">
            <w:pPr>
              <w:rPr>
                <w:rFonts w:ascii="Arial"/>
                <w:sz w:val="21"/>
              </w:rPr>
            </w:pPr>
          </w:p>
        </w:tc>
        <w:tc>
          <w:tcPr>
            <w:tcW w:w="3441" w:type="dxa"/>
            <w:gridSpan w:val="3"/>
            <w:vAlign w:val="top"/>
          </w:tcPr>
          <w:p w14:paraId="2C12E737">
            <w:pPr>
              <w:rPr>
                <w:rFonts w:ascii="Arial"/>
                <w:sz w:val="21"/>
              </w:rPr>
            </w:pPr>
          </w:p>
        </w:tc>
        <w:tc>
          <w:tcPr>
            <w:tcW w:w="2123" w:type="dxa"/>
            <w:vAlign w:val="top"/>
          </w:tcPr>
          <w:p w14:paraId="0C8F4391">
            <w:pPr>
              <w:rPr>
                <w:rFonts w:ascii="Arial"/>
                <w:sz w:val="21"/>
              </w:rPr>
            </w:pPr>
          </w:p>
        </w:tc>
        <w:tc>
          <w:tcPr>
            <w:tcW w:w="2164" w:type="dxa"/>
            <w:vAlign w:val="top"/>
          </w:tcPr>
          <w:p w14:paraId="05A7A2CB">
            <w:pPr>
              <w:rPr>
                <w:rFonts w:ascii="Arial"/>
                <w:sz w:val="21"/>
              </w:rPr>
            </w:pPr>
          </w:p>
        </w:tc>
      </w:tr>
    </w:tbl>
    <w:p w14:paraId="75659839">
      <w:pPr>
        <w:spacing w:line="434" w:lineRule="auto"/>
        <w:rPr>
          <w:rFonts w:ascii="Arial"/>
          <w:sz w:val="21"/>
        </w:rPr>
      </w:pPr>
    </w:p>
    <w:p w14:paraId="78AF84C1">
      <w:pPr>
        <w:spacing w:before="65" w:line="299" w:lineRule="auto"/>
        <w:ind w:left="962" w:hanging="947"/>
        <w:rPr>
          <w:rFonts w:ascii="宋体" w:hAnsi="宋体" w:eastAsia="宋体" w:cs="宋体"/>
          <w:sz w:val="20"/>
          <w:szCs w:val="20"/>
        </w:rPr>
      </w:pPr>
      <w:r>
        <w:rPr>
          <w:rFonts w:ascii="宋体" w:hAnsi="宋体" w:eastAsia="宋体" w:cs="宋体"/>
          <w:spacing w:val="6"/>
          <w:sz w:val="20"/>
          <w:szCs w:val="20"/>
        </w:rPr>
        <w:t>备注：1. 项目经理应附建造师资格证书、注册证书、安全生产考核合格证书（</w:t>
      </w:r>
      <w:r>
        <w:rPr>
          <w:rFonts w:ascii="Times New Roman" w:hAnsi="Times New Roman" w:eastAsia="Times New Roman" w:cs="Times New Roman"/>
          <w:spacing w:val="6"/>
          <w:sz w:val="20"/>
          <w:szCs w:val="20"/>
        </w:rPr>
        <w:t>B</w:t>
      </w:r>
      <w:r>
        <w:rPr>
          <w:rFonts w:ascii="宋体" w:hAnsi="宋体" w:eastAsia="宋体" w:cs="宋体"/>
          <w:spacing w:val="6"/>
          <w:sz w:val="20"/>
          <w:szCs w:val="20"/>
        </w:rPr>
        <w:t>证）、职称证书、</w:t>
      </w:r>
      <w:r>
        <w:rPr>
          <w:rFonts w:ascii="宋体" w:hAnsi="宋体" w:eastAsia="宋体" w:cs="宋体"/>
          <w:spacing w:val="7"/>
          <w:sz w:val="20"/>
          <w:szCs w:val="20"/>
        </w:rPr>
        <w:t>学历证书扫描件。</w:t>
      </w:r>
    </w:p>
    <w:p w14:paraId="03BACBDE">
      <w:pPr>
        <w:spacing w:line="301" w:lineRule="auto"/>
        <w:ind w:left="957" w:right="22" w:hanging="311"/>
        <w:rPr>
          <w:rFonts w:ascii="宋体" w:hAnsi="宋体" w:eastAsia="宋体" w:cs="宋体"/>
          <w:sz w:val="20"/>
          <w:szCs w:val="20"/>
        </w:rPr>
      </w:pPr>
      <w:r>
        <w:rPr>
          <w:rFonts w:ascii="宋体" w:hAnsi="宋体" w:eastAsia="宋体" w:cs="宋体"/>
          <w:spacing w:val="9"/>
          <w:sz w:val="20"/>
          <w:szCs w:val="20"/>
        </w:rPr>
        <w:t>2. 类似项目限于以项目经理身份参与的项目。须附中标通知书（</w:t>
      </w:r>
      <w:r>
        <w:rPr>
          <w:rFonts w:ascii="宋体" w:hAnsi="宋体" w:eastAsia="宋体" w:cs="宋体"/>
          <w:spacing w:val="8"/>
          <w:sz w:val="20"/>
          <w:szCs w:val="20"/>
        </w:rPr>
        <w:t>如有）、合同协议书、施工许可证（如有）、工程接收证书或工程竣工验收证书（工程竣工验收备案证）</w:t>
      </w:r>
      <w:r>
        <w:rPr>
          <w:rFonts w:ascii="宋体" w:hAnsi="宋体" w:eastAsia="宋体" w:cs="宋体"/>
          <w:spacing w:val="-57"/>
          <w:sz w:val="20"/>
          <w:szCs w:val="20"/>
        </w:rPr>
        <w:t xml:space="preserve"> </w:t>
      </w:r>
      <w:r>
        <w:rPr>
          <w:rFonts w:ascii="宋体" w:hAnsi="宋体" w:eastAsia="宋体" w:cs="宋体"/>
          <w:spacing w:val="8"/>
          <w:sz w:val="20"/>
          <w:szCs w:val="20"/>
        </w:rPr>
        <w:t>的扫描</w:t>
      </w:r>
      <w:r>
        <w:rPr>
          <w:rFonts w:ascii="宋体" w:hAnsi="宋体" w:eastAsia="宋体" w:cs="宋体"/>
          <w:spacing w:val="11"/>
          <w:sz w:val="20"/>
          <w:szCs w:val="20"/>
        </w:rPr>
        <w:t>件，上述证明材料不足以反映“类似项目</w:t>
      </w:r>
      <w:r>
        <w:rPr>
          <w:rFonts w:ascii="宋体" w:hAnsi="宋体" w:eastAsia="宋体" w:cs="宋体"/>
          <w:spacing w:val="-70"/>
          <w:sz w:val="20"/>
          <w:szCs w:val="20"/>
        </w:rPr>
        <w:t xml:space="preserve"> </w:t>
      </w:r>
      <w:r>
        <w:rPr>
          <w:rFonts w:ascii="宋体" w:hAnsi="宋体" w:eastAsia="宋体" w:cs="宋体"/>
          <w:spacing w:val="11"/>
          <w:sz w:val="20"/>
          <w:szCs w:val="20"/>
        </w:rPr>
        <w:t>” 的工程特征指标时，还应当提供其</w:t>
      </w:r>
      <w:r>
        <w:rPr>
          <w:rFonts w:ascii="宋体" w:hAnsi="宋体" w:eastAsia="宋体" w:cs="宋体"/>
          <w:spacing w:val="10"/>
          <w:sz w:val="20"/>
          <w:szCs w:val="20"/>
        </w:rPr>
        <w:t>他技术</w:t>
      </w:r>
      <w:r>
        <w:rPr>
          <w:rFonts w:ascii="宋体" w:hAnsi="宋体" w:eastAsia="宋体" w:cs="宋体"/>
          <w:spacing w:val="9"/>
          <w:sz w:val="20"/>
          <w:szCs w:val="20"/>
        </w:rPr>
        <w:t>资料的扫描件予以证明。招标发包的工程应附中标通知书。</w:t>
      </w:r>
    </w:p>
    <w:p w14:paraId="027EA173">
      <w:pPr>
        <w:spacing w:line="301" w:lineRule="auto"/>
        <w:rPr>
          <w:rFonts w:ascii="宋体" w:hAnsi="宋体" w:eastAsia="宋体" w:cs="宋体"/>
          <w:sz w:val="20"/>
          <w:szCs w:val="20"/>
        </w:rPr>
        <w:sectPr>
          <w:footerReference r:id="rId526" w:type="default"/>
          <w:pgSz w:w="11907" w:h="16840"/>
          <w:pgMar w:top="400" w:right="1508" w:bottom="1247" w:left="1469" w:header="0" w:footer="1085" w:gutter="0"/>
          <w:cols w:space="720" w:num="1"/>
        </w:sectPr>
      </w:pPr>
    </w:p>
    <w:p w14:paraId="52C58480">
      <w:pPr>
        <w:spacing w:line="256" w:lineRule="auto"/>
        <w:rPr>
          <w:rFonts w:ascii="Arial"/>
          <w:sz w:val="21"/>
        </w:rPr>
      </w:pPr>
    </w:p>
    <w:p w14:paraId="7CF52C3B">
      <w:pPr>
        <w:spacing w:line="256" w:lineRule="auto"/>
        <w:rPr>
          <w:rFonts w:ascii="Arial"/>
          <w:sz w:val="21"/>
        </w:rPr>
      </w:pPr>
    </w:p>
    <w:p w14:paraId="321D6BBF">
      <w:pPr>
        <w:spacing w:line="256" w:lineRule="auto"/>
        <w:rPr>
          <w:rFonts w:ascii="Arial"/>
          <w:sz w:val="21"/>
        </w:rPr>
      </w:pPr>
    </w:p>
    <w:p w14:paraId="16F506B2">
      <w:pPr>
        <w:spacing w:line="256" w:lineRule="auto"/>
        <w:rPr>
          <w:rFonts w:ascii="Arial"/>
          <w:sz w:val="21"/>
        </w:rPr>
      </w:pPr>
    </w:p>
    <w:p w14:paraId="549DBAA2">
      <w:pPr>
        <w:spacing w:line="257" w:lineRule="auto"/>
        <w:rPr>
          <w:rFonts w:ascii="Arial"/>
          <w:sz w:val="21"/>
        </w:rPr>
      </w:pPr>
    </w:p>
    <w:p w14:paraId="59D4069B">
      <w:pPr>
        <w:pStyle w:val="2"/>
        <w:spacing w:before="91" w:line="223" w:lineRule="auto"/>
        <w:ind w:left="3642"/>
        <w:outlineLvl w:val="2"/>
        <w:rPr>
          <w:sz w:val="28"/>
          <w:szCs w:val="28"/>
        </w:rPr>
      </w:pPr>
      <w:bookmarkStart w:id="424" w:name="bookmark405"/>
      <w:bookmarkEnd w:id="424"/>
      <w:r>
        <w:rPr>
          <w:spacing w:val="-5"/>
          <w:sz w:val="28"/>
          <w:szCs w:val="28"/>
        </w:rPr>
        <w:t>（三）承诺书</w:t>
      </w:r>
    </w:p>
    <w:p w14:paraId="75C18CE1">
      <w:pPr>
        <w:tabs>
          <w:tab w:val="left" w:pos="2205"/>
        </w:tabs>
        <w:spacing w:before="28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（招标人名称</w:t>
      </w:r>
      <w:r>
        <w:rPr>
          <w:rFonts w:ascii="宋体" w:hAnsi="宋体" w:eastAsia="宋体" w:cs="宋体"/>
          <w:spacing w:val="-52"/>
          <w:sz w:val="20"/>
          <w:szCs w:val="20"/>
        </w:rPr>
        <w:t>）：</w:t>
      </w:r>
    </w:p>
    <w:p w14:paraId="601CEFEE">
      <w:pPr>
        <w:spacing w:line="269" w:lineRule="auto"/>
        <w:rPr>
          <w:rFonts w:ascii="Arial"/>
          <w:sz w:val="21"/>
        </w:rPr>
      </w:pPr>
    </w:p>
    <w:p w14:paraId="560B3C98">
      <w:pPr>
        <w:spacing w:line="270" w:lineRule="auto"/>
        <w:rPr>
          <w:rFonts w:ascii="Arial"/>
          <w:sz w:val="21"/>
        </w:rPr>
      </w:pPr>
    </w:p>
    <w:p w14:paraId="762FEF89">
      <w:pPr>
        <w:spacing w:before="65" w:line="406" w:lineRule="auto"/>
        <w:ind w:left="11" w:firstLine="417"/>
        <w:jc w:val="both"/>
        <w:rPr>
          <w:rFonts w:ascii="宋体" w:hAnsi="宋体" w:eastAsia="宋体" w:cs="宋体"/>
          <w:sz w:val="20"/>
          <w:szCs w:val="20"/>
        </w:rPr>
      </w:pPr>
      <w:r>
        <w:rPr>
          <w:rFonts w:ascii="宋体" w:hAnsi="宋体" w:eastAsia="宋体" w:cs="宋体"/>
          <w:spacing w:val="5"/>
          <w:sz w:val="20"/>
          <w:szCs w:val="20"/>
        </w:rPr>
        <w:t>根据《注册建造师执业管理办法（试行）》规定，我方声明拟派往</w:t>
      </w:r>
      <w:r>
        <w:rPr>
          <w:rFonts w:ascii="宋体" w:hAnsi="宋体" w:eastAsia="宋体" w:cs="宋体"/>
          <w:spacing w:val="-81"/>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（项目名称）</w:t>
      </w:r>
      <w:r>
        <w:rPr>
          <w:rFonts w:ascii="宋体" w:hAnsi="宋体" w:eastAsia="宋体" w:cs="宋体"/>
          <w:sz w:val="20"/>
          <w:szCs w:val="20"/>
        </w:rPr>
        <w:t xml:space="preserve"> </w:t>
      </w:r>
      <w:r>
        <w:rPr>
          <w:rFonts w:ascii="宋体" w:hAnsi="宋体" w:eastAsia="宋体" w:cs="宋体"/>
          <w:spacing w:val="9"/>
          <w:sz w:val="20"/>
          <w:szCs w:val="20"/>
        </w:rPr>
        <w:t>（标段名称</w:t>
      </w:r>
      <w:r>
        <w:rPr>
          <w:rFonts w:ascii="宋体" w:hAnsi="宋体" w:eastAsia="宋体" w:cs="宋体"/>
          <w:spacing w:val="-56"/>
          <w:sz w:val="20"/>
          <w:szCs w:val="20"/>
        </w:rPr>
        <w:t>）（</w:t>
      </w:r>
      <w:r>
        <w:rPr>
          <w:rFonts w:ascii="宋体" w:hAnsi="宋体" w:eastAsia="宋体" w:cs="宋体"/>
          <w:spacing w:val="9"/>
          <w:sz w:val="20"/>
          <w:szCs w:val="20"/>
        </w:rPr>
        <w:t>以下简称“本工程”）的项目经理</w:t>
      </w:r>
      <w:r>
        <w:rPr>
          <w:rFonts w:ascii="宋体" w:hAnsi="宋体" w:eastAsia="宋体" w:cs="宋体"/>
          <w:spacing w:val="-97"/>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 xml:space="preserve"> （</w:t>
      </w:r>
      <w:r>
        <w:rPr>
          <w:rFonts w:ascii="宋体" w:hAnsi="宋体" w:eastAsia="宋体" w:cs="宋体"/>
          <w:spacing w:val="8"/>
          <w:sz w:val="20"/>
          <w:szCs w:val="20"/>
        </w:rPr>
        <w:t>项目经理姓名）能够参加本工程的</w:t>
      </w:r>
      <w:r>
        <w:rPr>
          <w:rFonts w:ascii="宋体" w:hAnsi="宋体" w:eastAsia="宋体" w:cs="宋体"/>
          <w:spacing w:val="7"/>
          <w:sz w:val="20"/>
          <w:szCs w:val="20"/>
        </w:rPr>
        <w:t>投标是基于以下理由：</w:t>
      </w:r>
    </w:p>
    <w:p w14:paraId="4DBD1EA1">
      <w:pPr>
        <w:spacing w:line="226" w:lineRule="auto"/>
        <w:ind w:left="450"/>
        <w:rPr>
          <w:rFonts w:ascii="宋体" w:hAnsi="宋体" w:eastAsia="宋体" w:cs="宋体"/>
          <w:sz w:val="20"/>
          <w:szCs w:val="20"/>
        </w:rPr>
      </w:pPr>
      <w:r>
        <w:rPr>
          <w:rFonts w:ascii="宋体" w:hAnsi="宋体" w:eastAsia="宋体" w:cs="宋体"/>
          <w:spacing w:val="9"/>
          <w:sz w:val="20"/>
          <w:szCs w:val="20"/>
        </w:rPr>
        <w:t>□  拟派项目经理现阶段（投标截止时间之前）没有担任其他在</w:t>
      </w:r>
      <w:r>
        <w:rPr>
          <w:rFonts w:ascii="宋体" w:hAnsi="宋体" w:eastAsia="宋体" w:cs="宋体"/>
          <w:spacing w:val="8"/>
          <w:sz w:val="20"/>
          <w:szCs w:val="20"/>
        </w:rPr>
        <w:t>施建设工程的项目经理；</w:t>
      </w:r>
    </w:p>
    <w:p w14:paraId="0E34BA64">
      <w:pPr>
        <w:spacing w:before="193" w:line="227" w:lineRule="auto"/>
        <w:ind w:left="450"/>
        <w:rPr>
          <w:rFonts w:ascii="宋体" w:hAnsi="宋体" w:eastAsia="宋体" w:cs="宋体"/>
          <w:sz w:val="20"/>
          <w:szCs w:val="20"/>
        </w:rPr>
      </w:pPr>
      <w:r>
        <w:rPr>
          <w:rFonts w:ascii="宋体" w:hAnsi="宋体" w:eastAsia="宋体" w:cs="宋体"/>
          <w:spacing w:val="6"/>
          <w:sz w:val="20"/>
          <w:szCs w:val="20"/>
        </w:rPr>
        <w:t>□  拟派项目经理存在《注册建造师执业管理办法（试行）》第九条规定的下列情</w:t>
      </w:r>
      <w:r>
        <w:rPr>
          <w:rFonts w:ascii="宋体" w:hAnsi="宋体" w:eastAsia="宋体" w:cs="宋体"/>
          <w:spacing w:val="5"/>
          <w:sz w:val="20"/>
          <w:szCs w:val="20"/>
        </w:rPr>
        <w:t>形：</w:t>
      </w:r>
    </w:p>
    <w:p w14:paraId="71EC0F2D">
      <w:pPr>
        <w:spacing w:before="194" w:line="228" w:lineRule="auto"/>
        <w:ind w:left="975"/>
        <w:rPr>
          <w:rFonts w:ascii="宋体" w:hAnsi="宋体" w:eastAsia="宋体" w:cs="宋体"/>
          <w:sz w:val="20"/>
          <w:szCs w:val="20"/>
        </w:rPr>
      </w:pPr>
      <w:r>
        <w:rPr>
          <w:rFonts w:ascii="宋体" w:hAnsi="宋体" w:eastAsia="宋体" w:cs="宋体"/>
          <w:spacing w:val="7"/>
          <w:sz w:val="20"/>
          <w:szCs w:val="20"/>
        </w:rPr>
        <w:t>□同一工程相邻分段发包或分期施工的</w:t>
      </w:r>
      <w:r>
        <w:rPr>
          <w:rFonts w:ascii="宋体" w:hAnsi="宋体" w:eastAsia="宋体" w:cs="宋体"/>
          <w:spacing w:val="-47"/>
          <w:sz w:val="20"/>
          <w:szCs w:val="20"/>
        </w:rPr>
        <w:t xml:space="preserve"> </w:t>
      </w:r>
      <w:r>
        <w:rPr>
          <w:rFonts w:ascii="宋体" w:hAnsi="宋体" w:eastAsia="宋体" w:cs="宋体"/>
          <w:spacing w:val="7"/>
          <w:sz w:val="20"/>
          <w:szCs w:val="20"/>
        </w:rPr>
        <w:t>;</w:t>
      </w:r>
    </w:p>
    <w:p w14:paraId="348EEB28">
      <w:pPr>
        <w:spacing w:before="194" w:line="228" w:lineRule="auto"/>
        <w:ind w:left="975"/>
        <w:rPr>
          <w:rFonts w:ascii="宋体" w:hAnsi="宋体" w:eastAsia="宋体" w:cs="宋体"/>
          <w:sz w:val="20"/>
          <w:szCs w:val="20"/>
        </w:rPr>
      </w:pPr>
      <w:r>
        <w:rPr>
          <w:rFonts w:ascii="宋体" w:hAnsi="宋体" w:eastAsia="宋体" w:cs="宋体"/>
          <w:spacing w:val="6"/>
          <w:sz w:val="20"/>
          <w:szCs w:val="20"/>
        </w:rPr>
        <w:t>□合同约定的工程验收合格的；</w:t>
      </w:r>
    </w:p>
    <w:p w14:paraId="07B86C8B">
      <w:pPr>
        <w:spacing w:before="192" w:line="228" w:lineRule="auto"/>
        <w:ind w:left="975"/>
        <w:rPr>
          <w:rFonts w:ascii="宋体" w:hAnsi="宋体" w:eastAsia="宋体" w:cs="宋体"/>
          <w:sz w:val="20"/>
          <w:szCs w:val="20"/>
        </w:rPr>
      </w:pPr>
      <w:r>
        <w:rPr>
          <w:rFonts w:ascii="宋体" w:hAnsi="宋体" w:eastAsia="宋体" w:cs="宋体"/>
          <w:spacing w:val="7"/>
          <w:sz w:val="20"/>
          <w:szCs w:val="20"/>
        </w:rPr>
        <w:t>□因非承包方原因致使工程项目停工超过</w:t>
      </w:r>
      <w:r>
        <w:rPr>
          <w:rFonts w:ascii="宋体" w:hAnsi="宋体" w:eastAsia="宋体" w:cs="宋体"/>
          <w:spacing w:val="-21"/>
          <w:sz w:val="20"/>
          <w:szCs w:val="20"/>
        </w:rPr>
        <w:t xml:space="preserve"> </w:t>
      </w:r>
      <w:r>
        <w:rPr>
          <w:rFonts w:ascii="宋体" w:hAnsi="宋体" w:eastAsia="宋体" w:cs="宋体"/>
          <w:spacing w:val="7"/>
          <w:sz w:val="20"/>
          <w:szCs w:val="20"/>
        </w:rPr>
        <w:t>120</w:t>
      </w:r>
      <w:r>
        <w:rPr>
          <w:rFonts w:ascii="宋体" w:hAnsi="宋体" w:eastAsia="宋体" w:cs="宋体"/>
          <w:spacing w:val="-37"/>
          <w:sz w:val="20"/>
          <w:szCs w:val="20"/>
        </w:rPr>
        <w:t xml:space="preserve"> </w:t>
      </w:r>
      <w:r>
        <w:rPr>
          <w:rFonts w:ascii="宋体" w:hAnsi="宋体" w:eastAsia="宋体" w:cs="宋体"/>
          <w:spacing w:val="7"/>
          <w:sz w:val="20"/>
          <w:szCs w:val="20"/>
        </w:rPr>
        <w:t>天（含</w:t>
      </w:r>
      <w:r>
        <w:rPr>
          <w:rFonts w:ascii="宋体" w:hAnsi="宋体" w:eastAsia="宋体" w:cs="宋体"/>
          <w:spacing w:val="-38"/>
          <w:sz w:val="20"/>
          <w:szCs w:val="20"/>
        </w:rPr>
        <w:t>），</w:t>
      </w:r>
      <w:r>
        <w:rPr>
          <w:rFonts w:ascii="宋体" w:hAnsi="宋体" w:eastAsia="宋体" w:cs="宋体"/>
          <w:spacing w:val="7"/>
          <w:sz w:val="20"/>
          <w:szCs w:val="20"/>
        </w:rPr>
        <w:t>经建设单</w:t>
      </w:r>
      <w:r>
        <w:rPr>
          <w:rFonts w:ascii="宋体" w:hAnsi="宋体" w:eastAsia="宋体" w:cs="宋体"/>
          <w:spacing w:val="6"/>
          <w:sz w:val="20"/>
          <w:szCs w:val="20"/>
        </w:rPr>
        <w:t>位同意的。</w:t>
      </w:r>
    </w:p>
    <w:p w14:paraId="7C0F8A4E">
      <w:pPr>
        <w:spacing w:before="192" w:line="227" w:lineRule="auto"/>
        <w:ind w:left="450"/>
        <w:rPr>
          <w:rFonts w:ascii="宋体" w:hAnsi="宋体" w:eastAsia="宋体" w:cs="宋体"/>
          <w:sz w:val="20"/>
          <w:szCs w:val="20"/>
        </w:rPr>
      </w:pPr>
      <w:r>
        <w:rPr>
          <w:rFonts w:ascii="宋体" w:hAnsi="宋体" w:eastAsia="宋体" w:cs="宋体"/>
          <w:spacing w:val="6"/>
          <w:sz w:val="20"/>
          <w:szCs w:val="20"/>
        </w:rPr>
        <w:t>□  拟派项目经理存在《注册建造师执业管理办法（试行）》第十条规定的下列情</w:t>
      </w:r>
      <w:r>
        <w:rPr>
          <w:rFonts w:ascii="宋体" w:hAnsi="宋体" w:eastAsia="宋体" w:cs="宋体"/>
          <w:spacing w:val="5"/>
          <w:sz w:val="20"/>
          <w:szCs w:val="20"/>
        </w:rPr>
        <w:t>形：</w:t>
      </w:r>
    </w:p>
    <w:p w14:paraId="7590660A">
      <w:pPr>
        <w:spacing w:before="196" w:line="228" w:lineRule="auto"/>
        <w:ind w:left="975"/>
        <w:rPr>
          <w:rFonts w:ascii="宋体" w:hAnsi="宋体" w:eastAsia="宋体" w:cs="宋体"/>
          <w:sz w:val="20"/>
          <w:szCs w:val="20"/>
        </w:rPr>
      </w:pPr>
      <w:r>
        <w:rPr>
          <w:rFonts w:ascii="宋体" w:hAnsi="宋体" w:eastAsia="宋体" w:cs="宋体"/>
          <w:spacing w:val="8"/>
          <w:sz w:val="20"/>
          <w:szCs w:val="20"/>
        </w:rPr>
        <w:t>□发包方与注册建造师受聘企业已解除承包合同的；</w:t>
      </w:r>
    </w:p>
    <w:p w14:paraId="4A60F3D6">
      <w:pPr>
        <w:spacing w:before="192" w:line="228" w:lineRule="auto"/>
        <w:ind w:left="975"/>
        <w:rPr>
          <w:rFonts w:ascii="宋体" w:hAnsi="宋体" w:eastAsia="宋体" w:cs="宋体"/>
          <w:sz w:val="20"/>
          <w:szCs w:val="20"/>
        </w:rPr>
      </w:pPr>
      <w:r>
        <w:rPr>
          <w:rFonts w:ascii="宋体" w:hAnsi="宋体" w:eastAsia="宋体" w:cs="宋体"/>
          <w:spacing w:val="7"/>
          <w:sz w:val="20"/>
          <w:szCs w:val="20"/>
        </w:rPr>
        <w:t>□发包方同意更换项目负责人的；</w:t>
      </w:r>
    </w:p>
    <w:p w14:paraId="3010B378">
      <w:pPr>
        <w:spacing w:before="192" w:line="228" w:lineRule="auto"/>
        <w:ind w:left="555"/>
        <w:rPr>
          <w:rFonts w:ascii="宋体" w:hAnsi="宋体" w:eastAsia="宋体" w:cs="宋体"/>
          <w:sz w:val="20"/>
          <w:szCs w:val="20"/>
        </w:rPr>
      </w:pPr>
      <w:r>
        <w:rPr>
          <w:rFonts w:ascii="宋体" w:hAnsi="宋体" w:eastAsia="宋体" w:cs="宋体"/>
          <w:spacing w:val="8"/>
          <w:sz w:val="20"/>
          <w:szCs w:val="20"/>
        </w:rPr>
        <w:t>□因不可抗力等特殊情况必须更换项目负责人的。</w:t>
      </w:r>
    </w:p>
    <w:p w14:paraId="60B453B6">
      <w:pPr>
        <w:spacing w:line="282" w:lineRule="auto"/>
        <w:rPr>
          <w:rFonts w:ascii="Arial"/>
          <w:sz w:val="21"/>
        </w:rPr>
      </w:pPr>
    </w:p>
    <w:p w14:paraId="745200D5">
      <w:pPr>
        <w:spacing w:line="283" w:lineRule="auto"/>
        <w:rPr>
          <w:rFonts w:ascii="Arial"/>
          <w:sz w:val="21"/>
        </w:rPr>
      </w:pPr>
    </w:p>
    <w:p w14:paraId="15309BE3">
      <w:pPr>
        <w:spacing w:before="65" w:line="228" w:lineRule="auto"/>
        <w:ind w:left="430"/>
        <w:rPr>
          <w:rFonts w:ascii="宋体" w:hAnsi="宋体" w:eastAsia="宋体" w:cs="宋体"/>
          <w:sz w:val="20"/>
          <w:szCs w:val="20"/>
        </w:rPr>
      </w:pPr>
      <w:r>
        <w:rPr>
          <w:rFonts w:ascii="宋体" w:hAnsi="宋体" w:eastAsia="宋体" w:cs="宋体"/>
          <w:spacing w:val="9"/>
          <w:sz w:val="20"/>
          <w:szCs w:val="20"/>
        </w:rPr>
        <w:t>我方保证上述信息的真实性和准确性，并承担相应的法律责任。</w:t>
      </w:r>
    </w:p>
    <w:p w14:paraId="215870AC">
      <w:pPr>
        <w:spacing w:before="193" w:line="228" w:lineRule="auto"/>
        <w:ind w:left="428"/>
        <w:rPr>
          <w:rFonts w:ascii="宋体" w:hAnsi="宋体" w:eastAsia="宋体" w:cs="宋体"/>
          <w:sz w:val="20"/>
          <w:szCs w:val="20"/>
        </w:rPr>
      </w:pPr>
      <w:r>
        <w:rPr>
          <w:rFonts w:ascii="宋体" w:hAnsi="宋体" w:eastAsia="宋体" w:cs="宋体"/>
          <w:spacing w:val="7"/>
          <w:sz w:val="20"/>
          <w:szCs w:val="20"/>
        </w:rPr>
        <w:t>特此承诺</w:t>
      </w:r>
    </w:p>
    <w:p w14:paraId="0F109FAD">
      <w:pPr>
        <w:spacing w:line="282" w:lineRule="auto"/>
        <w:rPr>
          <w:rFonts w:ascii="Arial"/>
          <w:sz w:val="21"/>
        </w:rPr>
      </w:pPr>
    </w:p>
    <w:p w14:paraId="3891FEF1">
      <w:pPr>
        <w:spacing w:line="283" w:lineRule="auto"/>
        <w:rPr>
          <w:rFonts w:ascii="Arial"/>
          <w:sz w:val="21"/>
        </w:rPr>
      </w:pPr>
    </w:p>
    <w:p w14:paraId="40369622">
      <w:pPr>
        <w:spacing w:before="65" w:line="227" w:lineRule="auto"/>
        <w:ind w:left="3769"/>
        <w:rPr>
          <w:rFonts w:ascii="宋体" w:hAnsi="宋体" w:eastAsia="宋体" w:cs="宋体"/>
          <w:sz w:val="20"/>
          <w:szCs w:val="20"/>
        </w:rPr>
      </w:pPr>
      <w:r>
        <w:rPr>
          <w:rFonts w:ascii="宋体" w:hAnsi="宋体" w:eastAsia="宋体" w:cs="宋体"/>
          <w:spacing w:val="11"/>
          <w:sz w:val="20"/>
          <w:szCs w:val="20"/>
        </w:rPr>
        <w:t>投标人</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1"/>
          <w:sz w:val="20"/>
          <w:szCs w:val="20"/>
        </w:rPr>
        <w:t>盖单位章）</w:t>
      </w:r>
    </w:p>
    <w:p w14:paraId="06DFDB4C">
      <w:pPr>
        <w:tabs>
          <w:tab w:val="left" w:pos="6592"/>
        </w:tabs>
        <w:spacing w:before="194" w:line="278" w:lineRule="auto"/>
        <w:ind w:left="5541" w:right="87" w:hanging="1774"/>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w:t>
      </w:r>
      <w:r>
        <w:rPr>
          <w:rFonts w:ascii="宋体" w:hAnsi="宋体" w:eastAsia="宋体" w:cs="宋体"/>
          <w:sz w:val="20"/>
          <w:szCs w:val="20"/>
          <w:u w:val="single" w:color="auto"/>
        </w:rPr>
        <w:tab/>
      </w:r>
      <w:r>
        <w:rPr>
          <w:rFonts w:ascii="宋体" w:hAnsi="宋体" w:eastAsia="宋体" w:cs="宋体"/>
          <w:spacing w:val="-88"/>
          <w:sz w:val="20"/>
          <w:szCs w:val="20"/>
        </w:rPr>
        <w:t xml:space="preserve"> </w:t>
      </w:r>
      <w:r>
        <w:rPr>
          <w:rFonts w:ascii="宋体" w:hAnsi="宋体" w:eastAsia="宋体" w:cs="宋体"/>
          <w:spacing w:val="-14"/>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14"/>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14"/>
          <w:sz w:val="20"/>
          <w:szCs w:val="20"/>
        </w:rPr>
        <w:t>日</w:t>
      </w:r>
    </w:p>
    <w:p w14:paraId="0531EA45">
      <w:pPr>
        <w:spacing w:line="247" w:lineRule="auto"/>
        <w:rPr>
          <w:rFonts w:ascii="Arial"/>
          <w:sz w:val="21"/>
        </w:rPr>
      </w:pPr>
    </w:p>
    <w:p w14:paraId="6101733D">
      <w:pPr>
        <w:spacing w:line="247" w:lineRule="auto"/>
        <w:rPr>
          <w:rFonts w:ascii="Arial"/>
          <w:sz w:val="21"/>
        </w:rPr>
      </w:pPr>
    </w:p>
    <w:p w14:paraId="429E4D01">
      <w:pPr>
        <w:spacing w:before="66" w:line="301" w:lineRule="auto"/>
        <w:ind w:left="1268" w:right="87" w:hanging="626"/>
        <w:rPr>
          <w:rFonts w:ascii="宋体" w:hAnsi="宋体" w:eastAsia="宋体" w:cs="宋体"/>
          <w:sz w:val="20"/>
          <w:szCs w:val="20"/>
        </w:rPr>
      </w:pPr>
      <w:r>
        <w:rPr>
          <w:rFonts w:ascii="宋体" w:hAnsi="宋体" w:eastAsia="宋体" w:cs="宋体"/>
          <w:spacing w:val="11"/>
          <w:sz w:val="20"/>
          <w:szCs w:val="20"/>
        </w:rPr>
        <w:t>备注：投标人应当根据“承诺书</w:t>
      </w:r>
      <w:r>
        <w:rPr>
          <w:rFonts w:ascii="宋体" w:hAnsi="宋体" w:eastAsia="宋体" w:cs="宋体"/>
          <w:spacing w:val="-70"/>
          <w:sz w:val="20"/>
          <w:szCs w:val="20"/>
        </w:rPr>
        <w:t xml:space="preserve"> </w:t>
      </w:r>
      <w:r>
        <w:rPr>
          <w:rFonts w:ascii="宋体" w:hAnsi="宋体" w:eastAsia="宋体" w:cs="宋体"/>
          <w:spacing w:val="11"/>
          <w:sz w:val="20"/>
          <w:szCs w:val="20"/>
        </w:rPr>
        <w:t>”的格式，如实说明拟派项目经理能够参加本工程</w:t>
      </w:r>
      <w:r>
        <w:rPr>
          <w:rFonts w:ascii="宋体" w:hAnsi="宋体" w:eastAsia="宋体" w:cs="宋体"/>
          <w:spacing w:val="10"/>
          <w:sz w:val="20"/>
          <w:szCs w:val="20"/>
        </w:rPr>
        <w:t>投标的</w:t>
      </w:r>
      <w:r>
        <w:rPr>
          <w:rFonts w:ascii="宋体" w:hAnsi="宋体" w:eastAsia="宋体" w:cs="宋体"/>
          <w:spacing w:val="6"/>
          <w:sz w:val="20"/>
          <w:szCs w:val="20"/>
        </w:rPr>
        <w:t>理由，存在《注册建造师执业管理办法（试行）》第九条或第十条情形的，应附相关</w:t>
      </w:r>
      <w:r>
        <w:rPr>
          <w:rFonts w:ascii="宋体" w:hAnsi="宋体" w:eastAsia="宋体" w:cs="宋体"/>
          <w:spacing w:val="7"/>
          <w:sz w:val="20"/>
          <w:szCs w:val="20"/>
        </w:rPr>
        <w:t>证明材料的扫描件。</w:t>
      </w:r>
    </w:p>
    <w:p w14:paraId="6887FE02">
      <w:pPr>
        <w:spacing w:line="301" w:lineRule="auto"/>
        <w:rPr>
          <w:rFonts w:ascii="宋体" w:hAnsi="宋体" w:eastAsia="宋体" w:cs="宋体"/>
          <w:sz w:val="20"/>
          <w:szCs w:val="20"/>
        </w:rPr>
        <w:sectPr>
          <w:footerReference r:id="rId527" w:type="default"/>
          <w:pgSz w:w="11907" w:h="16840"/>
          <w:pgMar w:top="400" w:right="1444" w:bottom="1247" w:left="1473" w:header="0" w:footer="1085" w:gutter="0"/>
          <w:cols w:space="720" w:num="1"/>
        </w:sectPr>
      </w:pPr>
    </w:p>
    <w:p w14:paraId="3F379727">
      <w:pPr>
        <w:spacing w:line="258" w:lineRule="auto"/>
        <w:rPr>
          <w:rFonts w:ascii="Arial"/>
          <w:sz w:val="21"/>
        </w:rPr>
      </w:pPr>
    </w:p>
    <w:p w14:paraId="55152CC3">
      <w:pPr>
        <w:spacing w:line="258" w:lineRule="auto"/>
        <w:rPr>
          <w:rFonts w:ascii="Arial"/>
          <w:sz w:val="21"/>
        </w:rPr>
      </w:pPr>
    </w:p>
    <w:p w14:paraId="3D588E63">
      <w:pPr>
        <w:spacing w:line="258" w:lineRule="auto"/>
        <w:rPr>
          <w:rFonts w:ascii="Arial"/>
          <w:sz w:val="21"/>
        </w:rPr>
      </w:pPr>
    </w:p>
    <w:p w14:paraId="5FF1EB9D">
      <w:pPr>
        <w:spacing w:line="258" w:lineRule="auto"/>
        <w:rPr>
          <w:rFonts w:ascii="Arial"/>
          <w:sz w:val="21"/>
        </w:rPr>
      </w:pPr>
    </w:p>
    <w:p w14:paraId="6BB10D15">
      <w:pPr>
        <w:spacing w:line="259" w:lineRule="auto"/>
        <w:rPr>
          <w:rFonts w:ascii="Arial"/>
          <w:sz w:val="21"/>
        </w:rPr>
      </w:pPr>
    </w:p>
    <w:p w14:paraId="28F9FACE">
      <w:pPr>
        <w:spacing w:line="259" w:lineRule="auto"/>
        <w:rPr>
          <w:rFonts w:ascii="Arial"/>
          <w:sz w:val="21"/>
        </w:rPr>
      </w:pPr>
    </w:p>
    <w:p w14:paraId="7AB81D2F">
      <w:pPr>
        <w:pStyle w:val="2"/>
        <w:spacing w:before="91" w:line="222" w:lineRule="auto"/>
        <w:ind w:left="2352"/>
        <w:outlineLvl w:val="2"/>
        <w:rPr>
          <w:sz w:val="28"/>
          <w:szCs w:val="28"/>
        </w:rPr>
      </w:pPr>
      <w:bookmarkStart w:id="425" w:name="bookmark406"/>
      <w:bookmarkEnd w:id="425"/>
      <w:r>
        <w:rPr>
          <w:spacing w:val="-2"/>
          <w:sz w:val="28"/>
          <w:szCs w:val="28"/>
        </w:rPr>
        <w:t>（四）其他主要项目管理人员简历表</w:t>
      </w:r>
    </w:p>
    <w:p w14:paraId="510A2D4E">
      <w:pPr>
        <w:spacing w:before="16"/>
      </w:pPr>
    </w:p>
    <w:tbl>
      <w:tblPr>
        <w:tblStyle w:val="5"/>
        <w:tblW w:w="89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72"/>
        <w:gridCol w:w="2878"/>
        <w:gridCol w:w="1799"/>
        <w:gridCol w:w="2883"/>
      </w:tblGrid>
      <w:tr w14:paraId="112ED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1372" w:type="dxa"/>
            <w:vAlign w:val="top"/>
          </w:tcPr>
          <w:p w14:paraId="05372185">
            <w:pPr>
              <w:spacing w:line="279" w:lineRule="auto"/>
              <w:rPr>
                <w:rFonts w:ascii="Arial"/>
                <w:sz w:val="21"/>
              </w:rPr>
            </w:pPr>
          </w:p>
          <w:p w14:paraId="0B46F839">
            <w:pPr>
              <w:pStyle w:val="6"/>
              <w:spacing w:before="65" w:line="228" w:lineRule="auto"/>
              <w:ind w:left="138"/>
            </w:pPr>
            <w:r>
              <w:rPr>
                <w:spacing w:val="1"/>
              </w:rPr>
              <w:t>岗位名称</w:t>
            </w:r>
          </w:p>
        </w:tc>
        <w:tc>
          <w:tcPr>
            <w:tcW w:w="7560" w:type="dxa"/>
            <w:gridSpan w:val="3"/>
            <w:vAlign w:val="top"/>
          </w:tcPr>
          <w:p w14:paraId="762F4D35">
            <w:pPr>
              <w:rPr>
                <w:rFonts w:ascii="Arial"/>
                <w:sz w:val="21"/>
              </w:rPr>
            </w:pPr>
          </w:p>
        </w:tc>
      </w:tr>
      <w:tr w14:paraId="60BA37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64" w:hRule="atLeast"/>
        </w:trPr>
        <w:tc>
          <w:tcPr>
            <w:tcW w:w="1372" w:type="dxa"/>
            <w:vAlign w:val="top"/>
          </w:tcPr>
          <w:p w14:paraId="737D5B07">
            <w:pPr>
              <w:pStyle w:val="6"/>
              <w:spacing w:before="223" w:line="228" w:lineRule="auto"/>
              <w:ind w:left="115"/>
            </w:pPr>
            <w:r>
              <w:t>姓</w:t>
            </w:r>
            <w:r>
              <w:rPr>
                <w:spacing w:val="8"/>
              </w:rPr>
              <w:t xml:space="preserve">    </w:t>
            </w:r>
            <w:r>
              <w:t>名</w:t>
            </w:r>
          </w:p>
        </w:tc>
        <w:tc>
          <w:tcPr>
            <w:tcW w:w="2878" w:type="dxa"/>
            <w:vAlign w:val="top"/>
          </w:tcPr>
          <w:p w14:paraId="72CC3D3C">
            <w:pPr>
              <w:rPr>
                <w:rFonts w:ascii="Arial"/>
                <w:sz w:val="21"/>
              </w:rPr>
            </w:pPr>
          </w:p>
        </w:tc>
        <w:tc>
          <w:tcPr>
            <w:tcW w:w="1799" w:type="dxa"/>
            <w:vAlign w:val="top"/>
          </w:tcPr>
          <w:p w14:paraId="141D55B6">
            <w:pPr>
              <w:pStyle w:val="6"/>
              <w:spacing w:before="223" w:line="228" w:lineRule="auto"/>
              <w:ind w:left="114"/>
            </w:pPr>
            <w:r>
              <w:t>年</w:t>
            </w:r>
            <w:r>
              <w:rPr>
                <w:spacing w:val="7"/>
              </w:rPr>
              <w:t xml:space="preserve">    </w:t>
            </w:r>
            <w:r>
              <w:t>龄</w:t>
            </w:r>
          </w:p>
        </w:tc>
        <w:tc>
          <w:tcPr>
            <w:tcW w:w="2883" w:type="dxa"/>
            <w:vAlign w:val="top"/>
          </w:tcPr>
          <w:p w14:paraId="445B68B4">
            <w:pPr>
              <w:rPr>
                <w:rFonts w:ascii="Arial"/>
                <w:sz w:val="21"/>
              </w:rPr>
            </w:pPr>
          </w:p>
        </w:tc>
      </w:tr>
      <w:tr w14:paraId="45232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372" w:type="dxa"/>
            <w:vAlign w:val="top"/>
          </w:tcPr>
          <w:p w14:paraId="3637D04F">
            <w:pPr>
              <w:pStyle w:val="6"/>
              <w:spacing w:before="224" w:line="228" w:lineRule="auto"/>
              <w:ind w:left="118"/>
            </w:pPr>
            <w:r>
              <w:rPr>
                <w:spacing w:val="-1"/>
              </w:rPr>
              <w:t>性</w:t>
            </w:r>
            <w:r>
              <w:rPr>
                <w:spacing w:val="8"/>
              </w:rPr>
              <w:t xml:space="preserve">    </w:t>
            </w:r>
            <w:r>
              <w:rPr>
                <w:spacing w:val="-1"/>
              </w:rPr>
              <w:t>别</w:t>
            </w:r>
          </w:p>
        </w:tc>
        <w:tc>
          <w:tcPr>
            <w:tcW w:w="2878" w:type="dxa"/>
            <w:vAlign w:val="top"/>
          </w:tcPr>
          <w:p w14:paraId="0639596A">
            <w:pPr>
              <w:rPr>
                <w:rFonts w:ascii="Arial"/>
                <w:sz w:val="21"/>
              </w:rPr>
            </w:pPr>
          </w:p>
        </w:tc>
        <w:tc>
          <w:tcPr>
            <w:tcW w:w="1799" w:type="dxa"/>
            <w:vAlign w:val="top"/>
          </w:tcPr>
          <w:p w14:paraId="5617D8B2">
            <w:pPr>
              <w:pStyle w:val="6"/>
              <w:spacing w:before="223" w:line="228" w:lineRule="auto"/>
              <w:ind w:left="117"/>
            </w:pPr>
            <w:r>
              <w:rPr>
                <w:spacing w:val="6"/>
              </w:rPr>
              <w:t>毕业学校</w:t>
            </w:r>
          </w:p>
        </w:tc>
        <w:tc>
          <w:tcPr>
            <w:tcW w:w="2883" w:type="dxa"/>
            <w:vAlign w:val="top"/>
          </w:tcPr>
          <w:p w14:paraId="4EB1DA78">
            <w:pPr>
              <w:rPr>
                <w:rFonts w:ascii="Arial"/>
                <w:sz w:val="21"/>
              </w:rPr>
            </w:pPr>
          </w:p>
        </w:tc>
      </w:tr>
      <w:tr w14:paraId="4818C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372" w:type="dxa"/>
            <w:vAlign w:val="top"/>
          </w:tcPr>
          <w:p w14:paraId="46879828">
            <w:pPr>
              <w:pStyle w:val="6"/>
              <w:spacing w:before="226" w:line="228" w:lineRule="auto"/>
              <w:ind w:left="119"/>
            </w:pPr>
            <w:r>
              <w:rPr>
                <w:spacing w:val="7"/>
              </w:rPr>
              <w:t>学历和专业</w:t>
            </w:r>
          </w:p>
        </w:tc>
        <w:tc>
          <w:tcPr>
            <w:tcW w:w="2878" w:type="dxa"/>
            <w:vAlign w:val="top"/>
          </w:tcPr>
          <w:p w14:paraId="52950B10">
            <w:pPr>
              <w:rPr>
                <w:rFonts w:ascii="Arial"/>
                <w:sz w:val="21"/>
              </w:rPr>
            </w:pPr>
          </w:p>
        </w:tc>
        <w:tc>
          <w:tcPr>
            <w:tcW w:w="1799" w:type="dxa"/>
            <w:vAlign w:val="top"/>
          </w:tcPr>
          <w:p w14:paraId="53204883">
            <w:pPr>
              <w:pStyle w:val="6"/>
              <w:spacing w:before="225" w:line="228" w:lineRule="auto"/>
              <w:ind w:left="117"/>
            </w:pPr>
            <w:r>
              <w:rPr>
                <w:spacing w:val="6"/>
              </w:rPr>
              <w:t>毕业时间</w:t>
            </w:r>
          </w:p>
        </w:tc>
        <w:tc>
          <w:tcPr>
            <w:tcW w:w="2883" w:type="dxa"/>
            <w:vAlign w:val="top"/>
          </w:tcPr>
          <w:p w14:paraId="1EA04E5E">
            <w:pPr>
              <w:rPr>
                <w:rFonts w:ascii="Arial"/>
                <w:sz w:val="21"/>
              </w:rPr>
            </w:pPr>
          </w:p>
        </w:tc>
      </w:tr>
      <w:tr w14:paraId="776058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372" w:type="dxa"/>
            <w:vAlign w:val="top"/>
          </w:tcPr>
          <w:p w14:paraId="4BC988A3">
            <w:pPr>
              <w:pStyle w:val="6"/>
              <w:spacing w:before="88" w:line="252" w:lineRule="auto"/>
              <w:ind w:left="123" w:right="109" w:hanging="8"/>
            </w:pPr>
            <w:r>
              <w:rPr>
                <w:spacing w:val="-5"/>
              </w:rPr>
              <w:t>执</w:t>
            </w:r>
            <w:r>
              <w:rPr>
                <w:spacing w:val="-38"/>
              </w:rPr>
              <w:t xml:space="preserve"> </w:t>
            </w:r>
            <w:r>
              <w:rPr>
                <w:spacing w:val="-5"/>
              </w:rPr>
              <w:t>业</w:t>
            </w:r>
            <w:r>
              <w:rPr>
                <w:spacing w:val="-40"/>
              </w:rPr>
              <w:t xml:space="preserve"> </w:t>
            </w:r>
            <w:r>
              <w:rPr>
                <w:spacing w:val="-5"/>
              </w:rPr>
              <w:t>/</w:t>
            </w:r>
            <w:r>
              <w:rPr>
                <w:spacing w:val="-18"/>
              </w:rPr>
              <w:t xml:space="preserve"> </w:t>
            </w:r>
            <w:r>
              <w:rPr>
                <w:spacing w:val="-5"/>
              </w:rPr>
              <w:t>岗</w:t>
            </w:r>
            <w:r>
              <w:rPr>
                <w:spacing w:val="-39"/>
              </w:rPr>
              <w:t xml:space="preserve"> </w:t>
            </w:r>
            <w:r>
              <w:rPr>
                <w:spacing w:val="-5"/>
              </w:rPr>
              <w:t>位</w:t>
            </w:r>
            <w:r>
              <w:t>资格</w:t>
            </w:r>
          </w:p>
        </w:tc>
        <w:tc>
          <w:tcPr>
            <w:tcW w:w="2878" w:type="dxa"/>
            <w:vAlign w:val="top"/>
          </w:tcPr>
          <w:p w14:paraId="342FE43B">
            <w:pPr>
              <w:rPr>
                <w:rFonts w:ascii="Arial"/>
                <w:sz w:val="21"/>
              </w:rPr>
            </w:pPr>
          </w:p>
        </w:tc>
        <w:tc>
          <w:tcPr>
            <w:tcW w:w="1799" w:type="dxa"/>
            <w:vAlign w:val="top"/>
          </w:tcPr>
          <w:p w14:paraId="03982A09">
            <w:pPr>
              <w:pStyle w:val="6"/>
              <w:spacing w:before="226" w:line="228" w:lineRule="auto"/>
              <w:ind w:left="114"/>
            </w:pPr>
            <w:r>
              <w:rPr>
                <w:spacing w:val="7"/>
              </w:rPr>
              <w:t>专业职称</w:t>
            </w:r>
          </w:p>
        </w:tc>
        <w:tc>
          <w:tcPr>
            <w:tcW w:w="2883" w:type="dxa"/>
            <w:vAlign w:val="top"/>
          </w:tcPr>
          <w:p w14:paraId="5E6452CE">
            <w:pPr>
              <w:rPr>
                <w:rFonts w:ascii="Arial"/>
                <w:sz w:val="21"/>
              </w:rPr>
            </w:pPr>
          </w:p>
        </w:tc>
      </w:tr>
      <w:tr w14:paraId="2DD7FE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372" w:type="dxa"/>
            <w:vAlign w:val="top"/>
          </w:tcPr>
          <w:p w14:paraId="3539B707">
            <w:pPr>
              <w:pStyle w:val="6"/>
              <w:spacing w:before="87" w:line="254" w:lineRule="auto"/>
              <w:ind w:left="115" w:right="316"/>
            </w:pPr>
            <w:r>
              <w:rPr>
                <w:spacing w:val="7"/>
              </w:rPr>
              <w:t>执业/岗位证书编号</w:t>
            </w:r>
          </w:p>
        </w:tc>
        <w:tc>
          <w:tcPr>
            <w:tcW w:w="2878" w:type="dxa"/>
            <w:vAlign w:val="top"/>
          </w:tcPr>
          <w:p w14:paraId="71B0D730">
            <w:pPr>
              <w:rPr>
                <w:rFonts w:ascii="Arial"/>
                <w:sz w:val="21"/>
              </w:rPr>
            </w:pPr>
          </w:p>
        </w:tc>
        <w:tc>
          <w:tcPr>
            <w:tcW w:w="1799" w:type="dxa"/>
            <w:vAlign w:val="top"/>
          </w:tcPr>
          <w:p w14:paraId="1AAB50C7">
            <w:pPr>
              <w:pStyle w:val="6"/>
              <w:spacing w:before="225" w:line="228" w:lineRule="auto"/>
              <w:ind w:left="114"/>
            </w:pPr>
            <w:r>
              <w:rPr>
                <w:spacing w:val="8"/>
              </w:rPr>
              <w:t>专业工作年限</w:t>
            </w:r>
          </w:p>
        </w:tc>
        <w:tc>
          <w:tcPr>
            <w:tcW w:w="2883" w:type="dxa"/>
            <w:vAlign w:val="top"/>
          </w:tcPr>
          <w:p w14:paraId="119C51AC">
            <w:pPr>
              <w:rPr>
                <w:rFonts w:ascii="Arial"/>
                <w:sz w:val="21"/>
              </w:rPr>
            </w:pPr>
          </w:p>
        </w:tc>
      </w:tr>
      <w:tr w14:paraId="172150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0" w:hRule="atLeast"/>
        </w:trPr>
        <w:tc>
          <w:tcPr>
            <w:tcW w:w="1372" w:type="dxa"/>
            <w:textDirection w:val="tbRlV"/>
            <w:vAlign w:val="top"/>
          </w:tcPr>
          <w:p w14:paraId="27240432">
            <w:pPr>
              <w:spacing w:line="249" w:lineRule="auto"/>
              <w:rPr>
                <w:rFonts w:ascii="Arial"/>
                <w:sz w:val="21"/>
              </w:rPr>
            </w:pPr>
          </w:p>
          <w:p w14:paraId="661A6255">
            <w:pPr>
              <w:spacing w:line="249" w:lineRule="auto"/>
              <w:rPr>
                <w:rFonts w:ascii="Arial"/>
                <w:sz w:val="21"/>
              </w:rPr>
            </w:pPr>
          </w:p>
          <w:p w14:paraId="039942D6">
            <w:pPr>
              <w:pStyle w:val="6"/>
              <w:spacing w:before="67" w:line="216" w:lineRule="auto"/>
              <w:ind w:left="850"/>
            </w:pPr>
            <w:r>
              <w:rPr>
                <w:spacing w:val="8"/>
              </w:rPr>
              <w:t>主</w:t>
            </w:r>
            <w:r>
              <w:rPr>
                <w:spacing w:val="-28"/>
              </w:rPr>
              <w:t xml:space="preserve"> </w:t>
            </w:r>
            <w:r>
              <w:rPr>
                <w:spacing w:val="8"/>
              </w:rPr>
              <w:t>要</w:t>
            </w:r>
            <w:r>
              <w:rPr>
                <w:spacing w:val="-35"/>
              </w:rPr>
              <w:t xml:space="preserve"> </w:t>
            </w:r>
            <w:r>
              <w:rPr>
                <w:spacing w:val="8"/>
              </w:rPr>
              <w:t>工</w:t>
            </w:r>
            <w:r>
              <w:rPr>
                <w:spacing w:val="-35"/>
              </w:rPr>
              <w:t xml:space="preserve"> </w:t>
            </w:r>
            <w:r>
              <w:rPr>
                <w:spacing w:val="8"/>
              </w:rPr>
              <w:t>作</w:t>
            </w:r>
            <w:r>
              <w:rPr>
                <w:spacing w:val="-38"/>
              </w:rPr>
              <w:t xml:space="preserve"> </w:t>
            </w:r>
            <w:r>
              <w:rPr>
                <w:spacing w:val="8"/>
              </w:rPr>
              <w:t>业</w:t>
            </w:r>
            <w:r>
              <w:rPr>
                <w:spacing w:val="-38"/>
              </w:rPr>
              <w:t xml:space="preserve"> </w:t>
            </w:r>
            <w:r>
              <w:rPr>
                <w:spacing w:val="8"/>
              </w:rPr>
              <w:t>绩</w:t>
            </w:r>
            <w:r>
              <w:rPr>
                <w:spacing w:val="-35"/>
              </w:rPr>
              <w:t xml:space="preserve"> </w:t>
            </w:r>
            <w:r>
              <w:rPr>
                <w:spacing w:val="8"/>
              </w:rPr>
              <w:t>及</w:t>
            </w:r>
            <w:r>
              <w:rPr>
                <w:spacing w:val="-37"/>
              </w:rPr>
              <w:t xml:space="preserve"> </w:t>
            </w:r>
            <w:r>
              <w:rPr>
                <w:spacing w:val="8"/>
              </w:rPr>
              <w:t>担</w:t>
            </w:r>
            <w:r>
              <w:rPr>
                <w:spacing w:val="-36"/>
              </w:rPr>
              <w:t xml:space="preserve"> </w:t>
            </w:r>
            <w:r>
              <w:rPr>
                <w:spacing w:val="8"/>
              </w:rPr>
              <w:t>任</w:t>
            </w:r>
            <w:r>
              <w:rPr>
                <w:spacing w:val="-37"/>
              </w:rPr>
              <w:t xml:space="preserve"> </w:t>
            </w:r>
            <w:r>
              <w:rPr>
                <w:spacing w:val="8"/>
              </w:rPr>
              <w:t>的</w:t>
            </w:r>
            <w:r>
              <w:rPr>
                <w:spacing w:val="-35"/>
              </w:rPr>
              <w:t xml:space="preserve"> </w:t>
            </w:r>
            <w:r>
              <w:rPr>
                <w:spacing w:val="8"/>
              </w:rPr>
              <w:t>主</w:t>
            </w:r>
            <w:r>
              <w:rPr>
                <w:spacing w:val="-38"/>
              </w:rPr>
              <w:t xml:space="preserve"> </w:t>
            </w:r>
            <w:r>
              <w:rPr>
                <w:spacing w:val="8"/>
              </w:rPr>
              <w:t>要</w:t>
            </w:r>
            <w:r>
              <w:rPr>
                <w:spacing w:val="-35"/>
              </w:rPr>
              <w:t xml:space="preserve"> </w:t>
            </w:r>
            <w:r>
              <w:rPr>
                <w:spacing w:val="8"/>
              </w:rPr>
              <w:t>工</w:t>
            </w:r>
            <w:r>
              <w:rPr>
                <w:spacing w:val="-38"/>
              </w:rPr>
              <w:t xml:space="preserve"> </w:t>
            </w:r>
            <w:r>
              <w:rPr>
                <w:spacing w:val="8"/>
              </w:rPr>
              <w:t>作</w:t>
            </w:r>
          </w:p>
        </w:tc>
        <w:tc>
          <w:tcPr>
            <w:tcW w:w="7560" w:type="dxa"/>
            <w:gridSpan w:val="3"/>
            <w:vAlign w:val="top"/>
          </w:tcPr>
          <w:p w14:paraId="63603A3C">
            <w:pPr>
              <w:rPr>
                <w:rFonts w:ascii="Arial"/>
                <w:sz w:val="21"/>
              </w:rPr>
            </w:pPr>
          </w:p>
        </w:tc>
      </w:tr>
    </w:tbl>
    <w:p w14:paraId="3B67FD67">
      <w:pPr>
        <w:spacing w:line="336" w:lineRule="auto"/>
        <w:rPr>
          <w:rFonts w:ascii="Arial"/>
          <w:sz w:val="21"/>
        </w:rPr>
      </w:pPr>
    </w:p>
    <w:p w14:paraId="68CBEFCC">
      <w:pPr>
        <w:spacing w:line="337" w:lineRule="auto"/>
        <w:rPr>
          <w:rFonts w:ascii="Arial"/>
          <w:sz w:val="21"/>
        </w:rPr>
      </w:pPr>
    </w:p>
    <w:p w14:paraId="2543A3AD">
      <w:pPr>
        <w:spacing w:before="65" w:line="252" w:lineRule="auto"/>
        <w:ind w:left="750" w:hanging="627"/>
        <w:rPr>
          <w:rFonts w:ascii="宋体" w:hAnsi="宋体" w:eastAsia="宋体" w:cs="宋体"/>
          <w:sz w:val="20"/>
          <w:szCs w:val="20"/>
        </w:rPr>
      </w:pPr>
      <w:r>
        <w:rPr>
          <w:rFonts w:ascii="宋体" w:hAnsi="宋体" w:eastAsia="宋体" w:cs="宋体"/>
          <w:spacing w:val="7"/>
          <w:sz w:val="20"/>
          <w:szCs w:val="20"/>
        </w:rPr>
        <w:t>备注：其他主要项目管理人员指项目副经理（如有）、项目技术负责人、</w:t>
      </w:r>
      <w:r>
        <w:rPr>
          <w:rFonts w:ascii="宋体" w:hAnsi="宋体" w:eastAsia="宋体" w:cs="宋体"/>
          <w:spacing w:val="6"/>
          <w:sz w:val="20"/>
          <w:szCs w:val="20"/>
        </w:rPr>
        <w:t>施工管理、质量管理、安</w:t>
      </w:r>
      <w:r>
        <w:rPr>
          <w:rFonts w:ascii="宋体" w:hAnsi="宋体" w:eastAsia="宋体" w:cs="宋体"/>
          <w:spacing w:val="7"/>
          <w:sz w:val="20"/>
          <w:szCs w:val="20"/>
        </w:rPr>
        <w:t>全管理及资格条件要求的其他岗位人员。其</w:t>
      </w:r>
      <w:r>
        <w:rPr>
          <w:rFonts w:ascii="宋体" w:hAnsi="宋体" w:eastAsia="宋体" w:cs="宋体"/>
          <w:spacing w:val="6"/>
          <w:sz w:val="20"/>
          <w:szCs w:val="20"/>
        </w:rPr>
        <w:t>中项目副经理（如有）、项目技术负责人应附资格证书（如有）、注册证书（如有）、职称证书、学历证书的扫描件, 主要业绩须附合同协</w:t>
      </w:r>
      <w:r>
        <w:rPr>
          <w:rFonts w:ascii="宋体" w:hAnsi="宋体" w:eastAsia="宋体" w:cs="宋体"/>
          <w:spacing w:val="10"/>
          <w:sz w:val="20"/>
          <w:szCs w:val="20"/>
        </w:rPr>
        <w:t>议书的扫描件；安全管理人员应附有效的安全生产考核合格证书（C1/C2/C3）的扫描件；</w:t>
      </w:r>
      <w:r>
        <w:rPr>
          <w:rFonts w:ascii="宋体" w:hAnsi="宋体" w:eastAsia="宋体" w:cs="宋体"/>
          <w:spacing w:val="8"/>
          <w:sz w:val="20"/>
          <w:szCs w:val="20"/>
        </w:rPr>
        <w:t>施工管理、质量管理及资格条件要求的其他岗位人员应附岗位培训考核合格证书的扫描件。</w:t>
      </w:r>
    </w:p>
    <w:p w14:paraId="09D1415B">
      <w:pPr>
        <w:spacing w:line="252" w:lineRule="auto"/>
        <w:rPr>
          <w:rFonts w:ascii="宋体" w:hAnsi="宋体" w:eastAsia="宋体" w:cs="宋体"/>
          <w:sz w:val="20"/>
          <w:szCs w:val="20"/>
        </w:rPr>
        <w:sectPr>
          <w:footerReference r:id="rId528" w:type="default"/>
          <w:pgSz w:w="11907" w:h="16840"/>
          <w:pgMar w:top="400" w:right="1460" w:bottom="1247" w:left="1361" w:header="0" w:footer="1085" w:gutter="0"/>
          <w:cols w:space="720" w:num="1"/>
        </w:sectPr>
      </w:pPr>
    </w:p>
    <w:p w14:paraId="3AFB8D35">
      <w:pPr>
        <w:spacing w:line="256" w:lineRule="auto"/>
        <w:rPr>
          <w:rFonts w:ascii="Arial"/>
          <w:sz w:val="21"/>
        </w:rPr>
      </w:pPr>
    </w:p>
    <w:p w14:paraId="0342969D">
      <w:pPr>
        <w:spacing w:line="256" w:lineRule="auto"/>
        <w:rPr>
          <w:rFonts w:ascii="Arial"/>
          <w:sz w:val="21"/>
        </w:rPr>
      </w:pPr>
    </w:p>
    <w:p w14:paraId="63D04490">
      <w:pPr>
        <w:spacing w:line="256" w:lineRule="auto"/>
        <w:rPr>
          <w:rFonts w:ascii="Arial"/>
          <w:sz w:val="21"/>
        </w:rPr>
      </w:pPr>
    </w:p>
    <w:p w14:paraId="72DD06EE">
      <w:pPr>
        <w:spacing w:line="256" w:lineRule="auto"/>
        <w:rPr>
          <w:rFonts w:ascii="Arial"/>
          <w:sz w:val="21"/>
        </w:rPr>
      </w:pPr>
    </w:p>
    <w:p w14:paraId="0CB5A0ED">
      <w:pPr>
        <w:spacing w:line="257" w:lineRule="auto"/>
        <w:rPr>
          <w:rFonts w:ascii="Arial"/>
          <w:sz w:val="21"/>
        </w:rPr>
      </w:pPr>
    </w:p>
    <w:p w14:paraId="06FF149A">
      <w:pPr>
        <w:pStyle w:val="2"/>
        <w:spacing w:before="91" w:line="222" w:lineRule="auto"/>
        <w:ind w:left="3331"/>
        <w:outlineLvl w:val="1"/>
        <w:rPr>
          <w:sz w:val="28"/>
          <w:szCs w:val="28"/>
        </w:rPr>
      </w:pPr>
      <w:bookmarkStart w:id="426" w:name="bookmark407"/>
      <w:bookmarkEnd w:id="426"/>
      <w:bookmarkStart w:id="427" w:name="bookmark408"/>
      <w:bookmarkEnd w:id="427"/>
      <w:bookmarkStart w:id="428" w:name="bookmark409"/>
      <w:bookmarkEnd w:id="428"/>
      <w:r>
        <w:rPr>
          <w:spacing w:val="-2"/>
          <w:sz w:val="28"/>
          <w:szCs w:val="28"/>
        </w:rPr>
        <w:t>八、资格审查资料</w:t>
      </w:r>
    </w:p>
    <w:p w14:paraId="249F44BD">
      <w:pPr>
        <w:pStyle w:val="2"/>
        <w:spacing w:before="99" w:line="222" w:lineRule="auto"/>
        <w:ind w:left="3271"/>
        <w:outlineLvl w:val="2"/>
        <w:rPr>
          <w:sz w:val="24"/>
          <w:szCs w:val="24"/>
        </w:rPr>
      </w:pPr>
      <w:bookmarkStart w:id="429" w:name="bookmark472"/>
      <w:bookmarkEnd w:id="429"/>
      <w:r>
        <w:rPr>
          <w:spacing w:val="-4"/>
          <w:sz w:val="24"/>
          <w:szCs w:val="24"/>
        </w:rPr>
        <w:t>（一）投标人基本情况</w:t>
      </w:r>
    </w:p>
    <w:p w14:paraId="075E94DA">
      <w:pPr>
        <w:pStyle w:val="2"/>
        <w:spacing w:before="109" w:line="220" w:lineRule="auto"/>
        <w:ind w:left="3319"/>
        <w:outlineLvl w:val="2"/>
        <w:rPr>
          <w:sz w:val="24"/>
          <w:szCs w:val="24"/>
        </w:rPr>
      </w:pPr>
      <w:bookmarkStart w:id="430" w:name="bookmark473"/>
      <w:bookmarkEnd w:id="430"/>
      <w:r>
        <w:rPr>
          <w:rFonts w:ascii="Times New Roman" w:hAnsi="Times New Roman" w:eastAsia="Times New Roman" w:cs="Times New Roman"/>
          <w:spacing w:val="-5"/>
          <w:sz w:val="24"/>
          <w:szCs w:val="24"/>
        </w:rPr>
        <w:t>1-</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5"/>
          <w:sz w:val="24"/>
          <w:szCs w:val="24"/>
        </w:rPr>
        <w:t xml:space="preserve">1 </w:t>
      </w:r>
      <w:r>
        <w:rPr>
          <w:spacing w:val="-5"/>
          <w:sz w:val="24"/>
          <w:szCs w:val="24"/>
        </w:rPr>
        <w:t>投标人基本情况表</w:t>
      </w:r>
    </w:p>
    <w:tbl>
      <w:tblPr>
        <w:tblStyle w:val="5"/>
        <w:tblW w:w="8509" w:type="dxa"/>
        <w:tblInd w:w="1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9"/>
        <w:gridCol w:w="896"/>
        <w:gridCol w:w="1020"/>
        <w:gridCol w:w="992"/>
        <w:gridCol w:w="283"/>
        <w:gridCol w:w="195"/>
        <w:gridCol w:w="1245"/>
        <w:gridCol w:w="260"/>
        <w:gridCol w:w="709"/>
        <w:gridCol w:w="1420"/>
      </w:tblGrid>
      <w:tr w14:paraId="05F9B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489" w:type="dxa"/>
            <w:vAlign w:val="top"/>
          </w:tcPr>
          <w:p w14:paraId="007B78DD">
            <w:pPr>
              <w:pStyle w:val="6"/>
              <w:spacing w:before="184" w:line="228" w:lineRule="auto"/>
              <w:ind w:left="227"/>
            </w:pPr>
            <w:r>
              <w:rPr>
                <w:spacing w:val="7"/>
              </w:rPr>
              <w:t>投标人名称</w:t>
            </w:r>
          </w:p>
        </w:tc>
        <w:tc>
          <w:tcPr>
            <w:tcW w:w="7020" w:type="dxa"/>
            <w:gridSpan w:val="9"/>
            <w:vAlign w:val="top"/>
          </w:tcPr>
          <w:p w14:paraId="74DE1F3E">
            <w:pPr>
              <w:rPr>
                <w:rFonts w:ascii="Arial"/>
                <w:sz w:val="21"/>
              </w:rPr>
            </w:pPr>
          </w:p>
        </w:tc>
      </w:tr>
      <w:tr w14:paraId="3D4186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89" w:type="dxa"/>
            <w:vAlign w:val="top"/>
          </w:tcPr>
          <w:p w14:paraId="2BFB1D2F">
            <w:pPr>
              <w:pStyle w:val="6"/>
              <w:spacing w:before="179" w:line="229" w:lineRule="auto"/>
              <w:ind w:left="330"/>
            </w:pPr>
            <w:r>
              <w:rPr>
                <w:spacing w:val="7"/>
              </w:rPr>
              <w:t>注册地址</w:t>
            </w:r>
          </w:p>
        </w:tc>
        <w:tc>
          <w:tcPr>
            <w:tcW w:w="3386" w:type="dxa"/>
            <w:gridSpan w:val="5"/>
            <w:vAlign w:val="top"/>
          </w:tcPr>
          <w:p w14:paraId="4A635B24">
            <w:pPr>
              <w:rPr>
                <w:rFonts w:ascii="Arial"/>
                <w:sz w:val="21"/>
              </w:rPr>
            </w:pPr>
          </w:p>
        </w:tc>
        <w:tc>
          <w:tcPr>
            <w:tcW w:w="1245" w:type="dxa"/>
            <w:vAlign w:val="top"/>
          </w:tcPr>
          <w:p w14:paraId="3A069759">
            <w:pPr>
              <w:pStyle w:val="6"/>
              <w:spacing w:before="178" w:line="228" w:lineRule="auto"/>
              <w:ind w:left="225"/>
            </w:pPr>
            <w:r>
              <w:rPr>
                <w:spacing w:val="3"/>
              </w:rPr>
              <w:t>邮政编码</w:t>
            </w:r>
          </w:p>
        </w:tc>
        <w:tc>
          <w:tcPr>
            <w:tcW w:w="2389" w:type="dxa"/>
            <w:gridSpan w:val="3"/>
            <w:vAlign w:val="top"/>
          </w:tcPr>
          <w:p w14:paraId="220781FA">
            <w:pPr>
              <w:rPr>
                <w:rFonts w:ascii="Arial"/>
                <w:sz w:val="21"/>
              </w:rPr>
            </w:pPr>
          </w:p>
        </w:tc>
      </w:tr>
      <w:tr w14:paraId="7DA54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89" w:type="dxa"/>
            <w:vMerge w:val="restart"/>
            <w:tcBorders>
              <w:bottom w:val="nil"/>
            </w:tcBorders>
            <w:vAlign w:val="top"/>
          </w:tcPr>
          <w:p w14:paraId="7E6D354F">
            <w:pPr>
              <w:spacing w:line="399" w:lineRule="auto"/>
              <w:rPr>
                <w:rFonts w:ascii="Arial"/>
                <w:sz w:val="21"/>
              </w:rPr>
            </w:pPr>
          </w:p>
          <w:p w14:paraId="59374FC7">
            <w:pPr>
              <w:pStyle w:val="6"/>
              <w:spacing w:before="65" w:line="229" w:lineRule="auto"/>
              <w:ind w:left="331"/>
            </w:pPr>
            <w:r>
              <w:rPr>
                <w:spacing w:val="7"/>
              </w:rPr>
              <w:t>联系方式</w:t>
            </w:r>
          </w:p>
        </w:tc>
        <w:tc>
          <w:tcPr>
            <w:tcW w:w="896" w:type="dxa"/>
            <w:vAlign w:val="top"/>
          </w:tcPr>
          <w:p w14:paraId="7E1940BC">
            <w:pPr>
              <w:pStyle w:val="6"/>
              <w:spacing w:before="179" w:line="230" w:lineRule="auto"/>
              <w:ind w:left="138"/>
            </w:pPr>
            <w:r>
              <w:rPr>
                <w:spacing w:val="6"/>
              </w:rPr>
              <w:t>联系人</w:t>
            </w:r>
          </w:p>
        </w:tc>
        <w:tc>
          <w:tcPr>
            <w:tcW w:w="2490" w:type="dxa"/>
            <w:gridSpan w:val="4"/>
            <w:vAlign w:val="top"/>
          </w:tcPr>
          <w:p w14:paraId="452AFECC">
            <w:pPr>
              <w:rPr>
                <w:rFonts w:ascii="Arial"/>
                <w:sz w:val="21"/>
              </w:rPr>
            </w:pPr>
          </w:p>
        </w:tc>
        <w:tc>
          <w:tcPr>
            <w:tcW w:w="1245" w:type="dxa"/>
            <w:vAlign w:val="top"/>
          </w:tcPr>
          <w:p w14:paraId="3CBA6320">
            <w:pPr>
              <w:pStyle w:val="6"/>
              <w:spacing w:before="179" w:line="230" w:lineRule="auto"/>
              <w:ind w:left="339"/>
            </w:pPr>
            <w:r>
              <w:rPr>
                <w:spacing w:val="-12"/>
              </w:rPr>
              <w:t>电</w:t>
            </w:r>
            <w:r>
              <w:rPr>
                <w:spacing w:val="9"/>
              </w:rPr>
              <w:t xml:space="preserve">  </w:t>
            </w:r>
            <w:r>
              <w:rPr>
                <w:spacing w:val="-12"/>
              </w:rPr>
              <w:t>话</w:t>
            </w:r>
          </w:p>
        </w:tc>
        <w:tc>
          <w:tcPr>
            <w:tcW w:w="2389" w:type="dxa"/>
            <w:gridSpan w:val="3"/>
            <w:vAlign w:val="top"/>
          </w:tcPr>
          <w:p w14:paraId="7B99E648">
            <w:pPr>
              <w:rPr>
                <w:rFonts w:ascii="Arial"/>
                <w:sz w:val="21"/>
              </w:rPr>
            </w:pPr>
          </w:p>
        </w:tc>
      </w:tr>
      <w:tr w14:paraId="66160C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Merge w:val="continue"/>
            <w:tcBorders>
              <w:top w:val="nil"/>
            </w:tcBorders>
            <w:vAlign w:val="top"/>
          </w:tcPr>
          <w:p w14:paraId="7906EF77">
            <w:pPr>
              <w:rPr>
                <w:rFonts w:ascii="Arial"/>
                <w:sz w:val="21"/>
              </w:rPr>
            </w:pPr>
          </w:p>
        </w:tc>
        <w:tc>
          <w:tcPr>
            <w:tcW w:w="896" w:type="dxa"/>
            <w:vAlign w:val="top"/>
          </w:tcPr>
          <w:p w14:paraId="0542DD83">
            <w:pPr>
              <w:pStyle w:val="6"/>
              <w:spacing w:before="181" w:line="227" w:lineRule="auto"/>
              <w:ind w:left="135"/>
            </w:pPr>
            <w:r>
              <w:rPr>
                <w:spacing w:val="1"/>
              </w:rPr>
              <w:t>传</w:t>
            </w:r>
            <w:r>
              <w:rPr>
                <w:spacing w:val="10"/>
              </w:rPr>
              <w:t xml:space="preserve">  </w:t>
            </w:r>
            <w:r>
              <w:rPr>
                <w:spacing w:val="1"/>
              </w:rPr>
              <w:t>真</w:t>
            </w:r>
          </w:p>
        </w:tc>
        <w:tc>
          <w:tcPr>
            <w:tcW w:w="2490" w:type="dxa"/>
            <w:gridSpan w:val="4"/>
            <w:vAlign w:val="top"/>
          </w:tcPr>
          <w:p w14:paraId="62018C2E">
            <w:pPr>
              <w:rPr>
                <w:rFonts w:ascii="Arial"/>
                <w:sz w:val="21"/>
              </w:rPr>
            </w:pPr>
          </w:p>
        </w:tc>
        <w:tc>
          <w:tcPr>
            <w:tcW w:w="1245" w:type="dxa"/>
            <w:vAlign w:val="top"/>
          </w:tcPr>
          <w:p w14:paraId="41FB31C1">
            <w:pPr>
              <w:pStyle w:val="6"/>
              <w:spacing w:before="181" w:line="233" w:lineRule="auto"/>
              <w:ind w:left="331"/>
            </w:pPr>
            <w:r>
              <w:rPr>
                <w:spacing w:val="-8"/>
              </w:rPr>
              <w:t>网</w:t>
            </w:r>
            <w:r>
              <w:rPr>
                <w:spacing w:val="9"/>
              </w:rPr>
              <w:t xml:space="preserve">  </w:t>
            </w:r>
            <w:r>
              <w:rPr>
                <w:spacing w:val="-8"/>
              </w:rPr>
              <w:t>址</w:t>
            </w:r>
          </w:p>
        </w:tc>
        <w:tc>
          <w:tcPr>
            <w:tcW w:w="2389" w:type="dxa"/>
            <w:gridSpan w:val="3"/>
            <w:vAlign w:val="top"/>
          </w:tcPr>
          <w:p w14:paraId="458229DB">
            <w:pPr>
              <w:rPr>
                <w:rFonts w:ascii="Arial"/>
                <w:sz w:val="21"/>
              </w:rPr>
            </w:pPr>
          </w:p>
        </w:tc>
      </w:tr>
      <w:tr w14:paraId="3C6D5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0889176F">
            <w:pPr>
              <w:pStyle w:val="6"/>
              <w:spacing w:before="181" w:line="228" w:lineRule="auto"/>
              <w:ind w:left="332"/>
            </w:pPr>
            <w:r>
              <w:rPr>
                <w:spacing w:val="6"/>
              </w:rPr>
              <w:t>组织结构</w:t>
            </w:r>
          </w:p>
        </w:tc>
        <w:tc>
          <w:tcPr>
            <w:tcW w:w="7020" w:type="dxa"/>
            <w:gridSpan w:val="9"/>
            <w:vAlign w:val="top"/>
          </w:tcPr>
          <w:p w14:paraId="0B93F48B">
            <w:pPr>
              <w:rPr>
                <w:rFonts w:ascii="Arial"/>
                <w:sz w:val="21"/>
              </w:rPr>
            </w:pPr>
          </w:p>
        </w:tc>
      </w:tr>
      <w:tr w14:paraId="1AC008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89" w:type="dxa"/>
            <w:vAlign w:val="top"/>
          </w:tcPr>
          <w:p w14:paraId="673CDBD5">
            <w:pPr>
              <w:pStyle w:val="6"/>
              <w:spacing w:before="181" w:line="228" w:lineRule="auto"/>
              <w:ind w:left="225"/>
            </w:pPr>
            <w:r>
              <w:rPr>
                <w:spacing w:val="7"/>
              </w:rPr>
              <w:t>法定代表人</w:t>
            </w:r>
          </w:p>
        </w:tc>
        <w:tc>
          <w:tcPr>
            <w:tcW w:w="896" w:type="dxa"/>
            <w:vAlign w:val="top"/>
          </w:tcPr>
          <w:p w14:paraId="47C545F5">
            <w:pPr>
              <w:pStyle w:val="6"/>
              <w:spacing w:before="181" w:line="228" w:lineRule="auto"/>
              <w:ind w:left="242"/>
            </w:pPr>
            <w:r>
              <w:rPr>
                <w:spacing w:val="4"/>
              </w:rPr>
              <w:t>姓名</w:t>
            </w:r>
          </w:p>
        </w:tc>
        <w:tc>
          <w:tcPr>
            <w:tcW w:w="1020" w:type="dxa"/>
            <w:vAlign w:val="top"/>
          </w:tcPr>
          <w:p w14:paraId="3F2ABAEB">
            <w:pPr>
              <w:rPr>
                <w:rFonts w:ascii="Arial"/>
                <w:sz w:val="21"/>
              </w:rPr>
            </w:pPr>
          </w:p>
        </w:tc>
        <w:tc>
          <w:tcPr>
            <w:tcW w:w="1275" w:type="dxa"/>
            <w:gridSpan w:val="2"/>
            <w:vAlign w:val="top"/>
          </w:tcPr>
          <w:p w14:paraId="2CA3640E">
            <w:pPr>
              <w:pStyle w:val="6"/>
              <w:spacing w:before="181" w:line="228" w:lineRule="auto"/>
              <w:ind w:left="223"/>
            </w:pPr>
            <w:r>
              <w:rPr>
                <w:spacing w:val="7"/>
              </w:rPr>
              <w:t>技术职称</w:t>
            </w:r>
          </w:p>
        </w:tc>
        <w:tc>
          <w:tcPr>
            <w:tcW w:w="1700" w:type="dxa"/>
            <w:gridSpan w:val="3"/>
            <w:vAlign w:val="top"/>
          </w:tcPr>
          <w:p w14:paraId="4EDB6CBD">
            <w:pPr>
              <w:rPr>
                <w:rFonts w:ascii="Arial"/>
                <w:sz w:val="21"/>
              </w:rPr>
            </w:pPr>
          </w:p>
        </w:tc>
        <w:tc>
          <w:tcPr>
            <w:tcW w:w="709" w:type="dxa"/>
            <w:vAlign w:val="top"/>
          </w:tcPr>
          <w:p w14:paraId="747508EF">
            <w:pPr>
              <w:pStyle w:val="6"/>
              <w:spacing w:before="181" w:line="230" w:lineRule="auto"/>
              <w:ind w:left="176"/>
            </w:pPr>
            <w:r>
              <w:rPr>
                <w:spacing w:val="-8"/>
              </w:rPr>
              <w:t>电话</w:t>
            </w:r>
          </w:p>
        </w:tc>
        <w:tc>
          <w:tcPr>
            <w:tcW w:w="1420" w:type="dxa"/>
            <w:vAlign w:val="top"/>
          </w:tcPr>
          <w:p w14:paraId="3C1658D0">
            <w:pPr>
              <w:rPr>
                <w:rFonts w:ascii="Arial"/>
                <w:sz w:val="21"/>
              </w:rPr>
            </w:pPr>
          </w:p>
        </w:tc>
      </w:tr>
      <w:tr w14:paraId="674DD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482AC1E1">
            <w:pPr>
              <w:pStyle w:val="6"/>
              <w:spacing w:before="181" w:line="228" w:lineRule="auto"/>
              <w:ind w:left="225"/>
            </w:pPr>
            <w:r>
              <w:rPr>
                <w:spacing w:val="7"/>
              </w:rPr>
              <w:t>技术负责人</w:t>
            </w:r>
          </w:p>
        </w:tc>
        <w:tc>
          <w:tcPr>
            <w:tcW w:w="896" w:type="dxa"/>
            <w:vAlign w:val="top"/>
          </w:tcPr>
          <w:p w14:paraId="034382B4">
            <w:pPr>
              <w:pStyle w:val="6"/>
              <w:spacing w:before="181" w:line="228" w:lineRule="auto"/>
              <w:ind w:left="242"/>
            </w:pPr>
            <w:r>
              <w:rPr>
                <w:spacing w:val="4"/>
              </w:rPr>
              <w:t>姓名</w:t>
            </w:r>
          </w:p>
        </w:tc>
        <w:tc>
          <w:tcPr>
            <w:tcW w:w="1020" w:type="dxa"/>
            <w:vAlign w:val="top"/>
          </w:tcPr>
          <w:p w14:paraId="305786E8">
            <w:pPr>
              <w:rPr>
                <w:rFonts w:ascii="Arial"/>
                <w:sz w:val="21"/>
              </w:rPr>
            </w:pPr>
          </w:p>
        </w:tc>
        <w:tc>
          <w:tcPr>
            <w:tcW w:w="1275" w:type="dxa"/>
            <w:gridSpan w:val="2"/>
            <w:vAlign w:val="top"/>
          </w:tcPr>
          <w:p w14:paraId="2169B6A8">
            <w:pPr>
              <w:pStyle w:val="6"/>
              <w:spacing w:before="181" w:line="228" w:lineRule="auto"/>
              <w:ind w:left="223"/>
            </w:pPr>
            <w:r>
              <w:rPr>
                <w:spacing w:val="7"/>
              </w:rPr>
              <w:t>技术职称</w:t>
            </w:r>
          </w:p>
        </w:tc>
        <w:tc>
          <w:tcPr>
            <w:tcW w:w="1700" w:type="dxa"/>
            <w:gridSpan w:val="3"/>
            <w:vAlign w:val="top"/>
          </w:tcPr>
          <w:p w14:paraId="5ACF6D23">
            <w:pPr>
              <w:rPr>
                <w:rFonts w:ascii="Arial"/>
                <w:sz w:val="21"/>
              </w:rPr>
            </w:pPr>
          </w:p>
        </w:tc>
        <w:tc>
          <w:tcPr>
            <w:tcW w:w="709" w:type="dxa"/>
            <w:vAlign w:val="top"/>
          </w:tcPr>
          <w:p w14:paraId="21CEBB68">
            <w:pPr>
              <w:pStyle w:val="6"/>
              <w:spacing w:before="181" w:line="230" w:lineRule="auto"/>
              <w:ind w:left="176"/>
            </w:pPr>
            <w:r>
              <w:rPr>
                <w:spacing w:val="-8"/>
              </w:rPr>
              <w:t>电话</w:t>
            </w:r>
          </w:p>
        </w:tc>
        <w:tc>
          <w:tcPr>
            <w:tcW w:w="1420" w:type="dxa"/>
            <w:vAlign w:val="top"/>
          </w:tcPr>
          <w:p w14:paraId="6286FCE7">
            <w:pPr>
              <w:rPr>
                <w:rFonts w:ascii="Arial"/>
                <w:sz w:val="21"/>
              </w:rPr>
            </w:pPr>
          </w:p>
        </w:tc>
      </w:tr>
      <w:tr w14:paraId="27D49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5B6B3131">
            <w:pPr>
              <w:pStyle w:val="6"/>
              <w:spacing w:before="183" w:line="229" w:lineRule="auto"/>
              <w:ind w:left="332"/>
            </w:pPr>
            <w:r>
              <w:rPr>
                <w:spacing w:val="6"/>
              </w:rPr>
              <w:t>成立时间</w:t>
            </w:r>
          </w:p>
        </w:tc>
        <w:tc>
          <w:tcPr>
            <w:tcW w:w="1916" w:type="dxa"/>
            <w:gridSpan w:val="2"/>
            <w:vAlign w:val="top"/>
          </w:tcPr>
          <w:p w14:paraId="3F7ACC35">
            <w:pPr>
              <w:rPr>
                <w:rFonts w:ascii="Arial"/>
                <w:sz w:val="21"/>
              </w:rPr>
            </w:pPr>
          </w:p>
        </w:tc>
        <w:tc>
          <w:tcPr>
            <w:tcW w:w="5104" w:type="dxa"/>
            <w:gridSpan w:val="7"/>
            <w:vAlign w:val="top"/>
          </w:tcPr>
          <w:p w14:paraId="32CBDFDD">
            <w:pPr>
              <w:pStyle w:val="6"/>
              <w:spacing w:before="183" w:line="228" w:lineRule="auto"/>
              <w:ind w:left="1935"/>
            </w:pPr>
            <w:r>
              <w:rPr>
                <w:spacing w:val="5"/>
              </w:rPr>
              <w:t>员工总人数：</w:t>
            </w:r>
          </w:p>
        </w:tc>
      </w:tr>
      <w:tr w14:paraId="6C8AA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3E9C9F86">
            <w:pPr>
              <w:pStyle w:val="6"/>
              <w:spacing w:before="182" w:line="228" w:lineRule="auto"/>
              <w:ind w:left="122"/>
            </w:pPr>
            <w:r>
              <w:rPr>
                <w:spacing w:val="7"/>
              </w:rPr>
              <w:t>企业资质等级</w:t>
            </w:r>
          </w:p>
        </w:tc>
        <w:tc>
          <w:tcPr>
            <w:tcW w:w="1916" w:type="dxa"/>
            <w:gridSpan w:val="2"/>
            <w:vAlign w:val="top"/>
          </w:tcPr>
          <w:p w14:paraId="7EA4B015">
            <w:pPr>
              <w:rPr>
                <w:rFonts w:ascii="Arial"/>
                <w:sz w:val="21"/>
              </w:rPr>
            </w:pPr>
          </w:p>
        </w:tc>
        <w:tc>
          <w:tcPr>
            <w:tcW w:w="992" w:type="dxa"/>
            <w:vMerge w:val="restart"/>
            <w:tcBorders>
              <w:bottom w:val="nil"/>
            </w:tcBorders>
            <w:vAlign w:val="top"/>
          </w:tcPr>
          <w:p w14:paraId="6308A3C9">
            <w:pPr>
              <w:spacing w:line="252" w:lineRule="auto"/>
              <w:rPr>
                <w:rFonts w:ascii="Arial"/>
                <w:sz w:val="21"/>
              </w:rPr>
            </w:pPr>
          </w:p>
          <w:p w14:paraId="6D807E90">
            <w:pPr>
              <w:spacing w:line="253" w:lineRule="auto"/>
              <w:rPr>
                <w:rFonts w:ascii="Arial"/>
                <w:sz w:val="21"/>
              </w:rPr>
            </w:pPr>
          </w:p>
          <w:p w14:paraId="6245B636">
            <w:pPr>
              <w:spacing w:line="253" w:lineRule="auto"/>
              <w:rPr>
                <w:rFonts w:ascii="Arial"/>
                <w:sz w:val="21"/>
              </w:rPr>
            </w:pPr>
          </w:p>
          <w:p w14:paraId="15662BC9">
            <w:pPr>
              <w:spacing w:line="253" w:lineRule="auto"/>
              <w:rPr>
                <w:rFonts w:ascii="Arial"/>
                <w:sz w:val="21"/>
              </w:rPr>
            </w:pPr>
          </w:p>
          <w:p w14:paraId="3C4F0489">
            <w:pPr>
              <w:spacing w:line="253" w:lineRule="auto"/>
              <w:rPr>
                <w:rFonts w:ascii="Arial"/>
                <w:sz w:val="21"/>
              </w:rPr>
            </w:pPr>
          </w:p>
          <w:p w14:paraId="5D5914CF">
            <w:pPr>
              <w:pStyle w:val="6"/>
              <w:spacing w:before="65" w:line="228" w:lineRule="auto"/>
              <w:ind w:left="293"/>
            </w:pPr>
            <w:r>
              <w:rPr>
                <w:spacing w:val="4"/>
              </w:rPr>
              <w:t>其中</w:t>
            </w:r>
          </w:p>
        </w:tc>
        <w:tc>
          <w:tcPr>
            <w:tcW w:w="1983" w:type="dxa"/>
            <w:gridSpan w:val="4"/>
            <w:vAlign w:val="top"/>
          </w:tcPr>
          <w:p w14:paraId="25A109A2">
            <w:pPr>
              <w:pStyle w:val="6"/>
              <w:spacing w:before="182" w:line="228" w:lineRule="auto"/>
              <w:ind w:left="474"/>
            </w:pPr>
            <w:r>
              <w:rPr>
                <w:spacing w:val="8"/>
              </w:rPr>
              <w:t>注册建造师</w:t>
            </w:r>
          </w:p>
        </w:tc>
        <w:tc>
          <w:tcPr>
            <w:tcW w:w="2129" w:type="dxa"/>
            <w:gridSpan w:val="2"/>
            <w:vAlign w:val="top"/>
          </w:tcPr>
          <w:p w14:paraId="5C171331">
            <w:pPr>
              <w:rPr>
                <w:rFonts w:ascii="Arial"/>
                <w:sz w:val="21"/>
              </w:rPr>
            </w:pPr>
          </w:p>
        </w:tc>
      </w:tr>
      <w:tr w14:paraId="360541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3E074E8D">
            <w:pPr>
              <w:pStyle w:val="6"/>
              <w:spacing w:before="181" w:line="228" w:lineRule="auto"/>
              <w:ind w:left="231"/>
            </w:pPr>
            <w:r>
              <w:rPr>
                <w:spacing w:val="6"/>
              </w:rPr>
              <w:t>营业执照号</w:t>
            </w:r>
          </w:p>
        </w:tc>
        <w:tc>
          <w:tcPr>
            <w:tcW w:w="1916" w:type="dxa"/>
            <w:gridSpan w:val="2"/>
            <w:vAlign w:val="top"/>
          </w:tcPr>
          <w:p w14:paraId="5FC865D1">
            <w:pPr>
              <w:rPr>
                <w:rFonts w:ascii="Arial"/>
                <w:sz w:val="21"/>
              </w:rPr>
            </w:pPr>
          </w:p>
        </w:tc>
        <w:tc>
          <w:tcPr>
            <w:tcW w:w="992" w:type="dxa"/>
            <w:vMerge w:val="continue"/>
            <w:tcBorders>
              <w:top w:val="nil"/>
              <w:bottom w:val="nil"/>
            </w:tcBorders>
            <w:vAlign w:val="top"/>
          </w:tcPr>
          <w:p w14:paraId="58DF6322">
            <w:pPr>
              <w:rPr>
                <w:rFonts w:ascii="Arial"/>
                <w:sz w:val="21"/>
              </w:rPr>
            </w:pPr>
          </w:p>
        </w:tc>
        <w:tc>
          <w:tcPr>
            <w:tcW w:w="1983" w:type="dxa"/>
            <w:gridSpan w:val="4"/>
            <w:vAlign w:val="top"/>
          </w:tcPr>
          <w:p w14:paraId="35CBA9F4">
            <w:pPr>
              <w:pStyle w:val="6"/>
              <w:spacing w:before="181" w:line="228" w:lineRule="auto"/>
              <w:ind w:left="374"/>
            </w:pPr>
            <w:r>
              <w:rPr>
                <w:spacing w:val="7"/>
              </w:rPr>
              <w:t>高级职称人员</w:t>
            </w:r>
          </w:p>
        </w:tc>
        <w:tc>
          <w:tcPr>
            <w:tcW w:w="2129" w:type="dxa"/>
            <w:gridSpan w:val="2"/>
            <w:vAlign w:val="top"/>
          </w:tcPr>
          <w:p w14:paraId="66C6FEF6">
            <w:pPr>
              <w:rPr>
                <w:rFonts w:ascii="Arial"/>
                <w:sz w:val="21"/>
              </w:rPr>
            </w:pPr>
          </w:p>
        </w:tc>
      </w:tr>
      <w:tr w14:paraId="230CB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1C7F954C">
            <w:pPr>
              <w:pStyle w:val="6"/>
              <w:spacing w:before="182" w:line="229" w:lineRule="auto"/>
              <w:ind w:left="330"/>
            </w:pPr>
            <w:r>
              <w:rPr>
                <w:spacing w:val="7"/>
              </w:rPr>
              <w:t>注册资金</w:t>
            </w:r>
          </w:p>
        </w:tc>
        <w:tc>
          <w:tcPr>
            <w:tcW w:w="1916" w:type="dxa"/>
            <w:gridSpan w:val="2"/>
            <w:vAlign w:val="top"/>
          </w:tcPr>
          <w:p w14:paraId="227B9B27">
            <w:pPr>
              <w:rPr>
                <w:rFonts w:ascii="Arial"/>
                <w:sz w:val="21"/>
              </w:rPr>
            </w:pPr>
          </w:p>
        </w:tc>
        <w:tc>
          <w:tcPr>
            <w:tcW w:w="992" w:type="dxa"/>
            <w:vMerge w:val="continue"/>
            <w:tcBorders>
              <w:top w:val="nil"/>
              <w:bottom w:val="nil"/>
            </w:tcBorders>
            <w:vAlign w:val="top"/>
          </w:tcPr>
          <w:p w14:paraId="59DDF6A4">
            <w:pPr>
              <w:rPr>
                <w:rFonts w:ascii="Arial"/>
                <w:sz w:val="21"/>
              </w:rPr>
            </w:pPr>
          </w:p>
        </w:tc>
        <w:tc>
          <w:tcPr>
            <w:tcW w:w="1983" w:type="dxa"/>
            <w:gridSpan w:val="4"/>
            <w:vAlign w:val="top"/>
          </w:tcPr>
          <w:p w14:paraId="1A04C680">
            <w:pPr>
              <w:pStyle w:val="6"/>
              <w:spacing w:before="183" w:line="228" w:lineRule="auto"/>
              <w:ind w:left="388"/>
            </w:pPr>
            <w:r>
              <w:rPr>
                <w:spacing w:val="4"/>
              </w:rPr>
              <w:t>中级职称人员</w:t>
            </w:r>
          </w:p>
        </w:tc>
        <w:tc>
          <w:tcPr>
            <w:tcW w:w="2129" w:type="dxa"/>
            <w:gridSpan w:val="2"/>
            <w:vAlign w:val="top"/>
          </w:tcPr>
          <w:p w14:paraId="7221F1E8">
            <w:pPr>
              <w:rPr>
                <w:rFonts w:ascii="Arial"/>
                <w:sz w:val="21"/>
              </w:rPr>
            </w:pPr>
          </w:p>
        </w:tc>
      </w:tr>
      <w:tr w14:paraId="1B52A3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6FE616A9">
            <w:pPr>
              <w:pStyle w:val="6"/>
              <w:spacing w:before="47" w:line="227" w:lineRule="auto"/>
              <w:ind w:left="330"/>
            </w:pPr>
            <w:r>
              <w:rPr>
                <w:spacing w:val="7"/>
              </w:rPr>
              <w:t>基本账户</w:t>
            </w:r>
          </w:p>
          <w:p w14:paraId="68333CBA">
            <w:pPr>
              <w:pStyle w:val="6"/>
              <w:spacing w:before="24" w:line="225" w:lineRule="auto"/>
              <w:ind w:left="331"/>
            </w:pPr>
            <w:r>
              <w:rPr>
                <w:spacing w:val="7"/>
              </w:rPr>
              <w:t>开户银行</w:t>
            </w:r>
          </w:p>
        </w:tc>
        <w:tc>
          <w:tcPr>
            <w:tcW w:w="1916" w:type="dxa"/>
            <w:gridSpan w:val="2"/>
            <w:vAlign w:val="top"/>
          </w:tcPr>
          <w:p w14:paraId="0ED58DB5">
            <w:pPr>
              <w:rPr>
                <w:rFonts w:ascii="Arial"/>
                <w:sz w:val="21"/>
              </w:rPr>
            </w:pPr>
          </w:p>
        </w:tc>
        <w:tc>
          <w:tcPr>
            <w:tcW w:w="992" w:type="dxa"/>
            <w:vMerge w:val="continue"/>
            <w:tcBorders>
              <w:top w:val="nil"/>
              <w:bottom w:val="nil"/>
            </w:tcBorders>
            <w:vAlign w:val="top"/>
          </w:tcPr>
          <w:p w14:paraId="24B0A388">
            <w:pPr>
              <w:rPr>
                <w:rFonts w:ascii="Arial"/>
                <w:sz w:val="21"/>
              </w:rPr>
            </w:pPr>
          </w:p>
        </w:tc>
        <w:tc>
          <w:tcPr>
            <w:tcW w:w="1983" w:type="dxa"/>
            <w:gridSpan w:val="4"/>
            <w:vAlign w:val="top"/>
          </w:tcPr>
          <w:p w14:paraId="6295328D">
            <w:pPr>
              <w:pStyle w:val="6"/>
              <w:spacing w:before="181" w:line="229" w:lineRule="auto"/>
              <w:ind w:left="367"/>
            </w:pPr>
            <w:r>
              <w:rPr>
                <w:spacing w:val="8"/>
              </w:rPr>
              <w:t>初级职称人员</w:t>
            </w:r>
          </w:p>
        </w:tc>
        <w:tc>
          <w:tcPr>
            <w:tcW w:w="2129" w:type="dxa"/>
            <w:gridSpan w:val="2"/>
            <w:vAlign w:val="top"/>
          </w:tcPr>
          <w:p w14:paraId="0AFAD8D0">
            <w:pPr>
              <w:rPr>
                <w:rFonts w:ascii="Arial"/>
                <w:sz w:val="21"/>
              </w:rPr>
            </w:pPr>
          </w:p>
        </w:tc>
      </w:tr>
      <w:tr w14:paraId="37807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71DCC065">
            <w:pPr>
              <w:pStyle w:val="6"/>
              <w:spacing w:before="46" w:line="238" w:lineRule="auto"/>
              <w:ind w:left="542" w:right="324" w:hanging="212"/>
            </w:pPr>
            <w:r>
              <w:rPr>
                <w:spacing w:val="7"/>
              </w:rPr>
              <w:t>基本账户</w:t>
            </w:r>
            <w:r>
              <w:rPr>
                <w:spacing w:val="3"/>
              </w:rPr>
              <w:t>账号</w:t>
            </w:r>
          </w:p>
        </w:tc>
        <w:tc>
          <w:tcPr>
            <w:tcW w:w="1916" w:type="dxa"/>
            <w:gridSpan w:val="2"/>
            <w:vAlign w:val="top"/>
          </w:tcPr>
          <w:p w14:paraId="04191D2F">
            <w:pPr>
              <w:rPr>
                <w:rFonts w:ascii="Arial"/>
                <w:sz w:val="21"/>
              </w:rPr>
            </w:pPr>
          </w:p>
        </w:tc>
        <w:tc>
          <w:tcPr>
            <w:tcW w:w="992" w:type="dxa"/>
            <w:vMerge w:val="continue"/>
            <w:tcBorders>
              <w:top w:val="nil"/>
            </w:tcBorders>
            <w:vAlign w:val="top"/>
          </w:tcPr>
          <w:p w14:paraId="57E63456">
            <w:pPr>
              <w:rPr>
                <w:rFonts w:ascii="Arial"/>
                <w:sz w:val="21"/>
              </w:rPr>
            </w:pPr>
          </w:p>
        </w:tc>
        <w:tc>
          <w:tcPr>
            <w:tcW w:w="1983" w:type="dxa"/>
            <w:gridSpan w:val="4"/>
            <w:vAlign w:val="top"/>
          </w:tcPr>
          <w:p w14:paraId="7976D7CE">
            <w:pPr>
              <w:pStyle w:val="6"/>
              <w:spacing w:before="183" w:line="229" w:lineRule="auto"/>
              <w:ind w:left="683"/>
            </w:pPr>
            <w:r>
              <w:t>技</w:t>
            </w:r>
            <w:r>
              <w:rPr>
                <w:spacing w:val="10"/>
              </w:rPr>
              <w:t xml:space="preserve">  </w:t>
            </w:r>
            <w:r>
              <w:t>工</w:t>
            </w:r>
          </w:p>
        </w:tc>
        <w:tc>
          <w:tcPr>
            <w:tcW w:w="2129" w:type="dxa"/>
            <w:gridSpan w:val="2"/>
            <w:vAlign w:val="top"/>
          </w:tcPr>
          <w:p w14:paraId="3549AEAC">
            <w:pPr>
              <w:rPr>
                <w:rFonts w:ascii="Arial"/>
                <w:sz w:val="21"/>
              </w:rPr>
            </w:pPr>
          </w:p>
        </w:tc>
      </w:tr>
      <w:tr w14:paraId="14709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8" w:hRule="atLeast"/>
        </w:trPr>
        <w:tc>
          <w:tcPr>
            <w:tcW w:w="1489" w:type="dxa"/>
            <w:vAlign w:val="top"/>
          </w:tcPr>
          <w:p w14:paraId="23F122E7">
            <w:pPr>
              <w:spacing w:line="458" w:lineRule="auto"/>
              <w:rPr>
                <w:rFonts w:ascii="Arial"/>
                <w:sz w:val="21"/>
              </w:rPr>
            </w:pPr>
          </w:p>
          <w:p w14:paraId="33B4F80B">
            <w:pPr>
              <w:pStyle w:val="6"/>
              <w:spacing w:before="65" w:line="228" w:lineRule="auto"/>
              <w:ind w:left="332"/>
            </w:pPr>
            <w:r>
              <w:rPr>
                <w:spacing w:val="6"/>
              </w:rPr>
              <w:t>经营范围</w:t>
            </w:r>
          </w:p>
        </w:tc>
        <w:tc>
          <w:tcPr>
            <w:tcW w:w="7020" w:type="dxa"/>
            <w:gridSpan w:val="9"/>
            <w:vAlign w:val="top"/>
          </w:tcPr>
          <w:p w14:paraId="735CFD0C">
            <w:pPr>
              <w:rPr>
                <w:rFonts w:ascii="Arial"/>
                <w:sz w:val="21"/>
              </w:rPr>
            </w:pPr>
          </w:p>
        </w:tc>
      </w:tr>
      <w:tr w14:paraId="527228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489" w:type="dxa"/>
            <w:vAlign w:val="top"/>
          </w:tcPr>
          <w:p w14:paraId="4E00170B">
            <w:pPr>
              <w:pStyle w:val="6"/>
              <w:spacing w:before="184" w:line="229" w:lineRule="auto"/>
              <w:ind w:left="541"/>
            </w:pPr>
            <w:r>
              <w:rPr>
                <w:spacing w:val="3"/>
              </w:rPr>
              <w:t>备注</w:t>
            </w:r>
          </w:p>
        </w:tc>
        <w:tc>
          <w:tcPr>
            <w:tcW w:w="7020" w:type="dxa"/>
            <w:gridSpan w:val="9"/>
            <w:vAlign w:val="top"/>
          </w:tcPr>
          <w:p w14:paraId="77CC96E4">
            <w:pPr>
              <w:rPr>
                <w:rFonts w:ascii="Arial"/>
                <w:sz w:val="21"/>
              </w:rPr>
            </w:pPr>
          </w:p>
        </w:tc>
      </w:tr>
    </w:tbl>
    <w:p w14:paraId="006E0110">
      <w:pPr>
        <w:spacing w:line="245" w:lineRule="auto"/>
        <w:rPr>
          <w:rFonts w:ascii="Arial"/>
          <w:sz w:val="21"/>
        </w:rPr>
      </w:pPr>
    </w:p>
    <w:p w14:paraId="186C9C54">
      <w:pPr>
        <w:spacing w:line="246" w:lineRule="auto"/>
        <w:rPr>
          <w:rFonts w:ascii="Arial"/>
          <w:sz w:val="21"/>
        </w:rPr>
      </w:pPr>
    </w:p>
    <w:p w14:paraId="213F951C">
      <w:pPr>
        <w:spacing w:before="65" w:line="227" w:lineRule="auto"/>
        <w:rPr>
          <w:rFonts w:ascii="宋体" w:hAnsi="宋体" w:eastAsia="宋体" w:cs="宋体"/>
          <w:sz w:val="20"/>
          <w:szCs w:val="20"/>
        </w:rPr>
      </w:pPr>
      <w:r>
        <w:rPr>
          <w:rFonts w:ascii="宋体" w:hAnsi="宋体" w:eastAsia="宋体" w:cs="宋体"/>
          <w:spacing w:val="9"/>
          <w:sz w:val="20"/>
          <w:szCs w:val="20"/>
        </w:rPr>
        <w:t>备注：1. 本表后应附企业法人营业执照、企业资质证书、安全生产许可证、基本账</w:t>
      </w:r>
      <w:r>
        <w:rPr>
          <w:rFonts w:ascii="宋体" w:hAnsi="宋体" w:eastAsia="宋体" w:cs="宋体"/>
          <w:spacing w:val="8"/>
          <w:sz w:val="20"/>
          <w:szCs w:val="20"/>
        </w:rPr>
        <w:t>户开户许可证</w:t>
      </w:r>
    </w:p>
    <w:p w14:paraId="11F6B328">
      <w:pPr>
        <w:spacing w:before="155" w:line="227" w:lineRule="auto"/>
        <w:jc w:val="right"/>
        <w:rPr>
          <w:rFonts w:ascii="宋体" w:hAnsi="宋体" w:eastAsia="宋体" w:cs="宋体"/>
          <w:sz w:val="20"/>
          <w:szCs w:val="20"/>
        </w:rPr>
      </w:pPr>
      <w:r>
        <w:rPr>
          <w:rFonts w:ascii="宋体" w:hAnsi="宋体" w:eastAsia="宋体" w:cs="宋体"/>
          <w:spacing w:val="5"/>
          <w:sz w:val="20"/>
          <w:szCs w:val="20"/>
        </w:rPr>
        <w:t>（基本存款账户信息）、质量、环境、职业健康安全管理体系认证证书等材料的扫描件。</w:t>
      </w:r>
    </w:p>
    <w:p w14:paraId="59EFBE44">
      <w:pPr>
        <w:spacing w:before="153" w:line="228" w:lineRule="auto"/>
        <w:ind w:left="624"/>
        <w:rPr>
          <w:rFonts w:ascii="宋体" w:hAnsi="宋体" w:eastAsia="宋体" w:cs="宋体"/>
          <w:sz w:val="20"/>
          <w:szCs w:val="20"/>
        </w:rPr>
      </w:pPr>
      <w:r>
        <w:rPr>
          <w:rFonts w:ascii="Times New Roman" w:hAnsi="Times New Roman" w:eastAsia="Times New Roman" w:cs="Times New Roman"/>
          <w:spacing w:val="7"/>
          <w:sz w:val="20"/>
          <w:szCs w:val="20"/>
        </w:rPr>
        <w:t>2</w:t>
      </w:r>
      <w:r>
        <w:rPr>
          <w:rFonts w:ascii="Times New Roman" w:hAnsi="Times New Roman" w:eastAsia="Times New Roman" w:cs="Times New Roman"/>
          <w:spacing w:val="-11"/>
          <w:sz w:val="20"/>
          <w:szCs w:val="20"/>
        </w:rPr>
        <w:t xml:space="preserve"> </w:t>
      </w:r>
      <w:r>
        <w:rPr>
          <w:rFonts w:ascii="宋体" w:hAnsi="宋体" w:eastAsia="宋体" w:cs="宋体"/>
          <w:spacing w:val="7"/>
          <w:sz w:val="20"/>
          <w:szCs w:val="20"/>
        </w:rPr>
        <w:t>．联合体投标的，联合体各成员应分别填写。</w:t>
      </w:r>
    </w:p>
    <w:p w14:paraId="3E35BD27">
      <w:pPr>
        <w:spacing w:line="228" w:lineRule="auto"/>
        <w:rPr>
          <w:rFonts w:ascii="宋体" w:hAnsi="宋体" w:eastAsia="宋体" w:cs="宋体"/>
          <w:sz w:val="20"/>
          <w:szCs w:val="20"/>
        </w:rPr>
        <w:sectPr>
          <w:footerReference r:id="rId529" w:type="default"/>
          <w:pgSz w:w="11907" w:h="16840"/>
          <w:pgMar w:top="400" w:right="1460" w:bottom="1247" w:left="1484" w:header="0" w:footer="1085" w:gutter="0"/>
          <w:cols w:space="720" w:num="1"/>
        </w:sectPr>
      </w:pPr>
    </w:p>
    <w:p w14:paraId="5B6E448C">
      <w:pPr>
        <w:spacing w:line="265" w:lineRule="auto"/>
        <w:rPr>
          <w:rFonts w:ascii="Arial"/>
          <w:sz w:val="21"/>
        </w:rPr>
      </w:pPr>
    </w:p>
    <w:p w14:paraId="4DC9B49F">
      <w:pPr>
        <w:spacing w:line="266" w:lineRule="auto"/>
        <w:rPr>
          <w:rFonts w:ascii="Arial"/>
          <w:sz w:val="21"/>
        </w:rPr>
      </w:pPr>
    </w:p>
    <w:p w14:paraId="1C7E7D6F">
      <w:pPr>
        <w:spacing w:line="266" w:lineRule="auto"/>
        <w:rPr>
          <w:rFonts w:ascii="Arial"/>
          <w:sz w:val="21"/>
        </w:rPr>
      </w:pPr>
    </w:p>
    <w:p w14:paraId="01775BBF">
      <w:pPr>
        <w:spacing w:line="266" w:lineRule="auto"/>
        <w:rPr>
          <w:rFonts w:ascii="Arial"/>
          <w:sz w:val="21"/>
        </w:rPr>
      </w:pPr>
    </w:p>
    <w:p w14:paraId="55E65ABA">
      <w:pPr>
        <w:spacing w:line="266" w:lineRule="auto"/>
        <w:rPr>
          <w:rFonts w:ascii="Arial"/>
          <w:sz w:val="21"/>
        </w:rPr>
      </w:pPr>
    </w:p>
    <w:p w14:paraId="25035A97">
      <w:pPr>
        <w:pStyle w:val="2"/>
        <w:spacing w:before="78" w:line="221" w:lineRule="auto"/>
        <w:ind w:left="3500"/>
        <w:outlineLvl w:val="2"/>
        <w:rPr>
          <w:sz w:val="24"/>
          <w:szCs w:val="24"/>
        </w:rPr>
      </w:pPr>
      <w:bookmarkStart w:id="431" w:name="bookmark410"/>
      <w:bookmarkEnd w:id="431"/>
      <w:r>
        <w:rPr>
          <w:rFonts w:ascii="Times New Roman" w:hAnsi="Times New Roman" w:eastAsia="Times New Roman" w:cs="Times New Roman"/>
          <w:spacing w:val="-5"/>
          <w:sz w:val="24"/>
          <w:szCs w:val="24"/>
        </w:rPr>
        <w:t>1-2</w:t>
      </w:r>
      <w:r>
        <w:rPr>
          <w:rFonts w:ascii="Times New Roman" w:hAnsi="Times New Roman" w:eastAsia="Times New Roman" w:cs="Times New Roman"/>
          <w:spacing w:val="22"/>
          <w:w w:val="101"/>
          <w:sz w:val="24"/>
          <w:szCs w:val="24"/>
        </w:rPr>
        <w:t xml:space="preserve"> </w:t>
      </w:r>
      <w:r>
        <w:rPr>
          <w:spacing w:val="-5"/>
          <w:sz w:val="24"/>
          <w:szCs w:val="24"/>
        </w:rPr>
        <w:t>关联单位情况说明</w:t>
      </w:r>
    </w:p>
    <w:p w14:paraId="1C0E8211">
      <w:pPr>
        <w:spacing w:before="118"/>
      </w:pPr>
    </w:p>
    <w:p w14:paraId="17064383">
      <w:pPr>
        <w:spacing w:before="117"/>
      </w:pPr>
    </w:p>
    <w:tbl>
      <w:tblPr>
        <w:tblStyle w:val="5"/>
        <w:tblW w:w="923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38"/>
      </w:tblGrid>
      <w:tr w14:paraId="67FA28FF">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8409" w:hRule="atLeast"/>
        </w:trPr>
        <w:tc>
          <w:tcPr>
            <w:tcW w:w="9238" w:type="dxa"/>
            <w:vAlign w:val="top"/>
          </w:tcPr>
          <w:p w14:paraId="29C4D92F">
            <w:pPr>
              <w:spacing w:line="329" w:lineRule="auto"/>
              <w:rPr>
                <w:rFonts w:ascii="Arial"/>
                <w:sz w:val="21"/>
              </w:rPr>
            </w:pPr>
          </w:p>
          <w:p w14:paraId="0FA459BB">
            <w:pPr>
              <w:pStyle w:val="6"/>
              <w:spacing w:before="65" w:line="227" w:lineRule="auto"/>
              <w:ind w:left="14"/>
            </w:pPr>
            <w:r>
              <w:rPr>
                <w:spacing w:val="8"/>
              </w:rPr>
              <w:t>单位负责人与本单位负责人为同一人的单位：</w:t>
            </w:r>
          </w:p>
          <w:p w14:paraId="1D10A9B9">
            <w:pPr>
              <w:spacing w:line="264" w:lineRule="auto"/>
              <w:rPr>
                <w:rFonts w:ascii="Arial"/>
                <w:sz w:val="21"/>
              </w:rPr>
            </w:pPr>
          </w:p>
          <w:p w14:paraId="6C1B2224">
            <w:pPr>
              <w:spacing w:line="264" w:lineRule="auto"/>
              <w:rPr>
                <w:rFonts w:ascii="Arial"/>
                <w:sz w:val="21"/>
              </w:rPr>
            </w:pPr>
          </w:p>
          <w:p w14:paraId="60C00B5B">
            <w:pPr>
              <w:spacing w:line="264" w:lineRule="auto"/>
              <w:rPr>
                <w:rFonts w:ascii="Arial"/>
                <w:sz w:val="21"/>
              </w:rPr>
            </w:pPr>
          </w:p>
          <w:p w14:paraId="38A88652">
            <w:pPr>
              <w:spacing w:line="264" w:lineRule="auto"/>
              <w:rPr>
                <w:rFonts w:ascii="Arial"/>
                <w:sz w:val="21"/>
              </w:rPr>
            </w:pPr>
          </w:p>
          <w:p w14:paraId="2F83CA3A">
            <w:pPr>
              <w:spacing w:line="264" w:lineRule="auto"/>
              <w:rPr>
                <w:rFonts w:ascii="Arial"/>
                <w:sz w:val="21"/>
              </w:rPr>
            </w:pPr>
          </w:p>
          <w:p w14:paraId="78C7F3DE">
            <w:pPr>
              <w:spacing w:line="264" w:lineRule="auto"/>
              <w:rPr>
                <w:rFonts w:ascii="Arial"/>
                <w:sz w:val="21"/>
              </w:rPr>
            </w:pPr>
          </w:p>
          <w:p w14:paraId="160B6B3D">
            <w:pPr>
              <w:pStyle w:val="6"/>
              <w:spacing w:before="65" w:line="227" w:lineRule="auto"/>
              <w:ind w:left="16"/>
            </w:pPr>
            <w:r>
              <w:rPr>
                <w:spacing w:val="8"/>
              </w:rPr>
              <w:t>与本单位存在控股与被控股关系的单位：</w:t>
            </w:r>
          </w:p>
          <w:p w14:paraId="1982260C">
            <w:pPr>
              <w:spacing w:line="266" w:lineRule="auto"/>
              <w:rPr>
                <w:rFonts w:ascii="Arial"/>
                <w:sz w:val="21"/>
              </w:rPr>
            </w:pPr>
          </w:p>
          <w:p w14:paraId="1721ACA3">
            <w:pPr>
              <w:spacing w:line="266" w:lineRule="auto"/>
              <w:rPr>
                <w:rFonts w:ascii="Arial"/>
                <w:sz w:val="21"/>
              </w:rPr>
            </w:pPr>
          </w:p>
          <w:p w14:paraId="3B245893">
            <w:pPr>
              <w:spacing w:line="266" w:lineRule="auto"/>
              <w:rPr>
                <w:rFonts w:ascii="Arial"/>
                <w:sz w:val="21"/>
              </w:rPr>
            </w:pPr>
          </w:p>
          <w:p w14:paraId="1DE11067">
            <w:pPr>
              <w:spacing w:line="266" w:lineRule="auto"/>
              <w:rPr>
                <w:rFonts w:ascii="Arial"/>
                <w:sz w:val="21"/>
              </w:rPr>
            </w:pPr>
          </w:p>
          <w:p w14:paraId="53F5F5BD">
            <w:pPr>
              <w:spacing w:line="266" w:lineRule="auto"/>
              <w:rPr>
                <w:rFonts w:ascii="Arial"/>
                <w:sz w:val="21"/>
              </w:rPr>
            </w:pPr>
          </w:p>
          <w:p w14:paraId="2B67944B">
            <w:pPr>
              <w:spacing w:line="267" w:lineRule="auto"/>
              <w:rPr>
                <w:rFonts w:ascii="Arial"/>
                <w:sz w:val="21"/>
              </w:rPr>
            </w:pPr>
          </w:p>
          <w:p w14:paraId="1EB6D0DF">
            <w:pPr>
              <w:spacing w:line="267" w:lineRule="auto"/>
              <w:rPr>
                <w:rFonts w:ascii="Arial"/>
                <w:sz w:val="21"/>
              </w:rPr>
            </w:pPr>
          </w:p>
          <w:p w14:paraId="689177E4">
            <w:pPr>
              <w:spacing w:line="267" w:lineRule="auto"/>
              <w:rPr>
                <w:rFonts w:ascii="Arial"/>
                <w:sz w:val="21"/>
              </w:rPr>
            </w:pPr>
          </w:p>
          <w:p w14:paraId="566EDB03">
            <w:pPr>
              <w:spacing w:line="267" w:lineRule="auto"/>
              <w:rPr>
                <w:rFonts w:ascii="Arial"/>
                <w:sz w:val="21"/>
              </w:rPr>
            </w:pPr>
          </w:p>
          <w:p w14:paraId="2DA8F38D">
            <w:pPr>
              <w:pStyle w:val="6"/>
              <w:spacing w:before="65" w:line="227" w:lineRule="auto"/>
              <w:ind w:left="16"/>
            </w:pPr>
            <w:r>
              <w:rPr>
                <w:spacing w:val="8"/>
              </w:rPr>
              <w:t>与本单位存在管理与被管理关系的单位：</w:t>
            </w:r>
          </w:p>
        </w:tc>
      </w:tr>
    </w:tbl>
    <w:p w14:paraId="4BA2263B">
      <w:pPr>
        <w:spacing w:line="297" w:lineRule="auto"/>
        <w:rPr>
          <w:rFonts w:ascii="Arial"/>
          <w:sz w:val="21"/>
        </w:rPr>
      </w:pPr>
    </w:p>
    <w:p w14:paraId="1FB8DD00">
      <w:pPr>
        <w:spacing w:line="298" w:lineRule="auto"/>
        <w:rPr>
          <w:rFonts w:ascii="Arial"/>
          <w:sz w:val="21"/>
        </w:rPr>
      </w:pPr>
    </w:p>
    <w:p w14:paraId="486F5D69">
      <w:pPr>
        <w:spacing w:before="65" w:line="228" w:lineRule="auto"/>
        <w:ind w:left="181"/>
        <w:rPr>
          <w:rFonts w:ascii="宋体" w:hAnsi="宋体" w:eastAsia="宋体" w:cs="宋体"/>
          <w:sz w:val="20"/>
          <w:szCs w:val="20"/>
        </w:rPr>
      </w:pPr>
      <w:r>
        <w:rPr>
          <w:rFonts w:ascii="宋体" w:hAnsi="宋体" w:eastAsia="宋体" w:cs="宋体"/>
          <w:spacing w:val="8"/>
          <w:sz w:val="20"/>
          <w:szCs w:val="20"/>
        </w:rPr>
        <w:t>备注：1. 投标人应当如实披露相关关联单位的情况。没有相关关联单位的明确填“无</w:t>
      </w:r>
      <w:r>
        <w:rPr>
          <w:rFonts w:ascii="宋体" w:hAnsi="宋体" w:eastAsia="宋体" w:cs="宋体"/>
          <w:spacing w:val="-57"/>
          <w:sz w:val="20"/>
          <w:szCs w:val="20"/>
        </w:rPr>
        <w:t xml:space="preserve"> </w:t>
      </w:r>
      <w:r>
        <w:rPr>
          <w:rFonts w:ascii="宋体" w:hAnsi="宋体" w:eastAsia="宋体" w:cs="宋体"/>
          <w:spacing w:val="8"/>
          <w:sz w:val="20"/>
          <w:szCs w:val="20"/>
        </w:rPr>
        <w:t>”。</w:t>
      </w:r>
    </w:p>
    <w:p w14:paraId="2D036AFE">
      <w:pPr>
        <w:spacing w:before="24" w:line="228" w:lineRule="auto"/>
        <w:ind w:left="812"/>
        <w:rPr>
          <w:rFonts w:ascii="宋体" w:hAnsi="宋体" w:eastAsia="宋体" w:cs="宋体"/>
          <w:sz w:val="20"/>
          <w:szCs w:val="20"/>
        </w:rPr>
      </w:pPr>
      <w:r>
        <w:rPr>
          <w:rFonts w:ascii="宋体" w:hAnsi="宋体" w:eastAsia="宋体" w:cs="宋体"/>
          <w:spacing w:val="8"/>
          <w:sz w:val="20"/>
          <w:szCs w:val="20"/>
        </w:rPr>
        <w:t>2．联合体投标的，联合体各成员应分别填写。</w:t>
      </w:r>
    </w:p>
    <w:p w14:paraId="1F889322">
      <w:pPr>
        <w:spacing w:line="228" w:lineRule="auto"/>
        <w:rPr>
          <w:rFonts w:ascii="宋体" w:hAnsi="宋体" w:eastAsia="宋体" w:cs="宋体"/>
          <w:sz w:val="20"/>
          <w:szCs w:val="20"/>
        </w:rPr>
        <w:sectPr>
          <w:footerReference r:id="rId530" w:type="default"/>
          <w:pgSz w:w="11907" w:h="16840"/>
          <w:pgMar w:top="400" w:right="1360" w:bottom="1247" w:left="1303" w:header="0" w:footer="1085" w:gutter="0"/>
          <w:cols w:space="720" w:num="1"/>
        </w:sectPr>
      </w:pPr>
    </w:p>
    <w:p w14:paraId="1DD52130">
      <w:pPr>
        <w:spacing w:line="265" w:lineRule="auto"/>
        <w:rPr>
          <w:rFonts w:ascii="Arial"/>
          <w:sz w:val="21"/>
        </w:rPr>
      </w:pPr>
    </w:p>
    <w:p w14:paraId="65533D9A">
      <w:pPr>
        <w:spacing w:line="265" w:lineRule="auto"/>
        <w:rPr>
          <w:rFonts w:ascii="Arial"/>
          <w:sz w:val="21"/>
        </w:rPr>
      </w:pPr>
    </w:p>
    <w:p w14:paraId="6485DB6B">
      <w:pPr>
        <w:spacing w:line="266" w:lineRule="auto"/>
        <w:rPr>
          <w:rFonts w:ascii="Arial"/>
          <w:sz w:val="21"/>
        </w:rPr>
      </w:pPr>
    </w:p>
    <w:p w14:paraId="7A0B7BFE">
      <w:pPr>
        <w:spacing w:line="266" w:lineRule="auto"/>
        <w:rPr>
          <w:rFonts w:ascii="Arial"/>
          <w:sz w:val="21"/>
        </w:rPr>
      </w:pPr>
    </w:p>
    <w:p w14:paraId="6C827E01">
      <w:pPr>
        <w:spacing w:line="266" w:lineRule="auto"/>
        <w:rPr>
          <w:rFonts w:ascii="Arial"/>
          <w:sz w:val="21"/>
        </w:rPr>
      </w:pPr>
    </w:p>
    <w:p w14:paraId="7226D8D6">
      <w:pPr>
        <w:pStyle w:val="2"/>
        <w:spacing w:before="78" w:line="222" w:lineRule="auto"/>
        <w:ind w:left="3380"/>
        <w:outlineLvl w:val="2"/>
        <w:rPr>
          <w:sz w:val="24"/>
          <w:szCs w:val="24"/>
        </w:rPr>
      </w:pPr>
      <w:bookmarkStart w:id="432" w:name="bookmark411"/>
      <w:bookmarkEnd w:id="432"/>
      <w:r>
        <w:rPr>
          <w:rFonts w:ascii="Times New Roman" w:hAnsi="Times New Roman" w:eastAsia="Times New Roman" w:cs="Times New Roman"/>
          <w:spacing w:val="-3"/>
          <w:sz w:val="24"/>
          <w:szCs w:val="24"/>
        </w:rPr>
        <w:t xml:space="preserve">1-3 </w:t>
      </w:r>
      <w:r>
        <w:rPr>
          <w:spacing w:val="-3"/>
          <w:sz w:val="24"/>
          <w:szCs w:val="24"/>
        </w:rPr>
        <w:t>建筑业企业信息登记</w:t>
      </w:r>
    </w:p>
    <w:p w14:paraId="33A9B3ED">
      <w:pPr>
        <w:spacing w:before="30"/>
      </w:pPr>
    </w:p>
    <w:p w14:paraId="29610E39">
      <w:pPr>
        <w:spacing w:before="29"/>
      </w:pPr>
    </w:p>
    <w:tbl>
      <w:tblPr>
        <w:tblStyle w:val="5"/>
        <w:tblW w:w="923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38"/>
      </w:tblGrid>
      <w:tr w14:paraId="259828F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8409" w:hRule="atLeast"/>
        </w:trPr>
        <w:tc>
          <w:tcPr>
            <w:tcW w:w="9238" w:type="dxa"/>
            <w:vAlign w:val="top"/>
          </w:tcPr>
          <w:p w14:paraId="2A7414EC">
            <w:pPr>
              <w:rPr>
                <w:rFonts w:ascii="Arial"/>
                <w:sz w:val="21"/>
              </w:rPr>
            </w:pPr>
          </w:p>
        </w:tc>
      </w:tr>
    </w:tbl>
    <w:p w14:paraId="2155D838">
      <w:pPr>
        <w:rPr>
          <w:rFonts w:ascii="Arial"/>
          <w:sz w:val="21"/>
        </w:rPr>
      </w:pPr>
    </w:p>
    <w:p w14:paraId="52ECD91B">
      <w:pPr>
        <w:spacing w:before="65" w:line="250" w:lineRule="auto"/>
        <w:ind w:left="1117" w:right="171" w:hanging="936"/>
        <w:rPr>
          <w:rFonts w:ascii="宋体" w:hAnsi="宋体" w:eastAsia="宋体" w:cs="宋体"/>
          <w:sz w:val="20"/>
          <w:szCs w:val="20"/>
        </w:rPr>
      </w:pPr>
      <w:r>
        <w:rPr>
          <w:rFonts w:ascii="宋体" w:hAnsi="宋体" w:eastAsia="宋体" w:cs="宋体"/>
          <w:spacing w:val="11"/>
          <w:sz w:val="20"/>
          <w:szCs w:val="20"/>
        </w:rPr>
        <w:t>备注：</w:t>
      </w:r>
      <w:r>
        <w:rPr>
          <w:rFonts w:ascii="宋体" w:hAnsi="宋体" w:eastAsia="宋体" w:cs="宋体"/>
          <w:spacing w:val="-60"/>
          <w:sz w:val="20"/>
          <w:szCs w:val="20"/>
        </w:rPr>
        <w:t xml:space="preserve"> </w:t>
      </w:r>
      <w:r>
        <w:rPr>
          <w:rFonts w:ascii="Times New Roman" w:hAnsi="Times New Roman" w:eastAsia="Times New Roman" w:cs="Times New Roman"/>
          <w:spacing w:val="11"/>
          <w:sz w:val="20"/>
          <w:szCs w:val="20"/>
        </w:rPr>
        <w:t xml:space="preserve">1.  </w:t>
      </w:r>
      <w:r>
        <w:rPr>
          <w:rFonts w:ascii="宋体" w:hAnsi="宋体" w:eastAsia="宋体" w:cs="宋体"/>
          <w:spacing w:val="11"/>
          <w:sz w:val="20"/>
          <w:szCs w:val="20"/>
        </w:rPr>
        <w:t>根据湖北省住房和城乡建设厅 《关于推动全省建筑市场统一开放的</w:t>
      </w:r>
      <w:r>
        <w:rPr>
          <w:rFonts w:ascii="宋体" w:hAnsi="宋体" w:eastAsia="宋体" w:cs="宋体"/>
          <w:spacing w:val="10"/>
          <w:sz w:val="20"/>
          <w:szCs w:val="20"/>
        </w:rPr>
        <w:t>通知》  （鄂建文</w:t>
      </w:r>
      <w:r>
        <w:rPr>
          <w:rFonts w:ascii="宋体" w:hAnsi="宋体" w:eastAsia="宋体" w:cs="宋体"/>
          <w:spacing w:val="7"/>
          <w:sz w:val="20"/>
          <w:szCs w:val="20"/>
        </w:rPr>
        <w:t>〔</w:t>
      </w:r>
      <w:r>
        <w:rPr>
          <w:rFonts w:ascii="Times New Roman" w:hAnsi="Times New Roman" w:eastAsia="Times New Roman" w:cs="Times New Roman"/>
          <w:spacing w:val="7"/>
          <w:sz w:val="20"/>
          <w:szCs w:val="20"/>
        </w:rPr>
        <w:t>2015</w:t>
      </w:r>
      <w:r>
        <w:rPr>
          <w:rFonts w:ascii="宋体" w:hAnsi="宋体" w:eastAsia="宋体" w:cs="宋体"/>
          <w:spacing w:val="7"/>
          <w:sz w:val="20"/>
          <w:szCs w:val="20"/>
        </w:rPr>
        <w:t>〕</w:t>
      </w:r>
      <w:r>
        <w:rPr>
          <w:rFonts w:ascii="Times New Roman" w:hAnsi="Times New Roman" w:eastAsia="Times New Roman" w:cs="Times New Roman"/>
          <w:spacing w:val="7"/>
          <w:sz w:val="20"/>
          <w:szCs w:val="20"/>
        </w:rPr>
        <w:t xml:space="preserve">83 </w:t>
      </w:r>
      <w:r>
        <w:rPr>
          <w:rFonts w:ascii="宋体" w:hAnsi="宋体" w:eastAsia="宋体" w:cs="宋体"/>
          <w:spacing w:val="7"/>
          <w:sz w:val="20"/>
          <w:szCs w:val="20"/>
        </w:rPr>
        <w:t>号）的规定，“省内外建筑企业在各市州区域流动，统一实行一体化平台登</w:t>
      </w:r>
      <w:r>
        <w:rPr>
          <w:rFonts w:ascii="宋体" w:hAnsi="宋体" w:eastAsia="宋体" w:cs="宋体"/>
          <w:spacing w:val="23"/>
          <w:sz w:val="20"/>
          <w:szCs w:val="20"/>
        </w:rPr>
        <w:t>记管理</w:t>
      </w:r>
      <w:r>
        <w:rPr>
          <w:rFonts w:ascii="宋体" w:hAnsi="宋体" w:eastAsia="宋体" w:cs="宋体"/>
          <w:spacing w:val="-28"/>
          <w:sz w:val="20"/>
          <w:szCs w:val="20"/>
        </w:rPr>
        <w:t xml:space="preserve"> </w:t>
      </w:r>
      <w:r>
        <w:rPr>
          <w:rFonts w:ascii="宋体" w:hAnsi="宋体" w:eastAsia="宋体" w:cs="宋体"/>
          <w:spacing w:val="23"/>
          <w:sz w:val="20"/>
          <w:szCs w:val="20"/>
        </w:rPr>
        <w:t>”。</w:t>
      </w:r>
      <w:r>
        <w:rPr>
          <w:rFonts w:ascii="宋体" w:hAnsi="宋体" w:eastAsia="宋体" w:cs="宋体"/>
          <w:spacing w:val="-52"/>
          <w:sz w:val="20"/>
          <w:szCs w:val="20"/>
        </w:rPr>
        <w:t xml:space="preserve"> </w:t>
      </w:r>
      <w:r>
        <w:rPr>
          <w:rFonts w:ascii="宋体" w:hAnsi="宋体" w:eastAsia="宋体" w:cs="宋体"/>
          <w:spacing w:val="23"/>
          <w:sz w:val="20"/>
          <w:szCs w:val="20"/>
        </w:rPr>
        <w:t>投标人应当在</w:t>
      </w:r>
      <w:r>
        <w:rPr>
          <w:rFonts w:ascii="宋体" w:hAnsi="宋体" w:eastAsia="宋体" w:cs="宋体"/>
          <w:spacing w:val="-60"/>
          <w:sz w:val="20"/>
          <w:szCs w:val="20"/>
        </w:rPr>
        <w:t xml:space="preserve"> </w:t>
      </w:r>
      <w:r>
        <w:rPr>
          <w:rFonts w:ascii="宋体" w:hAnsi="宋体" w:eastAsia="宋体" w:cs="宋体"/>
          <w:spacing w:val="23"/>
          <w:sz w:val="20"/>
          <w:szCs w:val="20"/>
        </w:rPr>
        <w:t>“</w:t>
      </w:r>
      <w:r>
        <w:rPr>
          <w:rFonts w:ascii="宋体" w:hAnsi="宋体" w:eastAsia="宋体" w:cs="宋体"/>
          <w:spacing w:val="-59"/>
          <w:sz w:val="20"/>
          <w:szCs w:val="20"/>
        </w:rPr>
        <w:t xml:space="preserve"> </w:t>
      </w:r>
      <w:r>
        <w:rPr>
          <w:rFonts w:ascii="宋体" w:hAnsi="宋体" w:eastAsia="宋体" w:cs="宋体"/>
          <w:spacing w:val="23"/>
          <w:sz w:val="20"/>
          <w:szCs w:val="20"/>
        </w:rPr>
        <w:t>湖北省建筑市场监督与诚信一体化平台</w:t>
      </w:r>
      <w:r>
        <w:rPr>
          <w:rFonts w:ascii="宋体" w:hAnsi="宋体" w:eastAsia="宋体" w:cs="宋体"/>
          <w:spacing w:val="-41"/>
          <w:sz w:val="20"/>
          <w:szCs w:val="20"/>
        </w:rPr>
        <w:t xml:space="preserve"> </w:t>
      </w:r>
      <w:r>
        <w:rPr>
          <w:rFonts w:ascii="宋体" w:hAnsi="宋体" w:eastAsia="宋体" w:cs="宋体"/>
          <w:spacing w:val="23"/>
          <w:sz w:val="20"/>
          <w:szCs w:val="20"/>
        </w:rPr>
        <w:t>”（</w:t>
      </w:r>
      <w:r>
        <w:rPr>
          <w:rFonts w:ascii="宋体" w:hAnsi="宋体" w:eastAsia="宋体" w:cs="宋体"/>
          <w:spacing w:val="-44"/>
          <w:sz w:val="20"/>
          <w:szCs w:val="20"/>
        </w:rPr>
        <w:t xml:space="preserve"> </w:t>
      </w:r>
      <w:r>
        <w:rPr>
          <w:rFonts w:ascii="宋体" w:hAnsi="宋体" w:eastAsia="宋体" w:cs="宋体"/>
          <w:spacing w:val="23"/>
          <w:sz w:val="20"/>
          <w:szCs w:val="20"/>
        </w:rPr>
        <w:t>网址：</w:t>
      </w:r>
      <w:r>
        <w:rPr>
          <w:rFonts w:ascii="宋体" w:hAnsi="宋体" w:eastAsia="宋体" w:cs="宋体"/>
          <w:sz w:val="20"/>
          <w:szCs w:val="20"/>
        </w:rPr>
        <w:t xml:space="preserve"> </w:t>
      </w:r>
      <w:r>
        <w:fldChar w:fldCharType="begin"/>
      </w:r>
      <w:r>
        <w:instrText xml:space="preserve"> HYPERLINK "https://hbjz.hbcic.net.cn/ythweb/index"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hbjz</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hbcic</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net</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ythweb</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index</w:t>
      </w:r>
      <w:r>
        <w:rPr>
          <w:rFonts w:ascii="Times New Roman" w:hAnsi="Times New Roman" w:eastAsia="Times New Roman" w:cs="Times New Roman"/>
          <w:sz w:val="20"/>
          <w:szCs w:val="20"/>
        </w:rPr>
        <w:fldChar w:fldCharType="end"/>
      </w:r>
      <w:r>
        <w:rPr>
          <w:rFonts w:ascii="宋体" w:hAnsi="宋体" w:eastAsia="宋体" w:cs="宋体"/>
          <w:spacing w:val="9"/>
          <w:sz w:val="20"/>
          <w:szCs w:val="20"/>
        </w:rPr>
        <w:t>）进行企业基本信息和人员信息登记，并将带二维码的名称为“建筑业企业在鄂投标信息登记表</w:t>
      </w:r>
      <w:r>
        <w:rPr>
          <w:rFonts w:ascii="宋体" w:hAnsi="宋体" w:eastAsia="宋体" w:cs="宋体"/>
          <w:spacing w:val="-73"/>
          <w:sz w:val="20"/>
          <w:szCs w:val="20"/>
        </w:rPr>
        <w:t xml:space="preserve"> </w:t>
      </w:r>
      <w:r>
        <w:rPr>
          <w:rFonts w:ascii="宋体" w:hAnsi="宋体" w:eastAsia="宋体" w:cs="宋体"/>
          <w:spacing w:val="8"/>
          <w:sz w:val="20"/>
          <w:szCs w:val="20"/>
        </w:rPr>
        <w:t>”的扫描件附在本表中。</w:t>
      </w:r>
    </w:p>
    <w:p w14:paraId="400016D7">
      <w:pPr>
        <w:spacing w:before="4" w:line="251" w:lineRule="auto"/>
        <w:ind w:left="1124" w:right="49" w:firstLine="1"/>
        <w:rPr>
          <w:rFonts w:ascii="宋体" w:hAnsi="宋体" w:eastAsia="宋体" w:cs="宋体"/>
          <w:sz w:val="20"/>
          <w:szCs w:val="20"/>
        </w:rPr>
      </w:pPr>
      <w:r>
        <w:rPr>
          <w:rFonts w:ascii="宋体" w:hAnsi="宋体" w:eastAsia="宋体" w:cs="宋体"/>
          <w:spacing w:val="11"/>
          <w:sz w:val="20"/>
          <w:szCs w:val="20"/>
        </w:rPr>
        <w:t>投标文件“项目管理机构主要人员表</w:t>
      </w:r>
      <w:r>
        <w:rPr>
          <w:rFonts w:ascii="宋体" w:hAnsi="宋体" w:eastAsia="宋体" w:cs="宋体"/>
          <w:spacing w:val="-63"/>
          <w:sz w:val="20"/>
          <w:szCs w:val="20"/>
        </w:rPr>
        <w:t xml:space="preserve"> </w:t>
      </w:r>
      <w:r>
        <w:rPr>
          <w:rFonts w:ascii="宋体" w:hAnsi="宋体" w:eastAsia="宋体" w:cs="宋体"/>
          <w:spacing w:val="11"/>
          <w:sz w:val="20"/>
          <w:szCs w:val="20"/>
        </w:rPr>
        <w:t>” 中的项目经理、项目技术负责人、施工管理、</w:t>
      </w:r>
      <w:r>
        <w:rPr>
          <w:rFonts w:ascii="宋体" w:hAnsi="宋体" w:eastAsia="宋体" w:cs="宋体"/>
          <w:spacing w:val="12"/>
          <w:sz w:val="20"/>
          <w:szCs w:val="20"/>
        </w:rPr>
        <w:t>质量管理、安全管理人员的姓名和岗位信息应当与</w:t>
      </w:r>
      <w:r>
        <w:rPr>
          <w:rFonts w:ascii="宋体" w:hAnsi="宋体" w:eastAsia="宋体" w:cs="宋体"/>
          <w:spacing w:val="11"/>
          <w:sz w:val="20"/>
          <w:szCs w:val="20"/>
        </w:rPr>
        <w:t>“建筑业企业在鄂投标信息登记表</w:t>
      </w:r>
      <w:r>
        <w:rPr>
          <w:rFonts w:ascii="宋体" w:hAnsi="宋体" w:eastAsia="宋体" w:cs="宋体"/>
          <w:spacing w:val="-73"/>
          <w:sz w:val="20"/>
          <w:szCs w:val="20"/>
        </w:rPr>
        <w:t xml:space="preserve"> </w:t>
      </w:r>
      <w:r>
        <w:rPr>
          <w:rFonts w:ascii="宋体" w:hAnsi="宋体" w:eastAsia="宋体" w:cs="宋体"/>
          <w:spacing w:val="11"/>
          <w:sz w:val="20"/>
          <w:szCs w:val="20"/>
        </w:rPr>
        <w:t>”</w:t>
      </w:r>
      <w:r>
        <w:rPr>
          <w:rFonts w:ascii="宋体" w:hAnsi="宋体" w:eastAsia="宋体" w:cs="宋体"/>
          <w:spacing w:val="6"/>
          <w:sz w:val="20"/>
          <w:szCs w:val="20"/>
        </w:rPr>
        <w:t>中的信息一致。</w:t>
      </w:r>
    </w:p>
    <w:p w14:paraId="60254258">
      <w:pPr>
        <w:spacing w:before="1" w:line="226" w:lineRule="auto"/>
        <w:ind w:left="909"/>
        <w:rPr>
          <w:rFonts w:ascii="宋体" w:hAnsi="宋体" w:eastAsia="宋体" w:cs="宋体"/>
          <w:sz w:val="20"/>
          <w:szCs w:val="20"/>
        </w:rPr>
      </w:pPr>
      <w:r>
        <w:rPr>
          <w:rFonts w:ascii="Times New Roman" w:hAnsi="Times New Roman" w:eastAsia="Times New Roman" w:cs="Times New Roman"/>
          <w:spacing w:val="8"/>
          <w:sz w:val="20"/>
          <w:szCs w:val="20"/>
        </w:rPr>
        <w:t xml:space="preserve">2.  </w:t>
      </w:r>
      <w:r>
        <w:rPr>
          <w:rFonts w:ascii="宋体" w:hAnsi="宋体" w:eastAsia="宋体" w:cs="宋体"/>
          <w:spacing w:val="8"/>
          <w:sz w:val="20"/>
          <w:szCs w:val="20"/>
        </w:rPr>
        <w:t>联合体投标的，联合体各成员均应附 “建筑业企业在鄂投标信息登记</w:t>
      </w:r>
      <w:r>
        <w:rPr>
          <w:rFonts w:ascii="宋体" w:hAnsi="宋体" w:eastAsia="宋体" w:cs="宋体"/>
          <w:spacing w:val="7"/>
          <w:sz w:val="20"/>
          <w:szCs w:val="20"/>
        </w:rPr>
        <w:t>表</w:t>
      </w:r>
      <w:r>
        <w:rPr>
          <w:rFonts w:ascii="宋体" w:hAnsi="宋体" w:eastAsia="宋体" w:cs="宋体"/>
          <w:spacing w:val="-69"/>
          <w:sz w:val="20"/>
          <w:szCs w:val="20"/>
        </w:rPr>
        <w:t xml:space="preserve"> </w:t>
      </w:r>
      <w:r>
        <w:rPr>
          <w:rFonts w:ascii="宋体" w:hAnsi="宋体" w:eastAsia="宋体" w:cs="宋体"/>
          <w:spacing w:val="7"/>
          <w:sz w:val="20"/>
          <w:szCs w:val="20"/>
        </w:rPr>
        <w:t>”。</w:t>
      </w:r>
    </w:p>
    <w:p w14:paraId="5B2E43C6">
      <w:pPr>
        <w:spacing w:before="27" w:line="227" w:lineRule="auto"/>
        <w:ind w:left="913"/>
        <w:rPr>
          <w:rFonts w:ascii="宋体" w:hAnsi="宋体" w:eastAsia="宋体" w:cs="宋体"/>
          <w:sz w:val="20"/>
          <w:szCs w:val="20"/>
        </w:rPr>
      </w:pP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不具备建筑业企业资质证书的企业无需在该一体化平台登记。</w:t>
      </w:r>
    </w:p>
    <w:p w14:paraId="0AB1EBFC">
      <w:pPr>
        <w:spacing w:line="227" w:lineRule="auto"/>
        <w:rPr>
          <w:rFonts w:ascii="宋体" w:hAnsi="宋体" w:eastAsia="宋体" w:cs="宋体"/>
          <w:sz w:val="20"/>
          <w:szCs w:val="20"/>
        </w:rPr>
        <w:sectPr>
          <w:footerReference r:id="rId531" w:type="default"/>
          <w:pgSz w:w="11907" w:h="16840"/>
          <w:pgMar w:top="400" w:right="1360" w:bottom="1247" w:left="1303" w:header="0" w:footer="1085" w:gutter="0"/>
          <w:cols w:space="720" w:num="1"/>
        </w:sectPr>
      </w:pPr>
    </w:p>
    <w:p w14:paraId="28FB7F2B">
      <w:pPr>
        <w:spacing w:line="265" w:lineRule="auto"/>
        <w:rPr>
          <w:rFonts w:ascii="Arial"/>
          <w:sz w:val="21"/>
        </w:rPr>
      </w:pPr>
    </w:p>
    <w:p w14:paraId="49F4EF11">
      <w:pPr>
        <w:spacing w:line="266" w:lineRule="auto"/>
        <w:rPr>
          <w:rFonts w:ascii="Arial"/>
          <w:sz w:val="21"/>
        </w:rPr>
      </w:pPr>
    </w:p>
    <w:p w14:paraId="75F1E7B9">
      <w:pPr>
        <w:spacing w:line="266" w:lineRule="auto"/>
        <w:rPr>
          <w:rFonts w:ascii="Arial"/>
          <w:sz w:val="21"/>
        </w:rPr>
      </w:pPr>
    </w:p>
    <w:p w14:paraId="682364E8">
      <w:pPr>
        <w:spacing w:line="266" w:lineRule="auto"/>
        <w:rPr>
          <w:rFonts w:ascii="Arial"/>
          <w:sz w:val="21"/>
        </w:rPr>
      </w:pPr>
    </w:p>
    <w:p w14:paraId="076593A0">
      <w:pPr>
        <w:spacing w:line="266" w:lineRule="auto"/>
        <w:rPr>
          <w:rFonts w:ascii="Arial"/>
          <w:sz w:val="21"/>
        </w:rPr>
      </w:pPr>
    </w:p>
    <w:p w14:paraId="38751B0E">
      <w:pPr>
        <w:pStyle w:val="2"/>
        <w:spacing w:before="78" w:line="221" w:lineRule="auto"/>
        <w:ind w:left="2298"/>
        <w:outlineLvl w:val="2"/>
        <w:rPr>
          <w:sz w:val="24"/>
          <w:szCs w:val="24"/>
        </w:rPr>
      </w:pPr>
      <w:bookmarkStart w:id="433" w:name="bookmark412"/>
      <w:bookmarkEnd w:id="433"/>
      <w:r>
        <w:rPr>
          <w:rFonts w:ascii="Times New Roman" w:hAnsi="Times New Roman" w:eastAsia="Times New Roman" w:cs="Times New Roman"/>
          <w:spacing w:val="-2"/>
          <w:sz w:val="24"/>
          <w:szCs w:val="24"/>
        </w:rPr>
        <w:t xml:space="preserve">1-4 </w:t>
      </w:r>
      <w:r>
        <w:rPr>
          <w:spacing w:val="-2"/>
          <w:sz w:val="24"/>
          <w:szCs w:val="24"/>
        </w:rPr>
        <w:t>项目管理机构主要人员及简历表</w:t>
      </w:r>
    </w:p>
    <w:p w14:paraId="01C80C96">
      <w:pPr>
        <w:spacing w:line="245" w:lineRule="auto"/>
        <w:rPr>
          <w:rFonts w:ascii="Arial"/>
          <w:sz w:val="21"/>
        </w:rPr>
      </w:pPr>
    </w:p>
    <w:p w14:paraId="0177D229">
      <w:pPr>
        <w:spacing w:line="245" w:lineRule="auto"/>
        <w:rPr>
          <w:rFonts w:ascii="Arial"/>
          <w:sz w:val="21"/>
        </w:rPr>
      </w:pPr>
    </w:p>
    <w:p w14:paraId="2A78EEB0">
      <w:pPr>
        <w:pStyle w:val="2"/>
        <w:spacing w:before="65" w:line="229" w:lineRule="auto"/>
        <w:ind w:left="330"/>
        <w:rPr>
          <w:rFonts w:ascii="宋体" w:hAnsi="宋体" w:eastAsia="宋体" w:cs="宋体"/>
          <w:sz w:val="20"/>
          <w:szCs w:val="20"/>
        </w:rPr>
      </w:pPr>
      <w:r>
        <w:rPr>
          <w:spacing w:val="4"/>
          <w:sz w:val="20"/>
          <w:szCs w:val="20"/>
        </w:rPr>
        <w:t>说明：</w:t>
      </w:r>
      <w:r>
        <w:rPr>
          <w:rFonts w:ascii="宋体" w:hAnsi="宋体" w:eastAsia="宋体" w:cs="宋体"/>
          <w:spacing w:val="4"/>
          <w:sz w:val="20"/>
          <w:szCs w:val="20"/>
        </w:rPr>
        <w:t>“项目管理机构主要人员及简历表</w:t>
      </w:r>
      <w:r>
        <w:rPr>
          <w:rFonts w:ascii="宋体" w:hAnsi="宋体" w:eastAsia="宋体" w:cs="宋体"/>
          <w:spacing w:val="-70"/>
          <w:sz w:val="20"/>
          <w:szCs w:val="20"/>
        </w:rPr>
        <w:t xml:space="preserve"> </w:t>
      </w:r>
      <w:r>
        <w:rPr>
          <w:rFonts w:ascii="宋体" w:hAnsi="宋体" w:eastAsia="宋体" w:cs="宋体"/>
          <w:spacing w:val="4"/>
          <w:sz w:val="20"/>
          <w:szCs w:val="20"/>
        </w:rPr>
        <w:t>”同</w:t>
      </w:r>
      <w:r>
        <w:rPr>
          <w:rFonts w:ascii="宋体" w:hAnsi="宋体" w:eastAsia="宋体" w:cs="宋体"/>
          <w:spacing w:val="3"/>
          <w:sz w:val="20"/>
          <w:szCs w:val="20"/>
        </w:rPr>
        <w:t>本章第七节。</w:t>
      </w:r>
    </w:p>
    <w:p w14:paraId="4DB4AEF6">
      <w:pPr>
        <w:spacing w:line="229" w:lineRule="auto"/>
        <w:rPr>
          <w:rFonts w:ascii="宋体" w:hAnsi="宋体" w:eastAsia="宋体" w:cs="宋体"/>
          <w:sz w:val="20"/>
          <w:szCs w:val="20"/>
        </w:rPr>
        <w:sectPr>
          <w:footerReference r:id="rId532" w:type="default"/>
          <w:pgSz w:w="11907" w:h="16840"/>
          <w:pgMar w:top="400" w:right="1786" w:bottom="1247" w:left="1786" w:header="0" w:footer="1085" w:gutter="0"/>
          <w:cols w:space="720" w:num="1"/>
        </w:sectPr>
      </w:pPr>
    </w:p>
    <w:p w14:paraId="18273034">
      <w:pPr>
        <w:spacing w:line="275" w:lineRule="auto"/>
        <w:rPr>
          <w:rFonts w:ascii="Arial"/>
          <w:sz w:val="21"/>
        </w:rPr>
      </w:pPr>
    </w:p>
    <w:p w14:paraId="7561780C">
      <w:pPr>
        <w:spacing w:line="275" w:lineRule="auto"/>
        <w:rPr>
          <w:rFonts w:ascii="Arial"/>
          <w:sz w:val="21"/>
        </w:rPr>
      </w:pPr>
    </w:p>
    <w:p w14:paraId="6500E7A0">
      <w:pPr>
        <w:spacing w:line="276" w:lineRule="auto"/>
        <w:rPr>
          <w:rFonts w:ascii="Arial"/>
          <w:sz w:val="21"/>
        </w:rPr>
      </w:pPr>
    </w:p>
    <w:p w14:paraId="7B6D024A">
      <w:pPr>
        <w:spacing w:line="276" w:lineRule="auto"/>
        <w:rPr>
          <w:rFonts w:ascii="Arial"/>
          <w:sz w:val="21"/>
        </w:rPr>
      </w:pPr>
    </w:p>
    <w:p w14:paraId="23B76665">
      <w:pPr>
        <w:pStyle w:val="2"/>
        <w:spacing w:before="78" w:line="222" w:lineRule="auto"/>
        <w:ind w:left="5049"/>
        <w:outlineLvl w:val="2"/>
        <w:rPr>
          <w:sz w:val="24"/>
          <w:szCs w:val="24"/>
        </w:rPr>
      </w:pPr>
      <w:bookmarkStart w:id="434" w:name="bookmark413"/>
      <w:bookmarkEnd w:id="434"/>
      <w:r>
        <w:rPr>
          <w:rFonts w:ascii="Times New Roman" w:hAnsi="Times New Roman" w:eastAsia="Times New Roman" w:cs="Times New Roman"/>
          <w:spacing w:val="-2"/>
          <w:sz w:val="24"/>
          <w:szCs w:val="24"/>
        </w:rPr>
        <w:t xml:space="preserve">1-5 </w:t>
      </w:r>
      <w:r>
        <w:rPr>
          <w:spacing w:val="-2"/>
          <w:sz w:val="24"/>
          <w:szCs w:val="24"/>
        </w:rPr>
        <w:t>拟投入主要施工机械设备情况表</w:t>
      </w:r>
    </w:p>
    <w:p w14:paraId="5B38AEE8">
      <w:pPr>
        <w:spacing w:before="156"/>
      </w:pPr>
    </w:p>
    <w:tbl>
      <w:tblPr>
        <w:tblStyle w:val="5"/>
        <w:tblW w:w="13771"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73"/>
        <w:gridCol w:w="1964"/>
        <w:gridCol w:w="1964"/>
        <w:gridCol w:w="1965"/>
        <w:gridCol w:w="1965"/>
        <w:gridCol w:w="1965"/>
        <w:gridCol w:w="1975"/>
      </w:tblGrid>
      <w:tr w14:paraId="6DEDD0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973" w:type="dxa"/>
            <w:tcBorders>
              <w:top w:val="single" w:color="000000" w:sz="6" w:space="0"/>
              <w:left w:val="single" w:color="000000" w:sz="6" w:space="0"/>
            </w:tcBorders>
            <w:vAlign w:val="top"/>
          </w:tcPr>
          <w:p w14:paraId="15C8CFE3">
            <w:pPr>
              <w:pStyle w:val="6"/>
              <w:spacing w:before="239" w:line="227" w:lineRule="auto"/>
              <w:ind w:left="355"/>
            </w:pPr>
            <w:r>
              <w:rPr>
                <w:spacing w:val="8"/>
              </w:rPr>
              <w:t>机械设备名称</w:t>
            </w:r>
          </w:p>
        </w:tc>
        <w:tc>
          <w:tcPr>
            <w:tcW w:w="1964" w:type="dxa"/>
            <w:tcBorders>
              <w:top w:val="single" w:color="000000" w:sz="6" w:space="0"/>
            </w:tcBorders>
            <w:vAlign w:val="top"/>
          </w:tcPr>
          <w:p w14:paraId="6D068D7E">
            <w:pPr>
              <w:pStyle w:val="6"/>
              <w:spacing w:before="239" w:line="228" w:lineRule="auto"/>
              <w:ind w:left="569"/>
            </w:pPr>
            <w:r>
              <w:rPr>
                <w:spacing w:val="5"/>
              </w:rPr>
              <w:t>型号规格</w:t>
            </w:r>
          </w:p>
        </w:tc>
        <w:tc>
          <w:tcPr>
            <w:tcW w:w="1964" w:type="dxa"/>
            <w:tcBorders>
              <w:top w:val="single" w:color="000000" w:sz="6" w:space="0"/>
            </w:tcBorders>
            <w:vAlign w:val="top"/>
          </w:tcPr>
          <w:p w14:paraId="2A517BEB">
            <w:pPr>
              <w:pStyle w:val="6"/>
              <w:spacing w:before="239" w:line="228" w:lineRule="auto"/>
              <w:ind w:left="671"/>
            </w:pPr>
            <w:r>
              <w:t>数</w:t>
            </w:r>
            <w:r>
              <w:rPr>
                <w:spacing w:val="9"/>
              </w:rPr>
              <w:t xml:space="preserve">  </w:t>
            </w:r>
            <w:r>
              <w:t>量</w:t>
            </w:r>
          </w:p>
        </w:tc>
        <w:tc>
          <w:tcPr>
            <w:tcW w:w="1965" w:type="dxa"/>
            <w:tcBorders>
              <w:top w:val="single" w:color="000000" w:sz="6" w:space="0"/>
            </w:tcBorders>
            <w:vAlign w:val="top"/>
          </w:tcPr>
          <w:p w14:paraId="65C41C6B">
            <w:pPr>
              <w:pStyle w:val="6"/>
              <w:spacing w:before="239" w:line="228" w:lineRule="auto"/>
              <w:ind w:left="608"/>
            </w:pPr>
            <w:r>
              <w:rPr>
                <w:spacing w:val="-3"/>
              </w:rPr>
              <w:t>目前状况</w:t>
            </w:r>
          </w:p>
        </w:tc>
        <w:tc>
          <w:tcPr>
            <w:tcW w:w="1965" w:type="dxa"/>
            <w:tcBorders>
              <w:top w:val="single" w:color="000000" w:sz="6" w:space="0"/>
            </w:tcBorders>
            <w:vAlign w:val="top"/>
          </w:tcPr>
          <w:p w14:paraId="5ECB8313">
            <w:pPr>
              <w:pStyle w:val="6"/>
              <w:spacing w:before="239" w:line="228" w:lineRule="auto"/>
              <w:ind w:left="675"/>
            </w:pPr>
            <w:r>
              <w:t>来</w:t>
            </w:r>
            <w:r>
              <w:rPr>
                <w:spacing w:val="9"/>
              </w:rPr>
              <w:t xml:space="preserve">  </w:t>
            </w:r>
            <w:r>
              <w:t>源</w:t>
            </w:r>
          </w:p>
        </w:tc>
        <w:tc>
          <w:tcPr>
            <w:tcW w:w="1965" w:type="dxa"/>
            <w:tcBorders>
              <w:top w:val="single" w:color="000000" w:sz="6" w:space="0"/>
            </w:tcBorders>
            <w:vAlign w:val="top"/>
          </w:tcPr>
          <w:p w14:paraId="735261B2">
            <w:pPr>
              <w:pStyle w:val="6"/>
              <w:spacing w:before="240" w:line="228" w:lineRule="auto"/>
              <w:ind w:left="468"/>
            </w:pPr>
            <w:r>
              <w:rPr>
                <w:spacing w:val="7"/>
              </w:rPr>
              <w:t>现停放地点</w:t>
            </w:r>
          </w:p>
        </w:tc>
        <w:tc>
          <w:tcPr>
            <w:tcW w:w="1975" w:type="dxa"/>
            <w:tcBorders>
              <w:top w:val="single" w:color="000000" w:sz="6" w:space="0"/>
              <w:right w:val="single" w:color="000000" w:sz="6" w:space="0"/>
            </w:tcBorders>
            <w:vAlign w:val="top"/>
          </w:tcPr>
          <w:p w14:paraId="712E303D">
            <w:pPr>
              <w:pStyle w:val="6"/>
              <w:spacing w:before="239" w:line="229" w:lineRule="auto"/>
              <w:ind w:left="683"/>
            </w:pPr>
            <w:r>
              <w:rPr>
                <w:spacing w:val="-1"/>
              </w:rPr>
              <w:t>备</w:t>
            </w:r>
            <w:r>
              <w:rPr>
                <w:spacing w:val="9"/>
              </w:rPr>
              <w:t xml:space="preserve">  </w:t>
            </w:r>
            <w:r>
              <w:rPr>
                <w:spacing w:val="-1"/>
              </w:rPr>
              <w:t>注</w:t>
            </w:r>
          </w:p>
        </w:tc>
      </w:tr>
      <w:tr w14:paraId="00364A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973" w:type="dxa"/>
            <w:tcBorders>
              <w:left w:val="single" w:color="000000" w:sz="6" w:space="0"/>
            </w:tcBorders>
            <w:vAlign w:val="top"/>
          </w:tcPr>
          <w:p w14:paraId="1E249831">
            <w:pPr>
              <w:rPr>
                <w:rFonts w:ascii="Arial"/>
                <w:sz w:val="21"/>
              </w:rPr>
            </w:pPr>
          </w:p>
        </w:tc>
        <w:tc>
          <w:tcPr>
            <w:tcW w:w="1964" w:type="dxa"/>
            <w:vAlign w:val="top"/>
          </w:tcPr>
          <w:p w14:paraId="46D82A12">
            <w:pPr>
              <w:rPr>
                <w:rFonts w:ascii="Arial"/>
                <w:sz w:val="21"/>
              </w:rPr>
            </w:pPr>
          </w:p>
        </w:tc>
        <w:tc>
          <w:tcPr>
            <w:tcW w:w="1964" w:type="dxa"/>
            <w:vAlign w:val="top"/>
          </w:tcPr>
          <w:p w14:paraId="6A42E08A">
            <w:pPr>
              <w:rPr>
                <w:rFonts w:ascii="Arial"/>
                <w:sz w:val="21"/>
              </w:rPr>
            </w:pPr>
          </w:p>
        </w:tc>
        <w:tc>
          <w:tcPr>
            <w:tcW w:w="1965" w:type="dxa"/>
            <w:vAlign w:val="top"/>
          </w:tcPr>
          <w:p w14:paraId="7B067296">
            <w:pPr>
              <w:rPr>
                <w:rFonts w:ascii="Arial"/>
                <w:sz w:val="21"/>
              </w:rPr>
            </w:pPr>
          </w:p>
        </w:tc>
        <w:tc>
          <w:tcPr>
            <w:tcW w:w="1965" w:type="dxa"/>
            <w:vAlign w:val="top"/>
          </w:tcPr>
          <w:p w14:paraId="5B636DA8">
            <w:pPr>
              <w:rPr>
                <w:rFonts w:ascii="Arial"/>
                <w:sz w:val="21"/>
              </w:rPr>
            </w:pPr>
          </w:p>
        </w:tc>
        <w:tc>
          <w:tcPr>
            <w:tcW w:w="1965" w:type="dxa"/>
            <w:vAlign w:val="top"/>
          </w:tcPr>
          <w:p w14:paraId="5F7B4A87">
            <w:pPr>
              <w:rPr>
                <w:rFonts w:ascii="Arial"/>
                <w:sz w:val="21"/>
              </w:rPr>
            </w:pPr>
          </w:p>
        </w:tc>
        <w:tc>
          <w:tcPr>
            <w:tcW w:w="1975" w:type="dxa"/>
            <w:tcBorders>
              <w:right w:val="single" w:color="000000" w:sz="6" w:space="0"/>
            </w:tcBorders>
            <w:vAlign w:val="top"/>
          </w:tcPr>
          <w:p w14:paraId="422CFA30">
            <w:pPr>
              <w:rPr>
                <w:rFonts w:ascii="Arial"/>
                <w:sz w:val="21"/>
              </w:rPr>
            </w:pPr>
          </w:p>
        </w:tc>
      </w:tr>
      <w:tr w14:paraId="2AD1A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973" w:type="dxa"/>
            <w:tcBorders>
              <w:left w:val="single" w:color="000000" w:sz="6" w:space="0"/>
            </w:tcBorders>
            <w:vAlign w:val="top"/>
          </w:tcPr>
          <w:p w14:paraId="2A4237B4">
            <w:pPr>
              <w:rPr>
                <w:rFonts w:ascii="Arial"/>
                <w:sz w:val="21"/>
              </w:rPr>
            </w:pPr>
          </w:p>
        </w:tc>
        <w:tc>
          <w:tcPr>
            <w:tcW w:w="1964" w:type="dxa"/>
            <w:vAlign w:val="top"/>
          </w:tcPr>
          <w:p w14:paraId="2D18B32D">
            <w:pPr>
              <w:rPr>
                <w:rFonts w:ascii="Arial"/>
                <w:sz w:val="21"/>
              </w:rPr>
            </w:pPr>
          </w:p>
        </w:tc>
        <w:tc>
          <w:tcPr>
            <w:tcW w:w="1964" w:type="dxa"/>
            <w:vAlign w:val="top"/>
          </w:tcPr>
          <w:p w14:paraId="425AA106">
            <w:pPr>
              <w:rPr>
                <w:rFonts w:ascii="Arial"/>
                <w:sz w:val="21"/>
              </w:rPr>
            </w:pPr>
          </w:p>
        </w:tc>
        <w:tc>
          <w:tcPr>
            <w:tcW w:w="1965" w:type="dxa"/>
            <w:vAlign w:val="top"/>
          </w:tcPr>
          <w:p w14:paraId="1D7886E7">
            <w:pPr>
              <w:rPr>
                <w:rFonts w:ascii="Arial"/>
                <w:sz w:val="21"/>
              </w:rPr>
            </w:pPr>
          </w:p>
        </w:tc>
        <w:tc>
          <w:tcPr>
            <w:tcW w:w="1965" w:type="dxa"/>
            <w:vAlign w:val="top"/>
          </w:tcPr>
          <w:p w14:paraId="339F4EED">
            <w:pPr>
              <w:rPr>
                <w:rFonts w:ascii="Arial"/>
                <w:sz w:val="21"/>
              </w:rPr>
            </w:pPr>
          </w:p>
        </w:tc>
        <w:tc>
          <w:tcPr>
            <w:tcW w:w="1965" w:type="dxa"/>
            <w:vAlign w:val="top"/>
          </w:tcPr>
          <w:p w14:paraId="7F0D0120">
            <w:pPr>
              <w:rPr>
                <w:rFonts w:ascii="Arial"/>
                <w:sz w:val="21"/>
              </w:rPr>
            </w:pPr>
          </w:p>
        </w:tc>
        <w:tc>
          <w:tcPr>
            <w:tcW w:w="1975" w:type="dxa"/>
            <w:tcBorders>
              <w:right w:val="single" w:color="000000" w:sz="6" w:space="0"/>
            </w:tcBorders>
            <w:vAlign w:val="top"/>
          </w:tcPr>
          <w:p w14:paraId="2DA6D53F">
            <w:pPr>
              <w:rPr>
                <w:rFonts w:ascii="Arial"/>
                <w:sz w:val="21"/>
              </w:rPr>
            </w:pPr>
          </w:p>
        </w:tc>
      </w:tr>
      <w:tr w14:paraId="73D786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973" w:type="dxa"/>
            <w:tcBorders>
              <w:left w:val="single" w:color="000000" w:sz="6" w:space="0"/>
            </w:tcBorders>
            <w:vAlign w:val="top"/>
          </w:tcPr>
          <w:p w14:paraId="5CBC3009">
            <w:pPr>
              <w:rPr>
                <w:rFonts w:ascii="Arial"/>
                <w:sz w:val="21"/>
              </w:rPr>
            </w:pPr>
          </w:p>
        </w:tc>
        <w:tc>
          <w:tcPr>
            <w:tcW w:w="1964" w:type="dxa"/>
            <w:vAlign w:val="top"/>
          </w:tcPr>
          <w:p w14:paraId="5277FF1A">
            <w:pPr>
              <w:rPr>
                <w:rFonts w:ascii="Arial"/>
                <w:sz w:val="21"/>
              </w:rPr>
            </w:pPr>
          </w:p>
        </w:tc>
        <w:tc>
          <w:tcPr>
            <w:tcW w:w="1964" w:type="dxa"/>
            <w:vAlign w:val="top"/>
          </w:tcPr>
          <w:p w14:paraId="16ACAEB4">
            <w:pPr>
              <w:rPr>
                <w:rFonts w:ascii="Arial"/>
                <w:sz w:val="21"/>
              </w:rPr>
            </w:pPr>
          </w:p>
        </w:tc>
        <w:tc>
          <w:tcPr>
            <w:tcW w:w="1965" w:type="dxa"/>
            <w:vAlign w:val="top"/>
          </w:tcPr>
          <w:p w14:paraId="441E5ACF">
            <w:pPr>
              <w:rPr>
                <w:rFonts w:ascii="Arial"/>
                <w:sz w:val="21"/>
              </w:rPr>
            </w:pPr>
          </w:p>
        </w:tc>
        <w:tc>
          <w:tcPr>
            <w:tcW w:w="1965" w:type="dxa"/>
            <w:vAlign w:val="top"/>
          </w:tcPr>
          <w:p w14:paraId="00CD9D82">
            <w:pPr>
              <w:rPr>
                <w:rFonts w:ascii="Arial"/>
                <w:sz w:val="21"/>
              </w:rPr>
            </w:pPr>
          </w:p>
        </w:tc>
        <w:tc>
          <w:tcPr>
            <w:tcW w:w="1965" w:type="dxa"/>
            <w:vAlign w:val="top"/>
          </w:tcPr>
          <w:p w14:paraId="43E78804">
            <w:pPr>
              <w:rPr>
                <w:rFonts w:ascii="Arial"/>
                <w:sz w:val="21"/>
              </w:rPr>
            </w:pPr>
          </w:p>
        </w:tc>
        <w:tc>
          <w:tcPr>
            <w:tcW w:w="1975" w:type="dxa"/>
            <w:tcBorders>
              <w:right w:val="single" w:color="000000" w:sz="6" w:space="0"/>
            </w:tcBorders>
            <w:vAlign w:val="top"/>
          </w:tcPr>
          <w:p w14:paraId="300C365E">
            <w:pPr>
              <w:rPr>
                <w:rFonts w:ascii="Arial"/>
                <w:sz w:val="21"/>
              </w:rPr>
            </w:pPr>
          </w:p>
        </w:tc>
      </w:tr>
      <w:tr w14:paraId="1837E0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973" w:type="dxa"/>
            <w:tcBorders>
              <w:left w:val="single" w:color="000000" w:sz="6" w:space="0"/>
            </w:tcBorders>
            <w:vAlign w:val="top"/>
          </w:tcPr>
          <w:p w14:paraId="7AAFB769">
            <w:pPr>
              <w:rPr>
                <w:rFonts w:ascii="Arial"/>
                <w:sz w:val="21"/>
              </w:rPr>
            </w:pPr>
          </w:p>
        </w:tc>
        <w:tc>
          <w:tcPr>
            <w:tcW w:w="1964" w:type="dxa"/>
            <w:vAlign w:val="top"/>
          </w:tcPr>
          <w:p w14:paraId="39EEB3A8">
            <w:pPr>
              <w:rPr>
                <w:rFonts w:ascii="Arial"/>
                <w:sz w:val="21"/>
              </w:rPr>
            </w:pPr>
          </w:p>
        </w:tc>
        <w:tc>
          <w:tcPr>
            <w:tcW w:w="1964" w:type="dxa"/>
            <w:vAlign w:val="top"/>
          </w:tcPr>
          <w:p w14:paraId="78D5D93D">
            <w:pPr>
              <w:rPr>
                <w:rFonts w:ascii="Arial"/>
                <w:sz w:val="21"/>
              </w:rPr>
            </w:pPr>
          </w:p>
        </w:tc>
        <w:tc>
          <w:tcPr>
            <w:tcW w:w="1965" w:type="dxa"/>
            <w:vAlign w:val="top"/>
          </w:tcPr>
          <w:p w14:paraId="3F9C1766">
            <w:pPr>
              <w:rPr>
                <w:rFonts w:ascii="Arial"/>
                <w:sz w:val="21"/>
              </w:rPr>
            </w:pPr>
          </w:p>
        </w:tc>
        <w:tc>
          <w:tcPr>
            <w:tcW w:w="1965" w:type="dxa"/>
            <w:vAlign w:val="top"/>
          </w:tcPr>
          <w:p w14:paraId="7176B2C9">
            <w:pPr>
              <w:rPr>
                <w:rFonts w:ascii="Arial"/>
                <w:sz w:val="21"/>
              </w:rPr>
            </w:pPr>
          </w:p>
        </w:tc>
        <w:tc>
          <w:tcPr>
            <w:tcW w:w="1965" w:type="dxa"/>
            <w:vAlign w:val="top"/>
          </w:tcPr>
          <w:p w14:paraId="42208853">
            <w:pPr>
              <w:rPr>
                <w:rFonts w:ascii="Arial"/>
                <w:sz w:val="21"/>
              </w:rPr>
            </w:pPr>
          </w:p>
        </w:tc>
        <w:tc>
          <w:tcPr>
            <w:tcW w:w="1975" w:type="dxa"/>
            <w:tcBorders>
              <w:right w:val="single" w:color="000000" w:sz="6" w:space="0"/>
            </w:tcBorders>
            <w:vAlign w:val="top"/>
          </w:tcPr>
          <w:p w14:paraId="120D4FAA">
            <w:pPr>
              <w:rPr>
                <w:rFonts w:ascii="Arial"/>
                <w:sz w:val="21"/>
              </w:rPr>
            </w:pPr>
          </w:p>
        </w:tc>
      </w:tr>
      <w:tr w14:paraId="75D5DC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973" w:type="dxa"/>
            <w:tcBorders>
              <w:left w:val="single" w:color="000000" w:sz="6" w:space="0"/>
            </w:tcBorders>
            <w:vAlign w:val="top"/>
          </w:tcPr>
          <w:p w14:paraId="0F0C339D">
            <w:pPr>
              <w:rPr>
                <w:rFonts w:ascii="Arial"/>
                <w:sz w:val="21"/>
              </w:rPr>
            </w:pPr>
          </w:p>
        </w:tc>
        <w:tc>
          <w:tcPr>
            <w:tcW w:w="1964" w:type="dxa"/>
            <w:vAlign w:val="top"/>
          </w:tcPr>
          <w:p w14:paraId="729E3118">
            <w:pPr>
              <w:rPr>
                <w:rFonts w:ascii="Arial"/>
                <w:sz w:val="21"/>
              </w:rPr>
            </w:pPr>
          </w:p>
        </w:tc>
        <w:tc>
          <w:tcPr>
            <w:tcW w:w="1964" w:type="dxa"/>
            <w:vAlign w:val="top"/>
          </w:tcPr>
          <w:p w14:paraId="45BA2067">
            <w:pPr>
              <w:rPr>
                <w:rFonts w:ascii="Arial"/>
                <w:sz w:val="21"/>
              </w:rPr>
            </w:pPr>
          </w:p>
        </w:tc>
        <w:tc>
          <w:tcPr>
            <w:tcW w:w="1965" w:type="dxa"/>
            <w:vAlign w:val="top"/>
          </w:tcPr>
          <w:p w14:paraId="119D6154">
            <w:pPr>
              <w:rPr>
                <w:rFonts w:ascii="Arial"/>
                <w:sz w:val="21"/>
              </w:rPr>
            </w:pPr>
          </w:p>
        </w:tc>
        <w:tc>
          <w:tcPr>
            <w:tcW w:w="1965" w:type="dxa"/>
            <w:vAlign w:val="top"/>
          </w:tcPr>
          <w:p w14:paraId="4CBCE87C">
            <w:pPr>
              <w:rPr>
                <w:rFonts w:ascii="Arial"/>
                <w:sz w:val="21"/>
              </w:rPr>
            </w:pPr>
          </w:p>
        </w:tc>
        <w:tc>
          <w:tcPr>
            <w:tcW w:w="1965" w:type="dxa"/>
            <w:vAlign w:val="top"/>
          </w:tcPr>
          <w:p w14:paraId="0AAC36DD">
            <w:pPr>
              <w:rPr>
                <w:rFonts w:ascii="Arial"/>
                <w:sz w:val="21"/>
              </w:rPr>
            </w:pPr>
          </w:p>
        </w:tc>
        <w:tc>
          <w:tcPr>
            <w:tcW w:w="1975" w:type="dxa"/>
            <w:tcBorders>
              <w:right w:val="single" w:color="000000" w:sz="6" w:space="0"/>
            </w:tcBorders>
            <w:vAlign w:val="top"/>
          </w:tcPr>
          <w:p w14:paraId="3C396321">
            <w:pPr>
              <w:rPr>
                <w:rFonts w:ascii="Arial"/>
                <w:sz w:val="21"/>
              </w:rPr>
            </w:pPr>
          </w:p>
        </w:tc>
      </w:tr>
      <w:tr w14:paraId="25829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973" w:type="dxa"/>
            <w:tcBorders>
              <w:left w:val="single" w:color="000000" w:sz="6" w:space="0"/>
            </w:tcBorders>
            <w:vAlign w:val="top"/>
          </w:tcPr>
          <w:p w14:paraId="4306061E">
            <w:pPr>
              <w:rPr>
                <w:rFonts w:ascii="Arial"/>
                <w:sz w:val="21"/>
              </w:rPr>
            </w:pPr>
          </w:p>
        </w:tc>
        <w:tc>
          <w:tcPr>
            <w:tcW w:w="1964" w:type="dxa"/>
            <w:vAlign w:val="top"/>
          </w:tcPr>
          <w:p w14:paraId="52324A0A">
            <w:pPr>
              <w:rPr>
                <w:rFonts w:ascii="Arial"/>
                <w:sz w:val="21"/>
              </w:rPr>
            </w:pPr>
          </w:p>
        </w:tc>
        <w:tc>
          <w:tcPr>
            <w:tcW w:w="1964" w:type="dxa"/>
            <w:vAlign w:val="top"/>
          </w:tcPr>
          <w:p w14:paraId="6DA4F373">
            <w:pPr>
              <w:rPr>
                <w:rFonts w:ascii="Arial"/>
                <w:sz w:val="21"/>
              </w:rPr>
            </w:pPr>
          </w:p>
        </w:tc>
        <w:tc>
          <w:tcPr>
            <w:tcW w:w="1965" w:type="dxa"/>
            <w:vAlign w:val="top"/>
          </w:tcPr>
          <w:p w14:paraId="47103803">
            <w:pPr>
              <w:rPr>
                <w:rFonts w:ascii="Arial"/>
                <w:sz w:val="21"/>
              </w:rPr>
            </w:pPr>
          </w:p>
        </w:tc>
        <w:tc>
          <w:tcPr>
            <w:tcW w:w="1965" w:type="dxa"/>
            <w:vAlign w:val="top"/>
          </w:tcPr>
          <w:p w14:paraId="335B4D9D">
            <w:pPr>
              <w:rPr>
                <w:rFonts w:ascii="Arial"/>
                <w:sz w:val="21"/>
              </w:rPr>
            </w:pPr>
          </w:p>
        </w:tc>
        <w:tc>
          <w:tcPr>
            <w:tcW w:w="1965" w:type="dxa"/>
            <w:vAlign w:val="top"/>
          </w:tcPr>
          <w:p w14:paraId="7D517171">
            <w:pPr>
              <w:rPr>
                <w:rFonts w:ascii="Arial"/>
                <w:sz w:val="21"/>
              </w:rPr>
            </w:pPr>
          </w:p>
        </w:tc>
        <w:tc>
          <w:tcPr>
            <w:tcW w:w="1975" w:type="dxa"/>
            <w:tcBorders>
              <w:right w:val="single" w:color="000000" w:sz="6" w:space="0"/>
            </w:tcBorders>
            <w:vAlign w:val="top"/>
          </w:tcPr>
          <w:p w14:paraId="005EDE19">
            <w:pPr>
              <w:rPr>
                <w:rFonts w:ascii="Arial"/>
                <w:sz w:val="21"/>
              </w:rPr>
            </w:pPr>
          </w:p>
        </w:tc>
      </w:tr>
      <w:tr w14:paraId="740C36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973" w:type="dxa"/>
            <w:tcBorders>
              <w:left w:val="single" w:color="000000" w:sz="6" w:space="0"/>
            </w:tcBorders>
            <w:vAlign w:val="top"/>
          </w:tcPr>
          <w:p w14:paraId="2E35ABDB">
            <w:pPr>
              <w:rPr>
                <w:rFonts w:ascii="Arial"/>
                <w:sz w:val="21"/>
              </w:rPr>
            </w:pPr>
          </w:p>
        </w:tc>
        <w:tc>
          <w:tcPr>
            <w:tcW w:w="1964" w:type="dxa"/>
            <w:vAlign w:val="top"/>
          </w:tcPr>
          <w:p w14:paraId="426791AA">
            <w:pPr>
              <w:rPr>
                <w:rFonts w:ascii="Arial"/>
                <w:sz w:val="21"/>
              </w:rPr>
            </w:pPr>
          </w:p>
        </w:tc>
        <w:tc>
          <w:tcPr>
            <w:tcW w:w="1964" w:type="dxa"/>
            <w:vAlign w:val="top"/>
          </w:tcPr>
          <w:p w14:paraId="274D177E">
            <w:pPr>
              <w:rPr>
                <w:rFonts w:ascii="Arial"/>
                <w:sz w:val="21"/>
              </w:rPr>
            </w:pPr>
          </w:p>
        </w:tc>
        <w:tc>
          <w:tcPr>
            <w:tcW w:w="1965" w:type="dxa"/>
            <w:vAlign w:val="top"/>
          </w:tcPr>
          <w:p w14:paraId="3C5B5F8A">
            <w:pPr>
              <w:rPr>
                <w:rFonts w:ascii="Arial"/>
                <w:sz w:val="21"/>
              </w:rPr>
            </w:pPr>
          </w:p>
        </w:tc>
        <w:tc>
          <w:tcPr>
            <w:tcW w:w="1965" w:type="dxa"/>
            <w:vAlign w:val="top"/>
          </w:tcPr>
          <w:p w14:paraId="22455DAB">
            <w:pPr>
              <w:rPr>
                <w:rFonts w:ascii="Arial"/>
                <w:sz w:val="21"/>
              </w:rPr>
            </w:pPr>
          </w:p>
        </w:tc>
        <w:tc>
          <w:tcPr>
            <w:tcW w:w="1965" w:type="dxa"/>
            <w:vAlign w:val="top"/>
          </w:tcPr>
          <w:p w14:paraId="28704615">
            <w:pPr>
              <w:rPr>
                <w:rFonts w:ascii="Arial"/>
                <w:sz w:val="21"/>
              </w:rPr>
            </w:pPr>
          </w:p>
        </w:tc>
        <w:tc>
          <w:tcPr>
            <w:tcW w:w="1975" w:type="dxa"/>
            <w:tcBorders>
              <w:right w:val="single" w:color="000000" w:sz="6" w:space="0"/>
            </w:tcBorders>
            <w:vAlign w:val="top"/>
          </w:tcPr>
          <w:p w14:paraId="4366612B">
            <w:pPr>
              <w:rPr>
                <w:rFonts w:ascii="Arial"/>
                <w:sz w:val="21"/>
              </w:rPr>
            </w:pPr>
          </w:p>
        </w:tc>
      </w:tr>
      <w:tr w14:paraId="40BDF2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1973" w:type="dxa"/>
            <w:tcBorders>
              <w:left w:val="single" w:color="000000" w:sz="6" w:space="0"/>
              <w:bottom w:val="single" w:color="000000" w:sz="6" w:space="0"/>
            </w:tcBorders>
            <w:vAlign w:val="top"/>
          </w:tcPr>
          <w:p w14:paraId="6CA8BEF9">
            <w:pPr>
              <w:rPr>
                <w:rFonts w:ascii="Arial"/>
                <w:sz w:val="21"/>
              </w:rPr>
            </w:pPr>
          </w:p>
        </w:tc>
        <w:tc>
          <w:tcPr>
            <w:tcW w:w="1964" w:type="dxa"/>
            <w:tcBorders>
              <w:bottom w:val="single" w:color="000000" w:sz="6" w:space="0"/>
            </w:tcBorders>
            <w:vAlign w:val="top"/>
          </w:tcPr>
          <w:p w14:paraId="2AEE6BBC">
            <w:pPr>
              <w:rPr>
                <w:rFonts w:ascii="Arial"/>
                <w:sz w:val="21"/>
              </w:rPr>
            </w:pPr>
          </w:p>
        </w:tc>
        <w:tc>
          <w:tcPr>
            <w:tcW w:w="1964" w:type="dxa"/>
            <w:tcBorders>
              <w:bottom w:val="single" w:color="000000" w:sz="6" w:space="0"/>
            </w:tcBorders>
            <w:vAlign w:val="top"/>
          </w:tcPr>
          <w:p w14:paraId="2237638B">
            <w:pPr>
              <w:rPr>
                <w:rFonts w:ascii="Arial"/>
                <w:sz w:val="21"/>
              </w:rPr>
            </w:pPr>
          </w:p>
        </w:tc>
        <w:tc>
          <w:tcPr>
            <w:tcW w:w="1965" w:type="dxa"/>
            <w:tcBorders>
              <w:bottom w:val="single" w:color="000000" w:sz="6" w:space="0"/>
            </w:tcBorders>
            <w:vAlign w:val="top"/>
          </w:tcPr>
          <w:p w14:paraId="491B4A65">
            <w:pPr>
              <w:rPr>
                <w:rFonts w:ascii="Arial"/>
                <w:sz w:val="21"/>
              </w:rPr>
            </w:pPr>
          </w:p>
        </w:tc>
        <w:tc>
          <w:tcPr>
            <w:tcW w:w="1965" w:type="dxa"/>
            <w:tcBorders>
              <w:bottom w:val="single" w:color="000000" w:sz="6" w:space="0"/>
            </w:tcBorders>
            <w:vAlign w:val="top"/>
          </w:tcPr>
          <w:p w14:paraId="06F06CA9">
            <w:pPr>
              <w:rPr>
                <w:rFonts w:ascii="Arial"/>
                <w:sz w:val="21"/>
              </w:rPr>
            </w:pPr>
          </w:p>
        </w:tc>
        <w:tc>
          <w:tcPr>
            <w:tcW w:w="1965" w:type="dxa"/>
            <w:tcBorders>
              <w:bottom w:val="single" w:color="000000" w:sz="6" w:space="0"/>
            </w:tcBorders>
            <w:vAlign w:val="top"/>
          </w:tcPr>
          <w:p w14:paraId="119C7622">
            <w:pPr>
              <w:rPr>
                <w:rFonts w:ascii="Arial"/>
                <w:sz w:val="21"/>
              </w:rPr>
            </w:pPr>
          </w:p>
        </w:tc>
        <w:tc>
          <w:tcPr>
            <w:tcW w:w="1975" w:type="dxa"/>
            <w:tcBorders>
              <w:bottom w:val="single" w:color="000000" w:sz="6" w:space="0"/>
              <w:right w:val="single" w:color="000000" w:sz="6" w:space="0"/>
            </w:tcBorders>
            <w:vAlign w:val="top"/>
          </w:tcPr>
          <w:p w14:paraId="7BF13D06">
            <w:pPr>
              <w:rPr>
                <w:rFonts w:ascii="Arial"/>
                <w:sz w:val="21"/>
              </w:rPr>
            </w:pPr>
          </w:p>
        </w:tc>
      </w:tr>
    </w:tbl>
    <w:p w14:paraId="37060D53">
      <w:pPr>
        <w:spacing w:before="139" w:line="371" w:lineRule="auto"/>
        <w:ind w:left="755" w:right="65" w:hanging="626"/>
        <w:rPr>
          <w:rFonts w:ascii="宋体" w:hAnsi="宋体" w:eastAsia="宋体" w:cs="宋体"/>
          <w:sz w:val="20"/>
          <w:szCs w:val="20"/>
        </w:rPr>
      </w:pPr>
      <w:r>
        <w:rPr>
          <w:rFonts w:ascii="宋体" w:hAnsi="宋体" w:eastAsia="宋体" w:cs="宋体"/>
          <w:sz w:val="20"/>
          <w:szCs w:val="20"/>
        </w:rPr>
        <w:t>备注：“</w:t>
      </w:r>
      <w:r>
        <w:rPr>
          <w:rFonts w:ascii="宋体" w:hAnsi="宋体" w:eastAsia="宋体" w:cs="宋体"/>
          <w:spacing w:val="-79"/>
          <w:sz w:val="20"/>
          <w:szCs w:val="20"/>
        </w:rPr>
        <w:t xml:space="preserve"> </w:t>
      </w:r>
      <w:r>
        <w:rPr>
          <w:rFonts w:ascii="宋体" w:hAnsi="宋体" w:eastAsia="宋体" w:cs="宋体"/>
          <w:sz w:val="20"/>
          <w:szCs w:val="20"/>
        </w:rPr>
        <w:t>目前状况</w:t>
      </w:r>
      <w:r>
        <w:rPr>
          <w:rFonts w:ascii="宋体" w:hAnsi="宋体" w:eastAsia="宋体" w:cs="宋体"/>
          <w:spacing w:val="-70"/>
          <w:sz w:val="20"/>
          <w:szCs w:val="20"/>
        </w:rPr>
        <w:t xml:space="preserve"> </w:t>
      </w:r>
      <w:r>
        <w:rPr>
          <w:rFonts w:ascii="宋体" w:hAnsi="宋体" w:eastAsia="宋体" w:cs="宋体"/>
          <w:sz w:val="20"/>
          <w:szCs w:val="20"/>
        </w:rPr>
        <w:t>”应说明已使用年限、是否</w:t>
      </w:r>
      <w:r>
        <w:rPr>
          <w:rFonts w:ascii="宋体" w:hAnsi="宋体" w:eastAsia="宋体" w:cs="宋体"/>
          <w:spacing w:val="-1"/>
          <w:sz w:val="20"/>
          <w:szCs w:val="20"/>
        </w:rPr>
        <w:t>完好以及目前是否正在使用，“来源</w:t>
      </w:r>
      <w:r>
        <w:rPr>
          <w:rFonts w:ascii="宋体" w:hAnsi="宋体" w:eastAsia="宋体" w:cs="宋体"/>
          <w:spacing w:val="-70"/>
          <w:sz w:val="20"/>
          <w:szCs w:val="20"/>
        </w:rPr>
        <w:t xml:space="preserve"> </w:t>
      </w:r>
      <w:r>
        <w:rPr>
          <w:rFonts w:ascii="宋体" w:hAnsi="宋体" w:eastAsia="宋体" w:cs="宋体"/>
          <w:spacing w:val="-1"/>
          <w:sz w:val="20"/>
          <w:szCs w:val="20"/>
        </w:rPr>
        <w:t>”分为“</w:t>
      </w:r>
      <w:r>
        <w:rPr>
          <w:rFonts w:ascii="宋体" w:hAnsi="宋体" w:eastAsia="宋体" w:cs="宋体"/>
          <w:spacing w:val="-58"/>
          <w:sz w:val="20"/>
          <w:szCs w:val="20"/>
        </w:rPr>
        <w:t xml:space="preserve"> </w:t>
      </w:r>
      <w:r>
        <w:rPr>
          <w:rFonts w:ascii="宋体" w:hAnsi="宋体" w:eastAsia="宋体" w:cs="宋体"/>
          <w:spacing w:val="-1"/>
          <w:sz w:val="20"/>
          <w:szCs w:val="20"/>
        </w:rPr>
        <w:t>自有</w:t>
      </w:r>
      <w:r>
        <w:rPr>
          <w:rFonts w:ascii="宋体" w:hAnsi="宋体" w:eastAsia="宋体" w:cs="宋体"/>
          <w:spacing w:val="-70"/>
          <w:sz w:val="20"/>
          <w:szCs w:val="20"/>
        </w:rPr>
        <w:t xml:space="preserve"> </w:t>
      </w:r>
      <w:r>
        <w:rPr>
          <w:rFonts w:ascii="宋体" w:hAnsi="宋体" w:eastAsia="宋体" w:cs="宋体"/>
          <w:spacing w:val="-1"/>
          <w:sz w:val="20"/>
          <w:szCs w:val="20"/>
        </w:rPr>
        <w:t>”和“市场租赁</w:t>
      </w:r>
      <w:r>
        <w:rPr>
          <w:rFonts w:ascii="宋体" w:hAnsi="宋体" w:eastAsia="宋体" w:cs="宋体"/>
          <w:spacing w:val="-70"/>
          <w:sz w:val="20"/>
          <w:szCs w:val="20"/>
        </w:rPr>
        <w:t xml:space="preserve"> </w:t>
      </w:r>
      <w:r>
        <w:rPr>
          <w:rFonts w:ascii="宋体" w:hAnsi="宋体" w:eastAsia="宋体" w:cs="宋体"/>
          <w:spacing w:val="-1"/>
          <w:sz w:val="20"/>
          <w:szCs w:val="20"/>
        </w:rPr>
        <w:t>”两种情况，正在使用中的设备应在“备</w:t>
      </w:r>
      <w:r>
        <w:rPr>
          <w:rFonts w:ascii="宋体" w:hAnsi="宋体" w:eastAsia="宋体" w:cs="宋体"/>
          <w:spacing w:val="6"/>
          <w:sz w:val="20"/>
          <w:szCs w:val="20"/>
        </w:rPr>
        <w:t>注</w:t>
      </w:r>
      <w:r>
        <w:rPr>
          <w:rFonts w:ascii="宋体" w:hAnsi="宋体" w:eastAsia="宋体" w:cs="宋体"/>
          <w:spacing w:val="-70"/>
          <w:sz w:val="20"/>
          <w:szCs w:val="20"/>
        </w:rPr>
        <w:t xml:space="preserve"> </w:t>
      </w:r>
      <w:r>
        <w:rPr>
          <w:rFonts w:ascii="宋体" w:hAnsi="宋体" w:eastAsia="宋体" w:cs="宋体"/>
          <w:spacing w:val="6"/>
          <w:sz w:val="20"/>
          <w:szCs w:val="20"/>
        </w:rPr>
        <w:t>”中注明何时能够投入本项目。本招标项</w:t>
      </w:r>
      <w:r>
        <w:rPr>
          <w:rFonts w:ascii="宋体" w:hAnsi="宋体" w:eastAsia="宋体" w:cs="宋体"/>
          <w:spacing w:val="5"/>
          <w:sz w:val="20"/>
          <w:szCs w:val="20"/>
        </w:rPr>
        <w:t>目（标段）投标人资质条件、能力和信誉中要求的主要施工机械设备，投标人应提供相关证明材料，</w:t>
      </w:r>
      <w:r>
        <w:rPr>
          <w:rFonts w:ascii="宋体" w:hAnsi="宋体" w:eastAsia="宋体" w:cs="宋体"/>
          <w:spacing w:val="10"/>
          <w:sz w:val="20"/>
          <w:szCs w:val="20"/>
        </w:rPr>
        <w:t>如自有设备的原始发票扫描件、折旧政策、停放地点和使用状况等的说明文件，租赁设备</w:t>
      </w:r>
      <w:r>
        <w:rPr>
          <w:rFonts w:ascii="宋体" w:hAnsi="宋体" w:eastAsia="宋体" w:cs="宋体"/>
          <w:spacing w:val="9"/>
          <w:sz w:val="20"/>
          <w:szCs w:val="20"/>
        </w:rPr>
        <w:t>的租赁意向书或带条件生效的租赁合同扫描件。</w:t>
      </w:r>
    </w:p>
    <w:p w14:paraId="24A1CFC7">
      <w:pPr>
        <w:spacing w:line="371" w:lineRule="auto"/>
        <w:rPr>
          <w:rFonts w:ascii="宋体" w:hAnsi="宋体" w:eastAsia="宋体" w:cs="宋体"/>
          <w:sz w:val="20"/>
          <w:szCs w:val="20"/>
        </w:rPr>
        <w:sectPr>
          <w:footerReference r:id="rId533" w:type="default"/>
          <w:pgSz w:w="16840" w:h="11907"/>
          <w:pgMar w:top="400" w:right="1583" w:bottom="1248" w:left="1470" w:header="0" w:footer="1086" w:gutter="0"/>
          <w:cols w:space="720" w:num="1"/>
        </w:sectPr>
      </w:pPr>
    </w:p>
    <w:p w14:paraId="67CC9445">
      <w:pPr>
        <w:spacing w:line="265" w:lineRule="auto"/>
        <w:rPr>
          <w:rFonts w:ascii="Arial"/>
          <w:sz w:val="21"/>
        </w:rPr>
      </w:pPr>
    </w:p>
    <w:p w14:paraId="5410761D">
      <w:pPr>
        <w:spacing w:line="266" w:lineRule="auto"/>
        <w:rPr>
          <w:rFonts w:ascii="Arial"/>
          <w:sz w:val="21"/>
        </w:rPr>
      </w:pPr>
    </w:p>
    <w:p w14:paraId="65255884">
      <w:pPr>
        <w:spacing w:line="266" w:lineRule="auto"/>
        <w:rPr>
          <w:rFonts w:ascii="Arial"/>
          <w:sz w:val="21"/>
        </w:rPr>
      </w:pPr>
    </w:p>
    <w:p w14:paraId="58045289">
      <w:pPr>
        <w:spacing w:line="266" w:lineRule="auto"/>
        <w:rPr>
          <w:rFonts w:ascii="Arial"/>
          <w:sz w:val="21"/>
        </w:rPr>
      </w:pPr>
    </w:p>
    <w:p w14:paraId="731616B5">
      <w:pPr>
        <w:spacing w:line="266" w:lineRule="auto"/>
        <w:rPr>
          <w:rFonts w:ascii="Arial"/>
          <w:sz w:val="21"/>
        </w:rPr>
      </w:pPr>
    </w:p>
    <w:p w14:paraId="7F938412">
      <w:pPr>
        <w:pStyle w:val="2"/>
        <w:spacing w:before="78" w:line="221" w:lineRule="auto"/>
        <w:ind w:left="3286"/>
        <w:outlineLvl w:val="2"/>
        <w:rPr>
          <w:sz w:val="24"/>
          <w:szCs w:val="24"/>
        </w:rPr>
      </w:pPr>
      <w:bookmarkStart w:id="435" w:name="bookmark415"/>
      <w:bookmarkEnd w:id="435"/>
      <w:bookmarkStart w:id="436" w:name="bookmark414"/>
      <w:bookmarkEnd w:id="436"/>
      <w:r>
        <w:rPr>
          <w:spacing w:val="-4"/>
          <w:sz w:val="24"/>
          <w:szCs w:val="24"/>
        </w:rPr>
        <w:t>（二）近</w:t>
      </w:r>
      <w:r>
        <w:rPr>
          <w:spacing w:val="-48"/>
          <w:sz w:val="24"/>
          <w:szCs w:val="24"/>
        </w:rPr>
        <w:t xml:space="preserve"> </w:t>
      </w:r>
      <w:r>
        <w:rPr>
          <w:rFonts w:ascii="Times New Roman" w:hAnsi="Times New Roman" w:eastAsia="Times New Roman" w:cs="Times New Roman"/>
          <w:spacing w:val="-4"/>
          <w:sz w:val="24"/>
          <w:szCs w:val="24"/>
        </w:rPr>
        <w:t xml:space="preserve">3 </w:t>
      </w:r>
      <w:r>
        <w:rPr>
          <w:spacing w:val="-4"/>
          <w:sz w:val="24"/>
          <w:szCs w:val="24"/>
        </w:rPr>
        <w:t>年财务状况</w:t>
      </w:r>
    </w:p>
    <w:p w14:paraId="2370D8AF">
      <w:pPr>
        <w:pStyle w:val="2"/>
        <w:spacing w:before="113" w:line="219" w:lineRule="auto"/>
        <w:ind w:left="3311"/>
        <w:outlineLvl w:val="3"/>
        <w:rPr>
          <w:sz w:val="24"/>
          <w:szCs w:val="24"/>
        </w:rPr>
      </w:pPr>
      <w:r>
        <w:rPr>
          <w:rFonts w:ascii="Times New Roman" w:hAnsi="Times New Roman" w:eastAsia="Times New Roman" w:cs="Times New Roman"/>
          <w:spacing w:val="-5"/>
          <w:sz w:val="24"/>
          <w:szCs w:val="24"/>
        </w:rPr>
        <w:t>2-</w:t>
      </w:r>
      <w:r>
        <w:rPr>
          <w:rFonts w:ascii="Times New Roman" w:hAnsi="Times New Roman" w:eastAsia="Times New Roman" w:cs="Times New Roman"/>
          <w:spacing w:val="-30"/>
          <w:sz w:val="24"/>
          <w:szCs w:val="24"/>
        </w:rPr>
        <w:t xml:space="preserve"> </w:t>
      </w:r>
      <w:r>
        <w:rPr>
          <w:rFonts w:ascii="Times New Roman" w:hAnsi="Times New Roman" w:eastAsia="Times New Roman" w:cs="Times New Roman"/>
          <w:spacing w:val="-5"/>
          <w:sz w:val="24"/>
          <w:szCs w:val="24"/>
        </w:rPr>
        <w:t xml:space="preserve">1 </w:t>
      </w:r>
      <w:r>
        <w:rPr>
          <w:spacing w:val="-5"/>
          <w:sz w:val="24"/>
          <w:szCs w:val="24"/>
        </w:rPr>
        <w:t>近</w:t>
      </w:r>
      <w:r>
        <w:rPr>
          <w:spacing w:val="-50"/>
          <w:sz w:val="24"/>
          <w:szCs w:val="24"/>
        </w:rPr>
        <w:t xml:space="preserve"> </w:t>
      </w:r>
      <w:r>
        <w:rPr>
          <w:rFonts w:ascii="Times New Roman" w:hAnsi="Times New Roman" w:eastAsia="Times New Roman" w:cs="Times New Roman"/>
          <w:spacing w:val="-5"/>
          <w:sz w:val="24"/>
          <w:szCs w:val="24"/>
        </w:rPr>
        <w:t>3</w:t>
      </w:r>
      <w:r>
        <w:rPr>
          <w:rFonts w:ascii="Times New Roman" w:hAnsi="Times New Roman" w:eastAsia="Times New Roman" w:cs="Times New Roman"/>
          <w:spacing w:val="10"/>
          <w:sz w:val="24"/>
          <w:szCs w:val="24"/>
        </w:rPr>
        <w:t xml:space="preserve"> </w:t>
      </w:r>
      <w:r>
        <w:rPr>
          <w:spacing w:val="-5"/>
          <w:sz w:val="24"/>
          <w:szCs w:val="24"/>
        </w:rPr>
        <w:t>年财务状况表</w:t>
      </w:r>
    </w:p>
    <w:tbl>
      <w:tblPr>
        <w:tblStyle w:val="5"/>
        <w:tblW w:w="88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28"/>
        <w:gridCol w:w="814"/>
        <w:gridCol w:w="1538"/>
        <w:gridCol w:w="1538"/>
        <w:gridCol w:w="1538"/>
        <w:gridCol w:w="1543"/>
      </w:tblGrid>
      <w:tr w14:paraId="491D7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928" w:type="dxa"/>
            <w:vAlign w:val="top"/>
          </w:tcPr>
          <w:p w14:paraId="3F18A8D7">
            <w:pPr>
              <w:pStyle w:val="6"/>
              <w:spacing w:before="154" w:line="230" w:lineRule="auto"/>
              <w:ind w:left="761"/>
            </w:pPr>
            <w:r>
              <w:rPr>
                <w:spacing w:val="3"/>
              </w:rPr>
              <w:t>名称</w:t>
            </w:r>
          </w:p>
        </w:tc>
        <w:tc>
          <w:tcPr>
            <w:tcW w:w="814" w:type="dxa"/>
            <w:vAlign w:val="top"/>
          </w:tcPr>
          <w:p w14:paraId="66FA69CC">
            <w:pPr>
              <w:pStyle w:val="6"/>
              <w:spacing w:before="155" w:line="228" w:lineRule="auto"/>
              <w:ind w:left="202"/>
            </w:pPr>
            <w:r>
              <w:rPr>
                <w:spacing w:val="3"/>
              </w:rPr>
              <w:t>单位</w:t>
            </w:r>
          </w:p>
        </w:tc>
        <w:tc>
          <w:tcPr>
            <w:tcW w:w="1538" w:type="dxa"/>
            <w:vAlign w:val="top"/>
          </w:tcPr>
          <w:p w14:paraId="5CF81071">
            <w:pPr>
              <w:pStyle w:val="6"/>
              <w:tabs>
                <w:tab w:val="left" w:pos="1079"/>
              </w:tabs>
              <w:spacing w:before="154" w:line="228" w:lineRule="auto"/>
              <w:ind w:left="451"/>
            </w:pPr>
            <w:r>
              <w:rPr>
                <w:u w:val="single" w:color="auto"/>
              </w:rPr>
              <w:tab/>
            </w:r>
            <w:r>
              <w:rPr>
                <w:spacing w:val="-90"/>
              </w:rPr>
              <w:t xml:space="preserve"> </w:t>
            </w:r>
            <w:r>
              <w:t>年</w:t>
            </w:r>
          </w:p>
        </w:tc>
        <w:tc>
          <w:tcPr>
            <w:tcW w:w="1538" w:type="dxa"/>
            <w:vAlign w:val="top"/>
          </w:tcPr>
          <w:p w14:paraId="672530D7">
            <w:pPr>
              <w:pStyle w:val="6"/>
              <w:tabs>
                <w:tab w:val="left" w:pos="1080"/>
              </w:tabs>
              <w:spacing w:before="154" w:line="228" w:lineRule="auto"/>
              <w:ind w:left="451"/>
            </w:pPr>
            <w:r>
              <w:rPr>
                <w:u w:val="single" w:color="auto"/>
              </w:rPr>
              <w:tab/>
            </w:r>
            <w:r>
              <w:rPr>
                <w:spacing w:val="-91"/>
              </w:rPr>
              <w:t xml:space="preserve"> </w:t>
            </w:r>
            <w:r>
              <w:t>年</w:t>
            </w:r>
          </w:p>
        </w:tc>
        <w:tc>
          <w:tcPr>
            <w:tcW w:w="1538" w:type="dxa"/>
            <w:vAlign w:val="top"/>
          </w:tcPr>
          <w:p w14:paraId="048A5402">
            <w:pPr>
              <w:pStyle w:val="6"/>
              <w:tabs>
                <w:tab w:val="left" w:pos="976"/>
              </w:tabs>
              <w:spacing w:before="154" w:line="228" w:lineRule="auto"/>
              <w:ind w:left="346"/>
            </w:pPr>
            <w:r>
              <w:rPr>
                <w:u w:val="single" w:color="auto"/>
              </w:rPr>
              <w:tab/>
            </w:r>
            <w:r>
              <w:rPr>
                <w:spacing w:val="-90"/>
              </w:rPr>
              <w:t xml:space="preserve"> </w:t>
            </w:r>
            <w:r>
              <w:t>年</w:t>
            </w:r>
          </w:p>
        </w:tc>
        <w:tc>
          <w:tcPr>
            <w:tcW w:w="1543" w:type="dxa"/>
            <w:vAlign w:val="top"/>
          </w:tcPr>
          <w:p w14:paraId="4B97C222">
            <w:pPr>
              <w:pStyle w:val="6"/>
              <w:spacing w:before="154" w:line="228" w:lineRule="auto"/>
              <w:ind w:left="145"/>
            </w:pPr>
            <w:r>
              <w:rPr>
                <w:spacing w:val="3"/>
              </w:rPr>
              <w:t>近</w:t>
            </w:r>
            <w:r>
              <w:rPr>
                <w:spacing w:val="-32"/>
              </w:rPr>
              <w:t xml:space="preserve"> </w:t>
            </w:r>
            <w:r>
              <w:rPr>
                <w:spacing w:val="3"/>
              </w:rPr>
              <w:t>3</w:t>
            </w:r>
            <w:r>
              <w:rPr>
                <w:spacing w:val="-37"/>
              </w:rPr>
              <w:t xml:space="preserve"> </w:t>
            </w:r>
            <w:r>
              <w:rPr>
                <w:spacing w:val="3"/>
              </w:rPr>
              <w:t>年平均值</w:t>
            </w:r>
          </w:p>
        </w:tc>
      </w:tr>
      <w:tr w14:paraId="5EFFC9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928" w:type="dxa"/>
            <w:vAlign w:val="top"/>
          </w:tcPr>
          <w:p w14:paraId="57FB9779">
            <w:pPr>
              <w:pStyle w:val="6"/>
              <w:spacing w:before="151" w:line="229" w:lineRule="auto"/>
              <w:ind w:left="118"/>
            </w:pPr>
            <w:r>
              <w:rPr>
                <w:spacing w:val="7"/>
              </w:rPr>
              <w:t>一．注册资金</w:t>
            </w:r>
          </w:p>
        </w:tc>
        <w:tc>
          <w:tcPr>
            <w:tcW w:w="814" w:type="dxa"/>
            <w:vAlign w:val="top"/>
          </w:tcPr>
          <w:p w14:paraId="4C24B248">
            <w:pPr>
              <w:pStyle w:val="6"/>
              <w:spacing w:before="151" w:line="228" w:lineRule="auto"/>
              <w:ind w:left="206"/>
            </w:pPr>
            <w:r>
              <w:rPr>
                <w:spacing w:val="2"/>
              </w:rPr>
              <w:t>万元</w:t>
            </w:r>
          </w:p>
        </w:tc>
        <w:tc>
          <w:tcPr>
            <w:tcW w:w="1538" w:type="dxa"/>
            <w:vAlign w:val="top"/>
          </w:tcPr>
          <w:p w14:paraId="4BFA31F8">
            <w:pPr>
              <w:rPr>
                <w:rFonts w:ascii="Arial"/>
                <w:sz w:val="21"/>
              </w:rPr>
            </w:pPr>
          </w:p>
        </w:tc>
        <w:tc>
          <w:tcPr>
            <w:tcW w:w="1538" w:type="dxa"/>
            <w:vAlign w:val="top"/>
          </w:tcPr>
          <w:p w14:paraId="78103E4C">
            <w:pPr>
              <w:rPr>
                <w:rFonts w:ascii="Arial"/>
                <w:sz w:val="21"/>
              </w:rPr>
            </w:pPr>
          </w:p>
        </w:tc>
        <w:tc>
          <w:tcPr>
            <w:tcW w:w="1538" w:type="dxa"/>
            <w:vAlign w:val="top"/>
          </w:tcPr>
          <w:p w14:paraId="0D029682">
            <w:pPr>
              <w:rPr>
                <w:rFonts w:ascii="Arial"/>
                <w:sz w:val="21"/>
              </w:rPr>
            </w:pPr>
          </w:p>
        </w:tc>
        <w:tc>
          <w:tcPr>
            <w:tcW w:w="1543" w:type="dxa"/>
            <w:vAlign w:val="top"/>
          </w:tcPr>
          <w:p w14:paraId="76F16965">
            <w:pPr>
              <w:pStyle w:val="6"/>
              <w:spacing w:before="249" w:line="136" w:lineRule="exact"/>
              <w:ind w:left="723"/>
            </w:pPr>
            <w:r>
              <w:rPr>
                <w:position w:val="-3"/>
              </w:rPr>
              <w:t>-</w:t>
            </w:r>
          </w:p>
        </w:tc>
      </w:tr>
      <w:tr w14:paraId="636B3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44B80365">
            <w:pPr>
              <w:pStyle w:val="6"/>
              <w:spacing w:before="150" w:line="228" w:lineRule="auto"/>
              <w:ind w:left="118"/>
            </w:pPr>
            <w:r>
              <w:rPr>
                <w:spacing w:val="7"/>
              </w:rPr>
              <w:t>二．净资产</w:t>
            </w:r>
          </w:p>
        </w:tc>
        <w:tc>
          <w:tcPr>
            <w:tcW w:w="814" w:type="dxa"/>
            <w:vAlign w:val="top"/>
          </w:tcPr>
          <w:p w14:paraId="3085D3A2">
            <w:pPr>
              <w:pStyle w:val="6"/>
              <w:spacing w:before="151" w:line="228" w:lineRule="auto"/>
              <w:ind w:left="206"/>
            </w:pPr>
            <w:r>
              <w:rPr>
                <w:spacing w:val="2"/>
              </w:rPr>
              <w:t>万元</w:t>
            </w:r>
          </w:p>
        </w:tc>
        <w:tc>
          <w:tcPr>
            <w:tcW w:w="1538" w:type="dxa"/>
            <w:vAlign w:val="top"/>
          </w:tcPr>
          <w:p w14:paraId="14CE80B9">
            <w:pPr>
              <w:rPr>
                <w:rFonts w:ascii="Arial"/>
                <w:sz w:val="21"/>
              </w:rPr>
            </w:pPr>
          </w:p>
        </w:tc>
        <w:tc>
          <w:tcPr>
            <w:tcW w:w="1538" w:type="dxa"/>
            <w:vAlign w:val="top"/>
          </w:tcPr>
          <w:p w14:paraId="6CE92E79">
            <w:pPr>
              <w:rPr>
                <w:rFonts w:ascii="Arial"/>
                <w:sz w:val="21"/>
              </w:rPr>
            </w:pPr>
          </w:p>
        </w:tc>
        <w:tc>
          <w:tcPr>
            <w:tcW w:w="1538" w:type="dxa"/>
            <w:vAlign w:val="top"/>
          </w:tcPr>
          <w:p w14:paraId="4D3FBB18">
            <w:pPr>
              <w:rPr>
                <w:rFonts w:ascii="Arial"/>
                <w:sz w:val="21"/>
              </w:rPr>
            </w:pPr>
          </w:p>
        </w:tc>
        <w:tc>
          <w:tcPr>
            <w:tcW w:w="1543" w:type="dxa"/>
            <w:vAlign w:val="top"/>
          </w:tcPr>
          <w:p w14:paraId="647E0F80">
            <w:pPr>
              <w:pStyle w:val="6"/>
              <w:spacing w:before="249" w:line="136" w:lineRule="exact"/>
              <w:ind w:left="723"/>
            </w:pPr>
            <w:r>
              <w:rPr>
                <w:position w:val="-3"/>
              </w:rPr>
              <w:t>-</w:t>
            </w:r>
          </w:p>
        </w:tc>
      </w:tr>
      <w:tr w14:paraId="3039A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71D3827C">
            <w:pPr>
              <w:pStyle w:val="6"/>
              <w:spacing w:before="151" w:line="228" w:lineRule="auto"/>
              <w:ind w:left="115"/>
            </w:pPr>
            <w:r>
              <w:rPr>
                <w:spacing w:val="8"/>
              </w:rPr>
              <w:t>三．总资产</w:t>
            </w:r>
          </w:p>
        </w:tc>
        <w:tc>
          <w:tcPr>
            <w:tcW w:w="814" w:type="dxa"/>
            <w:vAlign w:val="top"/>
          </w:tcPr>
          <w:p w14:paraId="7F6D69E0">
            <w:pPr>
              <w:pStyle w:val="6"/>
              <w:spacing w:before="152" w:line="228" w:lineRule="auto"/>
              <w:ind w:left="206"/>
            </w:pPr>
            <w:r>
              <w:rPr>
                <w:spacing w:val="2"/>
              </w:rPr>
              <w:t>万元</w:t>
            </w:r>
          </w:p>
        </w:tc>
        <w:tc>
          <w:tcPr>
            <w:tcW w:w="1538" w:type="dxa"/>
            <w:vAlign w:val="top"/>
          </w:tcPr>
          <w:p w14:paraId="0DAE6121">
            <w:pPr>
              <w:rPr>
                <w:rFonts w:ascii="Arial"/>
                <w:sz w:val="21"/>
              </w:rPr>
            </w:pPr>
          </w:p>
        </w:tc>
        <w:tc>
          <w:tcPr>
            <w:tcW w:w="1538" w:type="dxa"/>
            <w:vAlign w:val="top"/>
          </w:tcPr>
          <w:p w14:paraId="38457EEC">
            <w:pPr>
              <w:rPr>
                <w:rFonts w:ascii="Arial"/>
                <w:sz w:val="21"/>
              </w:rPr>
            </w:pPr>
          </w:p>
        </w:tc>
        <w:tc>
          <w:tcPr>
            <w:tcW w:w="1538" w:type="dxa"/>
            <w:vAlign w:val="top"/>
          </w:tcPr>
          <w:p w14:paraId="24B69E2F">
            <w:pPr>
              <w:rPr>
                <w:rFonts w:ascii="Arial"/>
                <w:sz w:val="21"/>
              </w:rPr>
            </w:pPr>
          </w:p>
        </w:tc>
        <w:tc>
          <w:tcPr>
            <w:tcW w:w="1543" w:type="dxa"/>
            <w:vAlign w:val="top"/>
          </w:tcPr>
          <w:p w14:paraId="71BCE45F">
            <w:pPr>
              <w:rPr>
                <w:rFonts w:ascii="Arial"/>
                <w:sz w:val="21"/>
              </w:rPr>
            </w:pPr>
          </w:p>
        </w:tc>
      </w:tr>
      <w:tr w14:paraId="2D5868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3DB59992">
            <w:pPr>
              <w:pStyle w:val="6"/>
              <w:spacing w:before="152" w:line="228" w:lineRule="auto"/>
              <w:ind w:left="135"/>
            </w:pPr>
            <w:r>
              <w:rPr>
                <w:spacing w:val="4"/>
              </w:rPr>
              <w:t>四．固定资产</w:t>
            </w:r>
          </w:p>
        </w:tc>
        <w:tc>
          <w:tcPr>
            <w:tcW w:w="814" w:type="dxa"/>
            <w:vAlign w:val="top"/>
          </w:tcPr>
          <w:p w14:paraId="09450CFE">
            <w:pPr>
              <w:pStyle w:val="6"/>
              <w:spacing w:before="152" w:line="228" w:lineRule="auto"/>
              <w:ind w:left="206"/>
            </w:pPr>
            <w:r>
              <w:rPr>
                <w:spacing w:val="2"/>
              </w:rPr>
              <w:t>万元</w:t>
            </w:r>
          </w:p>
        </w:tc>
        <w:tc>
          <w:tcPr>
            <w:tcW w:w="1538" w:type="dxa"/>
            <w:vAlign w:val="top"/>
          </w:tcPr>
          <w:p w14:paraId="28310290">
            <w:pPr>
              <w:rPr>
                <w:rFonts w:ascii="Arial"/>
                <w:sz w:val="21"/>
              </w:rPr>
            </w:pPr>
          </w:p>
        </w:tc>
        <w:tc>
          <w:tcPr>
            <w:tcW w:w="1538" w:type="dxa"/>
            <w:vAlign w:val="top"/>
          </w:tcPr>
          <w:p w14:paraId="12FBB82D">
            <w:pPr>
              <w:rPr>
                <w:rFonts w:ascii="Arial"/>
                <w:sz w:val="21"/>
              </w:rPr>
            </w:pPr>
          </w:p>
        </w:tc>
        <w:tc>
          <w:tcPr>
            <w:tcW w:w="1538" w:type="dxa"/>
            <w:vAlign w:val="top"/>
          </w:tcPr>
          <w:p w14:paraId="161130D1">
            <w:pPr>
              <w:rPr>
                <w:rFonts w:ascii="Arial"/>
                <w:sz w:val="21"/>
              </w:rPr>
            </w:pPr>
          </w:p>
        </w:tc>
        <w:tc>
          <w:tcPr>
            <w:tcW w:w="1543" w:type="dxa"/>
            <w:vAlign w:val="top"/>
          </w:tcPr>
          <w:p w14:paraId="604DD58F">
            <w:pPr>
              <w:pStyle w:val="6"/>
              <w:spacing w:before="250" w:line="136" w:lineRule="exact"/>
              <w:ind w:left="723"/>
            </w:pPr>
            <w:r>
              <w:rPr>
                <w:position w:val="-3"/>
              </w:rPr>
              <w:t>-</w:t>
            </w:r>
          </w:p>
        </w:tc>
      </w:tr>
      <w:tr w14:paraId="12CE0E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7151EF62">
            <w:pPr>
              <w:pStyle w:val="6"/>
              <w:spacing w:before="150" w:line="228" w:lineRule="auto"/>
              <w:ind w:left="118"/>
            </w:pPr>
            <w:r>
              <w:rPr>
                <w:spacing w:val="7"/>
              </w:rPr>
              <w:t>五．流动资产</w:t>
            </w:r>
          </w:p>
        </w:tc>
        <w:tc>
          <w:tcPr>
            <w:tcW w:w="814" w:type="dxa"/>
            <w:vAlign w:val="top"/>
          </w:tcPr>
          <w:p w14:paraId="7A8AAADB">
            <w:pPr>
              <w:pStyle w:val="6"/>
              <w:spacing w:before="151" w:line="228" w:lineRule="auto"/>
              <w:ind w:left="206"/>
            </w:pPr>
            <w:r>
              <w:rPr>
                <w:spacing w:val="2"/>
              </w:rPr>
              <w:t>万元</w:t>
            </w:r>
          </w:p>
        </w:tc>
        <w:tc>
          <w:tcPr>
            <w:tcW w:w="1538" w:type="dxa"/>
            <w:vAlign w:val="top"/>
          </w:tcPr>
          <w:p w14:paraId="7DBA7559">
            <w:pPr>
              <w:rPr>
                <w:rFonts w:ascii="Arial"/>
                <w:sz w:val="21"/>
              </w:rPr>
            </w:pPr>
          </w:p>
        </w:tc>
        <w:tc>
          <w:tcPr>
            <w:tcW w:w="1538" w:type="dxa"/>
            <w:vAlign w:val="top"/>
          </w:tcPr>
          <w:p w14:paraId="043ECE69">
            <w:pPr>
              <w:rPr>
                <w:rFonts w:ascii="Arial"/>
                <w:sz w:val="21"/>
              </w:rPr>
            </w:pPr>
          </w:p>
        </w:tc>
        <w:tc>
          <w:tcPr>
            <w:tcW w:w="1538" w:type="dxa"/>
            <w:vAlign w:val="top"/>
          </w:tcPr>
          <w:p w14:paraId="485554DD">
            <w:pPr>
              <w:rPr>
                <w:rFonts w:ascii="Arial"/>
                <w:sz w:val="21"/>
              </w:rPr>
            </w:pPr>
          </w:p>
        </w:tc>
        <w:tc>
          <w:tcPr>
            <w:tcW w:w="1543" w:type="dxa"/>
            <w:vAlign w:val="top"/>
          </w:tcPr>
          <w:p w14:paraId="7466CA0A">
            <w:pPr>
              <w:rPr>
                <w:rFonts w:ascii="Arial"/>
                <w:sz w:val="21"/>
              </w:rPr>
            </w:pPr>
          </w:p>
        </w:tc>
      </w:tr>
      <w:tr w14:paraId="5E26B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3B2FC52C">
            <w:pPr>
              <w:pStyle w:val="6"/>
              <w:spacing w:before="151" w:line="228" w:lineRule="auto"/>
              <w:ind w:left="117"/>
            </w:pPr>
            <w:r>
              <w:rPr>
                <w:spacing w:val="7"/>
              </w:rPr>
              <w:t>六．流动负债</w:t>
            </w:r>
          </w:p>
        </w:tc>
        <w:tc>
          <w:tcPr>
            <w:tcW w:w="814" w:type="dxa"/>
            <w:vAlign w:val="top"/>
          </w:tcPr>
          <w:p w14:paraId="03DB5E3A">
            <w:pPr>
              <w:pStyle w:val="6"/>
              <w:spacing w:before="152" w:line="228" w:lineRule="auto"/>
              <w:ind w:left="206"/>
            </w:pPr>
            <w:r>
              <w:rPr>
                <w:spacing w:val="2"/>
              </w:rPr>
              <w:t>万元</w:t>
            </w:r>
          </w:p>
        </w:tc>
        <w:tc>
          <w:tcPr>
            <w:tcW w:w="1538" w:type="dxa"/>
            <w:vAlign w:val="top"/>
          </w:tcPr>
          <w:p w14:paraId="3C48771D">
            <w:pPr>
              <w:rPr>
                <w:rFonts w:ascii="Arial"/>
                <w:sz w:val="21"/>
              </w:rPr>
            </w:pPr>
          </w:p>
        </w:tc>
        <w:tc>
          <w:tcPr>
            <w:tcW w:w="1538" w:type="dxa"/>
            <w:vAlign w:val="top"/>
          </w:tcPr>
          <w:p w14:paraId="53E7C652">
            <w:pPr>
              <w:rPr>
                <w:rFonts w:ascii="Arial"/>
                <w:sz w:val="21"/>
              </w:rPr>
            </w:pPr>
          </w:p>
        </w:tc>
        <w:tc>
          <w:tcPr>
            <w:tcW w:w="1538" w:type="dxa"/>
            <w:vAlign w:val="top"/>
          </w:tcPr>
          <w:p w14:paraId="13B6CD07">
            <w:pPr>
              <w:rPr>
                <w:rFonts w:ascii="Arial"/>
                <w:sz w:val="21"/>
              </w:rPr>
            </w:pPr>
          </w:p>
        </w:tc>
        <w:tc>
          <w:tcPr>
            <w:tcW w:w="1543" w:type="dxa"/>
            <w:vAlign w:val="top"/>
          </w:tcPr>
          <w:p w14:paraId="590F34C2">
            <w:pPr>
              <w:rPr>
                <w:rFonts w:ascii="Arial"/>
                <w:sz w:val="21"/>
              </w:rPr>
            </w:pPr>
          </w:p>
        </w:tc>
      </w:tr>
      <w:tr w14:paraId="095A09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928" w:type="dxa"/>
            <w:vAlign w:val="top"/>
          </w:tcPr>
          <w:p w14:paraId="6B6AD5E5">
            <w:pPr>
              <w:pStyle w:val="6"/>
              <w:spacing w:before="152" w:line="228" w:lineRule="auto"/>
              <w:ind w:left="114"/>
            </w:pPr>
            <w:r>
              <w:rPr>
                <w:spacing w:val="8"/>
              </w:rPr>
              <w:t>七．负债合计</w:t>
            </w:r>
          </w:p>
        </w:tc>
        <w:tc>
          <w:tcPr>
            <w:tcW w:w="814" w:type="dxa"/>
            <w:vAlign w:val="top"/>
          </w:tcPr>
          <w:p w14:paraId="04626E58">
            <w:pPr>
              <w:pStyle w:val="6"/>
              <w:spacing w:before="152" w:line="228" w:lineRule="auto"/>
              <w:ind w:left="206"/>
            </w:pPr>
            <w:r>
              <w:rPr>
                <w:spacing w:val="2"/>
              </w:rPr>
              <w:t>万元</w:t>
            </w:r>
          </w:p>
        </w:tc>
        <w:tc>
          <w:tcPr>
            <w:tcW w:w="1538" w:type="dxa"/>
            <w:vAlign w:val="top"/>
          </w:tcPr>
          <w:p w14:paraId="29E257EF">
            <w:pPr>
              <w:rPr>
                <w:rFonts w:ascii="Arial"/>
                <w:sz w:val="21"/>
              </w:rPr>
            </w:pPr>
          </w:p>
        </w:tc>
        <w:tc>
          <w:tcPr>
            <w:tcW w:w="1538" w:type="dxa"/>
            <w:vAlign w:val="top"/>
          </w:tcPr>
          <w:p w14:paraId="14FBC7B7">
            <w:pPr>
              <w:rPr>
                <w:rFonts w:ascii="Arial"/>
                <w:sz w:val="21"/>
              </w:rPr>
            </w:pPr>
          </w:p>
        </w:tc>
        <w:tc>
          <w:tcPr>
            <w:tcW w:w="1538" w:type="dxa"/>
            <w:vAlign w:val="top"/>
          </w:tcPr>
          <w:p w14:paraId="21D97D26">
            <w:pPr>
              <w:rPr>
                <w:rFonts w:ascii="Arial"/>
                <w:sz w:val="21"/>
              </w:rPr>
            </w:pPr>
          </w:p>
        </w:tc>
        <w:tc>
          <w:tcPr>
            <w:tcW w:w="1543" w:type="dxa"/>
            <w:vAlign w:val="top"/>
          </w:tcPr>
          <w:p w14:paraId="5143B7F7">
            <w:pPr>
              <w:rPr>
                <w:rFonts w:ascii="Arial"/>
                <w:sz w:val="21"/>
              </w:rPr>
            </w:pPr>
          </w:p>
        </w:tc>
      </w:tr>
      <w:tr w14:paraId="1923D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19167EE9">
            <w:pPr>
              <w:pStyle w:val="6"/>
              <w:spacing w:before="151" w:line="228" w:lineRule="auto"/>
              <w:ind w:left="118"/>
            </w:pPr>
            <w:r>
              <w:rPr>
                <w:spacing w:val="7"/>
              </w:rPr>
              <w:t>八．营业收入</w:t>
            </w:r>
          </w:p>
        </w:tc>
        <w:tc>
          <w:tcPr>
            <w:tcW w:w="814" w:type="dxa"/>
            <w:vAlign w:val="top"/>
          </w:tcPr>
          <w:p w14:paraId="622FD3B1">
            <w:pPr>
              <w:pStyle w:val="6"/>
              <w:spacing w:before="152" w:line="228" w:lineRule="auto"/>
              <w:ind w:left="206"/>
            </w:pPr>
            <w:r>
              <w:rPr>
                <w:spacing w:val="2"/>
              </w:rPr>
              <w:t>万元</w:t>
            </w:r>
          </w:p>
        </w:tc>
        <w:tc>
          <w:tcPr>
            <w:tcW w:w="1538" w:type="dxa"/>
            <w:vAlign w:val="top"/>
          </w:tcPr>
          <w:p w14:paraId="39F098B0">
            <w:pPr>
              <w:rPr>
                <w:rFonts w:ascii="Arial"/>
                <w:sz w:val="21"/>
              </w:rPr>
            </w:pPr>
          </w:p>
        </w:tc>
        <w:tc>
          <w:tcPr>
            <w:tcW w:w="1538" w:type="dxa"/>
            <w:vAlign w:val="top"/>
          </w:tcPr>
          <w:p w14:paraId="2252D579">
            <w:pPr>
              <w:rPr>
                <w:rFonts w:ascii="Arial"/>
                <w:sz w:val="21"/>
              </w:rPr>
            </w:pPr>
          </w:p>
        </w:tc>
        <w:tc>
          <w:tcPr>
            <w:tcW w:w="1538" w:type="dxa"/>
            <w:vAlign w:val="top"/>
          </w:tcPr>
          <w:p w14:paraId="5F0D6D2B">
            <w:pPr>
              <w:rPr>
                <w:rFonts w:ascii="Arial"/>
                <w:sz w:val="21"/>
              </w:rPr>
            </w:pPr>
          </w:p>
        </w:tc>
        <w:tc>
          <w:tcPr>
            <w:tcW w:w="1543" w:type="dxa"/>
            <w:vAlign w:val="top"/>
          </w:tcPr>
          <w:p w14:paraId="6BEB1ECD">
            <w:pPr>
              <w:rPr>
                <w:rFonts w:ascii="Arial"/>
                <w:sz w:val="21"/>
              </w:rPr>
            </w:pPr>
          </w:p>
        </w:tc>
      </w:tr>
      <w:tr w14:paraId="08AE0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55CDA65D">
            <w:pPr>
              <w:pStyle w:val="6"/>
              <w:spacing w:before="153" w:line="228" w:lineRule="auto"/>
              <w:ind w:left="120"/>
            </w:pPr>
            <w:r>
              <w:rPr>
                <w:spacing w:val="7"/>
              </w:rPr>
              <w:t>九．净利润</w:t>
            </w:r>
          </w:p>
        </w:tc>
        <w:tc>
          <w:tcPr>
            <w:tcW w:w="814" w:type="dxa"/>
            <w:vAlign w:val="top"/>
          </w:tcPr>
          <w:p w14:paraId="4DFE0062">
            <w:pPr>
              <w:pStyle w:val="6"/>
              <w:spacing w:before="153" w:line="228" w:lineRule="auto"/>
              <w:ind w:left="206"/>
            </w:pPr>
            <w:r>
              <w:rPr>
                <w:spacing w:val="2"/>
              </w:rPr>
              <w:t>万元</w:t>
            </w:r>
          </w:p>
        </w:tc>
        <w:tc>
          <w:tcPr>
            <w:tcW w:w="1538" w:type="dxa"/>
            <w:vAlign w:val="top"/>
          </w:tcPr>
          <w:p w14:paraId="76DC9D5F">
            <w:pPr>
              <w:rPr>
                <w:rFonts w:ascii="Arial"/>
                <w:sz w:val="21"/>
              </w:rPr>
            </w:pPr>
          </w:p>
        </w:tc>
        <w:tc>
          <w:tcPr>
            <w:tcW w:w="1538" w:type="dxa"/>
            <w:vAlign w:val="top"/>
          </w:tcPr>
          <w:p w14:paraId="7A3B7425">
            <w:pPr>
              <w:rPr>
                <w:rFonts w:ascii="Arial"/>
                <w:sz w:val="21"/>
              </w:rPr>
            </w:pPr>
          </w:p>
        </w:tc>
        <w:tc>
          <w:tcPr>
            <w:tcW w:w="1538" w:type="dxa"/>
            <w:vAlign w:val="top"/>
          </w:tcPr>
          <w:p w14:paraId="7F315A5C">
            <w:pPr>
              <w:rPr>
                <w:rFonts w:ascii="Arial"/>
                <w:sz w:val="21"/>
              </w:rPr>
            </w:pPr>
          </w:p>
        </w:tc>
        <w:tc>
          <w:tcPr>
            <w:tcW w:w="1543" w:type="dxa"/>
            <w:vAlign w:val="top"/>
          </w:tcPr>
          <w:p w14:paraId="145F6440">
            <w:pPr>
              <w:pStyle w:val="6"/>
              <w:spacing w:before="251" w:line="136" w:lineRule="exact"/>
              <w:ind w:left="723"/>
            </w:pPr>
            <w:r>
              <w:rPr>
                <w:position w:val="-3"/>
              </w:rPr>
              <w:t>-</w:t>
            </w:r>
          </w:p>
        </w:tc>
      </w:tr>
      <w:tr w14:paraId="79828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31A438B5">
            <w:pPr>
              <w:pStyle w:val="6"/>
              <w:spacing w:before="153" w:line="228" w:lineRule="auto"/>
              <w:ind w:left="116"/>
            </w:pPr>
            <w:r>
              <w:rPr>
                <w:spacing w:val="8"/>
              </w:rPr>
              <w:t>十．现金流量净额</w:t>
            </w:r>
          </w:p>
        </w:tc>
        <w:tc>
          <w:tcPr>
            <w:tcW w:w="814" w:type="dxa"/>
            <w:vAlign w:val="top"/>
          </w:tcPr>
          <w:p w14:paraId="3798C04A">
            <w:pPr>
              <w:pStyle w:val="6"/>
              <w:spacing w:before="153" w:line="228" w:lineRule="auto"/>
              <w:ind w:left="206"/>
            </w:pPr>
            <w:r>
              <w:rPr>
                <w:spacing w:val="2"/>
              </w:rPr>
              <w:t>万元</w:t>
            </w:r>
          </w:p>
        </w:tc>
        <w:tc>
          <w:tcPr>
            <w:tcW w:w="1538" w:type="dxa"/>
            <w:vAlign w:val="top"/>
          </w:tcPr>
          <w:p w14:paraId="171761DA">
            <w:pPr>
              <w:rPr>
                <w:rFonts w:ascii="Arial"/>
                <w:sz w:val="21"/>
              </w:rPr>
            </w:pPr>
          </w:p>
        </w:tc>
        <w:tc>
          <w:tcPr>
            <w:tcW w:w="1538" w:type="dxa"/>
            <w:vAlign w:val="top"/>
          </w:tcPr>
          <w:p w14:paraId="50376924">
            <w:pPr>
              <w:rPr>
                <w:rFonts w:ascii="Arial"/>
                <w:sz w:val="21"/>
              </w:rPr>
            </w:pPr>
          </w:p>
        </w:tc>
        <w:tc>
          <w:tcPr>
            <w:tcW w:w="1538" w:type="dxa"/>
            <w:vAlign w:val="top"/>
          </w:tcPr>
          <w:p w14:paraId="2B2E4CB0">
            <w:pPr>
              <w:rPr>
                <w:rFonts w:ascii="Arial"/>
                <w:sz w:val="21"/>
              </w:rPr>
            </w:pPr>
          </w:p>
        </w:tc>
        <w:tc>
          <w:tcPr>
            <w:tcW w:w="1543" w:type="dxa"/>
            <w:vAlign w:val="top"/>
          </w:tcPr>
          <w:p w14:paraId="6D973FA4">
            <w:pPr>
              <w:pStyle w:val="6"/>
              <w:spacing w:before="251" w:line="136" w:lineRule="exact"/>
              <w:ind w:left="723"/>
            </w:pPr>
            <w:r>
              <w:rPr>
                <w:position w:val="-3"/>
              </w:rPr>
              <w:t>-</w:t>
            </w:r>
          </w:p>
        </w:tc>
      </w:tr>
      <w:tr w14:paraId="5B0888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928" w:type="dxa"/>
            <w:vAlign w:val="top"/>
          </w:tcPr>
          <w:p w14:paraId="32FF7BEA">
            <w:pPr>
              <w:pStyle w:val="6"/>
              <w:spacing w:before="34" w:line="233" w:lineRule="auto"/>
              <w:ind w:left="116" w:right="109"/>
            </w:pPr>
            <w:r>
              <w:rPr>
                <w:spacing w:val="12"/>
              </w:rPr>
              <w:t>十一．主要财务指</w:t>
            </w:r>
            <w:r>
              <w:t>标</w:t>
            </w:r>
          </w:p>
        </w:tc>
        <w:tc>
          <w:tcPr>
            <w:tcW w:w="814" w:type="dxa"/>
            <w:vAlign w:val="top"/>
          </w:tcPr>
          <w:p w14:paraId="2E93A58B">
            <w:pPr>
              <w:rPr>
                <w:rFonts w:ascii="Arial"/>
                <w:sz w:val="21"/>
              </w:rPr>
            </w:pPr>
          </w:p>
        </w:tc>
        <w:tc>
          <w:tcPr>
            <w:tcW w:w="1538" w:type="dxa"/>
            <w:vAlign w:val="top"/>
          </w:tcPr>
          <w:p w14:paraId="7708C2C3">
            <w:pPr>
              <w:rPr>
                <w:rFonts w:ascii="Arial"/>
                <w:sz w:val="21"/>
              </w:rPr>
            </w:pPr>
          </w:p>
        </w:tc>
        <w:tc>
          <w:tcPr>
            <w:tcW w:w="1538" w:type="dxa"/>
            <w:vAlign w:val="top"/>
          </w:tcPr>
          <w:p w14:paraId="2AF1F268">
            <w:pPr>
              <w:rPr>
                <w:rFonts w:ascii="Arial"/>
                <w:sz w:val="21"/>
              </w:rPr>
            </w:pPr>
          </w:p>
        </w:tc>
        <w:tc>
          <w:tcPr>
            <w:tcW w:w="1538" w:type="dxa"/>
            <w:vAlign w:val="top"/>
          </w:tcPr>
          <w:p w14:paraId="28E7F8C1">
            <w:pPr>
              <w:rPr>
                <w:rFonts w:ascii="Arial"/>
                <w:sz w:val="21"/>
              </w:rPr>
            </w:pPr>
          </w:p>
        </w:tc>
        <w:tc>
          <w:tcPr>
            <w:tcW w:w="1543" w:type="dxa"/>
            <w:vAlign w:val="top"/>
          </w:tcPr>
          <w:p w14:paraId="0D9274D2">
            <w:pPr>
              <w:pStyle w:val="6"/>
              <w:spacing w:before="267" w:line="136" w:lineRule="exact"/>
              <w:ind w:left="723"/>
            </w:pPr>
            <w:r>
              <w:rPr>
                <w:position w:val="-3"/>
              </w:rPr>
              <w:t>-</w:t>
            </w:r>
          </w:p>
        </w:tc>
      </w:tr>
      <w:tr w14:paraId="030D3A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7ACDBD24">
            <w:pPr>
              <w:pStyle w:val="6"/>
              <w:spacing w:before="151" w:line="228" w:lineRule="auto"/>
              <w:ind w:left="131"/>
            </w:pPr>
            <w:r>
              <w:rPr>
                <w:spacing w:val="6"/>
              </w:rPr>
              <w:t>1．净资产收益率</w:t>
            </w:r>
          </w:p>
        </w:tc>
        <w:tc>
          <w:tcPr>
            <w:tcW w:w="814" w:type="dxa"/>
            <w:vAlign w:val="top"/>
          </w:tcPr>
          <w:p w14:paraId="7BB55027">
            <w:pPr>
              <w:spacing w:before="214" w:line="195" w:lineRule="auto"/>
              <w:ind w:left="329"/>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1538" w:type="dxa"/>
            <w:vAlign w:val="top"/>
          </w:tcPr>
          <w:p w14:paraId="2BE0B748">
            <w:pPr>
              <w:rPr>
                <w:rFonts w:ascii="Arial"/>
                <w:sz w:val="21"/>
              </w:rPr>
            </w:pPr>
          </w:p>
        </w:tc>
        <w:tc>
          <w:tcPr>
            <w:tcW w:w="1538" w:type="dxa"/>
            <w:vAlign w:val="top"/>
          </w:tcPr>
          <w:p w14:paraId="34B62C03">
            <w:pPr>
              <w:rPr>
                <w:rFonts w:ascii="Arial"/>
                <w:sz w:val="21"/>
              </w:rPr>
            </w:pPr>
          </w:p>
        </w:tc>
        <w:tc>
          <w:tcPr>
            <w:tcW w:w="1538" w:type="dxa"/>
            <w:vAlign w:val="top"/>
          </w:tcPr>
          <w:p w14:paraId="22814710">
            <w:pPr>
              <w:rPr>
                <w:rFonts w:ascii="Arial"/>
                <w:sz w:val="21"/>
              </w:rPr>
            </w:pPr>
          </w:p>
        </w:tc>
        <w:tc>
          <w:tcPr>
            <w:tcW w:w="1543" w:type="dxa"/>
            <w:vAlign w:val="top"/>
          </w:tcPr>
          <w:p w14:paraId="1F5BA5CC">
            <w:pPr>
              <w:rPr>
                <w:rFonts w:ascii="Arial"/>
                <w:sz w:val="21"/>
              </w:rPr>
            </w:pPr>
          </w:p>
        </w:tc>
      </w:tr>
      <w:tr w14:paraId="43F665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5827AE95">
            <w:pPr>
              <w:pStyle w:val="6"/>
              <w:spacing w:before="152" w:line="228" w:lineRule="auto"/>
              <w:ind w:left="118"/>
            </w:pPr>
            <w:r>
              <w:rPr>
                <w:spacing w:val="7"/>
              </w:rPr>
              <w:t>2．总资产报酬率</w:t>
            </w:r>
          </w:p>
        </w:tc>
        <w:tc>
          <w:tcPr>
            <w:tcW w:w="814" w:type="dxa"/>
            <w:vAlign w:val="top"/>
          </w:tcPr>
          <w:p w14:paraId="48263A01">
            <w:pPr>
              <w:spacing w:before="215" w:line="195" w:lineRule="auto"/>
              <w:ind w:left="329"/>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1538" w:type="dxa"/>
            <w:vAlign w:val="top"/>
          </w:tcPr>
          <w:p w14:paraId="1EC76B84">
            <w:pPr>
              <w:rPr>
                <w:rFonts w:ascii="Arial"/>
                <w:sz w:val="21"/>
              </w:rPr>
            </w:pPr>
          </w:p>
        </w:tc>
        <w:tc>
          <w:tcPr>
            <w:tcW w:w="1538" w:type="dxa"/>
            <w:vAlign w:val="top"/>
          </w:tcPr>
          <w:p w14:paraId="2C7D1B21">
            <w:pPr>
              <w:rPr>
                <w:rFonts w:ascii="Arial"/>
                <w:sz w:val="21"/>
              </w:rPr>
            </w:pPr>
          </w:p>
        </w:tc>
        <w:tc>
          <w:tcPr>
            <w:tcW w:w="1538" w:type="dxa"/>
            <w:vAlign w:val="top"/>
          </w:tcPr>
          <w:p w14:paraId="5BC163CF">
            <w:pPr>
              <w:rPr>
                <w:rFonts w:ascii="Arial"/>
                <w:sz w:val="21"/>
              </w:rPr>
            </w:pPr>
          </w:p>
        </w:tc>
        <w:tc>
          <w:tcPr>
            <w:tcW w:w="1543" w:type="dxa"/>
            <w:vAlign w:val="top"/>
          </w:tcPr>
          <w:p w14:paraId="6336151F">
            <w:pPr>
              <w:rPr>
                <w:rFonts w:ascii="Arial"/>
                <w:sz w:val="21"/>
              </w:rPr>
            </w:pPr>
          </w:p>
        </w:tc>
      </w:tr>
      <w:tr w14:paraId="459962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928" w:type="dxa"/>
            <w:vAlign w:val="top"/>
          </w:tcPr>
          <w:p w14:paraId="681D4E49">
            <w:pPr>
              <w:pStyle w:val="6"/>
              <w:spacing w:before="151" w:line="228" w:lineRule="auto"/>
              <w:ind w:left="119"/>
            </w:pPr>
            <w:r>
              <w:rPr>
                <w:spacing w:val="-1"/>
              </w:rPr>
              <w:t>3．主营业务利润率</w:t>
            </w:r>
          </w:p>
        </w:tc>
        <w:tc>
          <w:tcPr>
            <w:tcW w:w="814" w:type="dxa"/>
            <w:vAlign w:val="top"/>
          </w:tcPr>
          <w:p w14:paraId="6D32356E">
            <w:pPr>
              <w:spacing w:before="213" w:line="195" w:lineRule="auto"/>
              <w:ind w:left="329"/>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1538" w:type="dxa"/>
            <w:vAlign w:val="top"/>
          </w:tcPr>
          <w:p w14:paraId="7239FC1B">
            <w:pPr>
              <w:rPr>
                <w:rFonts w:ascii="Arial"/>
                <w:sz w:val="21"/>
              </w:rPr>
            </w:pPr>
          </w:p>
        </w:tc>
        <w:tc>
          <w:tcPr>
            <w:tcW w:w="1538" w:type="dxa"/>
            <w:vAlign w:val="top"/>
          </w:tcPr>
          <w:p w14:paraId="66AF7A27">
            <w:pPr>
              <w:rPr>
                <w:rFonts w:ascii="Arial"/>
                <w:sz w:val="21"/>
              </w:rPr>
            </w:pPr>
          </w:p>
        </w:tc>
        <w:tc>
          <w:tcPr>
            <w:tcW w:w="1538" w:type="dxa"/>
            <w:vAlign w:val="top"/>
          </w:tcPr>
          <w:p w14:paraId="653CB0F1">
            <w:pPr>
              <w:rPr>
                <w:rFonts w:ascii="Arial"/>
                <w:sz w:val="21"/>
              </w:rPr>
            </w:pPr>
          </w:p>
        </w:tc>
        <w:tc>
          <w:tcPr>
            <w:tcW w:w="1543" w:type="dxa"/>
            <w:vAlign w:val="top"/>
          </w:tcPr>
          <w:p w14:paraId="4BAE8B18">
            <w:pPr>
              <w:pStyle w:val="6"/>
              <w:spacing w:before="249" w:line="136" w:lineRule="exact"/>
              <w:ind w:left="723"/>
            </w:pPr>
            <w:r>
              <w:rPr>
                <w:position w:val="-3"/>
              </w:rPr>
              <w:t>-</w:t>
            </w:r>
          </w:p>
        </w:tc>
      </w:tr>
      <w:tr w14:paraId="7EB2E3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928" w:type="dxa"/>
            <w:vAlign w:val="top"/>
          </w:tcPr>
          <w:p w14:paraId="53D7529D">
            <w:pPr>
              <w:pStyle w:val="6"/>
              <w:spacing w:before="152" w:line="228" w:lineRule="auto"/>
              <w:ind w:left="114"/>
            </w:pPr>
            <w:r>
              <w:rPr>
                <w:spacing w:val="8"/>
              </w:rPr>
              <w:t>4．资产负债率</w:t>
            </w:r>
          </w:p>
        </w:tc>
        <w:tc>
          <w:tcPr>
            <w:tcW w:w="814" w:type="dxa"/>
            <w:vAlign w:val="top"/>
          </w:tcPr>
          <w:p w14:paraId="2E626D01">
            <w:pPr>
              <w:spacing w:before="215" w:line="195" w:lineRule="auto"/>
              <w:ind w:left="329"/>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1538" w:type="dxa"/>
            <w:vAlign w:val="top"/>
          </w:tcPr>
          <w:p w14:paraId="13E79837">
            <w:pPr>
              <w:rPr>
                <w:rFonts w:ascii="Arial"/>
                <w:sz w:val="21"/>
              </w:rPr>
            </w:pPr>
          </w:p>
        </w:tc>
        <w:tc>
          <w:tcPr>
            <w:tcW w:w="1538" w:type="dxa"/>
            <w:vAlign w:val="top"/>
          </w:tcPr>
          <w:p w14:paraId="74653B0E">
            <w:pPr>
              <w:rPr>
                <w:rFonts w:ascii="Arial"/>
                <w:sz w:val="21"/>
              </w:rPr>
            </w:pPr>
          </w:p>
        </w:tc>
        <w:tc>
          <w:tcPr>
            <w:tcW w:w="1538" w:type="dxa"/>
            <w:vAlign w:val="top"/>
          </w:tcPr>
          <w:p w14:paraId="47973BEB">
            <w:pPr>
              <w:rPr>
                <w:rFonts w:ascii="Arial"/>
                <w:sz w:val="21"/>
              </w:rPr>
            </w:pPr>
          </w:p>
        </w:tc>
        <w:tc>
          <w:tcPr>
            <w:tcW w:w="1543" w:type="dxa"/>
            <w:vAlign w:val="top"/>
          </w:tcPr>
          <w:p w14:paraId="3576F8B5">
            <w:pPr>
              <w:rPr>
                <w:rFonts w:ascii="Arial"/>
                <w:sz w:val="21"/>
              </w:rPr>
            </w:pPr>
          </w:p>
        </w:tc>
      </w:tr>
    </w:tbl>
    <w:p w14:paraId="082B164F">
      <w:pPr>
        <w:pStyle w:val="2"/>
        <w:spacing w:before="80" w:line="300" w:lineRule="auto"/>
        <w:ind w:left="957" w:hanging="945"/>
        <w:rPr>
          <w:rFonts w:ascii="宋体" w:hAnsi="宋体" w:eastAsia="宋体" w:cs="宋体"/>
          <w:sz w:val="20"/>
          <w:szCs w:val="20"/>
        </w:rPr>
      </w:pPr>
      <w:r>
        <w:rPr>
          <w:spacing w:val="12"/>
          <w:sz w:val="20"/>
          <w:szCs w:val="20"/>
        </w:rPr>
        <w:t>备注：</w:t>
      </w:r>
      <w:r>
        <w:rPr>
          <w:rFonts w:ascii="宋体" w:hAnsi="宋体" w:eastAsia="宋体" w:cs="宋体"/>
          <w:spacing w:val="12"/>
          <w:sz w:val="20"/>
          <w:szCs w:val="20"/>
        </w:rPr>
        <w:t>1．本表后应附近3年经会计师事务</w:t>
      </w:r>
      <w:r>
        <w:rPr>
          <w:rFonts w:ascii="宋体" w:hAnsi="宋体" w:eastAsia="宋体" w:cs="宋体"/>
          <w:spacing w:val="11"/>
          <w:sz w:val="20"/>
          <w:szCs w:val="20"/>
        </w:rPr>
        <w:t>所或审计机构审计的财务会计报表，包括资产负债表、</w:t>
      </w:r>
      <w:r>
        <w:rPr>
          <w:rFonts w:ascii="宋体" w:hAnsi="宋体" w:eastAsia="宋体" w:cs="宋体"/>
          <w:spacing w:val="12"/>
          <w:sz w:val="20"/>
          <w:szCs w:val="20"/>
        </w:rPr>
        <w:t>现金流量表、利润表和财务情况说明书的扫描件。投标人的成立时</w:t>
      </w:r>
      <w:r>
        <w:rPr>
          <w:rFonts w:ascii="宋体" w:hAnsi="宋体" w:eastAsia="宋体" w:cs="宋体"/>
          <w:spacing w:val="11"/>
          <w:sz w:val="20"/>
          <w:szCs w:val="20"/>
        </w:rPr>
        <w:t>间少于3年的，应提</w:t>
      </w:r>
      <w:r>
        <w:rPr>
          <w:rFonts w:ascii="宋体" w:hAnsi="宋体" w:eastAsia="宋体" w:cs="宋体"/>
          <w:spacing w:val="8"/>
          <w:sz w:val="20"/>
          <w:szCs w:val="20"/>
        </w:rPr>
        <w:t>供成立以来的财务状况表。</w:t>
      </w:r>
    </w:p>
    <w:p w14:paraId="1E41536A">
      <w:pPr>
        <w:spacing w:before="78" w:line="333" w:lineRule="auto"/>
        <w:ind w:left="957" w:right="2" w:firstLine="3"/>
        <w:rPr>
          <w:rFonts w:ascii="宋体" w:hAnsi="宋体" w:eastAsia="宋体" w:cs="宋体"/>
          <w:sz w:val="20"/>
          <w:szCs w:val="20"/>
        </w:rPr>
      </w:pPr>
      <w:r>
        <w:rPr>
          <w:rFonts w:ascii="宋体" w:hAnsi="宋体" w:eastAsia="宋体" w:cs="宋体"/>
          <w:spacing w:val="8"/>
          <w:sz w:val="20"/>
          <w:szCs w:val="20"/>
        </w:rPr>
        <w:t>投标截止日如在</w:t>
      </w:r>
      <w:r>
        <w:rPr>
          <w:rFonts w:ascii="宋体" w:hAnsi="宋体" w:eastAsia="宋体" w:cs="宋体"/>
          <w:spacing w:val="-36"/>
          <w:sz w:val="20"/>
          <w:szCs w:val="20"/>
        </w:rPr>
        <w:t xml:space="preserve"> </w:t>
      </w:r>
      <w:r>
        <w:rPr>
          <w:rFonts w:ascii="Times New Roman" w:hAnsi="Times New Roman" w:eastAsia="Times New Roman" w:cs="Times New Roman"/>
          <w:spacing w:val="8"/>
          <w:sz w:val="20"/>
          <w:szCs w:val="20"/>
        </w:rPr>
        <w:t>6</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月</w:t>
      </w:r>
      <w:r>
        <w:rPr>
          <w:rFonts w:ascii="宋体" w:hAnsi="宋体" w:eastAsia="宋体" w:cs="宋体"/>
          <w:spacing w:val="-34"/>
          <w:sz w:val="20"/>
          <w:szCs w:val="20"/>
        </w:rPr>
        <w:t xml:space="preserve"> </w:t>
      </w:r>
      <w:r>
        <w:rPr>
          <w:rFonts w:ascii="Times New Roman" w:hAnsi="Times New Roman" w:eastAsia="Times New Roman" w:cs="Times New Roman"/>
          <w:spacing w:val="8"/>
          <w:sz w:val="20"/>
          <w:szCs w:val="20"/>
        </w:rPr>
        <w:t>30</w:t>
      </w:r>
      <w:r>
        <w:rPr>
          <w:rFonts w:ascii="Times New Roman" w:hAnsi="Times New Roman" w:eastAsia="Times New Roman" w:cs="Times New Roman"/>
          <w:spacing w:val="48"/>
          <w:sz w:val="20"/>
          <w:szCs w:val="20"/>
        </w:rPr>
        <w:t xml:space="preserve"> </w:t>
      </w:r>
      <w:r>
        <w:rPr>
          <w:rFonts w:ascii="宋体" w:hAnsi="宋体" w:eastAsia="宋体" w:cs="宋体"/>
          <w:spacing w:val="8"/>
          <w:sz w:val="20"/>
          <w:szCs w:val="20"/>
        </w:rPr>
        <w:t>日以前，则近</w:t>
      </w:r>
      <w:r>
        <w:rPr>
          <w:rFonts w:ascii="宋体" w:hAnsi="宋体" w:eastAsia="宋体" w:cs="宋体"/>
          <w:spacing w:val="-37"/>
          <w:sz w:val="20"/>
          <w:szCs w:val="20"/>
        </w:rPr>
        <w:t xml:space="preserve"> </w:t>
      </w:r>
      <w:r>
        <w:rPr>
          <w:rFonts w:ascii="Times New Roman" w:hAnsi="Times New Roman" w:eastAsia="Times New Roman" w:cs="Times New Roman"/>
          <w:spacing w:val="8"/>
          <w:sz w:val="20"/>
          <w:szCs w:val="20"/>
        </w:rPr>
        <w:t>3</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年是指上上个年度往前推</w:t>
      </w:r>
      <w:r>
        <w:rPr>
          <w:rFonts w:ascii="宋体" w:hAnsi="宋体" w:eastAsia="宋体" w:cs="宋体"/>
          <w:spacing w:val="7"/>
          <w:sz w:val="20"/>
          <w:szCs w:val="20"/>
        </w:rPr>
        <w:t>算的</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 xml:space="preserve">3 </w:t>
      </w:r>
      <w:r>
        <w:rPr>
          <w:rFonts w:ascii="宋体" w:hAnsi="宋体" w:eastAsia="宋体" w:cs="宋体"/>
          <w:spacing w:val="7"/>
          <w:sz w:val="20"/>
          <w:szCs w:val="20"/>
        </w:rPr>
        <w:t>年，例如投标</w:t>
      </w:r>
      <w:r>
        <w:rPr>
          <w:rFonts w:ascii="宋体" w:hAnsi="宋体" w:eastAsia="宋体" w:cs="宋体"/>
          <w:spacing w:val="4"/>
          <w:sz w:val="20"/>
          <w:szCs w:val="20"/>
        </w:rPr>
        <w:t>截止日为</w:t>
      </w:r>
      <w:r>
        <w:rPr>
          <w:rFonts w:ascii="宋体" w:hAnsi="宋体" w:eastAsia="宋体" w:cs="宋体"/>
          <w:spacing w:val="-38"/>
          <w:sz w:val="20"/>
          <w:szCs w:val="20"/>
        </w:rPr>
        <w:t xml:space="preserve"> </w:t>
      </w:r>
      <w:r>
        <w:rPr>
          <w:rFonts w:ascii="Times New Roman" w:hAnsi="Times New Roman" w:eastAsia="Times New Roman" w:cs="Times New Roman"/>
          <w:spacing w:val="4"/>
          <w:sz w:val="20"/>
          <w:szCs w:val="20"/>
        </w:rPr>
        <w:t xml:space="preserve">2026 </w:t>
      </w:r>
      <w:r>
        <w:rPr>
          <w:rFonts w:ascii="宋体" w:hAnsi="宋体" w:eastAsia="宋体" w:cs="宋体"/>
          <w:spacing w:val="4"/>
          <w:sz w:val="20"/>
          <w:szCs w:val="20"/>
        </w:rPr>
        <w:t>年</w:t>
      </w:r>
      <w:r>
        <w:rPr>
          <w:rFonts w:ascii="宋体" w:hAnsi="宋体" w:eastAsia="宋体" w:cs="宋体"/>
          <w:spacing w:val="-37"/>
          <w:sz w:val="20"/>
          <w:szCs w:val="20"/>
        </w:rPr>
        <w:t xml:space="preserve"> </w:t>
      </w:r>
      <w:r>
        <w:rPr>
          <w:rFonts w:ascii="Times New Roman" w:hAnsi="Times New Roman" w:eastAsia="Times New Roman" w:cs="Times New Roman"/>
          <w:spacing w:val="4"/>
          <w:sz w:val="20"/>
          <w:szCs w:val="20"/>
        </w:rPr>
        <w:t>5</w:t>
      </w:r>
      <w:r>
        <w:rPr>
          <w:rFonts w:ascii="Times New Roman" w:hAnsi="Times New Roman" w:eastAsia="Times New Roman" w:cs="Times New Roman"/>
          <w:spacing w:val="17"/>
          <w:sz w:val="20"/>
          <w:szCs w:val="20"/>
        </w:rPr>
        <w:t xml:space="preserve"> </w:t>
      </w:r>
      <w:r>
        <w:rPr>
          <w:rFonts w:ascii="宋体" w:hAnsi="宋体" w:eastAsia="宋体" w:cs="宋体"/>
          <w:spacing w:val="4"/>
          <w:sz w:val="20"/>
          <w:szCs w:val="20"/>
        </w:rPr>
        <w:t>月</w:t>
      </w:r>
      <w:r>
        <w:rPr>
          <w:rFonts w:ascii="宋体" w:hAnsi="宋体" w:eastAsia="宋体" w:cs="宋体"/>
          <w:spacing w:val="-39"/>
          <w:sz w:val="20"/>
          <w:szCs w:val="20"/>
        </w:rPr>
        <w:t xml:space="preserve"> </w:t>
      </w:r>
      <w:r>
        <w:rPr>
          <w:rFonts w:ascii="Times New Roman" w:hAnsi="Times New Roman" w:eastAsia="Times New Roman" w:cs="Times New Roman"/>
          <w:spacing w:val="4"/>
          <w:sz w:val="20"/>
          <w:szCs w:val="20"/>
        </w:rPr>
        <w:t xml:space="preserve">30  </w:t>
      </w:r>
      <w:r>
        <w:rPr>
          <w:rFonts w:ascii="宋体" w:hAnsi="宋体" w:eastAsia="宋体" w:cs="宋体"/>
          <w:spacing w:val="4"/>
          <w:sz w:val="20"/>
          <w:szCs w:val="20"/>
        </w:rPr>
        <w:t>日，近</w:t>
      </w:r>
      <w:r>
        <w:rPr>
          <w:rFonts w:ascii="宋体" w:hAnsi="宋体" w:eastAsia="宋体" w:cs="宋体"/>
          <w:spacing w:val="-37"/>
          <w:sz w:val="20"/>
          <w:szCs w:val="20"/>
        </w:rPr>
        <w:t xml:space="preserve"> </w:t>
      </w:r>
      <w:r>
        <w:rPr>
          <w:rFonts w:ascii="Times New Roman" w:hAnsi="Times New Roman" w:eastAsia="Times New Roman" w:cs="Times New Roman"/>
          <w:spacing w:val="4"/>
          <w:sz w:val="20"/>
          <w:szCs w:val="20"/>
        </w:rPr>
        <w:t xml:space="preserve">3 </w:t>
      </w:r>
      <w:r>
        <w:rPr>
          <w:rFonts w:ascii="宋体" w:hAnsi="宋体" w:eastAsia="宋体" w:cs="宋体"/>
          <w:spacing w:val="4"/>
          <w:sz w:val="20"/>
          <w:szCs w:val="20"/>
        </w:rPr>
        <w:t>年是指</w:t>
      </w:r>
      <w:r>
        <w:rPr>
          <w:rFonts w:ascii="宋体" w:hAnsi="宋体" w:eastAsia="宋体" w:cs="宋体"/>
          <w:spacing w:val="-40"/>
          <w:sz w:val="20"/>
          <w:szCs w:val="20"/>
        </w:rPr>
        <w:t xml:space="preserve"> </w:t>
      </w:r>
      <w:r>
        <w:rPr>
          <w:rFonts w:ascii="Times New Roman" w:hAnsi="Times New Roman" w:eastAsia="Times New Roman" w:cs="Times New Roman"/>
          <w:spacing w:val="4"/>
          <w:sz w:val="20"/>
          <w:szCs w:val="20"/>
        </w:rPr>
        <w:t xml:space="preserve">2022 </w:t>
      </w:r>
      <w:r>
        <w:rPr>
          <w:rFonts w:ascii="宋体" w:hAnsi="宋体" w:eastAsia="宋体" w:cs="宋体"/>
          <w:spacing w:val="4"/>
          <w:sz w:val="20"/>
          <w:szCs w:val="20"/>
        </w:rPr>
        <w:t>年度、</w:t>
      </w:r>
      <w:r>
        <w:rPr>
          <w:rFonts w:ascii="Times New Roman" w:hAnsi="Times New Roman" w:eastAsia="Times New Roman" w:cs="Times New Roman"/>
          <w:spacing w:val="4"/>
          <w:sz w:val="20"/>
          <w:szCs w:val="20"/>
        </w:rPr>
        <w:t xml:space="preserve">2023 </w:t>
      </w:r>
      <w:r>
        <w:rPr>
          <w:rFonts w:ascii="宋体" w:hAnsi="宋体" w:eastAsia="宋体" w:cs="宋体"/>
          <w:spacing w:val="4"/>
          <w:sz w:val="20"/>
          <w:szCs w:val="20"/>
        </w:rPr>
        <w:t>年度、</w:t>
      </w:r>
      <w:r>
        <w:rPr>
          <w:rFonts w:ascii="Times New Roman" w:hAnsi="Times New Roman" w:eastAsia="Times New Roman" w:cs="Times New Roman"/>
          <w:spacing w:val="4"/>
          <w:sz w:val="20"/>
          <w:szCs w:val="20"/>
        </w:rPr>
        <w:t xml:space="preserve">2024 </w:t>
      </w:r>
      <w:r>
        <w:rPr>
          <w:rFonts w:ascii="宋体" w:hAnsi="宋体" w:eastAsia="宋体" w:cs="宋体"/>
          <w:spacing w:val="4"/>
          <w:sz w:val="20"/>
          <w:szCs w:val="20"/>
        </w:rPr>
        <w:t>年度。</w:t>
      </w:r>
    </w:p>
    <w:p w14:paraId="480AE4FC">
      <w:pPr>
        <w:spacing w:line="299" w:lineRule="auto"/>
        <w:ind w:left="960" w:right="2"/>
        <w:rPr>
          <w:rFonts w:ascii="宋体" w:hAnsi="宋体" w:eastAsia="宋体" w:cs="宋体"/>
          <w:sz w:val="20"/>
          <w:szCs w:val="20"/>
        </w:rPr>
      </w:pPr>
      <w:r>
        <w:rPr>
          <w:rFonts w:ascii="宋体" w:hAnsi="宋体" w:eastAsia="宋体" w:cs="宋体"/>
          <w:spacing w:val="11"/>
          <w:sz w:val="20"/>
          <w:szCs w:val="20"/>
        </w:rPr>
        <w:t>投标截止日如在</w:t>
      </w:r>
      <w:r>
        <w:rPr>
          <w:rFonts w:ascii="Times New Roman" w:hAnsi="Times New Roman" w:eastAsia="Times New Roman" w:cs="Times New Roman"/>
          <w:spacing w:val="11"/>
          <w:sz w:val="20"/>
          <w:szCs w:val="20"/>
        </w:rPr>
        <w:t>6</w:t>
      </w:r>
      <w:r>
        <w:rPr>
          <w:rFonts w:ascii="宋体" w:hAnsi="宋体" w:eastAsia="宋体" w:cs="宋体"/>
          <w:spacing w:val="11"/>
          <w:sz w:val="20"/>
          <w:szCs w:val="20"/>
        </w:rPr>
        <w:t>月</w:t>
      </w:r>
      <w:r>
        <w:rPr>
          <w:rFonts w:ascii="Times New Roman" w:hAnsi="Times New Roman" w:eastAsia="Times New Roman" w:cs="Times New Roman"/>
          <w:spacing w:val="11"/>
          <w:sz w:val="20"/>
          <w:szCs w:val="20"/>
        </w:rPr>
        <w:t>30</w:t>
      </w:r>
      <w:r>
        <w:rPr>
          <w:rFonts w:ascii="宋体" w:hAnsi="宋体" w:eastAsia="宋体" w:cs="宋体"/>
          <w:spacing w:val="11"/>
          <w:sz w:val="20"/>
          <w:szCs w:val="20"/>
        </w:rPr>
        <w:t>日以后，则近</w:t>
      </w:r>
      <w:r>
        <w:rPr>
          <w:rFonts w:ascii="Times New Roman" w:hAnsi="Times New Roman" w:eastAsia="Times New Roman" w:cs="Times New Roman"/>
          <w:spacing w:val="11"/>
          <w:sz w:val="20"/>
          <w:szCs w:val="20"/>
        </w:rPr>
        <w:t>3</w:t>
      </w:r>
      <w:r>
        <w:rPr>
          <w:rFonts w:ascii="宋体" w:hAnsi="宋体" w:eastAsia="宋体" w:cs="宋体"/>
          <w:spacing w:val="11"/>
          <w:sz w:val="20"/>
          <w:szCs w:val="20"/>
        </w:rPr>
        <w:t>年是指上个年度往前推算的</w:t>
      </w:r>
      <w:r>
        <w:rPr>
          <w:rFonts w:ascii="Times New Roman" w:hAnsi="Times New Roman" w:eastAsia="Times New Roman" w:cs="Times New Roman"/>
          <w:spacing w:val="11"/>
          <w:sz w:val="20"/>
          <w:szCs w:val="20"/>
        </w:rPr>
        <w:t>3</w:t>
      </w:r>
      <w:r>
        <w:rPr>
          <w:rFonts w:ascii="宋体" w:hAnsi="宋体" w:eastAsia="宋体" w:cs="宋体"/>
          <w:spacing w:val="11"/>
          <w:sz w:val="20"/>
          <w:szCs w:val="20"/>
        </w:rPr>
        <w:t>年，例如投标截止日</w:t>
      </w:r>
      <w:r>
        <w:rPr>
          <w:rFonts w:ascii="宋体" w:hAnsi="宋体" w:eastAsia="宋体" w:cs="宋体"/>
          <w:spacing w:val="5"/>
          <w:sz w:val="20"/>
          <w:szCs w:val="20"/>
        </w:rPr>
        <w:t>为</w:t>
      </w:r>
      <w:r>
        <w:rPr>
          <w:rFonts w:ascii="Times New Roman" w:hAnsi="Times New Roman" w:eastAsia="Times New Roman" w:cs="Times New Roman"/>
          <w:spacing w:val="5"/>
          <w:sz w:val="20"/>
          <w:szCs w:val="20"/>
        </w:rPr>
        <w:t>2026</w:t>
      </w:r>
      <w:r>
        <w:rPr>
          <w:rFonts w:ascii="宋体" w:hAnsi="宋体" w:eastAsia="宋体" w:cs="宋体"/>
          <w:spacing w:val="5"/>
          <w:sz w:val="20"/>
          <w:szCs w:val="20"/>
        </w:rPr>
        <w:t>年</w:t>
      </w:r>
      <w:r>
        <w:rPr>
          <w:rFonts w:ascii="Times New Roman" w:hAnsi="Times New Roman" w:eastAsia="Times New Roman" w:cs="Times New Roman"/>
          <w:spacing w:val="5"/>
          <w:sz w:val="20"/>
          <w:szCs w:val="20"/>
        </w:rPr>
        <w:t>7</w:t>
      </w:r>
      <w:r>
        <w:rPr>
          <w:rFonts w:ascii="宋体" w:hAnsi="宋体" w:eastAsia="宋体" w:cs="宋体"/>
          <w:spacing w:val="5"/>
          <w:sz w:val="20"/>
          <w:szCs w:val="20"/>
        </w:rPr>
        <w:t>月</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日，近</w:t>
      </w:r>
      <w:r>
        <w:rPr>
          <w:rFonts w:ascii="Times New Roman" w:hAnsi="Times New Roman" w:eastAsia="Times New Roman" w:cs="Times New Roman"/>
          <w:spacing w:val="5"/>
          <w:sz w:val="20"/>
          <w:szCs w:val="20"/>
        </w:rPr>
        <w:t>3</w:t>
      </w:r>
      <w:r>
        <w:rPr>
          <w:rFonts w:ascii="宋体" w:hAnsi="宋体" w:eastAsia="宋体" w:cs="宋体"/>
          <w:spacing w:val="5"/>
          <w:sz w:val="20"/>
          <w:szCs w:val="20"/>
        </w:rPr>
        <w:t>年是指</w:t>
      </w:r>
      <w:r>
        <w:rPr>
          <w:rFonts w:ascii="Times New Roman" w:hAnsi="Times New Roman" w:eastAsia="Times New Roman" w:cs="Times New Roman"/>
          <w:spacing w:val="5"/>
          <w:sz w:val="20"/>
          <w:szCs w:val="20"/>
        </w:rPr>
        <w:t>2023</w:t>
      </w:r>
      <w:r>
        <w:rPr>
          <w:rFonts w:ascii="宋体" w:hAnsi="宋体" w:eastAsia="宋体" w:cs="宋体"/>
          <w:spacing w:val="5"/>
          <w:sz w:val="20"/>
          <w:szCs w:val="20"/>
        </w:rPr>
        <w:t>年度、</w:t>
      </w:r>
      <w:r>
        <w:rPr>
          <w:rFonts w:ascii="Times New Roman" w:hAnsi="Times New Roman" w:eastAsia="Times New Roman" w:cs="Times New Roman"/>
          <w:spacing w:val="5"/>
          <w:sz w:val="20"/>
          <w:szCs w:val="20"/>
        </w:rPr>
        <w:t>2024</w:t>
      </w:r>
      <w:r>
        <w:rPr>
          <w:rFonts w:ascii="宋体" w:hAnsi="宋体" w:eastAsia="宋体" w:cs="宋体"/>
          <w:spacing w:val="5"/>
          <w:sz w:val="20"/>
          <w:szCs w:val="20"/>
        </w:rPr>
        <w:t>年度、</w:t>
      </w:r>
      <w:r>
        <w:rPr>
          <w:rFonts w:ascii="Times New Roman" w:hAnsi="Times New Roman" w:eastAsia="Times New Roman" w:cs="Times New Roman"/>
          <w:spacing w:val="5"/>
          <w:sz w:val="20"/>
          <w:szCs w:val="20"/>
        </w:rPr>
        <w:t>2025</w:t>
      </w:r>
      <w:r>
        <w:rPr>
          <w:rFonts w:ascii="宋体" w:hAnsi="宋体" w:eastAsia="宋体" w:cs="宋体"/>
          <w:spacing w:val="5"/>
          <w:sz w:val="20"/>
          <w:szCs w:val="20"/>
        </w:rPr>
        <w:t>年度。</w:t>
      </w:r>
    </w:p>
    <w:p w14:paraId="4086C152">
      <w:pPr>
        <w:spacing w:line="300" w:lineRule="auto"/>
        <w:ind w:left="975" w:right="2" w:hanging="329"/>
        <w:rPr>
          <w:rFonts w:ascii="宋体" w:hAnsi="宋体" w:eastAsia="宋体" w:cs="宋体"/>
          <w:sz w:val="20"/>
          <w:szCs w:val="20"/>
        </w:rPr>
      </w:pPr>
      <w:r>
        <w:rPr>
          <w:rFonts w:ascii="宋体" w:hAnsi="宋体" w:eastAsia="宋体" w:cs="宋体"/>
          <w:spacing w:val="9"/>
          <w:sz w:val="20"/>
          <w:szCs w:val="20"/>
        </w:rPr>
        <w:t>2．本表所列数据必须与本表各附件中的数据相一致。如果有不一致之处，以不利</w:t>
      </w:r>
      <w:r>
        <w:rPr>
          <w:rFonts w:ascii="宋体" w:hAnsi="宋体" w:eastAsia="宋体" w:cs="宋体"/>
          <w:spacing w:val="8"/>
          <w:sz w:val="20"/>
          <w:szCs w:val="20"/>
        </w:rPr>
        <w:t>于投标人</w:t>
      </w:r>
      <w:r>
        <w:rPr>
          <w:rFonts w:ascii="宋体" w:hAnsi="宋体" w:eastAsia="宋体" w:cs="宋体"/>
          <w:spacing w:val="3"/>
          <w:sz w:val="20"/>
          <w:szCs w:val="20"/>
        </w:rPr>
        <w:t>的数据为准。</w:t>
      </w:r>
    </w:p>
    <w:p w14:paraId="16E4A25F">
      <w:pPr>
        <w:spacing w:before="1" w:line="228" w:lineRule="auto"/>
        <w:ind w:left="647"/>
        <w:rPr>
          <w:rFonts w:ascii="宋体" w:hAnsi="宋体" w:eastAsia="宋体" w:cs="宋体"/>
          <w:sz w:val="20"/>
          <w:szCs w:val="20"/>
        </w:rPr>
      </w:pPr>
      <w:r>
        <w:rPr>
          <w:rFonts w:ascii="宋体" w:hAnsi="宋体" w:eastAsia="宋体" w:cs="宋体"/>
          <w:spacing w:val="8"/>
          <w:sz w:val="20"/>
          <w:szCs w:val="20"/>
        </w:rPr>
        <w:t>3．联合体投标的，联合体各成员应分别填写。</w:t>
      </w:r>
    </w:p>
    <w:p w14:paraId="1264073B">
      <w:pPr>
        <w:spacing w:line="228" w:lineRule="auto"/>
        <w:rPr>
          <w:rFonts w:ascii="宋体" w:hAnsi="宋体" w:eastAsia="宋体" w:cs="宋体"/>
          <w:sz w:val="20"/>
          <w:szCs w:val="20"/>
        </w:rPr>
        <w:sectPr>
          <w:footerReference r:id="rId534" w:type="default"/>
          <w:pgSz w:w="11907" w:h="16840"/>
          <w:pgMar w:top="400" w:right="1531" w:bottom="1247" w:left="1469" w:header="0" w:footer="1085" w:gutter="0"/>
          <w:cols w:space="720" w:num="1"/>
        </w:sectPr>
      </w:pPr>
    </w:p>
    <w:p w14:paraId="1F4DACFA">
      <w:pPr>
        <w:spacing w:line="265" w:lineRule="auto"/>
        <w:rPr>
          <w:rFonts w:ascii="Arial"/>
          <w:sz w:val="21"/>
        </w:rPr>
      </w:pPr>
    </w:p>
    <w:p w14:paraId="2E057BCB">
      <w:pPr>
        <w:spacing w:line="266" w:lineRule="auto"/>
        <w:rPr>
          <w:rFonts w:ascii="Arial"/>
          <w:sz w:val="21"/>
        </w:rPr>
      </w:pPr>
    </w:p>
    <w:p w14:paraId="7D412E0C">
      <w:pPr>
        <w:spacing w:line="266" w:lineRule="auto"/>
        <w:rPr>
          <w:rFonts w:ascii="Arial"/>
          <w:sz w:val="21"/>
        </w:rPr>
      </w:pPr>
    </w:p>
    <w:p w14:paraId="509CB82B">
      <w:pPr>
        <w:spacing w:line="266" w:lineRule="auto"/>
        <w:rPr>
          <w:rFonts w:ascii="Arial"/>
          <w:sz w:val="21"/>
        </w:rPr>
      </w:pPr>
    </w:p>
    <w:p w14:paraId="698751B1">
      <w:pPr>
        <w:spacing w:line="266" w:lineRule="auto"/>
        <w:rPr>
          <w:rFonts w:ascii="Arial"/>
          <w:sz w:val="21"/>
        </w:rPr>
      </w:pPr>
    </w:p>
    <w:p w14:paraId="23D7C0DC">
      <w:pPr>
        <w:pStyle w:val="2"/>
        <w:spacing w:before="78" w:line="221" w:lineRule="auto"/>
        <w:ind w:left="2708"/>
        <w:outlineLvl w:val="2"/>
        <w:rPr>
          <w:sz w:val="24"/>
          <w:szCs w:val="24"/>
        </w:rPr>
      </w:pPr>
      <w:bookmarkStart w:id="437" w:name="bookmark416"/>
      <w:bookmarkEnd w:id="437"/>
      <w:r>
        <w:rPr>
          <w:rFonts w:ascii="Times New Roman" w:hAnsi="Times New Roman" w:eastAsia="Times New Roman" w:cs="Times New Roman"/>
          <w:spacing w:val="-1"/>
          <w:sz w:val="24"/>
          <w:szCs w:val="24"/>
        </w:rPr>
        <w:t xml:space="preserve">2-2 </w:t>
      </w:r>
      <w:r>
        <w:rPr>
          <w:spacing w:val="-1"/>
          <w:sz w:val="24"/>
          <w:szCs w:val="24"/>
        </w:rPr>
        <w:t>拟投入的流动资金函（格式）</w:t>
      </w:r>
    </w:p>
    <w:p w14:paraId="5A6E04DC">
      <w:pPr>
        <w:spacing w:line="277" w:lineRule="auto"/>
        <w:rPr>
          <w:rFonts w:ascii="Arial"/>
          <w:sz w:val="21"/>
        </w:rPr>
      </w:pPr>
    </w:p>
    <w:p w14:paraId="1CA8E803">
      <w:pPr>
        <w:spacing w:line="277" w:lineRule="auto"/>
        <w:rPr>
          <w:rFonts w:ascii="Arial"/>
          <w:sz w:val="21"/>
        </w:rPr>
      </w:pPr>
    </w:p>
    <w:p w14:paraId="6E83EB44">
      <w:pPr>
        <w:spacing w:line="278" w:lineRule="auto"/>
        <w:rPr>
          <w:rFonts w:ascii="Arial"/>
          <w:sz w:val="21"/>
        </w:rPr>
      </w:pPr>
    </w:p>
    <w:p w14:paraId="3D8F604C">
      <w:pPr>
        <w:spacing w:line="278" w:lineRule="auto"/>
        <w:rPr>
          <w:rFonts w:ascii="Arial"/>
          <w:sz w:val="21"/>
        </w:rPr>
      </w:pPr>
    </w:p>
    <w:p w14:paraId="363A273C">
      <w:pPr>
        <w:tabs>
          <w:tab w:val="left" w:pos="1680"/>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（招标人名称</w:t>
      </w:r>
      <w:r>
        <w:rPr>
          <w:rFonts w:ascii="宋体" w:hAnsi="宋体" w:eastAsia="宋体" w:cs="宋体"/>
          <w:spacing w:val="-54"/>
          <w:w w:val="99"/>
          <w:sz w:val="20"/>
          <w:szCs w:val="20"/>
        </w:rPr>
        <w:t>）：</w:t>
      </w:r>
    </w:p>
    <w:p w14:paraId="080465C0">
      <w:pPr>
        <w:spacing w:before="152" w:line="369" w:lineRule="auto"/>
        <w:ind w:left="17" w:firstLine="412"/>
        <w:rPr>
          <w:rFonts w:ascii="宋体" w:hAnsi="宋体" w:eastAsia="宋体" w:cs="宋体"/>
          <w:sz w:val="20"/>
          <w:szCs w:val="20"/>
        </w:rPr>
      </w:pPr>
      <w:r>
        <w:rPr>
          <w:rFonts w:ascii="宋体" w:hAnsi="宋体" w:eastAsia="宋体" w:cs="宋体"/>
          <w:spacing w:val="7"/>
          <w:sz w:val="20"/>
          <w:szCs w:val="20"/>
        </w:rPr>
        <w:t>我方拟投入</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（项目名称</w:t>
      </w:r>
      <w:r>
        <w:rPr>
          <w:rFonts w:ascii="宋体" w:hAnsi="宋体" w:eastAsia="宋体" w:cs="宋体"/>
          <w:spacing w:val="-10"/>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10"/>
          <w:sz w:val="20"/>
          <w:szCs w:val="20"/>
        </w:rPr>
        <w:t>（</w:t>
      </w:r>
      <w:r>
        <w:rPr>
          <w:rFonts w:ascii="宋体" w:hAnsi="宋体" w:eastAsia="宋体" w:cs="宋体"/>
          <w:spacing w:val="7"/>
          <w:sz w:val="20"/>
          <w:szCs w:val="20"/>
        </w:rPr>
        <w:t>标</w:t>
      </w:r>
      <w:r>
        <w:rPr>
          <w:rFonts w:ascii="宋体" w:hAnsi="宋体" w:eastAsia="宋体" w:cs="宋体"/>
          <w:spacing w:val="6"/>
          <w:sz w:val="20"/>
          <w:szCs w:val="20"/>
        </w:rPr>
        <w:t>段名称）的流动资金为</w:t>
      </w:r>
      <w:r>
        <w:rPr>
          <w:rFonts w:ascii="宋体" w:hAnsi="宋体" w:eastAsia="宋体" w:cs="宋体"/>
          <w:spacing w:val="-8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6"/>
          <w:sz w:val="20"/>
          <w:szCs w:val="20"/>
        </w:rPr>
        <w:t>万元，资金来源于</w:t>
      </w:r>
      <w:r>
        <w:rPr>
          <w:rFonts w:ascii="宋体" w:hAnsi="宋体" w:eastAsia="宋体" w:cs="宋体"/>
          <w:spacing w:val="-87"/>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61"/>
          <w:sz w:val="20"/>
          <w:szCs w:val="20"/>
        </w:rPr>
        <w:t xml:space="preserve"> </w:t>
      </w:r>
      <w:r>
        <w:rPr>
          <w:rFonts w:ascii="宋体" w:hAnsi="宋体" w:eastAsia="宋体" w:cs="宋体"/>
          <w:spacing w:val="6"/>
          <w:sz w:val="20"/>
          <w:szCs w:val="20"/>
        </w:rPr>
        <w:t>，资金来源证明文件附后。</w:t>
      </w:r>
    </w:p>
    <w:p w14:paraId="4ACD39BA">
      <w:pPr>
        <w:spacing w:line="227" w:lineRule="auto"/>
        <w:ind w:left="430"/>
        <w:rPr>
          <w:rFonts w:ascii="宋体" w:hAnsi="宋体" w:eastAsia="宋体" w:cs="宋体"/>
          <w:sz w:val="20"/>
          <w:szCs w:val="20"/>
        </w:rPr>
      </w:pPr>
      <w:r>
        <w:rPr>
          <w:rFonts w:ascii="宋体" w:hAnsi="宋体" w:eastAsia="宋体" w:cs="宋体"/>
          <w:spacing w:val="8"/>
          <w:sz w:val="20"/>
          <w:szCs w:val="20"/>
        </w:rPr>
        <w:t>我方可使用的银行授信余额和银行存款共计</w:t>
      </w:r>
      <w:r>
        <w:rPr>
          <w:rFonts w:ascii="宋体" w:hAnsi="宋体" w:eastAsia="宋体" w:cs="宋体"/>
          <w:spacing w:val="-92"/>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8"/>
          <w:sz w:val="20"/>
          <w:szCs w:val="20"/>
        </w:rPr>
        <w:t>万元。</w:t>
      </w:r>
    </w:p>
    <w:p w14:paraId="46F625BF">
      <w:pPr>
        <w:spacing w:line="242" w:lineRule="auto"/>
        <w:rPr>
          <w:rFonts w:ascii="Arial"/>
          <w:sz w:val="21"/>
        </w:rPr>
      </w:pPr>
    </w:p>
    <w:p w14:paraId="15FCA20D">
      <w:pPr>
        <w:spacing w:line="243" w:lineRule="auto"/>
        <w:rPr>
          <w:rFonts w:ascii="Arial"/>
          <w:sz w:val="21"/>
        </w:rPr>
      </w:pPr>
    </w:p>
    <w:p w14:paraId="3FCA5163">
      <w:pPr>
        <w:tabs>
          <w:tab w:val="left" w:pos="6825"/>
        </w:tabs>
        <w:spacing w:before="65" w:line="371" w:lineRule="auto"/>
        <w:ind w:left="5774" w:right="365" w:hanging="932"/>
        <w:rPr>
          <w:rFonts w:ascii="宋体" w:hAnsi="宋体" w:eastAsia="宋体" w:cs="宋体"/>
          <w:sz w:val="20"/>
          <w:szCs w:val="20"/>
        </w:rPr>
      </w:pPr>
      <w:r>
        <w:rPr>
          <w:rFonts w:ascii="宋体" w:hAnsi="宋体" w:eastAsia="宋体" w:cs="宋体"/>
          <w:spacing w:val="9"/>
          <w:sz w:val="20"/>
          <w:szCs w:val="20"/>
        </w:rPr>
        <w:t>投标人</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9"/>
          <w:sz w:val="20"/>
          <w:szCs w:val="20"/>
        </w:rPr>
        <w:t>盖单位章）</w:t>
      </w: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2"/>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4E4BB423">
      <w:pPr>
        <w:spacing w:line="243" w:lineRule="auto"/>
        <w:rPr>
          <w:rFonts w:ascii="Arial"/>
          <w:sz w:val="21"/>
        </w:rPr>
      </w:pPr>
    </w:p>
    <w:p w14:paraId="2F4B77FD">
      <w:pPr>
        <w:spacing w:line="243" w:lineRule="auto"/>
        <w:rPr>
          <w:rFonts w:ascii="Arial"/>
          <w:sz w:val="21"/>
        </w:rPr>
      </w:pPr>
    </w:p>
    <w:p w14:paraId="4CC11C7A">
      <w:pPr>
        <w:spacing w:line="243" w:lineRule="auto"/>
        <w:rPr>
          <w:rFonts w:ascii="Arial"/>
          <w:sz w:val="21"/>
        </w:rPr>
      </w:pPr>
    </w:p>
    <w:p w14:paraId="5DF56057">
      <w:pPr>
        <w:spacing w:line="243" w:lineRule="auto"/>
        <w:rPr>
          <w:rFonts w:ascii="Arial"/>
          <w:sz w:val="21"/>
        </w:rPr>
      </w:pPr>
    </w:p>
    <w:p w14:paraId="30738821">
      <w:pPr>
        <w:spacing w:line="243" w:lineRule="auto"/>
        <w:rPr>
          <w:rFonts w:ascii="Arial"/>
          <w:sz w:val="21"/>
        </w:rPr>
      </w:pPr>
    </w:p>
    <w:p w14:paraId="1BC4503A">
      <w:pPr>
        <w:spacing w:line="243" w:lineRule="auto"/>
        <w:rPr>
          <w:rFonts w:ascii="Arial"/>
          <w:sz w:val="21"/>
        </w:rPr>
      </w:pPr>
    </w:p>
    <w:p w14:paraId="0E4A3EEB">
      <w:pPr>
        <w:spacing w:line="243" w:lineRule="auto"/>
        <w:rPr>
          <w:rFonts w:ascii="Arial"/>
          <w:sz w:val="21"/>
        </w:rPr>
      </w:pPr>
    </w:p>
    <w:p w14:paraId="16267DF4">
      <w:pPr>
        <w:spacing w:line="243" w:lineRule="auto"/>
        <w:rPr>
          <w:rFonts w:ascii="Arial"/>
          <w:sz w:val="21"/>
        </w:rPr>
      </w:pPr>
    </w:p>
    <w:p w14:paraId="5C2316E2">
      <w:pPr>
        <w:spacing w:line="243" w:lineRule="auto"/>
        <w:rPr>
          <w:rFonts w:ascii="Arial"/>
          <w:sz w:val="21"/>
        </w:rPr>
      </w:pPr>
    </w:p>
    <w:p w14:paraId="19C211F6">
      <w:pPr>
        <w:spacing w:line="243" w:lineRule="auto"/>
        <w:rPr>
          <w:rFonts w:ascii="Arial"/>
          <w:sz w:val="21"/>
        </w:rPr>
      </w:pPr>
    </w:p>
    <w:p w14:paraId="7FBD54C7">
      <w:pPr>
        <w:spacing w:line="243" w:lineRule="auto"/>
        <w:rPr>
          <w:rFonts w:ascii="Arial"/>
          <w:sz w:val="21"/>
        </w:rPr>
      </w:pPr>
    </w:p>
    <w:p w14:paraId="04D9C219">
      <w:pPr>
        <w:spacing w:line="243" w:lineRule="auto"/>
        <w:rPr>
          <w:rFonts w:ascii="Arial"/>
          <w:sz w:val="21"/>
        </w:rPr>
      </w:pPr>
    </w:p>
    <w:p w14:paraId="3C10881C">
      <w:pPr>
        <w:spacing w:line="243" w:lineRule="auto"/>
        <w:rPr>
          <w:rFonts w:ascii="Arial"/>
          <w:sz w:val="21"/>
        </w:rPr>
      </w:pPr>
    </w:p>
    <w:p w14:paraId="139D8ED0">
      <w:pPr>
        <w:spacing w:line="243" w:lineRule="auto"/>
        <w:rPr>
          <w:rFonts w:ascii="Arial"/>
          <w:sz w:val="21"/>
        </w:rPr>
      </w:pPr>
    </w:p>
    <w:p w14:paraId="569DE035">
      <w:pPr>
        <w:spacing w:line="243" w:lineRule="auto"/>
        <w:rPr>
          <w:rFonts w:ascii="Arial"/>
          <w:sz w:val="21"/>
        </w:rPr>
      </w:pPr>
    </w:p>
    <w:p w14:paraId="73D1906E">
      <w:pPr>
        <w:spacing w:line="243" w:lineRule="auto"/>
        <w:rPr>
          <w:rFonts w:ascii="Arial"/>
          <w:sz w:val="21"/>
        </w:rPr>
      </w:pPr>
    </w:p>
    <w:p w14:paraId="75C54F48">
      <w:pPr>
        <w:spacing w:line="243" w:lineRule="auto"/>
        <w:rPr>
          <w:rFonts w:ascii="Arial"/>
          <w:sz w:val="21"/>
        </w:rPr>
      </w:pPr>
    </w:p>
    <w:p w14:paraId="50A72EE4">
      <w:pPr>
        <w:spacing w:line="244" w:lineRule="auto"/>
        <w:rPr>
          <w:rFonts w:ascii="Arial"/>
          <w:sz w:val="21"/>
        </w:rPr>
      </w:pPr>
    </w:p>
    <w:p w14:paraId="7599FBD4">
      <w:pPr>
        <w:spacing w:line="244" w:lineRule="auto"/>
        <w:rPr>
          <w:rFonts w:ascii="Arial"/>
          <w:sz w:val="21"/>
        </w:rPr>
      </w:pPr>
    </w:p>
    <w:p w14:paraId="450865EF">
      <w:pPr>
        <w:spacing w:line="244" w:lineRule="auto"/>
        <w:rPr>
          <w:rFonts w:ascii="Arial"/>
          <w:sz w:val="21"/>
        </w:rPr>
      </w:pPr>
    </w:p>
    <w:p w14:paraId="12895AD3">
      <w:pPr>
        <w:spacing w:before="66" w:line="251" w:lineRule="auto"/>
        <w:ind w:left="954" w:right="56" w:hanging="943"/>
        <w:rPr>
          <w:rFonts w:ascii="宋体" w:hAnsi="宋体" w:eastAsia="宋体" w:cs="宋体"/>
          <w:sz w:val="20"/>
          <w:szCs w:val="20"/>
        </w:rPr>
      </w:pPr>
      <w:r>
        <w:rPr>
          <w:rFonts w:ascii="宋体" w:hAnsi="宋体" w:eastAsia="宋体" w:cs="宋体"/>
          <w:spacing w:val="9"/>
          <w:sz w:val="20"/>
          <w:szCs w:val="20"/>
        </w:rPr>
        <w:t>备注：1．如招标人为避免投标人中标后因流动资金不足影响工程施工，而要求投标人具有一定的</w:t>
      </w:r>
      <w:r>
        <w:rPr>
          <w:rFonts w:ascii="宋体" w:hAnsi="宋体" w:eastAsia="宋体" w:cs="宋体"/>
          <w:spacing w:val="8"/>
          <w:sz w:val="20"/>
          <w:szCs w:val="20"/>
        </w:rPr>
        <w:t>流动资金的，投标人应当填写此表。</w:t>
      </w:r>
    </w:p>
    <w:p w14:paraId="53FA1337">
      <w:pPr>
        <w:spacing w:before="1" w:line="251" w:lineRule="auto"/>
        <w:ind w:left="957" w:right="56" w:hanging="315"/>
        <w:rPr>
          <w:rFonts w:ascii="宋体" w:hAnsi="宋体" w:eastAsia="宋体" w:cs="宋体"/>
          <w:sz w:val="20"/>
          <w:szCs w:val="20"/>
        </w:rPr>
      </w:pPr>
      <w:r>
        <w:rPr>
          <w:rFonts w:ascii="宋体" w:hAnsi="宋体" w:eastAsia="宋体" w:cs="宋体"/>
          <w:spacing w:val="9"/>
          <w:sz w:val="20"/>
          <w:szCs w:val="20"/>
        </w:rPr>
        <w:t>2．资金来源填写银行存款、银行信贷或其它形式，如银行授信总额度、本年度可</w:t>
      </w:r>
      <w:r>
        <w:rPr>
          <w:rFonts w:ascii="宋体" w:hAnsi="宋体" w:eastAsia="宋体" w:cs="宋体"/>
          <w:spacing w:val="8"/>
          <w:sz w:val="20"/>
          <w:szCs w:val="20"/>
        </w:rPr>
        <w:t>使用的银</w:t>
      </w:r>
      <w:r>
        <w:rPr>
          <w:rFonts w:ascii="宋体" w:hAnsi="宋体" w:eastAsia="宋体" w:cs="宋体"/>
          <w:spacing w:val="6"/>
          <w:sz w:val="20"/>
          <w:szCs w:val="20"/>
        </w:rPr>
        <w:t>行授信余额等。</w:t>
      </w:r>
    </w:p>
    <w:p w14:paraId="2D1C1FBF">
      <w:pPr>
        <w:spacing w:before="2" w:line="253" w:lineRule="auto"/>
        <w:ind w:left="972" w:right="54" w:hanging="328"/>
        <w:rPr>
          <w:rFonts w:ascii="宋体" w:hAnsi="宋体" w:eastAsia="宋体" w:cs="宋体"/>
          <w:sz w:val="20"/>
          <w:szCs w:val="20"/>
        </w:rPr>
      </w:pPr>
      <w:r>
        <w:rPr>
          <w:rFonts w:ascii="宋体" w:hAnsi="宋体" w:eastAsia="宋体" w:cs="宋体"/>
          <w:spacing w:val="9"/>
          <w:sz w:val="20"/>
          <w:szCs w:val="20"/>
        </w:rPr>
        <w:t>3．本表后附相关资金来源证明文件扫描件，银行存款证明、银行信贷证明应采用相</w:t>
      </w:r>
      <w:r>
        <w:rPr>
          <w:rFonts w:ascii="宋体" w:hAnsi="宋体" w:eastAsia="宋体" w:cs="宋体"/>
          <w:spacing w:val="8"/>
          <w:sz w:val="20"/>
          <w:szCs w:val="20"/>
        </w:rPr>
        <w:t>关银行</w:t>
      </w:r>
      <w:r>
        <w:rPr>
          <w:rFonts w:ascii="宋体" w:hAnsi="宋体" w:eastAsia="宋体" w:cs="宋体"/>
          <w:spacing w:val="3"/>
          <w:sz w:val="20"/>
          <w:szCs w:val="20"/>
        </w:rPr>
        <w:t>出具的格式。</w:t>
      </w:r>
    </w:p>
    <w:p w14:paraId="19E7592E">
      <w:pPr>
        <w:spacing w:before="105" w:line="228" w:lineRule="auto"/>
        <w:ind w:left="639"/>
        <w:rPr>
          <w:rFonts w:ascii="宋体" w:hAnsi="宋体" w:eastAsia="宋体" w:cs="宋体"/>
          <w:sz w:val="20"/>
          <w:szCs w:val="20"/>
        </w:rPr>
      </w:pPr>
      <w:r>
        <w:rPr>
          <w:rFonts w:ascii="宋体" w:hAnsi="宋体" w:eastAsia="宋体" w:cs="宋体"/>
          <w:spacing w:val="9"/>
          <w:sz w:val="20"/>
          <w:szCs w:val="20"/>
        </w:rPr>
        <w:t>4．招标人也可根据招标项目具体情况要求说明是否拥有有效期内的银行</w:t>
      </w:r>
      <w:r>
        <w:rPr>
          <w:rFonts w:ascii="宋体" w:hAnsi="宋体" w:eastAsia="宋体" w:cs="宋体"/>
          <w:spacing w:val="-38"/>
          <w:sz w:val="20"/>
          <w:szCs w:val="20"/>
        </w:rPr>
        <w:t xml:space="preserve"> </w:t>
      </w:r>
      <w:r>
        <w:rPr>
          <w:rFonts w:ascii="宋体" w:hAnsi="宋体" w:eastAsia="宋体" w:cs="宋体"/>
          <w:sz w:val="20"/>
          <w:szCs w:val="20"/>
        </w:rPr>
        <w:t>AAA</w:t>
      </w:r>
      <w:r>
        <w:rPr>
          <w:rFonts w:ascii="宋体" w:hAnsi="宋体" w:eastAsia="宋体" w:cs="宋体"/>
          <w:spacing w:val="-32"/>
          <w:sz w:val="20"/>
          <w:szCs w:val="20"/>
        </w:rPr>
        <w:t xml:space="preserve"> </w:t>
      </w:r>
      <w:r>
        <w:rPr>
          <w:rFonts w:ascii="宋体" w:hAnsi="宋体" w:eastAsia="宋体" w:cs="宋体"/>
          <w:spacing w:val="9"/>
          <w:sz w:val="20"/>
          <w:szCs w:val="20"/>
        </w:rPr>
        <w:t>资信证明。</w:t>
      </w:r>
    </w:p>
    <w:p w14:paraId="3DAEA674">
      <w:pPr>
        <w:spacing w:line="228" w:lineRule="auto"/>
        <w:rPr>
          <w:rFonts w:ascii="宋体" w:hAnsi="宋体" w:eastAsia="宋体" w:cs="宋体"/>
          <w:sz w:val="20"/>
          <w:szCs w:val="20"/>
        </w:rPr>
        <w:sectPr>
          <w:footerReference r:id="rId535" w:type="default"/>
          <w:pgSz w:w="11907" w:h="16840"/>
          <w:pgMar w:top="400" w:right="1477" w:bottom="1247" w:left="1473" w:header="0" w:footer="1085" w:gutter="0"/>
          <w:cols w:space="720" w:num="1"/>
        </w:sectPr>
      </w:pPr>
    </w:p>
    <w:p w14:paraId="703D8905">
      <w:pPr>
        <w:spacing w:line="265" w:lineRule="auto"/>
        <w:rPr>
          <w:rFonts w:ascii="Arial"/>
          <w:sz w:val="21"/>
        </w:rPr>
      </w:pPr>
    </w:p>
    <w:p w14:paraId="59E92715">
      <w:pPr>
        <w:spacing w:line="266" w:lineRule="auto"/>
        <w:rPr>
          <w:rFonts w:ascii="Arial"/>
          <w:sz w:val="21"/>
        </w:rPr>
      </w:pPr>
    </w:p>
    <w:p w14:paraId="2F933491">
      <w:pPr>
        <w:spacing w:line="266" w:lineRule="auto"/>
        <w:rPr>
          <w:rFonts w:ascii="Arial"/>
          <w:sz w:val="21"/>
        </w:rPr>
      </w:pPr>
    </w:p>
    <w:p w14:paraId="5D0DA9B6">
      <w:pPr>
        <w:spacing w:line="266" w:lineRule="auto"/>
        <w:rPr>
          <w:rFonts w:ascii="Arial"/>
          <w:sz w:val="21"/>
        </w:rPr>
      </w:pPr>
    </w:p>
    <w:p w14:paraId="1134691E">
      <w:pPr>
        <w:spacing w:line="266" w:lineRule="auto"/>
        <w:rPr>
          <w:rFonts w:ascii="Arial"/>
          <w:sz w:val="21"/>
        </w:rPr>
      </w:pPr>
    </w:p>
    <w:p w14:paraId="40527E6A">
      <w:pPr>
        <w:pStyle w:val="2"/>
        <w:spacing w:before="78" w:line="221" w:lineRule="auto"/>
        <w:ind w:left="2506"/>
        <w:outlineLvl w:val="2"/>
        <w:rPr>
          <w:sz w:val="24"/>
          <w:szCs w:val="24"/>
        </w:rPr>
      </w:pPr>
      <w:bookmarkStart w:id="438" w:name="bookmark417"/>
      <w:bookmarkEnd w:id="438"/>
      <w:bookmarkStart w:id="439" w:name="bookmark418"/>
      <w:bookmarkEnd w:id="439"/>
      <w:r>
        <w:rPr>
          <w:spacing w:val="-3"/>
          <w:sz w:val="24"/>
          <w:szCs w:val="24"/>
        </w:rPr>
        <w:t>（三）近</w:t>
      </w:r>
      <w:r>
        <w:rPr>
          <w:spacing w:val="-44"/>
          <w:sz w:val="24"/>
          <w:szCs w:val="24"/>
        </w:rPr>
        <w:t xml:space="preserve"> </w:t>
      </w:r>
      <w:r>
        <w:rPr>
          <w:rFonts w:ascii="Times New Roman" w:hAnsi="Times New Roman" w:eastAsia="Times New Roman" w:cs="Times New Roman"/>
          <w:spacing w:val="-3"/>
          <w:sz w:val="24"/>
          <w:szCs w:val="24"/>
        </w:rPr>
        <w:t xml:space="preserve">5 </w:t>
      </w:r>
      <w:r>
        <w:rPr>
          <w:spacing w:val="-3"/>
          <w:sz w:val="24"/>
          <w:szCs w:val="24"/>
        </w:rPr>
        <w:t>年完成的类似项目情况</w:t>
      </w:r>
    </w:p>
    <w:p w14:paraId="63C3174E">
      <w:pPr>
        <w:spacing w:line="471" w:lineRule="auto"/>
        <w:rPr>
          <w:rFonts w:ascii="Arial"/>
          <w:sz w:val="21"/>
        </w:rPr>
      </w:pPr>
    </w:p>
    <w:p w14:paraId="62BA4077">
      <w:pPr>
        <w:pStyle w:val="2"/>
        <w:spacing w:before="78" w:line="221" w:lineRule="auto"/>
        <w:ind w:left="2536"/>
        <w:outlineLvl w:val="2"/>
        <w:rPr>
          <w:sz w:val="24"/>
          <w:szCs w:val="24"/>
        </w:rPr>
      </w:pPr>
      <w:bookmarkStart w:id="440" w:name="bookmark474"/>
      <w:bookmarkEnd w:id="440"/>
      <w:r>
        <w:rPr>
          <w:rFonts w:ascii="Times New Roman" w:hAnsi="Times New Roman" w:eastAsia="Times New Roman" w:cs="Times New Roman"/>
          <w:spacing w:val="-3"/>
          <w:sz w:val="24"/>
          <w:szCs w:val="24"/>
        </w:rPr>
        <w:t>3-</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 xml:space="preserve">1 </w:t>
      </w:r>
      <w:r>
        <w:rPr>
          <w:spacing w:val="-3"/>
          <w:sz w:val="24"/>
          <w:szCs w:val="24"/>
        </w:rPr>
        <w:t>近</w:t>
      </w:r>
      <w:r>
        <w:rPr>
          <w:spacing w:val="-48"/>
          <w:sz w:val="24"/>
          <w:szCs w:val="24"/>
        </w:rPr>
        <w:t xml:space="preserve"> </w:t>
      </w:r>
      <w:r>
        <w:rPr>
          <w:rFonts w:ascii="Times New Roman" w:hAnsi="Times New Roman" w:eastAsia="Times New Roman" w:cs="Times New Roman"/>
          <w:spacing w:val="-3"/>
          <w:sz w:val="24"/>
          <w:szCs w:val="24"/>
        </w:rPr>
        <w:t xml:space="preserve">5 </w:t>
      </w:r>
      <w:r>
        <w:rPr>
          <w:spacing w:val="-3"/>
          <w:sz w:val="24"/>
          <w:szCs w:val="24"/>
        </w:rPr>
        <w:t>年完成的类似项目汇总表</w:t>
      </w:r>
    </w:p>
    <w:p w14:paraId="216029EE">
      <w:pPr>
        <w:spacing w:before="196"/>
      </w:pPr>
    </w:p>
    <w:tbl>
      <w:tblPr>
        <w:tblStyle w:val="5"/>
        <w:tblW w:w="88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5"/>
        <w:gridCol w:w="1845"/>
        <w:gridCol w:w="1393"/>
        <w:gridCol w:w="1079"/>
        <w:gridCol w:w="1111"/>
        <w:gridCol w:w="1777"/>
        <w:gridCol w:w="1084"/>
      </w:tblGrid>
      <w:tr w14:paraId="48345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545" w:type="dxa"/>
            <w:textDirection w:val="tbRlV"/>
            <w:vAlign w:val="top"/>
          </w:tcPr>
          <w:p w14:paraId="4D736DE8">
            <w:pPr>
              <w:pStyle w:val="6"/>
              <w:spacing w:before="165" w:line="218" w:lineRule="auto"/>
              <w:ind w:left="165"/>
            </w:pPr>
            <w:r>
              <w:rPr>
                <w:spacing w:val="8"/>
              </w:rPr>
              <w:t>序</w:t>
            </w:r>
            <w:r>
              <w:rPr>
                <w:spacing w:val="90"/>
              </w:rPr>
              <w:t xml:space="preserve"> </w:t>
            </w:r>
            <w:r>
              <w:rPr>
                <w:spacing w:val="8"/>
              </w:rPr>
              <w:t>号</w:t>
            </w:r>
          </w:p>
        </w:tc>
        <w:tc>
          <w:tcPr>
            <w:tcW w:w="1845" w:type="dxa"/>
            <w:vAlign w:val="top"/>
          </w:tcPr>
          <w:p w14:paraId="445D9ED1">
            <w:pPr>
              <w:pStyle w:val="6"/>
              <w:spacing w:before="165" w:line="228" w:lineRule="auto"/>
              <w:ind w:left="509"/>
            </w:pPr>
            <w:r>
              <w:rPr>
                <w:spacing w:val="6"/>
              </w:rPr>
              <w:t>项目名称</w:t>
            </w:r>
          </w:p>
        </w:tc>
        <w:tc>
          <w:tcPr>
            <w:tcW w:w="1393" w:type="dxa"/>
            <w:vAlign w:val="top"/>
          </w:tcPr>
          <w:p w14:paraId="70FB28AE">
            <w:pPr>
              <w:pStyle w:val="6"/>
              <w:spacing w:before="165" w:line="228" w:lineRule="auto"/>
              <w:ind w:left="179"/>
            </w:pPr>
            <w:r>
              <w:rPr>
                <w:spacing w:val="7"/>
              </w:rPr>
              <w:t>发包人名称</w:t>
            </w:r>
          </w:p>
        </w:tc>
        <w:tc>
          <w:tcPr>
            <w:tcW w:w="1079" w:type="dxa"/>
            <w:vAlign w:val="top"/>
          </w:tcPr>
          <w:p w14:paraId="2D8E4AA4">
            <w:pPr>
              <w:pStyle w:val="6"/>
              <w:spacing w:before="164" w:line="228" w:lineRule="auto"/>
              <w:ind w:left="127"/>
            </w:pPr>
            <w:r>
              <w:rPr>
                <w:spacing w:val="6"/>
              </w:rPr>
              <w:t>工程规模</w:t>
            </w:r>
          </w:p>
        </w:tc>
        <w:tc>
          <w:tcPr>
            <w:tcW w:w="1111" w:type="dxa"/>
            <w:vAlign w:val="top"/>
          </w:tcPr>
          <w:p w14:paraId="43813BF1">
            <w:pPr>
              <w:pStyle w:val="6"/>
              <w:spacing w:before="165" w:line="226" w:lineRule="auto"/>
              <w:ind w:left="143"/>
            </w:pPr>
            <w:r>
              <w:rPr>
                <w:spacing w:val="7"/>
              </w:rPr>
              <w:t>合同价格</w:t>
            </w:r>
          </w:p>
          <w:p w14:paraId="15FA0F58">
            <w:pPr>
              <w:pStyle w:val="6"/>
              <w:spacing w:before="153" w:line="217" w:lineRule="auto"/>
              <w:ind w:left="99"/>
            </w:pPr>
            <w:r>
              <w:rPr>
                <w:spacing w:val="2"/>
              </w:rPr>
              <w:t>（万元）</w:t>
            </w:r>
          </w:p>
        </w:tc>
        <w:tc>
          <w:tcPr>
            <w:tcW w:w="1777" w:type="dxa"/>
            <w:vAlign w:val="top"/>
          </w:tcPr>
          <w:p w14:paraId="49F71D52">
            <w:pPr>
              <w:pStyle w:val="6"/>
              <w:spacing w:before="164" w:line="228" w:lineRule="auto"/>
              <w:ind w:left="265"/>
            </w:pPr>
            <w:r>
              <w:rPr>
                <w:spacing w:val="8"/>
              </w:rPr>
              <w:t>开、竣工日期</w:t>
            </w:r>
          </w:p>
        </w:tc>
        <w:tc>
          <w:tcPr>
            <w:tcW w:w="1084" w:type="dxa"/>
            <w:vAlign w:val="top"/>
          </w:tcPr>
          <w:p w14:paraId="65EA48BF">
            <w:pPr>
              <w:pStyle w:val="6"/>
              <w:spacing w:before="165" w:line="228" w:lineRule="auto"/>
              <w:ind w:left="130"/>
            </w:pPr>
            <w:r>
              <w:rPr>
                <w:spacing w:val="6"/>
              </w:rPr>
              <w:t>项目经理</w:t>
            </w:r>
          </w:p>
        </w:tc>
      </w:tr>
      <w:tr w14:paraId="705651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1CFB4D37">
            <w:pPr>
              <w:rPr>
                <w:rFonts w:ascii="Arial"/>
                <w:sz w:val="21"/>
              </w:rPr>
            </w:pPr>
          </w:p>
        </w:tc>
        <w:tc>
          <w:tcPr>
            <w:tcW w:w="1845" w:type="dxa"/>
            <w:vAlign w:val="top"/>
          </w:tcPr>
          <w:p w14:paraId="464201A2">
            <w:pPr>
              <w:rPr>
                <w:rFonts w:ascii="Arial"/>
                <w:sz w:val="21"/>
              </w:rPr>
            </w:pPr>
          </w:p>
        </w:tc>
        <w:tc>
          <w:tcPr>
            <w:tcW w:w="1393" w:type="dxa"/>
            <w:vAlign w:val="top"/>
          </w:tcPr>
          <w:p w14:paraId="6B177C60">
            <w:pPr>
              <w:rPr>
                <w:rFonts w:ascii="Arial"/>
                <w:sz w:val="21"/>
              </w:rPr>
            </w:pPr>
          </w:p>
        </w:tc>
        <w:tc>
          <w:tcPr>
            <w:tcW w:w="1079" w:type="dxa"/>
            <w:vAlign w:val="top"/>
          </w:tcPr>
          <w:p w14:paraId="7458ECBF">
            <w:pPr>
              <w:rPr>
                <w:rFonts w:ascii="Arial"/>
                <w:sz w:val="21"/>
              </w:rPr>
            </w:pPr>
          </w:p>
        </w:tc>
        <w:tc>
          <w:tcPr>
            <w:tcW w:w="1111" w:type="dxa"/>
            <w:vAlign w:val="top"/>
          </w:tcPr>
          <w:p w14:paraId="3543A0AE">
            <w:pPr>
              <w:rPr>
                <w:rFonts w:ascii="Arial"/>
                <w:sz w:val="21"/>
              </w:rPr>
            </w:pPr>
          </w:p>
        </w:tc>
        <w:tc>
          <w:tcPr>
            <w:tcW w:w="1777" w:type="dxa"/>
            <w:vAlign w:val="top"/>
          </w:tcPr>
          <w:p w14:paraId="75A189D9">
            <w:pPr>
              <w:rPr>
                <w:rFonts w:ascii="Arial"/>
                <w:sz w:val="21"/>
              </w:rPr>
            </w:pPr>
          </w:p>
        </w:tc>
        <w:tc>
          <w:tcPr>
            <w:tcW w:w="1084" w:type="dxa"/>
            <w:vAlign w:val="top"/>
          </w:tcPr>
          <w:p w14:paraId="2013E4CB">
            <w:pPr>
              <w:rPr>
                <w:rFonts w:ascii="Arial"/>
                <w:sz w:val="21"/>
              </w:rPr>
            </w:pPr>
          </w:p>
        </w:tc>
      </w:tr>
      <w:tr w14:paraId="0391A3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1B7F6E09">
            <w:pPr>
              <w:rPr>
                <w:rFonts w:ascii="Arial"/>
                <w:sz w:val="21"/>
              </w:rPr>
            </w:pPr>
          </w:p>
        </w:tc>
        <w:tc>
          <w:tcPr>
            <w:tcW w:w="1845" w:type="dxa"/>
            <w:vAlign w:val="top"/>
          </w:tcPr>
          <w:p w14:paraId="713A29AB">
            <w:pPr>
              <w:rPr>
                <w:rFonts w:ascii="Arial"/>
                <w:sz w:val="21"/>
              </w:rPr>
            </w:pPr>
          </w:p>
        </w:tc>
        <w:tc>
          <w:tcPr>
            <w:tcW w:w="1393" w:type="dxa"/>
            <w:vAlign w:val="top"/>
          </w:tcPr>
          <w:p w14:paraId="1A6E5742">
            <w:pPr>
              <w:rPr>
                <w:rFonts w:ascii="Arial"/>
                <w:sz w:val="21"/>
              </w:rPr>
            </w:pPr>
          </w:p>
        </w:tc>
        <w:tc>
          <w:tcPr>
            <w:tcW w:w="1079" w:type="dxa"/>
            <w:vAlign w:val="top"/>
          </w:tcPr>
          <w:p w14:paraId="5D38482C">
            <w:pPr>
              <w:rPr>
                <w:rFonts w:ascii="Arial"/>
                <w:sz w:val="21"/>
              </w:rPr>
            </w:pPr>
          </w:p>
        </w:tc>
        <w:tc>
          <w:tcPr>
            <w:tcW w:w="1111" w:type="dxa"/>
            <w:vAlign w:val="top"/>
          </w:tcPr>
          <w:p w14:paraId="4BD6A494">
            <w:pPr>
              <w:rPr>
                <w:rFonts w:ascii="Arial"/>
                <w:sz w:val="21"/>
              </w:rPr>
            </w:pPr>
          </w:p>
        </w:tc>
        <w:tc>
          <w:tcPr>
            <w:tcW w:w="1777" w:type="dxa"/>
            <w:vAlign w:val="top"/>
          </w:tcPr>
          <w:p w14:paraId="1F4B743A">
            <w:pPr>
              <w:rPr>
                <w:rFonts w:ascii="Arial"/>
                <w:sz w:val="21"/>
              </w:rPr>
            </w:pPr>
          </w:p>
        </w:tc>
        <w:tc>
          <w:tcPr>
            <w:tcW w:w="1084" w:type="dxa"/>
            <w:vAlign w:val="top"/>
          </w:tcPr>
          <w:p w14:paraId="06E75D33">
            <w:pPr>
              <w:rPr>
                <w:rFonts w:ascii="Arial"/>
                <w:sz w:val="21"/>
              </w:rPr>
            </w:pPr>
          </w:p>
        </w:tc>
      </w:tr>
      <w:tr w14:paraId="0BCE5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5ED33D81">
            <w:pPr>
              <w:rPr>
                <w:rFonts w:ascii="Arial"/>
                <w:sz w:val="21"/>
              </w:rPr>
            </w:pPr>
          </w:p>
        </w:tc>
        <w:tc>
          <w:tcPr>
            <w:tcW w:w="1845" w:type="dxa"/>
            <w:vAlign w:val="top"/>
          </w:tcPr>
          <w:p w14:paraId="72DD2921">
            <w:pPr>
              <w:rPr>
                <w:rFonts w:ascii="Arial"/>
                <w:sz w:val="21"/>
              </w:rPr>
            </w:pPr>
          </w:p>
        </w:tc>
        <w:tc>
          <w:tcPr>
            <w:tcW w:w="1393" w:type="dxa"/>
            <w:vAlign w:val="top"/>
          </w:tcPr>
          <w:p w14:paraId="2581940D">
            <w:pPr>
              <w:rPr>
                <w:rFonts w:ascii="Arial"/>
                <w:sz w:val="21"/>
              </w:rPr>
            </w:pPr>
          </w:p>
        </w:tc>
        <w:tc>
          <w:tcPr>
            <w:tcW w:w="1079" w:type="dxa"/>
            <w:vAlign w:val="top"/>
          </w:tcPr>
          <w:p w14:paraId="600D5D01">
            <w:pPr>
              <w:rPr>
                <w:rFonts w:ascii="Arial"/>
                <w:sz w:val="21"/>
              </w:rPr>
            </w:pPr>
          </w:p>
        </w:tc>
        <w:tc>
          <w:tcPr>
            <w:tcW w:w="1111" w:type="dxa"/>
            <w:vAlign w:val="top"/>
          </w:tcPr>
          <w:p w14:paraId="2E38B7A1">
            <w:pPr>
              <w:rPr>
                <w:rFonts w:ascii="Arial"/>
                <w:sz w:val="21"/>
              </w:rPr>
            </w:pPr>
          </w:p>
        </w:tc>
        <w:tc>
          <w:tcPr>
            <w:tcW w:w="1777" w:type="dxa"/>
            <w:vAlign w:val="top"/>
          </w:tcPr>
          <w:p w14:paraId="60D54C49">
            <w:pPr>
              <w:rPr>
                <w:rFonts w:ascii="Arial"/>
                <w:sz w:val="21"/>
              </w:rPr>
            </w:pPr>
          </w:p>
        </w:tc>
        <w:tc>
          <w:tcPr>
            <w:tcW w:w="1084" w:type="dxa"/>
            <w:vAlign w:val="top"/>
          </w:tcPr>
          <w:p w14:paraId="56EC28D7">
            <w:pPr>
              <w:rPr>
                <w:rFonts w:ascii="Arial"/>
                <w:sz w:val="21"/>
              </w:rPr>
            </w:pPr>
          </w:p>
        </w:tc>
      </w:tr>
      <w:tr w14:paraId="5919FC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49A93BE8">
            <w:pPr>
              <w:rPr>
                <w:rFonts w:ascii="Arial"/>
                <w:sz w:val="21"/>
              </w:rPr>
            </w:pPr>
          </w:p>
        </w:tc>
        <w:tc>
          <w:tcPr>
            <w:tcW w:w="1845" w:type="dxa"/>
            <w:vAlign w:val="top"/>
          </w:tcPr>
          <w:p w14:paraId="731C2C46">
            <w:pPr>
              <w:rPr>
                <w:rFonts w:ascii="Arial"/>
                <w:sz w:val="21"/>
              </w:rPr>
            </w:pPr>
          </w:p>
        </w:tc>
        <w:tc>
          <w:tcPr>
            <w:tcW w:w="1393" w:type="dxa"/>
            <w:vAlign w:val="top"/>
          </w:tcPr>
          <w:p w14:paraId="3A782C37">
            <w:pPr>
              <w:rPr>
                <w:rFonts w:ascii="Arial"/>
                <w:sz w:val="21"/>
              </w:rPr>
            </w:pPr>
          </w:p>
        </w:tc>
        <w:tc>
          <w:tcPr>
            <w:tcW w:w="1079" w:type="dxa"/>
            <w:vAlign w:val="top"/>
          </w:tcPr>
          <w:p w14:paraId="4D9D7857">
            <w:pPr>
              <w:rPr>
                <w:rFonts w:ascii="Arial"/>
                <w:sz w:val="21"/>
              </w:rPr>
            </w:pPr>
          </w:p>
        </w:tc>
        <w:tc>
          <w:tcPr>
            <w:tcW w:w="1111" w:type="dxa"/>
            <w:vAlign w:val="top"/>
          </w:tcPr>
          <w:p w14:paraId="53E07E03">
            <w:pPr>
              <w:rPr>
                <w:rFonts w:ascii="Arial"/>
                <w:sz w:val="21"/>
              </w:rPr>
            </w:pPr>
          </w:p>
        </w:tc>
        <w:tc>
          <w:tcPr>
            <w:tcW w:w="1777" w:type="dxa"/>
            <w:vAlign w:val="top"/>
          </w:tcPr>
          <w:p w14:paraId="1DEAE244">
            <w:pPr>
              <w:rPr>
                <w:rFonts w:ascii="Arial"/>
                <w:sz w:val="21"/>
              </w:rPr>
            </w:pPr>
          </w:p>
        </w:tc>
        <w:tc>
          <w:tcPr>
            <w:tcW w:w="1084" w:type="dxa"/>
            <w:vAlign w:val="top"/>
          </w:tcPr>
          <w:p w14:paraId="2AED8B26">
            <w:pPr>
              <w:rPr>
                <w:rFonts w:ascii="Arial"/>
                <w:sz w:val="21"/>
              </w:rPr>
            </w:pPr>
          </w:p>
        </w:tc>
      </w:tr>
      <w:tr w14:paraId="4036E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4EB3456F">
            <w:pPr>
              <w:rPr>
                <w:rFonts w:ascii="Arial"/>
                <w:sz w:val="21"/>
              </w:rPr>
            </w:pPr>
          </w:p>
        </w:tc>
        <w:tc>
          <w:tcPr>
            <w:tcW w:w="1845" w:type="dxa"/>
            <w:vAlign w:val="top"/>
          </w:tcPr>
          <w:p w14:paraId="15339C82">
            <w:pPr>
              <w:rPr>
                <w:rFonts w:ascii="Arial"/>
                <w:sz w:val="21"/>
              </w:rPr>
            </w:pPr>
          </w:p>
        </w:tc>
        <w:tc>
          <w:tcPr>
            <w:tcW w:w="1393" w:type="dxa"/>
            <w:vAlign w:val="top"/>
          </w:tcPr>
          <w:p w14:paraId="4003F65A">
            <w:pPr>
              <w:rPr>
                <w:rFonts w:ascii="Arial"/>
                <w:sz w:val="21"/>
              </w:rPr>
            </w:pPr>
          </w:p>
        </w:tc>
        <w:tc>
          <w:tcPr>
            <w:tcW w:w="1079" w:type="dxa"/>
            <w:vAlign w:val="top"/>
          </w:tcPr>
          <w:p w14:paraId="6899A687">
            <w:pPr>
              <w:rPr>
                <w:rFonts w:ascii="Arial"/>
                <w:sz w:val="21"/>
              </w:rPr>
            </w:pPr>
          </w:p>
        </w:tc>
        <w:tc>
          <w:tcPr>
            <w:tcW w:w="1111" w:type="dxa"/>
            <w:vAlign w:val="top"/>
          </w:tcPr>
          <w:p w14:paraId="51222C06">
            <w:pPr>
              <w:rPr>
                <w:rFonts w:ascii="Arial"/>
                <w:sz w:val="21"/>
              </w:rPr>
            </w:pPr>
          </w:p>
        </w:tc>
        <w:tc>
          <w:tcPr>
            <w:tcW w:w="1777" w:type="dxa"/>
            <w:vAlign w:val="top"/>
          </w:tcPr>
          <w:p w14:paraId="39AB36A2">
            <w:pPr>
              <w:rPr>
                <w:rFonts w:ascii="Arial"/>
                <w:sz w:val="21"/>
              </w:rPr>
            </w:pPr>
          </w:p>
        </w:tc>
        <w:tc>
          <w:tcPr>
            <w:tcW w:w="1084" w:type="dxa"/>
            <w:vAlign w:val="top"/>
          </w:tcPr>
          <w:p w14:paraId="17F18888">
            <w:pPr>
              <w:rPr>
                <w:rFonts w:ascii="Arial"/>
                <w:sz w:val="21"/>
              </w:rPr>
            </w:pPr>
          </w:p>
        </w:tc>
      </w:tr>
      <w:tr w14:paraId="74877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147FDCF3">
            <w:pPr>
              <w:rPr>
                <w:rFonts w:ascii="Arial"/>
                <w:sz w:val="21"/>
              </w:rPr>
            </w:pPr>
          </w:p>
        </w:tc>
        <w:tc>
          <w:tcPr>
            <w:tcW w:w="1845" w:type="dxa"/>
            <w:vAlign w:val="top"/>
          </w:tcPr>
          <w:p w14:paraId="56CEAA0C">
            <w:pPr>
              <w:rPr>
                <w:rFonts w:ascii="Arial"/>
                <w:sz w:val="21"/>
              </w:rPr>
            </w:pPr>
          </w:p>
        </w:tc>
        <w:tc>
          <w:tcPr>
            <w:tcW w:w="1393" w:type="dxa"/>
            <w:vAlign w:val="top"/>
          </w:tcPr>
          <w:p w14:paraId="3A1BD493">
            <w:pPr>
              <w:rPr>
                <w:rFonts w:ascii="Arial"/>
                <w:sz w:val="21"/>
              </w:rPr>
            </w:pPr>
          </w:p>
        </w:tc>
        <w:tc>
          <w:tcPr>
            <w:tcW w:w="1079" w:type="dxa"/>
            <w:vAlign w:val="top"/>
          </w:tcPr>
          <w:p w14:paraId="18A1079B">
            <w:pPr>
              <w:rPr>
                <w:rFonts w:ascii="Arial"/>
                <w:sz w:val="21"/>
              </w:rPr>
            </w:pPr>
          </w:p>
        </w:tc>
        <w:tc>
          <w:tcPr>
            <w:tcW w:w="1111" w:type="dxa"/>
            <w:vAlign w:val="top"/>
          </w:tcPr>
          <w:p w14:paraId="118E5547">
            <w:pPr>
              <w:rPr>
                <w:rFonts w:ascii="Arial"/>
                <w:sz w:val="21"/>
              </w:rPr>
            </w:pPr>
          </w:p>
        </w:tc>
        <w:tc>
          <w:tcPr>
            <w:tcW w:w="1777" w:type="dxa"/>
            <w:vAlign w:val="top"/>
          </w:tcPr>
          <w:p w14:paraId="07F22BB1">
            <w:pPr>
              <w:rPr>
                <w:rFonts w:ascii="Arial"/>
                <w:sz w:val="21"/>
              </w:rPr>
            </w:pPr>
          </w:p>
        </w:tc>
        <w:tc>
          <w:tcPr>
            <w:tcW w:w="1084" w:type="dxa"/>
            <w:vAlign w:val="top"/>
          </w:tcPr>
          <w:p w14:paraId="6CEC7B9B">
            <w:pPr>
              <w:rPr>
                <w:rFonts w:ascii="Arial"/>
                <w:sz w:val="21"/>
              </w:rPr>
            </w:pPr>
          </w:p>
        </w:tc>
      </w:tr>
      <w:tr w14:paraId="2D52A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3AC7EF9C">
            <w:pPr>
              <w:rPr>
                <w:rFonts w:ascii="Arial"/>
                <w:sz w:val="21"/>
              </w:rPr>
            </w:pPr>
          </w:p>
        </w:tc>
        <w:tc>
          <w:tcPr>
            <w:tcW w:w="1845" w:type="dxa"/>
            <w:vAlign w:val="top"/>
          </w:tcPr>
          <w:p w14:paraId="1C377B1B">
            <w:pPr>
              <w:rPr>
                <w:rFonts w:ascii="Arial"/>
                <w:sz w:val="21"/>
              </w:rPr>
            </w:pPr>
          </w:p>
        </w:tc>
        <w:tc>
          <w:tcPr>
            <w:tcW w:w="1393" w:type="dxa"/>
            <w:vAlign w:val="top"/>
          </w:tcPr>
          <w:p w14:paraId="6D357C8E">
            <w:pPr>
              <w:rPr>
                <w:rFonts w:ascii="Arial"/>
                <w:sz w:val="21"/>
              </w:rPr>
            </w:pPr>
          </w:p>
        </w:tc>
        <w:tc>
          <w:tcPr>
            <w:tcW w:w="1079" w:type="dxa"/>
            <w:vAlign w:val="top"/>
          </w:tcPr>
          <w:p w14:paraId="697FA5C5">
            <w:pPr>
              <w:rPr>
                <w:rFonts w:ascii="Arial"/>
                <w:sz w:val="21"/>
              </w:rPr>
            </w:pPr>
          </w:p>
        </w:tc>
        <w:tc>
          <w:tcPr>
            <w:tcW w:w="1111" w:type="dxa"/>
            <w:vAlign w:val="top"/>
          </w:tcPr>
          <w:p w14:paraId="63BD34AC">
            <w:pPr>
              <w:rPr>
                <w:rFonts w:ascii="Arial"/>
                <w:sz w:val="21"/>
              </w:rPr>
            </w:pPr>
          </w:p>
        </w:tc>
        <w:tc>
          <w:tcPr>
            <w:tcW w:w="1777" w:type="dxa"/>
            <w:vAlign w:val="top"/>
          </w:tcPr>
          <w:p w14:paraId="2AC24116">
            <w:pPr>
              <w:rPr>
                <w:rFonts w:ascii="Arial"/>
                <w:sz w:val="21"/>
              </w:rPr>
            </w:pPr>
          </w:p>
        </w:tc>
        <w:tc>
          <w:tcPr>
            <w:tcW w:w="1084" w:type="dxa"/>
            <w:vAlign w:val="top"/>
          </w:tcPr>
          <w:p w14:paraId="50CE7174">
            <w:pPr>
              <w:rPr>
                <w:rFonts w:ascii="Arial"/>
                <w:sz w:val="21"/>
              </w:rPr>
            </w:pPr>
          </w:p>
        </w:tc>
      </w:tr>
      <w:tr w14:paraId="7F8F2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4DF183D7">
            <w:pPr>
              <w:rPr>
                <w:rFonts w:ascii="Arial"/>
                <w:sz w:val="21"/>
              </w:rPr>
            </w:pPr>
          </w:p>
        </w:tc>
        <w:tc>
          <w:tcPr>
            <w:tcW w:w="1845" w:type="dxa"/>
            <w:vAlign w:val="top"/>
          </w:tcPr>
          <w:p w14:paraId="77B0371F">
            <w:pPr>
              <w:rPr>
                <w:rFonts w:ascii="Arial"/>
                <w:sz w:val="21"/>
              </w:rPr>
            </w:pPr>
          </w:p>
        </w:tc>
        <w:tc>
          <w:tcPr>
            <w:tcW w:w="1393" w:type="dxa"/>
            <w:vAlign w:val="top"/>
          </w:tcPr>
          <w:p w14:paraId="5A876935">
            <w:pPr>
              <w:rPr>
                <w:rFonts w:ascii="Arial"/>
                <w:sz w:val="21"/>
              </w:rPr>
            </w:pPr>
          </w:p>
        </w:tc>
        <w:tc>
          <w:tcPr>
            <w:tcW w:w="1079" w:type="dxa"/>
            <w:vAlign w:val="top"/>
          </w:tcPr>
          <w:p w14:paraId="255DA2F0">
            <w:pPr>
              <w:rPr>
                <w:rFonts w:ascii="Arial"/>
                <w:sz w:val="21"/>
              </w:rPr>
            </w:pPr>
          </w:p>
        </w:tc>
        <w:tc>
          <w:tcPr>
            <w:tcW w:w="1111" w:type="dxa"/>
            <w:vAlign w:val="top"/>
          </w:tcPr>
          <w:p w14:paraId="57DA00B5">
            <w:pPr>
              <w:rPr>
                <w:rFonts w:ascii="Arial"/>
                <w:sz w:val="21"/>
              </w:rPr>
            </w:pPr>
          </w:p>
        </w:tc>
        <w:tc>
          <w:tcPr>
            <w:tcW w:w="1777" w:type="dxa"/>
            <w:vAlign w:val="top"/>
          </w:tcPr>
          <w:p w14:paraId="1568C4E6">
            <w:pPr>
              <w:rPr>
                <w:rFonts w:ascii="Arial"/>
                <w:sz w:val="21"/>
              </w:rPr>
            </w:pPr>
          </w:p>
        </w:tc>
        <w:tc>
          <w:tcPr>
            <w:tcW w:w="1084" w:type="dxa"/>
            <w:vAlign w:val="top"/>
          </w:tcPr>
          <w:p w14:paraId="167AE3DB">
            <w:pPr>
              <w:rPr>
                <w:rFonts w:ascii="Arial"/>
                <w:sz w:val="21"/>
              </w:rPr>
            </w:pPr>
          </w:p>
        </w:tc>
      </w:tr>
      <w:tr w14:paraId="53C642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56C1F10B">
            <w:pPr>
              <w:rPr>
                <w:rFonts w:ascii="Arial"/>
                <w:sz w:val="21"/>
              </w:rPr>
            </w:pPr>
          </w:p>
        </w:tc>
        <w:tc>
          <w:tcPr>
            <w:tcW w:w="1845" w:type="dxa"/>
            <w:vAlign w:val="top"/>
          </w:tcPr>
          <w:p w14:paraId="799B5E9D">
            <w:pPr>
              <w:rPr>
                <w:rFonts w:ascii="Arial"/>
                <w:sz w:val="21"/>
              </w:rPr>
            </w:pPr>
          </w:p>
        </w:tc>
        <w:tc>
          <w:tcPr>
            <w:tcW w:w="1393" w:type="dxa"/>
            <w:vAlign w:val="top"/>
          </w:tcPr>
          <w:p w14:paraId="13138B9D">
            <w:pPr>
              <w:rPr>
                <w:rFonts w:ascii="Arial"/>
                <w:sz w:val="21"/>
              </w:rPr>
            </w:pPr>
          </w:p>
        </w:tc>
        <w:tc>
          <w:tcPr>
            <w:tcW w:w="1079" w:type="dxa"/>
            <w:vAlign w:val="top"/>
          </w:tcPr>
          <w:p w14:paraId="0C4751D7">
            <w:pPr>
              <w:rPr>
                <w:rFonts w:ascii="Arial"/>
                <w:sz w:val="21"/>
              </w:rPr>
            </w:pPr>
          </w:p>
        </w:tc>
        <w:tc>
          <w:tcPr>
            <w:tcW w:w="1111" w:type="dxa"/>
            <w:vAlign w:val="top"/>
          </w:tcPr>
          <w:p w14:paraId="74A1EB86">
            <w:pPr>
              <w:rPr>
                <w:rFonts w:ascii="Arial"/>
                <w:sz w:val="21"/>
              </w:rPr>
            </w:pPr>
          </w:p>
        </w:tc>
        <w:tc>
          <w:tcPr>
            <w:tcW w:w="1777" w:type="dxa"/>
            <w:vAlign w:val="top"/>
          </w:tcPr>
          <w:p w14:paraId="18915594">
            <w:pPr>
              <w:rPr>
                <w:rFonts w:ascii="Arial"/>
                <w:sz w:val="21"/>
              </w:rPr>
            </w:pPr>
          </w:p>
        </w:tc>
        <w:tc>
          <w:tcPr>
            <w:tcW w:w="1084" w:type="dxa"/>
            <w:vAlign w:val="top"/>
          </w:tcPr>
          <w:p w14:paraId="19EAC54D">
            <w:pPr>
              <w:rPr>
                <w:rFonts w:ascii="Arial"/>
                <w:sz w:val="21"/>
              </w:rPr>
            </w:pPr>
          </w:p>
        </w:tc>
      </w:tr>
      <w:tr w14:paraId="37C12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33FE07F8">
            <w:pPr>
              <w:rPr>
                <w:rFonts w:ascii="Arial"/>
                <w:sz w:val="21"/>
              </w:rPr>
            </w:pPr>
          </w:p>
        </w:tc>
        <w:tc>
          <w:tcPr>
            <w:tcW w:w="1845" w:type="dxa"/>
            <w:vAlign w:val="top"/>
          </w:tcPr>
          <w:p w14:paraId="7FF2C640">
            <w:pPr>
              <w:rPr>
                <w:rFonts w:ascii="Arial"/>
                <w:sz w:val="21"/>
              </w:rPr>
            </w:pPr>
          </w:p>
        </w:tc>
        <w:tc>
          <w:tcPr>
            <w:tcW w:w="1393" w:type="dxa"/>
            <w:vAlign w:val="top"/>
          </w:tcPr>
          <w:p w14:paraId="3749C7D5">
            <w:pPr>
              <w:rPr>
                <w:rFonts w:ascii="Arial"/>
                <w:sz w:val="21"/>
              </w:rPr>
            </w:pPr>
          </w:p>
        </w:tc>
        <w:tc>
          <w:tcPr>
            <w:tcW w:w="1079" w:type="dxa"/>
            <w:vAlign w:val="top"/>
          </w:tcPr>
          <w:p w14:paraId="31C91CE9">
            <w:pPr>
              <w:rPr>
                <w:rFonts w:ascii="Arial"/>
                <w:sz w:val="21"/>
              </w:rPr>
            </w:pPr>
          </w:p>
        </w:tc>
        <w:tc>
          <w:tcPr>
            <w:tcW w:w="1111" w:type="dxa"/>
            <w:vAlign w:val="top"/>
          </w:tcPr>
          <w:p w14:paraId="672F2671">
            <w:pPr>
              <w:rPr>
                <w:rFonts w:ascii="Arial"/>
                <w:sz w:val="21"/>
              </w:rPr>
            </w:pPr>
          </w:p>
        </w:tc>
        <w:tc>
          <w:tcPr>
            <w:tcW w:w="1777" w:type="dxa"/>
            <w:vAlign w:val="top"/>
          </w:tcPr>
          <w:p w14:paraId="5840BA89">
            <w:pPr>
              <w:rPr>
                <w:rFonts w:ascii="Arial"/>
                <w:sz w:val="21"/>
              </w:rPr>
            </w:pPr>
          </w:p>
        </w:tc>
        <w:tc>
          <w:tcPr>
            <w:tcW w:w="1084" w:type="dxa"/>
            <w:vAlign w:val="top"/>
          </w:tcPr>
          <w:p w14:paraId="34391DD6">
            <w:pPr>
              <w:rPr>
                <w:rFonts w:ascii="Arial"/>
                <w:sz w:val="21"/>
              </w:rPr>
            </w:pPr>
          </w:p>
        </w:tc>
      </w:tr>
      <w:tr w14:paraId="4270F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321B6B3C">
            <w:pPr>
              <w:rPr>
                <w:rFonts w:ascii="Arial"/>
                <w:sz w:val="21"/>
              </w:rPr>
            </w:pPr>
          </w:p>
        </w:tc>
        <w:tc>
          <w:tcPr>
            <w:tcW w:w="1845" w:type="dxa"/>
            <w:vAlign w:val="top"/>
          </w:tcPr>
          <w:p w14:paraId="213C5580">
            <w:pPr>
              <w:rPr>
                <w:rFonts w:ascii="Arial"/>
                <w:sz w:val="21"/>
              </w:rPr>
            </w:pPr>
          </w:p>
        </w:tc>
        <w:tc>
          <w:tcPr>
            <w:tcW w:w="1393" w:type="dxa"/>
            <w:vAlign w:val="top"/>
          </w:tcPr>
          <w:p w14:paraId="68DC1CE8">
            <w:pPr>
              <w:rPr>
                <w:rFonts w:ascii="Arial"/>
                <w:sz w:val="21"/>
              </w:rPr>
            </w:pPr>
          </w:p>
        </w:tc>
        <w:tc>
          <w:tcPr>
            <w:tcW w:w="1079" w:type="dxa"/>
            <w:vAlign w:val="top"/>
          </w:tcPr>
          <w:p w14:paraId="7BB347C0">
            <w:pPr>
              <w:rPr>
                <w:rFonts w:ascii="Arial"/>
                <w:sz w:val="21"/>
              </w:rPr>
            </w:pPr>
          </w:p>
        </w:tc>
        <w:tc>
          <w:tcPr>
            <w:tcW w:w="1111" w:type="dxa"/>
            <w:vAlign w:val="top"/>
          </w:tcPr>
          <w:p w14:paraId="0DEC1C9B">
            <w:pPr>
              <w:rPr>
                <w:rFonts w:ascii="Arial"/>
                <w:sz w:val="21"/>
              </w:rPr>
            </w:pPr>
          </w:p>
        </w:tc>
        <w:tc>
          <w:tcPr>
            <w:tcW w:w="1777" w:type="dxa"/>
            <w:vAlign w:val="top"/>
          </w:tcPr>
          <w:p w14:paraId="095D5508">
            <w:pPr>
              <w:rPr>
                <w:rFonts w:ascii="Arial"/>
                <w:sz w:val="21"/>
              </w:rPr>
            </w:pPr>
          </w:p>
        </w:tc>
        <w:tc>
          <w:tcPr>
            <w:tcW w:w="1084" w:type="dxa"/>
            <w:vAlign w:val="top"/>
          </w:tcPr>
          <w:p w14:paraId="32A586B9">
            <w:pPr>
              <w:rPr>
                <w:rFonts w:ascii="Arial"/>
                <w:sz w:val="21"/>
              </w:rPr>
            </w:pPr>
          </w:p>
        </w:tc>
      </w:tr>
      <w:tr w14:paraId="5F3DC8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78E8199D">
            <w:pPr>
              <w:rPr>
                <w:rFonts w:ascii="Arial"/>
                <w:sz w:val="21"/>
              </w:rPr>
            </w:pPr>
          </w:p>
        </w:tc>
        <w:tc>
          <w:tcPr>
            <w:tcW w:w="1845" w:type="dxa"/>
            <w:vAlign w:val="top"/>
          </w:tcPr>
          <w:p w14:paraId="481987BE">
            <w:pPr>
              <w:rPr>
                <w:rFonts w:ascii="Arial"/>
                <w:sz w:val="21"/>
              </w:rPr>
            </w:pPr>
          </w:p>
        </w:tc>
        <w:tc>
          <w:tcPr>
            <w:tcW w:w="1393" w:type="dxa"/>
            <w:vAlign w:val="top"/>
          </w:tcPr>
          <w:p w14:paraId="79C75FAC">
            <w:pPr>
              <w:rPr>
                <w:rFonts w:ascii="Arial"/>
                <w:sz w:val="21"/>
              </w:rPr>
            </w:pPr>
          </w:p>
        </w:tc>
        <w:tc>
          <w:tcPr>
            <w:tcW w:w="1079" w:type="dxa"/>
            <w:vAlign w:val="top"/>
          </w:tcPr>
          <w:p w14:paraId="7FEC9A0B">
            <w:pPr>
              <w:rPr>
                <w:rFonts w:ascii="Arial"/>
                <w:sz w:val="21"/>
              </w:rPr>
            </w:pPr>
          </w:p>
        </w:tc>
        <w:tc>
          <w:tcPr>
            <w:tcW w:w="1111" w:type="dxa"/>
            <w:vAlign w:val="top"/>
          </w:tcPr>
          <w:p w14:paraId="61B18AFE">
            <w:pPr>
              <w:rPr>
                <w:rFonts w:ascii="Arial"/>
                <w:sz w:val="21"/>
              </w:rPr>
            </w:pPr>
          </w:p>
        </w:tc>
        <w:tc>
          <w:tcPr>
            <w:tcW w:w="1777" w:type="dxa"/>
            <w:vAlign w:val="top"/>
          </w:tcPr>
          <w:p w14:paraId="769D0DD8">
            <w:pPr>
              <w:rPr>
                <w:rFonts w:ascii="Arial"/>
                <w:sz w:val="21"/>
              </w:rPr>
            </w:pPr>
          </w:p>
        </w:tc>
        <w:tc>
          <w:tcPr>
            <w:tcW w:w="1084" w:type="dxa"/>
            <w:vAlign w:val="top"/>
          </w:tcPr>
          <w:p w14:paraId="1E7BA02E">
            <w:pPr>
              <w:rPr>
                <w:rFonts w:ascii="Arial"/>
                <w:sz w:val="21"/>
              </w:rPr>
            </w:pPr>
          </w:p>
        </w:tc>
      </w:tr>
      <w:tr w14:paraId="13D7D2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5382BF20">
            <w:pPr>
              <w:rPr>
                <w:rFonts w:ascii="Arial"/>
                <w:sz w:val="21"/>
              </w:rPr>
            </w:pPr>
          </w:p>
        </w:tc>
        <w:tc>
          <w:tcPr>
            <w:tcW w:w="1845" w:type="dxa"/>
            <w:vAlign w:val="top"/>
          </w:tcPr>
          <w:p w14:paraId="4887E59B">
            <w:pPr>
              <w:rPr>
                <w:rFonts w:ascii="Arial"/>
                <w:sz w:val="21"/>
              </w:rPr>
            </w:pPr>
          </w:p>
        </w:tc>
        <w:tc>
          <w:tcPr>
            <w:tcW w:w="1393" w:type="dxa"/>
            <w:vAlign w:val="top"/>
          </w:tcPr>
          <w:p w14:paraId="1BDE681E">
            <w:pPr>
              <w:rPr>
                <w:rFonts w:ascii="Arial"/>
                <w:sz w:val="21"/>
              </w:rPr>
            </w:pPr>
          </w:p>
        </w:tc>
        <w:tc>
          <w:tcPr>
            <w:tcW w:w="1079" w:type="dxa"/>
            <w:vAlign w:val="top"/>
          </w:tcPr>
          <w:p w14:paraId="0FE5440C">
            <w:pPr>
              <w:rPr>
                <w:rFonts w:ascii="Arial"/>
                <w:sz w:val="21"/>
              </w:rPr>
            </w:pPr>
          </w:p>
        </w:tc>
        <w:tc>
          <w:tcPr>
            <w:tcW w:w="1111" w:type="dxa"/>
            <w:vAlign w:val="top"/>
          </w:tcPr>
          <w:p w14:paraId="712D91EB">
            <w:pPr>
              <w:rPr>
                <w:rFonts w:ascii="Arial"/>
                <w:sz w:val="21"/>
              </w:rPr>
            </w:pPr>
          </w:p>
        </w:tc>
        <w:tc>
          <w:tcPr>
            <w:tcW w:w="1777" w:type="dxa"/>
            <w:vAlign w:val="top"/>
          </w:tcPr>
          <w:p w14:paraId="0EA68207">
            <w:pPr>
              <w:rPr>
                <w:rFonts w:ascii="Arial"/>
                <w:sz w:val="21"/>
              </w:rPr>
            </w:pPr>
          </w:p>
        </w:tc>
        <w:tc>
          <w:tcPr>
            <w:tcW w:w="1084" w:type="dxa"/>
            <w:vAlign w:val="top"/>
          </w:tcPr>
          <w:p w14:paraId="286E02E4">
            <w:pPr>
              <w:rPr>
                <w:rFonts w:ascii="Arial"/>
                <w:sz w:val="21"/>
              </w:rPr>
            </w:pPr>
          </w:p>
        </w:tc>
      </w:tr>
      <w:tr w14:paraId="326A75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7B49831C">
            <w:pPr>
              <w:rPr>
                <w:rFonts w:ascii="Arial"/>
                <w:sz w:val="21"/>
              </w:rPr>
            </w:pPr>
          </w:p>
        </w:tc>
        <w:tc>
          <w:tcPr>
            <w:tcW w:w="1845" w:type="dxa"/>
            <w:vAlign w:val="top"/>
          </w:tcPr>
          <w:p w14:paraId="505EE3B9">
            <w:pPr>
              <w:rPr>
                <w:rFonts w:ascii="Arial"/>
                <w:sz w:val="21"/>
              </w:rPr>
            </w:pPr>
          </w:p>
        </w:tc>
        <w:tc>
          <w:tcPr>
            <w:tcW w:w="1393" w:type="dxa"/>
            <w:vAlign w:val="top"/>
          </w:tcPr>
          <w:p w14:paraId="179CAC06">
            <w:pPr>
              <w:rPr>
                <w:rFonts w:ascii="Arial"/>
                <w:sz w:val="21"/>
              </w:rPr>
            </w:pPr>
          </w:p>
        </w:tc>
        <w:tc>
          <w:tcPr>
            <w:tcW w:w="1079" w:type="dxa"/>
            <w:vAlign w:val="top"/>
          </w:tcPr>
          <w:p w14:paraId="4AD75242">
            <w:pPr>
              <w:rPr>
                <w:rFonts w:ascii="Arial"/>
                <w:sz w:val="21"/>
              </w:rPr>
            </w:pPr>
          </w:p>
        </w:tc>
        <w:tc>
          <w:tcPr>
            <w:tcW w:w="1111" w:type="dxa"/>
            <w:vAlign w:val="top"/>
          </w:tcPr>
          <w:p w14:paraId="7A88B31A">
            <w:pPr>
              <w:rPr>
                <w:rFonts w:ascii="Arial"/>
                <w:sz w:val="21"/>
              </w:rPr>
            </w:pPr>
          </w:p>
        </w:tc>
        <w:tc>
          <w:tcPr>
            <w:tcW w:w="1777" w:type="dxa"/>
            <w:vAlign w:val="top"/>
          </w:tcPr>
          <w:p w14:paraId="77078848">
            <w:pPr>
              <w:rPr>
                <w:rFonts w:ascii="Arial"/>
                <w:sz w:val="21"/>
              </w:rPr>
            </w:pPr>
          </w:p>
        </w:tc>
        <w:tc>
          <w:tcPr>
            <w:tcW w:w="1084" w:type="dxa"/>
            <w:vAlign w:val="top"/>
          </w:tcPr>
          <w:p w14:paraId="302CAD2F">
            <w:pPr>
              <w:rPr>
                <w:rFonts w:ascii="Arial"/>
                <w:sz w:val="21"/>
              </w:rPr>
            </w:pPr>
          </w:p>
        </w:tc>
      </w:tr>
      <w:tr w14:paraId="10A3C1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270D0D18">
            <w:pPr>
              <w:rPr>
                <w:rFonts w:ascii="Arial"/>
                <w:sz w:val="21"/>
              </w:rPr>
            </w:pPr>
          </w:p>
        </w:tc>
        <w:tc>
          <w:tcPr>
            <w:tcW w:w="1845" w:type="dxa"/>
            <w:vAlign w:val="top"/>
          </w:tcPr>
          <w:p w14:paraId="72A30298">
            <w:pPr>
              <w:rPr>
                <w:rFonts w:ascii="Arial"/>
                <w:sz w:val="21"/>
              </w:rPr>
            </w:pPr>
          </w:p>
        </w:tc>
        <w:tc>
          <w:tcPr>
            <w:tcW w:w="1393" w:type="dxa"/>
            <w:vAlign w:val="top"/>
          </w:tcPr>
          <w:p w14:paraId="2064C7F0">
            <w:pPr>
              <w:rPr>
                <w:rFonts w:ascii="Arial"/>
                <w:sz w:val="21"/>
              </w:rPr>
            </w:pPr>
          </w:p>
        </w:tc>
        <w:tc>
          <w:tcPr>
            <w:tcW w:w="1079" w:type="dxa"/>
            <w:vAlign w:val="top"/>
          </w:tcPr>
          <w:p w14:paraId="3D3A2E96">
            <w:pPr>
              <w:rPr>
                <w:rFonts w:ascii="Arial"/>
                <w:sz w:val="21"/>
              </w:rPr>
            </w:pPr>
          </w:p>
        </w:tc>
        <w:tc>
          <w:tcPr>
            <w:tcW w:w="1111" w:type="dxa"/>
            <w:vAlign w:val="top"/>
          </w:tcPr>
          <w:p w14:paraId="1FA550F4">
            <w:pPr>
              <w:rPr>
                <w:rFonts w:ascii="Arial"/>
                <w:sz w:val="21"/>
              </w:rPr>
            </w:pPr>
          </w:p>
        </w:tc>
        <w:tc>
          <w:tcPr>
            <w:tcW w:w="1777" w:type="dxa"/>
            <w:vAlign w:val="top"/>
          </w:tcPr>
          <w:p w14:paraId="35F34CCE">
            <w:pPr>
              <w:rPr>
                <w:rFonts w:ascii="Arial"/>
                <w:sz w:val="21"/>
              </w:rPr>
            </w:pPr>
          </w:p>
        </w:tc>
        <w:tc>
          <w:tcPr>
            <w:tcW w:w="1084" w:type="dxa"/>
            <w:vAlign w:val="top"/>
          </w:tcPr>
          <w:p w14:paraId="72E74452">
            <w:pPr>
              <w:rPr>
                <w:rFonts w:ascii="Arial"/>
                <w:sz w:val="21"/>
              </w:rPr>
            </w:pPr>
          </w:p>
        </w:tc>
      </w:tr>
      <w:tr w14:paraId="59BFF1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545" w:type="dxa"/>
            <w:vAlign w:val="top"/>
          </w:tcPr>
          <w:p w14:paraId="7F0CE9C3">
            <w:pPr>
              <w:rPr>
                <w:rFonts w:ascii="Arial"/>
                <w:sz w:val="21"/>
              </w:rPr>
            </w:pPr>
          </w:p>
        </w:tc>
        <w:tc>
          <w:tcPr>
            <w:tcW w:w="1845" w:type="dxa"/>
            <w:vAlign w:val="top"/>
          </w:tcPr>
          <w:p w14:paraId="135D5C76">
            <w:pPr>
              <w:rPr>
                <w:rFonts w:ascii="Arial"/>
                <w:sz w:val="21"/>
              </w:rPr>
            </w:pPr>
          </w:p>
        </w:tc>
        <w:tc>
          <w:tcPr>
            <w:tcW w:w="1393" w:type="dxa"/>
            <w:vAlign w:val="top"/>
          </w:tcPr>
          <w:p w14:paraId="66C2DCA0">
            <w:pPr>
              <w:rPr>
                <w:rFonts w:ascii="Arial"/>
                <w:sz w:val="21"/>
              </w:rPr>
            </w:pPr>
          </w:p>
        </w:tc>
        <w:tc>
          <w:tcPr>
            <w:tcW w:w="1079" w:type="dxa"/>
            <w:vAlign w:val="top"/>
          </w:tcPr>
          <w:p w14:paraId="6AA2157B">
            <w:pPr>
              <w:rPr>
                <w:rFonts w:ascii="Arial"/>
                <w:sz w:val="21"/>
              </w:rPr>
            </w:pPr>
          </w:p>
        </w:tc>
        <w:tc>
          <w:tcPr>
            <w:tcW w:w="1111" w:type="dxa"/>
            <w:vAlign w:val="top"/>
          </w:tcPr>
          <w:p w14:paraId="2D2ED26E">
            <w:pPr>
              <w:rPr>
                <w:rFonts w:ascii="Arial"/>
                <w:sz w:val="21"/>
              </w:rPr>
            </w:pPr>
          </w:p>
        </w:tc>
        <w:tc>
          <w:tcPr>
            <w:tcW w:w="1777" w:type="dxa"/>
            <w:vAlign w:val="top"/>
          </w:tcPr>
          <w:p w14:paraId="56D80D81">
            <w:pPr>
              <w:rPr>
                <w:rFonts w:ascii="Arial"/>
                <w:sz w:val="21"/>
              </w:rPr>
            </w:pPr>
          </w:p>
        </w:tc>
        <w:tc>
          <w:tcPr>
            <w:tcW w:w="1084" w:type="dxa"/>
            <w:vAlign w:val="top"/>
          </w:tcPr>
          <w:p w14:paraId="71E46E1E">
            <w:pPr>
              <w:rPr>
                <w:rFonts w:ascii="Arial"/>
                <w:sz w:val="21"/>
              </w:rPr>
            </w:pPr>
          </w:p>
        </w:tc>
      </w:tr>
    </w:tbl>
    <w:p w14:paraId="5FA70BB8">
      <w:pPr>
        <w:rPr>
          <w:rFonts w:ascii="Arial"/>
          <w:sz w:val="21"/>
        </w:rPr>
      </w:pPr>
    </w:p>
    <w:p w14:paraId="36B3EDE4">
      <w:pPr>
        <w:rPr>
          <w:rFonts w:ascii="Arial" w:hAnsi="Arial" w:eastAsia="Arial" w:cs="Arial"/>
          <w:sz w:val="21"/>
          <w:szCs w:val="21"/>
        </w:rPr>
        <w:sectPr>
          <w:footerReference r:id="rId536" w:type="default"/>
          <w:pgSz w:w="11907" w:h="16840"/>
          <w:pgMar w:top="400" w:right="1418" w:bottom="1247" w:left="1649" w:header="0" w:footer="1085" w:gutter="0"/>
          <w:cols w:space="720" w:num="1"/>
        </w:sectPr>
      </w:pPr>
    </w:p>
    <w:p w14:paraId="11251F75">
      <w:pPr>
        <w:spacing w:before="48"/>
      </w:pPr>
    </w:p>
    <w:tbl>
      <w:tblPr>
        <w:tblStyle w:val="5"/>
        <w:tblW w:w="8509" w:type="dxa"/>
        <w:tblInd w:w="1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14"/>
        <w:gridCol w:w="6095"/>
      </w:tblGrid>
      <w:tr w14:paraId="1830D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vAlign w:val="top"/>
          </w:tcPr>
          <w:p w14:paraId="0E6B97B5">
            <w:pPr>
              <w:pStyle w:val="6"/>
              <w:spacing w:before="212" w:line="228" w:lineRule="auto"/>
              <w:ind w:left="796"/>
              <w:outlineLvl w:val="3"/>
            </w:pPr>
            <w:bookmarkStart w:id="441" w:name="bookmark419"/>
            <w:bookmarkEnd w:id="441"/>
            <w:r>
              <w:rPr>
                <w:spacing w:val="6"/>
              </w:rPr>
              <w:t>项目名称</w:t>
            </w:r>
          </w:p>
        </w:tc>
        <w:tc>
          <w:tcPr>
            <w:tcW w:w="6095" w:type="dxa"/>
            <w:vAlign w:val="top"/>
          </w:tcPr>
          <w:p w14:paraId="6238DCAC">
            <w:pPr>
              <w:rPr>
                <w:rFonts w:ascii="Arial"/>
                <w:sz w:val="21"/>
              </w:rPr>
            </w:pPr>
          </w:p>
        </w:tc>
      </w:tr>
      <w:tr w14:paraId="721CF4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14" w:type="dxa"/>
            <w:vAlign w:val="top"/>
          </w:tcPr>
          <w:p w14:paraId="23960C2D">
            <w:pPr>
              <w:pStyle w:val="6"/>
              <w:spacing w:before="208" w:line="228" w:lineRule="auto"/>
              <w:ind w:left="691"/>
            </w:pPr>
            <w:r>
              <w:rPr>
                <w:spacing w:val="7"/>
              </w:rPr>
              <w:t>项目所在地</w:t>
            </w:r>
          </w:p>
        </w:tc>
        <w:tc>
          <w:tcPr>
            <w:tcW w:w="6095" w:type="dxa"/>
            <w:vAlign w:val="top"/>
          </w:tcPr>
          <w:p w14:paraId="41C02DB9">
            <w:pPr>
              <w:rPr>
                <w:rFonts w:ascii="Arial"/>
                <w:sz w:val="21"/>
              </w:rPr>
            </w:pPr>
          </w:p>
        </w:tc>
      </w:tr>
      <w:tr w14:paraId="63330A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14" w:type="dxa"/>
            <w:vAlign w:val="top"/>
          </w:tcPr>
          <w:p w14:paraId="1557F7B1">
            <w:pPr>
              <w:pStyle w:val="6"/>
              <w:spacing w:before="209" w:line="228" w:lineRule="auto"/>
              <w:ind w:left="691"/>
            </w:pPr>
            <w:r>
              <w:rPr>
                <w:spacing w:val="7"/>
              </w:rPr>
              <w:t>发包人名称</w:t>
            </w:r>
          </w:p>
        </w:tc>
        <w:tc>
          <w:tcPr>
            <w:tcW w:w="6095" w:type="dxa"/>
            <w:vAlign w:val="top"/>
          </w:tcPr>
          <w:p w14:paraId="04DB8D97">
            <w:pPr>
              <w:rPr>
                <w:rFonts w:ascii="Arial"/>
                <w:sz w:val="21"/>
              </w:rPr>
            </w:pPr>
          </w:p>
        </w:tc>
      </w:tr>
      <w:tr w14:paraId="2505EB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5470438E">
            <w:pPr>
              <w:pStyle w:val="6"/>
              <w:spacing w:before="209" w:line="228" w:lineRule="auto"/>
              <w:ind w:left="691"/>
            </w:pPr>
            <w:r>
              <w:rPr>
                <w:spacing w:val="7"/>
              </w:rPr>
              <w:t>发包人地址</w:t>
            </w:r>
          </w:p>
        </w:tc>
        <w:tc>
          <w:tcPr>
            <w:tcW w:w="6095" w:type="dxa"/>
            <w:vAlign w:val="top"/>
          </w:tcPr>
          <w:p w14:paraId="39B6904D">
            <w:pPr>
              <w:rPr>
                <w:rFonts w:ascii="Arial"/>
                <w:sz w:val="21"/>
              </w:rPr>
            </w:pPr>
          </w:p>
        </w:tc>
      </w:tr>
      <w:tr w14:paraId="1508E7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14" w:type="dxa"/>
            <w:vAlign w:val="top"/>
          </w:tcPr>
          <w:p w14:paraId="7F83A01D">
            <w:pPr>
              <w:pStyle w:val="6"/>
              <w:spacing w:before="209" w:line="228" w:lineRule="auto"/>
              <w:ind w:left="271"/>
            </w:pPr>
            <w:r>
              <w:rPr>
                <w:spacing w:val="8"/>
              </w:rPr>
              <w:t>发包人联系人及电话</w:t>
            </w:r>
          </w:p>
        </w:tc>
        <w:tc>
          <w:tcPr>
            <w:tcW w:w="6095" w:type="dxa"/>
            <w:vAlign w:val="top"/>
          </w:tcPr>
          <w:p w14:paraId="731F048F">
            <w:pPr>
              <w:rPr>
                <w:rFonts w:ascii="Arial"/>
                <w:sz w:val="21"/>
              </w:rPr>
            </w:pPr>
          </w:p>
        </w:tc>
      </w:tr>
      <w:tr w14:paraId="5DC022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6A89DE32">
            <w:pPr>
              <w:pStyle w:val="6"/>
              <w:spacing w:before="209" w:line="226" w:lineRule="auto"/>
              <w:ind w:left="794"/>
            </w:pPr>
            <w:r>
              <w:rPr>
                <w:spacing w:val="7"/>
              </w:rPr>
              <w:t>合同价格</w:t>
            </w:r>
          </w:p>
        </w:tc>
        <w:tc>
          <w:tcPr>
            <w:tcW w:w="6095" w:type="dxa"/>
            <w:vAlign w:val="top"/>
          </w:tcPr>
          <w:p w14:paraId="110B8D07">
            <w:pPr>
              <w:rPr>
                <w:rFonts w:ascii="Arial"/>
                <w:sz w:val="21"/>
              </w:rPr>
            </w:pPr>
          </w:p>
        </w:tc>
      </w:tr>
      <w:tr w14:paraId="095E67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79F8E9C4">
            <w:pPr>
              <w:pStyle w:val="6"/>
              <w:spacing w:before="211" w:line="228" w:lineRule="auto"/>
              <w:ind w:left="794"/>
            </w:pPr>
            <w:r>
              <w:rPr>
                <w:spacing w:val="7"/>
              </w:rPr>
              <w:t>开工日期</w:t>
            </w:r>
          </w:p>
        </w:tc>
        <w:tc>
          <w:tcPr>
            <w:tcW w:w="6095" w:type="dxa"/>
            <w:vAlign w:val="top"/>
          </w:tcPr>
          <w:p w14:paraId="43228C09">
            <w:pPr>
              <w:rPr>
                <w:rFonts w:ascii="Arial"/>
                <w:sz w:val="21"/>
              </w:rPr>
            </w:pPr>
          </w:p>
        </w:tc>
      </w:tr>
      <w:tr w14:paraId="57FD56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35CF6ADE">
            <w:pPr>
              <w:pStyle w:val="6"/>
              <w:spacing w:before="210" w:line="228" w:lineRule="auto"/>
              <w:ind w:left="794"/>
            </w:pPr>
            <w:r>
              <w:rPr>
                <w:spacing w:val="7"/>
              </w:rPr>
              <w:t>竣工日期</w:t>
            </w:r>
          </w:p>
        </w:tc>
        <w:tc>
          <w:tcPr>
            <w:tcW w:w="6095" w:type="dxa"/>
            <w:vAlign w:val="top"/>
          </w:tcPr>
          <w:p w14:paraId="20FD63B5">
            <w:pPr>
              <w:rPr>
                <w:rFonts w:ascii="Arial"/>
                <w:sz w:val="21"/>
              </w:rPr>
            </w:pPr>
          </w:p>
        </w:tc>
      </w:tr>
      <w:tr w14:paraId="43B5C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0688C14E">
            <w:pPr>
              <w:pStyle w:val="6"/>
              <w:spacing w:before="210" w:line="228" w:lineRule="auto"/>
              <w:ind w:left="687"/>
            </w:pPr>
            <w:r>
              <w:rPr>
                <w:spacing w:val="8"/>
              </w:rPr>
              <w:t>承担的工作</w:t>
            </w:r>
          </w:p>
        </w:tc>
        <w:tc>
          <w:tcPr>
            <w:tcW w:w="6095" w:type="dxa"/>
            <w:vAlign w:val="top"/>
          </w:tcPr>
          <w:p w14:paraId="73CC1961">
            <w:pPr>
              <w:rPr>
                <w:rFonts w:ascii="Arial"/>
                <w:sz w:val="21"/>
              </w:rPr>
            </w:pPr>
          </w:p>
        </w:tc>
      </w:tr>
      <w:tr w14:paraId="02D1C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6FDB9B29">
            <w:pPr>
              <w:pStyle w:val="6"/>
              <w:spacing w:before="210" w:line="228" w:lineRule="auto"/>
              <w:ind w:left="796"/>
            </w:pPr>
            <w:r>
              <w:rPr>
                <w:spacing w:val="6"/>
              </w:rPr>
              <w:t>工程质量</w:t>
            </w:r>
          </w:p>
        </w:tc>
        <w:tc>
          <w:tcPr>
            <w:tcW w:w="6095" w:type="dxa"/>
            <w:vAlign w:val="top"/>
          </w:tcPr>
          <w:p w14:paraId="085729E5">
            <w:pPr>
              <w:rPr>
                <w:rFonts w:ascii="Arial"/>
                <w:sz w:val="21"/>
              </w:rPr>
            </w:pPr>
          </w:p>
        </w:tc>
      </w:tr>
      <w:tr w14:paraId="44B9B4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7643E96E">
            <w:pPr>
              <w:pStyle w:val="6"/>
              <w:spacing w:before="210" w:line="228" w:lineRule="auto"/>
              <w:ind w:left="796"/>
            </w:pPr>
            <w:r>
              <w:rPr>
                <w:spacing w:val="6"/>
              </w:rPr>
              <w:t>项目经理</w:t>
            </w:r>
          </w:p>
        </w:tc>
        <w:tc>
          <w:tcPr>
            <w:tcW w:w="6095" w:type="dxa"/>
            <w:vAlign w:val="top"/>
          </w:tcPr>
          <w:p w14:paraId="69AA0D2B">
            <w:pPr>
              <w:rPr>
                <w:rFonts w:ascii="Arial"/>
                <w:sz w:val="21"/>
              </w:rPr>
            </w:pPr>
          </w:p>
        </w:tc>
      </w:tr>
      <w:tr w14:paraId="2AC3B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3288C0CD">
            <w:pPr>
              <w:pStyle w:val="6"/>
              <w:spacing w:before="209" w:line="228" w:lineRule="auto"/>
              <w:ind w:left="688"/>
            </w:pPr>
            <w:r>
              <w:rPr>
                <w:spacing w:val="7"/>
              </w:rPr>
              <w:t>技术负责人</w:t>
            </w:r>
          </w:p>
        </w:tc>
        <w:tc>
          <w:tcPr>
            <w:tcW w:w="6095" w:type="dxa"/>
            <w:vAlign w:val="top"/>
          </w:tcPr>
          <w:p w14:paraId="78E95441">
            <w:pPr>
              <w:rPr>
                <w:rFonts w:ascii="Arial"/>
                <w:sz w:val="21"/>
              </w:rPr>
            </w:pPr>
          </w:p>
        </w:tc>
      </w:tr>
      <w:tr w14:paraId="2E8D0D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7324799A">
            <w:pPr>
              <w:pStyle w:val="6"/>
              <w:spacing w:before="211" w:line="228" w:lineRule="auto"/>
              <w:ind w:left="273"/>
            </w:pPr>
            <w:r>
              <w:rPr>
                <w:spacing w:val="8"/>
              </w:rPr>
              <w:t>总监理工程师及电话</w:t>
            </w:r>
          </w:p>
        </w:tc>
        <w:tc>
          <w:tcPr>
            <w:tcW w:w="6095" w:type="dxa"/>
            <w:vAlign w:val="top"/>
          </w:tcPr>
          <w:p w14:paraId="5C0390BF">
            <w:pPr>
              <w:rPr>
                <w:rFonts w:ascii="Arial"/>
                <w:sz w:val="21"/>
              </w:rPr>
            </w:pPr>
          </w:p>
        </w:tc>
      </w:tr>
      <w:tr w14:paraId="7AA96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2414" w:type="dxa"/>
            <w:vAlign w:val="top"/>
          </w:tcPr>
          <w:p w14:paraId="259D0AB1">
            <w:pPr>
              <w:pStyle w:val="6"/>
              <w:spacing w:before="230" w:line="228" w:lineRule="auto"/>
              <w:ind w:left="796"/>
            </w:pPr>
            <w:r>
              <w:rPr>
                <w:spacing w:val="6"/>
              </w:rPr>
              <w:t>项目描述</w:t>
            </w:r>
          </w:p>
        </w:tc>
        <w:tc>
          <w:tcPr>
            <w:tcW w:w="6095" w:type="dxa"/>
            <w:vAlign w:val="top"/>
          </w:tcPr>
          <w:p w14:paraId="20522CE1">
            <w:pPr>
              <w:rPr>
                <w:rFonts w:ascii="Arial"/>
                <w:sz w:val="21"/>
              </w:rPr>
            </w:pPr>
          </w:p>
        </w:tc>
      </w:tr>
      <w:tr w14:paraId="26A77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vAlign w:val="top"/>
          </w:tcPr>
          <w:p w14:paraId="3071404E">
            <w:pPr>
              <w:pStyle w:val="6"/>
              <w:spacing w:before="211" w:line="229" w:lineRule="auto"/>
              <w:ind w:left="1004"/>
            </w:pPr>
            <w:r>
              <w:rPr>
                <w:spacing w:val="3"/>
              </w:rPr>
              <w:t>备注</w:t>
            </w:r>
          </w:p>
        </w:tc>
        <w:tc>
          <w:tcPr>
            <w:tcW w:w="6095" w:type="dxa"/>
            <w:vAlign w:val="top"/>
          </w:tcPr>
          <w:p w14:paraId="17813B80">
            <w:pPr>
              <w:rPr>
                <w:rFonts w:ascii="Arial"/>
                <w:sz w:val="21"/>
              </w:rPr>
            </w:pPr>
          </w:p>
        </w:tc>
      </w:tr>
    </w:tbl>
    <w:p w14:paraId="3F607027">
      <w:pPr>
        <w:spacing w:before="304" w:line="227" w:lineRule="auto"/>
        <w:rPr>
          <w:rFonts w:ascii="宋体" w:hAnsi="宋体" w:eastAsia="宋体" w:cs="宋体"/>
          <w:sz w:val="20"/>
          <w:szCs w:val="20"/>
        </w:rPr>
      </w:pPr>
      <w:r>
        <w:rPr>
          <w:rFonts w:ascii="宋体" w:hAnsi="宋体" w:eastAsia="宋体" w:cs="宋体"/>
          <w:spacing w:val="2"/>
          <w:sz w:val="20"/>
          <w:szCs w:val="20"/>
        </w:rPr>
        <w:t>备注：1．“类似项目</w:t>
      </w:r>
      <w:r>
        <w:rPr>
          <w:rFonts w:ascii="宋体" w:hAnsi="宋体" w:eastAsia="宋体" w:cs="宋体"/>
          <w:spacing w:val="-61"/>
          <w:sz w:val="20"/>
          <w:szCs w:val="20"/>
        </w:rPr>
        <w:t xml:space="preserve"> </w:t>
      </w:r>
      <w:r>
        <w:rPr>
          <w:rFonts w:ascii="宋体" w:hAnsi="宋体" w:eastAsia="宋体" w:cs="宋体"/>
          <w:spacing w:val="2"/>
          <w:sz w:val="20"/>
          <w:szCs w:val="20"/>
        </w:rPr>
        <w:t>”见投标人须知前附表第</w:t>
      </w:r>
      <w:r>
        <w:rPr>
          <w:rFonts w:ascii="宋体" w:hAnsi="宋体" w:eastAsia="宋体" w:cs="宋体"/>
          <w:spacing w:val="-32"/>
          <w:sz w:val="20"/>
          <w:szCs w:val="20"/>
        </w:rPr>
        <w:t xml:space="preserve"> </w:t>
      </w:r>
      <w:r>
        <w:rPr>
          <w:rFonts w:ascii="宋体" w:hAnsi="宋体" w:eastAsia="宋体" w:cs="宋体"/>
          <w:spacing w:val="2"/>
          <w:sz w:val="20"/>
          <w:szCs w:val="20"/>
        </w:rPr>
        <w:t>3.5.1</w:t>
      </w:r>
      <w:r>
        <w:rPr>
          <w:rFonts w:ascii="宋体" w:hAnsi="宋体" w:eastAsia="宋体" w:cs="宋体"/>
          <w:spacing w:val="-35"/>
          <w:sz w:val="20"/>
          <w:szCs w:val="20"/>
        </w:rPr>
        <w:t xml:space="preserve"> </w:t>
      </w:r>
      <w:r>
        <w:rPr>
          <w:rFonts w:ascii="宋体" w:hAnsi="宋体" w:eastAsia="宋体" w:cs="宋体"/>
          <w:spacing w:val="2"/>
          <w:sz w:val="20"/>
          <w:szCs w:val="20"/>
        </w:rPr>
        <w:t>项。</w:t>
      </w:r>
    </w:p>
    <w:p w14:paraId="2A4903D9">
      <w:pPr>
        <w:spacing w:before="25" w:line="251" w:lineRule="auto"/>
        <w:ind w:left="943" w:right="204" w:hanging="312"/>
        <w:rPr>
          <w:rFonts w:ascii="宋体" w:hAnsi="宋体" w:eastAsia="宋体" w:cs="宋体"/>
          <w:sz w:val="20"/>
          <w:szCs w:val="20"/>
        </w:rPr>
      </w:pPr>
      <w:r>
        <w:rPr>
          <w:rFonts w:ascii="宋体" w:hAnsi="宋体" w:eastAsia="宋体" w:cs="宋体"/>
          <w:spacing w:val="6"/>
          <w:sz w:val="20"/>
          <w:szCs w:val="20"/>
        </w:rPr>
        <w:t>2. 近</w:t>
      </w:r>
      <w:r>
        <w:rPr>
          <w:rFonts w:ascii="宋体" w:hAnsi="宋体" w:eastAsia="宋体" w:cs="宋体"/>
          <w:spacing w:val="-35"/>
          <w:sz w:val="20"/>
          <w:szCs w:val="20"/>
        </w:rPr>
        <w:t xml:space="preserve"> </w:t>
      </w:r>
      <w:r>
        <w:rPr>
          <w:rFonts w:ascii="宋体" w:hAnsi="宋体" w:eastAsia="宋体" w:cs="宋体"/>
          <w:spacing w:val="6"/>
          <w:sz w:val="20"/>
          <w:szCs w:val="20"/>
        </w:rPr>
        <w:t>5</w:t>
      </w:r>
      <w:r>
        <w:rPr>
          <w:rFonts w:ascii="宋体" w:hAnsi="宋体" w:eastAsia="宋体" w:cs="宋体"/>
          <w:spacing w:val="-37"/>
          <w:sz w:val="20"/>
          <w:szCs w:val="20"/>
        </w:rPr>
        <w:t xml:space="preserve"> </w:t>
      </w:r>
      <w:r>
        <w:rPr>
          <w:rFonts w:ascii="宋体" w:hAnsi="宋体" w:eastAsia="宋体" w:cs="宋体"/>
          <w:spacing w:val="6"/>
          <w:sz w:val="20"/>
          <w:szCs w:val="20"/>
        </w:rPr>
        <w:t>年是指从申请截止日往前推算</w:t>
      </w:r>
      <w:r>
        <w:rPr>
          <w:rFonts w:ascii="宋体" w:hAnsi="宋体" w:eastAsia="宋体" w:cs="宋体"/>
          <w:spacing w:val="-35"/>
          <w:sz w:val="20"/>
          <w:szCs w:val="20"/>
        </w:rPr>
        <w:t xml:space="preserve"> </w:t>
      </w:r>
      <w:r>
        <w:rPr>
          <w:rFonts w:ascii="宋体" w:hAnsi="宋体" w:eastAsia="宋体" w:cs="宋体"/>
          <w:spacing w:val="6"/>
          <w:sz w:val="20"/>
          <w:szCs w:val="20"/>
        </w:rPr>
        <w:t>5</w:t>
      </w:r>
      <w:r>
        <w:rPr>
          <w:rFonts w:ascii="宋体" w:hAnsi="宋体" w:eastAsia="宋体" w:cs="宋体"/>
          <w:spacing w:val="-37"/>
          <w:sz w:val="20"/>
          <w:szCs w:val="20"/>
        </w:rPr>
        <w:t xml:space="preserve"> </w:t>
      </w:r>
      <w:r>
        <w:rPr>
          <w:rFonts w:ascii="宋体" w:hAnsi="宋体" w:eastAsia="宋体" w:cs="宋体"/>
          <w:spacing w:val="6"/>
          <w:sz w:val="20"/>
          <w:szCs w:val="20"/>
        </w:rPr>
        <w:t>年至投标</w:t>
      </w:r>
      <w:r>
        <w:rPr>
          <w:rFonts w:ascii="宋体" w:hAnsi="宋体" w:eastAsia="宋体" w:cs="宋体"/>
          <w:spacing w:val="5"/>
          <w:sz w:val="20"/>
          <w:szCs w:val="20"/>
        </w:rPr>
        <w:t>截止日的前一日，例如申请截止日为</w:t>
      </w:r>
      <w:r>
        <w:rPr>
          <w:rFonts w:ascii="宋体" w:hAnsi="宋体" w:eastAsia="宋体" w:cs="宋体"/>
          <w:spacing w:val="-34"/>
          <w:sz w:val="20"/>
          <w:szCs w:val="20"/>
        </w:rPr>
        <w:t xml:space="preserve"> </w:t>
      </w:r>
      <w:r>
        <w:rPr>
          <w:rFonts w:ascii="宋体" w:hAnsi="宋体" w:eastAsia="宋体" w:cs="宋体"/>
          <w:spacing w:val="5"/>
          <w:sz w:val="20"/>
          <w:szCs w:val="20"/>
        </w:rPr>
        <w:t>2026</w:t>
      </w:r>
      <w:r>
        <w:rPr>
          <w:rFonts w:ascii="宋体" w:hAnsi="宋体" w:eastAsia="宋体" w:cs="宋体"/>
          <w:spacing w:val="1"/>
          <w:sz w:val="20"/>
          <w:szCs w:val="20"/>
        </w:rPr>
        <w:t>年</w:t>
      </w:r>
      <w:r>
        <w:rPr>
          <w:rFonts w:ascii="宋体" w:hAnsi="宋体" w:eastAsia="宋体" w:cs="宋体"/>
          <w:spacing w:val="-32"/>
          <w:sz w:val="20"/>
          <w:szCs w:val="20"/>
        </w:rPr>
        <w:t xml:space="preserve"> </w:t>
      </w:r>
      <w:r>
        <w:rPr>
          <w:rFonts w:ascii="宋体" w:hAnsi="宋体" w:eastAsia="宋体" w:cs="宋体"/>
          <w:spacing w:val="1"/>
          <w:sz w:val="20"/>
          <w:szCs w:val="20"/>
        </w:rPr>
        <w:t>2</w:t>
      </w:r>
      <w:r>
        <w:rPr>
          <w:rFonts w:ascii="宋体" w:hAnsi="宋体" w:eastAsia="宋体" w:cs="宋体"/>
          <w:spacing w:val="-31"/>
          <w:sz w:val="20"/>
          <w:szCs w:val="20"/>
        </w:rPr>
        <w:t xml:space="preserve"> </w:t>
      </w:r>
      <w:r>
        <w:rPr>
          <w:rFonts w:ascii="宋体" w:hAnsi="宋体" w:eastAsia="宋体" w:cs="宋体"/>
          <w:spacing w:val="1"/>
          <w:sz w:val="20"/>
          <w:szCs w:val="20"/>
        </w:rPr>
        <w:t>月</w:t>
      </w:r>
      <w:r>
        <w:rPr>
          <w:rFonts w:ascii="宋体" w:hAnsi="宋体" w:eastAsia="宋体" w:cs="宋体"/>
          <w:spacing w:val="-19"/>
          <w:sz w:val="20"/>
          <w:szCs w:val="20"/>
        </w:rPr>
        <w:t xml:space="preserve"> </w:t>
      </w:r>
      <w:r>
        <w:rPr>
          <w:rFonts w:ascii="宋体" w:hAnsi="宋体" w:eastAsia="宋体" w:cs="宋体"/>
          <w:spacing w:val="1"/>
          <w:sz w:val="20"/>
          <w:szCs w:val="20"/>
        </w:rPr>
        <w:t>1 日，投标截止日为</w:t>
      </w:r>
      <w:r>
        <w:rPr>
          <w:rFonts w:ascii="宋体" w:hAnsi="宋体" w:eastAsia="宋体" w:cs="宋体"/>
          <w:spacing w:val="-34"/>
          <w:sz w:val="20"/>
          <w:szCs w:val="20"/>
        </w:rPr>
        <w:t xml:space="preserve"> </w:t>
      </w:r>
      <w:r>
        <w:rPr>
          <w:rFonts w:ascii="宋体" w:hAnsi="宋体" w:eastAsia="宋体" w:cs="宋体"/>
          <w:spacing w:val="1"/>
          <w:sz w:val="20"/>
          <w:szCs w:val="20"/>
        </w:rPr>
        <w:t>2026</w:t>
      </w:r>
      <w:r>
        <w:rPr>
          <w:rFonts w:ascii="宋体" w:hAnsi="宋体" w:eastAsia="宋体" w:cs="宋体"/>
          <w:spacing w:val="-35"/>
          <w:sz w:val="20"/>
          <w:szCs w:val="20"/>
        </w:rPr>
        <w:t xml:space="preserve"> </w:t>
      </w:r>
      <w:r>
        <w:rPr>
          <w:rFonts w:ascii="宋体" w:hAnsi="宋体" w:eastAsia="宋体" w:cs="宋体"/>
          <w:spacing w:val="1"/>
          <w:sz w:val="20"/>
          <w:szCs w:val="20"/>
        </w:rPr>
        <w:t>年</w:t>
      </w:r>
      <w:r>
        <w:rPr>
          <w:rFonts w:ascii="宋体" w:hAnsi="宋体" w:eastAsia="宋体" w:cs="宋体"/>
          <w:spacing w:val="-30"/>
          <w:sz w:val="20"/>
          <w:szCs w:val="20"/>
        </w:rPr>
        <w:t xml:space="preserve"> </w:t>
      </w:r>
      <w:r>
        <w:rPr>
          <w:rFonts w:ascii="宋体" w:hAnsi="宋体" w:eastAsia="宋体" w:cs="宋体"/>
          <w:spacing w:val="1"/>
          <w:sz w:val="20"/>
          <w:szCs w:val="20"/>
        </w:rPr>
        <w:t>3</w:t>
      </w:r>
      <w:r>
        <w:rPr>
          <w:rFonts w:ascii="宋体" w:hAnsi="宋体" w:eastAsia="宋体" w:cs="宋体"/>
          <w:spacing w:val="-30"/>
          <w:sz w:val="20"/>
          <w:szCs w:val="20"/>
        </w:rPr>
        <w:t xml:space="preserve"> </w:t>
      </w:r>
      <w:r>
        <w:rPr>
          <w:rFonts w:ascii="宋体" w:hAnsi="宋体" w:eastAsia="宋体" w:cs="宋体"/>
          <w:spacing w:val="1"/>
          <w:sz w:val="20"/>
          <w:szCs w:val="20"/>
        </w:rPr>
        <w:t>月</w:t>
      </w:r>
      <w:r>
        <w:rPr>
          <w:rFonts w:ascii="宋体" w:hAnsi="宋体" w:eastAsia="宋体" w:cs="宋体"/>
          <w:spacing w:val="-28"/>
          <w:sz w:val="20"/>
          <w:szCs w:val="20"/>
        </w:rPr>
        <w:t xml:space="preserve"> </w:t>
      </w:r>
      <w:r>
        <w:rPr>
          <w:rFonts w:ascii="宋体" w:hAnsi="宋体" w:eastAsia="宋体" w:cs="宋体"/>
          <w:spacing w:val="1"/>
          <w:sz w:val="20"/>
          <w:szCs w:val="20"/>
        </w:rPr>
        <w:t>5 日，</w:t>
      </w:r>
      <w:r>
        <w:rPr>
          <w:rFonts w:ascii="宋体" w:hAnsi="宋体" w:eastAsia="宋体" w:cs="宋体"/>
          <w:sz w:val="20"/>
          <w:szCs w:val="20"/>
        </w:rPr>
        <w:t>则近</w:t>
      </w:r>
      <w:r>
        <w:rPr>
          <w:rFonts w:ascii="宋体" w:hAnsi="宋体" w:eastAsia="宋体" w:cs="宋体"/>
          <w:spacing w:val="-31"/>
          <w:sz w:val="20"/>
          <w:szCs w:val="20"/>
        </w:rPr>
        <w:t xml:space="preserve"> </w:t>
      </w:r>
      <w:r>
        <w:rPr>
          <w:rFonts w:ascii="宋体" w:hAnsi="宋体" w:eastAsia="宋体" w:cs="宋体"/>
          <w:sz w:val="20"/>
          <w:szCs w:val="20"/>
        </w:rPr>
        <w:t>5</w:t>
      </w:r>
      <w:r>
        <w:rPr>
          <w:rFonts w:ascii="宋体" w:hAnsi="宋体" w:eastAsia="宋体" w:cs="宋体"/>
          <w:spacing w:val="-34"/>
          <w:sz w:val="20"/>
          <w:szCs w:val="20"/>
        </w:rPr>
        <w:t xml:space="preserve"> </w:t>
      </w:r>
      <w:r>
        <w:rPr>
          <w:rFonts w:ascii="宋体" w:hAnsi="宋体" w:eastAsia="宋体" w:cs="宋体"/>
          <w:sz w:val="20"/>
          <w:szCs w:val="20"/>
        </w:rPr>
        <w:t>年是指</w:t>
      </w:r>
      <w:r>
        <w:rPr>
          <w:rFonts w:ascii="宋体" w:hAnsi="宋体" w:eastAsia="宋体" w:cs="宋体"/>
          <w:spacing w:val="-30"/>
          <w:sz w:val="20"/>
          <w:szCs w:val="20"/>
        </w:rPr>
        <w:t xml:space="preserve"> </w:t>
      </w:r>
      <w:r>
        <w:rPr>
          <w:rFonts w:ascii="宋体" w:hAnsi="宋体" w:eastAsia="宋体" w:cs="宋体"/>
          <w:sz w:val="20"/>
          <w:szCs w:val="20"/>
        </w:rPr>
        <w:t>2021</w:t>
      </w:r>
      <w:r>
        <w:rPr>
          <w:rFonts w:ascii="宋体" w:hAnsi="宋体" w:eastAsia="宋体" w:cs="宋体"/>
          <w:spacing w:val="-37"/>
          <w:sz w:val="20"/>
          <w:szCs w:val="20"/>
        </w:rPr>
        <w:t xml:space="preserve"> </w:t>
      </w:r>
      <w:r>
        <w:rPr>
          <w:rFonts w:ascii="宋体" w:hAnsi="宋体" w:eastAsia="宋体" w:cs="宋体"/>
          <w:sz w:val="20"/>
          <w:szCs w:val="20"/>
        </w:rPr>
        <w:t>年</w:t>
      </w:r>
      <w:r>
        <w:rPr>
          <w:rFonts w:ascii="宋体" w:hAnsi="宋体" w:eastAsia="宋体" w:cs="宋体"/>
          <w:spacing w:val="-29"/>
          <w:sz w:val="20"/>
          <w:szCs w:val="20"/>
        </w:rPr>
        <w:t xml:space="preserve"> </w:t>
      </w:r>
      <w:r>
        <w:rPr>
          <w:rFonts w:ascii="宋体" w:hAnsi="宋体" w:eastAsia="宋体" w:cs="宋体"/>
          <w:sz w:val="20"/>
          <w:szCs w:val="20"/>
        </w:rPr>
        <w:t>2</w:t>
      </w:r>
      <w:r>
        <w:rPr>
          <w:rFonts w:ascii="宋体" w:hAnsi="宋体" w:eastAsia="宋体" w:cs="宋体"/>
          <w:spacing w:val="-31"/>
          <w:sz w:val="20"/>
          <w:szCs w:val="20"/>
        </w:rPr>
        <w:t xml:space="preserve"> </w:t>
      </w:r>
      <w:r>
        <w:rPr>
          <w:rFonts w:ascii="宋体" w:hAnsi="宋体" w:eastAsia="宋体" w:cs="宋体"/>
          <w:sz w:val="20"/>
          <w:szCs w:val="20"/>
        </w:rPr>
        <w:t>月</w:t>
      </w:r>
      <w:r>
        <w:rPr>
          <w:rFonts w:ascii="宋体" w:hAnsi="宋体" w:eastAsia="宋体" w:cs="宋体"/>
          <w:spacing w:val="-19"/>
          <w:sz w:val="20"/>
          <w:szCs w:val="20"/>
        </w:rPr>
        <w:t xml:space="preserve"> </w:t>
      </w:r>
      <w:r>
        <w:rPr>
          <w:rFonts w:ascii="宋体" w:hAnsi="宋体" w:eastAsia="宋体" w:cs="宋体"/>
          <w:sz w:val="20"/>
          <w:szCs w:val="20"/>
        </w:rPr>
        <w:t>1 日至</w:t>
      </w:r>
      <w:r>
        <w:rPr>
          <w:rFonts w:ascii="宋体" w:hAnsi="宋体" w:eastAsia="宋体" w:cs="宋体"/>
          <w:spacing w:val="-30"/>
          <w:sz w:val="20"/>
          <w:szCs w:val="20"/>
        </w:rPr>
        <w:t xml:space="preserve"> </w:t>
      </w:r>
      <w:r>
        <w:rPr>
          <w:rFonts w:ascii="宋体" w:hAnsi="宋体" w:eastAsia="宋体" w:cs="宋体"/>
          <w:sz w:val="20"/>
          <w:szCs w:val="20"/>
        </w:rPr>
        <w:t>2026</w:t>
      </w:r>
      <w:r>
        <w:rPr>
          <w:rFonts w:ascii="宋体" w:hAnsi="宋体" w:eastAsia="宋体" w:cs="宋体"/>
          <w:spacing w:val="6"/>
          <w:sz w:val="20"/>
          <w:szCs w:val="20"/>
        </w:rPr>
        <w:t>年</w:t>
      </w:r>
      <w:r>
        <w:rPr>
          <w:rFonts w:ascii="宋体" w:hAnsi="宋体" w:eastAsia="宋体" w:cs="宋体"/>
          <w:spacing w:val="-28"/>
          <w:sz w:val="20"/>
          <w:szCs w:val="20"/>
        </w:rPr>
        <w:t xml:space="preserve"> </w:t>
      </w:r>
      <w:r>
        <w:rPr>
          <w:rFonts w:ascii="宋体" w:hAnsi="宋体" w:eastAsia="宋体" w:cs="宋体"/>
          <w:spacing w:val="6"/>
          <w:sz w:val="20"/>
          <w:szCs w:val="20"/>
        </w:rPr>
        <w:t>3</w:t>
      </w:r>
      <w:r>
        <w:rPr>
          <w:rFonts w:ascii="宋体" w:hAnsi="宋体" w:eastAsia="宋体" w:cs="宋体"/>
          <w:spacing w:val="-33"/>
          <w:sz w:val="20"/>
          <w:szCs w:val="20"/>
        </w:rPr>
        <w:t xml:space="preserve"> </w:t>
      </w:r>
      <w:r>
        <w:rPr>
          <w:rFonts w:ascii="宋体" w:hAnsi="宋体" w:eastAsia="宋体" w:cs="宋体"/>
          <w:spacing w:val="6"/>
          <w:sz w:val="20"/>
          <w:szCs w:val="20"/>
        </w:rPr>
        <w:t>月</w:t>
      </w:r>
      <w:r>
        <w:rPr>
          <w:rFonts w:ascii="宋体" w:hAnsi="宋体" w:eastAsia="宋体" w:cs="宋体"/>
          <w:spacing w:val="-40"/>
          <w:sz w:val="20"/>
          <w:szCs w:val="20"/>
        </w:rPr>
        <w:t xml:space="preserve"> </w:t>
      </w:r>
      <w:r>
        <w:rPr>
          <w:rFonts w:ascii="宋体" w:hAnsi="宋体" w:eastAsia="宋体" w:cs="宋体"/>
          <w:spacing w:val="6"/>
          <w:sz w:val="20"/>
          <w:szCs w:val="20"/>
        </w:rPr>
        <w:t>4 日。以工程接收证书或工程竣工验收证书（工程竣工验收备案证）时间为准。</w:t>
      </w:r>
    </w:p>
    <w:p w14:paraId="46294878">
      <w:pPr>
        <w:spacing w:before="1" w:line="251" w:lineRule="auto"/>
        <w:ind w:left="943" w:hanging="311"/>
        <w:rPr>
          <w:rFonts w:ascii="宋体" w:hAnsi="宋体" w:eastAsia="宋体" w:cs="宋体"/>
          <w:sz w:val="20"/>
          <w:szCs w:val="20"/>
        </w:rPr>
      </w:pPr>
      <w:r>
        <w:rPr>
          <w:rFonts w:ascii="宋体" w:hAnsi="宋体" w:eastAsia="宋体" w:cs="宋体"/>
          <w:spacing w:val="4"/>
          <w:sz w:val="20"/>
          <w:szCs w:val="20"/>
        </w:rPr>
        <w:t>3．本表后附中标通知书（如有）、合同协议书、施工许可证（如有）、工程</w:t>
      </w:r>
      <w:r>
        <w:rPr>
          <w:rFonts w:ascii="宋体" w:hAnsi="宋体" w:eastAsia="宋体" w:cs="宋体"/>
          <w:spacing w:val="3"/>
          <w:sz w:val="20"/>
          <w:szCs w:val="20"/>
        </w:rPr>
        <w:t>接收证书或工程</w:t>
      </w:r>
      <w:r>
        <w:rPr>
          <w:rFonts w:ascii="宋体" w:hAnsi="宋体" w:eastAsia="宋体" w:cs="宋体"/>
          <w:spacing w:val="8"/>
          <w:sz w:val="20"/>
          <w:szCs w:val="20"/>
        </w:rPr>
        <w:t>竣工验收证书（工程竣工验收备案证）的扫描件，上述证明材料不足以反映“类似项目</w:t>
      </w:r>
      <w:r>
        <w:rPr>
          <w:rFonts w:ascii="宋体" w:hAnsi="宋体" w:eastAsia="宋体" w:cs="宋体"/>
          <w:spacing w:val="-61"/>
          <w:sz w:val="20"/>
          <w:szCs w:val="20"/>
        </w:rPr>
        <w:t xml:space="preserve"> </w:t>
      </w:r>
      <w:r>
        <w:rPr>
          <w:rFonts w:ascii="宋体" w:hAnsi="宋体" w:eastAsia="宋体" w:cs="宋体"/>
          <w:spacing w:val="8"/>
          <w:sz w:val="20"/>
          <w:szCs w:val="20"/>
        </w:rPr>
        <w:t>”</w:t>
      </w:r>
      <w:r>
        <w:rPr>
          <w:rFonts w:ascii="宋体" w:hAnsi="宋体" w:eastAsia="宋体" w:cs="宋体"/>
          <w:spacing w:val="9"/>
          <w:sz w:val="20"/>
          <w:szCs w:val="20"/>
        </w:rPr>
        <w:t>的工程特征指标时，还应当提供其他技术资料的扫描件予以证明。招标发包的工程应附</w:t>
      </w:r>
      <w:r>
        <w:rPr>
          <w:rFonts w:ascii="宋体" w:hAnsi="宋体" w:eastAsia="宋体" w:cs="宋体"/>
          <w:spacing w:val="1"/>
          <w:sz w:val="20"/>
          <w:szCs w:val="20"/>
        </w:rPr>
        <w:t xml:space="preserve"> </w:t>
      </w:r>
      <w:r>
        <w:rPr>
          <w:rFonts w:ascii="宋体" w:hAnsi="宋体" w:eastAsia="宋体" w:cs="宋体"/>
          <w:spacing w:val="9"/>
          <w:sz w:val="20"/>
          <w:szCs w:val="20"/>
        </w:rPr>
        <w:t>中标通知书。以工程接收证书或工程竣工验收证书（工程竣工验收备案证）时间为准。</w:t>
      </w:r>
    </w:p>
    <w:p w14:paraId="03B67753">
      <w:pPr>
        <w:spacing w:before="1" w:line="227" w:lineRule="auto"/>
        <w:ind w:left="627"/>
        <w:rPr>
          <w:rFonts w:ascii="宋体" w:hAnsi="宋体" w:eastAsia="宋体" w:cs="宋体"/>
          <w:sz w:val="20"/>
          <w:szCs w:val="20"/>
        </w:rPr>
      </w:pPr>
      <w:r>
        <w:rPr>
          <w:rFonts w:ascii="宋体" w:hAnsi="宋体" w:eastAsia="宋体" w:cs="宋体"/>
          <w:spacing w:val="8"/>
          <w:sz w:val="20"/>
          <w:szCs w:val="20"/>
        </w:rPr>
        <w:t>4. 每张表格只填写一个项目，并标明序号。</w:t>
      </w:r>
    </w:p>
    <w:p w14:paraId="4D20DAD2">
      <w:pPr>
        <w:spacing w:line="227" w:lineRule="auto"/>
        <w:rPr>
          <w:rFonts w:ascii="宋体" w:hAnsi="宋体" w:eastAsia="宋体" w:cs="宋体"/>
          <w:sz w:val="20"/>
          <w:szCs w:val="20"/>
        </w:rPr>
        <w:sectPr>
          <w:headerReference r:id="rId537" w:type="default"/>
          <w:footerReference r:id="rId538" w:type="default"/>
          <w:pgSz w:w="11907" w:h="16840"/>
          <w:pgMar w:top="2122" w:right="1325" w:bottom="1247" w:left="1484" w:header="1752" w:footer="1085" w:gutter="0"/>
          <w:cols w:space="720" w:num="1"/>
        </w:sectPr>
      </w:pPr>
    </w:p>
    <w:p w14:paraId="114809B8">
      <w:pPr>
        <w:spacing w:line="265" w:lineRule="auto"/>
        <w:rPr>
          <w:rFonts w:ascii="Arial"/>
          <w:sz w:val="21"/>
        </w:rPr>
      </w:pPr>
    </w:p>
    <w:p w14:paraId="70064EB0">
      <w:pPr>
        <w:spacing w:line="266" w:lineRule="auto"/>
        <w:rPr>
          <w:rFonts w:ascii="Arial"/>
          <w:sz w:val="21"/>
        </w:rPr>
      </w:pPr>
    </w:p>
    <w:p w14:paraId="471B6E05">
      <w:pPr>
        <w:spacing w:line="266" w:lineRule="auto"/>
        <w:rPr>
          <w:rFonts w:ascii="Arial"/>
          <w:sz w:val="21"/>
        </w:rPr>
      </w:pPr>
    </w:p>
    <w:p w14:paraId="236DF041">
      <w:pPr>
        <w:spacing w:line="266" w:lineRule="auto"/>
        <w:rPr>
          <w:rFonts w:ascii="Arial"/>
          <w:sz w:val="21"/>
        </w:rPr>
      </w:pPr>
    </w:p>
    <w:p w14:paraId="26C878B6">
      <w:pPr>
        <w:spacing w:line="266" w:lineRule="auto"/>
        <w:rPr>
          <w:rFonts w:ascii="Arial"/>
          <w:sz w:val="21"/>
        </w:rPr>
      </w:pPr>
    </w:p>
    <w:p w14:paraId="079E044D">
      <w:pPr>
        <w:pStyle w:val="2"/>
        <w:spacing w:before="78" w:line="221" w:lineRule="auto"/>
        <w:ind w:left="2266"/>
        <w:outlineLvl w:val="2"/>
        <w:rPr>
          <w:sz w:val="24"/>
          <w:szCs w:val="24"/>
        </w:rPr>
      </w:pPr>
      <w:bookmarkStart w:id="442" w:name="bookmark421"/>
      <w:bookmarkEnd w:id="442"/>
      <w:bookmarkStart w:id="443" w:name="bookmark420"/>
      <w:bookmarkEnd w:id="443"/>
      <w:r>
        <w:rPr>
          <w:spacing w:val="-2"/>
          <w:sz w:val="24"/>
          <w:szCs w:val="24"/>
        </w:rPr>
        <w:t>（四）正在施工的和新承接的项目情况</w:t>
      </w:r>
    </w:p>
    <w:p w14:paraId="16A5897B">
      <w:pPr>
        <w:spacing w:line="342" w:lineRule="auto"/>
        <w:rPr>
          <w:rFonts w:ascii="Arial"/>
          <w:sz w:val="21"/>
        </w:rPr>
      </w:pPr>
    </w:p>
    <w:p w14:paraId="5F70BB01">
      <w:pPr>
        <w:pStyle w:val="2"/>
        <w:spacing w:before="78" w:line="221" w:lineRule="auto"/>
        <w:ind w:left="2290"/>
        <w:outlineLvl w:val="2"/>
        <w:rPr>
          <w:sz w:val="24"/>
          <w:szCs w:val="24"/>
        </w:rPr>
      </w:pPr>
      <w:bookmarkStart w:id="444" w:name="bookmark475"/>
      <w:bookmarkEnd w:id="444"/>
      <w:r>
        <w:rPr>
          <w:rFonts w:ascii="Times New Roman" w:hAnsi="Times New Roman" w:eastAsia="Times New Roman" w:cs="Times New Roman"/>
          <w:spacing w:val="-2"/>
          <w:sz w:val="24"/>
          <w:szCs w:val="24"/>
        </w:rPr>
        <w:t>4-</w:t>
      </w:r>
      <w:r>
        <w:rPr>
          <w:rFonts w:ascii="Times New Roman" w:hAnsi="Times New Roman" w:eastAsia="Times New Roman" w:cs="Times New Roman"/>
          <w:spacing w:val="-30"/>
          <w:sz w:val="24"/>
          <w:szCs w:val="24"/>
        </w:rPr>
        <w:t xml:space="preserve"> </w:t>
      </w:r>
      <w:r>
        <w:rPr>
          <w:rFonts w:ascii="Times New Roman" w:hAnsi="Times New Roman" w:eastAsia="Times New Roman" w:cs="Times New Roman"/>
          <w:spacing w:val="-2"/>
          <w:sz w:val="24"/>
          <w:szCs w:val="24"/>
        </w:rPr>
        <w:t xml:space="preserve">1 </w:t>
      </w:r>
      <w:r>
        <w:rPr>
          <w:spacing w:val="-2"/>
          <w:sz w:val="24"/>
          <w:szCs w:val="24"/>
        </w:rPr>
        <w:t>正在施工的和新承接的项目汇总表</w:t>
      </w:r>
    </w:p>
    <w:p w14:paraId="33B6DB87">
      <w:pPr>
        <w:spacing w:before="69"/>
      </w:pPr>
    </w:p>
    <w:tbl>
      <w:tblPr>
        <w:tblStyle w:val="5"/>
        <w:tblW w:w="88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5"/>
        <w:gridCol w:w="1845"/>
        <w:gridCol w:w="1393"/>
        <w:gridCol w:w="1079"/>
        <w:gridCol w:w="1111"/>
        <w:gridCol w:w="1777"/>
        <w:gridCol w:w="1084"/>
      </w:tblGrid>
      <w:tr w14:paraId="2F99F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545" w:type="dxa"/>
            <w:textDirection w:val="tbRlV"/>
            <w:vAlign w:val="top"/>
          </w:tcPr>
          <w:p w14:paraId="5E91A4DD">
            <w:pPr>
              <w:pStyle w:val="6"/>
              <w:spacing w:before="165" w:line="218" w:lineRule="auto"/>
              <w:ind w:left="162"/>
            </w:pPr>
            <w:r>
              <w:rPr>
                <w:spacing w:val="8"/>
              </w:rPr>
              <w:t>序</w:t>
            </w:r>
            <w:r>
              <w:rPr>
                <w:spacing w:val="92"/>
              </w:rPr>
              <w:t xml:space="preserve"> </w:t>
            </w:r>
            <w:r>
              <w:rPr>
                <w:spacing w:val="8"/>
              </w:rPr>
              <w:t>号</w:t>
            </w:r>
          </w:p>
        </w:tc>
        <w:tc>
          <w:tcPr>
            <w:tcW w:w="1845" w:type="dxa"/>
            <w:vAlign w:val="top"/>
          </w:tcPr>
          <w:p w14:paraId="31088A1F">
            <w:pPr>
              <w:spacing w:line="298" w:lineRule="auto"/>
              <w:rPr>
                <w:rFonts w:ascii="Arial"/>
                <w:sz w:val="21"/>
              </w:rPr>
            </w:pPr>
          </w:p>
          <w:p w14:paraId="362818E1">
            <w:pPr>
              <w:pStyle w:val="6"/>
              <w:spacing w:before="65" w:line="228" w:lineRule="auto"/>
              <w:ind w:left="509"/>
            </w:pPr>
            <w:r>
              <w:rPr>
                <w:spacing w:val="6"/>
              </w:rPr>
              <w:t>项目名称</w:t>
            </w:r>
          </w:p>
        </w:tc>
        <w:tc>
          <w:tcPr>
            <w:tcW w:w="1393" w:type="dxa"/>
            <w:vAlign w:val="top"/>
          </w:tcPr>
          <w:p w14:paraId="6AE9E862">
            <w:pPr>
              <w:spacing w:line="298" w:lineRule="auto"/>
              <w:rPr>
                <w:rFonts w:ascii="Arial"/>
                <w:sz w:val="21"/>
              </w:rPr>
            </w:pPr>
          </w:p>
          <w:p w14:paraId="479915F3">
            <w:pPr>
              <w:pStyle w:val="6"/>
              <w:spacing w:before="65" w:line="228" w:lineRule="auto"/>
              <w:ind w:left="179"/>
            </w:pPr>
            <w:r>
              <w:rPr>
                <w:spacing w:val="7"/>
              </w:rPr>
              <w:t>发包人名称</w:t>
            </w:r>
          </w:p>
        </w:tc>
        <w:tc>
          <w:tcPr>
            <w:tcW w:w="1079" w:type="dxa"/>
            <w:vAlign w:val="top"/>
          </w:tcPr>
          <w:p w14:paraId="3B086894">
            <w:pPr>
              <w:spacing w:line="297" w:lineRule="auto"/>
              <w:rPr>
                <w:rFonts w:ascii="Arial"/>
                <w:sz w:val="21"/>
              </w:rPr>
            </w:pPr>
          </w:p>
          <w:p w14:paraId="19C1F7AE">
            <w:pPr>
              <w:pStyle w:val="6"/>
              <w:spacing w:before="65" w:line="228" w:lineRule="auto"/>
              <w:ind w:left="127"/>
            </w:pPr>
            <w:r>
              <w:rPr>
                <w:spacing w:val="6"/>
              </w:rPr>
              <w:t>工程规模</w:t>
            </w:r>
          </w:p>
        </w:tc>
        <w:tc>
          <w:tcPr>
            <w:tcW w:w="1111" w:type="dxa"/>
            <w:vAlign w:val="top"/>
          </w:tcPr>
          <w:p w14:paraId="571C946A">
            <w:pPr>
              <w:pStyle w:val="6"/>
              <w:spacing w:before="163" w:line="226" w:lineRule="auto"/>
              <w:ind w:left="143"/>
            </w:pPr>
            <w:r>
              <w:rPr>
                <w:spacing w:val="7"/>
              </w:rPr>
              <w:t>合同价格</w:t>
            </w:r>
          </w:p>
          <w:p w14:paraId="7A4CC3E8">
            <w:pPr>
              <w:pStyle w:val="6"/>
              <w:spacing w:before="156" w:line="217" w:lineRule="auto"/>
              <w:ind w:left="99"/>
            </w:pPr>
            <w:r>
              <w:rPr>
                <w:spacing w:val="2"/>
              </w:rPr>
              <w:t>（万元）</w:t>
            </w:r>
          </w:p>
        </w:tc>
        <w:tc>
          <w:tcPr>
            <w:tcW w:w="1777" w:type="dxa"/>
            <w:vAlign w:val="top"/>
          </w:tcPr>
          <w:p w14:paraId="509C8033">
            <w:pPr>
              <w:pStyle w:val="6"/>
              <w:spacing w:before="162" w:line="294" w:lineRule="auto"/>
              <w:ind w:left="583" w:right="360" w:hanging="213"/>
            </w:pPr>
            <w:r>
              <w:rPr>
                <w:spacing w:val="8"/>
              </w:rPr>
              <w:t>计划开、竣</w:t>
            </w:r>
            <w:r>
              <w:rPr>
                <w:spacing w:val="6"/>
              </w:rPr>
              <w:t>工日期</w:t>
            </w:r>
          </w:p>
        </w:tc>
        <w:tc>
          <w:tcPr>
            <w:tcW w:w="1084" w:type="dxa"/>
            <w:vAlign w:val="top"/>
          </w:tcPr>
          <w:p w14:paraId="430FE0BF">
            <w:pPr>
              <w:spacing w:line="298" w:lineRule="auto"/>
              <w:rPr>
                <w:rFonts w:ascii="Arial"/>
                <w:sz w:val="21"/>
              </w:rPr>
            </w:pPr>
          </w:p>
          <w:p w14:paraId="21296AAF">
            <w:pPr>
              <w:pStyle w:val="6"/>
              <w:spacing w:before="65" w:line="228" w:lineRule="auto"/>
              <w:ind w:left="130"/>
            </w:pPr>
            <w:r>
              <w:rPr>
                <w:spacing w:val="6"/>
              </w:rPr>
              <w:t>项目经理</w:t>
            </w:r>
          </w:p>
        </w:tc>
      </w:tr>
      <w:tr w14:paraId="7F1D31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7F22C400">
            <w:pPr>
              <w:rPr>
                <w:rFonts w:ascii="Arial"/>
                <w:sz w:val="21"/>
              </w:rPr>
            </w:pPr>
          </w:p>
        </w:tc>
        <w:tc>
          <w:tcPr>
            <w:tcW w:w="1845" w:type="dxa"/>
            <w:vAlign w:val="top"/>
          </w:tcPr>
          <w:p w14:paraId="2736F42A">
            <w:pPr>
              <w:rPr>
                <w:rFonts w:ascii="Arial"/>
                <w:sz w:val="21"/>
              </w:rPr>
            </w:pPr>
          </w:p>
        </w:tc>
        <w:tc>
          <w:tcPr>
            <w:tcW w:w="1393" w:type="dxa"/>
            <w:vAlign w:val="top"/>
          </w:tcPr>
          <w:p w14:paraId="0C6730A5">
            <w:pPr>
              <w:rPr>
                <w:rFonts w:ascii="Arial"/>
                <w:sz w:val="21"/>
              </w:rPr>
            </w:pPr>
          </w:p>
        </w:tc>
        <w:tc>
          <w:tcPr>
            <w:tcW w:w="1079" w:type="dxa"/>
            <w:vAlign w:val="top"/>
          </w:tcPr>
          <w:p w14:paraId="34714F35">
            <w:pPr>
              <w:rPr>
                <w:rFonts w:ascii="Arial"/>
                <w:sz w:val="21"/>
              </w:rPr>
            </w:pPr>
          </w:p>
        </w:tc>
        <w:tc>
          <w:tcPr>
            <w:tcW w:w="1111" w:type="dxa"/>
            <w:vAlign w:val="top"/>
          </w:tcPr>
          <w:p w14:paraId="2BAD0AC6">
            <w:pPr>
              <w:rPr>
                <w:rFonts w:ascii="Arial"/>
                <w:sz w:val="21"/>
              </w:rPr>
            </w:pPr>
          </w:p>
        </w:tc>
        <w:tc>
          <w:tcPr>
            <w:tcW w:w="1777" w:type="dxa"/>
            <w:vAlign w:val="top"/>
          </w:tcPr>
          <w:p w14:paraId="02FAACFB">
            <w:pPr>
              <w:rPr>
                <w:rFonts w:ascii="Arial"/>
                <w:sz w:val="21"/>
              </w:rPr>
            </w:pPr>
          </w:p>
        </w:tc>
        <w:tc>
          <w:tcPr>
            <w:tcW w:w="1084" w:type="dxa"/>
            <w:vAlign w:val="top"/>
          </w:tcPr>
          <w:p w14:paraId="2B0B218C">
            <w:pPr>
              <w:rPr>
                <w:rFonts w:ascii="Arial"/>
                <w:sz w:val="21"/>
              </w:rPr>
            </w:pPr>
          </w:p>
        </w:tc>
      </w:tr>
      <w:tr w14:paraId="012E2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73A276D7">
            <w:pPr>
              <w:rPr>
                <w:rFonts w:ascii="Arial"/>
                <w:sz w:val="21"/>
              </w:rPr>
            </w:pPr>
          </w:p>
        </w:tc>
        <w:tc>
          <w:tcPr>
            <w:tcW w:w="1845" w:type="dxa"/>
            <w:vAlign w:val="top"/>
          </w:tcPr>
          <w:p w14:paraId="72DD008B">
            <w:pPr>
              <w:rPr>
                <w:rFonts w:ascii="Arial"/>
                <w:sz w:val="21"/>
              </w:rPr>
            </w:pPr>
          </w:p>
        </w:tc>
        <w:tc>
          <w:tcPr>
            <w:tcW w:w="1393" w:type="dxa"/>
            <w:vAlign w:val="top"/>
          </w:tcPr>
          <w:p w14:paraId="70DBAF6D">
            <w:pPr>
              <w:rPr>
                <w:rFonts w:ascii="Arial"/>
                <w:sz w:val="21"/>
              </w:rPr>
            </w:pPr>
          </w:p>
        </w:tc>
        <w:tc>
          <w:tcPr>
            <w:tcW w:w="1079" w:type="dxa"/>
            <w:vAlign w:val="top"/>
          </w:tcPr>
          <w:p w14:paraId="4730D83F">
            <w:pPr>
              <w:rPr>
                <w:rFonts w:ascii="Arial"/>
                <w:sz w:val="21"/>
              </w:rPr>
            </w:pPr>
          </w:p>
        </w:tc>
        <w:tc>
          <w:tcPr>
            <w:tcW w:w="1111" w:type="dxa"/>
            <w:vAlign w:val="top"/>
          </w:tcPr>
          <w:p w14:paraId="2DF17531">
            <w:pPr>
              <w:rPr>
                <w:rFonts w:ascii="Arial"/>
                <w:sz w:val="21"/>
              </w:rPr>
            </w:pPr>
          </w:p>
        </w:tc>
        <w:tc>
          <w:tcPr>
            <w:tcW w:w="1777" w:type="dxa"/>
            <w:vAlign w:val="top"/>
          </w:tcPr>
          <w:p w14:paraId="5B47E65A">
            <w:pPr>
              <w:rPr>
                <w:rFonts w:ascii="Arial"/>
                <w:sz w:val="21"/>
              </w:rPr>
            </w:pPr>
          </w:p>
        </w:tc>
        <w:tc>
          <w:tcPr>
            <w:tcW w:w="1084" w:type="dxa"/>
            <w:vAlign w:val="top"/>
          </w:tcPr>
          <w:p w14:paraId="7CC125C5">
            <w:pPr>
              <w:rPr>
                <w:rFonts w:ascii="Arial"/>
                <w:sz w:val="21"/>
              </w:rPr>
            </w:pPr>
          </w:p>
        </w:tc>
      </w:tr>
      <w:tr w14:paraId="746D4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6649EFC6">
            <w:pPr>
              <w:rPr>
                <w:rFonts w:ascii="Arial"/>
                <w:sz w:val="21"/>
              </w:rPr>
            </w:pPr>
          </w:p>
        </w:tc>
        <w:tc>
          <w:tcPr>
            <w:tcW w:w="1845" w:type="dxa"/>
            <w:vAlign w:val="top"/>
          </w:tcPr>
          <w:p w14:paraId="146B2863">
            <w:pPr>
              <w:rPr>
                <w:rFonts w:ascii="Arial"/>
                <w:sz w:val="21"/>
              </w:rPr>
            </w:pPr>
          </w:p>
        </w:tc>
        <w:tc>
          <w:tcPr>
            <w:tcW w:w="1393" w:type="dxa"/>
            <w:vAlign w:val="top"/>
          </w:tcPr>
          <w:p w14:paraId="22C9BBED">
            <w:pPr>
              <w:rPr>
                <w:rFonts w:ascii="Arial"/>
                <w:sz w:val="21"/>
              </w:rPr>
            </w:pPr>
          </w:p>
        </w:tc>
        <w:tc>
          <w:tcPr>
            <w:tcW w:w="1079" w:type="dxa"/>
            <w:vAlign w:val="top"/>
          </w:tcPr>
          <w:p w14:paraId="6225641A">
            <w:pPr>
              <w:rPr>
                <w:rFonts w:ascii="Arial"/>
                <w:sz w:val="21"/>
              </w:rPr>
            </w:pPr>
          </w:p>
        </w:tc>
        <w:tc>
          <w:tcPr>
            <w:tcW w:w="1111" w:type="dxa"/>
            <w:vAlign w:val="top"/>
          </w:tcPr>
          <w:p w14:paraId="0C95BB07">
            <w:pPr>
              <w:rPr>
                <w:rFonts w:ascii="Arial"/>
                <w:sz w:val="21"/>
              </w:rPr>
            </w:pPr>
          </w:p>
        </w:tc>
        <w:tc>
          <w:tcPr>
            <w:tcW w:w="1777" w:type="dxa"/>
            <w:vAlign w:val="top"/>
          </w:tcPr>
          <w:p w14:paraId="63CCFA11">
            <w:pPr>
              <w:rPr>
                <w:rFonts w:ascii="Arial"/>
                <w:sz w:val="21"/>
              </w:rPr>
            </w:pPr>
          </w:p>
        </w:tc>
        <w:tc>
          <w:tcPr>
            <w:tcW w:w="1084" w:type="dxa"/>
            <w:vAlign w:val="top"/>
          </w:tcPr>
          <w:p w14:paraId="0CB45EAE">
            <w:pPr>
              <w:rPr>
                <w:rFonts w:ascii="Arial"/>
                <w:sz w:val="21"/>
              </w:rPr>
            </w:pPr>
          </w:p>
        </w:tc>
      </w:tr>
      <w:tr w14:paraId="52CBE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1B03A468">
            <w:pPr>
              <w:rPr>
                <w:rFonts w:ascii="Arial"/>
                <w:sz w:val="21"/>
              </w:rPr>
            </w:pPr>
          </w:p>
        </w:tc>
        <w:tc>
          <w:tcPr>
            <w:tcW w:w="1845" w:type="dxa"/>
            <w:vAlign w:val="top"/>
          </w:tcPr>
          <w:p w14:paraId="4C4E09FD">
            <w:pPr>
              <w:rPr>
                <w:rFonts w:ascii="Arial"/>
                <w:sz w:val="21"/>
              </w:rPr>
            </w:pPr>
          </w:p>
        </w:tc>
        <w:tc>
          <w:tcPr>
            <w:tcW w:w="1393" w:type="dxa"/>
            <w:vAlign w:val="top"/>
          </w:tcPr>
          <w:p w14:paraId="7D789F61">
            <w:pPr>
              <w:rPr>
                <w:rFonts w:ascii="Arial"/>
                <w:sz w:val="21"/>
              </w:rPr>
            </w:pPr>
          </w:p>
        </w:tc>
        <w:tc>
          <w:tcPr>
            <w:tcW w:w="1079" w:type="dxa"/>
            <w:vAlign w:val="top"/>
          </w:tcPr>
          <w:p w14:paraId="655363E2">
            <w:pPr>
              <w:rPr>
                <w:rFonts w:ascii="Arial"/>
                <w:sz w:val="21"/>
              </w:rPr>
            </w:pPr>
          </w:p>
        </w:tc>
        <w:tc>
          <w:tcPr>
            <w:tcW w:w="1111" w:type="dxa"/>
            <w:vAlign w:val="top"/>
          </w:tcPr>
          <w:p w14:paraId="12FE8820">
            <w:pPr>
              <w:rPr>
                <w:rFonts w:ascii="Arial"/>
                <w:sz w:val="21"/>
              </w:rPr>
            </w:pPr>
          </w:p>
        </w:tc>
        <w:tc>
          <w:tcPr>
            <w:tcW w:w="1777" w:type="dxa"/>
            <w:vAlign w:val="top"/>
          </w:tcPr>
          <w:p w14:paraId="6C7FDD3F">
            <w:pPr>
              <w:rPr>
                <w:rFonts w:ascii="Arial"/>
                <w:sz w:val="21"/>
              </w:rPr>
            </w:pPr>
          </w:p>
        </w:tc>
        <w:tc>
          <w:tcPr>
            <w:tcW w:w="1084" w:type="dxa"/>
            <w:vAlign w:val="top"/>
          </w:tcPr>
          <w:p w14:paraId="1C222238">
            <w:pPr>
              <w:rPr>
                <w:rFonts w:ascii="Arial"/>
                <w:sz w:val="21"/>
              </w:rPr>
            </w:pPr>
          </w:p>
        </w:tc>
      </w:tr>
      <w:tr w14:paraId="26CD6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65F5C33F">
            <w:pPr>
              <w:rPr>
                <w:rFonts w:ascii="Arial"/>
                <w:sz w:val="21"/>
              </w:rPr>
            </w:pPr>
          </w:p>
        </w:tc>
        <w:tc>
          <w:tcPr>
            <w:tcW w:w="1845" w:type="dxa"/>
            <w:vAlign w:val="top"/>
          </w:tcPr>
          <w:p w14:paraId="1DA249D2">
            <w:pPr>
              <w:rPr>
                <w:rFonts w:ascii="Arial"/>
                <w:sz w:val="21"/>
              </w:rPr>
            </w:pPr>
          </w:p>
        </w:tc>
        <w:tc>
          <w:tcPr>
            <w:tcW w:w="1393" w:type="dxa"/>
            <w:vAlign w:val="top"/>
          </w:tcPr>
          <w:p w14:paraId="3825313C">
            <w:pPr>
              <w:rPr>
                <w:rFonts w:ascii="Arial"/>
                <w:sz w:val="21"/>
              </w:rPr>
            </w:pPr>
          </w:p>
        </w:tc>
        <w:tc>
          <w:tcPr>
            <w:tcW w:w="1079" w:type="dxa"/>
            <w:vAlign w:val="top"/>
          </w:tcPr>
          <w:p w14:paraId="5C1D906C">
            <w:pPr>
              <w:rPr>
                <w:rFonts w:ascii="Arial"/>
                <w:sz w:val="21"/>
              </w:rPr>
            </w:pPr>
          </w:p>
        </w:tc>
        <w:tc>
          <w:tcPr>
            <w:tcW w:w="1111" w:type="dxa"/>
            <w:vAlign w:val="top"/>
          </w:tcPr>
          <w:p w14:paraId="1B91022B">
            <w:pPr>
              <w:rPr>
                <w:rFonts w:ascii="Arial"/>
                <w:sz w:val="21"/>
              </w:rPr>
            </w:pPr>
          </w:p>
        </w:tc>
        <w:tc>
          <w:tcPr>
            <w:tcW w:w="1777" w:type="dxa"/>
            <w:vAlign w:val="top"/>
          </w:tcPr>
          <w:p w14:paraId="26559A2D">
            <w:pPr>
              <w:rPr>
                <w:rFonts w:ascii="Arial"/>
                <w:sz w:val="21"/>
              </w:rPr>
            </w:pPr>
          </w:p>
        </w:tc>
        <w:tc>
          <w:tcPr>
            <w:tcW w:w="1084" w:type="dxa"/>
            <w:vAlign w:val="top"/>
          </w:tcPr>
          <w:p w14:paraId="572F46C0">
            <w:pPr>
              <w:rPr>
                <w:rFonts w:ascii="Arial"/>
                <w:sz w:val="21"/>
              </w:rPr>
            </w:pPr>
          </w:p>
        </w:tc>
      </w:tr>
      <w:tr w14:paraId="0BA91A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75F3F3F4">
            <w:pPr>
              <w:rPr>
                <w:rFonts w:ascii="Arial"/>
                <w:sz w:val="21"/>
              </w:rPr>
            </w:pPr>
          </w:p>
        </w:tc>
        <w:tc>
          <w:tcPr>
            <w:tcW w:w="1845" w:type="dxa"/>
            <w:vAlign w:val="top"/>
          </w:tcPr>
          <w:p w14:paraId="55F6FF73">
            <w:pPr>
              <w:rPr>
                <w:rFonts w:ascii="Arial"/>
                <w:sz w:val="21"/>
              </w:rPr>
            </w:pPr>
          </w:p>
        </w:tc>
        <w:tc>
          <w:tcPr>
            <w:tcW w:w="1393" w:type="dxa"/>
            <w:vAlign w:val="top"/>
          </w:tcPr>
          <w:p w14:paraId="262E169F">
            <w:pPr>
              <w:rPr>
                <w:rFonts w:ascii="Arial"/>
                <w:sz w:val="21"/>
              </w:rPr>
            </w:pPr>
          </w:p>
        </w:tc>
        <w:tc>
          <w:tcPr>
            <w:tcW w:w="1079" w:type="dxa"/>
            <w:vAlign w:val="top"/>
          </w:tcPr>
          <w:p w14:paraId="310419A1">
            <w:pPr>
              <w:rPr>
                <w:rFonts w:ascii="Arial"/>
                <w:sz w:val="21"/>
              </w:rPr>
            </w:pPr>
          </w:p>
        </w:tc>
        <w:tc>
          <w:tcPr>
            <w:tcW w:w="1111" w:type="dxa"/>
            <w:vAlign w:val="top"/>
          </w:tcPr>
          <w:p w14:paraId="23684866">
            <w:pPr>
              <w:rPr>
                <w:rFonts w:ascii="Arial"/>
                <w:sz w:val="21"/>
              </w:rPr>
            </w:pPr>
          </w:p>
        </w:tc>
        <w:tc>
          <w:tcPr>
            <w:tcW w:w="1777" w:type="dxa"/>
            <w:vAlign w:val="top"/>
          </w:tcPr>
          <w:p w14:paraId="0463AF7F">
            <w:pPr>
              <w:rPr>
                <w:rFonts w:ascii="Arial"/>
                <w:sz w:val="21"/>
              </w:rPr>
            </w:pPr>
          </w:p>
        </w:tc>
        <w:tc>
          <w:tcPr>
            <w:tcW w:w="1084" w:type="dxa"/>
            <w:vAlign w:val="top"/>
          </w:tcPr>
          <w:p w14:paraId="30FDC408">
            <w:pPr>
              <w:rPr>
                <w:rFonts w:ascii="Arial"/>
                <w:sz w:val="21"/>
              </w:rPr>
            </w:pPr>
          </w:p>
        </w:tc>
      </w:tr>
      <w:tr w14:paraId="07B2B0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7BC80123">
            <w:pPr>
              <w:rPr>
                <w:rFonts w:ascii="Arial"/>
                <w:sz w:val="21"/>
              </w:rPr>
            </w:pPr>
          </w:p>
        </w:tc>
        <w:tc>
          <w:tcPr>
            <w:tcW w:w="1845" w:type="dxa"/>
            <w:vAlign w:val="top"/>
          </w:tcPr>
          <w:p w14:paraId="04F840FC">
            <w:pPr>
              <w:rPr>
                <w:rFonts w:ascii="Arial"/>
                <w:sz w:val="21"/>
              </w:rPr>
            </w:pPr>
          </w:p>
        </w:tc>
        <w:tc>
          <w:tcPr>
            <w:tcW w:w="1393" w:type="dxa"/>
            <w:vAlign w:val="top"/>
          </w:tcPr>
          <w:p w14:paraId="651CB694">
            <w:pPr>
              <w:rPr>
                <w:rFonts w:ascii="Arial"/>
                <w:sz w:val="21"/>
              </w:rPr>
            </w:pPr>
          </w:p>
        </w:tc>
        <w:tc>
          <w:tcPr>
            <w:tcW w:w="1079" w:type="dxa"/>
            <w:vAlign w:val="top"/>
          </w:tcPr>
          <w:p w14:paraId="602056F5">
            <w:pPr>
              <w:rPr>
                <w:rFonts w:ascii="Arial"/>
                <w:sz w:val="21"/>
              </w:rPr>
            </w:pPr>
          </w:p>
        </w:tc>
        <w:tc>
          <w:tcPr>
            <w:tcW w:w="1111" w:type="dxa"/>
            <w:vAlign w:val="top"/>
          </w:tcPr>
          <w:p w14:paraId="360B079A">
            <w:pPr>
              <w:rPr>
                <w:rFonts w:ascii="Arial"/>
                <w:sz w:val="21"/>
              </w:rPr>
            </w:pPr>
          </w:p>
        </w:tc>
        <w:tc>
          <w:tcPr>
            <w:tcW w:w="1777" w:type="dxa"/>
            <w:vAlign w:val="top"/>
          </w:tcPr>
          <w:p w14:paraId="12EB112E">
            <w:pPr>
              <w:rPr>
                <w:rFonts w:ascii="Arial"/>
                <w:sz w:val="21"/>
              </w:rPr>
            </w:pPr>
          </w:p>
        </w:tc>
        <w:tc>
          <w:tcPr>
            <w:tcW w:w="1084" w:type="dxa"/>
            <w:vAlign w:val="top"/>
          </w:tcPr>
          <w:p w14:paraId="167FA337">
            <w:pPr>
              <w:rPr>
                <w:rFonts w:ascii="Arial"/>
                <w:sz w:val="21"/>
              </w:rPr>
            </w:pPr>
          </w:p>
        </w:tc>
      </w:tr>
      <w:tr w14:paraId="28B4CE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6FA58F7D">
            <w:pPr>
              <w:rPr>
                <w:rFonts w:ascii="Arial"/>
                <w:sz w:val="21"/>
              </w:rPr>
            </w:pPr>
          </w:p>
        </w:tc>
        <w:tc>
          <w:tcPr>
            <w:tcW w:w="1845" w:type="dxa"/>
            <w:vAlign w:val="top"/>
          </w:tcPr>
          <w:p w14:paraId="5C0BD708">
            <w:pPr>
              <w:rPr>
                <w:rFonts w:ascii="Arial"/>
                <w:sz w:val="21"/>
              </w:rPr>
            </w:pPr>
          </w:p>
        </w:tc>
        <w:tc>
          <w:tcPr>
            <w:tcW w:w="1393" w:type="dxa"/>
            <w:vAlign w:val="top"/>
          </w:tcPr>
          <w:p w14:paraId="5DBC4B33">
            <w:pPr>
              <w:rPr>
                <w:rFonts w:ascii="Arial"/>
                <w:sz w:val="21"/>
              </w:rPr>
            </w:pPr>
          </w:p>
        </w:tc>
        <w:tc>
          <w:tcPr>
            <w:tcW w:w="1079" w:type="dxa"/>
            <w:vAlign w:val="top"/>
          </w:tcPr>
          <w:p w14:paraId="06CFE8BE">
            <w:pPr>
              <w:rPr>
                <w:rFonts w:ascii="Arial"/>
                <w:sz w:val="21"/>
              </w:rPr>
            </w:pPr>
          </w:p>
        </w:tc>
        <w:tc>
          <w:tcPr>
            <w:tcW w:w="1111" w:type="dxa"/>
            <w:vAlign w:val="top"/>
          </w:tcPr>
          <w:p w14:paraId="7825B78B">
            <w:pPr>
              <w:rPr>
                <w:rFonts w:ascii="Arial"/>
                <w:sz w:val="21"/>
              </w:rPr>
            </w:pPr>
          </w:p>
        </w:tc>
        <w:tc>
          <w:tcPr>
            <w:tcW w:w="1777" w:type="dxa"/>
            <w:vAlign w:val="top"/>
          </w:tcPr>
          <w:p w14:paraId="0BCDA592">
            <w:pPr>
              <w:rPr>
                <w:rFonts w:ascii="Arial"/>
                <w:sz w:val="21"/>
              </w:rPr>
            </w:pPr>
          </w:p>
        </w:tc>
        <w:tc>
          <w:tcPr>
            <w:tcW w:w="1084" w:type="dxa"/>
            <w:vAlign w:val="top"/>
          </w:tcPr>
          <w:p w14:paraId="6372DB2F">
            <w:pPr>
              <w:rPr>
                <w:rFonts w:ascii="Arial"/>
                <w:sz w:val="21"/>
              </w:rPr>
            </w:pPr>
          </w:p>
        </w:tc>
      </w:tr>
      <w:tr w14:paraId="73178E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408D8EFC">
            <w:pPr>
              <w:rPr>
                <w:rFonts w:ascii="Arial"/>
                <w:sz w:val="21"/>
              </w:rPr>
            </w:pPr>
          </w:p>
        </w:tc>
        <w:tc>
          <w:tcPr>
            <w:tcW w:w="1845" w:type="dxa"/>
            <w:vAlign w:val="top"/>
          </w:tcPr>
          <w:p w14:paraId="63BCC0F7">
            <w:pPr>
              <w:rPr>
                <w:rFonts w:ascii="Arial"/>
                <w:sz w:val="21"/>
              </w:rPr>
            </w:pPr>
          </w:p>
        </w:tc>
        <w:tc>
          <w:tcPr>
            <w:tcW w:w="1393" w:type="dxa"/>
            <w:vAlign w:val="top"/>
          </w:tcPr>
          <w:p w14:paraId="1E19E73B">
            <w:pPr>
              <w:rPr>
                <w:rFonts w:ascii="Arial"/>
                <w:sz w:val="21"/>
              </w:rPr>
            </w:pPr>
          </w:p>
        </w:tc>
        <w:tc>
          <w:tcPr>
            <w:tcW w:w="1079" w:type="dxa"/>
            <w:vAlign w:val="top"/>
          </w:tcPr>
          <w:p w14:paraId="5BB72922">
            <w:pPr>
              <w:rPr>
                <w:rFonts w:ascii="Arial"/>
                <w:sz w:val="21"/>
              </w:rPr>
            </w:pPr>
          </w:p>
        </w:tc>
        <w:tc>
          <w:tcPr>
            <w:tcW w:w="1111" w:type="dxa"/>
            <w:vAlign w:val="top"/>
          </w:tcPr>
          <w:p w14:paraId="54D6FA3B">
            <w:pPr>
              <w:rPr>
                <w:rFonts w:ascii="Arial"/>
                <w:sz w:val="21"/>
              </w:rPr>
            </w:pPr>
          </w:p>
        </w:tc>
        <w:tc>
          <w:tcPr>
            <w:tcW w:w="1777" w:type="dxa"/>
            <w:vAlign w:val="top"/>
          </w:tcPr>
          <w:p w14:paraId="3638BBCD">
            <w:pPr>
              <w:rPr>
                <w:rFonts w:ascii="Arial"/>
                <w:sz w:val="21"/>
              </w:rPr>
            </w:pPr>
          </w:p>
        </w:tc>
        <w:tc>
          <w:tcPr>
            <w:tcW w:w="1084" w:type="dxa"/>
            <w:vAlign w:val="top"/>
          </w:tcPr>
          <w:p w14:paraId="2AA78C42">
            <w:pPr>
              <w:rPr>
                <w:rFonts w:ascii="Arial"/>
                <w:sz w:val="21"/>
              </w:rPr>
            </w:pPr>
          </w:p>
        </w:tc>
      </w:tr>
      <w:tr w14:paraId="6238A5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026DB246">
            <w:pPr>
              <w:rPr>
                <w:rFonts w:ascii="Arial"/>
                <w:sz w:val="21"/>
              </w:rPr>
            </w:pPr>
          </w:p>
        </w:tc>
        <w:tc>
          <w:tcPr>
            <w:tcW w:w="1845" w:type="dxa"/>
            <w:vAlign w:val="top"/>
          </w:tcPr>
          <w:p w14:paraId="0A461383">
            <w:pPr>
              <w:rPr>
                <w:rFonts w:ascii="Arial"/>
                <w:sz w:val="21"/>
              </w:rPr>
            </w:pPr>
          </w:p>
        </w:tc>
        <w:tc>
          <w:tcPr>
            <w:tcW w:w="1393" w:type="dxa"/>
            <w:vAlign w:val="top"/>
          </w:tcPr>
          <w:p w14:paraId="021A197B">
            <w:pPr>
              <w:rPr>
                <w:rFonts w:ascii="Arial"/>
                <w:sz w:val="21"/>
              </w:rPr>
            </w:pPr>
          </w:p>
        </w:tc>
        <w:tc>
          <w:tcPr>
            <w:tcW w:w="1079" w:type="dxa"/>
            <w:vAlign w:val="top"/>
          </w:tcPr>
          <w:p w14:paraId="104A493F">
            <w:pPr>
              <w:rPr>
                <w:rFonts w:ascii="Arial"/>
                <w:sz w:val="21"/>
              </w:rPr>
            </w:pPr>
          </w:p>
        </w:tc>
        <w:tc>
          <w:tcPr>
            <w:tcW w:w="1111" w:type="dxa"/>
            <w:vAlign w:val="top"/>
          </w:tcPr>
          <w:p w14:paraId="6B1DAA55">
            <w:pPr>
              <w:rPr>
                <w:rFonts w:ascii="Arial"/>
                <w:sz w:val="21"/>
              </w:rPr>
            </w:pPr>
          </w:p>
        </w:tc>
        <w:tc>
          <w:tcPr>
            <w:tcW w:w="1777" w:type="dxa"/>
            <w:vAlign w:val="top"/>
          </w:tcPr>
          <w:p w14:paraId="4F0AC862">
            <w:pPr>
              <w:rPr>
                <w:rFonts w:ascii="Arial"/>
                <w:sz w:val="21"/>
              </w:rPr>
            </w:pPr>
          </w:p>
        </w:tc>
        <w:tc>
          <w:tcPr>
            <w:tcW w:w="1084" w:type="dxa"/>
            <w:vAlign w:val="top"/>
          </w:tcPr>
          <w:p w14:paraId="4CBAA91A">
            <w:pPr>
              <w:rPr>
                <w:rFonts w:ascii="Arial"/>
                <w:sz w:val="21"/>
              </w:rPr>
            </w:pPr>
          </w:p>
        </w:tc>
      </w:tr>
      <w:tr w14:paraId="53885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7DFC2EDD">
            <w:pPr>
              <w:rPr>
                <w:rFonts w:ascii="Arial"/>
                <w:sz w:val="21"/>
              </w:rPr>
            </w:pPr>
          </w:p>
        </w:tc>
        <w:tc>
          <w:tcPr>
            <w:tcW w:w="1845" w:type="dxa"/>
            <w:vAlign w:val="top"/>
          </w:tcPr>
          <w:p w14:paraId="27DA66A7">
            <w:pPr>
              <w:rPr>
                <w:rFonts w:ascii="Arial"/>
                <w:sz w:val="21"/>
              </w:rPr>
            </w:pPr>
          </w:p>
        </w:tc>
        <w:tc>
          <w:tcPr>
            <w:tcW w:w="1393" w:type="dxa"/>
            <w:vAlign w:val="top"/>
          </w:tcPr>
          <w:p w14:paraId="4888AF90">
            <w:pPr>
              <w:rPr>
                <w:rFonts w:ascii="Arial"/>
                <w:sz w:val="21"/>
              </w:rPr>
            </w:pPr>
          </w:p>
        </w:tc>
        <w:tc>
          <w:tcPr>
            <w:tcW w:w="1079" w:type="dxa"/>
            <w:vAlign w:val="top"/>
          </w:tcPr>
          <w:p w14:paraId="36D37468">
            <w:pPr>
              <w:rPr>
                <w:rFonts w:ascii="Arial"/>
                <w:sz w:val="21"/>
              </w:rPr>
            </w:pPr>
          </w:p>
        </w:tc>
        <w:tc>
          <w:tcPr>
            <w:tcW w:w="1111" w:type="dxa"/>
            <w:vAlign w:val="top"/>
          </w:tcPr>
          <w:p w14:paraId="556D425B">
            <w:pPr>
              <w:rPr>
                <w:rFonts w:ascii="Arial"/>
                <w:sz w:val="21"/>
              </w:rPr>
            </w:pPr>
          </w:p>
        </w:tc>
        <w:tc>
          <w:tcPr>
            <w:tcW w:w="1777" w:type="dxa"/>
            <w:vAlign w:val="top"/>
          </w:tcPr>
          <w:p w14:paraId="2D481C94">
            <w:pPr>
              <w:rPr>
                <w:rFonts w:ascii="Arial"/>
                <w:sz w:val="21"/>
              </w:rPr>
            </w:pPr>
          </w:p>
        </w:tc>
        <w:tc>
          <w:tcPr>
            <w:tcW w:w="1084" w:type="dxa"/>
            <w:vAlign w:val="top"/>
          </w:tcPr>
          <w:p w14:paraId="08C3617D">
            <w:pPr>
              <w:rPr>
                <w:rFonts w:ascii="Arial"/>
                <w:sz w:val="21"/>
              </w:rPr>
            </w:pPr>
          </w:p>
        </w:tc>
      </w:tr>
      <w:tr w14:paraId="6EEEB9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0A1C47BB">
            <w:pPr>
              <w:rPr>
                <w:rFonts w:ascii="Arial"/>
                <w:sz w:val="21"/>
              </w:rPr>
            </w:pPr>
          </w:p>
        </w:tc>
        <w:tc>
          <w:tcPr>
            <w:tcW w:w="1845" w:type="dxa"/>
            <w:vAlign w:val="top"/>
          </w:tcPr>
          <w:p w14:paraId="0A7200D2">
            <w:pPr>
              <w:rPr>
                <w:rFonts w:ascii="Arial"/>
                <w:sz w:val="21"/>
              </w:rPr>
            </w:pPr>
          </w:p>
        </w:tc>
        <w:tc>
          <w:tcPr>
            <w:tcW w:w="1393" w:type="dxa"/>
            <w:vAlign w:val="top"/>
          </w:tcPr>
          <w:p w14:paraId="62906E99">
            <w:pPr>
              <w:rPr>
                <w:rFonts w:ascii="Arial"/>
                <w:sz w:val="21"/>
              </w:rPr>
            </w:pPr>
          </w:p>
        </w:tc>
        <w:tc>
          <w:tcPr>
            <w:tcW w:w="1079" w:type="dxa"/>
            <w:vAlign w:val="top"/>
          </w:tcPr>
          <w:p w14:paraId="4C8840FE">
            <w:pPr>
              <w:rPr>
                <w:rFonts w:ascii="Arial"/>
                <w:sz w:val="21"/>
              </w:rPr>
            </w:pPr>
          </w:p>
        </w:tc>
        <w:tc>
          <w:tcPr>
            <w:tcW w:w="1111" w:type="dxa"/>
            <w:vAlign w:val="top"/>
          </w:tcPr>
          <w:p w14:paraId="08ACB8C4">
            <w:pPr>
              <w:rPr>
                <w:rFonts w:ascii="Arial"/>
                <w:sz w:val="21"/>
              </w:rPr>
            </w:pPr>
          </w:p>
        </w:tc>
        <w:tc>
          <w:tcPr>
            <w:tcW w:w="1777" w:type="dxa"/>
            <w:vAlign w:val="top"/>
          </w:tcPr>
          <w:p w14:paraId="46EA4656">
            <w:pPr>
              <w:rPr>
                <w:rFonts w:ascii="Arial"/>
                <w:sz w:val="21"/>
              </w:rPr>
            </w:pPr>
          </w:p>
        </w:tc>
        <w:tc>
          <w:tcPr>
            <w:tcW w:w="1084" w:type="dxa"/>
            <w:vAlign w:val="top"/>
          </w:tcPr>
          <w:p w14:paraId="3A4F1322">
            <w:pPr>
              <w:rPr>
                <w:rFonts w:ascii="Arial"/>
                <w:sz w:val="21"/>
              </w:rPr>
            </w:pPr>
          </w:p>
        </w:tc>
      </w:tr>
      <w:tr w14:paraId="33503D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2B9B437F">
            <w:pPr>
              <w:rPr>
                <w:rFonts w:ascii="Arial"/>
                <w:sz w:val="21"/>
              </w:rPr>
            </w:pPr>
          </w:p>
        </w:tc>
        <w:tc>
          <w:tcPr>
            <w:tcW w:w="1845" w:type="dxa"/>
            <w:vAlign w:val="top"/>
          </w:tcPr>
          <w:p w14:paraId="2C9B87F0">
            <w:pPr>
              <w:rPr>
                <w:rFonts w:ascii="Arial"/>
                <w:sz w:val="21"/>
              </w:rPr>
            </w:pPr>
          </w:p>
        </w:tc>
        <w:tc>
          <w:tcPr>
            <w:tcW w:w="1393" w:type="dxa"/>
            <w:vAlign w:val="top"/>
          </w:tcPr>
          <w:p w14:paraId="03BA188B">
            <w:pPr>
              <w:rPr>
                <w:rFonts w:ascii="Arial"/>
                <w:sz w:val="21"/>
              </w:rPr>
            </w:pPr>
          </w:p>
        </w:tc>
        <w:tc>
          <w:tcPr>
            <w:tcW w:w="1079" w:type="dxa"/>
            <w:vAlign w:val="top"/>
          </w:tcPr>
          <w:p w14:paraId="4F044FAE">
            <w:pPr>
              <w:rPr>
                <w:rFonts w:ascii="Arial"/>
                <w:sz w:val="21"/>
              </w:rPr>
            </w:pPr>
          </w:p>
        </w:tc>
        <w:tc>
          <w:tcPr>
            <w:tcW w:w="1111" w:type="dxa"/>
            <w:vAlign w:val="top"/>
          </w:tcPr>
          <w:p w14:paraId="79C44CC7">
            <w:pPr>
              <w:rPr>
                <w:rFonts w:ascii="Arial"/>
                <w:sz w:val="21"/>
              </w:rPr>
            </w:pPr>
          </w:p>
        </w:tc>
        <w:tc>
          <w:tcPr>
            <w:tcW w:w="1777" w:type="dxa"/>
            <w:vAlign w:val="top"/>
          </w:tcPr>
          <w:p w14:paraId="53C0BE27">
            <w:pPr>
              <w:rPr>
                <w:rFonts w:ascii="Arial"/>
                <w:sz w:val="21"/>
              </w:rPr>
            </w:pPr>
          </w:p>
        </w:tc>
        <w:tc>
          <w:tcPr>
            <w:tcW w:w="1084" w:type="dxa"/>
            <w:vAlign w:val="top"/>
          </w:tcPr>
          <w:p w14:paraId="38DA4BD4">
            <w:pPr>
              <w:rPr>
                <w:rFonts w:ascii="Arial"/>
                <w:sz w:val="21"/>
              </w:rPr>
            </w:pPr>
          </w:p>
        </w:tc>
      </w:tr>
      <w:tr w14:paraId="449A1E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61AE7639">
            <w:pPr>
              <w:rPr>
                <w:rFonts w:ascii="Arial"/>
                <w:sz w:val="21"/>
              </w:rPr>
            </w:pPr>
          </w:p>
        </w:tc>
        <w:tc>
          <w:tcPr>
            <w:tcW w:w="1845" w:type="dxa"/>
            <w:vAlign w:val="top"/>
          </w:tcPr>
          <w:p w14:paraId="4E1E28A8">
            <w:pPr>
              <w:rPr>
                <w:rFonts w:ascii="Arial"/>
                <w:sz w:val="21"/>
              </w:rPr>
            </w:pPr>
          </w:p>
        </w:tc>
        <w:tc>
          <w:tcPr>
            <w:tcW w:w="1393" w:type="dxa"/>
            <w:vAlign w:val="top"/>
          </w:tcPr>
          <w:p w14:paraId="29D365B2">
            <w:pPr>
              <w:rPr>
                <w:rFonts w:ascii="Arial"/>
                <w:sz w:val="21"/>
              </w:rPr>
            </w:pPr>
          </w:p>
        </w:tc>
        <w:tc>
          <w:tcPr>
            <w:tcW w:w="1079" w:type="dxa"/>
            <w:vAlign w:val="top"/>
          </w:tcPr>
          <w:p w14:paraId="3CF3E841">
            <w:pPr>
              <w:rPr>
                <w:rFonts w:ascii="Arial"/>
                <w:sz w:val="21"/>
              </w:rPr>
            </w:pPr>
          </w:p>
        </w:tc>
        <w:tc>
          <w:tcPr>
            <w:tcW w:w="1111" w:type="dxa"/>
            <w:vAlign w:val="top"/>
          </w:tcPr>
          <w:p w14:paraId="03712E8D">
            <w:pPr>
              <w:rPr>
                <w:rFonts w:ascii="Arial"/>
                <w:sz w:val="21"/>
              </w:rPr>
            </w:pPr>
          </w:p>
        </w:tc>
        <w:tc>
          <w:tcPr>
            <w:tcW w:w="1777" w:type="dxa"/>
            <w:vAlign w:val="top"/>
          </w:tcPr>
          <w:p w14:paraId="3B29245F">
            <w:pPr>
              <w:rPr>
                <w:rFonts w:ascii="Arial"/>
                <w:sz w:val="21"/>
              </w:rPr>
            </w:pPr>
          </w:p>
        </w:tc>
        <w:tc>
          <w:tcPr>
            <w:tcW w:w="1084" w:type="dxa"/>
            <w:vAlign w:val="top"/>
          </w:tcPr>
          <w:p w14:paraId="066199CA">
            <w:pPr>
              <w:rPr>
                <w:rFonts w:ascii="Arial"/>
                <w:sz w:val="21"/>
              </w:rPr>
            </w:pPr>
          </w:p>
        </w:tc>
      </w:tr>
      <w:tr w14:paraId="0404E1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30ABE876">
            <w:pPr>
              <w:rPr>
                <w:rFonts w:ascii="Arial"/>
                <w:sz w:val="21"/>
              </w:rPr>
            </w:pPr>
          </w:p>
        </w:tc>
        <w:tc>
          <w:tcPr>
            <w:tcW w:w="1845" w:type="dxa"/>
            <w:vAlign w:val="top"/>
          </w:tcPr>
          <w:p w14:paraId="7B6F8161">
            <w:pPr>
              <w:rPr>
                <w:rFonts w:ascii="Arial"/>
                <w:sz w:val="21"/>
              </w:rPr>
            </w:pPr>
          </w:p>
        </w:tc>
        <w:tc>
          <w:tcPr>
            <w:tcW w:w="1393" w:type="dxa"/>
            <w:vAlign w:val="top"/>
          </w:tcPr>
          <w:p w14:paraId="5DAE49EB">
            <w:pPr>
              <w:rPr>
                <w:rFonts w:ascii="Arial"/>
                <w:sz w:val="21"/>
              </w:rPr>
            </w:pPr>
          </w:p>
        </w:tc>
        <w:tc>
          <w:tcPr>
            <w:tcW w:w="1079" w:type="dxa"/>
            <w:vAlign w:val="top"/>
          </w:tcPr>
          <w:p w14:paraId="4F065666">
            <w:pPr>
              <w:rPr>
                <w:rFonts w:ascii="Arial"/>
                <w:sz w:val="21"/>
              </w:rPr>
            </w:pPr>
          </w:p>
        </w:tc>
        <w:tc>
          <w:tcPr>
            <w:tcW w:w="1111" w:type="dxa"/>
            <w:vAlign w:val="top"/>
          </w:tcPr>
          <w:p w14:paraId="5D93E5E8">
            <w:pPr>
              <w:rPr>
                <w:rFonts w:ascii="Arial"/>
                <w:sz w:val="21"/>
              </w:rPr>
            </w:pPr>
          </w:p>
        </w:tc>
        <w:tc>
          <w:tcPr>
            <w:tcW w:w="1777" w:type="dxa"/>
            <w:vAlign w:val="top"/>
          </w:tcPr>
          <w:p w14:paraId="4436834E">
            <w:pPr>
              <w:rPr>
                <w:rFonts w:ascii="Arial"/>
                <w:sz w:val="21"/>
              </w:rPr>
            </w:pPr>
          </w:p>
        </w:tc>
        <w:tc>
          <w:tcPr>
            <w:tcW w:w="1084" w:type="dxa"/>
            <w:vAlign w:val="top"/>
          </w:tcPr>
          <w:p w14:paraId="2CA552F8">
            <w:pPr>
              <w:rPr>
                <w:rFonts w:ascii="Arial"/>
                <w:sz w:val="21"/>
              </w:rPr>
            </w:pPr>
          </w:p>
        </w:tc>
      </w:tr>
      <w:tr w14:paraId="3F2D0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545" w:type="dxa"/>
            <w:vAlign w:val="top"/>
          </w:tcPr>
          <w:p w14:paraId="3A6E5438">
            <w:pPr>
              <w:rPr>
                <w:rFonts w:ascii="Arial"/>
                <w:sz w:val="21"/>
              </w:rPr>
            </w:pPr>
          </w:p>
        </w:tc>
        <w:tc>
          <w:tcPr>
            <w:tcW w:w="1845" w:type="dxa"/>
            <w:vAlign w:val="top"/>
          </w:tcPr>
          <w:p w14:paraId="297D89A4">
            <w:pPr>
              <w:rPr>
                <w:rFonts w:ascii="Arial"/>
                <w:sz w:val="21"/>
              </w:rPr>
            </w:pPr>
          </w:p>
        </w:tc>
        <w:tc>
          <w:tcPr>
            <w:tcW w:w="1393" w:type="dxa"/>
            <w:vAlign w:val="top"/>
          </w:tcPr>
          <w:p w14:paraId="07AD1D40">
            <w:pPr>
              <w:rPr>
                <w:rFonts w:ascii="Arial"/>
                <w:sz w:val="21"/>
              </w:rPr>
            </w:pPr>
          </w:p>
        </w:tc>
        <w:tc>
          <w:tcPr>
            <w:tcW w:w="1079" w:type="dxa"/>
            <w:vAlign w:val="top"/>
          </w:tcPr>
          <w:p w14:paraId="357ABDC1">
            <w:pPr>
              <w:rPr>
                <w:rFonts w:ascii="Arial"/>
                <w:sz w:val="21"/>
              </w:rPr>
            </w:pPr>
          </w:p>
        </w:tc>
        <w:tc>
          <w:tcPr>
            <w:tcW w:w="1111" w:type="dxa"/>
            <w:vAlign w:val="top"/>
          </w:tcPr>
          <w:p w14:paraId="2178DED0">
            <w:pPr>
              <w:rPr>
                <w:rFonts w:ascii="Arial"/>
                <w:sz w:val="21"/>
              </w:rPr>
            </w:pPr>
          </w:p>
        </w:tc>
        <w:tc>
          <w:tcPr>
            <w:tcW w:w="1777" w:type="dxa"/>
            <w:vAlign w:val="top"/>
          </w:tcPr>
          <w:p w14:paraId="7019016E">
            <w:pPr>
              <w:rPr>
                <w:rFonts w:ascii="Arial"/>
                <w:sz w:val="21"/>
              </w:rPr>
            </w:pPr>
          </w:p>
        </w:tc>
        <w:tc>
          <w:tcPr>
            <w:tcW w:w="1084" w:type="dxa"/>
            <w:vAlign w:val="top"/>
          </w:tcPr>
          <w:p w14:paraId="0B10B68D">
            <w:pPr>
              <w:rPr>
                <w:rFonts w:ascii="Arial"/>
                <w:sz w:val="21"/>
              </w:rPr>
            </w:pPr>
          </w:p>
        </w:tc>
      </w:tr>
    </w:tbl>
    <w:p w14:paraId="3B51FA9F">
      <w:pPr>
        <w:rPr>
          <w:rFonts w:ascii="Arial"/>
          <w:sz w:val="21"/>
        </w:rPr>
      </w:pPr>
    </w:p>
    <w:p w14:paraId="14A3A03D">
      <w:pPr>
        <w:rPr>
          <w:rFonts w:ascii="Arial" w:hAnsi="Arial" w:eastAsia="Arial" w:cs="Arial"/>
          <w:sz w:val="21"/>
          <w:szCs w:val="21"/>
        </w:rPr>
        <w:sectPr>
          <w:headerReference r:id="rId539" w:type="default"/>
          <w:footerReference r:id="rId540" w:type="default"/>
          <w:pgSz w:w="11907" w:h="16840"/>
          <w:pgMar w:top="400" w:right="1418" w:bottom="1247" w:left="1649" w:header="0" w:footer="1085" w:gutter="0"/>
          <w:cols w:space="720" w:num="1"/>
        </w:sectPr>
      </w:pPr>
    </w:p>
    <w:p w14:paraId="2AD04249">
      <w:pPr>
        <w:spacing w:before="48"/>
      </w:pPr>
    </w:p>
    <w:tbl>
      <w:tblPr>
        <w:tblStyle w:val="5"/>
        <w:tblW w:w="8509" w:type="dxa"/>
        <w:tblInd w:w="1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13"/>
        <w:gridCol w:w="6096"/>
      </w:tblGrid>
      <w:tr w14:paraId="5330BF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3" w:type="dxa"/>
            <w:vAlign w:val="top"/>
          </w:tcPr>
          <w:p w14:paraId="26A541DF">
            <w:pPr>
              <w:pStyle w:val="6"/>
              <w:spacing w:before="212" w:line="228" w:lineRule="auto"/>
              <w:ind w:left="796"/>
              <w:outlineLvl w:val="3"/>
            </w:pPr>
            <w:bookmarkStart w:id="445" w:name="bookmark422"/>
            <w:bookmarkEnd w:id="445"/>
            <w:r>
              <w:rPr>
                <w:spacing w:val="6"/>
              </w:rPr>
              <w:t>项目名称</w:t>
            </w:r>
          </w:p>
        </w:tc>
        <w:tc>
          <w:tcPr>
            <w:tcW w:w="6096" w:type="dxa"/>
            <w:vAlign w:val="top"/>
          </w:tcPr>
          <w:p w14:paraId="34E2A75F">
            <w:pPr>
              <w:rPr>
                <w:rFonts w:ascii="Arial"/>
                <w:sz w:val="21"/>
              </w:rPr>
            </w:pPr>
          </w:p>
        </w:tc>
      </w:tr>
      <w:tr w14:paraId="3C1140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13" w:type="dxa"/>
            <w:vAlign w:val="top"/>
          </w:tcPr>
          <w:p w14:paraId="7D5B884C">
            <w:pPr>
              <w:pStyle w:val="6"/>
              <w:spacing w:before="208" w:line="228" w:lineRule="auto"/>
              <w:ind w:left="691"/>
            </w:pPr>
            <w:r>
              <w:rPr>
                <w:spacing w:val="7"/>
              </w:rPr>
              <w:t>项目所在地</w:t>
            </w:r>
          </w:p>
        </w:tc>
        <w:tc>
          <w:tcPr>
            <w:tcW w:w="6096" w:type="dxa"/>
            <w:vAlign w:val="top"/>
          </w:tcPr>
          <w:p w14:paraId="6A239D96">
            <w:pPr>
              <w:rPr>
                <w:rFonts w:ascii="Arial"/>
                <w:sz w:val="21"/>
              </w:rPr>
            </w:pPr>
          </w:p>
        </w:tc>
      </w:tr>
      <w:tr w14:paraId="3B15AD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13" w:type="dxa"/>
            <w:vAlign w:val="top"/>
          </w:tcPr>
          <w:p w14:paraId="47409668">
            <w:pPr>
              <w:pStyle w:val="6"/>
              <w:spacing w:before="209" w:line="228" w:lineRule="auto"/>
              <w:ind w:left="691"/>
            </w:pPr>
            <w:r>
              <w:rPr>
                <w:spacing w:val="7"/>
              </w:rPr>
              <w:t>发包人名称</w:t>
            </w:r>
          </w:p>
        </w:tc>
        <w:tc>
          <w:tcPr>
            <w:tcW w:w="6096" w:type="dxa"/>
            <w:vAlign w:val="top"/>
          </w:tcPr>
          <w:p w14:paraId="5F833FEB">
            <w:pPr>
              <w:rPr>
                <w:rFonts w:ascii="Arial"/>
                <w:sz w:val="21"/>
              </w:rPr>
            </w:pPr>
          </w:p>
        </w:tc>
      </w:tr>
      <w:tr w14:paraId="109E6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438B66C3">
            <w:pPr>
              <w:pStyle w:val="6"/>
              <w:spacing w:before="209" w:line="228" w:lineRule="auto"/>
              <w:ind w:left="691"/>
            </w:pPr>
            <w:r>
              <w:rPr>
                <w:spacing w:val="7"/>
              </w:rPr>
              <w:t>发包人地址</w:t>
            </w:r>
          </w:p>
        </w:tc>
        <w:tc>
          <w:tcPr>
            <w:tcW w:w="6096" w:type="dxa"/>
            <w:vAlign w:val="top"/>
          </w:tcPr>
          <w:p w14:paraId="1D1862C9">
            <w:pPr>
              <w:rPr>
                <w:rFonts w:ascii="Arial"/>
                <w:sz w:val="21"/>
              </w:rPr>
            </w:pPr>
          </w:p>
        </w:tc>
      </w:tr>
      <w:tr w14:paraId="74587D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13" w:type="dxa"/>
            <w:vAlign w:val="top"/>
          </w:tcPr>
          <w:p w14:paraId="408D5674">
            <w:pPr>
              <w:pStyle w:val="6"/>
              <w:spacing w:before="209" w:line="228" w:lineRule="auto"/>
              <w:ind w:left="691"/>
            </w:pPr>
            <w:r>
              <w:rPr>
                <w:spacing w:val="7"/>
              </w:rPr>
              <w:t>发包人电话</w:t>
            </w:r>
          </w:p>
        </w:tc>
        <w:tc>
          <w:tcPr>
            <w:tcW w:w="6096" w:type="dxa"/>
            <w:vAlign w:val="top"/>
          </w:tcPr>
          <w:p w14:paraId="055F22F4">
            <w:pPr>
              <w:rPr>
                <w:rFonts w:ascii="Arial"/>
                <w:sz w:val="21"/>
              </w:rPr>
            </w:pPr>
          </w:p>
        </w:tc>
      </w:tr>
      <w:tr w14:paraId="5263A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74CE8C78">
            <w:pPr>
              <w:pStyle w:val="6"/>
              <w:spacing w:before="209" w:line="226" w:lineRule="auto"/>
              <w:ind w:left="687"/>
            </w:pPr>
            <w:r>
              <w:rPr>
                <w:spacing w:val="8"/>
              </w:rPr>
              <w:t>签约合同价</w:t>
            </w:r>
          </w:p>
        </w:tc>
        <w:tc>
          <w:tcPr>
            <w:tcW w:w="6096" w:type="dxa"/>
            <w:vAlign w:val="top"/>
          </w:tcPr>
          <w:p w14:paraId="4453DB84">
            <w:pPr>
              <w:rPr>
                <w:rFonts w:ascii="Arial"/>
                <w:sz w:val="21"/>
              </w:rPr>
            </w:pPr>
          </w:p>
        </w:tc>
      </w:tr>
      <w:tr w14:paraId="51BF95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2BB8EBD3">
            <w:pPr>
              <w:pStyle w:val="6"/>
              <w:spacing w:before="211" w:line="228" w:lineRule="auto"/>
              <w:ind w:left="794"/>
            </w:pPr>
            <w:r>
              <w:rPr>
                <w:spacing w:val="7"/>
              </w:rPr>
              <w:t>开工日期</w:t>
            </w:r>
          </w:p>
        </w:tc>
        <w:tc>
          <w:tcPr>
            <w:tcW w:w="6096" w:type="dxa"/>
            <w:vAlign w:val="top"/>
          </w:tcPr>
          <w:p w14:paraId="1BBA27F7">
            <w:pPr>
              <w:rPr>
                <w:rFonts w:ascii="Arial"/>
                <w:sz w:val="21"/>
              </w:rPr>
            </w:pPr>
          </w:p>
        </w:tc>
      </w:tr>
      <w:tr w14:paraId="47CE97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3AAE8D9F">
            <w:pPr>
              <w:pStyle w:val="6"/>
              <w:spacing w:before="210" w:line="228" w:lineRule="auto"/>
              <w:ind w:left="582"/>
            </w:pPr>
            <w:r>
              <w:rPr>
                <w:spacing w:val="8"/>
              </w:rPr>
              <w:t>计划竣工日期</w:t>
            </w:r>
          </w:p>
        </w:tc>
        <w:tc>
          <w:tcPr>
            <w:tcW w:w="6096" w:type="dxa"/>
            <w:vAlign w:val="top"/>
          </w:tcPr>
          <w:p w14:paraId="68016C31">
            <w:pPr>
              <w:rPr>
                <w:rFonts w:ascii="Arial"/>
                <w:sz w:val="21"/>
              </w:rPr>
            </w:pPr>
          </w:p>
        </w:tc>
      </w:tr>
      <w:tr w14:paraId="7FF75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494F2BE0">
            <w:pPr>
              <w:pStyle w:val="6"/>
              <w:spacing w:before="210" w:line="228" w:lineRule="auto"/>
              <w:ind w:left="687"/>
            </w:pPr>
            <w:r>
              <w:rPr>
                <w:spacing w:val="8"/>
              </w:rPr>
              <w:t>承担的工作</w:t>
            </w:r>
          </w:p>
        </w:tc>
        <w:tc>
          <w:tcPr>
            <w:tcW w:w="6096" w:type="dxa"/>
            <w:vAlign w:val="top"/>
          </w:tcPr>
          <w:p w14:paraId="358E2E1F">
            <w:pPr>
              <w:rPr>
                <w:rFonts w:ascii="Arial"/>
                <w:sz w:val="21"/>
              </w:rPr>
            </w:pPr>
          </w:p>
        </w:tc>
      </w:tr>
      <w:tr w14:paraId="7A1DB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1670C80D">
            <w:pPr>
              <w:pStyle w:val="6"/>
              <w:spacing w:before="210" w:line="228" w:lineRule="auto"/>
              <w:ind w:left="796"/>
            </w:pPr>
            <w:r>
              <w:rPr>
                <w:spacing w:val="6"/>
              </w:rPr>
              <w:t>工程质量</w:t>
            </w:r>
          </w:p>
        </w:tc>
        <w:tc>
          <w:tcPr>
            <w:tcW w:w="6096" w:type="dxa"/>
            <w:vAlign w:val="top"/>
          </w:tcPr>
          <w:p w14:paraId="3888808D">
            <w:pPr>
              <w:rPr>
                <w:rFonts w:ascii="Arial"/>
                <w:sz w:val="21"/>
              </w:rPr>
            </w:pPr>
          </w:p>
        </w:tc>
      </w:tr>
      <w:tr w14:paraId="2E4C49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16BB9FA4">
            <w:pPr>
              <w:pStyle w:val="6"/>
              <w:spacing w:before="210" w:line="228" w:lineRule="auto"/>
              <w:ind w:left="796"/>
            </w:pPr>
            <w:r>
              <w:rPr>
                <w:spacing w:val="6"/>
              </w:rPr>
              <w:t>项目经理</w:t>
            </w:r>
          </w:p>
        </w:tc>
        <w:tc>
          <w:tcPr>
            <w:tcW w:w="6096" w:type="dxa"/>
            <w:vAlign w:val="top"/>
          </w:tcPr>
          <w:p w14:paraId="5EF7A20C">
            <w:pPr>
              <w:rPr>
                <w:rFonts w:ascii="Arial"/>
                <w:sz w:val="21"/>
              </w:rPr>
            </w:pPr>
          </w:p>
        </w:tc>
      </w:tr>
      <w:tr w14:paraId="6BED36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086E3C1F">
            <w:pPr>
              <w:pStyle w:val="6"/>
              <w:spacing w:before="209" w:line="228" w:lineRule="auto"/>
              <w:ind w:left="688"/>
            </w:pPr>
            <w:r>
              <w:rPr>
                <w:spacing w:val="7"/>
              </w:rPr>
              <w:t>技术负责人</w:t>
            </w:r>
          </w:p>
        </w:tc>
        <w:tc>
          <w:tcPr>
            <w:tcW w:w="6096" w:type="dxa"/>
            <w:vAlign w:val="top"/>
          </w:tcPr>
          <w:p w14:paraId="72D43F57">
            <w:pPr>
              <w:rPr>
                <w:rFonts w:ascii="Arial"/>
                <w:sz w:val="21"/>
              </w:rPr>
            </w:pPr>
          </w:p>
        </w:tc>
      </w:tr>
      <w:tr w14:paraId="4FFAD3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547A6067">
            <w:pPr>
              <w:pStyle w:val="6"/>
              <w:spacing w:before="211" w:line="228" w:lineRule="auto"/>
              <w:ind w:left="273"/>
            </w:pPr>
            <w:r>
              <w:rPr>
                <w:spacing w:val="8"/>
              </w:rPr>
              <w:t>总监理工程师及电话</w:t>
            </w:r>
          </w:p>
        </w:tc>
        <w:tc>
          <w:tcPr>
            <w:tcW w:w="6096" w:type="dxa"/>
            <w:vAlign w:val="top"/>
          </w:tcPr>
          <w:p w14:paraId="78D7B011">
            <w:pPr>
              <w:rPr>
                <w:rFonts w:ascii="Arial"/>
                <w:sz w:val="21"/>
              </w:rPr>
            </w:pPr>
          </w:p>
        </w:tc>
      </w:tr>
      <w:tr w14:paraId="2BC121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6" w:hRule="atLeast"/>
        </w:trPr>
        <w:tc>
          <w:tcPr>
            <w:tcW w:w="2413" w:type="dxa"/>
            <w:vAlign w:val="top"/>
          </w:tcPr>
          <w:p w14:paraId="4D5F418D">
            <w:pPr>
              <w:spacing w:line="275" w:lineRule="auto"/>
              <w:rPr>
                <w:rFonts w:ascii="Arial"/>
                <w:sz w:val="21"/>
              </w:rPr>
            </w:pPr>
          </w:p>
          <w:p w14:paraId="5341CC65">
            <w:pPr>
              <w:spacing w:line="275" w:lineRule="auto"/>
              <w:rPr>
                <w:rFonts w:ascii="Arial"/>
                <w:sz w:val="21"/>
              </w:rPr>
            </w:pPr>
          </w:p>
          <w:p w14:paraId="7E416338">
            <w:pPr>
              <w:spacing w:line="276" w:lineRule="auto"/>
              <w:rPr>
                <w:rFonts w:ascii="Arial"/>
                <w:sz w:val="21"/>
              </w:rPr>
            </w:pPr>
          </w:p>
          <w:p w14:paraId="2AC0747C">
            <w:pPr>
              <w:spacing w:line="276" w:lineRule="auto"/>
              <w:rPr>
                <w:rFonts w:ascii="Arial"/>
                <w:sz w:val="21"/>
              </w:rPr>
            </w:pPr>
          </w:p>
          <w:p w14:paraId="08EACAE5">
            <w:pPr>
              <w:pStyle w:val="6"/>
              <w:spacing w:before="65" w:line="228" w:lineRule="auto"/>
              <w:ind w:left="796"/>
            </w:pPr>
            <w:r>
              <w:rPr>
                <w:spacing w:val="6"/>
              </w:rPr>
              <w:t>项目描述</w:t>
            </w:r>
          </w:p>
        </w:tc>
        <w:tc>
          <w:tcPr>
            <w:tcW w:w="6096" w:type="dxa"/>
            <w:vAlign w:val="top"/>
          </w:tcPr>
          <w:p w14:paraId="089E29B3">
            <w:pPr>
              <w:rPr>
                <w:rFonts w:ascii="Arial"/>
                <w:sz w:val="21"/>
              </w:rPr>
            </w:pPr>
          </w:p>
        </w:tc>
      </w:tr>
      <w:tr w14:paraId="02F84732">
        <w:tblPrEx>
          <w:tblCellMar>
            <w:top w:w="0" w:type="dxa"/>
            <w:left w:w="0" w:type="dxa"/>
            <w:bottom w:w="0" w:type="dxa"/>
            <w:right w:w="0" w:type="dxa"/>
          </w:tblCellMar>
        </w:tblPrEx>
        <w:trPr>
          <w:trHeight w:val="633" w:hRule="atLeast"/>
        </w:trPr>
        <w:tc>
          <w:tcPr>
            <w:tcW w:w="2413" w:type="dxa"/>
            <w:vAlign w:val="top"/>
          </w:tcPr>
          <w:p w14:paraId="38341D0E">
            <w:pPr>
              <w:pStyle w:val="6"/>
              <w:spacing w:before="210" w:line="229" w:lineRule="auto"/>
              <w:ind w:left="1004"/>
            </w:pPr>
            <w:r>
              <w:rPr>
                <w:spacing w:val="3"/>
              </w:rPr>
              <w:t>备注</w:t>
            </w:r>
          </w:p>
        </w:tc>
        <w:tc>
          <w:tcPr>
            <w:tcW w:w="6096" w:type="dxa"/>
            <w:vAlign w:val="top"/>
          </w:tcPr>
          <w:p w14:paraId="5D6C2AF3">
            <w:pPr>
              <w:rPr>
                <w:rFonts w:ascii="Arial"/>
                <w:sz w:val="21"/>
              </w:rPr>
            </w:pPr>
          </w:p>
        </w:tc>
      </w:tr>
    </w:tbl>
    <w:p w14:paraId="7F308411">
      <w:pPr>
        <w:spacing w:before="305" w:line="251" w:lineRule="auto"/>
        <w:ind w:left="645" w:hanging="645"/>
        <w:rPr>
          <w:rFonts w:ascii="宋体" w:hAnsi="宋体" w:eastAsia="宋体" w:cs="宋体"/>
          <w:sz w:val="20"/>
          <w:szCs w:val="20"/>
        </w:rPr>
      </w:pPr>
      <w:r>
        <w:rPr>
          <w:rFonts w:ascii="宋体" w:hAnsi="宋体" w:eastAsia="宋体" w:cs="宋体"/>
          <w:spacing w:val="7"/>
          <w:sz w:val="20"/>
          <w:szCs w:val="20"/>
        </w:rPr>
        <w:t>备注：本表后附中标通知书（如有）、合同协议书、施工许可证（</w:t>
      </w:r>
      <w:r>
        <w:rPr>
          <w:rFonts w:ascii="宋体" w:hAnsi="宋体" w:eastAsia="宋体" w:cs="宋体"/>
          <w:spacing w:val="6"/>
          <w:sz w:val="20"/>
          <w:szCs w:val="20"/>
        </w:rPr>
        <w:t>如有）的扫描件。其中招标发包</w:t>
      </w:r>
      <w:r>
        <w:rPr>
          <w:rFonts w:ascii="宋体" w:hAnsi="宋体" w:eastAsia="宋体" w:cs="宋体"/>
          <w:spacing w:val="9"/>
          <w:sz w:val="20"/>
          <w:szCs w:val="20"/>
        </w:rPr>
        <w:t>的工程应附中标通知书。每张表格只填写一</w:t>
      </w:r>
      <w:r>
        <w:rPr>
          <w:rFonts w:ascii="宋体" w:hAnsi="宋体" w:eastAsia="宋体" w:cs="宋体"/>
          <w:spacing w:val="8"/>
          <w:sz w:val="20"/>
          <w:szCs w:val="20"/>
        </w:rPr>
        <w:t>个项目，并标明序号。</w:t>
      </w:r>
    </w:p>
    <w:p w14:paraId="69FB66DB">
      <w:pPr>
        <w:spacing w:line="251" w:lineRule="auto"/>
        <w:rPr>
          <w:rFonts w:ascii="宋体" w:hAnsi="宋体" w:eastAsia="宋体" w:cs="宋体"/>
          <w:sz w:val="20"/>
          <w:szCs w:val="20"/>
        </w:rPr>
        <w:sectPr>
          <w:headerReference r:id="rId541" w:type="default"/>
          <w:footerReference r:id="rId542" w:type="default"/>
          <w:pgSz w:w="11907" w:h="16840"/>
          <w:pgMar w:top="2122" w:right="1534" w:bottom="1247" w:left="1484" w:header="1752" w:footer="1085" w:gutter="0"/>
          <w:cols w:space="720" w:num="1"/>
        </w:sectPr>
      </w:pPr>
    </w:p>
    <w:p w14:paraId="6613503A">
      <w:pPr>
        <w:spacing w:line="265" w:lineRule="auto"/>
        <w:rPr>
          <w:rFonts w:ascii="Arial"/>
          <w:sz w:val="21"/>
        </w:rPr>
      </w:pPr>
    </w:p>
    <w:p w14:paraId="4B094D26">
      <w:pPr>
        <w:spacing w:line="266" w:lineRule="auto"/>
        <w:rPr>
          <w:rFonts w:ascii="Arial"/>
          <w:sz w:val="21"/>
        </w:rPr>
      </w:pPr>
    </w:p>
    <w:p w14:paraId="3C23DF7D">
      <w:pPr>
        <w:spacing w:line="266" w:lineRule="auto"/>
        <w:rPr>
          <w:rFonts w:ascii="Arial"/>
          <w:sz w:val="21"/>
        </w:rPr>
      </w:pPr>
    </w:p>
    <w:p w14:paraId="3BF5092A">
      <w:pPr>
        <w:spacing w:line="266" w:lineRule="auto"/>
        <w:rPr>
          <w:rFonts w:ascii="Arial"/>
          <w:sz w:val="21"/>
        </w:rPr>
      </w:pPr>
    </w:p>
    <w:p w14:paraId="3B3B0DC2">
      <w:pPr>
        <w:spacing w:line="266" w:lineRule="auto"/>
        <w:rPr>
          <w:rFonts w:ascii="Arial"/>
          <w:sz w:val="21"/>
        </w:rPr>
      </w:pPr>
    </w:p>
    <w:p w14:paraId="1982E98C">
      <w:pPr>
        <w:pStyle w:val="2"/>
        <w:spacing w:before="78" w:line="222" w:lineRule="auto"/>
        <w:ind w:left="3402"/>
        <w:outlineLvl w:val="2"/>
        <w:rPr>
          <w:sz w:val="24"/>
          <w:szCs w:val="24"/>
        </w:rPr>
      </w:pPr>
      <w:bookmarkStart w:id="446" w:name="bookmark424"/>
      <w:bookmarkEnd w:id="446"/>
      <w:bookmarkStart w:id="447" w:name="bookmark423"/>
      <w:bookmarkEnd w:id="447"/>
      <w:r>
        <w:rPr>
          <w:spacing w:val="-4"/>
          <w:sz w:val="24"/>
          <w:szCs w:val="24"/>
        </w:rPr>
        <w:t>（五）企业信誉情况</w:t>
      </w:r>
    </w:p>
    <w:p w14:paraId="415B91E7">
      <w:pPr>
        <w:spacing w:line="341" w:lineRule="auto"/>
        <w:rPr>
          <w:rFonts w:ascii="Arial"/>
          <w:sz w:val="21"/>
        </w:rPr>
      </w:pPr>
    </w:p>
    <w:p w14:paraId="401DA67B">
      <w:pPr>
        <w:pStyle w:val="2"/>
        <w:spacing w:before="78" w:line="221" w:lineRule="auto"/>
        <w:ind w:left="3554"/>
        <w:outlineLvl w:val="2"/>
        <w:rPr>
          <w:sz w:val="24"/>
          <w:szCs w:val="24"/>
        </w:rPr>
      </w:pPr>
      <w:bookmarkStart w:id="448" w:name="bookmark476"/>
      <w:bookmarkEnd w:id="448"/>
      <w:r>
        <w:rPr>
          <w:rFonts w:ascii="Times New Roman" w:hAnsi="Times New Roman" w:eastAsia="Times New Roman" w:cs="Times New Roman"/>
          <w:spacing w:val="-5"/>
          <w:sz w:val="24"/>
          <w:szCs w:val="24"/>
        </w:rPr>
        <w:t>5-</w:t>
      </w:r>
      <w:r>
        <w:rPr>
          <w:rFonts w:ascii="Times New Roman" w:hAnsi="Times New Roman" w:eastAsia="Times New Roman" w:cs="Times New Roman"/>
          <w:spacing w:val="-26"/>
          <w:sz w:val="24"/>
          <w:szCs w:val="24"/>
        </w:rPr>
        <w:t xml:space="preserve"> </w:t>
      </w:r>
      <w:r>
        <w:rPr>
          <w:rFonts w:ascii="Times New Roman" w:hAnsi="Times New Roman" w:eastAsia="Times New Roman" w:cs="Times New Roman"/>
          <w:spacing w:val="-5"/>
          <w:sz w:val="24"/>
          <w:szCs w:val="24"/>
        </w:rPr>
        <w:t xml:space="preserve">1 </w:t>
      </w:r>
      <w:r>
        <w:rPr>
          <w:spacing w:val="-5"/>
          <w:sz w:val="24"/>
          <w:szCs w:val="24"/>
        </w:rPr>
        <w:t>企业信誉声明</w:t>
      </w:r>
    </w:p>
    <w:p w14:paraId="1638FDD7">
      <w:pPr>
        <w:tabs>
          <w:tab w:val="left" w:pos="2205"/>
        </w:tabs>
        <w:spacing w:before="301"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（招标人名称</w:t>
      </w:r>
      <w:r>
        <w:rPr>
          <w:rFonts w:ascii="宋体" w:hAnsi="宋体" w:eastAsia="宋体" w:cs="宋体"/>
          <w:spacing w:val="-52"/>
          <w:sz w:val="20"/>
          <w:szCs w:val="20"/>
        </w:rPr>
        <w:t>）：</w:t>
      </w:r>
    </w:p>
    <w:p w14:paraId="5DF0DAB3">
      <w:pPr>
        <w:spacing w:before="298" w:line="377" w:lineRule="auto"/>
        <w:ind w:left="12" w:right="208" w:firstLine="418"/>
        <w:rPr>
          <w:rFonts w:ascii="宋体" w:hAnsi="宋体" w:eastAsia="宋体" w:cs="宋体"/>
          <w:sz w:val="20"/>
          <w:szCs w:val="20"/>
        </w:rPr>
      </w:pPr>
      <w:r>
        <w:rPr>
          <w:rFonts w:ascii="宋体" w:hAnsi="宋体" w:eastAsia="宋体" w:cs="宋体"/>
          <w:spacing w:val="12"/>
          <w:sz w:val="20"/>
          <w:szCs w:val="20"/>
        </w:rPr>
        <w:t>我方在此声明，截止本招标项目投标截止时间，我方处于正常的</w:t>
      </w:r>
      <w:r>
        <w:rPr>
          <w:rFonts w:ascii="宋体" w:hAnsi="宋体" w:eastAsia="宋体" w:cs="宋体"/>
          <w:spacing w:val="11"/>
          <w:sz w:val="20"/>
          <w:szCs w:val="20"/>
        </w:rPr>
        <w:t>经营状态，不存在下列任何</w:t>
      </w:r>
      <w:r>
        <w:rPr>
          <w:rFonts w:ascii="宋体" w:hAnsi="宋体" w:eastAsia="宋体" w:cs="宋体"/>
          <w:spacing w:val="5"/>
          <w:sz w:val="20"/>
          <w:szCs w:val="20"/>
        </w:rPr>
        <w:t>一种情形。</w:t>
      </w:r>
    </w:p>
    <w:p w14:paraId="6039BD45">
      <w:pPr>
        <w:spacing w:before="1" w:line="376" w:lineRule="auto"/>
        <w:ind w:left="11" w:right="205" w:firstLine="4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宋体" w:hAnsi="宋体" w:eastAsia="宋体" w:cs="宋体"/>
          <w:spacing w:val="7"/>
          <w:sz w:val="20"/>
          <w:szCs w:val="20"/>
        </w:rPr>
        <w:t>被依法暂停或取消投标资格（指被本招标项目所在地县级及以上住房城乡建设主管部门暂停</w:t>
      </w:r>
      <w:r>
        <w:rPr>
          <w:rFonts w:ascii="宋体" w:hAnsi="宋体" w:eastAsia="宋体" w:cs="宋体"/>
          <w:spacing w:val="9"/>
          <w:sz w:val="20"/>
          <w:szCs w:val="20"/>
        </w:rPr>
        <w:t>或取消投标资格或禁止进入该区域建设市场且处于有效期内</w:t>
      </w:r>
      <w:r>
        <w:rPr>
          <w:rFonts w:ascii="宋体" w:hAnsi="宋体" w:eastAsia="宋体" w:cs="宋体"/>
          <w:spacing w:val="-48"/>
          <w:sz w:val="20"/>
          <w:szCs w:val="20"/>
        </w:rPr>
        <w:t>）；</w:t>
      </w:r>
    </w:p>
    <w:p w14:paraId="07B89BD6">
      <w:pPr>
        <w:spacing w:before="1" w:line="226" w:lineRule="auto"/>
        <w:ind w:left="424"/>
        <w:rPr>
          <w:rFonts w:ascii="宋体" w:hAnsi="宋体" w:eastAsia="宋体" w:cs="宋体"/>
          <w:sz w:val="20"/>
          <w:szCs w:val="20"/>
        </w:rPr>
      </w:pPr>
      <w:r>
        <w:rPr>
          <w:rFonts w:ascii="Times New Roman" w:hAnsi="Times New Roman" w:eastAsia="Times New Roman" w:cs="Times New Roman"/>
          <w:spacing w:val="9"/>
          <w:sz w:val="20"/>
          <w:szCs w:val="20"/>
        </w:rPr>
        <w:t>2.</w:t>
      </w:r>
      <w:r>
        <w:rPr>
          <w:rFonts w:ascii="宋体" w:hAnsi="宋体" w:eastAsia="宋体" w:cs="宋体"/>
          <w:spacing w:val="9"/>
          <w:sz w:val="20"/>
          <w:szCs w:val="20"/>
        </w:rPr>
        <w:t>被责令停产停业、暂扣或者吊销许可证、暂扣或者吊销执照；</w:t>
      </w:r>
    </w:p>
    <w:p w14:paraId="2E11322F">
      <w:pPr>
        <w:spacing w:before="163" w:line="226" w:lineRule="auto"/>
        <w:ind w:left="429"/>
        <w:rPr>
          <w:rFonts w:ascii="宋体" w:hAnsi="宋体" w:eastAsia="宋体" w:cs="宋体"/>
          <w:sz w:val="20"/>
          <w:szCs w:val="20"/>
        </w:rPr>
      </w:pPr>
      <w:r>
        <w:rPr>
          <w:rFonts w:ascii="Times New Roman" w:hAnsi="Times New Roman" w:eastAsia="Times New Roman" w:cs="Times New Roman"/>
          <w:spacing w:val="9"/>
          <w:sz w:val="20"/>
          <w:szCs w:val="20"/>
        </w:rPr>
        <w:t>3.</w:t>
      </w:r>
      <w:r>
        <w:rPr>
          <w:rFonts w:ascii="宋体" w:hAnsi="宋体" w:eastAsia="宋体" w:cs="宋体"/>
          <w:spacing w:val="9"/>
          <w:sz w:val="20"/>
          <w:szCs w:val="20"/>
        </w:rPr>
        <w:t>进入清算程序，或被宣告破产，或其他丧失履约能</w:t>
      </w:r>
      <w:r>
        <w:rPr>
          <w:rFonts w:ascii="宋体" w:hAnsi="宋体" w:eastAsia="宋体" w:cs="宋体"/>
          <w:spacing w:val="8"/>
          <w:sz w:val="20"/>
          <w:szCs w:val="20"/>
        </w:rPr>
        <w:t>力的情形；</w:t>
      </w:r>
    </w:p>
    <w:p w14:paraId="5EF557E3">
      <w:pPr>
        <w:spacing w:before="165" w:line="228" w:lineRule="auto"/>
        <w:ind w:left="423"/>
        <w:rPr>
          <w:rFonts w:ascii="宋体" w:hAnsi="宋体" w:eastAsia="宋体" w:cs="宋体"/>
          <w:sz w:val="20"/>
          <w:szCs w:val="20"/>
        </w:rPr>
      </w:pPr>
      <w:r>
        <w:rPr>
          <w:rFonts w:ascii="Times New Roman" w:hAnsi="Times New Roman" w:eastAsia="Times New Roman" w:cs="Times New Roman"/>
          <w:spacing w:val="8"/>
          <w:sz w:val="20"/>
          <w:szCs w:val="20"/>
        </w:rPr>
        <w:t>4.</w:t>
      </w:r>
      <w:r>
        <w:rPr>
          <w:rFonts w:ascii="宋体" w:hAnsi="宋体" w:eastAsia="宋体" w:cs="宋体"/>
          <w:spacing w:val="8"/>
          <w:sz w:val="20"/>
          <w:szCs w:val="20"/>
        </w:rPr>
        <w:t>在最近三年内发生重大工程质量问题；</w:t>
      </w:r>
    </w:p>
    <w:p w14:paraId="13366049">
      <w:pPr>
        <w:spacing w:before="162" w:line="366" w:lineRule="auto"/>
        <w:ind w:left="18" w:firstLine="411"/>
        <w:rPr>
          <w:rFonts w:ascii="宋体" w:hAnsi="宋体" w:eastAsia="宋体" w:cs="宋体"/>
          <w:sz w:val="20"/>
          <w:szCs w:val="20"/>
        </w:rPr>
      </w:pPr>
      <w:r>
        <w:rPr>
          <w:rFonts w:ascii="Times New Roman" w:hAnsi="Times New Roman" w:eastAsia="Times New Roman" w:cs="Times New Roman"/>
          <w:spacing w:val="19"/>
          <w:sz w:val="20"/>
          <w:szCs w:val="20"/>
        </w:rPr>
        <w:t>5.</w:t>
      </w:r>
      <w:r>
        <w:rPr>
          <w:rFonts w:ascii="宋体" w:hAnsi="宋体" w:eastAsia="宋体" w:cs="宋体"/>
          <w:spacing w:val="19"/>
          <w:sz w:val="20"/>
          <w:szCs w:val="20"/>
        </w:rPr>
        <w:t>在“国家企业信用信息公示系统”（</w:t>
      </w:r>
      <w:r>
        <w:fldChar w:fldCharType="begin"/>
      </w:r>
      <w:r>
        <w:instrText xml:space="preserve"> HYPERLINK "https://www.gsxt.gov.cn"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19"/>
          <w:sz w:val="20"/>
          <w:szCs w:val="20"/>
        </w:rPr>
        <w:t>://</w:t>
      </w:r>
      <w:r>
        <w:rPr>
          <w:rFonts w:ascii="Times New Roman" w:hAnsi="Times New Roman" w:eastAsia="Times New Roman" w:cs="Times New Roman"/>
          <w:sz w:val="20"/>
          <w:szCs w:val="20"/>
        </w:rPr>
        <w:t>www</w:t>
      </w:r>
      <w:r>
        <w:rPr>
          <w:rFonts w:ascii="Times New Roman" w:hAnsi="Times New Roman" w:eastAsia="Times New Roman" w:cs="Times New Roman"/>
          <w:spacing w:val="19"/>
          <w:sz w:val="20"/>
          <w:szCs w:val="20"/>
        </w:rPr>
        <w:t>.</w:t>
      </w:r>
      <w:r>
        <w:rPr>
          <w:rFonts w:ascii="Times New Roman" w:hAnsi="Times New Roman" w:eastAsia="Times New Roman" w:cs="Times New Roman"/>
          <w:sz w:val="20"/>
          <w:szCs w:val="20"/>
        </w:rPr>
        <w:t>gsxt</w:t>
      </w:r>
      <w:r>
        <w:rPr>
          <w:rFonts w:ascii="Times New Roman" w:hAnsi="Times New Roman" w:eastAsia="Times New Roman" w:cs="Times New Roman"/>
          <w:spacing w:val="19"/>
          <w:sz w:val="20"/>
          <w:szCs w:val="20"/>
        </w:rPr>
        <w:t>.</w:t>
      </w:r>
      <w:r>
        <w:rPr>
          <w:rFonts w:ascii="Times New Roman" w:hAnsi="Times New Roman" w:eastAsia="Times New Roman" w:cs="Times New Roman"/>
          <w:sz w:val="20"/>
          <w:szCs w:val="20"/>
        </w:rPr>
        <w:t>gov</w:t>
      </w:r>
      <w:r>
        <w:rPr>
          <w:rFonts w:ascii="Times New Roman" w:hAnsi="Times New Roman" w:eastAsia="Times New Roman" w:cs="Times New Roman"/>
          <w:spacing w:val="19"/>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z w:val="20"/>
          <w:szCs w:val="20"/>
        </w:rPr>
        <w:fldChar w:fldCharType="end"/>
      </w:r>
      <w:r>
        <w:rPr>
          <w:rFonts w:ascii="宋体" w:hAnsi="宋体" w:eastAsia="宋体" w:cs="宋体"/>
          <w:spacing w:val="19"/>
          <w:sz w:val="20"/>
          <w:szCs w:val="20"/>
        </w:rPr>
        <w:t>）</w:t>
      </w:r>
      <w:r>
        <w:rPr>
          <w:rFonts w:ascii="宋体" w:hAnsi="宋体" w:eastAsia="宋体" w:cs="宋体"/>
          <w:spacing w:val="-38"/>
          <w:sz w:val="20"/>
          <w:szCs w:val="20"/>
        </w:rPr>
        <w:t xml:space="preserve"> </w:t>
      </w:r>
      <w:r>
        <w:rPr>
          <w:rFonts w:ascii="宋体" w:hAnsi="宋体" w:eastAsia="宋体" w:cs="宋体"/>
          <w:spacing w:val="19"/>
          <w:sz w:val="20"/>
          <w:szCs w:val="20"/>
        </w:rPr>
        <w:t>或“中国执行信息公开网”</w:t>
      </w:r>
      <w:r>
        <w:rPr>
          <w:rFonts w:ascii="宋体" w:hAnsi="宋体" w:eastAsia="宋体" w:cs="宋体"/>
          <w:sz w:val="20"/>
          <w:szCs w:val="20"/>
        </w:rPr>
        <w:t xml:space="preserve"> </w:t>
      </w:r>
      <w:r>
        <w:rPr>
          <w:rFonts w:ascii="宋体" w:hAnsi="宋体" w:eastAsia="宋体" w:cs="宋体"/>
          <w:spacing w:val="10"/>
          <w:sz w:val="20"/>
          <w:szCs w:val="20"/>
        </w:rPr>
        <w:t>（</w:t>
      </w:r>
      <w:r>
        <w:fldChar w:fldCharType="begin"/>
      </w:r>
      <w:r>
        <w:instrText xml:space="preserve"> HYPERLINK "https://zxgk.court.gov.cn/shixin/"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zxgk</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court</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gov</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shixin</w:t>
      </w:r>
      <w:r>
        <w:rPr>
          <w:rFonts w:ascii="Times New Roman" w:hAnsi="Times New Roman" w:eastAsia="Times New Roman" w:cs="Times New Roman"/>
          <w:spacing w:val="10"/>
          <w:sz w:val="20"/>
          <w:szCs w:val="20"/>
        </w:rPr>
        <w:t>/</w:t>
      </w:r>
      <w:r>
        <w:rPr>
          <w:rFonts w:ascii="Times New Roman" w:hAnsi="Times New Roman" w:eastAsia="Times New Roman" w:cs="Times New Roman"/>
          <w:spacing w:val="10"/>
          <w:sz w:val="20"/>
          <w:szCs w:val="20"/>
        </w:rPr>
        <w:fldChar w:fldCharType="end"/>
      </w:r>
      <w:r>
        <w:rPr>
          <w:rFonts w:ascii="宋体" w:hAnsi="宋体" w:eastAsia="宋体" w:cs="宋体"/>
          <w:spacing w:val="10"/>
          <w:sz w:val="20"/>
          <w:szCs w:val="20"/>
        </w:rPr>
        <w:t>）被列入严重违法失信企业名单；</w:t>
      </w:r>
    </w:p>
    <w:p w14:paraId="6569A920">
      <w:pPr>
        <w:spacing w:before="22" w:line="221" w:lineRule="auto"/>
        <w:ind w:left="429"/>
        <w:rPr>
          <w:rFonts w:ascii="宋体" w:hAnsi="宋体" w:eastAsia="宋体" w:cs="宋体"/>
          <w:sz w:val="20"/>
          <w:szCs w:val="20"/>
        </w:rPr>
      </w:pPr>
      <w:r>
        <w:rPr>
          <w:rFonts w:ascii="Times New Roman" w:hAnsi="Times New Roman" w:eastAsia="Times New Roman" w:cs="Times New Roman"/>
          <w:spacing w:val="10"/>
          <w:sz w:val="20"/>
          <w:szCs w:val="20"/>
        </w:rPr>
        <w:t>6.</w:t>
      </w:r>
      <w:r>
        <w:rPr>
          <w:rFonts w:ascii="宋体" w:hAnsi="宋体" w:eastAsia="宋体" w:cs="宋体"/>
          <w:spacing w:val="10"/>
          <w:sz w:val="20"/>
          <w:szCs w:val="20"/>
        </w:rPr>
        <w:t>在</w:t>
      </w:r>
      <w:r>
        <w:rPr>
          <w:rFonts w:ascii="Times New Roman" w:hAnsi="Times New Roman" w:eastAsia="Times New Roman" w:cs="Times New Roman"/>
          <w:spacing w:val="10"/>
          <w:sz w:val="20"/>
          <w:szCs w:val="20"/>
        </w:rPr>
        <w:t>“</w:t>
      </w:r>
      <w:r>
        <w:rPr>
          <w:rFonts w:ascii="宋体" w:hAnsi="宋体" w:eastAsia="宋体" w:cs="宋体"/>
          <w:spacing w:val="10"/>
          <w:sz w:val="20"/>
          <w:szCs w:val="20"/>
        </w:rPr>
        <w:t>信用中国</w:t>
      </w:r>
      <w:r>
        <w:rPr>
          <w:rFonts w:ascii="Times New Roman" w:hAnsi="Times New Roman" w:eastAsia="Times New Roman" w:cs="Times New Roman"/>
          <w:spacing w:val="10"/>
          <w:sz w:val="20"/>
          <w:szCs w:val="20"/>
        </w:rPr>
        <w:t>”</w:t>
      </w:r>
      <w:r>
        <w:rPr>
          <w:rFonts w:ascii="宋体" w:hAnsi="宋体" w:eastAsia="宋体" w:cs="宋体"/>
          <w:spacing w:val="10"/>
          <w:sz w:val="20"/>
          <w:szCs w:val="20"/>
        </w:rPr>
        <w:t>网站（</w:t>
      </w:r>
      <w:r>
        <w:fldChar w:fldCharType="begin"/>
      </w:r>
      <w:r>
        <w:instrText xml:space="preserve"> HYPERLINK "https://"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10"/>
          <w:sz w:val="20"/>
          <w:szCs w:val="20"/>
        </w:rPr>
        <w:t>://</w:t>
      </w:r>
      <w:r>
        <w:rPr>
          <w:rFonts w:ascii="Times New Roman" w:hAnsi="Times New Roman" w:eastAsia="Times New Roman" w:cs="Times New Roman"/>
          <w:spacing w:val="10"/>
          <w:sz w:val="20"/>
          <w:szCs w:val="20"/>
        </w:rPr>
        <w:fldChar w:fldCharType="end"/>
      </w:r>
      <w:r>
        <w:fldChar w:fldCharType="begin"/>
      </w:r>
      <w:r>
        <w:instrText xml:space="preserve"> HYPERLINK "http://www.creditchina.gov.cn/" </w:instrText>
      </w:r>
      <w:r>
        <w:fldChar w:fldCharType="separate"/>
      </w:r>
      <w:r>
        <w:rPr>
          <w:rFonts w:ascii="Times New Roman" w:hAnsi="Times New Roman" w:eastAsia="Times New Roman" w:cs="Times New Roman"/>
          <w:sz w:val="20"/>
          <w:szCs w:val="20"/>
        </w:rPr>
        <w:t>www</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creditchina</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gov</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z w:val="20"/>
          <w:szCs w:val="20"/>
        </w:rPr>
        <w:fldChar w:fldCharType="end"/>
      </w:r>
      <w:r>
        <w:rPr>
          <w:rFonts w:ascii="宋体" w:hAnsi="宋体" w:eastAsia="宋体" w:cs="宋体"/>
          <w:spacing w:val="10"/>
          <w:sz w:val="20"/>
          <w:szCs w:val="20"/>
        </w:rPr>
        <w:t>）被列入失信</w:t>
      </w:r>
      <w:r>
        <w:rPr>
          <w:rFonts w:ascii="宋体" w:hAnsi="宋体" w:eastAsia="宋体" w:cs="宋体"/>
          <w:spacing w:val="9"/>
          <w:sz w:val="20"/>
          <w:szCs w:val="20"/>
        </w:rPr>
        <w:t>被执行人名单；</w:t>
      </w:r>
    </w:p>
    <w:p w14:paraId="2AFB12ED">
      <w:pPr>
        <w:spacing w:before="171" w:line="227" w:lineRule="auto"/>
        <w:ind w:left="428"/>
        <w:rPr>
          <w:rFonts w:ascii="宋体" w:hAnsi="宋体" w:eastAsia="宋体" w:cs="宋体"/>
          <w:sz w:val="20"/>
          <w:szCs w:val="20"/>
        </w:rPr>
      </w:pPr>
      <w:r>
        <w:rPr>
          <w:rFonts w:ascii="Times New Roman" w:hAnsi="Times New Roman" w:eastAsia="Times New Roman" w:cs="Times New Roman"/>
          <w:spacing w:val="9"/>
          <w:sz w:val="20"/>
          <w:szCs w:val="20"/>
        </w:rPr>
        <w:t>7.</w:t>
      </w:r>
      <w:r>
        <w:rPr>
          <w:rFonts w:ascii="宋体" w:hAnsi="宋体" w:eastAsia="宋体" w:cs="宋体"/>
          <w:spacing w:val="9"/>
          <w:sz w:val="20"/>
          <w:szCs w:val="20"/>
        </w:rPr>
        <w:t>在近三年内投标人、或其法定代表人、或其拟派项目经理被人民法院判决为行贿罪；</w:t>
      </w:r>
    </w:p>
    <w:p w14:paraId="697A6F13">
      <w:pPr>
        <w:spacing w:before="162" w:line="227" w:lineRule="auto"/>
        <w:ind w:left="433"/>
        <w:rPr>
          <w:rFonts w:ascii="宋体" w:hAnsi="宋体" w:eastAsia="宋体" w:cs="宋体"/>
          <w:sz w:val="20"/>
          <w:szCs w:val="20"/>
        </w:rPr>
      </w:pPr>
      <w:r>
        <w:rPr>
          <w:rFonts w:ascii="Times New Roman" w:hAnsi="Times New Roman" w:eastAsia="Times New Roman" w:cs="Times New Roman"/>
          <w:spacing w:val="6"/>
          <w:sz w:val="20"/>
          <w:szCs w:val="20"/>
        </w:rPr>
        <w:t>8.</w:t>
      </w:r>
      <w:r>
        <w:rPr>
          <w:rFonts w:ascii="宋体" w:hAnsi="宋体" w:eastAsia="宋体" w:cs="宋体"/>
          <w:spacing w:val="6"/>
          <w:sz w:val="20"/>
          <w:szCs w:val="20"/>
        </w:rPr>
        <w:t>法律法规或本标段资格预审文件申请人须知前附表第</w:t>
      </w:r>
      <w:r>
        <w:rPr>
          <w:rFonts w:ascii="宋体" w:hAnsi="宋体" w:eastAsia="宋体" w:cs="宋体"/>
          <w:spacing w:val="-9"/>
          <w:sz w:val="20"/>
          <w:szCs w:val="20"/>
        </w:rPr>
        <w:t xml:space="preserve"> </w:t>
      </w:r>
      <w:r>
        <w:rPr>
          <w:rFonts w:ascii="Times New Roman" w:hAnsi="Times New Roman" w:eastAsia="Times New Roman" w:cs="Times New Roman"/>
          <w:spacing w:val="6"/>
          <w:sz w:val="20"/>
          <w:szCs w:val="20"/>
        </w:rPr>
        <w:t>1.4.3</w:t>
      </w:r>
      <w:r>
        <w:rPr>
          <w:rFonts w:ascii="宋体" w:hAnsi="宋体" w:eastAsia="宋体" w:cs="宋体"/>
          <w:spacing w:val="6"/>
          <w:sz w:val="20"/>
          <w:szCs w:val="20"/>
        </w:rPr>
        <w:t>（</w:t>
      </w:r>
      <w:r>
        <w:rPr>
          <w:rFonts w:ascii="Times New Roman" w:hAnsi="Times New Roman" w:eastAsia="Times New Roman" w:cs="Times New Roman"/>
          <w:spacing w:val="6"/>
          <w:sz w:val="20"/>
          <w:szCs w:val="20"/>
        </w:rPr>
        <w:t>17</w:t>
      </w:r>
      <w:r>
        <w:rPr>
          <w:rFonts w:ascii="宋体" w:hAnsi="宋体" w:eastAsia="宋体" w:cs="宋体"/>
          <w:spacing w:val="6"/>
          <w:sz w:val="20"/>
          <w:szCs w:val="20"/>
        </w:rPr>
        <w:t>）</w:t>
      </w:r>
      <w:r>
        <w:rPr>
          <w:rFonts w:ascii="宋体" w:hAnsi="宋体" w:eastAsia="宋体" w:cs="宋体"/>
          <w:spacing w:val="-44"/>
          <w:sz w:val="20"/>
          <w:szCs w:val="20"/>
        </w:rPr>
        <w:t xml:space="preserve"> </w:t>
      </w:r>
      <w:r>
        <w:rPr>
          <w:rFonts w:ascii="宋体" w:hAnsi="宋体" w:eastAsia="宋体" w:cs="宋体"/>
          <w:spacing w:val="6"/>
          <w:sz w:val="20"/>
          <w:szCs w:val="20"/>
        </w:rPr>
        <w:t>目规定的其他情形。</w:t>
      </w:r>
    </w:p>
    <w:p w14:paraId="7A977E01">
      <w:pPr>
        <w:spacing w:before="162" w:line="228" w:lineRule="auto"/>
        <w:ind w:left="430"/>
        <w:rPr>
          <w:rFonts w:ascii="宋体" w:hAnsi="宋体" w:eastAsia="宋体" w:cs="宋体"/>
          <w:sz w:val="20"/>
          <w:szCs w:val="20"/>
        </w:rPr>
      </w:pPr>
      <w:r>
        <w:rPr>
          <w:rFonts w:ascii="宋体" w:hAnsi="宋体" w:eastAsia="宋体" w:cs="宋体"/>
          <w:spacing w:val="9"/>
          <w:sz w:val="20"/>
          <w:szCs w:val="20"/>
        </w:rPr>
        <w:t>我方对上述声明的真实性和准确性负责，并承担相应的法律责任。</w:t>
      </w:r>
    </w:p>
    <w:p w14:paraId="7851B2EF">
      <w:pPr>
        <w:spacing w:line="277" w:lineRule="auto"/>
        <w:rPr>
          <w:rFonts w:ascii="Arial"/>
          <w:sz w:val="21"/>
        </w:rPr>
      </w:pPr>
    </w:p>
    <w:p w14:paraId="0D67EE90">
      <w:pPr>
        <w:spacing w:line="277" w:lineRule="auto"/>
        <w:rPr>
          <w:rFonts w:ascii="Arial"/>
          <w:sz w:val="21"/>
        </w:rPr>
      </w:pPr>
    </w:p>
    <w:p w14:paraId="7F8A4015">
      <w:pPr>
        <w:spacing w:line="277" w:lineRule="auto"/>
        <w:rPr>
          <w:rFonts w:ascii="Arial"/>
          <w:sz w:val="21"/>
        </w:rPr>
      </w:pPr>
    </w:p>
    <w:p w14:paraId="07412199">
      <w:pPr>
        <w:spacing w:line="278" w:lineRule="auto"/>
        <w:rPr>
          <w:rFonts w:ascii="Arial"/>
          <w:sz w:val="21"/>
        </w:rPr>
      </w:pPr>
    </w:p>
    <w:p w14:paraId="48D97F02">
      <w:pPr>
        <w:spacing w:before="65" w:line="227" w:lineRule="auto"/>
        <w:ind w:left="4002"/>
        <w:rPr>
          <w:rFonts w:ascii="宋体" w:hAnsi="宋体" w:eastAsia="宋体" w:cs="宋体"/>
          <w:sz w:val="20"/>
          <w:szCs w:val="20"/>
        </w:rPr>
      </w:pPr>
      <w:r>
        <w:rPr>
          <w:rFonts w:ascii="宋体" w:hAnsi="宋体" w:eastAsia="宋体" w:cs="宋体"/>
          <w:spacing w:val="11"/>
          <w:sz w:val="20"/>
          <w:szCs w:val="20"/>
        </w:rPr>
        <w:t>投标人</w:t>
      </w:r>
      <w:r>
        <w:rPr>
          <w:rFonts w:ascii="宋体" w:hAnsi="宋体" w:eastAsia="宋体" w:cs="宋体"/>
          <w:spacing w:val="-6"/>
          <w:sz w:val="20"/>
          <w:szCs w:val="20"/>
        </w:rPr>
        <w:t>：</w:t>
      </w:r>
      <w:r>
        <w:rPr>
          <w:rFonts w:ascii="宋体" w:hAnsi="宋体" w:eastAsia="宋体" w:cs="宋体"/>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1"/>
          <w:sz w:val="20"/>
          <w:szCs w:val="20"/>
        </w:rPr>
        <w:t>盖单位章）</w:t>
      </w:r>
    </w:p>
    <w:p w14:paraId="0C6742AF">
      <w:pPr>
        <w:spacing w:before="196" w:line="228" w:lineRule="auto"/>
        <w:ind w:left="4000"/>
        <w:rPr>
          <w:rFonts w:ascii="宋体" w:hAnsi="宋体" w:eastAsia="宋体" w:cs="宋体"/>
          <w:sz w:val="20"/>
          <w:szCs w:val="20"/>
        </w:rPr>
      </w:pPr>
      <w:r>
        <w:rPr>
          <w:rFonts w:ascii="宋体" w:hAnsi="宋体" w:eastAsia="宋体" w:cs="宋体"/>
          <w:spacing w:val="11"/>
          <w:sz w:val="20"/>
          <w:szCs w:val="20"/>
        </w:rPr>
        <w:t>法定代表人</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签字）</w:t>
      </w:r>
    </w:p>
    <w:p w14:paraId="16746351">
      <w:pPr>
        <w:spacing w:line="281" w:lineRule="auto"/>
        <w:rPr>
          <w:rFonts w:ascii="Arial"/>
          <w:sz w:val="21"/>
        </w:rPr>
      </w:pPr>
    </w:p>
    <w:p w14:paraId="4F968E85">
      <w:pPr>
        <w:spacing w:line="281" w:lineRule="auto"/>
        <w:rPr>
          <w:rFonts w:ascii="Arial"/>
          <w:sz w:val="21"/>
        </w:rPr>
      </w:pPr>
    </w:p>
    <w:p w14:paraId="4691D739">
      <w:pPr>
        <w:tabs>
          <w:tab w:val="left" w:pos="6090"/>
        </w:tabs>
        <w:spacing w:before="66" w:line="228" w:lineRule="auto"/>
        <w:ind w:left="525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3"/>
          <w:sz w:val="20"/>
          <w:szCs w:val="20"/>
        </w:rPr>
        <w:t xml:space="preserve"> </w:t>
      </w:r>
      <w:r>
        <w:rPr>
          <w:rFonts w:ascii="宋体" w:hAnsi="宋体" w:eastAsia="宋体" w:cs="宋体"/>
          <w:sz w:val="20"/>
          <w:szCs w:val="20"/>
        </w:rPr>
        <w:t>年</w:t>
      </w:r>
      <w:r>
        <w:rPr>
          <w:rFonts w:ascii="宋体" w:hAnsi="宋体" w:eastAsia="宋体" w:cs="宋体"/>
          <w:spacing w:val="7"/>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23"/>
          <w:sz w:val="20"/>
          <w:szCs w:val="20"/>
        </w:rPr>
        <w:t xml:space="preserve"> </w:t>
      </w:r>
      <w:r>
        <w:rPr>
          <w:rFonts w:ascii="宋体" w:hAnsi="宋体" w:eastAsia="宋体" w:cs="宋体"/>
          <w:sz w:val="20"/>
          <w:szCs w:val="20"/>
        </w:rPr>
        <w:t xml:space="preserve">月 </w:t>
      </w:r>
      <w:r>
        <w:rPr>
          <w:rFonts w:ascii="宋体" w:hAnsi="宋体" w:eastAsia="宋体" w:cs="宋体"/>
          <w:spacing w:val="5"/>
          <w:sz w:val="20"/>
          <w:szCs w:val="20"/>
          <w:u w:val="single" w:color="auto"/>
        </w:rPr>
        <w:t xml:space="preserve">     </w:t>
      </w:r>
      <w:r>
        <w:rPr>
          <w:rFonts w:ascii="宋体" w:hAnsi="宋体" w:eastAsia="宋体" w:cs="宋体"/>
          <w:spacing w:val="50"/>
          <w:sz w:val="20"/>
          <w:szCs w:val="20"/>
        </w:rPr>
        <w:t xml:space="preserve"> </w:t>
      </w:r>
      <w:r>
        <w:rPr>
          <w:rFonts w:ascii="宋体" w:hAnsi="宋体" w:eastAsia="宋体" w:cs="宋体"/>
          <w:sz w:val="20"/>
          <w:szCs w:val="20"/>
        </w:rPr>
        <w:t>日</w:t>
      </w:r>
    </w:p>
    <w:p w14:paraId="55D2C2FE">
      <w:pPr>
        <w:spacing w:line="348" w:lineRule="auto"/>
        <w:rPr>
          <w:rFonts w:ascii="Arial"/>
          <w:sz w:val="21"/>
        </w:rPr>
      </w:pPr>
    </w:p>
    <w:p w14:paraId="330A9A00">
      <w:pPr>
        <w:spacing w:line="349" w:lineRule="auto"/>
        <w:rPr>
          <w:rFonts w:ascii="Arial"/>
          <w:sz w:val="21"/>
        </w:rPr>
      </w:pPr>
    </w:p>
    <w:p w14:paraId="383BA7C5">
      <w:pPr>
        <w:spacing w:before="65" w:line="251" w:lineRule="auto"/>
        <w:ind w:left="971" w:right="205" w:hanging="960"/>
        <w:rPr>
          <w:rFonts w:ascii="宋体" w:hAnsi="宋体" w:eastAsia="宋体" w:cs="宋体"/>
          <w:sz w:val="20"/>
          <w:szCs w:val="20"/>
        </w:rPr>
      </w:pPr>
      <w:r>
        <w:rPr>
          <w:rFonts w:ascii="宋体" w:hAnsi="宋体" w:eastAsia="宋体" w:cs="宋体"/>
          <w:spacing w:val="5"/>
          <w:sz w:val="20"/>
          <w:szCs w:val="20"/>
        </w:rPr>
        <w:t>备注：1. 投标人应针对本招标项目资格预审文件第二章“</w:t>
      </w:r>
      <w:r>
        <w:rPr>
          <w:rFonts w:ascii="宋体" w:hAnsi="宋体" w:eastAsia="宋体" w:cs="宋体"/>
          <w:spacing w:val="-61"/>
          <w:sz w:val="20"/>
          <w:szCs w:val="20"/>
        </w:rPr>
        <w:t xml:space="preserve"> </w:t>
      </w:r>
      <w:r>
        <w:rPr>
          <w:rFonts w:ascii="宋体" w:hAnsi="宋体" w:eastAsia="宋体" w:cs="宋体"/>
          <w:spacing w:val="5"/>
          <w:sz w:val="20"/>
          <w:szCs w:val="20"/>
        </w:rPr>
        <w:t>申请人须知</w:t>
      </w:r>
      <w:r>
        <w:rPr>
          <w:rFonts w:ascii="宋体" w:hAnsi="宋体" w:eastAsia="宋体" w:cs="宋体"/>
          <w:spacing w:val="-73"/>
          <w:sz w:val="20"/>
          <w:szCs w:val="20"/>
        </w:rPr>
        <w:t xml:space="preserve"> </w:t>
      </w:r>
      <w:r>
        <w:rPr>
          <w:rFonts w:ascii="宋体" w:hAnsi="宋体" w:eastAsia="宋体" w:cs="宋体"/>
          <w:spacing w:val="5"/>
          <w:sz w:val="20"/>
          <w:szCs w:val="20"/>
        </w:rPr>
        <w:t>”第</w:t>
      </w:r>
      <w:r>
        <w:rPr>
          <w:rFonts w:ascii="宋体" w:hAnsi="宋体" w:eastAsia="宋体" w:cs="宋体"/>
          <w:spacing w:val="-23"/>
          <w:sz w:val="20"/>
          <w:szCs w:val="20"/>
        </w:rPr>
        <w:t xml:space="preserve"> </w:t>
      </w:r>
      <w:r>
        <w:rPr>
          <w:rFonts w:ascii="宋体" w:hAnsi="宋体" w:eastAsia="宋体" w:cs="宋体"/>
          <w:spacing w:val="5"/>
          <w:sz w:val="20"/>
          <w:szCs w:val="20"/>
        </w:rPr>
        <w:t>1.4.1</w:t>
      </w:r>
      <w:r>
        <w:rPr>
          <w:rFonts w:ascii="宋体" w:hAnsi="宋体" w:eastAsia="宋体" w:cs="宋体"/>
          <w:spacing w:val="-35"/>
          <w:sz w:val="20"/>
          <w:szCs w:val="20"/>
        </w:rPr>
        <w:t xml:space="preserve"> </w:t>
      </w:r>
      <w:r>
        <w:rPr>
          <w:rFonts w:ascii="宋体" w:hAnsi="宋体" w:eastAsia="宋体" w:cs="宋体"/>
          <w:spacing w:val="5"/>
          <w:sz w:val="20"/>
          <w:szCs w:val="20"/>
        </w:rPr>
        <w:t>项和第</w:t>
      </w:r>
      <w:r>
        <w:rPr>
          <w:rFonts w:ascii="宋体" w:hAnsi="宋体" w:eastAsia="宋体" w:cs="宋体"/>
          <w:spacing w:val="-24"/>
          <w:sz w:val="20"/>
          <w:szCs w:val="20"/>
        </w:rPr>
        <w:t xml:space="preserve"> </w:t>
      </w:r>
      <w:r>
        <w:rPr>
          <w:rFonts w:ascii="宋体" w:hAnsi="宋体" w:eastAsia="宋体" w:cs="宋体"/>
          <w:spacing w:val="5"/>
          <w:sz w:val="20"/>
          <w:szCs w:val="20"/>
        </w:rPr>
        <w:t>1.4.3</w:t>
      </w:r>
      <w:r>
        <w:rPr>
          <w:rFonts w:ascii="宋体" w:hAnsi="宋体" w:eastAsia="宋体" w:cs="宋体"/>
          <w:spacing w:val="-34"/>
          <w:sz w:val="20"/>
          <w:szCs w:val="20"/>
        </w:rPr>
        <w:t xml:space="preserve"> </w:t>
      </w:r>
      <w:r>
        <w:rPr>
          <w:rFonts w:ascii="宋体" w:hAnsi="宋体" w:eastAsia="宋体" w:cs="宋体"/>
          <w:spacing w:val="5"/>
          <w:sz w:val="20"/>
          <w:szCs w:val="20"/>
        </w:rPr>
        <w:t>项</w:t>
      </w:r>
      <w:r>
        <w:rPr>
          <w:rFonts w:ascii="宋体" w:hAnsi="宋体" w:eastAsia="宋体" w:cs="宋体"/>
          <w:spacing w:val="8"/>
          <w:sz w:val="20"/>
          <w:szCs w:val="20"/>
        </w:rPr>
        <w:t>的要求，在此对其信誉情况做出说明。如上格式文件所示。</w:t>
      </w:r>
    </w:p>
    <w:p w14:paraId="2B5723C5">
      <w:pPr>
        <w:spacing w:before="1" w:line="227" w:lineRule="auto"/>
        <w:ind w:left="642"/>
        <w:rPr>
          <w:rFonts w:ascii="宋体" w:hAnsi="宋体" w:eastAsia="宋体" w:cs="宋体"/>
          <w:sz w:val="20"/>
          <w:szCs w:val="20"/>
        </w:rPr>
      </w:pPr>
      <w:r>
        <w:rPr>
          <w:rFonts w:ascii="宋体" w:hAnsi="宋体" w:eastAsia="宋体" w:cs="宋体"/>
          <w:spacing w:val="8"/>
          <w:sz w:val="20"/>
          <w:szCs w:val="20"/>
        </w:rPr>
        <w:t>2. 联合体投标的，联合体各成员单位均应按要求做出说明。</w:t>
      </w:r>
    </w:p>
    <w:p w14:paraId="0BF62614">
      <w:pPr>
        <w:spacing w:before="27" w:line="251" w:lineRule="auto"/>
        <w:ind w:left="955" w:right="206" w:hanging="311"/>
        <w:rPr>
          <w:rFonts w:ascii="宋体" w:hAnsi="宋体" w:eastAsia="宋体" w:cs="宋体"/>
          <w:sz w:val="20"/>
          <w:szCs w:val="20"/>
        </w:rPr>
      </w:pPr>
      <w:r>
        <w:rPr>
          <w:rFonts w:ascii="宋体" w:hAnsi="宋体" w:eastAsia="宋体" w:cs="宋体"/>
          <w:spacing w:val="11"/>
          <w:sz w:val="20"/>
          <w:szCs w:val="20"/>
        </w:rPr>
        <w:t>3. 近三年是指从申请截止日往前推算</w:t>
      </w:r>
      <w:r>
        <w:rPr>
          <w:rFonts w:ascii="宋体" w:hAnsi="宋体" w:eastAsia="宋体" w:cs="宋体"/>
          <w:spacing w:val="-30"/>
          <w:sz w:val="20"/>
          <w:szCs w:val="20"/>
        </w:rPr>
        <w:t xml:space="preserve"> </w:t>
      </w:r>
      <w:r>
        <w:rPr>
          <w:rFonts w:ascii="宋体" w:hAnsi="宋体" w:eastAsia="宋体" w:cs="宋体"/>
          <w:spacing w:val="11"/>
          <w:sz w:val="20"/>
          <w:szCs w:val="20"/>
        </w:rPr>
        <w:t>3</w:t>
      </w:r>
      <w:r>
        <w:rPr>
          <w:rFonts w:ascii="宋体" w:hAnsi="宋体" w:eastAsia="宋体" w:cs="宋体"/>
          <w:spacing w:val="-35"/>
          <w:sz w:val="20"/>
          <w:szCs w:val="20"/>
        </w:rPr>
        <w:t xml:space="preserve"> </w:t>
      </w:r>
      <w:r>
        <w:rPr>
          <w:rFonts w:ascii="宋体" w:hAnsi="宋体" w:eastAsia="宋体" w:cs="宋体"/>
          <w:spacing w:val="11"/>
          <w:sz w:val="20"/>
          <w:szCs w:val="20"/>
        </w:rPr>
        <w:t>年至投标截止日前一日，例如</w:t>
      </w:r>
      <w:r>
        <w:rPr>
          <w:rFonts w:ascii="宋体" w:hAnsi="宋体" w:eastAsia="宋体" w:cs="宋体"/>
          <w:spacing w:val="10"/>
          <w:sz w:val="20"/>
          <w:szCs w:val="20"/>
        </w:rPr>
        <w:t>申请截止日为</w:t>
      </w:r>
      <w:r>
        <w:rPr>
          <w:rFonts w:ascii="宋体" w:hAnsi="宋体" w:eastAsia="宋体" w:cs="宋体"/>
          <w:spacing w:val="-32"/>
          <w:sz w:val="20"/>
          <w:szCs w:val="20"/>
        </w:rPr>
        <w:t xml:space="preserve"> </w:t>
      </w:r>
      <w:r>
        <w:rPr>
          <w:rFonts w:ascii="宋体" w:hAnsi="宋体" w:eastAsia="宋体" w:cs="宋体"/>
          <w:spacing w:val="10"/>
          <w:sz w:val="20"/>
          <w:szCs w:val="20"/>
        </w:rPr>
        <w:t>2026</w:t>
      </w:r>
      <w:r>
        <w:rPr>
          <w:rFonts w:ascii="宋体" w:hAnsi="宋体" w:eastAsia="宋体" w:cs="宋体"/>
          <w:spacing w:val="1"/>
          <w:sz w:val="20"/>
          <w:szCs w:val="20"/>
        </w:rPr>
        <w:t>年</w:t>
      </w:r>
      <w:r>
        <w:rPr>
          <w:rFonts w:ascii="宋体" w:hAnsi="宋体" w:eastAsia="宋体" w:cs="宋体"/>
          <w:spacing w:val="-32"/>
          <w:sz w:val="20"/>
          <w:szCs w:val="20"/>
        </w:rPr>
        <w:t xml:space="preserve"> </w:t>
      </w:r>
      <w:r>
        <w:rPr>
          <w:rFonts w:ascii="宋体" w:hAnsi="宋体" w:eastAsia="宋体" w:cs="宋体"/>
          <w:spacing w:val="1"/>
          <w:sz w:val="20"/>
          <w:szCs w:val="20"/>
        </w:rPr>
        <w:t>2</w:t>
      </w:r>
      <w:r>
        <w:rPr>
          <w:rFonts w:ascii="宋体" w:hAnsi="宋体" w:eastAsia="宋体" w:cs="宋体"/>
          <w:spacing w:val="-31"/>
          <w:sz w:val="20"/>
          <w:szCs w:val="20"/>
        </w:rPr>
        <w:t xml:space="preserve"> </w:t>
      </w:r>
      <w:r>
        <w:rPr>
          <w:rFonts w:ascii="宋体" w:hAnsi="宋体" w:eastAsia="宋体" w:cs="宋体"/>
          <w:spacing w:val="1"/>
          <w:sz w:val="20"/>
          <w:szCs w:val="20"/>
        </w:rPr>
        <w:t>月</w:t>
      </w:r>
      <w:r>
        <w:rPr>
          <w:rFonts w:ascii="宋体" w:hAnsi="宋体" w:eastAsia="宋体" w:cs="宋体"/>
          <w:spacing w:val="-19"/>
          <w:sz w:val="20"/>
          <w:szCs w:val="20"/>
        </w:rPr>
        <w:t xml:space="preserve"> </w:t>
      </w:r>
      <w:r>
        <w:rPr>
          <w:rFonts w:ascii="宋体" w:hAnsi="宋体" w:eastAsia="宋体" w:cs="宋体"/>
          <w:spacing w:val="1"/>
          <w:sz w:val="20"/>
          <w:szCs w:val="20"/>
        </w:rPr>
        <w:t>1 日，投标截止日为</w:t>
      </w:r>
      <w:r>
        <w:rPr>
          <w:rFonts w:ascii="宋体" w:hAnsi="宋体" w:eastAsia="宋体" w:cs="宋体"/>
          <w:spacing w:val="-34"/>
          <w:sz w:val="20"/>
          <w:szCs w:val="20"/>
        </w:rPr>
        <w:t xml:space="preserve"> </w:t>
      </w:r>
      <w:r>
        <w:rPr>
          <w:rFonts w:ascii="宋体" w:hAnsi="宋体" w:eastAsia="宋体" w:cs="宋体"/>
          <w:spacing w:val="1"/>
          <w:sz w:val="20"/>
          <w:szCs w:val="20"/>
        </w:rPr>
        <w:t>2026</w:t>
      </w:r>
      <w:r>
        <w:rPr>
          <w:rFonts w:ascii="宋体" w:hAnsi="宋体" w:eastAsia="宋体" w:cs="宋体"/>
          <w:spacing w:val="-35"/>
          <w:sz w:val="20"/>
          <w:szCs w:val="20"/>
        </w:rPr>
        <w:t xml:space="preserve"> </w:t>
      </w:r>
      <w:r>
        <w:rPr>
          <w:rFonts w:ascii="宋体" w:hAnsi="宋体" w:eastAsia="宋体" w:cs="宋体"/>
          <w:spacing w:val="1"/>
          <w:sz w:val="20"/>
          <w:szCs w:val="20"/>
        </w:rPr>
        <w:t>年</w:t>
      </w:r>
      <w:r>
        <w:rPr>
          <w:rFonts w:ascii="宋体" w:hAnsi="宋体" w:eastAsia="宋体" w:cs="宋体"/>
          <w:spacing w:val="-30"/>
          <w:sz w:val="20"/>
          <w:szCs w:val="20"/>
        </w:rPr>
        <w:t xml:space="preserve"> </w:t>
      </w:r>
      <w:r>
        <w:rPr>
          <w:rFonts w:ascii="宋体" w:hAnsi="宋体" w:eastAsia="宋体" w:cs="宋体"/>
          <w:spacing w:val="1"/>
          <w:sz w:val="20"/>
          <w:szCs w:val="20"/>
        </w:rPr>
        <w:t>3</w:t>
      </w:r>
      <w:r>
        <w:rPr>
          <w:rFonts w:ascii="宋体" w:hAnsi="宋体" w:eastAsia="宋体" w:cs="宋体"/>
          <w:spacing w:val="-30"/>
          <w:sz w:val="20"/>
          <w:szCs w:val="20"/>
        </w:rPr>
        <w:t xml:space="preserve"> </w:t>
      </w:r>
      <w:r>
        <w:rPr>
          <w:rFonts w:ascii="宋体" w:hAnsi="宋体" w:eastAsia="宋体" w:cs="宋体"/>
          <w:spacing w:val="1"/>
          <w:sz w:val="20"/>
          <w:szCs w:val="20"/>
        </w:rPr>
        <w:t>月</w:t>
      </w:r>
      <w:r>
        <w:rPr>
          <w:rFonts w:ascii="宋体" w:hAnsi="宋体" w:eastAsia="宋体" w:cs="宋体"/>
          <w:spacing w:val="-28"/>
          <w:sz w:val="20"/>
          <w:szCs w:val="20"/>
        </w:rPr>
        <w:t xml:space="preserve"> </w:t>
      </w:r>
      <w:r>
        <w:rPr>
          <w:rFonts w:ascii="宋体" w:hAnsi="宋体" w:eastAsia="宋体" w:cs="宋体"/>
          <w:spacing w:val="1"/>
          <w:sz w:val="20"/>
          <w:szCs w:val="20"/>
        </w:rPr>
        <w:t>5 日，</w:t>
      </w:r>
      <w:r>
        <w:rPr>
          <w:rFonts w:ascii="宋体" w:hAnsi="宋体" w:eastAsia="宋体" w:cs="宋体"/>
          <w:sz w:val="20"/>
          <w:szCs w:val="20"/>
        </w:rPr>
        <w:t>则近</w:t>
      </w:r>
      <w:r>
        <w:rPr>
          <w:rFonts w:ascii="宋体" w:hAnsi="宋体" w:eastAsia="宋体" w:cs="宋体"/>
          <w:spacing w:val="-31"/>
          <w:sz w:val="20"/>
          <w:szCs w:val="20"/>
        </w:rPr>
        <w:t xml:space="preserve"> </w:t>
      </w:r>
      <w:r>
        <w:rPr>
          <w:rFonts w:ascii="宋体" w:hAnsi="宋体" w:eastAsia="宋体" w:cs="宋体"/>
          <w:sz w:val="20"/>
          <w:szCs w:val="20"/>
        </w:rPr>
        <w:t>3</w:t>
      </w:r>
      <w:r>
        <w:rPr>
          <w:rFonts w:ascii="宋体" w:hAnsi="宋体" w:eastAsia="宋体" w:cs="宋体"/>
          <w:spacing w:val="-34"/>
          <w:sz w:val="20"/>
          <w:szCs w:val="20"/>
        </w:rPr>
        <w:t xml:space="preserve"> </w:t>
      </w:r>
      <w:r>
        <w:rPr>
          <w:rFonts w:ascii="宋体" w:hAnsi="宋体" w:eastAsia="宋体" w:cs="宋体"/>
          <w:sz w:val="20"/>
          <w:szCs w:val="20"/>
        </w:rPr>
        <w:t>年是指</w:t>
      </w:r>
      <w:r>
        <w:rPr>
          <w:rFonts w:ascii="宋体" w:hAnsi="宋体" w:eastAsia="宋体" w:cs="宋体"/>
          <w:spacing w:val="-30"/>
          <w:sz w:val="20"/>
          <w:szCs w:val="20"/>
        </w:rPr>
        <w:t xml:space="preserve"> </w:t>
      </w:r>
      <w:r>
        <w:rPr>
          <w:rFonts w:ascii="宋体" w:hAnsi="宋体" w:eastAsia="宋体" w:cs="宋体"/>
          <w:sz w:val="20"/>
          <w:szCs w:val="20"/>
        </w:rPr>
        <w:t>2023</w:t>
      </w:r>
      <w:r>
        <w:rPr>
          <w:rFonts w:ascii="宋体" w:hAnsi="宋体" w:eastAsia="宋体" w:cs="宋体"/>
          <w:spacing w:val="-37"/>
          <w:sz w:val="20"/>
          <w:szCs w:val="20"/>
        </w:rPr>
        <w:t xml:space="preserve"> </w:t>
      </w:r>
      <w:r>
        <w:rPr>
          <w:rFonts w:ascii="宋体" w:hAnsi="宋体" w:eastAsia="宋体" w:cs="宋体"/>
          <w:sz w:val="20"/>
          <w:szCs w:val="20"/>
        </w:rPr>
        <w:t>年</w:t>
      </w:r>
      <w:r>
        <w:rPr>
          <w:rFonts w:ascii="宋体" w:hAnsi="宋体" w:eastAsia="宋体" w:cs="宋体"/>
          <w:spacing w:val="-29"/>
          <w:sz w:val="20"/>
          <w:szCs w:val="20"/>
        </w:rPr>
        <w:t xml:space="preserve"> </w:t>
      </w:r>
      <w:r>
        <w:rPr>
          <w:rFonts w:ascii="宋体" w:hAnsi="宋体" w:eastAsia="宋体" w:cs="宋体"/>
          <w:sz w:val="20"/>
          <w:szCs w:val="20"/>
        </w:rPr>
        <w:t>2</w:t>
      </w:r>
      <w:r>
        <w:rPr>
          <w:rFonts w:ascii="宋体" w:hAnsi="宋体" w:eastAsia="宋体" w:cs="宋体"/>
          <w:spacing w:val="-31"/>
          <w:sz w:val="20"/>
          <w:szCs w:val="20"/>
        </w:rPr>
        <w:t xml:space="preserve"> </w:t>
      </w:r>
      <w:r>
        <w:rPr>
          <w:rFonts w:ascii="宋体" w:hAnsi="宋体" w:eastAsia="宋体" w:cs="宋体"/>
          <w:sz w:val="20"/>
          <w:szCs w:val="20"/>
        </w:rPr>
        <w:t>月</w:t>
      </w:r>
      <w:r>
        <w:rPr>
          <w:rFonts w:ascii="宋体" w:hAnsi="宋体" w:eastAsia="宋体" w:cs="宋体"/>
          <w:spacing w:val="-19"/>
          <w:sz w:val="20"/>
          <w:szCs w:val="20"/>
        </w:rPr>
        <w:t xml:space="preserve"> </w:t>
      </w:r>
      <w:r>
        <w:rPr>
          <w:rFonts w:ascii="宋体" w:hAnsi="宋体" w:eastAsia="宋体" w:cs="宋体"/>
          <w:sz w:val="20"/>
          <w:szCs w:val="20"/>
        </w:rPr>
        <w:t>1 日至</w:t>
      </w:r>
      <w:r>
        <w:rPr>
          <w:rFonts w:ascii="宋体" w:hAnsi="宋体" w:eastAsia="宋体" w:cs="宋体"/>
          <w:spacing w:val="-30"/>
          <w:sz w:val="20"/>
          <w:szCs w:val="20"/>
        </w:rPr>
        <w:t xml:space="preserve"> </w:t>
      </w:r>
      <w:r>
        <w:rPr>
          <w:rFonts w:ascii="宋体" w:hAnsi="宋体" w:eastAsia="宋体" w:cs="宋体"/>
          <w:sz w:val="20"/>
          <w:szCs w:val="20"/>
        </w:rPr>
        <w:t>2026</w:t>
      </w:r>
      <w:r>
        <w:rPr>
          <w:rFonts w:ascii="宋体" w:hAnsi="宋体" w:eastAsia="宋体" w:cs="宋体"/>
          <w:spacing w:val="-8"/>
          <w:sz w:val="20"/>
          <w:szCs w:val="20"/>
        </w:rPr>
        <w:t>年</w:t>
      </w:r>
      <w:r>
        <w:rPr>
          <w:rFonts w:ascii="宋体" w:hAnsi="宋体" w:eastAsia="宋体" w:cs="宋体"/>
          <w:spacing w:val="-32"/>
          <w:sz w:val="20"/>
          <w:szCs w:val="20"/>
        </w:rPr>
        <w:t xml:space="preserve"> </w:t>
      </w:r>
      <w:r>
        <w:rPr>
          <w:rFonts w:ascii="宋体" w:hAnsi="宋体" w:eastAsia="宋体" w:cs="宋体"/>
          <w:spacing w:val="-8"/>
          <w:sz w:val="20"/>
          <w:szCs w:val="20"/>
        </w:rPr>
        <w:t>3</w:t>
      </w:r>
      <w:r>
        <w:rPr>
          <w:rFonts w:ascii="宋体" w:hAnsi="宋体" w:eastAsia="宋体" w:cs="宋体"/>
          <w:spacing w:val="-33"/>
          <w:sz w:val="20"/>
          <w:szCs w:val="20"/>
        </w:rPr>
        <w:t xml:space="preserve"> </w:t>
      </w:r>
      <w:r>
        <w:rPr>
          <w:rFonts w:ascii="宋体" w:hAnsi="宋体" w:eastAsia="宋体" w:cs="宋体"/>
          <w:spacing w:val="-8"/>
          <w:sz w:val="20"/>
          <w:szCs w:val="20"/>
        </w:rPr>
        <w:t>月</w:t>
      </w:r>
      <w:r>
        <w:rPr>
          <w:rFonts w:ascii="宋体" w:hAnsi="宋体" w:eastAsia="宋体" w:cs="宋体"/>
          <w:spacing w:val="-40"/>
          <w:sz w:val="20"/>
          <w:szCs w:val="20"/>
        </w:rPr>
        <w:t xml:space="preserve"> </w:t>
      </w:r>
      <w:r>
        <w:rPr>
          <w:rFonts w:ascii="宋体" w:hAnsi="宋体" w:eastAsia="宋体" w:cs="宋体"/>
          <w:spacing w:val="-8"/>
          <w:sz w:val="20"/>
          <w:szCs w:val="20"/>
        </w:rPr>
        <w:t>4 日。</w:t>
      </w:r>
    </w:p>
    <w:p w14:paraId="37CEC28D">
      <w:pPr>
        <w:spacing w:before="3" w:line="251" w:lineRule="auto"/>
        <w:ind w:left="953" w:right="205" w:hanging="314"/>
        <w:rPr>
          <w:rFonts w:ascii="宋体" w:hAnsi="宋体" w:eastAsia="宋体" w:cs="宋体"/>
          <w:sz w:val="20"/>
          <w:szCs w:val="20"/>
        </w:rPr>
      </w:pPr>
      <w:r>
        <w:rPr>
          <w:rFonts w:ascii="宋体" w:hAnsi="宋体" w:eastAsia="宋体" w:cs="宋体"/>
          <w:spacing w:val="9"/>
          <w:sz w:val="20"/>
          <w:szCs w:val="20"/>
        </w:rPr>
        <w:t>4. 招标人和评标委员会在评标过程中，应对各投标人（包括联合体</w:t>
      </w:r>
      <w:r>
        <w:rPr>
          <w:rFonts w:ascii="宋体" w:hAnsi="宋体" w:eastAsia="宋体" w:cs="宋体"/>
          <w:spacing w:val="8"/>
          <w:sz w:val="20"/>
          <w:szCs w:val="20"/>
        </w:rPr>
        <w:t>各成员单位）的严重违法失信企业、失信被执行人、行贿犯罪行为等情况进行查询，并将查询结果“截图</w:t>
      </w:r>
      <w:r>
        <w:rPr>
          <w:rFonts w:ascii="宋体" w:hAnsi="宋体" w:eastAsia="宋体" w:cs="宋体"/>
          <w:spacing w:val="-57"/>
          <w:sz w:val="20"/>
          <w:szCs w:val="20"/>
        </w:rPr>
        <w:t xml:space="preserve"> </w:t>
      </w:r>
      <w:r>
        <w:rPr>
          <w:rFonts w:ascii="宋体" w:hAnsi="宋体" w:eastAsia="宋体" w:cs="宋体"/>
          <w:spacing w:val="8"/>
          <w:sz w:val="20"/>
          <w:szCs w:val="20"/>
        </w:rPr>
        <w:t>”附</w:t>
      </w:r>
      <w:r>
        <w:rPr>
          <w:rFonts w:ascii="宋体" w:hAnsi="宋体" w:eastAsia="宋体" w:cs="宋体"/>
          <w:spacing w:val="7"/>
          <w:sz w:val="20"/>
          <w:szCs w:val="20"/>
        </w:rPr>
        <w:t>在评标报告中。</w:t>
      </w:r>
    </w:p>
    <w:p w14:paraId="1628208A">
      <w:pPr>
        <w:spacing w:line="251" w:lineRule="auto"/>
        <w:rPr>
          <w:rFonts w:ascii="宋体" w:hAnsi="宋体" w:eastAsia="宋体" w:cs="宋体"/>
          <w:sz w:val="20"/>
          <w:szCs w:val="20"/>
        </w:rPr>
        <w:sectPr>
          <w:headerReference r:id="rId543" w:type="default"/>
          <w:footerReference r:id="rId544" w:type="default"/>
          <w:pgSz w:w="11907" w:h="16840"/>
          <w:pgMar w:top="400" w:right="1325" w:bottom="1247" w:left="1473" w:header="0" w:footer="1085" w:gutter="0"/>
          <w:cols w:space="720" w:num="1"/>
        </w:sectPr>
      </w:pPr>
    </w:p>
    <w:p w14:paraId="675D15D7">
      <w:pPr>
        <w:spacing w:line="265" w:lineRule="auto"/>
        <w:rPr>
          <w:rFonts w:ascii="Arial"/>
          <w:sz w:val="21"/>
        </w:rPr>
      </w:pPr>
    </w:p>
    <w:p w14:paraId="20CEE5F0">
      <w:pPr>
        <w:spacing w:line="266" w:lineRule="auto"/>
        <w:rPr>
          <w:rFonts w:ascii="Arial"/>
          <w:sz w:val="21"/>
        </w:rPr>
      </w:pPr>
    </w:p>
    <w:p w14:paraId="503AC513">
      <w:pPr>
        <w:spacing w:line="266" w:lineRule="auto"/>
        <w:rPr>
          <w:rFonts w:ascii="Arial"/>
          <w:sz w:val="21"/>
        </w:rPr>
      </w:pPr>
    </w:p>
    <w:p w14:paraId="70F290F8">
      <w:pPr>
        <w:spacing w:line="266" w:lineRule="auto"/>
        <w:rPr>
          <w:rFonts w:ascii="Arial"/>
          <w:sz w:val="21"/>
        </w:rPr>
      </w:pPr>
    </w:p>
    <w:p w14:paraId="61D389DE">
      <w:pPr>
        <w:spacing w:line="266" w:lineRule="auto"/>
        <w:rPr>
          <w:rFonts w:ascii="Arial"/>
          <w:sz w:val="21"/>
        </w:rPr>
      </w:pPr>
    </w:p>
    <w:p w14:paraId="2DD8D795">
      <w:pPr>
        <w:pStyle w:val="2"/>
        <w:spacing w:before="78" w:line="220" w:lineRule="auto"/>
        <w:ind w:left="2831"/>
        <w:outlineLvl w:val="3"/>
        <w:rPr>
          <w:sz w:val="24"/>
          <w:szCs w:val="24"/>
        </w:rPr>
      </w:pPr>
      <w:bookmarkStart w:id="449" w:name="bookmark425"/>
      <w:bookmarkEnd w:id="449"/>
      <w:r>
        <w:rPr>
          <w:rFonts w:ascii="Times New Roman" w:hAnsi="Times New Roman" w:eastAsia="Times New Roman" w:cs="Times New Roman"/>
          <w:spacing w:val="-2"/>
          <w:sz w:val="24"/>
          <w:szCs w:val="24"/>
        </w:rPr>
        <w:t xml:space="preserve">5-2 </w:t>
      </w:r>
      <w:r>
        <w:rPr>
          <w:spacing w:val="-2"/>
          <w:sz w:val="24"/>
          <w:szCs w:val="24"/>
        </w:rPr>
        <w:t>近</w:t>
      </w:r>
      <w:r>
        <w:rPr>
          <w:spacing w:val="-40"/>
          <w:sz w:val="24"/>
          <w:szCs w:val="24"/>
        </w:rPr>
        <w:t xml:space="preserve"> </w:t>
      </w:r>
      <w:r>
        <w:rPr>
          <w:rFonts w:ascii="Times New Roman" w:hAnsi="Times New Roman" w:eastAsia="Times New Roman" w:cs="Times New Roman"/>
          <w:spacing w:val="-2"/>
          <w:sz w:val="24"/>
          <w:szCs w:val="24"/>
        </w:rPr>
        <w:t xml:space="preserve">3 </w:t>
      </w:r>
      <w:r>
        <w:rPr>
          <w:spacing w:val="-2"/>
          <w:sz w:val="24"/>
          <w:szCs w:val="24"/>
        </w:rPr>
        <w:t>年发生的诉讼和仲裁情况</w:t>
      </w:r>
    </w:p>
    <w:p w14:paraId="7BCFFF4A">
      <w:pPr>
        <w:spacing w:before="197"/>
      </w:pPr>
    </w:p>
    <w:tbl>
      <w:tblPr>
        <w:tblStyle w:val="5"/>
        <w:tblW w:w="872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2"/>
        <w:gridCol w:w="952"/>
        <w:gridCol w:w="1258"/>
        <w:gridCol w:w="3594"/>
        <w:gridCol w:w="1958"/>
      </w:tblGrid>
      <w:tr w14:paraId="57EB3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962" w:type="dxa"/>
            <w:tcBorders>
              <w:top w:val="single" w:color="000000" w:sz="6" w:space="0"/>
              <w:left w:val="single" w:color="000000" w:sz="6" w:space="0"/>
            </w:tcBorders>
            <w:vAlign w:val="top"/>
          </w:tcPr>
          <w:p w14:paraId="328023B2">
            <w:pPr>
              <w:pStyle w:val="6"/>
              <w:spacing w:before="238" w:line="228" w:lineRule="auto"/>
              <w:ind w:left="268"/>
            </w:pPr>
            <w:r>
              <w:rPr>
                <w:spacing w:val="4"/>
              </w:rPr>
              <w:t>类别</w:t>
            </w:r>
          </w:p>
        </w:tc>
        <w:tc>
          <w:tcPr>
            <w:tcW w:w="952" w:type="dxa"/>
            <w:tcBorders>
              <w:top w:val="single" w:color="000000" w:sz="6" w:space="0"/>
            </w:tcBorders>
            <w:vAlign w:val="top"/>
          </w:tcPr>
          <w:p w14:paraId="6260694F">
            <w:pPr>
              <w:pStyle w:val="6"/>
              <w:spacing w:before="239" w:line="229" w:lineRule="auto"/>
              <w:ind w:left="266"/>
            </w:pPr>
            <w:r>
              <w:rPr>
                <w:spacing w:val="5"/>
              </w:rPr>
              <w:t>序号</w:t>
            </w:r>
          </w:p>
        </w:tc>
        <w:tc>
          <w:tcPr>
            <w:tcW w:w="1258" w:type="dxa"/>
            <w:tcBorders>
              <w:top w:val="single" w:color="000000" w:sz="6" w:space="0"/>
            </w:tcBorders>
            <w:vAlign w:val="top"/>
          </w:tcPr>
          <w:p w14:paraId="10D31AF7">
            <w:pPr>
              <w:pStyle w:val="6"/>
              <w:spacing w:before="239" w:line="228" w:lineRule="auto"/>
              <w:ind w:left="215"/>
            </w:pPr>
            <w:r>
              <w:rPr>
                <w:spacing w:val="6"/>
              </w:rPr>
              <w:t>发生时间</w:t>
            </w:r>
          </w:p>
        </w:tc>
        <w:tc>
          <w:tcPr>
            <w:tcW w:w="3594" w:type="dxa"/>
            <w:tcBorders>
              <w:top w:val="single" w:color="000000" w:sz="6" w:space="0"/>
            </w:tcBorders>
            <w:vAlign w:val="top"/>
          </w:tcPr>
          <w:p w14:paraId="19D30C44">
            <w:pPr>
              <w:pStyle w:val="6"/>
              <w:spacing w:before="238" w:line="227" w:lineRule="auto"/>
              <w:ind w:left="1384"/>
            </w:pPr>
            <w:r>
              <w:rPr>
                <w:spacing w:val="7"/>
              </w:rPr>
              <w:t>情况简介</w:t>
            </w:r>
          </w:p>
        </w:tc>
        <w:tc>
          <w:tcPr>
            <w:tcW w:w="1958" w:type="dxa"/>
            <w:tcBorders>
              <w:top w:val="single" w:color="000000" w:sz="6" w:space="0"/>
              <w:right w:val="single" w:color="000000" w:sz="6" w:space="0"/>
            </w:tcBorders>
            <w:vAlign w:val="top"/>
          </w:tcPr>
          <w:p w14:paraId="723B38BA">
            <w:pPr>
              <w:pStyle w:val="6"/>
              <w:spacing w:before="238" w:line="227" w:lineRule="auto"/>
              <w:ind w:left="354"/>
            </w:pPr>
            <w:r>
              <w:rPr>
                <w:spacing w:val="8"/>
              </w:rPr>
              <w:t>证明材料索引</w:t>
            </w:r>
          </w:p>
        </w:tc>
      </w:tr>
      <w:tr w14:paraId="42DB0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9" w:hRule="atLeast"/>
        </w:trPr>
        <w:tc>
          <w:tcPr>
            <w:tcW w:w="962" w:type="dxa"/>
            <w:vMerge w:val="restart"/>
            <w:tcBorders>
              <w:left w:val="single" w:color="000000" w:sz="6" w:space="0"/>
              <w:bottom w:val="nil"/>
            </w:tcBorders>
            <w:textDirection w:val="tbRlV"/>
            <w:vAlign w:val="top"/>
          </w:tcPr>
          <w:p w14:paraId="17786CD8">
            <w:pPr>
              <w:spacing w:line="300" w:lineRule="auto"/>
              <w:rPr>
                <w:rFonts w:ascii="Arial"/>
                <w:sz w:val="21"/>
              </w:rPr>
            </w:pPr>
          </w:p>
          <w:p w14:paraId="7F97BE6C">
            <w:pPr>
              <w:pStyle w:val="6"/>
              <w:spacing w:before="67" w:line="217" w:lineRule="auto"/>
              <w:ind w:left="1413"/>
            </w:pPr>
            <w:r>
              <w:rPr>
                <w:spacing w:val="32"/>
              </w:rPr>
              <w:t>诉讼情况</w:t>
            </w:r>
          </w:p>
        </w:tc>
        <w:tc>
          <w:tcPr>
            <w:tcW w:w="952" w:type="dxa"/>
            <w:vAlign w:val="top"/>
          </w:tcPr>
          <w:p w14:paraId="604FFCB2">
            <w:pPr>
              <w:rPr>
                <w:rFonts w:ascii="Arial"/>
                <w:sz w:val="21"/>
              </w:rPr>
            </w:pPr>
          </w:p>
        </w:tc>
        <w:tc>
          <w:tcPr>
            <w:tcW w:w="1258" w:type="dxa"/>
            <w:vAlign w:val="top"/>
          </w:tcPr>
          <w:p w14:paraId="03F0DAD8">
            <w:pPr>
              <w:rPr>
                <w:rFonts w:ascii="Arial"/>
                <w:sz w:val="21"/>
              </w:rPr>
            </w:pPr>
          </w:p>
        </w:tc>
        <w:tc>
          <w:tcPr>
            <w:tcW w:w="3594" w:type="dxa"/>
            <w:vAlign w:val="top"/>
          </w:tcPr>
          <w:p w14:paraId="2FDE2D1E">
            <w:pPr>
              <w:rPr>
                <w:rFonts w:ascii="Arial"/>
                <w:sz w:val="21"/>
              </w:rPr>
            </w:pPr>
          </w:p>
        </w:tc>
        <w:tc>
          <w:tcPr>
            <w:tcW w:w="1958" w:type="dxa"/>
            <w:tcBorders>
              <w:right w:val="single" w:color="000000" w:sz="6" w:space="0"/>
            </w:tcBorders>
            <w:vAlign w:val="top"/>
          </w:tcPr>
          <w:p w14:paraId="385C8556">
            <w:pPr>
              <w:rPr>
                <w:rFonts w:ascii="Arial"/>
                <w:sz w:val="21"/>
              </w:rPr>
            </w:pPr>
          </w:p>
        </w:tc>
      </w:tr>
      <w:tr w14:paraId="6F3421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962" w:type="dxa"/>
            <w:vMerge w:val="continue"/>
            <w:tcBorders>
              <w:top w:val="nil"/>
              <w:left w:val="single" w:color="000000" w:sz="6" w:space="0"/>
              <w:bottom w:val="nil"/>
            </w:tcBorders>
            <w:textDirection w:val="tbRlV"/>
            <w:vAlign w:val="top"/>
          </w:tcPr>
          <w:p w14:paraId="68851FE1">
            <w:pPr>
              <w:rPr>
                <w:rFonts w:ascii="Arial"/>
                <w:sz w:val="21"/>
              </w:rPr>
            </w:pPr>
          </w:p>
        </w:tc>
        <w:tc>
          <w:tcPr>
            <w:tcW w:w="952" w:type="dxa"/>
            <w:vAlign w:val="top"/>
          </w:tcPr>
          <w:p w14:paraId="312986B8">
            <w:pPr>
              <w:rPr>
                <w:rFonts w:ascii="Arial"/>
                <w:sz w:val="21"/>
              </w:rPr>
            </w:pPr>
          </w:p>
        </w:tc>
        <w:tc>
          <w:tcPr>
            <w:tcW w:w="1258" w:type="dxa"/>
            <w:vAlign w:val="top"/>
          </w:tcPr>
          <w:p w14:paraId="1551BA7F">
            <w:pPr>
              <w:rPr>
                <w:rFonts w:ascii="Arial"/>
                <w:sz w:val="21"/>
              </w:rPr>
            </w:pPr>
          </w:p>
        </w:tc>
        <w:tc>
          <w:tcPr>
            <w:tcW w:w="3594" w:type="dxa"/>
            <w:vAlign w:val="top"/>
          </w:tcPr>
          <w:p w14:paraId="14C2C3B2">
            <w:pPr>
              <w:rPr>
                <w:rFonts w:ascii="Arial"/>
                <w:sz w:val="21"/>
              </w:rPr>
            </w:pPr>
          </w:p>
        </w:tc>
        <w:tc>
          <w:tcPr>
            <w:tcW w:w="1958" w:type="dxa"/>
            <w:tcBorders>
              <w:right w:val="single" w:color="000000" w:sz="6" w:space="0"/>
            </w:tcBorders>
            <w:vAlign w:val="top"/>
          </w:tcPr>
          <w:p w14:paraId="26781B63">
            <w:pPr>
              <w:rPr>
                <w:rFonts w:ascii="Arial"/>
                <w:sz w:val="21"/>
              </w:rPr>
            </w:pPr>
          </w:p>
        </w:tc>
      </w:tr>
      <w:tr w14:paraId="6AC91B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962" w:type="dxa"/>
            <w:vMerge w:val="continue"/>
            <w:tcBorders>
              <w:top w:val="nil"/>
              <w:left w:val="single" w:color="000000" w:sz="6" w:space="0"/>
            </w:tcBorders>
            <w:textDirection w:val="tbRlV"/>
            <w:vAlign w:val="top"/>
          </w:tcPr>
          <w:p w14:paraId="04A495EA">
            <w:pPr>
              <w:rPr>
                <w:rFonts w:ascii="Arial"/>
                <w:sz w:val="21"/>
              </w:rPr>
            </w:pPr>
          </w:p>
        </w:tc>
        <w:tc>
          <w:tcPr>
            <w:tcW w:w="952" w:type="dxa"/>
            <w:vAlign w:val="top"/>
          </w:tcPr>
          <w:p w14:paraId="122EBDC9">
            <w:pPr>
              <w:rPr>
                <w:rFonts w:ascii="Arial"/>
                <w:sz w:val="21"/>
              </w:rPr>
            </w:pPr>
          </w:p>
        </w:tc>
        <w:tc>
          <w:tcPr>
            <w:tcW w:w="1258" w:type="dxa"/>
            <w:vAlign w:val="top"/>
          </w:tcPr>
          <w:p w14:paraId="40DA7092">
            <w:pPr>
              <w:rPr>
                <w:rFonts w:ascii="Arial"/>
                <w:sz w:val="21"/>
              </w:rPr>
            </w:pPr>
          </w:p>
        </w:tc>
        <w:tc>
          <w:tcPr>
            <w:tcW w:w="3594" w:type="dxa"/>
            <w:vAlign w:val="top"/>
          </w:tcPr>
          <w:p w14:paraId="3562E586">
            <w:pPr>
              <w:rPr>
                <w:rFonts w:ascii="Arial"/>
                <w:sz w:val="21"/>
              </w:rPr>
            </w:pPr>
          </w:p>
        </w:tc>
        <w:tc>
          <w:tcPr>
            <w:tcW w:w="1958" w:type="dxa"/>
            <w:tcBorders>
              <w:right w:val="single" w:color="000000" w:sz="6" w:space="0"/>
            </w:tcBorders>
            <w:vAlign w:val="top"/>
          </w:tcPr>
          <w:p w14:paraId="43C71637">
            <w:pPr>
              <w:rPr>
                <w:rFonts w:ascii="Arial"/>
                <w:sz w:val="21"/>
              </w:rPr>
            </w:pPr>
          </w:p>
        </w:tc>
      </w:tr>
      <w:tr w14:paraId="06E7D7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962" w:type="dxa"/>
            <w:vMerge w:val="restart"/>
            <w:tcBorders>
              <w:left w:val="single" w:color="000000" w:sz="6" w:space="0"/>
              <w:bottom w:val="nil"/>
            </w:tcBorders>
            <w:textDirection w:val="tbRlV"/>
            <w:vAlign w:val="top"/>
          </w:tcPr>
          <w:p w14:paraId="29597298">
            <w:pPr>
              <w:spacing w:line="300" w:lineRule="auto"/>
              <w:rPr>
                <w:rFonts w:ascii="Arial"/>
                <w:sz w:val="21"/>
              </w:rPr>
            </w:pPr>
          </w:p>
          <w:p w14:paraId="406B0485">
            <w:pPr>
              <w:pStyle w:val="6"/>
              <w:spacing w:before="67" w:line="216" w:lineRule="auto"/>
              <w:ind w:left="1422"/>
            </w:pPr>
            <w:r>
              <w:rPr>
                <w:spacing w:val="32"/>
              </w:rPr>
              <w:t>仲裁情况</w:t>
            </w:r>
          </w:p>
        </w:tc>
        <w:tc>
          <w:tcPr>
            <w:tcW w:w="952" w:type="dxa"/>
            <w:vAlign w:val="top"/>
          </w:tcPr>
          <w:p w14:paraId="4B55347B">
            <w:pPr>
              <w:rPr>
                <w:rFonts w:ascii="Arial"/>
                <w:sz w:val="21"/>
              </w:rPr>
            </w:pPr>
          </w:p>
        </w:tc>
        <w:tc>
          <w:tcPr>
            <w:tcW w:w="1258" w:type="dxa"/>
            <w:vAlign w:val="top"/>
          </w:tcPr>
          <w:p w14:paraId="7F333055">
            <w:pPr>
              <w:rPr>
                <w:rFonts w:ascii="Arial"/>
                <w:sz w:val="21"/>
              </w:rPr>
            </w:pPr>
          </w:p>
        </w:tc>
        <w:tc>
          <w:tcPr>
            <w:tcW w:w="3594" w:type="dxa"/>
            <w:vAlign w:val="top"/>
          </w:tcPr>
          <w:p w14:paraId="0EB7F64E">
            <w:pPr>
              <w:rPr>
                <w:rFonts w:ascii="Arial"/>
                <w:sz w:val="21"/>
              </w:rPr>
            </w:pPr>
          </w:p>
        </w:tc>
        <w:tc>
          <w:tcPr>
            <w:tcW w:w="1958" w:type="dxa"/>
            <w:tcBorders>
              <w:right w:val="single" w:color="000000" w:sz="6" w:space="0"/>
            </w:tcBorders>
            <w:vAlign w:val="top"/>
          </w:tcPr>
          <w:p w14:paraId="03357EFD">
            <w:pPr>
              <w:rPr>
                <w:rFonts w:ascii="Arial"/>
                <w:sz w:val="21"/>
              </w:rPr>
            </w:pPr>
          </w:p>
        </w:tc>
      </w:tr>
      <w:tr w14:paraId="4F7519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962" w:type="dxa"/>
            <w:vMerge w:val="continue"/>
            <w:tcBorders>
              <w:top w:val="nil"/>
              <w:left w:val="single" w:color="000000" w:sz="6" w:space="0"/>
              <w:bottom w:val="nil"/>
            </w:tcBorders>
            <w:textDirection w:val="tbRlV"/>
            <w:vAlign w:val="top"/>
          </w:tcPr>
          <w:p w14:paraId="36001EF9">
            <w:pPr>
              <w:rPr>
                <w:rFonts w:ascii="Arial"/>
                <w:sz w:val="21"/>
              </w:rPr>
            </w:pPr>
          </w:p>
        </w:tc>
        <w:tc>
          <w:tcPr>
            <w:tcW w:w="952" w:type="dxa"/>
            <w:vAlign w:val="top"/>
          </w:tcPr>
          <w:p w14:paraId="100961F1">
            <w:pPr>
              <w:rPr>
                <w:rFonts w:ascii="Arial"/>
                <w:sz w:val="21"/>
              </w:rPr>
            </w:pPr>
          </w:p>
        </w:tc>
        <w:tc>
          <w:tcPr>
            <w:tcW w:w="1258" w:type="dxa"/>
            <w:vAlign w:val="top"/>
          </w:tcPr>
          <w:p w14:paraId="23AD437D">
            <w:pPr>
              <w:rPr>
                <w:rFonts w:ascii="Arial"/>
                <w:sz w:val="21"/>
              </w:rPr>
            </w:pPr>
          </w:p>
        </w:tc>
        <w:tc>
          <w:tcPr>
            <w:tcW w:w="3594" w:type="dxa"/>
            <w:vAlign w:val="top"/>
          </w:tcPr>
          <w:p w14:paraId="246FD3B0">
            <w:pPr>
              <w:rPr>
                <w:rFonts w:ascii="Arial"/>
                <w:sz w:val="21"/>
              </w:rPr>
            </w:pPr>
          </w:p>
        </w:tc>
        <w:tc>
          <w:tcPr>
            <w:tcW w:w="1958" w:type="dxa"/>
            <w:tcBorders>
              <w:right w:val="single" w:color="000000" w:sz="6" w:space="0"/>
            </w:tcBorders>
            <w:vAlign w:val="top"/>
          </w:tcPr>
          <w:p w14:paraId="38E2DD2B">
            <w:pPr>
              <w:rPr>
                <w:rFonts w:ascii="Arial"/>
                <w:sz w:val="21"/>
              </w:rPr>
            </w:pPr>
          </w:p>
        </w:tc>
      </w:tr>
      <w:tr w14:paraId="582B3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962" w:type="dxa"/>
            <w:vMerge w:val="continue"/>
            <w:tcBorders>
              <w:top w:val="nil"/>
              <w:left w:val="single" w:color="000000" w:sz="6" w:space="0"/>
              <w:bottom w:val="single" w:color="000000" w:sz="6" w:space="0"/>
            </w:tcBorders>
            <w:textDirection w:val="tbRlV"/>
            <w:vAlign w:val="top"/>
          </w:tcPr>
          <w:p w14:paraId="4BDDB51B">
            <w:pPr>
              <w:rPr>
                <w:rFonts w:ascii="Arial"/>
                <w:sz w:val="21"/>
              </w:rPr>
            </w:pPr>
          </w:p>
        </w:tc>
        <w:tc>
          <w:tcPr>
            <w:tcW w:w="952" w:type="dxa"/>
            <w:tcBorders>
              <w:bottom w:val="single" w:color="000000" w:sz="6" w:space="0"/>
            </w:tcBorders>
            <w:vAlign w:val="top"/>
          </w:tcPr>
          <w:p w14:paraId="32A46C4E">
            <w:pPr>
              <w:rPr>
                <w:rFonts w:ascii="Arial"/>
                <w:sz w:val="21"/>
              </w:rPr>
            </w:pPr>
          </w:p>
        </w:tc>
        <w:tc>
          <w:tcPr>
            <w:tcW w:w="1258" w:type="dxa"/>
            <w:tcBorders>
              <w:bottom w:val="single" w:color="000000" w:sz="6" w:space="0"/>
            </w:tcBorders>
            <w:vAlign w:val="top"/>
          </w:tcPr>
          <w:p w14:paraId="0648BA18">
            <w:pPr>
              <w:rPr>
                <w:rFonts w:ascii="Arial"/>
                <w:sz w:val="21"/>
              </w:rPr>
            </w:pPr>
          </w:p>
        </w:tc>
        <w:tc>
          <w:tcPr>
            <w:tcW w:w="3594" w:type="dxa"/>
            <w:tcBorders>
              <w:bottom w:val="single" w:color="000000" w:sz="6" w:space="0"/>
            </w:tcBorders>
            <w:vAlign w:val="top"/>
          </w:tcPr>
          <w:p w14:paraId="0964C633">
            <w:pPr>
              <w:rPr>
                <w:rFonts w:ascii="Arial"/>
                <w:sz w:val="21"/>
              </w:rPr>
            </w:pPr>
          </w:p>
        </w:tc>
        <w:tc>
          <w:tcPr>
            <w:tcW w:w="1958" w:type="dxa"/>
            <w:tcBorders>
              <w:bottom w:val="single" w:color="000000" w:sz="6" w:space="0"/>
              <w:right w:val="single" w:color="000000" w:sz="6" w:space="0"/>
            </w:tcBorders>
            <w:vAlign w:val="top"/>
          </w:tcPr>
          <w:p w14:paraId="5A477A6E">
            <w:pPr>
              <w:rPr>
                <w:rFonts w:ascii="Arial"/>
                <w:sz w:val="21"/>
              </w:rPr>
            </w:pPr>
          </w:p>
        </w:tc>
      </w:tr>
    </w:tbl>
    <w:p w14:paraId="7652965A">
      <w:pPr>
        <w:spacing w:line="473" w:lineRule="auto"/>
        <w:rPr>
          <w:rFonts w:ascii="Arial"/>
          <w:sz w:val="21"/>
        </w:rPr>
      </w:pPr>
    </w:p>
    <w:p w14:paraId="04039585">
      <w:pPr>
        <w:spacing w:before="65" w:line="369" w:lineRule="auto"/>
        <w:ind w:left="962" w:right="3" w:hanging="835"/>
        <w:rPr>
          <w:rFonts w:ascii="宋体" w:hAnsi="宋体" w:eastAsia="宋体" w:cs="宋体"/>
          <w:sz w:val="20"/>
          <w:szCs w:val="20"/>
        </w:rPr>
      </w:pPr>
      <w:r>
        <w:rPr>
          <w:rFonts w:ascii="宋体" w:hAnsi="宋体" w:eastAsia="宋体" w:cs="宋体"/>
          <w:spacing w:val="9"/>
          <w:sz w:val="20"/>
          <w:szCs w:val="20"/>
        </w:rPr>
        <w:t>备注：</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招标文件将近</w:t>
      </w:r>
      <w:r>
        <w:rPr>
          <w:rFonts w:ascii="宋体" w:hAnsi="宋体" w:eastAsia="宋体" w:cs="宋体"/>
          <w:spacing w:val="-27"/>
          <w:sz w:val="20"/>
          <w:szCs w:val="20"/>
        </w:rPr>
        <w:t xml:space="preserve"> </w:t>
      </w:r>
      <w:r>
        <w:rPr>
          <w:rFonts w:ascii="Times New Roman" w:hAnsi="Times New Roman" w:eastAsia="Times New Roman" w:cs="Times New Roman"/>
          <w:spacing w:val="9"/>
          <w:sz w:val="20"/>
          <w:szCs w:val="20"/>
        </w:rPr>
        <w:t xml:space="preserve">3 </w:t>
      </w:r>
      <w:r>
        <w:rPr>
          <w:rFonts w:ascii="宋体" w:hAnsi="宋体" w:eastAsia="宋体" w:cs="宋体"/>
          <w:spacing w:val="9"/>
          <w:sz w:val="20"/>
          <w:szCs w:val="20"/>
        </w:rPr>
        <w:t>年发生的诉讼和仲裁情况作为资格条件或评分项的，投标人应当如实填</w:t>
      </w:r>
      <w:r>
        <w:rPr>
          <w:rFonts w:ascii="宋体" w:hAnsi="宋体" w:eastAsia="宋体" w:cs="宋体"/>
          <w:spacing w:val="7"/>
          <w:sz w:val="20"/>
          <w:szCs w:val="20"/>
        </w:rPr>
        <w:t>报相关情况。</w:t>
      </w:r>
    </w:p>
    <w:p w14:paraId="3F58C3D6">
      <w:pPr>
        <w:spacing w:line="369" w:lineRule="auto"/>
        <w:ind w:left="964" w:hanging="212"/>
        <w:rPr>
          <w:rFonts w:ascii="宋体" w:hAnsi="宋体" w:eastAsia="宋体" w:cs="宋体"/>
          <w:sz w:val="20"/>
          <w:szCs w:val="20"/>
        </w:rPr>
      </w:pPr>
      <w:r>
        <w:rPr>
          <w:rFonts w:ascii="Times New Roman" w:hAnsi="Times New Roman" w:eastAsia="Times New Roman" w:cs="Times New Roman"/>
          <w:spacing w:val="7"/>
          <w:sz w:val="20"/>
          <w:szCs w:val="20"/>
        </w:rPr>
        <w:t xml:space="preserve">2.  </w:t>
      </w:r>
      <w:r>
        <w:rPr>
          <w:rFonts w:ascii="宋体" w:hAnsi="宋体" w:eastAsia="宋体" w:cs="宋体"/>
          <w:spacing w:val="7"/>
          <w:sz w:val="20"/>
          <w:szCs w:val="20"/>
        </w:rPr>
        <w:t>近</w:t>
      </w:r>
      <w:r>
        <w:rPr>
          <w:rFonts w:ascii="宋体" w:hAnsi="宋体" w:eastAsia="宋体" w:cs="宋体"/>
          <w:spacing w:val="-27"/>
          <w:sz w:val="20"/>
          <w:szCs w:val="20"/>
        </w:rPr>
        <w:t xml:space="preserve"> </w:t>
      </w:r>
      <w:r>
        <w:rPr>
          <w:rFonts w:ascii="Times New Roman" w:hAnsi="Times New Roman" w:eastAsia="Times New Roman" w:cs="Times New Roman"/>
          <w:spacing w:val="7"/>
          <w:sz w:val="20"/>
          <w:szCs w:val="20"/>
        </w:rPr>
        <w:t xml:space="preserve">3 </w:t>
      </w:r>
      <w:r>
        <w:rPr>
          <w:rFonts w:ascii="宋体" w:hAnsi="宋体" w:eastAsia="宋体" w:cs="宋体"/>
          <w:spacing w:val="7"/>
          <w:sz w:val="20"/>
          <w:szCs w:val="20"/>
        </w:rPr>
        <w:t>年是指从申请截止日往前推算的</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 xml:space="preserve">3 </w:t>
      </w:r>
      <w:r>
        <w:rPr>
          <w:rFonts w:ascii="宋体" w:hAnsi="宋体" w:eastAsia="宋体" w:cs="宋体"/>
          <w:spacing w:val="7"/>
          <w:sz w:val="20"/>
          <w:szCs w:val="20"/>
        </w:rPr>
        <w:t>年至投标截止日的前一日，如申请截止日为</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2026</w:t>
      </w:r>
      <w:r>
        <w:rPr>
          <w:rFonts w:ascii="宋体" w:hAnsi="宋体" w:eastAsia="宋体" w:cs="宋体"/>
          <w:sz w:val="20"/>
          <w:szCs w:val="20"/>
        </w:rPr>
        <w:t>年</w:t>
      </w:r>
      <w:r>
        <w:rPr>
          <w:rFonts w:ascii="宋体" w:hAnsi="宋体" w:eastAsia="宋体" w:cs="宋体"/>
          <w:spacing w:val="-43"/>
          <w:sz w:val="20"/>
          <w:szCs w:val="20"/>
        </w:rPr>
        <w:t xml:space="preserve"> </w:t>
      </w:r>
      <w:r>
        <w:rPr>
          <w:rFonts w:ascii="Times New Roman" w:hAnsi="Times New Roman" w:eastAsia="Times New Roman" w:cs="Times New Roman"/>
          <w:sz w:val="20"/>
          <w:szCs w:val="20"/>
        </w:rPr>
        <w:t>2</w:t>
      </w:r>
      <w:r>
        <w:rPr>
          <w:rFonts w:ascii="Times New Roman" w:hAnsi="Times New Roman" w:eastAsia="Times New Roman" w:cs="Times New Roman"/>
          <w:spacing w:val="17"/>
          <w:sz w:val="20"/>
          <w:szCs w:val="20"/>
        </w:rPr>
        <w:t xml:space="preserve"> </w:t>
      </w:r>
      <w:r>
        <w:rPr>
          <w:rFonts w:ascii="宋体" w:hAnsi="宋体" w:eastAsia="宋体" w:cs="宋体"/>
          <w:sz w:val="20"/>
          <w:szCs w:val="20"/>
        </w:rPr>
        <w:t>月</w:t>
      </w:r>
      <w:r>
        <w:rPr>
          <w:rFonts w:ascii="宋体" w:hAnsi="宋体" w:eastAsia="宋体" w:cs="宋体"/>
          <w:spacing w:val="-23"/>
          <w:sz w:val="20"/>
          <w:szCs w:val="20"/>
        </w:rPr>
        <w:t xml:space="preserve"> </w:t>
      </w:r>
      <w:r>
        <w:rPr>
          <w:rFonts w:ascii="Times New Roman" w:hAnsi="Times New Roman" w:eastAsia="Times New Roman" w:cs="Times New Roman"/>
          <w:sz w:val="20"/>
          <w:szCs w:val="20"/>
        </w:rPr>
        <w:t>1</w:t>
      </w:r>
      <w:r>
        <w:rPr>
          <w:rFonts w:ascii="Times New Roman" w:hAnsi="Times New Roman" w:eastAsia="Times New Roman" w:cs="Times New Roman"/>
          <w:spacing w:val="48"/>
          <w:sz w:val="20"/>
          <w:szCs w:val="20"/>
        </w:rPr>
        <w:t xml:space="preserve"> </w:t>
      </w:r>
      <w:r>
        <w:rPr>
          <w:rFonts w:ascii="宋体" w:hAnsi="宋体" w:eastAsia="宋体" w:cs="宋体"/>
          <w:sz w:val="20"/>
          <w:szCs w:val="20"/>
        </w:rPr>
        <w:t>日，投标截止日为</w:t>
      </w:r>
      <w:r>
        <w:rPr>
          <w:rFonts w:ascii="宋体" w:hAnsi="宋体" w:eastAsia="宋体" w:cs="宋体"/>
          <w:spacing w:val="-41"/>
          <w:sz w:val="20"/>
          <w:szCs w:val="20"/>
        </w:rPr>
        <w:t xml:space="preserve"> </w:t>
      </w:r>
      <w:r>
        <w:rPr>
          <w:rFonts w:ascii="Times New Roman" w:hAnsi="Times New Roman" w:eastAsia="Times New Roman" w:cs="Times New Roman"/>
          <w:sz w:val="20"/>
          <w:szCs w:val="20"/>
        </w:rPr>
        <w:t xml:space="preserve">2026 </w:t>
      </w:r>
      <w:r>
        <w:rPr>
          <w:rFonts w:ascii="宋体" w:hAnsi="宋体" w:eastAsia="宋体" w:cs="宋体"/>
          <w:sz w:val="20"/>
          <w:szCs w:val="20"/>
        </w:rPr>
        <w:t>年</w:t>
      </w:r>
      <w:r>
        <w:rPr>
          <w:rFonts w:ascii="宋体" w:hAnsi="宋体" w:eastAsia="宋体" w:cs="宋体"/>
          <w:spacing w:val="-39"/>
          <w:sz w:val="20"/>
          <w:szCs w:val="20"/>
        </w:rPr>
        <w:t xml:space="preserve"> </w:t>
      </w:r>
      <w:r>
        <w:rPr>
          <w:rFonts w:ascii="Times New Roman" w:hAnsi="Times New Roman" w:eastAsia="Times New Roman" w:cs="Times New Roman"/>
          <w:sz w:val="20"/>
          <w:szCs w:val="20"/>
        </w:rPr>
        <w:t>3</w:t>
      </w:r>
      <w:r>
        <w:rPr>
          <w:rFonts w:ascii="Times New Roman" w:hAnsi="Times New Roman" w:eastAsia="Times New Roman" w:cs="Times New Roman"/>
          <w:spacing w:val="17"/>
          <w:w w:val="101"/>
          <w:sz w:val="20"/>
          <w:szCs w:val="20"/>
        </w:rPr>
        <w:t xml:space="preserve"> </w:t>
      </w:r>
      <w:r>
        <w:rPr>
          <w:rFonts w:ascii="宋体" w:hAnsi="宋体" w:eastAsia="宋体" w:cs="宋体"/>
          <w:sz w:val="20"/>
          <w:szCs w:val="20"/>
        </w:rPr>
        <w:t>月</w:t>
      </w:r>
      <w:r>
        <w:rPr>
          <w:rFonts w:ascii="宋体" w:hAnsi="宋体" w:eastAsia="宋体" w:cs="宋体"/>
          <w:spacing w:val="-38"/>
          <w:sz w:val="20"/>
          <w:szCs w:val="20"/>
        </w:rPr>
        <w:t xml:space="preserve"> </w:t>
      </w:r>
      <w:r>
        <w:rPr>
          <w:rFonts w:ascii="Times New Roman" w:hAnsi="Times New Roman" w:eastAsia="Times New Roman" w:cs="Times New Roman"/>
          <w:sz w:val="20"/>
          <w:szCs w:val="20"/>
        </w:rPr>
        <w:t xml:space="preserve">5  </w:t>
      </w:r>
      <w:r>
        <w:rPr>
          <w:rFonts w:ascii="宋体" w:hAnsi="宋体" w:eastAsia="宋体" w:cs="宋体"/>
          <w:sz w:val="20"/>
          <w:szCs w:val="20"/>
        </w:rPr>
        <w:t>日，则近</w:t>
      </w:r>
      <w:r>
        <w:rPr>
          <w:rFonts w:ascii="宋体" w:hAnsi="宋体" w:eastAsia="宋体" w:cs="宋体"/>
          <w:spacing w:val="-36"/>
          <w:sz w:val="20"/>
          <w:szCs w:val="20"/>
        </w:rPr>
        <w:t xml:space="preserve"> </w:t>
      </w:r>
      <w:r>
        <w:rPr>
          <w:rFonts w:ascii="Times New Roman" w:hAnsi="Times New Roman" w:eastAsia="Times New Roman" w:cs="Times New Roman"/>
          <w:sz w:val="20"/>
          <w:szCs w:val="20"/>
        </w:rPr>
        <w:t>3</w:t>
      </w:r>
      <w:r>
        <w:rPr>
          <w:rFonts w:ascii="Times New Roman" w:hAnsi="Times New Roman" w:eastAsia="Times New Roman" w:cs="Times New Roman"/>
          <w:spacing w:val="13"/>
          <w:sz w:val="20"/>
          <w:szCs w:val="20"/>
        </w:rPr>
        <w:t xml:space="preserve"> </w:t>
      </w:r>
      <w:r>
        <w:rPr>
          <w:rFonts w:ascii="宋体" w:hAnsi="宋体" w:eastAsia="宋体" w:cs="宋体"/>
          <w:sz w:val="20"/>
          <w:szCs w:val="20"/>
        </w:rPr>
        <w:t>年是指</w:t>
      </w:r>
      <w:r>
        <w:rPr>
          <w:rFonts w:ascii="宋体" w:hAnsi="宋体" w:eastAsia="宋体" w:cs="宋体"/>
          <w:spacing w:val="-43"/>
          <w:sz w:val="20"/>
          <w:szCs w:val="20"/>
        </w:rPr>
        <w:t xml:space="preserve"> </w:t>
      </w:r>
      <w:r>
        <w:rPr>
          <w:rFonts w:ascii="Times New Roman" w:hAnsi="Times New Roman" w:eastAsia="Times New Roman" w:cs="Times New Roman"/>
          <w:spacing w:val="-1"/>
          <w:sz w:val="20"/>
          <w:szCs w:val="20"/>
        </w:rPr>
        <w:t>2023</w:t>
      </w:r>
      <w:r>
        <w:rPr>
          <w:rFonts w:ascii="Times New Roman" w:hAnsi="Times New Roman" w:eastAsia="Times New Roman" w:cs="Times New Roman"/>
          <w:spacing w:val="13"/>
          <w:sz w:val="20"/>
          <w:szCs w:val="20"/>
        </w:rPr>
        <w:t xml:space="preserve"> </w:t>
      </w:r>
      <w:r>
        <w:rPr>
          <w:rFonts w:ascii="宋体" w:hAnsi="宋体" w:eastAsia="宋体" w:cs="宋体"/>
          <w:spacing w:val="-1"/>
          <w:sz w:val="20"/>
          <w:szCs w:val="20"/>
        </w:rPr>
        <w:t>年</w:t>
      </w:r>
      <w:r>
        <w:rPr>
          <w:rFonts w:ascii="宋体" w:hAnsi="宋体" w:eastAsia="宋体" w:cs="宋体"/>
          <w:spacing w:val="-43"/>
          <w:sz w:val="20"/>
          <w:szCs w:val="20"/>
        </w:rPr>
        <w:t xml:space="preserve"> </w:t>
      </w:r>
      <w:r>
        <w:rPr>
          <w:rFonts w:ascii="Times New Roman" w:hAnsi="Times New Roman" w:eastAsia="Times New Roman" w:cs="Times New Roman"/>
          <w:spacing w:val="-1"/>
          <w:sz w:val="20"/>
          <w:szCs w:val="20"/>
        </w:rPr>
        <w:t>2</w:t>
      </w:r>
      <w:r>
        <w:rPr>
          <w:rFonts w:ascii="Times New Roman" w:hAnsi="Times New Roman" w:eastAsia="Times New Roman" w:cs="Times New Roman"/>
          <w:spacing w:val="17"/>
          <w:sz w:val="20"/>
          <w:szCs w:val="20"/>
        </w:rPr>
        <w:t xml:space="preserve"> </w:t>
      </w:r>
      <w:r>
        <w:rPr>
          <w:rFonts w:ascii="宋体" w:hAnsi="宋体" w:eastAsia="宋体" w:cs="宋体"/>
          <w:spacing w:val="-1"/>
          <w:sz w:val="20"/>
          <w:szCs w:val="20"/>
        </w:rPr>
        <w:t>月</w:t>
      </w:r>
      <w:r>
        <w:rPr>
          <w:rFonts w:ascii="宋体" w:hAnsi="宋体" w:eastAsia="宋体" w:cs="宋体"/>
          <w:spacing w:val="-23"/>
          <w:sz w:val="20"/>
          <w:szCs w:val="20"/>
        </w:rPr>
        <w:t xml:space="preserve"> </w:t>
      </w:r>
      <w:r>
        <w:rPr>
          <w:rFonts w:ascii="Times New Roman" w:hAnsi="Times New Roman" w:eastAsia="Times New Roman" w:cs="Times New Roman"/>
          <w:spacing w:val="-1"/>
          <w:sz w:val="20"/>
          <w:szCs w:val="20"/>
        </w:rPr>
        <w:t xml:space="preserve">1  </w:t>
      </w:r>
      <w:r>
        <w:rPr>
          <w:rFonts w:ascii="宋体" w:hAnsi="宋体" w:eastAsia="宋体" w:cs="宋体"/>
          <w:spacing w:val="-1"/>
          <w:sz w:val="20"/>
          <w:szCs w:val="20"/>
        </w:rPr>
        <w:t>日至</w:t>
      </w:r>
      <w:r>
        <w:rPr>
          <w:rFonts w:ascii="宋体" w:hAnsi="宋体" w:eastAsia="宋体" w:cs="宋体"/>
          <w:spacing w:val="-41"/>
          <w:sz w:val="20"/>
          <w:szCs w:val="20"/>
        </w:rPr>
        <w:t xml:space="preserve"> </w:t>
      </w:r>
      <w:r>
        <w:rPr>
          <w:rFonts w:ascii="Times New Roman" w:hAnsi="Times New Roman" w:eastAsia="Times New Roman" w:cs="Times New Roman"/>
          <w:spacing w:val="-1"/>
          <w:sz w:val="20"/>
          <w:szCs w:val="20"/>
        </w:rPr>
        <w:t>2026</w:t>
      </w:r>
      <w:r>
        <w:rPr>
          <w:rFonts w:ascii="Times New Roman" w:hAnsi="Times New Roman" w:eastAsia="Times New Roman" w:cs="Times New Roman"/>
          <w:spacing w:val="13"/>
          <w:w w:val="101"/>
          <w:sz w:val="20"/>
          <w:szCs w:val="20"/>
        </w:rPr>
        <w:t xml:space="preserve"> </w:t>
      </w:r>
      <w:r>
        <w:rPr>
          <w:rFonts w:ascii="宋体" w:hAnsi="宋体" w:eastAsia="宋体" w:cs="宋体"/>
          <w:spacing w:val="-1"/>
          <w:sz w:val="20"/>
          <w:szCs w:val="20"/>
        </w:rPr>
        <w:t>年</w:t>
      </w:r>
      <w:r>
        <w:rPr>
          <w:rFonts w:ascii="Times New Roman" w:hAnsi="Times New Roman" w:eastAsia="Times New Roman" w:cs="Times New Roman"/>
          <w:spacing w:val="-7"/>
          <w:sz w:val="20"/>
          <w:szCs w:val="20"/>
        </w:rPr>
        <w:t>3</w:t>
      </w:r>
      <w:r>
        <w:rPr>
          <w:rFonts w:ascii="Times New Roman" w:hAnsi="Times New Roman" w:eastAsia="Times New Roman" w:cs="Times New Roman"/>
          <w:spacing w:val="20"/>
          <w:w w:val="101"/>
          <w:sz w:val="20"/>
          <w:szCs w:val="20"/>
        </w:rPr>
        <w:t xml:space="preserve"> </w:t>
      </w:r>
      <w:r>
        <w:rPr>
          <w:rFonts w:ascii="宋体" w:hAnsi="宋体" w:eastAsia="宋体" w:cs="宋体"/>
          <w:spacing w:val="-7"/>
          <w:sz w:val="20"/>
          <w:szCs w:val="20"/>
        </w:rPr>
        <w:t>月</w:t>
      </w:r>
      <w:r>
        <w:rPr>
          <w:rFonts w:ascii="宋体" w:hAnsi="宋体" w:eastAsia="宋体" w:cs="宋体"/>
          <w:spacing w:val="-44"/>
          <w:sz w:val="20"/>
          <w:szCs w:val="20"/>
        </w:rPr>
        <w:t xml:space="preserve"> </w:t>
      </w:r>
      <w:r>
        <w:rPr>
          <w:rFonts w:ascii="Times New Roman" w:hAnsi="Times New Roman" w:eastAsia="Times New Roman" w:cs="Times New Roman"/>
          <w:spacing w:val="-7"/>
          <w:sz w:val="20"/>
          <w:szCs w:val="20"/>
        </w:rPr>
        <w:t xml:space="preserve">4  </w:t>
      </w:r>
      <w:r>
        <w:rPr>
          <w:rFonts w:ascii="宋体" w:hAnsi="宋体" w:eastAsia="宋体" w:cs="宋体"/>
          <w:spacing w:val="-7"/>
          <w:sz w:val="20"/>
          <w:szCs w:val="20"/>
        </w:rPr>
        <w:t>日。</w:t>
      </w:r>
    </w:p>
    <w:p w14:paraId="412543CC">
      <w:pPr>
        <w:spacing w:before="2" w:line="369" w:lineRule="auto"/>
        <w:ind w:left="981" w:right="1" w:hanging="225"/>
        <w:rPr>
          <w:rFonts w:ascii="宋体" w:hAnsi="宋体" w:eastAsia="宋体" w:cs="宋体"/>
          <w:sz w:val="20"/>
          <w:szCs w:val="20"/>
        </w:rPr>
      </w:pPr>
      <w:r>
        <w:rPr>
          <w:rFonts w:ascii="Times New Roman" w:hAnsi="Times New Roman" w:eastAsia="Times New Roman" w:cs="Times New Roman"/>
          <w:spacing w:val="9"/>
          <w:sz w:val="20"/>
          <w:szCs w:val="20"/>
        </w:rPr>
        <w:t xml:space="preserve">3.  </w:t>
      </w:r>
      <w:r>
        <w:rPr>
          <w:rFonts w:ascii="宋体" w:hAnsi="宋体" w:eastAsia="宋体" w:cs="宋体"/>
          <w:spacing w:val="9"/>
          <w:sz w:val="20"/>
          <w:szCs w:val="20"/>
        </w:rPr>
        <w:t>近</w:t>
      </w:r>
      <w:r>
        <w:rPr>
          <w:rFonts w:ascii="宋体" w:hAnsi="宋体" w:eastAsia="宋体" w:cs="宋体"/>
          <w:spacing w:val="-31"/>
          <w:sz w:val="20"/>
          <w:szCs w:val="20"/>
        </w:rPr>
        <w:t xml:space="preserve"> </w:t>
      </w:r>
      <w:r>
        <w:rPr>
          <w:rFonts w:ascii="宋体" w:hAnsi="宋体" w:eastAsia="宋体" w:cs="宋体"/>
          <w:spacing w:val="9"/>
          <w:sz w:val="20"/>
          <w:szCs w:val="20"/>
        </w:rPr>
        <w:t>3</w:t>
      </w:r>
      <w:r>
        <w:rPr>
          <w:rFonts w:ascii="宋体" w:hAnsi="宋体" w:eastAsia="宋体" w:cs="宋体"/>
          <w:spacing w:val="-37"/>
          <w:sz w:val="20"/>
          <w:szCs w:val="20"/>
        </w:rPr>
        <w:t xml:space="preserve"> </w:t>
      </w:r>
      <w:r>
        <w:rPr>
          <w:rFonts w:ascii="宋体" w:hAnsi="宋体" w:eastAsia="宋体" w:cs="宋体"/>
          <w:spacing w:val="9"/>
          <w:sz w:val="20"/>
          <w:szCs w:val="20"/>
        </w:rPr>
        <w:t>年发生的诉讼和仲裁情况仅限于投标人败诉的，且与签订或履行施工承包合同有关</w:t>
      </w:r>
      <w:r>
        <w:rPr>
          <w:rFonts w:ascii="宋体" w:hAnsi="宋体" w:eastAsia="宋体" w:cs="宋体"/>
          <w:spacing w:val="11"/>
          <w:sz w:val="20"/>
          <w:szCs w:val="20"/>
        </w:rPr>
        <w:t>的案件，不包括调解结案以及未终审判决的诉讼或未裁决的仲裁。附法院或仲裁机构作</w:t>
      </w:r>
      <w:r>
        <w:rPr>
          <w:rFonts w:ascii="宋体" w:hAnsi="宋体" w:eastAsia="宋体" w:cs="宋体"/>
          <w:spacing w:val="9"/>
          <w:sz w:val="20"/>
          <w:szCs w:val="20"/>
        </w:rPr>
        <w:t>出的判决或裁决等有关法律文书的扫描件。以仲裁裁决或判决书的制发时间为</w:t>
      </w:r>
      <w:r>
        <w:rPr>
          <w:rFonts w:ascii="宋体" w:hAnsi="宋体" w:eastAsia="宋体" w:cs="宋体"/>
          <w:spacing w:val="8"/>
          <w:sz w:val="20"/>
          <w:szCs w:val="20"/>
        </w:rPr>
        <w:t>准。</w:t>
      </w:r>
    </w:p>
    <w:p w14:paraId="63EFC073">
      <w:pPr>
        <w:spacing w:line="369" w:lineRule="auto"/>
        <w:rPr>
          <w:rFonts w:ascii="宋体" w:hAnsi="宋体" w:eastAsia="宋体" w:cs="宋体"/>
          <w:sz w:val="20"/>
          <w:szCs w:val="20"/>
        </w:rPr>
        <w:sectPr>
          <w:footerReference r:id="rId545" w:type="default"/>
          <w:pgSz w:w="11907" w:h="16840"/>
          <w:pgMar w:top="400" w:right="1530" w:bottom="1247" w:left="1356" w:header="0" w:footer="1085" w:gutter="0"/>
          <w:cols w:space="720" w:num="1"/>
        </w:sectPr>
      </w:pPr>
    </w:p>
    <w:p w14:paraId="6B6592BA">
      <w:pPr>
        <w:spacing w:line="265" w:lineRule="auto"/>
        <w:rPr>
          <w:rFonts w:ascii="Arial"/>
          <w:sz w:val="21"/>
        </w:rPr>
      </w:pPr>
    </w:p>
    <w:p w14:paraId="0926E438">
      <w:pPr>
        <w:spacing w:line="265" w:lineRule="auto"/>
        <w:rPr>
          <w:rFonts w:ascii="Arial"/>
          <w:sz w:val="21"/>
        </w:rPr>
      </w:pPr>
    </w:p>
    <w:p w14:paraId="1AE9CB14">
      <w:pPr>
        <w:spacing w:line="266" w:lineRule="auto"/>
        <w:rPr>
          <w:rFonts w:ascii="Arial"/>
          <w:sz w:val="21"/>
        </w:rPr>
      </w:pPr>
    </w:p>
    <w:p w14:paraId="35DE98A4">
      <w:pPr>
        <w:spacing w:line="266" w:lineRule="auto"/>
        <w:rPr>
          <w:rFonts w:ascii="Arial"/>
          <w:sz w:val="21"/>
        </w:rPr>
      </w:pPr>
    </w:p>
    <w:p w14:paraId="795196E7">
      <w:pPr>
        <w:spacing w:line="266" w:lineRule="auto"/>
        <w:rPr>
          <w:rFonts w:ascii="Arial"/>
          <w:sz w:val="21"/>
        </w:rPr>
      </w:pPr>
    </w:p>
    <w:p w14:paraId="281C2824">
      <w:pPr>
        <w:pStyle w:val="2"/>
        <w:spacing w:before="78" w:line="222" w:lineRule="auto"/>
        <w:ind w:left="2826"/>
        <w:outlineLvl w:val="2"/>
        <w:rPr>
          <w:sz w:val="24"/>
          <w:szCs w:val="24"/>
        </w:rPr>
      </w:pPr>
      <w:bookmarkStart w:id="450" w:name="bookmark426"/>
      <w:bookmarkEnd w:id="450"/>
      <w:r>
        <w:rPr>
          <w:rFonts w:ascii="Times New Roman" w:hAnsi="Times New Roman" w:eastAsia="Times New Roman" w:cs="Times New Roman"/>
          <w:spacing w:val="-2"/>
          <w:sz w:val="24"/>
          <w:szCs w:val="24"/>
        </w:rPr>
        <w:t xml:space="preserve">5-3 </w:t>
      </w:r>
      <w:r>
        <w:rPr>
          <w:spacing w:val="-2"/>
          <w:sz w:val="24"/>
          <w:szCs w:val="24"/>
        </w:rPr>
        <w:t>近</w:t>
      </w:r>
      <w:r>
        <w:rPr>
          <w:spacing w:val="-40"/>
          <w:sz w:val="24"/>
          <w:szCs w:val="24"/>
        </w:rPr>
        <w:t xml:space="preserve"> </w:t>
      </w:r>
      <w:r>
        <w:rPr>
          <w:rFonts w:ascii="Times New Roman" w:hAnsi="Times New Roman" w:eastAsia="Times New Roman" w:cs="Times New Roman"/>
          <w:spacing w:val="-2"/>
          <w:sz w:val="24"/>
          <w:szCs w:val="24"/>
        </w:rPr>
        <w:t xml:space="preserve">5 </w:t>
      </w:r>
      <w:r>
        <w:rPr>
          <w:spacing w:val="-2"/>
          <w:sz w:val="24"/>
          <w:szCs w:val="24"/>
        </w:rPr>
        <w:t>年投标人工程获奖情况表</w:t>
      </w:r>
    </w:p>
    <w:p w14:paraId="3FB46497">
      <w:pPr>
        <w:spacing w:before="155"/>
      </w:pPr>
    </w:p>
    <w:tbl>
      <w:tblPr>
        <w:tblStyle w:val="5"/>
        <w:tblW w:w="85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2401"/>
        <w:gridCol w:w="1799"/>
        <w:gridCol w:w="1439"/>
        <w:gridCol w:w="2163"/>
      </w:tblGrid>
      <w:tr w14:paraId="68E691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vAlign w:val="top"/>
          </w:tcPr>
          <w:p w14:paraId="772E5F8E">
            <w:pPr>
              <w:pStyle w:val="6"/>
              <w:spacing w:before="164" w:line="229" w:lineRule="auto"/>
              <w:ind w:left="179"/>
            </w:pPr>
            <w:r>
              <w:rPr>
                <w:spacing w:val="5"/>
              </w:rPr>
              <w:t>序号</w:t>
            </w:r>
          </w:p>
        </w:tc>
        <w:tc>
          <w:tcPr>
            <w:tcW w:w="2401" w:type="dxa"/>
            <w:vAlign w:val="top"/>
          </w:tcPr>
          <w:p w14:paraId="3FDA7985">
            <w:pPr>
              <w:pStyle w:val="6"/>
              <w:spacing w:before="164" w:line="228" w:lineRule="auto"/>
              <w:ind w:left="788"/>
            </w:pPr>
            <w:r>
              <w:rPr>
                <w:spacing w:val="6"/>
              </w:rPr>
              <w:t>项目名称</w:t>
            </w:r>
          </w:p>
        </w:tc>
        <w:tc>
          <w:tcPr>
            <w:tcW w:w="1799" w:type="dxa"/>
            <w:vAlign w:val="top"/>
          </w:tcPr>
          <w:p w14:paraId="1B2CE809">
            <w:pPr>
              <w:pStyle w:val="6"/>
              <w:spacing w:before="163" w:line="228" w:lineRule="auto"/>
              <w:ind w:left="487"/>
            </w:pPr>
            <w:r>
              <w:rPr>
                <w:spacing w:val="6"/>
              </w:rPr>
              <w:t>获奖名称</w:t>
            </w:r>
          </w:p>
        </w:tc>
        <w:tc>
          <w:tcPr>
            <w:tcW w:w="1439" w:type="dxa"/>
            <w:vAlign w:val="top"/>
          </w:tcPr>
          <w:p w14:paraId="31716883">
            <w:pPr>
              <w:pStyle w:val="6"/>
              <w:spacing w:before="163" w:line="228" w:lineRule="auto"/>
              <w:ind w:left="308"/>
            </w:pPr>
            <w:r>
              <w:rPr>
                <w:spacing w:val="6"/>
              </w:rPr>
              <w:t>获奖日期</w:t>
            </w:r>
          </w:p>
        </w:tc>
        <w:tc>
          <w:tcPr>
            <w:tcW w:w="2163" w:type="dxa"/>
            <w:vAlign w:val="top"/>
          </w:tcPr>
          <w:p w14:paraId="10020805">
            <w:pPr>
              <w:pStyle w:val="6"/>
              <w:spacing w:before="164" w:line="228" w:lineRule="auto"/>
              <w:ind w:left="666"/>
            </w:pPr>
            <w:r>
              <w:rPr>
                <w:spacing w:val="7"/>
              </w:rPr>
              <w:t>颁奖单位</w:t>
            </w:r>
          </w:p>
        </w:tc>
      </w:tr>
      <w:tr w14:paraId="471A14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7D198E5A">
            <w:pPr>
              <w:rPr>
                <w:rFonts w:ascii="Arial"/>
                <w:sz w:val="21"/>
              </w:rPr>
            </w:pPr>
          </w:p>
        </w:tc>
        <w:tc>
          <w:tcPr>
            <w:tcW w:w="2401" w:type="dxa"/>
            <w:vAlign w:val="top"/>
          </w:tcPr>
          <w:p w14:paraId="555D5B5D">
            <w:pPr>
              <w:rPr>
                <w:rFonts w:ascii="Arial"/>
                <w:sz w:val="21"/>
              </w:rPr>
            </w:pPr>
          </w:p>
        </w:tc>
        <w:tc>
          <w:tcPr>
            <w:tcW w:w="1799" w:type="dxa"/>
            <w:vAlign w:val="top"/>
          </w:tcPr>
          <w:p w14:paraId="21D4CD51">
            <w:pPr>
              <w:rPr>
                <w:rFonts w:ascii="Arial"/>
                <w:sz w:val="21"/>
              </w:rPr>
            </w:pPr>
          </w:p>
        </w:tc>
        <w:tc>
          <w:tcPr>
            <w:tcW w:w="1439" w:type="dxa"/>
            <w:vAlign w:val="top"/>
          </w:tcPr>
          <w:p w14:paraId="75700710">
            <w:pPr>
              <w:rPr>
                <w:rFonts w:ascii="Arial"/>
                <w:sz w:val="21"/>
              </w:rPr>
            </w:pPr>
          </w:p>
        </w:tc>
        <w:tc>
          <w:tcPr>
            <w:tcW w:w="2163" w:type="dxa"/>
            <w:vAlign w:val="top"/>
          </w:tcPr>
          <w:p w14:paraId="0A57CF34">
            <w:pPr>
              <w:rPr>
                <w:rFonts w:ascii="Arial"/>
                <w:sz w:val="21"/>
              </w:rPr>
            </w:pPr>
          </w:p>
        </w:tc>
      </w:tr>
      <w:tr w14:paraId="7A04EB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A48AB17">
            <w:pPr>
              <w:rPr>
                <w:rFonts w:ascii="Arial"/>
                <w:sz w:val="21"/>
              </w:rPr>
            </w:pPr>
          </w:p>
        </w:tc>
        <w:tc>
          <w:tcPr>
            <w:tcW w:w="2401" w:type="dxa"/>
            <w:vAlign w:val="top"/>
          </w:tcPr>
          <w:p w14:paraId="3B88D0D4">
            <w:pPr>
              <w:rPr>
                <w:rFonts w:ascii="Arial"/>
                <w:sz w:val="21"/>
              </w:rPr>
            </w:pPr>
          </w:p>
        </w:tc>
        <w:tc>
          <w:tcPr>
            <w:tcW w:w="1799" w:type="dxa"/>
            <w:vAlign w:val="top"/>
          </w:tcPr>
          <w:p w14:paraId="5375ED9D">
            <w:pPr>
              <w:rPr>
                <w:rFonts w:ascii="Arial"/>
                <w:sz w:val="21"/>
              </w:rPr>
            </w:pPr>
          </w:p>
        </w:tc>
        <w:tc>
          <w:tcPr>
            <w:tcW w:w="1439" w:type="dxa"/>
            <w:vAlign w:val="top"/>
          </w:tcPr>
          <w:p w14:paraId="63961904">
            <w:pPr>
              <w:rPr>
                <w:rFonts w:ascii="Arial"/>
                <w:sz w:val="21"/>
              </w:rPr>
            </w:pPr>
          </w:p>
        </w:tc>
        <w:tc>
          <w:tcPr>
            <w:tcW w:w="2163" w:type="dxa"/>
            <w:vAlign w:val="top"/>
          </w:tcPr>
          <w:p w14:paraId="17F38995">
            <w:pPr>
              <w:rPr>
                <w:rFonts w:ascii="Arial"/>
                <w:sz w:val="21"/>
              </w:rPr>
            </w:pPr>
          </w:p>
        </w:tc>
      </w:tr>
      <w:tr w14:paraId="17A03B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0FF92BDF">
            <w:pPr>
              <w:rPr>
                <w:rFonts w:ascii="Arial"/>
                <w:sz w:val="21"/>
              </w:rPr>
            </w:pPr>
          </w:p>
        </w:tc>
        <w:tc>
          <w:tcPr>
            <w:tcW w:w="2401" w:type="dxa"/>
            <w:vAlign w:val="top"/>
          </w:tcPr>
          <w:p w14:paraId="305B945D">
            <w:pPr>
              <w:rPr>
                <w:rFonts w:ascii="Arial"/>
                <w:sz w:val="21"/>
              </w:rPr>
            </w:pPr>
          </w:p>
        </w:tc>
        <w:tc>
          <w:tcPr>
            <w:tcW w:w="1799" w:type="dxa"/>
            <w:vAlign w:val="top"/>
          </w:tcPr>
          <w:p w14:paraId="13B9F185">
            <w:pPr>
              <w:rPr>
                <w:rFonts w:ascii="Arial"/>
                <w:sz w:val="21"/>
              </w:rPr>
            </w:pPr>
          </w:p>
        </w:tc>
        <w:tc>
          <w:tcPr>
            <w:tcW w:w="1439" w:type="dxa"/>
            <w:vAlign w:val="top"/>
          </w:tcPr>
          <w:p w14:paraId="3E305C60">
            <w:pPr>
              <w:rPr>
                <w:rFonts w:ascii="Arial"/>
                <w:sz w:val="21"/>
              </w:rPr>
            </w:pPr>
          </w:p>
        </w:tc>
        <w:tc>
          <w:tcPr>
            <w:tcW w:w="2163" w:type="dxa"/>
            <w:vAlign w:val="top"/>
          </w:tcPr>
          <w:p w14:paraId="0926ECC0">
            <w:pPr>
              <w:rPr>
                <w:rFonts w:ascii="Arial"/>
                <w:sz w:val="21"/>
              </w:rPr>
            </w:pPr>
          </w:p>
        </w:tc>
      </w:tr>
      <w:tr w14:paraId="3547C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31F137D1">
            <w:pPr>
              <w:rPr>
                <w:rFonts w:ascii="Arial"/>
                <w:sz w:val="21"/>
              </w:rPr>
            </w:pPr>
          </w:p>
        </w:tc>
        <w:tc>
          <w:tcPr>
            <w:tcW w:w="2401" w:type="dxa"/>
            <w:vAlign w:val="top"/>
          </w:tcPr>
          <w:p w14:paraId="3FA29726">
            <w:pPr>
              <w:rPr>
                <w:rFonts w:ascii="Arial"/>
                <w:sz w:val="21"/>
              </w:rPr>
            </w:pPr>
          </w:p>
        </w:tc>
        <w:tc>
          <w:tcPr>
            <w:tcW w:w="1799" w:type="dxa"/>
            <w:vAlign w:val="top"/>
          </w:tcPr>
          <w:p w14:paraId="7682B79B">
            <w:pPr>
              <w:rPr>
                <w:rFonts w:ascii="Arial"/>
                <w:sz w:val="21"/>
              </w:rPr>
            </w:pPr>
          </w:p>
        </w:tc>
        <w:tc>
          <w:tcPr>
            <w:tcW w:w="1439" w:type="dxa"/>
            <w:vAlign w:val="top"/>
          </w:tcPr>
          <w:p w14:paraId="013E4CBB">
            <w:pPr>
              <w:rPr>
                <w:rFonts w:ascii="Arial"/>
                <w:sz w:val="21"/>
              </w:rPr>
            </w:pPr>
          </w:p>
        </w:tc>
        <w:tc>
          <w:tcPr>
            <w:tcW w:w="2163" w:type="dxa"/>
            <w:vAlign w:val="top"/>
          </w:tcPr>
          <w:p w14:paraId="1921AC9F">
            <w:pPr>
              <w:rPr>
                <w:rFonts w:ascii="Arial"/>
                <w:sz w:val="21"/>
              </w:rPr>
            </w:pPr>
          </w:p>
        </w:tc>
      </w:tr>
      <w:tr w14:paraId="17930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602FCB6A">
            <w:pPr>
              <w:rPr>
                <w:rFonts w:ascii="Arial"/>
                <w:sz w:val="21"/>
              </w:rPr>
            </w:pPr>
          </w:p>
        </w:tc>
        <w:tc>
          <w:tcPr>
            <w:tcW w:w="2401" w:type="dxa"/>
            <w:vAlign w:val="top"/>
          </w:tcPr>
          <w:p w14:paraId="3EEA99BC">
            <w:pPr>
              <w:rPr>
                <w:rFonts w:ascii="Arial"/>
                <w:sz w:val="21"/>
              </w:rPr>
            </w:pPr>
          </w:p>
        </w:tc>
        <w:tc>
          <w:tcPr>
            <w:tcW w:w="1799" w:type="dxa"/>
            <w:vAlign w:val="top"/>
          </w:tcPr>
          <w:p w14:paraId="3E2BBF04">
            <w:pPr>
              <w:rPr>
                <w:rFonts w:ascii="Arial"/>
                <w:sz w:val="21"/>
              </w:rPr>
            </w:pPr>
          </w:p>
        </w:tc>
        <w:tc>
          <w:tcPr>
            <w:tcW w:w="1439" w:type="dxa"/>
            <w:vAlign w:val="top"/>
          </w:tcPr>
          <w:p w14:paraId="60D9D1C3">
            <w:pPr>
              <w:rPr>
                <w:rFonts w:ascii="Arial"/>
                <w:sz w:val="21"/>
              </w:rPr>
            </w:pPr>
          </w:p>
        </w:tc>
        <w:tc>
          <w:tcPr>
            <w:tcW w:w="2163" w:type="dxa"/>
            <w:vAlign w:val="top"/>
          </w:tcPr>
          <w:p w14:paraId="1C187DD7">
            <w:pPr>
              <w:rPr>
                <w:rFonts w:ascii="Arial"/>
                <w:sz w:val="21"/>
              </w:rPr>
            </w:pPr>
          </w:p>
        </w:tc>
      </w:tr>
      <w:tr w14:paraId="7A9F07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7616BE2A">
            <w:pPr>
              <w:rPr>
                <w:rFonts w:ascii="Arial"/>
                <w:sz w:val="21"/>
              </w:rPr>
            </w:pPr>
          </w:p>
        </w:tc>
        <w:tc>
          <w:tcPr>
            <w:tcW w:w="2401" w:type="dxa"/>
            <w:vAlign w:val="top"/>
          </w:tcPr>
          <w:p w14:paraId="6B0C4682">
            <w:pPr>
              <w:rPr>
                <w:rFonts w:ascii="Arial"/>
                <w:sz w:val="21"/>
              </w:rPr>
            </w:pPr>
          </w:p>
        </w:tc>
        <w:tc>
          <w:tcPr>
            <w:tcW w:w="1799" w:type="dxa"/>
            <w:vAlign w:val="top"/>
          </w:tcPr>
          <w:p w14:paraId="1CD173D3">
            <w:pPr>
              <w:rPr>
                <w:rFonts w:ascii="Arial"/>
                <w:sz w:val="21"/>
              </w:rPr>
            </w:pPr>
          </w:p>
        </w:tc>
        <w:tc>
          <w:tcPr>
            <w:tcW w:w="1439" w:type="dxa"/>
            <w:vAlign w:val="top"/>
          </w:tcPr>
          <w:p w14:paraId="0B376F1E">
            <w:pPr>
              <w:rPr>
                <w:rFonts w:ascii="Arial"/>
                <w:sz w:val="21"/>
              </w:rPr>
            </w:pPr>
          </w:p>
        </w:tc>
        <w:tc>
          <w:tcPr>
            <w:tcW w:w="2163" w:type="dxa"/>
            <w:vAlign w:val="top"/>
          </w:tcPr>
          <w:p w14:paraId="6C5F0B60">
            <w:pPr>
              <w:rPr>
                <w:rFonts w:ascii="Arial"/>
                <w:sz w:val="21"/>
              </w:rPr>
            </w:pPr>
          </w:p>
        </w:tc>
      </w:tr>
      <w:tr w14:paraId="2AB24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3621B331">
            <w:pPr>
              <w:rPr>
                <w:rFonts w:ascii="Arial"/>
                <w:sz w:val="21"/>
              </w:rPr>
            </w:pPr>
          </w:p>
        </w:tc>
        <w:tc>
          <w:tcPr>
            <w:tcW w:w="2401" w:type="dxa"/>
            <w:vAlign w:val="top"/>
          </w:tcPr>
          <w:p w14:paraId="3F648EAA">
            <w:pPr>
              <w:rPr>
                <w:rFonts w:ascii="Arial"/>
                <w:sz w:val="21"/>
              </w:rPr>
            </w:pPr>
          </w:p>
        </w:tc>
        <w:tc>
          <w:tcPr>
            <w:tcW w:w="1799" w:type="dxa"/>
            <w:vAlign w:val="top"/>
          </w:tcPr>
          <w:p w14:paraId="25678B62">
            <w:pPr>
              <w:rPr>
                <w:rFonts w:ascii="Arial"/>
                <w:sz w:val="21"/>
              </w:rPr>
            </w:pPr>
          </w:p>
        </w:tc>
        <w:tc>
          <w:tcPr>
            <w:tcW w:w="1439" w:type="dxa"/>
            <w:vAlign w:val="top"/>
          </w:tcPr>
          <w:p w14:paraId="3FEA8B1F">
            <w:pPr>
              <w:rPr>
                <w:rFonts w:ascii="Arial"/>
                <w:sz w:val="21"/>
              </w:rPr>
            </w:pPr>
          </w:p>
        </w:tc>
        <w:tc>
          <w:tcPr>
            <w:tcW w:w="2163" w:type="dxa"/>
            <w:vAlign w:val="top"/>
          </w:tcPr>
          <w:p w14:paraId="3A96DBBD">
            <w:pPr>
              <w:rPr>
                <w:rFonts w:ascii="Arial"/>
                <w:sz w:val="21"/>
              </w:rPr>
            </w:pPr>
          </w:p>
        </w:tc>
      </w:tr>
      <w:tr w14:paraId="1123A3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049D49DD">
            <w:pPr>
              <w:rPr>
                <w:rFonts w:ascii="Arial"/>
                <w:sz w:val="21"/>
              </w:rPr>
            </w:pPr>
          </w:p>
        </w:tc>
        <w:tc>
          <w:tcPr>
            <w:tcW w:w="2401" w:type="dxa"/>
            <w:vAlign w:val="top"/>
          </w:tcPr>
          <w:p w14:paraId="603142FA">
            <w:pPr>
              <w:rPr>
                <w:rFonts w:ascii="Arial"/>
                <w:sz w:val="21"/>
              </w:rPr>
            </w:pPr>
          </w:p>
        </w:tc>
        <w:tc>
          <w:tcPr>
            <w:tcW w:w="1799" w:type="dxa"/>
            <w:vAlign w:val="top"/>
          </w:tcPr>
          <w:p w14:paraId="72277182">
            <w:pPr>
              <w:rPr>
                <w:rFonts w:ascii="Arial"/>
                <w:sz w:val="21"/>
              </w:rPr>
            </w:pPr>
          </w:p>
        </w:tc>
        <w:tc>
          <w:tcPr>
            <w:tcW w:w="1439" w:type="dxa"/>
            <w:vAlign w:val="top"/>
          </w:tcPr>
          <w:p w14:paraId="3D788AF9">
            <w:pPr>
              <w:rPr>
                <w:rFonts w:ascii="Arial"/>
                <w:sz w:val="21"/>
              </w:rPr>
            </w:pPr>
          </w:p>
        </w:tc>
        <w:tc>
          <w:tcPr>
            <w:tcW w:w="2163" w:type="dxa"/>
            <w:vAlign w:val="top"/>
          </w:tcPr>
          <w:p w14:paraId="76F8C8B8">
            <w:pPr>
              <w:rPr>
                <w:rFonts w:ascii="Arial"/>
                <w:sz w:val="21"/>
              </w:rPr>
            </w:pPr>
          </w:p>
        </w:tc>
      </w:tr>
      <w:tr w14:paraId="5AF98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4AC66687">
            <w:pPr>
              <w:rPr>
                <w:rFonts w:ascii="Arial"/>
                <w:sz w:val="21"/>
              </w:rPr>
            </w:pPr>
          </w:p>
        </w:tc>
        <w:tc>
          <w:tcPr>
            <w:tcW w:w="2401" w:type="dxa"/>
            <w:vAlign w:val="top"/>
          </w:tcPr>
          <w:p w14:paraId="25E808FD">
            <w:pPr>
              <w:rPr>
                <w:rFonts w:ascii="Arial"/>
                <w:sz w:val="21"/>
              </w:rPr>
            </w:pPr>
          </w:p>
        </w:tc>
        <w:tc>
          <w:tcPr>
            <w:tcW w:w="1799" w:type="dxa"/>
            <w:vAlign w:val="top"/>
          </w:tcPr>
          <w:p w14:paraId="1CBA01FB">
            <w:pPr>
              <w:rPr>
                <w:rFonts w:ascii="Arial"/>
                <w:sz w:val="21"/>
              </w:rPr>
            </w:pPr>
          </w:p>
        </w:tc>
        <w:tc>
          <w:tcPr>
            <w:tcW w:w="1439" w:type="dxa"/>
            <w:vAlign w:val="top"/>
          </w:tcPr>
          <w:p w14:paraId="375C5FD8">
            <w:pPr>
              <w:rPr>
                <w:rFonts w:ascii="Arial"/>
                <w:sz w:val="21"/>
              </w:rPr>
            </w:pPr>
          </w:p>
        </w:tc>
        <w:tc>
          <w:tcPr>
            <w:tcW w:w="2163" w:type="dxa"/>
            <w:vAlign w:val="top"/>
          </w:tcPr>
          <w:p w14:paraId="60F45263">
            <w:pPr>
              <w:rPr>
                <w:rFonts w:ascii="Arial"/>
                <w:sz w:val="21"/>
              </w:rPr>
            </w:pPr>
          </w:p>
        </w:tc>
      </w:tr>
      <w:tr w14:paraId="096EEA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770" w:type="dxa"/>
            <w:vAlign w:val="top"/>
          </w:tcPr>
          <w:p w14:paraId="06B79684">
            <w:pPr>
              <w:rPr>
                <w:rFonts w:ascii="Arial"/>
                <w:sz w:val="21"/>
              </w:rPr>
            </w:pPr>
          </w:p>
        </w:tc>
        <w:tc>
          <w:tcPr>
            <w:tcW w:w="2401" w:type="dxa"/>
            <w:vAlign w:val="top"/>
          </w:tcPr>
          <w:p w14:paraId="1D9B5DA8">
            <w:pPr>
              <w:rPr>
                <w:rFonts w:ascii="Arial"/>
                <w:sz w:val="21"/>
              </w:rPr>
            </w:pPr>
          </w:p>
        </w:tc>
        <w:tc>
          <w:tcPr>
            <w:tcW w:w="1799" w:type="dxa"/>
            <w:vAlign w:val="top"/>
          </w:tcPr>
          <w:p w14:paraId="5303E2D7">
            <w:pPr>
              <w:rPr>
                <w:rFonts w:ascii="Arial"/>
                <w:sz w:val="21"/>
              </w:rPr>
            </w:pPr>
          </w:p>
        </w:tc>
        <w:tc>
          <w:tcPr>
            <w:tcW w:w="1439" w:type="dxa"/>
            <w:vAlign w:val="top"/>
          </w:tcPr>
          <w:p w14:paraId="529096EE">
            <w:pPr>
              <w:rPr>
                <w:rFonts w:ascii="Arial"/>
                <w:sz w:val="21"/>
              </w:rPr>
            </w:pPr>
          </w:p>
        </w:tc>
        <w:tc>
          <w:tcPr>
            <w:tcW w:w="2163" w:type="dxa"/>
            <w:vAlign w:val="top"/>
          </w:tcPr>
          <w:p w14:paraId="7AA8769A">
            <w:pPr>
              <w:rPr>
                <w:rFonts w:ascii="Arial"/>
                <w:sz w:val="21"/>
              </w:rPr>
            </w:pPr>
          </w:p>
        </w:tc>
      </w:tr>
    </w:tbl>
    <w:p w14:paraId="3B666CA9">
      <w:pPr>
        <w:spacing w:line="442" w:lineRule="auto"/>
        <w:rPr>
          <w:rFonts w:ascii="Arial"/>
          <w:sz w:val="21"/>
        </w:rPr>
      </w:pPr>
    </w:p>
    <w:p w14:paraId="0BB65BC8">
      <w:pPr>
        <w:spacing w:before="65" w:line="369" w:lineRule="auto"/>
        <w:ind w:left="1066" w:hanging="943"/>
        <w:rPr>
          <w:rFonts w:ascii="宋体" w:hAnsi="宋体" w:eastAsia="宋体" w:cs="宋体"/>
          <w:sz w:val="20"/>
          <w:szCs w:val="20"/>
        </w:rPr>
      </w:pPr>
      <w:r>
        <w:rPr>
          <w:rFonts w:ascii="宋体" w:hAnsi="宋体" w:eastAsia="宋体" w:cs="宋体"/>
          <w:spacing w:val="7"/>
          <w:sz w:val="20"/>
          <w:szCs w:val="20"/>
        </w:rPr>
        <w:t>备注：</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近</w:t>
      </w:r>
      <w:r>
        <w:rPr>
          <w:rFonts w:ascii="宋体" w:hAnsi="宋体" w:eastAsia="宋体" w:cs="宋体"/>
          <w:spacing w:val="-24"/>
          <w:sz w:val="20"/>
          <w:szCs w:val="20"/>
        </w:rPr>
        <w:t xml:space="preserve"> </w:t>
      </w:r>
      <w:r>
        <w:rPr>
          <w:rFonts w:ascii="Times New Roman" w:hAnsi="Times New Roman" w:eastAsia="Times New Roman" w:cs="Times New Roman"/>
          <w:spacing w:val="7"/>
          <w:sz w:val="20"/>
          <w:szCs w:val="20"/>
        </w:rPr>
        <w:t xml:space="preserve">5 </w:t>
      </w:r>
      <w:r>
        <w:rPr>
          <w:rFonts w:ascii="宋体" w:hAnsi="宋体" w:eastAsia="宋体" w:cs="宋体"/>
          <w:spacing w:val="7"/>
          <w:sz w:val="20"/>
          <w:szCs w:val="20"/>
        </w:rPr>
        <w:t>年是指从申请截止日往前推算</w:t>
      </w:r>
      <w:r>
        <w:rPr>
          <w:rFonts w:ascii="宋体" w:hAnsi="宋体" w:eastAsia="宋体" w:cs="宋体"/>
          <w:spacing w:val="-38"/>
          <w:sz w:val="20"/>
          <w:szCs w:val="20"/>
        </w:rPr>
        <w:t xml:space="preserve"> </w:t>
      </w:r>
      <w:r>
        <w:rPr>
          <w:rFonts w:ascii="Times New Roman" w:hAnsi="Times New Roman" w:eastAsia="Times New Roman" w:cs="Times New Roman"/>
          <w:spacing w:val="7"/>
          <w:sz w:val="20"/>
          <w:szCs w:val="20"/>
        </w:rPr>
        <w:t xml:space="preserve">5 </w:t>
      </w:r>
      <w:r>
        <w:rPr>
          <w:rFonts w:ascii="宋体" w:hAnsi="宋体" w:eastAsia="宋体" w:cs="宋体"/>
          <w:spacing w:val="7"/>
          <w:sz w:val="20"/>
          <w:szCs w:val="20"/>
        </w:rPr>
        <w:t>年至投标截止日的前一日，例如申请截止日为</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2026</w:t>
      </w:r>
      <w:r>
        <w:rPr>
          <w:rFonts w:ascii="宋体" w:hAnsi="宋体" w:eastAsia="宋体" w:cs="宋体"/>
          <w:spacing w:val="2"/>
          <w:sz w:val="20"/>
          <w:szCs w:val="20"/>
        </w:rPr>
        <w:t>年</w:t>
      </w:r>
      <w:r>
        <w:rPr>
          <w:rFonts w:ascii="宋体" w:hAnsi="宋体" w:eastAsia="宋体" w:cs="宋体"/>
          <w:spacing w:val="-39"/>
          <w:sz w:val="20"/>
          <w:szCs w:val="20"/>
        </w:rPr>
        <w:t xml:space="preserve"> </w:t>
      </w:r>
      <w:r>
        <w:rPr>
          <w:rFonts w:ascii="Times New Roman" w:hAnsi="Times New Roman" w:eastAsia="Times New Roman" w:cs="Times New Roman"/>
          <w:spacing w:val="2"/>
          <w:sz w:val="20"/>
          <w:szCs w:val="20"/>
        </w:rPr>
        <w:t>2</w:t>
      </w:r>
      <w:r>
        <w:rPr>
          <w:rFonts w:ascii="Times New Roman" w:hAnsi="Times New Roman" w:eastAsia="Times New Roman" w:cs="Times New Roman"/>
          <w:spacing w:val="20"/>
          <w:sz w:val="20"/>
          <w:szCs w:val="20"/>
        </w:rPr>
        <w:t xml:space="preserve"> </w:t>
      </w:r>
      <w:r>
        <w:rPr>
          <w:rFonts w:ascii="宋体" w:hAnsi="宋体" w:eastAsia="宋体" w:cs="宋体"/>
          <w:spacing w:val="2"/>
          <w:sz w:val="20"/>
          <w:szCs w:val="20"/>
        </w:rPr>
        <w:t>月</w:t>
      </w:r>
      <w:r>
        <w:rPr>
          <w:rFonts w:ascii="宋体" w:hAnsi="宋体" w:eastAsia="宋体" w:cs="宋体"/>
          <w:spacing w:val="-18"/>
          <w:sz w:val="20"/>
          <w:szCs w:val="20"/>
        </w:rPr>
        <w:t xml:space="preserve"> </w:t>
      </w:r>
      <w:r>
        <w:rPr>
          <w:rFonts w:ascii="Times New Roman" w:hAnsi="Times New Roman" w:eastAsia="Times New Roman" w:cs="Times New Roman"/>
          <w:spacing w:val="2"/>
          <w:sz w:val="20"/>
          <w:szCs w:val="20"/>
        </w:rPr>
        <w:t xml:space="preserve">1  </w:t>
      </w:r>
      <w:r>
        <w:rPr>
          <w:rFonts w:ascii="宋体" w:hAnsi="宋体" w:eastAsia="宋体" w:cs="宋体"/>
          <w:spacing w:val="2"/>
          <w:sz w:val="20"/>
          <w:szCs w:val="20"/>
        </w:rPr>
        <w:t>日，投标截止日为</w:t>
      </w:r>
      <w:r>
        <w:rPr>
          <w:rFonts w:ascii="宋体" w:hAnsi="宋体" w:eastAsia="宋体" w:cs="宋体"/>
          <w:spacing w:val="-41"/>
          <w:sz w:val="20"/>
          <w:szCs w:val="20"/>
        </w:rPr>
        <w:t xml:space="preserve"> </w:t>
      </w:r>
      <w:r>
        <w:rPr>
          <w:rFonts w:ascii="Times New Roman" w:hAnsi="Times New Roman" w:eastAsia="Times New Roman" w:cs="Times New Roman"/>
          <w:spacing w:val="2"/>
          <w:sz w:val="20"/>
          <w:szCs w:val="20"/>
        </w:rPr>
        <w:t>2026</w:t>
      </w:r>
      <w:r>
        <w:rPr>
          <w:rFonts w:ascii="Times New Roman" w:hAnsi="Times New Roman" w:eastAsia="Times New Roman" w:cs="Times New Roman"/>
          <w:spacing w:val="16"/>
          <w:sz w:val="20"/>
          <w:szCs w:val="20"/>
        </w:rPr>
        <w:t xml:space="preserve"> </w:t>
      </w:r>
      <w:r>
        <w:rPr>
          <w:rFonts w:ascii="宋体" w:hAnsi="宋体" w:eastAsia="宋体" w:cs="宋体"/>
          <w:spacing w:val="2"/>
          <w:sz w:val="20"/>
          <w:szCs w:val="20"/>
        </w:rPr>
        <w:t>年</w:t>
      </w:r>
      <w:r>
        <w:rPr>
          <w:rFonts w:ascii="宋体" w:hAnsi="宋体" w:eastAsia="宋体" w:cs="宋体"/>
          <w:spacing w:val="-34"/>
          <w:sz w:val="20"/>
          <w:szCs w:val="20"/>
        </w:rPr>
        <w:t xml:space="preserve"> </w:t>
      </w:r>
      <w:r>
        <w:rPr>
          <w:rFonts w:ascii="Times New Roman" w:hAnsi="Times New Roman" w:eastAsia="Times New Roman" w:cs="Times New Roman"/>
          <w:spacing w:val="2"/>
          <w:sz w:val="20"/>
          <w:szCs w:val="20"/>
        </w:rPr>
        <w:t>3</w:t>
      </w:r>
      <w:r>
        <w:rPr>
          <w:rFonts w:ascii="Times New Roman" w:hAnsi="Times New Roman" w:eastAsia="Times New Roman" w:cs="Times New Roman"/>
          <w:spacing w:val="19"/>
          <w:sz w:val="20"/>
          <w:szCs w:val="20"/>
        </w:rPr>
        <w:t xml:space="preserve"> </w:t>
      </w:r>
      <w:r>
        <w:rPr>
          <w:rFonts w:ascii="宋体" w:hAnsi="宋体" w:eastAsia="宋体" w:cs="宋体"/>
          <w:spacing w:val="2"/>
          <w:sz w:val="20"/>
          <w:szCs w:val="20"/>
        </w:rPr>
        <w:t>月</w:t>
      </w:r>
      <w:r>
        <w:rPr>
          <w:rFonts w:ascii="宋体" w:hAnsi="宋体" w:eastAsia="宋体" w:cs="宋体"/>
          <w:spacing w:val="-30"/>
          <w:sz w:val="20"/>
          <w:szCs w:val="20"/>
        </w:rPr>
        <w:t xml:space="preserve"> </w:t>
      </w:r>
      <w:r>
        <w:rPr>
          <w:rFonts w:ascii="Times New Roman" w:hAnsi="Times New Roman" w:eastAsia="Times New Roman" w:cs="Times New Roman"/>
          <w:spacing w:val="2"/>
          <w:sz w:val="20"/>
          <w:szCs w:val="20"/>
        </w:rPr>
        <w:t xml:space="preserve">5  </w:t>
      </w:r>
      <w:r>
        <w:rPr>
          <w:rFonts w:ascii="宋体" w:hAnsi="宋体" w:eastAsia="宋体" w:cs="宋体"/>
          <w:spacing w:val="2"/>
          <w:sz w:val="20"/>
          <w:szCs w:val="20"/>
        </w:rPr>
        <w:t>日，</w:t>
      </w:r>
      <w:r>
        <w:rPr>
          <w:rFonts w:ascii="宋体" w:hAnsi="宋体" w:eastAsia="宋体" w:cs="宋体"/>
          <w:spacing w:val="1"/>
          <w:sz w:val="20"/>
          <w:szCs w:val="20"/>
        </w:rPr>
        <w:t>则近</w:t>
      </w:r>
      <w:r>
        <w:rPr>
          <w:rFonts w:ascii="宋体" w:hAnsi="宋体" w:eastAsia="宋体" w:cs="宋体"/>
          <w:spacing w:val="-33"/>
          <w:sz w:val="20"/>
          <w:szCs w:val="20"/>
        </w:rPr>
        <w:t xml:space="preserve"> </w:t>
      </w:r>
      <w:r>
        <w:rPr>
          <w:rFonts w:ascii="Times New Roman" w:hAnsi="Times New Roman" w:eastAsia="Times New Roman" w:cs="Times New Roman"/>
          <w:spacing w:val="1"/>
          <w:sz w:val="20"/>
          <w:szCs w:val="20"/>
        </w:rPr>
        <w:t>5</w:t>
      </w:r>
      <w:r>
        <w:rPr>
          <w:rFonts w:ascii="Times New Roman" w:hAnsi="Times New Roman" w:eastAsia="Times New Roman" w:cs="Times New Roman"/>
          <w:spacing w:val="16"/>
          <w:sz w:val="20"/>
          <w:szCs w:val="20"/>
        </w:rPr>
        <w:t xml:space="preserve"> </w:t>
      </w:r>
      <w:r>
        <w:rPr>
          <w:rFonts w:ascii="宋体" w:hAnsi="宋体" w:eastAsia="宋体" w:cs="宋体"/>
          <w:spacing w:val="1"/>
          <w:sz w:val="20"/>
          <w:szCs w:val="20"/>
        </w:rPr>
        <w:t>年是指</w:t>
      </w:r>
      <w:r>
        <w:rPr>
          <w:rFonts w:ascii="宋体" w:hAnsi="宋体" w:eastAsia="宋体" w:cs="宋体"/>
          <w:spacing w:val="-36"/>
          <w:sz w:val="20"/>
          <w:szCs w:val="20"/>
        </w:rPr>
        <w:t xml:space="preserve"> </w:t>
      </w:r>
      <w:r>
        <w:rPr>
          <w:rFonts w:ascii="Times New Roman" w:hAnsi="Times New Roman" w:eastAsia="Times New Roman" w:cs="Times New Roman"/>
          <w:spacing w:val="1"/>
          <w:sz w:val="20"/>
          <w:szCs w:val="20"/>
        </w:rPr>
        <w:t xml:space="preserve">2021 </w:t>
      </w:r>
      <w:r>
        <w:rPr>
          <w:rFonts w:ascii="宋体" w:hAnsi="宋体" w:eastAsia="宋体" w:cs="宋体"/>
          <w:spacing w:val="1"/>
          <w:sz w:val="20"/>
          <w:szCs w:val="20"/>
        </w:rPr>
        <w:t>年</w:t>
      </w:r>
      <w:r>
        <w:rPr>
          <w:rFonts w:ascii="宋体" w:hAnsi="宋体" w:eastAsia="宋体" w:cs="宋体"/>
          <w:spacing w:val="-36"/>
          <w:sz w:val="20"/>
          <w:szCs w:val="20"/>
        </w:rPr>
        <w:t xml:space="preserve"> </w:t>
      </w:r>
      <w:r>
        <w:rPr>
          <w:rFonts w:ascii="Times New Roman" w:hAnsi="Times New Roman" w:eastAsia="Times New Roman" w:cs="Times New Roman"/>
          <w:spacing w:val="1"/>
          <w:sz w:val="20"/>
          <w:szCs w:val="20"/>
        </w:rPr>
        <w:t>2</w:t>
      </w:r>
      <w:r>
        <w:rPr>
          <w:rFonts w:ascii="Times New Roman" w:hAnsi="Times New Roman" w:eastAsia="Times New Roman" w:cs="Times New Roman"/>
          <w:spacing w:val="19"/>
          <w:w w:val="101"/>
          <w:sz w:val="20"/>
          <w:szCs w:val="20"/>
        </w:rPr>
        <w:t xml:space="preserve"> </w:t>
      </w:r>
      <w:r>
        <w:rPr>
          <w:rFonts w:ascii="宋体" w:hAnsi="宋体" w:eastAsia="宋体" w:cs="宋体"/>
          <w:spacing w:val="1"/>
          <w:sz w:val="20"/>
          <w:szCs w:val="20"/>
        </w:rPr>
        <w:t>月</w:t>
      </w:r>
      <w:r>
        <w:rPr>
          <w:rFonts w:ascii="宋体" w:hAnsi="宋体" w:eastAsia="宋体" w:cs="宋体"/>
          <w:spacing w:val="-18"/>
          <w:sz w:val="20"/>
          <w:szCs w:val="20"/>
        </w:rPr>
        <w:t xml:space="preserve"> </w:t>
      </w:r>
      <w:r>
        <w:rPr>
          <w:rFonts w:ascii="Times New Roman" w:hAnsi="Times New Roman" w:eastAsia="Times New Roman" w:cs="Times New Roman"/>
          <w:spacing w:val="1"/>
          <w:sz w:val="20"/>
          <w:szCs w:val="20"/>
        </w:rPr>
        <w:t xml:space="preserve">1  </w:t>
      </w:r>
      <w:r>
        <w:rPr>
          <w:rFonts w:ascii="宋体" w:hAnsi="宋体" w:eastAsia="宋体" w:cs="宋体"/>
          <w:spacing w:val="1"/>
          <w:sz w:val="20"/>
          <w:szCs w:val="20"/>
        </w:rPr>
        <w:t>日至</w:t>
      </w:r>
      <w:r>
        <w:rPr>
          <w:rFonts w:ascii="宋体" w:hAnsi="宋体" w:eastAsia="宋体" w:cs="宋体"/>
          <w:spacing w:val="-36"/>
          <w:sz w:val="20"/>
          <w:szCs w:val="20"/>
        </w:rPr>
        <w:t xml:space="preserve"> </w:t>
      </w:r>
      <w:r>
        <w:rPr>
          <w:rFonts w:ascii="Times New Roman" w:hAnsi="Times New Roman" w:eastAsia="Times New Roman" w:cs="Times New Roman"/>
          <w:spacing w:val="1"/>
          <w:sz w:val="20"/>
          <w:szCs w:val="20"/>
        </w:rPr>
        <w:t>2026</w:t>
      </w:r>
      <w:r>
        <w:rPr>
          <w:rFonts w:ascii="宋体" w:hAnsi="宋体" w:eastAsia="宋体" w:cs="宋体"/>
          <w:spacing w:val="-6"/>
          <w:sz w:val="20"/>
          <w:szCs w:val="20"/>
        </w:rPr>
        <w:t>年</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17"/>
          <w:sz w:val="20"/>
          <w:szCs w:val="20"/>
        </w:rPr>
        <w:t xml:space="preserve"> </w:t>
      </w:r>
      <w:r>
        <w:rPr>
          <w:rFonts w:ascii="宋体" w:hAnsi="宋体" w:eastAsia="宋体" w:cs="宋体"/>
          <w:spacing w:val="-6"/>
          <w:sz w:val="20"/>
          <w:szCs w:val="20"/>
        </w:rPr>
        <w:t>月</w:t>
      </w:r>
      <w:r>
        <w:rPr>
          <w:rFonts w:ascii="宋体" w:hAnsi="宋体" w:eastAsia="宋体" w:cs="宋体"/>
          <w:spacing w:val="-44"/>
          <w:sz w:val="20"/>
          <w:szCs w:val="20"/>
        </w:rPr>
        <w:t xml:space="preserve"> </w:t>
      </w:r>
      <w:r>
        <w:rPr>
          <w:rFonts w:ascii="Times New Roman" w:hAnsi="Times New Roman" w:eastAsia="Times New Roman" w:cs="Times New Roman"/>
          <w:spacing w:val="-6"/>
          <w:sz w:val="20"/>
          <w:szCs w:val="20"/>
        </w:rPr>
        <w:t xml:space="preserve">4  </w:t>
      </w:r>
      <w:r>
        <w:rPr>
          <w:rFonts w:ascii="宋体" w:hAnsi="宋体" w:eastAsia="宋体" w:cs="宋体"/>
          <w:spacing w:val="-6"/>
          <w:sz w:val="20"/>
          <w:szCs w:val="20"/>
        </w:rPr>
        <w:t>日。</w:t>
      </w:r>
    </w:p>
    <w:p w14:paraId="785AF97E">
      <w:pPr>
        <w:spacing w:line="369" w:lineRule="auto"/>
        <w:ind w:left="1064" w:right="3" w:hanging="317"/>
        <w:rPr>
          <w:rFonts w:ascii="宋体" w:hAnsi="宋体" w:eastAsia="宋体" w:cs="宋体"/>
          <w:sz w:val="20"/>
          <w:szCs w:val="20"/>
        </w:rPr>
      </w:pPr>
      <w:r>
        <w:rPr>
          <w:rFonts w:ascii="Times New Roman" w:hAnsi="Times New Roman" w:eastAsia="Times New Roman" w:cs="Times New Roman"/>
          <w:spacing w:val="5"/>
          <w:sz w:val="20"/>
          <w:szCs w:val="20"/>
        </w:rPr>
        <w:t xml:space="preserve">2.  </w:t>
      </w:r>
      <w:r>
        <w:rPr>
          <w:rFonts w:ascii="宋体" w:hAnsi="宋体" w:eastAsia="宋体" w:cs="宋体"/>
          <w:spacing w:val="5"/>
          <w:sz w:val="20"/>
          <w:szCs w:val="20"/>
        </w:rPr>
        <w:t>本表后应附中标通知书（如有）、合同协议书、施工许可证（如有）、工程接收证</w:t>
      </w:r>
      <w:r>
        <w:rPr>
          <w:rFonts w:ascii="宋体" w:hAnsi="宋体" w:eastAsia="宋体" w:cs="宋体"/>
          <w:spacing w:val="4"/>
          <w:sz w:val="20"/>
          <w:szCs w:val="20"/>
        </w:rPr>
        <w:t>书或工</w:t>
      </w:r>
      <w:r>
        <w:rPr>
          <w:rFonts w:ascii="宋体" w:hAnsi="宋体" w:eastAsia="宋体" w:cs="宋体"/>
          <w:spacing w:val="9"/>
          <w:sz w:val="20"/>
          <w:szCs w:val="20"/>
        </w:rPr>
        <w:t>程竣工验收证书（工程竣工验收备案证）、表彰文件、获奖证书及其他证明材料等扫描件。招标发包的工程应附中标通知书。以表彰文件、获奖证书的颁发时间为准。</w:t>
      </w:r>
    </w:p>
    <w:p w14:paraId="195783D2">
      <w:pPr>
        <w:spacing w:before="1" w:line="226" w:lineRule="auto"/>
        <w:ind w:left="752"/>
        <w:rPr>
          <w:rFonts w:ascii="宋体" w:hAnsi="宋体" w:eastAsia="宋体" w:cs="宋体"/>
          <w:sz w:val="20"/>
          <w:szCs w:val="20"/>
        </w:rPr>
      </w:pP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颁奖单位应当是国家机关或民政部门注册登记的合法单位。</w:t>
      </w:r>
    </w:p>
    <w:p w14:paraId="54AE20FD">
      <w:pPr>
        <w:spacing w:line="226" w:lineRule="auto"/>
        <w:rPr>
          <w:rFonts w:ascii="宋体" w:hAnsi="宋体" w:eastAsia="宋体" w:cs="宋体"/>
          <w:sz w:val="20"/>
          <w:szCs w:val="20"/>
        </w:rPr>
        <w:sectPr>
          <w:footerReference r:id="rId546" w:type="default"/>
          <w:pgSz w:w="11907" w:h="16840"/>
          <w:pgMar w:top="400" w:right="1530" w:bottom="1247" w:left="1361" w:header="0" w:footer="1085" w:gutter="0"/>
          <w:cols w:space="720" w:num="1"/>
        </w:sectPr>
      </w:pPr>
    </w:p>
    <w:p w14:paraId="1C3F3C59">
      <w:pPr>
        <w:spacing w:line="252" w:lineRule="auto"/>
        <w:rPr>
          <w:rFonts w:ascii="Arial"/>
          <w:sz w:val="21"/>
        </w:rPr>
      </w:pPr>
    </w:p>
    <w:p w14:paraId="380C92E6">
      <w:pPr>
        <w:spacing w:line="252" w:lineRule="auto"/>
        <w:rPr>
          <w:rFonts w:ascii="Arial"/>
          <w:sz w:val="21"/>
        </w:rPr>
      </w:pPr>
    </w:p>
    <w:p w14:paraId="67CEC1F2">
      <w:pPr>
        <w:spacing w:line="252" w:lineRule="auto"/>
        <w:rPr>
          <w:rFonts w:ascii="Arial"/>
          <w:sz w:val="21"/>
        </w:rPr>
      </w:pPr>
    </w:p>
    <w:p w14:paraId="4EF02571">
      <w:pPr>
        <w:spacing w:line="252" w:lineRule="auto"/>
        <w:rPr>
          <w:rFonts w:ascii="Arial"/>
          <w:sz w:val="21"/>
        </w:rPr>
      </w:pPr>
    </w:p>
    <w:p w14:paraId="7D676891">
      <w:pPr>
        <w:spacing w:line="252" w:lineRule="auto"/>
        <w:rPr>
          <w:rFonts w:ascii="Arial"/>
          <w:sz w:val="21"/>
        </w:rPr>
      </w:pPr>
    </w:p>
    <w:p w14:paraId="54DA8D68">
      <w:pPr>
        <w:spacing w:line="252" w:lineRule="auto"/>
        <w:rPr>
          <w:rFonts w:ascii="Arial"/>
          <w:sz w:val="21"/>
        </w:rPr>
      </w:pPr>
    </w:p>
    <w:p w14:paraId="72C15E47">
      <w:pPr>
        <w:spacing w:line="253" w:lineRule="auto"/>
        <w:rPr>
          <w:rFonts w:ascii="Arial"/>
          <w:sz w:val="21"/>
        </w:rPr>
      </w:pPr>
    </w:p>
    <w:p w14:paraId="7F028A18">
      <w:pPr>
        <w:pStyle w:val="2"/>
        <w:spacing w:before="78" w:line="222" w:lineRule="auto"/>
        <w:ind w:left="2706"/>
        <w:outlineLvl w:val="2"/>
        <w:rPr>
          <w:sz w:val="24"/>
          <w:szCs w:val="24"/>
        </w:rPr>
      </w:pPr>
      <w:bookmarkStart w:id="451" w:name="bookmark427"/>
      <w:bookmarkEnd w:id="451"/>
      <w:r>
        <w:rPr>
          <w:rFonts w:ascii="Times New Roman" w:hAnsi="Times New Roman" w:eastAsia="Times New Roman" w:cs="Times New Roman"/>
          <w:spacing w:val="-2"/>
          <w:sz w:val="24"/>
          <w:szCs w:val="24"/>
        </w:rPr>
        <w:t xml:space="preserve">5-4 </w:t>
      </w:r>
      <w:r>
        <w:rPr>
          <w:spacing w:val="-2"/>
          <w:sz w:val="24"/>
          <w:szCs w:val="24"/>
        </w:rPr>
        <w:t>近</w:t>
      </w:r>
      <w:r>
        <w:rPr>
          <w:spacing w:val="-38"/>
          <w:sz w:val="24"/>
          <w:szCs w:val="24"/>
        </w:rPr>
        <w:t xml:space="preserve"> </w:t>
      </w:r>
      <w:r>
        <w:rPr>
          <w:rFonts w:ascii="Times New Roman" w:hAnsi="Times New Roman" w:eastAsia="Times New Roman" w:cs="Times New Roman"/>
          <w:spacing w:val="-2"/>
          <w:sz w:val="24"/>
          <w:szCs w:val="24"/>
        </w:rPr>
        <w:t xml:space="preserve">5 </w:t>
      </w:r>
      <w:r>
        <w:rPr>
          <w:spacing w:val="-2"/>
          <w:sz w:val="24"/>
          <w:szCs w:val="24"/>
        </w:rPr>
        <w:t>年项目经理工程获奖情况表</w:t>
      </w:r>
    </w:p>
    <w:p w14:paraId="13A0E662">
      <w:pPr>
        <w:spacing w:before="156"/>
      </w:pPr>
    </w:p>
    <w:tbl>
      <w:tblPr>
        <w:tblStyle w:val="5"/>
        <w:tblW w:w="85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2401"/>
        <w:gridCol w:w="1799"/>
        <w:gridCol w:w="1439"/>
        <w:gridCol w:w="2163"/>
      </w:tblGrid>
      <w:tr w14:paraId="48230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vAlign w:val="top"/>
          </w:tcPr>
          <w:p w14:paraId="4035C1C2">
            <w:pPr>
              <w:pStyle w:val="6"/>
              <w:spacing w:before="163" w:line="229" w:lineRule="auto"/>
              <w:ind w:left="179"/>
            </w:pPr>
            <w:r>
              <w:rPr>
                <w:spacing w:val="5"/>
              </w:rPr>
              <w:t>序号</w:t>
            </w:r>
          </w:p>
        </w:tc>
        <w:tc>
          <w:tcPr>
            <w:tcW w:w="2401" w:type="dxa"/>
            <w:vAlign w:val="top"/>
          </w:tcPr>
          <w:p w14:paraId="38FDEBDE">
            <w:pPr>
              <w:pStyle w:val="6"/>
              <w:spacing w:before="163" w:line="228" w:lineRule="auto"/>
              <w:ind w:left="788"/>
            </w:pPr>
            <w:r>
              <w:rPr>
                <w:spacing w:val="6"/>
              </w:rPr>
              <w:t>项目名称</w:t>
            </w:r>
          </w:p>
        </w:tc>
        <w:tc>
          <w:tcPr>
            <w:tcW w:w="1799" w:type="dxa"/>
            <w:vAlign w:val="top"/>
          </w:tcPr>
          <w:p w14:paraId="35204E6A">
            <w:pPr>
              <w:pStyle w:val="6"/>
              <w:spacing w:before="163" w:line="228" w:lineRule="auto"/>
              <w:ind w:left="487"/>
            </w:pPr>
            <w:r>
              <w:rPr>
                <w:spacing w:val="6"/>
              </w:rPr>
              <w:t>获奖名称</w:t>
            </w:r>
          </w:p>
        </w:tc>
        <w:tc>
          <w:tcPr>
            <w:tcW w:w="1439" w:type="dxa"/>
            <w:vAlign w:val="top"/>
          </w:tcPr>
          <w:p w14:paraId="3FBAB823">
            <w:pPr>
              <w:pStyle w:val="6"/>
              <w:spacing w:before="163" w:line="228" w:lineRule="auto"/>
              <w:ind w:left="308"/>
            </w:pPr>
            <w:r>
              <w:rPr>
                <w:spacing w:val="6"/>
              </w:rPr>
              <w:t>获奖日期</w:t>
            </w:r>
          </w:p>
        </w:tc>
        <w:tc>
          <w:tcPr>
            <w:tcW w:w="2163" w:type="dxa"/>
            <w:vAlign w:val="top"/>
          </w:tcPr>
          <w:p w14:paraId="05A15F58">
            <w:pPr>
              <w:pStyle w:val="6"/>
              <w:spacing w:before="163" w:line="228" w:lineRule="auto"/>
              <w:ind w:left="666"/>
            </w:pPr>
            <w:r>
              <w:rPr>
                <w:spacing w:val="7"/>
              </w:rPr>
              <w:t>颁奖单位</w:t>
            </w:r>
          </w:p>
        </w:tc>
      </w:tr>
      <w:tr w14:paraId="2FAA5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362FB940">
            <w:pPr>
              <w:rPr>
                <w:rFonts w:ascii="Arial"/>
                <w:sz w:val="21"/>
              </w:rPr>
            </w:pPr>
          </w:p>
        </w:tc>
        <w:tc>
          <w:tcPr>
            <w:tcW w:w="2401" w:type="dxa"/>
            <w:vAlign w:val="top"/>
          </w:tcPr>
          <w:p w14:paraId="2A6B335C">
            <w:pPr>
              <w:rPr>
                <w:rFonts w:ascii="Arial"/>
                <w:sz w:val="21"/>
              </w:rPr>
            </w:pPr>
          </w:p>
        </w:tc>
        <w:tc>
          <w:tcPr>
            <w:tcW w:w="1799" w:type="dxa"/>
            <w:vAlign w:val="top"/>
          </w:tcPr>
          <w:p w14:paraId="495B89B8">
            <w:pPr>
              <w:rPr>
                <w:rFonts w:ascii="Arial"/>
                <w:sz w:val="21"/>
              </w:rPr>
            </w:pPr>
          </w:p>
        </w:tc>
        <w:tc>
          <w:tcPr>
            <w:tcW w:w="1439" w:type="dxa"/>
            <w:vAlign w:val="top"/>
          </w:tcPr>
          <w:p w14:paraId="1F3DAC87">
            <w:pPr>
              <w:rPr>
                <w:rFonts w:ascii="Arial"/>
                <w:sz w:val="21"/>
              </w:rPr>
            </w:pPr>
          </w:p>
        </w:tc>
        <w:tc>
          <w:tcPr>
            <w:tcW w:w="2163" w:type="dxa"/>
            <w:vAlign w:val="top"/>
          </w:tcPr>
          <w:p w14:paraId="1D4E7465">
            <w:pPr>
              <w:rPr>
                <w:rFonts w:ascii="Arial"/>
                <w:sz w:val="21"/>
              </w:rPr>
            </w:pPr>
          </w:p>
        </w:tc>
      </w:tr>
      <w:tr w14:paraId="47B33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5F69472B">
            <w:pPr>
              <w:rPr>
                <w:rFonts w:ascii="Arial"/>
                <w:sz w:val="21"/>
              </w:rPr>
            </w:pPr>
          </w:p>
        </w:tc>
        <w:tc>
          <w:tcPr>
            <w:tcW w:w="2401" w:type="dxa"/>
            <w:vAlign w:val="top"/>
          </w:tcPr>
          <w:p w14:paraId="53F870D8">
            <w:pPr>
              <w:rPr>
                <w:rFonts w:ascii="Arial"/>
                <w:sz w:val="21"/>
              </w:rPr>
            </w:pPr>
          </w:p>
        </w:tc>
        <w:tc>
          <w:tcPr>
            <w:tcW w:w="1799" w:type="dxa"/>
            <w:vAlign w:val="top"/>
          </w:tcPr>
          <w:p w14:paraId="5966B294">
            <w:pPr>
              <w:rPr>
                <w:rFonts w:ascii="Arial"/>
                <w:sz w:val="21"/>
              </w:rPr>
            </w:pPr>
          </w:p>
        </w:tc>
        <w:tc>
          <w:tcPr>
            <w:tcW w:w="1439" w:type="dxa"/>
            <w:vAlign w:val="top"/>
          </w:tcPr>
          <w:p w14:paraId="439AC43C">
            <w:pPr>
              <w:rPr>
                <w:rFonts w:ascii="Arial"/>
                <w:sz w:val="21"/>
              </w:rPr>
            </w:pPr>
          </w:p>
        </w:tc>
        <w:tc>
          <w:tcPr>
            <w:tcW w:w="2163" w:type="dxa"/>
            <w:vAlign w:val="top"/>
          </w:tcPr>
          <w:p w14:paraId="78101602">
            <w:pPr>
              <w:rPr>
                <w:rFonts w:ascii="Arial"/>
                <w:sz w:val="21"/>
              </w:rPr>
            </w:pPr>
          </w:p>
        </w:tc>
      </w:tr>
      <w:tr w14:paraId="690FE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754C81A5">
            <w:pPr>
              <w:rPr>
                <w:rFonts w:ascii="Arial"/>
                <w:sz w:val="21"/>
              </w:rPr>
            </w:pPr>
          </w:p>
        </w:tc>
        <w:tc>
          <w:tcPr>
            <w:tcW w:w="2401" w:type="dxa"/>
            <w:vAlign w:val="top"/>
          </w:tcPr>
          <w:p w14:paraId="311E997D">
            <w:pPr>
              <w:rPr>
                <w:rFonts w:ascii="Arial"/>
                <w:sz w:val="21"/>
              </w:rPr>
            </w:pPr>
          </w:p>
        </w:tc>
        <w:tc>
          <w:tcPr>
            <w:tcW w:w="1799" w:type="dxa"/>
            <w:vAlign w:val="top"/>
          </w:tcPr>
          <w:p w14:paraId="66D6459D">
            <w:pPr>
              <w:rPr>
                <w:rFonts w:ascii="Arial"/>
                <w:sz w:val="21"/>
              </w:rPr>
            </w:pPr>
          </w:p>
        </w:tc>
        <w:tc>
          <w:tcPr>
            <w:tcW w:w="1439" w:type="dxa"/>
            <w:vAlign w:val="top"/>
          </w:tcPr>
          <w:p w14:paraId="4AE22047">
            <w:pPr>
              <w:rPr>
                <w:rFonts w:ascii="Arial"/>
                <w:sz w:val="21"/>
              </w:rPr>
            </w:pPr>
          </w:p>
        </w:tc>
        <w:tc>
          <w:tcPr>
            <w:tcW w:w="2163" w:type="dxa"/>
            <w:vAlign w:val="top"/>
          </w:tcPr>
          <w:p w14:paraId="1B140C62">
            <w:pPr>
              <w:rPr>
                <w:rFonts w:ascii="Arial"/>
                <w:sz w:val="21"/>
              </w:rPr>
            </w:pPr>
          </w:p>
        </w:tc>
      </w:tr>
      <w:tr w14:paraId="27AFCF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7C7FA2CC">
            <w:pPr>
              <w:rPr>
                <w:rFonts w:ascii="Arial"/>
                <w:sz w:val="21"/>
              </w:rPr>
            </w:pPr>
          </w:p>
        </w:tc>
        <w:tc>
          <w:tcPr>
            <w:tcW w:w="2401" w:type="dxa"/>
            <w:vAlign w:val="top"/>
          </w:tcPr>
          <w:p w14:paraId="2CF1ACE7">
            <w:pPr>
              <w:rPr>
                <w:rFonts w:ascii="Arial"/>
                <w:sz w:val="21"/>
              </w:rPr>
            </w:pPr>
          </w:p>
        </w:tc>
        <w:tc>
          <w:tcPr>
            <w:tcW w:w="1799" w:type="dxa"/>
            <w:vAlign w:val="top"/>
          </w:tcPr>
          <w:p w14:paraId="67780746">
            <w:pPr>
              <w:rPr>
                <w:rFonts w:ascii="Arial"/>
                <w:sz w:val="21"/>
              </w:rPr>
            </w:pPr>
          </w:p>
        </w:tc>
        <w:tc>
          <w:tcPr>
            <w:tcW w:w="1439" w:type="dxa"/>
            <w:vAlign w:val="top"/>
          </w:tcPr>
          <w:p w14:paraId="2135B3EE">
            <w:pPr>
              <w:rPr>
                <w:rFonts w:ascii="Arial"/>
                <w:sz w:val="21"/>
              </w:rPr>
            </w:pPr>
          </w:p>
        </w:tc>
        <w:tc>
          <w:tcPr>
            <w:tcW w:w="2163" w:type="dxa"/>
            <w:vAlign w:val="top"/>
          </w:tcPr>
          <w:p w14:paraId="56C0219B">
            <w:pPr>
              <w:rPr>
                <w:rFonts w:ascii="Arial"/>
                <w:sz w:val="21"/>
              </w:rPr>
            </w:pPr>
          </w:p>
        </w:tc>
      </w:tr>
      <w:tr w14:paraId="7FD172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5C637B11">
            <w:pPr>
              <w:rPr>
                <w:rFonts w:ascii="Arial"/>
                <w:sz w:val="21"/>
              </w:rPr>
            </w:pPr>
          </w:p>
        </w:tc>
        <w:tc>
          <w:tcPr>
            <w:tcW w:w="2401" w:type="dxa"/>
            <w:vAlign w:val="top"/>
          </w:tcPr>
          <w:p w14:paraId="600CDE0F">
            <w:pPr>
              <w:rPr>
                <w:rFonts w:ascii="Arial"/>
                <w:sz w:val="21"/>
              </w:rPr>
            </w:pPr>
          </w:p>
        </w:tc>
        <w:tc>
          <w:tcPr>
            <w:tcW w:w="1799" w:type="dxa"/>
            <w:vAlign w:val="top"/>
          </w:tcPr>
          <w:p w14:paraId="0831D9A5">
            <w:pPr>
              <w:rPr>
                <w:rFonts w:ascii="Arial"/>
                <w:sz w:val="21"/>
              </w:rPr>
            </w:pPr>
          </w:p>
        </w:tc>
        <w:tc>
          <w:tcPr>
            <w:tcW w:w="1439" w:type="dxa"/>
            <w:vAlign w:val="top"/>
          </w:tcPr>
          <w:p w14:paraId="69F216CA">
            <w:pPr>
              <w:rPr>
                <w:rFonts w:ascii="Arial"/>
                <w:sz w:val="21"/>
              </w:rPr>
            </w:pPr>
          </w:p>
        </w:tc>
        <w:tc>
          <w:tcPr>
            <w:tcW w:w="2163" w:type="dxa"/>
            <w:vAlign w:val="top"/>
          </w:tcPr>
          <w:p w14:paraId="5C4722C2">
            <w:pPr>
              <w:rPr>
                <w:rFonts w:ascii="Arial"/>
                <w:sz w:val="21"/>
              </w:rPr>
            </w:pPr>
          </w:p>
        </w:tc>
      </w:tr>
      <w:tr w14:paraId="18138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5ADFAD4D">
            <w:pPr>
              <w:rPr>
                <w:rFonts w:ascii="Arial"/>
                <w:sz w:val="21"/>
              </w:rPr>
            </w:pPr>
          </w:p>
        </w:tc>
        <w:tc>
          <w:tcPr>
            <w:tcW w:w="2401" w:type="dxa"/>
            <w:vAlign w:val="top"/>
          </w:tcPr>
          <w:p w14:paraId="0367FE82">
            <w:pPr>
              <w:rPr>
                <w:rFonts w:ascii="Arial"/>
                <w:sz w:val="21"/>
              </w:rPr>
            </w:pPr>
          </w:p>
        </w:tc>
        <w:tc>
          <w:tcPr>
            <w:tcW w:w="1799" w:type="dxa"/>
            <w:vAlign w:val="top"/>
          </w:tcPr>
          <w:p w14:paraId="477C4F21">
            <w:pPr>
              <w:rPr>
                <w:rFonts w:ascii="Arial"/>
                <w:sz w:val="21"/>
              </w:rPr>
            </w:pPr>
          </w:p>
        </w:tc>
        <w:tc>
          <w:tcPr>
            <w:tcW w:w="1439" w:type="dxa"/>
            <w:vAlign w:val="top"/>
          </w:tcPr>
          <w:p w14:paraId="1772277E">
            <w:pPr>
              <w:rPr>
                <w:rFonts w:ascii="Arial"/>
                <w:sz w:val="21"/>
              </w:rPr>
            </w:pPr>
          </w:p>
        </w:tc>
        <w:tc>
          <w:tcPr>
            <w:tcW w:w="2163" w:type="dxa"/>
            <w:vAlign w:val="top"/>
          </w:tcPr>
          <w:p w14:paraId="3D24476C">
            <w:pPr>
              <w:rPr>
                <w:rFonts w:ascii="Arial"/>
                <w:sz w:val="21"/>
              </w:rPr>
            </w:pPr>
          </w:p>
        </w:tc>
      </w:tr>
      <w:tr w14:paraId="1D1478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3F813066">
            <w:pPr>
              <w:rPr>
                <w:rFonts w:ascii="Arial"/>
                <w:sz w:val="21"/>
              </w:rPr>
            </w:pPr>
          </w:p>
        </w:tc>
        <w:tc>
          <w:tcPr>
            <w:tcW w:w="2401" w:type="dxa"/>
            <w:vAlign w:val="top"/>
          </w:tcPr>
          <w:p w14:paraId="0434955D">
            <w:pPr>
              <w:rPr>
                <w:rFonts w:ascii="Arial"/>
                <w:sz w:val="21"/>
              </w:rPr>
            </w:pPr>
          </w:p>
        </w:tc>
        <w:tc>
          <w:tcPr>
            <w:tcW w:w="1799" w:type="dxa"/>
            <w:vAlign w:val="top"/>
          </w:tcPr>
          <w:p w14:paraId="4A889A94">
            <w:pPr>
              <w:rPr>
                <w:rFonts w:ascii="Arial"/>
                <w:sz w:val="21"/>
              </w:rPr>
            </w:pPr>
          </w:p>
        </w:tc>
        <w:tc>
          <w:tcPr>
            <w:tcW w:w="1439" w:type="dxa"/>
            <w:vAlign w:val="top"/>
          </w:tcPr>
          <w:p w14:paraId="2CEF16C0">
            <w:pPr>
              <w:rPr>
                <w:rFonts w:ascii="Arial"/>
                <w:sz w:val="21"/>
              </w:rPr>
            </w:pPr>
          </w:p>
        </w:tc>
        <w:tc>
          <w:tcPr>
            <w:tcW w:w="2163" w:type="dxa"/>
            <w:vAlign w:val="top"/>
          </w:tcPr>
          <w:p w14:paraId="7476ECCD">
            <w:pPr>
              <w:rPr>
                <w:rFonts w:ascii="Arial"/>
                <w:sz w:val="21"/>
              </w:rPr>
            </w:pPr>
          </w:p>
        </w:tc>
      </w:tr>
      <w:tr w14:paraId="79285B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03A3E846">
            <w:pPr>
              <w:rPr>
                <w:rFonts w:ascii="Arial"/>
                <w:sz w:val="21"/>
              </w:rPr>
            </w:pPr>
          </w:p>
        </w:tc>
        <w:tc>
          <w:tcPr>
            <w:tcW w:w="2401" w:type="dxa"/>
            <w:vAlign w:val="top"/>
          </w:tcPr>
          <w:p w14:paraId="12245829">
            <w:pPr>
              <w:rPr>
                <w:rFonts w:ascii="Arial"/>
                <w:sz w:val="21"/>
              </w:rPr>
            </w:pPr>
          </w:p>
        </w:tc>
        <w:tc>
          <w:tcPr>
            <w:tcW w:w="1799" w:type="dxa"/>
            <w:vAlign w:val="top"/>
          </w:tcPr>
          <w:p w14:paraId="39EF5616">
            <w:pPr>
              <w:rPr>
                <w:rFonts w:ascii="Arial"/>
                <w:sz w:val="21"/>
              </w:rPr>
            </w:pPr>
          </w:p>
        </w:tc>
        <w:tc>
          <w:tcPr>
            <w:tcW w:w="1439" w:type="dxa"/>
            <w:vAlign w:val="top"/>
          </w:tcPr>
          <w:p w14:paraId="3FBC9C57">
            <w:pPr>
              <w:rPr>
                <w:rFonts w:ascii="Arial"/>
                <w:sz w:val="21"/>
              </w:rPr>
            </w:pPr>
          </w:p>
        </w:tc>
        <w:tc>
          <w:tcPr>
            <w:tcW w:w="2163" w:type="dxa"/>
            <w:vAlign w:val="top"/>
          </w:tcPr>
          <w:p w14:paraId="51B29C2E">
            <w:pPr>
              <w:rPr>
                <w:rFonts w:ascii="Arial"/>
                <w:sz w:val="21"/>
              </w:rPr>
            </w:pPr>
          </w:p>
        </w:tc>
      </w:tr>
      <w:tr w14:paraId="6CDEC1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1111C71F">
            <w:pPr>
              <w:rPr>
                <w:rFonts w:ascii="Arial"/>
                <w:sz w:val="21"/>
              </w:rPr>
            </w:pPr>
          </w:p>
        </w:tc>
        <w:tc>
          <w:tcPr>
            <w:tcW w:w="2401" w:type="dxa"/>
            <w:vAlign w:val="top"/>
          </w:tcPr>
          <w:p w14:paraId="36C72DCA">
            <w:pPr>
              <w:rPr>
                <w:rFonts w:ascii="Arial"/>
                <w:sz w:val="21"/>
              </w:rPr>
            </w:pPr>
          </w:p>
        </w:tc>
        <w:tc>
          <w:tcPr>
            <w:tcW w:w="1799" w:type="dxa"/>
            <w:vAlign w:val="top"/>
          </w:tcPr>
          <w:p w14:paraId="0499B899">
            <w:pPr>
              <w:rPr>
                <w:rFonts w:ascii="Arial"/>
                <w:sz w:val="21"/>
              </w:rPr>
            </w:pPr>
          </w:p>
        </w:tc>
        <w:tc>
          <w:tcPr>
            <w:tcW w:w="1439" w:type="dxa"/>
            <w:vAlign w:val="top"/>
          </w:tcPr>
          <w:p w14:paraId="2F6C6B05">
            <w:pPr>
              <w:rPr>
                <w:rFonts w:ascii="Arial"/>
                <w:sz w:val="21"/>
              </w:rPr>
            </w:pPr>
          </w:p>
        </w:tc>
        <w:tc>
          <w:tcPr>
            <w:tcW w:w="2163" w:type="dxa"/>
            <w:vAlign w:val="top"/>
          </w:tcPr>
          <w:p w14:paraId="3AA8F160">
            <w:pPr>
              <w:rPr>
                <w:rFonts w:ascii="Arial"/>
                <w:sz w:val="21"/>
              </w:rPr>
            </w:pPr>
          </w:p>
        </w:tc>
      </w:tr>
      <w:tr w14:paraId="58665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31BD4ED3">
            <w:pPr>
              <w:rPr>
                <w:rFonts w:ascii="Arial"/>
                <w:sz w:val="21"/>
              </w:rPr>
            </w:pPr>
          </w:p>
        </w:tc>
        <w:tc>
          <w:tcPr>
            <w:tcW w:w="2401" w:type="dxa"/>
            <w:vAlign w:val="top"/>
          </w:tcPr>
          <w:p w14:paraId="01A69746">
            <w:pPr>
              <w:rPr>
                <w:rFonts w:ascii="Arial"/>
                <w:sz w:val="21"/>
              </w:rPr>
            </w:pPr>
          </w:p>
        </w:tc>
        <w:tc>
          <w:tcPr>
            <w:tcW w:w="1799" w:type="dxa"/>
            <w:vAlign w:val="top"/>
          </w:tcPr>
          <w:p w14:paraId="235878D6">
            <w:pPr>
              <w:rPr>
                <w:rFonts w:ascii="Arial"/>
                <w:sz w:val="21"/>
              </w:rPr>
            </w:pPr>
          </w:p>
        </w:tc>
        <w:tc>
          <w:tcPr>
            <w:tcW w:w="1439" w:type="dxa"/>
            <w:vAlign w:val="top"/>
          </w:tcPr>
          <w:p w14:paraId="62404252">
            <w:pPr>
              <w:rPr>
                <w:rFonts w:ascii="Arial"/>
                <w:sz w:val="21"/>
              </w:rPr>
            </w:pPr>
          </w:p>
        </w:tc>
        <w:tc>
          <w:tcPr>
            <w:tcW w:w="2163" w:type="dxa"/>
            <w:vAlign w:val="top"/>
          </w:tcPr>
          <w:p w14:paraId="6757C5B8">
            <w:pPr>
              <w:rPr>
                <w:rFonts w:ascii="Arial"/>
                <w:sz w:val="21"/>
              </w:rPr>
            </w:pPr>
          </w:p>
        </w:tc>
      </w:tr>
      <w:tr w14:paraId="72362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487FFF58">
            <w:pPr>
              <w:rPr>
                <w:rFonts w:ascii="Arial"/>
                <w:sz w:val="21"/>
              </w:rPr>
            </w:pPr>
          </w:p>
        </w:tc>
        <w:tc>
          <w:tcPr>
            <w:tcW w:w="2401" w:type="dxa"/>
            <w:vAlign w:val="top"/>
          </w:tcPr>
          <w:p w14:paraId="23BE4399">
            <w:pPr>
              <w:rPr>
                <w:rFonts w:ascii="Arial"/>
                <w:sz w:val="21"/>
              </w:rPr>
            </w:pPr>
          </w:p>
        </w:tc>
        <w:tc>
          <w:tcPr>
            <w:tcW w:w="1799" w:type="dxa"/>
            <w:vAlign w:val="top"/>
          </w:tcPr>
          <w:p w14:paraId="5D24E5F5">
            <w:pPr>
              <w:rPr>
                <w:rFonts w:ascii="Arial"/>
                <w:sz w:val="21"/>
              </w:rPr>
            </w:pPr>
          </w:p>
        </w:tc>
        <w:tc>
          <w:tcPr>
            <w:tcW w:w="1439" w:type="dxa"/>
            <w:vAlign w:val="top"/>
          </w:tcPr>
          <w:p w14:paraId="7B61CCFE">
            <w:pPr>
              <w:rPr>
                <w:rFonts w:ascii="Arial"/>
                <w:sz w:val="21"/>
              </w:rPr>
            </w:pPr>
          </w:p>
        </w:tc>
        <w:tc>
          <w:tcPr>
            <w:tcW w:w="2163" w:type="dxa"/>
            <w:vAlign w:val="top"/>
          </w:tcPr>
          <w:p w14:paraId="03EED607">
            <w:pPr>
              <w:rPr>
                <w:rFonts w:ascii="Arial"/>
                <w:sz w:val="21"/>
              </w:rPr>
            </w:pPr>
          </w:p>
        </w:tc>
      </w:tr>
      <w:tr w14:paraId="2BC02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2E6F0CE2">
            <w:pPr>
              <w:rPr>
                <w:rFonts w:ascii="Arial"/>
                <w:sz w:val="21"/>
              </w:rPr>
            </w:pPr>
          </w:p>
        </w:tc>
        <w:tc>
          <w:tcPr>
            <w:tcW w:w="2401" w:type="dxa"/>
            <w:vAlign w:val="top"/>
          </w:tcPr>
          <w:p w14:paraId="17EC7FE2">
            <w:pPr>
              <w:rPr>
                <w:rFonts w:ascii="Arial"/>
                <w:sz w:val="21"/>
              </w:rPr>
            </w:pPr>
          </w:p>
        </w:tc>
        <w:tc>
          <w:tcPr>
            <w:tcW w:w="1799" w:type="dxa"/>
            <w:vAlign w:val="top"/>
          </w:tcPr>
          <w:p w14:paraId="25AEDE06">
            <w:pPr>
              <w:rPr>
                <w:rFonts w:ascii="Arial"/>
                <w:sz w:val="21"/>
              </w:rPr>
            </w:pPr>
          </w:p>
        </w:tc>
        <w:tc>
          <w:tcPr>
            <w:tcW w:w="1439" w:type="dxa"/>
            <w:vAlign w:val="top"/>
          </w:tcPr>
          <w:p w14:paraId="15A46878">
            <w:pPr>
              <w:rPr>
                <w:rFonts w:ascii="Arial"/>
                <w:sz w:val="21"/>
              </w:rPr>
            </w:pPr>
          </w:p>
        </w:tc>
        <w:tc>
          <w:tcPr>
            <w:tcW w:w="2163" w:type="dxa"/>
            <w:vAlign w:val="top"/>
          </w:tcPr>
          <w:p w14:paraId="14C20627">
            <w:pPr>
              <w:rPr>
                <w:rFonts w:ascii="Arial"/>
                <w:sz w:val="21"/>
              </w:rPr>
            </w:pPr>
          </w:p>
        </w:tc>
      </w:tr>
      <w:tr w14:paraId="54B8F2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770" w:type="dxa"/>
            <w:vAlign w:val="top"/>
          </w:tcPr>
          <w:p w14:paraId="58A59B29">
            <w:pPr>
              <w:rPr>
                <w:rFonts w:ascii="Arial"/>
                <w:sz w:val="21"/>
              </w:rPr>
            </w:pPr>
          </w:p>
        </w:tc>
        <w:tc>
          <w:tcPr>
            <w:tcW w:w="2401" w:type="dxa"/>
            <w:vAlign w:val="top"/>
          </w:tcPr>
          <w:p w14:paraId="1DA9FDBF">
            <w:pPr>
              <w:rPr>
                <w:rFonts w:ascii="Arial"/>
                <w:sz w:val="21"/>
              </w:rPr>
            </w:pPr>
          </w:p>
        </w:tc>
        <w:tc>
          <w:tcPr>
            <w:tcW w:w="1799" w:type="dxa"/>
            <w:vAlign w:val="top"/>
          </w:tcPr>
          <w:p w14:paraId="6F2D0370">
            <w:pPr>
              <w:rPr>
                <w:rFonts w:ascii="Arial"/>
                <w:sz w:val="21"/>
              </w:rPr>
            </w:pPr>
          </w:p>
        </w:tc>
        <w:tc>
          <w:tcPr>
            <w:tcW w:w="1439" w:type="dxa"/>
            <w:vAlign w:val="top"/>
          </w:tcPr>
          <w:p w14:paraId="604523C1">
            <w:pPr>
              <w:rPr>
                <w:rFonts w:ascii="Arial"/>
                <w:sz w:val="21"/>
              </w:rPr>
            </w:pPr>
          </w:p>
        </w:tc>
        <w:tc>
          <w:tcPr>
            <w:tcW w:w="2163" w:type="dxa"/>
            <w:vAlign w:val="top"/>
          </w:tcPr>
          <w:p w14:paraId="120E7222">
            <w:pPr>
              <w:rPr>
                <w:rFonts w:ascii="Arial"/>
                <w:sz w:val="21"/>
              </w:rPr>
            </w:pPr>
          </w:p>
        </w:tc>
      </w:tr>
    </w:tbl>
    <w:p w14:paraId="7E799B50">
      <w:pPr>
        <w:spacing w:line="443" w:lineRule="auto"/>
        <w:rPr>
          <w:rFonts w:ascii="Arial"/>
          <w:sz w:val="21"/>
        </w:rPr>
      </w:pPr>
    </w:p>
    <w:p w14:paraId="7F799DA4">
      <w:pPr>
        <w:spacing w:before="65" w:line="369" w:lineRule="auto"/>
        <w:ind w:left="1066" w:hanging="943"/>
        <w:rPr>
          <w:rFonts w:ascii="宋体" w:hAnsi="宋体" w:eastAsia="宋体" w:cs="宋体"/>
          <w:sz w:val="20"/>
          <w:szCs w:val="20"/>
        </w:rPr>
      </w:pPr>
      <w:r>
        <w:rPr>
          <w:rFonts w:ascii="宋体" w:hAnsi="宋体" w:eastAsia="宋体" w:cs="宋体"/>
          <w:spacing w:val="5"/>
          <w:sz w:val="20"/>
          <w:szCs w:val="20"/>
        </w:rPr>
        <w:t>备注：</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近</w:t>
      </w:r>
      <w:r>
        <w:rPr>
          <w:rFonts w:ascii="宋体" w:hAnsi="宋体" w:eastAsia="宋体" w:cs="宋体"/>
          <w:spacing w:val="-36"/>
          <w:sz w:val="20"/>
          <w:szCs w:val="20"/>
        </w:rPr>
        <w:t xml:space="preserve"> </w:t>
      </w:r>
      <w:r>
        <w:rPr>
          <w:rFonts w:ascii="Times New Roman" w:hAnsi="Times New Roman" w:eastAsia="Times New Roman" w:cs="Times New Roman"/>
          <w:spacing w:val="5"/>
          <w:sz w:val="20"/>
          <w:szCs w:val="20"/>
        </w:rPr>
        <w:t xml:space="preserve">5 </w:t>
      </w:r>
      <w:r>
        <w:rPr>
          <w:rFonts w:ascii="宋体" w:hAnsi="宋体" w:eastAsia="宋体" w:cs="宋体"/>
          <w:spacing w:val="5"/>
          <w:sz w:val="20"/>
          <w:szCs w:val="20"/>
        </w:rPr>
        <w:t>年是指从申请截止日往前推算</w:t>
      </w:r>
      <w:r>
        <w:rPr>
          <w:rFonts w:ascii="宋体" w:hAnsi="宋体" w:eastAsia="宋体" w:cs="宋体"/>
          <w:spacing w:val="-38"/>
          <w:sz w:val="20"/>
          <w:szCs w:val="20"/>
        </w:rPr>
        <w:t xml:space="preserve"> </w:t>
      </w:r>
      <w:r>
        <w:rPr>
          <w:rFonts w:ascii="Times New Roman" w:hAnsi="Times New Roman" w:eastAsia="Times New Roman" w:cs="Times New Roman"/>
          <w:spacing w:val="5"/>
          <w:sz w:val="20"/>
          <w:szCs w:val="20"/>
        </w:rPr>
        <w:t xml:space="preserve">5 </w:t>
      </w:r>
      <w:r>
        <w:rPr>
          <w:rFonts w:ascii="宋体" w:hAnsi="宋体" w:eastAsia="宋体" w:cs="宋体"/>
          <w:spacing w:val="5"/>
          <w:sz w:val="20"/>
          <w:szCs w:val="20"/>
        </w:rPr>
        <w:t>年至投标截止日的前一日，例如申请截止日为</w:t>
      </w:r>
      <w:r>
        <w:rPr>
          <w:rFonts w:ascii="宋体" w:hAnsi="宋体" w:eastAsia="宋体" w:cs="宋体"/>
          <w:spacing w:val="-40"/>
          <w:sz w:val="20"/>
          <w:szCs w:val="20"/>
        </w:rPr>
        <w:t xml:space="preserve"> </w:t>
      </w:r>
      <w:r>
        <w:rPr>
          <w:rFonts w:ascii="Times New Roman" w:hAnsi="Times New Roman" w:eastAsia="Times New Roman" w:cs="Times New Roman"/>
          <w:spacing w:val="5"/>
          <w:sz w:val="20"/>
          <w:szCs w:val="20"/>
        </w:rPr>
        <w:t>2026</w:t>
      </w:r>
      <w:r>
        <w:rPr>
          <w:rFonts w:ascii="宋体" w:hAnsi="宋体" w:eastAsia="宋体" w:cs="宋体"/>
          <w:spacing w:val="2"/>
          <w:sz w:val="20"/>
          <w:szCs w:val="20"/>
        </w:rPr>
        <w:t>年</w:t>
      </w:r>
      <w:r>
        <w:rPr>
          <w:rFonts w:ascii="宋体" w:hAnsi="宋体" w:eastAsia="宋体" w:cs="宋体"/>
          <w:spacing w:val="-39"/>
          <w:sz w:val="20"/>
          <w:szCs w:val="20"/>
        </w:rPr>
        <w:t xml:space="preserve"> </w:t>
      </w:r>
      <w:r>
        <w:rPr>
          <w:rFonts w:ascii="Times New Roman" w:hAnsi="Times New Roman" w:eastAsia="Times New Roman" w:cs="Times New Roman"/>
          <w:spacing w:val="2"/>
          <w:sz w:val="20"/>
          <w:szCs w:val="20"/>
        </w:rPr>
        <w:t>2</w:t>
      </w:r>
      <w:r>
        <w:rPr>
          <w:rFonts w:ascii="Times New Roman" w:hAnsi="Times New Roman" w:eastAsia="Times New Roman" w:cs="Times New Roman"/>
          <w:spacing w:val="20"/>
          <w:sz w:val="20"/>
          <w:szCs w:val="20"/>
        </w:rPr>
        <w:t xml:space="preserve"> </w:t>
      </w:r>
      <w:r>
        <w:rPr>
          <w:rFonts w:ascii="宋体" w:hAnsi="宋体" w:eastAsia="宋体" w:cs="宋体"/>
          <w:spacing w:val="2"/>
          <w:sz w:val="20"/>
          <w:szCs w:val="20"/>
        </w:rPr>
        <w:t>月</w:t>
      </w:r>
      <w:r>
        <w:rPr>
          <w:rFonts w:ascii="宋体" w:hAnsi="宋体" w:eastAsia="宋体" w:cs="宋体"/>
          <w:spacing w:val="-18"/>
          <w:sz w:val="20"/>
          <w:szCs w:val="20"/>
        </w:rPr>
        <w:t xml:space="preserve"> </w:t>
      </w:r>
      <w:r>
        <w:rPr>
          <w:rFonts w:ascii="Times New Roman" w:hAnsi="Times New Roman" w:eastAsia="Times New Roman" w:cs="Times New Roman"/>
          <w:spacing w:val="2"/>
          <w:sz w:val="20"/>
          <w:szCs w:val="20"/>
        </w:rPr>
        <w:t xml:space="preserve">1  </w:t>
      </w:r>
      <w:r>
        <w:rPr>
          <w:rFonts w:ascii="宋体" w:hAnsi="宋体" w:eastAsia="宋体" w:cs="宋体"/>
          <w:spacing w:val="2"/>
          <w:sz w:val="20"/>
          <w:szCs w:val="20"/>
        </w:rPr>
        <w:t>日，投标截止日为</w:t>
      </w:r>
      <w:r>
        <w:rPr>
          <w:rFonts w:ascii="宋体" w:hAnsi="宋体" w:eastAsia="宋体" w:cs="宋体"/>
          <w:spacing w:val="-41"/>
          <w:sz w:val="20"/>
          <w:szCs w:val="20"/>
        </w:rPr>
        <w:t xml:space="preserve"> </w:t>
      </w:r>
      <w:r>
        <w:rPr>
          <w:rFonts w:ascii="Times New Roman" w:hAnsi="Times New Roman" w:eastAsia="Times New Roman" w:cs="Times New Roman"/>
          <w:spacing w:val="2"/>
          <w:sz w:val="20"/>
          <w:szCs w:val="20"/>
        </w:rPr>
        <w:t>2026</w:t>
      </w:r>
      <w:r>
        <w:rPr>
          <w:rFonts w:ascii="Times New Roman" w:hAnsi="Times New Roman" w:eastAsia="Times New Roman" w:cs="Times New Roman"/>
          <w:spacing w:val="16"/>
          <w:sz w:val="20"/>
          <w:szCs w:val="20"/>
        </w:rPr>
        <w:t xml:space="preserve"> </w:t>
      </w:r>
      <w:r>
        <w:rPr>
          <w:rFonts w:ascii="宋体" w:hAnsi="宋体" w:eastAsia="宋体" w:cs="宋体"/>
          <w:spacing w:val="2"/>
          <w:sz w:val="20"/>
          <w:szCs w:val="20"/>
        </w:rPr>
        <w:t>年</w:t>
      </w:r>
      <w:r>
        <w:rPr>
          <w:rFonts w:ascii="宋体" w:hAnsi="宋体" w:eastAsia="宋体" w:cs="宋体"/>
          <w:spacing w:val="-34"/>
          <w:sz w:val="20"/>
          <w:szCs w:val="20"/>
        </w:rPr>
        <w:t xml:space="preserve"> </w:t>
      </w:r>
      <w:r>
        <w:rPr>
          <w:rFonts w:ascii="Times New Roman" w:hAnsi="Times New Roman" w:eastAsia="Times New Roman" w:cs="Times New Roman"/>
          <w:spacing w:val="2"/>
          <w:sz w:val="20"/>
          <w:szCs w:val="20"/>
        </w:rPr>
        <w:t>3</w:t>
      </w:r>
      <w:r>
        <w:rPr>
          <w:rFonts w:ascii="Times New Roman" w:hAnsi="Times New Roman" w:eastAsia="Times New Roman" w:cs="Times New Roman"/>
          <w:spacing w:val="19"/>
          <w:sz w:val="20"/>
          <w:szCs w:val="20"/>
        </w:rPr>
        <w:t xml:space="preserve"> </w:t>
      </w:r>
      <w:r>
        <w:rPr>
          <w:rFonts w:ascii="宋体" w:hAnsi="宋体" w:eastAsia="宋体" w:cs="宋体"/>
          <w:spacing w:val="2"/>
          <w:sz w:val="20"/>
          <w:szCs w:val="20"/>
        </w:rPr>
        <w:t>月</w:t>
      </w:r>
      <w:r>
        <w:rPr>
          <w:rFonts w:ascii="宋体" w:hAnsi="宋体" w:eastAsia="宋体" w:cs="宋体"/>
          <w:spacing w:val="-30"/>
          <w:sz w:val="20"/>
          <w:szCs w:val="20"/>
        </w:rPr>
        <w:t xml:space="preserve"> </w:t>
      </w:r>
      <w:r>
        <w:rPr>
          <w:rFonts w:ascii="Times New Roman" w:hAnsi="Times New Roman" w:eastAsia="Times New Roman" w:cs="Times New Roman"/>
          <w:spacing w:val="2"/>
          <w:sz w:val="20"/>
          <w:szCs w:val="20"/>
        </w:rPr>
        <w:t xml:space="preserve">5  </w:t>
      </w:r>
      <w:r>
        <w:rPr>
          <w:rFonts w:ascii="宋体" w:hAnsi="宋体" w:eastAsia="宋体" w:cs="宋体"/>
          <w:spacing w:val="2"/>
          <w:sz w:val="20"/>
          <w:szCs w:val="20"/>
        </w:rPr>
        <w:t>日，</w:t>
      </w:r>
      <w:r>
        <w:rPr>
          <w:rFonts w:ascii="宋体" w:hAnsi="宋体" w:eastAsia="宋体" w:cs="宋体"/>
          <w:spacing w:val="1"/>
          <w:sz w:val="20"/>
          <w:szCs w:val="20"/>
        </w:rPr>
        <w:t>则近</w:t>
      </w:r>
      <w:r>
        <w:rPr>
          <w:rFonts w:ascii="宋体" w:hAnsi="宋体" w:eastAsia="宋体" w:cs="宋体"/>
          <w:spacing w:val="-33"/>
          <w:sz w:val="20"/>
          <w:szCs w:val="20"/>
        </w:rPr>
        <w:t xml:space="preserve"> </w:t>
      </w:r>
      <w:r>
        <w:rPr>
          <w:rFonts w:ascii="Times New Roman" w:hAnsi="Times New Roman" w:eastAsia="Times New Roman" w:cs="Times New Roman"/>
          <w:spacing w:val="1"/>
          <w:sz w:val="20"/>
          <w:szCs w:val="20"/>
        </w:rPr>
        <w:t>5</w:t>
      </w:r>
      <w:r>
        <w:rPr>
          <w:rFonts w:ascii="Times New Roman" w:hAnsi="Times New Roman" w:eastAsia="Times New Roman" w:cs="Times New Roman"/>
          <w:spacing w:val="16"/>
          <w:sz w:val="20"/>
          <w:szCs w:val="20"/>
        </w:rPr>
        <w:t xml:space="preserve"> </w:t>
      </w:r>
      <w:r>
        <w:rPr>
          <w:rFonts w:ascii="宋体" w:hAnsi="宋体" w:eastAsia="宋体" w:cs="宋体"/>
          <w:spacing w:val="1"/>
          <w:sz w:val="20"/>
          <w:szCs w:val="20"/>
        </w:rPr>
        <w:t>年是指</w:t>
      </w:r>
      <w:r>
        <w:rPr>
          <w:rFonts w:ascii="宋体" w:hAnsi="宋体" w:eastAsia="宋体" w:cs="宋体"/>
          <w:spacing w:val="-36"/>
          <w:sz w:val="20"/>
          <w:szCs w:val="20"/>
        </w:rPr>
        <w:t xml:space="preserve"> </w:t>
      </w:r>
      <w:r>
        <w:rPr>
          <w:rFonts w:ascii="Times New Roman" w:hAnsi="Times New Roman" w:eastAsia="Times New Roman" w:cs="Times New Roman"/>
          <w:spacing w:val="1"/>
          <w:sz w:val="20"/>
          <w:szCs w:val="20"/>
        </w:rPr>
        <w:t xml:space="preserve">2021 </w:t>
      </w:r>
      <w:r>
        <w:rPr>
          <w:rFonts w:ascii="宋体" w:hAnsi="宋体" w:eastAsia="宋体" w:cs="宋体"/>
          <w:spacing w:val="1"/>
          <w:sz w:val="20"/>
          <w:szCs w:val="20"/>
        </w:rPr>
        <w:t>年</w:t>
      </w:r>
      <w:r>
        <w:rPr>
          <w:rFonts w:ascii="宋体" w:hAnsi="宋体" w:eastAsia="宋体" w:cs="宋体"/>
          <w:spacing w:val="-36"/>
          <w:sz w:val="20"/>
          <w:szCs w:val="20"/>
        </w:rPr>
        <w:t xml:space="preserve"> </w:t>
      </w:r>
      <w:r>
        <w:rPr>
          <w:rFonts w:ascii="Times New Roman" w:hAnsi="Times New Roman" w:eastAsia="Times New Roman" w:cs="Times New Roman"/>
          <w:spacing w:val="1"/>
          <w:sz w:val="20"/>
          <w:szCs w:val="20"/>
        </w:rPr>
        <w:t>2</w:t>
      </w:r>
      <w:r>
        <w:rPr>
          <w:rFonts w:ascii="Times New Roman" w:hAnsi="Times New Roman" w:eastAsia="Times New Roman" w:cs="Times New Roman"/>
          <w:spacing w:val="19"/>
          <w:w w:val="101"/>
          <w:sz w:val="20"/>
          <w:szCs w:val="20"/>
        </w:rPr>
        <w:t xml:space="preserve"> </w:t>
      </w:r>
      <w:r>
        <w:rPr>
          <w:rFonts w:ascii="宋体" w:hAnsi="宋体" w:eastAsia="宋体" w:cs="宋体"/>
          <w:spacing w:val="1"/>
          <w:sz w:val="20"/>
          <w:szCs w:val="20"/>
        </w:rPr>
        <w:t>月</w:t>
      </w:r>
      <w:r>
        <w:rPr>
          <w:rFonts w:ascii="宋体" w:hAnsi="宋体" w:eastAsia="宋体" w:cs="宋体"/>
          <w:spacing w:val="-18"/>
          <w:sz w:val="20"/>
          <w:szCs w:val="20"/>
        </w:rPr>
        <w:t xml:space="preserve"> </w:t>
      </w:r>
      <w:r>
        <w:rPr>
          <w:rFonts w:ascii="Times New Roman" w:hAnsi="Times New Roman" w:eastAsia="Times New Roman" w:cs="Times New Roman"/>
          <w:spacing w:val="1"/>
          <w:sz w:val="20"/>
          <w:szCs w:val="20"/>
        </w:rPr>
        <w:t xml:space="preserve">1  </w:t>
      </w:r>
      <w:r>
        <w:rPr>
          <w:rFonts w:ascii="宋体" w:hAnsi="宋体" w:eastAsia="宋体" w:cs="宋体"/>
          <w:spacing w:val="1"/>
          <w:sz w:val="20"/>
          <w:szCs w:val="20"/>
        </w:rPr>
        <w:t>日至</w:t>
      </w:r>
      <w:r>
        <w:rPr>
          <w:rFonts w:ascii="宋体" w:hAnsi="宋体" w:eastAsia="宋体" w:cs="宋体"/>
          <w:spacing w:val="-36"/>
          <w:sz w:val="20"/>
          <w:szCs w:val="20"/>
        </w:rPr>
        <w:t xml:space="preserve"> </w:t>
      </w:r>
      <w:r>
        <w:rPr>
          <w:rFonts w:ascii="Times New Roman" w:hAnsi="Times New Roman" w:eastAsia="Times New Roman" w:cs="Times New Roman"/>
          <w:spacing w:val="1"/>
          <w:sz w:val="20"/>
          <w:szCs w:val="20"/>
        </w:rPr>
        <w:t>2026</w:t>
      </w:r>
      <w:r>
        <w:rPr>
          <w:rFonts w:ascii="宋体" w:hAnsi="宋体" w:eastAsia="宋体" w:cs="宋体"/>
          <w:spacing w:val="-6"/>
          <w:sz w:val="20"/>
          <w:szCs w:val="20"/>
        </w:rPr>
        <w:t>年</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17"/>
          <w:sz w:val="20"/>
          <w:szCs w:val="20"/>
        </w:rPr>
        <w:t xml:space="preserve"> </w:t>
      </w:r>
      <w:r>
        <w:rPr>
          <w:rFonts w:ascii="宋体" w:hAnsi="宋体" w:eastAsia="宋体" w:cs="宋体"/>
          <w:spacing w:val="-6"/>
          <w:sz w:val="20"/>
          <w:szCs w:val="20"/>
        </w:rPr>
        <w:t>月</w:t>
      </w:r>
      <w:r>
        <w:rPr>
          <w:rFonts w:ascii="宋体" w:hAnsi="宋体" w:eastAsia="宋体" w:cs="宋体"/>
          <w:spacing w:val="-44"/>
          <w:sz w:val="20"/>
          <w:szCs w:val="20"/>
        </w:rPr>
        <w:t xml:space="preserve"> </w:t>
      </w:r>
      <w:r>
        <w:rPr>
          <w:rFonts w:ascii="Times New Roman" w:hAnsi="Times New Roman" w:eastAsia="Times New Roman" w:cs="Times New Roman"/>
          <w:spacing w:val="-6"/>
          <w:sz w:val="20"/>
          <w:szCs w:val="20"/>
        </w:rPr>
        <w:t xml:space="preserve">4  </w:t>
      </w:r>
      <w:r>
        <w:rPr>
          <w:rFonts w:ascii="宋体" w:hAnsi="宋体" w:eastAsia="宋体" w:cs="宋体"/>
          <w:spacing w:val="-6"/>
          <w:sz w:val="20"/>
          <w:szCs w:val="20"/>
        </w:rPr>
        <w:t>日。</w:t>
      </w:r>
    </w:p>
    <w:p w14:paraId="3850C518">
      <w:pPr>
        <w:spacing w:before="1" w:line="369" w:lineRule="auto"/>
        <w:ind w:left="1064" w:right="1" w:hanging="317"/>
        <w:rPr>
          <w:rFonts w:ascii="宋体" w:hAnsi="宋体" w:eastAsia="宋体" w:cs="宋体"/>
          <w:sz w:val="20"/>
          <w:szCs w:val="20"/>
        </w:rPr>
      </w:pPr>
      <w:r>
        <w:rPr>
          <w:rFonts w:ascii="Times New Roman" w:hAnsi="Times New Roman" w:eastAsia="Times New Roman" w:cs="Times New Roman"/>
          <w:spacing w:val="5"/>
          <w:sz w:val="20"/>
          <w:szCs w:val="20"/>
        </w:rPr>
        <w:t xml:space="preserve">2.  </w:t>
      </w:r>
      <w:r>
        <w:rPr>
          <w:rFonts w:ascii="宋体" w:hAnsi="宋体" w:eastAsia="宋体" w:cs="宋体"/>
          <w:spacing w:val="5"/>
          <w:sz w:val="20"/>
          <w:szCs w:val="20"/>
        </w:rPr>
        <w:t>本表后应附中标通知书（如有）、合同协议书、施工许可证（如有）、工程接收证书或工</w:t>
      </w:r>
      <w:r>
        <w:rPr>
          <w:rFonts w:ascii="宋体" w:hAnsi="宋体" w:eastAsia="宋体" w:cs="宋体"/>
          <w:spacing w:val="9"/>
          <w:sz w:val="20"/>
          <w:szCs w:val="20"/>
        </w:rPr>
        <w:t>程竣工验收证书（工程竣工验收备案证）、表彰文件、获奖证书及其他证明材料等扫描件。招标发包的工程应附中标通知书。以表彰文件、获奖证书的颁发时间为准。</w:t>
      </w:r>
    </w:p>
    <w:p w14:paraId="6F6958AD">
      <w:pPr>
        <w:spacing w:before="11" w:line="227" w:lineRule="auto"/>
        <w:ind w:left="752"/>
        <w:rPr>
          <w:rFonts w:ascii="宋体" w:hAnsi="宋体" w:eastAsia="宋体" w:cs="宋体"/>
          <w:sz w:val="20"/>
          <w:szCs w:val="20"/>
        </w:rPr>
      </w:pP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颁奖单位应当是国家机关或民政部门注册登记的合法单位。</w:t>
      </w:r>
    </w:p>
    <w:p w14:paraId="570D7818">
      <w:pPr>
        <w:spacing w:line="227" w:lineRule="auto"/>
        <w:rPr>
          <w:rFonts w:ascii="宋体" w:hAnsi="宋体" w:eastAsia="宋体" w:cs="宋体"/>
          <w:sz w:val="20"/>
          <w:szCs w:val="20"/>
        </w:rPr>
        <w:sectPr>
          <w:footerReference r:id="rId547" w:type="default"/>
          <w:pgSz w:w="11907" w:h="16840"/>
          <w:pgMar w:top="400" w:right="1530" w:bottom="1247" w:left="1361" w:header="0" w:footer="1085" w:gutter="0"/>
          <w:cols w:space="720" w:num="1"/>
        </w:sectPr>
      </w:pPr>
    </w:p>
    <w:p w14:paraId="64F94898">
      <w:pPr>
        <w:spacing w:line="265" w:lineRule="auto"/>
        <w:rPr>
          <w:rFonts w:ascii="Arial"/>
          <w:sz w:val="21"/>
        </w:rPr>
      </w:pPr>
    </w:p>
    <w:p w14:paraId="0A4A3D1D">
      <w:pPr>
        <w:spacing w:line="265" w:lineRule="auto"/>
        <w:rPr>
          <w:rFonts w:ascii="Arial"/>
          <w:sz w:val="21"/>
        </w:rPr>
      </w:pPr>
    </w:p>
    <w:p w14:paraId="708DF1B4">
      <w:pPr>
        <w:spacing w:line="266" w:lineRule="auto"/>
        <w:rPr>
          <w:rFonts w:ascii="Arial"/>
          <w:sz w:val="21"/>
        </w:rPr>
      </w:pPr>
    </w:p>
    <w:p w14:paraId="58CA8D18">
      <w:pPr>
        <w:spacing w:line="266" w:lineRule="auto"/>
        <w:rPr>
          <w:rFonts w:ascii="Arial"/>
          <w:sz w:val="21"/>
        </w:rPr>
      </w:pPr>
    </w:p>
    <w:p w14:paraId="1AA624CE">
      <w:pPr>
        <w:spacing w:line="266" w:lineRule="auto"/>
        <w:rPr>
          <w:rFonts w:ascii="Arial"/>
          <w:sz w:val="21"/>
        </w:rPr>
      </w:pPr>
    </w:p>
    <w:p w14:paraId="7FDB4081">
      <w:pPr>
        <w:pStyle w:val="2"/>
        <w:spacing w:before="78" w:line="222" w:lineRule="auto"/>
        <w:ind w:left="2826"/>
        <w:outlineLvl w:val="2"/>
        <w:rPr>
          <w:sz w:val="24"/>
          <w:szCs w:val="24"/>
        </w:rPr>
      </w:pPr>
      <w:bookmarkStart w:id="452" w:name="bookmark428"/>
      <w:bookmarkEnd w:id="452"/>
      <w:r>
        <w:rPr>
          <w:rFonts w:ascii="Times New Roman" w:hAnsi="Times New Roman" w:eastAsia="Times New Roman" w:cs="Times New Roman"/>
          <w:spacing w:val="-2"/>
          <w:sz w:val="24"/>
          <w:szCs w:val="24"/>
        </w:rPr>
        <w:t xml:space="preserve">5-5 </w:t>
      </w:r>
      <w:r>
        <w:rPr>
          <w:spacing w:val="-2"/>
          <w:sz w:val="24"/>
          <w:szCs w:val="24"/>
        </w:rPr>
        <w:t>近</w:t>
      </w:r>
      <w:r>
        <w:rPr>
          <w:spacing w:val="-40"/>
          <w:sz w:val="24"/>
          <w:szCs w:val="24"/>
        </w:rPr>
        <w:t xml:space="preserve"> </w:t>
      </w:r>
      <w:r>
        <w:rPr>
          <w:rFonts w:ascii="Times New Roman" w:hAnsi="Times New Roman" w:eastAsia="Times New Roman" w:cs="Times New Roman"/>
          <w:spacing w:val="-2"/>
          <w:sz w:val="24"/>
          <w:szCs w:val="24"/>
        </w:rPr>
        <w:t xml:space="preserve">5 </w:t>
      </w:r>
      <w:r>
        <w:rPr>
          <w:spacing w:val="-2"/>
          <w:sz w:val="24"/>
          <w:szCs w:val="24"/>
        </w:rPr>
        <w:t>年项目经理获表彰情况表</w:t>
      </w:r>
    </w:p>
    <w:p w14:paraId="3A3FEC97">
      <w:pPr>
        <w:spacing w:before="195"/>
      </w:pPr>
    </w:p>
    <w:tbl>
      <w:tblPr>
        <w:tblStyle w:val="5"/>
        <w:tblW w:w="85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3480"/>
        <w:gridCol w:w="1799"/>
        <w:gridCol w:w="2523"/>
      </w:tblGrid>
      <w:tr w14:paraId="48156E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vAlign w:val="top"/>
          </w:tcPr>
          <w:p w14:paraId="7D547ED7">
            <w:pPr>
              <w:pStyle w:val="6"/>
              <w:spacing w:before="165" w:line="229" w:lineRule="auto"/>
              <w:ind w:left="179"/>
            </w:pPr>
            <w:r>
              <w:rPr>
                <w:spacing w:val="5"/>
              </w:rPr>
              <w:t>序号</w:t>
            </w:r>
          </w:p>
        </w:tc>
        <w:tc>
          <w:tcPr>
            <w:tcW w:w="3480" w:type="dxa"/>
            <w:vAlign w:val="top"/>
          </w:tcPr>
          <w:p w14:paraId="464BF426">
            <w:pPr>
              <w:pStyle w:val="6"/>
              <w:spacing w:before="164" w:line="228" w:lineRule="auto"/>
              <w:ind w:left="1328"/>
            </w:pPr>
            <w:r>
              <w:rPr>
                <w:spacing w:val="6"/>
              </w:rPr>
              <w:t>获奖名称</w:t>
            </w:r>
          </w:p>
        </w:tc>
        <w:tc>
          <w:tcPr>
            <w:tcW w:w="1799" w:type="dxa"/>
            <w:vAlign w:val="top"/>
          </w:tcPr>
          <w:p w14:paraId="4165FA07">
            <w:pPr>
              <w:pStyle w:val="6"/>
              <w:spacing w:before="164" w:line="228" w:lineRule="auto"/>
              <w:ind w:left="488"/>
            </w:pPr>
            <w:r>
              <w:rPr>
                <w:spacing w:val="6"/>
              </w:rPr>
              <w:t>获奖日期</w:t>
            </w:r>
          </w:p>
        </w:tc>
        <w:tc>
          <w:tcPr>
            <w:tcW w:w="2523" w:type="dxa"/>
            <w:vAlign w:val="top"/>
          </w:tcPr>
          <w:p w14:paraId="1920D153">
            <w:pPr>
              <w:pStyle w:val="6"/>
              <w:spacing w:before="165" w:line="228" w:lineRule="auto"/>
              <w:ind w:left="846"/>
            </w:pPr>
            <w:r>
              <w:rPr>
                <w:spacing w:val="7"/>
              </w:rPr>
              <w:t>颁奖单位</w:t>
            </w:r>
          </w:p>
        </w:tc>
      </w:tr>
      <w:tr w14:paraId="5B2A2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2FF57BFD">
            <w:pPr>
              <w:rPr>
                <w:rFonts w:ascii="Arial"/>
                <w:sz w:val="21"/>
              </w:rPr>
            </w:pPr>
          </w:p>
        </w:tc>
        <w:tc>
          <w:tcPr>
            <w:tcW w:w="3480" w:type="dxa"/>
            <w:vAlign w:val="top"/>
          </w:tcPr>
          <w:p w14:paraId="6D05D93B">
            <w:pPr>
              <w:rPr>
                <w:rFonts w:ascii="Arial"/>
                <w:sz w:val="21"/>
              </w:rPr>
            </w:pPr>
          </w:p>
        </w:tc>
        <w:tc>
          <w:tcPr>
            <w:tcW w:w="1799" w:type="dxa"/>
            <w:vAlign w:val="top"/>
          </w:tcPr>
          <w:p w14:paraId="185D8F43">
            <w:pPr>
              <w:rPr>
                <w:rFonts w:ascii="Arial"/>
                <w:sz w:val="21"/>
              </w:rPr>
            </w:pPr>
          </w:p>
        </w:tc>
        <w:tc>
          <w:tcPr>
            <w:tcW w:w="2523" w:type="dxa"/>
            <w:vAlign w:val="top"/>
          </w:tcPr>
          <w:p w14:paraId="6AC4D13D">
            <w:pPr>
              <w:rPr>
                <w:rFonts w:ascii="Arial"/>
                <w:sz w:val="21"/>
              </w:rPr>
            </w:pPr>
          </w:p>
        </w:tc>
      </w:tr>
      <w:tr w14:paraId="0A0644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6BE4A865">
            <w:pPr>
              <w:rPr>
                <w:rFonts w:ascii="Arial"/>
                <w:sz w:val="21"/>
              </w:rPr>
            </w:pPr>
          </w:p>
        </w:tc>
        <w:tc>
          <w:tcPr>
            <w:tcW w:w="3480" w:type="dxa"/>
            <w:vAlign w:val="top"/>
          </w:tcPr>
          <w:p w14:paraId="178DA572">
            <w:pPr>
              <w:rPr>
                <w:rFonts w:ascii="Arial"/>
                <w:sz w:val="21"/>
              </w:rPr>
            </w:pPr>
          </w:p>
        </w:tc>
        <w:tc>
          <w:tcPr>
            <w:tcW w:w="1799" w:type="dxa"/>
            <w:vAlign w:val="top"/>
          </w:tcPr>
          <w:p w14:paraId="090B3E2E">
            <w:pPr>
              <w:rPr>
                <w:rFonts w:ascii="Arial"/>
                <w:sz w:val="21"/>
              </w:rPr>
            </w:pPr>
          </w:p>
        </w:tc>
        <w:tc>
          <w:tcPr>
            <w:tcW w:w="2523" w:type="dxa"/>
            <w:vAlign w:val="top"/>
          </w:tcPr>
          <w:p w14:paraId="6EC64E45">
            <w:pPr>
              <w:rPr>
                <w:rFonts w:ascii="Arial"/>
                <w:sz w:val="21"/>
              </w:rPr>
            </w:pPr>
          </w:p>
        </w:tc>
      </w:tr>
      <w:tr w14:paraId="21FDD1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13D0F295">
            <w:pPr>
              <w:rPr>
                <w:rFonts w:ascii="Arial"/>
                <w:sz w:val="21"/>
              </w:rPr>
            </w:pPr>
          </w:p>
        </w:tc>
        <w:tc>
          <w:tcPr>
            <w:tcW w:w="3480" w:type="dxa"/>
            <w:vAlign w:val="top"/>
          </w:tcPr>
          <w:p w14:paraId="544628D4">
            <w:pPr>
              <w:rPr>
                <w:rFonts w:ascii="Arial"/>
                <w:sz w:val="21"/>
              </w:rPr>
            </w:pPr>
          </w:p>
        </w:tc>
        <w:tc>
          <w:tcPr>
            <w:tcW w:w="1799" w:type="dxa"/>
            <w:vAlign w:val="top"/>
          </w:tcPr>
          <w:p w14:paraId="02DDA7C4">
            <w:pPr>
              <w:rPr>
                <w:rFonts w:ascii="Arial"/>
                <w:sz w:val="21"/>
              </w:rPr>
            </w:pPr>
          </w:p>
        </w:tc>
        <w:tc>
          <w:tcPr>
            <w:tcW w:w="2523" w:type="dxa"/>
            <w:vAlign w:val="top"/>
          </w:tcPr>
          <w:p w14:paraId="3D027D68">
            <w:pPr>
              <w:rPr>
                <w:rFonts w:ascii="Arial"/>
                <w:sz w:val="21"/>
              </w:rPr>
            </w:pPr>
          </w:p>
        </w:tc>
      </w:tr>
      <w:tr w14:paraId="0D642A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2D1B62D0">
            <w:pPr>
              <w:rPr>
                <w:rFonts w:ascii="Arial"/>
                <w:sz w:val="21"/>
              </w:rPr>
            </w:pPr>
          </w:p>
        </w:tc>
        <w:tc>
          <w:tcPr>
            <w:tcW w:w="3480" w:type="dxa"/>
            <w:vAlign w:val="top"/>
          </w:tcPr>
          <w:p w14:paraId="04D50DAB">
            <w:pPr>
              <w:rPr>
                <w:rFonts w:ascii="Arial"/>
                <w:sz w:val="21"/>
              </w:rPr>
            </w:pPr>
          </w:p>
        </w:tc>
        <w:tc>
          <w:tcPr>
            <w:tcW w:w="1799" w:type="dxa"/>
            <w:vAlign w:val="top"/>
          </w:tcPr>
          <w:p w14:paraId="5BC67169">
            <w:pPr>
              <w:rPr>
                <w:rFonts w:ascii="Arial"/>
                <w:sz w:val="21"/>
              </w:rPr>
            </w:pPr>
          </w:p>
        </w:tc>
        <w:tc>
          <w:tcPr>
            <w:tcW w:w="2523" w:type="dxa"/>
            <w:vAlign w:val="top"/>
          </w:tcPr>
          <w:p w14:paraId="7905719A">
            <w:pPr>
              <w:rPr>
                <w:rFonts w:ascii="Arial"/>
                <w:sz w:val="21"/>
              </w:rPr>
            </w:pPr>
          </w:p>
        </w:tc>
      </w:tr>
      <w:tr w14:paraId="0543F7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27FAD2DF">
            <w:pPr>
              <w:rPr>
                <w:rFonts w:ascii="Arial"/>
                <w:sz w:val="21"/>
              </w:rPr>
            </w:pPr>
          </w:p>
        </w:tc>
        <w:tc>
          <w:tcPr>
            <w:tcW w:w="3480" w:type="dxa"/>
            <w:vAlign w:val="top"/>
          </w:tcPr>
          <w:p w14:paraId="5514B40E">
            <w:pPr>
              <w:rPr>
                <w:rFonts w:ascii="Arial"/>
                <w:sz w:val="21"/>
              </w:rPr>
            </w:pPr>
          </w:p>
        </w:tc>
        <w:tc>
          <w:tcPr>
            <w:tcW w:w="1799" w:type="dxa"/>
            <w:vAlign w:val="top"/>
          </w:tcPr>
          <w:p w14:paraId="0291A7C5">
            <w:pPr>
              <w:rPr>
                <w:rFonts w:ascii="Arial"/>
                <w:sz w:val="21"/>
              </w:rPr>
            </w:pPr>
          </w:p>
        </w:tc>
        <w:tc>
          <w:tcPr>
            <w:tcW w:w="2523" w:type="dxa"/>
            <w:vAlign w:val="top"/>
          </w:tcPr>
          <w:p w14:paraId="113D73ED">
            <w:pPr>
              <w:rPr>
                <w:rFonts w:ascii="Arial"/>
                <w:sz w:val="21"/>
              </w:rPr>
            </w:pPr>
          </w:p>
        </w:tc>
      </w:tr>
      <w:tr w14:paraId="7D261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62FED715">
            <w:pPr>
              <w:rPr>
                <w:rFonts w:ascii="Arial"/>
                <w:sz w:val="21"/>
              </w:rPr>
            </w:pPr>
          </w:p>
        </w:tc>
        <w:tc>
          <w:tcPr>
            <w:tcW w:w="3480" w:type="dxa"/>
            <w:vAlign w:val="top"/>
          </w:tcPr>
          <w:p w14:paraId="0E74A35C">
            <w:pPr>
              <w:rPr>
                <w:rFonts w:ascii="Arial"/>
                <w:sz w:val="21"/>
              </w:rPr>
            </w:pPr>
          </w:p>
        </w:tc>
        <w:tc>
          <w:tcPr>
            <w:tcW w:w="1799" w:type="dxa"/>
            <w:vAlign w:val="top"/>
          </w:tcPr>
          <w:p w14:paraId="670FED8C">
            <w:pPr>
              <w:rPr>
                <w:rFonts w:ascii="Arial"/>
                <w:sz w:val="21"/>
              </w:rPr>
            </w:pPr>
          </w:p>
        </w:tc>
        <w:tc>
          <w:tcPr>
            <w:tcW w:w="2523" w:type="dxa"/>
            <w:vAlign w:val="top"/>
          </w:tcPr>
          <w:p w14:paraId="70B799E8">
            <w:pPr>
              <w:rPr>
                <w:rFonts w:ascii="Arial"/>
                <w:sz w:val="21"/>
              </w:rPr>
            </w:pPr>
          </w:p>
        </w:tc>
      </w:tr>
      <w:tr w14:paraId="4E384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3466E925">
            <w:pPr>
              <w:rPr>
                <w:rFonts w:ascii="Arial"/>
                <w:sz w:val="21"/>
              </w:rPr>
            </w:pPr>
          </w:p>
        </w:tc>
        <w:tc>
          <w:tcPr>
            <w:tcW w:w="3480" w:type="dxa"/>
            <w:vAlign w:val="top"/>
          </w:tcPr>
          <w:p w14:paraId="0CCB1348">
            <w:pPr>
              <w:rPr>
                <w:rFonts w:ascii="Arial"/>
                <w:sz w:val="21"/>
              </w:rPr>
            </w:pPr>
          </w:p>
        </w:tc>
        <w:tc>
          <w:tcPr>
            <w:tcW w:w="1799" w:type="dxa"/>
            <w:vAlign w:val="top"/>
          </w:tcPr>
          <w:p w14:paraId="69A50781">
            <w:pPr>
              <w:rPr>
                <w:rFonts w:ascii="Arial"/>
                <w:sz w:val="21"/>
              </w:rPr>
            </w:pPr>
          </w:p>
        </w:tc>
        <w:tc>
          <w:tcPr>
            <w:tcW w:w="2523" w:type="dxa"/>
            <w:vAlign w:val="top"/>
          </w:tcPr>
          <w:p w14:paraId="046CB9B2">
            <w:pPr>
              <w:rPr>
                <w:rFonts w:ascii="Arial"/>
                <w:sz w:val="21"/>
              </w:rPr>
            </w:pPr>
          </w:p>
        </w:tc>
      </w:tr>
      <w:tr w14:paraId="66357E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673EADCA">
            <w:pPr>
              <w:rPr>
                <w:rFonts w:ascii="Arial"/>
                <w:sz w:val="21"/>
              </w:rPr>
            </w:pPr>
          </w:p>
        </w:tc>
        <w:tc>
          <w:tcPr>
            <w:tcW w:w="3480" w:type="dxa"/>
            <w:vAlign w:val="top"/>
          </w:tcPr>
          <w:p w14:paraId="7BE05BE9">
            <w:pPr>
              <w:rPr>
                <w:rFonts w:ascii="Arial"/>
                <w:sz w:val="21"/>
              </w:rPr>
            </w:pPr>
          </w:p>
        </w:tc>
        <w:tc>
          <w:tcPr>
            <w:tcW w:w="1799" w:type="dxa"/>
            <w:vAlign w:val="top"/>
          </w:tcPr>
          <w:p w14:paraId="1DAA1ABF">
            <w:pPr>
              <w:rPr>
                <w:rFonts w:ascii="Arial"/>
                <w:sz w:val="21"/>
              </w:rPr>
            </w:pPr>
          </w:p>
        </w:tc>
        <w:tc>
          <w:tcPr>
            <w:tcW w:w="2523" w:type="dxa"/>
            <w:vAlign w:val="top"/>
          </w:tcPr>
          <w:p w14:paraId="7F7600EE">
            <w:pPr>
              <w:rPr>
                <w:rFonts w:ascii="Arial"/>
                <w:sz w:val="21"/>
              </w:rPr>
            </w:pPr>
          </w:p>
        </w:tc>
      </w:tr>
      <w:tr w14:paraId="268EF8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770" w:type="dxa"/>
            <w:vAlign w:val="top"/>
          </w:tcPr>
          <w:p w14:paraId="02507CCB">
            <w:pPr>
              <w:rPr>
                <w:rFonts w:ascii="Arial"/>
                <w:sz w:val="21"/>
              </w:rPr>
            </w:pPr>
          </w:p>
        </w:tc>
        <w:tc>
          <w:tcPr>
            <w:tcW w:w="3480" w:type="dxa"/>
            <w:vAlign w:val="top"/>
          </w:tcPr>
          <w:p w14:paraId="60D89C88">
            <w:pPr>
              <w:rPr>
                <w:rFonts w:ascii="Arial"/>
                <w:sz w:val="21"/>
              </w:rPr>
            </w:pPr>
          </w:p>
        </w:tc>
        <w:tc>
          <w:tcPr>
            <w:tcW w:w="1799" w:type="dxa"/>
            <w:vAlign w:val="top"/>
          </w:tcPr>
          <w:p w14:paraId="51444D1F">
            <w:pPr>
              <w:rPr>
                <w:rFonts w:ascii="Arial"/>
                <w:sz w:val="21"/>
              </w:rPr>
            </w:pPr>
          </w:p>
        </w:tc>
        <w:tc>
          <w:tcPr>
            <w:tcW w:w="2523" w:type="dxa"/>
            <w:vAlign w:val="top"/>
          </w:tcPr>
          <w:p w14:paraId="381A30ED">
            <w:pPr>
              <w:rPr>
                <w:rFonts w:ascii="Arial"/>
                <w:sz w:val="21"/>
              </w:rPr>
            </w:pPr>
          </w:p>
        </w:tc>
      </w:tr>
    </w:tbl>
    <w:p w14:paraId="0626C5BD">
      <w:pPr>
        <w:spacing w:line="266" w:lineRule="auto"/>
        <w:rPr>
          <w:rFonts w:ascii="Arial"/>
          <w:sz w:val="21"/>
        </w:rPr>
      </w:pPr>
    </w:p>
    <w:p w14:paraId="22F63DB4">
      <w:pPr>
        <w:spacing w:line="266" w:lineRule="auto"/>
        <w:rPr>
          <w:rFonts w:ascii="Arial"/>
          <w:sz w:val="21"/>
        </w:rPr>
      </w:pPr>
    </w:p>
    <w:p w14:paraId="50EFC1E8">
      <w:pPr>
        <w:spacing w:before="65" w:line="369" w:lineRule="auto"/>
        <w:ind w:left="908" w:hanging="785"/>
        <w:rPr>
          <w:rFonts w:ascii="宋体" w:hAnsi="宋体" w:eastAsia="宋体" w:cs="宋体"/>
          <w:sz w:val="20"/>
          <w:szCs w:val="20"/>
        </w:rPr>
      </w:pPr>
      <w:r>
        <w:rPr>
          <w:rFonts w:ascii="宋体" w:hAnsi="宋体" w:eastAsia="宋体" w:cs="宋体"/>
          <w:spacing w:val="9"/>
          <w:sz w:val="20"/>
          <w:szCs w:val="20"/>
        </w:rPr>
        <w:t>备注：</w:t>
      </w:r>
      <w:r>
        <w:rPr>
          <w:rFonts w:ascii="宋体" w:hAnsi="宋体" w:eastAsia="宋体" w:cs="宋体"/>
          <w:spacing w:val="-60"/>
          <w:sz w:val="20"/>
          <w:szCs w:val="20"/>
        </w:rPr>
        <w:t xml:space="preserve"> </w:t>
      </w:r>
      <w:r>
        <w:rPr>
          <w:rFonts w:ascii="Times New Roman" w:hAnsi="Times New Roman" w:eastAsia="Times New Roman" w:cs="Times New Roman"/>
          <w:spacing w:val="9"/>
          <w:sz w:val="20"/>
          <w:szCs w:val="20"/>
        </w:rPr>
        <w:t>1.</w:t>
      </w:r>
      <w:r>
        <w:rPr>
          <w:rFonts w:ascii="宋体" w:hAnsi="宋体" w:eastAsia="宋体" w:cs="宋体"/>
          <w:spacing w:val="9"/>
          <w:sz w:val="20"/>
          <w:szCs w:val="20"/>
        </w:rPr>
        <w:t>近</w:t>
      </w:r>
      <w:r>
        <w:rPr>
          <w:rFonts w:ascii="宋体" w:hAnsi="宋体" w:eastAsia="宋体" w:cs="宋体"/>
          <w:spacing w:val="-33"/>
          <w:sz w:val="20"/>
          <w:szCs w:val="20"/>
        </w:rPr>
        <w:t xml:space="preserve"> </w:t>
      </w:r>
      <w:r>
        <w:rPr>
          <w:rFonts w:ascii="Times New Roman" w:hAnsi="Times New Roman" w:eastAsia="Times New Roman" w:cs="Times New Roman"/>
          <w:spacing w:val="9"/>
          <w:sz w:val="20"/>
          <w:szCs w:val="20"/>
        </w:rPr>
        <w:t xml:space="preserve">5 </w:t>
      </w:r>
      <w:r>
        <w:rPr>
          <w:rFonts w:ascii="宋体" w:hAnsi="宋体" w:eastAsia="宋体" w:cs="宋体"/>
          <w:spacing w:val="9"/>
          <w:sz w:val="20"/>
          <w:szCs w:val="20"/>
        </w:rPr>
        <w:t>年是指从申请截止日往前推算</w:t>
      </w:r>
      <w:r>
        <w:rPr>
          <w:rFonts w:ascii="宋体" w:hAnsi="宋体" w:eastAsia="宋体" w:cs="宋体"/>
          <w:spacing w:val="-35"/>
          <w:sz w:val="20"/>
          <w:szCs w:val="20"/>
        </w:rPr>
        <w:t xml:space="preserve"> </w:t>
      </w:r>
      <w:r>
        <w:rPr>
          <w:rFonts w:ascii="Times New Roman" w:hAnsi="Times New Roman" w:eastAsia="Times New Roman" w:cs="Times New Roman"/>
          <w:spacing w:val="9"/>
          <w:sz w:val="20"/>
          <w:szCs w:val="20"/>
        </w:rPr>
        <w:t xml:space="preserve">5 </w:t>
      </w:r>
      <w:r>
        <w:rPr>
          <w:rFonts w:ascii="宋体" w:hAnsi="宋体" w:eastAsia="宋体" w:cs="宋体"/>
          <w:spacing w:val="9"/>
          <w:sz w:val="20"/>
          <w:szCs w:val="20"/>
        </w:rPr>
        <w:t>年至投标截</w:t>
      </w:r>
      <w:r>
        <w:rPr>
          <w:rFonts w:ascii="宋体" w:hAnsi="宋体" w:eastAsia="宋体" w:cs="宋体"/>
          <w:spacing w:val="8"/>
          <w:sz w:val="20"/>
          <w:szCs w:val="20"/>
        </w:rPr>
        <w:t>止日的前一日，例如申请截止日为</w:t>
      </w:r>
      <w:r>
        <w:rPr>
          <w:rFonts w:ascii="宋体" w:hAnsi="宋体" w:eastAsia="宋体" w:cs="宋体"/>
          <w:spacing w:val="-38"/>
          <w:sz w:val="20"/>
          <w:szCs w:val="20"/>
        </w:rPr>
        <w:t xml:space="preserve"> </w:t>
      </w:r>
      <w:r>
        <w:rPr>
          <w:rFonts w:ascii="Times New Roman" w:hAnsi="Times New Roman" w:eastAsia="Times New Roman" w:cs="Times New Roman"/>
          <w:spacing w:val="8"/>
          <w:sz w:val="20"/>
          <w:szCs w:val="20"/>
        </w:rPr>
        <w:t>2026</w:t>
      </w:r>
      <w:r>
        <w:rPr>
          <w:rFonts w:ascii="宋体" w:hAnsi="宋体" w:eastAsia="宋体" w:cs="宋体"/>
          <w:sz w:val="20"/>
          <w:szCs w:val="20"/>
        </w:rPr>
        <w:t>年</w:t>
      </w:r>
      <w:r>
        <w:rPr>
          <w:rFonts w:ascii="宋体" w:hAnsi="宋体" w:eastAsia="宋体" w:cs="宋体"/>
          <w:spacing w:val="-36"/>
          <w:sz w:val="20"/>
          <w:szCs w:val="20"/>
        </w:rPr>
        <w:t xml:space="preserve"> </w:t>
      </w:r>
      <w:r>
        <w:rPr>
          <w:rFonts w:ascii="Times New Roman" w:hAnsi="Times New Roman" w:eastAsia="Times New Roman" w:cs="Times New Roman"/>
          <w:sz w:val="20"/>
          <w:szCs w:val="20"/>
        </w:rPr>
        <w:t>2</w:t>
      </w:r>
      <w:r>
        <w:rPr>
          <w:rFonts w:ascii="Times New Roman" w:hAnsi="Times New Roman" w:eastAsia="Times New Roman" w:cs="Times New Roman"/>
          <w:spacing w:val="15"/>
          <w:w w:val="101"/>
          <w:sz w:val="20"/>
          <w:szCs w:val="20"/>
        </w:rPr>
        <w:t xml:space="preserve"> </w:t>
      </w:r>
      <w:r>
        <w:rPr>
          <w:rFonts w:ascii="宋体" w:hAnsi="宋体" w:eastAsia="宋体" w:cs="宋体"/>
          <w:sz w:val="20"/>
          <w:szCs w:val="20"/>
        </w:rPr>
        <w:t>月</w:t>
      </w:r>
      <w:r>
        <w:rPr>
          <w:rFonts w:ascii="宋体" w:hAnsi="宋体" w:eastAsia="宋体" w:cs="宋体"/>
          <w:spacing w:val="-21"/>
          <w:sz w:val="20"/>
          <w:szCs w:val="20"/>
        </w:rPr>
        <w:t xml:space="preserve"> </w:t>
      </w:r>
      <w:r>
        <w:rPr>
          <w:rFonts w:ascii="Times New Roman" w:hAnsi="Times New Roman" w:eastAsia="Times New Roman" w:cs="Times New Roman"/>
          <w:sz w:val="20"/>
          <w:szCs w:val="20"/>
        </w:rPr>
        <w:t>1</w:t>
      </w:r>
      <w:r>
        <w:rPr>
          <w:rFonts w:ascii="Times New Roman" w:hAnsi="Times New Roman" w:eastAsia="Times New Roman" w:cs="Times New Roman"/>
          <w:spacing w:val="46"/>
          <w:sz w:val="20"/>
          <w:szCs w:val="20"/>
        </w:rPr>
        <w:t xml:space="preserve"> </w:t>
      </w:r>
      <w:r>
        <w:rPr>
          <w:rFonts w:ascii="宋体" w:hAnsi="宋体" w:eastAsia="宋体" w:cs="宋体"/>
          <w:sz w:val="20"/>
          <w:szCs w:val="20"/>
        </w:rPr>
        <w:t>日，投标截止日为</w:t>
      </w:r>
      <w:r>
        <w:rPr>
          <w:rFonts w:ascii="宋体" w:hAnsi="宋体" w:eastAsia="宋体" w:cs="宋体"/>
          <w:spacing w:val="-41"/>
          <w:sz w:val="20"/>
          <w:szCs w:val="20"/>
        </w:rPr>
        <w:t xml:space="preserve"> </w:t>
      </w:r>
      <w:r>
        <w:rPr>
          <w:rFonts w:ascii="Times New Roman" w:hAnsi="Times New Roman" w:eastAsia="Times New Roman" w:cs="Times New Roman"/>
          <w:sz w:val="20"/>
          <w:szCs w:val="20"/>
        </w:rPr>
        <w:t xml:space="preserve">2026 </w:t>
      </w:r>
      <w:r>
        <w:rPr>
          <w:rFonts w:ascii="宋体" w:hAnsi="宋体" w:eastAsia="宋体" w:cs="宋体"/>
          <w:sz w:val="20"/>
          <w:szCs w:val="20"/>
        </w:rPr>
        <w:t>年</w:t>
      </w:r>
      <w:r>
        <w:rPr>
          <w:rFonts w:ascii="宋体" w:hAnsi="宋体" w:eastAsia="宋体" w:cs="宋体"/>
          <w:spacing w:val="-39"/>
          <w:sz w:val="20"/>
          <w:szCs w:val="20"/>
        </w:rPr>
        <w:t xml:space="preserve"> </w:t>
      </w:r>
      <w:r>
        <w:rPr>
          <w:rFonts w:ascii="Times New Roman" w:hAnsi="Times New Roman" w:eastAsia="Times New Roman" w:cs="Times New Roman"/>
          <w:sz w:val="20"/>
          <w:szCs w:val="20"/>
        </w:rPr>
        <w:t>3</w:t>
      </w:r>
      <w:r>
        <w:rPr>
          <w:rFonts w:ascii="Times New Roman" w:hAnsi="Times New Roman" w:eastAsia="Times New Roman" w:cs="Times New Roman"/>
          <w:spacing w:val="17"/>
          <w:w w:val="101"/>
          <w:sz w:val="20"/>
          <w:szCs w:val="20"/>
        </w:rPr>
        <w:t xml:space="preserve"> </w:t>
      </w:r>
      <w:r>
        <w:rPr>
          <w:rFonts w:ascii="宋体" w:hAnsi="宋体" w:eastAsia="宋体" w:cs="宋体"/>
          <w:sz w:val="20"/>
          <w:szCs w:val="20"/>
        </w:rPr>
        <w:t>月</w:t>
      </w:r>
      <w:r>
        <w:rPr>
          <w:rFonts w:ascii="宋体" w:hAnsi="宋体" w:eastAsia="宋体" w:cs="宋体"/>
          <w:spacing w:val="-37"/>
          <w:sz w:val="20"/>
          <w:szCs w:val="20"/>
        </w:rPr>
        <w:t xml:space="preserve"> </w:t>
      </w:r>
      <w:r>
        <w:rPr>
          <w:rFonts w:ascii="Times New Roman" w:hAnsi="Times New Roman" w:eastAsia="Times New Roman" w:cs="Times New Roman"/>
          <w:sz w:val="20"/>
          <w:szCs w:val="20"/>
        </w:rPr>
        <w:t xml:space="preserve">5  </w:t>
      </w:r>
      <w:r>
        <w:rPr>
          <w:rFonts w:ascii="宋体" w:hAnsi="宋体" w:eastAsia="宋体" w:cs="宋体"/>
          <w:sz w:val="20"/>
          <w:szCs w:val="20"/>
        </w:rPr>
        <w:t>日，则近</w:t>
      </w:r>
      <w:r>
        <w:rPr>
          <w:rFonts w:ascii="宋体" w:hAnsi="宋体" w:eastAsia="宋体" w:cs="宋体"/>
          <w:spacing w:val="-35"/>
          <w:sz w:val="20"/>
          <w:szCs w:val="20"/>
        </w:rPr>
        <w:t xml:space="preserve"> </w:t>
      </w:r>
      <w:r>
        <w:rPr>
          <w:rFonts w:ascii="Times New Roman" w:hAnsi="Times New Roman" w:eastAsia="Times New Roman" w:cs="Times New Roman"/>
          <w:sz w:val="20"/>
          <w:szCs w:val="20"/>
        </w:rPr>
        <w:t>5</w:t>
      </w:r>
      <w:r>
        <w:rPr>
          <w:rFonts w:ascii="Times New Roman" w:hAnsi="Times New Roman" w:eastAsia="Times New Roman" w:cs="Times New Roman"/>
          <w:spacing w:val="12"/>
          <w:w w:val="101"/>
          <w:sz w:val="20"/>
          <w:szCs w:val="20"/>
        </w:rPr>
        <w:t xml:space="preserve"> </w:t>
      </w:r>
      <w:r>
        <w:rPr>
          <w:rFonts w:ascii="宋体" w:hAnsi="宋体" w:eastAsia="宋体" w:cs="宋体"/>
          <w:sz w:val="20"/>
          <w:szCs w:val="20"/>
        </w:rPr>
        <w:t>年是指</w:t>
      </w:r>
      <w:r>
        <w:rPr>
          <w:rFonts w:ascii="宋体" w:hAnsi="宋体" w:eastAsia="宋体" w:cs="宋体"/>
          <w:spacing w:val="-43"/>
          <w:sz w:val="20"/>
          <w:szCs w:val="20"/>
        </w:rPr>
        <w:t xml:space="preserve"> </w:t>
      </w:r>
      <w:r>
        <w:rPr>
          <w:rFonts w:ascii="Times New Roman" w:hAnsi="Times New Roman" w:eastAsia="Times New Roman" w:cs="Times New Roman"/>
          <w:sz w:val="20"/>
          <w:szCs w:val="20"/>
        </w:rPr>
        <w:t>2021</w:t>
      </w:r>
      <w:r>
        <w:rPr>
          <w:rFonts w:ascii="Times New Roman" w:hAnsi="Times New Roman" w:eastAsia="Times New Roman" w:cs="Times New Roman"/>
          <w:spacing w:val="13"/>
          <w:sz w:val="20"/>
          <w:szCs w:val="20"/>
        </w:rPr>
        <w:t xml:space="preserve"> </w:t>
      </w:r>
      <w:r>
        <w:rPr>
          <w:rFonts w:ascii="宋体" w:hAnsi="宋体" w:eastAsia="宋体" w:cs="宋体"/>
          <w:sz w:val="20"/>
          <w:szCs w:val="20"/>
        </w:rPr>
        <w:t>年</w:t>
      </w:r>
      <w:r>
        <w:rPr>
          <w:rFonts w:ascii="宋体" w:hAnsi="宋体" w:eastAsia="宋体" w:cs="宋体"/>
          <w:spacing w:val="-43"/>
          <w:sz w:val="20"/>
          <w:szCs w:val="20"/>
        </w:rPr>
        <w:t xml:space="preserve"> </w:t>
      </w:r>
      <w:r>
        <w:rPr>
          <w:rFonts w:ascii="Times New Roman" w:hAnsi="Times New Roman" w:eastAsia="Times New Roman" w:cs="Times New Roman"/>
          <w:sz w:val="20"/>
          <w:szCs w:val="20"/>
        </w:rPr>
        <w:t>2</w:t>
      </w:r>
      <w:r>
        <w:rPr>
          <w:rFonts w:ascii="Times New Roman" w:hAnsi="Times New Roman" w:eastAsia="Times New Roman" w:cs="Times New Roman"/>
          <w:spacing w:val="17"/>
          <w:sz w:val="20"/>
          <w:szCs w:val="20"/>
        </w:rPr>
        <w:t xml:space="preserve"> </w:t>
      </w:r>
      <w:r>
        <w:rPr>
          <w:rFonts w:ascii="宋体" w:hAnsi="宋体" w:eastAsia="宋体" w:cs="宋体"/>
          <w:sz w:val="20"/>
          <w:szCs w:val="20"/>
        </w:rPr>
        <w:t>月</w:t>
      </w:r>
      <w:r>
        <w:rPr>
          <w:rFonts w:ascii="宋体" w:hAnsi="宋体" w:eastAsia="宋体" w:cs="宋体"/>
          <w:spacing w:val="-23"/>
          <w:sz w:val="20"/>
          <w:szCs w:val="20"/>
        </w:rPr>
        <w:t xml:space="preserve"> </w:t>
      </w:r>
      <w:r>
        <w:rPr>
          <w:rFonts w:ascii="Times New Roman" w:hAnsi="Times New Roman" w:eastAsia="Times New Roman" w:cs="Times New Roman"/>
          <w:sz w:val="20"/>
          <w:szCs w:val="20"/>
        </w:rPr>
        <w:t xml:space="preserve">1  </w:t>
      </w:r>
      <w:r>
        <w:rPr>
          <w:rFonts w:ascii="宋体" w:hAnsi="宋体" w:eastAsia="宋体" w:cs="宋体"/>
          <w:sz w:val="20"/>
          <w:szCs w:val="20"/>
        </w:rPr>
        <w:t>日至</w:t>
      </w:r>
      <w:r>
        <w:rPr>
          <w:rFonts w:ascii="宋体" w:hAnsi="宋体" w:eastAsia="宋体" w:cs="宋体"/>
          <w:spacing w:val="-41"/>
          <w:sz w:val="20"/>
          <w:szCs w:val="20"/>
        </w:rPr>
        <w:t xml:space="preserve"> </w:t>
      </w:r>
      <w:r>
        <w:rPr>
          <w:rFonts w:ascii="Times New Roman" w:hAnsi="Times New Roman" w:eastAsia="Times New Roman" w:cs="Times New Roman"/>
          <w:sz w:val="20"/>
          <w:szCs w:val="20"/>
        </w:rPr>
        <w:t>2026</w:t>
      </w:r>
      <w:r>
        <w:rPr>
          <w:rFonts w:ascii="Times New Roman" w:hAnsi="Times New Roman" w:eastAsia="Times New Roman" w:cs="Times New Roman"/>
          <w:spacing w:val="13"/>
          <w:w w:val="101"/>
          <w:sz w:val="20"/>
          <w:szCs w:val="20"/>
        </w:rPr>
        <w:t xml:space="preserve"> </w:t>
      </w:r>
      <w:r>
        <w:rPr>
          <w:rFonts w:ascii="宋体" w:hAnsi="宋体" w:eastAsia="宋体" w:cs="宋体"/>
          <w:sz w:val="20"/>
          <w:szCs w:val="20"/>
        </w:rPr>
        <w:t>年</w:t>
      </w:r>
      <w:r>
        <w:rPr>
          <w:rFonts w:ascii="Times New Roman" w:hAnsi="Times New Roman" w:eastAsia="Times New Roman" w:cs="Times New Roman"/>
          <w:spacing w:val="-7"/>
          <w:sz w:val="20"/>
          <w:szCs w:val="20"/>
        </w:rPr>
        <w:t>3</w:t>
      </w:r>
      <w:r>
        <w:rPr>
          <w:rFonts w:ascii="Times New Roman" w:hAnsi="Times New Roman" w:eastAsia="Times New Roman" w:cs="Times New Roman"/>
          <w:spacing w:val="20"/>
          <w:w w:val="101"/>
          <w:sz w:val="20"/>
          <w:szCs w:val="20"/>
        </w:rPr>
        <w:t xml:space="preserve"> </w:t>
      </w:r>
      <w:r>
        <w:rPr>
          <w:rFonts w:ascii="宋体" w:hAnsi="宋体" w:eastAsia="宋体" w:cs="宋体"/>
          <w:spacing w:val="-7"/>
          <w:sz w:val="20"/>
          <w:szCs w:val="20"/>
        </w:rPr>
        <w:t>月</w:t>
      </w:r>
      <w:r>
        <w:rPr>
          <w:rFonts w:ascii="宋体" w:hAnsi="宋体" w:eastAsia="宋体" w:cs="宋体"/>
          <w:spacing w:val="-44"/>
          <w:sz w:val="20"/>
          <w:szCs w:val="20"/>
        </w:rPr>
        <w:t xml:space="preserve"> </w:t>
      </w:r>
      <w:r>
        <w:rPr>
          <w:rFonts w:ascii="Times New Roman" w:hAnsi="Times New Roman" w:eastAsia="Times New Roman" w:cs="Times New Roman"/>
          <w:spacing w:val="-7"/>
          <w:sz w:val="20"/>
          <w:szCs w:val="20"/>
        </w:rPr>
        <w:t xml:space="preserve">4  </w:t>
      </w:r>
      <w:r>
        <w:rPr>
          <w:rFonts w:ascii="宋体" w:hAnsi="宋体" w:eastAsia="宋体" w:cs="宋体"/>
          <w:spacing w:val="-7"/>
          <w:sz w:val="20"/>
          <w:szCs w:val="20"/>
        </w:rPr>
        <w:t>日。</w:t>
      </w:r>
    </w:p>
    <w:p w14:paraId="443E1C7D">
      <w:pPr>
        <w:spacing w:before="1" w:line="226" w:lineRule="auto"/>
        <w:ind w:left="747"/>
        <w:rPr>
          <w:rFonts w:ascii="宋体" w:hAnsi="宋体" w:eastAsia="宋体" w:cs="宋体"/>
          <w:sz w:val="20"/>
          <w:szCs w:val="20"/>
        </w:rPr>
      </w:pPr>
      <w:r>
        <w:rPr>
          <w:rFonts w:ascii="Times New Roman" w:hAnsi="Times New Roman" w:eastAsia="Times New Roman" w:cs="Times New Roman"/>
          <w:spacing w:val="9"/>
          <w:sz w:val="20"/>
          <w:szCs w:val="20"/>
        </w:rPr>
        <w:t>2.</w:t>
      </w:r>
      <w:r>
        <w:rPr>
          <w:rFonts w:ascii="宋体" w:hAnsi="宋体" w:eastAsia="宋体" w:cs="宋体"/>
          <w:spacing w:val="9"/>
          <w:sz w:val="20"/>
          <w:szCs w:val="20"/>
        </w:rPr>
        <w:t>本表后应附表彰文件、获奖证书的扫描件。以表彰文件、获奖证书的颁发时间为准。</w:t>
      </w:r>
    </w:p>
    <w:p w14:paraId="7EB86F25">
      <w:pPr>
        <w:spacing w:before="155" w:line="227" w:lineRule="auto"/>
        <w:ind w:left="752"/>
        <w:outlineLvl w:val="1"/>
        <w:rPr>
          <w:rFonts w:ascii="宋体" w:hAnsi="宋体" w:eastAsia="宋体" w:cs="宋体"/>
          <w:sz w:val="20"/>
          <w:szCs w:val="20"/>
        </w:rPr>
      </w:pPr>
      <w:r>
        <w:rPr>
          <w:rFonts w:ascii="Times New Roman" w:hAnsi="Times New Roman" w:eastAsia="Times New Roman" w:cs="Times New Roman"/>
          <w:spacing w:val="9"/>
          <w:sz w:val="20"/>
          <w:szCs w:val="20"/>
        </w:rPr>
        <w:t>3.</w:t>
      </w:r>
      <w:r>
        <w:rPr>
          <w:rFonts w:ascii="宋体" w:hAnsi="宋体" w:eastAsia="宋体" w:cs="宋体"/>
          <w:spacing w:val="9"/>
          <w:sz w:val="20"/>
          <w:szCs w:val="20"/>
        </w:rPr>
        <w:t>颁奖单位应当是国家机关或民政部门注册登</w:t>
      </w:r>
      <w:r>
        <w:rPr>
          <w:rFonts w:ascii="宋体" w:hAnsi="宋体" w:eastAsia="宋体" w:cs="宋体"/>
          <w:spacing w:val="8"/>
          <w:sz w:val="20"/>
          <w:szCs w:val="20"/>
        </w:rPr>
        <w:t>记的合法单位。</w:t>
      </w:r>
    </w:p>
    <w:p w14:paraId="20A74619">
      <w:pPr>
        <w:spacing w:line="227" w:lineRule="auto"/>
        <w:rPr>
          <w:rFonts w:ascii="宋体" w:hAnsi="宋体" w:eastAsia="宋体" w:cs="宋体"/>
          <w:sz w:val="20"/>
          <w:szCs w:val="20"/>
        </w:rPr>
        <w:sectPr>
          <w:footerReference r:id="rId548" w:type="default"/>
          <w:pgSz w:w="11907" w:h="16840"/>
          <w:pgMar w:top="400" w:right="1532" w:bottom="1247" w:left="1361" w:header="0" w:footer="1085" w:gutter="0"/>
          <w:cols w:space="720" w:num="1"/>
        </w:sectPr>
      </w:pPr>
    </w:p>
    <w:p w14:paraId="5866DE55">
      <w:pPr>
        <w:spacing w:line="276" w:lineRule="auto"/>
        <w:rPr>
          <w:rFonts w:ascii="Arial"/>
          <w:sz w:val="21"/>
        </w:rPr>
      </w:pPr>
    </w:p>
    <w:p w14:paraId="30F53BC6">
      <w:pPr>
        <w:spacing w:line="276" w:lineRule="auto"/>
        <w:rPr>
          <w:rFonts w:ascii="Arial"/>
          <w:sz w:val="21"/>
        </w:rPr>
      </w:pPr>
    </w:p>
    <w:p w14:paraId="7C941F88">
      <w:pPr>
        <w:spacing w:line="276" w:lineRule="auto"/>
        <w:rPr>
          <w:rFonts w:ascii="Arial"/>
          <w:sz w:val="21"/>
        </w:rPr>
      </w:pPr>
    </w:p>
    <w:p w14:paraId="7BD8EF5C">
      <w:pPr>
        <w:spacing w:line="277" w:lineRule="auto"/>
        <w:rPr>
          <w:rFonts w:ascii="Arial"/>
          <w:sz w:val="21"/>
        </w:rPr>
      </w:pPr>
    </w:p>
    <w:p w14:paraId="08AE24F7">
      <w:pPr>
        <w:spacing w:line="277" w:lineRule="auto"/>
        <w:rPr>
          <w:rFonts w:ascii="Arial"/>
          <w:sz w:val="21"/>
        </w:rPr>
      </w:pPr>
    </w:p>
    <w:p w14:paraId="2A340B8A">
      <w:pPr>
        <w:pStyle w:val="2"/>
        <w:spacing w:before="91" w:line="222" w:lineRule="auto"/>
        <w:ind w:left="3056"/>
        <w:outlineLvl w:val="1"/>
        <w:rPr>
          <w:sz w:val="28"/>
          <w:szCs w:val="28"/>
        </w:rPr>
      </w:pPr>
      <w:bookmarkStart w:id="453" w:name="bookmark429"/>
      <w:bookmarkEnd w:id="453"/>
      <w:r>
        <w:rPr>
          <w:spacing w:val="-2"/>
          <w:sz w:val="28"/>
          <w:szCs w:val="28"/>
        </w:rPr>
        <w:t>九、已标价工程量清单</w:t>
      </w:r>
    </w:p>
    <w:p w14:paraId="6D180894">
      <w:pPr>
        <w:spacing w:line="282" w:lineRule="auto"/>
        <w:rPr>
          <w:rFonts w:ascii="Arial"/>
          <w:sz w:val="21"/>
        </w:rPr>
      </w:pPr>
    </w:p>
    <w:p w14:paraId="3D5724C3">
      <w:pPr>
        <w:spacing w:line="282" w:lineRule="auto"/>
        <w:rPr>
          <w:rFonts w:ascii="Arial"/>
          <w:sz w:val="21"/>
        </w:rPr>
      </w:pPr>
    </w:p>
    <w:p w14:paraId="1CCDA30F">
      <w:pPr>
        <w:pStyle w:val="2"/>
        <w:spacing w:before="65" w:line="424" w:lineRule="auto"/>
        <w:ind w:left="12" w:right="247" w:hanging="13"/>
        <w:jc w:val="both"/>
        <w:rPr>
          <w:rFonts w:ascii="宋体" w:hAnsi="宋体" w:eastAsia="宋体" w:cs="宋体"/>
          <w:sz w:val="20"/>
          <w:szCs w:val="20"/>
        </w:rPr>
      </w:pPr>
      <w:r>
        <w:rPr>
          <w:spacing w:val="8"/>
          <w:sz w:val="20"/>
          <w:szCs w:val="20"/>
        </w:rPr>
        <w:t>说明：</w:t>
      </w:r>
      <w:r>
        <w:rPr>
          <w:spacing w:val="-55"/>
          <w:sz w:val="20"/>
          <w:szCs w:val="20"/>
        </w:rPr>
        <w:t xml:space="preserve"> </w:t>
      </w:r>
      <w:r>
        <w:rPr>
          <w:rFonts w:ascii="宋体" w:hAnsi="宋体" w:eastAsia="宋体" w:cs="宋体"/>
          <w:spacing w:val="8"/>
          <w:sz w:val="20"/>
          <w:szCs w:val="20"/>
        </w:rPr>
        <w:t>已标价工程量清单按第五章“工程量清单</w:t>
      </w:r>
      <w:r>
        <w:rPr>
          <w:rFonts w:ascii="宋体" w:hAnsi="宋体" w:eastAsia="宋体" w:cs="宋体"/>
          <w:spacing w:val="-70"/>
          <w:sz w:val="20"/>
          <w:szCs w:val="20"/>
        </w:rPr>
        <w:t xml:space="preserve"> </w:t>
      </w:r>
      <w:r>
        <w:rPr>
          <w:rFonts w:ascii="宋体" w:hAnsi="宋体" w:eastAsia="宋体" w:cs="宋体"/>
          <w:spacing w:val="8"/>
          <w:sz w:val="20"/>
          <w:szCs w:val="20"/>
        </w:rPr>
        <w:t>”中的相关清单表格</w:t>
      </w:r>
      <w:r>
        <w:rPr>
          <w:rFonts w:ascii="宋体" w:hAnsi="宋体" w:eastAsia="宋体" w:cs="宋体"/>
          <w:spacing w:val="7"/>
          <w:sz w:val="20"/>
          <w:szCs w:val="20"/>
        </w:rPr>
        <w:t>式填写。构成合同文件</w:t>
      </w:r>
      <w:r>
        <w:rPr>
          <w:rFonts w:ascii="宋体" w:hAnsi="宋体" w:eastAsia="宋体" w:cs="宋体"/>
          <w:spacing w:val="9"/>
          <w:sz w:val="20"/>
          <w:szCs w:val="20"/>
        </w:rPr>
        <w:t>的已标价工程量清单包括第五章“工程量清单</w:t>
      </w:r>
      <w:r>
        <w:rPr>
          <w:rFonts w:ascii="宋体" w:hAnsi="宋体" w:eastAsia="宋体" w:cs="宋体"/>
          <w:spacing w:val="-73"/>
          <w:sz w:val="20"/>
          <w:szCs w:val="20"/>
        </w:rPr>
        <w:t xml:space="preserve"> </w:t>
      </w:r>
      <w:r>
        <w:rPr>
          <w:rFonts w:ascii="宋体" w:hAnsi="宋体" w:eastAsia="宋体" w:cs="宋体"/>
          <w:spacing w:val="9"/>
          <w:sz w:val="20"/>
          <w:szCs w:val="20"/>
        </w:rPr>
        <w:t>”有关工程量</w:t>
      </w:r>
      <w:r>
        <w:rPr>
          <w:rFonts w:ascii="宋体" w:hAnsi="宋体" w:eastAsia="宋体" w:cs="宋体"/>
          <w:spacing w:val="8"/>
          <w:sz w:val="20"/>
          <w:szCs w:val="20"/>
        </w:rPr>
        <w:t>清单、投标报价以及其他说明的</w:t>
      </w:r>
      <w:r>
        <w:rPr>
          <w:rFonts w:ascii="宋体" w:hAnsi="宋体" w:eastAsia="宋体" w:cs="宋体"/>
          <w:spacing w:val="-3"/>
          <w:sz w:val="20"/>
          <w:szCs w:val="20"/>
        </w:rPr>
        <w:t>内容。</w:t>
      </w:r>
    </w:p>
    <w:p w14:paraId="593F76BB">
      <w:pPr>
        <w:spacing w:line="424" w:lineRule="auto"/>
        <w:rPr>
          <w:rFonts w:ascii="宋体" w:hAnsi="宋体" w:eastAsia="宋体" w:cs="宋体"/>
          <w:sz w:val="20"/>
          <w:szCs w:val="20"/>
        </w:rPr>
        <w:sectPr>
          <w:footerReference r:id="rId549" w:type="default"/>
          <w:pgSz w:w="11907" w:h="16840"/>
          <w:pgMar w:top="400" w:right="1786" w:bottom="1247" w:left="1485" w:header="0" w:footer="1085" w:gutter="0"/>
          <w:cols w:space="720" w:num="1"/>
        </w:sectPr>
      </w:pPr>
    </w:p>
    <w:p w14:paraId="3C2F4881">
      <w:pPr>
        <w:spacing w:line="265" w:lineRule="auto"/>
        <w:rPr>
          <w:rFonts w:ascii="Arial"/>
          <w:sz w:val="21"/>
        </w:rPr>
      </w:pPr>
    </w:p>
    <w:p w14:paraId="5F51C545">
      <w:pPr>
        <w:spacing w:line="265" w:lineRule="auto"/>
        <w:rPr>
          <w:rFonts w:ascii="Arial"/>
          <w:sz w:val="21"/>
        </w:rPr>
      </w:pPr>
    </w:p>
    <w:p w14:paraId="38668215">
      <w:pPr>
        <w:spacing w:line="266" w:lineRule="auto"/>
        <w:rPr>
          <w:rFonts w:ascii="Arial"/>
          <w:sz w:val="21"/>
        </w:rPr>
      </w:pPr>
    </w:p>
    <w:p w14:paraId="2C2FE632">
      <w:pPr>
        <w:spacing w:line="266" w:lineRule="auto"/>
        <w:rPr>
          <w:rFonts w:ascii="Arial"/>
          <w:sz w:val="21"/>
        </w:rPr>
      </w:pPr>
    </w:p>
    <w:p w14:paraId="1A547082">
      <w:pPr>
        <w:spacing w:line="266" w:lineRule="auto"/>
        <w:rPr>
          <w:rFonts w:ascii="Arial"/>
          <w:sz w:val="21"/>
        </w:rPr>
      </w:pPr>
    </w:p>
    <w:p w14:paraId="2B69FB6F">
      <w:pPr>
        <w:pStyle w:val="2"/>
        <w:spacing w:before="78" w:line="222" w:lineRule="auto"/>
        <w:rPr>
          <w:sz w:val="24"/>
          <w:szCs w:val="24"/>
        </w:rPr>
      </w:pPr>
      <w:r>
        <w:rPr>
          <w:spacing w:val="-2"/>
          <w:sz w:val="24"/>
          <w:szCs w:val="24"/>
        </w:rPr>
        <w:t>已标价工程量清单（投标总价）封面</w:t>
      </w:r>
    </w:p>
    <w:p w14:paraId="4211449E">
      <w:pPr>
        <w:spacing w:line="253" w:lineRule="auto"/>
        <w:rPr>
          <w:rFonts w:ascii="Arial"/>
          <w:sz w:val="21"/>
        </w:rPr>
      </w:pPr>
    </w:p>
    <w:p w14:paraId="1169A7C6">
      <w:pPr>
        <w:spacing w:line="253" w:lineRule="auto"/>
        <w:rPr>
          <w:rFonts w:ascii="Arial"/>
          <w:sz w:val="21"/>
        </w:rPr>
      </w:pPr>
    </w:p>
    <w:p w14:paraId="4BDE0746">
      <w:pPr>
        <w:spacing w:line="253" w:lineRule="auto"/>
        <w:rPr>
          <w:rFonts w:ascii="Arial"/>
          <w:sz w:val="21"/>
        </w:rPr>
      </w:pPr>
    </w:p>
    <w:p w14:paraId="38EB1F3B">
      <w:pPr>
        <w:spacing w:line="253" w:lineRule="auto"/>
        <w:rPr>
          <w:rFonts w:ascii="Arial"/>
          <w:sz w:val="21"/>
        </w:rPr>
      </w:pPr>
    </w:p>
    <w:p w14:paraId="7968CBE4">
      <w:pPr>
        <w:spacing w:line="253" w:lineRule="auto"/>
        <w:rPr>
          <w:rFonts w:ascii="Arial"/>
          <w:sz w:val="21"/>
        </w:rPr>
      </w:pPr>
    </w:p>
    <w:p w14:paraId="37B2AAB6">
      <w:pPr>
        <w:spacing w:line="253" w:lineRule="auto"/>
        <w:rPr>
          <w:rFonts w:ascii="Arial"/>
          <w:sz w:val="21"/>
        </w:rPr>
      </w:pPr>
    </w:p>
    <w:p w14:paraId="41B71A98">
      <w:pPr>
        <w:spacing w:line="253" w:lineRule="auto"/>
        <w:rPr>
          <w:rFonts w:ascii="Arial"/>
          <w:sz w:val="21"/>
        </w:rPr>
      </w:pPr>
    </w:p>
    <w:p w14:paraId="0DC95FC3">
      <w:pPr>
        <w:spacing w:line="253" w:lineRule="auto"/>
        <w:rPr>
          <w:rFonts w:ascii="Arial"/>
          <w:sz w:val="21"/>
        </w:rPr>
      </w:pPr>
    </w:p>
    <w:p w14:paraId="7EA28588">
      <w:pPr>
        <w:spacing w:line="253" w:lineRule="auto"/>
        <w:rPr>
          <w:rFonts w:ascii="Arial"/>
          <w:sz w:val="21"/>
        </w:rPr>
      </w:pPr>
    </w:p>
    <w:p w14:paraId="01A5CC0E">
      <w:pPr>
        <w:pStyle w:val="2"/>
        <w:tabs>
          <w:tab w:val="left" w:pos="2535"/>
        </w:tabs>
        <w:spacing w:before="101" w:line="227" w:lineRule="auto"/>
        <w:ind w:left="934"/>
        <w:rPr>
          <w:sz w:val="31"/>
          <w:szCs w:val="31"/>
        </w:rPr>
      </w:pPr>
      <w:r>
        <w:rPr>
          <w:sz w:val="31"/>
          <w:szCs w:val="31"/>
          <w:u w:val="single" w:color="auto"/>
        </w:rPr>
        <w:tab/>
      </w:r>
      <w:r>
        <w:rPr>
          <w:spacing w:val="12"/>
          <w:sz w:val="31"/>
          <w:szCs w:val="31"/>
        </w:rPr>
        <w:t>（项目名称</w:t>
      </w:r>
      <w:r>
        <w:rPr>
          <w:spacing w:val="-5"/>
          <w:sz w:val="31"/>
          <w:szCs w:val="31"/>
        </w:rPr>
        <w:t>）</w:t>
      </w:r>
      <w:r>
        <w:rPr>
          <w:spacing w:val="5"/>
          <w:sz w:val="31"/>
          <w:szCs w:val="31"/>
          <w:u w:val="single" w:color="auto"/>
        </w:rPr>
        <w:t xml:space="preserve">      </w:t>
      </w:r>
      <w:r>
        <w:rPr>
          <w:spacing w:val="-5"/>
          <w:sz w:val="31"/>
          <w:szCs w:val="31"/>
        </w:rPr>
        <w:t>（</w:t>
      </w:r>
      <w:r>
        <w:rPr>
          <w:spacing w:val="12"/>
          <w:sz w:val="31"/>
          <w:szCs w:val="31"/>
        </w:rPr>
        <w:t>标段名称）施工招标</w:t>
      </w:r>
    </w:p>
    <w:p w14:paraId="24D5017C">
      <w:pPr>
        <w:spacing w:line="280" w:lineRule="auto"/>
        <w:rPr>
          <w:rFonts w:ascii="Arial"/>
          <w:sz w:val="21"/>
        </w:rPr>
      </w:pPr>
    </w:p>
    <w:p w14:paraId="518961E0">
      <w:pPr>
        <w:spacing w:line="280" w:lineRule="auto"/>
        <w:rPr>
          <w:rFonts w:ascii="Arial"/>
          <w:sz w:val="21"/>
        </w:rPr>
      </w:pPr>
    </w:p>
    <w:p w14:paraId="6105D8A4">
      <w:pPr>
        <w:spacing w:line="281" w:lineRule="auto"/>
        <w:rPr>
          <w:rFonts w:ascii="Arial"/>
          <w:sz w:val="21"/>
        </w:rPr>
      </w:pPr>
    </w:p>
    <w:p w14:paraId="5ACF3668">
      <w:pPr>
        <w:spacing w:line="281" w:lineRule="auto"/>
        <w:rPr>
          <w:rFonts w:ascii="Arial"/>
          <w:sz w:val="21"/>
        </w:rPr>
      </w:pPr>
    </w:p>
    <w:p w14:paraId="3E46B9D0">
      <w:pPr>
        <w:pStyle w:val="2"/>
        <w:spacing w:before="139" w:line="225" w:lineRule="auto"/>
        <w:ind w:left="2710"/>
      </w:pPr>
      <w:bookmarkStart w:id="454" w:name="bookmark430"/>
      <w:bookmarkEnd w:id="454"/>
      <w:r>
        <w:rPr>
          <w:spacing w:val="4"/>
        </w:rPr>
        <w:t>已标价工程量清单</w:t>
      </w:r>
    </w:p>
    <w:p w14:paraId="1DA94ECD">
      <w:pPr>
        <w:pStyle w:val="2"/>
        <w:spacing w:before="332" w:line="225" w:lineRule="auto"/>
        <w:ind w:left="3158"/>
        <w:outlineLvl w:val="2"/>
      </w:pPr>
      <w:r>
        <w:rPr>
          <w:spacing w:val="-1"/>
        </w:rPr>
        <w:t>（投标总价）</w:t>
      </w:r>
    </w:p>
    <w:p w14:paraId="5389189F">
      <w:pPr>
        <w:spacing w:line="249" w:lineRule="auto"/>
        <w:rPr>
          <w:rFonts w:ascii="Arial"/>
          <w:sz w:val="21"/>
        </w:rPr>
      </w:pPr>
    </w:p>
    <w:p w14:paraId="6ED423BD">
      <w:pPr>
        <w:spacing w:line="249" w:lineRule="auto"/>
        <w:rPr>
          <w:rFonts w:ascii="Arial"/>
          <w:sz w:val="21"/>
        </w:rPr>
      </w:pPr>
    </w:p>
    <w:p w14:paraId="41D84274">
      <w:pPr>
        <w:spacing w:line="249" w:lineRule="auto"/>
        <w:rPr>
          <w:rFonts w:ascii="Arial"/>
          <w:sz w:val="21"/>
        </w:rPr>
      </w:pPr>
    </w:p>
    <w:p w14:paraId="2E795A27">
      <w:pPr>
        <w:spacing w:line="249" w:lineRule="auto"/>
        <w:rPr>
          <w:rFonts w:ascii="Arial"/>
          <w:sz w:val="21"/>
        </w:rPr>
      </w:pPr>
    </w:p>
    <w:p w14:paraId="19D86FF5">
      <w:pPr>
        <w:spacing w:line="249" w:lineRule="auto"/>
        <w:rPr>
          <w:rFonts w:ascii="Arial"/>
          <w:sz w:val="21"/>
        </w:rPr>
      </w:pPr>
    </w:p>
    <w:p w14:paraId="09FCD02E">
      <w:pPr>
        <w:spacing w:line="249" w:lineRule="auto"/>
        <w:rPr>
          <w:rFonts w:ascii="Arial"/>
          <w:sz w:val="21"/>
        </w:rPr>
      </w:pPr>
    </w:p>
    <w:p w14:paraId="138542AA">
      <w:pPr>
        <w:spacing w:line="249" w:lineRule="auto"/>
        <w:rPr>
          <w:rFonts w:ascii="Arial"/>
          <w:sz w:val="21"/>
        </w:rPr>
      </w:pPr>
    </w:p>
    <w:p w14:paraId="75A280B4">
      <w:pPr>
        <w:spacing w:line="249" w:lineRule="auto"/>
        <w:rPr>
          <w:rFonts w:ascii="Arial"/>
          <w:sz w:val="21"/>
        </w:rPr>
      </w:pPr>
    </w:p>
    <w:p w14:paraId="3C29A723">
      <w:pPr>
        <w:spacing w:line="249" w:lineRule="auto"/>
        <w:rPr>
          <w:rFonts w:ascii="Arial"/>
          <w:sz w:val="21"/>
        </w:rPr>
      </w:pPr>
    </w:p>
    <w:p w14:paraId="3E3CF8A9">
      <w:pPr>
        <w:spacing w:line="249" w:lineRule="auto"/>
        <w:rPr>
          <w:rFonts w:ascii="Arial"/>
          <w:sz w:val="21"/>
        </w:rPr>
      </w:pPr>
    </w:p>
    <w:p w14:paraId="06B5382C">
      <w:pPr>
        <w:spacing w:line="249" w:lineRule="auto"/>
        <w:rPr>
          <w:rFonts w:ascii="Arial"/>
          <w:sz w:val="21"/>
        </w:rPr>
      </w:pPr>
    </w:p>
    <w:p w14:paraId="758DAFF2">
      <w:pPr>
        <w:spacing w:line="249" w:lineRule="auto"/>
        <w:rPr>
          <w:rFonts w:ascii="Arial"/>
          <w:sz w:val="21"/>
        </w:rPr>
      </w:pPr>
    </w:p>
    <w:p w14:paraId="0960B1D5">
      <w:pPr>
        <w:spacing w:line="249" w:lineRule="auto"/>
        <w:rPr>
          <w:rFonts w:ascii="Arial"/>
          <w:sz w:val="21"/>
        </w:rPr>
      </w:pPr>
    </w:p>
    <w:p w14:paraId="5611A596">
      <w:pPr>
        <w:spacing w:line="249" w:lineRule="auto"/>
        <w:rPr>
          <w:rFonts w:ascii="Arial"/>
          <w:sz w:val="21"/>
        </w:rPr>
      </w:pPr>
    </w:p>
    <w:p w14:paraId="0873149D">
      <w:pPr>
        <w:spacing w:line="250" w:lineRule="auto"/>
        <w:rPr>
          <w:rFonts w:ascii="Arial"/>
          <w:sz w:val="21"/>
        </w:rPr>
      </w:pPr>
    </w:p>
    <w:p w14:paraId="174782E1">
      <w:pPr>
        <w:spacing w:line="250" w:lineRule="auto"/>
        <w:rPr>
          <w:rFonts w:ascii="Arial"/>
          <w:sz w:val="21"/>
        </w:rPr>
      </w:pPr>
    </w:p>
    <w:p w14:paraId="60B26F5A">
      <w:pPr>
        <w:spacing w:before="91" w:line="210" w:lineRule="auto"/>
        <w:ind w:left="2370"/>
        <w:rPr>
          <w:rFonts w:ascii="宋体" w:hAnsi="宋体" w:eastAsia="宋体" w:cs="宋体"/>
          <w:sz w:val="28"/>
          <w:szCs w:val="28"/>
        </w:rPr>
      </w:pPr>
      <w:r>
        <w:rPr>
          <w:rFonts w:ascii="宋体" w:hAnsi="宋体" w:eastAsia="宋体" w:cs="宋体"/>
          <w:spacing w:val="-11"/>
          <w:sz w:val="28"/>
          <w:szCs w:val="28"/>
        </w:rPr>
        <w:t>投</w:t>
      </w:r>
      <w:r>
        <w:rPr>
          <w:rFonts w:ascii="宋体" w:hAnsi="宋体" w:eastAsia="宋体" w:cs="宋体"/>
          <w:spacing w:val="29"/>
          <w:sz w:val="28"/>
          <w:szCs w:val="28"/>
        </w:rPr>
        <w:t xml:space="preserve"> </w:t>
      </w:r>
      <w:r>
        <w:rPr>
          <w:rFonts w:ascii="宋体" w:hAnsi="宋体" w:eastAsia="宋体" w:cs="宋体"/>
          <w:spacing w:val="-11"/>
          <w:sz w:val="28"/>
          <w:szCs w:val="28"/>
        </w:rPr>
        <w:t>标</w:t>
      </w:r>
      <w:r>
        <w:rPr>
          <w:rFonts w:ascii="宋体" w:hAnsi="宋体" w:eastAsia="宋体" w:cs="宋体"/>
          <w:spacing w:val="12"/>
          <w:sz w:val="28"/>
          <w:szCs w:val="28"/>
        </w:rPr>
        <w:t xml:space="preserve"> </w:t>
      </w:r>
      <w:r>
        <w:rPr>
          <w:rFonts w:ascii="宋体" w:hAnsi="宋体" w:eastAsia="宋体" w:cs="宋体"/>
          <w:spacing w:val="-11"/>
          <w:sz w:val="28"/>
          <w:szCs w:val="28"/>
        </w:rPr>
        <w:t>人</w:t>
      </w:r>
      <w:r>
        <w:rPr>
          <w:rFonts w:ascii="宋体" w:hAnsi="宋体" w:eastAsia="宋体" w:cs="宋体"/>
          <w:spacing w:val="-105"/>
          <w:sz w:val="28"/>
          <w:szCs w:val="28"/>
        </w:rPr>
        <w:t xml:space="preserve"> </w:t>
      </w:r>
      <w:r>
        <w:rPr>
          <w:rFonts w:ascii="宋体" w:hAnsi="宋体" w:eastAsia="宋体" w:cs="宋体"/>
          <w:spacing w:val="-11"/>
          <w:sz w:val="28"/>
          <w:szCs w:val="28"/>
        </w:rPr>
        <w:t>：</w:t>
      </w:r>
      <w:r>
        <w:rPr>
          <w:rFonts w:ascii="宋体" w:hAnsi="宋体" w:eastAsia="宋体" w:cs="宋体"/>
          <w:spacing w:val="-11"/>
          <w:sz w:val="28"/>
          <w:szCs w:val="28"/>
          <w:u w:val="single" w:color="auto"/>
        </w:rPr>
        <w:t xml:space="preserve">                              </w:t>
      </w:r>
    </w:p>
    <w:p w14:paraId="307731D1">
      <w:pPr>
        <w:spacing w:before="1" w:line="219" w:lineRule="auto"/>
        <w:ind w:left="4753"/>
        <w:rPr>
          <w:rFonts w:ascii="宋体" w:hAnsi="宋体" w:eastAsia="宋体" w:cs="宋体"/>
          <w:sz w:val="28"/>
          <w:szCs w:val="28"/>
        </w:rPr>
      </w:pPr>
      <w:r>
        <w:rPr>
          <w:rFonts w:ascii="宋体" w:hAnsi="宋体" w:eastAsia="宋体" w:cs="宋体"/>
          <w:spacing w:val="-3"/>
          <w:sz w:val="28"/>
          <w:szCs w:val="28"/>
        </w:rPr>
        <w:t>（单位盖章）</w:t>
      </w:r>
    </w:p>
    <w:p w14:paraId="3F4F428B">
      <w:pPr>
        <w:spacing w:line="350" w:lineRule="auto"/>
        <w:rPr>
          <w:rFonts w:ascii="Arial"/>
          <w:sz w:val="21"/>
        </w:rPr>
      </w:pPr>
    </w:p>
    <w:p w14:paraId="74FE126E">
      <w:pPr>
        <w:spacing w:line="350" w:lineRule="auto"/>
        <w:rPr>
          <w:rFonts w:ascii="Arial"/>
          <w:sz w:val="21"/>
        </w:rPr>
      </w:pPr>
    </w:p>
    <w:p w14:paraId="12D54BEF">
      <w:pPr>
        <w:spacing w:before="91" w:line="220" w:lineRule="auto"/>
        <w:ind w:left="2328"/>
        <w:rPr>
          <w:rFonts w:ascii="宋体" w:hAnsi="宋体" w:eastAsia="宋体" w:cs="宋体"/>
          <w:sz w:val="28"/>
          <w:szCs w:val="28"/>
        </w:rPr>
      </w:pPr>
      <w:r>
        <w:rPr>
          <w:rFonts w:ascii="宋体" w:hAnsi="宋体" w:eastAsia="宋体" w:cs="宋体"/>
          <w:spacing w:val="-3"/>
          <w:sz w:val="28"/>
          <w:szCs w:val="28"/>
        </w:rPr>
        <w:t>编制时间：</w:t>
      </w:r>
      <w:r>
        <w:rPr>
          <w:rFonts w:ascii="宋体" w:hAnsi="宋体" w:eastAsia="宋体" w:cs="宋体"/>
          <w:spacing w:val="114"/>
          <w:sz w:val="28"/>
          <w:szCs w:val="28"/>
        </w:rPr>
        <w:t xml:space="preserve"> </w:t>
      </w:r>
      <w:r>
        <w:rPr>
          <w:rFonts w:ascii="宋体" w:hAnsi="宋体" w:eastAsia="宋体" w:cs="宋体"/>
          <w:spacing w:val="6"/>
          <w:sz w:val="28"/>
          <w:szCs w:val="28"/>
          <w:u w:val="single" w:color="auto"/>
        </w:rPr>
        <w:t xml:space="preserve">         </w:t>
      </w:r>
      <w:r>
        <w:rPr>
          <w:rFonts w:ascii="宋体" w:hAnsi="宋体" w:eastAsia="宋体" w:cs="宋体"/>
          <w:spacing w:val="-122"/>
          <w:sz w:val="28"/>
          <w:szCs w:val="28"/>
        </w:rPr>
        <w:t xml:space="preserve"> </w:t>
      </w:r>
      <w:r>
        <w:rPr>
          <w:rFonts w:ascii="宋体" w:hAnsi="宋体" w:eastAsia="宋体" w:cs="宋体"/>
          <w:spacing w:val="-3"/>
          <w:sz w:val="28"/>
          <w:szCs w:val="28"/>
        </w:rPr>
        <w:t>年</w:t>
      </w:r>
      <w:r>
        <w:rPr>
          <w:rFonts w:ascii="宋体" w:hAnsi="宋体" w:eastAsia="宋体" w:cs="宋体"/>
          <w:spacing w:val="-3"/>
          <w:sz w:val="28"/>
          <w:szCs w:val="28"/>
          <w:u w:val="single" w:color="auto"/>
        </w:rPr>
        <w:t xml:space="preserve">     </w:t>
      </w:r>
      <w:r>
        <w:rPr>
          <w:rFonts w:ascii="宋体" w:hAnsi="宋体" w:eastAsia="宋体" w:cs="宋体"/>
          <w:spacing w:val="-122"/>
          <w:sz w:val="28"/>
          <w:szCs w:val="28"/>
        </w:rPr>
        <w:t xml:space="preserve"> </w:t>
      </w:r>
      <w:r>
        <w:rPr>
          <w:rFonts w:ascii="宋体" w:hAnsi="宋体" w:eastAsia="宋体" w:cs="宋体"/>
          <w:spacing w:val="-3"/>
          <w:sz w:val="28"/>
          <w:szCs w:val="28"/>
        </w:rPr>
        <w:t>月</w:t>
      </w:r>
      <w:r>
        <w:rPr>
          <w:rFonts w:ascii="宋体" w:hAnsi="宋体" w:eastAsia="宋体" w:cs="宋体"/>
          <w:spacing w:val="-3"/>
          <w:sz w:val="28"/>
          <w:szCs w:val="28"/>
          <w:u w:val="single" w:color="auto"/>
        </w:rPr>
        <w:t xml:space="preserve">     </w:t>
      </w:r>
      <w:r>
        <w:rPr>
          <w:rFonts w:ascii="宋体" w:hAnsi="宋体" w:eastAsia="宋体" w:cs="宋体"/>
          <w:spacing w:val="-81"/>
          <w:sz w:val="28"/>
          <w:szCs w:val="28"/>
        </w:rPr>
        <w:t xml:space="preserve"> </w:t>
      </w:r>
      <w:r>
        <w:rPr>
          <w:rFonts w:ascii="宋体" w:hAnsi="宋体" w:eastAsia="宋体" w:cs="宋体"/>
          <w:spacing w:val="-3"/>
          <w:sz w:val="28"/>
          <w:szCs w:val="28"/>
        </w:rPr>
        <w:t>日</w:t>
      </w:r>
    </w:p>
    <w:p w14:paraId="01DA0130">
      <w:pPr>
        <w:spacing w:line="220" w:lineRule="auto"/>
        <w:rPr>
          <w:rFonts w:ascii="宋体" w:hAnsi="宋体" w:eastAsia="宋体" w:cs="宋体"/>
          <w:sz w:val="28"/>
          <w:szCs w:val="28"/>
        </w:rPr>
        <w:sectPr>
          <w:footerReference r:id="rId550" w:type="default"/>
          <w:pgSz w:w="11907" w:h="16840"/>
          <w:pgMar w:top="400" w:right="1786" w:bottom="1247" w:left="1498" w:header="0" w:footer="1085" w:gutter="0"/>
          <w:cols w:space="720" w:num="1"/>
        </w:sectPr>
      </w:pPr>
    </w:p>
    <w:p w14:paraId="55367603">
      <w:pPr>
        <w:spacing w:line="265" w:lineRule="auto"/>
        <w:rPr>
          <w:rFonts w:ascii="Arial"/>
          <w:sz w:val="21"/>
        </w:rPr>
      </w:pPr>
    </w:p>
    <w:p w14:paraId="501E47A4">
      <w:pPr>
        <w:spacing w:line="265" w:lineRule="auto"/>
        <w:rPr>
          <w:rFonts w:ascii="Arial"/>
          <w:sz w:val="21"/>
        </w:rPr>
      </w:pPr>
    </w:p>
    <w:p w14:paraId="4C329739">
      <w:pPr>
        <w:spacing w:line="266" w:lineRule="auto"/>
        <w:rPr>
          <w:rFonts w:ascii="Arial"/>
          <w:sz w:val="21"/>
        </w:rPr>
      </w:pPr>
    </w:p>
    <w:p w14:paraId="2EDFD40B">
      <w:pPr>
        <w:spacing w:line="266" w:lineRule="auto"/>
        <w:rPr>
          <w:rFonts w:ascii="Arial"/>
          <w:sz w:val="21"/>
        </w:rPr>
      </w:pPr>
    </w:p>
    <w:p w14:paraId="1A5793BA">
      <w:pPr>
        <w:spacing w:line="266" w:lineRule="auto"/>
        <w:rPr>
          <w:rFonts w:ascii="Arial"/>
          <w:sz w:val="21"/>
        </w:rPr>
      </w:pPr>
    </w:p>
    <w:p w14:paraId="44B4EF00">
      <w:pPr>
        <w:pStyle w:val="2"/>
        <w:spacing w:before="78" w:line="222" w:lineRule="auto"/>
        <w:rPr>
          <w:sz w:val="24"/>
          <w:szCs w:val="24"/>
        </w:rPr>
      </w:pPr>
      <w:r>
        <w:rPr>
          <w:spacing w:val="-2"/>
          <w:sz w:val="24"/>
          <w:szCs w:val="24"/>
        </w:rPr>
        <w:t>投标总价扉页</w:t>
      </w:r>
    </w:p>
    <w:p w14:paraId="3E887C24">
      <w:pPr>
        <w:spacing w:line="254" w:lineRule="auto"/>
        <w:rPr>
          <w:rFonts w:ascii="Arial"/>
          <w:sz w:val="21"/>
        </w:rPr>
      </w:pPr>
    </w:p>
    <w:p w14:paraId="2F954609">
      <w:pPr>
        <w:spacing w:line="255" w:lineRule="auto"/>
        <w:rPr>
          <w:rFonts w:ascii="Arial"/>
          <w:sz w:val="21"/>
        </w:rPr>
      </w:pPr>
    </w:p>
    <w:p w14:paraId="25850908">
      <w:pPr>
        <w:spacing w:line="255" w:lineRule="auto"/>
        <w:rPr>
          <w:rFonts w:ascii="Arial"/>
          <w:sz w:val="21"/>
        </w:rPr>
      </w:pPr>
    </w:p>
    <w:p w14:paraId="625F4D9E">
      <w:pPr>
        <w:pStyle w:val="2"/>
        <w:tabs>
          <w:tab w:val="left" w:pos="2391"/>
        </w:tabs>
        <w:spacing w:before="98" w:line="222" w:lineRule="auto"/>
        <w:ind w:left="891"/>
        <w:rPr>
          <w:sz w:val="30"/>
          <w:szCs w:val="30"/>
        </w:rPr>
      </w:pPr>
      <w:bookmarkStart w:id="455" w:name="bookmark431"/>
      <w:bookmarkEnd w:id="455"/>
      <w:r>
        <w:rPr>
          <w:sz w:val="30"/>
          <w:szCs w:val="30"/>
          <w:u w:val="single" w:color="auto"/>
        </w:rPr>
        <w:tab/>
      </w:r>
      <w:r>
        <w:rPr>
          <w:spacing w:val="2"/>
          <w:sz w:val="30"/>
          <w:szCs w:val="30"/>
        </w:rPr>
        <w:t>（项目名称</w:t>
      </w:r>
      <w:r>
        <w:rPr>
          <w:spacing w:val="-14"/>
          <w:sz w:val="30"/>
          <w:szCs w:val="30"/>
        </w:rPr>
        <w:t>）</w:t>
      </w:r>
      <w:r>
        <w:rPr>
          <w:sz w:val="30"/>
          <w:szCs w:val="30"/>
          <w:u w:val="single" w:color="auto"/>
        </w:rPr>
        <w:t xml:space="preserve">      </w:t>
      </w:r>
      <w:r>
        <w:rPr>
          <w:spacing w:val="-14"/>
          <w:sz w:val="30"/>
          <w:szCs w:val="30"/>
        </w:rPr>
        <w:t>（</w:t>
      </w:r>
      <w:r>
        <w:rPr>
          <w:spacing w:val="2"/>
          <w:sz w:val="30"/>
          <w:szCs w:val="30"/>
        </w:rPr>
        <w:t>标段名称）施工招标</w:t>
      </w:r>
    </w:p>
    <w:p w14:paraId="78C7DBF9">
      <w:pPr>
        <w:spacing w:line="298" w:lineRule="auto"/>
        <w:rPr>
          <w:rFonts w:ascii="Arial"/>
          <w:sz w:val="21"/>
        </w:rPr>
      </w:pPr>
    </w:p>
    <w:p w14:paraId="54E72183">
      <w:pPr>
        <w:pStyle w:val="2"/>
        <w:spacing w:before="101" w:line="227" w:lineRule="auto"/>
        <w:ind w:left="4094"/>
        <w:rPr>
          <w:sz w:val="31"/>
          <w:szCs w:val="31"/>
        </w:rPr>
      </w:pPr>
      <w:r>
        <w:rPr>
          <w:spacing w:val="37"/>
          <w:sz w:val="31"/>
          <w:szCs w:val="31"/>
        </w:rPr>
        <w:t>投标总价</w:t>
      </w:r>
    </w:p>
    <w:p w14:paraId="3911C21C">
      <w:pPr>
        <w:spacing w:line="339" w:lineRule="auto"/>
        <w:rPr>
          <w:rFonts w:ascii="Arial"/>
          <w:sz w:val="21"/>
        </w:rPr>
      </w:pPr>
    </w:p>
    <w:p w14:paraId="1CA26EF8">
      <w:pPr>
        <w:spacing w:line="339" w:lineRule="auto"/>
        <w:rPr>
          <w:rFonts w:ascii="Arial"/>
          <w:sz w:val="21"/>
        </w:rPr>
      </w:pPr>
    </w:p>
    <w:p w14:paraId="456C5881">
      <w:pPr>
        <w:spacing w:before="65" w:line="228" w:lineRule="auto"/>
        <w:ind w:left="421"/>
        <w:rPr>
          <w:rFonts w:ascii="宋体" w:hAnsi="宋体" w:eastAsia="宋体" w:cs="宋体"/>
          <w:sz w:val="20"/>
          <w:szCs w:val="20"/>
        </w:rPr>
      </w:pPr>
      <w:r>
        <w:rPr>
          <w:rFonts w:ascii="宋体" w:hAnsi="宋体" w:eastAsia="宋体" w:cs="宋体"/>
          <w:spacing w:val="-3"/>
          <w:sz w:val="20"/>
          <w:szCs w:val="20"/>
        </w:rPr>
        <w:t>招</w:t>
      </w:r>
      <w:r>
        <w:rPr>
          <w:rFonts w:ascii="宋体" w:hAnsi="宋体" w:eastAsia="宋体" w:cs="宋体"/>
          <w:spacing w:val="27"/>
          <w:sz w:val="20"/>
          <w:szCs w:val="20"/>
        </w:rPr>
        <w:t xml:space="preserve"> </w:t>
      </w:r>
      <w:r>
        <w:rPr>
          <w:rFonts w:ascii="宋体" w:hAnsi="宋体" w:eastAsia="宋体" w:cs="宋体"/>
          <w:spacing w:val="-3"/>
          <w:sz w:val="20"/>
          <w:szCs w:val="20"/>
        </w:rPr>
        <w:t>标</w:t>
      </w:r>
      <w:r>
        <w:rPr>
          <w:rFonts w:ascii="宋体" w:hAnsi="宋体" w:eastAsia="宋体" w:cs="宋体"/>
          <w:spacing w:val="18"/>
          <w:sz w:val="20"/>
          <w:szCs w:val="20"/>
        </w:rPr>
        <w:t xml:space="preserve"> </w:t>
      </w:r>
      <w:r>
        <w:rPr>
          <w:rFonts w:ascii="宋体" w:hAnsi="宋体" w:eastAsia="宋体" w:cs="宋体"/>
          <w:spacing w:val="-3"/>
          <w:sz w:val="20"/>
          <w:szCs w:val="20"/>
        </w:rPr>
        <w:t>人</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194AB1BA">
      <w:pPr>
        <w:spacing w:line="286" w:lineRule="auto"/>
        <w:rPr>
          <w:rFonts w:ascii="Arial"/>
          <w:sz w:val="21"/>
        </w:rPr>
      </w:pPr>
    </w:p>
    <w:p w14:paraId="52914499">
      <w:pPr>
        <w:spacing w:before="65" w:line="228" w:lineRule="auto"/>
        <w:ind w:left="423"/>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223D205E">
      <w:pPr>
        <w:spacing w:line="286" w:lineRule="auto"/>
        <w:rPr>
          <w:rFonts w:ascii="Arial"/>
          <w:sz w:val="21"/>
        </w:rPr>
      </w:pPr>
    </w:p>
    <w:p w14:paraId="763AD09A">
      <w:pPr>
        <w:spacing w:before="65" w:line="226" w:lineRule="auto"/>
        <w:ind w:left="423"/>
        <w:rPr>
          <w:rFonts w:ascii="宋体" w:hAnsi="宋体" w:eastAsia="宋体" w:cs="宋体"/>
          <w:sz w:val="20"/>
          <w:szCs w:val="20"/>
        </w:rPr>
      </w:pPr>
      <w:r>
        <w:rPr>
          <w:rFonts w:ascii="宋体" w:hAnsi="宋体" w:eastAsia="宋体" w:cs="宋体"/>
          <w:spacing w:val="7"/>
          <w:sz w:val="20"/>
          <w:szCs w:val="20"/>
        </w:rPr>
        <w:t>投标总价（小写</w:t>
      </w:r>
      <w:r>
        <w:rPr>
          <w:rFonts w:ascii="宋体" w:hAnsi="宋体" w:eastAsia="宋体" w:cs="宋体"/>
          <w:spacing w:val="-9"/>
          <w:sz w:val="20"/>
          <w:szCs w:val="20"/>
        </w:rPr>
        <w:t>）</w:t>
      </w:r>
      <w:r>
        <w:rPr>
          <w:rFonts w:ascii="宋体" w:hAnsi="宋体" w:eastAsia="宋体" w:cs="宋体"/>
          <w:spacing w:val="43"/>
          <w:sz w:val="20"/>
          <w:szCs w:val="20"/>
        </w:rPr>
        <w:t xml:space="preserve"> </w:t>
      </w:r>
      <w:r>
        <w:rPr>
          <w:rFonts w:ascii="宋体" w:hAnsi="宋体" w:eastAsia="宋体" w:cs="宋体"/>
          <w:spacing w:val="-9"/>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7"/>
          <w:sz w:val="20"/>
          <w:szCs w:val="20"/>
          <w:u w:val="single" w:color="auto"/>
        </w:rPr>
        <w:t>元</w:t>
      </w:r>
      <w:r>
        <w:rPr>
          <w:rFonts w:ascii="宋体" w:hAnsi="宋体" w:eastAsia="宋体" w:cs="宋体"/>
          <w:spacing w:val="3"/>
          <w:sz w:val="20"/>
          <w:szCs w:val="20"/>
          <w:u w:val="single" w:color="auto"/>
        </w:rPr>
        <w:t xml:space="preserve">    </w:t>
      </w:r>
    </w:p>
    <w:p w14:paraId="7A91E199">
      <w:pPr>
        <w:spacing w:line="288" w:lineRule="auto"/>
        <w:rPr>
          <w:rFonts w:ascii="Arial"/>
          <w:sz w:val="21"/>
        </w:rPr>
      </w:pPr>
    </w:p>
    <w:p w14:paraId="426E1338">
      <w:pPr>
        <w:spacing w:before="66" w:line="228" w:lineRule="auto"/>
        <w:ind w:left="1270"/>
        <w:rPr>
          <w:rFonts w:ascii="宋体" w:hAnsi="宋体" w:eastAsia="宋体" w:cs="宋体"/>
          <w:sz w:val="20"/>
          <w:szCs w:val="20"/>
        </w:rPr>
      </w:pPr>
      <w:r>
        <w:rPr>
          <w:rFonts w:ascii="宋体" w:hAnsi="宋体" w:eastAsia="宋体" w:cs="宋体"/>
          <w:spacing w:val="2"/>
          <w:sz w:val="20"/>
          <w:szCs w:val="20"/>
        </w:rPr>
        <w:t>（大写</w:t>
      </w:r>
      <w:r>
        <w:rPr>
          <w:rFonts w:ascii="宋体" w:hAnsi="宋体" w:eastAsia="宋体" w:cs="宋体"/>
          <w:spacing w:val="-9"/>
          <w:sz w:val="20"/>
          <w:szCs w:val="20"/>
        </w:rPr>
        <w:t>）</w:t>
      </w:r>
      <w:r>
        <w:rPr>
          <w:rFonts w:ascii="宋体" w:hAnsi="宋体" w:eastAsia="宋体" w:cs="宋体"/>
          <w:spacing w:val="44"/>
          <w:sz w:val="20"/>
          <w:szCs w:val="20"/>
        </w:rPr>
        <w:t xml:space="preserve"> </w:t>
      </w:r>
      <w:r>
        <w:rPr>
          <w:rFonts w:ascii="宋体" w:hAnsi="宋体" w:eastAsia="宋体" w:cs="宋体"/>
          <w:spacing w:val="-9"/>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
          <w:sz w:val="20"/>
          <w:szCs w:val="20"/>
          <w:u w:val="single" w:color="auto"/>
        </w:rPr>
        <w:t>元</w:t>
      </w:r>
      <w:r>
        <w:rPr>
          <w:rFonts w:ascii="宋体" w:hAnsi="宋体" w:eastAsia="宋体" w:cs="宋体"/>
          <w:spacing w:val="3"/>
          <w:sz w:val="20"/>
          <w:szCs w:val="20"/>
          <w:u w:val="single" w:color="auto"/>
        </w:rPr>
        <w:t xml:space="preserve">    </w:t>
      </w:r>
    </w:p>
    <w:p w14:paraId="493B1F40">
      <w:pPr>
        <w:spacing w:line="330" w:lineRule="auto"/>
        <w:rPr>
          <w:rFonts w:ascii="Arial"/>
          <w:sz w:val="21"/>
        </w:rPr>
      </w:pPr>
    </w:p>
    <w:p w14:paraId="00A12C82">
      <w:pPr>
        <w:spacing w:line="330" w:lineRule="auto"/>
        <w:rPr>
          <w:rFonts w:ascii="Arial"/>
          <w:sz w:val="21"/>
        </w:rPr>
      </w:pPr>
    </w:p>
    <w:p w14:paraId="487BE956">
      <w:pPr>
        <w:spacing w:before="66" w:line="228" w:lineRule="auto"/>
        <w:ind w:left="423"/>
        <w:rPr>
          <w:rFonts w:ascii="宋体" w:hAnsi="宋体" w:eastAsia="宋体" w:cs="宋体"/>
          <w:sz w:val="20"/>
          <w:szCs w:val="20"/>
        </w:rPr>
      </w:pPr>
      <w:r>
        <w:rPr>
          <w:rFonts w:ascii="宋体" w:hAnsi="宋体" w:eastAsia="宋体" w:cs="宋体"/>
          <w:spacing w:val="-3"/>
          <w:sz w:val="20"/>
          <w:szCs w:val="20"/>
        </w:rPr>
        <w:t>投</w:t>
      </w:r>
      <w:r>
        <w:rPr>
          <w:rFonts w:ascii="宋体" w:hAnsi="宋体" w:eastAsia="宋体" w:cs="宋体"/>
          <w:spacing w:val="26"/>
          <w:sz w:val="20"/>
          <w:szCs w:val="20"/>
        </w:rPr>
        <w:t xml:space="preserve"> </w:t>
      </w:r>
      <w:r>
        <w:rPr>
          <w:rFonts w:ascii="宋体" w:hAnsi="宋体" w:eastAsia="宋体" w:cs="宋体"/>
          <w:spacing w:val="-3"/>
          <w:sz w:val="20"/>
          <w:szCs w:val="20"/>
        </w:rPr>
        <w:t>标</w:t>
      </w:r>
      <w:r>
        <w:rPr>
          <w:rFonts w:ascii="宋体" w:hAnsi="宋体" w:eastAsia="宋体" w:cs="宋体"/>
          <w:spacing w:val="17"/>
          <w:sz w:val="20"/>
          <w:szCs w:val="20"/>
        </w:rPr>
        <w:t xml:space="preserve"> </w:t>
      </w:r>
      <w:r>
        <w:rPr>
          <w:rFonts w:ascii="宋体" w:hAnsi="宋体" w:eastAsia="宋体" w:cs="宋体"/>
          <w:spacing w:val="-3"/>
          <w:sz w:val="20"/>
          <w:szCs w:val="20"/>
        </w:rPr>
        <w:t>人</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57CD1143">
      <w:pPr>
        <w:spacing w:before="71" w:line="227" w:lineRule="auto"/>
        <w:ind w:left="4210"/>
        <w:rPr>
          <w:rFonts w:ascii="宋体" w:hAnsi="宋体" w:eastAsia="宋体" w:cs="宋体"/>
          <w:sz w:val="20"/>
          <w:szCs w:val="20"/>
        </w:rPr>
      </w:pPr>
      <w:r>
        <w:rPr>
          <w:rFonts w:ascii="宋体" w:hAnsi="宋体" w:eastAsia="宋体" w:cs="宋体"/>
          <w:spacing w:val="5"/>
          <w:sz w:val="20"/>
          <w:szCs w:val="20"/>
        </w:rPr>
        <w:t>（单位盖章）</w:t>
      </w:r>
    </w:p>
    <w:p w14:paraId="7313F77B">
      <w:pPr>
        <w:spacing w:line="434" w:lineRule="auto"/>
        <w:rPr>
          <w:rFonts w:ascii="Arial"/>
          <w:sz w:val="21"/>
        </w:rPr>
      </w:pPr>
    </w:p>
    <w:p w14:paraId="24F86FFB">
      <w:pPr>
        <w:spacing w:before="66" w:line="228" w:lineRule="auto"/>
        <w:ind w:left="421"/>
        <w:rPr>
          <w:rFonts w:ascii="宋体" w:hAnsi="宋体" w:eastAsia="宋体" w:cs="宋体"/>
          <w:sz w:val="20"/>
          <w:szCs w:val="20"/>
        </w:rPr>
      </w:pPr>
      <w:r>
        <w:rPr>
          <w:rFonts w:ascii="宋体" w:hAnsi="宋体" w:eastAsia="宋体" w:cs="宋体"/>
          <w:spacing w:val="7"/>
          <w:sz w:val="20"/>
          <w:szCs w:val="20"/>
        </w:rPr>
        <w:t>法定代表人</w:t>
      </w:r>
    </w:p>
    <w:p w14:paraId="0F13B1F0">
      <w:pPr>
        <w:spacing w:before="156" w:line="228" w:lineRule="auto"/>
        <w:ind w:left="423"/>
        <w:rPr>
          <w:rFonts w:ascii="宋体" w:hAnsi="宋体" w:eastAsia="宋体" w:cs="宋体"/>
          <w:sz w:val="20"/>
          <w:szCs w:val="20"/>
        </w:rPr>
      </w:pPr>
      <w:r>
        <w:rPr>
          <w:rFonts w:ascii="宋体" w:hAnsi="宋体" w:eastAsia="宋体" w:cs="宋体"/>
          <w:spacing w:val="4"/>
          <w:sz w:val="20"/>
          <w:szCs w:val="20"/>
        </w:rPr>
        <w:t>或其授权人：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20F86149">
      <w:pPr>
        <w:spacing w:before="73" w:line="228" w:lineRule="auto"/>
        <w:ind w:left="4422"/>
        <w:rPr>
          <w:rFonts w:ascii="宋体" w:hAnsi="宋体" w:eastAsia="宋体" w:cs="宋体"/>
          <w:sz w:val="20"/>
          <w:szCs w:val="20"/>
        </w:rPr>
      </w:pPr>
      <w:r>
        <w:rPr>
          <w:rFonts w:ascii="宋体" w:hAnsi="宋体" w:eastAsia="宋体" w:cs="宋体"/>
          <w:spacing w:val="2"/>
          <w:sz w:val="20"/>
          <w:szCs w:val="20"/>
        </w:rPr>
        <w:t>（签字）</w:t>
      </w:r>
    </w:p>
    <w:p w14:paraId="7A47044A">
      <w:pPr>
        <w:spacing w:line="322" w:lineRule="auto"/>
        <w:rPr>
          <w:rFonts w:ascii="Arial"/>
          <w:sz w:val="21"/>
        </w:rPr>
      </w:pPr>
    </w:p>
    <w:p w14:paraId="2149A18D">
      <w:pPr>
        <w:spacing w:line="322" w:lineRule="auto"/>
        <w:rPr>
          <w:rFonts w:ascii="Arial"/>
          <w:sz w:val="21"/>
        </w:rPr>
      </w:pPr>
    </w:p>
    <w:p w14:paraId="51454481">
      <w:pPr>
        <w:spacing w:before="65" w:line="228" w:lineRule="auto"/>
        <w:ind w:left="422"/>
        <w:rPr>
          <w:rFonts w:ascii="宋体" w:hAnsi="宋体" w:eastAsia="宋体" w:cs="宋体"/>
          <w:sz w:val="20"/>
          <w:szCs w:val="20"/>
        </w:rPr>
      </w:pPr>
      <w:r>
        <w:rPr>
          <w:rFonts w:ascii="宋体" w:hAnsi="宋体" w:eastAsia="宋体" w:cs="宋体"/>
          <w:spacing w:val="4"/>
          <w:sz w:val="20"/>
          <w:szCs w:val="20"/>
        </w:rPr>
        <w:t>编制人：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702B49F7">
      <w:pPr>
        <w:spacing w:before="75" w:line="226" w:lineRule="auto"/>
        <w:ind w:left="3582"/>
        <w:rPr>
          <w:rFonts w:ascii="宋体" w:hAnsi="宋体" w:eastAsia="宋体" w:cs="宋体"/>
          <w:sz w:val="20"/>
          <w:szCs w:val="20"/>
        </w:rPr>
      </w:pPr>
      <w:r>
        <w:rPr>
          <w:rFonts w:ascii="宋体" w:hAnsi="宋体" w:eastAsia="宋体" w:cs="宋体"/>
          <w:spacing w:val="7"/>
          <w:sz w:val="20"/>
          <w:szCs w:val="20"/>
        </w:rPr>
        <w:t>（造价人员签字盖专用章）</w:t>
      </w:r>
    </w:p>
    <w:p w14:paraId="54254B5E">
      <w:pPr>
        <w:spacing w:line="270" w:lineRule="auto"/>
        <w:rPr>
          <w:rFonts w:ascii="Arial"/>
          <w:sz w:val="21"/>
        </w:rPr>
      </w:pPr>
    </w:p>
    <w:p w14:paraId="26F57B08">
      <w:pPr>
        <w:spacing w:line="271" w:lineRule="auto"/>
        <w:rPr>
          <w:rFonts w:ascii="Arial"/>
          <w:sz w:val="21"/>
        </w:rPr>
      </w:pPr>
    </w:p>
    <w:p w14:paraId="20B8CD30">
      <w:pPr>
        <w:spacing w:line="271" w:lineRule="auto"/>
        <w:rPr>
          <w:rFonts w:ascii="Arial"/>
          <w:sz w:val="21"/>
        </w:rPr>
      </w:pPr>
    </w:p>
    <w:p w14:paraId="105C09A0">
      <w:pPr>
        <w:spacing w:before="65" w:line="228" w:lineRule="auto"/>
        <w:ind w:left="422"/>
        <w:rPr>
          <w:rFonts w:ascii="宋体" w:hAnsi="宋体" w:eastAsia="宋体" w:cs="宋体"/>
          <w:sz w:val="20"/>
          <w:szCs w:val="20"/>
        </w:rPr>
      </w:pPr>
      <w:r>
        <w:rPr>
          <w:rFonts w:ascii="宋体" w:hAnsi="宋体" w:eastAsia="宋体" w:cs="宋体"/>
          <w:spacing w:val="2"/>
          <w:sz w:val="20"/>
          <w:szCs w:val="20"/>
        </w:rPr>
        <w:t>编制时间：                         年      月</w:t>
      </w:r>
      <w:r>
        <w:rPr>
          <w:rFonts w:ascii="宋体" w:hAnsi="宋体" w:eastAsia="宋体" w:cs="宋体"/>
          <w:spacing w:val="1"/>
          <w:sz w:val="20"/>
          <w:szCs w:val="20"/>
        </w:rPr>
        <w:t xml:space="preserve">       日</w:t>
      </w:r>
    </w:p>
    <w:p w14:paraId="2007EC68">
      <w:pPr>
        <w:spacing w:line="274" w:lineRule="auto"/>
        <w:rPr>
          <w:rFonts w:ascii="Arial"/>
          <w:sz w:val="21"/>
        </w:rPr>
      </w:pPr>
    </w:p>
    <w:p w14:paraId="1F3A7BB5">
      <w:pPr>
        <w:spacing w:line="274" w:lineRule="auto"/>
        <w:rPr>
          <w:rFonts w:ascii="Arial"/>
          <w:sz w:val="21"/>
        </w:rPr>
      </w:pPr>
    </w:p>
    <w:p w14:paraId="7C9526A3">
      <w:pPr>
        <w:spacing w:line="275" w:lineRule="auto"/>
        <w:rPr>
          <w:rFonts w:ascii="Arial"/>
          <w:sz w:val="21"/>
        </w:rPr>
      </w:pPr>
    </w:p>
    <w:p w14:paraId="1A89C3BA">
      <w:pPr>
        <w:spacing w:before="66" w:line="226" w:lineRule="auto"/>
        <w:ind w:left="423"/>
        <w:rPr>
          <w:rFonts w:ascii="宋体" w:hAnsi="宋体" w:eastAsia="宋体" w:cs="宋体"/>
          <w:sz w:val="20"/>
          <w:szCs w:val="20"/>
        </w:rPr>
      </w:pPr>
      <w:r>
        <w:rPr>
          <w:rFonts w:ascii="宋体" w:hAnsi="宋体" w:eastAsia="宋体" w:cs="宋体"/>
          <w:spacing w:val="8"/>
          <w:sz w:val="20"/>
          <w:szCs w:val="20"/>
        </w:rPr>
        <w:t>备注：1. 投标总价可按四舍五入精确到元。</w:t>
      </w:r>
    </w:p>
    <w:p w14:paraId="020D6556">
      <w:pPr>
        <w:spacing w:before="134" w:line="351" w:lineRule="auto"/>
        <w:ind w:left="1370" w:hanging="316"/>
        <w:rPr>
          <w:rFonts w:ascii="宋体" w:hAnsi="宋体" w:eastAsia="宋体" w:cs="宋体"/>
          <w:sz w:val="20"/>
          <w:szCs w:val="20"/>
        </w:rPr>
      </w:pPr>
      <w:r>
        <w:rPr>
          <w:rFonts w:ascii="宋体" w:hAnsi="宋体" w:eastAsia="宋体" w:cs="宋体"/>
          <w:spacing w:val="6"/>
          <w:sz w:val="20"/>
          <w:szCs w:val="20"/>
        </w:rPr>
        <w:t>2. 因“</w:t>
      </w:r>
      <w:r>
        <w:rPr>
          <w:rFonts w:ascii="宋体" w:hAnsi="宋体" w:eastAsia="宋体" w:cs="宋体"/>
          <w:spacing w:val="-51"/>
          <w:sz w:val="20"/>
          <w:szCs w:val="20"/>
        </w:rPr>
        <w:t xml:space="preserve"> </w:t>
      </w:r>
      <w:r>
        <w:rPr>
          <w:rFonts w:ascii="宋体" w:hAnsi="宋体" w:eastAsia="宋体" w:cs="宋体"/>
          <w:spacing w:val="6"/>
          <w:sz w:val="20"/>
          <w:szCs w:val="20"/>
        </w:rPr>
        <w:t>电子交易平台</w:t>
      </w:r>
      <w:r>
        <w:rPr>
          <w:rFonts w:ascii="宋体" w:hAnsi="宋体" w:eastAsia="宋体" w:cs="宋体"/>
          <w:spacing w:val="-70"/>
          <w:sz w:val="20"/>
          <w:szCs w:val="20"/>
        </w:rPr>
        <w:t xml:space="preserve"> </w:t>
      </w:r>
      <w:r>
        <w:rPr>
          <w:rFonts w:ascii="宋体" w:hAnsi="宋体" w:eastAsia="宋体" w:cs="宋体"/>
          <w:spacing w:val="6"/>
          <w:sz w:val="20"/>
          <w:szCs w:val="20"/>
        </w:rPr>
        <w:t>”未要求造价人员办理</w:t>
      </w:r>
      <w:r>
        <w:rPr>
          <w:rFonts w:ascii="宋体" w:hAnsi="宋体" w:eastAsia="宋体" w:cs="宋体"/>
          <w:spacing w:val="-38"/>
          <w:sz w:val="20"/>
          <w:szCs w:val="20"/>
        </w:rPr>
        <w:t xml:space="preserve"> </w:t>
      </w:r>
      <w:r>
        <w:rPr>
          <w:rFonts w:ascii="宋体" w:hAnsi="宋体" w:eastAsia="宋体" w:cs="宋体"/>
          <w:sz w:val="20"/>
          <w:szCs w:val="20"/>
        </w:rPr>
        <w:t>CA</w:t>
      </w:r>
      <w:r>
        <w:rPr>
          <w:rFonts w:ascii="宋体" w:hAnsi="宋体" w:eastAsia="宋体" w:cs="宋体"/>
          <w:spacing w:val="-39"/>
          <w:sz w:val="20"/>
          <w:szCs w:val="20"/>
        </w:rPr>
        <w:t xml:space="preserve"> </w:t>
      </w:r>
      <w:r>
        <w:rPr>
          <w:rFonts w:ascii="宋体" w:hAnsi="宋体" w:eastAsia="宋体" w:cs="宋体"/>
          <w:spacing w:val="6"/>
          <w:sz w:val="20"/>
          <w:szCs w:val="20"/>
        </w:rPr>
        <w:t>数字证书，“造价人员签字盖专用章</w:t>
      </w:r>
      <w:r>
        <w:rPr>
          <w:rFonts w:ascii="宋体" w:hAnsi="宋体" w:eastAsia="宋体" w:cs="宋体"/>
          <w:spacing w:val="-70"/>
          <w:sz w:val="20"/>
          <w:szCs w:val="20"/>
        </w:rPr>
        <w:t xml:space="preserve"> </w:t>
      </w:r>
      <w:r>
        <w:rPr>
          <w:rFonts w:ascii="宋体" w:hAnsi="宋体" w:eastAsia="宋体" w:cs="宋体"/>
          <w:spacing w:val="6"/>
          <w:sz w:val="20"/>
          <w:szCs w:val="20"/>
        </w:rPr>
        <w:t>”</w:t>
      </w:r>
      <w:r>
        <w:rPr>
          <w:rFonts w:ascii="宋体" w:hAnsi="宋体" w:eastAsia="宋体" w:cs="宋体"/>
          <w:spacing w:val="8"/>
          <w:sz w:val="20"/>
          <w:szCs w:val="20"/>
        </w:rPr>
        <w:t>处暂无需签字和盖专用章。</w:t>
      </w:r>
    </w:p>
    <w:p w14:paraId="005841BD">
      <w:pPr>
        <w:spacing w:before="1" w:line="351" w:lineRule="auto"/>
        <w:ind w:left="1366" w:hanging="310"/>
        <w:rPr>
          <w:rFonts w:ascii="宋体" w:hAnsi="宋体" w:eastAsia="宋体" w:cs="宋体"/>
          <w:sz w:val="20"/>
          <w:szCs w:val="20"/>
        </w:rPr>
      </w:pPr>
      <w:r>
        <w:rPr>
          <w:rFonts w:ascii="宋体" w:hAnsi="宋体" w:eastAsia="宋体" w:cs="宋体"/>
          <w:spacing w:val="10"/>
          <w:sz w:val="20"/>
          <w:szCs w:val="20"/>
        </w:rPr>
        <w:t>3.</w:t>
      </w:r>
      <w:r>
        <w:rPr>
          <w:rFonts w:ascii="宋体" w:hAnsi="宋体" w:eastAsia="宋体" w:cs="宋体"/>
          <w:spacing w:val="36"/>
          <w:sz w:val="20"/>
          <w:szCs w:val="20"/>
        </w:rPr>
        <w:t xml:space="preserve"> </w:t>
      </w:r>
      <w:r>
        <w:rPr>
          <w:rFonts w:ascii="宋体" w:hAnsi="宋体" w:eastAsia="宋体" w:cs="宋体"/>
          <w:spacing w:val="10"/>
          <w:sz w:val="20"/>
          <w:szCs w:val="20"/>
        </w:rPr>
        <w:t>已标价工程量清单的内容和制作按第五章“工程</w:t>
      </w:r>
      <w:r>
        <w:rPr>
          <w:rFonts w:ascii="宋体" w:hAnsi="宋体" w:eastAsia="宋体" w:cs="宋体"/>
          <w:spacing w:val="9"/>
          <w:sz w:val="20"/>
          <w:szCs w:val="20"/>
        </w:rPr>
        <w:t>量清单</w:t>
      </w:r>
      <w:r>
        <w:rPr>
          <w:rFonts w:ascii="宋体" w:hAnsi="宋体" w:eastAsia="宋体" w:cs="宋体"/>
          <w:spacing w:val="-70"/>
          <w:sz w:val="20"/>
          <w:szCs w:val="20"/>
        </w:rPr>
        <w:t xml:space="preserve"> </w:t>
      </w:r>
      <w:r>
        <w:rPr>
          <w:rFonts w:ascii="宋体" w:hAnsi="宋体" w:eastAsia="宋体" w:cs="宋体"/>
          <w:spacing w:val="9"/>
          <w:sz w:val="20"/>
          <w:szCs w:val="20"/>
        </w:rPr>
        <w:t>”和第二章“投标人须知</w:t>
      </w:r>
      <w:r>
        <w:rPr>
          <w:rFonts w:ascii="宋体" w:hAnsi="宋体" w:eastAsia="宋体" w:cs="宋体"/>
          <w:spacing w:val="-73"/>
          <w:sz w:val="20"/>
          <w:szCs w:val="20"/>
        </w:rPr>
        <w:t xml:space="preserve"> </w:t>
      </w:r>
      <w:r>
        <w:rPr>
          <w:rFonts w:ascii="宋体" w:hAnsi="宋体" w:eastAsia="宋体" w:cs="宋体"/>
          <w:spacing w:val="9"/>
          <w:sz w:val="20"/>
          <w:szCs w:val="20"/>
        </w:rPr>
        <w:t>”</w:t>
      </w:r>
      <w:r>
        <w:rPr>
          <w:rFonts w:ascii="宋体" w:hAnsi="宋体" w:eastAsia="宋体" w:cs="宋体"/>
          <w:spacing w:val="3"/>
          <w:sz w:val="20"/>
          <w:szCs w:val="20"/>
        </w:rPr>
        <w:t>第</w:t>
      </w:r>
      <w:r>
        <w:rPr>
          <w:rFonts w:ascii="宋体" w:hAnsi="宋体" w:eastAsia="宋体" w:cs="宋体"/>
          <w:spacing w:val="-25"/>
          <w:sz w:val="20"/>
          <w:szCs w:val="20"/>
        </w:rPr>
        <w:t xml:space="preserve"> </w:t>
      </w:r>
      <w:r>
        <w:rPr>
          <w:rFonts w:ascii="宋体" w:hAnsi="宋体" w:eastAsia="宋体" w:cs="宋体"/>
          <w:spacing w:val="3"/>
          <w:sz w:val="20"/>
          <w:szCs w:val="20"/>
        </w:rPr>
        <w:t>3.7.3（4）</w:t>
      </w:r>
      <w:r>
        <w:rPr>
          <w:rFonts w:ascii="宋体" w:hAnsi="宋体" w:eastAsia="宋体" w:cs="宋体"/>
          <w:spacing w:val="-42"/>
          <w:sz w:val="20"/>
          <w:szCs w:val="20"/>
        </w:rPr>
        <w:t xml:space="preserve"> </w:t>
      </w:r>
      <w:r>
        <w:rPr>
          <w:rFonts w:ascii="宋体" w:hAnsi="宋体" w:eastAsia="宋体" w:cs="宋体"/>
          <w:spacing w:val="3"/>
          <w:sz w:val="20"/>
          <w:szCs w:val="20"/>
        </w:rPr>
        <w:t>目的要求填报和制作。</w:t>
      </w:r>
    </w:p>
    <w:p w14:paraId="7DA8296E">
      <w:pPr>
        <w:spacing w:line="351" w:lineRule="auto"/>
        <w:rPr>
          <w:rFonts w:ascii="宋体" w:hAnsi="宋体" w:eastAsia="宋体" w:cs="宋体"/>
          <w:sz w:val="20"/>
          <w:szCs w:val="20"/>
        </w:rPr>
        <w:sectPr>
          <w:footerReference r:id="rId551" w:type="default"/>
          <w:pgSz w:w="11907" w:h="16840"/>
          <w:pgMar w:top="400" w:right="1410" w:bottom="1247" w:left="1481" w:header="0" w:footer="1085" w:gutter="0"/>
          <w:cols w:space="720" w:num="1"/>
        </w:sectPr>
      </w:pPr>
    </w:p>
    <w:p w14:paraId="4E197E4E">
      <w:pPr>
        <w:spacing w:line="256" w:lineRule="auto"/>
        <w:rPr>
          <w:rFonts w:ascii="Arial"/>
          <w:sz w:val="21"/>
        </w:rPr>
      </w:pPr>
    </w:p>
    <w:p w14:paraId="139B4C6F">
      <w:pPr>
        <w:spacing w:line="256" w:lineRule="auto"/>
        <w:rPr>
          <w:rFonts w:ascii="Arial"/>
          <w:sz w:val="21"/>
        </w:rPr>
      </w:pPr>
    </w:p>
    <w:p w14:paraId="12F25BA9">
      <w:pPr>
        <w:spacing w:line="256" w:lineRule="auto"/>
        <w:rPr>
          <w:rFonts w:ascii="Arial"/>
          <w:sz w:val="21"/>
        </w:rPr>
      </w:pPr>
    </w:p>
    <w:p w14:paraId="55B40150">
      <w:pPr>
        <w:spacing w:line="256" w:lineRule="auto"/>
        <w:rPr>
          <w:rFonts w:ascii="Arial"/>
          <w:sz w:val="21"/>
        </w:rPr>
      </w:pPr>
    </w:p>
    <w:p w14:paraId="3535BFA5">
      <w:pPr>
        <w:spacing w:line="257" w:lineRule="auto"/>
        <w:rPr>
          <w:rFonts w:ascii="Arial"/>
          <w:sz w:val="21"/>
        </w:rPr>
      </w:pPr>
    </w:p>
    <w:p w14:paraId="33F2D7CB">
      <w:pPr>
        <w:pStyle w:val="2"/>
        <w:spacing w:before="91" w:line="222" w:lineRule="auto"/>
        <w:ind w:left="3336"/>
        <w:outlineLvl w:val="1"/>
        <w:rPr>
          <w:sz w:val="28"/>
          <w:szCs w:val="28"/>
        </w:rPr>
      </w:pPr>
      <w:bookmarkStart w:id="456" w:name="bookmark432"/>
      <w:bookmarkEnd w:id="456"/>
      <w:r>
        <w:rPr>
          <w:spacing w:val="-2"/>
          <w:sz w:val="28"/>
          <w:szCs w:val="28"/>
        </w:rPr>
        <w:t>十、施工组织设计</w:t>
      </w:r>
    </w:p>
    <w:p w14:paraId="34CCB4C4">
      <w:pPr>
        <w:spacing w:before="138" w:line="388" w:lineRule="auto"/>
        <w:ind w:right="89" w:firstLine="434"/>
        <w:jc w:val="both"/>
        <w:rPr>
          <w:rFonts w:ascii="宋体" w:hAnsi="宋体" w:eastAsia="宋体" w:cs="宋体"/>
          <w:sz w:val="20"/>
          <w:szCs w:val="20"/>
        </w:rPr>
      </w:pPr>
      <w:r>
        <w:rPr>
          <w:rFonts w:ascii="宋体" w:hAnsi="宋体" w:eastAsia="宋体" w:cs="宋体"/>
          <w:spacing w:val="9"/>
          <w:sz w:val="20"/>
          <w:szCs w:val="20"/>
        </w:rPr>
        <w:t>1．投标人应根据招标文件和对现场的勘察情况，采用文字</w:t>
      </w:r>
      <w:r>
        <w:rPr>
          <w:rFonts w:ascii="宋体" w:hAnsi="宋体" w:eastAsia="宋体" w:cs="宋体"/>
          <w:spacing w:val="8"/>
          <w:sz w:val="20"/>
          <w:szCs w:val="20"/>
        </w:rPr>
        <w:t>并结合图表形式，按照中华人民共</w:t>
      </w:r>
      <w:r>
        <w:rPr>
          <w:rFonts w:ascii="宋体" w:hAnsi="宋体" w:eastAsia="宋体" w:cs="宋体"/>
          <w:spacing w:val="6"/>
          <w:sz w:val="20"/>
          <w:szCs w:val="20"/>
        </w:rPr>
        <w:t>和国国家标准《建筑施工组织设计规范》（</w:t>
      </w:r>
      <w:r>
        <w:rPr>
          <w:rFonts w:ascii="宋体" w:hAnsi="宋体" w:eastAsia="宋体" w:cs="宋体"/>
          <w:sz w:val="20"/>
          <w:szCs w:val="20"/>
        </w:rPr>
        <w:t>GB</w:t>
      </w:r>
      <w:r>
        <w:rPr>
          <w:rFonts w:ascii="宋体" w:hAnsi="宋体" w:eastAsia="宋体" w:cs="宋体"/>
          <w:spacing w:val="6"/>
          <w:sz w:val="20"/>
          <w:szCs w:val="20"/>
        </w:rPr>
        <w:t>/T50502-2009）的要求编制本工程的施工组织设计，其要点如下：</w:t>
      </w:r>
    </w:p>
    <w:p w14:paraId="405CB4C5">
      <w:pPr>
        <w:spacing w:line="227" w:lineRule="auto"/>
        <w:ind w:left="429"/>
        <w:rPr>
          <w:rFonts w:ascii="宋体" w:hAnsi="宋体" w:eastAsia="宋体" w:cs="宋体"/>
          <w:sz w:val="20"/>
          <w:szCs w:val="20"/>
        </w:rPr>
      </w:pPr>
      <w:r>
        <w:rPr>
          <w:rFonts w:ascii="宋体" w:hAnsi="宋体" w:eastAsia="宋体" w:cs="宋体"/>
          <w:spacing w:val="5"/>
          <w:sz w:val="20"/>
          <w:szCs w:val="20"/>
        </w:rPr>
        <w:t>（1）</w:t>
      </w:r>
      <w:r>
        <w:rPr>
          <w:rFonts w:ascii="宋体" w:hAnsi="宋体" w:eastAsia="宋体" w:cs="宋体"/>
          <w:b/>
          <w:bCs/>
          <w:spacing w:val="5"/>
          <w:sz w:val="20"/>
          <w:szCs w:val="20"/>
        </w:rPr>
        <w:t>工程概况</w:t>
      </w:r>
    </w:p>
    <w:p w14:paraId="4BA9D1CC">
      <w:pPr>
        <w:spacing w:before="173" w:line="227" w:lineRule="auto"/>
        <w:ind w:left="944"/>
        <w:rPr>
          <w:rFonts w:ascii="宋体" w:hAnsi="宋体" w:eastAsia="宋体" w:cs="宋体"/>
          <w:sz w:val="20"/>
          <w:szCs w:val="20"/>
        </w:rPr>
      </w:pPr>
      <w:r>
        <w:rPr>
          <w:rFonts w:ascii="宋体" w:hAnsi="宋体" w:eastAsia="宋体" w:cs="宋体"/>
          <w:spacing w:val="9"/>
          <w:sz w:val="20"/>
          <w:szCs w:val="20"/>
        </w:rPr>
        <w:t>包括工程主要情况、各专业设计简介、工程施工条件等；</w:t>
      </w:r>
    </w:p>
    <w:p w14:paraId="38E24527">
      <w:pPr>
        <w:spacing w:before="174" w:line="228" w:lineRule="auto"/>
        <w:ind w:left="429"/>
        <w:rPr>
          <w:rFonts w:ascii="宋体" w:hAnsi="宋体" w:eastAsia="宋体" w:cs="宋体"/>
          <w:sz w:val="20"/>
          <w:szCs w:val="20"/>
        </w:rPr>
      </w:pPr>
      <w:r>
        <w:rPr>
          <w:rFonts w:ascii="宋体" w:hAnsi="宋体" w:eastAsia="宋体" w:cs="宋体"/>
          <w:spacing w:val="5"/>
          <w:sz w:val="20"/>
          <w:szCs w:val="20"/>
        </w:rPr>
        <w:t>（2）</w:t>
      </w:r>
      <w:r>
        <w:rPr>
          <w:rFonts w:ascii="宋体" w:hAnsi="宋体" w:eastAsia="宋体" w:cs="宋体"/>
          <w:b/>
          <w:bCs/>
          <w:spacing w:val="5"/>
          <w:sz w:val="20"/>
          <w:szCs w:val="20"/>
        </w:rPr>
        <w:t>施工部署</w:t>
      </w:r>
    </w:p>
    <w:p w14:paraId="540D8AAB">
      <w:pPr>
        <w:spacing w:before="172" w:line="388" w:lineRule="auto"/>
        <w:ind w:left="961" w:right="83"/>
        <w:rPr>
          <w:rFonts w:ascii="宋体" w:hAnsi="宋体" w:eastAsia="宋体" w:cs="宋体"/>
          <w:sz w:val="20"/>
          <w:szCs w:val="20"/>
        </w:rPr>
      </w:pPr>
      <w:r>
        <w:rPr>
          <w:rFonts w:ascii="宋体" w:hAnsi="宋体" w:eastAsia="宋体" w:cs="宋体"/>
          <w:spacing w:val="9"/>
          <w:sz w:val="20"/>
          <w:szCs w:val="20"/>
        </w:rPr>
        <w:t>包括工程施工目标、主要施工内容及其进度安排、施</w:t>
      </w:r>
      <w:r>
        <w:rPr>
          <w:rFonts w:ascii="宋体" w:hAnsi="宋体" w:eastAsia="宋体" w:cs="宋体"/>
          <w:spacing w:val="8"/>
          <w:sz w:val="20"/>
          <w:szCs w:val="20"/>
        </w:rPr>
        <w:t>工流水段划分、施工的重点和难点</w:t>
      </w:r>
      <w:r>
        <w:rPr>
          <w:rFonts w:ascii="宋体" w:hAnsi="宋体" w:eastAsia="宋体" w:cs="宋体"/>
          <w:spacing w:val="9"/>
          <w:sz w:val="20"/>
          <w:szCs w:val="20"/>
        </w:rPr>
        <w:t>分析、工程管理的组织机构形式、项目经理部的工作岗位设置及其</w:t>
      </w:r>
      <w:r>
        <w:rPr>
          <w:rFonts w:ascii="宋体" w:hAnsi="宋体" w:eastAsia="宋体" w:cs="宋体"/>
          <w:spacing w:val="8"/>
          <w:sz w:val="20"/>
          <w:szCs w:val="20"/>
        </w:rPr>
        <w:t>职责划分、新技术、</w:t>
      </w:r>
      <w:r>
        <w:rPr>
          <w:rFonts w:ascii="宋体" w:hAnsi="宋体" w:eastAsia="宋体" w:cs="宋体"/>
          <w:spacing w:val="9"/>
          <w:sz w:val="20"/>
          <w:szCs w:val="20"/>
        </w:rPr>
        <w:t>新工艺部署及其技术和管理要求（如有）、主要分</w:t>
      </w:r>
      <w:r>
        <w:rPr>
          <w:rFonts w:ascii="宋体" w:hAnsi="宋体" w:eastAsia="宋体" w:cs="宋体"/>
          <w:spacing w:val="8"/>
          <w:sz w:val="20"/>
          <w:szCs w:val="20"/>
        </w:rPr>
        <w:t>包工程施工单位的选择要求及管理方</w:t>
      </w:r>
      <w:r>
        <w:rPr>
          <w:rFonts w:ascii="宋体" w:hAnsi="宋体" w:eastAsia="宋体" w:cs="宋体"/>
          <w:spacing w:val="7"/>
          <w:sz w:val="20"/>
          <w:szCs w:val="20"/>
        </w:rPr>
        <w:t>式（如有</w:t>
      </w:r>
      <w:r>
        <w:rPr>
          <w:rFonts w:ascii="宋体" w:hAnsi="宋体" w:eastAsia="宋体" w:cs="宋体"/>
          <w:spacing w:val="-54"/>
          <w:sz w:val="20"/>
          <w:szCs w:val="20"/>
        </w:rPr>
        <w:t>）；</w:t>
      </w:r>
    </w:p>
    <w:p w14:paraId="62C00A27">
      <w:pPr>
        <w:spacing w:before="1" w:line="228" w:lineRule="auto"/>
        <w:ind w:left="429"/>
        <w:rPr>
          <w:rFonts w:ascii="宋体" w:hAnsi="宋体" w:eastAsia="宋体" w:cs="宋体"/>
          <w:sz w:val="20"/>
          <w:szCs w:val="20"/>
        </w:rPr>
      </w:pPr>
      <w:r>
        <w:rPr>
          <w:rFonts w:ascii="宋体" w:hAnsi="宋体" w:eastAsia="宋体" w:cs="宋体"/>
          <w:spacing w:val="6"/>
          <w:sz w:val="20"/>
          <w:szCs w:val="20"/>
        </w:rPr>
        <w:t>（3）</w:t>
      </w:r>
      <w:r>
        <w:rPr>
          <w:rFonts w:ascii="宋体" w:hAnsi="宋体" w:eastAsia="宋体" w:cs="宋体"/>
          <w:b/>
          <w:bCs/>
          <w:spacing w:val="6"/>
          <w:sz w:val="20"/>
          <w:szCs w:val="20"/>
        </w:rPr>
        <w:t>施工进度计划</w:t>
      </w:r>
    </w:p>
    <w:p w14:paraId="25E1DA00">
      <w:pPr>
        <w:spacing w:before="172" w:line="388" w:lineRule="auto"/>
        <w:ind w:left="945" w:right="89"/>
        <w:rPr>
          <w:rFonts w:ascii="宋体" w:hAnsi="宋体" w:eastAsia="宋体" w:cs="宋体"/>
          <w:sz w:val="20"/>
          <w:szCs w:val="20"/>
        </w:rPr>
      </w:pPr>
      <w:r>
        <w:rPr>
          <w:rFonts w:ascii="宋体" w:hAnsi="宋体" w:eastAsia="宋体" w:cs="宋体"/>
          <w:spacing w:val="9"/>
          <w:sz w:val="20"/>
          <w:szCs w:val="20"/>
        </w:rPr>
        <w:t>可采用网络图或横道图表示，并附必要说明，对于规模较大或较复杂的工程，宜采用网</w:t>
      </w:r>
      <w:r>
        <w:rPr>
          <w:rFonts w:ascii="宋体" w:hAnsi="宋体" w:eastAsia="宋体" w:cs="宋体"/>
          <w:spacing w:val="5"/>
          <w:sz w:val="20"/>
          <w:szCs w:val="20"/>
        </w:rPr>
        <w:t>络图表示；</w:t>
      </w:r>
    </w:p>
    <w:p w14:paraId="30F89D86">
      <w:pPr>
        <w:spacing w:line="229" w:lineRule="auto"/>
        <w:ind w:left="429"/>
        <w:rPr>
          <w:rFonts w:ascii="宋体" w:hAnsi="宋体" w:eastAsia="宋体" w:cs="宋体"/>
          <w:sz w:val="20"/>
          <w:szCs w:val="20"/>
        </w:rPr>
      </w:pPr>
      <w:r>
        <w:rPr>
          <w:rFonts w:ascii="宋体" w:hAnsi="宋体" w:eastAsia="宋体" w:cs="宋体"/>
          <w:spacing w:val="7"/>
          <w:sz w:val="20"/>
          <w:szCs w:val="20"/>
        </w:rPr>
        <w:t>（4）</w:t>
      </w:r>
      <w:r>
        <w:rPr>
          <w:rFonts w:ascii="宋体" w:hAnsi="宋体" w:eastAsia="宋体" w:cs="宋体"/>
          <w:b/>
          <w:bCs/>
          <w:spacing w:val="7"/>
          <w:sz w:val="20"/>
          <w:szCs w:val="20"/>
        </w:rPr>
        <w:t>施工准备与资源配置计划</w:t>
      </w:r>
    </w:p>
    <w:p w14:paraId="7CD1412C">
      <w:pPr>
        <w:spacing w:before="171" w:line="388" w:lineRule="auto"/>
        <w:ind w:left="944" w:right="87" w:hanging="1"/>
        <w:rPr>
          <w:rFonts w:ascii="宋体" w:hAnsi="宋体" w:eastAsia="宋体" w:cs="宋体"/>
          <w:sz w:val="20"/>
          <w:szCs w:val="20"/>
        </w:rPr>
      </w:pPr>
      <w:r>
        <w:rPr>
          <w:rFonts w:ascii="宋体" w:hAnsi="宋体" w:eastAsia="宋体" w:cs="宋体"/>
          <w:spacing w:val="9"/>
          <w:sz w:val="20"/>
          <w:szCs w:val="20"/>
        </w:rPr>
        <w:t>施工准备包括技术准备、现场准备和资金准备；资源配置计划包括劳动力配置计划、主要工程材料和设备配置计划、主要周转材料和施工机具配置计划等；</w:t>
      </w:r>
    </w:p>
    <w:p w14:paraId="235B53B4">
      <w:pPr>
        <w:spacing w:line="228" w:lineRule="auto"/>
        <w:ind w:left="429"/>
        <w:rPr>
          <w:rFonts w:ascii="宋体" w:hAnsi="宋体" w:eastAsia="宋体" w:cs="宋体"/>
          <w:sz w:val="20"/>
          <w:szCs w:val="20"/>
        </w:rPr>
      </w:pPr>
      <w:r>
        <w:rPr>
          <w:rFonts w:ascii="宋体" w:hAnsi="宋体" w:eastAsia="宋体" w:cs="宋体"/>
          <w:spacing w:val="6"/>
          <w:sz w:val="20"/>
          <w:szCs w:val="20"/>
        </w:rPr>
        <w:t>（5）</w:t>
      </w:r>
      <w:r>
        <w:rPr>
          <w:rFonts w:ascii="宋体" w:hAnsi="宋体" w:eastAsia="宋体" w:cs="宋体"/>
          <w:b/>
          <w:bCs/>
          <w:spacing w:val="6"/>
          <w:sz w:val="20"/>
          <w:szCs w:val="20"/>
        </w:rPr>
        <w:t>主要施工方案</w:t>
      </w:r>
    </w:p>
    <w:p w14:paraId="78CD6A45">
      <w:pPr>
        <w:spacing w:before="172" w:line="388" w:lineRule="auto"/>
        <w:ind w:left="943" w:right="87"/>
        <w:rPr>
          <w:rFonts w:ascii="宋体" w:hAnsi="宋体" w:eastAsia="宋体" w:cs="宋体"/>
          <w:sz w:val="20"/>
          <w:szCs w:val="20"/>
        </w:rPr>
      </w:pPr>
      <w:r>
        <w:rPr>
          <w:rFonts w:ascii="宋体" w:hAnsi="宋体" w:eastAsia="宋体" w:cs="宋体"/>
          <w:spacing w:val="9"/>
          <w:sz w:val="20"/>
          <w:szCs w:val="20"/>
        </w:rPr>
        <w:t>对主要分部、分项工程制定施工方案；对脚手架工程、起重吊装工程、临时用水用电工程、季节性施工等专项工程所采用的施工方案进行必要的验算和说明；对易发生质量通</w:t>
      </w:r>
      <w:r>
        <w:rPr>
          <w:rFonts w:ascii="宋体" w:hAnsi="宋体" w:eastAsia="宋体" w:cs="宋体"/>
          <w:spacing w:val="8"/>
          <w:sz w:val="20"/>
          <w:szCs w:val="20"/>
        </w:rPr>
        <w:t>病、易出现安全问题、施工难度大、技术含量高的分项工程（工序）等做出重点说明；</w:t>
      </w:r>
    </w:p>
    <w:p w14:paraId="3B9C81B0">
      <w:pPr>
        <w:spacing w:before="1" w:line="226" w:lineRule="auto"/>
        <w:ind w:left="429"/>
        <w:rPr>
          <w:rFonts w:ascii="宋体" w:hAnsi="宋体" w:eastAsia="宋体" w:cs="宋体"/>
          <w:sz w:val="20"/>
          <w:szCs w:val="20"/>
        </w:rPr>
      </w:pPr>
      <w:r>
        <w:rPr>
          <w:rFonts w:ascii="宋体" w:hAnsi="宋体" w:eastAsia="宋体" w:cs="宋体"/>
          <w:spacing w:val="6"/>
          <w:sz w:val="20"/>
          <w:szCs w:val="20"/>
        </w:rPr>
        <w:t>（6）</w:t>
      </w:r>
      <w:r>
        <w:rPr>
          <w:rFonts w:ascii="宋体" w:hAnsi="宋体" w:eastAsia="宋体" w:cs="宋体"/>
          <w:b/>
          <w:bCs/>
          <w:spacing w:val="6"/>
          <w:sz w:val="20"/>
          <w:szCs w:val="20"/>
        </w:rPr>
        <w:t>施工现场平面布置</w:t>
      </w:r>
    </w:p>
    <w:p w14:paraId="0F026D00">
      <w:pPr>
        <w:spacing w:before="173" w:line="388" w:lineRule="auto"/>
        <w:ind w:left="899" w:firstLine="1"/>
        <w:rPr>
          <w:rFonts w:ascii="宋体" w:hAnsi="宋体" w:eastAsia="宋体" w:cs="宋体"/>
          <w:sz w:val="20"/>
          <w:szCs w:val="20"/>
        </w:rPr>
      </w:pPr>
      <w:r>
        <w:rPr>
          <w:rFonts w:ascii="宋体" w:hAnsi="宋体" w:eastAsia="宋体" w:cs="宋体"/>
          <w:spacing w:val="2"/>
          <w:sz w:val="20"/>
          <w:szCs w:val="20"/>
        </w:rPr>
        <w:t>按不同施工阶段绘制施工现场平面布置图并附文字说明，说明施工场地状况；拟建建（</w:t>
      </w:r>
      <w:r>
        <w:rPr>
          <w:rFonts w:ascii="宋体" w:hAnsi="宋体" w:eastAsia="宋体" w:cs="宋体"/>
          <w:spacing w:val="1"/>
          <w:sz w:val="20"/>
          <w:szCs w:val="20"/>
        </w:rPr>
        <w:t>构）</w:t>
      </w:r>
      <w:r>
        <w:rPr>
          <w:rFonts w:ascii="宋体" w:hAnsi="宋体" w:eastAsia="宋体" w:cs="宋体"/>
          <w:spacing w:val="10"/>
          <w:sz w:val="20"/>
          <w:szCs w:val="20"/>
        </w:rPr>
        <w:t>筑物的位置轮廓、尺寸、层数；加工设施、存储设施、办公和生活用房的位置和面积；布置垂直运输设施、供电设施、供水、供热设施、排水排污设施和临时施工道路；必备</w:t>
      </w:r>
      <w:r>
        <w:rPr>
          <w:rFonts w:ascii="宋体" w:hAnsi="宋体" w:eastAsia="宋体" w:cs="宋体"/>
          <w:spacing w:val="6"/>
          <w:sz w:val="20"/>
          <w:szCs w:val="20"/>
        </w:rPr>
        <w:t>的安全、消防、保卫和环境保护设施；相邻的地上地下既有建（构）筑物及相关环境等；</w:t>
      </w:r>
    </w:p>
    <w:p w14:paraId="6CB13EA2">
      <w:pPr>
        <w:spacing w:line="227" w:lineRule="auto"/>
        <w:ind w:left="429"/>
        <w:rPr>
          <w:rFonts w:ascii="宋体" w:hAnsi="宋体" w:eastAsia="宋体" w:cs="宋体"/>
          <w:sz w:val="20"/>
          <w:szCs w:val="20"/>
        </w:rPr>
      </w:pPr>
      <w:r>
        <w:rPr>
          <w:rFonts w:ascii="宋体" w:hAnsi="宋体" w:eastAsia="宋体" w:cs="宋体"/>
          <w:spacing w:val="6"/>
          <w:sz w:val="20"/>
          <w:szCs w:val="20"/>
        </w:rPr>
        <w:t>（7）</w:t>
      </w:r>
      <w:r>
        <w:rPr>
          <w:rFonts w:ascii="宋体" w:hAnsi="宋体" w:eastAsia="宋体" w:cs="宋体"/>
          <w:b/>
          <w:bCs/>
          <w:spacing w:val="6"/>
          <w:sz w:val="20"/>
          <w:szCs w:val="20"/>
        </w:rPr>
        <w:t>主要施工管理计划</w:t>
      </w:r>
    </w:p>
    <w:p w14:paraId="4A2E4D29">
      <w:pPr>
        <w:spacing w:before="172" w:line="388" w:lineRule="auto"/>
        <w:ind w:left="944" w:right="89"/>
        <w:rPr>
          <w:rFonts w:ascii="宋体" w:hAnsi="宋体" w:eastAsia="宋体" w:cs="宋体"/>
          <w:sz w:val="20"/>
          <w:szCs w:val="20"/>
        </w:rPr>
      </w:pPr>
      <w:r>
        <w:rPr>
          <w:rFonts w:ascii="宋体" w:hAnsi="宋体" w:eastAsia="宋体" w:cs="宋体"/>
          <w:spacing w:val="9"/>
          <w:sz w:val="20"/>
          <w:szCs w:val="20"/>
        </w:rPr>
        <w:t>包括进度管理计划、质量管理计划、安全管理计划、环境管理计划、成本管理计划和其他管理计划，其中其他管理计划宜包括治安保卫管理计划、合同管理计划，组织协调管理计划、创优质工程管理计划、成品保护管理计划、质量保修管理计划、对施工现场人</w:t>
      </w:r>
      <w:r>
        <w:rPr>
          <w:rFonts w:ascii="宋体" w:hAnsi="宋体" w:eastAsia="宋体" w:cs="宋体"/>
          <w:spacing w:val="8"/>
          <w:sz w:val="20"/>
          <w:szCs w:val="20"/>
        </w:rPr>
        <w:t>力资源、施工机具、材料设备等管理计划。</w:t>
      </w:r>
    </w:p>
    <w:p w14:paraId="72DE2462">
      <w:pPr>
        <w:spacing w:before="1" w:line="226" w:lineRule="auto"/>
        <w:ind w:left="421"/>
        <w:rPr>
          <w:rFonts w:ascii="宋体" w:hAnsi="宋体" w:eastAsia="宋体" w:cs="宋体"/>
          <w:sz w:val="20"/>
          <w:szCs w:val="20"/>
        </w:rPr>
      </w:pPr>
      <w:r>
        <w:rPr>
          <w:rFonts w:ascii="宋体" w:hAnsi="宋体" w:eastAsia="宋体" w:cs="宋体"/>
          <w:spacing w:val="9"/>
          <w:sz w:val="20"/>
          <w:szCs w:val="20"/>
        </w:rPr>
        <w:t>2．施工组织设计除采用文字表述外可附下列图表，图表及格式要求附后。下述表格应按</w:t>
      </w:r>
      <w:r>
        <w:rPr>
          <w:rFonts w:ascii="宋体" w:hAnsi="宋体" w:eastAsia="宋体" w:cs="宋体"/>
          <w:spacing w:val="8"/>
          <w:sz w:val="20"/>
          <w:szCs w:val="20"/>
        </w:rPr>
        <w:t>照章</w:t>
      </w:r>
    </w:p>
    <w:p w14:paraId="496C3B3F">
      <w:pPr>
        <w:spacing w:line="226" w:lineRule="auto"/>
        <w:rPr>
          <w:rFonts w:ascii="宋体" w:hAnsi="宋体" w:eastAsia="宋体" w:cs="宋体"/>
          <w:sz w:val="20"/>
          <w:szCs w:val="20"/>
        </w:rPr>
        <w:sectPr>
          <w:footerReference r:id="rId552" w:type="default"/>
          <w:pgSz w:w="11907" w:h="16840"/>
          <w:pgMar w:top="400" w:right="1444" w:bottom="1247" w:left="1482" w:header="0" w:footer="1085" w:gutter="0"/>
          <w:cols w:space="720" w:num="1"/>
        </w:sectPr>
      </w:pPr>
    </w:p>
    <w:p w14:paraId="22716AD6">
      <w:pPr>
        <w:spacing w:line="276" w:lineRule="auto"/>
        <w:rPr>
          <w:rFonts w:ascii="Arial"/>
          <w:sz w:val="21"/>
        </w:rPr>
      </w:pPr>
    </w:p>
    <w:p w14:paraId="3AC22C5A">
      <w:pPr>
        <w:spacing w:line="276" w:lineRule="auto"/>
        <w:rPr>
          <w:rFonts w:ascii="Arial"/>
          <w:sz w:val="21"/>
        </w:rPr>
      </w:pPr>
    </w:p>
    <w:p w14:paraId="1BCF81D9">
      <w:pPr>
        <w:spacing w:line="277" w:lineRule="auto"/>
        <w:rPr>
          <w:rFonts w:ascii="Arial"/>
          <w:sz w:val="21"/>
        </w:rPr>
      </w:pPr>
    </w:p>
    <w:p w14:paraId="392BD365">
      <w:pPr>
        <w:spacing w:line="277" w:lineRule="auto"/>
        <w:rPr>
          <w:rFonts w:ascii="Arial"/>
          <w:sz w:val="21"/>
        </w:rPr>
      </w:pPr>
    </w:p>
    <w:p w14:paraId="164F6C36">
      <w:pPr>
        <w:spacing w:line="277" w:lineRule="auto"/>
        <w:rPr>
          <w:rFonts w:ascii="Arial"/>
          <w:sz w:val="21"/>
        </w:rPr>
      </w:pPr>
    </w:p>
    <w:p w14:paraId="1FE32388">
      <w:pPr>
        <w:spacing w:before="65" w:line="227" w:lineRule="auto"/>
        <w:rPr>
          <w:rFonts w:ascii="宋体" w:hAnsi="宋体" w:eastAsia="宋体" w:cs="宋体"/>
          <w:sz w:val="20"/>
          <w:szCs w:val="20"/>
        </w:rPr>
      </w:pPr>
      <w:r>
        <w:rPr>
          <w:rFonts w:ascii="宋体" w:hAnsi="宋体" w:eastAsia="宋体" w:cs="宋体"/>
          <w:spacing w:val="9"/>
          <w:sz w:val="20"/>
          <w:szCs w:val="20"/>
        </w:rPr>
        <w:t>节内容，严格按给定的格式附在相应的章节中。</w:t>
      </w:r>
    </w:p>
    <w:p w14:paraId="4D94BA23">
      <w:pPr>
        <w:spacing w:before="174" w:line="227" w:lineRule="auto"/>
        <w:ind w:left="647"/>
        <w:outlineLvl w:val="2"/>
        <w:rPr>
          <w:rFonts w:ascii="宋体" w:hAnsi="宋体" w:eastAsia="宋体" w:cs="宋体"/>
          <w:sz w:val="20"/>
          <w:szCs w:val="20"/>
        </w:rPr>
      </w:pPr>
      <w:r>
        <w:rPr>
          <w:rFonts w:ascii="宋体" w:hAnsi="宋体" w:eastAsia="宋体" w:cs="宋体"/>
          <w:spacing w:val="8"/>
          <w:sz w:val="20"/>
          <w:szCs w:val="20"/>
        </w:rPr>
        <w:t>附表一  拟投入本工程的主要施工设备表</w:t>
      </w:r>
    </w:p>
    <w:p w14:paraId="7CC9744F">
      <w:pPr>
        <w:spacing w:before="174" w:line="227" w:lineRule="auto"/>
        <w:ind w:left="647"/>
        <w:rPr>
          <w:rFonts w:ascii="宋体" w:hAnsi="宋体" w:eastAsia="宋体" w:cs="宋体"/>
          <w:sz w:val="20"/>
          <w:szCs w:val="20"/>
        </w:rPr>
      </w:pPr>
      <w:r>
        <w:rPr>
          <w:rFonts w:ascii="宋体" w:hAnsi="宋体" w:eastAsia="宋体" w:cs="宋体"/>
          <w:spacing w:val="8"/>
          <w:sz w:val="20"/>
          <w:szCs w:val="20"/>
        </w:rPr>
        <w:t>附表二  拟配备本工程的试验和检测仪器设备表</w:t>
      </w:r>
    </w:p>
    <w:p w14:paraId="03A41658">
      <w:pPr>
        <w:spacing w:before="174" w:line="227" w:lineRule="auto"/>
        <w:ind w:left="647"/>
        <w:rPr>
          <w:rFonts w:ascii="宋体" w:hAnsi="宋体" w:eastAsia="宋体" w:cs="宋体"/>
          <w:sz w:val="20"/>
          <w:szCs w:val="20"/>
        </w:rPr>
      </w:pPr>
      <w:r>
        <w:rPr>
          <w:rFonts w:ascii="宋体" w:hAnsi="宋体" w:eastAsia="宋体" w:cs="宋体"/>
          <w:spacing w:val="5"/>
          <w:sz w:val="20"/>
          <w:szCs w:val="20"/>
        </w:rPr>
        <w:t>附表三</w:t>
      </w:r>
      <w:r>
        <w:rPr>
          <w:rFonts w:ascii="宋体" w:hAnsi="宋体" w:eastAsia="宋体" w:cs="宋体"/>
          <w:spacing w:val="13"/>
          <w:sz w:val="20"/>
          <w:szCs w:val="20"/>
        </w:rPr>
        <w:t xml:space="preserve">  </w:t>
      </w:r>
      <w:r>
        <w:rPr>
          <w:rFonts w:ascii="宋体" w:hAnsi="宋体" w:eastAsia="宋体" w:cs="宋体"/>
          <w:spacing w:val="5"/>
          <w:sz w:val="20"/>
          <w:szCs w:val="20"/>
        </w:rPr>
        <w:t>劳动力计划表</w:t>
      </w:r>
    </w:p>
    <w:p w14:paraId="2F768804">
      <w:pPr>
        <w:spacing w:before="174" w:line="227" w:lineRule="auto"/>
        <w:ind w:left="647"/>
        <w:rPr>
          <w:rFonts w:ascii="宋体" w:hAnsi="宋体" w:eastAsia="宋体" w:cs="宋体"/>
          <w:sz w:val="20"/>
          <w:szCs w:val="20"/>
        </w:rPr>
      </w:pPr>
      <w:r>
        <w:rPr>
          <w:rFonts w:ascii="宋体" w:hAnsi="宋体" w:eastAsia="宋体" w:cs="宋体"/>
          <w:spacing w:val="8"/>
          <w:sz w:val="20"/>
          <w:szCs w:val="20"/>
        </w:rPr>
        <w:t>附表四  计划开、竣工日期和施工进度网络图</w:t>
      </w:r>
    </w:p>
    <w:p w14:paraId="33F8C562">
      <w:pPr>
        <w:spacing w:before="174" w:line="227" w:lineRule="auto"/>
        <w:ind w:left="647"/>
        <w:rPr>
          <w:rFonts w:ascii="宋体" w:hAnsi="宋体" w:eastAsia="宋体" w:cs="宋体"/>
          <w:sz w:val="20"/>
          <w:szCs w:val="20"/>
        </w:rPr>
      </w:pPr>
      <w:r>
        <w:rPr>
          <w:rFonts w:ascii="宋体" w:hAnsi="宋体" w:eastAsia="宋体" w:cs="宋体"/>
          <w:spacing w:val="6"/>
          <w:sz w:val="20"/>
          <w:szCs w:val="20"/>
        </w:rPr>
        <w:t>附表五  施工总平面图</w:t>
      </w:r>
    </w:p>
    <w:p w14:paraId="0793E4AF">
      <w:pPr>
        <w:spacing w:before="174" w:line="227" w:lineRule="auto"/>
        <w:ind w:left="647"/>
        <w:rPr>
          <w:rFonts w:ascii="宋体" w:hAnsi="宋体" w:eastAsia="宋体" w:cs="宋体"/>
          <w:sz w:val="20"/>
          <w:szCs w:val="20"/>
        </w:rPr>
      </w:pPr>
      <w:r>
        <w:rPr>
          <w:rFonts w:ascii="宋体" w:hAnsi="宋体" w:eastAsia="宋体" w:cs="宋体"/>
          <w:spacing w:val="4"/>
          <w:sz w:val="20"/>
          <w:szCs w:val="20"/>
        </w:rPr>
        <w:t>附表六</w:t>
      </w:r>
      <w:r>
        <w:rPr>
          <w:rFonts w:ascii="宋体" w:hAnsi="宋体" w:eastAsia="宋体" w:cs="宋体"/>
          <w:spacing w:val="15"/>
          <w:sz w:val="20"/>
          <w:szCs w:val="20"/>
        </w:rPr>
        <w:t xml:space="preserve">  </w:t>
      </w:r>
      <w:r>
        <w:rPr>
          <w:rFonts w:ascii="宋体" w:hAnsi="宋体" w:eastAsia="宋体" w:cs="宋体"/>
          <w:spacing w:val="4"/>
          <w:sz w:val="20"/>
          <w:szCs w:val="20"/>
        </w:rPr>
        <w:t>临时用地表</w:t>
      </w:r>
    </w:p>
    <w:p w14:paraId="3A6C1A31">
      <w:pPr>
        <w:spacing w:line="227" w:lineRule="auto"/>
        <w:rPr>
          <w:rFonts w:ascii="宋体" w:hAnsi="宋体" w:eastAsia="宋体" w:cs="宋体"/>
          <w:sz w:val="20"/>
          <w:szCs w:val="20"/>
        </w:rPr>
        <w:sectPr>
          <w:footerReference r:id="rId553" w:type="default"/>
          <w:pgSz w:w="11907" w:h="16840"/>
          <w:pgMar w:top="400" w:right="1786" w:bottom="1247" w:left="1481" w:header="0" w:footer="1085" w:gutter="0"/>
          <w:cols w:space="720" w:num="1"/>
        </w:sectPr>
      </w:pPr>
    </w:p>
    <w:p w14:paraId="1FF8EA2D">
      <w:pPr>
        <w:spacing w:line="265" w:lineRule="auto"/>
        <w:rPr>
          <w:rFonts w:ascii="Arial"/>
          <w:sz w:val="21"/>
        </w:rPr>
      </w:pPr>
    </w:p>
    <w:p w14:paraId="2E9BF9DA">
      <w:pPr>
        <w:spacing w:line="265" w:lineRule="auto"/>
        <w:rPr>
          <w:rFonts w:ascii="Arial"/>
          <w:sz w:val="21"/>
        </w:rPr>
      </w:pPr>
    </w:p>
    <w:p w14:paraId="62E55725">
      <w:pPr>
        <w:spacing w:line="266" w:lineRule="auto"/>
        <w:rPr>
          <w:rFonts w:ascii="Arial"/>
          <w:sz w:val="21"/>
        </w:rPr>
      </w:pPr>
    </w:p>
    <w:p w14:paraId="3BD58A89">
      <w:pPr>
        <w:spacing w:line="266" w:lineRule="auto"/>
        <w:rPr>
          <w:rFonts w:ascii="Arial"/>
          <w:sz w:val="21"/>
        </w:rPr>
      </w:pPr>
    </w:p>
    <w:p w14:paraId="10F52BCF">
      <w:pPr>
        <w:spacing w:line="266" w:lineRule="auto"/>
        <w:rPr>
          <w:rFonts w:ascii="Arial"/>
          <w:sz w:val="21"/>
        </w:rPr>
      </w:pPr>
    </w:p>
    <w:p w14:paraId="5F7134B0">
      <w:pPr>
        <w:pStyle w:val="2"/>
        <w:spacing w:before="78" w:line="220" w:lineRule="auto"/>
        <w:ind w:left="26"/>
        <w:outlineLvl w:val="2"/>
        <w:rPr>
          <w:sz w:val="24"/>
          <w:szCs w:val="24"/>
        </w:rPr>
      </w:pPr>
      <w:bookmarkStart w:id="457" w:name="bookmark433"/>
      <w:bookmarkEnd w:id="457"/>
      <w:r>
        <w:rPr>
          <w:spacing w:val="-2"/>
          <w:sz w:val="24"/>
          <w:szCs w:val="24"/>
        </w:rPr>
        <w:t>附表一：拟投入本工程的主要施工设备表</w:t>
      </w:r>
    </w:p>
    <w:tbl>
      <w:tblPr>
        <w:tblStyle w:val="5"/>
        <w:tblW w:w="85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8"/>
        <w:gridCol w:w="1063"/>
        <w:gridCol w:w="672"/>
        <w:gridCol w:w="1021"/>
        <w:gridCol w:w="709"/>
        <w:gridCol w:w="709"/>
        <w:gridCol w:w="1175"/>
        <w:gridCol w:w="871"/>
        <w:gridCol w:w="872"/>
        <w:gridCol w:w="769"/>
      </w:tblGrid>
      <w:tr w14:paraId="54919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48" w:type="dxa"/>
            <w:vAlign w:val="top"/>
          </w:tcPr>
          <w:p w14:paraId="547C6000">
            <w:pPr>
              <w:pStyle w:val="6"/>
              <w:spacing w:before="211" w:line="229" w:lineRule="auto"/>
              <w:ind w:left="119"/>
              <w:outlineLvl w:val="2"/>
            </w:pPr>
            <w:r>
              <w:rPr>
                <w:spacing w:val="5"/>
              </w:rPr>
              <w:t>序号</w:t>
            </w:r>
          </w:p>
        </w:tc>
        <w:tc>
          <w:tcPr>
            <w:tcW w:w="1063" w:type="dxa"/>
            <w:vAlign w:val="top"/>
          </w:tcPr>
          <w:p w14:paraId="3543EDE7">
            <w:pPr>
              <w:pStyle w:val="6"/>
              <w:spacing w:before="211" w:line="229" w:lineRule="auto"/>
              <w:ind w:left="118"/>
            </w:pPr>
            <w:r>
              <w:rPr>
                <w:spacing w:val="6"/>
              </w:rPr>
              <w:t>设备名称</w:t>
            </w:r>
          </w:p>
        </w:tc>
        <w:tc>
          <w:tcPr>
            <w:tcW w:w="672" w:type="dxa"/>
            <w:vAlign w:val="top"/>
          </w:tcPr>
          <w:p w14:paraId="1388851A">
            <w:pPr>
              <w:pStyle w:val="6"/>
              <w:spacing w:before="74" w:line="229" w:lineRule="auto"/>
              <w:ind w:left="136"/>
            </w:pPr>
            <w:r>
              <w:rPr>
                <w:spacing w:val="1"/>
              </w:rPr>
              <w:t>型号</w:t>
            </w:r>
          </w:p>
          <w:p w14:paraId="4470BCCF">
            <w:pPr>
              <w:pStyle w:val="6"/>
              <w:spacing w:before="22" w:line="228" w:lineRule="auto"/>
              <w:ind w:left="130"/>
            </w:pPr>
            <w:r>
              <w:rPr>
                <w:spacing w:val="4"/>
              </w:rPr>
              <w:t>规格</w:t>
            </w:r>
          </w:p>
        </w:tc>
        <w:tc>
          <w:tcPr>
            <w:tcW w:w="1021" w:type="dxa"/>
            <w:vAlign w:val="top"/>
          </w:tcPr>
          <w:p w14:paraId="77E531F8">
            <w:pPr>
              <w:pStyle w:val="6"/>
              <w:spacing w:before="211" w:line="228" w:lineRule="auto"/>
              <w:ind w:left="201"/>
            </w:pPr>
            <w:r>
              <w:t>数</w:t>
            </w:r>
            <w:r>
              <w:rPr>
                <w:spacing w:val="9"/>
              </w:rPr>
              <w:t xml:space="preserve">  </w:t>
            </w:r>
            <w:r>
              <w:t>量</w:t>
            </w:r>
          </w:p>
        </w:tc>
        <w:tc>
          <w:tcPr>
            <w:tcW w:w="709" w:type="dxa"/>
            <w:vAlign w:val="top"/>
          </w:tcPr>
          <w:p w14:paraId="381EF53E">
            <w:pPr>
              <w:pStyle w:val="6"/>
              <w:spacing w:before="75" w:line="228" w:lineRule="auto"/>
              <w:ind w:left="171"/>
            </w:pPr>
            <w:r>
              <w:rPr>
                <w:spacing w:val="-6"/>
              </w:rPr>
              <w:t>国别</w:t>
            </w:r>
          </w:p>
          <w:p w14:paraId="43A28D1F">
            <w:pPr>
              <w:pStyle w:val="6"/>
              <w:spacing w:before="23" w:line="228" w:lineRule="auto"/>
              <w:ind w:left="150"/>
            </w:pPr>
            <w:r>
              <w:rPr>
                <w:spacing w:val="4"/>
              </w:rPr>
              <w:t>产地</w:t>
            </w:r>
          </w:p>
        </w:tc>
        <w:tc>
          <w:tcPr>
            <w:tcW w:w="709" w:type="dxa"/>
            <w:vAlign w:val="top"/>
          </w:tcPr>
          <w:p w14:paraId="49FC9DAD">
            <w:pPr>
              <w:pStyle w:val="6"/>
              <w:spacing w:before="75" w:line="228" w:lineRule="auto"/>
              <w:ind w:left="150"/>
            </w:pPr>
            <w:r>
              <w:rPr>
                <w:spacing w:val="4"/>
              </w:rPr>
              <w:t>制造</w:t>
            </w:r>
          </w:p>
          <w:p w14:paraId="56C43C6B">
            <w:pPr>
              <w:pStyle w:val="6"/>
              <w:spacing w:before="23" w:line="228" w:lineRule="auto"/>
              <w:ind w:left="150"/>
            </w:pPr>
            <w:r>
              <w:rPr>
                <w:spacing w:val="4"/>
              </w:rPr>
              <w:t>年份</w:t>
            </w:r>
          </w:p>
        </w:tc>
        <w:tc>
          <w:tcPr>
            <w:tcW w:w="1175" w:type="dxa"/>
            <w:vAlign w:val="top"/>
          </w:tcPr>
          <w:p w14:paraId="59193A4A">
            <w:pPr>
              <w:pStyle w:val="6"/>
              <w:spacing w:before="74" w:line="228" w:lineRule="auto"/>
              <w:ind w:left="172"/>
            </w:pPr>
            <w:r>
              <w:rPr>
                <w:spacing w:val="7"/>
              </w:rPr>
              <w:t>额定功率</w:t>
            </w:r>
          </w:p>
          <w:p w14:paraId="1063AE55">
            <w:pPr>
              <w:pStyle w:val="6"/>
              <w:spacing w:before="24"/>
              <w:ind w:left="288"/>
            </w:pPr>
            <w:r>
              <w:rPr>
                <w:spacing w:val="1"/>
              </w:rPr>
              <w:t>（</w:t>
            </w:r>
            <w:r>
              <w:t>KW</w:t>
            </w:r>
            <w:r>
              <w:rPr>
                <w:spacing w:val="1"/>
              </w:rPr>
              <w:t>）</w:t>
            </w:r>
          </w:p>
        </w:tc>
        <w:tc>
          <w:tcPr>
            <w:tcW w:w="871" w:type="dxa"/>
            <w:vAlign w:val="top"/>
          </w:tcPr>
          <w:p w14:paraId="53569783">
            <w:pPr>
              <w:pStyle w:val="6"/>
              <w:spacing w:before="74" w:line="228" w:lineRule="auto"/>
              <w:ind w:left="235"/>
            </w:pPr>
            <w:r>
              <w:rPr>
                <w:spacing w:val="3"/>
              </w:rPr>
              <w:t>生产</w:t>
            </w:r>
          </w:p>
          <w:p w14:paraId="5143D386">
            <w:pPr>
              <w:pStyle w:val="6"/>
              <w:spacing w:before="24" w:line="228" w:lineRule="auto"/>
              <w:ind w:left="241"/>
            </w:pPr>
            <w:r>
              <w:t>能力</w:t>
            </w:r>
          </w:p>
        </w:tc>
        <w:tc>
          <w:tcPr>
            <w:tcW w:w="872" w:type="dxa"/>
            <w:vAlign w:val="top"/>
          </w:tcPr>
          <w:p w14:paraId="63722A63">
            <w:pPr>
              <w:pStyle w:val="6"/>
              <w:spacing w:before="74" w:line="229" w:lineRule="auto"/>
              <w:ind w:left="130"/>
            </w:pPr>
            <w:r>
              <w:rPr>
                <w:spacing w:val="6"/>
              </w:rPr>
              <w:t>用于施</w:t>
            </w:r>
          </w:p>
          <w:p w14:paraId="5DAA5127">
            <w:pPr>
              <w:pStyle w:val="6"/>
              <w:spacing w:before="22" w:line="228" w:lineRule="auto"/>
              <w:ind w:left="130"/>
            </w:pPr>
            <w:r>
              <w:rPr>
                <w:spacing w:val="6"/>
              </w:rPr>
              <w:t>工部位</w:t>
            </w:r>
          </w:p>
        </w:tc>
        <w:tc>
          <w:tcPr>
            <w:tcW w:w="769" w:type="dxa"/>
            <w:vAlign w:val="top"/>
          </w:tcPr>
          <w:p w14:paraId="4BD060A4">
            <w:pPr>
              <w:pStyle w:val="6"/>
              <w:spacing w:before="211" w:line="229" w:lineRule="auto"/>
              <w:ind w:left="182"/>
            </w:pPr>
            <w:r>
              <w:rPr>
                <w:spacing w:val="3"/>
              </w:rPr>
              <w:t>备注</w:t>
            </w:r>
          </w:p>
        </w:tc>
      </w:tr>
      <w:tr w14:paraId="427D83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481096B7">
            <w:pPr>
              <w:rPr>
                <w:rFonts w:ascii="Arial"/>
                <w:sz w:val="21"/>
              </w:rPr>
            </w:pPr>
          </w:p>
        </w:tc>
        <w:tc>
          <w:tcPr>
            <w:tcW w:w="1063" w:type="dxa"/>
            <w:vAlign w:val="top"/>
          </w:tcPr>
          <w:p w14:paraId="3F332C6E">
            <w:pPr>
              <w:rPr>
                <w:rFonts w:ascii="Arial"/>
                <w:sz w:val="21"/>
              </w:rPr>
            </w:pPr>
          </w:p>
        </w:tc>
        <w:tc>
          <w:tcPr>
            <w:tcW w:w="672" w:type="dxa"/>
            <w:vAlign w:val="top"/>
          </w:tcPr>
          <w:p w14:paraId="68351446">
            <w:pPr>
              <w:rPr>
                <w:rFonts w:ascii="Arial"/>
                <w:sz w:val="21"/>
              </w:rPr>
            </w:pPr>
          </w:p>
        </w:tc>
        <w:tc>
          <w:tcPr>
            <w:tcW w:w="1021" w:type="dxa"/>
            <w:vAlign w:val="top"/>
          </w:tcPr>
          <w:p w14:paraId="624D4859">
            <w:pPr>
              <w:rPr>
                <w:rFonts w:ascii="Arial"/>
                <w:sz w:val="21"/>
              </w:rPr>
            </w:pPr>
          </w:p>
        </w:tc>
        <w:tc>
          <w:tcPr>
            <w:tcW w:w="709" w:type="dxa"/>
            <w:vAlign w:val="top"/>
          </w:tcPr>
          <w:p w14:paraId="12F5B42A">
            <w:pPr>
              <w:rPr>
                <w:rFonts w:ascii="Arial"/>
                <w:sz w:val="21"/>
              </w:rPr>
            </w:pPr>
          </w:p>
        </w:tc>
        <w:tc>
          <w:tcPr>
            <w:tcW w:w="709" w:type="dxa"/>
            <w:vAlign w:val="top"/>
          </w:tcPr>
          <w:p w14:paraId="0BA48EDF">
            <w:pPr>
              <w:rPr>
                <w:rFonts w:ascii="Arial"/>
                <w:sz w:val="21"/>
              </w:rPr>
            </w:pPr>
          </w:p>
        </w:tc>
        <w:tc>
          <w:tcPr>
            <w:tcW w:w="1175" w:type="dxa"/>
            <w:vAlign w:val="top"/>
          </w:tcPr>
          <w:p w14:paraId="18FC47FC">
            <w:pPr>
              <w:rPr>
                <w:rFonts w:ascii="Arial"/>
                <w:sz w:val="21"/>
              </w:rPr>
            </w:pPr>
          </w:p>
        </w:tc>
        <w:tc>
          <w:tcPr>
            <w:tcW w:w="871" w:type="dxa"/>
            <w:vAlign w:val="top"/>
          </w:tcPr>
          <w:p w14:paraId="4955CCDC">
            <w:pPr>
              <w:rPr>
                <w:rFonts w:ascii="Arial"/>
                <w:sz w:val="21"/>
              </w:rPr>
            </w:pPr>
          </w:p>
        </w:tc>
        <w:tc>
          <w:tcPr>
            <w:tcW w:w="872" w:type="dxa"/>
            <w:vAlign w:val="top"/>
          </w:tcPr>
          <w:p w14:paraId="131EB6A4">
            <w:pPr>
              <w:rPr>
                <w:rFonts w:ascii="Arial"/>
                <w:sz w:val="21"/>
              </w:rPr>
            </w:pPr>
          </w:p>
        </w:tc>
        <w:tc>
          <w:tcPr>
            <w:tcW w:w="769" w:type="dxa"/>
            <w:vAlign w:val="top"/>
          </w:tcPr>
          <w:p w14:paraId="6DCFD883">
            <w:pPr>
              <w:rPr>
                <w:rFonts w:ascii="Arial"/>
                <w:sz w:val="21"/>
              </w:rPr>
            </w:pPr>
          </w:p>
        </w:tc>
      </w:tr>
      <w:tr w14:paraId="0E2257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1764107">
            <w:pPr>
              <w:rPr>
                <w:rFonts w:ascii="Arial"/>
                <w:sz w:val="21"/>
              </w:rPr>
            </w:pPr>
          </w:p>
        </w:tc>
        <w:tc>
          <w:tcPr>
            <w:tcW w:w="1063" w:type="dxa"/>
            <w:vAlign w:val="top"/>
          </w:tcPr>
          <w:p w14:paraId="3C12C7C6">
            <w:pPr>
              <w:rPr>
                <w:rFonts w:ascii="Arial"/>
                <w:sz w:val="21"/>
              </w:rPr>
            </w:pPr>
          </w:p>
        </w:tc>
        <w:tc>
          <w:tcPr>
            <w:tcW w:w="672" w:type="dxa"/>
            <w:vAlign w:val="top"/>
          </w:tcPr>
          <w:p w14:paraId="01D74262">
            <w:pPr>
              <w:rPr>
                <w:rFonts w:ascii="Arial"/>
                <w:sz w:val="21"/>
              </w:rPr>
            </w:pPr>
          </w:p>
        </w:tc>
        <w:tc>
          <w:tcPr>
            <w:tcW w:w="1021" w:type="dxa"/>
            <w:vAlign w:val="top"/>
          </w:tcPr>
          <w:p w14:paraId="4AB998E4">
            <w:pPr>
              <w:rPr>
                <w:rFonts w:ascii="Arial"/>
                <w:sz w:val="21"/>
              </w:rPr>
            </w:pPr>
          </w:p>
        </w:tc>
        <w:tc>
          <w:tcPr>
            <w:tcW w:w="709" w:type="dxa"/>
            <w:vAlign w:val="top"/>
          </w:tcPr>
          <w:p w14:paraId="25D2385E">
            <w:pPr>
              <w:rPr>
                <w:rFonts w:ascii="Arial"/>
                <w:sz w:val="21"/>
              </w:rPr>
            </w:pPr>
          </w:p>
        </w:tc>
        <w:tc>
          <w:tcPr>
            <w:tcW w:w="709" w:type="dxa"/>
            <w:vAlign w:val="top"/>
          </w:tcPr>
          <w:p w14:paraId="617B3119">
            <w:pPr>
              <w:rPr>
                <w:rFonts w:ascii="Arial"/>
                <w:sz w:val="21"/>
              </w:rPr>
            </w:pPr>
          </w:p>
        </w:tc>
        <w:tc>
          <w:tcPr>
            <w:tcW w:w="1175" w:type="dxa"/>
            <w:vAlign w:val="top"/>
          </w:tcPr>
          <w:p w14:paraId="62D3ED78">
            <w:pPr>
              <w:rPr>
                <w:rFonts w:ascii="Arial"/>
                <w:sz w:val="21"/>
              </w:rPr>
            </w:pPr>
          </w:p>
        </w:tc>
        <w:tc>
          <w:tcPr>
            <w:tcW w:w="871" w:type="dxa"/>
            <w:vAlign w:val="top"/>
          </w:tcPr>
          <w:p w14:paraId="1936CFAF">
            <w:pPr>
              <w:rPr>
                <w:rFonts w:ascii="Arial"/>
                <w:sz w:val="21"/>
              </w:rPr>
            </w:pPr>
          </w:p>
        </w:tc>
        <w:tc>
          <w:tcPr>
            <w:tcW w:w="872" w:type="dxa"/>
            <w:vAlign w:val="top"/>
          </w:tcPr>
          <w:p w14:paraId="5F2EEEBE">
            <w:pPr>
              <w:rPr>
                <w:rFonts w:ascii="Arial"/>
                <w:sz w:val="21"/>
              </w:rPr>
            </w:pPr>
          </w:p>
        </w:tc>
        <w:tc>
          <w:tcPr>
            <w:tcW w:w="769" w:type="dxa"/>
            <w:vAlign w:val="top"/>
          </w:tcPr>
          <w:p w14:paraId="19BC68B1">
            <w:pPr>
              <w:rPr>
                <w:rFonts w:ascii="Arial"/>
                <w:sz w:val="21"/>
              </w:rPr>
            </w:pPr>
          </w:p>
        </w:tc>
      </w:tr>
      <w:tr w14:paraId="65A12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04DE532">
            <w:pPr>
              <w:rPr>
                <w:rFonts w:ascii="Arial"/>
                <w:sz w:val="21"/>
              </w:rPr>
            </w:pPr>
          </w:p>
        </w:tc>
        <w:tc>
          <w:tcPr>
            <w:tcW w:w="1063" w:type="dxa"/>
            <w:vAlign w:val="top"/>
          </w:tcPr>
          <w:p w14:paraId="5382A4A3">
            <w:pPr>
              <w:rPr>
                <w:rFonts w:ascii="Arial"/>
                <w:sz w:val="21"/>
              </w:rPr>
            </w:pPr>
          </w:p>
        </w:tc>
        <w:tc>
          <w:tcPr>
            <w:tcW w:w="672" w:type="dxa"/>
            <w:vAlign w:val="top"/>
          </w:tcPr>
          <w:p w14:paraId="59B254AE">
            <w:pPr>
              <w:rPr>
                <w:rFonts w:ascii="Arial"/>
                <w:sz w:val="21"/>
              </w:rPr>
            </w:pPr>
          </w:p>
        </w:tc>
        <w:tc>
          <w:tcPr>
            <w:tcW w:w="1021" w:type="dxa"/>
            <w:vAlign w:val="top"/>
          </w:tcPr>
          <w:p w14:paraId="2978DB3D">
            <w:pPr>
              <w:rPr>
                <w:rFonts w:ascii="Arial"/>
                <w:sz w:val="21"/>
              </w:rPr>
            </w:pPr>
          </w:p>
        </w:tc>
        <w:tc>
          <w:tcPr>
            <w:tcW w:w="709" w:type="dxa"/>
            <w:vAlign w:val="top"/>
          </w:tcPr>
          <w:p w14:paraId="7E501DED">
            <w:pPr>
              <w:rPr>
                <w:rFonts w:ascii="Arial"/>
                <w:sz w:val="21"/>
              </w:rPr>
            </w:pPr>
          </w:p>
        </w:tc>
        <w:tc>
          <w:tcPr>
            <w:tcW w:w="709" w:type="dxa"/>
            <w:vAlign w:val="top"/>
          </w:tcPr>
          <w:p w14:paraId="21E0BA97">
            <w:pPr>
              <w:rPr>
                <w:rFonts w:ascii="Arial"/>
                <w:sz w:val="21"/>
              </w:rPr>
            </w:pPr>
          </w:p>
        </w:tc>
        <w:tc>
          <w:tcPr>
            <w:tcW w:w="1175" w:type="dxa"/>
            <w:vAlign w:val="top"/>
          </w:tcPr>
          <w:p w14:paraId="30054022">
            <w:pPr>
              <w:rPr>
                <w:rFonts w:ascii="Arial"/>
                <w:sz w:val="21"/>
              </w:rPr>
            </w:pPr>
          </w:p>
        </w:tc>
        <w:tc>
          <w:tcPr>
            <w:tcW w:w="871" w:type="dxa"/>
            <w:vAlign w:val="top"/>
          </w:tcPr>
          <w:p w14:paraId="7211A97B">
            <w:pPr>
              <w:rPr>
                <w:rFonts w:ascii="Arial"/>
                <w:sz w:val="21"/>
              </w:rPr>
            </w:pPr>
          </w:p>
        </w:tc>
        <w:tc>
          <w:tcPr>
            <w:tcW w:w="872" w:type="dxa"/>
            <w:vAlign w:val="top"/>
          </w:tcPr>
          <w:p w14:paraId="2767A9AF">
            <w:pPr>
              <w:rPr>
                <w:rFonts w:ascii="Arial"/>
                <w:sz w:val="21"/>
              </w:rPr>
            </w:pPr>
          </w:p>
        </w:tc>
        <w:tc>
          <w:tcPr>
            <w:tcW w:w="769" w:type="dxa"/>
            <w:vAlign w:val="top"/>
          </w:tcPr>
          <w:p w14:paraId="491BA8B3">
            <w:pPr>
              <w:rPr>
                <w:rFonts w:ascii="Arial"/>
                <w:sz w:val="21"/>
              </w:rPr>
            </w:pPr>
          </w:p>
        </w:tc>
      </w:tr>
      <w:tr w14:paraId="2FB23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3462889B">
            <w:pPr>
              <w:rPr>
                <w:rFonts w:ascii="Arial"/>
                <w:sz w:val="21"/>
              </w:rPr>
            </w:pPr>
          </w:p>
        </w:tc>
        <w:tc>
          <w:tcPr>
            <w:tcW w:w="1063" w:type="dxa"/>
            <w:vAlign w:val="top"/>
          </w:tcPr>
          <w:p w14:paraId="7C2B367B">
            <w:pPr>
              <w:rPr>
                <w:rFonts w:ascii="Arial"/>
                <w:sz w:val="21"/>
              </w:rPr>
            </w:pPr>
          </w:p>
        </w:tc>
        <w:tc>
          <w:tcPr>
            <w:tcW w:w="672" w:type="dxa"/>
            <w:vAlign w:val="top"/>
          </w:tcPr>
          <w:p w14:paraId="62E4EC0A">
            <w:pPr>
              <w:rPr>
                <w:rFonts w:ascii="Arial"/>
                <w:sz w:val="21"/>
              </w:rPr>
            </w:pPr>
          </w:p>
        </w:tc>
        <w:tc>
          <w:tcPr>
            <w:tcW w:w="1021" w:type="dxa"/>
            <w:vAlign w:val="top"/>
          </w:tcPr>
          <w:p w14:paraId="36FE98B6">
            <w:pPr>
              <w:rPr>
                <w:rFonts w:ascii="Arial"/>
                <w:sz w:val="21"/>
              </w:rPr>
            </w:pPr>
          </w:p>
        </w:tc>
        <w:tc>
          <w:tcPr>
            <w:tcW w:w="709" w:type="dxa"/>
            <w:vAlign w:val="top"/>
          </w:tcPr>
          <w:p w14:paraId="0725B36D">
            <w:pPr>
              <w:rPr>
                <w:rFonts w:ascii="Arial"/>
                <w:sz w:val="21"/>
              </w:rPr>
            </w:pPr>
          </w:p>
        </w:tc>
        <w:tc>
          <w:tcPr>
            <w:tcW w:w="709" w:type="dxa"/>
            <w:vAlign w:val="top"/>
          </w:tcPr>
          <w:p w14:paraId="03E17E2E">
            <w:pPr>
              <w:rPr>
                <w:rFonts w:ascii="Arial"/>
                <w:sz w:val="21"/>
              </w:rPr>
            </w:pPr>
          </w:p>
        </w:tc>
        <w:tc>
          <w:tcPr>
            <w:tcW w:w="1175" w:type="dxa"/>
            <w:vAlign w:val="top"/>
          </w:tcPr>
          <w:p w14:paraId="7F2BA1BF">
            <w:pPr>
              <w:rPr>
                <w:rFonts w:ascii="Arial"/>
                <w:sz w:val="21"/>
              </w:rPr>
            </w:pPr>
          </w:p>
        </w:tc>
        <w:tc>
          <w:tcPr>
            <w:tcW w:w="871" w:type="dxa"/>
            <w:vAlign w:val="top"/>
          </w:tcPr>
          <w:p w14:paraId="50BB16CC">
            <w:pPr>
              <w:rPr>
                <w:rFonts w:ascii="Arial"/>
                <w:sz w:val="21"/>
              </w:rPr>
            </w:pPr>
          </w:p>
        </w:tc>
        <w:tc>
          <w:tcPr>
            <w:tcW w:w="872" w:type="dxa"/>
            <w:vAlign w:val="top"/>
          </w:tcPr>
          <w:p w14:paraId="4B1EE17F">
            <w:pPr>
              <w:rPr>
                <w:rFonts w:ascii="Arial"/>
                <w:sz w:val="21"/>
              </w:rPr>
            </w:pPr>
          </w:p>
        </w:tc>
        <w:tc>
          <w:tcPr>
            <w:tcW w:w="769" w:type="dxa"/>
            <w:vAlign w:val="top"/>
          </w:tcPr>
          <w:p w14:paraId="2353A9B4">
            <w:pPr>
              <w:rPr>
                <w:rFonts w:ascii="Arial"/>
                <w:sz w:val="21"/>
              </w:rPr>
            </w:pPr>
          </w:p>
        </w:tc>
      </w:tr>
      <w:tr w14:paraId="46AC11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57B6B1CF">
            <w:pPr>
              <w:rPr>
                <w:rFonts w:ascii="Arial"/>
                <w:sz w:val="21"/>
              </w:rPr>
            </w:pPr>
          </w:p>
        </w:tc>
        <w:tc>
          <w:tcPr>
            <w:tcW w:w="1063" w:type="dxa"/>
            <w:vAlign w:val="top"/>
          </w:tcPr>
          <w:p w14:paraId="6D932094">
            <w:pPr>
              <w:rPr>
                <w:rFonts w:ascii="Arial"/>
                <w:sz w:val="21"/>
              </w:rPr>
            </w:pPr>
          </w:p>
        </w:tc>
        <w:tc>
          <w:tcPr>
            <w:tcW w:w="672" w:type="dxa"/>
            <w:vAlign w:val="top"/>
          </w:tcPr>
          <w:p w14:paraId="4E3918F3">
            <w:pPr>
              <w:rPr>
                <w:rFonts w:ascii="Arial"/>
                <w:sz w:val="21"/>
              </w:rPr>
            </w:pPr>
          </w:p>
        </w:tc>
        <w:tc>
          <w:tcPr>
            <w:tcW w:w="1021" w:type="dxa"/>
            <w:vAlign w:val="top"/>
          </w:tcPr>
          <w:p w14:paraId="05214070">
            <w:pPr>
              <w:rPr>
                <w:rFonts w:ascii="Arial"/>
                <w:sz w:val="21"/>
              </w:rPr>
            </w:pPr>
          </w:p>
        </w:tc>
        <w:tc>
          <w:tcPr>
            <w:tcW w:w="709" w:type="dxa"/>
            <w:vAlign w:val="top"/>
          </w:tcPr>
          <w:p w14:paraId="615B0E6B">
            <w:pPr>
              <w:rPr>
                <w:rFonts w:ascii="Arial"/>
                <w:sz w:val="21"/>
              </w:rPr>
            </w:pPr>
          </w:p>
        </w:tc>
        <w:tc>
          <w:tcPr>
            <w:tcW w:w="709" w:type="dxa"/>
            <w:vAlign w:val="top"/>
          </w:tcPr>
          <w:p w14:paraId="4FCAAF6C">
            <w:pPr>
              <w:rPr>
                <w:rFonts w:ascii="Arial"/>
                <w:sz w:val="21"/>
              </w:rPr>
            </w:pPr>
          </w:p>
        </w:tc>
        <w:tc>
          <w:tcPr>
            <w:tcW w:w="1175" w:type="dxa"/>
            <w:vAlign w:val="top"/>
          </w:tcPr>
          <w:p w14:paraId="51EF51FE">
            <w:pPr>
              <w:rPr>
                <w:rFonts w:ascii="Arial"/>
                <w:sz w:val="21"/>
              </w:rPr>
            </w:pPr>
          </w:p>
        </w:tc>
        <w:tc>
          <w:tcPr>
            <w:tcW w:w="871" w:type="dxa"/>
            <w:vAlign w:val="top"/>
          </w:tcPr>
          <w:p w14:paraId="52AC8D2E">
            <w:pPr>
              <w:rPr>
                <w:rFonts w:ascii="Arial"/>
                <w:sz w:val="21"/>
              </w:rPr>
            </w:pPr>
          </w:p>
        </w:tc>
        <w:tc>
          <w:tcPr>
            <w:tcW w:w="872" w:type="dxa"/>
            <w:vAlign w:val="top"/>
          </w:tcPr>
          <w:p w14:paraId="736ED4FE">
            <w:pPr>
              <w:rPr>
                <w:rFonts w:ascii="Arial"/>
                <w:sz w:val="21"/>
              </w:rPr>
            </w:pPr>
          </w:p>
        </w:tc>
        <w:tc>
          <w:tcPr>
            <w:tcW w:w="769" w:type="dxa"/>
            <w:vAlign w:val="top"/>
          </w:tcPr>
          <w:p w14:paraId="581E102C">
            <w:pPr>
              <w:rPr>
                <w:rFonts w:ascii="Arial"/>
                <w:sz w:val="21"/>
              </w:rPr>
            </w:pPr>
          </w:p>
        </w:tc>
      </w:tr>
      <w:tr w14:paraId="56B20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2E5A8915">
            <w:pPr>
              <w:rPr>
                <w:rFonts w:ascii="Arial"/>
                <w:sz w:val="21"/>
              </w:rPr>
            </w:pPr>
          </w:p>
        </w:tc>
        <w:tc>
          <w:tcPr>
            <w:tcW w:w="1063" w:type="dxa"/>
            <w:vAlign w:val="top"/>
          </w:tcPr>
          <w:p w14:paraId="050FC799">
            <w:pPr>
              <w:rPr>
                <w:rFonts w:ascii="Arial"/>
                <w:sz w:val="21"/>
              </w:rPr>
            </w:pPr>
          </w:p>
        </w:tc>
        <w:tc>
          <w:tcPr>
            <w:tcW w:w="672" w:type="dxa"/>
            <w:vAlign w:val="top"/>
          </w:tcPr>
          <w:p w14:paraId="042B57AB">
            <w:pPr>
              <w:rPr>
                <w:rFonts w:ascii="Arial"/>
                <w:sz w:val="21"/>
              </w:rPr>
            </w:pPr>
          </w:p>
        </w:tc>
        <w:tc>
          <w:tcPr>
            <w:tcW w:w="1021" w:type="dxa"/>
            <w:vAlign w:val="top"/>
          </w:tcPr>
          <w:p w14:paraId="44E59A21">
            <w:pPr>
              <w:rPr>
                <w:rFonts w:ascii="Arial"/>
                <w:sz w:val="21"/>
              </w:rPr>
            </w:pPr>
          </w:p>
        </w:tc>
        <w:tc>
          <w:tcPr>
            <w:tcW w:w="709" w:type="dxa"/>
            <w:vAlign w:val="top"/>
          </w:tcPr>
          <w:p w14:paraId="64515195">
            <w:pPr>
              <w:rPr>
                <w:rFonts w:ascii="Arial"/>
                <w:sz w:val="21"/>
              </w:rPr>
            </w:pPr>
          </w:p>
        </w:tc>
        <w:tc>
          <w:tcPr>
            <w:tcW w:w="709" w:type="dxa"/>
            <w:vAlign w:val="top"/>
          </w:tcPr>
          <w:p w14:paraId="71664160">
            <w:pPr>
              <w:rPr>
                <w:rFonts w:ascii="Arial"/>
                <w:sz w:val="21"/>
              </w:rPr>
            </w:pPr>
          </w:p>
        </w:tc>
        <w:tc>
          <w:tcPr>
            <w:tcW w:w="1175" w:type="dxa"/>
            <w:vAlign w:val="top"/>
          </w:tcPr>
          <w:p w14:paraId="397B6A19">
            <w:pPr>
              <w:rPr>
                <w:rFonts w:ascii="Arial"/>
                <w:sz w:val="21"/>
              </w:rPr>
            </w:pPr>
          </w:p>
        </w:tc>
        <w:tc>
          <w:tcPr>
            <w:tcW w:w="871" w:type="dxa"/>
            <w:vAlign w:val="top"/>
          </w:tcPr>
          <w:p w14:paraId="49C92E71">
            <w:pPr>
              <w:rPr>
                <w:rFonts w:ascii="Arial"/>
                <w:sz w:val="21"/>
              </w:rPr>
            </w:pPr>
          </w:p>
        </w:tc>
        <w:tc>
          <w:tcPr>
            <w:tcW w:w="872" w:type="dxa"/>
            <w:vAlign w:val="top"/>
          </w:tcPr>
          <w:p w14:paraId="5DCF3A3E">
            <w:pPr>
              <w:rPr>
                <w:rFonts w:ascii="Arial"/>
                <w:sz w:val="21"/>
              </w:rPr>
            </w:pPr>
          </w:p>
        </w:tc>
        <w:tc>
          <w:tcPr>
            <w:tcW w:w="769" w:type="dxa"/>
            <w:vAlign w:val="top"/>
          </w:tcPr>
          <w:p w14:paraId="72CF8430">
            <w:pPr>
              <w:rPr>
                <w:rFonts w:ascii="Arial"/>
                <w:sz w:val="21"/>
              </w:rPr>
            </w:pPr>
          </w:p>
        </w:tc>
      </w:tr>
      <w:tr w14:paraId="401A8D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12151C8E">
            <w:pPr>
              <w:rPr>
                <w:rFonts w:ascii="Arial"/>
                <w:sz w:val="21"/>
              </w:rPr>
            </w:pPr>
          </w:p>
        </w:tc>
        <w:tc>
          <w:tcPr>
            <w:tcW w:w="1063" w:type="dxa"/>
            <w:vAlign w:val="top"/>
          </w:tcPr>
          <w:p w14:paraId="3ECA75C9">
            <w:pPr>
              <w:rPr>
                <w:rFonts w:ascii="Arial"/>
                <w:sz w:val="21"/>
              </w:rPr>
            </w:pPr>
          </w:p>
        </w:tc>
        <w:tc>
          <w:tcPr>
            <w:tcW w:w="672" w:type="dxa"/>
            <w:vAlign w:val="top"/>
          </w:tcPr>
          <w:p w14:paraId="28CDF339">
            <w:pPr>
              <w:rPr>
                <w:rFonts w:ascii="Arial"/>
                <w:sz w:val="21"/>
              </w:rPr>
            </w:pPr>
          </w:p>
        </w:tc>
        <w:tc>
          <w:tcPr>
            <w:tcW w:w="1021" w:type="dxa"/>
            <w:vAlign w:val="top"/>
          </w:tcPr>
          <w:p w14:paraId="14CAF611">
            <w:pPr>
              <w:rPr>
                <w:rFonts w:ascii="Arial"/>
                <w:sz w:val="21"/>
              </w:rPr>
            </w:pPr>
          </w:p>
        </w:tc>
        <w:tc>
          <w:tcPr>
            <w:tcW w:w="709" w:type="dxa"/>
            <w:vAlign w:val="top"/>
          </w:tcPr>
          <w:p w14:paraId="0DC78203">
            <w:pPr>
              <w:rPr>
                <w:rFonts w:ascii="Arial"/>
                <w:sz w:val="21"/>
              </w:rPr>
            </w:pPr>
          </w:p>
        </w:tc>
        <w:tc>
          <w:tcPr>
            <w:tcW w:w="709" w:type="dxa"/>
            <w:vAlign w:val="top"/>
          </w:tcPr>
          <w:p w14:paraId="4DE3CC8B">
            <w:pPr>
              <w:rPr>
                <w:rFonts w:ascii="Arial"/>
                <w:sz w:val="21"/>
              </w:rPr>
            </w:pPr>
          </w:p>
        </w:tc>
        <w:tc>
          <w:tcPr>
            <w:tcW w:w="1175" w:type="dxa"/>
            <w:vAlign w:val="top"/>
          </w:tcPr>
          <w:p w14:paraId="106311F8">
            <w:pPr>
              <w:rPr>
                <w:rFonts w:ascii="Arial"/>
                <w:sz w:val="21"/>
              </w:rPr>
            </w:pPr>
          </w:p>
        </w:tc>
        <w:tc>
          <w:tcPr>
            <w:tcW w:w="871" w:type="dxa"/>
            <w:vAlign w:val="top"/>
          </w:tcPr>
          <w:p w14:paraId="7160CEDA">
            <w:pPr>
              <w:rPr>
                <w:rFonts w:ascii="Arial"/>
                <w:sz w:val="21"/>
              </w:rPr>
            </w:pPr>
          </w:p>
        </w:tc>
        <w:tc>
          <w:tcPr>
            <w:tcW w:w="872" w:type="dxa"/>
            <w:vAlign w:val="top"/>
          </w:tcPr>
          <w:p w14:paraId="7AB2D28E">
            <w:pPr>
              <w:rPr>
                <w:rFonts w:ascii="Arial"/>
                <w:sz w:val="21"/>
              </w:rPr>
            </w:pPr>
          </w:p>
        </w:tc>
        <w:tc>
          <w:tcPr>
            <w:tcW w:w="769" w:type="dxa"/>
            <w:vAlign w:val="top"/>
          </w:tcPr>
          <w:p w14:paraId="46387721">
            <w:pPr>
              <w:rPr>
                <w:rFonts w:ascii="Arial"/>
                <w:sz w:val="21"/>
              </w:rPr>
            </w:pPr>
          </w:p>
        </w:tc>
      </w:tr>
      <w:tr w14:paraId="0D3A38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A51D08D">
            <w:pPr>
              <w:rPr>
                <w:rFonts w:ascii="Arial"/>
                <w:sz w:val="21"/>
              </w:rPr>
            </w:pPr>
          </w:p>
        </w:tc>
        <w:tc>
          <w:tcPr>
            <w:tcW w:w="1063" w:type="dxa"/>
            <w:vAlign w:val="top"/>
          </w:tcPr>
          <w:p w14:paraId="4E8BE09E">
            <w:pPr>
              <w:rPr>
                <w:rFonts w:ascii="Arial"/>
                <w:sz w:val="21"/>
              </w:rPr>
            </w:pPr>
          </w:p>
        </w:tc>
        <w:tc>
          <w:tcPr>
            <w:tcW w:w="672" w:type="dxa"/>
            <w:vAlign w:val="top"/>
          </w:tcPr>
          <w:p w14:paraId="07BD5959">
            <w:pPr>
              <w:rPr>
                <w:rFonts w:ascii="Arial"/>
                <w:sz w:val="21"/>
              </w:rPr>
            </w:pPr>
          </w:p>
        </w:tc>
        <w:tc>
          <w:tcPr>
            <w:tcW w:w="1021" w:type="dxa"/>
            <w:vAlign w:val="top"/>
          </w:tcPr>
          <w:p w14:paraId="457A6911">
            <w:pPr>
              <w:rPr>
                <w:rFonts w:ascii="Arial"/>
                <w:sz w:val="21"/>
              </w:rPr>
            </w:pPr>
          </w:p>
        </w:tc>
        <w:tc>
          <w:tcPr>
            <w:tcW w:w="709" w:type="dxa"/>
            <w:vAlign w:val="top"/>
          </w:tcPr>
          <w:p w14:paraId="3AAA0F80">
            <w:pPr>
              <w:rPr>
                <w:rFonts w:ascii="Arial"/>
                <w:sz w:val="21"/>
              </w:rPr>
            </w:pPr>
          </w:p>
        </w:tc>
        <w:tc>
          <w:tcPr>
            <w:tcW w:w="709" w:type="dxa"/>
            <w:vAlign w:val="top"/>
          </w:tcPr>
          <w:p w14:paraId="12906441">
            <w:pPr>
              <w:rPr>
                <w:rFonts w:ascii="Arial"/>
                <w:sz w:val="21"/>
              </w:rPr>
            </w:pPr>
          </w:p>
        </w:tc>
        <w:tc>
          <w:tcPr>
            <w:tcW w:w="1175" w:type="dxa"/>
            <w:vAlign w:val="top"/>
          </w:tcPr>
          <w:p w14:paraId="50E633F5">
            <w:pPr>
              <w:rPr>
                <w:rFonts w:ascii="Arial"/>
                <w:sz w:val="21"/>
              </w:rPr>
            </w:pPr>
          </w:p>
        </w:tc>
        <w:tc>
          <w:tcPr>
            <w:tcW w:w="871" w:type="dxa"/>
            <w:vAlign w:val="top"/>
          </w:tcPr>
          <w:p w14:paraId="088B325D">
            <w:pPr>
              <w:rPr>
                <w:rFonts w:ascii="Arial"/>
                <w:sz w:val="21"/>
              </w:rPr>
            </w:pPr>
          </w:p>
        </w:tc>
        <w:tc>
          <w:tcPr>
            <w:tcW w:w="872" w:type="dxa"/>
            <w:vAlign w:val="top"/>
          </w:tcPr>
          <w:p w14:paraId="3FCFB783">
            <w:pPr>
              <w:rPr>
                <w:rFonts w:ascii="Arial"/>
                <w:sz w:val="21"/>
              </w:rPr>
            </w:pPr>
          </w:p>
        </w:tc>
        <w:tc>
          <w:tcPr>
            <w:tcW w:w="769" w:type="dxa"/>
            <w:vAlign w:val="top"/>
          </w:tcPr>
          <w:p w14:paraId="6345EA64">
            <w:pPr>
              <w:rPr>
                <w:rFonts w:ascii="Arial"/>
                <w:sz w:val="21"/>
              </w:rPr>
            </w:pPr>
          </w:p>
        </w:tc>
      </w:tr>
      <w:tr w14:paraId="11BD9D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77407370">
            <w:pPr>
              <w:rPr>
                <w:rFonts w:ascii="Arial"/>
                <w:sz w:val="21"/>
              </w:rPr>
            </w:pPr>
          </w:p>
        </w:tc>
        <w:tc>
          <w:tcPr>
            <w:tcW w:w="1063" w:type="dxa"/>
            <w:vAlign w:val="top"/>
          </w:tcPr>
          <w:p w14:paraId="33624713">
            <w:pPr>
              <w:rPr>
                <w:rFonts w:ascii="Arial"/>
                <w:sz w:val="21"/>
              </w:rPr>
            </w:pPr>
          </w:p>
        </w:tc>
        <w:tc>
          <w:tcPr>
            <w:tcW w:w="672" w:type="dxa"/>
            <w:vAlign w:val="top"/>
          </w:tcPr>
          <w:p w14:paraId="732308E5">
            <w:pPr>
              <w:rPr>
                <w:rFonts w:ascii="Arial"/>
                <w:sz w:val="21"/>
              </w:rPr>
            </w:pPr>
          </w:p>
        </w:tc>
        <w:tc>
          <w:tcPr>
            <w:tcW w:w="1021" w:type="dxa"/>
            <w:vAlign w:val="top"/>
          </w:tcPr>
          <w:p w14:paraId="575C2143">
            <w:pPr>
              <w:rPr>
                <w:rFonts w:ascii="Arial"/>
                <w:sz w:val="21"/>
              </w:rPr>
            </w:pPr>
          </w:p>
        </w:tc>
        <w:tc>
          <w:tcPr>
            <w:tcW w:w="709" w:type="dxa"/>
            <w:vAlign w:val="top"/>
          </w:tcPr>
          <w:p w14:paraId="03E84493">
            <w:pPr>
              <w:rPr>
                <w:rFonts w:ascii="Arial"/>
                <w:sz w:val="21"/>
              </w:rPr>
            </w:pPr>
          </w:p>
        </w:tc>
        <w:tc>
          <w:tcPr>
            <w:tcW w:w="709" w:type="dxa"/>
            <w:vAlign w:val="top"/>
          </w:tcPr>
          <w:p w14:paraId="7FC6E351">
            <w:pPr>
              <w:rPr>
                <w:rFonts w:ascii="Arial"/>
                <w:sz w:val="21"/>
              </w:rPr>
            </w:pPr>
          </w:p>
        </w:tc>
        <w:tc>
          <w:tcPr>
            <w:tcW w:w="1175" w:type="dxa"/>
            <w:vAlign w:val="top"/>
          </w:tcPr>
          <w:p w14:paraId="0BE4342E">
            <w:pPr>
              <w:rPr>
                <w:rFonts w:ascii="Arial"/>
                <w:sz w:val="21"/>
              </w:rPr>
            </w:pPr>
          </w:p>
        </w:tc>
        <w:tc>
          <w:tcPr>
            <w:tcW w:w="871" w:type="dxa"/>
            <w:vAlign w:val="top"/>
          </w:tcPr>
          <w:p w14:paraId="734AE25F">
            <w:pPr>
              <w:rPr>
                <w:rFonts w:ascii="Arial"/>
                <w:sz w:val="21"/>
              </w:rPr>
            </w:pPr>
          </w:p>
        </w:tc>
        <w:tc>
          <w:tcPr>
            <w:tcW w:w="872" w:type="dxa"/>
            <w:vAlign w:val="top"/>
          </w:tcPr>
          <w:p w14:paraId="19B29C3B">
            <w:pPr>
              <w:rPr>
                <w:rFonts w:ascii="Arial"/>
                <w:sz w:val="21"/>
              </w:rPr>
            </w:pPr>
          </w:p>
        </w:tc>
        <w:tc>
          <w:tcPr>
            <w:tcW w:w="769" w:type="dxa"/>
            <w:vAlign w:val="top"/>
          </w:tcPr>
          <w:p w14:paraId="3EFF1ED2">
            <w:pPr>
              <w:rPr>
                <w:rFonts w:ascii="Arial"/>
                <w:sz w:val="21"/>
              </w:rPr>
            </w:pPr>
          </w:p>
        </w:tc>
      </w:tr>
      <w:tr w14:paraId="0EBE8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6D6FF52C">
            <w:pPr>
              <w:rPr>
                <w:rFonts w:ascii="Arial"/>
                <w:sz w:val="21"/>
              </w:rPr>
            </w:pPr>
          </w:p>
        </w:tc>
        <w:tc>
          <w:tcPr>
            <w:tcW w:w="1063" w:type="dxa"/>
            <w:vAlign w:val="top"/>
          </w:tcPr>
          <w:p w14:paraId="562CB83C">
            <w:pPr>
              <w:rPr>
                <w:rFonts w:ascii="Arial"/>
                <w:sz w:val="21"/>
              </w:rPr>
            </w:pPr>
          </w:p>
        </w:tc>
        <w:tc>
          <w:tcPr>
            <w:tcW w:w="672" w:type="dxa"/>
            <w:vAlign w:val="top"/>
          </w:tcPr>
          <w:p w14:paraId="63C32785">
            <w:pPr>
              <w:rPr>
                <w:rFonts w:ascii="Arial"/>
                <w:sz w:val="21"/>
              </w:rPr>
            </w:pPr>
          </w:p>
        </w:tc>
        <w:tc>
          <w:tcPr>
            <w:tcW w:w="1021" w:type="dxa"/>
            <w:vAlign w:val="top"/>
          </w:tcPr>
          <w:p w14:paraId="20564144">
            <w:pPr>
              <w:rPr>
                <w:rFonts w:ascii="Arial"/>
                <w:sz w:val="21"/>
              </w:rPr>
            </w:pPr>
          </w:p>
        </w:tc>
        <w:tc>
          <w:tcPr>
            <w:tcW w:w="709" w:type="dxa"/>
            <w:vAlign w:val="top"/>
          </w:tcPr>
          <w:p w14:paraId="2D8E4CF1">
            <w:pPr>
              <w:rPr>
                <w:rFonts w:ascii="Arial"/>
                <w:sz w:val="21"/>
              </w:rPr>
            </w:pPr>
          </w:p>
        </w:tc>
        <w:tc>
          <w:tcPr>
            <w:tcW w:w="709" w:type="dxa"/>
            <w:vAlign w:val="top"/>
          </w:tcPr>
          <w:p w14:paraId="08B83209">
            <w:pPr>
              <w:rPr>
                <w:rFonts w:ascii="Arial"/>
                <w:sz w:val="21"/>
              </w:rPr>
            </w:pPr>
          </w:p>
        </w:tc>
        <w:tc>
          <w:tcPr>
            <w:tcW w:w="1175" w:type="dxa"/>
            <w:vAlign w:val="top"/>
          </w:tcPr>
          <w:p w14:paraId="56E343DA">
            <w:pPr>
              <w:rPr>
                <w:rFonts w:ascii="Arial"/>
                <w:sz w:val="21"/>
              </w:rPr>
            </w:pPr>
          </w:p>
        </w:tc>
        <w:tc>
          <w:tcPr>
            <w:tcW w:w="871" w:type="dxa"/>
            <w:vAlign w:val="top"/>
          </w:tcPr>
          <w:p w14:paraId="3BD79289">
            <w:pPr>
              <w:rPr>
                <w:rFonts w:ascii="Arial"/>
                <w:sz w:val="21"/>
              </w:rPr>
            </w:pPr>
          </w:p>
        </w:tc>
        <w:tc>
          <w:tcPr>
            <w:tcW w:w="872" w:type="dxa"/>
            <w:vAlign w:val="top"/>
          </w:tcPr>
          <w:p w14:paraId="230387F1">
            <w:pPr>
              <w:rPr>
                <w:rFonts w:ascii="Arial"/>
                <w:sz w:val="21"/>
              </w:rPr>
            </w:pPr>
          </w:p>
        </w:tc>
        <w:tc>
          <w:tcPr>
            <w:tcW w:w="769" w:type="dxa"/>
            <w:vAlign w:val="top"/>
          </w:tcPr>
          <w:p w14:paraId="33F44C6F">
            <w:pPr>
              <w:rPr>
                <w:rFonts w:ascii="Arial"/>
                <w:sz w:val="21"/>
              </w:rPr>
            </w:pPr>
          </w:p>
        </w:tc>
      </w:tr>
      <w:tr w14:paraId="59C2E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3A507BB">
            <w:pPr>
              <w:rPr>
                <w:rFonts w:ascii="Arial"/>
                <w:sz w:val="21"/>
              </w:rPr>
            </w:pPr>
          </w:p>
        </w:tc>
        <w:tc>
          <w:tcPr>
            <w:tcW w:w="1063" w:type="dxa"/>
            <w:vAlign w:val="top"/>
          </w:tcPr>
          <w:p w14:paraId="0A0E9AA7">
            <w:pPr>
              <w:rPr>
                <w:rFonts w:ascii="Arial"/>
                <w:sz w:val="21"/>
              </w:rPr>
            </w:pPr>
          </w:p>
        </w:tc>
        <w:tc>
          <w:tcPr>
            <w:tcW w:w="672" w:type="dxa"/>
            <w:vAlign w:val="top"/>
          </w:tcPr>
          <w:p w14:paraId="7736064E">
            <w:pPr>
              <w:rPr>
                <w:rFonts w:ascii="Arial"/>
                <w:sz w:val="21"/>
              </w:rPr>
            </w:pPr>
          </w:p>
        </w:tc>
        <w:tc>
          <w:tcPr>
            <w:tcW w:w="1021" w:type="dxa"/>
            <w:vAlign w:val="top"/>
          </w:tcPr>
          <w:p w14:paraId="632E9B86">
            <w:pPr>
              <w:rPr>
                <w:rFonts w:ascii="Arial"/>
                <w:sz w:val="21"/>
              </w:rPr>
            </w:pPr>
          </w:p>
        </w:tc>
        <w:tc>
          <w:tcPr>
            <w:tcW w:w="709" w:type="dxa"/>
            <w:vAlign w:val="top"/>
          </w:tcPr>
          <w:p w14:paraId="4FEEE2D4">
            <w:pPr>
              <w:rPr>
                <w:rFonts w:ascii="Arial"/>
                <w:sz w:val="21"/>
              </w:rPr>
            </w:pPr>
          </w:p>
        </w:tc>
        <w:tc>
          <w:tcPr>
            <w:tcW w:w="709" w:type="dxa"/>
            <w:vAlign w:val="top"/>
          </w:tcPr>
          <w:p w14:paraId="4B7599DB">
            <w:pPr>
              <w:rPr>
                <w:rFonts w:ascii="Arial"/>
                <w:sz w:val="21"/>
              </w:rPr>
            </w:pPr>
          </w:p>
        </w:tc>
        <w:tc>
          <w:tcPr>
            <w:tcW w:w="1175" w:type="dxa"/>
            <w:vAlign w:val="top"/>
          </w:tcPr>
          <w:p w14:paraId="6AE875D3">
            <w:pPr>
              <w:rPr>
                <w:rFonts w:ascii="Arial"/>
                <w:sz w:val="21"/>
              </w:rPr>
            </w:pPr>
          </w:p>
        </w:tc>
        <w:tc>
          <w:tcPr>
            <w:tcW w:w="871" w:type="dxa"/>
            <w:vAlign w:val="top"/>
          </w:tcPr>
          <w:p w14:paraId="4742CC33">
            <w:pPr>
              <w:rPr>
                <w:rFonts w:ascii="Arial"/>
                <w:sz w:val="21"/>
              </w:rPr>
            </w:pPr>
          </w:p>
        </w:tc>
        <w:tc>
          <w:tcPr>
            <w:tcW w:w="872" w:type="dxa"/>
            <w:vAlign w:val="top"/>
          </w:tcPr>
          <w:p w14:paraId="2FF02C32">
            <w:pPr>
              <w:rPr>
                <w:rFonts w:ascii="Arial"/>
                <w:sz w:val="21"/>
              </w:rPr>
            </w:pPr>
          </w:p>
        </w:tc>
        <w:tc>
          <w:tcPr>
            <w:tcW w:w="769" w:type="dxa"/>
            <w:vAlign w:val="top"/>
          </w:tcPr>
          <w:p w14:paraId="1A1DA4AD">
            <w:pPr>
              <w:rPr>
                <w:rFonts w:ascii="Arial"/>
                <w:sz w:val="21"/>
              </w:rPr>
            </w:pPr>
          </w:p>
        </w:tc>
      </w:tr>
      <w:tr w14:paraId="58294C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4D666217">
            <w:pPr>
              <w:rPr>
                <w:rFonts w:ascii="Arial"/>
                <w:sz w:val="21"/>
              </w:rPr>
            </w:pPr>
          </w:p>
        </w:tc>
        <w:tc>
          <w:tcPr>
            <w:tcW w:w="1063" w:type="dxa"/>
            <w:vAlign w:val="top"/>
          </w:tcPr>
          <w:p w14:paraId="4AB96C3A">
            <w:pPr>
              <w:rPr>
                <w:rFonts w:ascii="Arial"/>
                <w:sz w:val="21"/>
              </w:rPr>
            </w:pPr>
          </w:p>
        </w:tc>
        <w:tc>
          <w:tcPr>
            <w:tcW w:w="672" w:type="dxa"/>
            <w:vAlign w:val="top"/>
          </w:tcPr>
          <w:p w14:paraId="04220D02">
            <w:pPr>
              <w:rPr>
                <w:rFonts w:ascii="Arial"/>
                <w:sz w:val="21"/>
              </w:rPr>
            </w:pPr>
          </w:p>
        </w:tc>
        <w:tc>
          <w:tcPr>
            <w:tcW w:w="1021" w:type="dxa"/>
            <w:vAlign w:val="top"/>
          </w:tcPr>
          <w:p w14:paraId="741BE38D">
            <w:pPr>
              <w:rPr>
                <w:rFonts w:ascii="Arial"/>
                <w:sz w:val="21"/>
              </w:rPr>
            </w:pPr>
          </w:p>
        </w:tc>
        <w:tc>
          <w:tcPr>
            <w:tcW w:w="709" w:type="dxa"/>
            <w:vAlign w:val="top"/>
          </w:tcPr>
          <w:p w14:paraId="445ADA0B">
            <w:pPr>
              <w:rPr>
                <w:rFonts w:ascii="Arial"/>
                <w:sz w:val="21"/>
              </w:rPr>
            </w:pPr>
          </w:p>
        </w:tc>
        <w:tc>
          <w:tcPr>
            <w:tcW w:w="709" w:type="dxa"/>
            <w:vAlign w:val="top"/>
          </w:tcPr>
          <w:p w14:paraId="587BA48F">
            <w:pPr>
              <w:rPr>
                <w:rFonts w:ascii="Arial"/>
                <w:sz w:val="21"/>
              </w:rPr>
            </w:pPr>
          </w:p>
        </w:tc>
        <w:tc>
          <w:tcPr>
            <w:tcW w:w="1175" w:type="dxa"/>
            <w:vAlign w:val="top"/>
          </w:tcPr>
          <w:p w14:paraId="5EB2EAFB">
            <w:pPr>
              <w:rPr>
                <w:rFonts w:ascii="Arial"/>
                <w:sz w:val="21"/>
              </w:rPr>
            </w:pPr>
          </w:p>
        </w:tc>
        <w:tc>
          <w:tcPr>
            <w:tcW w:w="871" w:type="dxa"/>
            <w:vAlign w:val="top"/>
          </w:tcPr>
          <w:p w14:paraId="635073E6">
            <w:pPr>
              <w:rPr>
                <w:rFonts w:ascii="Arial"/>
                <w:sz w:val="21"/>
              </w:rPr>
            </w:pPr>
          </w:p>
        </w:tc>
        <w:tc>
          <w:tcPr>
            <w:tcW w:w="872" w:type="dxa"/>
            <w:vAlign w:val="top"/>
          </w:tcPr>
          <w:p w14:paraId="164227AD">
            <w:pPr>
              <w:rPr>
                <w:rFonts w:ascii="Arial"/>
                <w:sz w:val="21"/>
              </w:rPr>
            </w:pPr>
          </w:p>
        </w:tc>
        <w:tc>
          <w:tcPr>
            <w:tcW w:w="769" w:type="dxa"/>
            <w:vAlign w:val="top"/>
          </w:tcPr>
          <w:p w14:paraId="7BF8F4A6">
            <w:pPr>
              <w:rPr>
                <w:rFonts w:ascii="Arial"/>
                <w:sz w:val="21"/>
              </w:rPr>
            </w:pPr>
          </w:p>
        </w:tc>
      </w:tr>
      <w:tr w14:paraId="7008F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2C91A7F5">
            <w:pPr>
              <w:rPr>
                <w:rFonts w:ascii="Arial"/>
                <w:sz w:val="21"/>
              </w:rPr>
            </w:pPr>
          </w:p>
        </w:tc>
        <w:tc>
          <w:tcPr>
            <w:tcW w:w="1063" w:type="dxa"/>
            <w:vAlign w:val="top"/>
          </w:tcPr>
          <w:p w14:paraId="3021804F">
            <w:pPr>
              <w:rPr>
                <w:rFonts w:ascii="Arial"/>
                <w:sz w:val="21"/>
              </w:rPr>
            </w:pPr>
          </w:p>
        </w:tc>
        <w:tc>
          <w:tcPr>
            <w:tcW w:w="672" w:type="dxa"/>
            <w:vAlign w:val="top"/>
          </w:tcPr>
          <w:p w14:paraId="35E5AAB7">
            <w:pPr>
              <w:rPr>
                <w:rFonts w:ascii="Arial"/>
                <w:sz w:val="21"/>
              </w:rPr>
            </w:pPr>
          </w:p>
        </w:tc>
        <w:tc>
          <w:tcPr>
            <w:tcW w:w="1021" w:type="dxa"/>
            <w:vAlign w:val="top"/>
          </w:tcPr>
          <w:p w14:paraId="11758609">
            <w:pPr>
              <w:rPr>
                <w:rFonts w:ascii="Arial"/>
                <w:sz w:val="21"/>
              </w:rPr>
            </w:pPr>
          </w:p>
        </w:tc>
        <w:tc>
          <w:tcPr>
            <w:tcW w:w="709" w:type="dxa"/>
            <w:vAlign w:val="top"/>
          </w:tcPr>
          <w:p w14:paraId="487C5F44">
            <w:pPr>
              <w:rPr>
                <w:rFonts w:ascii="Arial"/>
                <w:sz w:val="21"/>
              </w:rPr>
            </w:pPr>
          </w:p>
        </w:tc>
        <w:tc>
          <w:tcPr>
            <w:tcW w:w="709" w:type="dxa"/>
            <w:vAlign w:val="top"/>
          </w:tcPr>
          <w:p w14:paraId="76EFF18C">
            <w:pPr>
              <w:rPr>
                <w:rFonts w:ascii="Arial"/>
                <w:sz w:val="21"/>
              </w:rPr>
            </w:pPr>
          </w:p>
        </w:tc>
        <w:tc>
          <w:tcPr>
            <w:tcW w:w="1175" w:type="dxa"/>
            <w:vAlign w:val="top"/>
          </w:tcPr>
          <w:p w14:paraId="2B95DA9A">
            <w:pPr>
              <w:rPr>
                <w:rFonts w:ascii="Arial"/>
                <w:sz w:val="21"/>
              </w:rPr>
            </w:pPr>
          </w:p>
        </w:tc>
        <w:tc>
          <w:tcPr>
            <w:tcW w:w="871" w:type="dxa"/>
            <w:vAlign w:val="top"/>
          </w:tcPr>
          <w:p w14:paraId="145C4AEB">
            <w:pPr>
              <w:rPr>
                <w:rFonts w:ascii="Arial"/>
                <w:sz w:val="21"/>
              </w:rPr>
            </w:pPr>
          </w:p>
        </w:tc>
        <w:tc>
          <w:tcPr>
            <w:tcW w:w="872" w:type="dxa"/>
            <w:vAlign w:val="top"/>
          </w:tcPr>
          <w:p w14:paraId="146273F0">
            <w:pPr>
              <w:rPr>
                <w:rFonts w:ascii="Arial"/>
                <w:sz w:val="21"/>
              </w:rPr>
            </w:pPr>
          </w:p>
        </w:tc>
        <w:tc>
          <w:tcPr>
            <w:tcW w:w="769" w:type="dxa"/>
            <w:vAlign w:val="top"/>
          </w:tcPr>
          <w:p w14:paraId="0AEE610A">
            <w:pPr>
              <w:rPr>
                <w:rFonts w:ascii="Arial"/>
                <w:sz w:val="21"/>
              </w:rPr>
            </w:pPr>
          </w:p>
        </w:tc>
      </w:tr>
      <w:tr w14:paraId="458272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1894D053">
            <w:pPr>
              <w:rPr>
                <w:rFonts w:ascii="Arial"/>
                <w:sz w:val="21"/>
              </w:rPr>
            </w:pPr>
          </w:p>
        </w:tc>
        <w:tc>
          <w:tcPr>
            <w:tcW w:w="1063" w:type="dxa"/>
            <w:vAlign w:val="top"/>
          </w:tcPr>
          <w:p w14:paraId="20F2B05F">
            <w:pPr>
              <w:rPr>
                <w:rFonts w:ascii="Arial"/>
                <w:sz w:val="21"/>
              </w:rPr>
            </w:pPr>
          </w:p>
        </w:tc>
        <w:tc>
          <w:tcPr>
            <w:tcW w:w="672" w:type="dxa"/>
            <w:vAlign w:val="top"/>
          </w:tcPr>
          <w:p w14:paraId="4C4F0FBA">
            <w:pPr>
              <w:rPr>
                <w:rFonts w:ascii="Arial"/>
                <w:sz w:val="21"/>
              </w:rPr>
            </w:pPr>
          </w:p>
        </w:tc>
        <w:tc>
          <w:tcPr>
            <w:tcW w:w="1021" w:type="dxa"/>
            <w:vAlign w:val="top"/>
          </w:tcPr>
          <w:p w14:paraId="34E11BF9">
            <w:pPr>
              <w:rPr>
                <w:rFonts w:ascii="Arial"/>
                <w:sz w:val="21"/>
              </w:rPr>
            </w:pPr>
          </w:p>
        </w:tc>
        <w:tc>
          <w:tcPr>
            <w:tcW w:w="709" w:type="dxa"/>
            <w:vAlign w:val="top"/>
          </w:tcPr>
          <w:p w14:paraId="7B0AE6EC">
            <w:pPr>
              <w:rPr>
                <w:rFonts w:ascii="Arial"/>
                <w:sz w:val="21"/>
              </w:rPr>
            </w:pPr>
          </w:p>
        </w:tc>
        <w:tc>
          <w:tcPr>
            <w:tcW w:w="709" w:type="dxa"/>
            <w:vAlign w:val="top"/>
          </w:tcPr>
          <w:p w14:paraId="5DA697E8">
            <w:pPr>
              <w:rPr>
                <w:rFonts w:ascii="Arial"/>
                <w:sz w:val="21"/>
              </w:rPr>
            </w:pPr>
          </w:p>
        </w:tc>
        <w:tc>
          <w:tcPr>
            <w:tcW w:w="1175" w:type="dxa"/>
            <w:vAlign w:val="top"/>
          </w:tcPr>
          <w:p w14:paraId="690F4538">
            <w:pPr>
              <w:rPr>
                <w:rFonts w:ascii="Arial"/>
                <w:sz w:val="21"/>
              </w:rPr>
            </w:pPr>
          </w:p>
        </w:tc>
        <w:tc>
          <w:tcPr>
            <w:tcW w:w="871" w:type="dxa"/>
            <w:vAlign w:val="top"/>
          </w:tcPr>
          <w:p w14:paraId="5CF77BF3">
            <w:pPr>
              <w:rPr>
                <w:rFonts w:ascii="Arial"/>
                <w:sz w:val="21"/>
              </w:rPr>
            </w:pPr>
          </w:p>
        </w:tc>
        <w:tc>
          <w:tcPr>
            <w:tcW w:w="872" w:type="dxa"/>
            <w:vAlign w:val="top"/>
          </w:tcPr>
          <w:p w14:paraId="4865916D">
            <w:pPr>
              <w:rPr>
                <w:rFonts w:ascii="Arial"/>
                <w:sz w:val="21"/>
              </w:rPr>
            </w:pPr>
          </w:p>
        </w:tc>
        <w:tc>
          <w:tcPr>
            <w:tcW w:w="769" w:type="dxa"/>
            <w:vAlign w:val="top"/>
          </w:tcPr>
          <w:p w14:paraId="0A802EA7">
            <w:pPr>
              <w:rPr>
                <w:rFonts w:ascii="Arial"/>
                <w:sz w:val="21"/>
              </w:rPr>
            </w:pPr>
          </w:p>
        </w:tc>
      </w:tr>
      <w:tr w14:paraId="4596A1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1954ADC1">
            <w:pPr>
              <w:rPr>
                <w:rFonts w:ascii="Arial"/>
                <w:sz w:val="21"/>
              </w:rPr>
            </w:pPr>
          </w:p>
        </w:tc>
        <w:tc>
          <w:tcPr>
            <w:tcW w:w="1063" w:type="dxa"/>
            <w:vAlign w:val="top"/>
          </w:tcPr>
          <w:p w14:paraId="029F9505">
            <w:pPr>
              <w:rPr>
                <w:rFonts w:ascii="Arial"/>
                <w:sz w:val="21"/>
              </w:rPr>
            </w:pPr>
          </w:p>
        </w:tc>
        <w:tc>
          <w:tcPr>
            <w:tcW w:w="672" w:type="dxa"/>
            <w:vAlign w:val="top"/>
          </w:tcPr>
          <w:p w14:paraId="4C90DBF4">
            <w:pPr>
              <w:rPr>
                <w:rFonts w:ascii="Arial"/>
                <w:sz w:val="21"/>
              </w:rPr>
            </w:pPr>
          </w:p>
        </w:tc>
        <w:tc>
          <w:tcPr>
            <w:tcW w:w="1021" w:type="dxa"/>
            <w:vAlign w:val="top"/>
          </w:tcPr>
          <w:p w14:paraId="786779C7">
            <w:pPr>
              <w:rPr>
                <w:rFonts w:ascii="Arial"/>
                <w:sz w:val="21"/>
              </w:rPr>
            </w:pPr>
          </w:p>
        </w:tc>
        <w:tc>
          <w:tcPr>
            <w:tcW w:w="709" w:type="dxa"/>
            <w:vAlign w:val="top"/>
          </w:tcPr>
          <w:p w14:paraId="793F5EC2">
            <w:pPr>
              <w:rPr>
                <w:rFonts w:ascii="Arial"/>
                <w:sz w:val="21"/>
              </w:rPr>
            </w:pPr>
          </w:p>
        </w:tc>
        <w:tc>
          <w:tcPr>
            <w:tcW w:w="709" w:type="dxa"/>
            <w:vAlign w:val="top"/>
          </w:tcPr>
          <w:p w14:paraId="598EA0C9">
            <w:pPr>
              <w:rPr>
                <w:rFonts w:ascii="Arial"/>
                <w:sz w:val="21"/>
              </w:rPr>
            </w:pPr>
          </w:p>
        </w:tc>
        <w:tc>
          <w:tcPr>
            <w:tcW w:w="1175" w:type="dxa"/>
            <w:vAlign w:val="top"/>
          </w:tcPr>
          <w:p w14:paraId="42EB7AE0">
            <w:pPr>
              <w:rPr>
                <w:rFonts w:ascii="Arial"/>
                <w:sz w:val="21"/>
              </w:rPr>
            </w:pPr>
          </w:p>
        </w:tc>
        <w:tc>
          <w:tcPr>
            <w:tcW w:w="871" w:type="dxa"/>
            <w:vAlign w:val="top"/>
          </w:tcPr>
          <w:p w14:paraId="42274860">
            <w:pPr>
              <w:rPr>
                <w:rFonts w:ascii="Arial"/>
                <w:sz w:val="21"/>
              </w:rPr>
            </w:pPr>
          </w:p>
        </w:tc>
        <w:tc>
          <w:tcPr>
            <w:tcW w:w="872" w:type="dxa"/>
            <w:vAlign w:val="top"/>
          </w:tcPr>
          <w:p w14:paraId="26FB0737">
            <w:pPr>
              <w:rPr>
                <w:rFonts w:ascii="Arial"/>
                <w:sz w:val="21"/>
              </w:rPr>
            </w:pPr>
          </w:p>
        </w:tc>
        <w:tc>
          <w:tcPr>
            <w:tcW w:w="769" w:type="dxa"/>
            <w:vAlign w:val="top"/>
          </w:tcPr>
          <w:p w14:paraId="7AD25374">
            <w:pPr>
              <w:rPr>
                <w:rFonts w:ascii="Arial"/>
                <w:sz w:val="21"/>
              </w:rPr>
            </w:pPr>
          </w:p>
        </w:tc>
      </w:tr>
      <w:tr w14:paraId="6B4155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561A18A0">
            <w:pPr>
              <w:rPr>
                <w:rFonts w:ascii="Arial"/>
                <w:sz w:val="21"/>
              </w:rPr>
            </w:pPr>
          </w:p>
        </w:tc>
        <w:tc>
          <w:tcPr>
            <w:tcW w:w="1063" w:type="dxa"/>
            <w:vAlign w:val="top"/>
          </w:tcPr>
          <w:p w14:paraId="4F3DDC3C">
            <w:pPr>
              <w:rPr>
                <w:rFonts w:ascii="Arial"/>
                <w:sz w:val="21"/>
              </w:rPr>
            </w:pPr>
          </w:p>
        </w:tc>
        <w:tc>
          <w:tcPr>
            <w:tcW w:w="672" w:type="dxa"/>
            <w:vAlign w:val="top"/>
          </w:tcPr>
          <w:p w14:paraId="2A94D9A2">
            <w:pPr>
              <w:rPr>
                <w:rFonts w:ascii="Arial"/>
                <w:sz w:val="21"/>
              </w:rPr>
            </w:pPr>
          </w:p>
        </w:tc>
        <w:tc>
          <w:tcPr>
            <w:tcW w:w="1021" w:type="dxa"/>
            <w:vAlign w:val="top"/>
          </w:tcPr>
          <w:p w14:paraId="4626E9A3">
            <w:pPr>
              <w:rPr>
                <w:rFonts w:ascii="Arial"/>
                <w:sz w:val="21"/>
              </w:rPr>
            </w:pPr>
          </w:p>
        </w:tc>
        <w:tc>
          <w:tcPr>
            <w:tcW w:w="709" w:type="dxa"/>
            <w:vAlign w:val="top"/>
          </w:tcPr>
          <w:p w14:paraId="2EA88BD4">
            <w:pPr>
              <w:rPr>
                <w:rFonts w:ascii="Arial"/>
                <w:sz w:val="21"/>
              </w:rPr>
            </w:pPr>
          </w:p>
        </w:tc>
        <w:tc>
          <w:tcPr>
            <w:tcW w:w="709" w:type="dxa"/>
            <w:vAlign w:val="top"/>
          </w:tcPr>
          <w:p w14:paraId="32D0B2CE">
            <w:pPr>
              <w:rPr>
                <w:rFonts w:ascii="Arial"/>
                <w:sz w:val="21"/>
              </w:rPr>
            </w:pPr>
          </w:p>
        </w:tc>
        <w:tc>
          <w:tcPr>
            <w:tcW w:w="1175" w:type="dxa"/>
            <w:vAlign w:val="top"/>
          </w:tcPr>
          <w:p w14:paraId="6125BBF5">
            <w:pPr>
              <w:rPr>
                <w:rFonts w:ascii="Arial"/>
                <w:sz w:val="21"/>
              </w:rPr>
            </w:pPr>
          </w:p>
        </w:tc>
        <w:tc>
          <w:tcPr>
            <w:tcW w:w="871" w:type="dxa"/>
            <w:vAlign w:val="top"/>
          </w:tcPr>
          <w:p w14:paraId="41D14E8C">
            <w:pPr>
              <w:rPr>
                <w:rFonts w:ascii="Arial"/>
                <w:sz w:val="21"/>
              </w:rPr>
            </w:pPr>
          </w:p>
        </w:tc>
        <w:tc>
          <w:tcPr>
            <w:tcW w:w="872" w:type="dxa"/>
            <w:vAlign w:val="top"/>
          </w:tcPr>
          <w:p w14:paraId="65ECC0DA">
            <w:pPr>
              <w:rPr>
                <w:rFonts w:ascii="Arial"/>
                <w:sz w:val="21"/>
              </w:rPr>
            </w:pPr>
          </w:p>
        </w:tc>
        <w:tc>
          <w:tcPr>
            <w:tcW w:w="769" w:type="dxa"/>
            <w:vAlign w:val="top"/>
          </w:tcPr>
          <w:p w14:paraId="206A5E83">
            <w:pPr>
              <w:rPr>
                <w:rFonts w:ascii="Arial"/>
                <w:sz w:val="21"/>
              </w:rPr>
            </w:pPr>
          </w:p>
        </w:tc>
      </w:tr>
      <w:tr w14:paraId="492CF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1416CA0">
            <w:pPr>
              <w:rPr>
                <w:rFonts w:ascii="Arial"/>
                <w:sz w:val="21"/>
              </w:rPr>
            </w:pPr>
          </w:p>
        </w:tc>
        <w:tc>
          <w:tcPr>
            <w:tcW w:w="1063" w:type="dxa"/>
            <w:vAlign w:val="top"/>
          </w:tcPr>
          <w:p w14:paraId="458562B7">
            <w:pPr>
              <w:rPr>
                <w:rFonts w:ascii="Arial"/>
                <w:sz w:val="21"/>
              </w:rPr>
            </w:pPr>
          </w:p>
        </w:tc>
        <w:tc>
          <w:tcPr>
            <w:tcW w:w="672" w:type="dxa"/>
            <w:vAlign w:val="top"/>
          </w:tcPr>
          <w:p w14:paraId="5C205399">
            <w:pPr>
              <w:rPr>
                <w:rFonts w:ascii="Arial"/>
                <w:sz w:val="21"/>
              </w:rPr>
            </w:pPr>
          </w:p>
        </w:tc>
        <w:tc>
          <w:tcPr>
            <w:tcW w:w="1021" w:type="dxa"/>
            <w:vAlign w:val="top"/>
          </w:tcPr>
          <w:p w14:paraId="759B8AF6">
            <w:pPr>
              <w:rPr>
                <w:rFonts w:ascii="Arial"/>
                <w:sz w:val="21"/>
              </w:rPr>
            </w:pPr>
          </w:p>
        </w:tc>
        <w:tc>
          <w:tcPr>
            <w:tcW w:w="709" w:type="dxa"/>
            <w:vAlign w:val="top"/>
          </w:tcPr>
          <w:p w14:paraId="2424EBB8">
            <w:pPr>
              <w:rPr>
                <w:rFonts w:ascii="Arial"/>
                <w:sz w:val="21"/>
              </w:rPr>
            </w:pPr>
          </w:p>
        </w:tc>
        <w:tc>
          <w:tcPr>
            <w:tcW w:w="709" w:type="dxa"/>
            <w:vAlign w:val="top"/>
          </w:tcPr>
          <w:p w14:paraId="5288D918">
            <w:pPr>
              <w:rPr>
                <w:rFonts w:ascii="Arial"/>
                <w:sz w:val="21"/>
              </w:rPr>
            </w:pPr>
          </w:p>
        </w:tc>
        <w:tc>
          <w:tcPr>
            <w:tcW w:w="1175" w:type="dxa"/>
            <w:vAlign w:val="top"/>
          </w:tcPr>
          <w:p w14:paraId="48E0A075">
            <w:pPr>
              <w:rPr>
                <w:rFonts w:ascii="Arial"/>
                <w:sz w:val="21"/>
              </w:rPr>
            </w:pPr>
          </w:p>
        </w:tc>
        <w:tc>
          <w:tcPr>
            <w:tcW w:w="871" w:type="dxa"/>
            <w:vAlign w:val="top"/>
          </w:tcPr>
          <w:p w14:paraId="1832FEF5">
            <w:pPr>
              <w:rPr>
                <w:rFonts w:ascii="Arial"/>
                <w:sz w:val="21"/>
              </w:rPr>
            </w:pPr>
          </w:p>
        </w:tc>
        <w:tc>
          <w:tcPr>
            <w:tcW w:w="872" w:type="dxa"/>
            <w:vAlign w:val="top"/>
          </w:tcPr>
          <w:p w14:paraId="284AFEDD">
            <w:pPr>
              <w:rPr>
                <w:rFonts w:ascii="Arial"/>
                <w:sz w:val="21"/>
              </w:rPr>
            </w:pPr>
          </w:p>
        </w:tc>
        <w:tc>
          <w:tcPr>
            <w:tcW w:w="769" w:type="dxa"/>
            <w:vAlign w:val="top"/>
          </w:tcPr>
          <w:p w14:paraId="0D630089">
            <w:pPr>
              <w:rPr>
                <w:rFonts w:ascii="Arial"/>
                <w:sz w:val="21"/>
              </w:rPr>
            </w:pPr>
          </w:p>
        </w:tc>
      </w:tr>
      <w:tr w14:paraId="01973C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5DF102F">
            <w:pPr>
              <w:rPr>
                <w:rFonts w:ascii="Arial"/>
                <w:sz w:val="21"/>
              </w:rPr>
            </w:pPr>
          </w:p>
        </w:tc>
        <w:tc>
          <w:tcPr>
            <w:tcW w:w="1063" w:type="dxa"/>
            <w:vAlign w:val="top"/>
          </w:tcPr>
          <w:p w14:paraId="5EEF3D6C">
            <w:pPr>
              <w:rPr>
                <w:rFonts w:ascii="Arial"/>
                <w:sz w:val="21"/>
              </w:rPr>
            </w:pPr>
          </w:p>
        </w:tc>
        <w:tc>
          <w:tcPr>
            <w:tcW w:w="672" w:type="dxa"/>
            <w:vAlign w:val="top"/>
          </w:tcPr>
          <w:p w14:paraId="2E8E4387">
            <w:pPr>
              <w:rPr>
                <w:rFonts w:ascii="Arial"/>
                <w:sz w:val="21"/>
              </w:rPr>
            </w:pPr>
          </w:p>
        </w:tc>
        <w:tc>
          <w:tcPr>
            <w:tcW w:w="1021" w:type="dxa"/>
            <w:vAlign w:val="top"/>
          </w:tcPr>
          <w:p w14:paraId="34A85C1E">
            <w:pPr>
              <w:rPr>
                <w:rFonts w:ascii="Arial"/>
                <w:sz w:val="21"/>
              </w:rPr>
            </w:pPr>
          </w:p>
        </w:tc>
        <w:tc>
          <w:tcPr>
            <w:tcW w:w="709" w:type="dxa"/>
            <w:vAlign w:val="top"/>
          </w:tcPr>
          <w:p w14:paraId="6F8A2C61">
            <w:pPr>
              <w:rPr>
                <w:rFonts w:ascii="Arial"/>
                <w:sz w:val="21"/>
              </w:rPr>
            </w:pPr>
          </w:p>
        </w:tc>
        <w:tc>
          <w:tcPr>
            <w:tcW w:w="709" w:type="dxa"/>
            <w:vAlign w:val="top"/>
          </w:tcPr>
          <w:p w14:paraId="391BDD06">
            <w:pPr>
              <w:rPr>
                <w:rFonts w:ascii="Arial"/>
                <w:sz w:val="21"/>
              </w:rPr>
            </w:pPr>
          </w:p>
        </w:tc>
        <w:tc>
          <w:tcPr>
            <w:tcW w:w="1175" w:type="dxa"/>
            <w:vAlign w:val="top"/>
          </w:tcPr>
          <w:p w14:paraId="2283C15E">
            <w:pPr>
              <w:rPr>
                <w:rFonts w:ascii="Arial"/>
                <w:sz w:val="21"/>
              </w:rPr>
            </w:pPr>
          </w:p>
        </w:tc>
        <w:tc>
          <w:tcPr>
            <w:tcW w:w="871" w:type="dxa"/>
            <w:vAlign w:val="top"/>
          </w:tcPr>
          <w:p w14:paraId="7EE9E689">
            <w:pPr>
              <w:rPr>
                <w:rFonts w:ascii="Arial"/>
                <w:sz w:val="21"/>
              </w:rPr>
            </w:pPr>
          </w:p>
        </w:tc>
        <w:tc>
          <w:tcPr>
            <w:tcW w:w="872" w:type="dxa"/>
            <w:vAlign w:val="top"/>
          </w:tcPr>
          <w:p w14:paraId="1B771989">
            <w:pPr>
              <w:rPr>
                <w:rFonts w:ascii="Arial"/>
                <w:sz w:val="21"/>
              </w:rPr>
            </w:pPr>
          </w:p>
        </w:tc>
        <w:tc>
          <w:tcPr>
            <w:tcW w:w="769" w:type="dxa"/>
            <w:vAlign w:val="top"/>
          </w:tcPr>
          <w:p w14:paraId="0B3FC06B">
            <w:pPr>
              <w:rPr>
                <w:rFonts w:ascii="Arial"/>
                <w:sz w:val="21"/>
              </w:rPr>
            </w:pPr>
          </w:p>
        </w:tc>
      </w:tr>
      <w:tr w14:paraId="48E453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1059B4C4">
            <w:pPr>
              <w:rPr>
                <w:rFonts w:ascii="Arial"/>
                <w:sz w:val="21"/>
              </w:rPr>
            </w:pPr>
          </w:p>
        </w:tc>
        <w:tc>
          <w:tcPr>
            <w:tcW w:w="1063" w:type="dxa"/>
            <w:vAlign w:val="top"/>
          </w:tcPr>
          <w:p w14:paraId="7ED2A790">
            <w:pPr>
              <w:rPr>
                <w:rFonts w:ascii="Arial"/>
                <w:sz w:val="21"/>
              </w:rPr>
            </w:pPr>
          </w:p>
        </w:tc>
        <w:tc>
          <w:tcPr>
            <w:tcW w:w="672" w:type="dxa"/>
            <w:vAlign w:val="top"/>
          </w:tcPr>
          <w:p w14:paraId="07428AA3">
            <w:pPr>
              <w:rPr>
                <w:rFonts w:ascii="Arial"/>
                <w:sz w:val="21"/>
              </w:rPr>
            </w:pPr>
          </w:p>
        </w:tc>
        <w:tc>
          <w:tcPr>
            <w:tcW w:w="1021" w:type="dxa"/>
            <w:vAlign w:val="top"/>
          </w:tcPr>
          <w:p w14:paraId="45F30FB7">
            <w:pPr>
              <w:rPr>
                <w:rFonts w:ascii="Arial"/>
                <w:sz w:val="21"/>
              </w:rPr>
            </w:pPr>
          </w:p>
        </w:tc>
        <w:tc>
          <w:tcPr>
            <w:tcW w:w="709" w:type="dxa"/>
            <w:vAlign w:val="top"/>
          </w:tcPr>
          <w:p w14:paraId="579D3C7D">
            <w:pPr>
              <w:rPr>
                <w:rFonts w:ascii="Arial"/>
                <w:sz w:val="21"/>
              </w:rPr>
            </w:pPr>
          </w:p>
        </w:tc>
        <w:tc>
          <w:tcPr>
            <w:tcW w:w="709" w:type="dxa"/>
            <w:vAlign w:val="top"/>
          </w:tcPr>
          <w:p w14:paraId="6477C4C2">
            <w:pPr>
              <w:rPr>
                <w:rFonts w:ascii="Arial"/>
                <w:sz w:val="21"/>
              </w:rPr>
            </w:pPr>
          </w:p>
        </w:tc>
        <w:tc>
          <w:tcPr>
            <w:tcW w:w="1175" w:type="dxa"/>
            <w:vAlign w:val="top"/>
          </w:tcPr>
          <w:p w14:paraId="106F0EE1">
            <w:pPr>
              <w:rPr>
                <w:rFonts w:ascii="Arial"/>
                <w:sz w:val="21"/>
              </w:rPr>
            </w:pPr>
          </w:p>
        </w:tc>
        <w:tc>
          <w:tcPr>
            <w:tcW w:w="871" w:type="dxa"/>
            <w:vAlign w:val="top"/>
          </w:tcPr>
          <w:p w14:paraId="5CA3F1D0">
            <w:pPr>
              <w:rPr>
                <w:rFonts w:ascii="Arial"/>
                <w:sz w:val="21"/>
              </w:rPr>
            </w:pPr>
          </w:p>
        </w:tc>
        <w:tc>
          <w:tcPr>
            <w:tcW w:w="872" w:type="dxa"/>
            <w:vAlign w:val="top"/>
          </w:tcPr>
          <w:p w14:paraId="59D6AAEF">
            <w:pPr>
              <w:rPr>
                <w:rFonts w:ascii="Arial"/>
                <w:sz w:val="21"/>
              </w:rPr>
            </w:pPr>
          </w:p>
        </w:tc>
        <w:tc>
          <w:tcPr>
            <w:tcW w:w="769" w:type="dxa"/>
            <w:vAlign w:val="top"/>
          </w:tcPr>
          <w:p w14:paraId="1C1F88A6">
            <w:pPr>
              <w:rPr>
                <w:rFonts w:ascii="Arial"/>
                <w:sz w:val="21"/>
              </w:rPr>
            </w:pPr>
          </w:p>
        </w:tc>
      </w:tr>
      <w:tr w14:paraId="6742F2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37D73A5">
            <w:pPr>
              <w:rPr>
                <w:rFonts w:ascii="Arial"/>
                <w:sz w:val="21"/>
              </w:rPr>
            </w:pPr>
          </w:p>
        </w:tc>
        <w:tc>
          <w:tcPr>
            <w:tcW w:w="1063" w:type="dxa"/>
            <w:vAlign w:val="top"/>
          </w:tcPr>
          <w:p w14:paraId="197CFA62">
            <w:pPr>
              <w:rPr>
                <w:rFonts w:ascii="Arial"/>
                <w:sz w:val="21"/>
              </w:rPr>
            </w:pPr>
          </w:p>
        </w:tc>
        <w:tc>
          <w:tcPr>
            <w:tcW w:w="672" w:type="dxa"/>
            <w:vAlign w:val="top"/>
          </w:tcPr>
          <w:p w14:paraId="78A3FAB3">
            <w:pPr>
              <w:rPr>
                <w:rFonts w:ascii="Arial"/>
                <w:sz w:val="21"/>
              </w:rPr>
            </w:pPr>
          </w:p>
        </w:tc>
        <w:tc>
          <w:tcPr>
            <w:tcW w:w="1021" w:type="dxa"/>
            <w:vAlign w:val="top"/>
          </w:tcPr>
          <w:p w14:paraId="6B48C800">
            <w:pPr>
              <w:rPr>
                <w:rFonts w:ascii="Arial"/>
                <w:sz w:val="21"/>
              </w:rPr>
            </w:pPr>
          </w:p>
        </w:tc>
        <w:tc>
          <w:tcPr>
            <w:tcW w:w="709" w:type="dxa"/>
            <w:vAlign w:val="top"/>
          </w:tcPr>
          <w:p w14:paraId="29118CAA">
            <w:pPr>
              <w:rPr>
                <w:rFonts w:ascii="Arial"/>
                <w:sz w:val="21"/>
              </w:rPr>
            </w:pPr>
          </w:p>
        </w:tc>
        <w:tc>
          <w:tcPr>
            <w:tcW w:w="709" w:type="dxa"/>
            <w:vAlign w:val="top"/>
          </w:tcPr>
          <w:p w14:paraId="7869D1DB">
            <w:pPr>
              <w:rPr>
                <w:rFonts w:ascii="Arial"/>
                <w:sz w:val="21"/>
              </w:rPr>
            </w:pPr>
          </w:p>
        </w:tc>
        <w:tc>
          <w:tcPr>
            <w:tcW w:w="1175" w:type="dxa"/>
            <w:vAlign w:val="top"/>
          </w:tcPr>
          <w:p w14:paraId="3D263C48">
            <w:pPr>
              <w:rPr>
                <w:rFonts w:ascii="Arial"/>
                <w:sz w:val="21"/>
              </w:rPr>
            </w:pPr>
          </w:p>
        </w:tc>
        <w:tc>
          <w:tcPr>
            <w:tcW w:w="871" w:type="dxa"/>
            <w:vAlign w:val="top"/>
          </w:tcPr>
          <w:p w14:paraId="47DDDA69">
            <w:pPr>
              <w:rPr>
                <w:rFonts w:ascii="Arial"/>
                <w:sz w:val="21"/>
              </w:rPr>
            </w:pPr>
          </w:p>
        </w:tc>
        <w:tc>
          <w:tcPr>
            <w:tcW w:w="872" w:type="dxa"/>
            <w:vAlign w:val="top"/>
          </w:tcPr>
          <w:p w14:paraId="29534619">
            <w:pPr>
              <w:rPr>
                <w:rFonts w:ascii="Arial"/>
                <w:sz w:val="21"/>
              </w:rPr>
            </w:pPr>
          </w:p>
        </w:tc>
        <w:tc>
          <w:tcPr>
            <w:tcW w:w="769" w:type="dxa"/>
            <w:vAlign w:val="top"/>
          </w:tcPr>
          <w:p w14:paraId="50CFBCC5">
            <w:pPr>
              <w:rPr>
                <w:rFonts w:ascii="Arial"/>
                <w:sz w:val="21"/>
              </w:rPr>
            </w:pPr>
          </w:p>
        </w:tc>
      </w:tr>
      <w:tr w14:paraId="708F7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4C624A62">
            <w:pPr>
              <w:rPr>
                <w:rFonts w:ascii="Arial"/>
                <w:sz w:val="21"/>
              </w:rPr>
            </w:pPr>
          </w:p>
        </w:tc>
        <w:tc>
          <w:tcPr>
            <w:tcW w:w="1063" w:type="dxa"/>
            <w:vAlign w:val="top"/>
          </w:tcPr>
          <w:p w14:paraId="06C3AB6A">
            <w:pPr>
              <w:rPr>
                <w:rFonts w:ascii="Arial"/>
                <w:sz w:val="21"/>
              </w:rPr>
            </w:pPr>
          </w:p>
        </w:tc>
        <w:tc>
          <w:tcPr>
            <w:tcW w:w="672" w:type="dxa"/>
            <w:vAlign w:val="top"/>
          </w:tcPr>
          <w:p w14:paraId="24D29FC9">
            <w:pPr>
              <w:rPr>
                <w:rFonts w:ascii="Arial"/>
                <w:sz w:val="21"/>
              </w:rPr>
            </w:pPr>
          </w:p>
        </w:tc>
        <w:tc>
          <w:tcPr>
            <w:tcW w:w="1021" w:type="dxa"/>
            <w:vAlign w:val="top"/>
          </w:tcPr>
          <w:p w14:paraId="24572270">
            <w:pPr>
              <w:rPr>
                <w:rFonts w:ascii="Arial"/>
                <w:sz w:val="21"/>
              </w:rPr>
            </w:pPr>
          </w:p>
        </w:tc>
        <w:tc>
          <w:tcPr>
            <w:tcW w:w="709" w:type="dxa"/>
            <w:vAlign w:val="top"/>
          </w:tcPr>
          <w:p w14:paraId="49C36ECD">
            <w:pPr>
              <w:rPr>
                <w:rFonts w:ascii="Arial"/>
                <w:sz w:val="21"/>
              </w:rPr>
            </w:pPr>
          </w:p>
        </w:tc>
        <w:tc>
          <w:tcPr>
            <w:tcW w:w="709" w:type="dxa"/>
            <w:vAlign w:val="top"/>
          </w:tcPr>
          <w:p w14:paraId="2CD56C4C">
            <w:pPr>
              <w:rPr>
                <w:rFonts w:ascii="Arial"/>
                <w:sz w:val="21"/>
              </w:rPr>
            </w:pPr>
          </w:p>
        </w:tc>
        <w:tc>
          <w:tcPr>
            <w:tcW w:w="1175" w:type="dxa"/>
            <w:vAlign w:val="top"/>
          </w:tcPr>
          <w:p w14:paraId="396840BB">
            <w:pPr>
              <w:rPr>
                <w:rFonts w:ascii="Arial"/>
                <w:sz w:val="21"/>
              </w:rPr>
            </w:pPr>
          </w:p>
        </w:tc>
        <w:tc>
          <w:tcPr>
            <w:tcW w:w="871" w:type="dxa"/>
            <w:vAlign w:val="top"/>
          </w:tcPr>
          <w:p w14:paraId="22D1CD15">
            <w:pPr>
              <w:rPr>
                <w:rFonts w:ascii="Arial"/>
                <w:sz w:val="21"/>
              </w:rPr>
            </w:pPr>
          </w:p>
        </w:tc>
        <w:tc>
          <w:tcPr>
            <w:tcW w:w="872" w:type="dxa"/>
            <w:vAlign w:val="top"/>
          </w:tcPr>
          <w:p w14:paraId="7571F919">
            <w:pPr>
              <w:rPr>
                <w:rFonts w:ascii="Arial"/>
                <w:sz w:val="21"/>
              </w:rPr>
            </w:pPr>
          </w:p>
        </w:tc>
        <w:tc>
          <w:tcPr>
            <w:tcW w:w="769" w:type="dxa"/>
            <w:vAlign w:val="top"/>
          </w:tcPr>
          <w:p w14:paraId="73733BFD">
            <w:pPr>
              <w:rPr>
                <w:rFonts w:ascii="Arial"/>
                <w:sz w:val="21"/>
              </w:rPr>
            </w:pPr>
          </w:p>
        </w:tc>
      </w:tr>
      <w:tr w14:paraId="342442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01154BBF">
            <w:pPr>
              <w:rPr>
                <w:rFonts w:ascii="Arial"/>
                <w:sz w:val="21"/>
              </w:rPr>
            </w:pPr>
          </w:p>
        </w:tc>
        <w:tc>
          <w:tcPr>
            <w:tcW w:w="1063" w:type="dxa"/>
            <w:vAlign w:val="top"/>
          </w:tcPr>
          <w:p w14:paraId="7B59C8D8">
            <w:pPr>
              <w:rPr>
                <w:rFonts w:ascii="Arial"/>
                <w:sz w:val="21"/>
              </w:rPr>
            </w:pPr>
          </w:p>
        </w:tc>
        <w:tc>
          <w:tcPr>
            <w:tcW w:w="672" w:type="dxa"/>
            <w:vAlign w:val="top"/>
          </w:tcPr>
          <w:p w14:paraId="3493A768">
            <w:pPr>
              <w:rPr>
                <w:rFonts w:ascii="Arial"/>
                <w:sz w:val="21"/>
              </w:rPr>
            </w:pPr>
          </w:p>
        </w:tc>
        <w:tc>
          <w:tcPr>
            <w:tcW w:w="1021" w:type="dxa"/>
            <w:vAlign w:val="top"/>
          </w:tcPr>
          <w:p w14:paraId="16208831">
            <w:pPr>
              <w:rPr>
                <w:rFonts w:ascii="Arial"/>
                <w:sz w:val="21"/>
              </w:rPr>
            </w:pPr>
          </w:p>
        </w:tc>
        <w:tc>
          <w:tcPr>
            <w:tcW w:w="709" w:type="dxa"/>
            <w:vAlign w:val="top"/>
          </w:tcPr>
          <w:p w14:paraId="67844D97">
            <w:pPr>
              <w:rPr>
                <w:rFonts w:ascii="Arial"/>
                <w:sz w:val="21"/>
              </w:rPr>
            </w:pPr>
          </w:p>
        </w:tc>
        <w:tc>
          <w:tcPr>
            <w:tcW w:w="709" w:type="dxa"/>
            <w:vAlign w:val="top"/>
          </w:tcPr>
          <w:p w14:paraId="11819CD2">
            <w:pPr>
              <w:rPr>
                <w:rFonts w:ascii="Arial"/>
                <w:sz w:val="21"/>
              </w:rPr>
            </w:pPr>
          </w:p>
        </w:tc>
        <w:tc>
          <w:tcPr>
            <w:tcW w:w="1175" w:type="dxa"/>
            <w:vAlign w:val="top"/>
          </w:tcPr>
          <w:p w14:paraId="2C85E2AD">
            <w:pPr>
              <w:rPr>
                <w:rFonts w:ascii="Arial"/>
                <w:sz w:val="21"/>
              </w:rPr>
            </w:pPr>
          </w:p>
        </w:tc>
        <w:tc>
          <w:tcPr>
            <w:tcW w:w="871" w:type="dxa"/>
            <w:vAlign w:val="top"/>
          </w:tcPr>
          <w:p w14:paraId="6C7BA2CF">
            <w:pPr>
              <w:rPr>
                <w:rFonts w:ascii="Arial"/>
                <w:sz w:val="21"/>
              </w:rPr>
            </w:pPr>
          </w:p>
        </w:tc>
        <w:tc>
          <w:tcPr>
            <w:tcW w:w="872" w:type="dxa"/>
            <w:vAlign w:val="top"/>
          </w:tcPr>
          <w:p w14:paraId="144B04D1">
            <w:pPr>
              <w:rPr>
                <w:rFonts w:ascii="Arial"/>
                <w:sz w:val="21"/>
              </w:rPr>
            </w:pPr>
          </w:p>
        </w:tc>
        <w:tc>
          <w:tcPr>
            <w:tcW w:w="769" w:type="dxa"/>
            <w:vAlign w:val="top"/>
          </w:tcPr>
          <w:p w14:paraId="6DCEF4F0">
            <w:pPr>
              <w:rPr>
                <w:rFonts w:ascii="Arial"/>
                <w:sz w:val="21"/>
              </w:rPr>
            </w:pPr>
          </w:p>
        </w:tc>
      </w:tr>
      <w:tr w14:paraId="2E72F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48" w:type="dxa"/>
            <w:vAlign w:val="top"/>
          </w:tcPr>
          <w:p w14:paraId="12933A62">
            <w:pPr>
              <w:rPr>
                <w:rFonts w:ascii="Arial"/>
                <w:sz w:val="21"/>
              </w:rPr>
            </w:pPr>
          </w:p>
        </w:tc>
        <w:tc>
          <w:tcPr>
            <w:tcW w:w="1063" w:type="dxa"/>
            <w:vAlign w:val="top"/>
          </w:tcPr>
          <w:p w14:paraId="0850B25D">
            <w:pPr>
              <w:rPr>
                <w:rFonts w:ascii="Arial"/>
                <w:sz w:val="21"/>
              </w:rPr>
            </w:pPr>
          </w:p>
        </w:tc>
        <w:tc>
          <w:tcPr>
            <w:tcW w:w="672" w:type="dxa"/>
            <w:vAlign w:val="top"/>
          </w:tcPr>
          <w:p w14:paraId="5E99CA99">
            <w:pPr>
              <w:rPr>
                <w:rFonts w:ascii="Arial"/>
                <w:sz w:val="21"/>
              </w:rPr>
            </w:pPr>
          </w:p>
        </w:tc>
        <w:tc>
          <w:tcPr>
            <w:tcW w:w="1021" w:type="dxa"/>
            <w:vAlign w:val="top"/>
          </w:tcPr>
          <w:p w14:paraId="2A9B0814">
            <w:pPr>
              <w:rPr>
                <w:rFonts w:ascii="Arial"/>
                <w:sz w:val="21"/>
              </w:rPr>
            </w:pPr>
          </w:p>
        </w:tc>
        <w:tc>
          <w:tcPr>
            <w:tcW w:w="709" w:type="dxa"/>
            <w:vAlign w:val="top"/>
          </w:tcPr>
          <w:p w14:paraId="484FB5A9">
            <w:pPr>
              <w:rPr>
                <w:rFonts w:ascii="Arial"/>
                <w:sz w:val="21"/>
              </w:rPr>
            </w:pPr>
          </w:p>
        </w:tc>
        <w:tc>
          <w:tcPr>
            <w:tcW w:w="709" w:type="dxa"/>
            <w:vAlign w:val="top"/>
          </w:tcPr>
          <w:p w14:paraId="4228A8DC">
            <w:pPr>
              <w:rPr>
                <w:rFonts w:ascii="Arial"/>
                <w:sz w:val="21"/>
              </w:rPr>
            </w:pPr>
          </w:p>
        </w:tc>
        <w:tc>
          <w:tcPr>
            <w:tcW w:w="1175" w:type="dxa"/>
            <w:vAlign w:val="top"/>
          </w:tcPr>
          <w:p w14:paraId="6EBF0A50">
            <w:pPr>
              <w:rPr>
                <w:rFonts w:ascii="Arial"/>
                <w:sz w:val="21"/>
              </w:rPr>
            </w:pPr>
          </w:p>
        </w:tc>
        <w:tc>
          <w:tcPr>
            <w:tcW w:w="871" w:type="dxa"/>
            <w:vAlign w:val="top"/>
          </w:tcPr>
          <w:p w14:paraId="7BF040D4">
            <w:pPr>
              <w:rPr>
                <w:rFonts w:ascii="Arial"/>
                <w:sz w:val="21"/>
              </w:rPr>
            </w:pPr>
          </w:p>
        </w:tc>
        <w:tc>
          <w:tcPr>
            <w:tcW w:w="872" w:type="dxa"/>
            <w:vAlign w:val="top"/>
          </w:tcPr>
          <w:p w14:paraId="7FA2F646">
            <w:pPr>
              <w:rPr>
                <w:rFonts w:ascii="Arial"/>
                <w:sz w:val="21"/>
              </w:rPr>
            </w:pPr>
          </w:p>
        </w:tc>
        <w:tc>
          <w:tcPr>
            <w:tcW w:w="769" w:type="dxa"/>
            <w:vAlign w:val="top"/>
          </w:tcPr>
          <w:p w14:paraId="0C403BC1">
            <w:pPr>
              <w:rPr>
                <w:rFonts w:ascii="Arial"/>
                <w:sz w:val="21"/>
              </w:rPr>
            </w:pPr>
          </w:p>
        </w:tc>
      </w:tr>
    </w:tbl>
    <w:p w14:paraId="4FCE6B02">
      <w:pPr>
        <w:rPr>
          <w:rFonts w:ascii="Arial"/>
          <w:sz w:val="21"/>
        </w:rPr>
      </w:pPr>
    </w:p>
    <w:p w14:paraId="199C5683">
      <w:pPr>
        <w:rPr>
          <w:rFonts w:ascii="Arial" w:hAnsi="Arial" w:eastAsia="Arial" w:cs="Arial"/>
          <w:sz w:val="21"/>
          <w:szCs w:val="21"/>
        </w:rPr>
        <w:sectPr>
          <w:footerReference r:id="rId554" w:type="default"/>
          <w:pgSz w:w="11907" w:h="16840"/>
          <w:pgMar w:top="400" w:right="1786" w:bottom="1247" w:left="1469" w:header="0" w:footer="1085" w:gutter="0"/>
          <w:cols w:space="720" w:num="1"/>
        </w:sectPr>
      </w:pPr>
    </w:p>
    <w:p w14:paraId="75EB6567">
      <w:pPr>
        <w:spacing w:line="265" w:lineRule="auto"/>
        <w:rPr>
          <w:rFonts w:ascii="Arial"/>
          <w:sz w:val="21"/>
        </w:rPr>
      </w:pPr>
    </w:p>
    <w:p w14:paraId="732A516A">
      <w:pPr>
        <w:spacing w:line="265" w:lineRule="auto"/>
        <w:rPr>
          <w:rFonts w:ascii="Arial"/>
          <w:sz w:val="21"/>
        </w:rPr>
      </w:pPr>
    </w:p>
    <w:p w14:paraId="2127F34D">
      <w:pPr>
        <w:spacing w:line="266" w:lineRule="auto"/>
        <w:rPr>
          <w:rFonts w:ascii="Arial"/>
          <w:sz w:val="21"/>
        </w:rPr>
      </w:pPr>
    </w:p>
    <w:p w14:paraId="7161A04D">
      <w:pPr>
        <w:spacing w:line="266" w:lineRule="auto"/>
        <w:rPr>
          <w:rFonts w:ascii="Arial"/>
          <w:sz w:val="21"/>
        </w:rPr>
      </w:pPr>
    </w:p>
    <w:p w14:paraId="3149328F">
      <w:pPr>
        <w:spacing w:line="266" w:lineRule="auto"/>
        <w:rPr>
          <w:rFonts w:ascii="Arial"/>
          <w:sz w:val="21"/>
        </w:rPr>
      </w:pPr>
    </w:p>
    <w:p w14:paraId="439B55C0">
      <w:pPr>
        <w:pStyle w:val="2"/>
        <w:spacing w:before="78" w:line="220" w:lineRule="auto"/>
        <w:ind w:left="26"/>
        <w:rPr>
          <w:sz w:val="24"/>
          <w:szCs w:val="24"/>
        </w:rPr>
      </w:pPr>
      <w:bookmarkStart w:id="458" w:name="bookmark434"/>
      <w:bookmarkEnd w:id="458"/>
      <w:r>
        <w:rPr>
          <w:spacing w:val="-2"/>
          <w:sz w:val="24"/>
          <w:szCs w:val="24"/>
        </w:rPr>
        <w:t>附表二：拟配备本工程的试验和检测仪器设备表</w:t>
      </w:r>
    </w:p>
    <w:tbl>
      <w:tblPr>
        <w:tblStyle w:val="5"/>
        <w:tblW w:w="85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8"/>
        <w:gridCol w:w="1063"/>
        <w:gridCol w:w="672"/>
        <w:gridCol w:w="1021"/>
        <w:gridCol w:w="709"/>
        <w:gridCol w:w="709"/>
        <w:gridCol w:w="1175"/>
        <w:gridCol w:w="1658"/>
        <w:gridCol w:w="854"/>
      </w:tblGrid>
      <w:tr w14:paraId="7C49DD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48" w:type="dxa"/>
            <w:vAlign w:val="top"/>
          </w:tcPr>
          <w:p w14:paraId="6431E041">
            <w:pPr>
              <w:pStyle w:val="6"/>
              <w:spacing w:before="211" w:line="229" w:lineRule="auto"/>
              <w:ind w:left="119"/>
            </w:pPr>
            <w:r>
              <w:rPr>
                <w:spacing w:val="5"/>
              </w:rPr>
              <w:t>序号</w:t>
            </w:r>
          </w:p>
        </w:tc>
        <w:tc>
          <w:tcPr>
            <w:tcW w:w="1063" w:type="dxa"/>
            <w:vAlign w:val="top"/>
          </w:tcPr>
          <w:p w14:paraId="61420B0F">
            <w:pPr>
              <w:pStyle w:val="6"/>
              <w:spacing w:before="74" w:line="228" w:lineRule="auto"/>
              <w:ind w:left="116"/>
            </w:pPr>
            <w:r>
              <w:rPr>
                <w:spacing w:val="7"/>
              </w:rPr>
              <w:t>仪器设备</w:t>
            </w:r>
          </w:p>
          <w:p w14:paraId="47992FA4">
            <w:pPr>
              <w:pStyle w:val="6"/>
              <w:spacing w:before="24" w:line="230" w:lineRule="auto"/>
              <w:ind w:left="118"/>
              <w:outlineLvl w:val="2"/>
            </w:pPr>
            <w:r>
              <w:t>名</w:t>
            </w:r>
            <w:r>
              <w:rPr>
                <w:spacing w:val="7"/>
              </w:rPr>
              <w:t xml:space="preserve">    </w:t>
            </w:r>
            <w:r>
              <w:t>称</w:t>
            </w:r>
          </w:p>
        </w:tc>
        <w:tc>
          <w:tcPr>
            <w:tcW w:w="672" w:type="dxa"/>
            <w:vAlign w:val="top"/>
          </w:tcPr>
          <w:p w14:paraId="312580A5">
            <w:pPr>
              <w:pStyle w:val="6"/>
              <w:spacing w:before="74" w:line="229" w:lineRule="auto"/>
              <w:ind w:left="136"/>
            </w:pPr>
            <w:r>
              <w:rPr>
                <w:spacing w:val="1"/>
              </w:rPr>
              <w:t>型号</w:t>
            </w:r>
          </w:p>
          <w:p w14:paraId="14EACF81">
            <w:pPr>
              <w:pStyle w:val="6"/>
              <w:spacing w:before="22" w:line="228" w:lineRule="auto"/>
              <w:ind w:left="130"/>
            </w:pPr>
            <w:r>
              <w:rPr>
                <w:spacing w:val="4"/>
              </w:rPr>
              <w:t>规格</w:t>
            </w:r>
          </w:p>
        </w:tc>
        <w:tc>
          <w:tcPr>
            <w:tcW w:w="1021" w:type="dxa"/>
            <w:vAlign w:val="top"/>
          </w:tcPr>
          <w:p w14:paraId="04754ECB">
            <w:pPr>
              <w:pStyle w:val="6"/>
              <w:spacing w:before="211" w:line="228" w:lineRule="auto"/>
              <w:ind w:left="201"/>
            </w:pPr>
            <w:r>
              <w:t>数</w:t>
            </w:r>
            <w:r>
              <w:rPr>
                <w:spacing w:val="9"/>
              </w:rPr>
              <w:t xml:space="preserve">  </w:t>
            </w:r>
            <w:r>
              <w:t>量</w:t>
            </w:r>
          </w:p>
        </w:tc>
        <w:tc>
          <w:tcPr>
            <w:tcW w:w="709" w:type="dxa"/>
            <w:vAlign w:val="top"/>
          </w:tcPr>
          <w:p w14:paraId="6896043F">
            <w:pPr>
              <w:pStyle w:val="6"/>
              <w:spacing w:before="75" w:line="228" w:lineRule="auto"/>
              <w:ind w:left="171"/>
            </w:pPr>
            <w:r>
              <w:rPr>
                <w:spacing w:val="-6"/>
              </w:rPr>
              <w:t>国别</w:t>
            </w:r>
          </w:p>
          <w:p w14:paraId="26FD04AD">
            <w:pPr>
              <w:pStyle w:val="6"/>
              <w:spacing w:before="23" w:line="228" w:lineRule="auto"/>
              <w:ind w:left="150"/>
            </w:pPr>
            <w:r>
              <w:rPr>
                <w:spacing w:val="4"/>
              </w:rPr>
              <w:t>产地</w:t>
            </w:r>
          </w:p>
        </w:tc>
        <w:tc>
          <w:tcPr>
            <w:tcW w:w="709" w:type="dxa"/>
            <w:vAlign w:val="top"/>
          </w:tcPr>
          <w:p w14:paraId="3480F6BB">
            <w:pPr>
              <w:pStyle w:val="6"/>
              <w:spacing w:before="75" w:line="228" w:lineRule="auto"/>
              <w:ind w:left="150"/>
            </w:pPr>
            <w:r>
              <w:rPr>
                <w:spacing w:val="4"/>
              </w:rPr>
              <w:t>制造</w:t>
            </w:r>
          </w:p>
          <w:p w14:paraId="5D86AFFA">
            <w:pPr>
              <w:pStyle w:val="6"/>
              <w:spacing w:before="23" w:line="228" w:lineRule="auto"/>
              <w:ind w:left="150"/>
            </w:pPr>
            <w:r>
              <w:rPr>
                <w:spacing w:val="4"/>
              </w:rPr>
              <w:t>年份</w:t>
            </w:r>
          </w:p>
        </w:tc>
        <w:tc>
          <w:tcPr>
            <w:tcW w:w="1175" w:type="dxa"/>
            <w:vAlign w:val="top"/>
          </w:tcPr>
          <w:p w14:paraId="40661FEA">
            <w:pPr>
              <w:pStyle w:val="6"/>
              <w:spacing w:before="74" w:line="252" w:lineRule="auto"/>
              <w:ind w:left="182" w:right="165" w:firstLine="12"/>
            </w:pPr>
            <w:r>
              <w:rPr>
                <w:spacing w:val="1"/>
              </w:rPr>
              <w:t>已使用台</w:t>
            </w:r>
            <w:r>
              <w:rPr>
                <w:spacing w:val="-5"/>
              </w:rPr>
              <w:t>时</w:t>
            </w:r>
            <w:r>
              <w:rPr>
                <w:spacing w:val="8"/>
              </w:rPr>
              <w:t xml:space="preserve">    </w:t>
            </w:r>
            <w:r>
              <w:rPr>
                <w:spacing w:val="-5"/>
              </w:rPr>
              <w:t>数</w:t>
            </w:r>
          </w:p>
        </w:tc>
        <w:tc>
          <w:tcPr>
            <w:tcW w:w="1658" w:type="dxa"/>
            <w:vAlign w:val="top"/>
          </w:tcPr>
          <w:p w14:paraId="67ADFA34">
            <w:pPr>
              <w:pStyle w:val="6"/>
              <w:spacing w:before="211" w:line="229" w:lineRule="auto"/>
              <w:ind w:left="523"/>
            </w:pPr>
            <w:r>
              <w:t>用</w:t>
            </w:r>
            <w:r>
              <w:rPr>
                <w:spacing w:val="9"/>
              </w:rPr>
              <w:t xml:space="preserve">  </w:t>
            </w:r>
            <w:r>
              <w:t>途</w:t>
            </w:r>
          </w:p>
        </w:tc>
        <w:tc>
          <w:tcPr>
            <w:tcW w:w="854" w:type="dxa"/>
            <w:vAlign w:val="top"/>
          </w:tcPr>
          <w:p w14:paraId="54A26768">
            <w:pPr>
              <w:pStyle w:val="6"/>
              <w:spacing w:before="211" w:line="229" w:lineRule="auto"/>
              <w:ind w:left="224"/>
            </w:pPr>
            <w:r>
              <w:rPr>
                <w:spacing w:val="3"/>
              </w:rPr>
              <w:t>备注</w:t>
            </w:r>
          </w:p>
        </w:tc>
      </w:tr>
      <w:tr w14:paraId="62ECC6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C68163E">
            <w:pPr>
              <w:rPr>
                <w:rFonts w:ascii="Arial"/>
                <w:sz w:val="21"/>
              </w:rPr>
            </w:pPr>
          </w:p>
        </w:tc>
        <w:tc>
          <w:tcPr>
            <w:tcW w:w="1063" w:type="dxa"/>
            <w:vAlign w:val="top"/>
          </w:tcPr>
          <w:p w14:paraId="4E9E3164">
            <w:pPr>
              <w:rPr>
                <w:rFonts w:ascii="Arial"/>
                <w:sz w:val="21"/>
              </w:rPr>
            </w:pPr>
          </w:p>
        </w:tc>
        <w:tc>
          <w:tcPr>
            <w:tcW w:w="672" w:type="dxa"/>
            <w:vAlign w:val="top"/>
          </w:tcPr>
          <w:p w14:paraId="7D506801">
            <w:pPr>
              <w:rPr>
                <w:rFonts w:ascii="Arial"/>
                <w:sz w:val="21"/>
              </w:rPr>
            </w:pPr>
          </w:p>
        </w:tc>
        <w:tc>
          <w:tcPr>
            <w:tcW w:w="1021" w:type="dxa"/>
            <w:vAlign w:val="top"/>
          </w:tcPr>
          <w:p w14:paraId="3AB57BB6">
            <w:pPr>
              <w:rPr>
                <w:rFonts w:ascii="Arial"/>
                <w:sz w:val="21"/>
              </w:rPr>
            </w:pPr>
          </w:p>
        </w:tc>
        <w:tc>
          <w:tcPr>
            <w:tcW w:w="709" w:type="dxa"/>
            <w:vAlign w:val="top"/>
          </w:tcPr>
          <w:p w14:paraId="32A7B4E6">
            <w:pPr>
              <w:rPr>
                <w:rFonts w:ascii="Arial"/>
                <w:sz w:val="21"/>
              </w:rPr>
            </w:pPr>
          </w:p>
        </w:tc>
        <w:tc>
          <w:tcPr>
            <w:tcW w:w="709" w:type="dxa"/>
            <w:vAlign w:val="top"/>
          </w:tcPr>
          <w:p w14:paraId="21B4F8D2">
            <w:pPr>
              <w:rPr>
                <w:rFonts w:ascii="Arial"/>
                <w:sz w:val="21"/>
              </w:rPr>
            </w:pPr>
          </w:p>
        </w:tc>
        <w:tc>
          <w:tcPr>
            <w:tcW w:w="1175" w:type="dxa"/>
            <w:vAlign w:val="top"/>
          </w:tcPr>
          <w:p w14:paraId="26E4241F">
            <w:pPr>
              <w:rPr>
                <w:rFonts w:ascii="Arial"/>
                <w:sz w:val="21"/>
              </w:rPr>
            </w:pPr>
          </w:p>
        </w:tc>
        <w:tc>
          <w:tcPr>
            <w:tcW w:w="1658" w:type="dxa"/>
            <w:vAlign w:val="top"/>
          </w:tcPr>
          <w:p w14:paraId="05D73F76">
            <w:pPr>
              <w:rPr>
                <w:rFonts w:ascii="Arial"/>
                <w:sz w:val="21"/>
              </w:rPr>
            </w:pPr>
          </w:p>
        </w:tc>
        <w:tc>
          <w:tcPr>
            <w:tcW w:w="854" w:type="dxa"/>
            <w:vAlign w:val="top"/>
          </w:tcPr>
          <w:p w14:paraId="5FBCCF0E">
            <w:pPr>
              <w:rPr>
                <w:rFonts w:ascii="Arial"/>
                <w:sz w:val="21"/>
              </w:rPr>
            </w:pPr>
          </w:p>
        </w:tc>
      </w:tr>
      <w:tr w14:paraId="66CADF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4031EA11">
            <w:pPr>
              <w:rPr>
                <w:rFonts w:ascii="Arial"/>
                <w:sz w:val="21"/>
              </w:rPr>
            </w:pPr>
          </w:p>
        </w:tc>
        <w:tc>
          <w:tcPr>
            <w:tcW w:w="1063" w:type="dxa"/>
            <w:vAlign w:val="top"/>
          </w:tcPr>
          <w:p w14:paraId="187F1DC6">
            <w:pPr>
              <w:rPr>
                <w:rFonts w:ascii="Arial"/>
                <w:sz w:val="21"/>
              </w:rPr>
            </w:pPr>
          </w:p>
        </w:tc>
        <w:tc>
          <w:tcPr>
            <w:tcW w:w="672" w:type="dxa"/>
            <w:vAlign w:val="top"/>
          </w:tcPr>
          <w:p w14:paraId="4562E920">
            <w:pPr>
              <w:rPr>
                <w:rFonts w:ascii="Arial"/>
                <w:sz w:val="21"/>
              </w:rPr>
            </w:pPr>
          </w:p>
        </w:tc>
        <w:tc>
          <w:tcPr>
            <w:tcW w:w="1021" w:type="dxa"/>
            <w:vAlign w:val="top"/>
          </w:tcPr>
          <w:p w14:paraId="6CFA239C">
            <w:pPr>
              <w:rPr>
                <w:rFonts w:ascii="Arial"/>
                <w:sz w:val="21"/>
              </w:rPr>
            </w:pPr>
          </w:p>
        </w:tc>
        <w:tc>
          <w:tcPr>
            <w:tcW w:w="709" w:type="dxa"/>
            <w:vAlign w:val="top"/>
          </w:tcPr>
          <w:p w14:paraId="2B8FD67C">
            <w:pPr>
              <w:rPr>
                <w:rFonts w:ascii="Arial"/>
                <w:sz w:val="21"/>
              </w:rPr>
            </w:pPr>
          </w:p>
        </w:tc>
        <w:tc>
          <w:tcPr>
            <w:tcW w:w="709" w:type="dxa"/>
            <w:vAlign w:val="top"/>
          </w:tcPr>
          <w:p w14:paraId="68352832">
            <w:pPr>
              <w:rPr>
                <w:rFonts w:ascii="Arial"/>
                <w:sz w:val="21"/>
              </w:rPr>
            </w:pPr>
          </w:p>
        </w:tc>
        <w:tc>
          <w:tcPr>
            <w:tcW w:w="1175" w:type="dxa"/>
            <w:vAlign w:val="top"/>
          </w:tcPr>
          <w:p w14:paraId="452FD4B4">
            <w:pPr>
              <w:rPr>
                <w:rFonts w:ascii="Arial"/>
                <w:sz w:val="21"/>
              </w:rPr>
            </w:pPr>
          </w:p>
        </w:tc>
        <w:tc>
          <w:tcPr>
            <w:tcW w:w="1658" w:type="dxa"/>
            <w:vAlign w:val="top"/>
          </w:tcPr>
          <w:p w14:paraId="23CDA8DA">
            <w:pPr>
              <w:rPr>
                <w:rFonts w:ascii="Arial"/>
                <w:sz w:val="21"/>
              </w:rPr>
            </w:pPr>
          </w:p>
        </w:tc>
        <w:tc>
          <w:tcPr>
            <w:tcW w:w="854" w:type="dxa"/>
            <w:vAlign w:val="top"/>
          </w:tcPr>
          <w:p w14:paraId="255425D8">
            <w:pPr>
              <w:rPr>
                <w:rFonts w:ascii="Arial"/>
                <w:sz w:val="21"/>
              </w:rPr>
            </w:pPr>
          </w:p>
        </w:tc>
      </w:tr>
      <w:tr w14:paraId="336D2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78136100">
            <w:pPr>
              <w:rPr>
                <w:rFonts w:ascii="Arial"/>
                <w:sz w:val="21"/>
              </w:rPr>
            </w:pPr>
          </w:p>
        </w:tc>
        <w:tc>
          <w:tcPr>
            <w:tcW w:w="1063" w:type="dxa"/>
            <w:vAlign w:val="top"/>
          </w:tcPr>
          <w:p w14:paraId="2022936A">
            <w:pPr>
              <w:rPr>
                <w:rFonts w:ascii="Arial"/>
                <w:sz w:val="21"/>
              </w:rPr>
            </w:pPr>
          </w:p>
        </w:tc>
        <w:tc>
          <w:tcPr>
            <w:tcW w:w="672" w:type="dxa"/>
            <w:vAlign w:val="top"/>
          </w:tcPr>
          <w:p w14:paraId="13B82AD9">
            <w:pPr>
              <w:rPr>
                <w:rFonts w:ascii="Arial"/>
                <w:sz w:val="21"/>
              </w:rPr>
            </w:pPr>
          </w:p>
        </w:tc>
        <w:tc>
          <w:tcPr>
            <w:tcW w:w="1021" w:type="dxa"/>
            <w:vAlign w:val="top"/>
          </w:tcPr>
          <w:p w14:paraId="010EB22A">
            <w:pPr>
              <w:rPr>
                <w:rFonts w:ascii="Arial"/>
                <w:sz w:val="21"/>
              </w:rPr>
            </w:pPr>
          </w:p>
        </w:tc>
        <w:tc>
          <w:tcPr>
            <w:tcW w:w="709" w:type="dxa"/>
            <w:vAlign w:val="top"/>
          </w:tcPr>
          <w:p w14:paraId="005385F3">
            <w:pPr>
              <w:rPr>
                <w:rFonts w:ascii="Arial"/>
                <w:sz w:val="21"/>
              </w:rPr>
            </w:pPr>
          </w:p>
        </w:tc>
        <w:tc>
          <w:tcPr>
            <w:tcW w:w="709" w:type="dxa"/>
            <w:vAlign w:val="top"/>
          </w:tcPr>
          <w:p w14:paraId="5FAB358B">
            <w:pPr>
              <w:rPr>
                <w:rFonts w:ascii="Arial"/>
                <w:sz w:val="21"/>
              </w:rPr>
            </w:pPr>
          </w:p>
        </w:tc>
        <w:tc>
          <w:tcPr>
            <w:tcW w:w="1175" w:type="dxa"/>
            <w:vAlign w:val="top"/>
          </w:tcPr>
          <w:p w14:paraId="495485E0">
            <w:pPr>
              <w:rPr>
                <w:rFonts w:ascii="Arial"/>
                <w:sz w:val="21"/>
              </w:rPr>
            </w:pPr>
          </w:p>
        </w:tc>
        <w:tc>
          <w:tcPr>
            <w:tcW w:w="1658" w:type="dxa"/>
            <w:vAlign w:val="top"/>
          </w:tcPr>
          <w:p w14:paraId="1489417B">
            <w:pPr>
              <w:rPr>
                <w:rFonts w:ascii="Arial"/>
                <w:sz w:val="21"/>
              </w:rPr>
            </w:pPr>
          </w:p>
        </w:tc>
        <w:tc>
          <w:tcPr>
            <w:tcW w:w="854" w:type="dxa"/>
            <w:vAlign w:val="top"/>
          </w:tcPr>
          <w:p w14:paraId="50FEB95B">
            <w:pPr>
              <w:rPr>
                <w:rFonts w:ascii="Arial"/>
                <w:sz w:val="21"/>
              </w:rPr>
            </w:pPr>
          </w:p>
        </w:tc>
      </w:tr>
      <w:tr w14:paraId="292F79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4BACEEE4">
            <w:pPr>
              <w:rPr>
                <w:rFonts w:ascii="Arial"/>
                <w:sz w:val="21"/>
              </w:rPr>
            </w:pPr>
          </w:p>
        </w:tc>
        <w:tc>
          <w:tcPr>
            <w:tcW w:w="1063" w:type="dxa"/>
            <w:vAlign w:val="top"/>
          </w:tcPr>
          <w:p w14:paraId="7E6A1ADF">
            <w:pPr>
              <w:rPr>
                <w:rFonts w:ascii="Arial"/>
                <w:sz w:val="21"/>
              </w:rPr>
            </w:pPr>
          </w:p>
        </w:tc>
        <w:tc>
          <w:tcPr>
            <w:tcW w:w="672" w:type="dxa"/>
            <w:vAlign w:val="top"/>
          </w:tcPr>
          <w:p w14:paraId="23906B5D">
            <w:pPr>
              <w:rPr>
                <w:rFonts w:ascii="Arial"/>
                <w:sz w:val="21"/>
              </w:rPr>
            </w:pPr>
          </w:p>
        </w:tc>
        <w:tc>
          <w:tcPr>
            <w:tcW w:w="1021" w:type="dxa"/>
            <w:vAlign w:val="top"/>
          </w:tcPr>
          <w:p w14:paraId="7F1B5E69">
            <w:pPr>
              <w:rPr>
                <w:rFonts w:ascii="Arial"/>
                <w:sz w:val="21"/>
              </w:rPr>
            </w:pPr>
          </w:p>
        </w:tc>
        <w:tc>
          <w:tcPr>
            <w:tcW w:w="709" w:type="dxa"/>
            <w:vAlign w:val="top"/>
          </w:tcPr>
          <w:p w14:paraId="31156A92">
            <w:pPr>
              <w:rPr>
                <w:rFonts w:ascii="Arial"/>
                <w:sz w:val="21"/>
              </w:rPr>
            </w:pPr>
          </w:p>
        </w:tc>
        <w:tc>
          <w:tcPr>
            <w:tcW w:w="709" w:type="dxa"/>
            <w:vAlign w:val="top"/>
          </w:tcPr>
          <w:p w14:paraId="23132BE2">
            <w:pPr>
              <w:rPr>
                <w:rFonts w:ascii="Arial"/>
                <w:sz w:val="21"/>
              </w:rPr>
            </w:pPr>
          </w:p>
        </w:tc>
        <w:tc>
          <w:tcPr>
            <w:tcW w:w="1175" w:type="dxa"/>
            <w:vAlign w:val="top"/>
          </w:tcPr>
          <w:p w14:paraId="2209A3AF">
            <w:pPr>
              <w:rPr>
                <w:rFonts w:ascii="Arial"/>
                <w:sz w:val="21"/>
              </w:rPr>
            </w:pPr>
          </w:p>
        </w:tc>
        <w:tc>
          <w:tcPr>
            <w:tcW w:w="1658" w:type="dxa"/>
            <w:vAlign w:val="top"/>
          </w:tcPr>
          <w:p w14:paraId="2DB87950">
            <w:pPr>
              <w:rPr>
                <w:rFonts w:ascii="Arial"/>
                <w:sz w:val="21"/>
              </w:rPr>
            </w:pPr>
          </w:p>
        </w:tc>
        <w:tc>
          <w:tcPr>
            <w:tcW w:w="854" w:type="dxa"/>
            <w:vAlign w:val="top"/>
          </w:tcPr>
          <w:p w14:paraId="08434D65">
            <w:pPr>
              <w:rPr>
                <w:rFonts w:ascii="Arial"/>
                <w:sz w:val="21"/>
              </w:rPr>
            </w:pPr>
          </w:p>
        </w:tc>
      </w:tr>
      <w:tr w14:paraId="0DCA0D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074C056B">
            <w:pPr>
              <w:rPr>
                <w:rFonts w:ascii="Arial"/>
                <w:sz w:val="21"/>
              </w:rPr>
            </w:pPr>
          </w:p>
        </w:tc>
        <w:tc>
          <w:tcPr>
            <w:tcW w:w="1063" w:type="dxa"/>
            <w:vAlign w:val="top"/>
          </w:tcPr>
          <w:p w14:paraId="6ABEBC86">
            <w:pPr>
              <w:rPr>
                <w:rFonts w:ascii="Arial"/>
                <w:sz w:val="21"/>
              </w:rPr>
            </w:pPr>
          </w:p>
        </w:tc>
        <w:tc>
          <w:tcPr>
            <w:tcW w:w="672" w:type="dxa"/>
            <w:vAlign w:val="top"/>
          </w:tcPr>
          <w:p w14:paraId="336F5FAF">
            <w:pPr>
              <w:rPr>
                <w:rFonts w:ascii="Arial"/>
                <w:sz w:val="21"/>
              </w:rPr>
            </w:pPr>
          </w:p>
        </w:tc>
        <w:tc>
          <w:tcPr>
            <w:tcW w:w="1021" w:type="dxa"/>
            <w:vAlign w:val="top"/>
          </w:tcPr>
          <w:p w14:paraId="22E55A2D">
            <w:pPr>
              <w:rPr>
                <w:rFonts w:ascii="Arial"/>
                <w:sz w:val="21"/>
              </w:rPr>
            </w:pPr>
          </w:p>
        </w:tc>
        <w:tc>
          <w:tcPr>
            <w:tcW w:w="709" w:type="dxa"/>
            <w:vAlign w:val="top"/>
          </w:tcPr>
          <w:p w14:paraId="7DC71A6D">
            <w:pPr>
              <w:rPr>
                <w:rFonts w:ascii="Arial"/>
                <w:sz w:val="21"/>
              </w:rPr>
            </w:pPr>
          </w:p>
        </w:tc>
        <w:tc>
          <w:tcPr>
            <w:tcW w:w="709" w:type="dxa"/>
            <w:vAlign w:val="top"/>
          </w:tcPr>
          <w:p w14:paraId="5CE0E3A1">
            <w:pPr>
              <w:rPr>
                <w:rFonts w:ascii="Arial"/>
                <w:sz w:val="21"/>
              </w:rPr>
            </w:pPr>
          </w:p>
        </w:tc>
        <w:tc>
          <w:tcPr>
            <w:tcW w:w="1175" w:type="dxa"/>
            <w:vAlign w:val="top"/>
          </w:tcPr>
          <w:p w14:paraId="3D7CDB03">
            <w:pPr>
              <w:rPr>
                <w:rFonts w:ascii="Arial"/>
                <w:sz w:val="21"/>
              </w:rPr>
            </w:pPr>
          </w:p>
        </w:tc>
        <w:tc>
          <w:tcPr>
            <w:tcW w:w="1658" w:type="dxa"/>
            <w:vAlign w:val="top"/>
          </w:tcPr>
          <w:p w14:paraId="02554B64">
            <w:pPr>
              <w:rPr>
                <w:rFonts w:ascii="Arial"/>
                <w:sz w:val="21"/>
              </w:rPr>
            </w:pPr>
          </w:p>
        </w:tc>
        <w:tc>
          <w:tcPr>
            <w:tcW w:w="854" w:type="dxa"/>
            <w:vAlign w:val="top"/>
          </w:tcPr>
          <w:p w14:paraId="45A3DF31">
            <w:pPr>
              <w:rPr>
                <w:rFonts w:ascii="Arial"/>
                <w:sz w:val="21"/>
              </w:rPr>
            </w:pPr>
          </w:p>
        </w:tc>
      </w:tr>
      <w:tr w14:paraId="46435E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5E04F768">
            <w:pPr>
              <w:rPr>
                <w:rFonts w:ascii="Arial"/>
                <w:sz w:val="21"/>
              </w:rPr>
            </w:pPr>
          </w:p>
        </w:tc>
        <w:tc>
          <w:tcPr>
            <w:tcW w:w="1063" w:type="dxa"/>
            <w:vAlign w:val="top"/>
          </w:tcPr>
          <w:p w14:paraId="77D96A52">
            <w:pPr>
              <w:rPr>
                <w:rFonts w:ascii="Arial"/>
                <w:sz w:val="21"/>
              </w:rPr>
            </w:pPr>
          </w:p>
        </w:tc>
        <w:tc>
          <w:tcPr>
            <w:tcW w:w="672" w:type="dxa"/>
            <w:vAlign w:val="top"/>
          </w:tcPr>
          <w:p w14:paraId="6AEFACE0">
            <w:pPr>
              <w:rPr>
                <w:rFonts w:ascii="Arial"/>
                <w:sz w:val="21"/>
              </w:rPr>
            </w:pPr>
          </w:p>
        </w:tc>
        <w:tc>
          <w:tcPr>
            <w:tcW w:w="1021" w:type="dxa"/>
            <w:vAlign w:val="top"/>
          </w:tcPr>
          <w:p w14:paraId="4A5E84C6">
            <w:pPr>
              <w:rPr>
                <w:rFonts w:ascii="Arial"/>
                <w:sz w:val="21"/>
              </w:rPr>
            </w:pPr>
          </w:p>
        </w:tc>
        <w:tc>
          <w:tcPr>
            <w:tcW w:w="709" w:type="dxa"/>
            <w:vAlign w:val="top"/>
          </w:tcPr>
          <w:p w14:paraId="4DC98DBA">
            <w:pPr>
              <w:rPr>
                <w:rFonts w:ascii="Arial"/>
                <w:sz w:val="21"/>
              </w:rPr>
            </w:pPr>
          </w:p>
        </w:tc>
        <w:tc>
          <w:tcPr>
            <w:tcW w:w="709" w:type="dxa"/>
            <w:vAlign w:val="top"/>
          </w:tcPr>
          <w:p w14:paraId="75C5A359">
            <w:pPr>
              <w:rPr>
                <w:rFonts w:ascii="Arial"/>
                <w:sz w:val="21"/>
              </w:rPr>
            </w:pPr>
          </w:p>
        </w:tc>
        <w:tc>
          <w:tcPr>
            <w:tcW w:w="1175" w:type="dxa"/>
            <w:vAlign w:val="top"/>
          </w:tcPr>
          <w:p w14:paraId="0617207C">
            <w:pPr>
              <w:rPr>
                <w:rFonts w:ascii="Arial"/>
                <w:sz w:val="21"/>
              </w:rPr>
            </w:pPr>
          </w:p>
        </w:tc>
        <w:tc>
          <w:tcPr>
            <w:tcW w:w="1658" w:type="dxa"/>
            <w:vAlign w:val="top"/>
          </w:tcPr>
          <w:p w14:paraId="1647B076">
            <w:pPr>
              <w:rPr>
                <w:rFonts w:ascii="Arial"/>
                <w:sz w:val="21"/>
              </w:rPr>
            </w:pPr>
          </w:p>
        </w:tc>
        <w:tc>
          <w:tcPr>
            <w:tcW w:w="854" w:type="dxa"/>
            <w:vAlign w:val="top"/>
          </w:tcPr>
          <w:p w14:paraId="5CCA049A">
            <w:pPr>
              <w:rPr>
                <w:rFonts w:ascii="Arial"/>
                <w:sz w:val="21"/>
              </w:rPr>
            </w:pPr>
          </w:p>
        </w:tc>
      </w:tr>
      <w:tr w14:paraId="1A9F8C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2EDDC93">
            <w:pPr>
              <w:rPr>
                <w:rFonts w:ascii="Arial"/>
                <w:sz w:val="21"/>
              </w:rPr>
            </w:pPr>
          </w:p>
        </w:tc>
        <w:tc>
          <w:tcPr>
            <w:tcW w:w="1063" w:type="dxa"/>
            <w:vAlign w:val="top"/>
          </w:tcPr>
          <w:p w14:paraId="15352919">
            <w:pPr>
              <w:rPr>
                <w:rFonts w:ascii="Arial"/>
                <w:sz w:val="21"/>
              </w:rPr>
            </w:pPr>
          </w:p>
        </w:tc>
        <w:tc>
          <w:tcPr>
            <w:tcW w:w="672" w:type="dxa"/>
            <w:vAlign w:val="top"/>
          </w:tcPr>
          <w:p w14:paraId="7C35529C">
            <w:pPr>
              <w:rPr>
                <w:rFonts w:ascii="Arial"/>
                <w:sz w:val="21"/>
              </w:rPr>
            </w:pPr>
          </w:p>
        </w:tc>
        <w:tc>
          <w:tcPr>
            <w:tcW w:w="1021" w:type="dxa"/>
            <w:vAlign w:val="top"/>
          </w:tcPr>
          <w:p w14:paraId="526F71DE">
            <w:pPr>
              <w:rPr>
                <w:rFonts w:ascii="Arial"/>
                <w:sz w:val="21"/>
              </w:rPr>
            </w:pPr>
          </w:p>
        </w:tc>
        <w:tc>
          <w:tcPr>
            <w:tcW w:w="709" w:type="dxa"/>
            <w:vAlign w:val="top"/>
          </w:tcPr>
          <w:p w14:paraId="1276F4FD">
            <w:pPr>
              <w:rPr>
                <w:rFonts w:ascii="Arial"/>
                <w:sz w:val="21"/>
              </w:rPr>
            </w:pPr>
          </w:p>
        </w:tc>
        <w:tc>
          <w:tcPr>
            <w:tcW w:w="709" w:type="dxa"/>
            <w:vAlign w:val="top"/>
          </w:tcPr>
          <w:p w14:paraId="397CE07D">
            <w:pPr>
              <w:rPr>
                <w:rFonts w:ascii="Arial"/>
                <w:sz w:val="21"/>
              </w:rPr>
            </w:pPr>
          </w:p>
        </w:tc>
        <w:tc>
          <w:tcPr>
            <w:tcW w:w="1175" w:type="dxa"/>
            <w:vAlign w:val="top"/>
          </w:tcPr>
          <w:p w14:paraId="7298BDAC">
            <w:pPr>
              <w:rPr>
                <w:rFonts w:ascii="Arial"/>
                <w:sz w:val="21"/>
              </w:rPr>
            </w:pPr>
          </w:p>
        </w:tc>
        <w:tc>
          <w:tcPr>
            <w:tcW w:w="1658" w:type="dxa"/>
            <w:vAlign w:val="top"/>
          </w:tcPr>
          <w:p w14:paraId="1D78E3E8">
            <w:pPr>
              <w:rPr>
                <w:rFonts w:ascii="Arial"/>
                <w:sz w:val="21"/>
              </w:rPr>
            </w:pPr>
          </w:p>
        </w:tc>
        <w:tc>
          <w:tcPr>
            <w:tcW w:w="854" w:type="dxa"/>
            <w:vAlign w:val="top"/>
          </w:tcPr>
          <w:p w14:paraId="79CF72D9">
            <w:pPr>
              <w:rPr>
                <w:rFonts w:ascii="Arial"/>
                <w:sz w:val="21"/>
              </w:rPr>
            </w:pPr>
          </w:p>
        </w:tc>
      </w:tr>
      <w:tr w14:paraId="65FB8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0A020110">
            <w:pPr>
              <w:rPr>
                <w:rFonts w:ascii="Arial"/>
                <w:sz w:val="21"/>
              </w:rPr>
            </w:pPr>
          </w:p>
        </w:tc>
        <w:tc>
          <w:tcPr>
            <w:tcW w:w="1063" w:type="dxa"/>
            <w:vAlign w:val="top"/>
          </w:tcPr>
          <w:p w14:paraId="6E693199">
            <w:pPr>
              <w:rPr>
                <w:rFonts w:ascii="Arial"/>
                <w:sz w:val="21"/>
              </w:rPr>
            </w:pPr>
          </w:p>
        </w:tc>
        <w:tc>
          <w:tcPr>
            <w:tcW w:w="672" w:type="dxa"/>
            <w:vAlign w:val="top"/>
          </w:tcPr>
          <w:p w14:paraId="5D7D1327">
            <w:pPr>
              <w:rPr>
                <w:rFonts w:ascii="Arial"/>
                <w:sz w:val="21"/>
              </w:rPr>
            </w:pPr>
          </w:p>
        </w:tc>
        <w:tc>
          <w:tcPr>
            <w:tcW w:w="1021" w:type="dxa"/>
            <w:vAlign w:val="top"/>
          </w:tcPr>
          <w:p w14:paraId="6804B8B6">
            <w:pPr>
              <w:rPr>
                <w:rFonts w:ascii="Arial"/>
                <w:sz w:val="21"/>
              </w:rPr>
            </w:pPr>
          </w:p>
        </w:tc>
        <w:tc>
          <w:tcPr>
            <w:tcW w:w="709" w:type="dxa"/>
            <w:vAlign w:val="top"/>
          </w:tcPr>
          <w:p w14:paraId="49870927">
            <w:pPr>
              <w:rPr>
                <w:rFonts w:ascii="Arial"/>
                <w:sz w:val="21"/>
              </w:rPr>
            </w:pPr>
          </w:p>
        </w:tc>
        <w:tc>
          <w:tcPr>
            <w:tcW w:w="709" w:type="dxa"/>
            <w:vAlign w:val="top"/>
          </w:tcPr>
          <w:p w14:paraId="6D36309D">
            <w:pPr>
              <w:rPr>
                <w:rFonts w:ascii="Arial"/>
                <w:sz w:val="21"/>
              </w:rPr>
            </w:pPr>
          </w:p>
        </w:tc>
        <w:tc>
          <w:tcPr>
            <w:tcW w:w="1175" w:type="dxa"/>
            <w:vAlign w:val="top"/>
          </w:tcPr>
          <w:p w14:paraId="0535B67F">
            <w:pPr>
              <w:rPr>
                <w:rFonts w:ascii="Arial"/>
                <w:sz w:val="21"/>
              </w:rPr>
            </w:pPr>
          </w:p>
        </w:tc>
        <w:tc>
          <w:tcPr>
            <w:tcW w:w="1658" w:type="dxa"/>
            <w:vAlign w:val="top"/>
          </w:tcPr>
          <w:p w14:paraId="7E5BD8A3">
            <w:pPr>
              <w:rPr>
                <w:rFonts w:ascii="Arial"/>
                <w:sz w:val="21"/>
              </w:rPr>
            </w:pPr>
          </w:p>
        </w:tc>
        <w:tc>
          <w:tcPr>
            <w:tcW w:w="854" w:type="dxa"/>
            <w:vAlign w:val="top"/>
          </w:tcPr>
          <w:p w14:paraId="7CA63DF1">
            <w:pPr>
              <w:rPr>
                <w:rFonts w:ascii="Arial"/>
                <w:sz w:val="21"/>
              </w:rPr>
            </w:pPr>
          </w:p>
        </w:tc>
      </w:tr>
      <w:tr w14:paraId="6C8853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2465F530">
            <w:pPr>
              <w:rPr>
                <w:rFonts w:ascii="Arial"/>
                <w:sz w:val="21"/>
              </w:rPr>
            </w:pPr>
          </w:p>
        </w:tc>
        <w:tc>
          <w:tcPr>
            <w:tcW w:w="1063" w:type="dxa"/>
            <w:vAlign w:val="top"/>
          </w:tcPr>
          <w:p w14:paraId="54C7B80D">
            <w:pPr>
              <w:rPr>
                <w:rFonts w:ascii="Arial"/>
                <w:sz w:val="21"/>
              </w:rPr>
            </w:pPr>
          </w:p>
        </w:tc>
        <w:tc>
          <w:tcPr>
            <w:tcW w:w="672" w:type="dxa"/>
            <w:vAlign w:val="top"/>
          </w:tcPr>
          <w:p w14:paraId="309C0F6D">
            <w:pPr>
              <w:rPr>
                <w:rFonts w:ascii="Arial"/>
                <w:sz w:val="21"/>
              </w:rPr>
            </w:pPr>
          </w:p>
        </w:tc>
        <w:tc>
          <w:tcPr>
            <w:tcW w:w="1021" w:type="dxa"/>
            <w:vAlign w:val="top"/>
          </w:tcPr>
          <w:p w14:paraId="454792E1">
            <w:pPr>
              <w:rPr>
                <w:rFonts w:ascii="Arial"/>
                <w:sz w:val="21"/>
              </w:rPr>
            </w:pPr>
          </w:p>
        </w:tc>
        <w:tc>
          <w:tcPr>
            <w:tcW w:w="709" w:type="dxa"/>
            <w:vAlign w:val="top"/>
          </w:tcPr>
          <w:p w14:paraId="297FF046">
            <w:pPr>
              <w:rPr>
                <w:rFonts w:ascii="Arial"/>
                <w:sz w:val="21"/>
              </w:rPr>
            </w:pPr>
          </w:p>
        </w:tc>
        <w:tc>
          <w:tcPr>
            <w:tcW w:w="709" w:type="dxa"/>
            <w:vAlign w:val="top"/>
          </w:tcPr>
          <w:p w14:paraId="7F188971">
            <w:pPr>
              <w:rPr>
                <w:rFonts w:ascii="Arial"/>
                <w:sz w:val="21"/>
              </w:rPr>
            </w:pPr>
          </w:p>
        </w:tc>
        <w:tc>
          <w:tcPr>
            <w:tcW w:w="1175" w:type="dxa"/>
            <w:vAlign w:val="top"/>
          </w:tcPr>
          <w:p w14:paraId="0D1BB312">
            <w:pPr>
              <w:rPr>
                <w:rFonts w:ascii="Arial"/>
                <w:sz w:val="21"/>
              </w:rPr>
            </w:pPr>
          </w:p>
        </w:tc>
        <w:tc>
          <w:tcPr>
            <w:tcW w:w="1658" w:type="dxa"/>
            <w:vAlign w:val="top"/>
          </w:tcPr>
          <w:p w14:paraId="69FECB0D">
            <w:pPr>
              <w:rPr>
                <w:rFonts w:ascii="Arial"/>
                <w:sz w:val="21"/>
              </w:rPr>
            </w:pPr>
          </w:p>
        </w:tc>
        <w:tc>
          <w:tcPr>
            <w:tcW w:w="854" w:type="dxa"/>
            <w:vAlign w:val="top"/>
          </w:tcPr>
          <w:p w14:paraId="55F99007">
            <w:pPr>
              <w:rPr>
                <w:rFonts w:ascii="Arial"/>
                <w:sz w:val="21"/>
              </w:rPr>
            </w:pPr>
          </w:p>
        </w:tc>
      </w:tr>
      <w:tr w14:paraId="442883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21A5929F">
            <w:pPr>
              <w:rPr>
                <w:rFonts w:ascii="Arial"/>
                <w:sz w:val="21"/>
              </w:rPr>
            </w:pPr>
          </w:p>
        </w:tc>
        <w:tc>
          <w:tcPr>
            <w:tcW w:w="1063" w:type="dxa"/>
            <w:vAlign w:val="top"/>
          </w:tcPr>
          <w:p w14:paraId="05A7D2D7">
            <w:pPr>
              <w:rPr>
                <w:rFonts w:ascii="Arial"/>
                <w:sz w:val="21"/>
              </w:rPr>
            </w:pPr>
          </w:p>
        </w:tc>
        <w:tc>
          <w:tcPr>
            <w:tcW w:w="672" w:type="dxa"/>
            <w:vAlign w:val="top"/>
          </w:tcPr>
          <w:p w14:paraId="6CF824A2">
            <w:pPr>
              <w:rPr>
                <w:rFonts w:ascii="Arial"/>
                <w:sz w:val="21"/>
              </w:rPr>
            </w:pPr>
          </w:p>
        </w:tc>
        <w:tc>
          <w:tcPr>
            <w:tcW w:w="1021" w:type="dxa"/>
            <w:vAlign w:val="top"/>
          </w:tcPr>
          <w:p w14:paraId="3A5DC4F5">
            <w:pPr>
              <w:rPr>
                <w:rFonts w:ascii="Arial"/>
                <w:sz w:val="21"/>
              </w:rPr>
            </w:pPr>
          </w:p>
        </w:tc>
        <w:tc>
          <w:tcPr>
            <w:tcW w:w="709" w:type="dxa"/>
            <w:vAlign w:val="top"/>
          </w:tcPr>
          <w:p w14:paraId="297A6E61">
            <w:pPr>
              <w:rPr>
                <w:rFonts w:ascii="Arial"/>
                <w:sz w:val="21"/>
              </w:rPr>
            </w:pPr>
          </w:p>
        </w:tc>
        <w:tc>
          <w:tcPr>
            <w:tcW w:w="709" w:type="dxa"/>
            <w:vAlign w:val="top"/>
          </w:tcPr>
          <w:p w14:paraId="35B96D75">
            <w:pPr>
              <w:rPr>
                <w:rFonts w:ascii="Arial"/>
                <w:sz w:val="21"/>
              </w:rPr>
            </w:pPr>
          </w:p>
        </w:tc>
        <w:tc>
          <w:tcPr>
            <w:tcW w:w="1175" w:type="dxa"/>
            <w:vAlign w:val="top"/>
          </w:tcPr>
          <w:p w14:paraId="4E5D1F9D">
            <w:pPr>
              <w:rPr>
                <w:rFonts w:ascii="Arial"/>
                <w:sz w:val="21"/>
              </w:rPr>
            </w:pPr>
          </w:p>
        </w:tc>
        <w:tc>
          <w:tcPr>
            <w:tcW w:w="1658" w:type="dxa"/>
            <w:vAlign w:val="top"/>
          </w:tcPr>
          <w:p w14:paraId="0B95C3E4">
            <w:pPr>
              <w:rPr>
                <w:rFonts w:ascii="Arial"/>
                <w:sz w:val="21"/>
              </w:rPr>
            </w:pPr>
          </w:p>
        </w:tc>
        <w:tc>
          <w:tcPr>
            <w:tcW w:w="854" w:type="dxa"/>
            <w:vAlign w:val="top"/>
          </w:tcPr>
          <w:p w14:paraId="3205502C">
            <w:pPr>
              <w:rPr>
                <w:rFonts w:ascii="Arial"/>
                <w:sz w:val="21"/>
              </w:rPr>
            </w:pPr>
          </w:p>
        </w:tc>
      </w:tr>
      <w:tr w14:paraId="645EE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C2200ED">
            <w:pPr>
              <w:rPr>
                <w:rFonts w:ascii="Arial"/>
                <w:sz w:val="21"/>
              </w:rPr>
            </w:pPr>
          </w:p>
        </w:tc>
        <w:tc>
          <w:tcPr>
            <w:tcW w:w="1063" w:type="dxa"/>
            <w:vAlign w:val="top"/>
          </w:tcPr>
          <w:p w14:paraId="1DDEDE25">
            <w:pPr>
              <w:rPr>
                <w:rFonts w:ascii="Arial"/>
                <w:sz w:val="21"/>
              </w:rPr>
            </w:pPr>
          </w:p>
        </w:tc>
        <w:tc>
          <w:tcPr>
            <w:tcW w:w="672" w:type="dxa"/>
            <w:vAlign w:val="top"/>
          </w:tcPr>
          <w:p w14:paraId="39766F59">
            <w:pPr>
              <w:rPr>
                <w:rFonts w:ascii="Arial"/>
                <w:sz w:val="21"/>
              </w:rPr>
            </w:pPr>
          </w:p>
        </w:tc>
        <w:tc>
          <w:tcPr>
            <w:tcW w:w="1021" w:type="dxa"/>
            <w:vAlign w:val="top"/>
          </w:tcPr>
          <w:p w14:paraId="1B4615FB">
            <w:pPr>
              <w:rPr>
                <w:rFonts w:ascii="Arial"/>
                <w:sz w:val="21"/>
              </w:rPr>
            </w:pPr>
          </w:p>
        </w:tc>
        <w:tc>
          <w:tcPr>
            <w:tcW w:w="709" w:type="dxa"/>
            <w:vAlign w:val="top"/>
          </w:tcPr>
          <w:p w14:paraId="29BE2387">
            <w:pPr>
              <w:rPr>
                <w:rFonts w:ascii="Arial"/>
                <w:sz w:val="21"/>
              </w:rPr>
            </w:pPr>
          </w:p>
        </w:tc>
        <w:tc>
          <w:tcPr>
            <w:tcW w:w="709" w:type="dxa"/>
            <w:vAlign w:val="top"/>
          </w:tcPr>
          <w:p w14:paraId="1823AF93">
            <w:pPr>
              <w:rPr>
                <w:rFonts w:ascii="Arial"/>
                <w:sz w:val="21"/>
              </w:rPr>
            </w:pPr>
          </w:p>
        </w:tc>
        <w:tc>
          <w:tcPr>
            <w:tcW w:w="1175" w:type="dxa"/>
            <w:vAlign w:val="top"/>
          </w:tcPr>
          <w:p w14:paraId="5FBFCCF3">
            <w:pPr>
              <w:rPr>
                <w:rFonts w:ascii="Arial"/>
                <w:sz w:val="21"/>
              </w:rPr>
            </w:pPr>
          </w:p>
        </w:tc>
        <w:tc>
          <w:tcPr>
            <w:tcW w:w="1658" w:type="dxa"/>
            <w:vAlign w:val="top"/>
          </w:tcPr>
          <w:p w14:paraId="6F0E7ADB">
            <w:pPr>
              <w:rPr>
                <w:rFonts w:ascii="Arial"/>
                <w:sz w:val="21"/>
              </w:rPr>
            </w:pPr>
          </w:p>
        </w:tc>
        <w:tc>
          <w:tcPr>
            <w:tcW w:w="854" w:type="dxa"/>
            <w:vAlign w:val="top"/>
          </w:tcPr>
          <w:p w14:paraId="7CCB4A52">
            <w:pPr>
              <w:rPr>
                <w:rFonts w:ascii="Arial"/>
                <w:sz w:val="21"/>
              </w:rPr>
            </w:pPr>
          </w:p>
        </w:tc>
      </w:tr>
      <w:tr w14:paraId="6B6F4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5BA0058A">
            <w:pPr>
              <w:rPr>
                <w:rFonts w:ascii="Arial"/>
                <w:sz w:val="21"/>
              </w:rPr>
            </w:pPr>
          </w:p>
        </w:tc>
        <w:tc>
          <w:tcPr>
            <w:tcW w:w="1063" w:type="dxa"/>
            <w:vAlign w:val="top"/>
          </w:tcPr>
          <w:p w14:paraId="7ADE8BCD">
            <w:pPr>
              <w:rPr>
                <w:rFonts w:ascii="Arial"/>
                <w:sz w:val="21"/>
              </w:rPr>
            </w:pPr>
          </w:p>
        </w:tc>
        <w:tc>
          <w:tcPr>
            <w:tcW w:w="672" w:type="dxa"/>
            <w:vAlign w:val="top"/>
          </w:tcPr>
          <w:p w14:paraId="04C56B13">
            <w:pPr>
              <w:rPr>
                <w:rFonts w:ascii="Arial"/>
                <w:sz w:val="21"/>
              </w:rPr>
            </w:pPr>
          </w:p>
        </w:tc>
        <w:tc>
          <w:tcPr>
            <w:tcW w:w="1021" w:type="dxa"/>
            <w:vAlign w:val="top"/>
          </w:tcPr>
          <w:p w14:paraId="35C7018B">
            <w:pPr>
              <w:rPr>
                <w:rFonts w:ascii="Arial"/>
                <w:sz w:val="21"/>
              </w:rPr>
            </w:pPr>
          </w:p>
        </w:tc>
        <w:tc>
          <w:tcPr>
            <w:tcW w:w="709" w:type="dxa"/>
            <w:vAlign w:val="top"/>
          </w:tcPr>
          <w:p w14:paraId="7FF24B40">
            <w:pPr>
              <w:rPr>
                <w:rFonts w:ascii="Arial"/>
                <w:sz w:val="21"/>
              </w:rPr>
            </w:pPr>
          </w:p>
        </w:tc>
        <w:tc>
          <w:tcPr>
            <w:tcW w:w="709" w:type="dxa"/>
            <w:vAlign w:val="top"/>
          </w:tcPr>
          <w:p w14:paraId="7E3E9677">
            <w:pPr>
              <w:rPr>
                <w:rFonts w:ascii="Arial"/>
                <w:sz w:val="21"/>
              </w:rPr>
            </w:pPr>
          </w:p>
        </w:tc>
        <w:tc>
          <w:tcPr>
            <w:tcW w:w="1175" w:type="dxa"/>
            <w:vAlign w:val="top"/>
          </w:tcPr>
          <w:p w14:paraId="488628FC">
            <w:pPr>
              <w:rPr>
                <w:rFonts w:ascii="Arial"/>
                <w:sz w:val="21"/>
              </w:rPr>
            </w:pPr>
          </w:p>
        </w:tc>
        <w:tc>
          <w:tcPr>
            <w:tcW w:w="1658" w:type="dxa"/>
            <w:vAlign w:val="top"/>
          </w:tcPr>
          <w:p w14:paraId="03546340">
            <w:pPr>
              <w:rPr>
                <w:rFonts w:ascii="Arial"/>
                <w:sz w:val="21"/>
              </w:rPr>
            </w:pPr>
          </w:p>
        </w:tc>
        <w:tc>
          <w:tcPr>
            <w:tcW w:w="854" w:type="dxa"/>
            <w:vAlign w:val="top"/>
          </w:tcPr>
          <w:p w14:paraId="0303D2D0">
            <w:pPr>
              <w:rPr>
                <w:rFonts w:ascii="Arial"/>
                <w:sz w:val="21"/>
              </w:rPr>
            </w:pPr>
          </w:p>
        </w:tc>
      </w:tr>
      <w:tr w14:paraId="620963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9160269">
            <w:pPr>
              <w:rPr>
                <w:rFonts w:ascii="Arial"/>
                <w:sz w:val="21"/>
              </w:rPr>
            </w:pPr>
          </w:p>
        </w:tc>
        <w:tc>
          <w:tcPr>
            <w:tcW w:w="1063" w:type="dxa"/>
            <w:vAlign w:val="top"/>
          </w:tcPr>
          <w:p w14:paraId="1AEB0E49">
            <w:pPr>
              <w:rPr>
                <w:rFonts w:ascii="Arial"/>
                <w:sz w:val="21"/>
              </w:rPr>
            </w:pPr>
          </w:p>
        </w:tc>
        <w:tc>
          <w:tcPr>
            <w:tcW w:w="672" w:type="dxa"/>
            <w:vAlign w:val="top"/>
          </w:tcPr>
          <w:p w14:paraId="45946E64">
            <w:pPr>
              <w:rPr>
                <w:rFonts w:ascii="Arial"/>
                <w:sz w:val="21"/>
              </w:rPr>
            </w:pPr>
          </w:p>
        </w:tc>
        <w:tc>
          <w:tcPr>
            <w:tcW w:w="1021" w:type="dxa"/>
            <w:vAlign w:val="top"/>
          </w:tcPr>
          <w:p w14:paraId="5107AFFD">
            <w:pPr>
              <w:rPr>
                <w:rFonts w:ascii="Arial"/>
                <w:sz w:val="21"/>
              </w:rPr>
            </w:pPr>
          </w:p>
        </w:tc>
        <w:tc>
          <w:tcPr>
            <w:tcW w:w="709" w:type="dxa"/>
            <w:vAlign w:val="top"/>
          </w:tcPr>
          <w:p w14:paraId="4BA0C839">
            <w:pPr>
              <w:rPr>
                <w:rFonts w:ascii="Arial"/>
                <w:sz w:val="21"/>
              </w:rPr>
            </w:pPr>
          </w:p>
        </w:tc>
        <w:tc>
          <w:tcPr>
            <w:tcW w:w="709" w:type="dxa"/>
            <w:vAlign w:val="top"/>
          </w:tcPr>
          <w:p w14:paraId="17AA41EE">
            <w:pPr>
              <w:rPr>
                <w:rFonts w:ascii="Arial"/>
                <w:sz w:val="21"/>
              </w:rPr>
            </w:pPr>
          </w:p>
        </w:tc>
        <w:tc>
          <w:tcPr>
            <w:tcW w:w="1175" w:type="dxa"/>
            <w:vAlign w:val="top"/>
          </w:tcPr>
          <w:p w14:paraId="1D32E0EA">
            <w:pPr>
              <w:rPr>
                <w:rFonts w:ascii="Arial"/>
                <w:sz w:val="21"/>
              </w:rPr>
            </w:pPr>
          </w:p>
        </w:tc>
        <w:tc>
          <w:tcPr>
            <w:tcW w:w="1658" w:type="dxa"/>
            <w:vAlign w:val="top"/>
          </w:tcPr>
          <w:p w14:paraId="4677CD4A">
            <w:pPr>
              <w:rPr>
                <w:rFonts w:ascii="Arial"/>
                <w:sz w:val="21"/>
              </w:rPr>
            </w:pPr>
          </w:p>
        </w:tc>
        <w:tc>
          <w:tcPr>
            <w:tcW w:w="854" w:type="dxa"/>
            <w:vAlign w:val="top"/>
          </w:tcPr>
          <w:p w14:paraId="1666D448">
            <w:pPr>
              <w:rPr>
                <w:rFonts w:ascii="Arial"/>
                <w:sz w:val="21"/>
              </w:rPr>
            </w:pPr>
          </w:p>
        </w:tc>
      </w:tr>
      <w:tr w14:paraId="7C6004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18BBFA56">
            <w:pPr>
              <w:rPr>
                <w:rFonts w:ascii="Arial"/>
                <w:sz w:val="21"/>
              </w:rPr>
            </w:pPr>
          </w:p>
        </w:tc>
        <w:tc>
          <w:tcPr>
            <w:tcW w:w="1063" w:type="dxa"/>
            <w:vAlign w:val="top"/>
          </w:tcPr>
          <w:p w14:paraId="7C590DEE">
            <w:pPr>
              <w:rPr>
                <w:rFonts w:ascii="Arial"/>
                <w:sz w:val="21"/>
              </w:rPr>
            </w:pPr>
          </w:p>
        </w:tc>
        <w:tc>
          <w:tcPr>
            <w:tcW w:w="672" w:type="dxa"/>
            <w:vAlign w:val="top"/>
          </w:tcPr>
          <w:p w14:paraId="23BEB431">
            <w:pPr>
              <w:rPr>
                <w:rFonts w:ascii="Arial"/>
                <w:sz w:val="21"/>
              </w:rPr>
            </w:pPr>
          </w:p>
        </w:tc>
        <w:tc>
          <w:tcPr>
            <w:tcW w:w="1021" w:type="dxa"/>
            <w:vAlign w:val="top"/>
          </w:tcPr>
          <w:p w14:paraId="406A2BCF">
            <w:pPr>
              <w:rPr>
                <w:rFonts w:ascii="Arial"/>
                <w:sz w:val="21"/>
              </w:rPr>
            </w:pPr>
          </w:p>
        </w:tc>
        <w:tc>
          <w:tcPr>
            <w:tcW w:w="709" w:type="dxa"/>
            <w:vAlign w:val="top"/>
          </w:tcPr>
          <w:p w14:paraId="68083009">
            <w:pPr>
              <w:rPr>
                <w:rFonts w:ascii="Arial"/>
                <w:sz w:val="21"/>
              </w:rPr>
            </w:pPr>
          </w:p>
        </w:tc>
        <w:tc>
          <w:tcPr>
            <w:tcW w:w="709" w:type="dxa"/>
            <w:vAlign w:val="top"/>
          </w:tcPr>
          <w:p w14:paraId="216A942A">
            <w:pPr>
              <w:rPr>
                <w:rFonts w:ascii="Arial"/>
                <w:sz w:val="21"/>
              </w:rPr>
            </w:pPr>
          </w:p>
        </w:tc>
        <w:tc>
          <w:tcPr>
            <w:tcW w:w="1175" w:type="dxa"/>
            <w:vAlign w:val="top"/>
          </w:tcPr>
          <w:p w14:paraId="3106A1BB">
            <w:pPr>
              <w:rPr>
                <w:rFonts w:ascii="Arial"/>
                <w:sz w:val="21"/>
              </w:rPr>
            </w:pPr>
          </w:p>
        </w:tc>
        <w:tc>
          <w:tcPr>
            <w:tcW w:w="1658" w:type="dxa"/>
            <w:vAlign w:val="top"/>
          </w:tcPr>
          <w:p w14:paraId="583260F7">
            <w:pPr>
              <w:rPr>
                <w:rFonts w:ascii="Arial"/>
                <w:sz w:val="21"/>
              </w:rPr>
            </w:pPr>
          </w:p>
        </w:tc>
        <w:tc>
          <w:tcPr>
            <w:tcW w:w="854" w:type="dxa"/>
            <w:vAlign w:val="top"/>
          </w:tcPr>
          <w:p w14:paraId="27A018B6">
            <w:pPr>
              <w:rPr>
                <w:rFonts w:ascii="Arial"/>
                <w:sz w:val="21"/>
              </w:rPr>
            </w:pPr>
          </w:p>
        </w:tc>
      </w:tr>
      <w:tr w14:paraId="10A2B2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7D4B5F5C">
            <w:pPr>
              <w:rPr>
                <w:rFonts w:ascii="Arial"/>
                <w:sz w:val="21"/>
              </w:rPr>
            </w:pPr>
          </w:p>
        </w:tc>
        <w:tc>
          <w:tcPr>
            <w:tcW w:w="1063" w:type="dxa"/>
            <w:vAlign w:val="top"/>
          </w:tcPr>
          <w:p w14:paraId="5E3EC0ED">
            <w:pPr>
              <w:rPr>
                <w:rFonts w:ascii="Arial"/>
                <w:sz w:val="21"/>
              </w:rPr>
            </w:pPr>
          </w:p>
        </w:tc>
        <w:tc>
          <w:tcPr>
            <w:tcW w:w="672" w:type="dxa"/>
            <w:vAlign w:val="top"/>
          </w:tcPr>
          <w:p w14:paraId="5AE4005A">
            <w:pPr>
              <w:rPr>
                <w:rFonts w:ascii="Arial"/>
                <w:sz w:val="21"/>
              </w:rPr>
            </w:pPr>
          </w:p>
        </w:tc>
        <w:tc>
          <w:tcPr>
            <w:tcW w:w="1021" w:type="dxa"/>
            <w:vAlign w:val="top"/>
          </w:tcPr>
          <w:p w14:paraId="4D066334">
            <w:pPr>
              <w:rPr>
                <w:rFonts w:ascii="Arial"/>
                <w:sz w:val="21"/>
              </w:rPr>
            </w:pPr>
          </w:p>
        </w:tc>
        <w:tc>
          <w:tcPr>
            <w:tcW w:w="709" w:type="dxa"/>
            <w:vAlign w:val="top"/>
          </w:tcPr>
          <w:p w14:paraId="5AA9E769">
            <w:pPr>
              <w:rPr>
                <w:rFonts w:ascii="Arial"/>
                <w:sz w:val="21"/>
              </w:rPr>
            </w:pPr>
          </w:p>
        </w:tc>
        <w:tc>
          <w:tcPr>
            <w:tcW w:w="709" w:type="dxa"/>
            <w:vAlign w:val="top"/>
          </w:tcPr>
          <w:p w14:paraId="6F96D916">
            <w:pPr>
              <w:rPr>
                <w:rFonts w:ascii="Arial"/>
                <w:sz w:val="21"/>
              </w:rPr>
            </w:pPr>
          </w:p>
        </w:tc>
        <w:tc>
          <w:tcPr>
            <w:tcW w:w="1175" w:type="dxa"/>
            <w:vAlign w:val="top"/>
          </w:tcPr>
          <w:p w14:paraId="4500B849">
            <w:pPr>
              <w:rPr>
                <w:rFonts w:ascii="Arial"/>
                <w:sz w:val="21"/>
              </w:rPr>
            </w:pPr>
          </w:p>
        </w:tc>
        <w:tc>
          <w:tcPr>
            <w:tcW w:w="1658" w:type="dxa"/>
            <w:vAlign w:val="top"/>
          </w:tcPr>
          <w:p w14:paraId="196CE348">
            <w:pPr>
              <w:rPr>
                <w:rFonts w:ascii="Arial"/>
                <w:sz w:val="21"/>
              </w:rPr>
            </w:pPr>
          </w:p>
        </w:tc>
        <w:tc>
          <w:tcPr>
            <w:tcW w:w="854" w:type="dxa"/>
            <w:vAlign w:val="top"/>
          </w:tcPr>
          <w:p w14:paraId="0D79CCAB">
            <w:pPr>
              <w:rPr>
                <w:rFonts w:ascii="Arial"/>
                <w:sz w:val="21"/>
              </w:rPr>
            </w:pPr>
          </w:p>
        </w:tc>
      </w:tr>
      <w:tr w14:paraId="267FE83F">
        <w:tblPrEx>
          <w:tblCellMar>
            <w:top w:w="0" w:type="dxa"/>
            <w:left w:w="0" w:type="dxa"/>
            <w:bottom w:w="0" w:type="dxa"/>
            <w:right w:w="0" w:type="dxa"/>
          </w:tblCellMar>
        </w:tblPrEx>
        <w:trPr>
          <w:trHeight w:val="430" w:hRule="atLeast"/>
        </w:trPr>
        <w:tc>
          <w:tcPr>
            <w:tcW w:w="648" w:type="dxa"/>
            <w:vAlign w:val="top"/>
          </w:tcPr>
          <w:p w14:paraId="60256CCC">
            <w:pPr>
              <w:rPr>
                <w:rFonts w:ascii="Arial"/>
                <w:sz w:val="21"/>
              </w:rPr>
            </w:pPr>
          </w:p>
        </w:tc>
        <w:tc>
          <w:tcPr>
            <w:tcW w:w="1063" w:type="dxa"/>
            <w:vAlign w:val="top"/>
          </w:tcPr>
          <w:p w14:paraId="249CB4C6">
            <w:pPr>
              <w:rPr>
                <w:rFonts w:ascii="Arial"/>
                <w:sz w:val="21"/>
              </w:rPr>
            </w:pPr>
          </w:p>
        </w:tc>
        <w:tc>
          <w:tcPr>
            <w:tcW w:w="672" w:type="dxa"/>
            <w:vAlign w:val="top"/>
          </w:tcPr>
          <w:p w14:paraId="6589AD8C">
            <w:pPr>
              <w:rPr>
                <w:rFonts w:ascii="Arial"/>
                <w:sz w:val="21"/>
              </w:rPr>
            </w:pPr>
          </w:p>
        </w:tc>
        <w:tc>
          <w:tcPr>
            <w:tcW w:w="1021" w:type="dxa"/>
            <w:vAlign w:val="top"/>
          </w:tcPr>
          <w:p w14:paraId="5CFAD0C1">
            <w:pPr>
              <w:rPr>
                <w:rFonts w:ascii="Arial"/>
                <w:sz w:val="21"/>
              </w:rPr>
            </w:pPr>
          </w:p>
        </w:tc>
        <w:tc>
          <w:tcPr>
            <w:tcW w:w="709" w:type="dxa"/>
            <w:vAlign w:val="top"/>
          </w:tcPr>
          <w:p w14:paraId="4459760B">
            <w:pPr>
              <w:rPr>
                <w:rFonts w:ascii="Arial"/>
                <w:sz w:val="21"/>
              </w:rPr>
            </w:pPr>
          </w:p>
        </w:tc>
        <w:tc>
          <w:tcPr>
            <w:tcW w:w="709" w:type="dxa"/>
            <w:vAlign w:val="top"/>
          </w:tcPr>
          <w:p w14:paraId="279F904D">
            <w:pPr>
              <w:rPr>
                <w:rFonts w:ascii="Arial"/>
                <w:sz w:val="21"/>
              </w:rPr>
            </w:pPr>
          </w:p>
        </w:tc>
        <w:tc>
          <w:tcPr>
            <w:tcW w:w="1175" w:type="dxa"/>
            <w:vAlign w:val="top"/>
          </w:tcPr>
          <w:p w14:paraId="3E3390B3">
            <w:pPr>
              <w:rPr>
                <w:rFonts w:ascii="Arial"/>
                <w:sz w:val="21"/>
              </w:rPr>
            </w:pPr>
          </w:p>
        </w:tc>
        <w:tc>
          <w:tcPr>
            <w:tcW w:w="1658" w:type="dxa"/>
            <w:vAlign w:val="top"/>
          </w:tcPr>
          <w:p w14:paraId="700CEECA">
            <w:pPr>
              <w:rPr>
                <w:rFonts w:ascii="Arial"/>
                <w:sz w:val="21"/>
              </w:rPr>
            </w:pPr>
          </w:p>
        </w:tc>
        <w:tc>
          <w:tcPr>
            <w:tcW w:w="854" w:type="dxa"/>
            <w:vAlign w:val="top"/>
          </w:tcPr>
          <w:p w14:paraId="1E3808D1">
            <w:pPr>
              <w:rPr>
                <w:rFonts w:ascii="Arial"/>
                <w:sz w:val="21"/>
              </w:rPr>
            </w:pPr>
          </w:p>
        </w:tc>
      </w:tr>
      <w:tr w14:paraId="54C8E8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41D446B1">
            <w:pPr>
              <w:rPr>
                <w:rFonts w:ascii="Arial"/>
                <w:sz w:val="21"/>
              </w:rPr>
            </w:pPr>
          </w:p>
        </w:tc>
        <w:tc>
          <w:tcPr>
            <w:tcW w:w="1063" w:type="dxa"/>
            <w:vAlign w:val="top"/>
          </w:tcPr>
          <w:p w14:paraId="5D576450">
            <w:pPr>
              <w:rPr>
                <w:rFonts w:ascii="Arial"/>
                <w:sz w:val="21"/>
              </w:rPr>
            </w:pPr>
          </w:p>
        </w:tc>
        <w:tc>
          <w:tcPr>
            <w:tcW w:w="672" w:type="dxa"/>
            <w:vAlign w:val="top"/>
          </w:tcPr>
          <w:p w14:paraId="3D53DC7F">
            <w:pPr>
              <w:rPr>
                <w:rFonts w:ascii="Arial"/>
                <w:sz w:val="21"/>
              </w:rPr>
            </w:pPr>
          </w:p>
        </w:tc>
        <w:tc>
          <w:tcPr>
            <w:tcW w:w="1021" w:type="dxa"/>
            <w:vAlign w:val="top"/>
          </w:tcPr>
          <w:p w14:paraId="5EA9995B">
            <w:pPr>
              <w:rPr>
                <w:rFonts w:ascii="Arial"/>
                <w:sz w:val="21"/>
              </w:rPr>
            </w:pPr>
          </w:p>
        </w:tc>
        <w:tc>
          <w:tcPr>
            <w:tcW w:w="709" w:type="dxa"/>
            <w:vAlign w:val="top"/>
          </w:tcPr>
          <w:p w14:paraId="0B93CE66">
            <w:pPr>
              <w:rPr>
                <w:rFonts w:ascii="Arial"/>
                <w:sz w:val="21"/>
              </w:rPr>
            </w:pPr>
          </w:p>
        </w:tc>
        <w:tc>
          <w:tcPr>
            <w:tcW w:w="709" w:type="dxa"/>
            <w:vAlign w:val="top"/>
          </w:tcPr>
          <w:p w14:paraId="6E8C9DF4">
            <w:pPr>
              <w:rPr>
                <w:rFonts w:ascii="Arial"/>
                <w:sz w:val="21"/>
              </w:rPr>
            </w:pPr>
          </w:p>
        </w:tc>
        <w:tc>
          <w:tcPr>
            <w:tcW w:w="1175" w:type="dxa"/>
            <w:vAlign w:val="top"/>
          </w:tcPr>
          <w:p w14:paraId="2F0F7BD5">
            <w:pPr>
              <w:rPr>
                <w:rFonts w:ascii="Arial"/>
                <w:sz w:val="21"/>
              </w:rPr>
            </w:pPr>
          </w:p>
        </w:tc>
        <w:tc>
          <w:tcPr>
            <w:tcW w:w="1658" w:type="dxa"/>
            <w:vAlign w:val="top"/>
          </w:tcPr>
          <w:p w14:paraId="7FE25FC5">
            <w:pPr>
              <w:rPr>
                <w:rFonts w:ascii="Arial"/>
                <w:sz w:val="21"/>
              </w:rPr>
            </w:pPr>
          </w:p>
        </w:tc>
        <w:tc>
          <w:tcPr>
            <w:tcW w:w="854" w:type="dxa"/>
            <w:vAlign w:val="top"/>
          </w:tcPr>
          <w:p w14:paraId="7E1C3CBC">
            <w:pPr>
              <w:rPr>
                <w:rFonts w:ascii="Arial"/>
                <w:sz w:val="21"/>
              </w:rPr>
            </w:pPr>
          </w:p>
        </w:tc>
      </w:tr>
      <w:tr w14:paraId="40B940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40DE4649">
            <w:pPr>
              <w:rPr>
                <w:rFonts w:ascii="Arial"/>
                <w:sz w:val="21"/>
              </w:rPr>
            </w:pPr>
          </w:p>
        </w:tc>
        <w:tc>
          <w:tcPr>
            <w:tcW w:w="1063" w:type="dxa"/>
            <w:vAlign w:val="top"/>
          </w:tcPr>
          <w:p w14:paraId="4CAB995E">
            <w:pPr>
              <w:rPr>
                <w:rFonts w:ascii="Arial"/>
                <w:sz w:val="21"/>
              </w:rPr>
            </w:pPr>
          </w:p>
        </w:tc>
        <w:tc>
          <w:tcPr>
            <w:tcW w:w="672" w:type="dxa"/>
            <w:vAlign w:val="top"/>
          </w:tcPr>
          <w:p w14:paraId="5C3C56F7">
            <w:pPr>
              <w:rPr>
                <w:rFonts w:ascii="Arial"/>
                <w:sz w:val="21"/>
              </w:rPr>
            </w:pPr>
          </w:p>
        </w:tc>
        <w:tc>
          <w:tcPr>
            <w:tcW w:w="1021" w:type="dxa"/>
            <w:vAlign w:val="top"/>
          </w:tcPr>
          <w:p w14:paraId="65AC3F26">
            <w:pPr>
              <w:rPr>
                <w:rFonts w:ascii="Arial"/>
                <w:sz w:val="21"/>
              </w:rPr>
            </w:pPr>
          </w:p>
        </w:tc>
        <w:tc>
          <w:tcPr>
            <w:tcW w:w="709" w:type="dxa"/>
            <w:vAlign w:val="top"/>
          </w:tcPr>
          <w:p w14:paraId="5CD7B26C">
            <w:pPr>
              <w:rPr>
                <w:rFonts w:ascii="Arial"/>
                <w:sz w:val="21"/>
              </w:rPr>
            </w:pPr>
          </w:p>
        </w:tc>
        <w:tc>
          <w:tcPr>
            <w:tcW w:w="709" w:type="dxa"/>
            <w:vAlign w:val="top"/>
          </w:tcPr>
          <w:p w14:paraId="366EAF1D">
            <w:pPr>
              <w:rPr>
                <w:rFonts w:ascii="Arial"/>
                <w:sz w:val="21"/>
              </w:rPr>
            </w:pPr>
          </w:p>
        </w:tc>
        <w:tc>
          <w:tcPr>
            <w:tcW w:w="1175" w:type="dxa"/>
            <w:vAlign w:val="top"/>
          </w:tcPr>
          <w:p w14:paraId="2DCA80AE">
            <w:pPr>
              <w:rPr>
                <w:rFonts w:ascii="Arial"/>
                <w:sz w:val="21"/>
              </w:rPr>
            </w:pPr>
          </w:p>
        </w:tc>
        <w:tc>
          <w:tcPr>
            <w:tcW w:w="1658" w:type="dxa"/>
            <w:vAlign w:val="top"/>
          </w:tcPr>
          <w:p w14:paraId="6E5E97DC">
            <w:pPr>
              <w:rPr>
                <w:rFonts w:ascii="Arial"/>
                <w:sz w:val="21"/>
              </w:rPr>
            </w:pPr>
          </w:p>
        </w:tc>
        <w:tc>
          <w:tcPr>
            <w:tcW w:w="854" w:type="dxa"/>
            <w:vAlign w:val="top"/>
          </w:tcPr>
          <w:p w14:paraId="511A127E">
            <w:pPr>
              <w:rPr>
                <w:rFonts w:ascii="Arial"/>
                <w:sz w:val="21"/>
              </w:rPr>
            </w:pPr>
          </w:p>
        </w:tc>
      </w:tr>
      <w:tr w14:paraId="6292F6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59926558">
            <w:pPr>
              <w:rPr>
                <w:rFonts w:ascii="Arial"/>
                <w:sz w:val="21"/>
              </w:rPr>
            </w:pPr>
          </w:p>
        </w:tc>
        <w:tc>
          <w:tcPr>
            <w:tcW w:w="1063" w:type="dxa"/>
            <w:vAlign w:val="top"/>
          </w:tcPr>
          <w:p w14:paraId="3AA482D8">
            <w:pPr>
              <w:rPr>
                <w:rFonts w:ascii="Arial"/>
                <w:sz w:val="21"/>
              </w:rPr>
            </w:pPr>
          </w:p>
        </w:tc>
        <w:tc>
          <w:tcPr>
            <w:tcW w:w="672" w:type="dxa"/>
            <w:vAlign w:val="top"/>
          </w:tcPr>
          <w:p w14:paraId="63B5E682">
            <w:pPr>
              <w:rPr>
                <w:rFonts w:ascii="Arial"/>
                <w:sz w:val="21"/>
              </w:rPr>
            </w:pPr>
          </w:p>
        </w:tc>
        <w:tc>
          <w:tcPr>
            <w:tcW w:w="1021" w:type="dxa"/>
            <w:vAlign w:val="top"/>
          </w:tcPr>
          <w:p w14:paraId="31FDA06E">
            <w:pPr>
              <w:rPr>
                <w:rFonts w:ascii="Arial"/>
                <w:sz w:val="21"/>
              </w:rPr>
            </w:pPr>
          </w:p>
        </w:tc>
        <w:tc>
          <w:tcPr>
            <w:tcW w:w="709" w:type="dxa"/>
            <w:vAlign w:val="top"/>
          </w:tcPr>
          <w:p w14:paraId="4C1585F6">
            <w:pPr>
              <w:rPr>
                <w:rFonts w:ascii="Arial"/>
                <w:sz w:val="21"/>
              </w:rPr>
            </w:pPr>
          </w:p>
        </w:tc>
        <w:tc>
          <w:tcPr>
            <w:tcW w:w="709" w:type="dxa"/>
            <w:vAlign w:val="top"/>
          </w:tcPr>
          <w:p w14:paraId="4E777212">
            <w:pPr>
              <w:rPr>
                <w:rFonts w:ascii="Arial"/>
                <w:sz w:val="21"/>
              </w:rPr>
            </w:pPr>
          </w:p>
        </w:tc>
        <w:tc>
          <w:tcPr>
            <w:tcW w:w="1175" w:type="dxa"/>
            <w:vAlign w:val="top"/>
          </w:tcPr>
          <w:p w14:paraId="7C399886">
            <w:pPr>
              <w:rPr>
                <w:rFonts w:ascii="Arial"/>
                <w:sz w:val="21"/>
              </w:rPr>
            </w:pPr>
          </w:p>
        </w:tc>
        <w:tc>
          <w:tcPr>
            <w:tcW w:w="1658" w:type="dxa"/>
            <w:vAlign w:val="top"/>
          </w:tcPr>
          <w:p w14:paraId="0A23F2E4">
            <w:pPr>
              <w:rPr>
                <w:rFonts w:ascii="Arial"/>
                <w:sz w:val="21"/>
              </w:rPr>
            </w:pPr>
          </w:p>
        </w:tc>
        <w:tc>
          <w:tcPr>
            <w:tcW w:w="854" w:type="dxa"/>
            <w:vAlign w:val="top"/>
          </w:tcPr>
          <w:p w14:paraId="3BF07685">
            <w:pPr>
              <w:rPr>
                <w:rFonts w:ascii="Arial"/>
                <w:sz w:val="21"/>
              </w:rPr>
            </w:pPr>
          </w:p>
        </w:tc>
      </w:tr>
      <w:tr w14:paraId="743744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41EA53DE">
            <w:pPr>
              <w:rPr>
                <w:rFonts w:ascii="Arial"/>
                <w:sz w:val="21"/>
              </w:rPr>
            </w:pPr>
          </w:p>
        </w:tc>
        <w:tc>
          <w:tcPr>
            <w:tcW w:w="1063" w:type="dxa"/>
            <w:vAlign w:val="top"/>
          </w:tcPr>
          <w:p w14:paraId="22119CAF">
            <w:pPr>
              <w:rPr>
                <w:rFonts w:ascii="Arial"/>
                <w:sz w:val="21"/>
              </w:rPr>
            </w:pPr>
          </w:p>
        </w:tc>
        <w:tc>
          <w:tcPr>
            <w:tcW w:w="672" w:type="dxa"/>
            <w:vAlign w:val="top"/>
          </w:tcPr>
          <w:p w14:paraId="7A400057">
            <w:pPr>
              <w:rPr>
                <w:rFonts w:ascii="Arial"/>
                <w:sz w:val="21"/>
              </w:rPr>
            </w:pPr>
          </w:p>
        </w:tc>
        <w:tc>
          <w:tcPr>
            <w:tcW w:w="1021" w:type="dxa"/>
            <w:vAlign w:val="top"/>
          </w:tcPr>
          <w:p w14:paraId="022F4A5A">
            <w:pPr>
              <w:rPr>
                <w:rFonts w:ascii="Arial"/>
                <w:sz w:val="21"/>
              </w:rPr>
            </w:pPr>
          </w:p>
        </w:tc>
        <w:tc>
          <w:tcPr>
            <w:tcW w:w="709" w:type="dxa"/>
            <w:vAlign w:val="top"/>
          </w:tcPr>
          <w:p w14:paraId="6BBDD379">
            <w:pPr>
              <w:rPr>
                <w:rFonts w:ascii="Arial"/>
                <w:sz w:val="21"/>
              </w:rPr>
            </w:pPr>
          </w:p>
        </w:tc>
        <w:tc>
          <w:tcPr>
            <w:tcW w:w="709" w:type="dxa"/>
            <w:vAlign w:val="top"/>
          </w:tcPr>
          <w:p w14:paraId="5E3D3F7D">
            <w:pPr>
              <w:rPr>
                <w:rFonts w:ascii="Arial"/>
                <w:sz w:val="21"/>
              </w:rPr>
            </w:pPr>
          </w:p>
        </w:tc>
        <w:tc>
          <w:tcPr>
            <w:tcW w:w="1175" w:type="dxa"/>
            <w:vAlign w:val="top"/>
          </w:tcPr>
          <w:p w14:paraId="0026F7DF">
            <w:pPr>
              <w:rPr>
                <w:rFonts w:ascii="Arial"/>
                <w:sz w:val="21"/>
              </w:rPr>
            </w:pPr>
          </w:p>
        </w:tc>
        <w:tc>
          <w:tcPr>
            <w:tcW w:w="1658" w:type="dxa"/>
            <w:vAlign w:val="top"/>
          </w:tcPr>
          <w:p w14:paraId="483926AC">
            <w:pPr>
              <w:rPr>
                <w:rFonts w:ascii="Arial"/>
                <w:sz w:val="21"/>
              </w:rPr>
            </w:pPr>
          </w:p>
        </w:tc>
        <w:tc>
          <w:tcPr>
            <w:tcW w:w="854" w:type="dxa"/>
            <w:vAlign w:val="top"/>
          </w:tcPr>
          <w:p w14:paraId="1BD8F676">
            <w:pPr>
              <w:rPr>
                <w:rFonts w:ascii="Arial"/>
                <w:sz w:val="21"/>
              </w:rPr>
            </w:pPr>
          </w:p>
        </w:tc>
      </w:tr>
      <w:tr w14:paraId="396BD0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5B249F52">
            <w:pPr>
              <w:rPr>
                <w:rFonts w:ascii="Arial"/>
                <w:sz w:val="21"/>
              </w:rPr>
            </w:pPr>
          </w:p>
        </w:tc>
        <w:tc>
          <w:tcPr>
            <w:tcW w:w="1063" w:type="dxa"/>
            <w:vAlign w:val="top"/>
          </w:tcPr>
          <w:p w14:paraId="5EBAEE38">
            <w:pPr>
              <w:rPr>
                <w:rFonts w:ascii="Arial"/>
                <w:sz w:val="21"/>
              </w:rPr>
            </w:pPr>
          </w:p>
        </w:tc>
        <w:tc>
          <w:tcPr>
            <w:tcW w:w="672" w:type="dxa"/>
            <w:vAlign w:val="top"/>
          </w:tcPr>
          <w:p w14:paraId="66B160E3">
            <w:pPr>
              <w:rPr>
                <w:rFonts w:ascii="Arial"/>
                <w:sz w:val="21"/>
              </w:rPr>
            </w:pPr>
          </w:p>
        </w:tc>
        <w:tc>
          <w:tcPr>
            <w:tcW w:w="1021" w:type="dxa"/>
            <w:vAlign w:val="top"/>
          </w:tcPr>
          <w:p w14:paraId="66A6FB0B">
            <w:pPr>
              <w:rPr>
                <w:rFonts w:ascii="Arial"/>
                <w:sz w:val="21"/>
              </w:rPr>
            </w:pPr>
          </w:p>
        </w:tc>
        <w:tc>
          <w:tcPr>
            <w:tcW w:w="709" w:type="dxa"/>
            <w:vAlign w:val="top"/>
          </w:tcPr>
          <w:p w14:paraId="29BFEB8F">
            <w:pPr>
              <w:rPr>
                <w:rFonts w:ascii="Arial"/>
                <w:sz w:val="21"/>
              </w:rPr>
            </w:pPr>
          </w:p>
        </w:tc>
        <w:tc>
          <w:tcPr>
            <w:tcW w:w="709" w:type="dxa"/>
            <w:vAlign w:val="top"/>
          </w:tcPr>
          <w:p w14:paraId="2BBE4BE1">
            <w:pPr>
              <w:rPr>
                <w:rFonts w:ascii="Arial"/>
                <w:sz w:val="21"/>
              </w:rPr>
            </w:pPr>
          </w:p>
        </w:tc>
        <w:tc>
          <w:tcPr>
            <w:tcW w:w="1175" w:type="dxa"/>
            <w:vAlign w:val="top"/>
          </w:tcPr>
          <w:p w14:paraId="2D43DB43">
            <w:pPr>
              <w:rPr>
                <w:rFonts w:ascii="Arial"/>
                <w:sz w:val="21"/>
              </w:rPr>
            </w:pPr>
          </w:p>
        </w:tc>
        <w:tc>
          <w:tcPr>
            <w:tcW w:w="1658" w:type="dxa"/>
            <w:vAlign w:val="top"/>
          </w:tcPr>
          <w:p w14:paraId="071DCE4A">
            <w:pPr>
              <w:rPr>
                <w:rFonts w:ascii="Arial"/>
                <w:sz w:val="21"/>
              </w:rPr>
            </w:pPr>
          </w:p>
        </w:tc>
        <w:tc>
          <w:tcPr>
            <w:tcW w:w="854" w:type="dxa"/>
            <w:vAlign w:val="top"/>
          </w:tcPr>
          <w:p w14:paraId="43B37EB3">
            <w:pPr>
              <w:rPr>
                <w:rFonts w:ascii="Arial"/>
                <w:sz w:val="21"/>
              </w:rPr>
            </w:pPr>
          </w:p>
        </w:tc>
      </w:tr>
      <w:tr w14:paraId="26BA5C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5D680DF6">
            <w:pPr>
              <w:rPr>
                <w:rFonts w:ascii="Arial"/>
                <w:sz w:val="21"/>
              </w:rPr>
            </w:pPr>
          </w:p>
        </w:tc>
        <w:tc>
          <w:tcPr>
            <w:tcW w:w="1063" w:type="dxa"/>
            <w:vAlign w:val="top"/>
          </w:tcPr>
          <w:p w14:paraId="73462507">
            <w:pPr>
              <w:rPr>
                <w:rFonts w:ascii="Arial"/>
                <w:sz w:val="21"/>
              </w:rPr>
            </w:pPr>
          </w:p>
        </w:tc>
        <w:tc>
          <w:tcPr>
            <w:tcW w:w="672" w:type="dxa"/>
            <w:vAlign w:val="top"/>
          </w:tcPr>
          <w:p w14:paraId="27FBB891">
            <w:pPr>
              <w:rPr>
                <w:rFonts w:ascii="Arial"/>
                <w:sz w:val="21"/>
              </w:rPr>
            </w:pPr>
          </w:p>
        </w:tc>
        <w:tc>
          <w:tcPr>
            <w:tcW w:w="1021" w:type="dxa"/>
            <w:vAlign w:val="top"/>
          </w:tcPr>
          <w:p w14:paraId="24DFE5FC">
            <w:pPr>
              <w:rPr>
                <w:rFonts w:ascii="Arial"/>
                <w:sz w:val="21"/>
              </w:rPr>
            </w:pPr>
          </w:p>
        </w:tc>
        <w:tc>
          <w:tcPr>
            <w:tcW w:w="709" w:type="dxa"/>
            <w:vAlign w:val="top"/>
          </w:tcPr>
          <w:p w14:paraId="046B74E8">
            <w:pPr>
              <w:rPr>
                <w:rFonts w:ascii="Arial"/>
                <w:sz w:val="21"/>
              </w:rPr>
            </w:pPr>
          </w:p>
        </w:tc>
        <w:tc>
          <w:tcPr>
            <w:tcW w:w="709" w:type="dxa"/>
            <w:vAlign w:val="top"/>
          </w:tcPr>
          <w:p w14:paraId="671F78F1">
            <w:pPr>
              <w:rPr>
                <w:rFonts w:ascii="Arial"/>
                <w:sz w:val="21"/>
              </w:rPr>
            </w:pPr>
          </w:p>
        </w:tc>
        <w:tc>
          <w:tcPr>
            <w:tcW w:w="1175" w:type="dxa"/>
            <w:vAlign w:val="top"/>
          </w:tcPr>
          <w:p w14:paraId="17C639C0">
            <w:pPr>
              <w:rPr>
                <w:rFonts w:ascii="Arial"/>
                <w:sz w:val="21"/>
              </w:rPr>
            </w:pPr>
          </w:p>
        </w:tc>
        <w:tc>
          <w:tcPr>
            <w:tcW w:w="1658" w:type="dxa"/>
            <w:vAlign w:val="top"/>
          </w:tcPr>
          <w:p w14:paraId="74A35A25">
            <w:pPr>
              <w:rPr>
                <w:rFonts w:ascii="Arial"/>
                <w:sz w:val="21"/>
              </w:rPr>
            </w:pPr>
          </w:p>
        </w:tc>
        <w:tc>
          <w:tcPr>
            <w:tcW w:w="854" w:type="dxa"/>
            <w:vAlign w:val="top"/>
          </w:tcPr>
          <w:p w14:paraId="0A54F2EE">
            <w:pPr>
              <w:rPr>
                <w:rFonts w:ascii="Arial"/>
                <w:sz w:val="21"/>
              </w:rPr>
            </w:pPr>
          </w:p>
        </w:tc>
      </w:tr>
      <w:tr w14:paraId="0121FB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48" w:type="dxa"/>
            <w:vAlign w:val="top"/>
          </w:tcPr>
          <w:p w14:paraId="2E366BF1">
            <w:pPr>
              <w:rPr>
                <w:rFonts w:ascii="Arial"/>
                <w:sz w:val="21"/>
              </w:rPr>
            </w:pPr>
          </w:p>
        </w:tc>
        <w:tc>
          <w:tcPr>
            <w:tcW w:w="1063" w:type="dxa"/>
            <w:vAlign w:val="top"/>
          </w:tcPr>
          <w:p w14:paraId="68886768">
            <w:pPr>
              <w:rPr>
                <w:rFonts w:ascii="Arial"/>
                <w:sz w:val="21"/>
              </w:rPr>
            </w:pPr>
          </w:p>
        </w:tc>
        <w:tc>
          <w:tcPr>
            <w:tcW w:w="672" w:type="dxa"/>
            <w:vAlign w:val="top"/>
          </w:tcPr>
          <w:p w14:paraId="4C26C7B8">
            <w:pPr>
              <w:rPr>
                <w:rFonts w:ascii="Arial"/>
                <w:sz w:val="21"/>
              </w:rPr>
            </w:pPr>
          </w:p>
        </w:tc>
        <w:tc>
          <w:tcPr>
            <w:tcW w:w="1021" w:type="dxa"/>
            <w:vAlign w:val="top"/>
          </w:tcPr>
          <w:p w14:paraId="4FE820E8">
            <w:pPr>
              <w:rPr>
                <w:rFonts w:ascii="Arial"/>
                <w:sz w:val="21"/>
              </w:rPr>
            </w:pPr>
          </w:p>
        </w:tc>
        <w:tc>
          <w:tcPr>
            <w:tcW w:w="709" w:type="dxa"/>
            <w:vAlign w:val="top"/>
          </w:tcPr>
          <w:p w14:paraId="1C9AFE68">
            <w:pPr>
              <w:rPr>
                <w:rFonts w:ascii="Arial"/>
                <w:sz w:val="21"/>
              </w:rPr>
            </w:pPr>
          </w:p>
        </w:tc>
        <w:tc>
          <w:tcPr>
            <w:tcW w:w="709" w:type="dxa"/>
            <w:vAlign w:val="top"/>
          </w:tcPr>
          <w:p w14:paraId="1742490E">
            <w:pPr>
              <w:rPr>
                <w:rFonts w:ascii="Arial"/>
                <w:sz w:val="21"/>
              </w:rPr>
            </w:pPr>
          </w:p>
        </w:tc>
        <w:tc>
          <w:tcPr>
            <w:tcW w:w="1175" w:type="dxa"/>
            <w:vAlign w:val="top"/>
          </w:tcPr>
          <w:p w14:paraId="3E6F0279">
            <w:pPr>
              <w:rPr>
                <w:rFonts w:ascii="Arial"/>
                <w:sz w:val="21"/>
              </w:rPr>
            </w:pPr>
          </w:p>
        </w:tc>
        <w:tc>
          <w:tcPr>
            <w:tcW w:w="1658" w:type="dxa"/>
            <w:vAlign w:val="top"/>
          </w:tcPr>
          <w:p w14:paraId="5F12EF3A">
            <w:pPr>
              <w:rPr>
                <w:rFonts w:ascii="Arial"/>
                <w:sz w:val="21"/>
              </w:rPr>
            </w:pPr>
          </w:p>
        </w:tc>
        <w:tc>
          <w:tcPr>
            <w:tcW w:w="854" w:type="dxa"/>
            <w:vAlign w:val="top"/>
          </w:tcPr>
          <w:p w14:paraId="63D3AC9C">
            <w:pPr>
              <w:rPr>
                <w:rFonts w:ascii="Arial"/>
                <w:sz w:val="21"/>
              </w:rPr>
            </w:pPr>
          </w:p>
        </w:tc>
      </w:tr>
    </w:tbl>
    <w:p w14:paraId="1AF937F2">
      <w:pPr>
        <w:rPr>
          <w:rFonts w:ascii="Arial"/>
          <w:sz w:val="21"/>
        </w:rPr>
      </w:pPr>
    </w:p>
    <w:p w14:paraId="6A632FFE">
      <w:pPr>
        <w:rPr>
          <w:rFonts w:ascii="Arial" w:hAnsi="Arial" w:eastAsia="Arial" w:cs="Arial"/>
          <w:sz w:val="21"/>
          <w:szCs w:val="21"/>
        </w:rPr>
        <w:sectPr>
          <w:footerReference r:id="rId555" w:type="default"/>
          <w:pgSz w:w="11907" w:h="16840"/>
          <w:pgMar w:top="400" w:right="1786" w:bottom="1247" w:left="1469" w:header="0" w:footer="1085" w:gutter="0"/>
          <w:cols w:space="720" w:num="1"/>
        </w:sectPr>
      </w:pPr>
    </w:p>
    <w:p w14:paraId="6A561A73">
      <w:pPr>
        <w:spacing w:line="265" w:lineRule="auto"/>
        <w:rPr>
          <w:rFonts w:ascii="Arial"/>
          <w:sz w:val="21"/>
        </w:rPr>
      </w:pPr>
    </w:p>
    <w:p w14:paraId="6AE5B994">
      <w:pPr>
        <w:spacing w:line="265" w:lineRule="auto"/>
        <w:rPr>
          <w:rFonts w:ascii="Arial"/>
          <w:sz w:val="21"/>
        </w:rPr>
      </w:pPr>
    </w:p>
    <w:p w14:paraId="44F9D828">
      <w:pPr>
        <w:spacing w:line="266" w:lineRule="auto"/>
        <w:rPr>
          <w:rFonts w:ascii="Arial"/>
          <w:sz w:val="21"/>
        </w:rPr>
      </w:pPr>
    </w:p>
    <w:p w14:paraId="0972CD44">
      <w:pPr>
        <w:spacing w:line="266" w:lineRule="auto"/>
        <w:rPr>
          <w:rFonts w:ascii="Arial"/>
          <w:sz w:val="21"/>
        </w:rPr>
      </w:pPr>
    </w:p>
    <w:p w14:paraId="4ED16596">
      <w:pPr>
        <w:spacing w:line="266" w:lineRule="auto"/>
        <w:rPr>
          <w:rFonts w:ascii="Arial"/>
          <w:sz w:val="21"/>
        </w:rPr>
      </w:pPr>
    </w:p>
    <w:p w14:paraId="4B58C9ED">
      <w:pPr>
        <w:pStyle w:val="2"/>
        <w:spacing w:before="78" w:line="222" w:lineRule="auto"/>
        <w:ind w:left="26"/>
        <w:outlineLvl w:val="2"/>
        <w:rPr>
          <w:sz w:val="24"/>
          <w:szCs w:val="24"/>
        </w:rPr>
      </w:pPr>
      <w:bookmarkStart w:id="459" w:name="bookmark435"/>
      <w:bookmarkEnd w:id="459"/>
      <w:r>
        <w:rPr>
          <w:spacing w:val="-3"/>
          <w:sz w:val="24"/>
          <w:szCs w:val="24"/>
        </w:rPr>
        <w:t>附表三：劳动力计划表</w:t>
      </w:r>
    </w:p>
    <w:p w14:paraId="3D306511">
      <w:pPr>
        <w:pStyle w:val="2"/>
        <w:spacing w:before="153" w:line="231" w:lineRule="auto"/>
        <w:ind w:left="7765"/>
        <w:rPr>
          <w:sz w:val="20"/>
          <w:szCs w:val="20"/>
        </w:rPr>
      </w:pPr>
      <w:r>
        <w:rPr>
          <w:spacing w:val="6"/>
          <w:sz w:val="20"/>
          <w:szCs w:val="20"/>
        </w:rPr>
        <w:t>单位：人</w:t>
      </w:r>
    </w:p>
    <w:p w14:paraId="45220272">
      <w:pPr>
        <w:spacing w:line="141" w:lineRule="auto"/>
        <w:rPr>
          <w:rFonts w:ascii="Arial"/>
          <w:sz w:val="2"/>
        </w:rPr>
      </w:pPr>
    </w:p>
    <w:tbl>
      <w:tblPr>
        <w:tblStyle w:val="5"/>
        <w:tblW w:w="85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4"/>
        <w:gridCol w:w="1417"/>
        <w:gridCol w:w="1062"/>
        <w:gridCol w:w="1062"/>
        <w:gridCol w:w="1063"/>
        <w:gridCol w:w="1062"/>
        <w:gridCol w:w="1062"/>
        <w:gridCol w:w="1067"/>
      </w:tblGrid>
      <w:tr w14:paraId="31D10C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1" w:hRule="atLeast"/>
        </w:trPr>
        <w:tc>
          <w:tcPr>
            <w:tcW w:w="714" w:type="dxa"/>
            <w:vAlign w:val="top"/>
          </w:tcPr>
          <w:p w14:paraId="3E7AB642">
            <w:pPr>
              <w:pStyle w:val="6"/>
              <w:spacing w:before="211" w:line="228" w:lineRule="auto"/>
              <w:ind w:left="154"/>
            </w:pPr>
            <w:r>
              <w:rPr>
                <w:spacing w:val="3"/>
              </w:rPr>
              <w:t>工种</w:t>
            </w:r>
          </w:p>
        </w:tc>
        <w:tc>
          <w:tcPr>
            <w:tcW w:w="7795" w:type="dxa"/>
            <w:gridSpan w:val="7"/>
            <w:vAlign w:val="top"/>
          </w:tcPr>
          <w:p w14:paraId="0DDDC006">
            <w:pPr>
              <w:pStyle w:val="6"/>
              <w:spacing w:before="211" w:line="228" w:lineRule="auto"/>
              <w:ind w:left="2432"/>
            </w:pPr>
            <w:r>
              <w:rPr>
                <w:spacing w:val="9"/>
              </w:rPr>
              <w:t>按工程施工阶段投入劳动力情况</w:t>
            </w:r>
          </w:p>
        </w:tc>
      </w:tr>
      <w:tr w14:paraId="27363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5B42E208">
            <w:pPr>
              <w:rPr>
                <w:rFonts w:ascii="Arial"/>
                <w:sz w:val="21"/>
              </w:rPr>
            </w:pPr>
          </w:p>
        </w:tc>
        <w:tc>
          <w:tcPr>
            <w:tcW w:w="1417" w:type="dxa"/>
            <w:vAlign w:val="top"/>
          </w:tcPr>
          <w:p w14:paraId="1289BC31">
            <w:pPr>
              <w:rPr>
                <w:rFonts w:ascii="Arial"/>
                <w:sz w:val="21"/>
              </w:rPr>
            </w:pPr>
          </w:p>
        </w:tc>
        <w:tc>
          <w:tcPr>
            <w:tcW w:w="1062" w:type="dxa"/>
            <w:vAlign w:val="top"/>
          </w:tcPr>
          <w:p w14:paraId="2CD0E35B">
            <w:pPr>
              <w:rPr>
                <w:rFonts w:ascii="Arial"/>
                <w:sz w:val="21"/>
              </w:rPr>
            </w:pPr>
          </w:p>
        </w:tc>
        <w:tc>
          <w:tcPr>
            <w:tcW w:w="1062" w:type="dxa"/>
            <w:vAlign w:val="top"/>
          </w:tcPr>
          <w:p w14:paraId="6DE6D38F">
            <w:pPr>
              <w:rPr>
                <w:rFonts w:ascii="Arial"/>
                <w:sz w:val="21"/>
              </w:rPr>
            </w:pPr>
          </w:p>
        </w:tc>
        <w:tc>
          <w:tcPr>
            <w:tcW w:w="1063" w:type="dxa"/>
            <w:vAlign w:val="top"/>
          </w:tcPr>
          <w:p w14:paraId="3616A232">
            <w:pPr>
              <w:rPr>
                <w:rFonts w:ascii="Arial"/>
                <w:sz w:val="21"/>
              </w:rPr>
            </w:pPr>
          </w:p>
        </w:tc>
        <w:tc>
          <w:tcPr>
            <w:tcW w:w="1062" w:type="dxa"/>
            <w:vAlign w:val="top"/>
          </w:tcPr>
          <w:p w14:paraId="164ED91A">
            <w:pPr>
              <w:rPr>
                <w:rFonts w:ascii="Arial"/>
                <w:sz w:val="21"/>
              </w:rPr>
            </w:pPr>
          </w:p>
        </w:tc>
        <w:tc>
          <w:tcPr>
            <w:tcW w:w="1062" w:type="dxa"/>
            <w:vAlign w:val="top"/>
          </w:tcPr>
          <w:p w14:paraId="509DD185">
            <w:pPr>
              <w:rPr>
                <w:rFonts w:ascii="Arial"/>
                <w:sz w:val="21"/>
              </w:rPr>
            </w:pPr>
          </w:p>
        </w:tc>
        <w:tc>
          <w:tcPr>
            <w:tcW w:w="1067" w:type="dxa"/>
            <w:vAlign w:val="top"/>
          </w:tcPr>
          <w:p w14:paraId="33B37B36">
            <w:pPr>
              <w:rPr>
                <w:rFonts w:ascii="Arial"/>
                <w:sz w:val="21"/>
              </w:rPr>
            </w:pPr>
          </w:p>
        </w:tc>
      </w:tr>
      <w:tr w14:paraId="223BE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36AB8658">
            <w:pPr>
              <w:rPr>
                <w:rFonts w:ascii="Arial"/>
                <w:sz w:val="21"/>
              </w:rPr>
            </w:pPr>
          </w:p>
        </w:tc>
        <w:tc>
          <w:tcPr>
            <w:tcW w:w="1417" w:type="dxa"/>
            <w:vAlign w:val="top"/>
          </w:tcPr>
          <w:p w14:paraId="7E3AC3B8">
            <w:pPr>
              <w:rPr>
                <w:rFonts w:ascii="Arial"/>
                <w:sz w:val="21"/>
              </w:rPr>
            </w:pPr>
          </w:p>
        </w:tc>
        <w:tc>
          <w:tcPr>
            <w:tcW w:w="1062" w:type="dxa"/>
            <w:vAlign w:val="top"/>
          </w:tcPr>
          <w:p w14:paraId="2B32968F">
            <w:pPr>
              <w:rPr>
                <w:rFonts w:ascii="Arial"/>
                <w:sz w:val="21"/>
              </w:rPr>
            </w:pPr>
          </w:p>
        </w:tc>
        <w:tc>
          <w:tcPr>
            <w:tcW w:w="1062" w:type="dxa"/>
            <w:vAlign w:val="top"/>
          </w:tcPr>
          <w:p w14:paraId="2D8CD0E3">
            <w:pPr>
              <w:rPr>
                <w:rFonts w:ascii="Arial"/>
                <w:sz w:val="21"/>
              </w:rPr>
            </w:pPr>
          </w:p>
        </w:tc>
        <w:tc>
          <w:tcPr>
            <w:tcW w:w="1063" w:type="dxa"/>
            <w:vAlign w:val="top"/>
          </w:tcPr>
          <w:p w14:paraId="51BC8837">
            <w:pPr>
              <w:rPr>
                <w:rFonts w:ascii="Arial"/>
                <w:sz w:val="21"/>
              </w:rPr>
            </w:pPr>
          </w:p>
        </w:tc>
        <w:tc>
          <w:tcPr>
            <w:tcW w:w="1062" w:type="dxa"/>
            <w:vAlign w:val="top"/>
          </w:tcPr>
          <w:p w14:paraId="42166166">
            <w:pPr>
              <w:rPr>
                <w:rFonts w:ascii="Arial"/>
                <w:sz w:val="21"/>
              </w:rPr>
            </w:pPr>
          </w:p>
        </w:tc>
        <w:tc>
          <w:tcPr>
            <w:tcW w:w="1062" w:type="dxa"/>
            <w:vAlign w:val="top"/>
          </w:tcPr>
          <w:p w14:paraId="2E011EA0">
            <w:pPr>
              <w:rPr>
                <w:rFonts w:ascii="Arial"/>
                <w:sz w:val="21"/>
              </w:rPr>
            </w:pPr>
          </w:p>
        </w:tc>
        <w:tc>
          <w:tcPr>
            <w:tcW w:w="1067" w:type="dxa"/>
            <w:vAlign w:val="top"/>
          </w:tcPr>
          <w:p w14:paraId="6957CFA8">
            <w:pPr>
              <w:rPr>
                <w:rFonts w:ascii="Arial"/>
                <w:sz w:val="21"/>
              </w:rPr>
            </w:pPr>
          </w:p>
        </w:tc>
      </w:tr>
      <w:tr w14:paraId="1B488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5CAD88F2">
            <w:pPr>
              <w:rPr>
                <w:rFonts w:ascii="Arial"/>
                <w:sz w:val="21"/>
              </w:rPr>
            </w:pPr>
          </w:p>
        </w:tc>
        <w:tc>
          <w:tcPr>
            <w:tcW w:w="1417" w:type="dxa"/>
            <w:vAlign w:val="top"/>
          </w:tcPr>
          <w:p w14:paraId="114B8639">
            <w:pPr>
              <w:rPr>
                <w:rFonts w:ascii="Arial"/>
                <w:sz w:val="21"/>
              </w:rPr>
            </w:pPr>
          </w:p>
        </w:tc>
        <w:tc>
          <w:tcPr>
            <w:tcW w:w="1062" w:type="dxa"/>
            <w:vAlign w:val="top"/>
          </w:tcPr>
          <w:p w14:paraId="4A6CF371">
            <w:pPr>
              <w:rPr>
                <w:rFonts w:ascii="Arial"/>
                <w:sz w:val="21"/>
              </w:rPr>
            </w:pPr>
          </w:p>
        </w:tc>
        <w:tc>
          <w:tcPr>
            <w:tcW w:w="1062" w:type="dxa"/>
            <w:vAlign w:val="top"/>
          </w:tcPr>
          <w:p w14:paraId="38ACF7F5">
            <w:pPr>
              <w:rPr>
                <w:rFonts w:ascii="Arial"/>
                <w:sz w:val="21"/>
              </w:rPr>
            </w:pPr>
          </w:p>
        </w:tc>
        <w:tc>
          <w:tcPr>
            <w:tcW w:w="1063" w:type="dxa"/>
            <w:vAlign w:val="top"/>
          </w:tcPr>
          <w:p w14:paraId="6B29D6A7">
            <w:pPr>
              <w:rPr>
                <w:rFonts w:ascii="Arial"/>
                <w:sz w:val="21"/>
              </w:rPr>
            </w:pPr>
          </w:p>
        </w:tc>
        <w:tc>
          <w:tcPr>
            <w:tcW w:w="1062" w:type="dxa"/>
            <w:vAlign w:val="top"/>
          </w:tcPr>
          <w:p w14:paraId="51C58947">
            <w:pPr>
              <w:rPr>
                <w:rFonts w:ascii="Arial"/>
                <w:sz w:val="21"/>
              </w:rPr>
            </w:pPr>
          </w:p>
        </w:tc>
        <w:tc>
          <w:tcPr>
            <w:tcW w:w="1062" w:type="dxa"/>
            <w:vAlign w:val="top"/>
          </w:tcPr>
          <w:p w14:paraId="304AEC2A">
            <w:pPr>
              <w:rPr>
                <w:rFonts w:ascii="Arial"/>
                <w:sz w:val="21"/>
              </w:rPr>
            </w:pPr>
          </w:p>
        </w:tc>
        <w:tc>
          <w:tcPr>
            <w:tcW w:w="1067" w:type="dxa"/>
            <w:vAlign w:val="top"/>
          </w:tcPr>
          <w:p w14:paraId="29A1C671">
            <w:pPr>
              <w:rPr>
                <w:rFonts w:ascii="Arial"/>
                <w:sz w:val="21"/>
              </w:rPr>
            </w:pPr>
          </w:p>
        </w:tc>
      </w:tr>
      <w:tr w14:paraId="49E64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0DF52EE8">
            <w:pPr>
              <w:rPr>
                <w:rFonts w:ascii="Arial"/>
                <w:sz w:val="21"/>
              </w:rPr>
            </w:pPr>
          </w:p>
        </w:tc>
        <w:tc>
          <w:tcPr>
            <w:tcW w:w="1417" w:type="dxa"/>
            <w:vAlign w:val="top"/>
          </w:tcPr>
          <w:p w14:paraId="244C9746">
            <w:pPr>
              <w:rPr>
                <w:rFonts w:ascii="Arial"/>
                <w:sz w:val="21"/>
              </w:rPr>
            </w:pPr>
          </w:p>
        </w:tc>
        <w:tc>
          <w:tcPr>
            <w:tcW w:w="1062" w:type="dxa"/>
            <w:vAlign w:val="top"/>
          </w:tcPr>
          <w:p w14:paraId="7FD12A30">
            <w:pPr>
              <w:rPr>
                <w:rFonts w:ascii="Arial"/>
                <w:sz w:val="21"/>
              </w:rPr>
            </w:pPr>
          </w:p>
        </w:tc>
        <w:tc>
          <w:tcPr>
            <w:tcW w:w="1062" w:type="dxa"/>
            <w:vAlign w:val="top"/>
          </w:tcPr>
          <w:p w14:paraId="7F7CDE0D">
            <w:pPr>
              <w:rPr>
                <w:rFonts w:ascii="Arial"/>
                <w:sz w:val="21"/>
              </w:rPr>
            </w:pPr>
          </w:p>
        </w:tc>
        <w:tc>
          <w:tcPr>
            <w:tcW w:w="1063" w:type="dxa"/>
            <w:vAlign w:val="top"/>
          </w:tcPr>
          <w:p w14:paraId="756B8990">
            <w:pPr>
              <w:rPr>
                <w:rFonts w:ascii="Arial"/>
                <w:sz w:val="21"/>
              </w:rPr>
            </w:pPr>
          </w:p>
        </w:tc>
        <w:tc>
          <w:tcPr>
            <w:tcW w:w="1062" w:type="dxa"/>
            <w:vAlign w:val="top"/>
          </w:tcPr>
          <w:p w14:paraId="3030FE74">
            <w:pPr>
              <w:rPr>
                <w:rFonts w:ascii="Arial"/>
                <w:sz w:val="21"/>
              </w:rPr>
            </w:pPr>
          </w:p>
        </w:tc>
        <w:tc>
          <w:tcPr>
            <w:tcW w:w="1062" w:type="dxa"/>
            <w:vAlign w:val="top"/>
          </w:tcPr>
          <w:p w14:paraId="518E20CD">
            <w:pPr>
              <w:rPr>
                <w:rFonts w:ascii="Arial"/>
                <w:sz w:val="21"/>
              </w:rPr>
            </w:pPr>
          </w:p>
        </w:tc>
        <w:tc>
          <w:tcPr>
            <w:tcW w:w="1067" w:type="dxa"/>
            <w:vAlign w:val="top"/>
          </w:tcPr>
          <w:p w14:paraId="0BED9388">
            <w:pPr>
              <w:rPr>
                <w:rFonts w:ascii="Arial"/>
                <w:sz w:val="21"/>
              </w:rPr>
            </w:pPr>
          </w:p>
        </w:tc>
      </w:tr>
      <w:tr w14:paraId="0B7C9E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0710ED2C">
            <w:pPr>
              <w:rPr>
                <w:rFonts w:ascii="Arial"/>
                <w:sz w:val="21"/>
              </w:rPr>
            </w:pPr>
          </w:p>
        </w:tc>
        <w:tc>
          <w:tcPr>
            <w:tcW w:w="1417" w:type="dxa"/>
            <w:vAlign w:val="top"/>
          </w:tcPr>
          <w:p w14:paraId="4185BBBB">
            <w:pPr>
              <w:rPr>
                <w:rFonts w:ascii="Arial"/>
                <w:sz w:val="21"/>
              </w:rPr>
            </w:pPr>
          </w:p>
        </w:tc>
        <w:tc>
          <w:tcPr>
            <w:tcW w:w="1062" w:type="dxa"/>
            <w:vAlign w:val="top"/>
          </w:tcPr>
          <w:p w14:paraId="7A6CF832">
            <w:pPr>
              <w:rPr>
                <w:rFonts w:ascii="Arial"/>
                <w:sz w:val="21"/>
              </w:rPr>
            </w:pPr>
          </w:p>
        </w:tc>
        <w:tc>
          <w:tcPr>
            <w:tcW w:w="1062" w:type="dxa"/>
            <w:vAlign w:val="top"/>
          </w:tcPr>
          <w:p w14:paraId="0014CFE8">
            <w:pPr>
              <w:rPr>
                <w:rFonts w:ascii="Arial"/>
                <w:sz w:val="21"/>
              </w:rPr>
            </w:pPr>
          </w:p>
        </w:tc>
        <w:tc>
          <w:tcPr>
            <w:tcW w:w="1063" w:type="dxa"/>
            <w:vAlign w:val="top"/>
          </w:tcPr>
          <w:p w14:paraId="03132DB3">
            <w:pPr>
              <w:rPr>
                <w:rFonts w:ascii="Arial"/>
                <w:sz w:val="21"/>
              </w:rPr>
            </w:pPr>
          </w:p>
        </w:tc>
        <w:tc>
          <w:tcPr>
            <w:tcW w:w="1062" w:type="dxa"/>
            <w:vAlign w:val="top"/>
          </w:tcPr>
          <w:p w14:paraId="749EA638">
            <w:pPr>
              <w:rPr>
                <w:rFonts w:ascii="Arial"/>
                <w:sz w:val="21"/>
              </w:rPr>
            </w:pPr>
          </w:p>
        </w:tc>
        <w:tc>
          <w:tcPr>
            <w:tcW w:w="1062" w:type="dxa"/>
            <w:vAlign w:val="top"/>
          </w:tcPr>
          <w:p w14:paraId="6D4056C1">
            <w:pPr>
              <w:rPr>
                <w:rFonts w:ascii="Arial"/>
                <w:sz w:val="21"/>
              </w:rPr>
            </w:pPr>
          </w:p>
        </w:tc>
        <w:tc>
          <w:tcPr>
            <w:tcW w:w="1067" w:type="dxa"/>
            <w:vAlign w:val="top"/>
          </w:tcPr>
          <w:p w14:paraId="4ABBA2E6">
            <w:pPr>
              <w:rPr>
                <w:rFonts w:ascii="Arial"/>
                <w:sz w:val="21"/>
              </w:rPr>
            </w:pPr>
          </w:p>
        </w:tc>
      </w:tr>
      <w:tr w14:paraId="26ADE6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7921D519">
            <w:pPr>
              <w:rPr>
                <w:rFonts w:ascii="Arial"/>
                <w:sz w:val="21"/>
              </w:rPr>
            </w:pPr>
          </w:p>
        </w:tc>
        <w:tc>
          <w:tcPr>
            <w:tcW w:w="1417" w:type="dxa"/>
            <w:vAlign w:val="top"/>
          </w:tcPr>
          <w:p w14:paraId="69D0B9EA">
            <w:pPr>
              <w:rPr>
                <w:rFonts w:ascii="Arial"/>
                <w:sz w:val="21"/>
              </w:rPr>
            </w:pPr>
          </w:p>
        </w:tc>
        <w:tc>
          <w:tcPr>
            <w:tcW w:w="1062" w:type="dxa"/>
            <w:vAlign w:val="top"/>
          </w:tcPr>
          <w:p w14:paraId="433FA796">
            <w:pPr>
              <w:rPr>
                <w:rFonts w:ascii="Arial"/>
                <w:sz w:val="21"/>
              </w:rPr>
            </w:pPr>
          </w:p>
        </w:tc>
        <w:tc>
          <w:tcPr>
            <w:tcW w:w="1062" w:type="dxa"/>
            <w:vAlign w:val="top"/>
          </w:tcPr>
          <w:p w14:paraId="0DAF4AAA">
            <w:pPr>
              <w:rPr>
                <w:rFonts w:ascii="Arial"/>
                <w:sz w:val="21"/>
              </w:rPr>
            </w:pPr>
          </w:p>
        </w:tc>
        <w:tc>
          <w:tcPr>
            <w:tcW w:w="1063" w:type="dxa"/>
            <w:vAlign w:val="top"/>
          </w:tcPr>
          <w:p w14:paraId="6A6FC187">
            <w:pPr>
              <w:rPr>
                <w:rFonts w:ascii="Arial"/>
                <w:sz w:val="21"/>
              </w:rPr>
            </w:pPr>
          </w:p>
        </w:tc>
        <w:tc>
          <w:tcPr>
            <w:tcW w:w="1062" w:type="dxa"/>
            <w:vAlign w:val="top"/>
          </w:tcPr>
          <w:p w14:paraId="604E29BF">
            <w:pPr>
              <w:rPr>
                <w:rFonts w:ascii="Arial"/>
                <w:sz w:val="21"/>
              </w:rPr>
            </w:pPr>
          </w:p>
        </w:tc>
        <w:tc>
          <w:tcPr>
            <w:tcW w:w="1062" w:type="dxa"/>
            <w:vAlign w:val="top"/>
          </w:tcPr>
          <w:p w14:paraId="2AB72B5D">
            <w:pPr>
              <w:rPr>
                <w:rFonts w:ascii="Arial"/>
                <w:sz w:val="21"/>
              </w:rPr>
            </w:pPr>
          </w:p>
        </w:tc>
        <w:tc>
          <w:tcPr>
            <w:tcW w:w="1067" w:type="dxa"/>
            <w:vAlign w:val="top"/>
          </w:tcPr>
          <w:p w14:paraId="6F5B3C3E">
            <w:pPr>
              <w:rPr>
                <w:rFonts w:ascii="Arial"/>
                <w:sz w:val="21"/>
              </w:rPr>
            </w:pPr>
          </w:p>
        </w:tc>
      </w:tr>
      <w:tr w14:paraId="4D424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35D91A99">
            <w:pPr>
              <w:rPr>
                <w:rFonts w:ascii="Arial"/>
                <w:sz w:val="21"/>
              </w:rPr>
            </w:pPr>
          </w:p>
        </w:tc>
        <w:tc>
          <w:tcPr>
            <w:tcW w:w="1417" w:type="dxa"/>
            <w:vAlign w:val="top"/>
          </w:tcPr>
          <w:p w14:paraId="4B999332">
            <w:pPr>
              <w:rPr>
                <w:rFonts w:ascii="Arial"/>
                <w:sz w:val="21"/>
              </w:rPr>
            </w:pPr>
          </w:p>
        </w:tc>
        <w:tc>
          <w:tcPr>
            <w:tcW w:w="1062" w:type="dxa"/>
            <w:vAlign w:val="top"/>
          </w:tcPr>
          <w:p w14:paraId="3BE4C7EB">
            <w:pPr>
              <w:rPr>
                <w:rFonts w:ascii="Arial"/>
                <w:sz w:val="21"/>
              </w:rPr>
            </w:pPr>
          </w:p>
        </w:tc>
        <w:tc>
          <w:tcPr>
            <w:tcW w:w="1062" w:type="dxa"/>
            <w:vAlign w:val="top"/>
          </w:tcPr>
          <w:p w14:paraId="184137C1">
            <w:pPr>
              <w:rPr>
                <w:rFonts w:ascii="Arial"/>
                <w:sz w:val="21"/>
              </w:rPr>
            </w:pPr>
          </w:p>
        </w:tc>
        <w:tc>
          <w:tcPr>
            <w:tcW w:w="1063" w:type="dxa"/>
            <w:vAlign w:val="top"/>
          </w:tcPr>
          <w:p w14:paraId="0113E84F">
            <w:pPr>
              <w:rPr>
                <w:rFonts w:ascii="Arial"/>
                <w:sz w:val="21"/>
              </w:rPr>
            </w:pPr>
          </w:p>
        </w:tc>
        <w:tc>
          <w:tcPr>
            <w:tcW w:w="1062" w:type="dxa"/>
            <w:vAlign w:val="top"/>
          </w:tcPr>
          <w:p w14:paraId="11804B52">
            <w:pPr>
              <w:rPr>
                <w:rFonts w:ascii="Arial"/>
                <w:sz w:val="21"/>
              </w:rPr>
            </w:pPr>
          </w:p>
        </w:tc>
        <w:tc>
          <w:tcPr>
            <w:tcW w:w="1062" w:type="dxa"/>
            <w:vAlign w:val="top"/>
          </w:tcPr>
          <w:p w14:paraId="5E231932">
            <w:pPr>
              <w:rPr>
                <w:rFonts w:ascii="Arial"/>
                <w:sz w:val="21"/>
              </w:rPr>
            </w:pPr>
          </w:p>
        </w:tc>
        <w:tc>
          <w:tcPr>
            <w:tcW w:w="1067" w:type="dxa"/>
            <w:vAlign w:val="top"/>
          </w:tcPr>
          <w:p w14:paraId="10730EBF">
            <w:pPr>
              <w:rPr>
                <w:rFonts w:ascii="Arial"/>
                <w:sz w:val="21"/>
              </w:rPr>
            </w:pPr>
          </w:p>
        </w:tc>
      </w:tr>
      <w:tr w14:paraId="5CC1930A">
        <w:tblPrEx>
          <w:tblCellMar>
            <w:top w:w="0" w:type="dxa"/>
            <w:left w:w="0" w:type="dxa"/>
            <w:bottom w:w="0" w:type="dxa"/>
            <w:right w:w="0" w:type="dxa"/>
          </w:tblCellMar>
        </w:tblPrEx>
        <w:trPr>
          <w:trHeight w:val="429" w:hRule="atLeast"/>
        </w:trPr>
        <w:tc>
          <w:tcPr>
            <w:tcW w:w="714" w:type="dxa"/>
            <w:vAlign w:val="top"/>
          </w:tcPr>
          <w:p w14:paraId="79E38EE4">
            <w:pPr>
              <w:rPr>
                <w:rFonts w:ascii="Arial"/>
                <w:sz w:val="21"/>
              </w:rPr>
            </w:pPr>
          </w:p>
        </w:tc>
        <w:tc>
          <w:tcPr>
            <w:tcW w:w="1417" w:type="dxa"/>
            <w:vAlign w:val="top"/>
          </w:tcPr>
          <w:p w14:paraId="6CE1E8D3">
            <w:pPr>
              <w:rPr>
                <w:rFonts w:ascii="Arial"/>
                <w:sz w:val="21"/>
              </w:rPr>
            </w:pPr>
          </w:p>
        </w:tc>
        <w:tc>
          <w:tcPr>
            <w:tcW w:w="1062" w:type="dxa"/>
            <w:vAlign w:val="top"/>
          </w:tcPr>
          <w:p w14:paraId="7E2AAB65">
            <w:pPr>
              <w:rPr>
                <w:rFonts w:ascii="Arial"/>
                <w:sz w:val="21"/>
              </w:rPr>
            </w:pPr>
          </w:p>
        </w:tc>
        <w:tc>
          <w:tcPr>
            <w:tcW w:w="1062" w:type="dxa"/>
            <w:vAlign w:val="top"/>
          </w:tcPr>
          <w:p w14:paraId="77DA6D6B">
            <w:pPr>
              <w:rPr>
                <w:rFonts w:ascii="Arial"/>
                <w:sz w:val="21"/>
              </w:rPr>
            </w:pPr>
          </w:p>
        </w:tc>
        <w:tc>
          <w:tcPr>
            <w:tcW w:w="1063" w:type="dxa"/>
            <w:vAlign w:val="top"/>
          </w:tcPr>
          <w:p w14:paraId="62582371">
            <w:pPr>
              <w:rPr>
                <w:rFonts w:ascii="Arial"/>
                <w:sz w:val="21"/>
              </w:rPr>
            </w:pPr>
          </w:p>
        </w:tc>
        <w:tc>
          <w:tcPr>
            <w:tcW w:w="1062" w:type="dxa"/>
            <w:vAlign w:val="top"/>
          </w:tcPr>
          <w:p w14:paraId="4F9D0DDF">
            <w:pPr>
              <w:rPr>
                <w:rFonts w:ascii="Arial"/>
                <w:sz w:val="21"/>
              </w:rPr>
            </w:pPr>
          </w:p>
        </w:tc>
        <w:tc>
          <w:tcPr>
            <w:tcW w:w="1062" w:type="dxa"/>
            <w:vAlign w:val="top"/>
          </w:tcPr>
          <w:p w14:paraId="55BCB160">
            <w:pPr>
              <w:rPr>
                <w:rFonts w:ascii="Arial"/>
                <w:sz w:val="21"/>
              </w:rPr>
            </w:pPr>
          </w:p>
        </w:tc>
        <w:tc>
          <w:tcPr>
            <w:tcW w:w="1067" w:type="dxa"/>
            <w:vAlign w:val="top"/>
          </w:tcPr>
          <w:p w14:paraId="267C62BD">
            <w:pPr>
              <w:rPr>
                <w:rFonts w:ascii="Arial"/>
                <w:sz w:val="21"/>
              </w:rPr>
            </w:pPr>
          </w:p>
        </w:tc>
      </w:tr>
      <w:tr w14:paraId="5F81E6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43444D90">
            <w:pPr>
              <w:rPr>
                <w:rFonts w:ascii="Arial"/>
                <w:sz w:val="21"/>
              </w:rPr>
            </w:pPr>
          </w:p>
        </w:tc>
        <w:tc>
          <w:tcPr>
            <w:tcW w:w="1417" w:type="dxa"/>
            <w:vAlign w:val="top"/>
          </w:tcPr>
          <w:p w14:paraId="7F8D7334">
            <w:pPr>
              <w:rPr>
                <w:rFonts w:ascii="Arial"/>
                <w:sz w:val="21"/>
              </w:rPr>
            </w:pPr>
          </w:p>
        </w:tc>
        <w:tc>
          <w:tcPr>
            <w:tcW w:w="1062" w:type="dxa"/>
            <w:vAlign w:val="top"/>
          </w:tcPr>
          <w:p w14:paraId="73AB1A10">
            <w:pPr>
              <w:rPr>
                <w:rFonts w:ascii="Arial"/>
                <w:sz w:val="21"/>
              </w:rPr>
            </w:pPr>
          </w:p>
        </w:tc>
        <w:tc>
          <w:tcPr>
            <w:tcW w:w="1062" w:type="dxa"/>
            <w:vAlign w:val="top"/>
          </w:tcPr>
          <w:p w14:paraId="274E824D">
            <w:pPr>
              <w:rPr>
                <w:rFonts w:ascii="Arial"/>
                <w:sz w:val="21"/>
              </w:rPr>
            </w:pPr>
          </w:p>
        </w:tc>
        <w:tc>
          <w:tcPr>
            <w:tcW w:w="1063" w:type="dxa"/>
            <w:vAlign w:val="top"/>
          </w:tcPr>
          <w:p w14:paraId="0895734B">
            <w:pPr>
              <w:rPr>
                <w:rFonts w:ascii="Arial"/>
                <w:sz w:val="21"/>
              </w:rPr>
            </w:pPr>
          </w:p>
        </w:tc>
        <w:tc>
          <w:tcPr>
            <w:tcW w:w="1062" w:type="dxa"/>
            <w:vAlign w:val="top"/>
          </w:tcPr>
          <w:p w14:paraId="3F079AFD">
            <w:pPr>
              <w:rPr>
                <w:rFonts w:ascii="Arial"/>
                <w:sz w:val="21"/>
              </w:rPr>
            </w:pPr>
          </w:p>
        </w:tc>
        <w:tc>
          <w:tcPr>
            <w:tcW w:w="1062" w:type="dxa"/>
            <w:vAlign w:val="top"/>
          </w:tcPr>
          <w:p w14:paraId="6623410A">
            <w:pPr>
              <w:rPr>
                <w:rFonts w:ascii="Arial"/>
                <w:sz w:val="21"/>
              </w:rPr>
            </w:pPr>
          </w:p>
        </w:tc>
        <w:tc>
          <w:tcPr>
            <w:tcW w:w="1067" w:type="dxa"/>
            <w:vAlign w:val="top"/>
          </w:tcPr>
          <w:p w14:paraId="7F30AF28">
            <w:pPr>
              <w:rPr>
                <w:rFonts w:ascii="Arial"/>
                <w:sz w:val="21"/>
              </w:rPr>
            </w:pPr>
          </w:p>
        </w:tc>
      </w:tr>
      <w:tr w14:paraId="735BD0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664D0ACD">
            <w:pPr>
              <w:rPr>
                <w:rFonts w:ascii="Arial"/>
                <w:sz w:val="21"/>
              </w:rPr>
            </w:pPr>
          </w:p>
        </w:tc>
        <w:tc>
          <w:tcPr>
            <w:tcW w:w="1417" w:type="dxa"/>
            <w:vAlign w:val="top"/>
          </w:tcPr>
          <w:p w14:paraId="076EFEF7">
            <w:pPr>
              <w:rPr>
                <w:rFonts w:ascii="Arial"/>
                <w:sz w:val="21"/>
              </w:rPr>
            </w:pPr>
          </w:p>
        </w:tc>
        <w:tc>
          <w:tcPr>
            <w:tcW w:w="1062" w:type="dxa"/>
            <w:vAlign w:val="top"/>
          </w:tcPr>
          <w:p w14:paraId="524F0D5C">
            <w:pPr>
              <w:rPr>
                <w:rFonts w:ascii="Arial"/>
                <w:sz w:val="21"/>
              </w:rPr>
            </w:pPr>
          </w:p>
        </w:tc>
        <w:tc>
          <w:tcPr>
            <w:tcW w:w="1062" w:type="dxa"/>
            <w:vAlign w:val="top"/>
          </w:tcPr>
          <w:p w14:paraId="60CACE57">
            <w:pPr>
              <w:rPr>
                <w:rFonts w:ascii="Arial"/>
                <w:sz w:val="21"/>
              </w:rPr>
            </w:pPr>
          </w:p>
        </w:tc>
        <w:tc>
          <w:tcPr>
            <w:tcW w:w="1063" w:type="dxa"/>
            <w:vAlign w:val="top"/>
          </w:tcPr>
          <w:p w14:paraId="2FDC275A">
            <w:pPr>
              <w:rPr>
                <w:rFonts w:ascii="Arial"/>
                <w:sz w:val="21"/>
              </w:rPr>
            </w:pPr>
          </w:p>
        </w:tc>
        <w:tc>
          <w:tcPr>
            <w:tcW w:w="1062" w:type="dxa"/>
            <w:vAlign w:val="top"/>
          </w:tcPr>
          <w:p w14:paraId="41A5CB7C">
            <w:pPr>
              <w:rPr>
                <w:rFonts w:ascii="Arial"/>
                <w:sz w:val="21"/>
              </w:rPr>
            </w:pPr>
          </w:p>
        </w:tc>
        <w:tc>
          <w:tcPr>
            <w:tcW w:w="1062" w:type="dxa"/>
            <w:vAlign w:val="top"/>
          </w:tcPr>
          <w:p w14:paraId="3593F6BE">
            <w:pPr>
              <w:rPr>
                <w:rFonts w:ascii="Arial"/>
                <w:sz w:val="21"/>
              </w:rPr>
            </w:pPr>
          </w:p>
        </w:tc>
        <w:tc>
          <w:tcPr>
            <w:tcW w:w="1067" w:type="dxa"/>
            <w:vAlign w:val="top"/>
          </w:tcPr>
          <w:p w14:paraId="50D40005">
            <w:pPr>
              <w:rPr>
                <w:rFonts w:ascii="Arial"/>
                <w:sz w:val="21"/>
              </w:rPr>
            </w:pPr>
          </w:p>
        </w:tc>
      </w:tr>
      <w:tr w14:paraId="57494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5E2B255B">
            <w:pPr>
              <w:rPr>
                <w:rFonts w:ascii="Arial"/>
                <w:sz w:val="21"/>
              </w:rPr>
            </w:pPr>
          </w:p>
        </w:tc>
        <w:tc>
          <w:tcPr>
            <w:tcW w:w="1417" w:type="dxa"/>
            <w:vAlign w:val="top"/>
          </w:tcPr>
          <w:p w14:paraId="79C03CC4">
            <w:pPr>
              <w:rPr>
                <w:rFonts w:ascii="Arial"/>
                <w:sz w:val="21"/>
              </w:rPr>
            </w:pPr>
          </w:p>
        </w:tc>
        <w:tc>
          <w:tcPr>
            <w:tcW w:w="1062" w:type="dxa"/>
            <w:vAlign w:val="top"/>
          </w:tcPr>
          <w:p w14:paraId="4020BCD4">
            <w:pPr>
              <w:rPr>
                <w:rFonts w:ascii="Arial"/>
                <w:sz w:val="21"/>
              </w:rPr>
            </w:pPr>
          </w:p>
        </w:tc>
        <w:tc>
          <w:tcPr>
            <w:tcW w:w="1062" w:type="dxa"/>
            <w:vAlign w:val="top"/>
          </w:tcPr>
          <w:p w14:paraId="35177CFF">
            <w:pPr>
              <w:rPr>
                <w:rFonts w:ascii="Arial"/>
                <w:sz w:val="21"/>
              </w:rPr>
            </w:pPr>
          </w:p>
        </w:tc>
        <w:tc>
          <w:tcPr>
            <w:tcW w:w="1063" w:type="dxa"/>
            <w:vAlign w:val="top"/>
          </w:tcPr>
          <w:p w14:paraId="2D0CDBE2">
            <w:pPr>
              <w:rPr>
                <w:rFonts w:ascii="Arial"/>
                <w:sz w:val="21"/>
              </w:rPr>
            </w:pPr>
          </w:p>
        </w:tc>
        <w:tc>
          <w:tcPr>
            <w:tcW w:w="1062" w:type="dxa"/>
            <w:vAlign w:val="top"/>
          </w:tcPr>
          <w:p w14:paraId="4E9AEB41">
            <w:pPr>
              <w:rPr>
                <w:rFonts w:ascii="Arial"/>
                <w:sz w:val="21"/>
              </w:rPr>
            </w:pPr>
          </w:p>
        </w:tc>
        <w:tc>
          <w:tcPr>
            <w:tcW w:w="1062" w:type="dxa"/>
            <w:vAlign w:val="top"/>
          </w:tcPr>
          <w:p w14:paraId="522092E1">
            <w:pPr>
              <w:rPr>
                <w:rFonts w:ascii="Arial"/>
                <w:sz w:val="21"/>
              </w:rPr>
            </w:pPr>
          </w:p>
        </w:tc>
        <w:tc>
          <w:tcPr>
            <w:tcW w:w="1067" w:type="dxa"/>
            <w:vAlign w:val="top"/>
          </w:tcPr>
          <w:p w14:paraId="1B810233">
            <w:pPr>
              <w:rPr>
                <w:rFonts w:ascii="Arial"/>
                <w:sz w:val="21"/>
              </w:rPr>
            </w:pPr>
          </w:p>
        </w:tc>
      </w:tr>
      <w:tr w14:paraId="61C89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1B7191D1">
            <w:pPr>
              <w:rPr>
                <w:rFonts w:ascii="Arial"/>
                <w:sz w:val="21"/>
              </w:rPr>
            </w:pPr>
          </w:p>
        </w:tc>
        <w:tc>
          <w:tcPr>
            <w:tcW w:w="1417" w:type="dxa"/>
            <w:vAlign w:val="top"/>
          </w:tcPr>
          <w:p w14:paraId="7A2F67C9">
            <w:pPr>
              <w:rPr>
                <w:rFonts w:ascii="Arial"/>
                <w:sz w:val="21"/>
              </w:rPr>
            </w:pPr>
          </w:p>
        </w:tc>
        <w:tc>
          <w:tcPr>
            <w:tcW w:w="1062" w:type="dxa"/>
            <w:vAlign w:val="top"/>
          </w:tcPr>
          <w:p w14:paraId="06371396">
            <w:pPr>
              <w:rPr>
                <w:rFonts w:ascii="Arial"/>
                <w:sz w:val="21"/>
              </w:rPr>
            </w:pPr>
          </w:p>
        </w:tc>
        <w:tc>
          <w:tcPr>
            <w:tcW w:w="1062" w:type="dxa"/>
            <w:vAlign w:val="top"/>
          </w:tcPr>
          <w:p w14:paraId="4630F3C1">
            <w:pPr>
              <w:rPr>
                <w:rFonts w:ascii="Arial"/>
                <w:sz w:val="21"/>
              </w:rPr>
            </w:pPr>
          </w:p>
        </w:tc>
        <w:tc>
          <w:tcPr>
            <w:tcW w:w="1063" w:type="dxa"/>
            <w:vAlign w:val="top"/>
          </w:tcPr>
          <w:p w14:paraId="05F7459A">
            <w:pPr>
              <w:rPr>
                <w:rFonts w:ascii="Arial"/>
                <w:sz w:val="21"/>
              </w:rPr>
            </w:pPr>
          </w:p>
        </w:tc>
        <w:tc>
          <w:tcPr>
            <w:tcW w:w="1062" w:type="dxa"/>
            <w:vAlign w:val="top"/>
          </w:tcPr>
          <w:p w14:paraId="05BAB17C">
            <w:pPr>
              <w:rPr>
                <w:rFonts w:ascii="Arial"/>
                <w:sz w:val="21"/>
              </w:rPr>
            </w:pPr>
          </w:p>
        </w:tc>
        <w:tc>
          <w:tcPr>
            <w:tcW w:w="1062" w:type="dxa"/>
            <w:vAlign w:val="top"/>
          </w:tcPr>
          <w:p w14:paraId="5E067B3B">
            <w:pPr>
              <w:rPr>
                <w:rFonts w:ascii="Arial"/>
                <w:sz w:val="21"/>
              </w:rPr>
            </w:pPr>
          </w:p>
        </w:tc>
        <w:tc>
          <w:tcPr>
            <w:tcW w:w="1067" w:type="dxa"/>
            <w:vAlign w:val="top"/>
          </w:tcPr>
          <w:p w14:paraId="60919EEF">
            <w:pPr>
              <w:rPr>
                <w:rFonts w:ascii="Arial"/>
                <w:sz w:val="21"/>
              </w:rPr>
            </w:pPr>
          </w:p>
        </w:tc>
      </w:tr>
      <w:tr w14:paraId="4C8C9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64273F8B">
            <w:pPr>
              <w:rPr>
                <w:rFonts w:ascii="Arial"/>
                <w:sz w:val="21"/>
              </w:rPr>
            </w:pPr>
          </w:p>
        </w:tc>
        <w:tc>
          <w:tcPr>
            <w:tcW w:w="1417" w:type="dxa"/>
            <w:vAlign w:val="top"/>
          </w:tcPr>
          <w:p w14:paraId="0C027862">
            <w:pPr>
              <w:rPr>
                <w:rFonts w:ascii="Arial"/>
                <w:sz w:val="21"/>
              </w:rPr>
            </w:pPr>
          </w:p>
        </w:tc>
        <w:tc>
          <w:tcPr>
            <w:tcW w:w="1062" w:type="dxa"/>
            <w:vAlign w:val="top"/>
          </w:tcPr>
          <w:p w14:paraId="168D8977">
            <w:pPr>
              <w:rPr>
                <w:rFonts w:ascii="Arial"/>
                <w:sz w:val="21"/>
              </w:rPr>
            </w:pPr>
          </w:p>
        </w:tc>
        <w:tc>
          <w:tcPr>
            <w:tcW w:w="1062" w:type="dxa"/>
            <w:vAlign w:val="top"/>
          </w:tcPr>
          <w:p w14:paraId="16CB3F42">
            <w:pPr>
              <w:rPr>
                <w:rFonts w:ascii="Arial"/>
                <w:sz w:val="21"/>
              </w:rPr>
            </w:pPr>
          </w:p>
        </w:tc>
        <w:tc>
          <w:tcPr>
            <w:tcW w:w="1063" w:type="dxa"/>
            <w:vAlign w:val="top"/>
          </w:tcPr>
          <w:p w14:paraId="181B4B05">
            <w:pPr>
              <w:rPr>
                <w:rFonts w:ascii="Arial"/>
                <w:sz w:val="21"/>
              </w:rPr>
            </w:pPr>
          </w:p>
        </w:tc>
        <w:tc>
          <w:tcPr>
            <w:tcW w:w="1062" w:type="dxa"/>
            <w:vAlign w:val="top"/>
          </w:tcPr>
          <w:p w14:paraId="11F7E721">
            <w:pPr>
              <w:rPr>
                <w:rFonts w:ascii="Arial"/>
                <w:sz w:val="21"/>
              </w:rPr>
            </w:pPr>
          </w:p>
        </w:tc>
        <w:tc>
          <w:tcPr>
            <w:tcW w:w="1062" w:type="dxa"/>
            <w:vAlign w:val="top"/>
          </w:tcPr>
          <w:p w14:paraId="3487541E">
            <w:pPr>
              <w:rPr>
                <w:rFonts w:ascii="Arial"/>
                <w:sz w:val="21"/>
              </w:rPr>
            </w:pPr>
          </w:p>
        </w:tc>
        <w:tc>
          <w:tcPr>
            <w:tcW w:w="1067" w:type="dxa"/>
            <w:vAlign w:val="top"/>
          </w:tcPr>
          <w:p w14:paraId="22E3FDFC">
            <w:pPr>
              <w:rPr>
                <w:rFonts w:ascii="Arial"/>
                <w:sz w:val="21"/>
              </w:rPr>
            </w:pPr>
          </w:p>
        </w:tc>
      </w:tr>
      <w:tr w14:paraId="53EC4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40FA117F">
            <w:pPr>
              <w:rPr>
                <w:rFonts w:ascii="Arial"/>
                <w:sz w:val="21"/>
              </w:rPr>
            </w:pPr>
          </w:p>
        </w:tc>
        <w:tc>
          <w:tcPr>
            <w:tcW w:w="1417" w:type="dxa"/>
            <w:vAlign w:val="top"/>
          </w:tcPr>
          <w:p w14:paraId="15F22A56">
            <w:pPr>
              <w:rPr>
                <w:rFonts w:ascii="Arial"/>
                <w:sz w:val="21"/>
              </w:rPr>
            </w:pPr>
          </w:p>
        </w:tc>
        <w:tc>
          <w:tcPr>
            <w:tcW w:w="1062" w:type="dxa"/>
            <w:vAlign w:val="top"/>
          </w:tcPr>
          <w:p w14:paraId="36605F0B">
            <w:pPr>
              <w:rPr>
                <w:rFonts w:ascii="Arial"/>
                <w:sz w:val="21"/>
              </w:rPr>
            </w:pPr>
          </w:p>
        </w:tc>
        <w:tc>
          <w:tcPr>
            <w:tcW w:w="1062" w:type="dxa"/>
            <w:vAlign w:val="top"/>
          </w:tcPr>
          <w:p w14:paraId="0F456EDC">
            <w:pPr>
              <w:rPr>
                <w:rFonts w:ascii="Arial"/>
                <w:sz w:val="21"/>
              </w:rPr>
            </w:pPr>
          </w:p>
        </w:tc>
        <w:tc>
          <w:tcPr>
            <w:tcW w:w="1063" w:type="dxa"/>
            <w:vAlign w:val="top"/>
          </w:tcPr>
          <w:p w14:paraId="38B3D748">
            <w:pPr>
              <w:rPr>
                <w:rFonts w:ascii="Arial"/>
                <w:sz w:val="21"/>
              </w:rPr>
            </w:pPr>
          </w:p>
        </w:tc>
        <w:tc>
          <w:tcPr>
            <w:tcW w:w="1062" w:type="dxa"/>
            <w:vAlign w:val="top"/>
          </w:tcPr>
          <w:p w14:paraId="61B2C534">
            <w:pPr>
              <w:rPr>
                <w:rFonts w:ascii="Arial"/>
                <w:sz w:val="21"/>
              </w:rPr>
            </w:pPr>
          </w:p>
        </w:tc>
        <w:tc>
          <w:tcPr>
            <w:tcW w:w="1062" w:type="dxa"/>
            <w:vAlign w:val="top"/>
          </w:tcPr>
          <w:p w14:paraId="53BAC176">
            <w:pPr>
              <w:rPr>
                <w:rFonts w:ascii="Arial"/>
                <w:sz w:val="21"/>
              </w:rPr>
            </w:pPr>
          </w:p>
        </w:tc>
        <w:tc>
          <w:tcPr>
            <w:tcW w:w="1067" w:type="dxa"/>
            <w:vAlign w:val="top"/>
          </w:tcPr>
          <w:p w14:paraId="653C2045">
            <w:pPr>
              <w:rPr>
                <w:rFonts w:ascii="Arial"/>
                <w:sz w:val="21"/>
              </w:rPr>
            </w:pPr>
          </w:p>
        </w:tc>
      </w:tr>
      <w:tr w14:paraId="7D768B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3234462F">
            <w:pPr>
              <w:rPr>
                <w:rFonts w:ascii="Arial"/>
                <w:sz w:val="21"/>
              </w:rPr>
            </w:pPr>
          </w:p>
        </w:tc>
        <w:tc>
          <w:tcPr>
            <w:tcW w:w="1417" w:type="dxa"/>
            <w:vAlign w:val="top"/>
          </w:tcPr>
          <w:p w14:paraId="1FFCEC57">
            <w:pPr>
              <w:rPr>
                <w:rFonts w:ascii="Arial"/>
                <w:sz w:val="21"/>
              </w:rPr>
            </w:pPr>
          </w:p>
        </w:tc>
        <w:tc>
          <w:tcPr>
            <w:tcW w:w="1062" w:type="dxa"/>
            <w:vAlign w:val="top"/>
          </w:tcPr>
          <w:p w14:paraId="2FAC80A2">
            <w:pPr>
              <w:rPr>
                <w:rFonts w:ascii="Arial"/>
                <w:sz w:val="21"/>
              </w:rPr>
            </w:pPr>
          </w:p>
        </w:tc>
        <w:tc>
          <w:tcPr>
            <w:tcW w:w="1062" w:type="dxa"/>
            <w:vAlign w:val="top"/>
          </w:tcPr>
          <w:p w14:paraId="60C0E5D3">
            <w:pPr>
              <w:rPr>
                <w:rFonts w:ascii="Arial"/>
                <w:sz w:val="21"/>
              </w:rPr>
            </w:pPr>
          </w:p>
        </w:tc>
        <w:tc>
          <w:tcPr>
            <w:tcW w:w="1063" w:type="dxa"/>
            <w:vAlign w:val="top"/>
          </w:tcPr>
          <w:p w14:paraId="032D1BFD">
            <w:pPr>
              <w:rPr>
                <w:rFonts w:ascii="Arial"/>
                <w:sz w:val="21"/>
              </w:rPr>
            </w:pPr>
          </w:p>
        </w:tc>
        <w:tc>
          <w:tcPr>
            <w:tcW w:w="1062" w:type="dxa"/>
            <w:vAlign w:val="top"/>
          </w:tcPr>
          <w:p w14:paraId="695C8AC9">
            <w:pPr>
              <w:rPr>
                <w:rFonts w:ascii="Arial"/>
                <w:sz w:val="21"/>
              </w:rPr>
            </w:pPr>
          </w:p>
        </w:tc>
        <w:tc>
          <w:tcPr>
            <w:tcW w:w="1062" w:type="dxa"/>
            <w:vAlign w:val="top"/>
          </w:tcPr>
          <w:p w14:paraId="3D802AF4">
            <w:pPr>
              <w:rPr>
                <w:rFonts w:ascii="Arial"/>
                <w:sz w:val="21"/>
              </w:rPr>
            </w:pPr>
          </w:p>
        </w:tc>
        <w:tc>
          <w:tcPr>
            <w:tcW w:w="1067" w:type="dxa"/>
            <w:vAlign w:val="top"/>
          </w:tcPr>
          <w:p w14:paraId="30A3536B">
            <w:pPr>
              <w:rPr>
                <w:rFonts w:ascii="Arial"/>
                <w:sz w:val="21"/>
              </w:rPr>
            </w:pPr>
          </w:p>
        </w:tc>
      </w:tr>
      <w:tr w14:paraId="702EBD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64B4C118">
            <w:pPr>
              <w:rPr>
                <w:rFonts w:ascii="Arial"/>
                <w:sz w:val="21"/>
              </w:rPr>
            </w:pPr>
          </w:p>
        </w:tc>
        <w:tc>
          <w:tcPr>
            <w:tcW w:w="1417" w:type="dxa"/>
            <w:vAlign w:val="top"/>
          </w:tcPr>
          <w:p w14:paraId="1EF4CFC3">
            <w:pPr>
              <w:rPr>
                <w:rFonts w:ascii="Arial"/>
                <w:sz w:val="21"/>
              </w:rPr>
            </w:pPr>
          </w:p>
        </w:tc>
        <w:tc>
          <w:tcPr>
            <w:tcW w:w="1062" w:type="dxa"/>
            <w:vAlign w:val="top"/>
          </w:tcPr>
          <w:p w14:paraId="60C6EAFC">
            <w:pPr>
              <w:rPr>
                <w:rFonts w:ascii="Arial"/>
                <w:sz w:val="21"/>
              </w:rPr>
            </w:pPr>
          </w:p>
        </w:tc>
        <w:tc>
          <w:tcPr>
            <w:tcW w:w="1062" w:type="dxa"/>
            <w:vAlign w:val="top"/>
          </w:tcPr>
          <w:p w14:paraId="2AC9A920">
            <w:pPr>
              <w:rPr>
                <w:rFonts w:ascii="Arial"/>
                <w:sz w:val="21"/>
              </w:rPr>
            </w:pPr>
          </w:p>
        </w:tc>
        <w:tc>
          <w:tcPr>
            <w:tcW w:w="1063" w:type="dxa"/>
            <w:vAlign w:val="top"/>
          </w:tcPr>
          <w:p w14:paraId="229E2BA4">
            <w:pPr>
              <w:rPr>
                <w:rFonts w:ascii="Arial"/>
                <w:sz w:val="21"/>
              </w:rPr>
            </w:pPr>
          </w:p>
        </w:tc>
        <w:tc>
          <w:tcPr>
            <w:tcW w:w="1062" w:type="dxa"/>
            <w:vAlign w:val="top"/>
          </w:tcPr>
          <w:p w14:paraId="0978F829">
            <w:pPr>
              <w:rPr>
                <w:rFonts w:ascii="Arial"/>
                <w:sz w:val="21"/>
              </w:rPr>
            </w:pPr>
          </w:p>
        </w:tc>
        <w:tc>
          <w:tcPr>
            <w:tcW w:w="1062" w:type="dxa"/>
            <w:vAlign w:val="top"/>
          </w:tcPr>
          <w:p w14:paraId="2BCBD488">
            <w:pPr>
              <w:rPr>
                <w:rFonts w:ascii="Arial"/>
                <w:sz w:val="21"/>
              </w:rPr>
            </w:pPr>
          </w:p>
        </w:tc>
        <w:tc>
          <w:tcPr>
            <w:tcW w:w="1067" w:type="dxa"/>
            <w:vAlign w:val="top"/>
          </w:tcPr>
          <w:p w14:paraId="54DC2704">
            <w:pPr>
              <w:rPr>
                <w:rFonts w:ascii="Arial"/>
                <w:sz w:val="21"/>
              </w:rPr>
            </w:pPr>
          </w:p>
        </w:tc>
      </w:tr>
      <w:tr w14:paraId="4E702D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62CD41AC">
            <w:pPr>
              <w:rPr>
                <w:rFonts w:ascii="Arial"/>
                <w:sz w:val="21"/>
              </w:rPr>
            </w:pPr>
          </w:p>
        </w:tc>
        <w:tc>
          <w:tcPr>
            <w:tcW w:w="1417" w:type="dxa"/>
            <w:vAlign w:val="top"/>
          </w:tcPr>
          <w:p w14:paraId="637F3DFC">
            <w:pPr>
              <w:rPr>
                <w:rFonts w:ascii="Arial"/>
                <w:sz w:val="21"/>
              </w:rPr>
            </w:pPr>
          </w:p>
        </w:tc>
        <w:tc>
          <w:tcPr>
            <w:tcW w:w="1062" w:type="dxa"/>
            <w:vAlign w:val="top"/>
          </w:tcPr>
          <w:p w14:paraId="10D5AE81">
            <w:pPr>
              <w:rPr>
                <w:rFonts w:ascii="Arial"/>
                <w:sz w:val="21"/>
              </w:rPr>
            </w:pPr>
          </w:p>
        </w:tc>
        <w:tc>
          <w:tcPr>
            <w:tcW w:w="1062" w:type="dxa"/>
            <w:vAlign w:val="top"/>
          </w:tcPr>
          <w:p w14:paraId="0300DB37">
            <w:pPr>
              <w:rPr>
                <w:rFonts w:ascii="Arial"/>
                <w:sz w:val="21"/>
              </w:rPr>
            </w:pPr>
          </w:p>
        </w:tc>
        <w:tc>
          <w:tcPr>
            <w:tcW w:w="1063" w:type="dxa"/>
            <w:vAlign w:val="top"/>
          </w:tcPr>
          <w:p w14:paraId="033547A1">
            <w:pPr>
              <w:rPr>
                <w:rFonts w:ascii="Arial"/>
                <w:sz w:val="21"/>
              </w:rPr>
            </w:pPr>
          </w:p>
        </w:tc>
        <w:tc>
          <w:tcPr>
            <w:tcW w:w="1062" w:type="dxa"/>
            <w:vAlign w:val="top"/>
          </w:tcPr>
          <w:p w14:paraId="55B79463">
            <w:pPr>
              <w:rPr>
                <w:rFonts w:ascii="Arial"/>
                <w:sz w:val="21"/>
              </w:rPr>
            </w:pPr>
          </w:p>
        </w:tc>
        <w:tc>
          <w:tcPr>
            <w:tcW w:w="1062" w:type="dxa"/>
            <w:vAlign w:val="top"/>
          </w:tcPr>
          <w:p w14:paraId="434A38FC">
            <w:pPr>
              <w:rPr>
                <w:rFonts w:ascii="Arial"/>
                <w:sz w:val="21"/>
              </w:rPr>
            </w:pPr>
          </w:p>
        </w:tc>
        <w:tc>
          <w:tcPr>
            <w:tcW w:w="1067" w:type="dxa"/>
            <w:vAlign w:val="top"/>
          </w:tcPr>
          <w:p w14:paraId="58C545CB">
            <w:pPr>
              <w:rPr>
                <w:rFonts w:ascii="Arial"/>
                <w:sz w:val="21"/>
              </w:rPr>
            </w:pPr>
          </w:p>
        </w:tc>
      </w:tr>
      <w:tr w14:paraId="352801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509D81DC">
            <w:pPr>
              <w:rPr>
                <w:rFonts w:ascii="Arial"/>
                <w:sz w:val="21"/>
              </w:rPr>
            </w:pPr>
          </w:p>
        </w:tc>
        <w:tc>
          <w:tcPr>
            <w:tcW w:w="1417" w:type="dxa"/>
            <w:vAlign w:val="top"/>
          </w:tcPr>
          <w:p w14:paraId="2F3953F7">
            <w:pPr>
              <w:rPr>
                <w:rFonts w:ascii="Arial"/>
                <w:sz w:val="21"/>
              </w:rPr>
            </w:pPr>
          </w:p>
        </w:tc>
        <w:tc>
          <w:tcPr>
            <w:tcW w:w="1062" w:type="dxa"/>
            <w:vAlign w:val="top"/>
          </w:tcPr>
          <w:p w14:paraId="50CE7E68">
            <w:pPr>
              <w:rPr>
                <w:rFonts w:ascii="Arial"/>
                <w:sz w:val="21"/>
              </w:rPr>
            </w:pPr>
          </w:p>
        </w:tc>
        <w:tc>
          <w:tcPr>
            <w:tcW w:w="1062" w:type="dxa"/>
            <w:vAlign w:val="top"/>
          </w:tcPr>
          <w:p w14:paraId="734812AF">
            <w:pPr>
              <w:rPr>
                <w:rFonts w:ascii="Arial"/>
                <w:sz w:val="21"/>
              </w:rPr>
            </w:pPr>
          </w:p>
        </w:tc>
        <w:tc>
          <w:tcPr>
            <w:tcW w:w="1063" w:type="dxa"/>
            <w:vAlign w:val="top"/>
          </w:tcPr>
          <w:p w14:paraId="1A3B8A70">
            <w:pPr>
              <w:rPr>
                <w:rFonts w:ascii="Arial"/>
                <w:sz w:val="21"/>
              </w:rPr>
            </w:pPr>
          </w:p>
        </w:tc>
        <w:tc>
          <w:tcPr>
            <w:tcW w:w="1062" w:type="dxa"/>
            <w:vAlign w:val="top"/>
          </w:tcPr>
          <w:p w14:paraId="3001B9A3">
            <w:pPr>
              <w:rPr>
                <w:rFonts w:ascii="Arial"/>
                <w:sz w:val="21"/>
              </w:rPr>
            </w:pPr>
          </w:p>
        </w:tc>
        <w:tc>
          <w:tcPr>
            <w:tcW w:w="1062" w:type="dxa"/>
            <w:vAlign w:val="top"/>
          </w:tcPr>
          <w:p w14:paraId="5C2313E1">
            <w:pPr>
              <w:rPr>
                <w:rFonts w:ascii="Arial"/>
                <w:sz w:val="21"/>
              </w:rPr>
            </w:pPr>
          </w:p>
        </w:tc>
        <w:tc>
          <w:tcPr>
            <w:tcW w:w="1067" w:type="dxa"/>
            <w:vAlign w:val="top"/>
          </w:tcPr>
          <w:p w14:paraId="4360DF69">
            <w:pPr>
              <w:rPr>
                <w:rFonts w:ascii="Arial"/>
                <w:sz w:val="21"/>
              </w:rPr>
            </w:pPr>
          </w:p>
        </w:tc>
      </w:tr>
      <w:tr w14:paraId="35C7B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14" w:type="dxa"/>
            <w:vAlign w:val="top"/>
          </w:tcPr>
          <w:p w14:paraId="0BAE45C3">
            <w:pPr>
              <w:rPr>
                <w:rFonts w:ascii="Arial"/>
                <w:sz w:val="21"/>
              </w:rPr>
            </w:pPr>
          </w:p>
        </w:tc>
        <w:tc>
          <w:tcPr>
            <w:tcW w:w="1417" w:type="dxa"/>
            <w:vAlign w:val="top"/>
          </w:tcPr>
          <w:p w14:paraId="054447C0">
            <w:pPr>
              <w:rPr>
                <w:rFonts w:ascii="Arial"/>
                <w:sz w:val="21"/>
              </w:rPr>
            </w:pPr>
          </w:p>
        </w:tc>
        <w:tc>
          <w:tcPr>
            <w:tcW w:w="1062" w:type="dxa"/>
            <w:vAlign w:val="top"/>
          </w:tcPr>
          <w:p w14:paraId="29BCED14">
            <w:pPr>
              <w:rPr>
                <w:rFonts w:ascii="Arial"/>
                <w:sz w:val="21"/>
              </w:rPr>
            </w:pPr>
          </w:p>
        </w:tc>
        <w:tc>
          <w:tcPr>
            <w:tcW w:w="1062" w:type="dxa"/>
            <w:vAlign w:val="top"/>
          </w:tcPr>
          <w:p w14:paraId="2BEB1FE0">
            <w:pPr>
              <w:rPr>
                <w:rFonts w:ascii="Arial"/>
                <w:sz w:val="21"/>
              </w:rPr>
            </w:pPr>
          </w:p>
        </w:tc>
        <w:tc>
          <w:tcPr>
            <w:tcW w:w="1063" w:type="dxa"/>
            <w:vAlign w:val="top"/>
          </w:tcPr>
          <w:p w14:paraId="7A0CEF82">
            <w:pPr>
              <w:rPr>
                <w:rFonts w:ascii="Arial"/>
                <w:sz w:val="21"/>
              </w:rPr>
            </w:pPr>
          </w:p>
        </w:tc>
        <w:tc>
          <w:tcPr>
            <w:tcW w:w="1062" w:type="dxa"/>
            <w:vAlign w:val="top"/>
          </w:tcPr>
          <w:p w14:paraId="4EEA8796">
            <w:pPr>
              <w:rPr>
                <w:rFonts w:ascii="Arial"/>
                <w:sz w:val="21"/>
              </w:rPr>
            </w:pPr>
          </w:p>
        </w:tc>
        <w:tc>
          <w:tcPr>
            <w:tcW w:w="1062" w:type="dxa"/>
            <w:vAlign w:val="top"/>
          </w:tcPr>
          <w:p w14:paraId="2B8255C7">
            <w:pPr>
              <w:rPr>
                <w:rFonts w:ascii="Arial"/>
                <w:sz w:val="21"/>
              </w:rPr>
            </w:pPr>
          </w:p>
        </w:tc>
        <w:tc>
          <w:tcPr>
            <w:tcW w:w="1067" w:type="dxa"/>
            <w:vAlign w:val="top"/>
          </w:tcPr>
          <w:p w14:paraId="3F05F99F">
            <w:pPr>
              <w:rPr>
                <w:rFonts w:ascii="Arial"/>
                <w:sz w:val="21"/>
              </w:rPr>
            </w:pPr>
          </w:p>
        </w:tc>
      </w:tr>
      <w:tr w14:paraId="5DEAD5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035779BE">
            <w:pPr>
              <w:rPr>
                <w:rFonts w:ascii="Arial"/>
                <w:sz w:val="21"/>
              </w:rPr>
            </w:pPr>
          </w:p>
        </w:tc>
        <w:tc>
          <w:tcPr>
            <w:tcW w:w="1417" w:type="dxa"/>
            <w:vAlign w:val="top"/>
          </w:tcPr>
          <w:p w14:paraId="577BBBDA">
            <w:pPr>
              <w:rPr>
                <w:rFonts w:ascii="Arial"/>
                <w:sz w:val="21"/>
              </w:rPr>
            </w:pPr>
          </w:p>
        </w:tc>
        <w:tc>
          <w:tcPr>
            <w:tcW w:w="1062" w:type="dxa"/>
            <w:vAlign w:val="top"/>
          </w:tcPr>
          <w:p w14:paraId="07E6DBC9">
            <w:pPr>
              <w:rPr>
                <w:rFonts w:ascii="Arial"/>
                <w:sz w:val="21"/>
              </w:rPr>
            </w:pPr>
          </w:p>
        </w:tc>
        <w:tc>
          <w:tcPr>
            <w:tcW w:w="1062" w:type="dxa"/>
            <w:vAlign w:val="top"/>
          </w:tcPr>
          <w:p w14:paraId="16DAFAA5">
            <w:pPr>
              <w:rPr>
                <w:rFonts w:ascii="Arial"/>
                <w:sz w:val="21"/>
              </w:rPr>
            </w:pPr>
          </w:p>
        </w:tc>
        <w:tc>
          <w:tcPr>
            <w:tcW w:w="1063" w:type="dxa"/>
            <w:vAlign w:val="top"/>
          </w:tcPr>
          <w:p w14:paraId="5F1192C2">
            <w:pPr>
              <w:rPr>
                <w:rFonts w:ascii="Arial"/>
                <w:sz w:val="21"/>
              </w:rPr>
            </w:pPr>
          </w:p>
        </w:tc>
        <w:tc>
          <w:tcPr>
            <w:tcW w:w="1062" w:type="dxa"/>
            <w:vAlign w:val="top"/>
          </w:tcPr>
          <w:p w14:paraId="10844943">
            <w:pPr>
              <w:rPr>
                <w:rFonts w:ascii="Arial"/>
                <w:sz w:val="21"/>
              </w:rPr>
            </w:pPr>
          </w:p>
        </w:tc>
        <w:tc>
          <w:tcPr>
            <w:tcW w:w="1062" w:type="dxa"/>
            <w:vAlign w:val="top"/>
          </w:tcPr>
          <w:p w14:paraId="17EA98F7">
            <w:pPr>
              <w:rPr>
                <w:rFonts w:ascii="Arial"/>
                <w:sz w:val="21"/>
              </w:rPr>
            </w:pPr>
          </w:p>
        </w:tc>
        <w:tc>
          <w:tcPr>
            <w:tcW w:w="1067" w:type="dxa"/>
            <w:vAlign w:val="top"/>
          </w:tcPr>
          <w:p w14:paraId="3E1F1E8E">
            <w:pPr>
              <w:rPr>
                <w:rFonts w:ascii="Arial"/>
                <w:sz w:val="21"/>
              </w:rPr>
            </w:pPr>
          </w:p>
        </w:tc>
      </w:tr>
      <w:tr w14:paraId="66DF8B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14" w:type="dxa"/>
            <w:vAlign w:val="top"/>
          </w:tcPr>
          <w:p w14:paraId="1C076BFD">
            <w:pPr>
              <w:rPr>
                <w:rFonts w:ascii="Arial"/>
                <w:sz w:val="21"/>
              </w:rPr>
            </w:pPr>
          </w:p>
        </w:tc>
        <w:tc>
          <w:tcPr>
            <w:tcW w:w="1417" w:type="dxa"/>
            <w:vAlign w:val="top"/>
          </w:tcPr>
          <w:p w14:paraId="5F34AB66">
            <w:pPr>
              <w:rPr>
                <w:rFonts w:ascii="Arial"/>
                <w:sz w:val="21"/>
              </w:rPr>
            </w:pPr>
          </w:p>
        </w:tc>
        <w:tc>
          <w:tcPr>
            <w:tcW w:w="1062" w:type="dxa"/>
            <w:vAlign w:val="top"/>
          </w:tcPr>
          <w:p w14:paraId="0058F240">
            <w:pPr>
              <w:rPr>
                <w:rFonts w:ascii="Arial"/>
                <w:sz w:val="21"/>
              </w:rPr>
            </w:pPr>
          </w:p>
        </w:tc>
        <w:tc>
          <w:tcPr>
            <w:tcW w:w="1062" w:type="dxa"/>
            <w:vAlign w:val="top"/>
          </w:tcPr>
          <w:p w14:paraId="72547CE6">
            <w:pPr>
              <w:rPr>
                <w:rFonts w:ascii="Arial"/>
                <w:sz w:val="21"/>
              </w:rPr>
            </w:pPr>
          </w:p>
        </w:tc>
        <w:tc>
          <w:tcPr>
            <w:tcW w:w="1063" w:type="dxa"/>
            <w:vAlign w:val="top"/>
          </w:tcPr>
          <w:p w14:paraId="2B1808A4">
            <w:pPr>
              <w:rPr>
                <w:rFonts w:ascii="Arial"/>
                <w:sz w:val="21"/>
              </w:rPr>
            </w:pPr>
          </w:p>
        </w:tc>
        <w:tc>
          <w:tcPr>
            <w:tcW w:w="1062" w:type="dxa"/>
            <w:vAlign w:val="top"/>
          </w:tcPr>
          <w:p w14:paraId="0E838E90">
            <w:pPr>
              <w:rPr>
                <w:rFonts w:ascii="Arial"/>
                <w:sz w:val="21"/>
              </w:rPr>
            </w:pPr>
          </w:p>
        </w:tc>
        <w:tc>
          <w:tcPr>
            <w:tcW w:w="1062" w:type="dxa"/>
            <w:vAlign w:val="top"/>
          </w:tcPr>
          <w:p w14:paraId="09C8725B">
            <w:pPr>
              <w:rPr>
                <w:rFonts w:ascii="Arial"/>
                <w:sz w:val="21"/>
              </w:rPr>
            </w:pPr>
          </w:p>
        </w:tc>
        <w:tc>
          <w:tcPr>
            <w:tcW w:w="1067" w:type="dxa"/>
            <w:vAlign w:val="top"/>
          </w:tcPr>
          <w:p w14:paraId="1D6E8DB1">
            <w:pPr>
              <w:rPr>
                <w:rFonts w:ascii="Arial"/>
                <w:sz w:val="21"/>
              </w:rPr>
            </w:pPr>
          </w:p>
        </w:tc>
      </w:tr>
      <w:tr w14:paraId="234917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20248C2C">
            <w:pPr>
              <w:rPr>
                <w:rFonts w:ascii="Arial"/>
                <w:sz w:val="21"/>
              </w:rPr>
            </w:pPr>
          </w:p>
        </w:tc>
        <w:tc>
          <w:tcPr>
            <w:tcW w:w="1417" w:type="dxa"/>
            <w:vAlign w:val="top"/>
          </w:tcPr>
          <w:p w14:paraId="2C4A5E62">
            <w:pPr>
              <w:rPr>
                <w:rFonts w:ascii="Arial"/>
                <w:sz w:val="21"/>
              </w:rPr>
            </w:pPr>
          </w:p>
        </w:tc>
        <w:tc>
          <w:tcPr>
            <w:tcW w:w="1062" w:type="dxa"/>
            <w:vAlign w:val="top"/>
          </w:tcPr>
          <w:p w14:paraId="04E78F2E">
            <w:pPr>
              <w:rPr>
                <w:rFonts w:ascii="Arial"/>
                <w:sz w:val="21"/>
              </w:rPr>
            </w:pPr>
          </w:p>
        </w:tc>
        <w:tc>
          <w:tcPr>
            <w:tcW w:w="1062" w:type="dxa"/>
            <w:vAlign w:val="top"/>
          </w:tcPr>
          <w:p w14:paraId="67B1B4C3">
            <w:pPr>
              <w:rPr>
                <w:rFonts w:ascii="Arial"/>
                <w:sz w:val="21"/>
              </w:rPr>
            </w:pPr>
          </w:p>
        </w:tc>
        <w:tc>
          <w:tcPr>
            <w:tcW w:w="1063" w:type="dxa"/>
            <w:vAlign w:val="top"/>
          </w:tcPr>
          <w:p w14:paraId="135D2F75">
            <w:pPr>
              <w:rPr>
                <w:rFonts w:ascii="Arial"/>
                <w:sz w:val="21"/>
              </w:rPr>
            </w:pPr>
          </w:p>
        </w:tc>
        <w:tc>
          <w:tcPr>
            <w:tcW w:w="1062" w:type="dxa"/>
            <w:vAlign w:val="top"/>
          </w:tcPr>
          <w:p w14:paraId="0A681305">
            <w:pPr>
              <w:rPr>
                <w:rFonts w:ascii="Arial"/>
                <w:sz w:val="21"/>
              </w:rPr>
            </w:pPr>
          </w:p>
        </w:tc>
        <w:tc>
          <w:tcPr>
            <w:tcW w:w="1062" w:type="dxa"/>
            <w:vAlign w:val="top"/>
          </w:tcPr>
          <w:p w14:paraId="52F2746B">
            <w:pPr>
              <w:rPr>
                <w:rFonts w:ascii="Arial"/>
                <w:sz w:val="21"/>
              </w:rPr>
            </w:pPr>
          </w:p>
        </w:tc>
        <w:tc>
          <w:tcPr>
            <w:tcW w:w="1067" w:type="dxa"/>
            <w:vAlign w:val="top"/>
          </w:tcPr>
          <w:p w14:paraId="3B7D6B9B">
            <w:pPr>
              <w:rPr>
                <w:rFonts w:ascii="Arial"/>
                <w:sz w:val="21"/>
              </w:rPr>
            </w:pPr>
          </w:p>
        </w:tc>
      </w:tr>
      <w:tr w14:paraId="380AA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14" w:type="dxa"/>
            <w:vAlign w:val="top"/>
          </w:tcPr>
          <w:p w14:paraId="31B5399A">
            <w:pPr>
              <w:rPr>
                <w:rFonts w:ascii="Arial"/>
                <w:sz w:val="21"/>
              </w:rPr>
            </w:pPr>
          </w:p>
        </w:tc>
        <w:tc>
          <w:tcPr>
            <w:tcW w:w="1417" w:type="dxa"/>
            <w:vAlign w:val="top"/>
          </w:tcPr>
          <w:p w14:paraId="2A94B464">
            <w:pPr>
              <w:rPr>
                <w:rFonts w:ascii="Arial"/>
                <w:sz w:val="21"/>
              </w:rPr>
            </w:pPr>
          </w:p>
        </w:tc>
        <w:tc>
          <w:tcPr>
            <w:tcW w:w="1062" w:type="dxa"/>
            <w:vAlign w:val="top"/>
          </w:tcPr>
          <w:p w14:paraId="1F889AC2">
            <w:pPr>
              <w:rPr>
                <w:rFonts w:ascii="Arial"/>
                <w:sz w:val="21"/>
              </w:rPr>
            </w:pPr>
          </w:p>
        </w:tc>
        <w:tc>
          <w:tcPr>
            <w:tcW w:w="1062" w:type="dxa"/>
            <w:vAlign w:val="top"/>
          </w:tcPr>
          <w:p w14:paraId="547864C3">
            <w:pPr>
              <w:rPr>
                <w:rFonts w:ascii="Arial"/>
                <w:sz w:val="21"/>
              </w:rPr>
            </w:pPr>
          </w:p>
        </w:tc>
        <w:tc>
          <w:tcPr>
            <w:tcW w:w="1063" w:type="dxa"/>
            <w:vAlign w:val="top"/>
          </w:tcPr>
          <w:p w14:paraId="10324B1C">
            <w:pPr>
              <w:rPr>
                <w:rFonts w:ascii="Arial"/>
                <w:sz w:val="21"/>
              </w:rPr>
            </w:pPr>
          </w:p>
        </w:tc>
        <w:tc>
          <w:tcPr>
            <w:tcW w:w="1062" w:type="dxa"/>
            <w:vAlign w:val="top"/>
          </w:tcPr>
          <w:p w14:paraId="3ECAAC5F">
            <w:pPr>
              <w:rPr>
                <w:rFonts w:ascii="Arial"/>
                <w:sz w:val="21"/>
              </w:rPr>
            </w:pPr>
          </w:p>
        </w:tc>
        <w:tc>
          <w:tcPr>
            <w:tcW w:w="1062" w:type="dxa"/>
            <w:vAlign w:val="top"/>
          </w:tcPr>
          <w:p w14:paraId="6B9EE72F">
            <w:pPr>
              <w:rPr>
                <w:rFonts w:ascii="Arial"/>
                <w:sz w:val="21"/>
              </w:rPr>
            </w:pPr>
          </w:p>
        </w:tc>
        <w:tc>
          <w:tcPr>
            <w:tcW w:w="1067" w:type="dxa"/>
            <w:vAlign w:val="top"/>
          </w:tcPr>
          <w:p w14:paraId="4CD13C87">
            <w:pPr>
              <w:rPr>
                <w:rFonts w:ascii="Arial"/>
                <w:sz w:val="21"/>
              </w:rPr>
            </w:pPr>
          </w:p>
        </w:tc>
      </w:tr>
      <w:tr w14:paraId="292185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26C67042">
            <w:pPr>
              <w:rPr>
                <w:rFonts w:ascii="Arial"/>
                <w:sz w:val="21"/>
              </w:rPr>
            </w:pPr>
          </w:p>
        </w:tc>
        <w:tc>
          <w:tcPr>
            <w:tcW w:w="1417" w:type="dxa"/>
            <w:vAlign w:val="top"/>
          </w:tcPr>
          <w:p w14:paraId="75E10B13">
            <w:pPr>
              <w:rPr>
                <w:rFonts w:ascii="Arial"/>
                <w:sz w:val="21"/>
              </w:rPr>
            </w:pPr>
          </w:p>
        </w:tc>
        <w:tc>
          <w:tcPr>
            <w:tcW w:w="1062" w:type="dxa"/>
            <w:vAlign w:val="top"/>
          </w:tcPr>
          <w:p w14:paraId="5C5D6479">
            <w:pPr>
              <w:rPr>
                <w:rFonts w:ascii="Arial"/>
                <w:sz w:val="21"/>
              </w:rPr>
            </w:pPr>
          </w:p>
        </w:tc>
        <w:tc>
          <w:tcPr>
            <w:tcW w:w="1062" w:type="dxa"/>
            <w:vAlign w:val="top"/>
          </w:tcPr>
          <w:p w14:paraId="48866E19">
            <w:pPr>
              <w:rPr>
                <w:rFonts w:ascii="Arial"/>
                <w:sz w:val="21"/>
              </w:rPr>
            </w:pPr>
          </w:p>
        </w:tc>
        <w:tc>
          <w:tcPr>
            <w:tcW w:w="1063" w:type="dxa"/>
            <w:vAlign w:val="top"/>
          </w:tcPr>
          <w:p w14:paraId="6FD0A25F">
            <w:pPr>
              <w:rPr>
                <w:rFonts w:ascii="Arial"/>
                <w:sz w:val="21"/>
              </w:rPr>
            </w:pPr>
          </w:p>
        </w:tc>
        <w:tc>
          <w:tcPr>
            <w:tcW w:w="1062" w:type="dxa"/>
            <w:vAlign w:val="top"/>
          </w:tcPr>
          <w:p w14:paraId="3512FD2B">
            <w:pPr>
              <w:rPr>
                <w:rFonts w:ascii="Arial"/>
                <w:sz w:val="21"/>
              </w:rPr>
            </w:pPr>
          </w:p>
        </w:tc>
        <w:tc>
          <w:tcPr>
            <w:tcW w:w="1062" w:type="dxa"/>
            <w:vAlign w:val="top"/>
          </w:tcPr>
          <w:p w14:paraId="46965124">
            <w:pPr>
              <w:rPr>
                <w:rFonts w:ascii="Arial"/>
                <w:sz w:val="21"/>
              </w:rPr>
            </w:pPr>
          </w:p>
        </w:tc>
        <w:tc>
          <w:tcPr>
            <w:tcW w:w="1067" w:type="dxa"/>
            <w:vAlign w:val="top"/>
          </w:tcPr>
          <w:p w14:paraId="03AD5B52">
            <w:pPr>
              <w:rPr>
                <w:rFonts w:ascii="Arial"/>
                <w:sz w:val="21"/>
              </w:rPr>
            </w:pPr>
          </w:p>
        </w:tc>
      </w:tr>
      <w:tr w14:paraId="33338B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714" w:type="dxa"/>
            <w:vAlign w:val="top"/>
          </w:tcPr>
          <w:p w14:paraId="37D524F3">
            <w:pPr>
              <w:rPr>
                <w:rFonts w:ascii="Arial"/>
                <w:sz w:val="21"/>
              </w:rPr>
            </w:pPr>
          </w:p>
        </w:tc>
        <w:tc>
          <w:tcPr>
            <w:tcW w:w="1417" w:type="dxa"/>
            <w:vAlign w:val="top"/>
          </w:tcPr>
          <w:p w14:paraId="1D27DE94">
            <w:pPr>
              <w:rPr>
                <w:rFonts w:ascii="Arial"/>
                <w:sz w:val="21"/>
              </w:rPr>
            </w:pPr>
          </w:p>
        </w:tc>
        <w:tc>
          <w:tcPr>
            <w:tcW w:w="1062" w:type="dxa"/>
            <w:vAlign w:val="top"/>
          </w:tcPr>
          <w:p w14:paraId="138D12F0">
            <w:pPr>
              <w:rPr>
                <w:rFonts w:ascii="Arial"/>
                <w:sz w:val="21"/>
              </w:rPr>
            </w:pPr>
          </w:p>
        </w:tc>
        <w:tc>
          <w:tcPr>
            <w:tcW w:w="1062" w:type="dxa"/>
            <w:vAlign w:val="top"/>
          </w:tcPr>
          <w:p w14:paraId="46B35115">
            <w:pPr>
              <w:rPr>
                <w:rFonts w:ascii="Arial"/>
                <w:sz w:val="21"/>
              </w:rPr>
            </w:pPr>
          </w:p>
        </w:tc>
        <w:tc>
          <w:tcPr>
            <w:tcW w:w="1063" w:type="dxa"/>
            <w:vAlign w:val="top"/>
          </w:tcPr>
          <w:p w14:paraId="50BD4BA6">
            <w:pPr>
              <w:rPr>
                <w:rFonts w:ascii="Arial"/>
                <w:sz w:val="21"/>
              </w:rPr>
            </w:pPr>
          </w:p>
        </w:tc>
        <w:tc>
          <w:tcPr>
            <w:tcW w:w="1062" w:type="dxa"/>
            <w:vAlign w:val="top"/>
          </w:tcPr>
          <w:p w14:paraId="29365E5D">
            <w:pPr>
              <w:rPr>
                <w:rFonts w:ascii="Arial"/>
                <w:sz w:val="21"/>
              </w:rPr>
            </w:pPr>
          </w:p>
        </w:tc>
        <w:tc>
          <w:tcPr>
            <w:tcW w:w="1062" w:type="dxa"/>
            <w:vAlign w:val="top"/>
          </w:tcPr>
          <w:p w14:paraId="7C13E269">
            <w:pPr>
              <w:rPr>
                <w:rFonts w:ascii="Arial"/>
                <w:sz w:val="21"/>
              </w:rPr>
            </w:pPr>
          </w:p>
        </w:tc>
        <w:tc>
          <w:tcPr>
            <w:tcW w:w="1067" w:type="dxa"/>
            <w:vAlign w:val="top"/>
          </w:tcPr>
          <w:p w14:paraId="12FC88D9">
            <w:pPr>
              <w:rPr>
                <w:rFonts w:ascii="Arial"/>
                <w:sz w:val="21"/>
              </w:rPr>
            </w:pPr>
          </w:p>
        </w:tc>
      </w:tr>
    </w:tbl>
    <w:p w14:paraId="5FC1EE33">
      <w:pPr>
        <w:rPr>
          <w:rFonts w:ascii="Arial"/>
          <w:sz w:val="21"/>
        </w:rPr>
      </w:pPr>
    </w:p>
    <w:p w14:paraId="2B82EC5C">
      <w:pPr>
        <w:rPr>
          <w:rFonts w:ascii="Arial" w:hAnsi="Arial" w:eastAsia="Arial" w:cs="Arial"/>
          <w:sz w:val="21"/>
          <w:szCs w:val="21"/>
        </w:rPr>
        <w:sectPr>
          <w:footerReference r:id="rId556" w:type="default"/>
          <w:pgSz w:w="11907" w:h="16840"/>
          <w:pgMar w:top="400" w:right="1786" w:bottom="1247" w:left="1469" w:header="0" w:footer="1085" w:gutter="0"/>
          <w:cols w:space="720" w:num="1"/>
        </w:sectPr>
      </w:pPr>
    </w:p>
    <w:p w14:paraId="3E4B73CF">
      <w:pPr>
        <w:spacing w:line="265" w:lineRule="auto"/>
        <w:rPr>
          <w:rFonts w:ascii="Arial"/>
          <w:sz w:val="21"/>
        </w:rPr>
      </w:pPr>
    </w:p>
    <w:p w14:paraId="0ACA025C">
      <w:pPr>
        <w:spacing w:line="266" w:lineRule="auto"/>
        <w:rPr>
          <w:rFonts w:ascii="Arial"/>
          <w:sz w:val="21"/>
        </w:rPr>
      </w:pPr>
    </w:p>
    <w:p w14:paraId="64666F29">
      <w:pPr>
        <w:spacing w:line="266" w:lineRule="auto"/>
        <w:rPr>
          <w:rFonts w:ascii="Arial"/>
          <w:sz w:val="21"/>
        </w:rPr>
      </w:pPr>
    </w:p>
    <w:p w14:paraId="0865BAAC">
      <w:pPr>
        <w:spacing w:line="266" w:lineRule="auto"/>
        <w:rPr>
          <w:rFonts w:ascii="Arial"/>
          <w:sz w:val="21"/>
        </w:rPr>
      </w:pPr>
    </w:p>
    <w:p w14:paraId="6EBF5595">
      <w:pPr>
        <w:spacing w:line="266" w:lineRule="auto"/>
        <w:rPr>
          <w:rFonts w:ascii="Arial"/>
          <w:sz w:val="21"/>
        </w:rPr>
      </w:pPr>
    </w:p>
    <w:p w14:paraId="61AED315">
      <w:pPr>
        <w:pStyle w:val="2"/>
        <w:spacing w:before="78" w:line="221" w:lineRule="auto"/>
        <w:ind w:left="11"/>
        <w:outlineLvl w:val="2"/>
        <w:rPr>
          <w:sz w:val="24"/>
          <w:szCs w:val="24"/>
        </w:rPr>
      </w:pPr>
      <w:bookmarkStart w:id="460" w:name="bookmark436"/>
      <w:bookmarkEnd w:id="460"/>
      <w:r>
        <w:rPr>
          <w:spacing w:val="-2"/>
          <w:sz w:val="24"/>
          <w:szCs w:val="24"/>
        </w:rPr>
        <w:t>附表四：计划开、竣工日期和施工进度网络图</w:t>
      </w:r>
    </w:p>
    <w:p w14:paraId="5F8E98F2">
      <w:pPr>
        <w:spacing w:before="154" w:line="388" w:lineRule="auto"/>
        <w:ind w:firstLine="432"/>
        <w:rPr>
          <w:rFonts w:ascii="宋体" w:hAnsi="宋体" w:eastAsia="宋体" w:cs="宋体"/>
          <w:sz w:val="20"/>
          <w:szCs w:val="20"/>
        </w:rPr>
      </w:pPr>
      <w:r>
        <w:rPr>
          <w:rFonts w:ascii="宋体" w:hAnsi="宋体" w:eastAsia="宋体" w:cs="宋体"/>
          <w:spacing w:val="9"/>
          <w:sz w:val="20"/>
          <w:szCs w:val="20"/>
        </w:rPr>
        <w:t>1．投标人应递交施工进度网络图或施工进度表，说明按招标文件</w:t>
      </w:r>
      <w:r>
        <w:rPr>
          <w:rFonts w:ascii="宋体" w:hAnsi="宋体" w:eastAsia="宋体" w:cs="宋体"/>
          <w:spacing w:val="8"/>
          <w:sz w:val="20"/>
          <w:szCs w:val="20"/>
        </w:rPr>
        <w:t>要求的计划工期进行施工的</w:t>
      </w:r>
      <w:r>
        <w:rPr>
          <w:rFonts w:ascii="宋体" w:hAnsi="宋体" w:eastAsia="宋体" w:cs="宋体"/>
          <w:spacing w:val="6"/>
          <w:sz w:val="20"/>
          <w:szCs w:val="20"/>
        </w:rPr>
        <w:t>各个关键日期。</w:t>
      </w:r>
    </w:p>
    <w:p w14:paraId="49CAD152">
      <w:pPr>
        <w:spacing w:line="226" w:lineRule="auto"/>
        <w:ind w:left="420"/>
        <w:outlineLvl w:val="2"/>
        <w:rPr>
          <w:rFonts w:ascii="宋体" w:hAnsi="宋体" w:eastAsia="宋体" w:cs="宋体"/>
          <w:sz w:val="20"/>
          <w:szCs w:val="20"/>
        </w:rPr>
      </w:pPr>
      <w:r>
        <w:rPr>
          <w:rFonts w:ascii="宋体" w:hAnsi="宋体" w:eastAsia="宋体" w:cs="宋体"/>
          <w:spacing w:val="8"/>
          <w:sz w:val="20"/>
          <w:szCs w:val="20"/>
        </w:rPr>
        <w:t>2．施工进度表可采用网络图和（或）横道图表示。</w:t>
      </w:r>
    </w:p>
    <w:p w14:paraId="3DC25CF5">
      <w:pPr>
        <w:spacing w:line="226" w:lineRule="auto"/>
        <w:rPr>
          <w:rFonts w:ascii="宋体" w:hAnsi="宋体" w:eastAsia="宋体" w:cs="宋体"/>
          <w:sz w:val="20"/>
          <w:szCs w:val="20"/>
        </w:rPr>
        <w:sectPr>
          <w:footerReference r:id="rId557" w:type="default"/>
          <w:pgSz w:w="11907" w:h="16840"/>
          <w:pgMar w:top="400" w:right="1531" w:bottom="1247" w:left="1484" w:header="0" w:footer="1085" w:gutter="0"/>
          <w:cols w:space="720" w:num="1"/>
        </w:sectPr>
      </w:pPr>
    </w:p>
    <w:p w14:paraId="4C119CDE">
      <w:pPr>
        <w:spacing w:line="265" w:lineRule="auto"/>
        <w:rPr>
          <w:rFonts w:ascii="Arial"/>
          <w:sz w:val="21"/>
        </w:rPr>
      </w:pPr>
    </w:p>
    <w:p w14:paraId="6D6DA58D">
      <w:pPr>
        <w:spacing w:line="266" w:lineRule="auto"/>
        <w:rPr>
          <w:rFonts w:ascii="Arial"/>
          <w:sz w:val="21"/>
        </w:rPr>
      </w:pPr>
    </w:p>
    <w:p w14:paraId="3456AEBE">
      <w:pPr>
        <w:spacing w:line="266" w:lineRule="auto"/>
        <w:rPr>
          <w:rFonts w:ascii="Arial"/>
          <w:sz w:val="21"/>
        </w:rPr>
      </w:pPr>
    </w:p>
    <w:p w14:paraId="79EEF8A8">
      <w:pPr>
        <w:spacing w:line="266" w:lineRule="auto"/>
        <w:rPr>
          <w:rFonts w:ascii="Arial"/>
          <w:sz w:val="21"/>
        </w:rPr>
      </w:pPr>
    </w:p>
    <w:p w14:paraId="668ACF57">
      <w:pPr>
        <w:spacing w:line="266" w:lineRule="auto"/>
        <w:rPr>
          <w:rFonts w:ascii="Arial"/>
          <w:sz w:val="21"/>
        </w:rPr>
      </w:pPr>
    </w:p>
    <w:p w14:paraId="1BBB91EC">
      <w:pPr>
        <w:pStyle w:val="2"/>
        <w:spacing w:before="78" w:line="222" w:lineRule="auto"/>
        <w:ind w:left="14"/>
        <w:outlineLvl w:val="2"/>
        <w:rPr>
          <w:sz w:val="24"/>
          <w:szCs w:val="24"/>
        </w:rPr>
      </w:pPr>
      <w:bookmarkStart w:id="461" w:name="bookmark437"/>
      <w:bookmarkEnd w:id="461"/>
      <w:r>
        <w:rPr>
          <w:spacing w:val="-3"/>
          <w:sz w:val="24"/>
          <w:szCs w:val="24"/>
        </w:rPr>
        <w:t>附表五：施工总平面图</w:t>
      </w:r>
    </w:p>
    <w:p w14:paraId="1ECCAF70">
      <w:pPr>
        <w:spacing w:before="152" w:line="389" w:lineRule="auto"/>
        <w:ind w:firstLine="422"/>
        <w:rPr>
          <w:rFonts w:ascii="宋体" w:hAnsi="宋体" w:eastAsia="宋体" w:cs="宋体"/>
          <w:sz w:val="20"/>
          <w:szCs w:val="20"/>
        </w:rPr>
      </w:pPr>
      <w:r>
        <w:rPr>
          <w:rFonts w:ascii="宋体" w:hAnsi="宋体" w:eastAsia="宋体" w:cs="宋体"/>
          <w:spacing w:val="8"/>
          <w:sz w:val="20"/>
          <w:szCs w:val="20"/>
        </w:rPr>
        <w:t>投标人应递交一份施工总平面图，绘出现场临时设施布置图表并附文字说明，说明临时设施、</w:t>
      </w:r>
      <w:r>
        <w:rPr>
          <w:rFonts w:ascii="宋体" w:hAnsi="宋体" w:eastAsia="宋体" w:cs="宋体"/>
          <w:spacing w:val="9"/>
          <w:sz w:val="20"/>
          <w:szCs w:val="20"/>
        </w:rPr>
        <w:t>加工车间、现场办公、设备及仓储、供电、</w:t>
      </w:r>
      <w:r>
        <w:rPr>
          <w:rFonts w:ascii="宋体" w:hAnsi="宋体" w:eastAsia="宋体" w:cs="宋体"/>
          <w:spacing w:val="8"/>
          <w:sz w:val="20"/>
          <w:szCs w:val="20"/>
        </w:rPr>
        <w:t>供水、卫生、生活、道路、消防等设施的情况和布置。</w:t>
      </w:r>
    </w:p>
    <w:p w14:paraId="48E6E175">
      <w:pPr>
        <w:spacing w:line="389" w:lineRule="auto"/>
        <w:rPr>
          <w:rFonts w:ascii="宋体" w:hAnsi="宋体" w:eastAsia="宋体" w:cs="宋体"/>
          <w:sz w:val="20"/>
          <w:szCs w:val="20"/>
        </w:rPr>
        <w:sectPr>
          <w:footerReference r:id="rId558" w:type="default"/>
          <w:pgSz w:w="11907" w:h="16840"/>
          <w:pgMar w:top="400" w:right="1460" w:bottom="1247" w:left="1481" w:header="0" w:footer="1085" w:gutter="0"/>
          <w:cols w:space="720" w:num="1"/>
        </w:sectPr>
      </w:pPr>
    </w:p>
    <w:p w14:paraId="1D792F3A">
      <w:pPr>
        <w:spacing w:line="265" w:lineRule="auto"/>
        <w:rPr>
          <w:rFonts w:ascii="Arial"/>
          <w:sz w:val="21"/>
        </w:rPr>
      </w:pPr>
    </w:p>
    <w:p w14:paraId="22D782DD">
      <w:pPr>
        <w:spacing w:line="265" w:lineRule="auto"/>
        <w:rPr>
          <w:rFonts w:ascii="Arial"/>
          <w:sz w:val="21"/>
        </w:rPr>
      </w:pPr>
    </w:p>
    <w:p w14:paraId="2EBEB0BB">
      <w:pPr>
        <w:spacing w:line="266" w:lineRule="auto"/>
        <w:rPr>
          <w:rFonts w:ascii="Arial"/>
          <w:sz w:val="21"/>
        </w:rPr>
      </w:pPr>
    </w:p>
    <w:p w14:paraId="63C258DF">
      <w:pPr>
        <w:spacing w:line="266" w:lineRule="auto"/>
        <w:rPr>
          <w:rFonts w:ascii="Arial"/>
          <w:sz w:val="21"/>
        </w:rPr>
      </w:pPr>
    </w:p>
    <w:p w14:paraId="5ECCCBBE">
      <w:pPr>
        <w:spacing w:line="266" w:lineRule="auto"/>
        <w:rPr>
          <w:rFonts w:ascii="Arial"/>
          <w:sz w:val="21"/>
        </w:rPr>
      </w:pPr>
    </w:p>
    <w:p w14:paraId="138C748C">
      <w:pPr>
        <w:pStyle w:val="2"/>
        <w:spacing w:before="78" w:line="220" w:lineRule="auto"/>
        <w:ind w:left="26"/>
        <w:outlineLvl w:val="1"/>
        <w:rPr>
          <w:sz w:val="24"/>
          <w:szCs w:val="24"/>
        </w:rPr>
      </w:pPr>
      <w:bookmarkStart w:id="462" w:name="bookmark438"/>
      <w:bookmarkEnd w:id="462"/>
      <w:r>
        <w:rPr>
          <w:spacing w:val="-3"/>
          <w:sz w:val="24"/>
          <w:szCs w:val="24"/>
        </w:rPr>
        <w:t>附表六：临时用地表</w:t>
      </w:r>
    </w:p>
    <w:tbl>
      <w:tblPr>
        <w:tblStyle w:val="5"/>
        <w:tblW w:w="85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71"/>
        <w:gridCol w:w="2078"/>
        <w:gridCol w:w="2078"/>
        <w:gridCol w:w="2082"/>
      </w:tblGrid>
      <w:tr w14:paraId="1FC233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2271" w:type="dxa"/>
            <w:vAlign w:val="top"/>
          </w:tcPr>
          <w:p w14:paraId="50AB955B">
            <w:pPr>
              <w:pStyle w:val="6"/>
              <w:spacing w:before="98" w:line="229" w:lineRule="auto"/>
              <w:ind w:left="827"/>
            </w:pPr>
            <w:r>
              <w:t>用</w:t>
            </w:r>
            <w:r>
              <w:rPr>
                <w:spacing w:val="9"/>
              </w:rPr>
              <w:t xml:space="preserve">  </w:t>
            </w:r>
            <w:r>
              <w:t>途</w:t>
            </w:r>
          </w:p>
        </w:tc>
        <w:tc>
          <w:tcPr>
            <w:tcW w:w="2078" w:type="dxa"/>
            <w:vAlign w:val="top"/>
          </w:tcPr>
          <w:p w14:paraId="59921394">
            <w:pPr>
              <w:pStyle w:val="6"/>
              <w:spacing w:before="98" w:line="228" w:lineRule="auto"/>
              <w:ind w:left="257"/>
            </w:pPr>
            <w:r>
              <w:rPr>
                <w:spacing w:val="6"/>
              </w:rPr>
              <w:t>面 积（平方米）</w:t>
            </w:r>
          </w:p>
        </w:tc>
        <w:tc>
          <w:tcPr>
            <w:tcW w:w="2078" w:type="dxa"/>
            <w:vAlign w:val="top"/>
          </w:tcPr>
          <w:p w14:paraId="7FE4CC0A">
            <w:pPr>
              <w:pStyle w:val="6"/>
              <w:spacing w:before="98" w:line="229" w:lineRule="auto"/>
              <w:ind w:left="729"/>
            </w:pPr>
            <w:r>
              <w:rPr>
                <w:spacing w:val="1"/>
              </w:rPr>
              <w:t>位</w:t>
            </w:r>
            <w:r>
              <w:rPr>
                <w:spacing w:val="8"/>
              </w:rPr>
              <w:t xml:space="preserve">  </w:t>
            </w:r>
            <w:r>
              <w:rPr>
                <w:spacing w:val="1"/>
              </w:rPr>
              <w:t>置</w:t>
            </w:r>
          </w:p>
        </w:tc>
        <w:tc>
          <w:tcPr>
            <w:tcW w:w="2082" w:type="dxa"/>
            <w:vAlign w:val="top"/>
          </w:tcPr>
          <w:p w14:paraId="65BA8396">
            <w:pPr>
              <w:pStyle w:val="6"/>
              <w:spacing w:before="99" w:line="228" w:lineRule="auto"/>
              <w:ind w:left="638"/>
            </w:pPr>
            <w:r>
              <w:rPr>
                <w:spacing w:val="4"/>
              </w:rPr>
              <w:t>需用时间</w:t>
            </w:r>
          </w:p>
        </w:tc>
      </w:tr>
      <w:tr w14:paraId="401DC9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271" w:type="dxa"/>
            <w:vAlign w:val="top"/>
          </w:tcPr>
          <w:p w14:paraId="42C374C6">
            <w:pPr>
              <w:rPr>
                <w:rFonts w:ascii="Arial"/>
                <w:sz w:val="21"/>
              </w:rPr>
            </w:pPr>
          </w:p>
        </w:tc>
        <w:tc>
          <w:tcPr>
            <w:tcW w:w="2078" w:type="dxa"/>
            <w:vAlign w:val="top"/>
          </w:tcPr>
          <w:p w14:paraId="51058EBA">
            <w:pPr>
              <w:rPr>
                <w:rFonts w:ascii="Arial"/>
                <w:sz w:val="21"/>
              </w:rPr>
            </w:pPr>
          </w:p>
        </w:tc>
        <w:tc>
          <w:tcPr>
            <w:tcW w:w="2078" w:type="dxa"/>
            <w:vAlign w:val="top"/>
          </w:tcPr>
          <w:p w14:paraId="4775805C">
            <w:pPr>
              <w:rPr>
                <w:rFonts w:ascii="Arial"/>
                <w:sz w:val="21"/>
              </w:rPr>
            </w:pPr>
          </w:p>
        </w:tc>
        <w:tc>
          <w:tcPr>
            <w:tcW w:w="2082" w:type="dxa"/>
            <w:vAlign w:val="top"/>
          </w:tcPr>
          <w:p w14:paraId="22CB425C">
            <w:pPr>
              <w:rPr>
                <w:rFonts w:ascii="Arial"/>
                <w:sz w:val="21"/>
              </w:rPr>
            </w:pPr>
          </w:p>
        </w:tc>
      </w:tr>
      <w:tr w14:paraId="3E48A1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271" w:type="dxa"/>
            <w:vAlign w:val="top"/>
          </w:tcPr>
          <w:p w14:paraId="401E51C4">
            <w:pPr>
              <w:rPr>
                <w:rFonts w:ascii="Arial"/>
                <w:sz w:val="21"/>
              </w:rPr>
            </w:pPr>
          </w:p>
        </w:tc>
        <w:tc>
          <w:tcPr>
            <w:tcW w:w="2078" w:type="dxa"/>
            <w:vAlign w:val="top"/>
          </w:tcPr>
          <w:p w14:paraId="38C23E64">
            <w:pPr>
              <w:rPr>
                <w:rFonts w:ascii="Arial"/>
                <w:sz w:val="21"/>
              </w:rPr>
            </w:pPr>
          </w:p>
        </w:tc>
        <w:tc>
          <w:tcPr>
            <w:tcW w:w="2078" w:type="dxa"/>
            <w:vAlign w:val="top"/>
          </w:tcPr>
          <w:p w14:paraId="0A9D549E">
            <w:pPr>
              <w:rPr>
                <w:rFonts w:ascii="Arial"/>
                <w:sz w:val="21"/>
              </w:rPr>
            </w:pPr>
          </w:p>
        </w:tc>
        <w:tc>
          <w:tcPr>
            <w:tcW w:w="2082" w:type="dxa"/>
            <w:vAlign w:val="top"/>
          </w:tcPr>
          <w:p w14:paraId="6725EE09">
            <w:pPr>
              <w:rPr>
                <w:rFonts w:ascii="Arial"/>
                <w:sz w:val="21"/>
              </w:rPr>
            </w:pPr>
          </w:p>
        </w:tc>
      </w:tr>
      <w:tr w14:paraId="219466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6BD33DBB">
            <w:pPr>
              <w:rPr>
                <w:rFonts w:ascii="Arial"/>
                <w:sz w:val="21"/>
              </w:rPr>
            </w:pPr>
          </w:p>
        </w:tc>
        <w:tc>
          <w:tcPr>
            <w:tcW w:w="2078" w:type="dxa"/>
            <w:vAlign w:val="top"/>
          </w:tcPr>
          <w:p w14:paraId="1959B303">
            <w:pPr>
              <w:rPr>
                <w:rFonts w:ascii="Arial"/>
                <w:sz w:val="21"/>
              </w:rPr>
            </w:pPr>
          </w:p>
        </w:tc>
        <w:tc>
          <w:tcPr>
            <w:tcW w:w="2078" w:type="dxa"/>
            <w:vAlign w:val="top"/>
          </w:tcPr>
          <w:p w14:paraId="49DCC3FB">
            <w:pPr>
              <w:rPr>
                <w:rFonts w:ascii="Arial"/>
                <w:sz w:val="21"/>
              </w:rPr>
            </w:pPr>
          </w:p>
        </w:tc>
        <w:tc>
          <w:tcPr>
            <w:tcW w:w="2082" w:type="dxa"/>
            <w:vAlign w:val="top"/>
          </w:tcPr>
          <w:p w14:paraId="18C283C3">
            <w:pPr>
              <w:rPr>
                <w:rFonts w:ascii="Arial"/>
                <w:sz w:val="21"/>
              </w:rPr>
            </w:pPr>
          </w:p>
        </w:tc>
      </w:tr>
      <w:tr w14:paraId="3C9943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304BFBF3">
            <w:pPr>
              <w:rPr>
                <w:rFonts w:ascii="Arial"/>
                <w:sz w:val="21"/>
              </w:rPr>
            </w:pPr>
          </w:p>
        </w:tc>
        <w:tc>
          <w:tcPr>
            <w:tcW w:w="2078" w:type="dxa"/>
            <w:vAlign w:val="top"/>
          </w:tcPr>
          <w:p w14:paraId="7F9A5FA6">
            <w:pPr>
              <w:rPr>
                <w:rFonts w:ascii="Arial"/>
                <w:sz w:val="21"/>
              </w:rPr>
            </w:pPr>
          </w:p>
        </w:tc>
        <w:tc>
          <w:tcPr>
            <w:tcW w:w="2078" w:type="dxa"/>
            <w:vAlign w:val="top"/>
          </w:tcPr>
          <w:p w14:paraId="7751D33B">
            <w:pPr>
              <w:rPr>
                <w:rFonts w:ascii="Arial"/>
                <w:sz w:val="21"/>
              </w:rPr>
            </w:pPr>
          </w:p>
        </w:tc>
        <w:tc>
          <w:tcPr>
            <w:tcW w:w="2082" w:type="dxa"/>
            <w:vAlign w:val="top"/>
          </w:tcPr>
          <w:p w14:paraId="3884A3C5">
            <w:pPr>
              <w:rPr>
                <w:rFonts w:ascii="Arial"/>
                <w:sz w:val="21"/>
              </w:rPr>
            </w:pPr>
          </w:p>
        </w:tc>
      </w:tr>
      <w:tr w14:paraId="0A8D2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7BF1BB49">
            <w:pPr>
              <w:rPr>
                <w:rFonts w:ascii="Arial"/>
                <w:sz w:val="21"/>
              </w:rPr>
            </w:pPr>
          </w:p>
        </w:tc>
        <w:tc>
          <w:tcPr>
            <w:tcW w:w="2078" w:type="dxa"/>
            <w:vAlign w:val="top"/>
          </w:tcPr>
          <w:p w14:paraId="703D400E">
            <w:pPr>
              <w:rPr>
                <w:rFonts w:ascii="Arial"/>
                <w:sz w:val="21"/>
              </w:rPr>
            </w:pPr>
          </w:p>
        </w:tc>
        <w:tc>
          <w:tcPr>
            <w:tcW w:w="2078" w:type="dxa"/>
            <w:vAlign w:val="top"/>
          </w:tcPr>
          <w:p w14:paraId="2969D0F4">
            <w:pPr>
              <w:rPr>
                <w:rFonts w:ascii="Arial"/>
                <w:sz w:val="21"/>
              </w:rPr>
            </w:pPr>
          </w:p>
        </w:tc>
        <w:tc>
          <w:tcPr>
            <w:tcW w:w="2082" w:type="dxa"/>
            <w:vAlign w:val="top"/>
          </w:tcPr>
          <w:p w14:paraId="47DE0172">
            <w:pPr>
              <w:rPr>
                <w:rFonts w:ascii="Arial"/>
                <w:sz w:val="21"/>
              </w:rPr>
            </w:pPr>
          </w:p>
        </w:tc>
      </w:tr>
      <w:tr w14:paraId="22D311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6E5573E1">
            <w:pPr>
              <w:rPr>
                <w:rFonts w:ascii="Arial"/>
                <w:sz w:val="21"/>
              </w:rPr>
            </w:pPr>
          </w:p>
        </w:tc>
        <w:tc>
          <w:tcPr>
            <w:tcW w:w="2078" w:type="dxa"/>
            <w:vAlign w:val="top"/>
          </w:tcPr>
          <w:p w14:paraId="00D393EE">
            <w:pPr>
              <w:rPr>
                <w:rFonts w:ascii="Arial"/>
                <w:sz w:val="21"/>
              </w:rPr>
            </w:pPr>
          </w:p>
        </w:tc>
        <w:tc>
          <w:tcPr>
            <w:tcW w:w="2078" w:type="dxa"/>
            <w:vAlign w:val="top"/>
          </w:tcPr>
          <w:p w14:paraId="6A32C1CD">
            <w:pPr>
              <w:rPr>
                <w:rFonts w:ascii="Arial"/>
                <w:sz w:val="21"/>
              </w:rPr>
            </w:pPr>
          </w:p>
        </w:tc>
        <w:tc>
          <w:tcPr>
            <w:tcW w:w="2082" w:type="dxa"/>
            <w:vAlign w:val="top"/>
          </w:tcPr>
          <w:p w14:paraId="650A37C4">
            <w:pPr>
              <w:rPr>
                <w:rFonts w:ascii="Arial"/>
                <w:sz w:val="21"/>
              </w:rPr>
            </w:pPr>
          </w:p>
        </w:tc>
      </w:tr>
      <w:tr w14:paraId="3F883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56AAB80B">
            <w:pPr>
              <w:rPr>
                <w:rFonts w:ascii="Arial"/>
                <w:sz w:val="21"/>
              </w:rPr>
            </w:pPr>
          </w:p>
        </w:tc>
        <w:tc>
          <w:tcPr>
            <w:tcW w:w="2078" w:type="dxa"/>
            <w:vAlign w:val="top"/>
          </w:tcPr>
          <w:p w14:paraId="39C9B0B8">
            <w:pPr>
              <w:rPr>
                <w:rFonts w:ascii="Arial"/>
                <w:sz w:val="21"/>
              </w:rPr>
            </w:pPr>
          </w:p>
        </w:tc>
        <w:tc>
          <w:tcPr>
            <w:tcW w:w="2078" w:type="dxa"/>
            <w:vAlign w:val="top"/>
          </w:tcPr>
          <w:p w14:paraId="66B343F4">
            <w:pPr>
              <w:rPr>
                <w:rFonts w:ascii="Arial"/>
                <w:sz w:val="21"/>
              </w:rPr>
            </w:pPr>
          </w:p>
        </w:tc>
        <w:tc>
          <w:tcPr>
            <w:tcW w:w="2082" w:type="dxa"/>
            <w:vAlign w:val="top"/>
          </w:tcPr>
          <w:p w14:paraId="34228C91">
            <w:pPr>
              <w:rPr>
                <w:rFonts w:ascii="Arial"/>
                <w:sz w:val="21"/>
              </w:rPr>
            </w:pPr>
          </w:p>
        </w:tc>
      </w:tr>
      <w:tr w14:paraId="43473E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4A87FE72">
            <w:pPr>
              <w:rPr>
                <w:rFonts w:ascii="Arial"/>
                <w:sz w:val="21"/>
              </w:rPr>
            </w:pPr>
          </w:p>
        </w:tc>
        <w:tc>
          <w:tcPr>
            <w:tcW w:w="2078" w:type="dxa"/>
            <w:vAlign w:val="top"/>
          </w:tcPr>
          <w:p w14:paraId="3CA1855A">
            <w:pPr>
              <w:rPr>
                <w:rFonts w:ascii="Arial"/>
                <w:sz w:val="21"/>
              </w:rPr>
            </w:pPr>
          </w:p>
        </w:tc>
        <w:tc>
          <w:tcPr>
            <w:tcW w:w="2078" w:type="dxa"/>
            <w:vAlign w:val="top"/>
          </w:tcPr>
          <w:p w14:paraId="04157DFE">
            <w:pPr>
              <w:rPr>
                <w:rFonts w:ascii="Arial"/>
                <w:sz w:val="21"/>
              </w:rPr>
            </w:pPr>
          </w:p>
        </w:tc>
        <w:tc>
          <w:tcPr>
            <w:tcW w:w="2082" w:type="dxa"/>
            <w:vAlign w:val="top"/>
          </w:tcPr>
          <w:p w14:paraId="2AC00F35">
            <w:pPr>
              <w:rPr>
                <w:rFonts w:ascii="Arial"/>
                <w:sz w:val="21"/>
              </w:rPr>
            </w:pPr>
          </w:p>
        </w:tc>
      </w:tr>
      <w:tr w14:paraId="071D9A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50A91A00">
            <w:pPr>
              <w:rPr>
                <w:rFonts w:ascii="Arial"/>
                <w:sz w:val="21"/>
              </w:rPr>
            </w:pPr>
          </w:p>
        </w:tc>
        <w:tc>
          <w:tcPr>
            <w:tcW w:w="2078" w:type="dxa"/>
            <w:vAlign w:val="top"/>
          </w:tcPr>
          <w:p w14:paraId="5F4AC1FF">
            <w:pPr>
              <w:rPr>
                <w:rFonts w:ascii="Arial"/>
                <w:sz w:val="21"/>
              </w:rPr>
            </w:pPr>
          </w:p>
        </w:tc>
        <w:tc>
          <w:tcPr>
            <w:tcW w:w="2078" w:type="dxa"/>
            <w:vAlign w:val="top"/>
          </w:tcPr>
          <w:p w14:paraId="1BA12F35">
            <w:pPr>
              <w:rPr>
                <w:rFonts w:ascii="Arial"/>
                <w:sz w:val="21"/>
              </w:rPr>
            </w:pPr>
          </w:p>
        </w:tc>
        <w:tc>
          <w:tcPr>
            <w:tcW w:w="2082" w:type="dxa"/>
            <w:vAlign w:val="top"/>
          </w:tcPr>
          <w:p w14:paraId="2BBEAFEF">
            <w:pPr>
              <w:rPr>
                <w:rFonts w:ascii="Arial"/>
                <w:sz w:val="21"/>
              </w:rPr>
            </w:pPr>
          </w:p>
        </w:tc>
      </w:tr>
      <w:tr w14:paraId="631632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691832AF">
            <w:pPr>
              <w:rPr>
                <w:rFonts w:ascii="Arial"/>
                <w:sz w:val="21"/>
              </w:rPr>
            </w:pPr>
          </w:p>
        </w:tc>
        <w:tc>
          <w:tcPr>
            <w:tcW w:w="2078" w:type="dxa"/>
            <w:vAlign w:val="top"/>
          </w:tcPr>
          <w:p w14:paraId="6F3DBA50">
            <w:pPr>
              <w:rPr>
                <w:rFonts w:ascii="Arial"/>
                <w:sz w:val="21"/>
              </w:rPr>
            </w:pPr>
          </w:p>
        </w:tc>
        <w:tc>
          <w:tcPr>
            <w:tcW w:w="2078" w:type="dxa"/>
            <w:vAlign w:val="top"/>
          </w:tcPr>
          <w:p w14:paraId="10FE1DB8">
            <w:pPr>
              <w:rPr>
                <w:rFonts w:ascii="Arial"/>
                <w:sz w:val="21"/>
              </w:rPr>
            </w:pPr>
          </w:p>
        </w:tc>
        <w:tc>
          <w:tcPr>
            <w:tcW w:w="2082" w:type="dxa"/>
            <w:vAlign w:val="top"/>
          </w:tcPr>
          <w:p w14:paraId="3E28F983">
            <w:pPr>
              <w:rPr>
                <w:rFonts w:ascii="Arial"/>
                <w:sz w:val="21"/>
              </w:rPr>
            </w:pPr>
          </w:p>
        </w:tc>
      </w:tr>
      <w:tr w14:paraId="0FC28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558E58B8">
            <w:pPr>
              <w:rPr>
                <w:rFonts w:ascii="Arial"/>
                <w:sz w:val="21"/>
              </w:rPr>
            </w:pPr>
          </w:p>
        </w:tc>
        <w:tc>
          <w:tcPr>
            <w:tcW w:w="2078" w:type="dxa"/>
            <w:vAlign w:val="top"/>
          </w:tcPr>
          <w:p w14:paraId="4A2FDE23">
            <w:pPr>
              <w:rPr>
                <w:rFonts w:ascii="Arial"/>
                <w:sz w:val="21"/>
              </w:rPr>
            </w:pPr>
          </w:p>
        </w:tc>
        <w:tc>
          <w:tcPr>
            <w:tcW w:w="2078" w:type="dxa"/>
            <w:vAlign w:val="top"/>
          </w:tcPr>
          <w:p w14:paraId="466D53DC">
            <w:pPr>
              <w:rPr>
                <w:rFonts w:ascii="Arial"/>
                <w:sz w:val="21"/>
              </w:rPr>
            </w:pPr>
          </w:p>
        </w:tc>
        <w:tc>
          <w:tcPr>
            <w:tcW w:w="2082" w:type="dxa"/>
            <w:vAlign w:val="top"/>
          </w:tcPr>
          <w:p w14:paraId="674B4228">
            <w:pPr>
              <w:rPr>
                <w:rFonts w:ascii="Arial"/>
                <w:sz w:val="21"/>
              </w:rPr>
            </w:pPr>
          </w:p>
        </w:tc>
      </w:tr>
      <w:tr w14:paraId="7E89E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0448A157">
            <w:pPr>
              <w:rPr>
                <w:rFonts w:ascii="Arial"/>
                <w:sz w:val="21"/>
              </w:rPr>
            </w:pPr>
          </w:p>
        </w:tc>
        <w:tc>
          <w:tcPr>
            <w:tcW w:w="2078" w:type="dxa"/>
            <w:vAlign w:val="top"/>
          </w:tcPr>
          <w:p w14:paraId="6739E9C3">
            <w:pPr>
              <w:rPr>
                <w:rFonts w:ascii="Arial"/>
                <w:sz w:val="21"/>
              </w:rPr>
            </w:pPr>
          </w:p>
        </w:tc>
        <w:tc>
          <w:tcPr>
            <w:tcW w:w="2078" w:type="dxa"/>
            <w:vAlign w:val="top"/>
          </w:tcPr>
          <w:p w14:paraId="101E6A70">
            <w:pPr>
              <w:rPr>
                <w:rFonts w:ascii="Arial"/>
                <w:sz w:val="21"/>
              </w:rPr>
            </w:pPr>
          </w:p>
        </w:tc>
        <w:tc>
          <w:tcPr>
            <w:tcW w:w="2082" w:type="dxa"/>
            <w:vAlign w:val="top"/>
          </w:tcPr>
          <w:p w14:paraId="78365A0C">
            <w:pPr>
              <w:rPr>
                <w:rFonts w:ascii="Arial"/>
                <w:sz w:val="21"/>
              </w:rPr>
            </w:pPr>
          </w:p>
        </w:tc>
      </w:tr>
      <w:tr w14:paraId="74F99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53148B5D">
            <w:pPr>
              <w:rPr>
                <w:rFonts w:ascii="Arial"/>
                <w:sz w:val="21"/>
              </w:rPr>
            </w:pPr>
          </w:p>
        </w:tc>
        <w:tc>
          <w:tcPr>
            <w:tcW w:w="2078" w:type="dxa"/>
            <w:vAlign w:val="top"/>
          </w:tcPr>
          <w:p w14:paraId="15FEC9EE">
            <w:pPr>
              <w:rPr>
                <w:rFonts w:ascii="Arial"/>
                <w:sz w:val="21"/>
              </w:rPr>
            </w:pPr>
          </w:p>
        </w:tc>
        <w:tc>
          <w:tcPr>
            <w:tcW w:w="2078" w:type="dxa"/>
            <w:vAlign w:val="top"/>
          </w:tcPr>
          <w:p w14:paraId="213488A6">
            <w:pPr>
              <w:rPr>
                <w:rFonts w:ascii="Arial"/>
                <w:sz w:val="21"/>
              </w:rPr>
            </w:pPr>
          </w:p>
        </w:tc>
        <w:tc>
          <w:tcPr>
            <w:tcW w:w="2082" w:type="dxa"/>
            <w:vAlign w:val="top"/>
          </w:tcPr>
          <w:p w14:paraId="3BE4DF0A">
            <w:pPr>
              <w:rPr>
                <w:rFonts w:ascii="Arial"/>
                <w:sz w:val="21"/>
              </w:rPr>
            </w:pPr>
          </w:p>
        </w:tc>
      </w:tr>
      <w:tr w14:paraId="78CBB1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11F56E96">
            <w:pPr>
              <w:rPr>
                <w:rFonts w:ascii="Arial"/>
                <w:sz w:val="21"/>
              </w:rPr>
            </w:pPr>
          </w:p>
        </w:tc>
        <w:tc>
          <w:tcPr>
            <w:tcW w:w="2078" w:type="dxa"/>
            <w:vAlign w:val="top"/>
          </w:tcPr>
          <w:p w14:paraId="755C8A70">
            <w:pPr>
              <w:rPr>
                <w:rFonts w:ascii="Arial"/>
                <w:sz w:val="21"/>
              </w:rPr>
            </w:pPr>
          </w:p>
        </w:tc>
        <w:tc>
          <w:tcPr>
            <w:tcW w:w="2078" w:type="dxa"/>
            <w:vAlign w:val="top"/>
          </w:tcPr>
          <w:p w14:paraId="34B80697">
            <w:pPr>
              <w:rPr>
                <w:rFonts w:ascii="Arial"/>
                <w:sz w:val="21"/>
              </w:rPr>
            </w:pPr>
          </w:p>
        </w:tc>
        <w:tc>
          <w:tcPr>
            <w:tcW w:w="2082" w:type="dxa"/>
            <w:vAlign w:val="top"/>
          </w:tcPr>
          <w:p w14:paraId="1745247C">
            <w:pPr>
              <w:rPr>
                <w:rFonts w:ascii="Arial"/>
                <w:sz w:val="21"/>
              </w:rPr>
            </w:pPr>
          </w:p>
        </w:tc>
      </w:tr>
      <w:tr w14:paraId="3C0E7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75CF3541">
            <w:pPr>
              <w:rPr>
                <w:rFonts w:ascii="Arial"/>
                <w:sz w:val="21"/>
              </w:rPr>
            </w:pPr>
          </w:p>
        </w:tc>
        <w:tc>
          <w:tcPr>
            <w:tcW w:w="2078" w:type="dxa"/>
            <w:vAlign w:val="top"/>
          </w:tcPr>
          <w:p w14:paraId="5B763F6C">
            <w:pPr>
              <w:rPr>
                <w:rFonts w:ascii="Arial"/>
                <w:sz w:val="21"/>
              </w:rPr>
            </w:pPr>
          </w:p>
        </w:tc>
        <w:tc>
          <w:tcPr>
            <w:tcW w:w="2078" w:type="dxa"/>
            <w:vAlign w:val="top"/>
          </w:tcPr>
          <w:p w14:paraId="4ADCE78C">
            <w:pPr>
              <w:rPr>
                <w:rFonts w:ascii="Arial"/>
                <w:sz w:val="21"/>
              </w:rPr>
            </w:pPr>
          </w:p>
        </w:tc>
        <w:tc>
          <w:tcPr>
            <w:tcW w:w="2082" w:type="dxa"/>
            <w:vAlign w:val="top"/>
          </w:tcPr>
          <w:p w14:paraId="290565A3">
            <w:pPr>
              <w:rPr>
                <w:rFonts w:ascii="Arial"/>
                <w:sz w:val="21"/>
              </w:rPr>
            </w:pPr>
          </w:p>
        </w:tc>
      </w:tr>
      <w:tr w14:paraId="0F462B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0BB46339">
            <w:pPr>
              <w:rPr>
                <w:rFonts w:ascii="Arial"/>
                <w:sz w:val="21"/>
              </w:rPr>
            </w:pPr>
          </w:p>
        </w:tc>
        <w:tc>
          <w:tcPr>
            <w:tcW w:w="2078" w:type="dxa"/>
            <w:vAlign w:val="top"/>
          </w:tcPr>
          <w:p w14:paraId="736125E9">
            <w:pPr>
              <w:rPr>
                <w:rFonts w:ascii="Arial"/>
                <w:sz w:val="21"/>
              </w:rPr>
            </w:pPr>
          </w:p>
        </w:tc>
        <w:tc>
          <w:tcPr>
            <w:tcW w:w="2078" w:type="dxa"/>
            <w:vAlign w:val="top"/>
          </w:tcPr>
          <w:p w14:paraId="693ADC60">
            <w:pPr>
              <w:rPr>
                <w:rFonts w:ascii="Arial"/>
                <w:sz w:val="21"/>
              </w:rPr>
            </w:pPr>
          </w:p>
        </w:tc>
        <w:tc>
          <w:tcPr>
            <w:tcW w:w="2082" w:type="dxa"/>
            <w:vAlign w:val="top"/>
          </w:tcPr>
          <w:p w14:paraId="69A2A74E">
            <w:pPr>
              <w:rPr>
                <w:rFonts w:ascii="Arial"/>
                <w:sz w:val="21"/>
              </w:rPr>
            </w:pPr>
          </w:p>
        </w:tc>
      </w:tr>
      <w:tr w14:paraId="694752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2C062327">
            <w:pPr>
              <w:rPr>
                <w:rFonts w:ascii="Arial"/>
                <w:sz w:val="21"/>
              </w:rPr>
            </w:pPr>
          </w:p>
        </w:tc>
        <w:tc>
          <w:tcPr>
            <w:tcW w:w="2078" w:type="dxa"/>
            <w:vAlign w:val="top"/>
          </w:tcPr>
          <w:p w14:paraId="36DE7367">
            <w:pPr>
              <w:rPr>
                <w:rFonts w:ascii="Arial"/>
                <w:sz w:val="21"/>
              </w:rPr>
            </w:pPr>
          </w:p>
        </w:tc>
        <w:tc>
          <w:tcPr>
            <w:tcW w:w="2078" w:type="dxa"/>
            <w:vAlign w:val="top"/>
          </w:tcPr>
          <w:p w14:paraId="3BA2EEBA">
            <w:pPr>
              <w:rPr>
                <w:rFonts w:ascii="Arial"/>
                <w:sz w:val="21"/>
              </w:rPr>
            </w:pPr>
          </w:p>
        </w:tc>
        <w:tc>
          <w:tcPr>
            <w:tcW w:w="2082" w:type="dxa"/>
            <w:vAlign w:val="top"/>
          </w:tcPr>
          <w:p w14:paraId="1FC2A3FD">
            <w:pPr>
              <w:rPr>
                <w:rFonts w:ascii="Arial"/>
                <w:sz w:val="21"/>
              </w:rPr>
            </w:pPr>
          </w:p>
        </w:tc>
      </w:tr>
      <w:tr w14:paraId="51BCBC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6B7717FF">
            <w:pPr>
              <w:rPr>
                <w:rFonts w:ascii="Arial"/>
                <w:sz w:val="21"/>
              </w:rPr>
            </w:pPr>
          </w:p>
        </w:tc>
        <w:tc>
          <w:tcPr>
            <w:tcW w:w="2078" w:type="dxa"/>
            <w:vAlign w:val="top"/>
          </w:tcPr>
          <w:p w14:paraId="7A0F77DE">
            <w:pPr>
              <w:rPr>
                <w:rFonts w:ascii="Arial"/>
                <w:sz w:val="21"/>
              </w:rPr>
            </w:pPr>
          </w:p>
        </w:tc>
        <w:tc>
          <w:tcPr>
            <w:tcW w:w="2078" w:type="dxa"/>
            <w:vAlign w:val="top"/>
          </w:tcPr>
          <w:p w14:paraId="25A130A6">
            <w:pPr>
              <w:rPr>
                <w:rFonts w:ascii="Arial"/>
                <w:sz w:val="21"/>
              </w:rPr>
            </w:pPr>
          </w:p>
        </w:tc>
        <w:tc>
          <w:tcPr>
            <w:tcW w:w="2082" w:type="dxa"/>
            <w:vAlign w:val="top"/>
          </w:tcPr>
          <w:p w14:paraId="679C5CDF">
            <w:pPr>
              <w:rPr>
                <w:rFonts w:ascii="Arial"/>
                <w:sz w:val="21"/>
              </w:rPr>
            </w:pPr>
          </w:p>
        </w:tc>
      </w:tr>
      <w:tr w14:paraId="178180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1EC9EE50">
            <w:pPr>
              <w:rPr>
                <w:rFonts w:ascii="Arial"/>
                <w:sz w:val="21"/>
              </w:rPr>
            </w:pPr>
          </w:p>
        </w:tc>
        <w:tc>
          <w:tcPr>
            <w:tcW w:w="2078" w:type="dxa"/>
            <w:vAlign w:val="top"/>
          </w:tcPr>
          <w:p w14:paraId="712EAA03">
            <w:pPr>
              <w:rPr>
                <w:rFonts w:ascii="Arial"/>
                <w:sz w:val="21"/>
              </w:rPr>
            </w:pPr>
          </w:p>
        </w:tc>
        <w:tc>
          <w:tcPr>
            <w:tcW w:w="2078" w:type="dxa"/>
            <w:vAlign w:val="top"/>
          </w:tcPr>
          <w:p w14:paraId="3A5BDC2E">
            <w:pPr>
              <w:rPr>
                <w:rFonts w:ascii="Arial"/>
                <w:sz w:val="21"/>
              </w:rPr>
            </w:pPr>
          </w:p>
        </w:tc>
        <w:tc>
          <w:tcPr>
            <w:tcW w:w="2082" w:type="dxa"/>
            <w:vAlign w:val="top"/>
          </w:tcPr>
          <w:p w14:paraId="6761B895">
            <w:pPr>
              <w:rPr>
                <w:rFonts w:ascii="Arial"/>
                <w:sz w:val="21"/>
              </w:rPr>
            </w:pPr>
          </w:p>
        </w:tc>
      </w:tr>
      <w:tr w14:paraId="2FAA3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271" w:type="dxa"/>
            <w:vAlign w:val="top"/>
          </w:tcPr>
          <w:p w14:paraId="6D3322A5">
            <w:pPr>
              <w:rPr>
                <w:rFonts w:ascii="Arial"/>
                <w:sz w:val="21"/>
              </w:rPr>
            </w:pPr>
          </w:p>
        </w:tc>
        <w:tc>
          <w:tcPr>
            <w:tcW w:w="2078" w:type="dxa"/>
            <w:vAlign w:val="top"/>
          </w:tcPr>
          <w:p w14:paraId="170D3BC8">
            <w:pPr>
              <w:rPr>
                <w:rFonts w:ascii="Arial"/>
                <w:sz w:val="21"/>
              </w:rPr>
            </w:pPr>
          </w:p>
        </w:tc>
        <w:tc>
          <w:tcPr>
            <w:tcW w:w="2078" w:type="dxa"/>
            <w:vAlign w:val="top"/>
          </w:tcPr>
          <w:p w14:paraId="71B1304B">
            <w:pPr>
              <w:rPr>
                <w:rFonts w:ascii="Arial"/>
                <w:sz w:val="21"/>
              </w:rPr>
            </w:pPr>
          </w:p>
        </w:tc>
        <w:tc>
          <w:tcPr>
            <w:tcW w:w="2082" w:type="dxa"/>
            <w:vAlign w:val="top"/>
          </w:tcPr>
          <w:p w14:paraId="3C45F56C">
            <w:pPr>
              <w:rPr>
                <w:rFonts w:ascii="Arial"/>
                <w:sz w:val="21"/>
              </w:rPr>
            </w:pPr>
          </w:p>
        </w:tc>
      </w:tr>
      <w:tr w14:paraId="62198B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46197489">
            <w:pPr>
              <w:rPr>
                <w:rFonts w:ascii="Arial"/>
                <w:sz w:val="21"/>
              </w:rPr>
            </w:pPr>
          </w:p>
        </w:tc>
        <w:tc>
          <w:tcPr>
            <w:tcW w:w="2078" w:type="dxa"/>
            <w:vAlign w:val="top"/>
          </w:tcPr>
          <w:p w14:paraId="3E1785F1">
            <w:pPr>
              <w:rPr>
                <w:rFonts w:ascii="Arial"/>
                <w:sz w:val="21"/>
              </w:rPr>
            </w:pPr>
          </w:p>
        </w:tc>
        <w:tc>
          <w:tcPr>
            <w:tcW w:w="2078" w:type="dxa"/>
            <w:vAlign w:val="top"/>
          </w:tcPr>
          <w:p w14:paraId="73651DA3">
            <w:pPr>
              <w:rPr>
                <w:rFonts w:ascii="Arial"/>
                <w:sz w:val="21"/>
              </w:rPr>
            </w:pPr>
          </w:p>
        </w:tc>
        <w:tc>
          <w:tcPr>
            <w:tcW w:w="2082" w:type="dxa"/>
            <w:vAlign w:val="top"/>
          </w:tcPr>
          <w:p w14:paraId="1F794505">
            <w:pPr>
              <w:rPr>
                <w:rFonts w:ascii="Arial"/>
                <w:sz w:val="21"/>
              </w:rPr>
            </w:pPr>
          </w:p>
        </w:tc>
      </w:tr>
      <w:tr w14:paraId="3F1908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271" w:type="dxa"/>
            <w:vAlign w:val="top"/>
          </w:tcPr>
          <w:p w14:paraId="6B73A5A0">
            <w:pPr>
              <w:rPr>
                <w:rFonts w:ascii="Arial"/>
                <w:sz w:val="21"/>
              </w:rPr>
            </w:pPr>
          </w:p>
        </w:tc>
        <w:tc>
          <w:tcPr>
            <w:tcW w:w="2078" w:type="dxa"/>
            <w:vAlign w:val="top"/>
          </w:tcPr>
          <w:p w14:paraId="40038E81">
            <w:pPr>
              <w:rPr>
                <w:rFonts w:ascii="Arial"/>
                <w:sz w:val="21"/>
              </w:rPr>
            </w:pPr>
          </w:p>
        </w:tc>
        <w:tc>
          <w:tcPr>
            <w:tcW w:w="2078" w:type="dxa"/>
            <w:vAlign w:val="top"/>
          </w:tcPr>
          <w:p w14:paraId="7047E53D">
            <w:pPr>
              <w:rPr>
                <w:rFonts w:ascii="Arial"/>
                <w:sz w:val="21"/>
              </w:rPr>
            </w:pPr>
          </w:p>
        </w:tc>
        <w:tc>
          <w:tcPr>
            <w:tcW w:w="2082" w:type="dxa"/>
            <w:vAlign w:val="top"/>
          </w:tcPr>
          <w:p w14:paraId="3CED1569">
            <w:pPr>
              <w:rPr>
                <w:rFonts w:ascii="Arial"/>
                <w:sz w:val="21"/>
              </w:rPr>
            </w:pPr>
          </w:p>
        </w:tc>
      </w:tr>
      <w:tr w14:paraId="7644F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29CC8542">
            <w:pPr>
              <w:rPr>
                <w:rFonts w:ascii="Arial"/>
                <w:sz w:val="21"/>
              </w:rPr>
            </w:pPr>
          </w:p>
        </w:tc>
        <w:tc>
          <w:tcPr>
            <w:tcW w:w="2078" w:type="dxa"/>
            <w:vAlign w:val="top"/>
          </w:tcPr>
          <w:p w14:paraId="0D210461">
            <w:pPr>
              <w:rPr>
                <w:rFonts w:ascii="Arial"/>
                <w:sz w:val="21"/>
              </w:rPr>
            </w:pPr>
          </w:p>
        </w:tc>
        <w:tc>
          <w:tcPr>
            <w:tcW w:w="2078" w:type="dxa"/>
            <w:vAlign w:val="top"/>
          </w:tcPr>
          <w:p w14:paraId="41354736">
            <w:pPr>
              <w:rPr>
                <w:rFonts w:ascii="Arial"/>
                <w:sz w:val="21"/>
              </w:rPr>
            </w:pPr>
          </w:p>
        </w:tc>
        <w:tc>
          <w:tcPr>
            <w:tcW w:w="2082" w:type="dxa"/>
            <w:vAlign w:val="top"/>
          </w:tcPr>
          <w:p w14:paraId="75CC9505">
            <w:pPr>
              <w:rPr>
                <w:rFonts w:ascii="Arial"/>
                <w:sz w:val="21"/>
              </w:rPr>
            </w:pPr>
          </w:p>
        </w:tc>
      </w:tr>
      <w:tr w14:paraId="262960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5F4B12F9">
            <w:pPr>
              <w:rPr>
                <w:rFonts w:ascii="Arial"/>
                <w:sz w:val="21"/>
              </w:rPr>
            </w:pPr>
          </w:p>
        </w:tc>
        <w:tc>
          <w:tcPr>
            <w:tcW w:w="2078" w:type="dxa"/>
            <w:vAlign w:val="top"/>
          </w:tcPr>
          <w:p w14:paraId="418FEF76">
            <w:pPr>
              <w:rPr>
                <w:rFonts w:ascii="Arial"/>
                <w:sz w:val="21"/>
              </w:rPr>
            </w:pPr>
          </w:p>
        </w:tc>
        <w:tc>
          <w:tcPr>
            <w:tcW w:w="2078" w:type="dxa"/>
            <w:vAlign w:val="top"/>
          </w:tcPr>
          <w:p w14:paraId="45DEE4D4">
            <w:pPr>
              <w:rPr>
                <w:rFonts w:ascii="Arial"/>
                <w:sz w:val="21"/>
              </w:rPr>
            </w:pPr>
          </w:p>
        </w:tc>
        <w:tc>
          <w:tcPr>
            <w:tcW w:w="2082" w:type="dxa"/>
            <w:vAlign w:val="top"/>
          </w:tcPr>
          <w:p w14:paraId="0CABA8FD">
            <w:pPr>
              <w:rPr>
                <w:rFonts w:ascii="Arial"/>
                <w:sz w:val="21"/>
              </w:rPr>
            </w:pPr>
          </w:p>
        </w:tc>
      </w:tr>
      <w:tr w14:paraId="70DD8D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4A2F902B">
            <w:pPr>
              <w:rPr>
                <w:rFonts w:ascii="Arial"/>
                <w:sz w:val="21"/>
              </w:rPr>
            </w:pPr>
          </w:p>
        </w:tc>
        <w:tc>
          <w:tcPr>
            <w:tcW w:w="2078" w:type="dxa"/>
            <w:vAlign w:val="top"/>
          </w:tcPr>
          <w:p w14:paraId="7D6DF646">
            <w:pPr>
              <w:rPr>
                <w:rFonts w:ascii="Arial"/>
                <w:sz w:val="21"/>
              </w:rPr>
            </w:pPr>
          </w:p>
        </w:tc>
        <w:tc>
          <w:tcPr>
            <w:tcW w:w="2078" w:type="dxa"/>
            <w:vAlign w:val="top"/>
          </w:tcPr>
          <w:p w14:paraId="35C47F6E">
            <w:pPr>
              <w:rPr>
                <w:rFonts w:ascii="Arial"/>
                <w:sz w:val="21"/>
              </w:rPr>
            </w:pPr>
          </w:p>
        </w:tc>
        <w:tc>
          <w:tcPr>
            <w:tcW w:w="2082" w:type="dxa"/>
            <w:vAlign w:val="top"/>
          </w:tcPr>
          <w:p w14:paraId="04DFF321">
            <w:pPr>
              <w:rPr>
                <w:rFonts w:ascii="Arial"/>
                <w:sz w:val="21"/>
              </w:rPr>
            </w:pPr>
          </w:p>
        </w:tc>
      </w:tr>
      <w:tr w14:paraId="67A932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2FC5E3E8">
            <w:pPr>
              <w:rPr>
                <w:rFonts w:ascii="Arial"/>
                <w:sz w:val="21"/>
              </w:rPr>
            </w:pPr>
          </w:p>
        </w:tc>
        <w:tc>
          <w:tcPr>
            <w:tcW w:w="2078" w:type="dxa"/>
            <w:vAlign w:val="top"/>
          </w:tcPr>
          <w:p w14:paraId="5F00322A">
            <w:pPr>
              <w:rPr>
                <w:rFonts w:ascii="Arial"/>
                <w:sz w:val="21"/>
              </w:rPr>
            </w:pPr>
          </w:p>
        </w:tc>
        <w:tc>
          <w:tcPr>
            <w:tcW w:w="2078" w:type="dxa"/>
            <w:vAlign w:val="top"/>
          </w:tcPr>
          <w:p w14:paraId="3C4028EA">
            <w:pPr>
              <w:rPr>
                <w:rFonts w:ascii="Arial"/>
                <w:sz w:val="21"/>
              </w:rPr>
            </w:pPr>
          </w:p>
        </w:tc>
        <w:tc>
          <w:tcPr>
            <w:tcW w:w="2082" w:type="dxa"/>
            <w:vAlign w:val="top"/>
          </w:tcPr>
          <w:p w14:paraId="5CF207CF">
            <w:pPr>
              <w:rPr>
                <w:rFonts w:ascii="Arial"/>
                <w:sz w:val="21"/>
              </w:rPr>
            </w:pPr>
          </w:p>
        </w:tc>
      </w:tr>
      <w:tr w14:paraId="78B94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34813D23">
            <w:pPr>
              <w:rPr>
                <w:rFonts w:ascii="Arial"/>
                <w:sz w:val="21"/>
              </w:rPr>
            </w:pPr>
          </w:p>
        </w:tc>
        <w:tc>
          <w:tcPr>
            <w:tcW w:w="2078" w:type="dxa"/>
            <w:vAlign w:val="top"/>
          </w:tcPr>
          <w:p w14:paraId="59D9BAAE">
            <w:pPr>
              <w:rPr>
                <w:rFonts w:ascii="Arial"/>
                <w:sz w:val="21"/>
              </w:rPr>
            </w:pPr>
          </w:p>
        </w:tc>
        <w:tc>
          <w:tcPr>
            <w:tcW w:w="2078" w:type="dxa"/>
            <w:vAlign w:val="top"/>
          </w:tcPr>
          <w:p w14:paraId="0E6F7622">
            <w:pPr>
              <w:rPr>
                <w:rFonts w:ascii="Arial"/>
                <w:sz w:val="21"/>
              </w:rPr>
            </w:pPr>
          </w:p>
        </w:tc>
        <w:tc>
          <w:tcPr>
            <w:tcW w:w="2082" w:type="dxa"/>
            <w:vAlign w:val="top"/>
          </w:tcPr>
          <w:p w14:paraId="304ED495">
            <w:pPr>
              <w:rPr>
                <w:rFonts w:ascii="Arial"/>
                <w:sz w:val="21"/>
              </w:rPr>
            </w:pPr>
          </w:p>
        </w:tc>
      </w:tr>
      <w:tr w14:paraId="61001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2271" w:type="dxa"/>
            <w:vAlign w:val="top"/>
          </w:tcPr>
          <w:p w14:paraId="1D4CE57C">
            <w:pPr>
              <w:rPr>
                <w:rFonts w:ascii="Arial"/>
                <w:sz w:val="21"/>
              </w:rPr>
            </w:pPr>
          </w:p>
        </w:tc>
        <w:tc>
          <w:tcPr>
            <w:tcW w:w="2078" w:type="dxa"/>
            <w:vAlign w:val="top"/>
          </w:tcPr>
          <w:p w14:paraId="05C8330C">
            <w:pPr>
              <w:rPr>
                <w:rFonts w:ascii="Arial"/>
                <w:sz w:val="21"/>
              </w:rPr>
            </w:pPr>
          </w:p>
        </w:tc>
        <w:tc>
          <w:tcPr>
            <w:tcW w:w="2078" w:type="dxa"/>
            <w:vAlign w:val="top"/>
          </w:tcPr>
          <w:p w14:paraId="41612321">
            <w:pPr>
              <w:rPr>
                <w:rFonts w:ascii="Arial"/>
                <w:sz w:val="21"/>
              </w:rPr>
            </w:pPr>
          </w:p>
        </w:tc>
        <w:tc>
          <w:tcPr>
            <w:tcW w:w="2082" w:type="dxa"/>
            <w:vAlign w:val="top"/>
          </w:tcPr>
          <w:p w14:paraId="69E5E9ED">
            <w:pPr>
              <w:rPr>
                <w:rFonts w:ascii="Arial"/>
                <w:sz w:val="21"/>
              </w:rPr>
            </w:pPr>
          </w:p>
        </w:tc>
      </w:tr>
    </w:tbl>
    <w:p w14:paraId="50BA4900">
      <w:pPr>
        <w:rPr>
          <w:rFonts w:ascii="Arial"/>
          <w:sz w:val="21"/>
        </w:rPr>
      </w:pPr>
    </w:p>
    <w:p w14:paraId="10AC0909">
      <w:pPr>
        <w:rPr>
          <w:rFonts w:ascii="Arial" w:hAnsi="Arial" w:eastAsia="Arial" w:cs="Arial"/>
          <w:sz w:val="21"/>
          <w:szCs w:val="21"/>
        </w:rPr>
        <w:sectPr>
          <w:footerReference r:id="rId559" w:type="default"/>
          <w:pgSz w:w="11907" w:h="16840"/>
          <w:pgMar w:top="400" w:right="1786" w:bottom="1247" w:left="1469" w:header="0" w:footer="1085" w:gutter="0"/>
          <w:cols w:space="720" w:num="1"/>
        </w:sectPr>
      </w:pPr>
    </w:p>
    <w:p w14:paraId="54E122A7">
      <w:pPr>
        <w:spacing w:line="276" w:lineRule="auto"/>
        <w:rPr>
          <w:rFonts w:ascii="Arial"/>
          <w:sz w:val="21"/>
        </w:rPr>
      </w:pPr>
    </w:p>
    <w:p w14:paraId="0AE53016">
      <w:pPr>
        <w:spacing w:line="276" w:lineRule="auto"/>
        <w:rPr>
          <w:rFonts w:ascii="Arial"/>
          <w:sz w:val="21"/>
        </w:rPr>
      </w:pPr>
    </w:p>
    <w:p w14:paraId="072C903A">
      <w:pPr>
        <w:spacing w:line="276" w:lineRule="auto"/>
        <w:rPr>
          <w:rFonts w:ascii="Arial"/>
          <w:sz w:val="21"/>
        </w:rPr>
      </w:pPr>
    </w:p>
    <w:p w14:paraId="09E9F4FD">
      <w:pPr>
        <w:spacing w:line="276" w:lineRule="auto"/>
        <w:rPr>
          <w:rFonts w:ascii="Arial"/>
          <w:sz w:val="21"/>
        </w:rPr>
      </w:pPr>
    </w:p>
    <w:p w14:paraId="062DDC4C">
      <w:pPr>
        <w:spacing w:line="277" w:lineRule="auto"/>
        <w:rPr>
          <w:rFonts w:ascii="Arial"/>
          <w:sz w:val="21"/>
        </w:rPr>
      </w:pPr>
    </w:p>
    <w:p w14:paraId="1005FE62">
      <w:pPr>
        <w:pStyle w:val="2"/>
        <w:spacing w:before="91" w:line="223" w:lineRule="auto"/>
        <w:ind w:left="3172"/>
        <w:outlineLvl w:val="1"/>
        <w:rPr>
          <w:sz w:val="28"/>
          <w:szCs w:val="28"/>
        </w:rPr>
      </w:pPr>
      <w:bookmarkStart w:id="463" w:name="bookmark439"/>
      <w:bookmarkEnd w:id="463"/>
      <w:r>
        <w:rPr>
          <w:spacing w:val="-2"/>
          <w:sz w:val="28"/>
          <w:szCs w:val="28"/>
        </w:rPr>
        <w:t>十一、其他材料</w:t>
      </w:r>
    </w:p>
    <w:sectPr>
      <w:footerReference r:id="rId560" w:type="default"/>
      <w:pgSz w:w="11907" w:h="16840"/>
      <w:pgMar w:top="400" w:right="1786" w:bottom="1247" w:left="1786" w:header="0" w:footer="108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D6488">
    <w:pPr>
      <w:spacing w:line="176" w:lineRule="auto"/>
      <w:ind w:left="4143"/>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7327D">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87F68">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3526A">
    <w:pPr>
      <w:spacing w:line="176" w:lineRule="auto"/>
      <w:ind w:left="4125"/>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13FE2">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50693">
    <w:pPr>
      <w:spacing w:line="173" w:lineRule="auto"/>
      <w:ind w:left="4141"/>
      <w:rPr>
        <w:rFonts w:ascii="Times New Roman" w:hAnsi="Times New Roman" w:eastAsia="Times New Roman" w:cs="Times New Roman"/>
        <w:sz w:val="18"/>
        <w:szCs w:val="18"/>
      </w:rPr>
    </w:pPr>
    <w:r>
      <w:rPr>
        <w:rFonts w:ascii="Times New Roman" w:hAnsi="Times New Roman" w:eastAsia="Times New Roman" w:cs="Times New Roman"/>
        <w:sz w:val="18"/>
        <w:szCs w:val="18"/>
      </w:rPr>
      <w:t>I</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04F42">
    <w:pPr>
      <w:spacing w:line="173" w:lineRule="auto"/>
      <w:ind w:left="411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II</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266CF">
    <w:pPr>
      <w:spacing w:line="173"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III</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55B97">
    <w:pPr>
      <w:spacing w:line="173" w:lineRule="auto"/>
      <w:ind w:left="407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IV</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A22DC">
    <w:pPr>
      <w:spacing w:line="173" w:lineRule="auto"/>
      <w:ind w:left="4102"/>
      <w:rPr>
        <w:rFonts w:ascii="Times New Roman" w:hAnsi="Times New Roman" w:eastAsia="Times New Roman" w:cs="Times New Roman"/>
        <w:sz w:val="18"/>
        <w:szCs w:val="18"/>
      </w:rPr>
    </w:pPr>
    <w:r>
      <w:rPr>
        <w:rFonts w:ascii="Times New Roman" w:hAnsi="Times New Roman" w:eastAsia="Times New Roman" w:cs="Times New Roman"/>
        <w:sz w:val="18"/>
        <w:szCs w:val="18"/>
      </w:rPr>
      <w:t>V</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B9F1C">
    <w:pPr>
      <w:spacing w:line="173" w:lineRule="auto"/>
      <w:ind w:left="40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VI</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D2DA1">
    <w:pPr>
      <w:spacing w:line="173" w:lineRule="auto"/>
      <w:ind w:left="4042"/>
      <w:rPr>
        <w:rFonts w:ascii="Times New Roman" w:hAnsi="Times New Roman" w:eastAsia="Times New Roman" w:cs="Times New Roman"/>
        <w:sz w:val="18"/>
        <w:szCs w:val="18"/>
      </w:rPr>
    </w:pPr>
    <w:r>
      <w:rPr>
        <w:rFonts w:ascii="Times New Roman" w:hAnsi="Times New Roman" w:eastAsia="Times New Roman" w:cs="Times New Roman"/>
        <w:sz w:val="18"/>
        <w:szCs w:val="18"/>
      </w:rPr>
      <w:t>VII</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57821">
    <w:pPr>
      <w:spacing w:line="173" w:lineRule="auto"/>
      <w:ind w:left="40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VIII</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197B7">
    <w:pPr>
      <w:spacing w:line="173" w:lineRule="auto"/>
      <w:ind w:left="407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IX</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365EB">
    <w:pPr>
      <w:spacing w:line="173" w:lineRule="auto"/>
      <w:ind w:left="4102"/>
      <w:rPr>
        <w:rFonts w:ascii="Times New Roman" w:hAnsi="Times New Roman" w:eastAsia="Times New Roman" w:cs="Times New Roman"/>
        <w:sz w:val="18"/>
        <w:szCs w:val="18"/>
      </w:rPr>
    </w:pPr>
    <w:r>
      <w:rPr>
        <w:rFonts w:ascii="Times New Roman" w:hAnsi="Times New Roman" w:eastAsia="Times New Roman" w:cs="Times New Roman"/>
        <w:sz w:val="18"/>
        <w:szCs w:val="18"/>
      </w:rPr>
      <w:t>X</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F81BF">
    <w:pPr>
      <w:spacing w:line="173" w:lineRule="auto"/>
      <w:ind w:left="407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XI</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742F4">
    <w:pPr>
      <w:spacing w:line="173" w:lineRule="auto"/>
      <w:ind w:left="4042"/>
      <w:rPr>
        <w:rFonts w:ascii="Times New Roman" w:hAnsi="Times New Roman" w:eastAsia="Times New Roman" w:cs="Times New Roman"/>
        <w:sz w:val="18"/>
        <w:szCs w:val="18"/>
      </w:rPr>
    </w:pPr>
    <w:r>
      <w:rPr>
        <w:rFonts w:ascii="Times New Roman" w:hAnsi="Times New Roman" w:eastAsia="Times New Roman" w:cs="Times New Roman"/>
        <w:sz w:val="18"/>
        <w:szCs w:val="18"/>
      </w:rPr>
      <w:t>XII</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4F2CD">
    <w:pPr>
      <w:spacing w:line="176" w:lineRule="auto"/>
      <w:ind w:left="4143"/>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8CF31">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A03A9">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1E484">
    <w:pPr>
      <w:spacing w:line="176" w:lineRule="auto"/>
      <w:ind w:left="4125"/>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C968B">
    <w:pPr>
      <w:spacing w:line="173" w:lineRule="auto"/>
      <w:ind w:left="4131"/>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A5BA8">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DE145">
    <w:pPr>
      <w:spacing w:line="173" w:lineRule="auto"/>
      <w:ind w:left="4129"/>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2A4AF">
    <w:pPr>
      <w:spacing w:line="176" w:lineRule="auto"/>
      <w:ind w:left="4133"/>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6C637">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DD243">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10</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E1C22">
    <w:pPr>
      <w:spacing w:line="176" w:lineRule="auto"/>
      <w:ind w:left="4100"/>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52654">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CB71C">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A0EE0">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14</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04B4">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AED86">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16</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351D4">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17</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AEB1B">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18</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63FD1">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19</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29AD3">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20</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26E14">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21</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BC1C0">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22</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CBB80">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23</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382B5">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24</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CD9AC">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11922">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26</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A892C">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27</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C24A7">
    <w:pPr>
      <w:spacing w:line="176" w:lineRule="auto"/>
      <w:ind w:left="41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28</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AFFA3">
    <w:pPr>
      <w:spacing w:line="176" w:lineRule="auto"/>
      <w:ind w:left="692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29</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2F0CC">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30</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1C1AF">
    <w:pPr>
      <w:spacing w:line="239" w:lineRule="exact"/>
      <w:ind w:left="4335"/>
      <w:rPr>
        <w:rFonts w:ascii="Arial" w:hAnsi="Arial" w:eastAsia="Arial" w:cs="Arial"/>
        <w:sz w:val="20"/>
        <w:szCs w:val="20"/>
      </w:rPr>
    </w:pPr>
    <w:r>
      <w:rPr>
        <w:rFonts w:ascii="Arial" w:hAnsi="Arial" w:eastAsia="Arial" w:cs="Arial"/>
        <w:spacing w:val="-10"/>
        <w:sz w:val="20"/>
        <w:szCs w:val="20"/>
      </w:rPr>
      <w:t>31</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D5952">
    <w:pPr>
      <w:spacing w:line="239" w:lineRule="exact"/>
      <w:ind w:left="4358"/>
      <w:rPr>
        <w:rFonts w:ascii="Arial" w:hAnsi="Arial" w:eastAsia="Arial" w:cs="Arial"/>
        <w:sz w:val="20"/>
        <w:szCs w:val="20"/>
      </w:rPr>
    </w:pPr>
    <w:r>
      <w:rPr>
        <w:rFonts w:ascii="Arial" w:hAnsi="Arial" w:eastAsia="Arial" w:cs="Arial"/>
        <w:spacing w:val="-10"/>
        <w:sz w:val="20"/>
        <w:szCs w:val="20"/>
      </w:rPr>
      <w:t>32</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BCD04">
    <w:pPr>
      <w:spacing w:line="239" w:lineRule="exact"/>
      <w:ind w:left="4358"/>
      <w:rPr>
        <w:rFonts w:ascii="Arial" w:hAnsi="Arial" w:eastAsia="Arial" w:cs="Arial"/>
        <w:sz w:val="20"/>
        <w:szCs w:val="20"/>
      </w:rPr>
    </w:pPr>
    <w:r>
      <w:rPr>
        <w:rFonts w:ascii="Arial" w:hAnsi="Arial" w:eastAsia="Arial" w:cs="Arial"/>
        <w:spacing w:val="-10"/>
        <w:sz w:val="20"/>
        <w:szCs w:val="20"/>
      </w:rPr>
      <w:t>33</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CCEF0">
    <w:pPr>
      <w:spacing w:line="239" w:lineRule="exact"/>
      <w:ind w:left="4358"/>
      <w:rPr>
        <w:rFonts w:ascii="Arial" w:hAnsi="Arial" w:eastAsia="Arial" w:cs="Arial"/>
        <w:sz w:val="20"/>
        <w:szCs w:val="20"/>
      </w:rPr>
    </w:pPr>
    <w:r>
      <w:rPr>
        <w:rFonts w:ascii="Arial" w:hAnsi="Arial" w:eastAsia="Arial" w:cs="Arial"/>
        <w:spacing w:val="-10"/>
        <w:sz w:val="20"/>
        <w:szCs w:val="20"/>
      </w:rPr>
      <w:t>34</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9A69B">
    <w:pPr>
      <w:spacing w:line="239" w:lineRule="exact"/>
      <w:ind w:left="4358"/>
      <w:rPr>
        <w:rFonts w:ascii="Arial" w:hAnsi="Arial" w:eastAsia="Arial" w:cs="Arial"/>
        <w:sz w:val="20"/>
        <w:szCs w:val="20"/>
      </w:rPr>
    </w:pPr>
    <w:r>
      <w:rPr>
        <w:rFonts w:ascii="Arial" w:hAnsi="Arial" w:eastAsia="Arial" w:cs="Arial"/>
        <w:spacing w:val="-10"/>
        <w:sz w:val="20"/>
        <w:szCs w:val="20"/>
      </w:rPr>
      <w:t>35</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8F581">
    <w:pPr>
      <w:spacing w:line="239" w:lineRule="exact"/>
      <w:ind w:left="4359"/>
      <w:rPr>
        <w:rFonts w:ascii="Arial" w:hAnsi="Arial" w:eastAsia="Arial" w:cs="Arial"/>
        <w:sz w:val="20"/>
        <w:szCs w:val="20"/>
      </w:rPr>
    </w:pPr>
    <w:r>
      <w:rPr>
        <w:rFonts w:ascii="Arial" w:hAnsi="Arial" w:eastAsia="Arial" w:cs="Arial"/>
        <w:spacing w:val="-10"/>
        <w:sz w:val="20"/>
        <w:szCs w:val="20"/>
      </w:rPr>
      <w:t>36</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C09B">
    <w:pPr>
      <w:spacing w:line="239" w:lineRule="exact"/>
      <w:ind w:left="4348"/>
      <w:rPr>
        <w:rFonts w:ascii="Arial" w:hAnsi="Arial" w:eastAsia="Arial" w:cs="Arial"/>
        <w:sz w:val="20"/>
        <w:szCs w:val="20"/>
      </w:rPr>
    </w:pPr>
    <w:r>
      <w:rPr>
        <w:rFonts w:ascii="Arial" w:hAnsi="Arial" w:eastAsia="Arial" w:cs="Arial"/>
        <w:spacing w:val="-10"/>
        <w:sz w:val="20"/>
        <w:szCs w:val="20"/>
      </w:rPr>
      <w:t>37</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01B56">
    <w:pPr>
      <w:spacing w:line="239" w:lineRule="exact"/>
      <w:ind w:left="4045"/>
      <w:rPr>
        <w:rFonts w:ascii="Arial" w:hAnsi="Arial" w:eastAsia="Arial" w:cs="Arial"/>
        <w:sz w:val="20"/>
        <w:szCs w:val="20"/>
      </w:rPr>
    </w:pPr>
    <w:r>
      <w:rPr>
        <w:rFonts w:ascii="Arial" w:hAnsi="Arial" w:eastAsia="Arial" w:cs="Arial"/>
        <w:spacing w:val="-10"/>
        <w:sz w:val="20"/>
        <w:szCs w:val="20"/>
      </w:rPr>
      <w:t>38</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578A4">
    <w:pPr>
      <w:spacing w:line="239" w:lineRule="exact"/>
      <w:ind w:left="4362"/>
      <w:rPr>
        <w:rFonts w:ascii="Arial" w:hAnsi="Arial" w:eastAsia="Arial" w:cs="Arial"/>
        <w:sz w:val="20"/>
        <w:szCs w:val="20"/>
      </w:rPr>
    </w:pPr>
    <w:r>
      <w:rPr>
        <w:rFonts w:ascii="Arial" w:hAnsi="Arial" w:eastAsia="Arial" w:cs="Arial"/>
        <w:spacing w:val="-10"/>
        <w:sz w:val="20"/>
        <w:szCs w:val="20"/>
      </w:rPr>
      <w:t>39</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9FA73">
    <w:pPr>
      <w:spacing w:line="239" w:lineRule="exact"/>
      <w:ind w:left="4361"/>
      <w:rPr>
        <w:rFonts w:ascii="Arial" w:hAnsi="Arial" w:eastAsia="Arial" w:cs="Arial"/>
        <w:sz w:val="20"/>
        <w:szCs w:val="20"/>
      </w:rPr>
    </w:pPr>
    <w:r>
      <w:rPr>
        <w:rFonts w:ascii="Arial" w:hAnsi="Arial" w:eastAsia="Arial" w:cs="Arial"/>
        <w:spacing w:val="-9"/>
        <w:sz w:val="20"/>
        <w:szCs w:val="20"/>
      </w:rPr>
      <w:t>40</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D432C">
    <w:pPr>
      <w:spacing w:line="239" w:lineRule="exact"/>
      <w:ind w:left="4361"/>
      <w:rPr>
        <w:rFonts w:ascii="Arial" w:hAnsi="Arial" w:eastAsia="Arial" w:cs="Arial"/>
        <w:sz w:val="20"/>
        <w:szCs w:val="20"/>
      </w:rPr>
    </w:pPr>
    <w:r>
      <w:rPr>
        <w:rFonts w:ascii="Arial" w:hAnsi="Arial" w:eastAsia="Arial" w:cs="Arial"/>
        <w:spacing w:val="-9"/>
        <w:sz w:val="20"/>
        <w:szCs w:val="20"/>
      </w:rPr>
      <w:t>41</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EE747">
    <w:pPr>
      <w:spacing w:line="239" w:lineRule="exact"/>
      <w:ind w:left="4361"/>
      <w:rPr>
        <w:rFonts w:ascii="Arial" w:hAnsi="Arial" w:eastAsia="Arial" w:cs="Arial"/>
        <w:sz w:val="20"/>
        <w:szCs w:val="20"/>
      </w:rPr>
    </w:pPr>
    <w:r>
      <w:rPr>
        <w:rFonts w:ascii="Arial" w:hAnsi="Arial" w:eastAsia="Arial" w:cs="Arial"/>
        <w:spacing w:val="-8"/>
        <w:w w:val="99"/>
        <w:sz w:val="20"/>
        <w:szCs w:val="20"/>
      </w:rPr>
      <w:t>42</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315CB">
    <w:pPr>
      <w:spacing w:line="239" w:lineRule="exact"/>
      <w:ind w:left="4361"/>
      <w:rPr>
        <w:rFonts w:ascii="Arial" w:hAnsi="Arial" w:eastAsia="Arial" w:cs="Arial"/>
        <w:sz w:val="20"/>
        <w:szCs w:val="20"/>
      </w:rPr>
    </w:pPr>
    <w:r>
      <w:rPr>
        <w:rFonts w:ascii="Arial" w:hAnsi="Arial" w:eastAsia="Arial" w:cs="Arial"/>
        <w:spacing w:val="-9"/>
        <w:sz w:val="20"/>
        <w:szCs w:val="20"/>
      </w:rPr>
      <w:t>43</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157DD">
    <w:pPr>
      <w:spacing w:line="239" w:lineRule="exact"/>
      <w:ind w:left="4361"/>
      <w:rPr>
        <w:rFonts w:ascii="Arial" w:hAnsi="Arial" w:eastAsia="Arial" w:cs="Arial"/>
        <w:sz w:val="20"/>
        <w:szCs w:val="20"/>
      </w:rPr>
    </w:pPr>
    <w:r>
      <w:rPr>
        <w:rFonts w:ascii="Arial" w:hAnsi="Arial" w:eastAsia="Arial" w:cs="Arial"/>
        <w:spacing w:val="-4"/>
        <w:w w:val="95"/>
        <w:sz w:val="20"/>
        <w:szCs w:val="20"/>
      </w:rPr>
      <w:t>44</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CABE5">
    <w:pPr>
      <w:spacing w:line="239" w:lineRule="exact"/>
      <w:ind w:left="4346"/>
      <w:rPr>
        <w:rFonts w:ascii="Arial" w:hAnsi="Arial" w:eastAsia="Arial" w:cs="Arial"/>
        <w:sz w:val="20"/>
        <w:szCs w:val="20"/>
      </w:rPr>
    </w:pPr>
    <w:r>
      <w:rPr>
        <w:rFonts w:ascii="Arial" w:hAnsi="Arial" w:eastAsia="Arial" w:cs="Arial"/>
        <w:spacing w:val="-9"/>
        <w:sz w:val="20"/>
        <w:szCs w:val="20"/>
      </w:rPr>
      <w:t>45</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530DA">
    <w:pPr>
      <w:spacing w:line="239" w:lineRule="exact"/>
      <w:ind w:left="4361"/>
      <w:rPr>
        <w:rFonts w:ascii="Arial" w:hAnsi="Arial" w:eastAsia="Arial" w:cs="Arial"/>
        <w:sz w:val="20"/>
        <w:szCs w:val="20"/>
      </w:rPr>
    </w:pPr>
    <w:r>
      <w:rPr>
        <w:rFonts w:ascii="Arial" w:hAnsi="Arial" w:eastAsia="Arial" w:cs="Arial"/>
        <w:spacing w:val="-9"/>
        <w:sz w:val="20"/>
        <w:szCs w:val="20"/>
      </w:rPr>
      <w:t>46</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0B43B">
    <w:pPr>
      <w:spacing w:line="239" w:lineRule="exact"/>
      <w:ind w:left="4361"/>
      <w:rPr>
        <w:rFonts w:ascii="Arial" w:hAnsi="Arial" w:eastAsia="Arial" w:cs="Arial"/>
        <w:sz w:val="20"/>
        <w:szCs w:val="20"/>
      </w:rPr>
    </w:pPr>
    <w:r>
      <w:rPr>
        <w:rFonts w:ascii="Arial" w:hAnsi="Arial" w:eastAsia="Arial" w:cs="Arial"/>
        <w:spacing w:val="-9"/>
        <w:sz w:val="20"/>
        <w:szCs w:val="20"/>
      </w:rPr>
      <w:t>47</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E9B3A">
    <w:pPr>
      <w:spacing w:line="239" w:lineRule="exact"/>
      <w:ind w:left="4361"/>
      <w:rPr>
        <w:rFonts w:ascii="Arial" w:hAnsi="Arial" w:eastAsia="Arial" w:cs="Arial"/>
        <w:sz w:val="20"/>
        <w:szCs w:val="20"/>
      </w:rPr>
    </w:pPr>
    <w:r>
      <w:rPr>
        <w:rFonts w:ascii="Arial" w:hAnsi="Arial" w:eastAsia="Arial" w:cs="Arial"/>
        <w:spacing w:val="-9"/>
        <w:sz w:val="20"/>
        <w:szCs w:val="20"/>
      </w:rPr>
      <w:t>48</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27ACC">
    <w:pPr>
      <w:spacing w:line="239" w:lineRule="exact"/>
      <w:ind w:left="4361"/>
      <w:rPr>
        <w:rFonts w:ascii="Arial" w:hAnsi="Arial" w:eastAsia="Arial" w:cs="Arial"/>
        <w:sz w:val="20"/>
        <w:szCs w:val="20"/>
      </w:rPr>
    </w:pPr>
    <w:r>
      <w:rPr>
        <w:rFonts w:ascii="Arial" w:hAnsi="Arial" w:eastAsia="Arial" w:cs="Arial"/>
        <w:spacing w:val="-9"/>
        <w:sz w:val="20"/>
        <w:szCs w:val="20"/>
      </w:rPr>
      <w:t>49</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A5479">
    <w:pPr>
      <w:spacing w:line="239" w:lineRule="exact"/>
      <w:ind w:left="4364"/>
      <w:rPr>
        <w:rFonts w:ascii="Arial" w:hAnsi="Arial" w:eastAsia="Arial" w:cs="Arial"/>
        <w:sz w:val="20"/>
        <w:szCs w:val="20"/>
      </w:rPr>
    </w:pPr>
    <w:r>
      <w:rPr>
        <w:rFonts w:ascii="Arial" w:hAnsi="Arial" w:eastAsia="Arial" w:cs="Arial"/>
        <w:spacing w:val="-11"/>
        <w:sz w:val="20"/>
        <w:szCs w:val="20"/>
      </w:rPr>
      <w:t>50</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AB694">
    <w:pPr>
      <w:spacing w:line="239" w:lineRule="exact"/>
      <w:ind w:left="4364"/>
      <w:rPr>
        <w:rFonts w:ascii="Arial" w:hAnsi="Arial" w:eastAsia="Arial" w:cs="Arial"/>
        <w:sz w:val="20"/>
        <w:szCs w:val="20"/>
      </w:rPr>
    </w:pPr>
    <w:r>
      <w:rPr>
        <w:rFonts w:ascii="Arial" w:hAnsi="Arial" w:eastAsia="Arial" w:cs="Arial"/>
        <w:spacing w:val="-11"/>
        <w:sz w:val="20"/>
        <w:szCs w:val="20"/>
      </w:rPr>
      <w:t>51</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4F40A">
    <w:pPr>
      <w:spacing w:line="239" w:lineRule="exact"/>
      <w:ind w:left="4364"/>
      <w:rPr>
        <w:rFonts w:ascii="Arial" w:hAnsi="Arial" w:eastAsia="Arial" w:cs="Arial"/>
        <w:sz w:val="20"/>
        <w:szCs w:val="20"/>
      </w:rPr>
    </w:pPr>
    <w:r>
      <w:rPr>
        <w:rFonts w:ascii="Arial" w:hAnsi="Arial" w:eastAsia="Arial" w:cs="Arial"/>
        <w:spacing w:val="-11"/>
        <w:sz w:val="20"/>
        <w:szCs w:val="20"/>
      </w:rPr>
      <w:t>52</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BBB65">
    <w:pPr>
      <w:spacing w:line="239" w:lineRule="exact"/>
      <w:ind w:left="4364"/>
      <w:rPr>
        <w:rFonts w:ascii="Arial" w:hAnsi="Arial" w:eastAsia="Arial" w:cs="Arial"/>
        <w:sz w:val="20"/>
        <w:szCs w:val="20"/>
      </w:rPr>
    </w:pPr>
    <w:r>
      <w:rPr>
        <w:rFonts w:ascii="Arial" w:hAnsi="Arial" w:eastAsia="Arial" w:cs="Arial"/>
        <w:spacing w:val="-11"/>
        <w:sz w:val="20"/>
        <w:szCs w:val="20"/>
      </w:rPr>
      <w:t>53</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EAFCB">
    <w:pPr>
      <w:spacing w:line="239" w:lineRule="exact"/>
      <w:ind w:left="4364"/>
      <w:rPr>
        <w:rFonts w:ascii="Arial" w:hAnsi="Arial" w:eastAsia="Arial" w:cs="Arial"/>
        <w:sz w:val="20"/>
        <w:szCs w:val="20"/>
      </w:rPr>
    </w:pPr>
    <w:r>
      <w:rPr>
        <w:rFonts w:ascii="Arial" w:hAnsi="Arial" w:eastAsia="Arial" w:cs="Arial"/>
        <w:spacing w:val="-11"/>
        <w:sz w:val="20"/>
        <w:szCs w:val="20"/>
      </w:rPr>
      <w:t>54</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F0A95">
    <w:pPr>
      <w:spacing w:line="239" w:lineRule="exact"/>
      <w:ind w:left="4364"/>
      <w:rPr>
        <w:rFonts w:ascii="Arial" w:hAnsi="Arial" w:eastAsia="Arial" w:cs="Arial"/>
        <w:sz w:val="20"/>
        <w:szCs w:val="20"/>
      </w:rPr>
    </w:pPr>
    <w:r>
      <w:rPr>
        <w:rFonts w:ascii="Arial" w:hAnsi="Arial" w:eastAsia="Arial" w:cs="Arial"/>
        <w:spacing w:val="-11"/>
        <w:sz w:val="20"/>
        <w:szCs w:val="20"/>
      </w:rPr>
      <w:t>55</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7B081">
    <w:pPr>
      <w:spacing w:line="239" w:lineRule="exact"/>
      <w:ind w:left="4364"/>
      <w:rPr>
        <w:rFonts w:ascii="Arial" w:hAnsi="Arial" w:eastAsia="Arial" w:cs="Arial"/>
        <w:sz w:val="20"/>
        <w:szCs w:val="20"/>
      </w:rPr>
    </w:pPr>
    <w:r>
      <w:rPr>
        <w:rFonts w:ascii="Arial" w:hAnsi="Arial" w:eastAsia="Arial" w:cs="Arial"/>
        <w:spacing w:val="-11"/>
        <w:sz w:val="20"/>
        <w:szCs w:val="20"/>
      </w:rPr>
      <w:t>56</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59490">
    <w:pPr>
      <w:spacing w:line="239" w:lineRule="exact"/>
      <w:ind w:left="4364"/>
      <w:rPr>
        <w:rFonts w:ascii="Arial" w:hAnsi="Arial" w:eastAsia="Arial" w:cs="Arial"/>
        <w:sz w:val="20"/>
        <w:szCs w:val="20"/>
      </w:rPr>
    </w:pPr>
    <w:r>
      <w:rPr>
        <w:rFonts w:ascii="Arial" w:hAnsi="Arial" w:eastAsia="Arial" w:cs="Arial"/>
        <w:spacing w:val="-11"/>
        <w:sz w:val="20"/>
        <w:szCs w:val="20"/>
      </w:rPr>
      <w:t>57</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D65CC">
    <w:pPr>
      <w:spacing w:line="239" w:lineRule="exact"/>
      <w:ind w:left="4364"/>
      <w:rPr>
        <w:rFonts w:ascii="Arial" w:hAnsi="Arial" w:eastAsia="Arial" w:cs="Arial"/>
        <w:sz w:val="20"/>
        <w:szCs w:val="20"/>
      </w:rPr>
    </w:pPr>
    <w:r>
      <w:rPr>
        <w:rFonts w:ascii="Arial" w:hAnsi="Arial" w:eastAsia="Arial" w:cs="Arial"/>
        <w:spacing w:val="-11"/>
        <w:sz w:val="20"/>
        <w:szCs w:val="20"/>
      </w:rPr>
      <w:t>58</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A10DA">
    <w:pPr>
      <w:spacing w:line="239" w:lineRule="exact"/>
      <w:ind w:left="4364"/>
      <w:rPr>
        <w:rFonts w:ascii="Arial" w:hAnsi="Arial" w:eastAsia="Arial" w:cs="Arial"/>
        <w:sz w:val="20"/>
        <w:szCs w:val="20"/>
      </w:rPr>
    </w:pPr>
    <w:r>
      <w:rPr>
        <w:rFonts w:ascii="Arial" w:hAnsi="Arial" w:eastAsia="Arial" w:cs="Arial"/>
        <w:spacing w:val="-11"/>
        <w:sz w:val="20"/>
        <w:szCs w:val="20"/>
      </w:rPr>
      <w:t>59</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34DA5">
    <w:pPr>
      <w:spacing w:line="239" w:lineRule="exact"/>
      <w:ind w:left="4362"/>
      <w:rPr>
        <w:rFonts w:ascii="Arial" w:hAnsi="Arial" w:eastAsia="Arial" w:cs="Arial"/>
        <w:sz w:val="20"/>
        <w:szCs w:val="20"/>
      </w:rPr>
    </w:pPr>
    <w:r>
      <w:rPr>
        <w:rFonts w:ascii="Arial" w:hAnsi="Arial" w:eastAsia="Arial" w:cs="Arial"/>
        <w:spacing w:val="-10"/>
        <w:sz w:val="20"/>
        <w:szCs w:val="20"/>
      </w:rPr>
      <w:t>60</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7CE6B">
    <w:pPr>
      <w:spacing w:line="239" w:lineRule="exact"/>
      <w:ind w:left="4362"/>
      <w:rPr>
        <w:rFonts w:ascii="Arial" w:hAnsi="Arial" w:eastAsia="Arial" w:cs="Arial"/>
        <w:sz w:val="20"/>
        <w:szCs w:val="20"/>
      </w:rPr>
    </w:pPr>
    <w:r>
      <w:rPr>
        <w:rFonts w:ascii="Arial" w:hAnsi="Arial" w:eastAsia="Arial" w:cs="Arial"/>
        <w:spacing w:val="-10"/>
        <w:sz w:val="20"/>
        <w:szCs w:val="20"/>
      </w:rPr>
      <w:t>61</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5756D">
    <w:pPr>
      <w:spacing w:line="239" w:lineRule="exact"/>
      <w:ind w:left="4362"/>
      <w:rPr>
        <w:rFonts w:ascii="Arial" w:hAnsi="Arial" w:eastAsia="Arial" w:cs="Arial"/>
        <w:sz w:val="20"/>
        <w:szCs w:val="20"/>
      </w:rPr>
    </w:pPr>
    <w:r>
      <w:rPr>
        <w:rFonts w:ascii="Arial" w:hAnsi="Arial" w:eastAsia="Arial" w:cs="Arial"/>
        <w:spacing w:val="-10"/>
        <w:sz w:val="20"/>
        <w:szCs w:val="20"/>
      </w:rPr>
      <w:t>62</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0006E">
    <w:pPr>
      <w:spacing w:line="239" w:lineRule="exact"/>
      <w:ind w:left="4362"/>
      <w:rPr>
        <w:rFonts w:ascii="Arial" w:hAnsi="Arial" w:eastAsia="Arial" w:cs="Arial"/>
        <w:sz w:val="20"/>
        <w:szCs w:val="20"/>
      </w:rPr>
    </w:pPr>
    <w:r>
      <w:rPr>
        <w:rFonts w:ascii="Arial" w:hAnsi="Arial" w:eastAsia="Arial" w:cs="Arial"/>
        <w:spacing w:val="-10"/>
        <w:sz w:val="20"/>
        <w:szCs w:val="20"/>
      </w:rPr>
      <w:t>63</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ECA22">
    <w:pPr>
      <w:spacing w:line="239" w:lineRule="exact"/>
      <w:ind w:left="4362"/>
      <w:rPr>
        <w:rFonts w:ascii="Arial" w:hAnsi="Arial" w:eastAsia="Arial" w:cs="Arial"/>
        <w:sz w:val="20"/>
        <w:szCs w:val="20"/>
      </w:rPr>
    </w:pPr>
    <w:r>
      <w:rPr>
        <w:rFonts w:ascii="Arial" w:hAnsi="Arial" w:eastAsia="Arial" w:cs="Arial"/>
        <w:spacing w:val="-10"/>
        <w:sz w:val="20"/>
        <w:szCs w:val="20"/>
      </w:rPr>
      <w:t>64</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19B71">
    <w:pPr>
      <w:spacing w:line="239" w:lineRule="exact"/>
      <w:ind w:left="4362"/>
      <w:rPr>
        <w:rFonts w:ascii="Arial" w:hAnsi="Arial" w:eastAsia="Arial" w:cs="Arial"/>
        <w:sz w:val="20"/>
        <w:szCs w:val="20"/>
      </w:rPr>
    </w:pPr>
    <w:r>
      <w:rPr>
        <w:rFonts w:ascii="Arial" w:hAnsi="Arial" w:eastAsia="Arial" w:cs="Arial"/>
        <w:spacing w:val="-10"/>
        <w:sz w:val="20"/>
        <w:szCs w:val="20"/>
      </w:rPr>
      <w:t>65</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1C666">
    <w:pPr>
      <w:spacing w:line="239" w:lineRule="exact"/>
      <w:ind w:left="4362"/>
      <w:rPr>
        <w:rFonts w:ascii="Arial" w:hAnsi="Arial" w:eastAsia="Arial" w:cs="Arial"/>
        <w:sz w:val="20"/>
        <w:szCs w:val="20"/>
      </w:rPr>
    </w:pPr>
    <w:r>
      <w:rPr>
        <w:rFonts w:ascii="Arial" w:hAnsi="Arial" w:eastAsia="Arial" w:cs="Arial"/>
        <w:spacing w:val="-10"/>
        <w:sz w:val="20"/>
        <w:szCs w:val="20"/>
      </w:rPr>
      <w:t>66</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EE086">
    <w:pPr>
      <w:spacing w:line="239" w:lineRule="exact"/>
      <w:ind w:left="4362"/>
      <w:rPr>
        <w:rFonts w:ascii="Arial" w:hAnsi="Arial" w:eastAsia="Arial" w:cs="Arial"/>
        <w:sz w:val="20"/>
        <w:szCs w:val="20"/>
      </w:rPr>
    </w:pPr>
    <w:r>
      <w:rPr>
        <w:rFonts w:ascii="Arial" w:hAnsi="Arial" w:eastAsia="Arial" w:cs="Arial"/>
        <w:spacing w:val="-10"/>
        <w:sz w:val="20"/>
        <w:szCs w:val="20"/>
      </w:rPr>
      <w:t>67</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8C961">
    <w:pPr>
      <w:spacing w:line="239" w:lineRule="exact"/>
      <w:ind w:left="4362"/>
      <w:rPr>
        <w:rFonts w:ascii="Arial" w:hAnsi="Arial" w:eastAsia="Arial" w:cs="Arial"/>
        <w:sz w:val="20"/>
        <w:szCs w:val="20"/>
      </w:rPr>
    </w:pPr>
    <w:r>
      <w:rPr>
        <w:rFonts w:ascii="Arial" w:hAnsi="Arial" w:eastAsia="Arial" w:cs="Arial"/>
        <w:spacing w:val="-10"/>
        <w:sz w:val="20"/>
        <w:szCs w:val="20"/>
      </w:rPr>
      <w:t>68</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25A6A">
    <w:pPr>
      <w:spacing w:line="239" w:lineRule="exact"/>
      <w:ind w:left="4362"/>
      <w:rPr>
        <w:rFonts w:ascii="Arial" w:hAnsi="Arial" w:eastAsia="Arial" w:cs="Arial"/>
        <w:sz w:val="20"/>
        <w:szCs w:val="20"/>
      </w:rPr>
    </w:pPr>
    <w:r>
      <w:rPr>
        <w:rFonts w:ascii="Arial" w:hAnsi="Arial" w:eastAsia="Arial" w:cs="Arial"/>
        <w:spacing w:val="-10"/>
        <w:sz w:val="20"/>
        <w:szCs w:val="20"/>
      </w:rPr>
      <w:t>69</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AE7E7">
    <w:pPr>
      <w:spacing w:line="239" w:lineRule="exact"/>
      <w:ind w:left="4362"/>
      <w:rPr>
        <w:rFonts w:ascii="Arial" w:hAnsi="Arial" w:eastAsia="Arial" w:cs="Arial"/>
        <w:sz w:val="20"/>
        <w:szCs w:val="20"/>
      </w:rPr>
    </w:pPr>
    <w:r>
      <w:rPr>
        <w:rFonts w:ascii="Arial" w:hAnsi="Arial" w:eastAsia="Arial" w:cs="Arial"/>
        <w:spacing w:val="-10"/>
        <w:sz w:val="20"/>
        <w:szCs w:val="20"/>
      </w:rPr>
      <w:t>70</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A04F1">
    <w:pPr>
      <w:spacing w:line="239" w:lineRule="exact"/>
      <w:ind w:left="4362"/>
      <w:rPr>
        <w:rFonts w:ascii="Arial" w:hAnsi="Arial" w:eastAsia="Arial" w:cs="Arial"/>
        <w:sz w:val="20"/>
        <w:szCs w:val="20"/>
      </w:rPr>
    </w:pPr>
    <w:r>
      <w:rPr>
        <w:rFonts w:ascii="Arial" w:hAnsi="Arial" w:eastAsia="Arial" w:cs="Arial"/>
        <w:spacing w:val="-10"/>
        <w:sz w:val="20"/>
        <w:szCs w:val="20"/>
      </w:rPr>
      <w:t>71</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50BAD">
    <w:pPr>
      <w:spacing w:line="239" w:lineRule="exact"/>
      <w:ind w:left="4362"/>
      <w:rPr>
        <w:rFonts w:ascii="Arial" w:hAnsi="Arial" w:eastAsia="Arial" w:cs="Arial"/>
        <w:sz w:val="20"/>
        <w:szCs w:val="20"/>
      </w:rPr>
    </w:pPr>
    <w:r>
      <w:rPr>
        <w:rFonts w:ascii="Arial" w:hAnsi="Arial" w:eastAsia="Arial" w:cs="Arial"/>
        <w:spacing w:val="-10"/>
        <w:sz w:val="20"/>
        <w:szCs w:val="20"/>
      </w:rPr>
      <w:t>72</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1A3E5">
    <w:pPr>
      <w:spacing w:line="239" w:lineRule="exact"/>
      <w:ind w:left="4362"/>
      <w:rPr>
        <w:rFonts w:ascii="Arial" w:hAnsi="Arial" w:eastAsia="Arial" w:cs="Arial"/>
        <w:sz w:val="20"/>
        <w:szCs w:val="20"/>
      </w:rPr>
    </w:pPr>
    <w:r>
      <w:rPr>
        <w:rFonts w:ascii="Arial" w:hAnsi="Arial" w:eastAsia="Arial" w:cs="Arial"/>
        <w:spacing w:val="-10"/>
        <w:sz w:val="20"/>
        <w:szCs w:val="20"/>
      </w:rPr>
      <w:t>73</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FA52C">
    <w:pPr>
      <w:spacing w:line="239" w:lineRule="exact"/>
      <w:ind w:left="4362"/>
      <w:rPr>
        <w:rFonts w:ascii="Arial" w:hAnsi="Arial" w:eastAsia="Arial" w:cs="Arial"/>
        <w:sz w:val="20"/>
        <w:szCs w:val="20"/>
      </w:rPr>
    </w:pPr>
    <w:r>
      <w:rPr>
        <w:rFonts w:ascii="Arial" w:hAnsi="Arial" w:eastAsia="Arial" w:cs="Arial"/>
        <w:spacing w:val="-10"/>
        <w:sz w:val="20"/>
        <w:szCs w:val="20"/>
      </w:rPr>
      <w:t>74</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EB007">
    <w:pPr>
      <w:spacing w:line="239" w:lineRule="exact"/>
      <w:ind w:left="4362"/>
      <w:rPr>
        <w:rFonts w:ascii="Arial" w:hAnsi="Arial" w:eastAsia="Arial" w:cs="Arial"/>
        <w:sz w:val="20"/>
        <w:szCs w:val="20"/>
      </w:rPr>
    </w:pPr>
    <w:r>
      <w:rPr>
        <w:rFonts w:ascii="Arial" w:hAnsi="Arial" w:eastAsia="Arial" w:cs="Arial"/>
        <w:spacing w:val="-10"/>
        <w:sz w:val="20"/>
        <w:szCs w:val="20"/>
      </w:rPr>
      <w:t>75</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3A40C">
    <w:pPr>
      <w:spacing w:line="239" w:lineRule="exact"/>
      <w:ind w:left="4362"/>
      <w:rPr>
        <w:rFonts w:ascii="Arial" w:hAnsi="Arial" w:eastAsia="Arial" w:cs="Arial"/>
        <w:sz w:val="20"/>
        <w:szCs w:val="20"/>
      </w:rPr>
    </w:pPr>
    <w:r>
      <w:rPr>
        <w:rFonts w:ascii="Arial" w:hAnsi="Arial" w:eastAsia="Arial" w:cs="Arial"/>
        <w:spacing w:val="-10"/>
        <w:sz w:val="20"/>
        <w:szCs w:val="20"/>
      </w:rPr>
      <w:t>76</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A5BE0">
    <w:pPr>
      <w:spacing w:line="239" w:lineRule="exact"/>
      <w:ind w:left="4362"/>
      <w:rPr>
        <w:rFonts w:ascii="Arial" w:hAnsi="Arial" w:eastAsia="Arial" w:cs="Arial"/>
        <w:sz w:val="20"/>
        <w:szCs w:val="20"/>
      </w:rPr>
    </w:pPr>
    <w:r>
      <w:rPr>
        <w:rFonts w:ascii="Arial" w:hAnsi="Arial" w:eastAsia="Arial" w:cs="Arial"/>
        <w:spacing w:val="-10"/>
        <w:sz w:val="20"/>
        <w:szCs w:val="20"/>
      </w:rPr>
      <w:t>77</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1B4EB">
    <w:pPr>
      <w:spacing w:line="239" w:lineRule="exact"/>
      <w:ind w:left="4362"/>
      <w:rPr>
        <w:rFonts w:ascii="Arial" w:hAnsi="Arial" w:eastAsia="Arial" w:cs="Arial"/>
        <w:sz w:val="20"/>
        <w:szCs w:val="20"/>
      </w:rPr>
    </w:pPr>
    <w:r>
      <w:rPr>
        <w:rFonts w:ascii="Arial" w:hAnsi="Arial" w:eastAsia="Arial" w:cs="Arial"/>
        <w:spacing w:val="-10"/>
        <w:sz w:val="20"/>
        <w:szCs w:val="20"/>
      </w:rPr>
      <w:t>78</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985A7">
    <w:pPr>
      <w:spacing w:line="239" w:lineRule="exact"/>
      <w:ind w:left="4362"/>
      <w:rPr>
        <w:rFonts w:ascii="Arial" w:hAnsi="Arial" w:eastAsia="Arial" w:cs="Arial"/>
        <w:sz w:val="20"/>
        <w:szCs w:val="20"/>
      </w:rPr>
    </w:pPr>
    <w:r>
      <w:rPr>
        <w:rFonts w:ascii="Arial" w:hAnsi="Arial" w:eastAsia="Arial" w:cs="Arial"/>
        <w:spacing w:val="-10"/>
        <w:sz w:val="20"/>
        <w:szCs w:val="20"/>
      </w:rPr>
      <w:t>79</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899BB">
    <w:pPr>
      <w:spacing w:line="239" w:lineRule="exact"/>
      <w:ind w:left="4361"/>
      <w:rPr>
        <w:rFonts w:ascii="Arial" w:hAnsi="Arial" w:eastAsia="Arial" w:cs="Arial"/>
        <w:sz w:val="20"/>
        <w:szCs w:val="20"/>
      </w:rPr>
    </w:pPr>
    <w:r>
      <w:rPr>
        <w:rFonts w:ascii="Arial" w:hAnsi="Arial" w:eastAsia="Arial" w:cs="Arial"/>
        <w:spacing w:val="-9"/>
        <w:sz w:val="20"/>
        <w:szCs w:val="20"/>
      </w:rPr>
      <w:t>80</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0897E">
    <w:pPr>
      <w:spacing w:line="239" w:lineRule="exact"/>
      <w:ind w:left="4361"/>
      <w:rPr>
        <w:rFonts w:ascii="Arial" w:hAnsi="Arial" w:eastAsia="Arial" w:cs="Arial"/>
        <w:sz w:val="20"/>
        <w:szCs w:val="20"/>
      </w:rPr>
    </w:pPr>
    <w:r>
      <w:rPr>
        <w:rFonts w:ascii="Arial" w:hAnsi="Arial" w:eastAsia="Arial" w:cs="Arial"/>
        <w:spacing w:val="-9"/>
        <w:sz w:val="20"/>
        <w:szCs w:val="20"/>
      </w:rPr>
      <w:t>81</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5B25E">
    <w:pPr>
      <w:spacing w:line="239" w:lineRule="exact"/>
      <w:ind w:left="4352"/>
      <w:rPr>
        <w:rFonts w:ascii="Arial" w:hAnsi="Arial" w:eastAsia="Arial" w:cs="Arial"/>
        <w:sz w:val="20"/>
        <w:szCs w:val="20"/>
      </w:rPr>
    </w:pPr>
    <w:r>
      <w:rPr>
        <w:rFonts w:ascii="Arial" w:hAnsi="Arial" w:eastAsia="Arial" w:cs="Arial"/>
        <w:spacing w:val="-9"/>
        <w:sz w:val="20"/>
        <w:szCs w:val="20"/>
      </w:rPr>
      <w:t>82</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9E5A5">
    <w:pPr>
      <w:spacing w:line="239" w:lineRule="exact"/>
      <w:ind w:left="4348"/>
      <w:rPr>
        <w:rFonts w:ascii="Arial" w:hAnsi="Arial" w:eastAsia="Arial" w:cs="Arial"/>
        <w:sz w:val="20"/>
        <w:szCs w:val="20"/>
      </w:rPr>
    </w:pPr>
    <w:r>
      <w:rPr>
        <w:rFonts w:ascii="Arial" w:hAnsi="Arial" w:eastAsia="Arial" w:cs="Arial"/>
        <w:spacing w:val="-9"/>
        <w:sz w:val="20"/>
        <w:szCs w:val="20"/>
      </w:rPr>
      <w:t>83</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D2B9B">
    <w:pPr>
      <w:spacing w:line="239" w:lineRule="exact"/>
      <w:ind w:left="4359"/>
      <w:rPr>
        <w:rFonts w:ascii="Arial" w:hAnsi="Arial" w:eastAsia="Arial" w:cs="Arial"/>
        <w:sz w:val="20"/>
        <w:szCs w:val="20"/>
      </w:rPr>
    </w:pPr>
    <w:r>
      <w:rPr>
        <w:rFonts w:ascii="Arial" w:hAnsi="Arial" w:eastAsia="Arial" w:cs="Arial"/>
        <w:spacing w:val="-9"/>
        <w:sz w:val="20"/>
        <w:szCs w:val="20"/>
      </w:rPr>
      <w:t>84</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CCD76">
    <w:pPr>
      <w:spacing w:line="239" w:lineRule="exact"/>
      <w:ind w:left="4355"/>
      <w:rPr>
        <w:rFonts w:ascii="Arial" w:hAnsi="Arial" w:eastAsia="Arial" w:cs="Arial"/>
        <w:sz w:val="20"/>
        <w:szCs w:val="20"/>
      </w:rPr>
    </w:pPr>
    <w:r>
      <w:rPr>
        <w:rFonts w:ascii="Arial" w:hAnsi="Arial" w:eastAsia="Arial" w:cs="Arial"/>
        <w:spacing w:val="-9"/>
        <w:sz w:val="20"/>
        <w:szCs w:val="20"/>
      </w:rPr>
      <w:t>85</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A7A38">
    <w:pPr>
      <w:spacing w:line="239" w:lineRule="exact"/>
      <w:ind w:left="4355"/>
      <w:rPr>
        <w:rFonts w:ascii="Arial" w:hAnsi="Arial" w:eastAsia="Arial" w:cs="Arial"/>
        <w:sz w:val="20"/>
        <w:szCs w:val="20"/>
      </w:rPr>
    </w:pPr>
    <w:r>
      <w:rPr>
        <w:rFonts w:ascii="Arial" w:hAnsi="Arial" w:eastAsia="Arial" w:cs="Arial"/>
        <w:spacing w:val="-9"/>
        <w:sz w:val="20"/>
        <w:szCs w:val="20"/>
      </w:rPr>
      <w:t>86</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30489">
    <w:pPr>
      <w:spacing w:line="239" w:lineRule="exact"/>
      <w:ind w:left="4355"/>
      <w:rPr>
        <w:rFonts w:ascii="Arial" w:hAnsi="Arial" w:eastAsia="Arial" w:cs="Arial"/>
        <w:sz w:val="20"/>
        <w:szCs w:val="20"/>
      </w:rPr>
    </w:pPr>
    <w:r>
      <w:rPr>
        <w:rFonts w:ascii="Arial" w:hAnsi="Arial" w:eastAsia="Arial" w:cs="Arial"/>
        <w:spacing w:val="-9"/>
        <w:sz w:val="20"/>
        <w:szCs w:val="20"/>
      </w:rPr>
      <w:t>87</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1DF93">
    <w:pPr>
      <w:spacing w:line="239" w:lineRule="exact"/>
      <w:ind w:left="4355"/>
      <w:rPr>
        <w:rFonts w:ascii="Arial" w:hAnsi="Arial" w:eastAsia="Arial" w:cs="Arial"/>
        <w:sz w:val="20"/>
        <w:szCs w:val="20"/>
      </w:rPr>
    </w:pPr>
    <w:r>
      <w:rPr>
        <w:rFonts w:ascii="Arial" w:hAnsi="Arial" w:eastAsia="Arial" w:cs="Arial"/>
        <w:spacing w:val="-9"/>
        <w:sz w:val="20"/>
        <w:szCs w:val="20"/>
      </w:rPr>
      <w:t>88</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92C08">
    <w:pPr>
      <w:spacing w:line="239" w:lineRule="exact"/>
      <w:ind w:left="4355"/>
      <w:rPr>
        <w:rFonts w:ascii="Arial" w:hAnsi="Arial" w:eastAsia="Arial" w:cs="Arial"/>
        <w:sz w:val="20"/>
        <w:szCs w:val="20"/>
      </w:rPr>
    </w:pPr>
    <w:r>
      <w:rPr>
        <w:rFonts w:ascii="Arial" w:hAnsi="Arial" w:eastAsia="Arial" w:cs="Arial"/>
        <w:spacing w:val="-9"/>
        <w:sz w:val="20"/>
        <w:szCs w:val="20"/>
      </w:rPr>
      <w:t>89</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8F139">
    <w:pPr>
      <w:spacing w:line="239" w:lineRule="exact"/>
      <w:ind w:left="4355"/>
      <w:rPr>
        <w:rFonts w:ascii="Arial" w:hAnsi="Arial" w:eastAsia="Arial" w:cs="Arial"/>
        <w:sz w:val="20"/>
        <w:szCs w:val="20"/>
      </w:rPr>
    </w:pPr>
    <w:r>
      <w:rPr>
        <w:rFonts w:ascii="Arial" w:hAnsi="Arial" w:eastAsia="Arial" w:cs="Arial"/>
        <w:spacing w:val="-9"/>
        <w:sz w:val="20"/>
        <w:szCs w:val="20"/>
      </w:rPr>
      <w:t>90</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2CC0B">
    <w:pPr>
      <w:spacing w:line="239" w:lineRule="exact"/>
      <w:ind w:left="4355"/>
      <w:rPr>
        <w:rFonts w:ascii="Arial" w:hAnsi="Arial" w:eastAsia="Arial" w:cs="Arial"/>
        <w:sz w:val="20"/>
        <w:szCs w:val="20"/>
      </w:rPr>
    </w:pPr>
    <w:r>
      <w:rPr>
        <w:rFonts w:ascii="Arial" w:hAnsi="Arial" w:eastAsia="Arial" w:cs="Arial"/>
        <w:spacing w:val="-9"/>
        <w:sz w:val="20"/>
        <w:szCs w:val="20"/>
      </w:rPr>
      <w:t>91</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B6DAB">
    <w:pPr>
      <w:spacing w:line="239" w:lineRule="exact"/>
      <w:ind w:left="4355"/>
      <w:rPr>
        <w:rFonts w:ascii="Arial" w:hAnsi="Arial" w:eastAsia="Arial" w:cs="Arial"/>
        <w:sz w:val="20"/>
        <w:szCs w:val="20"/>
      </w:rPr>
    </w:pPr>
    <w:r>
      <w:rPr>
        <w:rFonts w:ascii="Arial" w:hAnsi="Arial" w:eastAsia="Arial" w:cs="Arial"/>
        <w:spacing w:val="-9"/>
        <w:sz w:val="20"/>
        <w:szCs w:val="20"/>
      </w:rPr>
      <w:t>92</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528C3">
    <w:pPr>
      <w:spacing w:line="239" w:lineRule="exact"/>
      <w:ind w:left="4352"/>
      <w:rPr>
        <w:rFonts w:ascii="Arial" w:hAnsi="Arial" w:eastAsia="Arial" w:cs="Arial"/>
        <w:sz w:val="20"/>
        <w:szCs w:val="20"/>
      </w:rPr>
    </w:pPr>
    <w:r>
      <w:rPr>
        <w:rFonts w:ascii="Arial" w:hAnsi="Arial" w:eastAsia="Arial" w:cs="Arial"/>
        <w:spacing w:val="-9"/>
        <w:sz w:val="20"/>
        <w:szCs w:val="20"/>
      </w:rPr>
      <w:t>93</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952F2">
    <w:pPr>
      <w:spacing w:line="239" w:lineRule="exact"/>
      <w:ind w:left="4350"/>
      <w:rPr>
        <w:rFonts w:ascii="Arial" w:hAnsi="Arial" w:eastAsia="Arial" w:cs="Arial"/>
        <w:sz w:val="20"/>
        <w:szCs w:val="20"/>
      </w:rPr>
    </w:pPr>
    <w:r>
      <w:rPr>
        <w:rFonts w:ascii="Arial" w:hAnsi="Arial" w:eastAsia="Arial" w:cs="Arial"/>
        <w:spacing w:val="-9"/>
        <w:sz w:val="20"/>
        <w:szCs w:val="20"/>
      </w:rPr>
      <w:t>94</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F9FC5">
    <w:pPr>
      <w:spacing w:line="239" w:lineRule="exact"/>
      <w:ind w:left="4350"/>
      <w:rPr>
        <w:rFonts w:ascii="Arial" w:hAnsi="Arial" w:eastAsia="Arial" w:cs="Arial"/>
        <w:sz w:val="20"/>
        <w:szCs w:val="20"/>
      </w:rPr>
    </w:pPr>
    <w:r>
      <w:rPr>
        <w:rFonts w:ascii="Arial" w:hAnsi="Arial" w:eastAsia="Arial" w:cs="Arial"/>
        <w:spacing w:val="-9"/>
        <w:sz w:val="20"/>
        <w:szCs w:val="20"/>
      </w:rPr>
      <w:t>95</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4E51B">
    <w:pPr>
      <w:spacing w:line="239" w:lineRule="exact"/>
      <w:ind w:left="4349"/>
      <w:rPr>
        <w:rFonts w:ascii="Arial" w:hAnsi="Arial" w:eastAsia="Arial" w:cs="Arial"/>
        <w:sz w:val="20"/>
        <w:szCs w:val="20"/>
      </w:rPr>
    </w:pPr>
    <w:r>
      <w:rPr>
        <w:rFonts w:ascii="Arial" w:hAnsi="Arial" w:eastAsia="Arial" w:cs="Arial"/>
        <w:spacing w:val="-9"/>
        <w:sz w:val="20"/>
        <w:szCs w:val="20"/>
      </w:rPr>
      <w:t>96</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0B0AC">
    <w:pPr>
      <w:spacing w:line="239" w:lineRule="exact"/>
      <w:ind w:left="4354"/>
      <w:rPr>
        <w:rFonts w:ascii="Arial" w:hAnsi="Arial" w:eastAsia="Arial" w:cs="Arial"/>
        <w:sz w:val="20"/>
        <w:szCs w:val="20"/>
      </w:rPr>
    </w:pPr>
    <w:r>
      <w:rPr>
        <w:rFonts w:ascii="Arial" w:hAnsi="Arial" w:eastAsia="Arial" w:cs="Arial"/>
        <w:spacing w:val="-9"/>
        <w:sz w:val="20"/>
        <w:szCs w:val="20"/>
      </w:rPr>
      <w:t>97</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F41CF">
    <w:pPr>
      <w:spacing w:line="239" w:lineRule="exact"/>
      <w:ind w:left="4352"/>
      <w:rPr>
        <w:rFonts w:ascii="Arial" w:hAnsi="Arial" w:eastAsia="Arial" w:cs="Arial"/>
        <w:sz w:val="20"/>
        <w:szCs w:val="20"/>
      </w:rPr>
    </w:pPr>
    <w:r>
      <w:rPr>
        <w:rFonts w:ascii="Arial" w:hAnsi="Arial" w:eastAsia="Arial" w:cs="Arial"/>
        <w:spacing w:val="-9"/>
        <w:sz w:val="20"/>
        <w:szCs w:val="20"/>
      </w:rPr>
      <w:t>98</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50415">
    <w:pPr>
      <w:spacing w:line="239" w:lineRule="exact"/>
      <w:ind w:left="4349"/>
      <w:rPr>
        <w:rFonts w:ascii="Arial" w:hAnsi="Arial" w:eastAsia="Arial" w:cs="Arial"/>
        <w:sz w:val="20"/>
        <w:szCs w:val="20"/>
      </w:rPr>
    </w:pPr>
    <w:r>
      <w:rPr>
        <w:rFonts w:ascii="Arial" w:hAnsi="Arial" w:eastAsia="Arial" w:cs="Arial"/>
        <w:spacing w:val="-9"/>
        <w:sz w:val="20"/>
        <w:szCs w:val="20"/>
      </w:rPr>
      <w:t>99</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58467">
    <w:pPr>
      <w:spacing w:line="239" w:lineRule="exact"/>
      <w:ind w:left="4433"/>
      <w:rPr>
        <w:rFonts w:ascii="Arial" w:hAnsi="Arial" w:eastAsia="Arial" w:cs="Arial"/>
        <w:sz w:val="20"/>
        <w:szCs w:val="20"/>
      </w:rPr>
    </w:pPr>
    <w:r>
      <w:rPr>
        <w:rFonts w:ascii="Arial" w:hAnsi="Arial" w:eastAsia="Arial" w:cs="Arial"/>
        <w:spacing w:val="-14"/>
        <w:sz w:val="20"/>
        <w:szCs w:val="20"/>
      </w:rPr>
      <w:t>100</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184EA">
    <w:pPr>
      <w:spacing w:line="239" w:lineRule="exact"/>
      <w:ind w:left="4313"/>
      <w:rPr>
        <w:rFonts w:ascii="Arial" w:hAnsi="Arial" w:eastAsia="Arial" w:cs="Arial"/>
        <w:sz w:val="20"/>
        <w:szCs w:val="20"/>
      </w:rPr>
    </w:pPr>
    <w:r>
      <w:rPr>
        <w:rFonts w:ascii="Arial" w:hAnsi="Arial" w:eastAsia="Arial" w:cs="Arial"/>
        <w:spacing w:val="-14"/>
        <w:sz w:val="20"/>
        <w:szCs w:val="20"/>
      </w:rPr>
      <w:t>101</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FD3C5">
    <w:pPr>
      <w:spacing w:line="239" w:lineRule="exact"/>
      <w:ind w:left="4432"/>
      <w:rPr>
        <w:rFonts w:ascii="Arial" w:hAnsi="Arial" w:eastAsia="Arial" w:cs="Arial"/>
        <w:sz w:val="20"/>
        <w:szCs w:val="20"/>
      </w:rPr>
    </w:pPr>
    <w:r>
      <w:rPr>
        <w:rFonts w:ascii="Arial" w:hAnsi="Arial" w:eastAsia="Arial" w:cs="Arial"/>
        <w:spacing w:val="-14"/>
        <w:sz w:val="20"/>
        <w:szCs w:val="20"/>
      </w:rPr>
      <w:t>102</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9DDB3">
    <w:pPr>
      <w:spacing w:line="239" w:lineRule="exact"/>
      <w:ind w:left="6757"/>
      <w:rPr>
        <w:rFonts w:ascii="Arial" w:hAnsi="Arial" w:eastAsia="Arial" w:cs="Arial"/>
        <w:sz w:val="20"/>
        <w:szCs w:val="20"/>
      </w:rPr>
    </w:pPr>
    <w:r>
      <w:rPr>
        <w:rFonts w:ascii="Arial" w:hAnsi="Arial" w:eastAsia="Arial" w:cs="Arial"/>
        <w:spacing w:val="-14"/>
        <w:sz w:val="20"/>
        <w:szCs w:val="20"/>
      </w:rPr>
      <w:t>103</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706B4">
    <w:pPr>
      <w:spacing w:line="239" w:lineRule="exact"/>
      <w:ind w:left="6757"/>
      <w:rPr>
        <w:rFonts w:ascii="Arial" w:hAnsi="Arial" w:eastAsia="Arial" w:cs="Arial"/>
        <w:sz w:val="20"/>
        <w:szCs w:val="20"/>
      </w:rPr>
    </w:pPr>
    <w:r>
      <w:rPr>
        <w:rFonts w:ascii="Arial" w:hAnsi="Arial" w:eastAsia="Arial" w:cs="Arial"/>
        <w:spacing w:val="-14"/>
        <w:sz w:val="20"/>
        <w:szCs w:val="20"/>
      </w:rPr>
      <w:t>104</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70D59">
    <w:pPr>
      <w:spacing w:line="239" w:lineRule="exact"/>
      <w:ind w:left="6757"/>
      <w:rPr>
        <w:rFonts w:ascii="Arial" w:hAnsi="Arial" w:eastAsia="Arial" w:cs="Arial"/>
        <w:sz w:val="20"/>
        <w:szCs w:val="20"/>
      </w:rPr>
    </w:pPr>
    <w:r>
      <w:rPr>
        <w:rFonts w:ascii="Arial" w:hAnsi="Arial" w:eastAsia="Arial" w:cs="Arial"/>
        <w:spacing w:val="-14"/>
        <w:sz w:val="20"/>
        <w:szCs w:val="20"/>
      </w:rPr>
      <w:t>105</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BC697">
    <w:pPr>
      <w:spacing w:line="239" w:lineRule="exact"/>
      <w:ind w:left="6757"/>
      <w:rPr>
        <w:rFonts w:ascii="Arial" w:hAnsi="Arial" w:eastAsia="Arial" w:cs="Arial"/>
        <w:sz w:val="20"/>
        <w:szCs w:val="20"/>
      </w:rPr>
    </w:pPr>
    <w:r>
      <w:rPr>
        <w:rFonts w:ascii="Arial" w:hAnsi="Arial" w:eastAsia="Arial" w:cs="Arial"/>
        <w:spacing w:val="-14"/>
        <w:sz w:val="20"/>
        <w:szCs w:val="20"/>
      </w:rPr>
      <w:t>106</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2908D">
    <w:pPr>
      <w:spacing w:line="239" w:lineRule="exact"/>
      <w:ind w:left="6757"/>
      <w:rPr>
        <w:rFonts w:ascii="Arial" w:hAnsi="Arial" w:eastAsia="Arial" w:cs="Arial"/>
        <w:sz w:val="20"/>
        <w:szCs w:val="20"/>
      </w:rPr>
    </w:pPr>
    <w:r>
      <w:rPr>
        <w:rFonts w:ascii="Arial" w:hAnsi="Arial" w:eastAsia="Arial" w:cs="Arial"/>
        <w:spacing w:val="-14"/>
        <w:sz w:val="20"/>
        <w:szCs w:val="20"/>
      </w:rPr>
      <w:t>107</w: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AFBDB">
    <w:pPr>
      <w:spacing w:line="239" w:lineRule="exact"/>
      <w:ind w:left="6757"/>
      <w:rPr>
        <w:rFonts w:ascii="Arial" w:hAnsi="Arial" w:eastAsia="Arial" w:cs="Arial"/>
        <w:sz w:val="20"/>
        <w:szCs w:val="20"/>
      </w:rPr>
    </w:pPr>
    <w:r>
      <w:rPr>
        <w:rFonts w:ascii="Arial" w:hAnsi="Arial" w:eastAsia="Arial" w:cs="Arial"/>
        <w:spacing w:val="-14"/>
        <w:sz w:val="20"/>
        <w:szCs w:val="20"/>
      </w:rPr>
      <w:t>108</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E6E16">
    <w:pPr>
      <w:spacing w:line="239" w:lineRule="exact"/>
      <w:ind w:left="6757"/>
      <w:rPr>
        <w:rFonts w:ascii="Arial" w:hAnsi="Arial" w:eastAsia="Arial" w:cs="Arial"/>
        <w:sz w:val="20"/>
        <w:szCs w:val="20"/>
      </w:rPr>
    </w:pPr>
    <w:r>
      <w:rPr>
        <w:rFonts w:ascii="Arial" w:hAnsi="Arial" w:eastAsia="Arial" w:cs="Arial"/>
        <w:spacing w:val="-14"/>
        <w:sz w:val="20"/>
        <w:szCs w:val="20"/>
      </w:rPr>
      <w:t>109</w: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D8492">
    <w:pPr>
      <w:spacing w:line="239" w:lineRule="exact"/>
      <w:ind w:left="6757"/>
      <w:rPr>
        <w:rFonts w:ascii="Arial" w:hAnsi="Arial" w:eastAsia="Arial" w:cs="Arial"/>
        <w:sz w:val="20"/>
        <w:szCs w:val="20"/>
      </w:rPr>
    </w:pPr>
    <w:r>
      <w:rPr>
        <w:rFonts w:ascii="Arial" w:hAnsi="Arial" w:eastAsia="Arial" w:cs="Arial"/>
        <w:spacing w:val="-14"/>
        <w:sz w:val="20"/>
        <w:szCs w:val="20"/>
      </w:rPr>
      <w:t>110</w: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6528C">
    <w:pPr>
      <w:spacing w:line="239" w:lineRule="exact"/>
      <w:ind w:left="6757"/>
      <w:rPr>
        <w:rFonts w:ascii="Arial" w:hAnsi="Arial" w:eastAsia="Arial" w:cs="Arial"/>
        <w:sz w:val="20"/>
        <w:szCs w:val="20"/>
      </w:rPr>
    </w:pPr>
    <w:r>
      <w:rPr>
        <w:rFonts w:ascii="Arial" w:hAnsi="Arial" w:eastAsia="Arial" w:cs="Arial"/>
        <w:spacing w:val="-14"/>
        <w:sz w:val="20"/>
        <w:szCs w:val="20"/>
      </w:rPr>
      <w:t>111</w: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45DD1">
    <w:pPr>
      <w:spacing w:line="239" w:lineRule="exact"/>
      <w:ind w:left="6757"/>
      <w:rPr>
        <w:rFonts w:ascii="Arial" w:hAnsi="Arial" w:eastAsia="Arial" w:cs="Arial"/>
        <w:sz w:val="20"/>
        <w:szCs w:val="20"/>
      </w:rPr>
    </w:pPr>
    <w:r>
      <w:rPr>
        <w:rFonts w:ascii="Arial" w:hAnsi="Arial" w:eastAsia="Arial" w:cs="Arial"/>
        <w:spacing w:val="-14"/>
        <w:sz w:val="20"/>
        <w:szCs w:val="20"/>
      </w:rPr>
      <w:t>112</w:t>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E1162">
    <w:pPr>
      <w:spacing w:line="239" w:lineRule="exact"/>
      <w:ind w:left="6757"/>
      <w:rPr>
        <w:rFonts w:ascii="Arial" w:hAnsi="Arial" w:eastAsia="Arial" w:cs="Arial"/>
        <w:sz w:val="20"/>
        <w:szCs w:val="20"/>
      </w:rPr>
    </w:pPr>
    <w:r>
      <w:rPr>
        <w:rFonts w:ascii="Arial" w:hAnsi="Arial" w:eastAsia="Arial" w:cs="Arial"/>
        <w:spacing w:val="-14"/>
        <w:sz w:val="20"/>
        <w:szCs w:val="20"/>
      </w:rPr>
      <w:t>113</w:t>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841A3">
    <w:pPr>
      <w:spacing w:line="239" w:lineRule="exact"/>
      <w:ind w:left="6757"/>
      <w:rPr>
        <w:rFonts w:ascii="Arial" w:hAnsi="Arial" w:eastAsia="Arial" w:cs="Arial"/>
        <w:sz w:val="20"/>
        <w:szCs w:val="20"/>
      </w:rPr>
    </w:pPr>
    <w:r>
      <w:rPr>
        <w:rFonts w:ascii="Arial" w:hAnsi="Arial" w:eastAsia="Arial" w:cs="Arial"/>
        <w:spacing w:val="-14"/>
        <w:sz w:val="20"/>
        <w:szCs w:val="20"/>
      </w:rPr>
      <w:t>114</w:t>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0624C">
    <w:pPr>
      <w:spacing w:line="239" w:lineRule="exact"/>
      <w:ind w:left="6757"/>
      <w:rPr>
        <w:rFonts w:ascii="Arial" w:hAnsi="Arial" w:eastAsia="Arial" w:cs="Arial"/>
        <w:sz w:val="20"/>
        <w:szCs w:val="20"/>
      </w:rPr>
    </w:pPr>
    <w:r>
      <w:rPr>
        <w:rFonts w:ascii="Arial" w:hAnsi="Arial" w:eastAsia="Arial" w:cs="Arial"/>
        <w:spacing w:val="-14"/>
        <w:sz w:val="20"/>
        <w:szCs w:val="20"/>
      </w:rPr>
      <w:t>115</w:t>
    </w: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9C134">
    <w:pPr>
      <w:spacing w:line="239" w:lineRule="exact"/>
      <w:ind w:left="6757"/>
      <w:rPr>
        <w:rFonts w:ascii="Arial" w:hAnsi="Arial" w:eastAsia="Arial" w:cs="Arial"/>
        <w:sz w:val="20"/>
        <w:szCs w:val="20"/>
      </w:rPr>
    </w:pPr>
    <w:r>
      <w:rPr>
        <w:rFonts w:ascii="Arial" w:hAnsi="Arial" w:eastAsia="Arial" w:cs="Arial"/>
        <w:spacing w:val="-14"/>
        <w:sz w:val="20"/>
        <w:szCs w:val="20"/>
      </w:rPr>
      <w:t>116</w:t>
    </w: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E3FE8">
    <w:pPr>
      <w:spacing w:line="239" w:lineRule="exact"/>
      <w:ind w:left="6898"/>
      <w:rPr>
        <w:rFonts w:ascii="Arial" w:hAnsi="Arial" w:eastAsia="Arial" w:cs="Arial"/>
        <w:sz w:val="20"/>
        <w:szCs w:val="20"/>
      </w:rPr>
    </w:pPr>
    <w:r>
      <w:rPr>
        <w:rFonts w:ascii="Arial" w:hAnsi="Arial" w:eastAsia="Arial" w:cs="Arial"/>
        <w:spacing w:val="-14"/>
        <w:sz w:val="20"/>
        <w:szCs w:val="20"/>
      </w:rPr>
      <w:t>117</w:t>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51C7A">
    <w:pPr>
      <w:spacing w:line="239" w:lineRule="exact"/>
      <w:ind w:left="6757"/>
      <w:rPr>
        <w:rFonts w:ascii="Arial" w:hAnsi="Arial" w:eastAsia="Arial" w:cs="Arial"/>
        <w:sz w:val="20"/>
        <w:szCs w:val="20"/>
      </w:rPr>
    </w:pPr>
    <w:r>
      <w:rPr>
        <w:rFonts w:ascii="Arial" w:hAnsi="Arial" w:eastAsia="Arial" w:cs="Arial"/>
        <w:spacing w:val="-14"/>
        <w:sz w:val="20"/>
        <w:szCs w:val="20"/>
      </w:rPr>
      <w:t>118</w:t>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DEA14">
    <w:pPr>
      <w:spacing w:line="239" w:lineRule="exact"/>
      <w:ind w:left="6757"/>
      <w:rPr>
        <w:rFonts w:ascii="Arial" w:hAnsi="Arial" w:eastAsia="Arial" w:cs="Arial"/>
        <w:sz w:val="20"/>
        <w:szCs w:val="20"/>
      </w:rPr>
    </w:pPr>
    <w:r>
      <w:rPr>
        <w:rFonts w:ascii="Arial" w:hAnsi="Arial" w:eastAsia="Arial" w:cs="Arial"/>
        <w:spacing w:val="-14"/>
        <w:sz w:val="20"/>
        <w:szCs w:val="20"/>
      </w:rPr>
      <w:t>119</w:t>
    </w: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BE31F">
    <w:pPr>
      <w:spacing w:line="239" w:lineRule="exact"/>
      <w:ind w:left="6757"/>
      <w:rPr>
        <w:rFonts w:ascii="Arial" w:hAnsi="Arial" w:eastAsia="Arial" w:cs="Arial"/>
        <w:sz w:val="20"/>
        <w:szCs w:val="20"/>
      </w:rPr>
    </w:pPr>
    <w:r>
      <w:rPr>
        <w:rFonts w:ascii="Arial" w:hAnsi="Arial" w:eastAsia="Arial" w:cs="Arial"/>
        <w:spacing w:val="-14"/>
        <w:sz w:val="20"/>
        <w:szCs w:val="20"/>
      </w:rPr>
      <w:t>120</w:t>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33D0B">
    <w:pPr>
      <w:spacing w:line="243" w:lineRule="exact"/>
      <w:ind w:left="4331"/>
      <w:rPr>
        <w:rFonts w:ascii="Arial" w:hAnsi="Arial" w:eastAsia="Arial" w:cs="Arial"/>
        <w:sz w:val="18"/>
        <w:szCs w:val="18"/>
      </w:rPr>
    </w:pPr>
    <w:r>
      <w:rPr>
        <w:rFonts w:ascii="Arial" w:hAnsi="Arial" w:eastAsia="Arial" w:cs="Arial"/>
        <w:spacing w:val="-15"/>
        <w:position w:val="1"/>
        <w:sz w:val="18"/>
        <w:szCs w:val="18"/>
      </w:rPr>
      <w:t>121</w:t>
    </w: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B49C4">
    <w:pPr>
      <w:spacing w:line="243" w:lineRule="exact"/>
      <w:ind w:left="4331"/>
      <w:rPr>
        <w:rFonts w:ascii="Arial" w:hAnsi="Arial" w:eastAsia="Arial" w:cs="Arial"/>
        <w:sz w:val="18"/>
        <w:szCs w:val="18"/>
      </w:rPr>
    </w:pPr>
    <w:r>
      <w:rPr>
        <w:rFonts w:ascii="Arial" w:hAnsi="Arial" w:eastAsia="Arial" w:cs="Arial"/>
        <w:spacing w:val="-15"/>
        <w:position w:val="1"/>
        <w:sz w:val="18"/>
        <w:szCs w:val="18"/>
      </w:rPr>
      <w:t>122</w:t>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0DA5B">
    <w:pPr>
      <w:spacing w:line="240" w:lineRule="exact"/>
      <w:ind w:left="4331"/>
      <w:rPr>
        <w:rFonts w:ascii="Arial" w:hAnsi="Arial" w:eastAsia="Arial" w:cs="Arial"/>
        <w:sz w:val="18"/>
        <w:szCs w:val="18"/>
      </w:rPr>
    </w:pPr>
    <w:r>
      <w:rPr>
        <w:rFonts w:ascii="Arial" w:hAnsi="Arial" w:eastAsia="Arial" w:cs="Arial"/>
        <w:spacing w:val="-15"/>
        <w:position w:val="1"/>
        <w:sz w:val="18"/>
        <w:szCs w:val="18"/>
      </w:rPr>
      <w:t>123</w:t>
    </w: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532AA">
    <w:pPr>
      <w:spacing w:line="243" w:lineRule="exact"/>
      <w:ind w:left="4327"/>
      <w:rPr>
        <w:rFonts w:ascii="Arial" w:hAnsi="Arial" w:eastAsia="Arial" w:cs="Arial"/>
        <w:sz w:val="18"/>
        <w:szCs w:val="18"/>
      </w:rPr>
    </w:pPr>
    <w:r>
      <w:rPr>
        <w:rFonts w:ascii="Arial" w:hAnsi="Arial" w:eastAsia="Arial" w:cs="Arial"/>
        <w:spacing w:val="-15"/>
        <w:position w:val="1"/>
        <w:sz w:val="18"/>
        <w:szCs w:val="18"/>
      </w:rPr>
      <w:t>124</w:t>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6E4BB">
    <w:pPr>
      <w:spacing w:line="240" w:lineRule="exact"/>
      <w:ind w:left="4327"/>
      <w:rPr>
        <w:rFonts w:ascii="Arial" w:hAnsi="Arial" w:eastAsia="Arial" w:cs="Arial"/>
        <w:sz w:val="18"/>
        <w:szCs w:val="18"/>
      </w:rPr>
    </w:pPr>
    <w:r>
      <w:rPr>
        <w:rFonts w:ascii="Arial" w:hAnsi="Arial" w:eastAsia="Arial" w:cs="Arial"/>
        <w:spacing w:val="-15"/>
        <w:position w:val="1"/>
        <w:sz w:val="18"/>
        <w:szCs w:val="18"/>
      </w:rPr>
      <w:t>125</w:t>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AEDD2">
    <w:pPr>
      <w:spacing w:line="240" w:lineRule="exact"/>
      <w:ind w:left="4331"/>
      <w:rPr>
        <w:rFonts w:ascii="Arial" w:hAnsi="Arial" w:eastAsia="Arial" w:cs="Arial"/>
        <w:sz w:val="18"/>
        <w:szCs w:val="18"/>
      </w:rPr>
    </w:pPr>
    <w:r>
      <w:rPr>
        <w:rFonts w:ascii="Arial" w:hAnsi="Arial" w:eastAsia="Arial" w:cs="Arial"/>
        <w:spacing w:val="-15"/>
        <w:position w:val="1"/>
        <w:sz w:val="18"/>
        <w:szCs w:val="18"/>
      </w:rPr>
      <w:t>126</w:t>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FD893">
    <w:pPr>
      <w:spacing w:line="243" w:lineRule="exact"/>
      <w:ind w:left="4342"/>
      <w:rPr>
        <w:rFonts w:ascii="Arial" w:hAnsi="Arial" w:eastAsia="Arial" w:cs="Arial"/>
        <w:sz w:val="18"/>
        <w:szCs w:val="18"/>
      </w:rPr>
    </w:pPr>
    <w:r>
      <w:rPr>
        <w:rFonts w:ascii="Arial" w:hAnsi="Arial" w:eastAsia="Arial" w:cs="Arial"/>
        <w:spacing w:val="-15"/>
        <w:position w:val="1"/>
        <w:sz w:val="18"/>
        <w:szCs w:val="18"/>
      </w:rPr>
      <w:t>127</w:t>
    </w: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27086">
    <w:pPr>
      <w:spacing w:line="240" w:lineRule="exact"/>
      <w:ind w:left="4342"/>
      <w:rPr>
        <w:rFonts w:ascii="Arial" w:hAnsi="Arial" w:eastAsia="Arial" w:cs="Arial"/>
        <w:sz w:val="18"/>
        <w:szCs w:val="18"/>
      </w:rPr>
    </w:pPr>
    <w:r>
      <w:rPr>
        <w:rFonts w:ascii="Arial" w:hAnsi="Arial" w:eastAsia="Arial" w:cs="Arial"/>
        <w:spacing w:val="-15"/>
        <w:position w:val="1"/>
        <w:sz w:val="18"/>
        <w:szCs w:val="18"/>
      </w:rPr>
      <w:t>128</w:t>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9C82E">
    <w:pPr>
      <w:spacing w:line="240" w:lineRule="exact"/>
      <w:ind w:left="6777"/>
      <w:rPr>
        <w:rFonts w:ascii="Arial" w:hAnsi="Arial" w:eastAsia="Arial" w:cs="Arial"/>
        <w:sz w:val="18"/>
        <w:szCs w:val="18"/>
      </w:rPr>
    </w:pPr>
    <w:r>
      <w:rPr>
        <w:rFonts w:ascii="Arial" w:hAnsi="Arial" w:eastAsia="Arial" w:cs="Arial"/>
        <w:spacing w:val="-15"/>
        <w:position w:val="1"/>
        <w:sz w:val="18"/>
        <w:szCs w:val="18"/>
      </w:rPr>
      <w:t>129</w:t>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58FEE">
    <w:pPr>
      <w:spacing w:line="240" w:lineRule="exact"/>
      <w:ind w:left="4454"/>
      <w:rPr>
        <w:rFonts w:ascii="Arial" w:hAnsi="Arial" w:eastAsia="Arial" w:cs="Arial"/>
        <w:sz w:val="18"/>
        <w:szCs w:val="18"/>
      </w:rPr>
    </w:pPr>
    <w:r>
      <w:rPr>
        <w:rFonts w:ascii="Arial" w:hAnsi="Arial" w:eastAsia="Arial" w:cs="Arial"/>
        <w:spacing w:val="-15"/>
        <w:position w:val="1"/>
        <w:sz w:val="18"/>
        <w:szCs w:val="18"/>
      </w:rPr>
      <w:t>130</w:t>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B6A23">
    <w:pPr>
      <w:spacing w:line="240" w:lineRule="exact"/>
      <w:ind w:left="4454"/>
      <w:rPr>
        <w:rFonts w:ascii="Arial" w:hAnsi="Arial" w:eastAsia="Arial" w:cs="Arial"/>
        <w:sz w:val="18"/>
        <w:szCs w:val="18"/>
      </w:rPr>
    </w:pPr>
    <w:r>
      <w:rPr>
        <w:rFonts w:ascii="Arial" w:hAnsi="Arial" w:eastAsia="Arial" w:cs="Arial"/>
        <w:spacing w:val="-15"/>
        <w:position w:val="1"/>
        <w:sz w:val="18"/>
        <w:szCs w:val="18"/>
      </w:rPr>
      <w:t>131</w:t>
    </w: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D5588">
    <w:pPr>
      <w:spacing w:line="240" w:lineRule="exact"/>
      <w:ind w:left="4454"/>
      <w:rPr>
        <w:rFonts w:ascii="Arial" w:hAnsi="Arial" w:eastAsia="Arial" w:cs="Arial"/>
        <w:sz w:val="18"/>
        <w:szCs w:val="18"/>
      </w:rPr>
    </w:pPr>
    <w:r>
      <w:rPr>
        <w:rFonts w:ascii="Arial" w:hAnsi="Arial" w:eastAsia="Arial" w:cs="Arial"/>
        <w:spacing w:val="-15"/>
        <w:position w:val="1"/>
        <w:sz w:val="18"/>
        <w:szCs w:val="18"/>
      </w:rPr>
      <w:t>132</w:t>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92DB6">
    <w:pPr>
      <w:spacing w:line="240" w:lineRule="exact"/>
      <w:ind w:left="4454"/>
      <w:rPr>
        <w:rFonts w:ascii="Arial" w:hAnsi="Arial" w:eastAsia="Arial" w:cs="Arial"/>
        <w:sz w:val="18"/>
        <w:szCs w:val="18"/>
      </w:rPr>
    </w:pPr>
    <w:r>
      <w:rPr>
        <w:rFonts w:ascii="Arial" w:hAnsi="Arial" w:eastAsia="Arial" w:cs="Arial"/>
        <w:spacing w:val="-15"/>
        <w:position w:val="1"/>
        <w:sz w:val="18"/>
        <w:szCs w:val="18"/>
      </w:rPr>
      <w:t>133</w:t>
    </w:r>
  </w:p>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4C831">
    <w:pPr>
      <w:spacing w:line="240" w:lineRule="exact"/>
      <w:ind w:left="4410"/>
      <w:rPr>
        <w:rFonts w:ascii="Arial" w:hAnsi="Arial" w:eastAsia="Arial" w:cs="Arial"/>
        <w:sz w:val="18"/>
        <w:szCs w:val="18"/>
      </w:rPr>
    </w:pPr>
    <w:r>
      <w:rPr>
        <w:rFonts w:ascii="Arial" w:hAnsi="Arial" w:eastAsia="Arial" w:cs="Arial"/>
        <w:spacing w:val="-15"/>
        <w:position w:val="1"/>
        <w:sz w:val="18"/>
        <w:szCs w:val="18"/>
      </w:rPr>
      <w:t>134</w:t>
    </w: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7508C">
    <w:pPr>
      <w:spacing w:line="240" w:lineRule="exact"/>
      <w:ind w:left="4286"/>
      <w:rPr>
        <w:rFonts w:ascii="Arial" w:hAnsi="Arial" w:eastAsia="Arial" w:cs="Arial"/>
        <w:sz w:val="18"/>
        <w:szCs w:val="18"/>
      </w:rPr>
    </w:pPr>
    <w:r>
      <w:rPr>
        <w:rFonts w:ascii="Arial" w:hAnsi="Arial" w:eastAsia="Arial" w:cs="Arial"/>
        <w:spacing w:val="-15"/>
        <w:position w:val="1"/>
        <w:sz w:val="18"/>
        <w:szCs w:val="18"/>
      </w:rPr>
      <w:t>135</w:t>
    </w: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86206">
    <w:pPr>
      <w:spacing w:line="240" w:lineRule="exact"/>
      <w:ind w:left="4042"/>
      <w:rPr>
        <w:rFonts w:ascii="Arial" w:hAnsi="Arial" w:eastAsia="Arial" w:cs="Arial"/>
        <w:sz w:val="18"/>
        <w:szCs w:val="18"/>
      </w:rPr>
    </w:pPr>
    <w:r>
      <w:rPr>
        <w:rFonts w:ascii="Arial" w:hAnsi="Arial" w:eastAsia="Arial" w:cs="Arial"/>
        <w:spacing w:val="-15"/>
        <w:position w:val="1"/>
        <w:sz w:val="18"/>
        <w:szCs w:val="18"/>
      </w:rPr>
      <w:t>136</w:t>
    </w:r>
  </w:p>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EC4DF">
    <w:pPr>
      <w:spacing w:line="240" w:lineRule="exact"/>
      <w:ind w:left="4289"/>
      <w:rPr>
        <w:rFonts w:ascii="Arial" w:hAnsi="Arial" w:eastAsia="Arial" w:cs="Arial"/>
        <w:sz w:val="18"/>
        <w:szCs w:val="18"/>
      </w:rPr>
    </w:pPr>
    <w:r>
      <w:rPr>
        <w:rFonts w:ascii="Arial" w:hAnsi="Arial" w:eastAsia="Arial" w:cs="Arial"/>
        <w:spacing w:val="-15"/>
        <w:position w:val="1"/>
        <w:sz w:val="18"/>
        <w:szCs w:val="18"/>
      </w:rPr>
      <w:t>137</w:t>
    </w:r>
  </w:p>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84B16">
    <w:pPr>
      <w:spacing w:line="240" w:lineRule="exact"/>
      <w:ind w:left="4289"/>
      <w:rPr>
        <w:rFonts w:ascii="Arial" w:hAnsi="Arial" w:eastAsia="Arial" w:cs="Arial"/>
        <w:sz w:val="18"/>
        <w:szCs w:val="18"/>
      </w:rPr>
    </w:pPr>
    <w:r>
      <w:rPr>
        <w:rFonts w:ascii="Arial" w:hAnsi="Arial" w:eastAsia="Arial" w:cs="Arial"/>
        <w:spacing w:val="-15"/>
        <w:position w:val="1"/>
        <w:sz w:val="18"/>
        <w:szCs w:val="18"/>
      </w:rPr>
      <w:t>138</w:t>
    </w: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8B9CE">
    <w:pPr>
      <w:spacing w:line="240" w:lineRule="exact"/>
      <w:ind w:left="4290"/>
      <w:rPr>
        <w:rFonts w:ascii="Arial" w:hAnsi="Arial" w:eastAsia="Arial" w:cs="Arial"/>
        <w:sz w:val="18"/>
        <w:szCs w:val="18"/>
      </w:rPr>
    </w:pPr>
    <w:r>
      <w:rPr>
        <w:rFonts w:ascii="Arial" w:hAnsi="Arial" w:eastAsia="Arial" w:cs="Arial"/>
        <w:spacing w:val="-15"/>
        <w:position w:val="1"/>
        <w:sz w:val="18"/>
        <w:szCs w:val="18"/>
      </w:rPr>
      <w:t>139</w:t>
    </w:r>
  </w:p>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090D5">
    <w:pPr>
      <w:spacing w:line="240" w:lineRule="exact"/>
      <w:ind w:left="4290"/>
      <w:rPr>
        <w:rFonts w:ascii="Arial" w:hAnsi="Arial" w:eastAsia="Arial" w:cs="Arial"/>
        <w:sz w:val="18"/>
        <w:szCs w:val="18"/>
      </w:rPr>
    </w:pPr>
    <w:r>
      <w:rPr>
        <w:rFonts w:ascii="Arial" w:hAnsi="Arial" w:eastAsia="Arial" w:cs="Arial"/>
        <w:spacing w:val="-15"/>
        <w:position w:val="1"/>
        <w:sz w:val="18"/>
        <w:szCs w:val="18"/>
      </w:rPr>
      <w:t>140</w:t>
    </w:r>
  </w:p>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475D9">
    <w:pPr>
      <w:spacing w:line="243" w:lineRule="exact"/>
      <w:ind w:left="4292"/>
      <w:rPr>
        <w:rFonts w:ascii="Arial" w:hAnsi="Arial" w:eastAsia="Arial" w:cs="Arial"/>
        <w:sz w:val="18"/>
        <w:szCs w:val="18"/>
      </w:rPr>
    </w:pPr>
    <w:r>
      <w:rPr>
        <w:rFonts w:ascii="Arial" w:hAnsi="Arial" w:eastAsia="Arial" w:cs="Arial"/>
        <w:spacing w:val="-15"/>
        <w:position w:val="1"/>
        <w:sz w:val="18"/>
        <w:szCs w:val="18"/>
      </w:rPr>
      <w:t>141</w:t>
    </w:r>
  </w:p>
</w:ftr>
</file>

<file path=word/footer1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89B5A">
    <w:pPr>
      <w:spacing w:line="243" w:lineRule="exact"/>
      <w:ind w:left="4290"/>
      <w:rPr>
        <w:rFonts w:ascii="Arial" w:hAnsi="Arial" w:eastAsia="Arial" w:cs="Arial"/>
        <w:sz w:val="18"/>
        <w:szCs w:val="18"/>
      </w:rPr>
    </w:pPr>
    <w:r>
      <w:rPr>
        <w:rFonts w:ascii="Arial" w:hAnsi="Arial" w:eastAsia="Arial" w:cs="Arial"/>
        <w:spacing w:val="-15"/>
        <w:position w:val="1"/>
        <w:sz w:val="18"/>
        <w:szCs w:val="18"/>
      </w:rPr>
      <w:t>142</w:t>
    </w:r>
  </w:p>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D4CA6">
    <w:pPr>
      <w:spacing w:line="240" w:lineRule="exact"/>
      <w:ind w:left="4293"/>
      <w:rPr>
        <w:rFonts w:ascii="Arial" w:hAnsi="Arial" w:eastAsia="Arial" w:cs="Arial"/>
        <w:sz w:val="18"/>
        <w:szCs w:val="18"/>
      </w:rPr>
    </w:pPr>
    <w:r>
      <w:rPr>
        <w:rFonts w:ascii="Arial" w:hAnsi="Arial" w:eastAsia="Arial" w:cs="Arial"/>
        <w:spacing w:val="-15"/>
        <w:position w:val="1"/>
        <w:sz w:val="18"/>
        <w:szCs w:val="18"/>
      </w:rPr>
      <w:t>143</w:t>
    </w:r>
  </w:p>
</w:ftr>
</file>

<file path=word/footer1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9CB1E">
    <w:pPr>
      <w:spacing w:line="243" w:lineRule="exact"/>
      <w:ind w:left="4293"/>
      <w:rPr>
        <w:rFonts w:ascii="Arial" w:hAnsi="Arial" w:eastAsia="Arial" w:cs="Arial"/>
        <w:sz w:val="18"/>
        <w:szCs w:val="18"/>
      </w:rPr>
    </w:pPr>
    <w:r>
      <w:rPr>
        <w:rFonts w:ascii="Arial" w:hAnsi="Arial" w:eastAsia="Arial" w:cs="Arial"/>
        <w:spacing w:val="-15"/>
        <w:position w:val="1"/>
        <w:sz w:val="18"/>
        <w:szCs w:val="18"/>
      </w:rPr>
      <w:t>144</w:t>
    </w:r>
  </w:p>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70381">
    <w:pPr>
      <w:spacing w:line="240" w:lineRule="exact"/>
      <w:ind w:left="4293"/>
      <w:rPr>
        <w:rFonts w:ascii="Arial" w:hAnsi="Arial" w:eastAsia="Arial" w:cs="Arial"/>
        <w:sz w:val="18"/>
        <w:szCs w:val="18"/>
      </w:rPr>
    </w:pPr>
    <w:r>
      <w:rPr>
        <w:rFonts w:ascii="Arial" w:hAnsi="Arial" w:eastAsia="Arial" w:cs="Arial"/>
        <w:spacing w:val="-15"/>
        <w:position w:val="1"/>
        <w:sz w:val="18"/>
        <w:szCs w:val="18"/>
      </w:rPr>
      <w:t>145</w:t>
    </w:r>
  </w:p>
</w:ftr>
</file>

<file path=word/footer1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9D042">
    <w:pPr>
      <w:spacing w:line="240" w:lineRule="exact"/>
      <w:ind w:left="4289"/>
      <w:rPr>
        <w:rFonts w:ascii="Arial" w:hAnsi="Arial" w:eastAsia="Arial" w:cs="Arial"/>
        <w:sz w:val="18"/>
        <w:szCs w:val="18"/>
      </w:rPr>
    </w:pPr>
    <w:r>
      <w:rPr>
        <w:rFonts w:ascii="Arial" w:hAnsi="Arial" w:eastAsia="Arial" w:cs="Arial"/>
        <w:spacing w:val="-15"/>
        <w:position w:val="1"/>
        <w:sz w:val="18"/>
        <w:szCs w:val="18"/>
      </w:rPr>
      <w:t>146</w:t>
    </w:r>
  </w:p>
</w:ftr>
</file>

<file path=word/footer1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9CE86">
    <w:pPr>
      <w:spacing w:line="243" w:lineRule="exact"/>
      <w:ind w:left="4290"/>
      <w:rPr>
        <w:rFonts w:ascii="Arial" w:hAnsi="Arial" w:eastAsia="Arial" w:cs="Arial"/>
        <w:sz w:val="18"/>
        <w:szCs w:val="18"/>
      </w:rPr>
    </w:pPr>
    <w:r>
      <w:rPr>
        <w:rFonts w:ascii="Arial" w:hAnsi="Arial" w:eastAsia="Arial" w:cs="Arial"/>
        <w:spacing w:val="-15"/>
        <w:position w:val="1"/>
        <w:sz w:val="18"/>
        <w:szCs w:val="18"/>
      </w:rPr>
      <w:t>147</w:t>
    </w:r>
  </w:p>
</w:ftr>
</file>

<file path=word/footer1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4ADD5">
    <w:pPr>
      <w:spacing w:line="240" w:lineRule="exact"/>
      <w:ind w:left="4289"/>
      <w:rPr>
        <w:rFonts w:ascii="Arial" w:hAnsi="Arial" w:eastAsia="Arial" w:cs="Arial"/>
        <w:sz w:val="18"/>
        <w:szCs w:val="18"/>
      </w:rPr>
    </w:pPr>
    <w:r>
      <w:rPr>
        <w:rFonts w:ascii="Arial" w:hAnsi="Arial" w:eastAsia="Arial" w:cs="Arial"/>
        <w:spacing w:val="-15"/>
        <w:position w:val="1"/>
        <w:sz w:val="18"/>
        <w:szCs w:val="18"/>
      </w:rPr>
      <w:t>148</w:t>
    </w:r>
  </w:p>
</w:ftr>
</file>

<file path=word/footer1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9947B">
    <w:pPr>
      <w:spacing w:line="240" w:lineRule="exact"/>
      <w:ind w:left="4289"/>
      <w:rPr>
        <w:rFonts w:ascii="Arial" w:hAnsi="Arial" w:eastAsia="Arial" w:cs="Arial"/>
        <w:sz w:val="18"/>
        <w:szCs w:val="18"/>
      </w:rPr>
    </w:pPr>
    <w:r>
      <w:rPr>
        <w:rFonts w:ascii="Arial" w:hAnsi="Arial" w:eastAsia="Arial" w:cs="Arial"/>
        <w:spacing w:val="-15"/>
        <w:position w:val="1"/>
        <w:sz w:val="18"/>
        <w:szCs w:val="18"/>
      </w:rPr>
      <w:t>149</w:t>
    </w:r>
  </w:p>
</w:ftr>
</file>

<file path=word/footer1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0D4CB">
    <w:pPr>
      <w:spacing w:line="240" w:lineRule="exact"/>
      <w:ind w:left="4290"/>
      <w:rPr>
        <w:rFonts w:ascii="Arial" w:hAnsi="Arial" w:eastAsia="Arial" w:cs="Arial"/>
        <w:sz w:val="18"/>
        <w:szCs w:val="18"/>
      </w:rPr>
    </w:pPr>
    <w:r>
      <w:rPr>
        <w:rFonts w:ascii="Arial" w:hAnsi="Arial" w:eastAsia="Arial" w:cs="Arial"/>
        <w:spacing w:val="-15"/>
        <w:position w:val="1"/>
        <w:sz w:val="18"/>
        <w:szCs w:val="18"/>
      </w:rPr>
      <w:t>150</w:t>
    </w:r>
  </w:p>
</w:ftr>
</file>

<file path=word/footer1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3448D">
    <w:pPr>
      <w:spacing w:line="240" w:lineRule="exact"/>
      <w:ind w:left="4289"/>
      <w:rPr>
        <w:rFonts w:ascii="Arial" w:hAnsi="Arial" w:eastAsia="Arial" w:cs="Arial"/>
        <w:sz w:val="18"/>
        <w:szCs w:val="18"/>
      </w:rPr>
    </w:pPr>
    <w:r>
      <w:rPr>
        <w:rFonts w:ascii="Arial" w:hAnsi="Arial" w:eastAsia="Arial" w:cs="Arial"/>
        <w:spacing w:val="-15"/>
        <w:position w:val="1"/>
        <w:sz w:val="18"/>
        <w:szCs w:val="18"/>
      </w:rPr>
      <w:t>151</w:t>
    </w:r>
  </w:p>
</w:ftr>
</file>

<file path=word/footer1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D1859">
    <w:pPr>
      <w:spacing w:line="240" w:lineRule="exact"/>
      <w:ind w:left="4293"/>
      <w:rPr>
        <w:rFonts w:ascii="Arial" w:hAnsi="Arial" w:eastAsia="Arial" w:cs="Arial"/>
        <w:sz w:val="18"/>
        <w:szCs w:val="18"/>
      </w:rPr>
    </w:pPr>
    <w:r>
      <w:rPr>
        <w:rFonts w:ascii="Arial" w:hAnsi="Arial" w:eastAsia="Arial" w:cs="Arial"/>
        <w:spacing w:val="-15"/>
        <w:position w:val="1"/>
        <w:sz w:val="18"/>
        <w:szCs w:val="18"/>
      </w:rPr>
      <w:t>152</w:t>
    </w:r>
  </w:p>
</w:ftr>
</file>

<file path=word/footer1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812DB">
    <w:pPr>
      <w:spacing w:line="240" w:lineRule="exact"/>
      <w:ind w:left="4289"/>
      <w:rPr>
        <w:rFonts w:ascii="Arial" w:hAnsi="Arial" w:eastAsia="Arial" w:cs="Arial"/>
        <w:sz w:val="18"/>
        <w:szCs w:val="18"/>
      </w:rPr>
    </w:pPr>
    <w:r>
      <w:rPr>
        <w:rFonts w:ascii="Arial" w:hAnsi="Arial" w:eastAsia="Arial" w:cs="Arial"/>
        <w:spacing w:val="-15"/>
        <w:position w:val="1"/>
        <w:sz w:val="18"/>
        <w:szCs w:val="18"/>
      </w:rPr>
      <w:t>153</w:t>
    </w:r>
  </w:p>
</w:ftr>
</file>

<file path=word/footer1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D1C4C">
    <w:pPr>
      <w:spacing w:line="240" w:lineRule="exact"/>
      <w:ind w:left="4290"/>
      <w:rPr>
        <w:rFonts w:ascii="Arial" w:hAnsi="Arial" w:eastAsia="Arial" w:cs="Arial"/>
        <w:sz w:val="18"/>
        <w:szCs w:val="18"/>
      </w:rPr>
    </w:pPr>
    <w:r>
      <w:rPr>
        <w:rFonts w:ascii="Arial" w:hAnsi="Arial" w:eastAsia="Arial" w:cs="Arial"/>
        <w:spacing w:val="-15"/>
        <w:position w:val="1"/>
        <w:sz w:val="18"/>
        <w:szCs w:val="18"/>
      </w:rPr>
      <w:t>154</w:t>
    </w:r>
  </w:p>
</w:ftr>
</file>

<file path=word/footer1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8FAF9">
    <w:pPr>
      <w:spacing w:line="240" w:lineRule="exact"/>
      <w:ind w:left="4289"/>
      <w:rPr>
        <w:rFonts w:ascii="Arial" w:hAnsi="Arial" w:eastAsia="Arial" w:cs="Arial"/>
        <w:sz w:val="18"/>
        <w:szCs w:val="18"/>
      </w:rPr>
    </w:pPr>
    <w:r>
      <w:rPr>
        <w:rFonts w:ascii="Arial" w:hAnsi="Arial" w:eastAsia="Arial" w:cs="Arial"/>
        <w:spacing w:val="-15"/>
        <w:position w:val="1"/>
        <w:sz w:val="18"/>
        <w:szCs w:val="18"/>
      </w:rPr>
      <w:t>155</w:t>
    </w:r>
  </w:p>
</w:ftr>
</file>

<file path=word/footer1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5710E">
    <w:pPr>
      <w:spacing w:line="240" w:lineRule="exact"/>
      <w:ind w:left="4290"/>
      <w:rPr>
        <w:rFonts w:ascii="Arial" w:hAnsi="Arial" w:eastAsia="Arial" w:cs="Arial"/>
        <w:sz w:val="18"/>
        <w:szCs w:val="18"/>
      </w:rPr>
    </w:pPr>
    <w:r>
      <w:rPr>
        <w:rFonts w:ascii="Arial" w:hAnsi="Arial" w:eastAsia="Arial" w:cs="Arial"/>
        <w:spacing w:val="-15"/>
        <w:position w:val="1"/>
        <w:sz w:val="18"/>
        <w:szCs w:val="18"/>
      </w:rPr>
      <w:t>156</w:t>
    </w:r>
  </w:p>
</w:ftr>
</file>

<file path=word/footer1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1017B">
    <w:pPr>
      <w:spacing w:line="240" w:lineRule="exact"/>
      <w:ind w:left="4291"/>
      <w:rPr>
        <w:rFonts w:ascii="Arial" w:hAnsi="Arial" w:eastAsia="Arial" w:cs="Arial"/>
        <w:sz w:val="18"/>
        <w:szCs w:val="18"/>
      </w:rPr>
    </w:pPr>
    <w:r>
      <w:rPr>
        <w:rFonts w:ascii="Arial" w:hAnsi="Arial" w:eastAsia="Arial" w:cs="Arial"/>
        <w:spacing w:val="-15"/>
        <w:position w:val="1"/>
        <w:sz w:val="18"/>
        <w:szCs w:val="18"/>
      </w:rPr>
      <w:t>157</w:t>
    </w:r>
  </w:p>
</w:ftr>
</file>

<file path=word/footer1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A89EA">
    <w:pPr>
      <w:spacing w:line="240" w:lineRule="exact"/>
      <w:ind w:left="4290"/>
      <w:rPr>
        <w:rFonts w:ascii="Arial" w:hAnsi="Arial" w:eastAsia="Arial" w:cs="Arial"/>
        <w:sz w:val="18"/>
        <w:szCs w:val="18"/>
      </w:rPr>
    </w:pPr>
    <w:r>
      <w:rPr>
        <w:rFonts w:ascii="Arial" w:hAnsi="Arial" w:eastAsia="Arial" w:cs="Arial"/>
        <w:spacing w:val="-15"/>
        <w:position w:val="1"/>
        <w:sz w:val="18"/>
        <w:szCs w:val="18"/>
      </w:rPr>
      <w:t>158</w:t>
    </w:r>
  </w:p>
</w:ftr>
</file>

<file path=word/footer1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9937A">
    <w:pPr>
      <w:spacing w:line="240" w:lineRule="exact"/>
      <w:ind w:left="4290"/>
      <w:rPr>
        <w:rFonts w:ascii="Arial" w:hAnsi="Arial" w:eastAsia="Arial" w:cs="Arial"/>
        <w:sz w:val="18"/>
        <w:szCs w:val="18"/>
      </w:rPr>
    </w:pPr>
    <w:r>
      <w:rPr>
        <w:rFonts w:ascii="Arial" w:hAnsi="Arial" w:eastAsia="Arial" w:cs="Arial"/>
        <w:spacing w:val="-15"/>
        <w:position w:val="1"/>
        <w:sz w:val="18"/>
        <w:szCs w:val="18"/>
      </w:rPr>
      <w:t>159</w:t>
    </w:r>
  </w:p>
</w:ftr>
</file>

<file path=word/footer1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DC5D4">
    <w:pPr>
      <w:spacing w:line="240" w:lineRule="exact"/>
      <w:ind w:left="4290"/>
      <w:rPr>
        <w:rFonts w:ascii="Arial" w:hAnsi="Arial" w:eastAsia="Arial" w:cs="Arial"/>
        <w:sz w:val="18"/>
        <w:szCs w:val="18"/>
      </w:rPr>
    </w:pPr>
    <w:r>
      <w:rPr>
        <w:rFonts w:ascii="Arial" w:hAnsi="Arial" w:eastAsia="Arial" w:cs="Arial"/>
        <w:spacing w:val="-15"/>
        <w:position w:val="1"/>
        <w:sz w:val="18"/>
        <w:szCs w:val="18"/>
      </w:rPr>
      <w:t>160</w:t>
    </w:r>
  </w:p>
</w:ftr>
</file>

<file path=word/footer1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E5979">
    <w:pPr>
      <w:spacing w:line="240" w:lineRule="exact"/>
      <w:ind w:left="4290"/>
      <w:rPr>
        <w:rFonts w:ascii="Arial" w:hAnsi="Arial" w:eastAsia="Arial" w:cs="Arial"/>
        <w:sz w:val="18"/>
        <w:szCs w:val="18"/>
      </w:rPr>
    </w:pPr>
    <w:r>
      <w:rPr>
        <w:rFonts w:ascii="Arial" w:hAnsi="Arial" w:eastAsia="Arial" w:cs="Arial"/>
        <w:spacing w:val="-15"/>
        <w:position w:val="1"/>
        <w:sz w:val="18"/>
        <w:szCs w:val="18"/>
      </w:rPr>
      <w:t>161</w:t>
    </w:r>
  </w:p>
</w:ftr>
</file>

<file path=word/footer1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AD2CE">
    <w:pPr>
      <w:spacing w:line="240" w:lineRule="exact"/>
      <w:ind w:left="4291"/>
      <w:rPr>
        <w:rFonts w:ascii="Arial" w:hAnsi="Arial" w:eastAsia="Arial" w:cs="Arial"/>
        <w:sz w:val="18"/>
        <w:szCs w:val="18"/>
      </w:rPr>
    </w:pPr>
    <w:r>
      <w:rPr>
        <w:rFonts w:ascii="Arial" w:hAnsi="Arial" w:eastAsia="Arial" w:cs="Arial"/>
        <w:spacing w:val="-15"/>
        <w:position w:val="1"/>
        <w:sz w:val="18"/>
        <w:szCs w:val="18"/>
      </w:rPr>
      <w:t>162</w:t>
    </w:r>
  </w:p>
</w:ftr>
</file>

<file path=word/footer1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91122">
    <w:pPr>
      <w:spacing w:line="240" w:lineRule="exact"/>
      <w:ind w:left="4290"/>
      <w:rPr>
        <w:rFonts w:ascii="Arial" w:hAnsi="Arial" w:eastAsia="Arial" w:cs="Arial"/>
        <w:sz w:val="18"/>
        <w:szCs w:val="18"/>
      </w:rPr>
    </w:pPr>
    <w:r>
      <w:rPr>
        <w:rFonts w:ascii="Arial" w:hAnsi="Arial" w:eastAsia="Arial" w:cs="Arial"/>
        <w:spacing w:val="-15"/>
        <w:position w:val="1"/>
        <w:sz w:val="18"/>
        <w:szCs w:val="18"/>
      </w:rPr>
      <w:t>163</w:t>
    </w:r>
  </w:p>
</w:ftr>
</file>

<file path=word/footer1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BFFD5">
    <w:pPr>
      <w:spacing w:line="240" w:lineRule="exact"/>
      <w:ind w:left="4292"/>
      <w:rPr>
        <w:rFonts w:ascii="Arial" w:hAnsi="Arial" w:eastAsia="Arial" w:cs="Arial"/>
        <w:sz w:val="18"/>
        <w:szCs w:val="18"/>
      </w:rPr>
    </w:pPr>
    <w:r>
      <w:rPr>
        <w:rFonts w:ascii="Arial" w:hAnsi="Arial" w:eastAsia="Arial" w:cs="Arial"/>
        <w:spacing w:val="-15"/>
        <w:position w:val="1"/>
        <w:sz w:val="18"/>
        <w:szCs w:val="18"/>
      </w:rPr>
      <w:t>164</w:t>
    </w:r>
  </w:p>
</w:ftr>
</file>

<file path=word/footer1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9C188">
    <w:pPr>
      <w:spacing w:line="240" w:lineRule="exact"/>
      <w:ind w:left="4292"/>
      <w:rPr>
        <w:rFonts w:ascii="Arial" w:hAnsi="Arial" w:eastAsia="Arial" w:cs="Arial"/>
        <w:sz w:val="18"/>
        <w:szCs w:val="18"/>
      </w:rPr>
    </w:pPr>
    <w:r>
      <w:rPr>
        <w:rFonts w:ascii="Arial" w:hAnsi="Arial" w:eastAsia="Arial" w:cs="Arial"/>
        <w:spacing w:val="-15"/>
        <w:position w:val="1"/>
        <w:sz w:val="18"/>
        <w:szCs w:val="18"/>
      </w:rPr>
      <w:t>165</w:t>
    </w:r>
  </w:p>
</w:ftr>
</file>

<file path=word/footer1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EAAD7">
    <w:pPr>
      <w:spacing w:line="240" w:lineRule="exact"/>
      <w:ind w:left="4292"/>
      <w:rPr>
        <w:rFonts w:ascii="Arial" w:hAnsi="Arial" w:eastAsia="Arial" w:cs="Arial"/>
        <w:sz w:val="18"/>
        <w:szCs w:val="18"/>
      </w:rPr>
    </w:pPr>
    <w:r>
      <w:rPr>
        <w:rFonts w:ascii="Arial" w:hAnsi="Arial" w:eastAsia="Arial" w:cs="Arial"/>
        <w:spacing w:val="-15"/>
        <w:position w:val="1"/>
        <w:sz w:val="18"/>
        <w:szCs w:val="18"/>
      </w:rPr>
      <w:t>166</w:t>
    </w:r>
  </w:p>
</w:ftr>
</file>

<file path=word/footer1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1DF81">
    <w:pPr>
      <w:spacing w:line="240" w:lineRule="exact"/>
      <w:ind w:left="4292"/>
      <w:rPr>
        <w:rFonts w:ascii="Arial" w:hAnsi="Arial" w:eastAsia="Arial" w:cs="Arial"/>
        <w:sz w:val="18"/>
        <w:szCs w:val="18"/>
      </w:rPr>
    </w:pPr>
    <w:r>
      <w:rPr>
        <w:rFonts w:ascii="Arial" w:hAnsi="Arial" w:eastAsia="Arial" w:cs="Arial"/>
        <w:spacing w:val="-15"/>
        <w:position w:val="1"/>
        <w:sz w:val="18"/>
        <w:szCs w:val="18"/>
      </w:rPr>
      <w:t>167</w:t>
    </w:r>
  </w:p>
</w:ftr>
</file>

<file path=word/footer1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03718">
    <w:pPr>
      <w:spacing w:line="240" w:lineRule="exact"/>
      <w:ind w:left="4292"/>
      <w:rPr>
        <w:rFonts w:ascii="Arial" w:hAnsi="Arial" w:eastAsia="Arial" w:cs="Arial"/>
        <w:sz w:val="18"/>
        <w:szCs w:val="18"/>
      </w:rPr>
    </w:pPr>
    <w:r>
      <w:rPr>
        <w:rFonts w:ascii="Arial" w:hAnsi="Arial" w:eastAsia="Arial" w:cs="Arial"/>
        <w:spacing w:val="-15"/>
        <w:position w:val="1"/>
        <w:sz w:val="18"/>
        <w:szCs w:val="18"/>
      </w:rPr>
      <w:t>168</w:t>
    </w:r>
  </w:p>
</w:ftr>
</file>

<file path=word/footer1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2F1B6">
    <w:pPr>
      <w:spacing w:line="240" w:lineRule="exact"/>
      <w:ind w:left="4292"/>
      <w:rPr>
        <w:rFonts w:ascii="Arial" w:hAnsi="Arial" w:eastAsia="Arial" w:cs="Arial"/>
        <w:sz w:val="18"/>
        <w:szCs w:val="18"/>
      </w:rPr>
    </w:pPr>
    <w:r>
      <w:rPr>
        <w:rFonts w:ascii="Arial" w:hAnsi="Arial" w:eastAsia="Arial" w:cs="Arial"/>
        <w:spacing w:val="-15"/>
        <w:position w:val="1"/>
        <w:sz w:val="18"/>
        <w:szCs w:val="18"/>
      </w:rPr>
      <w:t>169</w:t>
    </w:r>
  </w:p>
</w:ftr>
</file>

<file path=word/footer1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787CC">
    <w:pPr>
      <w:spacing w:line="240" w:lineRule="exact"/>
      <w:ind w:left="4292"/>
      <w:rPr>
        <w:rFonts w:ascii="Arial" w:hAnsi="Arial" w:eastAsia="Arial" w:cs="Arial"/>
        <w:sz w:val="18"/>
        <w:szCs w:val="18"/>
      </w:rPr>
    </w:pPr>
    <w:r>
      <w:rPr>
        <w:rFonts w:ascii="Arial" w:hAnsi="Arial" w:eastAsia="Arial" w:cs="Arial"/>
        <w:spacing w:val="-15"/>
        <w:position w:val="1"/>
        <w:sz w:val="18"/>
        <w:szCs w:val="18"/>
      </w:rPr>
      <w:t>170</w:t>
    </w:r>
  </w:p>
</w:ftr>
</file>

<file path=word/footer1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B8E11">
    <w:pPr>
      <w:spacing w:line="243" w:lineRule="exact"/>
      <w:ind w:left="4289"/>
      <w:rPr>
        <w:rFonts w:ascii="Arial" w:hAnsi="Arial" w:eastAsia="Arial" w:cs="Arial"/>
        <w:sz w:val="18"/>
        <w:szCs w:val="18"/>
      </w:rPr>
    </w:pPr>
    <w:r>
      <w:rPr>
        <w:rFonts w:ascii="Arial" w:hAnsi="Arial" w:eastAsia="Arial" w:cs="Arial"/>
        <w:spacing w:val="-15"/>
        <w:position w:val="1"/>
        <w:sz w:val="18"/>
        <w:szCs w:val="18"/>
      </w:rPr>
      <w:t>171</w:t>
    </w:r>
  </w:p>
</w:ftr>
</file>

<file path=word/footer1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3FA3D">
    <w:pPr>
      <w:spacing w:line="243" w:lineRule="exact"/>
      <w:ind w:left="4042"/>
      <w:rPr>
        <w:rFonts w:ascii="Arial" w:hAnsi="Arial" w:eastAsia="Arial" w:cs="Arial"/>
        <w:sz w:val="18"/>
        <w:szCs w:val="18"/>
      </w:rPr>
    </w:pPr>
    <w:r>
      <w:rPr>
        <w:rFonts w:ascii="Arial" w:hAnsi="Arial" w:eastAsia="Arial" w:cs="Arial"/>
        <w:spacing w:val="-15"/>
        <w:position w:val="1"/>
        <w:sz w:val="18"/>
        <w:szCs w:val="18"/>
      </w:rPr>
      <w:t>172</w:t>
    </w:r>
  </w:p>
</w:ftr>
</file>

<file path=word/footer1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1A70E">
    <w:pPr>
      <w:spacing w:line="240" w:lineRule="exact"/>
      <w:ind w:left="4290"/>
      <w:rPr>
        <w:rFonts w:ascii="Arial" w:hAnsi="Arial" w:eastAsia="Arial" w:cs="Arial"/>
        <w:sz w:val="18"/>
        <w:szCs w:val="18"/>
      </w:rPr>
    </w:pPr>
    <w:r>
      <w:rPr>
        <w:rFonts w:ascii="Arial" w:hAnsi="Arial" w:eastAsia="Arial" w:cs="Arial"/>
        <w:spacing w:val="-15"/>
        <w:position w:val="1"/>
        <w:sz w:val="18"/>
        <w:szCs w:val="18"/>
      </w:rPr>
      <w:t>173</w:t>
    </w:r>
  </w:p>
</w:ftr>
</file>

<file path=word/footer1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1C69E">
    <w:pPr>
      <w:spacing w:line="243" w:lineRule="exact"/>
      <w:ind w:left="4291"/>
      <w:rPr>
        <w:rFonts w:ascii="Arial" w:hAnsi="Arial" w:eastAsia="Arial" w:cs="Arial"/>
        <w:sz w:val="18"/>
        <w:szCs w:val="18"/>
      </w:rPr>
    </w:pPr>
    <w:r>
      <w:rPr>
        <w:rFonts w:ascii="Arial" w:hAnsi="Arial" w:eastAsia="Arial" w:cs="Arial"/>
        <w:spacing w:val="-15"/>
        <w:position w:val="1"/>
        <w:sz w:val="18"/>
        <w:szCs w:val="18"/>
      </w:rPr>
      <w:t>174</w:t>
    </w:r>
  </w:p>
</w:ftr>
</file>

<file path=word/footer1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8D0A7">
    <w:pPr>
      <w:spacing w:line="240" w:lineRule="exact"/>
      <w:ind w:left="4297"/>
      <w:rPr>
        <w:rFonts w:ascii="Arial" w:hAnsi="Arial" w:eastAsia="Arial" w:cs="Arial"/>
        <w:sz w:val="18"/>
        <w:szCs w:val="18"/>
      </w:rPr>
    </w:pPr>
    <w:r>
      <w:rPr>
        <w:rFonts w:ascii="Arial" w:hAnsi="Arial" w:eastAsia="Arial" w:cs="Arial"/>
        <w:spacing w:val="-15"/>
        <w:position w:val="1"/>
        <w:sz w:val="18"/>
        <w:szCs w:val="18"/>
      </w:rPr>
      <w:t>175</w:t>
    </w:r>
  </w:p>
</w:ftr>
</file>

<file path=word/footer1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2263C">
    <w:pPr>
      <w:spacing w:line="240" w:lineRule="exact"/>
      <w:ind w:left="4292"/>
      <w:rPr>
        <w:rFonts w:ascii="Arial" w:hAnsi="Arial" w:eastAsia="Arial" w:cs="Arial"/>
        <w:sz w:val="18"/>
        <w:szCs w:val="18"/>
      </w:rPr>
    </w:pPr>
    <w:r>
      <w:rPr>
        <w:rFonts w:ascii="Arial" w:hAnsi="Arial" w:eastAsia="Arial" w:cs="Arial"/>
        <w:spacing w:val="-15"/>
        <w:position w:val="1"/>
        <w:sz w:val="18"/>
        <w:szCs w:val="18"/>
      </w:rPr>
      <w:t>176</w:t>
    </w:r>
  </w:p>
</w:ftr>
</file>

<file path=word/footer1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1935B">
    <w:pPr>
      <w:spacing w:line="243" w:lineRule="exact"/>
      <w:ind w:left="4297"/>
      <w:rPr>
        <w:rFonts w:ascii="Arial" w:hAnsi="Arial" w:eastAsia="Arial" w:cs="Arial"/>
        <w:sz w:val="18"/>
        <w:szCs w:val="18"/>
      </w:rPr>
    </w:pPr>
    <w:r>
      <w:rPr>
        <w:rFonts w:ascii="Arial" w:hAnsi="Arial" w:eastAsia="Arial" w:cs="Arial"/>
        <w:spacing w:val="-15"/>
        <w:position w:val="1"/>
        <w:sz w:val="18"/>
        <w:szCs w:val="18"/>
      </w:rPr>
      <w:t>177</w:t>
    </w:r>
  </w:p>
</w:ftr>
</file>

<file path=word/footer1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63208">
    <w:pPr>
      <w:spacing w:line="240" w:lineRule="exact"/>
      <w:ind w:left="4297"/>
      <w:rPr>
        <w:rFonts w:ascii="Arial" w:hAnsi="Arial" w:eastAsia="Arial" w:cs="Arial"/>
        <w:sz w:val="18"/>
        <w:szCs w:val="18"/>
      </w:rPr>
    </w:pPr>
    <w:r>
      <w:rPr>
        <w:rFonts w:ascii="Arial" w:hAnsi="Arial" w:eastAsia="Arial" w:cs="Arial"/>
        <w:spacing w:val="-15"/>
        <w:position w:val="1"/>
        <w:sz w:val="18"/>
        <w:szCs w:val="18"/>
      </w:rPr>
      <w:t>178</w:t>
    </w:r>
  </w:p>
</w:ftr>
</file>

<file path=word/footer1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84392">
    <w:pPr>
      <w:spacing w:line="240" w:lineRule="exact"/>
      <w:ind w:left="4297"/>
      <w:rPr>
        <w:rFonts w:ascii="Arial" w:hAnsi="Arial" w:eastAsia="Arial" w:cs="Arial"/>
        <w:sz w:val="18"/>
        <w:szCs w:val="18"/>
      </w:rPr>
    </w:pPr>
    <w:r>
      <w:rPr>
        <w:rFonts w:ascii="Arial" w:hAnsi="Arial" w:eastAsia="Arial" w:cs="Arial"/>
        <w:spacing w:val="-15"/>
        <w:position w:val="1"/>
        <w:sz w:val="18"/>
        <w:szCs w:val="18"/>
      </w:rPr>
      <w:t>179</w:t>
    </w:r>
  </w:p>
</w:ftr>
</file>

<file path=word/footer1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C9EF5">
    <w:pPr>
      <w:spacing w:line="240" w:lineRule="exact"/>
      <w:ind w:left="4297"/>
      <w:rPr>
        <w:rFonts w:ascii="Arial" w:hAnsi="Arial" w:eastAsia="Arial" w:cs="Arial"/>
        <w:sz w:val="18"/>
        <w:szCs w:val="18"/>
      </w:rPr>
    </w:pPr>
    <w:r>
      <w:rPr>
        <w:rFonts w:ascii="Arial" w:hAnsi="Arial" w:eastAsia="Arial" w:cs="Arial"/>
        <w:spacing w:val="-15"/>
        <w:position w:val="1"/>
        <w:sz w:val="18"/>
        <w:szCs w:val="18"/>
      </w:rPr>
      <w:t>180</w:t>
    </w:r>
  </w:p>
</w:ftr>
</file>

<file path=word/footer1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D6B54">
    <w:pPr>
      <w:spacing w:line="240" w:lineRule="exact"/>
      <w:ind w:left="4297"/>
      <w:rPr>
        <w:rFonts w:ascii="Arial" w:hAnsi="Arial" w:eastAsia="Arial" w:cs="Arial"/>
        <w:sz w:val="18"/>
        <w:szCs w:val="18"/>
      </w:rPr>
    </w:pPr>
    <w:r>
      <w:rPr>
        <w:rFonts w:ascii="Arial" w:hAnsi="Arial" w:eastAsia="Arial" w:cs="Arial"/>
        <w:spacing w:val="-15"/>
        <w:position w:val="1"/>
        <w:sz w:val="18"/>
        <w:szCs w:val="18"/>
      </w:rPr>
      <w:t>181</w:t>
    </w:r>
  </w:p>
</w:ftr>
</file>

<file path=word/footer1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2B100">
    <w:pPr>
      <w:spacing w:line="240" w:lineRule="exact"/>
      <w:ind w:left="4297"/>
      <w:rPr>
        <w:rFonts w:ascii="Arial" w:hAnsi="Arial" w:eastAsia="Arial" w:cs="Arial"/>
        <w:sz w:val="18"/>
        <w:szCs w:val="18"/>
      </w:rPr>
    </w:pPr>
    <w:r>
      <w:rPr>
        <w:rFonts w:ascii="Arial" w:hAnsi="Arial" w:eastAsia="Arial" w:cs="Arial"/>
        <w:spacing w:val="-15"/>
        <w:position w:val="1"/>
        <w:sz w:val="18"/>
        <w:szCs w:val="18"/>
      </w:rPr>
      <w:t>182</w:t>
    </w:r>
  </w:p>
</w:ftr>
</file>

<file path=word/footer2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391DD">
    <w:pPr>
      <w:spacing w:line="240" w:lineRule="exact"/>
      <w:ind w:left="4297"/>
      <w:rPr>
        <w:rFonts w:ascii="Arial" w:hAnsi="Arial" w:eastAsia="Arial" w:cs="Arial"/>
        <w:sz w:val="18"/>
        <w:szCs w:val="18"/>
      </w:rPr>
    </w:pPr>
    <w:r>
      <w:rPr>
        <w:rFonts w:ascii="Arial" w:hAnsi="Arial" w:eastAsia="Arial" w:cs="Arial"/>
        <w:spacing w:val="-15"/>
        <w:position w:val="1"/>
        <w:sz w:val="18"/>
        <w:szCs w:val="18"/>
      </w:rPr>
      <w:t>183</w:t>
    </w:r>
  </w:p>
</w:ftr>
</file>

<file path=word/footer2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8CA9A">
    <w:pPr>
      <w:spacing w:line="240" w:lineRule="exact"/>
      <w:ind w:left="4291"/>
      <w:rPr>
        <w:rFonts w:ascii="Arial" w:hAnsi="Arial" w:eastAsia="Arial" w:cs="Arial"/>
        <w:sz w:val="18"/>
        <w:szCs w:val="18"/>
      </w:rPr>
    </w:pPr>
    <w:r>
      <w:rPr>
        <w:rFonts w:ascii="Arial" w:hAnsi="Arial" w:eastAsia="Arial" w:cs="Arial"/>
        <w:spacing w:val="-15"/>
        <w:position w:val="1"/>
        <w:sz w:val="18"/>
        <w:szCs w:val="18"/>
      </w:rPr>
      <w:t>184</w:t>
    </w:r>
  </w:p>
</w:ftr>
</file>

<file path=word/footer2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E9E50">
    <w:pPr>
      <w:spacing w:line="240" w:lineRule="exact"/>
      <w:ind w:left="4291"/>
      <w:rPr>
        <w:rFonts w:ascii="Arial" w:hAnsi="Arial" w:eastAsia="Arial" w:cs="Arial"/>
        <w:sz w:val="18"/>
        <w:szCs w:val="18"/>
      </w:rPr>
    </w:pPr>
    <w:r>
      <w:rPr>
        <w:rFonts w:ascii="Arial" w:hAnsi="Arial" w:eastAsia="Arial" w:cs="Arial"/>
        <w:spacing w:val="-15"/>
        <w:position w:val="1"/>
        <w:sz w:val="18"/>
        <w:szCs w:val="18"/>
      </w:rPr>
      <w:t>185</w:t>
    </w:r>
  </w:p>
</w:ftr>
</file>

<file path=word/footer2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28F97">
    <w:pPr>
      <w:spacing w:line="240" w:lineRule="exact"/>
      <w:ind w:left="4290"/>
      <w:rPr>
        <w:rFonts w:ascii="Arial" w:hAnsi="Arial" w:eastAsia="Arial" w:cs="Arial"/>
        <w:sz w:val="18"/>
        <w:szCs w:val="18"/>
      </w:rPr>
    </w:pPr>
    <w:r>
      <w:rPr>
        <w:rFonts w:ascii="Arial" w:hAnsi="Arial" w:eastAsia="Arial" w:cs="Arial"/>
        <w:spacing w:val="-15"/>
        <w:position w:val="1"/>
        <w:sz w:val="18"/>
        <w:szCs w:val="18"/>
      </w:rPr>
      <w:t>186</w:t>
    </w:r>
  </w:p>
</w:ftr>
</file>

<file path=word/footer2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EA871">
    <w:pPr>
      <w:spacing w:line="240" w:lineRule="exact"/>
      <w:ind w:left="4297"/>
      <w:rPr>
        <w:rFonts w:ascii="Arial" w:hAnsi="Arial" w:eastAsia="Arial" w:cs="Arial"/>
        <w:sz w:val="18"/>
        <w:szCs w:val="18"/>
      </w:rPr>
    </w:pPr>
    <w:r>
      <w:rPr>
        <w:rFonts w:ascii="Arial" w:hAnsi="Arial" w:eastAsia="Arial" w:cs="Arial"/>
        <w:spacing w:val="-15"/>
        <w:position w:val="1"/>
        <w:sz w:val="18"/>
        <w:szCs w:val="18"/>
      </w:rPr>
      <w:t>187</w:t>
    </w:r>
  </w:p>
</w:ftr>
</file>

<file path=word/footer2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3BEEA">
    <w:pPr>
      <w:spacing w:line="240" w:lineRule="exact"/>
      <w:ind w:left="4289"/>
      <w:rPr>
        <w:rFonts w:ascii="Arial" w:hAnsi="Arial" w:eastAsia="Arial" w:cs="Arial"/>
        <w:sz w:val="18"/>
        <w:szCs w:val="18"/>
      </w:rPr>
    </w:pPr>
    <w:r>
      <w:rPr>
        <w:rFonts w:ascii="Arial" w:hAnsi="Arial" w:eastAsia="Arial" w:cs="Arial"/>
        <w:spacing w:val="-15"/>
        <w:position w:val="1"/>
        <w:sz w:val="18"/>
        <w:szCs w:val="18"/>
      </w:rPr>
      <w:t>188</w:t>
    </w:r>
  </w:p>
</w:ftr>
</file>

<file path=word/footer2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3CB94">
    <w:pPr>
      <w:spacing w:line="240" w:lineRule="exact"/>
      <w:ind w:left="4297"/>
      <w:rPr>
        <w:rFonts w:ascii="Arial" w:hAnsi="Arial" w:eastAsia="Arial" w:cs="Arial"/>
        <w:sz w:val="18"/>
        <w:szCs w:val="18"/>
      </w:rPr>
    </w:pPr>
    <w:r>
      <w:rPr>
        <w:rFonts w:ascii="Arial" w:hAnsi="Arial" w:eastAsia="Arial" w:cs="Arial"/>
        <w:spacing w:val="-15"/>
        <w:position w:val="1"/>
        <w:sz w:val="18"/>
        <w:szCs w:val="18"/>
      </w:rPr>
      <w:t>189</w:t>
    </w:r>
  </w:p>
</w:ftr>
</file>

<file path=word/footer2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E0FBD">
    <w:pPr>
      <w:spacing w:line="240" w:lineRule="exact"/>
      <w:ind w:left="4297"/>
      <w:rPr>
        <w:rFonts w:ascii="Arial" w:hAnsi="Arial" w:eastAsia="Arial" w:cs="Arial"/>
        <w:sz w:val="18"/>
        <w:szCs w:val="18"/>
      </w:rPr>
    </w:pPr>
    <w:r>
      <w:rPr>
        <w:rFonts w:ascii="Arial" w:hAnsi="Arial" w:eastAsia="Arial" w:cs="Arial"/>
        <w:spacing w:val="-15"/>
        <w:position w:val="1"/>
        <w:sz w:val="18"/>
        <w:szCs w:val="18"/>
      </w:rPr>
      <w:t>190</w:t>
    </w:r>
  </w:p>
</w:ftr>
</file>

<file path=word/footer2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E1C0F">
    <w:pPr>
      <w:spacing w:line="240" w:lineRule="exact"/>
      <w:ind w:left="4297"/>
      <w:rPr>
        <w:rFonts w:ascii="Arial" w:hAnsi="Arial" w:eastAsia="Arial" w:cs="Arial"/>
        <w:sz w:val="18"/>
        <w:szCs w:val="18"/>
      </w:rPr>
    </w:pPr>
    <w:r>
      <w:rPr>
        <w:rFonts w:ascii="Arial" w:hAnsi="Arial" w:eastAsia="Arial" w:cs="Arial"/>
        <w:spacing w:val="-15"/>
        <w:position w:val="1"/>
        <w:sz w:val="18"/>
        <w:szCs w:val="18"/>
      </w:rPr>
      <w:t>191</w:t>
    </w:r>
  </w:p>
</w:ftr>
</file>

<file path=word/footer2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2BE19">
    <w:pPr>
      <w:spacing w:line="240" w:lineRule="exact"/>
      <w:ind w:left="4297"/>
      <w:rPr>
        <w:rFonts w:ascii="Arial" w:hAnsi="Arial" w:eastAsia="Arial" w:cs="Arial"/>
        <w:sz w:val="18"/>
        <w:szCs w:val="18"/>
      </w:rPr>
    </w:pPr>
    <w:r>
      <w:rPr>
        <w:rFonts w:ascii="Arial" w:hAnsi="Arial" w:eastAsia="Arial" w:cs="Arial"/>
        <w:spacing w:val="-15"/>
        <w:position w:val="1"/>
        <w:sz w:val="18"/>
        <w:szCs w:val="18"/>
      </w:rPr>
      <w:t>192</w:t>
    </w:r>
  </w:p>
</w:ftr>
</file>

<file path=word/footer2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C720B">
    <w:pPr>
      <w:spacing w:line="240" w:lineRule="exact"/>
      <w:ind w:left="4042"/>
      <w:rPr>
        <w:rFonts w:ascii="Arial" w:hAnsi="Arial" w:eastAsia="Arial" w:cs="Arial"/>
        <w:sz w:val="18"/>
        <w:szCs w:val="18"/>
      </w:rPr>
    </w:pPr>
    <w:r>
      <w:rPr>
        <w:rFonts w:ascii="Arial" w:hAnsi="Arial" w:eastAsia="Arial" w:cs="Arial"/>
        <w:spacing w:val="-15"/>
        <w:position w:val="1"/>
        <w:sz w:val="18"/>
        <w:szCs w:val="18"/>
      </w:rPr>
      <w:t>193</w:t>
    </w:r>
  </w:p>
</w:ftr>
</file>

<file path=word/footer2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D24E9">
    <w:pPr>
      <w:spacing w:line="240" w:lineRule="exact"/>
      <w:ind w:left="4289"/>
      <w:rPr>
        <w:rFonts w:ascii="Arial" w:hAnsi="Arial" w:eastAsia="Arial" w:cs="Arial"/>
        <w:sz w:val="18"/>
        <w:szCs w:val="18"/>
      </w:rPr>
    </w:pPr>
    <w:r>
      <w:rPr>
        <w:rFonts w:ascii="Arial" w:hAnsi="Arial" w:eastAsia="Arial" w:cs="Arial"/>
        <w:spacing w:val="-15"/>
        <w:position w:val="1"/>
        <w:sz w:val="18"/>
        <w:szCs w:val="18"/>
      </w:rPr>
      <w:t>194</w:t>
    </w:r>
  </w:p>
</w:ftr>
</file>

<file path=word/footer2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CDF6C">
    <w:pPr>
      <w:spacing w:line="240" w:lineRule="exact"/>
      <w:ind w:left="4297"/>
      <w:rPr>
        <w:rFonts w:ascii="Arial" w:hAnsi="Arial" w:eastAsia="Arial" w:cs="Arial"/>
        <w:sz w:val="18"/>
        <w:szCs w:val="18"/>
      </w:rPr>
    </w:pPr>
    <w:r>
      <w:rPr>
        <w:rFonts w:ascii="Arial" w:hAnsi="Arial" w:eastAsia="Arial" w:cs="Arial"/>
        <w:spacing w:val="-15"/>
        <w:position w:val="1"/>
        <w:sz w:val="18"/>
        <w:szCs w:val="18"/>
      </w:rPr>
      <w:t>195</w:t>
    </w:r>
  </w:p>
</w:ftr>
</file>

<file path=word/footer2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4A20F">
    <w:pPr>
      <w:spacing w:line="240" w:lineRule="exact"/>
      <w:ind w:left="4297"/>
      <w:rPr>
        <w:rFonts w:ascii="Arial" w:hAnsi="Arial" w:eastAsia="Arial" w:cs="Arial"/>
        <w:sz w:val="18"/>
        <w:szCs w:val="18"/>
      </w:rPr>
    </w:pPr>
    <w:r>
      <w:rPr>
        <w:rFonts w:ascii="Arial" w:hAnsi="Arial" w:eastAsia="Arial" w:cs="Arial"/>
        <w:spacing w:val="-15"/>
        <w:position w:val="1"/>
        <w:sz w:val="18"/>
        <w:szCs w:val="18"/>
      </w:rPr>
      <w:t>196</w:t>
    </w:r>
  </w:p>
</w:ftr>
</file>

<file path=word/footer2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8B6E3">
    <w:pPr>
      <w:spacing w:line="240" w:lineRule="exact"/>
      <w:ind w:left="4297"/>
      <w:rPr>
        <w:rFonts w:ascii="Arial" w:hAnsi="Arial" w:eastAsia="Arial" w:cs="Arial"/>
        <w:sz w:val="18"/>
        <w:szCs w:val="18"/>
      </w:rPr>
    </w:pPr>
    <w:r>
      <w:rPr>
        <w:rFonts w:ascii="Arial" w:hAnsi="Arial" w:eastAsia="Arial" w:cs="Arial"/>
        <w:spacing w:val="-15"/>
        <w:position w:val="1"/>
        <w:sz w:val="18"/>
        <w:szCs w:val="18"/>
      </w:rPr>
      <w:t>197</w:t>
    </w:r>
  </w:p>
</w:ftr>
</file>

<file path=word/footer2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4853F">
    <w:pPr>
      <w:spacing w:line="240" w:lineRule="exact"/>
      <w:ind w:left="4286"/>
      <w:rPr>
        <w:rFonts w:ascii="Arial" w:hAnsi="Arial" w:eastAsia="Arial" w:cs="Arial"/>
        <w:sz w:val="18"/>
        <w:szCs w:val="18"/>
      </w:rPr>
    </w:pPr>
    <w:r>
      <w:rPr>
        <w:rFonts w:ascii="Arial" w:hAnsi="Arial" w:eastAsia="Arial" w:cs="Arial"/>
        <w:spacing w:val="-15"/>
        <w:position w:val="1"/>
        <w:sz w:val="18"/>
        <w:szCs w:val="18"/>
      </w:rPr>
      <w:t>198</w:t>
    </w:r>
  </w:p>
</w:ftr>
</file>

<file path=word/footer2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D90FE">
    <w:pPr>
      <w:spacing w:line="240" w:lineRule="exact"/>
      <w:ind w:left="4297"/>
      <w:rPr>
        <w:rFonts w:ascii="Arial" w:hAnsi="Arial" w:eastAsia="Arial" w:cs="Arial"/>
        <w:sz w:val="18"/>
        <w:szCs w:val="18"/>
      </w:rPr>
    </w:pPr>
    <w:r>
      <w:rPr>
        <w:rFonts w:ascii="Arial" w:hAnsi="Arial" w:eastAsia="Arial" w:cs="Arial"/>
        <w:spacing w:val="-15"/>
        <w:position w:val="1"/>
        <w:sz w:val="18"/>
        <w:szCs w:val="18"/>
      </w:rPr>
      <w:t>199</w:t>
    </w:r>
  </w:p>
</w:ftr>
</file>

<file path=word/footer2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98A45">
    <w:pPr>
      <w:spacing w:line="240" w:lineRule="exact"/>
      <w:ind w:left="4274"/>
      <w:rPr>
        <w:rFonts w:ascii="Arial" w:hAnsi="Arial" w:eastAsia="Arial" w:cs="Arial"/>
        <w:sz w:val="18"/>
        <w:szCs w:val="18"/>
      </w:rPr>
    </w:pPr>
    <w:r>
      <w:rPr>
        <w:rFonts w:ascii="Arial" w:hAnsi="Arial" w:eastAsia="Arial" w:cs="Arial"/>
        <w:spacing w:val="-10"/>
        <w:position w:val="1"/>
        <w:sz w:val="18"/>
        <w:szCs w:val="18"/>
      </w:rPr>
      <w:t>200</w:t>
    </w:r>
  </w:p>
</w:ftr>
</file>

<file path=word/footer2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DC49E">
    <w:pPr>
      <w:spacing w:line="240" w:lineRule="exact"/>
      <w:ind w:left="4285"/>
      <w:rPr>
        <w:rFonts w:ascii="Arial" w:hAnsi="Arial" w:eastAsia="Arial" w:cs="Arial"/>
        <w:sz w:val="18"/>
        <w:szCs w:val="18"/>
      </w:rPr>
    </w:pPr>
    <w:r>
      <w:rPr>
        <w:rFonts w:ascii="Arial" w:hAnsi="Arial" w:eastAsia="Arial" w:cs="Arial"/>
        <w:spacing w:val="-10"/>
        <w:position w:val="1"/>
        <w:sz w:val="18"/>
        <w:szCs w:val="18"/>
      </w:rPr>
      <w:t>201</w:t>
    </w:r>
  </w:p>
</w:ftr>
</file>

<file path=word/footer2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F17A4">
    <w:pPr>
      <w:spacing w:line="240" w:lineRule="exact"/>
      <w:ind w:left="4276"/>
      <w:rPr>
        <w:rFonts w:ascii="Arial" w:hAnsi="Arial" w:eastAsia="Arial" w:cs="Arial"/>
        <w:sz w:val="18"/>
        <w:szCs w:val="18"/>
      </w:rPr>
    </w:pPr>
    <w:r>
      <w:rPr>
        <w:rFonts w:ascii="Arial" w:hAnsi="Arial" w:eastAsia="Arial" w:cs="Arial"/>
        <w:spacing w:val="-10"/>
        <w:position w:val="1"/>
        <w:sz w:val="18"/>
        <w:szCs w:val="18"/>
      </w:rPr>
      <w:t>202</w:t>
    </w:r>
  </w:p>
</w:ftr>
</file>

<file path=word/footer2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F7C33">
    <w:pPr>
      <w:spacing w:line="240" w:lineRule="exact"/>
      <w:ind w:left="4276"/>
      <w:rPr>
        <w:rFonts w:ascii="Arial" w:hAnsi="Arial" w:eastAsia="Arial" w:cs="Arial"/>
        <w:sz w:val="18"/>
        <w:szCs w:val="18"/>
      </w:rPr>
    </w:pPr>
    <w:r>
      <w:rPr>
        <w:rFonts w:ascii="Arial" w:hAnsi="Arial" w:eastAsia="Arial" w:cs="Arial"/>
        <w:spacing w:val="-10"/>
        <w:position w:val="1"/>
        <w:sz w:val="18"/>
        <w:szCs w:val="18"/>
      </w:rPr>
      <w:t>203</w:t>
    </w:r>
  </w:p>
</w:ftr>
</file>

<file path=word/footer2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4B073">
    <w:pPr>
      <w:spacing w:line="240" w:lineRule="exact"/>
      <w:ind w:left="4030"/>
      <w:rPr>
        <w:rFonts w:ascii="Arial" w:hAnsi="Arial" w:eastAsia="Arial" w:cs="Arial"/>
        <w:sz w:val="18"/>
        <w:szCs w:val="18"/>
      </w:rPr>
    </w:pPr>
    <w:r>
      <w:rPr>
        <w:rFonts w:ascii="Arial" w:hAnsi="Arial" w:eastAsia="Arial" w:cs="Arial"/>
        <w:spacing w:val="-10"/>
        <w:position w:val="1"/>
        <w:sz w:val="18"/>
        <w:szCs w:val="18"/>
      </w:rPr>
      <w:t>204</w:t>
    </w:r>
  </w:p>
</w:ftr>
</file>

<file path=word/footer2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8557A">
    <w:pPr>
      <w:spacing w:line="240" w:lineRule="exact"/>
      <w:ind w:left="4274"/>
      <w:rPr>
        <w:rFonts w:ascii="Arial" w:hAnsi="Arial" w:eastAsia="Arial" w:cs="Arial"/>
        <w:sz w:val="18"/>
        <w:szCs w:val="18"/>
      </w:rPr>
    </w:pPr>
    <w:r>
      <w:rPr>
        <w:rFonts w:ascii="Arial" w:hAnsi="Arial" w:eastAsia="Arial" w:cs="Arial"/>
        <w:spacing w:val="-10"/>
        <w:position w:val="1"/>
        <w:sz w:val="18"/>
        <w:szCs w:val="18"/>
      </w:rPr>
      <w:t>205</w:t>
    </w:r>
  </w:p>
</w:ftr>
</file>

<file path=word/footer2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8B7C9">
    <w:pPr>
      <w:spacing w:line="240" w:lineRule="exact"/>
      <w:ind w:left="4030"/>
      <w:rPr>
        <w:rFonts w:ascii="Arial" w:hAnsi="Arial" w:eastAsia="Arial" w:cs="Arial"/>
        <w:sz w:val="18"/>
        <w:szCs w:val="18"/>
      </w:rPr>
    </w:pPr>
    <w:r>
      <w:rPr>
        <w:rFonts w:ascii="Arial" w:hAnsi="Arial" w:eastAsia="Arial" w:cs="Arial"/>
        <w:spacing w:val="-10"/>
        <w:position w:val="1"/>
        <w:sz w:val="18"/>
        <w:szCs w:val="18"/>
      </w:rPr>
      <w:t>206</w:t>
    </w:r>
  </w:p>
</w:ftr>
</file>

<file path=word/footer2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EC9F0">
    <w:pPr>
      <w:spacing w:line="240" w:lineRule="exact"/>
      <w:ind w:left="4277"/>
      <w:rPr>
        <w:rFonts w:ascii="Arial" w:hAnsi="Arial" w:eastAsia="Arial" w:cs="Arial"/>
        <w:sz w:val="18"/>
        <w:szCs w:val="18"/>
      </w:rPr>
    </w:pPr>
    <w:r>
      <w:rPr>
        <w:rFonts w:ascii="Arial" w:hAnsi="Arial" w:eastAsia="Arial" w:cs="Arial"/>
        <w:spacing w:val="-10"/>
        <w:position w:val="1"/>
        <w:sz w:val="18"/>
        <w:szCs w:val="18"/>
      </w:rPr>
      <w:t>207</w:t>
    </w:r>
  </w:p>
</w:ftr>
</file>

<file path=word/footer2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8EA98">
    <w:pPr>
      <w:spacing w:line="240" w:lineRule="exact"/>
      <w:ind w:left="4277"/>
      <w:rPr>
        <w:rFonts w:ascii="Arial" w:hAnsi="Arial" w:eastAsia="Arial" w:cs="Arial"/>
        <w:sz w:val="18"/>
        <w:szCs w:val="18"/>
      </w:rPr>
    </w:pPr>
    <w:r>
      <w:rPr>
        <w:rFonts w:ascii="Arial" w:hAnsi="Arial" w:eastAsia="Arial" w:cs="Arial"/>
        <w:spacing w:val="-10"/>
        <w:position w:val="1"/>
        <w:sz w:val="18"/>
        <w:szCs w:val="18"/>
      </w:rPr>
      <w:t>208</w:t>
    </w:r>
  </w:p>
</w:ftr>
</file>

<file path=word/footer2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AED77">
    <w:pPr>
      <w:spacing w:line="240" w:lineRule="exact"/>
      <w:ind w:left="4274"/>
      <w:rPr>
        <w:rFonts w:ascii="Arial" w:hAnsi="Arial" w:eastAsia="Arial" w:cs="Arial"/>
        <w:sz w:val="18"/>
        <w:szCs w:val="18"/>
      </w:rPr>
    </w:pPr>
    <w:r>
      <w:rPr>
        <w:rFonts w:ascii="Arial" w:hAnsi="Arial" w:eastAsia="Arial" w:cs="Arial"/>
        <w:spacing w:val="-10"/>
        <w:position w:val="1"/>
        <w:sz w:val="18"/>
        <w:szCs w:val="18"/>
      </w:rPr>
      <w:t>209</w:t>
    </w:r>
  </w:p>
</w:ftr>
</file>

<file path=word/footer2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9751D">
    <w:pPr>
      <w:spacing w:line="240" w:lineRule="exact"/>
      <w:ind w:left="4030"/>
      <w:rPr>
        <w:rFonts w:ascii="Arial" w:hAnsi="Arial" w:eastAsia="Arial" w:cs="Arial"/>
        <w:sz w:val="18"/>
        <w:szCs w:val="18"/>
      </w:rPr>
    </w:pPr>
    <w:r>
      <w:rPr>
        <w:rFonts w:ascii="Arial" w:hAnsi="Arial" w:eastAsia="Arial" w:cs="Arial"/>
        <w:spacing w:val="-10"/>
        <w:position w:val="1"/>
        <w:sz w:val="18"/>
        <w:szCs w:val="18"/>
      </w:rPr>
      <w:t>210</w:t>
    </w:r>
  </w:p>
</w:ftr>
</file>

<file path=word/footer2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EA28E">
    <w:pPr>
      <w:spacing w:line="243" w:lineRule="exact"/>
      <w:ind w:left="4277"/>
      <w:rPr>
        <w:rFonts w:ascii="Arial" w:hAnsi="Arial" w:eastAsia="Arial" w:cs="Arial"/>
        <w:sz w:val="18"/>
        <w:szCs w:val="18"/>
      </w:rPr>
    </w:pPr>
    <w:r>
      <w:rPr>
        <w:rFonts w:ascii="Arial" w:hAnsi="Arial" w:eastAsia="Arial" w:cs="Arial"/>
        <w:spacing w:val="-10"/>
        <w:position w:val="1"/>
        <w:sz w:val="18"/>
        <w:szCs w:val="18"/>
      </w:rPr>
      <w:t>211</w:t>
    </w:r>
  </w:p>
</w:ftr>
</file>

<file path=word/footer2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ABDF4">
    <w:pPr>
      <w:spacing w:line="243" w:lineRule="exact"/>
      <w:ind w:left="4276"/>
      <w:rPr>
        <w:rFonts w:ascii="Arial" w:hAnsi="Arial" w:eastAsia="Arial" w:cs="Arial"/>
        <w:sz w:val="18"/>
        <w:szCs w:val="18"/>
      </w:rPr>
    </w:pPr>
    <w:r>
      <w:rPr>
        <w:rFonts w:ascii="Arial" w:hAnsi="Arial" w:eastAsia="Arial" w:cs="Arial"/>
        <w:spacing w:val="-10"/>
        <w:position w:val="1"/>
        <w:sz w:val="18"/>
        <w:szCs w:val="18"/>
      </w:rPr>
      <w:t>212</w:t>
    </w:r>
  </w:p>
</w:ftr>
</file>

<file path=word/footer2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5109A">
    <w:pPr>
      <w:spacing w:line="240" w:lineRule="exact"/>
      <w:ind w:left="4277"/>
      <w:rPr>
        <w:rFonts w:ascii="Arial" w:hAnsi="Arial" w:eastAsia="Arial" w:cs="Arial"/>
        <w:sz w:val="18"/>
        <w:szCs w:val="18"/>
      </w:rPr>
    </w:pPr>
    <w:r>
      <w:rPr>
        <w:rFonts w:ascii="Arial" w:hAnsi="Arial" w:eastAsia="Arial" w:cs="Arial"/>
        <w:spacing w:val="-10"/>
        <w:position w:val="1"/>
        <w:sz w:val="18"/>
        <w:szCs w:val="18"/>
      </w:rPr>
      <w:t>213</w:t>
    </w:r>
  </w:p>
</w:ftr>
</file>

<file path=word/footer2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7AD34">
    <w:pPr>
      <w:spacing w:line="243" w:lineRule="exact"/>
      <w:ind w:left="4277"/>
      <w:rPr>
        <w:rFonts w:ascii="Arial" w:hAnsi="Arial" w:eastAsia="Arial" w:cs="Arial"/>
        <w:sz w:val="18"/>
        <w:szCs w:val="18"/>
      </w:rPr>
    </w:pPr>
    <w:r>
      <w:rPr>
        <w:rFonts w:ascii="Arial" w:hAnsi="Arial" w:eastAsia="Arial" w:cs="Arial"/>
        <w:spacing w:val="-10"/>
        <w:position w:val="1"/>
        <w:sz w:val="18"/>
        <w:szCs w:val="18"/>
      </w:rPr>
      <w:t>214</w:t>
    </w:r>
  </w:p>
</w:ftr>
</file>

<file path=word/footer2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6042E">
    <w:pPr>
      <w:spacing w:line="240" w:lineRule="exact"/>
      <w:ind w:left="4276"/>
      <w:rPr>
        <w:rFonts w:ascii="Arial" w:hAnsi="Arial" w:eastAsia="Arial" w:cs="Arial"/>
        <w:sz w:val="18"/>
        <w:szCs w:val="18"/>
      </w:rPr>
    </w:pPr>
    <w:r>
      <w:rPr>
        <w:rFonts w:ascii="Arial" w:hAnsi="Arial" w:eastAsia="Arial" w:cs="Arial"/>
        <w:spacing w:val="-10"/>
        <w:position w:val="1"/>
        <w:sz w:val="18"/>
        <w:szCs w:val="18"/>
      </w:rPr>
      <w:t>215</w:t>
    </w:r>
  </w:p>
</w:ftr>
</file>

<file path=word/footer2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0C960">
    <w:pPr>
      <w:spacing w:line="240" w:lineRule="exact"/>
      <w:ind w:left="4278"/>
      <w:rPr>
        <w:rFonts w:ascii="Arial" w:hAnsi="Arial" w:eastAsia="Arial" w:cs="Arial"/>
        <w:sz w:val="18"/>
        <w:szCs w:val="18"/>
      </w:rPr>
    </w:pPr>
    <w:r>
      <w:rPr>
        <w:rFonts w:ascii="Arial" w:hAnsi="Arial" w:eastAsia="Arial" w:cs="Arial"/>
        <w:spacing w:val="-10"/>
        <w:position w:val="1"/>
        <w:sz w:val="18"/>
        <w:szCs w:val="18"/>
      </w:rPr>
      <w:t>216</w:t>
    </w:r>
  </w:p>
</w:ftr>
</file>

<file path=word/footer2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A31D2">
    <w:pPr>
      <w:spacing w:line="243" w:lineRule="exact"/>
      <w:ind w:left="4279"/>
      <w:rPr>
        <w:rFonts w:ascii="Arial" w:hAnsi="Arial" w:eastAsia="Arial" w:cs="Arial"/>
        <w:sz w:val="18"/>
        <w:szCs w:val="18"/>
      </w:rPr>
    </w:pPr>
    <w:r>
      <w:rPr>
        <w:rFonts w:ascii="Arial" w:hAnsi="Arial" w:eastAsia="Arial" w:cs="Arial"/>
        <w:spacing w:val="-10"/>
        <w:position w:val="1"/>
        <w:sz w:val="18"/>
        <w:szCs w:val="18"/>
      </w:rPr>
      <w:t>217</w:t>
    </w:r>
  </w:p>
</w:ftr>
</file>

<file path=word/footer2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E32A4">
    <w:pPr>
      <w:spacing w:line="240" w:lineRule="exact"/>
      <w:ind w:left="4279"/>
      <w:rPr>
        <w:rFonts w:ascii="Arial" w:hAnsi="Arial" w:eastAsia="Arial" w:cs="Arial"/>
        <w:sz w:val="18"/>
        <w:szCs w:val="18"/>
      </w:rPr>
    </w:pPr>
    <w:r>
      <w:rPr>
        <w:rFonts w:ascii="Arial" w:hAnsi="Arial" w:eastAsia="Arial" w:cs="Arial"/>
        <w:spacing w:val="-10"/>
        <w:position w:val="1"/>
        <w:sz w:val="18"/>
        <w:szCs w:val="18"/>
      </w:rPr>
      <w:t>218</w:t>
    </w:r>
  </w:p>
</w:ftr>
</file>

<file path=word/footer2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E21FB">
    <w:pPr>
      <w:spacing w:line="240" w:lineRule="exact"/>
      <w:ind w:left="4281"/>
      <w:rPr>
        <w:rFonts w:ascii="Arial" w:hAnsi="Arial" w:eastAsia="Arial" w:cs="Arial"/>
        <w:sz w:val="18"/>
        <w:szCs w:val="18"/>
      </w:rPr>
    </w:pPr>
    <w:r>
      <w:rPr>
        <w:rFonts w:ascii="Arial" w:hAnsi="Arial" w:eastAsia="Arial" w:cs="Arial"/>
        <w:spacing w:val="-10"/>
        <w:position w:val="1"/>
        <w:sz w:val="18"/>
        <w:szCs w:val="18"/>
      </w:rPr>
      <w:t>219</w:t>
    </w:r>
  </w:p>
</w:ftr>
</file>

<file path=word/footer2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F4EFF">
    <w:pPr>
      <w:spacing w:line="240" w:lineRule="exact"/>
      <w:ind w:left="4281"/>
      <w:rPr>
        <w:rFonts w:ascii="Arial" w:hAnsi="Arial" w:eastAsia="Arial" w:cs="Arial"/>
        <w:sz w:val="18"/>
        <w:szCs w:val="18"/>
      </w:rPr>
    </w:pPr>
    <w:r>
      <w:rPr>
        <w:rFonts w:ascii="Arial" w:hAnsi="Arial" w:eastAsia="Arial" w:cs="Arial"/>
        <w:spacing w:val="-10"/>
        <w:position w:val="1"/>
        <w:sz w:val="18"/>
        <w:szCs w:val="18"/>
      </w:rPr>
      <w:t>220</w:t>
    </w:r>
  </w:p>
</w:ftr>
</file>

<file path=word/footer2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30615">
    <w:pPr>
      <w:spacing w:line="243" w:lineRule="exact"/>
      <w:ind w:left="4281"/>
      <w:rPr>
        <w:rFonts w:ascii="Arial" w:hAnsi="Arial" w:eastAsia="Arial" w:cs="Arial"/>
        <w:sz w:val="18"/>
        <w:szCs w:val="18"/>
      </w:rPr>
    </w:pPr>
    <w:r>
      <w:rPr>
        <w:rFonts w:ascii="Arial" w:hAnsi="Arial" w:eastAsia="Arial" w:cs="Arial"/>
        <w:spacing w:val="-10"/>
        <w:position w:val="1"/>
        <w:sz w:val="18"/>
        <w:szCs w:val="18"/>
      </w:rPr>
      <w:t>221</w:t>
    </w:r>
  </w:p>
</w:ftr>
</file>

<file path=word/footer2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802AB">
    <w:pPr>
      <w:spacing w:line="243" w:lineRule="exact"/>
      <w:ind w:left="4281"/>
      <w:rPr>
        <w:rFonts w:ascii="Arial" w:hAnsi="Arial" w:eastAsia="Arial" w:cs="Arial"/>
        <w:sz w:val="18"/>
        <w:szCs w:val="18"/>
      </w:rPr>
    </w:pPr>
    <w:r>
      <w:rPr>
        <w:rFonts w:ascii="Arial" w:hAnsi="Arial" w:eastAsia="Arial" w:cs="Arial"/>
        <w:spacing w:val="-10"/>
        <w:position w:val="1"/>
        <w:sz w:val="18"/>
        <w:szCs w:val="18"/>
      </w:rPr>
      <w:t>222</w:t>
    </w:r>
  </w:p>
</w:ftr>
</file>

<file path=word/footer2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7A88C">
    <w:pPr>
      <w:spacing w:line="240" w:lineRule="exact"/>
      <w:ind w:left="4279"/>
      <w:rPr>
        <w:rFonts w:ascii="Arial" w:hAnsi="Arial" w:eastAsia="Arial" w:cs="Arial"/>
        <w:sz w:val="18"/>
        <w:szCs w:val="18"/>
      </w:rPr>
    </w:pPr>
    <w:r>
      <w:rPr>
        <w:rFonts w:ascii="Arial" w:hAnsi="Arial" w:eastAsia="Arial" w:cs="Arial"/>
        <w:spacing w:val="-10"/>
        <w:position w:val="1"/>
        <w:sz w:val="18"/>
        <w:szCs w:val="18"/>
      </w:rPr>
      <w:t>223</w:t>
    </w:r>
  </w:p>
</w:ftr>
</file>

<file path=word/footer2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1EEC3">
    <w:pPr>
      <w:spacing w:line="243" w:lineRule="exact"/>
      <w:ind w:left="4278"/>
      <w:rPr>
        <w:rFonts w:ascii="Arial" w:hAnsi="Arial" w:eastAsia="Arial" w:cs="Arial"/>
        <w:sz w:val="18"/>
        <w:szCs w:val="18"/>
      </w:rPr>
    </w:pPr>
    <w:r>
      <w:rPr>
        <w:rFonts w:ascii="Arial" w:hAnsi="Arial" w:eastAsia="Arial" w:cs="Arial"/>
        <w:spacing w:val="-7"/>
        <w:w w:val="97"/>
        <w:position w:val="1"/>
        <w:sz w:val="18"/>
        <w:szCs w:val="18"/>
      </w:rPr>
      <w:t>224</w:t>
    </w:r>
  </w:p>
</w:ftr>
</file>

<file path=word/footer2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03DAD">
    <w:pPr>
      <w:spacing w:line="240" w:lineRule="exact"/>
      <w:ind w:left="4281"/>
      <w:rPr>
        <w:rFonts w:ascii="Arial" w:hAnsi="Arial" w:eastAsia="Arial" w:cs="Arial"/>
        <w:sz w:val="18"/>
        <w:szCs w:val="18"/>
      </w:rPr>
    </w:pPr>
    <w:r>
      <w:rPr>
        <w:rFonts w:ascii="Arial" w:hAnsi="Arial" w:eastAsia="Arial" w:cs="Arial"/>
        <w:spacing w:val="-10"/>
        <w:position w:val="1"/>
        <w:sz w:val="18"/>
        <w:szCs w:val="18"/>
      </w:rPr>
      <w:t>225</w:t>
    </w:r>
  </w:p>
</w:ftr>
</file>

<file path=word/footer2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46F06">
    <w:pPr>
      <w:spacing w:line="240" w:lineRule="exact"/>
      <w:ind w:left="4277"/>
      <w:rPr>
        <w:rFonts w:ascii="Arial" w:hAnsi="Arial" w:eastAsia="Arial" w:cs="Arial"/>
        <w:sz w:val="18"/>
        <w:szCs w:val="18"/>
      </w:rPr>
    </w:pPr>
    <w:r>
      <w:rPr>
        <w:rFonts w:ascii="Arial" w:hAnsi="Arial" w:eastAsia="Arial" w:cs="Arial"/>
        <w:spacing w:val="-10"/>
        <w:position w:val="1"/>
        <w:sz w:val="18"/>
        <w:szCs w:val="18"/>
      </w:rPr>
      <w:t>226</w:t>
    </w:r>
  </w:p>
</w:ftr>
</file>

<file path=word/footer2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F202F">
    <w:pPr>
      <w:spacing w:line="243" w:lineRule="exact"/>
      <w:ind w:left="4277"/>
      <w:rPr>
        <w:rFonts w:ascii="Arial" w:hAnsi="Arial" w:eastAsia="Arial" w:cs="Arial"/>
        <w:sz w:val="18"/>
        <w:szCs w:val="18"/>
      </w:rPr>
    </w:pPr>
    <w:r>
      <w:rPr>
        <w:rFonts w:ascii="Arial" w:hAnsi="Arial" w:eastAsia="Arial" w:cs="Arial"/>
        <w:spacing w:val="-10"/>
        <w:position w:val="1"/>
        <w:sz w:val="18"/>
        <w:szCs w:val="18"/>
      </w:rPr>
      <w:t>227</w:t>
    </w:r>
  </w:p>
</w:ftr>
</file>

<file path=word/footer2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FA9FF">
    <w:pPr>
      <w:spacing w:line="240" w:lineRule="exact"/>
      <w:ind w:left="4277"/>
      <w:rPr>
        <w:rFonts w:ascii="Arial" w:hAnsi="Arial" w:eastAsia="Arial" w:cs="Arial"/>
        <w:sz w:val="18"/>
        <w:szCs w:val="18"/>
      </w:rPr>
    </w:pPr>
    <w:r>
      <w:rPr>
        <w:rFonts w:ascii="Arial" w:hAnsi="Arial" w:eastAsia="Arial" w:cs="Arial"/>
        <w:spacing w:val="-10"/>
        <w:position w:val="1"/>
        <w:sz w:val="18"/>
        <w:szCs w:val="18"/>
      </w:rPr>
      <w:t>228</w:t>
    </w:r>
  </w:p>
</w:ftr>
</file>

<file path=word/footer2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4C211">
    <w:pPr>
      <w:spacing w:line="240" w:lineRule="exact"/>
      <w:ind w:left="4277"/>
      <w:rPr>
        <w:rFonts w:ascii="Arial" w:hAnsi="Arial" w:eastAsia="Arial" w:cs="Arial"/>
        <w:sz w:val="18"/>
        <w:szCs w:val="18"/>
      </w:rPr>
    </w:pPr>
    <w:r>
      <w:rPr>
        <w:rFonts w:ascii="Arial" w:hAnsi="Arial" w:eastAsia="Arial" w:cs="Arial"/>
        <w:spacing w:val="-10"/>
        <w:position w:val="1"/>
        <w:sz w:val="18"/>
        <w:szCs w:val="18"/>
      </w:rPr>
      <w:t>229</w:t>
    </w:r>
  </w:p>
</w:ftr>
</file>

<file path=word/footer2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42ADD">
    <w:pPr>
      <w:spacing w:line="240" w:lineRule="exact"/>
      <w:ind w:left="4277"/>
      <w:rPr>
        <w:rFonts w:ascii="Arial" w:hAnsi="Arial" w:eastAsia="Arial" w:cs="Arial"/>
        <w:sz w:val="18"/>
        <w:szCs w:val="18"/>
      </w:rPr>
    </w:pPr>
    <w:r>
      <w:rPr>
        <w:rFonts w:ascii="Arial" w:hAnsi="Arial" w:eastAsia="Arial" w:cs="Arial"/>
        <w:spacing w:val="-10"/>
        <w:position w:val="1"/>
        <w:sz w:val="18"/>
        <w:szCs w:val="18"/>
      </w:rPr>
      <w:t>230</w:t>
    </w:r>
  </w:p>
</w:ftr>
</file>

<file path=word/footer2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315D6">
    <w:pPr>
      <w:spacing w:line="240" w:lineRule="exact"/>
      <w:ind w:left="4280"/>
      <w:rPr>
        <w:rFonts w:ascii="Arial" w:hAnsi="Arial" w:eastAsia="Arial" w:cs="Arial"/>
        <w:sz w:val="18"/>
        <w:szCs w:val="18"/>
      </w:rPr>
    </w:pPr>
    <w:r>
      <w:rPr>
        <w:rFonts w:ascii="Arial" w:hAnsi="Arial" w:eastAsia="Arial" w:cs="Arial"/>
        <w:spacing w:val="-10"/>
        <w:position w:val="1"/>
        <w:sz w:val="18"/>
        <w:szCs w:val="18"/>
      </w:rPr>
      <w:t>231</w:t>
    </w:r>
  </w:p>
</w:ftr>
</file>

<file path=word/footer2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71AAB">
    <w:pPr>
      <w:spacing w:line="240" w:lineRule="exact"/>
      <w:ind w:left="4277"/>
      <w:rPr>
        <w:rFonts w:ascii="Arial" w:hAnsi="Arial" w:eastAsia="Arial" w:cs="Arial"/>
        <w:sz w:val="18"/>
        <w:szCs w:val="18"/>
      </w:rPr>
    </w:pPr>
    <w:r>
      <w:rPr>
        <w:rFonts w:ascii="Arial" w:hAnsi="Arial" w:eastAsia="Arial" w:cs="Arial"/>
        <w:spacing w:val="-10"/>
        <w:position w:val="1"/>
        <w:sz w:val="18"/>
        <w:szCs w:val="18"/>
      </w:rPr>
      <w:t>232</w:t>
    </w:r>
  </w:p>
</w:ftr>
</file>

<file path=word/footer2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512B5">
    <w:pPr>
      <w:spacing w:line="240" w:lineRule="exact"/>
      <w:ind w:left="4278"/>
      <w:rPr>
        <w:rFonts w:ascii="Arial" w:hAnsi="Arial" w:eastAsia="Arial" w:cs="Arial"/>
        <w:sz w:val="18"/>
        <w:szCs w:val="18"/>
      </w:rPr>
    </w:pPr>
    <w:r>
      <w:rPr>
        <w:rFonts w:ascii="Arial" w:hAnsi="Arial" w:eastAsia="Arial" w:cs="Arial"/>
        <w:spacing w:val="-10"/>
        <w:position w:val="1"/>
        <w:sz w:val="18"/>
        <w:szCs w:val="18"/>
      </w:rPr>
      <w:t>233</w:t>
    </w:r>
  </w:p>
</w:ftr>
</file>

<file path=word/footer2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D9639">
    <w:pPr>
      <w:spacing w:line="240" w:lineRule="exact"/>
      <w:ind w:left="4276"/>
      <w:rPr>
        <w:rFonts w:ascii="Arial" w:hAnsi="Arial" w:eastAsia="Arial" w:cs="Arial"/>
        <w:sz w:val="18"/>
        <w:szCs w:val="18"/>
      </w:rPr>
    </w:pPr>
    <w:r>
      <w:rPr>
        <w:rFonts w:ascii="Arial" w:hAnsi="Arial" w:eastAsia="Arial" w:cs="Arial"/>
        <w:spacing w:val="-10"/>
        <w:position w:val="1"/>
        <w:sz w:val="18"/>
        <w:szCs w:val="18"/>
      </w:rPr>
      <w:t>234</w:t>
    </w:r>
  </w:p>
</w:ftr>
</file>

<file path=word/footer2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84C11">
    <w:pPr>
      <w:spacing w:line="240" w:lineRule="exact"/>
      <w:ind w:left="4277"/>
      <w:rPr>
        <w:rFonts w:ascii="Arial" w:hAnsi="Arial" w:eastAsia="Arial" w:cs="Arial"/>
        <w:sz w:val="18"/>
        <w:szCs w:val="18"/>
      </w:rPr>
    </w:pPr>
    <w:r>
      <w:rPr>
        <w:rFonts w:ascii="Arial" w:hAnsi="Arial" w:eastAsia="Arial" w:cs="Arial"/>
        <w:spacing w:val="-10"/>
        <w:position w:val="1"/>
        <w:sz w:val="18"/>
        <w:szCs w:val="18"/>
      </w:rPr>
      <w:t>235</w:t>
    </w:r>
  </w:p>
</w:ftr>
</file>

<file path=word/footer2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C767B">
    <w:pPr>
      <w:spacing w:line="240" w:lineRule="exact"/>
      <w:ind w:left="4276"/>
      <w:rPr>
        <w:rFonts w:ascii="Arial" w:hAnsi="Arial" w:eastAsia="Arial" w:cs="Arial"/>
        <w:sz w:val="18"/>
        <w:szCs w:val="18"/>
      </w:rPr>
    </w:pPr>
    <w:r>
      <w:rPr>
        <w:rFonts w:ascii="Arial" w:hAnsi="Arial" w:eastAsia="Arial" w:cs="Arial"/>
        <w:spacing w:val="-10"/>
        <w:position w:val="1"/>
        <w:sz w:val="18"/>
        <w:szCs w:val="18"/>
      </w:rPr>
      <w:t>236</w:t>
    </w:r>
  </w:p>
</w:ftr>
</file>

<file path=word/footer2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66C94">
    <w:pPr>
      <w:spacing w:line="240" w:lineRule="exact"/>
      <w:ind w:left="4278"/>
      <w:rPr>
        <w:rFonts w:ascii="Arial" w:hAnsi="Arial" w:eastAsia="Arial" w:cs="Arial"/>
        <w:sz w:val="18"/>
        <w:szCs w:val="18"/>
      </w:rPr>
    </w:pPr>
    <w:r>
      <w:rPr>
        <w:rFonts w:ascii="Arial" w:hAnsi="Arial" w:eastAsia="Arial" w:cs="Arial"/>
        <w:spacing w:val="-10"/>
        <w:position w:val="1"/>
        <w:sz w:val="18"/>
        <w:szCs w:val="18"/>
      </w:rPr>
      <w:t>237</w:t>
    </w:r>
  </w:p>
</w:ftr>
</file>

<file path=word/footer2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20814">
    <w:pPr>
      <w:spacing w:line="240" w:lineRule="exact"/>
      <w:ind w:left="4276"/>
      <w:rPr>
        <w:rFonts w:ascii="Arial" w:hAnsi="Arial" w:eastAsia="Arial" w:cs="Arial"/>
        <w:sz w:val="18"/>
        <w:szCs w:val="18"/>
      </w:rPr>
    </w:pPr>
    <w:r>
      <w:rPr>
        <w:rFonts w:ascii="Arial" w:hAnsi="Arial" w:eastAsia="Arial" w:cs="Arial"/>
        <w:spacing w:val="-10"/>
        <w:position w:val="1"/>
        <w:sz w:val="18"/>
        <w:szCs w:val="18"/>
      </w:rPr>
      <w:t>238</w:t>
    </w:r>
  </w:p>
</w:ftr>
</file>

<file path=word/footer2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3CA7F">
    <w:pPr>
      <w:spacing w:line="240" w:lineRule="exact"/>
      <w:ind w:left="4281"/>
      <w:rPr>
        <w:rFonts w:ascii="Arial" w:hAnsi="Arial" w:eastAsia="Arial" w:cs="Arial"/>
        <w:sz w:val="18"/>
        <w:szCs w:val="18"/>
      </w:rPr>
    </w:pPr>
    <w:r>
      <w:rPr>
        <w:rFonts w:ascii="Arial" w:hAnsi="Arial" w:eastAsia="Arial" w:cs="Arial"/>
        <w:spacing w:val="-10"/>
        <w:position w:val="1"/>
        <w:sz w:val="18"/>
        <w:szCs w:val="18"/>
      </w:rPr>
      <w:t>239</w:t>
    </w:r>
  </w:p>
</w:ftr>
</file>

<file path=word/footer2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33ED2">
    <w:pPr>
      <w:spacing w:line="240" w:lineRule="exact"/>
      <w:ind w:left="4281"/>
      <w:rPr>
        <w:rFonts w:ascii="Arial" w:hAnsi="Arial" w:eastAsia="Arial" w:cs="Arial"/>
        <w:sz w:val="18"/>
        <w:szCs w:val="18"/>
      </w:rPr>
    </w:pPr>
    <w:r>
      <w:rPr>
        <w:rFonts w:ascii="Arial" w:hAnsi="Arial" w:eastAsia="Arial" w:cs="Arial"/>
        <w:spacing w:val="-10"/>
        <w:position w:val="1"/>
        <w:sz w:val="18"/>
        <w:szCs w:val="18"/>
      </w:rPr>
      <w:t>240</w:t>
    </w:r>
  </w:p>
</w:ftr>
</file>

<file path=word/footer2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5CBFF">
    <w:pPr>
      <w:spacing w:line="243" w:lineRule="exact"/>
      <w:ind w:left="4276"/>
      <w:rPr>
        <w:rFonts w:ascii="Arial" w:hAnsi="Arial" w:eastAsia="Arial" w:cs="Arial"/>
        <w:sz w:val="18"/>
        <w:szCs w:val="18"/>
      </w:rPr>
    </w:pPr>
    <w:r>
      <w:rPr>
        <w:rFonts w:ascii="Arial" w:hAnsi="Arial" w:eastAsia="Arial" w:cs="Arial"/>
        <w:spacing w:val="-10"/>
        <w:position w:val="1"/>
        <w:sz w:val="18"/>
        <w:szCs w:val="18"/>
      </w:rPr>
      <w:t>241</w:t>
    </w:r>
  </w:p>
</w:ftr>
</file>

<file path=word/footer2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E07A7">
    <w:pPr>
      <w:spacing w:line="243" w:lineRule="exact"/>
      <w:ind w:left="4278"/>
      <w:rPr>
        <w:rFonts w:ascii="Arial" w:hAnsi="Arial" w:eastAsia="Arial" w:cs="Arial"/>
        <w:sz w:val="18"/>
        <w:szCs w:val="18"/>
      </w:rPr>
    </w:pPr>
    <w:r>
      <w:rPr>
        <w:rFonts w:ascii="Arial" w:hAnsi="Arial" w:eastAsia="Arial" w:cs="Arial"/>
        <w:spacing w:val="-7"/>
        <w:w w:val="97"/>
        <w:position w:val="1"/>
        <w:sz w:val="18"/>
        <w:szCs w:val="18"/>
      </w:rPr>
      <w:t>242</w:t>
    </w:r>
  </w:p>
</w:ftr>
</file>

<file path=word/footer2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12FB8">
    <w:pPr>
      <w:spacing w:line="240" w:lineRule="exact"/>
      <w:ind w:left="4278"/>
      <w:rPr>
        <w:rFonts w:ascii="Arial" w:hAnsi="Arial" w:eastAsia="Arial" w:cs="Arial"/>
        <w:sz w:val="18"/>
        <w:szCs w:val="18"/>
      </w:rPr>
    </w:pPr>
    <w:r>
      <w:rPr>
        <w:rFonts w:ascii="Arial" w:hAnsi="Arial" w:eastAsia="Arial" w:cs="Arial"/>
        <w:spacing w:val="-10"/>
        <w:position w:val="1"/>
        <w:sz w:val="18"/>
        <w:szCs w:val="18"/>
      </w:rPr>
      <w:t>243</w:t>
    </w:r>
  </w:p>
</w:ftr>
</file>

<file path=word/footer2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037C7">
    <w:pPr>
      <w:spacing w:line="243" w:lineRule="exact"/>
      <w:ind w:left="4278"/>
      <w:rPr>
        <w:rFonts w:ascii="Arial" w:hAnsi="Arial" w:eastAsia="Arial" w:cs="Arial"/>
        <w:sz w:val="18"/>
        <w:szCs w:val="18"/>
      </w:rPr>
    </w:pPr>
    <w:r>
      <w:rPr>
        <w:rFonts w:ascii="Arial" w:hAnsi="Arial" w:eastAsia="Arial" w:cs="Arial"/>
        <w:spacing w:val="-5"/>
        <w:w w:val="95"/>
        <w:position w:val="1"/>
        <w:sz w:val="18"/>
        <w:szCs w:val="18"/>
      </w:rPr>
      <w:t>244</w:t>
    </w:r>
  </w:p>
</w:ftr>
</file>

<file path=word/footer2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07495">
    <w:pPr>
      <w:spacing w:line="240" w:lineRule="exact"/>
      <w:ind w:left="4278"/>
      <w:rPr>
        <w:rFonts w:ascii="Arial" w:hAnsi="Arial" w:eastAsia="Arial" w:cs="Arial"/>
        <w:sz w:val="18"/>
        <w:szCs w:val="18"/>
      </w:rPr>
    </w:pPr>
    <w:r>
      <w:rPr>
        <w:rFonts w:ascii="Arial" w:hAnsi="Arial" w:eastAsia="Arial" w:cs="Arial"/>
        <w:spacing w:val="-10"/>
        <w:position w:val="1"/>
        <w:sz w:val="18"/>
        <w:szCs w:val="18"/>
      </w:rPr>
      <w:t>245</w:t>
    </w:r>
  </w:p>
</w:ftr>
</file>

<file path=word/footer2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6FA7C">
    <w:pPr>
      <w:spacing w:line="240" w:lineRule="exact"/>
      <w:ind w:left="4278"/>
      <w:rPr>
        <w:rFonts w:ascii="Arial" w:hAnsi="Arial" w:eastAsia="Arial" w:cs="Arial"/>
        <w:sz w:val="18"/>
        <w:szCs w:val="18"/>
      </w:rPr>
    </w:pPr>
    <w:r>
      <w:rPr>
        <w:rFonts w:ascii="Arial" w:hAnsi="Arial" w:eastAsia="Arial" w:cs="Arial"/>
        <w:spacing w:val="-9"/>
        <w:w w:val="99"/>
        <w:position w:val="1"/>
        <w:sz w:val="18"/>
        <w:szCs w:val="18"/>
      </w:rPr>
      <w:t>246</w:t>
    </w:r>
  </w:p>
</w:ftr>
</file>

<file path=word/footer2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A65AE">
    <w:pPr>
      <w:spacing w:line="243" w:lineRule="exact"/>
      <w:ind w:left="4277"/>
      <w:rPr>
        <w:rFonts w:ascii="Arial" w:hAnsi="Arial" w:eastAsia="Arial" w:cs="Arial"/>
        <w:sz w:val="18"/>
        <w:szCs w:val="18"/>
      </w:rPr>
    </w:pPr>
    <w:r>
      <w:rPr>
        <w:rFonts w:ascii="Arial" w:hAnsi="Arial" w:eastAsia="Arial" w:cs="Arial"/>
        <w:spacing w:val="-10"/>
        <w:position w:val="1"/>
        <w:sz w:val="18"/>
        <w:szCs w:val="18"/>
      </w:rPr>
      <w:t>247</w:t>
    </w:r>
  </w:p>
</w:ftr>
</file>

<file path=word/footer2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00F54">
    <w:pPr>
      <w:spacing w:line="240" w:lineRule="exact"/>
      <w:ind w:left="4278"/>
      <w:rPr>
        <w:rFonts w:ascii="Arial" w:hAnsi="Arial" w:eastAsia="Arial" w:cs="Arial"/>
        <w:sz w:val="18"/>
        <w:szCs w:val="18"/>
      </w:rPr>
    </w:pPr>
    <w:r>
      <w:rPr>
        <w:rFonts w:ascii="Arial" w:hAnsi="Arial" w:eastAsia="Arial" w:cs="Arial"/>
        <w:spacing w:val="-10"/>
        <w:position w:val="1"/>
        <w:sz w:val="18"/>
        <w:szCs w:val="18"/>
      </w:rPr>
      <w:t>248</w:t>
    </w:r>
  </w:p>
</w:ftr>
</file>

<file path=word/footer2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31803">
    <w:pPr>
      <w:spacing w:line="240" w:lineRule="exact"/>
      <w:ind w:left="4278"/>
      <w:rPr>
        <w:rFonts w:ascii="Arial" w:hAnsi="Arial" w:eastAsia="Arial" w:cs="Arial"/>
        <w:sz w:val="18"/>
        <w:szCs w:val="18"/>
      </w:rPr>
    </w:pPr>
    <w:r>
      <w:rPr>
        <w:rFonts w:ascii="Arial" w:hAnsi="Arial" w:eastAsia="Arial" w:cs="Arial"/>
        <w:spacing w:val="-10"/>
        <w:position w:val="1"/>
        <w:sz w:val="18"/>
        <w:szCs w:val="18"/>
      </w:rPr>
      <w:t>249</w:t>
    </w:r>
  </w:p>
</w:ftr>
</file>

<file path=word/footer2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D72BC">
    <w:pPr>
      <w:spacing w:line="240" w:lineRule="exact"/>
      <w:ind w:left="4276"/>
      <w:rPr>
        <w:rFonts w:ascii="Arial" w:hAnsi="Arial" w:eastAsia="Arial" w:cs="Arial"/>
        <w:sz w:val="18"/>
        <w:szCs w:val="18"/>
      </w:rPr>
    </w:pPr>
    <w:r>
      <w:rPr>
        <w:rFonts w:ascii="Arial" w:hAnsi="Arial" w:eastAsia="Arial" w:cs="Arial"/>
        <w:spacing w:val="-10"/>
        <w:position w:val="1"/>
        <w:sz w:val="18"/>
        <w:szCs w:val="18"/>
      </w:rPr>
      <w:t>250</w:t>
    </w:r>
  </w:p>
</w:ftr>
</file>

<file path=word/footer2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88D43">
    <w:pPr>
      <w:spacing w:line="240" w:lineRule="exact"/>
      <w:ind w:left="4276"/>
      <w:rPr>
        <w:rFonts w:ascii="Arial" w:hAnsi="Arial" w:eastAsia="Arial" w:cs="Arial"/>
        <w:sz w:val="18"/>
        <w:szCs w:val="18"/>
      </w:rPr>
    </w:pPr>
    <w:r>
      <w:rPr>
        <w:rFonts w:ascii="Arial" w:hAnsi="Arial" w:eastAsia="Arial" w:cs="Arial"/>
        <w:spacing w:val="-10"/>
        <w:position w:val="1"/>
        <w:sz w:val="18"/>
        <w:szCs w:val="18"/>
      </w:rPr>
      <w:t>251</w:t>
    </w:r>
  </w:p>
</w:ftr>
</file>

<file path=word/footer2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BA4E8">
    <w:pPr>
      <w:spacing w:line="240" w:lineRule="exact"/>
      <w:ind w:left="4276"/>
      <w:rPr>
        <w:rFonts w:ascii="Arial" w:hAnsi="Arial" w:eastAsia="Arial" w:cs="Arial"/>
        <w:sz w:val="18"/>
        <w:szCs w:val="18"/>
      </w:rPr>
    </w:pPr>
    <w:r>
      <w:rPr>
        <w:rFonts w:ascii="Arial" w:hAnsi="Arial" w:eastAsia="Arial" w:cs="Arial"/>
        <w:spacing w:val="-10"/>
        <w:position w:val="1"/>
        <w:sz w:val="18"/>
        <w:szCs w:val="18"/>
      </w:rPr>
      <w:t>252</w:t>
    </w:r>
  </w:p>
</w:ftr>
</file>

<file path=word/footer2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7EE95">
    <w:pPr>
      <w:spacing w:line="240" w:lineRule="exact"/>
      <w:ind w:left="4278"/>
      <w:rPr>
        <w:rFonts w:ascii="Arial" w:hAnsi="Arial" w:eastAsia="Arial" w:cs="Arial"/>
        <w:sz w:val="18"/>
        <w:szCs w:val="18"/>
      </w:rPr>
    </w:pPr>
    <w:r>
      <w:rPr>
        <w:rFonts w:ascii="Arial" w:hAnsi="Arial" w:eastAsia="Arial" w:cs="Arial"/>
        <w:spacing w:val="-10"/>
        <w:position w:val="1"/>
        <w:sz w:val="18"/>
        <w:szCs w:val="18"/>
      </w:rPr>
      <w:t>253</w:t>
    </w:r>
  </w:p>
</w:ftr>
</file>

<file path=word/footer2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AA0AB">
    <w:pPr>
      <w:spacing w:line="240" w:lineRule="exact"/>
      <w:ind w:left="4277"/>
      <w:rPr>
        <w:rFonts w:ascii="Arial" w:hAnsi="Arial" w:eastAsia="Arial" w:cs="Arial"/>
        <w:sz w:val="18"/>
        <w:szCs w:val="18"/>
      </w:rPr>
    </w:pPr>
    <w:r>
      <w:rPr>
        <w:rFonts w:ascii="Arial" w:hAnsi="Arial" w:eastAsia="Arial" w:cs="Arial"/>
        <w:spacing w:val="-10"/>
        <w:position w:val="1"/>
        <w:sz w:val="18"/>
        <w:szCs w:val="18"/>
      </w:rPr>
      <w:t>254</w:t>
    </w:r>
  </w:p>
</w:ftr>
</file>

<file path=word/footer2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198CD">
    <w:pPr>
      <w:spacing w:line="240" w:lineRule="exact"/>
      <w:ind w:left="4277"/>
      <w:rPr>
        <w:rFonts w:ascii="Arial" w:hAnsi="Arial" w:eastAsia="Arial" w:cs="Arial"/>
        <w:sz w:val="18"/>
        <w:szCs w:val="18"/>
      </w:rPr>
    </w:pPr>
    <w:r>
      <w:rPr>
        <w:rFonts w:ascii="Arial" w:hAnsi="Arial" w:eastAsia="Arial" w:cs="Arial"/>
        <w:spacing w:val="-10"/>
        <w:position w:val="1"/>
        <w:sz w:val="18"/>
        <w:szCs w:val="18"/>
      </w:rPr>
      <w:t>255</w:t>
    </w:r>
  </w:p>
</w:ftr>
</file>

<file path=word/footer2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77AC3">
    <w:pPr>
      <w:spacing w:line="240" w:lineRule="exact"/>
      <w:ind w:left="4276"/>
      <w:rPr>
        <w:rFonts w:ascii="Arial" w:hAnsi="Arial" w:eastAsia="Arial" w:cs="Arial"/>
        <w:sz w:val="18"/>
        <w:szCs w:val="18"/>
      </w:rPr>
    </w:pPr>
    <w:r>
      <w:rPr>
        <w:rFonts w:ascii="Arial" w:hAnsi="Arial" w:eastAsia="Arial" w:cs="Arial"/>
        <w:spacing w:val="-10"/>
        <w:position w:val="1"/>
        <w:sz w:val="18"/>
        <w:szCs w:val="18"/>
      </w:rPr>
      <w:t>256</w:t>
    </w:r>
  </w:p>
</w:ftr>
</file>

<file path=word/footer2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C1706">
    <w:pPr>
      <w:spacing w:line="240" w:lineRule="exact"/>
      <w:ind w:left="4279"/>
      <w:rPr>
        <w:rFonts w:ascii="Arial" w:hAnsi="Arial" w:eastAsia="Arial" w:cs="Arial"/>
        <w:sz w:val="18"/>
        <w:szCs w:val="18"/>
      </w:rPr>
    </w:pPr>
    <w:r>
      <w:rPr>
        <w:rFonts w:ascii="Arial" w:hAnsi="Arial" w:eastAsia="Arial" w:cs="Arial"/>
        <w:spacing w:val="-10"/>
        <w:position w:val="1"/>
        <w:sz w:val="18"/>
        <w:szCs w:val="18"/>
      </w:rPr>
      <w:t>257</w:t>
    </w:r>
  </w:p>
</w:ftr>
</file>

<file path=word/footer2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117C3">
    <w:pPr>
      <w:spacing w:line="240" w:lineRule="exact"/>
      <w:ind w:left="4279"/>
      <w:rPr>
        <w:rFonts w:ascii="Arial" w:hAnsi="Arial" w:eastAsia="Arial" w:cs="Arial"/>
        <w:sz w:val="18"/>
        <w:szCs w:val="18"/>
      </w:rPr>
    </w:pPr>
    <w:r>
      <w:rPr>
        <w:rFonts w:ascii="Arial" w:hAnsi="Arial" w:eastAsia="Arial" w:cs="Arial"/>
        <w:spacing w:val="-10"/>
        <w:position w:val="1"/>
        <w:sz w:val="18"/>
        <w:szCs w:val="18"/>
      </w:rPr>
      <w:t>258</w:t>
    </w:r>
  </w:p>
</w:ftr>
</file>

<file path=word/footer2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5F45A">
    <w:pPr>
      <w:spacing w:line="240" w:lineRule="exact"/>
      <w:ind w:left="4030"/>
      <w:rPr>
        <w:rFonts w:ascii="Arial" w:hAnsi="Arial" w:eastAsia="Arial" w:cs="Arial"/>
        <w:sz w:val="18"/>
        <w:szCs w:val="18"/>
      </w:rPr>
    </w:pPr>
    <w:r>
      <w:rPr>
        <w:rFonts w:ascii="Arial" w:hAnsi="Arial" w:eastAsia="Arial" w:cs="Arial"/>
        <w:spacing w:val="-10"/>
        <w:position w:val="1"/>
        <w:sz w:val="18"/>
        <w:szCs w:val="18"/>
      </w:rPr>
      <w:t>259</w:t>
    </w:r>
  </w:p>
</w:ftr>
</file>

<file path=word/footer2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2A389">
    <w:pPr>
      <w:spacing w:line="240" w:lineRule="exact"/>
      <w:ind w:left="4269"/>
      <w:rPr>
        <w:rFonts w:ascii="Arial" w:hAnsi="Arial" w:eastAsia="Arial" w:cs="Arial"/>
        <w:sz w:val="18"/>
        <w:szCs w:val="18"/>
      </w:rPr>
    </w:pPr>
    <w:r>
      <w:rPr>
        <w:rFonts w:ascii="Arial" w:hAnsi="Arial" w:eastAsia="Arial" w:cs="Arial"/>
        <w:spacing w:val="-10"/>
        <w:position w:val="1"/>
        <w:sz w:val="18"/>
        <w:szCs w:val="18"/>
      </w:rPr>
      <w:t>260</w:t>
    </w:r>
  </w:p>
</w:ftr>
</file>

<file path=word/footer2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4BB74">
    <w:pPr>
      <w:spacing w:line="240" w:lineRule="exact"/>
      <w:ind w:left="4285"/>
      <w:rPr>
        <w:rFonts w:ascii="Arial" w:hAnsi="Arial" w:eastAsia="Arial" w:cs="Arial"/>
        <w:sz w:val="18"/>
        <w:szCs w:val="18"/>
      </w:rPr>
    </w:pPr>
    <w:r>
      <w:rPr>
        <w:rFonts w:ascii="Arial" w:hAnsi="Arial" w:eastAsia="Arial" w:cs="Arial"/>
        <w:spacing w:val="-10"/>
        <w:position w:val="1"/>
        <w:sz w:val="18"/>
        <w:szCs w:val="18"/>
      </w:rPr>
      <w:t>261</w:t>
    </w:r>
  </w:p>
</w:ftr>
</file>

<file path=word/footer2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4DC12">
    <w:pPr>
      <w:spacing w:line="240" w:lineRule="exact"/>
      <w:ind w:left="4276"/>
      <w:rPr>
        <w:rFonts w:ascii="Arial" w:hAnsi="Arial" w:eastAsia="Arial" w:cs="Arial"/>
        <w:sz w:val="18"/>
        <w:szCs w:val="18"/>
      </w:rPr>
    </w:pPr>
    <w:r>
      <w:rPr>
        <w:rFonts w:ascii="Arial" w:hAnsi="Arial" w:eastAsia="Arial" w:cs="Arial"/>
        <w:spacing w:val="-10"/>
        <w:position w:val="1"/>
        <w:sz w:val="18"/>
        <w:szCs w:val="18"/>
      </w:rPr>
      <w:t>262</w:t>
    </w:r>
  </w:p>
</w:ftr>
</file>

<file path=word/footer2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6B02E">
    <w:pPr>
      <w:spacing w:line="240" w:lineRule="exact"/>
      <w:ind w:left="4281"/>
      <w:rPr>
        <w:rFonts w:ascii="Arial" w:hAnsi="Arial" w:eastAsia="Arial" w:cs="Arial"/>
        <w:sz w:val="18"/>
        <w:szCs w:val="18"/>
      </w:rPr>
    </w:pPr>
    <w:r>
      <w:rPr>
        <w:rFonts w:ascii="Arial" w:hAnsi="Arial" w:eastAsia="Arial" w:cs="Arial"/>
        <w:spacing w:val="-10"/>
        <w:position w:val="1"/>
        <w:sz w:val="18"/>
        <w:szCs w:val="18"/>
      </w:rPr>
      <w:t>263</w:t>
    </w:r>
  </w:p>
</w:ftr>
</file>

<file path=word/footer2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2B0FE">
    <w:pPr>
      <w:spacing w:line="240" w:lineRule="exact"/>
      <w:ind w:left="4281"/>
      <w:rPr>
        <w:rFonts w:ascii="Arial" w:hAnsi="Arial" w:eastAsia="Arial" w:cs="Arial"/>
        <w:sz w:val="18"/>
        <w:szCs w:val="18"/>
      </w:rPr>
    </w:pPr>
    <w:r>
      <w:rPr>
        <w:rFonts w:ascii="Arial" w:hAnsi="Arial" w:eastAsia="Arial" w:cs="Arial"/>
        <w:spacing w:val="-9"/>
        <w:w w:val="99"/>
        <w:position w:val="1"/>
        <w:sz w:val="18"/>
        <w:szCs w:val="18"/>
      </w:rPr>
      <w:t>264</w:t>
    </w:r>
  </w:p>
</w:ftr>
</file>

<file path=word/footer2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860F3">
    <w:pPr>
      <w:spacing w:line="240" w:lineRule="exact"/>
      <w:ind w:left="4281"/>
      <w:rPr>
        <w:rFonts w:ascii="Arial" w:hAnsi="Arial" w:eastAsia="Arial" w:cs="Arial"/>
        <w:sz w:val="18"/>
        <w:szCs w:val="18"/>
      </w:rPr>
    </w:pPr>
    <w:r>
      <w:rPr>
        <w:rFonts w:ascii="Arial" w:hAnsi="Arial" w:eastAsia="Arial" w:cs="Arial"/>
        <w:spacing w:val="-10"/>
        <w:position w:val="1"/>
        <w:sz w:val="18"/>
        <w:szCs w:val="18"/>
      </w:rPr>
      <w:t>265</w:t>
    </w:r>
  </w:p>
</w:ftr>
</file>

<file path=word/footer2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E4FAD">
    <w:pPr>
      <w:spacing w:line="240" w:lineRule="exact"/>
      <w:ind w:left="4279"/>
      <w:rPr>
        <w:rFonts w:ascii="Arial" w:hAnsi="Arial" w:eastAsia="Arial" w:cs="Arial"/>
        <w:sz w:val="18"/>
        <w:szCs w:val="18"/>
      </w:rPr>
    </w:pPr>
    <w:r>
      <w:rPr>
        <w:rFonts w:ascii="Arial" w:hAnsi="Arial" w:eastAsia="Arial" w:cs="Arial"/>
        <w:spacing w:val="-10"/>
        <w:position w:val="1"/>
        <w:sz w:val="18"/>
        <w:szCs w:val="18"/>
      </w:rPr>
      <w:t>266</w:t>
    </w:r>
  </w:p>
</w:ftr>
</file>

<file path=word/footer2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7468A">
    <w:pPr>
      <w:spacing w:line="240" w:lineRule="exact"/>
      <w:ind w:left="4276"/>
      <w:rPr>
        <w:rFonts w:ascii="Arial" w:hAnsi="Arial" w:eastAsia="Arial" w:cs="Arial"/>
        <w:sz w:val="18"/>
        <w:szCs w:val="18"/>
      </w:rPr>
    </w:pPr>
    <w:r>
      <w:rPr>
        <w:rFonts w:ascii="Arial" w:hAnsi="Arial" w:eastAsia="Arial" w:cs="Arial"/>
        <w:spacing w:val="-10"/>
        <w:position w:val="1"/>
        <w:sz w:val="18"/>
        <w:szCs w:val="18"/>
      </w:rPr>
      <w:t>267</w:t>
    </w:r>
  </w:p>
</w:ftr>
</file>

<file path=word/footer2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8AF24">
    <w:pPr>
      <w:spacing w:line="240" w:lineRule="exact"/>
      <w:ind w:left="4276"/>
      <w:rPr>
        <w:rFonts w:ascii="Arial" w:hAnsi="Arial" w:eastAsia="Arial" w:cs="Arial"/>
        <w:sz w:val="18"/>
        <w:szCs w:val="18"/>
      </w:rPr>
    </w:pPr>
    <w:r>
      <w:rPr>
        <w:rFonts w:ascii="Arial" w:hAnsi="Arial" w:eastAsia="Arial" w:cs="Arial"/>
        <w:spacing w:val="-10"/>
        <w:position w:val="1"/>
        <w:sz w:val="18"/>
        <w:szCs w:val="18"/>
      </w:rPr>
      <w:t>268</w:t>
    </w:r>
  </w:p>
</w:ftr>
</file>

<file path=word/footer2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E4D4A">
    <w:pPr>
      <w:spacing w:line="240" w:lineRule="exact"/>
      <w:ind w:left="4277"/>
      <w:rPr>
        <w:rFonts w:ascii="Arial" w:hAnsi="Arial" w:eastAsia="Arial" w:cs="Arial"/>
        <w:sz w:val="18"/>
        <w:szCs w:val="18"/>
      </w:rPr>
    </w:pPr>
    <w:r>
      <w:rPr>
        <w:rFonts w:ascii="Arial" w:hAnsi="Arial" w:eastAsia="Arial" w:cs="Arial"/>
        <w:spacing w:val="-10"/>
        <w:position w:val="1"/>
        <w:sz w:val="18"/>
        <w:szCs w:val="18"/>
      </w:rPr>
      <w:t>269</w:t>
    </w:r>
  </w:p>
</w:ftr>
</file>

<file path=word/footer2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BBAE1">
    <w:pPr>
      <w:spacing w:line="240" w:lineRule="exact"/>
      <w:ind w:left="4276"/>
      <w:rPr>
        <w:rFonts w:ascii="Arial" w:hAnsi="Arial" w:eastAsia="Arial" w:cs="Arial"/>
        <w:sz w:val="18"/>
        <w:szCs w:val="18"/>
      </w:rPr>
    </w:pPr>
    <w:r>
      <w:rPr>
        <w:rFonts w:ascii="Arial" w:hAnsi="Arial" w:eastAsia="Arial" w:cs="Arial"/>
        <w:spacing w:val="-10"/>
        <w:position w:val="1"/>
        <w:sz w:val="18"/>
        <w:szCs w:val="18"/>
      </w:rPr>
      <w:t>270</w:t>
    </w:r>
  </w:p>
</w:ftr>
</file>

<file path=word/footer2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F7F5A">
    <w:pPr>
      <w:spacing w:line="243" w:lineRule="exact"/>
      <w:ind w:left="4271"/>
      <w:rPr>
        <w:rFonts w:ascii="Arial" w:hAnsi="Arial" w:eastAsia="Arial" w:cs="Arial"/>
        <w:sz w:val="18"/>
        <w:szCs w:val="18"/>
      </w:rPr>
    </w:pPr>
    <w:r>
      <w:rPr>
        <w:rFonts w:ascii="Arial" w:hAnsi="Arial" w:eastAsia="Arial" w:cs="Arial"/>
        <w:spacing w:val="-10"/>
        <w:position w:val="1"/>
        <w:sz w:val="18"/>
        <w:szCs w:val="18"/>
      </w:rPr>
      <w:t>271</w:t>
    </w:r>
  </w:p>
</w:ftr>
</file>

<file path=word/footer2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4E739">
    <w:pPr>
      <w:spacing w:line="243" w:lineRule="exact"/>
      <w:ind w:left="4269"/>
      <w:rPr>
        <w:rFonts w:ascii="Arial" w:hAnsi="Arial" w:eastAsia="Arial" w:cs="Arial"/>
        <w:sz w:val="18"/>
        <w:szCs w:val="18"/>
      </w:rPr>
    </w:pPr>
    <w:r>
      <w:rPr>
        <w:rFonts w:ascii="Arial" w:hAnsi="Arial" w:eastAsia="Arial" w:cs="Arial"/>
        <w:spacing w:val="-10"/>
        <w:position w:val="1"/>
        <w:sz w:val="18"/>
        <w:szCs w:val="18"/>
      </w:rPr>
      <w:t>272</w:t>
    </w:r>
  </w:p>
</w:ftr>
</file>

<file path=word/footer2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45C98">
    <w:pPr>
      <w:spacing w:line="240" w:lineRule="exact"/>
      <w:ind w:left="4269"/>
      <w:rPr>
        <w:rFonts w:ascii="Arial" w:hAnsi="Arial" w:eastAsia="Arial" w:cs="Arial"/>
        <w:sz w:val="18"/>
        <w:szCs w:val="18"/>
      </w:rPr>
    </w:pPr>
    <w:r>
      <w:rPr>
        <w:rFonts w:ascii="Arial" w:hAnsi="Arial" w:eastAsia="Arial" w:cs="Arial"/>
        <w:spacing w:val="-10"/>
        <w:position w:val="1"/>
        <w:sz w:val="18"/>
        <w:szCs w:val="18"/>
      </w:rPr>
      <w:t>273</w:t>
    </w:r>
  </w:p>
</w:ftr>
</file>

<file path=word/footer2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2C54A">
    <w:pPr>
      <w:spacing w:line="243" w:lineRule="exact"/>
      <w:ind w:left="4276"/>
      <w:rPr>
        <w:rFonts w:ascii="Arial" w:hAnsi="Arial" w:eastAsia="Arial" w:cs="Arial"/>
        <w:sz w:val="18"/>
        <w:szCs w:val="18"/>
      </w:rPr>
    </w:pPr>
    <w:r>
      <w:rPr>
        <w:rFonts w:ascii="Arial" w:hAnsi="Arial" w:eastAsia="Arial" w:cs="Arial"/>
        <w:spacing w:val="-10"/>
        <w:position w:val="1"/>
        <w:sz w:val="18"/>
        <w:szCs w:val="18"/>
      </w:rPr>
      <w:t>274</w:t>
    </w:r>
  </w:p>
</w:ftr>
</file>

<file path=word/footer2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1982B">
    <w:pPr>
      <w:spacing w:line="240" w:lineRule="exact"/>
      <w:ind w:left="4276"/>
      <w:rPr>
        <w:rFonts w:ascii="Arial" w:hAnsi="Arial" w:eastAsia="Arial" w:cs="Arial"/>
        <w:sz w:val="18"/>
        <w:szCs w:val="18"/>
      </w:rPr>
    </w:pPr>
    <w:r>
      <w:rPr>
        <w:rFonts w:ascii="Arial" w:hAnsi="Arial" w:eastAsia="Arial" w:cs="Arial"/>
        <w:spacing w:val="-10"/>
        <w:position w:val="1"/>
        <w:sz w:val="18"/>
        <w:szCs w:val="18"/>
      </w:rPr>
      <w:t>275</w:t>
    </w:r>
  </w:p>
</w:ftr>
</file>

<file path=word/footer2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0DB7A">
    <w:pPr>
      <w:spacing w:line="240" w:lineRule="exact"/>
      <w:ind w:left="4279"/>
      <w:rPr>
        <w:rFonts w:ascii="Arial" w:hAnsi="Arial" w:eastAsia="Arial" w:cs="Arial"/>
        <w:sz w:val="18"/>
        <w:szCs w:val="18"/>
      </w:rPr>
    </w:pPr>
    <w:r>
      <w:rPr>
        <w:rFonts w:ascii="Arial" w:hAnsi="Arial" w:eastAsia="Arial" w:cs="Arial"/>
        <w:spacing w:val="-10"/>
        <w:position w:val="1"/>
        <w:sz w:val="18"/>
        <w:szCs w:val="18"/>
      </w:rPr>
      <w:t>276</w:t>
    </w:r>
  </w:p>
</w:ftr>
</file>

<file path=word/footer2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7A1C9">
    <w:pPr>
      <w:spacing w:line="243" w:lineRule="exact"/>
      <w:ind w:left="4279"/>
      <w:rPr>
        <w:rFonts w:ascii="Arial" w:hAnsi="Arial" w:eastAsia="Arial" w:cs="Arial"/>
        <w:sz w:val="18"/>
        <w:szCs w:val="18"/>
      </w:rPr>
    </w:pPr>
    <w:r>
      <w:rPr>
        <w:rFonts w:ascii="Arial" w:hAnsi="Arial" w:eastAsia="Arial" w:cs="Arial"/>
        <w:spacing w:val="-10"/>
        <w:position w:val="1"/>
        <w:sz w:val="18"/>
        <w:szCs w:val="18"/>
      </w:rPr>
      <w:t>277</w:t>
    </w:r>
  </w:p>
</w:ftr>
</file>

<file path=word/footer2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45653">
    <w:pPr>
      <w:spacing w:line="240" w:lineRule="exact"/>
      <w:ind w:left="4258"/>
      <w:rPr>
        <w:rFonts w:ascii="Arial" w:hAnsi="Arial" w:eastAsia="Arial" w:cs="Arial"/>
        <w:sz w:val="18"/>
        <w:szCs w:val="18"/>
      </w:rPr>
    </w:pPr>
    <w:r>
      <w:rPr>
        <w:rFonts w:ascii="Arial" w:hAnsi="Arial" w:eastAsia="Arial" w:cs="Arial"/>
        <w:spacing w:val="-10"/>
        <w:position w:val="1"/>
        <w:sz w:val="18"/>
        <w:szCs w:val="18"/>
      </w:rPr>
      <w:t>278</w:t>
    </w:r>
  </w:p>
</w:ftr>
</file>

<file path=word/footer2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70935">
    <w:pPr>
      <w:spacing w:line="176" w:lineRule="auto"/>
      <w:ind w:left="731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279</w:t>
    </w:r>
  </w:p>
</w:ftr>
</file>

<file path=word/footer2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BF736">
    <w:pPr>
      <w:spacing w:line="240" w:lineRule="exact"/>
      <w:ind w:left="4297"/>
      <w:rPr>
        <w:rFonts w:ascii="Arial" w:hAnsi="Arial" w:eastAsia="Arial" w:cs="Arial"/>
        <w:sz w:val="18"/>
        <w:szCs w:val="18"/>
      </w:rPr>
    </w:pPr>
    <w:r>
      <w:rPr>
        <w:rFonts w:ascii="Arial" w:hAnsi="Arial" w:eastAsia="Arial" w:cs="Arial"/>
        <w:spacing w:val="-10"/>
        <w:position w:val="1"/>
        <w:sz w:val="18"/>
        <w:szCs w:val="18"/>
      </w:rPr>
      <w:t>280</w:t>
    </w:r>
  </w:p>
</w:ftr>
</file>

<file path=word/footer2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B1841">
    <w:pPr>
      <w:spacing w:line="240" w:lineRule="exact"/>
      <w:ind w:left="4326"/>
      <w:rPr>
        <w:rFonts w:ascii="Arial" w:hAnsi="Arial" w:eastAsia="Arial" w:cs="Arial"/>
        <w:sz w:val="18"/>
        <w:szCs w:val="18"/>
      </w:rPr>
    </w:pPr>
    <w:r>
      <w:rPr>
        <w:rFonts w:ascii="Arial" w:hAnsi="Arial" w:eastAsia="Arial" w:cs="Arial"/>
        <w:spacing w:val="-10"/>
        <w:position w:val="1"/>
        <w:sz w:val="18"/>
        <w:szCs w:val="18"/>
      </w:rPr>
      <w:t>281</w:t>
    </w:r>
  </w:p>
</w:ftr>
</file>

<file path=word/footer2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FD5BE">
    <w:pPr>
      <w:spacing w:line="240" w:lineRule="exact"/>
      <w:ind w:left="4326"/>
      <w:rPr>
        <w:rFonts w:ascii="Arial" w:hAnsi="Arial" w:eastAsia="Arial" w:cs="Arial"/>
        <w:sz w:val="18"/>
        <w:szCs w:val="18"/>
      </w:rPr>
    </w:pPr>
    <w:r>
      <w:rPr>
        <w:rFonts w:ascii="Arial" w:hAnsi="Arial" w:eastAsia="Arial" w:cs="Arial"/>
        <w:spacing w:val="-10"/>
        <w:position w:val="1"/>
        <w:sz w:val="18"/>
        <w:szCs w:val="18"/>
      </w:rPr>
      <w:t>282</w:t>
    </w:r>
  </w:p>
</w:ftr>
</file>

<file path=word/footer3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2B63E">
    <w:pPr>
      <w:spacing w:line="240" w:lineRule="exact"/>
      <w:ind w:left="4408"/>
      <w:rPr>
        <w:rFonts w:ascii="Arial" w:hAnsi="Arial" w:eastAsia="Arial" w:cs="Arial"/>
        <w:sz w:val="18"/>
        <w:szCs w:val="18"/>
      </w:rPr>
    </w:pPr>
    <w:r>
      <w:rPr>
        <w:rFonts w:ascii="Arial" w:hAnsi="Arial" w:eastAsia="Arial" w:cs="Arial"/>
        <w:spacing w:val="-10"/>
        <w:position w:val="1"/>
        <w:sz w:val="18"/>
        <w:szCs w:val="18"/>
      </w:rPr>
      <w:t>283</w:t>
    </w:r>
  </w:p>
</w:ftr>
</file>

<file path=word/footer3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F76EF">
    <w:pPr>
      <w:spacing w:line="240" w:lineRule="exact"/>
      <w:ind w:left="4368"/>
      <w:rPr>
        <w:rFonts w:ascii="Arial" w:hAnsi="Arial" w:eastAsia="Arial" w:cs="Arial"/>
        <w:sz w:val="18"/>
        <w:szCs w:val="18"/>
      </w:rPr>
    </w:pPr>
    <w:r>
      <w:rPr>
        <w:rFonts w:ascii="Arial" w:hAnsi="Arial" w:eastAsia="Arial" w:cs="Arial"/>
        <w:spacing w:val="-10"/>
        <w:position w:val="1"/>
        <w:sz w:val="18"/>
        <w:szCs w:val="18"/>
      </w:rPr>
      <w:t>284</w:t>
    </w:r>
  </w:p>
</w:ftr>
</file>

<file path=word/footer3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012B0">
    <w:pPr>
      <w:spacing w:line="240" w:lineRule="exact"/>
      <w:ind w:left="4793"/>
      <w:rPr>
        <w:rFonts w:ascii="Arial" w:hAnsi="Arial" w:eastAsia="Arial" w:cs="Arial"/>
        <w:sz w:val="18"/>
        <w:szCs w:val="18"/>
      </w:rPr>
    </w:pPr>
    <w:r>
      <w:rPr>
        <w:rFonts w:ascii="Arial" w:hAnsi="Arial" w:eastAsia="Arial" w:cs="Arial"/>
        <w:spacing w:val="-10"/>
        <w:position w:val="1"/>
        <w:sz w:val="18"/>
        <w:szCs w:val="18"/>
      </w:rPr>
      <w:t>285</w:t>
    </w:r>
  </w:p>
</w:ftr>
</file>

<file path=word/footer3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06AEC">
    <w:pPr>
      <w:spacing w:line="240" w:lineRule="exact"/>
      <w:ind w:left="4793"/>
      <w:rPr>
        <w:rFonts w:ascii="Arial" w:hAnsi="Arial" w:eastAsia="Arial" w:cs="Arial"/>
        <w:sz w:val="18"/>
        <w:szCs w:val="18"/>
      </w:rPr>
    </w:pPr>
    <w:r>
      <w:rPr>
        <w:rFonts w:ascii="Arial" w:hAnsi="Arial" w:eastAsia="Arial" w:cs="Arial"/>
        <w:spacing w:val="-10"/>
        <w:position w:val="1"/>
        <w:sz w:val="18"/>
        <w:szCs w:val="18"/>
      </w:rPr>
      <w:t>286</w:t>
    </w:r>
  </w:p>
</w:ftr>
</file>

<file path=word/footer3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7B8C0">
    <w:pPr>
      <w:spacing w:line="240" w:lineRule="exact"/>
      <w:ind w:left="4326"/>
      <w:rPr>
        <w:rFonts w:ascii="Arial" w:hAnsi="Arial" w:eastAsia="Arial" w:cs="Arial"/>
        <w:sz w:val="18"/>
        <w:szCs w:val="18"/>
      </w:rPr>
    </w:pPr>
    <w:r>
      <w:rPr>
        <w:rFonts w:ascii="Arial" w:hAnsi="Arial" w:eastAsia="Arial" w:cs="Arial"/>
        <w:spacing w:val="-10"/>
        <w:position w:val="1"/>
        <w:sz w:val="18"/>
        <w:szCs w:val="18"/>
      </w:rPr>
      <w:t>287</w:t>
    </w:r>
  </w:p>
</w:ftr>
</file>

<file path=word/footer3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E4F21">
    <w:pPr>
      <w:spacing w:line="240" w:lineRule="exact"/>
      <w:ind w:left="4326"/>
      <w:rPr>
        <w:rFonts w:ascii="Arial" w:hAnsi="Arial" w:eastAsia="Arial" w:cs="Arial"/>
        <w:sz w:val="18"/>
        <w:szCs w:val="18"/>
      </w:rPr>
    </w:pPr>
    <w:r>
      <w:rPr>
        <w:rFonts w:ascii="Arial" w:hAnsi="Arial" w:eastAsia="Arial" w:cs="Arial"/>
        <w:spacing w:val="-10"/>
        <w:position w:val="1"/>
        <w:sz w:val="18"/>
        <w:szCs w:val="18"/>
      </w:rPr>
      <w:t>288</w:t>
    </w:r>
  </w:p>
</w:ftr>
</file>

<file path=word/footer3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F6914">
    <w:pPr>
      <w:spacing w:line="240" w:lineRule="exact"/>
      <w:ind w:left="4326"/>
      <w:rPr>
        <w:rFonts w:ascii="Arial" w:hAnsi="Arial" w:eastAsia="Arial" w:cs="Arial"/>
        <w:sz w:val="18"/>
        <w:szCs w:val="18"/>
      </w:rPr>
    </w:pPr>
    <w:r>
      <w:rPr>
        <w:rFonts w:ascii="Arial" w:hAnsi="Arial" w:eastAsia="Arial" w:cs="Arial"/>
        <w:spacing w:val="-10"/>
        <w:position w:val="1"/>
        <w:sz w:val="18"/>
        <w:szCs w:val="18"/>
      </w:rPr>
      <w:t>289</w:t>
    </w:r>
  </w:p>
</w:ftr>
</file>

<file path=word/footer3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EFE87">
    <w:pPr>
      <w:spacing w:line="240" w:lineRule="exact"/>
      <w:ind w:left="4318"/>
      <w:rPr>
        <w:rFonts w:ascii="Arial" w:hAnsi="Arial" w:eastAsia="Arial" w:cs="Arial"/>
        <w:sz w:val="18"/>
        <w:szCs w:val="18"/>
      </w:rPr>
    </w:pPr>
    <w:r>
      <w:rPr>
        <w:rFonts w:ascii="Arial" w:hAnsi="Arial" w:eastAsia="Arial" w:cs="Arial"/>
        <w:spacing w:val="-10"/>
        <w:position w:val="1"/>
        <w:sz w:val="18"/>
        <w:szCs w:val="18"/>
      </w:rPr>
      <w:t>290</w:t>
    </w:r>
  </w:p>
</w:ftr>
</file>

<file path=word/footer3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B8014">
    <w:pPr>
      <w:spacing w:line="240" w:lineRule="exact"/>
      <w:ind w:left="4481"/>
      <w:rPr>
        <w:rFonts w:ascii="Arial" w:hAnsi="Arial" w:eastAsia="Arial" w:cs="Arial"/>
        <w:sz w:val="18"/>
        <w:szCs w:val="18"/>
      </w:rPr>
    </w:pPr>
    <w:r>
      <w:rPr>
        <w:rFonts w:ascii="Arial" w:hAnsi="Arial" w:eastAsia="Arial" w:cs="Arial"/>
        <w:spacing w:val="-10"/>
        <w:position w:val="1"/>
        <w:sz w:val="18"/>
        <w:szCs w:val="18"/>
      </w:rPr>
      <w:t>291</w:t>
    </w:r>
  </w:p>
</w:ftr>
</file>

<file path=word/footer3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E0D96">
    <w:pPr>
      <w:spacing w:line="240" w:lineRule="exact"/>
      <w:ind w:left="4481"/>
      <w:rPr>
        <w:rFonts w:ascii="Arial" w:hAnsi="Arial" w:eastAsia="Arial" w:cs="Arial"/>
        <w:sz w:val="18"/>
        <w:szCs w:val="18"/>
      </w:rPr>
    </w:pPr>
    <w:r>
      <w:rPr>
        <w:rFonts w:ascii="Arial" w:hAnsi="Arial" w:eastAsia="Arial" w:cs="Arial"/>
        <w:spacing w:val="-10"/>
        <w:position w:val="1"/>
        <w:sz w:val="18"/>
        <w:szCs w:val="18"/>
      </w:rPr>
      <w:t>292</w:t>
    </w:r>
  </w:p>
</w:ftr>
</file>

<file path=word/footer3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92CBF">
    <w:pPr>
      <w:spacing w:line="240" w:lineRule="exact"/>
      <w:ind w:left="4367"/>
      <w:rPr>
        <w:rFonts w:ascii="Arial" w:hAnsi="Arial" w:eastAsia="Arial" w:cs="Arial"/>
        <w:sz w:val="18"/>
        <w:szCs w:val="18"/>
      </w:rPr>
    </w:pPr>
    <w:r>
      <w:rPr>
        <w:rFonts w:ascii="Arial" w:hAnsi="Arial" w:eastAsia="Arial" w:cs="Arial"/>
        <w:spacing w:val="-10"/>
        <w:position w:val="1"/>
        <w:sz w:val="18"/>
        <w:szCs w:val="18"/>
      </w:rPr>
      <w:t>293</w:t>
    </w:r>
  </w:p>
</w:ftr>
</file>

<file path=word/footer3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F4583">
    <w:pPr>
      <w:spacing w:line="240" w:lineRule="exact"/>
      <w:ind w:left="4315"/>
      <w:rPr>
        <w:rFonts w:ascii="Arial" w:hAnsi="Arial" w:eastAsia="Arial" w:cs="Arial"/>
        <w:sz w:val="18"/>
        <w:szCs w:val="18"/>
      </w:rPr>
    </w:pPr>
    <w:r>
      <w:rPr>
        <w:rFonts w:ascii="Arial" w:hAnsi="Arial" w:eastAsia="Arial" w:cs="Arial"/>
        <w:spacing w:val="-10"/>
        <w:position w:val="1"/>
        <w:sz w:val="18"/>
        <w:szCs w:val="18"/>
      </w:rPr>
      <w:t>294</w:t>
    </w:r>
  </w:p>
</w:ftr>
</file>

<file path=word/footer3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325BF">
    <w:pPr>
      <w:spacing w:line="176" w:lineRule="auto"/>
      <w:ind w:left="429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295</w:t>
    </w:r>
  </w:p>
</w:ftr>
</file>

<file path=word/footer3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B5E44">
    <w:pPr>
      <w:spacing w:line="176" w:lineRule="auto"/>
      <w:ind w:left="42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296</w:t>
    </w:r>
  </w:p>
</w:ftr>
</file>

<file path=word/footer3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EFE5C">
    <w:pPr>
      <w:spacing w:line="176" w:lineRule="auto"/>
      <w:ind w:left="428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297</w:t>
    </w:r>
  </w:p>
</w:ftr>
</file>

<file path=word/footer3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6D409">
    <w:pPr>
      <w:spacing w:line="176" w:lineRule="auto"/>
      <w:ind w:left="428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298</w:t>
    </w:r>
  </w:p>
</w:ftr>
</file>

<file path=word/footer3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1603D">
    <w:pPr>
      <w:spacing w:line="176" w:lineRule="auto"/>
      <w:ind w:left="428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299</w:t>
    </w:r>
  </w:p>
</w:ftr>
</file>

<file path=word/footer3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FF4F5">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300</w:t>
    </w:r>
  </w:p>
</w:ftr>
</file>

<file path=word/footer3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051EA">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301</w:t>
    </w:r>
  </w:p>
</w:ftr>
</file>

<file path=word/footer3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2F1A3">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302</w:t>
    </w:r>
  </w:p>
</w:ftr>
</file>

<file path=word/footer3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0E0DE">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303</w:t>
    </w:r>
  </w:p>
</w:ftr>
</file>

<file path=word/footer3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10FA6">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304</w:t>
    </w:r>
  </w:p>
</w:ftr>
</file>

<file path=word/footer3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5649A">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305</w:t>
    </w:r>
  </w:p>
</w:ftr>
</file>

<file path=word/footer3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6E5ED">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306</w:t>
    </w:r>
  </w:p>
</w:ftr>
</file>

<file path=word/footer3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69E28">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307</w:t>
    </w:r>
  </w:p>
</w:ftr>
</file>

<file path=word/footer3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485D7">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308</w:t>
    </w:r>
  </w:p>
</w:ftr>
</file>

<file path=word/footer3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9F5F3">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309</w:t>
    </w:r>
  </w:p>
</w:ftr>
</file>

<file path=word/footer3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75050">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310</w:t>
    </w:r>
  </w:p>
</w:ftr>
</file>

<file path=word/footer3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9B5C1">
    <w:pPr>
      <w:spacing w:line="176" w:lineRule="auto"/>
      <w:ind w:left="4288"/>
      <w:rPr>
        <w:rFonts w:ascii="Times New Roman" w:hAnsi="Times New Roman" w:eastAsia="Times New Roman" w:cs="Times New Roman"/>
        <w:sz w:val="18"/>
        <w:szCs w:val="18"/>
      </w:rPr>
    </w:pPr>
    <w:r>
      <w:rPr>
        <w:rFonts w:ascii="Times New Roman" w:hAnsi="Times New Roman" w:eastAsia="Times New Roman" w:cs="Times New Roman"/>
        <w:spacing w:val="11"/>
        <w:w w:val="119"/>
        <w:sz w:val="18"/>
        <w:szCs w:val="18"/>
      </w:rPr>
      <w:t>3ll</w:t>
    </w:r>
  </w:p>
</w:ftr>
</file>

<file path=word/footer3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D3A72">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312</w:t>
    </w:r>
  </w:p>
</w:ftr>
</file>

<file path=word/footer3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73DBB">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3l3</w:t>
    </w:r>
  </w:p>
</w:ftr>
</file>

<file path=word/footer3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63F9F">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314</w:t>
    </w:r>
  </w:p>
</w:ftr>
</file>

<file path=word/footer3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74332">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315</w:t>
    </w:r>
  </w:p>
</w:ftr>
</file>

<file path=word/footer3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57080">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316</w:t>
    </w:r>
  </w:p>
</w:ftr>
</file>

<file path=word/footer3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88B8E">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317</w:t>
    </w:r>
  </w:p>
</w:ftr>
</file>

<file path=word/footer3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E91AA">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318</w:t>
    </w:r>
  </w:p>
</w:ftr>
</file>

<file path=word/footer3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D25BA">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319</w:t>
    </w:r>
  </w:p>
</w:ftr>
</file>

<file path=word/footer3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4F309">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320</w:t>
    </w:r>
  </w:p>
</w:ftr>
</file>

<file path=word/footer3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1B164">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321</w:t>
    </w:r>
  </w:p>
</w:ftr>
</file>

<file path=word/footer3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41F21">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322</w:t>
    </w:r>
  </w:p>
</w:ftr>
</file>

<file path=word/footer3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B19FB">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323</w:t>
    </w:r>
  </w:p>
</w:ftr>
</file>

<file path=word/footer3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19B6B">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324</w:t>
    </w:r>
  </w:p>
</w:ftr>
</file>

<file path=word/footer3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77A9C">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325</w:t>
    </w:r>
  </w:p>
</w:ftr>
</file>

<file path=word/footer3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4F82C">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326</w:t>
    </w:r>
  </w:p>
</w:ftr>
</file>

<file path=word/footer3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90EA5">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327</w:t>
    </w:r>
  </w:p>
</w:ftr>
</file>

<file path=word/footer3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259DA">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328</w:t>
    </w:r>
  </w:p>
</w:ftr>
</file>

<file path=word/footer3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EFF73">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329</w:t>
    </w:r>
  </w:p>
</w:ftr>
</file>

<file path=word/footer3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9D3EB">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330</w:t>
    </w:r>
  </w:p>
</w:ftr>
</file>

<file path=word/footer3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79A6D">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33l</w:t>
    </w:r>
  </w:p>
</w:ftr>
</file>

<file path=word/footer3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01A2C">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332</w:t>
    </w:r>
  </w:p>
</w:ftr>
</file>

<file path=word/footer3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0FB70">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333</w:t>
    </w:r>
  </w:p>
</w:ftr>
</file>

<file path=word/footer3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B6401">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334</w:t>
    </w:r>
  </w:p>
</w:ftr>
</file>

<file path=word/footer3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4FCA1">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335</w:t>
    </w:r>
  </w:p>
</w:ftr>
</file>

<file path=word/footer3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E9301">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336</w:t>
    </w:r>
  </w:p>
</w:ftr>
</file>

<file path=word/footer3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2E431">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337</w:t>
    </w:r>
  </w:p>
</w:ftr>
</file>

<file path=word/footer3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765BC">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338</w:t>
    </w:r>
  </w:p>
</w:ftr>
</file>

<file path=word/footer3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8B868">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339</w:t>
    </w:r>
  </w:p>
</w:ftr>
</file>

<file path=word/footer3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D6D4D">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340</w:t>
    </w:r>
  </w:p>
</w:ftr>
</file>

<file path=word/footer3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6B8EB">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341</w:t>
    </w:r>
  </w:p>
</w:ftr>
</file>

<file path=word/footer3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91097">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342</w:t>
    </w:r>
  </w:p>
</w:ftr>
</file>

<file path=word/footer3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D6FA4">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343</w:t>
    </w:r>
  </w:p>
</w:ftr>
</file>

<file path=word/footer3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80801">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344</w:t>
    </w:r>
  </w:p>
</w:ftr>
</file>

<file path=word/footer3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61422">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345</w:t>
    </w:r>
  </w:p>
</w:ftr>
</file>

<file path=word/footer3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D6F15">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346</w:t>
    </w:r>
  </w:p>
</w:ftr>
</file>

<file path=word/footer3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2D478">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347</w:t>
    </w:r>
  </w:p>
</w:ftr>
</file>

<file path=word/footer3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BF82D">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348</w:t>
    </w:r>
  </w:p>
</w:ftr>
</file>

<file path=word/footer3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1E0B8">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349</w:t>
    </w:r>
  </w:p>
</w:ftr>
</file>

<file path=word/footer3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8928C">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350</w:t>
    </w:r>
  </w:p>
</w:ftr>
</file>

<file path=word/footer3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6A631">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351</w:t>
    </w:r>
  </w:p>
</w:ftr>
</file>

<file path=word/footer3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BE3A3">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352</w:t>
    </w:r>
  </w:p>
</w:ftr>
</file>

<file path=word/footer3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9E028">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353</w:t>
    </w:r>
  </w:p>
</w:ftr>
</file>

<file path=word/footer3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7DD0F">
    <w:pPr>
      <w:spacing w:line="176" w:lineRule="auto"/>
      <w:ind w:left="403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354</w:t>
    </w:r>
  </w:p>
</w:ftr>
</file>

<file path=word/footer3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FC53C">
    <w:pPr>
      <w:spacing w:line="176" w:lineRule="auto"/>
      <w:ind w:left="403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355</w:t>
    </w:r>
  </w:p>
</w:ftr>
</file>

<file path=word/footer3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82383">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356</w:t>
    </w:r>
  </w:p>
</w:ftr>
</file>

<file path=word/footer3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44C0C">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357</w:t>
    </w:r>
  </w:p>
</w:ftr>
</file>

<file path=word/footer3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FB760">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358</w:t>
    </w:r>
  </w:p>
</w:ftr>
</file>

<file path=word/footer3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2CB49">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359</w:t>
    </w:r>
  </w:p>
</w:ftr>
</file>

<file path=word/footer3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E1FBA">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360</w:t>
    </w:r>
  </w:p>
</w:ftr>
</file>

<file path=word/footer3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23A2A">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361</w:t>
    </w:r>
  </w:p>
</w:ftr>
</file>

<file path=word/footer3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D1644">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362</w:t>
    </w:r>
  </w:p>
</w:ftr>
</file>

<file path=word/footer3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CBD28">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363</w:t>
    </w:r>
  </w:p>
</w:ftr>
</file>

<file path=word/footer3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CC7EC">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364</w:t>
    </w:r>
  </w:p>
</w:ftr>
</file>

<file path=word/footer3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71E06">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365</w:t>
    </w:r>
  </w:p>
</w:ftr>
</file>

<file path=word/footer3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87A04">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366</w:t>
    </w:r>
  </w:p>
</w:ftr>
</file>

<file path=word/footer3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51010">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367</w:t>
    </w:r>
  </w:p>
</w:ftr>
</file>

<file path=word/footer3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07723">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368</w:t>
    </w:r>
  </w:p>
</w:ftr>
</file>

<file path=word/footer3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80DE6">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369</w:t>
    </w:r>
  </w:p>
</w:ftr>
</file>

<file path=word/footer3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D051B">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370</w:t>
    </w:r>
  </w:p>
</w:ftr>
</file>

<file path=word/footer3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1A653">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371</w:t>
    </w:r>
  </w:p>
</w:ftr>
</file>

<file path=word/footer3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F990A">
    <w:pPr>
      <w:spacing w:line="176" w:lineRule="auto"/>
      <w:ind w:left="403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372</w:t>
    </w:r>
  </w:p>
</w:ftr>
</file>

<file path=word/footer3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8821A">
    <w:pPr>
      <w:spacing w:line="176" w:lineRule="auto"/>
      <w:ind w:left="403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373</w:t>
    </w:r>
  </w:p>
</w:ftr>
</file>

<file path=word/footer3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4BF47">
    <w:pPr>
      <w:spacing w:line="176" w:lineRule="auto"/>
      <w:ind w:left="63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374</w:t>
    </w:r>
  </w:p>
</w:ftr>
</file>

<file path=word/footer3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86D13">
    <w:pPr>
      <w:spacing w:line="176" w:lineRule="auto"/>
      <w:ind w:left="4321"/>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375</w:t>
    </w:r>
  </w:p>
</w:ftr>
</file>

<file path=word/footer3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ECE7D">
    <w:pPr>
      <w:spacing w:line="176" w:lineRule="auto"/>
      <w:ind w:left="432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376</w:t>
    </w:r>
  </w:p>
</w:ftr>
</file>

<file path=word/footer3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C3E7B">
    <w:pPr>
      <w:spacing w:line="176" w:lineRule="auto"/>
      <w:ind w:left="432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377</w:t>
    </w:r>
  </w:p>
</w:ftr>
</file>

<file path=word/footer3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CDF52">
    <w:pPr>
      <w:spacing w:line="176" w:lineRule="auto"/>
      <w:ind w:left="430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378</w:t>
    </w:r>
  </w:p>
</w:ftr>
</file>

<file path=word/footer3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C336F">
    <w:pPr>
      <w:spacing w:line="176" w:lineRule="auto"/>
      <w:ind w:left="43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379</w:t>
    </w:r>
  </w:p>
</w:ftr>
</file>

<file path=word/footer3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C82D8">
    <w:pPr>
      <w:spacing w:line="176" w:lineRule="auto"/>
      <w:ind w:left="430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380</w:t>
    </w:r>
  </w:p>
</w:ftr>
</file>

<file path=word/footer3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968F0">
    <w:pPr>
      <w:spacing w:line="176" w:lineRule="auto"/>
      <w:ind w:left="430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381</w:t>
    </w:r>
  </w:p>
</w:ftr>
</file>

<file path=word/footer3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4BEF5">
    <w:pPr>
      <w:spacing w:line="176" w:lineRule="auto"/>
      <w:ind w:left="432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382</w:t>
    </w:r>
  </w:p>
</w:ftr>
</file>

<file path=word/footer4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A2A42">
    <w:pPr>
      <w:spacing w:line="176" w:lineRule="auto"/>
      <w:ind w:left="432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383</w:t>
    </w:r>
  </w:p>
</w:ftr>
</file>

<file path=word/footer4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8EE66">
    <w:pPr>
      <w:spacing w:line="176" w:lineRule="auto"/>
      <w:ind w:left="432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384</w:t>
    </w:r>
  </w:p>
</w:ftr>
</file>

<file path=word/footer4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CDE46">
    <w:pPr>
      <w:spacing w:line="176" w:lineRule="auto"/>
      <w:ind w:left="430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385</w:t>
    </w:r>
  </w:p>
</w:ftr>
</file>

<file path=word/footer4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7BEEE">
    <w:pPr>
      <w:spacing w:line="176" w:lineRule="auto"/>
      <w:ind w:left="440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386</w:t>
    </w:r>
  </w:p>
</w:ftr>
</file>

<file path=word/footer4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18578">
    <w:pPr>
      <w:spacing w:line="176" w:lineRule="auto"/>
      <w:ind w:left="436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387</w:t>
    </w:r>
  </w:p>
</w:ftr>
</file>

<file path=word/footer4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D1AE3">
    <w:pPr>
      <w:spacing w:line="176" w:lineRule="auto"/>
      <w:ind w:left="429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388</w:t>
    </w:r>
  </w:p>
</w:ftr>
</file>

<file path=word/footer4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640D7">
    <w:pPr>
      <w:spacing w:line="176" w:lineRule="auto"/>
      <w:ind w:left="402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389</w:t>
    </w:r>
  </w:p>
</w:ftr>
</file>

<file path=word/footer4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0E479">
    <w:pPr>
      <w:spacing w:line="176" w:lineRule="auto"/>
      <w:ind w:left="426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390</w:t>
    </w:r>
  </w:p>
</w:ftr>
</file>

<file path=word/footer4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76A9D">
    <w:pPr>
      <w:spacing w:line="176" w:lineRule="auto"/>
      <w:ind w:left="427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391</w:t>
    </w:r>
  </w:p>
</w:ftr>
</file>

<file path=word/footer4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E595C">
    <w:pPr>
      <w:spacing w:line="176" w:lineRule="auto"/>
      <w:ind w:left="427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392</w:t>
    </w:r>
  </w:p>
</w:ftr>
</file>

<file path=word/footer4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7F545">
    <w:pPr>
      <w:spacing w:line="176" w:lineRule="auto"/>
      <w:ind w:left="427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393</w:t>
    </w:r>
  </w:p>
</w:ftr>
</file>

<file path=word/footer4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AA982">
    <w:pPr>
      <w:spacing w:line="176" w:lineRule="auto"/>
      <w:ind w:left="429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394</w:t>
    </w:r>
  </w:p>
</w:ftr>
</file>

<file path=word/footer4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7DE37">
    <w:pPr>
      <w:spacing w:line="176" w:lineRule="auto"/>
      <w:ind w:left="429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395</w:t>
    </w:r>
  </w:p>
</w:ftr>
</file>

<file path=word/footer4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69849">
    <w:pPr>
      <w:spacing w:line="176" w:lineRule="auto"/>
      <w:ind w:left="427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396</w:t>
    </w:r>
  </w:p>
</w:ftr>
</file>

<file path=word/footer4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129C6">
    <w:pPr>
      <w:spacing w:line="176" w:lineRule="auto"/>
      <w:ind w:left="428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397</w:t>
    </w:r>
  </w:p>
</w:ftr>
</file>

<file path=word/footer4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B014E">
    <w:pPr>
      <w:spacing w:line="176" w:lineRule="auto"/>
      <w:ind w:left="428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398</w:t>
    </w:r>
  </w:p>
</w:ftr>
</file>

<file path=word/footer4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83415">
    <w:pPr>
      <w:spacing w:line="176" w:lineRule="auto"/>
      <w:ind w:left="428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399</w:t>
    </w:r>
  </w:p>
</w:ftr>
</file>

<file path=word/footer4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136C5">
    <w:pPr>
      <w:spacing w:line="176" w:lineRule="auto"/>
      <w:ind w:left="42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400</w:t>
    </w:r>
  </w:p>
</w:ftr>
</file>

<file path=word/footer4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C680B">
    <w:pPr>
      <w:spacing w:line="176" w:lineRule="auto"/>
      <w:ind w:left="42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401</w:t>
    </w:r>
  </w:p>
</w:ftr>
</file>

<file path=word/footer4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42AD7">
    <w:pPr>
      <w:spacing w:line="176" w:lineRule="auto"/>
      <w:ind w:left="42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402</w:t>
    </w:r>
  </w:p>
</w:ftr>
</file>

<file path=word/footer4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E079B">
    <w:pPr>
      <w:spacing w:line="176" w:lineRule="auto"/>
      <w:ind w:left="42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403</w:t>
    </w:r>
  </w:p>
</w:ftr>
</file>

<file path=word/footer4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E5038">
    <w:pPr>
      <w:spacing w:line="176" w:lineRule="auto"/>
      <w:ind w:left="439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404</w:t>
    </w:r>
  </w:p>
</w:ftr>
</file>

<file path=word/footer4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5D775">
    <w:pPr>
      <w:spacing w:line="176" w:lineRule="auto"/>
      <w:ind w:left="439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405</w:t>
    </w:r>
  </w:p>
</w:ftr>
</file>

<file path=word/footer4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4F6D9">
    <w:pPr>
      <w:spacing w:line="176" w:lineRule="auto"/>
      <w:ind w:left="42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406</w:t>
    </w:r>
  </w:p>
</w:ftr>
</file>

<file path=word/footer4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B9FB3">
    <w:pPr>
      <w:spacing w:line="176" w:lineRule="auto"/>
      <w:ind w:left="434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407</w:t>
    </w:r>
  </w:p>
</w:ftr>
</file>

<file path=word/footer4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51AD4">
    <w:pPr>
      <w:spacing w:line="176" w:lineRule="auto"/>
      <w:ind w:left="42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408</w:t>
    </w:r>
  </w:p>
</w:ftr>
</file>

<file path=word/footer4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81F37">
    <w:pPr>
      <w:spacing w:line="176" w:lineRule="auto"/>
      <w:ind w:left="42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409</w:t>
    </w:r>
  </w:p>
</w:ftr>
</file>

<file path=word/footer4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C02AD">
    <w:pPr>
      <w:spacing w:line="176" w:lineRule="auto"/>
      <w:ind w:left="42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410</w:t>
    </w:r>
  </w:p>
</w:ftr>
</file>

<file path=word/footer4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96886">
    <w:pPr>
      <w:spacing w:line="176" w:lineRule="auto"/>
      <w:ind w:left="427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411</w:t>
    </w:r>
  </w:p>
</w:ftr>
</file>

<file path=word/footer4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28C9D">
    <w:pPr>
      <w:spacing w:line="176" w:lineRule="auto"/>
      <w:ind w:left="42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412</w:t>
    </w:r>
  </w:p>
</w:ftr>
</file>

<file path=word/footer4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EC096">
    <w:pPr>
      <w:spacing w:line="176" w:lineRule="auto"/>
      <w:ind w:left="42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413</w:t>
    </w:r>
  </w:p>
</w:ftr>
</file>

<file path=word/footer4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6A89D">
    <w:pPr>
      <w:spacing w:line="176" w:lineRule="auto"/>
      <w:ind w:left="42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414</w:t>
    </w:r>
  </w:p>
</w:ftr>
</file>

<file path=word/footer4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B8C3B">
    <w:pPr>
      <w:spacing w:line="176" w:lineRule="auto"/>
      <w:ind w:left="42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415</w:t>
    </w:r>
  </w:p>
</w:ftr>
</file>

<file path=word/footer4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84A96">
    <w:pPr>
      <w:spacing w:line="176" w:lineRule="auto"/>
      <w:ind w:left="443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416</w:t>
    </w:r>
  </w:p>
</w:ftr>
</file>

<file path=word/footer4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A2245">
    <w:pPr>
      <w:spacing w:line="176" w:lineRule="auto"/>
      <w:ind w:left="443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417</w:t>
    </w:r>
  </w:p>
</w:ftr>
</file>

<file path=word/footer4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93C9D">
    <w:pPr>
      <w:spacing w:line="176" w:lineRule="auto"/>
      <w:ind w:left="443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418</w:t>
    </w:r>
  </w:p>
</w:ftr>
</file>

<file path=word/footer4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1BC4B">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419</w:t>
    </w:r>
  </w:p>
</w:ftr>
</file>

<file path=word/footer4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CF2A0">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420</w:t>
    </w:r>
  </w:p>
</w:ftr>
</file>

<file path=word/footer4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EE5C0">
    <w:pPr>
      <w:spacing w:line="176" w:lineRule="auto"/>
      <w:ind w:left="443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421</w:t>
    </w:r>
  </w:p>
</w:ftr>
</file>

<file path=word/footer4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719BB">
    <w:pPr>
      <w:spacing w:line="176" w:lineRule="auto"/>
      <w:ind w:left="431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422</w:t>
    </w:r>
  </w:p>
</w:ftr>
</file>

<file path=word/footer4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4923D">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423</w:t>
    </w:r>
  </w:p>
</w:ftr>
</file>

<file path=word/footer4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042F0">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424</w:t>
    </w:r>
  </w:p>
</w:ftr>
</file>

<file path=word/footer4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8771D">
    <w:pPr>
      <w:spacing w:line="176" w:lineRule="auto"/>
      <w:ind w:left="429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425</w:t>
    </w:r>
  </w:p>
</w:ftr>
</file>

<file path=word/footer4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9D8A2">
    <w:pPr>
      <w:spacing w:line="176" w:lineRule="auto"/>
      <w:ind w:left="431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426</w:t>
    </w:r>
  </w:p>
</w:ftr>
</file>

<file path=word/footer4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45AB5">
    <w:pPr>
      <w:spacing w:line="176" w:lineRule="auto"/>
      <w:ind w:left="431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427</w:t>
    </w:r>
  </w:p>
</w:ftr>
</file>

<file path=word/footer4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60174">
    <w:pPr>
      <w:spacing w:line="176" w:lineRule="auto"/>
      <w:ind w:left="431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428</w:t>
    </w:r>
  </w:p>
</w:ftr>
</file>

<file path=word/footer4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ED0B3">
    <w:pPr>
      <w:spacing w:line="176" w:lineRule="auto"/>
      <w:ind w:left="430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429</w:t>
    </w:r>
  </w:p>
</w:ftr>
</file>

<file path=word/footer4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08924">
    <w:pPr>
      <w:spacing w:line="176" w:lineRule="auto"/>
      <w:ind w:left="430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430</w:t>
    </w:r>
  </w:p>
</w:ftr>
</file>

<file path=word/footer4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D1350">
    <w:pPr>
      <w:spacing w:line="176" w:lineRule="auto"/>
      <w:ind w:left="430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431</w:t>
    </w:r>
  </w:p>
</w:ftr>
</file>

<file path=word/footer4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A45AA">
    <w:pPr>
      <w:spacing w:line="176" w:lineRule="auto"/>
      <w:ind w:left="430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432</w:t>
    </w:r>
  </w:p>
</w:ftr>
</file>

<file path=word/footer4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4702E">
    <w:pPr>
      <w:spacing w:line="176" w:lineRule="auto"/>
      <w:ind w:left="430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433</w:t>
    </w:r>
  </w:p>
</w:ftr>
</file>

<file path=word/footer4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D1F74">
    <w:pPr>
      <w:spacing w:line="176" w:lineRule="auto"/>
      <w:ind w:left="430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434</w:t>
    </w:r>
  </w:p>
</w:ftr>
</file>

<file path=word/footer4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F570B">
    <w:pPr>
      <w:spacing w:line="176" w:lineRule="auto"/>
      <w:ind w:left="430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435</w:t>
    </w:r>
  </w:p>
</w:ftr>
</file>

<file path=word/footer4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00717">
    <w:pPr>
      <w:spacing w:line="176" w:lineRule="auto"/>
      <w:ind w:left="430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436</w:t>
    </w:r>
  </w:p>
</w:ftr>
</file>

<file path=word/footer4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07CA4">
    <w:pPr>
      <w:spacing w:line="176" w:lineRule="auto"/>
      <w:ind w:left="430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437</w:t>
    </w:r>
  </w:p>
</w:ftr>
</file>

<file path=word/footer4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8EFBE">
    <w:pPr>
      <w:spacing w:line="176" w:lineRule="auto"/>
      <w:ind w:left="430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438</w:t>
    </w:r>
  </w:p>
</w:ftr>
</file>

<file path=word/footer4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D9231">
    <w:pPr>
      <w:spacing w:line="176" w:lineRule="auto"/>
      <w:ind w:left="431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439</w:t>
    </w:r>
  </w:p>
</w:ftr>
</file>

<file path=word/footer4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BFF0B">
    <w:pPr>
      <w:spacing w:line="176" w:lineRule="auto"/>
      <w:ind w:left="430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440</w:t>
    </w:r>
  </w:p>
</w:ftr>
</file>

<file path=word/footer4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2DBBD">
    <w:pPr>
      <w:spacing w:line="176" w:lineRule="auto"/>
      <w:ind w:left="431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441</w:t>
    </w:r>
  </w:p>
</w:ftr>
</file>

<file path=word/footer4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DB520">
    <w:pPr>
      <w:spacing w:line="176" w:lineRule="auto"/>
      <w:ind w:left="429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442</w:t>
    </w:r>
  </w:p>
</w:ftr>
</file>

<file path=word/footer4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B2CDF">
    <w:pPr>
      <w:spacing w:line="176" w:lineRule="auto"/>
      <w:ind w:left="429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443</w:t>
    </w:r>
  </w:p>
</w:ftr>
</file>

<file path=word/footer4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28D65">
    <w:pPr>
      <w:spacing w:line="176" w:lineRule="auto"/>
      <w:ind w:left="429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444</w:t>
    </w:r>
  </w:p>
</w:ftr>
</file>

<file path=word/footer4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25B1D">
    <w:pPr>
      <w:spacing w:line="176" w:lineRule="auto"/>
      <w:ind w:left="429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445</w:t>
    </w:r>
  </w:p>
</w:ftr>
</file>

<file path=word/footer4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2FCBB">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446</w:t>
    </w:r>
  </w:p>
</w:ftr>
</file>

<file path=word/footer4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498F6">
    <w:pPr>
      <w:spacing w:line="176" w:lineRule="auto"/>
      <w:ind w:left="443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447</w:t>
    </w:r>
  </w:p>
</w:ftr>
</file>

<file path=word/footer4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C29E2">
    <w:pPr>
      <w:spacing w:line="176" w:lineRule="auto"/>
      <w:ind w:left="431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448</w:t>
    </w:r>
  </w:p>
</w:ftr>
</file>

<file path=word/footer4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C3F68">
    <w:pPr>
      <w:spacing w:line="176" w:lineRule="auto"/>
      <w:ind w:left="431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449</w:t>
    </w:r>
  </w:p>
</w:ftr>
</file>

<file path=word/footer4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73A12">
    <w:pPr>
      <w:spacing w:line="176" w:lineRule="auto"/>
      <w:ind w:left="43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450</w:t>
    </w:r>
  </w:p>
</w:ftr>
</file>

<file path=word/footer4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80EE4">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451</w:t>
    </w:r>
  </w:p>
</w:ftr>
</file>

<file path=word/footer4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DAB36">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452</w:t>
    </w:r>
  </w:p>
</w:ftr>
</file>

<file path=word/footer4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ADE9C">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453</w:t>
    </w:r>
  </w:p>
</w:ftr>
</file>

<file path=word/footer4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BA761">
    <w:pPr>
      <w:spacing w:line="176" w:lineRule="auto"/>
      <w:ind w:left="431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454</w:t>
    </w:r>
  </w:p>
</w:ftr>
</file>

<file path=word/footer4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17EE6">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455</w:t>
    </w:r>
  </w:p>
</w:ftr>
</file>

<file path=word/footer4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78C4C">
    <w:pPr>
      <w:spacing w:line="176" w:lineRule="auto"/>
      <w:ind w:left="432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456</w:t>
    </w:r>
  </w:p>
</w:ftr>
</file>

<file path=word/footer4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31B30">
    <w:pPr>
      <w:spacing w:line="176" w:lineRule="auto"/>
      <w:ind w:left="432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457</w:t>
    </w:r>
  </w:p>
</w:ftr>
</file>

<file path=word/footer4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B9CBE">
    <w:pPr>
      <w:spacing w:line="176" w:lineRule="auto"/>
      <w:ind w:left="432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458</w:t>
    </w:r>
  </w:p>
</w:ftr>
</file>

<file path=word/footer4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377A4">
    <w:pPr>
      <w:spacing w:line="176" w:lineRule="auto"/>
      <w:ind w:left="430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459</w:t>
    </w:r>
  </w:p>
</w:ftr>
</file>

<file path=word/footer4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CB674">
    <w:pPr>
      <w:spacing w:line="176" w:lineRule="auto"/>
      <w:ind w:left="432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460</w:t>
    </w:r>
  </w:p>
</w:ftr>
</file>

<file path=word/footer4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06A4B">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461</w:t>
    </w:r>
  </w:p>
</w:ftr>
</file>

<file path=word/footer4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F1DD0">
    <w:pPr>
      <w:spacing w:line="176" w:lineRule="auto"/>
      <w:ind w:left="430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462</w:t>
    </w:r>
  </w:p>
</w:ftr>
</file>

<file path=word/footer4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3591D">
    <w:pPr>
      <w:spacing w:line="176" w:lineRule="auto"/>
      <w:ind w:left="430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463</w:t>
    </w:r>
  </w:p>
</w:ftr>
</file>

<file path=word/footer4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09C22">
    <w:pPr>
      <w:spacing w:line="176" w:lineRule="auto"/>
      <w:ind w:left="438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464</w:t>
    </w:r>
  </w:p>
</w:ftr>
</file>

<file path=word/footer4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9E40D">
    <w:pPr>
      <w:spacing w:line="176" w:lineRule="auto"/>
      <w:ind w:left="430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465</w:t>
    </w:r>
  </w:p>
</w:ftr>
</file>

<file path=word/footer4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4D2AB">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466</w:t>
    </w:r>
  </w:p>
</w:ftr>
</file>

<file path=word/footer4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5580E">
    <w:pPr>
      <w:spacing w:line="176" w:lineRule="auto"/>
      <w:ind w:left="664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467</w:t>
    </w:r>
  </w:p>
</w:ftr>
</file>

<file path=word/footer4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9142C">
    <w:pPr>
      <w:spacing w:line="176" w:lineRule="auto"/>
      <w:ind w:left="432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468</w:t>
    </w:r>
  </w:p>
</w:ftr>
</file>

<file path=word/footer4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D483E">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469</w:t>
    </w:r>
  </w:p>
</w:ftr>
</file>

<file path=word/footer4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16016">
    <w:pPr>
      <w:spacing w:line="176" w:lineRule="auto"/>
      <w:ind w:left="443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470</w:t>
    </w:r>
  </w:p>
</w:ftr>
</file>

<file path=word/footer4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CFF43">
    <w:pPr>
      <w:spacing w:line="176" w:lineRule="auto"/>
      <w:ind w:left="430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471</w:t>
    </w:r>
  </w:p>
</w:ftr>
</file>

<file path=word/footer4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BAE79">
    <w:pPr>
      <w:spacing w:line="176" w:lineRule="auto"/>
      <w:ind w:left="448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472</w:t>
    </w:r>
  </w:p>
</w:ftr>
</file>

<file path=word/footer4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B29B0">
    <w:pPr>
      <w:spacing w:line="176" w:lineRule="auto"/>
      <w:ind w:left="448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473</w:t>
    </w:r>
  </w:p>
</w:ftr>
</file>

<file path=word/footer4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7726E">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474</w:t>
    </w:r>
  </w:p>
</w:ftr>
</file>

<file path=word/footer4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B0CF1">
    <w:pPr>
      <w:spacing w:line="176" w:lineRule="auto"/>
      <w:ind w:left="675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475</w:t>
    </w:r>
  </w:p>
</w:ftr>
</file>

<file path=word/footer4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F2791">
    <w:pPr>
      <w:spacing w:line="176" w:lineRule="auto"/>
      <w:ind w:left="432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476</w:t>
    </w:r>
  </w:p>
</w:ftr>
</file>

<file path=word/footer4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38CB4">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477</w:t>
    </w:r>
  </w:p>
</w:ftr>
</file>

<file path=word/footer4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DA1A3">
    <w:pPr>
      <w:spacing w:line="176" w:lineRule="auto"/>
      <w:ind w:left="414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478</w:t>
    </w:r>
  </w:p>
</w:ftr>
</file>

<file path=word/footer4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56856">
    <w:pPr>
      <w:spacing w:line="176" w:lineRule="auto"/>
      <w:ind w:left="430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479</w:t>
    </w:r>
  </w:p>
</w:ftr>
</file>

<file path=word/footer4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AA876">
    <w:pPr>
      <w:spacing w:line="176" w:lineRule="auto"/>
      <w:ind w:left="414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480</w:t>
    </w:r>
  </w:p>
</w:ftr>
</file>

<file path=word/footer4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1AB60">
    <w:pPr>
      <w:spacing w:line="176" w:lineRule="auto"/>
      <w:ind w:left="430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481</w:t>
    </w:r>
  </w:p>
</w:ftr>
</file>

<file path=word/footer4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A3283">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482</w:t>
    </w:r>
  </w:p>
</w:ftr>
</file>

<file path=word/footer5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BB1C5">
    <w:pPr>
      <w:spacing w:line="176" w:lineRule="auto"/>
      <w:ind w:left="443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483</w:t>
    </w:r>
  </w:p>
</w:ftr>
</file>

<file path=word/footer5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8293A">
    <w:pPr>
      <w:spacing w:line="176" w:lineRule="auto"/>
      <w:ind w:left="443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484</w:t>
    </w:r>
  </w:p>
</w:ftr>
</file>

<file path=word/footer5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D1790">
    <w:pPr>
      <w:spacing w:line="176" w:lineRule="auto"/>
      <w:ind w:left="443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485</w:t>
    </w:r>
  </w:p>
</w:ftr>
</file>

<file path=word/footer5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B6496">
    <w:pPr>
      <w:spacing w:line="176" w:lineRule="auto"/>
      <w:ind w:left="443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486</w:t>
    </w:r>
  </w:p>
</w:ftr>
</file>

<file path=word/footer5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718FE">
    <w:pPr>
      <w:spacing w:line="176" w:lineRule="auto"/>
      <w:ind w:left="43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487</w:t>
    </w:r>
  </w:p>
</w:ftr>
</file>

<file path=word/footer5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18687">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488</w:t>
    </w:r>
  </w:p>
</w:ftr>
</file>

<file path=word/footer5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02B35">
    <w:pPr>
      <w:spacing w:line="176" w:lineRule="auto"/>
      <w:ind w:left="431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489</w:t>
    </w:r>
  </w:p>
</w:ftr>
</file>

<file path=word/footer5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9450F">
    <w:pPr>
      <w:spacing w:line="176" w:lineRule="auto"/>
      <w:ind w:left="430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490</w:t>
    </w:r>
  </w:p>
</w:ftr>
</file>

<file path=word/footer5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E92E1">
    <w:pPr>
      <w:spacing w:line="176" w:lineRule="auto"/>
      <w:ind w:left="430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491</w:t>
    </w:r>
  </w:p>
</w:ftr>
</file>

<file path=word/footer5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B3B0">
    <w:pPr>
      <w:spacing w:line="176" w:lineRule="auto"/>
      <w:ind w:left="432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492</w:t>
    </w:r>
  </w:p>
</w:ftr>
</file>

<file path=word/footer5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CE55A">
    <w:pPr>
      <w:spacing w:line="176" w:lineRule="auto"/>
      <w:ind w:left="432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493</w:t>
    </w:r>
  </w:p>
</w:ftr>
</file>

<file path=word/footer5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623DB">
    <w:pPr>
      <w:spacing w:line="176" w:lineRule="auto"/>
      <w:ind w:left="432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494</w:t>
    </w:r>
  </w:p>
</w:ftr>
</file>

<file path=word/footer5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0C246">
    <w:pPr>
      <w:spacing w:line="176" w:lineRule="auto"/>
      <w:ind w:left="430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495</w:t>
    </w:r>
  </w:p>
</w:ftr>
</file>

<file path=word/footer5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943C">
    <w:pPr>
      <w:spacing w:line="176" w:lineRule="auto"/>
      <w:ind w:left="430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496</w:t>
    </w:r>
  </w:p>
</w:ftr>
</file>

<file path=word/footer5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7C8F6">
    <w:pPr>
      <w:spacing w:line="176" w:lineRule="auto"/>
      <w:ind w:left="432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497</w:t>
    </w:r>
  </w:p>
</w:ftr>
</file>

<file path=word/footer5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FF698">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E1BE4">
    <w:pPr>
      <w:pStyle w:val="2"/>
      <w:spacing w:before="62" w:line="222" w:lineRule="auto"/>
      <w:ind w:left="36"/>
      <w:rPr>
        <w:sz w:val="24"/>
        <w:szCs w:val="24"/>
      </w:rPr>
    </w:pPr>
    <w:r>
      <w:rPr>
        <w:spacing w:val="-2"/>
        <w:sz w:val="24"/>
        <w:szCs w:val="24"/>
      </w:rPr>
      <w:t>附表三：招标文件文件修改通知</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1CFBA">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BE9FE">
    <w:pPr>
      <w:pStyle w:val="2"/>
      <w:spacing w:before="62" w:line="223" w:lineRule="auto"/>
      <w:ind w:left="16"/>
      <w:rPr>
        <w:sz w:val="24"/>
        <w:szCs w:val="24"/>
      </w:rPr>
    </w:pPr>
    <w:r>
      <w:rPr>
        <w:spacing w:val="-5"/>
        <w:sz w:val="24"/>
        <w:szCs w:val="24"/>
      </w:rPr>
      <w:t>附件</w:t>
    </w:r>
    <w:r>
      <w:rPr>
        <w:spacing w:val="-44"/>
        <w:sz w:val="24"/>
        <w:szCs w:val="24"/>
      </w:rPr>
      <w:t xml:space="preserve"> </w:t>
    </w:r>
    <w:r>
      <w:rPr>
        <w:rFonts w:ascii="Arial" w:hAnsi="Arial" w:eastAsia="Arial" w:cs="Arial"/>
        <w:spacing w:val="-5"/>
        <w:sz w:val="24"/>
        <w:szCs w:val="24"/>
      </w:rPr>
      <w:t>C:</w:t>
    </w:r>
    <w:r>
      <w:rPr>
        <w:spacing w:val="-5"/>
        <w:sz w:val="24"/>
        <w:szCs w:val="24"/>
      </w:rPr>
      <w:t>清标报告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1CFBA">
    <w:pPr>
      <w:spacing w:line="14" w:lineRule="auto"/>
      <w:rPr>
        <w:rFonts w:ascii="Arial"/>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1AFB7">
    <w:pPr>
      <w:spacing w:before="55" w:line="228" w:lineRule="auto"/>
      <w:ind w:left="434"/>
      <w:rPr>
        <w:rFonts w:ascii="宋体" w:hAnsi="宋体" w:eastAsia="宋体" w:cs="宋体"/>
        <w:sz w:val="20"/>
        <w:szCs w:val="20"/>
      </w:rPr>
    </w:pPr>
    <w:r>
      <w:pict>
        <v:shape id="_x0000_s2049" o:spid="_x0000_s2049" style="position:absolute;left:0pt;margin-left:97.55pt;margin-top:107.85pt;height:0.5pt;width:409.5pt;mso-position-horizontal-relative:page;mso-position-vertical-relative:page;z-index:251659264;mso-width-relative:page;mso-height-relative:page;" filled="f" stroked="t" coordsize="8190,10" o:allowincell="f" path="m0,4l8189,4e">
          <v:fill on="f" focussize="0,0"/>
          <v:stroke weight="0.48pt" color="#000000" miterlimit="2" joinstyle="bevel"/>
          <v:imagedata o:title=""/>
          <o:lock v:ext="edit"/>
        </v:shape>
      </w:pict>
    </w:r>
    <w:r>
      <w:rPr>
        <w:rFonts w:ascii="宋体" w:hAnsi="宋体" w:eastAsia="宋体" w:cs="宋体"/>
        <w:spacing w:val="7"/>
        <w:sz w:val="20"/>
        <w:szCs w:val="20"/>
      </w:rPr>
      <w:t>（10）承包人应履行的其他义务：</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6D9DD">
    <w:pPr>
      <w:spacing w:before="55" w:line="228" w:lineRule="auto"/>
      <w:ind w:left="428"/>
      <w:rPr>
        <w:rFonts w:ascii="宋体" w:hAnsi="宋体" w:eastAsia="宋体" w:cs="宋体"/>
        <w:sz w:val="20"/>
        <w:szCs w:val="20"/>
      </w:rPr>
    </w:pPr>
    <w:r>
      <w:rPr>
        <w:rFonts w:ascii="宋体" w:hAnsi="宋体" w:eastAsia="宋体" w:cs="宋体"/>
        <w:spacing w:val="8"/>
        <w:sz w:val="20"/>
        <w:szCs w:val="20"/>
      </w:rPr>
      <w:t>3.3.3 承包人无正当理由拒绝撤换主要施工管理人员的违约责任：</w:t>
    </w:r>
  </w:p>
  <w:p w14:paraId="310165EA">
    <w:pPr>
      <w:spacing w:before="286" w:line="45" w:lineRule="exact"/>
      <w:jc w:val="right"/>
      <w:rPr>
        <w:rFonts w:ascii="宋体" w:hAnsi="宋体" w:eastAsia="宋体" w:cs="宋体"/>
        <w:sz w:val="20"/>
        <w:szCs w:val="20"/>
      </w:rPr>
    </w:pPr>
    <w:r>
      <w:pict>
        <v:shape id="_x0000_s2050" o:spid="_x0000_s2050" o:spt="202" type="#_x0000_t202" style="position:absolute;left:0pt;margin-left:19.75pt;margin-top:6.95pt;height:14.1pt;width:406.25pt;z-index:251660288;mso-width-relative:page;mso-height-relative:page;" filled="f" stroked="f" coordsize="21600,21600">
          <v:path/>
          <v:fill on="f" focussize="0,0"/>
          <v:stroke on="f"/>
          <v:imagedata o:title=""/>
          <o:lock v:ext="edit" aspectratio="f"/>
          <v:textbox inset="0mm,0mm,0mm,0mm">
            <w:txbxContent>
              <w:p w14:paraId="5F5E7306">
                <w:pPr>
                  <w:tabs>
                    <w:tab w:val="left" w:pos="8104"/>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1CFBA">
    <w:pPr>
      <w:spacing w:line="14" w:lineRule="auto"/>
      <w:rPr>
        <w:rFonts w:ascii="Arial"/>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C60AB">
    <w:pPr>
      <w:pStyle w:val="2"/>
      <w:spacing w:before="72" w:line="222" w:lineRule="auto"/>
      <w:ind w:left="2"/>
      <w:rPr>
        <w:sz w:val="28"/>
        <w:szCs w:val="28"/>
      </w:rPr>
    </w:pPr>
    <w:r>
      <w:rPr>
        <w:rFonts w:ascii="Times New Roman" w:hAnsi="Times New Roman" w:eastAsia="Times New Roman" w:cs="Times New Roman"/>
        <w:b/>
        <w:bCs/>
        <w:spacing w:val="-3"/>
        <w:sz w:val="28"/>
        <w:szCs w:val="28"/>
      </w:rPr>
      <w:t xml:space="preserve">6.  </w:t>
    </w:r>
    <w:r>
      <w:rPr>
        <w:b/>
        <w:bCs/>
        <w:spacing w:val="-3"/>
        <w:sz w:val="28"/>
        <w:szCs w:val="28"/>
      </w:rPr>
      <w:t>安全文明施工与环境保护</w:t>
    </w:r>
  </w:p>
  <w:p w14:paraId="52B059A0">
    <w:pPr>
      <w:pStyle w:val="2"/>
      <w:spacing w:before="99" w:line="221" w:lineRule="auto"/>
      <w:rPr>
        <w:sz w:val="24"/>
        <w:szCs w:val="24"/>
      </w:rPr>
    </w:pPr>
    <w:r>
      <w:rPr>
        <w:rFonts w:ascii="Times New Roman" w:hAnsi="Times New Roman" w:eastAsia="Times New Roman" w:cs="Times New Roman"/>
        <w:b/>
        <w:bCs/>
        <w:spacing w:val="-5"/>
        <w:sz w:val="24"/>
        <w:szCs w:val="24"/>
      </w:rPr>
      <w:t>6.1</w:t>
    </w:r>
    <w:r>
      <w:rPr>
        <w:rFonts w:ascii="Times New Roman" w:hAnsi="Times New Roman" w:eastAsia="Times New Roman" w:cs="Times New Roman"/>
        <w:b/>
        <w:bCs/>
        <w:spacing w:val="24"/>
        <w:w w:val="101"/>
        <w:sz w:val="24"/>
        <w:szCs w:val="24"/>
      </w:rPr>
      <w:t xml:space="preserve"> </w:t>
    </w:r>
    <w:r>
      <w:rPr>
        <w:b/>
        <w:bCs/>
        <w:spacing w:val="-5"/>
        <w:sz w:val="24"/>
        <w:szCs w:val="24"/>
      </w:rPr>
      <w:t>安全文明施工</w:t>
    </w:r>
  </w:p>
  <w:p w14:paraId="3751D534">
    <w:pPr>
      <w:spacing w:before="137" w:line="228" w:lineRule="auto"/>
      <w:ind w:left="421"/>
      <w:rPr>
        <w:rFonts w:ascii="宋体" w:hAnsi="宋体" w:eastAsia="宋体" w:cs="宋体"/>
        <w:sz w:val="20"/>
        <w:szCs w:val="20"/>
      </w:rPr>
    </w:pPr>
    <w:r>
      <w:rPr>
        <w:rFonts w:ascii="宋体" w:hAnsi="宋体" w:eastAsia="宋体" w:cs="宋体"/>
        <w:spacing w:val="8"/>
        <w:sz w:val="20"/>
        <w:szCs w:val="20"/>
      </w:rPr>
      <w:t>6.1.1 项目安全生产的达标目标及相应事项的约</w:t>
    </w:r>
    <w:r>
      <w:rPr>
        <w:rFonts w:ascii="宋体" w:hAnsi="宋体" w:eastAsia="宋体" w:cs="宋体"/>
        <w:spacing w:val="7"/>
        <w:sz w:val="20"/>
        <w:szCs w:val="20"/>
      </w:rPr>
      <w:t>定：</w:t>
    </w:r>
  </w:p>
  <w:p w14:paraId="6D28D989">
    <w:pPr>
      <w:spacing w:line="264" w:lineRule="auto"/>
      <w:rPr>
        <w:rFonts w:ascii="Arial"/>
        <w:sz w:val="21"/>
      </w:rPr>
    </w:pPr>
  </w:p>
  <w:p w14:paraId="2C74E5ED">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1CFBA">
    <w:pPr>
      <w:spacing w:line="14" w:lineRule="auto"/>
      <w:rPr>
        <w:rFonts w:ascii="Arial"/>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54C57">
    <w:pPr>
      <w:pStyle w:val="2"/>
      <w:spacing w:before="62" w:line="222" w:lineRule="auto"/>
      <w:rPr>
        <w:sz w:val="24"/>
        <w:szCs w:val="24"/>
      </w:rPr>
    </w:pPr>
    <w:r>
      <w:rPr>
        <w:rFonts w:ascii="Times New Roman" w:hAnsi="Times New Roman" w:eastAsia="Times New Roman" w:cs="Times New Roman"/>
        <w:b/>
        <w:bCs/>
        <w:spacing w:val="-2"/>
        <w:sz w:val="24"/>
        <w:szCs w:val="24"/>
      </w:rPr>
      <w:t xml:space="preserve">8.8  </w:t>
    </w:r>
    <w:r>
      <w:rPr>
        <w:b/>
        <w:bCs/>
        <w:spacing w:val="-2"/>
        <w:sz w:val="24"/>
        <w:szCs w:val="24"/>
      </w:rPr>
      <w:t>施工设备和临时设施</w:t>
    </w:r>
  </w:p>
  <w:p w14:paraId="020F0A3D">
    <w:pPr>
      <w:spacing w:before="136" w:line="227" w:lineRule="auto"/>
      <w:ind w:left="421"/>
      <w:rPr>
        <w:rFonts w:ascii="宋体" w:hAnsi="宋体" w:eastAsia="宋体" w:cs="宋体"/>
        <w:sz w:val="20"/>
        <w:szCs w:val="20"/>
      </w:rPr>
    </w:pPr>
    <w:r>
      <w:rPr>
        <w:rFonts w:ascii="宋体" w:hAnsi="宋体" w:eastAsia="宋体" w:cs="宋体"/>
        <w:spacing w:val="8"/>
        <w:sz w:val="20"/>
        <w:szCs w:val="20"/>
      </w:rPr>
      <w:t>8.8.1 承包人提供的施工设备和临时设施</w:t>
    </w:r>
  </w:p>
  <w:p w14:paraId="33D4A45A">
    <w:pPr>
      <w:spacing w:before="154" w:line="228" w:lineRule="auto"/>
      <w:ind w:left="424"/>
      <w:rPr>
        <w:rFonts w:ascii="宋体" w:hAnsi="宋体" w:eastAsia="宋体" w:cs="宋体"/>
        <w:sz w:val="20"/>
        <w:szCs w:val="20"/>
      </w:rPr>
    </w:pPr>
    <w:r>
      <w:rPr>
        <w:rFonts w:ascii="宋体" w:hAnsi="宋体" w:eastAsia="宋体" w:cs="宋体"/>
        <w:spacing w:val="8"/>
        <w:sz w:val="20"/>
        <w:szCs w:val="20"/>
      </w:rPr>
      <w:t>关于修建临时设施费用承担的约定：</w:t>
    </w:r>
  </w:p>
  <w:p w14:paraId="3F135DE5">
    <w:pPr>
      <w:spacing w:line="264" w:lineRule="auto"/>
      <w:rPr>
        <w:rFonts w:ascii="Arial"/>
        <w:sz w:val="21"/>
      </w:rPr>
    </w:pPr>
  </w:p>
  <w:p w14:paraId="4BA1601C">
    <w:pPr>
      <w:tabs>
        <w:tab w:val="left" w:pos="8392"/>
      </w:tabs>
      <w:spacing w:before="23" w:line="173" w:lineRule="auto"/>
      <w:ind w:left="41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D9505">
    <w:pPr>
      <w:spacing w:before="56" w:line="226" w:lineRule="auto"/>
      <w:ind w:left="418"/>
      <w:rPr>
        <w:rFonts w:ascii="宋体" w:hAnsi="宋体" w:eastAsia="宋体" w:cs="宋体"/>
        <w:sz w:val="20"/>
        <w:szCs w:val="20"/>
      </w:rPr>
    </w:pPr>
    <w:r>
      <w:rPr>
        <w:rFonts w:ascii="宋体" w:hAnsi="宋体" w:eastAsia="宋体" w:cs="宋体"/>
        <w:spacing w:val="9"/>
        <w:sz w:val="20"/>
        <w:szCs w:val="20"/>
      </w:rPr>
      <w:t>对于不属于依法必须招标的暂估价项目的确认和批准采取第</w:t>
    </w:r>
    <w:r>
      <w:rPr>
        <w:rFonts w:ascii="宋体" w:hAnsi="宋体" w:eastAsia="宋体" w:cs="宋体"/>
        <w:spacing w:val="-96"/>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9"/>
        <w:sz w:val="20"/>
        <w:szCs w:val="20"/>
      </w:rPr>
      <w:t>种方式确定。</w:t>
    </w:r>
  </w:p>
  <w:p w14:paraId="3B2692E6">
    <w:pPr>
      <w:spacing w:before="152" w:line="371" w:lineRule="auto"/>
      <w:ind w:left="419" w:right="4408"/>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35"/>
        <w:sz w:val="20"/>
        <w:szCs w:val="20"/>
      </w:rPr>
      <w:t xml:space="preserve"> </w:t>
    </w:r>
    <w:r>
      <w:rPr>
        <w:rFonts w:ascii="宋体" w:hAnsi="宋体" w:eastAsia="宋体" w:cs="宋体"/>
        <w:spacing w:val="8"/>
        <w:sz w:val="20"/>
        <w:szCs w:val="20"/>
      </w:rPr>
      <w:t>3</w:t>
    </w:r>
    <w:r>
      <w:rPr>
        <w:rFonts w:ascii="宋体" w:hAnsi="宋体" w:eastAsia="宋体" w:cs="宋体"/>
        <w:spacing w:val="-38"/>
        <w:sz w:val="20"/>
        <w:szCs w:val="20"/>
      </w:rPr>
      <w:t xml:space="preserve"> </w:t>
    </w:r>
    <w:r>
      <w:rPr>
        <w:rFonts w:ascii="宋体" w:hAnsi="宋体" w:eastAsia="宋体" w:cs="宋体"/>
        <w:spacing w:val="8"/>
        <w:sz w:val="20"/>
        <w:szCs w:val="20"/>
      </w:rPr>
      <w:t>种方式：承包人直接实施的暂估价项目承包人直接实施的暂估价项目的约定：</w:t>
    </w:r>
  </w:p>
  <w:p w14:paraId="03EB573B">
    <w:pPr>
      <w:tabs>
        <w:tab w:val="left" w:pos="8390"/>
      </w:tabs>
      <w:spacing w:before="133" w:line="173" w:lineRule="auto"/>
      <w:ind w:left="41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1CFBA">
    <w:pPr>
      <w:spacing w:line="14" w:lineRule="auto"/>
      <w:rPr>
        <w:rFonts w:ascii="Arial"/>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8564B">
    <w:pPr>
      <w:spacing w:before="55" w:line="228" w:lineRule="auto"/>
      <w:ind w:left="415"/>
      <w:rPr>
        <w:rFonts w:ascii="宋体" w:hAnsi="宋体" w:eastAsia="宋体" w:cs="宋体"/>
        <w:sz w:val="20"/>
        <w:szCs w:val="20"/>
      </w:rPr>
    </w:pPr>
    <w:r>
      <w:rPr>
        <w:rFonts w:ascii="宋体" w:hAnsi="宋体" w:eastAsia="宋体" w:cs="宋体"/>
        <w:spacing w:val="7"/>
        <w:sz w:val="20"/>
        <w:szCs w:val="20"/>
      </w:rPr>
      <w:t>关于付款周期的约定：</w:t>
    </w:r>
  </w:p>
  <w:p w14:paraId="2CCCF6D9">
    <w:pPr>
      <w:spacing w:before="286" w:line="45" w:lineRule="exact"/>
      <w:jc w:val="right"/>
      <w:rPr>
        <w:rFonts w:ascii="宋体" w:hAnsi="宋体" w:eastAsia="宋体" w:cs="宋体"/>
        <w:sz w:val="20"/>
        <w:szCs w:val="20"/>
      </w:rPr>
    </w:pPr>
    <w:r>
      <w:pict>
        <v:shape id="_x0000_s2051" o:spid="_x0000_s2051" o:spt="202" type="#_x0000_t202" style="position:absolute;left:0pt;margin-left:19.15pt;margin-top:6.95pt;height:14.1pt;width:401pt;z-index:251663360;mso-width-relative:page;mso-height-relative:page;" filled="f" stroked="f" coordsize="21600,21600">
          <v:path/>
          <v:fill on="f" focussize="0,0"/>
          <v:stroke on="f"/>
          <v:imagedata o:title=""/>
          <o:lock v:ext="edit" aspectratio="f"/>
          <v:textbox inset="0mm,0mm,0mm,0mm">
            <w:txbxContent>
              <w:p w14:paraId="4E5A87B3">
                <w:pPr>
                  <w:tabs>
                    <w:tab w:val="left" w:pos="7999"/>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8A49A">
    <w:pPr>
      <w:spacing w:before="55" w:line="228" w:lineRule="auto"/>
      <w:ind w:left="412"/>
      <w:rPr>
        <w:rFonts w:ascii="宋体" w:hAnsi="宋体" w:eastAsia="宋体" w:cs="宋体"/>
        <w:sz w:val="20"/>
        <w:szCs w:val="20"/>
      </w:rPr>
    </w:pPr>
    <w:r>
      <w:rPr>
        <w:rFonts w:ascii="宋体" w:hAnsi="宋体" w:eastAsia="宋体" w:cs="宋体"/>
        <w:spacing w:val="8"/>
        <w:sz w:val="20"/>
        <w:szCs w:val="20"/>
      </w:rPr>
      <w:t>承包人向发包人移交工程的期限：</w:t>
    </w:r>
  </w:p>
  <w:p w14:paraId="3D086CED">
    <w:pPr>
      <w:spacing w:before="286" w:line="45" w:lineRule="exact"/>
      <w:jc w:val="right"/>
      <w:rPr>
        <w:rFonts w:ascii="宋体" w:hAnsi="宋体" w:eastAsia="宋体" w:cs="宋体"/>
        <w:sz w:val="20"/>
        <w:szCs w:val="20"/>
      </w:rPr>
    </w:pPr>
    <w:r>
      <w:pict>
        <v:shape id="_x0000_s2052" o:spid="_x0000_s2052" o:spt="202" type="#_x0000_t202" style="position:absolute;left:0pt;margin-left:19.15pt;margin-top:6.95pt;height:14.1pt;width:401pt;z-index:251664384;mso-width-relative:page;mso-height-relative:page;" filled="f" stroked="f" coordsize="21600,21600">
          <v:path/>
          <v:fill on="f" focussize="0,0"/>
          <v:stroke on="f"/>
          <v:imagedata o:title=""/>
          <o:lock v:ext="edit" aspectratio="f"/>
          <v:textbox inset="0mm,0mm,0mm,0mm">
            <w:txbxContent>
              <w:p w14:paraId="43B0D147">
                <w:pPr>
                  <w:tabs>
                    <w:tab w:val="left" w:pos="7999"/>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1CFBA">
    <w:pPr>
      <w:spacing w:line="14" w:lineRule="auto"/>
      <w:rPr>
        <w:rFonts w:ascii="Arial"/>
        <w:sz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2CEF5">
    <w:pPr>
      <w:spacing w:before="138" w:line="102" w:lineRule="exact"/>
      <w:ind w:left="8422"/>
      <w:rPr>
        <w:rFonts w:ascii="宋体" w:hAnsi="宋体" w:eastAsia="宋体" w:cs="宋体"/>
        <w:sz w:val="20"/>
        <w:szCs w:val="20"/>
      </w:rPr>
    </w:pPr>
    <w:r>
      <w:pict>
        <v:shape id="_x0000_s2053" o:spid="_x0000_s2053" style="position:absolute;left:0pt;margin-left:97.55pt;margin-top:87.8pt;height:0.5pt;width:399pt;mso-position-horizontal-relative:page;mso-position-vertical-relative:page;z-index:251665408;mso-width-relative:page;mso-height-relative:page;" filled="f" stroked="t" coordsize="7980,10" o:allowincell="f" path="m0,4l7980,4e">
          <v:fill on="f" focussize="0,0"/>
          <v:stroke weight="0.48pt" color="#000000" miterlimit="2" joinstyle="bevel"/>
          <v:imagedata o:title=""/>
          <o:lock v:ext="edit"/>
        </v:shape>
      </w:pict>
    </w:r>
    <w:r>
      <w:rPr>
        <w:rFonts w:ascii="宋体" w:hAnsi="宋体" w:eastAsia="宋体" w:cs="宋体"/>
        <w:position w:val="1"/>
        <w:sz w:val="20"/>
        <w:szCs w:val="20"/>
      </w:rPr>
      <w:t>。</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1CFBA">
    <w:pPr>
      <w:spacing w:line="14" w:lineRule="auto"/>
      <w:rPr>
        <w:rFonts w:ascii="Arial"/>
        <w:sz w:val="2"/>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F88DB">
    <w:pPr>
      <w:spacing w:before="138" w:line="102" w:lineRule="exact"/>
      <w:jc w:val="right"/>
      <w:rPr>
        <w:rFonts w:ascii="宋体" w:hAnsi="宋体" w:eastAsia="宋体" w:cs="宋体"/>
        <w:sz w:val="20"/>
        <w:szCs w:val="20"/>
      </w:rPr>
    </w:pPr>
    <w:r>
      <w:pict>
        <v:shape id="_x0000_s2054" o:spid="_x0000_s2054" style="position:absolute;left:0pt;margin-left:76.55pt;margin-top:107.6pt;height:0.5pt;width:425.25pt;mso-position-horizontal-relative:page;mso-position-vertical-relative:page;z-index:251667456;mso-width-relative:page;mso-height-relative:page;" filled="f" stroked="t" coordsize="8505,10" o:allowincell="f" path="m0,4l8505,4e">
          <v:fill on="f" focussize="0,0"/>
          <v:stroke weight="0.48pt" color="#000000" miterlimit="2" joinstyle="bevel"/>
          <v:imagedata o:title=""/>
          <o:lock v:ext="edit"/>
        </v:shape>
      </w:pict>
    </w:r>
    <w:r>
      <w:rPr>
        <w:rFonts w:ascii="宋体" w:hAnsi="宋体" w:eastAsia="宋体" w:cs="宋体"/>
        <w:spacing w:val="-55"/>
        <w:position w:val="1"/>
        <w:sz w:val="20"/>
        <w:szCs w:val="20"/>
      </w:rPr>
      <w:t>。</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1CFBA">
    <w:pPr>
      <w:spacing w:line="14" w:lineRule="auto"/>
      <w:rPr>
        <w:rFonts w:ascii="Arial"/>
        <w:sz w:val="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DBACC">
    <w:pPr>
      <w:spacing w:before="138" w:line="102" w:lineRule="exact"/>
      <w:ind w:left="8534"/>
      <w:rPr>
        <w:rFonts w:ascii="宋体" w:hAnsi="宋体" w:eastAsia="宋体" w:cs="宋体"/>
        <w:sz w:val="20"/>
        <w:szCs w:val="20"/>
      </w:rPr>
    </w:pPr>
    <w:r>
      <w:pict>
        <v:shape id="_x0000_s2055" o:spid="_x0000_s2055" style="position:absolute;left:0pt;margin-left:76.55pt;margin-top:107.6pt;height:0.5pt;width:425.25pt;mso-position-horizontal-relative:page;mso-position-vertical-relative:page;z-index:251668480;mso-width-relative:page;mso-height-relative:page;" filled="f" stroked="t" coordsize="8505,10" o:allowincell="f" path="m0,4l8505,4e">
          <v:fill on="f" focussize="0,0"/>
          <v:stroke weight="0.48pt" color="#000000" miterlimit="2" joinstyle="bevel"/>
          <v:imagedata o:title=""/>
          <o:lock v:ext="edit"/>
        </v:shape>
      </w:pict>
    </w:r>
    <w:r>
      <w:rPr>
        <w:rFonts w:ascii="宋体" w:hAnsi="宋体" w:eastAsia="宋体" w:cs="宋体"/>
        <w:position w:val="1"/>
        <w:sz w:val="20"/>
        <w:szCs w:val="20"/>
      </w:rPr>
      <w:t>。</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1CFBA">
    <w:pPr>
      <w:spacing w:line="14" w:lineRule="auto"/>
      <w:rPr>
        <w:rFonts w:ascii="Arial"/>
        <w:sz w:val="2"/>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96DC4">
    <w:pPr>
      <w:spacing w:before="56" w:line="227" w:lineRule="auto"/>
      <w:ind w:left="429"/>
      <w:rPr>
        <w:rFonts w:ascii="宋体" w:hAnsi="宋体" w:eastAsia="宋体" w:cs="宋体"/>
        <w:sz w:val="20"/>
        <w:szCs w:val="20"/>
      </w:rPr>
    </w:pPr>
    <w:r>
      <w:rPr>
        <w:rFonts w:ascii="宋体" w:hAnsi="宋体" w:eastAsia="宋体" w:cs="宋体"/>
        <w:b/>
        <w:bCs/>
        <w:spacing w:val="6"/>
        <w:sz w:val="20"/>
        <w:szCs w:val="20"/>
      </w:rPr>
      <w:t>8.4</w:t>
    </w:r>
    <w:r>
      <w:rPr>
        <w:rFonts w:ascii="宋体" w:hAnsi="宋体" w:eastAsia="宋体" w:cs="宋体"/>
        <w:spacing w:val="6"/>
        <w:sz w:val="20"/>
        <w:szCs w:val="20"/>
      </w:rPr>
      <w:t xml:space="preserve"> </w:t>
    </w:r>
    <w:r>
      <w:rPr>
        <w:rFonts w:ascii="宋体" w:hAnsi="宋体" w:eastAsia="宋体" w:cs="宋体"/>
        <w:b/>
        <w:bCs/>
        <w:spacing w:val="6"/>
        <w:sz w:val="20"/>
        <w:szCs w:val="20"/>
      </w:rPr>
      <w:t>材料与工程设备的保管与使用</w:t>
    </w:r>
  </w:p>
  <w:p w14:paraId="4A0EE130">
    <w:pPr>
      <w:spacing w:before="128" w:line="227" w:lineRule="auto"/>
      <w:ind w:left="429"/>
      <w:rPr>
        <w:rFonts w:ascii="宋体" w:hAnsi="宋体" w:eastAsia="宋体" w:cs="宋体"/>
        <w:sz w:val="20"/>
        <w:szCs w:val="20"/>
      </w:rPr>
    </w:pPr>
    <w:r>
      <w:rPr>
        <w:rFonts w:ascii="宋体" w:hAnsi="宋体" w:eastAsia="宋体" w:cs="宋体"/>
        <w:spacing w:val="8"/>
        <w:sz w:val="20"/>
        <w:szCs w:val="20"/>
      </w:rPr>
      <w:t>8.4.1 发包人供应的材料设备的保管费用的承担：</w:t>
    </w:r>
    <w:r>
      <w:rPr>
        <w:rFonts w:ascii="宋体" w:hAnsi="宋体" w:eastAsia="宋体" w:cs="宋体"/>
        <w:sz w:val="20"/>
        <w:szCs w:val="20"/>
        <w:u w:val="single" w:color="auto"/>
      </w:rPr>
      <w:t xml:space="preserve">                                   </w:t>
    </w:r>
  </w:p>
  <w:p w14:paraId="3B5B9DA0">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1CFBA">
    <w:pPr>
      <w:spacing w:line="14" w:lineRule="auto"/>
      <w:rPr>
        <w:rFonts w:ascii="Arial"/>
        <w:sz w:val="2"/>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EB638">
    <w:pPr>
      <w:spacing w:before="56" w:line="226" w:lineRule="auto"/>
      <w:ind w:left="432"/>
      <w:rPr>
        <w:rFonts w:ascii="宋体" w:hAnsi="宋体" w:eastAsia="宋体" w:cs="宋体"/>
        <w:sz w:val="20"/>
        <w:szCs w:val="20"/>
      </w:rPr>
    </w:pPr>
    <w:r>
      <w:rPr>
        <w:rFonts w:ascii="宋体" w:hAnsi="宋体" w:eastAsia="宋体" w:cs="宋体"/>
        <w:spacing w:val="9"/>
        <w:sz w:val="20"/>
        <w:szCs w:val="20"/>
      </w:rPr>
      <w:t>3、单价合同的总价项目支付分解表的编制与审批：</w:t>
    </w:r>
    <w:r>
      <w:rPr>
        <w:rFonts w:ascii="宋体" w:hAnsi="宋体" w:eastAsia="宋体" w:cs="宋体"/>
        <w:sz w:val="20"/>
        <w:szCs w:val="20"/>
        <w:u w:val="single" w:color="auto"/>
      </w:rPr>
      <w:t xml:space="preserve">                                  </w:t>
    </w:r>
  </w:p>
  <w:p w14:paraId="3FA783E2">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1CFBA">
    <w:pPr>
      <w:spacing w:line="14" w:lineRule="auto"/>
      <w:rPr>
        <w:rFonts w:ascii="Arial"/>
        <w:sz w:val="2"/>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12C44">
    <w:pPr>
      <w:spacing w:before="138" w:line="102" w:lineRule="exact"/>
      <w:ind w:left="8534"/>
      <w:rPr>
        <w:rFonts w:ascii="宋体" w:hAnsi="宋体" w:eastAsia="宋体" w:cs="宋体"/>
        <w:sz w:val="20"/>
        <w:szCs w:val="20"/>
      </w:rPr>
    </w:pPr>
    <w:r>
      <w:pict>
        <v:shape id="_x0000_s2056" o:spid="_x0000_s2056" style="position:absolute;left:0pt;margin-left:76.55pt;margin-top:107.6pt;height:0.5pt;width:425.25pt;mso-position-horizontal-relative:page;mso-position-vertical-relative:page;z-index:251669504;mso-width-relative:page;mso-height-relative:page;" filled="f" stroked="t" coordsize="8505,10" o:allowincell="f" path="m0,4l8505,4e">
          <v:fill on="f" focussize="0,0"/>
          <v:stroke weight="0.48pt" color="#000000" miterlimit="2" joinstyle="bevel"/>
          <v:imagedata o:title=""/>
          <o:lock v:ext="edit"/>
        </v:shape>
      </w:pict>
    </w:r>
    <w:r>
      <w:rPr>
        <w:rFonts w:ascii="宋体" w:hAnsi="宋体" w:eastAsia="宋体" w:cs="宋体"/>
        <w:position w:val="1"/>
        <w:sz w:val="20"/>
        <w:szCs w:val="20"/>
      </w:rPr>
      <w:t>。</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1CFBA">
    <w:pPr>
      <w:spacing w:line="14" w:lineRule="auto"/>
      <w:rPr>
        <w:rFonts w:ascii="Arial"/>
        <w:sz w:val="2"/>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A2A50">
    <w:pPr>
      <w:pStyle w:val="2"/>
      <w:spacing w:before="62" w:line="222" w:lineRule="auto"/>
      <w:rPr>
        <w:sz w:val="24"/>
        <w:szCs w:val="24"/>
      </w:rPr>
    </w:pPr>
    <w:r>
      <w:rPr>
        <w:rFonts w:ascii="Times New Roman" w:hAnsi="Times New Roman" w:eastAsia="Times New Roman" w:cs="Times New Roman"/>
        <w:spacing w:val="-1"/>
        <w:sz w:val="24"/>
        <w:szCs w:val="24"/>
      </w:rPr>
      <w:t xml:space="preserve">4.1 </w:t>
    </w:r>
    <w:r>
      <w:rPr>
        <w:spacing w:val="-1"/>
        <w:sz w:val="24"/>
        <w:szCs w:val="24"/>
      </w:rPr>
      <w:t>招标工程量清单封面</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1CFBA">
    <w:pPr>
      <w:spacing w:line="14" w:lineRule="auto"/>
      <w:rPr>
        <w:rFonts w:ascii="Arial"/>
        <w:sz w:val="2"/>
      </w:rP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CF8EE">
    <w:pPr>
      <w:pStyle w:val="2"/>
      <w:spacing w:before="62" w:line="221" w:lineRule="auto"/>
      <w:rPr>
        <w:sz w:val="24"/>
        <w:szCs w:val="24"/>
      </w:rPr>
    </w:pPr>
    <w:r>
      <w:rPr>
        <w:rFonts w:ascii="Times New Roman" w:hAnsi="Times New Roman" w:eastAsia="Times New Roman" w:cs="Times New Roman"/>
        <w:spacing w:val="-3"/>
        <w:sz w:val="24"/>
        <w:szCs w:val="24"/>
      </w:rPr>
      <w:t>4.5</w:t>
    </w:r>
    <w:r>
      <w:rPr>
        <w:rFonts w:ascii="Times New Roman" w:hAnsi="Times New Roman" w:eastAsia="Times New Roman" w:cs="Times New Roman"/>
        <w:spacing w:val="16"/>
        <w:sz w:val="24"/>
        <w:szCs w:val="24"/>
      </w:rPr>
      <w:t xml:space="preserve"> </w:t>
    </w:r>
    <w:r>
      <w:rPr>
        <w:spacing w:val="-3"/>
        <w:sz w:val="24"/>
        <w:szCs w:val="24"/>
      </w:rPr>
      <w:t>总说明表</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1CFBA">
    <w:pPr>
      <w:spacing w:line="14" w:lineRule="auto"/>
      <w:rPr>
        <w:rFonts w:ascii="Arial"/>
        <w:sz w:val="2"/>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82F6C">
    <w:pPr>
      <w:pStyle w:val="2"/>
      <w:spacing w:before="62" w:line="223" w:lineRule="auto"/>
      <w:rPr>
        <w:sz w:val="24"/>
        <w:szCs w:val="24"/>
      </w:rPr>
    </w:pPr>
    <w:r>
      <w:rPr>
        <w:rFonts w:ascii="Times New Roman" w:hAnsi="Times New Roman" w:eastAsia="Times New Roman" w:cs="Times New Roman"/>
        <w:spacing w:val="-1"/>
        <w:sz w:val="24"/>
        <w:szCs w:val="24"/>
      </w:rPr>
      <w:t xml:space="preserve">4.12-4 </w:t>
    </w:r>
    <w:r>
      <w:rPr>
        <w:spacing w:val="-1"/>
        <w:sz w:val="24"/>
        <w:szCs w:val="24"/>
      </w:rPr>
      <w:t>计日工表</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1CFBA">
    <w:pPr>
      <w:spacing w:line="14" w:lineRule="auto"/>
      <w:rPr>
        <w:rFonts w:ascii="Arial"/>
        <w:sz w:val="2"/>
      </w:rP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02167">
    <w:pPr>
      <w:spacing w:before="138" w:line="102" w:lineRule="exact"/>
      <w:ind w:left="8216"/>
      <w:rPr>
        <w:rFonts w:ascii="宋体" w:hAnsi="宋体" w:eastAsia="宋体" w:cs="宋体"/>
        <w:sz w:val="20"/>
        <w:szCs w:val="20"/>
      </w:rPr>
    </w:pPr>
    <w:r>
      <w:pict>
        <v:shape id="_x0000_s2057" o:spid="_x0000_s2057" style="position:absolute;left:0pt;margin-left:120.95pt;margin-top:105.95pt;height:0.5pt;width:362.25pt;mso-position-horizontal-relative:page;mso-position-vertical-relative:page;z-index:251670528;mso-width-relative:page;mso-height-relative:page;" filled="f" stroked="t" coordsize="7245,10" o:allowincell="f" path="m0,4l7245,4e">
          <v:fill on="f" focussize="0,0"/>
          <v:stroke weight="0.48pt" color="#000000" miterlimit="2" joinstyle="bevel"/>
          <v:imagedata o:title=""/>
          <o:lock v:ext="edit"/>
        </v:shape>
      </w:pict>
    </w:r>
    <w:r>
      <w:rPr>
        <w:rFonts w:ascii="宋体" w:hAnsi="宋体" w:eastAsia="宋体" w:cs="宋体"/>
        <w:position w:val="1"/>
        <w:sz w:val="20"/>
        <w:szCs w:val="20"/>
      </w:rPr>
      <w:t>。</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1CFBA">
    <w:pPr>
      <w:spacing w:line="14" w:lineRule="auto"/>
      <w:rPr>
        <w:rFonts w:ascii="Arial"/>
        <w:sz w:val="2"/>
      </w:rP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3851F">
    <w:pPr>
      <w:pStyle w:val="2"/>
      <w:spacing w:before="73" w:line="222" w:lineRule="auto"/>
      <w:ind w:left="3365"/>
      <w:rPr>
        <w:sz w:val="28"/>
        <w:szCs w:val="28"/>
      </w:rPr>
    </w:pPr>
    <w:r>
      <w:pict>
        <v:shape id="_x0000_s2058" o:spid="_x0000_s2058" style="position:absolute;left:0pt;margin-left:73.45pt;margin-top:145.9pt;height:0.5pt;width:468.5pt;mso-position-horizontal-relative:page;mso-position-vertical-relative:page;z-index:251671552;mso-width-relative:page;mso-height-relative:page;" filled="f" stroked="t" coordsize="9370,10" o:allowincell="f" path="m0,4l9369,4e">
          <v:fill on="f" focussize="0,0"/>
          <v:stroke weight="0.48pt" color="#000000" miterlimit="2" joinstyle="bevel"/>
          <v:imagedata o:title=""/>
          <o:lock v:ext="edit"/>
        </v:shape>
      </w:pict>
    </w:r>
    <w:r>
      <w:rPr>
        <w:spacing w:val="-4"/>
        <w:sz w:val="28"/>
        <w:szCs w:val="28"/>
      </w:rPr>
      <w:t>（二）投标函附录</w:t>
    </w:r>
  </w:p>
  <w:p w14:paraId="6CF62CA4">
    <w:pPr>
      <w:spacing w:before="286" w:line="228" w:lineRule="auto"/>
      <w:ind w:left="15"/>
      <w:rPr>
        <w:rFonts w:ascii="宋体" w:hAnsi="宋体" w:eastAsia="宋体" w:cs="宋体"/>
        <w:sz w:val="20"/>
        <w:szCs w:val="20"/>
      </w:rPr>
    </w:pPr>
    <w:r>
      <w:rPr>
        <w:rFonts w:ascii="宋体" w:hAnsi="宋体" w:eastAsia="宋体" w:cs="宋体"/>
        <w:b/>
        <w:bCs/>
        <w:spacing w:val="12"/>
        <w:sz w:val="20"/>
        <w:szCs w:val="20"/>
      </w:rPr>
      <w:t>工程名称</w:t>
    </w:r>
    <w:r>
      <w:rPr>
        <w:rFonts w:ascii="宋体" w:hAnsi="宋体" w:eastAsia="宋体" w:cs="宋体"/>
        <w:b/>
        <w:bCs/>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2"/>
        <w:sz w:val="20"/>
        <w:szCs w:val="20"/>
      </w:rPr>
      <w:t>项目名称</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2"/>
        <w:sz w:val="20"/>
        <w:szCs w:val="20"/>
      </w:rPr>
      <w:t>标段名称）</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1CFBA">
    <w:pPr>
      <w:spacing w:line="14" w:lineRule="auto"/>
      <w:rPr>
        <w:rFonts w:ascii="Arial"/>
        <w:sz w:val="2"/>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04E2D">
    <w:pPr>
      <w:pStyle w:val="2"/>
      <w:spacing w:before="62" w:line="221" w:lineRule="auto"/>
      <w:ind w:left="2701"/>
      <w:rPr>
        <w:sz w:val="24"/>
        <w:szCs w:val="24"/>
      </w:rPr>
    </w:pPr>
    <w:r>
      <w:rPr>
        <w:rFonts w:ascii="Times New Roman" w:hAnsi="Times New Roman" w:eastAsia="Times New Roman" w:cs="Times New Roman"/>
        <w:spacing w:val="-2"/>
        <w:sz w:val="24"/>
        <w:szCs w:val="24"/>
      </w:rPr>
      <w:t xml:space="preserve">3-2 </w:t>
    </w:r>
    <w:r>
      <w:rPr>
        <w:spacing w:val="-2"/>
        <w:sz w:val="24"/>
        <w:szCs w:val="24"/>
      </w:rPr>
      <w:t>近</w:t>
    </w:r>
    <w:r>
      <w:rPr>
        <w:spacing w:val="-38"/>
        <w:sz w:val="24"/>
        <w:szCs w:val="24"/>
      </w:rPr>
      <w:t xml:space="preserve"> </w:t>
    </w:r>
    <w:r>
      <w:rPr>
        <w:rFonts w:ascii="Times New Roman" w:hAnsi="Times New Roman" w:eastAsia="Times New Roman" w:cs="Times New Roman"/>
        <w:spacing w:val="-2"/>
        <w:sz w:val="24"/>
        <w:szCs w:val="24"/>
      </w:rPr>
      <w:t xml:space="preserve">5 </w:t>
    </w:r>
    <w:r>
      <w:rPr>
        <w:spacing w:val="-2"/>
        <w:sz w:val="24"/>
        <w:szCs w:val="24"/>
      </w:rPr>
      <w:t>年完成的类似项目情况表</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1CFBA">
    <w:pPr>
      <w:spacing w:line="14" w:lineRule="auto"/>
      <w:rPr>
        <w:rFonts w:ascii="Arial"/>
        <w:sz w:val="2"/>
      </w:rP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5F9A9">
    <w:pPr>
      <w:pStyle w:val="2"/>
      <w:spacing w:before="62" w:line="221" w:lineRule="auto"/>
      <w:ind w:left="2455"/>
      <w:rPr>
        <w:sz w:val="24"/>
        <w:szCs w:val="24"/>
      </w:rPr>
    </w:pPr>
    <w:r>
      <w:rPr>
        <w:rFonts w:ascii="Times New Roman" w:hAnsi="Times New Roman" w:eastAsia="Times New Roman" w:cs="Times New Roman"/>
        <w:spacing w:val="-1"/>
        <w:sz w:val="24"/>
        <w:szCs w:val="24"/>
      </w:rPr>
      <w:t xml:space="preserve">4-2 </w:t>
    </w:r>
    <w:r>
      <w:rPr>
        <w:spacing w:val="-1"/>
        <w:sz w:val="24"/>
        <w:szCs w:val="24"/>
      </w:rPr>
      <w:t>正在施工的和新承接的项目情况表</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1CFBA">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C9756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43"/>
      <w:szCs w:val="43"/>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3.xml"/><Relationship Id="rId98" Type="http://schemas.openxmlformats.org/officeDocument/2006/relationships/footer" Target="footer92.xml"/><Relationship Id="rId97" Type="http://schemas.openxmlformats.org/officeDocument/2006/relationships/footer" Target="footer91.xml"/><Relationship Id="rId96" Type="http://schemas.openxmlformats.org/officeDocument/2006/relationships/footer" Target="footer90.xml"/><Relationship Id="rId95" Type="http://schemas.openxmlformats.org/officeDocument/2006/relationships/footer" Target="footer89.xml"/><Relationship Id="rId94" Type="http://schemas.openxmlformats.org/officeDocument/2006/relationships/footer" Target="footer88.xml"/><Relationship Id="rId93" Type="http://schemas.openxmlformats.org/officeDocument/2006/relationships/footer" Target="footer87.xml"/><Relationship Id="rId92" Type="http://schemas.openxmlformats.org/officeDocument/2006/relationships/footer" Target="footer86.xml"/><Relationship Id="rId91" Type="http://schemas.openxmlformats.org/officeDocument/2006/relationships/footer" Target="footer85.xml"/><Relationship Id="rId90" Type="http://schemas.openxmlformats.org/officeDocument/2006/relationships/footer" Target="footer84.xml"/><Relationship Id="rId9" Type="http://schemas.openxmlformats.org/officeDocument/2006/relationships/footer" Target="footer5.xml"/><Relationship Id="rId89" Type="http://schemas.openxmlformats.org/officeDocument/2006/relationships/footer" Target="footer83.xml"/><Relationship Id="rId88" Type="http://schemas.openxmlformats.org/officeDocument/2006/relationships/footer" Target="footer82.xml"/><Relationship Id="rId87" Type="http://schemas.openxmlformats.org/officeDocument/2006/relationships/footer" Target="footer81.xml"/><Relationship Id="rId86" Type="http://schemas.openxmlformats.org/officeDocument/2006/relationships/footer" Target="footer80.xml"/><Relationship Id="rId85" Type="http://schemas.openxmlformats.org/officeDocument/2006/relationships/footer" Target="footer79.xml"/><Relationship Id="rId84" Type="http://schemas.openxmlformats.org/officeDocument/2006/relationships/footer" Target="footer78.xml"/><Relationship Id="rId83" Type="http://schemas.openxmlformats.org/officeDocument/2006/relationships/footer" Target="footer77.xml"/><Relationship Id="rId82" Type="http://schemas.openxmlformats.org/officeDocument/2006/relationships/footer" Target="footer76.xml"/><Relationship Id="rId81" Type="http://schemas.openxmlformats.org/officeDocument/2006/relationships/footer" Target="footer75.xml"/><Relationship Id="rId80" Type="http://schemas.openxmlformats.org/officeDocument/2006/relationships/footer" Target="footer74.xml"/><Relationship Id="rId8" Type="http://schemas.openxmlformats.org/officeDocument/2006/relationships/footer" Target="footer4.xml"/><Relationship Id="rId79" Type="http://schemas.openxmlformats.org/officeDocument/2006/relationships/footer" Target="footer73.xml"/><Relationship Id="rId78" Type="http://schemas.openxmlformats.org/officeDocument/2006/relationships/footer" Target="footer72.xml"/><Relationship Id="rId77" Type="http://schemas.openxmlformats.org/officeDocument/2006/relationships/footer" Target="footer71.xml"/><Relationship Id="rId76" Type="http://schemas.openxmlformats.org/officeDocument/2006/relationships/footer" Target="footer70.xml"/><Relationship Id="rId75" Type="http://schemas.openxmlformats.org/officeDocument/2006/relationships/footer" Target="footer69.xml"/><Relationship Id="rId74" Type="http://schemas.openxmlformats.org/officeDocument/2006/relationships/footer" Target="footer68.xml"/><Relationship Id="rId73" Type="http://schemas.openxmlformats.org/officeDocument/2006/relationships/footer" Target="footer67.xml"/><Relationship Id="rId72" Type="http://schemas.openxmlformats.org/officeDocument/2006/relationships/footer" Target="footer66.xml"/><Relationship Id="rId71" Type="http://schemas.openxmlformats.org/officeDocument/2006/relationships/footer" Target="footer65.xml"/><Relationship Id="rId70" Type="http://schemas.openxmlformats.org/officeDocument/2006/relationships/footer" Target="footer64.xml"/><Relationship Id="rId7" Type="http://schemas.openxmlformats.org/officeDocument/2006/relationships/footer" Target="footer3.xml"/><Relationship Id="rId69" Type="http://schemas.openxmlformats.org/officeDocument/2006/relationships/footer" Target="footer63.xml"/><Relationship Id="rId68" Type="http://schemas.openxmlformats.org/officeDocument/2006/relationships/footer" Target="footer62.xml"/><Relationship Id="rId67" Type="http://schemas.openxmlformats.org/officeDocument/2006/relationships/footer" Target="footer61.xml"/><Relationship Id="rId66" Type="http://schemas.openxmlformats.org/officeDocument/2006/relationships/footer" Target="footer60.xml"/><Relationship Id="rId65" Type="http://schemas.openxmlformats.org/officeDocument/2006/relationships/footer" Target="footer59.xml"/><Relationship Id="rId64" Type="http://schemas.openxmlformats.org/officeDocument/2006/relationships/footer" Target="footer58.xml"/><Relationship Id="rId63" Type="http://schemas.openxmlformats.org/officeDocument/2006/relationships/footer" Target="footer57.xml"/><Relationship Id="rId62" Type="http://schemas.openxmlformats.org/officeDocument/2006/relationships/footer" Target="footer56.xml"/><Relationship Id="rId61" Type="http://schemas.openxmlformats.org/officeDocument/2006/relationships/footer" Target="footer55.xml"/><Relationship Id="rId60" Type="http://schemas.openxmlformats.org/officeDocument/2006/relationships/footer" Target="footer54.xml"/><Relationship Id="rId6" Type="http://schemas.openxmlformats.org/officeDocument/2006/relationships/footer" Target="footer2.xml"/><Relationship Id="rId59" Type="http://schemas.openxmlformats.org/officeDocument/2006/relationships/footer" Target="footer53.xml"/><Relationship Id="rId58" Type="http://schemas.openxmlformats.org/officeDocument/2006/relationships/footer" Target="footer52.xml"/><Relationship Id="rId57" Type="http://schemas.openxmlformats.org/officeDocument/2006/relationships/footer" Target="footer51.xml"/><Relationship Id="rId568" Type="http://schemas.openxmlformats.org/officeDocument/2006/relationships/fontTable" Target="fontTable.xml"/><Relationship Id="rId567" Type="http://schemas.openxmlformats.org/officeDocument/2006/relationships/customXml" Target="../customXml/item1.xml"/><Relationship Id="rId566" Type="http://schemas.openxmlformats.org/officeDocument/2006/relationships/image" Target="media/image5.png"/><Relationship Id="rId565" Type="http://schemas.openxmlformats.org/officeDocument/2006/relationships/image" Target="media/image4.png"/><Relationship Id="rId564" Type="http://schemas.openxmlformats.org/officeDocument/2006/relationships/image" Target="media/image3.png"/><Relationship Id="rId563" Type="http://schemas.openxmlformats.org/officeDocument/2006/relationships/image" Target="media/image2.png"/><Relationship Id="rId562" Type="http://schemas.openxmlformats.org/officeDocument/2006/relationships/image" Target="media/image1.png"/><Relationship Id="rId561" Type="http://schemas.openxmlformats.org/officeDocument/2006/relationships/theme" Target="theme/theme1.xml"/><Relationship Id="rId560" Type="http://schemas.openxmlformats.org/officeDocument/2006/relationships/footer" Target="footer515.xml"/><Relationship Id="rId56" Type="http://schemas.openxmlformats.org/officeDocument/2006/relationships/footer" Target="footer50.xml"/><Relationship Id="rId559" Type="http://schemas.openxmlformats.org/officeDocument/2006/relationships/footer" Target="footer514.xml"/><Relationship Id="rId558" Type="http://schemas.openxmlformats.org/officeDocument/2006/relationships/footer" Target="footer513.xml"/><Relationship Id="rId557" Type="http://schemas.openxmlformats.org/officeDocument/2006/relationships/footer" Target="footer512.xml"/><Relationship Id="rId556" Type="http://schemas.openxmlformats.org/officeDocument/2006/relationships/footer" Target="footer511.xml"/><Relationship Id="rId555" Type="http://schemas.openxmlformats.org/officeDocument/2006/relationships/footer" Target="footer510.xml"/><Relationship Id="rId554" Type="http://schemas.openxmlformats.org/officeDocument/2006/relationships/footer" Target="footer509.xml"/><Relationship Id="rId553" Type="http://schemas.openxmlformats.org/officeDocument/2006/relationships/footer" Target="footer508.xml"/><Relationship Id="rId552" Type="http://schemas.openxmlformats.org/officeDocument/2006/relationships/footer" Target="footer507.xml"/><Relationship Id="rId551" Type="http://schemas.openxmlformats.org/officeDocument/2006/relationships/footer" Target="footer506.xml"/><Relationship Id="rId550" Type="http://schemas.openxmlformats.org/officeDocument/2006/relationships/footer" Target="footer505.xml"/><Relationship Id="rId55" Type="http://schemas.openxmlformats.org/officeDocument/2006/relationships/footer" Target="footer49.xml"/><Relationship Id="rId549" Type="http://schemas.openxmlformats.org/officeDocument/2006/relationships/footer" Target="footer504.xml"/><Relationship Id="rId548" Type="http://schemas.openxmlformats.org/officeDocument/2006/relationships/footer" Target="footer503.xml"/><Relationship Id="rId547" Type="http://schemas.openxmlformats.org/officeDocument/2006/relationships/footer" Target="footer502.xml"/><Relationship Id="rId546" Type="http://schemas.openxmlformats.org/officeDocument/2006/relationships/footer" Target="footer501.xml"/><Relationship Id="rId545" Type="http://schemas.openxmlformats.org/officeDocument/2006/relationships/footer" Target="footer500.xml"/><Relationship Id="rId544" Type="http://schemas.openxmlformats.org/officeDocument/2006/relationships/footer" Target="footer499.xml"/><Relationship Id="rId543" Type="http://schemas.openxmlformats.org/officeDocument/2006/relationships/header" Target="header41.xml"/><Relationship Id="rId542" Type="http://schemas.openxmlformats.org/officeDocument/2006/relationships/footer" Target="footer498.xml"/><Relationship Id="rId541" Type="http://schemas.openxmlformats.org/officeDocument/2006/relationships/header" Target="header40.xml"/><Relationship Id="rId540" Type="http://schemas.openxmlformats.org/officeDocument/2006/relationships/footer" Target="footer497.xml"/><Relationship Id="rId54" Type="http://schemas.openxmlformats.org/officeDocument/2006/relationships/footer" Target="footer48.xml"/><Relationship Id="rId539" Type="http://schemas.openxmlformats.org/officeDocument/2006/relationships/header" Target="header39.xml"/><Relationship Id="rId538" Type="http://schemas.openxmlformats.org/officeDocument/2006/relationships/footer" Target="footer496.xml"/><Relationship Id="rId537" Type="http://schemas.openxmlformats.org/officeDocument/2006/relationships/header" Target="header38.xml"/><Relationship Id="rId536" Type="http://schemas.openxmlformats.org/officeDocument/2006/relationships/footer" Target="footer495.xml"/><Relationship Id="rId535" Type="http://schemas.openxmlformats.org/officeDocument/2006/relationships/footer" Target="footer494.xml"/><Relationship Id="rId534" Type="http://schemas.openxmlformats.org/officeDocument/2006/relationships/footer" Target="footer493.xml"/><Relationship Id="rId533" Type="http://schemas.openxmlformats.org/officeDocument/2006/relationships/footer" Target="footer492.xml"/><Relationship Id="rId532" Type="http://schemas.openxmlformats.org/officeDocument/2006/relationships/footer" Target="footer491.xml"/><Relationship Id="rId531" Type="http://schemas.openxmlformats.org/officeDocument/2006/relationships/footer" Target="footer490.xml"/><Relationship Id="rId530" Type="http://schemas.openxmlformats.org/officeDocument/2006/relationships/footer" Target="footer489.xml"/><Relationship Id="rId53" Type="http://schemas.openxmlformats.org/officeDocument/2006/relationships/footer" Target="footer47.xml"/><Relationship Id="rId529" Type="http://schemas.openxmlformats.org/officeDocument/2006/relationships/footer" Target="footer488.xml"/><Relationship Id="rId528" Type="http://schemas.openxmlformats.org/officeDocument/2006/relationships/footer" Target="footer487.xml"/><Relationship Id="rId527" Type="http://schemas.openxmlformats.org/officeDocument/2006/relationships/footer" Target="footer486.xml"/><Relationship Id="rId526" Type="http://schemas.openxmlformats.org/officeDocument/2006/relationships/footer" Target="footer485.xml"/><Relationship Id="rId525" Type="http://schemas.openxmlformats.org/officeDocument/2006/relationships/footer" Target="footer484.xml"/><Relationship Id="rId524" Type="http://schemas.openxmlformats.org/officeDocument/2006/relationships/footer" Target="footer483.xml"/><Relationship Id="rId523" Type="http://schemas.openxmlformats.org/officeDocument/2006/relationships/footer" Target="footer482.xml"/><Relationship Id="rId522" Type="http://schemas.openxmlformats.org/officeDocument/2006/relationships/footer" Target="footer481.xml"/><Relationship Id="rId521" Type="http://schemas.openxmlformats.org/officeDocument/2006/relationships/footer" Target="footer480.xml"/><Relationship Id="rId520" Type="http://schemas.openxmlformats.org/officeDocument/2006/relationships/footer" Target="footer479.xml"/><Relationship Id="rId52" Type="http://schemas.openxmlformats.org/officeDocument/2006/relationships/footer" Target="footer46.xml"/><Relationship Id="rId519" Type="http://schemas.openxmlformats.org/officeDocument/2006/relationships/footer" Target="footer478.xml"/><Relationship Id="rId518" Type="http://schemas.openxmlformats.org/officeDocument/2006/relationships/footer" Target="footer477.xml"/><Relationship Id="rId517" Type="http://schemas.openxmlformats.org/officeDocument/2006/relationships/footer" Target="footer476.xml"/><Relationship Id="rId516" Type="http://schemas.openxmlformats.org/officeDocument/2006/relationships/footer" Target="footer475.xml"/><Relationship Id="rId515" Type="http://schemas.openxmlformats.org/officeDocument/2006/relationships/header" Target="header37.xml"/><Relationship Id="rId514" Type="http://schemas.openxmlformats.org/officeDocument/2006/relationships/footer" Target="footer474.xml"/><Relationship Id="rId513" Type="http://schemas.openxmlformats.org/officeDocument/2006/relationships/header" Target="header36.xml"/><Relationship Id="rId512" Type="http://schemas.openxmlformats.org/officeDocument/2006/relationships/footer" Target="footer473.xml"/><Relationship Id="rId511" Type="http://schemas.openxmlformats.org/officeDocument/2006/relationships/footer" Target="footer472.xml"/><Relationship Id="rId510" Type="http://schemas.openxmlformats.org/officeDocument/2006/relationships/footer" Target="footer471.xml"/><Relationship Id="rId51" Type="http://schemas.openxmlformats.org/officeDocument/2006/relationships/footer" Target="footer45.xml"/><Relationship Id="rId509" Type="http://schemas.openxmlformats.org/officeDocument/2006/relationships/footer" Target="footer470.xml"/><Relationship Id="rId508" Type="http://schemas.openxmlformats.org/officeDocument/2006/relationships/footer" Target="footer469.xml"/><Relationship Id="rId507" Type="http://schemas.openxmlformats.org/officeDocument/2006/relationships/footer" Target="footer468.xml"/><Relationship Id="rId506" Type="http://schemas.openxmlformats.org/officeDocument/2006/relationships/footer" Target="footer467.xml"/><Relationship Id="rId505" Type="http://schemas.openxmlformats.org/officeDocument/2006/relationships/footer" Target="footer466.xml"/><Relationship Id="rId504" Type="http://schemas.openxmlformats.org/officeDocument/2006/relationships/footer" Target="footer465.xml"/><Relationship Id="rId503" Type="http://schemas.openxmlformats.org/officeDocument/2006/relationships/footer" Target="footer464.xml"/><Relationship Id="rId502" Type="http://schemas.openxmlformats.org/officeDocument/2006/relationships/footer" Target="footer463.xml"/><Relationship Id="rId501" Type="http://schemas.openxmlformats.org/officeDocument/2006/relationships/footer" Target="footer462.xml"/><Relationship Id="rId500" Type="http://schemas.openxmlformats.org/officeDocument/2006/relationships/footer" Target="footer461.xml"/><Relationship Id="rId50" Type="http://schemas.openxmlformats.org/officeDocument/2006/relationships/header" Target="header2.xml"/><Relationship Id="rId5" Type="http://schemas.openxmlformats.org/officeDocument/2006/relationships/footer" Target="footer1.xml"/><Relationship Id="rId499" Type="http://schemas.openxmlformats.org/officeDocument/2006/relationships/footer" Target="footer460.xml"/><Relationship Id="rId498" Type="http://schemas.openxmlformats.org/officeDocument/2006/relationships/footer" Target="footer459.xml"/><Relationship Id="rId497" Type="http://schemas.openxmlformats.org/officeDocument/2006/relationships/footer" Target="footer458.xml"/><Relationship Id="rId496" Type="http://schemas.openxmlformats.org/officeDocument/2006/relationships/footer" Target="footer457.xml"/><Relationship Id="rId495" Type="http://schemas.openxmlformats.org/officeDocument/2006/relationships/header" Target="header35.xml"/><Relationship Id="rId494" Type="http://schemas.openxmlformats.org/officeDocument/2006/relationships/footer" Target="footer456.xml"/><Relationship Id="rId493" Type="http://schemas.openxmlformats.org/officeDocument/2006/relationships/header" Target="header34.xml"/><Relationship Id="rId492" Type="http://schemas.openxmlformats.org/officeDocument/2006/relationships/footer" Target="footer455.xml"/><Relationship Id="rId491" Type="http://schemas.openxmlformats.org/officeDocument/2006/relationships/footer" Target="footer454.xml"/><Relationship Id="rId490" Type="http://schemas.openxmlformats.org/officeDocument/2006/relationships/footer" Target="footer453.xml"/><Relationship Id="rId49" Type="http://schemas.openxmlformats.org/officeDocument/2006/relationships/footer" Target="footer44.xml"/><Relationship Id="rId489" Type="http://schemas.openxmlformats.org/officeDocument/2006/relationships/footer" Target="footer452.xml"/><Relationship Id="rId488" Type="http://schemas.openxmlformats.org/officeDocument/2006/relationships/footer" Target="footer451.xml"/><Relationship Id="rId487" Type="http://schemas.openxmlformats.org/officeDocument/2006/relationships/footer" Target="footer450.xml"/><Relationship Id="rId486" Type="http://schemas.openxmlformats.org/officeDocument/2006/relationships/footer" Target="footer449.xml"/><Relationship Id="rId485" Type="http://schemas.openxmlformats.org/officeDocument/2006/relationships/footer" Target="footer448.xml"/><Relationship Id="rId484" Type="http://schemas.openxmlformats.org/officeDocument/2006/relationships/footer" Target="footer447.xml"/><Relationship Id="rId483" Type="http://schemas.openxmlformats.org/officeDocument/2006/relationships/footer" Target="footer446.xml"/><Relationship Id="rId482" Type="http://schemas.openxmlformats.org/officeDocument/2006/relationships/footer" Target="footer445.xml"/><Relationship Id="rId481" Type="http://schemas.openxmlformats.org/officeDocument/2006/relationships/footer" Target="footer444.xml"/><Relationship Id="rId480" Type="http://schemas.openxmlformats.org/officeDocument/2006/relationships/footer" Target="footer443.xml"/><Relationship Id="rId48" Type="http://schemas.openxmlformats.org/officeDocument/2006/relationships/header" Target="header1.xml"/><Relationship Id="rId479" Type="http://schemas.openxmlformats.org/officeDocument/2006/relationships/footer" Target="footer442.xml"/><Relationship Id="rId478" Type="http://schemas.openxmlformats.org/officeDocument/2006/relationships/footer" Target="footer441.xml"/><Relationship Id="rId477" Type="http://schemas.openxmlformats.org/officeDocument/2006/relationships/footer" Target="footer440.xml"/><Relationship Id="rId476" Type="http://schemas.openxmlformats.org/officeDocument/2006/relationships/footer" Target="footer439.xml"/><Relationship Id="rId475" Type="http://schemas.openxmlformats.org/officeDocument/2006/relationships/footer" Target="footer438.xml"/><Relationship Id="rId474" Type="http://schemas.openxmlformats.org/officeDocument/2006/relationships/footer" Target="footer437.xml"/><Relationship Id="rId473" Type="http://schemas.openxmlformats.org/officeDocument/2006/relationships/footer" Target="footer436.xml"/><Relationship Id="rId472" Type="http://schemas.openxmlformats.org/officeDocument/2006/relationships/footer" Target="footer435.xml"/><Relationship Id="rId471" Type="http://schemas.openxmlformats.org/officeDocument/2006/relationships/footer" Target="footer434.xml"/><Relationship Id="rId470" Type="http://schemas.openxmlformats.org/officeDocument/2006/relationships/footer" Target="footer433.xml"/><Relationship Id="rId47" Type="http://schemas.openxmlformats.org/officeDocument/2006/relationships/footer" Target="footer43.xml"/><Relationship Id="rId469" Type="http://schemas.openxmlformats.org/officeDocument/2006/relationships/footer" Target="footer432.xml"/><Relationship Id="rId468" Type="http://schemas.openxmlformats.org/officeDocument/2006/relationships/footer" Target="footer431.xml"/><Relationship Id="rId467" Type="http://schemas.openxmlformats.org/officeDocument/2006/relationships/header" Target="header33.xml"/><Relationship Id="rId466" Type="http://schemas.openxmlformats.org/officeDocument/2006/relationships/footer" Target="footer430.xml"/><Relationship Id="rId465" Type="http://schemas.openxmlformats.org/officeDocument/2006/relationships/header" Target="header32.xml"/><Relationship Id="rId464" Type="http://schemas.openxmlformats.org/officeDocument/2006/relationships/footer" Target="footer429.xml"/><Relationship Id="rId463" Type="http://schemas.openxmlformats.org/officeDocument/2006/relationships/footer" Target="footer428.xml"/><Relationship Id="rId462" Type="http://schemas.openxmlformats.org/officeDocument/2006/relationships/footer" Target="footer427.xml"/><Relationship Id="rId461" Type="http://schemas.openxmlformats.org/officeDocument/2006/relationships/footer" Target="footer426.xml"/><Relationship Id="rId460" Type="http://schemas.openxmlformats.org/officeDocument/2006/relationships/footer" Target="footer425.xml"/><Relationship Id="rId46" Type="http://schemas.openxmlformats.org/officeDocument/2006/relationships/footer" Target="footer42.xml"/><Relationship Id="rId459" Type="http://schemas.openxmlformats.org/officeDocument/2006/relationships/footer" Target="footer424.xml"/><Relationship Id="rId458" Type="http://schemas.openxmlformats.org/officeDocument/2006/relationships/footer" Target="footer423.xml"/><Relationship Id="rId457" Type="http://schemas.openxmlformats.org/officeDocument/2006/relationships/footer" Target="footer422.xml"/><Relationship Id="rId456" Type="http://schemas.openxmlformats.org/officeDocument/2006/relationships/footer" Target="footer421.xml"/><Relationship Id="rId455" Type="http://schemas.openxmlformats.org/officeDocument/2006/relationships/footer" Target="footer420.xml"/><Relationship Id="rId454" Type="http://schemas.openxmlformats.org/officeDocument/2006/relationships/footer" Target="footer419.xml"/><Relationship Id="rId453" Type="http://schemas.openxmlformats.org/officeDocument/2006/relationships/header" Target="header31.xml"/><Relationship Id="rId452" Type="http://schemas.openxmlformats.org/officeDocument/2006/relationships/footer" Target="footer418.xml"/><Relationship Id="rId451" Type="http://schemas.openxmlformats.org/officeDocument/2006/relationships/header" Target="header30.xml"/><Relationship Id="rId450" Type="http://schemas.openxmlformats.org/officeDocument/2006/relationships/footer" Target="footer417.xml"/><Relationship Id="rId45" Type="http://schemas.openxmlformats.org/officeDocument/2006/relationships/footer" Target="footer41.xml"/><Relationship Id="rId449" Type="http://schemas.openxmlformats.org/officeDocument/2006/relationships/footer" Target="footer416.xml"/><Relationship Id="rId448" Type="http://schemas.openxmlformats.org/officeDocument/2006/relationships/footer" Target="footer415.xml"/><Relationship Id="rId447" Type="http://schemas.openxmlformats.org/officeDocument/2006/relationships/header" Target="header29.xml"/><Relationship Id="rId446" Type="http://schemas.openxmlformats.org/officeDocument/2006/relationships/footer" Target="footer414.xml"/><Relationship Id="rId445" Type="http://schemas.openxmlformats.org/officeDocument/2006/relationships/header" Target="header28.xml"/><Relationship Id="rId444" Type="http://schemas.openxmlformats.org/officeDocument/2006/relationships/footer" Target="footer413.xml"/><Relationship Id="rId443" Type="http://schemas.openxmlformats.org/officeDocument/2006/relationships/footer" Target="footer412.xml"/><Relationship Id="rId442" Type="http://schemas.openxmlformats.org/officeDocument/2006/relationships/footer" Target="footer411.xml"/><Relationship Id="rId441" Type="http://schemas.openxmlformats.org/officeDocument/2006/relationships/footer" Target="footer410.xml"/><Relationship Id="rId440" Type="http://schemas.openxmlformats.org/officeDocument/2006/relationships/footer" Target="footer409.xml"/><Relationship Id="rId44" Type="http://schemas.openxmlformats.org/officeDocument/2006/relationships/footer" Target="footer40.xml"/><Relationship Id="rId439" Type="http://schemas.openxmlformats.org/officeDocument/2006/relationships/footer" Target="footer408.xml"/><Relationship Id="rId438" Type="http://schemas.openxmlformats.org/officeDocument/2006/relationships/footer" Target="footer407.xml"/><Relationship Id="rId437" Type="http://schemas.openxmlformats.org/officeDocument/2006/relationships/footer" Target="footer406.xml"/><Relationship Id="rId436" Type="http://schemas.openxmlformats.org/officeDocument/2006/relationships/footer" Target="footer405.xml"/><Relationship Id="rId435" Type="http://schemas.openxmlformats.org/officeDocument/2006/relationships/footer" Target="footer404.xml"/><Relationship Id="rId434" Type="http://schemas.openxmlformats.org/officeDocument/2006/relationships/footer" Target="footer403.xml"/><Relationship Id="rId433" Type="http://schemas.openxmlformats.org/officeDocument/2006/relationships/footer" Target="footer402.xml"/><Relationship Id="rId432" Type="http://schemas.openxmlformats.org/officeDocument/2006/relationships/footer" Target="footer401.xml"/><Relationship Id="rId431" Type="http://schemas.openxmlformats.org/officeDocument/2006/relationships/footer" Target="footer400.xml"/><Relationship Id="rId430" Type="http://schemas.openxmlformats.org/officeDocument/2006/relationships/footer" Target="footer399.xml"/><Relationship Id="rId43" Type="http://schemas.openxmlformats.org/officeDocument/2006/relationships/footer" Target="footer39.xml"/><Relationship Id="rId429" Type="http://schemas.openxmlformats.org/officeDocument/2006/relationships/footer" Target="footer398.xml"/><Relationship Id="rId428" Type="http://schemas.openxmlformats.org/officeDocument/2006/relationships/footer" Target="footer397.xml"/><Relationship Id="rId427" Type="http://schemas.openxmlformats.org/officeDocument/2006/relationships/footer" Target="footer396.xml"/><Relationship Id="rId426" Type="http://schemas.openxmlformats.org/officeDocument/2006/relationships/footer" Target="footer395.xml"/><Relationship Id="rId425" Type="http://schemas.openxmlformats.org/officeDocument/2006/relationships/footer" Target="footer394.xml"/><Relationship Id="rId424" Type="http://schemas.openxmlformats.org/officeDocument/2006/relationships/footer" Target="footer393.xml"/><Relationship Id="rId423" Type="http://schemas.openxmlformats.org/officeDocument/2006/relationships/footer" Target="footer392.xml"/><Relationship Id="rId422" Type="http://schemas.openxmlformats.org/officeDocument/2006/relationships/footer" Target="footer391.xml"/><Relationship Id="rId421" Type="http://schemas.openxmlformats.org/officeDocument/2006/relationships/footer" Target="footer390.xml"/><Relationship Id="rId420" Type="http://schemas.openxmlformats.org/officeDocument/2006/relationships/footer" Target="footer389.xml"/><Relationship Id="rId42" Type="http://schemas.openxmlformats.org/officeDocument/2006/relationships/footer" Target="footer38.xml"/><Relationship Id="rId419" Type="http://schemas.openxmlformats.org/officeDocument/2006/relationships/footer" Target="footer388.xml"/><Relationship Id="rId418" Type="http://schemas.openxmlformats.org/officeDocument/2006/relationships/footer" Target="footer387.xml"/><Relationship Id="rId417" Type="http://schemas.openxmlformats.org/officeDocument/2006/relationships/header" Target="header27.xml"/><Relationship Id="rId416" Type="http://schemas.openxmlformats.org/officeDocument/2006/relationships/footer" Target="footer386.xml"/><Relationship Id="rId415" Type="http://schemas.openxmlformats.org/officeDocument/2006/relationships/header" Target="header26.xml"/><Relationship Id="rId414" Type="http://schemas.openxmlformats.org/officeDocument/2006/relationships/footer" Target="footer385.xml"/><Relationship Id="rId413" Type="http://schemas.openxmlformats.org/officeDocument/2006/relationships/footer" Target="footer384.xml"/><Relationship Id="rId412" Type="http://schemas.openxmlformats.org/officeDocument/2006/relationships/header" Target="header25.xml"/><Relationship Id="rId411" Type="http://schemas.openxmlformats.org/officeDocument/2006/relationships/footer" Target="footer383.xml"/><Relationship Id="rId410" Type="http://schemas.openxmlformats.org/officeDocument/2006/relationships/header" Target="header24.xml"/><Relationship Id="rId41" Type="http://schemas.openxmlformats.org/officeDocument/2006/relationships/footer" Target="footer37.xml"/><Relationship Id="rId409" Type="http://schemas.openxmlformats.org/officeDocument/2006/relationships/footer" Target="footer382.xml"/><Relationship Id="rId408" Type="http://schemas.openxmlformats.org/officeDocument/2006/relationships/footer" Target="footer381.xml"/><Relationship Id="rId407" Type="http://schemas.openxmlformats.org/officeDocument/2006/relationships/footer" Target="footer380.xml"/><Relationship Id="rId406" Type="http://schemas.openxmlformats.org/officeDocument/2006/relationships/header" Target="header23.xml"/><Relationship Id="rId405" Type="http://schemas.openxmlformats.org/officeDocument/2006/relationships/footer" Target="footer379.xml"/><Relationship Id="rId404" Type="http://schemas.openxmlformats.org/officeDocument/2006/relationships/header" Target="header22.xml"/><Relationship Id="rId403" Type="http://schemas.openxmlformats.org/officeDocument/2006/relationships/footer" Target="footer378.xml"/><Relationship Id="rId402" Type="http://schemas.openxmlformats.org/officeDocument/2006/relationships/footer" Target="footer377.xml"/><Relationship Id="rId401" Type="http://schemas.openxmlformats.org/officeDocument/2006/relationships/header" Target="header21.xml"/><Relationship Id="rId400" Type="http://schemas.openxmlformats.org/officeDocument/2006/relationships/footer" Target="footer376.xml"/><Relationship Id="rId40" Type="http://schemas.openxmlformats.org/officeDocument/2006/relationships/footer" Target="footer36.xml"/><Relationship Id="rId4" Type="http://schemas.openxmlformats.org/officeDocument/2006/relationships/endnotes" Target="endnotes.xml"/><Relationship Id="rId399" Type="http://schemas.openxmlformats.org/officeDocument/2006/relationships/header" Target="header20.xml"/><Relationship Id="rId398" Type="http://schemas.openxmlformats.org/officeDocument/2006/relationships/footer" Target="footer375.xml"/><Relationship Id="rId397" Type="http://schemas.openxmlformats.org/officeDocument/2006/relationships/header" Target="header19.xml"/><Relationship Id="rId396" Type="http://schemas.openxmlformats.org/officeDocument/2006/relationships/footer" Target="footer374.xml"/><Relationship Id="rId395" Type="http://schemas.openxmlformats.org/officeDocument/2006/relationships/header" Target="header18.xml"/><Relationship Id="rId394" Type="http://schemas.openxmlformats.org/officeDocument/2006/relationships/footer" Target="footer373.xml"/><Relationship Id="rId393" Type="http://schemas.openxmlformats.org/officeDocument/2006/relationships/footer" Target="footer372.xml"/><Relationship Id="rId392" Type="http://schemas.openxmlformats.org/officeDocument/2006/relationships/footer" Target="footer371.xml"/><Relationship Id="rId391" Type="http://schemas.openxmlformats.org/officeDocument/2006/relationships/footer" Target="footer370.xml"/><Relationship Id="rId390" Type="http://schemas.openxmlformats.org/officeDocument/2006/relationships/footer" Target="footer369.xml"/><Relationship Id="rId39" Type="http://schemas.openxmlformats.org/officeDocument/2006/relationships/footer" Target="footer35.xml"/><Relationship Id="rId389" Type="http://schemas.openxmlformats.org/officeDocument/2006/relationships/footer" Target="footer368.xml"/><Relationship Id="rId388" Type="http://schemas.openxmlformats.org/officeDocument/2006/relationships/footer" Target="footer367.xml"/><Relationship Id="rId387" Type="http://schemas.openxmlformats.org/officeDocument/2006/relationships/footer" Target="footer366.xml"/><Relationship Id="rId386" Type="http://schemas.openxmlformats.org/officeDocument/2006/relationships/footer" Target="footer365.xml"/><Relationship Id="rId385" Type="http://schemas.openxmlformats.org/officeDocument/2006/relationships/footer" Target="footer364.xml"/><Relationship Id="rId384" Type="http://schemas.openxmlformats.org/officeDocument/2006/relationships/footer" Target="footer363.xml"/><Relationship Id="rId383" Type="http://schemas.openxmlformats.org/officeDocument/2006/relationships/footer" Target="footer362.xml"/><Relationship Id="rId382" Type="http://schemas.openxmlformats.org/officeDocument/2006/relationships/footer" Target="footer361.xml"/><Relationship Id="rId381" Type="http://schemas.openxmlformats.org/officeDocument/2006/relationships/footer" Target="footer360.xml"/><Relationship Id="rId380" Type="http://schemas.openxmlformats.org/officeDocument/2006/relationships/footer" Target="footer359.xml"/><Relationship Id="rId38" Type="http://schemas.openxmlformats.org/officeDocument/2006/relationships/footer" Target="footer34.xml"/><Relationship Id="rId379" Type="http://schemas.openxmlformats.org/officeDocument/2006/relationships/footer" Target="footer358.xml"/><Relationship Id="rId378" Type="http://schemas.openxmlformats.org/officeDocument/2006/relationships/footer" Target="footer357.xml"/><Relationship Id="rId377" Type="http://schemas.openxmlformats.org/officeDocument/2006/relationships/footer" Target="footer356.xml"/><Relationship Id="rId376" Type="http://schemas.openxmlformats.org/officeDocument/2006/relationships/footer" Target="footer355.xml"/><Relationship Id="rId375" Type="http://schemas.openxmlformats.org/officeDocument/2006/relationships/footer" Target="footer354.xml"/><Relationship Id="rId374" Type="http://schemas.openxmlformats.org/officeDocument/2006/relationships/footer" Target="footer353.xml"/><Relationship Id="rId373" Type="http://schemas.openxmlformats.org/officeDocument/2006/relationships/footer" Target="footer352.xml"/><Relationship Id="rId372" Type="http://schemas.openxmlformats.org/officeDocument/2006/relationships/footer" Target="footer351.xml"/><Relationship Id="rId371" Type="http://schemas.openxmlformats.org/officeDocument/2006/relationships/footer" Target="footer350.xml"/><Relationship Id="rId370" Type="http://schemas.openxmlformats.org/officeDocument/2006/relationships/footer" Target="footer349.xml"/><Relationship Id="rId37" Type="http://schemas.openxmlformats.org/officeDocument/2006/relationships/footer" Target="footer33.xml"/><Relationship Id="rId369" Type="http://schemas.openxmlformats.org/officeDocument/2006/relationships/footer" Target="footer348.xml"/><Relationship Id="rId368" Type="http://schemas.openxmlformats.org/officeDocument/2006/relationships/footer" Target="footer347.xml"/><Relationship Id="rId367" Type="http://schemas.openxmlformats.org/officeDocument/2006/relationships/footer" Target="footer346.xml"/><Relationship Id="rId366" Type="http://schemas.openxmlformats.org/officeDocument/2006/relationships/footer" Target="footer345.xml"/><Relationship Id="rId365" Type="http://schemas.openxmlformats.org/officeDocument/2006/relationships/footer" Target="footer344.xml"/><Relationship Id="rId364" Type="http://schemas.openxmlformats.org/officeDocument/2006/relationships/footer" Target="footer343.xml"/><Relationship Id="rId363" Type="http://schemas.openxmlformats.org/officeDocument/2006/relationships/footer" Target="footer342.xml"/><Relationship Id="rId362" Type="http://schemas.openxmlformats.org/officeDocument/2006/relationships/footer" Target="footer341.xml"/><Relationship Id="rId361" Type="http://schemas.openxmlformats.org/officeDocument/2006/relationships/footer" Target="footer340.xml"/><Relationship Id="rId360" Type="http://schemas.openxmlformats.org/officeDocument/2006/relationships/footer" Target="footer339.xml"/><Relationship Id="rId36" Type="http://schemas.openxmlformats.org/officeDocument/2006/relationships/footer" Target="footer32.xml"/><Relationship Id="rId359" Type="http://schemas.openxmlformats.org/officeDocument/2006/relationships/footer" Target="footer338.xml"/><Relationship Id="rId358" Type="http://schemas.openxmlformats.org/officeDocument/2006/relationships/footer" Target="footer337.xml"/><Relationship Id="rId357" Type="http://schemas.openxmlformats.org/officeDocument/2006/relationships/footer" Target="footer336.xml"/><Relationship Id="rId356" Type="http://schemas.openxmlformats.org/officeDocument/2006/relationships/footer" Target="footer335.xml"/><Relationship Id="rId355" Type="http://schemas.openxmlformats.org/officeDocument/2006/relationships/footer" Target="footer334.xml"/><Relationship Id="rId354" Type="http://schemas.openxmlformats.org/officeDocument/2006/relationships/footer" Target="footer333.xml"/><Relationship Id="rId353" Type="http://schemas.openxmlformats.org/officeDocument/2006/relationships/footer" Target="footer332.xml"/><Relationship Id="rId352" Type="http://schemas.openxmlformats.org/officeDocument/2006/relationships/footer" Target="footer331.xml"/><Relationship Id="rId351" Type="http://schemas.openxmlformats.org/officeDocument/2006/relationships/footer" Target="footer330.xml"/><Relationship Id="rId350" Type="http://schemas.openxmlformats.org/officeDocument/2006/relationships/footer" Target="footer329.xml"/><Relationship Id="rId35" Type="http://schemas.openxmlformats.org/officeDocument/2006/relationships/footer" Target="footer31.xml"/><Relationship Id="rId349" Type="http://schemas.openxmlformats.org/officeDocument/2006/relationships/footer" Target="footer328.xml"/><Relationship Id="rId348" Type="http://schemas.openxmlformats.org/officeDocument/2006/relationships/footer" Target="footer327.xml"/><Relationship Id="rId347" Type="http://schemas.openxmlformats.org/officeDocument/2006/relationships/footer" Target="footer326.xml"/><Relationship Id="rId346" Type="http://schemas.openxmlformats.org/officeDocument/2006/relationships/footer" Target="footer325.xml"/><Relationship Id="rId345" Type="http://schemas.openxmlformats.org/officeDocument/2006/relationships/footer" Target="footer324.xml"/><Relationship Id="rId344" Type="http://schemas.openxmlformats.org/officeDocument/2006/relationships/footer" Target="footer323.xml"/><Relationship Id="rId343" Type="http://schemas.openxmlformats.org/officeDocument/2006/relationships/footer" Target="footer322.xml"/><Relationship Id="rId342" Type="http://schemas.openxmlformats.org/officeDocument/2006/relationships/footer" Target="footer321.xml"/><Relationship Id="rId341" Type="http://schemas.openxmlformats.org/officeDocument/2006/relationships/footer" Target="footer320.xml"/><Relationship Id="rId340" Type="http://schemas.openxmlformats.org/officeDocument/2006/relationships/footer" Target="footer319.xml"/><Relationship Id="rId34" Type="http://schemas.openxmlformats.org/officeDocument/2006/relationships/footer" Target="footer30.xml"/><Relationship Id="rId339" Type="http://schemas.openxmlformats.org/officeDocument/2006/relationships/footer" Target="footer318.xml"/><Relationship Id="rId338" Type="http://schemas.openxmlformats.org/officeDocument/2006/relationships/footer" Target="footer317.xml"/><Relationship Id="rId337" Type="http://schemas.openxmlformats.org/officeDocument/2006/relationships/footer" Target="footer316.xml"/><Relationship Id="rId336" Type="http://schemas.openxmlformats.org/officeDocument/2006/relationships/footer" Target="footer315.xml"/><Relationship Id="rId335" Type="http://schemas.openxmlformats.org/officeDocument/2006/relationships/footer" Target="footer314.xml"/><Relationship Id="rId334" Type="http://schemas.openxmlformats.org/officeDocument/2006/relationships/footer" Target="footer313.xml"/><Relationship Id="rId333" Type="http://schemas.openxmlformats.org/officeDocument/2006/relationships/footer" Target="footer312.xml"/><Relationship Id="rId332" Type="http://schemas.openxmlformats.org/officeDocument/2006/relationships/footer" Target="footer311.xml"/><Relationship Id="rId331" Type="http://schemas.openxmlformats.org/officeDocument/2006/relationships/footer" Target="footer310.xml"/><Relationship Id="rId330" Type="http://schemas.openxmlformats.org/officeDocument/2006/relationships/footer" Target="footer309.xml"/><Relationship Id="rId33" Type="http://schemas.openxmlformats.org/officeDocument/2006/relationships/footer" Target="footer29.xml"/><Relationship Id="rId329" Type="http://schemas.openxmlformats.org/officeDocument/2006/relationships/footer" Target="footer308.xml"/><Relationship Id="rId328" Type="http://schemas.openxmlformats.org/officeDocument/2006/relationships/footer" Target="footer307.xml"/><Relationship Id="rId327" Type="http://schemas.openxmlformats.org/officeDocument/2006/relationships/footer" Target="footer306.xml"/><Relationship Id="rId326" Type="http://schemas.openxmlformats.org/officeDocument/2006/relationships/footer" Target="footer305.xml"/><Relationship Id="rId325" Type="http://schemas.openxmlformats.org/officeDocument/2006/relationships/footer" Target="footer304.xml"/><Relationship Id="rId324" Type="http://schemas.openxmlformats.org/officeDocument/2006/relationships/footer" Target="footer303.xml"/><Relationship Id="rId323" Type="http://schemas.openxmlformats.org/officeDocument/2006/relationships/footer" Target="footer302.xml"/><Relationship Id="rId322" Type="http://schemas.openxmlformats.org/officeDocument/2006/relationships/footer" Target="footer301.xml"/><Relationship Id="rId321" Type="http://schemas.openxmlformats.org/officeDocument/2006/relationships/footer" Target="footer300.xml"/><Relationship Id="rId320" Type="http://schemas.openxmlformats.org/officeDocument/2006/relationships/footer" Target="footer299.xml"/><Relationship Id="rId32" Type="http://schemas.openxmlformats.org/officeDocument/2006/relationships/footer" Target="footer28.xml"/><Relationship Id="rId319" Type="http://schemas.openxmlformats.org/officeDocument/2006/relationships/footer" Target="footer298.xml"/><Relationship Id="rId318" Type="http://schemas.openxmlformats.org/officeDocument/2006/relationships/footer" Target="footer297.xml"/><Relationship Id="rId317" Type="http://schemas.openxmlformats.org/officeDocument/2006/relationships/footer" Target="footer296.xml"/><Relationship Id="rId316" Type="http://schemas.openxmlformats.org/officeDocument/2006/relationships/footer" Target="footer295.xml"/><Relationship Id="rId315" Type="http://schemas.openxmlformats.org/officeDocument/2006/relationships/footer" Target="footer294.xml"/><Relationship Id="rId314" Type="http://schemas.openxmlformats.org/officeDocument/2006/relationships/header" Target="header17.xml"/><Relationship Id="rId313" Type="http://schemas.openxmlformats.org/officeDocument/2006/relationships/footer" Target="footer293.xml"/><Relationship Id="rId312" Type="http://schemas.openxmlformats.org/officeDocument/2006/relationships/header" Target="header16.xml"/><Relationship Id="rId311" Type="http://schemas.openxmlformats.org/officeDocument/2006/relationships/footer" Target="footer292.xml"/><Relationship Id="rId310" Type="http://schemas.openxmlformats.org/officeDocument/2006/relationships/footer" Target="footer291.xml"/><Relationship Id="rId31" Type="http://schemas.openxmlformats.org/officeDocument/2006/relationships/footer" Target="footer27.xml"/><Relationship Id="rId309" Type="http://schemas.openxmlformats.org/officeDocument/2006/relationships/header" Target="header15.xml"/><Relationship Id="rId308" Type="http://schemas.openxmlformats.org/officeDocument/2006/relationships/footer" Target="footer290.xml"/><Relationship Id="rId307" Type="http://schemas.openxmlformats.org/officeDocument/2006/relationships/header" Target="header14.xml"/><Relationship Id="rId306" Type="http://schemas.openxmlformats.org/officeDocument/2006/relationships/footer" Target="footer289.xml"/><Relationship Id="rId305" Type="http://schemas.openxmlformats.org/officeDocument/2006/relationships/header" Target="header13.xml"/><Relationship Id="rId304" Type="http://schemas.openxmlformats.org/officeDocument/2006/relationships/footer" Target="footer288.xml"/><Relationship Id="rId303" Type="http://schemas.openxmlformats.org/officeDocument/2006/relationships/header" Target="header12.xml"/><Relationship Id="rId302" Type="http://schemas.openxmlformats.org/officeDocument/2006/relationships/footer" Target="footer287.xml"/><Relationship Id="rId301" Type="http://schemas.openxmlformats.org/officeDocument/2006/relationships/header" Target="header11.xml"/><Relationship Id="rId300" Type="http://schemas.openxmlformats.org/officeDocument/2006/relationships/footer" Target="footer286.xml"/><Relationship Id="rId30" Type="http://schemas.openxmlformats.org/officeDocument/2006/relationships/footer" Target="footer26.xml"/><Relationship Id="rId3" Type="http://schemas.openxmlformats.org/officeDocument/2006/relationships/footnotes" Target="footnotes.xml"/><Relationship Id="rId299" Type="http://schemas.openxmlformats.org/officeDocument/2006/relationships/header" Target="header10.xml"/><Relationship Id="rId298" Type="http://schemas.openxmlformats.org/officeDocument/2006/relationships/footer" Target="footer285.xml"/><Relationship Id="rId297" Type="http://schemas.openxmlformats.org/officeDocument/2006/relationships/header" Target="header9.xml"/><Relationship Id="rId296" Type="http://schemas.openxmlformats.org/officeDocument/2006/relationships/footer" Target="footer284.xml"/><Relationship Id="rId295" Type="http://schemas.openxmlformats.org/officeDocument/2006/relationships/header" Target="header8.xml"/><Relationship Id="rId294" Type="http://schemas.openxmlformats.org/officeDocument/2006/relationships/footer" Target="footer283.xml"/><Relationship Id="rId293" Type="http://schemas.openxmlformats.org/officeDocument/2006/relationships/header" Target="header7.xml"/><Relationship Id="rId292" Type="http://schemas.openxmlformats.org/officeDocument/2006/relationships/footer" Target="footer282.xml"/><Relationship Id="rId291" Type="http://schemas.openxmlformats.org/officeDocument/2006/relationships/header" Target="header6.xml"/><Relationship Id="rId290" Type="http://schemas.openxmlformats.org/officeDocument/2006/relationships/footer" Target="footer281.xml"/><Relationship Id="rId29" Type="http://schemas.openxmlformats.org/officeDocument/2006/relationships/footer" Target="footer25.xml"/><Relationship Id="rId289" Type="http://schemas.openxmlformats.org/officeDocument/2006/relationships/header" Target="header5.xml"/><Relationship Id="rId288" Type="http://schemas.openxmlformats.org/officeDocument/2006/relationships/footer" Target="footer280.xml"/><Relationship Id="rId287" Type="http://schemas.openxmlformats.org/officeDocument/2006/relationships/footer" Target="footer279.xml"/><Relationship Id="rId286" Type="http://schemas.openxmlformats.org/officeDocument/2006/relationships/footer" Target="footer278.xml"/><Relationship Id="rId285" Type="http://schemas.openxmlformats.org/officeDocument/2006/relationships/footer" Target="footer277.xml"/><Relationship Id="rId284" Type="http://schemas.openxmlformats.org/officeDocument/2006/relationships/footer" Target="footer276.xml"/><Relationship Id="rId283" Type="http://schemas.openxmlformats.org/officeDocument/2006/relationships/footer" Target="footer275.xml"/><Relationship Id="rId282" Type="http://schemas.openxmlformats.org/officeDocument/2006/relationships/footer" Target="footer274.xml"/><Relationship Id="rId281" Type="http://schemas.openxmlformats.org/officeDocument/2006/relationships/footer" Target="footer273.xml"/><Relationship Id="rId280" Type="http://schemas.openxmlformats.org/officeDocument/2006/relationships/footer" Target="footer272.xml"/><Relationship Id="rId28" Type="http://schemas.openxmlformats.org/officeDocument/2006/relationships/footer" Target="footer24.xml"/><Relationship Id="rId279" Type="http://schemas.openxmlformats.org/officeDocument/2006/relationships/footer" Target="footer271.xml"/><Relationship Id="rId278" Type="http://schemas.openxmlformats.org/officeDocument/2006/relationships/footer" Target="footer270.xml"/><Relationship Id="rId277" Type="http://schemas.openxmlformats.org/officeDocument/2006/relationships/footer" Target="footer269.xml"/><Relationship Id="rId276" Type="http://schemas.openxmlformats.org/officeDocument/2006/relationships/footer" Target="footer268.xml"/><Relationship Id="rId275" Type="http://schemas.openxmlformats.org/officeDocument/2006/relationships/footer" Target="footer267.xml"/><Relationship Id="rId274" Type="http://schemas.openxmlformats.org/officeDocument/2006/relationships/footer" Target="footer266.xml"/><Relationship Id="rId273" Type="http://schemas.openxmlformats.org/officeDocument/2006/relationships/footer" Target="footer265.xml"/><Relationship Id="rId272" Type="http://schemas.openxmlformats.org/officeDocument/2006/relationships/footer" Target="footer264.xml"/><Relationship Id="rId271" Type="http://schemas.openxmlformats.org/officeDocument/2006/relationships/footer" Target="footer263.xml"/><Relationship Id="rId270" Type="http://schemas.openxmlformats.org/officeDocument/2006/relationships/footer" Target="footer262.xml"/><Relationship Id="rId27" Type="http://schemas.openxmlformats.org/officeDocument/2006/relationships/footer" Target="footer23.xml"/><Relationship Id="rId269" Type="http://schemas.openxmlformats.org/officeDocument/2006/relationships/footer" Target="footer261.xml"/><Relationship Id="rId268" Type="http://schemas.openxmlformats.org/officeDocument/2006/relationships/footer" Target="footer260.xml"/><Relationship Id="rId267" Type="http://schemas.openxmlformats.org/officeDocument/2006/relationships/footer" Target="footer259.xml"/><Relationship Id="rId266" Type="http://schemas.openxmlformats.org/officeDocument/2006/relationships/footer" Target="footer258.xml"/><Relationship Id="rId265" Type="http://schemas.openxmlformats.org/officeDocument/2006/relationships/footer" Target="footer257.xml"/><Relationship Id="rId264" Type="http://schemas.openxmlformats.org/officeDocument/2006/relationships/footer" Target="footer256.xml"/><Relationship Id="rId263" Type="http://schemas.openxmlformats.org/officeDocument/2006/relationships/footer" Target="footer255.xml"/><Relationship Id="rId262" Type="http://schemas.openxmlformats.org/officeDocument/2006/relationships/footer" Target="footer254.xml"/><Relationship Id="rId261" Type="http://schemas.openxmlformats.org/officeDocument/2006/relationships/footer" Target="footer253.xml"/><Relationship Id="rId260" Type="http://schemas.openxmlformats.org/officeDocument/2006/relationships/footer" Target="footer252.xml"/><Relationship Id="rId26" Type="http://schemas.openxmlformats.org/officeDocument/2006/relationships/footer" Target="footer22.xml"/><Relationship Id="rId259" Type="http://schemas.openxmlformats.org/officeDocument/2006/relationships/footer" Target="footer251.xml"/><Relationship Id="rId258" Type="http://schemas.openxmlformats.org/officeDocument/2006/relationships/footer" Target="footer250.xml"/><Relationship Id="rId257" Type="http://schemas.openxmlformats.org/officeDocument/2006/relationships/footer" Target="footer249.xml"/><Relationship Id="rId256" Type="http://schemas.openxmlformats.org/officeDocument/2006/relationships/footer" Target="footer248.xml"/><Relationship Id="rId255" Type="http://schemas.openxmlformats.org/officeDocument/2006/relationships/footer" Target="footer247.xml"/><Relationship Id="rId254" Type="http://schemas.openxmlformats.org/officeDocument/2006/relationships/footer" Target="footer246.xml"/><Relationship Id="rId253" Type="http://schemas.openxmlformats.org/officeDocument/2006/relationships/footer" Target="footer245.xml"/><Relationship Id="rId252" Type="http://schemas.openxmlformats.org/officeDocument/2006/relationships/footer" Target="footer244.xml"/><Relationship Id="rId251" Type="http://schemas.openxmlformats.org/officeDocument/2006/relationships/footer" Target="footer243.xml"/><Relationship Id="rId250" Type="http://schemas.openxmlformats.org/officeDocument/2006/relationships/footer" Target="footer242.xml"/><Relationship Id="rId25" Type="http://schemas.openxmlformats.org/officeDocument/2006/relationships/footer" Target="footer21.xml"/><Relationship Id="rId249" Type="http://schemas.openxmlformats.org/officeDocument/2006/relationships/footer" Target="footer241.xml"/><Relationship Id="rId248" Type="http://schemas.openxmlformats.org/officeDocument/2006/relationships/footer" Target="footer240.xml"/><Relationship Id="rId247" Type="http://schemas.openxmlformats.org/officeDocument/2006/relationships/footer" Target="footer239.xml"/><Relationship Id="rId246" Type="http://schemas.openxmlformats.org/officeDocument/2006/relationships/footer" Target="footer238.xml"/><Relationship Id="rId245" Type="http://schemas.openxmlformats.org/officeDocument/2006/relationships/footer" Target="footer237.xml"/><Relationship Id="rId244" Type="http://schemas.openxmlformats.org/officeDocument/2006/relationships/footer" Target="footer236.xml"/><Relationship Id="rId243" Type="http://schemas.openxmlformats.org/officeDocument/2006/relationships/footer" Target="footer235.xml"/><Relationship Id="rId242" Type="http://schemas.openxmlformats.org/officeDocument/2006/relationships/footer" Target="footer234.xml"/><Relationship Id="rId241" Type="http://schemas.openxmlformats.org/officeDocument/2006/relationships/footer" Target="footer233.xml"/><Relationship Id="rId240" Type="http://schemas.openxmlformats.org/officeDocument/2006/relationships/footer" Target="footer232.xml"/><Relationship Id="rId24" Type="http://schemas.openxmlformats.org/officeDocument/2006/relationships/footer" Target="footer20.xml"/><Relationship Id="rId239" Type="http://schemas.openxmlformats.org/officeDocument/2006/relationships/footer" Target="footer231.xml"/><Relationship Id="rId238" Type="http://schemas.openxmlformats.org/officeDocument/2006/relationships/footer" Target="footer230.xml"/><Relationship Id="rId237" Type="http://schemas.openxmlformats.org/officeDocument/2006/relationships/footer" Target="footer229.xml"/><Relationship Id="rId236" Type="http://schemas.openxmlformats.org/officeDocument/2006/relationships/footer" Target="footer228.xml"/><Relationship Id="rId235" Type="http://schemas.openxmlformats.org/officeDocument/2006/relationships/footer" Target="footer227.xml"/><Relationship Id="rId234" Type="http://schemas.openxmlformats.org/officeDocument/2006/relationships/footer" Target="footer226.xml"/><Relationship Id="rId233" Type="http://schemas.openxmlformats.org/officeDocument/2006/relationships/footer" Target="footer225.xml"/><Relationship Id="rId232" Type="http://schemas.openxmlformats.org/officeDocument/2006/relationships/footer" Target="footer224.xml"/><Relationship Id="rId231" Type="http://schemas.openxmlformats.org/officeDocument/2006/relationships/footer" Target="footer223.xml"/><Relationship Id="rId230" Type="http://schemas.openxmlformats.org/officeDocument/2006/relationships/footer" Target="footer222.xml"/><Relationship Id="rId23" Type="http://schemas.openxmlformats.org/officeDocument/2006/relationships/footer" Target="footer19.xml"/><Relationship Id="rId229" Type="http://schemas.openxmlformats.org/officeDocument/2006/relationships/footer" Target="footer221.xml"/><Relationship Id="rId228" Type="http://schemas.openxmlformats.org/officeDocument/2006/relationships/footer" Target="footer220.xml"/><Relationship Id="rId227" Type="http://schemas.openxmlformats.org/officeDocument/2006/relationships/footer" Target="footer219.xml"/><Relationship Id="rId226" Type="http://schemas.openxmlformats.org/officeDocument/2006/relationships/footer" Target="footer218.xml"/><Relationship Id="rId225" Type="http://schemas.openxmlformats.org/officeDocument/2006/relationships/footer" Target="footer217.xml"/><Relationship Id="rId224" Type="http://schemas.openxmlformats.org/officeDocument/2006/relationships/footer" Target="footer216.xml"/><Relationship Id="rId223" Type="http://schemas.openxmlformats.org/officeDocument/2006/relationships/footer" Target="footer215.xml"/><Relationship Id="rId222" Type="http://schemas.openxmlformats.org/officeDocument/2006/relationships/footer" Target="footer214.xml"/><Relationship Id="rId221" Type="http://schemas.openxmlformats.org/officeDocument/2006/relationships/footer" Target="footer213.xml"/><Relationship Id="rId220" Type="http://schemas.openxmlformats.org/officeDocument/2006/relationships/footer" Target="footer212.xml"/><Relationship Id="rId22" Type="http://schemas.openxmlformats.org/officeDocument/2006/relationships/footer" Target="footer18.xml"/><Relationship Id="rId219" Type="http://schemas.openxmlformats.org/officeDocument/2006/relationships/footer" Target="footer211.xml"/><Relationship Id="rId218" Type="http://schemas.openxmlformats.org/officeDocument/2006/relationships/footer" Target="footer210.xml"/><Relationship Id="rId217" Type="http://schemas.openxmlformats.org/officeDocument/2006/relationships/footer" Target="footer209.xml"/><Relationship Id="rId216" Type="http://schemas.openxmlformats.org/officeDocument/2006/relationships/footer" Target="footer208.xml"/><Relationship Id="rId215" Type="http://schemas.openxmlformats.org/officeDocument/2006/relationships/footer" Target="footer207.xml"/><Relationship Id="rId214" Type="http://schemas.openxmlformats.org/officeDocument/2006/relationships/footer" Target="footer206.xml"/><Relationship Id="rId213" Type="http://schemas.openxmlformats.org/officeDocument/2006/relationships/footer" Target="footer205.xml"/><Relationship Id="rId212" Type="http://schemas.openxmlformats.org/officeDocument/2006/relationships/footer" Target="footer204.xml"/><Relationship Id="rId211" Type="http://schemas.openxmlformats.org/officeDocument/2006/relationships/footer" Target="footer203.xml"/><Relationship Id="rId210" Type="http://schemas.openxmlformats.org/officeDocument/2006/relationships/footer" Target="footer202.xml"/><Relationship Id="rId21" Type="http://schemas.openxmlformats.org/officeDocument/2006/relationships/footer" Target="footer17.xml"/><Relationship Id="rId209" Type="http://schemas.openxmlformats.org/officeDocument/2006/relationships/footer" Target="footer201.xml"/><Relationship Id="rId208" Type="http://schemas.openxmlformats.org/officeDocument/2006/relationships/footer" Target="footer200.xml"/><Relationship Id="rId207" Type="http://schemas.openxmlformats.org/officeDocument/2006/relationships/footer" Target="footer199.xml"/><Relationship Id="rId206" Type="http://schemas.openxmlformats.org/officeDocument/2006/relationships/footer" Target="footer198.xml"/><Relationship Id="rId205" Type="http://schemas.openxmlformats.org/officeDocument/2006/relationships/footer" Target="footer197.xml"/><Relationship Id="rId204" Type="http://schemas.openxmlformats.org/officeDocument/2006/relationships/footer" Target="footer196.xml"/><Relationship Id="rId203" Type="http://schemas.openxmlformats.org/officeDocument/2006/relationships/footer" Target="footer195.xml"/><Relationship Id="rId202" Type="http://schemas.openxmlformats.org/officeDocument/2006/relationships/footer" Target="footer194.xml"/><Relationship Id="rId201" Type="http://schemas.openxmlformats.org/officeDocument/2006/relationships/footer" Target="footer193.xml"/><Relationship Id="rId200" Type="http://schemas.openxmlformats.org/officeDocument/2006/relationships/footer" Target="footer192.xml"/><Relationship Id="rId20" Type="http://schemas.openxmlformats.org/officeDocument/2006/relationships/footer" Target="footer16.xml"/><Relationship Id="rId2" Type="http://schemas.openxmlformats.org/officeDocument/2006/relationships/settings" Target="settings.xml"/><Relationship Id="rId199" Type="http://schemas.openxmlformats.org/officeDocument/2006/relationships/footer" Target="footer191.xml"/><Relationship Id="rId198" Type="http://schemas.openxmlformats.org/officeDocument/2006/relationships/footer" Target="footer190.xml"/><Relationship Id="rId197" Type="http://schemas.openxmlformats.org/officeDocument/2006/relationships/footer" Target="footer189.xml"/><Relationship Id="rId196" Type="http://schemas.openxmlformats.org/officeDocument/2006/relationships/footer" Target="footer188.xml"/><Relationship Id="rId195" Type="http://schemas.openxmlformats.org/officeDocument/2006/relationships/footer" Target="footer187.xml"/><Relationship Id="rId194" Type="http://schemas.openxmlformats.org/officeDocument/2006/relationships/footer" Target="footer186.xml"/><Relationship Id="rId193" Type="http://schemas.openxmlformats.org/officeDocument/2006/relationships/footer" Target="footer185.xml"/><Relationship Id="rId192" Type="http://schemas.openxmlformats.org/officeDocument/2006/relationships/footer" Target="footer184.xml"/><Relationship Id="rId191" Type="http://schemas.openxmlformats.org/officeDocument/2006/relationships/footer" Target="footer183.xml"/><Relationship Id="rId190" Type="http://schemas.openxmlformats.org/officeDocument/2006/relationships/footer" Target="footer182.xml"/><Relationship Id="rId19" Type="http://schemas.openxmlformats.org/officeDocument/2006/relationships/footer" Target="footer15.xml"/><Relationship Id="rId189" Type="http://schemas.openxmlformats.org/officeDocument/2006/relationships/footer" Target="footer181.xml"/><Relationship Id="rId188" Type="http://schemas.openxmlformats.org/officeDocument/2006/relationships/footer" Target="footer180.xml"/><Relationship Id="rId187" Type="http://schemas.openxmlformats.org/officeDocument/2006/relationships/footer" Target="footer179.xml"/><Relationship Id="rId186" Type="http://schemas.openxmlformats.org/officeDocument/2006/relationships/footer" Target="footer178.xml"/><Relationship Id="rId185" Type="http://schemas.openxmlformats.org/officeDocument/2006/relationships/footer" Target="footer177.xml"/><Relationship Id="rId184" Type="http://schemas.openxmlformats.org/officeDocument/2006/relationships/footer" Target="footer176.xml"/><Relationship Id="rId183" Type="http://schemas.openxmlformats.org/officeDocument/2006/relationships/footer" Target="footer175.xml"/><Relationship Id="rId182" Type="http://schemas.openxmlformats.org/officeDocument/2006/relationships/footer" Target="footer174.xml"/><Relationship Id="rId181" Type="http://schemas.openxmlformats.org/officeDocument/2006/relationships/footer" Target="footer173.xml"/><Relationship Id="rId180" Type="http://schemas.openxmlformats.org/officeDocument/2006/relationships/footer" Target="footer172.xml"/><Relationship Id="rId18" Type="http://schemas.openxmlformats.org/officeDocument/2006/relationships/footer" Target="footer14.xml"/><Relationship Id="rId179" Type="http://schemas.openxmlformats.org/officeDocument/2006/relationships/footer" Target="footer171.xml"/><Relationship Id="rId178" Type="http://schemas.openxmlformats.org/officeDocument/2006/relationships/footer" Target="footer170.xml"/><Relationship Id="rId177" Type="http://schemas.openxmlformats.org/officeDocument/2006/relationships/footer" Target="footer169.xml"/><Relationship Id="rId176" Type="http://schemas.openxmlformats.org/officeDocument/2006/relationships/footer" Target="footer168.xml"/><Relationship Id="rId175" Type="http://schemas.openxmlformats.org/officeDocument/2006/relationships/footer" Target="footer167.xml"/><Relationship Id="rId174" Type="http://schemas.openxmlformats.org/officeDocument/2006/relationships/footer" Target="footer166.xml"/><Relationship Id="rId173" Type="http://schemas.openxmlformats.org/officeDocument/2006/relationships/footer" Target="footer165.xml"/><Relationship Id="rId172" Type="http://schemas.openxmlformats.org/officeDocument/2006/relationships/footer" Target="footer164.xml"/><Relationship Id="rId171" Type="http://schemas.openxmlformats.org/officeDocument/2006/relationships/footer" Target="footer163.xml"/><Relationship Id="rId170" Type="http://schemas.openxmlformats.org/officeDocument/2006/relationships/footer" Target="footer162.xml"/><Relationship Id="rId17" Type="http://schemas.openxmlformats.org/officeDocument/2006/relationships/footer" Target="footer13.xml"/><Relationship Id="rId169" Type="http://schemas.openxmlformats.org/officeDocument/2006/relationships/footer" Target="footer161.xml"/><Relationship Id="rId168" Type="http://schemas.openxmlformats.org/officeDocument/2006/relationships/footer" Target="footer160.xml"/><Relationship Id="rId167" Type="http://schemas.openxmlformats.org/officeDocument/2006/relationships/footer" Target="footer159.xml"/><Relationship Id="rId166" Type="http://schemas.openxmlformats.org/officeDocument/2006/relationships/footer" Target="footer158.xml"/><Relationship Id="rId165" Type="http://schemas.openxmlformats.org/officeDocument/2006/relationships/footer" Target="footer157.xml"/><Relationship Id="rId164" Type="http://schemas.openxmlformats.org/officeDocument/2006/relationships/footer" Target="footer156.xml"/><Relationship Id="rId163" Type="http://schemas.openxmlformats.org/officeDocument/2006/relationships/footer" Target="footer155.xml"/><Relationship Id="rId162" Type="http://schemas.openxmlformats.org/officeDocument/2006/relationships/footer" Target="footer154.xml"/><Relationship Id="rId161" Type="http://schemas.openxmlformats.org/officeDocument/2006/relationships/footer" Target="footer153.xml"/><Relationship Id="rId160" Type="http://schemas.openxmlformats.org/officeDocument/2006/relationships/footer" Target="footer152.xml"/><Relationship Id="rId16" Type="http://schemas.openxmlformats.org/officeDocument/2006/relationships/footer" Target="footer12.xml"/><Relationship Id="rId159" Type="http://schemas.openxmlformats.org/officeDocument/2006/relationships/footer" Target="footer151.xml"/><Relationship Id="rId158" Type="http://schemas.openxmlformats.org/officeDocument/2006/relationships/footer" Target="footer150.xml"/><Relationship Id="rId157" Type="http://schemas.openxmlformats.org/officeDocument/2006/relationships/footer" Target="footer149.xml"/><Relationship Id="rId156" Type="http://schemas.openxmlformats.org/officeDocument/2006/relationships/footer" Target="footer148.xml"/><Relationship Id="rId155" Type="http://schemas.openxmlformats.org/officeDocument/2006/relationships/footer" Target="footer147.xml"/><Relationship Id="rId154" Type="http://schemas.openxmlformats.org/officeDocument/2006/relationships/footer" Target="footer146.xml"/><Relationship Id="rId153" Type="http://schemas.openxmlformats.org/officeDocument/2006/relationships/footer" Target="footer145.xml"/><Relationship Id="rId152" Type="http://schemas.openxmlformats.org/officeDocument/2006/relationships/footer" Target="footer144.xml"/><Relationship Id="rId151" Type="http://schemas.openxmlformats.org/officeDocument/2006/relationships/footer" Target="footer143.xml"/><Relationship Id="rId150" Type="http://schemas.openxmlformats.org/officeDocument/2006/relationships/footer" Target="footer142.xml"/><Relationship Id="rId15" Type="http://schemas.openxmlformats.org/officeDocument/2006/relationships/footer" Target="footer11.xml"/><Relationship Id="rId149" Type="http://schemas.openxmlformats.org/officeDocument/2006/relationships/footer" Target="footer141.xml"/><Relationship Id="rId148" Type="http://schemas.openxmlformats.org/officeDocument/2006/relationships/footer" Target="footer140.xml"/><Relationship Id="rId147" Type="http://schemas.openxmlformats.org/officeDocument/2006/relationships/footer" Target="footer139.xml"/><Relationship Id="rId146" Type="http://schemas.openxmlformats.org/officeDocument/2006/relationships/footer" Target="footer138.xml"/><Relationship Id="rId145" Type="http://schemas.openxmlformats.org/officeDocument/2006/relationships/footer" Target="footer137.xml"/><Relationship Id="rId144" Type="http://schemas.openxmlformats.org/officeDocument/2006/relationships/footer" Target="footer136.xml"/><Relationship Id="rId143" Type="http://schemas.openxmlformats.org/officeDocument/2006/relationships/footer" Target="footer135.xml"/><Relationship Id="rId142" Type="http://schemas.openxmlformats.org/officeDocument/2006/relationships/footer" Target="footer134.xml"/><Relationship Id="rId141" Type="http://schemas.openxmlformats.org/officeDocument/2006/relationships/footer" Target="footer133.xml"/><Relationship Id="rId140" Type="http://schemas.openxmlformats.org/officeDocument/2006/relationships/footer" Target="footer132.xml"/><Relationship Id="rId14" Type="http://schemas.openxmlformats.org/officeDocument/2006/relationships/footer" Target="footer10.xml"/><Relationship Id="rId139" Type="http://schemas.openxmlformats.org/officeDocument/2006/relationships/footer" Target="footer131.xml"/><Relationship Id="rId138" Type="http://schemas.openxmlformats.org/officeDocument/2006/relationships/footer" Target="footer130.xml"/><Relationship Id="rId137" Type="http://schemas.openxmlformats.org/officeDocument/2006/relationships/footer" Target="footer129.xml"/><Relationship Id="rId136" Type="http://schemas.openxmlformats.org/officeDocument/2006/relationships/footer" Target="footer128.xml"/><Relationship Id="rId135" Type="http://schemas.openxmlformats.org/officeDocument/2006/relationships/footer" Target="footer127.xml"/><Relationship Id="rId134" Type="http://schemas.openxmlformats.org/officeDocument/2006/relationships/footer" Target="footer126.xml"/><Relationship Id="rId133" Type="http://schemas.openxmlformats.org/officeDocument/2006/relationships/footer" Target="footer125.xml"/><Relationship Id="rId132" Type="http://schemas.openxmlformats.org/officeDocument/2006/relationships/footer" Target="footer124.xml"/><Relationship Id="rId131" Type="http://schemas.openxmlformats.org/officeDocument/2006/relationships/footer" Target="footer123.xml"/><Relationship Id="rId130" Type="http://schemas.openxmlformats.org/officeDocument/2006/relationships/footer" Target="footer122.xml"/><Relationship Id="rId13" Type="http://schemas.openxmlformats.org/officeDocument/2006/relationships/footer" Target="footer9.xml"/><Relationship Id="rId129" Type="http://schemas.openxmlformats.org/officeDocument/2006/relationships/footer" Target="footer121.xml"/><Relationship Id="rId128" Type="http://schemas.openxmlformats.org/officeDocument/2006/relationships/footer" Target="footer120.xml"/><Relationship Id="rId127" Type="http://schemas.openxmlformats.org/officeDocument/2006/relationships/footer" Target="footer119.xml"/><Relationship Id="rId126" Type="http://schemas.openxmlformats.org/officeDocument/2006/relationships/footer" Target="footer118.xml"/><Relationship Id="rId125" Type="http://schemas.openxmlformats.org/officeDocument/2006/relationships/footer" Target="footer117.xml"/><Relationship Id="rId124" Type="http://schemas.openxmlformats.org/officeDocument/2006/relationships/footer" Target="footer116.xml"/><Relationship Id="rId123" Type="http://schemas.openxmlformats.org/officeDocument/2006/relationships/footer" Target="footer115.xml"/><Relationship Id="rId122" Type="http://schemas.openxmlformats.org/officeDocument/2006/relationships/footer" Target="footer114.xml"/><Relationship Id="rId121" Type="http://schemas.openxmlformats.org/officeDocument/2006/relationships/footer" Target="footer113.xml"/><Relationship Id="rId120" Type="http://schemas.openxmlformats.org/officeDocument/2006/relationships/footer" Target="footer112.xml"/><Relationship Id="rId12" Type="http://schemas.openxmlformats.org/officeDocument/2006/relationships/footer" Target="footer8.xml"/><Relationship Id="rId119" Type="http://schemas.openxmlformats.org/officeDocument/2006/relationships/header" Target="header4.xml"/><Relationship Id="rId118" Type="http://schemas.openxmlformats.org/officeDocument/2006/relationships/footer" Target="footer111.xml"/><Relationship Id="rId117" Type="http://schemas.openxmlformats.org/officeDocument/2006/relationships/header" Target="header3.xml"/><Relationship Id="rId116" Type="http://schemas.openxmlformats.org/officeDocument/2006/relationships/footer" Target="footer110.xml"/><Relationship Id="rId115" Type="http://schemas.openxmlformats.org/officeDocument/2006/relationships/footer" Target="footer109.xml"/><Relationship Id="rId114" Type="http://schemas.openxmlformats.org/officeDocument/2006/relationships/footer" Target="footer108.xml"/><Relationship Id="rId113" Type="http://schemas.openxmlformats.org/officeDocument/2006/relationships/footer" Target="footer107.xml"/><Relationship Id="rId112" Type="http://schemas.openxmlformats.org/officeDocument/2006/relationships/footer" Target="footer106.xml"/><Relationship Id="rId111" Type="http://schemas.openxmlformats.org/officeDocument/2006/relationships/footer" Target="footer105.xml"/><Relationship Id="rId110" Type="http://schemas.openxmlformats.org/officeDocument/2006/relationships/footer" Target="footer104.xml"/><Relationship Id="rId11" Type="http://schemas.openxmlformats.org/officeDocument/2006/relationships/footer" Target="footer7.xml"/><Relationship Id="rId109" Type="http://schemas.openxmlformats.org/officeDocument/2006/relationships/footer" Target="footer103.xml"/><Relationship Id="rId108" Type="http://schemas.openxmlformats.org/officeDocument/2006/relationships/footer" Target="footer102.xml"/><Relationship Id="rId107" Type="http://schemas.openxmlformats.org/officeDocument/2006/relationships/footer" Target="footer101.xml"/><Relationship Id="rId106" Type="http://schemas.openxmlformats.org/officeDocument/2006/relationships/footer" Target="footer100.xml"/><Relationship Id="rId105" Type="http://schemas.openxmlformats.org/officeDocument/2006/relationships/footer" Target="footer99.xml"/><Relationship Id="rId104" Type="http://schemas.openxmlformats.org/officeDocument/2006/relationships/footer" Target="footer98.xml"/><Relationship Id="rId103" Type="http://schemas.openxmlformats.org/officeDocument/2006/relationships/footer" Target="footer97.xml"/><Relationship Id="rId102" Type="http://schemas.openxmlformats.org/officeDocument/2006/relationships/footer" Target="footer96.xml"/><Relationship Id="rId101" Type="http://schemas.openxmlformats.org/officeDocument/2006/relationships/footer" Target="footer95.xml"/><Relationship Id="rId100" Type="http://schemas.openxmlformats.org/officeDocument/2006/relationships/footer" Target="footer94.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70</Pages>
  <Words>1535</Words>
  <Characters>1593</Characters>
  <TotalTime>0</TotalTime>
  <ScaleCrop>false</ScaleCrop>
  <LinksUpToDate>false</LinksUpToDate>
  <CharactersWithSpaces>1660</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2026-10-23T16:11:00Z</dcterms:created>
  <dc:creator>微软用户</dc:creator>
  <cp:lastModifiedBy>21717</cp:lastModifiedBy>
  <dcterms:modified xsi:type="dcterms:W3CDTF">2026-10-23T08:53:03Z</dcterms:modified>
  <dc:title>住房和城乡建设部关于印发《房屋建筑和市政工程标准施工招标资格预审文件》和《房屋建筑和市政工程标准施工招标文件》的通知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2026-10-23T16:52:43Z</vt:filetime>
  </property>
  <property fmtid="{D5CDD505-2E9C-101B-9397-08002B2CF9AE}" pid="4" name="KSOProductBuildVer">
    <vt:lpwstr>2052-12.1.0.29161</vt:lpwstr>
  </property>
  <property fmtid="{D5CDD505-2E9C-101B-9397-08002B2CF9AE}" pid="5" name="ICV">
    <vt:lpwstr>22204BEA5101433798BE9BB620DE3FE3_13</vt:lpwstr>
  </property>
</Properties>
</file>